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83FE53" w14:textId="0956E5B9" w:rsidR="004B35F0" w:rsidRDefault="004B35F0" w:rsidP="000B599F">
      <w:pPr>
        <w:ind w:firstLine="720"/>
        <w:jc w:val="both"/>
        <w:rPr>
          <w:rFonts w:ascii="Abadi" w:hAnsi="Abadi"/>
          <w:color w:val="FFFFFF" w:themeColor="background1"/>
          <w:sz w:val="22"/>
          <w:szCs w:val="22"/>
          <w14:textFill>
            <w14:noFill/>
          </w14:textFill>
        </w:rPr>
      </w:pPr>
    </w:p>
    <w:p w14:paraId="65B79B5C" w14:textId="77777777" w:rsidR="00361B4E" w:rsidRPr="00FA1003" w:rsidRDefault="00361B4E" w:rsidP="000B599F">
      <w:pPr>
        <w:ind w:firstLine="720"/>
        <w:jc w:val="both"/>
        <w:rPr>
          <w:rFonts w:ascii="Abadi" w:hAnsi="Abadi"/>
          <w:color w:val="FFFFFF" w:themeColor="background1"/>
          <w:sz w:val="22"/>
          <w:szCs w:val="22"/>
          <w14:textFill>
            <w14:noFill/>
          </w14:textFill>
        </w:rPr>
      </w:pPr>
    </w:p>
    <w:p w14:paraId="59C0928A" w14:textId="66816774" w:rsidR="002463F1" w:rsidRPr="0056537E" w:rsidRDefault="00C402B4" w:rsidP="00BB6CF0">
      <w:pPr>
        <w:ind w:left="720"/>
        <w:jc w:val="both"/>
        <w:rPr>
          <w:rFonts w:ascii="Abadi" w:hAnsi="Abadi"/>
          <w:b/>
          <w:sz w:val="22"/>
          <w:szCs w:val="22"/>
        </w:rPr>
        <w:sectPr w:rsidR="002463F1" w:rsidRPr="0056537E" w:rsidSect="00616111">
          <w:headerReference w:type="even" r:id="rId11"/>
          <w:headerReference w:type="default" r:id="rId12"/>
          <w:footerReference w:type="even" r:id="rId13"/>
          <w:footerReference w:type="default" r:id="rId14"/>
          <w:headerReference w:type="first" r:id="rId15"/>
          <w:footerReference w:type="first" r:id="rId16"/>
          <w:footnotePr>
            <w:pos w:val="beneathText"/>
            <w:numStart w:val="2"/>
          </w:footnotePr>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r>
        <w:rPr>
          <w:rFonts w:ascii="Abadi" w:hAnsi="Abadi"/>
          <w:b/>
          <w:sz w:val="22"/>
          <w:szCs w:val="22"/>
        </w:rPr>
        <w:tab/>
      </w:r>
      <w:r>
        <w:rPr>
          <w:rFonts w:ascii="Abadi" w:hAnsi="Abadi"/>
          <w:b/>
          <w:sz w:val="22"/>
          <w:szCs w:val="22"/>
        </w:rPr>
        <w:tab/>
      </w:r>
      <w:r>
        <w:rPr>
          <w:rFonts w:ascii="Abadi" w:hAnsi="Abadi"/>
          <w:b/>
          <w:sz w:val="22"/>
          <w:szCs w:val="22"/>
        </w:rPr>
        <w:tab/>
      </w:r>
    </w:p>
    <w:p w14:paraId="4BC2908C" w14:textId="2A588518" w:rsidR="0024733C" w:rsidRPr="0066249B" w:rsidRDefault="00B67E56" w:rsidP="0024733C">
      <w:pPr>
        <w:ind w:firstLine="709"/>
        <w:jc w:val="both"/>
        <w:rPr>
          <w:rFonts w:ascii="Abadi" w:hAnsi="Abadi"/>
          <w:b/>
          <w:sz w:val="21"/>
          <w:szCs w:val="21"/>
        </w:rPr>
      </w:pPr>
      <w:r w:rsidRPr="0066249B">
        <w:rPr>
          <w:rFonts w:ascii="Abadi" w:hAnsi="Abadi"/>
          <w:b/>
          <w:sz w:val="21"/>
          <w:szCs w:val="21"/>
        </w:rPr>
        <w:t xml:space="preserve">PODER LEGISLATIVO. SEXAGÉSIMA </w:t>
      </w:r>
      <w:r w:rsidR="00615EB6">
        <w:rPr>
          <w:rFonts w:ascii="Abadi" w:hAnsi="Abadi"/>
          <w:b/>
          <w:sz w:val="21"/>
          <w:szCs w:val="21"/>
        </w:rPr>
        <w:t>QUINTA</w:t>
      </w:r>
      <w:r w:rsidRPr="0066249B">
        <w:rPr>
          <w:rFonts w:ascii="Abadi" w:hAnsi="Abadi"/>
          <w:b/>
          <w:sz w:val="21"/>
          <w:szCs w:val="21"/>
        </w:rPr>
        <w:t xml:space="preserve"> LEGISLATURA DEL CONGRESO DEL ESTADO DE GUANAJUATO. </w:t>
      </w:r>
      <w:r w:rsidR="00EB55CD">
        <w:rPr>
          <w:rFonts w:ascii="Abadi" w:hAnsi="Abadi"/>
          <w:b/>
          <w:sz w:val="21"/>
          <w:szCs w:val="21"/>
        </w:rPr>
        <w:t>SESIÓN ORDINARIA</w:t>
      </w:r>
      <w:r w:rsidRPr="0066249B">
        <w:rPr>
          <w:rFonts w:ascii="Abadi" w:hAnsi="Abadi"/>
          <w:b/>
          <w:sz w:val="21"/>
          <w:szCs w:val="21"/>
        </w:rPr>
        <w:t xml:space="preserve">. PRIMER AÑO DE EJERCICIO CONSTITUCIONAL. </w:t>
      </w:r>
      <w:r w:rsidR="000A0B61">
        <w:rPr>
          <w:rFonts w:ascii="Abadi" w:hAnsi="Abadi"/>
          <w:b/>
          <w:sz w:val="21"/>
          <w:szCs w:val="21"/>
        </w:rPr>
        <w:t>SEGUNDO PERIODO</w:t>
      </w:r>
      <w:r w:rsidRPr="0066249B">
        <w:rPr>
          <w:rFonts w:ascii="Abadi" w:hAnsi="Abadi"/>
          <w:b/>
          <w:sz w:val="21"/>
          <w:szCs w:val="21"/>
        </w:rPr>
        <w:t>.</w:t>
      </w:r>
      <w:r w:rsidR="003F20EB">
        <w:rPr>
          <w:rFonts w:ascii="Abadi" w:hAnsi="Abadi"/>
          <w:b/>
          <w:sz w:val="21"/>
          <w:szCs w:val="21"/>
        </w:rPr>
        <w:t xml:space="preserve"> </w:t>
      </w:r>
      <w:r w:rsidR="008836DA">
        <w:rPr>
          <w:rFonts w:ascii="Abadi" w:hAnsi="Abadi"/>
          <w:b/>
          <w:sz w:val="21"/>
          <w:szCs w:val="21"/>
        </w:rPr>
        <w:t xml:space="preserve">PRESIDENCIA DE LA DIPUTADA IRMA LETICIA </w:t>
      </w:r>
      <w:r w:rsidR="00E11DA1">
        <w:rPr>
          <w:rFonts w:ascii="Abadi" w:hAnsi="Abadi"/>
          <w:b/>
          <w:sz w:val="21"/>
          <w:szCs w:val="21"/>
        </w:rPr>
        <w:t>GONZALÉZ SÁNCHEZ.</w:t>
      </w:r>
      <w:r w:rsidR="00DB6DE2">
        <w:rPr>
          <w:rFonts w:ascii="Abadi" w:hAnsi="Abadi"/>
          <w:b/>
          <w:sz w:val="21"/>
          <w:szCs w:val="21"/>
        </w:rPr>
        <w:t xml:space="preserve"> </w:t>
      </w:r>
      <w:r w:rsidR="003F20EB">
        <w:rPr>
          <w:rFonts w:ascii="Abadi" w:hAnsi="Abadi"/>
          <w:b/>
          <w:sz w:val="21"/>
          <w:szCs w:val="21"/>
        </w:rPr>
        <w:t xml:space="preserve"> </w:t>
      </w:r>
      <w:r w:rsidR="00703A8F">
        <w:rPr>
          <w:rFonts w:ascii="Abadi" w:hAnsi="Abadi"/>
          <w:b/>
          <w:sz w:val="21"/>
          <w:szCs w:val="21"/>
        </w:rPr>
        <w:t>23</w:t>
      </w:r>
      <w:r w:rsidR="001E2B2E">
        <w:rPr>
          <w:rFonts w:ascii="Abadi" w:hAnsi="Abadi"/>
          <w:b/>
          <w:sz w:val="21"/>
          <w:szCs w:val="21"/>
        </w:rPr>
        <w:t xml:space="preserve"> </w:t>
      </w:r>
      <w:r w:rsidR="00736CD3">
        <w:rPr>
          <w:rFonts w:ascii="Abadi" w:hAnsi="Abadi"/>
          <w:b/>
          <w:sz w:val="21"/>
          <w:szCs w:val="21"/>
        </w:rPr>
        <w:t xml:space="preserve">DE </w:t>
      </w:r>
      <w:r w:rsidR="001E2B2E">
        <w:rPr>
          <w:rFonts w:ascii="Abadi" w:hAnsi="Abadi"/>
          <w:b/>
          <w:sz w:val="21"/>
          <w:szCs w:val="21"/>
        </w:rPr>
        <w:t xml:space="preserve">JUNIO </w:t>
      </w:r>
      <w:r w:rsidR="0024726D">
        <w:rPr>
          <w:rFonts w:ascii="Abadi" w:hAnsi="Abadi"/>
          <w:b/>
          <w:sz w:val="21"/>
          <w:szCs w:val="21"/>
        </w:rPr>
        <w:t>D</w:t>
      </w:r>
      <w:r w:rsidR="00736CD3">
        <w:rPr>
          <w:rFonts w:ascii="Abadi" w:hAnsi="Abadi"/>
          <w:b/>
          <w:sz w:val="21"/>
          <w:szCs w:val="21"/>
        </w:rPr>
        <w:t>E 202</w:t>
      </w:r>
      <w:r w:rsidR="003F20EB">
        <w:rPr>
          <w:rFonts w:ascii="Abadi" w:hAnsi="Abadi"/>
          <w:b/>
          <w:sz w:val="21"/>
          <w:szCs w:val="21"/>
        </w:rPr>
        <w:t>2</w:t>
      </w:r>
      <w:r w:rsidR="00BE665D">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80AE5">
        <w:rPr>
          <w:rFonts w:ascii="Abadi" w:hAnsi="Abadi"/>
          <w:b/>
          <w:sz w:val="21"/>
          <w:szCs w:val="21"/>
        </w:rPr>
        <w:t>1</w:t>
      </w:r>
      <w:r w:rsidR="0024733C" w:rsidRPr="0066249B">
        <w:rPr>
          <w:rFonts w:ascii="Abadi" w:hAnsi="Abadi"/>
          <w:b/>
          <w:sz w:val="21"/>
          <w:szCs w:val="21"/>
        </w:rPr>
        <w:t>]</w:t>
      </w:r>
    </w:p>
    <w:p w14:paraId="02303197" w14:textId="6E1B085D" w:rsidR="0024733C" w:rsidRPr="0066249B" w:rsidRDefault="0024733C" w:rsidP="0024733C">
      <w:pPr>
        <w:jc w:val="both"/>
        <w:rPr>
          <w:rFonts w:ascii="Abadi" w:hAnsi="Abadi"/>
          <w:b/>
          <w:sz w:val="21"/>
          <w:szCs w:val="21"/>
        </w:rPr>
      </w:pPr>
    </w:p>
    <w:p w14:paraId="4B0EDFB4" w14:textId="6C12128E" w:rsidR="001C5AED" w:rsidRDefault="001C5AED" w:rsidP="005433FA">
      <w:pPr>
        <w:pStyle w:val="Textoindependiente"/>
        <w:numPr>
          <w:ilvl w:val="0"/>
          <w:numId w:val="8"/>
        </w:numPr>
        <w:kinsoku w:val="0"/>
        <w:overflowPunct w:val="0"/>
        <w:adjustRightInd w:val="0"/>
        <w:spacing w:line="290" w:lineRule="exact"/>
        <w:ind w:left="851" w:right="566"/>
        <w:rPr>
          <w:rFonts w:ascii="Abadi" w:hAnsi="Abadi"/>
          <w:sz w:val="21"/>
          <w:szCs w:val="21"/>
        </w:rPr>
      </w:pPr>
      <w:r w:rsidRPr="00AD79C7">
        <w:rPr>
          <w:rFonts w:ascii="Abadi" w:hAnsi="Abadi"/>
          <w:sz w:val="21"/>
          <w:szCs w:val="21"/>
        </w:rPr>
        <w:t>Lectura y, en su caso, aprobación del orden del día.</w:t>
      </w:r>
    </w:p>
    <w:p w14:paraId="14A8CD51" w14:textId="77777777" w:rsidR="001C5AED" w:rsidRPr="00AD79C7" w:rsidRDefault="001C5AED" w:rsidP="006B00FD">
      <w:pPr>
        <w:pStyle w:val="Textoindependiente"/>
        <w:kinsoku w:val="0"/>
        <w:overflowPunct w:val="0"/>
        <w:spacing w:before="70"/>
        <w:ind w:left="851" w:right="566"/>
        <w:rPr>
          <w:rFonts w:ascii="Abadi" w:hAnsi="Abadi"/>
          <w:sz w:val="21"/>
          <w:szCs w:val="21"/>
        </w:rPr>
      </w:pPr>
    </w:p>
    <w:p w14:paraId="2AD9567F" w14:textId="77777777" w:rsidR="001C5AED" w:rsidRPr="00AD79C7" w:rsidRDefault="001C5AED" w:rsidP="005433FA">
      <w:pPr>
        <w:pStyle w:val="Textoindependiente"/>
        <w:numPr>
          <w:ilvl w:val="0"/>
          <w:numId w:val="8"/>
        </w:numPr>
        <w:kinsoku w:val="0"/>
        <w:overflowPunct w:val="0"/>
        <w:adjustRightInd w:val="0"/>
        <w:spacing w:before="70"/>
        <w:ind w:left="851" w:right="566"/>
        <w:rPr>
          <w:rFonts w:ascii="Abadi" w:hAnsi="Abadi"/>
          <w:sz w:val="21"/>
          <w:szCs w:val="21"/>
        </w:rPr>
      </w:pPr>
      <w:r w:rsidRPr="00AD79C7">
        <w:rPr>
          <w:rFonts w:ascii="Abadi" w:hAnsi="Abadi"/>
          <w:sz w:val="21"/>
          <w:szCs w:val="21"/>
        </w:rPr>
        <w:t>Lectura y, en su caso, aprobación del acta de la sesión ordinaria celebrada 16 de junio del año en curso.</w:t>
      </w:r>
    </w:p>
    <w:p w14:paraId="6ED81735" w14:textId="77777777" w:rsidR="001C5AED" w:rsidRPr="00AD79C7" w:rsidRDefault="001C5AED" w:rsidP="006B00FD">
      <w:pPr>
        <w:kinsoku w:val="0"/>
        <w:overflowPunct w:val="0"/>
        <w:autoSpaceDE w:val="0"/>
        <w:autoSpaceDN w:val="0"/>
        <w:adjustRightInd w:val="0"/>
        <w:spacing w:line="290" w:lineRule="exact"/>
        <w:ind w:left="851" w:right="566" w:firstLine="669"/>
        <w:jc w:val="both"/>
        <w:rPr>
          <w:rFonts w:ascii="Abadi" w:hAnsi="Abadi" w:cs="Arial"/>
          <w:b/>
          <w:bCs/>
          <w:sz w:val="21"/>
          <w:szCs w:val="21"/>
        </w:rPr>
      </w:pPr>
    </w:p>
    <w:p w14:paraId="72FF3A9F" w14:textId="77777777" w:rsidR="001C5AED" w:rsidRPr="00AD79C7" w:rsidRDefault="001C5AED" w:rsidP="005433FA">
      <w:pPr>
        <w:pStyle w:val="Prrafodelista"/>
        <w:numPr>
          <w:ilvl w:val="0"/>
          <w:numId w:val="8"/>
        </w:numPr>
        <w:kinsoku w:val="0"/>
        <w:overflowPunct w:val="0"/>
        <w:autoSpaceDE w:val="0"/>
        <w:autoSpaceDN w:val="0"/>
        <w:adjustRightInd w:val="0"/>
        <w:spacing w:line="290" w:lineRule="exact"/>
        <w:ind w:left="851" w:right="566"/>
        <w:jc w:val="both"/>
        <w:rPr>
          <w:rFonts w:ascii="Abadi" w:hAnsi="Abadi"/>
          <w:b/>
          <w:bCs/>
          <w:sz w:val="21"/>
          <w:szCs w:val="21"/>
        </w:rPr>
      </w:pPr>
      <w:r w:rsidRPr="00AD79C7">
        <w:rPr>
          <w:rFonts w:ascii="Abadi" w:hAnsi="Abadi"/>
          <w:b/>
          <w:bCs/>
          <w:sz w:val="21"/>
          <w:szCs w:val="21"/>
        </w:rPr>
        <w:t>Dar cuenta con las comunicaciones y correspondencia recibidas.</w:t>
      </w:r>
    </w:p>
    <w:p w14:paraId="4478D508" w14:textId="77777777" w:rsidR="001C5AED" w:rsidRPr="00AD79C7" w:rsidRDefault="001C5AED" w:rsidP="006B00FD">
      <w:pPr>
        <w:pStyle w:val="Prrafodelista"/>
        <w:ind w:left="851" w:right="566"/>
        <w:rPr>
          <w:rFonts w:ascii="Abadi" w:hAnsi="Abadi"/>
          <w:b/>
          <w:bCs/>
          <w:sz w:val="21"/>
          <w:szCs w:val="21"/>
        </w:rPr>
      </w:pPr>
    </w:p>
    <w:p w14:paraId="6A9163B4" w14:textId="77777777" w:rsidR="001C5AED" w:rsidRPr="00AD79C7" w:rsidRDefault="001C5AED" w:rsidP="005433FA">
      <w:pPr>
        <w:pStyle w:val="Prrafodelista"/>
        <w:numPr>
          <w:ilvl w:val="0"/>
          <w:numId w:val="8"/>
        </w:numPr>
        <w:tabs>
          <w:tab w:val="left" w:pos="845"/>
        </w:tabs>
        <w:kinsoku w:val="0"/>
        <w:overflowPunct w:val="0"/>
        <w:autoSpaceDE w:val="0"/>
        <w:autoSpaceDN w:val="0"/>
        <w:adjustRightInd w:val="0"/>
        <w:spacing w:before="130"/>
        <w:ind w:left="851" w:right="566"/>
        <w:jc w:val="both"/>
        <w:rPr>
          <w:rFonts w:ascii="Abadi" w:hAnsi="Abadi"/>
          <w:b/>
          <w:bCs/>
          <w:sz w:val="21"/>
          <w:szCs w:val="21"/>
        </w:rPr>
      </w:pPr>
      <w:r w:rsidRPr="00AD79C7">
        <w:rPr>
          <w:rFonts w:ascii="Abadi" w:hAnsi="Abadi"/>
          <w:b/>
          <w:bCs/>
          <w:sz w:val="21"/>
          <w:szCs w:val="21"/>
        </w:rPr>
        <w:t>Protesta de la ciudadana Brenda Paulina Hernández González como titular del</w:t>
      </w:r>
      <w:r w:rsidRPr="00AD79C7">
        <w:rPr>
          <w:rFonts w:ascii="Abadi" w:hAnsi="Abadi"/>
          <w:b/>
          <w:bCs/>
          <w:spacing w:val="75"/>
          <w:w w:val="150"/>
          <w:sz w:val="21"/>
          <w:szCs w:val="21"/>
        </w:rPr>
        <w:t xml:space="preserve"> </w:t>
      </w:r>
      <w:r w:rsidRPr="00AD79C7">
        <w:rPr>
          <w:rFonts w:ascii="Abadi" w:hAnsi="Abadi"/>
          <w:b/>
          <w:bCs/>
          <w:sz w:val="21"/>
          <w:szCs w:val="21"/>
        </w:rPr>
        <w:t>Órgano</w:t>
      </w:r>
      <w:r w:rsidRPr="00AD79C7">
        <w:rPr>
          <w:rFonts w:ascii="Abadi" w:hAnsi="Abadi"/>
          <w:b/>
          <w:bCs/>
          <w:spacing w:val="76"/>
          <w:w w:val="150"/>
          <w:sz w:val="21"/>
          <w:szCs w:val="21"/>
        </w:rPr>
        <w:t xml:space="preserve"> </w:t>
      </w:r>
      <w:r w:rsidRPr="00AD79C7">
        <w:rPr>
          <w:rFonts w:ascii="Abadi" w:hAnsi="Abadi"/>
          <w:b/>
          <w:bCs/>
          <w:sz w:val="21"/>
          <w:szCs w:val="21"/>
        </w:rPr>
        <w:t>Interno</w:t>
      </w:r>
      <w:r w:rsidRPr="00AD79C7">
        <w:rPr>
          <w:rFonts w:ascii="Abadi" w:hAnsi="Abadi"/>
          <w:b/>
          <w:bCs/>
          <w:spacing w:val="76"/>
          <w:w w:val="150"/>
          <w:sz w:val="21"/>
          <w:szCs w:val="21"/>
        </w:rPr>
        <w:t xml:space="preserve"> </w:t>
      </w:r>
      <w:r w:rsidRPr="00AD79C7">
        <w:rPr>
          <w:rFonts w:ascii="Abadi" w:hAnsi="Abadi"/>
          <w:b/>
          <w:bCs/>
          <w:sz w:val="21"/>
          <w:szCs w:val="21"/>
        </w:rPr>
        <w:t>de</w:t>
      </w:r>
      <w:r w:rsidRPr="00AD79C7">
        <w:rPr>
          <w:rFonts w:ascii="Abadi" w:hAnsi="Abadi"/>
          <w:b/>
          <w:bCs/>
          <w:spacing w:val="76"/>
          <w:w w:val="150"/>
          <w:sz w:val="21"/>
          <w:szCs w:val="21"/>
        </w:rPr>
        <w:t xml:space="preserve"> </w:t>
      </w:r>
      <w:r w:rsidRPr="00AD79C7">
        <w:rPr>
          <w:rFonts w:ascii="Abadi" w:hAnsi="Abadi"/>
          <w:b/>
          <w:bCs/>
          <w:sz w:val="21"/>
          <w:szCs w:val="21"/>
        </w:rPr>
        <w:t>Control</w:t>
      </w:r>
      <w:r w:rsidRPr="00AD79C7">
        <w:rPr>
          <w:rFonts w:ascii="Abadi" w:hAnsi="Abadi"/>
          <w:b/>
          <w:bCs/>
          <w:spacing w:val="75"/>
          <w:w w:val="150"/>
          <w:sz w:val="21"/>
          <w:szCs w:val="21"/>
        </w:rPr>
        <w:t xml:space="preserve"> </w:t>
      </w:r>
      <w:r w:rsidRPr="00AD79C7">
        <w:rPr>
          <w:rFonts w:ascii="Abadi" w:hAnsi="Abadi"/>
          <w:b/>
          <w:bCs/>
          <w:sz w:val="21"/>
          <w:szCs w:val="21"/>
        </w:rPr>
        <w:t>del</w:t>
      </w:r>
      <w:r w:rsidRPr="00AD79C7">
        <w:rPr>
          <w:rFonts w:ascii="Abadi" w:hAnsi="Abadi"/>
          <w:b/>
          <w:bCs/>
          <w:spacing w:val="76"/>
          <w:w w:val="150"/>
          <w:sz w:val="21"/>
          <w:szCs w:val="21"/>
        </w:rPr>
        <w:t xml:space="preserve"> </w:t>
      </w:r>
      <w:r w:rsidRPr="00AD79C7">
        <w:rPr>
          <w:rFonts w:ascii="Abadi" w:hAnsi="Abadi"/>
          <w:b/>
          <w:bCs/>
          <w:sz w:val="21"/>
          <w:szCs w:val="21"/>
        </w:rPr>
        <w:t>Instituto</w:t>
      </w:r>
      <w:r w:rsidRPr="00AD79C7">
        <w:rPr>
          <w:rFonts w:ascii="Abadi" w:hAnsi="Abadi"/>
          <w:b/>
          <w:bCs/>
          <w:spacing w:val="76"/>
          <w:w w:val="150"/>
          <w:sz w:val="21"/>
          <w:szCs w:val="21"/>
        </w:rPr>
        <w:t xml:space="preserve"> </w:t>
      </w:r>
      <w:r w:rsidRPr="00AD79C7">
        <w:rPr>
          <w:rFonts w:ascii="Abadi" w:hAnsi="Abadi"/>
          <w:b/>
          <w:bCs/>
          <w:sz w:val="21"/>
          <w:szCs w:val="21"/>
        </w:rPr>
        <w:t>Electoral</w:t>
      </w:r>
      <w:r w:rsidRPr="00AD79C7">
        <w:rPr>
          <w:rFonts w:ascii="Abadi" w:hAnsi="Abadi"/>
          <w:b/>
          <w:bCs/>
          <w:spacing w:val="76"/>
          <w:w w:val="150"/>
          <w:sz w:val="21"/>
          <w:szCs w:val="21"/>
        </w:rPr>
        <w:t xml:space="preserve"> </w:t>
      </w:r>
      <w:r w:rsidRPr="00AD79C7">
        <w:rPr>
          <w:rFonts w:ascii="Abadi" w:hAnsi="Abadi"/>
          <w:b/>
          <w:bCs/>
          <w:sz w:val="21"/>
          <w:szCs w:val="21"/>
        </w:rPr>
        <w:t>del</w:t>
      </w:r>
      <w:r w:rsidRPr="00AD79C7">
        <w:rPr>
          <w:rFonts w:ascii="Abadi" w:hAnsi="Abadi"/>
          <w:b/>
          <w:bCs/>
          <w:spacing w:val="75"/>
          <w:w w:val="150"/>
          <w:sz w:val="21"/>
          <w:szCs w:val="21"/>
        </w:rPr>
        <w:t xml:space="preserve"> </w:t>
      </w:r>
      <w:r w:rsidRPr="00AD79C7">
        <w:rPr>
          <w:rFonts w:ascii="Abadi" w:hAnsi="Abadi"/>
          <w:b/>
          <w:bCs/>
          <w:sz w:val="21"/>
          <w:szCs w:val="21"/>
        </w:rPr>
        <w:t>Estado</w:t>
      </w:r>
      <w:r w:rsidRPr="00AD79C7">
        <w:rPr>
          <w:rFonts w:ascii="Abadi" w:hAnsi="Abadi"/>
          <w:b/>
          <w:bCs/>
          <w:spacing w:val="76"/>
          <w:w w:val="150"/>
          <w:sz w:val="21"/>
          <w:szCs w:val="21"/>
        </w:rPr>
        <w:t xml:space="preserve"> </w:t>
      </w:r>
      <w:r w:rsidRPr="00AD79C7">
        <w:rPr>
          <w:rFonts w:ascii="Abadi" w:hAnsi="Abadi"/>
          <w:b/>
          <w:bCs/>
          <w:sz w:val="21"/>
          <w:szCs w:val="21"/>
        </w:rPr>
        <w:t>de Guanajuato</w:t>
      </w:r>
      <w:r w:rsidRPr="00AD79C7">
        <w:rPr>
          <w:rFonts w:ascii="Abadi" w:hAnsi="Abadi"/>
          <w:b/>
          <w:bCs/>
          <w:spacing w:val="9"/>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ciudadana</w:t>
      </w:r>
      <w:r w:rsidRPr="00AD79C7">
        <w:rPr>
          <w:rFonts w:ascii="Abadi" w:hAnsi="Abadi"/>
          <w:b/>
          <w:bCs/>
          <w:spacing w:val="10"/>
          <w:sz w:val="21"/>
          <w:szCs w:val="21"/>
        </w:rPr>
        <w:t xml:space="preserve"> </w:t>
      </w:r>
      <w:r w:rsidRPr="00AD79C7">
        <w:rPr>
          <w:rFonts w:ascii="Abadi" w:hAnsi="Abadi"/>
          <w:b/>
          <w:bCs/>
          <w:sz w:val="21"/>
          <w:szCs w:val="21"/>
        </w:rPr>
        <w:t>Ma</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Lourdes</w:t>
      </w:r>
      <w:r w:rsidRPr="00AD79C7">
        <w:rPr>
          <w:rFonts w:ascii="Abadi" w:hAnsi="Abadi"/>
          <w:b/>
          <w:bCs/>
          <w:spacing w:val="10"/>
          <w:sz w:val="21"/>
          <w:szCs w:val="21"/>
        </w:rPr>
        <w:t xml:space="preserve"> </w:t>
      </w:r>
      <w:r w:rsidRPr="00AD79C7">
        <w:rPr>
          <w:rFonts w:ascii="Abadi" w:hAnsi="Abadi"/>
          <w:b/>
          <w:bCs/>
          <w:sz w:val="21"/>
          <w:szCs w:val="21"/>
        </w:rPr>
        <w:t>López</w:t>
      </w:r>
      <w:r w:rsidRPr="00AD79C7">
        <w:rPr>
          <w:rFonts w:ascii="Abadi" w:hAnsi="Abadi"/>
          <w:b/>
          <w:bCs/>
          <w:spacing w:val="10"/>
          <w:sz w:val="21"/>
          <w:szCs w:val="21"/>
        </w:rPr>
        <w:t xml:space="preserve"> </w:t>
      </w:r>
      <w:r w:rsidRPr="00AD79C7">
        <w:rPr>
          <w:rFonts w:ascii="Abadi" w:hAnsi="Abadi"/>
          <w:b/>
          <w:bCs/>
          <w:sz w:val="21"/>
          <w:szCs w:val="21"/>
        </w:rPr>
        <w:t>Ramírez,</w:t>
      </w:r>
      <w:r w:rsidRPr="00AD79C7">
        <w:rPr>
          <w:rFonts w:ascii="Abadi" w:hAnsi="Abadi"/>
          <w:b/>
          <w:bCs/>
          <w:spacing w:val="9"/>
          <w:sz w:val="21"/>
          <w:szCs w:val="21"/>
        </w:rPr>
        <w:t xml:space="preserve"> </w:t>
      </w:r>
      <w:r w:rsidRPr="00AD79C7">
        <w:rPr>
          <w:rFonts w:ascii="Abadi" w:hAnsi="Abadi"/>
          <w:b/>
          <w:bCs/>
          <w:sz w:val="21"/>
          <w:szCs w:val="21"/>
        </w:rPr>
        <w:t>como</w:t>
      </w:r>
      <w:r w:rsidRPr="00AD79C7">
        <w:rPr>
          <w:rFonts w:ascii="Abadi" w:hAnsi="Abadi"/>
          <w:b/>
          <w:bCs/>
          <w:spacing w:val="10"/>
          <w:sz w:val="21"/>
          <w:szCs w:val="21"/>
        </w:rPr>
        <w:t xml:space="preserve"> </w:t>
      </w:r>
      <w:r w:rsidRPr="00AD79C7">
        <w:rPr>
          <w:rFonts w:ascii="Abadi" w:hAnsi="Abadi"/>
          <w:b/>
          <w:bCs/>
          <w:sz w:val="21"/>
          <w:szCs w:val="21"/>
        </w:rPr>
        <w:t>titular del</w:t>
      </w:r>
      <w:r w:rsidRPr="00AD79C7">
        <w:rPr>
          <w:rFonts w:ascii="Abadi" w:hAnsi="Abadi"/>
          <w:b/>
          <w:bCs/>
          <w:spacing w:val="59"/>
          <w:sz w:val="21"/>
          <w:szCs w:val="21"/>
        </w:rPr>
        <w:t xml:space="preserve"> </w:t>
      </w:r>
      <w:r w:rsidRPr="00AD79C7">
        <w:rPr>
          <w:rFonts w:ascii="Abadi" w:hAnsi="Abadi"/>
          <w:b/>
          <w:bCs/>
          <w:sz w:val="21"/>
          <w:szCs w:val="21"/>
        </w:rPr>
        <w:t>Órgano</w:t>
      </w:r>
      <w:r w:rsidRPr="00AD79C7">
        <w:rPr>
          <w:rFonts w:ascii="Abadi" w:hAnsi="Abadi"/>
          <w:b/>
          <w:bCs/>
          <w:spacing w:val="59"/>
          <w:sz w:val="21"/>
          <w:szCs w:val="21"/>
        </w:rPr>
        <w:t xml:space="preserve"> </w:t>
      </w:r>
      <w:r w:rsidRPr="00AD79C7">
        <w:rPr>
          <w:rFonts w:ascii="Abadi" w:hAnsi="Abadi"/>
          <w:b/>
          <w:bCs/>
          <w:sz w:val="21"/>
          <w:szCs w:val="21"/>
        </w:rPr>
        <w:t>Interno</w:t>
      </w:r>
      <w:r w:rsidRPr="00AD79C7">
        <w:rPr>
          <w:rFonts w:ascii="Abadi" w:hAnsi="Abadi"/>
          <w:b/>
          <w:bCs/>
          <w:spacing w:val="59"/>
          <w:sz w:val="21"/>
          <w:szCs w:val="21"/>
        </w:rPr>
        <w:t xml:space="preserve"> </w:t>
      </w:r>
      <w:r w:rsidRPr="00AD79C7">
        <w:rPr>
          <w:rFonts w:ascii="Abadi" w:hAnsi="Abadi"/>
          <w:b/>
          <w:bCs/>
          <w:sz w:val="21"/>
          <w:szCs w:val="21"/>
        </w:rPr>
        <w:t>de</w:t>
      </w:r>
      <w:r w:rsidRPr="00AD79C7">
        <w:rPr>
          <w:rFonts w:ascii="Abadi" w:hAnsi="Abadi"/>
          <w:b/>
          <w:bCs/>
          <w:spacing w:val="59"/>
          <w:sz w:val="21"/>
          <w:szCs w:val="21"/>
        </w:rPr>
        <w:t xml:space="preserve"> </w:t>
      </w:r>
      <w:r w:rsidRPr="00AD79C7">
        <w:rPr>
          <w:rFonts w:ascii="Abadi" w:hAnsi="Abadi"/>
          <w:b/>
          <w:bCs/>
          <w:sz w:val="21"/>
          <w:szCs w:val="21"/>
        </w:rPr>
        <w:t>Control</w:t>
      </w:r>
      <w:r w:rsidRPr="00AD79C7">
        <w:rPr>
          <w:rFonts w:ascii="Abadi" w:hAnsi="Abadi"/>
          <w:b/>
          <w:bCs/>
          <w:spacing w:val="58"/>
          <w:sz w:val="21"/>
          <w:szCs w:val="21"/>
        </w:rPr>
        <w:t xml:space="preserve"> </w:t>
      </w:r>
      <w:r w:rsidRPr="00AD79C7">
        <w:rPr>
          <w:rFonts w:ascii="Abadi" w:hAnsi="Abadi"/>
          <w:b/>
          <w:bCs/>
          <w:sz w:val="21"/>
          <w:szCs w:val="21"/>
        </w:rPr>
        <w:t>del</w:t>
      </w:r>
      <w:r w:rsidRPr="00AD79C7">
        <w:rPr>
          <w:rFonts w:ascii="Abadi" w:hAnsi="Abadi"/>
          <w:b/>
          <w:bCs/>
          <w:spacing w:val="59"/>
          <w:sz w:val="21"/>
          <w:szCs w:val="21"/>
        </w:rPr>
        <w:t xml:space="preserve"> </w:t>
      </w:r>
      <w:r w:rsidRPr="00AD79C7">
        <w:rPr>
          <w:rFonts w:ascii="Abadi" w:hAnsi="Abadi"/>
          <w:b/>
          <w:bCs/>
          <w:sz w:val="21"/>
          <w:szCs w:val="21"/>
        </w:rPr>
        <w:t>Instituto</w:t>
      </w:r>
      <w:r w:rsidRPr="00AD79C7">
        <w:rPr>
          <w:rFonts w:ascii="Abadi" w:hAnsi="Abadi"/>
          <w:b/>
          <w:bCs/>
          <w:spacing w:val="59"/>
          <w:sz w:val="21"/>
          <w:szCs w:val="21"/>
        </w:rPr>
        <w:t xml:space="preserve"> </w:t>
      </w:r>
      <w:r w:rsidRPr="00AD79C7">
        <w:rPr>
          <w:rFonts w:ascii="Abadi" w:hAnsi="Abadi"/>
          <w:b/>
          <w:bCs/>
          <w:sz w:val="21"/>
          <w:szCs w:val="21"/>
        </w:rPr>
        <w:t>de</w:t>
      </w:r>
      <w:r w:rsidRPr="00AD79C7">
        <w:rPr>
          <w:rFonts w:ascii="Abadi" w:hAnsi="Abadi"/>
          <w:b/>
          <w:bCs/>
          <w:spacing w:val="59"/>
          <w:sz w:val="21"/>
          <w:szCs w:val="21"/>
        </w:rPr>
        <w:t xml:space="preserve"> </w:t>
      </w:r>
      <w:r w:rsidRPr="00AD79C7">
        <w:rPr>
          <w:rFonts w:ascii="Abadi" w:hAnsi="Abadi"/>
          <w:b/>
          <w:bCs/>
          <w:sz w:val="21"/>
          <w:szCs w:val="21"/>
        </w:rPr>
        <w:t>Acceso</w:t>
      </w:r>
      <w:r w:rsidRPr="00AD79C7">
        <w:rPr>
          <w:rFonts w:ascii="Abadi" w:hAnsi="Abadi"/>
          <w:b/>
          <w:bCs/>
          <w:spacing w:val="59"/>
          <w:sz w:val="21"/>
          <w:szCs w:val="21"/>
        </w:rPr>
        <w:t xml:space="preserve"> </w:t>
      </w:r>
      <w:r w:rsidRPr="00AD79C7">
        <w:rPr>
          <w:rFonts w:ascii="Abadi" w:hAnsi="Abadi"/>
          <w:b/>
          <w:bCs/>
          <w:sz w:val="21"/>
          <w:szCs w:val="21"/>
        </w:rPr>
        <w:t>a</w:t>
      </w:r>
      <w:r w:rsidRPr="00AD79C7">
        <w:rPr>
          <w:rFonts w:ascii="Abadi" w:hAnsi="Abadi"/>
          <w:b/>
          <w:bCs/>
          <w:spacing w:val="59"/>
          <w:sz w:val="21"/>
          <w:szCs w:val="21"/>
        </w:rPr>
        <w:t xml:space="preserve"> </w:t>
      </w:r>
      <w:r w:rsidRPr="00AD79C7">
        <w:rPr>
          <w:rFonts w:ascii="Abadi" w:hAnsi="Abadi"/>
          <w:b/>
          <w:bCs/>
          <w:sz w:val="21"/>
          <w:szCs w:val="21"/>
        </w:rPr>
        <w:t>la</w:t>
      </w:r>
      <w:r w:rsidRPr="00AD79C7">
        <w:rPr>
          <w:rFonts w:ascii="Abadi" w:hAnsi="Abadi"/>
          <w:b/>
          <w:bCs/>
          <w:spacing w:val="59"/>
          <w:sz w:val="21"/>
          <w:szCs w:val="21"/>
        </w:rPr>
        <w:t xml:space="preserve"> </w:t>
      </w:r>
      <w:r w:rsidRPr="00AD79C7">
        <w:rPr>
          <w:rFonts w:ascii="Abadi" w:hAnsi="Abadi"/>
          <w:b/>
          <w:bCs/>
          <w:sz w:val="21"/>
          <w:szCs w:val="21"/>
        </w:rPr>
        <w:t>Información Pública para el Estado de Guanajuato.</w:t>
      </w:r>
    </w:p>
    <w:p w14:paraId="66AADB63" w14:textId="77777777" w:rsidR="001C5AED" w:rsidRPr="00AD79C7" w:rsidRDefault="001C5AED" w:rsidP="006B00FD">
      <w:pPr>
        <w:kinsoku w:val="0"/>
        <w:overflowPunct w:val="0"/>
        <w:autoSpaceDE w:val="0"/>
        <w:autoSpaceDN w:val="0"/>
        <w:adjustRightInd w:val="0"/>
        <w:ind w:left="851" w:right="566"/>
        <w:jc w:val="both"/>
        <w:rPr>
          <w:rFonts w:ascii="Abadi" w:hAnsi="Abadi" w:cs="Arial"/>
          <w:b/>
          <w:bCs/>
          <w:sz w:val="21"/>
          <w:szCs w:val="21"/>
        </w:rPr>
      </w:pPr>
    </w:p>
    <w:p w14:paraId="43AF4D7D" w14:textId="77777777" w:rsidR="001C5AED" w:rsidRPr="00AD79C7" w:rsidRDefault="001C5AED" w:rsidP="005433FA">
      <w:pPr>
        <w:pStyle w:val="Prrafodelista"/>
        <w:numPr>
          <w:ilvl w:val="0"/>
          <w:numId w:val="8"/>
        </w:numPr>
        <w:tabs>
          <w:tab w:val="left" w:pos="856"/>
        </w:tabs>
        <w:kinsoku w:val="0"/>
        <w:overflowPunct w:val="0"/>
        <w:autoSpaceDE w:val="0"/>
        <w:autoSpaceDN w:val="0"/>
        <w:adjustRightInd w:val="0"/>
        <w:ind w:left="851" w:right="566"/>
        <w:jc w:val="both"/>
        <w:rPr>
          <w:rFonts w:ascii="Abadi" w:hAnsi="Abadi"/>
          <w:b/>
          <w:bCs/>
          <w:sz w:val="21"/>
          <w:szCs w:val="21"/>
        </w:rPr>
      </w:pPr>
      <w:r w:rsidRPr="00AD79C7">
        <w:rPr>
          <w:rFonts w:ascii="Abadi" w:hAnsi="Abadi"/>
          <w:b/>
          <w:bCs/>
          <w:sz w:val="21"/>
          <w:szCs w:val="21"/>
        </w:rPr>
        <w:t>Presentación</w:t>
      </w:r>
      <w:r w:rsidRPr="00AD79C7">
        <w:rPr>
          <w:rFonts w:ascii="Abadi" w:hAnsi="Abadi"/>
          <w:b/>
          <w:bCs/>
          <w:spacing w:val="-5"/>
          <w:sz w:val="21"/>
          <w:szCs w:val="21"/>
        </w:rPr>
        <w:t xml:space="preserve"> </w:t>
      </w:r>
      <w:r w:rsidRPr="00AD79C7">
        <w:rPr>
          <w:rFonts w:ascii="Abadi" w:hAnsi="Abadi"/>
          <w:b/>
          <w:bCs/>
          <w:sz w:val="21"/>
          <w:szCs w:val="21"/>
        </w:rPr>
        <w:t>de</w:t>
      </w:r>
      <w:r w:rsidRPr="00AD79C7">
        <w:rPr>
          <w:rFonts w:ascii="Abadi" w:hAnsi="Abadi"/>
          <w:b/>
          <w:bCs/>
          <w:spacing w:val="-5"/>
          <w:sz w:val="21"/>
          <w:szCs w:val="21"/>
        </w:rPr>
        <w:t xml:space="preserve"> </w:t>
      </w:r>
      <w:r w:rsidRPr="00AD79C7">
        <w:rPr>
          <w:rFonts w:ascii="Abadi" w:hAnsi="Abadi"/>
          <w:b/>
          <w:bCs/>
          <w:sz w:val="21"/>
          <w:szCs w:val="21"/>
        </w:rPr>
        <w:t>la</w:t>
      </w:r>
      <w:r w:rsidRPr="00AD79C7">
        <w:rPr>
          <w:rFonts w:ascii="Abadi" w:hAnsi="Abadi"/>
          <w:b/>
          <w:bCs/>
          <w:spacing w:val="-5"/>
          <w:sz w:val="21"/>
          <w:szCs w:val="21"/>
        </w:rPr>
        <w:t xml:space="preserve"> </w:t>
      </w:r>
      <w:r w:rsidRPr="00AD79C7">
        <w:rPr>
          <w:rFonts w:ascii="Abadi" w:hAnsi="Abadi"/>
          <w:b/>
          <w:bCs/>
          <w:sz w:val="21"/>
          <w:szCs w:val="21"/>
        </w:rPr>
        <w:t>iniciativa</w:t>
      </w:r>
      <w:r w:rsidRPr="00AD79C7">
        <w:rPr>
          <w:rFonts w:ascii="Abadi" w:hAnsi="Abadi"/>
          <w:b/>
          <w:bCs/>
          <w:spacing w:val="-5"/>
          <w:sz w:val="21"/>
          <w:szCs w:val="21"/>
        </w:rPr>
        <w:t xml:space="preserve"> </w:t>
      </w:r>
      <w:r w:rsidRPr="00AD79C7">
        <w:rPr>
          <w:rFonts w:ascii="Abadi" w:hAnsi="Abadi"/>
          <w:b/>
          <w:bCs/>
          <w:sz w:val="21"/>
          <w:szCs w:val="21"/>
        </w:rPr>
        <w:t>formulada</w:t>
      </w:r>
      <w:r w:rsidRPr="00AD79C7">
        <w:rPr>
          <w:rFonts w:ascii="Abadi" w:hAnsi="Abadi"/>
          <w:b/>
          <w:bCs/>
          <w:spacing w:val="-5"/>
          <w:sz w:val="21"/>
          <w:szCs w:val="21"/>
        </w:rPr>
        <w:t xml:space="preserve"> </w:t>
      </w:r>
      <w:r w:rsidRPr="00AD79C7">
        <w:rPr>
          <w:rFonts w:ascii="Abadi" w:hAnsi="Abadi"/>
          <w:b/>
          <w:bCs/>
          <w:sz w:val="21"/>
          <w:szCs w:val="21"/>
        </w:rPr>
        <w:t>por</w:t>
      </w:r>
      <w:r w:rsidRPr="00AD79C7">
        <w:rPr>
          <w:rFonts w:ascii="Abadi" w:hAnsi="Abadi"/>
          <w:b/>
          <w:bCs/>
          <w:spacing w:val="-5"/>
          <w:sz w:val="21"/>
          <w:szCs w:val="21"/>
        </w:rPr>
        <w:t xml:space="preserve"> </w:t>
      </w:r>
      <w:r w:rsidRPr="00AD79C7">
        <w:rPr>
          <w:rFonts w:ascii="Abadi" w:hAnsi="Abadi"/>
          <w:b/>
          <w:bCs/>
          <w:sz w:val="21"/>
          <w:szCs w:val="21"/>
        </w:rPr>
        <w:t>diputada</w:t>
      </w:r>
      <w:r w:rsidRPr="00AD79C7">
        <w:rPr>
          <w:rFonts w:ascii="Abadi" w:hAnsi="Abadi"/>
          <w:b/>
          <w:bCs/>
          <w:spacing w:val="-5"/>
          <w:sz w:val="21"/>
          <w:szCs w:val="21"/>
        </w:rPr>
        <w:t xml:space="preserve"> </w:t>
      </w:r>
      <w:r w:rsidRPr="00AD79C7">
        <w:rPr>
          <w:rFonts w:ascii="Abadi" w:hAnsi="Abadi"/>
          <w:b/>
          <w:bCs/>
          <w:sz w:val="21"/>
          <w:szCs w:val="21"/>
        </w:rPr>
        <w:t>y</w:t>
      </w:r>
      <w:r w:rsidRPr="00AD79C7">
        <w:rPr>
          <w:rFonts w:ascii="Abadi" w:hAnsi="Abadi"/>
          <w:b/>
          <w:bCs/>
          <w:spacing w:val="-5"/>
          <w:sz w:val="21"/>
          <w:szCs w:val="21"/>
        </w:rPr>
        <w:t xml:space="preserve"> </w:t>
      </w:r>
      <w:r w:rsidRPr="00AD79C7">
        <w:rPr>
          <w:rFonts w:ascii="Abadi" w:hAnsi="Abadi"/>
          <w:b/>
          <w:bCs/>
          <w:sz w:val="21"/>
          <w:szCs w:val="21"/>
        </w:rPr>
        <w:t>diputados</w:t>
      </w:r>
      <w:r w:rsidRPr="00AD79C7">
        <w:rPr>
          <w:rFonts w:ascii="Abadi" w:hAnsi="Abadi"/>
          <w:b/>
          <w:bCs/>
          <w:spacing w:val="-5"/>
          <w:sz w:val="21"/>
          <w:szCs w:val="21"/>
        </w:rPr>
        <w:t xml:space="preserve"> </w:t>
      </w:r>
      <w:r w:rsidRPr="00AD79C7">
        <w:rPr>
          <w:rFonts w:ascii="Abadi" w:hAnsi="Abadi"/>
          <w:b/>
          <w:bCs/>
          <w:sz w:val="21"/>
          <w:szCs w:val="21"/>
        </w:rPr>
        <w:t>integrantes del</w:t>
      </w:r>
      <w:r w:rsidRPr="00AD79C7">
        <w:rPr>
          <w:rFonts w:ascii="Abadi" w:hAnsi="Abadi"/>
          <w:b/>
          <w:bCs/>
          <w:spacing w:val="-6"/>
          <w:sz w:val="21"/>
          <w:szCs w:val="21"/>
        </w:rPr>
        <w:t xml:space="preserve"> </w:t>
      </w:r>
      <w:r w:rsidRPr="00AD79C7">
        <w:rPr>
          <w:rFonts w:ascii="Abadi" w:hAnsi="Abadi"/>
          <w:b/>
          <w:bCs/>
          <w:sz w:val="21"/>
          <w:szCs w:val="21"/>
        </w:rPr>
        <w:t>Grupo</w:t>
      </w:r>
      <w:r w:rsidRPr="00AD79C7">
        <w:rPr>
          <w:rFonts w:ascii="Abadi" w:hAnsi="Abadi"/>
          <w:b/>
          <w:bCs/>
          <w:spacing w:val="-6"/>
          <w:sz w:val="21"/>
          <w:szCs w:val="21"/>
        </w:rPr>
        <w:t xml:space="preserve"> </w:t>
      </w:r>
      <w:r w:rsidRPr="00AD79C7">
        <w:rPr>
          <w:rFonts w:ascii="Abadi" w:hAnsi="Abadi"/>
          <w:b/>
          <w:bCs/>
          <w:sz w:val="21"/>
          <w:szCs w:val="21"/>
        </w:rPr>
        <w:t>Parlamentario</w:t>
      </w:r>
      <w:r w:rsidRPr="00AD79C7">
        <w:rPr>
          <w:rFonts w:ascii="Abadi" w:hAnsi="Abadi"/>
          <w:b/>
          <w:bCs/>
          <w:spacing w:val="-6"/>
          <w:sz w:val="21"/>
          <w:szCs w:val="21"/>
        </w:rPr>
        <w:t xml:space="preserve"> </w:t>
      </w:r>
      <w:r w:rsidRPr="00AD79C7">
        <w:rPr>
          <w:rFonts w:ascii="Abadi" w:hAnsi="Abadi"/>
          <w:b/>
          <w:bCs/>
          <w:sz w:val="21"/>
          <w:szCs w:val="21"/>
        </w:rPr>
        <w:t>del</w:t>
      </w:r>
      <w:r w:rsidRPr="00AD79C7">
        <w:rPr>
          <w:rFonts w:ascii="Abadi" w:hAnsi="Abadi"/>
          <w:b/>
          <w:bCs/>
          <w:spacing w:val="-6"/>
          <w:sz w:val="21"/>
          <w:szCs w:val="21"/>
        </w:rPr>
        <w:t xml:space="preserve"> </w:t>
      </w:r>
      <w:r w:rsidRPr="00AD79C7">
        <w:rPr>
          <w:rFonts w:ascii="Abadi" w:hAnsi="Abadi"/>
          <w:b/>
          <w:bCs/>
          <w:sz w:val="21"/>
          <w:szCs w:val="21"/>
        </w:rPr>
        <w:t>Partido</w:t>
      </w:r>
      <w:r w:rsidRPr="00AD79C7">
        <w:rPr>
          <w:rFonts w:ascii="Abadi" w:hAnsi="Abadi"/>
          <w:b/>
          <w:bCs/>
          <w:spacing w:val="-6"/>
          <w:sz w:val="21"/>
          <w:szCs w:val="21"/>
        </w:rPr>
        <w:t xml:space="preserve"> </w:t>
      </w:r>
      <w:r w:rsidRPr="00AD79C7">
        <w:rPr>
          <w:rFonts w:ascii="Abadi" w:hAnsi="Abadi"/>
          <w:b/>
          <w:bCs/>
          <w:sz w:val="21"/>
          <w:szCs w:val="21"/>
        </w:rPr>
        <w:t>Revolucionario</w:t>
      </w:r>
      <w:r w:rsidRPr="00AD79C7">
        <w:rPr>
          <w:rFonts w:ascii="Abadi" w:hAnsi="Abadi"/>
          <w:b/>
          <w:bCs/>
          <w:spacing w:val="-6"/>
          <w:sz w:val="21"/>
          <w:szCs w:val="21"/>
        </w:rPr>
        <w:t xml:space="preserve"> </w:t>
      </w:r>
      <w:r w:rsidRPr="00AD79C7">
        <w:rPr>
          <w:rFonts w:ascii="Abadi" w:hAnsi="Abadi"/>
          <w:b/>
          <w:bCs/>
          <w:sz w:val="21"/>
          <w:szCs w:val="21"/>
        </w:rPr>
        <w:t>Institucional</w:t>
      </w:r>
      <w:r w:rsidRPr="00AD79C7">
        <w:rPr>
          <w:rFonts w:ascii="Abadi" w:hAnsi="Abadi"/>
          <w:b/>
          <w:bCs/>
          <w:spacing w:val="-7"/>
          <w:sz w:val="21"/>
          <w:szCs w:val="21"/>
        </w:rPr>
        <w:t xml:space="preserve"> </w:t>
      </w:r>
      <w:r w:rsidRPr="00AD79C7">
        <w:rPr>
          <w:rFonts w:ascii="Abadi" w:hAnsi="Abadi"/>
          <w:b/>
          <w:bCs/>
          <w:sz w:val="21"/>
          <w:szCs w:val="21"/>
        </w:rPr>
        <w:t>a</w:t>
      </w:r>
      <w:r w:rsidRPr="00AD79C7">
        <w:rPr>
          <w:rFonts w:ascii="Abadi" w:hAnsi="Abadi"/>
          <w:b/>
          <w:bCs/>
          <w:spacing w:val="-6"/>
          <w:sz w:val="21"/>
          <w:szCs w:val="21"/>
        </w:rPr>
        <w:t xml:space="preserve"> </w:t>
      </w:r>
      <w:r w:rsidRPr="00AD79C7">
        <w:rPr>
          <w:rFonts w:ascii="Abadi" w:hAnsi="Abadi"/>
          <w:b/>
          <w:bCs/>
          <w:sz w:val="21"/>
          <w:szCs w:val="21"/>
        </w:rPr>
        <w:t>efecto</w:t>
      </w:r>
      <w:r w:rsidRPr="00AD79C7">
        <w:rPr>
          <w:rFonts w:ascii="Abadi" w:hAnsi="Abadi"/>
          <w:b/>
          <w:bCs/>
          <w:spacing w:val="-6"/>
          <w:sz w:val="21"/>
          <w:szCs w:val="21"/>
        </w:rPr>
        <w:t xml:space="preserve"> </w:t>
      </w:r>
      <w:r w:rsidRPr="00AD79C7">
        <w:rPr>
          <w:rFonts w:ascii="Abadi" w:hAnsi="Abadi"/>
          <w:b/>
          <w:bCs/>
          <w:sz w:val="21"/>
          <w:szCs w:val="21"/>
        </w:rPr>
        <w:t>de reformar</w:t>
      </w:r>
      <w:r w:rsidRPr="00AD79C7">
        <w:rPr>
          <w:rFonts w:ascii="Abadi" w:hAnsi="Abadi"/>
          <w:b/>
          <w:bCs/>
          <w:spacing w:val="40"/>
          <w:sz w:val="21"/>
          <w:szCs w:val="21"/>
        </w:rPr>
        <w:t xml:space="preserve"> </w:t>
      </w:r>
      <w:r w:rsidRPr="00AD79C7">
        <w:rPr>
          <w:rFonts w:ascii="Abadi" w:hAnsi="Abadi"/>
          <w:b/>
          <w:bCs/>
          <w:sz w:val="21"/>
          <w:szCs w:val="21"/>
        </w:rPr>
        <w:t>y</w:t>
      </w:r>
      <w:r w:rsidRPr="00AD79C7">
        <w:rPr>
          <w:rFonts w:ascii="Abadi" w:hAnsi="Abadi"/>
          <w:b/>
          <w:bCs/>
          <w:spacing w:val="40"/>
          <w:sz w:val="21"/>
          <w:szCs w:val="21"/>
        </w:rPr>
        <w:t xml:space="preserve"> </w:t>
      </w:r>
      <w:r w:rsidRPr="00AD79C7">
        <w:rPr>
          <w:rFonts w:ascii="Abadi" w:hAnsi="Abadi"/>
          <w:b/>
          <w:bCs/>
          <w:sz w:val="21"/>
          <w:szCs w:val="21"/>
        </w:rPr>
        <w:t>adicionar</w:t>
      </w:r>
      <w:r w:rsidRPr="00AD79C7">
        <w:rPr>
          <w:rFonts w:ascii="Abadi" w:hAnsi="Abadi"/>
          <w:b/>
          <w:bCs/>
          <w:spacing w:val="40"/>
          <w:sz w:val="21"/>
          <w:szCs w:val="21"/>
        </w:rPr>
        <w:t xml:space="preserve"> </w:t>
      </w:r>
      <w:r w:rsidRPr="00AD79C7">
        <w:rPr>
          <w:rFonts w:ascii="Abadi" w:hAnsi="Abadi"/>
          <w:b/>
          <w:bCs/>
          <w:sz w:val="21"/>
          <w:szCs w:val="21"/>
        </w:rPr>
        <w:t>diversas</w:t>
      </w:r>
      <w:r w:rsidRPr="00AD79C7">
        <w:rPr>
          <w:rFonts w:ascii="Abadi" w:hAnsi="Abadi"/>
          <w:b/>
          <w:bCs/>
          <w:spacing w:val="40"/>
          <w:sz w:val="21"/>
          <w:szCs w:val="21"/>
        </w:rPr>
        <w:t xml:space="preserve"> </w:t>
      </w:r>
      <w:r w:rsidRPr="00AD79C7">
        <w:rPr>
          <w:rFonts w:ascii="Abadi" w:hAnsi="Abadi"/>
          <w:b/>
          <w:bCs/>
          <w:sz w:val="21"/>
          <w:szCs w:val="21"/>
        </w:rPr>
        <w:t>disposiciones</w:t>
      </w:r>
      <w:r w:rsidRPr="00AD79C7">
        <w:rPr>
          <w:rFonts w:ascii="Abadi" w:hAnsi="Abadi"/>
          <w:b/>
          <w:bCs/>
          <w:spacing w:val="40"/>
          <w:sz w:val="21"/>
          <w:szCs w:val="21"/>
        </w:rPr>
        <w:t xml:space="preserve"> </w:t>
      </w:r>
      <w:r w:rsidRPr="00AD79C7">
        <w:rPr>
          <w:rFonts w:ascii="Abadi" w:hAnsi="Abadi"/>
          <w:b/>
          <w:bCs/>
          <w:sz w:val="21"/>
          <w:szCs w:val="21"/>
        </w:rPr>
        <w:t>a</w:t>
      </w:r>
      <w:r w:rsidRPr="00AD79C7">
        <w:rPr>
          <w:rFonts w:ascii="Abadi" w:hAnsi="Abadi"/>
          <w:b/>
          <w:bCs/>
          <w:spacing w:val="40"/>
          <w:sz w:val="21"/>
          <w:szCs w:val="21"/>
        </w:rPr>
        <w:t xml:space="preserve"> </w:t>
      </w:r>
      <w:r w:rsidRPr="00AD79C7">
        <w:rPr>
          <w:rFonts w:ascii="Abadi" w:hAnsi="Abadi"/>
          <w:b/>
          <w:bCs/>
          <w:sz w:val="21"/>
          <w:szCs w:val="21"/>
        </w:rPr>
        <w:t>la</w:t>
      </w:r>
      <w:r w:rsidRPr="00AD79C7">
        <w:rPr>
          <w:rFonts w:ascii="Abadi" w:hAnsi="Abadi"/>
          <w:b/>
          <w:bCs/>
          <w:spacing w:val="40"/>
          <w:sz w:val="21"/>
          <w:szCs w:val="21"/>
        </w:rPr>
        <w:t xml:space="preserve"> </w:t>
      </w:r>
      <w:r w:rsidRPr="00AD79C7">
        <w:rPr>
          <w:rFonts w:ascii="Abadi" w:hAnsi="Abadi"/>
          <w:b/>
          <w:bCs/>
          <w:sz w:val="21"/>
          <w:szCs w:val="21"/>
        </w:rPr>
        <w:t>Ley</w:t>
      </w:r>
      <w:r w:rsidRPr="00AD79C7">
        <w:rPr>
          <w:rFonts w:ascii="Abadi" w:hAnsi="Abadi"/>
          <w:b/>
          <w:bCs/>
          <w:spacing w:val="40"/>
          <w:sz w:val="21"/>
          <w:szCs w:val="21"/>
        </w:rPr>
        <w:t xml:space="preserve"> </w:t>
      </w:r>
      <w:r w:rsidRPr="00AD79C7">
        <w:rPr>
          <w:rFonts w:ascii="Abadi" w:hAnsi="Abadi"/>
          <w:b/>
          <w:bCs/>
          <w:sz w:val="21"/>
          <w:szCs w:val="21"/>
        </w:rPr>
        <w:t>Orgánica</w:t>
      </w:r>
      <w:r w:rsidRPr="00AD79C7">
        <w:rPr>
          <w:rFonts w:ascii="Abadi" w:hAnsi="Abadi"/>
          <w:b/>
          <w:bCs/>
          <w:spacing w:val="40"/>
          <w:sz w:val="21"/>
          <w:szCs w:val="21"/>
        </w:rPr>
        <w:t xml:space="preserve"> </w:t>
      </w:r>
      <w:r w:rsidRPr="00AD79C7">
        <w:rPr>
          <w:rFonts w:ascii="Abadi" w:hAnsi="Abadi"/>
          <w:b/>
          <w:bCs/>
          <w:sz w:val="21"/>
          <w:szCs w:val="21"/>
        </w:rPr>
        <w:t>del</w:t>
      </w:r>
      <w:r w:rsidRPr="00AD79C7">
        <w:rPr>
          <w:rFonts w:ascii="Abadi" w:hAnsi="Abadi"/>
          <w:b/>
          <w:bCs/>
          <w:spacing w:val="40"/>
          <w:sz w:val="21"/>
          <w:szCs w:val="21"/>
        </w:rPr>
        <w:t xml:space="preserve"> </w:t>
      </w:r>
      <w:r w:rsidRPr="00AD79C7">
        <w:rPr>
          <w:rFonts w:ascii="Abadi" w:hAnsi="Abadi"/>
          <w:b/>
          <w:bCs/>
          <w:sz w:val="21"/>
          <w:szCs w:val="21"/>
        </w:rPr>
        <w:t>Poder Legislativo del Estado de Guanajuato.</w:t>
      </w:r>
    </w:p>
    <w:p w14:paraId="0F3B7256" w14:textId="01EA4548" w:rsidR="00060F01" w:rsidRDefault="00060F01" w:rsidP="00060F01">
      <w:pPr>
        <w:jc w:val="both"/>
        <w:rPr>
          <w:rFonts w:ascii="Abadi" w:hAnsi="Abadi"/>
          <w:b/>
          <w:bCs/>
          <w:sz w:val="21"/>
          <w:szCs w:val="21"/>
        </w:rPr>
      </w:pPr>
    </w:p>
    <w:p w14:paraId="30BA9976" w14:textId="42165922" w:rsidR="00AC0221" w:rsidRDefault="00AC0221" w:rsidP="005433FA">
      <w:pPr>
        <w:pStyle w:val="Prrafodelista"/>
        <w:numPr>
          <w:ilvl w:val="0"/>
          <w:numId w:val="8"/>
        </w:numPr>
        <w:kinsoku w:val="0"/>
        <w:overflowPunct w:val="0"/>
        <w:autoSpaceDE w:val="0"/>
        <w:autoSpaceDN w:val="0"/>
        <w:adjustRightInd w:val="0"/>
        <w:spacing w:before="1"/>
        <w:ind w:left="851" w:right="566"/>
        <w:jc w:val="both"/>
        <w:rPr>
          <w:rFonts w:ascii="Abadi" w:hAnsi="Abadi"/>
          <w:b/>
          <w:bCs/>
          <w:sz w:val="21"/>
          <w:szCs w:val="21"/>
        </w:rPr>
      </w:pPr>
      <w:r w:rsidRPr="00AD79C7">
        <w:rPr>
          <w:rFonts w:ascii="Abadi" w:hAnsi="Abadi"/>
          <w:b/>
          <w:bCs/>
          <w:sz w:val="21"/>
          <w:szCs w:val="21"/>
        </w:rPr>
        <w:t>Presentación</w:t>
      </w:r>
      <w:r w:rsidRPr="00AD79C7">
        <w:rPr>
          <w:rFonts w:ascii="Abadi" w:hAnsi="Abadi"/>
          <w:b/>
          <w:bCs/>
          <w:spacing w:val="33"/>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la</w:t>
      </w:r>
      <w:r w:rsidRPr="00AD79C7">
        <w:rPr>
          <w:rFonts w:ascii="Abadi" w:hAnsi="Abadi"/>
          <w:b/>
          <w:bCs/>
          <w:spacing w:val="33"/>
          <w:sz w:val="21"/>
          <w:szCs w:val="21"/>
        </w:rPr>
        <w:t xml:space="preserve"> </w:t>
      </w:r>
      <w:r w:rsidRPr="00AD79C7">
        <w:rPr>
          <w:rFonts w:ascii="Abadi" w:hAnsi="Abadi"/>
          <w:b/>
          <w:bCs/>
          <w:sz w:val="21"/>
          <w:szCs w:val="21"/>
        </w:rPr>
        <w:t>iniciativa</w:t>
      </w:r>
      <w:r w:rsidRPr="00AD79C7">
        <w:rPr>
          <w:rFonts w:ascii="Abadi" w:hAnsi="Abadi"/>
          <w:b/>
          <w:bCs/>
          <w:spacing w:val="33"/>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Ley</w:t>
      </w:r>
      <w:r w:rsidRPr="00AD79C7">
        <w:rPr>
          <w:rFonts w:ascii="Abadi" w:hAnsi="Abadi"/>
          <w:b/>
          <w:bCs/>
          <w:spacing w:val="33"/>
          <w:sz w:val="21"/>
          <w:szCs w:val="21"/>
        </w:rPr>
        <w:t xml:space="preserve"> </w:t>
      </w:r>
      <w:r w:rsidRPr="00AD79C7">
        <w:rPr>
          <w:rFonts w:ascii="Abadi" w:hAnsi="Abadi"/>
          <w:b/>
          <w:bCs/>
          <w:sz w:val="21"/>
          <w:szCs w:val="21"/>
        </w:rPr>
        <w:t>para</w:t>
      </w:r>
      <w:r w:rsidRPr="00AD79C7">
        <w:rPr>
          <w:rFonts w:ascii="Abadi" w:hAnsi="Abadi"/>
          <w:b/>
          <w:bCs/>
          <w:spacing w:val="33"/>
          <w:sz w:val="21"/>
          <w:szCs w:val="21"/>
        </w:rPr>
        <w:t xml:space="preserve"> </w:t>
      </w:r>
      <w:r w:rsidRPr="00AD79C7">
        <w:rPr>
          <w:rFonts w:ascii="Abadi" w:hAnsi="Abadi"/>
          <w:b/>
          <w:bCs/>
          <w:sz w:val="21"/>
          <w:szCs w:val="21"/>
        </w:rPr>
        <w:t>Fomentar</w:t>
      </w:r>
      <w:r w:rsidRPr="00AD79C7">
        <w:rPr>
          <w:rFonts w:ascii="Abadi" w:hAnsi="Abadi"/>
          <w:b/>
          <w:bCs/>
          <w:spacing w:val="33"/>
          <w:sz w:val="21"/>
          <w:szCs w:val="21"/>
        </w:rPr>
        <w:t xml:space="preserve"> </w:t>
      </w:r>
      <w:r w:rsidRPr="00AD79C7">
        <w:rPr>
          <w:rFonts w:ascii="Abadi" w:hAnsi="Abadi"/>
          <w:b/>
          <w:bCs/>
          <w:sz w:val="21"/>
          <w:szCs w:val="21"/>
        </w:rPr>
        <w:t>el</w:t>
      </w:r>
      <w:r w:rsidRPr="00AD79C7">
        <w:rPr>
          <w:rFonts w:ascii="Abadi" w:hAnsi="Abadi"/>
          <w:b/>
          <w:bCs/>
          <w:spacing w:val="33"/>
          <w:sz w:val="21"/>
          <w:szCs w:val="21"/>
        </w:rPr>
        <w:t xml:space="preserve"> </w:t>
      </w:r>
      <w:r w:rsidRPr="00AD79C7">
        <w:rPr>
          <w:rFonts w:ascii="Abadi" w:hAnsi="Abadi"/>
          <w:b/>
          <w:bCs/>
          <w:sz w:val="21"/>
          <w:szCs w:val="21"/>
        </w:rPr>
        <w:t>Acceso</w:t>
      </w:r>
      <w:r w:rsidRPr="00AD79C7">
        <w:rPr>
          <w:rFonts w:ascii="Abadi" w:hAnsi="Abadi"/>
          <w:b/>
          <w:bCs/>
          <w:spacing w:val="33"/>
          <w:sz w:val="21"/>
          <w:szCs w:val="21"/>
        </w:rPr>
        <w:t xml:space="preserve"> </w:t>
      </w:r>
      <w:r w:rsidRPr="00AD79C7">
        <w:rPr>
          <w:rFonts w:ascii="Abadi" w:hAnsi="Abadi"/>
          <w:b/>
          <w:bCs/>
          <w:sz w:val="21"/>
          <w:szCs w:val="21"/>
        </w:rPr>
        <w:t>al Financiamiento</w:t>
      </w:r>
      <w:r w:rsidRPr="00AD79C7">
        <w:rPr>
          <w:rFonts w:ascii="Abadi" w:hAnsi="Abadi"/>
          <w:b/>
          <w:bCs/>
          <w:spacing w:val="55"/>
          <w:sz w:val="21"/>
          <w:szCs w:val="21"/>
        </w:rPr>
        <w:t xml:space="preserve"> </w:t>
      </w:r>
      <w:r w:rsidRPr="00AD79C7">
        <w:rPr>
          <w:rFonts w:ascii="Abadi" w:hAnsi="Abadi"/>
          <w:b/>
          <w:bCs/>
          <w:sz w:val="21"/>
          <w:szCs w:val="21"/>
        </w:rPr>
        <w:t>a</w:t>
      </w:r>
      <w:r w:rsidRPr="00AD79C7">
        <w:rPr>
          <w:rFonts w:ascii="Abadi" w:hAnsi="Abadi"/>
          <w:b/>
          <w:bCs/>
          <w:spacing w:val="55"/>
          <w:sz w:val="21"/>
          <w:szCs w:val="21"/>
        </w:rPr>
        <w:t xml:space="preserve"> </w:t>
      </w:r>
      <w:r w:rsidRPr="00AD79C7">
        <w:rPr>
          <w:rFonts w:ascii="Abadi" w:hAnsi="Abadi"/>
          <w:b/>
          <w:bCs/>
          <w:sz w:val="21"/>
          <w:szCs w:val="21"/>
        </w:rPr>
        <w:t>las</w:t>
      </w:r>
      <w:r w:rsidRPr="00AD79C7">
        <w:rPr>
          <w:rFonts w:ascii="Abadi" w:hAnsi="Abadi"/>
          <w:b/>
          <w:bCs/>
          <w:spacing w:val="55"/>
          <w:sz w:val="21"/>
          <w:szCs w:val="21"/>
        </w:rPr>
        <w:t xml:space="preserve"> </w:t>
      </w:r>
      <w:r w:rsidRPr="00AD79C7">
        <w:rPr>
          <w:rFonts w:ascii="Abadi" w:hAnsi="Abadi"/>
          <w:b/>
          <w:bCs/>
          <w:sz w:val="21"/>
          <w:szCs w:val="21"/>
        </w:rPr>
        <w:t>Pequeñas</w:t>
      </w:r>
      <w:r w:rsidRPr="00AD79C7">
        <w:rPr>
          <w:rFonts w:ascii="Abadi" w:hAnsi="Abadi"/>
          <w:b/>
          <w:bCs/>
          <w:spacing w:val="55"/>
          <w:sz w:val="21"/>
          <w:szCs w:val="21"/>
        </w:rPr>
        <w:t xml:space="preserve"> </w:t>
      </w:r>
      <w:r w:rsidRPr="00AD79C7">
        <w:rPr>
          <w:rFonts w:ascii="Abadi" w:hAnsi="Abadi"/>
          <w:b/>
          <w:bCs/>
          <w:sz w:val="21"/>
          <w:szCs w:val="21"/>
        </w:rPr>
        <w:t>y</w:t>
      </w:r>
      <w:r w:rsidRPr="00AD79C7">
        <w:rPr>
          <w:rFonts w:ascii="Abadi" w:hAnsi="Abadi"/>
          <w:b/>
          <w:bCs/>
          <w:spacing w:val="55"/>
          <w:sz w:val="21"/>
          <w:szCs w:val="21"/>
        </w:rPr>
        <w:t xml:space="preserve"> </w:t>
      </w:r>
      <w:r w:rsidRPr="00AD79C7">
        <w:rPr>
          <w:rFonts w:ascii="Abadi" w:hAnsi="Abadi"/>
          <w:b/>
          <w:bCs/>
          <w:sz w:val="21"/>
          <w:szCs w:val="21"/>
        </w:rPr>
        <w:t>Medianas</w:t>
      </w:r>
      <w:r w:rsidRPr="00AD79C7">
        <w:rPr>
          <w:rFonts w:ascii="Abadi" w:hAnsi="Abadi"/>
          <w:b/>
          <w:bCs/>
          <w:spacing w:val="55"/>
          <w:sz w:val="21"/>
          <w:szCs w:val="21"/>
        </w:rPr>
        <w:t xml:space="preserve"> </w:t>
      </w:r>
      <w:r w:rsidRPr="00AD79C7">
        <w:rPr>
          <w:rFonts w:ascii="Abadi" w:hAnsi="Abadi"/>
          <w:b/>
          <w:bCs/>
          <w:sz w:val="21"/>
          <w:szCs w:val="21"/>
        </w:rPr>
        <w:t>Empresas</w:t>
      </w:r>
      <w:r w:rsidRPr="00AD79C7">
        <w:rPr>
          <w:rFonts w:ascii="Abadi" w:hAnsi="Abadi"/>
          <w:b/>
          <w:bCs/>
          <w:spacing w:val="54"/>
          <w:sz w:val="21"/>
          <w:szCs w:val="21"/>
        </w:rPr>
        <w:t xml:space="preserve"> </w:t>
      </w:r>
      <w:r w:rsidRPr="00AD79C7">
        <w:rPr>
          <w:rFonts w:ascii="Abadi" w:hAnsi="Abadi"/>
          <w:b/>
          <w:bCs/>
          <w:sz w:val="21"/>
          <w:szCs w:val="21"/>
        </w:rPr>
        <w:t>en</w:t>
      </w:r>
      <w:r w:rsidRPr="00AD79C7">
        <w:rPr>
          <w:rFonts w:ascii="Abadi" w:hAnsi="Abadi"/>
          <w:b/>
          <w:bCs/>
          <w:spacing w:val="54"/>
          <w:sz w:val="21"/>
          <w:szCs w:val="21"/>
        </w:rPr>
        <w:t xml:space="preserve"> </w:t>
      </w:r>
      <w:r w:rsidRPr="00AD79C7">
        <w:rPr>
          <w:rFonts w:ascii="Abadi" w:hAnsi="Abadi"/>
          <w:b/>
          <w:bCs/>
          <w:sz w:val="21"/>
          <w:szCs w:val="21"/>
        </w:rPr>
        <w:t>el</w:t>
      </w:r>
      <w:r w:rsidRPr="00AD79C7">
        <w:rPr>
          <w:rFonts w:ascii="Abadi" w:hAnsi="Abadi"/>
          <w:b/>
          <w:bCs/>
          <w:spacing w:val="54"/>
          <w:sz w:val="21"/>
          <w:szCs w:val="21"/>
        </w:rPr>
        <w:t xml:space="preserve"> </w:t>
      </w:r>
      <w:r w:rsidRPr="00AD79C7">
        <w:rPr>
          <w:rFonts w:ascii="Abadi" w:hAnsi="Abadi"/>
          <w:b/>
          <w:bCs/>
          <w:sz w:val="21"/>
          <w:szCs w:val="21"/>
        </w:rPr>
        <w:t>Estado</w:t>
      </w:r>
      <w:r w:rsidRPr="00AD79C7">
        <w:rPr>
          <w:rFonts w:ascii="Abadi" w:hAnsi="Abadi"/>
          <w:b/>
          <w:bCs/>
          <w:spacing w:val="54"/>
          <w:sz w:val="21"/>
          <w:szCs w:val="21"/>
        </w:rPr>
        <w:t xml:space="preserve"> </w:t>
      </w:r>
      <w:r w:rsidRPr="00AD79C7">
        <w:rPr>
          <w:rFonts w:ascii="Abadi" w:hAnsi="Abadi"/>
          <w:b/>
          <w:bCs/>
          <w:sz w:val="21"/>
          <w:szCs w:val="21"/>
        </w:rPr>
        <w:t>de Guanajuato,</w:t>
      </w:r>
      <w:r w:rsidRPr="00AD79C7">
        <w:rPr>
          <w:rFonts w:ascii="Abadi" w:hAnsi="Abadi"/>
          <w:b/>
          <w:bCs/>
          <w:spacing w:val="80"/>
          <w:sz w:val="21"/>
          <w:szCs w:val="21"/>
        </w:rPr>
        <w:t xml:space="preserve"> </w:t>
      </w:r>
      <w:r w:rsidRPr="00AD79C7">
        <w:rPr>
          <w:rFonts w:ascii="Abadi" w:hAnsi="Abadi"/>
          <w:b/>
          <w:bCs/>
          <w:sz w:val="21"/>
          <w:szCs w:val="21"/>
        </w:rPr>
        <w:t>suscrita</w:t>
      </w:r>
      <w:r w:rsidRPr="00AD79C7">
        <w:rPr>
          <w:rFonts w:ascii="Abadi" w:hAnsi="Abadi"/>
          <w:b/>
          <w:bCs/>
          <w:spacing w:val="80"/>
          <w:sz w:val="21"/>
          <w:szCs w:val="21"/>
        </w:rPr>
        <w:t xml:space="preserve"> </w:t>
      </w:r>
      <w:r w:rsidRPr="00AD79C7">
        <w:rPr>
          <w:rFonts w:ascii="Abadi" w:hAnsi="Abadi"/>
          <w:b/>
          <w:bCs/>
          <w:sz w:val="21"/>
          <w:szCs w:val="21"/>
        </w:rPr>
        <w:t>por</w:t>
      </w:r>
      <w:r w:rsidRPr="00AD79C7">
        <w:rPr>
          <w:rFonts w:ascii="Abadi" w:hAnsi="Abadi"/>
          <w:b/>
          <w:bCs/>
          <w:spacing w:val="80"/>
          <w:sz w:val="21"/>
          <w:szCs w:val="21"/>
        </w:rPr>
        <w:t xml:space="preserve"> </w:t>
      </w:r>
      <w:r w:rsidRPr="00AD79C7">
        <w:rPr>
          <w:rFonts w:ascii="Abadi" w:hAnsi="Abadi"/>
          <w:b/>
          <w:bCs/>
          <w:sz w:val="21"/>
          <w:szCs w:val="21"/>
        </w:rPr>
        <w:t>diputadas</w:t>
      </w:r>
      <w:r w:rsidRPr="00AD79C7">
        <w:rPr>
          <w:rFonts w:ascii="Abadi" w:hAnsi="Abadi"/>
          <w:b/>
          <w:bCs/>
          <w:spacing w:val="80"/>
          <w:sz w:val="21"/>
          <w:szCs w:val="21"/>
        </w:rPr>
        <w:t xml:space="preserve"> </w:t>
      </w:r>
      <w:r w:rsidRPr="00AD79C7">
        <w:rPr>
          <w:rFonts w:ascii="Abadi" w:hAnsi="Abadi"/>
          <w:b/>
          <w:bCs/>
          <w:sz w:val="21"/>
          <w:szCs w:val="21"/>
        </w:rPr>
        <w:t>y</w:t>
      </w:r>
      <w:r w:rsidRPr="00AD79C7">
        <w:rPr>
          <w:rFonts w:ascii="Abadi" w:hAnsi="Abadi"/>
          <w:b/>
          <w:bCs/>
          <w:spacing w:val="80"/>
          <w:sz w:val="21"/>
          <w:szCs w:val="21"/>
        </w:rPr>
        <w:t xml:space="preserve"> </w:t>
      </w:r>
      <w:r w:rsidRPr="00AD79C7">
        <w:rPr>
          <w:rFonts w:ascii="Abadi" w:hAnsi="Abadi"/>
          <w:b/>
          <w:bCs/>
          <w:sz w:val="21"/>
          <w:szCs w:val="21"/>
        </w:rPr>
        <w:t>diputados</w:t>
      </w:r>
      <w:r w:rsidRPr="00AD79C7">
        <w:rPr>
          <w:rFonts w:ascii="Abadi" w:hAnsi="Abadi"/>
          <w:b/>
          <w:bCs/>
          <w:spacing w:val="80"/>
          <w:sz w:val="21"/>
          <w:szCs w:val="21"/>
        </w:rPr>
        <w:t xml:space="preserve"> </w:t>
      </w:r>
      <w:r w:rsidRPr="00AD79C7">
        <w:rPr>
          <w:rFonts w:ascii="Abadi" w:hAnsi="Abadi"/>
          <w:b/>
          <w:bCs/>
          <w:sz w:val="21"/>
          <w:szCs w:val="21"/>
        </w:rPr>
        <w:t>integrantes</w:t>
      </w:r>
      <w:r w:rsidRPr="00AD79C7">
        <w:rPr>
          <w:rFonts w:ascii="Abadi" w:hAnsi="Abadi"/>
          <w:b/>
          <w:bCs/>
          <w:spacing w:val="80"/>
          <w:sz w:val="21"/>
          <w:szCs w:val="21"/>
        </w:rPr>
        <w:t xml:space="preserve"> </w:t>
      </w:r>
      <w:r w:rsidRPr="00AD79C7">
        <w:rPr>
          <w:rFonts w:ascii="Abadi" w:hAnsi="Abadi"/>
          <w:b/>
          <w:bCs/>
          <w:sz w:val="21"/>
          <w:szCs w:val="21"/>
        </w:rPr>
        <w:t>del</w:t>
      </w:r>
      <w:r w:rsidRPr="00AD79C7">
        <w:rPr>
          <w:rFonts w:ascii="Abadi" w:hAnsi="Abadi"/>
          <w:b/>
          <w:bCs/>
          <w:spacing w:val="80"/>
          <w:sz w:val="21"/>
          <w:szCs w:val="21"/>
        </w:rPr>
        <w:t xml:space="preserve"> </w:t>
      </w:r>
      <w:r w:rsidRPr="00AD79C7">
        <w:rPr>
          <w:rFonts w:ascii="Abadi" w:hAnsi="Abadi"/>
          <w:b/>
          <w:bCs/>
          <w:sz w:val="21"/>
          <w:szCs w:val="21"/>
        </w:rPr>
        <w:t>Grupo Parlamentario del Partido Acción Nacional.</w:t>
      </w:r>
    </w:p>
    <w:p w14:paraId="61F474EF" w14:textId="77777777" w:rsidR="00363AC4" w:rsidRPr="00363AC4" w:rsidRDefault="00363AC4" w:rsidP="006B00FD">
      <w:pPr>
        <w:pStyle w:val="Prrafodelista"/>
        <w:ind w:left="851" w:right="566"/>
        <w:rPr>
          <w:rFonts w:ascii="Abadi" w:hAnsi="Abadi"/>
          <w:b/>
          <w:bCs/>
          <w:sz w:val="21"/>
          <w:szCs w:val="21"/>
        </w:rPr>
      </w:pPr>
    </w:p>
    <w:p w14:paraId="263A18F0" w14:textId="09EE445F" w:rsidR="00363AC4" w:rsidRDefault="00363AC4" w:rsidP="005433FA">
      <w:pPr>
        <w:pStyle w:val="Prrafodelista"/>
        <w:numPr>
          <w:ilvl w:val="0"/>
          <w:numId w:val="8"/>
        </w:numPr>
        <w:kinsoku w:val="0"/>
        <w:overflowPunct w:val="0"/>
        <w:autoSpaceDE w:val="0"/>
        <w:autoSpaceDN w:val="0"/>
        <w:adjustRightInd w:val="0"/>
        <w:ind w:left="851" w:right="566"/>
        <w:jc w:val="both"/>
        <w:rPr>
          <w:rFonts w:ascii="Abadi" w:hAnsi="Abadi"/>
          <w:b/>
          <w:bCs/>
          <w:sz w:val="21"/>
          <w:szCs w:val="21"/>
        </w:rPr>
      </w:pPr>
      <w:r w:rsidRPr="00AD79C7">
        <w:rPr>
          <w:rFonts w:ascii="Abadi" w:hAnsi="Abadi"/>
          <w:b/>
          <w:bCs/>
          <w:sz w:val="21"/>
          <w:szCs w:val="21"/>
        </w:rPr>
        <w:t>Presentación de la iniciativa a efecto de adicionar la fracción XXI al artículo 28</w:t>
      </w:r>
      <w:r w:rsidRPr="00AD79C7">
        <w:rPr>
          <w:rFonts w:ascii="Abadi" w:hAnsi="Abadi"/>
          <w:b/>
          <w:bCs/>
          <w:spacing w:val="-6"/>
          <w:sz w:val="21"/>
          <w:szCs w:val="21"/>
        </w:rPr>
        <w:t xml:space="preserve"> </w:t>
      </w:r>
      <w:r w:rsidRPr="00AD79C7">
        <w:rPr>
          <w:rFonts w:ascii="Abadi" w:hAnsi="Abadi"/>
          <w:b/>
          <w:bCs/>
          <w:sz w:val="21"/>
          <w:szCs w:val="21"/>
        </w:rPr>
        <w:t>de</w:t>
      </w:r>
      <w:r w:rsidRPr="00AD79C7">
        <w:rPr>
          <w:rFonts w:ascii="Abadi" w:hAnsi="Abadi"/>
          <w:b/>
          <w:bCs/>
          <w:spacing w:val="-6"/>
          <w:sz w:val="21"/>
          <w:szCs w:val="21"/>
        </w:rPr>
        <w:t xml:space="preserve"> </w:t>
      </w:r>
      <w:r w:rsidRPr="00AD79C7">
        <w:rPr>
          <w:rFonts w:ascii="Abadi" w:hAnsi="Abadi"/>
          <w:b/>
          <w:bCs/>
          <w:sz w:val="21"/>
          <w:szCs w:val="21"/>
        </w:rPr>
        <w:t>la</w:t>
      </w:r>
      <w:r w:rsidRPr="00AD79C7">
        <w:rPr>
          <w:rFonts w:ascii="Abadi" w:hAnsi="Abadi"/>
          <w:b/>
          <w:bCs/>
          <w:spacing w:val="-6"/>
          <w:sz w:val="21"/>
          <w:szCs w:val="21"/>
        </w:rPr>
        <w:t xml:space="preserve"> </w:t>
      </w:r>
      <w:r w:rsidRPr="00AD79C7">
        <w:rPr>
          <w:rFonts w:ascii="Abadi" w:hAnsi="Abadi"/>
          <w:b/>
          <w:bCs/>
          <w:sz w:val="21"/>
          <w:szCs w:val="21"/>
        </w:rPr>
        <w:t>Ley</w:t>
      </w:r>
      <w:r w:rsidRPr="00AD79C7">
        <w:rPr>
          <w:rFonts w:ascii="Abadi" w:hAnsi="Abadi"/>
          <w:b/>
          <w:bCs/>
          <w:spacing w:val="-6"/>
          <w:sz w:val="21"/>
          <w:szCs w:val="21"/>
        </w:rPr>
        <w:t xml:space="preserve"> </w:t>
      </w:r>
      <w:r w:rsidRPr="00AD79C7">
        <w:rPr>
          <w:rFonts w:ascii="Abadi" w:hAnsi="Abadi"/>
          <w:b/>
          <w:bCs/>
          <w:sz w:val="21"/>
          <w:szCs w:val="21"/>
        </w:rPr>
        <w:t>de</w:t>
      </w:r>
      <w:r w:rsidRPr="00AD79C7">
        <w:rPr>
          <w:rFonts w:ascii="Abadi" w:hAnsi="Abadi"/>
          <w:b/>
          <w:bCs/>
          <w:spacing w:val="-6"/>
          <w:sz w:val="21"/>
          <w:szCs w:val="21"/>
        </w:rPr>
        <w:t xml:space="preserve"> </w:t>
      </w:r>
      <w:r w:rsidRPr="00AD79C7">
        <w:rPr>
          <w:rFonts w:ascii="Abadi" w:hAnsi="Abadi"/>
          <w:b/>
          <w:bCs/>
          <w:sz w:val="21"/>
          <w:szCs w:val="21"/>
        </w:rPr>
        <w:t>los</w:t>
      </w:r>
      <w:r w:rsidRPr="00AD79C7">
        <w:rPr>
          <w:rFonts w:ascii="Abadi" w:hAnsi="Abadi"/>
          <w:b/>
          <w:bCs/>
          <w:spacing w:val="-6"/>
          <w:sz w:val="21"/>
          <w:szCs w:val="21"/>
        </w:rPr>
        <w:t xml:space="preserve"> </w:t>
      </w:r>
      <w:r w:rsidRPr="00AD79C7">
        <w:rPr>
          <w:rFonts w:ascii="Abadi" w:hAnsi="Abadi"/>
          <w:b/>
          <w:bCs/>
          <w:sz w:val="21"/>
          <w:szCs w:val="21"/>
        </w:rPr>
        <w:t>Derechos</w:t>
      </w:r>
      <w:r w:rsidRPr="00AD79C7">
        <w:rPr>
          <w:rFonts w:ascii="Abadi" w:hAnsi="Abadi"/>
          <w:b/>
          <w:bCs/>
          <w:spacing w:val="-6"/>
          <w:sz w:val="21"/>
          <w:szCs w:val="21"/>
        </w:rPr>
        <w:t xml:space="preserve"> </w:t>
      </w:r>
      <w:r w:rsidRPr="00AD79C7">
        <w:rPr>
          <w:rFonts w:ascii="Abadi" w:hAnsi="Abadi"/>
          <w:b/>
          <w:bCs/>
          <w:sz w:val="21"/>
          <w:szCs w:val="21"/>
        </w:rPr>
        <w:t>de</w:t>
      </w:r>
      <w:r w:rsidRPr="00AD79C7">
        <w:rPr>
          <w:rFonts w:ascii="Abadi" w:hAnsi="Abadi"/>
          <w:b/>
          <w:bCs/>
          <w:spacing w:val="-6"/>
          <w:sz w:val="21"/>
          <w:szCs w:val="21"/>
        </w:rPr>
        <w:t xml:space="preserve"> </w:t>
      </w:r>
      <w:r w:rsidRPr="00AD79C7">
        <w:rPr>
          <w:rFonts w:ascii="Abadi" w:hAnsi="Abadi"/>
          <w:b/>
          <w:bCs/>
          <w:sz w:val="21"/>
          <w:szCs w:val="21"/>
        </w:rPr>
        <w:t>Niñas,</w:t>
      </w:r>
      <w:r w:rsidRPr="00AD79C7">
        <w:rPr>
          <w:rFonts w:ascii="Abadi" w:hAnsi="Abadi"/>
          <w:b/>
          <w:bCs/>
          <w:spacing w:val="-6"/>
          <w:sz w:val="21"/>
          <w:szCs w:val="21"/>
        </w:rPr>
        <w:t xml:space="preserve"> </w:t>
      </w:r>
      <w:r w:rsidRPr="00AD79C7">
        <w:rPr>
          <w:rFonts w:ascii="Abadi" w:hAnsi="Abadi"/>
          <w:b/>
          <w:bCs/>
          <w:sz w:val="21"/>
          <w:szCs w:val="21"/>
        </w:rPr>
        <w:t>Niños</w:t>
      </w:r>
      <w:r w:rsidRPr="00AD79C7">
        <w:rPr>
          <w:rFonts w:ascii="Abadi" w:hAnsi="Abadi"/>
          <w:b/>
          <w:bCs/>
          <w:spacing w:val="-6"/>
          <w:sz w:val="21"/>
          <w:szCs w:val="21"/>
        </w:rPr>
        <w:t xml:space="preserve"> </w:t>
      </w:r>
      <w:r w:rsidRPr="00AD79C7">
        <w:rPr>
          <w:rFonts w:ascii="Abadi" w:hAnsi="Abadi"/>
          <w:b/>
          <w:bCs/>
          <w:sz w:val="21"/>
          <w:szCs w:val="21"/>
        </w:rPr>
        <w:t>y</w:t>
      </w:r>
      <w:r w:rsidRPr="00AD79C7">
        <w:rPr>
          <w:rFonts w:ascii="Abadi" w:hAnsi="Abadi"/>
          <w:b/>
          <w:bCs/>
          <w:spacing w:val="-6"/>
          <w:sz w:val="21"/>
          <w:szCs w:val="21"/>
        </w:rPr>
        <w:t xml:space="preserve"> </w:t>
      </w:r>
      <w:r w:rsidRPr="00AD79C7">
        <w:rPr>
          <w:rFonts w:ascii="Abadi" w:hAnsi="Abadi"/>
          <w:b/>
          <w:bCs/>
          <w:sz w:val="21"/>
          <w:szCs w:val="21"/>
        </w:rPr>
        <w:t>Adolescentes</w:t>
      </w:r>
      <w:r w:rsidRPr="00AD79C7">
        <w:rPr>
          <w:rFonts w:ascii="Abadi" w:hAnsi="Abadi"/>
          <w:b/>
          <w:bCs/>
          <w:spacing w:val="-6"/>
          <w:sz w:val="21"/>
          <w:szCs w:val="21"/>
        </w:rPr>
        <w:t xml:space="preserve"> </w:t>
      </w:r>
      <w:r w:rsidRPr="00AD79C7">
        <w:rPr>
          <w:rFonts w:ascii="Abadi" w:hAnsi="Abadi"/>
          <w:b/>
          <w:bCs/>
          <w:sz w:val="21"/>
          <w:szCs w:val="21"/>
        </w:rPr>
        <w:t>del</w:t>
      </w:r>
      <w:r w:rsidRPr="00AD79C7">
        <w:rPr>
          <w:rFonts w:ascii="Abadi" w:hAnsi="Abadi"/>
          <w:b/>
          <w:bCs/>
          <w:spacing w:val="-6"/>
          <w:sz w:val="21"/>
          <w:szCs w:val="21"/>
        </w:rPr>
        <w:t xml:space="preserve"> </w:t>
      </w:r>
      <w:r w:rsidRPr="00AD79C7">
        <w:rPr>
          <w:rFonts w:ascii="Abadi" w:hAnsi="Abadi"/>
          <w:b/>
          <w:bCs/>
          <w:sz w:val="21"/>
          <w:szCs w:val="21"/>
        </w:rPr>
        <w:t>Estado</w:t>
      </w:r>
      <w:r w:rsidRPr="00AD79C7">
        <w:rPr>
          <w:rFonts w:ascii="Abadi" w:hAnsi="Abadi"/>
          <w:b/>
          <w:bCs/>
          <w:spacing w:val="-6"/>
          <w:sz w:val="21"/>
          <w:szCs w:val="21"/>
        </w:rPr>
        <w:t xml:space="preserve"> </w:t>
      </w:r>
      <w:r w:rsidRPr="00AD79C7">
        <w:rPr>
          <w:rFonts w:ascii="Abadi" w:hAnsi="Abadi"/>
          <w:b/>
          <w:bCs/>
          <w:sz w:val="21"/>
          <w:szCs w:val="21"/>
        </w:rPr>
        <w:t>de Guanajuato,</w:t>
      </w:r>
      <w:r w:rsidRPr="00AD79C7">
        <w:rPr>
          <w:rFonts w:ascii="Abadi" w:hAnsi="Abadi"/>
          <w:b/>
          <w:bCs/>
          <w:spacing w:val="69"/>
          <w:sz w:val="21"/>
          <w:szCs w:val="21"/>
        </w:rPr>
        <w:t xml:space="preserve"> </w:t>
      </w:r>
      <w:r w:rsidRPr="00AD79C7">
        <w:rPr>
          <w:rFonts w:ascii="Abadi" w:hAnsi="Abadi"/>
          <w:b/>
          <w:bCs/>
          <w:sz w:val="21"/>
          <w:szCs w:val="21"/>
        </w:rPr>
        <w:t>formulada</w:t>
      </w:r>
      <w:r w:rsidRPr="00AD79C7">
        <w:rPr>
          <w:rFonts w:ascii="Abadi" w:hAnsi="Abadi"/>
          <w:b/>
          <w:bCs/>
          <w:spacing w:val="70"/>
          <w:sz w:val="21"/>
          <w:szCs w:val="21"/>
        </w:rPr>
        <w:t xml:space="preserve"> </w:t>
      </w:r>
      <w:r w:rsidRPr="00AD79C7">
        <w:rPr>
          <w:rFonts w:ascii="Abadi" w:hAnsi="Abadi"/>
          <w:b/>
          <w:bCs/>
          <w:sz w:val="21"/>
          <w:szCs w:val="21"/>
        </w:rPr>
        <w:t>por</w:t>
      </w:r>
      <w:r w:rsidRPr="00AD79C7">
        <w:rPr>
          <w:rFonts w:ascii="Abadi" w:hAnsi="Abadi"/>
          <w:b/>
          <w:bCs/>
          <w:spacing w:val="69"/>
          <w:sz w:val="21"/>
          <w:szCs w:val="21"/>
        </w:rPr>
        <w:t xml:space="preserve"> </w:t>
      </w:r>
      <w:r w:rsidRPr="00AD79C7">
        <w:rPr>
          <w:rFonts w:ascii="Abadi" w:hAnsi="Abadi"/>
          <w:b/>
          <w:bCs/>
          <w:sz w:val="21"/>
          <w:szCs w:val="21"/>
        </w:rPr>
        <w:t>diputada</w:t>
      </w:r>
      <w:r w:rsidRPr="00AD79C7">
        <w:rPr>
          <w:rFonts w:ascii="Abadi" w:hAnsi="Abadi"/>
          <w:b/>
          <w:bCs/>
          <w:spacing w:val="69"/>
          <w:sz w:val="21"/>
          <w:szCs w:val="21"/>
        </w:rPr>
        <w:t xml:space="preserve"> </w:t>
      </w:r>
      <w:r w:rsidRPr="00AD79C7">
        <w:rPr>
          <w:rFonts w:ascii="Abadi" w:hAnsi="Abadi"/>
          <w:b/>
          <w:bCs/>
          <w:sz w:val="21"/>
          <w:szCs w:val="21"/>
        </w:rPr>
        <w:t>y</w:t>
      </w:r>
      <w:r w:rsidRPr="00AD79C7">
        <w:rPr>
          <w:rFonts w:ascii="Abadi" w:hAnsi="Abadi"/>
          <w:b/>
          <w:bCs/>
          <w:spacing w:val="70"/>
          <w:sz w:val="21"/>
          <w:szCs w:val="21"/>
        </w:rPr>
        <w:t xml:space="preserve"> </w:t>
      </w:r>
      <w:r w:rsidRPr="00AD79C7">
        <w:rPr>
          <w:rFonts w:ascii="Abadi" w:hAnsi="Abadi"/>
          <w:b/>
          <w:bCs/>
          <w:sz w:val="21"/>
          <w:szCs w:val="21"/>
        </w:rPr>
        <w:t>diputados</w:t>
      </w:r>
      <w:r w:rsidRPr="00AD79C7">
        <w:rPr>
          <w:rFonts w:ascii="Abadi" w:hAnsi="Abadi"/>
          <w:b/>
          <w:bCs/>
          <w:spacing w:val="70"/>
          <w:sz w:val="21"/>
          <w:szCs w:val="21"/>
        </w:rPr>
        <w:t xml:space="preserve"> </w:t>
      </w:r>
      <w:r w:rsidRPr="00AD79C7">
        <w:rPr>
          <w:rFonts w:ascii="Abadi" w:hAnsi="Abadi"/>
          <w:b/>
          <w:bCs/>
          <w:sz w:val="21"/>
          <w:szCs w:val="21"/>
        </w:rPr>
        <w:t>integrantes</w:t>
      </w:r>
      <w:r w:rsidRPr="00AD79C7">
        <w:rPr>
          <w:rFonts w:ascii="Abadi" w:hAnsi="Abadi"/>
          <w:b/>
          <w:bCs/>
          <w:spacing w:val="69"/>
          <w:sz w:val="21"/>
          <w:szCs w:val="21"/>
        </w:rPr>
        <w:t xml:space="preserve"> </w:t>
      </w:r>
      <w:r w:rsidRPr="00AD79C7">
        <w:rPr>
          <w:rFonts w:ascii="Abadi" w:hAnsi="Abadi"/>
          <w:b/>
          <w:bCs/>
          <w:sz w:val="21"/>
          <w:szCs w:val="21"/>
        </w:rPr>
        <w:t>del</w:t>
      </w:r>
      <w:r w:rsidRPr="00AD79C7">
        <w:rPr>
          <w:rFonts w:ascii="Abadi" w:hAnsi="Abadi"/>
          <w:b/>
          <w:bCs/>
          <w:spacing w:val="69"/>
          <w:sz w:val="21"/>
          <w:szCs w:val="21"/>
        </w:rPr>
        <w:t xml:space="preserve"> </w:t>
      </w:r>
      <w:r w:rsidRPr="00AD79C7">
        <w:rPr>
          <w:rFonts w:ascii="Abadi" w:hAnsi="Abadi"/>
          <w:b/>
          <w:bCs/>
          <w:sz w:val="21"/>
          <w:szCs w:val="21"/>
        </w:rPr>
        <w:t>Grupo Parlamentario del Partido Revolucionario Institucional.</w:t>
      </w:r>
    </w:p>
    <w:p w14:paraId="6338B887" w14:textId="77777777" w:rsidR="00CF4C7E" w:rsidRPr="00CF4C7E" w:rsidRDefault="00CF4C7E" w:rsidP="006B00FD">
      <w:pPr>
        <w:pStyle w:val="Prrafodelista"/>
        <w:ind w:left="851"/>
        <w:rPr>
          <w:rFonts w:ascii="Abadi" w:hAnsi="Abadi"/>
          <w:b/>
          <w:bCs/>
          <w:sz w:val="21"/>
          <w:szCs w:val="21"/>
        </w:rPr>
      </w:pPr>
    </w:p>
    <w:p w14:paraId="536D7940" w14:textId="5CCA458F" w:rsidR="00CF4C7E" w:rsidRDefault="00CF4C7E" w:rsidP="005433FA">
      <w:pPr>
        <w:pStyle w:val="Prrafodelista"/>
        <w:numPr>
          <w:ilvl w:val="0"/>
          <w:numId w:val="8"/>
        </w:numPr>
        <w:kinsoku w:val="0"/>
        <w:overflowPunct w:val="0"/>
        <w:autoSpaceDE w:val="0"/>
        <w:autoSpaceDN w:val="0"/>
        <w:adjustRightInd w:val="0"/>
        <w:spacing w:before="220"/>
        <w:ind w:left="851" w:right="566"/>
        <w:jc w:val="both"/>
        <w:rPr>
          <w:rFonts w:ascii="Abadi" w:hAnsi="Abadi"/>
          <w:b/>
          <w:bCs/>
          <w:sz w:val="21"/>
          <w:szCs w:val="21"/>
        </w:rPr>
      </w:pPr>
      <w:r w:rsidRPr="00AD79C7">
        <w:rPr>
          <w:rFonts w:ascii="Abadi" w:hAnsi="Abadi"/>
          <w:b/>
          <w:bCs/>
          <w:sz w:val="21"/>
          <w:szCs w:val="21"/>
        </w:rPr>
        <w:t>Presentación</w:t>
      </w:r>
      <w:r w:rsidRPr="00AD79C7">
        <w:rPr>
          <w:rFonts w:ascii="Abadi" w:hAnsi="Abadi"/>
          <w:b/>
          <w:bCs/>
          <w:spacing w:val="21"/>
          <w:sz w:val="21"/>
          <w:szCs w:val="21"/>
        </w:rPr>
        <w:t xml:space="preserve"> </w:t>
      </w:r>
      <w:r w:rsidRPr="00AD79C7">
        <w:rPr>
          <w:rFonts w:ascii="Abadi" w:hAnsi="Abadi"/>
          <w:b/>
          <w:bCs/>
          <w:sz w:val="21"/>
          <w:szCs w:val="21"/>
        </w:rPr>
        <w:t>de</w:t>
      </w:r>
      <w:r w:rsidRPr="00AD79C7">
        <w:rPr>
          <w:rFonts w:ascii="Abadi" w:hAnsi="Abadi"/>
          <w:b/>
          <w:bCs/>
          <w:spacing w:val="21"/>
          <w:sz w:val="21"/>
          <w:szCs w:val="21"/>
        </w:rPr>
        <w:t xml:space="preserve"> </w:t>
      </w:r>
      <w:r w:rsidRPr="00AD79C7">
        <w:rPr>
          <w:rFonts w:ascii="Abadi" w:hAnsi="Abadi"/>
          <w:b/>
          <w:bCs/>
          <w:sz w:val="21"/>
          <w:szCs w:val="21"/>
        </w:rPr>
        <w:t>la</w:t>
      </w:r>
      <w:r w:rsidRPr="00AD79C7">
        <w:rPr>
          <w:rFonts w:ascii="Abadi" w:hAnsi="Abadi"/>
          <w:b/>
          <w:bCs/>
          <w:spacing w:val="21"/>
          <w:sz w:val="21"/>
          <w:szCs w:val="21"/>
        </w:rPr>
        <w:t xml:space="preserve"> </w:t>
      </w:r>
      <w:r w:rsidRPr="00AD79C7">
        <w:rPr>
          <w:rFonts w:ascii="Abadi" w:hAnsi="Abadi"/>
          <w:b/>
          <w:bCs/>
          <w:sz w:val="21"/>
          <w:szCs w:val="21"/>
        </w:rPr>
        <w:t>iniciativa</w:t>
      </w:r>
      <w:r w:rsidRPr="00AD79C7">
        <w:rPr>
          <w:rFonts w:ascii="Abadi" w:hAnsi="Abadi"/>
          <w:b/>
          <w:bCs/>
          <w:spacing w:val="21"/>
          <w:sz w:val="21"/>
          <w:szCs w:val="21"/>
        </w:rPr>
        <w:t xml:space="preserve"> </w:t>
      </w:r>
      <w:r w:rsidRPr="00AD79C7">
        <w:rPr>
          <w:rFonts w:ascii="Abadi" w:hAnsi="Abadi"/>
          <w:b/>
          <w:bCs/>
          <w:sz w:val="21"/>
          <w:szCs w:val="21"/>
        </w:rPr>
        <w:t>suscrita</w:t>
      </w:r>
      <w:r w:rsidRPr="00AD79C7">
        <w:rPr>
          <w:rFonts w:ascii="Abadi" w:hAnsi="Abadi"/>
          <w:b/>
          <w:bCs/>
          <w:spacing w:val="21"/>
          <w:sz w:val="21"/>
          <w:szCs w:val="21"/>
        </w:rPr>
        <w:t xml:space="preserve"> </w:t>
      </w:r>
      <w:r w:rsidRPr="00AD79C7">
        <w:rPr>
          <w:rFonts w:ascii="Abadi" w:hAnsi="Abadi"/>
          <w:b/>
          <w:bCs/>
          <w:sz w:val="21"/>
          <w:szCs w:val="21"/>
        </w:rPr>
        <w:t>por</w:t>
      </w:r>
      <w:r w:rsidRPr="00AD79C7">
        <w:rPr>
          <w:rFonts w:ascii="Abadi" w:hAnsi="Abadi"/>
          <w:b/>
          <w:bCs/>
          <w:spacing w:val="20"/>
          <w:sz w:val="21"/>
          <w:szCs w:val="21"/>
        </w:rPr>
        <w:t xml:space="preserve"> </w:t>
      </w:r>
      <w:r w:rsidRPr="00AD79C7">
        <w:rPr>
          <w:rFonts w:ascii="Abadi" w:hAnsi="Abadi"/>
          <w:b/>
          <w:bCs/>
          <w:sz w:val="21"/>
          <w:szCs w:val="21"/>
        </w:rPr>
        <w:t>la</w:t>
      </w:r>
      <w:r w:rsidRPr="00AD79C7">
        <w:rPr>
          <w:rFonts w:ascii="Abadi" w:hAnsi="Abadi"/>
          <w:b/>
          <w:bCs/>
          <w:spacing w:val="21"/>
          <w:sz w:val="21"/>
          <w:szCs w:val="21"/>
        </w:rPr>
        <w:t xml:space="preserve"> </w:t>
      </w:r>
      <w:r w:rsidRPr="00AD79C7">
        <w:rPr>
          <w:rFonts w:ascii="Abadi" w:hAnsi="Abadi"/>
          <w:b/>
          <w:bCs/>
          <w:sz w:val="21"/>
          <w:szCs w:val="21"/>
        </w:rPr>
        <w:t>diputada</w:t>
      </w:r>
      <w:r w:rsidRPr="00AD79C7">
        <w:rPr>
          <w:rFonts w:ascii="Abadi" w:hAnsi="Abadi"/>
          <w:b/>
          <w:bCs/>
          <w:spacing w:val="21"/>
          <w:sz w:val="21"/>
          <w:szCs w:val="21"/>
        </w:rPr>
        <w:t xml:space="preserve"> </w:t>
      </w:r>
      <w:r w:rsidRPr="00AD79C7">
        <w:rPr>
          <w:rFonts w:ascii="Abadi" w:hAnsi="Abadi"/>
          <w:b/>
          <w:bCs/>
          <w:sz w:val="21"/>
          <w:szCs w:val="21"/>
        </w:rPr>
        <w:t>Martha</w:t>
      </w:r>
      <w:r w:rsidRPr="00AD79C7">
        <w:rPr>
          <w:rFonts w:ascii="Abadi" w:hAnsi="Abadi"/>
          <w:b/>
          <w:bCs/>
          <w:spacing w:val="21"/>
          <w:sz w:val="21"/>
          <w:szCs w:val="21"/>
        </w:rPr>
        <w:t xml:space="preserve"> </w:t>
      </w:r>
      <w:r w:rsidRPr="00AD79C7">
        <w:rPr>
          <w:rFonts w:ascii="Abadi" w:hAnsi="Abadi"/>
          <w:b/>
          <w:bCs/>
          <w:sz w:val="21"/>
          <w:szCs w:val="21"/>
        </w:rPr>
        <w:t>Edith</w:t>
      </w:r>
      <w:r w:rsidRPr="00AD79C7">
        <w:rPr>
          <w:rFonts w:ascii="Abadi" w:hAnsi="Abadi"/>
          <w:b/>
          <w:bCs/>
          <w:spacing w:val="21"/>
          <w:sz w:val="21"/>
          <w:szCs w:val="21"/>
        </w:rPr>
        <w:t xml:space="preserve"> </w:t>
      </w:r>
      <w:r w:rsidRPr="00AD79C7">
        <w:rPr>
          <w:rFonts w:ascii="Abadi" w:hAnsi="Abadi"/>
          <w:b/>
          <w:bCs/>
          <w:sz w:val="21"/>
          <w:szCs w:val="21"/>
        </w:rPr>
        <w:t>Moreno</w:t>
      </w:r>
      <w:r w:rsidRPr="00AD79C7">
        <w:rPr>
          <w:rFonts w:ascii="Abadi" w:hAnsi="Abadi"/>
          <w:b/>
          <w:bCs/>
          <w:spacing w:val="-1"/>
          <w:sz w:val="21"/>
          <w:szCs w:val="21"/>
        </w:rPr>
        <w:t xml:space="preserve"> </w:t>
      </w:r>
      <w:r w:rsidRPr="00AD79C7">
        <w:rPr>
          <w:rFonts w:ascii="Abadi" w:hAnsi="Abadi"/>
          <w:b/>
          <w:bCs/>
          <w:sz w:val="21"/>
          <w:szCs w:val="21"/>
        </w:rPr>
        <w:t>Valencia</w:t>
      </w:r>
      <w:r w:rsidRPr="00AD79C7">
        <w:rPr>
          <w:rFonts w:ascii="Abadi" w:hAnsi="Abadi"/>
          <w:b/>
          <w:bCs/>
          <w:spacing w:val="26"/>
          <w:sz w:val="21"/>
          <w:szCs w:val="21"/>
        </w:rPr>
        <w:t xml:space="preserve"> </w:t>
      </w:r>
      <w:r w:rsidRPr="00AD79C7">
        <w:rPr>
          <w:rFonts w:ascii="Abadi" w:hAnsi="Abadi"/>
          <w:b/>
          <w:bCs/>
          <w:sz w:val="21"/>
          <w:szCs w:val="21"/>
        </w:rPr>
        <w:t>integrante</w:t>
      </w:r>
      <w:r w:rsidRPr="00AD79C7">
        <w:rPr>
          <w:rFonts w:ascii="Abadi" w:hAnsi="Abadi"/>
          <w:b/>
          <w:bCs/>
          <w:spacing w:val="26"/>
          <w:sz w:val="21"/>
          <w:szCs w:val="21"/>
        </w:rPr>
        <w:t xml:space="preserve"> </w:t>
      </w:r>
      <w:r w:rsidRPr="00AD79C7">
        <w:rPr>
          <w:rFonts w:ascii="Abadi" w:hAnsi="Abadi"/>
          <w:b/>
          <w:bCs/>
          <w:sz w:val="21"/>
          <w:szCs w:val="21"/>
        </w:rPr>
        <w:t>del</w:t>
      </w:r>
      <w:r w:rsidRPr="00AD79C7">
        <w:rPr>
          <w:rFonts w:ascii="Abadi" w:hAnsi="Abadi"/>
          <w:b/>
          <w:bCs/>
          <w:spacing w:val="26"/>
          <w:sz w:val="21"/>
          <w:szCs w:val="21"/>
        </w:rPr>
        <w:t xml:space="preserve"> </w:t>
      </w:r>
      <w:r w:rsidRPr="00AD79C7">
        <w:rPr>
          <w:rFonts w:ascii="Abadi" w:hAnsi="Abadi"/>
          <w:b/>
          <w:bCs/>
          <w:sz w:val="21"/>
          <w:szCs w:val="21"/>
        </w:rPr>
        <w:t>Grupo</w:t>
      </w:r>
      <w:r w:rsidRPr="00AD79C7">
        <w:rPr>
          <w:rFonts w:ascii="Abadi" w:hAnsi="Abadi"/>
          <w:b/>
          <w:bCs/>
          <w:spacing w:val="26"/>
          <w:sz w:val="21"/>
          <w:szCs w:val="21"/>
        </w:rPr>
        <w:t xml:space="preserve"> </w:t>
      </w:r>
      <w:r w:rsidRPr="00AD79C7">
        <w:rPr>
          <w:rFonts w:ascii="Abadi" w:hAnsi="Abadi"/>
          <w:b/>
          <w:bCs/>
          <w:sz w:val="21"/>
          <w:szCs w:val="21"/>
        </w:rPr>
        <w:t>Parlamentario</w:t>
      </w:r>
      <w:r w:rsidRPr="00AD79C7">
        <w:rPr>
          <w:rFonts w:ascii="Abadi" w:hAnsi="Abadi"/>
          <w:b/>
          <w:bCs/>
          <w:spacing w:val="26"/>
          <w:sz w:val="21"/>
          <w:szCs w:val="21"/>
        </w:rPr>
        <w:t xml:space="preserve"> </w:t>
      </w:r>
      <w:r w:rsidRPr="00AD79C7">
        <w:rPr>
          <w:rFonts w:ascii="Abadi" w:hAnsi="Abadi"/>
          <w:b/>
          <w:bCs/>
          <w:sz w:val="21"/>
          <w:szCs w:val="21"/>
        </w:rPr>
        <w:t>del</w:t>
      </w:r>
      <w:r w:rsidRPr="00AD79C7">
        <w:rPr>
          <w:rFonts w:ascii="Abadi" w:hAnsi="Abadi"/>
          <w:b/>
          <w:bCs/>
          <w:spacing w:val="26"/>
          <w:sz w:val="21"/>
          <w:szCs w:val="21"/>
        </w:rPr>
        <w:t xml:space="preserve"> </w:t>
      </w:r>
      <w:r w:rsidRPr="00AD79C7">
        <w:rPr>
          <w:rFonts w:ascii="Abadi" w:hAnsi="Abadi"/>
          <w:b/>
          <w:bCs/>
          <w:sz w:val="21"/>
          <w:szCs w:val="21"/>
        </w:rPr>
        <w:t>Partido</w:t>
      </w:r>
      <w:r w:rsidRPr="00AD79C7">
        <w:rPr>
          <w:rFonts w:ascii="Abadi" w:hAnsi="Abadi"/>
          <w:b/>
          <w:bCs/>
          <w:spacing w:val="26"/>
          <w:sz w:val="21"/>
          <w:szCs w:val="21"/>
        </w:rPr>
        <w:t xml:space="preserve"> </w:t>
      </w:r>
      <w:r w:rsidRPr="00AD79C7">
        <w:rPr>
          <w:rFonts w:ascii="Abadi" w:hAnsi="Abadi"/>
          <w:b/>
          <w:bCs/>
          <w:sz w:val="21"/>
          <w:szCs w:val="21"/>
        </w:rPr>
        <w:t>MORENA,</w:t>
      </w:r>
      <w:r w:rsidRPr="00AD79C7">
        <w:rPr>
          <w:rFonts w:ascii="Abadi" w:hAnsi="Abadi"/>
          <w:b/>
          <w:bCs/>
          <w:spacing w:val="26"/>
          <w:sz w:val="21"/>
          <w:szCs w:val="21"/>
        </w:rPr>
        <w:t xml:space="preserve"> </w:t>
      </w:r>
      <w:r w:rsidRPr="00AD79C7">
        <w:rPr>
          <w:rFonts w:ascii="Abadi" w:hAnsi="Abadi"/>
          <w:b/>
          <w:bCs/>
          <w:sz w:val="21"/>
          <w:szCs w:val="21"/>
        </w:rPr>
        <w:t>por</w:t>
      </w:r>
      <w:r w:rsidRPr="00AD79C7">
        <w:rPr>
          <w:rFonts w:ascii="Abadi" w:hAnsi="Abadi"/>
          <w:b/>
          <w:bCs/>
          <w:spacing w:val="26"/>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que</w:t>
      </w:r>
      <w:r w:rsidRPr="00AD79C7">
        <w:rPr>
          <w:rFonts w:ascii="Abadi" w:hAnsi="Abadi"/>
          <w:b/>
          <w:bCs/>
          <w:spacing w:val="15"/>
          <w:sz w:val="21"/>
          <w:szCs w:val="21"/>
        </w:rPr>
        <w:t xml:space="preserve"> </w:t>
      </w:r>
      <w:r w:rsidRPr="00AD79C7">
        <w:rPr>
          <w:rFonts w:ascii="Abadi" w:hAnsi="Abadi"/>
          <w:b/>
          <w:bCs/>
          <w:sz w:val="21"/>
          <w:szCs w:val="21"/>
        </w:rPr>
        <w:t>se</w:t>
      </w:r>
      <w:r w:rsidRPr="00AD79C7">
        <w:rPr>
          <w:rFonts w:ascii="Abadi" w:hAnsi="Abadi"/>
          <w:b/>
          <w:bCs/>
          <w:spacing w:val="15"/>
          <w:sz w:val="21"/>
          <w:szCs w:val="21"/>
        </w:rPr>
        <w:t xml:space="preserve"> </w:t>
      </w:r>
      <w:r w:rsidRPr="00AD79C7">
        <w:rPr>
          <w:rFonts w:ascii="Abadi" w:hAnsi="Abadi"/>
          <w:b/>
          <w:bCs/>
          <w:sz w:val="21"/>
          <w:szCs w:val="21"/>
        </w:rPr>
        <w:t>reforma</w:t>
      </w:r>
      <w:r w:rsidRPr="00AD79C7">
        <w:rPr>
          <w:rFonts w:ascii="Abadi" w:hAnsi="Abadi"/>
          <w:b/>
          <w:bCs/>
          <w:spacing w:val="15"/>
          <w:sz w:val="21"/>
          <w:szCs w:val="21"/>
        </w:rPr>
        <w:t xml:space="preserve"> </w:t>
      </w:r>
      <w:r w:rsidRPr="00AD79C7">
        <w:rPr>
          <w:rFonts w:ascii="Abadi" w:hAnsi="Abadi"/>
          <w:b/>
          <w:bCs/>
          <w:sz w:val="21"/>
          <w:szCs w:val="21"/>
        </w:rPr>
        <w:t>el</w:t>
      </w:r>
      <w:r w:rsidRPr="00AD79C7">
        <w:rPr>
          <w:rFonts w:ascii="Abadi" w:hAnsi="Abadi"/>
          <w:b/>
          <w:bCs/>
          <w:spacing w:val="15"/>
          <w:sz w:val="21"/>
          <w:szCs w:val="21"/>
        </w:rPr>
        <w:t xml:space="preserve"> </w:t>
      </w:r>
      <w:r w:rsidRPr="00AD79C7">
        <w:rPr>
          <w:rFonts w:ascii="Abadi" w:hAnsi="Abadi"/>
          <w:b/>
          <w:bCs/>
          <w:sz w:val="21"/>
          <w:szCs w:val="21"/>
        </w:rPr>
        <w:t>último</w:t>
      </w:r>
      <w:r w:rsidRPr="00AD79C7">
        <w:rPr>
          <w:rFonts w:ascii="Abadi" w:hAnsi="Abadi"/>
          <w:b/>
          <w:bCs/>
          <w:spacing w:val="15"/>
          <w:sz w:val="21"/>
          <w:szCs w:val="21"/>
        </w:rPr>
        <w:t xml:space="preserve"> </w:t>
      </w:r>
      <w:r w:rsidRPr="00AD79C7">
        <w:rPr>
          <w:rFonts w:ascii="Abadi" w:hAnsi="Abadi"/>
          <w:b/>
          <w:bCs/>
          <w:sz w:val="21"/>
          <w:szCs w:val="21"/>
        </w:rPr>
        <w:t>párrafo</w:t>
      </w:r>
      <w:r w:rsidRPr="00AD79C7">
        <w:rPr>
          <w:rFonts w:ascii="Abadi" w:hAnsi="Abadi"/>
          <w:b/>
          <w:bCs/>
          <w:spacing w:val="15"/>
          <w:sz w:val="21"/>
          <w:szCs w:val="21"/>
        </w:rPr>
        <w:t xml:space="preserve"> </w:t>
      </w:r>
      <w:r w:rsidRPr="00AD79C7">
        <w:rPr>
          <w:rFonts w:ascii="Abadi" w:hAnsi="Abadi"/>
          <w:b/>
          <w:bCs/>
          <w:sz w:val="21"/>
          <w:szCs w:val="21"/>
        </w:rPr>
        <w:t>y</w:t>
      </w:r>
      <w:r w:rsidRPr="00AD79C7">
        <w:rPr>
          <w:rFonts w:ascii="Abadi" w:hAnsi="Abadi"/>
          <w:b/>
          <w:bCs/>
          <w:spacing w:val="15"/>
          <w:sz w:val="21"/>
          <w:szCs w:val="21"/>
        </w:rPr>
        <w:t xml:space="preserve"> </w:t>
      </w:r>
      <w:r w:rsidRPr="00AD79C7">
        <w:rPr>
          <w:rFonts w:ascii="Abadi" w:hAnsi="Abadi"/>
          <w:b/>
          <w:bCs/>
          <w:sz w:val="21"/>
          <w:szCs w:val="21"/>
        </w:rPr>
        <w:t>se</w:t>
      </w:r>
      <w:r w:rsidRPr="00AD79C7">
        <w:rPr>
          <w:rFonts w:ascii="Abadi" w:hAnsi="Abadi"/>
          <w:b/>
          <w:bCs/>
          <w:spacing w:val="15"/>
          <w:sz w:val="21"/>
          <w:szCs w:val="21"/>
        </w:rPr>
        <w:t xml:space="preserve"> </w:t>
      </w:r>
      <w:r w:rsidRPr="00AD79C7">
        <w:rPr>
          <w:rFonts w:ascii="Abadi" w:hAnsi="Abadi"/>
          <w:b/>
          <w:bCs/>
          <w:sz w:val="21"/>
          <w:szCs w:val="21"/>
        </w:rPr>
        <w:t>adiciona</w:t>
      </w:r>
      <w:r w:rsidRPr="00AD79C7">
        <w:rPr>
          <w:rFonts w:ascii="Abadi" w:hAnsi="Abadi"/>
          <w:b/>
          <w:bCs/>
          <w:spacing w:val="15"/>
          <w:sz w:val="21"/>
          <w:szCs w:val="21"/>
        </w:rPr>
        <w:t xml:space="preserve"> </w:t>
      </w:r>
      <w:r w:rsidRPr="00AD79C7">
        <w:rPr>
          <w:rFonts w:ascii="Abadi" w:hAnsi="Abadi"/>
          <w:b/>
          <w:bCs/>
          <w:sz w:val="21"/>
          <w:szCs w:val="21"/>
        </w:rPr>
        <w:t>la</w:t>
      </w:r>
      <w:r w:rsidRPr="00AD79C7">
        <w:rPr>
          <w:rFonts w:ascii="Abadi" w:hAnsi="Abadi"/>
          <w:b/>
          <w:bCs/>
          <w:spacing w:val="15"/>
          <w:sz w:val="21"/>
          <w:szCs w:val="21"/>
        </w:rPr>
        <w:t xml:space="preserve"> </w:t>
      </w:r>
      <w:r w:rsidRPr="00AD79C7">
        <w:rPr>
          <w:rFonts w:ascii="Abadi" w:hAnsi="Abadi"/>
          <w:b/>
          <w:bCs/>
          <w:sz w:val="21"/>
          <w:szCs w:val="21"/>
        </w:rPr>
        <w:t>fracción</w:t>
      </w:r>
      <w:r w:rsidRPr="00AD79C7">
        <w:rPr>
          <w:rFonts w:ascii="Abadi" w:hAnsi="Abadi"/>
          <w:b/>
          <w:bCs/>
          <w:spacing w:val="15"/>
          <w:sz w:val="21"/>
          <w:szCs w:val="21"/>
        </w:rPr>
        <w:t xml:space="preserve"> </w:t>
      </w:r>
      <w:r w:rsidRPr="00AD79C7">
        <w:rPr>
          <w:rFonts w:ascii="Abadi" w:hAnsi="Abadi"/>
          <w:b/>
          <w:bCs/>
          <w:sz w:val="21"/>
          <w:szCs w:val="21"/>
        </w:rPr>
        <w:t>XI</w:t>
      </w:r>
      <w:r w:rsidRPr="00AD79C7">
        <w:rPr>
          <w:rFonts w:ascii="Abadi" w:hAnsi="Abadi"/>
          <w:b/>
          <w:bCs/>
          <w:spacing w:val="15"/>
          <w:sz w:val="21"/>
          <w:szCs w:val="21"/>
        </w:rPr>
        <w:t xml:space="preserve"> </w:t>
      </w:r>
      <w:r w:rsidRPr="00AD79C7">
        <w:rPr>
          <w:rFonts w:ascii="Abadi" w:hAnsi="Abadi"/>
          <w:b/>
          <w:bCs/>
          <w:sz w:val="21"/>
          <w:szCs w:val="21"/>
        </w:rPr>
        <w:t>recorriéndose</w:t>
      </w:r>
      <w:r w:rsidRPr="00AD79C7">
        <w:rPr>
          <w:rFonts w:ascii="Abadi" w:hAnsi="Abadi"/>
          <w:b/>
          <w:bCs/>
          <w:spacing w:val="-1"/>
          <w:sz w:val="21"/>
          <w:szCs w:val="21"/>
        </w:rPr>
        <w:t xml:space="preserve"> </w:t>
      </w:r>
      <w:r w:rsidRPr="00AD79C7">
        <w:rPr>
          <w:rFonts w:ascii="Abadi" w:hAnsi="Abadi"/>
          <w:b/>
          <w:bCs/>
          <w:sz w:val="21"/>
          <w:szCs w:val="21"/>
        </w:rPr>
        <w:t>las</w:t>
      </w:r>
      <w:r w:rsidRPr="00AD79C7">
        <w:rPr>
          <w:rFonts w:ascii="Abadi" w:hAnsi="Abadi"/>
          <w:b/>
          <w:bCs/>
          <w:spacing w:val="-4"/>
          <w:sz w:val="21"/>
          <w:szCs w:val="21"/>
        </w:rPr>
        <w:t xml:space="preserve"> </w:t>
      </w:r>
      <w:r w:rsidRPr="00AD79C7">
        <w:rPr>
          <w:rFonts w:ascii="Abadi" w:hAnsi="Abadi"/>
          <w:b/>
          <w:bCs/>
          <w:sz w:val="21"/>
          <w:szCs w:val="21"/>
        </w:rPr>
        <w:t>subsecuentes</w:t>
      </w:r>
      <w:r w:rsidRPr="00AD79C7">
        <w:rPr>
          <w:rFonts w:ascii="Abadi" w:hAnsi="Abadi"/>
          <w:b/>
          <w:bCs/>
          <w:spacing w:val="-4"/>
          <w:sz w:val="21"/>
          <w:szCs w:val="21"/>
        </w:rPr>
        <w:t xml:space="preserve"> </w:t>
      </w:r>
      <w:r w:rsidRPr="00AD79C7">
        <w:rPr>
          <w:rFonts w:ascii="Abadi" w:hAnsi="Abadi"/>
          <w:b/>
          <w:bCs/>
          <w:sz w:val="21"/>
          <w:szCs w:val="21"/>
        </w:rPr>
        <w:t>al</w:t>
      </w:r>
      <w:r w:rsidRPr="00AD79C7">
        <w:rPr>
          <w:rFonts w:ascii="Abadi" w:hAnsi="Abadi"/>
          <w:b/>
          <w:bCs/>
          <w:spacing w:val="-4"/>
          <w:sz w:val="21"/>
          <w:szCs w:val="21"/>
        </w:rPr>
        <w:t xml:space="preserve"> </w:t>
      </w:r>
      <w:r w:rsidRPr="00AD79C7">
        <w:rPr>
          <w:rFonts w:ascii="Abadi" w:hAnsi="Abadi"/>
          <w:b/>
          <w:bCs/>
          <w:sz w:val="21"/>
          <w:szCs w:val="21"/>
        </w:rPr>
        <w:t>artículo</w:t>
      </w:r>
      <w:r w:rsidRPr="00AD79C7">
        <w:rPr>
          <w:rFonts w:ascii="Abadi" w:hAnsi="Abadi"/>
          <w:b/>
          <w:bCs/>
          <w:spacing w:val="-4"/>
          <w:sz w:val="21"/>
          <w:szCs w:val="21"/>
        </w:rPr>
        <w:t xml:space="preserve"> </w:t>
      </w:r>
      <w:r w:rsidRPr="00AD79C7">
        <w:rPr>
          <w:rFonts w:ascii="Abadi" w:hAnsi="Abadi"/>
          <w:b/>
          <w:bCs/>
          <w:sz w:val="21"/>
          <w:szCs w:val="21"/>
        </w:rPr>
        <w:t>124</w:t>
      </w:r>
      <w:r w:rsidRPr="00AD79C7">
        <w:rPr>
          <w:rFonts w:ascii="Abadi" w:hAnsi="Abadi"/>
          <w:b/>
          <w:bCs/>
          <w:spacing w:val="-4"/>
          <w:sz w:val="21"/>
          <w:szCs w:val="21"/>
        </w:rPr>
        <w:t xml:space="preserve"> </w:t>
      </w:r>
      <w:r w:rsidRPr="00AD79C7">
        <w:rPr>
          <w:rFonts w:ascii="Abadi" w:hAnsi="Abadi"/>
          <w:b/>
          <w:bCs/>
          <w:sz w:val="21"/>
          <w:szCs w:val="21"/>
        </w:rPr>
        <w:t>y</w:t>
      </w:r>
      <w:r w:rsidRPr="00AD79C7">
        <w:rPr>
          <w:rFonts w:ascii="Abadi" w:hAnsi="Abadi"/>
          <w:b/>
          <w:bCs/>
          <w:spacing w:val="-4"/>
          <w:sz w:val="21"/>
          <w:szCs w:val="21"/>
        </w:rPr>
        <w:t xml:space="preserve"> </w:t>
      </w:r>
      <w:r w:rsidRPr="00AD79C7">
        <w:rPr>
          <w:rFonts w:ascii="Abadi" w:hAnsi="Abadi"/>
          <w:b/>
          <w:bCs/>
          <w:sz w:val="21"/>
          <w:szCs w:val="21"/>
        </w:rPr>
        <w:t>se</w:t>
      </w:r>
      <w:r w:rsidRPr="00AD79C7">
        <w:rPr>
          <w:rFonts w:ascii="Abadi" w:hAnsi="Abadi"/>
          <w:b/>
          <w:bCs/>
          <w:spacing w:val="-4"/>
          <w:sz w:val="21"/>
          <w:szCs w:val="21"/>
        </w:rPr>
        <w:t xml:space="preserve"> </w:t>
      </w:r>
      <w:r w:rsidRPr="00AD79C7">
        <w:rPr>
          <w:rFonts w:ascii="Abadi" w:hAnsi="Abadi"/>
          <w:b/>
          <w:bCs/>
          <w:sz w:val="21"/>
          <w:szCs w:val="21"/>
        </w:rPr>
        <w:t>adiciona</w:t>
      </w:r>
      <w:r w:rsidRPr="00AD79C7">
        <w:rPr>
          <w:rFonts w:ascii="Abadi" w:hAnsi="Abadi"/>
          <w:b/>
          <w:bCs/>
          <w:spacing w:val="-3"/>
          <w:sz w:val="21"/>
          <w:szCs w:val="21"/>
        </w:rPr>
        <w:t xml:space="preserve"> </w:t>
      </w:r>
      <w:r w:rsidRPr="00AD79C7">
        <w:rPr>
          <w:rFonts w:ascii="Abadi" w:hAnsi="Abadi"/>
          <w:b/>
          <w:bCs/>
          <w:sz w:val="21"/>
          <w:szCs w:val="21"/>
        </w:rPr>
        <w:t>el</w:t>
      </w:r>
      <w:r w:rsidRPr="00AD79C7">
        <w:rPr>
          <w:rFonts w:ascii="Abadi" w:hAnsi="Abadi"/>
          <w:b/>
          <w:bCs/>
          <w:spacing w:val="-4"/>
          <w:sz w:val="21"/>
          <w:szCs w:val="21"/>
        </w:rPr>
        <w:t xml:space="preserve"> </w:t>
      </w:r>
      <w:r w:rsidRPr="00AD79C7">
        <w:rPr>
          <w:rFonts w:ascii="Abadi" w:hAnsi="Abadi"/>
          <w:b/>
          <w:bCs/>
          <w:sz w:val="21"/>
          <w:szCs w:val="21"/>
        </w:rPr>
        <w:t>inciso</w:t>
      </w:r>
      <w:r w:rsidRPr="00AD79C7">
        <w:rPr>
          <w:rFonts w:ascii="Abadi" w:hAnsi="Abadi"/>
          <w:b/>
          <w:bCs/>
          <w:spacing w:val="-4"/>
          <w:sz w:val="21"/>
          <w:szCs w:val="21"/>
        </w:rPr>
        <w:t xml:space="preserve"> </w:t>
      </w:r>
      <w:r w:rsidRPr="00AD79C7">
        <w:rPr>
          <w:rFonts w:ascii="Abadi" w:hAnsi="Abadi"/>
          <w:b/>
          <w:bCs/>
          <w:sz w:val="21"/>
          <w:szCs w:val="21"/>
        </w:rPr>
        <w:t>o,</w:t>
      </w:r>
      <w:r w:rsidRPr="00AD79C7">
        <w:rPr>
          <w:rFonts w:ascii="Abadi" w:hAnsi="Abadi"/>
          <w:b/>
          <w:bCs/>
          <w:spacing w:val="-4"/>
          <w:sz w:val="21"/>
          <w:szCs w:val="21"/>
        </w:rPr>
        <w:t xml:space="preserve"> </w:t>
      </w:r>
      <w:r w:rsidRPr="00AD79C7">
        <w:rPr>
          <w:rFonts w:ascii="Abadi" w:hAnsi="Abadi"/>
          <w:b/>
          <w:bCs/>
          <w:sz w:val="21"/>
          <w:szCs w:val="21"/>
        </w:rPr>
        <w:t>a</w:t>
      </w:r>
      <w:r w:rsidRPr="00AD79C7">
        <w:rPr>
          <w:rFonts w:ascii="Abadi" w:hAnsi="Abadi"/>
          <w:b/>
          <w:bCs/>
          <w:spacing w:val="-4"/>
          <w:sz w:val="21"/>
          <w:szCs w:val="21"/>
        </w:rPr>
        <w:t xml:space="preserve"> </w:t>
      </w:r>
      <w:r w:rsidRPr="00AD79C7">
        <w:rPr>
          <w:rFonts w:ascii="Abadi" w:hAnsi="Abadi"/>
          <w:b/>
          <w:bCs/>
          <w:sz w:val="21"/>
          <w:szCs w:val="21"/>
        </w:rPr>
        <w:t>la</w:t>
      </w:r>
      <w:r w:rsidRPr="00AD79C7">
        <w:rPr>
          <w:rFonts w:ascii="Abadi" w:hAnsi="Abadi"/>
          <w:b/>
          <w:bCs/>
          <w:spacing w:val="-4"/>
          <w:sz w:val="21"/>
          <w:szCs w:val="21"/>
        </w:rPr>
        <w:t xml:space="preserve"> </w:t>
      </w:r>
      <w:r w:rsidRPr="00AD79C7">
        <w:rPr>
          <w:rFonts w:ascii="Abadi" w:hAnsi="Abadi"/>
          <w:b/>
          <w:bCs/>
          <w:sz w:val="21"/>
          <w:szCs w:val="21"/>
        </w:rPr>
        <w:t>fracción</w:t>
      </w:r>
      <w:r w:rsidRPr="00AD79C7">
        <w:rPr>
          <w:rFonts w:ascii="Abadi" w:hAnsi="Abadi"/>
          <w:b/>
          <w:bCs/>
          <w:spacing w:val="-4"/>
          <w:sz w:val="21"/>
          <w:szCs w:val="21"/>
        </w:rPr>
        <w:t xml:space="preserve"> </w:t>
      </w:r>
      <w:r w:rsidRPr="00AD79C7">
        <w:rPr>
          <w:rFonts w:ascii="Abadi" w:hAnsi="Abadi"/>
          <w:b/>
          <w:bCs/>
          <w:sz w:val="21"/>
          <w:szCs w:val="21"/>
        </w:rPr>
        <w:t>V</w:t>
      </w:r>
      <w:r w:rsidRPr="00AD79C7">
        <w:rPr>
          <w:rFonts w:ascii="Abadi" w:hAnsi="Abadi"/>
          <w:b/>
          <w:bCs/>
          <w:spacing w:val="-3"/>
          <w:sz w:val="21"/>
          <w:szCs w:val="21"/>
        </w:rPr>
        <w:t xml:space="preserve"> </w:t>
      </w:r>
      <w:r w:rsidRPr="00AD79C7">
        <w:rPr>
          <w:rFonts w:ascii="Abadi" w:hAnsi="Abadi"/>
          <w:b/>
          <w:bCs/>
          <w:sz w:val="21"/>
          <w:szCs w:val="21"/>
        </w:rPr>
        <w:t>del</w:t>
      </w:r>
      <w:r w:rsidRPr="00AD79C7">
        <w:rPr>
          <w:rFonts w:ascii="Abadi" w:hAnsi="Abadi"/>
          <w:b/>
          <w:bCs/>
          <w:spacing w:val="-1"/>
          <w:sz w:val="21"/>
          <w:szCs w:val="21"/>
        </w:rPr>
        <w:t xml:space="preserve"> </w:t>
      </w:r>
      <w:r w:rsidRPr="00AD79C7">
        <w:rPr>
          <w:rFonts w:ascii="Abadi" w:hAnsi="Abadi"/>
          <w:b/>
          <w:bCs/>
          <w:sz w:val="21"/>
          <w:szCs w:val="21"/>
        </w:rPr>
        <w:t xml:space="preserve">artículo 76, de la Ley </w:t>
      </w:r>
      <w:r w:rsidRPr="00AD79C7">
        <w:rPr>
          <w:rFonts w:ascii="Abadi" w:hAnsi="Abadi"/>
          <w:b/>
          <w:bCs/>
          <w:sz w:val="21"/>
          <w:szCs w:val="21"/>
        </w:rPr>
        <w:lastRenderedPageBreak/>
        <w:t>Orgánica Municipal para el Estado de Guanajuato.</w:t>
      </w:r>
    </w:p>
    <w:p w14:paraId="3BA18440" w14:textId="77777777" w:rsidR="007A47E8" w:rsidRPr="007A47E8" w:rsidRDefault="007A47E8" w:rsidP="006B00FD">
      <w:pPr>
        <w:pStyle w:val="Prrafodelista"/>
        <w:ind w:left="851"/>
        <w:rPr>
          <w:rFonts w:ascii="Abadi" w:hAnsi="Abadi"/>
          <w:b/>
          <w:bCs/>
          <w:sz w:val="21"/>
          <w:szCs w:val="21"/>
        </w:rPr>
      </w:pPr>
    </w:p>
    <w:p w14:paraId="7B323ECB" w14:textId="77777777" w:rsidR="007A47E8" w:rsidRPr="00AD79C7" w:rsidRDefault="007A47E8" w:rsidP="005433FA">
      <w:pPr>
        <w:pStyle w:val="Prrafodelista"/>
        <w:numPr>
          <w:ilvl w:val="0"/>
          <w:numId w:val="8"/>
        </w:numPr>
        <w:kinsoku w:val="0"/>
        <w:overflowPunct w:val="0"/>
        <w:autoSpaceDE w:val="0"/>
        <w:autoSpaceDN w:val="0"/>
        <w:adjustRightInd w:val="0"/>
        <w:ind w:left="851" w:right="566"/>
        <w:jc w:val="both"/>
        <w:rPr>
          <w:rFonts w:ascii="Abadi" w:hAnsi="Abadi"/>
          <w:b/>
          <w:bCs/>
          <w:sz w:val="21"/>
          <w:szCs w:val="21"/>
        </w:rPr>
      </w:pPr>
      <w:r w:rsidRPr="00AD79C7">
        <w:rPr>
          <w:rFonts w:ascii="Abadi" w:hAnsi="Abadi"/>
          <w:b/>
          <w:bCs/>
          <w:sz w:val="21"/>
          <w:szCs w:val="21"/>
        </w:rPr>
        <w:t>Presentación</w:t>
      </w:r>
      <w:r w:rsidRPr="00AD79C7">
        <w:rPr>
          <w:rFonts w:ascii="Abadi" w:hAnsi="Abadi"/>
          <w:b/>
          <w:bCs/>
          <w:spacing w:val="68"/>
          <w:sz w:val="21"/>
          <w:szCs w:val="21"/>
        </w:rPr>
        <w:t xml:space="preserve"> </w:t>
      </w:r>
      <w:r w:rsidRPr="00AD79C7">
        <w:rPr>
          <w:rFonts w:ascii="Abadi" w:hAnsi="Abadi"/>
          <w:b/>
          <w:bCs/>
          <w:sz w:val="21"/>
          <w:szCs w:val="21"/>
        </w:rPr>
        <w:t>de</w:t>
      </w:r>
      <w:r w:rsidRPr="00AD79C7">
        <w:rPr>
          <w:rFonts w:ascii="Abadi" w:hAnsi="Abadi"/>
          <w:b/>
          <w:bCs/>
          <w:spacing w:val="68"/>
          <w:sz w:val="21"/>
          <w:szCs w:val="21"/>
        </w:rPr>
        <w:t xml:space="preserve"> </w:t>
      </w:r>
      <w:r w:rsidRPr="00AD79C7">
        <w:rPr>
          <w:rFonts w:ascii="Abadi" w:hAnsi="Abadi"/>
          <w:b/>
          <w:bCs/>
          <w:sz w:val="21"/>
          <w:szCs w:val="21"/>
        </w:rPr>
        <w:t>la</w:t>
      </w:r>
      <w:r w:rsidRPr="00AD79C7">
        <w:rPr>
          <w:rFonts w:ascii="Abadi" w:hAnsi="Abadi"/>
          <w:b/>
          <w:bCs/>
          <w:spacing w:val="68"/>
          <w:sz w:val="21"/>
          <w:szCs w:val="21"/>
        </w:rPr>
        <w:t xml:space="preserve"> </w:t>
      </w:r>
      <w:r w:rsidRPr="00AD79C7">
        <w:rPr>
          <w:rFonts w:ascii="Abadi" w:hAnsi="Abadi"/>
          <w:b/>
          <w:bCs/>
          <w:sz w:val="21"/>
          <w:szCs w:val="21"/>
        </w:rPr>
        <w:t>iniciativa</w:t>
      </w:r>
      <w:r w:rsidRPr="00AD79C7">
        <w:rPr>
          <w:rFonts w:ascii="Abadi" w:hAnsi="Abadi"/>
          <w:b/>
          <w:bCs/>
          <w:spacing w:val="68"/>
          <w:sz w:val="21"/>
          <w:szCs w:val="21"/>
        </w:rPr>
        <w:t xml:space="preserve"> </w:t>
      </w:r>
      <w:r w:rsidRPr="00AD79C7">
        <w:rPr>
          <w:rFonts w:ascii="Abadi" w:hAnsi="Abadi"/>
          <w:b/>
          <w:bCs/>
          <w:sz w:val="21"/>
          <w:szCs w:val="21"/>
        </w:rPr>
        <w:t>a</w:t>
      </w:r>
      <w:r w:rsidRPr="00AD79C7">
        <w:rPr>
          <w:rFonts w:ascii="Abadi" w:hAnsi="Abadi"/>
          <w:b/>
          <w:bCs/>
          <w:spacing w:val="68"/>
          <w:sz w:val="21"/>
          <w:szCs w:val="21"/>
        </w:rPr>
        <w:t xml:space="preserve"> </w:t>
      </w:r>
      <w:r w:rsidRPr="00AD79C7">
        <w:rPr>
          <w:rFonts w:ascii="Abadi" w:hAnsi="Abadi"/>
          <w:b/>
          <w:bCs/>
          <w:sz w:val="21"/>
          <w:szCs w:val="21"/>
        </w:rPr>
        <w:t>efecto</w:t>
      </w:r>
      <w:r w:rsidRPr="00AD79C7">
        <w:rPr>
          <w:rFonts w:ascii="Abadi" w:hAnsi="Abadi"/>
          <w:b/>
          <w:bCs/>
          <w:spacing w:val="68"/>
          <w:sz w:val="21"/>
          <w:szCs w:val="21"/>
        </w:rPr>
        <w:t xml:space="preserve"> </w:t>
      </w:r>
      <w:r w:rsidRPr="00AD79C7">
        <w:rPr>
          <w:rFonts w:ascii="Abadi" w:hAnsi="Abadi"/>
          <w:b/>
          <w:bCs/>
          <w:sz w:val="21"/>
          <w:szCs w:val="21"/>
        </w:rPr>
        <w:t>de</w:t>
      </w:r>
      <w:r w:rsidRPr="00AD79C7">
        <w:rPr>
          <w:rFonts w:ascii="Abadi" w:hAnsi="Abadi"/>
          <w:b/>
          <w:bCs/>
          <w:spacing w:val="68"/>
          <w:sz w:val="21"/>
          <w:szCs w:val="21"/>
        </w:rPr>
        <w:t xml:space="preserve"> </w:t>
      </w:r>
      <w:r w:rsidRPr="00AD79C7">
        <w:rPr>
          <w:rFonts w:ascii="Abadi" w:hAnsi="Abadi"/>
          <w:b/>
          <w:bCs/>
          <w:sz w:val="21"/>
          <w:szCs w:val="21"/>
        </w:rPr>
        <w:t>reformar</w:t>
      </w:r>
      <w:r w:rsidRPr="00AD79C7">
        <w:rPr>
          <w:rFonts w:ascii="Abadi" w:hAnsi="Abadi"/>
          <w:b/>
          <w:bCs/>
          <w:spacing w:val="68"/>
          <w:sz w:val="21"/>
          <w:szCs w:val="21"/>
        </w:rPr>
        <w:t xml:space="preserve"> </w:t>
      </w:r>
      <w:r w:rsidRPr="00AD79C7">
        <w:rPr>
          <w:rFonts w:ascii="Abadi" w:hAnsi="Abadi"/>
          <w:b/>
          <w:bCs/>
          <w:sz w:val="21"/>
          <w:szCs w:val="21"/>
        </w:rPr>
        <w:t>y</w:t>
      </w:r>
      <w:r w:rsidRPr="00AD79C7">
        <w:rPr>
          <w:rFonts w:ascii="Abadi" w:hAnsi="Abadi"/>
          <w:b/>
          <w:bCs/>
          <w:spacing w:val="68"/>
          <w:sz w:val="21"/>
          <w:szCs w:val="21"/>
        </w:rPr>
        <w:t xml:space="preserve"> </w:t>
      </w:r>
      <w:r w:rsidRPr="00AD79C7">
        <w:rPr>
          <w:rFonts w:ascii="Abadi" w:hAnsi="Abadi"/>
          <w:b/>
          <w:bCs/>
          <w:sz w:val="21"/>
          <w:szCs w:val="21"/>
        </w:rPr>
        <w:t>adicionar</w:t>
      </w:r>
      <w:r w:rsidRPr="00AD79C7">
        <w:rPr>
          <w:rFonts w:ascii="Abadi" w:hAnsi="Abadi"/>
          <w:b/>
          <w:bCs/>
          <w:spacing w:val="68"/>
          <w:sz w:val="21"/>
          <w:szCs w:val="21"/>
        </w:rPr>
        <w:t xml:space="preserve"> </w:t>
      </w:r>
      <w:r w:rsidRPr="00AD79C7">
        <w:rPr>
          <w:rFonts w:ascii="Abadi" w:hAnsi="Abadi"/>
          <w:b/>
          <w:bCs/>
          <w:sz w:val="21"/>
          <w:szCs w:val="21"/>
        </w:rPr>
        <w:t>diversas</w:t>
      </w:r>
      <w:r w:rsidRPr="00AD79C7">
        <w:rPr>
          <w:rFonts w:ascii="Abadi" w:hAnsi="Abadi"/>
          <w:b/>
          <w:bCs/>
          <w:spacing w:val="-1"/>
          <w:sz w:val="21"/>
          <w:szCs w:val="21"/>
        </w:rPr>
        <w:t xml:space="preserve"> </w:t>
      </w:r>
      <w:r w:rsidRPr="00AD79C7">
        <w:rPr>
          <w:rFonts w:ascii="Abadi" w:hAnsi="Abadi"/>
          <w:b/>
          <w:bCs/>
          <w:sz w:val="21"/>
          <w:szCs w:val="21"/>
        </w:rPr>
        <w:t>disposiciones</w:t>
      </w:r>
      <w:r w:rsidRPr="00AD79C7">
        <w:rPr>
          <w:rFonts w:ascii="Abadi" w:hAnsi="Abadi"/>
          <w:b/>
          <w:bCs/>
          <w:spacing w:val="11"/>
          <w:sz w:val="21"/>
          <w:szCs w:val="21"/>
        </w:rPr>
        <w:t xml:space="preserve"> </w:t>
      </w:r>
      <w:r w:rsidRPr="00AD79C7">
        <w:rPr>
          <w:rFonts w:ascii="Abadi" w:hAnsi="Abadi"/>
          <w:b/>
          <w:bCs/>
          <w:sz w:val="21"/>
          <w:szCs w:val="21"/>
        </w:rPr>
        <w:t>de</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Constitución</w:t>
      </w:r>
      <w:r w:rsidRPr="00AD79C7">
        <w:rPr>
          <w:rFonts w:ascii="Abadi" w:hAnsi="Abadi"/>
          <w:b/>
          <w:bCs/>
          <w:spacing w:val="10"/>
          <w:sz w:val="21"/>
          <w:szCs w:val="21"/>
        </w:rPr>
        <w:t xml:space="preserve"> </w:t>
      </w:r>
      <w:r w:rsidRPr="00AD79C7">
        <w:rPr>
          <w:rFonts w:ascii="Abadi" w:hAnsi="Abadi"/>
          <w:b/>
          <w:bCs/>
          <w:sz w:val="21"/>
          <w:szCs w:val="21"/>
        </w:rPr>
        <w:t>Política</w:t>
      </w:r>
      <w:r w:rsidRPr="00AD79C7">
        <w:rPr>
          <w:rFonts w:ascii="Abadi" w:hAnsi="Abadi"/>
          <w:b/>
          <w:bCs/>
          <w:spacing w:val="12"/>
          <w:sz w:val="21"/>
          <w:szCs w:val="21"/>
        </w:rPr>
        <w:t xml:space="preserve"> </w:t>
      </w:r>
      <w:r w:rsidRPr="00AD79C7">
        <w:rPr>
          <w:rFonts w:ascii="Abadi" w:hAnsi="Abadi"/>
          <w:b/>
          <w:bCs/>
          <w:sz w:val="21"/>
          <w:szCs w:val="21"/>
        </w:rPr>
        <w:t>para</w:t>
      </w:r>
      <w:r w:rsidRPr="00AD79C7">
        <w:rPr>
          <w:rFonts w:ascii="Abadi" w:hAnsi="Abadi"/>
          <w:b/>
          <w:bCs/>
          <w:spacing w:val="11"/>
          <w:sz w:val="21"/>
          <w:szCs w:val="21"/>
        </w:rPr>
        <w:t xml:space="preserve"> </w:t>
      </w:r>
      <w:r w:rsidRPr="00AD79C7">
        <w:rPr>
          <w:rFonts w:ascii="Abadi" w:hAnsi="Abadi"/>
          <w:b/>
          <w:bCs/>
          <w:sz w:val="21"/>
          <w:szCs w:val="21"/>
        </w:rPr>
        <w:t>el</w:t>
      </w:r>
      <w:r w:rsidRPr="00AD79C7">
        <w:rPr>
          <w:rFonts w:ascii="Abadi" w:hAnsi="Abadi"/>
          <w:b/>
          <w:bCs/>
          <w:spacing w:val="10"/>
          <w:sz w:val="21"/>
          <w:szCs w:val="21"/>
        </w:rPr>
        <w:t xml:space="preserve"> </w:t>
      </w:r>
      <w:r w:rsidRPr="00AD79C7">
        <w:rPr>
          <w:rFonts w:ascii="Abadi" w:hAnsi="Abadi"/>
          <w:b/>
          <w:bCs/>
          <w:sz w:val="21"/>
          <w:szCs w:val="21"/>
        </w:rPr>
        <w:t>Estado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1"/>
          <w:sz w:val="21"/>
          <w:szCs w:val="21"/>
        </w:rPr>
        <w:t xml:space="preserve"> </w:t>
      </w:r>
      <w:r w:rsidRPr="00AD79C7">
        <w:rPr>
          <w:rFonts w:ascii="Abadi" w:hAnsi="Abadi"/>
          <w:b/>
          <w:bCs/>
          <w:sz w:val="21"/>
          <w:szCs w:val="21"/>
        </w:rPr>
        <w:t>Guanajuato,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30"/>
          <w:sz w:val="21"/>
          <w:szCs w:val="21"/>
        </w:rPr>
        <w:t xml:space="preserve"> </w:t>
      </w:r>
      <w:r w:rsidRPr="00AD79C7">
        <w:rPr>
          <w:rFonts w:ascii="Abadi" w:hAnsi="Abadi"/>
          <w:b/>
          <w:bCs/>
          <w:sz w:val="21"/>
          <w:szCs w:val="21"/>
        </w:rPr>
        <w:t>Ley</w:t>
      </w:r>
      <w:r w:rsidRPr="00AD79C7">
        <w:rPr>
          <w:rFonts w:ascii="Abadi" w:hAnsi="Abadi"/>
          <w:b/>
          <w:bCs/>
          <w:spacing w:val="30"/>
          <w:sz w:val="21"/>
          <w:szCs w:val="21"/>
        </w:rPr>
        <w:t xml:space="preserve"> </w:t>
      </w:r>
      <w:r w:rsidRPr="00AD79C7">
        <w:rPr>
          <w:rFonts w:ascii="Abadi" w:hAnsi="Abadi"/>
          <w:b/>
          <w:bCs/>
          <w:sz w:val="21"/>
          <w:szCs w:val="21"/>
        </w:rPr>
        <w:t>de</w:t>
      </w:r>
      <w:r w:rsidRPr="00AD79C7">
        <w:rPr>
          <w:rFonts w:ascii="Abadi" w:hAnsi="Abadi"/>
          <w:b/>
          <w:bCs/>
          <w:spacing w:val="30"/>
          <w:sz w:val="21"/>
          <w:szCs w:val="21"/>
        </w:rPr>
        <w:t xml:space="preserve"> </w:t>
      </w:r>
      <w:r w:rsidRPr="00AD79C7">
        <w:rPr>
          <w:rFonts w:ascii="Abadi" w:hAnsi="Abadi"/>
          <w:b/>
          <w:bCs/>
          <w:sz w:val="21"/>
          <w:szCs w:val="21"/>
        </w:rPr>
        <w:t>Inclusión</w:t>
      </w:r>
      <w:r w:rsidRPr="00AD79C7">
        <w:rPr>
          <w:rFonts w:ascii="Abadi" w:hAnsi="Abadi"/>
          <w:b/>
          <w:bCs/>
          <w:spacing w:val="30"/>
          <w:sz w:val="21"/>
          <w:szCs w:val="21"/>
        </w:rPr>
        <w:t xml:space="preserve"> </w:t>
      </w:r>
      <w:r w:rsidRPr="00AD79C7">
        <w:rPr>
          <w:rFonts w:ascii="Abadi" w:hAnsi="Abadi"/>
          <w:b/>
          <w:bCs/>
          <w:sz w:val="21"/>
          <w:szCs w:val="21"/>
        </w:rPr>
        <w:t>para</w:t>
      </w:r>
      <w:r w:rsidRPr="00AD79C7">
        <w:rPr>
          <w:rFonts w:ascii="Abadi" w:hAnsi="Abadi"/>
          <w:b/>
          <w:bCs/>
          <w:spacing w:val="30"/>
          <w:sz w:val="21"/>
          <w:szCs w:val="21"/>
        </w:rPr>
        <w:t xml:space="preserve"> </w:t>
      </w:r>
      <w:r w:rsidRPr="00AD79C7">
        <w:rPr>
          <w:rFonts w:ascii="Abadi" w:hAnsi="Abadi"/>
          <w:b/>
          <w:bCs/>
          <w:sz w:val="21"/>
          <w:szCs w:val="21"/>
        </w:rPr>
        <w:t>las</w:t>
      </w:r>
      <w:r w:rsidRPr="00AD79C7">
        <w:rPr>
          <w:rFonts w:ascii="Abadi" w:hAnsi="Abadi"/>
          <w:b/>
          <w:bCs/>
          <w:spacing w:val="30"/>
          <w:sz w:val="21"/>
          <w:szCs w:val="21"/>
        </w:rPr>
        <w:t xml:space="preserve"> </w:t>
      </w:r>
      <w:r w:rsidRPr="00AD79C7">
        <w:rPr>
          <w:rFonts w:ascii="Abadi" w:hAnsi="Abadi"/>
          <w:b/>
          <w:bCs/>
          <w:sz w:val="21"/>
          <w:szCs w:val="21"/>
        </w:rPr>
        <w:t>Personas</w:t>
      </w:r>
      <w:r w:rsidRPr="00AD79C7">
        <w:rPr>
          <w:rFonts w:ascii="Abadi" w:hAnsi="Abadi"/>
          <w:b/>
          <w:bCs/>
          <w:spacing w:val="30"/>
          <w:sz w:val="21"/>
          <w:szCs w:val="21"/>
        </w:rPr>
        <w:t xml:space="preserve"> </w:t>
      </w:r>
      <w:r w:rsidRPr="00AD79C7">
        <w:rPr>
          <w:rFonts w:ascii="Abadi" w:hAnsi="Abadi"/>
          <w:b/>
          <w:bCs/>
          <w:sz w:val="21"/>
          <w:szCs w:val="21"/>
        </w:rPr>
        <w:t>con</w:t>
      </w:r>
      <w:r w:rsidRPr="00AD79C7">
        <w:rPr>
          <w:rFonts w:ascii="Abadi" w:hAnsi="Abadi"/>
          <w:b/>
          <w:bCs/>
          <w:spacing w:val="30"/>
          <w:sz w:val="21"/>
          <w:szCs w:val="21"/>
        </w:rPr>
        <w:t xml:space="preserve"> </w:t>
      </w:r>
      <w:r w:rsidRPr="00AD79C7">
        <w:rPr>
          <w:rFonts w:ascii="Abadi" w:hAnsi="Abadi"/>
          <w:b/>
          <w:bCs/>
          <w:sz w:val="21"/>
          <w:szCs w:val="21"/>
        </w:rPr>
        <w:t>Discapacidad</w:t>
      </w:r>
      <w:r w:rsidRPr="00AD79C7">
        <w:rPr>
          <w:rFonts w:ascii="Abadi" w:hAnsi="Abadi"/>
          <w:b/>
          <w:bCs/>
          <w:spacing w:val="30"/>
          <w:sz w:val="21"/>
          <w:szCs w:val="21"/>
        </w:rPr>
        <w:t xml:space="preserve"> </w:t>
      </w:r>
      <w:r w:rsidRPr="00AD79C7">
        <w:rPr>
          <w:rFonts w:ascii="Abadi" w:hAnsi="Abadi"/>
          <w:b/>
          <w:bCs/>
          <w:sz w:val="21"/>
          <w:szCs w:val="21"/>
        </w:rPr>
        <w:t>en</w:t>
      </w:r>
      <w:r w:rsidRPr="00AD79C7">
        <w:rPr>
          <w:rFonts w:ascii="Abadi" w:hAnsi="Abadi"/>
          <w:b/>
          <w:bCs/>
          <w:spacing w:val="30"/>
          <w:sz w:val="21"/>
          <w:szCs w:val="21"/>
        </w:rPr>
        <w:t xml:space="preserve"> </w:t>
      </w:r>
      <w:r w:rsidRPr="00AD79C7">
        <w:rPr>
          <w:rFonts w:ascii="Abadi" w:hAnsi="Abadi"/>
          <w:b/>
          <w:bCs/>
          <w:sz w:val="21"/>
          <w:szCs w:val="21"/>
        </w:rPr>
        <w:t>el</w:t>
      </w:r>
      <w:r w:rsidRPr="00AD79C7">
        <w:rPr>
          <w:rFonts w:ascii="Abadi" w:hAnsi="Abadi"/>
          <w:b/>
          <w:bCs/>
          <w:spacing w:val="30"/>
          <w:sz w:val="21"/>
          <w:szCs w:val="21"/>
        </w:rPr>
        <w:t xml:space="preserve"> </w:t>
      </w:r>
      <w:r w:rsidRPr="00AD79C7">
        <w:rPr>
          <w:rFonts w:ascii="Abadi" w:hAnsi="Abadi"/>
          <w:b/>
          <w:bCs/>
          <w:sz w:val="21"/>
          <w:szCs w:val="21"/>
        </w:rPr>
        <w:t>Estado</w:t>
      </w:r>
      <w:r w:rsidRPr="00AD79C7">
        <w:rPr>
          <w:rFonts w:ascii="Abadi" w:hAnsi="Abadi"/>
          <w:b/>
          <w:bCs/>
          <w:spacing w:val="30"/>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Guanajuato</w:t>
      </w:r>
      <w:r w:rsidRPr="00AD79C7">
        <w:rPr>
          <w:rFonts w:ascii="Abadi" w:hAnsi="Abadi"/>
          <w:b/>
          <w:bCs/>
          <w:spacing w:val="11"/>
          <w:sz w:val="21"/>
          <w:szCs w:val="21"/>
        </w:rPr>
        <w:t xml:space="preserve"> </w:t>
      </w:r>
      <w:r w:rsidRPr="00AD79C7">
        <w:rPr>
          <w:rFonts w:ascii="Abadi" w:hAnsi="Abadi"/>
          <w:b/>
          <w:bCs/>
          <w:sz w:val="21"/>
          <w:szCs w:val="21"/>
        </w:rPr>
        <w:t>y</w:t>
      </w:r>
      <w:r w:rsidRPr="00AD79C7">
        <w:rPr>
          <w:rFonts w:ascii="Abadi" w:hAnsi="Abadi"/>
          <w:b/>
          <w:bCs/>
          <w:spacing w:val="11"/>
          <w:sz w:val="21"/>
          <w:szCs w:val="21"/>
        </w:rPr>
        <w:t xml:space="preserve"> </w:t>
      </w:r>
      <w:r w:rsidRPr="00AD79C7">
        <w:rPr>
          <w:rFonts w:ascii="Abadi" w:hAnsi="Abadi"/>
          <w:b/>
          <w:bCs/>
          <w:sz w:val="21"/>
          <w:szCs w:val="21"/>
        </w:rPr>
        <w:t>de</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Ley</w:t>
      </w:r>
      <w:r w:rsidRPr="00AD79C7">
        <w:rPr>
          <w:rFonts w:ascii="Abadi" w:hAnsi="Abadi"/>
          <w:b/>
          <w:bCs/>
          <w:spacing w:val="11"/>
          <w:sz w:val="21"/>
          <w:szCs w:val="21"/>
        </w:rPr>
        <w:t xml:space="preserve"> </w:t>
      </w:r>
      <w:r w:rsidRPr="00AD79C7">
        <w:rPr>
          <w:rFonts w:ascii="Abadi" w:hAnsi="Abadi"/>
          <w:b/>
          <w:bCs/>
          <w:sz w:val="21"/>
          <w:szCs w:val="21"/>
        </w:rPr>
        <w:t>Orgánica</w:t>
      </w:r>
      <w:r w:rsidRPr="00AD79C7">
        <w:rPr>
          <w:rFonts w:ascii="Abadi" w:hAnsi="Abadi"/>
          <w:b/>
          <w:bCs/>
          <w:spacing w:val="11"/>
          <w:sz w:val="21"/>
          <w:szCs w:val="21"/>
        </w:rPr>
        <w:t xml:space="preserve"> </w:t>
      </w:r>
      <w:r w:rsidRPr="00AD79C7">
        <w:rPr>
          <w:rFonts w:ascii="Abadi" w:hAnsi="Abadi"/>
          <w:b/>
          <w:bCs/>
          <w:sz w:val="21"/>
          <w:szCs w:val="21"/>
        </w:rPr>
        <w:t>Municipal</w:t>
      </w:r>
      <w:r w:rsidRPr="00AD79C7">
        <w:rPr>
          <w:rFonts w:ascii="Abadi" w:hAnsi="Abadi"/>
          <w:b/>
          <w:bCs/>
          <w:spacing w:val="11"/>
          <w:sz w:val="21"/>
          <w:szCs w:val="21"/>
        </w:rPr>
        <w:t xml:space="preserve"> </w:t>
      </w:r>
      <w:r w:rsidRPr="00AD79C7">
        <w:rPr>
          <w:rFonts w:ascii="Abadi" w:hAnsi="Abadi"/>
          <w:b/>
          <w:bCs/>
          <w:sz w:val="21"/>
          <w:szCs w:val="21"/>
        </w:rPr>
        <w:t>para</w:t>
      </w:r>
      <w:r w:rsidRPr="00AD79C7">
        <w:rPr>
          <w:rFonts w:ascii="Abadi" w:hAnsi="Abadi"/>
          <w:b/>
          <w:bCs/>
          <w:spacing w:val="11"/>
          <w:sz w:val="21"/>
          <w:szCs w:val="21"/>
        </w:rPr>
        <w:t xml:space="preserve"> </w:t>
      </w:r>
      <w:r w:rsidRPr="00AD79C7">
        <w:rPr>
          <w:rFonts w:ascii="Abadi" w:hAnsi="Abadi"/>
          <w:b/>
          <w:bCs/>
          <w:sz w:val="21"/>
          <w:szCs w:val="21"/>
        </w:rPr>
        <w:t>el</w:t>
      </w:r>
      <w:r w:rsidRPr="00AD79C7">
        <w:rPr>
          <w:rFonts w:ascii="Abadi" w:hAnsi="Abadi"/>
          <w:b/>
          <w:bCs/>
          <w:spacing w:val="11"/>
          <w:sz w:val="21"/>
          <w:szCs w:val="21"/>
        </w:rPr>
        <w:t xml:space="preserve"> </w:t>
      </w:r>
      <w:r w:rsidRPr="00AD79C7">
        <w:rPr>
          <w:rFonts w:ascii="Abadi" w:hAnsi="Abadi"/>
          <w:b/>
          <w:bCs/>
          <w:sz w:val="21"/>
          <w:szCs w:val="21"/>
        </w:rPr>
        <w:t>Estado</w:t>
      </w:r>
      <w:r w:rsidRPr="00AD79C7">
        <w:rPr>
          <w:rFonts w:ascii="Abadi" w:hAnsi="Abadi"/>
          <w:b/>
          <w:bCs/>
          <w:spacing w:val="11"/>
          <w:sz w:val="21"/>
          <w:szCs w:val="21"/>
        </w:rPr>
        <w:t xml:space="preserve"> </w:t>
      </w:r>
      <w:r w:rsidRPr="00AD79C7">
        <w:rPr>
          <w:rFonts w:ascii="Abadi" w:hAnsi="Abadi"/>
          <w:b/>
          <w:bCs/>
          <w:sz w:val="21"/>
          <w:szCs w:val="21"/>
        </w:rPr>
        <w:t>de</w:t>
      </w:r>
      <w:r w:rsidRPr="00AD79C7">
        <w:rPr>
          <w:rFonts w:ascii="Abadi" w:hAnsi="Abadi"/>
          <w:b/>
          <w:bCs/>
          <w:spacing w:val="11"/>
          <w:sz w:val="21"/>
          <w:szCs w:val="21"/>
        </w:rPr>
        <w:t xml:space="preserve"> </w:t>
      </w:r>
      <w:r w:rsidRPr="00AD79C7">
        <w:rPr>
          <w:rFonts w:ascii="Abadi" w:hAnsi="Abadi"/>
          <w:b/>
          <w:bCs/>
          <w:sz w:val="21"/>
          <w:szCs w:val="21"/>
        </w:rPr>
        <w:t>Guanajuato,</w:t>
      </w:r>
      <w:r w:rsidRPr="00AD79C7">
        <w:rPr>
          <w:rFonts w:ascii="Abadi" w:hAnsi="Abadi"/>
          <w:b/>
          <w:bCs/>
          <w:spacing w:val="-1"/>
          <w:sz w:val="21"/>
          <w:szCs w:val="21"/>
        </w:rPr>
        <w:t xml:space="preserve"> </w:t>
      </w:r>
      <w:r w:rsidRPr="00AD79C7">
        <w:rPr>
          <w:rFonts w:ascii="Abadi" w:hAnsi="Abadi"/>
          <w:b/>
          <w:bCs/>
          <w:sz w:val="21"/>
          <w:szCs w:val="21"/>
        </w:rPr>
        <w:t>suscrita</w:t>
      </w:r>
      <w:r w:rsidRPr="00AD79C7">
        <w:rPr>
          <w:rFonts w:ascii="Abadi" w:hAnsi="Abadi"/>
          <w:b/>
          <w:bCs/>
          <w:spacing w:val="-11"/>
          <w:sz w:val="21"/>
          <w:szCs w:val="21"/>
        </w:rPr>
        <w:t xml:space="preserve"> </w:t>
      </w:r>
      <w:r w:rsidRPr="00AD79C7">
        <w:rPr>
          <w:rFonts w:ascii="Abadi" w:hAnsi="Abadi"/>
          <w:b/>
          <w:bCs/>
          <w:sz w:val="21"/>
          <w:szCs w:val="21"/>
        </w:rPr>
        <w:t>por</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diputada</w:t>
      </w:r>
      <w:r w:rsidRPr="00AD79C7">
        <w:rPr>
          <w:rFonts w:ascii="Abadi" w:hAnsi="Abadi"/>
          <w:b/>
          <w:bCs/>
          <w:spacing w:val="-11"/>
          <w:sz w:val="21"/>
          <w:szCs w:val="21"/>
        </w:rPr>
        <w:t xml:space="preserve"> </w:t>
      </w:r>
      <w:r w:rsidRPr="00AD79C7">
        <w:rPr>
          <w:rFonts w:ascii="Abadi" w:hAnsi="Abadi"/>
          <w:b/>
          <w:bCs/>
          <w:sz w:val="21"/>
          <w:szCs w:val="21"/>
        </w:rPr>
        <w:t>Irma</w:t>
      </w:r>
      <w:r w:rsidRPr="00AD79C7">
        <w:rPr>
          <w:rFonts w:ascii="Abadi" w:hAnsi="Abadi"/>
          <w:b/>
          <w:bCs/>
          <w:spacing w:val="-11"/>
          <w:sz w:val="21"/>
          <w:szCs w:val="21"/>
        </w:rPr>
        <w:t xml:space="preserve"> </w:t>
      </w:r>
      <w:r w:rsidRPr="00AD79C7">
        <w:rPr>
          <w:rFonts w:ascii="Abadi" w:hAnsi="Abadi"/>
          <w:b/>
          <w:bCs/>
          <w:sz w:val="21"/>
          <w:szCs w:val="21"/>
        </w:rPr>
        <w:t>Leticia</w:t>
      </w:r>
      <w:r w:rsidRPr="00AD79C7">
        <w:rPr>
          <w:rFonts w:ascii="Abadi" w:hAnsi="Abadi"/>
          <w:b/>
          <w:bCs/>
          <w:spacing w:val="-11"/>
          <w:sz w:val="21"/>
          <w:szCs w:val="21"/>
        </w:rPr>
        <w:t xml:space="preserve"> </w:t>
      </w:r>
      <w:r w:rsidRPr="00AD79C7">
        <w:rPr>
          <w:rFonts w:ascii="Abadi" w:hAnsi="Abadi"/>
          <w:b/>
          <w:bCs/>
          <w:sz w:val="21"/>
          <w:szCs w:val="21"/>
        </w:rPr>
        <w:t>González</w:t>
      </w:r>
      <w:r w:rsidRPr="00AD79C7">
        <w:rPr>
          <w:rFonts w:ascii="Abadi" w:hAnsi="Abadi"/>
          <w:b/>
          <w:bCs/>
          <w:spacing w:val="-11"/>
          <w:sz w:val="21"/>
          <w:szCs w:val="21"/>
        </w:rPr>
        <w:t xml:space="preserve"> </w:t>
      </w:r>
      <w:r w:rsidRPr="00AD79C7">
        <w:rPr>
          <w:rFonts w:ascii="Abadi" w:hAnsi="Abadi"/>
          <w:b/>
          <w:bCs/>
          <w:sz w:val="21"/>
          <w:szCs w:val="21"/>
        </w:rPr>
        <w:t>Sánchez</w:t>
      </w:r>
      <w:r w:rsidRPr="00AD79C7">
        <w:rPr>
          <w:rFonts w:ascii="Abadi" w:hAnsi="Abadi"/>
          <w:b/>
          <w:bCs/>
          <w:spacing w:val="-11"/>
          <w:sz w:val="21"/>
          <w:szCs w:val="21"/>
        </w:rPr>
        <w:t xml:space="preserve"> </w:t>
      </w:r>
      <w:r w:rsidRPr="00AD79C7">
        <w:rPr>
          <w:rFonts w:ascii="Abadi" w:hAnsi="Abadi"/>
          <w:b/>
          <w:bCs/>
          <w:sz w:val="21"/>
          <w:szCs w:val="21"/>
        </w:rPr>
        <w:t>integrante</w:t>
      </w:r>
      <w:r w:rsidRPr="00AD79C7">
        <w:rPr>
          <w:rFonts w:ascii="Abadi" w:hAnsi="Abadi"/>
          <w:b/>
          <w:bCs/>
          <w:spacing w:val="-11"/>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Grupo</w:t>
      </w:r>
      <w:r w:rsidRPr="00AD79C7">
        <w:rPr>
          <w:rFonts w:ascii="Abadi" w:hAnsi="Abadi"/>
          <w:b/>
          <w:bCs/>
          <w:spacing w:val="-1"/>
          <w:sz w:val="21"/>
          <w:szCs w:val="21"/>
        </w:rPr>
        <w:t xml:space="preserve"> </w:t>
      </w:r>
      <w:r w:rsidRPr="00AD79C7">
        <w:rPr>
          <w:rFonts w:ascii="Abadi" w:hAnsi="Abadi"/>
          <w:b/>
          <w:bCs/>
          <w:sz w:val="21"/>
          <w:szCs w:val="21"/>
        </w:rPr>
        <w:t>Parlamentario del</w:t>
      </w:r>
      <w:r w:rsidRPr="00AD79C7">
        <w:rPr>
          <w:rFonts w:ascii="Abadi" w:hAnsi="Abadi"/>
          <w:b/>
          <w:bCs/>
          <w:spacing w:val="-1"/>
          <w:sz w:val="21"/>
          <w:szCs w:val="21"/>
        </w:rPr>
        <w:t xml:space="preserve"> </w:t>
      </w:r>
      <w:r w:rsidRPr="00AD79C7">
        <w:rPr>
          <w:rFonts w:ascii="Abadi" w:hAnsi="Abadi"/>
          <w:b/>
          <w:bCs/>
          <w:sz w:val="21"/>
          <w:szCs w:val="21"/>
        </w:rPr>
        <w:t>Partido MORENA.</w:t>
      </w:r>
    </w:p>
    <w:p w14:paraId="519FF22C" w14:textId="77777777" w:rsidR="007A47E8" w:rsidRPr="00AD79C7" w:rsidRDefault="007A47E8" w:rsidP="006B00FD">
      <w:pPr>
        <w:kinsoku w:val="0"/>
        <w:overflowPunct w:val="0"/>
        <w:autoSpaceDE w:val="0"/>
        <w:autoSpaceDN w:val="0"/>
        <w:adjustRightInd w:val="0"/>
        <w:spacing w:before="11"/>
        <w:ind w:right="566"/>
        <w:jc w:val="both"/>
        <w:rPr>
          <w:rFonts w:ascii="Abadi" w:hAnsi="Abadi" w:cs="Arial"/>
          <w:b/>
          <w:bCs/>
          <w:sz w:val="21"/>
          <w:szCs w:val="21"/>
        </w:rPr>
      </w:pPr>
    </w:p>
    <w:p w14:paraId="001A68B7" w14:textId="77777777" w:rsidR="007A47E8" w:rsidRPr="00AD79C7" w:rsidRDefault="007A47E8" w:rsidP="005433FA">
      <w:pPr>
        <w:pStyle w:val="Prrafodelista"/>
        <w:numPr>
          <w:ilvl w:val="0"/>
          <w:numId w:val="8"/>
        </w:numPr>
        <w:tabs>
          <w:tab w:val="left" w:pos="845"/>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Presentación</w:t>
      </w:r>
      <w:r w:rsidRPr="00AD79C7">
        <w:rPr>
          <w:rFonts w:ascii="Abadi" w:hAnsi="Abadi"/>
          <w:b/>
          <w:bCs/>
          <w:spacing w:val="35"/>
          <w:sz w:val="21"/>
          <w:szCs w:val="21"/>
        </w:rPr>
        <w:t xml:space="preserve"> </w:t>
      </w:r>
      <w:r w:rsidRPr="00AD79C7">
        <w:rPr>
          <w:rFonts w:ascii="Abadi" w:hAnsi="Abadi"/>
          <w:b/>
          <w:bCs/>
          <w:sz w:val="21"/>
          <w:szCs w:val="21"/>
        </w:rPr>
        <w:t>de</w:t>
      </w:r>
      <w:r w:rsidRPr="00AD79C7">
        <w:rPr>
          <w:rFonts w:ascii="Abadi" w:hAnsi="Abadi"/>
          <w:b/>
          <w:bCs/>
          <w:spacing w:val="35"/>
          <w:sz w:val="21"/>
          <w:szCs w:val="21"/>
        </w:rPr>
        <w:t xml:space="preserve"> </w:t>
      </w:r>
      <w:r w:rsidRPr="00AD79C7">
        <w:rPr>
          <w:rFonts w:ascii="Abadi" w:hAnsi="Abadi"/>
          <w:b/>
          <w:bCs/>
          <w:sz w:val="21"/>
          <w:szCs w:val="21"/>
        </w:rPr>
        <w:t>la</w:t>
      </w:r>
      <w:r w:rsidRPr="00AD79C7">
        <w:rPr>
          <w:rFonts w:ascii="Abadi" w:hAnsi="Abadi"/>
          <w:b/>
          <w:bCs/>
          <w:spacing w:val="36"/>
          <w:sz w:val="21"/>
          <w:szCs w:val="21"/>
        </w:rPr>
        <w:t xml:space="preserve"> </w:t>
      </w:r>
      <w:r w:rsidRPr="00AD79C7">
        <w:rPr>
          <w:rFonts w:ascii="Abadi" w:hAnsi="Abadi"/>
          <w:b/>
          <w:bCs/>
          <w:sz w:val="21"/>
          <w:szCs w:val="21"/>
        </w:rPr>
        <w:t>iniciativa</w:t>
      </w:r>
      <w:r w:rsidRPr="00AD79C7">
        <w:rPr>
          <w:rFonts w:ascii="Abadi" w:hAnsi="Abadi"/>
          <w:b/>
          <w:bCs/>
          <w:spacing w:val="35"/>
          <w:sz w:val="21"/>
          <w:szCs w:val="21"/>
        </w:rPr>
        <w:t xml:space="preserve"> </w:t>
      </w:r>
      <w:r w:rsidRPr="00AD79C7">
        <w:rPr>
          <w:rFonts w:ascii="Abadi" w:hAnsi="Abadi"/>
          <w:b/>
          <w:bCs/>
          <w:sz w:val="21"/>
          <w:szCs w:val="21"/>
        </w:rPr>
        <w:t>a</w:t>
      </w:r>
      <w:r w:rsidRPr="00AD79C7">
        <w:rPr>
          <w:rFonts w:ascii="Abadi" w:hAnsi="Abadi"/>
          <w:b/>
          <w:bCs/>
          <w:spacing w:val="35"/>
          <w:sz w:val="21"/>
          <w:szCs w:val="21"/>
        </w:rPr>
        <w:t xml:space="preserve"> </w:t>
      </w:r>
      <w:r w:rsidRPr="00AD79C7">
        <w:rPr>
          <w:rFonts w:ascii="Abadi" w:hAnsi="Abadi"/>
          <w:b/>
          <w:bCs/>
          <w:sz w:val="21"/>
          <w:szCs w:val="21"/>
        </w:rPr>
        <w:t>efecto</w:t>
      </w:r>
      <w:r w:rsidRPr="00AD79C7">
        <w:rPr>
          <w:rFonts w:ascii="Abadi" w:hAnsi="Abadi"/>
          <w:b/>
          <w:bCs/>
          <w:spacing w:val="35"/>
          <w:sz w:val="21"/>
          <w:szCs w:val="21"/>
        </w:rPr>
        <w:t xml:space="preserve"> </w:t>
      </w:r>
      <w:r w:rsidRPr="00AD79C7">
        <w:rPr>
          <w:rFonts w:ascii="Abadi" w:hAnsi="Abadi"/>
          <w:b/>
          <w:bCs/>
          <w:sz w:val="21"/>
          <w:szCs w:val="21"/>
        </w:rPr>
        <w:t>de</w:t>
      </w:r>
      <w:r w:rsidRPr="00AD79C7">
        <w:rPr>
          <w:rFonts w:ascii="Abadi" w:hAnsi="Abadi"/>
          <w:b/>
          <w:bCs/>
          <w:spacing w:val="36"/>
          <w:sz w:val="21"/>
          <w:szCs w:val="21"/>
        </w:rPr>
        <w:t xml:space="preserve"> </w:t>
      </w:r>
      <w:r w:rsidRPr="00AD79C7">
        <w:rPr>
          <w:rFonts w:ascii="Abadi" w:hAnsi="Abadi"/>
          <w:b/>
          <w:bCs/>
          <w:sz w:val="21"/>
          <w:szCs w:val="21"/>
        </w:rPr>
        <w:t>adicionar</w:t>
      </w:r>
      <w:r w:rsidRPr="00AD79C7">
        <w:rPr>
          <w:rFonts w:ascii="Abadi" w:hAnsi="Abadi"/>
          <w:b/>
          <w:bCs/>
          <w:spacing w:val="35"/>
          <w:sz w:val="21"/>
          <w:szCs w:val="21"/>
        </w:rPr>
        <w:t xml:space="preserve"> </w:t>
      </w:r>
      <w:r w:rsidRPr="00AD79C7">
        <w:rPr>
          <w:rFonts w:ascii="Abadi" w:hAnsi="Abadi"/>
          <w:b/>
          <w:bCs/>
          <w:sz w:val="21"/>
          <w:szCs w:val="21"/>
        </w:rPr>
        <w:t>un</w:t>
      </w:r>
      <w:r w:rsidRPr="00AD79C7">
        <w:rPr>
          <w:rFonts w:ascii="Abadi" w:hAnsi="Abadi"/>
          <w:b/>
          <w:bCs/>
          <w:spacing w:val="35"/>
          <w:sz w:val="21"/>
          <w:szCs w:val="21"/>
        </w:rPr>
        <w:t xml:space="preserve"> </w:t>
      </w:r>
      <w:r w:rsidRPr="00AD79C7">
        <w:rPr>
          <w:rFonts w:ascii="Abadi" w:hAnsi="Abadi"/>
          <w:b/>
          <w:bCs/>
          <w:sz w:val="21"/>
          <w:szCs w:val="21"/>
        </w:rPr>
        <w:t>segundo</w:t>
      </w:r>
      <w:r w:rsidRPr="00AD79C7">
        <w:rPr>
          <w:rFonts w:ascii="Abadi" w:hAnsi="Abadi"/>
          <w:b/>
          <w:bCs/>
          <w:spacing w:val="36"/>
          <w:sz w:val="21"/>
          <w:szCs w:val="21"/>
        </w:rPr>
        <w:t xml:space="preserve"> </w:t>
      </w:r>
      <w:r w:rsidRPr="00AD79C7">
        <w:rPr>
          <w:rFonts w:ascii="Abadi" w:hAnsi="Abadi"/>
          <w:b/>
          <w:bCs/>
          <w:sz w:val="21"/>
          <w:szCs w:val="21"/>
        </w:rPr>
        <w:t>párrafo</w:t>
      </w:r>
      <w:r w:rsidRPr="00AD79C7">
        <w:rPr>
          <w:rFonts w:ascii="Abadi" w:hAnsi="Abadi"/>
          <w:b/>
          <w:bCs/>
          <w:spacing w:val="35"/>
          <w:sz w:val="21"/>
          <w:szCs w:val="21"/>
        </w:rPr>
        <w:t xml:space="preserve"> </w:t>
      </w:r>
      <w:r w:rsidRPr="00AD79C7">
        <w:rPr>
          <w:rFonts w:ascii="Abadi" w:hAnsi="Abadi"/>
          <w:b/>
          <w:bCs/>
          <w:sz w:val="21"/>
          <w:szCs w:val="21"/>
        </w:rPr>
        <w:t>al artículo</w:t>
      </w:r>
      <w:r w:rsidRPr="00AD79C7">
        <w:rPr>
          <w:rFonts w:ascii="Abadi" w:hAnsi="Abadi"/>
          <w:b/>
          <w:bCs/>
          <w:spacing w:val="23"/>
          <w:sz w:val="21"/>
          <w:szCs w:val="21"/>
        </w:rPr>
        <w:t xml:space="preserve"> </w:t>
      </w:r>
      <w:r w:rsidRPr="00AD79C7">
        <w:rPr>
          <w:rFonts w:ascii="Abadi" w:hAnsi="Abadi"/>
          <w:b/>
          <w:bCs/>
          <w:sz w:val="21"/>
          <w:szCs w:val="21"/>
        </w:rPr>
        <w:t>35</w:t>
      </w:r>
      <w:r w:rsidRPr="00AD79C7">
        <w:rPr>
          <w:rFonts w:ascii="Abadi" w:hAnsi="Abadi"/>
          <w:b/>
          <w:bCs/>
          <w:spacing w:val="23"/>
          <w:sz w:val="21"/>
          <w:szCs w:val="21"/>
        </w:rPr>
        <w:t xml:space="preserve"> </w:t>
      </w:r>
      <w:r w:rsidRPr="00AD79C7">
        <w:rPr>
          <w:rFonts w:ascii="Abadi" w:hAnsi="Abadi"/>
          <w:b/>
          <w:bCs/>
          <w:sz w:val="21"/>
          <w:szCs w:val="21"/>
        </w:rPr>
        <w:t>de</w:t>
      </w:r>
      <w:r w:rsidRPr="00AD79C7">
        <w:rPr>
          <w:rFonts w:ascii="Abadi" w:hAnsi="Abadi"/>
          <w:b/>
          <w:bCs/>
          <w:spacing w:val="23"/>
          <w:sz w:val="21"/>
          <w:szCs w:val="21"/>
        </w:rPr>
        <w:t xml:space="preserve"> </w:t>
      </w:r>
      <w:r w:rsidRPr="00AD79C7">
        <w:rPr>
          <w:rFonts w:ascii="Abadi" w:hAnsi="Abadi"/>
          <w:b/>
          <w:bCs/>
          <w:sz w:val="21"/>
          <w:szCs w:val="21"/>
        </w:rPr>
        <w:t>la</w:t>
      </w:r>
      <w:r w:rsidRPr="00AD79C7">
        <w:rPr>
          <w:rFonts w:ascii="Abadi" w:hAnsi="Abadi"/>
          <w:b/>
          <w:bCs/>
          <w:spacing w:val="23"/>
          <w:sz w:val="21"/>
          <w:szCs w:val="21"/>
        </w:rPr>
        <w:t xml:space="preserve"> </w:t>
      </w:r>
      <w:r w:rsidRPr="00AD79C7">
        <w:rPr>
          <w:rFonts w:ascii="Abadi" w:hAnsi="Abadi"/>
          <w:b/>
          <w:bCs/>
          <w:sz w:val="21"/>
          <w:szCs w:val="21"/>
        </w:rPr>
        <w:t>Ley</w:t>
      </w:r>
      <w:r w:rsidRPr="00AD79C7">
        <w:rPr>
          <w:rFonts w:ascii="Abadi" w:hAnsi="Abadi"/>
          <w:b/>
          <w:bCs/>
          <w:spacing w:val="23"/>
          <w:sz w:val="21"/>
          <w:szCs w:val="21"/>
        </w:rPr>
        <w:t xml:space="preserve"> </w:t>
      </w:r>
      <w:r w:rsidRPr="00AD79C7">
        <w:rPr>
          <w:rFonts w:ascii="Abadi" w:hAnsi="Abadi"/>
          <w:b/>
          <w:bCs/>
          <w:sz w:val="21"/>
          <w:szCs w:val="21"/>
        </w:rPr>
        <w:t>para</w:t>
      </w:r>
      <w:r w:rsidRPr="00AD79C7">
        <w:rPr>
          <w:rFonts w:ascii="Abadi" w:hAnsi="Abadi"/>
          <w:b/>
          <w:bCs/>
          <w:spacing w:val="23"/>
          <w:sz w:val="21"/>
          <w:szCs w:val="21"/>
        </w:rPr>
        <w:t xml:space="preserve"> </w:t>
      </w:r>
      <w:r w:rsidRPr="00AD79C7">
        <w:rPr>
          <w:rFonts w:ascii="Abadi" w:hAnsi="Abadi"/>
          <w:b/>
          <w:bCs/>
          <w:sz w:val="21"/>
          <w:szCs w:val="21"/>
        </w:rPr>
        <w:t>la</w:t>
      </w:r>
      <w:r w:rsidRPr="00AD79C7">
        <w:rPr>
          <w:rFonts w:ascii="Abadi" w:hAnsi="Abadi"/>
          <w:b/>
          <w:bCs/>
          <w:spacing w:val="23"/>
          <w:sz w:val="21"/>
          <w:szCs w:val="21"/>
        </w:rPr>
        <w:t xml:space="preserve"> </w:t>
      </w:r>
      <w:r w:rsidRPr="00AD79C7">
        <w:rPr>
          <w:rFonts w:ascii="Abadi" w:hAnsi="Abadi"/>
          <w:b/>
          <w:bCs/>
          <w:sz w:val="21"/>
          <w:szCs w:val="21"/>
        </w:rPr>
        <w:t>Búsqueda</w:t>
      </w:r>
      <w:r w:rsidRPr="00AD79C7">
        <w:rPr>
          <w:rFonts w:ascii="Abadi" w:hAnsi="Abadi"/>
          <w:b/>
          <w:bCs/>
          <w:spacing w:val="23"/>
          <w:sz w:val="21"/>
          <w:szCs w:val="21"/>
        </w:rPr>
        <w:t xml:space="preserve"> </w:t>
      </w:r>
      <w:r w:rsidRPr="00AD79C7">
        <w:rPr>
          <w:rFonts w:ascii="Abadi" w:hAnsi="Abadi"/>
          <w:b/>
          <w:bCs/>
          <w:sz w:val="21"/>
          <w:szCs w:val="21"/>
        </w:rPr>
        <w:t>de</w:t>
      </w:r>
      <w:r w:rsidRPr="00AD79C7">
        <w:rPr>
          <w:rFonts w:ascii="Abadi" w:hAnsi="Abadi"/>
          <w:b/>
          <w:bCs/>
          <w:spacing w:val="23"/>
          <w:sz w:val="21"/>
          <w:szCs w:val="21"/>
        </w:rPr>
        <w:t xml:space="preserve"> </w:t>
      </w:r>
      <w:r w:rsidRPr="00AD79C7">
        <w:rPr>
          <w:rFonts w:ascii="Abadi" w:hAnsi="Abadi"/>
          <w:b/>
          <w:bCs/>
          <w:sz w:val="21"/>
          <w:szCs w:val="21"/>
        </w:rPr>
        <w:t>Personas</w:t>
      </w:r>
      <w:r w:rsidRPr="00AD79C7">
        <w:rPr>
          <w:rFonts w:ascii="Abadi" w:hAnsi="Abadi"/>
          <w:b/>
          <w:bCs/>
          <w:spacing w:val="23"/>
          <w:sz w:val="21"/>
          <w:szCs w:val="21"/>
        </w:rPr>
        <w:t xml:space="preserve"> </w:t>
      </w:r>
      <w:r w:rsidRPr="00AD79C7">
        <w:rPr>
          <w:rFonts w:ascii="Abadi" w:hAnsi="Abadi"/>
          <w:b/>
          <w:bCs/>
          <w:sz w:val="21"/>
          <w:szCs w:val="21"/>
        </w:rPr>
        <w:t>Desaparecidas</w:t>
      </w:r>
      <w:r w:rsidRPr="00AD79C7">
        <w:rPr>
          <w:rFonts w:ascii="Abadi" w:hAnsi="Abadi"/>
          <w:b/>
          <w:bCs/>
          <w:spacing w:val="23"/>
          <w:sz w:val="21"/>
          <w:szCs w:val="21"/>
        </w:rPr>
        <w:t xml:space="preserve"> </w:t>
      </w:r>
      <w:r w:rsidRPr="00AD79C7">
        <w:rPr>
          <w:rFonts w:ascii="Abadi" w:hAnsi="Abadi"/>
          <w:b/>
          <w:bCs/>
          <w:sz w:val="21"/>
          <w:szCs w:val="21"/>
        </w:rPr>
        <w:t>en</w:t>
      </w:r>
      <w:r w:rsidRPr="00AD79C7">
        <w:rPr>
          <w:rFonts w:ascii="Abadi" w:hAnsi="Abadi"/>
          <w:b/>
          <w:bCs/>
          <w:spacing w:val="23"/>
          <w:sz w:val="21"/>
          <w:szCs w:val="21"/>
        </w:rPr>
        <w:t xml:space="preserve"> </w:t>
      </w:r>
      <w:r w:rsidRPr="00AD79C7">
        <w:rPr>
          <w:rFonts w:ascii="Abadi" w:hAnsi="Abadi"/>
          <w:b/>
          <w:bCs/>
          <w:sz w:val="21"/>
          <w:szCs w:val="21"/>
        </w:rPr>
        <w:t>el Estado</w:t>
      </w:r>
      <w:r w:rsidRPr="00AD79C7">
        <w:rPr>
          <w:rFonts w:ascii="Abadi" w:hAnsi="Abadi"/>
          <w:b/>
          <w:bCs/>
          <w:spacing w:val="32"/>
          <w:sz w:val="21"/>
          <w:szCs w:val="21"/>
        </w:rPr>
        <w:t xml:space="preserve"> </w:t>
      </w:r>
      <w:r w:rsidRPr="00AD79C7">
        <w:rPr>
          <w:rFonts w:ascii="Abadi" w:hAnsi="Abadi"/>
          <w:b/>
          <w:bCs/>
          <w:sz w:val="21"/>
          <w:szCs w:val="21"/>
        </w:rPr>
        <w:t>de</w:t>
      </w:r>
      <w:r w:rsidRPr="00AD79C7">
        <w:rPr>
          <w:rFonts w:ascii="Abadi" w:hAnsi="Abadi"/>
          <w:b/>
          <w:bCs/>
          <w:spacing w:val="32"/>
          <w:sz w:val="21"/>
          <w:szCs w:val="21"/>
        </w:rPr>
        <w:t xml:space="preserve"> </w:t>
      </w:r>
      <w:r w:rsidRPr="00AD79C7">
        <w:rPr>
          <w:rFonts w:ascii="Abadi" w:hAnsi="Abadi"/>
          <w:b/>
          <w:bCs/>
          <w:sz w:val="21"/>
          <w:szCs w:val="21"/>
        </w:rPr>
        <w:t>Guanajuato</w:t>
      </w:r>
      <w:r w:rsidRPr="00AD79C7">
        <w:rPr>
          <w:rFonts w:ascii="Abadi" w:hAnsi="Abadi"/>
          <w:b/>
          <w:bCs/>
          <w:spacing w:val="31"/>
          <w:sz w:val="21"/>
          <w:szCs w:val="21"/>
        </w:rPr>
        <w:t xml:space="preserve"> </w:t>
      </w:r>
      <w:r w:rsidRPr="00AD79C7">
        <w:rPr>
          <w:rFonts w:ascii="Abadi" w:hAnsi="Abadi"/>
          <w:b/>
          <w:bCs/>
          <w:sz w:val="21"/>
          <w:szCs w:val="21"/>
        </w:rPr>
        <w:t>formulada</w:t>
      </w:r>
      <w:r w:rsidRPr="00AD79C7">
        <w:rPr>
          <w:rFonts w:ascii="Abadi" w:hAnsi="Abadi"/>
          <w:b/>
          <w:bCs/>
          <w:spacing w:val="32"/>
          <w:sz w:val="21"/>
          <w:szCs w:val="21"/>
        </w:rPr>
        <w:t xml:space="preserve"> </w:t>
      </w:r>
      <w:r w:rsidRPr="00AD79C7">
        <w:rPr>
          <w:rFonts w:ascii="Abadi" w:hAnsi="Abadi"/>
          <w:b/>
          <w:bCs/>
          <w:sz w:val="21"/>
          <w:szCs w:val="21"/>
        </w:rPr>
        <w:t>por</w:t>
      </w:r>
      <w:r w:rsidRPr="00AD79C7">
        <w:rPr>
          <w:rFonts w:ascii="Abadi" w:hAnsi="Abadi"/>
          <w:b/>
          <w:bCs/>
          <w:spacing w:val="32"/>
          <w:sz w:val="21"/>
          <w:szCs w:val="21"/>
        </w:rPr>
        <w:t xml:space="preserve"> </w:t>
      </w:r>
      <w:r w:rsidRPr="00AD79C7">
        <w:rPr>
          <w:rFonts w:ascii="Abadi" w:hAnsi="Abadi"/>
          <w:b/>
          <w:bCs/>
          <w:sz w:val="21"/>
          <w:szCs w:val="21"/>
        </w:rPr>
        <w:t>la</w:t>
      </w:r>
      <w:r w:rsidRPr="00AD79C7">
        <w:rPr>
          <w:rFonts w:ascii="Abadi" w:hAnsi="Abadi"/>
          <w:b/>
          <w:bCs/>
          <w:spacing w:val="32"/>
          <w:sz w:val="21"/>
          <w:szCs w:val="21"/>
        </w:rPr>
        <w:t xml:space="preserve"> </w:t>
      </w:r>
      <w:r w:rsidRPr="00AD79C7">
        <w:rPr>
          <w:rFonts w:ascii="Abadi" w:hAnsi="Abadi"/>
          <w:b/>
          <w:bCs/>
          <w:sz w:val="21"/>
          <w:szCs w:val="21"/>
        </w:rPr>
        <w:t>diputada</w:t>
      </w:r>
      <w:r w:rsidRPr="00AD79C7">
        <w:rPr>
          <w:rFonts w:ascii="Abadi" w:hAnsi="Abadi"/>
          <w:b/>
          <w:bCs/>
          <w:spacing w:val="32"/>
          <w:sz w:val="21"/>
          <w:szCs w:val="21"/>
        </w:rPr>
        <w:t xml:space="preserve"> </w:t>
      </w:r>
      <w:r w:rsidRPr="00AD79C7">
        <w:rPr>
          <w:rFonts w:ascii="Abadi" w:hAnsi="Abadi"/>
          <w:b/>
          <w:bCs/>
          <w:sz w:val="21"/>
          <w:szCs w:val="21"/>
        </w:rPr>
        <w:t>Hades</w:t>
      </w:r>
      <w:r w:rsidRPr="00AD79C7">
        <w:rPr>
          <w:rFonts w:ascii="Abadi" w:hAnsi="Abadi"/>
          <w:b/>
          <w:bCs/>
          <w:spacing w:val="32"/>
          <w:sz w:val="21"/>
          <w:szCs w:val="21"/>
        </w:rPr>
        <w:t xml:space="preserve"> </w:t>
      </w:r>
      <w:r w:rsidRPr="00AD79C7">
        <w:rPr>
          <w:rFonts w:ascii="Abadi" w:hAnsi="Abadi"/>
          <w:b/>
          <w:bCs/>
          <w:sz w:val="21"/>
          <w:szCs w:val="21"/>
        </w:rPr>
        <w:t>Berenice</w:t>
      </w:r>
      <w:r w:rsidRPr="00AD79C7">
        <w:rPr>
          <w:rFonts w:ascii="Abadi" w:hAnsi="Abadi"/>
          <w:b/>
          <w:bCs/>
          <w:spacing w:val="32"/>
          <w:sz w:val="21"/>
          <w:szCs w:val="21"/>
        </w:rPr>
        <w:t xml:space="preserve"> </w:t>
      </w:r>
      <w:r w:rsidRPr="00AD79C7">
        <w:rPr>
          <w:rFonts w:ascii="Abadi" w:hAnsi="Abadi"/>
          <w:b/>
          <w:bCs/>
          <w:sz w:val="21"/>
          <w:szCs w:val="21"/>
        </w:rPr>
        <w:t>Aguilar Castillo integrante del Grupo Parlamentario del Partido MORENA.</w:t>
      </w:r>
    </w:p>
    <w:p w14:paraId="74CA0540" w14:textId="77777777" w:rsidR="00091A9B" w:rsidRPr="00091A9B" w:rsidRDefault="00091A9B" w:rsidP="00091A9B">
      <w:pPr>
        <w:pStyle w:val="Prrafodelista"/>
        <w:rPr>
          <w:rFonts w:ascii="Abadi" w:hAnsi="Abadi"/>
          <w:b/>
          <w:bCs/>
          <w:sz w:val="21"/>
          <w:szCs w:val="21"/>
        </w:rPr>
      </w:pPr>
    </w:p>
    <w:p w14:paraId="6CED26F6" w14:textId="029543D6" w:rsidR="00BC3DE0" w:rsidRDefault="00BC3DE0" w:rsidP="005433FA">
      <w:pPr>
        <w:pStyle w:val="Prrafodelista"/>
        <w:numPr>
          <w:ilvl w:val="0"/>
          <w:numId w:val="8"/>
        </w:numPr>
        <w:tabs>
          <w:tab w:val="left" w:pos="845"/>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Presentación</w:t>
      </w:r>
      <w:r w:rsidRPr="00AD79C7">
        <w:rPr>
          <w:rFonts w:ascii="Abadi" w:hAnsi="Abadi"/>
          <w:b/>
          <w:bCs/>
          <w:spacing w:val="54"/>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la</w:t>
      </w:r>
      <w:r w:rsidRPr="00AD79C7">
        <w:rPr>
          <w:rFonts w:ascii="Abadi" w:hAnsi="Abadi"/>
          <w:b/>
          <w:bCs/>
          <w:spacing w:val="54"/>
          <w:sz w:val="21"/>
          <w:szCs w:val="21"/>
        </w:rPr>
        <w:t xml:space="preserve"> </w:t>
      </w:r>
      <w:r w:rsidRPr="00AD79C7">
        <w:rPr>
          <w:rFonts w:ascii="Abadi" w:hAnsi="Abadi"/>
          <w:b/>
          <w:bCs/>
          <w:sz w:val="21"/>
          <w:szCs w:val="21"/>
        </w:rPr>
        <w:t>propuesta</w:t>
      </w:r>
      <w:r w:rsidRPr="00AD79C7">
        <w:rPr>
          <w:rFonts w:ascii="Abadi" w:hAnsi="Abadi"/>
          <w:b/>
          <w:bCs/>
          <w:spacing w:val="54"/>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punto</w:t>
      </w:r>
      <w:r w:rsidRPr="00AD79C7">
        <w:rPr>
          <w:rFonts w:ascii="Abadi" w:hAnsi="Abadi"/>
          <w:b/>
          <w:bCs/>
          <w:spacing w:val="54"/>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acuerdo</w:t>
      </w:r>
      <w:r w:rsidRPr="00AD79C7">
        <w:rPr>
          <w:rFonts w:ascii="Abadi" w:hAnsi="Abadi"/>
          <w:b/>
          <w:bCs/>
          <w:spacing w:val="54"/>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obvia</w:t>
      </w:r>
      <w:r w:rsidRPr="00AD79C7">
        <w:rPr>
          <w:rFonts w:ascii="Abadi" w:hAnsi="Abadi"/>
          <w:b/>
          <w:bCs/>
          <w:spacing w:val="54"/>
          <w:sz w:val="21"/>
          <w:szCs w:val="21"/>
        </w:rPr>
        <w:t xml:space="preserve"> </w:t>
      </w:r>
      <w:r w:rsidRPr="00AD79C7">
        <w:rPr>
          <w:rFonts w:ascii="Abadi" w:hAnsi="Abadi"/>
          <w:b/>
          <w:bCs/>
          <w:sz w:val="21"/>
          <w:szCs w:val="21"/>
        </w:rPr>
        <w:t>resolución</w:t>
      </w:r>
      <w:r w:rsidRPr="00AD79C7">
        <w:rPr>
          <w:rFonts w:ascii="Abadi" w:hAnsi="Abadi"/>
          <w:b/>
          <w:bCs/>
          <w:spacing w:val="-1"/>
          <w:sz w:val="21"/>
          <w:szCs w:val="21"/>
        </w:rPr>
        <w:t xml:space="preserve"> </w:t>
      </w:r>
      <w:r w:rsidRPr="00AD79C7">
        <w:rPr>
          <w:rFonts w:ascii="Abadi" w:hAnsi="Abadi"/>
          <w:b/>
          <w:bCs/>
          <w:sz w:val="21"/>
          <w:szCs w:val="21"/>
        </w:rPr>
        <w:t>suscrita</w:t>
      </w:r>
      <w:r w:rsidRPr="00AD79C7">
        <w:rPr>
          <w:rFonts w:ascii="Abadi" w:hAnsi="Abadi"/>
          <w:b/>
          <w:bCs/>
          <w:spacing w:val="38"/>
          <w:sz w:val="21"/>
          <w:szCs w:val="21"/>
        </w:rPr>
        <w:t xml:space="preserve"> </w:t>
      </w:r>
      <w:r w:rsidRPr="00AD79C7">
        <w:rPr>
          <w:rFonts w:ascii="Abadi" w:hAnsi="Abadi"/>
          <w:b/>
          <w:bCs/>
          <w:sz w:val="21"/>
          <w:szCs w:val="21"/>
        </w:rPr>
        <w:t>por</w:t>
      </w:r>
      <w:r w:rsidRPr="00AD79C7">
        <w:rPr>
          <w:rFonts w:ascii="Abadi" w:hAnsi="Abadi"/>
          <w:b/>
          <w:bCs/>
          <w:spacing w:val="39"/>
          <w:sz w:val="21"/>
          <w:szCs w:val="21"/>
        </w:rPr>
        <w:t xml:space="preserve"> </w:t>
      </w:r>
      <w:r w:rsidRPr="00AD79C7">
        <w:rPr>
          <w:rFonts w:ascii="Abadi" w:hAnsi="Abadi"/>
          <w:b/>
          <w:bCs/>
          <w:sz w:val="21"/>
          <w:szCs w:val="21"/>
        </w:rPr>
        <w:t>las</w:t>
      </w:r>
      <w:r w:rsidRPr="00AD79C7">
        <w:rPr>
          <w:rFonts w:ascii="Abadi" w:hAnsi="Abadi"/>
          <w:b/>
          <w:bCs/>
          <w:spacing w:val="38"/>
          <w:sz w:val="21"/>
          <w:szCs w:val="21"/>
        </w:rPr>
        <w:t xml:space="preserve"> </w:t>
      </w:r>
      <w:r w:rsidRPr="00AD79C7">
        <w:rPr>
          <w:rFonts w:ascii="Abadi" w:hAnsi="Abadi"/>
          <w:b/>
          <w:bCs/>
          <w:sz w:val="21"/>
          <w:szCs w:val="21"/>
        </w:rPr>
        <w:t>diputadas</w:t>
      </w:r>
      <w:r w:rsidRPr="00AD79C7">
        <w:rPr>
          <w:rFonts w:ascii="Abadi" w:hAnsi="Abadi"/>
          <w:b/>
          <w:bCs/>
          <w:spacing w:val="38"/>
          <w:sz w:val="21"/>
          <w:szCs w:val="21"/>
        </w:rPr>
        <w:t xml:space="preserve"> </w:t>
      </w:r>
      <w:r w:rsidRPr="00AD79C7">
        <w:rPr>
          <w:rFonts w:ascii="Abadi" w:hAnsi="Abadi"/>
          <w:b/>
          <w:bCs/>
          <w:sz w:val="21"/>
          <w:szCs w:val="21"/>
        </w:rPr>
        <w:t>y</w:t>
      </w:r>
      <w:r w:rsidRPr="00AD79C7">
        <w:rPr>
          <w:rFonts w:ascii="Abadi" w:hAnsi="Abadi"/>
          <w:b/>
          <w:bCs/>
          <w:spacing w:val="38"/>
          <w:sz w:val="21"/>
          <w:szCs w:val="21"/>
        </w:rPr>
        <w:t xml:space="preserve"> </w:t>
      </w:r>
      <w:r w:rsidRPr="00AD79C7">
        <w:rPr>
          <w:rFonts w:ascii="Abadi" w:hAnsi="Abadi"/>
          <w:b/>
          <w:bCs/>
          <w:sz w:val="21"/>
          <w:szCs w:val="21"/>
        </w:rPr>
        <w:t>los</w:t>
      </w:r>
      <w:r w:rsidRPr="00AD79C7">
        <w:rPr>
          <w:rFonts w:ascii="Abadi" w:hAnsi="Abadi"/>
          <w:b/>
          <w:bCs/>
          <w:spacing w:val="38"/>
          <w:sz w:val="21"/>
          <w:szCs w:val="21"/>
        </w:rPr>
        <w:t xml:space="preserve"> </w:t>
      </w:r>
      <w:r w:rsidRPr="00AD79C7">
        <w:rPr>
          <w:rFonts w:ascii="Abadi" w:hAnsi="Abadi"/>
          <w:b/>
          <w:bCs/>
          <w:sz w:val="21"/>
          <w:szCs w:val="21"/>
        </w:rPr>
        <w:t>diputados</w:t>
      </w:r>
      <w:r w:rsidRPr="00AD79C7">
        <w:rPr>
          <w:rFonts w:ascii="Abadi" w:hAnsi="Abadi"/>
          <w:b/>
          <w:bCs/>
          <w:spacing w:val="38"/>
          <w:sz w:val="21"/>
          <w:szCs w:val="21"/>
        </w:rPr>
        <w:t xml:space="preserve"> </w:t>
      </w:r>
      <w:r w:rsidRPr="00AD79C7">
        <w:rPr>
          <w:rFonts w:ascii="Abadi" w:hAnsi="Abadi"/>
          <w:b/>
          <w:bCs/>
          <w:sz w:val="21"/>
          <w:szCs w:val="21"/>
        </w:rPr>
        <w:t>integrantes</w:t>
      </w:r>
      <w:r w:rsidRPr="00AD79C7">
        <w:rPr>
          <w:rFonts w:ascii="Abadi" w:hAnsi="Abadi"/>
          <w:b/>
          <w:bCs/>
          <w:spacing w:val="36"/>
          <w:sz w:val="21"/>
          <w:szCs w:val="21"/>
        </w:rPr>
        <w:t xml:space="preserve"> </w:t>
      </w:r>
      <w:r w:rsidRPr="00AD79C7">
        <w:rPr>
          <w:rFonts w:ascii="Abadi" w:hAnsi="Abadi"/>
          <w:b/>
          <w:bCs/>
          <w:sz w:val="21"/>
          <w:szCs w:val="21"/>
        </w:rPr>
        <w:t>de</w:t>
      </w:r>
      <w:r w:rsidRPr="00AD79C7">
        <w:rPr>
          <w:rFonts w:ascii="Abadi" w:hAnsi="Abadi"/>
          <w:b/>
          <w:bCs/>
          <w:spacing w:val="38"/>
          <w:sz w:val="21"/>
          <w:szCs w:val="21"/>
        </w:rPr>
        <w:t xml:space="preserve"> </w:t>
      </w:r>
      <w:r w:rsidRPr="00AD79C7">
        <w:rPr>
          <w:rFonts w:ascii="Abadi" w:hAnsi="Abadi"/>
          <w:b/>
          <w:bCs/>
          <w:sz w:val="21"/>
          <w:szCs w:val="21"/>
        </w:rPr>
        <w:t>la</w:t>
      </w:r>
      <w:r w:rsidRPr="00AD79C7">
        <w:rPr>
          <w:rFonts w:ascii="Abadi" w:hAnsi="Abadi"/>
          <w:b/>
          <w:bCs/>
          <w:spacing w:val="38"/>
          <w:sz w:val="21"/>
          <w:szCs w:val="21"/>
        </w:rPr>
        <w:t xml:space="preserve"> </w:t>
      </w:r>
      <w:r w:rsidRPr="00AD79C7">
        <w:rPr>
          <w:rFonts w:ascii="Abadi" w:hAnsi="Abadi"/>
          <w:b/>
          <w:bCs/>
          <w:sz w:val="21"/>
          <w:szCs w:val="21"/>
        </w:rPr>
        <w:t>Comisión</w:t>
      </w:r>
      <w:r w:rsidRPr="00AD79C7">
        <w:rPr>
          <w:rFonts w:ascii="Abadi" w:hAnsi="Abadi"/>
          <w:b/>
          <w:bCs/>
          <w:spacing w:val="38"/>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Justicia</w:t>
      </w:r>
      <w:r w:rsidRPr="00AD79C7">
        <w:rPr>
          <w:rFonts w:ascii="Abadi" w:hAnsi="Abadi"/>
          <w:b/>
          <w:bCs/>
          <w:spacing w:val="55"/>
          <w:sz w:val="21"/>
          <w:szCs w:val="21"/>
        </w:rPr>
        <w:t xml:space="preserve"> </w:t>
      </w:r>
      <w:r w:rsidRPr="00AD79C7">
        <w:rPr>
          <w:rFonts w:ascii="Abadi" w:hAnsi="Abadi"/>
          <w:b/>
          <w:bCs/>
          <w:sz w:val="21"/>
          <w:szCs w:val="21"/>
        </w:rPr>
        <w:t>a</w:t>
      </w:r>
      <w:r w:rsidRPr="00AD79C7">
        <w:rPr>
          <w:rFonts w:ascii="Abadi" w:hAnsi="Abadi"/>
          <w:b/>
          <w:bCs/>
          <w:spacing w:val="55"/>
          <w:sz w:val="21"/>
          <w:szCs w:val="21"/>
        </w:rPr>
        <w:t xml:space="preserve"> </w:t>
      </w:r>
      <w:r w:rsidRPr="00AD79C7">
        <w:rPr>
          <w:rFonts w:ascii="Abadi" w:hAnsi="Abadi"/>
          <w:b/>
          <w:bCs/>
          <w:sz w:val="21"/>
          <w:szCs w:val="21"/>
        </w:rPr>
        <w:t>efecto</w:t>
      </w:r>
      <w:r w:rsidRPr="00AD79C7">
        <w:rPr>
          <w:rFonts w:ascii="Abadi" w:hAnsi="Abadi"/>
          <w:b/>
          <w:bCs/>
          <w:spacing w:val="55"/>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exhortar</w:t>
      </w:r>
      <w:r w:rsidRPr="00AD79C7">
        <w:rPr>
          <w:rFonts w:ascii="Abadi" w:hAnsi="Abadi"/>
          <w:b/>
          <w:bCs/>
          <w:spacing w:val="54"/>
          <w:sz w:val="21"/>
          <w:szCs w:val="21"/>
        </w:rPr>
        <w:t xml:space="preserve"> </w:t>
      </w:r>
      <w:r w:rsidRPr="00AD79C7">
        <w:rPr>
          <w:rFonts w:ascii="Abadi" w:hAnsi="Abadi"/>
          <w:b/>
          <w:bCs/>
          <w:sz w:val="21"/>
          <w:szCs w:val="21"/>
        </w:rPr>
        <w:t>al</w:t>
      </w:r>
      <w:r w:rsidRPr="00AD79C7">
        <w:rPr>
          <w:rFonts w:ascii="Abadi" w:hAnsi="Abadi"/>
          <w:b/>
          <w:bCs/>
          <w:spacing w:val="54"/>
          <w:sz w:val="21"/>
          <w:szCs w:val="21"/>
        </w:rPr>
        <w:t xml:space="preserve"> </w:t>
      </w:r>
      <w:r w:rsidRPr="00AD79C7">
        <w:rPr>
          <w:rFonts w:ascii="Abadi" w:hAnsi="Abadi"/>
          <w:b/>
          <w:bCs/>
          <w:sz w:val="21"/>
          <w:szCs w:val="21"/>
        </w:rPr>
        <w:t>Congreso</w:t>
      </w:r>
      <w:r w:rsidRPr="00AD79C7">
        <w:rPr>
          <w:rFonts w:ascii="Abadi" w:hAnsi="Abadi"/>
          <w:b/>
          <w:bCs/>
          <w:spacing w:val="54"/>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la</w:t>
      </w:r>
      <w:r w:rsidRPr="00AD79C7">
        <w:rPr>
          <w:rFonts w:ascii="Abadi" w:hAnsi="Abadi"/>
          <w:b/>
          <w:bCs/>
          <w:spacing w:val="54"/>
          <w:sz w:val="21"/>
          <w:szCs w:val="21"/>
        </w:rPr>
        <w:t xml:space="preserve"> </w:t>
      </w:r>
      <w:r w:rsidRPr="00AD79C7">
        <w:rPr>
          <w:rFonts w:ascii="Abadi" w:hAnsi="Abadi"/>
          <w:b/>
          <w:bCs/>
          <w:sz w:val="21"/>
          <w:szCs w:val="21"/>
        </w:rPr>
        <w:t>Unión</w:t>
      </w:r>
      <w:r w:rsidRPr="00AD79C7">
        <w:rPr>
          <w:rFonts w:ascii="Abadi" w:hAnsi="Abadi"/>
          <w:b/>
          <w:bCs/>
          <w:spacing w:val="54"/>
          <w:sz w:val="21"/>
          <w:szCs w:val="21"/>
        </w:rPr>
        <w:t xml:space="preserve"> </w:t>
      </w:r>
      <w:r w:rsidRPr="00AD79C7">
        <w:rPr>
          <w:rFonts w:ascii="Abadi" w:hAnsi="Abadi"/>
          <w:b/>
          <w:bCs/>
          <w:sz w:val="21"/>
          <w:szCs w:val="21"/>
        </w:rPr>
        <w:t>para</w:t>
      </w:r>
      <w:r w:rsidRPr="00AD79C7">
        <w:rPr>
          <w:rFonts w:ascii="Abadi" w:hAnsi="Abadi"/>
          <w:b/>
          <w:bCs/>
          <w:spacing w:val="54"/>
          <w:sz w:val="21"/>
          <w:szCs w:val="21"/>
        </w:rPr>
        <w:t xml:space="preserve"> </w:t>
      </w:r>
      <w:r w:rsidRPr="00AD79C7">
        <w:rPr>
          <w:rFonts w:ascii="Abadi" w:hAnsi="Abadi"/>
          <w:b/>
          <w:bCs/>
          <w:sz w:val="21"/>
          <w:szCs w:val="21"/>
        </w:rPr>
        <w:t>que</w:t>
      </w:r>
      <w:r w:rsidRPr="00AD79C7">
        <w:rPr>
          <w:rFonts w:ascii="Abadi" w:hAnsi="Abadi"/>
          <w:b/>
          <w:bCs/>
          <w:spacing w:val="54"/>
          <w:sz w:val="21"/>
          <w:szCs w:val="21"/>
        </w:rPr>
        <w:t xml:space="preserve"> </w:t>
      </w:r>
      <w:r w:rsidRPr="00AD79C7">
        <w:rPr>
          <w:rFonts w:ascii="Abadi" w:hAnsi="Abadi"/>
          <w:b/>
          <w:bCs/>
          <w:sz w:val="21"/>
          <w:szCs w:val="21"/>
        </w:rPr>
        <w:t>en</w:t>
      </w:r>
      <w:r w:rsidRPr="00AD79C7">
        <w:rPr>
          <w:rFonts w:ascii="Abadi" w:hAnsi="Abadi"/>
          <w:b/>
          <w:bCs/>
          <w:spacing w:val="54"/>
          <w:sz w:val="21"/>
          <w:szCs w:val="21"/>
        </w:rPr>
        <w:t xml:space="preserve"> </w:t>
      </w:r>
      <w:r w:rsidRPr="00AD79C7">
        <w:rPr>
          <w:rFonts w:ascii="Abadi" w:hAnsi="Abadi"/>
          <w:b/>
          <w:bCs/>
          <w:sz w:val="21"/>
          <w:szCs w:val="21"/>
        </w:rPr>
        <w:t>los</w:t>
      </w:r>
      <w:r w:rsidRPr="00AD79C7">
        <w:rPr>
          <w:rFonts w:ascii="Abadi" w:hAnsi="Abadi"/>
          <w:b/>
          <w:bCs/>
          <w:spacing w:val="-1"/>
          <w:sz w:val="21"/>
          <w:szCs w:val="21"/>
        </w:rPr>
        <w:t xml:space="preserve"> </w:t>
      </w:r>
      <w:r w:rsidRPr="00AD79C7">
        <w:rPr>
          <w:rFonts w:ascii="Abadi" w:hAnsi="Abadi"/>
          <w:b/>
          <w:bCs/>
          <w:sz w:val="21"/>
          <w:szCs w:val="21"/>
        </w:rPr>
        <w:t>términos</w:t>
      </w:r>
      <w:r w:rsidRPr="00AD79C7">
        <w:rPr>
          <w:rFonts w:ascii="Abadi" w:hAnsi="Abadi"/>
          <w:b/>
          <w:bCs/>
          <w:spacing w:val="46"/>
          <w:sz w:val="21"/>
          <w:szCs w:val="21"/>
        </w:rPr>
        <w:t xml:space="preserve"> </w:t>
      </w:r>
      <w:r w:rsidRPr="00AD79C7">
        <w:rPr>
          <w:rFonts w:ascii="Abadi" w:hAnsi="Abadi"/>
          <w:b/>
          <w:bCs/>
          <w:sz w:val="21"/>
          <w:szCs w:val="21"/>
        </w:rPr>
        <w:t>del</w:t>
      </w:r>
      <w:r w:rsidRPr="00AD79C7">
        <w:rPr>
          <w:rFonts w:ascii="Abadi" w:hAnsi="Abadi"/>
          <w:b/>
          <w:bCs/>
          <w:spacing w:val="46"/>
          <w:sz w:val="21"/>
          <w:szCs w:val="21"/>
        </w:rPr>
        <w:t xml:space="preserve"> </w:t>
      </w:r>
      <w:r w:rsidRPr="00AD79C7">
        <w:rPr>
          <w:rFonts w:ascii="Abadi" w:hAnsi="Abadi"/>
          <w:b/>
          <w:bCs/>
          <w:sz w:val="21"/>
          <w:szCs w:val="21"/>
        </w:rPr>
        <w:t>artículo</w:t>
      </w:r>
      <w:r w:rsidRPr="00AD79C7">
        <w:rPr>
          <w:rFonts w:ascii="Abadi" w:hAnsi="Abadi"/>
          <w:b/>
          <w:bCs/>
          <w:spacing w:val="46"/>
          <w:sz w:val="21"/>
          <w:szCs w:val="21"/>
        </w:rPr>
        <w:t xml:space="preserve"> </w:t>
      </w:r>
      <w:r w:rsidRPr="00AD79C7">
        <w:rPr>
          <w:rFonts w:ascii="Abadi" w:hAnsi="Abadi"/>
          <w:b/>
          <w:bCs/>
          <w:sz w:val="21"/>
          <w:szCs w:val="21"/>
        </w:rPr>
        <w:t>73,</w:t>
      </w:r>
      <w:r w:rsidRPr="00AD79C7">
        <w:rPr>
          <w:rFonts w:ascii="Abadi" w:hAnsi="Abadi"/>
          <w:b/>
          <w:bCs/>
          <w:spacing w:val="46"/>
          <w:sz w:val="21"/>
          <w:szCs w:val="21"/>
        </w:rPr>
        <w:t xml:space="preserve"> </w:t>
      </w:r>
      <w:r w:rsidRPr="00AD79C7">
        <w:rPr>
          <w:rFonts w:ascii="Abadi" w:hAnsi="Abadi"/>
          <w:b/>
          <w:bCs/>
          <w:sz w:val="21"/>
          <w:szCs w:val="21"/>
        </w:rPr>
        <w:t>fracción</w:t>
      </w:r>
      <w:r w:rsidRPr="00AD79C7">
        <w:rPr>
          <w:rFonts w:ascii="Abadi" w:hAnsi="Abadi"/>
          <w:b/>
          <w:bCs/>
          <w:spacing w:val="46"/>
          <w:sz w:val="21"/>
          <w:szCs w:val="21"/>
        </w:rPr>
        <w:t xml:space="preserve"> </w:t>
      </w:r>
      <w:r w:rsidRPr="00AD79C7">
        <w:rPr>
          <w:rFonts w:ascii="Abadi" w:hAnsi="Abadi"/>
          <w:b/>
          <w:bCs/>
          <w:sz w:val="21"/>
          <w:szCs w:val="21"/>
        </w:rPr>
        <w:t>XXX</w:t>
      </w:r>
      <w:r w:rsidRPr="00AD79C7">
        <w:rPr>
          <w:rFonts w:ascii="Abadi" w:hAnsi="Abadi"/>
          <w:b/>
          <w:bCs/>
          <w:spacing w:val="47"/>
          <w:sz w:val="21"/>
          <w:szCs w:val="21"/>
        </w:rPr>
        <w:t xml:space="preserve"> </w:t>
      </w:r>
      <w:r w:rsidRPr="00AD79C7">
        <w:rPr>
          <w:rFonts w:ascii="Abadi" w:hAnsi="Abadi"/>
          <w:b/>
          <w:bCs/>
          <w:sz w:val="21"/>
          <w:szCs w:val="21"/>
        </w:rPr>
        <w:t>de</w:t>
      </w:r>
      <w:r w:rsidRPr="00AD79C7">
        <w:rPr>
          <w:rFonts w:ascii="Abadi" w:hAnsi="Abadi"/>
          <w:b/>
          <w:bCs/>
          <w:spacing w:val="46"/>
          <w:sz w:val="21"/>
          <w:szCs w:val="21"/>
        </w:rPr>
        <w:t xml:space="preserve"> </w:t>
      </w:r>
      <w:r w:rsidRPr="00AD79C7">
        <w:rPr>
          <w:rFonts w:ascii="Abadi" w:hAnsi="Abadi"/>
          <w:b/>
          <w:bCs/>
          <w:sz w:val="21"/>
          <w:szCs w:val="21"/>
        </w:rPr>
        <w:t>la</w:t>
      </w:r>
      <w:r w:rsidRPr="00AD79C7">
        <w:rPr>
          <w:rFonts w:ascii="Abadi" w:hAnsi="Abadi"/>
          <w:b/>
          <w:bCs/>
          <w:spacing w:val="46"/>
          <w:sz w:val="21"/>
          <w:szCs w:val="21"/>
        </w:rPr>
        <w:t xml:space="preserve"> </w:t>
      </w:r>
      <w:r w:rsidRPr="00AD79C7">
        <w:rPr>
          <w:rFonts w:ascii="Abadi" w:hAnsi="Abadi"/>
          <w:b/>
          <w:bCs/>
          <w:sz w:val="21"/>
          <w:szCs w:val="21"/>
        </w:rPr>
        <w:t>Constitución</w:t>
      </w:r>
      <w:r w:rsidRPr="00AD79C7">
        <w:rPr>
          <w:rFonts w:ascii="Abadi" w:hAnsi="Abadi"/>
          <w:b/>
          <w:bCs/>
          <w:spacing w:val="46"/>
          <w:sz w:val="21"/>
          <w:szCs w:val="21"/>
        </w:rPr>
        <w:t xml:space="preserve"> </w:t>
      </w:r>
      <w:r w:rsidRPr="00AD79C7">
        <w:rPr>
          <w:rFonts w:ascii="Abadi" w:hAnsi="Abadi"/>
          <w:b/>
          <w:bCs/>
          <w:sz w:val="21"/>
          <w:szCs w:val="21"/>
        </w:rPr>
        <w:t>Política</w:t>
      </w:r>
      <w:r w:rsidRPr="00AD79C7">
        <w:rPr>
          <w:rFonts w:ascii="Abadi" w:hAnsi="Abadi"/>
          <w:b/>
          <w:bCs/>
          <w:spacing w:val="46"/>
          <w:sz w:val="21"/>
          <w:szCs w:val="21"/>
        </w:rPr>
        <w:t xml:space="preserve"> </w:t>
      </w:r>
      <w:r w:rsidRPr="00AD79C7">
        <w:rPr>
          <w:rFonts w:ascii="Abadi" w:hAnsi="Abadi"/>
          <w:b/>
          <w:bCs/>
          <w:sz w:val="21"/>
          <w:szCs w:val="21"/>
        </w:rPr>
        <w:t>de</w:t>
      </w:r>
      <w:r w:rsidRPr="00AD79C7">
        <w:rPr>
          <w:rFonts w:ascii="Abadi" w:hAnsi="Abadi"/>
          <w:b/>
          <w:bCs/>
          <w:spacing w:val="46"/>
          <w:sz w:val="21"/>
          <w:szCs w:val="21"/>
        </w:rPr>
        <w:t xml:space="preserve"> </w:t>
      </w:r>
      <w:r w:rsidRPr="00AD79C7">
        <w:rPr>
          <w:rFonts w:ascii="Abadi" w:hAnsi="Abadi"/>
          <w:b/>
          <w:bCs/>
          <w:sz w:val="21"/>
          <w:szCs w:val="21"/>
        </w:rPr>
        <w:t>los</w:t>
      </w:r>
      <w:r w:rsidRPr="00AD79C7">
        <w:rPr>
          <w:rFonts w:ascii="Abadi" w:hAnsi="Abadi"/>
          <w:b/>
          <w:bCs/>
          <w:spacing w:val="-1"/>
          <w:sz w:val="21"/>
          <w:szCs w:val="21"/>
        </w:rPr>
        <w:t xml:space="preserve"> </w:t>
      </w:r>
      <w:r w:rsidRPr="00AD79C7">
        <w:rPr>
          <w:rFonts w:ascii="Abadi" w:hAnsi="Abadi"/>
          <w:b/>
          <w:bCs/>
          <w:sz w:val="21"/>
          <w:szCs w:val="21"/>
        </w:rPr>
        <w:t>Estados</w:t>
      </w:r>
      <w:r w:rsidRPr="00AD79C7">
        <w:rPr>
          <w:rFonts w:ascii="Abadi" w:hAnsi="Abadi"/>
          <w:b/>
          <w:bCs/>
          <w:spacing w:val="54"/>
          <w:w w:val="150"/>
          <w:sz w:val="21"/>
          <w:szCs w:val="21"/>
        </w:rPr>
        <w:t xml:space="preserve"> </w:t>
      </w:r>
      <w:r w:rsidRPr="00AD79C7">
        <w:rPr>
          <w:rFonts w:ascii="Abadi" w:hAnsi="Abadi"/>
          <w:b/>
          <w:bCs/>
          <w:sz w:val="21"/>
          <w:szCs w:val="21"/>
        </w:rPr>
        <w:t>Unidos</w:t>
      </w:r>
      <w:r w:rsidRPr="00AD79C7">
        <w:rPr>
          <w:rFonts w:ascii="Abadi" w:hAnsi="Abadi"/>
          <w:b/>
          <w:bCs/>
          <w:spacing w:val="54"/>
          <w:w w:val="150"/>
          <w:sz w:val="21"/>
          <w:szCs w:val="21"/>
        </w:rPr>
        <w:t xml:space="preserve"> </w:t>
      </w:r>
      <w:r w:rsidRPr="00AD79C7">
        <w:rPr>
          <w:rFonts w:ascii="Abadi" w:hAnsi="Abadi"/>
          <w:b/>
          <w:bCs/>
          <w:sz w:val="21"/>
          <w:szCs w:val="21"/>
        </w:rPr>
        <w:t>Mexicanos</w:t>
      </w:r>
      <w:r w:rsidRPr="00AD79C7">
        <w:rPr>
          <w:rFonts w:ascii="Abadi" w:hAnsi="Abadi"/>
          <w:b/>
          <w:bCs/>
          <w:spacing w:val="54"/>
          <w:w w:val="150"/>
          <w:sz w:val="21"/>
          <w:szCs w:val="21"/>
        </w:rPr>
        <w:t xml:space="preserve"> </w:t>
      </w:r>
      <w:r w:rsidRPr="00AD79C7">
        <w:rPr>
          <w:rFonts w:ascii="Abadi" w:hAnsi="Abadi"/>
          <w:b/>
          <w:bCs/>
          <w:sz w:val="21"/>
          <w:szCs w:val="21"/>
        </w:rPr>
        <w:t>se</w:t>
      </w:r>
      <w:r w:rsidRPr="00AD79C7">
        <w:rPr>
          <w:rFonts w:ascii="Abadi" w:hAnsi="Abadi"/>
          <w:b/>
          <w:bCs/>
          <w:spacing w:val="54"/>
          <w:w w:val="150"/>
          <w:sz w:val="21"/>
          <w:szCs w:val="21"/>
        </w:rPr>
        <w:t xml:space="preserve"> </w:t>
      </w:r>
      <w:r w:rsidRPr="00AD79C7">
        <w:rPr>
          <w:rFonts w:ascii="Abadi" w:hAnsi="Abadi"/>
          <w:b/>
          <w:bCs/>
          <w:sz w:val="21"/>
          <w:szCs w:val="21"/>
        </w:rPr>
        <w:t>expida</w:t>
      </w:r>
      <w:r w:rsidRPr="00AD79C7">
        <w:rPr>
          <w:rFonts w:ascii="Abadi" w:hAnsi="Abadi"/>
          <w:b/>
          <w:bCs/>
          <w:spacing w:val="54"/>
          <w:w w:val="150"/>
          <w:sz w:val="21"/>
          <w:szCs w:val="21"/>
        </w:rPr>
        <w:t xml:space="preserve"> </w:t>
      </w:r>
      <w:r w:rsidRPr="00AD79C7">
        <w:rPr>
          <w:rFonts w:ascii="Abadi" w:hAnsi="Abadi"/>
          <w:b/>
          <w:bCs/>
          <w:sz w:val="21"/>
          <w:szCs w:val="21"/>
        </w:rPr>
        <w:t>la</w:t>
      </w:r>
      <w:r w:rsidRPr="00AD79C7">
        <w:rPr>
          <w:rFonts w:ascii="Abadi" w:hAnsi="Abadi"/>
          <w:b/>
          <w:bCs/>
          <w:spacing w:val="54"/>
          <w:w w:val="150"/>
          <w:sz w:val="21"/>
          <w:szCs w:val="21"/>
        </w:rPr>
        <w:t xml:space="preserve"> </w:t>
      </w:r>
      <w:r w:rsidRPr="00AD79C7">
        <w:rPr>
          <w:rFonts w:ascii="Abadi" w:hAnsi="Abadi"/>
          <w:b/>
          <w:bCs/>
          <w:sz w:val="21"/>
          <w:szCs w:val="21"/>
        </w:rPr>
        <w:t>legislación</w:t>
      </w:r>
      <w:r w:rsidRPr="00AD79C7">
        <w:rPr>
          <w:rFonts w:ascii="Abadi" w:hAnsi="Abadi"/>
          <w:b/>
          <w:bCs/>
          <w:spacing w:val="54"/>
          <w:w w:val="150"/>
          <w:sz w:val="21"/>
          <w:szCs w:val="21"/>
        </w:rPr>
        <w:t xml:space="preserve"> </w:t>
      </w:r>
      <w:r w:rsidRPr="00AD79C7">
        <w:rPr>
          <w:rFonts w:ascii="Abadi" w:hAnsi="Abadi"/>
          <w:b/>
          <w:bCs/>
          <w:sz w:val="21"/>
          <w:szCs w:val="21"/>
        </w:rPr>
        <w:t>única</w:t>
      </w:r>
      <w:r w:rsidRPr="00AD79C7">
        <w:rPr>
          <w:rFonts w:ascii="Abadi" w:hAnsi="Abadi"/>
          <w:b/>
          <w:bCs/>
          <w:spacing w:val="54"/>
          <w:w w:val="150"/>
          <w:sz w:val="21"/>
          <w:szCs w:val="21"/>
        </w:rPr>
        <w:t xml:space="preserve"> </w:t>
      </w:r>
      <w:r w:rsidRPr="00AD79C7">
        <w:rPr>
          <w:rFonts w:ascii="Abadi" w:hAnsi="Abadi"/>
          <w:b/>
          <w:bCs/>
          <w:sz w:val="21"/>
          <w:szCs w:val="21"/>
        </w:rPr>
        <w:t>en</w:t>
      </w:r>
      <w:r w:rsidRPr="00AD79C7">
        <w:rPr>
          <w:rFonts w:ascii="Abadi" w:hAnsi="Abadi"/>
          <w:b/>
          <w:bCs/>
          <w:spacing w:val="54"/>
          <w:w w:val="150"/>
          <w:sz w:val="21"/>
          <w:szCs w:val="21"/>
        </w:rPr>
        <w:t xml:space="preserve"> </w:t>
      </w:r>
      <w:r w:rsidRPr="00AD79C7">
        <w:rPr>
          <w:rFonts w:ascii="Abadi" w:hAnsi="Abadi"/>
          <w:b/>
          <w:bCs/>
          <w:sz w:val="21"/>
          <w:szCs w:val="21"/>
        </w:rPr>
        <w:t>materia</w:t>
      </w:r>
      <w:r w:rsidRPr="00AD79C7">
        <w:rPr>
          <w:rFonts w:ascii="Abadi" w:hAnsi="Abadi"/>
          <w:b/>
          <w:bCs/>
          <w:spacing w:val="-1"/>
          <w:sz w:val="21"/>
          <w:szCs w:val="21"/>
        </w:rPr>
        <w:t xml:space="preserve"> </w:t>
      </w:r>
      <w:r w:rsidRPr="00AD79C7">
        <w:rPr>
          <w:rFonts w:ascii="Abadi" w:hAnsi="Abadi"/>
          <w:b/>
          <w:bCs/>
          <w:sz w:val="21"/>
          <w:szCs w:val="21"/>
        </w:rPr>
        <w:t>procesal civil y familiar</w:t>
      </w:r>
      <w:r w:rsidRPr="00AD79C7">
        <w:rPr>
          <w:rFonts w:ascii="Abadi" w:hAnsi="Abadi"/>
          <w:b/>
          <w:bCs/>
          <w:spacing w:val="-1"/>
          <w:sz w:val="21"/>
          <w:szCs w:val="21"/>
        </w:rPr>
        <w:t xml:space="preserve"> </w:t>
      </w:r>
      <w:r w:rsidRPr="00AD79C7">
        <w:rPr>
          <w:rFonts w:ascii="Abadi" w:hAnsi="Abadi"/>
          <w:b/>
          <w:bCs/>
          <w:sz w:val="21"/>
          <w:szCs w:val="21"/>
        </w:rPr>
        <w:t>y, en su caso, aprobación de la misma.</w:t>
      </w:r>
    </w:p>
    <w:p w14:paraId="572277CD" w14:textId="77777777" w:rsidR="00734CBA" w:rsidRPr="00734CBA" w:rsidRDefault="00734CBA" w:rsidP="006B00FD">
      <w:pPr>
        <w:pStyle w:val="Prrafodelista"/>
        <w:ind w:right="566"/>
        <w:rPr>
          <w:rFonts w:ascii="Abadi" w:hAnsi="Abadi"/>
          <w:b/>
          <w:bCs/>
          <w:sz w:val="21"/>
          <w:szCs w:val="21"/>
        </w:rPr>
      </w:pPr>
    </w:p>
    <w:p w14:paraId="5ABEF1F5" w14:textId="22F6D3AB" w:rsidR="00734CBA" w:rsidRDefault="00734CBA" w:rsidP="005433FA">
      <w:pPr>
        <w:pStyle w:val="Prrafodelista"/>
        <w:numPr>
          <w:ilvl w:val="0"/>
          <w:numId w:val="8"/>
        </w:numPr>
        <w:tabs>
          <w:tab w:val="left" w:pos="845"/>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Presentación</w:t>
      </w:r>
      <w:r w:rsidRPr="00AD79C7">
        <w:rPr>
          <w:rFonts w:ascii="Abadi" w:hAnsi="Abadi"/>
          <w:b/>
          <w:bCs/>
          <w:spacing w:val="53"/>
          <w:sz w:val="21"/>
          <w:szCs w:val="21"/>
        </w:rPr>
        <w:t xml:space="preserve"> </w:t>
      </w:r>
      <w:r w:rsidRPr="00AD79C7">
        <w:rPr>
          <w:rFonts w:ascii="Abadi" w:hAnsi="Abadi"/>
          <w:b/>
          <w:bCs/>
          <w:sz w:val="21"/>
          <w:szCs w:val="21"/>
        </w:rPr>
        <w:t>de</w:t>
      </w:r>
      <w:r w:rsidRPr="00AD79C7">
        <w:rPr>
          <w:rFonts w:ascii="Abadi" w:hAnsi="Abadi"/>
          <w:b/>
          <w:bCs/>
          <w:spacing w:val="53"/>
          <w:sz w:val="21"/>
          <w:szCs w:val="21"/>
        </w:rPr>
        <w:t xml:space="preserve"> </w:t>
      </w:r>
      <w:r w:rsidRPr="00AD79C7">
        <w:rPr>
          <w:rFonts w:ascii="Abadi" w:hAnsi="Abadi"/>
          <w:b/>
          <w:bCs/>
          <w:sz w:val="21"/>
          <w:szCs w:val="21"/>
        </w:rPr>
        <w:t>la</w:t>
      </w:r>
      <w:r w:rsidRPr="00AD79C7">
        <w:rPr>
          <w:rFonts w:ascii="Abadi" w:hAnsi="Abadi"/>
          <w:b/>
          <w:bCs/>
          <w:spacing w:val="53"/>
          <w:sz w:val="21"/>
          <w:szCs w:val="21"/>
        </w:rPr>
        <w:t xml:space="preserve"> </w:t>
      </w:r>
      <w:r w:rsidRPr="00AD79C7">
        <w:rPr>
          <w:rFonts w:ascii="Abadi" w:hAnsi="Abadi"/>
          <w:b/>
          <w:bCs/>
          <w:sz w:val="21"/>
          <w:szCs w:val="21"/>
        </w:rPr>
        <w:t>propuesta</w:t>
      </w:r>
      <w:r w:rsidRPr="00AD79C7">
        <w:rPr>
          <w:rFonts w:ascii="Abadi" w:hAnsi="Abadi"/>
          <w:b/>
          <w:bCs/>
          <w:spacing w:val="53"/>
          <w:sz w:val="21"/>
          <w:szCs w:val="21"/>
        </w:rPr>
        <w:t xml:space="preserve"> </w:t>
      </w:r>
      <w:r w:rsidRPr="00AD79C7">
        <w:rPr>
          <w:rFonts w:ascii="Abadi" w:hAnsi="Abadi"/>
          <w:b/>
          <w:bCs/>
          <w:sz w:val="21"/>
          <w:szCs w:val="21"/>
        </w:rPr>
        <w:t>de</w:t>
      </w:r>
      <w:r w:rsidRPr="00AD79C7">
        <w:rPr>
          <w:rFonts w:ascii="Abadi" w:hAnsi="Abadi"/>
          <w:b/>
          <w:bCs/>
          <w:spacing w:val="53"/>
          <w:sz w:val="21"/>
          <w:szCs w:val="21"/>
        </w:rPr>
        <w:t xml:space="preserve"> </w:t>
      </w:r>
      <w:r w:rsidRPr="00AD79C7">
        <w:rPr>
          <w:rFonts w:ascii="Abadi" w:hAnsi="Abadi"/>
          <w:b/>
          <w:bCs/>
          <w:sz w:val="21"/>
          <w:szCs w:val="21"/>
        </w:rPr>
        <w:t>punto</w:t>
      </w:r>
      <w:r w:rsidRPr="00AD79C7">
        <w:rPr>
          <w:rFonts w:ascii="Abadi" w:hAnsi="Abadi"/>
          <w:b/>
          <w:bCs/>
          <w:spacing w:val="53"/>
          <w:sz w:val="21"/>
          <w:szCs w:val="21"/>
        </w:rPr>
        <w:t xml:space="preserve"> </w:t>
      </w:r>
      <w:r w:rsidRPr="00AD79C7">
        <w:rPr>
          <w:rFonts w:ascii="Abadi" w:hAnsi="Abadi"/>
          <w:b/>
          <w:bCs/>
          <w:sz w:val="21"/>
          <w:szCs w:val="21"/>
        </w:rPr>
        <w:t>de</w:t>
      </w:r>
      <w:r w:rsidRPr="00AD79C7">
        <w:rPr>
          <w:rFonts w:ascii="Abadi" w:hAnsi="Abadi"/>
          <w:b/>
          <w:bCs/>
          <w:spacing w:val="53"/>
          <w:sz w:val="21"/>
          <w:szCs w:val="21"/>
        </w:rPr>
        <w:t xml:space="preserve"> </w:t>
      </w:r>
      <w:r w:rsidRPr="00AD79C7">
        <w:rPr>
          <w:rFonts w:ascii="Abadi" w:hAnsi="Abadi"/>
          <w:b/>
          <w:bCs/>
          <w:sz w:val="21"/>
          <w:szCs w:val="21"/>
        </w:rPr>
        <w:t>acuerdo</w:t>
      </w:r>
      <w:r w:rsidRPr="00AD79C7">
        <w:rPr>
          <w:rFonts w:ascii="Abadi" w:hAnsi="Abadi"/>
          <w:b/>
          <w:bCs/>
          <w:spacing w:val="53"/>
          <w:sz w:val="21"/>
          <w:szCs w:val="21"/>
        </w:rPr>
        <w:t xml:space="preserve"> </w:t>
      </w:r>
      <w:r w:rsidRPr="00AD79C7">
        <w:rPr>
          <w:rFonts w:ascii="Abadi" w:hAnsi="Abadi"/>
          <w:b/>
          <w:bCs/>
          <w:sz w:val="21"/>
          <w:szCs w:val="21"/>
        </w:rPr>
        <w:t>de</w:t>
      </w:r>
      <w:r w:rsidRPr="00AD79C7">
        <w:rPr>
          <w:rFonts w:ascii="Abadi" w:hAnsi="Abadi"/>
          <w:b/>
          <w:bCs/>
          <w:spacing w:val="53"/>
          <w:sz w:val="21"/>
          <w:szCs w:val="21"/>
        </w:rPr>
        <w:t xml:space="preserve"> </w:t>
      </w:r>
      <w:r w:rsidRPr="00AD79C7">
        <w:rPr>
          <w:rFonts w:ascii="Abadi" w:hAnsi="Abadi"/>
          <w:b/>
          <w:bCs/>
          <w:sz w:val="21"/>
          <w:szCs w:val="21"/>
        </w:rPr>
        <w:t>obvia</w:t>
      </w:r>
      <w:r w:rsidRPr="00AD79C7">
        <w:rPr>
          <w:rFonts w:ascii="Abadi" w:hAnsi="Abadi"/>
          <w:b/>
          <w:bCs/>
          <w:spacing w:val="53"/>
          <w:sz w:val="21"/>
          <w:szCs w:val="21"/>
        </w:rPr>
        <w:t xml:space="preserve"> </w:t>
      </w:r>
      <w:r w:rsidRPr="00AD79C7">
        <w:rPr>
          <w:rFonts w:ascii="Abadi" w:hAnsi="Abadi"/>
          <w:b/>
          <w:bCs/>
          <w:sz w:val="21"/>
          <w:szCs w:val="21"/>
        </w:rPr>
        <w:t>resolución</w:t>
      </w:r>
      <w:r w:rsidRPr="00AD79C7">
        <w:rPr>
          <w:rFonts w:ascii="Abadi" w:hAnsi="Abadi"/>
          <w:b/>
          <w:bCs/>
          <w:spacing w:val="-2"/>
          <w:sz w:val="21"/>
          <w:szCs w:val="21"/>
        </w:rPr>
        <w:t xml:space="preserve"> </w:t>
      </w:r>
      <w:r w:rsidRPr="00AD79C7">
        <w:rPr>
          <w:rFonts w:ascii="Abadi" w:hAnsi="Abadi"/>
          <w:b/>
          <w:bCs/>
          <w:sz w:val="21"/>
          <w:szCs w:val="21"/>
        </w:rPr>
        <w:t>suscrita</w:t>
      </w:r>
      <w:r w:rsidRPr="00AD79C7">
        <w:rPr>
          <w:rFonts w:ascii="Abadi" w:hAnsi="Abadi"/>
          <w:b/>
          <w:bCs/>
          <w:spacing w:val="6"/>
          <w:sz w:val="21"/>
          <w:szCs w:val="21"/>
        </w:rPr>
        <w:t xml:space="preserve"> </w:t>
      </w:r>
      <w:r w:rsidRPr="00AD79C7">
        <w:rPr>
          <w:rFonts w:ascii="Abadi" w:hAnsi="Abadi"/>
          <w:b/>
          <w:bCs/>
          <w:sz w:val="21"/>
          <w:szCs w:val="21"/>
        </w:rPr>
        <w:t>por</w:t>
      </w:r>
      <w:r w:rsidRPr="00AD79C7">
        <w:rPr>
          <w:rFonts w:ascii="Abadi" w:hAnsi="Abadi"/>
          <w:b/>
          <w:bCs/>
          <w:spacing w:val="6"/>
          <w:sz w:val="21"/>
          <w:szCs w:val="21"/>
        </w:rPr>
        <w:t xml:space="preserve"> </w:t>
      </w:r>
      <w:r w:rsidRPr="00AD79C7">
        <w:rPr>
          <w:rFonts w:ascii="Abadi" w:hAnsi="Abadi"/>
          <w:b/>
          <w:bCs/>
          <w:sz w:val="21"/>
          <w:szCs w:val="21"/>
        </w:rPr>
        <w:t>diputadas</w:t>
      </w:r>
      <w:r w:rsidRPr="00AD79C7">
        <w:rPr>
          <w:rFonts w:ascii="Abadi" w:hAnsi="Abadi"/>
          <w:b/>
          <w:bCs/>
          <w:spacing w:val="6"/>
          <w:sz w:val="21"/>
          <w:szCs w:val="21"/>
        </w:rPr>
        <w:t xml:space="preserve"> </w:t>
      </w:r>
      <w:r w:rsidRPr="00AD79C7">
        <w:rPr>
          <w:rFonts w:ascii="Abadi" w:hAnsi="Abadi"/>
          <w:b/>
          <w:bCs/>
          <w:sz w:val="21"/>
          <w:szCs w:val="21"/>
        </w:rPr>
        <w:t>y</w:t>
      </w:r>
      <w:r w:rsidRPr="00AD79C7">
        <w:rPr>
          <w:rFonts w:ascii="Abadi" w:hAnsi="Abadi"/>
          <w:b/>
          <w:bCs/>
          <w:spacing w:val="6"/>
          <w:sz w:val="21"/>
          <w:szCs w:val="21"/>
        </w:rPr>
        <w:t xml:space="preserve"> </w:t>
      </w:r>
      <w:r w:rsidRPr="00AD79C7">
        <w:rPr>
          <w:rFonts w:ascii="Abadi" w:hAnsi="Abadi"/>
          <w:b/>
          <w:bCs/>
          <w:sz w:val="21"/>
          <w:szCs w:val="21"/>
        </w:rPr>
        <w:t>diputados</w:t>
      </w:r>
      <w:r w:rsidRPr="00AD79C7">
        <w:rPr>
          <w:rFonts w:ascii="Abadi" w:hAnsi="Abadi"/>
          <w:b/>
          <w:bCs/>
          <w:spacing w:val="6"/>
          <w:sz w:val="21"/>
          <w:szCs w:val="21"/>
        </w:rPr>
        <w:t xml:space="preserve"> </w:t>
      </w:r>
      <w:r w:rsidRPr="00AD79C7">
        <w:rPr>
          <w:rFonts w:ascii="Abadi" w:hAnsi="Abadi"/>
          <w:b/>
          <w:bCs/>
          <w:sz w:val="21"/>
          <w:szCs w:val="21"/>
        </w:rPr>
        <w:t>integrantes</w:t>
      </w:r>
      <w:r w:rsidRPr="00AD79C7">
        <w:rPr>
          <w:rFonts w:ascii="Abadi" w:hAnsi="Abadi"/>
          <w:b/>
          <w:bCs/>
          <w:spacing w:val="6"/>
          <w:sz w:val="21"/>
          <w:szCs w:val="21"/>
        </w:rPr>
        <w:t xml:space="preserve"> </w:t>
      </w:r>
      <w:r w:rsidRPr="00AD79C7">
        <w:rPr>
          <w:rFonts w:ascii="Abadi" w:hAnsi="Abadi"/>
          <w:b/>
          <w:bCs/>
          <w:sz w:val="21"/>
          <w:szCs w:val="21"/>
        </w:rPr>
        <w:t>del</w:t>
      </w:r>
      <w:r w:rsidRPr="00AD79C7">
        <w:rPr>
          <w:rFonts w:ascii="Abadi" w:hAnsi="Abadi"/>
          <w:b/>
          <w:bCs/>
          <w:spacing w:val="6"/>
          <w:sz w:val="21"/>
          <w:szCs w:val="21"/>
        </w:rPr>
        <w:t xml:space="preserve"> </w:t>
      </w:r>
      <w:r w:rsidRPr="00AD79C7">
        <w:rPr>
          <w:rFonts w:ascii="Abadi" w:hAnsi="Abadi"/>
          <w:b/>
          <w:bCs/>
          <w:sz w:val="21"/>
          <w:szCs w:val="21"/>
        </w:rPr>
        <w:t>Grupo</w:t>
      </w:r>
      <w:r w:rsidRPr="00AD79C7">
        <w:rPr>
          <w:rFonts w:ascii="Abadi" w:hAnsi="Abadi"/>
          <w:b/>
          <w:bCs/>
          <w:spacing w:val="6"/>
          <w:sz w:val="21"/>
          <w:szCs w:val="21"/>
        </w:rPr>
        <w:t xml:space="preserve"> </w:t>
      </w:r>
      <w:r w:rsidRPr="00AD79C7">
        <w:rPr>
          <w:rFonts w:ascii="Abadi" w:hAnsi="Abadi"/>
          <w:b/>
          <w:bCs/>
          <w:sz w:val="21"/>
          <w:szCs w:val="21"/>
        </w:rPr>
        <w:t>Parlamentario</w:t>
      </w:r>
      <w:r w:rsidRPr="00AD79C7">
        <w:rPr>
          <w:rFonts w:ascii="Abadi" w:hAnsi="Abadi"/>
          <w:b/>
          <w:bCs/>
          <w:spacing w:val="6"/>
          <w:sz w:val="21"/>
          <w:szCs w:val="21"/>
        </w:rPr>
        <w:t xml:space="preserve"> </w:t>
      </w:r>
      <w:r w:rsidRPr="00AD79C7">
        <w:rPr>
          <w:rFonts w:ascii="Abadi" w:hAnsi="Abadi"/>
          <w:b/>
          <w:bCs/>
          <w:sz w:val="21"/>
          <w:szCs w:val="21"/>
        </w:rPr>
        <w:t>del</w:t>
      </w:r>
      <w:r w:rsidRPr="00AD79C7">
        <w:rPr>
          <w:rFonts w:ascii="Abadi" w:hAnsi="Abadi"/>
          <w:b/>
          <w:bCs/>
          <w:spacing w:val="-2"/>
          <w:sz w:val="21"/>
          <w:szCs w:val="21"/>
        </w:rPr>
        <w:t xml:space="preserve"> </w:t>
      </w:r>
      <w:r w:rsidRPr="00AD79C7">
        <w:rPr>
          <w:rFonts w:ascii="Abadi" w:hAnsi="Abadi"/>
          <w:b/>
          <w:bCs/>
          <w:sz w:val="21"/>
          <w:szCs w:val="21"/>
        </w:rPr>
        <w:t>Partido</w:t>
      </w:r>
      <w:r w:rsidRPr="00AD79C7">
        <w:rPr>
          <w:rFonts w:ascii="Abadi" w:hAnsi="Abadi"/>
          <w:b/>
          <w:bCs/>
          <w:spacing w:val="-12"/>
          <w:sz w:val="21"/>
          <w:szCs w:val="21"/>
        </w:rPr>
        <w:t xml:space="preserve"> </w:t>
      </w:r>
      <w:r w:rsidRPr="00AD79C7">
        <w:rPr>
          <w:rFonts w:ascii="Abadi" w:hAnsi="Abadi"/>
          <w:b/>
          <w:bCs/>
          <w:sz w:val="21"/>
          <w:szCs w:val="21"/>
        </w:rPr>
        <w:t>Acción</w:t>
      </w:r>
      <w:r w:rsidRPr="00AD79C7">
        <w:rPr>
          <w:rFonts w:ascii="Abadi" w:hAnsi="Abadi"/>
          <w:b/>
          <w:bCs/>
          <w:spacing w:val="-12"/>
          <w:sz w:val="21"/>
          <w:szCs w:val="21"/>
        </w:rPr>
        <w:t xml:space="preserve"> </w:t>
      </w:r>
      <w:r w:rsidRPr="00AD79C7">
        <w:rPr>
          <w:rFonts w:ascii="Abadi" w:hAnsi="Abadi"/>
          <w:b/>
          <w:bCs/>
          <w:sz w:val="21"/>
          <w:szCs w:val="21"/>
        </w:rPr>
        <w:t>Nacional</w:t>
      </w:r>
      <w:r w:rsidRPr="00AD79C7">
        <w:rPr>
          <w:rFonts w:ascii="Abadi" w:hAnsi="Abadi"/>
          <w:b/>
          <w:bCs/>
          <w:spacing w:val="-13"/>
          <w:sz w:val="21"/>
          <w:szCs w:val="21"/>
        </w:rPr>
        <w:t xml:space="preserve"> </w:t>
      </w:r>
      <w:r w:rsidRPr="00AD79C7">
        <w:rPr>
          <w:rFonts w:ascii="Abadi" w:hAnsi="Abadi"/>
          <w:b/>
          <w:bCs/>
          <w:sz w:val="21"/>
          <w:szCs w:val="21"/>
        </w:rPr>
        <w:t>a</w:t>
      </w:r>
      <w:r w:rsidRPr="00AD79C7">
        <w:rPr>
          <w:rFonts w:ascii="Abadi" w:hAnsi="Abadi"/>
          <w:b/>
          <w:bCs/>
          <w:spacing w:val="-12"/>
          <w:sz w:val="21"/>
          <w:szCs w:val="21"/>
        </w:rPr>
        <w:t xml:space="preserve"> </w:t>
      </w:r>
      <w:r w:rsidRPr="00AD79C7">
        <w:rPr>
          <w:rFonts w:ascii="Abadi" w:hAnsi="Abadi"/>
          <w:b/>
          <w:bCs/>
          <w:sz w:val="21"/>
          <w:szCs w:val="21"/>
        </w:rPr>
        <w:t>efecto</w:t>
      </w:r>
      <w:r w:rsidRPr="00AD79C7">
        <w:rPr>
          <w:rFonts w:ascii="Abadi" w:hAnsi="Abadi"/>
          <w:b/>
          <w:bCs/>
          <w:spacing w:val="-12"/>
          <w:sz w:val="21"/>
          <w:szCs w:val="21"/>
        </w:rPr>
        <w:t xml:space="preserve"> </w:t>
      </w:r>
      <w:r w:rsidRPr="00AD79C7">
        <w:rPr>
          <w:rFonts w:ascii="Abadi" w:hAnsi="Abadi"/>
          <w:b/>
          <w:bCs/>
          <w:sz w:val="21"/>
          <w:szCs w:val="21"/>
        </w:rPr>
        <w:t>de</w:t>
      </w:r>
      <w:r w:rsidRPr="00AD79C7">
        <w:rPr>
          <w:rFonts w:ascii="Abadi" w:hAnsi="Abadi"/>
          <w:b/>
          <w:bCs/>
          <w:spacing w:val="-12"/>
          <w:sz w:val="21"/>
          <w:szCs w:val="21"/>
        </w:rPr>
        <w:t xml:space="preserve"> </w:t>
      </w:r>
      <w:r w:rsidRPr="00AD79C7">
        <w:rPr>
          <w:rFonts w:ascii="Abadi" w:hAnsi="Abadi"/>
          <w:b/>
          <w:bCs/>
          <w:sz w:val="21"/>
          <w:szCs w:val="21"/>
        </w:rPr>
        <w:t>exhortar</w:t>
      </w:r>
      <w:r w:rsidRPr="00AD79C7">
        <w:rPr>
          <w:rFonts w:ascii="Abadi" w:hAnsi="Abadi"/>
          <w:b/>
          <w:bCs/>
          <w:spacing w:val="-13"/>
          <w:sz w:val="21"/>
          <w:szCs w:val="21"/>
        </w:rPr>
        <w:t xml:space="preserve"> </w:t>
      </w:r>
      <w:r w:rsidRPr="00AD79C7">
        <w:rPr>
          <w:rFonts w:ascii="Abadi" w:hAnsi="Abadi"/>
          <w:b/>
          <w:bCs/>
          <w:sz w:val="21"/>
          <w:szCs w:val="21"/>
        </w:rPr>
        <w:t>a</w:t>
      </w:r>
      <w:r w:rsidRPr="00AD79C7">
        <w:rPr>
          <w:rFonts w:ascii="Abadi" w:hAnsi="Abadi"/>
          <w:b/>
          <w:bCs/>
          <w:spacing w:val="-12"/>
          <w:sz w:val="21"/>
          <w:szCs w:val="21"/>
        </w:rPr>
        <w:t xml:space="preserve"> </w:t>
      </w:r>
      <w:r w:rsidRPr="00AD79C7">
        <w:rPr>
          <w:rFonts w:ascii="Abadi" w:hAnsi="Abadi"/>
          <w:b/>
          <w:bCs/>
          <w:sz w:val="21"/>
          <w:szCs w:val="21"/>
        </w:rPr>
        <w:t>los</w:t>
      </w:r>
      <w:r w:rsidRPr="00AD79C7">
        <w:rPr>
          <w:rFonts w:ascii="Abadi" w:hAnsi="Abadi"/>
          <w:b/>
          <w:bCs/>
          <w:spacing w:val="-12"/>
          <w:sz w:val="21"/>
          <w:szCs w:val="21"/>
        </w:rPr>
        <w:t xml:space="preserve"> </w:t>
      </w:r>
      <w:r w:rsidRPr="00AD79C7">
        <w:rPr>
          <w:rFonts w:ascii="Abadi" w:hAnsi="Abadi"/>
          <w:b/>
          <w:bCs/>
          <w:sz w:val="21"/>
          <w:szCs w:val="21"/>
        </w:rPr>
        <w:t>ayuntamientos</w:t>
      </w:r>
      <w:r w:rsidRPr="00AD79C7">
        <w:rPr>
          <w:rFonts w:ascii="Abadi" w:hAnsi="Abadi"/>
          <w:b/>
          <w:bCs/>
          <w:spacing w:val="-12"/>
          <w:sz w:val="21"/>
          <w:szCs w:val="21"/>
        </w:rPr>
        <w:t xml:space="preserve"> </w:t>
      </w:r>
      <w:r w:rsidRPr="00AD79C7">
        <w:rPr>
          <w:rFonts w:ascii="Abadi" w:hAnsi="Abadi"/>
          <w:b/>
          <w:bCs/>
          <w:sz w:val="21"/>
          <w:szCs w:val="21"/>
        </w:rPr>
        <w:t>de</w:t>
      </w:r>
      <w:r w:rsidRPr="00AD79C7">
        <w:rPr>
          <w:rFonts w:ascii="Abadi" w:hAnsi="Abadi"/>
          <w:b/>
          <w:bCs/>
          <w:spacing w:val="-12"/>
          <w:sz w:val="21"/>
          <w:szCs w:val="21"/>
        </w:rPr>
        <w:t xml:space="preserve"> </w:t>
      </w:r>
      <w:r w:rsidRPr="00AD79C7">
        <w:rPr>
          <w:rFonts w:ascii="Abadi" w:hAnsi="Abadi"/>
          <w:b/>
          <w:bCs/>
          <w:sz w:val="21"/>
          <w:szCs w:val="21"/>
        </w:rPr>
        <w:t>Manuel</w:t>
      </w:r>
      <w:r w:rsidRPr="00AD79C7">
        <w:rPr>
          <w:rFonts w:ascii="Abadi" w:hAnsi="Abadi"/>
          <w:b/>
          <w:bCs/>
          <w:spacing w:val="-2"/>
          <w:sz w:val="21"/>
          <w:szCs w:val="21"/>
        </w:rPr>
        <w:t xml:space="preserve"> </w:t>
      </w:r>
      <w:r w:rsidRPr="00AD79C7">
        <w:rPr>
          <w:rFonts w:ascii="Abadi" w:hAnsi="Abadi"/>
          <w:b/>
          <w:bCs/>
          <w:sz w:val="21"/>
          <w:szCs w:val="21"/>
        </w:rPr>
        <w:t>Doblado,</w:t>
      </w:r>
      <w:r w:rsidRPr="00AD79C7">
        <w:rPr>
          <w:rFonts w:ascii="Abadi" w:hAnsi="Abadi"/>
          <w:b/>
          <w:bCs/>
          <w:spacing w:val="22"/>
          <w:sz w:val="21"/>
          <w:szCs w:val="21"/>
        </w:rPr>
        <w:t xml:space="preserve"> </w:t>
      </w:r>
      <w:r w:rsidRPr="00AD79C7">
        <w:rPr>
          <w:rFonts w:ascii="Abadi" w:hAnsi="Abadi"/>
          <w:b/>
          <w:bCs/>
          <w:sz w:val="21"/>
          <w:szCs w:val="21"/>
        </w:rPr>
        <w:t>Comonfort,</w:t>
      </w:r>
      <w:r w:rsidRPr="00AD79C7">
        <w:rPr>
          <w:rFonts w:ascii="Abadi" w:hAnsi="Abadi"/>
          <w:b/>
          <w:bCs/>
          <w:spacing w:val="22"/>
          <w:sz w:val="21"/>
          <w:szCs w:val="21"/>
        </w:rPr>
        <w:t xml:space="preserve"> </w:t>
      </w:r>
      <w:r w:rsidRPr="00AD79C7">
        <w:rPr>
          <w:rFonts w:ascii="Abadi" w:hAnsi="Abadi"/>
          <w:b/>
          <w:bCs/>
          <w:sz w:val="21"/>
          <w:szCs w:val="21"/>
        </w:rPr>
        <w:t>Cortazar,</w:t>
      </w:r>
      <w:r w:rsidRPr="00AD79C7">
        <w:rPr>
          <w:rFonts w:ascii="Abadi" w:hAnsi="Abadi"/>
          <w:b/>
          <w:bCs/>
          <w:spacing w:val="22"/>
          <w:sz w:val="21"/>
          <w:szCs w:val="21"/>
        </w:rPr>
        <w:t xml:space="preserve"> </w:t>
      </w:r>
      <w:r w:rsidRPr="00AD79C7">
        <w:rPr>
          <w:rFonts w:ascii="Abadi" w:hAnsi="Abadi"/>
          <w:b/>
          <w:bCs/>
          <w:sz w:val="21"/>
          <w:szCs w:val="21"/>
        </w:rPr>
        <w:t>Huanímaro,</w:t>
      </w:r>
      <w:r w:rsidRPr="00AD79C7">
        <w:rPr>
          <w:rFonts w:ascii="Abadi" w:hAnsi="Abadi"/>
          <w:b/>
          <w:bCs/>
          <w:spacing w:val="22"/>
          <w:sz w:val="21"/>
          <w:szCs w:val="21"/>
        </w:rPr>
        <w:t xml:space="preserve"> </w:t>
      </w:r>
      <w:r w:rsidRPr="00AD79C7">
        <w:rPr>
          <w:rFonts w:ascii="Abadi" w:hAnsi="Abadi"/>
          <w:b/>
          <w:bCs/>
          <w:sz w:val="21"/>
          <w:szCs w:val="21"/>
        </w:rPr>
        <w:t>Jaral</w:t>
      </w:r>
      <w:r w:rsidRPr="00AD79C7">
        <w:rPr>
          <w:rFonts w:ascii="Abadi" w:hAnsi="Abadi"/>
          <w:b/>
          <w:bCs/>
          <w:spacing w:val="22"/>
          <w:sz w:val="21"/>
          <w:szCs w:val="21"/>
        </w:rPr>
        <w:t xml:space="preserve"> </w:t>
      </w:r>
      <w:r w:rsidRPr="00AD79C7">
        <w:rPr>
          <w:rFonts w:ascii="Abadi" w:hAnsi="Abadi"/>
          <w:b/>
          <w:bCs/>
          <w:sz w:val="21"/>
          <w:szCs w:val="21"/>
        </w:rPr>
        <w:t>del</w:t>
      </w:r>
      <w:r w:rsidRPr="00AD79C7">
        <w:rPr>
          <w:rFonts w:ascii="Abadi" w:hAnsi="Abadi"/>
          <w:b/>
          <w:bCs/>
          <w:spacing w:val="22"/>
          <w:sz w:val="21"/>
          <w:szCs w:val="21"/>
        </w:rPr>
        <w:t xml:space="preserve"> </w:t>
      </w:r>
      <w:r w:rsidRPr="00AD79C7">
        <w:rPr>
          <w:rFonts w:ascii="Abadi" w:hAnsi="Abadi"/>
          <w:b/>
          <w:bCs/>
          <w:sz w:val="21"/>
          <w:szCs w:val="21"/>
        </w:rPr>
        <w:t>Progreso,</w:t>
      </w:r>
      <w:r w:rsidRPr="00AD79C7">
        <w:rPr>
          <w:rFonts w:ascii="Abadi" w:hAnsi="Abadi"/>
          <w:b/>
          <w:bCs/>
          <w:spacing w:val="22"/>
          <w:sz w:val="21"/>
          <w:szCs w:val="21"/>
        </w:rPr>
        <w:t xml:space="preserve"> </w:t>
      </w:r>
      <w:r w:rsidRPr="00AD79C7">
        <w:rPr>
          <w:rFonts w:ascii="Abadi" w:hAnsi="Abadi"/>
          <w:b/>
          <w:bCs/>
          <w:sz w:val="21"/>
          <w:szCs w:val="21"/>
        </w:rPr>
        <w:t>Jerécuaro,</w:t>
      </w:r>
      <w:r w:rsidRPr="00AD79C7">
        <w:rPr>
          <w:rFonts w:ascii="Abadi" w:hAnsi="Abadi"/>
          <w:b/>
          <w:bCs/>
          <w:spacing w:val="-2"/>
          <w:sz w:val="21"/>
          <w:szCs w:val="21"/>
        </w:rPr>
        <w:t xml:space="preserve"> </w:t>
      </w:r>
      <w:r w:rsidRPr="00AD79C7">
        <w:rPr>
          <w:rFonts w:ascii="Abadi" w:hAnsi="Abadi"/>
          <w:b/>
          <w:bCs/>
          <w:sz w:val="21"/>
          <w:szCs w:val="21"/>
        </w:rPr>
        <w:t xml:space="preserve">Ocampo, Pénjamo, Pueblo Nuevo, San Diego de la </w:t>
      </w:r>
      <w:r w:rsidRPr="00AD79C7">
        <w:rPr>
          <w:rFonts w:ascii="Abadi" w:hAnsi="Abadi"/>
          <w:b/>
          <w:bCs/>
          <w:sz w:val="21"/>
          <w:szCs w:val="21"/>
        </w:rPr>
        <w:t>Unión, San Felipe, San</w:t>
      </w:r>
      <w:r w:rsidRPr="00AD79C7">
        <w:rPr>
          <w:rFonts w:ascii="Abadi" w:hAnsi="Abadi"/>
          <w:b/>
          <w:bCs/>
          <w:spacing w:val="-2"/>
          <w:sz w:val="21"/>
          <w:szCs w:val="21"/>
        </w:rPr>
        <w:t xml:space="preserve"> </w:t>
      </w:r>
      <w:r w:rsidRPr="00AD79C7">
        <w:rPr>
          <w:rFonts w:ascii="Abadi" w:hAnsi="Abadi"/>
          <w:b/>
          <w:bCs/>
          <w:sz w:val="21"/>
          <w:szCs w:val="21"/>
        </w:rPr>
        <w:t>José</w:t>
      </w:r>
      <w:r w:rsidRPr="00AD79C7">
        <w:rPr>
          <w:rFonts w:ascii="Abadi" w:hAnsi="Abadi"/>
          <w:b/>
          <w:bCs/>
          <w:spacing w:val="38"/>
          <w:sz w:val="21"/>
          <w:szCs w:val="21"/>
        </w:rPr>
        <w:t xml:space="preserve"> </w:t>
      </w:r>
      <w:r w:rsidRPr="00AD79C7">
        <w:rPr>
          <w:rFonts w:ascii="Abadi" w:hAnsi="Abadi"/>
          <w:b/>
          <w:bCs/>
          <w:sz w:val="21"/>
          <w:szCs w:val="21"/>
        </w:rPr>
        <w:t>Iturbide,</w:t>
      </w:r>
      <w:r w:rsidRPr="00AD79C7">
        <w:rPr>
          <w:rFonts w:ascii="Abadi" w:hAnsi="Abadi"/>
          <w:b/>
          <w:bCs/>
          <w:spacing w:val="38"/>
          <w:sz w:val="21"/>
          <w:szCs w:val="21"/>
        </w:rPr>
        <w:t xml:space="preserve"> </w:t>
      </w:r>
      <w:r w:rsidRPr="00AD79C7">
        <w:rPr>
          <w:rFonts w:ascii="Abadi" w:hAnsi="Abadi"/>
          <w:b/>
          <w:bCs/>
          <w:sz w:val="21"/>
          <w:szCs w:val="21"/>
        </w:rPr>
        <w:t>Santa</w:t>
      </w:r>
      <w:r w:rsidRPr="00AD79C7">
        <w:rPr>
          <w:rFonts w:ascii="Abadi" w:hAnsi="Abadi"/>
          <w:b/>
          <w:bCs/>
          <w:spacing w:val="38"/>
          <w:sz w:val="21"/>
          <w:szCs w:val="21"/>
        </w:rPr>
        <w:t xml:space="preserve"> </w:t>
      </w:r>
      <w:r w:rsidRPr="00AD79C7">
        <w:rPr>
          <w:rFonts w:ascii="Abadi" w:hAnsi="Abadi"/>
          <w:b/>
          <w:bCs/>
          <w:sz w:val="21"/>
          <w:szCs w:val="21"/>
        </w:rPr>
        <w:t>Catarina,</w:t>
      </w:r>
      <w:r w:rsidRPr="00AD79C7">
        <w:rPr>
          <w:rFonts w:ascii="Abadi" w:hAnsi="Abadi"/>
          <w:b/>
          <w:bCs/>
          <w:spacing w:val="38"/>
          <w:sz w:val="21"/>
          <w:szCs w:val="21"/>
        </w:rPr>
        <w:t xml:space="preserve"> </w:t>
      </w:r>
      <w:r w:rsidRPr="00AD79C7">
        <w:rPr>
          <w:rFonts w:ascii="Abadi" w:hAnsi="Abadi"/>
          <w:b/>
          <w:bCs/>
          <w:sz w:val="21"/>
          <w:szCs w:val="21"/>
        </w:rPr>
        <w:t>Santa</w:t>
      </w:r>
      <w:r w:rsidRPr="00AD79C7">
        <w:rPr>
          <w:rFonts w:ascii="Abadi" w:hAnsi="Abadi"/>
          <w:b/>
          <w:bCs/>
          <w:spacing w:val="38"/>
          <w:sz w:val="21"/>
          <w:szCs w:val="21"/>
        </w:rPr>
        <w:t xml:space="preserve"> </w:t>
      </w:r>
      <w:r w:rsidRPr="00AD79C7">
        <w:rPr>
          <w:rFonts w:ascii="Abadi" w:hAnsi="Abadi"/>
          <w:b/>
          <w:bCs/>
          <w:sz w:val="21"/>
          <w:szCs w:val="21"/>
        </w:rPr>
        <w:t>Cruz</w:t>
      </w:r>
      <w:r w:rsidRPr="00AD79C7">
        <w:rPr>
          <w:rFonts w:ascii="Abadi" w:hAnsi="Abadi"/>
          <w:b/>
          <w:bCs/>
          <w:spacing w:val="38"/>
          <w:sz w:val="21"/>
          <w:szCs w:val="21"/>
        </w:rPr>
        <w:t xml:space="preserve"> </w:t>
      </w:r>
      <w:r w:rsidRPr="00AD79C7">
        <w:rPr>
          <w:rFonts w:ascii="Abadi" w:hAnsi="Abadi"/>
          <w:b/>
          <w:bCs/>
          <w:sz w:val="21"/>
          <w:szCs w:val="21"/>
        </w:rPr>
        <w:t>de</w:t>
      </w:r>
      <w:r w:rsidRPr="00AD79C7">
        <w:rPr>
          <w:rFonts w:ascii="Abadi" w:hAnsi="Abadi"/>
          <w:b/>
          <w:bCs/>
          <w:spacing w:val="38"/>
          <w:sz w:val="21"/>
          <w:szCs w:val="21"/>
        </w:rPr>
        <w:t xml:space="preserve"> </w:t>
      </w:r>
      <w:r w:rsidRPr="00AD79C7">
        <w:rPr>
          <w:rFonts w:ascii="Abadi" w:hAnsi="Abadi"/>
          <w:b/>
          <w:bCs/>
          <w:sz w:val="21"/>
          <w:szCs w:val="21"/>
        </w:rPr>
        <w:t>Juventino</w:t>
      </w:r>
      <w:r w:rsidRPr="00AD79C7">
        <w:rPr>
          <w:rFonts w:ascii="Abadi" w:hAnsi="Abadi"/>
          <w:b/>
          <w:bCs/>
          <w:spacing w:val="38"/>
          <w:sz w:val="21"/>
          <w:szCs w:val="21"/>
        </w:rPr>
        <w:t xml:space="preserve"> </w:t>
      </w:r>
      <w:r w:rsidRPr="00AD79C7">
        <w:rPr>
          <w:rFonts w:ascii="Abadi" w:hAnsi="Abadi"/>
          <w:b/>
          <w:bCs/>
          <w:sz w:val="21"/>
          <w:szCs w:val="21"/>
        </w:rPr>
        <w:t>Rosas,</w:t>
      </w:r>
      <w:r w:rsidRPr="00AD79C7">
        <w:rPr>
          <w:rFonts w:ascii="Abadi" w:hAnsi="Abadi"/>
          <w:b/>
          <w:bCs/>
          <w:spacing w:val="37"/>
          <w:sz w:val="21"/>
          <w:szCs w:val="21"/>
        </w:rPr>
        <w:t xml:space="preserve"> </w:t>
      </w:r>
      <w:r w:rsidRPr="00AD79C7">
        <w:rPr>
          <w:rFonts w:ascii="Abadi" w:hAnsi="Abadi"/>
          <w:b/>
          <w:bCs/>
          <w:sz w:val="21"/>
          <w:szCs w:val="21"/>
        </w:rPr>
        <w:t>Santiago</w:t>
      </w:r>
      <w:r w:rsidRPr="00AD79C7">
        <w:rPr>
          <w:rFonts w:ascii="Abadi" w:hAnsi="Abadi"/>
          <w:b/>
          <w:bCs/>
          <w:spacing w:val="-2"/>
          <w:sz w:val="21"/>
          <w:szCs w:val="21"/>
        </w:rPr>
        <w:t xml:space="preserve"> </w:t>
      </w:r>
      <w:r w:rsidRPr="00AD79C7">
        <w:rPr>
          <w:rFonts w:ascii="Abadi" w:hAnsi="Abadi"/>
          <w:b/>
          <w:bCs/>
          <w:sz w:val="21"/>
          <w:szCs w:val="21"/>
        </w:rPr>
        <w:t>Maravatío,</w:t>
      </w:r>
      <w:r w:rsidRPr="00AD79C7">
        <w:rPr>
          <w:rFonts w:ascii="Abadi" w:hAnsi="Abadi"/>
          <w:b/>
          <w:bCs/>
          <w:spacing w:val="18"/>
          <w:sz w:val="21"/>
          <w:szCs w:val="21"/>
        </w:rPr>
        <w:t xml:space="preserve"> </w:t>
      </w:r>
      <w:r w:rsidRPr="00AD79C7">
        <w:rPr>
          <w:rFonts w:ascii="Abadi" w:hAnsi="Abadi"/>
          <w:b/>
          <w:bCs/>
          <w:sz w:val="21"/>
          <w:szCs w:val="21"/>
        </w:rPr>
        <w:t>Victoria,</w:t>
      </w:r>
      <w:r w:rsidRPr="00AD79C7">
        <w:rPr>
          <w:rFonts w:ascii="Abadi" w:hAnsi="Abadi"/>
          <w:b/>
          <w:bCs/>
          <w:spacing w:val="18"/>
          <w:sz w:val="21"/>
          <w:szCs w:val="21"/>
        </w:rPr>
        <w:t xml:space="preserve"> </w:t>
      </w:r>
      <w:r w:rsidRPr="00AD79C7">
        <w:rPr>
          <w:rFonts w:ascii="Abadi" w:hAnsi="Abadi"/>
          <w:b/>
          <w:bCs/>
          <w:sz w:val="21"/>
          <w:szCs w:val="21"/>
        </w:rPr>
        <w:t>Villagrán,</w:t>
      </w:r>
      <w:r w:rsidRPr="00AD79C7">
        <w:rPr>
          <w:rFonts w:ascii="Abadi" w:hAnsi="Abadi"/>
          <w:b/>
          <w:bCs/>
          <w:spacing w:val="18"/>
          <w:sz w:val="21"/>
          <w:szCs w:val="21"/>
        </w:rPr>
        <w:t xml:space="preserve"> </w:t>
      </w:r>
      <w:r w:rsidRPr="00AD79C7">
        <w:rPr>
          <w:rFonts w:ascii="Abadi" w:hAnsi="Abadi"/>
          <w:b/>
          <w:bCs/>
          <w:sz w:val="21"/>
          <w:szCs w:val="21"/>
        </w:rPr>
        <w:t>Xichú</w:t>
      </w:r>
      <w:r w:rsidRPr="00AD79C7">
        <w:rPr>
          <w:rFonts w:ascii="Abadi" w:hAnsi="Abadi"/>
          <w:b/>
          <w:bCs/>
          <w:spacing w:val="18"/>
          <w:sz w:val="21"/>
          <w:szCs w:val="21"/>
        </w:rPr>
        <w:t xml:space="preserve"> </w:t>
      </w:r>
      <w:r w:rsidRPr="00AD79C7">
        <w:rPr>
          <w:rFonts w:ascii="Abadi" w:hAnsi="Abadi"/>
          <w:b/>
          <w:bCs/>
          <w:sz w:val="21"/>
          <w:szCs w:val="21"/>
        </w:rPr>
        <w:t>y</w:t>
      </w:r>
      <w:r w:rsidRPr="00AD79C7">
        <w:rPr>
          <w:rFonts w:ascii="Abadi" w:hAnsi="Abadi"/>
          <w:b/>
          <w:bCs/>
          <w:spacing w:val="18"/>
          <w:sz w:val="21"/>
          <w:szCs w:val="21"/>
        </w:rPr>
        <w:t xml:space="preserve"> </w:t>
      </w:r>
      <w:r w:rsidRPr="00AD79C7">
        <w:rPr>
          <w:rFonts w:ascii="Abadi" w:hAnsi="Abadi"/>
          <w:b/>
          <w:bCs/>
          <w:sz w:val="21"/>
          <w:szCs w:val="21"/>
        </w:rPr>
        <w:t>Yuriria,</w:t>
      </w:r>
      <w:r w:rsidRPr="00AD79C7">
        <w:rPr>
          <w:rFonts w:ascii="Abadi" w:hAnsi="Abadi"/>
          <w:b/>
          <w:bCs/>
          <w:spacing w:val="18"/>
          <w:sz w:val="21"/>
          <w:szCs w:val="21"/>
        </w:rPr>
        <w:t xml:space="preserve"> </w:t>
      </w:r>
      <w:r w:rsidRPr="00AD79C7">
        <w:rPr>
          <w:rFonts w:ascii="Abadi" w:hAnsi="Abadi"/>
          <w:b/>
          <w:bCs/>
          <w:sz w:val="21"/>
          <w:szCs w:val="21"/>
        </w:rPr>
        <w:t>a</w:t>
      </w:r>
      <w:r w:rsidRPr="00AD79C7">
        <w:rPr>
          <w:rFonts w:ascii="Abadi" w:hAnsi="Abadi"/>
          <w:b/>
          <w:bCs/>
          <w:spacing w:val="18"/>
          <w:sz w:val="21"/>
          <w:szCs w:val="21"/>
        </w:rPr>
        <w:t xml:space="preserve"> </w:t>
      </w:r>
      <w:r w:rsidRPr="00AD79C7">
        <w:rPr>
          <w:rFonts w:ascii="Abadi" w:hAnsi="Abadi"/>
          <w:b/>
          <w:bCs/>
          <w:sz w:val="21"/>
          <w:szCs w:val="21"/>
        </w:rPr>
        <w:t>efecto,</w:t>
      </w:r>
      <w:r w:rsidRPr="00AD79C7">
        <w:rPr>
          <w:rFonts w:ascii="Abadi" w:hAnsi="Abadi"/>
          <w:b/>
          <w:bCs/>
          <w:spacing w:val="18"/>
          <w:sz w:val="21"/>
          <w:szCs w:val="21"/>
        </w:rPr>
        <w:t xml:space="preserve"> </w:t>
      </w:r>
      <w:r w:rsidRPr="00AD79C7">
        <w:rPr>
          <w:rFonts w:ascii="Abadi" w:hAnsi="Abadi"/>
          <w:b/>
          <w:bCs/>
          <w:sz w:val="21"/>
          <w:szCs w:val="21"/>
        </w:rPr>
        <w:t>de</w:t>
      </w:r>
      <w:r w:rsidRPr="00AD79C7">
        <w:rPr>
          <w:rFonts w:ascii="Abadi" w:hAnsi="Abadi"/>
          <w:b/>
          <w:bCs/>
          <w:spacing w:val="18"/>
          <w:sz w:val="21"/>
          <w:szCs w:val="21"/>
        </w:rPr>
        <w:t xml:space="preserve"> </w:t>
      </w:r>
      <w:r w:rsidRPr="00AD79C7">
        <w:rPr>
          <w:rFonts w:ascii="Abadi" w:hAnsi="Abadi"/>
          <w:b/>
          <w:bCs/>
          <w:sz w:val="21"/>
          <w:szCs w:val="21"/>
        </w:rPr>
        <w:t>que</w:t>
      </w:r>
      <w:r w:rsidRPr="00AD79C7">
        <w:rPr>
          <w:rFonts w:ascii="Abadi" w:hAnsi="Abadi"/>
          <w:b/>
          <w:bCs/>
          <w:spacing w:val="18"/>
          <w:sz w:val="21"/>
          <w:szCs w:val="21"/>
        </w:rPr>
        <w:t xml:space="preserve"> </w:t>
      </w:r>
      <w:r w:rsidRPr="00AD79C7">
        <w:rPr>
          <w:rFonts w:ascii="Abadi" w:hAnsi="Abadi"/>
          <w:b/>
          <w:bCs/>
          <w:sz w:val="21"/>
          <w:szCs w:val="21"/>
        </w:rPr>
        <w:t>expidan</w:t>
      </w:r>
      <w:r w:rsidRPr="00AD79C7">
        <w:rPr>
          <w:rFonts w:ascii="Abadi" w:hAnsi="Abadi"/>
          <w:b/>
          <w:bCs/>
          <w:spacing w:val="18"/>
          <w:sz w:val="21"/>
          <w:szCs w:val="21"/>
        </w:rPr>
        <w:t xml:space="preserve"> </w:t>
      </w:r>
      <w:r w:rsidRPr="00AD79C7">
        <w:rPr>
          <w:rFonts w:ascii="Abadi" w:hAnsi="Abadi"/>
          <w:b/>
          <w:bCs/>
          <w:sz w:val="21"/>
          <w:szCs w:val="21"/>
        </w:rPr>
        <w:t>su</w:t>
      </w:r>
      <w:r w:rsidRPr="00AD79C7">
        <w:rPr>
          <w:rFonts w:ascii="Abadi" w:hAnsi="Abadi"/>
          <w:b/>
          <w:bCs/>
          <w:spacing w:val="-2"/>
          <w:sz w:val="21"/>
          <w:szCs w:val="21"/>
        </w:rPr>
        <w:t xml:space="preserve"> </w:t>
      </w:r>
      <w:r w:rsidRPr="00AD79C7">
        <w:rPr>
          <w:rFonts w:ascii="Abadi" w:hAnsi="Abadi"/>
          <w:b/>
          <w:bCs/>
          <w:sz w:val="21"/>
          <w:szCs w:val="21"/>
        </w:rPr>
        <w:t>Programa</w:t>
      </w:r>
      <w:r w:rsidRPr="00AD79C7">
        <w:rPr>
          <w:rFonts w:ascii="Abadi" w:hAnsi="Abadi"/>
          <w:b/>
          <w:bCs/>
          <w:spacing w:val="65"/>
          <w:w w:val="150"/>
          <w:sz w:val="21"/>
          <w:szCs w:val="21"/>
        </w:rPr>
        <w:t xml:space="preserve"> </w:t>
      </w:r>
      <w:r w:rsidRPr="00AD79C7">
        <w:rPr>
          <w:rFonts w:ascii="Abadi" w:hAnsi="Abadi"/>
          <w:b/>
          <w:bCs/>
          <w:sz w:val="21"/>
          <w:szCs w:val="21"/>
        </w:rPr>
        <w:t>Municipal</w:t>
      </w:r>
      <w:r w:rsidRPr="00AD79C7">
        <w:rPr>
          <w:rFonts w:ascii="Abadi" w:hAnsi="Abadi"/>
          <w:b/>
          <w:bCs/>
          <w:spacing w:val="64"/>
          <w:w w:val="150"/>
          <w:sz w:val="21"/>
          <w:szCs w:val="21"/>
        </w:rPr>
        <w:t xml:space="preserve"> </w:t>
      </w:r>
      <w:r w:rsidRPr="00AD79C7">
        <w:rPr>
          <w:rFonts w:ascii="Abadi" w:hAnsi="Abadi"/>
          <w:b/>
          <w:bCs/>
          <w:sz w:val="21"/>
          <w:szCs w:val="21"/>
        </w:rPr>
        <w:t>de</w:t>
      </w:r>
      <w:r w:rsidRPr="00AD79C7">
        <w:rPr>
          <w:rFonts w:ascii="Abadi" w:hAnsi="Abadi"/>
          <w:b/>
          <w:bCs/>
          <w:spacing w:val="65"/>
          <w:w w:val="150"/>
          <w:sz w:val="21"/>
          <w:szCs w:val="21"/>
        </w:rPr>
        <w:t xml:space="preserve"> </w:t>
      </w:r>
      <w:r w:rsidRPr="00AD79C7">
        <w:rPr>
          <w:rFonts w:ascii="Abadi" w:hAnsi="Abadi"/>
          <w:b/>
          <w:bCs/>
          <w:sz w:val="21"/>
          <w:szCs w:val="21"/>
        </w:rPr>
        <w:t>Desarrollo</w:t>
      </w:r>
      <w:r w:rsidRPr="00AD79C7">
        <w:rPr>
          <w:rFonts w:ascii="Abadi" w:hAnsi="Abadi"/>
          <w:b/>
          <w:bCs/>
          <w:spacing w:val="65"/>
          <w:w w:val="150"/>
          <w:sz w:val="21"/>
          <w:szCs w:val="21"/>
        </w:rPr>
        <w:t xml:space="preserve"> </w:t>
      </w:r>
      <w:r w:rsidRPr="00AD79C7">
        <w:rPr>
          <w:rFonts w:ascii="Abadi" w:hAnsi="Abadi"/>
          <w:b/>
          <w:bCs/>
          <w:sz w:val="21"/>
          <w:szCs w:val="21"/>
        </w:rPr>
        <w:t>Urbano</w:t>
      </w:r>
      <w:r w:rsidRPr="00AD79C7">
        <w:rPr>
          <w:rFonts w:ascii="Abadi" w:hAnsi="Abadi"/>
          <w:b/>
          <w:bCs/>
          <w:spacing w:val="65"/>
          <w:w w:val="150"/>
          <w:sz w:val="21"/>
          <w:szCs w:val="21"/>
        </w:rPr>
        <w:t xml:space="preserve"> </w:t>
      </w:r>
      <w:r w:rsidRPr="00AD79C7">
        <w:rPr>
          <w:rFonts w:ascii="Abadi" w:hAnsi="Abadi"/>
          <w:b/>
          <w:bCs/>
          <w:sz w:val="21"/>
          <w:szCs w:val="21"/>
        </w:rPr>
        <w:t>y</w:t>
      </w:r>
      <w:r w:rsidRPr="00AD79C7">
        <w:rPr>
          <w:rFonts w:ascii="Abadi" w:hAnsi="Abadi"/>
          <w:b/>
          <w:bCs/>
          <w:spacing w:val="65"/>
          <w:w w:val="150"/>
          <w:sz w:val="21"/>
          <w:szCs w:val="21"/>
        </w:rPr>
        <w:t xml:space="preserve"> </w:t>
      </w:r>
      <w:r w:rsidRPr="00AD79C7">
        <w:rPr>
          <w:rFonts w:ascii="Abadi" w:hAnsi="Abadi"/>
          <w:b/>
          <w:bCs/>
          <w:sz w:val="21"/>
          <w:szCs w:val="21"/>
        </w:rPr>
        <w:t>Ordenamiento</w:t>
      </w:r>
      <w:r w:rsidRPr="00AD79C7">
        <w:rPr>
          <w:rFonts w:ascii="Abadi" w:hAnsi="Abadi"/>
          <w:b/>
          <w:bCs/>
          <w:spacing w:val="65"/>
          <w:w w:val="150"/>
          <w:sz w:val="21"/>
          <w:szCs w:val="21"/>
        </w:rPr>
        <w:t xml:space="preserve"> </w:t>
      </w:r>
      <w:r w:rsidRPr="00AD79C7">
        <w:rPr>
          <w:rFonts w:ascii="Abadi" w:hAnsi="Abadi"/>
          <w:b/>
          <w:bCs/>
          <w:sz w:val="21"/>
          <w:szCs w:val="21"/>
        </w:rPr>
        <w:t>Ecológico</w:t>
      </w:r>
      <w:r w:rsidRPr="00AD79C7">
        <w:rPr>
          <w:rFonts w:ascii="Abadi" w:hAnsi="Abadi"/>
          <w:b/>
          <w:bCs/>
          <w:spacing w:val="-2"/>
          <w:sz w:val="21"/>
          <w:szCs w:val="21"/>
        </w:rPr>
        <w:t xml:space="preserve"> </w:t>
      </w:r>
      <w:r w:rsidRPr="00AD79C7">
        <w:rPr>
          <w:rFonts w:ascii="Abadi" w:hAnsi="Abadi"/>
          <w:b/>
          <w:bCs/>
          <w:sz w:val="21"/>
          <w:szCs w:val="21"/>
        </w:rPr>
        <w:t>Territorial</w:t>
      </w:r>
      <w:r w:rsidRPr="00AD79C7">
        <w:rPr>
          <w:rFonts w:ascii="Abadi" w:hAnsi="Abadi"/>
          <w:b/>
          <w:bCs/>
          <w:spacing w:val="-1"/>
          <w:sz w:val="21"/>
          <w:szCs w:val="21"/>
        </w:rPr>
        <w:t xml:space="preserve"> </w:t>
      </w:r>
      <w:r w:rsidRPr="00AD79C7">
        <w:rPr>
          <w:rFonts w:ascii="Abadi" w:hAnsi="Abadi"/>
          <w:b/>
          <w:bCs/>
          <w:sz w:val="21"/>
          <w:szCs w:val="21"/>
        </w:rPr>
        <w:t>y,</w:t>
      </w:r>
      <w:r w:rsidRPr="00AD79C7">
        <w:rPr>
          <w:rFonts w:ascii="Abadi" w:hAnsi="Abadi"/>
          <w:b/>
          <w:bCs/>
          <w:spacing w:val="-1"/>
          <w:sz w:val="21"/>
          <w:szCs w:val="21"/>
        </w:rPr>
        <w:t xml:space="preserve"> </w:t>
      </w:r>
      <w:r w:rsidRPr="00AD79C7">
        <w:rPr>
          <w:rFonts w:ascii="Abadi" w:hAnsi="Abadi"/>
          <w:b/>
          <w:bCs/>
          <w:sz w:val="21"/>
          <w:szCs w:val="21"/>
        </w:rPr>
        <w:t>en</w:t>
      </w:r>
      <w:r w:rsidRPr="00AD79C7">
        <w:rPr>
          <w:rFonts w:ascii="Abadi" w:hAnsi="Abadi"/>
          <w:b/>
          <w:bCs/>
          <w:spacing w:val="-1"/>
          <w:sz w:val="21"/>
          <w:szCs w:val="21"/>
        </w:rPr>
        <w:t xml:space="preserve"> </w:t>
      </w:r>
      <w:r w:rsidRPr="00AD79C7">
        <w:rPr>
          <w:rFonts w:ascii="Abadi" w:hAnsi="Abadi"/>
          <w:b/>
          <w:bCs/>
          <w:sz w:val="21"/>
          <w:szCs w:val="21"/>
        </w:rPr>
        <w:t>su</w:t>
      </w:r>
      <w:r w:rsidRPr="00AD79C7">
        <w:rPr>
          <w:rFonts w:ascii="Abadi" w:hAnsi="Abadi"/>
          <w:b/>
          <w:bCs/>
          <w:spacing w:val="-1"/>
          <w:sz w:val="21"/>
          <w:szCs w:val="21"/>
        </w:rPr>
        <w:t xml:space="preserve"> </w:t>
      </w:r>
      <w:r w:rsidRPr="00AD79C7">
        <w:rPr>
          <w:rFonts w:ascii="Abadi" w:hAnsi="Abadi"/>
          <w:b/>
          <w:bCs/>
          <w:sz w:val="21"/>
          <w:szCs w:val="21"/>
        </w:rPr>
        <w:t>caso,</w:t>
      </w:r>
      <w:r w:rsidRPr="00AD79C7">
        <w:rPr>
          <w:rFonts w:ascii="Abadi" w:hAnsi="Abadi"/>
          <w:b/>
          <w:bCs/>
          <w:spacing w:val="-1"/>
          <w:sz w:val="21"/>
          <w:szCs w:val="21"/>
        </w:rPr>
        <w:t xml:space="preserve"> </w:t>
      </w:r>
      <w:r w:rsidRPr="00AD79C7">
        <w:rPr>
          <w:rFonts w:ascii="Abadi" w:hAnsi="Abadi"/>
          <w:b/>
          <w:bCs/>
          <w:sz w:val="21"/>
          <w:szCs w:val="21"/>
        </w:rPr>
        <w:t>aprobación</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misma.</w:t>
      </w:r>
    </w:p>
    <w:p w14:paraId="48163627" w14:textId="77777777" w:rsidR="0069627F" w:rsidRPr="0069627F" w:rsidRDefault="0069627F" w:rsidP="0069627F">
      <w:pPr>
        <w:pStyle w:val="Prrafodelista"/>
        <w:rPr>
          <w:rFonts w:ascii="Abadi" w:hAnsi="Abadi"/>
          <w:b/>
          <w:bCs/>
          <w:sz w:val="21"/>
          <w:szCs w:val="21"/>
        </w:rPr>
      </w:pPr>
    </w:p>
    <w:p w14:paraId="48D2536C" w14:textId="5E083D1B" w:rsidR="0069627F" w:rsidRDefault="0069627F" w:rsidP="005433FA">
      <w:pPr>
        <w:pStyle w:val="Prrafodelista"/>
        <w:numPr>
          <w:ilvl w:val="0"/>
          <w:numId w:val="8"/>
        </w:numPr>
        <w:tabs>
          <w:tab w:val="left" w:pos="845"/>
        </w:tabs>
        <w:kinsoku w:val="0"/>
        <w:overflowPunct w:val="0"/>
        <w:autoSpaceDE w:val="0"/>
        <w:autoSpaceDN w:val="0"/>
        <w:adjustRightInd w:val="0"/>
        <w:spacing w:before="220"/>
        <w:ind w:right="566"/>
        <w:jc w:val="both"/>
        <w:rPr>
          <w:rFonts w:ascii="Abadi" w:hAnsi="Abadi"/>
          <w:b/>
          <w:bCs/>
          <w:sz w:val="21"/>
          <w:szCs w:val="21"/>
        </w:rPr>
      </w:pPr>
      <w:r w:rsidRPr="00AD79C7">
        <w:rPr>
          <w:rFonts w:ascii="Abadi" w:hAnsi="Abadi"/>
          <w:b/>
          <w:bCs/>
          <w:sz w:val="21"/>
          <w:szCs w:val="21"/>
        </w:rPr>
        <w:t>Presentación</w:t>
      </w:r>
      <w:r w:rsidRPr="00AD79C7">
        <w:rPr>
          <w:rFonts w:ascii="Abadi" w:hAnsi="Abadi"/>
          <w:b/>
          <w:bCs/>
          <w:spacing w:val="54"/>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la</w:t>
      </w:r>
      <w:r w:rsidRPr="00AD79C7">
        <w:rPr>
          <w:rFonts w:ascii="Abadi" w:hAnsi="Abadi"/>
          <w:b/>
          <w:bCs/>
          <w:spacing w:val="54"/>
          <w:sz w:val="21"/>
          <w:szCs w:val="21"/>
        </w:rPr>
        <w:t xml:space="preserve"> </w:t>
      </w:r>
      <w:r w:rsidRPr="00AD79C7">
        <w:rPr>
          <w:rFonts w:ascii="Abadi" w:hAnsi="Abadi"/>
          <w:b/>
          <w:bCs/>
          <w:sz w:val="21"/>
          <w:szCs w:val="21"/>
        </w:rPr>
        <w:t>propuesta</w:t>
      </w:r>
      <w:r w:rsidRPr="00AD79C7">
        <w:rPr>
          <w:rFonts w:ascii="Abadi" w:hAnsi="Abadi"/>
          <w:b/>
          <w:bCs/>
          <w:spacing w:val="54"/>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punto</w:t>
      </w:r>
      <w:r w:rsidRPr="00AD79C7">
        <w:rPr>
          <w:rFonts w:ascii="Abadi" w:hAnsi="Abadi"/>
          <w:b/>
          <w:bCs/>
          <w:spacing w:val="54"/>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acuerdo</w:t>
      </w:r>
      <w:r w:rsidRPr="00AD79C7">
        <w:rPr>
          <w:rFonts w:ascii="Abadi" w:hAnsi="Abadi"/>
          <w:b/>
          <w:bCs/>
          <w:spacing w:val="54"/>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obvia</w:t>
      </w:r>
      <w:r w:rsidRPr="00AD79C7">
        <w:rPr>
          <w:rFonts w:ascii="Abadi" w:hAnsi="Abadi"/>
          <w:b/>
          <w:bCs/>
          <w:spacing w:val="54"/>
          <w:sz w:val="21"/>
          <w:szCs w:val="21"/>
        </w:rPr>
        <w:t xml:space="preserve"> </w:t>
      </w:r>
      <w:r w:rsidRPr="00AD79C7">
        <w:rPr>
          <w:rFonts w:ascii="Abadi" w:hAnsi="Abadi"/>
          <w:b/>
          <w:bCs/>
          <w:sz w:val="21"/>
          <w:szCs w:val="21"/>
        </w:rPr>
        <w:t>resolución</w:t>
      </w:r>
      <w:r w:rsidRPr="00AD79C7">
        <w:rPr>
          <w:rFonts w:ascii="Abadi" w:hAnsi="Abadi"/>
          <w:b/>
          <w:bCs/>
          <w:spacing w:val="-1"/>
          <w:sz w:val="21"/>
          <w:szCs w:val="21"/>
        </w:rPr>
        <w:t xml:space="preserve"> </w:t>
      </w:r>
      <w:r w:rsidRPr="00AD79C7">
        <w:rPr>
          <w:rFonts w:ascii="Abadi" w:hAnsi="Abadi"/>
          <w:b/>
          <w:bCs/>
          <w:sz w:val="21"/>
          <w:szCs w:val="21"/>
        </w:rPr>
        <w:t>suscrita</w:t>
      </w:r>
      <w:r w:rsidRPr="00AD79C7">
        <w:rPr>
          <w:rFonts w:ascii="Abadi" w:hAnsi="Abadi"/>
          <w:b/>
          <w:bCs/>
          <w:spacing w:val="7"/>
          <w:sz w:val="21"/>
          <w:szCs w:val="21"/>
        </w:rPr>
        <w:t xml:space="preserve"> </w:t>
      </w:r>
      <w:r w:rsidRPr="00AD79C7">
        <w:rPr>
          <w:rFonts w:ascii="Abadi" w:hAnsi="Abadi"/>
          <w:b/>
          <w:bCs/>
          <w:sz w:val="21"/>
          <w:szCs w:val="21"/>
        </w:rPr>
        <w:t>por</w:t>
      </w:r>
      <w:r w:rsidRPr="00AD79C7">
        <w:rPr>
          <w:rFonts w:ascii="Abadi" w:hAnsi="Abadi"/>
          <w:b/>
          <w:bCs/>
          <w:spacing w:val="7"/>
          <w:sz w:val="21"/>
          <w:szCs w:val="21"/>
        </w:rPr>
        <w:t xml:space="preserve"> </w:t>
      </w:r>
      <w:r w:rsidRPr="00AD79C7">
        <w:rPr>
          <w:rFonts w:ascii="Abadi" w:hAnsi="Abadi"/>
          <w:b/>
          <w:bCs/>
          <w:sz w:val="21"/>
          <w:szCs w:val="21"/>
        </w:rPr>
        <w:t>diputadas</w:t>
      </w:r>
      <w:r w:rsidRPr="00AD79C7">
        <w:rPr>
          <w:rFonts w:ascii="Abadi" w:hAnsi="Abadi"/>
          <w:b/>
          <w:bCs/>
          <w:spacing w:val="7"/>
          <w:sz w:val="21"/>
          <w:szCs w:val="21"/>
        </w:rPr>
        <w:t xml:space="preserve"> </w:t>
      </w:r>
      <w:r w:rsidRPr="00AD79C7">
        <w:rPr>
          <w:rFonts w:ascii="Abadi" w:hAnsi="Abadi"/>
          <w:b/>
          <w:bCs/>
          <w:sz w:val="21"/>
          <w:szCs w:val="21"/>
        </w:rPr>
        <w:t>y</w:t>
      </w:r>
      <w:r w:rsidRPr="00AD79C7">
        <w:rPr>
          <w:rFonts w:ascii="Abadi" w:hAnsi="Abadi"/>
          <w:b/>
          <w:bCs/>
          <w:spacing w:val="7"/>
          <w:sz w:val="21"/>
          <w:szCs w:val="21"/>
        </w:rPr>
        <w:t xml:space="preserve"> </w:t>
      </w:r>
      <w:r w:rsidRPr="00AD79C7">
        <w:rPr>
          <w:rFonts w:ascii="Abadi" w:hAnsi="Abadi"/>
          <w:b/>
          <w:bCs/>
          <w:sz w:val="21"/>
          <w:szCs w:val="21"/>
        </w:rPr>
        <w:t>diputados</w:t>
      </w:r>
      <w:r w:rsidRPr="00AD79C7">
        <w:rPr>
          <w:rFonts w:ascii="Abadi" w:hAnsi="Abadi"/>
          <w:b/>
          <w:bCs/>
          <w:spacing w:val="7"/>
          <w:sz w:val="21"/>
          <w:szCs w:val="21"/>
        </w:rPr>
        <w:t xml:space="preserve"> </w:t>
      </w:r>
      <w:r w:rsidRPr="00AD79C7">
        <w:rPr>
          <w:rFonts w:ascii="Abadi" w:hAnsi="Abadi"/>
          <w:b/>
          <w:bCs/>
          <w:sz w:val="21"/>
          <w:szCs w:val="21"/>
        </w:rPr>
        <w:t>integrantes</w:t>
      </w:r>
      <w:r w:rsidRPr="00AD79C7">
        <w:rPr>
          <w:rFonts w:ascii="Abadi" w:hAnsi="Abadi"/>
          <w:b/>
          <w:bCs/>
          <w:spacing w:val="7"/>
          <w:sz w:val="21"/>
          <w:szCs w:val="21"/>
        </w:rPr>
        <w:t xml:space="preserve"> </w:t>
      </w:r>
      <w:r w:rsidRPr="00AD79C7">
        <w:rPr>
          <w:rFonts w:ascii="Abadi" w:hAnsi="Abadi"/>
          <w:b/>
          <w:bCs/>
          <w:sz w:val="21"/>
          <w:szCs w:val="21"/>
        </w:rPr>
        <w:t>del</w:t>
      </w:r>
      <w:r w:rsidRPr="00AD79C7">
        <w:rPr>
          <w:rFonts w:ascii="Abadi" w:hAnsi="Abadi"/>
          <w:b/>
          <w:bCs/>
          <w:spacing w:val="7"/>
          <w:sz w:val="21"/>
          <w:szCs w:val="21"/>
        </w:rPr>
        <w:t xml:space="preserve"> </w:t>
      </w:r>
      <w:r w:rsidRPr="00AD79C7">
        <w:rPr>
          <w:rFonts w:ascii="Abadi" w:hAnsi="Abadi"/>
          <w:b/>
          <w:bCs/>
          <w:sz w:val="21"/>
          <w:szCs w:val="21"/>
        </w:rPr>
        <w:t>Grupo</w:t>
      </w:r>
      <w:r w:rsidRPr="00AD79C7">
        <w:rPr>
          <w:rFonts w:ascii="Abadi" w:hAnsi="Abadi"/>
          <w:b/>
          <w:bCs/>
          <w:spacing w:val="7"/>
          <w:sz w:val="21"/>
          <w:szCs w:val="21"/>
        </w:rPr>
        <w:t xml:space="preserve"> </w:t>
      </w:r>
      <w:r w:rsidRPr="00AD79C7">
        <w:rPr>
          <w:rFonts w:ascii="Abadi" w:hAnsi="Abadi"/>
          <w:b/>
          <w:bCs/>
          <w:sz w:val="21"/>
          <w:szCs w:val="21"/>
        </w:rPr>
        <w:t>Parlamentario</w:t>
      </w:r>
      <w:r w:rsidRPr="00AD79C7">
        <w:rPr>
          <w:rFonts w:ascii="Abadi" w:hAnsi="Abadi"/>
          <w:b/>
          <w:bCs/>
          <w:spacing w:val="7"/>
          <w:sz w:val="21"/>
          <w:szCs w:val="21"/>
        </w:rPr>
        <w:t xml:space="preserve"> </w:t>
      </w:r>
      <w:r w:rsidRPr="00AD79C7">
        <w:rPr>
          <w:rFonts w:ascii="Abadi" w:hAnsi="Abadi"/>
          <w:b/>
          <w:bCs/>
          <w:sz w:val="21"/>
          <w:szCs w:val="21"/>
        </w:rPr>
        <w:t>del</w:t>
      </w:r>
      <w:r w:rsidRPr="00AD79C7">
        <w:rPr>
          <w:rFonts w:ascii="Abadi" w:hAnsi="Abadi"/>
          <w:b/>
          <w:bCs/>
          <w:spacing w:val="-1"/>
          <w:sz w:val="21"/>
          <w:szCs w:val="21"/>
        </w:rPr>
        <w:t xml:space="preserve"> </w:t>
      </w:r>
      <w:r w:rsidRPr="00AD79C7">
        <w:rPr>
          <w:rFonts w:ascii="Abadi" w:hAnsi="Abadi"/>
          <w:b/>
          <w:bCs/>
          <w:sz w:val="21"/>
          <w:szCs w:val="21"/>
        </w:rPr>
        <w:t>Partido</w:t>
      </w:r>
      <w:r w:rsidRPr="00AD79C7">
        <w:rPr>
          <w:rFonts w:ascii="Abadi" w:hAnsi="Abadi"/>
          <w:b/>
          <w:bCs/>
          <w:spacing w:val="24"/>
          <w:sz w:val="21"/>
          <w:szCs w:val="21"/>
        </w:rPr>
        <w:t xml:space="preserve"> </w:t>
      </w:r>
      <w:r w:rsidRPr="00AD79C7">
        <w:rPr>
          <w:rFonts w:ascii="Abadi" w:hAnsi="Abadi"/>
          <w:b/>
          <w:bCs/>
          <w:sz w:val="21"/>
          <w:szCs w:val="21"/>
        </w:rPr>
        <w:t>Acción</w:t>
      </w:r>
      <w:r w:rsidRPr="00AD79C7">
        <w:rPr>
          <w:rFonts w:ascii="Abadi" w:hAnsi="Abadi"/>
          <w:b/>
          <w:bCs/>
          <w:spacing w:val="24"/>
          <w:sz w:val="21"/>
          <w:szCs w:val="21"/>
        </w:rPr>
        <w:t xml:space="preserve"> </w:t>
      </w:r>
      <w:r w:rsidRPr="00AD79C7">
        <w:rPr>
          <w:rFonts w:ascii="Abadi" w:hAnsi="Abadi"/>
          <w:b/>
          <w:bCs/>
          <w:sz w:val="21"/>
          <w:szCs w:val="21"/>
        </w:rPr>
        <w:t>Nacional</w:t>
      </w:r>
      <w:r w:rsidRPr="00AD79C7">
        <w:rPr>
          <w:rFonts w:ascii="Abadi" w:hAnsi="Abadi"/>
          <w:b/>
          <w:bCs/>
          <w:spacing w:val="24"/>
          <w:sz w:val="21"/>
          <w:szCs w:val="21"/>
        </w:rPr>
        <w:t xml:space="preserve"> </w:t>
      </w:r>
      <w:r w:rsidRPr="00AD79C7">
        <w:rPr>
          <w:rFonts w:ascii="Abadi" w:hAnsi="Abadi"/>
          <w:b/>
          <w:bCs/>
          <w:sz w:val="21"/>
          <w:szCs w:val="21"/>
        </w:rPr>
        <w:t>a</w:t>
      </w:r>
      <w:r w:rsidRPr="00AD79C7">
        <w:rPr>
          <w:rFonts w:ascii="Abadi" w:hAnsi="Abadi"/>
          <w:b/>
          <w:bCs/>
          <w:spacing w:val="24"/>
          <w:sz w:val="21"/>
          <w:szCs w:val="21"/>
        </w:rPr>
        <w:t xml:space="preserve"> </w:t>
      </w:r>
      <w:r w:rsidRPr="00AD79C7">
        <w:rPr>
          <w:rFonts w:ascii="Abadi" w:hAnsi="Abadi"/>
          <w:b/>
          <w:bCs/>
          <w:sz w:val="21"/>
          <w:szCs w:val="21"/>
        </w:rPr>
        <w:t>fin</w:t>
      </w:r>
      <w:r w:rsidRPr="00AD79C7">
        <w:rPr>
          <w:rFonts w:ascii="Abadi" w:hAnsi="Abadi"/>
          <w:b/>
          <w:bCs/>
          <w:spacing w:val="24"/>
          <w:sz w:val="21"/>
          <w:szCs w:val="21"/>
        </w:rPr>
        <w:t xml:space="preserve"> </w:t>
      </w:r>
      <w:r w:rsidRPr="00AD79C7">
        <w:rPr>
          <w:rFonts w:ascii="Abadi" w:hAnsi="Abadi"/>
          <w:b/>
          <w:bCs/>
          <w:sz w:val="21"/>
          <w:szCs w:val="21"/>
        </w:rPr>
        <w:t>de</w:t>
      </w:r>
      <w:r w:rsidRPr="00AD79C7">
        <w:rPr>
          <w:rFonts w:ascii="Abadi" w:hAnsi="Abadi"/>
          <w:b/>
          <w:bCs/>
          <w:spacing w:val="24"/>
          <w:sz w:val="21"/>
          <w:szCs w:val="21"/>
        </w:rPr>
        <w:t xml:space="preserve"> </w:t>
      </w:r>
      <w:r w:rsidRPr="00AD79C7">
        <w:rPr>
          <w:rFonts w:ascii="Abadi" w:hAnsi="Abadi"/>
          <w:b/>
          <w:bCs/>
          <w:sz w:val="21"/>
          <w:szCs w:val="21"/>
        </w:rPr>
        <w:t>exhortar</w:t>
      </w:r>
      <w:r w:rsidRPr="00AD79C7">
        <w:rPr>
          <w:rFonts w:ascii="Abadi" w:hAnsi="Abadi"/>
          <w:b/>
          <w:bCs/>
          <w:spacing w:val="24"/>
          <w:sz w:val="21"/>
          <w:szCs w:val="21"/>
        </w:rPr>
        <w:t xml:space="preserve"> </w:t>
      </w:r>
      <w:r w:rsidRPr="00AD79C7">
        <w:rPr>
          <w:rFonts w:ascii="Abadi" w:hAnsi="Abadi"/>
          <w:b/>
          <w:bCs/>
          <w:sz w:val="21"/>
          <w:szCs w:val="21"/>
        </w:rPr>
        <w:t>a</w:t>
      </w:r>
      <w:r w:rsidRPr="00AD79C7">
        <w:rPr>
          <w:rFonts w:ascii="Abadi" w:hAnsi="Abadi"/>
          <w:b/>
          <w:bCs/>
          <w:spacing w:val="24"/>
          <w:sz w:val="21"/>
          <w:szCs w:val="21"/>
        </w:rPr>
        <w:t xml:space="preserve"> </w:t>
      </w:r>
      <w:r w:rsidRPr="00AD79C7">
        <w:rPr>
          <w:rFonts w:ascii="Abadi" w:hAnsi="Abadi"/>
          <w:b/>
          <w:bCs/>
          <w:sz w:val="21"/>
          <w:szCs w:val="21"/>
        </w:rPr>
        <w:t>los</w:t>
      </w:r>
      <w:r w:rsidRPr="00AD79C7">
        <w:rPr>
          <w:rFonts w:ascii="Abadi" w:hAnsi="Abadi"/>
          <w:b/>
          <w:bCs/>
          <w:spacing w:val="24"/>
          <w:sz w:val="21"/>
          <w:szCs w:val="21"/>
        </w:rPr>
        <w:t xml:space="preserve"> </w:t>
      </w:r>
      <w:r w:rsidRPr="00AD79C7">
        <w:rPr>
          <w:rFonts w:ascii="Abadi" w:hAnsi="Abadi"/>
          <w:b/>
          <w:bCs/>
          <w:sz w:val="21"/>
          <w:szCs w:val="21"/>
        </w:rPr>
        <w:t>ayuntamientos</w:t>
      </w:r>
      <w:r w:rsidRPr="00AD79C7">
        <w:rPr>
          <w:rFonts w:ascii="Abadi" w:hAnsi="Abadi"/>
          <w:b/>
          <w:bCs/>
          <w:spacing w:val="24"/>
          <w:sz w:val="21"/>
          <w:szCs w:val="21"/>
        </w:rPr>
        <w:t xml:space="preserve"> </w:t>
      </w:r>
      <w:r w:rsidRPr="00AD79C7">
        <w:rPr>
          <w:rFonts w:ascii="Abadi" w:hAnsi="Abadi"/>
          <w:b/>
          <w:bCs/>
          <w:sz w:val="21"/>
          <w:szCs w:val="21"/>
        </w:rPr>
        <w:t>de</w:t>
      </w:r>
      <w:r w:rsidRPr="00AD79C7">
        <w:rPr>
          <w:rFonts w:ascii="Abadi" w:hAnsi="Abadi"/>
          <w:b/>
          <w:bCs/>
          <w:spacing w:val="24"/>
          <w:sz w:val="21"/>
          <w:szCs w:val="21"/>
        </w:rPr>
        <w:t xml:space="preserve"> </w:t>
      </w:r>
      <w:r w:rsidRPr="00AD79C7">
        <w:rPr>
          <w:rFonts w:ascii="Abadi" w:hAnsi="Abadi"/>
          <w:b/>
          <w:bCs/>
          <w:sz w:val="21"/>
          <w:szCs w:val="21"/>
        </w:rPr>
        <w:t>Atarjea,</w:t>
      </w:r>
      <w:r w:rsidRPr="00AD79C7">
        <w:rPr>
          <w:rFonts w:ascii="Abadi" w:hAnsi="Abadi"/>
          <w:b/>
          <w:bCs/>
          <w:spacing w:val="-1"/>
          <w:sz w:val="21"/>
          <w:szCs w:val="21"/>
        </w:rPr>
        <w:t xml:space="preserve"> </w:t>
      </w:r>
      <w:r w:rsidRPr="00AD79C7">
        <w:rPr>
          <w:rFonts w:ascii="Abadi" w:hAnsi="Abadi"/>
          <w:b/>
          <w:bCs/>
          <w:sz w:val="21"/>
          <w:szCs w:val="21"/>
        </w:rPr>
        <w:t>Ocampo,</w:t>
      </w:r>
      <w:r w:rsidRPr="00AD79C7">
        <w:rPr>
          <w:rFonts w:ascii="Abadi" w:hAnsi="Abadi"/>
          <w:b/>
          <w:bCs/>
          <w:spacing w:val="12"/>
          <w:sz w:val="21"/>
          <w:szCs w:val="21"/>
        </w:rPr>
        <w:t xml:space="preserve"> </w:t>
      </w:r>
      <w:r w:rsidRPr="00AD79C7">
        <w:rPr>
          <w:rFonts w:ascii="Abadi" w:hAnsi="Abadi"/>
          <w:b/>
          <w:bCs/>
          <w:sz w:val="21"/>
          <w:szCs w:val="21"/>
        </w:rPr>
        <w:t>Pueblo</w:t>
      </w:r>
      <w:r w:rsidRPr="00AD79C7">
        <w:rPr>
          <w:rFonts w:ascii="Abadi" w:hAnsi="Abadi"/>
          <w:b/>
          <w:bCs/>
          <w:spacing w:val="12"/>
          <w:sz w:val="21"/>
          <w:szCs w:val="21"/>
        </w:rPr>
        <w:t xml:space="preserve"> </w:t>
      </w:r>
      <w:r w:rsidRPr="00AD79C7">
        <w:rPr>
          <w:rFonts w:ascii="Abadi" w:hAnsi="Abadi"/>
          <w:b/>
          <w:bCs/>
          <w:sz w:val="21"/>
          <w:szCs w:val="21"/>
        </w:rPr>
        <w:t>Nuevo,</w:t>
      </w:r>
      <w:r w:rsidRPr="00AD79C7">
        <w:rPr>
          <w:rFonts w:ascii="Abadi" w:hAnsi="Abadi"/>
          <w:b/>
          <w:bCs/>
          <w:spacing w:val="12"/>
          <w:sz w:val="21"/>
          <w:szCs w:val="21"/>
        </w:rPr>
        <w:t xml:space="preserve"> </w:t>
      </w:r>
      <w:r w:rsidRPr="00AD79C7">
        <w:rPr>
          <w:rFonts w:ascii="Abadi" w:hAnsi="Abadi"/>
          <w:b/>
          <w:bCs/>
          <w:sz w:val="21"/>
          <w:szCs w:val="21"/>
        </w:rPr>
        <w:t>Santa</w:t>
      </w:r>
      <w:r w:rsidRPr="00AD79C7">
        <w:rPr>
          <w:rFonts w:ascii="Abadi" w:hAnsi="Abadi"/>
          <w:b/>
          <w:bCs/>
          <w:spacing w:val="12"/>
          <w:sz w:val="21"/>
          <w:szCs w:val="21"/>
        </w:rPr>
        <w:t xml:space="preserve"> </w:t>
      </w:r>
      <w:r w:rsidRPr="00AD79C7">
        <w:rPr>
          <w:rFonts w:ascii="Abadi" w:hAnsi="Abadi"/>
          <w:b/>
          <w:bCs/>
          <w:sz w:val="21"/>
          <w:szCs w:val="21"/>
        </w:rPr>
        <w:t>Catarina,</w:t>
      </w:r>
      <w:r w:rsidRPr="00AD79C7">
        <w:rPr>
          <w:rFonts w:ascii="Abadi" w:hAnsi="Abadi"/>
          <w:b/>
          <w:bCs/>
          <w:spacing w:val="11"/>
          <w:sz w:val="21"/>
          <w:szCs w:val="21"/>
        </w:rPr>
        <w:t xml:space="preserve"> </w:t>
      </w:r>
      <w:r w:rsidRPr="00AD79C7">
        <w:rPr>
          <w:rFonts w:ascii="Abadi" w:hAnsi="Abadi"/>
          <w:b/>
          <w:bCs/>
          <w:sz w:val="21"/>
          <w:szCs w:val="21"/>
        </w:rPr>
        <w:t>Xichú</w:t>
      </w:r>
      <w:r w:rsidRPr="00AD79C7">
        <w:rPr>
          <w:rFonts w:ascii="Abadi" w:hAnsi="Abadi"/>
          <w:b/>
          <w:bCs/>
          <w:spacing w:val="12"/>
          <w:sz w:val="21"/>
          <w:szCs w:val="21"/>
        </w:rPr>
        <w:t xml:space="preserve"> </w:t>
      </w:r>
      <w:r w:rsidRPr="00AD79C7">
        <w:rPr>
          <w:rFonts w:ascii="Abadi" w:hAnsi="Abadi"/>
          <w:b/>
          <w:bCs/>
          <w:sz w:val="21"/>
          <w:szCs w:val="21"/>
        </w:rPr>
        <w:t>y</w:t>
      </w:r>
      <w:r w:rsidRPr="00AD79C7">
        <w:rPr>
          <w:rFonts w:ascii="Abadi" w:hAnsi="Abadi"/>
          <w:b/>
          <w:bCs/>
          <w:spacing w:val="12"/>
          <w:sz w:val="21"/>
          <w:szCs w:val="21"/>
        </w:rPr>
        <w:t xml:space="preserve"> </w:t>
      </w:r>
      <w:r w:rsidRPr="00AD79C7">
        <w:rPr>
          <w:rFonts w:ascii="Abadi" w:hAnsi="Abadi"/>
          <w:b/>
          <w:bCs/>
          <w:sz w:val="21"/>
          <w:szCs w:val="21"/>
        </w:rPr>
        <w:t>Villagrán,</w:t>
      </w:r>
      <w:r w:rsidRPr="00AD79C7">
        <w:rPr>
          <w:rFonts w:ascii="Abadi" w:hAnsi="Abadi"/>
          <w:b/>
          <w:bCs/>
          <w:spacing w:val="12"/>
          <w:sz w:val="21"/>
          <w:szCs w:val="21"/>
        </w:rPr>
        <w:t xml:space="preserve"> </w:t>
      </w:r>
      <w:r w:rsidRPr="00AD79C7">
        <w:rPr>
          <w:rFonts w:ascii="Abadi" w:hAnsi="Abadi"/>
          <w:b/>
          <w:bCs/>
          <w:sz w:val="21"/>
          <w:szCs w:val="21"/>
        </w:rPr>
        <w:t>para</w:t>
      </w:r>
      <w:r w:rsidRPr="00AD79C7">
        <w:rPr>
          <w:rFonts w:ascii="Abadi" w:hAnsi="Abadi"/>
          <w:b/>
          <w:bCs/>
          <w:spacing w:val="12"/>
          <w:sz w:val="21"/>
          <w:szCs w:val="21"/>
        </w:rPr>
        <w:t xml:space="preserve"> </w:t>
      </w:r>
      <w:r w:rsidRPr="00AD79C7">
        <w:rPr>
          <w:rFonts w:ascii="Abadi" w:hAnsi="Abadi"/>
          <w:b/>
          <w:bCs/>
          <w:sz w:val="21"/>
          <w:szCs w:val="21"/>
        </w:rPr>
        <w:t>que</w:t>
      </w:r>
      <w:r w:rsidRPr="00AD79C7">
        <w:rPr>
          <w:rFonts w:ascii="Abadi" w:hAnsi="Abadi"/>
          <w:b/>
          <w:bCs/>
          <w:spacing w:val="12"/>
          <w:sz w:val="21"/>
          <w:szCs w:val="21"/>
        </w:rPr>
        <w:t xml:space="preserve"> </w:t>
      </w:r>
      <w:r w:rsidRPr="00AD79C7">
        <w:rPr>
          <w:rFonts w:ascii="Abadi" w:hAnsi="Abadi"/>
          <w:b/>
          <w:bCs/>
          <w:sz w:val="21"/>
          <w:szCs w:val="21"/>
        </w:rPr>
        <w:t>elijan</w:t>
      </w:r>
      <w:r w:rsidRPr="00AD79C7">
        <w:rPr>
          <w:rFonts w:ascii="Abadi" w:hAnsi="Abadi"/>
          <w:b/>
          <w:bCs/>
          <w:spacing w:val="-1"/>
          <w:sz w:val="21"/>
          <w:szCs w:val="21"/>
        </w:rPr>
        <w:t xml:space="preserve"> </w:t>
      </w:r>
      <w:r w:rsidRPr="00AD79C7">
        <w:rPr>
          <w:rFonts w:ascii="Abadi" w:hAnsi="Abadi"/>
          <w:b/>
          <w:bCs/>
          <w:sz w:val="21"/>
          <w:szCs w:val="21"/>
        </w:rPr>
        <w:t>a</w:t>
      </w:r>
      <w:r w:rsidRPr="00AD79C7">
        <w:rPr>
          <w:rFonts w:ascii="Abadi" w:hAnsi="Abadi"/>
          <w:b/>
          <w:bCs/>
          <w:spacing w:val="-17"/>
          <w:sz w:val="21"/>
          <w:szCs w:val="21"/>
        </w:rPr>
        <w:t xml:space="preserve"> </w:t>
      </w:r>
      <w:r w:rsidRPr="00AD79C7">
        <w:rPr>
          <w:rFonts w:ascii="Abadi" w:hAnsi="Abadi"/>
          <w:b/>
          <w:bCs/>
          <w:sz w:val="21"/>
          <w:szCs w:val="21"/>
        </w:rPr>
        <w:t>su</w:t>
      </w:r>
      <w:r w:rsidRPr="00AD79C7">
        <w:rPr>
          <w:rFonts w:ascii="Abadi" w:hAnsi="Abadi"/>
          <w:b/>
          <w:bCs/>
          <w:spacing w:val="-17"/>
          <w:sz w:val="21"/>
          <w:szCs w:val="21"/>
        </w:rPr>
        <w:t xml:space="preserve"> </w:t>
      </w:r>
      <w:r w:rsidRPr="00AD79C7">
        <w:rPr>
          <w:rFonts w:ascii="Abadi" w:hAnsi="Abadi"/>
          <w:b/>
          <w:bCs/>
          <w:sz w:val="21"/>
          <w:szCs w:val="21"/>
        </w:rPr>
        <w:t>cronista</w:t>
      </w:r>
      <w:r w:rsidRPr="00AD79C7">
        <w:rPr>
          <w:rFonts w:ascii="Abadi" w:hAnsi="Abadi"/>
          <w:b/>
          <w:bCs/>
          <w:spacing w:val="-17"/>
          <w:sz w:val="21"/>
          <w:szCs w:val="21"/>
        </w:rPr>
        <w:t xml:space="preserve"> </w:t>
      </w:r>
      <w:r w:rsidRPr="00AD79C7">
        <w:rPr>
          <w:rFonts w:ascii="Abadi" w:hAnsi="Abadi"/>
          <w:b/>
          <w:bCs/>
          <w:sz w:val="21"/>
          <w:szCs w:val="21"/>
        </w:rPr>
        <w:t>municipal</w:t>
      </w:r>
      <w:r w:rsidRPr="00AD79C7">
        <w:rPr>
          <w:rFonts w:ascii="Abadi" w:hAnsi="Abadi"/>
          <w:b/>
          <w:bCs/>
          <w:spacing w:val="-17"/>
          <w:sz w:val="21"/>
          <w:szCs w:val="21"/>
        </w:rPr>
        <w:t xml:space="preserve"> </w:t>
      </w:r>
      <w:r w:rsidRPr="00AD79C7">
        <w:rPr>
          <w:rFonts w:ascii="Abadi" w:hAnsi="Abadi"/>
          <w:b/>
          <w:bCs/>
          <w:sz w:val="21"/>
          <w:szCs w:val="21"/>
        </w:rPr>
        <w:t>con</w:t>
      </w:r>
      <w:r w:rsidRPr="00AD79C7">
        <w:rPr>
          <w:rFonts w:ascii="Abadi" w:hAnsi="Abadi"/>
          <w:b/>
          <w:bCs/>
          <w:spacing w:val="-17"/>
          <w:sz w:val="21"/>
          <w:szCs w:val="21"/>
        </w:rPr>
        <w:t xml:space="preserve"> </w:t>
      </w:r>
      <w:r w:rsidRPr="00AD79C7">
        <w:rPr>
          <w:rFonts w:ascii="Abadi" w:hAnsi="Abadi"/>
          <w:b/>
          <w:bCs/>
          <w:sz w:val="21"/>
          <w:szCs w:val="21"/>
        </w:rPr>
        <w:t>las</w:t>
      </w:r>
      <w:r w:rsidRPr="00AD79C7">
        <w:rPr>
          <w:rFonts w:ascii="Abadi" w:hAnsi="Abadi"/>
          <w:b/>
          <w:bCs/>
          <w:spacing w:val="-17"/>
          <w:sz w:val="21"/>
          <w:szCs w:val="21"/>
        </w:rPr>
        <w:t xml:space="preserve"> </w:t>
      </w:r>
      <w:r w:rsidRPr="00AD79C7">
        <w:rPr>
          <w:rFonts w:ascii="Abadi" w:hAnsi="Abadi"/>
          <w:b/>
          <w:bCs/>
          <w:sz w:val="21"/>
          <w:szCs w:val="21"/>
        </w:rPr>
        <w:t>formalidades</w:t>
      </w:r>
      <w:r w:rsidRPr="00AD79C7">
        <w:rPr>
          <w:rFonts w:ascii="Abadi" w:hAnsi="Abadi"/>
          <w:b/>
          <w:bCs/>
          <w:spacing w:val="-16"/>
          <w:sz w:val="21"/>
          <w:szCs w:val="21"/>
        </w:rPr>
        <w:t xml:space="preserve"> </w:t>
      </w:r>
      <w:r w:rsidRPr="00AD79C7">
        <w:rPr>
          <w:rFonts w:ascii="Abadi" w:hAnsi="Abadi"/>
          <w:b/>
          <w:bCs/>
          <w:sz w:val="21"/>
          <w:szCs w:val="21"/>
        </w:rPr>
        <w:t>establecidas</w:t>
      </w:r>
      <w:r w:rsidRPr="00AD79C7">
        <w:rPr>
          <w:rFonts w:ascii="Abadi" w:hAnsi="Abadi"/>
          <w:b/>
          <w:bCs/>
          <w:spacing w:val="-17"/>
          <w:sz w:val="21"/>
          <w:szCs w:val="21"/>
        </w:rPr>
        <w:t xml:space="preserve"> </w:t>
      </w:r>
      <w:r w:rsidRPr="00AD79C7">
        <w:rPr>
          <w:rFonts w:ascii="Abadi" w:hAnsi="Abadi"/>
          <w:b/>
          <w:bCs/>
          <w:sz w:val="21"/>
          <w:szCs w:val="21"/>
        </w:rPr>
        <w:t>en</w:t>
      </w:r>
      <w:r w:rsidRPr="00AD79C7">
        <w:rPr>
          <w:rFonts w:ascii="Abadi" w:hAnsi="Abadi"/>
          <w:b/>
          <w:bCs/>
          <w:spacing w:val="-17"/>
          <w:sz w:val="21"/>
          <w:szCs w:val="21"/>
        </w:rPr>
        <w:t xml:space="preserve"> </w:t>
      </w:r>
      <w:r w:rsidRPr="00AD79C7">
        <w:rPr>
          <w:rFonts w:ascii="Abadi" w:hAnsi="Abadi"/>
          <w:b/>
          <w:bCs/>
          <w:sz w:val="21"/>
          <w:szCs w:val="21"/>
        </w:rPr>
        <w:t>la</w:t>
      </w:r>
      <w:r w:rsidRPr="00AD79C7">
        <w:rPr>
          <w:rFonts w:ascii="Abadi" w:hAnsi="Abadi"/>
          <w:b/>
          <w:bCs/>
          <w:spacing w:val="-17"/>
          <w:sz w:val="21"/>
          <w:szCs w:val="21"/>
        </w:rPr>
        <w:t xml:space="preserve"> </w:t>
      </w:r>
      <w:r w:rsidRPr="00AD79C7">
        <w:rPr>
          <w:rFonts w:ascii="Abadi" w:hAnsi="Abadi"/>
          <w:b/>
          <w:bCs/>
          <w:sz w:val="21"/>
          <w:szCs w:val="21"/>
        </w:rPr>
        <w:t>Ley</w:t>
      </w:r>
      <w:r w:rsidRPr="00AD79C7">
        <w:rPr>
          <w:rFonts w:ascii="Abadi" w:hAnsi="Abadi"/>
          <w:b/>
          <w:bCs/>
          <w:spacing w:val="-17"/>
          <w:sz w:val="21"/>
          <w:szCs w:val="21"/>
        </w:rPr>
        <w:t xml:space="preserve"> </w:t>
      </w:r>
      <w:r w:rsidRPr="00AD79C7">
        <w:rPr>
          <w:rFonts w:ascii="Abadi" w:hAnsi="Abadi"/>
          <w:b/>
          <w:bCs/>
          <w:sz w:val="21"/>
          <w:szCs w:val="21"/>
        </w:rPr>
        <w:t>Orgánica</w:t>
      </w:r>
      <w:r w:rsidRPr="00AD79C7">
        <w:rPr>
          <w:rFonts w:ascii="Abadi" w:hAnsi="Abadi"/>
          <w:b/>
          <w:bCs/>
          <w:spacing w:val="-1"/>
          <w:sz w:val="21"/>
          <w:szCs w:val="21"/>
        </w:rPr>
        <w:t xml:space="preserve"> </w:t>
      </w:r>
      <w:r w:rsidRPr="00AD79C7">
        <w:rPr>
          <w:rFonts w:ascii="Abadi" w:hAnsi="Abadi"/>
          <w:b/>
          <w:bCs/>
          <w:sz w:val="21"/>
          <w:szCs w:val="21"/>
        </w:rPr>
        <w:t>Municipal</w:t>
      </w:r>
      <w:r w:rsidRPr="00AD79C7">
        <w:rPr>
          <w:rFonts w:ascii="Abadi" w:hAnsi="Abadi"/>
          <w:b/>
          <w:bCs/>
          <w:spacing w:val="-6"/>
          <w:sz w:val="21"/>
          <w:szCs w:val="21"/>
        </w:rPr>
        <w:t xml:space="preserve"> </w:t>
      </w:r>
      <w:r w:rsidRPr="00AD79C7">
        <w:rPr>
          <w:rFonts w:ascii="Abadi" w:hAnsi="Abadi"/>
          <w:b/>
          <w:bCs/>
          <w:sz w:val="21"/>
          <w:szCs w:val="21"/>
        </w:rPr>
        <w:t>del</w:t>
      </w:r>
      <w:r w:rsidRPr="00AD79C7">
        <w:rPr>
          <w:rFonts w:ascii="Abadi" w:hAnsi="Abadi"/>
          <w:b/>
          <w:bCs/>
          <w:spacing w:val="-6"/>
          <w:sz w:val="21"/>
          <w:szCs w:val="21"/>
        </w:rPr>
        <w:t xml:space="preserve"> </w:t>
      </w:r>
      <w:r w:rsidRPr="00AD79C7">
        <w:rPr>
          <w:rFonts w:ascii="Abadi" w:hAnsi="Abadi"/>
          <w:b/>
          <w:bCs/>
          <w:sz w:val="21"/>
          <w:szCs w:val="21"/>
        </w:rPr>
        <w:t>Estado</w:t>
      </w:r>
      <w:r w:rsidRPr="00AD79C7">
        <w:rPr>
          <w:rFonts w:ascii="Abadi" w:hAnsi="Abadi"/>
          <w:b/>
          <w:bCs/>
          <w:spacing w:val="-6"/>
          <w:sz w:val="21"/>
          <w:szCs w:val="21"/>
        </w:rPr>
        <w:t xml:space="preserve"> </w:t>
      </w:r>
      <w:r w:rsidRPr="00AD79C7">
        <w:rPr>
          <w:rFonts w:ascii="Abadi" w:hAnsi="Abadi"/>
          <w:b/>
          <w:bCs/>
          <w:sz w:val="21"/>
          <w:szCs w:val="21"/>
        </w:rPr>
        <w:t>de</w:t>
      </w:r>
      <w:r w:rsidRPr="00AD79C7">
        <w:rPr>
          <w:rFonts w:ascii="Abadi" w:hAnsi="Abadi"/>
          <w:b/>
          <w:bCs/>
          <w:spacing w:val="-6"/>
          <w:sz w:val="21"/>
          <w:szCs w:val="21"/>
        </w:rPr>
        <w:t xml:space="preserve"> </w:t>
      </w:r>
      <w:r w:rsidRPr="00AD79C7">
        <w:rPr>
          <w:rFonts w:ascii="Abadi" w:hAnsi="Abadi"/>
          <w:b/>
          <w:bCs/>
          <w:sz w:val="21"/>
          <w:szCs w:val="21"/>
        </w:rPr>
        <w:t>Guanajuato</w:t>
      </w:r>
      <w:r w:rsidRPr="00AD79C7">
        <w:rPr>
          <w:rFonts w:ascii="Abadi" w:hAnsi="Abadi"/>
          <w:b/>
          <w:bCs/>
          <w:spacing w:val="-6"/>
          <w:sz w:val="21"/>
          <w:szCs w:val="21"/>
        </w:rPr>
        <w:t xml:space="preserve"> </w:t>
      </w:r>
      <w:r w:rsidRPr="00AD79C7">
        <w:rPr>
          <w:rFonts w:ascii="Abadi" w:hAnsi="Abadi"/>
          <w:b/>
          <w:bCs/>
          <w:sz w:val="21"/>
          <w:szCs w:val="21"/>
        </w:rPr>
        <w:t>y,</w:t>
      </w:r>
      <w:r w:rsidRPr="00AD79C7">
        <w:rPr>
          <w:rFonts w:ascii="Abadi" w:hAnsi="Abadi"/>
          <w:b/>
          <w:bCs/>
          <w:spacing w:val="-6"/>
          <w:sz w:val="21"/>
          <w:szCs w:val="21"/>
        </w:rPr>
        <w:t xml:space="preserve"> </w:t>
      </w:r>
      <w:r w:rsidRPr="00AD79C7">
        <w:rPr>
          <w:rFonts w:ascii="Abadi" w:hAnsi="Abadi"/>
          <w:b/>
          <w:bCs/>
          <w:sz w:val="21"/>
          <w:szCs w:val="21"/>
        </w:rPr>
        <w:t>en</w:t>
      </w:r>
      <w:r w:rsidRPr="00AD79C7">
        <w:rPr>
          <w:rFonts w:ascii="Abadi" w:hAnsi="Abadi"/>
          <w:b/>
          <w:bCs/>
          <w:spacing w:val="-6"/>
          <w:sz w:val="21"/>
          <w:szCs w:val="21"/>
        </w:rPr>
        <w:t xml:space="preserve"> </w:t>
      </w:r>
      <w:r w:rsidRPr="00AD79C7">
        <w:rPr>
          <w:rFonts w:ascii="Abadi" w:hAnsi="Abadi"/>
          <w:b/>
          <w:bCs/>
          <w:sz w:val="21"/>
          <w:szCs w:val="21"/>
        </w:rPr>
        <w:t>su</w:t>
      </w:r>
      <w:r w:rsidRPr="00AD79C7">
        <w:rPr>
          <w:rFonts w:ascii="Abadi" w:hAnsi="Abadi"/>
          <w:b/>
          <w:bCs/>
          <w:spacing w:val="-6"/>
          <w:sz w:val="21"/>
          <w:szCs w:val="21"/>
        </w:rPr>
        <w:t xml:space="preserve"> </w:t>
      </w:r>
      <w:r w:rsidRPr="00AD79C7">
        <w:rPr>
          <w:rFonts w:ascii="Abadi" w:hAnsi="Abadi"/>
          <w:b/>
          <w:bCs/>
          <w:sz w:val="21"/>
          <w:szCs w:val="21"/>
        </w:rPr>
        <w:t>caso,</w:t>
      </w:r>
      <w:r w:rsidRPr="00AD79C7">
        <w:rPr>
          <w:rFonts w:ascii="Abadi" w:hAnsi="Abadi"/>
          <w:b/>
          <w:bCs/>
          <w:spacing w:val="-6"/>
          <w:sz w:val="21"/>
          <w:szCs w:val="21"/>
        </w:rPr>
        <w:t xml:space="preserve"> </w:t>
      </w:r>
      <w:r w:rsidRPr="00AD79C7">
        <w:rPr>
          <w:rFonts w:ascii="Abadi" w:hAnsi="Abadi"/>
          <w:b/>
          <w:bCs/>
          <w:sz w:val="21"/>
          <w:szCs w:val="21"/>
        </w:rPr>
        <w:t>aprobación</w:t>
      </w:r>
      <w:r w:rsidRPr="00AD79C7">
        <w:rPr>
          <w:rFonts w:ascii="Abadi" w:hAnsi="Abadi"/>
          <w:b/>
          <w:bCs/>
          <w:spacing w:val="-6"/>
          <w:sz w:val="21"/>
          <w:szCs w:val="21"/>
        </w:rPr>
        <w:t xml:space="preserve"> </w:t>
      </w:r>
      <w:r w:rsidRPr="00AD79C7">
        <w:rPr>
          <w:rFonts w:ascii="Abadi" w:hAnsi="Abadi"/>
          <w:b/>
          <w:bCs/>
          <w:sz w:val="21"/>
          <w:szCs w:val="21"/>
        </w:rPr>
        <w:t>de</w:t>
      </w:r>
      <w:r w:rsidRPr="00AD79C7">
        <w:rPr>
          <w:rFonts w:ascii="Abadi" w:hAnsi="Abadi"/>
          <w:b/>
          <w:bCs/>
          <w:spacing w:val="-6"/>
          <w:sz w:val="21"/>
          <w:szCs w:val="21"/>
        </w:rPr>
        <w:t xml:space="preserve"> </w:t>
      </w:r>
      <w:r w:rsidRPr="00AD79C7">
        <w:rPr>
          <w:rFonts w:ascii="Abadi" w:hAnsi="Abadi"/>
          <w:b/>
          <w:bCs/>
          <w:sz w:val="21"/>
          <w:szCs w:val="21"/>
        </w:rPr>
        <w:t>la</w:t>
      </w:r>
      <w:r w:rsidRPr="00AD79C7">
        <w:rPr>
          <w:rFonts w:ascii="Abadi" w:hAnsi="Abadi"/>
          <w:b/>
          <w:bCs/>
          <w:spacing w:val="-6"/>
          <w:sz w:val="21"/>
          <w:szCs w:val="21"/>
        </w:rPr>
        <w:t xml:space="preserve"> </w:t>
      </w:r>
      <w:r w:rsidRPr="00AD79C7">
        <w:rPr>
          <w:rFonts w:ascii="Abadi" w:hAnsi="Abadi"/>
          <w:b/>
          <w:bCs/>
          <w:sz w:val="21"/>
          <w:szCs w:val="21"/>
        </w:rPr>
        <w:t>misma.</w:t>
      </w:r>
    </w:p>
    <w:p w14:paraId="5EE7668D" w14:textId="77777777" w:rsidR="00631A70" w:rsidRPr="00631A70" w:rsidRDefault="00631A70" w:rsidP="006B00FD">
      <w:pPr>
        <w:pStyle w:val="Prrafodelista"/>
        <w:ind w:right="566"/>
        <w:rPr>
          <w:rFonts w:ascii="Abadi" w:hAnsi="Abadi"/>
          <w:b/>
          <w:bCs/>
          <w:sz w:val="21"/>
          <w:szCs w:val="21"/>
        </w:rPr>
      </w:pPr>
    </w:p>
    <w:p w14:paraId="76B88FC1" w14:textId="53E0CF88" w:rsidR="00631A70" w:rsidRDefault="00631A70" w:rsidP="005433FA">
      <w:pPr>
        <w:pStyle w:val="Prrafodelista"/>
        <w:numPr>
          <w:ilvl w:val="0"/>
          <w:numId w:val="8"/>
        </w:numPr>
        <w:tabs>
          <w:tab w:val="left" w:pos="845"/>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Presentación</w:t>
      </w:r>
      <w:r w:rsidRPr="00AD79C7">
        <w:rPr>
          <w:rFonts w:ascii="Abadi" w:hAnsi="Abadi"/>
          <w:b/>
          <w:bCs/>
          <w:spacing w:val="53"/>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la</w:t>
      </w:r>
      <w:r w:rsidRPr="00AD79C7">
        <w:rPr>
          <w:rFonts w:ascii="Abadi" w:hAnsi="Abadi"/>
          <w:b/>
          <w:bCs/>
          <w:spacing w:val="54"/>
          <w:sz w:val="21"/>
          <w:szCs w:val="21"/>
        </w:rPr>
        <w:t xml:space="preserve"> </w:t>
      </w:r>
      <w:r w:rsidRPr="00AD79C7">
        <w:rPr>
          <w:rFonts w:ascii="Abadi" w:hAnsi="Abadi"/>
          <w:b/>
          <w:bCs/>
          <w:sz w:val="21"/>
          <w:szCs w:val="21"/>
        </w:rPr>
        <w:t>propuesta</w:t>
      </w:r>
      <w:r w:rsidRPr="00AD79C7">
        <w:rPr>
          <w:rFonts w:ascii="Abadi" w:hAnsi="Abadi"/>
          <w:b/>
          <w:bCs/>
          <w:spacing w:val="54"/>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punto</w:t>
      </w:r>
      <w:r w:rsidRPr="00AD79C7">
        <w:rPr>
          <w:rFonts w:ascii="Abadi" w:hAnsi="Abadi"/>
          <w:b/>
          <w:bCs/>
          <w:spacing w:val="54"/>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acuerdo</w:t>
      </w:r>
      <w:r w:rsidRPr="00AD79C7">
        <w:rPr>
          <w:rFonts w:ascii="Abadi" w:hAnsi="Abadi"/>
          <w:b/>
          <w:bCs/>
          <w:spacing w:val="54"/>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obvia</w:t>
      </w:r>
      <w:r w:rsidRPr="00AD79C7">
        <w:rPr>
          <w:rFonts w:ascii="Abadi" w:hAnsi="Abadi"/>
          <w:b/>
          <w:bCs/>
          <w:spacing w:val="54"/>
          <w:sz w:val="21"/>
          <w:szCs w:val="21"/>
        </w:rPr>
        <w:t xml:space="preserve"> </w:t>
      </w:r>
      <w:r w:rsidRPr="00AD79C7">
        <w:rPr>
          <w:rFonts w:ascii="Abadi" w:hAnsi="Abadi"/>
          <w:b/>
          <w:bCs/>
          <w:sz w:val="21"/>
          <w:szCs w:val="21"/>
        </w:rPr>
        <w:t>resolución</w:t>
      </w:r>
      <w:r w:rsidRPr="00AD79C7">
        <w:rPr>
          <w:rFonts w:ascii="Abadi" w:hAnsi="Abadi"/>
          <w:b/>
          <w:bCs/>
          <w:spacing w:val="-1"/>
          <w:sz w:val="21"/>
          <w:szCs w:val="21"/>
        </w:rPr>
        <w:t xml:space="preserve"> </w:t>
      </w:r>
      <w:r w:rsidRPr="00AD79C7">
        <w:rPr>
          <w:rFonts w:ascii="Abadi" w:hAnsi="Abadi"/>
          <w:b/>
          <w:bCs/>
          <w:sz w:val="21"/>
          <w:szCs w:val="21"/>
        </w:rPr>
        <w:t>formulada</w:t>
      </w:r>
      <w:r w:rsidRPr="00AD79C7">
        <w:rPr>
          <w:rFonts w:ascii="Abadi" w:hAnsi="Abadi"/>
          <w:b/>
          <w:bCs/>
          <w:spacing w:val="51"/>
          <w:w w:val="150"/>
          <w:sz w:val="21"/>
          <w:szCs w:val="21"/>
        </w:rPr>
        <w:t xml:space="preserve"> </w:t>
      </w:r>
      <w:r w:rsidRPr="00AD79C7">
        <w:rPr>
          <w:rFonts w:ascii="Abadi" w:hAnsi="Abadi"/>
          <w:b/>
          <w:bCs/>
          <w:sz w:val="21"/>
          <w:szCs w:val="21"/>
        </w:rPr>
        <w:t>por</w:t>
      </w:r>
      <w:r w:rsidRPr="00AD79C7">
        <w:rPr>
          <w:rFonts w:ascii="Abadi" w:hAnsi="Abadi"/>
          <w:b/>
          <w:bCs/>
          <w:spacing w:val="51"/>
          <w:w w:val="150"/>
          <w:sz w:val="21"/>
          <w:szCs w:val="21"/>
        </w:rPr>
        <w:t xml:space="preserve"> </w:t>
      </w:r>
      <w:r w:rsidRPr="00AD79C7">
        <w:rPr>
          <w:rFonts w:ascii="Abadi" w:hAnsi="Abadi"/>
          <w:b/>
          <w:bCs/>
          <w:sz w:val="21"/>
          <w:szCs w:val="21"/>
        </w:rPr>
        <w:t>la</w:t>
      </w:r>
      <w:r w:rsidRPr="00AD79C7">
        <w:rPr>
          <w:rFonts w:ascii="Abadi" w:hAnsi="Abadi"/>
          <w:b/>
          <w:bCs/>
          <w:spacing w:val="51"/>
          <w:w w:val="150"/>
          <w:sz w:val="21"/>
          <w:szCs w:val="21"/>
        </w:rPr>
        <w:t xml:space="preserve"> </w:t>
      </w:r>
      <w:r w:rsidRPr="00AD79C7">
        <w:rPr>
          <w:rFonts w:ascii="Abadi" w:hAnsi="Abadi"/>
          <w:b/>
          <w:bCs/>
          <w:sz w:val="21"/>
          <w:szCs w:val="21"/>
        </w:rPr>
        <w:t>diputada</w:t>
      </w:r>
      <w:r w:rsidRPr="00AD79C7">
        <w:rPr>
          <w:rFonts w:ascii="Abadi" w:hAnsi="Abadi"/>
          <w:b/>
          <w:bCs/>
          <w:spacing w:val="51"/>
          <w:w w:val="150"/>
          <w:sz w:val="21"/>
          <w:szCs w:val="21"/>
        </w:rPr>
        <w:t xml:space="preserve"> </w:t>
      </w:r>
      <w:r w:rsidRPr="00AD79C7">
        <w:rPr>
          <w:rFonts w:ascii="Abadi" w:hAnsi="Abadi"/>
          <w:b/>
          <w:bCs/>
          <w:sz w:val="21"/>
          <w:szCs w:val="21"/>
        </w:rPr>
        <w:t>Yulma</w:t>
      </w:r>
      <w:r w:rsidRPr="00AD79C7">
        <w:rPr>
          <w:rFonts w:ascii="Abadi" w:hAnsi="Abadi"/>
          <w:b/>
          <w:bCs/>
          <w:spacing w:val="51"/>
          <w:w w:val="150"/>
          <w:sz w:val="21"/>
          <w:szCs w:val="21"/>
        </w:rPr>
        <w:t xml:space="preserve"> </w:t>
      </w:r>
      <w:r w:rsidRPr="00AD79C7">
        <w:rPr>
          <w:rFonts w:ascii="Abadi" w:hAnsi="Abadi"/>
          <w:b/>
          <w:bCs/>
          <w:sz w:val="21"/>
          <w:szCs w:val="21"/>
        </w:rPr>
        <w:t>Rocha</w:t>
      </w:r>
      <w:r w:rsidRPr="00AD79C7">
        <w:rPr>
          <w:rFonts w:ascii="Abadi" w:hAnsi="Abadi"/>
          <w:b/>
          <w:bCs/>
          <w:spacing w:val="51"/>
          <w:w w:val="150"/>
          <w:sz w:val="21"/>
          <w:szCs w:val="21"/>
        </w:rPr>
        <w:t xml:space="preserve"> </w:t>
      </w:r>
      <w:r w:rsidRPr="00AD79C7">
        <w:rPr>
          <w:rFonts w:ascii="Abadi" w:hAnsi="Abadi"/>
          <w:b/>
          <w:bCs/>
          <w:sz w:val="21"/>
          <w:szCs w:val="21"/>
        </w:rPr>
        <w:t>Aguilar</w:t>
      </w:r>
      <w:r w:rsidRPr="00AD79C7">
        <w:rPr>
          <w:rFonts w:ascii="Abadi" w:hAnsi="Abadi"/>
          <w:b/>
          <w:bCs/>
          <w:spacing w:val="51"/>
          <w:w w:val="150"/>
          <w:sz w:val="21"/>
          <w:szCs w:val="21"/>
        </w:rPr>
        <w:t xml:space="preserve"> </w:t>
      </w:r>
      <w:r w:rsidRPr="00AD79C7">
        <w:rPr>
          <w:rFonts w:ascii="Abadi" w:hAnsi="Abadi"/>
          <w:b/>
          <w:bCs/>
          <w:sz w:val="21"/>
          <w:szCs w:val="21"/>
        </w:rPr>
        <w:t>integrante</w:t>
      </w:r>
      <w:r w:rsidRPr="00AD79C7">
        <w:rPr>
          <w:rFonts w:ascii="Abadi" w:hAnsi="Abadi"/>
          <w:b/>
          <w:bCs/>
          <w:spacing w:val="51"/>
          <w:w w:val="150"/>
          <w:sz w:val="21"/>
          <w:szCs w:val="21"/>
        </w:rPr>
        <w:t xml:space="preserve"> </w:t>
      </w:r>
      <w:r w:rsidRPr="00AD79C7">
        <w:rPr>
          <w:rFonts w:ascii="Abadi" w:hAnsi="Abadi"/>
          <w:b/>
          <w:bCs/>
          <w:sz w:val="21"/>
          <w:szCs w:val="21"/>
        </w:rPr>
        <w:t>del</w:t>
      </w:r>
      <w:r w:rsidRPr="00AD79C7">
        <w:rPr>
          <w:rFonts w:ascii="Abadi" w:hAnsi="Abadi"/>
          <w:b/>
          <w:bCs/>
          <w:spacing w:val="51"/>
          <w:w w:val="150"/>
          <w:sz w:val="21"/>
          <w:szCs w:val="21"/>
        </w:rPr>
        <w:t xml:space="preserve"> </w:t>
      </w:r>
      <w:r w:rsidRPr="00AD79C7">
        <w:rPr>
          <w:rFonts w:ascii="Abadi" w:hAnsi="Abadi"/>
          <w:b/>
          <w:bCs/>
          <w:sz w:val="21"/>
          <w:szCs w:val="21"/>
        </w:rPr>
        <w:t>Grupo</w:t>
      </w:r>
      <w:r w:rsidRPr="00AD79C7">
        <w:rPr>
          <w:rFonts w:ascii="Abadi" w:hAnsi="Abadi"/>
          <w:b/>
          <w:bCs/>
          <w:spacing w:val="-1"/>
          <w:sz w:val="21"/>
          <w:szCs w:val="21"/>
        </w:rPr>
        <w:t xml:space="preserve"> </w:t>
      </w:r>
      <w:r w:rsidRPr="00AD79C7">
        <w:rPr>
          <w:rFonts w:ascii="Abadi" w:hAnsi="Abadi"/>
          <w:b/>
          <w:bCs/>
          <w:sz w:val="21"/>
          <w:szCs w:val="21"/>
        </w:rPr>
        <w:t>Parlamentario del Partido Revolucionario Institucional por el que se efectúa</w:t>
      </w:r>
      <w:r w:rsidRPr="00AD79C7">
        <w:rPr>
          <w:rFonts w:ascii="Abadi" w:hAnsi="Abadi"/>
          <w:b/>
          <w:bCs/>
          <w:spacing w:val="-1"/>
          <w:sz w:val="21"/>
          <w:szCs w:val="21"/>
        </w:rPr>
        <w:t xml:space="preserve"> </w:t>
      </w:r>
      <w:r w:rsidRPr="00AD79C7">
        <w:rPr>
          <w:rFonts w:ascii="Abadi" w:hAnsi="Abadi"/>
          <w:b/>
          <w:bCs/>
          <w:sz w:val="21"/>
          <w:szCs w:val="21"/>
        </w:rPr>
        <w:t>un</w:t>
      </w:r>
      <w:r w:rsidRPr="00AD79C7">
        <w:rPr>
          <w:rFonts w:ascii="Abadi" w:hAnsi="Abadi"/>
          <w:b/>
          <w:bCs/>
          <w:spacing w:val="11"/>
          <w:sz w:val="21"/>
          <w:szCs w:val="21"/>
        </w:rPr>
        <w:t xml:space="preserve"> </w:t>
      </w:r>
      <w:r w:rsidRPr="00AD79C7">
        <w:rPr>
          <w:rFonts w:ascii="Abadi" w:hAnsi="Abadi"/>
          <w:b/>
          <w:bCs/>
          <w:sz w:val="21"/>
          <w:szCs w:val="21"/>
        </w:rPr>
        <w:t>respetuoso</w:t>
      </w:r>
      <w:r w:rsidRPr="00AD79C7">
        <w:rPr>
          <w:rFonts w:ascii="Abadi" w:hAnsi="Abadi"/>
          <w:b/>
          <w:bCs/>
          <w:spacing w:val="11"/>
          <w:sz w:val="21"/>
          <w:szCs w:val="21"/>
        </w:rPr>
        <w:t xml:space="preserve"> </w:t>
      </w:r>
      <w:r w:rsidRPr="00AD79C7">
        <w:rPr>
          <w:rFonts w:ascii="Abadi" w:hAnsi="Abadi"/>
          <w:b/>
          <w:bCs/>
          <w:sz w:val="21"/>
          <w:szCs w:val="21"/>
        </w:rPr>
        <w:t>exhorto</w:t>
      </w:r>
      <w:r w:rsidRPr="00AD79C7">
        <w:rPr>
          <w:rFonts w:ascii="Abadi" w:hAnsi="Abadi"/>
          <w:b/>
          <w:bCs/>
          <w:spacing w:val="11"/>
          <w:sz w:val="21"/>
          <w:szCs w:val="21"/>
        </w:rPr>
        <w:t xml:space="preserve"> </w:t>
      </w:r>
      <w:r w:rsidRPr="00AD79C7">
        <w:rPr>
          <w:rFonts w:ascii="Abadi" w:hAnsi="Abadi"/>
          <w:b/>
          <w:bCs/>
          <w:sz w:val="21"/>
          <w:szCs w:val="21"/>
        </w:rPr>
        <w:t>al</w:t>
      </w:r>
      <w:r w:rsidRPr="00AD79C7">
        <w:rPr>
          <w:rFonts w:ascii="Abadi" w:hAnsi="Abadi"/>
          <w:b/>
          <w:bCs/>
          <w:spacing w:val="11"/>
          <w:sz w:val="21"/>
          <w:szCs w:val="21"/>
        </w:rPr>
        <w:t xml:space="preserve"> </w:t>
      </w:r>
      <w:r w:rsidRPr="00AD79C7">
        <w:rPr>
          <w:rFonts w:ascii="Abadi" w:hAnsi="Abadi"/>
          <w:b/>
          <w:bCs/>
          <w:sz w:val="21"/>
          <w:szCs w:val="21"/>
        </w:rPr>
        <w:t>Instituto</w:t>
      </w:r>
      <w:r w:rsidRPr="00AD79C7">
        <w:rPr>
          <w:rFonts w:ascii="Abadi" w:hAnsi="Abadi"/>
          <w:b/>
          <w:bCs/>
          <w:spacing w:val="11"/>
          <w:sz w:val="21"/>
          <w:szCs w:val="21"/>
        </w:rPr>
        <w:t xml:space="preserve"> </w:t>
      </w:r>
      <w:r w:rsidRPr="00AD79C7">
        <w:rPr>
          <w:rFonts w:ascii="Abadi" w:hAnsi="Abadi"/>
          <w:b/>
          <w:bCs/>
          <w:sz w:val="21"/>
          <w:szCs w:val="21"/>
        </w:rPr>
        <w:t>de</w:t>
      </w:r>
      <w:r w:rsidRPr="00AD79C7">
        <w:rPr>
          <w:rFonts w:ascii="Abadi" w:hAnsi="Abadi"/>
          <w:b/>
          <w:bCs/>
          <w:spacing w:val="11"/>
          <w:sz w:val="21"/>
          <w:szCs w:val="21"/>
        </w:rPr>
        <w:t xml:space="preserve"> </w:t>
      </w:r>
      <w:r w:rsidRPr="00AD79C7">
        <w:rPr>
          <w:rFonts w:ascii="Abadi" w:hAnsi="Abadi"/>
          <w:b/>
          <w:bCs/>
          <w:sz w:val="21"/>
          <w:szCs w:val="21"/>
        </w:rPr>
        <w:t>Acceso</w:t>
      </w:r>
      <w:r w:rsidRPr="00AD79C7">
        <w:rPr>
          <w:rFonts w:ascii="Abadi" w:hAnsi="Abadi"/>
          <w:b/>
          <w:bCs/>
          <w:spacing w:val="11"/>
          <w:sz w:val="21"/>
          <w:szCs w:val="21"/>
        </w:rPr>
        <w:t xml:space="preserve"> </w:t>
      </w:r>
      <w:r w:rsidRPr="00AD79C7">
        <w:rPr>
          <w:rFonts w:ascii="Abadi" w:hAnsi="Abadi"/>
          <w:b/>
          <w:bCs/>
          <w:sz w:val="21"/>
          <w:szCs w:val="21"/>
        </w:rPr>
        <w:t>a</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Información</w:t>
      </w:r>
      <w:r w:rsidRPr="00AD79C7">
        <w:rPr>
          <w:rFonts w:ascii="Abadi" w:hAnsi="Abadi"/>
          <w:b/>
          <w:bCs/>
          <w:spacing w:val="11"/>
          <w:sz w:val="21"/>
          <w:szCs w:val="21"/>
        </w:rPr>
        <w:t xml:space="preserve"> </w:t>
      </w:r>
      <w:r w:rsidRPr="00AD79C7">
        <w:rPr>
          <w:rFonts w:ascii="Abadi" w:hAnsi="Abadi"/>
          <w:b/>
          <w:bCs/>
          <w:sz w:val="21"/>
          <w:szCs w:val="21"/>
        </w:rPr>
        <w:t>Pública</w:t>
      </w:r>
      <w:r w:rsidRPr="00AD79C7">
        <w:rPr>
          <w:rFonts w:ascii="Abadi" w:hAnsi="Abadi"/>
          <w:b/>
          <w:bCs/>
          <w:spacing w:val="11"/>
          <w:sz w:val="21"/>
          <w:szCs w:val="21"/>
        </w:rPr>
        <w:t xml:space="preserve"> </w:t>
      </w:r>
      <w:r w:rsidRPr="00AD79C7">
        <w:rPr>
          <w:rFonts w:ascii="Abadi" w:hAnsi="Abadi"/>
          <w:b/>
          <w:bCs/>
          <w:sz w:val="21"/>
          <w:szCs w:val="21"/>
        </w:rPr>
        <w:t>para</w:t>
      </w:r>
      <w:r w:rsidRPr="00AD79C7">
        <w:rPr>
          <w:rFonts w:ascii="Abadi" w:hAnsi="Abadi"/>
          <w:b/>
          <w:bCs/>
          <w:spacing w:val="-1"/>
          <w:sz w:val="21"/>
          <w:szCs w:val="21"/>
        </w:rPr>
        <w:t xml:space="preserve"> </w:t>
      </w:r>
      <w:r w:rsidRPr="00AD79C7">
        <w:rPr>
          <w:rFonts w:ascii="Abadi" w:hAnsi="Abadi"/>
          <w:b/>
          <w:bCs/>
          <w:sz w:val="21"/>
          <w:szCs w:val="21"/>
        </w:rPr>
        <w:t>el</w:t>
      </w:r>
      <w:r w:rsidRPr="00AD79C7">
        <w:rPr>
          <w:rFonts w:ascii="Abadi" w:hAnsi="Abadi"/>
          <w:b/>
          <w:bCs/>
          <w:spacing w:val="4"/>
          <w:sz w:val="21"/>
          <w:szCs w:val="21"/>
        </w:rPr>
        <w:t xml:space="preserve"> </w:t>
      </w:r>
      <w:r w:rsidRPr="00AD79C7">
        <w:rPr>
          <w:rFonts w:ascii="Abadi" w:hAnsi="Abadi"/>
          <w:b/>
          <w:bCs/>
          <w:sz w:val="21"/>
          <w:szCs w:val="21"/>
        </w:rPr>
        <w:t>Estado</w:t>
      </w:r>
      <w:r w:rsidRPr="00AD79C7">
        <w:rPr>
          <w:rFonts w:ascii="Abadi" w:hAnsi="Abadi"/>
          <w:b/>
          <w:bCs/>
          <w:spacing w:val="4"/>
          <w:sz w:val="21"/>
          <w:szCs w:val="21"/>
        </w:rPr>
        <w:t xml:space="preserve"> </w:t>
      </w:r>
      <w:r w:rsidRPr="00AD79C7">
        <w:rPr>
          <w:rFonts w:ascii="Abadi" w:hAnsi="Abadi"/>
          <w:b/>
          <w:bCs/>
          <w:sz w:val="21"/>
          <w:szCs w:val="21"/>
        </w:rPr>
        <w:t>de</w:t>
      </w:r>
      <w:r w:rsidRPr="00AD79C7">
        <w:rPr>
          <w:rFonts w:ascii="Abadi" w:hAnsi="Abadi"/>
          <w:b/>
          <w:bCs/>
          <w:spacing w:val="4"/>
          <w:sz w:val="21"/>
          <w:szCs w:val="21"/>
        </w:rPr>
        <w:t xml:space="preserve"> </w:t>
      </w:r>
      <w:r w:rsidRPr="00AD79C7">
        <w:rPr>
          <w:rFonts w:ascii="Abadi" w:hAnsi="Abadi"/>
          <w:b/>
          <w:bCs/>
          <w:sz w:val="21"/>
          <w:szCs w:val="21"/>
        </w:rPr>
        <w:t>Guanajuato,</w:t>
      </w:r>
      <w:r w:rsidRPr="00AD79C7">
        <w:rPr>
          <w:rFonts w:ascii="Abadi" w:hAnsi="Abadi"/>
          <w:b/>
          <w:bCs/>
          <w:spacing w:val="4"/>
          <w:sz w:val="21"/>
          <w:szCs w:val="21"/>
        </w:rPr>
        <w:t xml:space="preserve"> </w:t>
      </w:r>
      <w:r w:rsidRPr="00AD79C7">
        <w:rPr>
          <w:rFonts w:ascii="Abadi" w:hAnsi="Abadi"/>
          <w:b/>
          <w:bCs/>
          <w:sz w:val="21"/>
          <w:szCs w:val="21"/>
        </w:rPr>
        <w:t>para</w:t>
      </w:r>
      <w:r w:rsidRPr="00AD79C7">
        <w:rPr>
          <w:rFonts w:ascii="Abadi" w:hAnsi="Abadi"/>
          <w:b/>
          <w:bCs/>
          <w:spacing w:val="4"/>
          <w:sz w:val="21"/>
          <w:szCs w:val="21"/>
        </w:rPr>
        <w:t xml:space="preserve"> </w:t>
      </w:r>
      <w:r w:rsidRPr="00AD79C7">
        <w:rPr>
          <w:rFonts w:ascii="Abadi" w:hAnsi="Abadi"/>
          <w:b/>
          <w:bCs/>
          <w:sz w:val="21"/>
          <w:szCs w:val="21"/>
        </w:rPr>
        <w:t>que,</w:t>
      </w:r>
      <w:r w:rsidRPr="00AD79C7">
        <w:rPr>
          <w:rFonts w:ascii="Abadi" w:hAnsi="Abadi"/>
          <w:b/>
          <w:bCs/>
          <w:spacing w:val="4"/>
          <w:sz w:val="21"/>
          <w:szCs w:val="21"/>
        </w:rPr>
        <w:t xml:space="preserve"> </w:t>
      </w:r>
      <w:r w:rsidRPr="00AD79C7">
        <w:rPr>
          <w:rFonts w:ascii="Abadi" w:hAnsi="Abadi"/>
          <w:b/>
          <w:bCs/>
          <w:sz w:val="21"/>
          <w:szCs w:val="21"/>
        </w:rPr>
        <w:t>en</w:t>
      </w:r>
      <w:r w:rsidRPr="00AD79C7">
        <w:rPr>
          <w:rFonts w:ascii="Abadi" w:hAnsi="Abadi"/>
          <w:b/>
          <w:bCs/>
          <w:spacing w:val="4"/>
          <w:sz w:val="21"/>
          <w:szCs w:val="21"/>
        </w:rPr>
        <w:t xml:space="preserve"> </w:t>
      </w:r>
      <w:r w:rsidRPr="00AD79C7">
        <w:rPr>
          <w:rFonts w:ascii="Abadi" w:hAnsi="Abadi"/>
          <w:b/>
          <w:bCs/>
          <w:sz w:val="21"/>
          <w:szCs w:val="21"/>
        </w:rPr>
        <w:t>función</w:t>
      </w:r>
      <w:r w:rsidRPr="00AD79C7">
        <w:rPr>
          <w:rFonts w:ascii="Abadi" w:hAnsi="Abadi"/>
          <w:b/>
          <w:bCs/>
          <w:spacing w:val="4"/>
          <w:sz w:val="21"/>
          <w:szCs w:val="21"/>
        </w:rPr>
        <w:t xml:space="preserve"> </w:t>
      </w:r>
      <w:r w:rsidRPr="00AD79C7">
        <w:rPr>
          <w:rFonts w:ascii="Abadi" w:hAnsi="Abadi"/>
          <w:b/>
          <w:bCs/>
          <w:sz w:val="21"/>
          <w:szCs w:val="21"/>
        </w:rPr>
        <w:t>de</w:t>
      </w:r>
      <w:r w:rsidRPr="00AD79C7">
        <w:rPr>
          <w:rFonts w:ascii="Abadi" w:hAnsi="Abadi"/>
          <w:b/>
          <w:bCs/>
          <w:spacing w:val="4"/>
          <w:sz w:val="21"/>
          <w:szCs w:val="21"/>
        </w:rPr>
        <w:t xml:space="preserve"> </w:t>
      </w:r>
      <w:r w:rsidRPr="00AD79C7">
        <w:rPr>
          <w:rFonts w:ascii="Abadi" w:hAnsi="Abadi"/>
          <w:b/>
          <w:bCs/>
          <w:sz w:val="21"/>
          <w:szCs w:val="21"/>
        </w:rPr>
        <w:t>lo</w:t>
      </w:r>
      <w:r w:rsidRPr="00AD79C7">
        <w:rPr>
          <w:rFonts w:ascii="Abadi" w:hAnsi="Abadi"/>
          <w:b/>
          <w:bCs/>
          <w:spacing w:val="4"/>
          <w:sz w:val="21"/>
          <w:szCs w:val="21"/>
        </w:rPr>
        <w:t xml:space="preserve"> </w:t>
      </w:r>
      <w:r w:rsidRPr="00AD79C7">
        <w:rPr>
          <w:rFonts w:ascii="Abadi" w:hAnsi="Abadi"/>
          <w:b/>
          <w:bCs/>
          <w:sz w:val="21"/>
          <w:szCs w:val="21"/>
        </w:rPr>
        <w:t>que</w:t>
      </w:r>
      <w:r w:rsidRPr="00AD79C7">
        <w:rPr>
          <w:rFonts w:ascii="Abadi" w:hAnsi="Abadi"/>
          <w:b/>
          <w:bCs/>
          <w:spacing w:val="4"/>
          <w:sz w:val="21"/>
          <w:szCs w:val="21"/>
        </w:rPr>
        <w:t xml:space="preserve"> </w:t>
      </w:r>
      <w:r w:rsidRPr="00AD79C7">
        <w:rPr>
          <w:rFonts w:ascii="Abadi" w:hAnsi="Abadi"/>
          <w:b/>
          <w:bCs/>
          <w:sz w:val="21"/>
          <w:szCs w:val="21"/>
        </w:rPr>
        <w:t>enuncia</w:t>
      </w:r>
      <w:r w:rsidRPr="00AD79C7">
        <w:rPr>
          <w:rFonts w:ascii="Abadi" w:hAnsi="Abadi"/>
          <w:b/>
          <w:bCs/>
          <w:spacing w:val="4"/>
          <w:sz w:val="21"/>
          <w:szCs w:val="21"/>
        </w:rPr>
        <w:t xml:space="preserve"> </w:t>
      </w:r>
      <w:r w:rsidRPr="00AD79C7">
        <w:rPr>
          <w:rFonts w:ascii="Abadi" w:hAnsi="Abadi"/>
          <w:b/>
          <w:bCs/>
          <w:sz w:val="21"/>
          <w:szCs w:val="21"/>
        </w:rPr>
        <w:t>la</w:t>
      </w:r>
      <w:r w:rsidRPr="00AD79C7">
        <w:rPr>
          <w:rFonts w:ascii="Abadi" w:hAnsi="Abadi"/>
          <w:b/>
          <w:bCs/>
          <w:spacing w:val="4"/>
          <w:sz w:val="21"/>
          <w:szCs w:val="21"/>
        </w:rPr>
        <w:t xml:space="preserve"> </w:t>
      </w:r>
      <w:r w:rsidRPr="00AD79C7">
        <w:rPr>
          <w:rFonts w:ascii="Abadi" w:hAnsi="Abadi"/>
          <w:b/>
          <w:bCs/>
          <w:sz w:val="21"/>
          <w:szCs w:val="21"/>
        </w:rPr>
        <w:t>Ley</w:t>
      </w:r>
      <w:r w:rsidRPr="00AD79C7">
        <w:rPr>
          <w:rFonts w:ascii="Abadi" w:hAnsi="Abadi"/>
          <w:b/>
          <w:bCs/>
          <w:spacing w:val="4"/>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Transparencia</w:t>
      </w:r>
      <w:r w:rsidRPr="00AD79C7">
        <w:rPr>
          <w:rFonts w:ascii="Abadi" w:hAnsi="Abadi"/>
          <w:b/>
          <w:bCs/>
          <w:spacing w:val="58"/>
          <w:w w:val="150"/>
          <w:sz w:val="21"/>
          <w:szCs w:val="21"/>
        </w:rPr>
        <w:t xml:space="preserve"> </w:t>
      </w:r>
      <w:r w:rsidRPr="00AD79C7">
        <w:rPr>
          <w:rFonts w:ascii="Abadi" w:hAnsi="Abadi"/>
          <w:b/>
          <w:bCs/>
          <w:sz w:val="21"/>
          <w:szCs w:val="21"/>
        </w:rPr>
        <w:t>y</w:t>
      </w:r>
      <w:r w:rsidRPr="00AD79C7">
        <w:rPr>
          <w:rFonts w:ascii="Abadi" w:hAnsi="Abadi"/>
          <w:b/>
          <w:bCs/>
          <w:spacing w:val="58"/>
          <w:w w:val="150"/>
          <w:sz w:val="21"/>
          <w:szCs w:val="21"/>
        </w:rPr>
        <w:t xml:space="preserve"> </w:t>
      </w:r>
      <w:r w:rsidRPr="00AD79C7">
        <w:rPr>
          <w:rFonts w:ascii="Abadi" w:hAnsi="Abadi"/>
          <w:b/>
          <w:bCs/>
          <w:sz w:val="21"/>
          <w:szCs w:val="21"/>
        </w:rPr>
        <w:t>Acceso</w:t>
      </w:r>
      <w:r w:rsidRPr="00AD79C7">
        <w:rPr>
          <w:rFonts w:ascii="Abadi" w:hAnsi="Abadi"/>
          <w:b/>
          <w:bCs/>
          <w:spacing w:val="58"/>
          <w:w w:val="150"/>
          <w:sz w:val="21"/>
          <w:szCs w:val="21"/>
        </w:rPr>
        <w:t xml:space="preserve"> </w:t>
      </w:r>
      <w:r w:rsidRPr="00AD79C7">
        <w:rPr>
          <w:rFonts w:ascii="Abadi" w:hAnsi="Abadi"/>
          <w:b/>
          <w:bCs/>
          <w:sz w:val="21"/>
          <w:szCs w:val="21"/>
        </w:rPr>
        <w:t>a</w:t>
      </w:r>
      <w:r w:rsidRPr="00AD79C7">
        <w:rPr>
          <w:rFonts w:ascii="Abadi" w:hAnsi="Abadi"/>
          <w:b/>
          <w:bCs/>
          <w:spacing w:val="58"/>
          <w:w w:val="150"/>
          <w:sz w:val="21"/>
          <w:szCs w:val="21"/>
        </w:rPr>
        <w:t xml:space="preserve"> </w:t>
      </w:r>
      <w:r w:rsidRPr="00AD79C7">
        <w:rPr>
          <w:rFonts w:ascii="Abadi" w:hAnsi="Abadi"/>
          <w:b/>
          <w:bCs/>
          <w:sz w:val="21"/>
          <w:szCs w:val="21"/>
        </w:rPr>
        <w:t>la</w:t>
      </w:r>
      <w:r w:rsidRPr="00AD79C7">
        <w:rPr>
          <w:rFonts w:ascii="Abadi" w:hAnsi="Abadi"/>
          <w:b/>
          <w:bCs/>
          <w:spacing w:val="58"/>
          <w:w w:val="150"/>
          <w:sz w:val="21"/>
          <w:szCs w:val="21"/>
        </w:rPr>
        <w:t xml:space="preserve"> </w:t>
      </w:r>
      <w:r w:rsidRPr="00AD79C7">
        <w:rPr>
          <w:rFonts w:ascii="Abadi" w:hAnsi="Abadi"/>
          <w:b/>
          <w:bCs/>
          <w:sz w:val="21"/>
          <w:szCs w:val="21"/>
        </w:rPr>
        <w:t>Información</w:t>
      </w:r>
      <w:r w:rsidRPr="00AD79C7">
        <w:rPr>
          <w:rFonts w:ascii="Abadi" w:hAnsi="Abadi"/>
          <w:b/>
          <w:bCs/>
          <w:spacing w:val="58"/>
          <w:w w:val="150"/>
          <w:sz w:val="21"/>
          <w:szCs w:val="21"/>
        </w:rPr>
        <w:t xml:space="preserve"> </w:t>
      </w:r>
      <w:r w:rsidRPr="00AD79C7">
        <w:rPr>
          <w:rFonts w:ascii="Abadi" w:hAnsi="Abadi"/>
          <w:b/>
          <w:bCs/>
          <w:sz w:val="21"/>
          <w:szCs w:val="21"/>
        </w:rPr>
        <w:t>Pública</w:t>
      </w:r>
      <w:r w:rsidRPr="00AD79C7">
        <w:rPr>
          <w:rFonts w:ascii="Abadi" w:hAnsi="Abadi"/>
          <w:b/>
          <w:bCs/>
          <w:spacing w:val="58"/>
          <w:w w:val="150"/>
          <w:sz w:val="21"/>
          <w:szCs w:val="21"/>
        </w:rPr>
        <w:t xml:space="preserve"> </w:t>
      </w:r>
      <w:r w:rsidRPr="00AD79C7">
        <w:rPr>
          <w:rFonts w:ascii="Abadi" w:hAnsi="Abadi"/>
          <w:b/>
          <w:bCs/>
          <w:sz w:val="21"/>
          <w:szCs w:val="21"/>
        </w:rPr>
        <w:t>para</w:t>
      </w:r>
      <w:r w:rsidRPr="00AD79C7">
        <w:rPr>
          <w:rFonts w:ascii="Abadi" w:hAnsi="Abadi"/>
          <w:b/>
          <w:bCs/>
          <w:spacing w:val="58"/>
          <w:w w:val="150"/>
          <w:sz w:val="21"/>
          <w:szCs w:val="21"/>
        </w:rPr>
        <w:t xml:space="preserve"> </w:t>
      </w:r>
      <w:r w:rsidRPr="00AD79C7">
        <w:rPr>
          <w:rFonts w:ascii="Abadi" w:hAnsi="Abadi"/>
          <w:b/>
          <w:bCs/>
          <w:sz w:val="21"/>
          <w:szCs w:val="21"/>
        </w:rPr>
        <w:t>el</w:t>
      </w:r>
      <w:r w:rsidRPr="00AD79C7">
        <w:rPr>
          <w:rFonts w:ascii="Abadi" w:hAnsi="Abadi"/>
          <w:b/>
          <w:bCs/>
          <w:spacing w:val="58"/>
          <w:w w:val="150"/>
          <w:sz w:val="21"/>
          <w:szCs w:val="21"/>
        </w:rPr>
        <w:t xml:space="preserve"> </w:t>
      </w:r>
      <w:r w:rsidRPr="00AD79C7">
        <w:rPr>
          <w:rFonts w:ascii="Abadi" w:hAnsi="Abadi"/>
          <w:b/>
          <w:bCs/>
          <w:sz w:val="21"/>
          <w:szCs w:val="21"/>
        </w:rPr>
        <w:t>Estado</w:t>
      </w:r>
      <w:r w:rsidRPr="00AD79C7">
        <w:rPr>
          <w:rFonts w:ascii="Abadi" w:hAnsi="Abadi"/>
          <w:b/>
          <w:bCs/>
          <w:spacing w:val="58"/>
          <w:w w:val="150"/>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Guanajuato,</w:t>
      </w:r>
      <w:r w:rsidRPr="00AD79C7">
        <w:rPr>
          <w:rFonts w:ascii="Abadi" w:hAnsi="Abadi"/>
          <w:b/>
          <w:bCs/>
          <w:spacing w:val="39"/>
          <w:sz w:val="21"/>
          <w:szCs w:val="21"/>
        </w:rPr>
        <w:t xml:space="preserve"> </w:t>
      </w:r>
      <w:r w:rsidRPr="00AD79C7">
        <w:rPr>
          <w:rFonts w:ascii="Abadi" w:hAnsi="Abadi"/>
          <w:b/>
          <w:bCs/>
          <w:sz w:val="21"/>
          <w:szCs w:val="21"/>
        </w:rPr>
        <w:t>incluya</w:t>
      </w:r>
      <w:r w:rsidRPr="00AD79C7">
        <w:rPr>
          <w:rFonts w:ascii="Abadi" w:hAnsi="Abadi"/>
          <w:b/>
          <w:bCs/>
          <w:spacing w:val="38"/>
          <w:sz w:val="21"/>
          <w:szCs w:val="21"/>
        </w:rPr>
        <w:t xml:space="preserve"> </w:t>
      </w:r>
      <w:r w:rsidRPr="00AD79C7">
        <w:rPr>
          <w:rFonts w:ascii="Abadi" w:hAnsi="Abadi"/>
          <w:b/>
          <w:bCs/>
          <w:sz w:val="21"/>
          <w:szCs w:val="21"/>
        </w:rPr>
        <w:t>a</w:t>
      </w:r>
      <w:r w:rsidRPr="00AD79C7">
        <w:rPr>
          <w:rFonts w:ascii="Abadi" w:hAnsi="Abadi"/>
          <w:b/>
          <w:bCs/>
          <w:spacing w:val="39"/>
          <w:sz w:val="21"/>
          <w:szCs w:val="21"/>
        </w:rPr>
        <w:t xml:space="preserve"> </w:t>
      </w:r>
      <w:r w:rsidRPr="00AD79C7">
        <w:rPr>
          <w:rFonts w:ascii="Abadi" w:hAnsi="Abadi"/>
          <w:b/>
          <w:bCs/>
          <w:sz w:val="21"/>
          <w:szCs w:val="21"/>
        </w:rPr>
        <w:t>GTO</w:t>
      </w:r>
      <w:r w:rsidRPr="00AD79C7">
        <w:rPr>
          <w:rFonts w:ascii="Abadi" w:hAnsi="Abadi"/>
          <w:b/>
          <w:bCs/>
          <w:spacing w:val="39"/>
          <w:sz w:val="21"/>
          <w:szCs w:val="21"/>
        </w:rPr>
        <w:t xml:space="preserve"> </w:t>
      </w:r>
      <w:r w:rsidRPr="00AD79C7">
        <w:rPr>
          <w:rFonts w:ascii="Abadi" w:hAnsi="Abadi"/>
          <w:b/>
          <w:bCs/>
          <w:sz w:val="21"/>
          <w:szCs w:val="21"/>
        </w:rPr>
        <w:t>Leasing</w:t>
      </w:r>
      <w:r w:rsidRPr="00AD79C7">
        <w:rPr>
          <w:rFonts w:ascii="Abadi" w:hAnsi="Abadi"/>
          <w:b/>
          <w:bCs/>
          <w:spacing w:val="39"/>
          <w:sz w:val="21"/>
          <w:szCs w:val="21"/>
        </w:rPr>
        <w:t xml:space="preserve"> </w:t>
      </w:r>
      <w:r w:rsidRPr="00AD79C7">
        <w:rPr>
          <w:rFonts w:ascii="Abadi" w:hAnsi="Abadi"/>
          <w:b/>
          <w:bCs/>
          <w:sz w:val="21"/>
          <w:szCs w:val="21"/>
        </w:rPr>
        <w:t>Services</w:t>
      </w:r>
      <w:r w:rsidRPr="00AD79C7">
        <w:rPr>
          <w:rFonts w:ascii="Abadi" w:hAnsi="Abadi"/>
          <w:b/>
          <w:bCs/>
          <w:spacing w:val="39"/>
          <w:sz w:val="21"/>
          <w:szCs w:val="21"/>
        </w:rPr>
        <w:t xml:space="preserve"> </w:t>
      </w:r>
      <w:r w:rsidRPr="00AD79C7">
        <w:rPr>
          <w:rFonts w:ascii="Abadi" w:hAnsi="Abadi"/>
          <w:b/>
          <w:bCs/>
          <w:sz w:val="21"/>
          <w:szCs w:val="21"/>
        </w:rPr>
        <w:t>S.A.P.I.</w:t>
      </w:r>
      <w:r w:rsidRPr="00AD79C7">
        <w:rPr>
          <w:rFonts w:ascii="Abadi" w:hAnsi="Abadi"/>
          <w:b/>
          <w:bCs/>
          <w:spacing w:val="39"/>
          <w:sz w:val="21"/>
          <w:szCs w:val="21"/>
        </w:rPr>
        <w:t xml:space="preserve"> </w:t>
      </w:r>
      <w:r w:rsidRPr="00AD79C7">
        <w:rPr>
          <w:rFonts w:ascii="Abadi" w:hAnsi="Abadi"/>
          <w:b/>
          <w:bCs/>
          <w:sz w:val="21"/>
          <w:szCs w:val="21"/>
        </w:rPr>
        <w:t>DE</w:t>
      </w:r>
      <w:r w:rsidRPr="00AD79C7">
        <w:rPr>
          <w:rFonts w:ascii="Abadi" w:hAnsi="Abadi"/>
          <w:b/>
          <w:bCs/>
          <w:spacing w:val="39"/>
          <w:sz w:val="21"/>
          <w:szCs w:val="21"/>
        </w:rPr>
        <w:t xml:space="preserve"> </w:t>
      </w:r>
      <w:r w:rsidRPr="00AD79C7">
        <w:rPr>
          <w:rFonts w:ascii="Abadi" w:hAnsi="Abadi"/>
          <w:b/>
          <w:bCs/>
          <w:sz w:val="21"/>
          <w:szCs w:val="21"/>
        </w:rPr>
        <w:t>C.V.,</w:t>
      </w:r>
      <w:r w:rsidRPr="00AD79C7">
        <w:rPr>
          <w:rFonts w:ascii="Abadi" w:hAnsi="Abadi"/>
          <w:b/>
          <w:bCs/>
          <w:spacing w:val="39"/>
          <w:sz w:val="21"/>
          <w:szCs w:val="21"/>
        </w:rPr>
        <w:t xml:space="preserve"> </w:t>
      </w:r>
      <w:r w:rsidRPr="00AD79C7">
        <w:rPr>
          <w:rFonts w:ascii="Abadi" w:hAnsi="Abadi"/>
          <w:b/>
          <w:bCs/>
          <w:sz w:val="21"/>
          <w:szCs w:val="21"/>
        </w:rPr>
        <w:t>SOFOM, E.N.R</w:t>
      </w:r>
      <w:r w:rsidRPr="00AD79C7">
        <w:rPr>
          <w:rFonts w:ascii="Abadi" w:hAnsi="Abadi"/>
          <w:b/>
          <w:bCs/>
          <w:spacing w:val="80"/>
          <w:sz w:val="21"/>
          <w:szCs w:val="21"/>
        </w:rPr>
        <w:t xml:space="preserve"> </w:t>
      </w:r>
      <w:r w:rsidRPr="00AD79C7">
        <w:rPr>
          <w:rFonts w:ascii="Abadi" w:hAnsi="Abadi"/>
          <w:b/>
          <w:bCs/>
          <w:sz w:val="21"/>
          <w:szCs w:val="21"/>
        </w:rPr>
        <w:t>Empresa</w:t>
      </w:r>
      <w:r w:rsidRPr="00AD79C7">
        <w:rPr>
          <w:rFonts w:ascii="Abadi" w:hAnsi="Abadi"/>
          <w:b/>
          <w:bCs/>
          <w:spacing w:val="80"/>
          <w:sz w:val="21"/>
          <w:szCs w:val="21"/>
        </w:rPr>
        <w:t xml:space="preserve"> </w:t>
      </w:r>
      <w:r w:rsidRPr="00AD79C7">
        <w:rPr>
          <w:rFonts w:ascii="Abadi" w:hAnsi="Abadi"/>
          <w:b/>
          <w:bCs/>
          <w:sz w:val="21"/>
          <w:szCs w:val="21"/>
        </w:rPr>
        <w:t>Equiparada</w:t>
      </w:r>
      <w:r w:rsidRPr="00AD79C7">
        <w:rPr>
          <w:rFonts w:ascii="Abadi" w:hAnsi="Abadi"/>
          <w:b/>
          <w:bCs/>
          <w:spacing w:val="80"/>
          <w:sz w:val="21"/>
          <w:szCs w:val="21"/>
        </w:rPr>
        <w:t xml:space="preserve"> </w:t>
      </w:r>
      <w:r w:rsidRPr="00AD79C7">
        <w:rPr>
          <w:rFonts w:ascii="Abadi" w:hAnsi="Abadi"/>
          <w:b/>
          <w:bCs/>
          <w:sz w:val="21"/>
          <w:szCs w:val="21"/>
        </w:rPr>
        <w:t>de</w:t>
      </w:r>
      <w:r w:rsidRPr="00AD79C7">
        <w:rPr>
          <w:rFonts w:ascii="Abadi" w:hAnsi="Abadi"/>
          <w:b/>
          <w:bCs/>
          <w:spacing w:val="80"/>
          <w:sz w:val="21"/>
          <w:szCs w:val="21"/>
        </w:rPr>
        <w:t xml:space="preserve"> </w:t>
      </w:r>
      <w:r w:rsidRPr="00AD79C7">
        <w:rPr>
          <w:rFonts w:ascii="Abadi" w:hAnsi="Abadi"/>
          <w:b/>
          <w:bCs/>
          <w:sz w:val="21"/>
          <w:szCs w:val="21"/>
        </w:rPr>
        <w:t>Participación</w:t>
      </w:r>
      <w:r w:rsidRPr="00AD79C7">
        <w:rPr>
          <w:rFonts w:ascii="Abadi" w:hAnsi="Abadi"/>
          <w:b/>
          <w:bCs/>
          <w:spacing w:val="80"/>
          <w:sz w:val="21"/>
          <w:szCs w:val="21"/>
        </w:rPr>
        <w:t xml:space="preserve"> </w:t>
      </w:r>
      <w:r w:rsidRPr="00AD79C7">
        <w:rPr>
          <w:rFonts w:ascii="Abadi" w:hAnsi="Abadi"/>
          <w:b/>
          <w:bCs/>
          <w:sz w:val="21"/>
          <w:szCs w:val="21"/>
        </w:rPr>
        <w:t>Estatal</w:t>
      </w:r>
      <w:r w:rsidRPr="00AD79C7">
        <w:rPr>
          <w:rFonts w:ascii="Abadi" w:hAnsi="Abadi"/>
          <w:b/>
          <w:bCs/>
          <w:spacing w:val="80"/>
          <w:sz w:val="21"/>
          <w:szCs w:val="21"/>
        </w:rPr>
        <w:t xml:space="preserve"> </w:t>
      </w:r>
      <w:r w:rsidRPr="00AD79C7">
        <w:rPr>
          <w:rFonts w:ascii="Abadi" w:hAnsi="Abadi"/>
          <w:b/>
          <w:bCs/>
          <w:sz w:val="21"/>
          <w:szCs w:val="21"/>
        </w:rPr>
        <w:t>Mayoritaria,</w:t>
      </w:r>
      <w:r w:rsidRPr="00AD79C7">
        <w:rPr>
          <w:rFonts w:ascii="Abadi" w:hAnsi="Abadi"/>
          <w:b/>
          <w:bCs/>
          <w:spacing w:val="80"/>
          <w:sz w:val="21"/>
          <w:szCs w:val="21"/>
        </w:rPr>
        <w:t xml:space="preserve"> </w:t>
      </w:r>
      <w:r w:rsidRPr="00AD79C7">
        <w:rPr>
          <w:rFonts w:ascii="Abadi" w:hAnsi="Abadi"/>
          <w:b/>
          <w:bCs/>
          <w:sz w:val="21"/>
          <w:szCs w:val="21"/>
        </w:rPr>
        <w:t>en</w:t>
      </w:r>
      <w:r w:rsidRPr="00AD79C7">
        <w:rPr>
          <w:rFonts w:ascii="Abadi" w:hAnsi="Abadi"/>
          <w:b/>
          <w:bCs/>
          <w:spacing w:val="80"/>
          <w:sz w:val="21"/>
          <w:szCs w:val="21"/>
        </w:rPr>
        <w:t xml:space="preserve"> </w:t>
      </w:r>
      <w:r w:rsidRPr="00AD79C7">
        <w:rPr>
          <w:rFonts w:ascii="Abadi" w:hAnsi="Abadi"/>
          <w:b/>
          <w:bCs/>
          <w:sz w:val="21"/>
          <w:szCs w:val="21"/>
        </w:rPr>
        <w:t>el Padrón</w:t>
      </w:r>
      <w:r w:rsidRPr="00AD79C7">
        <w:rPr>
          <w:rFonts w:ascii="Abadi" w:hAnsi="Abadi"/>
          <w:b/>
          <w:bCs/>
          <w:spacing w:val="13"/>
          <w:sz w:val="21"/>
          <w:szCs w:val="21"/>
        </w:rPr>
        <w:t xml:space="preserve"> </w:t>
      </w:r>
      <w:r w:rsidRPr="00AD79C7">
        <w:rPr>
          <w:rFonts w:ascii="Abadi" w:hAnsi="Abadi"/>
          <w:b/>
          <w:bCs/>
          <w:sz w:val="21"/>
          <w:szCs w:val="21"/>
        </w:rPr>
        <w:t>de</w:t>
      </w:r>
      <w:r w:rsidRPr="00AD79C7">
        <w:rPr>
          <w:rFonts w:ascii="Abadi" w:hAnsi="Abadi"/>
          <w:b/>
          <w:bCs/>
          <w:spacing w:val="13"/>
          <w:sz w:val="21"/>
          <w:szCs w:val="21"/>
        </w:rPr>
        <w:t xml:space="preserve"> </w:t>
      </w:r>
      <w:r w:rsidRPr="00AD79C7">
        <w:rPr>
          <w:rFonts w:ascii="Abadi" w:hAnsi="Abadi"/>
          <w:b/>
          <w:bCs/>
          <w:sz w:val="21"/>
          <w:szCs w:val="21"/>
        </w:rPr>
        <w:t>Sujetos</w:t>
      </w:r>
      <w:r w:rsidRPr="00AD79C7">
        <w:rPr>
          <w:rFonts w:ascii="Abadi" w:hAnsi="Abadi"/>
          <w:b/>
          <w:bCs/>
          <w:spacing w:val="13"/>
          <w:sz w:val="21"/>
          <w:szCs w:val="21"/>
        </w:rPr>
        <w:t xml:space="preserve"> </w:t>
      </w:r>
      <w:r w:rsidRPr="00AD79C7">
        <w:rPr>
          <w:rFonts w:ascii="Abadi" w:hAnsi="Abadi"/>
          <w:b/>
          <w:bCs/>
          <w:sz w:val="21"/>
          <w:szCs w:val="21"/>
        </w:rPr>
        <w:t>Obligados</w:t>
      </w:r>
      <w:r w:rsidRPr="00AD79C7">
        <w:rPr>
          <w:rFonts w:ascii="Abadi" w:hAnsi="Abadi"/>
          <w:b/>
          <w:bCs/>
          <w:spacing w:val="13"/>
          <w:sz w:val="21"/>
          <w:szCs w:val="21"/>
        </w:rPr>
        <w:t xml:space="preserve"> </w:t>
      </w:r>
      <w:r w:rsidRPr="00AD79C7">
        <w:rPr>
          <w:rFonts w:ascii="Abadi" w:hAnsi="Abadi"/>
          <w:b/>
          <w:bCs/>
          <w:sz w:val="21"/>
          <w:szCs w:val="21"/>
        </w:rPr>
        <w:t>para</w:t>
      </w:r>
      <w:r w:rsidRPr="00AD79C7">
        <w:rPr>
          <w:rFonts w:ascii="Abadi" w:hAnsi="Abadi"/>
          <w:b/>
          <w:bCs/>
          <w:spacing w:val="13"/>
          <w:sz w:val="21"/>
          <w:szCs w:val="21"/>
        </w:rPr>
        <w:t xml:space="preserve"> </w:t>
      </w:r>
      <w:r w:rsidRPr="00AD79C7">
        <w:rPr>
          <w:rFonts w:ascii="Abadi" w:hAnsi="Abadi"/>
          <w:b/>
          <w:bCs/>
          <w:sz w:val="21"/>
          <w:szCs w:val="21"/>
        </w:rPr>
        <w:t>efectos</w:t>
      </w:r>
      <w:r w:rsidRPr="00AD79C7">
        <w:rPr>
          <w:rFonts w:ascii="Abadi" w:hAnsi="Abadi"/>
          <w:b/>
          <w:bCs/>
          <w:spacing w:val="13"/>
          <w:sz w:val="21"/>
          <w:szCs w:val="21"/>
        </w:rPr>
        <w:t xml:space="preserve"> </w:t>
      </w:r>
      <w:r w:rsidRPr="00AD79C7">
        <w:rPr>
          <w:rFonts w:ascii="Abadi" w:hAnsi="Abadi"/>
          <w:b/>
          <w:bCs/>
          <w:sz w:val="21"/>
          <w:szCs w:val="21"/>
        </w:rPr>
        <w:t>de</w:t>
      </w:r>
      <w:r w:rsidRPr="00AD79C7">
        <w:rPr>
          <w:rFonts w:ascii="Abadi" w:hAnsi="Abadi"/>
          <w:b/>
          <w:bCs/>
          <w:spacing w:val="13"/>
          <w:sz w:val="21"/>
          <w:szCs w:val="21"/>
        </w:rPr>
        <w:t xml:space="preserve"> </w:t>
      </w:r>
      <w:r w:rsidRPr="00AD79C7">
        <w:rPr>
          <w:rFonts w:ascii="Abadi" w:hAnsi="Abadi"/>
          <w:b/>
          <w:bCs/>
          <w:sz w:val="21"/>
          <w:szCs w:val="21"/>
        </w:rPr>
        <w:t>cumplir</w:t>
      </w:r>
      <w:r w:rsidRPr="00AD79C7">
        <w:rPr>
          <w:rFonts w:ascii="Abadi" w:hAnsi="Abadi"/>
          <w:b/>
          <w:bCs/>
          <w:spacing w:val="13"/>
          <w:sz w:val="21"/>
          <w:szCs w:val="21"/>
        </w:rPr>
        <w:t xml:space="preserve"> </w:t>
      </w:r>
      <w:r w:rsidRPr="00AD79C7">
        <w:rPr>
          <w:rFonts w:ascii="Abadi" w:hAnsi="Abadi"/>
          <w:b/>
          <w:bCs/>
          <w:sz w:val="21"/>
          <w:szCs w:val="21"/>
        </w:rPr>
        <w:t>con</w:t>
      </w:r>
      <w:r w:rsidRPr="00AD79C7">
        <w:rPr>
          <w:rFonts w:ascii="Abadi" w:hAnsi="Abadi"/>
          <w:b/>
          <w:bCs/>
          <w:spacing w:val="13"/>
          <w:sz w:val="21"/>
          <w:szCs w:val="21"/>
        </w:rPr>
        <w:t xml:space="preserve"> </w:t>
      </w:r>
      <w:r w:rsidRPr="00AD79C7">
        <w:rPr>
          <w:rFonts w:ascii="Abadi" w:hAnsi="Abadi"/>
          <w:b/>
          <w:bCs/>
          <w:sz w:val="21"/>
          <w:szCs w:val="21"/>
        </w:rPr>
        <w:t>las</w:t>
      </w:r>
      <w:r w:rsidRPr="00AD79C7">
        <w:rPr>
          <w:rFonts w:ascii="Abadi" w:hAnsi="Abadi"/>
          <w:b/>
          <w:bCs/>
          <w:spacing w:val="13"/>
          <w:sz w:val="21"/>
          <w:szCs w:val="21"/>
        </w:rPr>
        <w:t xml:space="preserve"> </w:t>
      </w:r>
      <w:r w:rsidRPr="00AD79C7">
        <w:rPr>
          <w:rFonts w:ascii="Abadi" w:hAnsi="Abadi"/>
          <w:b/>
          <w:bCs/>
          <w:sz w:val="21"/>
          <w:szCs w:val="21"/>
        </w:rPr>
        <w:t>obligaciones de</w:t>
      </w:r>
      <w:r w:rsidRPr="00AD79C7">
        <w:rPr>
          <w:rFonts w:ascii="Abadi" w:hAnsi="Abadi"/>
          <w:b/>
          <w:bCs/>
          <w:spacing w:val="-13"/>
          <w:sz w:val="21"/>
          <w:szCs w:val="21"/>
        </w:rPr>
        <w:t xml:space="preserve"> </w:t>
      </w:r>
      <w:r w:rsidRPr="00AD79C7">
        <w:rPr>
          <w:rFonts w:ascii="Abadi" w:hAnsi="Abadi"/>
          <w:b/>
          <w:bCs/>
          <w:sz w:val="21"/>
          <w:szCs w:val="21"/>
        </w:rPr>
        <w:t>la</w:t>
      </w:r>
      <w:r w:rsidRPr="00AD79C7">
        <w:rPr>
          <w:rFonts w:ascii="Abadi" w:hAnsi="Abadi"/>
          <w:b/>
          <w:bCs/>
          <w:spacing w:val="-13"/>
          <w:sz w:val="21"/>
          <w:szCs w:val="21"/>
        </w:rPr>
        <w:t xml:space="preserve"> </w:t>
      </w:r>
      <w:r w:rsidRPr="00AD79C7">
        <w:rPr>
          <w:rFonts w:ascii="Abadi" w:hAnsi="Abadi"/>
          <w:b/>
          <w:bCs/>
          <w:sz w:val="21"/>
          <w:szCs w:val="21"/>
        </w:rPr>
        <w:t>Ley</w:t>
      </w:r>
      <w:r w:rsidRPr="00AD79C7">
        <w:rPr>
          <w:rFonts w:ascii="Abadi" w:hAnsi="Abadi"/>
          <w:b/>
          <w:bCs/>
          <w:spacing w:val="-13"/>
          <w:sz w:val="21"/>
          <w:szCs w:val="21"/>
        </w:rPr>
        <w:t xml:space="preserve"> </w:t>
      </w:r>
      <w:r w:rsidRPr="00AD79C7">
        <w:rPr>
          <w:rFonts w:ascii="Abadi" w:hAnsi="Abadi"/>
          <w:b/>
          <w:bCs/>
          <w:sz w:val="21"/>
          <w:szCs w:val="21"/>
        </w:rPr>
        <w:t>de</w:t>
      </w:r>
      <w:r w:rsidRPr="00AD79C7">
        <w:rPr>
          <w:rFonts w:ascii="Abadi" w:hAnsi="Abadi"/>
          <w:b/>
          <w:bCs/>
          <w:spacing w:val="-13"/>
          <w:sz w:val="21"/>
          <w:szCs w:val="21"/>
        </w:rPr>
        <w:t xml:space="preserve"> </w:t>
      </w:r>
      <w:r w:rsidRPr="00AD79C7">
        <w:rPr>
          <w:rFonts w:ascii="Abadi" w:hAnsi="Abadi"/>
          <w:b/>
          <w:bCs/>
          <w:sz w:val="21"/>
          <w:szCs w:val="21"/>
        </w:rPr>
        <w:t>Transparencia</w:t>
      </w:r>
      <w:r w:rsidRPr="00AD79C7">
        <w:rPr>
          <w:rFonts w:ascii="Abadi" w:hAnsi="Abadi"/>
          <w:b/>
          <w:bCs/>
          <w:spacing w:val="-13"/>
          <w:sz w:val="21"/>
          <w:szCs w:val="21"/>
        </w:rPr>
        <w:t xml:space="preserve"> </w:t>
      </w:r>
      <w:r w:rsidRPr="00AD79C7">
        <w:rPr>
          <w:rFonts w:ascii="Abadi" w:hAnsi="Abadi"/>
          <w:b/>
          <w:bCs/>
          <w:sz w:val="21"/>
          <w:szCs w:val="21"/>
        </w:rPr>
        <w:t>y</w:t>
      </w:r>
      <w:r w:rsidRPr="00AD79C7">
        <w:rPr>
          <w:rFonts w:ascii="Abadi" w:hAnsi="Abadi"/>
          <w:b/>
          <w:bCs/>
          <w:spacing w:val="-13"/>
          <w:sz w:val="21"/>
          <w:szCs w:val="21"/>
        </w:rPr>
        <w:t xml:space="preserve"> </w:t>
      </w:r>
      <w:r w:rsidRPr="00AD79C7">
        <w:rPr>
          <w:rFonts w:ascii="Abadi" w:hAnsi="Abadi"/>
          <w:b/>
          <w:bCs/>
          <w:sz w:val="21"/>
          <w:szCs w:val="21"/>
        </w:rPr>
        <w:t>Acceso</w:t>
      </w:r>
      <w:r w:rsidRPr="00AD79C7">
        <w:rPr>
          <w:rFonts w:ascii="Abadi" w:hAnsi="Abadi"/>
          <w:b/>
          <w:bCs/>
          <w:spacing w:val="-13"/>
          <w:sz w:val="21"/>
          <w:szCs w:val="21"/>
        </w:rPr>
        <w:t xml:space="preserve"> </w:t>
      </w:r>
      <w:r w:rsidRPr="00AD79C7">
        <w:rPr>
          <w:rFonts w:ascii="Abadi" w:hAnsi="Abadi"/>
          <w:b/>
          <w:bCs/>
          <w:sz w:val="21"/>
          <w:szCs w:val="21"/>
        </w:rPr>
        <w:t>a</w:t>
      </w:r>
      <w:r w:rsidRPr="00AD79C7">
        <w:rPr>
          <w:rFonts w:ascii="Abadi" w:hAnsi="Abadi"/>
          <w:b/>
          <w:bCs/>
          <w:spacing w:val="-13"/>
          <w:sz w:val="21"/>
          <w:szCs w:val="21"/>
        </w:rPr>
        <w:t xml:space="preserve"> </w:t>
      </w:r>
      <w:r w:rsidRPr="00AD79C7">
        <w:rPr>
          <w:rFonts w:ascii="Abadi" w:hAnsi="Abadi"/>
          <w:b/>
          <w:bCs/>
          <w:sz w:val="21"/>
          <w:szCs w:val="21"/>
        </w:rPr>
        <w:t>la</w:t>
      </w:r>
      <w:r w:rsidRPr="00AD79C7">
        <w:rPr>
          <w:rFonts w:ascii="Abadi" w:hAnsi="Abadi"/>
          <w:b/>
          <w:bCs/>
          <w:spacing w:val="-12"/>
          <w:sz w:val="21"/>
          <w:szCs w:val="21"/>
        </w:rPr>
        <w:t xml:space="preserve"> </w:t>
      </w:r>
      <w:r w:rsidRPr="00AD79C7">
        <w:rPr>
          <w:rFonts w:ascii="Abadi" w:hAnsi="Abadi"/>
          <w:b/>
          <w:bCs/>
          <w:sz w:val="21"/>
          <w:szCs w:val="21"/>
        </w:rPr>
        <w:t>Información</w:t>
      </w:r>
      <w:r w:rsidRPr="00AD79C7">
        <w:rPr>
          <w:rFonts w:ascii="Abadi" w:hAnsi="Abadi"/>
          <w:b/>
          <w:bCs/>
          <w:spacing w:val="-13"/>
          <w:sz w:val="21"/>
          <w:szCs w:val="21"/>
        </w:rPr>
        <w:t xml:space="preserve"> </w:t>
      </w:r>
      <w:r w:rsidRPr="00AD79C7">
        <w:rPr>
          <w:rFonts w:ascii="Abadi" w:hAnsi="Abadi"/>
          <w:b/>
          <w:bCs/>
          <w:sz w:val="21"/>
          <w:szCs w:val="21"/>
        </w:rPr>
        <w:t>Pública</w:t>
      </w:r>
      <w:r w:rsidRPr="00AD79C7">
        <w:rPr>
          <w:rFonts w:ascii="Abadi" w:hAnsi="Abadi"/>
          <w:b/>
          <w:bCs/>
          <w:spacing w:val="-13"/>
          <w:sz w:val="21"/>
          <w:szCs w:val="21"/>
        </w:rPr>
        <w:t xml:space="preserve"> </w:t>
      </w:r>
      <w:r w:rsidRPr="00AD79C7">
        <w:rPr>
          <w:rFonts w:ascii="Abadi" w:hAnsi="Abadi"/>
          <w:b/>
          <w:bCs/>
          <w:sz w:val="21"/>
          <w:szCs w:val="21"/>
        </w:rPr>
        <w:t>para</w:t>
      </w:r>
      <w:r w:rsidRPr="00AD79C7">
        <w:rPr>
          <w:rFonts w:ascii="Abadi" w:hAnsi="Abadi"/>
          <w:b/>
          <w:bCs/>
          <w:spacing w:val="-13"/>
          <w:sz w:val="21"/>
          <w:szCs w:val="21"/>
        </w:rPr>
        <w:t xml:space="preserve"> </w:t>
      </w:r>
      <w:r w:rsidRPr="00AD79C7">
        <w:rPr>
          <w:rFonts w:ascii="Abadi" w:hAnsi="Abadi"/>
          <w:b/>
          <w:bCs/>
          <w:sz w:val="21"/>
          <w:szCs w:val="21"/>
        </w:rPr>
        <w:t>el</w:t>
      </w:r>
      <w:r w:rsidRPr="00AD79C7">
        <w:rPr>
          <w:rFonts w:ascii="Abadi" w:hAnsi="Abadi"/>
          <w:b/>
          <w:bCs/>
          <w:spacing w:val="-13"/>
          <w:sz w:val="21"/>
          <w:szCs w:val="21"/>
        </w:rPr>
        <w:t xml:space="preserve"> </w:t>
      </w:r>
      <w:r w:rsidRPr="00AD79C7">
        <w:rPr>
          <w:rFonts w:ascii="Abadi" w:hAnsi="Abadi"/>
          <w:b/>
          <w:bCs/>
          <w:sz w:val="21"/>
          <w:szCs w:val="21"/>
        </w:rPr>
        <w:t>Estado de Guanajuato y, en su caso, aprobación de la misma.</w:t>
      </w:r>
    </w:p>
    <w:p w14:paraId="29B07F07" w14:textId="77777777" w:rsidR="003912CB" w:rsidRPr="003912CB" w:rsidRDefault="003912CB" w:rsidP="003912CB">
      <w:pPr>
        <w:pStyle w:val="Prrafodelista"/>
        <w:rPr>
          <w:rFonts w:ascii="Abadi" w:hAnsi="Abadi"/>
          <w:b/>
          <w:bCs/>
          <w:sz w:val="21"/>
          <w:szCs w:val="21"/>
        </w:rPr>
      </w:pPr>
    </w:p>
    <w:p w14:paraId="72866A7F" w14:textId="77777777" w:rsidR="003912CB" w:rsidRPr="00AD79C7" w:rsidRDefault="003912CB" w:rsidP="003912CB">
      <w:pPr>
        <w:pStyle w:val="Prrafodelista"/>
        <w:tabs>
          <w:tab w:val="left" w:pos="845"/>
        </w:tabs>
        <w:kinsoku w:val="0"/>
        <w:overflowPunct w:val="0"/>
        <w:autoSpaceDE w:val="0"/>
        <w:autoSpaceDN w:val="0"/>
        <w:adjustRightInd w:val="0"/>
        <w:ind w:left="720" w:right="17"/>
        <w:jc w:val="both"/>
        <w:rPr>
          <w:rFonts w:ascii="Abadi" w:hAnsi="Abadi"/>
          <w:b/>
          <w:bCs/>
          <w:sz w:val="21"/>
          <w:szCs w:val="21"/>
        </w:rPr>
      </w:pPr>
    </w:p>
    <w:p w14:paraId="629F0CA3" w14:textId="398EC3CD" w:rsidR="003912CB" w:rsidRDefault="003912CB" w:rsidP="005433FA">
      <w:pPr>
        <w:pStyle w:val="Prrafodelista"/>
        <w:numPr>
          <w:ilvl w:val="0"/>
          <w:numId w:val="8"/>
        </w:numPr>
        <w:tabs>
          <w:tab w:val="left" w:pos="845"/>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Presentación</w:t>
      </w:r>
      <w:r w:rsidRPr="00AD79C7">
        <w:rPr>
          <w:rFonts w:ascii="Abadi" w:hAnsi="Abadi"/>
          <w:b/>
          <w:bCs/>
          <w:spacing w:val="53"/>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la</w:t>
      </w:r>
      <w:r w:rsidRPr="00AD79C7">
        <w:rPr>
          <w:rFonts w:ascii="Abadi" w:hAnsi="Abadi"/>
          <w:b/>
          <w:bCs/>
          <w:spacing w:val="54"/>
          <w:sz w:val="21"/>
          <w:szCs w:val="21"/>
        </w:rPr>
        <w:t xml:space="preserve"> </w:t>
      </w:r>
      <w:r w:rsidRPr="00AD79C7">
        <w:rPr>
          <w:rFonts w:ascii="Abadi" w:hAnsi="Abadi"/>
          <w:b/>
          <w:bCs/>
          <w:sz w:val="21"/>
          <w:szCs w:val="21"/>
        </w:rPr>
        <w:t>propuesta</w:t>
      </w:r>
      <w:r w:rsidRPr="00AD79C7">
        <w:rPr>
          <w:rFonts w:ascii="Abadi" w:hAnsi="Abadi"/>
          <w:b/>
          <w:bCs/>
          <w:spacing w:val="54"/>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punto</w:t>
      </w:r>
      <w:r w:rsidRPr="00AD79C7">
        <w:rPr>
          <w:rFonts w:ascii="Abadi" w:hAnsi="Abadi"/>
          <w:b/>
          <w:bCs/>
          <w:spacing w:val="54"/>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acuerdo</w:t>
      </w:r>
      <w:r w:rsidRPr="00AD79C7">
        <w:rPr>
          <w:rFonts w:ascii="Abadi" w:hAnsi="Abadi"/>
          <w:b/>
          <w:bCs/>
          <w:spacing w:val="54"/>
          <w:sz w:val="21"/>
          <w:szCs w:val="21"/>
        </w:rPr>
        <w:t xml:space="preserve"> </w:t>
      </w:r>
      <w:r w:rsidRPr="00AD79C7">
        <w:rPr>
          <w:rFonts w:ascii="Abadi" w:hAnsi="Abadi"/>
          <w:b/>
          <w:bCs/>
          <w:sz w:val="21"/>
          <w:szCs w:val="21"/>
        </w:rPr>
        <w:t>de</w:t>
      </w:r>
      <w:r w:rsidRPr="00AD79C7">
        <w:rPr>
          <w:rFonts w:ascii="Abadi" w:hAnsi="Abadi"/>
          <w:b/>
          <w:bCs/>
          <w:spacing w:val="54"/>
          <w:sz w:val="21"/>
          <w:szCs w:val="21"/>
        </w:rPr>
        <w:t xml:space="preserve"> </w:t>
      </w:r>
      <w:r w:rsidRPr="00AD79C7">
        <w:rPr>
          <w:rFonts w:ascii="Abadi" w:hAnsi="Abadi"/>
          <w:b/>
          <w:bCs/>
          <w:sz w:val="21"/>
          <w:szCs w:val="21"/>
        </w:rPr>
        <w:t>obvia</w:t>
      </w:r>
      <w:r w:rsidRPr="00AD79C7">
        <w:rPr>
          <w:rFonts w:ascii="Abadi" w:hAnsi="Abadi"/>
          <w:b/>
          <w:bCs/>
          <w:spacing w:val="54"/>
          <w:sz w:val="21"/>
          <w:szCs w:val="21"/>
        </w:rPr>
        <w:t xml:space="preserve"> </w:t>
      </w:r>
      <w:r w:rsidRPr="00AD79C7">
        <w:rPr>
          <w:rFonts w:ascii="Abadi" w:hAnsi="Abadi"/>
          <w:b/>
          <w:bCs/>
          <w:sz w:val="21"/>
          <w:szCs w:val="21"/>
        </w:rPr>
        <w:lastRenderedPageBreak/>
        <w:t>resolución</w:t>
      </w:r>
      <w:r w:rsidRPr="00AD79C7">
        <w:rPr>
          <w:rFonts w:ascii="Abadi" w:hAnsi="Abadi"/>
          <w:b/>
          <w:bCs/>
          <w:spacing w:val="-1"/>
          <w:sz w:val="21"/>
          <w:szCs w:val="21"/>
        </w:rPr>
        <w:t xml:space="preserve"> </w:t>
      </w:r>
      <w:r w:rsidRPr="00AD79C7">
        <w:rPr>
          <w:rFonts w:ascii="Abadi" w:hAnsi="Abadi"/>
          <w:b/>
          <w:bCs/>
          <w:sz w:val="21"/>
          <w:szCs w:val="21"/>
        </w:rPr>
        <w:t>suscrita</w:t>
      </w:r>
      <w:r w:rsidRPr="00AD79C7">
        <w:rPr>
          <w:rFonts w:ascii="Abadi" w:hAnsi="Abadi"/>
          <w:b/>
          <w:bCs/>
          <w:spacing w:val="46"/>
          <w:sz w:val="21"/>
          <w:szCs w:val="21"/>
        </w:rPr>
        <w:t xml:space="preserve"> </w:t>
      </w:r>
      <w:r w:rsidRPr="00AD79C7">
        <w:rPr>
          <w:rFonts w:ascii="Abadi" w:hAnsi="Abadi"/>
          <w:b/>
          <w:bCs/>
          <w:sz w:val="21"/>
          <w:szCs w:val="21"/>
        </w:rPr>
        <w:t>por</w:t>
      </w:r>
      <w:r w:rsidRPr="00AD79C7">
        <w:rPr>
          <w:rFonts w:ascii="Abadi" w:hAnsi="Abadi"/>
          <w:b/>
          <w:bCs/>
          <w:spacing w:val="40"/>
          <w:sz w:val="21"/>
          <w:szCs w:val="21"/>
        </w:rPr>
        <w:t xml:space="preserve"> </w:t>
      </w:r>
      <w:r w:rsidRPr="00AD79C7">
        <w:rPr>
          <w:rFonts w:ascii="Abadi" w:hAnsi="Abadi"/>
          <w:b/>
          <w:bCs/>
          <w:sz w:val="21"/>
          <w:szCs w:val="21"/>
        </w:rPr>
        <w:t>el</w:t>
      </w:r>
      <w:r w:rsidRPr="00AD79C7">
        <w:rPr>
          <w:rFonts w:ascii="Abadi" w:hAnsi="Abadi"/>
          <w:b/>
          <w:bCs/>
          <w:spacing w:val="40"/>
          <w:sz w:val="21"/>
          <w:szCs w:val="21"/>
        </w:rPr>
        <w:t xml:space="preserve"> </w:t>
      </w:r>
      <w:r w:rsidRPr="00AD79C7">
        <w:rPr>
          <w:rFonts w:ascii="Abadi" w:hAnsi="Abadi"/>
          <w:b/>
          <w:bCs/>
          <w:sz w:val="21"/>
          <w:szCs w:val="21"/>
        </w:rPr>
        <w:t>diputado</w:t>
      </w:r>
      <w:r w:rsidRPr="00AD79C7">
        <w:rPr>
          <w:rFonts w:ascii="Abadi" w:hAnsi="Abadi"/>
          <w:b/>
          <w:bCs/>
          <w:spacing w:val="40"/>
          <w:sz w:val="21"/>
          <w:szCs w:val="21"/>
        </w:rPr>
        <w:t xml:space="preserve"> </w:t>
      </w:r>
      <w:r w:rsidRPr="00AD79C7">
        <w:rPr>
          <w:rFonts w:ascii="Abadi" w:hAnsi="Abadi"/>
          <w:b/>
          <w:bCs/>
          <w:sz w:val="21"/>
          <w:szCs w:val="21"/>
        </w:rPr>
        <w:t>Ernesto</w:t>
      </w:r>
      <w:r w:rsidRPr="00AD79C7">
        <w:rPr>
          <w:rFonts w:ascii="Abadi" w:hAnsi="Abadi"/>
          <w:b/>
          <w:bCs/>
          <w:spacing w:val="40"/>
          <w:sz w:val="21"/>
          <w:szCs w:val="21"/>
        </w:rPr>
        <w:t xml:space="preserve"> </w:t>
      </w:r>
      <w:r w:rsidRPr="00AD79C7">
        <w:rPr>
          <w:rFonts w:ascii="Abadi" w:hAnsi="Abadi"/>
          <w:b/>
          <w:bCs/>
          <w:sz w:val="21"/>
          <w:szCs w:val="21"/>
        </w:rPr>
        <w:t>Alejandro</w:t>
      </w:r>
      <w:r w:rsidRPr="00AD79C7">
        <w:rPr>
          <w:rFonts w:ascii="Abadi" w:hAnsi="Abadi"/>
          <w:b/>
          <w:bCs/>
          <w:spacing w:val="40"/>
          <w:sz w:val="21"/>
          <w:szCs w:val="21"/>
        </w:rPr>
        <w:t xml:space="preserve"> </w:t>
      </w:r>
      <w:r w:rsidRPr="00AD79C7">
        <w:rPr>
          <w:rFonts w:ascii="Abadi" w:hAnsi="Abadi"/>
          <w:b/>
          <w:bCs/>
          <w:sz w:val="21"/>
          <w:szCs w:val="21"/>
        </w:rPr>
        <w:t>Prieto</w:t>
      </w:r>
      <w:r w:rsidRPr="00AD79C7">
        <w:rPr>
          <w:rFonts w:ascii="Abadi" w:hAnsi="Abadi"/>
          <w:b/>
          <w:bCs/>
          <w:spacing w:val="40"/>
          <w:sz w:val="21"/>
          <w:szCs w:val="21"/>
        </w:rPr>
        <w:t xml:space="preserve"> </w:t>
      </w:r>
      <w:r w:rsidRPr="00AD79C7">
        <w:rPr>
          <w:rFonts w:ascii="Abadi" w:hAnsi="Abadi"/>
          <w:b/>
          <w:bCs/>
          <w:sz w:val="21"/>
          <w:szCs w:val="21"/>
        </w:rPr>
        <w:t>Gallardo</w:t>
      </w:r>
      <w:r w:rsidRPr="00AD79C7">
        <w:rPr>
          <w:rFonts w:ascii="Abadi" w:hAnsi="Abadi"/>
          <w:b/>
          <w:bCs/>
          <w:spacing w:val="40"/>
          <w:sz w:val="21"/>
          <w:szCs w:val="21"/>
        </w:rPr>
        <w:t xml:space="preserve"> </w:t>
      </w:r>
      <w:r w:rsidRPr="00AD79C7">
        <w:rPr>
          <w:rFonts w:ascii="Abadi" w:hAnsi="Abadi"/>
          <w:b/>
          <w:bCs/>
          <w:sz w:val="21"/>
          <w:szCs w:val="21"/>
        </w:rPr>
        <w:t>integrante</w:t>
      </w:r>
      <w:r w:rsidRPr="00AD79C7">
        <w:rPr>
          <w:rFonts w:ascii="Abadi" w:hAnsi="Abadi"/>
          <w:b/>
          <w:bCs/>
          <w:spacing w:val="40"/>
          <w:sz w:val="21"/>
          <w:szCs w:val="21"/>
        </w:rPr>
        <w:t xml:space="preserve"> </w:t>
      </w:r>
      <w:r w:rsidRPr="00AD79C7">
        <w:rPr>
          <w:rFonts w:ascii="Abadi" w:hAnsi="Abadi"/>
          <w:b/>
          <w:bCs/>
          <w:sz w:val="21"/>
          <w:szCs w:val="21"/>
        </w:rPr>
        <w:t>del</w:t>
      </w:r>
      <w:r w:rsidRPr="00AD79C7">
        <w:rPr>
          <w:rFonts w:ascii="Abadi" w:hAnsi="Abadi"/>
          <w:b/>
          <w:bCs/>
          <w:spacing w:val="-1"/>
          <w:sz w:val="21"/>
          <w:szCs w:val="21"/>
        </w:rPr>
        <w:t xml:space="preserve"> </w:t>
      </w:r>
      <w:r w:rsidRPr="00AD79C7">
        <w:rPr>
          <w:rFonts w:ascii="Abadi" w:hAnsi="Abadi"/>
          <w:b/>
          <w:bCs/>
          <w:sz w:val="21"/>
          <w:szCs w:val="21"/>
        </w:rPr>
        <w:t>Grupo</w:t>
      </w:r>
      <w:r w:rsidRPr="00AD79C7">
        <w:rPr>
          <w:rFonts w:ascii="Abadi" w:hAnsi="Abadi"/>
          <w:b/>
          <w:bCs/>
          <w:spacing w:val="-3"/>
          <w:sz w:val="21"/>
          <w:szCs w:val="21"/>
        </w:rPr>
        <w:t xml:space="preserve"> </w:t>
      </w:r>
      <w:r w:rsidRPr="00AD79C7">
        <w:rPr>
          <w:rFonts w:ascii="Abadi" w:hAnsi="Abadi"/>
          <w:b/>
          <w:bCs/>
          <w:sz w:val="21"/>
          <w:szCs w:val="21"/>
        </w:rPr>
        <w:t>Parlamentario</w:t>
      </w:r>
      <w:r w:rsidRPr="00AD79C7">
        <w:rPr>
          <w:rFonts w:ascii="Abadi" w:hAnsi="Abadi"/>
          <w:b/>
          <w:bCs/>
          <w:spacing w:val="-3"/>
          <w:sz w:val="21"/>
          <w:szCs w:val="21"/>
        </w:rPr>
        <w:t xml:space="preserve"> </w:t>
      </w:r>
      <w:r w:rsidRPr="00AD79C7">
        <w:rPr>
          <w:rFonts w:ascii="Abadi" w:hAnsi="Abadi"/>
          <w:b/>
          <w:bCs/>
          <w:sz w:val="21"/>
          <w:szCs w:val="21"/>
        </w:rPr>
        <w:t>del</w:t>
      </w:r>
      <w:r w:rsidRPr="00AD79C7">
        <w:rPr>
          <w:rFonts w:ascii="Abadi" w:hAnsi="Abadi"/>
          <w:b/>
          <w:bCs/>
          <w:spacing w:val="-4"/>
          <w:sz w:val="21"/>
          <w:szCs w:val="21"/>
        </w:rPr>
        <w:t xml:space="preserve"> </w:t>
      </w:r>
      <w:r w:rsidRPr="00AD79C7">
        <w:rPr>
          <w:rFonts w:ascii="Abadi" w:hAnsi="Abadi"/>
          <w:b/>
          <w:bCs/>
          <w:sz w:val="21"/>
          <w:szCs w:val="21"/>
        </w:rPr>
        <w:t>Partido</w:t>
      </w:r>
      <w:r w:rsidRPr="00AD79C7">
        <w:rPr>
          <w:rFonts w:ascii="Abadi" w:hAnsi="Abadi"/>
          <w:b/>
          <w:bCs/>
          <w:spacing w:val="-4"/>
          <w:sz w:val="21"/>
          <w:szCs w:val="21"/>
        </w:rPr>
        <w:t xml:space="preserve"> </w:t>
      </w:r>
      <w:r w:rsidRPr="00AD79C7">
        <w:rPr>
          <w:rFonts w:ascii="Abadi" w:hAnsi="Abadi"/>
          <w:b/>
          <w:bCs/>
          <w:sz w:val="21"/>
          <w:szCs w:val="21"/>
        </w:rPr>
        <w:t>MORENA</w:t>
      </w:r>
      <w:r w:rsidRPr="00AD79C7">
        <w:rPr>
          <w:rFonts w:ascii="Abadi" w:hAnsi="Abadi"/>
          <w:b/>
          <w:bCs/>
          <w:spacing w:val="-3"/>
          <w:sz w:val="21"/>
          <w:szCs w:val="21"/>
        </w:rPr>
        <w:t xml:space="preserve"> </w:t>
      </w:r>
      <w:r w:rsidRPr="00AD79C7">
        <w:rPr>
          <w:rFonts w:ascii="Abadi" w:hAnsi="Abadi"/>
          <w:b/>
          <w:bCs/>
          <w:sz w:val="21"/>
          <w:szCs w:val="21"/>
        </w:rPr>
        <w:t>a</w:t>
      </w:r>
      <w:r w:rsidRPr="00AD79C7">
        <w:rPr>
          <w:rFonts w:ascii="Abadi" w:hAnsi="Abadi"/>
          <w:b/>
          <w:bCs/>
          <w:spacing w:val="-3"/>
          <w:sz w:val="21"/>
          <w:szCs w:val="21"/>
        </w:rPr>
        <w:t xml:space="preserve"> </w:t>
      </w:r>
      <w:r w:rsidRPr="00AD79C7">
        <w:rPr>
          <w:rFonts w:ascii="Abadi" w:hAnsi="Abadi"/>
          <w:b/>
          <w:bCs/>
          <w:sz w:val="21"/>
          <w:szCs w:val="21"/>
        </w:rPr>
        <w:t>efecto</w:t>
      </w:r>
      <w:r w:rsidRPr="00AD79C7">
        <w:rPr>
          <w:rFonts w:ascii="Abadi" w:hAnsi="Abadi"/>
          <w:b/>
          <w:bCs/>
          <w:spacing w:val="-4"/>
          <w:sz w:val="21"/>
          <w:szCs w:val="21"/>
        </w:rPr>
        <w:t xml:space="preserve"> </w:t>
      </w:r>
      <w:r w:rsidRPr="00AD79C7">
        <w:rPr>
          <w:rFonts w:ascii="Abadi" w:hAnsi="Abadi"/>
          <w:b/>
          <w:bCs/>
          <w:sz w:val="21"/>
          <w:szCs w:val="21"/>
        </w:rPr>
        <w:t>de</w:t>
      </w:r>
      <w:r w:rsidRPr="00AD79C7">
        <w:rPr>
          <w:rFonts w:ascii="Abadi" w:hAnsi="Abadi"/>
          <w:b/>
          <w:bCs/>
          <w:spacing w:val="-3"/>
          <w:sz w:val="21"/>
          <w:szCs w:val="21"/>
        </w:rPr>
        <w:t xml:space="preserve"> </w:t>
      </w:r>
      <w:r w:rsidRPr="00AD79C7">
        <w:rPr>
          <w:rFonts w:ascii="Abadi" w:hAnsi="Abadi"/>
          <w:b/>
          <w:bCs/>
          <w:sz w:val="21"/>
          <w:szCs w:val="21"/>
        </w:rPr>
        <w:t>exhortar</w:t>
      </w:r>
      <w:r w:rsidRPr="00AD79C7">
        <w:rPr>
          <w:rFonts w:ascii="Abadi" w:hAnsi="Abadi"/>
          <w:b/>
          <w:bCs/>
          <w:spacing w:val="-4"/>
          <w:sz w:val="21"/>
          <w:szCs w:val="21"/>
        </w:rPr>
        <w:t xml:space="preserve"> </w:t>
      </w:r>
      <w:r w:rsidRPr="00AD79C7">
        <w:rPr>
          <w:rFonts w:ascii="Abadi" w:hAnsi="Abadi"/>
          <w:b/>
          <w:bCs/>
          <w:sz w:val="21"/>
          <w:szCs w:val="21"/>
        </w:rPr>
        <w:t>al</w:t>
      </w:r>
      <w:r w:rsidRPr="00AD79C7">
        <w:rPr>
          <w:rFonts w:ascii="Abadi" w:hAnsi="Abadi"/>
          <w:b/>
          <w:bCs/>
          <w:spacing w:val="-4"/>
          <w:sz w:val="21"/>
          <w:szCs w:val="21"/>
        </w:rPr>
        <w:t xml:space="preserve"> </w:t>
      </w:r>
      <w:r w:rsidRPr="00AD79C7">
        <w:rPr>
          <w:rFonts w:ascii="Abadi" w:hAnsi="Abadi"/>
          <w:b/>
          <w:bCs/>
          <w:sz w:val="21"/>
          <w:szCs w:val="21"/>
        </w:rPr>
        <w:t>titular</w:t>
      </w:r>
      <w:r w:rsidRPr="00AD79C7">
        <w:rPr>
          <w:rFonts w:ascii="Abadi" w:hAnsi="Abadi"/>
          <w:b/>
          <w:bCs/>
          <w:spacing w:val="-4"/>
          <w:sz w:val="21"/>
          <w:szCs w:val="21"/>
        </w:rPr>
        <w:t xml:space="preserve"> </w:t>
      </w:r>
      <w:r w:rsidRPr="00AD79C7">
        <w:rPr>
          <w:rFonts w:ascii="Abadi" w:hAnsi="Abadi"/>
          <w:b/>
          <w:bCs/>
          <w:sz w:val="21"/>
          <w:szCs w:val="21"/>
        </w:rPr>
        <w:t>del</w:t>
      </w:r>
      <w:r w:rsidRPr="00AD79C7">
        <w:rPr>
          <w:rFonts w:ascii="Abadi" w:hAnsi="Abadi"/>
          <w:b/>
          <w:bCs/>
          <w:spacing w:val="-1"/>
          <w:sz w:val="21"/>
          <w:szCs w:val="21"/>
        </w:rPr>
        <w:t xml:space="preserve"> </w:t>
      </w:r>
      <w:r w:rsidRPr="00AD79C7">
        <w:rPr>
          <w:rFonts w:ascii="Abadi" w:hAnsi="Abadi"/>
          <w:b/>
          <w:bCs/>
          <w:sz w:val="21"/>
          <w:szCs w:val="21"/>
        </w:rPr>
        <w:t>Ejecutivo</w:t>
      </w:r>
      <w:r w:rsidRPr="00AD79C7">
        <w:rPr>
          <w:rFonts w:ascii="Abadi" w:hAnsi="Abadi"/>
          <w:b/>
          <w:bCs/>
          <w:spacing w:val="25"/>
          <w:sz w:val="21"/>
          <w:szCs w:val="21"/>
        </w:rPr>
        <w:t xml:space="preserve"> </w:t>
      </w:r>
      <w:r w:rsidRPr="00AD79C7">
        <w:rPr>
          <w:rFonts w:ascii="Abadi" w:hAnsi="Abadi"/>
          <w:b/>
          <w:bCs/>
          <w:sz w:val="21"/>
          <w:szCs w:val="21"/>
        </w:rPr>
        <w:t>del</w:t>
      </w:r>
      <w:r w:rsidRPr="00AD79C7">
        <w:rPr>
          <w:rFonts w:ascii="Abadi" w:hAnsi="Abadi"/>
          <w:b/>
          <w:bCs/>
          <w:spacing w:val="24"/>
          <w:sz w:val="21"/>
          <w:szCs w:val="21"/>
        </w:rPr>
        <w:t xml:space="preserve"> </w:t>
      </w:r>
      <w:r w:rsidRPr="00AD79C7">
        <w:rPr>
          <w:rFonts w:ascii="Abadi" w:hAnsi="Abadi"/>
          <w:b/>
          <w:bCs/>
          <w:sz w:val="21"/>
          <w:szCs w:val="21"/>
        </w:rPr>
        <w:t>Estado</w:t>
      </w:r>
      <w:r w:rsidRPr="00AD79C7">
        <w:rPr>
          <w:rFonts w:ascii="Abadi" w:hAnsi="Abadi"/>
          <w:b/>
          <w:bCs/>
          <w:spacing w:val="25"/>
          <w:sz w:val="21"/>
          <w:szCs w:val="21"/>
        </w:rPr>
        <w:t xml:space="preserve"> </w:t>
      </w:r>
      <w:r w:rsidRPr="00AD79C7">
        <w:rPr>
          <w:rFonts w:ascii="Abadi" w:hAnsi="Abadi"/>
          <w:b/>
          <w:bCs/>
          <w:sz w:val="21"/>
          <w:szCs w:val="21"/>
        </w:rPr>
        <w:t>de</w:t>
      </w:r>
      <w:r w:rsidRPr="00AD79C7">
        <w:rPr>
          <w:rFonts w:ascii="Abadi" w:hAnsi="Abadi"/>
          <w:b/>
          <w:bCs/>
          <w:spacing w:val="25"/>
          <w:sz w:val="21"/>
          <w:szCs w:val="21"/>
        </w:rPr>
        <w:t xml:space="preserve"> </w:t>
      </w:r>
      <w:r w:rsidRPr="00AD79C7">
        <w:rPr>
          <w:rFonts w:ascii="Abadi" w:hAnsi="Abadi"/>
          <w:b/>
          <w:bCs/>
          <w:sz w:val="21"/>
          <w:szCs w:val="21"/>
        </w:rPr>
        <w:t>Guanajuato,</w:t>
      </w:r>
      <w:r w:rsidRPr="00AD79C7">
        <w:rPr>
          <w:rFonts w:ascii="Abadi" w:hAnsi="Abadi"/>
          <w:b/>
          <w:bCs/>
          <w:spacing w:val="24"/>
          <w:sz w:val="21"/>
          <w:szCs w:val="21"/>
        </w:rPr>
        <w:t xml:space="preserve"> </w:t>
      </w:r>
      <w:r w:rsidRPr="00AD79C7">
        <w:rPr>
          <w:rFonts w:ascii="Abadi" w:hAnsi="Abadi"/>
          <w:b/>
          <w:bCs/>
          <w:sz w:val="21"/>
          <w:szCs w:val="21"/>
        </w:rPr>
        <w:t>para</w:t>
      </w:r>
      <w:r w:rsidRPr="00AD79C7">
        <w:rPr>
          <w:rFonts w:ascii="Abadi" w:hAnsi="Abadi"/>
          <w:b/>
          <w:bCs/>
          <w:spacing w:val="25"/>
          <w:sz w:val="21"/>
          <w:szCs w:val="21"/>
        </w:rPr>
        <w:t xml:space="preserve"> </w:t>
      </w:r>
      <w:r w:rsidRPr="00AD79C7">
        <w:rPr>
          <w:rFonts w:ascii="Abadi" w:hAnsi="Abadi"/>
          <w:b/>
          <w:bCs/>
          <w:sz w:val="21"/>
          <w:szCs w:val="21"/>
        </w:rPr>
        <w:t>que</w:t>
      </w:r>
      <w:r w:rsidRPr="00AD79C7">
        <w:rPr>
          <w:rFonts w:ascii="Abadi" w:hAnsi="Abadi"/>
          <w:b/>
          <w:bCs/>
          <w:spacing w:val="25"/>
          <w:sz w:val="21"/>
          <w:szCs w:val="21"/>
        </w:rPr>
        <w:t xml:space="preserve"> </w:t>
      </w:r>
      <w:r w:rsidRPr="00AD79C7">
        <w:rPr>
          <w:rFonts w:ascii="Abadi" w:hAnsi="Abadi"/>
          <w:b/>
          <w:bCs/>
          <w:sz w:val="21"/>
          <w:szCs w:val="21"/>
        </w:rPr>
        <w:t>implemente</w:t>
      </w:r>
      <w:r w:rsidRPr="00AD79C7">
        <w:rPr>
          <w:rFonts w:ascii="Abadi" w:hAnsi="Abadi"/>
          <w:b/>
          <w:bCs/>
          <w:spacing w:val="25"/>
          <w:sz w:val="21"/>
          <w:szCs w:val="21"/>
        </w:rPr>
        <w:t xml:space="preserve"> </w:t>
      </w:r>
      <w:r w:rsidRPr="00AD79C7">
        <w:rPr>
          <w:rFonts w:ascii="Abadi" w:hAnsi="Abadi"/>
          <w:b/>
          <w:bCs/>
          <w:sz w:val="21"/>
          <w:szCs w:val="21"/>
        </w:rPr>
        <w:t>las</w:t>
      </w:r>
      <w:r w:rsidRPr="00AD79C7">
        <w:rPr>
          <w:rFonts w:ascii="Abadi" w:hAnsi="Abadi"/>
          <w:b/>
          <w:bCs/>
          <w:spacing w:val="25"/>
          <w:sz w:val="21"/>
          <w:szCs w:val="21"/>
        </w:rPr>
        <w:t xml:space="preserve"> </w:t>
      </w:r>
      <w:r w:rsidRPr="00AD79C7">
        <w:rPr>
          <w:rFonts w:ascii="Abadi" w:hAnsi="Abadi"/>
          <w:b/>
          <w:bCs/>
          <w:sz w:val="21"/>
          <w:szCs w:val="21"/>
        </w:rPr>
        <w:t>estrategias</w:t>
      </w:r>
      <w:r w:rsidRPr="00AD79C7">
        <w:rPr>
          <w:rFonts w:ascii="Abadi" w:hAnsi="Abadi"/>
          <w:b/>
          <w:bCs/>
          <w:spacing w:val="-1"/>
          <w:sz w:val="21"/>
          <w:szCs w:val="21"/>
        </w:rPr>
        <w:t xml:space="preserve"> </w:t>
      </w:r>
      <w:r w:rsidRPr="00AD79C7">
        <w:rPr>
          <w:rFonts w:ascii="Abadi" w:hAnsi="Abadi"/>
          <w:b/>
          <w:bCs/>
          <w:sz w:val="21"/>
          <w:szCs w:val="21"/>
        </w:rPr>
        <w:t>necesarias</w:t>
      </w:r>
      <w:r w:rsidRPr="00AD79C7">
        <w:rPr>
          <w:rFonts w:ascii="Abadi" w:hAnsi="Abadi"/>
          <w:b/>
          <w:bCs/>
          <w:spacing w:val="61"/>
          <w:sz w:val="21"/>
          <w:szCs w:val="21"/>
        </w:rPr>
        <w:t xml:space="preserve"> </w:t>
      </w:r>
      <w:r w:rsidRPr="00AD79C7">
        <w:rPr>
          <w:rFonts w:ascii="Abadi" w:hAnsi="Abadi"/>
          <w:b/>
          <w:bCs/>
          <w:sz w:val="21"/>
          <w:szCs w:val="21"/>
        </w:rPr>
        <w:t>y</w:t>
      </w:r>
      <w:r w:rsidRPr="00AD79C7">
        <w:rPr>
          <w:rFonts w:ascii="Abadi" w:hAnsi="Abadi"/>
          <w:b/>
          <w:bCs/>
          <w:spacing w:val="61"/>
          <w:sz w:val="21"/>
          <w:szCs w:val="21"/>
        </w:rPr>
        <w:t xml:space="preserve"> </w:t>
      </w:r>
      <w:r w:rsidRPr="00AD79C7">
        <w:rPr>
          <w:rFonts w:ascii="Abadi" w:hAnsi="Abadi"/>
          <w:b/>
          <w:bCs/>
          <w:sz w:val="21"/>
          <w:szCs w:val="21"/>
        </w:rPr>
        <w:t>establezca</w:t>
      </w:r>
      <w:r w:rsidRPr="00AD79C7">
        <w:rPr>
          <w:rFonts w:ascii="Abadi" w:hAnsi="Abadi"/>
          <w:b/>
          <w:bCs/>
          <w:spacing w:val="61"/>
          <w:sz w:val="21"/>
          <w:szCs w:val="21"/>
        </w:rPr>
        <w:t xml:space="preserve"> </w:t>
      </w:r>
      <w:r w:rsidRPr="00AD79C7">
        <w:rPr>
          <w:rFonts w:ascii="Abadi" w:hAnsi="Abadi"/>
          <w:b/>
          <w:bCs/>
          <w:sz w:val="21"/>
          <w:szCs w:val="21"/>
        </w:rPr>
        <w:t>las</w:t>
      </w:r>
      <w:r w:rsidRPr="00AD79C7">
        <w:rPr>
          <w:rFonts w:ascii="Abadi" w:hAnsi="Abadi"/>
          <w:b/>
          <w:bCs/>
          <w:spacing w:val="61"/>
          <w:sz w:val="21"/>
          <w:szCs w:val="21"/>
        </w:rPr>
        <w:t xml:space="preserve"> </w:t>
      </w:r>
      <w:r w:rsidRPr="00AD79C7">
        <w:rPr>
          <w:rFonts w:ascii="Abadi" w:hAnsi="Abadi"/>
          <w:b/>
          <w:bCs/>
          <w:sz w:val="21"/>
          <w:szCs w:val="21"/>
        </w:rPr>
        <w:t>políticas</w:t>
      </w:r>
      <w:r w:rsidRPr="00AD79C7">
        <w:rPr>
          <w:rFonts w:ascii="Abadi" w:hAnsi="Abadi"/>
          <w:b/>
          <w:bCs/>
          <w:spacing w:val="61"/>
          <w:sz w:val="21"/>
          <w:szCs w:val="21"/>
        </w:rPr>
        <w:t xml:space="preserve"> </w:t>
      </w:r>
      <w:r w:rsidRPr="00AD79C7">
        <w:rPr>
          <w:rFonts w:ascii="Abadi" w:hAnsi="Abadi"/>
          <w:b/>
          <w:bCs/>
          <w:sz w:val="21"/>
          <w:szCs w:val="21"/>
        </w:rPr>
        <w:t>públicas</w:t>
      </w:r>
      <w:r w:rsidRPr="00AD79C7">
        <w:rPr>
          <w:rFonts w:ascii="Abadi" w:hAnsi="Abadi"/>
          <w:b/>
          <w:bCs/>
          <w:spacing w:val="61"/>
          <w:sz w:val="21"/>
          <w:szCs w:val="21"/>
        </w:rPr>
        <w:t xml:space="preserve"> </w:t>
      </w:r>
      <w:r w:rsidRPr="00AD79C7">
        <w:rPr>
          <w:rFonts w:ascii="Abadi" w:hAnsi="Abadi"/>
          <w:b/>
          <w:bCs/>
          <w:sz w:val="21"/>
          <w:szCs w:val="21"/>
        </w:rPr>
        <w:t>sociales</w:t>
      </w:r>
      <w:r w:rsidRPr="00AD79C7">
        <w:rPr>
          <w:rFonts w:ascii="Abadi" w:hAnsi="Abadi"/>
          <w:b/>
          <w:bCs/>
          <w:spacing w:val="61"/>
          <w:sz w:val="21"/>
          <w:szCs w:val="21"/>
        </w:rPr>
        <w:t xml:space="preserve"> </w:t>
      </w:r>
      <w:r w:rsidRPr="00AD79C7">
        <w:rPr>
          <w:rFonts w:ascii="Abadi" w:hAnsi="Abadi"/>
          <w:b/>
          <w:bCs/>
          <w:sz w:val="21"/>
          <w:szCs w:val="21"/>
        </w:rPr>
        <w:t>y</w:t>
      </w:r>
      <w:r w:rsidRPr="00AD79C7">
        <w:rPr>
          <w:rFonts w:ascii="Abadi" w:hAnsi="Abadi"/>
          <w:b/>
          <w:bCs/>
          <w:spacing w:val="61"/>
          <w:sz w:val="21"/>
          <w:szCs w:val="21"/>
        </w:rPr>
        <w:t xml:space="preserve"> </w:t>
      </w:r>
      <w:r w:rsidRPr="00AD79C7">
        <w:rPr>
          <w:rFonts w:ascii="Abadi" w:hAnsi="Abadi"/>
          <w:b/>
          <w:bCs/>
          <w:sz w:val="21"/>
          <w:szCs w:val="21"/>
        </w:rPr>
        <w:t>de</w:t>
      </w:r>
      <w:r w:rsidRPr="00AD79C7">
        <w:rPr>
          <w:rFonts w:ascii="Abadi" w:hAnsi="Abadi"/>
          <w:b/>
          <w:bCs/>
          <w:spacing w:val="61"/>
          <w:sz w:val="21"/>
          <w:szCs w:val="21"/>
        </w:rPr>
        <w:t xml:space="preserve"> </w:t>
      </w:r>
      <w:r w:rsidRPr="00AD79C7">
        <w:rPr>
          <w:rFonts w:ascii="Abadi" w:hAnsi="Abadi"/>
          <w:b/>
          <w:bCs/>
          <w:sz w:val="21"/>
          <w:szCs w:val="21"/>
        </w:rPr>
        <w:t>salud,</w:t>
      </w:r>
      <w:r w:rsidRPr="00AD79C7">
        <w:rPr>
          <w:rFonts w:ascii="Abadi" w:hAnsi="Abadi"/>
          <w:b/>
          <w:bCs/>
          <w:spacing w:val="61"/>
          <w:sz w:val="21"/>
          <w:szCs w:val="21"/>
        </w:rPr>
        <w:t xml:space="preserve"> </w:t>
      </w:r>
      <w:r w:rsidRPr="00AD79C7">
        <w:rPr>
          <w:rFonts w:ascii="Abadi" w:hAnsi="Abadi"/>
          <w:b/>
          <w:bCs/>
          <w:sz w:val="21"/>
          <w:szCs w:val="21"/>
        </w:rPr>
        <w:t>que</w:t>
      </w:r>
      <w:r w:rsidRPr="00AD79C7">
        <w:rPr>
          <w:rFonts w:ascii="Abadi" w:hAnsi="Abadi"/>
          <w:b/>
          <w:bCs/>
          <w:spacing w:val="-1"/>
          <w:sz w:val="21"/>
          <w:szCs w:val="21"/>
        </w:rPr>
        <w:t xml:space="preserve"> </w:t>
      </w:r>
      <w:r w:rsidRPr="00AD79C7">
        <w:rPr>
          <w:rFonts w:ascii="Abadi" w:hAnsi="Abadi"/>
          <w:b/>
          <w:bCs/>
          <w:sz w:val="21"/>
          <w:szCs w:val="21"/>
        </w:rPr>
        <w:t>atiendan</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manera</w:t>
      </w:r>
      <w:r w:rsidRPr="00AD79C7">
        <w:rPr>
          <w:rFonts w:ascii="Abadi" w:hAnsi="Abadi"/>
          <w:b/>
          <w:bCs/>
          <w:spacing w:val="10"/>
          <w:sz w:val="21"/>
          <w:szCs w:val="21"/>
        </w:rPr>
        <w:t xml:space="preserve"> </w:t>
      </w:r>
      <w:r w:rsidRPr="00AD79C7">
        <w:rPr>
          <w:rFonts w:ascii="Abadi" w:hAnsi="Abadi"/>
          <w:b/>
          <w:bCs/>
          <w:sz w:val="21"/>
          <w:szCs w:val="21"/>
        </w:rPr>
        <w:t>urgente</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1"/>
          <w:sz w:val="21"/>
          <w:szCs w:val="21"/>
        </w:rPr>
        <w:t xml:space="preserve"> </w:t>
      </w:r>
      <w:r w:rsidRPr="00AD79C7">
        <w:rPr>
          <w:rFonts w:ascii="Abadi" w:hAnsi="Abadi"/>
          <w:b/>
          <w:bCs/>
          <w:sz w:val="21"/>
          <w:szCs w:val="21"/>
        </w:rPr>
        <w:t>prioritaria</w:t>
      </w:r>
      <w:r w:rsidRPr="00AD79C7">
        <w:rPr>
          <w:rFonts w:ascii="Abadi" w:hAnsi="Abadi"/>
          <w:b/>
          <w:bCs/>
          <w:spacing w:val="10"/>
          <w:sz w:val="21"/>
          <w:szCs w:val="21"/>
        </w:rPr>
        <w:t xml:space="preserve"> </w:t>
      </w:r>
      <w:r w:rsidRPr="00AD79C7">
        <w:rPr>
          <w:rFonts w:ascii="Abadi" w:hAnsi="Abadi"/>
          <w:b/>
          <w:bCs/>
          <w:sz w:val="21"/>
          <w:szCs w:val="21"/>
        </w:rPr>
        <w:t>a</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población</w:t>
      </w:r>
      <w:r w:rsidRPr="00AD79C7">
        <w:rPr>
          <w:rFonts w:ascii="Abadi" w:hAnsi="Abadi"/>
          <w:b/>
          <w:bCs/>
          <w:spacing w:val="10"/>
          <w:sz w:val="21"/>
          <w:szCs w:val="21"/>
        </w:rPr>
        <w:t xml:space="preserve"> </w:t>
      </w:r>
      <w:r w:rsidRPr="00AD79C7">
        <w:rPr>
          <w:rFonts w:ascii="Abadi" w:hAnsi="Abadi"/>
          <w:b/>
          <w:bCs/>
          <w:sz w:val="21"/>
          <w:szCs w:val="21"/>
        </w:rPr>
        <w:t>guanajuatense</w:t>
      </w:r>
      <w:r w:rsidRPr="00AD79C7">
        <w:rPr>
          <w:rFonts w:ascii="Abadi" w:hAnsi="Abadi"/>
          <w:b/>
          <w:bCs/>
          <w:spacing w:val="10"/>
          <w:sz w:val="21"/>
          <w:szCs w:val="21"/>
        </w:rPr>
        <w:t xml:space="preserve"> </w:t>
      </w:r>
      <w:r w:rsidRPr="00AD79C7">
        <w:rPr>
          <w:rFonts w:ascii="Abadi" w:hAnsi="Abadi"/>
          <w:b/>
          <w:bCs/>
          <w:sz w:val="21"/>
          <w:szCs w:val="21"/>
        </w:rPr>
        <w:t>que</w:t>
      </w:r>
      <w:r w:rsidRPr="00AD79C7">
        <w:rPr>
          <w:rFonts w:ascii="Abadi" w:hAnsi="Abadi"/>
          <w:b/>
          <w:bCs/>
          <w:spacing w:val="-1"/>
          <w:sz w:val="21"/>
          <w:szCs w:val="21"/>
        </w:rPr>
        <w:t xml:space="preserve"> </w:t>
      </w:r>
      <w:r w:rsidRPr="00AD79C7">
        <w:rPr>
          <w:rFonts w:ascii="Abadi" w:hAnsi="Abadi"/>
          <w:b/>
          <w:bCs/>
          <w:sz w:val="21"/>
          <w:szCs w:val="21"/>
        </w:rPr>
        <w:t>tenga</w:t>
      </w:r>
      <w:r w:rsidRPr="00AD79C7">
        <w:rPr>
          <w:rFonts w:ascii="Abadi" w:hAnsi="Abadi"/>
          <w:b/>
          <w:bCs/>
          <w:spacing w:val="51"/>
          <w:sz w:val="21"/>
          <w:szCs w:val="21"/>
        </w:rPr>
        <w:t xml:space="preserve"> </w:t>
      </w:r>
      <w:r w:rsidRPr="00AD79C7">
        <w:rPr>
          <w:rFonts w:ascii="Abadi" w:hAnsi="Abadi"/>
          <w:b/>
          <w:bCs/>
          <w:sz w:val="21"/>
          <w:szCs w:val="21"/>
        </w:rPr>
        <w:t>alguna</w:t>
      </w:r>
      <w:r w:rsidRPr="00AD79C7">
        <w:rPr>
          <w:rFonts w:ascii="Abadi" w:hAnsi="Abadi"/>
          <w:b/>
          <w:bCs/>
          <w:spacing w:val="51"/>
          <w:sz w:val="21"/>
          <w:szCs w:val="21"/>
        </w:rPr>
        <w:t xml:space="preserve"> </w:t>
      </w:r>
      <w:r w:rsidRPr="00AD79C7">
        <w:rPr>
          <w:rFonts w:ascii="Abadi" w:hAnsi="Abadi"/>
          <w:b/>
          <w:bCs/>
          <w:sz w:val="21"/>
          <w:szCs w:val="21"/>
        </w:rPr>
        <w:t>adicción</w:t>
      </w:r>
      <w:r w:rsidRPr="00AD79C7">
        <w:rPr>
          <w:rFonts w:ascii="Abadi" w:hAnsi="Abadi"/>
          <w:b/>
          <w:bCs/>
          <w:spacing w:val="51"/>
          <w:sz w:val="21"/>
          <w:szCs w:val="21"/>
        </w:rPr>
        <w:t xml:space="preserve"> </w:t>
      </w:r>
      <w:r w:rsidRPr="00AD79C7">
        <w:rPr>
          <w:rFonts w:ascii="Abadi" w:hAnsi="Abadi"/>
          <w:b/>
          <w:bCs/>
          <w:sz w:val="21"/>
          <w:szCs w:val="21"/>
        </w:rPr>
        <w:t>a</w:t>
      </w:r>
      <w:r w:rsidRPr="00AD79C7">
        <w:rPr>
          <w:rFonts w:ascii="Abadi" w:hAnsi="Abadi"/>
          <w:b/>
          <w:bCs/>
          <w:spacing w:val="51"/>
          <w:sz w:val="21"/>
          <w:szCs w:val="21"/>
        </w:rPr>
        <w:t xml:space="preserve"> </w:t>
      </w:r>
      <w:r w:rsidRPr="00AD79C7">
        <w:rPr>
          <w:rFonts w:ascii="Abadi" w:hAnsi="Abadi"/>
          <w:b/>
          <w:bCs/>
          <w:sz w:val="21"/>
          <w:szCs w:val="21"/>
        </w:rPr>
        <w:t>drogas</w:t>
      </w:r>
      <w:r w:rsidRPr="00AD79C7">
        <w:rPr>
          <w:rFonts w:ascii="Abadi" w:hAnsi="Abadi"/>
          <w:b/>
          <w:bCs/>
          <w:spacing w:val="51"/>
          <w:sz w:val="21"/>
          <w:szCs w:val="21"/>
        </w:rPr>
        <w:t xml:space="preserve"> </w:t>
      </w:r>
      <w:r w:rsidRPr="00AD79C7">
        <w:rPr>
          <w:rFonts w:ascii="Abadi" w:hAnsi="Abadi"/>
          <w:b/>
          <w:bCs/>
          <w:sz w:val="21"/>
          <w:szCs w:val="21"/>
        </w:rPr>
        <w:t>ilícitas</w:t>
      </w:r>
      <w:r w:rsidRPr="00AD79C7">
        <w:rPr>
          <w:rFonts w:ascii="Abadi" w:hAnsi="Abadi"/>
          <w:b/>
          <w:bCs/>
          <w:spacing w:val="51"/>
          <w:sz w:val="21"/>
          <w:szCs w:val="21"/>
        </w:rPr>
        <w:t xml:space="preserve"> </w:t>
      </w:r>
      <w:r w:rsidRPr="00AD79C7">
        <w:rPr>
          <w:rFonts w:ascii="Abadi" w:hAnsi="Abadi"/>
          <w:b/>
          <w:bCs/>
          <w:sz w:val="21"/>
          <w:szCs w:val="21"/>
        </w:rPr>
        <w:t>y,</w:t>
      </w:r>
      <w:r w:rsidRPr="00AD79C7">
        <w:rPr>
          <w:rFonts w:ascii="Abadi" w:hAnsi="Abadi"/>
          <w:b/>
          <w:bCs/>
          <w:spacing w:val="50"/>
          <w:sz w:val="21"/>
          <w:szCs w:val="21"/>
        </w:rPr>
        <w:t xml:space="preserve"> </w:t>
      </w:r>
      <w:r w:rsidRPr="00AD79C7">
        <w:rPr>
          <w:rFonts w:ascii="Abadi" w:hAnsi="Abadi"/>
          <w:b/>
          <w:bCs/>
          <w:sz w:val="21"/>
          <w:szCs w:val="21"/>
        </w:rPr>
        <w:t>en</w:t>
      </w:r>
      <w:r w:rsidRPr="00AD79C7">
        <w:rPr>
          <w:rFonts w:ascii="Abadi" w:hAnsi="Abadi"/>
          <w:b/>
          <w:bCs/>
          <w:spacing w:val="51"/>
          <w:sz w:val="21"/>
          <w:szCs w:val="21"/>
        </w:rPr>
        <w:t xml:space="preserve"> </w:t>
      </w:r>
      <w:r w:rsidRPr="00AD79C7">
        <w:rPr>
          <w:rFonts w:ascii="Abadi" w:hAnsi="Abadi"/>
          <w:b/>
          <w:bCs/>
          <w:sz w:val="21"/>
          <w:szCs w:val="21"/>
        </w:rPr>
        <w:t>su</w:t>
      </w:r>
      <w:r w:rsidRPr="00AD79C7">
        <w:rPr>
          <w:rFonts w:ascii="Abadi" w:hAnsi="Abadi"/>
          <w:b/>
          <w:bCs/>
          <w:spacing w:val="51"/>
          <w:sz w:val="21"/>
          <w:szCs w:val="21"/>
        </w:rPr>
        <w:t xml:space="preserve"> </w:t>
      </w:r>
      <w:r w:rsidRPr="00AD79C7">
        <w:rPr>
          <w:rFonts w:ascii="Abadi" w:hAnsi="Abadi"/>
          <w:b/>
          <w:bCs/>
          <w:sz w:val="21"/>
          <w:szCs w:val="21"/>
        </w:rPr>
        <w:t>caso,</w:t>
      </w:r>
      <w:r w:rsidRPr="00AD79C7">
        <w:rPr>
          <w:rFonts w:ascii="Abadi" w:hAnsi="Abadi"/>
          <w:b/>
          <w:bCs/>
          <w:spacing w:val="50"/>
          <w:sz w:val="21"/>
          <w:szCs w:val="21"/>
        </w:rPr>
        <w:t xml:space="preserve"> </w:t>
      </w:r>
      <w:r w:rsidRPr="00AD79C7">
        <w:rPr>
          <w:rFonts w:ascii="Abadi" w:hAnsi="Abadi"/>
          <w:b/>
          <w:bCs/>
          <w:sz w:val="21"/>
          <w:szCs w:val="21"/>
        </w:rPr>
        <w:t>aprobación</w:t>
      </w:r>
      <w:r w:rsidRPr="00AD79C7">
        <w:rPr>
          <w:rFonts w:ascii="Abadi" w:hAnsi="Abadi"/>
          <w:b/>
          <w:bCs/>
          <w:spacing w:val="51"/>
          <w:sz w:val="21"/>
          <w:szCs w:val="21"/>
        </w:rPr>
        <w:t xml:space="preserve"> </w:t>
      </w:r>
      <w:r w:rsidRPr="00AD79C7">
        <w:rPr>
          <w:rFonts w:ascii="Abadi" w:hAnsi="Abadi"/>
          <w:b/>
          <w:bCs/>
          <w:sz w:val="21"/>
          <w:szCs w:val="21"/>
        </w:rPr>
        <w:t>de</w:t>
      </w:r>
      <w:r w:rsidRPr="00AD79C7">
        <w:rPr>
          <w:rFonts w:ascii="Abadi" w:hAnsi="Abadi"/>
          <w:b/>
          <w:bCs/>
          <w:spacing w:val="51"/>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misma.</w:t>
      </w:r>
    </w:p>
    <w:p w14:paraId="34FA68FA" w14:textId="77777777" w:rsidR="00763692" w:rsidRDefault="00763692" w:rsidP="006B00FD">
      <w:pPr>
        <w:pStyle w:val="Prrafodelista"/>
        <w:tabs>
          <w:tab w:val="left" w:pos="845"/>
        </w:tabs>
        <w:kinsoku w:val="0"/>
        <w:overflowPunct w:val="0"/>
        <w:autoSpaceDE w:val="0"/>
        <w:autoSpaceDN w:val="0"/>
        <w:adjustRightInd w:val="0"/>
        <w:ind w:left="720" w:right="566"/>
        <w:jc w:val="both"/>
        <w:rPr>
          <w:rFonts w:ascii="Abadi" w:hAnsi="Abadi"/>
          <w:b/>
          <w:bCs/>
          <w:sz w:val="21"/>
          <w:szCs w:val="21"/>
        </w:rPr>
      </w:pPr>
    </w:p>
    <w:p w14:paraId="09F1A085" w14:textId="77777777" w:rsidR="00763692" w:rsidRPr="00AD79C7" w:rsidRDefault="00763692"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Presentación</w:t>
      </w:r>
      <w:r w:rsidRPr="00AD79C7">
        <w:rPr>
          <w:rFonts w:ascii="Abadi" w:hAnsi="Abadi"/>
          <w:b/>
          <w:bCs/>
          <w:spacing w:val="40"/>
          <w:sz w:val="21"/>
          <w:szCs w:val="21"/>
        </w:rPr>
        <w:t xml:space="preserve"> </w:t>
      </w:r>
      <w:r w:rsidRPr="00AD79C7">
        <w:rPr>
          <w:rFonts w:ascii="Abadi" w:hAnsi="Abadi"/>
          <w:b/>
          <w:bCs/>
          <w:sz w:val="21"/>
          <w:szCs w:val="21"/>
        </w:rPr>
        <w:t>de</w:t>
      </w:r>
      <w:r w:rsidRPr="00AD79C7">
        <w:rPr>
          <w:rFonts w:ascii="Abadi" w:hAnsi="Abadi"/>
          <w:b/>
          <w:bCs/>
          <w:spacing w:val="40"/>
          <w:sz w:val="21"/>
          <w:szCs w:val="21"/>
        </w:rPr>
        <w:t xml:space="preserve"> </w:t>
      </w:r>
      <w:r w:rsidRPr="00AD79C7">
        <w:rPr>
          <w:rFonts w:ascii="Abadi" w:hAnsi="Abadi"/>
          <w:b/>
          <w:bCs/>
          <w:sz w:val="21"/>
          <w:szCs w:val="21"/>
        </w:rPr>
        <w:t>la</w:t>
      </w:r>
      <w:r w:rsidRPr="00AD79C7">
        <w:rPr>
          <w:rFonts w:ascii="Abadi" w:hAnsi="Abadi"/>
          <w:b/>
          <w:bCs/>
          <w:spacing w:val="40"/>
          <w:sz w:val="21"/>
          <w:szCs w:val="21"/>
        </w:rPr>
        <w:t xml:space="preserve"> </w:t>
      </w:r>
      <w:r w:rsidRPr="00AD79C7">
        <w:rPr>
          <w:rFonts w:ascii="Abadi" w:hAnsi="Abadi"/>
          <w:b/>
          <w:bCs/>
          <w:sz w:val="21"/>
          <w:szCs w:val="21"/>
        </w:rPr>
        <w:t>propuesta</w:t>
      </w:r>
      <w:r w:rsidRPr="00AD79C7">
        <w:rPr>
          <w:rFonts w:ascii="Abadi" w:hAnsi="Abadi"/>
          <w:b/>
          <w:bCs/>
          <w:spacing w:val="40"/>
          <w:sz w:val="21"/>
          <w:szCs w:val="21"/>
        </w:rPr>
        <w:t xml:space="preserve"> </w:t>
      </w:r>
      <w:r w:rsidRPr="00AD79C7">
        <w:rPr>
          <w:rFonts w:ascii="Abadi" w:hAnsi="Abadi"/>
          <w:b/>
          <w:bCs/>
          <w:sz w:val="21"/>
          <w:szCs w:val="21"/>
        </w:rPr>
        <w:t>formulada</w:t>
      </w:r>
      <w:r w:rsidRPr="00AD79C7">
        <w:rPr>
          <w:rFonts w:ascii="Abadi" w:hAnsi="Abadi"/>
          <w:b/>
          <w:bCs/>
          <w:spacing w:val="40"/>
          <w:sz w:val="21"/>
          <w:szCs w:val="21"/>
        </w:rPr>
        <w:t xml:space="preserve"> </w:t>
      </w:r>
      <w:r w:rsidRPr="00AD79C7">
        <w:rPr>
          <w:rFonts w:ascii="Abadi" w:hAnsi="Abadi"/>
          <w:b/>
          <w:bCs/>
          <w:sz w:val="21"/>
          <w:szCs w:val="21"/>
        </w:rPr>
        <w:t>por</w:t>
      </w:r>
      <w:r w:rsidRPr="00AD79C7">
        <w:rPr>
          <w:rFonts w:ascii="Abadi" w:hAnsi="Abadi"/>
          <w:b/>
          <w:bCs/>
          <w:spacing w:val="40"/>
          <w:sz w:val="21"/>
          <w:szCs w:val="21"/>
        </w:rPr>
        <w:t xml:space="preserve"> </w:t>
      </w:r>
      <w:r w:rsidRPr="00AD79C7">
        <w:rPr>
          <w:rFonts w:ascii="Abadi" w:hAnsi="Abadi"/>
          <w:b/>
          <w:bCs/>
          <w:sz w:val="21"/>
          <w:szCs w:val="21"/>
        </w:rPr>
        <w:t>la</w:t>
      </w:r>
      <w:r w:rsidRPr="00AD79C7">
        <w:rPr>
          <w:rFonts w:ascii="Abadi" w:hAnsi="Abadi"/>
          <w:b/>
          <w:bCs/>
          <w:spacing w:val="40"/>
          <w:sz w:val="21"/>
          <w:szCs w:val="21"/>
        </w:rPr>
        <w:t xml:space="preserve"> </w:t>
      </w:r>
      <w:r w:rsidRPr="00AD79C7">
        <w:rPr>
          <w:rFonts w:ascii="Abadi" w:hAnsi="Abadi"/>
          <w:b/>
          <w:bCs/>
          <w:sz w:val="21"/>
          <w:szCs w:val="21"/>
        </w:rPr>
        <w:t>diputada</w:t>
      </w:r>
      <w:r w:rsidRPr="00AD79C7">
        <w:rPr>
          <w:rFonts w:ascii="Abadi" w:hAnsi="Abadi"/>
          <w:b/>
          <w:bCs/>
          <w:spacing w:val="40"/>
          <w:sz w:val="21"/>
          <w:szCs w:val="21"/>
        </w:rPr>
        <w:t xml:space="preserve"> </w:t>
      </w:r>
      <w:r w:rsidRPr="00AD79C7">
        <w:rPr>
          <w:rFonts w:ascii="Abadi" w:hAnsi="Abadi"/>
          <w:b/>
          <w:bCs/>
          <w:sz w:val="21"/>
          <w:szCs w:val="21"/>
        </w:rPr>
        <w:t>y</w:t>
      </w:r>
      <w:r w:rsidRPr="00AD79C7">
        <w:rPr>
          <w:rFonts w:ascii="Abadi" w:hAnsi="Abadi"/>
          <w:b/>
          <w:bCs/>
          <w:spacing w:val="40"/>
          <w:sz w:val="21"/>
          <w:szCs w:val="21"/>
        </w:rPr>
        <w:t xml:space="preserve"> </w:t>
      </w:r>
      <w:r w:rsidRPr="00AD79C7">
        <w:rPr>
          <w:rFonts w:ascii="Abadi" w:hAnsi="Abadi"/>
          <w:b/>
          <w:bCs/>
          <w:sz w:val="21"/>
          <w:szCs w:val="21"/>
        </w:rPr>
        <w:t>los</w:t>
      </w:r>
      <w:r w:rsidRPr="00AD79C7">
        <w:rPr>
          <w:rFonts w:ascii="Abadi" w:hAnsi="Abadi"/>
          <w:b/>
          <w:bCs/>
          <w:spacing w:val="40"/>
          <w:sz w:val="21"/>
          <w:szCs w:val="21"/>
        </w:rPr>
        <w:t xml:space="preserve"> </w:t>
      </w:r>
      <w:r w:rsidRPr="00AD79C7">
        <w:rPr>
          <w:rFonts w:ascii="Abadi" w:hAnsi="Abadi"/>
          <w:b/>
          <w:bCs/>
          <w:sz w:val="21"/>
          <w:szCs w:val="21"/>
        </w:rPr>
        <w:t>diputados integrantes</w:t>
      </w:r>
      <w:r w:rsidRPr="00AD79C7">
        <w:rPr>
          <w:rFonts w:ascii="Abadi" w:hAnsi="Abadi"/>
          <w:b/>
          <w:bCs/>
          <w:spacing w:val="33"/>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la</w:t>
      </w:r>
      <w:r w:rsidRPr="00AD79C7">
        <w:rPr>
          <w:rFonts w:ascii="Abadi" w:hAnsi="Abadi"/>
          <w:b/>
          <w:bCs/>
          <w:spacing w:val="33"/>
          <w:sz w:val="21"/>
          <w:szCs w:val="21"/>
        </w:rPr>
        <w:t xml:space="preserve"> </w:t>
      </w:r>
      <w:r w:rsidRPr="00AD79C7">
        <w:rPr>
          <w:rFonts w:ascii="Abadi" w:hAnsi="Abadi"/>
          <w:b/>
          <w:bCs/>
          <w:sz w:val="21"/>
          <w:szCs w:val="21"/>
        </w:rPr>
        <w:t>Junta</w:t>
      </w:r>
      <w:r w:rsidRPr="00AD79C7">
        <w:rPr>
          <w:rFonts w:ascii="Abadi" w:hAnsi="Abadi"/>
          <w:b/>
          <w:bCs/>
          <w:spacing w:val="33"/>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Gobierno</w:t>
      </w:r>
      <w:r w:rsidRPr="00AD79C7">
        <w:rPr>
          <w:rFonts w:ascii="Abadi" w:hAnsi="Abadi"/>
          <w:b/>
          <w:bCs/>
          <w:spacing w:val="33"/>
          <w:sz w:val="21"/>
          <w:szCs w:val="21"/>
        </w:rPr>
        <w:t xml:space="preserve"> </w:t>
      </w:r>
      <w:r w:rsidRPr="00AD79C7">
        <w:rPr>
          <w:rFonts w:ascii="Abadi" w:hAnsi="Abadi"/>
          <w:b/>
          <w:bCs/>
          <w:sz w:val="21"/>
          <w:szCs w:val="21"/>
        </w:rPr>
        <w:t>y</w:t>
      </w:r>
      <w:r w:rsidRPr="00AD79C7">
        <w:rPr>
          <w:rFonts w:ascii="Abadi" w:hAnsi="Abadi"/>
          <w:b/>
          <w:bCs/>
          <w:spacing w:val="33"/>
          <w:sz w:val="21"/>
          <w:szCs w:val="21"/>
        </w:rPr>
        <w:t xml:space="preserve"> </w:t>
      </w:r>
      <w:r w:rsidRPr="00AD79C7">
        <w:rPr>
          <w:rFonts w:ascii="Abadi" w:hAnsi="Abadi"/>
          <w:b/>
          <w:bCs/>
          <w:sz w:val="21"/>
          <w:szCs w:val="21"/>
        </w:rPr>
        <w:t>Coordinación</w:t>
      </w:r>
      <w:r w:rsidRPr="00AD79C7">
        <w:rPr>
          <w:rFonts w:ascii="Abadi" w:hAnsi="Abadi"/>
          <w:b/>
          <w:bCs/>
          <w:spacing w:val="33"/>
          <w:sz w:val="21"/>
          <w:szCs w:val="21"/>
        </w:rPr>
        <w:t xml:space="preserve"> </w:t>
      </w:r>
      <w:r w:rsidRPr="00AD79C7">
        <w:rPr>
          <w:rFonts w:ascii="Abadi" w:hAnsi="Abadi"/>
          <w:b/>
          <w:bCs/>
          <w:sz w:val="21"/>
          <w:szCs w:val="21"/>
        </w:rPr>
        <w:t>Política,</w:t>
      </w:r>
      <w:r w:rsidRPr="00AD79C7">
        <w:rPr>
          <w:rFonts w:ascii="Abadi" w:hAnsi="Abadi"/>
          <w:b/>
          <w:bCs/>
          <w:spacing w:val="33"/>
          <w:sz w:val="21"/>
          <w:szCs w:val="21"/>
        </w:rPr>
        <w:t xml:space="preserve"> </w:t>
      </w:r>
      <w:r w:rsidRPr="00AD79C7">
        <w:rPr>
          <w:rFonts w:ascii="Abadi" w:hAnsi="Abadi"/>
          <w:b/>
          <w:bCs/>
          <w:sz w:val="21"/>
          <w:szCs w:val="21"/>
        </w:rPr>
        <w:t>relativa</w:t>
      </w:r>
      <w:r w:rsidRPr="00AD79C7">
        <w:rPr>
          <w:rFonts w:ascii="Abadi" w:hAnsi="Abadi"/>
          <w:b/>
          <w:bCs/>
          <w:spacing w:val="33"/>
          <w:sz w:val="21"/>
          <w:szCs w:val="21"/>
        </w:rPr>
        <w:t xml:space="preserve"> </w:t>
      </w:r>
      <w:r w:rsidRPr="00AD79C7">
        <w:rPr>
          <w:rFonts w:ascii="Abadi" w:hAnsi="Abadi"/>
          <w:b/>
          <w:bCs/>
          <w:sz w:val="21"/>
          <w:szCs w:val="21"/>
        </w:rPr>
        <w:t>a</w:t>
      </w:r>
      <w:r w:rsidRPr="00AD79C7">
        <w:rPr>
          <w:rFonts w:ascii="Abadi" w:hAnsi="Abadi"/>
          <w:b/>
          <w:bCs/>
          <w:spacing w:val="33"/>
          <w:sz w:val="21"/>
          <w:szCs w:val="21"/>
        </w:rPr>
        <w:t xml:space="preserve"> </w:t>
      </w:r>
      <w:r w:rsidRPr="00AD79C7">
        <w:rPr>
          <w:rFonts w:ascii="Abadi" w:hAnsi="Abadi"/>
          <w:b/>
          <w:bCs/>
          <w:sz w:val="21"/>
          <w:szCs w:val="21"/>
        </w:rPr>
        <w:t>la modificación</w:t>
      </w:r>
      <w:r w:rsidRPr="00AD79C7">
        <w:rPr>
          <w:rFonts w:ascii="Abadi" w:hAnsi="Abadi"/>
          <w:b/>
          <w:bCs/>
          <w:spacing w:val="-3"/>
          <w:sz w:val="21"/>
          <w:szCs w:val="21"/>
        </w:rPr>
        <w:t xml:space="preserve"> </w:t>
      </w:r>
      <w:r w:rsidRPr="00AD79C7">
        <w:rPr>
          <w:rFonts w:ascii="Abadi" w:hAnsi="Abadi"/>
          <w:b/>
          <w:bCs/>
          <w:sz w:val="21"/>
          <w:szCs w:val="21"/>
        </w:rPr>
        <w:t>de</w:t>
      </w:r>
      <w:r w:rsidRPr="00AD79C7">
        <w:rPr>
          <w:rFonts w:ascii="Abadi" w:hAnsi="Abadi"/>
          <w:b/>
          <w:bCs/>
          <w:spacing w:val="-3"/>
          <w:sz w:val="21"/>
          <w:szCs w:val="21"/>
        </w:rPr>
        <w:t xml:space="preserve"> </w:t>
      </w:r>
      <w:r w:rsidRPr="00AD79C7">
        <w:rPr>
          <w:rFonts w:ascii="Abadi" w:hAnsi="Abadi"/>
          <w:b/>
          <w:bCs/>
          <w:sz w:val="21"/>
          <w:szCs w:val="21"/>
        </w:rPr>
        <w:t>la</w:t>
      </w:r>
      <w:r w:rsidRPr="00AD79C7">
        <w:rPr>
          <w:rFonts w:ascii="Abadi" w:hAnsi="Abadi"/>
          <w:b/>
          <w:bCs/>
          <w:spacing w:val="-3"/>
          <w:sz w:val="21"/>
          <w:szCs w:val="21"/>
        </w:rPr>
        <w:t xml:space="preserve"> </w:t>
      </w:r>
      <w:r w:rsidRPr="00AD79C7">
        <w:rPr>
          <w:rFonts w:ascii="Abadi" w:hAnsi="Abadi"/>
          <w:b/>
          <w:bCs/>
          <w:sz w:val="21"/>
          <w:szCs w:val="21"/>
        </w:rPr>
        <w:t>integración</w:t>
      </w:r>
      <w:r w:rsidRPr="00AD79C7">
        <w:rPr>
          <w:rFonts w:ascii="Abadi" w:hAnsi="Abadi"/>
          <w:b/>
          <w:bCs/>
          <w:spacing w:val="-3"/>
          <w:sz w:val="21"/>
          <w:szCs w:val="21"/>
        </w:rPr>
        <w:t xml:space="preserve"> </w:t>
      </w:r>
      <w:r w:rsidRPr="00AD79C7">
        <w:rPr>
          <w:rFonts w:ascii="Abadi" w:hAnsi="Abadi"/>
          <w:b/>
          <w:bCs/>
          <w:sz w:val="21"/>
          <w:szCs w:val="21"/>
        </w:rPr>
        <w:t>de</w:t>
      </w:r>
      <w:r w:rsidRPr="00AD79C7">
        <w:rPr>
          <w:rFonts w:ascii="Abadi" w:hAnsi="Abadi"/>
          <w:b/>
          <w:bCs/>
          <w:spacing w:val="-3"/>
          <w:sz w:val="21"/>
          <w:szCs w:val="21"/>
        </w:rPr>
        <w:t xml:space="preserve"> </w:t>
      </w:r>
      <w:r w:rsidRPr="00AD79C7">
        <w:rPr>
          <w:rFonts w:ascii="Abadi" w:hAnsi="Abadi"/>
          <w:b/>
          <w:bCs/>
          <w:sz w:val="21"/>
          <w:szCs w:val="21"/>
        </w:rPr>
        <w:t>la</w:t>
      </w:r>
      <w:r w:rsidRPr="00AD79C7">
        <w:rPr>
          <w:rFonts w:ascii="Abadi" w:hAnsi="Abadi"/>
          <w:b/>
          <w:bCs/>
          <w:spacing w:val="-3"/>
          <w:sz w:val="21"/>
          <w:szCs w:val="21"/>
        </w:rPr>
        <w:t xml:space="preserve"> </w:t>
      </w:r>
      <w:r w:rsidRPr="00AD79C7">
        <w:rPr>
          <w:rFonts w:ascii="Abadi" w:hAnsi="Abadi"/>
          <w:b/>
          <w:bCs/>
          <w:sz w:val="21"/>
          <w:szCs w:val="21"/>
        </w:rPr>
        <w:t>Comisión</w:t>
      </w:r>
      <w:r w:rsidRPr="00AD79C7">
        <w:rPr>
          <w:rFonts w:ascii="Abadi" w:hAnsi="Abadi"/>
          <w:b/>
          <w:bCs/>
          <w:spacing w:val="-3"/>
          <w:sz w:val="21"/>
          <w:szCs w:val="21"/>
        </w:rPr>
        <w:t xml:space="preserve"> </w:t>
      </w:r>
      <w:r w:rsidRPr="00AD79C7">
        <w:rPr>
          <w:rFonts w:ascii="Abadi" w:hAnsi="Abadi"/>
          <w:b/>
          <w:bCs/>
          <w:sz w:val="21"/>
          <w:szCs w:val="21"/>
        </w:rPr>
        <w:t>para</w:t>
      </w:r>
      <w:r w:rsidRPr="00AD79C7">
        <w:rPr>
          <w:rFonts w:ascii="Abadi" w:hAnsi="Abadi"/>
          <w:b/>
          <w:bCs/>
          <w:spacing w:val="-3"/>
          <w:sz w:val="21"/>
          <w:szCs w:val="21"/>
        </w:rPr>
        <w:t xml:space="preserve"> </w:t>
      </w:r>
      <w:r w:rsidRPr="00AD79C7">
        <w:rPr>
          <w:rFonts w:ascii="Abadi" w:hAnsi="Abadi"/>
          <w:b/>
          <w:bCs/>
          <w:sz w:val="21"/>
          <w:szCs w:val="21"/>
        </w:rPr>
        <w:t>la</w:t>
      </w:r>
      <w:r w:rsidRPr="00AD79C7">
        <w:rPr>
          <w:rFonts w:ascii="Abadi" w:hAnsi="Abadi"/>
          <w:b/>
          <w:bCs/>
          <w:spacing w:val="-3"/>
          <w:sz w:val="21"/>
          <w:szCs w:val="21"/>
        </w:rPr>
        <w:t xml:space="preserve"> </w:t>
      </w:r>
      <w:r w:rsidRPr="00AD79C7">
        <w:rPr>
          <w:rFonts w:ascii="Abadi" w:hAnsi="Abadi"/>
          <w:b/>
          <w:bCs/>
          <w:sz w:val="21"/>
          <w:szCs w:val="21"/>
        </w:rPr>
        <w:t>Igualdad</w:t>
      </w:r>
      <w:r w:rsidRPr="00AD79C7">
        <w:rPr>
          <w:rFonts w:ascii="Abadi" w:hAnsi="Abadi"/>
          <w:b/>
          <w:bCs/>
          <w:spacing w:val="-3"/>
          <w:sz w:val="21"/>
          <w:szCs w:val="21"/>
        </w:rPr>
        <w:t xml:space="preserve"> </w:t>
      </w:r>
      <w:r w:rsidRPr="00AD79C7">
        <w:rPr>
          <w:rFonts w:ascii="Abadi" w:hAnsi="Abadi"/>
          <w:b/>
          <w:bCs/>
          <w:sz w:val="21"/>
          <w:szCs w:val="21"/>
        </w:rPr>
        <w:t>de</w:t>
      </w:r>
      <w:r w:rsidRPr="00AD79C7">
        <w:rPr>
          <w:rFonts w:ascii="Abadi" w:hAnsi="Abadi"/>
          <w:b/>
          <w:bCs/>
          <w:spacing w:val="-3"/>
          <w:sz w:val="21"/>
          <w:szCs w:val="21"/>
        </w:rPr>
        <w:t xml:space="preserve"> </w:t>
      </w:r>
      <w:r w:rsidRPr="00AD79C7">
        <w:rPr>
          <w:rFonts w:ascii="Abadi" w:hAnsi="Abadi"/>
          <w:b/>
          <w:bCs/>
          <w:sz w:val="21"/>
          <w:szCs w:val="21"/>
        </w:rPr>
        <w:t>Género</w:t>
      </w:r>
      <w:r w:rsidRPr="00AD79C7">
        <w:rPr>
          <w:rFonts w:ascii="Abadi" w:hAnsi="Abadi"/>
          <w:b/>
          <w:bCs/>
          <w:spacing w:val="-3"/>
          <w:sz w:val="21"/>
          <w:szCs w:val="21"/>
        </w:rPr>
        <w:t xml:space="preserve"> </w:t>
      </w:r>
      <w:r w:rsidRPr="00AD79C7">
        <w:rPr>
          <w:rFonts w:ascii="Abadi" w:hAnsi="Abadi"/>
          <w:b/>
          <w:bCs/>
          <w:sz w:val="21"/>
          <w:szCs w:val="21"/>
        </w:rPr>
        <w:t>y, en su caso, aprobación de la misma.</w:t>
      </w:r>
    </w:p>
    <w:p w14:paraId="15A7C7CA" w14:textId="77777777" w:rsidR="00763692" w:rsidRPr="00AD79C7" w:rsidRDefault="00763692" w:rsidP="006B00FD">
      <w:pPr>
        <w:kinsoku w:val="0"/>
        <w:overflowPunct w:val="0"/>
        <w:autoSpaceDE w:val="0"/>
        <w:autoSpaceDN w:val="0"/>
        <w:adjustRightInd w:val="0"/>
        <w:spacing w:before="1"/>
        <w:ind w:right="566"/>
        <w:jc w:val="both"/>
        <w:rPr>
          <w:rFonts w:ascii="Abadi" w:hAnsi="Abadi" w:cs="Arial"/>
          <w:b/>
          <w:bCs/>
          <w:sz w:val="21"/>
          <w:szCs w:val="21"/>
        </w:rPr>
      </w:pPr>
    </w:p>
    <w:p w14:paraId="60A85012" w14:textId="07EF1574" w:rsidR="00763692" w:rsidRDefault="00763692" w:rsidP="005433FA">
      <w:pPr>
        <w:pStyle w:val="Prrafodelista"/>
        <w:numPr>
          <w:ilvl w:val="0"/>
          <w:numId w:val="8"/>
        </w:numPr>
        <w:tabs>
          <w:tab w:val="left" w:pos="856"/>
        </w:tabs>
        <w:kinsoku w:val="0"/>
        <w:overflowPunct w:val="0"/>
        <w:autoSpaceDE w:val="0"/>
        <w:autoSpaceDN w:val="0"/>
        <w:adjustRightInd w:val="0"/>
        <w:spacing w:before="1"/>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6"/>
          <w:sz w:val="21"/>
          <w:szCs w:val="21"/>
        </w:rPr>
        <w:t xml:space="preserve"> </w:t>
      </w:r>
      <w:r w:rsidRPr="00AD79C7">
        <w:rPr>
          <w:rFonts w:ascii="Abadi" w:hAnsi="Abadi"/>
          <w:b/>
          <w:bCs/>
          <w:sz w:val="21"/>
          <w:szCs w:val="21"/>
        </w:rPr>
        <w:t>y,</w:t>
      </w:r>
      <w:r w:rsidRPr="00AD79C7">
        <w:rPr>
          <w:rFonts w:ascii="Abadi" w:hAnsi="Abadi"/>
          <w:b/>
          <w:bCs/>
          <w:spacing w:val="15"/>
          <w:sz w:val="21"/>
          <w:szCs w:val="21"/>
        </w:rPr>
        <w:t xml:space="preserve"> </w:t>
      </w:r>
      <w:r w:rsidRPr="00AD79C7">
        <w:rPr>
          <w:rFonts w:ascii="Abadi" w:hAnsi="Abadi"/>
          <w:b/>
          <w:bCs/>
          <w:sz w:val="21"/>
          <w:szCs w:val="21"/>
        </w:rPr>
        <w:t>en</w:t>
      </w:r>
      <w:r w:rsidRPr="00AD79C7">
        <w:rPr>
          <w:rFonts w:ascii="Abadi" w:hAnsi="Abadi"/>
          <w:b/>
          <w:bCs/>
          <w:spacing w:val="16"/>
          <w:sz w:val="21"/>
          <w:szCs w:val="21"/>
        </w:rPr>
        <w:t xml:space="preserve"> </w:t>
      </w:r>
      <w:r w:rsidRPr="00AD79C7">
        <w:rPr>
          <w:rFonts w:ascii="Abadi" w:hAnsi="Abadi"/>
          <w:b/>
          <w:bCs/>
          <w:sz w:val="21"/>
          <w:szCs w:val="21"/>
        </w:rPr>
        <w:t>su</w:t>
      </w:r>
      <w:r w:rsidRPr="00AD79C7">
        <w:rPr>
          <w:rFonts w:ascii="Abadi" w:hAnsi="Abadi"/>
          <w:b/>
          <w:bCs/>
          <w:spacing w:val="15"/>
          <w:sz w:val="21"/>
          <w:szCs w:val="21"/>
        </w:rPr>
        <w:t xml:space="preserve"> </w:t>
      </w:r>
      <w:r w:rsidRPr="00AD79C7">
        <w:rPr>
          <w:rFonts w:ascii="Abadi" w:hAnsi="Abadi"/>
          <w:b/>
          <w:bCs/>
          <w:sz w:val="21"/>
          <w:szCs w:val="21"/>
        </w:rPr>
        <w:t>caso,</w:t>
      </w:r>
      <w:r w:rsidRPr="00AD79C7">
        <w:rPr>
          <w:rFonts w:ascii="Abadi" w:hAnsi="Abadi"/>
          <w:b/>
          <w:bCs/>
          <w:spacing w:val="15"/>
          <w:sz w:val="21"/>
          <w:szCs w:val="21"/>
        </w:rPr>
        <w:t xml:space="preserve"> </w:t>
      </w:r>
      <w:r w:rsidRPr="00AD79C7">
        <w:rPr>
          <w:rFonts w:ascii="Abadi" w:hAnsi="Abadi"/>
          <w:b/>
          <w:bCs/>
          <w:sz w:val="21"/>
          <w:szCs w:val="21"/>
        </w:rPr>
        <w:t>aprobación</w:t>
      </w:r>
      <w:r w:rsidRPr="00AD79C7">
        <w:rPr>
          <w:rFonts w:ascii="Abadi" w:hAnsi="Abadi"/>
          <w:b/>
          <w:bCs/>
          <w:spacing w:val="16"/>
          <w:sz w:val="21"/>
          <w:szCs w:val="21"/>
        </w:rPr>
        <w:t xml:space="preserve"> </w:t>
      </w:r>
      <w:r w:rsidRPr="00AD79C7">
        <w:rPr>
          <w:rFonts w:ascii="Abadi" w:hAnsi="Abadi"/>
          <w:b/>
          <w:bCs/>
          <w:sz w:val="21"/>
          <w:szCs w:val="21"/>
        </w:rPr>
        <w:t>del</w:t>
      </w:r>
      <w:r w:rsidRPr="00AD79C7">
        <w:rPr>
          <w:rFonts w:ascii="Abadi" w:hAnsi="Abadi"/>
          <w:b/>
          <w:bCs/>
          <w:spacing w:val="15"/>
          <w:sz w:val="21"/>
          <w:szCs w:val="21"/>
        </w:rPr>
        <w:t xml:space="preserve"> </w:t>
      </w:r>
      <w:r w:rsidRPr="00AD79C7">
        <w:rPr>
          <w:rFonts w:ascii="Abadi" w:hAnsi="Abadi"/>
          <w:b/>
          <w:bCs/>
          <w:sz w:val="21"/>
          <w:szCs w:val="21"/>
        </w:rPr>
        <w:t>dictamen</w:t>
      </w:r>
      <w:r w:rsidRPr="00AD79C7">
        <w:rPr>
          <w:rFonts w:ascii="Abadi" w:hAnsi="Abadi"/>
          <w:b/>
          <w:bCs/>
          <w:spacing w:val="15"/>
          <w:sz w:val="21"/>
          <w:szCs w:val="21"/>
        </w:rPr>
        <w:t xml:space="preserve"> </w:t>
      </w:r>
      <w:r w:rsidRPr="00AD79C7">
        <w:rPr>
          <w:rFonts w:ascii="Abadi" w:hAnsi="Abadi"/>
          <w:b/>
          <w:bCs/>
          <w:sz w:val="21"/>
          <w:szCs w:val="21"/>
        </w:rPr>
        <w:t>emitido</w:t>
      </w:r>
      <w:r w:rsidRPr="00AD79C7">
        <w:rPr>
          <w:rFonts w:ascii="Abadi" w:hAnsi="Abadi"/>
          <w:b/>
          <w:bCs/>
          <w:spacing w:val="15"/>
          <w:sz w:val="21"/>
          <w:szCs w:val="21"/>
        </w:rPr>
        <w:t xml:space="preserve"> </w:t>
      </w:r>
      <w:r w:rsidRPr="00AD79C7">
        <w:rPr>
          <w:rFonts w:ascii="Abadi" w:hAnsi="Abadi"/>
          <w:b/>
          <w:bCs/>
          <w:sz w:val="21"/>
          <w:szCs w:val="21"/>
        </w:rPr>
        <w:t>por</w:t>
      </w:r>
      <w:r w:rsidRPr="00AD79C7">
        <w:rPr>
          <w:rFonts w:ascii="Abadi" w:hAnsi="Abadi"/>
          <w:b/>
          <w:bCs/>
          <w:spacing w:val="15"/>
          <w:sz w:val="21"/>
          <w:szCs w:val="21"/>
        </w:rPr>
        <w:t xml:space="preserve"> </w:t>
      </w:r>
      <w:r w:rsidRPr="00AD79C7">
        <w:rPr>
          <w:rFonts w:ascii="Abadi" w:hAnsi="Abadi"/>
          <w:b/>
          <w:bCs/>
          <w:sz w:val="21"/>
          <w:szCs w:val="21"/>
        </w:rPr>
        <w:t>la</w:t>
      </w:r>
      <w:r w:rsidRPr="00AD79C7">
        <w:rPr>
          <w:rFonts w:ascii="Abadi" w:hAnsi="Abadi"/>
          <w:b/>
          <w:bCs/>
          <w:spacing w:val="16"/>
          <w:sz w:val="21"/>
          <w:szCs w:val="21"/>
        </w:rPr>
        <w:t xml:space="preserve"> </w:t>
      </w:r>
      <w:r w:rsidRPr="00AD79C7">
        <w:rPr>
          <w:rFonts w:ascii="Abadi" w:hAnsi="Abadi"/>
          <w:b/>
          <w:bCs/>
          <w:sz w:val="21"/>
          <w:szCs w:val="21"/>
        </w:rPr>
        <w:t>Comisión</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57"/>
          <w:sz w:val="21"/>
          <w:szCs w:val="21"/>
        </w:rPr>
        <w:t xml:space="preserve"> </w:t>
      </w:r>
      <w:r w:rsidRPr="00AD79C7">
        <w:rPr>
          <w:rFonts w:ascii="Abadi" w:hAnsi="Abadi"/>
          <w:b/>
          <w:bCs/>
          <w:sz w:val="21"/>
          <w:szCs w:val="21"/>
        </w:rPr>
        <w:t>Fomento</w:t>
      </w:r>
      <w:r w:rsidRPr="00AD79C7">
        <w:rPr>
          <w:rFonts w:ascii="Abadi" w:hAnsi="Abadi"/>
          <w:b/>
          <w:bCs/>
          <w:spacing w:val="57"/>
          <w:sz w:val="21"/>
          <w:szCs w:val="21"/>
        </w:rPr>
        <w:t xml:space="preserve"> </w:t>
      </w:r>
      <w:r w:rsidRPr="00AD79C7">
        <w:rPr>
          <w:rFonts w:ascii="Abadi" w:hAnsi="Abadi"/>
          <w:b/>
          <w:bCs/>
          <w:sz w:val="21"/>
          <w:szCs w:val="21"/>
        </w:rPr>
        <w:t>Agropecuario</w:t>
      </w:r>
      <w:r w:rsidRPr="00AD79C7">
        <w:rPr>
          <w:rFonts w:ascii="Abadi" w:hAnsi="Abadi"/>
          <w:b/>
          <w:bCs/>
          <w:spacing w:val="57"/>
          <w:sz w:val="21"/>
          <w:szCs w:val="21"/>
        </w:rPr>
        <w:t xml:space="preserve"> </w:t>
      </w:r>
      <w:r w:rsidRPr="00AD79C7">
        <w:rPr>
          <w:rFonts w:ascii="Abadi" w:hAnsi="Abadi"/>
          <w:b/>
          <w:bCs/>
          <w:sz w:val="21"/>
          <w:szCs w:val="21"/>
        </w:rPr>
        <w:t>relativo</w:t>
      </w:r>
      <w:r w:rsidRPr="00AD79C7">
        <w:rPr>
          <w:rFonts w:ascii="Abadi" w:hAnsi="Abadi"/>
          <w:b/>
          <w:bCs/>
          <w:spacing w:val="57"/>
          <w:sz w:val="21"/>
          <w:szCs w:val="21"/>
        </w:rPr>
        <w:t xml:space="preserve"> </w:t>
      </w:r>
      <w:r w:rsidRPr="00AD79C7">
        <w:rPr>
          <w:rFonts w:ascii="Abadi" w:hAnsi="Abadi"/>
          <w:b/>
          <w:bCs/>
          <w:sz w:val="21"/>
          <w:szCs w:val="21"/>
        </w:rPr>
        <w:t>a</w:t>
      </w:r>
      <w:r w:rsidRPr="00AD79C7">
        <w:rPr>
          <w:rFonts w:ascii="Abadi" w:hAnsi="Abadi"/>
          <w:b/>
          <w:bCs/>
          <w:spacing w:val="57"/>
          <w:sz w:val="21"/>
          <w:szCs w:val="21"/>
        </w:rPr>
        <w:t xml:space="preserve"> </w:t>
      </w:r>
      <w:r w:rsidRPr="00AD79C7">
        <w:rPr>
          <w:rFonts w:ascii="Abadi" w:hAnsi="Abadi"/>
          <w:b/>
          <w:bCs/>
          <w:sz w:val="21"/>
          <w:szCs w:val="21"/>
        </w:rPr>
        <w:t>la</w:t>
      </w:r>
      <w:r w:rsidRPr="00AD79C7">
        <w:rPr>
          <w:rFonts w:ascii="Abadi" w:hAnsi="Abadi"/>
          <w:b/>
          <w:bCs/>
          <w:spacing w:val="57"/>
          <w:sz w:val="21"/>
          <w:szCs w:val="21"/>
        </w:rPr>
        <w:t xml:space="preserve"> </w:t>
      </w:r>
      <w:r w:rsidRPr="00AD79C7">
        <w:rPr>
          <w:rFonts w:ascii="Abadi" w:hAnsi="Abadi"/>
          <w:b/>
          <w:bCs/>
          <w:sz w:val="21"/>
          <w:szCs w:val="21"/>
        </w:rPr>
        <w:t>propuesta</w:t>
      </w:r>
      <w:r w:rsidRPr="00AD79C7">
        <w:rPr>
          <w:rFonts w:ascii="Abadi" w:hAnsi="Abadi"/>
          <w:b/>
          <w:bCs/>
          <w:spacing w:val="57"/>
          <w:sz w:val="21"/>
          <w:szCs w:val="21"/>
        </w:rPr>
        <w:t xml:space="preserve"> </w:t>
      </w:r>
      <w:r w:rsidRPr="00AD79C7">
        <w:rPr>
          <w:rFonts w:ascii="Abadi" w:hAnsi="Abadi"/>
          <w:b/>
          <w:bCs/>
          <w:sz w:val="21"/>
          <w:szCs w:val="21"/>
        </w:rPr>
        <w:t>de</w:t>
      </w:r>
      <w:r w:rsidRPr="00AD79C7">
        <w:rPr>
          <w:rFonts w:ascii="Abadi" w:hAnsi="Abadi"/>
          <w:b/>
          <w:bCs/>
          <w:spacing w:val="57"/>
          <w:sz w:val="21"/>
          <w:szCs w:val="21"/>
        </w:rPr>
        <w:t xml:space="preserve"> </w:t>
      </w:r>
      <w:r w:rsidRPr="00AD79C7">
        <w:rPr>
          <w:rFonts w:ascii="Abadi" w:hAnsi="Abadi"/>
          <w:b/>
          <w:bCs/>
          <w:sz w:val="21"/>
          <w:szCs w:val="21"/>
        </w:rPr>
        <w:t>punto</w:t>
      </w:r>
      <w:r w:rsidRPr="00AD79C7">
        <w:rPr>
          <w:rFonts w:ascii="Abadi" w:hAnsi="Abadi"/>
          <w:b/>
          <w:bCs/>
          <w:spacing w:val="57"/>
          <w:sz w:val="21"/>
          <w:szCs w:val="21"/>
        </w:rPr>
        <w:t xml:space="preserve"> </w:t>
      </w:r>
      <w:r w:rsidRPr="00AD79C7">
        <w:rPr>
          <w:rFonts w:ascii="Abadi" w:hAnsi="Abadi"/>
          <w:b/>
          <w:bCs/>
          <w:sz w:val="21"/>
          <w:szCs w:val="21"/>
        </w:rPr>
        <w:t>de</w:t>
      </w:r>
      <w:r w:rsidRPr="00AD79C7">
        <w:rPr>
          <w:rFonts w:ascii="Abadi" w:hAnsi="Abadi"/>
          <w:b/>
          <w:bCs/>
          <w:spacing w:val="57"/>
          <w:sz w:val="21"/>
          <w:szCs w:val="21"/>
        </w:rPr>
        <w:t xml:space="preserve"> </w:t>
      </w:r>
      <w:r w:rsidRPr="00AD79C7">
        <w:rPr>
          <w:rFonts w:ascii="Abadi" w:hAnsi="Abadi"/>
          <w:b/>
          <w:bCs/>
          <w:sz w:val="21"/>
          <w:szCs w:val="21"/>
        </w:rPr>
        <w:t>acuerdo</w:t>
      </w:r>
      <w:r w:rsidRPr="00AD79C7">
        <w:rPr>
          <w:rFonts w:ascii="Abadi" w:hAnsi="Abadi"/>
          <w:b/>
          <w:bCs/>
          <w:spacing w:val="-2"/>
          <w:sz w:val="21"/>
          <w:szCs w:val="21"/>
        </w:rPr>
        <w:t xml:space="preserve"> </w:t>
      </w:r>
      <w:r w:rsidRPr="00AD79C7">
        <w:rPr>
          <w:rFonts w:ascii="Abadi" w:hAnsi="Abadi"/>
          <w:b/>
          <w:bCs/>
          <w:sz w:val="21"/>
          <w:szCs w:val="21"/>
        </w:rPr>
        <w:t>formulada</w:t>
      </w:r>
      <w:r w:rsidRPr="00AD79C7">
        <w:rPr>
          <w:rFonts w:ascii="Abadi" w:hAnsi="Abadi"/>
          <w:b/>
          <w:bCs/>
          <w:spacing w:val="25"/>
          <w:sz w:val="21"/>
          <w:szCs w:val="21"/>
        </w:rPr>
        <w:t xml:space="preserve"> </w:t>
      </w:r>
      <w:r w:rsidRPr="00AD79C7">
        <w:rPr>
          <w:rFonts w:ascii="Abadi" w:hAnsi="Abadi"/>
          <w:b/>
          <w:bCs/>
          <w:sz w:val="21"/>
          <w:szCs w:val="21"/>
        </w:rPr>
        <w:t>por</w:t>
      </w:r>
      <w:r w:rsidRPr="00AD79C7">
        <w:rPr>
          <w:rFonts w:ascii="Abadi" w:hAnsi="Abadi"/>
          <w:b/>
          <w:bCs/>
          <w:spacing w:val="25"/>
          <w:sz w:val="21"/>
          <w:szCs w:val="21"/>
        </w:rPr>
        <w:t xml:space="preserve"> </w:t>
      </w:r>
      <w:r w:rsidRPr="00AD79C7">
        <w:rPr>
          <w:rFonts w:ascii="Abadi" w:hAnsi="Abadi"/>
          <w:b/>
          <w:bCs/>
          <w:sz w:val="21"/>
          <w:szCs w:val="21"/>
        </w:rPr>
        <w:t>diputadas</w:t>
      </w:r>
      <w:r w:rsidRPr="00AD79C7">
        <w:rPr>
          <w:rFonts w:ascii="Abadi" w:hAnsi="Abadi"/>
          <w:b/>
          <w:bCs/>
          <w:spacing w:val="25"/>
          <w:sz w:val="21"/>
          <w:szCs w:val="21"/>
        </w:rPr>
        <w:t xml:space="preserve"> </w:t>
      </w:r>
      <w:r w:rsidRPr="00AD79C7">
        <w:rPr>
          <w:rFonts w:ascii="Abadi" w:hAnsi="Abadi"/>
          <w:b/>
          <w:bCs/>
          <w:sz w:val="21"/>
          <w:szCs w:val="21"/>
        </w:rPr>
        <w:t>y</w:t>
      </w:r>
      <w:r w:rsidRPr="00AD79C7">
        <w:rPr>
          <w:rFonts w:ascii="Abadi" w:hAnsi="Abadi"/>
          <w:b/>
          <w:bCs/>
          <w:spacing w:val="25"/>
          <w:sz w:val="21"/>
          <w:szCs w:val="21"/>
        </w:rPr>
        <w:t xml:space="preserve"> </w:t>
      </w:r>
      <w:r w:rsidRPr="00AD79C7">
        <w:rPr>
          <w:rFonts w:ascii="Abadi" w:hAnsi="Abadi"/>
          <w:b/>
          <w:bCs/>
          <w:sz w:val="21"/>
          <w:szCs w:val="21"/>
        </w:rPr>
        <w:t>diputados</w:t>
      </w:r>
      <w:r w:rsidRPr="00AD79C7">
        <w:rPr>
          <w:rFonts w:ascii="Abadi" w:hAnsi="Abadi"/>
          <w:b/>
          <w:bCs/>
          <w:spacing w:val="25"/>
          <w:sz w:val="21"/>
          <w:szCs w:val="21"/>
        </w:rPr>
        <w:t xml:space="preserve"> </w:t>
      </w:r>
      <w:r w:rsidRPr="00AD79C7">
        <w:rPr>
          <w:rFonts w:ascii="Abadi" w:hAnsi="Abadi"/>
          <w:b/>
          <w:bCs/>
          <w:sz w:val="21"/>
          <w:szCs w:val="21"/>
        </w:rPr>
        <w:t>integrantes</w:t>
      </w:r>
      <w:r w:rsidRPr="00AD79C7">
        <w:rPr>
          <w:rFonts w:ascii="Abadi" w:hAnsi="Abadi"/>
          <w:b/>
          <w:bCs/>
          <w:spacing w:val="25"/>
          <w:sz w:val="21"/>
          <w:szCs w:val="21"/>
        </w:rPr>
        <w:t xml:space="preserve"> </w:t>
      </w:r>
      <w:r w:rsidRPr="00AD79C7">
        <w:rPr>
          <w:rFonts w:ascii="Abadi" w:hAnsi="Abadi"/>
          <w:b/>
          <w:bCs/>
          <w:sz w:val="21"/>
          <w:szCs w:val="21"/>
        </w:rPr>
        <w:t>del</w:t>
      </w:r>
      <w:r w:rsidRPr="00AD79C7">
        <w:rPr>
          <w:rFonts w:ascii="Abadi" w:hAnsi="Abadi"/>
          <w:b/>
          <w:bCs/>
          <w:spacing w:val="25"/>
          <w:sz w:val="21"/>
          <w:szCs w:val="21"/>
        </w:rPr>
        <w:t xml:space="preserve"> </w:t>
      </w:r>
      <w:r w:rsidRPr="00AD79C7">
        <w:rPr>
          <w:rFonts w:ascii="Abadi" w:hAnsi="Abadi"/>
          <w:b/>
          <w:bCs/>
          <w:sz w:val="21"/>
          <w:szCs w:val="21"/>
        </w:rPr>
        <w:t>Grupo</w:t>
      </w:r>
      <w:r w:rsidRPr="00AD79C7">
        <w:rPr>
          <w:rFonts w:ascii="Abadi" w:hAnsi="Abadi"/>
          <w:b/>
          <w:bCs/>
          <w:spacing w:val="25"/>
          <w:sz w:val="21"/>
          <w:szCs w:val="21"/>
        </w:rPr>
        <w:t xml:space="preserve"> </w:t>
      </w:r>
      <w:r w:rsidRPr="00AD79C7">
        <w:rPr>
          <w:rFonts w:ascii="Abadi" w:hAnsi="Abadi"/>
          <w:b/>
          <w:bCs/>
          <w:sz w:val="21"/>
          <w:szCs w:val="21"/>
        </w:rPr>
        <w:t>Parlamentario</w:t>
      </w:r>
      <w:r w:rsidRPr="00AD79C7">
        <w:rPr>
          <w:rFonts w:ascii="Abadi" w:hAnsi="Abadi"/>
          <w:b/>
          <w:bCs/>
          <w:spacing w:val="-2"/>
          <w:sz w:val="21"/>
          <w:szCs w:val="21"/>
        </w:rPr>
        <w:t xml:space="preserve"> </w:t>
      </w:r>
      <w:r w:rsidRPr="00AD79C7">
        <w:rPr>
          <w:rFonts w:ascii="Abadi" w:hAnsi="Abadi"/>
          <w:b/>
          <w:bCs/>
          <w:sz w:val="21"/>
          <w:szCs w:val="21"/>
        </w:rPr>
        <w:t>del</w:t>
      </w:r>
      <w:r w:rsidRPr="00AD79C7">
        <w:rPr>
          <w:rFonts w:ascii="Abadi" w:hAnsi="Abadi"/>
          <w:b/>
          <w:bCs/>
          <w:spacing w:val="20"/>
          <w:sz w:val="21"/>
          <w:szCs w:val="21"/>
        </w:rPr>
        <w:t xml:space="preserve"> </w:t>
      </w:r>
      <w:r w:rsidRPr="00AD79C7">
        <w:rPr>
          <w:rFonts w:ascii="Abadi" w:hAnsi="Abadi"/>
          <w:b/>
          <w:bCs/>
          <w:sz w:val="21"/>
          <w:szCs w:val="21"/>
        </w:rPr>
        <w:t>Partido</w:t>
      </w:r>
      <w:r w:rsidRPr="00AD79C7">
        <w:rPr>
          <w:rFonts w:ascii="Abadi" w:hAnsi="Abadi"/>
          <w:b/>
          <w:bCs/>
          <w:spacing w:val="20"/>
          <w:sz w:val="21"/>
          <w:szCs w:val="21"/>
        </w:rPr>
        <w:t xml:space="preserve"> </w:t>
      </w:r>
      <w:r w:rsidRPr="00AD79C7">
        <w:rPr>
          <w:rFonts w:ascii="Abadi" w:hAnsi="Abadi"/>
          <w:b/>
          <w:bCs/>
          <w:sz w:val="21"/>
          <w:szCs w:val="21"/>
        </w:rPr>
        <w:t>Acción</w:t>
      </w:r>
      <w:r w:rsidRPr="00AD79C7">
        <w:rPr>
          <w:rFonts w:ascii="Abadi" w:hAnsi="Abadi"/>
          <w:b/>
          <w:bCs/>
          <w:spacing w:val="20"/>
          <w:sz w:val="21"/>
          <w:szCs w:val="21"/>
        </w:rPr>
        <w:t xml:space="preserve"> </w:t>
      </w:r>
      <w:r w:rsidRPr="00AD79C7">
        <w:rPr>
          <w:rFonts w:ascii="Abadi" w:hAnsi="Abadi"/>
          <w:b/>
          <w:bCs/>
          <w:sz w:val="21"/>
          <w:szCs w:val="21"/>
        </w:rPr>
        <w:t>Nacional</w:t>
      </w:r>
      <w:r w:rsidRPr="00AD79C7">
        <w:rPr>
          <w:rFonts w:ascii="Abadi" w:hAnsi="Abadi"/>
          <w:b/>
          <w:bCs/>
          <w:spacing w:val="20"/>
          <w:sz w:val="21"/>
          <w:szCs w:val="21"/>
        </w:rPr>
        <w:t xml:space="preserve"> </w:t>
      </w:r>
      <w:r w:rsidRPr="00AD79C7">
        <w:rPr>
          <w:rFonts w:ascii="Abadi" w:hAnsi="Abadi"/>
          <w:b/>
          <w:bCs/>
          <w:sz w:val="21"/>
          <w:szCs w:val="21"/>
        </w:rPr>
        <w:t>a</w:t>
      </w:r>
      <w:r w:rsidRPr="00AD79C7">
        <w:rPr>
          <w:rFonts w:ascii="Abadi" w:hAnsi="Abadi"/>
          <w:b/>
          <w:bCs/>
          <w:spacing w:val="20"/>
          <w:sz w:val="21"/>
          <w:szCs w:val="21"/>
        </w:rPr>
        <w:t xml:space="preserve"> </w:t>
      </w:r>
      <w:r w:rsidRPr="00AD79C7">
        <w:rPr>
          <w:rFonts w:ascii="Abadi" w:hAnsi="Abadi"/>
          <w:b/>
          <w:bCs/>
          <w:sz w:val="21"/>
          <w:szCs w:val="21"/>
        </w:rPr>
        <w:t>fin</w:t>
      </w:r>
      <w:r w:rsidRPr="00AD79C7">
        <w:rPr>
          <w:rFonts w:ascii="Abadi" w:hAnsi="Abadi"/>
          <w:b/>
          <w:bCs/>
          <w:spacing w:val="20"/>
          <w:sz w:val="21"/>
          <w:szCs w:val="21"/>
        </w:rPr>
        <w:t xml:space="preserve"> </w:t>
      </w:r>
      <w:r w:rsidRPr="00AD79C7">
        <w:rPr>
          <w:rFonts w:ascii="Abadi" w:hAnsi="Abadi"/>
          <w:b/>
          <w:bCs/>
          <w:sz w:val="21"/>
          <w:szCs w:val="21"/>
        </w:rPr>
        <w:t>de</w:t>
      </w:r>
      <w:r w:rsidRPr="00AD79C7">
        <w:rPr>
          <w:rFonts w:ascii="Abadi" w:hAnsi="Abadi"/>
          <w:b/>
          <w:bCs/>
          <w:spacing w:val="19"/>
          <w:sz w:val="21"/>
          <w:szCs w:val="21"/>
        </w:rPr>
        <w:t xml:space="preserve"> </w:t>
      </w:r>
      <w:r w:rsidRPr="00AD79C7">
        <w:rPr>
          <w:rFonts w:ascii="Abadi" w:hAnsi="Abadi"/>
          <w:b/>
          <w:bCs/>
          <w:sz w:val="21"/>
          <w:szCs w:val="21"/>
        </w:rPr>
        <w:t>exhortar</w:t>
      </w:r>
      <w:r w:rsidRPr="00AD79C7">
        <w:rPr>
          <w:rFonts w:ascii="Abadi" w:hAnsi="Abadi"/>
          <w:b/>
          <w:bCs/>
          <w:spacing w:val="20"/>
          <w:sz w:val="21"/>
          <w:szCs w:val="21"/>
        </w:rPr>
        <w:t xml:space="preserve"> </w:t>
      </w:r>
      <w:r w:rsidRPr="00AD79C7">
        <w:rPr>
          <w:rFonts w:ascii="Abadi" w:hAnsi="Abadi"/>
          <w:b/>
          <w:bCs/>
          <w:sz w:val="21"/>
          <w:szCs w:val="21"/>
        </w:rPr>
        <w:t>al</w:t>
      </w:r>
      <w:r w:rsidRPr="00AD79C7">
        <w:rPr>
          <w:rFonts w:ascii="Abadi" w:hAnsi="Abadi"/>
          <w:b/>
          <w:bCs/>
          <w:spacing w:val="20"/>
          <w:sz w:val="21"/>
          <w:szCs w:val="21"/>
        </w:rPr>
        <w:t xml:space="preserve"> </w:t>
      </w:r>
      <w:r w:rsidRPr="00AD79C7">
        <w:rPr>
          <w:rFonts w:ascii="Abadi" w:hAnsi="Abadi"/>
          <w:b/>
          <w:bCs/>
          <w:sz w:val="21"/>
          <w:szCs w:val="21"/>
        </w:rPr>
        <w:t>titular</w:t>
      </w:r>
      <w:r w:rsidRPr="00AD79C7">
        <w:rPr>
          <w:rFonts w:ascii="Abadi" w:hAnsi="Abadi"/>
          <w:b/>
          <w:bCs/>
          <w:spacing w:val="20"/>
          <w:sz w:val="21"/>
          <w:szCs w:val="21"/>
        </w:rPr>
        <w:t xml:space="preserve"> </w:t>
      </w:r>
      <w:r w:rsidRPr="00AD79C7">
        <w:rPr>
          <w:rFonts w:ascii="Abadi" w:hAnsi="Abadi"/>
          <w:b/>
          <w:bCs/>
          <w:sz w:val="21"/>
          <w:szCs w:val="21"/>
        </w:rPr>
        <w:t>del</w:t>
      </w:r>
      <w:r w:rsidRPr="00AD79C7">
        <w:rPr>
          <w:rFonts w:ascii="Abadi" w:hAnsi="Abadi"/>
          <w:b/>
          <w:bCs/>
          <w:spacing w:val="20"/>
          <w:sz w:val="21"/>
          <w:szCs w:val="21"/>
        </w:rPr>
        <w:t xml:space="preserve"> </w:t>
      </w:r>
      <w:r w:rsidRPr="00AD79C7">
        <w:rPr>
          <w:rFonts w:ascii="Abadi" w:hAnsi="Abadi"/>
          <w:b/>
          <w:bCs/>
          <w:sz w:val="21"/>
          <w:szCs w:val="21"/>
        </w:rPr>
        <w:t>Poder</w:t>
      </w:r>
      <w:r w:rsidRPr="00AD79C7">
        <w:rPr>
          <w:rFonts w:ascii="Abadi" w:hAnsi="Abadi"/>
          <w:b/>
          <w:bCs/>
          <w:spacing w:val="20"/>
          <w:sz w:val="21"/>
          <w:szCs w:val="21"/>
        </w:rPr>
        <w:t xml:space="preserve"> </w:t>
      </w:r>
      <w:r w:rsidRPr="00AD79C7">
        <w:rPr>
          <w:rFonts w:ascii="Abadi" w:hAnsi="Abadi"/>
          <w:b/>
          <w:bCs/>
          <w:sz w:val="21"/>
          <w:szCs w:val="21"/>
        </w:rPr>
        <w:t>Ejecutivo</w:t>
      </w:r>
      <w:r w:rsidRPr="00AD79C7">
        <w:rPr>
          <w:rFonts w:ascii="Abadi" w:hAnsi="Abadi"/>
          <w:b/>
          <w:bCs/>
          <w:spacing w:val="-2"/>
          <w:sz w:val="21"/>
          <w:szCs w:val="21"/>
        </w:rPr>
        <w:t xml:space="preserve"> </w:t>
      </w:r>
      <w:r w:rsidRPr="00AD79C7">
        <w:rPr>
          <w:rFonts w:ascii="Abadi" w:hAnsi="Abadi"/>
          <w:b/>
          <w:bCs/>
          <w:sz w:val="21"/>
          <w:szCs w:val="21"/>
        </w:rPr>
        <w:t>Federal</w:t>
      </w:r>
      <w:r w:rsidRPr="00AD79C7">
        <w:rPr>
          <w:rFonts w:ascii="Abadi" w:hAnsi="Abadi"/>
          <w:b/>
          <w:bCs/>
          <w:spacing w:val="56"/>
          <w:sz w:val="21"/>
          <w:szCs w:val="21"/>
        </w:rPr>
        <w:t xml:space="preserve"> </w:t>
      </w:r>
      <w:r w:rsidRPr="00AD79C7">
        <w:rPr>
          <w:rFonts w:ascii="Abadi" w:hAnsi="Abadi"/>
          <w:b/>
          <w:bCs/>
          <w:sz w:val="21"/>
          <w:szCs w:val="21"/>
        </w:rPr>
        <w:t>para</w:t>
      </w:r>
      <w:r w:rsidRPr="00AD79C7">
        <w:rPr>
          <w:rFonts w:ascii="Abadi" w:hAnsi="Abadi"/>
          <w:b/>
          <w:bCs/>
          <w:spacing w:val="56"/>
          <w:sz w:val="21"/>
          <w:szCs w:val="21"/>
        </w:rPr>
        <w:t xml:space="preserve"> </w:t>
      </w:r>
      <w:r w:rsidRPr="00AD79C7">
        <w:rPr>
          <w:rFonts w:ascii="Abadi" w:hAnsi="Abadi"/>
          <w:b/>
          <w:bCs/>
          <w:sz w:val="21"/>
          <w:szCs w:val="21"/>
        </w:rPr>
        <w:t>que,</w:t>
      </w:r>
      <w:r w:rsidRPr="00AD79C7">
        <w:rPr>
          <w:rFonts w:ascii="Abadi" w:hAnsi="Abadi"/>
          <w:b/>
          <w:bCs/>
          <w:spacing w:val="56"/>
          <w:sz w:val="21"/>
          <w:szCs w:val="21"/>
        </w:rPr>
        <w:t xml:space="preserve"> </w:t>
      </w:r>
      <w:r w:rsidRPr="00AD79C7">
        <w:rPr>
          <w:rFonts w:ascii="Abadi" w:hAnsi="Abadi"/>
          <w:b/>
          <w:bCs/>
          <w:sz w:val="21"/>
          <w:szCs w:val="21"/>
        </w:rPr>
        <w:t>a</w:t>
      </w:r>
      <w:r w:rsidRPr="00AD79C7">
        <w:rPr>
          <w:rFonts w:ascii="Abadi" w:hAnsi="Abadi"/>
          <w:b/>
          <w:bCs/>
          <w:spacing w:val="56"/>
          <w:sz w:val="21"/>
          <w:szCs w:val="21"/>
        </w:rPr>
        <w:t xml:space="preserve"> </w:t>
      </w:r>
      <w:r w:rsidRPr="00AD79C7">
        <w:rPr>
          <w:rFonts w:ascii="Abadi" w:hAnsi="Abadi"/>
          <w:b/>
          <w:bCs/>
          <w:sz w:val="21"/>
          <w:szCs w:val="21"/>
        </w:rPr>
        <w:t>través</w:t>
      </w:r>
      <w:r w:rsidRPr="00AD79C7">
        <w:rPr>
          <w:rFonts w:ascii="Abadi" w:hAnsi="Abadi"/>
          <w:b/>
          <w:bCs/>
          <w:spacing w:val="56"/>
          <w:sz w:val="21"/>
          <w:szCs w:val="21"/>
        </w:rPr>
        <w:t xml:space="preserve"> </w:t>
      </w:r>
      <w:r w:rsidRPr="00AD79C7">
        <w:rPr>
          <w:rFonts w:ascii="Abadi" w:hAnsi="Abadi"/>
          <w:b/>
          <w:bCs/>
          <w:sz w:val="21"/>
          <w:szCs w:val="21"/>
        </w:rPr>
        <w:t>de</w:t>
      </w:r>
      <w:r w:rsidRPr="00AD79C7">
        <w:rPr>
          <w:rFonts w:ascii="Abadi" w:hAnsi="Abadi"/>
          <w:b/>
          <w:bCs/>
          <w:spacing w:val="56"/>
          <w:sz w:val="21"/>
          <w:szCs w:val="21"/>
        </w:rPr>
        <w:t xml:space="preserve"> </w:t>
      </w:r>
      <w:r w:rsidRPr="00AD79C7">
        <w:rPr>
          <w:rFonts w:ascii="Abadi" w:hAnsi="Abadi"/>
          <w:b/>
          <w:bCs/>
          <w:sz w:val="21"/>
          <w:szCs w:val="21"/>
        </w:rPr>
        <w:t>la</w:t>
      </w:r>
      <w:r w:rsidRPr="00AD79C7">
        <w:rPr>
          <w:rFonts w:ascii="Abadi" w:hAnsi="Abadi"/>
          <w:b/>
          <w:bCs/>
          <w:spacing w:val="56"/>
          <w:sz w:val="21"/>
          <w:szCs w:val="21"/>
        </w:rPr>
        <w:t xml:space="preserve"> </w:t>
      </w:r>
      <w:r w:rsidRPr="00AD79C7">
        <w:rPr>
          <w:rFonts w:ascii="Abadi" w:hAnsi="Abadi"/>
          <w:b/>
          <w:bCs/>
          <w:sz w:val="21"/>
          <w:szCs w:val="21"/>
        </w:rPr>
        <w:t>Procuraduría</w:t>
      </w:r>
      <w:r w:rsidRPr="00AD79C7">
        <w:rPr>
          <w:rFonts w:ascii="Abadi" w:hAnsi="Abadi"/>
          <w:b/>
          <w:bCs/>
          <w:spacing w:val="56"/>
          <w:sz w:val="21"/>
          <w:szCs w:val="21"/>
        </w:rPr>
        <w:t xml:space="preserve"> </w:t>
      </w:r>
      <w:r w:rsidRPr="00AD79C7">
        <w:rPr>
          <w:rFonts w:ascii="Abadi" w:hAnsi="Abadi"/>
          <w:b/>
          <w:bCs/>
          <w:sz w:val="21"/>
          <w:szCs w:val="21"/>
        </w:rPr>
        <w:t>Federal</w:t>
      </w:r>
      <w:r w:rsidRPr="00AD79C7">
        <w:rPr>
          <w:rFonts w:ascii="Abadi" w:hAnsi="Abadi"/>
          <w:b/>
          <w:bCs/>
          <w:spacing w:val="56"/>
          <w:sz w:val="21"/>
          <w:szCs w:val="21"/>
        </w:rPr>
        <w:t xml:space="preserve"> </w:t>
      </w:r>
      <w:r w:rsidRPr="00AD79C7">
        <w:rPr>
          <w:rFonts w:ascii="Abadi" w:hAnsi="Abadi"/>
          <w:b/>
          <w:bCs/>
          <w:sz w:val="21"/>
          <w:szCs w:val="21"/>
        </w:rPr>
        <w:t>del</w:t>
      </w:r>
      <w:r w:rsidRPr="00AD79C7">
        <w:rPr>
          <w:rFonts w:ascii="Abadi" w:hAnsi="Abadi"/>
          <w:b/>
          <w:bCs/>
          <w:spacing w:val="56"/>
          <w:sz w:val="21"/>
          <w:szCs w:val="21"/>
        </w:rPr>
        <w:t xml:space="preserve"> </w:t>
      </w:r>
      <w:r w:rsidRPr="00AD79C7">
        <w:rPr>
          <w:rFonts w:ascii="Abadi" w:hAnsi="Abadi"/>
          <w:b/>
          <w:bCs/>
          <w:sz w:val="21"/>
          <w:szCs w:val="21"/>
        </w:rPr>
        <w:t>Consumidor</w:t>
      </w:r>
      <w:r w:rsidRPr="00AD79C7">
        <w:rPr>
          <w:rFonts w:ascii="Abadi" w:hAnsi="Abadi"/>
          <w:b/>
          <w:bCs/>
          <w:spacing w:val="-2"/>
          <w:sz w:val="21"/>
          <w:szCs w:val="21"/>
        </w:rPr>
        <w:t xml:space="preserve"> </w:t>
      </w:r>
      <w:r w:rsidRPr="00AD79C7">
        <w:rPr>
          <w:rFonts w:ascii="Abadi" w:hAnsi="Abadi"/>
          <w:b/>
          <w:bCs/>
          <w:sz w:val="21"/>
          <w:szCs w:val="21"/>
        </w:rPr>
        <w:t>verifique</w:t>
      </w:r>
      <w:r w:rsidRPr="00AD79C7">
        <w:rPr>
          <w:rFonts w:ascii="Abadi" w:hAnsi="Abadi"/>
          <w:b/>
          <w:bCs/>
          <w:spacing w:val="-6"/>
          <w:sz w:val="21"/>
          <w:szCs w:val="21"/>
        </w:rPr>
        <w:t xml:space="preserve"> </w:t>
      </w:r>
      <w:r w:rsidRPr="00AD79C7">
        <w:rPr>
          <w:rFonts w:ascii="Abadi" w:hAnsi="Abadi"/>
          <w:b/>
          <w:bCs/>
          <w:sz w:val="21"/>
          <w:szCs w:val="21"/>
        </w:rPr>
        <w:t>los</w:t>
      </w:r>
      <w:r w:rsidRPr="00AD79C7">
        <w:rPr>
          <w:rFonts w:ascii="Abadi" w:hAnsi="Abadi"/>
          <w:b/>
          <w:bCs/>
          <w:spacing w:val="-6"/>
          <w:sz w:val="21"/>
          <w:szCs w:val="21"/>
        </w:rPr>
        <w:t xml:space="preserve"> </w:t>
      </w:r>
      <w:r w:rsidRPr="00AD79C7">
        <w:rPr>
          <w:rFonts w:ascii="Abadi" w:hAnsi="Abadi"/>
          <w:b/>
          <w:bCs/>
          <w:sz w:val="21"/>
          <w:szCs w:val="21"/>
        </w:rPr>
        <w:t>instrumentos</w:t>
      </w:r>
      <w:r w:rsidRPr="00AD79C7">
        <w:rPr>
          <w:rFonts w:ascii="Abadi" w:hAnsi="Abadi"/>
          <w:b/>
          <w:bCs/>
          <w:spacing w:val="-6"/>
          <w:sz w:val="21"/>
          <w:szCs w:val="21"/>
        </w:rPr>
        <w:t xml:space="preserve"> </w:t>
      </w:r>
      <w:r w:rsidRPr="00AD79C7">
        <w:rPr>
          <w:rFonts w:ascii="Abadi" w:hAnsi="Abadi"/>
          <w:b/>
          <w:bCs/>
          <w:sz w:val="21"/>
          <w:szCs w:val="21"/>
        </w:rPr>
        <w:t>de</w:t>
      </w:r>
      <w:r w:rsidRPr="00AD79C7">
        <w:rPr>
          <w:rFonts w:ascii="Abadi" w:hAnsi="Abadi"/>
          <w:b/>
          <w:bCs/>
          <w:spacing w:val="-6"/>
          <w:sz w:val="21"/>
          <w:szCs w:val="21"/>
        </w:rPr>
        <w:t xml:space="preserve"> </w:t>
      </w:r>
      <w:r w:rsidRPr="00AD79C7">
        <w:rPr>
          <w:rFonts w:ascii="Abadi" w:hAnsi="Abadi"/>
          <w:b/>
          <w:bCs/>
          <w:sz w:val="21"/>
          <w:szCs w:val="21"/>
        </w:rPr>
        <w:t>medición</w:t>
      </w:r>
      <w:r w:rsidRPr="00AD79C7">
        <w:rPr>
          <w:rFonts w:ascii="Abadi" w:hAnsi="Abadi"/>
          <w:b/>
          <w:bCs/>
          <w:spacing w:val="-6"/>
          <w:sz w:val="21"/>
          <w:szCs w:val="21"/>
        </w:rPr>
        <w:t xml:space="preserve"> </w:t>
      </w:r>
      <w:r w:rsidRPr="00AD79C7">
        <w:rPr>
          <w:rFonts w:ascii="Abadi" w:hAnsi="Abadi"/>
          <w:b/>
          <w:bCs/>
          <w:sz w:val="21"/>
          <w:szCs w:val="21"/>
        </w:rPr>
        <w:t>que</w:t>
      </w:r>
      <w:r w:rsidRPr="00AD79C7">
        <w:rPr>
          <w:rFonts w:ascii="Abadi" w:hAnsi="Abadi"/>
          <w:b/>
          <w:bCs/>
          <w:spacing w:val="-6"/>
          <w:sz w:val="21"/>
          <w:szCs w:val="21"/>
        </w:rPr>
        <w:t xml:space="preserve"> </w:t>
      </w:r>
      <w:r w:rsidRPr="00AD79C7">
        <w:rPr>
          <w:rFonts w:ascii="Abadi" w:hAnsi="Abadi"/>
          <w:b/>
          <w:bCs/>
          <w:sz w:val="21"/>
          <w:szCs w:val="21"/>
        </w:rPr>
        <w:t>sirven</w:t>
      </w:r>
      <w:r w:rsidRPr="00AD79C7">
        <w:rPr>
          <w:rFonts w:ascii="Abadi" w:hAnsi="Abadi"/>
          <w:b/>
          <w:bCs/>
          <w:spacing w:val="-6"/>
          <w:sz w:val="21"/>
          <w:szCs w:val="21"/>
        </w:rPr>
        <w:t xml:space="preserve"> </w:t>
      </w:r>
      <w:r w:rsidRPr="00AD79C7">
        <w:rPr>
          <w:rFonts w:ascii="Abadi" w:hAnsi="Abadi"/>
          <w:b/>
          <w:bCs/>
          <w:sz w:val="21"/>
          <w:szCs w:val="21"/>
        </w:rPr>
        <w:t>de</w:t>
      </w:r>
      <w:r w:rsidRPr="00AD79C7">
        <w:rPr>
          <w:rFonts w:ascii="Abadi" w:hAnsi="Abadi"/>
          <w:b/>
          <w:bCs/>
          <w:spacing w:val="-6"/>
          <w:sz w:val="21"/>
          <w:szCs w:val="21"/>
        </w:rPr>
        <w:t xml:space="preserve"> </w:t>
      </w:r>
      <w:r w:rsidRPr="00AD79C7">
        <w:rPr>
          <w:rFonts w:ascii="Abadi" w:hAnsi="Abadi"/>
          <w:b/>
          <w:bCs/>
          <w:sz w:val="21"/>
          <w:szCs w:val="21"/>
        </w:rPr>
        <w:t>base</w:t>
      </w:r>
      <w:r w:rsidRPr="00AD79C7">
        <w:rPr>
          <w:rFonts w:ascii="Abadi" w:hAnsi="Abadi"/>
          <w:b/>
          <w:bCs/>
          <w:spacing w:val="-6"/>
          <w:sz w:val="21"/>
          <w:szCs w:val="21"/>
        </w:rPr>
        <w:t xml:space="preserve"> </w:t>
      </w:r>
      <w:r w:rsidRPr="00AD79C7">
        <w:rPr>
          <w:rFonts w:ascii="Abadi" w:hAnsi="Abadi"/>
          <w:b/>
          <w:bCs/>
          <w:sz w:val="21"/>
          <w:szCs w:val="21"/>
        </w:rPr>
        <w:t>en</w:t>
      </w:r>
      <w:r w:rsidRPr="00AD79C7">
        <w:rPr>
          <w:rFonts w:ascii="Abadi" w:hAnsi="Abadi"/>
          <w:b/>
          <w:bCs/>
          <w:spacing w:val="-6"/>
          <w:sz w:val="21"/>
          <w:szCs w:val="21"/>
        </w:rPr>
        <w:t xml:space="preserve"> </w:t>
      </w:r>
      <w:r w:rsidRPr="00AD79C7">
        <w:rPr>
          <w:rFonts w:ascii="Abadi" w:hAnsi="Abadi"/>
          <w:b/>
          <w:bCs/>
          <w:sz w:val="21"/>
          <w:szCs w:val="21"/>
        </w:rPr>
        <w:t>transacciones</w:t>
      </w:r>
      <w:r w:rsidRPr="00AD79C7">
        <w:rPr>
          <w:rFonts w:ascii="Abadi" w:hAnsi="Abadi"/>
          <w:b/>
          <w:bCs/>
          <w:spacing w:val="-2"/>
          <w:sz w:val="21"/>
          <w:szCs w:val="21"/>
        </w:rPr>
        <w:t xml:space="preserve"> </w:t>
      </w:r>
      <w:r w:rsidRPr="00AD79C7">
        <w:rPr>
          <w:rFonts w:ascii="Abadi" w:hAnsi="Abadi"/>
          <w:b/>
          <w:bCs/>
          <w:sz w:val="21"/>
          <w:szCs w:val="21"/>
        </w:rPr>
        <w:t>comerciales</w:t>
      </w:r>
      <w:r w:rsidRPr="00AD79C7">
        <w:rPr>
          <w:rFonts w:ascii="Abadi" w:hAnsi="Abadi"/>
          <w:b/>
          <w:bCs/>
          <w:spacing w:val="37"/>
          <w:sz w:val="21"/>
          <w:szCs w:val="21"/>
        </w:rPr>
        <w:t xml:space="preserve"> </w:t>
      </w:r>
      <w:r w:rsidRPr="00AD79C7">
        <w:rPr>
          <w:rFonts w:ascii="Abadi" w:hAnsi="Abadi"/>
          <w:b/>
          <w:bCs/>
          <w:sz w:val="21"/>
          <w:szCs w:val="21"/>
        </w:rPr>
        <w:t>del</w:t>
      </w:r>
      <w:r w:rsidRPr="00AD79C7">
        <w:rPr>
          <w:rFonts w:ascii="Abadi" w:hAnsi="Abadi"/>
          <w:b/>
          <w:bCs/>
          <w:spacing w:val="38"/>
          <w:sz w:val="21"/>
          <w:szCs w:val="21"/>
        </w:rPr>
        <w:t xml:space="preserve"> </w:t>
      </w:r>
      <w:r w:rsidRPr="00AD79C7">
        <w:rPr>
          <w:rFonts w:ascii="Abadi" w:hAnsi="Abadi"/>
          <w:b/>
          <w:bCs/>
          <w:sz w:val="21"/>
          <w:szCs w:val="21"/>
        </w:rPr>
        <w:t>sector</w:t>
      </w:r>
      <w:r w:rsidRPr="00AD79C7">
        <w:rPr>
          <w:rFonts w:ascii="Abadi" w:hAnsi="Abadi"/>
          <w:b/>
          <w:bCs/>
          <w:spacing w:val="37"/>
          <w:sz w:val="21"/>
          <w:szCs w:val="21"/>
        </w:rPr>
        <w:t xml:space="preserve"> </w:t>
      </w:r>
      <w:r w:rsidRPr="00AD79C7">
        <w:rPr>
          <w:rFonts w:ascii="Abadi" w:hAnsi="Abadi"/>
          <w:b/>
          <w:bCs/>
          <w:sz w:val="21"/>
          <w:szCs w:val="21"/>
        </w:rPr>
        <w:t>agroalimentario</w:t>
      </w:r>
      <w:r w:rsidRPr="00AD79C7">
        <w:rPr>
          <w:rFonts w:ascii="Abadi" w:hAnsi="Abadi"/>
          <w:b/>
          <w:bCs/>
          <w:spacing w:val="37"/>
          <w:sz w:val="21"/>
          <w:szCs w:val="21"/>
        </w:rPr>
        <w:t xml:space="preserve"> </w:t>
      </w:r>
      <w:r w:rsidRPr="00AD79C7">
        <w:rPr>
          <w:rFonts w:ascii="Abadi" w:hAnsi="Abadi"/>
          <w:b/>
          <w:bCs/>
          <w:sz w:val="21"/>
          <w:szCs w:val="21"/>
        </w:rPr>
        <w:t>en</w:t>
      </w:r>
      <w:r w:rsidRPr="00AD79C7">
        <w:rPr>
          <w:rFonts w:ascii="Abadi" w:hAnsi="Abadi"/>
          <w:b/>
          <w:bCs/>
          <w:spacing w:val="37"/>
          <w:sz w:val="21"/>
          <w:szCs w:val="21"/>
        </w:rPr>
        <w:t xml:space="preserve"> </w:t>
      </w:r>
      <w:r w:rsidRPr="00AD79C7">
        <w:rPr>
          <w:rFonts w:ascii="Abadi" w:hAnsi="Abadi"/>
          <w:b/>
          <w:bCs/>
          <w:sz w:val="21"/>
          <w:szCs w:val="21"/>
        </w:rPr>
        <w:t>el</w:t>
      </w:r>
      <w:r w:rsidRPr="00AD79C7">
        <w:rPr>
          <w:rFonts w:ascii="Abadi" w:hAnsi="Abadi"/>
          <w:b/>
          <w:bCs/>
          <w:spacing w:val="37"/>
          <w:sz w:val="21"/>
          <w:szCs w:val="21"/>
        </w:rPr>
        <w:t xml:space="preserve"> </w:t>
      </w:r>
      <w:r w:rsidRPr="00AD79C7">
        <w:rPr>
          <w:rFonts w:ascii="Abadi" w:hAnsi="Abadi"/>
          <w:b/>
          <w:bCs/>
          <w:sz w:val="21"/>
          <w:szCs w:val="21"/>
        </w:rPr>
        <w:t>Estado</w:t>
      </w:r>
      <w:r w:rsidRPr="00AD79C7">
        <w:rPr>
          <w:rFonts w:ascii="Abadi" w:hAnsi="Abadi"/>
          <w:b/>
          <w:bCs/>
          <w:spacing w:val="37"/>
          <w:sz w:val="21"/>
          <w:szCs w:val="21"/>
        </w:rPr>
        <w:t xml:space="preserve"> </w:t>
      </w:r>
      <w:r w:rsidRPr="00AD79C7">
        <w:rPr>
          <w:rFonts w:ascii="Abadi" w:hAnsi="Abadi"/>
          <w:b/>
          <w:bCs/>
          <w:sz w:val="21"/>
          <w:szCs w:val="21"/>
        </w:rPr>
        <w:t>de</w:t>
      </w:r>
      <w:r w:rsidRPr="00AD79C7">
        <w:rPr>
          <w:rFonts w:ascii="Abadi" w:hAnsi="Abadi"/>
          <w:b/>
          <w:bCs/>
          <w:spacing w:val="37"/>
          <w:sz w:val="21"/>
          <w:szCs w:val="21"/>
        </w:rPr>
        <w:t xml:space="preserve"> </w:t>
      </w:r>
      <w:r w:rsidRPr="00AD79C7">
        <w:rPr>
          <w:rFonts w:ascii="Abadi" w:hAnsi="Abadi"/>
          <w:b/>
          <w:bCs/>
          <w:sz w:val="21"/>
          <w:szCs w:val="21"/>
        </w:rPr>
        <w:t>Guanajuato</w:t>
      </w:r>
      <w:r w:rsidRPr="00AD79C7">
        <w:rPr>
          <w:rFonts w:ascii="Abadi" w:hAnsi="Abadi"/>
          <w:b/>
          <w:bCs/>
          <w:spacing w:val="37"/>
          <w:sz w:val="21"/>
          <w:szCs w:val="21"/>
        </w:rPr>
        <w:t xml:space="preserve"> </w:t>
      </w:r>
      <w:r w:rsidRPr="00AD79C7">
        <w:rPr>
          <w:rFonts w:ascii="Abadi" w:hAnsi="Abadi"/>
          <w:b/>
          <w:bCs/>
          <w:sz w:val="21"/>
          <w:szCs w:val="21"/>
        </w:rPr>
        <w:t>y</w:t>
      </w:r>
      <w:r w:rsidRPr="00AD79C7">
        <w:rPr>
          <w:rFonts w:ascii="Abadi" w:hAnsi="Abadi"/>
          <w:b/>
          <w:bCs/>
          <w:spacing w:val="37"/>
          <w:sz w:val="21"/>
          <w:szCs w:val="21"/>
        </w:rPr>
        <w:t xml:space="preserve"> </w:t>
      </w:r>
      <w:r w:rsidRPr="00AD79C7">
        <w:rPr>
          <w:rFonts w:ascii="Abadi" w:hAnsi="Abadi"/>
          <w:b/>
          <w:bCs/>
          <w:sz w:val="21"/>
          <w:szCs w:val="21"/>
        </w:rPr>
        <w:t>se</w:t>
      </w:r>
      <w:r w:rsidRPr="00AD79C7">
        <w:rPr>
          <w:rFonts w:ascii="Abadi" w:hAnsi="Abadi"/>
          <w:b/>
          <w:bCs/>
          <w:spacing w:val="-2"/>
          <w:sz w:val="21"/>
          <w:szCs w:val="21"/>
        </w:rPr>
        <w:t xml:space="preserve"> </w:t>
      </w:r>
      <w:r w:rsidRPr="00AD79C7">
        <w:rPr>
          <w:rFonts w:ascii="Abadi" w:hAnsi="Abadi"/>
          <w:b/>
          <w:bCs/>
          <w:sz w:val="21"/>
          <w:szCs w:val="21"/>
        </w:rPr>
        <w:t>realicen</w:t>
      </w:r>
      <w:r w:rsidRPr="00AD79C7">
        <w:rPr>
          <w:rFonts w:ascii="Abadi" w:hAnsi="Abadi"/>
          <w:b/>
          <w:bCs/>
          <w:spacing w:val="26"/>
          <w:sz w:val="21"/>
          <w:szCs w:val="21"/>
        </w:rPr>
        <w:t xml:space="preserve"> </w:t>
      </w:r>
      <w:r w:rsidRPr="00AD79C7">
        <w:rPr>
          <w:rFonts w:ascii="Abadi" w:hAnsi="Abadi"/>
          <w:b/>
          <w:bCs/>
          <w:sz w:val="21"/>
          <w:szCs w:val="21"/>
        </w:rPr>
        <w:t>verificaciones</w:t>
      </w:r>
      <w:r w:rsidRPr="00AD79C7">
        <w:rPr>
          <w:rFonts w:ascii="Abadi" w:hAnsi="Abadi"/>
          <w:b/>
          <w:bCs/>
          <w:spacing w:val="26"/>
          <w:sz w:val="21"/>
          <w:szCs w:val="21"/>
        </w:rPr>
        <w:t xml:space="preserve"> </w:t>
      </w:r>
      <w:r w:rsidRPr="00AD79C7">
        <w:rPr>
          <w:rFonts w:ascii="Abadi" w:hAnsi="Abadi"/>
          <w:b/>
          <w:bCs/>
          <w:sz w:val="21"/>
          <w:szCs w:val="21"/>
        </w:rPr>
        <w:t>rigurosas</w:t>
      </w:r>
      <w:r w:rsidRPr="00AD79C7">
        <w:rPr>
          <w:rFonts w:ascii="Abadi" w:hAnsi="Abadi"/>
          <w:b/>
          <w:bCs/>
          <w:spacing w:val="26"/>
          <w:sz w:val="21"/>
          <w:szCs w:val="21"/>
        </w:rPr>
        <w:t xml:space="preserve"> </w:t>
      </w:r>
      <w:r w:rsidRPr="00AD79C7">
        <w:rPr>
          <w:rFonts w:ascii="Abadi" w:hAnsi="Abadi"/>
          <w:b/>
          <w:bCs/>
          <w:sz w:val="21"/>
          <w:szCs w:val="21"/>
        </w:rPr>
        <w:t>en</w:t>
      </w:r>
      <w:r w:rsidRPr="00AD79C7">
        <w:rPr>
          <w:rFonts w:ascii="Abadi" w:hAnsi="Abadi"/>
          <w:b/>
          <w:bCs/>
          <w:spacing w:val="26"/>
          <w:sz w:val="21"/>
          <w:szCs w:val="21"/>
        </w:rPr>
        <w:t xml:space="preserve"> </w:t>
      </w:r>
      <w:r w:rsidRPr="00AD79C7">
        <w:rPr>
          <w:rFonts w:ascii="Abadi" w:hAnsi="Abadi"/>
          <w:b/>
          <w:bCs/>
          <w:sz w:val="21"/>
          <w:szCs w:val="21"/>
        </w:rPr>
        <w:t>los</w:t>
      </w:r>
      <w:r w:rsidRPr="00AD79C7">
        <w:rPr>
          <w:rFonts w:ascii="Abadi" w:hAnsi="Abadi"/>
          <w:b/>
          <w:bCs/>
          <w:spacing w:val="26"/>
          <w:sz w:val="21"/>
          <w:szCs w:val="21"/>
        </w:rPr>
        <w:t xml:space="preserve"> </w:t>
      </w:r>
      <w:r w:rsidRPr="00AD79C7">
        <w:rPr>
          <w:rFonts w:ascii="Abadi" w:hAnsi="Abadi"/>
          <w:b/>
          <w:bCs/>
          <w:sz w:val="21"/>
          <w:szCs w:val="21"/>
        </w:rPr>
        <w:t>centros</w:t>
      </w:r>
      <w:r w:rsidRPr="00AD79C7">
        <w:rPr>
          <w:rFonts w:ascii="Abadi" w:hAnsi="Abadi"/>
          <w:b/>
          <w:bCs/>
          <w:spacing w:val="26"/>
          <w:sz w:val="21"/>
          <w:szCs w:val="21"/>
        </w:rPr>
        <w:t xml:space="preserve"> </w:t>
      </w:r>
      <w:r w:rsidRPr="00AD79C7">
        <w:rPr>
          <w:rFonts w:ascii="Abadi" w:hAnsi="Abadi"/>
          <w:b/>
          <w:bCs/>
          <w:sz w:val="21"/>
          <w:szCs w:val="21"/>
        </w:rPr>
        <w:t>de</w:t>
      </w:r>
      <w:r w:rsidRPr="00AD79C7">
        <w:rPr>
          <w:rFonts w:ascii="Abadi" w:hAnsi="Abadi"/>
          <w:b/>
          <w:bCs/>
          <w:spacing w:val="26"/>
          <w:sz w:val="21"/>
          <w:szCs w:val="21"/>
        </w:rPr>
        <w:t xml:space="preserve"> </w:t>
      </w:r>
      <w:r w:rsidRPr="00AD79C7">
        <w:rPr>
          <w:rFonts w:ascii="Abadi" w:hAnsi="Abadi"/>
          <w:b/>
          <w:bCs/>
          <w:sz w:val="21"/>
          <w:szCs w:val="21"/>
        </w:rPr>
        <w:t>acopio</w:t>
      </w:r>
      <w:r w:rsidRPr="00AD79C7">
        <w:rPr>
          <w:rFonts w:ascii="Abadi" w:hAnsi="Abadi"/>
          <w:b/>
          <w:bCs/>
          <w:spacing w:val="26"/>
          <w:sz w:val="21"/>
          <w:szCs w:val="21"/>
        </w:rPr>
        <w:t xml:space="preserve"> </w:t>
      </w:r>
      <w:r w:rsidRPr="00AD79C7">
        <w:rPr>
          <w:rFonts w:ascii="Abadi" w:hAnsi="Abadi"/>
          <w:b/>
          <w:bCs/>
          <w:sz w:val="21"/>
          <w:szCs w:val="21"/>
        </w:rPr>
        <w:t>durante</w:t>
      </w:r>
      <w:r w:rsidRPr="00AD79C7">
        <w:rPr>
          <w:rFonts w:ascii="Abadi" w:hAnsi="Abadi"/>
          <w:b/>
          <w:bCs/>
          <w:spacing w:val="26"/>
          <w:sz w:val="21"/>
          <w:szCs w:val="21"/>
        </w:rPr>
        <w:t xml:space="preserve"> </w:t>
      </w:r>
      <w:r w:rsidRPr="00AD79C7">
        <w:rPr>
          <w:rFonts w:ascii="Abadi" w:hAnsi="Abadi"/>
          <w:b/>
          <w:bCs/>
          <w:sz w:val="21"/>
          <w:szCs w:val="21"/>
        </w:rPr>
        <w:t>el</w:t>
      </w:r>
      <w:r w:rsidRPr="00AD79C7">
        <w:rPr>
          <w:rFonts w:ascii="Abadi" w:hAnsi="Abadi"/>
          <w:b/>
          <w:bCs/>
          <w:spacing w:val="26"/>
          <w:sz w:val="21"/>
          <w:szCs w:val="21"/>
        </w:rPr>
        <w:t xml:space="preserve"> </w:t>
      </w:r>
      <w:r w:rsidRPr="00AD79C7">
        <w:rPr>
          <w:rFonts w:ascii="Abadi" w:hAnsi="Abadi"/>
          <w:b/>
          <w:bCs/>
          <w:sz w:val="21"/>
          <w:szCs w:val="21"/>
        </w:rPr>
        <w:t>ciclo</w:t>
      </w:r>
      <w:r w:rsidRPr="00AD79C7">
        <w:rPr>
          <w:rFonts w:ascii="Abadi" w:hAnsi="Abadi"/>
          <w:b/>
          <w:bCs/>
          <w:spacing w:val="-2"/>
          <w:sz w:val="21"/>
          <w:szCs w:val="21"/>
        </w:rPr>
        <w:t xml:space="preserve"> </w:t>
      </w:r>
      <w:r w:rsidRPr="00AD79C7">
        <w:rPr>
          <w:rFonts w:ascii="Abadi" w:hAnsi="Abadi"/>
          <w:b/>
          <w:bCs/>
          <w:sz w:val="21"/>
          <w:szCs w:val="21"/>
        </w:rPr>
        <w:t>agrícola</w:t>
      </w:r>
      <w:r w:rsidRPr="00AD79C7">
        <w:rPr>
          <w:rFonts w:ascii="Abadi" w:hAnsi="Abadi"/>
          <w:b/>
          <w:bCs/>
          <w:spacing w:val="79"/>
          <w:sz w:val="21"/>
          <w:szCs w:val="21"/>
        </w:rPr>
        <w:t xml:space="preserve"> </w:t>
      </w:r>
      <w:r w:rsidRPr="00AD79C7">
        <w:rPr>
          <w:rFonts w:ascii="Abadi" w:hAnsi="Abadi"/>
          <w:b/>
          <w:bCs/>
          <w:sz w:val="21"/>
          <w:szCs w:val="21"/>
        </w:rPr>
        <w:t>otoño-invierno,</w:t>
      </w:r>
      <w:r w:rsidRPr="00AD79C7">
        <w:rPr>
          <w:rFonts w:ascii="Abadi" w:hAnsi="Abadi"/>
          <w:b/>
          <w:bCs/>
          <w:spacing w:val="79"/>
          <w:sz w:val="21"/>
          <w:szCs w:val="21"/>
        </w:rPr>
        <w:t xml:space="preserve"> </w:t>
      </w:r>
      <w:r w:rsidRPr="00AD79C7">
        <w:rPr>
          <w:rFonts w:ascii="Abadi" w:hAnsi="Abadi"/>
          <w:b/>
          <w:bCs/>
          <w:sz w:val="21"/>
          <w:szCs w:val="21"/>
        </w:rPr>
        <w:t>una</w:t>
      </w:r>
      <w:r w:rsidRPr="00AD79C7">
        <w:rPr>
          <w:rFonts w:ascii="Abadi" w:hAnsi="Abadi"/>
          <w:b/>
          <w:bCs/>
          <w:spacing w:val="79"/>
          <w:sz w:val="21"/>
          <w:szCs w:val="21"/>
        </w:rPr>
        <w:t xml:space="preserve"> </w:t>
      </w:r>
      <w:r w:rsidRPr="00AD79C7">
        <w:rPr>
          <w:rFonts w:ascii="Abadi" w:hAnsi="Abadi"/>
          <w:b/>
          <w:bCs/>
          <w:sz w:val="21"/>
          <w:szCs w:val="21"/>
        </w:rPr>
        <w:t>vez</w:t>
      </w:r>
      <w:r w:rsidRPr="00AD79C7">
        <w:rPr>
          <w:rFonts w:ascii="Abadi" w:hAnsi="Abadi"/>
          <w:b/>
          <w:bCs/>
          <w:spacing w:val="79"/>
          <w:sz w:val="21"/>
          <w:szCs w:val="21"/>
        </w:rPr>
        <w:t xml:space="preserve"> </w:t>
      </w:r>
      <w:r w:rsidRPr="00AD79C7">
        <w:rPr>
          <w:rFonts w:ascii="Abadi" w:hAnsi="Abadi"/>
          <w:b/>
          <w:bCs/>
          <w:sz w:val="21"/>
          <w:szCs w:val="21"/>
        </w:rPr>
        <w:t>lo</w:t>
      </w:r>
      <w:r w:rsidRPr="00AD79C7">
        <w:rPr>
          <w:rFonts w:ascii="Abadi" w:hAnsi="Abadi"/>
          <w:b/>
          <w:bCs/>
          <w:spacing w:val="79"/>
          <w:sz w:val="21"/>
          <w:szCs w:val="21"/>
        </w:rPr>
        <w:t xml:space="preserve"> </w:t>
      </w:r>
      <w:r w:rsidRPr="00AD79C7">
        <w:rPr>
          <w:rFonts w:ascii="Abadi" w:hAnsi="Abadi"/>
          <w:b/>
          <w:bCs/>
          <w:sz w:val="21"/>
          <w:szCs w:val="21"/>
        </w:rPr>
        <w:t>cual</w:t>
      </w:r>
      <w:r w:rsidRPr="00AD79C7">
        <w:rPr>
          <w:rFonts w:ascii="Abadi" w:hAnsi="Abadi"/>
          <w:b/>
          <w:bCs/>
          <w:spacing w:val="79"/>
          <w:sz w:val="21"/>
          <w:szCs w:val="21"/>
        </w:rPr>
        <w:t xml:space="preserve"> </w:t>
      </w:r>
      <w:r w:rsidRPr="00AD79C7">
        <w:rPr>
          <w:rFonts w:ascii="Abadi" w:hAnsi="Abadi"/>
          <w:b/>
          <w:bCs/>
          <w:sz w:val="21"/>
          <w:szCs w:val="21"/>
        </w:rPr>
        <w:t>informe</w:t>
      </w:r>
      <w:r w:rsidRPr="00AD79C7">
        <w:rPr>
          <w:rFonts w:ascii="Abadi" w:hAnsi="Abadi"/>
          <w:b/>
          <w:bCs/>
          <w:spacing w:val="79"/>
          <w:sz w:val="21"/>
          <w:szCs w:val="21"/>
        </w:rPr>
        <w:t xml:space="preserve"> </w:t>
      </w:r>
      <w:r w:rsidRPr="00AD79C7">
        <w:rPr>
          <w:rFonts w:ascii="Abadi" w:hAnsi="Abadi"/>
          <w:b/>
          <w:bCs/>
          <w:sz w:val="21"/>
          <w:szCs w:val="21"/>
        </w:rPr>
        <w:t>a</w:t>
      </w:r>
      <w:r w:rsidRPr="00AD79C7">
        <w:rPr>
          <w:rFonts w:ascii="Abadi" w:hAnsi="Abadi"/>
          <w:b/>
          <w:bCs/>
          <w:spacing w:val="79"/>
          <w:sz w:val="21"/>
          <w:szCs w:val="21"/>
        </w:rPr>
        <w:t xml:space="preserve"> </w:t>
      </w:r>
      <w:r w:rsidRPr="00AD79C7">
        <w:rPr>
          <w:rFonts w:ascii="Abadi" w:hAnsi="Abadi"/>
          <w:b/>
          <w:bCs/>
          <w:sz w:val="21"/>
          <w:szCs w:val="21"/>
        </w:rPr>
        <w:t>esta</w:t>
      </w:r>
      <w:r w:rsidRPr="00AD79C7">
        <w:rPr>
          <w:rFonts w:ascii="Abadi" w:hAnsi="Abadi"/>
          <w:b/>
          <w:bCs/>
          <w:spacing w:val="79"/>
          <w:sz w:val="21"/>
          <w:szCs w:val="21"/>
        </w:rPr>
        <w:t xml:space="preserve"> </w:t>
      </w:r>
      <w:r w:rsidRPr="00AD79C7">
        <w:rPr>
          <w:rFonts w:ascii="Abadi" w:hAnsi="Abadi"/>
          <w:b/>
          <w:bCs/>
          <w:sz w:val="21"/>
          <w:szCs w:val="21"/>
        </w:rPr>
        <w:t>soberanía</w:t>
      </w:r>
      <w:r w:rsidRPr="00AD79C7">
        <w:rPr>
          <w:rFonts w:ascii="Abadi" w:hAnsi="Abadi"/>
          <w:b/>
          <w:bCs/>
          <w:spacing w:val="79"/>
          <w:sz w:val="21"/>
          <w:szCs w:val="21"/>
        </w:rPr>
        <w:t xml:space="preserve"> </w:t>
      </w:r>
      <w:r w:rsidRPr="00AD79C7">
        <w:rPr>
          <w:rFonts w:ascii="Abadi" w:hAnsi="Abadi"/>
          <w:b/>
          <w:bCs/>
          <w:sz w:val="21"/>
          <w:szCs w:val="21"/>
        </w:rPr>
        <w:t>los</w:t>
      </w:r>
      <w:r w:rsidRPr="00AD79C7">
        <w:rPr>
          <w:rFonts w:ascii="Abadi" w:hAnsi="Abadi"/>
          <w:b/>
          <w:bCs/>
          <w:spacing w:val="-2"/>
          <w:sz w:val="21"/>
          <w:szCs w:val="21"/>
        </w:rPr>
        <w:t xml:space="preserve"> </w:t>
      </w:r>
      <w:r w:rsidRPr="00AD79C7">
        <w:rPr>
          <w:rFonts w:ascii="Abadi" w:hAnsi="Abadi"/>
          <w:b/>
          <w:bCs/>
          <w:sz w:val="21"/>
          <w:szCs w:val="21"/>
        </w:rPr>
        <w:t>resultados</w:t>
      </w:r>
      <w:r w:rsidRPr="00AD79C7">
        <w:rPr>
          <w:rFonts w:ascii="Abadi" w:hAnsi="Abadi"/>
          <w:b/>
          <w:bCs/>
          <w:spacing w:val="-1"/>
          <w:sz w:val="21"/>
          <w:szCs w:val="21"/>
        </w:rPr>
        <w:t xml:space="preserve"> </w:t>
      </w:r>
      <w:r w:rsidRPr="00AD79C7">
        <w:rPr>
          <w:rFonts w:ascii="Abadi" w:hAnsi="Abadi"/>
          <w:b/>
          <w:bCs/>
          <w:sz w:val="21"/>
          <w:szCs w:val="21"/>
        </w:rPr>
        <w:t>encontrados.</w:t>
      </w:r>
    </w:p>
    <w:p w14:paraId="111012D8" w14:textId="77777777" w:rsidR="002558AB" w:rsidRPr="00AD79C7" w:rsidRDefault="002558AB" w:rsidP="005433FA">
      <w:pPr>
        <w:pStyle w:val="Prrafodelista"/>
        <w:numPr>
          <w:ilvl w:val="0"/>
          <w:numId w:val="8"/>
        </w:numPr>
        <w:tabs>
          <w:tab w:val="left" w:pos="856"/>
        </w:tabs>
        <w:kinsoku w:val="0"/>
        <w:overflowPunct w:val="0"/>
        <w:autoSpaceDE w:val="0"/>
        <w:autoSpaceDN w:val="0"/>
        <w:adjustRightInd w:val="0"/>
        <w:spacing w:before="203"/>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50"/>
          <w:w w:val="150"/>
          <w:sz w:val="21"/>
          <w:szCs w:val="21"/>
        </w:rPr>
        <w:t xml:space="preserve"> </w:t>
      </w:r>
      <w:r w:rsidRPr="00AD79C7">
        <w:rPr>
          <w:rFonts w:ascii="Abadi" w:hAnsi="Abadi"/>
          <w:b/>
          <w:bCs/>
          <w:sz w:val="21"/>
          <w:szCs w:val="21"/>
        </w:rPr>
        <w:t>y,</w:t>
      </w:r>
      <w:r w:rsidRPr="00AD79C7">
        <w:rPr>
          <w:rFonts w:ascii="Abadi" w:hAnsi="Abadi"/>
          <w:b/>
          <w:bCs/>
          <w:spacing w:val="50"/>
          <w:w w:val="150"/>
          <w:sz w:val="21"/>
          <w:szCs w:val="21"/>
        </w:rPr>
        <w:t xml:space="preserve"> </w:t>
      </w:r>
      <w:r w:rsidRPr="00AD79C7">
        <w:rPr>
          <w:rFonts w:ascii="Abadi" w:hAnsi="Abadi"/>
          <w:b/>
          <w:bCs/>
          <w:sz w:val="21"/>
          <w:szCs w:val="21"/>
        </w:rPr>
        <w:t>en</w:t>
      </w:r>
      <w:r w:rsidRPr="00AD79C7">
        <w:rPr>
          <w:rFonts w:ascii="Abadi" w:hAnsi="Abadi"/>
          <w:b/>
          <w:bCs/>
          <w:spacing w:val="50"/>
          <w:w w:val="150"/>
          <w:sz w:val="21"/>
          <w:szCs w:val="21"/>
        </w:rPr>
        <w:t xml:space="preserve"> </w:t>
      </w:r>
      <w:r w:rsidRPr="00AD79C7">
        <w:rPr>
          <w:rFonts w:ascii="Abadi" w:hAnsi="Abadi"/>
          <w:b/>
          <w:bCs/>
          <w:sz w:val="21"/>
          <w:szCs w:val="21"/>
        </w:rPr>
        <w:t>su</w:t>
      </w:r>
      <w:r w:rsidRPr="00AD79C7">
        <w:rPr>
          <w:rFonts w:ascii="Abadi" w:hAnsi="Abadi"/>
          <w:b/>
          <w:bCs/>
          <w:spacing w:val="50"/>
          <w:w w:val="150"/>
          <w:sz w:val="21"/>
          <w:szCs w:val="21"/>
        </w:rPr>
        <w:t xml:space="preserve"> </w:t>
      </w:r>
      <w:r w:rsidRPr="00AD79C7">
        <w:rPr>
          <w:rFonts w:ascii="Abadi" w:hAnsi="Abadi"/>
          <w:b/>
          <w:bCs/>
          <w:sz w:val="21"/>
          <w:szCs w:val="21"/>
        </w:rPr>
        <w:t>caso,</w:t>
      </w:r>
      <w:r w:rsidRPr="00AD79C7">
        <w:rPr>
          <w:rFonts w:ascii="Abadi" w:hAnsi="Abadi"/>
          <w:b/>
          <w:bCs/>
          <w:spacing w:val="50"/>
          <w:w w:val="150"/>
          <w:sz w:val="21"/>
          <w:szCs w:val="21"/>
        </w:rPr>
        <w:t xml:space="preserve"> </w:t>
      </w:r>
      <w:r w:rsidRPr="00AD79C7">
        <w:rPr>
          <w:rFonts w:ascii="Abadi" w:hAnsi="Abadi"/>
          <w:b/>
          <w:bCs/>
          <w:sz w:val="21"/>
          <w:szCs w:val="21"/>
        </w:rPr>
        <w:t>aprobación</w:t>
      </w:r>
      <w:r w:rsidRPr="00AD79C7">
        <w:rPr>
          <w:rFonts w:ascii="Abadi" w:hAnsi="Abadi"/>
          <w:b/>
          <w:bCs/>
          <w:spacing w:val="50"/>
          <w:w w:val="150"/>
          <w:sz w:val="21"/>
          <w:szCs w:val="21"/>
        </w:rPr>
        <w:t xml:space="preserve"> </w:t>
      </w:r>
      <w:r w:rsidRPr="00AD79C7">
        <w:rPr>
          <w:rFonts w:ascii="Abadi" w:hAnsi="Abadi"/>
          <w:b/>
          <w:bCs/>
          <w:sz w:val="21"/>
          <w:szCs w:val="21"/>
        </w:rPr>
        <w:t>del</w:t>
      </w:r>
      <w:r w:rsidRPr="00AD79C7">
        <w:rPr>
          <w:rFonts w:ascii="Abadi" w:hAnsi="Abadi"/>
          <w:b/>
          <w:bCs/>
          <w:spacing w:val="50"/>
          <w:w w:val="150"/>
          <w:sz w:val="21"/>
          <w:szCs w:val="21"/>
        </w:rPr>
        <w:t xml:space="preserve"> </w:t>
      </w:r>
      <w:r w:rsidRPr="00AD79C7">
        <w:rPr>
          <w:rFonts w:ascii="Abadi" w:hAnsi="Abadi"/>
          <w:b/>
          <w:bCs/>
          <w:sz w:val="21"/>
          <w:szCs w:val="21"/>
        </w:rPr>
        <w:t>dictamen</w:t>
      </w:r>
      <w:r w:rsidRPr="00AD79C7">
        <w:rPr>
          <w:rFonts w:ascii="Abadi" w:hAnsi="Abadi"/>
          <w:b/>
          <w:bCs/>
          <w:spacing w:val="50"/>
          <w:w w:val="150"/>
          <w:sz w:val="21"/>
          <w:szCs w:val="21"/>
        </w:rPr>
        <w:t xml:space="preserve"> </w:t>
      </w:r>
      <w:r w:rsidRPr="00AD79C7">
        <w:rPr>
          <w:rFonts w:ascii="Abadi" w:hAnsi="Abadi"/>
          <w:b/>
          <w:bCs/>
          <w:sz w:val="21"/>
          <w:szCs w:val="21"/>
        </w:rPr>
        <w:t>presentado</w:t>
      </w:r>
      <w:r w:rsidRPr="00AD79C7">
        <w:rPr>
          <w:rFonts w:ascii="Abadi" w:hAnsi="Abadi"/>
          <w:b/>
          <w:bCs/>
          <w:spacing w:val="50"/>
          <w:w w:val="150"/>
          <w:sz w:val="21"/>
          <w:szCs w:val="21"/>
        </w:rPr>
        <w:t xml:space="preserve"> </w:t>
      </w:r>
      <w:r w:rsidRPr="00AD79C7">
        <w:rPr>
          <w:rFonts w:ascii="Abadi" w:hAnsi="Abadi"/>
          <w:b/>
          <w:bCs/>
          <w:sz w:val="21"/>
          <w:szCs w:val="21"/>
        </w:rPr>
        <w:t>por</w:t>
      </w:r>
      <w:r w:rsidRPr="00AD79C7">
        <w:rPr>
          <w:rFonts w:ascii="Abadi" w:hAnsi="Abadi"/>
          <w:b/>
          <w:bCs/>
          <w:spacing w:val="50"/>
          <w:w w:val="150"/>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Comisión</w:t>
      </w:r>
      <w:r w:rsidRPr="00AD79C7">
        <w:rPr>
          <w:rFonts w:ascii="Abadi" w:hAnsi="Abadi"/>
          <w:b/>
          <w:bCs/>
          <w:spacing w:val="15"/>
          <w:sz w:val="21"/>
          <w:szCs w:val="21"/>
        </w:rPr>
        <w:t xml:space="preserve"> </w:t>
      </w:r>
      <w:r w:rsidRPr="00AD79C7">
        <w:rPr>
          <w:rFonts w:ascii="Abadi" w:hAnsi="Abadi"/>
          <w:b/>
          <w:bCs/>
          <w:sz w:val="21"/>
          <w:szCs w:val="21"/>
        </w:rPr>
        <w:t>de</w:t>
      </w:r>
      <w:r w:rsidRPr="00AD79C7">
        <w:rPr>
          <w:rFonts w:ascii="Abadi" w:hAnsi="Abadi"/>
          <w:b/>
          <w:bCs/>
          <w:spacing w:val="14"/>
          <w:sz w:val="21"/>
          <w:szCs w:val="21"/>
        </w:rPr>
        <w:t xml:space="preserve"> </w:t>
      </w:r>
      <w:r w:rsidRPr="00AD79C7">
        <w:rPr>
          <w:rFonts w:ascii="Abadi" w:hAnsi="Abadi"/>
          <w:b/>
          <w:bCs/>
          <w:sz w:val="21"/>
          <w:szCs w:val="21"/>
        </w:rPr>
        <w:t>Gobernación</w:t>
      </w:r>
      <w:r w:rsidRPr="00AD79C7">
        <w:rPr>
          <w:rFonts w:ascii="Abadi" w:hAnsi="Abadi"/>
          <w:b/>
          <w:bCs/>
          <w:spacing w:val="14"/>
          <w:sz w:val="21"/>
          <w:szCs w:val="21"/>
        </w:rPr>
        <w:t xml:space="preserve"> </w:t>
      </w:r>
      <w:r w:rsidRPr="00AD79C7">
        <w:rPr>
          <w:rFonts w:ascii="Abadi" w:hAnsi="Abadi"/>
          <w:b/>
          <w:bCs/>
          <w:sz w:val="21"/>
          <w:szCs w:val="21"/>
        </w:rPr>
        <w:t>y</w:t>
      </w:r>
      <w:r w:rsidRPr="00AD79C7">
        <w:rPr>
          <w:rFonts w:ascii="Abadi" w:hAnsi="Abadi"/>
          <w:b/>
          <w:bCs/>
          <w:spacing w:val="14"/>
          <w:sz w:val="21"/>
          <w:szCs w:val="21"/>
        </w:rPr>
        <w:t xml:space="preserve"> </w:t>
      </w:r>
      <w:r w:rsidRPr="00AD79C7">
        <w:rPr>
          <w:rFonts w:ascii="Abadi" w:hAnsi="Abadi"/>
          <w:b/>
          <w:bCs/>
          <w:sz w:val="21"/>
          <w:szCs w:val="21"/>
        </w:rPr>
        <w:t>Puntos</w:t>
      </w:r>
      <w:r w:rsidRPr="00AD79C7">
        <w:rPr>
          <w:rFonts w:ascii="Abadi" w:hAnsi="Abadi"/>
          <w:b/>
          <w:bCs/>
          <w:spacing w:val="14"/>
          <w:sz w:val="21"/>
          <w:szCs w:val="21"/>
        </w:rPr>
        <w:t xml:space="preserve"> </w:t>
      </w:r>
      <w:r w:rsidRPr="00AD79C7">
        <w:rPr>
          <w:rFonts w:ascii="Abadi" w:hAnsi="Abadi"/>
          <w:b/>
          <w:bCs/>
          <w:sz w:val="21"/>
          <w:szCs w:val="21"/>
        </w:rPr>
        <w:t>Constitucionales</w:t>
      </w:r>
      <w:r w:rsidRPr="00AD79C7">
        <w:rPr>
          <w:rFonts w:ascii="Abadi" w:hAnsi="Abadi"/>
          <w:b/>
          <w:bCs/>
          <w:spacing w:val="13"/>
          <w:sz w:val="21"/>
          <w:szCs w:val="21"/>
        </w:rPr>
        <w:t xml:space="preserve"> </w:t>
      </w:r>
      <w:r w:rsidRPr="00AD79C7">
        <w:rPr>
          <w:rFonts w:ascii="Abadi" w:hAnsi="Abadi"/>
          <w:b/>
          <w:bCs/>
          <w:sz w:val="21"/>
          <w:szCs w:val="21"/>
        </w:rPr>
        <w:t>relativo</w:t>
      </w:r>
      <w:r w:rsidRPr="00AD79C7">
        <w:rPr>
          <w:rFonts w:ascii="Abadi" w:hAnsi="Abadi"/>
          <w:b/>
          <w:bCs/>
          <w:spacing w:val="14"/>
          <w:sz w:val="21"/>
          <w:szCs w:val="21"/>
        </w:rPr>
        <w:t xml:space="preserve"> </w:t>
      </w:r>
      <w:r w:rsidRPr="00AD79C7">
        <w:rPr>
          <w:rFonts w:ascii="Abadi" w:hAnsi="Abadi"/>
          <w:b/>
          <w:bCs/>
          <w:sz w:val="21"/>
          <w:szCs w:val="21"/>
        </w:rPr>
        <w:t>a</w:t>
      </w:r>
      <w:r w:rsidRPr="00AD79C7">
        <w:rPr>
          <w:rFonts w:ascii="Abadi" w:hAnsi="Abadi"/>
          <w:b/>
          <w:bCs/>
          <w:spacing w:val="14"/>
          <w:sz w:val="21"/>
          <w:szCs w:val="21"/>
        </w:rPr>
        <w:t xml:space="preserve"> </w:t>
      </w:r>
      <w:r w:rsidRPr="00AD79C7">
        <w:rPr>
          <w:rFonts w:ascii="Abadi" w:hAnsi="Abadi"/>
          <w:b/>
          <w:bCs/>
          <w:sz w:val="21"/>
          <w:szCs w:val="21"/>
        </w:rPr>
        <w:t>la</w:t>
      </w:r>
      <w:r w:rsidRPr="00AD79C7">
        <w:rPr>
          <w:rFonts w:ascii="Abadi" w:hAnsi="Abadi"/>
          <w:b/>
          <w:bCs/>
          <w:spacing w:val="14"/>
          <w:sz w:val="21"/>
          <w:szCs w:val="21"/>
        </w:rPr>
        <w:t xml:space="preserve"> </w:t>
      </w:r>
      <w:r w:rsidRPr="00AD79C7">
        <w:rPr>
          <w:rFonts w:ascii="Abadi" w:hAnsi="Abadi"/>
          <w:b/>
          <w:bCs/>
          <w:sz w:val="21"/>
          <w:szCs w:val="21"/>
        </w:rPr>
        <w:t>iniciativa</w:t>
      </w:r>
      <w:r w:rsidRPr="00AD79C7">
        <w:rPr>
          <w:rFonts w:ascii="Abadi" w:hAnsi="Abadi"/>
          <w:b/>
          <w:bCs/>
          <w:spacing w:val="-1"/>
          <w:sz w:val="21"/>
          <w:szCs w:val="21"/>
        </w:rPr>
        <w:t xml:space="preserve"> </w:t>
      </w:r>
      <w:r w:rsidRPr="00AD79C7">
        <w:rPr>
          <w:rFonts w:ascii="Abadi" w:hAnsi="Abadi"/>
          <w:b/>
          <w:bCs/>
          <w:sz w:val="21"/>
          <w:szCs w:val="21"/>
        </w:rPr>
        <w:t>formulada</w:t>
      </w:r>
      <w:r w:rsidRPr="00AD79C7">
        <w:rPr>
          <w:rFonts w:ascii="Abadi" w:hAnsi="Abadi"/>
          <w:b/>
          <w:bCs/>
          <w:spacing w:val="30"/>
          <w:sz w:val="21"/>
          <w:szCs w:val="21"/>
        </w:rPr>
        <w:t xml:space="preserve"> </w:t>
      </w:r>
      <w:r w:rsidRPr="00AD79C7">
        <w:rPr>
          <w:rFonts w:ascii="Abadi" w:hAnsi="Abadi"/>
          <w:b/>
          <w:bCs/>
          <w:sz w:val="21"/>
          <w:szCs w:val="21"/>
        </w:rPr>
        <w:t>por</w:t>
      </w:r>
      <w:r w:rsidRPr="00AD79C7">
        <w:rPr>
          <w:rFonts w:ascii="Abadi" w:hAnsi="Abadi"/>
          <w:b/>
          <w:bCs/>
          <w:spacing w:val="30"/>
          <w:sz w:val="21"/>
          <w:szCs w:val="21"/>
        </w:rPr>
        <w:t xml:space="preserve"> </w:t>
      </w:r>
      <w:r w:rsidRPr="00AD79C7">
        <w:rPr>
          <w:rFonts w:ascii="Abadi" w:hAnsi="Abadi"/>
          <w:b/>
          <w:bCs/>
          <w:sz w:val="21"/>
          <w:szCs w:val="21"/>
        </w:rPr>
        <w:t>la</w:t>
      </w:r>
      <w:r w:rsidRPr="00AD79C7">
        <w:rPr>
          <w:rFonts w:ascii="Abadi" w:hAnsi="Abadi"/>
          <w:b/>
          <w:bCs/>
          <w:spacing w:val="30"/>
          <w:sz w:val="21"/>
          <w:szCs w:val="21"/>
        </w:rPr>
        <w:t xml:space="preserve"> </w:t>
      </w:r>
      <w:r w:rsidRPr="00AD79C7">
        <w:rPr>
          <w:rFonts w:ascii="Abadi" w:hAnsi="Abadi"/>
          <w:b/>
          <w:bCs/>
          <w:sz w:val="21"/>
          <w:szCs w:val="21"/>
        </w:rPr>
        <w:t>diputada</w:t>
      </w:r>
      <w:r w:rsidRPr="00AD79C7">
        <w:rPr>
          <w:rFonts w:ascii="Abadi" w:hAnsi="Abadi"/>
          <w:b/>
          <w:bCs/>
          <w:spacing w:val="30"/>
          <w:sz w:val="21"/>
          <w:szCs w:val="21"/>
        </w:rPr>
        <w:t xml:space="preserve"> </w:t>
      </w:r>
      <w:r w:rsidRPr="00AD79C7">
        <w:rPr>
          <w:rFonts w:ascii="Abadi" w:hAnsi="Abadi"/>
          <w:b/>
          <w:bCs/>
          <w:sz w:val="21"/>
          <w:szCs w:val="21"/>
        </w:rPr>
        <w:t>María</w:t>
      </w:r>
      <w:r w:rsidRPr="00AD79C7">
        <w:rPr>
          <w:rFonts w:ascii="Abadi" w:hAnsi="Abadi"/>
          <w:b/>
          <w:bCs/>
          <w:spacing w:val="30"/>
          <w:sz w:val="21"/>
          <w:szCs w:val="21"/>
        </w:rPr>
        <w:t xml:space="preserve"> </w:t>
      </w:r>
      <w:r w:rsidRPr="00AD79C7">
        <w:rPr>
          <w:rFonts w:ascii="Abadi" w:hAnsi="Abadi"/>
          <w:b/>
          <w:bCs/>
          <w:sz w:val="21"/>
          <w:szCs w:val="21"/>
        </w:rPr>
        <w:t>Magdalena</w:t>
      </w:r>
      <w:r w:rsidRPr="00AD79C7">
        <w:rPr>
          <w:rFonts w:ascii="Abadi" w:hAnsi="Abadi"/>
          <w:b/>
          <w:bCs/>
          <w:spacing w:val="30"/>
          <w:sz w:val="21"/>
          <w:szCs w:val="21"/>
        </w:rPr>
        <w:t xml:space="preserve"> </w:t>
      </w:r>
      <w:r w:rsidRPr="00AD79C7">
        <w:rPr>
          <w:rFonts w:ascii="Abadi" w:hAnsi="Abadi"/>
          <w:b/>
          <w:bCs/>
          <w:sz w:val="21"/>
          <w:szCs w:val="21"/>
        </w:rPr>
        <w:t>Rosales</w:t>
      </w:r>
      <w:r w:rsidRPr="00AD79C7">
        <w:rPr>
          <w:rFonts w:ascii="Abadi" w:hAnsi="Abadi"/>
          <w:b/>
          <w:bCs/>
          <w:spacing w:val="30"/>
          <w:sz w:val="21"/>
          <w:szCs w:val="21"/>
        </w:rPr>
        <w:t xml:space="preserve"> </w:t>
      </w:r>
      <w:r w:rsidRPr="00AD79C7">
        <w:rPr>
          <w:rFonts w:ascii="Abadi" w:hAnsi="Abadi"/>
          <w:b/>
          <w:bCs/>
          <w:sz w:val="21"/>
          <w:szCs w:val="21"/>
        </w:rPr>
        <w:t>Cruz,</w:t>
      </w:r>
      <w:r w:rsidRPr="00AD79C7">
        <w:rPr>
          <w:rFonts w:ascii="Abadi" w:hAnsi="Abadi"/>
          <w:b/>
          <w:bCs/>
          <w:spacing w:val="30"/>
          <w:sz w:val="21"/>
          <w:szCs w:val="21"/>
        </w:rPr>
        <w:t xml:space="preserve"> </w:t>
      </w:r>
      <w:r w:rsidRPr="00AD79C7">
        <w:rPr>
          <w:rFonts w:ascii="Abadi" w:hAnsi="Abadi"/>
          <w:b/>
          <w:bCs/>
          <w:sz w:val="21"/>
          <w:szCs w:val="21"/>
        </w:rPr>
        <w:t>integrante</w:t>
      </w:r>
      <w:r w:rsidRPr="00AD79C7">
        <w:rPr>
          <w:rFonts w:ascii="Abadi" w:hAnsi="Abadi"/>
          <w:b/>
          <w:bCs/>
          <w:spacing w:val="30"/>
          <w:sz w:val="21"/>
          <w:szCs w:val="21"/>
        </w:rPr>
        <w:t xml:space="preserve"> </w:t>
      </w:r>
      <w:r w:rsidRPr="00AD79C7">
        <w:rPr>
          <w:rFonts w:ascii="Abadi" w:hAnsi="Abadi"/>
          <w:b/>
          <w:bCs/>
          <w:sz w:val="21"/>
          <w:szCs w:val="21"/>
        </w:rPr>
        <w:t>del</w:t>
      </w:r>
      <w:r w:rsidRPr="00AD79C7">
        <w:rPr>
          <w:rFonts w:ascii="Abadi" w:hAnsi="Abadi"/>
          <w:b/>
          <w:bCs/>
          <w:spacing w:val="-1"/>
          <w:sz w:val="21"/>
          <w:szCs w:val="21"/>
        </w:rPr>
        <w:t xml:space="preserve"> </w:t>
      </w:r>
      <w:r w:rsidRPr="00AD79C7">
        <w:rPr>
          <w:rFonts w:ascii="Abadi" w:hAnsi="Abadi"/>
          <w:b/>
          <w:bCs/>
          <w:sz w:val="21"/>
          <w:szCs w:val="21"/>
        </w:rPr>
        <w:t>Grupo</w:t>
      </w:r>
      <w:r w:rsidRPr="00AD79C7">
        <w:rPr>
          <w:rFonts w:ascii="Abadi" w:hAnsi="Abadi"/>
          <w:b/>
          <w:bCs/>
          <w:spacing w:val="-5"/>
          <w:sz w:val="21"/>
          <w:szCs w:val="21"/>
        </w:rPr>
        <w:t xml:space="preserve"> </w:t>
      </w:r>
      <w:r w:rsidRPr="00AD79C7">
        <w:rPr>
          <w:rFonts w:ascii="Abadi" w:hAnsi="Abadi"/>
          <w:b/>
          <w:bCs/>
          <w:sz w:val="21"/>
          <w:szCs w:val="21"/>
        </w:rPr>
        <w:t>Parlamentario</w:t>
      </w:r>
      <w:r w:rsidRPr="00AD79C7">
        <w:rPr>
          <w:rFonts w:ascii="Abadi" w:hAnsi="Abadi"/>
          <w:b/>
          <w:bCs/>
          <w:spacing w:val="-5"/>
          <w:sz w:val="21"/>
          <w:szCs w:val="21"/>
        </w:rPr>
        <w:t xml:space="preserve"> </w:t>
      </w:r>
      <w:r w:rsidRPr="00AD79C7">
        <w:rPr>
          <w:rFonts w:ascii="Abadi" w:hAnsi="Abadi"/>
          <w:b/>
          <w:bCs/>
          <w:sz w:val="21"/>
          <w:szCs w:val="21"/>
        </w:rPr>
        <w:t>del</w:t>
      </w:r>
      <w:r w:rsidRPr="00AD79C7">
        <w:rPr>
          <w:rFonts w:ascii="Abadi" w:hAnsi="Abadi"/>
          <w:b/>
          <w:bCs/>
          <w:spacing w:val="-6"/>
          <w:sz w:val="21"/>
          <w:szCs w:val="21"/>
        </w:rPr>
        <w:t xml:space="preserve"> </w:t>
      </w:r>
      <w:r w:rsidRPr="00AD79C7">
        <w:rPr>
          <w:rFonts w:ascii="Abadi" w:hAnsi="Abadi"/>
          <w:b/>
          <w:bCs/>
          <w:sz w:val="21"/>
          <w:szCs w:val="21"/>
        </w:rPr>
        <w:t>Partido</w:t>
      </w:r>
      <w:r w:rsidRPr="00AD79C7">
        <w:rPr>
          <w:rFonts w:ascii="Abadi" w:hAnsi="Abadi"/>
          <w:b/>
          <w:bCs/>
          <w:spacing w:val="-5"/>
          <w:sz w:val="21"/>
          <w:szCs w:val="21"/>
        </w:rPr>
        <w:t xml:space="preserve"> </w:t>
      </w:r>
      <w:r w:rsidRPr="00AD79C7">
        <w:rPr>
          <w:rFonts w:ascii="Abadi" w:hAnsi="Abadi"/>
          <w:b/>
          <w:bCs/>
          <w:sz w:val="21"/>
          <w:szCs w:val="21"/>
        </w:rPr>
        <w:t>Morena,</w:t>
      </w:r>
      <w:r w:rsidRPr="00AD79C7">
        <w:rPr>
          <w:rFonts w:ascii="Abadi" w:hAnsi="Abadi"/>
          <w:b/>
          <w:bCs/>
          <w:spacing w:val="-6"/>
          <w:sz w:val="21"/>
          <w:szCs w:val="21"/>
        </w:rPr>
        <w:t xml:space="preserve"> </w:t>
      </w:r>
      <w:r w:rsidRPr="00AD79C7">
        <w:rPr>
          <w:rFonts w:ascii="Abadi" w:hAnsi="Abadi"/>
          <w:b/>
          <w:bCs/>
          <w:sz w:val="21"/>
          <w:szCs w:val="21"/>
        </w:rPr>
        <w:t>a</w:t>
      </w:r>
      <w:r w:rsidRPr="00AD79C7">
        <w:rPr>
          <w:rFonts w:ascii="Abadi" w:hAnsi="Abadi"/>
          <w:b/>
          <w:bCs/>
          <w:spacing w:val="-5"/>
          <w:sz w:val="21"/>
          <w:szCs w:val="21"/>
        </w:rPr>
        <w:t xml:space="preserve"> </w:t>
      </w:r>
      <w:r w:rsidRPr="00AD79C7">
        <w:rPr>
          <w:rFonts w:ascii="Abadi" w:hAnsi="Abadi"/>
          <w:b/>
          <w:bCs/>
          <w:sz w:val="21"/>
          <w:szCs w:val="21"/>
        </w:rPr>
        <w:t>efecto</w:t>
      </w:r>
      <w:r w:rsidRPr="00AD79C7">
        <w:rPr>
          <w:rFonts w:ascii="Abadi" w:hAnsi="Abadi"/>
          <w:b/>
          <w:bCs/>
          <w:spacing w:val="-6"/>
          <w:sz w:val="21"/>
          <w:szCs w:val="21"/>
        </w:rPr>
        <w:t xml:space="preserve"> </w:t>
      </w:r>
      <w:r w:rsidRPr="00AD79C7">
        <w:rPr>
          <w:rFonts w:ascii="Abadi" w:hAnsi="Abadi"/>
          <w:b/>
          <w:bCs/>
          <w:sz w:val="21"/>
          <w:szCs w:val="21"/>
        </w:rPr>
        <w:t>de</w:t>
      </w:r>
      <w:r w:rsidRPr="00AD79C7">
        <w:rPr>
          <w:rFonts w:ascii="Abadi" w:hAnsi="Abadi"/>
          <w:b/>
          <w:bCs/>
          <w:spacing w:val="-5"/>
          <w:sz w:val="21"/>
          <w:szCs w:val="21"/>
        </w:rPr>
        <w:t xml:space="preserve"> </w:t>
      </w:r>
      <w:r w:rsidRPr="00AD79C7">
        <w:rPr>
          <w:rFonts w:ascii="Abadi" w:hAnsi="Abadi"/>
          <w:b/>
          <w:bCs/>
          <w:sz w:val="21"/>
          <w:szCs w:val="21"/>
        </w:rPr>
        <w:t>reformar</w:t>
      </w:r>
      <w:r w:rsidRPr="00AD79C7">
        <w:rPr>
          <w:rFonts w:ascii="Abadi" w:hAnsi="Abadi"/>
          <w:b/>
          <w:bCs/>
          <w:spacing w:val="-6"/>
          <w:sz w:val="21"/>
          <w:szCs w:val="21"/>
        </w:rPr>
        <w:t xml:space="preserve"> </w:t>
      </w:r>
      <w:r w:rsidRPr="00AD79C7">
        <w:rPr>
          <w:rFonts w:ascii="Abadi" w:hAnsi="Abadi"/>
          <w:b/>
          <w:bCs/>
          <w:sz w:val="21"/>
          <w:szCs w:val="21"/>
        </w:rPr>
        <w:t>el</w:t>
      </w:r>
      <w:r w:rsidRPr="00AD79C7">
        <w:rPr>
          <w:rFonts w:ascii="Abadi" w:hAnsi="Abadi"/>
          <w:b/>
          <w:bCs/>
          <w:spacing w:val="-6"/>
          <w:sz w:val="21"/>
          <w:szCs w:val="21"/>
        </w:rPr>
        <w:t xml:space="preserve"> </w:t>
      </w:r>
      <w:r w:rsidRPr="00AD79C7">
        <w:rPr>
          <w:rFonts w:ascii="Abadi" w:hAnsi="Abadi"/>
          <w:b/>
          <w:bCs/>
          <w:sz w:val="21"/>
          <w:szCs w:val="21"/>
        </w:rPr>
        <w:t>artículo</w:t>
      </w:r>
      <w:r w:rsidRPr="00AD79C7">
        <w:rPr>
          <w:rFonts w:ascii="Abadi" w:hAnsi="Abadi"/>
          <w:b/>
          <w:bCs/>
          <w:spacing w:val="-5"/>
          <w:sz w:val="21"/>
          <w:szCs w:val="21"/>
        </w:rPr>
        <w:t xml:space="preserve"> </w:t>
      </w:r>
      <w:r w:rsidRPr="00AD79C7">
        <w:rPr>
          <w:rFonts w:ascii="Abadi" w:hAnsi="Abadi"/>
          <w:b/>
          <w:bCs/>
          <w:sz w:val="21"/>
          <w:szCs w:val="21"/>
        </w:rPr>
        <w:t>30</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22"/>
          <w:sz w:val="21"/>
          <w:szCs w:val="21"/>
        </w:rPr>
        <w:t xml:space="preserve"> </w:t>
      </w:r>
      <w:r w:rsidRPr="00AD79C7">
        <w:rPr>
          <w:rFonts w:ascii="Abadi" w:hAnsi="Abadi"/>
          <w:b/>
          <w:bCs/>
          <w:sz w:val="21"/>
          <w:szCs w:val="21"/>
        </w:rPr>
        <w:t>la</w:t>
      </w:r>
      <w:r w:rsidRPr="00AD79C7">
        <w:rPr>
          <w:rFonts w:ascii="Abadi" w:hAnsi="Abadi"/>
          <w:b/>
          <w:bCs/>
          <w:spacing w:val="22"/>
          <w:sz w:val="21"/>
          <w:szCs w:val="21"/>
        </w:rPr>
        <w:t xml:space="preserve"> </w:t>
      </w:r>
      <w:r w:rsidRPr="00AD79C7">
        <w:rPr>
          <w:rFonts w:ascii="Abadi" w:hAnsi="Abadi"/>
          <w:b/>
          <w:bCs/>
          <w:sz w:val="21"/>
          <w:szCs w:val="21"/>
        </w:rPr>
        <w:t>Constitución</w:t>
      </w:r>
      <w:r w:rsidRPr="00AD79C7">
        <w:rPr>
          <w:rFonts w:ascii="Abadi" w:hAnsi="Abadi"/>
          <w:b/>
          <w:bCs/>
          <w:spacing w:val="22"/>
          <w:sz w:val="21"/>
          <w:szCs w:val="21"/>
        </w:rPr>
        <w:t xml:space="preserve"> </w:t>
      </w:r>
      <w:r w:rsidRPr="00AD79C7">
        <w:rPr>
          <w:rFonts w:ascii="Abadi" w:hAnsi="Abadi"/>
          <w:b/>
          <w:bCs/>
          <w:sz w:val="21"/>
          <w:szCs w:val="21"/>
        </w:rPr>
        <w:t>Política</w:t>
      </w:r>
      <w:r w:rsidRPr="00AD79C7">
        <w:rPr>
          <w:rFonts w:ascii="Abadi" w:hAnsi="Abadi"/>
          <w:b/>
          <w:bCs/>
          <w:spacing w:val="22"/>
          <w:sz w:val="21"/>
          <w:szCs w:val="21"/>
        </w:rPr>
        <w:t xml:space="preserve"> </w:t>
      </w:r>
      <w:r w:rsidRPr="00AD79C7">
        <w:rPr>
          <w:rFonts w:ascii="Abadi" w:hAnsi="Abadi"/>
          <w:b/>
          <w:bCs/>
          <w:sz w:val="21"/>
          <w:szCs w:val="21"/>
        </w:rPr>
        <w:t>para</w:t>
      </w:r>
      <w:r w:rsidRPr="00AD79C7">
        <w:rPr>
          <w:rFonts w:ascii="Abadi" w:hAnsi="Abadi"/>
          <w:b/>
          <w:bCs/>
          <w:spacing w:val="22"/>
          <w:sz w:val="21"/>
          <w:szCs w:val="21"/>
        </w:rPr>
        <w:t xml:space="preserve"> </w:t>
      </w:r>
      <w:r w:rsidRPr="00AD79C7">
        <w:rPr>
          <w:rFonts w:ascii="Abadi" w:hAnsi="Abadi"/>
          <w:b/>
          <w:bCs/>
          <w:sz w:val="21"/>
          <w:szCs w:val="21"/>
        </w:rPr>
        <w:t>el</w:t>
      </w:r>
      <w:r w:rsidRPr="00AD79C7">
        <w:rPr>
          <w:rFonts w:ascii="Abadi" w:hAnsi="Abadi"/>
          <w:b/>
          <w:bCs/>
          <w:spacing w:val="22"/>
          <w:sz w:val="21"/>
          <w:szCs w:val="21"/>
        </w:rPr>
        <w:t xml:space="preserve"> </w:t>
      </w:r>
      <w:r w:rsidRPr="00AD79C7">
        <w:rPr>
          <w:rFonts w:ascii="Abadi" w:hAnsi="Abadi"/>
          <w:b/>
          <w:bCs/>
          <w:sz w:val="21"/>
          <w:szCs w:val="21"/>
        </w:rPr>
        <w:t>Estado</w:t>
      </w:r>
      <w:r w:rsidRPr="00AD79C7">
        <w:rPr>
          <w:rFonts w:ascii="Abadi" w:hAnsi="Abadi"/>
          <w:b/>
          <w:bCs/>
          <w:spacing w:val="22"/>
          <w:sz w:val="21"/>
          <w:szCs w:val="21"/>
        </w:rPr>
        <w:t xml:space="preserve"> </w:t>
      </w:r>
      <w:r w:rsidRPr="00AD79C7">
        <w:rPr>
          <w:rFonts w:ascii="Abadi" w:hAnsi="Abadi"/>
          <w:b/>
          <w:bCs/>
          <w:sz w:val="21"/>
          <w:szCs w:val="21"/>
        </w:rPr>
        <w:t>de</w:t>
      </w:r>
      <w:r w:rsidRPr="00AD79C7">
        <w:rPr>
          <w:rFonts w:ascii="Abadi" w:hAnsi="Abadi"/>
          <w:b/>
          <w:bCs/>
          <w:spacing w:val="22"/>
          <w:sz w:val="21"/>
          <w:szCs w:val="21"/>
        </w:rPr>
        <w:t xml:space="preserve"> </w:t>
      </w:r>
      <w:r w:rsidRPr="00AD79C7">
        <w:rPr>
          <w:rFonts w:ascii="Abadi" w:hAnsi="Abadi"/>
          <w:b/>
          <w:bCs/>
          <w:sz w:val="21"/>
          <w:szCs w:val="21"/>
        </w:rPr>
        <w:t>Guanajuato;</w:t>
      </w:r>
      <w:r w:rsidRPr="00AD79C7">
        <w:rPr>
          <w:rFonts w:ascii="Abadi" w:hAnsi="Abadi"/>
          <w:b/>
          <w:bCs/>
          <w:spacing w:val="22"/>
          <w:sz w:val="21"/>
          <w:szCs w:val="21"/>
        </w:rPr>
        <w:t xml:space="preserve"> </w:t>
      </w:r>
      <w:r w:rsidRPr="00AD79C7">
        <w:rPr>
          <w:rFonts w:ascii="Abadi" w:hAnsi="Abadi"/>
          <w:b/>
          <w:bCs/>
          <w:sz w:val="21"/>
          <w:szCs w:val="21"/>
        </w:rPr>
        <w:t>y</w:t>
      </w:r>
      <w:r w:rsidRPr="00AD79C7">
        <w:rPr>
          <w:rFonts w:ascii="Abadi" w:hAnsi="Abadi"/>
          <w:b/>
          <w:bCs/>
          <w:spacing w:val="22"/>
          <w:sz w:val="21"/>
          <w:szCs w:val="21"/>
        </w:rPr>
        <w:t xml:space="preserve"> </w:t>
      </w:r>
      <w:r w:rsidRPr="00AD79C7">
        <w:rPr>
          <w:rFonts w:ascii="Abadi" w:hAnsi="Abadi"/>
          <w:b/>
          <w:bCs/>
          <w:sz w:val="21"/>
          <w:szCs w:val="21"/>
        </w:rPr>
        <w:t>adicionar</w:t>
      </w:r>
      <w:r w:rsidRPr="00AD79C7">
        <w:rPr>
          <w:rFonts w:ascii="Abadi" w:hAnsi="Abadi"/>
          <w:b/>
          <w:bCs/>
          <w:spacing w:val="22"/>
          <w:sz w:val="21"/>
          <w:szCs w:val="21"/>
        </w:rPr>
        <w:t xml:space="preserve"> </w:t>
      </w:r>
      <w:r w:rsidRPr="00AD79C7">
        <w:rPr>
          <w:rFonts w:ascii="Abadi" w:hAnsi="Abadi"/>
          <w:b/>
          <w:bCs/>
          <w:sz w:val="21"/>
          <w:szCs w:val="21"/>
        </w:rPr>
        <w:t>una</w:t>
      </w:r>
      <w:r w:rsidRPr="00AD79C7">
        <w:rPr>
          <w:rFonts w:ascii="Abadi" w:hAnsi="Abadi"/>
          <w:b/>
          <w:bCs/>
          <w:spacing w:val="-1"/>
          <w:sz w:val="21"/>
          <w:szCs w:val="21"/>
        </w:rPr>
        <w:t xml:space="preserve"> </w:t>
      </w:r>
      <w:r w:rsidRPr="00AD79C7">
        <w:rPr>
          <w:rFonts w:ascii="Abadi" w:hAnsi="Abadi"/>
          <w:b/>
          <w:bCs/>
          <w:sz w:val="21"/>
          <w:szCs w:val="21"/>
        </w:rPr>
        <w:t>fracción</w:t>
      </w:r>
      <w:r w:rsidRPr="00AD79C7">
        <w:rPr>
          <w:rFonts w:ascii="Abadi" w:hAnsi="Abadi"/>
          <w:b/>
          <w:bCs/>
          <w:spacing w:val="46"/>
          <w:sz w:val="21"/>
          <w:szCs w:val="21"/>
        </w:rPr>
        <w:t xml:space="preserve"> </w:t>
      </w:r>
      <w:r w:rsidRPr="00AD79C7">
        <w:rPr>
          <w:rFonts w:ascii="Abadi" w:hAnsi="Abadi"/>
          <w:b/>
          <w:bCs/>
          <w:sz w:val="21"/>
          <w:szCs w:val="21"/>
        </w:rPr>
        <w:t>VI</w:t>
      </w:r>
      <w:r w:rsidRPr="00AD79C7">
        <w:rPr>
          <w:rFonts w:ascii="Abadi" w:hAnsi="Abadi"/>
          <w:b/>
          <w:bCs/>
          <w:spacing w:val="46"/>
          <w:sz w:val="21"/>
          <w:szCs w:val="21"/>
        </w:rPr>
        <w:t xml:space="preserve"> </w:t>
      </w:r>
      <w:r w:rsidRPr="00AD79C7">
        <w:rPr>
          <w:rFonts w:ascii="Abadi" w:hAnsi="Abadi"/>
          <w:b/>
          <w:bCs/>
          <w:sz w:val="21"/>
          <w:szCs w:val="21"/>
        </w:rPr>
        <w:t>al</w:t>
      </w:r>
      <w:r w:rsidRPr="00AD79C7">
        <w:rPr>
          <w:rFonts w:ascii="Abadi" w:hAnsi="Abadi"/>
          <w:b/>
          <w:bCs/>
          <w:spacing w:val="46"/>
          <w:sz w:val="21"/>
          <w:szCs w:val="21"/>
        </w:rPr>
        <w:t xml:space="preserve"> </w:t>
      </w:r>
      <w:r w:rsidRPr="00AD79C7">
        <w:rPr>
          <w:rFonts w:ascii="Abadi" w:hAnsi="Abadi"/>
          <w:b/>
          <w:bCs/>
          <w:sz w:val="21"/>
          <w:szCs w:val="21"/>
        </w:rPr>
        <w:t>artículo</w:t>
      </w:r>
      <w:r w:rsidRPr="00AD79C7">
        <w:rPr>
          <w:rFonts w:ascii="Abadi" w:hAnsi="Abadi"/>
          <w:b/>
          <w:bCs/>
          <w:spacing w:val="46"/>
          <w:sz w:val="21"/>
          <w:szCs w:val="21"/>
        </w:rPr>
        <w:t xml:space="preserve"> </w:t>
      </w:r>
      <w:r w:rsidRPr="00AD79C7">
        <w:rPr>
          <w:rFonts w:ascii="Abadi" w:hAnsi="Abadi"/>
          <w:b/>
          <w:bCs/>
          <w:sz w:val="21"/>
          <w:szCs w:val="21"/>
        </w:rPr>
        <w:t>11,</w:t>
      </w:r>
      <w:r w:rsidRPr="00AD79C7">
        <w:rPr>
          <w:rFonts w:ascii="Abadi" w:hAnsi="Abadi"/>
          <w:b/>
          <w:bCs/>
          <w:spacing w:val="46"/>
          <w:sz w:val="21"/>
          <w:szCs w:val="21"/>
        </w:rPr>
        <w:t xml:space="preserve"> </w:t>
      </w:r>
      <w:r w:rsidRPr="00AD79C7">
        <w:rPr>
          <w:rFonts w:ascii="Abadi" w:hAnsi="Abadi"/>
          <w:b/>
          <w:bCs/>
          <w:sz w:val="21"/>
          <w:szCs w:val="21"/>
        </w:rPr>
        <w:t>recorriéndose</w:t>
      </w:r>
      <w:r w:rsidRPr="00AD79C7">
        <w:rPr>
          <w:rFonts w:ascii="Abadi" w:hAnsi="Abadi"/>
          <w:b/>
          <w:bCs/>
          <w:spacing w:val="46"/>
          <w:sz w:val="21"/>
          <w:szCs w:val="21"/>
        </w:rPr>
        <w:t xml:space="preserve"> </w:t>
      </w:r>
      <w:r w:rsidRPr="00AD79C7">
        <w:rPr>
          <w:rFonts w:ascii="Abadi" w:hAnsi="Abadi"/>
          <w:b/>
          <w:bCs/>
          <w:sz w:val="21"/>
          <w:szCs w:val="21"/>
        </w:rPr>
        <w:t>la</w:t>
      </w:r>
      <w:r w:rsidRPr="00AD79C7">
        <w:rPr>
          <w:rFonts w:ascii="Abadi" w:hAnsi="Abadi"/>
          <w:b/>
          <w:bCs/>
          <w:spacing w:val="46"/>
          <w:sz w:val="21"/>
          <w:szCs w:val="21"/>
        </w:rPr>
        <w:t xml:space="preserve"> </w:t>
      </w:r>
      <w:r w:rsidRPr="00AD79C7">
        <w:rPr>
          <w:rFonts w:ascii="Abadi" w:hAnsi="Abadi"/>
          <w:b/>
          <w:bCs/>
          <w:sz w:val="21"/>
          <w:szCs w:val="21"/>
        </w:rPr>
        <w:t>subsecuente,</w:t>
      </w:r>
      <w:r w:rsidRPr="00AD79C7">
        <w:rPr>
          <w:rFonts w:ascii="Abadi" w:hAnsi="Abadi"/>
          <w:b/>
          <w:bCs/>
          <w:spacing w:val="46"/>
          <w:sz w:val="21"/>
          <w:szCs w:val="21"/>
        </w:rPr>
        <w:t xml:space="preserve"> </w:t>
      </w:r>
      <w:r w:rsidRPr="00AD79C7">
        <w:rPr>
          <w:rFonts w:ascii="Abadi" w:hAnsi="Abadi"/>
          <w:b/>
          <w:bCs/>
          <w:sz w:val="21"/>
          <w:szCs w:val="21"/>
        </w:rPr>
        <w:t>dos</w:t>
      </w:r>
      <w:r w:rsidRPr="00AD79C7">
        <w:rPr>
          <w:rFonts w:ascii="Abadi" w:hAnsi="Abadi"/>
          <w:b/>
          <w:bCs/>
          <w:spacing w:val="46"/>
          <w:sz w:val="21"/>
          <w:szCs w:val="21"/>
        </w:rPr>
        <w:t xml:space="preserve"> </w:t>
      </w:r>
      <w:r w:rsidRPr="00AD79C7">
        <w:rPr>
          <w:rFonts w:ascii="Abadi" w:hAnsi="Abadi"/>
          <w:b/>
          <w:bCs/>
          <w:sz w:val="21"/>
          <w:szCs w:val="21"/>
        </w:rPr>
        <w:t>párrafos</w:t>
      </w:r>
      <w:r w:rsidRPr="00AD79C7">
        <w:rPr>
          <w:rFonts w:ascii="Abadi" w:hAnsi="Abadi"/>
          <w:b/>
          <w:bCs/>
          <w:spacing w:val="46"/>
          <w:sz w:val="21"/>
          <w:szCs w:val="21"/>
        </w:rPr>
        <w:t xml:space="preserve"> </w:t>
      </w:r>
      <w:r w:rsidRPr="00AD79C7">
        <w:rPr>
          <w:rFonts w:ascii="Abadi" w:hAnsi="Abadi"/>
          <w:b/>
          <w:bCs/>
          <w:sz w:val="21"/>
          <w:szCs w:val="21"/>
        </w:rPr>
        <w:t>al</w:t>
      </w:r>
      <w:r w:rsidRPr="00AD79C7">
        <w:rPr>
          <w:rFonts w:ascii="Abadi" w:hAnsi="Abadi"/>
          <w:b/>
          <w:bCs/>
          <w:spacing w:val="-1"/>
          <w:sz w:val="21"/>
          <w:szCs w:val="21"/>
        </w:rPr>
        <w:t xml:space="preserve"> </w:t>
      </w:r>
      <w:r w:rsidRPr="00AD79C7">
        <w:rPr>
          <w:rFonts w:ascii="Abadi" w:hAnsi="Abadi"/>
          <w:b/>
          <w:bCs/>
          <w:sz w:val="21"/>
          <w:szCs w:val="21"/>
        </w:rPr>
        <w:t>artículo</w:t>
      </w:r>
      <w:r w:rsidRPr="00AD79C7">
        <w:rPr>
          <w:rFonts w:ascii="Abadi" w:hAnsi="Abadi"/>
          <w:b/>
          <w:bCs/>
          <w:spacing w:val="-5"/>
          <w:sz w:val="21"/>
          <w:szCs w:val="21"/>
        </w:rPr>
        <w:t xml:space="preserve"> </w:t>
      </w:r>
      <w:r w:rsidRPr="00AD79C7">
        <w:rPr>
          <w:rFonts w:ascii="Abadi" w:hAnsi="Abadi"/>
          <w:b/>
          <w:bCs/>
          <w:sz w:val="21"/>
          <w:szCs w:val="21"/>
        </w:rPr>
        <w:t>15</w:t>
      </w:r>
      <w:r w:rsidRPr="00AD79C7">
        <w:rPr>
          <w:rFonts w:ascii="Abadi" w:hAnsi="Abadi"/>
          <w:b/>
          <w:bCs/>
          <w:spacing w:val="-5"/>
          <w:sz w:val="21"/>
          <w:szCs w:val="21"/>
        </w:rPr>
        <w:t xml:space="preserve"> </w:t>
      </w:r>
      <w:r w:rsidRPr="00AD79C7">
        <w:rPr>
          <w:rFonts w:ascii="Abadi" w:hAnsi="Abadi"/>
          <w:b/>
          <w:bCs/>
          <w:sz w:val="21"/>
          <w:szCs w:val="21"/>
        </w:rPr>
        <w:t>y</w:t>
      </w:r>
      <w:r w:rsidRPr="00AD79C7">
        <w:rPr>
          <w:rFonts w:ascii="Abadi" w:hAnsi="Abadi"/>
          <w:b/>
          <w:bCs/>
          <w:spacing w:val="-5"/>
          <w:sz w:val="21"/>
          <w:szCs w:val="21"/>
        </w:rPr>
        <w:t xml:space="preserve"> </w:t>
      </w:r>
      <w:r w:rsidRPr="00AD79C7">
        <w:rPr>
          <w:rFonts w:ascii="Abadi" w:hAnsi="Abadi"/>
          <w:b/>
          <w:bCs/>
          <w:sz w:val="21"/>
          <w:szCs w:val="21"/>
        </w:rPr>
        <w:t>una</w:t>
      </w:r>
      <w:r w:rsidRPr="00AD79C7">
        <w:rPr>
          <w:rFonts w:ascii="Abadi" w:hAnsi="Abadi"/>
          <w:b/>
          <w:bCs/>
          <w:spacing w:val="-5"/>
          <w:sz w:val="21"/>
          <w:szCs w:val="21"/>
        </w:rPr>
        <w:t xml:space="preserve"> </w:t>
      </w:r>
      <w:r w:rsidRPr="00AD79C7">
        <w:rPr>
          <w:rFonts w:ascii="Abadi" w:hAnsi="Abadi"/>
          <w:b/>
          <w:bCs/>
          <w:sz w:val="21"/>
          <w:szCs w:val="21"/>
        </w:rPr>
        <w:t>fracción</w:t>
      </w:r>
      <w:r w:rsidRPr="00AD79C7">
        <w:rPr>
          <w:rFonts w:ascii="Abadi" w:hAnsi="Abadi"/>
          <w:b/>
          <w:bCs/>
          <w:spacing w:val="-5"/>
          <w:sz w:val="21"/>
          <w:szCs w:val="21"/>
        </w:rPr>
        <w:t xml:space="preserve"> </w:t>
      </w:r>
      <w:r w:rsidRPr="00AD79C7">
        <w:rPr>
          <w:rFonts w:ascii="Abadi" w:hAnsi="Abadi"/>
          <w:b/>
          <w:bCs/>
          <w:sz w:val="21"/>
          <w:szCs w:val="21"/>
        </w:rPr>
        <w:t>V</w:t>
      </w:r>
      <w:r w:rsidRPr="00AD79C7">
        <w:rPr>
          <w:rFonts w:ascii="Abadi" w:hAnsi="Abadi"/>
          <w:b/>
          <w:bCs/>
          <w:spacing w:val="-5"/>
          <w:sz w:val="21"/>
          <w:szCs w:val="21"/>
        </w:rPr>
        <w:t xml:space="preserve"> </w:t>
      </w:r>
      <w:r w:rsidRPr="00AD79C7">
        <w:rPr>
          <w:rFonts w:ascii="Abadi" w:hAnsi="Abadi"/>
          <w:b/>
          <w:bCs/>
          <w:sz w:val="21"/>
          <w:szCs w:val="21"/>
        </w:rPr>
        <w:t>al</w:t>
      </w:r>
      <w:r w:rsidRPr="00AD79C7">
        <w:rPr>
          <w:rFonts w:ascii="Abadi" w:hAnsi="Abadi"/>
          <w:b/>
          <w:bCs/>
          <w:spacing w:val="-5"/>
          <w:sz w:val="21"/>
          <w:szCs w:val="21"/>
        </w:rPr>
        <w:t xml:space="preserve"> </w:t>
      </w:r>
      <w:r w:rsidRPr="00AD79C7">
        <w:rPr>
          <w:rFonts w:ascii="Abadi" w:hAnsi="Abadi"/>
          <w:b/>
          <w:bCs/>
          <w:sz w:val="21"/>
          <w:szCs w:val="21"/>
        </w:rPr>
        <w:t>artículo</w:t>
      </w:r>
      <w:r w:rsidRPr="00AD79C7">
        <w:rPr>
          <w:rFonts w:ascii="Abadi" w:hAnsi="Abadi"/>
          <w:b/>
          <w:bCs/>
          <w:spacing w:val="-5"/>
          <w:sz w:val="21"/>
          <w:szCs w:val="21"/>
        </w:rPr>
        <w:t xml:space="preserve"> </w:t>
      </w:r>
      <w:r w:rsidRPr="00AD79C7">
        <w:rPr>
          <w:rFonts w:ascii="Abadi" w:hAnsi="Abadi"/>
          <w:b/>
          <w:bCs/>
          <w:sz w:val="21"/>
          <w:szCs w:val="21"/>
        </w:rPr>
        <w:t>18</w:t>
      </w:r>
      <w:r w:rsidRPr="00AD79C7">
        <w:rPr>
          <w:rFonts w:ascii="Abadi" w:hAnsi="Abadi"/>
          <w:b/>
          <w:bCs/>
          <w:spacing w:val="-4"/>
          <w:sz w:val="21"/>
          <w:szCs w:val="21"/>
        </w:rPr>
        <w:t xml:space="preserve"> </w:t>
      </w:r>
      <w:r w:rsidRPr="00AD79C7">
        <w:rPr>
          <w:rFonts w:ascii="Abadi" w:hAnsi="Abadi"/>
          <w:b/>
          <w:bCs/>
          <w:sz w:val="21"/>
          <w:szCs w:val="21"/>
        </w:rPr>
        <w:t>de</w:t>
      </w:r>
      <w:r w:rsidRPr="00AD79C7">
        <w:rPr>
          <w:rFonts w:ascii="Abadi" w:hAnsi="Abadi"/>
          <w:b/>
          <w:bCs/>
          <w:spacing w:val="-5"/>
          <w:sz w:val="21"/>
          <w:szCs w:val="21"/>
        </w:rPr>
        <w:t xml:space="preserve"> </w:t>
      </w:r>
      <w:r w:rsidRPr="00AD79C7">
        <w:rPr>
          <w:rFonts w:ascii="Abadi" w:hAnsi="Abadi"/>
          <w:b/>
          <w:bCs/>
          <w:sz w:val="21"/>
          <w:szCs w:val="21"/>
        </w:rPr>
        <w:t>la</w:t>
      </w:r>
      <w:r w:rsidRPr="00AD79C7">
        <w:rPr>
          <w:rFonts w:ascii="Abadi" w:hAnsi="Abadi"/>
          <w:b/>
          <w:bCs/>
          <w:spacing w:val="-5"/>
          <w:sz w:val="21"/>
          <w:szCs w:val="21"/>
        </w:rPr>
        <w:t xml:space="preserve"> </w:t>
      </w:r>
      <w:r w:rsidRPr="00AD79C7">
        <w:rPr>
          <w:rFonts w:ascii="Abadi" w:hAnsi="Abadi"/>
          <w:b/>
          <w:bCs/>
          <w:sz w:val="21"/>
          <w:szCs w:val="21"/>
        </w:rPr>
        <w:t>Ley</w:t>
      </w:r>
      <w:r w:rsidRPr="00AD79C7">
        <w:rPr>
          <w:rFonts w:ascii="Abadi" w:hAnsi="Abadi"/>
          <w:b/>
          <w:bCs/>
          <w:spacing w:val="-5"/>
          <w:sz w:val="21"/>
          <w:szCs w:val="21"/>
        </w:rPr>
        <w:t xml:space="preserve"> </w:t>
      </w:r>
      <w:r w:rsidRPr="00AD79C7">
        <w:rPr>
          <w:rFonts w:ascii="Abadi" w:hAnsi="Abadi"/>
          <w:b/>
          <w:bCs/>
          <w:sz w:val="21"/>
          <w:szCs w:val="21"/>
        </w:rPr>
        <w:t>Orgánica</w:t>
      </w:r>
      <w:r w:rsidRPr="00AD79C7">
        <w:rPr>
          <w:rFonts w:ascii="Abadi" w:hAnsi="Abadi"/>
          <w:b/>
          <w:bCs/>
          <w:spacing w:val="-5"/>
          <w:sz w:val="21"/>
          <w:szCs w:val="21"/>
        </w:rPr>
        <w:t xml:space="preserve"> </w:t>
      </w:r>
      <w:r w:rsidRPr="00AD79C7">
        <w:rPr>
          <w:rFonts w:ascii="Abadi" w:hAnsi="Abadi"/>
          <w:b/>
          <w:bCs/>
          <w:sz w:val="21"/>
          <w:szCs w:val="21"/>
        </w:rPr>
        <w:t>Municipal</w:t>
      </w:r>
      <w:r w:rsidRPr="00AD79C7">
        <w:rPr>
          <w:rFonts w:ascii="Abadi" w:hAnsi="Abadi"/>
          <w:b/>
          <w:bCs/>
          <w:spacing w:val="-5"/>
          <w:sz w:val="21"/>
          <w:szCs w:val="21"/>
        </w:rPr>
        <w:t xml:space="preserve"> </w:t>
      </w:r>
      <w:r w:rsidRPr="00AD79C7">
        <w:rPr>
          <w:rFonts w:ascii="Abadi" w:hAnsi="Abadi"/>
          <w:b/>
          <w:bCs/>
          <w:sz w:val="21"/>
          <w:szCs w:val="21"/>
        </w:rPr>
        <w:t>para</w:t>
      </w:r>
      <w:r w:rsidRPr="00AD79C7">
        <w:rPr>
          <w:rFonts w:ascii="Abadi" w:hAnsi="Abadi"/>
          <w:b/>
          <w:bCs/>
          <w:spacing w:val="-1"/>
          <w:sz w:val="21"/>
          <w:szCs w:val="21"/>
        </w:rPr>
        <w:t xml:space="preserve"> </w:t>
      </w:r>
      <w:r w:rsidRPr="00AD79C7">
        <w:rPr>
          <w:rFonts w:ascii="Abadi" w:hAnsi="Abadi"/>
          <w:b/>
          <w:bCs/>
          <w:sz w:val="21"/>
          <w:szCs w:val="21"/>
        </w:rPr>
        <w:t>el</w:t>
      </w:r>
      <w:r w:rsidRPr="00AD79C7">
        <w:rPr>
          <w:rFonts w:ascii="Abadi" w:hAnsi="Abadi"/>
          <w:b/>
          <w:bCs/>
          <w:spacing w:val="40"/>
          <w:sz w:val="21"/>
          <w:szCs w:val="21"/>
        </w:rPr>
        <w:t xml:space="preserve">  </w:t>
      </w:r>
      <w:r w:rsidRPr="00AD79C7">
        <w:rPr>
          <w:rFonts w:ascii="Abadi" w:hAnsi="Abadi"/>
          <w:b/>
          <w:bCs/>
          <w:sz w:val="21"/>
          <w:szCs w:val="21"/>
        </w:rPr>
        <w:t>Estado</w:t>
      </w:r>
      <w:r w:rsidRPr="00AD79C7">
        <w:rPr>
          <w:rFonts w:ascii="Abadi" w:hAnsi="Abadi"/>
          <w:b/>
          <w:bCs/>
          <w:spacing w:val="40"/>
          <w:sz w:val="21"/>
          <w:szCs w:val="21"/>
        </w:rPr>
        <w:t xml:space="preserve">  </w:t>
      </w:r>
      <w:r w:rsidRPr="00AD79C7">
        <w:rPr>
          <w:rFonts w:ascii="Abadi" w:hAnsi="Abadi"/>
          <w:b/>
          <w:bCs/>
          <w:sz w:val="21"/>
          <w:szCs w:val="21"/>
        </w:rPr>
        <w:t>de</w:t>
      </w:r>
      <w:r w:rsidRPr="00AD79C7">
        <w:rPr>
          <w:rFonts w:ascii="Abadi" w:hAnsi="Abadi"/>
          <w:b/>
          <w:bCs/>
          <w:spacing w:val="40"/>
          <w:sz w:val="21"/>
          <w:szCs w:val="21"/>
        </w:rPr>
        <w:t xml:space="preserve">  </w:t>
      </w:r>
      <w:r w:rsidRPr="00AD79C7">
        <w:rPr>
          <w:rFonts w:ascii="Abadi" w:hAnsi="Abadi"/>
          <w:b/>
          <w:bCs/>
          <w:sz w:val="21"/>
          <w:szCs w:val="21"/>
        </w:rPr>
        <w:t>Guanajuato,</w:t>
      </w:r>
      <w:r w:rsidRPr="00AD79C7">
        <w:rPr>
          <w:rFonts w:ascii="Abadi" w:hAnsi="Abadi"/>
          <w:b/>
          <w:bCs/>
          <w:spacing w:val="40"/>
          <w:sz w:val="21"/>
          <w:szCs w:val="21"/>
        </w:rPr>
        <w:t xml:space="preserve">  </w:t>
      </w:r>
      <w:r w:rsidRPr="00AD79C7">
        <w:rPr>
          <w:rFonts w:ascii="Abadi" w:hAnsi="Abadi"/>
          <w:b/>
          <w:bCs/>
          <w:i/>
          <w:iCs/>
          <w:sz w:val="21"/>
          <w:szCs w:val="21"/>
        </w:rPr>
        <w:t>en</w:t>
      </w:r>
      <w:r w:rsidRPr="00AD79C7">
        <w:rPr>
          <w:rFonts w:ascii="Abadi" w:hAnsi="Abadi"/>
          <w:b/>
          <w:bCs/>
          <w:i/>
          <w:iCs/>
          <w:spacing w:val="40"/>
          <w:sz w:val="21"/>
          <w:szCs w:val="21"/>
        </w:rPr>
        <w:t xml:space="preserve">  </w:t>
      </w:r>
      <w:r w:rsidRPr="00AD79C7">
        <w:rPr>
          <w:rFonts w:ascii="Abadi" w:hAnsi="Abadi"/>
          <w:b/>
          <w:bCs/>
          <w:i/>
          <w:iCs/>
          <w:sz w:val="21"/>
          <w:szCs w:val="21"/>
        </w:rPr>
        <w:t>la</w:t>
      </w:r>
      <w:r w:rsidRPr="00AD79C7">
        <w:rPr>
          <w:rFonts w:ascii="Abadi" w:hAnsi="Abadi"/>
          <w:b/>
          <w:bCs/>
          <w:i/>
          <w:iCs/>
          <w:spacing w:val="40"/>
          <w:sz w:val="21"/>
          <w:szCs w:val="21"/>
        </w:rPr>
        <w:t xml:space="preserve">  </w:t>
      </w:r>
      <w:r w:rsidRPr="00AD79C7">
        <w:rPr>
          <w:rFonts w:ascii="Abadi" w:hAnsi="Abadi"/>
          <w:b/>
          <w:bCs/>
          <w:i/>
          <w:iCs/>
          <w:sz w:val="21"/>
          <w:szCs w:val="21"/>
        </w:rPr>
        <w:t>parte</w:t>
      </w:r>
      <w:r w:rsidRPr="00AD79C7">
        <w:rPr>
          <w:rFonts w:ascii="Abadi" w:hAnsi="Abadi"/>
          <w:b/>
          <w:bCs/>
          <w:i/>
          <w:iCs/>
          <w:spacing w:val="40"/>
          <w:sz w:val="21"/>
          <w:szCs w:val="21"/>
        </w:rPr>
        <w:t xml:space="preserve">  </w:t>
      </w:r>
      <w:r w:rsidRPr="00AD79C7">
        <w:rPr>
          <w:rFonts w:ascii="Abadi" w:hAnsi="Abadi"/>
          <w:b/>
          <w:bCs/>
          <w:i/>
          <w:iCs/>
          <w:sz w:val="21"/>
          <w:szCs w:val="21"/>
        </w:rPr>
        <w:t>correspondiente</w:t>
      </w:r>
      <w:r w:rsidRPr="00AD79C7">
        <w:rPr>
          <w:rFonts w:ascii="Abadi" w:hAnsi="Abadi"/>
          <w:b/>
          <w:bCs/>
          <w:i/>
          <w:iCs/>
          <w:spacing w:val="40"/>
          <w:sz w:val="21"/>
          <w:szCs w:val="21"/>
        </w:rPr>
        <w:t xml:space="preserve">  </w:t>
      </w:r>
      <w:r w:rsidRPr="00AD79C7">
        <w:rPr>
          <w:rFonts w:ascii="Abadi" w:hAnsi="Abadi"/>
          <w:b/>
          <w:bCs/>
          <w:i/>
          <w:iCs/>
          <w:sz w:val="21"/>
          <w:szCs w:val="21"/>
        </w:rPr>
        <w:t>al</w:t>
      </w:r>
      <w:r w:rsidRPr="00AD79C7">
        <w:rPr>
          <w:rFonts w:ascii="Abadi" w:hAnsi="Abadi"/>
          <w:b/>
          <w:bCs/>
          <w:i/>
          <w:iCs/>
          <w:spacing w:val="40"/>
          <w:sz w:val="21"/>
          <w:szCs w:val="21"/>
        </w:rPr>
        <w:t xml:space="preserve">  </w:t>
      </w:r>
      <w:r w:rsidRPr="00AD79C7">
        <w:rPr>
          <w:rFonts w:ascii="Abadi" w:hAnsi="Abadi"/>
          <w:b/>
          <w:bCs/>
          <w:i/>
          <w:iCs/>
          <w:sz w:val="21"/>
          <w:szCs w:val="21"/>
        </w:rPr>
        <w:t>primer</w:t>
      </w:r>
      <w:r w:rsidRPr="00AD79C7">
        <w:rPr>
          <w:rFonts w:ascii="Abadi" w:hAnsi="Abadi"/>
          <w:b/>
          <w:bCs/>
          <w:i/>
          <w:iCs/>
          <w:spacing w:val="-1"/>
          <w:sz w:val="21"/>
          <w:szCs w:val="21"/>
        </w:rPr>
        <w:t xml:space="preserve"> </w:t>
      </w:r>
      <w:r w:rsidRPr="00AD79C7">
        <w:rPr>
          <w:rFonts w:ascii="Abadi" w:hAnsi="Abadi"/>
          <w:b/>
          <w:bCs/>
          <w:i/>
          <w:iCs/>
          <w:sz w:val="21"/>
          <w:szCs w:val="21"/>
        </w:rPr>
        <w:t>ordenamiento,</w:t>
      </w:r>
      <w:r w:rsidRPr="00AD79C7">
        <w:rPr>
          <w:rFonts w:ascii="Abadi" w:hAnsi="Abadi"/>
          <w:b/>
          <w:bCs/>
          <w:i/>
          <w:iCs/>
          <w:spacing w:val="-1"/>
          <w:sz w:val="21"/>
          <w:szCs w:val="21"/>
        </w:rPr>
        <w:t xml:space="preserve"> </w:t>
      </w:r>
      <w:r w:rsidRPr="00AD79C7">
        <w:rPr>
          <w:rFonts w:ascii="Abadi" w:hAnsi="Abadi"/>
          <w:b/>
          <w:bCs/>
          <w:sz w:val="21"/>
          <w:szCs w:val="21"/>
        </w:rPr>
        <w:t>ante</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Sexagésima</w:t>
      </w:r>
      <w:r w:rsidRPr="00AD79C7">
        <w:rPr>
          <w:rFonts w:ascii="Abadi" w:hAnsi="Abadi"/>
          <w:b/>
          <w:bCs/>
          <w:spacing w:val="-1"/>
          <w:sz w:val="21"/>
          <w:szCs w:val="21"/>
        </w:rPr>
        <w:t xml:space="preserve"> </w:t>
      </w:r>
      <w:r w:rsidRPr="00AD79C7">
        <w:rPr>
          <w:rFonts w:ascii="Abadi" w:hAnsi="Abadi"/>
          <w:b/>
          <w:bCs/>
          <w:sz w:val="21"/>
          <w:szCs w:val="21"/>
        </w:rPr>
        <w:t>Cuarta</w:t>
      </w:r>
      <w:r w:rsidRPr="00AD79C7">
        <w:rPr>
          <w:rFonts w:ascii="Abadi" w:hAnsi="Abadi"/>
          <w:b/>
          <w:bCs/>
          <w:spacing w:val="-1"/>
          <w:sz w:val="21"/>
          <w:szCs w:val="21"/>
        </w:rPr>
        <w:t xml:space="preserve"> </w:t>
      </w:r>
      <w:r w:rsidRPr="00AD79C7">
        <w:rPr>
          <w:rFonts w:ascii="Abadi" w:hAnsi="Abadi"/>
          <w:b/>
          <w:bCs/>
          <w:sz w:val="21"/>
          <w:szCs w:val="21"/>
        </w:rPr>
        <w:t>Legislatura.</w:t>
      </w:r>
    </w:p>
    <w:p w14:paraId="30AF9CFF" w14:textId="77777777" w:rsidR="002558AB" w:rsidRPr="00AD79C7" w:rsidRDefault="002558AB" w:rsidP="006B00FD">
      <w:pPr>
        <w:kinsoku w:val="0"/>
        <w:overflowPunct w:val="0"/>
        <w:autoSpaceDE w:val="0"/>
        <w:autoSpaceDN w:val="0"/>
        <w:adjustRightInd w:val="0"/>
        <w:spacing w:before="11"/>
        <w:ind w:right="566"/>
        <w:jc w:val="both"/>
        <w:rPr>
          <w:rFonts w:ascii="Abadi" w:hAnsi="Abadi" w:cs="Arial"/>
          <w:b/>
          <w:bCs/>
          <w:sz w:val="21"/>
          <w:szCs w:val="21"/>
        </w:rPr>
      </w:pPr>
    </w:p>
    <w:p w14:paraId="7A16CB38" w14:textId="5C26A2C6" w:rsidR="002558AB" w:rsidRPr="00AD79C7" w:rsidRDefault="002558AB" w:rsidP="006B00FD">
      <w:pPr>
        <w:pStyle w:val="Prrafodelista"/>
        <w:tabs>
          <w:tab w:val="left" w:pos="856"/>
        </w:tabs>
        <w:kinsoku w:val="0"/>
        <w:overflowPunct w:val="0"/>
        <w:autoSpaceDE w:val="0"/>
        <w:autoSpaceDN w:val="0"/>
        <w:adjustRightInd w:val="0"/>
        <w:spacing w:before="1"/>
        <w:ind w:left="720"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en</w:t>
      </w:r>
      <w:r w:rsidRPr="00AD79C7">
        <w:rPr>
          <w:rFonts w:ascii="Abadi" w:hAnsi="Abadi"/>
          <w:b/>
          <w:bCs/>
          <w:spacing w:val="10"/>
          <w:sz w:val="21"/>
          <w:szCs w:val="21"/>
        </w:rPr>
        <w:t xml:space="preserve"> </w:t>
      </w:r>
      <w:r w:rsidRPr="00AD79C7">
        <w:rPr>
          <w:rFonts w:ascii="Abadi" w:hAnsi="Abadi"/>
          <w:b/>
          <w:bCs/>
          <w:sz w:val="21"/>
          <w:szCs w:val="21"/>
        </w:rPr>
        <w:t>su</w:t>
      </w:r>
      <w:r w:rsidRPr="00AD79C7">
        <w:rPr>
          <w:rFonts w:ascii="Abadi" w:hAnsi="Abadi"/>
          <w:b/>
          <w:bCs/>
          <w:spacing w:val="10"/>
          <w:sz w:val="21"/>
          <w:szCs w:val="21"/>
        </w:rPr>
        <w:t xml:space="preserve"> </w:t>
      </w:r>
      <w:r w:rsidRPr="00AD79C7">
        <w:rPr>
          <w:rFonts w:ascii="Abadi" w:hAnsi="Abadi"/>
          <w:b/>
          <w:bCs/>
          <w:sz w:val="21"/>
          <w:szCs w:val="21"/>
        </w:rPr>
        <w:t>caso,</w:t>
      </w:r>
      <w:r w:rsidRPr="00AD79C7">
        <w:rPr>
          <w:rFonts w:ascii="Abadi" w:hAnsi="Abadi"/>
          <w:b/>
          <w:bCs/>
          <w:spacing w:val="10"/>
          <w:sz w:val="21"/>
          <w:szCs w:val="21"/>
        </w:rPr>
        <w:t xml:space="preserve"> </w:t>
      </w:r>
      <w:r w:rsidRPr="00AD79C7">
        <w:rPr>
          <w:rFonts w:ascii="Abadi" w:hAnsi="Abadi"/>
          <w:b/>
          <w:bCs/>
          <w:sz w:val="21"/>
          <w:szCs w:val="21"/>
        </w:rPr>
        <w:t>aprobación</w:t>
      </w:r>
      <w:r w:rsidRPr="00AD79C7">
        <w:rPr>
          <w:rFonts w:ascii="Abadi" w:hAnsi="Abadi"/>
          <w:b/>
          <w:bCs/>
          <w:spacing w:val="10"/>
          <w:sz w:val="21"/>
          <w:szCs w:val="21"/>
        </w:rPr>
        <w:t xml:space="preserve"> </w:t>
      </w:r>
      <w:r w:rsidRPr="00AD79C7">
        <w:rPr>
          <w:rFonts w:ascii="Abadi" w:hAnsi="Abadi"/>
          <w:b/>
          <w:bCs/>
          <w:sz w:val="21"/>
          <w:szCs w:val="21"/>
        </w:rPr>
        <w:t>del</w:t>
      </w:r>
      <w:r w:rsidRPr="00AD79C7">
        <w:rPr>
          <w:rFonts w:ascii="Abadi" w:hAnsi="Abadi"/>
          <w:b/>
          <w:bCs/>
          <w:spacing w:val="10"/>
          <w:sz w:val="21"/>
          <w:szCs w:val="21"/>
        </w:rPr>
        <w:t xml:space="preserve"> </w:t>
      </w:r>
      <w:r w:rsidRPr="00AD79C7">
        <w:rPr>
          <w:rFonts w:ascii="Abadi" w:hAnsi="Abadi"/>
          <w:b/>
          <w:bCs/>
          <w:sz w:val="21"/>
          <w:szCs w:val="21"/>
        </w:rPr>
        <w:t>dictamen</w:t>
      </w:r>
      <w:r w:rsidRPr="00AD79C7">
        <w:rPr>
          <w:rFonts w:ascii="Abadi" w:hAnsi="Abadi"/>
          <w:b/>
          <w:bCs/>
          <w:spacing w:val="10"/>
          <w:sz w:val="21"/>
          <w:szCs w:val="21"/>
        </w:rPr>
        <w:t xml:space="preserve"> </w:t>
      </w:r>
      <w:r w:rsidRPr="00AD79C7">
        <w:rPr>
          <w:rFonts w:ascii="Abadi" w:hAnsi="Abadi"/>
          <w:b/>
          <w:bCs/>
          <w:sz w:val="21"/>
          <w:szCs w:val="21"/>
        </w:rPr>
        <w:t>suscrito</w:t>
      </w:r>
      <w:r w:rsidRPr="00AD79C7">
        <w:rPr>
          <w:rFonts w:ascii="Abadi" w:hAnsi="Abadi"/>
          <w:b/>
          <w:bCs/>
          <w:spacing w:val="11"/>
          <w:sz w:val="21"/>
          <w:szCs w:val="21"/>
        </w:rPr>
        <w:t xml:space="preserve"> </w:t>
      </w:r>
      <w:r w:rsidRPr="00AD79C7">
        <w:rPr>
          <w:rFonts w:ascii="Abadi" w:hAnsi="Abadi"/>
          <w:b/>
          <w:bCs/>
          <w:sz w:val="21"/>
          <w:szCs w:val="21"/>
        </w:rPr>
        <w:t>por</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Comisión</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4"/>
          <w:sz w:val="21"/>
          <w:szCs w:val="21"/>
        </w:rPr>
        <w:t xml:space="preserve"> </w:t>
      </w:r>
      <w:r w:rsidRPr="00AD79C7">
        <w:rPr>
          <w:rFonts w:ascii="Abadi" w:hAnsi="Abadi"/>
          <w:b/>
          <w:bCs/>
          <w:sz w:val="21"/>
          <w:szCs w:val="21"/>
        </w:rPr>
        <w:t>Gobernación</w:t>
      </w:r>
      <w:r w:rsidRPr="00AD79C7">
        <w:rPr>
          <w:rFonts w:ascii="Abadi" w:hAnsi="Abadi"/>
          <w:b/>
          <w:bCs/>
          <w:spacing w:val="4"/>
          <w:sz w:val="21"/>
          <w:szCs w:val="21"/>
        </w:rPr>
        <w:t xml:space="preserve"> </w:t>
      </w:r>
      <w:r w:rsidRPr="00AD79C7">
        <w:rPr>
          <w:rFonts w:ascii="Abadi" w:hAnsi="Abadi"/>
          <w:b/>
          <w:bCs/>
          <w:sz w:val="21"/>
          <w:szCs w:val="21"/>
        </w:rPr>
        <w:t>y</w:t>
      </w:r>
      <w:r w:rsidRPr="00AD79C7">
        <w:rPr>
          <w:rFonts w:ascii="Abadi" w:hAnsi="Abadi"/>
          <w:b/>
          <w:bCs/>
          <w:spacing w:val="4"/>
          <w:sz w:val="21"/>
          <w:szCs w:val="21"/>
        </w:rPr>
        <w:t xml:space="preserve"> </w:t>
      </w:r>
      <w:r w:rsidRPr="00AD79C7">
        <w:rPr>
          <w:rFonts w:ascii="Abadi" w:hAnsi="Abadi"/>
          <w:b/>
          <w:bCs/>
          <w:sz w:val="21"/>
          <w:szCs w:val="21"/>
        </w:rPr>
        <w:t>Puntos</w:t>
      </w:r>
      <w:r w:rsidRPr="00AD79C7">
        <w:rPr>
          <w:rFonts w:ascii="Abadi" w:hAnsi="Abadi"/>
          <w:b/>
          <w:bCs/>
          <w:spacing w:val="4"/>
          <w:sz w:val="21"/>
          <w:szCs w:val="21"/>
        </w:rPr>
        <w:t xml:space="preserve"> </w:t>
      </w:r>
      <w:r w:rsidRPr="00AD79C7">
        <w:rPr>
          <w:rFonts w:ascii="Abadi" w:hAnsi="Abadi"/>
          <w:b/>
          <w:bCs/>
          <w:sz w:val="21"/>
          <w:szCs w:val="21"/>
        </w:rPr>
        <w:t>Constitucionales</w:t>
      </w:r>
      <w:r w:rsidRPr="00AD79C7">
        <w:rPr>
          <w:rFonts w:ascii="Abadi" w:hAnsi="Abadi"/>
          <w:b/>
          <w:bCs/>
          <w:spacing w:val="3"/>
          <w:sz w:val="21"/>
          <w:szCs w:val="21"/>
        </w:rPr>
        <w:t xml:space="preserve"> </w:t>
      </w:r>
      <w:r w:rsidRPr="00AD79C7">
        <w:rPr>
          <w:rFonts w:ascii="Abadi" w:hAnsi="Abadi"/>
          <w:b/>
          <w:bCs/>
          <w:sz w:val="21"/>
          <w:szCs w:val="21"/>
        </w:rPr>
        <w:t>relativo</w:t>
      </w:r>
      <w:r w:rsidRPr="00AD79C7">
        <w:rPr>
          <w:rFonts w:ascii="Abadi" w:hAnsi="Abadi"/>
          <w:b/>
          <w:bCs/>
          <w:spacing w:val="4"/>
          <w:sz w:val="21"/>
          <w:szCs w:val="21"/>
        </w:rPr>
        <w:t xml:space="preserve"> </w:t>
      </w:r>
      <w:r w:rsidRPr="00AD79C7">
        <w:rPr>
          <w:rFonts w:ascii="Abadi" w:hAnsi="Abadi"/>
          <w:b/>
          <w:bCs/>
          <w:sz w:val="21"/>
          <w:szCs w:val="21"/>
        </w:rPr>
        <w:t>a</w:t>
      </w:r>
      <w:r w:rsidRPr="00AD79C7">
        <w:rPr>
          <w:rFonts w:ascii="Abadi" w:hAnsi="Abadi"/>
          <w:b/>
          <w:bCs/>
          <w:spacing w:val="4"/>
          <w:sz w:val="21"/>
          <w:szCs w:val="21"/>
        </w:rPr>
        <w:t xml:space="preserve"> </w:t>
      </w:r>
      <w:r w:rsidRPr="00AD79C7">
        <w:rPr>
          <w:rFonts w:ascii="Abadi" w:hAnsi="Abadi"/>
          <w:b/>
          <w:bCs/>
          <w:sz w:val="21"/>
          <w:szCs w:val="21"/>
        </w:rPr>
        <w:t>la</w:t>
      </w:r>
      <w:r w:rsidRPr="00AD79C7">
        <w:rPr>
          <w:rFonts w:ascii="Abadi" w:hAnsi="Abadi"/>
          <w:b/>
          <w:bCs/>
          <w:spacing w:val="4"/>
          <w:sz w:val="21"/>
          <w:szCs w:val="21"/>
        </w:rPr>
        <w:t xml:space="preserve"> </w:t>
      </w:r>
      <w:r w:rsidRPr="00AD79C7">
        <w:rPr>
          <w:rFonts w:ascii="Abadi" w:hAnsi="Abadi"/>
          <w:b/>
          <w:bCs/>
          <w:sz w:val="21"/>
          <w:szCs w:val="21"/>
        </w:rPr>
        <w:t>propuesta</w:t>
      </w:r>
      <w:r w:rsidRPr="00AD79C7">
        <w:rPr>
          <w:rFonts w:ascii="Abadi" w:hAnsi="Abadi"/>
          <w:b/>
          <w:bCs/>
          <w:spacing w:val="4"/>
          <w:sz w:val="21"/>
          <w:szCs w:val="21"/>
        </w:rPr>
        <w:t xml:space="preserve"> </w:t>
      </w:r>
      <w:r w:rsidRPr="00AD79C7">
        <w:rPr>
          <w:rFonts w:ascii="Abadi" w:hAnsi="Abadi"/>
          <w:b/>
          <w:bCs/>
          <w:sz w:val="21"/>
          <w:szCs w:val="21"/>
        </w:rPr>
        <w:t>de</w:t>
      </w:r>
      <w:r w:rsidRPr="00AD79C7">
        <w:rPr>
          <w:rFonts w:ascii="Abadi" w:hAnsi="Abadi"/>
          <w:b/>
          <w:bCs/>
          <w:spacing w:val="4"/>
          <w:sz w:val="21"/>
          <w:szCs w:val="21"/>
        </w:rPr>
        <w:t xml:space="preserve"> </w:t>
      </w:r>
      <w:r w:rsidRPr="00AD79C7">
        <w:rPr>
          <w:rFonts w:ascii="Abadi" w:hAnsi="Abadi"/>
          <w:b/>
          <w:bCs/>
          <w:sz w:val="21"/>
          <w:szCs w:val="21"/>
        </w:rPr>
        <w:t>punto</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57"/>
          <w:sz w:val="21"/>
          <w:szCs w:val="21"/>
        </w:rPr>
        <w:t xml:space="preserve"> </w:t>
      </w:r>
      <w:r w:rsidRPr="00AD79C7">
        <w:rPr>
          <w:rFonts w:ascii="Abadi" w:hAnsi="Abadi"/>
          <w:b/>
          <w:bCs/>
          <w:sz w:val="21"/>
          <w:szCs w:val="21"/>
        </w:rPr>
        <w:t>acuerdo</w:t>
      </w:r>
      <w:r w:rsidRPr="00AD79C7">
        <w:rPr>
          <w:rFonts w:ascii="Abadi" w:hAnsi="Abadi"/>
          <w:b/>
          <w:bCs/>
          <w:spacing w:val="57"/>
          <w:sz w:val="21"/>
          <w:szCs w:val="21"/>
        </w:rPr>
        <w:t xml:space="preserve"> </w:t>
      </w:r>
      <w:r w:rsidRPr="00AD79C7">
        <w:rPr>
          <w:rFonts w:ascii="Abadi" w:hAnsi="Abadi"/>
          <w:b/>
          <w:bCs/>
          <w:sz w:val="21"/>
          <w:szCs w:val="21"/>
        </w:rPr>
        <w:t>formulada</w:t>
      </w:r>
      <w:r w:rsidRPr="00AD79C7">
        <w:rPr>
          <w:rFonts w:ascii="Abadi" w:hAnsi="Abadi"/>
          <w:b/>
          <w:bCs/>
          <w:spacing w:val="57"/>
          <w:sz w:val="21"/>
          <w:szCs w:val="21"/>
        </w:rPr>
        <w:t xml:space="preserve"> </w:t>
      </w:r>
      <w:r w:rsidRPr="00AD79C7">
        <w:rPr>
          <w:rFonts w:ascii="Abadi" w:hAnsi="Abadi"/>
          <w:b/>
          <w:bCs/>
          <w:sz w:val="21"/>
          <w:szCs w:val="21"/>
        </w:rPr>
        <w:t>por</w:t>
      </w:r>
      <w:r w:rsidRPr="00AD79C7">
        <w:rPr>
          <w:rFonts w:ascii="Abadi" w:hAnsi="Abadi"/>
          <w:b/>
          <w:bCs/>
          <w:spacing w:val="57"/>
          <w:sz w:val="21"/>
          <w:szCs w:val="21"/>
        </w:rPr>
        <w:t xml:space="preserve"> </w:t>
      </w:r>
      <w:r w:rsidRPr="00AD79C7">
        <w:rPr>
          <w:rFonts w:ascii="Abadi" w:hAnsi="Abadi"/>
          <w:b/>
          <w:bCs/>
          <w:sz w:val="21"/>
          <w:szCs w:val="21"/>
        </w:rPr>
        <w:t>diputadas</w:t>
      </w:r>
      <w:r w:rsidRPr="00AD79C7">
        <w:rPr>
          <w:rFonts w:ascii="Abadi" w:hAnsi="Abadi"/>
          <w:b/>
          <w:bCs/>
          <w:spacing w:val="57"/>
          <w:sz w:val="21"/>
          <w:szCs w:val="21"/>
        </w:rPr>
        <w:t xml:space="preserve"> </w:t>
      </w:r>
      <w:r w:rsidRPr="00AD79C7">
        <w:rPr>
          <w:rFonts w:ascii="Abadi" w:hAnsi="Abadi"/>
          <w:b/>
          <w:bCs/>
          <w:sz w:val="21"/>
          <w:szCs w:val="21"/>
        </w:rPr>
        <w:t>y</w:t>
      </w:r>
      <w:r w:rsidRPr="00AD79C7">
        <w:rPr>
          <w:rFonts w:ascii="Abadi" w:hAnsi="Abadi"/>
          <w:b/>
          <w:bCs/>
          <w:spacing w:val="57"/>
          <w:sz w:val="21"/>
          <w:szCs w:val="21"/>
        </w:rPr>
        <w:t xml:space="preserve"> </w:t>
      </w:r>
      <w:r w:rsidRPr="00AD79C7">
        <w:rPr>
          <w:rFonts w:ascii="Abadi" w:hAnsi="Abadi"/>
          <w:b/>
          <w:bCs/>
          <w:sz w:val="21"/>
          <w:szCs w:val="21"/>
        </w:rPr>
        <w:t>diputados</w:t>
      </w:r>
      <w:r w:rsidRPr="00AD79C7">
        <w:rPr>
          <w:rFonts w:ascii="Abadi" w:hAnsi="Abadi"/>
          <w:b/>
          <w:bCs/>
          <w:spacing w:val="57"/>
          <w:sz w:val="21"/>
          <w:szCs w:val="21"/>
        </w:rPr>
        <w:t xml:space="preserve"> </w:t>
      </w:r>
      <w:r w:rsidRPr="00AD79C7">
        <w:rPr>
          <w:rFonts w:ascii="Abadi" w:hAnsi="Abadi"/>
          <w:b/>
          <w:bCs/>
          <w:sz w:val="21"/>
          <w:szCs w:val="21"/>
        </w:rPr>
        <w:t>integrantes</w:t>
      </w:r>
      <w:r w:rsidRPr="00AD79C7">
        <w:rPr>
          <w:rFonts w:ascii="Abadi" w:hAnsi="Abadi"/>
          <w:b/>
          <w:bCs/>
          <w:spacing w:val="57"/>
          <w:sz w:val="21"/>
          <w:szCs w:val="21"/>
        </w:rPr>
        <w:t xml:space="preserve"> </w:t>
      </w:r>
      <w:r w:rsidRPr="00AD79C7">
        <w:rPr>
          <w:rFonts w:ascii="Abadi" w:hAnsi="Abadi"/>
          <w:b/>
          <w:bCs/>
          <w:sz w:val="21"/>
          <w:szCs w:val="21"/>
        </w:rPr>
        <w:t>del</w:t>
      </w:r>
      <w:r w:rsidRPr="00AD79C7">
        <w:rPr>
          <w:rFonts w:ascii="Abadi" w:hAnsi="Abadi"/>
          <w:b/>
          <w:bCs/>
          <w:spacing w:val="57"/>
          <w:sz w:val="21"/>
          <w:szCs w:val="21"/>
        </w:rPr>
        <w:t xml:space="preserve"> </w:t>
      </w:r>
      <w:r w:rsidRPr="00AD79C7">
        <w:rPr>
          <w:rFonts w:ascii="Abadi" w:hAnsi="Abadi"/>
          <w:b/>
          <w:bCs/>
          <w:sz w:val="21"/>
          <w:szCs w:val="21"/>
        </w:rPr>
        <w:t>Grupo</w:t>
      </w:r>
      <w:r w:rsidRPr="00AD79C7">
        <w:rPr>
          <w:rFonts w:ascii="Abadi" w:hAnsi="Abadi"/>
          <w:b/>
          <w:bCs/>
          <w:spacing w:val="-2"/>
          <w:sz w:val="21"/>
          <w:szCs w:val="21"/>
        </w:rPr>
        <w:t xml:space="preserve"> </w:t>
      </w:r>
      <w:r w:rsidRPr="00AD79C7">
        <w:rPr>
          <w:rFonts w:ascii="Abadi" w:hAnsi="Abadi"/>
          <w:b/>
          <w:bCs/>
          <w:sz w:val="21"/>
          <w:szCs w:val="21"/>
        </w:rPr>
        <w:t>Parlamentario</w:t>
      </w:r>
      <w:r w:rsidRPr="00AD79C7">
        <w:rPr>
          <w:rFonts w:ascii="Abadi" w:hAnsi="Abadi"/>
          <w:b/>
          <w:bCs/>
          <w:spacing w:val="12"/>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Partido</w:t>
      </w:r>
      <w:r w:rsidRPr="00AD79C7">
        <w:rPr>
          <w:rFonts w:ascii="Abadi" w:hAnsi="Abadi"/>
          <w:b/>
          <w:bCs/>
          <w:spacing w:val="12"/>
          <w:sz w:val="21"/>
          <w:szCs w:val="21"/>
        </w:rPr>
        <w:t xml:space="preserve"> </w:t>
      </w:r>
      <w:r w:rsidRPr="00AD79C7">
        <w:rPr>
          <w:rFonts w:ascii="Abadi" w:hAnsi="Abadi"/>
          <w:b/>
          <w:bCs/>
          <w:sz w:val="21"/>
          <w:szCs w:val="21"/>
        </w:rPr>
        <w:t>MORENA</w:t>
      </w:r>
      <w:r w:rsidRPr="00AD79C7">
        <w:rPr>
          <w:rFonts w:ascii="Abadi" w:hAnsi="Abadi"/>
          <w:b/>
          <w:bCs/>
          <w:spacing w:val="12"/>
          <w:sz w:val="21"/>
          <w:szCs w:val="21"/>
        </w:rPr>
        <w:t xml:space="preserve"> </w:t>
      </w:r>
      <w:r w:rsidRPr="00AD79C7">
        <w:rPr>
          <w:rFonts w:ascii="Abadi" w:hAnsi="Abadi"/>
          <w:b/>
          <w:bCs/>
          <w:sz w:val="21"/>
          <w:szCs w:val="21"/>
        </w:rPr>
        <w:t>a</w:t>
      </w:r>
      <w:r w:rsidRPr="00AD79C7">
        <w:rPr>
          <w:rFonts w:ascii="Abadi" w:hAnsi="Abadi"/>
          <w:b/>
          <w:bCs/>
          <w:spacing w:val="10"/>
          <w:sz w:val="21"/>
          <w:szCs w:val="21"/>
        </w:rPr>
        <w:t xml:space="preserve"> </w:t>
      </w:r>
      <w:r w:rsidRPr="00AD79C7">
        <w:rPr>
          <w:rFonts w:ascii="Abadi" w:hAnsi="Abadi"/>
          <w:b/>
          <w:bCs/>
          <w:sz w:val="21"/>
          <w:szCs w:val="21"/>
        </w:rPr>
        <w:t>efecto</w:t>
      </w:r>
      <w:r w:rsidRPr="00AD79C7">
        <w:rPr>
          <w:rFonts w:ascii="Abadi" w:hAnsi="Abadi"/>
          <w:b/>
          <w:bCs/>
          <w:spacing w:val="11"/>
          <w:sz w:val="21"/>
          <w:szCs w:val="21"/>
        </w:rPr>
        <w:t xml:space="preserve"> </w:t>
      </w:r>
      <w:r w:rsidRPr="00AD79C7">
        <w:rPr>
          <w:rFonts w:ascii="Abadi" w:hAnsi="Abadi"/>
          <w:b/>
          <w:bCs/>
          <w:sz w:val="21"/>
          <w:szCs w:val="21"/>
        </w:rPr>
        <w:t>de</w:t>
      </w:r>
      <w:r w:rsidRPr="00AD79C7">
        <w:rPr>
          <w:rFonts w:ascii="Abadi" w:hAnsi="Abadi"/>
          <w:b/>
          <w:bCs/>
          <w:spacing w:val="11"/>
          <w:sz w:val="21"/>
          <w:szCs w:val="21"/>
        </w:rPr>
        <w:t xml:space="preserve"> </w:t>
      </w:r>
      <w:r w:rsidRPr="00AD79C7">
        <w:rPr>
          <w:rFonts w:ascii="Abadi" w:hAnsi="Abadi"/>
          <w:b/>
          <w:bCs/>
          <w:sz w:val="21"/>
          <w:szCs w:val="21"/>
        </w:rPr>
        <w:t>exhortar</w:t>
      </w:r>
      <w:r w:rsidRPr="00AD79C7">
        <w:rPr>
          <w:rFonts w:ascii="Abadi" w:hAnsi="Abadi"/>
          <w:b/>
          <w:bCs/>
          <w:spacing w:val="11"/>
          <w:sz w:val="21"/>
          <w:szCs w:val="21"/>
        </w:rPr>
        <w:t xml:space="preserve"> </w:t>
      </w:r>
      <w:r w:rsidRPr="00AD79C7">
        <w:rPr>
          <w:rFonts w:ascii="Abadi" w:hAnsi="Abadi"/>
          <w:b/>
          <w:bCs/>
          <w:sz w:val="21"/>
          <w:szCs w:val="21"/>
        </w:rPr>
        <w:t>al</w:t>
      </w:r>
      <w:r w:rsidRPr="00AD79C7">
        <w:rPr>
          <w:rFonts w:ascii="Abadi" w:hAnsi="Abadi"/>
          <w:b/>
          <w:bCs/>
          <w:spacing w:val="11"/>
          <w:sz w:val="21"/>
          <w:szCs w:val="21"/>
        </w:rPr>
        <w:t xml:space="preserve"> </w:t>
      </w:r>
      <w:r w:rsidRPr="00AD79C7">
        <w:rPr>
          <w:rFonts w:ascii="Abadi" w:hAnsi="Abadi"/>
          <w:b/>
          <w:bCs/>
          <w:sz w:val="21"/>
          <w:szCs w:val="21"/>
        </w:rPr>
        <w:t>Fiscal</w:t>
      </w:r>
      <w:r w:rsidRPr="00AD79C7">
        <w:rPr>
          <w:rFonts w:ascii="Abadi" w:hAnsi="Abadi"/>
          <w:b/>
          <w:bCs/>
          <w:spacing w:val="11"/>
          <w:sz w:val="21"/>
          <w:szCs w:val="21"/>
        </w:rPr>
        <w:t xml:space="preserve"> </w:t>
      </w:r>
      <w:r w:rsidRPr="00AD79C7">
        <w:rPr>
          <w:rFonts w:ascii="Abadi" w:hAnsi="Abadi"/>
          <w:b/>
          <w:bCs/>
          <w:sz w:val="21"/>
          <w:szCs w:val="21"/>
        </w:rPr>
        <w:t>General</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8"/>
          <w:sz w:val="21"/>
          <w:szCs w:val="21"/>
        </w:rPr>
        <w:t xml:space="preserve"> </w:t>
      </w:r>
      <w:r w:rsidRPr="00AD79C7">
        <w:rPr>
          <w:rFonts w:ascii="Abadi" w:hAnsi="Abadi"/>
          <w:b/>
          <w:bCs/>
          <w:sz w:val="21"/>
          <w:szCs w:val="21"/>
        </w:rPr>
        <w:t>Guanajuato</w:t>
      </w:r>
      <w:r w:rsidRPr="00AD79C7">
        <w:rPr>
          <w:rFonts w:ascii="Abadi" w:hAnsi="Abadi"/>
          <w:b/>
          <w:bCs/>
          <w:spacing w:val="8"/>
          <w:sz w:val="21"/>
          <w:szCs w:val="21"/>
        </w:rPr>
        <w:t xml:space="preserve"> </w:t>
      </w:r>
      <w:r w:rsidRPr="00AD79C7">
        <w:rPr>
          <w:rFonts w:ascii="Abadi" w:hAnsi="Abadi"/>
          <w:b/>
          <w:bCs/>
          <w:sz w:val="21"/>
          <w:szCs w:val="21"/>
        </w:rPr>
        <w:t>Carlos</w:t>
      </w:r>
      <w:r w:rsidRPr="00AD79C7">
        <w:rPr>
          <w:rFonts w:ascii="Abadi" w:hAnsi="Abadi"/>
          <w:b/>
          <w:bCs/>
          <w:spacing w:val="8"/>
          <w:sz w:val="21"/>
          <w:szCs w:val="21"/>
        </w:rPr>
        <w:t xml:space="preserve"> </w:t>
      </w:r>
      <w:r w:rsidRPr="00AD79C7">
        <w:rPr>
          <w:rFonts w:ascii="Abadi" w:hAnsi="Abadi"/>
          <w:b/>
          <w:bCs/>
          <w:sz w:val="21"/>
          <w:szCs w:val="21"/>
        </w:rPr>
        <w:t>Zamarripa</w:t>
      </w:r>
      <w:r w:rsidRPr="00AD79C7">
        <w:rPr>
          <w:rFonts w:ascii="Abadi" w:hAnsi="Abadi"/>
          <w:b/>
          <w:bCs/>
          <w:spacing w:val="8"/>
          <w:sz w:val="21"/>
          <w:szCs w:val="21"/>
        </w:rPr>
        <w:t xml:space="preserve"> </w:t>
      </w:r>
      <w:r w:rsidRPr="00AD79C7">
        <w:rPr>
          <w:rFonts w:ascii="Abadi" w:hAnsi="Abadi"/>
          <w:b/>
          <w:bCs/>
          <w:sz w:val="21"/>
          <w:szCs w:val="21"/>
        </w:rPr>
        <w:t>para</w:t>
      </w:r>
      <w:r w:rsidRPr="00AD79C7">
        <w:rPr>
          <w:rFonts w:ascii="Abadi" w:hAnsi="Abadi"/>
          <w:b/>
          <w:bCs/>
          <w:spacing w:val="8"/>
          <w:sz w:val="21"/>
          <w:szCs w:val="21"/>
        </w:rPr>
        <w:t xml:space="preserve"> </w:t>
      </w:r>
      <w:r w:rsidRPr="00AD79C7">
        <w:rPr>
          <w:rFonts w:ascii="Abadi" w:hAnsi="Abadi"/>
          <w:b/>
          <w:bCs/>
          <w:sz w:val="21"/>
          <w:szCs w:val="21"/>
        </w:rPr>
        <w:t>que</w:t>
      </w:r>
      <w:r w:rsidRPr="00AD79C7">
        <w:rPr>
          <w:rFonts w:ascii="Abadi" w:hAnsi="Abadi"/>
          <w:b/>
          <w:bCs/>
          <w:spacing w:val="8"/>
          <w:sz w:val="21"/>
          <w:szCs w:val="21"/>
        </w:rPr>
        <w:t xml:space="preserve"> </w:t>
      </w:r>
      <w:r w:rsidRPr="00AD79C7">
        <w:rPr>
          <w:rFonts w:ascii="Abadi" w:hAnsi="Abadi"/>
          <w:b/>
          <w:bCs/>
          <w:sz w:val="21"/>
          <w:szCs w:val="21"/>
        </w:rPr>
        <w:t>la</w:t>
      </w:r>
      <w:r w:rsidRPr="00AD79C7">
        <w:rPr>
          <w:rFonts w:ascii="Abadi" w:hAnsi="Abadi"/>
          <w:b/>
          <w:bCs/>
          <w:spacing w:val="8"/>
          <w:sz w:val="21"/>
          <w:szCs w:val="21"/>
        </w:rPr>
        <w:t xml:space="preserve"> </w:t>
      </w:r>
      <w:r w:rsidRPr="00AD79C7">
        <w:rPr>
          <w:rFonts w:ascii="Abadi" w:hAnsi="Abadi"/>
          <w:b/>
          <w:bCs/>
          <w:sz w:val="21"/>
          <w:szCs w:val="21"/>
        </w:rPr>
        <w:t>Fiscalía</w:t>
      </w:r>
      <w:r w:rsidRPr="00AD79C7">
        <w:rPr>
          <w:rFonts w:ascii="Abadi" w:hAnsi="Abadi"/>
          <w:b/>
          <w:bCs/>
          <w:spacing w:val="8"/>
          <w:sz w:val="21"/>
          <w:szCs w:val="21"/>
        </w:rPr>
        <w:t xml:space="preserve"> </w:t>
      </w:r>
      <w:r w:rsidRPr="00AD79C7">
        <w:rPr>
          <w:rFonts w:ascii="Abadi" w:hAnsi="Abadi"/>
          <w:b/>
          <w:bCs/>
          <w:sz w:val="21"/>
          <w:szCs w:val="21"/>
        </w:rPr>
        <w:t>a</w:t>
      </w:r>
      <w:r w:rsidRPr="00AD79C7">
        <w:rPr>
          <w:rFonts w:ascii="Abadi" w:hAnsi="Abadi"/>
          <w:b/>
          <w:bCs/>
          <w:spacing w:val="8"/>
          <w:sz w:val="21"/>
          <w:szCs w:val="21"/>
        </w:rPr>
        <w:t xml:space="preserve"> </w:t>
      </w:r>
      <w:r w:rsidRPr="00AD79C7">
        <w:rPr>
          <w:rFonts w:ascii="Abadi" w:hAnsi="Abadi"/>
          <w:b/>
          <w:bCs/>
          <w:sz w:val="21"/>
          <w:szCs w:val="21"/>
        </w:rPr>
        <w:t>su</w:t>
      </w:r>
      <w:r w:rsidRPr="00AD79C7">
        <w:rPr>
          <w:rFonts w:ascii="Abadi" w:hAnsi="Abadi"/>
          <w:b/>
          <w:bCs/>
          <w:spacing w:val="8"/>
          <w:sz w:val="21"/>
          <w:szCs w:val="21"/>
        </w:rPr>
        <w:t xml:space="preserve"> </w:t>
      </w:r>
      <w:r w:rsidRPr="00AD79C7">
        <w:rPr>
          <w:rFonts w:ascii="Abadi" w:hAnsi="Abadi"/>
          <w:b/>
          <w:bCs/>
          <w:sz w:val="21"/>
          <w:szCs w:val="21"/>
        </w:rPr>
        <w:t>cargo</w:t>
      </w:r>
      <w:r w:rsidRPr="00AD79C7">
        <w:rPr>
          <w:rFonts w:ascii="Abadi" w:hAnsi="Abadi"/>
          <w:b/>
          <w:bCs/>
          <w:spacing w:val="8"/>
          <w:sz w:val="21"/>
          <w:szCs w:val="21"/>
        </w:rPr>
        <w:t xml:space="preserve"> </w:t>
      </w:r>
      <w:r w:rsidRPr="00AD79C7">
        <w:rPr>
          <w:rFonts w:ascii="Abadi" w:hAnsi="Abadi"/>
          <w:b/>
          <w:bCs/>
          <w:sz w:val="21"/>
          <w:szCs w:val="21"/>
        </w:rPr>
        <w:t>obre</w:t>
      </w:r>
      <w:r w:rsidRPr="00AD79C7">
        <w:rPr>
          <w:rFonts w:ascii="Abadi" w:hAnsi="Abadi"/>
          <w:b/>
          <w:bCs/>
          <w:spacing w:val="8"/>
          <w:sz w:val="21"/>
          <w:szCs w:val="21"/>
        </w:rPr>
        <w:t xml:space="preserve"> </w:t>
      </w:r>
      <w:r w:rsidRPr="00AD79C7">
        <w:rPr>
          <w:rFonts w:ascii="Abadi" w:hAnsi="Abadi"/>
          <w:b/>
          <w:bCs/>
          <w:sz w:val="21"/>
          <w:szCs w:val="21"/>
        </w:rPr>
        <w:t>bajo</w:t>
      </w:r>
      <w:r w:rsidRPr="00AD79C7">
        <w:rPr>
          <w:rFonts w:ascii="Abadi" w:hAnsi="Abadi"/>
          <w:b/>
          <w:bCs/>
          <w:spacing w:val="-2"/>
          <w:sz w:val="21"/>
          <w:szCs w:val="21"/>
        </w:rPr>
        <w:t xml:space="preserve"> </w:t>
      </w:r>
      <w:r w:rsidRPr="00AD79C7">
        <w:rPr>
          <w:rFonts w:ascii="Abadi" w:hAnsi="Abadi"/>
          <w:b/>
          <w:bCs/>
          <w:sz w:val="21"/>
          <w:szCs w:val="21"/>
        </w:rPr>
        <w:t>el</w:t>
      </w:r>
      <w:r w:rsidRPr="00AD79C7">
        <w:rPr>
          <w:rFonts w:ascii="Abadi" w:hAnsi="Abadi"/>
          <w:b/>
          <w:bCs/>
          <w:spacing w:val="7"/>
          <w:sz w:val="21"/>
          <w:szCs w:val="21"/>
        </w:rPr>
        <w:t xml:space="preserve"> </w:t>
      </w:r>
      <w:r w:rsidRPr="00AD79C7">
        <w:rPr>
          <w:rFonts w:ascii="Abadi" w:hAnsi="Abadi"/>
          <w:b/>
          <w:bCs/>
          <w:sz w:val="21"/>
          <w:szCs w:val="21"/>
        </w:rPr>
        <w:t>principio</w:t>
      </w:r>
      <w:r w:rsidRPr="00AD79C7">
        <w:rPr>
          <w:rFonts w:ascii="Abadi" w:hAnsi="Abadi"/>
          <w:b/>
          <w:bCs/>
          <w:spacing w:val="8"/>
          <w:sz w:val="21"/>
          <w:szCs w:val="21"/>
        </w:rPr>
        <w:t xml:space="preserve"> </w:t>
      </w:r>
      <w:r w:rsidRPr="00AD79C7">
        <w:rPr>
          <w:rFonts w:ascii="Abadi" w:hAnsi="Abadi"/>
          <w:b/>
          <w:bCs/>
          <w:sz w:val="21"/>
          <w:szCs w:val="21"/>
        </w:rPr>
        <w:t>de</w:t>
      </w:r>
      <w:r w:rsidRPr="00AD79C7">
        <w:rPr>
          <w:rFonts w:ascii="Abadi" w:hAnsi="Abadi"/>
          <w:b/>
          <w:bCs/>
          <w:spacing w:val="8"/>
          <w:sz w:val="21"/>
          <w:szCs w:val="21"/>
        </w:rPr>
        <w:t xml:space="preserve"> </w:t>
      </w:r>
      <w:r w:rsidRPr="00AD79C7">
        <w:rPr>
          <w:rFonts w:ascii="Abadi" w:hAnsi="Abadi"/>
          <w:b/>
          <w:bCs/>
          <w:sz w:val="21"/>
          <w:szCs w:val="21"/>
        </w:rPr>
        <w:t>máxima</w:t>
      </w:r>
      <w:r w:rsidRPr="00AD79C7">
        <w:rPr>
          <w:rFonts w:ascii="Abadi" w:hAnsi="Abadi"/>
          <w:b/>
          <w:bCs/>
          <w:spacing w:val="8"/>
          <w:sz w:val="21"/>
          <w:szCs w:val="21"/>
        </w:rPr>
        <w:t xml:space="preserve"> </w:t>
      </w:r>
      <w:r w:rsidRPr="00AD79C7">
        <w:rPr>
          <w:rFonts w:ascii="Abadi" w:hAnsi="Abadi"/>
          <w:b/>
          <w:bCs/>
          <w:sz w:val="21"/>
          <w:szCs w:val="21"/>
        </w:rPr>
        <w:t>publicidad</w:t>
      </w:r>
      <w:r w:rsidRPr="00AD79C7">
        <w:rPr>
          <w:rFonts w:ascii="Abadi" w:hAnsi="Abadi"/>
          <w:b/>
          <w:bCs/>
          <w:spacing w:val="8"/>
          <w:sz w:val="21"/>
          <w:szCs w:val="21"/>
        </w:rPr>
        <w:t xml:space="preserve"> </w:t>
      </w:r>
      <w:r w:rsidRPr="00AD79C7">
        <w:rPr>
          <w:rFonts w:ascii="Abadi" w:hAnsi="Abadi"/>
          <w:b/>
          <w:bCs/>
          <w:sz w:val="21"/>
          <w:szCs w:val="21"/>
        </w:rPr>
        <w:t>con</w:t>
      </w:r>
      <w:r w:rsidRPr="00AD79C7">
        <w:rPr>
          <w:rFonts w:ascii="Abadi" w:hAnsi="Abadi"/>
          <w:b/>
          <w:bCs/>
          <w:spacing w:val="8"/>
          <w:sz w:val="21"/>
          <w:szCs w:val="21"/>
        </w:rPr>
        <w:t xml:space="preserve"> </w:t>
      </w:r>
      <w:r w:rsidRPr="00AD79C7">
        <w:rPr>
          <w:rFonts w:ascii="Abadi" w:hAnsi="Abadi"/>
          <w:b/>
          <w:bCs/>
          <w:sz w:val="21"/>
          <w:szCs w:val="21"/>
        </w:rPr>
        <w:t>respecto</w:t>
      </w:r>
      <w:r w:rsidRPr="00AD79C7">
        <w:rPr>
          <w:rFonts w:ascii="Abadi" w:hAnsi="Abadi"/>
          <w:b/>
          <w:bCs/>
          <w:spacing w:val="8"/>
          <w:sz w:val="21"/>
          <w:szCs w:val="21"/>
        </w:rPr>
        <w:t xml:space="preserve"> </w:t>
      </w:r>
      <w:r w:rsidRPr="00AD79C7">
        <w:rPr>
          <w:rFonts w:ascii="Abadi" w:hAnsi="Abadi"/>
          <w:b/>
          <w:bCs/>
          <w:sz w:val="21"/>
          <w:szCs w:val="21"/>
        </w:rPr>
        <w:t>al</w:t>
      </w:r>
      <w:r w:rsidRPr="00AD79C7">
        <w:rPr>
          <w:rFonts w:ascii="Abadi" w:hAnsi="Abadi"/>
          <w:b/>
          <w:bCs/>
          <w:spacing w:val="7"/>
          <w:sz w:val="21"/>
          <w:szCs w:val="21"/>
        </w:rPr>
        <w:t xml:space="preserve"> </w:t>
      </w:r>
      <w:r w:rsidRPr="00AD79C7">
        <w:rPr>
          <w:rFonts w:ascii="Abadi" w:hAnsi="Abadi"/>
          <w:b/>
          <w:bCs/>
          <w:sz w:val="21"/>
          <w:szCs w:val="21"/>
        </w:rPr>
        <w:t>derecho</w:t>
      </w:r>
      <w:r w:rsidRPr="00AD79C7">
        <w:rPr>
          <w:rFonts w:ascii="Abadi" w:hAnsi="Abadi"/>
          <w:b/>
          <w:bCs/>
          <w:spacing w:val="8"/>
          <w:sz w:val="21"/>
          <w:szCs w:val="21"/>
        </w:rPr>
        <w:t xml:space="preserve"> </w:t>
      </w:r>
      <w:r w:rsidRPr="00AD79C7">
        <w:rPr>
          <w:rFonts w:ascii="Abadi" w:hAnsi="Abadi"/>
          <w:b/>
          <w:bCs/>
          <w:sz w:val="21"/>
          <w:szCs w:val="21"/>
        </w:rPr>
        <w:t>a</w:t>
      </w:r>
      <w:r w:rsidRPr="00AD79C7">
        <w:rPr>
          <w:rFonts w:ascii="Abadi" w:hAnsi="Abadi"/>
          <w:b/>
          <w:bCs/>
          <w:spacing w:val="8"/>
          <w:sz w:val="21"/>
          <w:szCs w:val="21"/>
        </w:rPr>
        <w:t xml:space="preserve"> </w:t>
      </w:r>
      <w:r w:rsidRPr="00AD79C7">
        <w:rPr>
          <w:rFonts w:ascii="Abadi" w:hAnsi="Abadi"/>
          <w:b/>
          <w:bCs/>
          <w:sz w:val="21"/>
          <w:szCs w:val="21"/>
        </w:rPr>
        <w:t>la</w:t>
      </w:r>
      <w:r w:rsidRPr="00AD79C7">
        <w:rPr>
          <w:rFonts w:ascii="Abadi" w:hAnsi="Abadi"/>
          <w:b/>
          <w:bCs/>
          <w:spacing w:val="8"/>
          <w:sz w:val="21"/>
          <w:szCs w:val="21"/>
        </w:rPr>
        <w:t xml:space="preserve"> </w:t>
      </w:r>
      <w:r w:rsidRPr="00AD79C7">
        <w:rPr>
          <w:rFonts w:ascii="Abadi" w:hAnsi="Abadi"/>
          <w:b/>
          <w:bCs/>
          <w:sz w:val="21"/>
          <w:szCs w:val="21"/>
        </w:rPr>
        <w:t>información</w:t>
      </w:r>
      <w:r w:rsidRPr="00AD79C7">
        <w:rPr>
          <w:rFonts w:ascii="Abadi" w:hAnsi="Abadi"/>
          <w:b/>
          <w:bCs/>
          <w:spacing w:val="-2"/>
          <w:sz w:val="21"/>
          <w:szCs w:val="21"/>
        </w:rPr>
        <w:t xml:space="preserve"> </w:t>
      </w:r>
      <w:r w:rsidRPr="00AD79C7">
        <w:rPr>
          <w:rFonts w:ascii="Abadi" w:hAnsi="Abadi"/>
          <w:b/>
          <w:bCs/>
          <w:sz w:val="21"/>
          <w:szCs w:val="21"/>
        </w:rPr>
        <w:t>sobre</w:t>
      </w:r>
      <w:r w:rsidRPr="00AD79C7">
        <w:rPr>
          <w:rFonts w:ascii="Abadi" w:hAnsi="Abadi"/>
          <w:b/>
          <w:bCs/>
          <w:spacing w:val="33"/>
          <w:sz w:val="21"/>
          <w:szCs w:val="21"/>
        </w:rPr>
        <w:t xml:space="preserve"> </w:t>
      </w:r>
      <w:r w:rsidRPr="00AD79C7">
        <w:rPr>
          <w:rFonts w:ascii="Abadi" w:hAnsi="Abadi"/>
          <w:b/>
          <w:bCs/>
          <w:sz w:val="21"/>
          <w:szCs w:val="21"/>
        </w:rPr>
        <w:t>todos</w:t>
      </w:r>
      <w:r w:rsidRPr="00AD79C7">
        <w:rPr>
          <w:rFonts w:ascii="Abadi" w:hAnsi="Abadi"/>
          <w:b/>
          <w:bCs/>
          <w:spacing w:val="33"/>
          <w:sz w:val="21"/>
          <w:szCs w:val="21"/>
        </w:rPr>
        <w:t xml:space="preserve"> </w:t>
      </w:r>
      <w:r w:rsidRPr="00AD79C7">
        <w:rPr>
          <w:rFonts w:ascii="Abadi" w:hAnsi="Abadi"/>
          <w:b/>
          <w:bCs/>
          <w:sz w:val="21"/>
          <w:szCs w:val="21"/>
        </w:rPr>
        <w:t>los</w:t>
      </w:r>
      <w:r w:rsidRPr="00AD79C7">
        <w:rPr>
          <w:rFonts w:ascii="Abadi" w:hAnsi="Abadi"/>
          <w:b/>
          <w:bCs/>
          <w:spacing w:val="33"/>
          <w:sz w:val="21"/>
          <w:szCs w:val="21"/>
        </w:rPr>
        <w:t xml:space="preserve"> </w:t>
      </w:r>
      <w:r w:rsidRPr="00AD79C7">
        <w:rPr>
          <w:rFonts w:ascii="Abadi" w:hAnsi="Abadi"/>
          <w:b/>
          <w:bCs/>
          <w:sz w:val="21"/>
          <w:szCs w:val="21"/>
        </w:rPr>
        <w:t>contextos</w:t>
      </w:r>
      <w:r w:rsidRPr="00AD79C7">
        <w:rPr>
          <w:rFonts w:ascii="Abadi" w:hAnsi="Abadi"/>
          <w:b/>
          <w:bCs/>
          <w:spacing w:val="33"/>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hallazgo,</w:t>
      </w:r>
      <w:r w:rsidRPr="00AD79C7">
        <w:rPr>
          <w:rFonts w:ascii="Abadi" w:hAnsi="Abadi"/>
          <w:b/>
          <w:bCs/>
          <w:spacing w:val="33"/>
          <w:sz w:val="21"/>
          <w:szCs w:val="21"/>
        </w:rPr>
        <w:t xml:space="preserve"> </w:t>
      </w:r>
      <w:r w:rsidRPr="00AD79C7">
        <w:rPr>
          <w:rFonts w:ascii="Abadi" w:hAnsi="Abadi"/>
          <w:b/>
          <w:bCs/>
          <w:sz w:val="21"/>
          <w:szCs w:val="21"/>
        </w:rPr>
        <w:t>incluyendo</w:t>
      </w:r>
      <w:r w:rsidRPr="00AD79C7">
        <w:rPr>
          <w:rFonts w:ascii="Abadi" w:hAnsi="Abadi"/>
          <w:b/>
          <w:bCs/>
          <w:spacing w:val="33"/>
          <w:sz w:val="21"/>
          <w:szCs w:val="21"/>
        </w:rPr>
        <w:t xml:space="preserve"> </w:t>
      </w:r>
      <w:r w:rsidRPr="00AD79C7">
        <w:rPr>
          <w:rFonts w:ascii="Abadi" w:hAnsi="Abadi"/>
          <w:b/>
          <w:bCs/>
          <w:sz w:val="21"/>
          <w:szCs w:val="21"/>
        </w:rPr>
        <w:t>en</w:t>
      </w:r>
      <w:r w:rsidRPr="00AD79C7">
        <w:rPr>
          <w:rFonts w:ascii="Abadi" w:hAnsi="Abadi"/>
          <w:b/>
          <w:bCs/>
          <w:spacing w:val="33"/>
          <w:sz w:val="21"/>
          <w:szCs w:val="21"/>
        </w:rPr>
        <w:t xml:space="preserve"> </w:t>
      </w:r>
      <w:r w:rsidRPr="00AD79C7">
        <w:rPr>
          <w:rFonts w:ascii="Abadi" w:hAnsi="Abadi"/>
          <w:b/>
          <w:bCs/>
          <w:sz w:val="21"/>
          <w:szCs w:val="21"/>
        </w:rPr>
        <w:t>particular</w:t>
      </w:r>
      <w:r w:rsidRPr="00AD79C7">
        <w:rPr>
          <w:rFonts w:ascii="Abadi" w:hAnsi="Abadi"/>
          <w:b/>
          <w:bCs/>
          <w:spacing w:val="33"/>
          <w:sz w:val="21"/>
          <w:szCs w:val="21"/>
        </w:rPr>
        <w:t xml:space="preserve"> </w:t>
      </w:r>
      <w:r w:rsidRPr="00AD79C7">
        <w:rPr>
          <w:rFonts w:ascii="Abadi" w:hAnsi="Abadi"/>
          <w:b/>
          <w:bCs/>
          <w:sz w:val="21"/>
          <w:szCs w:val="21"/>
        </w:rPr>
        <w:t>las</w:t>
      </w:r>
      <w:r w:rsidRPr="00AD79C7">
        <w:rPr>
          <w:rFonts w:ascii="Abadi" w:hAnsi="Abadi"/>
          <w:b/>
          <w:bCs/>
          <w:spacing w:val="33"/>
          <w:sz w:val="21"/>
          <w:szCs w:val="21"/>
        </w:rPr>
        <w:t xml:space="preserve"> </w:t>
      </w:r>
      <w:r w:rsidRPr="00AD79C7">
        <w:rPr>
          <w:rFonts w:ascii="Abadi" w:hAnsi="Abadi"/>
          <w:b/>
          <w:bCs/>
          <w:sz w:val="21"/>
          <w:szCs w:val="21"/>
        </w:rPr>
        <w:t>fosas</w:t>
      </w:r>
      <w:r w:rsidRPr="00AD79C7">
        <w:rPr>
          <w:rFonts w:ascii="Abadi" w:hAnsi="Abadi"/>
          <w:b/>
          <w:bCs/>
          <w:spacing w:val="-2"/>
          <w:sz w:val="21"/>
          <w:szCs w:val="21"/>
        </w:rPr>
        <w:t xml:space="preserve"> </w:t>
      </w:r>
      <w:r w:rsidRPr="00AD79C7">
        <w:rPr>
          <w:rFonts w:ascii="Abadi" w:hAnsi="Abadi"/>
          <w:b/>
          <w:bCs/>
          <w:sz w:val="21"/>
          <w:szCs w:val="21"/>
        </w:rPr>
        <w:t>clandestinas</w:t>
      </w:r>
      <w:r w:rsidRPr="00AD79C7">
        <w:rPr>
          <w:rFonts w:ascii="Abadi" w:hAnsi="Abadi"/>
          <w:b/>
          <w:bCs/>
          <w:spacing w:val="-15"/>
          <w:sz w:val="21"/>
          <w:szCs w:val="21"/>
        </w:rPr>
        <w:t xml:space="preserve"> </w:t>
      </w:r>
      <w:r w:rsidRPr="00AD79C7">
        <w:rPr>
          <w:rFonts w:ascii="Abadi" w:hAnsi="Abadi"/>
          <w:b/>
          <w:bCs/>
          <w:sz w:val="21"/>
          <w:szCs w:val="21"/>
        </w:rPr>
        <w:t>de</w:t>
      </w:r>
      <w:r w:rsidRPr="00AD79C7">
        <w:rPr>
          <w:rFonts w:ascii="Abadi" w:hAnsi="Abadi"/>
          <w:b/>
          <w:bCs/>
          <w:spacing w:val="-15"/>
          <w:sz w:val="21"/>
          <w:szCs w:val="21"/>
        </w:rPr>
        <w:t xml:space="preserve"> </w:t>
      </w:r>
      <w:r w:rsidRPr="00AD79C7">
        <w:rPr>
          <w:rFonts w:ascii="Abadi" w:hAnsi="Abadi"/>
          <w:b/>
          <w:bCs/>
          <w:sz w:val="21"/>
          <w:szCs w:val="21"/>
        </w:rPr>
        <w:t>los</w:t>
      </w:r>
      <w:r w:rsidRPr="00AD79C7">
        <w:rPr>
          <w:rFonts w:ascii="Abadi" w:hAnsi="Abadi"/>
          <w:b/>
          <w:bCs/>
          <w:spacing w:val="-15"/>
          <w:sz w:val="21"/>
          <w:szCs w:val="21"/>
        </w:rPr>
        <w:t xml:space="preserve"> </w:t>
      </w:r>
      <w:r w:rsidRPr="00AD79C7">
        <w:rPr>
          <w:rFonts w:ascii="Abadi" w:hAnsi="Abadi"/>
          <w:b/>
          <w:bCs/>
          <w:sz w:val="21"/>
          <w:szCs w:val="21"/>
        </w:rPr>
        <w:t>que</w:t>
      </w:r>
      <w:r w:rsidRPr="00AD79C7">
        <w:rPr>
          <w:rFonts w:ascii="Abadi" w:hAnsi="Abadi"/>
          <w:b/>
          <w:bCs/>
          <w:spacing w:val="-15"/>
          <w:sz w:val="21"/>
          <w:szCs w:val="21"/>
        </w:rPr>
        <w:t xml:space="preserve"> </w:t>
      </w:r>
      <w:r w:rsidRPr="00AD79C7">
        <w:rPr>
          <w:rFonts w:ascii="Abadi" w:hAnsi="Abadi"/>
          <w:b/>
          <w:bCs/>
          <w:sz w:val="21"/>
          <w:szCs w:val="21"/>
        </w:rPr>
        <w:t>tiene</w:t>
      </w:r>
      <w:r w:rsidRPr="00AD79C7">
        <w:rPr>
          <w:rFonts w:ascii="Abadi" w:hAnsi="Abadi"/>
          <w:b/>
          <w:bCs/>
          <w:spacing w:val="-15"/>
          <w:sz w:val="21"/>
          <w:szCs w:val="21"/>
        </w:rPr>
        <w:t xml:space="preserve"> </w:t>
      </w:r>
      <w:r w:rsidRPr="00AD79C7">
        <w:rPr>
          <w:rFonts w:ascii="Abadi" w:hAnsi="Abadi"/>
          <w:b/>
          <w:bCs/>
          <w:sz w:val="21"/>
          <w:szCs w:val="21"/>
        </w:rPr>
        <w:t>conocimiento</w:t>
      </w:r>
      <w:r w:rsidRPr="00AD79C7">
        <w:rPr>
          <w:rFonts w:ascii="Abadi" w:hAnsi="Abadi"/>
          <w:b/>
          <w:bCs/>
          <w:spacing w:val="-15"/>
          <w:sz w:val="21"/>
          <w:szCs w:val="21"/>
        </w:rPr>
        <w:t xml:space="preserve"> </w:t>
      </w:r>
      <w:r w:rsidRPr="00AD79C7">
        <w:rPr>
          <w:rFonts w:ascii="Abadi" w:hAnsi="Abadi"/>
          <w:b/>
          <w:bCs/>
          <w:sz w:val="21"/>
          <w:szCs w:val="21"/>
        </w:rPr>
        <w:t>y</w:t>
      </w:r>
      <w:r w:rsidRPr="00AD79C7">
        <w:rPr>
          <w:rFonts w:ascii="Abadi" w:hAnsi="Abadi"/>
          <w:b/>
          <w:bCs/>
          <w:spacing w:val="-15"/>
          <w:sz w:val="21"/>
          <w:szCs w:val="21"/>
        </w:rPr>
        <w:t xml:space="preserve"> </w:t>
      </w:r>
      <w:r w:rsidRPr="00AD79C7">
        <w:rPr>
          <w:rFonts w:ascii="Abadi" w:hAnsi="Abadi"/>
          <w:b/>
          <w:bCs/>
          <w:sz w:val="21"/>
          <w:szCs w:val="21"/>
        </w:rPr>
        <w:t>homologue</w:t>
      </w:r>
      <w:r w:rsidRPr="00AD79C7">
        <w:rPr>
          <w:rFonts w:ascii="Abadi" w:hAnsi="Abadi"/>
          <w:b/>
          <w:bCs/>
          <w:spacing w:val="-15"/>
          <w:sz w:val="21"/>
          <w:szCs w:val="21"/>
        </w:rPr>
        <w:t xml:space="preserve"> </w:t>
      </w:r>
      <w:r w:rsidRPr="00AD79C7">
        <w:rPr>
          <w:rFonts w:ascii="Abadi" w:hAnsi="Abadi"/>
          <w:b/>
          <w:bCs/>
          <w:sz w:val="21"/>
          <w:szCs w:val="21"/>
        </w:rPr>
        <w:t>consecuentemente</w:t>
      </w:r>
      <w:r w:rsidRPr="00AD79C7">
        <w:rPr>
          <w:rFonts w:ascii="Abadi" w:hAnsi="Abadi"/>
          <w:b/>
          <w:bCs/>
          <w:spacing w:val="-2"/>
          <w:sz w:val="21"/>
          <w:szCs w:val="21"/>
        </w:rPr>
        <w:t xml:space="preserve"> </w:t>
      </w:r>
      <w:r w:rsidRPr="00AD79C7">
        <w:rPr>
          <w:rFonts w:ascii="Abadi" w:hAnsi="Abadi"/>
          <w:b/>
          <w:bCs/>
          <w:sz w:val="21"/>
          <w:szCs w:val="21"/>
        </w:rPr>
        <w:t>los</w:t>
      </w:r>
      <w:r w:rsidRPr="00AD79C7">
        <w:rPr>
          <w:rFonts w:ascii="Abadi" w:hAnsi="Abadi"/>
          <w:b/>
          <w:bCs/>
          <w:spacing w:val="-1"/>
          <w:sz w:val="21"/>
          <w:szCs w:val="21"/>
        </w:rPr>
        <w:t xml:space="preserve"> </w:t>
      </w:r>
      <w:r w:rsidRPr="00AD79C7">
        <w:rPr>
          <w:rFonts w:ascii="Abadi" w:hAnsi="Abadi"/>
          <w:b/>
          <w:bCs/>
          <w:sz w:val="21"/>
          <w:szCs w:val="21"/>
        </w:rPr>
        <w:t>datos</w:t>
      </w:r>
      <w:r w:rsidRPr="00AD79C7">
        <w:rPr>
          <w:rFonts w:ascii="Abadi" w:hAnsi="Abadi"/>
          <w:b/>
          <w:bCs/>
          <w:spacing w:val="-1"/>
          <w:sz w:val="21"/>
          <w:szCs w:val="21"/>
        </w:rPr>
        <w:t xml:space="preserve"> </w:t>
      </w:r>
      <w:r w:rsidRPr="00AD79C7">
        <w:rPr>
          <w:rFonts w:ascii="Abadi" w:hAnsi="Abadi"/>
          <w:b/>
          <w:bCs/>
          <w:sz w:val="21"/>
          <w:szCs w:val="21"/>
        </w:rPr>
        <w:t>del</w:t>
      </w:r>
      <w:r w:rsidRPr="00AD79C7">
        <w:rPr>
          <w:rFonts w:ascii="Abadi" w:hAnsi="Abadi"/>
          <w:b/>
          <w:bCs/>
          <w:spacing w:val="-1"/>
          <w:sz w:val="21"/>
          <w:szCs w:val="21"/>
        </w:rPr>
        <w:t xml:space="preserve"> </w:t>
      </w:r>
      <w:r w:rsidRPr="00AD79C7">
        <w:rPr>
          <w:rFonts w:ascii="Abadi" w:hAnsi="Abadi"/>
          <w:b/>
          <w:bCs/>
          <w:sz w:val="21"/>
          <w:szCs w:val="21"/>
        </w:rPr>
        <w:t>mapa</w:t>
      </w:r>
      <w:r w:rsidRPr="00AD79C7">
        <w:rPr>
          <w:rFonts w:ascii="Abadi" w:hAnsi="Abadi"/>
          <w:b/>
          <w:bCs/>
          <w:spacing w:val="-1"/>
          <w:sz w:val="21"/>
          <w:szCs w:val="21"/>
        </w:rPr>
        <w:t xml:space="preserve"> </w:t>
      </w:r>
      <w:r w:rsidRPr="00AD79C7">
        <w:rPr>
          <w:rFonts w:ascii="Abadi" w:hAnsi="Abadi"/>
          <w:b/>
          <w:bCs/>
          <w:sz w:val="21"/>
          <w:szCs w:val="21"/>
        </w:rPr>
        <w:t>que</w:t>
      </w:r>
      <w:r w:rsidRPr="00AD79C7">
        <w:rPr>
          <w:rFonts w:ascii="Abadi" w:hAnsi="Abadi"/>
          <w:b/>
          <w:bCs/>
          <w:spacing w:val="-1"/>
          <w:sz w:val="21"/>
          <w:szCs w:val="21"/>
        </w:rPr>
        <w:t xml:space="preserve"> </w:t>
      </w:r>
      <w:r w:rsidRPr="00AD79C7">
        <w:rPr>
          <w:rFonts w:ascii="Abadi" w:hAnsi="Abadi"/>
          <w:b/>
          <w:bCs/>
          <w:sz w:val="21"/>
          <w:szCs w:val="21"/>
        </w:rPr>
        <w:t>aparecen</w:t>
      </w:r>
      <w:r w:rsidRPr="00AD79C7">
        <w:rPr>
          <w:rFonts w:ascii="Abadi" w:hAnsi="Abadi"/>
          <w:b/>
          <w:bCs/>
          <w:spacing w:val="-1"/>
          <w:sz w:val="21"/>
          <w:szCs w:val="21"/>
        </w:rPr>
        <w:t xml:space="preserve"> </w:t>
      </w:r>
      <w:r w:rsidRPr="00AD79C7">
        <w:rPr>
          <w:rFonts w:ascii="Abadi" w:hAnsi="Abadi"/>
          <w:b/>
          <w:bCs/>
          <w:sz w:val="21"/>
          <w:szCs w:val="21"/>
        </w:rPr>
        <w:t>en</w:t>
      </w:r>
      <w:r w:rsidRPr="00AD79C7">
        <w:rPr>
          <w:rFonts w:ascii="Abadi" w:hAnsi="Abadi"/>
          <w:b/>
          <w:bCs/>
          <w:spacing w:val="-1"/>
          <w:sz w:val="21"/>
          <w:szCs w:val="21"/>
        </w:rPr>
        <w:t xml:space="preserve"> </w:t>
      </w:r>
      <w:r w:rsidRPr="00AD79C7">
        <w:rPr>
          <w:rFonts w:ascii="Abadi" w:hAnsi="Abadi"/>
          <w:b/>
          <w:bCs/>
          <w:sz w:val="21"/>
          <w:szCs w:val="21"/>
        </w:rPr>
        <w:t>su</w:t>
      </w:r>
      <w:r w:rsidRPr="00AD79C7">
        <w:rPr>
          <w:rFonts w:ascii="Abadi" w:hAnsi="Abadi"/>
          <w:b/>
          <w:bCs/>
          <w:spacing w:val="-1"/>
          <w:sz w:val="21"/>
          <w:szCs w:val="21"/>
        </w:rPr>
        <w:t xml:space="preserve"> </w:t>
      </w:r>
      <w:r w:rsidRPr="00AD79C7">
        <w:rPr>
          <w:rFonts w:ascii="Abadi" w:hAnsi="Abadi"/>
          <w:b/>
          <w:bCs/>
          <w:sz w:val="21"/>
          <w:szCs w:val="21"/>
        </w:rPr>
        <w:t>página</w:t>
      </w:r>
      <w:r w:rsidRPr="00AD79C7">
        <w:rPr>
          <w:rFonts w:ascii="Abadi" w:hAnsi="Abadi"/>
          <w:b/>
          <w:bCs/>
          <w:spacing w:val="-1"/>
          <w:sz w:val="21"/>
          <w:szCs w:val="21"/>
        </w:rPr>
        <w:t xml:space="preserve"> </w:t>
      </w:r>
      <w:r w:rsidRPr="00AD79C7">
        <w:rPr>
          <w:rFonts w:ascii="Abadi" w:hAnsi="Abadi"/>
          <w:b/>
          <w:bCs/>
          <w:sz w:val="21"/>
          <w:szCs w:val="21"/>
        </w:rPr>
        <w:t>oficial.</w:t>
      </w:r>
    </w:p>
    <w:p w14:paraId="7EF4AC82" w14:textId="123F5EB5" w:rsidR="00763692" w:rsidRDefault="00763692" w:rsidP="002558AB">
      <w:pPr>
        <w:pStyle w:val="Prrafodelista"/>
        <w:tabs>
          <w:tab w:val="left" w:pos="845"/>
        </w:tabs>
        <w:kinsoku w:val="0"/>
        <w:overflowPunct w:val="0"/>
        <w:autoSpaceDE w:val="0"/>
        <w:autoSpaceDN w:val="0"/>
        <w:adjustRightInd w:val="0"/>
        <w:ind w:left="720" w:right="17"/>
        <w:jc w:val="both"/>
        <w:rPr>
          <w:rFonts w:ascii="Abadi" w:hAnsi="Abadi"/>
          <w:b/>
          <w:bCs/>
          <w:sz w:val="21"/>
          <w:szCs w:val="21"/>
        </w:rPr>
      </w:pPr>
    </w:p>
    <w:p w14:paraId="233F2FFE" w14:textId="1D888BC2" w:rsidR="0023370F" w:rsidRDefault="0023370F"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6"/>
          <w:sz w:val="21"/>
          <w:szCs w:val="21"/>
        </w:rPr>
        <w:t xml:space="preserve"> </w:t>
      </w:r>
      <w:r w:rsidRPr="00AD79C7">
        <w:rPr>
          <w:rFonts w:ascii="Abadi" w:hAnsi="Abadi"/>
          <w:b/>
          <w:bCs/>
          <w:sz w:val="21"/>
          <w:szCs w:val="21"/>
        </w:rPr>
        <w:t>y,</w:t>
      </w:r>
      <w:r w:rsidRPr="00AD79C7">
        <w:rPr>
          <w:rFonts w:ascii="Abadi" w:hAnsi="Abadi"/>
          <w:b/>
          <w:bCs/>
          <w:spacing w:val="15"/>
          <w:sz w:val="21"/>
          <w:szCs w:val="21"/>
        </w:rPr>
        <w:t xml:space="preserve"> </w:t>
      </w:r>
      <w:r w:rsidRPr="00AD79C7">
        <w:rPr>
          <w:rFonts w:ascii="Abadi" w:hAnsi="Abadi"/>
          <w:b/>
          <w:bCs/>
          <w:sz w:val="21"/>
          <w:szCs w:val="21"/>
        </w:rPr>
        <w:t>en</w:t>
      </w:r>
      <w:r w:rsidRPr="00AD79C7">
        <w:rPr>
          <w:rFonts w:ascii="Abadi" w:hAnsi="Abadi"/>
          <w:b/>
          <w:bCs/>
          <w:spacing w:val="16"/>
          <w:sz w:val="21"/>
          <w:szCs w:val="21"/>
        </w:rPr>
        <w:t xml:space="preserve"> </w:t>
      </w:r>
      <w:r w:rsidRPr="00AD79C7">
        <w:rPr>
          <w:rFonts w:ascii="Abadi" w:hAnsi="Abadi"/>
          <w:b/>
          <w:bCs/>
          <w:sz w:val="21"/>
          <w:szCs w:val="21"/>
        </w:rPr>
        <w:t>su</w:t>
      </w:r>
      <w:r w:rsidRPr="00AD79C7">
        <w:rPr>
          <w:rFonts w:ascii="Abadi" w:hAnsi="Abadi"/>
          <w:b/>
          <w:bCs/>
          <w:spacing w:val="15"/>
          <w:sz w:val="21"/>
          <w:szCs w:val="21"/>
        </w:rPr>
        <w:t xml:space="preserve"> </w:t>
      </w:r>
      <w:r w:rsidRPr="00AD79C7">
        <w:rPr>
          <w:rFonts w:ascii="Abadi" w:hAnsi="Abadi"/>
          <w:b/>
          <w:bCs/>
          <w:sz w:val="21"/>
          <w:szCs w:val="21"/>
        </w:rPr>
        <w:t>caso,</w:t>
      </w:r>
      <w:r w:rsidRPr="00AD79C7">
        <w:rPr>
          <w:rFonts w:ascii="Abadi" w:hAnsi="Abadi"/>
          <w:b/>
          <w:bCs/>
          <w:spacing w:val="15"/>
          <w:sz w:val="21"/>
          <w:szCs w:val="21"/>
        </w:rPr>
        <w:t xml:space="preserve"> </w:t>
      </w:r>
      <w:r w:rsidRPr="00AD79C7">
        <w:rPr>
          <w:rFonts w:ascii="Abadi" w:hAnsi="Abadi"/>
          <w:b/>
          <w:bCs/>
          <w:sz w:val="21"/>
          <w:szCs w:val="21"/>
        </w:rPr>
        <w:t>aprobación</w:t>
      </w:r>
      <w:r w:rsidRPr="00AD79C7">
        <w:rPr>
          <w:rFonts w:ascii="Abadi" w:hAnsi="Abadi"/>
          <w:b/>
          <w:bCs/>
          <w:spacing w:val="16"/>
          <w:sz w:val="21"/>
          <w:szCs w:val="21"/>
        </w:rPr>
        <w:t xml:space="preserve"> </w:t>
      </w:r>
      <w:r w:rsidRPr="00AD79C7">
        <w:rPr>
          <w:rFonts w:ascii="Abadi" w:hAnsi="Abadi"/>
          <w:b/>
          <w:bCs/>
          <w:sz w:val="21"/>
          <w:szCs w:val="21"/>
        </w:rPr>
        <w:t>del</w:t>
      </w:r>
      <w:r w:rsidRPr="00AD79C7">
        <w:rPr>
          <w:rFonts w:ascii="Abadi" w:hAnsi="Abadi"/>
          <w:b/>
          <w:bCs/>
          <w:spacing w:val="15"/>
          <w:sz w:val="21"/>
          <w:szCs w:val="21"/>
        </w:rPr>
        <w:t xml:space="preserve"> </w:t>
      </w:r>
      <w:r w:rsidRPr="00AD79C7">
        <w:rPr>
          <w:rFonts w:ascii="Abadi" w:hAnsi="Abadi"/>
          <w:b/>
          <w:bCs/>
          <w:sz w:val="21"/>
          <w:szCs w:val="21"/>
        </w:rPr>
        <w:t>dictamen</w:t>
      </w:r>
      <w:r w:rsidRPr="00AD79C7">
        <w:rPr>
          <w:rFonts w:ascii="Abadi" w:hAnsi="Abadi"/>
          <w:b/>
          <w:bCs/>
          <w:spacing w:val="15"/>
          <w:sz w:val="21"/>
          <w:szCs w:val="21"/>
        </w:rPr>
        <w:t xml:space="preserve"> </w:t>
      </w:r>
      <w:r w:rsidRPr="00AD79C7">
        <w:rPr>
          <w:rFonts w:ascii="Abadi" w:hAnsi="Abadi"/>
          <w:b/>
          <w:bCs/>
          <w:sz w:val="21"/>
          <w:szCs w:val="21"/>
        </w:rPr>
        <w:t>emitido</w:t>
      </w:r>
      <w:r w:rsidRPr="00AD79C7">
        <w:rPr>
          <w:rFonts w:ascii="Abadi" w:hAnsi="Abadi"/>
          <w:b/>
          <w:bCs/>
          <w:spacing w:val="16"/>
          <w:sz w:val="21"/>
          <w:szCs w:val="21"/>
        </w:rPr>
        <w:t xml:space="preserve"> </w:t>
      </w:r>
      <w:r w:rsidRPr="00AD79C7">
        <w:rPr>
          <w:rFonts w:ascii="Abadi" w:hAnsi="Abadi"/>
          <w:b/>
          <w:bCs/>
          <w:sz w:val="21"/>
          <w:szCs w:val="21"/>
        </w:rPr>
        <w:t>por</w:t>
      </w:r>
      <w:r w:rsidRPr="00AD79C7">
        <w:rPr>
          <w:rFonts w:ascii="Abadi" w:hAnsi="Abadi"/>
          <w:b/>
          <w:bCs/>
          <w:spacing w:val="15"/>
          <w:sz w:val="21"/>
          <w:szCs w:val="21"/>
        </w:rPr>
        <w:t xml:space="preserve"> </w:t>
      </w:r>
      <w:r w:rsidRPr="00AD79C7">
        <w:rPr>
          <w:rFonts w:ascii="Abadi" w:hAnsi="Abadi"/>
          <w:b/>
          <w:bCs/>
          <w:sz w:val="21"/>
          <w:szCs w:val="21"/>
        </w:rPr>
        <w:t>la</w:t>
      </w:r>
      <w:r w:rsidRPr="00AD79C7">
        <w:rPr>
          <w:rFonts w:ascii="Abadi" w:hAnsi="Abadi"/>
          <w:b/>
          <w:bCs/>
          <w:spacing w:val="15"/>
          <w:sz w:val="21"/>
          <w:szCs w:val="21"/>
        </w:rPr>
        <w:t xml:space="preserve"> </w:t>
      </w:r>
      <w:r w:rsidRPr="00AD79C7">
        <w:rPr>
          <w:rFonts w:ascii="Abadi" w:hAnsi="Abadi"/>
          <w:b/>
          <w:bCs/>
          <w:sz w:val="21"/>
          <w:szCs w:val="21"/>
        </w:rPr>
        <w:t>Comisión</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4"/>
          <w:sz w:val="21"/>
          <w:szCs w:val="21"/>
        </w:rPr>
        <w:t xml:space="preserve"> </w:t>
      </w:r>
      <w:r w:rsidRPr="00AD79C7">
        <w:rPr>
          <w:rFonts w:ascii="Abadi" w:hAnsi="Abadi"/>
          <w:b/>
          <w:bCs/>
          <w:sz w:val="21"/>
          <w:szCs w:val="21"/>
        </w:rPr>
        <w:t>Gobernación</w:t>
      </w:r>
      <w:r w:rsidRPr="00AD79C7">
        <w:rPr>
          <w:rFonts w:ascii="Abadi" w:hAnsi="Abadi"/>
          <w:b/>
          <w:bCs/>
          <w:spacing w:val="4"/>
          <w:sz w:val="21"/>
          <w:szCs w:val="21"/>
        </w:rPr>
        <w:t xml:space="preserve"> </w:t>
      </w:r>
      <w:r w:rsidRPr="00AD79C7">
        <w:rPr>
          <w:rFonts w:ascii="Abadi" w:hAnsi="Abadi"/>
          <w:b/>
          <w:bCs/>
          <w:sz w:val="21"/>
          <w:szCs w:val="21"/>
        </w:rPr>
        <w:t>y</w:t>
      </w:r>
      <w:r w:rsidRPr="00AD79C7">
        <w:rPr>
          <w:rFonts w:ascii="Abadi" w:hAnsi="Abadi"/>
          <w:b/>
          <w:bCs/>
          <w:spacing w:val="4"/>
          <w:sz w:val="21"/>
          <w:szCs w:val="21"/>
        </w:rPr>
        <w:t xml:space="preserve"> </w:t>
      </w:r>
      <w:r w:rsidRPr="00AD79C7">
        <w:rPr>
          <w:rFonts w:ascii="Abadi" w:hAnsi="Abadi"/>
          <w:b/>
          <w:bCs/>
          <w:sz w:val="21"/>
          <w:szCs w:val="21"/>
        </w:rPr>
        <w:t>Puntos</w:t>
      </w:r>
      <w:r w:rsidRPr="00AD79C7">
        <w:rPr>
          <w:rFonts w:ascii="Abadi" w:hAnsi="Abadi"/>
          <w:b/>
          <w:bCs/>
          <w:spacing w:val="4"/>
          <w:sz w:val="21"/>
          <w:szCs w:val="21"/>
        </w:rPr>
        <w:t xml:space="preserve"> </w:t>
      </w:r>
      <w:r w:rsidRPr="00AD79C7">
        <w:rPr>
          <w:rFonts w:ascii="Abadi" w:hAnsi="Abadi"/>
          <w:b/>
          <w:bCs/>
          <w:sz w:val="21"/>
          <w:szCs w:val="21"/>
        </w:rPr>
        <w:t>Constitucionales</w:t>
      </w:r>
      <w:r w:rsidRPr="00AD79C7">
        <w:rPr>
          <w:rFonts w:ascii="Abadi" w:hAnsi="Abadi"/>
          <w:b/>
          <w:bCs/>
          <w:spacing w:val="4"/>
          <w:sz w:val="21"/>
          <w:szCs w:val="21"/>
        </w:rPr>
        <w:t xml:space="preserve"> </w:t>
      </w:r>
      <w:r w:rsidRPr="00AD79C7">
        <w:rPr>
          <w:rFonts w:ascii="Abadi" w:hAnsi="Abadi"/>
          <w:b/>
          <w:bCs/>
          <w:sz w:val="21"/>
          <w:szCs w:val="21"/>
        </w:rPr>
        <w:t>relativo</w:t>
      </w:r>
      <w:r w:rsidRPr="00AD79C7">
        <w:rPr>
          <w:rFonts w:ascii="Abadi" w:hAnsi="Abadi"/>
          <w:b/>
          <w:bCs/>
          <w:spacing w:val="4"/>
          <w:sz w:val="21"/>
          <w:szCs w:val="21"/>
        </w:rPr>
        <w:t xml:space="preserve"> </w:t>
      </w:r>
      <w:r w:rsidRPr="00AD79C7">
        <w:rPr>
          <w:rFonts w:ascii="Abadi" w:hAnsi="Abadi"/>
          <w:b/>
          <w:bCs/>
          <w:sz w:val="21"/>
          <w:szCs w:val="21"/>
        </w:rPr>
        <w:t>a</w:t>
      </w:r>
      <w:r w:rsidRPr="00AD79C7">
        <w:rPr>
          <w:rFonts w:ascii="Abadi" w:hAnsi="Abadi"/>
          <w:b/>
          <w:bCs/>
          <w:spacing w:val="4"/>
          <w:sz w:val="21"/>
          <w:szCs w:val="21"/>
        </w:rPr>
        <w:t xml:space="preserve"> </w:t>
      </w:r>
      <w:r w:rsidRPr="00AD79C7">
        <w:rPr>
          <w:rFonts w:ascii="Abadi" w:hAnsi="Abadi"/>
          <w:b/>
          <w:bCs/>
          <w:sz w:val="21"/>
          <w:szCs w:val="21"/>
        </w:rPr>
        <w:t>la</w:t>
      </w:r>
      <w:r w:rsidRPr="00AD79C7">
        <w:rPr>
          <w:rFonts w:ascii="Abadi" w:hAnsi="Abadi"/>
          <w:b/>
          <w:bCs/>
          <w:spacing w:val="4"/>
          <w:sz w:val="21"/>
          <w:szCs w:val="21"/>
        </w:rPr>
        <w:t xml:space="preserve"> </w:t>
      </w:r>
      <w:r w:rsidRPr="00AD79C7">
        <w:rPr>
          <w:rFonts w:ascii="Abadi" w:hAnsi="Abadi"/>
          <w:b/>
          <w:bCs/>
          <w:sz w:val="21"/>
          <w:szCs w:val="21"/>
        </w:rPr>
        <w:t>propuesta</w:t>
      </w:r>
      <w:r w:rsidRPr="00AD79C7">
        <w:rPr>
          <w:rFonts w:ascii="Abadi" w:hAnsi="Abadi"/>
          <w:b/>
          <w:bCs/>
          <w:spacing w:val="4"/>
          <w:sz w:val="21"/>
          <w:szCs w:val="21"/>
        </w:rPr>
        <w:t xml:space="preserve"> </w:t>
      </w:r>
      <w:r w:rsidRPr="00AD79C7">
        <w:rPr>
          <w:rFonts w:ascii="Abadi" w:hAnsi="Abadi"/>
          <w:b/>
          <w:bCs/>
          <w:sz w:val="21"/>
          <w:szCs w:val="21"/>
        </w:rPr>
        <w:t>de</w:t>
      </w:r>
      <w:r w:rsidRPr="00AD79C7">
        <w:rPr>
          <w:rFonts w:ascii="Abadi" w:hAnsi="Abadi"/>
          <w:b/>
          <w:bCs/>
          <w:spacing w:val="4"/>
          <w:sz w:val="21"/>
          <w:szCs w:val="21"/>
        </w:rPr>
        <w:t xml:space="preserve"> </w:t>
      </w:r>
      <w:r w:rsidRPr="00AD79C7">
        <w:rPr>
          <w:rFonts w:ascii="Abadi" w:hAnsi="Abadi"/>
          <w:b/>
          <w:bCs/>
          <w:sz w:val="21"/>
          <w:szCs w:val="21"/>
        </w:rPr>
        <w:t>punto</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24"/>
          <w:sz w:val="21"/>
          <w:szCs w:val="21"/>
        </w:rPr>
        <w:t xml:space="preserve"> </w:t>
      </w:r>
      <w:r w:rsidRPr="00AD79C7">
        <w:rPr>
          <w:rFonts w:ascii="Abadi" w:hAnsi="Abadi"/>
          <w:b/>
          <w:bCs/>
          <w:sz w:val="21"/>
          <w:szCs w:val="21"/>
        </w:rPr>
        <w:t>acuerdo</w:t>
      </w:r>
      <w:r w:rsidRPr="00AD79C7">
        <w:rPr>
          <w:rFonts w:ascii="Abadi" w:hAnsi="Abadi"/>
          <w:b/>
          <w:bCs/>
          <w:spacing w:val="24"/>
          <w:sz w:val="21"/>
          <w:szCs w:val="21"/>
        </w:rPr>
        <w:t xml:space="preserve"> </w:t>
      </w:r>
      <w:r w:rsidRPr="00AD79C7">
        <w:rPr>
          <w:rFonts w:ascii="Abadi" w:hAnsi="Abadi"/>
          <w:b/>
          <w:bCs/>
          <w:sz w:val="21"/>
          <w:szCs w:val="21"/>
        </w:rPr>
        <w:t>formulada</w:t>
      </w:r>
      <w:r w:rsidRPr="00AD79C7">
        <w:rPr>
          <w:rFonts w:ascii="Abadi" w:hAnsi="Abadi"/>
          <w:b/>
          <w:bCs/>
          <w:spacing w:val="24"/>
          <w:sz w:val="21"/>
          <w:szCs w:val="21"/>
        </w:rPr>
        <w:t xml:space="preserve"> </w:t>
      </w:r>
      <w:r w:rsidRPr="00AD79C7">
        <w:rPr>
          <w:rFonts w:ascii="Abadi" w:hAnsi="Abadi"/>
          <w:b/>
          <w:bCs/>
          <w:sz w:val="21"/>
          <w:szCs w:val="21"/>
        </w:rPr>
        <w:t>por</w:t>
      </w:r>
      <w:r w:rsidRPr="00AD79C7">
        <w:rPr>
          <w:rFonts w:ascii="Abadi" w:hAnsi="Abadi"/>
          <w:b/>
          <w:bCs/>
          <w:spacing w:val="24"/>
          <w:sz w:val="21"/>
          <w:szCs w:val="21"/>
        </w:rPr>
        <w:t xml:space="preserve"> </w:t>
      </w:r>
      <w:r w:rsidRPr="00AD79C7">
        <w:rPr>
          <w:rFonts w:ascii="Abadi" w:hAnsi="Abadi"/>
          <w:b/>
          <w:bCs/>
          <w:sz w:val="21"/>
          <w:szCs w:val="21"/>
        </w:rPr>
        <w:t>la</w:t>
      </w:r>
      <w:r w:rsidRPr="00AD79C7">
        <w:rPr>
          <w:rFonts w:ascii="Abadi" w:hAnsi="Abadi"/>
          <w:b/>
          <w:bCs/>
          <w:spacing w:val="24"/>
          <w:sz w:val="21"/>
          <w:szCs w:val="21"/>
        </w:rPr>
        <w:t xml:space="preserve"> </w:t>
      </w:r>
      <w:r w:rsidRPr="00AD79C7">
        <w:rPr>
          <w:rFonts w:ascii="Abadi" w:hAnsi="Abadi"/>
          <w:b/>
          <w:bCs/>
          <w:sz w:val="21"/>
          <w:szCs w:val="21"/>
        </w:rPr>
        <w:t>diputada</w:t>
      </w:r>
      <w:r w:rsidRPr="00AD79C7">
        <w:rPr>
          <w:rFonts w:ascii="Abadi" w:hAnsi="Abadi"/>
          <w:b/>
          <w:bCs/>
          <w:spacing w:val="24"/>
          <w:sz w:val="21"/>
          <w:szCs w:val="21"/>
        </w:rPr>
        <w:t xml:space="preserve"> </w:t>
      </w:r>
      <w:r w:rsidRPr="00AD79C7">
        <w:rPr>
          <w:rFonts w:ascii="Abadi" w:hAnsi="Abadi"/>
          <w:b/>
          <w:bCs/>
          <w:sz w:val="21"/>
          <w:szCs w:val="21"/>
        </w:rPr>
        <w:t>Alma</w:t>
      </w:r>
      <w:r w:rsidRPr="00AD79C7">
        <w:rPr>
          <w:rFonts w:ascii="Abadi" w:hAnsi="Abadi"/>
          <w:b/>
          <w:bCs/>
          <w:spacing w:val="24"/>
          <w:sz w:val="21"/>
          <w:szCs w:val="21"/>
        </w:rPr>
        <w:t xml:space="preserve"> </w:t>
      </w:r>
      <w:r w:rsidRPr="00AD79C7">
        <w:rPr>
          <w:rFonts w:ascii="Abadi" w:hAnsi="Abadi"/>
          <w:b/>
          <w:bCs/>
          <w:sz w:val="21"/>
          <w:szCs w:val="21"/>
        </w:rPr>
        <w:t>Edwviges</w:t>
      </w:r>
      <w:r w:rsidRPr="00AD79C7">
        <w:rPr>
          <w:rFonts w:ascii="Abadi" w:hAnsi="Abadi"/>
          <w:b/>
          <w:bCs/>
          <w:spacing w:val="24"/>
          <w:sz w:val="21"/>
          <w:szCs w:val="21"/>
        </w:rPr>
        <w:t xml:space="preserve"> </w:t>
      </w:r>
      <w:r w:rsidRPr="00AD79C7">
        <w:rPr>
          <w:rFonts w:ascii="Abadi" w:hAnsi="Abadi"/>
          <w:b/>
          <w:bCs/>
          <w:sz w:val="21"/>
          <w:szCs w:val="21"/>
        </w:rPr>
        <w:t>Alcaraz</w:t>
      </w:r>
      <w:r w:rsidRPr="00AD79C7">
        <w:rPr>
          <w:rFonts w:ascii="Abadi" w:hAnsi="Abadi"/>
          <w:b/>
          <w:bCs/>
          <w:spacing w:val="24"/>
          <w:sz w:val="21"/>
          <w:szCs w:val="21"/>
        </w:rPr>
        <w:t xml:space="preserve"> </w:t>
      </w:r>
      <w:r w:rsidRPr="00AD79C7">
        <w:rPr>
          <w:rFonts w:ascii="Abadi" w:hAnsi="Abadi"/>
          <w:b/>
          <w:bCs/>
          <w:sz w:val="21"/>
          <w:szCs w:val="21"/>
        </w:rPr>
        <w:t>Hernández</w:t>
      </w:r>
      <w:r w:rsidRPr="00AD79C7">
        <w:rPr>
          <w:rFonts w:ascii="Abadi" w:hAnsi="Abadi"/>
          <w:b/>
          <w:bCs/>
          <w:spacing w:val="-1"/>
          <w:sz w:val="21"/>
          <w:szCs w:val="21"/>
        </w:rPr>
        <w:t xml:space="preserve"> </w:t>
      </w:r>
      <w:r w:rsidRPr="00AD79C7">
        <w:rPr>
          <w:rFonts w:ascii="Abadi" w:hAnsi="Abadi"/>
          <w:b/>
          <w:bCs/>
          <w:sz w:val="21"/>
          <w:szCs w:val="21"/>
        </w:rPr>
        <w:t>integrante</w:t>
      </w:r>
      <w:r w:rsidRPr="00AD79C7">
        <w:rPr>
          <w:rFonts w:ascii="Abadi" w:hAnsi="Abadi"/>
          <w:b/>
          <w:bCs/>
          <w:spacing w:val="80"/>
          <w:sz w:val="21"/>
          <w:szCs w:val="21"/>
        </w:rPr>
        <w:t xml:space="preserve"> </w:t>
      </w:r>
      <w:r w:rsidRPr="00AD79C7">
        <w:rPr>
          <w:rFonts w:ascii="Abadi" w:hAnsi="Abadi"/>
          <w:b/>
          <w:bCs/>
          <w:sz w:val="21"/>
          <w:szCs w:val="21"/>
        </w:rPr>
        <w:t>del</w:t>
      </w:r>
      <w:r w:rsidRPr="00AD79C7">
        <w:rPr>
          <w:rFonts w:ascii="Abadi" w:hAnsi="Abadi"/>
          <w:b/>
          <w:bCs/>
          <w:spacing w:val="80"/>
          <w:sz w:val="21"/>
          <w:szCs w:val="21"/>
        </w:rPr>
        <w:t xml:space="preserve"> </w:t>
      </w:r>
      <w:r w:rsidRPr="00AD79C7">
        <w:rPr>
          <w:rFonts w:ascii="Abadi" w:hAnsi="Abadi"/>
          <w:b/>
          <w:bCs/>
          <w:sz w:val="21"/>
          <w:szCs w:val="21"/>
        </w:rPr>
        <w:t>Grupo</w:t>
      </w:r>
      <w:r w:rsidRPr="00AD79C7">
        <w:rPr>
          <w:rFonts w:ascii="Abadi" w:hAnsi="Abadi"/>
          <w:b/>
          <w:bCs/>
          <w:spacing w:val="80"/>
          <w:sz w:val="21"/>
          <w:szCs w:val="21"/>
        </w:rPr>
        <w:t xml:space="preserve"> </w:t>
      </w:r>
      <w:r w:rsidRPr="00AD79C7">
        <w:rPr>
          <w:rFonts w:ascii="Abadi" w:hAnsi="Abadi"/>
          <w:b/>
          <w:bCs/>
          <w:sz w:val="21"/>
          <w:szCs w:val="21"/>
        </w:rPr>
        <w:t>Parlamentario</w:t>
      </w:r>
      <w:r w:rsidRPr="00AD79C7">
        <w:rPr>
          <w:rFonts w:ascii="Abadi" w:hAnsi="Abadi"/>
          <w:b/>
          <w:bCs/>
          <w:spacing w:val="80"/>
          <w:sz w:val="21"/>
          <w:szCs w:val="21"/>
        </w:rPr>
        <w:t xml:space="preserve"> </w:t>
      </w:r>
      <w:r w:rsidRPr="00AD79C7">
        <w:rPr>
          <w:rFonts w:ascii="Abadi" w:hAnsi="Abadi"/>
          <w:b/>
          <w:bCs/>
          <w:sz w:val="21"/>
          <w:szCs w:val="21"/>
        </w:rPr>
        <w:t>del</w:t>
      </w:r>
      <w:r w:rsidRPr="00AD79C7">
        <w:rPr>
          <w:rFonts w:ascii="Abadi" w:hAnsi="Abadi"/>
          <w:b/>
          <w:bCs/>
          <w:spacing w:val="80"/>
          <w:sz w:val="21"/>
          <w:szCs w:val="21"/>
        </w:rPr>
        <w:t xml:space="preserve"> </w:t>
      </w:r>
      <w:r w:rsidRPr="00AD79C7">
        <w:rPr>
          <w:rFonts w:ascii="Abadi" w:hAnsi="Abadi"/>
          <w:b/>
          <w:bCs/>
          <w:sz w:val="21"/>
          <w:szCs w:val="21"/>
        </w:rPr>
        <w:t>Partido</w:t>
      </w:r>
      <w:r w:rsidRPr="00AD79C7">
        <w:rPr>
          <w:rFonts w:ascii="Abadi" w:hAnsi="Abadi"/>
          <w:b/>
          <w:bCs/>
          <w:spacing w:val="80"/>
          <w:sz w:val="21"/>
          <w:szCs w:val="21"/>
        </w:rPr>
        <w:t xml:space="preserve"> </w:t>
      </w:r>
      <w:r w:rsidRPr="00AD79C7">
        <w:rPr>
          <w:rFonts w:ascii="Abadi" w:hAnsi="Abadi"/>
          <w:b/>
          <w:bCs/>
          <w:sz w:val="21"/>
          <w:szCs w:val="21"/>
        </w:rPr>
        <w:t>MORENA</w:t>
      </w:r>
      <w:r w:rsidRPr="00AD79C7">
        <w:rPr>
          <w:rFonts w:ascii="Abadi" w:hAnsi="Abadi"/>
          <w:b/>
          <w:bCs/>
          <w:spacing w:val="80"/>
          <w:sz w:val="21"/>
          <w:szCs w:val="21"/>
        </w:rPr>
        <w:t xml:space="preserve"> </w:t>
      </w:r>
      <w:r w:rsidRPr="00AD79C7">
        <w:rPr>
          <w:rFonts w:ascii="Abadi" w:hAnsi="Abadi"/>
          <w:b/>
          <w:bCs/>
          <w:sz w:val="21"/>
          <w:szCs w:val="21"/>
        </w:rPr>
        <w:t>a</w:t>
      </w:r>
      <w:r w:rsidRPr="00AD79C7">
        <w:rPr>
          <w:rFonts w:ascii="Abadi" w:hAnsi="Abadi"/>
          <w:b/>
          <w:bCs/>
          <w:spacing w:val="80"/>
          <w:sz w:val="21"/>
          <w:szCs w:val="21"/>
        </w:rPr>
        <w:t xml:space="preserve"> </w:t>
      </w:r>
      <w:r w:rsidRPr="00AD79C7">
        <w:rPr>
          <w:rFonts w:ascii="Abadi" w:hAnsi="Abadi"/>
          <w:b/>
          <w:bCs/>
          <w:sz w:val="21"/>
          <w:szCs w:val="21"/>
        </w:rPr>
        <w:t>efecto</w:t>
      </w:r>
      <w:r w:rsidRPr="00AD79C7">
        <w:rPr>
          <w:rFonts w:ascii="Abadi" w:hAnsi="Abadi"/>
          <w:b/>
          <w:bCs/>
          <w:spacing w:val="80"/>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exhortar</w:t>
      </w:r>
      <w:r w:rsidRPr="00AD79C7">
        <w:rPr>
          <w:rFonts w:ascii="Abadi" w:hAnsi="Abadi"/>
          <w:b/>
          <w:bCs/>
          <w:spacing w:val="17"/>
          <w:sz w:val="21"/>
          <w:szCs w:val="21"/>
        </w:rPr>
        <w:t xml:space="preserve"> </w:t>
      </w:r>
      <w:r w:rsidRPr="00AD79C7">
        <w:rPr>
          <w:rFonts w:ascii="Abadi" w:hAnsi="Abadi"/>
          <w:b/>
          <w:bCs/>
          <w:sz w:val="21"/>
          <w:szCs w:val="21"/>
        </w:rPr>
        <w:t>a</w:t>
      </w:r>
      <w:r w:rsidRPr="00AD79C7">
        <w:rPr>
          <w:rFonts w:ascii="Abadi" w:hAnsi="Abadi"/>
          <w:b/>
          <w:bCs/>
          <w:spacing w:val="18"/>
          <w:sz w:val="21"/>
          <w:szCs w:val="21"/>
        </w:rPr>
        <w:t xml:space="preserve"> </w:t>
      </w:r>
      <w:r w:rsidRPr="00AD79C7">
        <w:rPr>
          <w:rFonts w:ascii="Abadi" w:hAnsi="Abadi"/>
          <w:b/>
          <w:bCs/>
          <w:sz w:val="21"/>
          <w:szCs w:val="21"/>
        </w:rPr>
        <w:t>los</w:t>
      </w:r>
      <w:r w:rsidRPr="00AD79C7">
        <w:rPr>
          <w:rFonts w:ascii="Abadi" w:hAnsi="Abadi"/>
          <w:b/>
          <w:bCs/>
          <w:spacing w:val="18"/>
          <w:sz w:val="21"/>
          <w:szCs w:val="21"/>
        </w:rPr>
        <w:t xml:space="preserve"> </w:t>
      </w:r>
      <w:r w:rsidRPr="00AD79C7">
        <w:rPr>
          <w:rFonts w:ascii="Abadi" w:hAnsi="Abadi"/>
          <w:b/>
          <w:bCs/>
          <w:sz w:val="21"/>
          <w:szCs w:val="21"/>
        </w:rPr>
        <w:t>ayuntamientos</w:t>
      </w:r>
      <w:r w:rsidRPr="00AD79C7">
        <w:rPr>
          <w:rFonts w:ascii="Abadi" w:hAnsi="Abadi"/>
          <w:b/>
          <w:bCs/>
          <w:spacing w:val="20"/>
          <w:sz w:val="21"/>
          <w:szCs w:val="21"/>
        </w:rPr>
        <w:t xml:space="preserve"> </w:t>
      </w:r>
      <w:r w:rsidRPr="00AD79C7">
        <w:rPr>
          <w:rFonts w:ascii="Abadi" w:hAnsi="Abadi"/>
          <w:b/>
          <w:bCs/>
          <w:sz w:val="21"/>
          <w:szCs w:val="21"/>
        </w:rPr>
        <w:t>que</w:t>
      </w:r>
      <w:r w:rsidRPr="00AD79C7">
        <w:rPr>
          <w:rFonts w:ascii="Abadi" w:hAnsi="Abadi"/>
          <w:b/>
          <w:bCs/>
          <w:spacing w:val="18"/>
          <w:sz w:val="21"/>
          <w:szCs w:val="21"/>
        </w:rPr>
        <w:t xml:space="preserve"> </w:t>
      </w:r>
      <w:r w:rsidRPr="00AD79C7">
        <w:rPr>
          <w:rFonts w:ascii="Abadi" w:hAnsi="Abadi"/>
          <w:b/>
          <w:bCs/>
          <w:sz w:val="21"/>
          <w:szCs w:val="21"/>
        </w:rPr>
        <w:t>faltan</w:t>
      </w:r>
      <w:r w:rsidRPr="00AD79C7">
        <w:rPr>
          <w:rFonts w:ascii="Abadi" w:hAnsi="Abadi"/>
          <w:b/>
          <w:bCs/>
          <w:spacing w:val="18"/>
          <w:sz w:val="21"/>
          <w:szCs w:val="21"/>
        </w:rPr>
        <w:t xml:space="preserve"> </w:t>
      </w:r>
      <w:r w:rsidRPr="00AD79C7">
        <w:rPr>
          <w:rFonts w:ascii="Abadi" w:hAnsi="Abadi"/>
          <w:b/>
          <w:bCs/>
          <w:sz w:val="21"/>
          <w:szCs w:val="21"/>
        </w:rPr>
        <w:t>de</w:t>
      </w:r>
      <w:r w:rsidRPr="00AD79C7">
        <w:rPr>
          <w:rFonts w:ascii="Abadi" w:hAnsi="Abadi"/>
          <w:b/>
          <w:bCs/>
          <w:spacing w:val="18"/>
          <w:sz w:val="21"/>
          <w:szCs w:val="21"/>
        </w:rPr>
        <w:t xml:space="preserve"> </w:t>
      </w:r>
      <w:r w:rsidRPr="00AD79C7">
        <w:rPr>
          <w:rFonts w:ascii="Abadi" w:hAnsi="Abadi"/>
          <w:b/>
          <w:bCs/>
          <w:sz w:val="21"/>
          <w:szCs w:val="21"/>
        </w:rPr>
        <w:t>discutir</w:t>
      </w:r>
      <w:r w:rsidRPr="00AD79C7">
        <w:rPr>
          <w:rFonts w:ascii="Abadi" w:hAnsi="Abadi"/>
          <w:b/>
          <w:bCs/>
          <w:spacing w:val="17"/>
          <w:sz w:val="21"/>
          <w:szCs w:val="21"/>
        </w:rPr>
        <w:t xml:space="preserve"> </w:t>
      </w:r>
      <w:r w:rsidRPr="00AD79C7">
        <w:rPr>
          <w:rFonts w:ascii="Abadi" w:hAnsi="Abadi"/>
          <w:b/>
          <w:bCs/>
          <w:sz w:val="21"/>
          <w:szCs w:val="21"/>
        </w:rPr>
        <w:t>y,</w:t>
      </w:r>
      <w:r w:rsidRPr="00AD79C7">
        <w:rPr>
          <w:rFonts w:ascii="Abadi" w:hAnsi="Abadi"/>
          <w:b/>
          <w:bCs/>
          <w:spacing w:val="17"/>
          <w:sz w:val="21"/>
          <w:szCs w:val="21"/>
        </w:rPr>
        <w:t xml:space="preserve"> </w:t>
      </w:r>
      <w:r w:rsidRPr="00AD79C7">
        <w:rPr>
          <w:rFonts w:ascii="Abadi" w:hAnsi="Abadi"/>
          <w:b/>
          <w:bCs/>
          <w:sz w:val="21"/>
          <w:szCs w:val="21"/>
        </w:rPr>
        <w:t>en</w:t>
      </w:r>
      <w:r w:rsidRPr="00AD79C7">
        <w:rPr>
          <w:rFonts w:ascii="Abadi" w:hAnsi="Abadi"/>
          <w:b/>
          <w:bCs/>
          <w:spacing w:val="18"/>
          <w:sz w:val="21"/>
          <w:szCs w:val="21"/>
        </w:rPr>
        <w:t xml:space="preserve"> </w:t>
      </w:r>
      <w:r w:rsidRPr="00AD79C7">
        <w:rPr>
          <w:rFonts w:ascii="Abadi" w:hAnsi="Abadi"/>
          <w:b/>
          <w:bCs/>
          <w:sz w:val="21"/>
          <w:szCs w:val="21"/>
        </w:rPr>
        <w:t>su</w:t>
      </w:r>
      <w:r w:rsidRPr="00AD79C7">
        <w:rPr>
          <w:rFonts w:ascii="Abadi" w:hAnsi="Abadi"/>
          <w:b/>
          <w:bCs/>
          <w:spacing w:val="18"/>
          <w:sz w:val="21"/>
          <w:szCs w:val="21"/>
        </w:rPr>
        <w:t xml:space="preserve"> </w:t>
      </w:r>
      <w:r w:rsidRPr="00AD79C7">
        <w:rPr>
          <w:rFonts w:ascii="Abadi" w:hAnsi="Abadi"/>
          <w:b/>
          <w:bCs/>
          <w:sz w:val="21"/>
          <w:szCs w:val="21"/>
        </w:rPr>
        <w:t>caso,</w:t>
      </w:r>
      <w:r w:rsidRPr="00AD79C7">
        <w:rPr>
          <w:rFonts w:ascii="Abadi" w:hAnsi="Abadi"/>
          <w:b/>
          <w:bCs/>
          <w:spacing w:val="17"/>
          <w:sz w:val="21"/>
          <w:szCs w:val="21"/>
        </w:rPr>
        <w:t xml:space="preserve"> </w:t>
      </w:r>
      <w:r w:rsidRPr="00AD79C7">
        <w:rPr>
          <w:rFonts w:ascii="Abadi" w:hAnsi="Abadi"/>
          <w:b/>
          <w:bCs/>
          <w:sz w:val="21"/>
          <w:szCs w:val="21"/>
        </w:rPr>
        <w:t>aprobar</w:t>
      </w:r>
      <w:r w:rsidRPr="00AD79C7">
        <w:rPr>
          <w:rFonts w:ascii="Abadi" w:hAnsi="Abadi"/>
          <w:b/>
          <w:bCs/>
          <w:spacing w:val="-1"/>
          <w:sz w:val="21"/>
          <w:szCs w:val="21"/>
        </w:rPr>
        <w:t xml:space="preserve"> </w:t>
      </w:r>
      <w:r w:rsidRPr="00AD79C7">
        <w:rPr>
          <w:rFonts w:ascii="Abadi" w:hAnsi="Abadi"/>
          <w:b/>
          <w:bCs/>
          <w:sz w:val="21"/>
          <w:szCs w:val="21"/>
        </w:rPr>
        <w:t>las</w:t>
      </w:r>
      <w:r w:rsidRPr="00AD79C7">
        <w:rPr>
          <w:rFonts w:ascii="Abadi" w:hAnsi="Abadi"/>
          <w:b/>
          <w:bCs/>
          <w:spacing w:val="76"/>
          <w:sz w:val="21"/>
          <w:szCs w:val="21"/>
        </w:rPr>
        <w:t xml:space="preserve"> </w:t>
      </w:r>
      <w:r w:rsidRPr="00AD79C7">
        <w:rPr>
          <w:rFonts w:ascii="Abadi" w:hAnsi="Abadi"/>
          <w:b/>
          <w:bCs/>
          <w:sz w:val="21"/>
          <w:szCs w:val="21"/>
        </w:rPr>
        <w:t>reformas</w:t>
      </w:r>
      <w:r w:rsidRPr="00AD79C7">
        <w:rPr>
          <w:rFonts w:ascii="Abadi" w:hAnsi="Abadi"/>
          <w:b/>
          <w:bCs/>
          <w:spacing w:val="76"/>
          <w:sz w:val="21"/>
          <w:szCs w:val="21"/>
        </w:rPr>
        <w:t xml:space="preserve"> </w:t>
      </w:r>
      <w:r w:rsidRPr="00AD79C7">
        <w:rPr>
          <w:rFonts w:ascii="Abadi" w:hAnsi="Abadi"/>
          <w:b/>
          <w:bCs/>
          <w:sz w:val="21"/>
          <w:szCs w:val="21"/>
        </w:rPr>
        <w:t>y</w:t>
      </w:r>
      <w:r w:rsidRPr="00AD79C7">
        <w:rPr>
          <w:rFonts w:ascii="Abadi" w:hAnsi="Abadi"/>
          <w:b/>
          <w:bCs/>
          <w:spacing w:val="76"/>
          <w:sz w:val="21"/>
          <w:szCs w:val="21"/>
        </w:rPr>
        <w:t xml:space="preserve"> </w:t>
      </w:r>
      <w:r w:rsidRPr="00AD79C7">
        <w:rPr>
          <w:rFonts w:ascii="Abadi" w:hAnsi="Abadi"/>
          <w:b/>
          <w:bCs/>
          <w:sz w:val="21"/>
          <w:szCs w:val="21"/>
        </w:rPr>
        <w:t>adiciones</w:t>
      </w:r>
      <w:r w:rsidRPr="00AD79C7">
        <w:rPr>
          <w:rFonts w:ascii="Abadi" w:hAnsi="Abadi"/>
          <w:b/>
          <w:bCs/>
          <w:spacing w:val="76"/>
          <w:sz w:val="21"/>
          <w:szCs w:val="21"/>
        </w:rPr>
        <w:t xml:space="preserve"> </w:t>
      </w:r>
      <w:r w:rsidRPr="00AD79C7">
        <w:rPr>
          <w:rFonts w:ascii="Abadi" w:hAnsi="Abadi"/>
          <w:b/>
          <w:bCs/>
          <w:sz w:val="21"/>
          <w:szCs w:val="21"/>
        </w:rPr>
        <w:t>a</w:t>
      </w:r>
      <w:r w:rsidRPr="00AD79C7">
        <w:rPr>
          <w:rFonts w:ascii="Abadi" w:hAnsi="Abadi"/>
          <w:b/>
          <w:bCs/>
          <w:spacing w:val="76"/>
          <w:sz w:val="21"/>
          <w:szCs w:val="21"/>
        </w:rPr>
        <w:t xml:space="preserve"> </w:t>
      </w:r>
      <w:r w:rsidRPr="00AD79C7">
        <w:rPr>
          <w:rFonts w:ascii="Abadi" w:hAnsi="Abadi"/>
          <w:b/>
          <w:bCs/>
          <w:sz w:val="21"/>
          <w:szCs w:val="21"/>
        </w:rPr>
        <w:t>la</w:t>
      </w:r>
      <w:r w:rsidRPr="00AD79C7">
        <w:rPr>
          <w:rFonts w:ascii="Abadi" w:hAnsi="Abadi"/>
          <w:b/>
          <w:bCs/>
          <w:spacing w:val="76"/>
          <w:sz w:val="21"/>
          <w:szCs w:val="21"/>
        </w:rPr>
        <w:t xml:space="preserve"> </w:t>
      </w:r>
      <w:r w:rsidRPr="00AD79C7">
        <w:rPr>
          <w:rFonts w:ascii="Abadi" w:hAnsi="Abadi"/>
          <w:b/>
          <w:bCs/>
          <w:sz w:val="21"/>
          <w:szCs w:val="21"/>
        </w:rPr>
        <w:t>Constitución</w:t>
      </w:r>
      <w:r w:rsidRPr="00AD79C7">
        <w:rPr>
          <w:rFonts w:ascii="Abadi" w:hAnsi="Abadi"/>
          <w:b/>
          <w:bCs/>
          <w:spacing w:val="76"/>
          <w:sz w:val="21"/>
          <w:szCs w:val="21"/>
        </w:rPr>
        <w:t xml:space="preserve"> </w:t>
      </w:r>
      <w:r w:rsidRPr="00AD79C7">
        <w:rPr>
          <w:rFonts w:ascii="Abadi" w:hAnsi="Abadi"/>
          <w:b/>
          <w:bCs/>
          <w:sz w:val="21"/>
          <w:szCs w:val="21"/>
        </w:rPr>
        <w:t>Política</w:t>
      </w:r>
      <w:r w:rsidRPr="00AD79C7">
        <w:rPr>
          <w:rFonts w:ascii="Abadi" w:hAnsi="Abadi"/>
          <w:b/>
          <w:bCs/>
          <w:spacing w:val="76"/>
          <w:sz w:val="21"/>
          <w:szCs w:val="21"/>
        </w:rPr>
        <w:t xml:space="preserve"> </w:t>
      </w:r>
      <w:r w:rsidRPr="00AD79C7">
        <w:rPr>
          <w:rFonts w:ascii="Abadi" w:hAnsi="Abadi"/>
          <w:b/>
          <w:bCs/>
          <w:sz w:val="21"/>
          <w:szCs w:val="21"/>
        </w:rPr>
        <w:t>para</w:t>
      </w:r>
      <w:r w:rsidRPr="00AD79C7">
        <w:rPr>
          <w:rFonts w:ascii="Abadi" w:hAnsi="Abadi"/>
          <w:b/>
          <w:bCs/>
          <w:spacing w:val="76"/>
          <w:sz w:val="21"/>
          <w:szCs w:val="21"/>
        </w:rPr>
        <w:t xml:space="preserve"> </w:t>
      </w:r>
      <w:r w:rsidRPr="00AD79C7">
        <w:rPr>
          <w:rFonts w:ascii="Abadi" w:hAnsi="Abadi"/>
          <w:b/>
          <w:bCs/>
          <w:sz w:val="21"/>
          <w:szCs w:val="21"/>
        </w:rPr>
        <w:t>el</w:t>
      </w:r>
      <w:r w:rsidRPr="00AD79C7">
        <w:rPr>
          <w:rFonts w:ascii="Abadi" w:hAnsi="Abadi"/>
          <w:b/>
          <w:bCs/>
          <w:spacing w:val="76"/>
          <w:sz w:val="21"/>
          <w:szCs w:val="21"/>
        </w:rPr>
        <w:t xml:space="preserve"> </w:t>
      </w:r>
      <w:r w:rsidRPr="00AD79C7">
        <w:rPr>
          <w:rFonts w:ascii="Abadi" w:hAnsi="Abadi"/>
          <w:b/>
          <w:bCs/>
          <w:sz w:val="21"/>
          <w:szCs w:val="21"/>
        </w:rPr>
        <w:t>Estado</w:t>
      </w:r>
      <w:r w:rsidRPr="00AD79C7">
        <w:rPr>
          <w:rFonts w:ascii="Abadi" w:hAnsi="Abadi"/>
          <w:b/>
          <w:bCs/>
          <w:spacing w:val="76"/>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Guanajuato,</w:t>
      </w:r>
      <w:r w:rsidRPr="00AD79C7">
        <w:rPr>
          <w:rFonts w:ascii="Abadi" w:hAnsi="Abadi"/>
          <w:b/>
          <w:bCs/>
          <w:spacing w:val="75"/>
          <w:w w:val="150"/>
          <w:sz w:val="21"/>
          <w:szCs w:val="21"/>
        </w:rPr>
        <w:t xml:space="preserve"> </w:t>
      </w:r>
      <w:r w:rsidRPr="00AD79C7">
        <w:rPr>
          <w:rFonts w:ascii="Abadi" w:hAnsi="Abadi"/>
          <w:b/>
          <w:bCs/>
          <w:sz w:val="21"/>
          <w:szCs w:val="21"/>
        </w:rPr>
        <w:t>contenidas</w:t>
      </w:r>
      <w:r w:rsidRPr="00AD79C7">
        <w:rPr>
          <w:rFonts w:ascii="Abadi" w:hAnsi="Abadi"/>
          <w:b/>
          <w:bCs/>
          <w:spacing w:val="76"/>
          <w:w w:val="150"/>
          <w:sz w:val="21"/>
          <w:szCs w:val="21"/>
        </w:rPr>
        <w:t xml:space="preserve"> </w:t>
      </w:r>
      <w:r w:rsidRPr="00AD79C7">
        <w:rPr>
          <w:rFonts w:ascii="Abadi" w:hAnsi="Abadi"/>
          <w:b/>
          <w:bCs/>
          <w:sz w:val="21"/>
          <w:szCs w:val="21"/>
        </w:rPr>
        <w:t>en</w:t>
      </w:r>
      <w:r w:rsidRPr="00AD79C7">
        <w:rPr>
          <w:rFonts w:ascii="Abadi" w:hAnsi="Abadi"/>
          <w:b/>
          <w:bCs/>
          <w:spacing w:val="76"/>
          <w:w w:val="150"/>
          <w:sz w:val="21"/>
          <w:szCs w:val="21"/>
        </w:rPr>
        <w:t xml:space="preserve"> </w:t>
      </w:r>
      <w:r w:rsidRPr="00AD79C7">
        <w:rPr>
          <w:rFonts w:ascii="Abadi" w:hAnsi="Abadi"/>
          <w:b/>
          <w:bCs/>
          <w:sz w:val="21"/>
          <w:szCs w:val="21"/>
        </w:rPr>
        <w:t>el</w:t>
      </w:r>
      <w:r w:rsidRPr="00AD79C7">
        <w:rPr>
          <w:rFonts w:ascii="Abadi" w:hAnsi="Abadi"/>
          <w:b/>
          <w:bCs/>
          <w:spacing w:val="76"/>
          <w:w w:val="150"/>
          <w:sz w:val="21"/>
          <w:szCs w:val="21"/>
        </w:rPr>
        <w:t xml:space="preserve"> </w:t>
      </w:r>
      <w:r w:rsidRPr="00AD79C7">
        <w:rPr>
          <w:rFonts w:ascii="Abadi" w:hAnsi="Abadi"/>
          <w:b/>
          <w:bCs/>
          <w:sz w:val="21"/>
          <w:szCs w:val="21"/>
        </w:rPr>
        <w:t>proyecto</w:t>
      </w:r>
      <w:r w:rsidRPr="00AD79C7">
        <w:rPr>
          <w:rFonts w:ascii="Abadi" w:hAnsi="Abadi"/>
          <w:b/>
          <w:bCs/>
          <w:spacing w:val="76"/>
          <w:w w:val="150"/>
          <w:sz w:val="21"/>
          <w:szCs w:val="21"/>
        </w:rPr>
        <w:t xml:space="preserve"> </w:t>
      </w:r>
      <w:r w:rsidRPr="00AD79C7">
        <w:rPr>
          <w:rFonts w:ascii="Abadi" w:hAnsi="Abadi"/>
          <w:b/>
          <w:bCs/>
          <w:sz w:val="21"/>
          <w:szCs w:val="21"/>
        </w:rPr>
        <w:t>de</w:t>
      </w:r>
      <w:r w:rsidRPr="00AD79C7">
        <w:rPr>
          <w:rFonts w:ascii="Abadi" w:hAnsi="Abadi"/>
          <w:b/>
          <w:bCs/>
          <w:spacing w:val="76"/>
          <w:w w:val="150"/>
          <w:sz w:val="21"/>
          <w:szCs w:val="21"/>
        </w:rPr>
        <w:t xml:space="preserve"> </w:t>
      </w:r>
      <w:r w:rsidRPr="00AD79C7">
        <w:rPr>
          <w:rFonts w:ascii="Abadi" w:hAnsi="Abadi"/>
          <w:b/>
          <w:bCs/>
          <w:sz w:val="21"/>
          <w:szCs w:val="21"/>
        </w:rPr>
        <w:t>decreto</w:t>
      </w:r>
      <w:r w:rsidRPr="00AD79C7">
        <w:rPr>
          <w:rFonts w:ascii="Abadi" w:hAnsi="Abadi"/>
          <w:b/>
          <w:bCs/>
          <w:spacing w:val="76"/>
          <w:w w:val="150"/>
          <w:sz w:val="21"/>
          <w:szCs w:val="21"/>
        </w:rPr>
        <w:t xml:space="preserve"> </w:t>
      </w:r>
      <w:r w:rsidRPr="00AD79C7">
        <w:rPr>
          <w:rFonts w:ascii="Abadi" w:hAnsi="Abadi"/>
          <w:b/>
          <w:bCs/>
          <w:sz w:val="21"/>
          <w:szCs w:val="21"/>
        </w:rPr>
        <w:t>de</w:t>
      </w:r>
      <w:r w:rsidRPr="00AD79C7">
        <w:rPr>
          <w:rFonts w:ascii="Abadi" w:hAnsi="Abadi"/>
          <w:b/>
          <w:bCs/>
          <w:spacing w:val="75"/>
          <w:w w:val="150"/>
          <w:sz w:val="21"/>
          <w:szCs w:val="21"/>
        </w:rPr>
        <w:t xml:space="preserve"> </w:t>
      </w:r>
      <w:r w:rsidRPr="00AD79C7">
        <w:rPr>
          <w:rFonts w:ascii="Abadi" w:hAnsi="Abadi"/>
          <w:b/>
          <w:bCs/>
          <w:sz w:val="21"/>
          <w:szCs w:val="21"/>
        </w:rPr>
        <w:t>fecha</w:t>
      </w:r>
      <w:r w:rsidRPr="00AD79C7">
        <w:rPr>
          <w:rFonts w:ascii="Abadi" w:hAnsi="Abadi"/>
          <w:b/>
          <w:bCs/>
          <w:spacing w:val="76"/>
          <w:w w:val="150"/>
          <w:sz w:val="21"/>
          <w:szCs w:val="21"/>
        </w:rPr>
        <w:t xml:space="preserve"> </w:t>
      </w:r>
      <w:r w:rsidRPr="00AD79C7">
        <w:rPr>
          <w:rFonts w:ascii="Abadi" w:hAnsi="Abadi"/>
          <w:b/>
          <w:bCs/>
          <w:sz w:val="21"/>
          <w:szCs w:val="21"/>
        </w:rPr>
        <w:t>13</w:t>
      </w:r>
      <w:r w:rsidRPr="00AD79C7">
        <w:rPr>
          <w:rFonts w:ascii="Abadi" w:hAnsi="Abadi"/>
          <w:b/>
          <w:bCs/>
          <w:spacing w:val="76"/>
          <w:w w:val="150"/>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lastRenderedPageBreak/>
        <w:t>septiembre</w:t>
      </w:r>
      <w:r w:rsidRPr="00AD79C7">
        <w:rPr>
          <w:rFonts w:ascii="Abadi" w:hAnsi="Abadi"/>
          <w:b/>
          <w:bCs/>
          <w:spacing w:val="-8"/>
          <w:sz w:val="21"/>
          <w:szCs w:val="21"/>
        </w:rPr>
        <w:t xml:space="preserve"> </w:t>
      </w:r>
      <w:r w:rsidRPr="00AD79C7">
        <w:rPr>
          <w:rFonts w:ascii="Abadi" w:hAnsi="Abadi"/>
          <w:b/>
          <w:bCs/>
          <w:sz w:val="21"/>
          <w:szCs w:val="21"/>
        </w:rPr>
        <w:t>de</w:t>
      </w:r>
      <w:r w:rsidRPr="00AD79C7">
        <w:rPr>
          <w:rFonts w:ascii="Abadi" w:hAnsi="Abadi"/>
          <w:b/>
          <w:bCs/>
          <w:spacing w:val="-8"/>
          <w:sz w:val="21"/>
          <w:szCs w:val="21"/>
        </w:rPr>
        <w:t xml:space="preserve"> </w:t>
      </w:r>
      <w:r w:rsidRPr="00AD79C7">
        <w:rPr>
          <w:rFonts w:ascii="Abadi" w:hAnsi="Abadi"/>
          <w:b/>
          <w:bCs/>
          <w:sz w:val="21"/>
          <w:szCs w:val="21"/>
        </w:rPr>
        <w:t>2021</w:t>
      </w:r>
      <w:r w:rsidRPr="00AD79C7">
        <w:rPr>
          <w:rFonts w:ascii="Abadi" w:hAnsi="Abadi"/>
          <w:b/>
          <w:bCs/>
          <w:spacing w:val="-8"/>
          <w:sz w:val="21"/>
          <w:szCs w:val="21"/>
        </w:rPr>
        <w:t xml:space="preserve"> </w:t>
      </w:r>
      <w:r w:rsidRPr="00AD79C7">
        <w:rPr>
          <w:rFonts w:ascii="Abadi" w:hAnsi="Abadi"/>
          <w:b/>
          <w:bCs/>
          <w:sz w:val="21"/>
          <w:szCs w:val="21"/>
        </w:rPr>
        <w:t>que</w:t>
      </w:r>
      <w:r w:rsidRPr="00AD79C7">
        <w:rPr>
          <w:rFonts w:ascii="Abadi" w:hAnsi="Abadi"/>
          <w:b/>
          <w:bCs/>
          <w:spacing w:val="-8"/>
          <w:sz w:val="21"/>
          <w:szCs w:val="21"/>
        </w:rPr>
        <w:t xml:space="preserve"> </w:t>
      </w:r>
      <w:r w:rsidRPr="00AD79C7">
        <w:rPr>
          <w:rFonts w:ascii="Abadi" w:hAnsi="Abadi"/>
          <w:b/>
          <w:bCs/>
          <w:sz w:val="21"/>
          <w:szCs w:val="21"/>
        </w:rPr>
        <w:t>ya</w:t>
      </w:r>
      <w:r w:rsidRPr="00AD79C7">
        <w:rPr>
          <w:rFonts w:ascii="Abadi" w:hAnsi="Abadi"/>
          <w:b/>
          <w:bCs/>
          <w:spacing w:val="-8"/>
          <w:sz w:val="21"/>
          <w:szCs w:val="21"/>
        </w:rPr>
        <w:t xml:space="preserve"> </w:t>
      </w:r>
      <w:r w:rsidRPr="00AD79C7">
        <w:rPr>
          <w:rFonts w:ascii="Abadi" w:hAnsi="Abadi"/>
          <w:b/>
          <w:bCs/>
          <w:sz w:val="21"/>
          <w:szCs w:val="21"/>
        </w:rPr>
        <w:t>les</w:t>
      </w:r>
      <w:r w:rsidRPr="00AD79C7">
        <w:rPr>
          <w:rFonts w:ascii="Abadi" w:hAnsi="Abadi"/>
          <w:b/>
          <w:bCs/>
          <w:spacing w:val="-8"/>
          <w:sz w:val="21"/>
          <w:szCs w:val="21"/>
        </w:rPr>
        <w:t xml:space="preserve"> </w:t>
      </w:r>
      <w:r w:rsidRPr="00AD79C7">
        <w:rPr>
          <w:rFonts w:ascii="Abadi" w:hAnsi="Abadi"/>
          <w:b/>
          <w:bCs/>
          <w:sz w:val="21"/>
          <w:szCs w:val="21"/>
        </w:rPr>
        <w:t>ha</w:t>
      </w:r>
      <w:r w:rsidRPr="00AD79C7">
        <w:rPr>
          <w:rFonts w:ascii="Abadi" w:hAnsi="Abadi"/>
          <w:b/>
          <w:bCs/>
          <w:spacing w:val="-8"/>
          <w:sz w:val="21"/>
          <w:szCs w:val="21"/>
        </w:rPr>
        <w:t xml:space="preserve"> </w:t>
      </w:r>
      <w:r w:rsidRPr="00AD79C7">
        <w:rPr>
          <w:rFonts w:ascii="Abadi" w:hAnsi="Abadi"/>
          <w:b/>
          <w:bCs/>
          <w:sz w:val="21"/>
          <w:szCs w:val="21"/>
        </w:rPr>
        <w:t>sido</w:t>
      </w:r>
      <w:r w:rsidRPr="00AD79C7">
        <w:rPr>
          <w:rFonts w:ascii="Abadi" w:hAnsi="Abadi"/>
          <w:b/>
          <w:bCs/>
          <w:spacing w:val="-8"/>
          <w:sz w:val="21"/>
          <w:szCs w:val="21"/>
        </w:rPr>
        <w:t xml:space="preserve"> </w:t>
      </w:r>
      <w:r w:rsidRPr="00AD79C7">
        <w:rPr>
          <w:rFonts w:ascii="Abadi" w:hAnsi="Abadi"/>
          <w:b/>
          <w:bCs/>
          <w:sz w:val="21"/>
          <w:szCs w:val="21"/>
        </w:rPr>
        <w:t>notificado</w:t>
      </w:r>
      <w:r w:rsidRPr="00AD79C7">
        <w:rPr>
          <w:rFonts w:ascii="Abadi" w:hAnsi="Abadi"/>
          <w:b/>
          <w:bCs/>
          <w:spacing w:val="-7"/>
          <w:sz w:val="21"/>
          <w:szCs w:val="21"/>
        </w:rPr>
        <w:t xml:space="preserve"> </w:t>
      </w:r>
      <w:r w:rsidRPr="00AD79C7">
        <w:rPr>
          <w:rFonts w:ascii="Abadi" w:hAnsi="Abadi"/>
          <w:b/>
          <w:bCs/>
          <w:sz w:val="21"/>
          <w:szCs w:val="21"/>
        </w:rPr>
        <w:t>con</w:t>
      </w:r>
      <w:r w:rsidRPr="00AD79C7">
        <w:rPr>
          <w:rFonts w:ascii="Abadi" w:hAnsi="Abadi"/>
          <w:b/>
          <w:bCs/>
          <w:spacing w:val="-8"/>
          <w:sz w:val="21"/>
          <w:szCs w:val="21"/>
        </w:rPr>
        <w:t xml:space="preserve"> </w:t>
      </w:r>
      <w:r w:rsidRPr="00AD79C7">
        <w:rPr>
          <w:rFonts w:ascii="Abadi" w:hAnsi="Abadi"/>
          <w:b/>
          <w:bCs/>
          <w:sz w:val="21"/>
          <w:szCs w:val="21"/>
        </w:rPr>
        <w:t>anterioridad,</w:t>
      </w:r>
      <w:r w:rsidRPr="00AD79C7">
        <w:rPr>
          <w:rFonts w:ascii="Abadi" w:hAnsi="Abadi"/>
          <w:b/>
          <w:bCs/>
          <w:spacing w:val="-8"/>
          <w:sz w:val="21"/>
          <w:szCs w:val="21"/>
        </w:rPr>
        <w:t xml:space="preserve"> </w:t>
      </w:r>
      <w:r w:rsidRPr="00AD79C7">
        <w:rPr>
          <w:rFonts w:ascii="Abadi" w:hAnsi="Abadi"/>
          <w:b/>
          <w:bCs/>
          <w:sz w:val="21"/>
          <w:szCs w:val="21"/>
        </w:rPr>
        <w:t>para</w:t>
      </w:r>
      <w:r w:rsidRPr="00AD79C7">
        <w:rPr>
          <w:rFonts w:ascii="Abadi" w:hAnsi="Abadi"/>
          <w:b/>
          <w:bCs/>
          <w:spacing w:val="-8"/>
          <w:sz w:val="21"/>
          <w:szCs w:val="21"/>
        </w:rPr>
        <w:t xml:space="preserve"> </w:t>
      </w:r>
      <w:r w:rsidRPr="00AD79C7">
        <w:rPr>
          <w:rFonts w:ascii="Abadi" w:hAnsi="Abadi"/>
          <w:b/>
          <w:bCs/>
          <w:sz w:val="21"/>
          <w:szCs w:val="21"/>
        </w:rPr>
        <w:t>que</w:t>
      </w:r>
      <w:r w:rsidRPr="00AD79C7">
        <w:rPr>
          <w:rFonts w:ascii="Abadi" w:hAnsi="Abadi"/>
          <w:b/>
          <w:bCs/>
          <w:spacing w:val="-1"/>
          <w:sz w:val="21"/>
          <w:szCs w:val="21"/>
        </w:rPr>
        <w:t xml:space="preserve"> </w:t>
      </w:r>
      <w:r w:rsidRPr="00AD79C7">
        <w:rPr>
          <w:rFonts w:ascii="Abadi" w:hAnsi="Abadi"/>
          <w:b/>
          <w:bCs/>
          <w:sz w:val="21"/>
          <w:szCs w:val="21"/>
        </w:rPr>
        <w:t>a</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brevedad</w:t>
      </w:r>
      <w:r w:rsidRPr="00AD79C7">
        <w:rPr>
          <w:rFonts w:ascii="Abadi" w:hAnsi="Abadi"/>
          <w:b/>
          <w:bCs/>
          <w:spacing w:val="-1"/>
          <w:sz w:val="21"/>
          <w:szCs w:val="21"/>
        </w:rPr>
        <w:t xml:space="preserve"> </w:t>
      </w:r>
      <w:r w:rsidRPr="00AD79C7">
        <w:rPr>
          <w:rFonts w:ascii="Abadi" w:hAnsi="Abadi"/>
          <w:b/>
          <w:bCs/>
          <w:sz w:val="21"/>
          <w:szCs w:val="21"/>
        </w:rPr>
        <w:t>lleven</w:t>
      </w:r>
      <w:r w:rsidRPr="00AD79C7">
        <w:rPr>
          <w:rFonts w:ascii="Abadi" w:hAnsi="Abadi"/>
          <w:b/>
          <w:bCs/>
          <w:spacing w:val="-1"/>
          <w:sz w:val="21"/>
          <w:szCs w:val="21"/>
        </w:rPr>
        <w:t xml:space="preserve"> </w:t>
      </w:r>
      <w:r w:rsidRPr="00AD79C7">
        <w:rPr>
          <w:rFonts w:ascii="Abadi" w:hAnsi="Abadi"/>
          <w:b/>
          <w:bCs/>
          <w:sz w:val="21"/>
          <w:szCs w:val="21"/>
        </w:rPr>
        <w:t>a</w:t>
      </w:r>
      <w:r w:rsidRPr="00AD79C7">
        <w:rPr>
          <w:rFonts w:ascii="Abadi" w:hAnsi="Abadi"/>
          <w:b/>
          <w:bCs/>
          <w:spacing w:val="-1"/>
          <w:sz w:val="21"/>
          <w:szCs w:val="21"/>
        </w:rPr>
        <w:t xml:space="preserve"> </w:t>
      </w:r>
      <w:r w:rsidRPr="00AD79C7">
        <w:rPr>
          <w:rFonts w:ascii="Abadi" w:hAnsi="Abadi"/>
          <w:b/>
          <w:bCs/>
          <w:sz w:val="21"/>
          <w:szCs w:val="21"/>
        </w:rPr>
        <w:t>cabo</w:t>
      </w:r>
      <w:r w:rsidRPr="00AD79C7">
        <w:rPr>
          <w:rFonts w:ascii="Abadi" w:hAnsi="Abadi"/>
          <w:b/>
          <w:bCs/>
          <w:spacing w:val="-1"/>
          <w:sz w:val="21"/>
          <w:szCs w:val="21"/>
        </w:rPr>
        <w:t xml:space="preserve"> </w:t>
      </w:r>
      <w:r w:rsidRPr="00AD79C7">
        <w:rPr>
          <w:rFonts w:ascii="Abadi" w:hAnsi="Abadi"/>
          <w:b/>
          <w:bCs/>
          <w:sz w:val="21"/>
          <w:szCs w:val="21"/>
        </w:rPr>
        <w:t>el</w:t>
      </w:r>
      <w:r w:rsidRPr="00AD79C7">
        <w:rPr>
          <w:rFonts w:ascii="Abadi" w:hAnsi="Abadi"/>
          <w:b/>
          <w:bCs/>
          <w:spacing w:val="-1"/>
          <w:sz w:val="21"/>
          <w:szCs w:val="21"/>
        </w:rPr>
        <w:t xml:space="preserve"> </w:t>
      </w:r>
      <w:r w:rsidRPr="00AD79C7">
        <w:rPr>
          <w:rFonts w:ascii="Abadi" w:hAnsi="Abadi"/>
          <w:b/>
          <w:bCs/>
          <w:sz w:val="21"/>
          <w:szCs w:val="21"/>
        </w:rPr>
        <w:t>proceso</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discusión.</w:t>
      </w:r>
    </w:p>
    <w:p w14:paraId="1A665A62" w14:textId="77777777" w:rsidR="00632758" w:rsidRPr="00632758" w:rsidRDefault="00632758" w:rsidP="006B00FD">
      <w:pPr>
        <w:tabs>
          <w:tab w:val="left" w:pos="856"/>
        </w:tabs>
        <w:kinsoku w:val="0"/>
        <w:overflowPunct w:val="0"/>
        <w:autoSpaceDE w:val="0"/>
        <w:autoSpaceDN w:val="0"/>
        <w:adjustRightInd w:val="0"/>
        <w:ind w:right="566"/>
        <w:jc w:val="both"/>
        <w:rPr>
          <w:rFonts w:ascii="Abadi" w:hAnsi="Abadi"/>
          <w:b/>
          <w:bCs/>
          <w:sz w:val="21"/>
          <w:szCs w:val="21"/>
        </w:rPr>
      </w:pPr>
    </w:p>
    <w:p w14:paraId="78558407" w14:textId="2644699D" w:rsidR="00632758" w:rsidRDefault="00632758"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80"/>
          <w:sz w:val="21"/>
          <w:szCs w:val="21"/>
        </w:rPr>
        <w:t xml:space="preserve"> </w:t>
      </w:r>
      <w:r w:rsidRPr="00AD79C7">
        <w:rPr>
          <w:rFonts w:ascii="Abadi" w:hAnsi="Abadi"/>
          <w:b/>
          <w:bCs/>
          <w:sz w:val="21"/>
          <w:szCs w:val="21"/>
        </w:rPr>
        <w:t>y,</w:t>
      </w:r>
      <w:r w:rsidRPr="00AD79C7">
        <w:rPr>
          <w:rFonts w:ascii="Abadi" w:hAnsi="Abadi"/>
          <w:b/>
          <w:bCs/>
          <w:spacing w:val="80"/>
          <w:sz w:val="21"/>
          <w:szCs w:val="21"/>
        </w:rPr>
        <w:t xml:space="preserve"> </w:t>
      </w:r>
      <w:r w:rsidRPr="00AD79C7">
        <w:rPr>
          <w:rFonts w:ascii="Abadi" w:hAnsi="Abadi"/>
          <w:b/>
          <w:bCs/>
          <w:sz w:val="21"/>
          <w:szCs w:val="21"/>
        </w:rPr>
        <w:t>en</w:t>
      </w:r>
      <w:r w:rsidRPr="00AD79C7">
        <w:rPr>
          <w:rFonts w:ascii="Abadi" w:hAnsi="Abadi"/>
          <w:b/>
          <w:bCs/>
          <w:spacing w:val="80"/>
          <w:sz w:val="21"/>
          <w:szCs w:val="21"/>
        </w:rPr>
        <w:t xml:space="preserve"> </w:t>
      </w:r>
      <w:r w:rsidRPr="00AD79C7">
        <w:rPr>
          <w:rFonts w:ascii="Abadi" w:hAnsi="Abadi"/>
          <w:b/>
          <w:bCs/>
          <w:sz w:val="21"/>
          <w:szCs w:val="21"/>
        </w:rPr>
        <w:t>su</w:t>
      </w:r>
      <w:r w:rsidRPr="00AD79C7">
        <w:rPr>
          <w:rFonts w:ascii="Abadi" w:hAnsi="Abadi"/>
          <w:b/>
          <w:bCs/>
          <w:spacing w:val="80"/>
          <w:sz w:val="21"/>
          <w:szCs w:val="21"/>
        </w:rPr>
        <w:t xml:space="preserve"> </w:t>
      </w:r>
      <w:r w:rsidRPr="00AD79C7">
        <w:rPr>
          <w:rFonts w:ascii="Abadi" w:hAnsi="Abadi"/>
          <w:b/>
          <w:bCs/>
          <w:sz w:val="21"/>
          <w:szCs w:val="21"/>
        </w:rPr>
        <w:t>caso,</w:t>
      </w:r>
      <w:r w:rsidRPr="00AD79C7">
        <w:rPr>
          <w:rFonts w:ascii="Abadi" w:hAnsi="Abadi"/>
          <w:b/>
          <w:bCs/>
          <w:spacing w:val="80"/>
          <w:sz w:val="21"/>
          <w:szCs w:val="21"/>
        </w:rPr>
        <w:t xml:space="preserve"> </w:t>
      </w:r>
      <w:r w:rsidRPr="00AD79C7">
        <w:rPr>
          <w:rFonts w:ascii="Abadi" w:hAnsi="Abadi"/>
          <w:b/>
          <w:bCs/>
          <w:sz w:val="21"/>
          <w:szCs w:val="21"/>
        </w:rPr>
        <w:t>aprobación</w:t>
      </w:r>
      <w:r w:rsidRPr="00AD79C7">
        <w:rPr>
          <w:rFonts w:ascii="Abadi" w:hAnsi="Abadi"/>
          <w:b/>
          <w:bCs/>
          <w:spacing w:val="80"/>
          <w:sz w:val="21"/>
          <w:szCs w:val="21"/>
        </w:rPr>
        <w:t xml:space="preserve"> </w:t>
      </w:r>
      <w:r w:rsidRPr="00AD79C7">
        <w:rPr>
          <w:rFonts w:ascii="Abadi" w:hAnsi="Abadi"/>
          <w:b/>
          <w:bCs/>
          <w:sz w:val="21"/>
          <w:szCs w:val="21"/>
        </w:rPr>
        <w:t>del</w:t>
      </w:r>
      <w:r w:rsidRPr="00AD79C7">
        <w:rPr>
          <w:rFonts w:ascii="Abadi" w:hAnsi="Abadi"/>
          <w:b/>
          <w:bCs/>
          <w:spacing w:val="80"/>
          <w:sz w:val="21"/>
          <w:szCs w:val="21"/>
        </w:rPr>
        <w:t xml:space="preserve"> </w:t>
      </w:r>
      <w:r w:rsidRPr="00AD79C7">
        <w:rPr>
          <w:rFonts w:ascii="Abadi" w:hAnsi="Abadi"/>
          <w:b/>
          <w:bCs/>
          <w:sz w:val="21"/>
          <w:szCs w:val="21"/>
        </w:rPr>
        <w:t>dictamen</w:t>
      </w:r>
      <w:r w:rsidRPr="00AD79C7">
        <w:rPr>
          <w:rFonts w:ascii="Abadi" w:hAnsi="Abadi"/>
          <w:b/>
          <w:bCs/>
          <w:spacing w:val="80"/>
          <w:sz w:val="21"/>
          <w:szCs w:val="21"/>
        </w:rPr>
        <w:t xml:space="preserve"> </w:t>
      </w:r>
      <w:r w:rsidRPr="00AD79C7">
        <w:rPr>
          <w:rFonts w:ascii="Abadi" w:hAnsi="Abadi"/>
          <w:b/>
          <w:bCs/>
          <w:sz w:val="21"/>
          <w:szCs w:val="21"/>
        </w:rPr>
        <w:t>presentado</w:t>
      </w:r>
      <w:r w:rsidRPr="00AD79C7">
        <w:rPr>
          <w:rFonts w:ascii="Abadi" w:hAnsi="Abadi"/>
          <w:b/>
          <w:bCs/>
          <w:spacing w:val="80"/>
          <w:sz w:val="21"/>
          <w:szCs w:val="21"/>
        </w:rPr>
        <w:t xml:space="preserve"> </w:t>
      </w:r>
      <w:r w:rsidRPr="00AD79C7">
        <w:rPr>
          <w:rFonts w:ascii="Abadi" w:hAnsi="Abadi"/>
          <w:b/>
          <w:bCs/>
          <w:sz w:val="21"/>
          <w:szCs w:val="21"/>
        </w:rPr>
        <w:t>por</w:t>
      </w:r>
      <w:r w:rsidRPr="00AD79C7">
        <w:rPr>
          <w:rFonts w:ascii="Abadi" w:hAnsi="Abadi"/>
          <w:b/>
          <w:bCs/>
          <w:spacing w:val="80"/>
          <w:sz w:val="21"/>
          <w:szCs w:val="21"/>
        </w:rPr>
        <w:t xml:space="preserve"> </w:t>
      </w:r>
      <w:r w:rsidRPr="00AD79C7">
        <w:rPr>
          <w:rFonts w:ascii="Abadi" w:hAnsi="Abadi"/>
          <w:b/>
          <w:bCs/>
          <w:sz w:val="21"/>
          <w:szCs w:val="21"/>
        </w:rPr>
        <w:t>la Comisión</w:t>
      </w:r>
      <w:r w:rsidRPr="00AD79C7">
        <w:rPr>
          <w:rFonts w:ascii="Abadi" w:hAnsi="Abadi"/>
          <w:b/>
          <w:bCs/>
          <w:spacing w:val="16"/>
          <w:sz w:val="21"/>
          <w:szCs w:val="21"/>
        </w:rPr>
        <w:t xml:space="preserve"> </w:t>
      </w:r>
      <w:r w:rsidRPr="00AD79C7">
        <w:rPr>
          <w:rFonts w:ascii="Abadi" w:hAnsi="Abadi"/>
          <w:b/>
          <w:bCs/>
          <w:sz w:val="21"/>
          <w:szCs w:val="21"/>
        </w:rPr>
        <w:t>de</w:t>
      </w:r>
      <w:r w:rsidRPr="00AD79C7">
        <w:rPr>
          <w:rFonts w:ascii="Abadi" w:hAnsi="Abadi"/>
          <w:b/>
          <w:bCs/>
          <w:spacing w:val="15"/>
          <w:sz w:val="21"/>
          <w:szCs w:val="21"/>
        </w:rPr>
        <w:t xml:space="preserve"> </w:t>
      </w:r>
      <w:r w:rsidRPr="00AD79C7">
        <w:rPr>
          <w:rFonts w:ascii="Abadi" w:hAnsi="Abadi"/>
          <w:b/>
          <w:bCs/>
          <w:sz w:val="21"/>
          <w:szCs w:val="21"/>
        </w:rPr>
        <w:t>Gobernación</w:t>
      </w:r>
      <w:r w:rsidRPr="00AD79C7">
        <w:rPr>
          <w:rFonts w:ascii="Abadi" w:hAnsi="Abadi"/>
          <w:b/>
          <w:bCs/>
          <w:spacing w:val="15"/>
          <w:sz w:val="21"/>
          <w:szCs w:val="21"/>
        </w:rPr>
        <w:t xml:space="preserve"> </w:t>
      </w:r>
      <w:r w:rsidRPr="00AD79C7">
        <w:rPr>
          <w:rFonts w:ascii="Abadi" w:hAnsi="Abadi"/>
          <w:b/>
          <w:bCs/>
          <w:sz w:val="21"/>
          <w:szCs w:val="21"/>
        </w:rPr>
        <w:t>y</w:t>
      </w:r>
      <w:r w:rsidRPr="00AD79C7">
        <w:rPr>
          <w:rFonts w:ascii="Abadi" w:hAnsi="Abadi"/>
          <w:b/>
          <w:bCs/>
          <w:spacing w:val="15"/>
          <w:sz w:val="21"/>
          <w:szCs w:val="21"/>
        </w:rPr>
        <w:t xml:space="preserve"> </w:t>
      </w:r>
      <w:r w:rsidRPr="00AD79C7">
        <w:rPr>
          <w:rFonts w:ascii="Abadi" w:hAnsi="Abadi"/>
          <w:b/>
          <w:bCs/>
          <w:sz w:val="21"/>
          <w:szCs w:val="21"/>
        </w:rPr>
        <w:t>Puntos</w:t>
      </w:r>
      <w:r w:rsidRPr="00AD79C7">
        <w:rPr>
          <w:rFonts w:ascii="Abadi" w:hAnsi="Abadi"/>
          <w:b/>
          <w:bCs/>
          <w:spacing w:val="15"/>
          <w:sz w:val="21"/>
          <w:szCs w:val="21"/>
        </w:rPr>
        <w:t xml:space="preserve"> </w:t>
      </w:r>
      <w:r w:rsidRPr="00AD79C7">
        <w:rPr>
          <w:rFonts w:ascii="Abadi" w:hAnsi="Abadi"/>
          <w:b/>
          <w:bCs/>
          <w:sz w:val="21"/>
          <w:szCs w:val="21"/>
        </w:rPr>
        <w:t>Constitucionales</w:t>
      </w:r>
      <w:r w:rsidRPr="00AD79C7">
        <w:rPr>
          <w:rFonts w:ascii="Abadi" w:hAnsi="Abadi"/>
          <w:b/>
          <w:bCs/>
          <w:spacing w:val="14"/>
          <w:sz w:val="21"/>
          <w:szCs w:val="21"/>
        </w:rPr>
        <w:t xml:space="preserve"> </w:t>
      </w:r>
      <w:r w:rsidRPr="00AD79C7">
        <w:rPr>
          <w:rFonts w:ascii="Abadi" w:hAnsi="Abadi"/>
          <w:b/>
          <w:bCs/>
          <w:sz w:val="21"/>
          <w:szCs w:val="21"/>
        </w:rPr>
        <w:t>relativo</w:t>
      </w:r>
      <w:r w:rsidRPr="00AD79C7">
        <w:rPr>
          <w:rFonts w:ascii="Abadi" w:hAnsi="Abadi"/>
          <w:b/>
          <w:bCs/>
          <w:spacing w:val="15"/>
          <w:sz w:val="21"/>
          <w:szCs w:val="21"/>
        </w:rPr>
        <w:t xml:space="preserve"> </w:t>
      </w:r>
      <w:r w:rsidRPr="00AD79C7">
        <w:rPr>
          <w:rFonts w:ascii="Abadi" w:hAnsi="Abadi"/>
          <w:b/>
          <w:bCs/>
          <w:sz w:val="21"/>
          <w:szCs w:val="21"/>
        </w:rPr>
        <w:t>a</w:t>
      </w:r>
      <w:r w:rsidRPr="00AD79C7">
        <w:rPr>
          <w:rFonts w:ascii="Abadi" w:hAnsi="Abadi"/>
          <w:b/>
          <w:bCs/>
          <w:spacing w:val="15"/>
          <w:sz w:val="21"/>
          <w:szCs w:val="21"/>
        </w:rPr>
        <w:t xml:space="preserve"> </w:t>
      </w:r>
      <w:r w:rsidRPr="00AD79C7">
        <w:rPr>
          <w:rFonts w:ascii="Abadi" w:hAnsi="Abadi"/>
          <w:b/>
          <w:bCs/>
          <w:sz w:val="21"/>
          <w:szCs w:val="21"/>
        </w:rPr>
        <w:t>la</w:t>
      </w:r>
      <w:r w:rsidRPr="00AD79C7">
        <w:rPr>
          <w:rFonts w:ascii="Abadi" w:hAnsi="Abadi"/>
          <w:b/>
          <w:bCs/>
          <w:spacing w:val="15"/>
          <w:sz w:val="21"/>
          <w:szCs w:val="21"/>
        </w:rPr>
        <w:t xml:space="preserve"> </w:t>
      </w:r>
      <w:r w:rsidRPr="00AD79C7">
        <w:rPr>
          <w:rFonts w:ascii="Abadi" w:hAnsi="Abadi"/>
          <w:b/>
          <w:bCs/>
          <w:sz w:val="21"/>
          <w:szCs w:val="21"/>
        </w:rPr>
        <w:t>iniciativa a</w:t>
      </w:r>
      <w:r w:rsidRPr="00AD79C7">
        <w:rPr>
          <w:rFonts w:ascii="Abadi" w:hAnsi="Abadi"/>
          <w:b/>
          <w:bCs/>
          <w:spacing w:val="-3"/>
          <w:sz w:val="21"/>
          <w:szCs w:val="21"/>
        </w:rPr>
        <w:t xml:space="preserve"> </w:t>
      </w:r>
      <w:r w:rsidRPr="00AD79C7">
        <w:rPr>
          <w:rFonts w:ascii="Abadi" w:hAnsi="Abadi"/>
          <w:b/>
          <w:bCs/>
          <w:sz w:val="21"/>
          <w:szCs w:val="21"/>
        </w:rPr>
        <w:t>efecto</w:t>
      </w:r>
      <w:r w:rsidRPr="00AD79C7">
        <w:rPr>
          <w:rFonts w:ascii="Abadi" w:hAnsi="Abadi"/>
          <w:b/>
          <w:bCs/>
          <w:spacing w:val="-3"/>
          <w:sz w:val="21"/>
          <w:szCs w:val="21"/>
        </w:rPr>
        <w:t xml:space="preserve"> </w:t>
      </w:r>
      <w:r w:rsidRPr="00AD79C7">
        <w:rPr>
          <w:rFonts w:ascii="Abadi" w:hAnsi="Abadi"/>
          <w:b/>
          <w:bCs/>
          <w:sz w:val="21"/>
          <w:szCs w:val="21"/>
        </w:rPr>
        <w:t>de</w:t>
      </w:r>
      <w:r w:rsidRPr="00AD79C7">
        <w:rPr>
          <w:rFonts w:ascii="Abadi" w:hAnsi="Abadi"/>
          <w:b/>
          <w:bCs/>
          <w:spacing w:val="-3"/>
          <w:sz w:val="21"/>
          <w:szCs w:val="21"/>
        </w:rPr>
        <w:t xml:space="preserve"> </w:t>
      </w:r>
      <w:r w:rsidRPr="00AD79C7">
        <w:rPr>
          <w:rFonts w:ascii="Abadi" w:hAnsi="Abadi"/>
          <w:b/>
          <w:bCs/>
          <w:sz w:val="21"/>
          <w:szCs w:val="21"/>
        </w:rPr>
        <w:t>reformar</w:t>
      </w:r>
      <w:r w:rsidRPr="00AD79C7">
        <w:rPr>
          <w:rFonts w:ascii="Abadi" w:hAnsi="Abadi"/>
          <w:b/>
          <w:bCs/>
          <w:spacing w:val="-3"/>
          <w:sz w:val="21"/>
          <w:szCs w:val="21"/>
        </w:rPr>
        <w:t xml:space="preserve"> </w:t>
      </w:r>
      <w:r w:rsidRPr="00AD79C7">
        <w:rPr>
          <w:rFonts w:ascii="Abadi" w:hAnsi="Abadi"/>
          <w:b/>
          <w:bCs/>
          <w:sz w:val="21"/>
          <w:szCs w:val="21"/>
        </w:rPr>
        <w:t>el</w:t>
      </w:r>
      <w:r w:rsidRPr="00AD79C7">
        <w:rPr>
          <w:rFonts w:ascii="Abadi" w:hAnsi="Abadi"/>
          <w:b/>
          <w:bCs/>
          <w:spacing w:val="-3"/>
          <w:sz w:val="21"/>
          <w:szCs w:val="21"/>
        </w:rPr>
        <w:t xml:space="preserve"> </w:t>
      </w:r>
      <w:r w:rsidRPr="00AD79C7">
        <w:rPr>
          <w:rFonts w:ascii="Abadi" w:hAnsi="Abadi"/>
          <w:b/>
          <w:bCs/>
          <w:sz w:val="21"/>
          <w:szCs w:val="21"/>
        </w:rPr>
        <w:t>artículo</w:t>
      </w:r>
      <w:r w:rsidRPr="00AD79C7">
        <w:rPr>
          <w:rFonts w:ascii="Abadi" w:hAnsi="Abadi"/>
          <w:b/>
          <w:bCs/>
          <w:spacing w:val="-2"/>
          <w:sz w:val="21"/>
          <w:szCs w:val="21"/>
        </w:rPr>
        <w:t xml:space="preserve"> </w:t>
      </w:r>
      <w:r w:rsidRPr="00AD79C7">
        <w:rPr>
          <w:rFonts w:ascii="Abadi" w:hAnsi="Abadi"/>
          <w:b/>
          <w:bCs/>
          <w:sz w:val="21"/>
          <w:szCs w:val="21"/>
        </w:rPr>
        <w:t>95</w:t>
      </w:r>
      <w:r w:rsidRPr="00AD79C7">
        <w:rPr>
          <w:rFonts w:ascii="Abadi" w:hAnsi="Abadi"/>
          <w:b/>
          <w:bCs/>
          <w:spacing w:val="-3"/>
          <w:sz w:val="21"/>
          <w:szCs w:val="21"/>
        </w:rPr>
        <w:t xml:space="preserve"> </w:t>
      </w:r>
      <w:r w:rsidRPr="00AD79C7">
        <w:rPr>
          <w:rFonts w:ascii="Abadi" w:hAnsi="Abadi"/>
          <w:b/>
          <w:bCs/>
          <w:sz w:val="21"/>
          <w:szCs w:val="21"/>
        </w:rPr>
        <w:t>de</w:t>
      </w:r>
      <w:r w:rsidRPr="00AD79C7">
        <w:rPr>
          <w:rFonts w:ascii="Abadi" w:hAnsi="Abadi"/>
          <w:b/>
          <w:bCs/>
          <w:spacing w:val="-3"/>
          <w:sz w:val="21"/>
          <w:szCs w:val="21"/>
        </w:rPr>
        <w:t xml:space="preserve"> </w:t>
      </w:r>
      <w:r w:rsidRPr="00AD79C7">
        <w:rPr>
          <w:rFonts w:ascii="Abadi" w:hAnsi="Abadi"/>
          <w:b/>
          <w:bCs/>
          <w:sz w:val="21"/>
          <w:szCs w:val="21"/>
        </w:rPr>
        <w:t>la</w:t>
      </w:r>
      <w:r w:rsidRPr="00AD79C7">
        <w:rPr>
          <w:rFonts w:ascii="Abadi" w:hAnsi="Abadi"/>
          <w:b/>
          <w:bCs/>
          <w:spacing w:val="-3"/>
          <w:sz w:val="21"/>
          <w:szCs w:val="21"/>
        </w:rPr>
        <w:t xml:space="preserve"> </w:t>
      </w:r>
      <w:r w:rsidRPr="00AD79C7">
        <w:rPr>
          <w:rFonts w:ascii="Abadi" w:hAnsi="Abadi"/>
          <w:b/>
          <w:bCs/>
          <w:sz w:val="21"/>
          <w:szCs w:val="21"/>
        </w:rPr>
        <w:t>Constitución</w:t>
      </w:r>
      <w:r w:rsidRPr="00AD79C7">
        <w:rPr>
          <w:rFonts w:ascii="Abadi" w:hAnsi="Abadi"/>
          <w:b/>
          <w:bCs/>
          <w:spacing w:val="-3"/>
          <w:sz w:val="21"/>
          <w:szCs w:val="21"/>
        </w:rPr>
        <w:t xml:space="preserve"> </w:t>
      </w:r>
      <w:r w:rsidRPr="00AD79C7">
        <w:rPr>
          <w:rFonts w:ascii="Abadi" w:hAnsi="Abadi"/>
          <w:b/>
          <w:bCs/>
          <w:sz w:val="21"/>
          <w:szCs w:val="21"/>
        </w:rPr>
        <w:t>Política</w:t>
      </w:r>
      <w:r w:rsidRPr="00AD79C7">
        <w:rPr>
          <w:rFonts w:ascii="Abadi" w:hAnsi="Abadi"/>
          <w:b/>
          <w:bCs/>
          <w:spacing w:val="-3"/>
          <w:sz w:val="21"/>
          <w:szCs w:val="21"/>
        </w:rPr>
        <w:t xml:space="preserve"> </w:t>
      </w:r>
      <w:r w:rsidRPr="00AD79C7">
        <w:rPr>
          <w:rFonts w:ascii="Abadi" w:hAnsi="Abadi"/>
          <w:b/>
          <w:bCs/>
          <w:sz w:val="21"/>
          <w:szCs w:val="21"/>
        </w:rPr>
        <w:t>para</w:t>
      </w:r>
      <w:r w:rsidRPr="00AD79C7">
        <w:rPr>
          <w:rFonts w:ascii="Abadi" w:hAnsi="Abadi"/>
          <w:b/>
          <w:bCs/>
          <w:spacing w:val="-3"/>
          <w:sz w:val="21"/>
          <w:szCs w:val="21"/>
        </w:rPr>
        <w:t xml:space="preserve"> </w:t>
      </w:r>
      <w:r w:rsidRPr="00AD79C7">
        <w:rPr>
          <w:rFonts w:ascii="Abadi" w:hAnsi="Abadi"/>
          <w:b/>
          <w:bCs/>
          <w:sz w:val="21"/>
          <w:szCs w:val="21"/>
        </w:rPr>
        <w:t>el</w:t>
      </w:r>
      <w:r w:rsidRPr="00AD79C7">
        <w:rPr>
          <w:rFonts w:ascii="Abadi" w:hAnsi="Abadi"/>
          <w:b/>
          <w:bCs/>
          <w:spacing w:val="-3"/>
          <w:sz w:val="21"/>
          <w:szCs w:val="21"/>
        </w:rPr>
        <w:t xml:space="preserve"> </w:t>
      </w:r>
      <w:r w:rsidRPr="00AD79C7">
        <w:rPr>
          <w:rFonts w:ascii="Abadi" w:hAnsi="Abadi"/>
          <w:b/>
          <w:bCs/>
          <w:sz w:val="21"/>
          <w:szCs w:val="21"/>
        </w:rPr>
        <w:t>Estado de</w:t>
      </w:r>
      <w:r w:rsidRPr="00AD79C7">
        <w:rPr>
          <w:rFonts w:ascii="Abadi" w:hAnsi="Abadi"/>
          <w:b/>
          <w:bCs/>
          <w:spacing w:val="22"/>
          <w:sz w:val="21"/>
          <w:szCs w:val="21"/>
        </w:rPr>
        <w:t xml:space="preserve"> </w:t>
      </w:r>
      <w:r w:rsidRPr="00AD79C7">
        <w:rPr>
          <w:rFonts w:ascii="Abadi" w:hAnsi="Abadi"/>
          <w:b/>
          <w:bCs/>
          <w:sz w:val="21"/>
          <w:szCs w:val="21"/>
        </w:rPr>
        <w:t>Guanajuato,</w:t>
      </w:r>
      <w:r w:rsidRPr="00AD79C7">
        <w:rPr>
          <w:rFonts w:ascii="Abadi" w:hAnsi="Abadi"/>
          <w:b/>
          <w:bCs/>
          <w:spacing w:val="22"/>
          <w:sz w:val="21"/>
          <w:szCs w:val="21"/>
        </w:rPr>
        <w:t xml:space="preserve"> </w:t>
      </w:r>
      <w:r w:rsidRPr="00AD79C7">
        <w:rPr>
          <w:rFonts w:ascii="Abadi" w:hAnsi="Abadi"/>
          <w:b/>
          <w:bCs/>
          <w:sz w:val="21"/>
          <w:szCs w:val="21"/>
        </w:rPr>
        <w:t>suscrita</w:t>
      </w:r>
      <w:r w:rsidRPr="00AD79C7">
        <w:rPr>
          <w:rFonts w:ascii="Abadi" w:hAnsi="Abadi"/>
          <w:b/>
          <w:bCs/>
          <w:spacing w:val="22"/>
          <w:sz w:val="21"/>
          <w:szCs w:val="21"/>
        </w:rPr>
        <w:t xml:space="preserve"> </w:t>
      </w:r>
      <w:r w:rsidRPr="00AD79C7">
        <w:rPr>
          <w:rFonts w:ascii="Abadi" w:hAnsi="Abadi"/>
          <w:b/>
          <w:bCs/>
          <w:sz w:val="21"/>
          <w:szCs w:val="21"/>
        </w:rPr>
        <w:t>por</w:t>
      </w:r>
      <w:r w:rsidRPr="00AD79C7">
        <w:rPr>
          <w:rFonts w:ascii="Abadi" w:hAnsi="Abadi"/>
          <w:b/>
          <w:bCs/>
          <w:spacing w:val="22"/>
          <w:sz w:val="21"/>
          <w:szCs w:val="21"/>
        </w:rPr>
        <w:t xml:space="preserve"> </w:t>
      </w:r>
      <w:r w:rsidRPr="00AD79C7">
        <w:rPr>
          <w:rFonts w:ascii="Abadi" w:hAnsi="Abadi"/>
          <w:b/>
          <w:bCs/>
          <w:sz w:val="21"/>
          <w:szCs w:val="21"/>
        </w:rPr>
        <w:t>el</w:t>
      </w:r>
      <w:r w:rsidRPr="00AD79C7">
        <w:rPr>
          <w:rFonts w:ascii="Abadi" w:hAnsi="Abadi"/>
          <w:b/>
          <w:bCs/>
          <w:spacing w:val="22"/>
          <w:sz w:val="21"/>
          <w:szCs w:val="21"/>
        </w:rPr>
        <w:t xml:space="preserve"> </w:t>
      </w:r>
      <w:r w:rsidRPr="00AD79C7">
        <w:rPr>
          <w:rFonts w:ascii="Abadi" w:hAnsi="Abadi"/>
          <w:b/>
          <w:bCs/>
          <w:sz w:val="21"/>
          <w:szCs w:val="21"/>
        </w:rPr>
        <w:t>diputado</w:t>
      </w:r>
      <w:r w:rsidRPr="00AD79C7">
        <w:rPr>
          <w:rFonts w:ascii="Abadi" w:hAnsi="Abadi"/>
          <w:b/>
          <w:bCs/>
          <w:spacing w:val="22"/>
          <w:sz w:val="21"/>
          <w:szCs w:val="21"/>
        </w:rPr>
        <w:t xml:space="preserve"> </w:t>
      </w:r>
      <w:r w:rsidRPr="00AD79C7">
        <w:rPr>
          <w:rFonts w:ascii="Abadi" w:hAnsi="Abadi"/>
          <w:b/>
          <w:bCs/>
          <w:sz w:val="21"/>
          <w:szCs w:val="21"/>
        </w:rPr>
        <w:t>Ernesto</w:t>
      </w:r>
      <w:r w:rsidRPr="00AD79C7">
        <w:rPr>
          <w:rFonts w:ascii="Abadi" w:hAnsi="Abadi"/>
          <w:b/>
          <w:bCs/>
          <w:spacing w:val="22"/>
          <w:sz w:val="21"/>
          <w:szCs w:val="21"/>
        </w:rPr>
        <w:t xml:space="preserve"> </w:t>
      </w:r>
      <w:r w:rsidRPr="00AD79C7">
        <w:rPr>
          <w:rFonts w:ascii="Abadi" w:hAnsi="Abadi"/>
          <w:b/>
          <w:bCs/>
          <w:sz w:val="21"/>
          <w:szCs w:val="21"/>
        </w:rPr>
        <w:t>Alejandro</w:t>
      </w:r>
      <w:r w:rsidRPr="00AD79C7">
        <w:rPr>
          <w:rFonts w:ascii="Abadi" w:hAnsi="Abadi"/>
          <w:b/>
          <w:bCs/>
          <w:spacing w:val="22"/>
          <w:sz w:val="21"/>
          <w:szCs w:val="21"/>
        </w:rPr>
        <w:t xml:space="preserve"> </w:t>
      </w:r>
      <w:r w:rsidRPr="00AD79C7">
        <w:rPr>
          <w:rFonts w:ascii="Abadi" w:hAnsi="Abadi"/>
          <w:b/>
          <w:bCs/>
          <w:sz w:val="21"/>
          <w:szCs w:val="21"/>
        </w:rPr>
        <w:t>Prieto</w:t>
      </w:r>
      <w:r w:rsidRPr="00AD79C7">
        <w:rPr>
          <w:rFonts w:ascii="Abadi" w:hAnsi="Abadi"/>
          <w:b/>
          <w:bCs/>
          <w:spacing w:val="22"/>
          <w:sz w:val="21"/>
          <w:szCs w:val="21"/>
        </w:rPr>
        <w:t xml:space="preserve"> </w:t>
      </w:r>
      <w:r w:rsidRPr="00AD79C7">
        <w:rPr>
          <w:rFonts w:ascii="Abadi" w:hAnsi="Abadi"/>
          <w:b/>
          <w:bCs/>
          <w:sz w:val="21"/>
          <w:szCs w:val="21"/>
        </w:rPr>
        <w:t>Gallardo integrante del Grupo Parlamentario del Partido MORENA.</w:t>
      </w:r>
    </w:p>
    <w:p w14:paraId="3ED896F7" w14:textId="77777777" w:rsidR="00D624EF" w:rsidRPr="00D624EF" w:rsidRDefault="00D624EF" w:rsidP="00D624EF">
      <w:pPr>
        <w:pStyle w:val="Prrafodelista"/>
        <w:rPr>
          <w:rFonts w:ascii="Abadi" w:hAnsi="Abadi"/>
          <w:b/>
          <w:bCs/>
          <w:sz w:val="21"/>
          <w:szCs w:val="21"/>
        </w:rPr>
      </w:pPr>
    </w:p>
    <w:p w14:paraId="66FD47F8" w14:textId="77777777" w:rsidR="00D624EF" w:rsidRPr="00AD79C7" w:rsidRDefault="00D624EF"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80"/>
          <w:sz w:val="21"/>
          <w:szCs w:val="21"/>
        </w:rPr>
        <w:t xml:space="preserve"> </w:t>
      </w:r>
      <w:r w:rsidRPr="00AD79C7">
        <w:rPr>
          <w:rFonts w:ascii="Abadi" w:hAnsi="Abadi"/>
          <w:b/>
          <w:bCs/>
          <w:sz w:val="21"/>
          <w:szCs w:val="21"/>
        </w:rPr>
        <w:t>y,</w:t>
      </w:r>
      <w:r w:rsidRPr="00AD79C7">
        <w:rPr>
          <w:rFonts w:ascii="Abadi" w:hAnsi="Abadi"/>
          <w:b/>
          <w:bCs/>
          <w:spacing w:val="80"/>
          <w:sz w:val="21"/>
          <w:szCs w:val="21"/>
        </w:rPr>
        <w:t xml:space="preserve"> </w:t>
      </w:r>
      <w:r w:rsidRPr="00AD79C7">
        <w:rPr>
          <w:rFonts w:ascii="Abadi" w:hAnsi="Abadi"/>
          <w:b/>
          <w:bCs/>
          <w:sz w:val="21"/>
          <w:szCs w:val="21"/>
        </w:rPr>
        <w:t>en</w:t>
      </w:r>
      <w:r w:rsidRPr="00AD79C7">
        <w:rPr>
          <w:rFonts w:ascii="Abadi" w:hAnsi="Abadi"/>
          <w:b/>
          <w:bCs/>
          <w:spacing w:val="80"/>
          <w:sz w:val="21"/>
          <w:szCs w:val="21"/>
        </w:rPr>
        <w:t xml:space="preserve"> </w:t>
      </w:r>
      <w:r w:rsidRPr="00AD79C7">
        <w:rPr>
          <w:rFonts w:ascii="Abadi" w:hAnsi="Abadi"/>
          <w:b/>
          <w:bCs/>
          <w:sz w:val="21"/>
          <w:szCs w:val="21"/>
        </w:rPr>
        <w:t>su</w:t>
      </w:r>
      <w:r w:rsidRPr="00AD79C7">
        <w:rPr>
          <w:rFonts w:ascii="Abadi" w:hAnsi="Abadi"/>
          <w:b/>
          <w:bCs/>
          <w:spacing w:val="80"/>
          <w:sz w:val="21"/>
          <w:szCs w:val="21"/>
        </w:rPr>
        <w:t xml:space="preserve"> </w:t>
      </w:r>
      <w:r w:rsidRPr="00AD79C7">
        <w:rPr>
          <w:rFonts w:ascii="Abadi" w:hAnsi="Abadi"/>
          <w:b/>
          <w:bCs/>
          <w:sz w:val="21"/>
          <w:szCs w:val="21"/>
        </w:rPr>
        <w:t>caso,</w:t>
      </w:r>
      <w:r w:rsidRPr="00AD79C7">
        <w:rPr>
          <w:rFonts w:ascii="Abadi" w:hAnsi="Abadi"/>
          <w:b/>
          <w:bCs/>
          <w:spacing w:val="80"/>
          <w:sz w:val="21"/>
          <w:szCs w:val="21"/>
        </w:rPr>
        <w:t xml:space="preserve"> </w:t>
      </w:r>
      <w:r w:rsidRPr="00AD79C7">
        <w:rPr>
          <w:rFonts w:ascii="Abadi" w:hAnsi="Abadi"/>
          <w:b/>
          <w:bCs/>
          <w:sz w:val="21"/>
          <w:szCs w:val="21"/>
        </w:rPr>
        <w:t>aprobación</w:t>
      </w:r>
      <w:r w:rsidRPr="00AD79C7">
        <w:rPr>
          <w:rFonts w:ascii="Abadi" w:hAnsi="Abadi"/>
          <w:b/>
          <w:bCs/>
          <w:spacing w:val="80"/>
          <w:sz w:val="21"/>
          <w:szCs w:val="21"/>
        </w:rPr>
        <w:t xml:space="preserve"> </w:t>
      </w:r>
      <w:r w:rsidRPr="00AD79C7">
        <w:rPr>
          <w:rFonts w:ascii="Abadi" w:hAnsi="Abadi"/>
          <w:b/>
          <w:bCs/>
          <w:sz w:val="21"/>
          <w:szCs w:val="21"/>
        </w:rPr>
        <w:t>del</w:t>
      </w:r>
      <w:r w:rsidRPr="00AD79C7">
        <w:rPr>
          <w:rFonts w:ascii="Abadi" w:hAnsi="Abadi"/>
          <w:b/>
          <w:bCs/>
          <w:spacing w:val="80"/>
          <w:sz w:val="21"/>
          <w:szCs w:val="21"/>
        </w:rPr>
        <w:t xml:space="preserve"> </w:t>
      </w:r>
      <w:r w:rsidRPr="00AD79C7">
        <w:rPr>
          <w:rFonts w:ascii="Abadi" w:hAnsi="Abadi"/>
          <w:b/>
          <w:bCs/>
          <w:sz w:val="21"/>
          <w:szCs w:val="21"/>
        </w:rPr>
        <w:t>dictamen</w:t>
      </w:r>
      <w:r w:rsidRPr="00AD79C7">
        <w:rPr>
          <w:rFonts w:ascii="Abadi" w:hAnsi="Abadi"/>
          <w:b/>
          <w:bCs/>
          <w:spacing w:val="80"/>
          <w:sz w:val="21"/>
          <w:szCs w:val="21"/>
        </w:rPr>
        <w:t xml:space="preserve"> </w:t>
      </w:r>
      <w:r w:rsidRPr="00AD79C7">
        <w:rPr>
          <w:rFonts w:ascii="Abadi" w:hAnsi="Abadi"/>
          <w:b/>
          <w:bCs/>
          <w:sz w:val="21"/>
          <w:szCs w:val="21"/>
        </w:rPr>
        <w:t>presentado</w:t>
      </w:r>
      <w:r w:rsidRPr="00AD79C7">
        <w:rPr>
          <w:rFonts w:ascii="Abadi" w:hAnsi="Abadi"/>
          <w:b/>
          <w:bCs/>
          <w:spacing w:val="80"/>
          <w:sz w:val="21"/>
          <w:szCs w:val="21"/>
        </w:rPr>
        <w:t xml:space="preserve"> </w:t>
      </w:r>
      <w:r w:rsidRPr="00AD79C7">
        <w:rPr>
          <w:rFonts w:ascii="Abadi" w:hAnsi="Abadi"/>
          <w:b/>
          <w:bCs/>
          <w:sz w:val="21"/>
          <w:szCs w:val="21"/>
        </w:rPr>
        <w:t>por</w:t>
      </w:r>
      <w:r w:rsidRPr="00AD79C7">
        <w:rPr>
          <w:rFonts w:ascii="Abadi" w:hAnsi="Abadi"/>
          <w:b/>
          <w:bCs/>
          <w:spacing w:val="80"/>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Comisión</w:t>
      </w:r>
      <w:r w:rsidRPr="00AD79C7">
        <w:rPr>
          <w:rFonts w:ascii="Abadi" w:hAnsi="Abadi"/>
          <w:b/>
          <w:bCs/>
          <w:spacing w:val="16"/>
          <w:sz w:val="21"/>
          <w:szCs w:val="21"/>
        </w:rPr>
        <w:t xml:space="preserve"> </w:t>
      </w:r>
      <w:r w:rsidRPr="00AD79C7">
        <w:rPr>
          <w:rFonts w:ascii="Abadi" w:hAnsi="Abadi"/>
          <w:b/>
          <w:bCs/>
          <w:sz w:val="21"/>
          <w:szCs w:val="21"/>
        </w:rPr>
        <w:t>de</w:t>
      </w:r>
      <w:r w:rsidRPr="00AD79C7">
        <w:rPr>
          <w:rFonts w:ascii="Abadi" w:hAnsi="Abadi"/>
          <w:b/>
          <w:bCs/>
          <w:spacing w:val="15"/>
          <w:sz w:val="21"/>
          <w:szCs w:val="21"/>
        </w:rPr>
        <w:t xml:space="preserve"> </w:t>
      </w:r>
      <w:r w:rsidRPr="00AD79C7">
        <w:rPr>
          <w:rFonts w:ascii="Abadi" w:hAnsi="Abadi"/>
          <w:b/>
          <w:bCs/>
          <w:sz w:val="21"/>
          <w:szCs w:val="21"/>
        </w:rPr>
        <w:t>Gobernación</w:t>
      </w:r>
      <w:r w:rsidRPr="00AD79C7">
        <w:rPr>
          <w:rFonts w:ascii="Abadi" w:hAnsi="Abadi"/>
          <w:b/>
          <w:bCs/>
          <w:spacing w:val="15"/>
          <w:sz w:val="21"/>
          <w:szCs w:val="21"/>
        </w:rPr>
        <w:t xml:space="preserve"> </w:t>
      </w:r>
      <w:r w:rsidRPr="00AD79C7">
        <w:rPr>
          <w:rFonts w:ascii="Abadi" w:hAnsi="Abadi"/>
          <w:b/>
          <w:bCs/>
          <w:sz w:val="21"/>
          <w:szCs w:val="21"/>
        </w:rPr>
        <w:t>y</w:t>
      </w:r>
      <w:r w:rsidRPr="00AD79C7">
        <w:rPr>
          <w:rFonts w:ascii="Abadi" w:hAnsi="Abadi"/>
          <w:b/>
          <w:bCs/>
          <w:spacing w:val="15"/>
          <w:sz w:val="21"/>
          <w:szCs w:val="21"/>
        </w:rPr>
        <w:t xml:space="preserve"> </w:t>
      </w:r>
      <w:r w:rsidRPr="00AD79C7">
        <w:rPr>
          <w:rFonts w:ascii="Abadi" w:hAnsi="Abadi"/>
          <w:b/>
          <w:bCs/>
          <w:sz w:val="21"/>
          <w:szCs w:val="21"/>
        </w:rPr>
        <w:t>Puntos</w:t>
      </w:r>
      <w:r w:rsidRPr="00AD79C7">
        <w:rPr>
          <w:rFonts w:ascii="Abadi" w:hAnsi="Abadi"/>
          <w:b/>
          <w:bCs/>
          <w:spacing w:val="15"/>
          <w:sz w:val="21"/>
          <w:szCs w:val="21"/>
        </w:rPr>
        <w:t xml:space="preserve"> </w:t>
      </w:r>
      <w:r w:rsidRPr="00AD79C7">
        <w:rPr>
          <w:rFonts w:ascii="Abadi" w:hAnsi="Abadi"/>
          <w:b/>
          <w:bCs/>
          <w:sz w:val="21"/>
          <w:szCs w:val="21"/>
        </w:rPr>
        <w:t>Constitucionales</w:t>
      </w:r>
      <w:r w:rsidRPr="00AD79C7">
        <w:rPr>
          <w:rFonts w:ascii="Abadi" w:hAnsi="Abadi"/>
          <w:b/>
          <w:bCs/>
          <w:spacing w:val="14"/>
          <w:sz w:val="21"/>
          <w:szCs w:val="21"/>
        </w:rPr>
        <w:t xml:space="preserve"> </w:t>
      </w:r>
      <w:r w:rsidRPr="00AD79C7">
        <w:rPr>
          <w:rFonts w:ascii="Abadi" w:hAnsi="Abadi"/>
          <w:b/>
          <w:bCs/>
          <w:sz w:val="21"/>
          <w:szCs w:val="21"/>
        </w:rPr>
        <w:t>relativo</w:t>
      </w:r>
      <w:r w:rsidRPr="00AD79C7">
        <w:rPr>
          <w:rFonts w:ascii="Abadi" w:hAnsi="Abadi"/>
          <w:b/>
          <w:bCs/>
          <w:spacing w:val="15"/>
          <w:sz w:val="21"/>
          <w:szCs w:val="21"/>
        </w:rPr>
        <w:t xml:space="preserve"> </w:t>
      </w:r>
      <w:r w:rsidRPr="00AD79C7">
        <w:rPr>
          <w:rFonts w:ascii="Abadi" w:hAnsi="Abadi"/>
          <w:b/>
          <w:bCs/>
          <w:sz w:val="21"/>
          <w:szCs w:val="21"/>
        </w:rPr>
        <w:t>a</w:t>
      </w:r>
      <w:r w:rsidRPr="00AD79C7">
        <w:rPr>
          <w:rFonts w:ascii="Abadi" w:hAnsi="Abadi"/>
          <w:b/>
          <w:bCs/>
          <w:spacing w:val="15"/>
          <w:sz w:val="21"/>
          <w:szCs w:val="21"/>
        </w:rPr>
        <w:t xml:space="preserve"> </w:t>
      </w:r>
      <w:r w:rsidRPr="00AD79C7">
        <w:rPr>
          <w:rFonts w:ascii="Abadi" w:hAnsi="Abadi"/>
          <w:b/>
          <w:bCs/>
          <w:sz w:val="21"/>
          <w:szCs w:val="21"/>
        </w:rPr>
        <w:t>la</w:t>
      </w:r>
      <w:r w:rsidRPr="00AD79C7">
        <w:rPr>
          <w:rFonts w:ascii="Abadi" w:hAnsi="Abadi"/>
          <w:b/>
          <w:bCs/>
          <w:spacing w:val="15"/>
          <w:sz w:val="21"/>
          <w:szCs w:val="21"/>
        </w:rPr>
        <w:t xml:space="preserve"> </w:t>
      </w:r>
      <w:r w:rsidRPr="00AD79C7">
        <w:rPr>
          <w:rFonts w:ascii="Abadi" w:hAnsi="Abadi"/>
          <w:b/>
          <w:bCs/>
          <w:sz w:val="21"/>
          <w:szCs w:val="21"/>
        </w:rPr>
        <w:t>iniciativa</w:t>
      </w:r>
      <w:r w:rsidRPr="00AD79C7">
        <w:rPr>
          <w:rFonts w:ascii="Abadi" w:hAnsi="Abadi"/>
          <w:b/>
          <w:bCs/>
          <w:spacing w:val="-1"/>
          <w:sz w:val="21"/>
          <w:szCs w:val="21"/>
        </w:rPr>
        <w:t xml:space="preserve"> </w:t>
      </w:r>
      <w:r w:rsidRPr="00AD79C7">
        <w:rPr>
          <w:rFonts w:ascii="Abadi" w:hAnsi="Abadi"/>
          <w:b/>
          <w:bCs/>
          <w:sz w:val="21"/>
          <w:szCs w:val="21"/>
        </w:rPr>
        <w:t>formulada</w:t>
      </w:r>
      <w:r w:rsidRPr="00AD79C7">
        <w:rPr>
          <w:rFonts w:ascii="Abadi" w:hAnsi="Abadi"/>
          <w:b/>
          <w:bCs/>
          <w:spacing w:val="40"/>
          <w:sz w:val="21"/>
          <w:szCs w:val="21"/>
        </w:rPr>
        <w:t xml:space="preserve"> </w:t>
      </w:r>
      <w:r w:rsidRPr="00AD79C7">
        <w:rPr>
          <w:rFonts w:ascii="Abadi" w:hAnsi="Abadi"/>
          <w:b/>
          <w:bCs/>
          <w:sz w:val="21"/>
          <w:szCs w:val="21"/>
        </w:rPr>
        <w:t>por</w:t>
      </w:r>
      <w:r w:rsidRPr="00AD79C7">
        <w:rPr>
          <w:rFonts w:ascii="Abadi" w:hAnsi="Abadi"/>
          <w:b/>
          <w:bCs/>
          <w:spacing w:val="40"/>
          <w:sz w:val="21"/>
          <w:szCs w:val="21"/>
        </w:rPr>
        <w:t xml:space="preserve"> </w:t>
      </w:r>
      <w:r w:rsidRPr="00AD79C7">
        <w:rPr>
          <w:rFonts w:ascii="Abadi" w:hAnsi="Abadi"/>
          <w:b/>
          <w:bCs/>
          <w:sz w:val="21"/>
          <w:szCs w:val="21"/>
        </w:rPr>
        <w:t>la</w:t>
      </w:r>
      <w:r w:rsidRPr="00AD79C7">
        <w:rPr>
          <w:rFonts w:ascii="Abadi" w:hAnsi="Abadi"/>
          <w:b/>
          <w:bCs/>
          <w:spacing w:val="40"/>
          <w:sz w:val="21"/>
          <w:szCs w:val="21"/>
        </w:rPr>
        <w:t xml:space="preserve"> </w:t>
      </w:r>
      <w:r w:rsidRPr="00AD79C7">
        <w:rPr>
          <w:rFonts w:ascii="Abadi" w:hAnsi="Abadi"/>
          <w:b/>
          <w:bCs/>
          <w:sz w:val="21"/>
          <w:szCs w:val="21"/>
        </w:rPr>
        <w:t>diputada</w:t>
      </w:r>
      <w:r w:rsidRPr="00AD79C7">
        <w:rPr>
          <w:rFonts w:ascii="Abadi" w:hAnsi="Abadi"/>
          <w:b/>
          <w:bCs/>
          <w:spacing w:val="40"/>
          <w:sz w:val="21"/>
          <w:szCs w:val="21"/>
        </w:rPr>
        <w:t xml:space="preserve"> </w:t>
      </w:r>
      <w:r w:rsidRPr="00AD79C7">
        <w:rPr>
          <w:rFonts w:ascii="Abadi" w:hAnsi="Abadi"/>
          <w:b/>
          <w:bCs/>
          <w:sz w:val="21"/>
          <w:szCs w:val="21"/>
        </w:rPr>
        <w:t>Hades</w:t>
      </w:r>
      <w:r w:rsidRPr="00AD79C7">
        <w:rPr>
          <w:rFonts w:ascii="Abadi" w:hAnsi="Abadi"/>
          <w:b/>
          <w:bCs/>
          <w:spacing w:val="40"/>
          <w:sz w:val="21"/>
          <w:szCs w:val="21"/>
        </w:rPr>
        <w:t xml:space="preserve"> </w:t>
      </w:r>
      <w:r w:rsidRPr="00AD79C7">
        <w:rPr>
          <w:rFonts w:ascii="Abadi" w:hAnsi="Abadi"/>
          <w:b/>
          <w:bCs/>
          <w:sz w:val="21"/>
          <w:szCs w:val="21"/>
        </w:rPr>
        <w:t>Berenice</w:t>
      </w:r>
      <w:r w:rsidRPr="00AD79C7">
        <w:rPr>
          <w:rFonts w:ascii="Abadi" w:hAnsi="Abadi"/>
          <w:b/>
          <w:bCs/>
          <w:spacing w:val="40"/>
          <w:sz w:val="21"/>
          <w:szCs w:val="21"/>
        </w:rPr>
        <w:t xml:space="preserve"> </w:t>
      </w:r>
      <w:r w:rsidRPr="00AD79C7">
        <w:rPr>
          <w:rFonts w:ascii="Abadi" w:hAnsi="Abadi"/>
          <w:b/>
          <w:bCs/>
          <w:sz w:val="21"/>
          <w:szCs w:val="21"/>
        </w:rPr>
        <w:t>Aguilar</w:t>
      </w:r>
      <w:r w:rsidRPr="00AD79C7">
        <w:rPr>
          <w:rFonts w:ascii="Abadi" w:hAnsi="Abadi"/>
          <w:b/>
          <w:bCs/>
          <w:spacing w:val="40"/>
          <w:sz w:val="21"/>
          <w:szCs w:val="21"/>
        </w:rPr>
        <w:t xml:space="preserve"> </w:t>
      </w:r>
      <w:r w:rsidRPr="00AD79C7">
        <w:rPr>
          <w:rFonts w:ascii="Abadi" w:hAnsi="Abadi"/>
          <w:b/>
          <w:bCs/>
          <w:sz w:val="21"/>
          <w:szCs w:val="21"/>
        </w:rPr>
        <w:t>Castillo</w:t>
      </w:r>
      <w:r w:rsidRPr="00AD79C7">
        <w:rPr>
          <w:rFonts w:ascii="Abadi" w:hAnsi="Abadi"/>
          <w:b/>
          <w:bCs/>
          <w:spacing w:val="40"/>
          <w:sz w:val="21"/>
          <w:szCs w:val="21"/>
        </w:rPr>
        <w:t xml:space="preserve"> </w:t>
      </w:r>
      <w:r w:rsidRPr="00AD79C7">
        <w:rPr>
          <w:rFonts w:ascii="Abadi" w:hAnsi="Abadi"/>
          <w:b/>
          <w:bCs/>
          <w:sz w:val="21"/>
          <w:szCs w:val="21"/>
        </w:rPr>
        <w:t>integrante</w:t>
      </w:r>
      <w:r w:rsidRPr="00AD79C7">
        <w:rPr>
          <w:rFonts w:ascii="Abadi" w:hAnsi="Abadi"/>
          <w:b/>
          <w:bCs/>
          <w:spacing w:val="40"/>
          <w:sz w:val="21"/>
          <w:szCs w:val="21"/>
        </w:rPr>
        <w:t xml:space="preserve"> </w:t>
      </w:r>
      <w:r w:rsidRPr="00AD79C7">
        <w:rPr>
          <w:rFonts w:ascii="Abadi" w:hAnsi="Abadi"/>
          <w:b/>
          <w:bCs/>
          <w:sz w:val="21"/>
          <w:szCs w:val="21"/>
        </w:rPr>
        <w:t>del</w:t>
      </w:r>
      <w:r w:rsidRPr="00AD79C7">
        <w:rPr>
          <w:rFonts w:ascii="Abadi" w:hAnsi="Abadi"/>
          <w:b/>
          <w:bCs/>
          <w:spacing w:val="-1"/>
          <w:sz w:val="21"/>
          <w:szCs w:val="21"/>
        </w:rPr>
        <w:t xml:space="preserve"> </w:t>
      </w:r>
      <w:r w:rsidRPr="00AD79C7">
        <w:rPr>
          <w:rFonts w:ascii="Abadi" w:hAnsi="Abadi"/>
          <w:b/>
          <w:bCs/>
          <w:sz w:val="21"/>
          <w:szCs w:val="21"/>
        </w:rPr>
        <w:t>Grupo</w:t>
      </w:r>
      <w:r w:rsidRPr="00AD79C7">
        <w:rPr>
          <w:rFonts w:ascii="Abadi" w:hAnsi="Abadi"/>
          <w:b/>
          <w:bCs/>
          <w:spacing w:val="-1"/>
          <w:sz w:val="21"/>
          <w:szCs w:val="21"/>
        </w:rPr>
        <w:t xml:space="preserve"> </w:t>
      </w:r>
      <w:r w:rsidRPr="00AD79C7">
        <w:rPr>
          <w:rFonts w:ascii="Abadi" w:hAnsi="Abadi"/>
          <w:b/>
          <w:bCs/>
          <w:sz w:val="21"/>
          <w:szCs w:val="21"/>
        </w:rPr>
        <w:t>Parlamentario del</w:t>
      </w:r>
      <w:r w:rsidRPr="00AD79C7">
        <w:rPr>
          <w:rFonts w:ascii="Abadi" w:hAnsi="Abadi"/>
          <w:b/>
          <w:bCs/>
          <w:spacing w:val="-1"/>
          <w:sz w:val="21"/>
          <w:szCs w:val="21"/>
        </w:rPr>
        <w:t xml:space="preserve"> </w:t>
      </w:r>
      <w:r w:rsidRPr="00AD79C7">
        <w:rPr>
          <w:rFonts w:ascii="Abadi" w:hAnsi="Abadi"/>
          <w:b/>
          <w:bCs/>
          <w:sz w:val="21"/>
          <w:szCs w:val="21"/>
        </w:rPr>
        <w:t>Partido</w:t>
      </w:r>
      <w:r w:rsidRPr="00AD79C7">
        <w:rPr>
          <w:rFonts w:ascii="Abadi" w:hAnsi="Abadi"/>
          <w:b/>
          <w:bCs/>
          <w:spacing w:val="-1"/>
          <w:sz w:val="21"/>
          <w:szCs w:val="21"/>
        </w:rPr>
        <w:t xml:space="preserve"> </w:t>
      </w:r>
      <w:r w:rsidRPr="00AD79C7">
        <w:rPr>
          <w:rFonts w:ascii="Abadi" w:hAnsi="Abadi"/>
          <w:b/>
          <w:bCs/>
          <w:sz w:val="21"/>
          <w:szCs w:val="21"/>
        </w:rPr>
        <w:t>MORENA,</w:t>
      </w:r>
      <w:r w:rsidRPr="00AD79C7">
        <w:rPr>
          <w:rFonts w:ascii="Abadi" w:hAnsi="Abadi"/>
          <w:b/>
          <w:bCs/>
          <w:spacing w:val="-1"/>
          <w:sz w:val="21"/>
          <w:szCs w:val="21"/>
        </w:rPr>
        <w:t xml:space="preserve"> </w:t>
      </w:r>
      <w:r w:rsidRPr="00AD79C7">
        <w:rPr>
          <w:rFonts w:ascii="Abadi" w:hAnsi="Abadi"/>
          <w:b/>
          <w:bCs/>
          <w:sz w:val="21"/>
          <w:szCs w:val="21"/>
        </w:rPr>
        <w:t>a</w:t>
      </w:r>
      <w:r w:rsidRPr="00AD79C7">
        <w:rPr>
          <w:rFonts w:ascii="Abadi" w:hAnsi="Abadi"/>
          <w:b/>
          <w:bCs/>
          <w:spacing w:val="-1"/>
          <w:sz w:val="21"/>
          <w:szCs w:val="21"/>
        </w:rPr>
        <w:t xml:space="preserve"> </w:t>
      </w:r>
      <w:r w:rsidRPr="00AD79C7">
        <w:rPr>
          <w:rFonts w:ascii="Abadi" w:hAnsi="Abadi"/>
          <w:b/>
          <w:bCs/>
          <w:sz w:val="21"/>
          <w:szCs w:val="21"/>
        </w:rPr>
        <w:t>efecto de</w:t>
      </w:r>
      <w:r w:rsidRPr="00AD79C7">
        <w:rPr>
          <w:rFonts w:ascii="Abadi" w:hAnsi="Abadi"/>
          <w:b/>
          <w:bCs/>
          <w:spacing w:val="-1"/>
          <w:sz w:val="21"/>
          <w:szCs w:val="21"/>
        </w:rPr>
        <w:t xml:space="preserve"> </w:t>
      </w:r>
      <w:r w:rsidRPr="00AD79C7">
        <w:rPr>
          <w:rFonts w:ascii="Abadi" w:hAnsi="Abadi"/>
          <w:b/>
          <w:bCs/>
          <w:sz w:val="21"/>
          <w:szCs w:val="21"/>
        </w:rPr>
        <w:t>reformar</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fracción</w:t>
      </w:r>
      <w:r w:rsidRPr="00AD79C7">
        <w:rPr>
          <w:rFonts w:ascii="Abadi" w:hAnsi="Abadi"/>
          <w:b/>
          <w:bCs/>
          <w:spacing w:val="-1"/>
          <w:sz w:val="21"/>
          <w:szCs w:val="21"/>
        </w:rPr>
        <w:t xml:space="preserve"> </w:t>
      </w:r>
      <w:r w:rsidRPr="00AD79C7">
        <w:rPr>
          <w:rFonts w:ascii="Abadi" w:hAnsi="Abadi"/>
          <w:b/>
          <w:bCs/>
          <w:sz w:val="21"/>
          <w:szCs w:val="21"/>
        </w:rPr>
        <w:t>IV del artículo 95 de la Constitución Política</w:t>
      </w:r>
      <w:r w:rsidRPr="00AD79C7">
        <w:rPr>
          <w:rFonts w:ascii="Abadi" w:hAnsi="Abadi"/>
          <w:b/>
          <w:bCs/>
          <w:spacing w:val="-1"/>
          <w:sz w:val="21"/>
          <w:szCs w:val="21"/>
        </w:rPr>
        <w:t xml:space="preserve"> </w:t>
      </w:r>
      <w:r w:rsidRPr="00AD79C7">
        <w:rPr>
          <w:rFonts w:ascii="Abadi" w:hAnsi="Abadi"/>
          <w:b/>
          <w:bCs/>
          <w:sz w:val="21"/>
          <w:szCs w:val="21"/>
        </w:rPr>
        <w:t>para el Estado de Guanajuato.</w:t>
      </w:r>
    </w:p>
    <w:p w14:paraId="299471A5" w14:textId="77777777" w:rsidR="00D624EF" w:rsidRPr="00D624EF" w:rsidRDefault="00D624EF" w:rsidP="006B00FD">
      <w:pPr>
        <w:tabs>
          <w:tab w:val="left" w:pos="856"/>
        </w:tabs>
        <w:kinsoku w:val="0"/>
        <w:overflowPunct w:val="0"/>
        <w:autoSpaceDE w:val="0"/>
        <w:autoSpaceDN w:val="0"/>
        <w:adjustRightInd w:val="0"/>
        <w:ind w:right="566"/>
        <w:jc w:val="both"/>
        <w:rPr>
          <w:rFonts w:ascii="Abadi" w:hAnsi="Abadi"/>
          <w:b/>
          <w:bCs/>
          <w:sz w:val="21"/>
          <w:szCs w:val="21"/>
        </w:rPr>
      </w:pPr>
    </w:p>
    <w:p w14:paraId="6DAD48E9" w14:textId="6A266E1F" w:rsidR="00A35274" w:rsidRDefault="00A35274" w:rsidP="005433FA">
      <w:pPr>
        <w:pStyle w:val="Prrafodelista"/>
        <w:numPr>
          <w:ilvl w:val="0"/>
          <w:numId w:val="8"/>
        </w:numPr>
        <w:tabs>
          <w:tab w:val="left" w:pos="856"/>
        </w:tabs>
        <w:kinsoku w:val="0"/>
        <w:overflowPunct w:val="0"/>
        <w:autoSpaceDE w:val="0"/>
        <w:autoSpaceDN w:val="0"/>
        <w:adjustRightInd w:val="0"/>
        <w:spacing w:before="220"/>
        <w:ind w:right="566"/>
        <w:jc w:val="both"/>
        <w:rPr>
          <w:rFonts w:ascii="Abadi" w:hAnsi="Abadi"/>
          <w:b/>
          <w:bCs/>
          <w:i/>
          <w:iCs/>
          <w:sz w:val="21"/>
          <w:szCs w:val="21"/>
        </w:rPr>
      </w:pPr>
      <w:r w:rsidRPr="00AD79C7">
        <w:rPr>
          <w:rFonts w:ascii="Abadi" w:hAnsi="Abadi"/>
          <w:b/>
          <w:bCs/>
          <w:sz w:val="21"/>
          <w:szCs w:val="21"/>
        </w:rPr>
        <w:t>Discusión</w:t>
      </w:r>
      <w:r w:rsidRPr="00AD79C7">
        <w:rPr>
          <w:rFonts w:ascii="Abadi" w:hAnsi="Abadi"/>
          <w:b/>
          <w:bCs/>
          <w:spacing w:val="80"/>
          <w:sz w:val="21"/>
          <w:szCs w:val="21"/>
        </w:rPr>
        <w:t xml:space="preserve"> </w:t>
      </w:r>
      <w:r w:rsidRPr="00AD79C7">
        <w:rPr>
          <w:rFonts w:ascii="Abadi" w:hAnsi="Abadi"/>
          <w:b/>
          <w:bCs/>
          <w:sz w:val="21"/>
          <w:szCs w:val="21"/>
        </w:rPr>
        <w:t>y,</w:t>
      </w:r>
      <w:r w:rsidRPr="00AD79C7">
        <w:rPr>
          <w:rFonts w:ascii="Abadi" w:hAnsi="Abadi"/>
          <w:b/>
          <w:bCs/>
          <w:spacing w:val="80"/>
          <w:sz w:val="21"/>
          <w:szCs w:val="21"/>
        </w:rPr>
        <w:t xml:space="preserve"> </w:t>
      </w:r>
      <w:r w:rsidRPr="00AD79C7">
        <w:rPr>
          <w:rFonts w:ascii="Abadi" w:hAnsi="Abadi"/>
          <w:b/>
          <w:bCs/>
          <w:sz w:val="21"/>
          <w:szCs w:val="21"/>
        </w:rPr>
        <w:t>en</w:t>
      </w:r>
      <w:r w:rsidRPr="00AD79C7">
        <w:rPr>
          <w:rFonts w:ascii="Abadi" w:hAnsi="Abadi"/>
          <w:b/>
          <w:bCs/>
          <w:spacing w:val="80"/>
          <w:sz w:val="21"/>
          <w:szCs w:val="21"/>
        </w:rPr>
        <w:t xml:space="preserve"> </w:t>
      </w:r>
      <w:r w:rsidRPr="00AD79C7">
        <w:rPr>
          <w:rFonts w:ascii="Abadi" w:hAnsi="Abadi"/>
          <w:b/>
          <w:bCs/>
          <w:sz w:val="21"/>
          <w:szCs w:val="21"/>
        </w:rPr>
        <w:t>su</w:t>
      </w:r>
      <w:r w:rsidRPr="00AD79C7">
        <w:rPr>
          <w:rFonts w:ascii="Abadi" w:hAnsi="Abadi"/>
          <w:b/>
          <w:bCs/>
          <w:spacing w:val="80"/>
          <w:sz w:val="21"/>
          <w:szCs w:val="21"/>
        </w:rPr>
        <w:t xml:space="preserve"> </w:t>
      </w:r>
      <w:r w:rsidRPr="00AD79C7">
        <w:rPr>
          <w:rFonts w:ascii="Abadi" w:hAnsi="Abadi"/>
          <w:b/>
          <w:bCs/>
          <w:sz w:val="21"/>
          <w:szCs w:val="21"/>
        </w:rPr>
        <w:t>caso,</w:t>
      </w:r>
      <w:r w:rsidRPr="00AD79C7">
        <w:rPr>
          <w:rFonts w:ascii="Abadi" w:hAnsi="Abadi"/>
          <w:b/>
          <w:bCs/>
          <w:spacing w:val="80"/>
          <w:sz w:val="21"/>
          <w:szCs w:val="21"/>
        </w:rPr>
        <w:t xml:space="preserve"> </w:t>
      </w:r>
      <w:r w:rsidRPr="00AD79C7">
        <w:rPr>
          <w:rFonts w:ascii="Abadi" w:hAnsi="Abadi"/>
          <w:b/>
          <w:bCs/>
          <w:sz w:val="21"/>
          <w:szCs w:val="21"/>
        </w:rPr>
        <w:t>aprobación</w:t>
      </w:r>
      <w:r w:rsidRPr="00AD79C7">
        <w:rPr>
          <w:rFonts w:ascii="Abadi" w:hAnsi="Abadi"/>
          <w:b/>
          <w:bCs/>
          <w:spacing w:val="80"/>
          <w:sz w:val="21"/>
          <w:szCs w:val="21"/>
        </w:rPr>
        <w:t xml:space="preserve"> </w:t>
      </w:r>
      <w:r w:rsidRPr="00AD79C7">
        <w:rPr>
          <w:rFonts w:ascii="Abadi" w:hAnsi="Abadi"/>
          <w:b/>
          <w:bCs/>
          <w:sz w:val="21"/>
          <w:szCs w:val="21"/>
        </w:rPr>
        <w:t>del</w:t>
      </w:r>
      <w:r w:rsidRPr="00AD79C7">
        <w:rPr>
          <w:rFonts w:ascii="Abadi" w:hAnsi="Abadi"/>
          <w:b/>
          <w:bCs/>
          <w:spacing w:val="80"/>
          <w:sz w:val="21"/>
          <w:szCs w:val="21"/>
        </w:rPr>
        <w:t xml:space="preserve"> </w:t>
      </w:r>
      <w:r w:rsidRPr="00AD79C7">
        <w:rPr>
          <w:rFonts w:ascii="Abadi" w:hAnsi="Abadi"/>
          <w:b/>
          <w:bCs/>
          <w:sz w:val="21"/>
          <w:szCs w:val="21"/>
        </w:rPr>
        <w:t>dictamen</w:t>
      </w:r>
      <w:r w:rsidRPr="00AD79C7">
        <w:rPr>
          <w:rFonts w:ascii="Abadi" w:hAnsi="Abadi"/>
          <w:b/>
          <w:bCs/>
          <w:spacing w:val="80"/>
          <w:sz w:val="21"/>
          <w:szCs w:val="21"/>
        </w:rPr>
        <w:t xml:space="preserve"> </w:t>
      </w:r>
      <w:r w:rsidRPr="00AD79C7">
        <w:rPr>
          <w:rFonts w:ascii="Abadi" w:hAnsi="Abadi"/>
          <w:b/>
          <w:bCs/>
          <w:sz w:val="21"/>
          <w:szCs w:val="21"/>
        </w:rPr>
        <w:t>presentado</w:t>
      </w:r>
      <w:r w:rsidRPr="00AD79C7">
        <w:rPr>
          <w:rFonts w:ascii="Abadi" w:hAnsi="Abadi"/>
          <w:b/>
          <w:bCs/>
          <w:spacing w:val="80"/>
          <w:sz w:val="21"/>
          <w:szCs w:val="21"/>
        </w:rPr>
        <w:t xml:space="preserve"> </w:t>
      </w:r>
      <w:r w:rsidRPr="00AD79C7">
        <w:rPr>
          <w:rFonts w:ascii="Abadi" w:hAnsi="Abadi"/>
          <w:b/>
          <w:bCs/>
          <w:sz w:val="21"/>
          <w:szCs w:val="21"/>
        </w:rPr>
        <w:t>por</w:t>
      </w:r>
      <w:r w:rsidRPr="00AD79C7">
        <w:rPr>
          <w:rFonts w:ascii="Abadi" w:hAnsi="Abadi"/>
          <w:b/>
          <w:bCs/>
          <w:spacing w:val="80"/>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Comisión</w:t>
      </w:r>
      <w:r w:rsidRPr="00AD79C7">
        <w:rPr>
          <w:rFonts w:ascii="Abadi" w:hAnsi="Abadi"/>
          <w:b/>
          <w:bCs/>
          <w:spacing w:val="15"/>
          <w:sz w:val="21"/>
          <w:szCs w:val="21"/>
        </w:rPr>
        <w:t xml:space="preserve"> </w:t>
      </w:r>
      <w:r w:rsidRPr="00AD79C7">
        <w:rPr>
          <w:rFonts w:ascii="Abadi" w:hAnsi="Abadi"/>
          <w:b/>
          <w:bCs/>
          <w:sz w:val="21"/>
          <w:szCs w:val="21"/>
        </w:rPr>
        <w:t>de</w:t>
      </w:r>
      <w:r w:rsidRPr="00AD79C7">
        <w:rPr>
          <w:rFonts w:ascii="Abadi" w:hAnsi="Abadi"/>
          <w:b/>
          <w:bCs/>
          <w:spacing w:val="14"/>
          <w:sz w:val="21"/>
          <w:szCs w:val="21"/>
        </w:rPr>
        <w:t xml:space="preserve"> </w:t>
      </w:r>
      <w:r w:rsidRPr="00AD79C7">
        <w:rPr>
          <w:rFonts w:ascii="Abadi" w:hAnsi="Abadi"/>
          <w:b/>
          <w:bCs/>
          <w:sz w:val="21"/>
          <w:szCs w:val="21"/>
        </w:rPr>
        <w:t>Gobernación</w:t>
      </w:r>
      <w:r w:rsidRPr="00AD79C7">
        <w:rPr>
          <w:rFonts w:ascii="Abadi" w:hAnsi="Abadi"/>
          <w:b/>
          <w:bCs/>
          <w:spacing w:val="14"/>
          <w:sz w:val="21"/>
          <w:szCs w:val="21"/>
        </w:rPr>
        <w:t xml:space="preserve"> </w:t>
      </w:r>
      <w:r w:rsidRPr="00AD79C7">
        <w:rPr>
          <w:rFonts w:ascii="Abadi" w:hAnsi="Abadi"/>
          <w:b/>
          <w:bCs/>
          <w:sz w:val="21"/>
          <w:szCs w:val="21"/>
        </w:rPr>
        <w:t>y</w:t>
      </w:r>
      <w:r w:rsidRPr="00AD79C7">
        <w:rPr>
          <w:rFonts w:ascii="Abadi" w:hAnsi="Abadi"/>
          <w:b/>
          <w:bCs/>
          <w:spacing w:val="14"/>
          <w:sz w:val="21"/>
          <w:szCs w:val="21"/>
        </w:rPr>
        <w:t xml:space="preserve"> </w:t>
      </w:r>
      <w:r w:rsidRPr="00AD79C7">
        <w:rPr>
          <w:rFonts w:ascii="Abadi" w:hAnsi="Abadi"/>
          <w:b/>
          <w:bCs/>
          <w:sz w:val="21"/>
          <w:szCs w:val="21"/>
        </w:rPr>
        <w:t>Puntos</w:t>
      </w:r>
      <w:r w:rsidRPr="00AD79C7">
        <w:rPr>
          <w:rFonts w:ascii="Abadi" w:hAnsi="Abadi"/>
          <w:b/>
          <w:bCs/>
          <w:spacing w:val="14"/>
          <w:sz w:val="21"/>
          <w:szCs w:val="21"/>
        </w:rPr>
        <w:t xml:space="preserve"> </w:t>
      </w:r>
      <w:r w:rsidRPr="00AD79C7">
        <w:rPr>
          <w:rFonts w:ascii="Abadi" w:hAnsi="Abadi"/>
          <w:b/>
          <w:bCs/>
          <w:sz w:val="21"/>
          <w:szCs w:val="21"/>
        </w:rPr>
        <w:t>Constitucionales</w:t>
      </w:r>
      <w:r w:rsidRPr="00AD79C7">
        <w:rPr>
          <w:rFonts w:ascii="Abadi" w:hAnsi="Abadi"/>
          <w:b/>
          <w:bCs/>
          <w:spacing w:val="13"/>
          <w:sz w:val="21"/>
          <w:szCs w:val="21"/>
        </w:rPr>
        <w:t xml:space="preserve"> </w:t>
      </w:r>
      <w:r w:rsidRPr="00AD79C7">
        <w:rPr>
          <w:rFonts w:ascii="Abadi" w:hAnsi="Abadi"/>
          <w:b/>
          <w:bCs/>
          <w:sz w:val="21"/>
          <w:szCs w:val="21"/>
        </w:rPr>
        <w:t>relativo</w:t>
      </w:r>
      <w:r w:rsidRPr="00AD79C7">
        <w:rPr>
          <w:rFonts w:ascii="Abadi" w:hAnsi="Abadi"/>
          <w:b/>
          <w:bCs/>
          <w:spacing w:val="14"/>
          <w:sz w:val="21"/>
          <w:szCs w:val="21"/>
        </w:rPr>
        <w:t xml:space="preserve"> </w:t>
      </w:r>
      <w:r w:rsidRPr="00AD79C7">
        <w:rPr>
          <w:rFonts w:ascii="Abadi" w:hAnsi="Abadi"/>
          <w:b/>
          <w:bCs/>
          <w:sz w:val="21"/>
          <w:szCs w:val="21"/>
        </w:rPr>
        <w:t>a</w:t>
      </w:r>
      <w:r w:rsidRPr="00AD79C7">
        <w:rPr>
          <w:rFonts w:ascii="Abadi" w:hAnsi="Abadi"/>
          <w:b/>
          <w:bCs/>
          <w:spacing w:val="14"/>
          <w:sz w:val="21"/>
          <w:szCs w:val="21"/>
        </w:rPr>
        <w:t xml:space="preserve"> </w:t>
      </w:r>
      <w:r w:rsidRPr="00AD79C7">
        <w:rPr>
          <w:rFonts w:ascii="Abadi" w:hAnsi="Abadi"/>
          <w:b/>
          <w:bCs/>
          <w:sz w:val="21"/>
          <w:szCs w:val="21"/>
        </w:rPr>
        <w:t>la</w:t>
      </w:r>
      <w:r w:rsidRPr="00AD79C7">
        <w:rPr>
          <w:rFonts w:ascii="Abadi" w:hAnsi="Abadi"/>
          <w:b/>
          <w:bCs/>
          <w:spacing w:val="14"/>
          <w:sz w:val="21"/>
          <w:szCs w:val="21"/>
        </w:rPr>
        <w:t xml:space="preserve"> </w:t>
      </w:r>
      <w:r w:rsidRPr="00AD79C7">
        <w:rPr>
          <w:rFonts w:ascii="Abadi" w:hAnsi="Abadi"/>
          <w:b/>
          <w:bCs/>
          <w:sz w:val="21"/>
          <w:szCs w:val="21"/>
        </w:rPr>
        <w:t>iniciativa</w:t>
      </w:r>
      <w:r w:rsidRPr="00AD79C7">
        <w:rPr>
          <w:rFonts w:ascii="Abadi" w:hAnsi="Abadi"/>
          <w:b/>
          <w:bCs/>
          <w:spacing w:val="-1"/>
          <w:sz w:val="21"/>
          <w:szCs w:val="21"/>
        </w:rPr>
        <w:t xml:space="preserve"> </w:t>
      </w:r>
      <w:r w:rsidRPr="00AD79C7">
        <w:rPr>
          <w:rFonts w:ascii="Abadi" w:hAnsi="Abadi"/>
          <w:b/>
          <w:bCs/>
          <w:sz w:val="21"/>
          <w:szCs w:val="21"/>
        </w:rPr>
        <w:t>suscrita</w:t>
      </w:r>
      <w:r w:rsidRPr="00AD79C7">
        <w:rPr>
          <w:rFonts w:ascii="Abadi" w:hAnsi="Abadi"/>
          <w:b/>
          <w:bCs/>
          <w:spacing w:val="22"/>
          <w:sz w:val="21"/>
          <w:szCs w:val="21"/>
        </w:rPr>
        <w:t xml:space="preserve"> </w:t>
      </w:r>
      <w:r w:rsidRPr="00AD79C7">
        <w:rPr>
          <w:rFonts w:ascii="Abadi" w:hAnsi="Abadi"/>
          <w:b/>
          <w:bCs/>
          <w:sz w:val="21"/>
          <w:szCs w:val="21"/>
        </w:rPr>
        <w:t>por</w:t>
      </w:r>
      <w:r w:rsidRPr="00AD79C7">
        <w:rPr>
          <w:rFonts w:ascii="Abadi" w:hAnsi="Abadi"/>
          <w:b/>
          <w:bCs/>
          <w:spacing w:val="22"/>
          <w:sz w:val="21"/>
          <w:szCs w:val="21"/>
        </w:rPr>
        <w:t xml:space="preserve"> </w:t>
      </w:r>
      <w:r w:rsidRPr="00AD79C7">
        <w:rPr>
          <w:rFonts w:ascii="Abadi" w:hAnsi="Abadi"/>
          <w:b/>
          <w:bCs/>
          <w:sz w:val="21"/>
          <w:szCs w:val="21"/>
        </w:rPr>
        <w:t>la</w:t>
      </w:r>
      <w:r w:rsidRPr="00AD79C7">
        <w:rPr>
          <w:rFonts w:ascii="Abadi" w:hAnsi="Abadi"/>
          <w:b/>
          <w:bCs/>
          <w:spacing w:val="22"/>
          <w:sz w:val="21"/>
          <w:szCs w:val="21"/>
        </w:rPr>
        <w:t xml:space="preserve"> </w:t>
      </w:r>
      <w:r w:rsidRPr="00AD79C7">
        <w:rPr>
          <w:rFonts w:ascii="Abadi" w:hAnsi="Abadi"/>
          <w:b/>
          <w:bCs/>
          <w:sz w:val="21"/>
          <w:szCs w:val="21"/>
        </w:rPr>
        <w:t>diputada</w:t>
      </w:r>
      <w:r w:rsidRPr="00AD79C7">
        <w:rPr>
          <w:rFonts w:ascii="Abadi" w:hAnsi="Abadi"/>
          <w:b/>
          <w:bCs/>
          <w:spacing w:val="22"/>
          <w:sz w:val="21"/>
          <w:szCs w:val="21"/>
        </w:rPr>
        <w:t xml:space="preserve"> </w:t>
      </w:r>
      <w:r w:rsidRPr="00AD79C7">
        <w:rPr>
          <w:rFonts w:ascii="Abadi" w:hAnsi="Abadi"/>
          <w:b/>
          <w:bCs/>
          <w:sz w:val="21"/>
          <w:szCs w:val="21"/>
        </w:rPr>
        <w:t>Alma</w:t>
      </w:r>
      <w:r w:rsidRPr="00AD79C7">
        <w:rPr>
          <w:rFonts w:ascii="Abadi" w:hAnsi="Abadi"/>
          <w:b/>
          <w:bCs/>
          <w:spacing w:val="22"/>
          <w:sz w:val="21"/>
          <w:szCs w:val="21"/>
        </w:rPr>
        <w:t xml:space="preserve"> </w:t>
      </w:r>
      <w:r w:rsidRPr="00AD79C7">
        <w:rPr>
          <w:rFonts w:ascii="Abadi" w:hAnsi="Abadi"/>
          <w:b/>
          <w:bCs/>
          <w:sz w:val="21"/>
          <w:szCs w:val="21"/>
        </w:rPr>
        <w:t>Edwviges</w:t>
      </w:r>
      <w:r w:rsidRPr="00AD79C7">
        <w:rPr>
          <w:rFonts w:ascii="Abadi" w:hAnsi="Abadi"/>
          <w:b/>
          <w:bCs/>
          <w:spacing w:val="22"/>
          <w:sz w:val="21"/>
          <w:szCs w:val="21"/>
        </w:rPr>
        <w:t xml:space="preserve"> </w:t>
      </w:r>
      <w:r w:rsidRPr="00AD79C7">
        <w:rPr>
          <w:rFonts w:ascii="Abadi" w:hAnsi="Abadi"/>
          <w:b/>
          <w:bCs/>
          <w:sz w:val="21"/>
          <w:szCs w:val="21"/>
        </w:rPr>
        <w:t>Alcaraz</w:t>
      </w:r>
      <w:r w:rsidRPr="00AD79C7">
        <w:rPr>
          <w:rFonts w:ascii="Abadi" w:hAnsi="Abadi"/>
          <w:b/>
          <w:bCs/>
          <w:spacing w:val="22"/>
          <w:sz w:val="21"/>
          <w:szCs w:val="21"/>
        </w:rPr>
        <w:t xml:space="preserve"> </w:t>
      </w:r>
      <w:r w:rsidRPr="00AD79C7">
        <w:rPr>
          <w:rFonts w:ascii="Abadi" w:hAnsi="Abadi"/>
          <w:b/>
          <w:bCs/>
          <w:sz w:val="21"/>
          <w:szCs w:val="21"/>
        </w:rPr>
        <w:t>Hernández</w:t>
      </w:r>
      <w:r w:rsidRPr="00AD79C7">
        <w:rPr>
          <w:rFonts w:ascii="Abadi" w:hAnsi="Abadi"/>
          <w:b/>
          <w:bCs/>
          <w:spacing w:val="22"/>
          <w:sz w:val="21"/>
          <w:szCs w:val="21"/>
        </w:rPr>
        <w:t xml:space="preserve"> </w:t>
      </w:r>
      <w:r w:rsidRPr="00AD79C7">
        <w:rPr>
          <w:rFonts w:ascii="Abadi" w:hAnsi="Abadi"/>
          <w:b/>
          <w:bCs/>
          <w:sz w:val="21"/>
          <w:szCs w:val="21"/>
        </w:rPr>
        <w:t>integrante</w:t>
      </w:r>
      <w:r w:rsidRPr="00AD79C7">
        <w:rPr>
          <w:rFonts w:ascii="Abadi" w:hAnsi="Abadi"/>
          <w:b/>
          <w:bCs/>
          <w:spacing w:val="22"/>
          <w:sz w:val="21"/>
          <w:szCs w:val="21"/>
        </w:rPr>
        <w:t xml:space="preserve"> </w:t>
      </w:r>
      <w:r w:rsidRPr="00AD79C7">
        <w:rPr>
          <w:rFonts w:ascii="Abadi" w:hAnsi="Abadi"/>
          <w:b/>
          <w:bCs/>
          <w:sz w:val="21"/>
          <w:szCs w:val="21"/>
        </w:rPr>
        <w:t>del</w:t>
      </w:r>
      <w:r w:rsidRPr="00AD79C7">
        <w:rPr>
          <w:rFonts w:ascii="Abadi" w:hAnsi="Abadi"/>
          <w:b/>
          <w:bCs/>
          <w:spacing w:val="-1"/>
          <w:sz w:val="21"/>
          <w:szCs w:val="21"/>
        </w:rPr>
        <w:t xml:space="preserve"> </w:t>
      </w:r>
      <w:r w:rsidRPr="00AD79C7">
        <w:rPr>
          <w:rFonts w:ascii="Abadi" w:hAnsi="Abadi"/>
          <w:b/>
          <w:bCs/>
          <w:sz w:val="21"/>
          <w:szCs w:val="21"/>
        </w:rPr>
        <w:t>Grupo</w:t>
      </w:r>
      <w:r w:rsidRPr="00AD79C7">
        <w:rPr>
          <w:rFonts w:ascii="Abadi" w:hAnsi="Abadi"/>
          <w:b/>
          <w:bCs/>
          <w:spacing w:val="4"/>
          <w:sz w:val="21"/>
          <w:szCs w:val="21"/>
        </w:rPr>
        <w:t xml:space="preserve"> </w:t>
      </w:r>
      <w:r w:rsidRPr="00AD79C7">
        <w:rPr>
          <w:rFonts w:ascii="Abadi" w:hAnsi="Abadi"/>
          <w:b/>
          <w:bCs/>
          <w:sz w:val="21"/>
          <w:szCs w:val="21"/>
        </w:rPr>
        <w:t>Parlamentario</w:t>
      </w:r>
      <w:r w:rsidRPr="00AD79C7">
        <w:rPr>
          <w:rFonts w:ascii="Abadi" w:hAnsi="Abadi"/>
          <w:b/>
          <w:bCs/>
          <w:spacing w:val="4"/>
          <w:sz w:val="21"/>
          <w:szCs w:val="21"/>
        </w:rPr>
        <w:t xml:space="preserve"> </w:t>
      </w:r>
      <w:r w:rsidRPr="00AD79C7">
        <w:rPr>
          <w:rFonts w:ascii="Abadi" w:hAnsi="Abadi"/>
          <w:b/>
          <w:bCs/>
          <w:sz w:val="21"/>
          <w:szCs w:val="21"/>
        </w:rPr>
        <w:t>del</w:t>
      </w:r>
      <w:r w:rsidRPr="00AD79C7">
        <w:rPr>
          <w:rFonts w:ascii="Abadi" w:hAnsi="Abadi"/>
          <w:b/>
          <w:bCs/>
          <w:spacing w:val="4"/>
          <w:sz w:val="21"/>
          <w:szCs w:val="21"/>
        </w:rPr>
        <w:t xml:space="preserve"> </w:t>
      </w:r>
      <w:r w:rsidRPr="00AD79C7">
        <w:rPr>
          <w:rFonts w:ascii="Abadi" w:hAnsi="Abadi"/>
          <w:b/>
          <w:bCs/>
          <w:sz w:val="21"/>
          <w:szCs w:val="21"/>
        </w:rPr>
        <w:t>Partido</w:t>
      </w:r>
      <w:r w:rsidRPr="00AD79C7">
        <w:rPr>
          <w:rFonts w:ascii="Abadi" w:hAnsi="Abadi"/>
          <w:b/>
          <w:bCs/>
          <w:spacing w:val="4"/>
          <w:sz w:val="21"/>
          <w:szCs w:val="21"/>
        </w:rPr>
        <w:t xml:space="preserve"> </w:t>
      </w:r>
      <w:r w:rsidRPr="00AD79C7">
        <w:rPr>
          <w:rFonts w:ascii="Abadi" w:hAnsi="Abadi"/>
          <w:b/>
          <w:bCs/>
          <w:sz w:val="21"/>
          <w:szCs w:val="21"/>
        </w:rPr>
        <w:t>MORENA,</w:t>
      </w:r>
      <w:r w:rsidRPr="00AD79C7">
        <w:rPr>
          <w:rFonts w:ascii="Abadi" w:hAnsi="Abadi"/>
          <w:b/>
          <w:bCs/>
          <w:spacing w:val="4"/>
          <w:sz w:val="21"/>
          <w:szCs w:val="21"/>
        </w:rPr>
        <w:t xml:space="preserve"> </w:t>
      </w:r>
      <w:r w:rsidRPr="00AD79C7">
        <w:rPr>
          <w:rFonts w:ascii="Abadi" w:hAnsi="Abadi"/>
          <w:b/>
          <w:bCs/>
          <w:sz w:val="21"/>
          <w:szCs w:val="21"/>
        </w:rPr>
        <w:t>a</w:t>
      </w:r>
      <w:r w:rsidRPr="00AD79C7">
        <w:rPr>
          <w:rFonts w:ascii="Abadi" w:hAnsi="Abadi"/>
          <w:b/>
          <w:bCs/>
          <w:spacing w:val="4"/>
          <w:sz w:val="21"/>
          <w:szCs w:val="21"/>
        </w:rPr>
        <w:t xml:space="preserve"> </w:t>
      </w:r>
      <w:r w:rsidRPr="00AD79C7">
        <w:rPr>
          <w:rFonts w:ascii="Abadi" w:hAnsi="Abadi"/>
          <w:b/>
          <w:bCs/>
          <w:sz w:val="21"/>
          <w:szCs w:val="21"/>
        </w:rPr>
        <w:t>efecto</w:t>
      </w:r>
      <w:r w:rsidRPr="00AD79C7">
        <w:rPr>
          <w:rFonts w:ascii="Abadi" w:hAnsi="Abadi"/>
          <w:b/>
          <w:bCs/>
          <w:spacing w:val="4"/>
          <w:sz w:val="21"/>
          <w:szCs w:val="21"/>
        </w:rPr>
        <w:t xml:space="preserve"> </w:t>
      </w:r>
      <w:r w:rsidRPr="00AD79C7">
        <w:rPr>
          <w:rFonts w:ascii="Abadi" w:hAnsi="Abadi"/>
          <w:b/>
          <w:bCs/>
          <w:sz w:val="21"/>
          <w:szCs w:val="21"/>
        </w:rPr>
        <w:t>de</w:t>
      </w:r>
      <w:r w:rsidRPr="00AD79C7">
        <w:rPr>
          <w:rFonts w:ascii="Abadi" w:hAnsi="Abadi"/>
          <w:b/>
          <w:bCs/>
          <w:spacing w:val="4"/>
          <w:sz w:val="21"/>
          <w:szCs w:val="21"/>
        </w:rPr>
        <w:t xml:space="preserve"> </w:t>
      </w:r>
      <w:r w:rsidRPr="00AD79C7">
        <w:rPr>
          <w:rFonts w:ascii="Abadi" w:hAnsi="Abadi"/>
          <w:b/>
          <w:bCs/>
          <w:sz w:val="21"/>
          <w:szCs w:val="21"/>
        </w:rPr>
        <w:t>reformar</w:t>
      </w:r>
      <w:r w:rsidRPr="00AD79C7">
        <w:rPr>
          <w:rFonts w:ascii="Abadi" w:hAnsi="Abadi"/>
          <w:b/>
          <w:bCs/>
          <w:spacing w:val="4"/>
          <w:sz w:val="21"/>
          <w:szCs w:val="21"/>
        </w:rPr>
        <w:t xml:space="preserve"> </w:t>
      </w:r>
      <w:r w:rsidRPr="00AD79C7">
        <w:rPr>
          <w:rFonts w:ascii="Abadi" w:hAnsi="Abadi"/>
          <w:b/>
          <w:bCs/>
          <w:sz w:val="21"/>
          <w:szCs w:val="21"/>
        </w:rPr>
        <w:t>el</w:t>
      </w:r>
      <w:r w:rsidRPr="00AD79C7">
        <w:rPr>
          <w:rFonts w:ascii="Abadi" w:hAnsi="Abadi"/>
          <w:b/>
          <w:bCs/>
          <w:spacing w:val="4"/>
          <w:sz w:val="21"/>
          <w:szCs w:val="21"/>
        </w:rPr>
        <w:t xml:space="preserve"> </w:t>
      </w:r>
      <w:r w:rsidRPr="00AD79C7">
        <w:rPr>
          <w:rFonts w:ascii="Abadi" w:hAnsi="Abadi"/>
          <w:b/>
          <w:bCs/>
          <w:sz w:val="21"/>
          <w:szCs w:val="21"/>
        </w:rPr>
        <w:t>artículo</w:t>
      </w:r>
      <w:r w:rsidRPr="00AD79C7">
        <w:rPr>
          <w:rFonts w:ascii="Abadi" w:hAnsi="Abadi"/>
          <w:b/>
          <w:bCs/>
          <w:spacing w:val="-1"/>
          <w:sz w:val="21"/>
          <w:szCs w:val="21"/>
        </w:rPr>
        <w:t xml:space="preserve"> </w:t>
      </w:r>
      <w:r w:rsidRPr="00AD79C7">
        <w:rPr>
          <w:rFonts w:ascii="Abadi" w:hAnsi="Abadi"/>
          <w:b/>
          <w:bCs/>
          <w:sz w:val="21"/>
          <w:szCs w:val="21"/>
        </w:rPr>
        <w:t>95</w:t>
      </w:r>
      <w:r w:rsidRPr="00AD79C7">
        <w:rPr>
          <w:rFonts w:ascii="Abadi" w:hAnsi="Abadi"/>
          <w:b/>
          <w:bCs/>
          <w:spacing w:val="53"/>
          <w:sz w:val="21"/>
          <w:szCs w:val="21"/>
        </w:rPr>
        <w:t xml:space="preserve"> </w:t>
      </w:r>
      <w:r w:rsidRPr="00AD79C7">
        <w:rPr>
          <w:rFonts w:ascii="Abadi" w:hAnsi="Abadi"/>
          <w:b/>
          <w:bCs/>
          <w:sz w:val="21"/>
          <w:szCs w:val="21"/>
        </w:rPr>
        <w:t>de</w:t>
      </w:r>
      <w:r w:rsidRPr="00AD79C7">
        <w:rPr>
          <w:rFonts w:ascii="Abadi" w:hAnsi="Abadi"/>
          <w:b/>
          <w:bCs/>
          <w:spacing w:val="53"/>
          <w:sz w:val="21"/>
          <w:szCs w:val="21"/>
        </w:rPr>
        <w:t xml:space="preserve"> </w:t>
      </w:r>
      <w:r w:rsidRPr="00AD79C7">
        <w:rPr>
          <w:rFonts w:ascii="Abadi" w:hAnsi="Abadi"/>
          <w:b/>
          <w:bCs/>
          <w:sz w:val="21"/>
          <w:szCs w:val="21"/>
        </w:rPr>
        <w:t>la</w:t>
      </w:r>
      <w:r w:rsidRPr="00AD79C7">
        <w:rPr>
          <w:rFonts w:ascii="Abadi" w:hAnsi="Abadi"/>
          <w:b/>
          <w:bCs/>
          <w:spacing w:val="53"/>
          <w:sz w:val="21"/>
          <w:szCs w:val="21"/>
        </w:rPr>
        <w:t xml:space="preserve"> </w:t>
      </w:r>
      <w:r w:rsidRPr="00AD79C7">
        <w:rPr>
          <w:rFonts w:ascii="Abadi" w:hAnsi="Abadi"/>
          <w:b/>
          <w:bCs/>
          <w:sz w:val="21"/>
          <w:szCs w:val="21"/>
        </w:rPr>
        <w:t>Constitución</w:t>
      </w:r>
      <w:r w:rsidRPr="00AD79C7">
        <w:rPr>
          <w:rFonts w:ascii="Abadi" w:hAnsi="Abadi"/>
          <w:b/>
          <w:bCs/>
          <w:spacing w:val="53"/>
          <w:sz w:val="21"/>
          <w:szCs w:val="21"/>
        </w:rPr>
        <w:t xml:space="preserve"> </w:t>
      </w:r>
      <w:r w:rsidRPr="00AD79C7">
        <w:rPr>
          <w:rFonts w:ascii="Abadi" w:hAnsi="Abadi"/>
          <w:b/>
          <w:bCs/>
          <w:sz w:val="21"/>
          <w:szCs w:val="21"/>
        </w:rPr>
        <w:t>Política</w:t>
      </w:r>
      <w:r w:rsidRPr="00AD79C7">
        <w:rPr>
          <w:rFonts w:ascii="Abadi" w:hAnsi="Abadi"/>
          <w:b/>
          <w:bCs/>
          <w:spacing w:val="53"/>
          <w:sz w:val="21"/>
          <w:szCs w:val="21"/>
        </w:rPr>
        <w:t xml:space="preserve"> </w:t>
      </w:r>
      <w:r w:rsidRPr="00AD79C7">
        <w:rPr>
          <w:rFonts w:ascii="Abadi" w:hAnsi="Abadi"/>
          <w:b/>
          <w:bCs/>
          <w:sz w:val="21"/>
          <w:szCs w:val="21"/>
        </w:rPr>
        <w:t>para</w:t>
      </w:r>
      <w:r w:rsidRPr="00AD79C7">
        <w:rPr>
          <w:rFonts w:ascii="Abadi" w:hAnsi="Abadi"/>
          <w:b/>
          <w:bCs/>
          <w:spacing w:val="53"/>
          <w:sz w:val="21"/>
          <w:szCs w:val="21"/>
        </w:rPr>
        <w:t xml:space="preserve"> </w:t>
      </w:r>
      <w:r w:rsidRPr="00AD79C7">
        <w:rPr>
          <w:rFonts w:ascii="Abadi" w:hAnsi="Abadi"/>
          <w:b/>
          <w:bCs/>
          <w:sz w:val="21"/>
          <w:szCs w:val="21"/>
        </w:rPr>
        <w:t>el</w:t>
      </w:r>
      <w:r w:rsidRPr="00AD79C7">
        <w:rPr>
          <w:rFonts w:ascii="Abadi" w:hAnsi="Abadi"/>
          <w:b/>
          <w:bCs/>
          <w:spacing w:val="53"/>
          <w:sz w:val="21"/>
          <w:szCs w:val="21"/>
        </w:rPr>
        <w:t xml:space="preserve"> </w:t>
      </w:r>
      <w:r w:rsidRPr="00AD79C7">
        <w:rPr>
          <w:rFonts w:ascii="Abadi" w:hAnsi="Abadi"/>
          <w:b/>
          <w:bCs/>
          <w:sz w:val="21"/>
          <w:szCs w:val="21"/>
        </w:rPr>
        <w:t>Estado</w:t>
      </w:r>
      <w:r w:rsidRPr="00AD79C7">
        <w:rPr>
          <w:rFonts w:ascii="Abadi" w:hAnsi="Abadi"/>
          <w:b/>
          <w:bCs/>
          <w:spacing w:val="53"/>
          <w:sz w:val="21"/>
          <w:szCs w:val="21"/>
        </w:rPr>
        <w:t xml:space="preserve"> </w:t>
      </w:r>
      <w:r w:rsidRPr="00AD79C7">
        <w:rPr>
          <w:rFonts w:ascii="Abadi" w:hAnsi="Abadi"/>
          <w:b/>
          <w:bCs/>
          <w:sz w:val="21"/>
          <w:szCs w:val="21"/>
        </w:rPr>
        <w:t>de</w:t>
      </w:r>
      <w:r w:rsidRPr="00AD79C7">
        <w:rPr>
          <w:rFonts w:ascii="Abadi" w:hAnsi="Abadi"/>
          <w:b/>
          <w:bCs/>
          <w:spacing w:val="53"/>
          <w:sz w:val="21"/>
          <w:szCs w:val="21"/>
        </w:rPr>
        <w:t xml:space="preserve"> </w:t>
      </w:r>
      <w:r w:rsidRPr="00AD79C7">
        <w:rPr>
          <w:rFonts w:ascii="Abadi" w:hAnsi="Abadi"/>
          <w:b/>
          <w:bCs/>
          <w:sz w:val="21"/>
          <w:szCs w:val="21"/>
        </w:rPr>
        <w:t>Guanajuato;</w:t>
      </w:r>
      <w:r w:rsidRPr="00AD79C7">
        <w:rPr>
          <w:rFonts w:ascii="Abadi" w:hAnsi="Abadi"/>
          <w:b/>
          <w:bCs/>
          <w:spacing w:val="53"/>
          <w:sz w:val="21"/>
          <w:szCs w:val="21"/>
        </w:rPr>
        <w:t xml:space="preserve"> </w:t>
      </w:r>
      <w:r w:rsidRPr="00AD79C7">
        <w:rPr>
          <w:rFonts w:ascii="Abadi" w:hAnsi="Abadi"/>
          <w:b/>
          <w:bCs/>
          <w:sz w:val="21"/>
          <w:szCs w:val="21"/>
        </w:rPr>
        <w:t>así</w:t>
      </w:r>
      <w:r w:rsidRPr="00AD79C7">
        <w:rPr>
          <w:rFonts w:ascii="Abadi" w:hAnsi="Abadi"/>
          <w:b/>
          <w:bCs/>
          <w:spacing w:val="53"/>
          <w:sz w:val="21"/>
          <w:szCs w:val="21"/>
        </w:rPr>
        <w:t xml:space="preserve"> </w:t>
      </w:r>
      <w:r w:rsidRPr="00AD79C7">
        <w:rPr>
          <w:rFonts w:ascii="Abadi" w:hAnsi="Abadi"/>
          <w:b/>
          <w:bCs/>
          <w:sz w:val="21"/>
          <w:szCs w:val="21"/>
        </w:rPr>
        <w:t>como</w:t>
      </w:r>
      <w:r w:rsidRPr="00AD79C7">
        <w:rPr>
          <w:rFonts w:ascii="Abadi" w:hAnsi="Abadi"/>
          <w:b/>
          <w:bCs/>
          <w:spacing w:val="-1"/>
          <w:sz w:val="21"/>
          <w:szCs w:val="21"/>
        </w:rPr>
        <w:t xml:space="preserve"> </w:t>
      </w:r>
      <w:r w:rsidRPr="00AD79C7">
        <w:rPr>
          <w:rFonts w:ascii="Abadi" w:hAnsi="Abadi"/>
          <w:b/>
          <w:bCs/>
          <w:sz w:val="21"/>
          <w:szCs w:val="21"/>
        </w:rPr>
        <w:t>reformar</w:t>
      </w:r>
      <w:r w:rsidRPr="00AD79C7">
        <w:rPr>
          <w:rFonts w:ascii="Abadi" w:hAnsi="Abadi"/>
          <w:b/>
          <w:bCs/>
          <w:spacing w:val="39"/>
          <w:sz w:val="21"/>
          <w:szCs w:val="21"/>
        </w:rPr>
        <w:t xml:space="preserve"> </w:t>
      </w:r>
      <w:r w:rsidRPr="00AD79C7">
        <w:rPr>
          <w:rFonts w:ascii="Abadi" w:hAnsi="Abadi"/>
          <w:b/>
          <w:bCs/>
          <w:sz w:val="21"/>
          <w:szCs w:val="21"/>
        </w:rPr>
        <w:t>y</w:t>
      </w:r>
      <w:r w:rsidRPr="00AD79C7">
        <w:rPr>
          <w:rFonts w:ascii="Abadi" w:hAnsi="Abadi"/>
          <w:b/>
          <w:bCs/>
          <w:spacing w:val="39"/>
          <w:sz w:val="21"/>
          <w:szCs w:val="21"/>
        </w:rPr>
        <w:t xml:space="preserve"> </w:t>
      </w:r>
      <w:r w:rsidRPr="00AD79C7">
        <w:rPr>
          <w:rFonts w:ascii="Abadi" w:hAnsi="Abadi"/>
          <w:b/>
          <w:bCs/>
          <w:sz w:val="21"/>
          <w:szCs w:val="21"/>
        </w:rPr>
        <w:t>adicionar</w:t>
      </w:r>
      <w:r w:rsidRPr="00AD79C7">
        <w:rPr>
          <w:rFonts w:ascii="Abadi" w:hAnsi="Abadi"/>
          <w:b/>
          <w:bCs/>
          <w:spacing w:val="39"/>
          <w:sz w:val="21"/>
          <w:szCs w:val="21"/>
        </w:rPr>
        <w:t xml:space="preserve"> </w:t>
      </w:r>
      <w:r w:rsidRPr="00AD79C7">
        <w:rPr>
          <w:rFonts w:ascii="Abadi" w:hAnsi="Abadi"/>
          <w:b/>
          <w:bCs/>
          <w:sz w:val="21"/>
          <w:szCs w:val="21"/>
        </w:rPr>
        <w:t>diversas</w:t>
      </w:r>
      <w:r w:rsidRPr="00AD79C7">
        <w:rPr>
          <w:rFonts w:ascii="Abadi" w:hAnsi="Abadi"/>
          <w:b/>
          <w:bCs/>
          <w:spacing w:val="39"/>
          <w:sz w:val="21"/>
          <w:szCs w:val="21"/>
        </w:rPr>
        <w:t xml:space="preserve"> </w:t>
      </w:r>
      <w:r w:rsidRPr="00AD79C7">
        <w:rPr>
          <w:rFonts w:ascii="Abadi" w:hAnsi="Abadi"/>
          <w:b/>
          <w:bCs/>
          <w:sz w:val="21"/>
          <w:szCs w:val="21"/>
        </w:rPr>
        <w:t>disposiciones</w:t>
      </w:r>
      <w:r w:rsidRPr="00AD79C7">
        <w:rPr>
          <w:rFonts w:ascii="Abadi" w:hAnsi="Abadi"/>
          <w:b/>
          <w:bCs/>
          <w:spacing w:val="39"/>
          <w:sz w:val="21"/>
          <w:szCs w:val="21"/>
        </w:rPr>
        <w:t xml:space="preserve"> </w:t>
      </w:r>
      <w:r w:rsidRPr="00AD79C7">
        <w:rPr>
          <w:rFonts w:ascii="Abadi" w:hAnsi="Abadi"/>
          <w:b/>
          <w:bCs/>
          <w:sz w:val="21"/>
          <w:szCs w:val="21"/>
        </w:rPr>
        <w:t>a</w:t>
      </w:r>
      <w:r w:rsidRPr="00AD79C7">
        <w:rPr>
          <w:rFonts w:ascii="Abadi" w:hAnsi="Abadi"/>
          <w:b/>
          <w:bCs/>
          <w:spacing w:val="39"/>
          <w:sz w:val="21"/>
          <w:szCs w:val="21"/>
        </w:rPr>
        <w:t xml:space="preserve"> </w:t>
      </w:r>
      <w:r w:rsidRPr="00AD79C7">
        <w:rPr>
          <w:rFonts w:ascii="Abadi" w:hAnsi="Abadi"/>
          <w:b/>
          <w:bCs/>
          <w:sz w:val="21"/>
          <w:szCs w:val="21"/>
        </w:rPr>
        <w:t>la</w:t>
      </w:r>
      <w:r w:rsidRPr="00AD79C7">
        <w:rPr>
          <w:rFonts w:ascii="Abadi" w:hAnsi="Abadi"/>
          <w:b/>
          <w:bCs/>
          <w:spacing w:val="39"/>
          <w:sz w:val="21"/>
          <w:szCs w:val="21"/>
        </w:rPr>
        <w:t xml:space="preserve"> </w:t>
      </w:r>
      <w:r w:rsidRPr="00AD79C7">
        <w:rPr>
          <w:rFonts w:ascii="Abadi" w:hAnsi="Abadi"/>
          <w:b/>
          <w:bCs/>
          <w:sz w:val="21"/>
          <w:szCs w:val="21"/>
        </w:rPr>
        <w:t>Ley</w:t>
      </w:r>
      <w:r w:rsidRPr="00AD79C7">
        <w:rPr>
          <w:rFonts w:ascii="Abadi" w:hAnsi="Abadi"/>
          <w:b/>
          <w:bCs/>
          <w:spacing w:val="39"/>
          <w:sz w:val="21"/>
          <w:szCs w:val="21"/>
        </w:rPr>
        <w:t xml:space="preserve"> </w:t>
      </w:r>
      <w:r w:rsidRPr="00AD79C7">
        <w:rPr>
          <w:rFonts w:ascii="Abadi" w:hAnsi="Abadi"/>
          <w:b/>
          <w:bCs/>
          <w:sz w:val="21"/>
          <w:szCs w:val="21"/>
        </w:rPr>
        <w:t>Orgánica</w:t>
      </w:r>
      <w:r w:rsidRPr="00AD79C7">
        <w:rPr>
          <w:rFonts w:ascii="Abadi" w:hAnsi="Abadi"/>
          <w:b/>
          <w:bCs/>
          <w:spacing w:val="39"/>
          <w:sz w:val="21"/>
          <w:szCs w:val="21"/>
        </w:rPr>
        <w:t xml:space="preserve"> </w:t>
      </w:r>
      <w:r w:rsidRPr="00AD79C7">
        <w:rPr>
          <w:rFonts w:ascii="Abadi" w:hAnsi="Abadi"/>
          <w:b/>
          <w:bCs/>
          <w:sz w:val="21"/>
          <w:szCs w:val="21"/>
        </w:rPr>
        <w:t>del</w:t>
      </w:r>
      <w:r w:rsidRPr="00AD79C7">
        <w:rPr>
          <w:rFonts w:ascii="Abadi" w:hAnsi="Abadi"/>
          <w:b/>
          <w:bCs/>
          <w:spacing w:val="38"/>
          <w:sz w:val="21"/>
          <w:szCs w:val="21"/>
        </w:rPr>
        <w:t xml:space="preserve"> </w:t>
      </w:r>
      <w:r w:rsidRPr="00AD79C7">
        <w:rPr>
          <w:rFonts w:ascii="Abadi" w:hAnsi="Abadi"/>
          <w:b/>
          <w:bCs/>
          <w:sz w:val="21"/>
          <w:szCs w:val="21"/>
        </w:rPr>
        <w:t>Poder</w:t>
      </w:r>
      <w:r w:rsidRPr="00AD79C7">
        <w:rPr>
          <w:rFonts w:ascii="Abadi" w:hAnsi="Abadi"/>
          <w:b/>
          <w:bCs/>
          <w:spacing w:val="-1"/>
          <w:sz w:val="21"/>
          <w:szCs w:val="21"/>
        </w:rPr>
        <w:t xml:space="preserve"> </w:t>
      </w:r>
      <w:r w:rsidRPr="00AD79C7">
        <w:rPr>
          <w:rFonts w:ascii="Abadi" w:hAnsi="Abadi"/>
          <w:b/>
          <w:bCs/>
          <w:sz w:val="21"/>
          <w:szCs w:val="21"/>
        </w:rPr>
        <w:t>Legislativo</w:t>
      </w:r>
      <w:r w:rsidRPr="00AD79C7">
        <w:rPr>
          <w:rFonts w:ascii="Abadi" w:hAnsi="Abadi"/>
          <w:b/>
          <w:bCs/>
          <w:spacing w:val="-18"/>
          <w:sz w:val="21"/>
          <w:szCs w:val="21"/>
        </w:rPr>
        <w:t xml:space="preserve"> </w:t>
      </w:r>
      <w:r w:rsidRPr="00AD79C7">
        <w:rPr>
          <w:rFonts w:ascii="Abadi" w:hAnsi="Abadi"/>
          <w:b/>
          <w:bCs/>
          <w:sz w:val="21"/>
          <w:szCs w:val="21"/>
        </w:rPr>
        <w:t>del</w:t>
      </w:r>
      <w:r w:rsidRPr="00AD79C7">
        <w:rPr>
          <w:rFonts w:ascii="Abadi" w:hAnsi="Abadi"/>
          <w:b/>
          <w:bCs/>
          <w:spacing w:val="-18"/>
          <w:sz w:val="21"/>
          <w:szCs w:val="21"/>
        </w:rPr>
        <w:t xml:space="preserve"> </w:t>
      </w:r>
      <w:r w:rsidRPr="00AD79C7">
        <w:rPr>
          <w:rFonts w:ascii="Abadi" w:hAnsi="Abadi"/>
          <w:b/>
          <w:bCs/>
          <w:sz w:val="21"/>
          <w:szCs w:val="21"/>
        </w:rPr>
        <w:t>Estado</w:t>
      </w:r>
      <w:r w:rsidRPr="00AD79C7">
        <w:rPr>
          <w:rFonts w:ascii="Abadi" w:hAnsi="Abadi"/>
          <w:b/>
          <w:bCs/>
          <w:spacing w:val="-18"/>
          <w:sz w:val="21"/>
          <w:szCs w:val="21"/>
        </w:rPr>
        <w:t xml:space="preserve"> </w:t>
      </w:r>
      <w:r w:rsidRPr="00AD79C7">
        <w:rPr>
          <w:rFonts w:ascii="Abadi" w:hAnsi="Abadi"/>
          <w:b/>
          <w:bCs/>
          <w:sz w:val="21"/>
          <w:szCs w:val="21"/>
        </w:rPr>
        <w:t>de</w:t>
      </w:r>
      <w:r w:rsidRPr="00AD79C7">
        <w:rPr>
          <w:rFonts w:ascii="Abadi" w:hAnsi="Abadi"/>
          <w:b/>
          <w:bCs/>
          <w:spacing w:val="-18"/>
          <w:sz w:val="21"/>
          <w:szCs w:val="21"/>
        </w:rPr>
        <w:t xml:space="preserve"> </w:t>
      </w:r>
      <w:r w:rsidRPr="00AD79C7">
        <w:rPr>
          <w:rFonts w:ascii="Abadi" w:hAnsi="Abadi"/>
          <w:b/>
          <w:bCs/>
          <w:sz w:val="21"/>
          <w:szCs w:val="21"/>
        </w:rPr>
        <w:t>Guanajuato,</w:t>
      </w:r>
      <w:r w:rsidRPr="00AD79C7">
        <w:rPr>
          <w:rFonts w:ascii="Abadi" w:hAnsi="Abadi"/>
          <w:b/>
          <w:bCs/>
          <w:spacing w:val="-18"/>
          <w:sz w:val="21"/>
          <w:szCs w:val="21"/>
        </w:rPr>
        <w:t xml:space="preserve"> </w:t>
      </w:r>
      <w:r w:rsidRPr="00AD79C7">
        <w:rPr>
          <w:rFonts w:ascii="Abadi" w:hAnsi="Abadi"/>
          <w:b/>
          <w:bCs/>
          <w:i/>
          <w:iCs/>
          <w:sz w:val="21"/>
          <w:szCs w:val="21"/>
        </w:rPr>
        <w:t>en</w:t>
      </w:r>
      <w:r w:rsidRPr="00AD79C7">
        <w:rPr>
          <w:rFonts w:ascii="Abadi" w:hAnsi="Abadi"/>
          <w:b/>
          <w:bCs/>
          <w:i/>
          <w:iCs/>
          <w:spacing w:val="-18"/>
          <w:sz w:val="21"/>
          <w:szCs w:val="21"/>
        </w:rPr>
        <w:t xml:space="preserve"> </w:t>
      </w:r>
      <w:r w:rsidRPr="00AD79C7">
        <w:rPr>
          <w:rFonts w:ascii="Abadi" w:hAnsi="Abadi"/>
          <w:b/>
          <w:bCs/>
          <w:i/>
          <w:iCs/>
          <w:sz w:val="21"/>
          <w:szCs w:val="21"/>
        </w:rPr>
        <w:t>la</w:t>
      </w:r>
      <w:r w:rsidRPr="00AD79C7">
        <w:rPr>
          <w:rFonts w:ascii="Abadi" w:hAnsi="Abadi"/>
          <w:b/>
          <w:bCs/>
          <w:i/>
          <w:iCs/>
          <w:spacing w:val="-18"/>
          <w:sz w:val="21"/>
          <w:szCs w:val="21"/>
        </w:rPr>
        <w:t xml:space="preserve"> </w:t>
      </w:r>
      <w:r w:rsidRPr="00AD79C7">
        <w:rPr>
          <w:rFonts w:ascii="Abadi" w:hAnsi="Abadi"/>
          <w:b/>
          <w:bCs/>
          <w:i/>
          <w:iCs/>
          <w:sz w:val="21"/>
          <w:szCs w:val="21"/>
        </w:rPr>
        <w:t>parte</w:t>
      </w:r>
      <w:r w:rsidRPr="00AD79C7">
        <w:rPr>
          <w:rFonts w:ascii="Abadi" w:hAnsi="Abadi"/>
          <w:b/>
          <w:bCs/>
          <w:i/>
          <w:iCs/>
          <w:spacing w:val="-18"/>
          <w:sz w:val="21"/>
          <w:szCs w:val="21"/>
        </w:rPr>
        <w:t xml:space="preserve"> </w:t>
      </w:r>
      <w:r w:rsidRPr="00AD79C7">
        <w:rPr>
          <w:rFonts w:ascii="Abadi" w:hAnsi="Abadi"/>
          <w:b/>
          <w:bCs/>
          <w:i/>
          <w:iCs/>
          <w:sz w:val="21"/>
          <w:szCs w:val="21"/>
        </w:rPr>
        <w:t>correspondiente</w:t>
      </w:r>
      <w:r w:rsidRPr="00AD79C7">
        <w:rPr>
          <w:rFonts w:ascii="Abadi" w:hAnsi="Abadi"/>
          <w:b/>
          <w:bCs/>
          <w:i/>
          <w:iCs/>
          <w:spacing w:val="-18"/>
          <w:sz w:val="21"/>
          <w:szCs w:val="21"/>
        </w:rPr>
        <w:t xml:space="preserve"> </w:t>
      </w:r>
      <w:r w:rsidRPr="00AD79C7">
        <w:rPr>
          <w:rFonts w:ascii="Abadi" w:hAnsi="Abadi"/>
          <w:b/>
          <w:bCs/>
          <w:i/>
          <w:iCs/>
          <w:sz w:val="21"/>
          <w:szCs w:val="21"/>
        </w:rPr>
        <w:t>al</w:t>
      </w:r>
      <w:r w:rsidRPr="00AD79C7">
        <w:rPr>
          <w:rFonts w:ascii="Abadi" w:hAnsi="Abadi"/>
          <w:b/>
          <w:bCs/>
          <w:i/>
          <w:iCs/>
          <w:spacing w:val="-18"/>
          <w:sz w:val="21"/>
          <w:szCs w:val="21"/>
        </w:rPr>
        <w:t xml:space="preserve"> </w:t>
      </w:r>
      <w:r w:rsidRPr="00AD79C7">
        <w:rPr>
          <w:rFonts w:ascii="Abadi" w:hAnsi="Abadi"/>
          <w:b/>
          <w:bCs/>
          <w:i/>
          <w:iCs/>
          <w:sz w:val="21"/>
          <w:szCs w:val="21"/>
        </w:rPr>
        <w:t>primero</w:t>
      </w:r>
      <w:r w:rsidRPr="00AD79C7">
        <w:rPr>
          <w:rFonts w:ascii="Abadi" w:hAnsi="Abadi"/>
          <w:b/>
          <w:bCs/>
          <w:i/>
          <w:iCs/>
          <w:spacing w:val="-1"/>
          <w:sz w:val="21"/>
          <w:szCs w:val="21"/>
        </w:rPr>
        <w:t xml:space="preserve"> </w:t>
      </w:r>
      <w:r w:rsidRPr="00AD79C7">
        <w:rPr>
          <w:rFonts w:ascii="Abadi" w:hAnsi="Abadi"/>
          <w:b/>
          <w:bCs/>
          <w:i/>
          <w:iCs/>
          <w:sz w:val="21"/>
          <w:szCs w:val="21"/>
        </w:rPr>
        <w:t>de</w:t>
      </w:r>
      <w:r w:rsidRPr="00AD79C7">
        <w:rPr>
          <w:rFonts w:ascii="Abadi" w:hAnsi="Abadi"/>
          <w:b/>
          <w:bCs/>
          <w:i/>
          <w:iCs/>
          <w:spacing w:val="-1"/>
          <w:sz w:val="21"/>
          <w:szCs w:val="21"/>
        </w:rPr>
        <w:t xml:space="preserve"> </w:t>
      </w:r>
      <w:r w:rsidRPr="00AD79C7">
        <w:rPr>
          <w:rFonts w:ascii="Abadi" w:hAnsi="Abadi"/>
          <w:b/>
          <w:bCs/>
          <w:i/>
          <w:iCs/>
          <w:sz w:val="21"/>
          <w:szCs w:val="21"/>
        </w:rPr>
        <w:t>los</w:t>
      </w:r>
      <w:r w:rsidRPr="00AD79C7">
        <w:rPr>
          <w:rFonts w:ascii="Abadi" w:hAnsi="Abadi"/>
          <w:b/>
          <w:bCs/>
          <w:i/>
          <w:iCs/>
          <w:spacing w:val="-1"/>
          <w:sz w:val="21"/>
          <w:szCs w:val="21"/>
        </w:rPr>
        <w:t xml:space="preserve"> </w:t>
      </w:r>
      <w:r w:rsidRPr="00AD79C7">
        <w:rPr>
          <w:rFonts w:ascii="Abadi" w:hAnsi="Abadi"/>
          <w:b/>
          <w:bCs/>
          <w:i/>
          <w:iCs/>
          <w:sz w:val="21"/>
          <w:szCs w:val="21"/>
        </w:rPr>
        <w:t>ordenamientos.</w:t>
      </w:r>
    </w:p>
    <w:p w14:paraId="5462E433" w14:textId="77777777" w:rsidR="00EB2918" w:rsidRPr="00EB2918" w:rsidRDefault="00EB2918" w:rsidP="00EB2918">
      <w:pPr>
        <w:pStyle w:val="Prrafodelista"/>
        <w:rPr>
          <w:rFonts w:ascii="Abadi" w:hAnsi="Abadi"/>
          <w:b/>
          <w:bCs/>
          <w:i/>
          <w:iCs/>
          <w:sz w:val="21"/>
          <w:szCs w:val="21"/>
        </w:rPr>
      </w:pPr>
    </w:p>
    <w:p w14:paraId="0B5B66F8" w14:textId="77777777" w:rsidR="00EB2918" w:rsidRPr="00AD79C7" w:rsidRDefault="00EB2918"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50"/>
          <w:w w:val="150"/>
          <w:sz w:val="21"/>
          <w:szCs w:val="21"/>
        </w:rPr>
        <w:t xml:space="preserve"> </w:t>
      </w:r>
      <w:r w:rsidRPr="00AD79C7">
        <w:rPr>
          <w:rFonts w:ascii="Abadi" w:hAnsi="Abadi"/>
          <w:b/>
          <w:bCs/>
          <w:sz w:val="21"/>
          <w:szCs w:val="21"/>
        </w:rPr>
        <w:t>y,</w:t>
      </w:r>
      <w:r w:rsidRPr="00AD79C7">
        <w:rPr>
          <w:rFonts w:ascii="Abadi" w:hAnsi="Abadi"/>
          <w:b/>
          <w:bCs/>
          <w:spacing w:val="50"/>
          <w:w w:val="150"/>
          <w:sz w:val="21"/>
          <w:szCs w:val="21"/>
        </w:rPr>
        <w:t xml:space="preserve"> </w:t>
      </w:r>
      <w:r w:rsidRPr="00AD79C7">
        <w:rPr>
          <w:rFonts w:ascii="Abadi" w:hAnsi="Abadi"/>
          <w:b/>
          <w:bCs/>
          <w:sz w:val="21"/>
          <w:szCs w:val="21"/>
        </w:rPr>
        <w:t>en</w:t>
      </w:r>
      <w:r w:rsidRPr="00AD79C7">
        <w:rPr>
          <w:rFonts w:ascii="Abadi" w:hAnsi="Abadi"/>
          <w:b/>
          <w:bCs/>
          <w:spacing w:val="50"/>
          <w:w w:val="150"/>
          <w:sz w:val="21"/>
          <w:szCs w:val="21"/>
        </w:rPr>
        <w:t xml:space="preserve"> </w:t>
      </w:r>
      <w:r w:rsidRPr="00AD79C7">
        <w:rPr>
          <w:rFonts w:ascii="Abadi" w:hAnsi="Abadi"/>
          <w:b/>
          <w:bCs/>
          <w:sz w:val="21"/>
          <w:szCs w:val="21"/>
        </w:rPr>
        <w:t>su</w:t>
      </w:r>
      <w:r w:rsidRPr="00AD79C7">
        <w:rPr>
          <w:rFonts w:ascii="Abadi" w:hAnsi="Abadi"/>
          <w:b/>
          <w:bCs/>
          <w:spacing w:val="50"/>
          <w:w w:val="150"/>
          <w:sz w:val="21"/>
          <w:szCs w:val="21"/>
        </w:rPr>
        <w:t xml:space="preserve"> </w:t>
      </w:r>
      <w:r w:rsidRPr="00AD79C7">
        <w:rPr>
          <w:rFonts w:ascii="Abadi" w:hAnsi="Abadi"/>
          <w:b/>
          <w:bCs/>
          <w:sz w:val="21"/>
          <w:szCs w:val="21"/>
        </w:rPr>
        <w:t>caso,</w:t>
      </w:r>
      <w:r w:rsidRPr="00AD79C7">
        <w:rPr>
          <w:rFonts w:ascii="Abadi" w:hAnsi="Abadi"/>
          <w:b/>
          <w:bCs/>
          <w:spacing w:val="50"/>
          <w:w w:val="150"/>
          <w:sz w:val="21"/>
          <w:szCs w:val="21"/>
        </w:rPr>
        <w:t xml:space="preserve"> </w:t>
      </w:r>
      <w:r w:rsidRPr="00AD79C7">
        <w:rPr>
          <w:rFonts w:ascii="Abadi" w:hAnsi="Abadi"/>
          <w:b/>
          <w:bCs/>
          <w:sz w:val="21"/>
          <w:szCs w:val="21"/>
        </w:rPr>
        <w:t>aprobación</w:t>
      </w:r>
      <w:r w:rsidRPr="00AD79C7">
        <w:rPr>
          <w:rFonts w:ascii="Abadi" w:hAnsi="Abadi"/>
          <w:b/>
          <w:bCs/>
          <w:spacing w:val="50"/>
          <w:w w:val="150"/>
          <w:sz w:val="21"/>
          <w:szCs w:val="21"/>
        </w:rPr>
        <w:t xml:space="preserve"> </w:t>
      </w:r>
      <w:r w:rsidRPr="00AD79C7">
        <w:rPr>
          <w:rFonts w:ascii="Abadi" w:hAnsi="Abadi"/>
          <w:b/>
          <w:bCs/>
          <w:sz w:val="21"/>
          <w:szCs w:val="21"/>
        </w:rPr>
        <w:t>del</w:t>
      </w:r>
      <w:r w:rsidRPr="00AD79C7">
        <w:rPr>
          <w:rFonts w:ascii="Abadi" w:hAnsi="Abadi"/>
          <w:b/>
          <w:bCs/>
          <w:spacing w:val="50"/>
          <w:w w:val="150"/>
          <w:sz w:val="21"/>
          <w:szCs w:val="21"/>
        </w:rPr>
        <w:t xml:space="preserve"> </w:t>
      </w:r>
      <w:r w:rsidRPr="00AD79C7">
        <w:rPr>
          <w:rFonts w:ascii="Abadi" w:hAnsi="Abadi"/>
          <w:b/>
          <w:bCs/>
          <w:sz w:val="21"/>
          <w:szCs w:val="21"/>
        </w:rPr>
        <w:t>dictamen</w:t>
      </w:r>
      <w:r w:rsidRPr="00AD79C7">
        <w:rPr>
          <w:rFonts w:ascii="Abadi" w:hAnsi="Abadi"/>
          <w:b/>
          <w:bCs/>
          <w:spacing w:val="50"/>
          <w:w w:val="150"/>
          <w:sz w:val="21"/>
          <w:szCs w:val="21"/>
        </w:rPr>
        <w:t xml:space="preserve"> </w:t>
      </w:r>
      <w:r w:rsidRPr="00AD79C7">
        <w:rPr>
          <w:rFonts w:ascii="Abadi" w:hAnsi="Abadi"/>
          <w:b/>
          <w:bCs/>
          <w:sz w:val="21"/>
          <w:szCs w:val="21"/>
        </w:rPr>
        <w:t>presentado</w:t>
      </w:r>
      <w:r w:rsidRPr="00AD79C7">
        <w:rPr>
          <w:rFonts w:ascii="Abadi" w:hAnsi="Abadi"/>
          <w:b/>
          <w:bCs/>
          <w:spacing w:val="50"/>
          <w:w w:val="150"/>
          <w:sz w:val="21"/>
          <w:szCs w:val="21"/>
        </w:rPr>
        <w:t xml:space="preserve"> </w:t>
      </w:r>
      <w:r w:rsidRPr="00AD79C7">
        <w:rPr>
          <w:rFonts w:ascii="Abadi" w:hAnsi="Abadi"/>
          <w:b/>
          <w:bCs/>
          <w:sz w:val="21"/>
          <w:szCs w:val="21"/>
        </w:rPr>
        <w:t>por</w:t>
      </w:r>
      <w:r w:rsidRPr="00AD79C7">
        <w:rPr>
          <w:rFonts w:ascii="Abadi" w:hAnsi="Abadi"/>
          <w:b/>
          <w:bCs/>
          <w:spacing w:val="50"/>
          <w:w w:val="150"/>
          <w:sz w:val="21"/>
          <w:szCs w:val="21"/>
        </w:rPr>
        <w:t xml:space="preserve"> </w:t>
      </w:r>
      <w:r w:rsidRPr="00AD79C7">
        <w:rPr>
          <w:rFonts w:ascii="Abadi" w:hAnsi="Abadi"/>
          <w:b/>
          <w:bCs/>
          <w:sz w:val="21"/>
          <w:szCs w:val="21"/>
        </w:rPr>
        <w:t>la</w:t>
      </w:r>
      <w:r w:rsidRPr="00AD79C7">
        <w:rPr>
          <w:rFonts w:ascii="Abadi" w:hAnsi="Abadi"/>
          <w:b/>
          <w:bCs/>
          <w:spacing w:val="-2"/>
          <w:sz w:val="21"/>
          <w:szCs w:val="21"/>
        </w:rPr>
        <w:t xml:space="preserve"> </w:t>
      </w:r>
      <w:r w:rsidRPr="00AD79C7">
        <w:rPr>
          <w:rFonts w:ascii="Abadi" w:hAnsi="Abadi"/>
          <w:b/>
          <w:bCs/>
          <w:sz w:val="21"/>
          <w:szCs w:val="21"/>
        </w:rPr>
        <w:t>Comisión</w:t>
      </w:r>
      <w:r w:rsidRPr="00AD79C7">
        <w:rPr>
          <w:rFonts w:ascii="Abadi" w:hAnsi="Abadi"/>
          <w:b/>
          <w:bCs/>
          <w:spacing w:val="30"/>
          <w:sz w:val="21"/>
          <w:szCs w:val="21"/>
        </w:rPr>
        <w:t xml:space="preserve">  </w:t>
      </w:r>
      <w:r w:rsidRPr="00AD79C7">
        <w:rPr>
          <w:rFonts w:ascii="Abadi" w:hAnsi="Abadi"/>
          <w:b/>
          <w:bCs/>
          <w:sz w:val="21"/>
          <w:szCs w:val="21"/>
        </w:rPr>
        <w:t>de</w:t>
      </w:r>
      <w:r w:rsidRPr="00AD79C7">
        <w:rPr>
          <w:rFonts w:ascii="Abadi" w:hAnsi="Abadi"/>
          <w:b/>
          <w:bCs/>
          <w:spacing w:val="30"/>
          <w:sz w:val="21"/>
          <w:szCs w:val="21"/>
        </w:rPr>
        <w:t xml:space="preserve">  </w:t>
      </w:r>
      <w:r w:rsidRPr="00AD79C7">
        <w:rPr>
          <w:rFonts w:ascii="Abadi" w:hAnsi="Abadi"/>
          <w:b/>
          <w:bCs/>
          <w:sz w:val="21"/>
          <w:szCs w:val="21"/>
        </w:rPr>
        <w:t>Gobernación</w:t>
      </w:r>
      <w:r w:rsidRPr="00AD79C7">
        <w:rPr>
          <w:rFonts w:ascii="Abadi" w:hAnsi="Abadi"/>
          <w:b/>
          <w:bCs/>
          <w:spacing w:val="30"/>
          <w:sz w:val="21"/>
          <w:szCs w:val="21"/>
        </w:rPr>
        <w:t xml:space="preserve">  </w:t>
      </w:r>
      <w:r w:rsidRPr="00AD79C7">
        <w:rPr>
          <w:rFonts w:ascii="Abadi" w:hAnsi="Abadi"/>
          <w:b/>
          <w:bCs/>
          <w:sz w:val="21"/>
          <w:szCs w:val="21"/>
        </w:rPr>
        <w:t>y</w:t>
      </w:r>
      <w:r w:rsidRPr="00AD79C7">
        <w:rPr>
          <w:rFonts w:ascii="Abadi" w:hAnsi="Abadi"/>
          <w:b/>
          <w:bCs/>
          <w:spacing w:val="30"/>
          <w:sz w:val="21"/>
          <w:szCs w:val="21"/>
        </w:rPr>
        <w:t xml:space="preserve">  </w:t>
      </w:r>
      <w:r w:rsidRPr="00AD79C7">
        <w:rPr>
          <w:rFonts w:ascii="Abadi" w:hAnsi="Abadi"/>
          <w:b/>
          <w:bCs/>
          <w:sz w:val="21"/>
          <w:szCs w:val="21"/>
        </w:rPr>
        <w:t>Puntos</w:t>
      </w:r>
      <w:r w:rsidRPr="00AD79C7">
        <w:rPr>
          <w:rFonts w:ascii="Abadi" w:hAnsi="Abadi"/>
          <w:b/>
          <w:bCs/>
          <w:spacing w:val="30"/>
          <w:sz w:val="21"/>
          <w:szCs w:val="21"/>
        </w:rPr>
        <w:t xml:space="preserve">  </w:t>
      </w:r>
      <w:r w:rsidRPr="00AD79C7">
        <w:rPr>
          <w:rFonts w:ascii="Abadi" w:hAnsi="Abadi"/>
          <w:b/>
          <w:bCs/>
          <w:sz w:val="21"/>
          <w:szCs w:val="21"/>
        </w:rPr>
        <w:t>Constitucionales</w:t>
      </w:r>
      <w:r w:rsidRPr="00AD79C7">
        <w:rPr>
          <w:rFonts w:ascii="Abadi" w:hAnsi="Abadi"/>
          <w:b/>
          <w:bCs/>
          <w:spacing w:val="30"/>
          <w:sz w:val="21"/>
          <w:szCs w:val="21"/>
        </w:rPr>
        <w:t xml:space="preserve">  </w:t>
      </w:r>
      <w:r w:rsidRPr="00AD79C7">
        <w:rPr>
          <w:rFonts w:ascii="Abadi" w:hAnsi="Abadi"/>
          <w:b/>
          <w:bCs/>
          <w:sz w:val="21"/>
          <w:szCs w:val="21"/>
        </w:rPr>
        <w:t>relativo</w:t>
      </w:r>
      <w:r w:rsidRPr="00AD79C7">
        <w:rPr>
          <w:rFonts w:ascii="Abadi" w:hAnsi="Abadi"/>
          <w:b/>
          <w:bCs/>
          <w:spacing w:val="30"/>
          <w:sz w:val="21"/>
          <w:szCs w:val="21"/>
        </w:rPr>
        <w:t xml:space="preserve">  </w:t>
      </w:r>
      <w:r w:rsidRPr="00AD79C7">
        <w:rPr>
          <w:rFonts w:ascii="Abadi" w:hAnsi="Abadi"/>
          <w:b/>
          <w:bCs/>
          <w:sz w:val="21"/>
          <w:szCs w:val="21"/>
        </w:rPr>
        <w:t>a</w:t>
      </w:r>
      <w:r w:rsidRPr="00AD79C7">
        <w:rPr>
          <w:rFonts w:ascii="Abadi" w:hAnsi="Abadi"/>
          <w:b/>
          <w:bCs/>
          <w:spacing w:val="30"/>
          <w:sz w:val="21"/>
          <w:szCs w:val="21"/>
        </w:rPr>
        <w:t xml:space="preserve">  </w:t>
      </w:r>
      <w:r w:rsidRPr="00AD79C7">
        <w:rPr>
          <w:rFonts w:ascii="Abadi" w:hAnsi="Abadi"/>
          <w:b/>
          <w:bCs/>
          <w:sz w:val="21"/>
          <w:szCs w:val="21"/>
        </w:rPr>
        <w:t>las</w:t>
      </w:r>
      <w:r w:rsidRPr="00AD79C7">
        <w:rPr>
          <w:rFonts w:ascii="Abadi" w:hAnsi="Abadi"/>
          <w:b/>
          <w:bCs/>
          <w:spacing w:val="-2"/>
          <w:sz w:val="21"/>
          <w:szCs w:val="21"/>
        </w:rPr>
        <w:t xml:space="preserve"> </w:t>
      </w:r>
      <w:r w:rsidRPr="00AD79C7">
        <w:rPr>
          <w:rFonts w:ascii="Abadi" w:hAnsi="Abadi"/>
          <w:b/>
          <w:bCs/>
          <w:sz w:val="21"/>
          <w:szCs w:val="21"/>
        </w:rPr>
        <w:t>iniciativas, la primera formulada por el ayuntamiento de León, Gto, a efecto</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29"/>
          <w:sz w:val="21"/>
          <w:szCs w:val="21"/>
        </w:rPr>
        <w:t xml:space="preserve"> </w:t>
      </w:r>
      <w:r w:rsidRPr="00AD79C7">
        <w:rPr>
          <w:rFonts w:ascii="Abadi" w:hAnsi="Abadi"/>
          <w:b/>
          <w:bCs/>
          <w:sz w:val="21"/>
          <w:szCs w:val="21"/>
        </w:rPr>
        <w:t>reformar</w:t>
      </w:r>
      <w:r w:rsidRPr="00AD79C7">
        <w:rPr>
          <w:rFonts w:ascii="Abadi" w:hAnsi="Abadi"/>
          <w:b/>
          <w:bCs/>
          <w:spacing w:val="29"/>
          <w:sz w:val="21"/>
          <w:szCs w:val="21"/>
        </w:rPr>
        <w:t xml:space="preserve"> </w:t>
      </w:r>
      <w:r w:rsidRPr="00AD79C7">
        <w:rPr>
          <w:rFonts w:ascii="Abadi" w:hAnsi="Abadi"/>
          <w:b/>
          <w:bCs/>
          <w:sz w:val="21"/>
          <w:szCs w:val="21"/>
        </w:rPr>
        <w:t>y</w:t>
      </w:r>
      <w:r w:rsidRPr="00AD79C7">
        <w:rPr>
          <w:rFonts w:ascii="Abadi" w:hAnsi="Abadi"/>
          <w:b/>
          <w:bCs/>
          <w:spacing w:val="29"/>
          <w:sz w:val="21"/>
          <w:szCs w:val="21"/>
        </w:rPr>
        <w:t xml:space="preserve"> </w:t>
      </w:r>
      <w:r w:rsidRPr="00AD79C7">
        <w:rPr>
          <w:rFonts w:ascii="Abadi" w:hAnsi="Abadi"/>
          <w:b/>
          <w:bCs/>
          <w:sz w:val="21"/>
          <w:szCs w:val="21"/>
        </w:rPr>
        <w:t>adicionar</w:t>
      </w:r>
      <w:r w:rsidRPr="00AD79C7">
        <w:rPr>
          <w:rFonts w:ascii="Abadi" w:hAnsi="Abadi"/>
          <w:b/>
          <w:bCs/>
          <w:spacing w:val="29"/>
          <w:sz w:val="21"/>
          <w:szCs w:val="21"/>
        </w:rPr>
        <w:t xml:space="preserve"> </w:t>
      </w:r>
      <w:r w:rsidRPr="00AD79C7">
        <w:rPr>
          <w:rFonts w:ascii="Abadi" w:hAnsi="Abadi"/>
          <w:b/>
          <w:bCs/>
          <w:sz w:val="21"/>
          <w:szCs w:val="21"/>
        </w:rPr>
        <w:t>diversas</w:t>
      </w:r>
      <w:r w:rsidRPr="00AD79C7">
        <w:rPr>
          <w:rFonts w:ascii="Abadi" w:hAnsi="Abadi"/>
          <w:b/>
          <w:bCs/>
          <w:spacing w:val="29"/>
          <w:sz w:val="21"/>
          <w:szCs w:val="21"/>
        </w:rPr>
        <w:t xml:space="preserve"> </w:t>
      </w:r>
      <w:r w:rsidRPr="00AD79C7">
        <w:rPr>
          <w:rFonts w:ascii="Abadi" w:hAnsi="Abadi"/>
          <w:b/>
          <w:bCs/>
          <w:sz w:val="21"/>
          <w:szCs w:val="21"/>
        </w:rPr>
        <w:t>disposiciones</w:t>
      </w:r>
      <w:r w:rsidRPr="00AD79C7">
        <w:rPr>
          <w:rFonts w:ascii="Abadi" w:hAnsi="Abadi"/>
          <w:b/>
          <w:bCs/>
          <w:spacing w:val="29"/>
          <w:sz w:val="21"/>
          <w:szCs w:val="21"/>
        </w:rPr>
        <w:t xml:space="preserve"> </w:t>
      </w:r>
      <w:r w:rsidRPr="00AD79C7">
        <w:rPr>
          <w:rFonts w:ascii="Abadi" w:hAnsi="Abadi"/>
          <w:b/>
          <w:bCs/>
          <w:sz w:val="21"/>
          <w:szCs w:val="21"/>
        </w:rPr>
        <w:t>de</w:t>
      </w:r>
      <w:r w:rsidRPr="00AD79C7">
        <w:rPr>
          <w:rFonts w:ascii="Abadi" w:hAnsi="Abadi"/>
          <w:b/>
          <w:bCs/>
          <w:spacing w:val="29"/>
          <w:sz w:val="21"/>
          <w:szCs w:val="21"/>
        </w:rPr>
        <w:t xml:space="preserve"> </w:t>
      </w:r>
      <w:r w:rsidRPr="00AD79C7">
        <w:rPr>
          <w:rFonts w:ascii="Abadi" w:hAnsi="Abadi"/>
          <w:b/>
          <w:bCs/>
          <w:sz w:val="21"/>
          <w:szCs w:val="21"/>
        </w:rPr>
        <w:t>la</w:t>
      </w:r>
      <w:r w:rsidRPr="00AD79C7">
        <w:rPr>
          <w:rFonts w:ascii="Abadi" w:hAnsi="Abadi"/>
          <w:b/>
          <w:bCs/>
          <w:spacing w:val="29"/>
          <w:sz w:val="21"/>
          <w:szCs w:val="21"/>
        </w:rPr>
        <w:t xml:space="preserve"> </w:t>
      </w:r>
      <w:r w:rsidRPr="00AD79C7">
        <w:rPr>
          <w:rFonts w:ascii="Abadi" w:hAnsi="Abadi"/>
          <w:b/>
          <w:bCs/>
          <w:sz w:val="21"/>
          <w:szCs w:val="21"/>
        </w:rPr>
        <w:t>Constitución</w:t>
      </w:r>
      <w:r w:rsidRPr="00AD79C7">
        <w:rPr>
          <w:rFonts w:ascii="Abadi" w:hAnsi="Abadi"/>
          <w:b/>
          <w:bCs/>
          <w:spacing w:val="29"/>
          <w:sz w:val="21"/>
          <w:szCs w:val="21"/>
        </w:rPr>
        <w:t xml:space="preserve"> </w:t>
      </w:r>
      <w:r w:rsidRPr="00AD79C7">
        <w:rPr>
          <w:rFonts w:ascii="Abadi" w:hAnsi="Abadi"/>
          <w:b/>
          <w:bCs/>
          <w:sz w:val="21"/>
          <w:szCs w:val="21"/>
        </w:rPr>
        <w:t>Política</w:t>
      </w:r>
      <w:r w:rsidRPr="00AD79C7">
        <w:rPr>
          <w:rFonts w:ascii="Abadi" w:hAnsi="Abadi"/>
          <w:b/>
          <w:bCs/>
          <w:spacing w:val="-2"/>
          <w:sz w:val="21"/>
          <w:szCs w:val="21"/>
        </w:rPr>
        <w:t xml:space="preserve"> </w:t>
      </w:r>
      <w:r w:rsidRPr="00AD79C7">
        <w:rPr>
          <w:rFonts w:ascii="Abadi" w:hAnsi="Abadi"/>
          <w:b/>
          <w:bCs/>
          <w:sz w:val="21"/>
          <w:szCs w:val="21"/>
        </w:rPr>
        <w:t>para</w:t>
      </w:r>
      <w:r w:rsidRPr="00AD79C7">
        <w:rPr>
          <w:rFonts w:ascii="Abadi" w:hAnsi="Abadi"/>
          <w:b/>
          <w:bCs/>
          <w:spacing w:val="-13"/>
          <w:sz w:val="21"/>
          <w:szCs w:val="21"/>
        </w:rPr>
        <w:t xml:space="preserve"> </w:t>
      </w:r>
      <w:r w:rsidRPr="00AD79C7">
        <w:rPr>
          <w:rFonts w:ascii="Abadi" w:hAnsi="Abadi"/>
          <w:b/>
          <w:bCs/>
          <w:sz w:val="21"/>
          <w:szCs w:val="21"/>
        </w:rPr>
        <w:t>el</w:t>
      </w:r>
      <w:r w:rsidRPr="00AD79C7">
        <w:rPr>
          <w:rFonts w:ascii="Abadi" w:hAnsi="Abadi"/>
          <w:b/>
          <w:bCs/>
          <w:spacing w:val="-13"/>
          <w:sz w:val="21"/>
          <w:szCs w:val="21"/>
        </w:rPr>
        <w:t xml:space="preserve"> </w:t>
      </w:r>
      <w:r w:rsidRPr="00AD79C7">
        <w:rPr>
          <w:rFonts w:ascii="Abadi" w:hAnsi="Abadi"/>
          <w:b/>
          <w:bCs/>
          <w:sz w:val="21"/>
          <w:szCs w:val="21"/>
        </w:rPr>
        <w:t>Estado</w:t>
      </w:r>
      <w:r w:rsidRPr="00AD79C7">
        <w:rPr>
          <w:rFonts w:ascii="Abadi" w:hAnsi="Abadi"/>
          <w:b/>
          <w:bCs/>
          <w:spacing w:val="-13"/>
          <w:sz w:val="21"/>
          <w:szCs w:val="21"/>
        </w:rPr>
        <w:t xml:space="preserve"> </w:t>
      </w:r>
      <w:r w:rsidRPr="00AD79C7">
        <w:rPr>
          <w:rFonts w:ascii="Abadi" w:hAnsi="Abadi"/>
          <w:b/>
          <w:bCs/>
          <w:sz w:val="21"/>
          <w:szCs w:val="21"/>
        </w:rPr>
        <w:t>de</w:t>
      </w:r>
      <w:r w:rsidRPr="00AD79C7">
        <w:rPr>
          <w:rFonts w:ascii="Abadi" w:hAnsi="Abadi"/>
          <w:b/>
          <w:bCs/>
          <w:spacing w:val="-13"/>
          <w:sz w:val="21"/>
          <w:szCs w:val="21"/>
        </w:rPr>
        <w:t xml:space="preserve"> </w:t>
      </w:r>
      <w:r w:rsidRPr="00AD79C7">
        <w:rPr>
          <w:rFonts w:ascii="Abadi" w:hAnsi="Abadi"/>
          <w:b/>
          <w:bCs/>
          <w:sz w:val="21"/>
          <w:szCs w:val="21"/>
        </w:rPr>
        <w:t>Guanajuato</w:t>
      </w:r>
      <w:r w:rsidRPr="00AD79C7">
        <w:rPr>
          <w:rFonts w:ascii="Abadi" w:hAnsi="Abadi"/>
          <w:b/>
          <w:bCs/>
          <w:spacing w:val="-13"/>
          <w:sz w:val="21"/>
          <w:szCs w:val="21"/>
        </w:rPr>
        <w:t xml:space="preserve"> </w:t>
      </w:r>
      <w:r w:rsidRPr="00AD79C7">
        <w:rPr>
          <w:rFonts w:ascii="Abadi" w:hAnsi="Abadi"/>
          <w:b/>
          <w:bCs/>
          <w:sz w:val="21"/>
          <w:szCs w:val="21"/>
        </w:rPr>
        <w:t>y</w:t>
      </w:r>
      <w:r w:rsidRPr="00AD79C7">
        <w:rPr>
          <w:rFonts w:ascii="Abadi" w:hAnsi="Abadi"/>
          <w:b/>
          <w:bCs/>
          <w:spacing w:val="-13"/>
          <w:sz w:val="21"/>
          <w:szCs w:val="21"/>
        </w:rPr>
        <w:t xml:space="preserve"> </w:t>
      </w:r>
      <w:r w:rsidRPr="00AD79C7">
        <w:rPr>
          <w:rFonts w:ascii="Abadi" w:hAnsi="Abadi"/>
          <w:b/>
          <w:bCs/>
          <w:sz w:val="21"/>
          <w:szCs w:val="21"/>
        </w:rPr>
        <w:t>de</w:t>
      </w:r>
      <w:r w:rsidRPr="00AD79C7">
        <w:rPr>
          <w:rFonts w:ascii="Abadi" w:hAnsi="Abadi"/>
          <w:b/>
          <w:bCs/>
          <w:spacing w:val="-13"/>
          <w:sz w:val="21"/>
          <w:szCs w:val="21"/>
        </w:rPr>
        <w:t xml:space="preserve"> </w:t>
      </w:r>
      <w:r w:rsidRPr="00AD79C7">
        <w:rPr>
          <w:rFonts w:ascii="Abadi" w:hAnsi="Abadi"/>
          <w:b/>
          <w:bCs/>
          <w:sz w:val="21"/>
          <w:szCs w:val="21"/>
        </w:rPr>
        <w:t>la</w:t>
      </w:r>
      <w:r w:rsidRPr="00AD79C7">
        <w:rPr>
          <w:rFonts w:ascii="Abadi" w:hAnsi="Abadi"/>
          <w:b/>
          <w:bCs/>
          <w:spacing w:val="-13"/>
          <w:sz w:val="21"/>
          <w:szCs w:val="21"/>
        </w:rPr>
        <w:t xml:space="preserve"> </w:t>
      </w:r>
      <w:r w:rsidRPr="00AD79C7">
        <w:rPr>
          <w:rFonts w:ascii="Abadi" w:hAnsi="Abadi"/>
          <w:b/>
          <w:bCs/>
          <w:sz w:val="21"/>
          <w:szCs w:val="21"/>
        </w:rPr>
        <w:t>Ley</w:t>
      </w:r>
      <w:r w:rsidRPr="00AD79C7">
        <w:rPr>
          <w:rFonts w:ascii="Abadi" w:hAnsi="Abadi"/>
          <w:b/>
          <w:bCs/>
          <w:spacing w:val="-13"/>
          <w:sz w:val="21"/>
          <w:szCs w:val="21"/>
        </w:rPr>
        <w:t xml:space="preserve"> </w:t>
      </w:r>
      <w:r w:rsidRPr="00AD79C7">
        <w:rPr>
          <w:rFonts w:ascii="Abadi" w:hAnsi="Abadi"/>
          <w:b/>
          <w:bCs/>
          <w:sz w:val="21"/>
          <w:szCs w:val="21"/>
        </w:rPr>
        <w:t>Orgánica</w:t>
      </w:r>
      <w:r w:rsidRPr="00AD79C7">
        <w:rPr>
          <w:rFonts w:ascii="Abadi" w:hAnsi="Abadi"/>
          <w:b/>
          <w:bCs/>
          <w:spacing w:val="-13"/>
          <w:sz w:val="21"/>
          <w:szCs w:val="21"/>
        </w:rPr>
        <w:t xml:space="preserve"> </w:t>
      </w:r>
      <w:r w:rsidRPr="00AD79C7">
        <w:rPr>
          <w:rFonts w:ascii="Abadi" w:hAnsi="Abadi"/>
          <w:b/>
          <w:bCs/>
          <w:sz w:val="21"/>
          <w:szCs w:val="21"/>
        </w:rPr>
        <w:t>Municipal</w:t>
      </w:r>
      <w:r w:rsidRPr="00AD79C7">
        <w:rPr>
          <w:rFonts w:ascii="Abadi" w:hAnsi="Abadi"/>
          <w:b/>
          <w:bCs/>
          <w:spacing w:val="-13"/>
          <w:sz w:val="21"/>
          <w:szCs w:val="21"/>
        </w:rPr>
        <w:t xml:space="preserve"> </w:t>
      </w:r>
      <w:r w:rsidRPr="00AD79C7">
        <w:rPr>
          <w:rFonts w:ascii="Abadi" w:hAnsi="Abadi"/>
          <w:b/>
          <w:bCs/>
          <w:sz w:val="21"/>
          <w:szCs w:val="21"/>
        </w:rPr>
        <w:t>para</w:t>
      </w:r>
      <w:r w:rsidRPr="00AD79C7">
        <w:rPr>
          <w:rFonts w:ascii="Abadi" w:hAnsi="Abadi"/>
          <w:b/>
          <w:bCs/>
          <w:spacing w:val="-13"/>
          <w:sz w:val="21"/>
          <w:szCs w:val="21"/>
        </w:rPr>
        <w:t xml:space="preserve"> </w:t>
      </w:r>
      <w:r w:rsidRPr="00AD79C7">
        <w:rPr>
          <w:rFonts w:ascii="Abadi" w:hAnsi="Abadi"/>
          <w:b/>
          <w:bCs/>
          <w:sz w:val="21"/>
          <w:szCs w:val="21"/>
        </w:rPr>
        <w:t>el</w:t>
      </w:r>
      <w:r w:rsidRPr="00AD79C7">
        <w:rPr>
          <w:rFonts w:ascii="Abadi" w:hAnsi="Abadi"/>
          <w:b/>
          <w:bCs/>
          <w:spacing w:val="-13"/>
          <w:sz w:val="21"/>
          <w:szCs w:val="21"/>
        </w:rPr>
        <w:t xml:space="preserve"> </w:t>
      </w:r>
      <w:r w:rsidRPr="00AD79C7">
        <w:rPr>
          <w:rFonts w:ascii="Abadi" w:hAnsi="Abadi"/>
          <w:b/>
          <w:bCs/>
          <w:sz w:val="21"/>
          <w:szCs w:val="21"/>
        </w:rPr>
        <w:t>Estado</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12"/>
          <w:sz w:val="21"/>
          <w:szCs w:val="21"/>
        </w:rPr>
        <w:t xml:space="preserve"> </w:t>
      </w:r>
      <w:r w:rsidRPr="00AD79C7">
        <w:rPr>
          <w:rFonts w:ascii="Abadi" w:hAnsi="Abadi"/>
          <w:b/>
          <w:bCs/>
          <w:sz w:val="21"/>
          <w:szCs w:val="21"/>
        </w:rPr>
        <w:t>Guanajuato,</w:t>
      </w:r>
      <w:r w:rsidRPr="00AD79C7">
        <w:rPr>
          <w:rFonts w:ascii="Abadi" w:hAnsi="Abadi"/>
          <w:b/>
          <w:bCs/>
          <w:spacing w:val="-12"/>
          <w:sz w:val="21"/>
          <w:szCs w:val="21"/>
        </w:rPr>
        <w:t xml:space="preserve"> </w:t>
      </w:r>
      <w:r w:rsidRPr="00AD79C7">
        <w:rPr>
          <w:rFonts w:ascii="Abadi" w:hAnsi="Abadi"/>
          <w:b/>
          <w:bCs/>
          <w:sz w:val="21"/>
          <w:szCs w:val="21"/>
        </w:rPr>
        <w:t>en</w:t>
      </w:r>
      <w:r w:rsidRPr="00AD79C7">
        <w:rPr>
          <w:rFonts w:ascii="Abadi" w:hAnsi="Abadi"/>
          <w:b/>
          <w:bCs/>
          <w:spacing w:val="-12"/>
          <w:sz w:val="21"/>
          <w:szCs w:val="21"/>
        </w:rPr>
        <w:t xml:space="preserve"> </w:t>
      </w:r>
      <w:r w:rsidRPr="00AD79C7">
        <w:rPr>
          <w:rFonts w:ascii="Abadi" w:hAnsi="Abadi"/>
          <w:b/>
          <w:bCs/>
          <w:sz w:val="21"/>
          <w:szCs w:val="21"/>
        </w:rPr>
        <w:t>lo</w:t>
      </w:r>
      <w:r w:rsidRPr="00AD79C7">
        <w:rPr>
          <w:rFonts w:ascii="Abadi" w:hAnsi="Abadi"/>
          <w:b/>
          <w:bCs/>
          <w:spacing w:val="-12"/>
          <w:sz w:val="21"/>
          <w:szCs w:val="21"/>
        </w:rPr>
        <w:t xml:space="preserve"> </w:t>
      </w:r>
      <w:r w:rsidRPr="00AD79C7">
        <w:rPr>
          <w:rFonts w:ascii="Abadi" w:hAnsi="Abadi"/>
          <w:b/>
          <w:bCs/>
          <w:sz w:val="21"/>
          <w:szCs w:val="21"/>
        </w:rPr>
        <w:t>que</w:t>
      </w:r>
      <w:r w:rsidRPr="00AD79C7">
        <w:rPr>
          <w:rFonts w:ascii="Abadi" w:hAnsi="Abadi"/>
          <w:b/>
          <w:bCs/>
          <w:spacing w:val="-12"/>
          <w:sz w:val="21"/>
          <w:szCs w:val="21"/>
        </w:rPr>
        <w:t xml:space="preserve"> </w:t>
      </w:r>
      <w:r w:rsidRPr="00AD79C7">
        <w:rPr>
          <w:rFonts w:ascii="Abadi" w:hAnsi="Abadi"/>
          <w:b/>
          <w:bCs/>
          <w:sz w:val="21"/>
          <w:szCs w:val="21"/>
        </w:rPr>
        <w:t>corresponde</w:t>
      </w:r>
      <w:r w:rsidRPr="00AD79C7">
        <w:rPr>
          <w:rFonts w:ascii="Abadi" w:hAnsi="Abadi"/>
          <w:b/>
          <w:bCs/>
          <w:spacing w:val="-12"/>
          <w:sz w:val="21"/>
          <w:szCs w:val="21"/>
        </w:rPr>
        <w:t xml:space="preserve"> </w:t>
      </w:r>
      <w:r w:rsidRPr="00AD79C7">
        <w:rPr>
          <w:rFonts w:ascii="Abadi" w:hAnsi="Abadi"/>
          <w:b/>
          <w:bCs/>
          <w:sz w:val="21"/>
          <w:szCs w:val="21"/>
        </w:rPr>
        <w:t>al</w:t>
      </w:r>
      <w:r w:rsidRPr="00AD79C7">
        <w:rPr>
          <w:rFonts w:ascii="Abadi" w:hAnsi="Abadi"/>
          <w:b/>
          <w:bCs/>
          <w:spacing w:val="-12"/>
          <w:sz w:val="21"/>
          <w:szCs w:val="21"/>
        </w:rPr>
        <w:t xml:space="preserve"> </w:t>
      </w:r>
      <w:r w:rsidRPr="00AD79C7">
        <w:rPr>
          <w:rFonts w:ascii="Abadi" w:hAnsi="Abadi"/>
          <w:b/>
          <w:bCs/>
          <w:sz w:val="21"/>
          <w:szCs w:val="21"/>
        </w:rPr>
        <w:t>primer</w:t>
      </w:r>
      <w:r w:rsidRPr="00AD79C7">
        <w:rPr>
          <w:rFonts w:ascii="Abadi" w:hAnsi="Abadi"/>
          <w:b/>
          <w:bCs/>
          <w:spacing w:val="-12"/>
          <w:sz w:val="21"/>
          <w:szCs w:val="21"/>
        </w:rPr>
        <w:t xml:space="preserve"> </w:t>
      </w:r>
      <w:r w:rsidRPr="00AD79C7">
        <w:rPr>
          <w:rFonts w:ascii="Abadi" w:hAnsi="Abadi"/>
          <w:b/>
          <w:bCs/>
          <w:sz w:val="21"/>
          <w:szCs w:val="21"/>
        </w:rPr>
        <w:t>ordenamiento</w:t>
      </w:r>
      <w:r w:rsidRPr="00AD79C7">
        <w:rPr>
          <w:rFonts w:ascii="Abadi" w:hAnsi="Abadi"/>
          <w:b/>
          <w:bCs/>
          <w:spacing w:val="-12"/>
          <w:sz w:val="21"/>
          <w:szCs w:val="21"/>
        </w:rPr>
        <w:t xml:space="preserve"> </w:t>
      </w:r>
      <w:r w:rsidRPr="00AD79C7">
        <w:rPr>
          <w:rFonts w:ascii="Abadi" w:hAnsi="Abadi"/>
          <w:b/>
          <w:bCs/>
          <w:sz w:val="21"/>
          <w:szCs w:val="21"/>
        </w:rPr>
        <w:t>y,</w:t>
      </w:r>
      <w:r w:rsidRPr="00AD79C7">
        <w:rPr>
          <w:rFonts w:ascii="Abadi" w:hAnsi="Abadi"/>
          <w:b/>
          <w:bCs/>
          <w:spacing w:val="-12"/>
          <w:sz w:val="21"/>
          <w:szCs w:val="21"/>
        </w:rPr>
        <w:t xml:space="preserve"> </w:t>
      </w:r>
      <w:r w:rsidRPr="00AD79C7">
        <w:rPr>
          <w:rFonts w:ascii="Abadi" w:hAnsi="Abadi"/>
          <w:b/>
          <w:bCs/>
          <w:sz w:val="21"/>
          <w:szCs w:val="21"/>
        </w:rPr>
        <w:t>la</w:t>
      </w:r>
      <w:r w:rsidRPr="00AD79C7">
        <w:rPr>
          <w:rFonts w:ascii="Abadi" w:hAnsi="Abadi"/>
          <w:b/>
          <w:bCs/>
          <w:spacing w:val="-12"/>
          <w:sz w:val="21"/>
          <w:szCs w:val="21"/>
        </w:rPr>
        <w:t xml:space="preserve"> </w:t>
      </w:r>
      <w:r w:rsidRPr="00AD79C7">
        <w:rPr>
          <w:rFonts w:ascii="Abadi" w:hAnsi="Abadi"/>
          <w:b/>
          <w:bCs/>
          <w:sz w:val="21"/>
          <w:szCs w:val="21"/>
        </w:rPr>
        <w:t>segunda</w:t>
      </w:r>
      <w:r w:rsidRPr="00AD79C7">
        <w:rPr>
          <w:rFonts w:ascii="Abadi" w:hAnsi="Abadi"/>
          <w:b/>
          <w:bCs/>
          <w:spacing w:val="-2"/>
          <w:sz w:val="21"/>
          <w:szCs w:val="21"/>
        </w:rPr>
        <w:t xml:space="preserve"> </w:t>
      </w:r>
      <w:r w:rsidRPr="00AD79C7">
        <w:rPr>
          <w:rFonts w:ascii="Abadi" w:hAnsi="Abadi"/>
          <w:b/>
          <w:bCs/>
          <w:sz w:val="21"/>
          <w:szCs w:val="21"/>
        </w:rPr>
        <w:t>suscrita</w:t>
      </w:r>
      <w:r w:rsidRPr="00AD79C7">
        <w:rPr>
          <w:rFonts w:ascii="Abadi" w:hAnsi="Abadi"/>
          <w:b/>
          <w:bCs/>
          <w:spacing w:val="19"/>
          <w:sz w:val="21"/>
          <w:szCs w:val="21"/>
        </w:rPr>
        <w:t xml:space="preserve"> </w:t>
      </w:r>
      <w:r w:rsidRPr="00AD79C7">
        <w:rPr>
          <w:rFonts w:ascii="Abadi" w:hAnsi="Abadi"/>
          <w:b/>
          <w:bCs/>
          <w:sz w:val="21"/>
          <w:szCs w:val="21"/>
        </w:rPr>
        <w:t>por</w:t>
      </w:r>
      <w:r w:rsidRPr="00AD79C7">
        <w:rPr>
          <w:rFonts w:ascii="Abadi" w:hAnsi="Abadi"/>
          <w:b/>
          <w:bCs/>
          <w:spacing w:val="19"/>
          <w:sz w:val="21"/>
          <w:szCs w:val="21"/>
        </w:rPr>
        <w:t xml:space="preserve"> </w:t>
      </w:r>
      <w:r w:rsidRPr="00AD79C7">
        <w:rPr>
          <w:rFonts w:ascii="Abadi" w:hAnsi="Abadi"/>
          <w:b/>
          <w:bCs/>
          <w:sz w:val="21"/>
          <w:szCs w:val="21"/>
        </w:rPr>
        <w:t>diputada</w:t>
      </w:r>
      <w:r w:rsidRPr="00AD79C7">
        <w:rPr>
          <w:rFonts w:ascii="Abadi" w:hAnsi="Abadi"/>
          <w:b/>
          <w:bCs/>
          <w:spacing w:val="19"/>
          <w:sz w:val="21"/>
          <w:szCs w:val="21"/>
        </w:rPr>
        <w:t xml:space="preserve"> </w:t>
      </w:r>
      <w:r w:rsidRPr="00AD79C7">
        <w:rPr>
          <w:rFonts w:ascii="Abadi" w:hAnsi="Abadi"/>
          <w:b/>
          <w:bCs/>
          <w:sz w:val="21"/>
          <w:szCs w:val="21"/>
        </w:rPr>
        <w:t>y</w:t>
      </w:r>
      <w:r w:rsidRPr="00AD79C7">
        <w:rPr>
          <w:rFonts w:ascii="Abadi" w:hAnsi="Abadi"/>
          <w:b/>
          <w:bCs/>
          <w:spacing w:val="19"/>
          <w:sz w:val="21"/>
          <w:szCs w:val="21"/>
        </w:rPr>
        <w:t xml:space="preserve"> </w:t>
      </w:r>
      <w:r w:rsidRPr="00AD79C7">
        <w:rPr>
          <w:rFonts w:ascii="Abadi" w:hAnsi="Abadi"/>
          <w:b/>
          <w:bCs/>
          <w:sz w:val="21"/>
          <w:szCs w:val="21"/>
        </w:rPr>
        <w:t>diputados</w:t>
      </w:r>
      <w:r w:rsidRPr="00AD79C7">
        <w:rPr>
          <w:rFonts w:ascii="Abadi" w:hAnsi="Abadi"/>
          <w:b/>
          <w:bCs/>
          <w:spacing w:val="19"/>
          <w:sz w:val="21"/>
          <w:szCs w:val="21"/>
        </w:rPr>
        <w:t xml:space="preserve"> </w:t>
      </w:r>
      <w:r w:rsidRPr="00AD79C7">
        <w:rPr>
          <w:rFonts w:ascii="Abadi" w:hAnsi="Abadi"/>
          <w:b/>
          <w:bCs/>
          <w:sz w:val="21"/>
          <w:szCs w:val="21"/>
        </w:rPr>
        <w:t>integrantes</w:t>
      </w:r>
      <w:r w:rsidRPr="00AD79C7">
        <w:rPr>
          <w:rFonts w:ascii="Abadi" w:hAnsi="Abadi"/>
          <w:b/>
          <w:bCs/>
          <w:spacing w:val="19"/>
          <w:sz w:val="21"/>
          <w:szCs w:val="21"/>
        </w:rPr>
        <w:t xml:space="preserve"> </w:t>
      </w:r>
      <w:r w:rsidRPr="00AD79C7">
        <w:rPr>
          <w:rFonts w:ascii="Abadi" w:hAnsi="Abadi"/>
          <w:b/>
          <w:bCs/>
          <w:sz w:val="21"/>
          <w:szCs w:val="21"/>
        </w:rPr>
        <w:t>del</w:t>
      </w:r>
      <w:r w:rsidRPr="00AD79C7">
        <w:rPr>
          <w:rFonts w:ascii="Abadi" w:hAnsi="Abadi"/>
          <w:b/>
          <w:bCs/>
          <w:spacing w:val="19"/>
          <w:sz w:val="21"/>
          <w:szCs w:val="21"/>
        </w:rPr>
        <w:t xml:space="preserve"> </w:t>
      </w:r>
      <w:r w:rsidRPr="00AD79C7">
        <w:rPr>
          <w:rFonts w:ascii="Abadi" w:hAnsi="Abadi"/>
          <w:b/>
          <w:bCs/>
          <w:sz w:val="21"/>
          <w:szCs w:val="21"/>
        </w:rPr>
        <w:t>Grupo</w:t>
      </w:r>
      <w:r w:rsidRPr="00AD79C7">
        <w:rPr>
          <w:rFonts w:ascii="Abadi" w:hAnsi="Abadi"/>
          <w:b/>
          <w:bCs/>
          <w:spacing w:val="19"/>
          <w:sz w:val="21"/>
          <w:szCs w:val="21"/>
        </w:rPr>
        <w:t xml:space="preserve"> </w:t>
      </w:r>
      <w:r w:rsidRPr="00AD79C7">
        <w:rPr>
          <w:rFonts w:ascii="Abadi" w:hAnsi="Abadi"/>
          <w:b/>
          <w:bCs/>
          <w:sz w:val="21"/>
          <w:szCs w:val="21"/>
        </w:rPr>
        <w:t>Parlamentario</w:t>
      </w:r>
      <w:r w:rsidRPr="00AD79C7">
        <w:rPr>
          <w:rFonts w:ascii="Abadi" w:hAnsi="Abadi"/>
          <w:b/>
          <w:bCs/>
          <w:spacing w:val="19"/>
          <w:sz w:val="21"/>
          <w:szCs w:val="21"/>
        </w:rPr>
        <w:t xml:space="preserve"> </w:t>
      </w:r>
      <w:r w:rsidRPr="00AD79C7">
        <w:rPr>
          <w:rFonts w:ascii="Abadi" w:hAnsi="Abadi"/>
          <w:b/>
          <w:bCs/>
          <w:sz w:val="21"/>
          <w:szCs w:val="21"/>
        </w:rPr>
        <w:t>del</w:t>
      </w:r>
      <w:r w:rsidRPr="00AD79C7">
        <w:rPr>
          <w:rFonts w:ascii="Abadi" w:hAnsi="Abadi"/>
          <w:b/>
          <w:bCs/>
          <w:spacing w:val="-2"/>
          <w:sz w:val="21"/>
          <w:szCs w:val="21"/>
        </w:rPr>
        <w:t xml:space="preserve"> </w:t>
      </w:r>
      <w:r w:rsidRPr="00AD79C7">
        <w:rPr>
          <w:rFonts w:ascii="Abadi" w:hAnsi="Abadi"/>
          <w:b/>
          <w:bCs/>
          <w:sz w:val="21"/>
          <w:szCs w:val="21"/>
        </w:rPr>
        <w:t>Partido</w:t>
      </w:r>
      <w:r w:rsidRPr="00AD79C7">
        <w:rPr>
          <w:rFonts w:ascii="Abadi" w:hAnsi="Abadi"/>
          <w:b/>
          <w:bCs/>
          <w:spacing w:val="46"/>
          <w:sz w:val="21"/>
          <w:szCs w:val="21"/>
        </w:rPr>
        <w:t xml:space="preserve"> </w:t>
      </w:r>
      <w:r w:rsidRPr="00AD79C7">
        <w:rPr>
          <w:rFonts w:ascii="Abadi" w:hAnsi="Abadi"/>
          <w:b/>
          <w:bCs/>
          <w:sz w:val="21"/>
          <w:szCs w:val="21"/>
        </w:rPr>
        <w:t>Revolucionario</w:t>
      </w:r>
      <w:r w:rsidRPr="00AD79C7">
        <w:rPr>
          <w:rFonts w:ascii="Abadi" w:hAnsi="Abadi"/>
          <w:b/>
          <w:bCs/>
          <w:spacing w:val="46"/>
          <w:sz w:val="21"/>
          <w:szCs w:val="21"/>
        </w:rPr>
        <w:t xml:space="preserve"> </w:t>
      </w:r>
      <w:r w:rsidRPr="00AD79C7">
        <w:rPr>
          <w:rFonts w:ascii="Abadi" w:hAnsi="Abadi"/>
          <w:b/>
          <w:bCs/>
          <w:sz w:val="21"/>
          <w:szCs w:val="21"/>
        </w:rPr>
        <w:t>Institucional</w:t>
      </w:r>
      <w:r w:rsidRPr="00AD79C7">
        <w:rPr>
          <w:rFonts w:ascii="Abadi" w:hAnsi="Abadi"/>
          <w:b/>
          <w:bCs/>
          <w:spacing w:val="46"/>
          <w:sz w:val="21"/>
          <w:szCs w:val="21"/>
        </w:rPr>
        <w:t xml:space="preserve"> </w:t>
      </w:r>
      <w:r w:rsidRPr="00AD79C7">
        <w:rPr>
          <w:rFonts w:ascii="Abadi" w:hAnsi="Abadi"/>
          <w:b/>
          <w:bCs/>
          <w:sz w:val="21"/>
          <w:szCs w:val="21"/>
        </w:rPr>
        <w:t>por</w:t>
      </w:r>
      <w:r w:rsidRPr="00AD79C7">
        <w:rPr>
          <w:rFonts w:ascii="Abadi" w:hAnsi="Abadi"/>
          <w:b/>
          <w:bCs/>
          <w:spacing w:val="46"/>
          <w:sz w:val="21"/>
          <w:szCs w:val="21"/>
        </w:rPr>
        <w:t xml:space="preserve"> </w:t>
      </w:r>
      <w:r w:rsidRPr="00AD79C7">
        <w:rPr>
          <w:rFonts w:ascii="Abadi" w:hAnsi="Abadi"/>
          <w:b/>
          <w:bCs/>
          <w:sz w:val="21"/>
          <w:szCs w:val="21"/>
        </w:rPr>
        <w:t>la</w:t>
      </w:r>
      <w:r w:rsidRPr="00AD79C7">
        <w:rPr>
          <w:rFonts w:ascii="Abadi" w:hAnsi="Abadi"/>
          <w:b/>
          <w:bCs/>
          <w:spacing w:val="46"/>
          <w:sz w:val="21"/>
          <w:szCs w:val="21"/>
        </w:rPr>
        <w:t xml:space="preserve"> </w:t>
      </w:r>
      <w:r w:rsidRPr="00AD79C7">
        <w:rPr>
          <w:rFonts w:ascii="Abadi" w:hAnsi="Abadi"/>
          <w:b/>
          <w:bCs/>
          <w:sz w:val="21"/>
          <w:szCs w:val="21"/>
        </w:rPr>
        <w:t>que</w:t>
      </w:r>
      <w:r w:rsidRPr="00AD79C7">
        <w:rPr>
          <w:rFonts w:ascii="Abadi" w:hAnsi="Abadi"/>
          <w:b/>
          <w:bCs/>
          <w:spacing w:val="46"/>
          <w:sz w:val="21"/>
          <w:szCs w:val="21"/>
        </w:rPr>
        <w:t xml:space="preserve"> </w:t>
      </w:r>
      <w:r w:rsidRPr="00AD79C7">
        <w:rPr>
          <w:rFonts w:ascii="Abadi" w:hAnsi="Abadi"/>
          <w:b/>
          <w:bCs/>
          <w:sz w:val="21"/>
          <w:szCs w:val="21"/>
        </w:rPr>
        <w:t>se</w:t>
      </w:r>
      <w:r w:rsidRPr="00AD79C7">
        <w:rPr>
          <w:rFonts w:ascii="Abadi" w:hAnsi="Abadi"/>
          <w:b/>
          <w:bCs/>
          <w:spacing w:val="46"/>
          <w:sz w:val="21"/>
          <w:szCs w:val="21"/>
        </w:rPr>
        <w:t xml:space="preserve"> </w:t>
      </w:r>
      <w:r w:rsidRPr="00AD79C7">
        <w:rPr>
          <w:rFonts w:ascii="Abadi" w:hAnsi="Abadi"/>
          <w:b/>
          <w:bCs/>
          <w:sz w:val="21"/>
          <w:szCs w:val="21"/>
        </w:rPr>
        <w:t>adiciona</w:t>
      </w:r>
      <w:r w:rsidRPr="00AD79C7">
        <w:rPr>
          <w:rFonts w:ascii="Abadi" w:hAnsi="Abadi"/>
          <w:b/>
          <w:bCs/>
          <w:spacing w:val="46"/>
          <w:sz w:val="21"/>
          <w:szCs w:val="21"/>
        </w:rPr>
        <w:t xml:space="preserve"> </w:t>
      </w:r>
      <w:r w:rsidRPr="00AD79C7">
        <w:rPr>
          <w:rFonts w:ascii="Abadi" w:hAnsi="Abadi"/>
          <w:b/>
          <w:bCs/>
          <w:sz w:val="21"/>
          <w:szCs w:val="21"/>
        </w:rPr>
        <w:t>un</w:t>
      </w:r>
      <w:r w:rsidRPr="00AD79C7">
        <w:rPr>
          <w:rFonts w:ascii="Abadi" w:hAnsi="Abadi"/>
          <w:b/>
          <w:bCs/>
          <w:spacing w:val="46"/>
          <w:sz w:val="21"/>
          <w:szCs w:val="21"/>
        </w:rPr>
        <w:t xml:space="preserve"> </w:t>
      </w:r>
      <w:r w:rsidRPr="00AD79C7">
        <w:rPr>
          <w:rFonts w:ascii="Abadi" w:hAnsi="Abadi"/>
          <w:b/>
          <w:bCs/>
          <w:sz w:val="21"/>
          <w:szCs w:val="21"/>
        </w:rPr>
        <w:t>párrafo</w:t>
      </w:r>
      <w:r w:rsidRPr="00AD79C7">
        <w:rPr>
          <w:rFonts w:ascii="Abadi" w:hAnsi="Abadi"/>
          <w:b/>
          <w:bCs/>
          <w:spacing w:val="46"/>
          <w:sz w:val="21"/>
          <w:szCs w:val="21"/>
        </w:rPr>
        <w:t xml:space="preserve"> </w:t>
      </w:r>
      <w:r w:rsidRPr="00AD79C7">
        <w:rPr>
          <w:rFonts w:ascii="Abadi" w:hAnsi="Abadi"/>
          <w:b/>
          <w:bCs/>
          <w:sz w:val="21"/>
          <w:szCs w:val="21"/>
        </w:rPr>
        <w:t>al</w:t>
      </w:r>
      <w:r w:rsidRPr="00AD79C7">
        <w:rPr>
          <w:rFonts w:ascii="Abadi" w:hAnsi="Abadi"/>
          <w:b/>
          <w:bCs/>
          <w:spacing w:val="-2"/>
          <w:sz w:val="21"/>
          <w:szCs w:val="21"/>
        </w:rPr>
        <w:t xml:space="preserve"> </w:t>
      </w:r>
      <w:r w:rsidRPr="00AD79C7">
        <w:rPr>
          <w:rFonts w:ascii="Abadi" w:hAnsi="Abadi"/>
          <w:b/>
          <w:bCs/>
          <w:sz w:val="21"/>
          <w:szCs w:val="21"/>
        </w:rPr>
        <w:t>artículo</w:t>
      </w:r>
      <w:r w:rsidRPr="00AD79C7">
        <w:rPr>
          <w:rFonts w:ascii="Abadi" w:hAnsi="Abadi"/>
          <w:b/>
          <w:bCs/>
          <w:spacing w:val="-1"/>
          <w:sz w:val="21"/>
          <w:szCs w:val="21"/>
        </w:rPr>
        <w:t xml:space="preserve"> </w:t>
      </w:r>
      <w:r w:rsidRPr="00AD79C7">
        <w:rPr>
          <w:rFonts w:ascii="Abadi" w:hAnsi="Abadi"/>
          <w:b/>
          <w:bCs/>
          <w:sz w:val="21"/>
          <w:szCs w:val="21"/>
        </w:rPr>
        <w:t>1</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Constitución</w:t>
      </w:r>
      <w:r w:rsidRPr="00AD79C7">
        <w:rPr>
          <w:rFonts w:ascii="Abadi" w:hAnsi="Abadi"/>
          <w:b/>
          <w:bCs/>
          <w:spacing w:val="-1"/>
          <w:sz w:val="21"/>
          <w:szCs w:val="21"/>
        </w:rPr>
        <w:t xml:space="preserve"> </w:t>
      </w:r>
      <w:r w:rsidRPr="00AD79C7">
        <w:rPr>
          <w:rFonts w:ascii="Abadi" w:hAnsi="Abadi"/>
          <w:b/>
          <w:bCs/>
          <w:sz w:val="21"/>
          <w:szCs w:val="21"/>
        </w:rPr>
        <w:t>Política</w:t>
      </w:r>
      <w:r w:rsidRPr="00AD79C7">
        <w:rPr>
          <w:rFonts w:ascii="Abadi" w:hAnsi="Abadi"/>
          <w:b/>
          <w:bCs/>
          <w:spacing w:val="-1"/>
          <w:sz w:val="21"/>
          <w:szCs w:val="21"/>
        </w:rPr>
        <w:t xml:space="preserve"> </w:t>
      </w:r>
      <w:r w:rsidRPr="00AD79C7">
        <w:rPr>
          <w:rFonts w:ascii="Abadi" w:hAnsi="Abadi"/>
          <w:b/>
          <w:bCs/>
          <w:sz w:val="21"/>
          <w:szCs w:val="21"/>
        </w:rPr>
        <w:t>para</w:t>
      </w:r>
      <w:r w:rsidRPr="00AD79C7">
        <w:rPr>
          <w:rFonts w:ascii="Abadi" w:hAnsi="Abadi"/>
          <w:b/>
          <w:bCs/>
          <w:spacing w:val="-1"/>
          <w:sz w:val="21"/>
          <w:szCs w:val="21"/>
        </w:rPr>
        <w:t xml:space="preserve"> </w:t>
      </w:r>
      <w:r w:rsidRPr="00AD79C7">
        <w:rPr>
          <w:rFonts w:ascii="Abadi" w:hAnsi="Abadi"/>
          <w:b/>
          <w:bCs/>
          <w:sz w:val="21"/>
          <w:szCs w:val="21"/>
        </w:rPr>
        <w:t>el</w:t>
      </w:r>
      <w:r w:rsidRPr="00AD79C7">
        <w:rPr>
          <w:rFonts w:ascii="Abadi" w:hAnsi="Abadi"/>
          <w:b/>
          <w:bCs/>
          <w:spacing w:val="-2"/>
          <w:sz w:val="21"/>
          <w:szCs w:val="21"/>
        </w:rPr>
        <w:t xml:space="preserve"> </w:t>
      </w:r>
      <w:r w:rsidRPr="00AD79C7">
        <w:rPr>
          <w:rFonts w:ascii="Abadi" w:hAnsi="Abadi"/>
          <w:b/>
          <w:bCs/>
          <w:sz w:val="21"/>
          <w:szCs w:val="21"/>
        </w:rPr>
        <w:t>Estado</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Guanajuato.</w:t>
      </w:r>
    </w:p>
    <w:p w14:paraId="4C89E979" w14:textId="77777777" w:rsidR="00EB2918" w:rsidRPr="00AD79C7" w:rsidRDefault="00EB2918" w:rsidP="006B00FD">
      <w:pPr>
        <w:kinsoku w:val="0"/>
        <w:overflowPunct w:val="0"/>
        <w:autoSpaceDE w:val="0"/>
        <w:autoSpaceDN w:val="0"/>
        <w:adjustRightInd w:val="0"/>
        <w:spacing w:before="11"/>
        <w:ind w:right="566"/>
        <w:jc w:val="both"/>
        <w:rPr>
          <w:rFonts w:ascii="Abadi" w:hAnsi="Abadi" w:cs="Arial"/>
          <w:b/>
          <w:bCs/>
          <w:sz w:val="21"/>
          <w:szCs w:val="21"/>
        </w:rPr>
      </w:pPr>
    </w:p>
    <w:p w14:paraId="61CE9555" w14:textId="4EBF8E98" w:rsidR="00EB2918" w:rsidRDefault="00EB2918"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78"/>
          <w:w w:val="150"/>
          <w:sz w:val="21"/>
          <w:szCs w:val="21"/>
        </w:rPr>
        <w:t xml:space="preserve"> </w:t>
      </w:r>
      <w:r w:rsidRPr="00AD79C7">
        <w:rPr>
          <w:rFonts w:ascii="Abadi" w:hAnsi="Abadi"/>
          <w:b/>
          <w:bCs/>
          <w:sz w:val="21"/>
          <w:szCs w:val="21"/>
        </w:rPr>
        <w:t>y,</w:t>
      </w:r>
      <w:r w:rsidRPr="00AD79C7">
        <w:rPr>
          <w:rFonts w:ascii="Abadi" w:hAnsi="Abadi"/>
          <w:b/>
          <w:bCs/>
          <w:spacing w:val="78"/>
          <w:w w:val="150"/>
          <w:sz w:val="21"/>
          <w:szCs w:val="21"/>
        </w:rPr>
        <w:t xml:space="preserve"> </w:t>
      </w:r>
      <w:r w:rsidRPr="00AD79C7">
        <w:rPr>
          <w:rFonts w:ascii="Abadi" w:hAnsi="Abadi"/>
          <w:b/>
          <w:bCs/>
          <w:sz w:val="21"/>
          <w:szCs w:val="21"/>
        </w:rPr>
        <w:t>en</w:t>
      </w:r>
      <w:r w:rsidRPr="00AD79C7">
        <w:rPr>
          <w:rFonts w:ascii="Abadi" w:hAnsi="Abadi"/>
          <w:b/>
          <w:bCs/>
          <w:spacing w:val="78"/>
          <w:w w:val="150"/>
          <w:sz w:val="21"/>
          <w:szCs w:val="21"/>
        </w:rPr>
        <w:t xml:space="preserve"> </w:t>
      </w:r>
      <w:r w:rsidRPr="00AD79C7">
        <w:rPr>
          <w:rFonts w:ascii="Abadi" w:hAnsi="Abadi"/>
          <w:b/>
          <w:bCs/>
          <w:sz w:val="21"/>
          <w:szCs w:val="21"/>
        </w:rPr>
        <w:t>su</w:t>
      </w:r>
      <w:r w:rsidRPr="00AD79C7">
        <w:rPr>
          <w:rFonts w:ascii="Abadi" w:hAnsi="Abadi"/>
          <w:b/>
          <w:bCs/>
          <w:spacing w:val="78"/>
          <w:w w:val="150"/>
          <w:sz w:val="21"/>
          <w:szCs w:val="21"/>
        </w:rPr>
        <w:t xml:space="preserve"> </w:t>
      </w:r>
      <w:r w:rsidRPr="00AD79C7">
        <w:rPr>
          <w:rFonts w:ascii="Abadi" w:hAnsi="Abadi"/>
          <w:b/>
          <w:bCs/>
          <w:sz w:val="21"/>
          <w:szCs w:val="21"/>
        </w:rPr>
        <w:t>caso,</w:t>
      </w:r>
      <w:r w:rsidRPr="00AD79C7">
        <w:rPr>
          <w:rFonts w:ascii="Abadi" w:hAnsi="Abadi"/>
          <w:b/>
          <w:bCs/>
          <w:spacing w:val="78"/>
          <w:w w:val="150"/>
          <w:sz w:val="21"/>
          <w:szCs w:val="21"/>
        </w:rPr>
        <w:t xml:space="preserve"> </w:t>
      </w:r>
      <w:r w:rsidRPr="00AD79C7">
        <w:rPr>
          <w:rFonts w:ascii="Abadi" w:hAnsi="Abadi"/>
          <w:b/>
          <w:bCs/>
          <w:sz w:val="21"/>
          <w:szCs w:val="21"/>
        </w:rPr>
        <w:t>aprobación</w:t>
      </w:r>
      <w:r w:rsidRPr="00AD79C7">
        <w:rPr>
          <w:rFonts w:ascii="Abadi" w:hAnsi="Abadi"/>
          <w:b/>
          <w:bCs/>
          <w:spacing w:val="78"/>
          <w:w w:val="150"/>
          <w:sz w:val="21"/>
          <w:szCs w:val="21"/>
        </w:rPr>
        <w:t xml:space="preserve"> </w:t>
      </w:r>
      <w:r w:rsidRPr="00AD79C7">
        <w:rPr>
          <w:rFonts w:ascii="Abadi" w:hAnsi="Abadi"/>
          <w:b/>
          <w:bCs/>
          <w:sz w:val="21"/>
          <w:szCs w:val="21"/>
        </w:rPr>
        <w:t>del</w:t>
      </w:r>
      <w:r w:rsidRPr="00AD79C7">
        <w:rPr>
          <w:rFonts w:ascii="Abadi" w:hAnsi="Abadi"/>
          <w:b/>
          <w:bCs/>
          <w:spacing w:val="78"/>
          <w:w w:val="150"/>
          <w:sz w:val="21"/>
          <w:szCs w:val="21"/>
        </w:rPr>
        <w:t xml:space="preserve"> </w:t>
      </w:r>
      <w:r w:rsidRPr="00AD79C7">
        <w:rPr>
          <w:rFonts w:ascii="Abadi" w:hAnsi="Abadi"/>
          <w:b/>
          <w:bCs/>
          <w:sz w:val="21"/>
          <w:szCs w:val="21"/>
        </w:rPr>
        <w:t>dictamen</w:t>
      </w:r>
      <w:r w:rsidRPr="00AD79C7">
        <w:rPr>
          <w:rFonts w:ascii="Abadi" w:hAnsi="Abadi"/>
          <w:b/>
          <w:bCs/>
          <w:spacing w:val="78"/>
          <w:w w:val="150"/>
          <w:sz w:val="21"/>
          <w:szCs w:val="21"/>
        </w:rPr>
        <w:t xml:space="preserve"> </w:t>
      </w:r>
      <w:r w:rsidRPr="00AD79C7">
        <w:rPr>
          <w:rFonts w:ascii="Abadi" w:hAnsi="Abadi"/>
          <w:b/>
          <w:bCs/>
          <w:sz w:val="21"/>
          <w:szCs w:val="21"/>
        </w:rPr>
        <w:t>signado</w:t>
      </w:r>
      <w:r w:rsidRPr="00AD79C7">
        <w:rPr>
          <w:rFonts w:ascii="Abadi" w:hAnsi="Abadi"/>
          <w:b/>
          <w:bCs/>
          <w:spacing w:val="78"/>
          <w:w w:val="150"/>
          <w:sz w:val="21"/>
          <w:szCs w:val="21"/>
        </w:rPr>
        <w:t xml:space="preserve"> </w:t>
      </w:r>
      <w:r w:rsidRPr="00AD79C7">
        <w:rPr>
          <w:rFonts w:ascii="Abadi" w:hAnsi="Abadi"/>
          <w:b/>
          <w:bCs/>
          <w:sz w:val="21"/>
          <w:szCs w:val="21"/>
        </w:rPr>
        <w:t>por</w:t>
      </w:r>
      <w:r w:rsidRPr="00AD79C7">
        <w:rPr>
          <w:rFonts w:ascii="Abadi" w:hAnsi="Abadi"/>
          <w:b/>
          <w:bCs/>
          <w:spacing w:val="78"/>
          <w:w w:val="150"/>
          <w:sz w:val="21"/>
          <w:szCs w:val="21"/>
        </w:rPr>
        <w:t xml:space="preserve"> </w:t>
      </w:r>
      <w:r w:rsidRPr="00AD79C7">
        <w:rPr>
          <w:rFonts w:ascii="Abadi" w:hAnsi="Abadi"/>
          <w:b/>
          <w:bCs/>
          <w:sz w:val="21"/>
          <w:szCs w:val="21"/>
        </w:rPr>
        <w:t>las</w:t>
      </w:r>
      <w:r w:rsidRPr="00AD79C7">
        <w:rPr>
          <w:rFonts w:ascii="Abadi" w:hAnsi="Abadi"/>
          <w:b/>
          <w:bCs/>
          <w:spacing w:val="-1"/>
          <w:sz w:val="21"/>
          <w:szCs w:val="21"/>
        </w:rPr>
        <w:t xml:space="preserve"> </w:t>
      </w:r>
      <w:r w:rsidRPr="00AD79C7">
        <w:rPr>
          <w:rFonts w:ascii="Abadi" w:hAnsi="Abadi"/>
          <w:b/>
          <w:bCs/>
          <w:sz w:val="21"/>
          <w:szCs w:val="21"/>
        </w:rPr>
        <w:t>Comisiones</w:t>
      </w:r>
      <w:r w:rsidRPr="00AD79C7">
        <w:rPr>
          <w:rFonts w:ascii="Abadi" w:hAnsi="Abadi"/>
          <w:b/>
          <w:bCs/>
          <w:spacing w:val="-7"/>
          <w:sz w:val="21"/>
          <w:szCs w:val="21"/>
        </w:rPr>
        <w:t xml:space="preserve"> </w:t>
      </w:r>
      <w:r w:rsidRPr="00AD79C7">
        <w:rPr>
          <w:rFonts w:ascii="Abadi" w:hAnsi="Abadi"/>
          <w:b/>
          <w:bCs/>
          <w:sz w:val="21"/>
          <w:szCs w:val="21"/>
        </w:rPr>
        <w:t>Unidas</w:t>
      </w:r>
      <w:r w:rsidRPr="00AD79C7">
        <w:rPr>
          <w:rFonts w:ascii="Abadi" w:hAnsi="Abadi"/>
          <w:b/>
          <w:bCs/>
          <w:spacing w:val="-6"/>
          <w:sz w:val="21"/>
          <w:szCs w:val="21"/>
        </w:rPr>
        <w:t xml:space="preserve"> </w:t>
      </w:r>
      <w:r w:rsidRPr="00AD79C7">
        <w:rPr>
          <w:rFonts w:ascii="Abadi" w:hAnsi="Abadi"/>
          <w:b/>
          <w:bCs/>
          <w:sz w:val="21"/>
          <w:szCs w:val="21"/>
        </w:rPr>
        <w:t>de</w:t>
      </w:r>
      <w:r w:rsidRPr="00AD79C7">
        <w:rPr>
          <w:rFonts w:ascii="Abadi" w:hAnsi="Abadi"/>
          <w:b/>
          <w:bCs/>
          <w:spacing w:val="-6"/>
          <w:sz w:val="21"/>
          <w:szCs w:val="21"/>
        </w:rPr>
        <w:t xml:space="preserve"> </w:t>
      </w:r>
      <w:r w:rsidRPr="00AD79C7">
        <w:rPr>
          <w:rFonts w:ascii="Abadi" w:hAnsi="Abadi"/>
          <w:b/>
          <w:bCs/>
          <w:sz w:val="21"/>
          <w:szCs w:val="21"/>
        </w:rPr>
        <w:t>Hacienda</w:t>
      </w:r>
      <w:r w:rsidRPr="00AD79C7">
        <w:rPr>
          <w:rFonts w:ascii="Abadi" w:hAnsi="Abadi"/>
          <w:b/>
          <w:bCs/>
          <w:spacing w:val="-6"/>
          <w:sz w:val="21"/>
          <w:szCs w:val="21"/>
        </w:rPr>
        <w:t xml:space="preserve"> </w:t>
      </w:r>
      <w:r w:rsidRPr="00AD79C7">
        <w:rPr>
          <w:rFonts w:ascii="Abadi" w:hAnsi="Abadi"/>
          <w:b/>
          <w:bCs/>
          <w:sz w:val="21"/>
          <w:szCs w:val="21"/>
        </w:rPr>
        <w:t>y</w:t>
      </w:r>
      <w:r w:rsidRPr="00AD79C7">
        <w:rPr>
          <w:rFonts w:ascii="Abadi" w:hAnsi="Abadi"/>
          <w:b/>
          <w:bCs/>
          <w:spacing w:val="-6"/>
          <w:sz w:val="21"/>
          <w:szCs w:val="21"/>
        </w:rPr>
        <w:t xml:space="preserve"> </w:t>
      </w:r>
      <w:r w:rsidRPr="00AD79C7">
        <w:rPr>
          <w:rFonts w:ascii="Abadi" w:hAnsi="Abadi"/>
          <w:b/>
          <w:bCs/>
          <w:sz w:val="21"/>
          <w:szCs w:val="21"/>
        </w:rPr>
        <w:t>Fiscalización</w:t>
      </w:r>
      <w:r w:rsidRPr="00AD79C7">
        <w:rPr>
          <w:rFonts w:ascii="Abadi" w:hAnsi="Abadi"/>
          <w:b/>
          <w:bCs/>
          <w:spacing w:val="-7"/>
          <w:sz w:val="21"/>
          <w:szCs w:val="21"/>
        </w:rPr>
        <w:t xml:space="preserve"> </w:t>
      </w:r>
      <w:r w:rsidRPr="00AD79C7">
        <w:rPr>
          <w:rFonts w:ascii="Abadi" w:hAnsi="Abadi"/>
          <w:b/>
          <w:bCs/>
          <w:sz w:val="21"/>
          <w:szCs w:val="21"/>
        </w:rPr>
        <w:t>y</w:t>
      </w:r>
      <w:r w:rsidRPr="00AD79C7">
        <w:rPr>
          <w:rFonts w:ascii="Abadi" w:hAnsi="Abadi"/>
          <w:b/>
          <w:bCs/>
          <w:spacing w:val="-6"/>
          <w:sz w:val="21"/>
          <w:szCs w:val="21"/>
        </w:rPr>
        <w:t xml:space="preserve"> </w:t>
      </w:r>
      <w:r w:rsidRPr="00AD79C7">
        <w:rPr>
          <w:rFonts w:ascii="Abadi" w:hAnsi="Abadi"/>
          <w:b/>
          <w:bCs/>
          <w:sz w:val="21"/>
          <w:szCs w:val="21"/>
        </w:rPr>
        <w:t>de</w:t>
      </w:r>
      <w:r w:rsidRPr="00AD79C7">
        <w:rPr>
          <w:rFonts w:ascii="Abadi" w:hAnsi="Abadi"/>
          <w:b/>
          <w:bCs/>
          <w:spacing w:val="-6"/>
          <w:sz w:val="21"/>
          <w:szCs w:val="21"/>
        </w:rPr>
        <w:t xml:space="preserve"> </w:t>
      </w:r>
      <w:r w:rsidRPr="00AD79C7">
        <w:rPr>
          <w:rFonts w:ascii="Abadi" w:hAnsi="Abadi"/>
          <w:b/>
          <w:bCs/>
          <w:sz w:val="21"/>
          <w:szCs w:val="21"/>
        </w:rPr>
        <w:t>Gobernación</w:t>
      </w:r>
      <w:r w:rsidRPr="00AD79C7">
        <w:rPr>
          <w:rFonts w:ascii="Abadi" w:hAnsi="Abadi"/>
          <w:b/>
          <w:bCs/>
          <w:spacing w:val="-6"/>
          <w:sz w:val="21"/>
          <w:szCs w:val="21"/>
        </w:rPr>
        <w:t xml:space="preserve"> </w:t>
      </w:r>
      <w:r w:rsidRPr="00AD79C7">
        <w:rPr>
          <w:rFonts w:ascii="Abadi" w:hAnsi="Abadi"/>
          <w:b/>
          <w:bCs/>
          <w:sz w:val="21"/>
          <w:szCs w:val="21"/>
        </w:rPr>
        <w:t>y</w:t>
      </w:r>
      <w:r w:rsidRPr="00AD79C7">
        <w:rPr>
          <w:rFonts w:ascii="Abadi" w:hAnsi="Abadi"/>
          <w:b/>
          <w:bCs/>
          <w:spacing w:val="-7"/>
          <w:sz w:val="21"/>
          <w:szCs w:val="21"/>
        </w:rPr>
        <w:t xml:space="preserve"> </w:t>
      </w:r>
      <w:r w:rsidRPr="00AD79C7">
        <w:rPr>
          <w:rFonts w:ascii="Abadi" w:hAnsi="Abadi"/>
          <w:b/>
          <w:bCs/>
          <w:sz w:val="21"/>
          <w:szCs w:val="21"/>
        </w:rPr>
        <w:t>Puntos</w:t>
      </w:r>
      <w:r w:rsidRPr="00AD79C7">
        <w:rPr>
          <w:rFonts w:ascii="Abadi" w:hAnsi="Abadi"/>
          <w:b/>
          <w:bCs/>
          <w:spacing w:val="-1"/>
          <w:sz w:val="21"/>
          <w:szCs w:val="21"/>
        </w:rPr>
        <w:t xml:space="preserve"> </w:t>
      </w:r>
      <w:r w:rsidRPr="00AD79C7">
        <w:rPr>
          <w:rFonts w:ascii="Abadi" w:hAnsi="Abadi"/>
          <w:b/>
          <w:bCs/>
          <w:sz w:val="21"/>
          <w:szCs w:val="21"/>
        </w:rPr>
        <w:t>Constitucionales</w:t>
      </w:r>
      <w:r w:rsidRPr="00AD79C7">
        <w:rPr>
          <w:rFonts w:ascii="Abadi" w:hAnsi="Abadi"/>
          <w:b/>
          <w:bCs/>
          <w:spacing w:val="54"/>
          <w:sz w:val="21"/>
          <w:szCs w:val="21"/>
        </w:rPr>
        <w:t xml:space="preserve"> </w:t>
      </w:r>
      <w:r w:rsidRPr="00AD79C7">
        <w:rPr>
          <w:rFonts w:ascii="Abadi" w:hAnsi="Abadi"/>
          <w:b/>
          <w:bCs/>
          <w:sz w:val="21"/>
          <w:szCs w:val="21"/>
        </w:rPr>
        <w:t>relativo</w:t>
      </w:r>
      <w:r w:rsidRPr="00AD79C7">
        <w:rPr>
          <w:rFonts w:ascii="Abadi" w:hAnsi="Abadi"/>
          <w:b/>
          <w:bCs/>
          <w:spacing w:val="53"/>
          <w:sz w:val="21"/>
          <w:szCs w:val="21"/>
        </w:rPr>
        <w:t xml:space="preserve"> </w:t>
      </w:r>
      <w:r w:rsidRPr="00AD79C7">
        <w:rPr>
          <w:rFonts w:ascii="Abadi" w:hAnsi="Abadi"/>
          <w:b/>
          <w:bCs/>
          <w:sz w:val="21"/>
          <w:szCs w:val="21"/>
        </w:rPr>
        <w:t>a</w:t>
      </w:r>
      <w:r w:rsidRPr="00AD79C7">
        <w:rPr>
          <w:rFonts w:ascii="Abadi" w:hAnsi="Abadi"/>
          <w:b/>
          <w:bCs/>
          <w:spacing w:val="53"/>
          <w:sz w:val="21"/>
          <w:szCs w:val="21"/>
        </w:rPr>
        <w:t xml:space="preserve"> </w:t>
      </w:r>
      <w:r w:rsidRPr="00AD79C7">
        <w:rPr>
          <w:rFonts w:ascii="Abadi" w:hAnsi="Abadi"/>
          <w:b/>
          <w:bCs/>
          <w:sz w:val="21"/>
          <w:szCs w:val="21"/>
        </w:rPr>
        <w:t>la</w:t>
      </w:r>
      <w:r w:rsidRPr="00AD79C7">
        <w:rPr>
          <w:rFonts w:ascii="Abadi" w:hAnsi="Abadi"/>
          <w:b/>
          <w:bCs/>
          <w:spacing w:val="53"/>
          <w:sz w:val="21"/>
          <w:szCs w:val="21"/>
        </w:rPr>
        <w:t xml:space="preserve"> </w:t>
      </w:r>
      <w:r w:rsidRPr="00AD79C7">
        <w:rPr>
          <w:rFonts w:ascii="Abadi" w:hAnsi="Abadi"/>
          <w:b/>
          <w:bCs/>
          <w:sz w:val="21"/>
          <w:szCs w:val="21"/>
        </w:rPr>
        <w:t>iniciativa</w:t>
      </w:r>
      <w:r w:rsidRPr="00AD79C7">
        <w:rPr>
          <w:rFonts w:ascii="Abadi" w:hAnsi="Abadi"/>
          <w:b/>
          <w:bCs/>
          <w:spacing w:val="53"/>
          <w:sz w:val="21"/>
          <w:szCs w:val="21"/>
        </w:rPr>
        <w:t xml:space="preserve"> </w:t>
      </w:r>
      <w:r w:rsidRPr="00AD79C7">
        <w:rPr>
          <w:rFonts w:ascii="Abadi" w:hAnsi="Abadi"/>
          <w:b/>
          <w:bCs/>
          <w:sz w:val="21"/>
          <w:szCs w:val="21"/>
        </w:rPr>
        <w:t>formulada</w:t>
      </w:r>
      <w:r w:rsidRPr="00AD79C7">
        <w:rPr>
          <w:rFonts w:ascii="Abadi" w:hAnsi="Abadi"/>
          <w:b/>
          <w:bCs/>
          <w:spacing w:val="53"/>
          <w:sz w:val="21"/>
          <w:szCs w:val="21"/>
        </w:rPr>
        <w:t xml:space="preserve"> </w:t>
      </w:r>
      <w:r w:rsidRPr="00AD79C7">
        <w:rPr>
          <w:rFonts w:ascii="Abadi" w:hAnsi="Abadi"/>
          <w:b/>
          <w:bCs/>
          <w:sz w:val="21"/>
          <w:szCs w:val="21"/>
        </w:rPr>
        <w:t>por</w:t>
      </w:r>
      <w:r w:rsidRPr="00AD79C7">
        <w:rPr>
          <w:rFonts w:ascii="Abadi" w:hAnsi="Abadi"/>
          <w:b/>
          <w:bCs/>
          <w:spacing w:val="53"/>
          <w:sz w:val="21"/>
          <w:szCs w:val="21"/>
        </w:rPr>
        <w:t xml:space="preserve"> </w:t>
      </w:r>
      <w:r w:rsidRPr="00AD79C7">
        <w:rPr>
          <w:rFonts w:ascii="Abadi" w:hAnsi="Abadi"/>
          <w:b/>
          <w:bCs/>
          <w:sz w:val="21"/>
          <w:szCs w:val="21"/>
        </w:rPr>
        <w:t>el</w:t>
      </w:r>
      <w:r w:rsidRPr="00AD79C7">
        <w:rPr>
          <w:rFonts w:ascii="Abadi" w:hAnsi="Abadi"/>
          <w:b/>
          <w:bCs/>
          <w:spacing w:val="53"/>
          <w:sz w:val="21"/>
          <w:szCs w:val="21"/>
        </w:rPr>
        <w:t xml:space="preserve"> </w:t>
      </w:r>
      <w:r w:rsidRPr="00AD79C7">
        <w:rPr>
          <w:rFonts w:ascii="Abadi" w:hAnsi="Abadi"/>
          <w:b/>
          <w:bCs/>
          <w:sz w:val="21"/>
          <w:szCs w:val="21"/>
        </w:rPr>
        <w:t>Gobernador</w:t>
      </w:r>
      <w:r w:rsidRPr="00AD79C7">
        <w:rPr>
          <w:rFonts w:ascii="Abadi" w:hAnsi="Abadi"/>
          <w:b/>
          <w:bCs/>
          <w:spacing w:val="53"/>
          <w:sz w:val="21"/>
          <w:szCs w:val="21"/>
        </w:rPr>
        <w:t xml:space="preserve"> </w:t>
      </w:r>
      <w:r w:rsidRPr="00AD79C7">
        <w:rPr>
          <w:rFonts w:ascii="Abadi" w:hAnsi="Abadi"/>
          <w:b/>
          <w:bCs/>
          <w:sz w:val="21"/>
          <w:szCs w:val="21"/>
        </w:rPr>
        <w:t>del</w:t>
      </w:r>
      <w:r w:rsidRPr="00AD79C7">
        <w:rPr>
          <w:rFonts w:ascii="Abadi" w:hAnsi="Abadi"/>
          <w:b/>
          <w:bCs/>
          <w:spacing w:val="-1"/>
          <w:sz w:val="21"/>
          <w:szCs w:val="21"/>
        </w:rPr>
        <w:t xml:space="preserve"> </w:t>
      </w:r>
      <w:r w:rsidRPr="00AD79C7">
        <w:rPr>
          <w:rFonts w:ascii="Abadi" w:hAnsi="Abadi"/>
          <w:b/>
          <w:bCs/>
          <w:sz w:val="21"/>
          <w:szCs w:val="21"/>
        </w:rPr>
        <w:t>Estado</w:t>
      </w:r>
      <w:r w:rsidRPr="00AD79C7">
        <w:rPr>
          <w:rFonts w:ascii="Abadi" w:hAnsi="Abadi"/>
          <w:b/>
          <w:bCs/>
          <w:spacing w:val="62"/>
          <w:sz w:val="21"/>
          <w:szCs w:val="21"/>
        </w:rPr>
        <w:t xml:space="preserve"> </w:t>
      </w:r>
      <w:r w:rsidRPr="00AD79C7">
        <w:rPr>
          <w:rFonts w:ascii="Abadi" w:hAnsi="Abadi"/>
          <w:b/>
          <w:bCs/>
          <w:sz w:val="21"/>
          <w:szCs w:val="21"/>
        </w:rPr>
        <w:t>a</w:t>
      </w:r>
      <w:r w:rsidRPr="00AD79C7">
        <w:rPr>
          <w:rFonts w:ascii="Abadi" w:hAnsi="Abadi"/>
          <w:b/>
          <w:bCs/>
          <w:spacing w:val="62"/>
          <w:sz w:val="21"/>
          <w:szCs w:val="21"/>
        </w:rPr>
        <w:t xml:space="preserve"> </w:t>
      </w:r>
      <w:r w:rsidRPr="00AD79C7">
        <w:rPr>
          <w:rFonts w:ascii="Abadi" w:hAnsi="Abadi"/>
          <w:b/>
          <w:bCs/>
          <w:sz w:val="21"/>
          <w:szCs w:val="21"/>
        </w:rPr>
        <w:t>efecto</w:t>
      </w:r>
      <w:r w:rsidRPr="00AD79C7">
        <w:rPr>
          <w:rFonts w:ascii="Abadi" w:hAnsi="Abadi"/>
          <w:b/>
          <w:bCs/>
          <w:spacing w:val="62"/>
          <w:sz w:val="21"/>
          <w:szCs w:val="21"/>
        </w:rPr>
        <w:t xml:space="preserve"> </w:t>
      </w:r>
      <w:r w:rsidRPr="00AD79C7">
        <w:rPr>
          <w:rFonts w:ascii="Abadi" w:hAnsi="Abadi"/>
          <w:b/>
          <w:bCs/>
          <w:sz w:val="21"/>
          <w:szCs w:val="21"/>
        </w:rPr>
        <w:t>de</w:t>
      </w:r>
      <w:r w:rsidRPr="00AD79C7">
        <w:rPr>
          <w:rFonts w:ascii="Abadi" w:hAnsi="Abadi"/>
          <w:b/>
          <w:bCs/>
          <w:spacing w:val="62"/>
          <w:sz w:val="21"/>
          <w:szCs w:val="21"/>
        </w:rPr>
        <w:t xml:space="preserve"> </w:t>
      </w:r>
      <w:r w:rsidRPr="00AD79C7">
        <w:rPr>
          <w:rFonts w:ascii="Abadi" w:hAnsi="Abadi"/>
          <w:b/>
          <w:bCs/>
          <w:sz w:val="21"/>
          <w:szCs w:val="21"/>
        </w:rPr>
        <w:t>reformar</w:t>
      </w:r>
      <w:r w:rsidRPr="00AD79C7">
        <w:rPr>
          <w:rFonts w:ascii="Abadi" w:hAnsi="Abadi"/>
          <w:b/>
          <w:bCs/>
          <w:spacing w:val="61"/>
          <w:sz w:val="21"/>
          <w:szCs w:val="21"/>
        </w:rPr>
        <w:t xml:space="preserve"> </w:t>
      </w:r>
      <w:r w:rsidRPr="00AD79C7">
        <w:rPr>
          <w:rFonts w:ascii="Abadi" w:hAnsi="Abadi"/>
          <w:b/>
          <w:bCs/>
          <w:sz w:val="21"/>
          <w:szCs w:val="21"/>
        </w:rPr>
        <w:t>el</w:t>
      </w:r>
      <w:r w:rsidRPr="00AD79C7">
        <w:rPr>
          <w:rFonts w:ascii="Abadi" w:hAnsi="Abadi"/>
          <w:b/>
          <w:bCs/>
          <w:spacing w:val="62"/>
          <w:sz w:val="21"/>
          <w:szCs w:val="21"/>
        </w:rPr>
        <w:t xml:space="preserve"> </w:t>
      </w:r>
      <w:r w:rsidRPr="00AD79C7">
        <w:rPr>
          <w:rFonts w:ascii="Abadi" w:hAnsi="Abadi"/>
          <w:b/>
          <w:bCs/>
          <w:sz w:val="21"/>
          <w:szCs w:val="21"/>
        </w:rPr>
        <w:t>artículo</w:t>
      </w:r>
      <w:r w:rsidRPr="00AD79C7">
        <w:rPr>
          <w:rFonts w:ascii="Abadi" w:hAnsi="Abadi"/>
          <w:b/>
          <w:bCs/>
          <w:spacing w:val="62"/>
          <w:sz w:val="21"/>
          <w:szCs w:val="21"/>
        </w:rPr>
        <w:t xml:space="preserve"> </w:t>
      </w:r>
      <w:r w:rsidRPr="00AD79C7">
        <w:rPr>
          <w:rFonts w:ascii="Abadi" w:hAnsi="Abadi"/>
          <w:b/>
          <w:bCs/>
          <w:sz w:val="21"/>
          <w:szCs w:val="21"/>
        </w:rPr>
        <w:t>Sexto</w:t>
      </w:r>
      <w:r w:rsidRPr="00AD79C7">
        <w:rPr>
          <w:rFonts w:ascii="Abadi" w:hAnsi="Abadi"/>
          <w:b/>
          <w:bCs/>
          <w:spacing w:val="62"/>
          <w:sz w:val="21"/>
          <w:szCs w:val="21"/>
        </w:rPr>
        <w:t xml:space="preserve"> </w:t>
      </w:r>
      <w:r w:rsidRPr="00AD79C7">
        <w:rPr>
          <w:rFonts w:ascii="Abadi" w:hAnsi="Abadi"/>
          <w:b/>
          <w:bCs/>
          <w:sz w:val="21"/>
          <w:szCs w:val="21"/>
        </w:rPr>
        <w:t>Transitorio</w:t>
      </w:r>
      <w:r w:rsidRPr="00AD79C7">
        <w:rPr>
          <w:rFonts w:ascii="Abadi" w:hAnsi="Abadi"/>
          <w:b/>
          <w:bCs/>
          <w:spacing w:val="62"/>
          <w:sz w:val="21"/>
          <w:szCs w:val="21"/>
        </w:rPr>
        <w:t xml:space="preserve"> </w:t>
      </w:r>
      <w:r w:rsidRPr="00AD79C7">
        <w:rPr>
          <w:rFonts w:ascii="Abadi" w:hAnsi="Abadi"/>
          <w:b/>
          <w:bCs/>
          <w:sz w:val="21"/>
          <w:szCs w:val="21"/>
        </w:rPr>
        <w:t>de</w:t>
      </w:r>
      <w:r w:rsidRPr="00AD79C7">
        <w:rPr>
          <w:rFonts w:ascii="Abadi" w:hAnsi="Abadi"/>
          <w:b/>
          <w:bCs/>
          <w:spacing w:val="62"/>
          <w:sz w:val="21"/>
          <w:szCs w:val="21"/>
        </w:rPr>
        <w:t xml:space="preserve"> </w:t>
      </w:r>
      <w:r w:rsidRPr="00AD79C7">
        <w:rPr>
          <w:rFonts w:ascii="Abadi" w:hAnsi="Abadi"/>
          <w:b/>
          <w:bCs/>
          <w:sz w:val="21"/>
          <w:szCs w:val="21"/>
        </w:rPr>
        <w:t>la</w:t>
      </w:r>
      <w:r w:rsidRPr="00AD79C7">
        <w:rPr>
          <w:rFonts w:ascii="Abadi" w:hAnsi="Abadi"/>
          <w:b/>
          <w:bCs/>
          <w:spacing w:val="62"/>
          <w:sz w:val="21"/>
          <w:szCs w:val="21"/>
        </w:rPr>
        <w:t xml:space="preserve"> </w:t>
      </w:r>
      <w:r w:rsidRPr="00AD79C7">
        <w:rPr>
          <w:rFonts w:ascii="Abadi" w:hAnsi="Abadi"/>
          <w:b/>
          <w:bCs/>
          <w:sz w:val="21"/>
          <w:szCs w:val="21"/>
        </w:rPr>
        <w:t>Ley</w:t>
      </w:r>
      <w:r w:rsidRPr="00AD79C7">
        <w:rPr>
          <w:rFonts w:ascii="Abadi" w:hAnsi="Abadi"/>
          <w:b/>
          <w:bCs/>
          <w:spacing w:val="62"/>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Ingresos del Estado de Guanajuato, para el Ejercicio Fiscal de 2022.</w:t>
      </w:r>
    </w:p>
    <w:p w14:paraId="732E8B9A" w14:textId="77777777" w:rsidR="009818AB" w:rsidRPr="009818AB" w:rsidRDefault="009818AB" w:rsidP="009818AB">
      <w:pPr>
        <w:pStyle w:val="Prrafodelista"/>
        <w:rPr>
          <w:rFonts w:ascii="Abadi" w:hAnsi="Abadi"/>
          <w:b/>
          <w:bCs/>
          <w:sz w:val="21"/>
          <w:szCs w:val="21"/>
        </w:rPr>
      </w:pPr>
    </w:p>
    <w:p w14:paraId="3837DDB3" w14:textId="77777777" w:rsidR="009818AB" w:rsidRPr="00AD79C7" w:rsidRDefault="009818AB" w:rsidP="005433FA">
      <w:pPr>
        <w:pStyle w:val="Prrafodelista"/>
        <w:numPr>
          <w:ilvl w:val="0"/>
          <w:numId w:val="8"/>
        </w:numPr>
        <w:tabs>
          <w:tab w:val="left" w:pos="856"/>
        </w:tabs>
        <w:kinsoku w:val="0"/>
        <w:overflowPunct w:val="0"/>
        <w:autoSpaceDE w:val="0"/>
        <w:autoSpaceDN w:val="0"/>
        <w:adjustRightInd w:val="0"/>
        <w:spacing w:before="1"/>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2"/>
          <w:sz w:val="21"/>
          <w:szCs w:val="21"/>
        </w:rPr>
        <w:t xml:space="preserve"> </w:t>
      </w:r>
      <w:r w:rsidRPr="00AD79C7">
        <w:rPr>
          <w:rFonts w:ascii="Abadi" w:hAnsi="Abadi"/>
          <w:b/>
          <w:bCs/>
          <w:sz w:val="21"/>
          <w:szCs w:val="21"/>
        </w:rPr>
        <w:t>y,</w:t>
      </w:r>
      <w:r w:rsidRPr="00AD79C7">
        <w:rPr>
          <w:rFonts w:ascii="Abadi" w:hAnsi="Abadi"/>
          <w:b/>
          <w:bCs/>
          <w:spacing w:val="12"/>
          <w:sz w:val="21"/>
          <w:szCs w:val="21"/>
        </w:rPr>
        <w:t xml:space="preserve"> </w:t>
      </w:r>
      <w:r w:rsidRPr="00AD79C7">
        <w:rPr>
          <w:rFonts w:ascii="Abadi" w:hAnsi="Abadi"/>
          <w:b/>
          <w:bCs/>
          <w:sz w:val="21"/>
          <w:szCs w:val="21"/>
        </w:rPr>
        <w:t>en</w:t>
      </w:r>
      <w:r w:rsidRPr="00AD79C7">
        <w:rPr>
          <w:rFonts w:ascii="Abadi" w:hAnsi="Abadi"/>
          <w:b/>
          <w:bCs/>
          <w:spacing w:val="12"/>
          <w:sz w:val="21"/>
          <w:szCs w:val="21"/>
        </w:rPr>
        <w:t xml:space="preserve"> </w:t>
      </w:r>
      <w:r w:rsidRPr="00AD79C7">
        <w:rPr>
          <w:rFonts w:ascii="Abadi" w:hAnsi="Abadi"/>
          <w:b/>
          <w:bCs/>
          <w:sz w:val="21"/>
          <w:szCs w:val="21"/>
        </w:rPr>
        <w:t>su</w:t>
      </w:r>
      <w:r w:rsidRPr="00AD79C7">
        <w:rPr>
          <w:rFonts w:ascii="Abadi" w:hAnsi="Abadi"/>
          <w:b/>
          <w:bCs/>
          <w:spacing w:val="12"/>
          <w:sz w:val="21"/>
          <w:szCs w:val="21"/>
        </w:rPr>
        <w:t xml:space="preserve"> </w:t>
      </w:r>
      <w:r w:rsidRPr="00AD79C7">
        <w:rPr>
          <w:rFonts w:ascii="Abadi" w:hAnsi="Abadi"/>
          <w:b/>
          <w:bCs/>
          <w:sz w:val="21"/>
          <w:szCs w:val="21"/>
        </w:rPr>
        <w:t>caso,</w:t>
      </w:r>
      <w:r w:rsidRPr="00AD79C7">
        <w:rPr>
          <w:rFonts w:ascii="Abadi" w:hAnsi="Abadi"/>
          <w:b/>
          <w:bCs/>
          <w:spacing w:val="12"/>
          <w:sz w:val="21"/>
          <w:szCs w:val="21"/>
        </w:rPr>
        <w:t xml:space="preserve"> </w:t>
      </w:r>
      <w:r w:rsidRPr="00AD79C7">
        <w:rPr>
          <w:rFonts w:ascii="Abadi" w:hAnsi="Abadi"/>
          <w:b/>
          <w:bCs/>
          <w:sz w:val="21"/>
          <w:szCs w:val="21"/>
        </w:rPr>
        <w:t>aprobación</w:t>
      </w:r>
      <w:r w:rsidRPr="00AD79C7">
        <w:rPr>
          <w:rFonts w:ascii="Abadi" w:hAnsi="Abadi"/>
          <w:b/>
          <w:bCs/>
          <w:spacing w:val="12"/>
          <w:sz w:val="21"/>
          <w:szCs w:val="21"/>
        </w:rPr>
        <w:t xml:space="preserve"> </w:t>
      </w:r>
      <w:r w:rsidRPr="00AD79C7">
        <w:rPr>
          <w:rFonts w:ascii="Abadi" w:hAnsi="Abadi"/>
          <w:b/>
          <w:bCs/>
          <w:sz w:val="21"/>
          <w:szCs w:val="21"/>
        </w:rPr>
        <w:t>del</w:t>
      </w:r>
      <w:r w:rsidRPr="00AD79C7">
        <w:rPr>
          <w:rFonts w:ascii="Abadi" w:hAnsi="Abadi"/>
          <w:b/>
          <w:bCs/>
          <w:spacing w:val="12"/>
          <w:sz w:val="21"/>
          <w:szCs w:val="21"/>
        </w:rPr>
        <w:t xml:space="preserve"> </w:t>
      </w:r>
      <w:r w:rsidRPr="00AD79C7">
        <w:rPr>
          <w:rFonts w:ascii="Abadi" w:hAnsi="Abadi"/>
          <w:b/>
          <w:bCs/>
          <w:sz w:val="21"/>
          <w:szCs w:val="21"/>
        </w:rPr>
        <w:t>dictamen</w:t>
      </w:r>
      <w:r w:rsidRPr="00AD79C7">
        <w:rPr>
          <w:rFonts w:ascii="Abadi" w:hAnsi="Abadi"/>
          <w:b/>
          <w:bCs/>
          <w:spacing w:val="12"/>
          <w:sz w:val="21"/>
          <w:szCs w:val="21"/>
        </w:rPr>
        <w:t xml:space="preserve"> </w:t>
      </w:r>
      <w:r w:rsidRPr="00AD79C7">
        <w:rPr>
          <w:rFonts w:ascii="Abadi" w:hAnsi="Abadi"/>
          <w:b/>
          <w:bCs/>
          <w:sz w:val="21"/>
          <w:szCs w:val="21"/>
        </w:rPr>
        <w:t>suscrito</w:t>
      </w:r>
      <w:r w:rsidRPr="00AD79C7">
        <w:rPr>
          <w:rFonts w:ascii="Abadi" w:hAnsi="Abadi"/>
          <w:b/>
          <w:bCs/>
          <w:spacing w:val="13"/>
          <w:sz w:val="21"/>
          <w:szCs w:val="21"/>
        </w:rPr>
        <w:t xml:space="preserve"> </w:t>
      </w:r>
      <w:r w:rsidRPr="00AD79C7">
        <w:rPr>
          <w:rFonts w:ascii="Abadi" w:hAnsi="Abadi"/>
          <w:b/>
          <w:bCs/>
          <w:sz w:val="21"/>
          <w:szCs w:val="21"/>
        </w:rPr>
        <w:t>por</w:t>
      </w:r>
      <w:r w:rsidRPr="00AD79C7">
        <w:rPr>
          <w:rFonts w:ascii="Abadi" w:hAnsi="Abadi"/>
          <w:b/>
          <w:bCs/>
          <w:spacing w:val="12"/>
          <w:sz w:val="21"/>
          <w:szCs w:val="21"/>
        </w:rPr>
        <w:t xml:space="preserve"> </w:t>
      </w:r>
      <w:r w:rsidRPr="00AD79C7">
        <w:rPr>
          <w:rFonts w:ascii="Abadi" w:hAnsi="Abadi"/>
          <w:b/>
          <w:bCs/>
          <w:sz w:val="21"/>
          <w:szCs w:val="21"/>
        </w:rPr>
        <w:t>la</w:t>
      </w:r>
      <w:r w:rsidRPr="00AD79C7">
        <w:rPr>
          <w:rFonts w:ascii="Abadi" w:hAnsi="Abadi"/>
          <w:b/>
          <w:bCs/>
          <w:spacing w:val="12"/>
          <w:sz w:val="21"/>
          <w:szCs w:val="21"/>
        </w:rPr>
        <w:t xml:space="preserve"> </w:t>
      </w:r>
      <w:r w:rsidRPr="00AD79C7">
        <w:rPr>
          <w:rFonts w:ascii="Abadi" w:hAnsi="Abadi"/>
          <w:b/>
          <w:bCs/>
          <w:sz w:val="21"/>
          <w:szCs w:val="21"/>
        </w:rPr>
        <w:t>Comisión de</w:t>
      </w:r>
      <w:r w:rsidRPr="00AD79C7">
        <w:rPr>
          <w:rFonts w:ascii="Abadi" w:hAnsi="Abadi"/>
          <w:b/>
          <w:bCs/>
          <w:spacing w:val="35"/>
          <w:sz w:val="21"/>
          <w:szCs w:val="21"/>
        </w:rPr>
        <w:t xml:space="preserve"> </w:t>
      </w:r>
      <w:r w:rsidRPr="00AD79C7">
        <w:rPr>
          <w:rFonts w:ascii="Abadi" w:hAnsi="Abadi"/>
          <w:b/>
          <w:bCs/>
          <w:sz w:val="21"/>
          <w:szCs w:val="21"/>
        </w:rPr>
        <w:t>Justicia</w:t>
      </w:r>
      <w:r w:rsidRPr="00AD79C7">
        <w:rPr>
          <w:rFonts w:ascii="Abadi" w:hAnsi="Abadi"/>
          <w:b/>
          <w:bCs/>
          <w:spacing w:val="35"/>
          <w:sz w:val="21"/>
          <w:szCs w:val="21"/>
        </w:rPr>
        <w:t xml:space="preserve"> </w:t>
      </w:r>
      <w:r w:rsidRPr="00AD79C7">
        <w:rPr>
          <w:rFonts w:ascii="Abadi" w:hAnsi="Abadi"/>
          <w:b/>
          <w:bCs/>
          <w:sz w:val="21"/>
          <w:szCs w:val="21"/>
        </w:rPr>
        <w:t>relativo</w:t>
      </w:r>
      <w:r w:rsidRPr="00AD79C7">
        <w:rPr>
          <w:rFonts w:ascii="Abadi" w:hAnsi="Abadi"/>
          <w:b/>
          <w:bCs/>
          <w:spacing w:val="35"/>
          <w:sz w:val="21"/>
          <w:szCs w:val="21"/>
        </w:rPr>
        <w:t xml:space="preserve"> </w:t>
      </w:r>
      <w:r w:rsidRPr="00AD79C7">
        <w:rPr>
          <w:rFonts w:ascii="Abadi" w:hAnsi="Abadi"/>
          <w:b/>
          <w:bCs/>
          <w:sz w:val="21"/>
          <w:szCs w:val="21"/>
        </w:rPr>
        <w:t>a</w:t>
      </w:r>
      <w:r w:rsidRPr="00AD79C7">
        <w:rPr>
          <w:rFonts w:ascii="Abadi" w:hAnsi="Abadi"/>
          <w:b/>
          <w:bCs/>
          <w:spacing w:val="35"/>
          <w:sz w:val="21"/>
          <w:szCs w:val="21"/>
        </w:rPr>
        <w:t xml:space="preserve"> </w:t>
      </w:r>
      <w:r w:rsidRPr="00AD79C7">
        <w:rPr>
          <w:rFonts w:ascii="Abadi" w:hAnsi="Abadi"/>
          <w:b/>
          <w:bCs/>
          <w:sz w:val="21"/>
          <w:szCs w:val="21"/>
        </w:rPr>
        <w:t>la</w:t>
      </w:r>
      <w:r w:rsidRPr="00AD79C7">
        <w:rPr>
          <w:rFonts w:ascii="Abadi" w:hAnsi="Abadi"/>
          <w:b/>
          <w:bCs/>
          <w:spacing w:val="35"/>
          <w:sz w:val="21"/>
          <w:szCs w:val="21"/>
        </w:rPr>
        <w:t xml:space="preserve"> </w:t>
      </w:r>
      <w:r w:rsidRPr="00AD79C7">
        <w:rPr>
          <w:rFonts w:ascii="Abadi" w:hAnsi="Abadi"/>
          <w:b/>
          <w:bCs/>
          <w:sz w:val="21"/>
          <w:szCs w:val="21"/>
        </w:rPr>
        <w:t>iniciativa</w:t>
      </w:r>
      <w:r w:rsidRPr="00AD79C7">
        <w:rPr>
          <w:rFonts w:ascii="Abadi" w:hAnsi="Abadi"/>
          <w:b/>
          <w:bCs/>
          <w:spacing w:val="35"/>
          <w:sz w:val="21"/>
          <w:szCs w:val="21"/>
        </w:rPr>
        <w:t xml:space="preserve"> </w:t>
      </w:r>
      <w:r w:rsidRPr="00AD79C7">
        <w:rPr>
          <w:rFonts w:ascii="Abadi" w:hAnsi="Abadi"/>
          <w:b/>
          <w:bCs/>
          <w:sz w:val="21"/>
          <w:szCs w:val="21"/>
        </w:rPr>
        <w:t>a</w:t>
      </w:r>
      <w:r w:rsidRPr="00AD79C7">
        <w:rPr>
          <w:rFonts w:ascii="Abadi" w:hAnsi="Abadi"/>
          <w:b/>
          <w:bCs/>
          <w:spacing w:val="35"/>
          <w:sz w:val="21"/>
          <w:szCs w:val="21"/>
        </w:rPr>
        <w:t xml:space="preserve"> </w:t>
      </w:r>
      <w:r w:rsidRPr="00AD79C7">
        <w:rPr>
          <w:rFonts w:ascii="Abadi" w:hAnsi="Abadi"/>
          <w:b/>
          <w:bCs/>
          <w:sz w:val="21"/>
          <w:szCs w:val="21"/>
        </w:rPr>
        <w:t>efecto</w:t>
      </w:r>
      <w:r w:rsidRPr="00AD79C7">
        <w:rPr>
          <w:rFonts w:ascii="Abadi" w:hAnsi="Abadi"/>
          <w:b/>
          <w:bCs/>
          <w:spacing w:val="35"/>
          <w:sz w:val="21"/>
          <w:szCs w:val="21"/>
        </w:rPr>
        <w:t xml:space="preserve"> </w:t>
      </w:r>
      <w:r w:rsidRPr="00AD79C7">
        <w:rPr>
          <w:rFonts w:ascii="Abadi" w:hAnsi="Abadi"/>
          <w:b/>
          <w:bCs/>
          <w:sz w:val="21"/>
          <w:szCs w:val="21"/>
        </w:rPr>
        <w:t>de</w:t>
      </w:r>
      <w:r w:rsidRPr="00AD79C7">
        <w:rPr>
          <w:rFonts w:ascii="Abadi" w:hAnsi="Abadi"/>
          <w:b/>
          <w:bCs/>
          <w:spacing w:val="35"/>
          <w:sz w:val="21"/>
          <w:szCs w:val="21"/>
        </w:rPr>
        <w:t xml:space="preserve"> </w:t>
      </w:r>
      <w:r w:rsidRPr="00AD79C7">
        <w:rPr>
          <w:rFonts w:ascii="Abadi" w:hAnsi="Abadi"/>
          <w:b/>
          <w:bCs/>
          <w:sz w:val="21"/>
          <w:szCs w:val="21"/>
        </w:rPr>
        <w:t>reformar</w:t>
      </w:r>
      <w:r w:rsidRPr="00AD79C7">
        <w:rPr>
          <w:rFonts w:ascii="Abadi" w:hAnsi="Abadi"/>
          <w:b/>
          <w:bCs/>
          <w:spacing w:val="35"/>
          <w:sz w:val="21"/>
          <w:szCs w:val="21"/>
        </w:rPr>
        <w:t xml:space="preserve"> </w:t>
      </w:r>
      <w:r w:rsidRPr="00AD79C7">
        <w:rPr>
          <w:rFonts w:ascii="Abadi" w:hAnsi="Abadi"/>
          <w:b/>
          <w:bCs/>
          <w:sz w:val="21"/>
          <w:szCs w:val="21"/>
        </w:rPr>
        <w:t>el</w:t>
      </w:r>
      <w:r w:rsidRPr="00AD79C7">
        <w:rPr>
          <w:rFonts w:ascii="Abadi" w:hAnsi="Abadi"/>
          <w:b/>
          <w:bCs/>
          <w:spacing w:val="35"/>
          <w:sz w:val="21"/>
          <w:szCs w:val="21"/>
        </w:rPr>
        <w:t xml:space="preserve"> </w:t>
      </w:r>
      <w:r w:rsidRPr="00AD79C7">
        <w:rPr>
          <w:rFonts w:ascii="Abadi" w:hAnsi="Abadi"/>
          <w:b/>
          <w:bCs/>
          <w:sz w:val="21"/>
          <w:szCs w:val="21"/>
        </w:rPr>
        <w:t>artículo</w:t>
      </w:r>
      <w:r w:rsidRPr="00AD79C7">
        <w:rPr>
          <w:rFonts w:ascii="Abadi" w:hAnsi="Abadi"/>
          <w:b/>
          <w:bCs/>
          <w:spacing w:val="35"/>
          <w:sz w:val="21"/>
          <w:szCs w:val="21"/>
        </w:rPr>
        <w:t xml:space="preserve"> </w:t>
      </w:r>
      <w:r w:rsidRPr="00AD79C7">
        <w:rPr>
          <w:rFonts w:ascii="Abadi" w:hAnsi="Abadi"/>
          <w:b/>
          <w:bCs/>
          <w:sz w:val="21"/>
          <w:szCs w:val="21"/>
        </w:rPr>
        <w:t>139</w:t>
      </w:r>
      <w:r w:rsidRPr="00AD79C7">
        <w:rPr>
          <w:rFonts w:ascii="Abadi" w:hAnsi="Abadi"/>
          <w:b/>
          <w:bCs/>
          <w:spacing w:val="35"/>
          <w:sz w:val="21"/>
          <w:szCs w:val="21"/>
        </w:rPr>
        <w:t xml:space="preserve"> </w:t>
      </w:r>
      <w:r w:rsidRPr="00AD79C7">
        <w:rPr>
          <w:rFonts w:ascii="Abadi" w:hAnsi="Abadi"/>
          <w:b/>
          <w:bCs/>
          <w:sz w:val="21"/>
          <w:szCs w:val="21"/>
        </w:rPr>
        <w:t>del Código</w:t>
      </w:r>
      <w:r w:rsidRPr="00AD79C7">
        <w:rPr>
          <w:rFonts w:ascii="Abadi" w:hAnsi="Abadi"/>
          <w:b/>
          <w:bCs/>
          <w:spacing w:val="40"/>
          <w:sz w:val="21"/>
          <w:szCs w:val="21"/>
        </w:rPr>
        <w:t xml:space="preserve"> </w:t>
      </w:r>
      <w:r w:rsidRPr="00AD79C7">
        <w:rPr>
          <w:rFonts w:ascii="Abadi" w:hAnsi="Abadi"/>
          <w:b/>
          <w:bCs/>
          <w:sz w:val="21"/>
          <w:szCs w:val="21"/>
        </w:rPr>
        <w:t>Penal</w:t>
      </w:r>
      <w:r w:rsidRPr="00AD79C7">
        <w:rPr>
          <w:rFonts w:ascii="Abadi" w:hAnsi="Abadi"/>
          <w:b/>
          <w:bCs/>
          <w:spacing w:val="40"/>
          <w:sz w:val="21"/>
          <w:szCs w:val="21"/>
        </w:rPr>
        <w:t xml:space="preserve"> </w:t>
      </w:r>
      <w:r w:rsidRPr="00AD79C7">
        <w:rPr>
          <w:rFonts w:ascii="Abadi" w:hAnsi="Abadi"/>
          <w:b/>
          <w:bCs/>
          <w:sz w:val="21"/>
          <w:szCs w:val="21"/>
        </w:rPr>
        <w:t>del</w:t>
      </w:r>
      <w:r w:rsidRPr="00AD79C7">
        <w:rPr>
          <w:rFonts w:ascii="Abadi" w:hAnsi="Abadi"/>
          <w:b/>
          <w:bCs/>
          <w:spacing w:val="40"/>
          <w:sz w:val="21"/>
          <w:szCs w:val="21"/>
        </w:rPr>
        <w:t xml:space="preserve"> </w:t>
      </w:r>
      <w:r w:rsidRPr="00AD79C7">
        <w:rPr>
          <w:rFonts w:ascii="Abadi" w:hAnsi="Abadi"/>
          <w:b/>
          <w:bCs/>
          <w:sz w:val="21"/>
          <w:szCs w:val="21"/>
        </w:rPr>
        <w:t>Estado</w:t>
      </w:r>
      <w:r w:rsidRPr="00AD79C7">
        <w:rPr>
          <w:rFonts w:ascii="Abadi" w:hAnsi="Abadi"/>
          <w:b/>
          <w:bCs/>
          <w:spacing w:val="40"/>
          <w:sz w:val="21"/>
          <w:szCs w:val="21"/>
        </w:rPr>
        <w:t xml:space="preserve"> </w:t>
      </w:r>
      <w:r w:rsidRPr="00AD79C7">
        <w:rPr>
          <w:rFonts w:ascii="Abadi" w:hAnsi="Abadi"/>
          <w:b/>
          <w:bCs/>
          <w:sz w:val="21"/>
          <w:szCs w:val="21"/>
        </w:rPr>
        <w:t>de</w:t>
      </w:r>
      <w:r w:rsidRPr="00AD79C7">
        <w:rPr>
          <w:rFonts w:ascii="Abadi" w:hAnsi="Abadi"/>
          <w:b/>
          <w:bCs/>
          <w:spacing w:val="49"/>
          <w:sz w:val="21"/>
          <w:szCs w:val="21"/>
        </w:rPr>
        <w:t xml:space="preserve"> </w:t>
      </w:r>
      <w:r w:rsidRPr="00AD79C7">
        <w:rPr>
          <w:rFonts w:ascii="Abadi" w:hAnsi="Abadi"/>
          <w:b/>
          <w:bCs/>
          <w:sz w:val="21"/>
          <w:szCs w:val="21"/>
        </w:rPr>
        <w:t>Guanajuato,</w:t>
      </w:r>
      <w:r w:rsidRPr="00AD79C7">
        <w:rPr>
          <w:rFonts w:ascii="Abadi" w:hAnsi="Abadi"/>
          <w:b/>
          <w:bCs/>
          <w:spacing w:val="40"/>
          <w:sz w:val="21"/>
          <w:szCs w:val="21"/>
        </w:rPr>
        <w:t xml:space="preserve"> </w:t>
      </w:r>
      <w:r w:rsidRPr="00AD79C7">
        <w:rPr>
          <w:rFonts w:ascii="Abadi" w:hAnsi="Abadi"/>
          <w:b/>
          <w:bCs/>
          <w:sz w:val="21"/>
          <w:szCs w:val="21"/>
        </w:rPr>
        <w:t>presentada</w:t>
      </w:r>
      <w:r w:rsidRPr="00AD79C7">
        <w:rPr>
          <w:rFonts w:ascii="Abadi" w:hAnsi="Abadi"/>
          <w:b/>
          <w:bCs/>
          <w:spacing w:val="40"/>
          <w:sz w:val="21"/>
          <w:szCs w:val="21"/>
        </w:rPr>
        <w:t xml:space="preserve"> </w:t>
      </w:r>
      <w:r w:rsidRPr="00AD79C7">
        <w:rPr>
          <w:rFonts w:ascii="Abadi" w:hAnsi="Abadi"/>
          <w:b/>
          <w:bCs/>
          <w:sz w:val="21"/>
          <w:szCs w:val="21"/>
        </w:rPr>
        <w:t>por</w:t>
      </w:r>
      <w:r w:rsidRPr="00AD79C7">
        <w:rPr>
          <w:rFonts w:ascii="Abadi" w:hAnsi="Abadi"/>
          <w:b/>
          <w:bCs/>
          <w:spacing w:val="40"/>
          <w:sz w:val="21"/>
          <w:szCs w:val="21"/>
        </w:rPr>
        <w:t xml:space="preserve"> </w:t>
      </w:r>
      <w:r w:rsidRPr="00AD79C7">
        <w:rPr>
          <w:rFonts w:ascii="Abadi" w:hAnsi="Abadi"/>
          <w:b/>
          <w:bCs/>
          <w:sz w:val="21"/>
          <w:szCs w:val="21"/>
        </w:rPr>
        <w:t>diputada</w:t>
      </w:r>
      <w:r w:rsidRPr="00AD79C7">
        <w:rPr>
          <w:rFonts w:ascii="Abadi" w:hAnsi="Abadi"/>
          <w:b/>
          <w:bCs/>
          <w:spacing w:val="40"/>
          <w:sz w:val="21"/>
          <w:szCs w:val="21"/>
        </w:rPr>
        <w:t xml:space="preserve"> </w:t>
      </w:r>
      <w:r w:rsidRPr="00AD79C7">
        <w:rPr>
          <w:rFonts w:ascii="Abadi" w:hAnsi="Abadi"/>
          <w:b/>
          <w:bCs/>
          <w:sz w:val="21"/>
          <w:szCs w:val="21"/>
        </w:rPr>
        <w:t>y</w:t>
      </w:r>
      <w:r w:rsidRPr="00AD79C7">
        <w:rPr>
          <w:rFonts w:ascii="Abadi" w:hAnsi="Abadi"/>
          <w:b/>
          <w:bCs/>
          <w:spacing w:val="40"/>
          <w:sz w:val="21"/>
          <w:szCs w:val="21"/>
        </w:rPr>
        <w:t xml:space="preserve"> </w:t>
      </w:r>
      <w:r w:rsidRPr="00AD79C7">
        <w:rPr>
          <w:rFonts w:ascii="Abadi" w:hAnsi="Abadi"/>
          <w:b/>
          <w:bCs/>
          <w:sz w:val="21"/>
          <w:szCs w:val="21"/>
        </w:rPr>
        <w:t>los diputados</w:t>
      </w:r>
      <w:r w:rsidRPr="00AD79C7">
        <w:rPr>
          <w:rFonts w:ascii="Abadi" w:hAnsi="Abadi"/>
          <w:b/>
          <w:bCs/>
          <w:spacing w:val="27"/>
          <w:sz w:val="21"/>
          <w:szCs w:val="21"/>
        </w:rPr>
        <w:t xml:space="preserve"> </w:t>
      </w:r>
      <w:r w:rsidRPr="00AD79C7">
        <w:rPr>
          <w:rFonts w:ascii="Abadi" w:hAnsi="Abadi"/>
          <w:b/>
          <w:bCs/>
          <w:sz w:val="21"/>
          <w:szCs w:val="21"/>
        </w:rPr>
        <w:t>integrantes</w:t>
      </w:r>
      <w:r w:rsidRPr="00AD79C7">
        <w:rPr>
          <w:rFonts w:ascii="Abadi" w:hAnsi="Abadi"/>
          <w:b/>
          <w:bCs/>
          <w:spacing w:val="27"/>
          <w:sz w:val="21"/>
          <w:szCs w:val="21"/>
        </w:rPr>
        <w:t xml:space="preserve"> </w:t>
      </w:r>
      <w:r w:rsidRPr="00AD79C7">
        <w:rPr>
          <w:rFonts w:ascii="Abadi" w:hAnsi="Abadi"/>
          <w:b/>
          <w:bCs/>
          <w:sz w:val="21"/>
          <w:szCs w:val="21"/>
        </w:rPr>
        <w:t>del</w:t>
      </w:r>
      <w:r w:rsidRPr="00AD79C7">
        <w:rPr>
          <w:rFonts w:ascii="Abadi" w:hAnsi="Abadi"/>
          <w:b/>
          <w:bCs/>
          <w:spacing w:val="27"/>
          <w:sz w:val="21"/>
          <w:szCs w:val="21"/>
        </w:rPr>
        <w:t xml:space="preserve"> </w:t>
      </w:r>
      <w:r w:rsidRPr="00AD79C7">
        <w:rPr>
          <w:rFonts w:ascii="Abadi" w:hAnsi="Abadi"/>
          <w:b/>
          <w:bCs/>
          <w:sz w:val="21"/>
          <w:szCs w:val="21"/>
        </w:rPr>
        <w:t>Grupo</w:t>
      </w:r>
      <w:r w:rsidRPr="00AD79C7">
        <w:rPr>
          <w:rFonts w:ascii="Abadi" w:hAnsi="Abadi"/>
          <w:b/>
          <w:bCs/>
          <w:spacing w:val="27"/>
          <w:sz w:val="21"/>
          <w:szCs w:val="21"/>
        </w:rPr>
        <w:t xml:space="preserve"> </w:t>
      </w:r>
      <w:r w:rsidRPr="00AD79C7">
        <w:rPr>
          <w:rFonts w:ascii="Abadi" w:hAnsi="Abadi"/>
          <w:b/>
          <w:bCs/>
          <w:sz w:val="21"/>
          <w:szCs w:val="21"/>
        </w:rPr>
        <w:t>Parlamentario</w:t>
      </w:r>
      <w:r w:rsidRPr="00AD79C7">
        <w:rPr>
          <w:rFonts w:ascii="Abadi" w:hAnsi="Abadi"/>
          <w:b/>
          <w:bCs/>
          <w:spacing w:val="27"/>
          <w:sz w:val="21"/>
          <w:szCs w:val="21"/>
        </w:rPr>
        <w:t xml:space="preserve"> </w:t>
      </w:r>
      <w:r w:rsidRPr="00AD79C7">
        <w:rPr>
          <w:rFonts w:ascii="Abadi" w:hAnsi="Abadi"/>
          <w:b/>
          <w:bCs/>
          <w:sz w:val="21"/>
          <w:szCs w:val="21"/>
        </w:rPr>
        <w:t>del</w:t>
      </w:r>
      <w:r w:rsidRPr="00AD79C7">
        <w:rPr>
          <w:rFonts w:ascii="Abadi" w:hAnsi="Abadi"/>
          <w:b/>
          <w:bCs/>
          <w:spacing w:val="27"/>
          <w:sz w:val="21"/>
          <w:szCs w:val="21"/>
        </w:rPr>
        <w:t xml:space="preserve"> </w:t>
      </w:r>
      <w:r w:rsidRPr="00AD79C7">
        <w:rPr>
          <w:rFonts w:ascii="Abadi" w:hAnsi="Abadi"/>
          <w:b/>
          <w:bCs/>
          <w:sz w:val="21"/>
          <w:szCs w:val="21"/>
        </w:rPr>
        <w:t>Partido</w:t>
      </w:r>
      <w:r w:rsidRPr="00AD79C7">
        <w:rPr>
          <w:rFonts w:ascii="Abadi" w:hAnsi="Abadi"/>
          <w:b/>
          <w:bCs/>
          <w:spacing w:val="27"/>
          <w:sz w:val="21"/>
          <w:szCs w:val="21"/>
        </w:rPr>
        <w:t xml:space="preserve"> </w:t>
      </w:r>
      <w:r w:rsidRPr="00AD79C7">
        <w:rPr>
          <w:rFonts w:ascii="Abadi" w:hAnsi="Abadi"/>
          <w:b/>
          <w:bCs/>
          <w:sz w:val="21"/>
          <w:szCs w:val="21"/>
        </w:rPr>
        <w:t>Revolucionario Institucional.</w:t>
      </w:r>
    </w:p>
    <w:p w14:paraId="5240E6F4" w14:textId="77777777" w:rsidR="009818AB" w:rsidRPr="00AD79C7" w:rsidRDefault="009818AB" w:rsidP="009818AB">
      <w:pPr>
        <w:kinsoku w:val="0"/>
        <w:overflowPunct w:val="0"/>
        <w:autoSpaceDE w:val="0"/>
        <w:autoSpaceDN w:val="0"/>
        <w:adjustRightInd w:val="0"/>
        <w:spacing w:before="6"/>
        <w:ind w:right="17"/>
        <w:jc w:val="both"/>
        <w:rPr>
          <w:rFonts w:ascii="Abadi" w:hAnsi="Abadi" w:cs="Arial"/>
          <w:b/>
          <w:bCs/>
          <w:sz w:val="21"/>
          <w:szCs w:val="21"/>
        </w:rPr>
      </w:pPr>
    </w:p>
    <w:p w14:paraId="1EE9110F" w14:textId="5F57D3C4" w:rsidR="009818AB" w:rsidRDefault="009818AB" w:rsidP="005433FA">
      <w:pPr>
        <w:pStyle w:val="Prrafodelista"/>
        <w:numPr>
          <w:ilvl w:val="0"/>
          <w:numId w:val="8"/>
        </w:numPr>
        <w:tabs>
          <w:tab w:val="left" w:pos="856"/>
        </w:tabs>
        <w:kinsoku w:val="0"/>
        <w:overflowPunct w:val="0"/>
        <w:autoSpaceDE w:val="0"/>
        <w:autoSpaceDN w:val="0"/>
        <w:adjustRightInd w:val="0"/>
        <w:spacing w:before="1"/>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2"/>
          <w:sz w:val="21"/>
          <w:szCs w:val="21"/>
        </w:rPr>
        <w:t xml:space="preserve"> </w:t>
      </w:r>
      <w:r w:rsidRPr="00AD79C7">
        <w:rPr>
          <w:rFonts w:ascii="Abadi" w:hAnsi="Abadi"/>
          <w:b/>
          <w:bCs/>
          <w:sz w:val="21"/>
          <w:szCs w:val="21"/>
        </w:rPr>
        <w:t>y,</w:t>
      </w:r>
      <w:r w:rsidRPr="00AD79C7">
        <w:rPr>
          <w:rFonts w:ascii="Abadi" w:hAnsi="Abadi"/>
          <w:b/>
          <w:bCs/>
          <w:spacing w:val="12"/>
          <w:sz w:val="21"/>
          <w:szCs w:val="21"/>
        </w:rPr>
        <w:t xml:space="preserve"> </w:t>
      </w:r>
      <w:r w:rsidRPr="00AD79C7">
        <w:rPr>
          <w:rFonts w:ascii="Abadi" w:hAnsi="Abadi"/>
          <w:b/>
          <w:bCs/>
          <w:sz w:val="21"/>
          <w:szCs w:val="21"/>
        </w:rPr>
        <w:t>en</w:t>
      </w:r>
      <w:r w:rsidRPr="00AD79C7">
        <w:rPr>
          <w:rFonts w:ascii="Abadi" w:hAnsi="Abadi"/>
          <w:b/>
          <w:bCs/>
          <w:spacing w:val="12"/>
          <w:sz w:val="21"/>
          <w:szCs w:val="21"/>
        </w:rPr>
        <w:t xml:space="preserve"> </w:t>
      </w:r>
      <w:r w:rsidRPr="00AD79C7">
        <w:rPr>
          <w:rFonts w:ascii="Abadi" w:hAnsi="Abadi"/>
          <w:b/>
          <w:bCs/>
          <w:sz w:val="21"/>
          <w:szCs w:val="21"/>
        </w:rPr>
        <w:t>su</w:t>
      </w:r>
      <w:r w:rsidRPr="00AD79C7">
        <w:rPr>
          <w:rFonts w:ascii="Abadi" w:hAnsi="Abadi"/>
          <w:b/>
          <w:bCs/>
          <w:spacing w:val="11"/>
          <w:sz w:val="21"/>
          <w:szCs w:val="21"/>
        </w:rPr>
        <w:t xml:space="preserve"> </w:t>
      </w:r>
      <w:r w:rsidRPr="00AD79C7">
        <w:rPr>
          <w:rFonts w:ascii="Abadi" w:hAnsi="Abadi"/>
          <w:b/>
          <w:bCs/>
          <w:sz w:val="21"/>
          <w:szCs w:val="21"/>
        </w:rPr>
        <w:t>caso,</w:t>
      </w:r>
      <w:r w:rsidRPr="00AD79C7">
        <w:rPr>
          <w:rFonts w:ascii="Abadi" w:hAnsi="Abadi"/>
          <w:b/>
          <w:bCs/>
          <w:spacing w:val="12"/>
          <w:sz w:val="21"/>
          <w:szCs w:val="21"/>
        </w:rPr>
        <w:t xml:space="preserve"> </w:t>
      </w:r>
      <w:r w:rsidRPr="00AD79C7">
        <w:rPr>
          <w:rFonts w:ascii="Abadi" w:hAnsi="Abadi"/>
          <w:b/>
          <w:bCs/>
          <w:sz w:val="21"/>
          <w:szCs w:val="21"/>
        </w:rPr>
        <w:t>aprobación</w:t>
      </w:r>
      <w:r w:rsidRPr="00AD79C7">
        <w:rPr>
          <w:rFonts w:ascii="Abadi" w:hAnsi="Abadi"/>
          <w:b/>
          <w:bCs/>
          <w:spacing w:val="12"/>
          <w:sz w:val="21"/>
          <w:szCs w:val="21"/>
        </w:rPr>
        <w:t xml:space="preserve"> </w:t>
      </w:r>
      <w:r w:rsidRPr="00AD79C7">
        <w:rPr>
          <w:rFonts w:ascii="Abadi" w:hAnsi="Abadi"/>
          <w:b/>
          <w:bCs/>
          <w:sz w:val="21"/>
          <w:szCs w:val="21"/>
        </w:rPr>
        <w:t>del</w:t>
      </w:r>
      <w:r w:rsidRPr="00AD79C7">
        <w:rPr>
          <w:rFonts w:ascii="Abadi" w:hAnsi="Abadi"/>
          <w:b/>
          <w:bCs/>
          <w:spacing w:val="12"/>
          <w:sz w:val="21"/>
          <w:szCs w:val="21"/>
        </w:rPr>
        <w:t xml:space="preserve"> </w:t>
      </w:r>
      <w:r w:rsidRPr="00AD79C7">
        <w:rPr>
          <w:rFonts w:ascii="Abadi" w:hAnsi="Abadi"/>
          <w:b/>
          <w:bCs/>
          <w:sz w:val="21"/>
          <w:szCs w:val="21"/>
        </w:rPr>
        <w:t>dictamen</w:t>
      </w:r>
      <w:r w:rsidRPr="00AD79C7">
        <w:rPr>
          <w:rFonts w:ascii="Abadi" w:hAnsi="Abadi"/>
          <w:b/>
          <w:bCs/>
          <w:spacing w:val="12"/>
          <w:sz w:val="21"/>
          <w:szCs w:val="21"/>
        </w:rPr>
        <w:t xml:space="preserve"> </w:t>
      </w:r>
      <w:r w:rsidRPr="00AD79C7">
        <w:rPr>
          <w:rFonts w:ascii="Abadi" w:hAnsi="Abadi"/>
          <w:b/>
          <w:bCs/>
          <w:sz w:val="21"/>
          <w:szCs w:val="21"/>
        </w:rPr>
        <w:t>suscrito</w:t>
      </w:r>
      <w:r w:rsidRPr="00AD79C7">
        <w:rPr>
          <w:rFonts w:ascii="Abadi" w:hAnsi="Abadi"/>
          <w:b/>
          <w:bCs/>
          <w:spacing w:val="13"/>
          <w:sz w:val="21"/>
          <w:szCs w:val="21"/>
        </w:rPr>
        <w:t xml:space="preserve"> </w:t>
      </w:r>
      <w:r w:rsidRPr="00AD79C7">
        <w:rPr>
          <w:rFonts w:ascii="Abadi" w:hAnsi="Abadi"/>
          <w:b/>
          <w:bCs/>
          <w:sz w:val="21"/>
          <w:szCs w:val="21"/>
        </w:rPr>
        <w:t>por</w:t>
      </w:r>
      <w:r w:rsidRPr="00AD79C7">
        <w:rPr>
          <w:rFonts w:ascii="Abadi" w:hAnsi="Abadi"/>
          <w:b/>
          <w:bCs/>
          <w:spacing w:val="12"/>
          <w:sz w:val="21"/>
          <w:szCs w:val="21"/>
        </w:rPr>
        <w:t xml:space="preserve"> </w:t>
      </w:r>
      <w:r w:rsidRPr="00AD79C7">
        <w:rPr>
          <w:rFonts w:ascii="Abadi" w:hAnsi="Abadi"/>
          <w:b/>
          <w:bCs/>
          <w:sz w:val="21"/>
          <w:szCs w:val="21"/>
        </w:rPr>
        <w:t>la</w:t>
      </w:r>
      <w:r w:rsidRPr="00AD79C7">
        <w:rPr>
          <w:rFonts w:ascii="Abadi" w:hAnsi="Abadi"/>
          <w:b/>
          <w:bCs/>
          <w:spacing w:val="12"/>
          <w:sz w:val="21"/>
          <w:szCs w:val="21"/>
        </w:rPr>
        <w:t xml:space="preserve"> </w:t>
      </w:r>
      <w:r w:rsidRPr="00AD79C7">
        <w:rPr>
          <w:rFonts w:ascii="Abadi" w:hAnsi="Abadi"/>
          <w:b/>
          <w:bCs/>
          <w:sz w:val="21"/>
          <w:szCs w:val="21"/>
        </w:rPr>
        <w:t>Comisión de</w:t>
      </w:r>
      <w:r w:rsidRPr="00AD79C7">
        <w:rPr>
          <w:rFonts w:ascii="Abadi" w:hAnsi="Abadi"/>
          <w:b/>
          <w:bCs/>
          <w:spacing w:val="69"/>
          <w:w w:val="150"/>
          <w:sz w:val="21"/>
          <w:szCs w:val="21"/>
        </w:rPr>
        <w:t xml:space="preserve"> </w:t>
      </w:r>
      <w:r w:rsidRPr="00AD79C7">
        <w:rPr>
          <w:rFonts w:ascii="Abadi" w:hAnsi="Abadi"/>
          <w:b/>
          <w:bCs/>
          <w:sz w:val="21"/>
          <w:szCs w:val="21"/>
        </w:rPr>
        <w:t>Hacienda</w:t>
      </w:r>
      <w:r w:rsidRPr="00AD79C7">
        <w:rPr>
          <w:rFonts w:ascii="Abadi" w:hAnsi="Abadi"/>
          <w:b/>
          <w:bCs/>
          <w:spacing w:val="69"/>
          <w:w w:val="150"/>
          <w:sz w:val="21"/>
          <w:szCs w:val="21"/>
        </w:rPr>
        <w:t xml:space="preserve"> </w:t>
      </w:r>
      <w:r w:rsidRPr="00AD79C7">
        <w:rPr>
          <w:rFonts w:ascii="Abadi" w:hAnsi="Abadi"/>
          <w:b/>
          <w:bCs/>
          <w:sz w:val="21"/>
          <w:szCs w:val="21"/>
        </w:rPr>
        <w:t>y</w:t>
      </w:r>
      <w:r w:rsidRPr="00AD79C7">
        <w:rPr>
          <w:rFonts w:ascii="Abadi" w:hAnsi="Abadi"/>
          <w:b/>
          <w:bCs/>
          <w:spacing w:val="69"/>
          <w:w w:val="150"/>
          <w:sz w:val="21"/>
          <w:szCs w:val="21"/>
        </w:rPr>
        <w:t xml:space="preserve"> </w:t>
      </w:r>
      <w:r w:rsidRPr="00AD79C7">
        <w:rPr>
          <w:rFonts w:ascii="Abadi" w:hAnsi="Abadi"/>
          <w:b/>
          <w:bCs/>
          <w:sz w:val="21"/>
          <w:szCs w:val="21"/>
        </w:rPr>
        <w:t>Fiscalización</w:t>
      </w:r>
      <w:r w:rsidRPr="00AD79C7">
        <w:rPr>
          <w:rFonts w:ascii="Abadi" w:hAnsi="Abadi"/>
          <w:b/>
          <w:bCs/>
          <w:spacing w:val="69"/>
          <w:w w:val="150"/>
          <w:sz w:val="21"/>
          <w:szCs w:val="21"/>
        </w:rPr>
        <w:t xml:space="preserve"> </w:t>
      </w:r>
      <w:r w:rsidRPr="00AD79C7">
        <w:rPr>
          <w:rFonts w:ascii="Abadi" w:hAnsi="Abadi"/>
          <w:b/>
          <w:bCs/>
          <w:sz w:val="21"/>
          <w:szCs w:val="21"/>
        </w:rPr>
        <w:t>relativo</w:t>
      </w:r>
      <w:r w:rsidRPr="00AD79C7">
        <w:rPr>
          <w:rFonts w:ascii="Abadi" w:hAnsi="Abadi"/>
          <w:b/>
          <w:bCs/>
          <w:spacing w:val="69"/>
          <w:w w:val="150"/>
          <w:sz w:val="21"/>
          <w:szCs w:val="21"/>
        </w:rPr>
        <w:t xml:space="preserve"> </w:t>
      </w:r>
      <w:r w:rsidRPr="00AD79C7">
        <w:rPr>
          <w:rFonts w:ascii="Abadi" w:hAnsi="Abadi"/>
          <w:b/>
          <w:bCs/>
          <w:sz w:val="21"/>
          <w:szCs w:val="21"/>
        </w:rPr>
        <w:t>a</w:t>
      </w:r>
      <w:r w:rsidRPr="00AD79C7">
        <w:rPr>
          <w:rFonts w:ascii="Abadi" w:hAnsi="Abadi"/>
          <w:b/>
          <w:bCs/>
          <w:spacing w:val="69"/>
          <w:w w:val="150"/>
          <w:sz w:val="21"/>
          <w:szCs w:val="21"/>
        </w:rPr>
        <w:t xml:space="preserve"> </w:t>
      </w:r>
      <w:r w:rsidRPr="00AD79C7">
        <w:rPr>
          <w:rFonts w:ascii="Abadi" w:hAnsi="Abadi"/>
          <w:b/>
          <w:bCs/>
          <w:sz w:val="21"/>
          <w:szCs w:val="21"/>
        </w:rPr>
        <w:t>la</w:t>
      </w:r>
      <w:r w:rsidRPr="00AD79C7">
        <w:rPr>
          <w:rFonts w:ascii="Abadi" w:hAnsi="Abadi"/>
          <w:b/>
          <w:bCs/>
          <w:spacing w:val="69"/>
          <w:w w:val="150"/>
          <w:sz w:val="21"/>
          <w:szCs w:val="21"/>
        </w:rPr>
        <w:t xml:space="preserve"> </w:t>
      </w:r>
      <w:r w:rsidRPr="00AD79C7">
        <w:rPr>
          <w:rFonts w:ascii="Abadi" w:hAnsi="Abadi"/>
          <w:b/>
          <w:bCs/>
          <w:sz w:val="21"/>
          <w:szCs w:val="21"/>
        </w:rPr>
        <w:t>iniciativa</w:t>
      </w:r>
      <w:r w:rsidRPr="00AD79C7">
        <w:rPr>
          <w:rFonts w:ascii="Abadi" w:hAnsi="Abadi"/>
          <w:b/>
          <w:bCs/>
          <w:spacing w:val="69"/>
          <w:w w:val="150"/>
          <w:sz w:val="21"/>
          <w:szCs w:val="21"/>
        </w:rPr>
        <w:t xml:space="preserve"> </w:t>
      </w:r>
      <w:r w:rsidRPr="00AD79C7">
        <w:rPr>
          <w:rFonts w:ascii="Abadi" w:hAnsi="Abadi"/>
          <w:b/>
          <w:bCs/>
          <w:sz w:val="21"/>
          <w:szCs w:val="21"/>
        </w:rPr>
        <w:t>formulada</w:t>
      </w:r>
      <w:r w:rsidRPr="00AD79C7">
        <w:rPr>
          <w:rFonts w:ascii="Abadi" w:hAnsi="Abadi"/>
          <w:b/>
          <w:bCs/>
          <w:spacing w:val="69"/>
          <w:w w:val="150"/>
          <w:sz w:val="21"/>
          <w:szCs w:val="21"/>
        </w:rPr>
        <w:t xml:space="preserve"> </w:t>
      </w:r>
      <w:r w:rsidRPr="00AD79C7">
        <w:rPr>
          <w:rFonts w:ascii="Abadi" w:hAnsi="Abadi"/>
          <w:b/>
          <w:bCs/>
          <w:sz w:val="21"/>
          <w:szCs w:val="21"/>
        </w:rPr>
        <w:t>por</w:t>
      </w:r>
      <w:r w:rsidRPr="00AD79C7">
        <w:rPr>
          <w:rFonts w:ascii="Abadi" w:hAnsi="Abadi"/>
          <w:b/>
          <w:bCs/>
          <w:spacing w:val="69"/>
          <w:w w:val="150"/>
          <w:sz w:val="21"/>
          <w:szCs w:val="21"/>
        </w:rPr>
        <w:t xml:space="preserve"> </w:t>
      </w:r>
      <w:r w:rsidRPr="00AD79C7">
        <w:rPr>
          <w:rFonts w:ascii="Abadi" w:hAnsi="Abadi"/>
          <w:b/>
          <w:bCs/>
          <w:sz w:val="21"/>
          <w:szCs w:val="21"/>
        </w:rPr>
        <w:t>el ayuntamiento</w:t>
      </w:r>
      <w:r w:rsidRPr="00AD79C7">
        <w:rPr>
          <w:rFonts w:ascii="Abadi" w:hAnsi="Abadi"/>
          <w:b/>
          <w:bCs/>
          <w:spacing w:val="9"/>
          <w:sz w:val="21"/>
          <w:szCs w:val="21"/>
        </w:rPr>
        <w:t xml:space="preserve"> </w:t>
      </w:r>
      <w:r w:rsidRPr="00AD79C7">
        <w:rPr>
          <w:rFonts w:ascii="Abadi" w:hAnsi="Abadi"/>
          <w:b/>
          <w:bCs/>
          <w:sz w:val="21"/>
          <w:szCs w:val="21"/>
        </w:rPr>
        <w:t>de</w:t>
      </w:r>
      <w:r w:rsidRPr="00AD79C7">
        <w:rPr>
          <w:rFonts w:ascii="Abadi" w:hAnsi="Abadi"/>
          <w:b/>
          <w:bCs/>
          <w:spacing w:val="9"/>
          <w:sz w:val="21"/>
          <w:szCs w:val="21"/>
        </w:rPr>
        <w:t xml:space="preserve"> </w:t>
      </w:r>
      <w:r w:rsidRPr="00AD79C7">
        <w:rPr>
          <w:rFonts w:ascii="Abadi" w:hAnsi="Abadi"/>
          <w:b/>
          <w:bCs/>
          <w:sz w:val="21"/>
          <w:szCs w:val="21"/>
        </w:rPr>
        <w:t>Apaseo</w:t>
      </w:r>
      <w:r w:rsidRPr="00AD79C7">
        <w:rPr>
          <w:rFonts w:ascii="Abadi" w:hAnsi="Abadi"/>
          <w:b/>
          <w:bCs/>
          <w:spacing w:val="9"/>
          <w:sz w:val="21"/>
          <w:szCs w:val="21"/>
        </w:rPr>
        <w:t xml:space="preserve"> </w:t>
      </w:r>
      <w:r w:rsidRPr="00AD79C7">
        <w:rPr>
          <w:rFonts w:ascii="Abadi" w:hAnsi="Abadi"/>
          <w:b/>
          <w:bCs/>
          <w:sz w:val="21"/>
          <w:szCs w:val="21"/>
        </w:rPr>
        <w:t>el</w:t>
      </w:r>
      <w:r w:rsidRPr="00AD79C7">
        <w:rPr>
          <w:rFonts w:ascii="Abadi" w:hAnsi="Abadi"/>
          <w:b/>
          <w:bCs/>
          <w:spacing w:val="9"/>
          <w:sz w:val="21"/>
          <w:szCs w:val="21"/>
        </w:rPr>
        <w:t xml:space="preserve"> </w:t>
      </w:r>
      <w:r w:rsidRPr="00AD79C7">
        <w:rPr>
          <w:rFonts w:ascii="Abadi" w:hAnsi="Abadi"/>
          <w:b/>
          <w:bCs/>
          <w:sz w:val="21"/>
          <w:szCs w:val="21"/>
        </w:rPr>
        <w:t>Grande,</w:t>
      </w:r>
      <w:r w:rsidRPr="00AD79C7">
        <w:rPr>
          <w:rFonts w:ascii="Abadi" w:hAnsi="Abadi"/>
          <w:b/>
          <w:bCs/>
          <w:spacing w:val="9"/>
          <w:sz w:val="21"/>
          <w:szCs w:val="21"/>
        </w:rPr>
        <w:t xml:space="preserve"> </w:t>
      </w:r>
      <w:r w:rsidRPr="00AD79C7">
        <w:rPr>
          <w:rFonts w:ascii="Abadi" w:hAnsi="Abadi"/>
          <w:b/>
          <w:bCs/>
          <w:sz w:val="21"/>
          <w:szCs w:val="21"/>
        </w:rPr>
        <w:t>Gto.,</w:t>
      </w:r>
      <w:r w:rsidRPr="00AD79C7">
        <w:rPr>
          <w:rFonts w:ascii="Abadi" w:hAnsi="Abadi"/>
          <w:b/>
          <w:bCs/>
          <w:spacing w:val="9"/>
          <w:sz w:val="21"/>
          <w:szCs w:val="21"/>
        </w:rPr>
        <w:t xml:space="preserve"> </w:t>
      </w:r>
      <w:r w:rsidRPr="00AD79C7">
        <w:rPr>
          <w:rFonts w:ascii="Abadi" w:hAnsi="Abadi"/>
          <w:b/>
          <w:bCs/>
          <w:sz w:val="21"/>
          <w:szCs w:val="21"/>
        </w:rPr>
        <w:t>a</w:t>
      </w:r>
      <w:r w:rsidRPr="00AD79C7">
        <w:rPr>
          <w:rFonts w:ascii="Abadi" w:hAnsi="Abadi"/>
          <w:b/>
          <w:bCs/>
          <w:spacing w:val="11"/>
          <w:sz w:val="21"/>
          <w:szCs w:val="21"/>
        </w:rPr>
        <w:t xml:space="preserve"> </w:t>
      </w:r>
      <w:r w:rsidRPr="00AD79C7">
        <w:rPr>
          <w:rFonts w:ascii="Abadi" w:hAnsi="Abadi"/>
          <w:b/>
          <w:bCs/>
          <w:sz w:val="21"/>
          <w:szCs w:val="21"/>
        </w:rPr>
        <w:t>efecto</w:t>
      </w:r>
      <w:r w:rsidRPr="00AD79C7">
        <w:rPr>
          <w:rFonts w:ascii="Abadi" w:hAnsi="Abadi"/>
          <w:b/>
          <w:bCs/>
          <w:spacing w:val="9"/>
          <w:sz w:val="21"/>
          <w:szCs w:val="21"/>
        </w:rPr>
        <w:t xml:space="preserve"> </w:t>
      </w:r>
      <w:r w:rsidRPr="00AD79C7">
        <w:rPr>
          <w:rFonts w:ascii="Abadi" w:hAnsi="Abadi"/>
          <w:b/>
          <w:bCs/>
          <w:sz w:val="21"/>
          <w:szCs w:val="21"/>
        </w:rPr>
        <w:t>de</w:t>
      </w:r>
      <w:r w:rsidRPr="00AD79C7">
        <w:rPr>
          <w:rFonts w:ascii="Abadi" w:hAnsi="Abadi"/>
          <w:b/>
          <w:bCs/>
          <w:spacing w:val="9"/>
          <w:sz w:val="21"/>
          <w:szCs w:val="21"/>
        </w:rPr>
        <w:t xml:space="preserve"> </w:t>
      </w:r>
      <w:r w:rsidRPr="00AD79C7">
        <w:rPr>
          <w:rFonts w:ascii="Abadi" w:hAnsi="Abadi"/>
          <w:b/>
          <w:bCs/>
          <w:sz w:val="21"/>
          <w:szCs w:val="21"/>
        </w:rPr>
        <w:t>que</w:t>
      </w:r>
      <w:r w:rsidRPr="00AD79C7">
        <w:rPr>
          <w:rFonts w:ascii="Abadi" w:hAnsi="Abadi"/>
          <w:b/>
          <w:bCs/>
          <w:spacing w:val="9"/>
          <w:sz w:val="21"/>
          <w:szCs w:val="21"/>
        </w:rPr>
        <w:t xml:space="preserve"> </w:t>
      </w:r>
      <w:r w:rsidRPr="00AD79C7">
        <w:rPr>
          <w:rFonts w:ascii="Abadi" w:hAnsi="Abadi"/>
          <w:b/>
          <w:bCs/>
          <w:sz w:val="21"/>
          <w:szCs w:val="21"/>
        </w:rPr>
        <w:t>se</w:t>
      </w:r>
      <w:r w:rsidRPr="00AD79C7">
        <w:rPr>
          <w:rFonts w:ascii="Abadi" w:hAnsi="Abadi"/>
          <w:b/>
          <w:bCs/>
          <w:spacing w:val="9"/>
          <w:sz w:val="21"/>
          <w:szCs w:val="21"/>
        </w:rPr>
        <w:t xml:space="preserve"> </w:t>
      </w:r>
      <w:r w:rsidRPr="00AD79C7">
        <w:rPr>
          <w:rFonts w:ascii="Abadi" w:hAnsi="Abadi"/>
          <w:b/>
          <w:bCs/>
          <w:sz w:val="21"/>
          <w:szCs w:val="21"/>
        </w:rPr>
        <w:t>le</w:t>
      </w:r>
      <w:r w:rsidRPr="00AD79C7">
        <w:rPr>
          <w:rFonts w:ascii="Abadi" w:hAnsi="Abadi"/>
          <w:b/>
          <w:bCs/>
          <w:spacing w:val="9"/>
          <w:sz w:val="21"/>
          <w:szCs w:val="21"/>
        </w:rPr>
        <w:t xml:space="preserve"> </w:t>
      </w:r>
      <w:r w:rsidRPr="00AD79C7">
        <w:rPr>
          <w:rFonts w:ascii="Abadi" w:hAnsi="Abadi"/>
          <w:b/>
          <w:bCs/>
          <w:sz w:val="21"/>
          <w:szCs w:val="21"/>
        </w:rPr>
        <w:t>autorice</w:t>
      </w:r>
      <w:r w:rsidRPr="00AD79C7">
        <w:rPr>
          <w:rFonts w:ascii="Abadi" w:hAnsi="Abadi"/>
          <w:b/>
          <w:bCs/>
          <w:spacing w:val="9"/>
          <w:sz w:val="21"/>
          <w:szCs w:val="21"/>
        </w:rPr>
        <w:t xml:space="preserve"> </w:t>
      </w:r>
      <w:r w:rsidRPr="00AD79C7">
        <w:rPr>
          <w:rFonts w:ascii="Abadi" w:hAnsi="Abadi"/>
          <w:b/>
          <w:bCs/>
          <w:sz w:val="21"/>
          <w:szCs w:val="21"/>
        </w:rPr>
        <w:t>la contratación</w:t>
      </w:r>
      <w:r w:rsidRPr="00AD79C7">
        <w:rPr>
          <w:rFonts w:ascii="Abadi" w:hAnsi="Abadi"/>
          <w:b/>
          <w:bCs/>
          <w:spacing w:val="-17"/>
          <w:sz w:val="21"/>
          <w:szCs w:val="21"/>
        </w:rPr>
        <w:t xml:space="preserve"> </w:t>
      </w:r>
      <w:r w:rsidRPr="00AD79C7">
        <w:rPr>
          <w:rFonts w:ascii="Abadi" w:hAnsi="Abadi"/>
          <w:b/>
          <w:bCs/>
          <w:sz w:val="21"/>
          <w:szCs w:val="21"/>
        </w:rPr>
        <w:t>de</w:t>
      </w:r>
      <w:r w:rsidRPr="00AD79C7">
        <w:rPr>
          <w:rFonts w:ascii="Abadi" w:hAnsi="Abadi"/>
          <w:b/>
          <w:bCs/>
          <w:spacing w:val="-17"/>
          <w:sz w:val="21"/>
          <w:szCs w:val="21"/>
        </w:rPr>
        <w:t xml:space="preserve"> </w:t>
      </w:r>
      <w:r w:rsidRPr="00AD79C7">
        <w:rPr>
          <w:rFonts w:ascii="Abadi" w:hAnsi="Abadi"/>
          <w:b/>
          <w:bCs/>
          <w:sz w:val="21"/>
          <w:szCs w:val="21"/>
        </w:rPr>
        <w:t>uno</w:t>
      </w:r>
      <w:r w:rsidRPr="00AD79C7">
        <w:rPr>
          <w:rFonts w:ascii="Abadi" w:hAnsi="Abadi"/>
          <w:b/>
          <w:bCs/>
          <w:spacing w:val="-17"/>
          <w:sz w:val="21"/>
          <w:szCs w:val="21"/>
        </w:rPr>
        <w:t xml:space="preserve"> </w:t>
      </w:r>
      <w:r w:rsidRPr="00AD79C7">
        <w:rPr>
          <w:rFonts w:ascii="Abadi" w:hAnsi="Abadi"/>
          <w:b/>
          <w:bCs/>
          <w:sz w:val="21"/>
          <w:szCs w:val="21"/>
        </w:rPr>
        <w:t>o</w:t>
      </w:r>
      <w:r w:rsidRPr="00AD79C7">
        <w:rPr>
          <w:rFonts w:ascii="Abadi" w:hAnsi="Abadi"/>
          <w:b/>
          <w:bCs/>
          <w:spacing w:val="-17"/>
          <w:sz w:val="21"/>
          <w:szCs w:val="21"/>
        </w:rPr>
        <w:t xml:space="preserve"> </w:t>
      </w:r>
      <w:r w:rsidRPr="00AD79C7">
        <w:rPr>
          <w:rFonts w:ascii="Abadi" w:hAnsi="Abadi"/>
          <w:b/>
          <w:bCs/>
          <w:sz w:val="21"/>
          <w:szCs w:val="21"/>
        </w:rPr>
        <w:lastRenderedPageBreak/>
        <w:t>varios</w:t>
      </w:r>
      <w:r w:rsidRPr="00AD79C7">
        <w:rPr>
          <w:rFonts w:ascii="Abadi" w:hAnsi="Abadi"/>
          <w:b/>
          <w:bCs/>
          <w:spacing w:val="-16"/>
          <w:sz w:val="21"/>
          <w:szCs w:val="21"/>
        </w:rPr>
        <w:t xml:space="preserve"> </w:t>
      </w:r>
      <w:r w:rsidRPr="00AD79C7">
        <w:rPr>
          <w:rFonts w:ascii="Abadi" w:hAnsi="Abadi"/>
          <w:b/>
          <w:bCs/>
          <w:sz w:val="21"/>
          <w:szCs w:val="21"/>
        </w:rPr>
        <w:t>financiamientos</w:t>
      </w:r>
      <w:r w:rsidRPr="00AD79C7">
        <w:rPr>
          <w:rFonts w:ascii="Abadi" w:hAnsi="Abadi"/>
          <w:b/>
          <w:bCs/>
          <w:spacing w:val="-18"/>
          <w:sz w:val="21"/>
          <w:szCs w:val="21"/>
        </w:rPr>
        <w:t xml:space="preserve"> </w:t>
      </w:r>
      <w:r w:rsidRPr="00AD79C7">
        <w:rPr>
          <w:rFonts w:ascii="Abadi" w:hAnsi="Abadi"/>
          <w:b/>
          <w:bCs/>
          <w:sz w:val="21"/>
          <w:szCs w:val="21"/>
        </w:rPr>
        <w:t>para</w:t>
      </w:r>
      <w:r w:rsidRPr="00AD79C7">
        <w:rPr>
          <w:rFonts w:ascii="Abadi" w:hAnsi="Abadi"/>
          <w:b/>
          <w:bCs/>
          <w:spacing w:val="-17"/>
          <w:sz w:val="21"/>
          <w:szCs w:val="21"/>
        </w:rPr>
        <w:t xml:space="preserve"> </w:t>
      </w:r>
      <w:r w:rsidRPr="00AD79C7">
        <w:rPr>
          <w:rFonts w:ascii="Abadi" w:hAnsi="Abadi"/>
          <w:b/>
          <w:bCs/>
          <w:sz w:val="21"/>
          <w:szCs w:val="21"/>
        </w:rPr>
        <w:t>destinarlos</w:t>
      </w:r>
      <w:r w:rsidRPr="00AD79C7">
        <w:rPr>
          <w:rFonts w:ascii="Abadi" w:hAnsi="Abadi"/>
          <w:b/>
          <w:bCs/>
          <w:spacing w:val="-17"/>
          <w:sz w:val="21"/>
          <w:szCs w:val="21"/>
        </w:rPr>
        <w:t xml:space="preserve"> </w:t>
      </w:r>
      <w:r w:rsidRPr="00AD79C7">
        <w:rPr>
          <w:rFonts w:ascii="Abadi" w:hAnsi="Abadi"/>
          <w:b/>
          <w:bCs/>
          <w:sz w:val="21"/>
          <w:szCs w:val="21"/>
        </w:rPr>
        <w:t>a</w:t>
      </w:r>
      <w:r w:rsidRPr="00AD79C7">
        <w:rPr>
          <w:rFonts w:ascii="Abadi" w:hAnsi="Abadi"/>
          <w:b/>
          <w:bCs/>
          <w:spacing w:val="-16"/>
          <w:sz w:val="21"/>
          <w:szCs w:val="21"/>
        </w:rPr>
        <w:t xml:space="preserve"> </w:t>
      </w:r>
      <w:r w:rsidRPr="00AD79C7">
        <w:rPr>
          <w:rFonts w:ascii="Abadi" w:hAnsi="Abadi"/>
          <w:b/>
          <w:bCs/>
          <w:sz w:val="21"/>
          <w:szCs w:val="21"/>
        </w:rPr>
        <w:t>13</w:t>
      </w:r>
      <w:r w:rsidRPr="00AD79C7">
        <w:rPr>
          <w:rFonts w:ascii="Abadi" w:hAnsi="Abadi"/>
          <w:b/>
          <w:bCs/>
          <w:spacing w:val="-17"/>
          <w:sz w:val="21"/>
          <w:szCs w:val="21"/>
        </w:rPr>
        <w:t xml:space="preserve"> </w:t>
      </w:r>
      <w:r w:rsidRPr="00AD79C7">
        <w:rPr>
          <w:rFonts w:ascii="Abadi" w:hAnsi="Abadi"/>
          <w:b/>
          <w:bCs/>
          <w:sz w:val="21"/>
          <w:szCs w:val="21"/>
        </w:rPr>
        <w:t>proyectos de inversión pública productiva.</w:t>
      </w:r>
    </w:p>
    <w:p w14:paraId="5F01075F" w14:textId="77777777" w:rsidR="009818AB" w:rsidRPr="009818AB" w:rsidRDefault="009818AB" w:rsidP="006B00FD">
      <w:pPr>
        <w:pStyle w:val="Prrafodelista"/>
        <w:ind w:right="566"/>
        <w:rPr>
          <w:rFonts w:ascii="Abadi" w:hAnsi="Abadi"/>
          <w:b/>
          <w:bCs/>
          <w:sz w:val="21"/>
          <w:szCs w:val="21"/>
        </w:rPr>
      </w:pPr>
    </w:p>
    <w:p w14:paraId="1D075007" w14:textId="77777777" w:rsidR="00D63CC5" w:rsidRPr="00AD79C7" w:rsidRDefault="00D63CC5" w:rsidP="005433FA">
      <w:pPr>
        <w:pStyle w:val="Prrafodelista"/>
        <w:numPr>
          <w:ilvl w:val="0"/>
          <w:numId w:val="8"/>
        </w:numPr>
        <w:tabs>
          <w:tab w:val="left" w:pos="856"/>
        </w:tabs>
        <w:kinsoku w:val="0"/>
        <w:overflowPunct w:val="0"/>
        <w:autoSpaceDE w:val="0"/>
        <w:autoSpaceDN w:val="0"/>
        <w:adjustRightInd w:val="0"/>
        <w:spacing w:before="22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50"/>
          <w:w w:val="150"/>
          <w:sz w:val="21"/>
          <w:szCs w:val="21"/>
        </w:rPr>
        <w:t xml:space="preserve"> </w:t>
      </w:r>
      <w:r w:rsidRPr="00AD79C7">
        <w:rPr>
          <w:rFonts w:ascii="Abadi" w:hAnsi="Abadi"/>
          <w:b/>
          <w:bCs/>
          <w:sz w:val="21"/>
          <w:szCs w:val="21"/>
        </w:rPr>
        <w:t>y,</w:t>
      </w:r>
      <w:r w:rsidRPr="00AD79C7">
        <w:rPr>
          <w:rFonts w:ascii="Abadi" w:hAnsi="Abadi"/>
          <w:b/>
          <w:bCs/>
          <w:spacing w:val="50"/>
          <w:w w:val="150"/>
          <w:sz w:val="21"/>
          <w:szCs w:val="21"/>
        </w:rPr>
        <w:t xml:space="preserve"> </w:t>
      </w:r>
      <w:r w:rsidRPr="00AD79C7">
        <w:rPr>
          <w:rFonts w:ascii="Abadi" w:hAnsi="Abadi"/>
          <w:b/>
          <w:bCs/>
          <w:sz w:val="21"/>
          <w:szCs w:val="21"/>
        </w:rPr>
        <w:t>en</w:t>
      </w:r>
      <w:r w:rsidRPr="00AD79C7">
        <w:rPr>
          <w:rFonts w:ascii="Abadi" w:hAnsi="Abadi"/>
          <w:b/>
          <w:bCs/>
          <w:spacing w:val="50"/>
          <w:w w:val="150"/>
          <w:sz w:val="21"/>
          <w:szCs w:val="21"/>
        </w:rPr>
        <w:t xml:space="preserve"> </w:t>
      </w:r>
      <w:r w:rsidRPr="00AD79C7">
        <w:rPr>
          <w:rFonts w:ascii="Abadi" w:hAnsi="Abadi"/>
          <w:b/>
          <w:bCs/>
          <w:sz w:val="21"/>
          <w:szCs w:val="21"/>
        </w:rPr>
        <w:t>su</w:t>
      </w:r>
      <w:r w:rsidRPr="00AD79C7">
        <w:rPr>
          <w:rFonts w:ascii="Abadi" w:hAnsi="Abadi"/>
          <w:b/>
          <w:bCs/>
          <w:spacing w:val="50"/>
          <w:w w:val="150"/>
          <w:sz w:val="21"/>
          <w:szCs w:val="21"/>
        </w:rPr>
        <w:t xml:space="preserve"> </w:t>
      </w:r>
      <w:r w:rsidRPr="00AD79C7">
        <w:rPr>
          <w:rFonts w:ascii="Abadi" w:hAnsi="Abadi"/>
          <w:b/>
          <w:bCs/>
          <w:sz w:val="21"/>
          <w:szCs w:val="21"/>
        </w:rPr>
        <w:t>caso,</w:t>
      </w:r>
      <w:r w:rsidRPr="00AD79C7">
        <w:rPr>
          <w:rFonts w:ascii="Abadi" w:hAnsi="Abadi"/>
          <w:b/>
          <w:bCs/>
          <w:spacing w:val="50"/>
          <w:w w:val="150"/>
          <w:sz w:val="21"/>
          <w:szCs w:val="21"/>
        </w:rPr>
        <w:t xml:space="preserve"> </w:t>
      </w:r>
      <w:r w:rsidRPr="00AD79C7">
        <w:rPr>
          <w:rFonts w:ascii="Abadi" w:hAnsi="Abadi"/>
          <w:b/>
          <w:bCs/>
          <w:sz w:val="21"/>
          <w:szCs w:val="21"/>
        </w:rPr>
        <w:t>aprobación</w:t>
      </w:r>
      <w:r w:rsidRPr="00AD79C7">
        <w:rPr>
          <w:rFonts w:ascii="Abadi" w:hAnsi="Abadi"/>
          <w:b/>
          <w:bCs/>
          <w:spacing w:val="50"/>
          <w:w w:val="150"/>
          <w:sz w:val="21"/>
          <w:szCs w:val="21"/>
        </w:rPr>
        <w:t xml:space="preserve"> </w:t>
      </w:r>
      <w:r w:rsidRPr="00AD79C7">
        <w:rPr>
          <w:rFonts w:ascii="Abadi" w:hAnsi="Abadi"/>
          <w:b/>
          <w:bCs/>
          <w:sz w:val="21"/>
          <w:szCs w:val="21"/>
        </w:rPr>
        <w:t>del</w:t>
      </w:r>
      <w:r w:rsidRPr="00AD79C7">
        <w:rPr>
          <w:rFonts w:ascii="Abadi" w:hAnsi="Abadi"/>
          <w:b/>
          <w:bCs/>
          <w:spacing w:val="50"/>
          <w:w w:val="150"/>
          <w:sz w:val="21"/>
          <w:szCs w:val="21"/>
        </w:rPr>
        <w:t xml:space="preserve"> </w:t>
      </w:r>
      <w:r w:rsidRPr="00AD79C7">
        <w:rPr>
          <w:rFonts w:ascii="Abadi" w:hAnsi="Abadi"/>
          <w:b/>
          <w:bCs/>
          <w:sz w:val="21"/>
          <w:szCs w:val="21"/>
        </w:rPr>
        <w:t>dictamen</w:t>
      </w:r>
      <w:r w:rsidRPr="00AD79C7">
        <w:rPr>
          <w:rFonts w:ascii="Abadi" w:hAnsi="Abadi"/>
          <w:b/>
          <w:bCs/>
          <w:spacing w:val="50"/>
          <w:w w:val="150"/>
          <w:sz w:val="21"/>
          <w:szCs w:val="21"/>
        </w:rPr>
        <w:t xml:space="preserve"> </w:t>
      </w:r>
      <w:r w:rsidRPr="00AD79C7">
        <w:rPr>
          <w:rFonts w:ascii="Abadi" w:hAnsi="Abadi"/>
          <w:b/>
          <w:bCs/>
          <w:sz w:val="21"/>
          <w:szCs w:val="21"/>
        </w:rPr>
        <w:t>presentado</w:t>
      </w:r>
      <w:r w:rsidRPr="00AD79C7">
        <w:rPr>
          <w:rFonts w:ascii="Abadi" w:hAnsi="Abadi"/>
          <w:b/>
          <w:bCs/>
          <w:spacing w:val="50"/>
          <w:w w:val="150"/>
          <w:sz w:val="21"/>
          <w:szCs w:val="21"/>
        </w:rPr>
        <w:t xml:space="preserve"> </w:t>
      </w:r>
      <w:r w:rsidRPr="00AD79C7">
        <w:rPr>
          <w:rFonts w:ascii="Abadi" w:hAnsi="Abadi"/>
          <w:b/>
          <w:bCs/>
          <w:sz w:val="21"/>
          <w:szCs w:val="21"/>
        </w:rPr>
        <w:t>por</w:t>
      </w:r>
      <w:r w:rsidRPr="00AD79C7">
        <w:rPr>
          <w:rFonts w:ascii="Abadi" w:hAnsi="Abadi"/>
          <w:b/>
          <w:bCs/>
          <w:spacing w:val="50"/>
          <w:w w:val="150"/>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Comisión</w:t>
      </w:r>
      <w:r w:rsidRPr="00AD79C7">
        <w:rPr>
          <w:rFonts w:ascii="Abadi" w:hAnsi="Abadi"/>
          <w:b/>
          <w:bCs/>
          <w:spacing w:val="19"/>
          <w:sz w:val="21"/>
          <w:szCs w:val="21"/>
        </w:rPr>
        <w:t xml:space="preserve"> </w:t>
      </w:r>
      <w:r w:rsidRPr="00AD79C7">
        <w:rPr>
          <w:rFonts w:ascii="Abadi" w:hAnsi="Abadi"/>
          <w:b/>
          <w:bCs/>
          <w:sz w:val="21"/>
          <w:szCs w:val="21"/>
        </w:rPr>
        <w:t>de</w:t>
      </w:r>
      <w:r w:rsidRPr="00AD79C7">
        <w:rPr>
          <w:rFonts w:ascii="Abadi" w:hAnsi="Abadi"/>
          <w:b/>
          <w:bCs/>
          <w:spacing w:val="19"/>
          <w:sz w:val="21"/>
          <w:szCs w:val="21"/>
        </w:rPr>
        <w:t xml:space="preserve"> </w:t>
      </w:r>
      <w:r w:rsidRPr="00AD79C7">
        <w:rPr>
          <w:rFonts w:ascii="Abadi" w:hAnsi="Abadi"/>
          <w:b/>
          <w:bCs/>
          <w:sz w:val="21"/>
          <w:szCs w:val="21"/>
        </w:rPr>
        <w:t>Hacienda</w:t>
      </w:r>
      <w:r w:rsidRPr="00AD79C7">
        <w:rPr>
          <w:rFonts w:ascii="Abadi" w:hAnsi="Abadi"/>
          <w:b/>
          <w:bCs/>
          <w:spacing w:val="19"/>
          <w:sz w:val="21"/>
          <w:szCs w:val="21"/>
        </w:rPr>
        <w:t xml:space="preserve"> </w:t>
      </w:r>
      <w:r w:rsidRPr="00AD79C7">
        <w:rPr>
          <w:rFonts w:ascii="Abadi" w:hAnsi="Abadi"/>
          <w:b/>
          <w:bCs/>
          <w:sz w:val="21"/>
          <w:szCs w:val="21"/>
        </w:rPr>
        <w:t>y</w:t>
      </w:r>
      <w:r w:rsidRPr="00AD79C7">
        <w:rPr>
          <w:rFonts w:ascii="Abadi" w:hAnsi="Abadi"/>
          <w:b/>
          <w:bCs/>
          <w:spacing w:val="20"/>
          <w:sz w:val="21"/>
          <w:szCs w:val="21"/>
        </w:rPr>
        <w:t xml:space="preserve"> </w:t>
      </w:r>
      <w:r w:rsidRPr="00AD79C7">
        <w:rPr>
          <w:rFonts w:ascii="Abadi" w:hAnsi="Abadi"/>
          <w:b/>
          <w:bCs/>
          <w:sz w:val="21"/>
          <w:szCs w:val="21"/>
        </w:rPr>
        <w:t>Fiscalización</w:t>
      </w:r>
      <w:r w:rsidRPr="00AD79C7">
        <w:rPr>
          <w:rFonts w:ascii="Abadi" w:hAnsi="Abadi"/>
          <w:b/>
          <w:bCs/>
          <w:spacing w:val="19"/>
          <w:sz w:val="21"/>
          <w:szCs w:val="21"/>
        </w:rPr>
        <w:t xml:space="preserve"> </w:t>
      </w:r>
      <w:r w:rsidRPr="00AD79C7">
        <w:rPr>
          <w:rFonts w:ascii="Abadi" w:hAnsi="Abadi"/>
          <w:b/>
          <w:bCs/>
          <w:sz w:val="21"/>
          <w:szCs w:val="21"/>
        </w:rPr>
        <w:t>relativo</w:t>
      </w:r>
      <w:r w:rsidRPr="00AD79C7">
        <w:rPr>
          <w:rFonts w:ascii="Abadi" w:hAnsi="Abadi"/>
          <w:b/>
          <w:bCs/>
          <w:spacing w:val="19"/>
          <w:sz w:val="21"/>
          <w:szCs w:val="21"/>
        </w:rPr>
        <w:t xml:space="preserve"> </w:t>
      </w:r>
      <w:r w:rsidRPr="00AD79C7">
        <w:rPr>
          <w:rFonts w:ascii="Abadi" w:hAnsi="Abadi"/>
          <w:b/>
          <w:bCs/>
          <w:sz w:val="21"/>
          <w:szCs w:val="21"/>
        </w:rPr>
        <w:t>a</w:t>
      </w:r>
      <w:r w:rsidRPr="00AD79C7">
        <w:rPr>
          <w:rFonts w:ascii="Abadi" w:hAnsi="Abadi"/>
          <w:b/>
          <w:bCs/>
          <w:spacing w:val="19"/>
          <w:sz w:val="21"/>
          <w:szCs w:val="21"/>
        </w:rPr>
        <w:t xml:space="preserve"> </w:t>
      </w:r>
      <w:r w:rsidRPr="00AD79C7">
        <w:rPr>
          <w:rFonts w:ascii="Abadi" w:hAnsi="Abadi"/>
          <w:b/>
          <w:bCs/>
          <w:sz w:val="21"/>
          <w:szCs w:val="21"/>
        </w:rPr>
        <w:t>la</w:t>
      </w:r>
      <w:r w:rsidRPr="00AD79C7">
        <w:rPr>
          <w:rFonts w:ascii="Abadi" w:hAnsi="Abadi"/>
          <w:b/>
          <w:bCs/>
          <w:spacing w:val="19"/>
          <w:sz w:val="21"/>
          <w:szCs w:val="21"/>
        </w:rPr>
        <w:t xml:space="preserve"> </w:t>
      </w:r>
      <w:r w:rsidRPr="00AD79C7">
        <w:rPr>
          <w:rFonts w:ascii="Abadi" w:hAnsi="Abadi"/>
          <w:b/>
          <w:bCs/>
          <w:sz w:val="21"/>
          <w:szCs w:val="21"/>
        </w:rPr>
        <w:t>propuesta</w:t>
      </w:r>
      <w:r w:rsidRPr="00AD79C7">
        <w:rPr>
          <w:rFonts w:ascii="Abadi" w:hAnsi="Abadi"/>
          <w:b/>
          <w:bCs/>
          <w:spacing w:val="19"/>
          <w:sz w:val="21"/>
          <w:szCs w:val="21"/>
        </w:rPr>
        <w:t xml:space="preserve"> </w:t>
      </w:r>
      <w:r w:rsidRPr="00AD79C7">
        <w:rPr>
          <w:rFonts w:ascii="Abadi" w:hAnsi="Abadi"/>
          <w:b/>
          <w:bCs/>
          <w:sz w:val="21"/>
          <w:szCs w:val="21"/>
        </w:rPr>
        <w:t>de</w:t>
      </w:r>
      <w:r w:rsidRPr="00AD79C7">
        <w:rPr>
          <w:rFonts w:ascii="Abadi" w:hAnsi="Abadi"/>
          <w:b/>
          <w:bCs/>
          <w:spacing w:val="19"/>
          <w:sz w:val="21"/>
          <w:szCs w:val="21"/>
        </w:rPr>
        <w:t xml:space="preserve"> </w:t>
      </w:r>
      <w:r w:rsidRPr="00AD79C7">
        <w:rPr>
          <w:rFonts w:ascii="Abadi" w:hAnsi="Abadi"/>
          <w:b/>
          <w:bCs/>
          <w:sz w:val="21"/>
          <w:szCs w:val="21"/>
        </w:rPr>
        <w:t>punto</w:t>
      </w:r>
      <w:r w:rsidRPr="00AD79C7">
        <w:rPr>
          <w:rFonts w:ascii="Abadi" w:hAnsi="Abadi"/>
          <w:b/>
          <w:bCs/>
          <w:spacing w:val="19"/>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acuerdo</w:t>
      </w:r>
      <w:r w:rsidRPr="00AD79C7">
        <w:rPr>
          <w:rFonts w:ascii="Abadi" w:hAnsi="Abadi"/>
          <w:b/>
          <w:bCs/>
          <w:spacing w:val="63"/>
          <w:sz w:val="21"/>
          <w:szCs w:val="21"/>
        </w:rPr>
        <w:t xml:space="preserve"> </w:t>
      </w:r>
      <w:r w:rsidRPr="00AD79C7">
        <w:rPr>
          <w:rFonts w:ascii="Abadi" w:hAnsi="Abadi"/>
          <w:b/>
          <w:bCs/>
          <w:sz w:val="21"/>
          <w:szCs w:val="21"/>
        </w:rPr>
        <w:t>suscrita</w:t>
      </w:r>
      <w:r w:rsidRPr="00AD79C7">
        <w:rPr>
          <w:rFonts w:ascii="Abadi" w:hAnsi="Abadi"/>
          <w:b/>
          <w:bCs/>
          <w:spacing w:val="63"/>
          <w:sz w:val="21"/>
          <w:szCs w:val="21"/>
        </w:rPr>
        <w:t xml:space="preserve"> </w:t>
      </w:r>
      <w:r w:rsidRPr="00AD79C7">
        <w:rPr>
          <w:rFonts w:ascii="Abadi" w:hAnsi="Abadi"/>
          <w:b/>
          <w:bCs/>
          <w:sz w:val="21"/>
          <w:szCs w:val="21"/>
        </w:rPr>
        <w:t>por</w:t>
      </w:r>
      <w:r w:rsidRPr="00AD79C7">
        <w:rPr>
          <w:rFonts w:ascii="Abadi" w:hAnsi="Abadi"/>
          <w:b/>
          <w:bCs/>
          <w:spacing w:val="63"/>
          <w:sz w:val="21"/>
          <w:szCs w:val="21"/>
        </w:rPr>
        <w:t xml:space="preserve"> </w:t>
      </w:r>
      <w:r w:rsidRPr="00AD79C7">
        <w:rPr>
          <w:rFonts w:ascii="Abadi" w:hAnsi="Abadi"/>
          <w:b/>
          <w:bCs/>
          <w:sz w:val="21"/>
          <w:szCs w:val="21"/>
        </w:rPr>
        <w:t>la</w:t>
      </w:r>
      <w:r w:rsidRPr="00AD79C7">
        <w:rPr>
          <w:rFonts w:ascii="Abadi" w:hAnsi="Abadi"/>
          <w:b/>
          <w:bCs/>
          <w:spacing w:val="63"/>
          <w:sz w:val="21"/>
          <w:szCs w:val="21"/>
        </w:rPr>
        <w:t xml:space="preserve"> </w:t>
      </w:r>
      <w:r w:rsidRPr="00AD79C7">
        <w:rPr>
          <w:rFonts w:ascii="Abadi" w:hAnsi="Abadi"/>
          <w:b/>
          <w:bCs/>
          <w:sz w:val="21"/>
          <w:szCs w:val="21"/>
        </w:rPr>
        <w:t>diputada</w:t>
      </w:r>
      <w:r w:rsidRPr="00AD79C7">
        <w:rPr>
          <w:rFonts w:ascii="Abadi" w:hAnsi="Abadi"/>
          <w:b/>
          <w:bCs/>
          <w:spacing w:val="62"/>
          <w:sz w:val="21"/>
          <w:szCs w:val="21"/>
        </w:rPr>
        <w:t xml:space="preserve"> </w:t>
      </w:r>
      <w:r w:rsidRPr="00AD79C7">
        <w:rPr>
          <w:rFonts w:ascii="Abadi" w:hAnsi="Abadi"/>
          <w:b/>
          <w:bCs/>
          <w:sz w:val="21"/>
          <w:szCs w:val="21"/>
        </w:rPr>
        <w:t>María</w:t>
      </w:r>
      <w:r w:rsidRPr="00AD79C7">
        <w:rPr>
          <w:rFonts w:ascii="Abadi" w:hAnsi="Abadi"/>
          <w:b/>
          <w:bCs/>
          <w:spacing w:val="63"/>
          <w:sz w:val="21"/>
          <w:szCs w:val="21"/>
        </w:rPr>
        <w:t xml:space="preserve"> </w:t>
      </w:r>
      <w:r w:rsidRPr="00AD79C7">
        <w:rPr>
          <w:rFonts w:ascii="Abadi" w:hAnsi="Abadi"/>
          <w:b/>
          <w:bCs/>
          <w:sz w:val="21"/>
          <w:szCs w:val="21"/>
        </w:rPr>
        <w:t>Magdalena</w:t>
      </w:r>
      <w:r w:rsidRPr="00AD79C7">
        <w:rPr>
          <w:rFonts w:ascii="Abadi" w:hAnsi="Abadi"/>
          <w:b/>
          <w:bCs/>
          <w:spacing w:val="63"/>
          <w:sz w:val="21"/>
          <w:szCs w:val="21"/>
        </w:rPr>
        <w:t xml:space="preserve"> </w:t>
      </w:r>
      <w:r w:rsidRPr="00AD79C7">
        <w:rPr>
          <w:rFonts w:ascii="Abadi" w:hAnsi="Abadi"/>
          <w:b/>
          <w:bCs/>
          <w:sz w:val="21"/>
          <w:szCs w:val="21"/>
        </w:rPr>
        <w:t>Rosales</w:t>
      </w:r>
      <w:r w:rsidRPr="00AD79C7">
        <w:rPr>
          <w:rFonts w:ascii="Abadi" w:hAnsi="Abadi"/>
          <w:b/>
          <w:bCs/>
          <w:spacing w:val="63"/>
          <w:sz w:val="21"/>
          <w:szCs w:val="21"/>
        </w:rPr>
        <w:t xml:space="preserve"> </w:t>
      </w:r>
      <w:r w:rsidRPr="00AD79C7">
        <w:rPr>
          <w:rFonts w:ascii="Abadi" w:hAnsi="Abadi"/>
          <w:b/>
          <w:bCs/>
          <w:sz w:val="21"/>
          <w:szCs w:val="21"/>
        </w:rPr>
        <w:t>Cruz</w:t>
      </w:r>
      <w:r w:rsidRPr="00AD79C7">
        <w:rPr>
          <w:rFonts w:ascii="Abadi" w:hAnsi="Abadi"/>
          <w:b/>
          <w:bCs/>
          <w:spacing w:val="63"/>
          <w:sz w:val="21"/>
          <w:szCs w:val="21"/>
        </w:rPr>
        <w:t xml:space="preserve"> </w:t>
      </w:r>
      <w:r w:rsidRPr="00AD79C7">
        <w:rPr>
          <w:rFonts w:ascii="Abadi" w:hAnsi="Abadi"/>
          <w:b/>
          <w:bCs/>
          <w:sz w:val="21"/>
          <w:szCs w:val="21"/>
        </w:rPr>
        <w:t>y</w:t>
      </w:r>
      <w:r w:rsidRPr="00AD79C7">
        <w:rPr>
          <w:rFonts w:ascii="Abadi" w:hAnsi="Abadi"/>
          <w:b/>
          <w:bCs/>
          <w:spacing w:val="63"/>
          <w:sz w:val="21"/>
          <w:szCs w:val="21"/>
        </w:rPr>
        <w:t xml:space="preserve"> </w:t>
      </w:r>
      <w:r w:rsidRPr="00AD79C7">
        <w:rPr>
          <w:rFonts w:ascii="Abadi" w:hAnsi="Abadi"/>
          <w:b/>
          <w:bCs/>
          <w:sz w:val="21"/>
          <w:szCs w:val="21"/>
        </w:rPr>
        <w:t>los</w:t>
      </w:r>
      <w:r w:rsidRPr="00AD79C7">
        <w:rPr>
          <w:rFonts w:ascii="Abadi" w:hAnsi="Abadi"/>
          <w:b/>
          <w:bCs/>
          <w:spacing w:val="-1"/>
          <w:sz w:val="21"/>
          <w:szCs w:val="21"/>
        </w:rPr>
        <w:t xml:space="preserve"> </w:t>
      </w:r>
      <w:r w:rsidRPr="00AD79C7">
        <w:rPr>
          <w:rFonts w:ascii="Abadi" w:hAnsi="Abadi"/>
          <w:b/>
          <w:bCs/>
          <w:sz w:val="21"/>
          <w:szCs w:val="21"/>
        </w:rPr>
        <w:t>diputados</w:t>
      </w:r>
      <w:r w:rsidRPr="00AD79C7">
        <w:rPr>
          <w:rFonts w:ascii="Abadi" w:hAnsi="Abadi"/>
          <w:b/>
          <w:bCs/>
          <w:spacing w:val="34"/>
          <w:sz w:val="21"/>
          <w:szCs w:val="21"/>
        </w:rPr>
        <w:t xml:space="preserve">  </w:t>
      </w:r>
      <w:r w:rsidRPr="00AD79C7">
        <w:rPr>
          <w:rFonts w:ascii="Abadi" w:hAnsi="Abadi"/>
          <w:b/>
          <w:bCs/>
          <w:sz w:val="21"/>
          <w:szCs w:val="21"/>
        </w:rPr>
        <w:t>Enrique</w:t>
      </w:r>
      <w:r w:rsidRPr="00AD79C7">
        <w:rPr>
          <w:rFonts w:ascii="Abadi" w:hAnsi="Abadi"/>
          <w:b/>
          <w:bCs/>
          <w:spacing w:val="34"/>
          <w:sz w:val="21"/>
          <w:szCs w:val="21"/>
        </w:rPr>
        <w:t xml:space="preserve">  </w:t>
      </w:r>
      <w:r w:rsidRPr="00AD79C7">
        <w:rPr>
          <w:rFonts w:ascii="Abadi" w:hAnsi="Abadi"/>
          <w:b/>
          <w:bCs/>
          <w:sz w:val="21"/>
          <w:szCs w:val="21"/>
        </w:rPr>
        <w:t>Alba</w:t>
      </w:r>
      <w:r w:rsidRPr="00AD79C7">
        <w:rPr>
          <w:rFonts w:ascii="Abadi" w:hAnsi="Abadi"/>
          <w:b/>
          <w:bCs/>
          <w:spacing w:val="34"/>
          <w:sz w:val="21"/>
          <w:szCs w:val="21"/>
        </w:rPr>
        <w:t xml:space="preserve">  </w:t>
      </w:r>
      <w:r w:rsidRPr="00AD79C7">
        <w:rPr>
          <w:rFonts w:ascii="Abadi" w:hAnsi="Abadi"/>
          <w:b/>
          <w:bCs/>
          <w:sz w:val="21"/>
          <w:szCs w:val="21"/>
        </w:rPr>
        <w:t>Martínez</w:t>
      </w:r>
      <w:r w:rsidRPr="00AD79C7">
        <w:rPr>
          <w:rFonts w:ascii="Abadi" w:hAnsi="Abadi"/>
          <w:b/>
          <w:bCs/>
          <w:spacing w:val="34"/>
          <w:sz w:val="21"/>
          <w:szCs w:val="21"/>
        </w:rPr>
        <w:t xml:space="preserve">  </w:t>
      </w:r>
      <w:r w:rsidRPr="00AD79C7">
        <w:rPr>
          <w:rFonts w:ascii="Abadi" w:hAnsi="Abadi"/>
          <w:b/>
          <w:bCs/>
          <w:sz w:val="21"/>
          <w:szCs w:val="21"/>
        </w:rPr>
        <w:t>y</w:t>
      </w:r>
      <w:r w:rsidRPr="00AD79C7">
        <w:rPr>
          <w:rFonts w:ascii="Abadi" w:hAnsi="Abadi"/>
          <w:b/>
          <w:bCs/>
          <w:spacing w:val="34"/>
          <w:sz w:val="21"/>
          <w:szCs w:val="21"/>
        </w:rPr>
        <w:t xml:space="preserve">  </w:t>
      </w:r>
      <w:r w:rsidRPr="00AD79C7">
        <w:rPr>
          <w:rFonts w:ascii="Abadi" w:hAnsi="Abadi"/>
          <w:b/>
          <w:bCs/>
          <w:sz w:val="21"/>
          <w:szCs w:val="21"/>
        </w:rPr>
        <w:t>Raúl</w:t>
      </w:r>
      <w:r w:rsidRPr="00AD79C7">
        <w:rPr>
          <w:rFonts w:ascii="Abadi" w:hAnsi="Abadi"/>
          <w:b/>
          <w:bCs/>
          <w:spacing w:val="34"/>
          <w:sz w:val="21"/>
          <w:szCs w:val="21"/>
        </w:rPr>
        <w:t xml:space="preserve">  </w:t>
      </w:r>
      <w:r w:rsidRPr="00AD79C7">
        <w:rPr>
          <w:rFonts w:ascii="Abadi" w:hAnsi="Abadi"/>
          <w:b/>
          <w:bCs/>
          <w:sz w:val="21"/>
          <w:szCs w:val="21"/>
        </w:rPr>
        <w:t>Humberto</w:t>
      </w:r>
      <w:r w:rsidRPr="00AD79C7">
        <w:rPr>
          <w:rFonts w:ascii="Abadi" w:hAnsi="Abadi"/>
          <w:b/>
          <w:bCs/>
          <w:spacing w:val="34"/>
          <w:sz w:val="21"/>
          <w:szCs w:val="21"/>
        </w:rPr>
        <w:t xml:space="preserve">  </w:t>
      </w:r>
      <w:r w:rsidRPr="00AD79C7">
        <w:rPr>
          <w:rFonts w:ascii="Abadi" w:hAnsi="Abadi"/>
          <w:b/>
          <w:bCs/>
          <w:sz w:val="21"/>
          <w:szCs w:val="21"/>
        </w:rPr>
        <w:t>Márquez</w:t>
      </w:r>
      <w:r w:rsidRPr="00AD79C7">
        <w:rPr>
          <w:rFonts w:ascii="Abadi" w:hAnsi="Abadi"/>
          <w:b/>
          <w:bCs/>
          <w:spacing w:val="34"/>
          <w:sz w:val="21"/>
          <w:szCs w:val="21"/>
        </w:rPr>
        <w:t xml:space="preserve">  </w:t>
      </w:r>
      <w:r w:rsidRPr="00AD79C7">
        <w:rPr>
          <w:rFonts w:ascii="Abadi" w:hAnsi="Abadi"/>
          <w:b/>
          <w:bCs/>
          <w:sz w:val="21"/>
          <w:szCs w:val="21"/>
        </w:rPr>
        <w:t>Albo,</w:t>
      </w:r>
      <w:r w:rsidRPr="00AD79C7">
        <w:rPr>
          <w:rFonts w:ascii="Abadi" w:hAnsi="Abadi"/>
          <w:b/>
          <w:bCs/>
          <w:spacing w:val="-1"/>
          <w:sz w:val="21"/>
          <w:szCs w:val="21"/>
        </w:rPr>
        <w:t xml:space="preserve"> </w:t>
      </w:r>
      <w:r w:rsidRPr="00AD79C7">
        <w:rPr>
          <w:rFonts w:ascii="Abadi" w:hAnsi="Abadi"/>
          <w:b/>
          <w:bCs/>
          <w:sz w:val="21"/>
          <w:szCs w:val="21"/>
        </w:rPr>
        <w:t>integrantes</w:t>
      </w:r>
      <w:r w:rsidRPr="00AD79C7">
        <w:rPr>
          <w:rFonts w:ascii="Abadi" w:hAnsi="Abadi"/>
          <w:b/>
          <w:bCs/>
          <w:spacing w:val="-16"/>
          <w:sz w:val="21"/>
          <w:szCs w:val="21"/>
        </w:rPr>
        <w:t xml:space="preserve"> </w:t>
      </w:r>
      <w:r w:rsidRPr="00AD79C7">
        <w:rPr>
          <w:rFonts w:ascii="Abadi" w:hAnsi="Abadi"/>
          <w:b/>
          <w:bCs/>
          <w:sz w:val="21"/>
          <w:szCs w:val="21"/>
        </w:rPr>
        <w:t>del</w:t>
      </w:r>
      <w:r w:rsidRPr="00AD79C7">
        <w:rPr>
          <w:rFonts w:ascii="Abadi" w:hAnsi="Abadi"/>
          <w:b/>
          <w:bCs/>
          <w:spacing w:val="-17"/>
          <w:sz w:val="21"/>
          <w:szCs w:val="21"/>
        </w:rPr>
        <w:t xml:space="preserve"> </w:t>
      </w:r>
      <w:r w:rsidRPr="00AD79C7">
        <w:rPr>
          <w:rFonts w:ascii="Abadi" w:hAnsi="Abadi"/>
          <w:b/>
          <w:bCs/>
          <w:sz w:val="21"/>
          <w:szCs w:val="21"/>
        </w:rPr>
        <w:t>Grupo</w:t>
      </w:r>
      <w:r w:rsidRPr="00AD79C7">
        <w:rPr>
          <w:rFonts w:ascii="Abadi" w:hAnsi="Abadi"/>
          <w:b/>
          <w:bCs/>
          <w:spacing w:val="-16"/>
          <w:sz w:val="21"/>
          <w:szCs w:val="21"/>
        </w:rPr>
        <w:t xml:space="preserve"> </w:t>
      </w:r>
      <w:r w:rsidRPr="00AD79C7">
        <w:rPr>
          <w:rFonts w:ascii="Abadi" w:hAnsi="Abadi"/>
          <w:b/>
          <w:bCs/>
          <w:sz w:val="21"/>
          <w:szCs w:val="21"/>
        </w:rPr>
        <w:t>Parlamentario</w:t>
      </w:r>
      <w:r w:rsidRPr="00AD79C7">
        <w:rPr>
          <w:rFonts w:ascii="Abadi" w:hAnsi="Abadi"/>
          <w:b/>
          <w:bCs/>
          <w:spacing w:val="-16"/>
          <w:sz w:val="21"/>
          <w:szCs w:val="21"/>
        </w:rPr>
        <w:t xml:space="preserve"> </w:t>
      </w:r>
      <w:r w:rsidRPr="00AD79C7">
        <w:rPr>
          <w:rFonts w:ascii="Abadi" w:hAnsi="Abadi"/>
          <w:b/>
          <w:bCs/>
          <w:sz w:val="21"/>
          <w:szCs w:val="21"/>
        </w:rPr>
        <w:t>del</w:t>
      </w:r>
      <w:r w:rsidRPr="00AD79C7">
        <w:rPr>
          <w:rFonts w:ascii="Abadi" w:hAnsi="Abadi"/>
          <w:b/>
          <w:bCs/>
          <w:spacing w:val="-17"/>
          <w:sz w:val="21"/>
          <w:szCs w:val="21"/>
        </w:rPr>
        <w:t xml:space="preserve"> </w:t>
      </w:r>
      <w:r w:rsidRPr="00AD79C7">
        <w:rPr>
          <w:rFonts w:ascii="Abadi" w:hAnsi="Abadi"/>
          <w:b/>
          <w:bCs/>
          <w:sz w:val="21"/>
          <w:szCs w:val="21"/>
        </w:rPr>
        <w:t>Partido</w:t>
      </w:r>
      <w:r w:rsidRPr="00AD79C7">
        <w:rPr>
          <w:rFonts w:ascii="Abadi" w:hAnsi="Abadi"/>
          <w:b/>
          <w:bCs/>
          <w:spacing w:val="-16"/>
          <w:sz w:val="21"/>
          <w:szCs w:val="21"/>
        </w:rPr>
        <w:t xml:space="preserve"> </w:t>
      </w:r>
      <w:r w:rsidRPr="00AD79C7">
        <w:rPr>
          <w:rFonts w:ascii="Abadi" w:hAnsi="Abadi"/>
          <w:b/>
          <w:bCs/>
          <w:sz w:val="21"/>
          <w:szCs w:val="21"/>
        </w:rPr>
        <w:t>Morena</w:t>
      </w:r>
      <w:r w:rsidRPr="00AD79C7">
        <w:rPr>
          <w:rFonts w:ascii="Abadi" w:hAnsi="Abadi"/>
          <w:b/>
          <w:bCs/>
          <w:spacing w:val="-16"/>
          <w:sz w:val="21"/>
          <w:szCs w:val="21"/>
        </w:rPr>
        <w:t xml:space="preserve"> </w:t>
      </w:r>
      <w:r w:rsidRPr="00AD79C7">
        <w:rPr>
          <w:rFonts w:ascii="Abadi" w:hAnsi="Abadi"/>
          <w:b/>
          <w:bCs/>
          <w:sz w:val="21"/>
          <w:szCs w:val="21"/>
        </w:rPr>
        <w:t>ante</w:t>
      </w:r>
      <w:r w:rsidRPr="00AD79C7">
        <w:rPr>
          <w:rFonts w:ascii="Abadi" w:hAnsi="Abadi"/>
          <w:b/>
          <w:bCs/>
          <w:spacing w:val="-16"/>
          <w:sz w:val="21"/>
          <w:szCs w:val="21"/>
        </w:rPr>
        <w:t xml:space="preserve"> </w:t>
      </w:r>
      <w:r w:rsidRPr="00AD79C7">
        <w:rPr>
          <w:rFonts w:ascii="Abadi" w:hAnsi="Abadi"/>
          <w:b/>
          <w:bCs/>
          <w:sz w:val="21"/>
          <w:szCs w:val="21"/>
        </w:rPr>
        <w:t>la</w:t>
      </w:r>
      <w:r w:rsidRPr="00AD79C7">
        <w:rPr>
          <w:rFonts w:ascii="Abadi" w:hAnsi="Abadi"/>
          <w:b/>
          <w:bCs/>
          <w:spacing w:val="-16"/>
          <w:sz w:val="21"/>
          <w:szCs w:val="21"/>
        </w:rPr>
        <w:t xml:space="preserve"> </w:t>
      </w:r>
      <w:r w:rsidRPr="00AD79C7">
        <w:rPr>
          <w:rFonts w:ascii="Abadi" w:hAnsi="Abadi"/>
          <w:b/>
          <w:bCs/>
          <w:sz w:val="21"/>
          <w:szCs w:val="21"/>
        </w:rPr>
        <w:t>Sexagésima</w:t>
      </w:r>
      <w:r w:rsidRPr="00AD79C7">
        <w:rPr>
          <w:rFonts w:ascii="Abadi" w:hAnsi="Abadi"/>
          <w:b/>
          <w:bCs/>
          <w:spacing w:val="-1"/>
          <w:sz w:val="21"/>
          <w:szCs w:val="21"/>
        </w:rPr>
        <w:t xml:space="preserve"> </w:t>
      </w:r>
      <w:r w:rsidRPr="00AD79C7">
        <w:rPr>
          <w:rFonts w:ascii="Abadi" w:hAnsi="Abadi"/>
          <w:b/>
          <w:bCs/>
          <w:sz w:val="21"/>
          <w:szCs w:val="21"/>
        </w:rPr>
        <w:t>Cuarta</w:t>
      </w:r>
      <w:r w:rsidRPr="00AD79C7">
        <w:rPr>
          <w:rFonts w:ascii="Abadi" w:hAnsi="Abadi"/>
          <w:b/>
          <w:bCs/>
          <w:spacing w:val="-10"/>
          <w:sz w:val="21"/>
          <w:szCs w:val="21"/>
        </w:rPr>
        <w:t xml:space="preserve"> </w:t>
      </w:r>
      <w:r w:rsidRPr="00AD79C7">
        <w:rPr>
          <w:rFonts w:ascii="Abadi" w:hAnsi="Abadi"/>
          <w:b/>
          <w:bCs/>
          <w:sz w:val="21"/>
          <w:szCs w:val="21"/>
        </w:rPr>
        <w:t>Legislatura,</w:t>
      </w:r>
      <w:r w:rsidRPr="00AD79C7">
        <w:rPr>
          <w:rFonts w:ascii="Abadi" w:hAnsi="Abadi"/>
          <w:b/>
          <w:bCs/>
          <w:spacing w:val="-10"/>
          <w:sz w:val="21"/>
          <w:szCs w:val="21"/>
        </w:rPr>
        <w:t xml:space="preserve"> </w:t>
      </w:r>
      <w:r w:rsidRPr="00AD79C7">
        <w:rPr>
          <w:rFonts w:ascii="Abadi" w:hAnsi="Abadi"/>
          <w:b/>
          <w:bCs/>
          <w:sz w:val="21"/>
          <w:szCs w:val="21"/>
        </w:rPr>
        <w:t>a</w:t>
      </w:r>
      <w:r w:rsidRPr="00AD79C7">
        <w:rPr>
          <w:rFonts w:ascii="Abadi" w:hAnsi="Abadi"/>
          <w:b/>
          <w:bCs/>
          <w:spacing w:val="-10"/>
          <w:sz w:val="21"/>
          <w:szCs w:val="21"/>
        </w:rPr>
        <w:t xml:space="preserve"> </w:t>
      </w:r>
      <w:r w:rsidRPr="00AD79C7">
        <w:rPr>
          <w:rFonts w:ascii="Abadi" w:hAnsi="Abadi"/>
          <w:b/>
          <w:bCs/>
          <w:sz w:val="21"/>
          <w:szCs w:val="21"/>
        </w:rPr>
        <w:t>efecto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exhortar</w:t>
      </w:r>
      <w:r w:rsidRPr="00AD79C7">
        <w:rPr>
          <w:rFonts w:ascii="Abadi" w:hAnsi="Abadi"/>
          <w:b/>
          <w:bCs/>
          <w:spacing w:val="-10"/>
          <w:sz w:val="21"/>
          <w:szCs w:val="21"/>
        </w:rPr>
        <w:t xml:space="preserve"> </w:t>
      </w:r>
      <w:r w:rsidRPr="00AD79C7">
        <w:rPr>
          <w:rFonts w:ascii="Abadi" w:hAnsi="Abadi"/>
          <w:b/>
          <w:bCs/>
          <w:sz w:val="21"/>
          <w:szCs w:val="21"/>
        </w:rPr>
        <w:t>al</w:t>
      </w:r>
      <w:r w:rsidRPr="00AD79C7">
        <w:rPr>
          <w:rFonts w:ascii="Abadi" w:hAnsi="Abadi"/>
          <w:b/>
          <w:bCs/>
          <w:spacing w:val="-10"/>
          <w:sz w:val="21"/>
          <w:szCs w:val="21"/>
        </w:rPr>
        <w:t xml:space="preserve"> </w:t>
      </w:r>
      <w:r w:rsidRPr="00AD79C7">
        <w:rPr>
          <w:rFonts w:ascii="Abadi" w:hAnsi="Abadi"/>
          <w:b/>
          <w:bCs/>
          <w:sz w:val="21"/>
          <w:szCs w:val="21"/>
        </w:rPr>
        <w:t>titular</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Auditoría</w:t>
      </w:r>
      <w:r w:rsidRPr="00AD79C7">
        <w:rPr>
          <w:rFonts w:ascii="Abadi" w:hAnsi="Abadi"/>
          <w:b/>
          <w:bCs/>
          <w:spacing w:val="-10"/>
          <w:sz w:val="21"/>
          <w:szCs w:val="21"/>
        </w:rPr>
        <w:t xml:space="preserve"> </w:t>
      </w:r>
      <w:r w:rsidRPr="00AD79C7">
        <w:rPr>
          <w:rFonts w:ascii="Abadi" w:hAnsi="Abadi"/>
          <w:b/>
          <w:bCs/>
          <w:sz w:val="21"/>
          <w:szCs w:val="21"/>
        </w:rPr>
        <w:t>Superior</w:t>
      </w:r>
      <w:r w:rsidRPr="00AD79C7">
        <w:rPr>
          <w:rFonts w:ascii="Abadi" w:hAnsi="Abadi"/>
          <w:b/>
          <w:bCs/>
          <w:spacing w:val="-10"/>
          <w:sz w:val="21"/>
          <w:szCs w:val="21"/>
        </w:rPr>
        <w:t xml:space="preserve"> </w:t>
      </w:r>
      <w:r w:rsidRPr="00AD79C7">
        <w:rPr>
          <w:rFonts w:ascii="Abadi" w:hAnsi="Abadi"/>
          <w:b/>
          <w:bCs/>
          <w:sz w:val="21"/>
          <w:szCs w:val="21"/>
        </w:rPr>
        <w:t>del</w:t>
      </w:r>
      <w:r w:rsidRPr="00AD79C7">
        <w:rPr>
          <w:rFonts w:ascii="Abadi" w:hAnsi="Abadi"/>
          <w:b/>
          <w:bCs/>
          <w:spacing w:val="-1"/>
          <w:sz w:val="21"/>
          <w:szCs w:val="21"/>
        </w:rPr>
        <w:t xml:space="preserve"> </w:t>
      </w:r>
      <w:r w:rsidRPr="00AD79C7">
        <w:rPr>
          <w:rFonts w:ascii="Abadi" w:hAnsi="Abadi"/>
          <w:b/>
          <w:bCs/>
          <w:sz w:val="21"/>
          <w:szCs w:val="21"/>
        </w:rPr>
        <w:t>Estado de Guanajuato,</w:t>
      </w:r>
      <w:r w:rsidRPr="00AD79C7">
        <w:rPr>
          <w:rFonts w:ascii="Abadi" w:hAnsi="Abadi"/>
          <w:b/>
          <w:bCs/>
          <w:spacing w:val="-1"/>
          <w:sz w:val="21"/>
          <w:szCs w:val="21"/>
        </w:rPr>
        <w:t xml:space="preserve"> </w:t>
      </w:r>
      <w:r w:rsidRPr="00AD79C7">
        <w:rPr>
          <w:rFonts w:ascii="Abadi" w:hAnsi="Abadi"/>
          <w:b/>
          <w:bCs/>
          <w:sz w:val="21"/>
          <w:szCs w:val="21"/>
        </w:rPr>
        <w:t>el</w:t>
      </w:r>
      <w:r w:rsidRPr="00AD79C7">
        <w:rPr>
          <w:rFonts w:ascii="Abadi" w:hAnsi="Abadi"/>
          <w:b/>
          <w:bCs/>
          <w:spacing w:val="-1"/>
          <w:sz w:val="21"/>
          <w:szCs w:val="21"/>
        </w:rPr>
        <w:t xml:space="preserve"> </w:t>
      </w:r>
      <w:r w:rsidRPr="00AD79C7">
        <w:rPr>
          <w:rFonts w:ascii="Abadi" w:hAnsi="Abadi"/>
          <w:b/>
          <w:bCs/>
          <w:sz w:val="21"/>
          <w:szCs w:val="21"/>
        </w:rPr>
        <w:t>ciudadano Javier</w:t>
      </w:r>
      <w:r w:rsidRPr="00AD79C7">
        <w:rPr>
          <w:rFonts w:ascii="Abadi" w:hAnsi="Abadi"/>
          <w:b/>
          <w:bCs/>
          <w:spacing w:val="-1"/>
          <w:sz w:val="21"/>
          <w:szCs w:val="21"/>
        </w:rPr>
        <w:t xml:space="preserve"> </w:t>
      </w:r>
      <w:r w:rsidRPr="00AD79C7">
        <w:rPr>
          <w:rFonts w:ascii="Abadi" w:hAnsi="Abadi"/>
          <w:b/>
          <w:bCs/>
          <w:sz w:val="21"/>
          <w:szCs w:val="21"/>
        </w:rPr>
        <w:t>Pérez Salazar, para que lleve a</w:t>
      </w:r>
      <w:r w:rsidRPr="00AD79C7">
        <w:rPr>
          <w:rFonts w:ascii="Abadi" w:hAnsi="Abadi"/>
          <w:b/>
          <w:bCs/>
          <w:spacing w:val="-1"/>
          <w:sz w:val="21"/>
          <w:szCs w:val="21"/>
        </w:rPr>
        <w:t xml:space="preserve"> </w:t>
      </w:r>
      <w:r w:rsidRPr="00AD79C7">
        <w:rPr>
          <w:rFonts w:ascii="Abadi" w:hAnsi="Abadi"/>
          <w:b/>
          <w:bCs/>
          <w:sz w:val="21"/>
          <w:szCs w:val="21"/>
        </w:rPr>
        <w:t>cabo</w:t>
      </w:r>
      <w:r w:rsidRPr="00AD79C7">
        <w:rPr>
          <w:rFonts w:ascii="Abadi" w:hAnsi="Abadi"/>
          <w:b/>
          <w:bCs/>
          <w:spacing w:val="78"/>
          <w:sz w:val="21"/>
          <w:szCs w:val="21"/>
        </w:rPr>
        <w:t xml:space="preserve"> </w:t>
      </w:r>
      <w:r w:rsidRPr="00AD79C7">
        <w:rPr>
          <w:rFonts w:ascii="Abadi" w:hAnsi="Abadi"/>
          <w:b/>
          <w:bCs/>
          <w:sz w:val="21"/>
          <w:szCs w:val="21"/>
        </w:rPr>
        <w:t>una</w:t>
      </w:r>
      <w:r w:rsidRPr="00AD79C7">
        <w:rPr>
          <w:rFonts w:ascii="Abadi" w:hAnsi="Abadi"/>
          <w:b/>
          <w:bCs/>
          <w:spacing w:val="78"/>
          <w:sz w:val="21"/>
          <w:szCs w:val="21"/>
        </w:rPr>
        <w:t xml:space="preserve"> </w:t>
      </w:r>
      <w:r w:rsidRPr="00AD79C7">
        <w:rPr>
          <w:rFonts w:ascii="Abadi" w:hAnsi="Abadi"/>
          <w:b/>
          <w:bCs/>
          <w:sz w:val="21"/>
          <w:szCs w:val="21"/>
        </w:rPr>
        <w:t>auditoría</w:t>
      </w:r>
      <w:r w:rsidRPr="00AD79C7">
        <w:rPr>
          <w:rFonts w:ascii="Abadi" w:hAnsi="Abadi"/>
          <w:b/>
          <w:bCs/>
          <w:spacing w:val="78"/>
          <w:sz w:val="21"/>
          <w:szCs w:val="21"/>
        </w:rPr>
        <w:t xml:space="preserve"> </w:t>
      </w:r>
      <w:r w:rsidRPr="00AD79C7">
        <w:rPr>
          <w:rFonts w:ascii="Abadi" w:hAnsi="Abadi"/>
          <w:b/>
          <w:bCs/>
          <w:sz w:val="21"/>
          <w:szCs w:val="21"/>
        </w:rPr>
        <w:t>específica</w:t>
      </w:r>
      <w:r w:rsidRPr="00AD79C7">
        <w:rPr>
          <w:rFonts w:ascii="Abadi" w:hAnsi="Abadi"/>
          <w:b/>
          <w:bCs/>
          <w:spacing w:val="78"/>
          <w:sz w:val="21"/>
          <w:szCs w:val="21"/>
        </w:rPr>
        <w:t xml:space="preserve"> </w:t>
      </w:r>
      <w:r w:rsidRPr="00AD79C7">
        <w:rPr>
          <w:rFonts w:ascii="Abadi" w:hAnsi="Abadi"/>
          <w:b/>
          <w:bCs/>
          <w:sz w:val="21"/>
          <w:szCs w:val="21"/>
        </w:rPr>
        <w:t>de</w:t>
      </w:r>
      <w:r w:rsidRPr="00AD79C7">
        <w:rPr>
          <w:rFonts w:ascii="Abadi" w:hAnsi="Abadi"/>
          <w:b/>
          <w:bCs/>
          <w:spacing w:val="78"/>
          <w:sz w:val="21"/>
          <w:szCs w:val="21"/>
        </w:rPr>
        <w:t xml:space="preserve"> </w:t>
      </w:r>
      <w:r w:rsidRPr="00AD79C7">
        <w:rPr>
          <w:rFonts w:ascii="Abadi" w:hAnsi="Abadi"/>
          <w:b/>
          <w:bCs/>
          <w:sz w:val="21"/>
          <w:szCs w:val="21"/>
        </w:rPr>
        <w:t>desempeño</w:t>
      </w:r>
      <w:r w:rsidRPr="00AD79C7">
        <w:rPr>
          <w:rFonts w:ascii="Abadi" w:hAnsi="Abadi"/>
          <w:b/>
          <w:bCs/>
          <w:spacing w:val="78"/>
          <w:sz w:val="21"/>
          <w:szCs w:val="21"/>
        </w:rPr>
        <w:t xml:space="preserve"> </w:t>
      </w:r>
      <w:r w:rsidRPr="00AD79C7">
        <w:rPr>
          <w:rFonts w:ascii="Abadi" w:hAnsi="Abadi"/>
          <w:b/>
          <w:bCs/>
          <w:sz w:val="21"/>
          <w:szCs w:val="21"/>
        </w:rPr>
        <w:t>que</w:t>
      </w:r>
      <w:r w:rsidRPr="00AD79C7">
        <w:rPr>
          <w:rFonts w:ascii="Abadi" w:hAnsi="Abadi"/>
          <w:b/>
          <w:bCs/>
          <w:spacing w:val="78"/>
          <w:sz w:val="21"/>
          <w:szCs w:val="21"/>
        </w:rPr>
        <w:t xml:space="preserve"> </w:t>
      </w:r>
      <w:r w:rsidRPr="00AD79C7">
        <w:rPr>
          <w:rFonts w:ascii="Abadi" w:hAnsi="Abadi"/>
          <w:b/>
          <w:bCs/>
          <w:sz w:val="21"/>
          <w:szCs w:val="21"/>
        </w:rPr>
        <w:t>evalúe</w:t>
      </w:r>
      <w:r w:rsidRPr="00AD79C7">
        <w:rPr>
          <w:rFonts w:ascii="Abadi" w:hAnsi="Abadi"/>
          <w:b/>
          <w:bCs/>
          <w:spacing w:val="78"/>
          <w:sz w:val="21"/>
          <w:szCs w:val="21"/>
        </w:rPr>
        <w:t xml:space="preserve"> </w:t>
      </w:r>
      <w:r w:rsidRPr="00AD79C7">
        <w:rPr>
          <w:rFonts w:ascii="Abadi" w:hAnsi="Abadi"/>
          <w:b/>
          <w:bCs/>
          <w:sz w:val="21"/>
          <w:szCs w:val="21"/>
        </w:rPr>
        <w:t>las</w:t>
      </w:r>
      <w:r w:rsidRPr="00AD79C7">
        <w:rPr>
          <w:rFonts w:ascii="Abadi" w:hAnsi="Abadi"/>
          <w:b/>
          <w:bCs/>
          <w:spacing w:val="78"/>
          <w:sz w:val="21"/>
          <w:szCs w:val="21"/>
        </w:rPr>
        <w:t xml:space="preserve"> </w:t>
      </w:r>
      <w:r w:rsidRPr="00AD79C7">
        <w:rPr>
          <w:rFonts w:ascii="Abadi" w:hAnsi="Abadi"/>
          <w:b/>
          <w:bCs/>
          <w:sz w:val="21"/>
          <w:szCs w:val="21"/>
        </w:rPr>
        <w:t>políticas</w:t>
      </w:r>
      <w:r w:rsidRPr="00AD79C7">
        <w:rPr>
          <w:rFonts w:ascii="Abadi" w:hAnsi="Abadi"/>
          <w:b/>
          <w:bCs/>
          <w:spacing w:val="-1"/>
          <w:sz w:val="21"/>
          <w:szCs w:val="21"/>
        </w:rPr>
        <w:t xml:space="preserve"> </w:t>
      </w:r>
      <w:r w:rsidRPr="00AD79C7">
        <w:rPr>
          <w:rFonts w:ascii="Abadi" w:hAnsi="Abadi"/>
          <w:b/>
          <w:bCs/>
          <w:sz w:val="21"/>
          <w:szCs w:val="21"/>
        </w:rPr>
        <w:t>públicas</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desarrollo</w:t>
      </w:r>
      <w:r w:rsidRPr="00AD79C7">
        <w:rPr>
          <w:rFonts w:ascii="Abadi" w:hAnsi="Abadi"/>
          <w:b/>
          <w:bCs/>
          <w:spacing w:val="2"/>
          <w:sz w:val="21"/>
          <w:szCs w:val="21"/>
        </w:rPr>
        <w:t xml:space="preserve"> </w:t>
      </w:r>
      <w:r w:rsidRPr="00AD79C7">
        <w:rPr>
          <w:rFonts w:ascii="Abadi" w:hAnsi="Abadi"/>
          <w:b/>
          <w:bCs/>
          <w:sz w:val="21"/>
          <w:szCs w:val="21"/>
        </w:rPr>
        <w:t>social</w:t>
      </w:r>
      <w:r w:rsidRPr="00AD79C7">
        <w:rPr>
          <w:rFonts w:ascii="Abadi" w:hAnsi="Abadi"/>
          <w:b/>
          <w:bCs/>
          <w:spacing w:val="2"/>
          <w:sz w:val="21"/>
          <w:szCs w:val="21"/>
        </w:rPr>
        <w:t xml:space="preserve"> </w:t>
      </w:r>
      <w:r w:rsidRPr="00AD79C7">
        <w:rPr>
          <w:rFonts w:ascii="Abadi" w:hAnsi="Abadi"/>
          <w:b/>
          <w:bCs/>
          <w:sz w:val="21"/>
          <w:szCs w:val="21"/>
        </w:rPr>
        <w:t>y humano</w:t>
      </w:r>
      <w:r w:rsidRPr="00AD79C7">
        <w:rPr>
          <w:rFonts w:ascii="Abadi" w:hAnsi="Abadi"/>
          <w:b/>
          <w:bCs/>
          <w:spacing w:val="2"/>
          <w:sz w:val="21"/>
          <w:szCs w:val="21"/>
        </w:rPr>
        <w:t xml:space="preserve"> </w:t>
      </w:r>
      <w:r w:rsidRPr="00AD79C7">
        <w:rPr>
          <w:rFonts w:ascii="Abadi" w:hAnsi="Abadi"/>
          <w:b/>
          <w:bCs/>
          <w:sz w:val="21"/>
          <w:szCs w:val="21"/>
        </w:rPr>
        <w:t>llevadas</w:t>
      </w:r>
      <w:r w:rsidRPr="00AD79C7">
        <w:rPr>
          <w:rFonts w:ascii="Abadi" w:hAnsi="Abadi"/>
          <w:b/>
          <w:bCs/>
          <w:spacing w:val="2"/>
          <w:sz w:val="21"/>
          <w:szCs w:val="21"/>
        </w:rPr>
        <w:t xml:space="preserve"> </w:t>
      </w:r>
      <w:r w:rsidRPr="00AD79C7">
        <w:rPr>
          <w:rFonts w:ascii="Abadi" w:hAnsi="Abadi"/>
          <w:b/>
          <w:bCs/>
          <w:sz w:val="21"/>
          <w:szCs w:val="21"/>
        </w:rPr>
        <w:t>a</w:t>
      </w:r>
      <w:r w:rsidRPr="00AD79C7">
        <w:rPr>
          <w:rFonts w:ascii="Abadi" w:hAnsi="Abadi"/>
          <w:b/>
          <w:bCs/>
          <w:spacing w:val="2"/>
          <w:sz w:val="21"/>
          <w:szCs w:val="21"/>
        </w:rPr>
        <w:t xml:space="preserve"> </w:t>
      </w:r>
      <w:r w:rsidRPr="00AD79C7">
        <w:rPr>
          <w:rFonts w:ascii="Abadi" w:hAnsi="Abadi"/>
          <w:b/>
          <w:bCs/>
          <w:sz w:val="21"/>
          <w:szCs w:val="21"/>
        </w:rPr>
        <w:t>cabo</w:t>
      </w:r>
      <w:r w:rsidRPr="00AD79C7">
        <w:rPr>
          <w:rFonts w:ascii="Abadi" w:hAnsi="Abadi"/>
          <w:b/>
          <w:bCs/>
          <w:spacing w:val="2"/>
          <w:sz w:val="21"/>
          <w:szCs w:val="21"/>
        </w:rPr>
        <w:t xml:space="preserve"> </w:t>
      </w:r>
      <w:r w:rsidRPr="00AD79C7">
        <w:rPr>
          <w:rFonts w:ascii="Abadi" w:hAnsi="Abadi"/>
          <w:b/>
          <w:bCs/>
          <w:sz w:val="21"/>
          <w:szCs w:val="21"/>
        </w:rPr>
        <w:t>por</w:t>
      </w:r>
      <w:r w:rsidRPr="00AD79C7">
        <w:rPr>
          <w:rFonts w:ascii="Abadi" w:hAnsi="Abadi"/>
          <w:b/>
          <w:bCs/>
          <w:spacing w:val="2"/>
          <w:sz w:val="21"/>
          <w:szCs w:val="21"/>
        </w:rPr>
        <w:t xml:space="preserve"> </w:t>
      </w:r>
      <w:r w:rsidRPr="00AD79C7">
        <w:rPr>
          <w:rFonts w:ascii="Abadi" w:hAnsi="Abadi"/>
          <w:b/>
          <w:bCs/>
          <w:sz w:val="21"/>
          <w:szCs w:val="21"/>
        </w:rPr>
        <w:t>el Gobierno</w:t>
      </w:r>
      <w:r w:rsidRPr="00AD79C7">
        <w:rPr>
          <w:rFonts w:ascii="Abadi" w:hAnsi="Abadi"/>
          <w:b/>
          <w:bCs/>
          <w:spacing w:val="2"/>
          <w:sz w:val="21"/>
          <w:szCs w:val="21"/>
        </w:rPr>
        <w:t xml:space="preserve"> </w:t>
      </w:r>
      <w:r w:rsidRPr="00AD79C7">
        <w:rPr>
          <w:rFonts w:ascii="Abadi" w:hAnsi="Abadi"/>
          <w:b/>
          <w:bCs/>
          <w:sz w:val="21"/>
          <w:szCs w:val="21"/>
        </w:rPr>
        <w:t>del</w:t>
      </w:r>
      <w:r w:rsidRPr="00AD79C7">
        <w:rPr>
          <w:rFonts w:ascii="Abadi" w:hAnsi="Abadi"/>
          <w:b/>
          <w:bCs/>
          <w:spacing w:val="-1"/>
          <w:sz w:val="21"/>
          <w:szCs w:val="21"/>
        </w:rPr>
        <w:t xml:space="preserve"> </w:t>
      </w:r>
      <w:r w:rsidRPr="00AD79C7">
        <w:rPr>
          <w:rFonts w:ascii="Abadi" w:hAnsi="Abadi"/>
          <w:b/>
          <w:bCs/>
          <w:sz w:val="21"/>
          <w:szCs w:val="21"/>
        </w:rPr>
        <w:t>Estado.</w:t>
      </w:r>
    </w:p>
    <w:p w14:paraId="3C95EC91" w14:textId="77777777" w:rsidR="00D63CC5" w:rsidRPr="00AD79C7" w:rsidRDefault="00D63CC5" w:rsidP="00D63CC5">
      <w:pPr>
        <w:kinsoku w:val="0"/>
        <w:overflowPunct w:val="0"/>
        <w:autoSpaceDE w:val="0"/>
        <w:autoSpaceDN w:val="0"/>
        <w:adjustRightInd w:val="0"/>
        <w:spacing w:before="10"/>
        <w:ind w:right="17"/>
        <w:jc w:val="both"/>
        <w:rPr>
          <w:rFonts w:ascii="Abadi" w:hAnsi="Abadi" w:cs="Arial"/>
          <w:b/>
          <w:bCs/>
          <w:sz w:val="21"/>
          <w:szCs w:val="21"/>
        </w:rPr>
      </w:pPr>
    </w:p>
    <w:p w14:paraId="4763E97C" w14:textId="0507CDEC" w:rsidR="009818AB" w:rsidRDefault="00D63CC5" w:rsidP="005433FA">
      <w:pPr>
        <w:pStyle w:val="Prrafodelista"/>
        <w:numPr>
          <w:ilvl w:val="0"/>
          <w:numId w:val="8"/>
        </w:numPr>
        <w:tabs>
          <w:tab w:val="left" w:pos="856"/>
        </w:tabs>
        <w:kinsoku w:val="0"/>
        <w:overflowPunct w:val="0"/>
        <w:autoSpaceDE w:val="0"/>
        <w:autoSpaceDN w:val="0"/>
        <w:adjustRightInd w:val="0"/>
        <w:spacing w:before="1"/>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9"/>
          <w:sz w:val="21"/>
          <w:szCs w:val="21"/>
        </w:rPr>
        <w:t xml:space="preserve"> </w:t>
      </w:r>
      <w:r w:rsidRPr="00AD79C7">
        <w:rPr>
          <w:rFonts w:ascii="Abadi" w:hAnsi="Abadi"/>
          <w:b/>
          <w:bCs/>
          <w:sz w:val="21"/>
          <w:szCs w:val="21"/>
        </w:rPr>
        <w:t>y,</w:t>
      </w:r>
      <w:r w:rsidRPr="00AD79C7">
        <w:rPr>
          <w:rFonts w:ascii="Abadi" w:hAnsi="Abadi"/>
          <w:b/>
          <w:bCs/>
          <w:spacing w:val="9"/>
          <w:sz w:val="21"/>
          <w:szCs w:val="21"/>
        </w:rPr>
        <w:t xml:space="preserve"> </w:t>
      </w:r>
      <w:r w:rsidRPr="00AD79C7">
        <w:rPr>
          <w:rFonts w:ascii="Abadi" w:hAnsi="Abadi"/>
          <w:b/>
          <w:bCs/>
          <w:sz w:val="21"/>
          <w:szCs w:val="21"/>
        </w:rPr>
        <w:t>en</w:t>
      </w:r>
      <w:r w:rsidRPr="00AD79C7">
        <w:rPr>
          <w:rFonts w:ascii="Abadi" w:hAnsi="Abadi"/>
          <w:b/>
          <w:bCs/>
          <w:spacing w:val="9"/>
          <w:sz w:val="21"/>
          <w:szCs w:val="21"/>
        </w:rPr>
        <w:t xml:space="preserve"> </w:t>
      </w:r>
      <w:r w:rsidRPr="00AD79C7">
        <w:rPr>
          <w:rFonts w:ascii="Abadi" w:hAnsi="Abadi"/>
          <w:b/>
          <w:bCs/>
          <w:sz w:val="21"/>
          <w:szCs w:val="21"/>
        </w:rPr>
        <w:t>su</w:t>
      </w:r>
      <w:r w:rsidRPr="00AD79C7">
        <w:rPr>
          <w:rFonts w:ascii="Abadi" w:hAnsi="Abadi"/>
          <w:b/>
          <w:bCs/>
          <w:spacing w:val="9"/>
          <w:sz w:val="21"/>
          <w:szCs w:val="21"/>
        </w:rPr>
        <w:t xml:space="preserve"> </w:t>
      </w:r>
      <w:r w:rsidRPr="00AD79C7">
        <w:rPr>
          <w:rFonts w:ascii="Abadi" w:hAnsi="Abadi"/>
          <w:b/>
          <w:bCs/>
          <w:sz w:val="21"/>
          <w:szCs w:val="21"/>
        </w:rPr>
        <w:t>caso,</w:t>
      </w:r>
      <w:r w:rsidRPr="00AD79C7">
        <w:rPr>
          <w:rFonts w:ascii="Abadi" w:hAnsi="Abadi"/>
          <w:b/>
          <w:bCs/>
          <w:spacing w:val="9"/>
          <w:sz w:val="21"/>
          <w:szCs w:val="21"/>
        </w:rPr>
        <w:t xml:space="preserve"> </w:t>
      </w:r>
      <w:r w:rsidRPr="00AD79C7">
        <w:rPr>
          <w:rFonts w:ascii="Abadi" w:hAnsi="Abadi"/>
          <w:b/>
          <w:bCs/>
          <w:sz w:val="21"/>
          <w:szCs w:val="21"/>
        </w:rPr>
        <w:t>aprobación</w:t>
      </w:r>
      <w:r w:rsidRPr="00AD79C7">
        <w:rPr>
          <w:rFonts w:ascii="Abadi" w:hAnsi="Abadi"/>
          <w:b/>
          <w:bCs/>
          <w:spacing w:val="9"/>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dictamen</w:t>
      </w:r>
      <w:r w:rsidRPr="00AD79C7">
        <w:rPr>
          <w:rFonts w:ascii="Abadi" w:hAnsi="Abadi"/>
          <w:b/>
          <w:bCs/>
          <w:spacing w:val="9"/>
          <w:sz w:val="21"/>
          <w:szCs w:val="21"/>
        </w:rPr>
        <w:t xml:space="preserve"> </w:t>
      </w:r>
      <w:r w:rsidRPr="00AD79C7">
        <w:rPr>
          <w:rFonts w:ascii="Abadi" w:hAnsi="Abadi"/>
          <w:b/>
          <w:bCs/>
          <w:sz w:val="21"/>
          <w:szCs w:val="21"/>
        </w:rPr>
        <w:t>signado</w:t>
      </w:r>
      <w:r w:rsidRPr="00AD79C7">
        <w:rPr>
          <w:rFonts w:ascii="Abadi" w:hAnsi="Abadi"/>
          <w:b/>
          <w:bCs/>
          <w:spacing w:val="9"/>
          <w:sz w:val="21"/>
          <w:szCs w:val="21"/>
        </w:rPr>
        <w:t xml:space="preserve"> </w:t>
      </w:r>
      <w:r w:rsidRPr="00AD79C7">
        <w:rPr>
          <w:rFonts w:ascii="Abadi" w:hAnsi="Abadi"/>
          <w:b/>
          <w:bCs/>
          <w:sz w:val="21"/>
          <w:szCs w:val="21"/>
        </w:rPr>
        <w:t>por</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9"/>
          <w:sz w:val="21"/>
          <w:szCs w:val="21"/>
        </w:rPr>
        <w:t xml:space="preserve"> </w:t>
      </w:r>
      <w:r w:rsidRPr="00AD79C7">
        <w:rPr>
          <w:rFonts w:ascii="Abadi" w:hAnsi="Abadi"/>
          <w:b/>
          <w:bCs/>
          <w:sz w:val="21"/>
          <w:szCs w:val="21"/>
        </w:rPr>
        <w:t>Comisión</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Hacienda</w:t>
      </w:r>
      <w:r w:rsidRPr="00AD79C7">
        <w:rPr>
          <w:rFonts w:ascii="Abadi" w:hAnsi="Abadi"/>
          <w:b/>
          <w:bCs/>
          <w:spacing w:val="33"/>
          <w:sz w:val="21"/>
          <w:szCs w:val="21"/>
        </w:rPr>
        <w:t xml:space="preserve"> </w:t>
      </w:r>
      <w:r w:rsidRPr="00AD79C7">
        <w:rPr>
          <w:rFonts w:ascii="Abadi" w:hAnsi="Abadi"/>
          <w:b/>
          <w:bCs/>
          <w:sz w:val="21"/>
          <w:szCs w:val="21"/>
        </w:rPr>
        <w:t>y</w:t>
      </w:r>
      <w:r w:rsidRPr="00AD79C7">
        <w:rPr>
          <w:rFonts w:ascii="Abadi" w:hAnsi="Abadi"/>
          <w:b/>
          <w:bCs/>
          <w:spacing w:val="33"/>
          <w:sz w:val="21"/>
          <w:szCs w:val="21"/>
        </w:rPr>
        <w:t xml:space="preserve"> </w:t>
      </w:r>
      <w:r w:rsidRPr="00AD79C7">
        <w:rPr>
          <w:rFonts w:ascii="Abadi" w:hAnsi="Abadi"/>
          <w:b/>
          <w:bCs/>
          <w:sz w:val="21"/>
          <w:szCs w:val="21"/>
        </w:rPr>
        <w:t>Fiscalización</w:t>
      </w:r>
      <w:r w:rsidRPr="00AD79C7">
        <w:rPr>
          <w:rFonts w:ascii="Abadi" w:hAnsi="Abadi"/>
          <w:b/>
          <w:bCs/>
          <w:spacing w:val="32"/>
          <w:sz w:val="21"/>
          <w:szCs w:val="21"/>
        </w:rPr>
        <w:t xml:space="preserve"> </w:t>
      </w:r>
      <w:r w:rsidRPr="00AD79C7">
        <w:rPr>
          <w:rFonts w:ascii="Abadi" w:hAnsi="Abadi"/>
          <w:b/>
          <w:bCs/>
          <w:sz w:val="21"/>
          <w:szCs w:val="21"/>
        </w:rPr>
        <w:t>relativo</w:t>
      </w:r>
      <w:r w:rsidRPr="00AD79C7">
        <w:rPr>
          <w:rFonts w:ascii="Abadi" w:hAnsi="Abadi"/>
          <w:b/>
          <w:bCs/>
          <w:spacing w:val="33"/>
          <w:sz w:val="21"/>
          <w:szCs w:val="21"/>
        </w:rPr>
        <w:t xml:space="preserve"> </w:t>
      </w:r>
      <w:r w:rsidRPr="00AD79C7">
        <w:rPr>
          <w:rFonts w:ascii="Abadi" w:hAnsi="Abadi"/>
          <w:b/>
          <w:bCs/>
          <w:sz w:val="21"/>
          <w:szCs w:val="21"/>
        </w:rPr>
        <w:t>a</w:t>
      </w:r>
      <w:r w:rsidRPr="00AD79C7">
        <w:rPr>
          <w:rFonts w:ascii="Abadi" w:hAnsi="Abadi"/>
          <w:b/>
          <w:bCs/>
          <w:spacing w:val="32"/>
          <w:sz w:val="21"/>
          <w:szCs w:val="21"/>
        </w:rPr>
        <w:t xml:space="preserve"> </w:t>
      </w:r>
      <w:r w:rsidRPr="00AD79C7">
        <w:rPr>
          <w:rFonts w:ascii="Abadi" w:hAnsi="Abadi"/>
          <w:b/>
          <w:bCs/>
          <w:sz w:val="21"/>
          <w:szCs w:val="21"/>
        </w:rPr>
        <w:t>la</w:t>
      </w:r>
      <w:r w:rsidRPr="00AD79C7">
        <w:rPr>
          <w:rFonts w:ascii="Abadi" w:hAnsi="Abadi"/>
          <w:b/>
          <w:bCs/>
          <w:spacing w:val="33"/>
          <w:sz w:val="21"/>
          <w:szCs w:val="21"/>
        </w:rPr>
        <w:t xml:space="preserve"> </w:t>
      </w:r>
      <w:r w:rsidRPr="00AD79C7">
        <w:rPr>
          <w:rFonts w:ascii="Abadi" w:hAnsi="Abadi"/>
          <w:b/>
          <w:bCs/>
          <w:sz w:val="21"/>
          <w:szCs w:val="21"/>
        </w:rPr>
        <w:t>propuesta</w:t>
      </w:r>
      <w:r w:rsidRPr="00AD79C7">
        <w:rPr>
          <w:rFonts w:ascii="Abadi" w:hAnsi="Abadi"/>
          <w:b/>
          <w:bCs/>
          <w:spacing w:val="32"/>
          <w:sz w:val="21"/>
          <w:szCs w:val="21"/>
        </w:rPr>
        <w:t xml:space="preserve"> </w:t>
      </w:r>
      <w:r w:rsidRPr="00AD79C7">
        <w:rPr>
          <w:rFonts w:ascii="Abadi" w:hAnsi="Abadi"/>
          <w:b/>
          <w:bCs/>
          <w:sz w:val="21"/>
          <w:szCs w:val="21"/>
        </w:rPr>
        <w:t>de</w:t>
      </w:r>
      <w:r w:rsidRPr="00AD79C7">
        <w:rPr>
          <w:rFonts w:ascii="Abadi" w:hAnsi="Abadi"/>
          <w:b/>
          <w:bCs/>
          <w:spacing w:val="32"/>
          <w:sz w:val="21"/>
          <w:szCs w:val="21"/>
        </w:rPr>
        <w:t xml:space="preserve"> </w:t>
      </w:r>
      <w:r w:rsidRPr="00AD79C7">
        <w:rPr>
          <w:rFonts w:ascii="Abadi" w:hAnsi="Abadi"/>
          <w:b/>
          <w:bCs/>
          <w:sz w:val="21"/>
          <w:szCs w:val="21"/>
        </w:rPr>
        <w:t>punto</w:t>
      </w:r>
      <w:r w:rsidRPr="00AD79C7">
        <w:rPr>
          <w:rFonts w:ascii="Abadi" w:hAnsi="Abadi"/>
          <w:b/>
          <w:bCs/>
          <w:spacing w:val="32"/>
          <w:sz w:val="21"/>
          <w:szCs w:val="21"/>
        </w:rPr>
        <w:t xml:space="preserve"> </w:t>
      </w:r>
      <w:r w:rsidRPr="00AD79C7">
        <w:rPr>
          <w:rFonts w:ascii="Abadi" w:hAnsi="Abadi"/>
          <w:b/>
          <w:bCs/>
          <w:sz w:val="21"/>
          <w:szCs w:val="21"/>
        </w:rPr>
        <w:t>de</w:t>
      </w:r>
      <w:r w:rsidRPr="00AD79C7">
        <w:rPr>
          <w:rFonts w:ascii="Abadi" w:hAnsi="Abadi"/>
          <w:b/>
          <w:bCs/>
          <w:spacing w:val="32"/>
          <w:sz w:val="21"/>
          <w:szCs w:val="21"/>
        </w:rPr>
        <w:t xml:space="preserve"> </w:t>
      </w:r>
      <w:r w:rsidRPr="00AD79C7">
        <w:rPr>
          <w:rFonts w:ascii="Abadi" w:hAnsi="Abadi"/>
          <w:b/>
          <w:bCs/>
          <w:sz w:val="21"/>
          <w:szCs w:val="21"/>
        </w:rPr>
        <w:t>acuerdo</w:t>
      </w:r>
      <w:r w:rsidRPr="00AD79C7">
        <w:rPr>
          <w:rFonts w:ascii="Abadi" w:hAnsi="Abadi"/>
          <w:b/>
          <w:bCs/>
          <w:spacing w:val="-2"/>
          <w:sz w:val="21"/>
          <w:szCs w:val="21"/>
        </w:rPr>
        <w:t xml:space="preserve"> </w:t>
      </w:r>
      <w:r w:rsidRPr="00AD79C7">
        <w:rPr>
          <w:rFonts w:ascii="Abadi" w:hAnsi="Abadi"/>
          <w:b/>
          <w:bCs/>
          <w:sz w:val="21"/>
          <w:szCs w:val="21"/>
        </w:rPr>
        <w:t>formulada</w:t>
      </w:r>
      <w:r w:rsidRPr="00AD79C7">
        <w:rPr>
          <w:rFonts w:ascii="Abadi" w:hAnsi="Abadi"/>
          <w:b/>
          <w:bCs/>
          <w:spacing w:val="6"/>
          <w:sz w:val="21"/>
          <w:szCs w:val="21"/>
        </w:rPr>
        <w:t xml:space="preserve"> </w:t>
      </w:r>
      <w:r w:rsidRPr="00AD79C7">
        <w:rPr>
          <w:rFonts w:ascii="Abadi" w:hAnsi="Abadi"/>
          <w:b/>
          <w:bCs/>
          <w:sz w:val="21"/>
          <w:szCs w:val="21"/>
        </w:rPr>
        <w:t>por</w:t>
      </w:r>
      <w:r w:rsidRPr="00AD79C7">
        <w:rPr>
          <w:rFonts w:ascii="Abadi" w:hAnsi="Abadi"/>
          <w:b/>
          <w:bCs/>
          <w:spacing w:val="6"/>
          <w:sz w:val="21"/>
          <w:szCs w:val="21"/>
        </w:rPr>
        <w:t xml:space="preserve"> </w:t>
      </w:r>
      <w:r w:rsidRPr="00AD79C7">
        <w:rPr>
          <w:rFonts w:ascii="Abadi" w:hAnsi="Abadi"/>
          <w:b/>
          <w:bCs/>
          <w:sz w:val="21"/>
          <w:szCs w:val="21"/>
        </w:rPr>
        <w:t>el</w:t>
      </w:r>
      <w:r w:rsidRPr="00AD79C7">
        <w:rPr>
          <w:rFonts w:ascii="Abadi" w:hAnsi="Abadi"/>
          <w:b/>
          <w:bCs/>
          <w:spacing w:val="6"/>
          <w:sz w:val="21"/>
          <w:szCs w:val="21"/>
        </w:rPr>
        <w:t xml:space="preserve"> </w:t>
      </w:r>
      <w:r w:rsidRPr="00AD79C7">
        <w:rPr>
          <w:rFonts w:ascii="Abadi" w:hAnsi="Abadi"/>
          <w:b/>
          <w:bCs/>
          <w:sz w:val="21"/>
          <w:szCs w:val="21"/>
        </w:rPr>
        <w:t>diputado</w:t>
      </w:r>
      <w:r w:rsidRPr="00AD79C7">
        <w:rPr>
          <w:rFonts w:ascii="Abadi" w:hAnsi="Abadi"/>
          <w:b/>
          <w:bCs/>
          <w:spacing w:val="6"/>
          <w:sz w:val="21"/>
          <w:szCs w:val="21"/>
        </w:rPr>
        <w:t xml:space="preserve"> </w:t>
      </w:r>
      <w:r w:rsidRPr="00AD79C7">
        <w:rPr>
          <w:rFonts w:ascii="Abadi" w:hAnsi="Abadi"/>
          <w:b/>
          <w:bCs/>
          <w:sz w:val="21"/>
          <w:szCs w:val="21"/>
        </w:rPr>
        <w:t>Ernesto</w:t>
      </w:r>
      <w:r w:rsidRPr="00AD79C7">
        <w:rPr>
          <w:rFonts w:ascii="Abadi" w:hAnsi="Abadi"/>
          <w:b/>
          <w:bCs/>
          <w:spacing w:val="6"/>
          <w:sz w:val="21"/>
          <w:szCs w:val="21"/>
        </w:rPr>
        <w:t xml:space="preserve"> </w:t>
      </w:r>
      <w:r w:rsidRPr="00AD79C7">
        <w:rPr>
          <w:rFonts w:ascii="Abadi" w:hAnsi="Abadi"/>
          <w:b/>
          <w:bCs/>
          <w:sz w:val="21"/>
          <w:szCs w:val="21"/>
        </w:rPr>
        <w:t>Alejandro</w:t>
      </w:r>
      <w:r w:rsidRPr="00AD79C7">
        <w:rPr>
          <w:rFonts w:ascii="Abadi" w:hAnsi="Abadi"/>
          <w:b/>
          <w:bCs/>
          <w:spacing w:val="6"/>
          <w:sz w:val="21"/>
          <w:szCs w:val="21"/>
        </w:rPr>
        <w:t xml:space="preserve"> </w:t>
      </w:r>
      <w:r w:rsidRPr="00AD79C7">
        <w:rPr>
          <w:rFonts w:ascii="Abadi" w:hAnsi="Abadi"/>
          <w:b/>
          <w:bCs/>
          <w:sz w:val="21"/>
          <w:szCs w:val="21"/>
        </w:rPr>
        <w:t>Prieto</w:t>
      </w:r>
      <w:r w:rsidRPr="00AD79C7">
        <w:rPr>
          <w:rFonts w:ascii="Abadi" w:hAnsi="Abadi"/>
          <w:b/>
          <w:bCs/>
          <w:spacing w:val="7"/>
          <w:sz w:val="21"/>
          <w:szCs w:val="21"/>
        </w:rPr>
        <w:t xml:space="preserve"> </w:t>
      </w:r>
      <w:r w:rsidRPr="00AD79C7">
        <w:rPr>
          <w:rFonts w:ascii="Abadi" w:hAnsi="Abadi"/>
          <w:b/>
          <w:bCs/>
          <w:sz w:val="21"/>
          <w:szCs w:val="21"/>
        </w:rPr>
        <w:t>Gallardo,</w:t>
      </w:r>
      <w:r w:rsidRPr="00AD79C7">
        <w:rPr>
          <w:rFonts w:ascii="Abadi" w:hAnsi="Abadi"/>
          <w:b/>
          <w:bCs/>
          <w:spacing w:val="6"/>
          <w:sz w:val="21"/>
          <w:szCs w:val="21"/>
        </w:rPr>
        <w:t xml:space="preserve"> </w:t>
      </w:r>
      <w:r w:rsidRPr="00AD79C7">
        <w:rPr>
          <w:rFonts w:ascii="Abadi" w:hAnsi="Abadi"/>
          <w:b/>
          <w:bCs/>
          <w:sz w:val="21"/>
          <w:szCs w:val="21"/>
        </w:rPr>
        <w:t>integrante</w:t>
      </w:r>
      <w:r w:rsidRPr="00AD79C7">
        <w:rPr>
          <w:rFonts w:ascii="Abadi" w:hAnsi="Abadi"/>
          <w:b/>
          <w:bCs/>
          <w:spacing w:val="6"/>
          <w:sz w:val="21"/>
          <w:szCs w:val="21"/>
        </w:rPr>
        <w:t xml:space="preserve"> </w:t>
      </w:r>
      <w:r w:rsidRPr="00AD79C7">
        <w:rPr>
          <w:rFonts w:ascii="Abadi" w:hAnsi="Abadi"/>
          <w:b/>
          <w:bCs/>
          <w:sz w:val="21"/>
          <w:szCs w:val="21"/>
        </w:rPr>
        <w:t>del</w:t>
      </w:r>
      <w:r w:rsidRPr="00AD79C7">
        <w:rPr>
          <w:rFonts w:ascii="Abadi" w:hAnsi="Abadi"/>
          <w:b/>
          <w:bCs/>
          <w:spacing w:val="-2"/>
          <w:sz w:val="21"/>
          <w:szCs w:val="21"/>
        </w:rPr>
        <w:t xml:space="preserve"> </w:t>
      </w:r>
      <w:r w:rsidRPr="00AD79C7">
        <w:rPr>
          <w:rFonts w:ascii="Abadi" w:hAnsi="Abadi"/>
          <w:b/>
          <w:bCs/>
          <w:sz w:val="21"/>
          <w:szCs w:val="21"/>
        </w:rPr>
        <w:t>Grupo Parlamentario del</w:t>
      </w:r>
      <w:r w:rsidRPr="00AD79C7">
        <w:rPr>
          <w:rFonts w:ascii="Abadi" w:hAnsi="Abadi"/>
          <w:b/>
          <w:bCs/>
          <w:spacing w:val="-1"/>
          <w:sz w:val="21"/>
          <w:szCs w:val="21"/>
        </w:rPr>
        <w:t xml:space="preserve"> </w:t>
      </w:r>
      <w:r w:rsidRPr="00AD79C7">
        <w:rPr>
          <w:rFonts w:ascii="Abadi" w:hAnsi="Abadi"/>
          <w:b/>
          <w:bCs/>
          <w:sz w:val="21"/>
          <w:szCs w:val="21"/>
        </w:rPr>
        <w:t>Partido</w:t>
      </w:r>
      <w:r w:rsidRPr="00AD79C7">
        <w:rPr>
          <w:rFonts w:ascii="Abadi" w:hAnsi="Abadi"/>
          <w:b/>
          <w:bCs/>
          <w:spacing w:val="-1"/>
          <w:sz w:val="21"/>
          <w:szCs w:val="21"/>
        </w:rPr>
        <w:t xml:space="preserve"> </w:t>
      </w:r>
      <w:r w:rsidRPr="00AD79C7">
        <w:rPr>
          <w:rFonts w:ascii="Abadi" w:hAnsi="Abadi"/>
          <w:b/>
          <w:bCs/>
          <w:sz w:val="21"/>
          <w:szCs w:val="21"/>
        </w:rPr>
        <w:t>MORENA, a efecto de solicitar al titular de</w:t>
      </w:r>
      <w:r w:rsidRPr="00AD79C7">
        <w:rPr>
          <w:rFonts w:ascii="Abadi" w:hAnsi="Abadi"/>
          <w:b/>
          <w:bCs/>
          <w:spacing w:val="-2"/>
          <w:sz w:val="21"/>
          <w:szCs w:val="21"/>
        </w:rPr>
        <w:t xml:space="preserve"> </w:t>
      </w:r>
      <w:r w:rsidRPr="00AD79C7">
        <w:rPr>
          <w:rFonts w:ascii="Abadi" w:hAnsi="Abadi"/>
          <w:b/>
          <w:bCs/>
          <w:sz w:val="21"/>
          <w:szCs w:val="21"/>
        </w:rPr>
        <w:t>la</w:t>
      </w:r>
      <w:r w:rsidRPr="00AD79C7">
        <w:rPr>
          <w:rFonts w:ascii="Abadi" w:hAnsi="Abadi"/>
          <w:b/>
          <w:bCs/>
          <w:spacing w:val="29"/>
          <w:sz w:val="21"/>
          <w:szCs w:val="21"/>
        </w:rPr>
        <w:t xml:space="preserve"> </w:t>
      </w:r>
      <w:r w:rsidRPr="00AD79C7">
        <w:rPr>
          <w:rFonts w:ascii="Abadi" w:hAnsi="Abadi"/>
          <w:b/>
          <w:bCs/>
          <w:sz w:val="21"/>
          <w:szCs w:val="21"/>
        </w:rPr>
        <w:t>Secretaría</w:t>
      </w:r>
      <w:r w:rsidRPr="00AD79C7">
        <w:rPr>
          <w:rFonts w:ascii="Abadi" w:hAnsi="Abadi"/>
          <w:b/>
          <w:bCs/>
          <w:spacing w:val="29"/>
          <w:sz w:val="21"/>
          <w:szCs w:val="21"/>
        </w:rPr>
        <w:t xml:space="preserve"> </w:t>
      </w:r>
      <w:r w:rsidRPr="00AD79C7">
        <w:rPr>
          <w:rFonts w:ascii="Abadi" w:hAnsi="Abadi"/>
          <w:b/>
          <w:bCs/>
          <w:sz w:val="21"/>
          <w:szCs w:val="21"/>
        </w:rPr>
        <w:t>de</w:t>
      </w:r>
      <w:r w:rsidRPr="00AD79C7">
        <w:rPr>
          <w:rFonts w:ascii="Abadi" w:hAnsi="Abadi"/>
          <w:b/>
          <w:bCs/>
          <w:spacing w:val="29"/>
          <w:sz w:val="21"/>
          <w:szCs w:val="21"/>
        </w:rPr>
        <w:t xml:space="preserve"> </w:t>
      </w:r>
      <w:r w:rsidRPr="00AD79C7">
        <w:rPr>
          <w:rFonts w:ascii="Abadi" w:hAnsi="Abadi"/>
          <w:b/>
          <w:bCs/>
          <w:sz w:val="21"/>
          <w:szCs w:val="21"/>
        </w:rPr>
        <w:t>Desarrollo</w:t>
      </w:r>
      <w:r w:rsidRPr="00AD79C7">
        <w:rPr>
          <w:rFonts w:ascii="Abadi" w:hAnsi="Abadi"/>
          <w:b/>
          <w:bCs/>
          <w:spacing w:val="29"/>
          <w:sz w:val="21"/>
          <w:szCs w:val="21"/>
        </w:rPr>
        <w:t xml:space="preserve"> </w:t>
      </w:r>
      <w:r w:rsidRPr="00AD79C7">
        <w:rPr>
          <w:rFonts w:ascii="Abadi" w:hAnsi="Abadi"/>
          <w:b/>
          <w:bCs/>
          <w:sz w:val="21"/>
          <w:szCs w:val="21"/>
        </w:rPr>
        <w:t>Social</w:t>
      </w:r>
      <w:r w:rsidRPr="00AD79C7">
        <w:rPr>
          <w:rFonts w:ascii="Abadi" w:hAnsi="Abadi"/>
          <w:b/>
          <w:bCs/>
          <w:spacing w:val="28"/>
          <w:sz w:val="21"/>
          <w:szCs w:val="21"/>
        </w:rPr>
        <w:t xml:space="preserve"> </w:t>
      </w:r>
      <w:r w:rsidRPr="00AD79C7">
        <w:rPr>
          <w:rFonts w:ascii="Abadi" w:hAnsi="Abadi"/>
          <w:b/>
          <w:bCs/>
          <w:sz w:val="21"/>
          <w:szCs w:val="21"/>
        </w:rPr>
        <w:t>y</w:t>
      </w:r>
      <w:r w:rsidRPr="00AD79C7">
        <w:rPr>
          <w:rFonts w:ascii="Abadi" w:hAnsi="Abadi"/>
          <w:b/>
          <w:bCs/>
          <w:spacing w:val="29"/>
          <w:sz w:val="21"/>
          <w:szCs w:val="21"/>
        </w:rPr>
        <w:t xml:space="preserve"> </w:t>
      </w:r>
      <w:r w:rsidRPr="00AD79C7">
        <w:rPr>
          <w:rFonts w:ascii="Abadi" w:hAnsi="Abadi"/>
          <w:b/>
          <w:bCs/>
          <w:sz w:val="21"/>
          <w:szCs w:val="21"/>
        </w:rPr>
        <w:t>Humano</w:t>
      </w:r>
      <w:r w:rsidRPr="00AD79C7">
        <w:rPr>
          <w:rFonts w:ascii="Abadi" w:hAnsi="Abadi"/>
          <w:b/>
          <w:bCs/>
          <w:spacing w:val="29"/>
          <w:sz w:val="21"/>
          <w:szCs w:val="21"/>
        </w:rPr>
        <w:t xml:space="preserve"> </w:t>
      </w:r>
      <w:r w:rsidRPr="00AD79C7">
        <w:rPr>
          <w:rFonts w:ascii="Abadi" w:hAnsi="Abadi"/>
          <w:b/>
          <w:bCs/>
          <w:sz w:val="21"/>
          <w:szCs w:val="21"/>
        </w:rPr>
        <w:t>del</w:t>
      </w:r>
      <w:r w:rsidRPr="00AD79C7">
        <w:rPr>
          <w:rFonts w:ascii="Abadi" w:hAnsi="Abadi"/>
          <w:b/>
          <w:bCs/>
          <w:spacing w:val="28"/>
          <w:sz w:val="21"/>
          <w:szCs w:val="21"/>
        </w:rPr>
        <w:t xml:space="preserve"> </w:t>
      </w:r>
      <w:r w:rsidRPr="00AD79C7">
        <w:rPr>
          <w:rFonts w:ascii="Abadi" w:hAnsi="Abadi"/>
          <w:b/>
          <w:bCs/>
          <w:sz w:val="21"/>
          <w:szCs w:val="21"/>
        </w:rPr>
        <w:t>Gobierno</w:t>
      </w:r>
      <w:r w:rsidRPr="00AD79C7">
        <w:rPr>
          <w:rFonts w:ascii="Abadi" w:hAnsi="Abadi"/>
          <w:b/>
          <w:bCs/>
          <w:spacing w:val="28"/>
          <w:sz w:val="21"/>
          <w:szCs w:val="21"/>
        </w:rPr>
        <w:t xml:space="preserve"> </w:t>
      </w:r>
      <w:r w:rsidRPr="00AD79C7">
        <w:rPr>
          <w:rFonts w:ascii="Abadi" w:hAnsi="Abadi"/>
          <w:b/>
          <w:bCs/>
          <w:sz w:val="21"/>
          <w:szCs w:val="21"/>
        </w:rPr>
        <w:t>del</w:t>
      </w:r>
      <w:r w:rsidRPr="00AD79C7">
        <w:rPr>
          <w:rFonts w:ascii="Abadi" w:hAnsi="Abadi"/>
          <w:b/>
          <w:bCs/>
          <w:spacing w:val="28"/>
          <w:sz w:val="21"/>
          <w:szCs w:val="21"/>
        </w:rPr>
        <w:t xml:space="preserve"> </w:t>
      </w:r>
      <w:r w:rsidRPr="00AD79C7">
        <w:rPr>
          <w:rFonts w:ascii="Abadi" w:hAnsi="Abadi"/>
          <w:b/>
          <w:bCs/>
          <w:sz w:val="21"/>
          <w:szCs w:val="21"/>
        </w:rPr>
        <w:t>Estado</w:t>
      </w:r>
      <w:r w:rsidRPr="00AD79C7">
        <w:rPr>
          <w:rFonts w:ascii="Abadi" w:hAnsi="Abadi"/>
          <w:b/>
          <w:bCs/>
          <w:spacing w:val="29"/>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Guanajuato</w:t>
      </w:r>
      <w:r w:rsidRPr="00AD79C7">
        <w:rPr>
          <w:rFonts w:ascii="Abadi" w:hAnsi="Abadi"/>
          <w:b/>
          <w:bCs/>
          <w:spacing w:val="-15"/>
          <w:sz w:val="21"/>
          <w:szCs w:val="21"/>
        </w:rPr>
        <w:t xml:space="preserve"> </w:t>
      </w:r>
      <w:r w:rsidRPr="00AD79C7">
        <w:rPr>
          <w:rFonts w:ascii="Abadi" w:hAnsi="Abadi"/>
          <w:b/>
          <w:bCs/>
          <w:sz w:val="21"/>
          <w:szCs w:val="21"/>
        </w:rPr>
        <w:t>informe</w:t>
      </w:r>
      <w:r w:rsidRPr="00AD79C7">
        <w:rPr>
          <w:rFonts w:ascii="Abadi" w:hAnsi="Abadi"/>
          <w:b/>
          <w:bCs/>
          <w:spacing w:val="-15"/>
          <w:sz w:val="21"/>
          <w:szCs w:val="21"/>
        </w:rPr>
        <w:t xml:space="preserve"> </w:t>
      </w:r>
      <w:r w:rsidRPr="00AD79C7">
        <w:rPr>
          <w:rFonts w:ascii="Abadi" w:hAnsi="Abadi"/>
          <w:b/>
          <w:bCs/>
          <w:sz w:val="21"/>
          <w:szCs w:val="21"/>
        </w:rPr>
        <w:t>sobre</w:t>
      </w:r>
      <w:r w:rsidRPr="00AD79C7">
        <w:rPr>
          <w:rFonts w:ascii="Abadi" w:hAnsi="Abadi"/>
          <w:b/>
          <w:bCs/>
          <w:spacing w:val="-14"/>
          <w:sz w:val="21"/>
          <w:szCs w:val="21"/>
        </w:rPr>
        <w:t xml:space="preserve"> </w:t>
      </w:r>
      <w:r w:rsidRPr="00AD79C7">
        <w:rPr>
          <w:rFonts w:ascii="Abadi" w:hAnsi="Abadi"/>
          <w:b/>
          <w:bCs/>
          <w:sz w:val="21"/>
          <w:szCs w:val="21"/>
        </w:rPr>
        <w:t>presuntas</w:t>
      </w:r>
      <w:r w:rsidRPr="00AD79C7">
        <w:rPr>
          <w:rFonts w:ascii="Abadi" w:hAnsi="Abadi"/>
          <w:b/>
          <w:bCs/>
          <w:spacing w:val="-15"/>
          <w:sz w:val="21"/>
          <w:szCs w:val="21"/>
        </w:rPr>
        <w:t xml:space="preserve"> </w:t>
      </w:r>
      <w:r w:rsidRPr="00AD79C7">
        <w:rPr>
          <w:rFonts w:ascii="Abadi" w:hAnsi="Abadi"/>
          <w:b/>
          <w:bCs/>
          <w:sz w:val="21"/>
          <w:szCs w:val="21"/>
        </w:rPr>
        <w:t>irregularidades</w:t>
      </w:r>
      <w:r w:rsidRPr="00AD79C7">
        <w:rPr>
          <w:rFonts w:ascii="Abadi" w:hAnsi="Abadi"/>
          <w:b/>
          <w:bCs/>
          <w:spacing w:val="-15"/>
          <w:sz w:val="21"/>
          <w:szCs w:val="21"/>
        </w:rPr>
        <w:t xml:space="preserve"> </w:t>
      </w:r>
      <w:r w:rsidRPr="00AD79C7">
        <w:rPr>
          <w:rFonts w:ascii="Abadi" w:hAnsi="Abadi"/>
          <w:b/>
          <w:bCs/>
          <w:sz w:val="21"/>
          <w:szCs w:val="21"/>
        </w:rPr>
        <w:t>y</w:t>
      </w:r>
      <w:r w:rsidRPr="00AD79C7">
        <w:rPr>
          <w:rFonts w:ascii="Abadi" w:hAnsi="Abadi"/>
          <w:b/>
          <w:bCs/>
          <w:spacing w:val="-15"/>
          <w:sz w:val="21"/>
          <w:szCs w:val="21"/>
        </w:rPr>
        <w:t xml:space="preserve"> </w:t>
      </w:r>
      <w:r w:rsidRPr="00AD79C7">
        <w:rPr>
          <w:rFonts w:ascii="Abadi" w:hAnsi="Abadi"/>
          <w:b/>
          <w:bCs/>
          <w:sz w:val="21"/>
          <w:szCs w:val="21"/>
        </w:rPr>
        <w:t>violación</w:t>
      </w:r>
      <w:r w:rsidRPr="00AD79C7">
        <w:rPr>
          <w:rFonts w:ascii="Abadi" w:hAnsi="Abadi"/>
          <w:b/>
          <w:bCs/>
          <w:spacing w:val="-15"/>
          <w:sz w:val="21"/>
          <w:szCs w:val="21"/>
        </w:rPr>
        <w:t xml:space="preserve"> </w:t>
      </w:r>
      <w:r w:rsidRPr="00AD79C7">
        <w:rPr>
          <w:rFonts w:ascii="Abadi" w:hAnsi="Abadi"/>
          <w:b/>
          <w:bCs/>
          <w:sz w:val="21"/>
          <w:szCs w:val="21"/>
        </w:rPr>
        <w:t>a</w:t>
      </w:r>
      <w:r w:rsidRPr="00AD79C7">
        <w:rPr>
          <w:rFonts w:ascii="Abadi" w:hAnsi="Abadi"/>
          <w:b/>
          <w:bCs/>
          <w:spacing w:val="-15"/>
          <w:sz w:val="21"/>
          <w:szCs w:val="21"/>
        </w:rPr>
        <w:t xml:space="preserve"> </w:t>
      </w:r>
      <w:r w:rsidRPr="00AD79C7">
        <w:rPr>
          <w:rFonts w:ascii="Abadi" w:hAnsi="Abadi"/>
          <w:b/>
          <w:bCs/>
          <w:sz w:val="21"/>
          <w:szCs w:val="21"/>
        </w:rPr>
        <w:t>las</w:t>
      </w:r>
      <w:r w:rsidRPr="00AD79C7">
        <w:rPr>
          <w:rFonts w:ascii="Abadi" w:hAnsi="Abadi"/>
          <w:b/>
          <w:bCs/>
          <w:spacing w:val="-15"/>
          <w:sz w:val="21"/>
          <w:szCs w:val="21"/>
        </w:rPr>
        <w:t xml:space="preserve"> </w:t>
      </w:r>
      <w:r w:rsidRPr="00AD79C7">
        <w:rPr>
          <w:rFonts w:ascii="Abadi" w:hAnsi="Abadi"/>
          <w:b/>
          <w:bCs/>
          <w:sz w:val="21"/>
          <w:szCs w:val="21"/>
        </w:rPr>
        <w:t>Reglas</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12"/>
          <w:sz w:val="21"/>
          <w:szCs w:val="21"/>
        </w:rPr>
        <w:t xml:space="preserve"> </w:t>
      </w:r>
      <w:r w:rsidRPr="00AD79C7">
        <w:rPr>
          <w:rFonts w:ascii="Abadi" w:hAnsi="Abadi"/>
          <w:b/>
          <w:bCs/>
          <w:sz w:val="21"/>
          <w:szCs w:val="21"/>
        </w:rPr>
        <w:t>Operación</w:t>
      </w:r>
      <w:r w:rsidRPr="00AD79C7">
        <w:rPr>
          <w:rFonts w:ascii="Abadi" w:hAnsi="Abadi"/>
          <w:b/>
          <w:bCs/>
          <w:spacing w:val="-12"/>
          <w:sz w:val="21"/>
          <w:szCs w:val="21"/>
        </w:rPr>
        <w:t xml:space="preserve"> </w:t>
      </w:r>
      <w:r w:rsidRPr="00AD79C7">
        <w:rPr>
          <w:rFonts w:ascii="Abadi" w:hAnsi="Abadi"/>
          <w:b/>
          <w:bCs/>
          <w:sz w:val="21"/>
          <w:szCs w:val="21"/>
        </w:rPr>
        <w:t>del</w:t>
      </w:r>
      <w:r w:rsidRPr="00AD79C7">
        <w:rPr>
          <w:rFonts w:ascii="Abadi" w:hAnsi="Abadi"/>
          <w:b/>
          <w:bCs/>
          <w:spacing w:val="-12"/>
          <w:sz w:val="21"/>
          <w:szCs w:val="21"/>
        </w:rPr>
        <w:t xml:space="preserve"> </w:t>
      </w:r>
      <w:r w:rsidRPr="00AD79C7">
        <w:rPr>
          <w:rFonts w:ascii="Abadi" w:hAnsi="Abadi"/>
          <w:b/>
          <w:bCs/>
          <w:sz w:val="21"/>
          <w:szCs w:val="21"/>
        </w:rPr>
        <w:t>Programa</w:t>
      </w:r>
      <w:r w:rsidRPr="00AD79C7">
        <w:rPr>
          <w:rFonts w:ascii="Abadi" w:hAnsi="Abadi"/>
          <w:b/>
          <w:bCs/>
          <w:spacing w:val="-12"/>
          <w:sz w:val="21"/>
          <w:szCs w:val="21"/>
        </w:rPr>
        <w:t xml:space="preserve"> </w:t>
      </w:r>
      <w:r w:rsidRPr="00AD79C7">
        <w:rPr>
          <w:rFonts w:ascii="Abadi" w:hAnsi="Abadi"/>
          <w:b/>
          <w:bCs/>
          <w:sz w:val="21"/>
          <w:szCs w:val="21"/>
        </w:rPr>
        <w:t>Vale</w:t>
      </w:r>
      <w:r w:rsidRPr="00AD79C7">
        <w:rPr>
          <w:rFonts w:ascii="Abadi" w:hAnsi="Abadi"/>
          <w:b/>
          <w:bCs/>
          <w:spacing w:val="-12"/>
          <w:sz w:val="21"/>
          <w:szCs w:val="21"/>
        </w:rPr>
        <w:t xml:space="preserve"> </w:t>
      </w:r>
      <w:r w:rsidRPr="00AD79C7">
        <w:rPr>
          <w:rFonts w:ascii="Abadi" w:hAnsi="Abadi"/>
          <w:b/>
          <w:bCs/>
          <w:sz w:val="21"/>
          <w:szCs w:val="21"/>
        </w:rPr>
        <w:t>Grandeza</w:t>
      </w:r>
      <w:r w:rsidRPr="00AD79C7">
        <w:rPr>
          <w:rFonts w:ascii="Abadi" w:hAnsi="Abadi"/>
          <w:b/>
          <w:bCs/>
          <w:spacing w:val="-12"/>
          <w:sz w:val="21"/>
          <w:szCs w:val="21"/>
        </w:rPr>
        <w:t xml:space="preserve"> </w:t>
      </w:r>
      <w:r w:rsidRPr="00AD79C7">
        <w:rPr>
          <w:rFonts w:ascii="Abadi" w:hAnsi="Abadi"/>
          <w:b/>
          <w:bCs/>
          <w:sz w:val="21"/>
          <w:szCs w:val="21"/>
        </w:rPr>
        <w:t>–</w:t>
      </w:r>
      <w:r w:rsidRPr="00AD79C7">
        <w:rPr>
          <w:rFonts w:ascii="Abadi" w:hAnsi="Abadi"/>
          <w:b/>
          <w:bCs/>
          <w:spacing w:val="-12"/>
          <w:sz w:val="21"/>
          <w:szCs w:val="21"/>
        </w:rPr>
        <w:t xml:space="preserve"> </w:t>
      </w:r>
      <w:r w:rsidRPr="00AD79C7">
        <w:rPr>
          <w:rFonts w:ascii="Abadi" w:hAnsi="Abadi"/>
          <w:b/>
          <w:bCs/>
          <w:sz w:val="21"/>
          <w:szCs w:val="21"/>
        </w:rPr>
        <w:t>Compra</w:t>
      </w:r>
      <w:r w:rsidRPr="00AD79C7">
        <w:rPr>
          <w:rFonts w:ascii="Abadi" w:hAnsi="Abadi"/>
          <w:b/>
          <w:bCs/>
          <w:spacing w:val="-12"/>
          <w:sz w:val="21"/>
          <w:szCs w:val="21"/>
        </w:rPr>
        <w:t xml:space="preserve"> </w:t>
      </w:r>
      <w:r w:rsidRPr="00AD79C7">
        <w:rPr>
          <w:rFonts w:ascii="Abadi" w:hAnsi="Abadi"/>
          <w:b/>
          <w:bCs/>
          <w:sz w:val="21"/>
          <w:szCs w:val="21"/>
        </w:rPr>
        <w:t>Local</w:t>
      </w:r>
      <w:r w:rsidRPr="00AD79C7">
        <w:rPr>
          <w:rFonts w:ascii="Abadi" w:hAnsi="Abadi"/>
          <w:b/>
          <w:bCs/>
          <w:spacing w:val="-12"/>
          <w:sz w:val="21"/>
          <w:szCs w:val="21"/>
        </w:rPr>
        <w:t xml:space="preserve"> </w:t>
      </w:r>
      <w:r w:rsidRPr="00AD79C7">
        <w:rPr>
          <w:rFonts w:ascii="Abadi" w:hAnsi="Abadi"/>
          <w:b/>
          <w:bCs/>
          <w:sz w:val="21"/>
          <w:szCs w:val="21"/>
        </w:rPr>
        <w:t>para</w:t>
      </w:r>
      <w:r w:rsidRPr="00AD79C7">
        <w:rPr>
          <w:rFonts w:ascii="Abadi" w:hAnsi="Abadi"/>
          <w:b/>
          <w:bCs/>
          <w:spacing w:val="-12"/>
          <w:sz w:val="21"/>
          <w:szCs w:val="21"/>
        </w:rPr>
        <w:t xml:space="preserve"> </w:t>
      </w:r>
      <w:r w:rsidRPr="00AD79C7">
        <w:rPr>
          <w:rFonts w:ascii="Abadi" w:hAnsi="Abadi"/>
          <w:b/>
          <w:bCs/>
          <w:sz w:val="21"/>
          <w:szCs w:val="21"/>
        </w:rPr>
        <w:t>el</w:t>
      </w:r>
      <w:r w:rsidRPr="00AD79C7">
        <w:rPr>
          <w:rFonts w:ascii="Abadi" w:hAnsi="Abadi"/>
          <w:b/>
          <w:bCs/>
          <w:spacing w:val="-12"/>
          <w:sz w:val="21"/>
          <w:szCs w:val="21"/>
        </w:rPr>
        <w:t xml:space="preserve"> </w:t>
      </w:r>
      <w:r w:rsidRPr="00AD79C7">
        <w:rPr>
          <w:rFonts w:ascii="Abadi" w:hAnsi="Abadi"/>
          <w:b/>
          <w:bCs/>
          <w:sz w:val="21"/>
          <w:szCs w:val="21"/>
        </w:rPr>
        <w:t>ejercicio</w:t>
      </w:r>
      <w:r w:rsidRPr="00AD79C7">
        <w:rPr>
          <w:rFonts w:ascii="Abadi" w:hAnsi="Abadi"/>
          <w:b/>
          <w:bCs/>
          <w:spacing w:val="-2"/>
          <w:sz w:val="21"/>
          <w:szCs w:val="21"/>
        </w:rPr>
        <w:t xml:space="preserve"> </w:t>
      </w:r>
      <w:r w:rsidRPr="00AD79C7">
        <w:rPr>
          <w:rFonts w:ascii="Abadi" w:hAnsi="Abadi"/>
          <w:b/>
          <w:bCs/>
          <w:sz w:val="21"/>
          <w:szCs w:val="21"/>
        </w:rPr>
        <w:t>fiscal</w:t>
      </w:r>
      <w:r w:rsidRPr="00AD79C7">
        <w:rPr>
          <w:rFonts w:ascii="Abadi" w:hAnsi="Abadi"/>
          <w:b/>
          <w:bCs/>
          <w:spacing w:val="-16"/>
          <w:sz w:val="21"/>
          <w:szCs w:val="21"/>
        </w:rPr>
        <w:t xml:space="preserve"> </w:t>
      </w:r>
      <w:r w:rsidRPr="00AD79C7">
        <w:rPr>
          <w:rFonts w:ascii="Abadi" w:hAnsi="Abadi"/>
          <w:b/>
          <w:bCs/>
          <w:sz w:val="21"/>
          <w:szCs w:val="21"/>
        </w:rPr>
        <w:t>de</w:t>
      </w:r>
      <w:r w:rsidRPr="00AD79C7">
        <w:rPr>
          <w:rFonts w:ascii="Abadi" w:hAnsi="Abadi"/>
          <w:b/>
          <w:bCs/>
          <w:spacing w:val="-16"/>
          <w:sz w:val="21"/>
          <w:szCs w:val="21"/>
        </w:rPr>
        <w:t xml:space="preserve"> </w:t>
      </w:r>
      <w:r w:rsidRPr="00AD79C7">
        <w:rPr>
          <w:rFonts w:ascii="Abadi" w:hAnsi="Abadi"/>
          <w:b/>
          <w:bCs/>
          <w:sz w:val="21"/>
          <w:szCs w:val="21"/>
        </w:rPr>
        <w:t>2021</w:t>
      </w:r>
      <w:r w:rsidRPr="00AD79C7">
        <w:rPr>
          <w:rFonts w:ascii="Abadi" w:hAnsi="Abadi"/>
          <w:b/>
          <w:bCs/>
          <w:spacing w:val="-16"/>
          <w:sz w:val="21"/>
          <w:szCs w:val="21"/>
        </w:rPr>
        <w:t xml:space="preserve"> </w:t>
      </w:r>
      <w:r w:rsidRPr="00AD79C7">
        <w:rPr>
          <w:rFonts w:ascii="Abadi" w:hAnsi="Abadi"/>
          <w:b/>
          <w:bCs/>
          <w:sz w:val="21"/>
          <w:szCs w:val="21"/>
        </w:rPr>
        <w:t>y</w:t>
      </w:r>
      <w:r w:rsidRPr="00AD79C7">
        <w:rPr>
          <w:rFonts w:ascii="Abadi" w:hAnsi="Abadi"/>
          <w:b/>
          <w:bCs/>
          <w:spacing w:val="-16"/>
          <w:sz w:val="21"/>
          <w:szCs w:val="21"/>
        </w:rPr>
        <w:t xml:space="preserve"> </w:t>
      </w:r>
      <w:r w:rsidRPr="00AD79C7">
        <w:rPr>
          <w:rFonts w:ascii="Abadi" w:hAnsi="Abadi"/>
          <w:b/>
          <w:bCs/>
          <w:sz w:val="21"/>
          <w:szCs w:val="21"/>
        </w:rPr>
        <w:t>hacerlo</w:t>
      </w:r>
      <w:r w:rsidRPr="00AD79C7">
        <w:rPr>
          <w:rFonts w:ascii="Abadi" w:hAnsi="Abadi"/>
          <w:b/>
          <w:bCs/>
          <w:spacing w:val="-16"/>
          <w:sz w:val="21"/>
          <w:szCs w:val="21"/>
        </w:rPr>
        <w:t xml:space="preserve"> </w:t>
      </w:r>
      <w:r w:rsidRPr="00AD79C7">
        <w:rPr>
          <w:rFonts w:ascii="Abadi" w:hAnsi="Abadi"/>
          <w:b/>
          <w:bCs/>
          <w:sz w:val="21"/>
          <w:szCs w:val="21"/>
        </w:rPr>
        <w:t>del</w:t>
      </w:r>
      <w:r w:rsidRPr="00AD79C7">
        <w:rPr>
          <w:rFonts w:ascii="Abadi" w:hAnsi="Abadi"/>
          <w:b/>
          <w:bCs/>
          <w:spacing w:val="-16"/>
          <w:sz w:val="21"/>
          <w:szCs w:val="21"/>
        </w:rPr>
        <w:t xml:space="preserve"> </w:t>
      </w:r>
      <w:r w:rsidRPr="00AD79C7">
        <w:rPr>
          <w:rFonts w:ascii="Abadi" w:hAnsi="Abadi"/>
          <w:b/>
          <w:bCs/>
          <w:sz w:val="21"/>
          <w:szCs w:val="21"/>
        </w:rPr>
        <w:t>conocimiento</w:t>
      </w:r>
      <w:r w:rsidRPr="00AD79C7">
        <w:rPr>
          <w:rFonts w:ascii="Abadi" w:hAnsi="Abadi"/>
          <w:b/>
          <w:bCs/>
          <w:spacing w:val="-16"/>
          <w:sz w:val="21"/>
          <w:szCs w:val="21"/>
        </w:rPr>
        <w:t xml:space="preserve"> </w:t>
      </w:r>
      <w:r w:rsidRPr="00AD79C7">
        <w:rPr>
          <w:rFonts w:ascii="Abadi" w:hAnsi="Abadi"/>
          <w:b/>
          <w:bCs/>
          <w:sz w:val="21"/>
          <w:szCs w:val="21"/>
        </w:rPr>
        <w:t>de</w:t>
      </w:r>
      <w:r w:rsidRPr="00AD79C7">
        <w:rPr>
          <w:rFonts w:ascii="Abadi" w:hAnsi="Abadi"/>
          <w:b/>
          <w:bCs/>
          <w:spacing w:val="-16"/>
          <w:sz w:val="21"/>
          <w:szCs w:val="21"/>
        </w:rPr>
        <w:t xml:space="preserve"> </w:t>
      </w:r>
      <w:r w:rsidRPr="00AD79C7">
        <w:rPr>
          <w:rFonts w:ascii="Abadi" w:hAnsi="Abadi"/>
          <w:b/>
          <w:bCs/>
          <w:sz w:val="21"/>
          <w:szCs w:val="21"/>
        </w:rPr>
        <w:t>la</w:t>
      </w:r>
      <w:r w:rsidRPr="00AD79C7">
        <w:rPr>
          <w:rFonts w:ascii="Abadi" w:hAnsi="Abadi"/>
          <w:b/>
          <w:bCs/>
          <w:spacing w:val="-16"/>
          <w:sz w:val="21"/>
          <w:szCs w:val="21"/>
        </w:rPr>
        <w:t xml:space="preserve"> </w:t>
      </w:r>
      <w:r w:rsidRPr="00AD79C7">
        <w:rPr>
          <w:rFonts w:ascii="Abadi" w:hAnsi="Abadi"/>
          <w:b/>
          <w:bCs/>
          <w:sz w:val="21"/>
          <w:szCs w:val="21"/>
        </w:rPr>
        <w:t>Auditoría</w:t>
      </w:r>
      <w:r w:rsidRPr="00AD79C7">
        <w:rPr>
          <w:rFonts w:ascii="Abadi" w:hAnsi="Abadi"/>
          <w:b/>
          <w:bCs/>
          <w:spacing w:val="-16"/>
          <w:sz w:val="21"/>
          <w:szCs w:val="21"/>
        </w:rPr>
        <w:t xml:space="preserve"> </w:t>
      </w:r>
      <w:r w:rsidRPr="00AD79C7">
        <w:rPr>
          <w:rFonts w:ascii="Abadi" w:hAnsi="Abadi"/>
          <w:b/>
          <w:bCs/>
          <w:sz w:val="21"/>
          <w:szCs w:val="21"/>
        </w:rPr>
        <w:t>Superior</w:t>
      </w:r>
      <w:r w:rsidRPr="00AD79C7">
        <w:rPr>
          <w:rFonts w:ascii="Abadi" w:hAnsi="Abadi"/>
          <w:b/>
          <w:bCs/>
          <w:spacing w:val="-16"/>
          <w:sz w:val="21"/>
          <w:szCs w:val="21"/>
        </w:rPr>
        <w:t xml:space="preserve"> </w:t>
      </w:r>
      <w:r w:rsidRPr="00AD79C7">
        <w:rPr>
          <w:rFonts w:ascii="Abadi" w:hAnsi="Abadi"/>
          <w:b/>
          <w:bCs/>
          <w:sz w:val="21"/>
          <w:szCs w:val="21"/>
        </w:rPr>
        <w:t>del</w:t>
      </w:r>
      <w:r w:rsidRPr="00AD79C7">
        <w:rPr>
          <w:rFonts w:ascii="Abadi" w:hAnsi="Abadi"/>
          <w:b/>
          <w:bCs/>
          <w:spacing w:val="-16"/>
          <w:sz w:val="21"/>
          <w:szCs w:val="21"/>
        </w:rPr>
        <w:t xml:space="preserve"> </w:t>
      </w:r>
      <w:r w:rsidRPr="00AD79C7">
        <w:rPr>
          <w:rFonts w:ascii="Abadi" w:hAnsi="Abadi"/>
          <w:b/>
          <w:bCs/>
          <w:sz w:val="21"/>
          <w:szCs w:val="21"/>
        </w:rPr>
        <w:t>Estado</w:t>
      </w:r>
      <w:r w:rsidRPr="00AD79C7">
        <w:rPr>
          <w:rFonts w:ascii="Abadi" w:hAnsi="Abadi"/>
          <w:b/>
          <w:bCs/>
          <w:spacing w:val="-2"/>
          <w:sz w:val="21"/>
          <w:szCs w:val="21"/>
        </w:rPr>
        <w:t xml:space="preserve"> </w:t>
      </w:r>
      <w:r w:rsidRPr="00AD79C7">
        <w:rPr>
          <w:rFonts w:ascii="Abadi" w:hAnsi="Abadi"/>
          <w:b/>
          <w:bCs/>
          <w:sz w:val="21"/>
          <w:szCs w:val="21"/>
        </w:rPr>
        <w:t>para</w:t>
      </w:r>
      <w:r w:rsidRPr="00AD79C7">
        <w:rPr>
          <w:rFonts w:ascii="Abadi" w:hAnsi="Abadi"/>
          <w:b/>
          <w:bCs/>
          <w:spacing w:val="49"/>
          <w:sz w:val="21"/>
          <w:szCs w:val="21"/>
        </w:rPr>
        <w:t xml:space="preserve"> </w:t>
      </w:r>
      <w:r w:rsidRPr="00AD79C7">
        <w:rPr>
          <w:rFonts w:ascii="Abadi" w:hAnsi="Abadi"/>
          <w:b/>
          <w:bCs/>
          <w:sz w:val="21"/>
          <w:szCs w:val="21"/>
        </w:rPr>
        <w:t>que</w:t>
      </w:r>
      <w:r w:rsidRPr="00AD79C7">
        <w:rPr>
          <w:rFonts w:ascii="Abadi" w:hAnsi="Abadi"/>
          <w:b/>
          <w:bCs/>
          <w:spacing w:val="49"/>
          <w:sz w:val="21"/>
          <w:szCs w:val="21"/>
        </w:rPr>
        <w:t xml:space="preserve"> </w:t>
      </w:r>
      <w:r w:rsidRPr="00AD79C7">
        <w:rPr>
          <w:rFonts w:ascii="Abadi" w:hAnsi="Abadi"/>
          <w:b/>
          <w:bCs/>
          <w:sz w:val="21"/>
          <w:szCs w:val="21"/>
        </w:rPr>
        <w:t>investigue</w:t>
      </w:r>
      <w:r w:rsidRPr="00AD79C7">
        <w:rPr>
          <w:rFonts w:ascii="Abadi" w:hAnsi="Abadi"/>
          <w:b/>
          <w:bCs/>
          <w:spacing w:val="49"/>
          <w:sz w:val="21"/>
          <w:szCs w:val="21"/>
        </w:rPr>
        <w:t xml:space="preserve"> </w:t>
      </w:r>
      <w:r w:rsidRPr="00AD79C7">
        <w:rPr>
          <w:rFonts w:ascii="Abadi" w:hAnsi="Abadi"/>
          <w:b/>
          <w:bCs/>
          <w:sz w:val="21"/>
          <w:szCs w:val="21"/>
        </w:rPr>
        <w:t>y</w:t>
      </w:r>
      <w:r w:rsidRPr="00AD79C7">
        <w:rPr>
          <w:rFonts w:ascii="Abadi" w:hAnsi="Abadi"/>
          <w:b/>
          <w:bCs/>
          <w:spacing w:val="50"/>
          <w:sz w:val="21"/>
          <w:szCs w:val="21"/>
        </w:rPr>
        <w:t xml:space="preserve"> </w:t>
      </w:r>
      <w:r w:rsidRPr="00AD79C7">
        <w:rPr>
          <w:rFonts w:ascii="Abadi" w:hAnsi="Abadi"/>
          <w:b/>
          <w:bCs/>
          <w:sz w:val="21"/>
          <w:szCs w:val="21"/>
        </w:rPr>
        <w:t>audite</w:t>
      </w:r>
      <w:r w:rsidRPr="00AD79C7">
        <w:rPr>
          <w:rFonts w:ascii="Abadi" w:hAnsi="Abadi"/>
          <w:b/>
          <w:bCs/>
          <w:spacing w:val="49"/>
          <w:sz w:val="21"/>
          <w:szCs w:val="21"/>
        </w:rPr>
        <w:t xml:space="preserve"> </w:t>
      </w:r>
      <w:r w:rsidRPr="00AD79C7">
        <w:rPr>
          <w:rFonts w:ascii="Abadi" w:hAnsi="Abadi"/>
          <w:b/>
          <w:bCs/>
          <w:sz w:val="21"/>
          <w:szCs w:val="21"/>
        </w:rPr>
        <w:t>la</w:t>
      </w:r>
      <w:r w:rsidRPr="00AD79C7">
        <w:rPr>
          <w:rFonts w:ascii="Abadi" w:hAnsi="Abadi"/>
          <w:b/>
          <w:bCs/>
          <w:spacing w:val="49"/>
          <w:sz w:val="21"/>
          <w:szCs w:val="21"/>
        </w:rPr>
        <w:t xml:space="preserve"> </w:t>
      </w:r>
      <w:r w:rsidRPr="00AD79C7">
        <w:rPr>
          <w:rFonts w:ascii="Abadi" w:hAnsi="Abadi"/>
          <w:b/>
          <w:bCs/>
          <w:sz w:val="21"/>
          <w:szCs w:val="21"/>
        </w:rPr>
        <w:t>falta</w:t>
      </w:r>
      <w:r w:rsidRPr="00AD79C7">
        <w:rPr>
          <w:rFonts w:ascii="Abadi" w:hAnsi="Abadi"/>
          <w:b/>
          <w:bCs/>
          <w:spacing w:val="49"/>
          <w:sz w:val="21"/>
          <w:szCs w:val="21"/>
        </w:rPr>
        <w:t xml:space="preserve"> </w:t>
      </w:r>
      <w:r w:rsidRPr="00AD79C7">
        <w:rPr>
          <w:rFonts w:ascii="Abadi" w:hAnsi="Abadi"/>
          <w:b/>
          <w:bCs/>
          <w:sz w:val="21"/>
          <w:szCs w:val="21"/>
        </w:rPr>
        <w:t>de</w:t>
      </w:r>
      <w:r w:rsidRPr="00AD79C7">
        <w:rPr>
          <w:rFonts w:ascii="Abadi" w:hAnsi="Abadi"/>
          <w:b/>
          <w:bCs/>
          <w:spacing w:val="49"/>
          <w:sz w:val="21"/>
          <w:szCs w:val="21"/>
        </w:rPr>
        <w:t xml:space="preserve"> </w:t>
      </w:r>
      <w:r w:rsidRPr="00AD79C7">
        <w:rPr>
          <w:rFonts w:ascii="Abadi" w:hAnsi="Abadi"/>
          <w:b/>
          <w:bCs/>
          <w:sz w:val="21"/>
          <w:szCs w:val="21"/>
        </w:rPr>
        <w:t>información</w:t>
      </w:r>
      <w:r w:rsidRPr="00AD79C7">
        <w:rPr>
          <w:rFonts w:ascii="Abadi" w:hAnsi="Abadi"/>
          <w:b/>
          <w:bCs/>
          <w:spacing w:val="49"/>
          <w:sz w:val="21"/>
          <w:szCs w:val="21"/>
        </w:rPr>
        <w:t xml:space="preserve"> </w:t>
      </w:r>
      <w:r w:rsidRPr="00AD79C7">
        <w:rPr>
          <w:rFonts w:ascii="Abadi" w:hAnsi="Abadi"/>
          <w:b/>
          <w:bCs/>
          <w:sz w:val="21"/>
          <w:szCs w:val="21"/>
        </w:rPr>
        <w:t>de</w:t>
      </w:r>
      <w:r w:rsidRPr="00AD79C7">
        <w:rPr>
          <w:rFonts w:ascii="Abadi" w:hAnsi="Abadi"/>
          <w:b/>
          <w:bCs/>
          <w:spacing w:val="49"/>
          <w:sz w:val="21"/>
          <w:szCs w:val="21"/>
        </w:rPr>
        <w:t xml:space="preserve"> </w:t>
      </w:r>
      <w:r w:rsidRPr="00AD79C7">
        <w:rPr>
          <w:rFonts w:ascii="Abadi" w:hAnsi="Abadi"/>
          <w:b/>
          <w:bCs/>
          <w:sz w:val="21"/>
          <w:szCs w:val="21"/>
        </w:rPr>
        <w:t>beneficiarios</w:t>
      </w:r>
      <w:r w:rsidRPr="00AD79C7">
        <w:rPr>
          <w:rFonts w:ascii="Abadi" w:hAnsi="Abadi"/>
          <w:b/>
          <w:bCs/>
          <w:spacing w:val="49"/>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diversos</w:t>
      </w:r>
      <w:r w:rsidRPr="00AD79C7">
        <w:rPr>
          <w:rFonts w:ascii="Abadi" w:hAnsi="Abadi"/>
          <w:b/>
          <w:bCs/>
          <w:spacing w:val="75"/>
          <w:w w:val="150"/>
          <w:sz w:val="21"/>
          <w:szCs w:val="21"/>
        </w:rPr>
        <w:t xml:space="preserve"> </w:t>
      </w:r>
      <w:r w:rsidRPr="00AD79C7">
        <w:rPr>
          <w:rFonts w:ascii="Abadi" w:hAnsi="Abadi"/>
          <w:b/>
          <w:bCs/>
          <w:sz w:val="21"/>
          <w:szCs w:val="21"/>
        </w:rPr>
        <w:t>municipios</w:t>
      </w:r>
      <w:r w:rsidRPr="00AD79C7">
        <w:rPr>
          <w:rFonts w:ascii="Abadi" w:hAnsi="Abadi"/>
          <w:b/>
          <w:bCs/>
          <w:spacing w:val="75"/>
          <w:w w:val="150"/>
          <w:sz w:val="21"/>
          <w:szCs w:val="21"/>
        </w:rPr>
        <w:t xml:space="preserve"> </w:t>
      </w:r>
      <w:r w:rsidRPr="00AD79C7">
        <w:rPr>
          <w:rFonts w:ascii="Abadi" w:hAnsi="Abadi"/>
          <w:b/>
          <w:bCs/>
          <w:sz w:val="21"/>
          <w:szCs w:val="21"/>
        </w:rPr>
        <w:t>en</w:t>
      </w:r>
      <w:r w:rsidRPr="00AD79C7">
        <w:rPr>
          <w:rFonts w:ascii="Abadi" w:hAnsi="Abadi"/>
          <w:b/>
          <w:bCs/>
          <w:spacing w:val="75"/>
          <w:w w:val="150"/>
          <w:sz w:val="21"/>
          <w:szCs w:val="21"/>
        </w:rPr>
        <w:t xml:space="preserve"> </w:t>
      </w:r>
      <w:r w:rsidRPr="00AD79C7">
        <w:rPr>
          <w:rFonts w:ascii="Abadi" w:hAnsi="Abadi"/>
          <w:b/>
          <w:bCs/>
          <w:sz w:val="21"/>
          <w:szCs w:val="21"/>
        </w:rPr>
        <w:t>el</w:t>
      </w:r>
      <w:r w:rsidRPr="00AD79C7">
        <w:rPr>
          <w:rFonts w:ascii="Abadi" w:hAnsi="Abadi"/>
          <w:b/>
          <w:bCs/>
          <w:spacing w:val="75"/>
          <w:w w:val="150"/>
          <w:sz w:val="21"/>
          <w:szCs w:val="21"/>
        </w:rPr>
        <w:t xml:space="preserve"> </w:t>
      </w:r>
      <w:r w:rsidRPr="00AD79C7">
        <w:rPr>
          <w:rFonts w:ascii="Abadi" w:hAnsi="Abadi"/>
          <w:b/>
          <w:bCs/>
          <w:sz w:val="21"/>
          <w:szCs w:val="21"/>
        </w:rPr>
        <w:t>Padrón</w:t>
      </w:r>
      <w:r w:rsidRPr="00AD79C7">
        <w:rPr>
          <w:rFonts w:ascii="Abadi" w:hAnsi="Abadi"/>
          <w:b/>
          <w:bCs/>
          <w:spacing w:val="75"/>
          <w:w w:val="150"/>
          <w:sz w:val="21"/>
          <w:szCs w:val="21"/>
        </w:rPr>
        <w:t xml:space="preserve"> </w:t>
      </w:r>
      <w:r w:rsidRPr="00AD79C7">
        <w:rPr>
          <w:rFonts w:ascii="Abadi" w:hAnsi="Abadi"/>
          <w:b/>
          <w:bCs/>
          <w:sz w:val="21"/>
          <w:szCs w:val="21"/>
        </w:rPr>
        <w:t>Estatal</w:t>
      </w:r>
      <w:r w:rsidRPr="00AD79C7">
        <w:rPr>
          <w:rFonts w:ascii="Abadi" w:hAnsi="Abadi"/>
          <w:b/>
          <w:bCs/>
          <w:spacing w:val="75"/>
          <w:w w:val="150"/>
          <w:sz w:val="21"/>
          <w:szCs w:val="21"/>
        </w:rPr>
        <w:t xml:space="preserve"> </w:t>
      </w:r>
      <w:r w:rsidRPr="00AD79C7">
        <w:rPr>
          <w:rFonts w:ascii="Abadi" w:hAnsi="Abadi"/>
          <w:b/>
          <w:bCs/>
          <w:sz w:val="21"/>
          <w:szCs w:val="21"/>
        </w:rPr>
        <w:t>de</w:t>
      </w:r>
      <w:r w:rsidRPr="00AD79C7">
        <w:rPr>
          <w:rFonts w:ascii="Abadi" w:hAnsi="Abadi"/>
          <w:b/>
          <w:bCs/>
          <w:spacing w:val="75"/>
          <w:w w:val="150"/>
          <w:sz w:val="21"/>
          <w:szCs w:val="21"/>
        </w:rPr>
        <w:t xml:space="preserve"> </w:t>
      </w:r>
      <w:r w:rsidRPr="00AD79C7">
        <w:rPr>
          <w:rFonts w:ascii="Abadi" w:hAnsi="Abadi"/>
          <w:b/>
          <w:bCs/>
          <w:sz w:val="21"/>
          <w:szCs w:val="21"/>
        </w:rPr>
        <w:t>Beneficiarios</w:t>
      </w:r>
      <w:r w:rsidRPr="00AD79C7">
        <w:rPr>
          <w:rFonts w:ascii="Abadi" w:hAnsi="Abadi"/>
          <w:b/>
          <w:bCs/>
          <w:spacing w:val="75"/>
          <w:w w:val="150"/>
          <w:sz w:val="21"/>
          <w:szCs w:val="21"/>
        </w:rPr>
        <w:t xml:space="preserve"> </w:t>
      </w:r>
      <w:r w:rsidRPr="00AD79C7">
        <w:rPr>
          <w:rFonts w:ascii="Abadi" w:hAnsi="Abadi"/>
          <w:b/>
          <w:bCs/>
          <w:sz w:val="21"/>
          <w:szCs w:val="21"/>
        </w:rPr>
        <w:t>de</w:t>
      </w:r>
      <w:r w:rsidRPr="00AD79C7">
        <w:rPr>
          <w:rFonts w:ascii="Abadi" w:hAnsi="Abadi"/>
          <w:b/>
          <w:bCs/>
          <w:spacing w:val="75"/>
          <w:w w:val="150"/>
          <w:sz w:val="21"/>
          <w:szCs w:val="21"/>
        </w:rPr>
        <w:t xml:space="preserve"> </w:t>
      </w:r>
      <w:r w:rsidRPr="00AD79C7">
        <w:rPr>
          <w:rFonts w:ascii="Abadi" w:hAnsi="Abadi"/>
          <w:b/>
          <w:bCs/>
          <w:sz w:val="21"/>
          <w:szCs w:val="21"/>
        </w:rPr>
        <w:t>dicho</w:t>
      </w:r>
      <w:r w:rsidRPr="00AD79C7">
        <w:rPr>
          <w:rFonts w:ascii="Abadi" w:hAnsi="Abadi"/>
          <w:b/>
          <w:bCs/>
          <w:spacing w:val="-2"/>
          <w:sz w:val="21"/>
          <w:szCs w:val="21"/>
        </w:rPr>
        <w:t xml:space="preserve"> </w:t>
      </w:r>
      <w:r w:rsidRPr="00AD79C7">
        <w:rPr>
          <w:rFonts w:ascii="Abadi" w:hAnsi="Abadi"/>
          <w:b/>
          <w:bCs/>
          <w:sz w:val="21"/>
          <w:szCs w:val="21"/>
        </w:rPr>
        <w:t>Programa.</w:t>
      </w:r>
    </w:p>
    <w:p w14:paraId="45D7D34F" w14:textId="77777777" w:rsidR="0091470C" w:rsidRPr="0091470C" w:rsidRDefault="0091470C" w:rsidP="0091470C">
      <w:pPr>
        <w:pStyle w:val="Prrafodelista"/>
        <w:rPr>
          <w:rFonts w:ascii="Abadi" w:hAnsi="Abadi"/>
          <w:b/>
          <w:bCs/>
          <w:sz w:val="21"/>
          <w:szCs w:val="21"/>
        </w:rPr>
      </w:pPr>
    </w:p>
    <w:p w14:paraId="66478E2F" w14:textId="4C0C10A9" w:rsidR="005B506B" w:rsidRDefault="005B506B"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6"/>
          <w:sz w:val="21"/>
          <w:szCs w:val="21"/>
        </w:rPr>
        <w:t xml:space="preserve"> </w:t>
      </w:r>
      <w:r w:rsidRPr="00AD79C7">
        <w:rPr>
          <w:rFonts w:ascii="Abadi" w:hAnsi="Abadi"/>
          <w:b/>
          <w:bCs/>
          <w:sz w:val="21"/>
          <w:szCs w:val="21"/>
        </w:rPr>
        <w:t>y,</w:t>
      </w:r>
      <w:r w:rsidRPr="00AD79C7">
        <w:rPr>
          <w:rFonts w:ascii="Abadi" w:hAnsi="Abadi"/>
          <w:b/>
          <w:bCs/>
          <w:spacing w:val="15"/>
          <w:sz w:val="21"/>
          <w:szCs w:val="21"/>
        </w:rPr>
        <w:t xml:space="preserve"> </w:t>
      </w:r>
      <w:r w:rsidRPr="00AD79C7">
        <w:rPr>
          <w:rFonts w:ascii="Abadi" w:hAnsi="Abadi"/>
          <w:b/>
          <w:bCs/>
          <w:sz w:val="21"/>
          <w:szCs w:val="21"/>
        </w:rPr>
        <w:t>en</w:t>
      </w:r>
      <w:r w:rsidRPr="00AD79C7">
        <w:rPr>
          <w:rFonts w:ascii="Abadi" w:hAnsi="Abadi"/>
          <w:b/>
          <w:bCs/>
          <w:spacing w:val="16"/>
          <w:sz w:val="21"/>
          <w:szCs w:val="21"/>
        </w:rPr>
        <w:t xml:space="preserve"> </w:t>
      </w:r>
      <w:r w:rsidRPr="00AD79C7">
        <w:rPr>
          <w:rFonts w:ascii="Abadi" w:hAnsi="Abadi"/>
          <w:b/>
          <w:bCs/>
          <w:sz w:val="21"/>
          <w:szCs w:val="21"/>
        </w:rPr>
        <w:t>su</w:t>
      </w:r>
      <w:r w:rsidRPr="00AD79C7">
        <w:rPr>
          <w:rFonts w:ascii="Abadi" w:hAnsi="Abadi"/>
          <w:b/>
          <w:bCs/>
          <w:spacing w:val="15"/>
          <w:sz w:val="21"/>
          <w:szCs w:val="21"/>
        </w:rPr>
        <w:t xml:space="preserve"> </w:t>
      </w:r>
      <w:r w:rsidRPr="00AD79C7">
        <w:rPr>
          <w:rFonts w:ascii="Abadi" w:hAnsi="Abadi"/>
          <w:b/>
          <w:bCs/>
          <w:sz w:val="21"/>
          <w:szCs w:val="21"/>
        </w:rPr>
        <w:t>caso,</w:t>
      </w:r>
      <w:r w:rsidRPr="00AD79C7">
        <w:rPr>
          <w:rFonts w:ascii="Abadi" w:hAnsi="Abadi"/>
          <w:b/>
          <w:bCs/>
          <w:spacing w:val="16"/>
          <w:sz w:val="21"/>
          <w:szCs w:val="21"/>
        </w:rPr>
        <w:t xml:space="preserve"> </w:t>
      </w:r>
      <w:r w:rsidRPr="00AD79C7">
        <w:rPr>
          <w:rFonts w:ascii="Abadi" w:hAnsi="Abadi"/>
          <w:b/>
          <w:bCs/>
          <w:sz w:val="21"/>
          <w:szCs w:val="21"/>
        </w:rPr>
        <w:t>aprobación</w:t>
      </w:r>
      <w:r w:rsidRPr="00AD79C7">
        <w:rPr>
          <w:rFonts w:ascii="Abadi" w:hAnsi="Abadi"/>
          <w:b/>
          <w:bCs/>
          <w:spacing w:val="16"/>
          <w:sz w:val="21"/>
          <w:szCs w:val="21"/>
        </w:rPr>
        <w:t xml:space="preserve"> </w:t>
      </w:r>
      <w:r w:rsidRPr="00AD79C7">
        <w:rPr>
          <w:rFonts w:ascii="Abadi" w:hAnsi="Abadi"/>
          <w:b/>
          <w:bCs/>
          <w:sz w:val="21"/>
          <w:szCs w:val="21"/>
        </w:rPr>
        <w:t>del</w:t>
      </w:r>
      <w:r w:rsidRPr="00AD79C7">
        <w:rPr>
          <w:rFonts w:ascii="Abadi" w:hAnsi="Abadi"/>
          <w:b/>
          <w:bCs/>
          <w:spacing w:val="15"/>
          <w:sz w:val="21"/>
          <w:szCs w:val="21"/>
        </w:rPr>
        <w:t xml:space="preserve"> </w:t>
      </w:r>
      <w:r w:rsidRPr="00AD79C7">
        <w:rPr>
          <w:rFonts w:ascii="Abadi" w:hAnsi="Abadi"/>
          <w:b/>
          <w:bCs/>
          <w:sz w:val="21"/>
          <w:szCs w:val="21"/>
        </w:rPr>
        <w:t>dictamen</w:t>
      </w:r>
      <w:r w:rsidRPr="00AD79C7">
        <w:rPr>
          <w:rFonts w:ascii="Abadi" w:hAnsi="Abadi"/>
          <w:b/>
          <w:bCs/>
          <w:spacing w:val="16"/>
          <w:sz w:val="21"/>
          <w:szCs w:val="21"/>
        </w:rPr>
        <w:t xml:space="preserve"> </w:t>
      </w:r>
      <w:r w:rsidRPr="00AD79C7">
        <w:rPr>
          <w:rFonts w:ascii="Abadi" w:hAnsi="Abadi"/>
          <w:b/>
          <w:bCs/>
          <w:sz w:val="21"/>
          <w:szCs w:val="21"/>
        </w:rPr>
        <w:t>emitido</w:t>
      </w:r>
      <w:r w:rsidRPr="00AD79C7">
        <w:rPr>
          <w:rFonts w:ascii="Abadi" w:hAnsi="Abadi"/>
          <w:b/>
          <w:bCs/>
          <w:spacing w:val="16"/>
          <w:sz w:val="21"/>
          <w:szCs w:val="21"/>
        </w:rPr>
        <w:t xml:space="preserve"> </w:t>
      </w:r>
      <w:r w:rsidRPr="00AD79C7">
        <w:rPr>
          <w:rFonts w:ascii="Abadi" w:hAnsi="Abadi"/>
          <w:b/>
          <w:bCs/>
          <w:sz w:val="21"/>
          <w:szCs w:val="21"/>
        </w:rPr>
        <w:t>por</w:t>
      </w:r>
      <w:r w:rsidRPr="00AD79C7">
        <w:rPr>
          <w:rFonts w:ascii="Abadi" w:hAnsi="Abadi"/>
          <w:b/>
          <w:bCs/>
          <w:spacing w:val="15"/>
          <w:sz w:val="21"/>
          <w:szCs w:val="21"/>
        </w:rPr>
        <w:t xml:space="preserve"> </w:t>
      </w:r>
      <w:r w:rsidRPr="00AD79C7">
        <w:rPr>
          <w:rFonts w:ascii="Abadi" w:hAnsi="Abadi"/>
          <w:b/>
          <w:bCs/>
          <w:sz w:val="21"/>
          <w:szCs w:val="21"/>
        </w:rPr>
        <w:t>la</w:t>
      </w:r>
      <w:r w:rsidRPr="00AD79C7">
        <w:rPr>
          <w:rFonts w:ascii="Abadi" w:hAnsi="Abadi"/>
          <w:b/>
          <w:bCs/>
          <w:spacing w:val="16"/>
          <w:sz w:val="21"/>
          <w:szCs w:val="21"/>
        </w:rPr>
        <w:t xml:space="preserve"> </w:t>
      </w:r>
      <w:r w:rsidRPr="00AD79C7">
        <w:rPr>
          <w:rFonts w:ascii="Abadi" w:hAnsi="Abadi"/>
          <w:b/>
          <w:bCs/>
          <w:sz w:val="21"/>
          <w:szCs w:val="21"/>
        </w:rPr>
        <w:t>Comisión</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32"/>
          <w:sz w:val="21"/>
          <w:szCs w:val="21"/>
        </w:rPr>
        <w:t xml:space="preserve"> </w:t>
      </w:r>
      <w:r w:rsidRPr="00AD79C7">
        <w:rPr>
          <w:rFonts w:ascii="Abadi" w:hAnsi="Abadi"/>
          <w:b/>
          <w:bCs/>
          <w:sz w:val="21"/>
          <w:szCs w:val="21"/>
        </w:rPr>
        <w:t>Hacienda</w:t>
      </w:r>
      <w:r w:rsidRPr="00AD79C7">
        <w:rPr>
          <w:rFonts w:ascii="Abadi" w:hAnsi="Abadi"/>
          <w:b/>
          <w:bCs/>
          <w:spacing w:val="32"/>
          <w:sz w:val="21"/>
          <w:szCs w:val="21"/>
        </w:rPr>
        <w:t xml:space="preserve"> </w:t>
      </w:r>
      <w:r w:rsidRPr="00AD79C7">
        <w:rPr>
          <w:rFonts w:ascii="Abadi" w:hAnsi="Abadi"/>
          <w:b/>
          <w:bCs/>
          <w:sz w:val="21"/>
          <w:szCs w:val="21"/>
        </w:rPr>
        <w:t>y</w:t>
      </w:r>
      <w:r w:rsidRPr="00AD79C7">
        <w:rPr>
          <w:rFonts w:ascii="Abadi" w:hAnsi="Abadi"/>
          <w:b/>
          <w:bCs/>
          <w:spacing w:val="33"/>
          <w:sz w:val="21"/>
          <w:szCs w:val="21"/>
        </w:rPr>
        <w:t xml:space="preserve"> </w:t>
      </w:r>
      <w:r w:rsidRPr="00AD79C7">
        <w:rPr>
          <w:rFonts w:ascii="Abadi" w:hAnsi="Abadi"/>
          <w:b/>
          <w:bCs/>
          <w:sz w:val="21"/>
          <w:szCs w:val="21"/>
        </w:rPr>
        <w:t>Fiscalización</w:t>
      </w:r>
      <w:r w:rsidRPr="00AD79C7">
        <w:rPr>
          <w:rFonts w:ascii="Abadi" w:hAnsi="Abadi"/>
          <w:b/>
          <w:bCs/>
          <w:spacing w:val="32"/>
          <w:sz w:val="21"/>
          <w:szCs w:val="21"/>
        </w:rPr>
        <w:t xml:space="preserve"> </w:t>
      </w:r>
      <w:r w:rsidRPr="00AD79C7">
        <w:rPr>
          <w:rFonts w:ascii="Abadi" w:hAnsi="Abadi"/>
          <w:b/>
          <w:bCs/>
          <w:sz w:val="21"/>
          <w:szCs w:val="21"/>
        </w:rPr>
        <w:t>relativo</w:t>
      </w:r>
      <w:r w:rsidRPr="00AD79C7">
        <w:rPr>
          <w:rFonts w:ascii="Abadi" w:hAnsi="Abadi"/>
          <w:b/>
          <w:bCs/>
          <w:spacing w:val="33"/>
          <w:sz w:val="21"/>
          <w:szCs w:val="21"/>
        </w:rPr>
        <w:t xml:space="preserve"> </w:t>
      </w:r>
      <w:r w:rsidRPr="00AD79C7">
        <w:rPr>
          <w:rFonts w:ascii="Abadi" w:hAnsi="Abadi"/>
          <w:b/>
          <w:bCs/>
          <w:sz w:val="21"/>
          <w:szCs w:val="21"/>
        </w:rPr>
        <w:t>a</w:t>
      </w:r>
      <w:r w:rsidRPr="00AD79C7">
        <w:rPr>
          <w:rFonts w:ascii="Abadi" w:hAnsi="Abadi"/>
          <w:b/>
          <w:bCs/>
          <w:spacing w:val="33"/>
          <w:sz w:val="21"/>
          <w:szCs w:val="21"/>
        </w:rPr>
        <w:t xml:space="preserve"> </w:t>
      </w:r>
      <w:r w:rsidRPr="00AD79C7">
        <w:rPr>
          <w:rFonts w:ascii="Abadi" w:hAnsi="Abadi"/>
          <w:b/>
          <w:bCs/>
          <w:sz w:val="21"/>
          <w:szCs w:val="21"/>
        </w:rPr>
        <w:t>la</w:t>
      </w:r>
      <w:r w:rsidRPr="00AD79C7">
        <w:rPr>
          <w:rFonts w:ascii="Abadi" w:hAnsi="Abadi"/>
          <w:b/>
          <w:bCs/>
          <w:spacing w:val="33"/>
          <w:sz w:val="21"/>
          <w:szCs w:val="21"/>
        </w:rPr>
        <w:t xml:space="preserve"> </w:t>
      </w:r>
      <w:r w:rsidRPr="00AD79C7">
        <w:rPr>
          <w:rFonts w:ascii="Abadi" w:hAnsi="Abadi"/>
          <w:b/>
          <w:bCs/>
          <w:sz w:val="21"/>
          <w:szCs w:val="21"/>
        </w:rPr>
        <w:t>propuesta</w:t>
      </w:r>
      <w:r w:rsidRPr="00AD79C7">
        <w:rPr>
          <w:rFonts w:ascii="Abadi" w:hAnsi="Abadi"/>
          <w:b/>
          <w:bCs/>
          <w:spacing w:val="32"/>
          <w:sz w:val="21"/>
          <w:szCs w:val="21"/>
        </w:rPr>
        <w:t xml:space="preserve"> </w:t>
      </w:r>
      <w:r w:rsidRPr="00AD79C7">
        <w:rPr>
          <w:rFonts w:ascii="Abadi" w:hAnsi="Abadi"/>
          <w:b/>
          <w:bCs/>
          <w:sz w:val="21"/>
          <w:szCs w:val="21"/>
        </w:rPr>
        <w:t>de</w:t>
      </w:r>
      <w:r w:rsidRPr="00AD79C7">
        <w:rPr>
          <w:rFonts w:ascii="Abadi" w:hAnsi="Abadi"/>
          <w:b/>
          <w:bCs/>
          <w:spacing w:val="32"/>
          <w:sz w:val="21"/>
          <w:szCs w:val="21"/>
        </w:rPr>
        <w:t xml:space="preserve"> </w:t>
      </w:r>
      <w:r w:rsidRPr="00AD79C7">
        <w:rPr>
          <w:rFonts w:ascii="Abadi" w:hAnsi="Abadi"/>
          <w:b/>
          <w:bCs/>
          <w:sz w:val="21"/>
          <w:szCs w:val="21"/>
        </w:rPr>
        <w:t>punto</w:t>
      </w:r>
      <w:r w:rsidRPr="00AD79C7">
        <w:rPr>
          <w:rFonts w:ascii="Abadi" w:hAnsi="Abadi"/>
          <w:b/>
          <w:bCs/>
          <w:spacing w:val="32"/>
          <w:sz w:val="21"/>
          <w:szCs w:val="21"/>
        </w:rPr>
        <w:t xml:space="preserve"> </w:t>
      </w:r>
      <w:r w:rsidRPr="00AD79C7">
        <w:rPr>
          <w:rFonts w:ascii="Abadi" w:hAnsi="Abadi"/>
          <w:b/>
          <w:bCs/>
          <w:sz w:val="21"/>
          <w:szCs w:val="21"/>
        </w:rPr>
        <w:t>de</w:t>
      </w:r>
      <w:r w:rsidRPr="00AD79C7">
        <w:rPr>
          <w:rFonts w:ascii="Abadi" w:hAnsi="Abadi"/>
          <w:b/>
          <w:bCs/>
          <w:spacing w:val="32"/>
          <w:sz w:val="21"/>
          <w:szCs w:val="21"/>
        </w:rPr>
        <w:t xml:space="preserve"> </w:t>
      </w:r>
      <w:r w:rsidRPr="00AD79C7">
        <w:rPr>
          <w:rFonts w:ascii="Abadi" w:hAnsi="Abadi"/>
          <w:b/>
          <w:bCs/>
          <w:sz w:val="21"/>
          <w:szCs w:val="21"/>
        </w:rPr>
        <w:t>acuerdo</w:t>
      </w:r>
      <w:r w:rsidRPr="00AD79C7">
        <w:rPr>
          <w:rFonts w:ascii="Abadi" w:hAnsi="Abadi"/>
          <w:b/>
          <w:bCs/>
          <w:spacing w:val="-1"/>
          <w:sz w:val="21"/>
          <w:szCs w:val="21"/>
        </w:rPr>
        <w:t xml:space="preserve"> </w:t>
      </w:r>
      <w:r w:rsidRPr="00AD79C7">
        <w:rPr>
          <w:rFonts w:ascii="Abadi" w:hAnsi="Abadi"/>
          <w:b/>
          <w:bCs/>
          <w:sz w:val="21"/>
          <w:szCs w:val="21"/>
        </w:rPr>
        <w:t>formulada</w:t>
      </w:r>
      <w:r w:rsidRPr="00AD79C7">
        <w:rPr>
          <w:rFonts w:ascii="Abadi" w:hAnsi="Abadi"/>
          <w:b/>
          <w:bCs/>
          <w:spacing w:val="-15"/>
          <w:sz w:val="21"/>
          <w:szCs w:val="21"/>
        </w:rPr>
        <w:t xml:space="preserve"> </w:t>
      </w:r>
      <w:r w:rsidRPr="00AD79C7">
        <w:rPr>
          <w:rFonts w:ascii="Abadi" w:hAnsi="Abadi"/>
          <w:b/>
          <w:bCs/>
          <w:sz w:val="21"/>
          <w:szCs w:val="21"/>
        </w:rPr>
        <w:t>por</w:t>
      </w:r>
      <w:r w:rsidRPr="00AD79C7">
        <w:rPr>
          <w:rFonts w:ascii="Abadi" w:hAnsi="Abadi"/>
          <w:b/>
          <w:bCs/>
          <w:spacing w:val="-15"/>
          <w:sz w:val="21"/>
          <w:szCs w:val="21"/>
        </w:rPr>
        <w:t xml:space="preserve"> </w:t>
      </w:r>
      <w:r w:rsidRPr="00AD79C7">
        <w:rPr>
          <w:rFonts w:ascii="Abadi" w:hAnsi="Abadi"/>
          <w:b/>
          <w:bCs/>
          <w:sz w:val="21"/>
          <w:szCs w:val="21"/>
        </w:rPr>
        <w:t>la</w:t>
      </w:r>
      <w:r w:rsidRPr="00AD79C7">
        <w:rPr>
          <w:rFonts w:ascii="Abadi" w:hAnsi="Abadi"/>
          <w:b/>
          <w:bCs/>
          <w:spacing w:val="-15"/>
          <w:sz w:val="21"/>
          <w:szCs w:val="21"/>
        </w:rPr>
        <w:t xml:space="preserve"> </w:t>
      </w:r>
      <w:r w:rsidRPr="00AD79C7">
        <w:rPr>
          <w:rFonts w:ascii="Abadi" w:hAnsi="Abadi"/>
          <w:b/>
          <w:bCs/>
          <w:sz w:val="21"/>
          <w:szCs w:val="21"/>
        </w:rPr>
        <w:t>diputada</w:t>
      </w:r>
      <w:r w:rsidRPr="00AD79C7">
        <w:rPr>
          <w:rFonts w:ascii="Abadi" w:hAnsi="Abadi"/>
          <w:b/>
          <w:bCs/>
          <w:spacing w:val="-15"/>
          <w:sz w:val="21"/>
          <w:szCs w:val="21"/>
        </w:rPr>
        <w:t xml:space="preserve"> </w:t>
      </w:r>
      <w:r w:rsidRPr="00AD79C7">
        <w:rPr>
          <w:rFonts w:ascii="Abadi" w:hAnsi="Abadi"/>
          <w:b/>
          <w:bCs/>
          <w:sz w:val="21"/>
          <w:szCs w:val="21"/>
        </w:rPr>
        <w:t>Alma</w:t>
      </w:r>
      <w:r w:rsidRPr="00AD79C7">
        <w:rPr>
          <w:rFonts w:ascii="Abadi" w:hAnsi="Abadi"/>
          <w:b/>
          <w:bCs/>
          <w:spacing w:val="-15"/>
          <w:sz w:val="21"/>
          <w:szCs w:val="21"/>
        </w:rPr>
        <w:t xml:space="preserve"> </w:t>
      </w:r>
      <w:r w:rsidRPr="00AD79C7">
        <w:rPr>
          <w:rFonts w:ascii="Abadi" w:hAnsi="Abadi"/>
          <w:b/>
          <w:bCs/>
          <w:sz w:val="21"/>
          <w:szCs w:val="21"/>
        </w:rPr>
        <w:t>Edwviges</w:t>
      </w:r>
      <w:r w:rsidRPr="00AD79C7">
        <w:rPr>
          <w:rFonts w:ascii="Abadi" w:hAnsi="Abadi"/>
          <w:b/>
          <w:bCs/>
          <w:spacing w:val="-15"/>
          <w:sz w:val="21"/>
          <w:szCs w:val="21"/>
        </w:rPr>
        <w:t xml:space="preserve"> </w:t>
      </w:r>
      <w:r w:rsidRPr="00AD79C7">
        <w:rPr>
          <w:rFonts w:ascii="Abadi" w:hAnsi="Abadi"/>
          <w:b/>
          <w:bCs/>
          <w:sz w:val="21"/>
          <w:szCs w:val="21"/>
        </w:rPr>
        <w:t>Alcaraz</w:t>
      </w:r>
      <w:r w:rsidRPr="00AD79C7">
        <w:rPr>
          <w:rFonts w:ascii="Abadi" w:hAnsi="Abadi"/>
          <w:b/>
          <w:bCs/>
          <w:spacing w:val="-15"/>
          <w:sz w:val="21"/>
          <w:szCs w:val="21"/>
        </w:rPr>
        <w:t xml:space="preserve"> </w:t>
      </w:r>
      <w:r w:rsidRPr="00AD79C7">
        <w:rPr>
          <w:rFonts w:ascii="Abadi" w:hAnsi="Abadi"/>
          <w:b/>
          <w:bCs/>
          <w:sz w:val="21"/>
          <w:szCs w:val="21"/>
        </w:rPr>
        <w:t>Hernández,</w:t>
      </w:r>
      <w:r w:rsidRPr="00AD79C7">
        <w:rPr>
          <w:rFonts w:ascii="Abadi" w:hAnsi="Abadi"/>
          <w:b/>
          <w:bCs/>
          <w:spacing w:val="-15"/>
          <w:sz w:val="21"/>
          <w:szCs w:val="21"/>
        </w:rPr>
        <w:t xml:space="preserve"> </w:t>
      </w:r>
      <w:r w:rsidRPr="00AD79C7">
        <w:rPr>
          <w:rFonts w:ascii="Abadi" w:hAnsi="Abadi"/>
          <w:b/>
          <w:bCs/>
          <w:sz w:val="21"/>
          <w:szCs w:val="21"/>
        </w:rPr>
        <w:t>integrante</w:t>
      </w:r>
      <w:r w:rsidRPr="00AD79C7">
        <w:rPr>
          <w:rFonts w:ascii="Abadi" w:hAnsi="Abadi"/>
          <w:b/>
          <w:bCs/>
          <w:spacing w:val="-14"/>
          <w:sz w:val="21"/>
          <w:szCs w:val="21"/>
        </w:rPr>
        <w:t xml:space="preserve"> </w:t>
      </w:r>
      <w:r w:rsidRPr="00AD79C7">
        <w:rPr>
          <w:rFonts w:ascii="Abadi" w:hAnsi="Abadi"/>
          <w:b/>
          <w:bCs/>
          <w:sz w:val="21"/>
          <w:szCs w:val="21"/>
        </w:rPr>
        <w:t>del</w:t>
      </w:r>
      <w:r w:rsidRPr="00AD79C7">
        <w:rPr>
          <w:rFonts w:ascii="Abadi" w:hAnsi="Abadi"/>
          <w:b/>
          <w:bCs/>
          <w:spacing w:val="-1"/>
          <w:sz w:val="21"/>
          <w:szCs w:val="21"/>
        </w:rPr>
        <w:t xml:space="preserve"> </w:t>
      </w:r>
      <w:r w:rsidRPr="00AD79C7">
        <w:rPr>
          <w:rFonts w:ascii="Abadi" w:hAnsi="Abadi"/>
          <w:b/>
          <w:bCs/>
          <w:sz w:val="21"/>
          <w:szCs w:val="21"/>
        </w:rPr>
        <w:t>Grupo</w:t>
      </w:r>
      <w:r w:rsidRPr="00AD79C7">
        <w:rPr>
          <w:rFonts w:ascii="Abadi" w:hAnsi="Abadi"/>
          <w:b/>
          <w:bCs/>
          <w:spacing w:val="12"/>
          <w:sz w:val="21"/>
          <w:szCs w:val="21"/>
        </w:rPr>
        <w:t xml:space="preserve"> </w:t>
      </w:r>
      <w:r w:rsidRPr="00AD79C7">
        <w:rPr>
          <w:rFonts w:ascii="Abadi" w:hAnsi="Abadi"/>
          <w:b/>
          <w:bCs/>
          <w:sz w:val="21"/>
          <w:szCs w:val="21"/>
        </w:rPr>
        <w:t>Parlamentario</w:t>
      </w:r>
      <w:r w:rsidRPr="00AD79C7">
        <w:rPr>
          <w:rFonts w:ascii="Abadi" w:hAnsi="Abadi"/>
          <w:b/>
          <w:bCs/>
          <w:spacing w:val="12"/>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Partido</w:t>
      </w:r>
      <w:r w:rsidRPr="00AD79C7">
        <w:rPr>
          <w:rFonts w:ascii="Abadi" w:hAnsi="Abadi"/>
          <w:b/>
          <w:bCs/>
          <w:spacing w:val="12"/>
          <w:sz w:val="21"/>
          <w:szCs w:val="21"/>
        </w:rPr>
        <w:t xml:space="preserve"> </w:t>
      </w:r>
      <w:r w:rsidRPr="00AD79C7">
        <w:rPr>
          <w:rFonts w:ascii="Abadi" w:hAnsi="Abadi"/>
          <w:b/>
          <w:bCs/>
          <w:sz w:val="21"/>
          <w:szCs w:val="21"/>
        </w:rPr>
        <w:t>MORENA</w:t>
      </w:r>
      <w:r w:rsidRPr="00AD79C7">
        <w:rPr>
          <w:rFonts w:ascii="Abadi" w:hAnsi="Abadi"/>
          <w:b/>
          <w:bCs/>
          <w:spacing w:val="12"/>
          <w:sz w:val="21"/>
          <w:szCs w:val="21"/>
        </w:rPr>
        <w:t xml:space="preserve"> </w:t>
      </w:r>
      <w:r w:rsidRPr="00AD79C7">
        <w:rPr>
          <w:rFonts w:ascii="Abadi" w:hAnsi="Abadi"/>
          <w:b/>
          <w:bCs/>
          <w:sz w:val="21"/>
          <w:szCs w:val="21"/>
        </w:rPr>
        <w:t>a</w:t>
      </w:r>
      <w:r w:rsidRPr="00AD79C7">
        <w:rPr>
          <w:rFonts w:ascii="Abadi" w:hAnsi="Abadi"/>
          <w:b/>
          <w:bCs/>
          <w:spacing w:val="12"/>
          <w:sz w:val="21"/>
          <w:szCs w:val="21"/>
        </w:rPr>
        <w:t xml:space="preserve"> </w:t>
      </w:r>
      <w:r w:rsidRPr="00AD79C7">
        <w:rPr>
          <w:rFonts w:ascii="Abadi" w:hAnsi="Abadi"/>
          <w:b/>
          <w:bCs/>
          <w:sz w:val="21"/>
          <w:szCs w:val="21"/>
        </w:rPr>
        <w:t>efecto</w:t>
      </w:r>
      <w:r w:rsidRPr="00AD79C7">
        <w:rPr>
          <w:rFonts w:ascii="Abadi" w:hAnsi="Abadi"/>
          <w:b/>
          <w:bCs/>
          <w:spacing w:val="12"/>
          <w:sz w:val="21"/>
          <w:szCs w:val="21"/>
        </w:rPr>
        <w:t xml:space="preserve"> </w:t>
      </w:r>
      <w:r w:rsidRPr="00AD79C7">
        <w:rPr>
          <w:rFonts w:ascii="Abadi" w:hAnsi="Abadi"/>
          <w:b/>
          <w:bCs/>
          <w:sz w:val="21"/>
          <w:szCs w:val="21"/>
        </w:rPr>
        <w:t>de</w:t>
      </w:r>
      <w:r w:rsidRPr="00AD79C7">
        <w:rPr>
          <w:rFonts w:ascii="Abadi" w:hAnsi="Abadi"/>
          <w:b/>
          <w:bCs/>
          <w:spacing w:val="12"/>
          <w:sz w:val="21"/>
          <w:szCs w:val="21"/>
        </w:rPr>
        <w:t xml:space="preserve"> </w:t>
      </w:r>
      <w:r w:rsidRPr="00AD79C7">
        <w:rPr>
          <w:rFonts w:ascii="Abadi" w:hAnsi="Abadi"/>
          <w:b/>
          <w:bCs/>
          <w:sz w:val="21"/>
          <w:szCs w:val="21"/>
        </w:rPr>
        <w:t>que</w:t>
      </w:r>
      <w:r w:rsidRPr="00AD79C7">
        <w:rPr>
          <w:rFonts w:ascii="Abadi" w:hAnsi="Abadi"/>
          <w:b/>
          <w:bCs/>
          <w:spacing w:val="12"/>
          <w:sz w:val="21"/>
          <w:szCs w:val="21"/>
        </w:rPr>
        <w:t xml:space="preserve"> </w:t>
      </w:r>
      <w:r w:rsidRPr="00AD79C7">
        <w:rPr>
          <w:rFonts w:ascii="Abadi" w:hAnsi="Abadi"/>
          <w:b/>
          <w:bCs/>
          <w:sz w:val="21"/>
          <w:szCs w:val="21"/>
        </w:rPr>
        <w:t>se</w:t>
      </w:r>
      <w:r w:rsidRPr="00AD79C7">
        <w:rPr>
          <w:rFonts w:ascii="Abadi" w:hAnsi="Abadi"/>
          <w:b/>
          <w:bCs/>
          <w:spacing w:val="12"/>
          <w:sz w:val="21"/>
          <w:szCs w:val="21"/>
        </w:rPr>
        <w:t xml:space="preserve"> </w:t>
      </w:r>
      <w:r w:rsidRPr="00AD79C7">
        <w:rPr>
          <w:rFonts w:ascii="Abadi" w:hAnsi="Abadi"/>
          <w:b/>
          <w:bCs/>
          <w:sz w:val="21"/>
          <w:szCs w:val="21"/>
        </w:rPr>
        <w:t>ordene</w:t>
      </w:r>
      <w:r w:rsidRPr="00AD79C7">
        <w:rPr>
          <w:rFonts w:ascii="Abadi" w:hAnsi="Abadi"/>
          <w:b/>
          <w:bCs/>
          <w:spacing w:val="12"/>
          <w:sz w:val="21"/>
          <w:szCs w:val="21"/>
        </w:rPr>
        <w:t xml:space="preserve"> </w:t>
      </w:r>
      <w:r w:rsidRPr="00AD79C7">
        <w:rPr>
          <w:rFonts w:ascii="Abadi" w:hAnsi="Abadi"/>
          <w:b/>
          <w:bCs/>
          <w:sz w:val="21"/>
          <w:szCs w:val="21"/>
        </w:rPr>
        <w:t>a</w:t>
      </w:r>
      <w:r w:rsidRPr="00AD79C7">
        <w:rPr>
          <w:rFonts w:ascii="Abadi" w:hAnsi="Abadi"/>
          <w:b/>
          <w:bCs/>
          <w:spacing w:val="12"/>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Auditoría</w:t>
      </w:r>
      <w:r w:rsidRPr="00AD79C7">
        <w:rPr>
          <w:rFonts w:ascii="Abadi" w:hAnsi="Abadi"/>
          <w:b/>
          <w:bCs/>
          <w:spacing w:val="-5"/>
          <w:sz w:val="21"/>
          <w:szCs w:val="21"/>
        </w:rPr>
        <w:t xml:space="preserve"> </w:t>
      </w:r>
      <w:r w:rsidRPr="00AD79C7">
        <w:rPr>
          <w:rFonts w:ascii="Abadi" w:hAnsi="Abadi"/>
          <w:b/>
          <w:bCs/>
          <w:sz w:val="21"/>
          <w:szCs w:val="21"/>
        </w:rPr>
        <w:t>Superior</w:t>
      </w:r>
      <w:r w:rsidRPr="00AD79C7">
        <w:rPr>
          <w:rFonts w:ascii="Abadi" w:hAnsi="Abadi"/>
          <w:b/>
          <w:bCs/>
          <w:spacing w:val="-5"/>
          <w:sz w:val="21"/>
          <w:szCs w:val="21"/>
        </w:rPr>
        <w:t xml:space="preserve"> </w:t>
      </w:r>
      <w:r w:rsidRPr="00AD79C7">
        <w:rPr>
          <w:rFonts w:ascii="Abadi" w:hAnsi="Abadi"/>
          <w:b/>
          <w:bCs/>
          <w:sz w:val="21"/>
          <w:szCs w:val="21"/>
        </w:rPr>
        <w:t>del</w:t>
      </w:r>
      <w:r w:rsidRPr="00AD79C7">
        <w:rPr>
          <w:rFonts w:ascii="Abadi" w:hAnsi="Abadi"/>
          <w:b/>
          <w:bCs/>
          <w:spacing w:val="-5"/>
          <w:sz w:val="21"/>
          <w:szCs w:val="21"/>
        </w:rPr>
        <w:t xml:space="preserve"> </w:t>
      </w:r>
      <w:r w:rsidRPr="00AD79C7">
        <w:rPr>
          <w:rFonts w:ascii="Abadi" w:hAnsi="Abadi"/>
          <w:b/>
          <w:bCs/>
          <w:sz w:val="21"/>
          <w:szCs w:val="21"/>
        </w:rPr>
        <w:t>Estado</w:t>
      </w:r>
      <w:r w:rsidRPr="00AD79C7">
        <w:rPr>
          <w:rFonts w:ascii="Abadi" w:hAnsi="Abadi"/>
          <w:b/>
          <w:bCs/>
          <w:spacing w:val="-5"/>
          <w:sz w:val="21"/>
          <w:szCs w:val="21"/>
        </w:rPr>
        <w:t xml:space="preserve"> </w:t>
      </w:r>
      <w:r w:rsidRPr="00AD79C7">
        <w:rPr>
          <w:rFonts w:ascii="Abadi" w:hAnsi="Abadi"/>
          <w:b/>
          <w:bCs/>
          <w:sz w:val="21"/>
          <w:szCs w:val="21"/>
        </w:rPr>
        <w:t>de</w:t>
      </w:r>
      <w:r w:rsidRPr="00AD79C7">
        <w:rPr>
          <w:rFonts w:ascii="Abadi" w:hAnsi="Abadi"/>
          <w:b/>
          <w:bCs/>
          <w:spacing w:val="-5"/>
          <w:sz w:val="21"/>
          <w:szCs w:val="21"/>
        </w:rPr>
        <w:t xml:space="preserve"> </w:t>
      </w:r>
      <w:r w:rsidRPr="00AD79C7">
        <w:rPr>
          <w:rFonts w:ascii="Abadi" w:hAnsi="Abadi"/>
          <w:b/>
          <w:bCs/>
          <w:sz w:val="21"/>
          <w:szCs w:val="21"/>
        </w:rPr>
        <w:t>Guanajuato</w:t>
      </w:r>
      <w:r w:rsidRPr="00AD79C7">
        <w:rPr>
          <w:rFonts w:ascii="Abadi" w:hAnsi="Abadi"/>
          <w:b/>
          <w:bCs/>
          <w:spacing w:val="-5"/>
          <w:sz w:val="21"/>
          <w:szCs w:val="21"/>
        </w:rPr>
        <w:t xml:space="preserve"> </w:t>
      </w:r>
      <w:r w:rsidRPr="00AD79C7">
        <w:rPr>
          <w:rFonts w:ascii="Abadi" w:hAnsi="Abadi"/>
          <w:b/>
          <w:bCs/>
          <w:sz w:val="21"/>
          <w:szCs w:val="21"/>
        </w:rPr>
        <w:t>la</w:t>
      </w:r>
      <w:r w:rsidRPr="00AD79C7">
        <w:rPr>
          <w:rFonts w:ascii="Abadi" w:hAnsi="Abadi"/>
          <w:b/>
          <w:bCs/>
          <w:spacing w:val="-5"/>
          <w:sz w:val="21"/>
          <w:szCs w:val="21"/>
        </w:rPr>
        <w:t xml:space="preserve"> </w:t>
      </w:r>
      <w:r w:rsidRPr="00AD79C7">
        <w:rPr>
          <w:rFonts w:ascii="Abadi" w:hAnsi="Abadi"/>
          <w:b/>
          <w:bCs/>
          <w:sz w:val="21"/>
          <w:szCs w:val="21"/>
        </w:rPr>
        <w:t>realización</w:t>
      </w:r>
      <w:r w:rsidRPr="00AD79C7">
        <w:rPr>
          <w:rFonts w:ascii="Abadi" w:hAnsi="Abadi"/>
          <w:b/>
          <w:bCs/>
          <w:spacing w:val="-5"/>
          <w:sz w:val="21"/>
          <w:szCs w:val="21"/>
        </w:rPr>
        <w:t xml:space="preserve"> </w:t>
      </w:r>
      <w:r w:rsidRPr="00AD79C7">
        <w:rPr>
          <w:rFonts w:ascii="Abadi" w:hAnsi="Abadi"/>
          <w:b/>
          <w:bCs/>
          <w:sz w:val="21"/>
          <w:szCs w:val="21"/>
        </w:rPr>
        <w:t>de</w:t>
      </w:r>
      <w:r w:rsidRPr="00AD79C7">
        <w:rPr>
          <w:rFonts w:ascii="Abadi" w:hAnsi="Abadi"/>
          <w:b/>
          <w:bCs/>
          <w:spacing w:val="-5"/>
          <w:sz w:val="21"/>
          <w:szCs w:val="21"/>
        </w:rPr>
        <w:t xml:space="preserve"> </w:t>
      </w:r>
      <w:r w:rsidRPr="00AD79C7">
        <w:rPr>
          <w:rFonts w:ascii="Abadi" w:hAnsi="Abadi"/>
          <w:b/>
          <w:bCs/>
          <w:sz w:val="21"/>
          <w:szCs w:val="21"/>
        </w:rPr>
        <w:t>una</w:t>
      </w:r>
      <w:r w:rsidRPr="00AD79C7">
        <w:rPr>
          <w:rFonts w:ascii="Abadi" w:hAnsi="Abadi"/>
          <w:b/>
          <w:bCs/>
          <w:spacing w:val="-5"/>
          <w:sz w:val="21"/>
          <w:szCs w:val="21"/>
        </w:rPr>
        <w:t xml:space="preserve"> </w:t>
      </w:r>
      <w:r w:rsidRPr="00AD79C7">
        <w:rPr>
          <w:rFonts w:ascii="Abadi" w:hAnsi="Abadi"/>
          <w:b/>
          <w:bCs/>
          <w:sz w:val="21"/>
          <w:szCs w:val="21"/>
        </w:rPr>
        <w:t>auditoría</w:t>
      </w:r>
      <w:r w:rsidRPr="00AD79C7">
        <w:rPr>
          <w:rFonts w:ascii="Abadi" w:hAnsi="Abadi"/>
          <w:b/>
          <w:bCs/>
          <w:spacing w:val="-1"/>
          <w:sz w:val="21"/>
          <w:szCs w:val="21"/>
        </w:rPr>
        <w:t xml:space="preserve"> </w:t>
      </w:r>
      <w:r w:rsidRPr="00AD79C7">
        <w:rPr>
          <w:rFonts w:ascii="Abadi" w:hAnsi="Abadi"/>
          <w:b/>
          <w:bCs/>
          <w:sz w:val="21"/>
          <w:szCs w:val="21"/>
        </w:rPr>
        <w:t>específica</w:t>
      </w:r>
      <w:r w:rsidRPr="00AD79C7">
        <w:rPr>
          <w:rFonts w:ascii="Abadi" w:hAnsi="Abadi"/>
          <w:b/>
          <w:bCs/>
          <w:spacing w:val="14"/>
          <w:sz w:val="21"/>
          <w:szCs w:val="21"/>
        </w:rPr>
        <w:t xml:space="preserve"> </w:t>
      </w:r>
      <w:r w:rsidRPr="00AD79C7">
        <w:rPr>
          <w:rFonts w:ascii="Abadi" w:hAnsi="Abadi"/>
          <w:b/>
          <w:bCs/>
          <w:sz w:val="21"/>
          <w:szCs w:val="21"/>
        </w:rPr>
        <w:t>respecto</w:t>
      </w:r>
      <w:r w:rsidRPr="00AD79C7">
        <w:rPr>
          <w:rFonts w:ascii="Abadi" w:hAnsi="Abadi"/>
          <w:b/>
          <w:bCs/>
          <w:spacing w:val="14"/>
          <w:sz w:val="21"/>
          <w:szCs w:val="21"/>
        </w:rPr>
        <w:t xml:space="preserve"> </w:t>
      </w:r>
      <w:r w:rsidRPr="00AD79C7">
        <w:rPr>
          <w:rFonts w:ascii="Abadi" w:hAnsi="Abadi"/>
          <w:b/>
          <w:bCs/>
          <w:sz w:val="21"/>
          <w:szCs w:val="21"/>
        </w:rPr>
        <w:t>de</w:t>
      </w:r>
      <w:r w:rsidRPr="00AD79C7">
        <w:rPr>
          <w:rFonts w:ascii="Abadi" w:hAnsi="Abadi"/>
          <w:b/>
          <w:bCs/>
          <w:spacing w:val="14"/>
          <w:sz w:val="21"/>
          <w:szCs w:val="21"/>
        </w:rPr>
        <w:t xml:space="preserve"> </w:t>
      </w:r>
      <w:r w:rsidRPr="00AD79C7">
        <w:rPr>
          <w:rFonts w:ascii="Abadi" w:hAnsi="Abadi"/>
          <w:b/>
          <w:bCs/>
          <w:sz w:val="21"/>
          <w:szCs w:val="21"/>
        </w:rPr>
        <w:t>todas</w:t>
      </w:r>
      <w:r w:rsidRPr="00AD79C7">
        <w:rPr>
          <w:rFonts w:ascii="Abadi" w:hAnsi="Abadi"/>
          <w:b/>
          <w:bCs/>
          <w:spacing w:val="14"/>
          <w:sz w:val="21"/>
          <w:szCs w:val="21"/>
        </w:rPr>
        <w:t xml:space="preserve"> </w:t>
      </w:r>
      <w:r w:rsidRPr="00AD79C7">
        <w:rPr>
          <w:rFonts w:ascii="Abadi" w:hAnsi="Abadi"/>
          <w:b/>
          <w:bCs/>
          <w:sz w:val="21"/>
          <w:szCs w:val="21"/>
        </w:rPr>
        <w:t>las</w:t>
      </w:r>
      <w:r w:rsidRPr="00AD79C7">
        <w:rPr>
          <w:rFonts w:ascii="Abadi" w:hAnsi="Abadi"/>
          <w:b/>
          <w:bCs/>
          <w:spacing w:val="14"/>
          <w:sz w:val="21"/>
          <w:szCs w:val="21"/>
        </w:rPr>
        <w:t xml:space="preserve"> </w:t>
      </w:r>
      <w:r w:rsidRPr="00AD79C7">
        <w:rPr>
          <w:rFonts w:ascii="Abadi" w:hAnsi="Abadi"/>
          <w:b/>
          <w:bCs/>
          <w:sz w:val="21"/>
          <w:szCs w:val="21"/>
        </w:rPr>
        <w:t>operaciones</w:t>
      </w:r>
      <w:r w:rsidRPr="00AD79C7">
        <w:rPr>
          <w:rFonts w:ascii="Abadi" w:hAnsi="Abadi"/>
          <w:b/>
          <w:bCs/>
          <w:spacing w:val="14"/>
          <w:sz w:val="21"/>
          <w:szCs w:val="21"/>
        </w:rPr>
        <w:t xml:space="preserve"> </w:t>
      </w:r>
      <w:r w:rsidRPr="00AD79C7">
        <w:rPr>
          <w:rFonts w:ascii="Abadi" w:hAnsi="Abadi"/>
          <w:b/>
          <w:bCs/>
          <w:sz w:val="21"/>
          <w:szCs w:val="21"/>
        </w:rPr>
        <w:t>realizadas</w:t>
      </w:r>
      <w:r w:rsidRPr="00AD79C7">
        <w:rPr>
          <w:rFonts w:ascii="Abadi" w:hAnsi="Abadi"/>
          <w:b/>
          <w:bCs/>
          <w:spacing w:val="14"/>
          <w:sz w:val="21"/>
          <w:szCs w:val="21"/>
        </w:rPr>
        <w:t xml:space="preserve"> </w:t>
      </w:r>
      <w:r w:rsidRPr="00AD79C7">
        <w:rPr>
          <w:rFonts w:ascii="Abadi" w:hAnsi="Abadi"/>
          <w:b/>
          <w:bCs/>
          <w:sz w:val="21"/>
          <w:szCs w:val="21"/>
        </w:rPr>
        <w:t>por</w:t>
      </w:r>
      <w:r w:rsidRPr="00AD79C7">
        <w:rPr>
          <w:rFonts w:ascii="Abadi" w:hAnsi="Abadi"/>
          <w:b/>
          <w:bCs/>
          <w:spacing w:val="14"/>
          <w:sz w:val="21"/>
          <w:szCs w:val="21"/>
        </w:rPr>
        <w:t xml:space="preserve"> </w:t>
      </w:r>
      <w:r w:rsidRPr="00AD79C7">
        <w:rPr>
          <w:rFonts w:ascii="Abadi" w:hAnsi="Abadi"/>
          <w:b/>
          <w:bCs/>
          <w:sz w:val="21"/>
          <w:szCs w:val="21"/>
        </w:rPr>
        <w:t>el</w:t>
      </w:r>
      <w:r w:rsidRPr="00AD79C7">
        <w:rPr>
          <w:rFonts w:ascii="Abadi" w:hAnsi="Abadi"/>
          <w:b/>
          <w:bCs/>
          <w:spacing w:val="14"/>
          <w:sz w:val="21"/>
          <w:szCs w:val="21"/>
        </w:rPr>
        <w:t xml:space="preserve"> </w:t>
      </w:r>
      <w:r w:rsidRPr="00AD79C7">
        <w:rPr>
          <w:rFonts w:ascii="Abadi" w:hAnsi="Abadi"/>
          <w:b/>
          <w:bCs/>
          <w:sz w:val="21"/>
          <w:szCs w:val="21"/>
        </w:rPr>
        <w:t>Instituto</w:t>
      </w:r>
      <w:r w:rsidRPr="00AD79C7">
        <w:rPr>
          <w:rFonts w:ascii="Abadi" w:hAnsi="Abadi"/>
          <w:b/>
          <w:bCs/>
          <w:spacing w:val="14"/>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2"/>
          <w:sz w:val="21"/>
          <w:szCs w:val="21"/>
        </w:rPr>
        <w:t xml:space="preserve"> </w:t>
      </w:r>
      <w:r w:rsidRPr="00AD79C7">
        <w:rPr>
          <w:rFonts w:ascii="Abadi" w:hAnsi="Abadi"/>
          <w:b/>
          <w:bCs/>
          <w:sz w:val="21"/>
          <w:szCs w:val="21"/>
        </w:rPr>
        <w:t>Juventud</w:t>
      </w:r>
      <w:r w:rsidRPr="00AD79C7">
        <w:rPr>
          <w:rFonts w:ascii="Abadi" w:hAnsi="Abadi"/>
          <w:b/>
          <w:bCs/>
          <w:spacing w:val="-2"/>
          <w:sz w:val="21"/>
          <w:szCs w:val="21"/>
        </w:rPr>
        <w:t xml:space="preserve"> </w:t>
      </w:r>
      <w:r w:rsidRPr="00AD79C7">
        <w:rPr>
          <w:rFonts w:ascii="Abadi" w:hAnsi="Abadi"/>
          <w:b/>
          <w:bCs/>
          <w:sz w:val="21"/>
          <w:szCs w:val="21"/>
        </w:rPr>
        <w:t>Guanajuatense</w:t>
      </w:r>
      <w:r w:rsidRPr="00AD79C7">
        <w:rPr>
          <w:rFonts w:ascii="Abadi" w:hAnsi="Abadi"/>
          <w:b/>
          <w:bCs/>
          <w:spacing w:val="-2"/>
          <w:sz w:val="21"/>
          <w:szCs w:val="21"/>
        </w:rPr>
        <w:t xml:space="preserve"> </w:t>
      </w:r>
      <w:r w:rsidRPr="00AD79C7">
        <w:rPr>
          <w:rFonts w:ascii="Abadi" w:hAnsi="Abadi"/>
          <w:b/>
          <w:bCs/>
          <w:sz w:val="21"/>
          <w:szCs w:val="21"/>
        </w:rPr>
        <w:t>correspondientes</w:t>
      </w:r>
      <w:r w:rsidRPr="00AD79C7">
        <w:rPr>
          <w:rFonts w:ascii="Abadi" w:hAnsi="Abadi"/>
          <w:b/>
          <w:bCs/>
          <w:spacing w:val="-2"/>
          <w:sz w:val="21"/>
          <w:szCs w:val="21"/>
        </w:rPr>
        <w:t xml:space="preserve"> </w:t>
      </w:r>
      <w:r w:rsidRPr="00AD79C7">
        <w:rPr>
          <w:rFonts w:ascii="Abadi" w:hAnsi="Abadi"/>
          <w:b/>
          <w:bCs/>
          <w:sz w:val="21"/>
          <w:szCs w:val="21"/>
        </w:rPr>
        <w:t>al</w:t>
      </w:r>
      <w:r w:rsidRPr="00AD79C7">
        <w:rPr>
          <w:rFonts w:ascii="Abadi" w:hAnsi="Abadi"/>
          <w:b/>
          <w:bCs/>
          <w:spacing w:val="-2"/>
          <w:sz w:val="21"/>
          <w:szCs w:val="21"/>
        </w:rPr>
        <w:t xml:space="preserve"> </w:t>
      </w:r>
      <w:r w:rsidRPr="00AD79C7">
        <w:rPr>
          <w:rFonts w:ascii="Abadi" w:hAnsi="Abadi"/>
          <w:b/>
          <w:bCs/>
          <w:sz w:val="21"/>
          <w:szCs w:val="21"/>
        </w:rPr>
        <w:t>periodo</w:t>
      </w:r>
      <w:r w:rsidRPr="00AD79C7">
        <w:rPr>
          <w:rFonts w:ascii="Abadi" w:hAnsi="Abadi"/>
          <w:b/>
          <w:bCs/>
          <w:spacing w:val="-2"/>
          <w:sz w:val="21"/>
          <w:szCs w:val="21"/>
        </w:rPr>
        <w:t xml:space="preserve"> </w:t>
      </w:r>
      <w:r w:rsidRPr="00AD79C7">
        <w:rPr>
          <w:rFonts w:ascii="Abadi" w:hAnsi="Abadi"/>
          <w:b/>
          <w:bCs/>
          <w:sz w:val="21"/>
          <w:szCs w:val="21"/>
        </w:rPr>
        <w:t>comprendido</w:t>
      </w:r>
      <w:r w:rsidRPr="00AD79C7">
        <w:rPr>
          <w:rFonts w:ascii="Abadi" w:hAnsi="Abadi"/>
          <w:b/>
          <w:bCs/>
          <w:spacing w:val="-2"/>
          <w:sz w:val="21"/>
          <w:szCs w:val="21"/>
        </w:rPr>
        <w:t xml:space="preserve"> </w:t>
      </w:r>
      <w:r w:rsidRPr="00AD79C7">
        <w:rPr>
          <w:rFonts w:ascii="Abadi" w:hAnsi="Abadi"/>
          <w:b/>
          <w:bCs/>
          <w:sz w:val="21"/>
          <w:szCs w:val="21"/>
        </w:rPr>
        <w:t>entre</w:t>
      </w:r>
      <w:r w:rsidRPr="00AD79C7">
        <w:rPr>
          <w:rFonts w:ascii="Abadi" w:hAnsi="Abadi"/>
          <w:b/>
          <w:bCs/>
          <w:spacing w:val="-1"/>
          <w:sz w:val="21"/>
          <w:szCs w:val="21"/>
        </w:rPr>
        <w:t xml:space="preserve"> </w:t>
      </w:r>
      <w:r w:rsidRPr="00AD79C7">
        <w:rPr>
          <w:rFonts w:ascii="Abadi" w:hAnsi="Abadi"/>
          <w:b/>
          <w:bCs/>
          <w:sz w:val="21"/>
          <w:szCs w:val="21"/>
        </w:rPr>
        <w:t>los</w:t>
      </w:r>
      <w:r w:rsidRPr="00AD79C7">
        <w:rPr>
          <w:rFonts w:ascii="Abadi" w:hAnsi="Abadi"/>
          <w:b/>
          <w:bCs/>
          <w:spacing w:val="-1"/>
          <w:sz w:val="21"/>
          <w:szCs w:val="21"/>
        </w:rPr>
        <w:t xml:space="preserve"> </w:t>
      </w:r>
      <w:r w:rsidRPr="00AD79C7">
        <w:rPr>
          <w:rFonts w:ascii="Abadi" w:hAnsi="Abadi"/>
          <w:b/>
          <w:bCs/>
          <w:sz w:val="21"/>
          <w:szCs w:val="21"/>
        </w:rPr>
        <w:t>años</w:t>
      </w:r>
      <w:r w:rsidRPr="00AD79C7">
        <w:rPr>
          <w:rFonts w:ascii="Abadi" w:hAnsi="Abadi"/>
          <w:b/>
          <w:bCs/>
          <w:spacing w:val="-1"/>
          <w:sz w:val="21"/>
          <w:szCs w:val="21"/>
        </w:rPr>
        <w:t xml:space="preserve"> </w:t>
      </w:r>
      <w:r w:rsidRPr="00AD79C7">
        <w:rPr>
          <w:rFonts w:ascii="Abadi" w:hAnsi="Abadi"/>
          <w:b/>
          <w:bCs/>
          <w:sz w:val="21"/>
          <w:szCs w:val="21"/>
        </w:rPr>
        <w:t>2015</w:t>
      </w:r>
      <w:r w:rsidRPr="00AD79C7">
        <w:rPr>
          <w:rFonts w:ascii="Abadi" w:hAnsi="Abadi"/>
          <w:b/>
          <w:bCs/>
          <w:spacing w:val="-1"/>
          <w:sz w:val="21"/>
          <w:szCs w:val="21"/>
        </w:rPr>
        <w:t xml:space="preserve"> </w:t>
      </w:r>
      <w:r w:rsidRPr="00AD79C7">
        <w:rPr>
          <w:rFonts w:ascii="Abadi" w:hAnsi="Abadi"/>
          <w:b/>
          <w:bCs/>
          <w:sz w:val="21"/>
          <w:szCs w:val="21"/>
        </w:rPr>
        <w:t>al</w:t>
      </w:r>
      <w:r w:rsidRPr="00AD79C7">
        <w:rPr>
          <w:rFonts w:ascii="Abadi" w:hAnsi="Abadi"/>
          <w:b/>
          <w:bCs/>
          <w:spacing w:val="-1"/>
          <w:sz w:val="21"/>
          <w:szCs w:val="21"/>
        </w:rPr>
        <w:t xml:space="preserve"> </w:t>
      </w:r>
      <w:r w:rsidRPr="00AD79C7">
        <w:rPr>
          <w:rFonts w:ascii="Abadi" w:hAnsi="Abadi"/>
          <w:b/>
          <w:bCs/>
          <w:sz w:val="21"/>
          <w:szCs w:val="21"/>
        </w:rPr>
        <w:t>2020.</w:t>
      </w:r>
    </w:p>
    <w:p w14:paraId="2F5AFEF0" w14:textId="77777777" w:rsidR="009572A4" w:rsidRPr="009572A4" w:rsidRDefault="009572A4" w:rsidP="006B00FD">
      <w:pPr>
        <w:pStyle w:val="Prrafodelista"/>
        <w:ind w:right="566"/>
        <w:rPr>
          <w:rFonts w:ascii="Abadi" w:hAnsi="Abadi"/>
          <w:b/>
          <w:bCs/>
          <w:sz w:val="21"/>
          <w:szCs w:val="21"/>
        </w:rPr>
      </w:pPr>
    </w:p>
    <w:p w14:paraId="7E0DB12B" w14:textId="3AD8A232" w:rsidR="009572A4" w:rsidRDefault="009572A4"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en</w:t>
      </w:r>
      <w:r w:rsidRPr="00AD79C7">
        <w:rPr>
          <w:rFonts w:ascii="Abadi" w:hAnsi="Abadi"/>
          <w:b/>
          <w:bCs/>
          <w:spacing w:val="10"/>
          <w:sz w:val="21"/>
          <w:szCs w:val="21"/>
        </w:rPr>
        <w:t xml:space="preserve"> </w:t>
      </w:r>
      <w:r w:rsidRPr="00AD79C7">
        <w:rPr>
          <w:rFonts w:ascii="Abadi" w:hAnsi="Abadi"/>
          <w:b/>
          <w:bCs/>
          <w:sz w:val="21"/>
          <w:szCs w:val="21"/>
        </w:rPr>
        <w:t>su</w:t>
      </w:r>
      <w:r w:rsidRPr="00AD79C7">
        <w:rPr>
          <w:rFonts w:ascii="Abadi" w:hAnsi="Abadi"/>
          <w:b/>
          <w:bCs/>
          <w:spacing w:val="10"/>
          <w:sz w:val="21"/>
          <w:szCs w:val="21"/>
        </w:rPr>
        <w:t xml:space="preserve"> </w:t>
      </w:r>
      <w:r w:rsidRPr="00AD79C7">
        <w:rPr>
          <w:rFonts w:ascii="Abadi" w:hAnsi="Abadi"/>
          <w:b/>
          <w:bCs/>
          <w:sz w:val="21"/>
          <w:szCs w:val="21"/>
        </w:rPr>
        <w:t>caso,</w:t>
      </w:r>
      <w:r w:rsidRPr="00AD79C7">
        <w:rPr>
          <w:rFonts w:ascii="Abadi" w:hAnsi="Abadi"/>
          <w:b/>
          <w:bCs/>
          <w:spacing w:val="10"/>
          <w:sz w:val="21"/>
          <w:szCs w:val="21"/>
        </w:rPr>
        <w:t xml:space="preserve"> </w:t>
      </w:r>
      <w:r w:rsidRPr="00AD79C7">
        <w:rPr>
          <w:rFonts w:ascii="Abadi" w:hAnsi="Abadi"/>
          <w:b/>
          <w:bCs/>
          <w:sz w:val="21"/>
          <w:szCs w:val="21"/>
        </w:rPr>
        <w:t>aprobación</w:t>
      </w:r>
      <w:r w:rsidRPr="00AD79C7">
        <w:rPr>
          <w:rFonts w:ascii="Abadi" w:hAnsi="Abadi"/>
          <w:b/>
          <w:bCs/>
          <w:spacing w:val="10"/>
          <w:sz w:val="21"/>
          <w:szCs w:val="21"/>
        </w:rPr>
        <w:t xml:space="preserve"> </w:t>
      </w:r>
      <w:r w:rsidRPr="00AD79C7">
        <w:rPr>
          <w:rFonts w:ascii="Abadi" w:hAnsi="Abadi"/>
          <w:b/>
          <w:bCs/>
          <w:sz w:val="21"/>
          <w:szCs w:val="21"/>
        </w:rPr>
        <w:t>del</w:t>
      </w:r>
      <w:r w:rsidRPr="00AD79C7">
        <w:rPr>
          <w:rFonts w:ascii="Abadi" w:hAnsi="Abadi"/>
          <w:b/>
          <w:bCs/>
          <w:spacing w:val="10"/>
          <w:sz w:val="21"/>
          <w:szCs w:val="21"/>
        </w:rPr>
        <w:t xml:space="preserve"> </w:t>
      </w:r>
      <w:r w:rsidRPr="00AD79C7">
        <w:rPr>
          <w:rFonts w:ascii="Abadi" w:hAnsi="Abadi"/>
          <w:b/>
          <w:bCs/>
          <w:sz w:val="21"/>
          <w:szCs w:val="21"/>
        </w:rPr>
        <w:t>dictamen</w:t>
      </w:r>
      <w:r w:rsidRPr="00AD79C7">
        <w:rPr>
          <w:rFonts w:ascii="Abadi" w:hAnsi="Abadi"/>
          <w:b/>
          <w:bCs/>
          <w:spacing w:val="10"/>
          <w:sz w:val="21"/>
          <w:szCs w:val="21"/>
        </w:rPr>
        <w:t xml:space="preserve"> </w:t>
      </w:r>
      <w:r w:rsidRPr="00AD79C7">
        <w:rPr>
          <w:rFonts w:ascii="Abadi" w:hAnsi="Abadi"/>
          <w:b/>
          <w:bCs/>
          <w:sz w:val="21"/>
          <w:szCs w:val="21"/>
        </w:rPr>
        <w:t>suscrito</w:t>
      </w:r>
      <w:r w:rsidRPr="00AD79C7">
        <w:rPr>
          <w:rFonts w:ascii="Abadi" w:hAnsi="Abadi"/>
          <w:b/>
          <w:bCs/>
          <w:spacing w:val="11"/>
          <w:sz w:val="21"/>
          <w:szCs w:val="21"/>
        </w:rPr>
        <w:t xml:space="preserve"> </w:t>
      </w:r>
      <w:r w:rsidRPr="00AD79C7">
        <w:rPr>
          <w:rFonts w:ascii="Abadi" w:hAnsi="Abadi"/>
          <w:b/>
          <w:bCs/>
          <w:sz w:val="21"/>
          <w:szCs w:val="21"/>
        </w:rPr>
        <w:t>por</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Comisión</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11"/>
          <w:sz w:val="21"/>
          <w:szCs w:val="21"/>
        </w:rPr>
        <w:t xml:space="preserve"> </w:t>
      </w:r>
      <w:r w:rsidRPr="00AD79C7">
        <w:rPr>
          <w:rFonts w:ascii="Abadi" w:hAnsi="Abadi"/>
          <w:b/>
          <w:bCs/>
          <w:sz w:val="21"/>
          <w:szCs w:val="21"/>
        </w:rPr>
        <w:t>Hacienda</w:t>
      </w:r>
      <w:r w:rsidRPr="00AD79C7">
        <w:rPr>
          <w:rFonts w:ascii="Abadi" w:hAnsi="Abadi"/>
          <w:b/>
          <w:bCs/>
          <w:spacing w:val="-11"/>
          <w:sz w:val="21"/>
          <w:szCs w:val="21"/>
        </w:rPr>
        <w:t xml:space="preserve"> </w:t>
      </w:r>
      <w:r w:rsidRPr="00AD79C7">
        <w:rPr>
          <w:rFonts w:ascii="Abadi" w:hAnsi="Abadi"/>
          <w:b/>
          <w:bCs/>
          <w:sz w:val="21"/>
          <w:szCs w:val="21"/>
        </w:rPr>
        <w:t>y</w:t>
      </w:r>
      <w:r w:rsidRPr="00AD79C7">
        <w:rPr>
          <w:rFonts w:ascii="Abadi" w:hAnsi="Abadi"/>
          <w:b/>
          <w:bCs/>
          <w:spacing w:val="-11"/>
          <w:sz w:val="21"/>
          <w:szCs w:val="21"/>
        </w:rPr>
        <w:t xml:space="preserve"> </w:t>
      </w:r>
      <w:r w:rsidRPr="00AD79C7">
        <w:rPr>
          <w:rFonts w:ascii="Abadi" w:hAnsi="Abadi"/>
          <w:b/>
          <w:bCs/>
          <w:sz w:val="21"/>
          <w:szCs w:val="21"/>
        </w:rPr>
        <w:t>Fiscalización</w:t>
      </w:r>
      <w:r w:rsidRPr="00AD79C7">
        <w:rPr>
          <w:rFonts w:ascii="Abadi" w:hAnsi="Abadi"/>
          <w:b/>
          <w:bCs/>
          <w:spacing w:val="-11"/>
          <w:sz w:val="21"/>
          <w:szCs w:val="21"/>
        </w:rPr>
        <w:t xml:space="preserve"> </w:t>
      </w:r>
      <w:r w:rsidRPr="00AD79C7">
        <w:rPr>
          <w:rFonts w:ascii="Abadi" w:hAnsi="Abadi"/>
          <w:b/>
          <w:bCs/>
          <w:sz w:val="21"/>
          <w:szCs w:val="21"/>
        </w:rPr>
        <w:t>relativo</w:t>
      </w:r>
      <w:r w:rsidRPr="00AD79C7">
        <w:rPr>
          <w:rFonts w:ascii="Abadi" w:hAnsi="Abadi"/>
          <w:b/>
          <w:bCs/>
          <w:spacing w:val="-11"/>
          <w:sz w:val="21"/>
          <w:szCs w:val="21"/>
        </w:rPr>
        <w:t xml:space="preserve"> </w:t>
      </w:r>
      <w:r w:rsidRPr="00AD79C7">
        <w:rPr>
          <w:rFonts w:ascii="Abadi" w:hAnsi="Abadi"/>
          <w:b/>
          <w:bCs/>
          <w:sz w:val="21"/>
          <w:szCs w:val="21"/>
        </w:rPr>
        <w:t>a</w:t>
      </w:r>
      <w:r w:rsidRPr="00AD79C7">
        <w:rPr>
          <w:rFonts w:ascii="Abadi" w:hAnsi="Abadi"/>
          <w:b/>
          <w:bCs/>
          <w:spacing w:val="-11"/>
          <w:sz w:val="21"/>
          <w:szCs w:val="21"/>
        </w:rPr>
        <w:t xml:space="preserve"> </w:t>
      </w:r>
      <w:r w:rsidRPr="00AD79C7">
        <w:rPr>
          <w:rFonts w:ascii="Abadi" w:hAnsi="Abadi"/>
          <w:b/>
          <w:bCs/>
          <w:sz w:val="21"/>
          <w:szCs w:val="21"/>
        </w:rPr>
        <w:t>dos</w:t>
      </w:r>
      <w:r w:rsidRPr="00AD79C7">
        <w:rPr>
          <w:rFonts w:ascii="Abadi" w:hAnsi="Abadi"/>
          <w:b/>
          <w:bCs/>
          <w:spacing w:val="-11"/>
          <w:sz w:val="21"/>
          <w:szCs w:val="21"/>
        </w:rPr>
        <w:t xml:space="preserve"> </w:t>
      </w:r>
      <w:r w:rsidRPr="00AD79C7">
        <w:rPr>
          <w:rFonts w:ascii="Abadi" w:hAnsi="Abadi"/>
          <w:b/>
          <w:bCs/>
          <w:sz w:val="21"/>
          <w:szCs w:val="21"/>
        </w:rPr>
        <w:t>propuestas</w:t>
      </w:r>
      <w:r w:rsidRPr="00AD79C7">
        <w:rPr>
          <w:rFonts w:ascii="Abadi" w:hAnsi="Abadi"/>
          <w:b/>
          <w:bCs/>
          <w:spacing w:val="-11"/>
          <w:sz w:val="21"/>
          <w:szCs w:val="21"/>
        </w:rPr>
        <w:t xml:space="preserve"> </w:t>
      </w:r>
      <w:r w:rsidRPr="00AD79C7">
        <w:rPr>
          <w:rFonts w:ascii="Abadi" w:hAnsi="Abadi"/>
          <w:b/>
          <w:bCs/>
          <w:sz w:val="21"/>
          <w:szCs w:val="21"/>
        </w:rPr>
        <w:t>de</w:t>
      </w:r>
      <w:r w:rsidRPr="00AD79C7">
        <w:rPr>
          <w:rFonts w:ascii="Abadi" w:hAnsi="Abadi"/>
          <w:b/>
          <w:bCs/>
          <w:spacing w:val="-11"/>
          <w:sz w:val="21"/>
          <w:szCs w:val="21"/>
        </w:rPr>
        <w:t xml:space="preserve"> </w:t>
      </w:r>
      <w:r w:rsidRPr="00AD79C7">
        <w:rPr>
          <w:rFonts w:ascii="Abadi" w:hAnsi="Abadi"/>
          <w:b/>
          <w:bCs/>
          <w:sz w:val="21"/>
          <w:szCs w:val="21"/>
        </w:rPr>
        <w:t>puntos</w:t>
      </w:r>
      <w:r w:rsidRPr="00AD79C7">
        <w:rPr>
          <w:rFonts w:ascii="Abadi" w:hAnsi="Abadi"/>
          <w:b/>
          <w:bCs/>
          <w:spacing w:val="-11"/>
          <w:sz w:val="21"/>
          <w:szCs w:val="21"/>
        </w:rPr>
        <w:t xml:space="preserve"> </w:t>
      </w:r>
      <w:r w:rsidRPr="00AD79C7">
        <w:rPr>
          <w:rFonts w:ascii="Abadi" w:hAnsi="Abadi"/>
          <w:b/>
          <w:bCs/>
          <w:sz w:val="21"/>
          <w:szCs w:val="21"/>
        </w:rPr>
        <w:t>de</w:t>
      </w:r>
      <w:r w:rsidRPr="00AD79C7">
        <w:rPr>
          <w:rFonts w:ascii="Abadi" w:hAnsi="Abadi"/>
          <w:b/>
          <w:bCs/>
          <w:spacing w:val="-11"/>
          <w:sz w:val="21"/>
          <w:szCs w:val="21"/>
        </w:rPr>
        <w:t xml:space="preserve"> </w:t>
      </w:r>
      <w:r w:rsidRPr="00AD79C7">
        <w:rPr>
          <w:rFonts w:ascii="Abadi" w:hAnsi="Abadi"/>
          <w:b/>
          <w:bCs/>
          <w:sz w:val="21"/>
          <w:szCs w:val="21"/>
        </w:rPr>
        <w:t>acuerdo</w:t>
      </w:r>
      <w:r w:rsidRPr="00AD79C7">
        <w:rPr>
          <w:rFonts w:ascii="Abadi" w:hAnsi="Abadi"/>
          <w:b/>
          <w:bCs/>
          <w:spacing w:val="-2"/>
          <w:sz w:val="21"/>
          <w:szCs w:val="21"/>
        </w:rPr>
        <w:t xml:space="preserve"> </w:t>
      </w:r>
      <w:r w:rsidRPr="00AD79C7">
        <w:rPr>
          <w:rFonts w:ascii="Abadi" w:hAnsi="Abadi"/>
          <w:b/>
          <w:bCs/>
          <w:sz w:val="21"/>
          <w:szCs w:val="21"/>
        </w:rPr>
        <w:t>formuladas,</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9"/>
          <w:sz w:val="21"/>
          <w:szCs w:val="21"/>
        </w:rPr>
        <w:t xml:space="preserve"> </w:t>
      </w:r>
      <w:r w:rsidRPr="00AD79C7">
        <w:rPr>
          <w:rFonts w:ascii="Abadi" w:hAnsi="Abadi"/>
          <w:b/>
          <w:bCs/>
          <w:sz w:val="21"/>
          <w:szCs w:val="21"/>
        </w:rPr>
        <w:t>primera,</w:t>
      </w:r>
      <w:r w:rsidRPr="00AD79C7">
        <w:rPr>
          <w:rFonts w:ascii="Abadi" w:hAnsi="Abadi"/>
          <w:b/>
          <w:bCs/>
          <w:spacing w:val="9"/>
          <w:sz w:val="21"/>
          <w:szCs w:val="21"/>
        </w:rPr>
        <w:t xml:space="preserve"> </w:t>
      </w:r>
      <w:r w:rsidRPr="00AD79C7">
        <w:rPr>
          <w:rFonts w:ascii="Abadi" w:hAnsi="Abadi"/>
          <w:b/>
          <w:bCs/>
          <w:sz w:val="21"/>
          <w:szCs w:val="21"/>
        </w:rPr>
        <w:t>por</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9"/>
          <w:sz w:val="21"/>
          <w:szCs w:val="21"/>
        </w:rPr>
        <w:t xml:space="preserve"> </w:t>
      </w:r>
      <w:r w:rsidRPr="00AD79C7">
        <w:rPr>
          <w:rFonts w:ascii="Abadi" w:hAnsi="Abadi"/>
          <w:b/>
          <w:bCs/>
          <w:sz w:val="21"/>
          <w:szCs w:val="21"/>
        </w:rPr>
        <w:t>diputada</w:t>
      </w:r>
      <w:r w:rsidRPr="00AD79C7">
        <w:rPr>
          <w:rFonts w:ascii="Abadi" w:hAnsi="Abadi"/>
          <w:b/>
          <w:bCs/>
          <w:spacing w:val="9"/>
          <w:sz w:val="21"/>
          <w:szCs w:val="21"/>
        </w:rPr>
        <w:t xml:space="preserve"> </w:t>
      </w:r>
      <w:r w:rsidRPr="00AD79C7">
        <w:rPr>
          <w:rFonts w:ascii="Abadi" w:hAnsi="Abadi"/>
          <w:b/>
          <w:bCs/>
          <w:sz w:val="21"/>
          <w:szCs w:val="21"/>
        </w:rPr>
        <w:t>y</w:t>
      </w:r>
      <w:r w:rsidRPr="00AD79C7">
        <w:rPr>
          <w:rFonts w:ascii="Abadi" w:hAnsi="Abadi"/>
          <w:b/>
          <w:bCs/>
          <w:spacing w:val="9"/>
          <w:sz w:val="21"/>
          <w:szCs w:val="21"/>
        </w:rPr>
        <w:t xml:space="preserve"> </w:t>
      </w:r>
      <w:r w:rsidRPr="00AD79C7">
        <w:rPr>
          <w:rFonts w:ascii="Abadi" w:hAnsi="Abadi"/>
          <w:b/>
          <w:bCs/>
          <w:sz w:val="21"/>
          <w:szCs w:val="21"/>
        </w:rPr>
        <w:t>el</w:t>
      </w:r>
      <w:r w:rsidRPr="00AD79C7">
        <w:rPr>
          <w:rFonts w:ascii="Abadi" w:hAnsi="Abadi"/>
          <w:b/>
          <w:bCs/>
          <w:spacing w:val="9"/>
          <w:sz w:val="21"/>
          <w:szCs w:val="21"/>
        </w:rPr>
        <w:t xml:space="preserve"> </w:t>
      </w:r>
      <w:r w:rsidRPr="00AD79C7">
        <w:rPr>
          <w:rFonts w:ascii="Abadi" w:hAnsi="Abadi"/>
          <w:b/>
          <w:bCs/>
          <w:sz w:val="21"/>
          <w:szCs w:val="21"/>
        </w:rPr>
        <w:t>diputado</w:t>
      </w:r>
      <w:r w:rsidRPr="00AD79C7">
        <w:rPr>
          <w:rFonts w:ascii="Abadi" w:hAnsi="Abadi"/>
          <w:b/>
          <w:bCs/>
          <w:spacing w:val="9"/>
          <w:sz w:val="21"/>
          <w:szCs w:val="21"/>
        </w:rPr>
        <w:t xml:space="preserve"> </w:t>
      </w:r>
      <w:r w:rsidRPr="00AD79C7">
        <w:rPr>
          <w:rFonts w:ascii="Abadi" w:hAnsi="Abadi"/>
          <w:b/>
          <w:bCs/>
          <w:sz w:val="21"/>
          <w:szCs w:val="21"/>
        </w:rPr>
        <w:t>integrantes</w:t>
      </w:r>
      <w:r w:rsidRPr="00AD79C7">
        <w:rPr>
          <w:rFonts w:ascii="Abadi" w:hAnsi="Abadi"/>
          <w:b/>
          <w:bCs/>
          <w:spacing w:val="9"/>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Grupo</w:t>
      </w:r>
      <w:r w:rsidRPr="00AD79C7">
        <w:rPr>
          <w:rFonts w:ascii="Abadi" w:hAnsi="Abadi"/>
          <w:b/>
          <w:bCs/>
          <w:spacing w:val="-2"/>
          <w:sz w:val="21"/>
          <w:szCs w:val="21"/>
        </w:rPr>
        <w:t xml:space="preserve"> </w:t>
      </w:r>
      <w:r w:rsidRPr="00AD79C7">
        <w:rPr>
          <w:rFonts w:ascii="Abadi" w:hAnsi="Abadi"/>
          <w:b/>
          <w:bCs/>
          <w:sz w:val="21"/>
          <w:szCs w:val="21"/>
        </w:rPr>
        <w:t>Parlamentario del Partido Verde Ecologista de</w:t>
      </w:r>
      <w:r w:rsidRPr="00AD79C7">
        <w:rPr>
          <w:rFonts w:ascii="Abadi" w:hAnsi="Abadi"/>
          <w:b/>
          <w:bCs/>
          <w:spacing w:val="3"/>
          <w:sz w:val="21"/>
          <w:szCs w:val="21"/>
        </w:rPr>
        <w:t xml:space="preserve"> </w:t>
      </w:r>
      <w:r w:rsidRPr="00AD79C7">
        <w:rPr>
          <w:rFonts w:ascii="Abadi" w:hAnsi="Abadi"/>
          <w:b/>
          <w:bCs/>
          <w:sz w:val="21"/>
          <w:szCs w:val="21"/>
        </w:rPr>
        <w:t>México; y la segunda, por la</w:t>
      </w:r>
      <w:r w:rsidRPr="00AD79C7">
        <w:rPr>
          <w:rFonts w:ascii="Abadi" w:hAnsi="Abadi"/>
          <w:b/>
          <w:bCs/>
          <w:spacing w:val="-2"/>
          <w:sz w:val="21"/>
          <w:szCs w:val="21"/>
        </w:rPr>
        <w:t xml:space="preserve"> </w:t>
      </w:r>
      <w:r w:rsidRPr="00AD79C7">
        <w:rPr>
          <w:rFonts w:ascii="Abadi" w:hAnsi="Abadi"/>
          <w:b/>
          <w:bCs/>
          <w:sz w:val="21"/>
          <w:szCs w:val="21"/>
        </w:rPr>
        <w:t>diputada</w:t>
      </w:r>
      <w:r w:rsidRPr="00AD79C7">
        <w:rPr>
          <w:rFonts w:ascii="Abadi" w:hAnsi="Abadi"/>
          <w:b/>
          <w:bCs/>
          <w:spacing w:val="36"/>
          <w:sz w:val="21"/>
          <w:szCs w:val="21"/>
        </w:rPr>
        <w:t xml:space="preserve">  </w:t>
      </w:r>
      <w:r w:rsidRPr="00AD79C7">
        <w:rPr>
          <w:rFonts w:ascii="Abadi" w:hAnsi="Abadi"/>
          <w:b/>
          <w:bCs/>
          <w:sz w:val="21"/>
          <w:szCs w:val="21"/>
        </w:rPr>
        <w:t>Alma</w:t>
      </w:r>
      <w:r w:rsidRPr="00AD79C7">
        <w:rPr>
          <w:rFonts w:ascii="Abadi" w:hAnsi="Abadi"/>
          <w:b/>
          <w:bCs/>
          <w:spacing w:val="36"/>
          <w:sz w:val="21"/>
          <w:szCs w:val="21"/>
        </w:rPr>
        <w:t xml:space="preserve">  </w:t>
      </w:r>
      <w:r w:rsidRPr="00AD79C7">
        <w:rPr>
          <w:rFonts w:ascii="Abadi" w:hAnsi="Abadi"/>
          <w:b/>
          <w:bCs/>
          <w:sz w:val="21"/>
          <w:szCs w:val="21"/>
        </w:rPr>
        <w:t>Edwviges</w:t>
      </w:r>
      <w:r w:rsidRPr="00AD79C7">
        <w:rPr>
          <w:rFonts w:ascii="Abadi" w:hAnsi="Abadi"/>
          <w:b/>
          <w:bCs/>
          <w:spacing w:val="36"/>
          <w:sz w:val="21"/>
          <w:szCs w:val="21"/>
        </w:rPr>
        <w:t xml:space="preserve">  </w:t>
      </w:r>
      <w:r w:rsidRPr="00AD79C7">
        <w:rPr>
          <w:rFonts w:ascii="Abadi" w:hAnsi="Abadi"/>
          <w:b/>
          <w:bCs/>
          <w:sz w:val="21"/>
          <w:szCs w:val="21"/>
        </w:rPr>
        <w:t>Alcaraz</w:t>
      </w:r>
      <w:r w:rsidRPr="00AD79C7">
        <w:rPr>
          <w:rFonts w:ascii="Abadi" w:hAnsi="Abadi"/>
          <w:b/>
          <w:bCs/>
          <w:spacing w:val="36"/>
          <w:sz w:val="21"/>
          <w:szCs w:val="21"/>
        </w:rPr>
        <w:t xml:space="preserve">  </w:t>
      </w:r>
      <w:r w:rsidRPr="00AD79C7">
        <w:rPr>
          <w:rFonts w:ascii="Abadi" w:hAnsi="Abadi"/>
          <w:b/>
          <w:bCs/>
          <w:sz w:val="21"/>
          <w:szCs w:val="21"/>
        </w:rPr>
        <w:t>Hernández,</w:t>
      </w:r>
      <w:r w:rsidRPr="00AD79C7">
        <w:rPr>
          <w:rFonts w:ascii="Abadi" w:hAnsi="Abadi"/>
          <w:b/>
          <w:bCs/>
          <w:spacing w:val="36"/>
          <w:sz w:val="21"/>
          <w:szCs w:val="21"/>
        </w:rPr>
        <w:t xml:space="preserve">  </w:t>
      </w:r>
      <w:r w:rsidRPr="00AD79C7">
        <w:rPr>
          <w:rFonts w:ascii="Abadi" w:hAnsi="Abadi"/>
          <w:b/>
          <w:bCs/>
          <w:sz w:val="21"/>
          <w:szCs w:val="21"/>
        </w:rPr>
        <w:t>integrante</w:t>
      </w:r>
      <w:r w:rsidRPr="00AD79C7">
        <w:rPr>
          <w:rFonts w:ascii="Abadi" w:hAnsi="Abadi"/>
          <w:b/>
          <w:bCs/>
          <w:spacing w:val="36"/>
          <w:sz w:val="21"/>
          <w:szCs w:val="21"/>
        </w:rPr>
        <w:t xml:space="preserve">  </w:t>
      </w:r>
      <w:r w:rsidRPr="00AD79C7">
        <w:rPr>
          <w:rFonts w:ascii="Abadi" w:hAnsi="Abadi"/>
          <w:b/>
          <w:bCs/>
          <w:sz w:val="21"/>
          <w:szCs w:val="21"/>
        </w:rPr>
        <w:t>del</w:t>
      </w:r>
      <w:r w:rsidRPr="00AD79C7">
        <w:rPr>
          <w:rFonts w:ascii="Abadi" w:hAnsi="Abadi"/>
          <w:b/>
          <w:bCs/>
          <w:spacing w:val="36"/>
          <w:sz w:val="21"/>
          <w:szCs w:val="21"/>
        </w:rPr>
        <w:t xml:space="preserve">  </w:t>
      </w:r>
      <w:r w:rsidRPr="00AD79C7">
        <w:rPr>
          <w:rFonts w:ascii="Abadi" w:hAnsi="Abadi"/>
          <w:b/>
          <w:bCs/>
          <w:sz w:val="21"/>
          <w:szCs w:val="21"/>
        </w:rPr>
        <w:t>Grupo</w:t>
      </w:r>
      <w:r w:rsidRPr="00AD79C7">
        <w:rPr>
          <w:rFonts w:ascii="Abadi" w:hAnsi="Abadi"/>
          <w:b/>
          <w:bCs/>
          <w:spacing w:val="-2"/>
          <w:sz w:val="21"/>
          <w:szCs w:val="21"/>
        </w:rPr>
        <w:t xml:space="preserve"> </w:t>
      </w:r>
      <w:r w:rsidRPr="00AD79C7">
        <w:rPr>
          <w:rFonts w:ascii="Abadi" w:hAnsi="Abadi"/>
          <w:b/>
          <w:bCs/>
          <w:sz w:val="21"/>
          <w:szCs w:val="21"/>
        </w:rPr>
        <w:t>Parlamentario</w:t>
      </w:r>
      <w:r w:rsidRPr="00AD79C7">
        <w:rPr>
          <w:rFonts w:ascii="Abadi" w:hAnsi="Abadi"/>
          <w:b/>
          <w:bCs/>
          <w:spacing w:val="34"/>
          <w:sz w:val="21"/>
          <w:szCs w:val="21"/>
        </w:rPr>
        <w:t xml:space="preserve"> </w:t>
      </w:r>
      <w:r w:rsidRPr="00AD79C7">
        <w:rPr>
          <w:rFonts w:ascii="Abadi" w:hAnsi="Abadi"/>
          <w:b/>
          <w:bCs/>
          <w:sz w:val="21"/>
          <w:szCs w:val="21"/>
        </w:rPr>
        <w:t>del</w:t>
      </w:r>
      <w:r w:rsidRPr="00AD79C7">
        <w:rPr>
          <w:rFonts w:ascii="Abadi" w:hAnsi="Abadi"/>
          <w:b/>
          <w:bCs/>
          <w:spacing w:val="34"/>
          <w:sz w:val="21"/>
          <w:szCs w:val="21"/>
        </w:rPr>
        <w:t xml:space="preserve"> </w:t>
      </w:r>
      <w:r w:rsidRPr="00AD79C7">
        <w:rPr>
          <w:rFonts w:ascii="Abadi" w:hAnsi="Abadi"/>
          <w:b/>
          <w:bCs/>
          <w:sz w:val="21"/>
          <w:szCs w:val="21"/>
        </w:rPr>
        <w:t>Partido</w:t>
      </w:r>
      <w:r w:rsidRPr="00AD79C7">
        <w:rPr>
          <w:rFonts w:ascii="Abadi" w:hAnsi="Abadi"/>
          <w:b/>
          <w:bCs/>
          <w:spacing w:val="35"/>
          <w:sz w:val="21"/>
          <w:szCs w:val="21"/>
        </w:rPr>
        <w:t xml:space="preserve"> </w:t>
      </w:r>
      <w:r w:rsidRPr="00AD79C7">
        <w:rPr>
          <w:rFonts w:ascii="Abadi" w:hAnsi="Abadi"/>
          <w:b/>
          <w:bCs/>
          <w:sz w:val="21"/>
          <w:szCs w:val="21"/>
        </w:rPr>
        <w:t>MORENA,</w:t>
      </w:r>
      <w:r w:rsidRPr="00AD79C7">
        <w:rPr>
          <w:rFonts w:ascii="Abadi" w:hAnsi="Abadi"/>
          <w:b/>
          <w:bCs/>
          <w:spacing w:val="34"/>
          <w:sz w:val="21"/>
          <w:szCs w:val="21"/>
        </w:rPr>
        <w:t xml:space="preserve"> </w:t>
      </w:r>
      <w:r w:rsidRPr="00AD79C7">
        <w:rPr>
          <w:rFonts w:ascii="Abadi" w:hAnsi="Abadi"/>
          <w:b/>
          <w:bCs/>
          <w:sz w:val="21"/>
          <w:szCs w:val="21"/>
        </w:rPr>
        <w:t>ambas</w:t>
      </w:r>
      <w:r w:rsidRPr="00AD79C7">
        <w:rPr>
          <w:rFonts w:ascii="Abadi" w:hAnsi="Abadi"/>
          <w:b/>
          <w:bCs/>
          <w:spacing w:val="34"/>
          <w:sz w:val="21"/>
          <w:szCs w:val="21"/>
        </w:rPr>
        <w:t xml:space="preserve"> </w:t>
      </w:r>
      <w:r w:rsidRPr="00AD79C7">
        <w:rPr>
          <w:rFonts w:ascii="Abadi" w:hAnsi="Abadi"/>
          <w:b/>
          <w:bCs/>
          <w:sz w:val="21"/>
          <w:szCs w:val="21"/>
        </w:rPr>
        <w:t>a</w:t>
      </w:r>
      <w:r w:rsidRPr="00AD79C7">
        <w:rPr>
          <w:rFonts w:ascii="Abadi" w:hAnsi="Abadi"/>
          <w:b/>
          <w:bCs/>
          <w:spacing w:val="34"/>
          <w:sz w:val="21"/>
          <w:szCs w:val="21"/>
        </w:rPr>
        <w:t xml:space="preserve"> </w:t>
      </w:r>
      <w:r w:rsidRPr="00AD79C7">
        <w:rPr>
          <w:rFonts w:ascii="Abadi" w:hAnsi="Abadi"/>
          <w:b/>
          <w:bCs/>
          <w:sz w:val="21"/>
          <w:szCs w:val="21"/>
        </w:rPr>
        <w:t>efecto</w:t>
      </w:r>
      <w:r w:rsidRPr="00AD79C7">
        <w:rPr>
          <w:rFonts w:ascii="Abadi" w:hAnsi="Abadi"/>
          <w:b/>
          <w:bCs/>
          <w:spacing w:val="35"/>
          <w:sz w:val="21"/>
          <w:szCs w:val="21"/>
        </w:rPr>
        <w:t xml:space="preserve"> </w:t>
      </w:r>
      <w:r w:rsidRPr="00AD79C7">
        <w:rPr>
          <w:rFonts w:ascii="Abadi" w:hAnsi="Abadi"/>
          <w:b/>
          <w:bCs/>
          <w:sz w:val="21"/>
          <w:szCs w:val="21"/>
        </w:rPr>
        <w:t>de</w:t>
      </w:r>
      <w:r w:rsidRPr="00AD79C7">
        <w:rPr>
          <w:rFonts w:ascii="Abadi" w:hAnsi="Abadi"/>
          <w:b/>
          <w:bCs/>
          <w:spacing w:val="34"/>
          <w:sz w:val="21"/>
          <w:szCs w:val="21"/>
        </w:rPr>
        <w:t xml:space="preserve"> </w:t>
      </w:r>
      <w:r w:rsidRPr="00AD79C7">
        <w:rPr>
          <w:rFonts w:ascii="Abadi" w:hAnsi="Abadi"/>
          <w:b/>
          <w:bCs/>
          <w:sz w:val="21"/>
          <w:szCs w:val="21"/>
        </w:rPr>
        <w:t>que</w:t>
      </w:r>
      <w:r w:rsidRPr="00AD79C7">
        <w:rPr>
          <w:rFonts w:ascii="Abadi" w:hAnsi="Abadi"/>
          <w:b/>
          <w:bCs/>
          <w:spacing w:val="34"/>
          <w:sz w:val="21"/>
          <w:szCs w:val="21"/>
        </w:rPr>
        <w:t xml:space="preserve"> </w:t>
      </w:r>
      <w:r w:rsidRPr="00AD79C7">
        <w:rPr>
          <w:rFonts w:ascii="Abadi" w:hAnsi="Abadi"/>
          <w:b/>
          <w:bCs/>
          <w:sz w:val="21"/>
          <w:szCs w:val="21"/>
        </w:rPr>
        <w:t>la</w:t>
      </w:r>
      <w:r w:rsidRPr="00AD79C7">
        <w:rPr>
          <w:rFonts w:ascii="Abadi" w:hAnsi="Abadi"/>
          <w:b/>
          <w:bCs/>
          <w:spacing w:val="35"/>
          <w:sz w:val="21"/>
          <w:szCs w:val="21"/>
        </w:rPr>
        <w:t xml:space="preserve"> </w:t>
      </w:r>
      <w:r w:rsidRPr="00AD79C7">
        <w:rPr>
          <w:rFonts w:ascii="Abadi" w:hAnsi="Abadi"/>
          <w:b/>
          <w:bCs/>
          <w:sz w:val="21"/>
          <w:szCs w:val="21"/>
        </w:rPr>
        <w:t>Auditoría</w:t>
      </w:r>
      <w:r w:rsidRPr="00AD79C7">
        <w:rPr>
          <w:rFonts w:ascii="Abadi" w:hAnsi="Abadi"/>
          <w:b/>
          <w:bCs/>
          <w:spacing w:val="-2"/>
          <w:sz w:val="21"/>
          <w:szCs w:val="21"/>
        </w:rPr>
        <w:t xml:space="preserve"> </w:t>
      </w:r>
      <w:r w:rsidRPr="00AD79C7">
        <w:rPr>
          <w:rFonts w:ascii="Abadi" w:hAnsi="Abadi"/>
          <w:b/>
          <w:bCs/>
          <w:sz w:val="21"/>
          <w:szCs w:val="21"/>
        </w:rPr>
        <w:t>Superior</w:t>
      </w:r>
      <w:r w:rsidRPr="00AD79C7">
        <w:rPr>
          <w:rFonts w:ascii="Abadi" w:hAnsi="Abadi"/>
          <w:b/>
          <w:bCs/>
          <w:spacing w:val="11"/>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Estado</w:t>
      </w:r>
      <w:r w:rsidRPr="00AD79C7">
        <w:rPr>
          <w:rFonts w:ascii="Abadi" w:hAnsi="Abadi"/>
          <w:b/>
          <w:bCs/>
          <w:spacing w:val="11"/>
          <w:sz w:val="21"/>
          <w:szCs w:val="21"/>
        </w:rPr>
        <w:t xml:space="preserve"> </w:t>
      </w:r>
      <w:r w:rsidRPr="00AD79C7">
        <w:rPr>
          <w:rFonts w:ascii="Abadi" w:hAnsi="Abadi"/>
          <w:b/>
          <w:bCs/>
          <w:sz w:val="21"/>
          <w:szCs w:val="21"/>
        </w:rPr>
        <w:t>de</w:t>
      </w:r>
      <w:r w:rsidRPr="00AD79C7">
        <w:rPr>
          <w:rFonts w:ascii="Abadi" w:hAnsi="Abadi"/>
          <w:b/>
          <w:bCs/>
          <w:spacing w:val="12"/>
          <w:sz w:val="21"/>
          <w:szCs w:val="21"/>
        </w:rPr>
        <w:t xml:space="preserve"> </w:t>
      </w:r>
      <w:r w:rsidRPr="00AD79C7">
        <w:rPr>
          <w:rFonts w:ascii="Abadi" w:hAnsi="Abadi"/>
          <w:b/>
          <w:bCs/>
          <w:sz w:val="21"/>
          <w:szCs w:val="21"/>
        </w:rPr>
        <w:t>Guanajuato</w:t>
      </w:r>
      <w:r w:rsidRPr="00AD79C7">
        <w:rPr>
          <w:rFonts w:ascii="Abadi" w:hAnsi="Abadi"/>
          <w:b/>
          <w:bCs/>
          <w:spacing w:val="12"/>
          <w:sz w:val="21"/>
          <w:szCs w:val="21"/>
        </w:rPr>
        <w:t xml:space="preserve"> </w:t>
      </w:r>
      <w:r w:rsidRPr="00AD79C7">
        <w:rPr>
          <w:rFonts w:ascii="Abadi" w:hAnsi="Abadi"/>
          <w:b/>
          <w:bCs/>
          <w:sz w:val="21"/>
          <w:szCs w:val="21"/>
        </w:rPr>
        <w:t>lleve</w:t>
      </w:r>
      <w:r w:rsidRPr="00AD79C7">
        <w:rPr>
          <w:rFonts w:ascii="Abadi" w:hAnsi="Abadi"/>
          <w:b/>
          <w:bCs/>
          <w:spacing w:val="12"/>
          <w:sz w:val="21"/>
          <w:szCs w:val="21"/>
        </w:rPr>
        <w:t xml:space="preserve"> </w:t>
      </w:r>
      <w:r w:rsidRPr="00AD79C7">
        <w:rPr>
          <w:rFonts w:ascii="Abadi" w:hAnsi="Abadi"/>
          <w:b/>
          <w:bCs/>
          <w:sz w:val="21"/>
          <w:szCs w:val="21"/>
        </w:rPr>
        <w:t>a</w:t>
      </w:r>
      <w:r w:rsidRPr="00AD79C7">
        <w:rPr>
          <w:rFonts w:ascii="Abadi" w:hAnsi="Abadi"/>
          <w:b/>
          <w:bCs/>
          <w:spacing w:val="12"/>
          <w:sz w:val="21"/>
          <w:szCs w:val="21"/>
        </w:rPr>
        <w:t xml:space="preserve"> </w:t>
      </w:r>
      <w:r w:rsidRPr="00AD79C7">
        <w:rPr>
          <w:rFonts w:ascii="Abadi" w:hAnsi="Abadi"/>
          <w:b/>
          <w:bCs/>
          <w:sz w:val="21"/>
          <w:szCs w:val="21"/>
        </w:rPr>
        <w:t>cabo</w:t>
      </w:r>
      <w:r w:rsidRPr="00AD79C7">
        <w:rPr>
          <w:rFonts w:ascii="Abadi" w:hAnsi="Abadi"/>
          <w:b/>
          <w:bCs/>
          <w:spacing w:val="12"/>
          <w:sz w:val="21"/>
          <w:szCs w:val="21"/>
        </w:rPr>
        <w:t xml:space="preserve"> </w:t>
      </w:r>
      <w:r w:rsidRPr="00AD79C7">
        <w:rPr>
          <w:rFonts w:ascii="Abadi" w:hAnsi="Abadi"/>
          <w:b/>
          <w:bCs/>
          <w:sz w:val="21"/>
          <w:szCs w:val="21"/>
        </w:rPr>
        <w:t>una</w:t>
      </w:r>
      <w:r w:rsidRPr="00AD79C7">
        <w:rPr>
          <w:rFonts w:ascii="Abadi" w:hAnsi="Abadi"/>
          <w:b/>
          <w:bCs/>
          <w:spacing w:val="12"/>
          <w:sz w:val="21"/>
          <w:szCs w:val="21"/>
        </w:rPr>
        <w:t xml:space="preserve"> </w:t>
      </w:r>
      <w:r w:rsidRPr="00AD79C7">
        <w:rPr>
          <w:rFonts w:ascii="Abadi" w:hAnsi="Abadi"/>
          <w:b/>
          <w:bCs/>
          <w:sz w:val="21"/>
          <w:szCs w:val="21"/>
        </w:rPr>
        <w:t>auditoría</w:t>
      </w:r>
      <w:r w:rsidRPr="00AD79C7">
        <w:rPr>
          <w:rFonts w:ascii="Abadi" w:hAnsi="Abadi"/>
          <w:b/>
          <w:bCs/>
          <w:spacing w:val="12"/>
          <w:sz w:val="21"/>
          <w:szCs w:val="21"/>
        </w:rPr>
        <w:t xml:space="preserve"> </w:t>
      </w:r>
      <w:r w:rsidRPr="00AD79C7">
        <w:rPr>
          <w:rFonts w:ascii="Abadi" w:hAnsi="Abadi"/>
          <w:b/>
          <w:bCs/>
          <w:sz w:val="21"/>
          <w:szCs w:val="21"/>
        </w:rPr>
        <w:t>integral</w:t>
      </w:r>
      <w:r w:rsidRPr="00AD79C7">
        <w:rPr>
          <w:rFonts w:ascii="Abadi" w:hAnsi="Abadi"/>
          <w:b/>
          <w:bCs/>
          <w:spacing w:val="11"/>
          <w:sz w:val="21"/>
          <w:szCs w:val="21"/>
        </w:rPr>
        <w:t xml:space="preserve"> </w:t>
      </w:r>
      <w:r w:rsidRPr="00AD79C7">
        <w:rPr>
          <w:rFonts w:ascii="Abadi" w:hAnsi="Abadi"/>
          <w:b/>
          <w:bCs/>
          <w:sz w:val="21"/>
          <w:szCs w:val="21"/>
        </w:rPr>
        <w:t>a</w:t>
      </w:r>
      <w:r w:rsidRPr="00AD79C7">
        <w:rPr>
          <w:rFonts w:ascii="Abadi" w:hAnsi="Abadi"/>
          <w:b/>
          <w:bCs/>
          <w:spacing w:val="12"/>
          <w:sz w:val="21"/>
          <w:szCs w:val="21"/>
        </w:rPr>
        <w:t xml:space="preserve"> </w:t>
      </w:r>
      <w:r w:rsidRPr="00AD79C7">
        <w:rPr>
          <w:rFonts w:ascii="Abadi" w:hAnsi="Abadi"/>
          <w:b/>
          <w:bCs/>
          <w:sz w:val="21"/>
          <w:szCs w:val="21"/>
        </w:rPr>
        <w:t>la</w:t>
      </w:r>
      <w:r w:rsidRPr="00AD79C7">
        <w:rPr>
          <w:rFonts w:ascii="Abadi" w:hAnsi="Abadi"/>
          <w:b/>
          <w:bCs/>
          <w:spacing w:val="-2"/>
          <w:sz w:val="21"/>
          <w:szCs w:val="21"/>
        </w:rPr>
        <w:t xml:space="preserve"> </w:t>
      </w:r>
      <w:r w:rsidRPr="00AD79C7">
        <w:rPr>
          <w:rFonts w:ascii="Abadi" w:hAnsi="Abadi"/>
          <w:b/>
          <w:bCs/>
          <w:sz w:val="21"/>
          <w:szCs w:val="21"/>
        </w:rPr>
        <w:t>administración</w:t>
      </w:r>
      <w:r w:rsidRPr="00AD79C7">
        <w:rPr>
          <w:rFonts w:ascii="Abadi" w:hAnsi="Abadi"/>
          <w:b/>
          <w:bCs/>
          <w:spacing w:val="24"/>
          <w:sz w:val="21"/>
          <w:szCs w:val="21"/>
        </w:rPr>
        <w:t xml:space="preserve"> </w:t>
      </w:r>
      <w:r w:rsidRPr="00AD79C7">
        <w:rPr>
          <w:rFonts w:ascii="Abadi" w:hAnsi="Abadi"/>
          <w:b/>
          <w:bCs/>
          <w:sz w:val="21"/>
          <w:szCs w:val="21"/>
        </w:rPr>
        <w:t>pública</w:t>
      </w:r>
      <w:r w:rsidRPr="00AD79C7">
        <w:rPr>
          <w:rFonts w:ascii="Abadi" w:hAnsi="Abadi"/>
          <w:b/>
          <w:bCs/>
          <w:spacing w:val="24"/>
          <w:sz w:val="21"/>
          <w:szCs w:val="21"/>
        </w:rPr>
        <w:t xml:space="preserve"> </w:t>
      </w:r>
      <w:r w:rsidRPr="00AD79C7">
        <w:rPr>
          <w:rFonts w:ascii="Abadi" w:hAnsi="Abadi"/>
          <w:b/>
          <w:bCs/>
          <w:sz w:val="21"/>
          <w:szCs w:val="21"/>
        </w:rPr>
        <w:t>municipal</w:t>
      </w:r>
      <w:r w:rsidRPr="00AD79C7">
        <w:rPr>
          <w:rFonts w:ascii="Abadi" w:hAnsi="Abadi"/>
          <w:b/>
          <w:bCs/>
          <w:spacing w:val="24"/>
          <w:sz w:val="21"/>
          <w:szCs w:val="21"/>
        </w:rPr>
        <w:t xml:space="preserve"> </w:t>
      </w:r>
      <w:r w:rsidRPr="00AD79C7">
        <w:rPr>
          <w:rFonts w:ascii="Abadi" w:hAnsi="Abadi"/>
          <w:b/>
          <w:bCs/>
          <w:sz w:val="21"/>
          <w:szCs w:val="21"/>
        </w:rPr>
        <w:t>de</w:t>
      </w:r>
      <w:r w:rsidRPr="00AD79C7">
        <w:rPr>
          <w:rFonts w:ascii="Abadi" w:hAnsi="Abadi"/>
          <w:b/>
          <w:bCs/>
          <w:spacing w:val="24"/>
          <w:sz w:val="21"/>
          <w:szCs w:val="21"/>
        </w:rPr>
        <w:t xml:space="preserve"> </w:t>
      </w:r>
      <w:r w:rsidRPr="00AD79C7">
        <w:rPr>
          <w:rFonts w:ascii="Abadi" w:hAnsi="Abadi"/>
          <w:b/>
          <w:bCs/>
          <w:sz w:val="21"/>
          <w:szCs w:val="21"/>
        </w:rPr>
        <w:t>León,</w:t>
      </w:r>
      <w:r w:rsidRPr="00AD79C7">
        <w:rPr>
          <w:rFonts w:ascii="Abadi" w:hAnsi="Abadi"/>
          <w:b/>
          <w:bCs/>
          <w:spacing w:val="24"/>
          <w:sz w:val="21"/>
          <w:szCs w:val="21"/>
        </w:rPr>
        <w:t xml:space="preserve"> </w:t>
      </w:r>
      <w:r w:rsidRPr="00AD79C7">
        <w:rPr>
          <w:rFonts w:ascii="Abadi" w:hAnsi="Abadi"/>
          <w:b/>
          <w:bCs/>
          <w:sz w:val="21"/>
          <w:szCs w:val="21"/>
        </w:rPr>
        <w:t>Gto.,</w:t>
      </w:r>
      <w:r w:rsidRPr="00AD79C7">
        <w:rPr>
          <w:rFonts w:ascii="Abadi" w:hAnsi="Abadi"/>
          <w:b/>
          <w:bCs/>
          <w:spacing w:val="24"/>
          <w:sz w:val="21"/>
          <w:szCs w:val="21"/>
        </w:rPr>
        <w:t xml:space="preserve"> </w:t>
      </w:r>
      <w:r w:rsidRPr="00AD79C7">
        <w:rPr>
          <w:rFonts w:ascii="Abadi" w:hAnsi="Abadi"/>
          <w:b/>
          <w:bCs/>
          <w:sz w:val="21"/>
          <w:szCs w:val="21"/>
        </w:rPr>
        <w:t>la</w:t>
      </w:r>
      <w:r w:rsidRPr="00AD79C7">
        <w:rPr>
          <w:rFonts w:ascii="Abadi" w:hAnsi="Abadi"/>
          <w:b/>
          <w:bCs/>
          <w:spacing w:val="24"/>
          <w:sz w:val="21"/>
          <w:szCs w:val="21"/>
        </w:rPr>
        <w:t xml:space="preserve"> </w:t>
      </w:r>
      <w:r w:rsidRPr="00AD79C7">
        <w:rPr>
          <w:rFonts w:ascii="Abadi" w:hAnsi="Abadi"/>
          <w:b/>
          <w:bCs/>
          <w:sz w:val="21"/>
          <w:szCs w:val="21"/>
        </w:rPr>
        <w:t>primera,</w:t>
      </w:r>
      <w:r w:rsidRPr="00AD79C7">
        <w:rPr>
          <w:rFonts w:ascii="Abadi" w:hAnsi="Abadi"/>
          <w:b/>
          <w:bCs/>
          <w:spacing w:val="24"/>
          <w:sz w:val="21"/>
          <w:szCs w:val="21"/>
        </w:rPr>
        <w:t xml:space="preserve"> </w:t>
      </w:r>
      <w:r w:rsidRPr="00AD79C7">
        <w:rPr>
          <w:rFonts w:ascii="Abadi" w:hAnsi="Abadi"/>
          <w:b/>
          <w:bCs/>
          <w:sz w:val="21"/>
          <w:szCs w:val="21"/>
        </w:rPr>
        <w:t>por</w:t>
      </w:r>
      <w:r w:rsidRPr="00AD79C7">
        <w:rPr>
          <w:rFonts w:ascii="Abadi" w:hAnsi="Abadi"/>
          <w:b/>
          <w:bCs/>
          <w:spacing w:val="24"/>
          <w:sz w:val="21"/>
          <w:szCs w:val="21"/>
        </w:rPr>
        <w:t xml:space="preserve"> </w:t>
      </w:r>
      <w:r w:rsidRPr="00AD79C7">
        <w:rPr>
          <w:rFonts w:ascii="Abadi" w:hAnsi="Abadi"/>
          <w:b/>
          <w:bCs/>
          <w:sz w:val="21"/>
          <w:szCs w:val="21"/>
        </w:rPr>
        <w:t>el</w:t>
      </w:r>
      <w:r w:rsidRPr="00AD79C7">
        <w:rPr>
          <w:rFonts w:ascii="Abadi" w:hAnsi="Abadi"/>
          <w:b/>
          <w:bCs/>
          <w:spacing w:val="24"/>
          <w:sz w:val="21"/>
          <w:szCs w:val="21"/>
        </w:rPr>
        <w:t xml:space="preserve"> </w:t>
      </w:r>
      <w:r w:rsidRPr="00AD79C7">
        <w:rPr>
          <w:rFonts w:ascii="Abadi" w:hAnsi="Abadi"/>
          <w:b/>
          <w:bCs/>
          <w:sz w:val="21"/>
          <w:szCs w:val="21"/>
        </w:rPr>
        <w:t>periodo</w:t>
      </w:r>
      <w:r w:rsidRPr="00AD79C7">
        <w:rPr>
          <w:rFonts w:ascii="Abadi" w:hAnsi="Abadi"/>
          <w:b/>
          <w:bCs/>
          <w:spacing w:val="-2"/>
          <w:sz w:val="21"/>
          <w:szCs w:val="21"/>
        </w:rPr>
        <w:t xml:space="preserve"> </w:t>
      </w:r>
      <w:r w:rsidRPr="00AD79C7">
        <w:rPr>
          <w:rFonts w:ascii="Abadi" w:hAnsi="Abadi"/>
          <w:b/>
          <w:bCs/>
          <w:sz w:val="21"/>
          <w:szCs w:val="21"/>
        </w:rPr>
        <w:t>comprendido</w:t>
      </w:r>
      <w:r w:rsidRPr="00AD79C7">
        <w:rPr>
          <w:rFonts w:ascii="Abadi" w:hAnsi="Abadi"/>
          <w:b/>
          <w:bCs/>
          <w:spacing w:val="11"/>
          <w:sz w:val="21"/>
          <w:szCs w:val="21"/>
        </w:rPr>
        <w:t xml:space="preserve"> </w:t>
      </w:r>
      <w:r w:rsidRPr="00AD79C7">
        <w:rPr>
          <w:rFonts w:ascii="Abadi" w:hAnsi="Abadi"/>
          <w:b/>
          <w:bCs/>
          <w:sz w:val="21"/>
          <w:szCs w:val="21"/>
        </w:rPr>
        <w:t>de</w:t>
      </w:r>
      <w:r w:rsidRPr="00AD79C7">
        <w:rPr>
          <w:rFonts w:ascii="Abadi" w:hAnsi="Abadi"/>
          <w:b/>
          <w:bCs/>
          <w:spacing w:val="11"/>
          <w:sz w:val="21"/>
          <w:szCs w:val="21"/>
        </w:rPr>
        <w:t xml:space="preserve"> </w:t>
      </w:r>
      <w:r w:rsidRPr="00AD79C7">
        <w:rPr>
          <w:rFonts w:ascii="Abadi" w:hAnsi="Abadi"/>
          <w:b/>
          <w:bCs/>
          <w:sz w:val="21"/>
          <w:szCs w:val="21"/>
        </w:rPr>
        <w:t>octubre</w:t>
      </w:r>
      <w:r w:rsidRPr="00AD79C7">
        <w:rPr>
          <w:rFonts w:ascii="Abadi" w:hAnsi="Abadi"/>
          <w:b/>
          <w:bCs/>
          <w:spacing w:val="11"/>
          <w:sz w:val="21"/>
          <w:szCs w:val="21"/>
        </w:rPr>
        <w:t xml:space="preserve"> </w:t>
      </w:r>
      <w:r w:rsidRPr="00AD79C7">
        <w:rPr>
          <w:rFonts w:ascii="Abadi" w:hAnsi="Abadi"/>
          <w:b/>
          <w:bCs/>
          <w:sz w:val="21"/>
          <w:szCs w:val="21"/>
        </w:rPr>
        <w:t>de</w:t>
      </w:r>
      <w:r w:rsidRPr="00AD79C7">
        <w:rPr>
          <w:rFonts w:ascii="Abadi" w:hAnsi="Abadi"/>
          <w:b/>
          <w:bCs/>
          <w:spacing w:val="11"/>
          <w:sz w:val="21"/>
          <w:szCs w:val="21"/>
        </w:rPr>
        <w:t xml:space="preserve"> </w:t>
      </w:r>
      <w:r w:rsidRPr="00AD79C7">
        <w:rPr>
          <w:rFonts w:ascii="Abadi" w:hAnsi="Abadi"/>
          <w:b/>
          <w:bCs/>
          <w:sz w:val="21"/>
          <w:szCs w:val="21"/>
        </w:rPr>
        <w:t>2018</w:t>
      </w:r>
      <w:r w:rsidRPr="00AD79C7">
        <w:rPr>
          <w:rFonts w:ascii="Abadi" w:hAnsi="Abadi"/>
          <w:b/>
          <w:bCs/>
          <w:spacing w:val="11"/>
          <w:sz w:val="21"/>
          <w:szCs w:val="21"/>
        </w:rPr>
        <w:t xml:space="preserve"> </w:t>
      </w:r>
      <w:r w:rsidRPr="00AD79C7">
        <w:rPr>
          <w:rFonts w:ascii="Abadi" w:hAnsi="Abadi"/>
          <w:b/>
          <w:bCs/>
          <w:sz w:val="21"/>
          <w:szCs w:val="21"/>
        </w:rPr>
        <w:t>a</w:t>
      </w:r>
      <w:r w:rsidRPr="00AD79C7">
        <w:rPr>
          <w:rFonts w:ascii="Abadi" w:hAnsi="Abadi"/>
          <w:b/>
          <w:bCs/>
          <w:spacing w:val="11"/>
          <w:sz w:val="21"/>
          <w:szCs w:val="21"/>
        </w:rPr>
        <w:t xml:space="preserve"> </w:t>
      </w:r>
      <w:r w:rsidRPr="00AD79C7">
        <w:rPr>
          <w:rFonts w:ascii="Abadi" w:hAnsi="Abadi"/>
          <w:b/>
          <w:bCs/>
          <w:sz w:val="21"/>
          <w:szCs w:val="21"/>
        </w:rPr>
        <w:t>octubre</w:t>
      </w:r>
      <w:r w:rsidRPr="00AD79C7">
        <w:rPr>
          <w:rFonts w:ascii="Abadi" w:hAnsi="Abadi"/>
          <w:b/>
          <w:bCs/>
          <w:spacing w:val="11"/>
          <w:sz w:val="21"/>
          <w:szCs w:val="21"/>
        </w:rPr>
        <w:t xml:space="preserve"> </w:t>
      </w:r>
      <w:r w:rsidRPr="00AD79C7">
        <w:rPr>
          <w:rFonts w:ascii="Abadi" w:hAnsi="Abadi"/>
          <w:b/>
          <w:bCs/>
          <w:sz w:val="21"/>
          <w:szCs w:val="21"/>
        </w:rPr>
        <w:t>de</w:t>
      </w:r>
      <w:r w:rsidRPr="00AD79C7">
        <w:rPr>
          <w:rFonts w:ascii="Abadi" w:hAnsi="Abadi"/>
          <w:b/>
          <w:bCs/>
          <w:spacing w:val="11"/>
          <w:sz w:val="21"/>
          <w:szCs w:val="21"/>
        </w:rPr>
        <w:t xml:space="preserve"> </w:t>
      </w:r>
      <w:r w:rsidRPr="00AD79C7">
        <w:rPr>
          <w:rFonts w:ascii="Abadi" w:hAnsi="Abadi"/>
          <w:b/>
          <w:bCs/>
          <w:sz w:val="21"/>
          <w:szCs w:val="21"/>
        </w:rPr>
        <w:t>2021;</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segunda,</w:t>
      </w:r>
      <w:r w:rsidRPr="00AD79C7">
        <w:rPr>
          <w:rFonts w:ascii="Abadi" w:hAnsi="Abadi"/>
          <w:b/>
          <w:bCs/>
          <w:spacing w:val="10"/>
          <w:sz w:val="21"/>
          <w:szCs w:val="21"/>
        </w:rPr>
        <w:t xml:space="preserve"> </w:t>
      </w:r>
      <w:r w:rsidRPr="00AD79C7">
        <w:rPr>
          <w:rFonts w:ascii="Abadi" w:hAnsi="Abadi"/>
          <w:b/>
          <w:bCs/>
          <w:sz w:val="21"/>
          <w:szCs w:val="21"/>
        </w:rPr>
        <w:t>por</w:t>
      </w:r>
      <w:r w:rsidRPr="00AD79C7">
        <w:rPr>
          <w:rFonts w:ascii="Abadi" w:hAnsi="Abadi"/>
          <w:b/>
          <w:bCs/>
          <w:spacing w:val="10"/>
          <w:sz w:val="21"/>
          <w:szCs w:val="21"/>
        </w:rPr>
        <w:t xml:space="preserve"> </w:t>
      </w:r>
      <w:r w:rsidRPr="00AD79C7">
        <w:rPr>
          <w:rFonts w:ascii="Abadi" w:hAnsi="Abadi"/>
          <w:b/>
          <w:bCs/>
          <w:sz w:val="21"/>
          <w:szCs w:val="21"/>
        </w:rPr>
        <w:t>los</w:t>
      </w:r>
      <w:r w:rsidRPr="00AD79C7">
        <w:rPr>
          <w:rFonts w:ascii="Abadi" w:hAnsi="Abadi"/>
          <w:b/>
          <w:bCs/>
          <w:spacing w:val="-2"/>
          <w:sz w:val="21"/>
          <w:szCs w:val="21"/>
        </w:rPr>
        <w:t xml:space="preserve"> </w:t>
      </w:r>
      <w:r w:rsidRPr="00AD79C7">
        <w:rPr>
          <w:rFonts w:ascii="Abadi" w:hAnsi="Abadi"/>
          <w:b/>
          <w:bCs/>
          <w:sz w:val="21"/>
          <w:szCs w:val="21"/>
        </w:rPr>
        <w:t>ejercicios</w:t>
      </w:r>
      <w:r w:rsidRPr="00AD79C7">
        <w:rPr>
          <w:rFonts w:ascii="Abadi" w:hAnsi="Abadi"/>
          <w:b/>
          <w:bCs/>
          <w:spacing w:val="-1"/>
          <w:sz w:val="21"/>
          <w:szCs w:val="21"/>
        </w:rPr>
        <w:t xml:space="preserve"> </w:t>
      </w:r>
      <w:r w:rsidRPr="00AD79C7">
        <w:rPr>
          <w:rFonts w:ascii="Abadi" w:hAnsi="Abadi"/>
          <w:b/>
          <w:bCs/>
          <w:sz w:val="21"/>
          <w:szCs w:val="21"/>
        </w:rPr>
        <w:t>fiscales</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2019,</w:t>
      </w:r>
      <w:r w:rsidRPr="00AD79C7">
        <w:rPr>
          <w:rFonts w:ascii="Abadi" w:hAnsi="Abadi"/>
          <w:b/>
          <w:bCs/>
          <w:spacing w:val="-1"/>
          <w:sz w:val="21"/>
          <w:szCs w:val="21"/>
        </w:rPr>
        <w:t xml:space="preserve"> </w:t>
      </w:r>
      <w:r w:rsidRPr="00AD79C7">
        <w:rPr>
          <w:rFonts w:ascii="Abadi" w:hAnsi="Abadi"/>
          <w:b/>
          <w:bCs/>
          <w:sz w:val="21"/>
          <w:szCs w:val="21"/>
        </w:rPr>
        <w:t>2020</w:t>
      </w:r>
      <w:r w:rsidRPr="00AD79C7">
        <w:rPr>
          <w:rFonts w:ascii="Abadi" w:hAnsi="Abadi"/>
          <w:b/>
          <w:bCs/>
          <w:spacing w:val="-1"/>
          <w:sz w:val="21"/>
          <w:szCs w:val="21"/>
        </w:rPr>
        <w:t xml:space="preserve"> </w:t>
      </w:r>
      <w:r w:rsidRPr="00AD79C7">
        <w:rPr>
          <w:rFonts w:ascii="Abadi" w:hAnsi="Abadi"/>
          <w:b/>
          <w:bCs/>
          <w:sz w:val="21"/>
          <w:szCs w:val="21"/>
        </w:rPr>
        <w:t>y</w:t>
      </w:r>
      <w:r w:rsidRPr="00AD79C7">
        <w:rPr>
          <w:rFonts w:ascii="Abadi" w:hAnsi="Abadi"/>
          <w:b/>
          <w:bCs/>
          <w:spacing w:val="-1"/>
          <w:sz w:val="21"/>
          <w:szCs w:val="21"/>
        </w:rPr>
        <w:t xml:space="preserve"> </w:t>
      </w:r>
      <w:r w:rsidRPr="00AD79C7">
        <w:rPr>
          <w:rFonts w:ascii="Abadi" w:hAnsi="Abadi"/>
          <w:b/>
          <w:bCs/>
          <w:sz w:val="21"/>
          <w:szCs w:val="21"/>
        </w:rPr>
        <w:t>2021.</w:t>
      </w:r>
    </w:p>
    <w:p w14:paraId="7829996C" w14:textId="77777777" w:rsidR="00040256" w:rsidRPr="00040256" w:rsidRDefault="00040256" w:rsidP="00040256">
      <w:pPr>
        <w:pStyle w:val="Prrafodelista"/>
        <w:rPr>
          <w:rFonts w:ascii="Abadi" w:hAnsi="Abadi"/>
          <w:b/>
          <w:bCs/>
          <w:sz w:val="21"/>
          <w:szCs w:val="21"/>
        </w:rPr>
      </w:pPr>
    </w:p>
    <w:p w14:paraId="51189099" w14:textId="77777777" w:rsidR="00040256" w:rsidRPr="00AD79C7" w:rsidRDefault="00040256" w:rsidP="005433FA">
      <w:pPr>
        <w:pStyle w:val="Prrafodelista"/>
        <w:numPr>
          <w:ilvl w:val="0"/>
          <w:numId w:val="8"/>
        </w:numPr>
        <w:tabs>
          <w:tab w:val="left" w:pos="856"/>
        </w:tabs>
        <w:kinsoku w:val="0"/>
        <w:overflowPunct w:val="0"/>
        <w:autoSpaceDE w:val="0"/>
        <w:autoSpaceDN w:val="0"/>
        <w:adjustRightInd w:val="0"/>
        <w:spacing w:before="22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50"/>
          <w:w w:val="150"/>
          <w:sz w:val="21"/>
          <w:szCs w:val="21"/>
        </w:rPr>
        <w:t xml:space="preserve"> </w:t>
      </w:r>
      <w:r w:rsidRPr="00AD79C7">
        <w:rPr>
          <w:rFonts w:ascii="Abadi" w:hAnsi="Abadi"/>
          <w:b/>
          <w:bCs/>
          <w:sz w:val="21"/>
          <w:szCs w:val="21"/>
        </w:rPr>
        <w:t>y,</w:t>
      </w:r>
      <w:r w:rsidRPr="00AD79C7">
        <w:rPr>
          <w:rFonts w:ascii="Abadi" w:hAnsi="Abadi"/>
          <w:b/>
          <w:bCs/>
          <w:spacing w:val="50"/>
          <w:w w:val="150"/>
          <w:sz w:val="21"/>
          <w:szCs w:val="21"/>
        </w:rPr>
        <w:t xml:space="preserve"> </w:t>
      </w:r>
      <w:r w:rsidRPr="00AD79C7">
        <w:rPr>
          <w:rFonts w:ascii="Abadi" w:hAnsi="Abadi"/>
          <w:b/>
          <w:bCs/>
          <w:sz w:val="21"/>
          <w:szCs w:val="21"/>
        </w:rPr>
        <w:t>en</w:t>
      </w:r>
      <w:r w:rsidRPr="00AD79C7">
        <w:rPr>
          <w:rFonts w:ascii="Abadi" w:hAnsi="Abadi"/>
          <w:b/>
          <w:bCs/>
          <w:spacing w:val="50"/>
          <w:w w:val="150"/>
          <w:sz w:val="21"/>
          <w:szCs w:val="21"/>
        </w:rPr>
        <w:t xml:space="preserve"> </w:t>
      </w:r>
      <w:r w:rsidRPr="00AD79C7">
        <w:rPr>
          <w:rFonts w:ascii="Abadi" w:hAnsi="Abadi"/>
          <w:b/>
          <w:bCs/>
          <w:sz w:val="21"/>
          <w:szCs w:val="21"/>
        </w:rPr>
        <w:t>su</w:t>
      </w:r>
      <w:r w:rsidRPr="00AD79C7">
        <w:rPr>
          <w:rFonts w:ascii="Abadi" w:hAnsi="Abadi"/>
          <w:b/>
          <w:bCs/>
          <w:spacing w:val="50"/>
          <w:w w:val="150"/>
          <w:sz w:val="21"/>
          <w:szCs w:val="21"/>
        </w:rPr>
        <w:t xml:space="preserve"> </w:t>
      </w:r>
      <w:r w:rsidRPr="00AD79C7">
        <w:rPr>
          <w:rFonts w:ascii="Abadi" w:hAnsi="Abadi"/>
          <w:b/>
          <w:bCs/>
          <w:sz w:val="21"/>
          <w:szCs w:val="21"/>
        </w:rPr>
        <w:t>caso,</w:t>
      </w:r>
      <w:r w:rsidRPr="00AD79C7">
        <w:rPr>
          <w:rFonts w:ascii="Abadi" w:hAnsi="Abadi"/>
          <w:b/>
          <w:bCs/>
          <w:spacing w:val="50"/>
          <w:w w:val="150"/>
          <w:sz w:val="21"/>
          <w:szCs w:val="21"/>
        </w:rPr>
        <w:t xml:space="preserve"> </w:t>
      </w:r>
      <w:r w:rsidRPr="00AD79C7">
        <w:rPr>
          <w:rFonts w:ascii="Abadi" w:hAnsi="Abadi"/>
          <w:b/>
          <w:bCs/>
          <w:sz w:val="21"/>
          <w:szCs w:val="21"/>
        </w:rPr>
        <w:t>aprobación</w:t>
      </w:r>
      <w:r w:rsidRPr="00AD79C7">
        <w:rPr>
          <w:rFonts w:ascii="Abadi" w:hAnsi="Abadi"/>
          <w:b/>
          <w:bCs/>
          <w:spacing w:val="50"/>
          <w:w w:val="150"/>
          <w:sz w:val="21"/>
          <w:szCs w:val="21"/>
        </w:rPr>
        <w:t xml:space="preserve"> </w:t>
      </w:r>
      <w:r w:rsidRPr="00AD79C7">
        <w:rPr>
          <w:rFonts w:ascii="Abadi" w:hAnsi="Abadi"/>
          <w:b/>
          <w:bCs/>
          <w:sz w:val="21"/>
          <w:szCs w:val="21"/>
        </w:rPr>
        <w:t>del</w:t>
      </w:r>
      <w:r w:rsidRPr="00AD79C7">
        <w:rPr>
          <w:rFonts w:ascii="Abadi" w:hAnsi="Abadi"/>
          <w:b/>
          <w:bCs/>
          <w:spacing w:val="50"/>
          <w:w w:val="150"/>
          <w:sz w:val="21"/>
          <w:szCs w:val="21"/>
        </w:rPr>
        <w:t xml:space="preserve"> </w:t>
      </w:r>
      <w:r w:rsidRPr="00AD79C7">
        <w:rPr>
          <w:rFonts w:ascii="Abadi" w:hAnsi="Abadi"/>
          <w:b/>
          <w:bCs/>
          <w:sz w:val="21"/>
          <w:szCs w:val="21"/>
        </w:rPr>
        <w:t>dictamen</w:t>
      </w:r>
      <w:r w:rsidRPr="00AD79C7">
        <w:rPr>
          <w:rFonts w:ascii="Abadi" w:hAnsi="Abadi"/>
          <w:b/>
          <w:bCs/>
          <w:spacing w:val="50"/>
          <w:w w:val="150"/>
          <w:sz w:val="21"/>
          <w:szCs w:val="21"/>
        </w:rPr>
        <w:t xml:space="preserve"> </w:t>
      </w:r>
      <w:r w:rsidRPr="00AD79C7">
        <w:rPr>
          <w:rFonts w:ascii="Abadi" w:hAnsi="Abadi"/>
          <w:b/>
          <w:bCs/>
          <w:sz w:val="21"/>
          <w:szCs w:val="21"/>
        </w:rPr>
        <w:t>presentado</w:t>
      </w:r>
      <w:r w:rsidRPr="00AD79C7">
        <w:rPr>
          <w:rFonts w:ascii="Abadi" w:hAnsi="Abadi"/>
          <w:b/>
          <w:bCs/>
          <w:spacing w:val="50"/>
          <w:w w:val="150"/>
          <w:sz w:val="21"/>
          <w:szCs w:val="21"/>
        </w:rPr>
        <w:t xml:space="preserve"> </w:t>
      </w:r>
      <w:r w:rsidRPr="00AD79C7">
        <w:rPr>
          <w:rFonts w:ascii="Abadi" w:hAnsi="Abadi"/>
          <w:b/>
          <w:bCs/>
          <w:sz w:val="21"/>
          <w:szCs w:val="21"/>
        </w:rPr>
        <w:t>por</w:t>
      </w:r>
      <w:r w:rsidRPr="00AD79C7">
        <w:rPr>
          <w:rFonts w:ascii="Abadi" w:hAnsi="Abadi"/>
          <w:b/>
          <w:bCs/>
          <w:spacing w:val="50"/>
          <w:w w:val="150"/>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Comisión</w:t>
      </w:r>
      <w:r w:rsidRPr="00AD79C7">
        <w:rPr>
          <w:rFonts w:ascii="Abadi" w:hAnsi="Abadi"/>
          <w:b/>
          <w:bCs/>
          <w:spacing w:val="20"/>
          <w:sz w:val="21"/>
          <w:szCs w:val="21"/>
        </w:rPr>
        <w:t xml:space="preserve"> </w:t>
      </w:r>
      <w:r w:rsidRPr="00AD79C7">
        <w:rPr>
          <w:rFonts w:ascii="Abadi" w:hAnsi="Abadi"/>
          <w:b/>
          <w:bCs/>
          <w:sz w:val="21"/>
          <w:szCs w:val="21"/>
        </w:rPr>
        <w:t>de</w:t>
      </w:r>
      <w:r w:rsidRPr="00AD79C7">
        <w:rPr>
          <w:rFonts w:ascii="Abadi" w:hAnsi="Abadi"/>
          <w:b/>
          <w:bCs/>
          <w:spacing w:val="20"/>
          <w:sz w:val="21"/>
          <w:szCs w:val="21"/>
        </w:rPr>
        <w:t xml:space="preserve"> </w:t>
      </w:r>
      <w:r w:rsidRPr="00AD79C7">
        <w:rPr>
          <w:rFonts w:ascii="Abadi" w:hAnsi="Abadi"/>
          <w:b/>
          <w:bCs/>
          <w:sz w:val="21"/>
          <w:szCs w:val="21"/>
        </w:rPr>
        <w:t>Hacienda</w:t>
      </w:r>
      <w:r w:rsidRPr="00AD79C7">
        <w:rPr>
          <w:rFonts w:ascii="Abadi" w:hAnsi="Abadi"/>
          <w:b/>
          <w:bCs/>
          <w:spacing w:val="20"/>
          <w:sz w:val="21"/>
          <w:szCs w:val="21"/>
        </w:rPr>
        <w:t xml:space="preserve"> </w:t>
      </w:r>
      <w:r w:rsidRPr="00AD79C7">
        <w:rPr>
          <w:rFonts w:ascii="Abadi" w:hAnsi="Abadi"/>
          <w:b/>
          <w:bCs/>
          <w:sz w:val="21"/>
          <w:szCs w:val="21"/>
        </w:rPr>
        <w:t>y</w:t>
      </w:r>
      <w:r w:rsidRPr="00AD79C7">
        <w:rPr>
          <w:rFonts w:ascii="Abadi" w:hAnsi="Abadi"/>
          <w:b/>
          <w:bCs/>
          <w:spacing w:val="21"/>
          <w:sz w:val="21"/>
          <w:szCs w:val="21"/>
        </w:rPr>
        <w:t xml:space="preserve"> </w:t>
      </w:r>
      <w:r w:rsidRPr="00AD79C7">
        <w:rPr>
          <w:rFonts w:ascii="Abadi" w:hAnsi="Abadi"/>
          <w:b/>
          <w:bCs/>
          <w:sz w:val="21"/>
          <w:szCs w:val="21"/>
        </w:rPr>
        <w:t>Fiscalización</w:t>
      </w:r>
      <w:r w:rsidRPr="00AD79C7">
        <w:rPr>
          <w:rFonts w:ascii="Abadi" w:hAnsi="Abadi"/>
          <w:b/>
          <w:bCs/>
          <w:spacing w:val="20"/>
          <w:sz w:val="21"/>
          <w:szCs w:val="21"/>
        </w:rPr>
        <w:t xml:space="preserve"> </w:t>
      </w:r>
      <w:r w:rsidRPr="00AD79C7">
        <w:rPr>
          <w:rFonts w:ascii="Abadi" w:hAnsi="Abadi"/>
          <w:b/>
          <w:bCs/>
          <w:sz w:val="21"/>
          <w:szCs w:val="21"/>
        </w:rPr>
        <w:t>relativo</w:t>
      </w:r>
      <w:r w:rsidRPr="00AD79C7">
        <w:rPr>
          <w:rFonts w:ascii="Abadi" w:hAnsi="Abadi"/>
          <w:b/>
          <w:bCs/>
          <w:spacing w:val="20"/>
          <w:sz w:val="21"/>
          <w:szCs w:val="21"/>
        </w:rPr>
        <w:t xml:space="preserve"> </w:t>
      </w:r>
      <w:r w:rsidRPr="00AD79C7">
        <w:rPr>
          <w:rFonts w:ascii="Abadi" w:hAnsi="Abadi"/>
          <w:b/>
          <w:bCs/>
          <w:sz w:val="21"/>
          <w:szCs w:val="21"/>
        </w:rPr>
        <w:t>a</w:t>
      </w:r>
      <w:r w:rsidRPr="00AD79C7">
        <w:rPr>
          <w:rFonts w:ascii="Abadi" w:hAnsi="Abadi"/>
          <w:b/>
          <w:bCs/>
          <w:spacing w:val="20"/>
          <w:sz w:val="21"/>
          <w:szCs w:val="21"/>
        </w:rPr>
        <w:t xml:space="preserve"> </w:t>
      </w:r>
      <w:r w:rsidRPr="00AD79C7">
        <w:rPr>
          <w:rFonts w:ascii="Abadi" w:hAnsi="Abadi"/>
          <w:b/>
          <w:bCs/>
          <w:sz w:val="21"/>
          <w:szCs w:val="21"/>
        </w:rPr>
        <w:t>la</w:t>
      </w:r>
      <w:r w:rsidRPr="00AD79C7">
        <w:rPr>
          <w:rFonts w:ascii="Abadi" w:hAnsi="Abadi"/>
          <w:b/>
          <w:bCs/>
          <w:spacing w:val="20"/>
          <w:sz w:val="21"/>
          <w:szCs w:val="21"/>
        </w:rPr>
        <w:t xml:space="preserve"> </w:t>
      </w:r>
      <w:r w:rsidRPr="00AD79C7">
        <w:rPr>
          <w:rFonts w:ascii="Abadi" w:hAnsi="Abadi"/>
          <w:b/>
          <w:bCs/>
          <w:sz w:val="21"/>
          <w:szCs w:val="21"/>
        </w:rPr>
        <w:t>propuesta</w:t>
      </w:r>
      <w:r w:rsidRPr="00AD79C7">
        <w:rPr>
          <w:rFonts w:ascii="Abadi" w:hAnsi="Abadi"/>
          <w:b/>
          <w:bCs/>
          <w:spacing w:val="20"/>
          <w:sz w:val="21"/>
          <w:szCs w:val="21"/>
        </w:rPr>
        <w:t xml:space="preserve"> </w:t>
      </w:r>
      <w:r w:rsidRPr="00AD79C7">
        <w:rPr>
          <w:rFonts w:ascii="Abadi" w:hAnsi="Abadi"/>
          <w:b/>
          <w:bCs/>
          <w:sz w:val="21"/>
          <w:szCs w:val="21"/>
        </w:rPr>
        <w:t>de</w:t>
      </w:r>
      <w:r w:rsidRPr="00AD79C7">
        <w:rPr>
          <w:rFonts w:ascii="Abadi" w:hAnsi="Abadi"/>
          <w:b/>
          <w:bCs/>
          <w:spacing w:val="20"/>
          <w:sz w:val="21"/>
          <w:szCs w:val="21"/>
        </w:rPr>
        <w:t xml:space="preserve"> </w:t>
      </w:r>
      <w:r w:rsidRPr="00AD79C7">
        <w:rPr>
          <w:rFonts w:ascii="Abadi" w:hAnsi="Abadi"/>
          <w:b/>
          <w:bCs/>
          <w:sz w:val="21"/>
          <w:szCs w:val="21"/>
        </w:rPr>
        <w:t>punto</w:t>
      </w:r>
      <w:r w:rsidRPr="00AD79C7">
        <w:rPr>
          <w:rFonts w:ascii="Abadi" w:hAnsi="Abadi"/>
          <w:b/>
          <w:bCs/>
          <w:spacing w:val="20"/>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acuerdo</w:t>
      </w:r>
      <w:r w:rsidRPr="00AD79C7">
        <w:rPr>
          <w:rFonts w:ascii="Abadi" w:hAnsi="Abadi"/>
          <w:b/>
          <w:bCs/>
          <w:spacing w:val="64"/>
          <w:sz w:val="21"/>
          <w:szCs w:val="21"/>
        </w:rPr>
        <w:t xml:space="preserve"> </w:t>
      </w:r>
      <w:r w:rsidRPr="00AD79C7">
        <w:rPr>
          <w:rFonts w:ascii="Abadi" w:hAnsi="Abadi"/>
          <w:b/>
          <w:bCs/>
          <w:sz w:val="21"/>
          <w:szCs w:val="21"/>
        </w:rPr>
        <w:t>formulada</w:t>
      </w:r>
      <w:r w:rsidRPr="00AD79C7">
        <w:rPr>
          <w:rFonts w:ascii="Abadi" w:hAnsi="Abadi"/>
          <w:b/>
          <w:bCs/>
          <w:spacing w:val="64"/>
          <w:sz w:val="21"/>
          <w:szCs w:val="21"/>
        </w:rPr>
        <w:t xml:space="preserve"> </w:t>
      </w:r>
      <w:r w:rsidRPr="00AD79C7">
        <w:rPr>
          <w:rFonts w:ascii="Abadi" w:hAnsi="Abadi"/>
          <w:b/>
          <w:bCs/>
          <w:sz w:val="21"/>
          <w:szCs w:val="21"/>
        </w:rPr>
        <w:t>por</w:t>
      </w:r>
      <w:r w:rsidRPr="00AD79C7">
        <w:rPr>
          <w:rFonts w:ascii="Abadi" w:hAnsi="Abadi"/>
          <w:b/>
          <w:bCs/>
          <w:spacing w:val="64"/>
          <w:sz w:val="21"/>
          <w:szCs w:val="21"/>
        </w:rPr>
        <w:t xml:space="preserve"> </w:t>
      </w:r>
      <w:r w:rsidRPr="00AD79C7">
        <w:rPr>
          <w:rFonts w:ascii="Abadi" w:hAnsi="Abadi"/>
          <w:b/>
          <w:bCs/>
          <w:sz w:val="21"/>
          <w:szCs w:val="21"/>
        </w:rPr>
        <w:t>la</w:t>
      </w:r>
      <w:r w:rsidRPr="00AD79C7">
        <w:rPr>
          <w:rFonts w:ascii="Abadi" w:hAnsi="Abadi"/>
          <w:b/>
          <w:bCs/>
          <w:spacing w:val="64"/>
          <w:sz w:val="21"/>
          <w:szCs w:val="21"/>
        </w:rPr>
        <w:t xml:space="preserve"> </w:t>
      </w:r>
      <w:r w:rsidRPr="00AD79C7">
        <w:rPr>
          <w:rFonts w:ascii="Abadi" w:hAnsi="Abadi"/>
          <w:b/>
          <w:bCs/>
          <w:sz w:val="21"/>
          <w:szCs w:val="21"/>
        </w:rPr>
        <w:t>diputada</w:t>
      </w:r>
      <w:r w:rsidRPr="00AD79C7">
        <w:rPr>
          <w:rFonts w:ascii="Abadi" w:hAnsi="Abadi"/>
          <w:b/>
          <w:bCs/>
          <w:spacing w:val="64"/>
          <w:sz w:val="21"/>
          <w:szCs w:val="21"/>
        </w:rPr>
        <w:t xml:space="preserve"> </w:t>
      </w:r>
      <w:r w:rsidRPr="00AD79C7">
        <w:rPr>
          <w:rFonts w:ascii="Abadi" w:hAnsi="Abadi"/>
          <w:b/>
          <w:bCs/>
          <w:sz w:val="21"/>
          <w:szCs w:val="21"/>
        </w:rPr>
        <w:t>Alma</w:t>
      </w:r>
      <w:r w:rsidRPr="00AD79C7">
        <w:rPr>
          <w:rFonts w:ascii="Abadi" w:hAnsi="Abadi"/>
          <w:b/>
          <w:bCs/>
          <w:spacing w:val="64"/>
          <w:sz w:val="21"/>
          <w:szCs w:val="21"/>
        </w:rPr>
        <w:t xml:space="preserve"> </w:t>
      </w:r>
      <w:r w:rsidRPr="00AD79C7">
        <w:rPr>
          <w:rFonts w:ascii="Abadi" w:hAnsi="Abadi"/>
          <w:b/>
          <w:bCs/>
          <w:sz w:val="21"/>
          <w:szCs w:val="21"/>
        </w:rPr>
        <w:t>Edwviges</w:t>
      </w:r>
      <w:r w:rsidRPr="00AD79C7">
        <w:rPr>
          <w:rFonts w:ascii="Abadi" w:hAnsi="Abadi"/>
          <w:b/>
          <w:bCs/>
          <w:spacing w:val="64"/>
          <w:sz w:val="21"/>
          <w:szCs w:val="21"/>
        </w:rPr>
        <w:t xml:space="preserve"> </w:t>
      </w:r>
      <w:r w:rsidRPr="00AD79C7">
        <w:rPr>
          <w:rFonts w:ascii="Abadi" w:hAnsi="Abadi"/>
          <w:b/>
          <w:bCs/>
          <w:sz w:val="21"/>
          <w:szCs w:val="21"/>
        </w:rPr>
        <w:t>Alcaraz</w:t>
      </w:r>
      <w:r w:rsidRPr="00AD79C7">
        <w:rPr>
          <w:rFonts w:ascii="Abadi" w:hAnsi="Abadi"/>
          <w:b/>
          <w:bCs/>
          <w:spacing w:val="64"/>
          <w:sz w:val="21"/>
          <w:szCs w:val="21"/>
        </w:rPr>
        <w:t xml:space="preserve"> </w:t>
      </w:r>
      <w:r w:rsidRPr="00AD79C7">
        <w:rPr>
          <w:rFonts w:ascii="Abadi" w:hAnsi="Abadi"/>
          <w:b/>
          <w:bCs/>
          <w:sz w:val="21"/>
          <w:szCs w:val="21"/>
        </w:rPr>
        <w:t>Hernández,</w:t>
      </w:r>
      <w:r w:rsidRPr="00AD79C7">
        <w:rPr>
          <w:rFonts w:ascii="Abadi" w:hAnsi="Abadi"/>
          <w:b/>
          <w:bCs/>
          <w:spacing w:val="-1"/>
          <w:sz w:val="21"/>
          <w:szCs w:val="21"/>
        </w:rPr>
        <w:t xml:space="preserve"> </w:t>
      </w:r>
      <w:r w:rsidRPr="00AD79C7">
        <w:rPr>
          <w:rFonts w:ascii="Abadi" w:hAnsi="Abadi"/>
          <w:b/>
          <w:bCs/>
          <w:sz w:val="21"/>
          <w:szCs w:val="21"/>
        </w:rPr>
        <w:t>integrante</w:t>
      </w:r>
      <w:r w:rsidRPr="00AD79C7">
        <w:rPr>
          <w:rFonts w:ascii="Abadi" w:hAnsi="Abadi"/>
          <w:b/>
          <w:bCs/>
          <w:spacing w:val="73"/>
          <w:sz w:val="21"/>
          <w:szCs w:val="21"/>
        </w:rPr>
        <w:t xml:space="preserve"> </w:t>
      </w:r>
      <w:r w:rsidRPr="00AD79C7">
        <w:rPr>
          <w:rFonts w:ascii="Abadi" w:hAnsi="Abadi"/>
          <w:b/>
          <w:bCs/>
          <w:sz w:val="21"/>
          <w:szCs w:val="21"/>
        </w:rPr>
        <w:t>del</w:t>
      </w:r>
      <w:r w:rsidRPr="00AD79C7">
        <w:rPr>
          <w:rFonts w:ascii="Abadi" w:hAnsi="Abadi"/>
          <w:b/>
          <w:bCs/>
          <w:spacing w:val="73"/>
          <w:sz w:val="21"/>
          <w:szCs w:val="21"/>
        </w:rPr>
        <w:t xml:space="preserve"> </w:t>
      </w:r>
      <w:r w:rsidRPr="00AD79C7">
        <w:rPr>
          <w:rFonts w:ascii="Abadi" w:hAnsi="Abadi"/>
          <w:b/>
          <w:bCs/>
          <w:sz w:val="21"/>
          <w:szCs w:val="21"/>
        </w:rPr>
        <w:t>Grupo</w:t>
      </w:r>
      <w:r w:rsidRPr="00AD79C7">
        <w:rPr>
          <w:rFonts w:ascii="Abadi" w:hAnsi="Abadi"/>
          <w:b/>
          <w:bCs/>
          <w:spacing w:val="73"/>
          <w:sz w:val="21"/>
          <w:szCs w:val="21"/>
        </w:rPr>
        <w:t xml:space="preserve"> </w:t>
      </w:r>
      <w:r w:rsidRPr="00AD79C7">
        <w:rPr>
          <w:rFonts w:ascii="Abadi" w:hAnsi="Abadi"/>
          <w:b/>
          <w:bCs/>
          <w:sz w:val="21"/>
          <w:szCs w:val="21"/>
        </w:rPr>
        <w:t>Parlamentario</w:t>
      </w:r>
      <w:r w:rsidRPr="00AD79C7">
        <w:rPr>
          <w:rFonts w:ascii="Abadi" w:hAnsi="Abadi"/>
          <w:b/>
          <w:bCs/>
          <w:spacing w:val="73"/>
          <w:sz w:val="21"/>
          <w:szCs w:val="21"/>
        </w:rPr>
        <w:t xml:space="preserve"> </w:t>
      </w:r>
      <w:r w:rsidRPr="00AD79C7">
        <w:rPr>
          <w:rFonts w:ascii="Abadi" w:hAnsi="Abadi"/>
          <w:b/>
          <w:bCs/>
          <w:sz w:val="21"/>
          <w:szCs w:val="21"/>
        </w:rPr>
        <w:t>del</w:t>
      </w:r>
      <w:r w:rsidRPr="00AD79C7">
        <w:rPr>
          <w:rFonts w:ascii="Abadi" w:hAnsi="Abadi"/>
          <w:b/>
          <w:bCs/>
          <w:spacing w:val="73"/>
          <w:sz w:val="21"/>
          <w:szCs w:val="21"/>
        </w:rPr>
        <w:t xml:space="preserve"> </w:t>
      </w:r>
      <w:r w:rsidRPr="00AD79C7">
        <w:rPr>
          <w:rFonts w:ascii="Abadi" w:hAnsi="Abadi"/>
          <w:b/>
          <w:bCs/>
          <w:sz w:val="21"/>
          <w:szCs w:val="21"/>
        </w:rPr>
        <w:t>Partido</w:t>
      </w:r>
      <w:r w:rsidRPr="00AD79C7">
        <w:rPr>
          <w:rFonts w:ascii="Abadi" w:hAnsi="Abadi"/>
          <w:b/>
          <w:bCs/>
          <w:spacing w:val="73"/>
          <w:sz w:val="21"/>
          <w:szCs w:val="21"/>
        </w:rPr>
        <w:t xml:space="preserve"> </w:t>
      </w:r>
      <w:r w:rsidRPr="00AD79C7">
        <w:rPr>
          <w:rFonts w:ascii="Abadi" w:hAnsi="Abadi"/>
          <w:b/>
          <w:bCs/>
          <w:sz w:val="21"/>
          <w:szCs w:val="21"/>
        </w:rPr>
        <w:t>MORENA,</w:t>
      </w:r>
      <w:r w:rsidRPr="00AD79C7">
        <w:rPr>
          <w:rFonts w:ascii="Abadi" w:hAnsi="Abadi"/>
          <w:b/>
          <w:bCs/>
          <w:spacing w:val="73"/>
          <w:sz w:val="21"/>
          <w:szCs w:val="21"/>
        </w:rPr>
        <w:t xml:space="preserve"> </w:t>
      </w:r>
      <w:r w:rsidRPr="00AD79C7">
        <w:rPr>
          <w:rFonts w:ascii="Abadi" w:hAnsi="Abadi"/>
          <w:b/>
          <w:bCs/>
          <w:sz w:val="21"/>
          <w:szCs w:val="21"/>
        </w:rPr>
        <w:t>a</w:t>
      </w:r>
      <w:r w:rsidRPr="00AD79C7">
        <w:rPr>
          <w:rFonts w:ascii="Abadi" w:hAnsi="Abadi"/>
          <w:b/>
          <w:bCs/>
          <w:spacing w:val="73"/>
          <w:sz w:val="21"/>
          <w:szCs w:val="21"/>
        </w:rPr>
        <w:t xml:space="preserve"> </w:t>
      </w:r>
      <w:r w:rsidRPr="00AD79C7">
        <w:rPr>
          <w:rFonts w:ascii="Abadi" w:hAnsi="Abadi"/>
          <w:b/>
          <w:bCs/>
          <w:sz w:val="21"/>
          <w:szCs w:val="21"/>
        </w:rPr>
        <w:t>efecto</w:t>
      </w:r>
      <w:r w:rsidRPr="00AD79C7">
        <w:rPr>
          <w:rFonts w:ascii="Abadi" w:hAnsi="Abadi"/>
          <w:b/>
          <w:bCs/>
          <w:spacing w:val="73"/>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exhortar</w:t>
      </w:r>
      <w:r w:rsidRPr="00AD79C7">
        <w:rPr>
          <w:rFonts w:ascii="Abadi" w:hAnsi="Abadi"/>
          <w:b/>
          <w:bCs/>
          <w:spacing w:val="18"/>
          <w:sz w:val="21"/>
          <w:szCs w:val="21"/>
        </w:rPr>
        <w:t xml:space="preserve"> </w:t>
      </w:r>
      <w:r w:rsidRPr="00AD79C7">
        <w:rPr>
          <w:rFonts w:ascii="Abadi" w:hAnsi="Abadi"/>
          <w:b/>
          <w:bCs/>
          <w:sz w:val="21"/>
          <w:szCs w:val="21"/>
        </w:rPr>
        <w:t>al</w:t>
      </w:r>
      <w:r w:rsidRPr="00AD79C7">
        <w:rPr>
          <w:rFonts w:ascii="Abadi" w:hAnsi="Abadi"/>
          <w:b/>
          <w:bCs/>
          <w:spacing w:val="18"/>
          <w:sz w:val="21"/>
          <w:szCs w:val="21"/>
        </w:rPr>
        <w:t xml:space="preserve"> </w:t>
      </w:r>
      <w:r w:rsidRPr="00AD79C7">
        <w:rPr>
          <w:rFonts w:ascii="Abadi" w:hAnsi="Abadi"/>
          <w:b/>
          <w:bCs/>
          <w:sz w:val="21"/>
          <w:szCs w:val="21"/>
        </w:rPr>
        <w:t>titular</w:t>
      </w:r>
      <w:r w:rsidRPr="00AD79C7">
        <w:rPr>
          <w:rFonts w:ascii="Abadi" w:hAnsi="Abadi"/>
          <w:b/>
          <w:bCs/>
          <w:spacing w:val="18"/>
          <w:sz w:val="21"/>
          <w:szCs w:val="21"/>
        </w:rPr>
        <w:t xml:space="preserve"> </w:t>
      </w:r>
      <w:r w:rsidRPr="00AD79C7">
        <w:rPr>
          <w:rFonts w:ascii="Abadi" w:hAnsi="Abadi"/>
          <w:b/>
          <w:bCs/>
          <w:sz w:val="21"/>
          <w:szCs w:val="21"/>
        </w:rPr>
        <w:t>de</w:t>
      </w:r>
      <w:r w:rsidRPr="00AD79C7">
        <w:rPr>
          <w:rFonts w:ascii="Abadi" w:hAnsi="Abadi"/>
          <w:b/>
          <w:bCs/>
          <w:spacing w:val="18"/>
          <w:sz w:val="21"/>
          <w:szCs w:val="21"/>
        </w:rPr>
        <w:t xml:space="preserve"> </w:t>
      </w:r>
      <w:r w:rsidRPr="00AD79C7">
        <w:rPr>
          <w:rFonts w:ascii="Abadi" w:hAnsi="Abadi"/>
          <w:b/>
          <w:bCs/>
          <w:sz w:val="21"/>
          <w:szCs w:val="21"/>
        </w:rPr>
        <w:t>la</w:t>
      </w:r>
      <w:r w:rsidRPr="00AD79C7">
        <w:rPr>
          <w:rFonts w:ascii="Abadi" w:hAnsi="Abadi"/>
          <w:b/>
          <w:bCs/>
          <w:spacing w:val="17"/>
          <w:sz w:val="21"/>
          <w:szCs w:val="21"/>
        </w:rPr>
        <w:t xml:space="preserve"> </w:t>
      </w:r>
      <w:r w:rsidRPr="00AD79C7">
        <w:rPr>
          <w:rFonts w:ascii="Abadi" w:hAnsi="Abadi"/>
          <w:b/>
          <w:bCs/>
          <w:sz w:val="21"/>
          <w:szCs w:val="21"/>
        </w:rPr>
        <w:t>Auditoría</w:t>
      </w:r>
      <w:r w:rsidRPr="00AD79C7">
        <w:rPr>
          <w:rFonts w:ascii="Abadi" w:hAnsi="Abadi"/>
          <w:b/>
          <w:bCs/>
          <w:spacing w:val="18"/>
          <w:sz w:val="21"/>
          <w:szCs w:val="21"/>
        </w:rPr>
        <w:t xml:space="preserve"> </w:t>
      </w:r>
      <w:r w:rsidRPr="00AD79C7">
        <w:rPr>
          <w:rFonts w:ascii="Abadi" w:hAnsi="Abadi"/>
          <w:b/>
          <w:bCs/>
          <w:sz w:val="21"/>
          <w:szCs w:val="21"/>
        </w:rPr>
        <w:t>Superior</w:t>
      </w:r>
      <w:r w:rsidRPr="00AD79C7">
        <w:rPr>
          <w:rFonts w:ascii="Abadi" w:hAnsi="Abadi"/>
          <w:b/>
          <w:bCs/>
          <w:spacing w:val="17"/>
          <w:sz w:val="21"/>
          <w:szCs w:val="21"/>
        </w:rPr>
        <w:t xml:space="preserve"> </w:t>
      </w:r>
      <w:r w:rsidRPr="00AD79C7">
        <w:rPr>
          <w:rFonts w:ascii="Abadi" w:hAnsi="Abadi"/>
          <w:b/>
          <w:bCs/>
          <w:sz w:val="21"/>
          <w:szCs w:val="21"/>
        </w:rPr>
        <w:t>del</w:t>
      </w:r>
      <w:r w:rsidRPr="00AD79C7">
        <w:rPr>
          <w:rFonts w:ascii="Abadi" w:hAnsi="Abadi"/>
          <w:b/>
          <w:bCs/>
          <w:spacing w:val="17"/>
          <w:sz w:val="21"/>
          <w:szCs w:val="21"/>
        </w:rPr>
        <w:t xml:space="preserve"> </w:t>
      </w:r>
      <w:r w:rsidRPr="00AD79C7">
        <w:rPr>
          <w:rFonts w:ascii="Abadi" w:hAnsi="Abadi"/>
          <w:b/>
          <w:bCs/>
          <w:sz w:val="21"/>
          <w:szCs w:val="21"/>
        </w:rPr>
        <w:lastRenderedPageBreak/>
        <w:t>Estado</w:t>
      </w:r>
      <w:r w:rsidRPr="00AD79C7">
        <w:rPr>
          <w:rFonts w:ascii="Abadi" w:hAnsi="Abadi"/>
          <w:b/>
          <w:bCs/>
          <w:spacing w:val="18"/>
          <w:sz w:val="21"/>
          <w:szCs w:val="21"/>
        </w:rPr>
        <w:t xml:space="preserve"> </w:t>
      </w:r>
      <w:r w:rsidRPr="00AD79C7">
        <w:rPr>
          <w:rFonts w:ascii="Abadi" w:hAnsi="Abadi"/>
          <w:b/>
          <w:bCs/>
          <w:sz w:val="21"/>
          <w:szCs w:val="21"/>
        </w:rPr>
        <w:t>de</w:t>
      </w:r>
      <w:r w:rsidRPr="00AD79C7">
        <w:rPr>
          <w:rFonts w:ascii="Abadi" w:hAnsi="Abadi"/>
          <w:b/>
          <w:bCs/>
          <w:spacing w:val="18"/>
          <w:sz w:val="21"/>
          <w:szCs w:val="21"/>
        </w:rPr>
        <w:t xml:space="preserve"> </w:t>
      </w:r>
      <w:r w:rsidRPr="00AD79C7">
        <w:rPr>
          <w:rFonts w:ascii="Abadi" w:hAnsi="Abadi"/>
          <w:b/>
          <w:bCs/>
          <w:sz w:val="21"/>
          <w:szCs w:val="21"/>
        </w:rPr>
        <w:t>Guanajuato,</w:t>
      </w:r>
      <w:r w:rsidRPr="00AD79C7">
        <w:rPr>
          <w:rFonts w:ascii="Abadi" w:hAnsi="Abadi"/>
          <w:b/>
          <w:bCs/>
          <w:spacing w:val="18"/>
          <w:sz w:val="21"/>
          <w:szCs w:val="21"/>
        </w:rPr>
        <w:t xml:space="preserve"> </w:t>
      </w:r>
      <w:r w:rsidRPr="00AD79C7">
        <w:rPr>
          <w:rFonts w:ascii="Abadi" w:hAnsi="Abadi"/>
          <w:b/>
          <w:bCs/>
          <w:sz w:val="21"/>
          <w:szCs w:val="21"/>
        </w:rPr>
        <w:t>para</w:t>
      </w:r>
      <w:r w:rsidRPr="00AD79C7">
        <w:rPr>
          <w:rFonts w:ascii="Abadi" w:hAnsi="Abadi"/>
          <w:b/>
          <w:bCs/>
          <w:spacing w:val="-1"/>
          <w:sz w:val="21"/>
          <w:szCs w:val="21"/>
        </w:rPr>
        <w:t xml:space="preserve"> </w:t>
      </w:r>
      <w:r w:rsidRPr="00AD79C7">
        <w:rPr>
          <w:rFonts w:ascii="Abadi" w:hAnsi="Abadi"/>
          <w:b/>
          <w:bCs/>
          <w:sz w:val="21"/>
          <w:szCs w:val="21"/>
        </w:rPr>
        <w:t>que</w:t>
      </w:r>
      <w:r w:rsidRPr="00AD79C7">
        <w:rPr>
          <w:rFonts w:ascii="Abadi" w:hAnsi="Abadi"/>
          <w:b/>
          <w:bCs/>
          <w:spacing w:val="26"/>
          <w:sz w:val="21"/>
          <w:szCs w:val="21"/>
        </w:rPr>
        <w:t xml:space="preserve">  </w:t>
      </w:r>
      <w:r w:rsidRPr="00AD79C7">
        <w:rPr>
          <w:rFonts w:ascii="Abadi" w:hAnsi="Abadi"/>
          <w:b/>
          <w:bCs/>
          <w:sz w:val="21"/>
          <w:szCs w:val="21"/>
        </w:rPr>
        <w:t>lleve</w:t>
      </w:r>
      <w:r w:rsidRPr="00AD79C7">
        <w:rPr>
          <w:rFonts w:ascii="Abadi" w:hAnsi="Abadi"/>
          <w:b/>
          <w:bCs/>
          <w:spacing w:val="26"/>
          <w:sz w:val="21"/>
          <w:szCs w:val="21"/>
        </w:rPr>
        <w:t xml:space="preserve">  </w:t>
      </w:r>
      <w:r w:rsidRPr="00AD79C7">
        <w:rPr>
          <w:rFonts w:ascii="Abadi" w:hAnsi="Abadi"/>
          <w:b/>
          <w:bCs/>
          <w:sz w:val="21"/>
          <w:szCs w:val="21"/>
        </w:rPr>
        <w:t>a</w:t>
      </w:r>
      <w:r w:rsidRPr="00AD79C7">
        <w:rPr>
          <w:rFonts w:ascii="Abadi" w:hAnsi="Abadi"/>
          <w:b/>
          <w:bCs/>
          <w:spacing w:val="26"/>
          <w:sz w:val="21"/>
          <w:szCs w:val="21"/>
        </w:rPr>
        <w:t xml:space="preserve">  </w:t>
      </w:r>
      <w:r w:rsidRPr="00AD79C7">
        <w:rPr>
          <w:rFonts w:ascii="Abadi" w:hAnsi="Abadi"/>
          <w:b/>
          <w:bCs/>
          <w:sz w:val="21"/>
          <w:szCs w:val="21"/>
        </w:rPr>
        <w:t>cabo</w:t>
      </w:r>
      <w:r w:rsidRPr="00AD79C7">
        <w:rPr>
          <w:rFonts w:ascii="Abadi" w:hAnsi="Abadi"/>
          <w:b/>
          <w:bCs/>
          <w:spacing w:val="26"/>
          <w:sz w:val="21"/>
          <w:szCs w:val="21"/>
        </w:rPr>
        <w:t xml:space="preserve">  </w:t>
      </w:r>
      <w:r w:rsidRPr="00AD79C7">
        <w:rPr>
          <w:rFonts w:ascii="Abadi" w:hAnsi="Abadi"/>
          <w:b/>
          <w:bCs/>
          <w:sz w:val="21"/>
          <w:szCs w:val="21"/>
        </w:rPr>
        <w:t>una</w:t>
      </w:r>
      <w:r w:rsidRPr="00AD79C7">
        <w:rPr>
          <w:rFonts w:ascii="Abadi" w:hAnsi="Abadi"/>
          <w:b/>
          <w:bCs/>
          <w:spacing w:val="26"/>
          <w:sz w:val="21"/>
          <w:szCs w:val="21"/>
        </w:rPr>
        <w:t xml:space="preserve">  </w:t>
      </w:r>
      <w:r w:rsidRPr="00AD79C7">
        <w:rPr>
          <w:rFonts w:ascii="Abadi" w:hAnsi="Abadi"/>
          <w:b/>
          <w:bCs/>
          <w:sz w:val="21"/>
          <w:szCs w:val="21"/>
        </w:rPr>
        <w:t>auditoría</w:t>
      </w:r>
      <w:r w:rsidRPr="00AD79C7">
        <w:rPr>
          <w:rFonts w:ascii="Abadi" w:hAnsi="Abadi"/>
          <w:b/>
          <w:bCs/>
          <w:spacing w:val="26"/>
          <w:sz w:val="21"/>
          <w:szCs w:val="21"/>
        </w:rPr>
        <w:t xml:space="preserve">  </w:t>
      </w:r>
      <w:r w:rsidRPr="00AD79C7">
        <w:rPr>
          <w:rFonts w:ascii="Abadi" w:hAnsi="Abadi"/>
          <w:b/>
          <w:bCs/>
          <w:sz w:val="21"/>
          <w:szCs w:val="21"/>
        </w:rPr>
        <w:t>financiera</w:t>
      </w:r>
      <w:r w:rsidRPr="00AD79C7">
        <w:rPr>
          <w:rFonts w:ascii="Abadi" w:hAnsi="Abadi"/>
          <w:b/>
          <w:bCs/>
          <w:spacing w:val="26"/>
          <w:sz w:val="21"/>
          <w:szCs w:val="21"/>
        </w:rPr>
        <w:t xml:space="preserve">  </w:t>
      </w:r>
      <w:r w:rsidRPr="00AD79C7">
        <w:rPr>
          <w:rFonts w:ascii="Abadi" w:hAnsi="Abadi"/>
          <w:b/>
          <w:bCs/>
          <w:sz w:val="21"/>
          <w:szCs w:val="21"/>
        </w:rPr>
        <w:t>integral</w:t>
      </w:r>
      <w:r w:rsidRPr="00AD79C7">
        <w:rPr>
          <w:rFonts w:ascii="Abadi" w:hAnsi="Abadi"/>
          <w:b/>
          <w:bCs/>
          <w:spacing w:val="26"/>
          <w:sz w:val="21"/>
          <w:szCs w:val="21"/>
        </w:rPr>
        <w:t xml:space="preserve">  </w:t>
      </w:r>
      <w:r w:rsidRPr="00AD79C7">
        <w:rPr>
          <w:rFonts w:ascii="Abadi" w:hAnsi="Abadi"/>
          <w:b/>
          <w:bCs/>
          <w:sz w:val="21"/>
          <w:szCs w:val="21"/>
        </w:rPr>
        <w:t>al</w:t>
      </w:r>
      <w:r w:rsidRPr="00AD79C7">
        <w:rPr>
          <w:rFonts w:ascii="Abadi" w:hAnsi="Abadi"/>
          <w:b/>
          <w:bCs/>
          <w:spacing w:val="26"/>
          <w:sz w:val="21"/>
          <w:szCs w:val="21"/>
        </w:rPr>
        <w:t xml:space="preserve">  </w:t>
      </w:r>
      <w:r w:rsidRPr="00AD79C7">
        <w:rPr>
          <w:rFonts w:ascii="Abadi" w:hAnsi="Abadi"/>
          <w:b/>
          <w:bCs/>
          <w:sz w:val="21"/>
          <w:szCs w:val="21"/>
        </w:rPr>
        <w:t>municipio</w:t>
      </w:r>
      <w:r w:rsidRPr="00AD79C7">
        <w:rPr>
          <w:rFonts w:ascii="Abadi" w:hAnsi="Abadi"/>
          <w:b/>
          <w:bCs/>
          <w:spacing w:val="26"/>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Guanajuato,</w:t>
      </w:r>
      <w:r w:rsidRPr="00AD79C7">
        <w:rPr>
          <w:rFonts w:ascii="Abadi" w:hAnsi="Abadi"/>
          <w:b/>
          <w:bCs/>
          <w:spacing w:val="-9"/>
          <w:sz w:val="21"/>
          <w:szCs w:val="21"/>
        </w:rPr>
        <w:t xml:space="preserve"> </w:t>
      </w:r>
      <w:r w:rsidRPr="00AD79C7">
        <w:rPr>
          <w:rFonts w:ascii="Abadi" w:hAnsi="Abadi"/>
          <w:b/>
          <w:bCs/>
          <w:sz w:val="21"/>
          <w:szCs w:val="21"/>
        </w:rPr>
        <w:t>por</w:t>
      </w:r>
      <w:r w:rsidRPr="00AD79C7">
        <w:rPr>
          <w:rFonts w:ascii="Abadi" w:hAnsi="Abadi"/>
          <w:b/>
          <w:bCs/>
          <w:spacing w:val="-9"/>
          <w:sz w:val="21"/>
          <w:szCs w:val="21"/>
        </w:rPr>
        <w:t xml:space="preserve"> </w:t>
      </w:r>
      <w:r w:rsidRPr="00AD79C7">
        <w:rPr>
          <w:rFonts w:ascii="Abadi" w:hAnsi="Abadi"/>
          <w:b/>
          <w:bCs/>
          <w:sz w:val="21"/>
          <w:szCs w:val="21"/>
        </w:rPr>
        <w:t>los</w:t>
      </w:r>
      <w:r w:rsidRPr="00AD79C7">
        <w:rPr>
          <w:rFonts w:ascii="Abadi" w:hAnsi="Abadi"/>
          <w:b/>
          <w:bCs/>
          <w:spacing w:val="-8"/>
          <w:sz w:val="21"/>
          <w:szCs w:val="21"/>
        </w:rPr>
        <w:t xml:space="preserve"> </w:t>
      </w:r>
      <w:r w:rsidRPr="00AD79C7">
        <w:rPr>
          <w:rFonts w:ascii="Abadi" w:hAnsi="Abadi"/>
          <w:b/>
          <w:bCs/>
          <w:sz w:val="21"/>
          <w:szCs w:val="21"/>
        </w:rPr>
        <w:t>ejercicios</w:t>
      </w:r>
      <w:r w:rsidRPr="00AD79C7">
        <w:rPr>
          <w:rFonts w:ascii="Abadi" w:hAnsi="Abadi"/>
          <w:b/>
          <w:bCs/>
          <w:spacing w:val="-9"/>
          <w:sz w:val="21"/>
          <w:szCs w:val="21"/>
        </w:rPr>
        <w:t xml:space="preserve"> </w:t>
      </w:r>
      <w:r w:rsidRPr="00AD79C7">
        <w:rPr>
          <w:rFonts w:ascii="Abadi" w:hAnsi="Abadi"/>
          <w:b/>
          <w:bCs/>
          <w:sz w:val="21"/>
          <w:szCs w:val="21"/>
        </w:rPr>
        <w:t>fiscales</w:t>
      </w:r>
      <w:r w:rsidRPr="00AD79C7">
        <w:rPr>
          <w:rFonts w:ascii="Abadi" w:hAnsi="Abadi"/>
          <w:b/>
          <w:bCs/>
          <w:spacing w:val="-9"/>
          <w:sz w:val="21"/>
          <w:szCs w:val="21"/>
        </w:rPr>
        <w:t xml:space="preserve"> </w:t>
      </w:r>
      <w:r w:rsidRPr="00AD79C7">
        <w:rPr>
          <w:rFonts w:ascii="Abadi" w:hAnsi="Abadi"/>
          <w:b/>
          <w:bCs/>
          <w:sz w:val="21"/>
          <w:szCs w:val="21"/>
        </w:rPr>
        <w:t>de</w:t>
      </w:r>
      <w:r w:rsidRPr="00AD79C7">
        <w:rPr>
          <w:rFonts w:ascii="Abadi" w:hAnsi="Abadi"/>
          <w:b/>
          <w:bCs/>
          <w:spacing w:val="-9"/>
          <w:sz w:val="21"/>
          <w:szCs w:val="21"/>
        </w:rPr>
        <w:t xml:space="preserve"> </w:t>
      </w:r>
      <w:r w:rsidRPr="00AD79C7">
        <w:rPr>
          <w:rFonts w:ascii="Abadi" w:hAnsi="Abadi"/>
          <w:b/>
          <w:bCs/>
          <w:sz w:val="21"/>
          <w:szCs w:val="21"/>
        </w:rPr>
        <w:t>2019,</w:t>
      </w:r>
      <w:r w:rsidRPr="00AD79C7">
        <w:rPr>
          <w:rFonts w:ascii="Abadi" w:hAnsi="Abadi"/>
          <w:b/>
          <w:bCs/>
          <w:spacing w:val="-9"/>
          <w:sz w:val="21"/>
          <w:szCs w:val="21"/>
        </w:rPr>
        <w:t xml:space="preserve"> </w:t>
      </w:r>
      <w:r w:rsidRPr="00AD79C7">
        <w:rPr>
          <w:rFonts w:ascii="Abadi" w:hAnsi="Abadi"/>
          <w:b/>
          <w:bCs/>
          <w:sz w:val="21"/>
          <w:szCs w:val="21"/>
        </w:rPr>
        <w:t>2020</w:t>
      </w:r>
      <w:r w:rsidRPr="00AD79C7">
        <w:rPr>
          <w:rFonts w:ascii="Abadi" w:hAnsi="Abadi"/>
          <w:b/>
          <w:bCs/>
          <w:spacing w:val="-8"/>
          <w:sz w:val="21"/>
          <w:szCs w:val="21"/>
        </w:rPr>
        <w:t xml:space="preserve"> </w:t>
      </w:r>
      <w:r w:rsidRPr="00AD79C7">
        <w:rPr>
          <w:rFonts w:ascii="Abadi" w:hAnsi="Abadi"/>
          <w:b/>
          <w:bCs/>
          <w:sz w:val="21"/>
          <w:szCs w:val="21"/>
        </w:rPr>
        <w:t>y</w:t>
      </w:r>
      <w:r w:rsidRPr="00AD79C7">
        <w:rPr>
          <w:rFonts w:ascii="Abadi" w:hAnsi="Abadi"/>
          <w:b/>
          <w:bCs/>
          <w:spacing w:val="-9"/>
          <w:sz w:val="21"/>
          <w:szCs w:val="21"/>
        </w:rPr>
        <w:t xml:space="preserve"> </w:t>
      </w:r>
      <w:r w:rsidRPr="00AD79C7">
        <w:rPr>
          <w:rFonts w:ascii="Abadi" w:hAnsi="Abadi"/>
          <w:b/>
          <w:bCs/>
          <w:sz w:val="21"/>
          <w:szCs w:val="21"/>
        </w:rPr>
        <w:t>2021</w:t>
      </w:r>
      <w:r w:rsidRPr="00AD79C7">
        <w:rPr>
          <w:rFonts w:ascii="Abadi" w:hAnsi="Abadi"/>
          <w:b/>
          <w:bCs/>
          <w:spacing w:val="-9"/>
          <w:sz w:val="21"/>
          <w:szCs w:val="21"/>
        </w:rPr>
        <w:t xml:space="preserve"> </w:t>
      </w:r>
      <w:r w:rsidRPr="00AD79C7">
        <w:rPr>
          <w:rFonts w:ascii="Abadi" w:hAnsi="Abadi"/>
          <w:b/>
          <w:bCs/>
          <w:sz w:val="21"/>
          <w:szCs w:val="21"/>
        </w:rPr>
        <w:t>y</w:t>
      </w:r>
      <w:r w:rsidRPr="00AD79C7">
        <w:rPr>
          <w:rFonts w:ascii="Abadi" w:hAnsi="Abadi"/>
          <w:b/>
          <w:bCs/>
          <w:spacing w:val="-9"/>
          <w:sz w:val="21"/>
          <w:szCs w:val="21"/>
        </w:rPr>
        <w:t xml:space="preserve"> </w:t>
      </w:r>
      <w:r w:rsidRPr="00AD79C7">
        <w:rPr>
          <w:rFonts w:ascii="Abadi" w:hAnsi="Abadi"/>
          <w:b/>
          <w:bCs/>
          <w:sz w:val="21"/>
          <w:szCs w:val="21"/>
        </w:rPr>
        <w:t>concomitante</w:t>
      </w:r>
      <w:r w:rsidRPr="00AD79C7">
        <w:rPr>
          <w:rFonts w:ascii="Abadi" w:hAnsi="Abadi"/>
          <w:b/>
          <w:bCs/>
          <w:spacing w:val="-1"/>
          <w:sz w:val="21"/>
          <w:szCs w:val="21"/>
        </w:rPr>
        <w:t xml:space="preserve"> </w:t>
      </w:r>
      <w:r w:rsidRPr="00AD79C7">
        <w:rPr>
          <w:rFonts w:ascii="Abadi" w:hAnsi="Abadi"/>
          <w:b/>
          <w:bCs/>
          <w:sz w:val="21"/>
          <w:szCs w:val="21"/>
        </w:rPr>
        <w:t>a 2022.</w:t>
      </w:r>
    </w:p>
    <w:p w14:paraId="23D331C8" w14:textId="77777777" w:rsidR="00040256" w:rsidRPr="00AD79C7" w:rsidRDefault="00040256" w:rsidP="006B00FD">
      <w:pPr>
        <w:pStyle w:val="Prrafodelista"/>
        <w:tabs>
          <w:tab w:val="left" w:pos="856"/>
        </w:tabs>
        <w:kinsoku w:val="0"/>
        <w:overflowPunct w:val="0"/>
        <w:autoSpaceDE w:val="0"/>
        <w:autoSpaceDN w:val="0"/>
        <w:adjustRightInd w:val="0"/>
        <w:ind w:left="720" w:right="566"/>
        <w:jc w:val="both"/>
        <w:rPr>
          <w:rFonts w:ascii="Abadi" w:hAnsi="Abadi"/>
          <w:b/>
          <w:bCs/>
          <w:sz w:val="21"/>
          <w:szCs w:val="21"/>
        </w:rPr>
      </w:pPr>
    </w:p>
    <w:p w14:paraId="67C4097F" w14:textId="6FE6EE31" w:rsidR="008054DD" w:rsidRDefault="008054DD" w:rsidP="005433FA">
      <w:pPr>
        <w:pStyle w:val="Prrafodelista"/>
        <w:numPr>
          <w:ilvl w:val="0"/>
          <w:numId w:val="8"/>
        </w:numPr>
        <w:tabs>
          <w:tab w:val="left" w:pos="856"/>
        </w:tabs>
        <w:kinsoku w:val="0"/>
        <w:overflowPunct w:val="0"/>
        <w:autoSpaceDE w:val="0"/>
        <w:autoSpaceDN w:val="0"/>
        <w:adjustRightInd w:val="0"/>
        <w:spacing w:before="22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50"/>
          <w:w w:val="150"/>
          <w:sz w:val="21"/>
          <w:szCs w:val="21"/>
        </w:rPr>
        <w:t xml:space="preserve"> </w:t>
      </w:r>
      <w:r w:rsidRPr="00AD79C7">
        <w:rPr>
          <w:rFonts w:ascii="Abadi" w:hAnsi="Abadi"/>
          <w:b/>
          <w:bCs/>
          <w:sz w:val="21"/>
          <w:szCs w:val="21"/>
        </w:rPr>
        <w:t>y,</w:t>
      </w:r>
      <w:r w:rsidRPr="00AD79C7">
        <w:rPr>
          <w:rFonts w:ascii="Abadi" w:hAnsi="Abadi"/>
          <w:b/>
          <w:bCs/>
          <w:spacing w:val="50"/>
          <w:w w:val="150"/>
          <w:sz w:val="21"/>
          <w:szCs w:val="21"/>
        </w:rPr>
        <w:t xml:space="preserve"> </w:t>
      </w:r>
      <w:r w:rsidRPr="00AD79C7">
        <w:rPr>
          <w:rFonts w:ascii="Abadi" w:hAnsi="Abadi"/>
          <w:b/>
          <w:bCs/>
          <w:sz w:val="21"/>
          <w:szCs w:val="21"/>
        </w:rPr>
        <w:t>en</w:t>
      </w:r>
      <w:r w:rsidRPr="00AD79C7">
        <w:rPr>
          <w:rFonts w:ascii="Abadi" w:hAnsi="Abadi"/>
          <w:b/>
          <w:bCs/>
          <w:spacing w:val="50"/>
          <w:w w:val="150"/>
          <w:sz w:val="21"/>
          <w:szCs w:val="21"/>
        </w:rPr>
        <w:t xml:space="preserve"> </w:t>
      </w:r>
      <w:r w:rsidRPr="00AD79C7">
        <w:rPr>
          <w:rFonts w:ascii="Abadi" w:hAnsi="Abadi"/>
          <w:b/>
          <w:bCs/>
          <w:sz w:val="21"/>
          <w:szCs w:val="21"/>
        </w:rPr>
        <w:t>su</w:t>
      </w:r>
      <w:r w:rsidRPr="00AD79C7">
        <w:rPr>
          <w:rFonts w:ascii="Abadi" w:hAnsi="Abadi"/>
          <w:b/>
          <w:bCs/>
          <w:spacing w:val="50"/>
          <w:w w:val="150"/>
          <w:sz w:val="21"/>
          <w:szCs w:val="21"/>
        </w:rPr>
        <w:t xml:space="preserve"> </w:t>
      </w:r>
      <w:r w:rsidRPr="00AD79C7">
        <w:rPr>
          <w:rFonts w:ascii="Abadi" w:hAnsi="Abadi"/>
          <w:b/>
          <w:bCs/>
          <w:sz w:val="21"/>
          <w:szCs w:val="21"/>
        </w:rPr>
        <w:t>caso,</w:t>
      </w:r>
      <w:r w:rsidRPr="00AD79C7">
        <w:rPr>
          <w:rFonts w:ascii="Abadi" w:hAnsi="Abadi"/>
          <w:b/>
          <w:bCs/>
          <w:spacing w:val="50"/>
          <w:w w:val="150"/>
          <w:sz w:val="21"/>
          <w:szCs w:val="21"/>
        </w:rPr>
        <w:t xml:space="preserve"> </w:t>
      </w:r>
      <w:r w:rsidRPr="00AD79C7">
        <w:rPr>
          <w:rFonts w:ascii="Abadi" w:hAnsi="Abadi"/>
          <w:b/>
          <w:bCs/>
          <w:sz w:val="21"/>
          <w:szCs w:val="21"/>
        </w:rPr>
        <w:t>aprobación</w:t>
      </w:r>
      <w:r w:rsidRPr="00AD79C7">
        <w:rPr>
          <w:rFonts w:ascii="Abadi" w:hAnsi="Abadi"/>
          <w:b/>
          <w:bCs/>
          <w:spacing w:val="50"/>
          <w:w w:val="150"/>
          <w:sz w:val="21"/>
          <w:szCs w:val="21"/>
        </w:rPr>
        <w:t xml:space="preserve"> </w:t>
      </w:r>
      <w:r w:rsidRPr="00AD79C7">
        <w:rPr>
          <w:rFonts w:ascii="Abadi" w:hAnsi="Abadi"/>
          <w:b/>
          <w:bCs/>
          <w:sz w:val="21"/>
          <w:szCs w:val="21"/>
        </w:rPr>
        <w:t>del</w:t>
      </w:r>
      <w:r w:rsidRPr="00AD79C7">
        <w:rPr>
          <w:rFonts w:ascii="Abadi" w:hAnsi="Abadi"/>
          <w:b/>
          <w:bCs/>
          <w:spacing w:val="50"/>
          <w:w w:val="150"/>
          <w:sz w:val="21"/>
          <w:szCs w:val="21"/>
        </w:rPr>
        <w:t xml:space="preserve"> </w:t>
      </w:r>
      <w:r w:rsidRPr="00AD79C7">
        <w:rPr>
          <w:rFonts w:ascii="Abadi" w:hAnsi="Abadi"/>
          <w:b/>
          <w:bCs/>
          <w:sz w:val="21"/>
          <w:szCs w:val="21"/>
        </w:rPr>
        <w:t>dictamen</w:t>
      </w:r>
      <w:r w:rsidRPr="00AD79C7">
        <w:rPr>
          <w:rFonts w:ascii="Abadi" w:hAnsi="Abadi"/>
          <w:b/>
          <w:bCs/>
          <w:spacing w:val="50"/>
          <w:w w:val="150"/>
          <w:sz w:val="21"/>
          <w:szCs w:val="21"/>
        </w:rPr>
        <w:t xml:space="preserve"> </w:t>
      </w:r>
      <w:r w:rsidRPr="00AD79C7">
        <w:rPr>
          <w:rFonts w:ascii="Abadi" w:hAnsi="Abadi"/>
          <w:b/>
          <w:bCs/>
          <w:sz w:val="21"/>
          <w:szCs w:val="21"/>
        </w:rPr>
        <w:t>presentado</w:t>
      </w:r>
      <w:r w:rsidRPr="00AD79C7">
        <w:rPr>
          <w:rFonts w:ascii="Abadi" w:hAnsi="Abadi"/>
          <w:b/>
          <w:bCs/>
          <w:spacing w:val="50"/>
          <w:w w:val="150"/>
          <w:sz w:val="21"/>
          <w:szCs w:val="21"/>
        </w:rPr>
        <w:t xml:space="preserve"> </w:t>
      </w:r>
      <w:r w:rsidRPr="00AD79C7">
        <w:rPr>
          <w:rFonts w:ascii="Abadi" w:hAnsi="Abadi"/>
          <w:b/>
          <w:bCs/>
          <w:sz w:val="21"/>
          <w:szCs w:val="21"/>
        </w:rPr>
        <w:t>por</w:t>
      </w:r>
      <w:r w:rsidRPr="00AD79C7">
        <w:rPr>
          <w:rFonts w:ascii="Abadi" w:hAnsi="Abadi"/>
          <w:b/>
          <w:bCs/>
          <w:spacing w:val="50"/>
          <w:w w:val="150"/>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Comisión</w:t>
      </w:r>
      <w:r w:rsidRPr="00AD79C7">
        <w:rPr>
          <w:rFonts w:ascii="Abadi" w:hAnsi="Abadi"/>
          <w:b/>
          <w:bCs/>
          <w:spacing w:val="20"/>
          <w:sz w:val="21"/>
          <w:szCs w:val="21"/>
        </w:rPr>
        <w:t xml:space="preserve"> </w:t>
      </w:r>
      <w:r w:rsidRPr="00AD79C7">
        <w:rPr>
          <w:rFonts w:ascii="Abadi" w:hAnsi="Abadi"/>
          <w:b/>
          <w:bCs/>
          <w:sz w:val="21"/>
          <w:szCs w:val="21"/>
        </w:rPr>
        <w:t>de</w:t>
      </w:r>
      <w:r w:rsidRPr="00AD79C7">
        <w:rPr>
          <w:rFonts w:ascii="Abadi" w:hAnsi="Abadi"/>
          <w:b/>
          <w:bCs/>
          <w:spacing w:val="20"/>
          <w:sz w:val="21"/>
          <w:szCs w:val="21"/>
        </w:rPr>
        <w:t xml:space="preserve"> </w:t>
      </w:r>
      <w:r w:rsidRPr="00AD79C7">
        <w:rPr>
          <w:rFonts w:ascii="Abadi" w:hAnsi="Abadi"/>
          <w:b/>
          <w:bCs/>
          <w:sz w:val="21"/>
          <w:szCs w:val="21"/>
        </w:rPr>
        <w:t>Hacienda</w:t>
      </w:r>
      <w:r w:rsidRPr="00AD79C7">
        <w:rPr>
          <w:rFonts w:ascii="Abadi" w:hAnsi="Abadi"/>
          <w:b/>
          <w:bCs/>
          <w:spacing w:val="20"/>
          <w:sz w:val="21"/>
          <w:szCs w:val="21"/>
        </w:rPr>
        <w:t xml:space="preserve"> </w:t>
      </w:r>
      <w:r w:rsidRPr="00AD79C7">
        <w:rPr>
          <w:rFonts w:ascii="Abadi" w:hAnsi="Abadi"/>
          <w:b/>
          <w:bCs/>
          <w:sz w:val="21"/>
          <w:szCs w:val="21"/>
        </w:rPr>
        <w:t>y</w:t>
      </w:r>
      <w:r w:rsidRPr="00AD79C7">
        <w:rPr>
          <w:rFonts w:ascii="Abadi" w:hAnsi="Abadi"/>
          <w:b/>
          <w:bCs/>
          <w:spacing w:val="21"/>
          <w:sz w:val="21"/>
          <w:szCs w:val="21"/>
        </w:rPr>
        <w:t xml:space="preserve"> </w:t>
      </w:r>
      <w:r w:rsidRPr="00AD79C7">
        <w:rPr>
          <w:rFonts w:ascii="Abadi" w:hAnsi="Abadi"/>
          <w:b/>
          <w:bCs/>
          <w:sz w:val="21"/>
          <w:szCs w:val="21"/>
        </w:rPr>
        <w:t>Fiscalización</w:t>
      </w:r>
      <w:r w:rsidRPr="00AD79C7">
        <w:rPr>
          <w:rFonts w:ascii="Abadi" w:hAnsi="Abadi"/>
          <w:b/>
          <w:bCs/>
          <w:spacing w:val="20"/>
          <w:sz w:val="21"/>
          <w:szCs w:val="21"/>
        </w:rPr>
        <w:t xml:space="preserve"> </w:t>
      </w:r>
      <w:r w:rsidRPr="00AD79C7">
        <w:rPr>
          <w:rFonts w:ascii="Abadi" w:hAnsi="Abadi"/>
          <w:b/>
          <w:bCs/>
          <w:sz w:val="21"/>
          <w:szCs w:val="21"/>
        </w:rPr>
        <w:t>relativo</w:t>
      </w:r>
      <w:r w:rsidRPr="00AD79C7">
        <w:rPr>
          <w:rFonts w:ascii="Abadi" w:hAnsi="Abadi"/>
          <w:b/>
          <w:bCs/>
          <w:spacing w:val="20"/>
          <w:sz w:val="21"/>
          <w:szCs w:val="21"/>
        </w:rPr>
        <w:t xml:space="preserve"> </w:t>
      </w:r>
      <w:r w:rsidRPr="00AD79C7">
        <w:rPr>
          <w:rFonts w:ascii="Abadi" w:hAnsi="Abadi"/>
          <w:b/>
          <w:bCs/>
          <w:sz w:val="21"/>
          <w:szCs w:val="21"/>
        </w:rPr>
        <w:t>a</w:t>
      </w:r>
      <w:r w:rsidRPr="00AD79C7">
        <w:rPr>
          <w:rFonts w:ascii="Abadi" w:hAnsi="Abadi"/>
          <w:b/>
          <w:bCs/>
          <w:spacing w:val="20"/>
          <w:sz w:val="21"/>
          <w:szCs w:val="21"/>
        </w:rPr>
        <w:t xml:space="preserve"> </w:t>
      </w:r>
      <w:r w:rsidRPr="00AD79C7">
        <w:rPr>
          <w:rFonts w:ascii="Abadi" w:hAnsi="Abadi"/>
          <w:b/>
          <w:bCs/>
          <w:sz w:val="21"/>
          <w:szCs w:val="21"/>
        </w:rPr>
        <w:t>la</w:t>
      </w:r>
      <w:r w:rsidRPr="00AD79C7">
        <w:rPr>
          <w:rFonts w:ascii="Abadi" w:hAnsi="Abadi"/>
          <w:b/>
          <w:bCs/>
          <w:spacing w:val="20"/>
          <w:sz w:val="21"/>
          <w:szCs w:val="21"/>
        </w:rPr>
        <w:t xml:space="preserve"> </w:t>
      </w:r>
      <w:r w:rsidRPr="00AD79C7">
        <w:rPr>
          <w:rFonts w:ascii="Abadi" w:hAnsi="Abadi"/>
          <w:b/>
          <w:bCs/>
          <w:sz w:val="21"/>
          <w:szCs w:val="21"/>
        </w:rPr>
        <w:t>propuesta</w:t>
      </w:r>
      <w:r w:rsidRPr="00AD79C7">
        <w:rPr>
          <w:rFonts w:ascii="Abadi" w:hAnsi="Abadi"/>
          <w:b/>
          <w:bCs/>
          <w:spacing w:val="20"/>
          <w:sz w:val="21"/>
          <w:szCs w:val="21"/>
        </w:rPr>
        <w:t xml:space="preserve"> </w:t>
      </w:r>
      <w:r w:rsidRPr="00AD79C7">
        <w:rPr>
          <w:rFonts w:ascii="Abadi" w:hAnsi="Abadi"/>
          <w:b/>
          <w:bCs/>
          <w:sz w:val="21"/>
          <w:szCs w:val="21"/>
        </w:rPr>
        <w:t>de</w:t>
      </w:r>
      <w:r w:rsidRPr="00AD79C7">
        <w:rPr>
          <w:rFonts w:ascii="Abadi" w:hAnsi="Abadi"/>
          <w:b/>
          <w:bCs/>
          <w:spacing w:val="20"/>
          <w:sz w:val="21"/>
          <w:szCs w:val="21"/>
        </w:rPr>
        <w:t xml:space="preserve"> </w:t>
      </w:r>
      <w:r w:rsidRPr="00AD79C7">
        <w:rPr>
          <w:rFonts w:ascii="Abadi" w:hAnsi="Abadi"/>
          <w:b/>
          <w:bCs/>
          <w:sz w:val="21"/>
          <w:szCs w:val="21"/>
        </w:rPr>
        <w:t>punto</w:t>
      </w:r>
      <w:r w:rsidRPr="00AD79C7">
        <w:rPr>
          <w:rFonts w:ascii="Abadi" w:hAnsi="Abadi"/>
          <w:b/>
          <w:bCs/>
          <w:spacing w:val="20"/>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acuerdo</w:t>
      </w:r>
      <w:r w:rsidRPr="00AD79C7">
        <w:rPr>
          <w:rFonts w:ascii="Abadi" w:hAnsi="Abadi"/>
          <w:b/>
          <w:bCs/>
          <w:spacing w:val="64"/>
          <w:sz w:val="21"/>
          <w:szCs w:val="21"/>
        </w:rPr>
        <w:t xml:space="preserve"> </w:t>
      </w:r>
      <w:r w:rsidRPr="00AD79C7">
        <w:rPr>
          <w:rFonts w:ascii="Abadi" w:hAnsi="Abadi"/>
          <w:b/>
          <w:bCs/>
          <w:sz w:val="21"/>
          <w:szCs w:val="21"/>
        </w:rPr>
        <w:t>formulada</w:t>
      </w:r>
      <w:r w:rsidRPr="00AD79C7">
        <w:rPr>
          <w:rFonts w:ascii="Abadi" w:hAnsi="Abadi"/>
          <w:b/>
          <w:bCs/>
          <w:spacing w:val="64"/>
          <w:sz w:val="21"/>
          <w:szCs w:val="21"/>
        </w:rPr>
        <w:t xml:space="preserve"> </w:t>
      </w:r>
      <w:r w:rsidRPr="00AD79C7">
        <w:rPr>
          <w:rFonts w:ascii="Abadi" w:hAnsi="Abadi"/>
          <w:b/>
          <w:bCs/>
          <w:sz w:val="21"/>
          <w:szCs w:val="21"/>
        </w:rPr>
        <w:t>por</w:t>
      </w:r>
      <w:r w:rsidRPr="00AD79C7">
        <w:rPr>
          <w:rFonts w:ascii="Abadi" w:hAnsi="Abadi"/>
          <w:b/>
          <w:bCs/>
          <w:spacing w:val="64"/>
          <w:sz w:val="21"/>
          <w:szCs w:val="21"/>
        </w:rPr>
        <w:t xml:space="preserve"> </w:t>
      </w:r>
      <w:r w:rsidRPr="00AD79C7">
        <w:rPr>
          <w:rFonts w:ascii="Abadi" w:hAnsi="Abadi"/>
          <w:b/>
          <w:bCs/>
          <w:sz w:val="21"/>
          <w:szCs w:val="21"/>
        </w:rPr>
        <w:t>la</w:t>
      </w:r>
      <w:r w:rsidRPr="00AD79C7">
        <w:rPr>
          <w:rFonts w:ascii="Abadi" w:hAnsi="Abadi"/>
          <w:b/>
          <w:bCs/>
          <w:spacing w:val="64"/>
          <w:sz w:val="21"/>
          <w:szCs w:val="21"/>
        </w:rPr>
        <w:t xml:space="preserve"> </w:t>
      </w:r>
      <w:r w:rsidRPr="00AD79C7">
        <w:rPr>
          <w:rFonts w:ascii="Abadi" w:hAnsi="Abadi"/>
          <w:b/>
          <w:bCs/>
          <w:sz w:val="21"/>
          <w:szCs w:val="21"/>
        </w:rPr>
        <w:t>diputada</w:t>
      </w:r>
      <w:r w:rsidRPr="00AD79C7">
        <w:rPr>
          <w:rFonts w:ascii="Abadi" w:hAnsi="Abadi"/>
          <w:b/>
          <w:bCs/>
          <w:spacing w:val="64"/>
          <w:sz w:val="21"/>
          <w:szCs w:val="21"/>
        </w:rPr>
        <w:t xml:space="preserve"> </w:t>
      </w:r>
      <w:r w:rsidRPr="00AD79C7">
        <w:rPr>
          <w:rFonts w:ascii="Abadi" w:hAnsi="Abadi"/>
          <w:b/>
          <w:bCs/>
          <w:sz w:val="21"/>
          <w:szCs w:val="21"/>
        </w:rPr>
        <w:t>Alma</w:t>
      </w:r>
      <w:r w:rsidRPr="00AD79C7">
        <w:rPr>
          <w:rFonts w:ascii="Abadi" w:hAnsi="Abadi"/>
          <w:b/>
          <w:bCs/>
          <w:spacing w:val="64"/>
          <w:sz w:val="21"/>
          <w:szCs w:val="21"/>
        </w:rPr>
        <w:t xml:space="preserve"> </w:t>
      </w:r>
      <w:r w:rsidRPr="00AD79C7">
        <w:rPr>
          <w:rFonts w:ascii="Abadi" w:hAnsi="Abadi"/>
          <w:b/>
          <w:bCs/>
          <w:sz w:val="21"/>
          <w:szCs w:val="21"/>
        </w:rPr>
        <w:t>Edwviges</w:t>
      </w:r>
      <w:r w:rsidRPr="00AD79C7">
        <w:rPr>
          <w:rFonts w:ascii="Abadi" w:hAnsi="Abadi"/>
          <w:b/>
          <w:bCs/>
          <w:spacing w:val="64"/>
          <w:sz w:val="21"/>
          <w:szCs w:val="21"/>
        </w:rPr>
        <w:t xml:space="preserve"> </w:t>
      </w:r>
      <w:r w:rsidRPr="00AD79C7">
        <w:rPr>
          <w:rFonts w:ascii="Abadi" w:hAnsi="Abadi"/>
          <w:b/>
          <w:bCs/>
          <w:sz w:val="21"/>
          <w:szCs w:val="21"/>
        </w:rPr>
        <w:t>Alcaraz</w:t>
      </w:r>
      <w:r w:rsidRPr="00AD79C7">
        <w:rPr>
          <w:rFonts w:ascii="Abadi" w:hAnsi="Abadi"/>
          <w:b/>
          <w:bCs/>
          <w:spacing w:val="64"/>
          <w:sz w:val="21"/>
          <w:szCs w:val="21"/>
        </w:rPr>
        <w:t xml:space="preserve"> </w:t>
      </w:r>
      <w:r w:rsidRPr="00AD79C7">
        <w:rPr>
          <w:rFonts w:ascii="Abadi" w:hAnsi="Abadi"/>
          <w:b/>
          <w:bCs/>
          <w:sz w:val="21"/>
          <w:szCs w:val="21"/>
        </w:rPr>
        <w:t>Hernández,</w:t>
      </w:r>
      <w:r w:rsidRPr="00AD79C7">
        <w:rPr>
          <w:rFonts w:ascii="Abadi" w:hAnsi="Abadi"/>
          <w:b/>
          <w:bCs/>
          <w:spacing w:val="-1"/>
          <w:sz w:val="21"/>
          <w:szCs w:val="21"/>
        </w:rPr>
        <w:t xml:space="preserve"> </w:t>
      </w:r>
      <w:r w:rsidRPr="00AD79C7">
        <w:rPr>
          <w:rFonts w:ascii="Abadi" w:hAnsi="Abadi"/>
          <w:b/>
          <w:bCs/>
          <w:sz w:val="21"/>
          <w:szCs w:val="21"/>
        </w:rPr>
        <w:t>integrante</w:t>
      </w:r>
      <w:r w:rsidRPr="00AD79C7">
        <w:rPr>
          <w:rFonts w:ascii="Abadi" w:hAnsi="Abadi"/>
          <w:b/>
          <w:bCs/>
          <w:spacing w:val="73"/>
          <w:sz w:val="21"/>
          <w:szCs w:val="21"/>
        </w:rPr>
        <w:t xml:space="preserve"> </w:t>
      </w:r>
      <w:r w:rsidRPr="00AD79C7">
        <w:rPr>
          <w:rFonts w:ascii="Abadi" w:hAnsi="Abadi"/>
          <w:b/>
          <w:bCs/>
          <w:sz w:val="21"/>
          <w:szCs w:val="21"/>
        </w:rPr>
        <w:t>del</w:t>
      </w:r>
      <w:r w:rsidRPr="00AD79C7">
        <w:rPr>
          <w:rFonts w:ascii="Abadi" w:hAnsi="Abadi"/>
          <w:b/>
          <w:bCs/>
          <w:spacing w:val="73"/>
          <w:sz w:val="21"/>
          <w:szCs w:val="21"/>
        </w:rPr>
        <w:t xml:space="preserve"> </w:t>
      </w:r>
      <w:r w:rsidRPr="00AD79C7">
        <w:rPr>
          <w:rFonts w:ascii="Abadi" w:hAnsi="Abadi"/>
          <w:b/>
          <w:bCs/>
          <w:sz w:val="21"/>
          <w:szCs w:val="21"/>
        </w:rPr>
        <w:t>Grupo</w:t>
      </w:r>
      <w:r w:rsidRPr="00AD79C7">
        <w:rPr>
          <w:rFonts w:ascii="Abadi" w:hAnsi="Abadi"/>
          <w:b/>
          <w:bCs/>
          <w:spacing w:val="73"/>
          <w:sz w:val="21"/>
          <w:szCs w:val="21"/>
        </w:rPr>
        <w:t xml:space="preserve"> </w:t>
      </w:r>
      <w:r w:rsidRPr="00AD79C7">
        <w:rPr>
          <w:rFonts w:ascii="Abadi" w:hAnsi="Abadi"/>
          <w:b/>
          <w:bCs/>
          <w:sz w:val="21"/>
          <w:szCs w:val="21"/>
        </w:rPr>
        <w:t>Parlamentario</w:t>
      </w:r>
      <w:r w:rsidRPr="00AD79C7">
        <w:rPr>
          <w:rFonts w:ascii="Abadi" w:hAnsi="Abadi"/>
          <w:b/>
          <w:bCs/>
          <w:spacing w:val="73"/>
          <w:sz w:val="21"/>
          <w:szCs w:val="21"/>
        </w:rPr>
        <w:t xml:space="preserve"> </w:t>
      </w:r>
      <w:r w:rsidRPr="00AD79C7">
        <w:rPr>
          <w:rFonts w:ascii="Abadi" w:hAnsi="Abadi"/>
          <w:b/>
          <w:bCs/>
          <w:sz w:val="21"/>
          <w:szCs w:val="21"/>
        </w:rPr>
        <w:t>del</w:t>
      </w:r>
      <w:r w:rsidRPr="00AD79C7">
        <w:rPr>
          <w:rFonts w:ascii="Abadi" w:hAnsi="Abadi"/>
          <w:b/>
          <w:bCs/>
          <w:spacing w:val="73"/>
          <w:sz w:val="21"/>
          <w:szCs w:val="21"/>
        </w:rPr>
        <w:t xml:space="preserve"> </w:t>
      </w:r>
      <w:r w:rsidRPr="00AD79C7">
        <w:rPr>
          <w:rFonts w:ascii="Abadi" w:hAnsi="Abadi"/>
          <w:b/>
          <w:bCs/>
          <w:sz w:val="21"/>
          <w:szCs w:val="21"/>
        </w:rPr>
        <w:t>Partido</w:t>
      </w:r>
      <w:r w:rsidRPr="00AD79C7">
        <w:rPr>
          <w:rFonts w:ascii="Abadi" w:hAnsi="Abadi"/>
          <w:b/>
          <w:bCs/>
          <w:spacing w:val="73"/>
          <w:sz w:val="21"/>
          <w:szCs w:val="21"/>
        </w:rPr>
        <w:t xml:space="preserve"> </w:t>
      </w:r>
      <w:r w:rsidRPr="00AD79C7">
        <w:rPr>
          <w:rFonts w:ascii="Abadi" w:hAnsi="Abadi"/>
          <w:b/>
          <w:bCs/>
          <w:sz w:val="21"/>
          <w:szCs w:val="21"/>
        </w:rPr>
        <w:t>MORENA,</w:t>
      </w:r>
      <w:r w:rsidRPr="00AD79C7">
        <w:rPr>
          <w:rFonts w:ascii="Abadi" w:hAnsi="Abadi"/>
          <w:b/>
          <w:bCs/>
          <w:spacing w:val="73"/>
          <w:sz w:val="21"/>
          <w:szCs w:val="21"/>
        </w:rPr>
        <w:t xml:space="preserve"> </w:t>
      </w:r>
      <w:r w:rsidRPr="00AD79C7">
        <w:rPr>
          <w:rFonts w:ascii="Abadi" w:hAnsi="Abadi"/>
          <w:b/>
          <w:bCs/>
          <w:sz w:val="21"/>
          <w:szCs w:val="21"/>
        </w:rPr>
        <w:t>a</w:t>
      </w:r>
      <w:r w:rsidRPr="00AD79C7">
        <w:rPr>
          <w:rFonts w:ascii="Abadi" w:hAnsi="Abadi"/>
          <w:b/>
          <w:bCs/>
          <w:spacing w:val="73"/>
          <w:sz w:val="21"/>
          <w:szCs w:val="21"/>
        </w:rPr>
        <w:t xml:space="preserve"> </w:t>
      </w:r>
      <w:r w:rsidRPr="00AD79C7">
        <w:rPr>
          <w:rFonts w:ascii="Abadi" w:hAnsi="Abadi"/>
          <w:b/>
          <w:bCs/>
          <w:sz w:val="21"/>
          <w:szCs w:val="21"/>
        </w:rPr>
        <w:t>efecto</w:t>
      </w:r>
      <w:r w:rsidRPr="00AD79C7">
        <w:rPr>
          <w:rFonts w:ascii="Abadi" w:hAnsi="Abadi"/>
          <w:b/>
          <w:bCs/>
          <w:spacing w:val="73"/>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exhortar</w:t>
      </w:r>
      <w:r w:rsidRPr="00AD79C7">
        <w:rPr>
          <w:rFonts w:ascii="Abadi" w:hAnsi="Abadi"/>
          <w:b/>
          <w:bCs/>
          <w:spacing w:val="18"/>
          <w:sz w:val="21"/>
          <w:szCs w:val="21"/>
        </w:rPr>
        <w:t xml:space="preserve"> </w:t>
      </w:r>
      <w:r w:rsidRPr="00AD79C7">
        <w:rPr>
          <w:rFonts w:ascii="Abadi" w:hAnsi="Abadi"/>
          <w:b/>
          <w:bCs/>
          <w:sz w:val="21"/>
          <w:szCs w:val="21"/>
        </w:rPr>
        <w:t>al</w:t>
      </w:r>
      <w:r w:rsidRPr="00AD79C7">
        <w:rPr>
          <w:rFonts w:ascii="Abadi" w:hAnsi="Abadi"/>
          <w:b/>
          <w:bCs/>
          <w:spacing w:val="18"/>
          <w:sz w:val="21"/>
          <w:szCs w:val="21"/>
        </w:rPr>
        <w:t xml:space="preserve"> </w:t>
      </w:r>
      <w:r w:rsidRPr="00AD79C7">
        <w:rPr>
          <w:rFonts w:ascii="Abadi" w:hAnsi="Abadi"/>
          <w:b/>
          <w:bCs/>
          <w:sz w:val="21"/>
          <w:szCs w:val="21"/>
        </w:rPr>
        <w:t>titular</w:t>
      </w:r>
      <w:r w:rsidRPr="00AD79C7">
        <w:rPr>
          <w:rFonts w:ascii="Abadi" w:hAnsi="Abadi"/>
          <w:b/>
          <w:bCs/>
          <w:spacing w:val="18"/>
          <w:sz w:val="21"/>
          <w:szCs w:val="21"/>
        </w:rPr>
        <w:t xml:space="preserve"> </w:t>
      </w:r>
      <w:r w:rsidRPr="00AD79C7">
        <w:rPr>
          <w:rFonts w:ascii="Abadi" w:hAnsi="Abadi"/>
          <w:b/>
          <w:bCs/>
          <w:sz w:val="21"/>
          <w:szCs w:val="21"/>
        </w:rPr>
        <w:t>de</w:t>
      </w:r>
      <w:r w:rsidRPr="00AD79C7">
        <w:rPr>
          <w:rFonts w:ascii="Abadi" w:hAnsi="Abadi"/>
          <w:b/>
          <w:bCs/>
          <w:spacing w:val="18"/>
          <w:sz w:val="21"/>
          <w:szCs w:val="21"/>
        </w:rPr>
        <w:t xml:space="preserve"> </w:t>
      </w:r>
      <w:r w:rsidRPr="00AD79C7">
        <w:rPr>
          <w:rFonts w:ascii="Abadi" w:hAnsi="Abadi"/>
          <w:b/>
          <w:bCs/>
          <w:sz w:val="21"/>
          <w:szCs w:val="21"/>
        </w:rPr>
        <w:t>la</w:t>
      </w:r>
      <w:r w:rsidRPr="00AD79C7">
        <w:rPr>
          <w:rFonts w:ascii="Abadi" w:hAnsi="Abadi"/>
          <w:b/>
          <w:bCs/>
          <w:spacing w:val="17"/>
          <w:sz w:val="21"/>
          <w:szCs w:val="21"/>
        </w:rPr>
        <w:t xml:space="preserve"> </w:t>
      </w:r>
      <w:r w:rsidRPr="00AD79C7">
        <w:rPr>
          <w:rFonts w:ascii="Abadi" w:hAnsi="Abadi"/>
          <w:b/>
          <w:bCs/>
          <w:sz w:val="21"/>
          <w:szCs w:val="21"/>
        </w:rPr>
        <w:t>Auditoría</w:t>
      </w:r>
      <w:r w:rsidRPr="00AD79C7">
        <w:rPr>
          <w:rFonts w:ascii="Abadi" w:hAnsi="Abadi"/>
          <w:b/>
          <w:bCs/>
          <w:spacing w:val="18"/>
          <w:sz w:val="21"/>
          <w:szCs w:val="21"/>
        </w:rPr>
        <w:t xml:space="preserve"> </w:t>
      </w:r>
      <w:r w:rsidRPr="00AD79C7">
        <w:rPr>
          <w:rFonts w:ascii="Abadi" w:hAnsi="Abadi"/>
          <w:b/>
          <w:bCs/>
          <w:sz w:val="21"/>
          <w:szCs w:val="21"/>
        </w:rPr>
        <w:t>Superior</w:t>
      </w:r>
      <w:r w:rsidRPr="00AD79C7">
        <w:rPr>
          <w:rFonts w:ascii="Abadi" w:hAnsi="Abadi"/>
          <w:b/>
          <w:bCs/>
          <w:spacing w:val="17"/>
          <w:sz w:val="21"/>
          <w:szCs w:val="21"/>
        </w:rPr>
        <w:t xml:space="preserve"> </w:t>
      </w:r>
      <w:r w:rsidRPr="00AD79C7">
        <w:rPr>
          <w:rFonts w:ascii="Abadi" w:hAnsi="Abadi"/>
          <w:b/>
          <w:bCs/>
          <w:sz w:val="21"/>
          <w:szCs w:val="21"/>
        </w:rPr>
        <w:t>del</w:t>
      </w:r>
      <w:r w:rsidRPr="00AD79C7">
        <w:rPr>
          <w:rFonts w:ascii="Abadi" w:hAnsi="Abadi"/>
          <w:b/>
          <w:bCs/>
          <w:spacing w:val="17"/>
          <w:sz w:val="21"/>
          <w:szCs w:val="21"/>
        </w:rPr>
        <w:t xml:space="preserve"> </w:t>
      </w:r>
      <w:r w:rsidRPr="00AD79C7">
        <w:rPr>
          <w:rFonts w:ascii="Abadi" w:hAnsi="Abadi"/>
          <w:b/>
          <w:bCs/>
          <w:sz w:val="21"/>
          <w:szCs w:val="21"/>
        </w:rPr>
        <w:t>Estado</w:t>
      </w:r>
      <w:r w:rsidRPr="00AD79C7">
        <w:rPr>
          <w:rFonts w:ascii="Abadi" w:hAnsi="Abadi"/>
          <w:b/>
          <w:bCs/>
          <w:spacing w:val="18"/>
          <w:sz w:val="21"/>
          <w:szCs w:val="21"/>
        </w:rPr>
        <w:t xml:space="preserve"> </w:t>
      </w:r>
      <w:r w:rsidRPr="00AD79C7">
        <w:rPr>
          <w:rFonts w:ascii="Abadi" w:hAnsi="Abadi"/>
          <w:b/>
          <w:bCs/>
          <w:sz w:val="21"/>
          <w:szCs w:val="21"/>
        </w:rPr>
        <w:t>de</w:t>
      </w:r>
      <w:r w:rsidRPr="00AD79C7">
        <w:rPr>
          <w:rFonts w:ascii="Abadi" w:hAnsi="Abadi"/>
          <w:b/>
          <w:bCs/>
          <w:spacing w:val="18"/>
          <w:sz w:val="21"/>
          <w:szCs w:val="21"/>
        </w:rPr>
        <w:t xml:space="preserve"> </w:t>
      </w:r>
      <w:r w:rsidRPr="00AD79C7">
        <w:rPr>
          <w:rFonts w:ascii="Abadi" w:hAnsi="Abadi"/>
          <w:b/>
          <w:bCs/>
          <w:sz w:val="21"/>
          <w:szCs w:val="21"/>
        </w:rPr>
        <w:t>Guanajuato,</w:t>
      </w:r>
      <w:r w:rsidRPr="00AD79C7">
        <w:rPr>
          <w:rFonts w:ascii="Abadi" w:hAnsi="Abadi"/>
          <w:b/>
          <w:bCs/>
          <w:spacing w:val="18"/>
          <w:sz w:val="21"/>
          <w:szCs w:val="21"/>
        </w:rPr>
        <w:t xml:space="preserve"> </w:t>
      </w:r>
      <w:r w:rsidRPr="00AD79C7">
        <w:rPr>
          <w:rFonts w:ascii="Abadi" w:hAnsi="Abadi"/>
          <w:b/>
          <w:bCs/>
          <w:sz w:val="21"/>
          <w:szCs w:val="21"/>
        </w:rPr>
        <w:t>para</w:t>
      </w:r>
      <w:r w:rsidRPr="00AD79C7">
        <w:rPr>
          <w:rFonts w:ascii="Abadi" w:hAnsi="Abadi"/>
          <w:b/>
          <w:bCs/>
          <w:spacing w:val="-1"/>
          <w:sz w:val="21"/>
          <w:szCs w:val="21"/>
        </w:rPr>
        <w:t xml:space="preserve"> </w:t>
      </w:r>
      <w:r w:rsidRPr="00AD79C7">
        <w:rPr>
          <w:rFonts w:ascii="Abadi" w:hAnsi="Abadi"/>
          <w:b/>
          <w:bCs/>
          <w:sz w:val="21"/>
          <w:szCs w:val="21"/>
        </w:rPr>
        <w:t>que</w:t>
      </w:r>
      <w:r w:rsidRPr="00AD79C7">
        <w:rPr>
          <w:rFonts w:ascii="Abadi" w:hAnsi="Abadi"/>
          <w:b/>
          <w:bCs/>
          <w:spacing w:val="26"/>
          <w:sz w:val="21"/>
          <w:szCs w:val="21"/>
        </w:rPr>
        <w:t xml:space="preserve">  </w:t>
      </w:r>
      <w:r w:rsidRPr="00AD79C7">
        <w:rPr>
          <w:rFonts w:ascii="Abadi" w:hAnsi="Abadi"/>
          <w:b/>
          <w:bCs/>
          <w:sz w:val="21"/>
          <w:szCs w:val="21"/>
        </w:rPr>
        <w:t>lleve</w:t>
      </w:r>
      <w:r w:rsidRPr="00AD79C7">
        <w:rPr>
          <w:rFonts w:ascii="Abadi" w:hAnsi="Abadi"/>
          <w:b/>
          <w:bCs/>
          <w:spacing w:val="26"/>
          <w:sz w:val="21"/>
          <w:szCs w:val="21"/>
        </w:rPr>
        <w:t xml:space="preserve">  </w:t>
      </w:r>
      <w:r w:rsidRPr="00AD79C7">
        <w:rPr>
          <w:rFonts w:ascii="Abadi" w:hAnsi="Abadi"/>
          <w:b/>
          <w:bCs/>
          <w:sz w:val="21"/>
          <w:szCs w:val="21"/>
        </w:rPr>
        <w:t>a</w:t>
      </w:r>
      <w:r w:rsidRPr="00AD79C7">
        <w:rPr>
          <w:rFonts w:ascii="Abadi" w:hAnsi="Abadi"/>
          <w:b/>
          <w:bCs/>
          <w:spacing w:val="26"/>
          <w:sz w:val="21"/>
          <w:szCs w:val="21"/>
        </w:rPr>
        <w:t xml:space="preserve">  </w:t>
      </w:r>
      <w:r w:rsidRPr="00AD79C7">
        <w:rPr>
          <w:rFonts w:ascii="Abadi" w:hAnsi="Abadi"/>
          <w:b/>
          <w:bCs/>
          <w:sz w:val="21"/>
          <w:szCs w:val="21"/>
        </w:rPr>
        <w:t>cabo</w:t>
      </w:r>
      <w:r w:rsidRPr="00AD79C7">
        <w:rPr>
          <w:rFonts w:ascii="Abadi" w:hAnsi="Abadi"/>
          <w:b/>
          <w:bCs/>
          <w:spacing w:val="26"/>
          <w:sz w:val="21"/>
          <w:szCs w:val="21"/>
        </w:rPr>
        <w:t xml:space="preserve">  </w:t>
      </w:r>
      <w:r w:rsidRPr="00AD79C7">
        <w:rPr>
          <w:rFonts w:ascii="Abadi" w:hAnsi="Abadi"/>
          <w:b/>
          <w:bCs/>
          <w:sz w:val="21"/>
          <w:szCs w:val="21"/>
        </w:rPr>
        <w:t>una</w:t>
      </w:r>
      <w:r w:rsidRPr="00AD79C7">
        <w:rPr>
          <w:rFonts w:ascii="Abadi" w:hAnsi="Abadi"/>
          <w:b/>
          <w:bCs/>
          <w:spacing w:val="26"/>
          <w:sz w:val="21"/>
          <w:szCs w:val="21"/>
        </w:rPr>
        <w:t xml:space="preserve">  </w:t>
      </w:r>
      <w:r w:rsidRPr="00AD79C7">
        <w:rPr>
          <w:rFonts w:ascii="Abadi" w:hAnsi="Abadi"/>
          <w:b/>
          <w:bCs/>
          <w:sz w:val="21"/>
          <w:szCs w:val="21"/>
        </w:rPr>
        <w:t>auditoría</w:t>
      </w:r>
      <w:r w:rsidRPr="00AD79C7">
        <w:rPr>
          <w:rFonts w:ascii="Abadi" w:hAnsi="Abadi"/>
          <w:b/>
          <w:bCs/>
          <w:spacing w:val="26"/>
          <w:sz w:val="21"/>
          <w:szCs w:val="21"/>
        </w:rPr>
        <w:t xml:space="preserve">  </w:t>
      </w:r>
      <w:r w:rsidRPr="00AD79C7">
        <w:rPr>
          <w:rFonts w:ascii="Abadi" w:hAnsi="Abadi"/>
          <w:b/>
          <w:bCs/>
          <w:sz w:val="21"/>
          <w:szCs w:val="21"/>
        </w:rPr>
        <w:t>financiera</w:t>
      </w:r>
      <w:r w:rsidRPr="00AD79C7">
        <w:rPr>
          <w:rFonts w:ascii="Abadi" w:hAnsi="Abadi"/>
          <w:b/>
          <w:bCs/>
          <w:spacing w:val="26"/>
          <w:sz w:val="21"/>
          <w:szCs w:val="21"/>
        </w:rPr>
        <w:t xml:space="preserve">  </w:t>
      </w:r>
      <w:r w:rsidRPr="00AD79C7">
        <w:rPr>
          <w:rFonts w:ascii="Abadi" w:hAnsi="Abadi"/>
          <w:b/>
          <w:bCs/>
          <w:sz w:val="21"/>
          <w:szCs w:val="21"/>
        </w:rPr>
        <w:t>integral</w:t>
      </w:r>
      <w:r w:rsidRPr="00AD79C7">
        <w:rPr>
          <w:rFonts w:ascii="Abadi" w:hAnsi="Abadi"/>
          <w:b/>
          <w:bCs/>
          <w:spacing w:val="26"/>
          <w:sz w:val="21"/>
          <w:szCs w:val="21"/>
        </w:rPr>
        <w:t xml:space="preserve">  </w:t>
      </w:r>
      <w:r w:rsidRPr="00AD79C7">
        <w:rPr>
          <w:rFonts w:ascii="Abadi" w:hAnsi="Abadi"/>
          <w:b/>
          <w:bCs/>
          <w:sz w:val="21"/>
          <w:szCs w:val="21"/>
        </w:rPr>
        <w:t>al</w:t>
      </w:r>
      <w:r w:rsidRPr="00AD79C7">
        <w:rPr>
          <w:rFonts w:ascii="Abadi" w:hAnsi="Abadi"/>
          <w:b/>
          <w:bCs/>
          <w:spacing w:val="26"/>
          <w:sz w:val="21"/>
          <w:szCs w:val="21"/>
        </w:rPr>
        <w:t xml:space="preserve">  </w:t>
      </w:r>
      <w:r w:rsidRPr="00AD79C7">
        <w:rPr>
          <w:rFonts w:ascii="Abadi" w:hAnsi="Abadi"/>
          <w:b/>
          <w:bCs/>
          <w:sz w:val="21"/>
          <w:szCs w:val="21"/>
        </w:rPr>
        <w:t>municipio</w:t>
      </w:r>
      <w:r w:rsidRPr="00AD79C7">
        <w:rPr>
          <w:rFonts w:ascii="Abadi" w:hAnsi="Abadi"/>
          <w:b/>
          <w:bCs/>
          <w:spacing w:val="26"/>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Guanajuato,</w:t>
      </w:r>
      <w:r w:rsidRPr="00AD79C7">
        <w:rPr>
          <w:rFonts w:ascii="Abadi" w:hAnsi="Abadi"/>
          <w:b/>
          <w:bCs/>
          <w:spacing w:val="-9"/>
          <w:sz w:val="21"/>
          <w:szCs w:val="21"/>
        </w:rPr>
        <w:t xml:space="preserve"> </w:t>
      </w:r>
      <w:r w:rsidRPr="00AD79C7">
        <w:rPr>
          <w:rFonts w:ascii="Abadi" w:hAnsi="Abadi"/>
          <w:b/>
          <w:bCs/>
          <w:sz w:val="21"/>
          <w:szCs w:val="21"/>
        </w:rPr>
        <w:t>por</w:t>
      </w:r>
      <w:r w:rsidRPr="00AD79C7">
        <w:rPr>
          <w:rFonts w:ascii="Abadi" w:hAnsi="Abadi"/>
          <w:b/>
          <w:bCs/>
          <w:spacing w:val="-9"/>
          <w:sz w:val="21"/>
          <w:szCs w:val="21"/>
        </w:rPr>
        <w:t xml:space="preserve"> </w:t>
      </w:r>
      <w:r w:rsidRPr="00AD79C7">
        <w:rPr>
          <w:rFonts w:ascii="Abadi" w:hAnsi="Abadi"/>
          <w:b/>
          <w:bCs/>
          <w:sz w:val="21"/>
          <w:szCs w:val="21"/>
        </w:rPr>
        <w:t>los</w:t>
      </w:r>
      <w:r w:rsidRPr="00AD79C7">
        <w:rPr>
          <w:rFonts w:ascii="Abadi" w:hAnsi="Abadi"/>
          <w:b/>
          <w:bCs/>
          <w:spacing w:val="-8"/>
          <w:sz w:val="21"/>
          <w:szCs w:val="21"/>
        </w:rPr>
        <w:t xml:space="preserve"> </w:t>
      </w:r>
      <w:r w:rsidRPr="00AD79C7">
        <w:rPr>
          <w:rFonts w:ascii="Abadi" w:hAnsi="Abadi"/>
          <w:b/>
          <w:bCs/>
          <w:sz w:val="21"/>
          <w:szCs w:val="21"/>
        </w:rPr>
        <w:t>ejercicios</w:t>
      </w:r>
      <w:r w:rsidRPr="00AD79C7">
        <w:rPr>
          <w:rFonts w:ascii="Abadi" w:hAnsi="Abadi"/>
          <w:b/>
          <w:bCs/>
          <w:spacing w:val="-9"/>
          <w:sz w:val="21"/>
          <w:szCs w:val="21"/>
        </w:rPr>
        <w:t xml:space="preserve"> </w:t>
      </w:r>
      <w:r w:rsidRPr="00AD79C7">
        <w:rPr>
          <w:rFonts w:ascii="Abadi" w:hAnsi="Abadi"/>
          <w:b/>
          <w:bCs/>
          <w:sz w:val="21"/>
          <w:szCs w:val="21"/>
        </w:rPr>
        <w:t>fiscales</w:t>
      </w:r>
      <w:r w:rsidRPr="00AD79C7">
        <w:rPr>
          <w:rFonts w:ascii="Abadi" w:hAnsi="Abadi"/>
          <w:b/>
          <w:bCs/>
          <w:spacing w:val="-9"/>
          <w:sz w:val="21"/>
          <w:szCs w:val="21"/>
        </w:rPr>
        <w:t xml:space="preserve"> </w:t>
      </w:r>
      <w:r w:rsidRPr="00AD79C7">
        <w:rPr>
          <w:rFonts w:ascii="Abadi" w:hAnsi="Abadi"/>
          <w:b/>
          <w:bCs/>
          <w:sz w:val="21"/>
          <w:szCs w:val="21"/>
        </w:rPr>
        <w:t>de</w:t>
      </w:r>
      <w:r w:rsidRPr="00AD79C7">
        <w:rPr>
          <w:rFonts w:ascii="Abadi" w:hAnsi="Abadi"/>
          <w:b/>
          <w:bCs/>
          <w:spacing w:val="-9"/>
          <w:sz w:val="21"/>
          <w:szCs w:val="21"/>
        </w:rPr>
        <w:t xml:space="preserve"> </w:t>
      </w:r>
      <w:r w:rsidRPr="00AD79C7">
        <w:rPr>
          <w:rFonts w:ascii="Abadi" w:hAnsi="Abadi"/>
          <w:b/>
          <w:bCs/>
          <w:sz w:val="21"/>
          <w:szCs w:val="21"/>
        </w:rPr>
        <w:t>2019,</w:t>
      </w:r>
      <w:r w:rsidRPr="00AD79C7">
        <w:rPr>
          <w:rFonts w:ascii="Abadi" w:hAnsi="Abadi"/>
          <w:b/>
          <w:bCs/>
          <w:spacing w:val="-9"/>
          <w:sz w:val="21"/>
          <w:szCs w:val="21"/>
        </w:rPr>
        <w:t xml:space="preserve"> </w:t>
      </w:r>
      <w:r w:rsidRPr="00AD79C7">
        <w:rPr>
          <w:rFonts w:ascii="Abadi" w:hAnsi="Abadi"/>
          <w:b/>
          <w:bCs/>
          <w:sz w:val="21"/>
          <w:szCs w:val="21"/>
        </w:rPr>
        <w:t>2020</w:t>
      </w:r>
      <w:r w:rsidRPr="00AD79C7">
        <w:rPr>
          <w:rFonts w:ascii="Abadi" w:hAnsi="Abadi"/>
          <w:b/>
          <w:bCs/>
          <w:spacing w:val="-8"/>
          <w:sz w:val="21"/>
          <w:szCs w:val="21"/>
        </w:rPr>
        <w:t xml:space="preserve"> </w:t>
      </w:r>
      <w:r w:rsidRPr="00AD79C7">
        <w:rPr>
          <w:rFonts w:ascii="Abadi" w:hAnsi="Abadi"/>
          <w:b/>
          <w:bCs/>
          <w:sz w:val="21"/>
          <w:szCs w:val="21"/>
        </w:rPr>
        <w:t>y</w:t>
      </w:r>
      <w:r w:rsidRPr="00AD79C7">
        <w:rPr>
          <w:rFonts w:ascii="Abadi" w:hAnsi="Abadi"/>
          <w:b/>
          <w:bCs/>
          <w:spacing w:val="-9"/>
          <w:sz w:val="21"/>
          <w:szCs w:val="21"/>
        </w:rPr>
        <w:t xml:space="preserve"> </w:t>
      </w:r>
      <w:r w:rsidRPr="00AD79C7">
        <w:rPr>
          <w:rFonts w:ascii="Abadi" w:hAnsi="Abadi"/>
          <w:b/>
          <w:bCs/>
          <w:sz w:val="21"/>
          <w:szCs w:val="21"/>
        </w:rPr>
        <w:t>2021</w:t>
      </w:r>
      <w:r w:rsidRPr="00AD79C7">
        <w:rPr>
          <w:rFonts w:ascii="Abadi" w:hAnsi="Abadi"/>
          <w:b/>
          <w:bCs/>
          <w:spacing w:val="-9"/>
          <w:sz w:val="21"/>
          <w:szCs w:val="21"/>
        </w:rPr>
        <w:t xml:space="preserve"> </w:t>
      </w:r>
      <w:r w:rsidRPr="00AD79C7">
        <w:rPr>
          <w:rFonts w:ascii="Abadi" w:hAnsi="Abadi"/>
          <w:b/>
          <w:bCs/>
          <w:sz w:val="21"/>
          <w:szCs w:val="21"/>
        </w:rPr>
        <w:t>y</w:t>
      </w:r>
      <w:r w:rsidRPr="00AD79C7">
        <w:rPr>
          <w:rFonts w:ascii="Abadi" w:hAnsi="Abadi"/>
          <w:b/>
          <w:bCs/>
          <w:spacing w:val="-9"/>
          <w:sz w:val="21"/>
          <w:szCs w:val="21"/>
        </w:rPr>
        <w:t xml:space="preserve"> </w:t>
      </w:r>
      <w:r w:rsidRPr="00AD79C7">
        <w:rPr>
          <w:rFonts w:ascii="Abadi" w:hAnsi="Abadi"/>
          <w:b/>
          <w:bCs/>
          <w:sz w:val="21"/>
          <w:szCs w:val="21"/>
        </w:rPr>
        <w:t>concomitante</w:t>
      </w:r>
      <w:r w:rsidRPr="00AD79C7">
        <w:rPr>
          <w:rFonts w:ascii="Abadi" w:hAnsi="Abadi"/>
          <w:b/>
          <w:bCs/>
          <w:spacing w:val="-1"/>
          <w:sz w:val="21"/>
          <w:szCs w:val="21"/>
        </w:rPr>
        <w:t xml:space="preserve"> </w:t>
      </w:r>
      <w:r w:rsidRPr="00AD79C7">
        <w:rPr>
          <w:rFonts w:ascii="Abadi" w:hAnsi="Abadi"/>
          <w:b/>
          <w:bCs/>
          <w:sz w:val="21"/>
          <w:szCs w:val="21"/>
        </w:rPr>
        <w:t>a 2022.</w:t>
      </w:r>
    </w:p>
    <w:p w14:paraId="610C5F2E" w14:textId="77777777" w:rsidR="004A4C87" w:rsidRPr="004A4C87" w:rsidRDefault="004A4C87" w:rsidP="006B00FD">
      <w:pPr>
        <w:pStyle w:val="Prrafodelista"/>
        <w:ind w:right="566"/>
        <w:rPr>
          <w:rFonts w:ascii="Abadi" w:hAnsi="Abadi"/>
          <w:b/>
          <w:bCs/>
          <w:sz w:val="21"/>
          <w:szCs w:val="21"/>
        </w:rPr>
      </w:pPr>
    </w:p>
    <w:p w14:paraId="414EF8CB" w14:textId="77777777" w:rsidR="004A4C87" w:rsidRPr="00AD79C7" w:rsidRDefault="004A4C87"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en</w:t>
      </w:r>
      <w:r w:rsidRPr="00AD79C7">
        <w:rPr>
          <w:rFonts w:ascii="Abadi" w:hAnsi="Abadi"/>
          <w:b/>
          <w:bCs/>
          <w:spacing w:val="9"/>
          <w:sz w:val="21"/>
          <w:szCs w:val="21"/>
        </w:rPr>
        <w:t xml:space="preserve"> </w:t>
      </w:r>
      <w:r w:rsidRPr="00AD79C7">
        <w:rPr>
          <w:rFonts w:ascii="Abadi" w:hAnsi="Abadi"/>
          <w:b/>
          <w:bCs/>
          <w:sz w:val="21"/>
          <w:szCs w:val="21"/>
        </w:rPr>
        <w:t>su</w:t>
      </w:r>
      <w:r w:rsidRPr="00AD79C7">
        <w:rPr>
          <w:rFonts w:ascii="Abadi" w:hAnsi="Abadi"/>
          <w:b/>
          <w:bCs/>
          <w:spacing w:val="10"/>
          <w:sz w:val="21"/>
          <w:szCs w:val="21"/>
        </w:rPr>
        <w:t xml:space="preserve"> </w:t>
      </w:r>
      <w:r w:rsidRPr="00AD79C7">
        <w:rPr>
          <w:rFonts w:ascii="Abadi" w:hAnsi="Abadi"/>
          <w:b/>
          <w:bCs/>
          <w:sz w:val="21"/>
          <w:szCs w:val="21"/>
        </w:rPr>
        <w:t>caso,</w:t>
      </w:r>
      <w:r w:rsidRPr="00AD79C7">
        <w:rPr>
          <w:rFonts w:ascii="Abadi" w:hAnsi="Abadi"/>
          <w:b/>
          <w:bCs/>
          <w:spacing w:val="10"/>
          <w:sz w:val="21"/>
          <w:szCs w:val="21"/>
        </w:rPr>
        <w:t xml:space="preserve"> </w:t>
      </w:r>
      <w:r w:rsidRPr="00AD79C7">
        <w:rPr>
          <w:rFonts w:ascii="Abadi" w:hAnsi="Abadi"/>
          <w:b/>
          <w:bCs/>
          <w:sz w:val="21"/>
          <w:szCs w:val="21"/>
        </w:rPr>
        <w:t>aprobación</w:t>
      </w:r>
      <w:r w:rsidRPr="00AD79C7">
        <w:rPr>
          <w:rFonts w:ascii="Abadi" w:hAnsi="Abadi"/>
          <w:b/>
          <w:bCs/>
          <w:spacing w:val="9"/>
          <w:sz w:val="21"/>
          <w:szCs w:val="21"/>
        </w:rPr>
        <w:t xml:space="preserve"> </w:t>
      </w:r>
      <w:r w:rsidRPr="00AD79C7">
        <w:rPr>
          <w:rFonts w:ascii="Abadi" w:hAnsi="Abadi"/>
          <w:b/>
          <w:bCs/>
          <w:sz w:val="21"/>
          <w:szCs w:val="21"/>
        </w:rPr>
        <w:t>del</w:t>
      </w:r>
      <w:r w:rsidRPr="00AD79C7">
        <w:rPr>
          <w:rFonts w:ascii="Abadi" w:hAnsi="Abadi"/>
          <w:b/>
          <w:bCs/>
          <w:spacing w:val="10"/>
          <w:sz w:val="21"/>
          <w:szCs w:val="21"/>
        </w:rPr>
        <w:t xml:space="preserve"> </w:t>
      </w:r>
      <w:r w:rsidRPr="00AD79C7">
        <w:rPr>
          <w:rFonts w:ascii="Abadi" w:hAnsi="Abadi"/>
          <w:b/>
          <w:bCs/>
          <w:sz w:val="21"/>
          <w:szCs w:val="21"/>
        </w:rPr>
        <w:t>dictamen</w:t>
      </w:r>
      <w:r w:rsidRPr="00AD79C7">
        <w:rPr>
          <w:rFonts w:ascii="Abadi" w:hAnsi="Abadi"/>
          <w:b/>
          <w:bCs/>
          <w:spacing w:val="10"/>
          <w:sz w:val="21"/>
          <w:szCs w:val="21"/>
        </w:rPr>
        <w:t xml:space="preserve"> </w:t>
      </w:r>
      <w:r w:rsidRPr="00AD79C7">
        <w:rPr>
          <w:rFonts w:ascii="Abadi" w:hAnsi="Abadi"/>
          <w:b/>
          <w:bCs/>
          <w:sz w:val="21"/>
          <w:szCs w:val="21"/>
        </w:rPr>
        <w:t>signado</w:t>
      </w:r>
      <w:r w:rsidRPr="00AD79C7">
        <w:rPr>
          <w:rFonts w:ascii="Abadi" w:hAnsi="Abadi"/>
          <w:b/>
          <w:bCs/>
          <w:spacing w:val="9"/>
          <w:sz w:val="21"/>
          <w:szCs w:val="21"/>
        </w:rPr>
        <w:t xml:space="preserve"> </w:t>
      </w:r>
      <w:r w:rsidRPr="00AD79C7">
        <w:rPr>
          <w:rFonts w:ascii="Abadi" w:hAnsi="Abadi"/>
          <w:b/>
          <w:bCs/>
          <w:sz w:val="21"/>
          <w:szCs w:val="21"/>
        </w:rPr>
        <w:t>por</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Comisión</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Hacienda</w:t>
      </w:r>
      <w:r w:rsidRPr="00AD79C7">
        <w:rPr>
          <w:rFonts w:ascii="Abadi" w:hAnsi="Abadi"/>
          <w:b/>
          <w:bCs/>
          <w:spacing w:val="32"/>
          <w:sz w:val="21"/>
          <w:szCs w:val="21"/>
        </w:rPr>
        <w:t xml:space="preserve"> </w:t>
      </w:r>
      <w:r w:rsidRPr="00AD79C7">
        <w:rPr>
          <w:rFonts w:ascii="Abadi" w:hAnsi="Abadi"/>
          <w:b/>
          <w:bCs/>
          <w:sz w:val="21"/>
          <w:szCs w:val="21"/>
        </w:rPr>
        <w:t>y</w:t>
      </w:r>
      <w:r w:rsidRPr="00AD79C7">
        <w:rPr>
          <w:rFonts w:ascii="Abadi" w:hAnsi="Abadi"/>
          <w:b/>
          <w:bCs/>
          <w:spacing w:val="33"/>
          <w:sz w:val="21"/>
          <w:szCs w:val="21"/>
        </w:rPr>
        <w:t xml:space="preserve"> </w:t>
      </w:r>
      <w:r w:rsidRPr="00AD79C7">
        <w:rPr>
          <w:rFonts w:ascii="Abadi" w:hAnsi="Abadi"/>
          <w:b/>
          <w:bCs/>
          <w:sz w:val="21"/>
          <w:szCs w:val="21"/>
        </w:rPr>
        <w:t>Fiscalización</w:t>
      </w:r>
      <w:r w:rsidRPr="00AD79C7">
        <w:rPr>
          <w:rFonts w:ascii="Abadi" w:hAnsi="Abadi"/>
          <w:b/>
          <w:bCs/>
          <w:spacing w:val="32"/>
          <w:sz w:val="21"/>
          <w:szCs w:val="21"/>
        </w:rPr>
        <w:t xml:space="preserve"> </w:t>
      </w:r>
      <w:r w:rsidRPr="00AD79C7">
        <w:rPr>
          <w:rFonts w:ascii="Abadi" w:hAnsi="Abadi"/>
          <w:b/>
          <w:bCs/>
          <w:sz w:val="21"/>
          <w:szCs w:val="21"/>
        </w:rPr>
        <w:t>relativo</w:t>
      </w:r>
      <w:r w:rsidRPr="00AD79C7">
        <w:rPr>
          <w:rFonts w:ascii="Abadi" w:hAnsi="Abadi"/>
          <w:b/>
          <w:bCs/>
          <w:spacing w:val="33"/>
          <w:sz w:val="21"/>
          <w:szCs w:val="21"/>
        </w:rPr>
        <w:t xml:space="preserve"> </w:t>
      </w:r>
      <w:r w:rsidRPr="00AD79C7">
        <w:rPr>
          <w:rFonts w:ascii="Abadi" w:hAnsi="Abadi"/>
          <w:b/>
          <w:bCs/>
          <w:sz w:val="21"/>
          <w:szCs w:val="21"/>
        </w:rPr>
        <w:t>a</w:t>
      </w:r>
      <w:r w:rsidRPr="00AD79C7">
        <w:rPr>
          <w:rFonts w:ascii="Abadi" w:hAnsi="Abadi"/>
          <w:b/>
          <w:bCs/>
          <w:spacing w:val="33"/>
          <w:sz w:val="21"/>
          <w:szCs w:val="21"/>
        </w:rPr>
        <w:t xml:space="preserve"> </w:t>
      </w:r>
      <w:r w:rsidRPr="00AD79C7">
        <w:rPr>
          <w:rFonts w:ascii="Abadi" w:hAnsi="Abadi"/>
          <w:b/>
          <w:bCs/>
          <w:sz w:val="21"/>
          <w:szCs w:val="21"/>
        </w:rPr>
        <w:t>la</w:t>
      </w:r>
      <w:r w:rsidRPr="00AD79C7">
        <w:rPr>
          <w:rFonts w:ascii="Abadi" w:hAnsi="Abadi"/>
          <w:b/>
          <w:bCs/>
          <w:spacing w:val="34"/>
          <w:sz w:val="21"/>
          <w:szCs w:val="21"/>
        </w:rPr>
        <w:t xml:space="preserve"> </w:t>
      </w:r>
      <w:r w:rsidRPr="00AD79C7">
        <w:rPr>
          <w:rFonts w:ascii="Abadi" w:hAnsi="Abadi"/>
          <w:b/>
          <w:bCs/>
          <w:sz w:val="21"/>
          <w:szCs w:val="21"/>
        </w:rPr>
        <w:t>propuesta</w:t>
      </w:r>
      <w:r w:rsidRPr="00AD79C7">
        <w:rPr>
          <w:rFonts w:ascii="Abadi" w:hAnsi="Abadi"/>
          <w:b/>
          <w:bCs/>
          <w:spacing w:val="33"/>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punto</w:t>
      </w:r>
      <w:r w:rsidRPr="00AD79C7">
        <w:rPr>
          <w:rFonts w:ascii="Abadi" w:hAnsi="Abadi"/>
          <w:b/>
          <w:bCs/>
          <w:spacing w:val="33"/>
          <w:sz w:val="21"/>
          <w:szCs w:val="21"/>
        </w:rPr>
        <w:t xml:space="preserve"> </w:t>
      </w:r>
      <w:r w:rsidRPr="00AD79C7">
        <w:rPr>
          <w:rFonts w:ascii="Abadi" w:hAnsi="Abadi"/>
          <w:b/>
          <w:bCs/>
          <w:sz w:val="21"/>
          <w:szCs w:val="21"/>
        </w:rPr>
        <w:t>de</w:t>
      </w:r>
      <w:r w:rsidRPr="00AD79C7">
        <w:rPr>
          <w:rFonts w:ascii="Abadi" w:hAnsi="Abadi"/>
          <w:b/>
          <w:bCs/>
          <w:spacing w:val="34"/>
          <w:sz w:val="21"/>
          <w:szCs w:val="21"/>
        </w:rPr>
        <w:t xml:space="preserve"> </w:t>
      </w:r>
      <w:r w:rsidRPr="00AD79C7">
        <w:rPr>
          <w:rFonts w:ascii="Abadi" w:hAnsi="Abadi"/>
          <w:b/>
          <w:bCs/>
          <w:sz w:val="21"/>
          <w:szCs w:val="21"/>
        </w:rPr>
        <w:t>acuerdo</w:t>
      </w:r>
      <w:r w:rsidRPr="00AD79C7">
        <w:rPr>
          <w:rFonts w:ascii="Abadi" w:hAnsi="Abadi"/>
          <w:b/>
          <w:bCs/>
          <w:spacing w:val="-1"/>
          <w:sz w:val="21"/>
          <w:szCs w:val="21"/>
        </w:rPr>
        <w:t xml:space="preserve"> </w:t>
      </w:r>
      <w:r w:rsidRPr="00AD79C7">
        <w:rPr>
          <w:rFonts w:ascii="Abadi" w:hAnsi="Abadi"/>
          <w:b/>
          <w:bCs/>
          <w:sz w:val="21"/>
          <w:szCs w:val="21"/>
        </w:rPr>
        <w:t>formulada</w:t>
      </w:r>
      <w:r w:rsidRPr="00AD79C7">
        <w:rPr>
          <w:rFonts w:ascii="Abadi" w:hAnsi="Abadi"/>
          <w:b/>
          <w:bCs/>
          <w:spacing w:val="-13"/>
          <w:sz w:val="21"/>
          <w:szCs w:val="21"/>
        </w:rPr>
        <w:t xml:space="preserve"> </w:t>
      </w:r>
      <w:r w:rsidRPr="00AD79C7">
        <w:rPr>
          <w:rFonts w:ascii="Abadi" w:hAnsi="Abadi"/>
          <w:b/>
          <w:bCs/>
          <w:sz w:val="21"/>
          <w:szCs w:val="21"/>
        </w:rPr>
        <w:t>por</w:t>
      </w:r>
      <w:r w:rsidRPr="00AD79C7">
        <w:rPr>
          <w:rFonts w:ascii="Abadi" w:hAnsi="Abadi"/>
          <w:b/>
          <w:bCs/>
          <w:spacing w:val="-14"/>
          <w:sz w:val="21"/>
          <w:szCs w:val="21"/>
        </w:rPr>
        <w:t xml:space="preserve"> </w:t>
      </w:r>
      <w:r w:rsidRPr="00AD79C7">
        <w:rPr>
          <w:rFonts w:ascii="Abadi" w:hAnsi="Abadi"/>
          <w:b/>
          <w:bCs/>
          <w:sz w:val="21"/>
          <w:szCs w:val="21"/>
        </w:rPr>
        <w:t>la</w:t>
      </w:r>
      <w:r w:rsidRPr="00AD79C7">
        <w:rPr>
          <w:rFonts w:ascii="Abadi" w:hAnsi="Abadi"/>
          <w:b/>
          <w:bCs/>
          <w:spacing w:val="-15"/>
          <w:sz w:val="21"/>
          <w:szCs w:val="21"/>
        </w:rPr>
        <w:t xml:space="preserve"> </w:t>
      </w:r>
      <w:r w:rsidRPr="00AD79C7">
        <w:rPr>
          <w:rFonts w:ascii="Abadi" w:hAnsi="Abadi"/>
          <w:b/>
          <w:bCs/>
          <w:sz w:val="21"/>
          <w:szCs w:val="21"/>
        </w:rPr>
        <w:t>diputada</w:t>
      </w:r>
      <w:r w:rsidRPr="00AD79C7">
        <w:rPr>
          <w:rFonts w:ascii="Abadi" w:hAnsi="Abadi"/>
          <w:b/>
          <w:bCs/>
          <w:spacing w:val="-14"/>
          <w:sz w:val="21"/>
          <w:szCs w:val="21"/>
        </w:rPr>
        <w:t xml:space="preserve"> </w:t>
      </w:r>
      <w:r w:rsidRPr="00AD79C7">
        <w:rPr>
          <w:rFonts w:ascii="Abadi" w:hAnsi="Abadi"/>
          <w:b/>
          <w:bCs/>
          <w:sz w:val="21"/>
          <w:szCs w:val="21"/>
        </w:rPr>
        <w:t>Alma</w:t>
      </w:r>
      <w:r w:rsidRPr="00AD79C7">
        <w:rPr>
          <w:rFonts w:ascii="Abadi" w:hAnsi="Abadi"/>
          <w:b/>
          <w:bCs/>
          <w:spacing w:val="-14"/>
          <w:sz w:val="21"/>
          <w:szCs w:val="21"/>
        </w:rPr>
        <w:t xml:space="preserve"> </w:t>
      </w:r>
      <w:r w:rsidRPr="00AD79C7">
        <w:rPr>
          <w:rFonts w:ascii="Abadi" w:hAnsi="Abadi"/>
          <w:b/>
          <w:bCs/>
          <w:sz w:val="21"/>
          <w:szCs w:val="21"/>
        </w:rPr>
        <w:t>Edwviges</w:t>
      </w:r>
      <w:r w:rsidRPr="00AD79C7">
        <w:rPr>
          <w:rFonts w:ascii="Abadi" w:hAnsi="Abadi"/>
          <w:b/>
          <w:bCs/>
          <w:spacing w:val="-15"/>
          <w:sz w:val="21"/>
          <w:szCs w:val="21"/>
        </w:rPr>
        <w:t xml:space="preserve"> </w:t>
      </w:r>
      <w:r w:rsidRPr="00AD79C7">
        <w:rPr>
          <w:rFonts w:ascii="Abadi" w:hAnsi="Abadi"/>
          <w:b/>
          <w:bCs/>
          <w:sz w:val="21"/>
          <w:szCs w:val="21"/>
        </w:rPr>
        <w:t>Alcaraz</w:t>
      </w:r>
      <w:r w:rsidRPr="00AD79C7">
        <w:rPr>
          <w:rFonts w:ascii="Abadi" w:hAnsi="Abadi"/>
          <w:b/>
          <w:bCs/>
          <w:spacing w:val="-14"/>
          <w:sz w:val="21"/>
          <w:szCs w:val="21"/>
        </w:rPr>
        <w:t xml:space="preserve"> </w:t>
      </w:r>
      <w:r w:rsidRPr="00AD79C7">
        <w:rPr>
          <w:rFonts w:ascii="Abadi" w:hAnsi="Abadi"/>
          <w:b/>
          <w:bCs/>
          <w:sz w:val="21"/>
          <w:szCs w:val="21"/>
        </w:rPr>
        <w:t>Hernández,</w:t>
      </w:r>
      <w:r w:rsidRPr="00AD79C7">
        <w:rPr>
          <w:rFonts w:ascii="Abadi" w:hAnsi="Abadi"/>
          <w:b/>
          <w:bCs/>
          <w:spacing w:val="-14"/>
          <w:sz w:val="21"/>
          <w:szCs w:val="21"/>
        </w:rPr>
        <w:t xml:space="preserve"> </w:t>
      </w:r>
      <w:r w:rsidRPr="00AD79C7">
        <w:rPr>
          <w:rFonts w:ascii="Abadi" w:hAnsi="Abadi"/>
          <w:b/>
          <w:bCs/>
          <w:sz w:val="21"/>
          <w:szCs w:val="21"/>
        </w:rPr>
        <w:t>integrante</w:t>
      </w:r>
      <w:r w:rsidRPr="00AD79C7">
        <w:rPr>
          <w:rFonts w:ascii="Abadi" w:hAnsi="Abadi"/>
          <w:b/>
          <w:bCs/>
          <w:spacing w:val="-14"/>
          <w:sz w:val="21"/>
          <w:szCs w:val="21"/>
        </w:rPr>
        <w:t xml:space="preserve"> </w:t>
      </w:r>
      <w:r w:rsidRPr="00AD79C7">
        <w:rPr>
          <w:rFonts w:ascii="Abadi" w:hAnsi="Abadi"/>
          <w:b/>
          <w:bCs/>
          <w:sz w:val="21"/>
          <w:szCs w:val="21"/>
        </w:rPr>
        <w:t>del</w:t>
      </w:r>
      <w:r w:rsidRPr="00AD79C7">
        <w:rPr>
          <w:rFonts w:ascii="Abadi" w:hAnsi="Abadi"/>
          <w:b/>
          <w:bCs/>
          <w:spacing w:val="-1"/>
          <w:sz w:val="21"/>
          <w:szCs w:val="21"/>
        </w:rPr>
        <w:t xml:space="preserve"> </w:t>
      </w:r>
      <w:r w:rsidRPr="00AD79C7">
        <w:rPr>
          <w:rFonts w:ascii="Abadi" w:hAnsi="Abadi"/>
          <w:b/>
          <w:bCs/>
          <w:sz w:val="21"/>
          <w:szCs w:val="21"/>
        </w:rPr>
        <w:t>Grupo</w:t>
      </w:r>
      <w:r w:rsidRPr="00AD79C7">
        <w:rPr>
          <w:rFonts w:ascii="Abadi" w:hAnsi="Abadi"/>
          <w:b/>
          <w:bCs/>
          <w:spacing w:val="-6"/>
          <w:sz w:val="21"/>
          <w:szCs w:val="21"/>
        </w:rPr>
        <w:t xml:space="preserve"> </w:t>
      </w:r>
      <w:r w:rsidRPr="00AD79C7">
        <w:rPr>
          <w:rFonts w:ascii="Abadi" w:hAnsi="Abadi"/>
          <w:b/>
          <w:bCs/>
          <w:sz w:val="21"/>
          <w:szCs w:val="21"/>
        </w:rPr>
        <w:t>Parlamentario</w:t>
      </w:r>
      <w:r w:rsidRPr="00AD79C7">
        <w:rPr>
          <w:rFonts w:ascii="Abadi" w:hAnsi="Abadi"/>
          <w:b/>
          <w:bCs/>
          <w:spacing w:val="-6"/>
          <w:sz w:val="21"/>
          <w:szCs w:val="21"/>
        </w:rPr>
        <w:t xml:space="preserve"> </w:t>
      </w:r>
      <w:r w:rsidRPr="00AD79C7">
        <w:rPr>
          <w:rFonts w:ascii="Abadi" w:hAnsi="Abadi"/>
          <w:b/>
          <w:bCs/>
          <w:sz w:val="21"/>
          <w:szCs w:val="21"/>
        </w:rPr>
        <w:t>del</w:t>
      </w:r>
      <w:r w:rsidRPr="00AD79C7">
        <w:rPr>
          <w:rFonts w:ascii="Abadi" w:hAnsi="Abadi"/>
          <w:b/>
          <w:bCs/>
          <w:spacing w:val="-7"/>
          <w:sz w:val="21"/>
          <w:szCs w:val="21"/>
        </w:rPr>
        <w:t xml:space="preserve"> </w:t>
      </w:r>
      <w:r w:rsidRPr="00AD79C7">
        <w:rPr>
          <w:rFonts w:ascii="Abadi" w:hAnsi="Abadi"/>
          <w:b/>
          <w:bCs/>
          <w:sz w:val="21"/>
          <w:szCs w:val="21"/>
        </w:rPr>
        <w:t>Partido</w:t>
      </w:r>
      <w:r w:rsidRPr="00AD79C7">
        <w:rPr>
          <w:rFonts w:ascii="Abadi" w:hAnsi="Abadi"/>
          <w:b/>
          <w:bCs/>
          <w:spacing w:val="-6"/>
          <w:sz w:val="21"/>
          <w:szCs w:val="21"/>
        </w:rPr>
        <w:t xml:space="preserve"> </w:t>
      </w:r>
      <w:r w:rsidRPr="00AD79C7">
        <w:rPr>
          <w:rFonts w:ascii="Abadi" w:hAnsi="Abadi"/>
          <w:b/>
          <w:bCs/>
          <w:sz w:val="21"/>
          <w:szCs w:val="21"/>
        </w:rPr>
        <w:t>MORENA,</w:t>
      </w:r>
      <w:r w:rsidRPr="00AD79C7">
        <w:rPr>
          <w:rFonts w:ascii="Abadi" w:hAnsi="Abadi"/>
          <w:b/>
          <w:bCs/>
          <w:spacing w:val="-6"/>
          <w:sz w:val="21"/>
          <w:szCs w:val="21"/>
        </w:rPr>
        <w:t xml:space="preserve"> </w:t>
      </w:r>
      <w:r w:rsidRPr="00AD79C7">
        <w:rPr>
          <w:rFonts w:ascii="Abadi" w:hAnsi="Abadi"/>
          <w:b/>
          <w:bCs/>
          <w:sz w:val="21"/>
          <w:szCs w:val="21"/>
        </w:rPr>
        <w:t>a</w:t>
      </w:r>
      <w:r w:rsidRPr="00AD79C7">
        <w:rPr>
          <w:rFonts w:ascii="Abadi" w:hAnsi="Abadi"/>
          <w:b/>
          <w:bCs/>
          <w:spacing w:val="-7"/>
          <w:sz w:val="21"/>
          <w:szCs w:val="21"/>
        </w:rPr>
        <w:t xml:space="preserve"> </w:t>
      </w:r>
      <w:r w:rsidRPr="00AD79C7">
        <w:rPr>
          <w:rFonts w:ascii="Abadi" w:hAnsi="Abadi"/>
          <w:b/>
          <w:bCs/>
          <w:sz w:val="21"/>
          <w:szCs w:val="21"/>
        </w:rPr>
        <w:t>efecto</w:t>
      </w:r>
      <w:r w:rsidRPr="00AD79C7">
        <w:rPr>
          <w:rFonts w:ascii="Abadi" w:hAnsi="Abadi"/>
          <w:b/>
          <w:bCs/>
          <w:spacing w:val="-6"/>
          <w:sz w:val="21"/>
          <w:szCs w:val="21"/>
        </w:rPr>
        <w:t xml:space="preserve"> </w:t>
      </w:r>
      <w:r w:rsidRPr="00AD79C7">
        <w:rPr>
          <w:rFonts w:ascii="Abadi" w:hAnsi="Abadi"/>
          <w:b/>
          <w:bCs/>
          <w:sz w:val="21"/>
          <w:szCs w:val="21"/>
        </w:rPr>
        <w:t>de</w:t>
      </w:r>
      <w:r w:rsidRPr="00AD79C7">
        <w:rPr>
          <w:rFonts w:ascii="Abadi" w:hAnsi="Abadi"/>
          <w:b/>
          <w:bCs/>
          <w:spacing w:val="-6"/>
          <w:sz w:val="21"/>
          <w:szCs w:val="21"/>
        </w:rPr>
        <w:t xml:space="preserve"> </w:t>
      </w:r>
      <w:r w:rsidRPr="00AD79C7">
        <w:rPr>
          <w:rFonts w:ascii="Abadi" w:hAnsi="Abadi"/>
          <w:b/>
          <w:bCs/>
          <w:sz w:val="21"/>
          <w:szCs w:val="21"/>
        </w:rPr>
        <w:t>exhortar</w:t>
      </w:r>
      <w:r w:rsidRPr="00AD79C7">
        <w:rPr>
          <w:rFonts w:ascii="Abadi" w:hAnsi="Abadi"/>
          <w:b/>
          <w:bCs/>
          <w:spacing w:val="-7"/>
          <w:sz w:val="21"/>
          <w:szCs w:val="21"/>
        </w:rPr>
        <w:t xml:space="preserve"> </w:t>
      </w:r>
      <w:r w:rsidRPr="00AD79C7">
        <w:rPr>
          <w:rFonts w:ascii="Abadi" w:hAnsi="Abadi"/>
          <w:b/>
          <w:bCs/>
          <w:sz w:val="21"/>
          <w:szCs w:val="21"/>
        </w:rPr>
        <w:t>al</w:t>
      </w:r>
      <w:r w:rsidRPr="00AD79C7">
        <w:rPr>
          <w:rFonts w:ascii="Abadi" w:hAnsi="Abadi"/>
          <w:b/>
          <w:bCs/>
          <w:spacing w:val="-6"/>
          <w:sz w:val="21"/>
          <w:szCs w:val="21"/>
        </w:rPr>
        <w:t xml:space="preserve"> </w:t>
      </w:r>
      <w:r w:rsidRPr="00AD79C7">
        <w:rPr>
          <w:rFonts w:ascii="Abadi" w:hAnsi="Abadi"/>
          <w:b/>
          <w:bCs/>
          <w:sz w:val="21"/>
          <w:szCs w:val="21"/>
        </w:rPr>
        <w:t>titular</w:t>
      </w:r>
      <w:r w:rsidRPr="00AD79C7">
        <w:rPr>
          <w:rFonts w:ascii="Abadi" w:hAnsi="Abadi"/>
          <w:b/>
          <w:bCs/>
          <w:spacing w:val="-6"/>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8"/>
          <w:sz w:val="21"/>
          <w:szCs w:val="21"/>
        </w:rPr>
        <w:t xml:space="preserve"> </w:t>
      </w:r>
      <w:r w:rsidRPr="00AD79C7">
        <w:rPr>
          <w:rFonts w:ascii="Abadi" w:hAnsi="Abadi"/>
          <w:b/>
          <w:bCs/>
          <w:sz w:val="21"/>
          <w:szCs w:val="21"/>
        </w:rPr>
        <w:t>Auditoría</w:t>
      </w:r>
      <w:r w:rsidRPr="00AD79C7">
        <w:rPr>
          <w:rFonts w:ascii="Abadi" w:hAnsi="Abadi"/>
          <w:b/>
          <w:bCs/>
          <w:spacing w:val="8"/>
          <w:sz w:val="21"/>
          <w:szCs w:val="21"/>
        </w:rPr>
        <w:t xml:space="preserve"> </w:t>
      </w:r>
      <w:r w:rsidRPr="00AD79C7">
        <w:rPr>
          <w:rFonts w:ascii="Abadi" w:hAnsi="Abadi"/>
          <w:b/>
          <w:bCs/>
          <w:sz w:val="21"/>
          <w:szCs w:val="21"/>
        </w:rPr>
        <w:t>Superior</w:t>
      </w:r>
      <w:r w:rsidRPr="00AD79C7">
        <w:rPr>
          <w:rFonts w:ascii="Abadi" w:hAnsi="Abadi"/>
          <w:b/>
          <w:bCs/>
          <w:spacing w:val="7"/>
          <w:sz w:val="21"/>
          <w:szCs w:val="21"/>
        </w:rPr>
        <w:t xml:space="preserve"> </w:t>
      </w:r>
      <w:r w:rsidRPr="00AD79C7">
        <w:rPr>
          <w:rFonts w:ascii="Abadi" w:hAnsi="Abadi"/>
          <w:b/>
          <w:bCs/>
          <w:sz w:val="21"/>
          <w:szCs w:val="21"/>
        </w:rPr>
        <w:t>del</w:t>
      </w:r>
      <w:r w:rsidRPr="00AD79C7">
        <w:rPr>
          <w:rFonts w:ascii="Abadi" w:hAnsi="Abadi"/>
          <w:b/>
          <w:bCs/>
          <w:spacing w:val="7"/>
          <w:sz w:val="21"/>
          <w:szCs w:val="21"/>
        </w:rPr>
        <w:t xml:space="preserve"> </w:t>
      </w:r>
      <w:r w:rsidRPr="00AD79C7">
        <w:rPr>
          <w:rFonts w:ascii="Abadi" w:hAnsi="Abadi"/>
          <w:b/>
          <w:bCs/>
          <w:sz w:val="21"/>
          <w:szCs w:val="21"/>
        </w:rPr>
        <w:t>Estado</w:t>
      </w:r>
      <w:r w:rsidRPr="00AD79C7">
        <w:rPr>
          <w:rFonts w:ascii="Abadi" w:hAnsi="Abadi"/>
          <w:b/>
          <w:bCs/>
          <w:spacing w:val="8"/>
          <w:sz w:val="21"/>
          <w:szCs w:val="21"/>
        </w:rPr>
        <w:t xml:space="preserve"> </w:t>
      </w:r>
      <w:r w:rsidRPr="00AD79C7">
        <w:rPr>
          <w:rFonts w:ascii="Abadi" w:hAnsi="Abadi"/>
          <w:b/>
          <w:bCs/>
          <w:sz w:val="21"/>
          <w:szCs w:val="21"/>
        </w:rPr>
        <w:t>de</w:t>
      </w:r>
      <w:r w:rsidRPr="00AD79C7">
        <w:rPr>
          <w:rFonts w:ascii="Abadi" w:hAnsi="Abadi"/>
          <w:b/>
          <w:bCs/>
          <w:spacing w:val="7"/>
          <w:sz w:val="21"/>
          <w:szCs w:val="21"/>
        </w:rPr>
        <w:t xml:space="preserve"> </w:t>
      </w:r>
      <w:r w:rsidRPr="00AD79C7">
        <w:rPr>
          <w:rFonts w:ascii="Abadi" w:hAnsi="Abadi"/>
          <w:b/>
          <w:bCs/>
          <w:sz w:val="21"/>
          <w:szCs w:val="21"/>
        </w:rPr>
        <w:t>Guanajuato,</w:t>
      </w:r>
      <w:r w:rsidRPr="00AD79C7">
        <w:rPr>
          <w:rFonts w:ascii="Abadi" w:hAnsi="Abadi"/>
          <w:b/>
          <w:bCs/>
          <w:spacing w:val="8"/>
          <w:sz w:val="21"/>
          <w:szCs w:val="21"/>
        </w:rPr>
        <w:t xml:space="preserve"> </w:t>
      </w:r>
      <w:r w:rsidRPr="00AD79C7">
        <w:rPr>
          <w:rFonts w:ascii="Abadi" w:hAnsi="Abadi"/>
          <w:b/>
          <w:bCs/>
          <w:sz w:val="21"/>
          <w:szCs w:val="21"/>
        </w:rPr>
        <w:t>para</w:t>
      </w:r>
      <w:r w:rsidRPr="00AD79C7">
        <w:rPr>
          <w:rFonts w:ascii="Abadi" w:hAnsi="Abadi"/>
          <w:b/>
          <w:bCs/>
          <w:spacing w:val="8"/>
          <w:sz w:val="21"/>
          <w:szCs w:val="21"/>
        </w:rPr>
        <w:t xml:space="preserve"> </w:t>
      </w:r>
      <w:r w:rsidRPr="00AD79C7">
        <w:rPr>
          <w:rFonts w:ascii="Abadi" w:hAnsi="Abadi"/>
          <w:b/>
          <w:bCs/>
          <w:sz w:val="21"/>
          <w:szCs w:val="21"/>
        </w:rPr>
        <w:t>que</w:t>
      </w:r>
      <w:r w:rsidRPr="00AD79C7">
        <w:rPr>
          <w:rFonts w:ascii="Abadi" w:hAnsi="Abadi"/>
          <w:b/>
          <w:bCs/>
          <w:spacing w:val="7"/>
          <w:sz w:val="21"/>
          <w:szCs w:val="21"/>
        </w:rPr>
        <w:t xml:space="preserve"> </w:t>
      </w:r>
      <w:r w:rsidRPr="00AD79C7">
        <w:rPr>
          <w:rFonts w:ascii="Abadi" w:hAnsi="Abadi"/>
          <w:b/>
          <w:bCs/>
          <w:sz w:val="21"/>
          <w:szCs w:val="21"/>
        </w:rPr>
        <w:t>lleve</w:t>
      </w:r>
      <w:r w:rsidRPr="00AD79C7">
        <w:rPr>
          <w:rFonts w:ascii="Abadi" w:hAnsi="Abadi"/>
          <w:b/>
          <w:bCs/>
          <w:spacing w:val="7"/>
          <w:sz w:val="21"/>
          <w:szCs w:val="21"/>
        </w:rPr>
        <w:t xml:space="preserve"> </w:t>
      </w:r>
      <w:r w:rsidRPr="00AD79C7">
        <w:rPr>
          <w:rFonts w:ascii="Abadi" w:hAnsi="Abadi"/>
          <w:b/>
          <w:bCs/>
          <w:sz w:val="21"/>
          <w:szCs w:val="21"/>
        </w:rPr>
        <w:t>a</w:t>
      </w:r>
      <w:r w:rsidRPr="00AD79C7">
        <w:rPr>
          <w:rFonts w:ascii="Abadi" w:hAnsi="Abadi"/>
          <w:b/>
          <w:bCs/>
          <w:spacing w:val="8"/>
          <w:sz w:val="21"/>
          <w:szCs w:val="21"/>
        </w:rPr>
        <w:t xml:space="preserve"> </w:t>
      </w:r>
      <w:r w:rsidRPr="00AD79C7">
        <w:rPr>
          <w:rFonts w:ascii="Abadi" w:hAnsi="Abadi"/>
          <w:b/>
          <w:bCs/>
          <w:sz w:val="21"/>
          <w:szCs w:val="21"/>
        </w:rPr>
        <w:t>cabo</w:t>
      </w:r>
      <w:r w:rsidRPr="00AD79C7">
        <w:rPr>
          <w:rFonts w:ascii="Abadi" w:hAnsi="Abadi"/>
          <w:b/>
          <w:bCs/>
          <w:spacing w:val="7"/>
          <w:sz w:val="21"/>
          <w:szCs w:val="21"/>
        </w:rPr>
        <w:t xml:space="preserve"> </w:t>
      </w:r>
      <w:r w:rsidRPr="00AD79C7">
        <w:rPr>
          <w:rFonts w:ascii="Abadi" w:hAnsi="Abadi"/>
          <w:b/>
          <w:bCs/>
          <w:sz w:val="21"/>
          <w:szCs w:val="21"/>
        </w:rPr>
        <w:t>una</w:t>
      </w:r>
      <w:r w:rsidRPr="00AD79C7">
        <w:rPr>
          <w:rFonts w:ascii="Abadi" w:hAnsi="Abadi"/>
          <w:b/>
          <w:bCs/>
          <w:spacing w:val="-1"/>
          <w:sz w:val="21"/>
          <w:szCs w:val="21"/>
        </w:rPr>
        <w:t xml:space="preserve"> </w:t>
      </w:r>
      <w:r w:rsidRPr="00AD79C7">
        <w:rPr>
          <w:rFonts w:ascii="Abadi" w:hAnsi="Abadi"/>
          <w:b/>
          <w:bCs/>
          <w:sz w:val="21"/>
          <w:szCs w:val="21"/>
        </w:rPr>
        <w:t>auditoría</w:t>
      </w:r>
      <w:r w:rsidRPr="00AD79C7">
        <w:rPr>
          <w:rFonts w:ascii="Abadi" w:hAnsi="Abadi"/>
          <w:b/>
          <w:bCs/>
          <w:spacing w:val="-9"/>
          <w:sz w:val="21"/>
          <w:szCs w:val="21"/>
        </w:rPr>
        <w:t xml:space="preserve"> </w:t>
      </w:r>
      <w:r w:rsidRPr="00AD79C7">
        <w:rPr>
          <w:rFonts w:ascii="Abadi" w:hAnsi="Abadi"/>
          <w:b/>
          <w:bCs/>
          <w:sz w:val="21"/>
          <w:szCs w:val="21"/>
        </w:rPr>
        <w:t>financiera</w:t>
      </w:r>
      <w:r w:rsidRPr="00AD79C7">
        <w:rPr>
          <w:rFonts w:ascii="Abadi" w:hAnsi="Abadi"/>
          <w:b/>
          <w:bCs/>
          <w:spacing w:val="-8"/>
          <w:sz w:val="21"/>
          <w:szCs w:val="21"/>
        </w:rPr>
        <w:t xml:space="preserve"> </w:t>
      </w:r>
      <w:r w:rsidRPr="00AD79C7">
        <w:rPr>
          <w:rFonts w:ascii="Abadi" w:hAnsi="Abadi"/>
          <w:b/>
          <w:bCs/>
          <w:sz w:val="21"/>
          <w:szCs w:val="21"/>
        </w:rPr>
        <w:t>integral</w:t>
      </w:r>
      <w:r w:rsidRPr="00AD79C7">
        <w:rPr>
          <w:rFonts w:ascii="Abadi" w:hAnsi="Abadi"/>
          <w:b/>
          <w:bCs/>
          <w:spacing w:val="-10"/>
          <w:sz w:val="21"/>
          <w:szCs w:val="21"/>
        </w:rPr>
        <w:t xml:space="preserve"> </w:t>
      </w:r>
      <w:r w:rsidRPr="00AD79C7">
        <w:rPr>
          <w:rFonts w:ascii="Abadi" w:hAnsi="Abadi"/>
          <w:b/>
          <w:bCs/>
          <w:sz w:val="21"/>
          <w:szCs w:val="21"/>
        </w:rPr>
        <w:t>al</w:t>
      </w:r>
      <w:r w:rsidRPr="00AD79C7">
        <w:rPr>
          <w:rFonts w:ascii="Abadi" w:hAnsi="Abadi"/>
          <w:b/>
          <w:bCs/>
          <w:spacing w:val="-9"/>
          <w:sz w:val="21"/>
          <w:szCs w:val="21"/>
        </w:rPr>
        <w:t xml:space="preserve"> </w:t>
      </w:r>
      <w:r w:rsidRPr="00AD79C7">
        <w:rPr>
          <w:rFonts w:ascii="Abadi" w:hAnsi="Abadi"/>
          <w:b/>
          <w:bCs/>
          <w:sz w:val="21"/>
          <w:szCs w:val="21"/>
        </w:rPr>
        <w:t>municipio</w:t>
      </w:r>
      <w:r w:rsidRPr="00AD79C7">
        <w:rPr>
          <w:rFonts w:ascii="Abadi" w:hAnsi="Abadi"/>
          <w:b/>
          <w:bCs/>
          <w:spacing w:val="-9"/>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San</w:t>
      </w:r>
      <w:r w:rsidRPr="00AD79C7">
        <w:rPr>
          <w:rFonts w:ascii="Abadi" w:hAnsi="Abadi"/>
          <w:b/>
          <w:bCs/>
          <w:spacing w:val="-9"/>
          <w:sz w:val="21"/>
          <w:szCs w:val="21"/>
        </w:rPr>
        <w:t xml:space="preserve"> </w:t>
      </w:r>
      <w:r w:rsidRPr="00AD79C7">
        <w:rPr>
          <w:rFonts w:ascii="Abadi" w:hAnsi="Abadi"/>
          <w:b/>
          <w:bCs/>
          <w:sz w:val="21"/>
          <w:szCs w:val="21"/>
        </w:rPr>
        <w:t>Miguel</w:t>
      </w:r>
      <w:r w:rsidRPr="00AD79C7">
        <w:rPr>
          <w:rFonts w:ascii="Abadi" w:hAnsi="Abadi"/>
          <w:b/>
          <w:bCs/>
          <w:spacing w:val="-9"/>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Allende,</w:t>
      </w:r>
      <w:r w:rsidRPr="00AD79C7">
        <w:rPr>
          <w:rFonts w:ascii="Abadi" w:hAnsi="Abadi"/>
          <w:b/>
          <w:bCs/>
          <w:spacing w:val="-9"/>
          <w:sz w:val="21"/>
          <w:szCs w:val="21"/>
        </w:rPr>
        <w:t xml:space="preserve"> </w:t>
      </w:r>
      <w:r w:rsidRPr="00AD79C7">
        <w:rPr>
          <w:rFonts w:ascii="Abadi" w:hAnsi="Abadi"/>
          <w:b/>
          <w:bCs/>
          <w:sz w:val="21"/>
          <w:szCs w:val="21"/>
        </w:rPr>
        <w:t>Gto.,</w:t>
      </w:r>
      <w:r w:rsidRPr="00AD79C7">
        <w:rPr>
          <w:rFonts w:ascii="Abadi" w:hAnsi="Abadi"/>
          <w:b/>
          <w:bCs/>
          <w:spacing w:val="-8"/>
          <w:sz w:val="21"/>
          <w:szCs w:val="21"/>
        </w:rPr>
        <w:t xml:space="preserve"> </w:t>
      </w:r>
      <w:r w:rsidRPr="00AD79C7">
        <w:rPr>
          <w:rFonts w:ascii="Abadi" w:hAnsi="Abadi"/>
          <w:b/>
          <w:bCs/>
          <w:sz w:val="21"/>
          <w:szCs w:val="21"/>
        </w:rPr>
        <w:t>por</w:t>
      </w:r>
      <w:r w:rsidRPr="00AD79C7">
        <w:rPr>
          <w:rFonts w:ascii="Abadi" w:hAnsi="Abadi"/>
          <w:b/>
          <w:bCs/>
          <w:spacing w:val="-1"/>
          <w:sz w:val="21"/>
          <w:szCs w:val="21"/>
        </w:rPr>
        <w:t xml:space="preserve"> </w:t>
      </w:r>
      <w:r w:rsidRPr="00AD79C7">
        <w:rPr>
          <w:rFonts w:ascii="Abadi" w:hAnsi="Abadi"/>
          <w:b/>
          <w:bCs/>
          <w:sz w:val="21"/>
          <w:szCs w:val="21"/>
        </w:rPr>
        <w:t>los ejercicios fiscales</w:t>
      </w:r>
      <w:r w:rsidRPr="00AD79C7">
        <w:rPr>
          <w:rFonts w:ascii="Abadi" w:hAnsi="Abadi"/>
          <w:b/>
          <w:bCs/>
          <w:spacing w:val="-1"/>
          <w:sz w:val="21"/>
          <w:szCs w:val="21"/>
        </w:rPr>
        <w:t xml:space="preserve"> </w:t>
      </w:r>
      <w:r w:rsidRPr="00AD79C7">
        <w:rPr>
          <w:rFonts w:ascii="Abadi" w:hAnsi="Abadi"/>
          <w:b/>
          <w:bCs/>
          <w:sz w:val="21"/>
          <w:szCs w:val="21"/>
        </w:rPr>
        <w:t>de 2019, 2020</w:t>
      </w:r>
      <w:r w:rsidRPr="00AD79C7">
        <w:rPr>
          <w:rFonts w:ascii="Abadi" w:hAnsi="Abadi"/>
          <w:b/>
          <w:bCs/>
          <w:spacing w:val="-1"/>
          <w:sz w:val="21"/>
          <w:szCs w:val="21"/>
        </w:rPr>
        <w:t xml:space="preserve"> </w:t>
      </w:r>
      <w:r w:rsidRPr="00AD79C7">
        <w:rPr>
          <w:rFonts w:ascii="Abadi" w:hAnsi="Abadi"/>
          <w:b/>
          <w:bCs/>
          <w:sz w:val="21"/>
          <w:szCs w:val="21"/>
        </w:rPr>
        <w:t>y 2021.</w:t>
      </w:r>
    </w:p>
    <w:p w14:paraId="0DAB5AAB" w14:textId="77777777" w:rsidR="004A4C87" w:rsidRPr="00AD79C7" w:rsidRDefault="004A4C87" w:rsidP="004A4C87">
      <w:pPr>
        <w:kinsoku w:val="0"/>
        <w:overflowPunct w:val="0"/>
        <w:autoSpaceDE w:val="0"/>
        <w:autoSpaceDN w:val="0"/>
        <w:adjustRightInd w:val="0"/>
        <w:spacing w:before="9"/>
        <w:ind w:right="17"/>
        <w:jc w:val="both"/>
        <w:rPr>
          <w:rFonts w:ascii="Abadi" w:hAnsi="Abadi" w:cs="Arial"/>
          <w:b/>
          <w:bCs/>
          <w:sz w:val="21"/>
          <w:szCs w:val="21"/>
        </w:rPr>
      </w:pPr>
    </w:p>
    <w:p w14:paraId="01C1FA36" w14:textId="068D7FFF" w:rsidR="004A4C87" w:rsidRDefault="004A4C87"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6"/>
          <w:sz w:val="21"/>
          <w:szCs w:val="21"/>
        </w:rPr>
        <w:t xml:space="preserve"> </w:t>
      </w:r>
      <w:r w:rsidRPr="00AD79C7">
        <w:rPr>
          <w:rFonts w:ascii="Abadi" w:hAnsi="Abadi"/>
          <w:b/>
          <w:bCs/>
          <w:sz w:val="21"/>
          <w:szCs w:val="21"/>
        </w:rPr>
        <w:t>y,</w:t>
      </w:r>
      <w:r w:rsidRPr="00AD79C7">
        <w:rPr>
          <w:rFonts w:ascii="Abadi" w:hAnsi="Abadi"/>
          <w:b/>
          <w:bCs/>
          <w:spacing w:val="15"/>
          <w:sz w:val="21"/>
          <w:szCs w:val="21"/>
        </w:rPr>
        <w:t xml:space="preserve"> </w:t>
      </w:r>
      <w:r w:rsidRPr="00AD79C7">
        <w:rPr>
          <w:rFonts w:ascii="Abadi" w:hAnsi="Abadi"/>
          <w:b/>
          <w:bCs/>
          <w:sz w:val="21"/>
          <w:szCs w:val="21"/>
        </w:rPr>
        <w:t>en</w:t>
      </w:r>
      <w:r w:rsidRPr="00AD79C7">
        <w:rPr>
          <w:rFonts w:ascii="Abadi" w:hAnsi="Abadi"/>
          <w:b/>
          <w:bCs/>
          <w:spacing w:val="16"/>
          <w:sz w:val="21"/>
          <w:szCs w:val="21"/>
        </w:rPr>
        <w:t xml:space="preserve"> </w:t>
      </w:r>
      <w:r w:rsidRPr="00AD79C7">
        <w:rPr>
          <w:rFonts w:ascii="Abadi" w:hAnsi="Abadi"/>
          <w:b/>
          <w:bCs/>
          <w:sz w:val="21"/>
          <w:szCs w:val="21"/>
        </w:rPr>
        <w:t>su</w:t>
      </w:r>
      <w:r w:rsidRPr="00AD79C7">
        <w:rPr>
          <w:rFonts w:ascii="Abadi" w:hAnsi="Abadi"/>
          <w:b/>
          <w:bCs/>
          <w:spacing w:val="16"/>
          <w:sz w:val="21"/>
          <w:szCs w:val="21"/>
        </w:rPr>
        <w:t xml:space="preserve"> </w:t>
      </w:r>
      <w:r w:rsidRPr="00AD79C7">
        <w:rPr>
          <w:rFonts w:ascii="Abadi" w:hAnsi="Abadi"/>
          <w:b/>
          <w:bCs/>
          <w:sz w:val="21"/>
          <w:szCs w:val="21"/>
        </w:rPr>
        <w:t>caso,</w:t>
      </w:r>
      <w:r w:rsidRPr="00AD79C7">
        <w:rPr>
          <w:rFonts w:ascii="Abadi" w:hAnsi="Abadi"/>
          <w:b/>
          <w:bCs/>
          <w:spacing w:val="15"/>
          <w:sz w:val="21"/>
          <w:szCs w:val="21"/>
        </w:rPr>
        <w:t xml:space="preserve"> </w:t>
      </w:r>
      <w:r w:rsidRPr="00AD79C7">
        <w:rPr>
          <w:rFonts w:ascii="Abadi" w:hAnsi="Abadi"/>
          <w:b/>
          <w:bCs/>
          <w:sz w:val="21"/>
          <w:szCs w:val="21"/>
        </w:rPr>
        <w:t>aprobación</w:t>
      </w:r>
      <w:r w:rsidRPr="00AD79C7">
        <w:rPr>
          <w:rFonts w:ascii="Abadi" w:hAnsi="Abadi"/>
          <w:b/>
          <w:bCs/>
          <w:spacing w:val="16"/>
          <w:sz w:val="21"/>
          <w:szCs w:val="21"/>
        </w:rPr>
        <w:t xml:space="preserve"> </w:t>
      </w:r>
      <w:r w:rsidRPr="00AD79C7">
        <w:rPr>
          <w:rFonts w:ascii="Abadi" w:hAnsi="Abadi"/>
          <w:b/>
          <w:bCs/>
          <w:sz w:val="21"/>
          <w:szCs w:val="21"/>
        </w:rPr>
        <w:t>del</w:t>
      </w:r>
      <w:r w:rsidRPr="00AD79C7">
        <w:rPr>
          <w:rFonts w:ascii="Abadi" w:hAnsi="Abadi"/>
          <w:b/>
          <w:bCs/>
          <w:spacing w:val="15"/>
          <w:sz w:val="21"/>
          <w:szCs w:val="21"/>
        </w:rPr>
        <w:t xml:space="preserve"> </w:t>
      </w:r>
      <w:r w:rsidRPr="00AD79C7">
        <w:rPr>
          <w:rFonts w:ascii="Abadi" w:hAnsi="Abadi"/>
          <w:b/>
          <w:bCs/>
          <w:sz w:val="21"/>
          <w:szCs w:val="21"/>
        </w:rPr>
        <w:t>dictamen</w:t>
      </w:r>
      <w:r w:rsidRPr="00AD79C7">
        <w:rPr>
          <w:rFonts w:ascii="Abadi" w:hAnsi="Abadi"/>
          <w:b/>
          <w:bCs/>
          <w:spacing w:val="16"/>
          <w:sz w:val="21"/>
          <w:szCs w:val="21"/>
        </w:rPr>
        <w:t xml:space="preserve"> </w:t>
      </w:r>
      <w:r w:rsidRPr="00AD79C7">
        <w:rPr>
          <w:rFonts w:ascii="Abadi" w:hAnsi="Abadi"/>
          <w:b/>
          <w:bCs/>
          <w:sz w:val="21"/>
          <w:szCs w:val="21"/>
        </w:rPr>
        <w:t>emitido</w:t>
      </w:r>
      <w:r w:rsidRPr="00AD79C7">
        <w:rPr>
          <w:rFonts w:ascii="Abadi" w:hAnsi="Abadi"/>
          <w:b/>
          <w:bCs/>
          <w:spacing w:val="15"/>
          <w:sz w:val="21"/>
          <w:szCs w:val="21"/>
        </w:rPr>
        <w:t xml:space="preserve"> </w:t>
      </w:r>
      <w:r w:rsidRPr="00AD79C7">
        <w:rPr>
          <w:rFonts w:ascii="Abadi" w:hAnsi="Abadi"/>
          <w:b/>
          <w:bCs/>
          <w:sz w:val="21"/>
          <w:szCs w:val="21"/>
        </w:rPr>
        <w:t>por</w:t>
      </w:r>
      <w:r w:rsidRPr="00AD79C7">
        <w:rPr>
          <w:rFonts w:ascii="Abadi" w:hAnsi="Abadi"/>
          <w:b/>
          <w:bCs/>
          <w:spacing w:val="15"/>
          <w:sz w:val="21"/>
          <w:szCs w:val="21"/>
        </w:rPr>
        <w:t xml:space="preserve"> </w:t>
      </w:r>
      <w:r w:rsidRPr="00AD79C7">
        <w:rPr>
          <w:rFonts w:ascii="Abadi" w:hAnsi="Abadi"/>
          <w:b/>
          <w:bCs/>
          <w:sz w:val="21"/>
          <w:szCs w:val="21"/>
        </w:rPr>
        <w:t>la</w:t>
      </w:r>
      <w:r w:rsidRPr="00AD79C7">
        <w:rPr>
          <w:rFonts w:ascii="Abadi" w:hAnsi="Abadi"/>
          <w:b/>
          <w:bCs/>
          <w:spacing w:val="16"/>
          <w:sz w:val="21"/>
          <w:szCs w:val="21"/>
        </w:rPr>
        <w:t xml:space="preserve"> </w:t>
      </w:r>
      <w:r w:rsidRPr="00AD79C7">
        <w:rPr>
          <w:rFonts w:ascii="Abadi" w:hAnsi="Abadi"/>
          <w:b/>
          <w:bCs/>
          <w:sz w:val="21"/>
          <w:szCs w:val="21"/>
        </w:rPr>
        <w:t>Comisión</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32"/>
          <w:sz w:val="21"/>
          <w:szCs w:val="21"/>
        </w:rPr>
        <w:t xml:space="preserve"> </w:t>
      </w:r>
      <w:r w:rsidRPr="00AD79C7">
        <w:rPr>
          <w:rFonts w:ascii="Abadi" w:hAnsi="Abadi"/>
          <w:b/>
          <w:bCs/>
          <w:sz w:val="21"/>
          <w:szCs w:val="21"/>
        </w:rPr>
        <w:t>Hacienda</w:t>
      </w:r>
      <w:r w:rsidRPr="00AD79C7">
        <w:rPr>
          <w:rFonts w:ascii="Abadi" w:hAnsi="Abadi"/>
          <w:b/>
          <w:bCs/>
          <w:spacing w:val="32"/>
          <w:sz w:val="21"/>
          <w:szCs w:val="21"/>
        </w:rPr>
        <w:t xml:space="preserve"> </w:t>
      </w:r>
      <w:r w:rsidRPr="00AD79C7">
        <w:rPr>
          <w:rFonts w:ascii="Abadi" w:hAnsi="Abadi"/>
          <w:b/>
          <w:bCs/>
          <w:sz w:val="21"/>
          <w:szCs w:val="21"/>
        </w:rPr>
        <w:t>y</w:t>
      </w:r>
      <w:r w:rsidRPr="00AD79C7">
        <w:rPr>
          <w:rFonts w:ascii="Abadi" w:hAnsi="Abadi"/>
          <w:b/>
          <w:bCs/>
          <w:spacing w:val="32"/>
          <w:sz w:val="21"/>
          <w:szCs w:val="21"/>
        </w:rPr>
        <w:t xml:space="preserve"> </w:t>
      </w:r>
      <w:r w:rsidRPr="00AD79C7">
        <w:rPr>
          <w:rFonts w:ascii="Abadi" w:hAnsi="Abadi"/>
          <w:b/>
          <w:bCs/>
          <w:sz w:val="21"/>
          <w:szCs w:val="21"/>
        </w:rPr>
        <w:t>Fiscalización</w:t>
      </w:r>
      <w:r w:rsidRPr="00AD79C7">
        <w:rPr>
          <w:rFonts w:ascii="Abadi" w:hAnsi="Abadi"/>
          <w:b/>
          <w:bCs/>
          <w:spacing w:val="32"/>
          <w:sz w:val="21"/>
          <w:szCs w:val="21"/>
        </w:rPr>
        <w:t xml:space="preserve"> </w:t>
      </w:r>
      <w:r w:rsidRPr="00AD79C7">
        <w:rPr>
          <w:rFonts w:ascii="Abadi" w:hAnsi="Abadi"/>
          <w:b/>
          <w:bCs/>
          <w:sz w:val="21"/>
          <w:szCs w:val="21"/>
        </w:rPr>
        <w:t>relativo</w:t>
      </w:r>
      <w:r w:rsidRPr="00AD79C7">
        <w:rPr>
          <w:rFonts w:ascii="Abadi" w:hAnsi="Abadi"/>
          <w:b/>
          <w:bCs/>
          <w:spacing w:val="32"/>
          <w:sz w:val="21"/>
          <w:szCs w:val="21"/>
        </w:rPr>
        <w:t xml:space="preserve"> </w:t>
      </w:r>
      <w:r w:rsidRPr="00AD79C7">
        <w:rPr>
          <w:rFonts w:ascii="Abadi" w:hAnsi="Abadi"/>
          <w:b/>
          <w:bCs/>
          <w:sz w:val="21"/>
          <w:szCs w:val="21"/>
        </w:rPr>
        <w:t>a</w:t>
      </w:r>
      <w:r w:rsidRPr="00AD79C7">
        <w:rPr>
          <w:rFonts w:ascii="Abadi" w:hAnsi="Abadi"/>
          <w:b/>
          <w:bCs/>
          <w:spacing w:val="33"/>
          <w:sz w:val="21"/>
          <w:szCs w:val="21"/>
        </w:rPr>
        <w:t xml:space="preserve"> </w:t>
      </w:r>
      <w:r w:rsidRPr="00AD79C7">
        <w:rPr>
          <w:rFonts w:ascii="Abadi" w:hAnsi="Abadi"/>
          <w:b/>
          <w:bCs/>
          <w:sz w:val="21"/>
          <w:szCs w:val="21"/>
        </w:rPr>
        <w:t>la</w:t>
      </w:r>
      <w:r w:rsidRPr="00AD79C7">
        <w:rPr>
          <w:rFonts w:ascii="Abadi" w:hAnsi="Abadi"/>
          <w:b/>
          <w:bCs/>
          <w:spacing w:val="33"/>
          <w:sz w:val="21"/>
          <w:szCs w:val="21"/>
        </w:rPr>
        <w:t xml:space="preserve"> </w:t>
      </w:r>
      <w:r w:rsidRPr="00AD79C7">
        <w:rPr>
          <w:rFonts w:ascii="Abadi" w:hAnsi="Abadi"/>
          <w:b/>
          <w:bCs/>
          <w:sz w:val="21"/>
          <w:szCs w:val="21"/>
        </w:rPr>
        <w:t>propuesta</w:t>
      </w:r>
      <w:r w:rsidRPr="00AD79C7">
        <w:rPr>
          <w:rFonts w:ascii="Abadi" w:hAnsi="Abadi"/>
          <w:b/>
          <w:bCs/>
          <w:spacing w:val="33"/>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punto</w:t>
      </w:r>
      <w:r w:rsidRPr="00AD79C7">
        <w:rPr>
          <w:rFonts w:ascii="Abadi" w:hAnsi="Abadi"/>
          <w:b/>
          <w:bCs/>
          <w:spacing w:val="33"/>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acuerdo</w:t>
      </w:r>
      <w:r w:rsidRPr="00AD79C7">
        <w:rPr>
          <w:rFonts w:ascii="Abadi" w:hAnsi="Abadi"/>
          <w:b/>
          <w:bCs/>
          <w:spacing w:val="-2"/>
          <w:sz w:val="21"/>
          <w:szCs w:val="21"/>
        </w:rPr>
        <w:t xml:space="preserve"> </w:t>
      </w:r>
      <w:r w:rsidRPr="00AD79C7">
        <w:rPr>
          <w:rFonts w:ascii="Abadi" w:hAnsi="Abadi"/>
          <w:b/>
          <w:bCs/>
          <w:sz w:val="21"/>
          <w:szCs w:val="21"/>
        </w:rPr>
        <w:t>formulada</w:t>
      </w:r>
      <w:r w:rsidRPr="00AD79C7">
        <w:rPr>
          <w:rFonts w:ascii="Abadi" w:hAnsi="Abadi"/>
          <w:b/>
          <w:bCs/>
          <w:spacing w:val="-14"/>
          <w:sz w:val="21"/>
          <w:szCs w:val="21"/>
        </w:rPr>
        <w:t xml:space="preserve"> </w:t>
      </w:r>
      <w:r w:rsidRPr="00AD79C7">
        <w:rPr>
          <w:rFonts w:ascii="Abadi" w:hAnsi="Abadi"/>
          <w:b/>
          <w:bCs/>
          <w:sz w:val="21"/>
          <w:szCs w:val="21"/>
        </w:rPr>
        <w:t>por</w:t>
      </w:r>
      <w:r w:rsidRPr="00AD79C7">
        <w:rPr>
          <w:rFonts w:ascii="Abadi" w:hAnsi="Abadi"/>
          <w:b/>
          <w:bCs/>
          <w:spacing w:val="-15"/>
          <w:sz w:val="21"/>
          <w:szCs w:val="21"/>
        </w:rPr>
        <w:t xml:space="preserve"> </w:t>
      </w:r>
      <w:r w:rsidRPr="00AD79C7">
        <w:rPr>
          <w:rFonts w:ascii="Abadi" w:hAnsi="Abadi"/>
          <w:b/>
          <w:bCs/>
          <w:sz w:val="21"/>
          <w:szCs w:val="21"/>
        </w:rPr>
        <w:t>la</w:t>
      </w:r>
      <w:r w:rsidRPr="00AD79C7">
        <w:rPr>
          <w:rFonts w:ascii="Abadi" w:hAnsi="Abadi"/>
          <w:b/>
          <w:bCs/>
          <w:spacing w:val="-15"/>
          <w:sz w:val="21"/>
          <w:szCs w:val="21"/>
        </w:rPr>
        <w:t xml:space="preserve"> </w:t>
      </w:r>
      <w:r w:rsidRPr="00AD79C7">
        <w:rPr>
          <w:rFonts w:ascii="Abadi" w:hAnsi="Abadi"/>
          <w:b/>
          <w:bCs/>
          <w:sz w:val="21"/>
          <w:szCs w:val="21"/>
        </w:rPr>
        <w:t>diputada</w:t>
      </w:r>
      <w:r w:rsidRPr="00AD79C7">
        <w:rPr>
          <w:rFonts w:ascii="Abadi" w:hAnsi="Abadi"/>
          <w:b/>
          <w:bCs/>
          <w:spacing w:val="-15"/>
          <w:sz w:val="21"/>
          <w:szCs w:val="21"/>
        </w:rPr>
        <w:t xml:space="preserve"> </w:t>
      </w:r>
      <w:r w:rsidRPr="00AD79C7">
        <w:rPr>
          <w:rFonts w:ascii="Abadi" w:hAnsi="Abadi"/>
          <w:b/>
          <w:bCs/>
          <w:sz w:val="21"/>
          <w:szCs w:val="21"/>
        </w:rPr>
        <w:t>Alma</w:t>
      </w:r>
      <w:r w:rsidRPr="00AD79C7">
        <w:rPr>
          <w:rFonts w:ascii="Abadi" w:hAnsi="Abadi"/>
          <w:b/>
          <w:bCs/>
          <w:spacing w:val="-15"/>
          <w:sz w:val="21"/>
          <w:szCs w:val="21"/>
        </w:rPr>
        <w:t xml:space="preserve"> </w:t>
      </w:r>
      <w:r w:rsidRPr="00AD79C7">
        <w:rPr>
          <w:rFonts w:ascii="Abadi" w:hAnsi="Abadi"/>
          <w:b/>
          <w:bCs/>
          <w:sz w:val="21"/>
          <w:szCs w:val="21"/>
        </w:rPr>
        <w:t>Edwviges</w:t>
      </w:r>
      <w:r w:rsidRPr="00AD79C7">
        <w:rPr>
          <w:rFonts w:ascii="Abadi" w:hAnsi="Abadi"/>
          <w:b/>
          <w:bCs/>
          <w:spacing w:val="-15"/>
          <w:sz w:val="21"/>
          <w:szCs w:val="21"/>
        </w:rPr>
        <w:t xml:space="preserve"> </w:t>
      </w:r>
      <w:r w:rsidRPr="00AD79C7">
        <w:rPr>
          <w:rFonts w:ascii="Abadi" w:hAnsi="Abadi"/>
          <w:b/>
          <w:bCs/>
          <w:sz w:val="21"/>
          <w:szCs w:val="21"/>
        </w:rPr>
        <w:t>Alcaraz</w:t>
      </w:r>
      <w:r w:rsidRPr="00AD79C7">
        <w:rPr>
          <w:rFonts w:ascii="Abadi" w:hAnsi="Abadi"/>
          <w:b/>
          <w:bCs/>
          <w:spacing w:val="-15"/>
          <w:sz w:val="21"/>
          <w:szCs w:val="21"/>
        </w:rPr>
        <w:t xml:space="preserve"> </w:t>
      </w:r>
      <w:r w:rsidRPr="00AD79C7">
        <w:rPr>
          <w:rFonts w:ascii="Abadi" w:hAnsi="Abadi"/>
          <w:b/>
          <w:bCs/>
          <w:sz w:val="21"/>
          <w:szCs w:val="21"/>
        </w:rPr>
        <w:t>Hernández,</w:t>
      </w:r>
      <w:r w:rsidRPr="00AD79C7">
        <w:rPr>
          <w:rFonts w:ascii="Abadi" w:hAnsi="Abadi"/>
          <w:b/>
          <w:bCs/>
          <w:spacing w:val="-15"/>
          <w:sz w:val="21"/>
          <w:szCs w:val="21"/>
        </w:rPr>
        <w:t xml:space="preserve"> </w:t>
      </w:r>
      <w:r w:rsidRPr="00AD79C7">
        <w:rPr>
          <w:rFonts w:ascii="Abadi" w:hAnsi="Abadi"/>
          <w:b/>
          <w:bCs/>
          <w:sz w:val="21"/>
          <w:szCs w:val="21"/>
        </w:rPr>
        <w:t>integrante</w:t>
      </w:r>
      <w:r w:rsidRPr="00AD79C7">
        <w:rPr>
          <w:rFonts w:ascii="Abadi" w:hAnsi="Abadi"/>
          <w:b/>
          <w:bCs/>
          <w:spacing w:val="-15"/>
          <w:sz w:val="21"/>
          <w:szCs w:val="21"/>
        </w:rPr>
        <w:t xml:space="preserve"> </w:t>
      </w:r>
      <w:r w:rsidRPr="00AD79C7">
        <w:rPr>
          <w:rFonts w:ascii="Abadi" w:hAnsi="Abadi"/>
          <w:b/>
          <w:bCs/>
          <w:sz w:val="21"/>
          <w:szCs w:val="21"/>
        </w:rPr>
        <w:t>del</w:t>
      </w:r>
      <w:r w:rsidRPr="00AD79C7">
        <w:rPr>
          <w:rFonts w:ascii="Abadi" w:hAnsi="Abadi"/>
          <w:b/>
          <w:bCs/>
          <w:spacing w:val="-2"/>
          <w:sz w:val="21"/>
          <w:szCs w:val="21"/>
        </w:rPr>
        <w:t xml:space="preserve"> </w:t>
      </w:r>
      <w:r w:rsidRPr="00AD79C7">
        <w:rPr>
          <w:rFonts w:ascii="Abadi" w:hAnsi="Abadi"/>
          <w:b/>
          <w:bCs/>
          <w:sz w:val="21"/>
          <w:szCs w:val="21"/>
        </w:rPr>
        <w:t>Grupo Parlamentario del</w:t>
      </w:r>
      <w:r w:rsidRPr="00AD79C7">
        <w:rPr>
          <w:rFonts w:ascii="Abadi" w:hAnsi="Abadi"/>
          <w:b/>
          <w:bCs/>
          <w:spacing w:val="-1"/>
          <w:sz w:val="21"/>
          <w:szCs w:val="21"/>
        </w:rPr>
        <w:t xml:space="preserve"> </w:t>
      </w:r>
      <w:r w:rsidRPr="00AD79C7">
        <w:rPr>
          <w:rFonts w:ascii="Abadi" w:hAnsi="Abadi"/>
          <w:b/>
          <w:bCs/>
          <w:sz w:val="21"/>
          <w:szCs w:val="21"/>
        </w:rPr>
        <w:t>Partido MORENA</w:t>
      </w:r>
      <w:r w:rsidRPr="00AD79C7">
        <w:rPr>
          <w:rFonts w:ascii="Abadi" w:hAnsi="Abadi"/>
          <w:b/>
          <w:bCs/>
          <w:spacing w:val="-1"/>
          <w:sz w:val="21"/>
          <w:szCs w:val="21"/>
        </w:rPr>
        <w:t xml:space="preserve"> </w:t>
      </w:r>
      <w:r w:rsidRPr="00AD79C7">
        <w:rPr>
          <w:rFonts w:ascii="Abadi" w:hAnsi="Abadi"/>
          <w:b/>
          <w:bCs/>
          <w:sz w:val="21"/>
          <w:szCs w:val="21"/>
        </w:rPr>
        <w:t>a efecto de exhortar al titular de</w:t>
      </w:r>
      <w:r w:rsidRPr="00AD79C7">
        <w:rPr>
          <w:rFonts w:ascii="Abadi" w:hAnsi="Abadi"/>
          <w:b/>
          <w:bCs/>
          <w:spacing w:val="-2"/>
          <w:sz w:val="21"/>
          <w:szCs w:val="21"/>
        </w:rPr>
        <w:t xml:space="preserve"> </w:t>
      </w:r>
      <w:r w:rsidRPr="00AD79C7">
        <w:rPr>
          <w:rFonts w:ascii="Abadi" w:hAnsi="Abadi"/>
          <w:b/>
          <w:bCs/>
          <w:sz w:val="21"/>
          <w:szCs w:val="21"/>
        </w:rPr>
        <w:t>la</w:t>
      </w:r>
      <w:r w:rsidRPr="00AD79C7">
        <w:rPr>
          <w:rFonts w:ascii="Abadi" w:hAnsi="Abadi"/>
          <w:b/>
          <w:bCs/>
          <w:spacing w:val="7"/>
          <w:sz w:val="21"/>
          <w:szCs w:val="21"/>
        </w:rPr>
        <w:t xml:space="preserve"> </w:t>
      </w:r>
      <w:r w:rsidRPr="00AD79C7">
        <w:rPr>
          <w:rFonts w:ascii="Abadi" w:hAnsi="Abadi"/>
          <w:b/>
          <w:bCs/>
          <w:sz w:val="21"/>
          <w:szCs w:val="21"/>
        </w:rPr>
        <w:t>Auditoría</w:t>
      </w:r>
      <w:r w:rsidRPr="00AD79C7">
        <w:rPr>
          <w:rFonts w:ascii="Abadi" w:hAnsi="Abadi"/>
          <w:b/>
          <w:bCs/>
          <w:spacing w:val="7"/>
          <w:sz w:val="21"/>
          <w:szCs w:val="21"/>
        </w:rPr>
        <w:t xml:space="preserve"> </w:t>
      </w:r>
      <w:r w:rsidRPr="00AD79C7">
        <w:rPr>
          <w:rFonts w:ascii="Abadi" w:hAnsi="Abadi"/>
          <w:b/>
          <w:bCs/>
          <w:sz w:val="21"/>
          <w:szCs w:val="21"/>
        </w:rPr>
        <w:t>Superior</w:t>
      </w:r>
      <w:r w:rsidRPr="00AD79C7">
        <w:rPr>
          <w:rFonts w:ascii="Abadi" w:hAnsi="Abadi"/>
          <w:b/>
          <w:bCs/>
          <w:spacing w:val="7"/>
          <w:sz w:val="21"/>
          <w:szCs w:val="21"/>
        </w:rPr>
        <w:t xml:space="preserve"> </w:t>
      </w:r>
      <w:r w:rsidRPr="00AD79C7">
        <w:rPr>
          <w:rFonts w:ascii="Abadi" w:hAnsi="Abadi"/>
          <w:b/>
          <w:bCs/>
          <w:sz w:val="21"/>
          <w:szCs w:val="21"/>
        </w:rPr>
        <w:t>del</w:t>
      </w:r>
      <w:r w:rsidRPr="00AD79C7">
        <w:rPr>
          <w:rFonts w:ascii="Abadi" w:hAnsi="Abadi"/>
          <w:b/>
          <w:bCs/>
          <w:spacing w:val="7"/>
          <w:sz w:val="21"/>
          <w:szCs w:val="21"/>
        </w:rPr>
        <w:t xml:space="preserve"> </w:t>
      </w:r>
      <w:r w:rsidRPr="00AD79C7">
        <w:rPr>
          <w:rFonts w:ascii="Abadi" w:hAnsi="Abadi"/>
          <w:b/>
          <w:bCs/>
          <w:sz w:val="21"/>
          <w:szCs w:val="21"/>
        </w:rPr>
        <w:t>Estado</w:t>
      </w:r>
      <w:r w:rsidRPr="00AD79C7">
        <w:rPr>
          <w:rFonts w:ascii="Abadi" w:hAnsi="Abadi"/>
          <w:b/>
          <w:bCs/>
          <w:spacing w:val="7"/>
          <w:sz w:val="21"/>
          <w:szCs w:val="21"/>
        </w:rPr>
        <w:t xml:space="preserve"> </w:t>
      </w:r>
      <w:r w:rsidRPr="00AD79C7">
        <w:rPr>
          <w:rFonts w:ascii="Abadi" w:hAnsi="Abadi"/>
          <w:b/>
          <w:bCs/>
          <w:sz w:val="21"/>
          <w:szCs w:val="21"/>
        </w:rPr>
        <w:t>de</w:t>
      </w:r>
      <w:r w:rsidRPr="00AD79C7">
        <w:rPr>
          <w:rFonts w:ascii="Abadi" w:hAnsi="Abadi"/>
          <w:b/>
          <w:bCs/>
          <w:spacing w:val="7"/>
          <w:sz w:val="21"/>
          <w:szCs w:val="21"/>
        </w:rPr>
        <w:t xml:space="preserve"> </w:t>
      </w:r>
      <w:r w:rsidRPr="00AD79C7">
        <w:rPr>
          <w:rFonts w:ascii="Abadi" w:hAnsi="Abadi"/>
          <w:b/>
          <w:bCs/>
          <w:sz w:val="21"/>
          <w:szCs w:val="21"/>
        </w:rPr>
        <w:t>Guanajuato,</w:t>
      </w:r>
      <w:r w:rsidRPr="00AD79C7">
        <w:rPr>
          <w:rFonts w:ascii="Abadi" w:hAnsi="Abadi"/>
          <w:b/>
          <w:bCs/>
          <w:spacing w:val="7"/>
          <w:sz w:val="21"/>
          <w:szCs w:val="21"/>
        </w:rPr>
        <w:t xml:space="preserve"> </w:t>
      </w:r>
      <w:r w:rsidRPr="00AD79C7">
        <w:rPr>
          <w:rFonts w:ascii="Abadi" w:hAnsi="Abadi"/>
          <w:b/>
          <w:bCs/>
          <w:sz w:val="21"/>
          <w:szCs w:val="21"/>
        </w:rPr>
        <w:t>para</w:t>
      </w:r>
      <w:r w:rsidRPr="00AD79C7">
        <w:rPr>
          <w:rFonts w:ascii="Abadi" w:hAnsi="Abadi"/>
          <w:b/>
          <w:bCs/>
          <w:spacing w:val="7"/>
          <w:sz w:val="21"/>
          <w:szCs w:val="21"/>
        </w:rPr>
        <w:t xml:space="preserve"> </w:t>
      </w:r>
      <w:r w:rsidRPr="00AD79C7">
        <w:rPr>
          <w:rFonts w:ascii="Abadi" w:hAnsi="Abadi"/>
          <w:b/>
          <w:bCs/>
          <w:sz w:val="21"/>
          <w:szCs w:val="21"/>
        </w:rPr>
        <w:t>que</w:t>
      </w:r>
      <w:r w:rsidRPr="00AD79C7">
        <w:rPr>
          <w:rFonts w:ascii="Abadi" w:hAnsi="Abadi"/>
          <w:b/>
          <w:bCs/>
          <w:spacing w:val="7"/>
          <w:sz w:val="21"/>
          <w:szCs w:val="21"/>
        </w:rPr>
        <w:t xml:space="preserve"> </w:t>
      </w:r>
      <w:r w:rsidRPr="00AD79C7">
        <w:rPr>
          <w:rFonts w:ascii="Abadi" w:hAnsi="Abadi"/>
          <w:b/>
          <w:bCs/>
          <w:sz w:val="21"/>
          <w:szCs w:val="21"/>
        </w:rPr>
        <w:t>lleve</w:t>
      </w:r>
      <w:r w:rsidRPr="00AD79C7">
        <w:rPr>
          <w:rFonts w:ascii="Abadi" w:hAnsi="Abadi"/>
          <w:b/>
          <w:bCs/>
          <w:spacing w:val="7"/>
          <w:sz w:val="21"/>
          <w:szCs w:val="21"/>
        </w:rPr>
        <w:t xml:space="preserve"> </w:t>
      </w:r>
      <w:r w:rsidRPr="00AD79C7">
        <w:rPr>
          <w:rFonts w:ascii="Abadi" w:hAnsi="Abadi"/>
          <w:b/>
          <w:bCs/>
          <w:sz w:val="21"/>
          <w:szCs w:val="21"/>
        </w:rPr>
        <w:t>a</w:t>
      </w:r>
      <w:r w:rsidRPr="00AD79C7">
        <w:rPr>
          <w:rFonts w:ascii="Abadi" w:hAnsi="Abadi"/>
          <w:b/>
          <w:bCs/>
          <w:spacing w:val="7"/>
          <w:sz w:val="21"/>
          <w:szCs w:val="21"/>
        </w:rPr>
        <w:t xml:space="preserve"> </w:t>
      </w:r>
      <w:r w:rsidRPr="00AD79C7">
        <w:rPr>
          <w:rFonts w:ascii="Abadi" w:hAnsi="Abadi"/>
          <w:b/>
          <w:bCs/>
          <w:sz w:val="21"/>
          <w:szCs w:val="21"/>
        </w:rPr>
        <w:t>cabo</w:t>
      </w:r>
      <w:r w:rsidRPr="00AD79C7">
        <w:rPr>
          <w:rFonts w:ascii="Abadi" w:hAnsi="Abadi"/>
          <w:b/>
          <w:bCs/>
          <w:spacing w:val="7"/>
          <w:sz w:val="21"/>
          <w:szCs w:val="21"/>
        </w:rPr>
        <w:t xml:space="preserve"> </w:t>
      </w:r>
      <w:r w:rsidRPr="00AD79C7">
        <w:rPr>
          <w:rFonts w:ascii="Abadi" w:hAnsi="Abadi"/>
          <w:b/>
          <w:bCs/>
          <w:sz w:val="21"/>
          <w:szCs w:val="21"/>
        </w:rPr>
        <w:t>una</w:t>
      </w:r>
      <w:r w:rsidRPr="00AD79C7">
        <w:rPr>
          <w:rFonts w:ascii="Abadi" w:hAnsi="Abadi"/>
          <w:b/>
          <w:bCs/>
          <w:spacing w:val="-2"/>
          <w:sz w:val="21"/>
          <w:szCs w:val="21"/>
        </w:rPr>
        <w:t xml:space="preserve"> </w:t>
      </w:r>
      <w:r w:rsidRPr="00AD79C7">
        <w:rPr>
          <w:rFonts w:ascii="Abadi" w:hAnsi="Abadi"/>
          <w:b/>
          <w:bCs/>
          <w:sz w:val="21"/>
          <w:szCs w:val="21"/>
        </w:rPr>
        <w:t xml:space="preserve">auditoría al Fideicomiso de </w:t>
      </w:r>
      <w:r w:rsidRPr="00AD79C7">
        <w:rPr>
          <w:rFonts w:ascii="Abadi" w:hAnsi="Abadi"/>
          <w:b/>
          <w:bCs/>
          <w:sz w:val="21"/>
          <w:szCs w:val="21"/>
        </w:rPr>
        <w:t>Administración e Inversión para financiar obras,</w:t>
      </w:r>
      <w:r w:rsidRPr="00AD79C7">
        <w:rPr>
          <w:rFonts w:ascii="Abadi" w:hAnsi="Abadi"/>
          <w:b/>
          <w:bCs/>
          <w:spacing w:val="-2"/>
          <w:sz w:val="21"/>
          <w:szCs w:val="21"/>
        </w:rPr>
        <w:t xml:space="preserve"> </w:t>
      </w:r>
      <w:r w:rsidRPr="00AD79C7">
        <w:rPr>
          <w:rFonts w:ascii="Abadi" w:hAnsi="Abadi"/>
          <w:b/>
          <w:bCs/>
          <w:sz w:val="21"/>
          <w:szCs w:val="21"/>
        </w:rPr>
        <w:t>infraestructura,</w:t>
      </w:r>
      <w:r w:rsidRPr="00AD79C7">
        <w:rPr>
          <w:rFonts w:ascii="Abadi" w:hAnsi="Abadi"/>
          <w:b/>
          <w:bCs/>
          <w:spacing w:val="34"/>
          <w:sz w:val="21"/>
          <w:szCs w:val="21"/>
        </w:rPr>
        <w:t xml:space="preserve"> </w:t>
      </w:r>
      <w:r w:rsidRPr="00AD79C7">
        <w:rPr>
          <w:rFonts w:ascii="Abadi" w:hAnsi="Abadi"/>
          <w:b/>
          <w:bCs/>
          <w:sz w:val="21"/>
          <w:szCs w:val="21"/>
        </w:rPr>
        <w:t>proyectos</w:t>
      </w:r>
      <w:r w:rsidRPr="00AD79C7">
        <w:rPr>
          <w:rFonts w:ascii="Abadi" w:hAnsi="Abadi"/>
          <w:b/>
          <w:bCs/>
          <w:spacing w:val="34"/>
          <w:sz w:val="21"/>
          <w:szCs w:val="21"/>
        </w:rPr>
        <w:t xml:space="preserve"> </w:t>
      </w:r>
      <w:r w:rsidRPr="00AD79C7">
        <w:rPr>
          <w:rFonts w:ascii="Abadi" w:hAnsi="Abadi"/>
          <w:b/>
          <w:bCs/>
          <w:sz w:val="21"/>
          <w:szCs w:val="21"/>
        </w:rPr>
        <w:t>y</w:t>
      </w:r>
      <w:r w:rsidRPr="00AD79C7">
        <w:rPr>
          <w:rFonts w:ascii="Abadi" w:hAnsi="Abadi"/>
          <w:b/>
          <w:bCs/>
          <w:spacing w:val="34"/>
          <w:sz w:val="21"/>
          <w:szCs w:val="21"/>
        </w:rPr>
        <w:t xml:space="preserve"> </w:t>
      </w:r>
      <w:r w:rsidRPr="00AD79C7">
        <w:rPr>
          <w:rFonts w:ascii="Abadi" w:hAnsi="Abadi"/>
          <w:b/>
          <w:bCs/>
          <w:sz w:val="21"/>
          <w:szCs w:val="21"/>
        </w:rPr>
        <w:t>acciones</w:t>
      </w:r>
      <w:r w:rsidRPr="00AD79C7">
        <w:rPr>
          <w:rFonts w:ascii="Abadi" w:hAnsi="Abadi"/>
          <w:b/>
          <w:bCs/>
          <w:spacing w:val="34"/>
          <w:sz w:val="21"/>
          <w:szCs w:val="21"/>
        </w:rPr>
        <w:t xml:space="preserve"> </w:t>
      </w:r>
      <w:r w:rsidRPr="00AD79C7">
        <w:rPr>
          <w:rFonts w:ascii="Abadi" w:hAnsi="Abadi"/>
          <w:b/>
          <w:bCs/>
          <w:sz w:val="21"/>
          <w:szCs w:val="21"/>
        </w:rPr>
        <w:t>prioritarias</w:t>
      </w:r>
      <w:r w:rsidRPr="00AD79C7">
        <w:rPr>
          <w:rFonts w:ascii="Abadi" w:hAnsi="Abadi"/>
          <w:b/>
          <w:bCs/>
          <w:spacing w:val="34"/>
          <w:sz w:val="21"/>
          <w:szCs w:val="21"/>
        </w:rPr>
        <w:t xml:space="preserve"> </w:t>
      </w:r>
      <w:r w:rsidRPr="00AD79C7">
        <w:rPr>
          <w:rFonts w:ascii="Abadi" w:hAnsi="Abadi"/>
          <w:b/>
          <w:bCs/>
          <w:sz w:val="21"/>
          <w:szCs w:val="21"/>
        </w:rPr>
        <w:t>en</w:t>
      </w:r>
      <w:r w:rsidRPr="00AD79C7">
        <w:rPr>
          <w:rFonts w:ascii="Abadi" w:hAnsi="Abadi"/>
          <w:b/>
          <w:bCs/>
          <w:spacing w:val="34"/>
          <w:sz w:val="21"/>
          <w:szCs w:val="21"/>
        </w:rPr>
        <w:t xml:space="preserve"> </w:t>
      </w:r>
      <w:r w:rsidRPr="00AD79C7">
        <w:rPr>
          <w:rFonts w:ascii="Abadi" w:hAnsi="Abadi"/>
          <w:b/>
          <w:bCs/>
          <w:sz w:val="21"/>
          <w:szCs w:val="21"/>
        </w:rPr>
        <w:t>materia</w:t>
      </w:r>
      <w:r w:rsidRPr="00AD79C7">
        <w:rPr>
          <w:rFonts w:ascii="Abadi" w:hAnsi="Abadi"/>
          <w:b/>
          <w:bCs/>
          <w:spacing w:val="34"/>
          <w:sz w:val="21"/>
          <w:szCs w:val="21"/>
        </w:rPr>
        <w:t xml:space="preserve"> </w:t>
      </w:r>
      <w:r w:rsidRPr="00AD79C7">
        <w:rPr>
          <w:rFonts w:ascii="Abadi" w:hAnsi="Abadi"/>
          <w:b/>
          <w:bCs/>
          <w:sz w:val="21"/>
          <w:szCs w:val="21"/>
        </w:rPr>
        <w:t>de</w:t>
      </w:r>
      <w:r w:rsidRPr="00AD79C7">
        <w:rPr>
          <w:rFonts w:ascii="Abadi" w:hAnsi="Abadi"/>
          <w:b/>
          <w:bCs/>
          <w:spacing w:val="34"/>
          <w:sz w:val="21"/>
          <w:szCs w:val="21"/>
        </w:rPr>
        <w:t xml:space="preserve"> </w:t>
      </w:r>
      <w:r w:rsidRPr="00AD79C7">
        <w:rPr>
          <w:rFonts w:ascii="Abadi" w:hAnsi="Abadi"/>
          <w:b/>
          <w:bCs/>
          <w:sz w:val="21"/>
          <w:szCs w:val="21"/>
        </w:rPr>
        <w:t>desarrollo</w:t>
      </w:r>
      <w:r w:rsidRPr="00AD79C7">
        <w:rPr>
          <w:rFonts w:ascii="Abadi" w:hAnsi="Abadi"/>
          <w:b/>
          <w:bCs/>
          <w:spacing w:val="-2"/>
          <w:sz w:val="21"/>
          <w:szCs w:val="21"/>
        </w:rPr>
        <w:t xml:space="preserve"> </w:t>
      </w:r>
      <w:r w:rsidRPr="00AD79C7">
        <w:rPr>
          <w:rFonts w:ascii="Abadi" w:hAnsi="Abadi"/>
          <w:b/>
          <w:bCs/>
          <w:sz w:val="21"/>
          <w:szCs w:val="21"/>
        </w:rPr>
        <w:t>social</w:t>
      </w:r>
      <w:r w:rsidRPr="00AD79C7">
        <w:rPr>
          <w:rFonts w:ascii="Abadi" w:hAnsi="Abadi"/>
          <w:b/>
          <w:bCs/>
          <w:spacing w:val="7"/>
          <w:sz w:val="21"/>
          <w:szCs w:val="21"/>
        </w:rPr>
        <w:t xml:space="preserve"> </w:t>
      </w:r>
      <w:r w:rsidRPr="00AD79C7">
        <w:rPr>
          <w:rFonts w:ascii="Abadi" w:hAnsi="Abadi"/>
          <w:b/>
          <w:bCs/>
          <w:sz w:val="21"/>
          <w:szCs w:val="21"/>
        </w:rPr>
        <w:t>y</w:t>
      </w:r>
      <w:r w:rsidRPr="00AD79C7">
        <w:rPr>
          <w:rFonts w:ascii="Abadi" w:hAnsi="Abadi"/>
          <w:b/>
          <w:bCs/>
          <w:spacing w:val="7"/>
          <w:sz w:val="21"/>
          <w:szCs w:val="21"/>
        </w:rPr>
        <w:t xml:space="preserve"> </w:t>
      </w:r>
      <w:r w:rsidRPr="00AD79C7">
        <w:rPr>
          <w:rFonts w:ascii="Abadi" w:hAnsi="Abadi"/>
          <w:b/>
          <w:bCs/>
          <w:sz w:val="21"/>
          <w:szCs w:val="21"/>
        </w:rPr>
        <w:t>seguridad</w:t>
      </w:r>
      <w:r w:rsidRPr="00AD79C7">
        <w:rPr>
          <w:rFonts w:ascii="Abadi" w:hAnsi="Abadi"/>
          <w:b/>
          <w:bCs/>
          <w:spacing w:val="8"/>
          <w:sz w:val="21"/>
          <w:szCs w:val="21"/>
        </w:rPr>
        <w:t xml:space="preserve"> </w:t>
      </w:r>
      <w:r w:rsidRPr="00AD79C7">
        <w:rPr>
          <w:rFonts w:ascii="Abadi" w:hAnsi="Abadi"/>
          <w:b/>
          <w:bCs/>
          <w:sz w:val="21"/>
          <w:szCs w:val="21"/>
        </w:rPr>
        <w:t>pública</w:t>
      </w:r>
      <w:r w:rsidRPr="00AD79C7">
        <w:rPr>
          <w:rFonts w:ascii="Abadi" w:hAnsi="Abadi"/>
          <w:b/>
          <w:bCs/>
          <w:spacing w:val="7"/>
          <w:sz w:val="21"/>
          <w:szCs w:val="21"/>
        </w:rPr>
        <w:t xml:space="preserve"> </w:t>
      </w:r>
      <w:r w:rsidRPr="00AD79C7">
        <w:rPr>
          <w:rFonts w:ascii="Abadi" w:hAnsi="Abadi"/>
          <w:b/>
          <w:bCs/>
          <w:sz w:val="21"/>
          <w:szCs w:val="21"/>
        </w:rPr>
        <w:t>(FIDESSEG),</w:t>
      </w:r>
      <w:r w:rsidRPr="00AD79C7">
        <w:rPr>
          <w:rFonts w:ascii="Abadi" w:hAnsi="Abadi"/>
          <w:b/>
          <w:bCs/>
          <w:spacing w:val="7"/>
          <w:sz w:val="21"/>
          <w:szCs w:val="21"/>
        </w:rPr>
        <w:t xml:space="preserve"> </w:t>
      </w:r>
      <w:r w:rsidRPr="00AD79C7">
        <w:rPr>
          <w:rFonts w:ascii="Abadi" w:hAnsi="Abadi"/>
          <w:b/>
          <w:bCs/>
          <w:sz w:val="21"/>
          <w:szCs w:val="21"/>
        </w:rPr>
        <w:t>la</w:t>
      </w:r>
      <w:r w:rsidRPr="00AD79C7">
        <w:rPr>
          <w:rFonts w:ascii="Abadi" w:hAnsi="Abadi"/>
          <w:b/>
          <w:bCs/>
          <w:spacing w:val="7"/>
          <w:sz w:val="21"/>
          <w:szCs w:val="21"/>
        </w:rPr>
        <w:t xml:space="preserve"> </w:t>
      </w:r>
      <w:r w:rsidRPr="00AD79C7">
        <w:rPr>
          <w:rFonts w:ascii="Abadi" w:hAnsi="Abadi"/>
          <w:b/>
          <w:bCs/>
          <w:sz w:val="21"/>
          <w:szCs w:val="21"/>
        </w:rPr>
        <w:t>cual</w:t>
      </w:r>
      <w:r w:rsidRPr="00AD79C7">
        <w:rPr>
          <w:rFonts w:ascii="Abadi" w:hAnsi="Abadi"/>
          <w:b/>
          <w:bCs/>
          <w:spacing w:val="7"/>
          <w:sz w:val="21"/>
          <w:szCs w:val="21"/>
        </w:rPr>
        <w:t xml:space="preserve"> </w:t>
      </w:r>
      <w:r w:rsidRPr="00AD79C7">
        <w:rPr>
          <w:rFonts w:ascii="Abadi" w:hAnsi="Abadi"/>
          <w:b/>
          <w:bCs/>
          <w:sz w:val="21"/>
          <w:szCs w:val="21"/>
        </w:rPr>
        <w:t>deberá</w:t>
      </w:r>
      <w:r w:rsidRPr="00AD79C7">
        <w:rPr>
          <w:rFonts w:ascii="Abadi" w:hAnsi="Abadi"/>
          <w:b/>
          <w:bCs/>
          <w:spacing w:val="7"/>
          <w:sz w:val="21"/>
          <w:szCs w:val="21"/>
        </w:rPr>
        <w:t xml:space="preserve"> </w:t>
      </w:r>
      <w:r w:rsidRPr="00AD79C7">
        <w:rPr>
          <w:rFonts w:ascii="Abadi" w:hAnsi="Abadi"/>
          <w:b/>
          <w:bCs/>
          <w:sz w:val="21"/>
          <w:szCs w:val="21"/>
        </w:rPr>
        <w:t>abarcar</w:t>
      </w:r>
      <w:r w:rsidRPr="00AD79C7">
        <w:rPr>
          <w:rFonts w:ascii="Abadi" w:hAnsi="Abadi"/>
          <w:b/>
          <w:bCs/>
          <w:spacing w:val="7"/>
          <w:sz w:val="21"/>
          <w:szCs w:val="21"/>
        </w:rPr>
        <w:t xml:space="preserve"> </w:t>
      </w:r>
      <w:r w:rsidRPr="00AD79C7">
        <w:rPr>
          <w:rFonts w:ascii="Abadi" w:hAnsi="Abadi"/>
          <w:b/>
          <w:bCs/>
          <w:sz w:val="21"/>
          <w:szCs w:val="21"/>
        </w:rPr>
        <w:t>la</w:t>
      </w:r>
      <w:r w:rsidRPr="00AD79C7">
        <w:rPr>
          <w:rFonts w:ascii="Abadi" w:hAnsi="Abadi"/>
          <w:b/>
          <w:bCs/>
          <w:spacing w:val="7"/>
          <w:sz w:val="21"/>
          <w:szCs w:val="21"/>
        </w:rPr>
        <w:t xml:space="preserve"> </w:t>
      </w:r>
      <w:r w:rsidRPr="00AD79C7">
        <w:rPr>
          <w:rFonts w:ascii="Abadi" w:hAnsi="Abadi"/>
          <w:b/>
          <w:bCs/>
          <w:sz w:val="21"/>
          <w:szCs w:val="21"/>
        </w:rPr>
        <w:t>totalidad</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27"/>
          <w:sz w:val="21"/>
          <w:szCs w:val="21"/>
        </w:rPr>
        <w:t xml:space="preserve">  </w:t>
      </w:r>
      <w:r w:rsidRPr="00AD79C7">
        <w:rPr>
          <w:rFonts w:ascii="Abadi" w:hAnsi="Abadi"/>
          <w:b/>
          <w:bCs/>
          <w:sz w:val="21"/>
          <w:szCs w:val="21"/>
        </w:rPr>
        <w:t>los</w:t>
      </w:r>
      <w:r w:rsidRPr="00AD79C7">
        <w:rPr>
          <w:rFonts w:ascii="Abadi" w:hAnsi="Abadi"/>
          <w:b/>
          <w:bCs/>
          <w:spacing w:val="27"/>
          <w:sz w:val="21"/>
          <w:szCs w:val="21"/>
        </w:rPr>
        <w:t xml:space="preserve">  </w:t>
      </w:r>
      <w:r w:rsidRPr="00AD79C7">
        <w:rPr>
          <w:rFonts w:ascii="Abadi" w:hAnsi="Abadi"/>
          <w:b/>
          <w:bCs/>
          <w:sz w:val="21"/>
          <w:szCs w:val="21"/>
        </w:rPr>
        <w:t>recursos</w:t>
      </w:r>
      <w:r w:rsidRPr="00AD79C7">
        <w:rPr>
          <w:rFonts w:ascii="Abadi" w:hAnsi="Abadi"/>
          <w:b/>
          <w:bCs/>
          <w:spacing w:val="26"/>
          <w:sz w:val="21"/>
          <w:szCs w:val="21"/>
        </w:rPr>
        <w:t xml:space="preserve">  </w:t>
      </w:r>
      <w:r w:rsidRPr="00AD79C7">
        <w:rPr>
          <w:rFonts w:ascii="Abadi" w:hAnsi="Abadi"/>
          <w:b/>
          <w:bCs/>
          <w:sz w:val="21"/>
          <w:szCs w:val="21"/>
        </w:rPr>
        <w:t>ejercidos</w:t>
      </w:r>
      <w:r w:rsidRPr="00AD79C7">
        <w:rPr>
          <w:rFonts w:ascii="Abadi" w:hAnsi="Abadi"/>
          <w:b/>
          <w:bCs/>
          <w:spacing w:val="26"/>
          <w:sz w:val="21"/>
          <w:szCs w:val="21"/>
        </w:rPr>
        <w:t xml:space="preserve">  </w:t>
      </w:r>
      <w:r w:rsidRPr="00AD79C7">
        <w:rPr>
          <w:rFonts w:ascii="Abadi" w:hAnsi="Abadi"/>
          <w:b/>
          <w:bCs/>
          <w:sz w:val="21"/>
          <w:szCs w:val="21"/>
        </w:rPr>
        <w:t>por</w:t>
      </w:r>
      <w:r w:rsidRPr="00AD79C7">
        <w:rPr>
          <w:rFonts w:ascii="Abadi" w:hAnsi="Abadi"/>
          <w:b/>
          <w:bCs/>
          <w:spacing w:val="26"/>
          <w:sz w:val="21"/>
          <w:szCs w:val="21"/>
        </w:rPr>
        <w:t xml:space="preserve">  </w:t>
      </w:r>
      <w:r w:rsidRPr="00AD79C7">
        <w:rPr>
          <w:rFonts w:ascii="Abadi" w:hAnsi="Abadi"/>
          <w:b/>
          <w:bCs/>
          <w:sz w:val="21"/>
          <w:szCs w:val="21"/>
        </w:rPr>
        <w:t>los</w:t>
      </w:r>
      <w:r w:rsidRPr="00AD79C7">
        <w:rPr>
          <w:rFonts w:ascii="Abadi" w:hAnsi="Abadi"/>
          <w:b/>
          <w:bCs/>
          <w:spacing w:val="27"/>
          <w:sz w:val="21"/>
          <w:szCs w:val="21"/>
        </w:rPr>
        <w:t xml:space="preserve">  </w:t>
      </w:r>
      <w:r w:rsidRPr="00AD79C7">
        <w:rPr>
          <w:rFonts w:ascii="Abadi" w:hAnsi="Abadi"/>
          <w:b/>
          <w:bCs/>
          <w:sz w:val="21"/>
          <w:szCs w:val="21"/>
        </w:rPr>
        <w:t>ejercicios</w:t>
      </w:r>
      <w:r w:rsidRPr="00AD79C7">
        <w:rPr>
          <w:rFonts w:ascii="Abadi" w:hAnsi="Abadi"/>
          <w:b/>
          <w:bCs/>
          <w:spacing w:val="26"/>
          <w:sz w:val="21"/>
          <w:szCs w:val="21"/>
        </w:rPr>
        <w:t xml:space="preserve">  </w:t>
      </w:r>
      <w:r w:rsidRPr="00AD79C7">
        <w:rPr>
          <w:rFonts w:ascii="Abadi" w:hAnsi="Abadi"/>
          <w:b/>
          <w:bCs/>
          <w:sz w:val="21"/>
          <w:szCs w:val="21"/>
        </w:rPr>
        <w:t>fiscales</w:t>
      </w:r>
      <w:r w:rsidRPr="00AD79C7">
        <w:rPr>
          <w:rFonts w:ascii="Abadi" w:hAnsi="Abadi"/>
          <w:b/>
          <w:bCs/>
          <w:spacing w:val="27"/>
          <w:sz w:val="21"/>
          <w:szCs w:val="21"/>
        </w:rPr>
        <w:t xml:space="preserve">  </w:t>
      </w:r>
      <w:r w:rsidRPr="00AD79C7">
        <w:rPr>
          <w:rFonts w:ascii="Abadi" w:hAnsi="Abadi"/>
          <w:b/>
          <w:bCs/>
          <w:sz w:val="21"/>
          <w:szCs w:val="21"/>
        </w:rPr>
        <w:t>2020,</w:t>
      </w:r>
      <w:r w:rsidRPr="00AD79C7">
        <w:rPr>
          <w:rFonts w:ascii="Abadi" w:hAnsi="Abadi"/>
          <w:b/>
          <w:bCs/>
          <w:spacing w:val="26"/>
          <w:sz w:val="21"/>
          <w:szCs w:val="21"/>
        </w:rPr>
        <w:t xml:space="preserve">  </w:t>
      </w:r>
      <w:r w:rsidRPr="00AD79C7">
        <w:rPr>
          <w:rFonts w:ascii="Abadi" w:hAnsi="Abadi"/>
          <w:b/>
          <w:bCs/>
          <w:sz w:val="21"/>
          <w:szCs w:val="21"/>
        </w:rPr>
        <w:t>2021</w:t>
      </w:r>
      <w:r w:rsidRPr="00AD79C7">
        <w:rPr>
          <w:rFonts w:ascii="Abadi" w:hAnsi="Abadi"/>
          <w:b/>
          <w:bCs/>
          <w:spacing w:val="27"/>
          <w:sz w:val="21"/>
          <w:szCs w:val="21"/>
        </w:rPr>
        <w:t xml:space="preserve">  </w:t>
      </w:r>
      <w:r w:rsidRPr="00AD79C7">
        <w:rPr>
          <w:rFonts w:ascii="Abadi" w:hAnsi="Abadi"/>
          <w:b/>
          <w:bCs/>
          <w:sz w:val="21"/>
          <w:szCs w:val="21"/>
        </w:rPr>
        <w:t>y</w:t>
      </w:r>
      <w:r w:rsidRPr="00AD79C7">
        <w:rPr>
          <w:rFonts w:ascii="Abadi" w:hAnsi="Abadi"/>
          <w:b/>
          <w:bCs/>
          <w:spacing w:val="-2"/>
          <w:sz w:val="21"/>
          <w:szCs w:val="21"/>
        </w:rPr>
        <w:t xml:space="preserve"> </w:t>
      </w:r>
      <w:r w:rsidRPr="00AD79C7">
        <w:rPr>
          <w:rFonts w:ascii="Abadi" w:hAnsi="Abadi"/>
          <w:b/>
          <w:bCs/>
          <w:sz w:val="21"/>
          <w:szCs w:val="21"/>
        </w:rPr>
        <w:t>concomitante</w:t>
      </w:r>
      <w:r w:rsidRPr="00AD79C7">
        <w:rPr>
          <w:rFonts w:ascii="Abadi" w:hAnsi="Abadi"/>
          <w:b/>
          <w:bCs/>
          <w:spacing w:val="-1"/>
          <w:sz w:val="21"/>
          <w:szCs w:val="21"/>
        </w:rPr>
        <w:t xml:space="preserve"> </w:t>
      </w:r>
      <w:r w:rsidRPr="00AD79C7">
        <w:rPr>
          <w:rFonts w:ascii="Abadi" w:hAnsi="Abadi"/>
          <w:b/>
          <w:bCs/>
          <w:sz w:val="21"/>
          <w:szCs w:val="21"/>
        </w:rPr>
        <w:t>a</w:t>
      </w:r>
      <w:r w:rsidRPr="00AD79C7">
        <w:rPr>
          <w:rFonts w:ascii="Abadi" w:hAnsi="Abadi"/>
          <w:b/>
          <w:bCs/>
          <w:spacing w:val="-1"/>
          <w:sz w:val="21"/>
          <w:szCs w:val="21"/>
        </w:rPr>
        <w:t xml:space="preserve"> </w:t>
      </w:r>
      <w:r w:rsidRPr="00AD79C7">
        <w:rPr>
          <w:rFonts w:ascii="Abadi" w:hAnsi="Abadi"/>
          <w:b/>
          <w:bCs/>
          <w:sz w:val="21"/>
          <w:szCs w:val="21"/>
        </w:rPr>
        <w:t>2022.</w:t>
      </w:r>
    </w:p>
    <w:p w14:paraId="65EBDCF1" w14:textId="77777777" w:rsidR="00794216" w:rsidRPr="00794216" w:rsidRDefault="00794216" w:rsidP="00794216">
      <w:pPr>
        <w:pStyle w:val="Prrafodelista"/>
        <w:rPr>
          <w:rFonts w:ascii="Abadi" w:hAnsi="Abadi"/>
          <w:b/>
          <w:bCs/>
          <w:sz w:val="21"/>
          <w:szCs w:val="21"/>
        </w:rPr>
      </w:pPr>
    </w:p>
    <w:p w14:paraId="2B8E86BF" w14:textId="3E39295C" w:rsidR="00794216" w:rsidRDefault="00794216"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49"/>
          <w:w w:val="150"/>
          <w:sz w:val="21"/>
          <w:szCs w:val="21"/>
        </w:rPr>
        <w:t xml:space="preserve"> </w:t>
      </w:r>
      <w:r w:rsidRPr="00AD79C7">
        <w:rPr>
          <w:rFonts w:ascii="Abadi" w:hAnsi="Abadi"/>
          <w:b/>
          <w:bCs/>
          <w:sz w:val="21"/>
          <w:szCs w:val="21"/>
        </w:rPr>
        <w:t>y,</w:t>
      </w:r>
      <w:r w:rsidRPr="00AD79C7">
        <w:rPr>
          <w:rFonts w:ascii="Abadi" w:hAnsi="Abadi"/>
          <w:b/>
          <w:bCs/>
          <w:spacing w:val="49"/>
          <w:w w:val="150"/>
          <w:sz w:val="21"/>
          <w:szCs w:val="21"/>
        </w:rPr>
        <w:t xml:space="preserve"> </w:t>
      </w:r>
      <w:r w:rsidRPr="00AD79C7">
        <w:rPr>
          <w:rFonts w:ascii="Abadi" w:hAnsi="Abadi"/>
          <w:b/>
          <w:bCs/>
          <w:sz w:val="21"/>
          <w:szCs w:val="21"/>
        </w:rPr>
        <w:t>en</w:t>
      </w:r>
      <w:r w:rsidRPr="00AD79C7">
        <w:rPr>
          <w:rFonts w:ascii="Abadi" w:hAnsi="Abadi"/>
          <w:b/>
          <w:bCs/>
          <w:spacing w:val="49"/>
          <w:w w:val="150"/>
          <w:sz w:val="21"/>
          <w:szCs w:val="21"/>
        </w:rPr>
        <w:t xml:space="preserve"> </w:t>
      </w:r>
      <w:r w:rsidRPr="00AD79C7">
        <w:rPr>
          <w:rFonts w:ascii="Abadi" w:hAnsi="Abadi"/>
          <w:b/>
          <w:bCs/>
          <w:sz w:val="21"/>
          <w:szCs w:val="21"/>
        </w:rPr>
        <w:t>su</w:t>
      </w:r>
      <w:r w:rsidRPr="00AD79C7">
        <w:rPr>
          <w:rFonts w:ascii="Abadi" w:hAnsi="Abadi"/>
          <w:b/>
          <w:bCs/>
          <w:spacing w:val="49"/>
          <w:w w:val="150"/>
          <w:sz w:val="21"/>
          <w:szCs w:val="21"/>
        </w:rPr>
        <w:t xml:space="preserve"> </w:t>
      </w:r>
      <w:r w:rsidRPr="00AD79C7">
        <w:rPr>
          <w:rFonts w:ascii="Abadi" w:hAnsi="Abadi"/>
          <w:b/>
          <w:bCs/>
          <w:sz w:val="21"/>
          <w:szCs w:val="21"/>
        </w:rPr>
        <w:t>caso,</w:t>
      </w:r>
      <w:r w:rsidRPr="00AD79C7">
        <w:rPr>
          <w:rFonts w:ascii="Abadi" w:hAnsi="Abadi"/>
          <w:b/>
          <w:bCs/>
          <w:spacing w:val="49"/>
          <w:w w:val="150"/>
          <w:sz w:val="21"/>
          <w:szCs w:val="21"/>
        </w:rPr>
        <w:t xml:space="preserve"> </w:t>
      </w:r>
      <w:r w:rsidRPr="00AD79C7">
        <w:rPr>
          <w:rFonts w:ascii="Abadi" w:hAnsi="Abadi"/>
          <w:b/>
          <w:bCs/>
          <w:sz w:val="21"/>
          <w:szCs w:val="21"/>
        </w:rPr>
        <w:t>aprobación</w:t>
      </w:r>
      <w:r w:rsidRPr="00AD79C7">
        <w:rPr>
          <w:rFonts w:ascii="Abadi" w:hAnsi="Abadi"/>
          <w:b/>
          <w:bCs/>
          <w:spacing w:val="49"/>
          <w:w w:val="150"/>
          <w:sz w:val="21"/>
          <w:szCs w:val="21"/>
        </w:rPr>
        <w:t xml:space="preserve"> </w:t>
      </w:r>
      <w:r w:rsidRPr="00AD79C7">
        <w:rPr>
          <w:rFonts w:ascii="Abadi" w:hAnsi="Abadi"/>
          <w:b/>
          <w:bCs/>
          <w:sz w:val="21"/>
          <w:szCs w:val="21"/>
        </w:rPr>
        <w:t>del</w:t>
      </w:r>
      <w:r w:rsidRPr="00AD79C7">
        <w:rPr>
          <w:rFonts w:ascii="Abadi" w:hAnsi="Abadi"/>
          <w:b/>
          <w:bCs/>
          <w:spacing w:val="49"/>
          <w:w w:val="150"/>
          <w:sz w:val="21"/>
          <w:szCs w:val="21"/>
        </w:rPr>
        <w:t xml:space="preserve"> </w:t>
      </w:r>
      <w:r w:rsidRPr="00AD79C7">
        <w:rPr>
          <w:rFonts w:ascii="Abadi" w:hAnsi="Abadi"/>
          <w:b/>
          <w:bCs/>
          <w:sz w:val="21"/>
          <w:szCs w:val="21"/>
        </w:rPr>
        <w:t>dictamen</w:t>
      </w:r>
      <w:r w:rsidRPr="00AD79C7">
        <w:rPr>
          <w:rFonts w:ascii="Abadi" w:hAnsi="Abadi"/>
          <w:b/>
          <w:bCs/>
          <w:spacing w:val="49"/>
          <w:w w:val="150"/>
          <w:sz w:val="21"/>
          <w:szCs w:val="21"/>
        </w:rPr>
        <w:t xml:space="preserve"> </w:t>
      </w:r>
      <w:r w:rsidRPr="00AD79C7">
        <w:rPr>
          <w:rFonts w:ascii="Abadi" w:hAnsi="Abadi"/>
          <w:b/>
          <w:bCs/>
          <w:sz w:val="21"/>
          <w:szCs w:val="21"/>
        </w:rPr>
        <w:t>presentado</w:t>
      </w:r>
      <w:r w:rsidRPr="00AD79C7">
        <w:rPr>
          <w:rFonts w:ascii="Abadi" w:hAnsi="Abadi"/>
          <w:b/>
          <w:bCs/>
          <w:spacing w:val="49"/>
          <w:w w:val="150"/>
          <w:sz w:val="21"/>
          <w:szCs w:val="21"/>
        </w:rPr>
        <w:t xml:space="preserve"> </w:t>
      </w:r>
      <w:r w:rsidRPr="00AD79C7">
        <w:rPr>
          <w:rFonts w:ascii="Abadi" w:hAnsi="Abadi"/>
          <w:b/>
          <w:bCs/>
          <w:sz w:val="21"/>
          <w:szCs w:val="21"/>
        </w:rPr>
        <w:t>por</w:t>
      </w:r>
      <w:r w:rsidRPr="00AD79C7">
        <w:rPr>
          <w:rFonts w:ascii="Abadi" w:hAnsi="Abadi"/>
          <w:b/>
          <w:bCs/>
          <w:spacing w:val="49"/>
          <w:w w:val="150"/>
          <w:sz w:val="21"/>
          <w:szCs w:val="21"/>
        </w:rPr>
        <w:t xml:space="preserve"> </w:t>
      </w:r>
      <w:r w:rsidRPr="00AD79C7">
        <w:rPr>
          <w:rFonts w:ascii="Abadi" w:hAnsi="Abadi"/>
          <w:b/>
          <w:bCs/>
          <w:sz w:val="21"/>
          <w:szCs w:val="21"/>
        </w:rPr>
        <w:t>la</w:t>
      </w:r>
      <w:r w:rsidRPr="00AD79C7">
        <w:rPr>
          <w:rFonts w:ascii="Abadi" w:hAnsi="Abadi"/>
          <w:b/>
          <w:bCs/>
          <w:spacing w:val="-2"/>
          <w:sz w:val="21"/>
          <w:szCs w:val="21"/>
        </w:rPr>
        <w:t xml:space="preserve"> </w:t>
      </w:r>
      <w:r w:rsidRPr="00AD79C7">
        <w:rPr>
          <w:rFonts w:ascii="Abadi" w:hAnsi="Abadi"/>
          <w:b/>
          <w:bCs/>
          <w:sz w:val="21"/>
          <w:szCs w:val="21"/>
        </w:rPr>
        <w:t>Comisión</w:t>
      </w:r>
      <w:r w:rsidRPr="00AD79C7">
        <w:rPr>
          <w:rFonts w:ascii="Abadi" w:hAnsi="Abadi"/>
          <w:b/>
          <w:bCs/>
          <w:spacing w:val="19"/>
          <w:sz w:val="21"/>
          <w:szCs w:val="21"/>
        </w:rPr>
        <w:t xml:space="preserve"> </w:t>
      </w:r>
      <w:r w:rsidRPr="00AD79C7">
        <w:rPr>
          <w:rFonts w:ascii="Abadi" w:hAnsi="Abadi"/>
          <w:b/>
          <w:bCs/>
          <w:sz w:val="21"/>
          <w:szCs w:val="21"/>
        </w:rPr>
        <w:t>de</w:t>
      </w:r>
      <w:r w:rsidRPr="00AD79C7">
        <w:rPr>
          <w:rFonts w:ascii="Abadi" w:hAnsi="Abadi"/>
          <w:b/>
          <w:bCs/>
          <w:spacing w:val="19"/>
          <w:sz w:val="21"/>
          <w:szCs w:val="21"/>
        </w:rPr>
        <w:t xml:space="preserve"> </w:t>
      </w:r>
      <w:r w:rsidRPr="00AD79C7">
        <w:rPr>
          <w:rFonts w:ascii="Abadi" w:hAnsi="Abadi"/>
          <w:b/>
          <w:bCs/>
          <w:sz w:val="21"/>
          <w:szCs w:val="21"/>
        </w:rPr>
        <w:t>Hacienda</w:t>
      </w:r>
      <w:r w:rsidRPr="00AD79C7">
        <w:rPr>
          <w:rFonts w:ascii="Abadi" w:hAnsi="Abadi"/>
          <w:b/>
          <w:bCs/>
          <w:spacing w:val="19"/>
          <w:sz w:val="21"/>
          <w:szCs w:val="21"/>
        </w:rPr>
        <w:t xml:space="preserve"> </w:t>
      </w:r>
      <w:r w:rsidRPr="00AD79C7">
        <w:rPr>
          <w:rFonts w:ascii="Abadi" w:hAnsi="Abadi"/>
          <w:b/>
          <w:bCs/>
          <w:sz w:val="21"/>
          <w:szCs w:val="21"/>
        </w:rPr>
        <w:t>y</w:t>
      </w:r>
      <w:r w:rsidRPr="00AD79C7">
        <w:rPr>
          <w:rFonts w:ascii="Abadi" w:hAnsi="Abadi"/>
          <w:b/>
          <w:bCs/>
          <w:spacing w:val="20"/>
          <w:sz w:val="21"/>
          <w:szCs w:val="21"/>
        </w:rPr>
        <w:t xml:space="preserve"> </w:t>
      </w:r>
      <w:r w:rsidRPr="00AD79C7">
        <w:rPr>
          <w:rFonts w:ascii="Abadi" w:hAnsi="Abadi"/>
          <w:b/>
          <w:bCs/>
          <w:sz w:val="21"/>
          <w:szCs w:val="21"/>
        </w:rPr>
        <w:t>Fiscalización</w:t>
      </w:r>
      <w:r w:rsidRPr="00AD79C7">
        <w:rPr>
          <w:rFonts w:ascii="Abadi" w:hAnsi="Abadi"/>
          <w:b/>
          <w:bCs/>
          <w:spacing w:val="19"/>
          <w:sz w:val="21"/>
          <w:szCs w:val="21"/>
        </w:rPr>
        <w:t xml:space="preserve"> </w:t>
      </w:r>
      <w:r w:rsidRPr="00AD79C7">
        <w:rPr>
          <w:rFonts w:ascii="Abadi" w:hAnsi="Abadi"/>
          <w:b/>
          <w:bCs/>
          <w:sz w:val="21"/>
          <w:szCs w:val="21"/>
        </w:rPr>
        <w:t>relativo</w:t>
      </w:r>
      <w:r w:rsidRPr="00AD79C7">
        <w:rPr>
          <w:rFonts w:ascii="Abadi" w:hAnsi="Abadi"/>
          <w:b/>
          <w:bCs/>
          <w:spacing w:val="19"/>
          <w:sz w:val="21"/>
          <w:szCs w:val="21"/>
        </w:rPr>
        <w:t xml:space="preserve"> </w:t>
      </w:r>
      <w:r w:rsidRPr="00AD79C7">
        <w:rPr>
          <w:rFonts w:ascii="Abadi" w:hAnsi="Abadi"/>
          <w:b/>
          <w:bCs/>
          <w:sz w:val="21"/>
          <w:szCs w:val="21"/>
        </w:rPr>
        <w:t>a</w:t>
      </w:r>
      <w:r w:rsidRPr="00AD79C7">
        <w:rPr>
          <w:rFonts w:ascii="Abadi" w:hAnsi="Abadi"/>
          <w:b/>
          <w:bCs/>
          <w:spacing w:val="19"/>
          <w:sz w:val="21"/>
          <w:szCs w:val="21"/>
        </w:rPr>
        <w:t xml:space="preserve"> </w:t>
      </w:r>
      <w:r w:rsidRPr="00AD79C7">
        <w:rPr>
          <w:rFonts w:ascii="Abadi" w:hAnsi="Abadi"/>
          <w:b/>
          <w:bCs/>
          <w:sz w:val="21"/>
          <w:szCs w:val="21"/>
        </w:rPr>
        <w:t>la</w:t>
      </w:r>
      <w:r w:rsidRPr="00AD79C7">
        <w:rPr>
          <w:rFonts w:ascii="Abadi" w:hAnsi="Abadi"/>
          <w:b/>
          <w:bCs/>
          <w:spacing w:val="19"/>
          <w:sz w:val="21"/>
          <w:szCs w:val="21"/>
        </w:rPr>
        <w:t xml:space="preserve"> </w:t>
      </w:r>
      <w:r w:rsidRPr="00AD79C7">
        <w:rPr>
          <w:rFonts w:ascii="Abadi" w:hAnsi="Abadi"/>
          <w:b/>
          <w:bCs/>
          <w:sz w:val="21"/>
          <w:szCs w:val="21"/>
        </w:rPr>
        <w:t>propuesta</w:t>
      </w:r>
      <w:r w:rsidRPr="00AD79C7">
        <w:rPr>
          <w:rFonts w:ascii="Abadi" w:hAnsi="Abadi"/>
          <w:b/>
          <w:bCs/>
          <w:spacing w:val="19"/>
          <w:sz w:val="21"/>
          <w:szCs w:val="21"/>
        </w:rPr>
        <w:t xml:space="preserve"> </w:t>
      </w:r>
      <w:r w:rsidRPr="00AD79C7">
        <w:rPr>
          <w:rFonts w:ascii="Abadi" w:hAnsi="Abadi"/>
          <w:b/>
          <w:bCs/>
          <w:sz w:val="21"/>
          <w:szCs w:val="21"/>
        </w:rPr>
        <w:t>de</w:t>
      </w:r>
      <w:r w:rsidRPr="00AD79C7">
        <w:rPr>
          <w:rFonts w:ascii="Abadi" w:hAnsi="Abadi"/>
          <w:b/>
          <w:bCs/>
          <w:spacing w:val="19"/>
          <w:sz w:val="21"/>
          <w:szCs w:val="21"/>
        </w:rPr>
        <w:t xml:space="preserve"> </w:t>
      </w:r>
      <w:r w:rsidRPr="00AD79C7">
        <w:rPr>
          <w:rFonts w:ascii="Abadi" w:hAnsi="Abadi"/>
          <w:b/>
          <w:bCs/>
          <w:sz w:val="21"/>
          <w:szCs w:val="21"/>
        </w:rPr>
        <w:t>punto</w:t>
      </w:r>
      <w:r w:rsidRPr="00AD79C7">
        <w:rPr>
          <w:rFonts w:ascii="Abadi" w:hAnsi="Abadi"/>
          <w:b/>
          <w:bCs/>
          <w:spacing w:val="19"/>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acuerdo</w:t>
      </w:r>
      <w:r w:rsidRPr="00AD79C7">
        <w:rPr>
          <w:rFonts w:ascii="Abadi" w:hAnsi="Abadi"/>
          <w:b/>
          <w:bCs/>
          <w:spacing w:val="63"/>
          <w:sz w:val="21"/>
          <w:szCs w:val="21"/>
        </w:rPr>
        <w:t xml:space="preserve"> </w:t>
      </w:r>
      <w:r w:rsidRPr="00AD79C7">
        <w:rPr>
          <w:rFonts w:ascii="Abadi" w:hAnsi="Abadi"/>
          <w:b/>
          <w:bCs/>
          <w:sz w:val="21"/>
          <w:szCs w:val="21"/>
        </w:rPr>
        <w:t>formulada</w:t>
      </w:r>
      <w:r w:rsidRPr="00AD79C7">
        <w:rPr>
          <w:rFonts w:ascii="Abadi" w:hAnsi="Abadi"/>
          <w:b/>
          <w:bCs/>
          <w:spacing w:val="63"/>
          <w:sz w:val="21"/>
          <w:szCs w:val="21"/>
        </w:rPr>
        <w:t xml:space="preserve"> </w:t>
      </w:r>
      <w:r w:rsidRPr="00AD79C7">
        <w:rPr>
          <w:rFonts w:ascii="Abadi" w:hAnsi="Abadi"/>
          <w:b/>
          <w:bCs/>
          <w:sz w:val="21"/>
          <w:szCs w:val="21"/>
        </w:rPr>
        <w:t>por</w:t>
      </w:r>
      <w:r w:rsidRPr="00AD79C7">
        <w:rPr>
          <w:rFonts w:ascii="Abadi" w:hAnsi="Abadi"/>
          <w:b/>
          <w:bCs/>
          <w:spacing w:val="63"/>
          <w:sz w:val="21"/>
          <w:szCs w:val="21"/>
        </w:rPr>
        <w:t xml:space="preserve"> </w:t>
      </w:r>
      <w:r w:rsidRPr="00AD79C7">
        <w:rPr>
          <w:rFonts w:ascii="Abadi" w:hAnsi="Abadi"/>
          <w:b/>
          <w:bCs/>
          <w:sz w:val="21"/>
          <w:szCs w:val="21"/>
        </w:rPr>
        <w:t>la</w:t>
      </w:r>
      <w:r w:rsidRPr="00AD79C7">
        <w:rPr>
          <w:rFonts w:ascii="Abadi" w:hAnsi="Abadi"/>
          <w:b/>
          <w:bCs/>
          <w:spacing w:val="63"/>
          <w:sz w:val="21"/>
          <w:szCs w:val="21"/>
        </w:rPr>
        <w:t xml:space="preserve"> </w:t>
      </w:r>
      <w:r w:rsidRPr="00AD79C7">
        <w:rPr>
          <w:rFonts w:ascii="Abadi" w:hAnsi="Abadi"/>
          <w:b/>
          <w:bCs/>
          <w:sz w:val="21"/>
          <w:szCs w:val="21"/>
        </w:rPr>
        <w:t>diputada</w:t>
      </w:r>
      <w:r w:rsidRPr="00AD79C7">
        <w:rPr>
          <w:rFonts w:ascii="Abadi" w:hAnsi="Abadi"/>
          <w:b/>
          <w:bCs/>
          <w:spacing w:val="63"/>
          <w:sz w:val="21"/>
          <w:szCs w:val="21"/>
        </w:rPr>
        <w:t xml:space="preserve"> </w:t>
      </w:r>
      <w:r w:rsidRPr="00AD79C7">
        <w:rPr>
          <w:rFonts w:ascii="Abadi" w:hAnsi="Abadi"/>
          <w:b/>
          <w:bCs/>
          <w:sz w:val="21"/>
          <w:szCs w:val="21"/>
        </w:rPr>
        <w:t>Alma</w:t>
      </w:r>
      <w:r w:rsidRPr="00AD79C7">
        <w:rPr>
          <w:rFonts w:ascii="Abadi" w:hAnsi="Abadi"/>
          <w:b/>
          <w:bCs/>
          <w:spacing w:val="63"/>
          <w:sz w:val="21"/>
          <w:szCs w:val="21"/>
        </w:rPr>
        <w:t xml:space="preserve"> </w:t>
      </w:r>
      <w:r w:rsidRPr="00AD79C7">
        <w:rPr>
          <w:rFonts w:ascii="Abadi" w:hAnsi="Abadi"/>
          <w:b/>
          <w:bCs/>
          <w:sz w:val="21"/>
          <w:szCs w:val="21"/>
        </w:rPr>
        <w:t>Edwviges</w:t>
      </w:r>
      <w:r w:rsidRPr="00AD79C7">
        <w:rPr>
          <w:rFonts w:ascii="Abadi" w:hAnsi="Abadi"/>
          <w:b/>
          <w:bCs/>
          <w:spacing w:val="63"/>
          <w:sz w:val="21"/>
          <w:szCs w:val="21"/>
        </w:rPr>
        <w:t xml:space="preserve"> </w:t>
      </w:r>
      <w:r w:rsidRPr="00AD79C7">
        <w:rPr>
          <w:rFonts w:ascii="Abadi" w:hAnsi="Abadi"/>
          <w:b/>
          <w:bCs/>
          <w:sz w:val="21"/>
          <w:szCs w:val="21"/>
        </w:rPr>
        <w:t>Alcaraz</w:t>
      </w:r>
      <w:r w:rsidRPr="00AD79C7">
        <w:rPr>
          <w:rFonts w:ascii="Abadi" w:hAnsi="Abadi"/>
          <w:b/>
          <w:bCs/>
          <w:spacing w:val="63"/>
          <w:sz w:val="21"/>
          <w:szCs w:val="21"/>
        </w:rPr>
        <w:t xml:space="preserve"> </w:t>
      </w:r>
      <w:r w:rsidRPr="00AD79C7">
        <w:rPr>
          <w:rFonts w:ascii="Abadi" w:hAnsi="Abadi"/>
          <w:b/>
          <w:bCs/>
          <w:sz w:val="21"/>
          <w:szCs w:val="21"/>
        </w:rPr>
        <w:t>Hernández,</w:t>
      </w:r>
      <w:r w:rsidRPr="00AD79C7">
        <w:rPr>
          <w:rFonts w:ascii="Abadi" w:hAnsi="Abadi"/>
          <w:b/>
          <w:bCs/>
          <w:spacing w:val="-2"/>
          <w:sz w:val="21"/>
          <w:szCs w:val="21"/>
        </w:rPr>
        <w:t xml:space="preserve"> </w:t>
      </w:r>
      <w:r w:rsidRPr="00AD79C7">
        <w:rPr>
          <w:rFonts w:ascii="Abadi" w:hAnsi="Abadi"/>
          <w:b/>
          <w:bCs/>
          <w:sz w:val="21"/>
          <w:szCs w:val="21"/>
        </w:rPr>
        <w:t>integrante</w:t>
      </w:r>
      <w:r w:rsidRPr="00AD79C7">
        <w:rPr>
          <w:rFonts w:ascii="Abadi" w:hAnsi="Abadi"/>
          <w:b/>
          <w:bCs/>
          <w:spacing w:val="80"/>
          <w:sz w:val="21"/>
          <w:szCs w:val="21"/>
        </w:rPr>
        <w:t xml:space="preserve"> </w:t>
      </w:r>
      <w:r w:rsidRPr="00AD79C7">
        <w:rPr>
          <w:rFonts w:ascii="Abadi" w:hAnsi="Abadi"/>
          <w:b/>
          <w:bCs/>
          <w:sz w:val="21"/>
          <w:szCs w:val="21"/>
        </w:rPr>
        <w:t>del</w:t>
      </w:r>
      <w:r w:rsidRPr="00AD79C7">
        <w:rPr>
          <w:rFonts w:ascii="Abadi" w:hAnsi="Abadi"/>
          <w:b/>
          <w:bCs/>
          <w:spacing w:val="80"/>
          <w:sz w:val="21"/>
          <w:szCs w:val="21"/>
        </w:rPr>
        <w:t xml:space="preserve"> </w:t>
      </w:r>
      <w:r w:rsidRPr="00AD79C7">
        <w:rPr>
          <w:rFonts w:ascii="Abadi" w:hAnsi="Abadi"/>
          <w:b/>
          <w:bCs/>
          <w:sz w:val="21"/>
          <w:szCs w:val="21"/>
        </w:rPr>
        <w:t>Grupo</w:t>
      </w:r>
      <w:r w:rsidRPr="00AD79C7">
        <w:rPr>
          <w:rFonts w:ascii="Abadi" w:hAnsi="Abadi"/>
          <w:b/>
          <w:bCs/>
          <w:spacing w:val="80"/>
          <w:sz w:val="21"/>
          <w:szCs w:val="21"/>
        </w:rPr>
        <w:t xml:space="preserve"> </w:t>
      </w:r>
      <w:r w:rsidRPr="00AD79C7">
        <w:rPr>
          <w:rFonts w:ascii="Abadi" w:hAnsi="Abadi"/>
          <w:b/>
          <w:bCs/>
          <w:sz w:val="21"/>
          <w:szCs w:val="21"/>
        </w:rPr>
        <w:t>Parlamentario</w:t>
      </w:r>
      <w:r w:rsidRPr="00AD79C7">
        <w:rPr>
          <w:rFonts w:ascii="Abadi" w:hAnsi="Abadi"/>
          <w:b/>
          <w:bCs/>
          <w:spacing w:val="80"/>
          <w:sz w:val="21"/>
          <w:szCs w:val="21"/>
        </w:rPr>
        <w:t xml:space="preserve"> </w:t>
      </w:r>
      <w:r w:rsidRPr="00AD79C7">
        <w:rPr>
          <w:rFonts w:ascii="Abadi" w:hAnsi="Abadi"/>
          <w:b/>
          <w:bCs/>
          <w:sz w:val="21"/>
          <w:szCs w:val="21"/>
        </w:rPr>
        <w:t>del</w:t>
      </w:r>
      <w:r w:rsidRPr="00AD79C7">
        <w:rPr>
          <w:rFonts w:ascii="Abadi" w:hAnsi="Abadi"/>
          <w:b/>
          <w:bCs/>
          <w:spacing w:val="80"/>
          <w:sz w:val="21"/>
          <w:szCs w:val="21"/>
        </w:rPr>
        <w:t xml:space="preserve"> </w:t>
      </w:r>
      <w:r w:rsidRPr="00AD79C7">
        <w:rPr>
          <w:rFonts w:ascii="Abadi" w:hAnsi="Abadi"/>
          <w:b/>
          <w:bCs/>
          <w:sz w:val="21"/>
          <w:szCs w:val="21"/>
        </w:rPr>
        <w:t>Partido</w:t>
      </w:r>
      <w:r w:rsidRPr="00AD79C7">
        <w:rPr>
          <w:rFonts w:ascii="Abadi" w:hAnsi="Abadi"/>
          <w:b/>
          <w:bCs/>
          <w:spacing w:val="80"/>
          <w:sz w:val="21"/>
          <w:szCs w:val="21"/>
        </w:rPr>
        <w:t xml:space="preserve"> </w:t>
      </w:r>
      <w:r w:rsidRPr="00AD79C7">
        <w:rPr>
          <w:rFonts w:ascii="Abadi" w:hAnsi="Abadi"/>
          <w:b/>
          <w:bCs/>
          <w:sz w:val="21"/>
          <w:szCs w:val="21"/>
        </w:rPr>
        <w:t>MORENA</w:t>
      </w:r>
      <w:r w:rsidRPr="00AD79C7">
        <w:rPr>
          <w:rFonts w:ascii="Abadi" w:hAnsi="Abadi"/>
          <w:b/>
          <w:bCs/>
          <w:spacing w:val="80"/>
          <w:sz w:val="21"/>
          <w:szCs w:val="21"/>
        </w:rPr>
        <w:t xml:space="preserve"> </w:t>
      </w:r>
      <w:r w:rsidRPr="00AD79C7">
        <w:rPr>
          <w:rFonts w:ascii="Abadi" w:hAnsi="Abadi"/>
          <w:b/>
          <w:bCs/>
          <w:sz w:val="21"/>
          <w:szCs w:val="21"/>
        </w:rPr>
        <w:t>a</w:t>
      </w:r>
      <w:r w:rsidRPr="00AD79C7">
        <w:rPr>
          <w:rFonts w:ascii="Abadi" w:hAnsi="Abadi"/>
          <w:b/>
          <w:bCs/>
          <w:spacing w:val="80"/>
          <w:sz w:val="21"/>
          <w:szCs w:val="21"/>
        </w:rPr>
        <w:t xml:space="preserve"> </w:t>
      </w:r>
      <w:r w:rsidRPr="00AD79C7">
        <w:rPr>
          <w:rFonts w:ascii="Abadi" w:hAnsi="Abadi"/>
          <w:b/>
          <w:bCs/>
          <w:sz w:val="21"/>
          <w:szCs w:val="21"/>
        </w:rPr>
        <w:t>efecto</w:t>
      </w:r>
      <w:r w:rsidRPr="00AD79C7">
        <w:rPr>
          <w:rFonts w:ascii="Abadi" w:hAnsi="Abadi"/>
          <w:b/>
          <w:bCs/>
          <w:spacing w:val="80"/>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exhortar</w:t>
      </w:r>
      <w:r w:rsidRPr="00AD79C7">
        <w:rPr>
          <w:rFonts w:ascii="Abadi" w:hAnsi="Abadi"/>
          <w:b/>
          <w:bCs/>
          <w:spacing w:val="23"/>
          <w:sz w:val="21"/>
          <w:szCs w:val="21"/>
        </w:rPr>
        <w:t xml:space="preserve"> </w:t>
      </w:r>
      <w:r w:rsidRPr="00AD79C7">
        <w:rPr>
          <w:rFonts w:ascii="Abadi" w:hAnsi="Abadi"/>
          <w:b/>
          <w:bCs/>
          <w:sz w:val="21"/>
          <w:szCs w:val="21"/>
        </w:rPr>
        <w:t>al</w:t>
      </w:r>
      <w:r w:rsidRPr="00AD79C7">
        <w:rPr>
          <w:rFonts w:ascii="Abadi" w:hAnsi="Abadi"/>
          <w:b/>
          <w:bCs/>
          <w:spacing w:val="23"/>
          <w:sz w:val="21"/>
          <w:szCs w:val="21"/>
        </w:rPr>
        <w:t xml:space="preserve"> </w:t>
      </w:r>
      <w:r w:rsidRPr="00AD79C7">
        <w:rPr>
          <w:rFonts w:ascii="Abadi" w:hAnsi="Abadi"/>
          <w:b/>
          <w:bCs/>
          <w:sz w:val="21"/>
          <w:szCs w:val="21"/>
        </w:rPr>
        <w:t>titular</w:t>
      </w:r>
      <w:r w:rsidRPr="00AD79C7">
        <w:rPr>
          <w:rFonts w:ascii="Abadi" w:hAnsi="Abadi"/>
          <w:b/>
          <w:bCs/>
          <w:spacing w:val="23"/>
          <w:sz w:val="21"/>
          <w:szCs w:val="21"/>
        </w:rPr>
        <w:t xml:space="preserve"> </w:t>
      </w:r>
      <w:r w:rsidRPr="00AD79C7">
        <w:rPr>
          <w:rFonts w:ascii="Abadi" w:hAnsi="Abadi"/>
          <w:b/>
          <w:bCs/>
          <w:sz w:val="21"/>
          <w:szCs w:val="21"/>
        </w:rPr>
        <w:t>de</w:t>
      </w:r>
      <w:r w:rsidRPr="00AD79C7">
        <w:rPr>
          <w:rFonts w:ascii="Abadi" w:hAnsi="Abadi"/>
          <w:b/>
          <w:bCs/>
          <w:spacing w:val="23"/>
          <w:sz w:val="21"/>
          <w:szCs w:val="21"/>
        </w:rPr>
        <w:t xml:space="preserve"> </w:t>
      </w:r>
      <w:r w:rsidRPr="00AD79C7">
        <w:rPr>
          <w:rFonts w:ascii="Abadi" w:hAnsi="Abadi"/>
          <w:b/>
          <w:bCs/>
          <w:sz w:val="21"/>
          <w:szCs w:val="21"/>
        </w:rPr>
        <w:t>la</w:t>
      </w:r>
      <w:r w:rsidRPr="00AD79C7">
        <w:rPr>
          <w:rFonts w:ascii="Abadi" w:hAnsi="Abadi"/>
          <w:b/>
          <w:bCs/>
          <w:spacing w:val="23"/>
          <w:sz w:val="21"/>
          <w:szCs w:val="21"/>
        </w:rPr>
        <w:t xml:space="preserve"> </w:t>
      </w:r>
      <w:r w:rsidRPr="00AD79C7">
        <w:rPr>
          <w:rFonts w:ascii="Abadi" w:hAnsi="Abadi"/>
          <w:b/>
          <w:bCs/>
          <w:sz w:val="21"/>
          <w:szCs w:val="21"/>
        </w:rPr>
        <w:t>Auditoría</w:t>
      </w:r>
      <w:r w:rsidRPr="00AD79C7">
        <w:rPr>
          <w:rFonts w:ascii="Abadi" w:hAnsi="Abadi"/>
          <w:b/>
          <w:bCs/>
          <w:spacing w:val="23"/>
          <w:sz w:val="21"/>
          <w:szCs w:val="21"/>
        </w:rPr>
        <w:t xml:space="preserve"> </w:t>
      </w:r>
      <w:r w:rsidRPr="00AD79C7">
        <w:rPr>
          <w:rFonts w:ascii="Abadi" w:hAnsi="Abadi"/>
          <w:b/>
          <w:bCs/>
          <w:sz w:val="21"/>
          <w:szCs w:val="21"/>
        </w:rPr>
        <w:t>Superior</w:t>
      </w:r>
      <w:r w:rsidRPr="00AD79C7">
        <w:rPr>
          <w:rFonts w:ascii="Abadi" w:hAnsi="Abadi"/>
          <w:b/>
          <w:bCs/>
          <w:spacing w:val="23"/>
          <w:sz w:val="21"/>
          <w:szCs w:val="21"/>
        </w:rPr>
        <w:t xml:space="preserve"> </w:t>
      </w:r>
      <w:r w:rsidRPr="00AD79C7">
        <w:rPr>
          <w:rFonts w:ascii="Abadi" w:hAnsi="Abadi"/>
          <w:b/>
          <w:bCs/>
          <w:sz w:val="21"/>
          <w:szCs w:val="21"/>
        </w:rPr>
        <w:t>del</w:t>
      </w:r>
      <w:r w:rsidRPr="00AD79C7">
        <w:rPr>
          <w:rFonts w:ascii="Abadi" w:hAnsi="Abadi"/>
          <w:b/>
          <w:bCs/>
          <w:spacing w:val="23"/>
          <w:sz w:val="21"/>
          <w:szCs w:val="21"/>
        </w:rPr>
        <w:t xml:space="preserve"> </w:t>
      </w:r>
      <w:r w:rsidRPr="00AD79C7">
        <w:rPr>
          <w:rFonts w:ascii="Abadi" w:hAnsi="Abadi"/>
          <w:b/>
          <w:bCs/>
          <w:sz w:val="21"/>
          <w:szCs w:val="21"/>
        </w:rPr>
        <w:t>Estado</w:t>
      </w:r>
      <w:r w:rsidRPr="00AD79C7">
        <w:rPr>
          <w:rFonts w:ascii="Abadi" w:hAnsi="Abadi"/>
          <w:b/>
          <w:bCs/>
          <w:spacing w:val="23"/>
          <w:sz w:val="21"/>
          <w:szCs w:val="21"/>
        </w:rPr>
        <w:t xml:space="preserve"> </w:t>
      </w:r>
      <w:r w:rsidRPr="00AD79C7">
        <w:rPr>
          <w:rFonts w:ascii="Abadi" w:hAnsi="Abadi"/>
          <w:b/>
          <w:bCs/>
          <w:sz w:val="21"/>
          <w:szCs w:val="21"/>
        </w:rPr>
        <w:t>de</w:t>
      </w:r>
      <w:r w:rsidRPr="00AD79C7">
        <w:rPr>
          <w:rFonts w:ascii="Abadi" w:hAnsi="Abadi"/>
          <w:b/>
          <w:bCs/>
          <w:spacing w:val="23"/>
          <w:sz w:val="21"/>
          <w:szCs w:val="21"/>
        </w:rPr>
        <w:t xml:space="preserve"> </w:t>
      </w:r>
      <w:r w:rsidRPr="00AD79C7">
        <w:rPr>
          <w:rFonts w:ascii="Abadi" w:hAnsi="Abadi"/>
          <w:b/>
          <w:bCs/>
          <w:sz w:val="21"/>
          <w:szCs w:val="21"/>
        </w:rPr>
        <w:t>Guanajuato</w:t>
      </w:r>
      <w:r w:rsidRPr="00AD79C7">
        <w:rPr>
          <w:rFonts w:ascii="Abadi" w:hAnsi="Abadi"/>
          <w:b/>
          <w:bCs/>
          <w:spacing w:val="23"/>
          <w:sz w:val="21"/>
          <w:szCs w:val="21"/>
        </w:rPr>
        <w:t xml:space="preserve"> </w:t>
      </w:r>
      <w:r w:rsidRPr="00AD79C7">
        <w:rPr>
          <w:rFonts w:ascii="Abadi" w:hAnsi="Abadi"/>
          <w:b/>
          <w:bCs/>
          <w:sz w:val="21"/>
          <w:szCs w:val="21"/>
        </w:rPr>
        <w:t>para</w:t>
      </w:r>
      <w:r w:rsidRPr="00AD79C7">
        <w:rPr>
          <w:rFonts w:ascii="Abadi" w:hAnsi="Abadi"/>
          <w:b/>
          <w:bCs/>
          <w:spacing w:val="-2"/>
          <w:sz w:val="21"/>
          <w:szCs w:val="21"/>
        </w:rPr>
        <w:t xml:space="preserve"> </w:t>
      </w:r>
      <w:r w:rsidRPr="00AD79C7">
        <w:rPr>
          <w:rFonts w:ascii="Abadi" w:hAnsi="Abadi"/>
          <w:b/>
          <w:bCs/>
          <w:sz w:val="21"/>
          <w:szCs w:val="21"/>
        </w:rPr>
        <w:t>que</w:t>
      </w:r>
      <w:r w:rsidRPr="00AD79C7">
        <w:rPr>
          <w:rFonts w:ascii="Abadi" w:hAnsi="Abadi"/>
          <w:b/>
          <w:bCs/>
          <w:spacing w:val="21"/>
          <w:sz w:val="21"/>
          <w:szCs w:val="21"/>
        </w:rPr>
        <w:t xml:space="preserve"> </w:t>
      </w:r>
      <w:r w:rsidRPr="00AD79C7">
        <w:rPr>
          <w:rFonts w:ascii="Abadi" w:hAnsi="Abadi"/>
          <w:b/>
          <w:bCs/>
          <w:sz w:val="21"/>
          <w:szCs w:val="21"/>
        </w:rPr>
        <w:t>incorpore</w:t>
      </w:r>
      <w:r w:rsidRPr="00AD79C7">
        <w:rPr>
          <w:rFonts w:ascii="Abadi" w:hAnsi="Abadi"/>
          <w:b/>
          <w:bCs/>
          <w:spacing w:val="22"/>
          <w:sz w:val="21"/>
          <w:szCs w:val="21"/>
        </w:rPr>
        <w:t xml:space="preserve"> </w:t>
      </w:r>
      <w:r w:rsidRPr="00AD79C7">
        <w:rPr>
          <w:rFonts w:ascii="Abadi" w:hAnsi="Abadi"/>
          <w:b/>
          <w:bCs/>
          <w:sz w:val="21"/>
          <w:szCs w:val="21"/>
        </w:rPr>
        <w:t>al</w:t>
      </w:r>
      <w:r w:rsidRPr="00AD79C7">
        <w:rPr>
          <w:rFonts w:ascii="Abadi" w:hAnsi="Abadi"/>
          <w:b/>
          <w:bCs/>
          <w:spacing w:val="21"/>
          <w:sz w:val="21"/>
          <w:szCs w:val="21"/>
        </w:rPr>
        <w:t xml:space="preserve"> </w:t>
      </w:r>
      <w:r w:rsidRPr="00AD79C7">
        <w:rPr>
          <w:rFonts w:ascii="Abadi" w:hAnsi="Abadi"/>
          <w:b/>
          <w:bCs/>
          <w:sz w:val="21"/>
          <w:szCs w:val="21"/>
        </w:rPr>
        <w:t>Programa</w:t>
      </w:r>
      <w:r w:rsidRPr="00AD79C7">
        <w:rPr>
          <w:rFonts w:ascii="Abadi" w:hAnsi="Abadi"/>
          <w:b/>
          <w:bCs/>
          <w:spacing w:val="21"/>
          <w:sz w:val="21"/>
          <w:szCs w:val="21"/>
        </w:rPr>
        <w:t xml:space="preserve"> </w:t>
      </w:r>
      <w:r w:rsidRPr="00AD79C7">
        <w:rPr>
          <w:rFonts w:ascii="Abadi" w:hAnsi="Abadi"/>
          <w:b/>
          <w:bCs/>
          <w:sz w:val="21"/>
          <w:szCs w:val="21"/>
        </w:rPr>
        <w:t>General</w:t>
      </w:r>
      <w:r w:rsidRPr="00AD79C7">
        <w:rPr>
          <w:rFonts w:ascii="Abadi" w:hAnsi="Abadi"/>
          <w:b/>
          <w:bCs/>
          <w:spacing w:val="21"/>
          <w:sz w:val="21"/>
          <w:szCs w:val="21"/>
        </w:rPr>
        <w:t xml:space="preserve"> </w:t>
      </w:r>
      <w:r w:rsidRPr="00AD79C7">
        <w:rPr>
          <w:rFonts w:ascii="Abadi" w:hAnsi="Abadi"/>
          <w:b/>
          <w:bCs/>
          <w:sz w:val="21"/>
          <w:szCs w:val="21"/>
        </w:rPr>
        <w:t>de</w:t>
      </w:r>
      <w:r w:rsidRPr="00AD79C7">
        <w:rPr>
          <w:rFonts w:ascii="Abadi" w:hAnsi="Abadi"/>
          <w:b/>
          <w:bCs/>
          <w:spacing w:val="21"/>
          <w:sz w:val="21"/>
          <w:szCs w:val="21"/>
        </w:rPr>
        <w:t xml:space="preserve"> </w:t>
      </w:r>
      <w:r w:rsidRPr="00AD79C7">
        <w:rPr>
          <w:rFonts w:ascii="Abadi" w:hAnsi="Abadi"/>
          <w:b/>
          <w:bCs/>
          <w:sz w:val="21"/>
          <w:szCs w:val="21"/>
        </w:rPr>
        <w:t>Fiscalización</w:t>
      </w:r>
      <w:r w:rsidRPr="00AD79C7">
        <w:rPr>
          <w:rFonts w:ascii="Abadi" w:hAnsi="Abadi"/>
          <w:b/>
          <w:bCs/>
          <w:spacing w:val="21"/>
          <w:sz w:val="21"/>
          <w:szCs w:val="21"/>
        </w:rPr>
        <w:t xml:space="preserve"> </w:t>
      </w:r>
      <w:r w:rsidRPr="00AD79C7">
        <w:rPr>
          <w:rFonts w:ascii="Abadi" w:hAnsi="Abadi"/>
          <w:b/>
          <w:bCs/>
          <w:sz w:val="21"/>
          <w:szCs w:val="21"/>
        </w:rPr>
        <w:t>2022</w:t>
      </w:r>
      <w:r w:rsidRPr="00AD79C7">
        <w:rPr>
          <w:rFonts w:ascii="Abadi" w:hAnsi="Abadi"/>
          <w:b/>
          <w:bCs/>
          <w:spacing w:val="22"/>
          <w:sz w:val="21"/>
          <w:szCs w:val="21"/>
        </w:rPr>
        <w:t xml:space="preserve"> </w:t>
      </w:r>
      <w:r w:rsidRPr="00AD79C7">
        <w:rPr>
          <w:rFonts w:ascii="Abadi" w:hAnsi="Abadi"/>
          <w:b/>
          <w:bCs/>
          <w:sz w:val="21"/>
          <w:szCs w:val="21"/>
        </w:rPr>
        <w:t>la</w:t>
      </w:r>
      <w:r w:rsidRPr="00AD79C7">
        <w:rPr>
          <w:rFonts w:ascii="Abadi" w:hAnsi="Abadi"/>
          <w:b/>
          <w:bCs/>
          <w:spacing w:val="22"/>
          <w:sz w:val="21"/>
          <w:szCs w:val="21"/>
        </w:rPr>
        <w:t xml:space="preserve"> </w:t>
      </w:r>
      <w:r w:rsidRPr="00AD79C7">
        <w:rPr>
          <w:rFonts w:ascii="Abadi" w:hAnsi="Abadi"/>
          <w:b/>
          <w:bCs/>
          <w:sz w:val="21"/>
          <w:szCs w:val="21"/>
        </w:rPr>
        <w:t>evaluación</w:t>
      </w:r>
      <w:r w:rsidRPr="00AD79C7">
        <w:rPr>
          <w:rFonts w:ascii="Abadi" w:hAnsi="Abadi"/>
          <w:b/>
          <w:bCs/>
          <w:spacing w:val="22"/>
          <w:sz w:val="21"/>
          <w:szCs w:val="21"/>
        </w:rPr>
        <w:t xml:space="preserve"> </w:t>
      </w:r>
      <w:r w:rsidRPr="00AD79C7">
        <w:rPr>
          <w:rFonts w:ascii="Abadi" w:hAnsi="Abadi"/>
          <w:b/>
          <w:bCs/>
          <w:sz w:val="21"/>
          <w:szCs w:val="21"/>
        </w:rPr>
        <w:t>a</w:t>
      </w:r>
      <w:r w:rsidRPr="00AD79C7">
        <w:rPr>
          <w:rFonts w:ascii="Abadi" w:hAnsi="Abadi"/>
          <w:b/>
          <w:bCs/>
          <w:spacing w:val="-2"/>
          <w:sz w:val="21"/>
          <w:szCs w:val="21"/>
        </w:rPr>
        <w:t xml:space="preserve"> </w:t>
      </w:r>
      <w:r w:rsidRPr="00AD79C7">
        <w:rPr>
          <w:rFonts w:ascii="Abadi" w:hAnsi="Abadi"/>
          <w:b/>
          <w:bCs/>
          <w:sz w:val="21"/>
          <w:szCs w:val="21"/>
        </w:rPr>
        <w:t>las</w:t>
      </w:r>
      <w:r w:rsidRPr="00AD79C7">
        <w:rPr>
          <w:rFonts w:ascii="Abadi" w:hAnsi="Abadi"/>
          <w:b/>
          <w:bCs/>
          <w:spacing w:val="32"/>
          <w:sz w:val="21"/>
          <w:szCs w:val="21"/>
        </w:rPr>
        <w:t xml:space="preserve"> </w:t>
      </w:r>
      <w:r w:rsidRPr="00AD79C7">
        <w:rPr>
          <w:rFonts w:ascii="Abadi" w:hAnsi="Abadi"/>
          <w:b/>
          <w:bCs/>
          <w:sz w:val="21"/>
          <w:szCs w:val="21"/>
        </w:rPr>
        <w:t>intervenciones</w:t>
      </w:r>
      <w:r w:rsidRPr="00AD79C7">
        <w:rPr>
          <w:rFonts w:ascii="Abadi" w:hAnsi="Abadi"/>
          <w:b/>
          <w:bCs/>
          <w:spacing w:val="32"/>
          <w:sz w:val="21"/>
          <w:szCs w:val="21"/>
        </w:rPr>
        <w:t xml:space="preserve"> </w:t>
      </w:r>
      <w:r w:rsidRPr="00AD79C7">
        <w:rPr>
          <w:rFonts w:ascii="Abadi" w:hAnsi="Abadi"/>
          <w:b/>
          <w:bCs/>
          <w:sz w:val="21"/>
          <w:szCs w:val="21"/>
        </w:rPr>
        <w:t>públicas</w:t>
      </w:r>
      <w:r w:rsidRPr="00AD79C7">
        <w:rPr>
          <w:rFonts w:ascii="Abadi" w:hAnsi="Abadi"/>
          <w:b/>
          <w:bCs/>
          <w:spacing w:val="32"/>
          <w:sz w:val="21"/>
          <w:szCs w:val="21"/>
        </w:rPr>
        <w:t xml:space="preserve"> </w:t>
      </w:r>
      <w:r w:rsidRPr="00AD79C7">
        <w:rPr>
          <w:rFonts w:ascii="Abadi" w:hAnsi="Abadi"/>
          <w:b/>
          <w:bCs/>
          <w:sz w:val="21"/>
          <w:szCs w:val="21"/>
        </w:rPr>
        <w:t>para</w:t>
      </w:r>
      <w:r w:rsidRPr="00AD79C7">
        <w:rPr>
          <w:rFonts w:ascii="Abadi" w:hAnsi="Abadi"/>
          <w:b/>
          <w:bCs/>
          <w:spacing w:val="32"/>
          <w:sz w:val="21"/>
          <w:szCs w:val="21"/>
        </w:rPr>
        <w:t xml:space="preserve"> </w:t>
      </w:r>
      <w:r w:rsidRPr="00AD79C7">
        <w:rPr>
          <w:rFonts w:ascii="Abadi" w:hAnsi="Abadi"/>
          <w:b/>
          <w:bCs/>
          <w:sz w:val="21"/>
          <w:szCs w:val="21"/>
        </w:rPr>
        <w:t>garantizar</w:t>
      </w:r>
      <w:r w:rsidRPr="00AD79C7">
        <w:rPr>
          <w:rFonts w:ascii="Abadi" w:hAnsi="Abadi"/>
          <w:b/>
          <w:bCs/>
          <w:spacing w:val="32"/>
          <w:sz w:val="21"/>
          <w:szCs w:val="21"/>
        </w:rPr>
        <w:t xml:space="preserve"> </w:t>
      </w:r>
      <w:r w:rsidRPr="00AD79C7">
        <w:rPr>
          <w:rFonts w:ascii="Abadi" w:hAnsi="Abadi"/>
          <w:b/>
          <w:bCs/>
          <w:sz w:val="21"/>
          <w:szCs w:val="21"/>
        </w:rPr>
        <w:t>los</w:t>
      </w:r>
      <w:r w:rsidRPr="00AD79C7">
        <w:rPr>
          <w:rFonts w:ascii="Abadi" w:hAnsi="Abadi"/>
          <w:b/>
          <w:bCs/>
          <w:spacing w:val="32"/>
          <w:sz w:val="21"/>
          <w:szCs w:val="21"/>
        </w:rPr>
        <w:t xml:space="preserve"> </w:t>
      </w:r>
      <w:r w:rsidRPr="00AD79C7">
        <w:rPr>
          <w:rFonts w:ascii="Abadi" w:hAnsi="Abadi"/>
          <w:b/>
          <w:bCs/>
          <w:sz w:val="21"/>
          <w:szCs w:val="21"/>
        </w:rPr>
        <w:t>derechos</w:t>
      </w:r>
      <w:r w:rsidRPr="00AD79C7">
        <w:rPr>
          <w:rFonts w:ascii="Abadi" w:hAnsi="Abadi"/>
          <w:b/>
          <w:bCs/>
          <w:spacing w:val="32"/>
          <w:sz w:val="21"/>
          <w:szCs w:val="21"/>
        </w:rPr>
        <w:t xml:space="preserve"> </w:t>
      </w:r>
      <w:r w:rsidRPr="00AD79C7">
        <w:rPr>
          <w:rFonts w:ascii="Abadi" w:hAnsi="Abadi"/>
          <w:b/>
          <w:bCs/>
          <w:sz w:val="21"/>
          <w:szCs w:val="21"/>
        </w:rPr>
        <w:t>humanos</w:t>
      </w:r>
      <w:r w:rsidRPr="00AD79C7">
        <w:rPr>
          <w:rFonts w:ascii="Abadi" w:hAnsi="Abadi"/>
          <w:b/>
          <w:bCs/>
          <w:spacing w:val="32"/>
          <w:sz w:val="21"/>
          <w:szCs w:val="21"/>
        </w:rPr>
        <w:t xml:space="preserve"> </w:t>
      </w:r>
      <w:r w:rsidRPr="00AD79C7">
        <w:rPr>
          <w:rFonts w:ascii="Abadi" w:hAnsi="Abadi"/>
          <w:b/>
          <w:bCs/>
          <w:sz w:val="21"/>
          <w:szCs w:val="21"/>
        </w:rPr>
        <w:t>de</w:t>
      </w:r>
      <w:r w:rsidRPr="00AD79C7">
        <w:rPr>
          <w:rFonts w:ascii="Abadi" w:hAnsi="Abadi"/>
          <w:b/>
          <w:bCs/>
          <w:spacing w:val="32"/>
          <w:sz w:val="21"/>
          <w:szCs w:val="21"/>
        </w:rPr>
        <w:t xml:space="preserve"> </w:t>
      </w:r>
      <w:r w:rsidRPr="00AD79C7">
        <w:rPr>
          <w:rFonts w:ascii="Abadi" w:hAnsi="Abadi"/>
          <w:b/>
          <w:bCs/>
          <w:sz w:val="21"/>
          <w:szCs w:val="21"/>
        </w:rPr>
        <w:t>las</w:t>
      </w:r>
      <w:r w:rsidRPr="00AD79C7">
        <w:rPr>
          <w:rFonts w:ascii="Abadi" w:hAnsi="Abadi"/>
          <w:b/>
          <w:bCs/>
          <w:spacing w:val="-2"/>
          <w:sz w:val="21"/>
          <w:szCs w:val="21"/>
        </w:rPr>
        <w:t xml:space="preserve"> </w:t>
      </w:r>
      <w:r w:rsidRPr="00AD79C7">
        <w:rPr>
          <w:rFonts w:ascii="Abadi" w:hAnsi="Abadi"/>
          <w:b/>
          <w:bCs/>
          <w:sz w:val="21"/>
          <w:szCs w:val="21"/>
        </w:rPr>
        <w:t>mujeres</w:t>
      </w:r>
      <w:r w:rsidRPr="00AD79C7">
        <w:rPr>
          <w:rFonts w:ascii="Abadi" w:hAnsi="Abadi"/>
          <w:b/>
          <w:bCs/>
          <w:spacing w:val="43"/>
          <w:sz w:val="21"/>
          <w:szCs w:val="21"/>
        </w:rPr>
        <w:t xml:space="preserve"> </w:t>
      </w:r>
      <w:r w:rsidRPr="00AD79C7">
        <w:rPr>
          <w:rFonts w:ascii="Abadi" w:hAnsi="Abadi"/>
          <w:b/>
          <w:bCs/>
          <w:sz w:val="21"/>
          <w:szCs w:val="21"/>
        </w:rPr>
        <w:t>en</w:t>
      </w:r>
      <w:r w:rsidRPr="00AD79C7">
        <w:rPr>
          <w:rFonts w:ascii="Abadi" w:hAnsi="Abadi"/>
          <w:b/>
          <w:bCs/>
          <w:spacing w:val="43"/>
          <w:sz w:val="21"/>
          <w:szCs w:val="21"/>
        </w:rPr>
        <w:t xml:space="preserve"> </w:t>
      </w:r>
      <w:r w:rsidRPr="00AD79C7">
        <w:rPr>
          <w:rFonts w:ascii="Abadi" w:hAnsi="Abadi"/>
          <w:b/>
          <w:bCs/>
          <w:sz w:val="21"/>
          <w:szCs w:val="21"/>
        </w:rPr>
        <w:t>la</w:t>
      </w:r>
      <w:r w:rsidRPr="00AD79C7">
        <w:rPr>
          <w:rFonts w:ascii="Abadi" w:hAnsi="Abadi"/>
          <w:b/>
          <w:bCs/>
          <w:spacing w:val="43"/>
          <w:sz w:val="21"/>
          <w:szCs w:val="21"/>
        </w:rPr>
        <w:t xml:space="preserve"> </w:t>
      </w:r>
      <w:r w:rsidRPr="00AD79C7">
        <w:rPr>
          <w:rFonts w:ascii="Abadi" w:hAnsi="Abadi"/>
          <w:b/>
          <w:bCs/>
          <w:sz w:val="21"/>
          <w:szCs w:val="21"/>
        </w:rPr>
        <w:t>cual</w:t>
      </w:r>
      <w:r w:rsidRPr="00AD79C7">
        <w:rPr>
          <w:rFonts w:ascii="Abadi" w:hAnsi="Abadi"/>
          <w:b/>
          <w:bCs/>
          <w:spacing w:val="43"/>
          <w:sz w:val="21"/>
          <w:szCs w:val="21"/>
        </w:rPr>
        <w:t xml:space="preserve"> </w:t>
      </w:r>
      <w:r w:rsidRPr="00AD79C7">
        <w:rPr>
          <w:rFonts w:ascii="Abadi" w:hAnsi="Abadi"/>
          <w:b/>
          <w:bCs/>
          <w:sz w:val="21"/>
          <w:szCs w:val="21"/>
        </w:rPr>
        <w:t>el</w:t>
      </w:r>
      <w:r w:rsidRPr="00AD79C7">
        <w:rPr>
          <w:rFonts w:ascii="Abadi" w:hAnsi="Abadi"/>
          <w:b/>
          <w:bCs/>
          <w:spacing w:val="43"/>
          <w:sz w:val="21"/>
          <w:szCs w:val="21"/>
        </w:rPr>
        <w:t xml:space="preserve"> </w:t>
      </w:r>
      <w:r w:rsidRPr="00AD79C7">
        <w:rPr>
          <w:rFonts w:ascii="Abadi" w:hAnsi="Abadi"/>
          <w:b/>
          <w:bCs/>
          <w:sz w:val="21"/>
          <w:szCs w:val="21"/>
        </w:rPr>
        <w:t>sujeto</w:t>
      </w:r>
      <w:r w:rsidRPr="00AD79C7">
        <w:rPr>
          <w:rFonts w:ascii="Abadi" w:hAnsi="Abadi"/>
          <w:b/>
          <w:bCs/>
          <w:spacing w:val="43"/>
          <w:sz w:val="21"/>
          <w:szCs w:val="21"/>
        </w:rPr>
        <w:t xml:space="preserve"> </w:t>
      </w:r>
      <w:r w:rsidRPr="00AD79C7">
        <w:rPr>
          <w:rFonts w:ascii="Abadi" w:hAnsi="Abadi"/>
          <w:b/>
          <w:bCs/>
          <w:sz w:val="21"/>
          <w:szCs w:val="21"/>
        </w:rPr>
        <w:t>de</w:t>
      </w:r>
      <w:r w:rsidRPr="00AD79C7">
        <w:rPr>
          <w:rFonts w:ascii="Abadi" w:hAnsi="Abadi"/>
          <w:b/>
          <w:bCs/>
          <w:spacing w:val="43"/>
          <w:sz w:val="21"/>
          <w:szCs w:val="21"/>
        </w:rPr>
        <w:t xml:space="preserve"> </w:t>
      </w:r>
      <w:r w:rsidRPr="00AD79C7">
        <w:rPr>
          <w:rFonts w:ascii="Abadi" w:hAnsi="Abadi"/>
          <w:b/>
          <w:bCs/>
          <w:sz w:val="21"/>
          <w:szCs w:val="21"/>
        </w:rPr>
        <w:t>fiscalización</w:t>
      </w:r>
      <w:r w:rsidRPr="00AD79C7">
        <w:rPr>
          <w:rFonts w:ascii="Abadi" w:hAnsi="Abadi"/>
          <w:b/>
          <w:bCs/>
          <w:spacing w:val="43"/>
          <w:sz w:val="21"/>
          <w:szCs w:val="21"/>
        </w:rPr>
        <w:t xml:space="preserve"> </w:t>
      </w:r>
      <w:r w:rsidRPr="00AD79C7">
        <w:rPr>
          <w:rFonts w:ascii="Abadi" w:hAnsi="Abadi"/>
          <w:b/>
          <w:bCs/>
          <w:sz w:val="21"/>
          <w:szCs w:val="21"/>
        </w:rPr>
        <w:t>será</w:t>
      </w:r>
      <w:r w:rsidRPr="00AD79C7">
        <w:rPr>
          <w:rFonts w:ascii="Abadi" w:hAnsi="Abadi"/>
          <w:b/>
          <w:bCs/>
          <w:spacing w:val="43"/>
          <w:sz w:val="21"/>
          <w:szCs w:val="21"/>
        </w:rPr>
        <w:t xml:space="preserve"> </w:t>
      </w:r>
      <w:r w:rsidRPr="00AD79C7">
        <w:rPr>
          <w:rFonts w:ascii="Abadi" w:hAnsi="Abadi"/>
          <w:b/>
          <w:bCs/>
          <w:sz w:val="21"/>
          <w:szCs w:val="21"/>
        </w:rPr>
        <w:t>el</w:t>
      </w:r>
      <w:r w:rsidRPr="00AD79C7">
        <w:rPr>
          <w:rFonts w:ascii="Abadi" w:hAnsi="Abadi"/>
          <w:b/>
          <w:bCs/>
          <w:spacing w:val="43"/>
          <w:sz w:val="21"/>
          <w:szCs w:val="21"/>
        </w:rPr>
        <w:t xml:space="preserve"> </w:t>
      </w:r>
      <w:r w:rsidRPr="00AD79C7">
        <w:rPr>
          <w:rFonts w:ascii="Abadi" w:hAnsi="Abadi"/>
          <w:b/>
          <w:bCs/>
          <w:sz w:val="21"/>
          <w:szCs w:val="21"/>
        </w:rPr>
        <w:t>Poder</w:t>
      </w:r>
      <w:r w:rsidRPr="00AD79C7">
        <w:rPr>
          <w:rFonts w:ascii="Abadi" w:hAnsi="Abadi"/>
          <w:b/>
          <w:bCs/>
          <w:spacing w:val="43"/>
          <w:sz w:val="21"/>
          <w:szCs w:val="21"/>
        </w:rPr>
        <w:t xml:space="preserve"> </w:t>
      </w:r>
      <w:r w:rsidRPr="00AD79C7">
        <w:rPr>
          <w:rFonts w:ascii="Abadi" w:hAnsi="Abadi"/>
          <w:b/>
          <w:bCs/>
          <w:sz w:val="21"/>
          <w:szCs w:val="21"/>
        </w:rPr>
        <w:t>Ejecutivo</w:t>
      </w:r>
      <w:r w:rsidRPr="00AD79C7">
        <w:rPr>
          <w:rFonts w:ascii="Abadi" w:hAnsi="Abadi"/>
          <w:b/>
          <w:bCs/>
          <w:spacing w:val="43"/>
          <w:sz w:val="21"/>
          <w:szCs w:val="21"/>
        </w:rPr>
        <w:t xml:space="preserve"> </w:t>
      </w:r>
      <w:r w:rsidRPr="00AD79C7">
        <w:rPr>
          <w:rFonts w:ascii="Abadi" w:hAnsi="Abadi"/>
          <w:b/>
          <w:bCs/>
          <w:sz w:val="21"/>
          <w:szCs w:val="21"/>
        </w:rPr>
        <w:t>del</w:t>
      </w:r>
      <w:r w:rsidRPr="00AD79C7">
        <w:rPr>
          <w:rFonts w:ascii="Abadi" w:hAnsi="Abadi"/>
          <w:b/>
          <w:bCs/>
          <w:spacing w:val="-2"/>
          <w:sz w:val="21"/>
          <w:szCs w:val="21"/>
        </w:rPr>
        <w:t xml:space="preserve"> </w:t>
      </w:r>
      <w:r w:rsidRPr="00AD79C7">
        <w:rPr>
          <w:rFonts w:ascii="Abadi" w:hAnsi="Abadi"/>
          <w:b/>
          <w:bCs/>
          <w:sz w:val="21"/>
          <w:szCs w:val="21"/>
        </w:rPr>
        <w:t>Estado</w:t>
      </w:r>
      <w:r w:rsidRPr="00AD79C7">
        <w:rPr>
          <w:rFonts w:ascii="Abadi" w:hAnsi="Abadi"/>
          <w:b/>
          <w:bCs/>
          <w:spacing w:val="62"/>
          <w:w w:val="150"/>
          <w:sz w:val="21"/>
          <w:szCs w:val="21"/>
        </w:rPr>
        <w:t xml:space="preserve"> </w:t>
      </w:r>
      <w:r w:rsidRPr="00AD79C7">
        <w:rPr>
          <w:rFonts w:ascii="Abadi" w:hAnsi="Abadi"/>
          <w:b/>
          <w:bCs/>
          <w:sz w:val="21"/>
          <w:szCs w:val="21"/>
        </w:rPr>
        <w:t>y</w:t>
      </w:r>
      <w:r w:rsidRPr="00AD79C7">
        <w:rPr>
          <w:rFonts w:ascii="Abadi" w:hAnsi="Abadi"/>
          <w:b/>
          <w:bCs/>
          <w:spacing w:val="62"/>
          <w:w w:val="150"/>
          <w:sz w:val="21"/>
          <w:szCs w:val="21"/>
        </w:rPr>
        <w:t xml:space="preserve"> </w:t>
      </w:r>
      <w:r w:rsidRPr="00AD79C7">
        <w:rPr>
          <w:rFonts w:ascii="Abadi" w:hAnsi="Abadi"/>
          <w:b/>
          <w:bCs/>
          <w:sz w:val="21"/>
          <w:szCs w:val="21"/>
        </w:rPr>
        <w:t>la</w:t>
      </w:r>
      <w:r w:rsidRPr="00AD79C7">
        <w:rPr>
          <w:rFonts w:ascii="Abadi" w:hAnsi="Abadi"/>
          <w:b/>
          <w:bCs/>
          <w:spacing w:val="62"/>
          <w:w w:val="150"/>
          <w:sz w:val="21"/>
          <w:szCs w:val="21"/>
        </w:rPr>
        <w:t xml:space="preserve"> </w:t>
      </w:r>
      <w:r w:rsidRPr="00AD79C7">
        <w:rPr>
          <w:rFonts w:ascii="Abadi" w:hAnsi="Abadi"/>
          <w:b/>
          <w:bCs/>
          <w:sz w:val="21"/>
          <w:szCs w:val="21"/>
        </w:rPr>
        <w:t>materia</w:t>
      </w:r>
      <w:r w:rsidRPr="00AD79C7">
        <w:rPr>
          <w:rFonts w:ascii="Abadi" w:hAnsi="Abadi"/>
          <w:b/>
          <w:bCs/>
          <w:spacing w:val="63"/>
          <w:w w:val="150"/>
          <w:sz w:val="21"/>
          <w:szCs w:val="21"/>
        </w:rPr>
        <w:t xml:space="preserve"> </w:t>
      </w:r>
      <w:r w:rsidRPr="00AD79C7">
        <w:rPr>
          <w:rFonts w:ascii="Abadi" w:hAnsi="Abadi"/>
          <w:b/>
          <w:bCs/>
          <w:sz w:val="21"/>
          <w:szCs w:val="21"/>
        </w:rPr>
        <w:t>los</w:t>
      </w:r>
      <w:r w:rsidRPr="00AD79C7">
        <w:rPr>
          <w:rFonts w:ascii="Abadi" w:hAnsi="Abadi"/>
          <w:b/>
          <w:bCs/>
          <w:spacing w:val="62"/>
          <w:w w:val="150"/>
          <w:sz w:val="21"/>
          <w:szCs w:val="21"/>
        </w:rPr>
        <w:t xml:space="preserve"> </w:t>
      </w:r>
      <w:r w:rsidRPr="00AD79C7">
        <w:rPr>
          <w:rFonts w:ascii="Abadi" w:hAnsi="Abadi"/>
          <w:b/>
          <w:bCs/>
          <w:sz w:val="21"/>
          <w:szCs w:val="21"/>
        </w:rPr>
        <w:t>proyectos</w:t>
      </w:r>
      <w:r w:rsidRPr="00AD79C7">
        <w:rPr>
          <w:rFonts w:ascii="Abadi" w:hAnsi="Abadi"/>
          <w:b/>
          <w:bCs/>
          <w:spacing w:val="62"/>
          <w:w w:val="150"/>
          <w:sz w:val="21"/>
          <w:szCs w:val="21"/>
        </w:rPr>
        <w:t xml:space="preserve"> </w:t>
      </w:r>
      <w:r w:rsidRPr="00AD79C7">
        <w:rPr>
          <w:rFonts w:ascii="Abadi" w:hAnsi="Abadi"/>
          <w:b/>
          <w:bCs/>
          <w:i/>
          <w:iCs/>
          <w:sz w:val="21"/>
          <w:szCs w:val="21"/>
        </w:rPr>
        <w:t>Q3189</w:t>
      </w:r>
      <w:r w:rsidRPr="00AD79C7">
        <w:rPr>
          <w:rFonts w:ascii="Abadi" w:hAnsi="Abadi"/>
          <w:b/>
          <w:bCs/>
          <w:i/>
          <w:iCs/>
          <w:spacing w:val="63"/>
          <w:w w:val="150"/>
          <w:sz w:val="21"/>
          <w:szCs w:val="21"/>
        </w:rPr>
        <w:t xml:space="preserve"> </w:t>
      </w:r>
      <w:r w:rsidRPr="00AD79C7">
        <w:rPr>
          <w:rFonts w:ascii="Abadi" w:hAnsi="Abadi"/>
          <w:b/>
          <w:bCs/>
          <w:i/>
          <w:iCs/>
          <w:sz w:val="21"/>
          <w:szCs w:val="21"/>
        </w:rPr>
        <w:t>Acciones</w:t>
      </w:r>
      <w:r w:rsidRPr="00AD79C7">
        <w:rPr>
          <w:rFonts w:ascii="Abadi" w:hAnsi="Abadi"/>
          <w:b/>
          <w:bCs/>
          <w:i/>
          <w:iCs/>
          <w:spacing w:val="62"/>
          <w:w w:val="150"/>
          <w:sz w:val="21"/>
          <w:szCs w:val="21"/>
        </w:rPr>
        <w:t xml:space="preserve"> </w:t>
      </w:r>
      <w:r w:rsidRPr="00AD79C7">
        <w:rPr>
          <w:rFonts w:ascii="Abadi" w:hAnsi="Abadi"/>
          <w:b/>
          <w:bCs/>
          <w:i/>
          <w:iCs/>
          <w:sz w:val="21"/>
          <w:szCs w:val="21"/>
        </w:rPr>
        <w:t>para</w:t>
      </w:r>
      <w:r w:rsidRPr="00AD79C7">
        <w:rPr>
          <w:rFonts w:ascii="Abadi" w:hAnsi="Abadi"/>
          <w:b/>
          <w:bCs/>
          <w:i/>
          <w:iCs/>
          <w:spacing w:val="61"/>
          <w:w w:val="150"/>
          <w:sz w:val="21"/>
          <w:szCs w:val="21"/>
        </w:rPr>
        <w:t xml:space="preserve"> </w:t>
      </w:r>
      <w:r w:rsidRPr="00AD79C7">
        <w:rPr>
          <w:rFonts w:ascii="Abadi" w:hAnsi="Abadi"/>
          <w:b/>
          <w:bCs/>
          <w:i/>
          <w:iCs/>
          <w:sz w:val="21"/>
          <w:szCs w:val="21"/>
        </w:rPr>
        <w:t>reducir</w:t>
      </w:r>
      <w:r w:rsidRPr="00AD79C7">
        <w:rPr>
          <w:rFonts w:ascii="Abadi" w:hAnsi="Abadi"/>
          <w:b/>
          <w:bCs/>
          <w:i/>
          <w:iCs/>
          <w:spacing w:val="62"/>
          <w:w w:val="150"/>
          <w:sz w:val="21"/>
          <w:szCs w:val="21"/>
        </w:rPr>
        <w:t xml:space="preserve"> </w:t>
      </w:r>
      <w:r w:rsidRPr="00AD79C7">
        <w:rPr>
          <w:rFonts w:ascii="Abadi" w:hAnsi="Abadi"/>
          <w:b/>
          <w:bCs/>
          <w:i/>
          <w:iCs/>
          <w:sz w:val="21"/>
          <w:szCs w:val="21"/>
        </w:rPr>
        <w:t>las</w:t>
      </w:r>
      <w:r w:rsidRPr="00AD79C7">
        <w:rPr>
          <w:rFonts w:ascii="Abadi" w:hAnsi="Abadi"/>
          <w:b/>
          <w:bCs/>
          <w:i/>
          <w:iCs/>
          <w:spacing w:val="-2"/>
          <w:sz w:val="21"/>
          <w:szCs w:val="21"/>
        </w:rPr>
        <w:t xml:space="preserve"> </w:t>
      </w:r>
      <w:r w:rsidRPr="00AD79C7">
        <w:rPr>
          <w:rFonts w:ascii="Abadi" w:hAnsi="Abadi"/>
          <w:b/>
          <w:bCs/>
          <w:i/>
          <w:iCs/>
          <w:sz w:val="21"/>
          <w:szCs w:val="21"/>
        </w:rPr>
        <w:t>manifestaciones</w:t>
      </w:r>
      <w:r w:rsidRPr="00AD79C7">
        <w:rPr>
          <w:rFonts w:ascii="Abadi" w:hAnsi="Abadi"/>
          <w:b/>
          <w:bCs/>
          <w:i/>
          <w:iCs/>
          <w:spacing w:val="6"/>
          <w:sz w:val="21"/>
          <w:szCs w:val="21"/>
        </w:rPr>
        <w:t xml:space="preserve"> </w:t>
      </w:r>
      <w:r w:rsidRPr="00AD79C7">
        <w:rPr>
          <w:rFonts w:ascii="Abadi" w:hAnsi="Abadi"/>
          <w:b/>
          <w:bCs/>
          <w:i/>
          <w:iCs/>
          <w:sz w:val="21"/>
          <w:szCs w:val="21"/>
        </w:rPr>
        <w:t>de</w:t>
      </w:r>
      <w:r w:rsidRPr="00AD79C7">
        <w:rPr>
          <w:rFonts w:ascii="Abadi" w:hAnsi="Abadi"/>
          <w:b/>
          <w:bCs/>
          <w:i/>
          <w:iCs/>
          <w:spacing w:val="6"/>
          <w:sz w:val="21"/>
          <w:szCs w:val="21"/>
        </w:rPr>
        <w:t xml:space="preserve"> </w:t>
      </w:r>
      <w:r w:rsidRPr="00AD79C7">
        <w:rPr>
          <w:rFonts w:ascii="Abadi" w:hAnsi="Abadi"/>
          <w:b/>
          <w:bCs/>
          <w:i/>
          <w:iCs/>
          <w:sz w:val="21"/>
          <w:szCs w:val="21"/>
        </w:rPr>
        <w:t>violencia</w:t>
      </w:r>
      <w:r w:rsidRPr="00AD79C7">
        <w:rPr>
          <w:rFonts w:ascii="Abadi" w:hAnsi="Abadi"/>
          <w:b/>
          <w:bCs/>
          <w:i/>
          <w:iCs/>
          <w:spacing w:val="6"/>
          <w:sz w:val="21"/>
          <w:szCs w:val="21"/>
        </w:rPr>
        <w:t xml:space="preserve"> </w:t>
      </w:r>
      <w:r w:rsidRPr="00AD79C7">
        <w:rPr>
          <w:rFonts w:ascii="Abadi" w:hAnsi="Abadi"/>
          <w:b/>
          <w:bCs/>
          <w:i/>
          <w:iCs/>
          <w:sz w:val="21"/>
          <w:szCs w:val="21"/>
        </w:rPr>
        <w:t>en</w:t>
      </w:r>
      <w:r w:rsidRPr="00AD79C7">
        <w:rPr>
          <w:rFonts w:ascii="Abadi" w:hAnsi="Abadi"/>
          <w:b/>
          <w:bCs/>
          <w:i/>
          <w:iCs/>
          <w:spacing w:val="6"/>
          <w:sz w:val="21"/>
          <w:szCs w:val="21"/>
        </w:rPr>
        <w:t xml:space="preserve"> </w:t>
      </w:r>
      <w:r w:rsidRPr="00AD79C7">
        <w:rPr>
          <w:rFonts w:ascii="Abadi" w:hAnsi="Abadi"/>
          <w:b/>
          <w:bCs/>
          <w:i/>
          <w:iCs/>
          <w:sz w:val="21"/>
          <w:szCs w:val="21"/>
        </w:rPr>
        <w:t>contra</w:t>
      </w:r>
      <w:r w:rsidRPr="00AD79C7">
        <w:rPr>
          <w:rFonts w:ascii="Abadi" w:hAnsi="Abadi"/>
          <w:b/>
          <w:bCs/>
          <w:i/>
          <w:iCs/>
          <w:spacing w:val="6"/>
          <w:sz w:val="21"/>
          <w:szCs w:val="21"/>
        </w:rPr>
        <w:t xml:space="preserve"> </w:t>
      </w:r>
      <w:r w:rsidRPr="00AD79C7">
        <w:rPr>
          <w:rFonts w:ascii="Abadi" w:hAnsi="Abadi"/>
          <w:b/>
          <w:bCs/>
          <w:i/>
          <w:iCs/>
          <w:sz w:val="21"/>
          <w:szCs w:val="21"/>
        </w:rPr>
        <w:t>de</w:t>
      </w:r>
      <w:r w:rsidRPr="00AD79C7">
        <w:rPr>
          <w:rFonts w:ascii="Abadi" w:hAnsi="Abadi"/>
          <w:b/>
          <w:bCs/>
          <w:i/>
          <w:iCs/>
          <w:spacing w:val="6"/>
          <w:sz w:val="21"/>
          <w:szCs w:val="21"/>
        </w:rPr>
        <w:t xml:space="preserve"> </w:t>
      </w:r>
      <w:r w:rsidRPr="00AD79C7">
        <w:rPr>
          <w:rFonts w:ascii="Abadi" w:hAnsi="Abadi"/>
          <w:b/>
          <w:bCs/>
          <w:i/>
          <w:iCs/>
          <w:sz w:val="21"/>
          <w:szCs w:val="21"/>
        </w:rPr>
        <w:t>niñas,</w:t>
      </w:r>
      <w:r w:rsidRPr="00AD79C7">
        <w:rPr>
          <w:rFonts w:ascii="Abadi" w:hAnsi="Abadi"/>
          <w:b/>
          <w:bCs/>
          <w:i/>
          <w:iCs/>
          <w:spacing w:val="5"/>
          <w:sz w:val="21"/>
          <w:szCs w:val="21"/>
        </w:rPr>
        <w:t xml:space="preserve"> </w:t>
      </w:r>
      <w:r w:rsidRPr="00AD79C7">
        <w:rPr>
          <w:rFonts w:ascii="Abadi" w:hAnsi="Abadi"/>
          <w:b/>
          <w:bCs/>
          <w:i/>
          <w:iCs/>
          <w:sz w:val="21"/>
          <w:szCs w:val="21"/>
        </w:rPr>
        <w:t>adolescentes</w:t>
      </w:r>
      <w:r w:rsidRPr="00AD79C7">
        <w:rPr>
          <w:rFonts w:ascii="Abadi" w:hAnsi="Abadi"/>
          <w:b/>
          <w:bCs/>
          <w:i/>
          <w:iCs/>
          <w:spacing w:val="5"/>
          <w:sz w:val="21"/>
          <w:szCs w:val="21"/>
        </w:rPr>
        <w:t xml:space="preserve"> </w:t>
      </w:r>
      <w:r w:rsidRPr="00AD79C7">
        <w:rPr>
          <w:rFonts w:ascii="Abadi" w:hAnsi="Abadi"/>
          <w:b/>
          <w:bCs/>
          <w:i/>
          <w:iCs/>
          <w:sz w:val="21"/>
          <w:szCs w:val="21"/>
        </w:rPr>
        <w:t>y</w:t>
      </w:r>
      <w:r w:rsidRPr="00AD79C7">
        <w:rPr>
          <w:rFonts w:ascii="Abadi" w:hAnsi="Abadi"/>
          <w:b/>
          <w:bCs/>
          <w:i/>
          <w:iCs/>
          <w:spacing w:val="6"/>
          <w:sz w:val="21"/>
          <w:szCs w:val="21"/>
        </w:rPr>
        <w:t xml:space="preserve"> </w:t>
      </w:r>
      <w:r w:rsidRPr="00AD79C7">
        <w:rPr>
          <w:rFonts w:ascii="Abadi" w:hAnsi="Abadi"/>
          <w:b/>
          <w:bCs/>
          <w:i/>
          <w:iCs/>
          <w:sz w:val="21"/>
          <w:szCs w:val="21"/>
        </w:rPr>
        <w:t>mujeres</w:t>
      </w:r>
      <w:r w:rsidRPr="00AD79C7">
        <w:rPr>
          <w:rFonts w:ascii="Abadi" w:hAnsi="Abadi"/>
          <w:b/>
          <w:bCs/>
          <w:i/>
          <w:iCs/>
          <w:spacing w:val="6"/>
          <w:sz w:val="21"/>
          <w:szCs w:val="21"/>
        </w:rPr>
        <w:t xml:space="preserve"> </w:t>
      </w:r>
      <w:r w:rsidRPr="00AD79C7">
        <w:rPr>
          <w:rFonts w:ascii="Abadi" w:hAnsi="Abadi"/>
          <w:b/>
          <w:bCs/>
          <w:i/>
          <w:iCs/>
          <w:sz w:val="21"/>
          <w:szCs w:val="21"/>
        </w:rPr>
        <w:t>y</w:t>
      </w:r>
      <w:r w:rsidRPr="00AD79C7">
        <w:rPr>
          <w:rFonts w:ascii="Abadi" w:hAnsi="Abadi"/>
          <w:b/>
          <w:bCs/>
          <w:i/>
          <w:iCs/>
          <w:spacing w:val="-2"/>
          <w:sz w:val="21"/>
          <w:szCs w:val="21"/>
        </w:rPr>
        <w:t xml:space="preserve"> </w:t>
      </w:r>
      <w:r w:rsidRPr="00AD79C7">
        <w:rPr>
          <w:rFonts w:ascii="Abadi" w:hAnsi="Abadi"/>
          <w:b/>
          <w:bCs/>
          <w:i/>
          <w:iCs/>
          <w:sz w:val="21"/>
          <w:szCs w:val="21"/>
        </w:rPr>
        <w:t>Q3128</w:t>
      </w:r>
      <w:r w:rsidRPr="00AD79C7">
        <w:rPr>
          <w:rFonts w:ascii="Abadi" w:hAnsi="Abadi"/>
          <w:b/>
          <w:bCs/>
          <w:i/>
          <w:iCs/>
          <w:spacing w:val="-1"/>
          <w:sz w:val="21"/>
          <w:szCs w:val="21"/>
        </w:rPr>
        <w:t xml:space="preserve"> </w:t>
      </w:r>
      <w:r w:rsidRPr="00AD79C7">
        <w:rPr>
          <w:rFonts w:ascii="Abadi" w:hAnsi="Abadi"/>
          <w:b/>
          <w:bCs/>
          <w:i/>
          <w:iCs/>
          <w:sz w:val="21"/>
          <w:szCs w:val="21"/>
        </w:rPr>
        <w:t>Refugio</w:t>
      </w:r>
      <w:r w:rsidRPr="00AD79C7">
        <w:rPr>
          <w:rFonts w:ascii="Abadi" w:hAnsi="Abadi"/>
          <w:b/>
          <w:bCs/>
          <w:i/>
          <w:iCs/>
          <w:spacing w:val="-1"/>
          <w:sz w:val="21"/>
          <w:szCs w:val="21"/>
        </w:rPr>
        <w:t xml:space="preserve"> </w:t>
      </w:r>
      <w:r w:rsidRPr="00AD79C7">
        <w:rPr>
          <w:rFonts w:ascii="Abadi" w:hAnsi="Abadi"/>
          <w:b/>
          <w:bCs/>
          <w:i/>
          <w:iCs/>
          <w:sz w:val="21"/>
          <w:szCs w:val="21"/>
        </w:rPr>
        <w:t>para</w:t>
      </w:r>
      <w:r w:rsidRPr="00AD79C7">
        <w:rPr>
          <w:rFonts w:ascii="Abadi" w:hAnsi="Abadi"/>
          <w:b/>
          <w:bCs/>
          <w:i/>
          <w:iCs/>
          <w:spacing w:val="-1"/>
          <w:sz w:val="21"/>
          <w:szCs w:val="21"/>
        </w:rPr>
        <w:t xml:space="preserve"> </w:t>
      </w:r>
      <w:r w:rsidRPr="00AD79C7">
        <w:rPr>
          <w:rFonts w:ascii="Abadi" w:hAnsi="Abadi"/>
          <w:b/>
          <w:bCs/>
          <w:i/>
          <w:iCs/>
          <w:sz w:val="21"/>
          <w:szCs w:val="21"/>
        </w:rPr>
        <w:t>mujeres,</w:t>
      </w:r>
      <w:r w:rsidRPr="00AD79C7">
        <w:rPr>
          <w:rFonts w:ascii="Abadi" w:hAnsi="Abadi"/>
          <w:b/>
          <w:bCs/>
          <w:i/>
          <w:iCs/>
          <w:spacing w:val="-1"/>
          <w:sz w:val="21"/>
          <w:szCs w:val="21"/>
        </w:rPr>
        <w:t xml:space="preserve"> </w:t>
      </w:r>
      <w:r w:rsidRPr="00AD79C7">
        <w:rPr>
          <w:rFonts w:ascii="Abadi" w:hAnsi="Abadi"/>
          <w:b/>
          <w:bCs/>
          <w:i/>
          <w:iCs/>
          <w:sz w:val="21"/>
          <w:szCs w:val="21"/>
        </w:rPr>
        <w:t>sus</w:t>
      </w:r>
      <w:r w:rsidRPr="00AD79C7">
        <w:rPr>
          <w:rFonts w:ascii="Abadi" w:hAnsi="Abadi"/>
          <w:b/>
          <w:bCs/>
          <w:i/>
          <w:iCs/>
          <w:spacing w:val="-1"/>
          <w:sz w:val="21"/>
          <w:szCs w:val="21"/>
        </w:rPr>
        <w:t xml:space="preserve"> </w:t>
      </w:r>
      <w:r w:rsidRPr="00AD79C7">
        <w:rPr>
          <w:rFonts w:ascii="Abadi" w:hAnsi="Abadi"/>
          <w:b/>
          <w:bCs/>
          <w:i/>
          <w:iCs/>
          <w:sz w:val="21"/>
          <w:szCs w:val="21"/>
        </w:rPr>
        <w:t>hijas</w:t>
      </w:r>
      <w:r w:rsidRPr="00AD79C7">
        <w:rPr>
          <w:rFonts w:ascii="Abadi" w:hAnsi="Abadi"/>
          <w:b/>
          <w:bCs/>
          <w:i/>
          <w:iCs/>
          <w:spacing w:val="-1"/>
          <w:sz w:val="21"/>
          <w:szCs w:val="21"/>
        </w:rPr>
        <w:t xml:space="preserve"> </w:t>
      </w:r>
      <w:r w:rsidRPr="00AD79C7">
        <w:rPr>
          <w:rFonts w:ascii="Abadi" w:hAnsi="Abadi"/>
          <w:b/>
          <w:bCs/>
          <w:i/>
          <w:iCs/>
          <w:sz w:val="21"/>
          <w:szCs w:val="21"/>
        </w:rPr>
        <w:t>e</w:t>
      </w:r>
      <w:r w:rsidRPr="00AD79C7">
        <w:rPr>
          <w:rFonts w:ascii="Abadi" w:hAnsi="Abadi"/>
          <w:b/>
          <w:bCs/>
          <w:i/>
          <w:iCs/>
          <w:spacing w:val="-1"/>
          <w:sz w:val="21"/>
          <w:szCs w:val="21"/>
        </w:rPr>
        <w:t xml:space="preserve"> </w:t>
      </w:r>
      <w:r w:rsidRPr="00AD79C7">
        <w:rPr>
          <w:rFonts w:ascii="Abadi" w:hAnsi="Abadi"/>
          <w:b/>
          <w:bCs/>
          <w:i/>
          <w:iCs/>
          <w:sz w:val="21"/>
          <w:szCs w:val="21"/>
        </w:rPr>
        <w:t>hijos</w:t>
      </w:r>
      <w:r w:rsidRPr="00AD79C7">
        <w:rPr>
          <w:rFonts w:ascii="Abadi" w:hAnsi="Abadi"/>
          <w:b/>
          <w:bCs/>
          <w:i/>
          <w:iCs/>
          <w:spacing w:val="-1"/>
          <w:sz w:val="21"/>
          <w:szCs w:val="21"/>
        </w:rPr>
        <w:t xml:space="preserve"> </w:t>
      </w:r>
      <w:r w:rsidRPr="00AD79C7">
        <w:rPr>
          <w:rFonts w:ascii="Abadi" w:hAnsi="Abadi"/>
          <w:b/>
          <w:bCs/>
          <w:i/>
          <w:iCs/>
          <w:sz w:val="21"/>
          <w:szCs w:val="21"/>
        </w:rPr>
        <w:t>en</w:t>
      </w:r>
      <w:r w:rsidRPr="00AD79C7">
        <w:rPr>
          <w:rFonts w:ascii="Abadi" w:hAnsi="Abadi"/>
          <w:b/>
          <w:bCs/>
          <w:i/>
          <w:iCs/>
          <w:spacing w:val="-1"/>
          <w:sz w:val="21"/>
          <w:szCs w:val="21"/>
        </w:rPr>
        <w:t xml:space="preserve"> </w:t>
      </w:r>
      <w:r w:rsidRPr="00AD79C7">
        <w:rPr>
          <w:rFonts w:ascii="Abadi" w:hAnsi="Abadi"/>
          <w:b/>
          <w:bCs/>
          <w:i/>
          <w:iCs/>
          <w:sz w:val="21"/>
          <w:szCs w:val="21"/>
        </w:rPr>
        <w:t>situación</w:t>
      </w:r>
      <w:r w:rsidRPr="00AD79C7">
        <w:rPr>
          <w:rFonts w:ascii="Abadi" w:hAnsi="Abadi"/>
          <w:b/>
          <w:bCs/>
          <w:i/>
          <w:iCs/>
          <w:spacing w:val="-1"/>
          <w:sz w:val="21"/>
          <w:szCs w:val="21"/>
        </w:rPr>
        <w:t xml:space="preserve"> </w:t>
      </w:r>
      <w:r w:rsidRPr="00AD79C7">
        <w:rPr>
          <w:rFonts w:ascii="Abadi" w:hAnsi="Abadi"/>
          <w:b/>
          <w:bCs/>
          <w:i/>
          <w:iCs/>
          <w:sz w:val="21"/>
          <w:szCs w:val="21"/>
        </w:rPr>
        <w:t>de</w:t>
      </w:r>
      <w:r w:rsidRPr="00AD79C7">
        <w:rPr>
          <w:rFonts w:ascii="Abadi" w:hAnsi="Abadi"/>
          <w:b/>
          <w:bCs/>
          <w:i/>
          <w:iCs/>
          <w:spacing w:val="-1"/>
          <w:sz w:val="21"/>
          <w:szCs w:val="21"/>
        </w:rPr>
        <w:t xml:space="preserve"> </w:t>
      </w:r>
      <w:r w:rsidRPr="00AD79C7">
        <w:rPr>
          <w:rFonts w:ascii="Abadi" w:hAnsi="Abadi"/>
          <w:b/>
          <w:bCs/>
          <w:i/>
          <w:iCs/>
          <w:sz w:val="21"/>
          <w:szCs w:val="21"/>
        </w:rPr>
        <w:t>violencia</w:t>
      </w:r>
      <w:r w:rsidRPr="00AD79C7">
        <w:rPr>
          <w:rFonts w:ascii="Abadi" w:hAnsi="Abadi"/>
          <w:b/>
          <w:bCs/>
          <w:sz w:val="21"/>
          <w:szCs w:val="21"/>
        </w:rPr>
        <w:t>.</w:t>
      </w:r>
    </w:p>
    <w:p w14:paraId="0AAF5FF3" w14:textId="77777777" w:rsidR="00044C38" w:rsidRPr="00044C38" w:rsidRDefault="00044C38" w:rsidP="006B00FD">
      <w:pPr>
        <w:pStyle w:val="Prrafodelista"/>
        <w:ind w:right="566"/>
        <w:rPr>
          <w:rFonts w:ascii="Abadi" w:hAnsi="Abadi"/>
          <w:b/>
          <w:bCs/>
          <w:sz w:val="21"/>
          <w:szCs w:val="21"/>
        </w:rPr>
      </w:pPr>
    </w:p>
    <w:p w14:paraId="31F47814" w14:textId="273C0971" w:rsidR="00044C38" w:rsidRDefault="00044C38"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2"/>
          <w:sz w:val="21"/>
          <w:szCs w:val="21"/>
        </w:rPr>
        <w:t xml:space="preserve"> </w:t>
      </w:r>
      <w:r w:rsidRPr="00AD79C7">
        <w:rPr>
          <w:rFonts w:ascii="Abadi" w:hAnsi="Abadi"/>
          <w:b/>
          <w:bCs/>
          <w:sz w:val="21"/>
          <w:szCs w:val="21"/>
        </w:rPr>
        <w:t>y,</w:t>
      </w:r>
      <w:r w:rsidRPr="00AD79C7">
        <w:rPr>
          <w:rFonts w:ascii="Abadi" w:hAnsi="Abadi"/>
          <w:b/>
          <w:bCs/>
          <w:spacing w:val="12"/>
          <w:sz w:val="21"/>
          <w:szCs w:val="21"/>
        </w:rPr>
        <w:t xml:space="preserve"> </w:t>
      </w:r>
      <w:r w:rsidRPr="00AD79C7">
        <w:rPr>
          <w:rFonts w:ascii="Abadi" w:hAnsi="Abadi"/>
          <w:b/>
          <w:bCs/>
          <w:sz w:val="21"/>
          <w:szCs w:val="21"/>
        </w:rPr>
        <w:t>en</w:t>
      </w:r>
      <w:r w:rsidRPr="00AD79C7">
        <w:rPr>
          <w:rFonts w:ascii="Abadi" w:hAnsi="Abadi"/>
          <w:b/>
          <w:bCs/>
          <w:spacing w:val="12"/>
          <w:sz w:val="21"/>
          <w:szCs w:val="21"/>
        </w:rPr>
        <w:t xml:space="preserve"> </w:t>
      </w:r>
      <w:r w:rsidRPr="00AD79C7">
        <w:rPr>
          <w:rFonts w:ascii="Abadi" w:hAnsi="Abadi"/>
          <w:b/>
          <w:bCs/>
          <w:sz w:val="21"/>
          <w:szCs w:val="21"/>
        </w:rPr>
        <w:t>su</w:t>
      </w:r>
      <w:r w:rsidRPr="00AD79C7">
        <w:rPr>
          <w:rFonts w:ascii="Abadi" w:hAnsi="Abadi"/>
          <w:b/>
          <w:bCs/>
          <w:spacing w:val="12"/>
          <w:sz w:val="21"/>
          <w:szCs w:val="21"/>
        </w:rPr>
        <w:t xml:space="preserve"> </w:t>
      </w:r>
      <w:r w:rsidRPr="00AD79C7">
        <w:rPr>
          <w:rFonts w:ascii="Abadi" w:hAnsi="Abadi"/>
          <w:b/>
          <w:bCs/>
          <w:sz w:val="21"/>
          <w:szCs w:val="21"/>
        </w:rPr>
        <w:t>caso,</w:t>
      </w:r>
      <w:r w:rsidRPr="00AD79C7">
        <w:rPr>
          <w:rFonts w:ascii="Abadi" w:hAnsi="Abadi"/>
          <w:b/>
          <w:bCs/>
          <w:spacing w:val="12"/>
          <w:sz w:val="21"/>
          <w:szCs w:val="21"/>
        </w:rPr>
        <w:t xml:space="preserve"> </w:t>
      </w:r>
      <w:r w:rsidRPr="00AD79C7">
        <w:rPr>
          <w:rFonts w:ascii="Abadi" w:hAnsi="Abadi"/>
          <w:b/>
          <w:bCs/>
          <w:sz w:val="21"/>
          <w:szCs w:val="21"/>
        </w:rPr>
        <w:t>aprobación</w:t>
      </w:r>
      <w:r w:rsidRPr="00AD79C7">
        <w:rPr>
          <w:rFonts w:ascii="Abadi" w:hAnsi="Abadi"/>
          <w:b/>
          <w:bCs/>
          <w:spacing w:val="12"/>
          <w:sz w:val="21"/>
          <w:szCs w:val="21"/>
        </w:rPr>
        <w:t xml:space="preserve"> </w:t>
      </w:r>
      <w:r w:rsidRPr="00AD79C7">
        <w:rPr>
          <w:rFonts w:ascii="Abadi" w:hAnsi="Abadi"/>
          <w:b/>
          <w:bCs/>
          <w:sz w:val="21"/>
          <w:szCs w:val="21"/>
        </w:rPr>
        <w:t>del</w:t>
      </w:r>
      <w:r w:rsidRPr="00AD79C7">
        <w:rPr>
          <w:rFonts w:ascii="Abadi" w:hAnsi="Abadi"/>
          <w:b/>
          <w:bCs/>
          <w:spacing w:val="12"/>
          <w:sz w:val="21"/>
          <w:szCs w:val="21"/>
        </w:rPr>
        <w:t xml:space="preserve"> </w:t>
      </w:r>
      <w:r w:rsidRPr="00AD79C7">
        <w:rPr>
          <w:rFonts w:ascii="Abadi" w:hAnsi="Abadi"/>
          <w:b/>
          <w:bCs/>
          <w:sz w:val="21"/>
          <w:szCs w:val="21"/>
        </w:rPr>
        <w:t>dictamen</w:t>
      </w:r>
      <w:r w:rsidRPr="00AD79C7">
        <w:rPr>
          <w:rFonts w:ascii="Abadi" w:hAnsi="Abadi"/>
          <w:b/>
          <w:bCs/>
          <w:spacing w:val="12"/>
          <w:sz w:val="21"/>
          <w:szCs w:val="21"/>
        </w:rPr>
        <w:t xml:space="preserve"> </w:t>
      </w:r>
      <w:r w:rsidRPr="00AD79C7">
        <w:rPr>
          <w:rFonts w:ascii="Abadi" w:hAnsi="Abadi"/>
          <w:b/>
          <w:bCs/>
          <w:sz w:val="21"/>
          <w:szCs w:val="21"/>
        </w:rPr>
        <w:t>suscrito</w:t>
      </w:r>
      <w:r w:rsidRPr="00AD79C7">
        <w:rPr>
          <w:rFonts w:ascii="Abadi" w:hAnsi="Abadi"/>
          <w:b/>
          <w:bCs/>
          <w:spacing w:val="13"/>
          <w:sz w:val="21"/>
          <w:szCs w:val="21"/>
        </w:rPr>
        <w:t xml:space="preserve"> </w:t>
      </w:r>
      <w:r w:rsidRPr="00AD79C7">
        <w:rPr>
          <w:rFonts w:ascii="Abadi" w:hAnsi="Abadi"/>
          <w:b/>
          <w:bCs/>
          <w:sz w:val="21"/>
          <w:szCs w:val="21"/>
        </w:rPr>
        <w:t>por</w:t>
      </w:r>
      <w:r w:rsidRPr="00AD79C7">
        <w:rPr>
          <w:rFonts w:ascii="Abadi" w:hAnsi="Abadi"/>
          <w:b/>
          <w:bCs/>
          <w:spacing w:val="12"/>
          <w:sz w:val="21"/>
          <w:szCs w:val="21"/>
        </w:rPr>
        <w:t xml:space="preserve"> </w:t>
      </w:r>
      <w:r w:rsidRPr="00AD79C7">
        <w:rPr>
          <w:rFonts w:ascii="Abadi" w:hAnsi="Abadi"/>
          <w:b/>
          <w:bCs/>
          <w:sz w:val="21"/>
          <w:szCs w:val="21"/>
        </w:rPr>
        <w:t>la</w:t>
      </w:r>
      <w:r w:rsidRPr="00AD79C7">
        <w:rPr>
          <w:rFonts w:ascii="Abadi" w:hAnsi="Abadi"/>
          <w:b/>
          <w:bCs/>
          <w:spacing w:val="12"/>
          <w:sz w:val="21"/>
          <w:szCs w:val="21"/>
        </w:rPr>
        <w:t xml:space="preserve"> </w:t>
      </w:r>
      <w:r w:rsidRPr="00AD79C7">
        <w:rPr>
          <w:rFonts w:ascii="Abadi" w:hAnsi="Abadi"/>
          <w:b/>
          <w:bCs/>
          <w:sz w:val="21"/>
          <w:szCs w:val="21"/>
        </w:rPr>
        <w:t>Comisión de</w:t>
      </w:r>
      <w:r w:rsidRPr="00AD79C7">
        <w:rPr>
          <w:rFonts w:ascii="Abadi" w:hAnsi="Abadi"/>
          <w:b/>
          <w:bCs/>
          <w:spacing w:val="80"/>
          <w:sz w:val="21"/>
          <w:szCs w:val="21"/>
        </w:rPr>
        <w:t xml:space="preserve"> </w:t>
      </w:r>
      <w:r w:rsidRPr="00AD79C7">
        <w:rPr>
          <w:rFonts w:ascii="Abadi" w:hAnsi="Abadi"/>
          <w:b/>
          <w:bCs/>
          <w:sz w:val="21"/>
          <w:szCs w:val="21"/>
        </w:rPr>
        <w:t>Hacienda</w:t>
      </w:r>
      <w:r w:rsidRPr="00AD79C7">
        <w:rPr>
          <w:rFonts w:ascii="Abadi" w:hAnsi="Abadi"/>
          <w:b/>
          <w:bCs/>
          <w:spacing w:val="80"/>
          <w:sz w:val="21"/>
          <w:szCs w:val="21"/>
        </w:rPr>
        <w:t xml:space="preserve"> </w:t>
      </w:r>
      <w:r w:rsidRPr="00AD79C7">
        <w:rPr>
          <w:rFonts w:ascii="Abadi" w:hAnsi="Abadi"/>
          <w:b/>
          <w:bCs/>
          <w:sz w:val="21"/>
          <w:szCs w:val="21"/>
        </w:rPr>
        <w:t>y</w:t>
      </w:r>
      <w:r w:rsidRPr="00AD79C7">
        <w:rPr>
          <w:rFonts w:ascii="Abadi" w:hAnsi="Abadi"/>
          <w:b/>
          <w:bCs/>
          <w:spacing w:val="80"/>
          <w:sz w:val="21"/>
          <w:szCs w:val="21"/>
        </w:rPr>
        <w:t xml:space="preserve"> </w:t>
      </w:r>
      <w:r w:rsidRPr="00AD79C7">
        <w:rPr>
          <w:rFonts w:ascii="Abadi" w:hAnsi="Abadi"/>
          <w:b/>
          <w:bCs/>
          <w:sz w:val="21"/>
          <w:szCs w:val="21"/>
        </w:rPr>
        <w:t>Fiscalización</w:t>
      </w:r>
      <w:r w:rsidRPr="00AD79C7">
        <w:rPr>
          <w:rFonts w:ascii="Abadi" w:hAnsi="Abadi"/>
          <w:b/>
          <w:bCs/>
          <w:spacing w:val="80"/>
          <w:sz w:val="21"/>
          <w:szCs w:val="21"/>
        </w:rPr>
        <w:t xml:space="preserve"> </w:t>
      </w:r>
      <w:r w:rsidRPr="00AD79C7">
        <w:rPr>
          <w:rFonts w:ascii="Abadi" w:hAnsi="Abadi"/>
          <w:b/>
          <w:bCs/>
          <w:sz w:val="21"/>
          <w:szCs w:val="21"/>
        </w:rPr>
        <w:t>relativo</w:t>
      </w:r>
      <w:r w:rsidRPr="00AD79C7">
        <w:rPr>
          <w:rFonts w:ascii="Abadi" w:hAnsi="Abadi"/>
          <w:b/>
          <w:bCs/>
          <w:spacing w:val="80"/>
          <w:sz w:val="21"/>
          <w:szCs w:val="21"/>
        </w:rPr>
        <w:t xml:space="preserve"> </w:t>
      </w:r>
      <w:r w:rsidRPr="00AD79C7">
        <w:rPr>
          <w:rFonts w:ascii="Abadi" w:hAnsi="Abadi"/>
          <w:b/>
          <w:bCs/>
          <w:sz w:val="21"/>
          <w:szCs w:val="21"/>
        </w:rPr>
        <w:t>a</w:t>
      </w:r>
      <w:r w:rsidRPr="00AD79C7">
        <w:rPr>
          <w:rFonts w:ascii="Abadi" w:hAnsi="Abadi"/>
          <w:b/>
          <w:bCs/>
          <w:spacing w:val="80"/>
          <w:sz w:val="21"/>
          <w:szCs w:val="21"/>
        </w:rPr>
        <w:t xml:space="preserve"> </w:t>
      </w:r>
      <w:r w:rsidRPr="00AD79C7">
        <w:rPr>
          <w:rFonts w:ascii="Abadi" w:hAnsi="Abadi"/>
          <w:b/>
          <w:bCs/>
          <w:sz w:val="21"/>
          <w:szCs w:val="21"/>
        </w:rPr>
        <w:t>la</w:t>
      </w:r>
      <w:r w:rsidRPr="00AD79C7">
        <w:rPr>
          <w:rFonts w:ascii="Abadi" w:hAnsi="Abadi"/>
          <w:b/>
          <w:bCs/>
          <w:spacing w:val="80"/>
          <w:sz w:val="21"/>
          <w:szCs w:val="21"/>
        </w:rPr>
        <w:t xml:space="preserve"> </w:t>
      </w:r>
      <w:r w:rsidRPr="00AD79C7">
        <w:rPr>
          <w:rFonts w:ascii="Abadi" w:hAnsi="Abadi"/>
          <w:b/>
          <w:bCs/>
          <w:sz w:val="21"/>
          <w:szCs w:val="21"/>
        </w:rPr>
        <w:t>propuesta</w:t>
      </w:r>
      <w:r w:rsidRPr="00AD79C7">
        <w:rPr>
          <w:rFonts w:ascii="Abadi" w:hAnsi="Abadi"/>
          <w:b/>
          <w:bCs/>
          <w:spacing w:val="80"/>
          <w:sz w:val="21"/>
          <w:szCs w:val="21"/>
        </w:rPr>
        <w:t xml:space="preserve"> </w:t>
      </w:r>
      <w:r w:rsidRPr="00AD79C7">
        <w:rPr>
          <w:rFonts w:ascii="Abadi" w:hAnsi="Abadi"/>
          <w:b/>
          <w:bCs/>
          <w:sz w:val="21"/>
          <w:szCs w:val="21"/>
        </w:rPr>
        <w:t>formulada</w:t>
      </w:r>
      <w:r w:rsidRPr="00AD79C7">
        <w:rPr>
          <w:rFonts w:ascii="Abadi" w:hAnsi="Abadi"/>
          <w:b/>
          <w:bCs/>
          <w:spacing w:val="80"/>
          <w:sz w:val="21"/>
          <w:szCs w:val="21"/>
        </w:rPr>
        <w:t xml:space="preserve"> </w:t>
      </w:r>
      <w:r w:rsidRPr="00AD79C7">
        <w:rPr>
          <w:rFonts w:ascii="Abadi" w:hAnsi="Abadi"/>
          <w:b/>
          <w:bCs/>
          <w:sz w:val="21"/>
          <w:szCs w:val="21"/>
        </w:rPr>
        <w:t>por</w:t>
      </w:r>
      <w:r w:rsidRPr="00AD79C7">
        <w:rPr>
          <w:rFonts w:ascii="Abadi" w:hAnsi="Abadi"/>
          <w:b/>
          <w:bCs/>
          <w:spacing w:val="80"/>
          <w:sz w:val="21"/>
          <w:szCs w:val="21"/>
        </w:rPr>
        <w:t xml:space="preserve"> </w:t>
      </w:r>
      <w:r w:rsidRPr="00AD79C7">
        <w:rPr>
          <w:rFonts w:ascii="Abadi" w:hAnsi="Abadi"/>
          <w:b/>
          <w:bCs/>
          <w:sz w:val="21"/>
          <w:szCs w:val="21"/>
        </w:rPr>
        <w:t>el ayuntamiento</w:t>
      </w:r>
      <w:r w:rsidRPr="00AD79C7">
        <w:rPr>
          <w:rFonts w:ascii="Abadi" w:hAnsi="Abadi"/>
          <w:b/>
          <w:bCs/>
          <w:spacing w:val="23"/>
          <w:sz w:val="21"/>
          <w:szCs w:val="21"/>
        </w:rPr>
        <w:t xml:space="preserve"> </w:t>
      </w:r>
      <w:r w:rsidRPr="00AD79C7">
        <w:rPr>
          <w:rFonts w:ascii="Abadi" w:hAnsi="Abadi"/>
          <w:b/>
          <w:bCs/>
          <w:sz w:val="21"/>
          <w:szCs w:val="21"/>
        </w:rPr>
        <w:t>de</w:t>
      </w:r>
      <w:r w:rsidRPr="00AD79C7">
        <w:rPr>
          <w:rFonts w:ascii="Abadi" w:hAnsi="Abadi"/>
          <w:b/>
          <w:bCs/>
          <w:spacing w:val="23"/>
          <w:sz w:val="21"/>
          <w:szCs w:val="21"/>
        </w:rPr>
        <w:t xml:space="preserve"> </w:t>
      </w:r>
      <w:r w:rsidRPr="00AD79C7">
        <w:rPr>
          <w:rFonts w:ascii="Abadi" w:hAnsi="Abadi"/>
          <w:b/>
          <w:bCs/>
          <w:sz w:val="21"/>
          <w:szCs w:val="21"/>
        </w:rPr>
        <w:t>San</w:t>
      </w:r>
      <w:r w:rsidRPr="00AD79C7">
        <w:rPr>
          <w:rFonts w:ascii="Abadi" w:hAnsi="Abadi"/>
          <w:b/>
          <w:bCs/>
          <w:spacing w:val="23"/>
          <w:sz w:val="21"/>
          <w:szCs w:val="21"/>
        </w:rPr>
        <w:t xml:space="preserve"> </w:t>
      </w:r>
      <w:r w:rsidRPr="00AD79C7">
        <w:rPr>
          <w:rFonts w:ascii="Abadi" w:hAnsi="Abadi"/>
          <w:b/>
          <w:bCs/>
          <w:sz w:val="21"/>
          <w:szCs w:val="21"/>
        </w:rPr>
        <w:t>José</w:t>
      </w:r>
      <w:r w:rsidRPr="00AD79C7">
        <w:rPr>
          <w:rFonts w:ascii="Abadi" w:hAnsi="Abadi"/>
          <w:b/>
          <w:bCs/>
          <w:spacing w:val="23"/>
          <w:sz w:val="21"/>
          <w:szCs w:val="21"/>
        </w:rPr>
        <w:t xml:space="preserve"> </w:t>
      </w:r>
      <w:r w:rsidRPr="00AD79C7">
        <w:rPr>
          <w:rFonts w:ascii="Abadi" w:hAnsi="Abadi"/>
          <w:b/>
          <w:bCs/>
          <w:sz w:val="21"/>
          <w:szCs w:val="21"/>
        </w:rPr>
        <w:t>Iturbide,</w:t>
      </w:r>
      <w:r w:rsidRPr="00AD79C7">
        <w:rPr>
          <w:rFonts w:ascii="Abadi" w:hAnsi="Abadi"/>
          <w:b/>
          <w:bCs/>
          <w:spacing w:val="23"/>
          <w:sz w:val="21"/>
          <w:szCs w:val="21"/>
        </w:rPr>
        <w:t xml:space="preserve"> </w:t>
      </w:r>
      <w:r w:rsidRPr="00AD79C7">
        <w:rPr>
          <w:rFonts w:ascii="Abadi" w:hAnsi="Abadi"/>
          <w:b/>
          <w:bCs/>
          <w:sz w:val="21"/>
          <w:szCs w:val="21"/>
        </w:rPr>
        <w:t>Gto.,</w:t>
      </w:r>
      <w:r w:rsidRPr="00AD79C7">
        <w:rPr>
          <w:rFonts w:ascii="Abadi" w:hAnsi="Abadi"/>
          <w:b/>
          <w:bCs/>
          <w:spacing w:val="22"/>
          <w:sz w:val="21"/>
          <w:szCs w:val="21"/>
        </w:rPr>
        <w:t xml:space="preserve"> </w:t>
      </w:r>
      <w:r w:rsidRPr="00AD79C7">
        <w:rPr>
          <w:rFonts w:ascii="Abadi" w:hAnsi="Abadi"/>
          <w:b/>
          <w:bCs/>
          <w:sz w:val="21"/>
          <w:szCs w:val="21"/>
        </w:rPr>
        <w:t>a</w:t>
      </w:r>
      <w:r w:rsidRPr="00AD79C7">
        <w:rPr>
          <w:rFonts w:ascii="Abadi" w:hAnsi="Abadi"/>
          <w:b/>
          <w:bCs/>
          <w:spacing w:val="23"/>
          <w:sz w:val="21"/>
          <w:szCs w:val="21"/>
        </w:rPr>
        <w:t xml:space="preserve"> </w:t>
      </w:r>
      <w:r w:rsidRPr="00AD79C7">
        <w:rPr>
          <w:rFonts w:ascii="Abadi" w:hAnsi="Abadi"/>
          <w:b/>
          <w:bCs/>
          <w:sz w:val="21"/>
          <w:szCs w:val="21"/>
        </w:rPr>
        <w:t>efecto</w:t>
      </w:r>
      <w:r w:rsidRPr="00AD79C7">
        <w:rPr>
          <w:rFonts w:ascii="Abadi" w:hAnsi="Abadi"/>
          <w:b/>
          <w:bCs/>
          <w:spacing w:val="23"/>
          <w:sz w:val="21"/>
          <w:szCs w:val="21"/>
        </w:rPr>
        <w:t xml:space="preserve"> </w:t>
      </w:r>
      <w:r w:rsidRPr="00AD79C7">
        <w:rPr>
          <w:rFonts w:ascii="Abadi" w:hAnsi="Abadi"/>
          <w:b/>
          <w:bCs/>
          <w:sz w:val="21"/>
          <w:szCs w:val="21"/>
        </w:rPr>
        <w:t>de</w:t>
      </w:r>
      <w:r w:rsidRPr="00AD79C7">
        <w:rPr>
          <w:rFonts w:ascii="Abadi" w:hAnsi="Abadi"/>
          <w:b/>
          <w:bCs/>
          <w:spacing w:val="23"/>
          <w:sz w:val="21"/>
          <w:szCs w:val="21"/>
        </w:rPr>
        <w:t xml:space="preserve"> </w:t>
      </w:r>
      <w:r w:rsidRPr="00AD79C7">
        <w:rPr>
          <w:rFonts w:ascii="Abadi" w:hAnsi="Abadi"/>
          <w:b/>
          <w:bCs/>
          <w:sz w:val="21"/>
          <w:szCs w:val="21"/>
        </w:rPr>
        <w:t>que</w:t>
      </w:r>
      <w:r w:rsidRPr="00AD79C7">
        <w:rPr>
          <w:rFonts w:ascii="Abadi" w:hAnsi="Abadi"/>
          <w:b/>
          <w:bCs/>
          <w:spacing w:val="23"/>
          <w:sz w:val="21"/>
          <w:szCs w:val="21"/>
        </w:rPr>
        <w:t xml:space="preserve"> </w:t>
      </w:r>
      <w:r w:rsidRPr="00AD79C7">
        <w:rPr>
          <w:rFonts w:ascii="Abadi" w:hAnsi="Abadi"/>
          <w:b/>
          <w:bCs/>
          <w:sz w:val="21"/>
          <w:szCs w:val="21"/>
        </w:rPr>
        <w:t>se</w:t>
      </w:r>
      <w:r w:rsidRPr="00AD79C7">
        <w:rPr>
          <w:rFonts w:ascii="Abadi" w:hAnsi="Abadi"/>
          <w:b/>
          <w:bCs/>
          <w:spacing w:val="23"/>
          <w:sz w:val="21"/>
          <w:szCs w:val="21"/>
        </w:rPr>
        <w:t xml:space="preserve"> </w:t>
      </w:r>
      <w:r w:rsidRPr="00AD79C7">
        <w:rPr>
          <w:rFonts w:ascii="Abadi" w:hAnsi="Abadi"/>
          <w:b/>
          <w:bCs/>
          <w:sz w:val="21"/>
          <w:szCs w:val="21"/>
        </w:rPr>
        <w:t>lleve</w:t>
      </w:r>
      <w:r w:rsidRPr="00AD79C7">
        <w:rPr>
          <w:rFonts w:ascii="Abadi" w:hAnsi="Abadi"/>
          <w:b/>
          <w:bCs/>
          <w:spacing w:val="23"/>
          <w:sz w:val="21"/>
          <w:szCs w:val="21"/>
        </w:rPr>
        <w:t xml:space="preserve"> </w:t>
      </w:r>
      <w:r w:rsidRPr="00AD79C7">
        <w:rPr>
          <w:rFonts w:ascii="Abadi" w:hAnsi="Abadi"/>
          <w:b/>
          <w:bCs/>
          <w:sz w:val="21"/>
          <w:szCs w:val="21"/>
        </w:rPr>
        <w:t>a</w:t>
      </w:r>
      <w:r w:rsidRPr="00AD79C7">
        <w:rPr>
          <w:rFonts w:ascii="Abadi" w:hAnsi="Abadi"/>
          <w:b/>
          <w:bCs/>
          <w:spacing w:val="22"/>
          <w:sz w:val="21"/>
          <w:szCs w:val="21"/>
        </w:rPr>
        <w:t xml:space="preserve"> </w:t>
      </w:r>
      <w:r w:rsidRPr="00AD79C7">
        <w:rPr>
          <w:rFonts w:ascii="Abadi" w:hAnsi="Abadi"/>
          <w:b/>
          <w:bCs/>
          <w:sz w:val="21"/>
          <w:szCs w:val="21"/>
        </w:rPr>
        <w:t>cabo una</w:t>
      </w:r>
      <w:r w:rsidRPr="00AD79C7">
        <w:rPr>
          <w:rFonts w:ascii="Abadi" w:hAnsi="Abadi"/>
          <w:b/>
          <w:bCs/>
          <w:spacing w:val="51"/>
          <w:sz w:val="21"/>
          <w:szCs w:val="21"/>
        </w:rPr>
        <w:t xml:space="preserve"> </w:t>
      </w:r>
      <w:r w:rsidRPr="00AD79C7">
        <w:rPr>
          <w:rFonts w:ascii="Abadi" w:hAnsi="Abadi"/>
          <w:b/>
          <w:bCs/>
          <w:sz w:val="21"/>
          <w:szCs w:val="21"/>
        </w:rPr>
        <w:t>auditoría</w:t>
      </w:r>
      <w:r w:rsidRPr="00AD79C7">
        <w:rPr>
          <w:rFonts w:ascii="Abadi" w:hAnsi="Abadi"/>
          <w:b/>
          <w:bCs/>
          <w:spacing w:val="51"/>
          <w:sz w:val="21"/>
          <w:szCs w:val="21"/>
        </w:rPr>
        <w:t xml:space="preserve"> </w:t>
      </w:r>
      <w:r w:rsidRPr="00AD79C7">
        <w:rPr>
          <w:rFonts w:ascii="Abadi" w:hAnsi="Abadi"/>
          <w:b/>
          <w:bCs/>
          <w:sz w:val="21"/>
          <w:szCs w:val="21"/>
        </w:rPr>
        <w:t>integral</w:t>
      </w:r>
      <w:r w:rsidRPr="00AD79C7">
        <w:rPr>
          <w:rFonts w:ascii="Abadi" w:hAnsi="Abadi"/>
          <w:b/>
          <w:bCs/>
          <w:spacing w:val="51"/>
          <w:sz w:val="21"/>
          <w:szCs w:val="21"/>
        </w:rPr>
        <w:t xml:space="preserve"> </w:t>
      </w:r>
      <w:r w:rsidRPr="00AD79C7">
        <w:rPr>
          <w:rFonts w:ascii="Abadi" w:hAnsi="Abadi"/>
          <w:b/>
          <w:bCs/>
          <w:sz w:val="21"/>
          <w:szCs w:val="21"/>
        </w:rPr>
        <w:t>a</w:t>
      </w:r>
      <w:r w:rsidRPr="00AD79C7">
        <w:rPr>
          <w:rFonts w:ascii="Abadi" w:hAnsi="Abadi"/>
          <w:b/>
          <w:bCs/>
          <w:spacing w:val="52"/>
          <w:sz w:val="21"/>
          <w:szCs w:val="21"/>
        </w:rPr>
        <w:t xml:space="preserve"> </w:t>
      </w:r>
      <w:r w:rsidRPr="00AD79C7">
        <w:rPr>
          <w:rFonts w:ascii="Abadi" w:hAnsi="Abadi"/>
          <w:b/>
          <w:bCs/>
          <w:sz w:val="21"/>
          <w:szCs w:val="21"/>
        </w:rPr>
        <w:t>la</w:t>
      </w:r>
      <w:r w:rsidRPr="00AD79C7">
        <w:rPr>
          <w:rFonts w:ascii="Abadi" w:hAnsi="Abadi"/>
          <w:b/>
          <w:bCs/>
          <w:spacing w:val="51"/>
          <w:sz w:val="21"/>
          <w:szCs w:val="21"/>
        </w:rPr>
        <w:t xml:space="preserve"> </w:t>
      </w:r>
      <w:r w:rsidRPr="00AD79C7">
        <w:rPr>
          <w:rFonts w:ascii="Abadi" w:hAnsi="Abadi"/>
          <w:b/>
          <w:bCs/>
          <w:sz w:val="21"/>
          <w:szCs w:val="21"/>
        </w:rPr>
        <w:t>administración</w:t>
      </w:r>
      <w:r w:rsidRPr="00AD79C7">
        <w:rPr>
          <w:rFonts w:ascii="Abadi" w:hAnsi="Abadi"/>
          <w:b/>
          <w:bCs/>
          <w:spacing w:val="51"/>
          <w:sz w:val="21"/>
          <w:szCs w:val="21"/>
        </w:rPr>
        <w:t xml:space="preserve"> </w:t>
      </w:r>
      <w:r w:rsidRPr="00AD79C7">
        <w:rPr>
          <w:rFonts w:ascii="Abadi" w:hAnsi="Abadi"/>
          <w:b/>
          <w:bCs/>
          <w:sz w:val="21"/>
          <w:szCs w:val="21"/>
        </w:rPr>
        <w:t>municipal</w:t>
      </w:r>
      <w:r w:rsidRPr="00AD79C7">
        <w:rPr>
          <w:rFonts w:ascii="Abadi" w:hAnsi="Abadi"/>
          <w:b/>
          <w:bCs/>
          <w:spacing w:val="51"/>
          <w:sz w:val="21"/>
          <w:szCs w:val="21"/>
        </w:rPr>
        <w:t xml:space="preserve"> </w:t>
      </w:r>
      <w:r w:rsidRPr="00AD79C7">
        <w:rPr>
          <w:rFonts w:ascii="Abadi" w:hAnsi="Abadi"/>
          <w:b/>
          <w:bCs/>
          <w:sz w:val="21"/>
          <w:szCs w:val="21"/>
        </w:rPr>
        <w:t>2018-2021</w:t>
      </w:r>
      <w:r w:rsidRPr="00AD79C7">
        <w:rPr>
          <w:rFonts w:ascii="Abadi" w:hAnsi="Abadi"/>
          <w:b/>
          <w:bCs/>
          <w:spacing w:val="51"/>
          <w:sz w:val="21"/>
          <w:szCs w:val="21"/>
        </w:rPr>
        <w:t xml:space="preserve"> </w:t>
      </w:r>
      <w:r w:rsidRPr="00AD79C7">
        <w:rPr>
          <w:rFonts w:ascii="Abadi" w:hAnsi="Abadi"/>
          <w:b/>
          <w:bCs/>
          <w:sz w:val="21"/>
          <w:szCs w:val="21"/>
        </w:rPr>
        <w:t>de</w:t>
      </w:r>
      <w:r w:rsidRPr="00AD79C7">
        <w:rPr>
          <w:rFonts w:ascii="Abadi" w:hAnsi="Abadi"/>
          <w:b/>
          <w:bCs/>
          <w:spacing w:val="51"/>
          <w:sz w:val="21"/>
          <w:szCs w:val="21"/>
        </w:rPr>
        <w:t xml:space="preserve"> </w:t>
      </w:r>
      <w:r w:rsidRPr="00AD79C7">
        <w:rPr>
          <w:rFonts w:ascii="Abadi" w:hAnsi="Abadi"/>
          <w:b/>
          <w:bCs/>
          <w:sz w:val="21"/>
          <w:szCs w:val="21"/>
        </w:rPr>
        <w:t>dicho Municipio.</w:t>
      </w:r>
    </w:p>
    <w:p w14:paraId="35F1F299" w14:textId="77777777" w:rsidR="00E67B2C" w:rsidRPr="00E67B2C" w:rsidRDefault="00E67B2C" w:rsidP="00E67B2C">
      <w:pPr>
        <w:pStyle w:val="Prrafodelista"/>
        <w:rPr>
          <w:rFonts w:ascii="Abadi" w:hAnsi="Abadi"/>
          <w:b/>
          <w:bCs/>
          <w:sz w:val="21"/>
          <w:szCs w:val="21"/>
        </w:rPr>
      </w:pPr>
    </w:p>
    <w:p w14:paraId="4542FD08" w14:textId="675CD9D4" w:rsidR="00E67B2C" w:rsidRDefault="00E67B2C"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9"/>
          <w:sz w:val="21"/>
          <w:szCs w:val="21"/>
        </w:rPr>
        <w:t xml:space="preserve"> </w:t>
      </w:r>
      <w:r w:rsidRPr="00AD79C7">
        <w:rPr>
          <w:rFonts w:ascii="Abadi" w:hAnsi="Abadi"/>
          <w:b/>
          <w:bCs/>
          <w:sz w:val="21"/>
          <w:szCs w:val="21"/>
        </w:rPr>
        <w:t>y,</w:t>
      </w:r>
      <w:r w:rsidRPr="00AD79C7">
        <w:rPr>
          <w:rFonts w:ascii="Abadi" w:hAnsi="Abadi"/>
          <w:b/>
          <w:bCs/>
          <w:spacing w:val="9"/>
          <w:sz w:val="21"/>
          <w:szCs w:val="21"/>
        </w:rPr>
        <w:t xml:space="preserve"> </w:t>
      </w:r>
      <w:r w:rsidRPr="00AD79C7">
        <w:rPr>
          <w:rFonts w:ascii="Abadi" w:hAnsi="Abadi"/>
          <w:b/>
          <w:bCs/>
          <w:sz w:val="21"/>
          <w:szCs w:val="21"/>
        </w:rPr>
        <w:t>en</w:t>
      </w:r>
      <w:r w:rsidRPr="00AD79C7">
        <w:rPr>
          <w:rFonts w:ascii="Abadi" w:hAnsi="Abadi"/>
          <w:b/>
          <w:bCs/>
          <w:spacing w:val="9"/>
          <w:sz w:val="21"/>
          <w:szCs w:val="21"/>
        </w:rPr>
        <w:t xml:space="preserve"> </w:t>
      </w:r>
      <w:r w:rsidRPr="00AD79C7">
        <w:rPr>
          <w:rFonts w:ascii="Abadi" w:hAnsi="Abadi"/>
          <w:b/>
          <w:bCs/>
          <w:sz w:val="21"/>
          <w:szCs w:val="21"/>
        </w:rPr>
        <w:t>su</w:t>
      </w:r>
      <w:r w:rsidRPr="00AD79C7">
        <w:rPr>
          <w:rFonts w:ascii="Abadi" w:hAnsi="Abadi"/>
          <w:b/>
          <w:bCs/>
          <w:spacing w:val="9"/>
          <w:sz w:val="21"/>
          <w:szCs w:val="21"/>
        </w:rPr>
        <w:t xml:space="preserve"> </w:t>
      </w:r>
      <w:r w:rsidRPr="00AD79C7">
        <w:rPr>
          <w:rFonts w:ascii="Abadi" w:hAnsi="Abadi"/>
          <w:b/>
          <w:bCs/>
          <w:sz w:val="21"/>
          <w:szCs w:val="21"/>
        </w:rPr>
        <w:t>caso,</w:t>
      </w:r>
      <w:r w:rsidRPr="00AD79C7">
        <w:rPr>
          <w:rFonts w:ascii="Abadi" w:hAnsi="Abadi"/>
          <w:b/>
          <w:bCs/>
          <w:spacing w:val="9"/>
          <w:sz w:val="21"/>
          <w:szCs w:val="21"/>
        </w:rPr>
        <w:t xml:space="preserve"> </w:t>
      </w:r>
      <w:r w:rsidRPr="00AD79C7">
        <w:rPr>
          <w:rFonts w:ascii="Abadi" w:hAnsi="Abadi"/>
          <w:b/>
          <w:bCs/>
          <w:sz w:val="21"/>
          <w:szCs w:val="21"/>
        </w:rPr>
        <w:t>aprobación</w:t>
      </w:r>
      <w:r w:rsidRPr="00AD79C7">
        <w:rPr>
          <w:rFonts w:ascii="Abadi" w:hAnsi="Abadi"/>
          <w:b/>
          <w:bCs/>
          <w:spacing w:val="9"/>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dictamen</w:t>
      </w:r>
      <w:r w:rsidRPr="00AD79C7">
        <w:rPr>
          <w:rFonts w:ascii="Abadi" w:hAnsi="Abadi"/>
          <w:b/>
          <w:bCs/>
          <w:spacing w:val="9"/>
          <w:sz w:val="21"/>
          <w:szCs w:val="21"/>
        </w:rPr>
        <w:t xml:space="preserve"> </w:t>
      </w:r>
      <w:r w:rsidRPr="00AD79C7">
        <w:rPr>
          <w:rFonts w:ascii="Abadi" w:hAnsi="Abadi"/>
          <w:b/>
          <w:bCs/>
          <w:sz w:val="21"/>
          <w:szCs w:val="21"/>
        </w:rPr>
        <w:t>signado</w:t>
      </w:r>
      <w:r w:rsidRPr="00AD79C7">
        <w:rPr>
          <w:rFonts w:ascii="Abadi" w:hAnsi="Abadi"/>
          <w:b/>
          <w:bCs/>
          <w:spacing w:val="9"/>
          <w:sz w:val="21"/>
          <w:szCs w:val="21"/>
        </w:rPr>
        <w:t xml:space="preserve"> </w:t>
      </w:r>
      <w:r w:rsidRPr="00AD79C7">
        <w:rPr>
          <w:rFonts w:ascii="Abadi" w:hAnsi="Abadi"/>
          <w:b/>
          <w:bCs/>
          <w:sz w:val="21"/>
          <w:szCs w:val="21"/>
        </w:rPr>
        <w:t>por</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9"/>
          <w:sz w:val="21"/>
          <w:szCs w:val="21"/>
        </w:rPr>
        <w:t xml:space="preserve"> </w:t>
      </w:r>
      <w:r w:rsidRPr="00AD79C7">
        <w:rPr>
          <w:rFonts w:ascii="Abadi" w:hAnsi="Abadi"/>
          <w:b/>
          <w:bCs/>
          <w:sz w:val="21"/>
          <w:szCs w:val="21"/>
        </w:rPr>
        <w:t>Comisión</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Hacienda</w:t>
      </w:r>
      <w:r w:rsidRPr="00AD79C7">
        <w:rPr>
          <w:rFonts w:ascii="Abadi" w:hAnsi="Abadi"/>
          <w:b/>
          <w:bCs/>
          <w:spacing w:val="33"/>
          <w:sz w:val="21"/>
          <w:szCs w:val="21"/>
        </w:rPr>
        <w:t xml:space="preserve"> </w:t>
      </w:r>
      <w:r w:rsidRPr="00AD79C7">
        <w:rPr>
          <w:rFonts w:ascii="Abadi" w:hAnsi="Abadi"/>
          <w:b/>
          <w:bCs/>
          <w:sz w:val="21"/>
          <w:szCs w:val="21"/>
        </w:rPr>
        <w:t>y</w:t>
      </w:r>
      <w:r w:rsidRPr="00AD79C7">
        <w:rPr>
          <w:rFonts w:ascii="Abadi" w:hAnsi="Abadi"/>
          <w:b/>
          <w:bCs/>
          <w:spacing w:val="33"/>
          <w:sz w:val="21"/>
          <w:szCs w:val="21"/>
        </w:rPr>
        <w:t xml:space="preserve"> </w:t>
      </w:r>
      <w:r w:rsidRPr="00AD79C7">
        <w:rPr>
          <w:rFonts w:ascii="Abadi" w:hAnsi="Abadi"/>
          <w:b/>
          <w:bCs/>
          <w:sz w:val="21"/>
          <w:szCs w:val="21"/>
        </w:rPr>
        <w:t>Fiscalización</w:t>
      </w:r>
      <w:r w:rsidRPr="00AD79C7">
        <w:rPr>
          <w:rFonts w:ascii="Abadi" w:hAnsi="Abadi"/>
          <w:b/>
          <w:bCs/>
          <w:spacing w:val="32"/>
          <w:sz w:val="21"/>
          <w:szCs w:val="21"/>
        </w:rPr>
        <w:t xml:space="preserve"> </w:t>
      </w:r>
      <w:r w:rsidRPr="00AD79C7">
        <w:rPr>
          <w:rFonts w:ascii="Abadi" w:hAnsi="Abadi"/>
          <w:b/>
          <w:bCs/>
          <w:sz w:val="21"/>
          <w:szCs w:val="21"/>
        </w:rPr>
        <w:t>relativo</w:t>
      </w:r>
      <w:r w:rsidRPr="00AD79C7">
        <w:rPr>
          <w:rFonts w:ascii="Abadi" w:hAnsi="Abadi"/>
          <w:b/>
          <w:bCs/>
          <w:spacing w:val="32"/>
          <w:sz w:val="21"/>
          <w:szCs w:val="21"/>
        </w:rPr>
        <w:t xml:space="preserve"> </w:t>
      </w:r>
      <w:r w:rsidRPr="00AD79C7">
        <w:rPr>
          <w:rFonts w:ascii="Abadi" w:hAnsi="Abadi"/>
          <w:b/>
          <w:bCs/>
          <w:sz w:val="21"/>
          <w:szCs w:val="21"/>
        </w:rPr>
        <w:t>a</w:t>
      </w:r>
      <w:r w:rsidRPr="00AD79C7">
        <w:rPr>
          <w:rFonts w:ascii="Abadi" w:hAnsi="Abadi"/>
          <w:b/>
          <w:bCs/>
          <w:spacing w:val="33"/>
          <w:sz w:val="21"/>
          <w:szCs w:val="21"/>
        </w:rPr>
        <w:t xml:space="preserve"> </w:t>
      </w:r>
      <w:r w:rsidRPr="00AD79C7">
        <w:rPr>
          <w:rFonts w:ascii="Abadi" w:hAnsi="Abadi"/>
          <w:b/>
          <w:bCs/>
          <w:sz w:val="21"/>
          <w:szCs w:val="21"/>
        </w:rPr>
        <w:t>la</w:t>
      </w:r>
      <w:r w:rsidRPr="00AD79C7">
        <w:rPr>
          <w:rFonts w:ascii="Abadi" w:hAnsi="Abadi"/>
          <w:b/>
          <w:bCs/>
          <w:spacing w:val="33"/>
          <w:sz w:val="21"/>
          <w:szCs w:val="21"/>
        </w:rPr>
        <w:t xml:space="preserve"> </w:t>
      </w:r>
      <w:r w:rsidRPr="00AD79C7">
        <w:rPr>
          <w:rFonts w:ascii="Abadi" w:hAnsi="Abadi"/>
          <w:b/>
          <w:bCs/>
          <w:sz w:val="21"/>
          <w:szCs w:val="21"/>
        </w:rPr>
        <w:t>propuesta</w:t>
      </w:r>
      <w:r w:rsidRPr="00AD79C7">
        <w:rPr>
          <w:rFonts w:ascii="Abadi" w:hAnsi="Abadi"/>
          <w:b/>
          <w:bCs/>
          <w:spacing w:val="32"/>
          <w:sz w:val="21"/>
          <w:szCs w:val="21"/>
        </w:rPr>
        <w:t xml:space="preserve"> </w:t>
      </w:r>
      <w:r w:rsidRPr="00AD79C7">
        <w:rPr>
          <w:rFonts w:ascii="Abadi" w:hAnsi="Abadi"/>
          <w:b/>
          <w:bCs/>
          <w:sz w:val="21"/>
          <w:szCs w:val="21"/>
        </w:rPr>
        <w:t>de</w:t>
      </w:r>
      <w:r w:rsidRPr="00AD79C7">
        <w:rPr>
          <w:rFonts w:ascii="Abadi" w:hAnsi="Abadi"/>
          <w:b/>
          <w:bCs/>
          <w:spacing w:val="32"/>
          <w:sz w:val="21"/>
          <w:szCs w:val="21"/>
        </w:rPr>
        <w:t xml:space="preserve"> </w:t>
      </w:r>
      <w:r w:rsidRPr="00AD79C7">
        <w:rPr>
          <w:rFonts w:ascii="Abadi" w:hAnsi="Abadi"/>
          <w:b/>
          <w:bCs/>
          <w:sz w:val="21"/>
          <w:szCs w:val="21"/>
        </w:rPr>
        <w:t>punto</w:t>
      </w:r>
      <w:r w:rsidRPr="00AD79C7">
        <w:rPr>
          <w:rFonts w:ascii="Abadi" w:hAnsi="Abadi"/>
          <w:b/>
          <w:bCs/>
          <w:spacing w:val="32"/>
          <w:sz w:val="21"/>
          <w:szCs w:val="21"/>
        </w:rPr>
        <w:t xml:space="preserve"> </w:t>
      </w:r>
      <w:r w:rsidRPr="00AD79C7">
        <w:rPr>
          <w:rFonts w:ascii="Abadi" w:hAnsi="Abadi"/>
          <w:b/>
          <w:bCs/>
          <w:sz w:val="21"/>
          <w:szCs w:val="21"/>
        </w:rPr>
        <w:t>de</w:t>
      </w:r>
      <w:r w:rsidRPr="00AD79C7">
        <w:rPr>
          <w:rFonts w:ascii="Abadi" w:hAnsi="Abadi"/>
          <w:b/>
          <w:bCs/>
          <w:spacing w:val="32"/>
          <w:sz w:val="21"/>
          <w:szCs w:val="21"/>
        </w:rPr>
        <w:t xml:space="preserve"> </w:t>
      </w:r>
      <w:r w:rsidRPr="00AD79C7">
        <w:rPr>
          <w:rFonts w:ascii="Abadi" w:hAnsi="Abadi"/>
          <w:b/>
          <w:bCs/>
          <w:sz w:val="21"/>
          <w:szCs w:val="21"/>
        </w:rPr>
        <w:t>acuerdo</w:t>
      </w:r>
      <w:r w:rsidRPr="00AD79C7">
        <w:rPr>
          <w:rFonts w:ascii="Abadi" w:hAnsi="Abadi"/>
          <w:b/>
          <w:bCs/>
          <w:spacing w:val="-2"/>
          <w:sz w:val="21"/>
          <w:szCs w:val="21"/>
        </w:rPr>
        <w:t xml:space="preserve"> </w:t>
      </w:r>
      <w:r w:rsidRPr="00AD79C7">
        <w:rPr>
          <w:rFonts w:ascii="Abadi" w:hAnsi="Abadi"/>
          <w:b/>
          <w:bCs/>
          <w:sz w:val="21"/>
          <w:szCs w:val="21"/>
        </w:rPr>
        <w:t>formulada</w:t>
      </w:r>
      <w:r w:rsidRPr="00AD79C7">
        <w:rPr>
          <w:rFonts w:ascii="Abadi" w:hAnsi="Abadi"/>
          <w:b/>
          <w:bCs/>
          <w:spacing w:val="18"/>
          <w:sz w:val="21"/>
          <w:szCs w:val="21"/>
        </w:rPr>
        <w:t xml:space="preserve"> </w:t>
      </w:r>
      <w:r w:rsidRPr="00AD79C7">
        <w:rPr>
          <w:rFonts w:ascii="Abadi" w:hAnsi="Abadi"/>
          <w:b/>
          <w:bCs/>
          <w:sz w:val="21"/>
          <w:szCs w:val="21"/>
        </w:rPr>
        <w:t>por</w:t>
      </w:r>
      <w:r w:rsidRPr="00AD79C7">
        <w:rPr>
          <w:rFonts w:ascii="Abadi" w:hAnsi="Abadi"/>
          <w:b/>
          <w:bCs/>
          <w:spacing w:val="17"/>
          <w:sz w:val="21"/>
          <w:szCs w:val="21"/>
        </w:rPr>
        <w:t xml:space="preserve"> </w:t>
      </w:r>
      <w:r w:rsidRPr="00AD79C7">
        <w:rPr>
          <w:rFonts w:ascii="Abadi" w:hAnsi="Abadi"/>
          <w:b/>
          <w:bCs/>
          <w:sz w:val="21"/>
          <w:szCs w:val="21"/>
        </w:rPr>
        <w:t>el</w:t>
      </w:r>
      <w:r w:rsidRPr="00AD79C7">
        <w:rPr>
          <w:rFonts w:ascii="Abadi" w:hAnsi="Abadi"/>
          <w:b/>
          <w:bCs/>
          <w:spacing w:val="17"/>
          <w:sz w:val="21"/>
          <w:szCs w:val="21"/>
        </w:rPr>
        <w:t xml:space="preserve"> </w:t>
      </w:r>
      <w:r w:rsidRPr="00AD79C7">
        <w:rPr>
          <w:rFonts w:ascii="Abadi" w:hAnsi="Abadi"/>
          <w:b/>
          <w:bCs/>
          <w:sz w:val="21"/>
          <w:szCs w:val="21"/>
        </w:rPr>
        <w:t>diputado</w:t>
      </w:r>
      <w:r w:rsidRPr="00AD79C7">
        <w:rPr>
          <w:rFonts w:ascii="Abadi" w:hAnsi="Abadi"/>
          <w:b/>
          <w:bCs/>
          <w:spacing w:val="18"/>
          <w:sz w:val="21"/>
          <w:szCs w:val="21"/>
        </w:rPr>
        <w:t xml:space="preserve"> </w:t>
      </w:r>
      <w:r w:rsidRPr="00AD79C7">
        <w:rPr>
          <w:rFonts w:ascii="Abadi" w:hAnsi="Abadi"/>
          <w:b/>
          <w:bCs/>
          <w:sz w:val="21"/>
          <w:szCs w:val="21"/>
        </w:rPr>
        <w:t>Ernesto</w:t>
      </w:r>
      <w:r w:rsidRPr="00AD79C7">
        <w:rPr>
          <w:rFonts w:ascii="Abadi" w:hAnsi="Abadi"/>
          <w:b/>
          <w:bCs/>
          <w:spacing w:val="18"/>
          <w:sz w:val="21"/>
          <w:szCs w:val="21"/>
        </w:rPr>
        <w:t xml:space="preserve"> </w:t>
      </w:r>
      <w:r w:rsidRPr="00AD79C7">
        <w:rPr>
          <w:rFonts w:ascii="Abadi" w:hAnsi="Abadi"/>
          <w:b/>
          <w:bCs/>
          <w:sz w:val="21"/>
          <w:szCs w:val="21"/>
        </w:rPr>
        <w:t>Millán</w:t>
      </w:r>
      <w:r w:rsidRPr="00AD79C7">
        <w:rPr>
          <w:rFonts w:ascii="Abadi" w:hAnsi="Abadi"/>
          <w:b/>
          <w:bCs/>
          <w:spacing w:val="18"/>
          <w:sz w:val="21"/>
          <w:szCs w:val="21"/>
        </w:rPr>
        <w:t xml:space="preserve"> </w:t>
      </w:r>
      <w:r w:rsidRPr="00AD79C7">
        <w:rPr>
          <w:rFonts w:ascii="Abadi" w:hAnsi="Abadi"/>
          <w:b/>
          <w:bCs/>
          <w:sz w:val="21"/>
          <w:szCs w:val="21"/>
        </w:rPr>
        <w:t>Soberanes,</w:t>
      </w:r>
      <w:r w:rsidRPr="00AD79C7">
        <w:rPr>
          <w:rFonts w:ascii="Abadi" w:hAnsi="Abadi"/>
          <w:b/>
          <w:bCs/>
          <w:spacing w:val="17"/>
          <w:sz w:val="21"/>
          <w:szCs w:val="21"/>
        </w:rPr>
        <w:t xml:space="preserve"> </w:t>
      </w:r>
      <w:r w:rsidRPr="00AD79C7">
        <w:rPr>
          <w:rFonts w:ascii="Abadi" w:hAnsi="Abadi"/>
          <w:b/>
          <w:bCs/>
          <w:sz w:val="21"/>
          <w:szCs w:val="21"/>
        </w:rPr>
        <w:t>integrante</w:t>
      </w:r>
      <w:r w:rsidRPr="00AD79C7">
        <w:rPr>
          <w:rFonts w:ascii="Abadi" w:hAnsi="Abadi"/>
          <w:b/>
          <w:bCs/>
          <w:spacing w:val="17"/>
          <w:sz w:val="21"/>
          <w:szCs w:val="21"/>
        </w:rPr>
        <w:t xml:space="preserve"> </w:t>
      </w:r>
      <w:r w:rsidRPr="00AD79C7">
        <w:rPr>
          <w:rFonts w:ascii="Abadi" w:hAnsi="Abadi"/>
          <w:b/>
          <w:bCs/>
          <w:sz w:val="21"/>
          <w:szCs w:val="21"/>
        </w:rPr>
        <w:t>del</w:t>
      </w:r>
      <w:r w:rsidRPr="00AD79C7">
        <w:rPr>
          <w:rFonts w:ascii="Abadi" w:hAnsi="Abadi"/>
          <w:b/>
          <w:bCs/>
          <w:spacing w:val="17"/>
          <w:sz w:val="21"/>
          <w:szCs w:val="21"/>
        </w:rPr>
        <w:t xml:space="preserve"> </w:t>
      </w:r>
      <w:r w:rsidRPr="00AD79C7">
        <w:rPr>
          <w:rFonts w:ascii="Abadi" w:hAnsi="Abadi"/>
          <w:b/>
          <w:bCs/>
          <w:sz w:val="21"/>
          <w:szCs w:val="21"/>
        </w:rPr>
        <w:t>Grupo</w:t>
      </w:r>
      <w:r w:rsidRPr="00AD79C7">
        <w:rPr>
          <w:rFonts w:ascii="Abadi" w:hAnsi="Abadi"/>
          <w:b/>
          <w:bCs/>
          <w:spacing w:val="-2"/>
          <w:sz w:val="21"/>
          <w:szCs w:val="21"/>
        </w:rPr>
        <w:t xml:space="preserve"> </w:t>
      </w:r>
      <w:r w:rsidRPr="00AD79C7">
        <w:rPr>
          <w:rFonts w:ascii="Abadi" w:hAnsi="Abadi"/>
          <w:b/>
          <w:bCs/>
          <w:sz w:val="21"/>
          <w:szCs w:val="21"/>
        </w:rPr>
        <w:t>Parlamentario</w:t>
      </w:r>
      <w:r w:rsidRPr="00AD79C7">
        <w:rPr>
          <w:rFonts w:ascii="Abadi" w:hAnsi="Abadi"/>
          <w:b/>
          <w:bCs/>
          <w:spacing w:val="40"/>
          <w:sz w:val="21"/>
          <w:szCs w:val="21"/>
        </w:rPr>
        <w:t xml:space="preserve"> </w:t>
      </w:r>
      <w:r w:rsidRPr="00AD79C7">
        <w:rPr>
          <w:rFonts w:ascii="Abadi" w:hAnsi="Abadi"/>
          <w:b/>
          <w:bCs/>
          <w:sz w:val="21"/>
          <w:szCs w:val="21"/>
        </w:rPr>
        <w:t>del</w:t>
      </w:r>
      <w:r w:rsidRPr="00AD79C7">
        <w:rPr>
          <w:rFonts w:ascii="Abadi" w:hAnsi="Abadi"/>
          <w:b/>
          <w:bCs/>
          <w:spacing w:val="40"/>
          <w:sz w:val="21"/>
          <w:szCs w:val="21"/>
        </w:rPr>
        <w:t xml:space="preserve"> </w:t>
      </w:r>
      <w:r w:rsidRPr="00AD79C7">
        <w:rPr>
          <w:rFonts w:ascii="Abadi" w:hAnsi="Abadi"/>
          <w:b/>
          <w:bCs/>
          <w:sz w:val="21"/>
          <w:szCs w:val="21"/>
        </w:rPr>
        <w:t>Partido</w:t>
      </w:r>
      <w:r w:rsidRPr="00AD79C7">
        <w:rPr>
          <w:rFonts w:ascii="Abadi" w:hAnsi="Abadi"/>
          <w:b/>
          <w:bCs/>
          <w:spacing w:val="40"/>
          <w:sz w:val="21"/>
          <w:szCs w:val="21"/>
        </w:rPr>
        <w:t xml:space="preserve"> </w:t>
      </w:r>
      <w:r w:rsidRPr="00AD79C7">
        <w:rPr>
          <w:rFonts w:ascii="Abadi" w:hAnsi="Abadi"/>
          <w:b/>
          <w:bCs/>
          <w:sz w:val="21"/>
          <w:szCs w:val="21"/>
        </w:rPr>
        <w:lastRenderedPageBreak/>
        <w:t>MORENA,</w:t>
      </w:r>
      <w:r w:rsidRPr="00AD79C7">
        <w:rPr>
          <w:rFonts w:ascii="Abadi" w:hAnsi="Abadi"/>
          <w:b/>
          <w:bCs/>
          <w:spacing w:val="40"/>
          <w:sz w:val="21"/>
          <w:szCs w:val="21"/>
        </w:rPr>
        <w:t xml:space="preserve"> </w:t>
      </w:r>
      <w:r w:rsidRPr="00AD79C7">
        <w:rPr>
          <w:rFonts w:ascii="Abadi" w:hAnsi="Abadi"/>
          <w:b/>
          <w:bCs/>
          <w:sz w:val="21"/>
          <w:szCs w:val="21"/>
        </w:rPr>
        <w:t>a</w:t>
      </w:r>
      <w:r w:rsidRPr="00AD79C7">
        <w:rPr>
          <w:rFonts w:ascii="Abadi" w:hAnsi="Abadi"/>
          <w:b/>
          <w:bCs/>
          <w:spacing w:val="39"/>
          <w:sz w:val="21"/>
          <w:szCs w:val="21"/>
        </w:rPr>
        <w:t xml:space="preserve"> </w:t>
      </w:r>
      <w:r w:rsidRPr="00AD79C7">
        <w:rPr>
          <w:rFonts w:ascii="Abadi" w:hAnsi="Abadi"/>
          <w:b/>
          <w:bCs/>
          <w:sz w:val="21"/>
          <w:szCs w:val="21"/>
        </w:rPr>
        <w:t>efecto</w:t>
      </w:r>
      <w:r w:rsidRPr="00AD79C7">
        <w:rPr>
          <w:rFonts w:ascii="Abadi" w:hAnsi="Abadi"/>
          <w:b/>
          <w:bCs/>
          <w:spacing w:val="40"/>
          <w:sz w:val="21"/>
          <w:szCs w:val="21"/>
        </w:rPr>
        <w:t xml:space="preserve"> </w:t>
      </w:r>
      <w:r w:rsidRPr="00AD79C7">
        <w:rPr>
          <w:rFonts w:ascii="Abadi" w:hAnsi="Abadi"/>
          <w:b/>
          <w:bCs/>
          <w:sz w:val="21"/>
          <w:szCs w:val="21"/>
        </w:rPr>
        <w:t>de</w:t>
      </w:r>
      <w:r w:rsidRPr="00AD79C7">
        <w:rPr>
          <w:rFonts w:ascii="Abadi" w:hAnsi="Abadi"/>
          <w:b/>
          <w:bCs/>
          <w:spacing w:val="40"/>
          <w:sz w:val="21"/>
          <w:szCs w:val="21"/>
        </w:rPr>
        <w:t xml:space="preserve"> </w:t>
      </w:r>
      <w:r w:rsidRPr="00AD79C7">
        <w:rPr>
          <w:rFonts w:ascii="Abadi" w:hAnsi="Abadi"/>
          <w:b/>
          <w:bCs/>
          <w:sz w:val="21"/>
          <w:szCs w:val="21"/>
        </w:rPr>
        <w:t>exhortar</w:t>
      </w:r>
      <w:r w:rsidRPr="00AD79C7">
        <w:rPr>
          <w:rFonts w:ascii="Abadi" w:hAnsi="Abadi"/>
          <w:b/>
          <w:bCs/>
          <w:spacing w:val="40"/>
          <w:sz w:val="21"/>
          <w:szCs w:val="21"/>
        </w:rPr>
        <w:t xml:space="preserve"> </w:t>
      </w:r>
      <w:r w:rsidRPr="00AD79C7">
        <w:rPr>
          <w:rFonts w:ascii="Abadi" w:hAnsi="Abadi"/>
          <w:b/>
          <w:bCs/>
          <w:sz w:val="21"/>
          <w:szCs w:val="21"/>
        </w:rPr>
        <w:t>al</w:t>
      </w:r>
      <w:r w:rsidRPr="00AD79C7">
        <w:rPr>
          <w:rFonts w:ascii="Abadi" w:hAnsi="Abadi"/>
          <w:b/>
          <w:bCs/>
          <w:spacing w:val="40"/>
          <w:sz w:val="21"/>
          <w:szCs w:val="21"/>
        </w:rPr>
        <w:t xml:space="preserve"> </w:t>
      </w:r>
      <w:r w:rsidRPr="00AD79C7">
        <w:rPr>
          <w:rFonts w:ascii="Abadi" w:hAnsi="Abadi"/>
          <w:b/>
          <w:bCs/>
          <w:sz w:val="21"/>
          <w:szCs w:val="21"/>
        </w:rPr>
        <w:t>titular</w:t>
      </w:r>
      <w:r w:rsidRPr="00AD79C7">
        <w:rPr>
          <w:rFonts w:ascii="Abadi" w:hAnsi="Abadi"/>
          <w:b/>
          <w:bCs/>
          <w:spacing w:val="40"/>
          <w:sz w:val="21"/>
          <w:szCs w:val="21"/>
        </w:rPr>
        <w:t xml:space="preserve"> </w:t>
      </w:r>
      <w:r w:rsidRPr="00AD79C7">
        <w:rPr>
          <w:rFonts w:ascii="Abadi" w:hAnsi="Abadi"/>
          <w:b/>
          <w:bCs/>
          <w:sz w:val="21"/>
          <w:szCs w:val="21"/>
        </w:rPr>
        <w:t>de</w:t>
      </w:r>
      <w:r w:rsidRPr="00AD79C7">
        <w:rPr>
          <w:rFonts w:ascii="Abadi" w:hAnsi="Abadi"/>
          <w:b/>
          <w:bCs/>
          <w:spacing w:val="40"/>
          <w:sz w:val="21"/>
          <w:szCs w:val="21"/>
        </w:rPr>
        <w:t xml:space="preserve"> </w:t>
      </w:r>
      <w:r w:rsidRPr="00AD79C7">
        <w:rPr>
          <w:rFonts w:ascii="Abadi" w:hAnsi="Abadi"/>
          <w:b/>
          <w:bCs/>
          <w:sz w:val="21"/>
          <w:szCs w:val="21"/>
        </w:rPr>
        <w:t>la</w:t>
      </w:r>
      <w:r w:rsidRPr="00AD79C7">
        <w:rPr>
          <w:rFonts w:ascii="Abadi" w:hAnsi="Abadi"/>
          <w:b/>
          <w:bCs/>
          <w:spacing w:val="-2"/>
          <w:sz w:val="21"/>
          <w:szCs w:val="21"/>
        </w:rPr>
        <w:t xml:space="preserve"> </w:t>
      </w:r>
      <w:r w:rsidRPr="00AD79C7">
        <w:rPr>
          <w:rFonts w:ascii="Abadi" w:hAnsi="Abadi"/>
          <w:b/>
          <w:bCs/>
          <w:sz w:val="21"/>
          <w:szCs w:val="21"/>
        </w:rPr>
        <w:t>Auditoría</w:t>
      </w:r>
      <w:r w:rsidRPr="00AD79C7">
        <w:rPr>
          <w:rFonts w:ascii="Abadi" w:hAnsi="Abadi"/>
          <w:b/>
          <w:bCs/>
          <w:spacing w:val="32"/>
          <w:sz w:val="21"/>
          <w:szCs w:val="21"/>
        </w:rPr>
        <w:t xml:space="preserve"> </w:t>
      </w:r>
      <w:r w:rsidRPr="00AD79C7">
        <w:rPr>
          <w:rFonts w:ascii="Abadi" w:hAnsi="Abadi"/>
          <w:b/>
          <w:bCs/>
          <w:sz w:val="21"/>
          <w:szCs w:val="21"/>
        </w:rPr>
        <w:t>Superior</w:t>
      </w:r>
      <w:r w:rsidRPr="00AD79C7">
        <w:rPr>
          <w:rFonts w:ascii="Abadi" w:hAnsi="Abadi"/>
          <w:b/>
          <w:bCs/>
          <w:spacing w:val="32"/>
          <w:sz w:val="21"/>
          <w:szCs w:val="21"/>
        </w:rPr>
        <w:t xml:space="preserve"> </w:t>
      </w:r>
      <w:r w:rsidRPr="00AD79C7">
        <w:rPr>
          <w:rFonts w:ascii="Abadi" w:hAnsi="Abadi"/>
          <w:b/>
          <w:bCs/>
          <w:sz w:val="21"/>
          <w:szCs w:val="21"/>
        </w:rPr>
        <w:t>del</w:t>
      </w:r>
      <w:r w:rsidRPr="00AD79C7">
        <w:rPr>
          <w:rFonts w:ascii="Abadi" w:hAnsi="Abadi"/>
          <w:b/>
          <w:bCs/>
          <w:spacing w:val="32"/>
          <w:sz w:val="21"/>
          <w:szCs w:val="21"/>
        </w:rPr>
        <w:t xml:space="preserve"> </w:t>
      </w:r>
      <w:r w:rsidRPr="00AD79C7">
        <w:rPr>
          <w:rFonts w:ascii="Abadi" w:hAnsi="Abadi"/>
          <w:b/>
          <w:bCs/>
          <w:sz w:val="21"/>
          <w:szCs w:val="21"/>
        </w:rPr>
        <w:t>Estado</w:t>
      </w:r>
      <w:r w:rsidRPr="00AD79C7">
        <w:rPr>
          <w:rFonts w:ascii="Abadi" w:hAnsi="Abadi"/>
          <w:b/>
          <w:bCs/>
          <w:spacing w:val="32"/>
          <w:sz w:val="21"/>
          <w:szCs w:val="21"/>
        </w:rPr>
        <w:t xml:space="preserve"> </w:t>
      </w:r>
      <w:r w:rsidRPr="00AD79C7">
        <w:rPr>
          <w:rFonts w:ascii="Abadi" w:hAnsi="Abadi"/>
          <w:b/>
          <w:bCs/>
          <w:sz w:val="21"/>
          <w:szCs w:val="21"/>
        </w:rPr>
        <w:t>de</w:t>
      </w:r>
      <w:r w:rsidRPr="00AD79C7">
        <w:rPr>
          <w:rFonts w:ascii="Abadi" w:hAnsi="Abadi"/>
          <w:b/>
          <w:bCs/>
          <w:spacing w:val="32"/>
          <w:sz w:val="21"/>
          <w:szCs w:val="21"/>
        </w:rPr>
        <w:t xml:space="preserve"> </w:t>
      </w:r>
      <w:r w:rsidRPr="00AD79C7">
        <w:rPr>
          <w:rFonts w:ascii="Abadi" w:hAnsi="Abadi"/>
          <w:b/>
          <w:bCs/>
          <w:sz w:val="21"/>
          <w:szCs w:val="21"/>
        </w:rPr>
        <w:t>Guanajuato,</w:t>
      </w:r>
      <w:r w:rsidRPr="00AD79C7">
        <w:rPr>
          <w:rFonts w:ascii="Abadi" w:hAnsi="Abadi"/>
          <w:b/>
          <w:bCs/>
          <w:spacing w:val="32"/>
          <w:sz w:val="21"/>
          <w:szCs w:val="21"/>
        </w:rPr>
        <w:t xml:space="preserve"> </w:t>
      </w:r>
      <w:r w:rsidRPr="00AD79C7">
        <w:rPr>
          <w:rFonts w:ascii="Abadi" w:hAnsi="Abadi"/>
          <w:b/>
          <w:bCs/>
          <w:sz w:val="21"/>
          <w:szCs w:val="21"/>
        </w:rPr>
        <w:t>para</w:t>
      </w:r>
      <w:r w:rsidRPr="00AD79C7">
        <w:rPr>
          <w:rFonts w:ascii="Abadi" w:hAnsi="Abadi"/>
          <w:b/>
          <w:bCs/>
          <w:spacing w:val="33"/>
          <w:sz w:val="21"/>
          <w:szCs w:val="21"/>
        </w:rPr>
        <w:t xml:space="preserve"> </w:t>
      </w:r>
      <w:r w:rsidRPr="00AD79C7">
        <w:rPr>
          <w:rFonts w:ascii="Abadi" w:hAnsi="Abadi"/>
          <w:b/>
          <w:bCs/>
          <w:sz w:val="21"/>
          <w:szCs w:val="21"/>
        </w:rPr>
        <w:t>que</w:t>
      </w:r>
      <w:r w:rsidRPr="00AD79C7">
        <w:rPr>
          <w:rFonts w:ascii="Abadi" w:hAnsi="Abadi"/>
          <w:b/>
          <w:bCs/>
          <w:spacing w:val="33"/>
          <w:sz w:val="21"/>
          <w:szCs w:val="21"/>
        </w:rPr>
        <w:t xml:space="preserve"> </w:t>
      </w:r>
      <w:r w:rsidRPr="00AD79C7">
        <w:rPr>
          <w:rFonts w:ascii="Abadi" w:hAnsi="Abadi"/>
          <w:b/>
          <w:bCs/>
          <w:sz w:val="21"/>
          <w:szCs w:val="21"/>
        </w:rPr>
        <w:t>lleve</w:t>
      </w:r>
      <w:r w:rsidRPr="00AD79C7">
        <w:rPr>
          <w:rFonts w:ascii="Abadi" w:hAnsi="Abadi"/>
          <w:b/>
          <w:bCs/>
          <w:spacing w:val="32"/>
          <w:sz w:val="21"/>
          <w:szCs w:val="21"/>
        </w:rPr>
        <w:t xml:space="preserve"> </w:t>
      </w:r>
      <w:r w:rsidRPr="00AD79C7">
        <w:rPr>
          <w:rFonts w:ascii="Abadi" w:hAnsi="Abadi"/>
          <w:b/>
          <w:bCs/>
          <w:sz w:val="21"/>
          <w:szCs w:val="21"/>
        </w:rPr>
        <w:t>a</w:t>
      </w:r>
      <w:r w:rsidRPr="00AD79C7">
        <w:rPr>
          <w:rFonts w:ascii="Abadi" w:hAnsi="Abadi"/>
          <w:b/>
          <w:bCs/>
          <w:spacing w:val="32"/>
          <w:sz w:val="21"/>
          <w:szCs w:val="21"/>
        </w:rPr>
        <w:t xml:space="preserve"> </w:t>
      </w:r>
      <w:r w:rsidRPr="00AD79C7">
        <w:rPr>
          <w:rFonts w:ascii="Abadi" w:hAnsi="Abadi"/>
          <w:b/>
          <w:bCs/>
          <w:sz w:val="21"/>
          <w:szCs w:val="21"/>
        </w:rPr>
        <w:t>cabo</w:t>
      </w:r>
      <w:r w:rsidRPr="00AD79C7">
        <w:rPr>
          <w:rFonts w:ascii="Abadi" w:hAnsi="Abadi"/>
          <w:b/>
          <w:bCs/>
          <w:spacing w:val="32"/>
          <w:sz w:val="21"/>
          <w:szCs w:val="21"/>
        </w:rPr>
        <w:t xml:space="preserve"> </w:t>
      </w:r>
      <w:r w:rsidRPr="00AD79C7">
        <w:rPr>
          <w:rFonts w:ascii="Abadi" w:hAnsi="Abadi"/>
          <w:b/>
          <w:bCs/>
          <w:sz w:val="21"/>
          <w:szCs w:val="21"/>
        </w:rPr>
        <w:t>una</w:t>
      </w:r>
      <w:r w:rsidRPr="00AD79C7">
        <w:rPr>
          <w:rFonts w:ascii="Abadi" w:hAnsi="Abadi"/>
          <w:b/>
          <w:bCs/>
          <w:spacing w:val="-2"/>
          <w:sz w:val="21"/>
          <w:szCs w:val="21"/>
        </w:rPr>
        <w:t xml:space="preserve"> </w:t>
      </w:r>
      <w:r w:rsidRPr="00AD79C7">
        <w:rPr>
          <w:rFonts w:ascii="Abadi" w:hAnsi="Abadi"/>
          <w:b/>
          <w:bCs/>
          <w:sz w:val="21"/>
          <w:szCs w:val="21"/>
        </w:rPr>
        <w:t>auditoría</w:t>
      </w:r>
      <w:r w:rsidRPr="00AD79C7">
        <w:rPr>
          <w:rFonts w:ascii="Abadi" w:hAnsi="Abadi"/>
          <w:b/>
          <w:bCs/>
          <w:spacing w:val="36"/>
          <w:sz w:val="21"/>
          <w:szCs w:val="21"/>
        </w:rPr>
        <w:t xml:space="preserve"> </w:t>
      </w:r>
      <w:r w:rsidRPr="00AD79C7">
        <w:rPr>
          <w:rFonts w:ascii="Abadi" w:hAnsi="Abadi"/>
          <w:b/>
          <w:bCs/>
          <w:sz w:val="21"/>
          <w:szCs w:val="21"/>
        </w:rPr>
        <w:t>financiera</w:t>
      </w:r>
      <w:r w:rsidRPr="00AD79C7">
        <w:rPr>
          <w:rFonts w:ascii="Abadi" w:hAnsi="Abadi"/>
          <w:b/>
          <w:bCs/>
          <w:spacing w:val="36"/>
          <w:sz w:val="21"/>
          <w:szCs w:val="21"/>
        </w:rPr>
        <w:t xml:space="preserve"> </w:t>
      </w:r>
      <w:r w:rsidRPr="00AD79C7">
        <w:rPr>
          <w:rFonts w:ascii="Abadi" w:hAnsi="Abadi"/>
          <w:b/>
          <w:bCs/>
          <w:sz w:val="21"/>
          <w:szCs w:val="21"/>
        </w:rPr>
        <w:t>integral</w:t>
      </w:r>
      <w:r w:rsidRPr="00AD79C7">
        <w:rPr>
          <w:rFonts w:ascii="Abadi" w:hAnsi="Abadi"/>
          <w:b/>
          <w:bCs/>
          <w:spacing w:val="35"/>
          <w:sz w:val="21"/>
          <w:szCs w:val="21"/>
        </w:rPr>
        <w:t xml:space="preserve"> </w:t>
      </w:r>
      <w:r w:rsidRPr="00AD79C7">
        <w:rPr>
          <w:rFonts w:ascii="Abadi" w:hAnsi="Abadi"/>
          <w:b/>
          <w:bCs/>
          <w:sz w:val="21"/>
          <w:szCs w:val="21"/>
        </w:rPr>
        <w:t>al</w:t>
      </w:r>
      <w:r w:rsidRPr="00AD79C7">
        <w:rPr>
          <w:rFonts w:ascii="Abadi" w:hAnsi="Abadi"/>
          <w:b/>
          <w:bCs/>
          <w:spacing w:val="35"/>
          <w:sz w:val="21"/>
          <w:szCs w:val="21"/>
        </w:rPr>
        <w:t xml:space="preserve"> </w:t>
      </w:r>
      <w:r w:rsidRPr="00AD79C7">
        <w:rPr>
          <w:rFonts w:ascii="Abadi" w:hAnsi="Abadi"/>
          <w:b/>
          <w:bCs/>
          <w:sz w:val="21"/>
          <w:szCs w:val="21"/>
        </w:rPr>
        <w:t>municipio</w:t>
      </w:r>
      <w:r w:rsidRPr="00AD79C7">
        <w:rPr>
          <w:rFonts w:ascii="Abadi" w:hAnsi="Abadi"/>
          <w:b/>
          <w:bCs/>
          <w:spacing w:val="36"/>
          <w:sz w:val="21"/>
          <w:szCs w:val="21"/>
        </w:rPr>
        <w:t xml:space="preserve"> </w:t>
      </w:r>
      <w:r w:rsidRPr="00AD79C7">
        <w:rPr>
          <w:rFonts w:ascii="Abadi" w:hAnsi="Abadi"/>
          <w:b/>
          <w:bCs/>
          <w:sz w:val="21"/>
          <w:szCs w:val="21"/>
        </w:rPr>
        <w:t>de</w:t>
      </w:r>
      <w:r w:rsidRPr="00AD79C7">
        <w:rPr>
          <w:rFonts w:ascii="Abadi" w:hAnsi="Abadi"/>
          <w:b/>
          <w:bCs/>
          <w:spacing w:val="36"/>
          <w:sz w:val="21"/>
          <w:szCs w:val="21"/>
        </w:rPr>
        <w:t xml:space="preserve"> </w:t>
      </w:r>
      <w:r w:rsidRPr="00AD79C7">
        <w:rPr>
          <w:rFonts w:ascii="Abadi" w:hAnsi="Abadi"/>
          <w:b/>
          <w:bCs/>
          <w:sz w:val="21"/>
          <w:szCs w:val="21"/>
        </w:rPr>
        <w:t>Silao,</w:t>
      </w:r>
      <w:r w:rsidRPr="00AD79C7">
        <w:rPr>
          <w:rFonts w:ascii="Abadi" w:hAnsi="Abadi"/>
          <w:b/>
          <w:bCs/>
          <w:spacing w:val="36"/>
          <w:sz w:val="21"/>
          <w:szCs w:val="21"/>
        </w:rPr>
        <w:t xml:space="preserve"> </w:t>
      </w:r>
      <w:r w:rsidRPr="00AD79C7">
        <w:rPr>
          <w:rFonts w:ascii="Abadi" w:hAnsi="Abadi"/>
          <w:b/>
          <w:bCs/>
          <w:sz w:val="21"/>
          <w:szCs w:val="21"/>
        </w:rPr>
        <w:t>Gto.,</w:t>
      </w:r>
      <w:r w:rsidRPr="00AD79C7">
        <w:rPr>
          <w:rFonts w:ascii="Abadi" w:hAnsi="Abadi"/>
          <w:b/>
          <w:bCs/>
          <w:spacing w:val="36"/>
          <w:sz w:val="21"/>
          <w:szCs w:val="21"/>
        </w:rPr>
        <w:t xml:space="preserve"> </w:t>
      </w:r>
      <w:r w:rsidRPr="00AD79C7">
        <w:rPr>
          <w:rFonts w:ascii="Abadi" w:hAnsi="Abadi"/>
          <w:b/>
          <w:bCs/>
          <w:sz w:val="21"/>
          <w:szCs w:val="21"/>
        </w:rPr>
        <w:t>por</w:t>
      </w:r>
      <w:r w:rsidRPr="00AD79C7">
        <w:rPr>
          <w:rFonts w:ascii="Abadi" w:hAnsi="Abadi"/>
          <w:b/>
          <w:bCs/>
          <w:spacing w:val="36"/>
          <w:sz w:val="21"/>
          <w:szCs w:val="21"/>
        </w:rPr>
        <w:t xml:space="preserve"> </w:t>
      </w:r>
      <w:r w:rsidRPr="00AD79C7">
        <w:rPr>
          <w:rFonts w:ascii="Abadi" w:hAnsi="Abadi"/>
          <w:b/>
          <w:bCs/>
          <w:sz w:val="21"/>
          <w:szCs w:val="21"/>
        </w:rPr>
        <w:t>los</w:t>
      </w:r>
      <w:r w:rsidRPr="00AD79C7">
        <w:rPr>
          <w:rFonts w:ascii="Abadi" w:hAnsi="Abadi"/>
          <w:b/>
          <w:bCs/>
          <w:spacing w:val="36"/>
          <w:sz w:val="21"/>
          <w:szCs w:val="21"/>
        </w:rPr>
        <w:t xml:space="preserve"> </w:t>
      </w:r>
      <w:r w:rsidRPr="00AD79C7">
        <w:rPr>
          <w:rFonts w:ascii="Abadi" w:hAnsi="Abadi"/>
          <w:b/>
          <w:bCs/>
          <w:sz w:val="21"/>
          <w:szCs w:val="21"/>
        </w:rPr>
        <w:t>ejercicios</w:t>
      </w:r>
      <w:r w:rsidRPr="00AD79C7">
        <w:rPr>
          <w:rFonts w:ascii="Abadi" w:hAnsi="Abadi"/>
          <w:b/>
          <w:bCs/>
          <w:spacing w:val="-2"/>
          <w:sz w:val="21"/>
          <w:szCs w:val="21"/>
        </w:rPr>
        <w:t xml:space="preserve"> </w:t>
      </w:r>
      <w:r w:rsidRPr="00AD79C7">
        <w:rPr>
          <w:rFonts w:ascii="Abadi" w:hAnsi="Abadi"/>
          <w:b/>
          <w:bCs/>
          <w:sz w:val="21"/>
          <w:szCs w:val="21"/>
        </w:rPr>
        <w:t>fiscales</w:t>
      </w:r>
      <w:r w:rsidRPr="00AD79C7">
        <w:rPr>
          <w:rFonts w:ascii="Abadi" w:hAnsi="Abadi"/>
          <w:b/>
          <w:bCs/>
          <w:spacing w:val="27"/>
          <w:sz w:val="21"/>
          <w:szCs w:val="21"/>
        </w:rPr>
        <w:t xml:space="preserve"> </w:t>
      </w:r>
      <w:r w:rsidRPr="00AD79C7">
        <w:rPr>
          <w:rFonts w:ascii="Abadi" w:hAnsi="Abadi"/>
          <w:b/>
          <w:bCs/>
          <w:sz w:val="21"/>
          <w:szCs w:val="21"/>
        </w:rPr>
        <w:t>de</w:t>
      </w:r>
      <w:r w:rsidRPr="00AD79C7">
        <w:rPr>
          <w:rFonts w:ascii="Abadi" w:hAnsi="Abadi"/>
          <w:b/>
          <w:bCs/>
          <w:spacing w:val="27"/>
          <w:sz w:val="21"/>
          <w:szCs w:val="21"/>
        </w:rPr>
        <w:t xml:space="preserve"> </w:t>
      </w:r>
      <w:r w:rsidRPr="00AD79C7">
        <w:rPr>
          <w:rFonts w:ascii="Abadi" w:hAnsi="Abadi"/>
          <w:b/>
          <w:bCs/>
          <w:sz w:val="21"/>
          <w:szCs w:val="21"/>
        </w:rPr>
        <w:t>2019,</w:t>
      </w:r>
      <w:r w:rsidRPr="00AD79C7">
        <w:rPr>
          <w:rFonts w:ascii="Abadi" w:hAnsi="Abadi"/>
          <w:b/>
          <w:bCs/>
          <w:spacing w:val="27"/>
          <w:sz w:val="21"/>
          <w:szCs w:val="21"/>
        </w:rPr>
        <w:t xml:space="preserve"> </w:t>
      </w:r>
      <w:r w:rsidRPr="00AD79C7">
        <w:rPr>
          <w:rFonts w:ascii="Abadi" w:hAnsi="Abadi"/>
          <w:b/>
          <w:bCs/>
          <w:sz w:val="21"/>
          <w:szCs w:val="21"/>
        </w:rPr>
        <w:t>2020</w:t>
      </w:r>
      <w:r w:rsidRPr="00AD79C7">
        <w:rPr>
          <w:rFonts w:ascii="Abadi" w:hAnsi="Abadi"/>
          <w:b/>
          <w:bCs/>
          <w:spacing w:val="27"/>
          <w:sz w:val="21"/>
          <w:szCs w:val="21"/>
        </w:rPr>
        <w:t xml:space="preserve"> </w:t>
      </w:r>
      <w:r w:rsidRPr="00AD79C7">
        <w:rPr>
          <w:rFonts w:ascii="Abadi" w:hAnsi="Abadi"/>
          <w:b/>
          <w:bCs/>
          <w:sz w:val="21"/>
          <w:szCs w:val="21"/>
        </w:rPr>
        <w:t>y</w:t>
      </w:r>
      <w:r w:rsidRPr="00AD79C7">
        <w:rPr>
          <w:rFonts w:ascii="Abadi" w:hAnsi="Abadi"/>
          <w:b/>
          <w:bCs/>
          <w:spacing w:val="27"/>
          <w:sz w:val="21"/>
          <w:szCs w:val="21"/>
        </w:rPr>
        <w:t xml:space="preserve"> </w:t>
      </w:r>
      <w:r w:rsidRPr="00AD79C7">
        <w:rPr>
          <w:rFonts w:ascii="Abadi" w:hAnsi="Abadi"/>
          <w:b/>
          <w:bCs/>
          <w:sz w:val="21"/>
          <w:szCs w:val="21"/>
        </w:rPr>
        <w:t>2021;</w:t>
      </w:r>
      <w:r w:rsidRPr="00AD79C7">
        <w:rPr>
          <w:rFonts w:ascii="Abadi" w:hAnsi="Abadi"/>
          <w:b/>
          <w:bCs/>
          <w:spacing w:val="27"/>
          <w:sz w:val="21"/>
          <w:szCs w:val="21"/>
        </w:rPr>
        <w:t xml:space="preserve"> </w:t>
      </w:r>
      <w:r w:rsidRPr="00AD79C7">
        <w:rPr>
          <w:rFonts w:ascii="Abadi" w:hAnsi="Abadi"/>
          <w:b/>
          <w:bCs/>
          <w:sz w:val="21"/>
          <w:szCs w:val="21"/>
        </w:rPr>
        <w:t>y</w:t>
      </w:r>
      <w:r w:rsidRPr="00AD79C7">
        <w:rPr>
          <w:rFonts w:ascii="Abadi" w:hAnsi="Abadi"/>
          <w:b/>
          <w:bCs/>
          <w:spacing w:val="27"/>
          <w:sz w:val="21"/>
          <w:szCs w:val="21"/>
        </w:rPr>
        <w:t xml:space="preserve"> </w:t>
      </w:r>
      <w:r w:rsidRPr="00AD79C7">
        <w:rPr>
          <w:rFonts w:ascii="Abadi" w:hAnsi="Abadi"/>
          <w:b/>
          <w:bCs/>
          <w:sz w:val="21"/>
          <w:szCs w:val="21"/>
        </w:rPr>
        <w:t>realice</w:t>
      </w:r>
      <w:r w:rsidRPr="00AD79C7">
        <w:rPr>
          <w:rFonts w:ascii="Abadi" w:hAnsi="Abadi"/>
          <w:b/>
          <w:bCs/>
          <w:spacing w:val="27"/>
          <w:sz w:val="21"/>
          <w:szCs w:val="21"/>
        </w:rPr>
        <w:t xml:space="preserve"> </w:t>
      </w:r>
      <w:r w:rsidRPr="00AD79C7">
        <w:rPr>
          <w:rFonts w:ascii="Abadi" w:hAnsi="Abadi"/>
          <w:b/>
          <w:bCs/>
          <w:sz w:val="21"/>
          <w:szCs w:val="21"/>
        </w:rPr>
        <w:t>las</w:t>
      </w:r>
      <w:r w:rsidRPr="00AD79C7">
        <w:rPr>
          <w:rFonts w:ascii="Abadi" w:hAnsi="Abadi"/>
          <w:b/>
          <w:bCs/>
          <w:spacing w:val="27"/>
          <w:sz w:val="21"/>
          <w:szCs w:val="21"/>
        </w:rPr>
        <w:t xml:space="preserve"> </w:t>
      </w:r>
      <w:r w:rsidRPr="00AD79C7">
        <w:rPr>
          <w:rFonts w:ascii="Abadi" w:hAnsi="Abadi"/>
          <w:b/>
          <w:bCs/>
          <w:sz w:val="21"/>
          <w:szCs w:val="21"/>
        </w:rPr>
        <w:t>investigaciones</w:t>
      </w:r>
      <w:r w:rsidRPr="00AD79C7">
        <w:rPr>
          <w:rFonts w:ascii="Abadi" w:hAnsi="Abadi"/>
          <w:b/>
          <w:bCs/>
          <w:spacing w:val="27"/>
          <w:sz w:val="21"/>
          <w:szCs w:val="21"/>
        </w:rPr>
        <w:t xml:space="preserve"> </w:t>
      </w:r>
      <w:r w:rsidRPr="00AD79C7">
        <w:rPr>
          <w:rFonts w:ascii="Abadi" w:hAnsi="Abadi"/>
          <w:b/>
          <w:bCs/>
          <w:sz w:val="21"/>
          <w:szCs w:val="21"/>
        </w:rPr>
        <w:t>necesarias</w:t>
      </w:r>
      <w:r w:rsidRPr="00AD79C7">
        <w:rPr>
          <w:rFonts w:ascii="Abadi" w:hAnsi="Abadi"/>
          <w:b/>
          <w:bCs/>
          <w:spacing w:val="27"/>
          <w:sz w:val="21"/>
          <w:szCs w:val="21"/>
        </w:rPr>
        <w:t xml:space="preserve"> </w:t>
      </w:r>
      <w:r w:rsidRPr="00AD79C7">
        <w:rPr>
          <w:rFonts w:ascii="Abadi" w:hAnsi="Abadi"/>
          <w:b/>
          <w:bCs/>
          <w:sz w:val="21"/>
          <w:szCs w:val="21"/>
        </w:rPr>
        <w:t>e</w:t>
      </w:r>
      <w:r w:rsidRPr="00AD79C7">
        <w:rPr>
          <w:rFonts w:ascii="Abadi" w:hAnsi="Abadi"/>
          <w:b/>
          <w:bCs/>
          <w:spacing w:val="-2"/>
          <w:sz w:val="21"/>
          <w:szCs w:val="21"/>
        </w:rPr>
        <w:t xml:space="preserve"> </w:t>
      </w:r>
      <w:r w:rsidRPr="00AD79C7">
        <w:rPr>
          <w:rFonts w:ascii="Abadi" w:hAnsi="Abadi"/>
          <w:b/>
          <w:bCs/>
          <w:sz w:val="21"/>
          <w:szCs w:val="21"/>
        </w:rPr>
        <w:t>informe</w:t>
      </w:r>
      <w:r w:rsidRPr="00AD79C7">
        <w:rPr>
          <w:rFonts w:ascii="Abadi" w:hAnsi="Abadi"/>
          <w:b/>
          <w:bCs/>
          <w:spacing w:val="53"/>
          <w:w w:val="150"/>
          <w:sz w:val="21"/>
          <w:szCs w:val="21"/>
        </w:rPr>
        <w:t xml:space="preserve"> </w:t>
      </w:r>
      <w:r w:rsidRPr="00AD79C7">
        <w:rPr>
          <w:rFonts w:ascii="Abadi" w:hAnsi="Abadi"/>
          <w:b/>
          <w:bCs/>
          <w:sz w:val="21"/>
          <w:szCs w:val="21"/>
        </w:rPr>
        <w:t>a</w:t>
      </w:r>
      <w:r w:rsidRPr="00AD79C7">
        <w:rPr>
          <w:rFonts w:ascii="Abadi" w:hAnsi="Abadi"/>
          <w:b/>
          <w:bCs/>
          <w:spacing w:val="53"/>
          <w:w w:val="150"/>
          <w:sz w:val="21"/>
          <w:szCs w:val="21"/>
        </w:rPr>
        <w:t xml:space="preserve"> </w:t>
      </w:r>
      <w:r w:rsidRPr="00AD79C7">
        <w:rPr>
          <w:rFonts w:ascii="Abadi" w:hAnsi="Abadi"/>
          <w:b/>
          <w:bCs/>
          <w:sz w:val="21"/>
          <w:szCs w:val="21"/>
        </w:rPr>
        <w:t>la</w:t>
      </w:r>
      <w:r w:rsidRPr="00AD79C7">
        <w:rPr>
          <w:rFonts w:ascii="Abadi" w:hAnsi="Abadi"/>
          <w:b/>
          <w:bCs/>
          <w:spacing w:val="53"/>
          <w:w w:val="150"/>
          <w:sz w:val="21"/>
          <w:szCs w:val="21"/>
        </w:rPr>
        <w:t xml:space="preserve"> </w:t>
      </w:r>
      <w:r w:rsidRPr="00AD79C7">
        <w:rPr>
          <w:rFonts w:ascii="Abadi" w:hAnsi="Abadi"/>
          <w:b/>
          <w:bCs/>
          <w:sz w:val="21"/>
          <w:szCs w:val="21"/>
        </w:rPr>
        <w:t>brevedad</w:t>
      </w:r>
      <w:r w:rsidRPr="00AD79C7">
        <w:rPr>
          <w:rFonts w:ascii="Abadi" w:hAnsi="Abadi"/>
          <w:b/>
          <w:bCs/>
          <w:spacing w:val="53"/>
          <w:w w:val="150"/>
          <w:sz w:val="21"/>
          <w:szCs w:val="21"/>
        </w:rPr>
        <w:t xml:space="preserve"> </w:t>
      </w:r>
      <w:r w:rsidRPr="00AD79C7">
        <w:rPr>
          <w:rFonts w:ascii="Abadi" w:hAnsi="Abadi"/>
          <w:b/>
          <w:bCs/>
          <w:sz w:val="21"/>
          <w:szCs w:val="21"/>
        </w:rPr>
        <w:t>al</w:t>
      </w:r>
      <w:r w:rsidRPr="00AD79C7">
        <w:rPr>
          <w:rFonts w:ascii="Abadi" w:hAnsi="Abadi"/>
          <w:b/>
          <w:bCs/>
          <w:spacing w:val="53"/>
          <w:w w:val="150"/>
          <w:sz w:val="21"/>
          <w:szCs w:val="21"/>
        </w:rPr>
        <w:t xml:space="preserve"> </w:t>
      </w:r>
      <w:r w:rsidRPr="00AD79C7">
        <w:rPr>
          <w:rFonts w:ascii="Abadi" w:hAnsi="Abadi"/>
          <w:b/>
          <w:bCs/>
          <w:sz w:val="21"/>
          <w:szCs w:val="21"/>
        </w:rPr>
        <w:t>Congreso</w:t>
      </w:r>
      <w:r w:rsidRPr="00AD79C7">
        <w:rPr>
          <w:rFonts w:ascii="Abadi" w:hAnsi="Abadi"/>
          <w:b/>
          <w:bCs/>
          <w:spacing w:val="53"/>
          <w:w w:val="150"/>
          <w:sz w:val="21"/>
          <w:szCs w:val="21"/>
        </w:rPr>
        <w:t xml:space="preserve"> </w:t>
      </w:r>
      <w:r w:rsidRPr="00AD79C7">
        <w:rPr>
          <w:rFonts w:ascii="Abadi" w:hAnsi="Abadi"/>
          <w:b/>
          <w:bCs/>
          <w:sz w:val="21"/>
          <w:szCs w:val="21"/>
        </w:rPr>
        <w:t>del</w:t>
      </w:r>
      <w:r w:rsidRPr="00AD79C7">
        <w:rPr>
          <w:rFonts w:ascii="Abadi" w:hAnsi="Abadi"/>
          <w:b/>
          <w:bCs/>
          <w:spacing w:val="53"/>
          <w:w w:val="150"/>
          <w:sz w:val="21"/>
          <w:szCs w:val="21"/>
        </w:rPr>
        <w:t xml:space="preserve"> </w:t>
      </w:r>
      <w:r w:rsidRPr="00AD79C7">
        <w:rPr>
          <w:rFonts w:ascii="Abadi" w:hAnsi="Abadi"/>
          <w:b/>
          <w:bCs/>
          <w:sz w:val="21"/>
          <w:szCs w:val="21"/>
        </w:rPr>
        <w:t>Estado</w:t>
      </w:r>
      <w:r w:rsidRPr="00AD79C7">
        <w:rPr>
          <w:rFonts w:ascii="Abadi" w:hAnsi="Abadi"/>
          <w:b/>
          <w:bCs/>
          <w:spacing w:val="53"/>
          <w:w w:val="150"/>
          <w:sz w:val="21"/>
          <w:szCs w:val="21"/>
        </w:rPr>
        <w:t xml:space="preserve"> </w:t>
      </w:r>
      <w:r w:rsidRPr="00AD79C7">
        <w:rPr>
          <w:rFonts w:ascii="Abadi" w:hAnsi="Abadi"/>
          <w:b/>
          <w:bCs/>
          <w:sz w:val="21"/>
          <w:szCs w:val="21"/>
        </w:rPr>
        <w:t>de</w:t>
      </w:r>
      <w:r w:rsidRPr="00AD79C7">
        <w:rPr>
          <w:rFonts w:ascii="Abadi" w:hAnsi="Abadi"/>
          <w:b/>
          <w:bCs/>
          <w:spacing w:val="53"/>
          <w:w w:val="150"/>
          <w:sz w:val="21"/>
          <w:szCs w:val="21"/>
        </w:rPr>
        <w:t xml:space="preserve"> </w:t>
      </w:r>
      <w:r w:rsidRPr="00AD79C7">
        <w:rPr>
          <w:rFonts w:ascii="Abadi" w:hAnsi="Abadi"/>
          <w:b/>
          <w:bCs/>
          <w:sz w:val="21"/>
          <w:szCs w:val="21"/>
        </w:rPr>
        <w:t>Guanajuato,</w:t>
      </w:r>
      <w:r w:rsidRPr="00AD79C7">
        <w:rPr>
          <w:rFonts w:ascii="Abadi" w:hAnsi="Abadi"/>
          <w:b/>
          <w:bCs/>
          <w:spacing w:val="53"/>
          <w:w w:val="150"/>
          <w:sz w:val="21"/>
          <w:szCs w:val="21"/>
        </w:rPr>
        <w:t xml:space="preserve"> </w:t>
      </w:r>
      <w:r w:rsidRPr="00AD79C7">
        <w:rPr>
          <w:rFonts w:ascii="Abadi" w:hAnsi="Abadi"/>
          <w:b/>
          <w:bCs/>
          <w:sz w:val="21"/>
          <w:szCs w:val="21"/>
        </w:rPr>
        <w:t>si</w:t>
      </w:r>
      <w:r w:rsidRPr="00AD79C7">
        <w:rPr>
          <w:rFonts w:ascii="Abadi" w:hAnsi="Abadi"/>
          <w:b/>
          <w:bCs/>
          <w:spacing w:val="53"/>
          <w:w w:val="150"/>
          <w:sz w:val="21"/>
          <w:szCs w:val="21"/>
        </w:rPr>
        <w:t xml:space="preserve"> </w:t>
      </w:r>
      <w:r w:rsidRPr="00AD79C7">
        <w:rPr>
          <w:rFonts w:ascii="Abadi" w:hAnsi="Abadi"/>
          <w:b/>
          <w:bCs/>
          <w:sz w:val="21"/>
          <w:szCs w:val="21"/>
        </w:rPr>
        <w:t>la</w:t>
      </w:r>
      <w:r w:rsidRPr="00AD79C7">
        <w:rPr>
          <w:rFonts w:ascii="Abadi" w:hAnsi="Abadi"/>
          <w:b/>
          <w:bCs/>
          <w:spacing w:val="-2"/>
          <w:sz w:val="21"/>
          <w:szCs w:val="21"/>
        </w:rPr>
        <w:t xml:space="preserve"> </w:t>
      </w:r>
      <w:r w:rsidRPr="00AD79C7">
        <w:rPr>
          <w:rFonts w:ascii="Abadi" w:hAnsi="Abadi"/>
          <w:b/>
          <w:bCs/>
          <w:sz w:val="21"/>
          <w:szCs w:val="21"/>
        </w:rPr>
        <w:t>Contraloría</w:t>
      </w:r>
      <w:r w:rsidRPr="00AD79C7">
        <w:rPr>
          <w:rFonts w:ascii="Abadi" w:hAnsi="Abadi"/>
          <w:b/>
          <w:bCs/>
          <w:spacing w:val="48"/>
          <w:w w:val="150"/>
          <w:sz w:val="21"/>
          <w:szCs w:val="21"/>
        </w:rPr>
        <w:t xml:space="preserve"> </w:t>
      </w:r>
      <w:r w:rsidRPr="00AD79C7">
        <w:rPr>
          <w:rFonts w:ascii="Abadi" w:hAnsi="Abadi"/>
          <w:b/>
          <w:bCs/>
          <w:sz w:val="21"/>
          <w:szCs w:val="21"/>
        </w:rPr>
        <w:t>del</w:t>
      </w:r>
      <w:r w:rsidRPr="00AD79C7">
        <w:rPr>
          <w:rFonts w:ascii="Abadi" w:hAnsi="Abadi"/>
          <w:b/>
          <w:bCs/>
          <w:spacing w:val="48"/>
          <w:w w:val="150"/>
          <w:sz w:val="21"/>
          <w:szCs w:val="21"/>
        </w:rPr>
        <w:t xml:space="preserve"> </w:t>
      </w:r>
      <w:r w:rsidRPr="00AD79C7">
        <w:rPr>
          <w:rFonts w:ascii="Abadi" w:hAnsi="Abadi"/>
          <w:b/>
          <w:bCs/>
          <w:sz w:val="21"/>
          <w:szCs w:val="21"/>
        </w:rPr>
        <w:t>municipio</w:t>
      </w:r>
      <w:r w:rsidRPr="00AD79C7">
        <w:rPr>
          <w:rFonts w:ascii="Abadi" w:hAnsi="Abadi"/>
          <w:b/>
          <w:bCs/>
          <w:spacing w:val="48"/>
          <w:w w:val="150"/>
          <w:sz w:val="21"/>
          <w:szCs w:val="21"/>
        </w:rPr>
        <w:t xml:space="preserve"> </w:t>
      </w:r>
      <w:r w:rsidRPr="00AD79C7">
        <w:rPr>
          <w:rFonts w:ascii="Abadi" w:hAnsi="Abadi"/>
          <w:b/>
          <w:bCs/>
          <w:sz w:val="21"/>
          <w:szCs w:val="21"/>
        </w:rPr>
        <w:t>de</w:t>
      </w:r>
      <w:r w:rsidRPr="00AD79C7">
        <w:rPr>
          <w:rFonts w:ascii="Abadi" w:hAnsi="Abadi"/>
          <w:b/>
          <w:bCs/>
          <w:spacing w:val="48"/>
          <w:w w:val="150"/>
          <w:sz w:val="21"/>
          <w:szCs w:val="21"/>
        </w:rPr>
        <w:t xml:space="preserve"> </w:t>
      </w:r>
      <w:r w:rsidRPr="00AD79C7">
        <w:rPr>
          <w:rFonts w:ascii="Abadi" w:hAnsi="Abadi"/>
          <w:b/>
          <w:bCs/>
          <w:sz w:val="21"/>
          <w:szCs w:val="21"/>
        </w:rPr>
        <w:t>Silao</w:t>
      </w:r>
      <w:r w:rsidRPr="00AD79C7">
        <w:rPr>
          <w:rFonts w:ascii="Abadi" w:hAnsi="Abadi"/>
          <w:b/>
          <w:bCs/>
          <w:spacing w:val="48"/>
          <w:w w:val="150"/>
          <w:sz w:val="21"/>
          <w:szCs w:val="21"/>
        </w:rPr>
        <w:t xml:space="preserve"> </w:t>
      </w:r>
      <w:r w:rsidRPr="00AD79C7">
        <w:rPr>
          <w:rFonts w:ascii="Abadi" w:hAnsi="Abadi"/>
          <w:b/>
          <w:bCs/>
          <w:sz w:val="21"/>
          <w:szCs w:val="21"/>
        </w:rPr>
        <w:t>inició</w:t>
      </w:r>
      <w:r w:rsidRPr="00AD79C7">
        <w:rPr>
          <w:rFonts w:ascii="Abadi" w:hAnsi="Abadi"/>
          <w:b/>
          <w:bCs/>
          <w:spacing w:val="80"/>
          <w:sz w:val="21"/>
          <w:szCs w:val="21"/>
        </w:rPr>
        <w:t xml:space="preserve"> </w:t>
      </w:r>
      <w:r w:rsidRPr="00AD79C7">
        <w:rPr>
          <w:rFonts w:ascii="Abadi" w:hAnsi="Abadi"/>
          <w:b/>
          <w:bCs/>
          <w:sz w:val="21"/>
          <w:szCs w:val="21"/>
        </w:rPr>
        <w:t>proceso</w:t>
      </w:r>
      <w:r w:rsidRPr="00AD79C7">
        <w:rPr>
          <w:rFonts w:ascii="Abadi" w:hAnsi="Abadi"/>
          <w:b/>
          <w:bCs/>
          <w:spacing w:val="48"/>
          <w:w w:val="150"/>
          <w:sz w:val="21"/>
          <w:szCs w:val="21"/>
        </w:rPr>
        <w:t xml:space="preserve"> </w:t>
      </w:r>
      <w:r w:rsidRPr="00AD79C7">
        <w:rPr>
          <w:rFonts w:ascii="Abadi" w:hAnsi="Abadi"/>
          <w:b/>
          <w:bCs/>
          <w:sz w:val="21"/>
          <w:szCs w:val="21"/>
        </w:rPr>
        <w:t>alguno</w:t>
      </w:r>
      <w:r w:rsidRPr="00AD79C7">
        <w:rPr>
          <w:rFonts w:ascii="Abadi" w:hAnsi="Abadi"/>
          <w:b/>
          <w:bCs/>
          <w:spacing w:val="48"/>
          <w:w w:val="150"/>
          <w:sz w:val="21"/>
          <w:szCs w:val="21"/>
        </w:rPr>
        <w:t xml:space="preserve"> </w:t>
      </w:r>
      <w:r w:rsidRPr="00AD79C7">
        <w:rPr>
          <w:rFonts w:ascii="Abadi" w:hAnsi="Abadi"/>
          <w:b/>
          <w:bCs/>
          <w:sz w:val="21"/>
          <w:szCs w:val="21"/>
        </w:rPr>
        <w:t>contra</w:t>
      </w:r>
      <w:r w:rsidRPr="00AD79C7">
        <w:rPr>
          <w:rFonts w:ascii="Abadi" w:hAnsi="Abadi"/>
          <w:b/>
          <w:bCs/>
          <w:spacing w:val="48"/>
          <w:w w:val="150"/>
          <w:sz w:val="21"/>
          <w:szCs w:val="21"/>
        </w:rPr>
        <w:t xml:space="preserve"> </w:t>
      </w:r>
      <w:r w:rsidRPr="00AD79C7">
        <w:rPr>
          <w:rFonts w:ascii="Abadi" w:hAnsi="Abadi"/>
          <w:b/>
          <w:bCs/>
          <w:sz w:val="21"/>
          <w:szCs w:val="21"/>
        </w:rPr>
        <w:t>quien</w:t>
      </w:r>
      <w:r w:rsidRPr="00AD79C7">
        <w:rPr>
          <w:rFonts w:ascii="Abadi" w:hAnsi="Abadi"/>
          <w:b/>
          <w:bCs/>
          <w:spacing w:val="-2"/>
          <w:sz w:val="21"/>
          <w:szCs w:val="21"/>
        </w:rPr>
        <w:t xml:space="preserve"> </w:t>
      </w:r>
      <w:r w:rsidRPr="00AD79C7">
        <w:rPr>
          <w:rFonts w:ascii="Abadi" w:hAnsi="Abadi"/>
          <w:b/>
          <w:bCs/>
          <w:sz w:val="21"/>
          <w:szCs w:val="21"/>
        </w:rPr>
        <w:t>resultara</w:t>
      </w:r>
      <w:r w:rsidRPr="00AD79C7">
        <w:rPr>
          <w:rFonts w:ascii="Abadi" w:hAnsi="Abadi"/>
          <w:b/>
          <w:bCs/>
          <w:spacing w:val="25"/>
          <w:sz w:val="21"/>
          <w:szCs w:val="21"/>
        </w:rPr>
        <w:t xml:space="preserve">  </w:t>
      </w:r>
      <w:r w:rsidRPr="00AD79C7">
        <w:rPr>
          <w:rFonts w:ascii="Abadi" w:hAnsi="Abadi"/>
          <w:b/>
          <w:bCs/>
          <w:sz w:val="21"/>
          <w:szCs w:val="21"/>
        </w:rPr>
        <w:t>responsable</w:t>
      </w:r>
      <w:r w:rsidRPr="00AD79C7">
        <w:rPr>
          <w:rFonts w:ascii="Abadi" w:hAnsi="Abadi"/>
          <w:b/>
          <w:bCs/>
          <w:spacing w:val="24"/>
          <w:sz w:val="21"/>
          <w:szCs w:val="21"/>
        </w:rPr>
        <w:t xml:space="preserve">  </w:t>
      </w:r>
      <w:r w:rsidRPr="00AD79C7">
        <w:rPr>
          <w:rFonts w:ascii="Abadi" w:hAnsi="Abadi"/>
          <w:b/>
          <w:bCs/>
          <w:sz w:val="21"/>
          <w:szCs w:val="21"/>
        </w:rPr>
        <w:t>por</w:t>
      </w:r>
      <w:r w:rsidRPr="00AD79C7">
        <w:rPr>
          <w:rFonts w:ascii="Abadi" w:hAnsi="Abadi"/>
          <w:b/>
          <w:bCs/>
          <w:spacing w:val="24"/>
          <w:sz w:val="21"/>
          <w:szCs w:val="21"/>
        </w:rPr>
        <w:t xml:space="preserve">  </w:t>
      </w:r>
      <w:r w:rsidRPr="00AD79C7">
        <w:rPr>
          <w:rFonts w:ascii="Abadi" w:hAnsi="Abadi"/>
          <w:b/>
          <w:bCs/>
          <w:sz w:val="21"/>
          <w:szCs w:val="21"/>
        </w:rPr>
        <w:t>las</w:t>
      </w:r>
      <w:r w:rsidRPr="00AD79C7">
        <w:rPr>
          <w:rFonts w:ascii="Abadi" w:hAnsi="Abadi"/>
          <w:b/>
          <w:bCs/>
          <w:spacing w:val="25"/>
          <w:sz w:val="21"/>
          <w:szCs w:val="21"/>
        </w:rPr>
        <w:t xml:space="preserve">  </w:t>
      </w:r>
      <w:r w:rsidRPr="00AD79C7">
        <w:rPr>
          <w:rFonts w:ascii="Abadi" w:hAnsi="Abadi"/>
          <w:b/>
          <w:bCs/>
          <w:sz w:val="21"/>
          <w:szCs w:val="21"/>
        </w:rPr>
        <w:t>observaciones</w:t>
      </w:r>
      <w:r w:rsidRPr="00AD79C7">
        <w:rPr>
          <w:rFonts w:ascii="Abadi" w:hAnsi="Abadi"/>
          <w:b/>
          <w:bCs/>
          <w:spacing w:val="25"/>
          <w:sz w:val="21"/>
          <w:szCs w:val="21"/>
        </w:rPr>
        <w:t xml:space="preserve">  </w:t>
      </w:r>
      <w:r w:rsidRPr="00AD79C7">
        <w:rPr>
          <w:rFonts w:ascii="Abadi" w:hAnsi="Abadi"/>
          <w:b/>
          <w:bCs/>
          <w:sz w:val="21"/>
          <w:szCs w:val="21"/>
        </w:rPr>
        <w:t>no</w:t>
      </w:r>
      <w:r w:rsidRPr="00AD79C7">
        <w:rPr>
          <w:rFonts w:ascii="Abadi" w:hAnsi="Abadi"/>
          <w:b/>
          <w:bCs/>
          <w:spacing w:val="24"/>
          <w:sz w:val="21"/>
          <w:szCs w:val="21"/>
        </w:rPr>
        <w:t xml:space="preserve">  </w:t>
      </w:r>
      <w:r w:rsidRPr="00AD79C7">
        <w:rPr>
          <w:rFonts w:ascii="Abadi" w:hAnsi="Abadi"/>
          <w:b/>
          <w:bCs/>
          <w:sz w:val="21"/>
          <w:szCs w:val="21"/>
        </w:rPr>
        <w:t>solventadas</w:t>
      </w:r>
      <w:r w:rsidRPr="00AD79C7">
        <w:rPr>
          <w:rFonts w:ascii="Abadi" w:hAnsi="Abadi"/>
          <w:b/>
          <w:bCs/>
          <w:spacing w:val="24"/>
          <w:sz w:val="21"/>
          <w:szCs w:val="21"/>
        </w:rPr>
        <w:t xml:space="preserve">  </w:t>
      </w:r>
      <w:r w:rsidRPr="00AD79C7">
        <w:rPr>
          <w:rFonts w:ascii="Abadi" w:hAnsi="Abadi"/>
          <w:b/>
          <w:bCs/>
          <w:sz w:val="21"/>
          <w:szCs w:val="21"/>
        </w:rPr>
        <w:t>de</w:t>
      </w:r>
      <w:r w:rsidRPr="00AD79C7">
        <w:rPr>
          <w:rFonts w:ascii="Abadi" w:hAnsi="Abadi"/>
          <w:b/>
          <w:bCs/>
          <w:spacing w:val="24"/>
          <w:sz w:val="21"/>
          <w:szCs w:val="21"/>
        </w:rPr>
        <w:t xml:space="preserve">  </w:t>
      </w:r>
      <w:r w:rsidRPr="00AD79C7">
        <w:rPr>
          <w:rFonts w:ascii="Abadi" w:hAnsi="Abadi"/>
          <w:b/>
          <w:bCs/>
          <w:sz w:val="21"/>
          <w:szCs w:val="21"/>
        </w:rPr>
        <w:t>las</w:t>
      </w:r>
      <w:r w:rsidRPr="00AD79C7">
        <w:rPr>
          <w:rFonts w:ascii="Abadi" w:hAnsi="Abadi"/>
          <w:b/>
          <w:bCs/>
          <w:spacing w:val="-2"/>
          <w:sz w:val="21"/>
          <w:szCs w:val="21"/>
        </w:rPr>
        <w:t xml:space="preserve"> </w:t>
      </w:r>
      <w:r w:rsidRPr="00AD79C7">
        <w:rPr>
          <w:rFonts w:ascii="Abadi" w:hAnsi="Abadi"/>
          <w:b/>
          <w:bCs/>
          <w:sz w:val="21"/>
          <w:szCs w:val="21"/>
        </w:rPr>
        <w:t>auditorías</w:t>
      </w:r>
      <w:r w:rsidRPr="00AD79C7">
        <w:rPr>
          <w:rFonts w:ascii="Abadi" w:hAnsi="Abadi"/>
          <w:b/>
          <w:bCs/>
          <w:spacing w:val="-1"/>
          <w:sz w:val="21"/>
          <w:szCs w:val="21"/>
        </w:rPr>
        <w:t xml:space="preserve"> </w:t>
      </w:r>
      <w:r w:rsidRPr="00AD79C7">
        <w:rPr>
          <w:rFonts w:ascii="Abadi" w:hAnsi="Abadi"/>
          <w:b/>
          <w:bCs/>
          <w:sz w:val="21"/>
          <w:szCs w:val="21"/>
        </w:rPr>
        <w:t>practicadas</w:t>
      </w:r>
      <w:r w:rsidRPr="00AD79C7">
        <w:rPr>
          <w:rFonts w:ascii="Abadi" w:hAnsi="Abadi"/>
          <w:b/>
          <w:bCs/>
          <w:spacing w:val="-1"/>
          <w:sz w:val="21"/>
          <w:szCs w:val="21"/>
        </w:rPr>
        <w:t xml:space="preserve"> </w:t>
      </w:r>
      <w:r w:rsidRPr="00AD79C7">
        <w:rPr>
          <w:rFonts w:ascii="Abadi" w:hAnsi="Abadi"/>
          <w:b/>
          <w:bCs/>
          <w:sz w:val="21"/>
          <w:szCs w:val="21"/>
        </w:rPr>
        <w:t>a</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administración</w:t>
      </w:r>
      <w:r w:rsidRPr="00AD79C7">
        <w:rPr>
          <w:rFonts w:ascii="Abadi" w:hAnsi="Abadi"/>
          <w:b/>
          <w:bCs/>
          <w:spacing w:val="-1"/>
          <w:sz w:val="21"/>
          <w:szCs w:val="21"/>
        </w:rPr>
        <w:t xml:space="preserve"> </w:t>
      </w:r>
      <w:r w:rsidRPr="00AD79C7">
        <w:rPr>
          <w:rFonts w:ascii="Abadi" w:hAnsi="Abadi"/>
          <w:b/>
          <w:bCs/>
          <w:sz w:val="21"/>
          <w:szCs w:val="21"/>
        </w:rPr>
        <w:t>2018-2021</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dicho</w:t>
      </w:r>
      <w:r w:rsidRPr="00AD79C7">
        <w:rPr>
          <w:rFonts w:ascii="Abadi" w:hAnsi="Abadi"/>
          <w:b/>
          <w:bCs/>
          <w:spacing w:val="-1"/>
          <w:sz w:val="21"/>
          <w:szCs w:val="21"/>
        </w:rPr>
        <w:t xml:space="preserve"> </w:t>
      </w:r>
      <w:r w:rsidRPr="00AD79C7">
        <w:rPr>
          <w:rFonts w:ascii="Abadi" w:hAnsi="Abadi"/>
          <w:b/>
          <w:bCs/>
          <w:sz w:val="21"/>
          <w:szCs w:val="21"/>
        </w:rPr>
        <w:t>Municipio</w:t>
      </w:r>
      <w:r w:rsidR="007641A9">
        <w:rPr>
          <w:rFonts w:ascii="Abadi" w:hAnsi="Abadi"/>
          <w:b/>
          <w:bCs/>
          <w:sz w:val="21"/>
          <w:szCs w:val="21"/>
        </w:rPr>
        <w:t>.</w:t>
      </w:r>
    </w:p>
    <w:p w14:paraId="386D8224" w14:textId="77777777" w:rsidR="007641A9" w:rsidRPr="007641A9" w:rsidRDefault="007641A9" w:rsidP="007641A9">
      <w:pPr>
        <w:pStyle w:val="Prrafodelista"/>
        <w:rPr>
          <w:rFonts w:ascii="Abadi" w:hAnsi="Abadi"/>
          <w:b/>
          <w:bCs/>
          <w:sz w:val="21"/>
          <w:szCs w:val="21"/>
        </w:rPr>
      </w:pPr>
    </w:p>
    <w:p w14:paraId="0896A989" w14:textId="2BC75465" w:rsidR="007641A9" w:rsidRPr="005353B1" w:rsidRDefault="007641A9"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i/>
          <w:iCs/>
          <w:sz w:val="21"/>
          <w:szCs w:val="21"/>
        </w:rPr>
      </w:pPr>
      <w:r w:rsidRPr="00AD79C7">
        <w:rPr>
          <w:rFonts w:ascii="Abadi" w:hAnsi="Abadi"/>
          <w:b/>
          <w:bCs/>
          <w:sz w:val="21"/>
          <w:szCs w:val="21"/>
        </w:rPr>
        <w:t>Discusión</w:t>
      </w:r>
      <w:r w:rsidRPr="00AD79C7">
        <w:rPr>
          <w:rFonts w:ascii="Abadi" w:hAnsi="Abadi"/>
          <w:b/>
          <w:bCs/>
          <w:spacing w:val="16"/>
          <w:sz w:val="21"/>
          <w:szCs w:val="21"/>
        </w:rPr>
        <w:t xml:space="preserve"> </w:t>
      </w:r>
      <w:r w:rsidRPr="00AD79C7">
        <w:rPr>
          <w:rFonts w:ascii="Abadi" w:hAnsi="Abadi"/>
          <w:b/>
          <w:bCs/>
          <w:sz w:val="21"/>
          <w:szCs w:val="21"/>
        </w:rPr>
        <w:t>y,</w:t>
      </w:r>
      <w:r w:rsidRPr="00AD79C7">
        <w:rPr>
          <w:rFonts w:ascii="Abadi" w:hAnsi="Abadi"/>
          <w:b/>
          <w:bCs/>
          <w:spacing w:val="15"/>
          <w:sz w:val="21"/>
          <w:szCs w:val="21"/>
        </w:rPr>
        <w:t xml:space="preserve"> </w:t>
      </w:r>
      <w:r w:rsidRPr="00AD79C7">
        <w:rPr>
          <w:rFonts w:ascii="Abadi" w:hAnsi="Abadi"/>
          <w:b/>
          <w:bCs/>
          <w:sz w:val="21"/>
          <w:szCs w:val="21"/>
        </w:rPr>
        <w:t>en</w:t>
      </w:r>
      <w:r w:rsidRPr="00AD79C7">
        <w:rPr>
          <w:rFonts w:ascii="Abadi" w:hAnsi="Abadi"/>
          <w:b/>
          <w:bCs/>
          <w:spacing w:val="16"/>
          <w:sz w:val="21"/>
          <w:szCs w:val="21"/>
        </w:rPr>
        <w:t xml:space="preserve"> </w:t>
      </w:r>
      <w:r w:rsidRPr="00AD79C7">
        <w:rPr>
          <w:rFonts w:ascii="Abadi" w:hAnsi="Abadi"/>
          <w:b/>
          <w:bCs/>
          <w:sz w:val="21"/>
          <w:szCs w:val="21"/>
        </w:rPr>
        <w:t>su</w:t>
      </w:r>
      <w:r w:rsidRPr="00AD79C7">
        <w:rPr>
          <w:rFonts w:ascii="Abadi" w:hAnsi="Abadi"/>
          <w:b/>
          <w:bCs/>
          <w:spacing w:val="16"/>
          <w:sz w:val="21"/>
          <w:szCs w:val="21"/>
        </w:rPr>
        <w:t xml:space="preserve"> </w:t>
      </w:r>
      <w:r w:rsidRPr="00AD79C7">
        <w:rPr>
          <w:rFonts w:ascii="Abadi" w:hAnsi="Abadi"/>
          <w:b/>
          <w:bCs/>
          <w:sz w:val="21"/>
          <w:szCs w:val="21"/>
        </w:rPr>
        <w:t>caso,</w:t>
      </w:r>
      <w:r w:rsidRPr="00AD79C7">
        <w:rPr>
          <w:rFonts w:ascii="Abadi" w:hAnsi="Abadi"/>
          <w:b/>
          <w:bCs/>
          <w:spacing w:val="15"/>
          <w:sz w:val="21"/>
          <w:szCs w:val="21"/>
        </w:rPr>
        <w:t xml:space="preserve"> </w:t>
      </w:r>
      <w:r w:rsidRPr="00AD79C7">
        <w:rPr>
          <w:rFonts w:ascii="Abadi" w:hAnsi="Abadi"/>
          <w:b/>
          <w:bCs/>
          <w:sz w:val="21"/>
          <w:szCs w:val="21"/>
        </w:rPr>
        <w:t>aprobación</w:t>
      </w:r>
      <w:r w:rsidRPr="00AD79C7">
        <w:rPr>
          <w:rFonts w:ascii="Abadi" w:hAnsi="Abadi"/>
          <w:b/>
          <w:bCs/>
          <w:spacing w:val="16"/>
          <w:sz w:val="21"/>
          <w:szCs w:val="21"/>
        </w:rPr>
        <w:t xml:space="preserve"> </w:t>
      </w:r>
      <w:r w:rsidRPr="00AD79C7">
        <w:rPr>
          <w:rFonts w:ascii="Abadi" w:hAnsi="Abadi"/>
          <w:b/>
          <w:bCs/>
          <w:sz w:val="21"/>
          <w:szCs w:val="21"/>
        </w:rPr>
        <w:t>del</w:t>
      </w:r>
      <w:r w:rsidRPr="00AD79C7">
        <w:rPr>
          <w:rFonts w:ascii="Abadi" w:hAnsi="Abadi"/>
          <w:b/>
          <w:bCs/>
          <w:spacing w:val="15"/>
          <w:sz w:val="21"/>
          <w:szCs w:val="21"/>
        </w:rPr>
        <w:t xml:space="preserve"> </w:t>
      </w:r>
      <w:r w:rsidRPr="00AD79C7">
        <w:rPr>
          <w:rFonts w:ascii="Abadi" w:hAnsi="Abadi"/>
          <w:b/>
          <w:bCs/>
          <w:sz w:val="21"/>
          <w:szCs w:val="21"/>
        </w:rPr>
        <w:t>dictamen</w:t>
      </w:r>
      <w:r w:rsidRPr="00AD79C7">
        <w:rPr>
          <w:rFonts w:ascii="Abadi" w:hAnsi="Abadi"/>
          <w:b/>
          <w:bCs/>
          <w:spacing w:val="16"/>
          <w:sz w:val="21"/>
          <w:szCs w:val="21"/>
        </w:rPr>
        <w:t xml:space="preserve"> </w:t>
      </w:r>
      <w:r w:rsidRPr="00AD79C7">
        <w:rPr>
          <w:rFonts w:ascii="Abadi" w:hAnsi="Abadi"/>
          <w:b/>
          <w:bCs/>
          <w:sz w:val="21"/>
          <w:szCs w:val="21"/>
        </w:rPr>
        <w:t>emitido</w:t>
      </w:r>
      <w:r w:rsidRPr="00AD79C7">
        <w:rPr>
          <w:rFonts w:ascii="Abadi" w:hAnsi="Abadi"/>
          <w:b/>
          <w:bCs/>
          <w:spacing w:val="15"/>
          <w:sz w:val="21"/>
          <w:szCs w:val="21"/>
        </w:rPr>
        <w:t xml:space="preserve"> </w:t>
      </w:r>
      <w:r w:rsidRPr="00AD79C7">
        <w:rPr>
          <w:rFonts w:ascii="Abadi" w:hAnsi="Abadi"/>
          <w:b/>
          <w:bCs/>
          <w:sz w:val="21"/>
          <w:szCs w:val="21"/>
        </w:rPr>
        <w:t>por</w:t>
      </w:r>
      <w:r w:rsidRPr="00AD79C7">
        <w:rPr>
          <w:rFonts w:ascii="Abadi" w:hAnsi="Abadi"/>
          <w:b/>
          <w:bCs/>
          <w:spacing w:val="15"/>
          <w:sz w:val="21"/>
          <w:szCs w:val="21"/>
        </w:rPr>
        <w:t xml:space="preserve"> </w:t>
      </w:r>
      <w:r w:rsidRPr="00AD79C7">
        <w:rPr>
          <w:rFonts w:ascii="Abadi" w:hAnsi="Abadi"/>
          <w:b/>
          <w:bCs/>
          <w:sz w:val="21"/>
          <w:szCs w:val="21"/>
        </w:rPr>
        <w:t>la</w:t>
      </w:r>
      <w:r w:rsidRPr="00AD79C7">
        <w:rPr>
          <w:rFonts w:ascii="Abadi" w:hAnsi="Abadi"/>
          <w:b/>
          <w:bCs/>
          <w:spacing w:val="16"/>
          <w:sz w:val="21"/>
          <w:szCs w:val="21"/>
        </w:rPr>
        <w:t xml:space="preserve"> </w:t>
      </w:r>
      <w:r w:rsidRPr="00AD79C7">
        <w:rPr>
          <w:rFonts w:ascii="Abadi" w:hAnsi="Abadi"/>
          <w:b/>
          <w:bCs/>
          <w:sz w:val="21"/>
          <w:szCs w:val="21"/>
        </w:rPr>
        <w:t>Comisión</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Hacienda</w:t>
      </w:r>
      <w:r w:rsidRPr="00AD79C7">
        <w:rPr>
          <w:rFonts w:ascii="Abadi" w:hAnsi="Abadi"/>
          <w:b/>
          <w:bCs/>
          <w:spacing w:val="32"/>
          <w:sz w:val="21"/>
          <w:szCs w:val="21"/>
        </w:rPr>
        <w:t xml:space="preserve"> </w:t>
      </w:r>
      <w:r w:rsidRPr="00AD79C7">
        <w:rPr>
          <w:rFonts w:ascii="Abadi" w:hAnsi="Abadi"/>
          <w:b/>
          <w:bCs/>
          <w:sz w:val="21"/>
          <w:szCs w:val="21"/>
        </w:rPr>
        <w:t>y</w:t>
      </w:r>
      <w:r w:rsidRPr="00AD79C7">
        <w:rPr>
          <w:rFonts w:ascii="Abadi" w:hAnsi="Abadi"/>
          <w:b/>
          <w:bCs/>
          <w:spacing w:val="33"/>
          <w:sz w:val="21"/>
          <w:szCs w:val="21"/>
        </w:rPr>
        <w:t xml:space="preserve"> </w:t>
      </w:r>
      <w:r w:rsidRPr="00AD79C7">
        <w:rPr>
          <w:rFonts w:ascii="Abadi" w:hAnsi="Abadi"/>
          <w:b/>
          <w:bCs/>
          <w:sz w:val="21"/>
          <w:szCs w:val="21"/>
        </w:rPr>
        <w:t>Fiscalización</w:t>
      </w:r>
      <w:r w:rsidRPr="00AD79C7">
        <w:rPr>
          <w:rFonts w:ascii="Abadi" w:hAnsi="Abadi"/>
          <w:b/>
          <w:bCs/>
          <w:spacing w:val="32"/>
          <w:sz w:val="21"/>
          <w:szCs w:val="21"/>
        </w:rPr>
        <w:t xml:space="preserve"> </w:t>
      </w:r>
      <w:r w:rsidRPr="00AD79C7">
        <w:rPr>
          <w:rFonts w:ascii="Abadi" w:hAnsi="Abadi"/>
          <w:b/>
          <w:bCs/>
          <w:sz w:val="21"/>
          <w:szCs w:val="21"/>
        </w:rPr>
        <w:t>relativo</w:t>
      </w:r>
      <w:r w:rsidRPr="00AD79C7">
        <w:rPr>
          <w:rFonts w:ascii="Abadi" w:hAnsi="Abadi"/>
          <w:b/>
          <w:bCs/>
          <w:spacing w:val="32"/>
          <w:sz w:val="21"/>
          <w:szCs w:val="21"/>
        </w:rPr>
        <w:t xml:space="preserve"> </w:t>
      </w:r>
      <w:r w:rsidRPr="00AD79C7">
        <w:rPr>
          <w:rFonts w:ascii="Abadi" w:hAnsi="Abadi"/>
          <w:b/>
          <w:bCs/>
          <w:sz w:val="21"/>
          <w:szCs w:val="21"/>
        </w:rPr>
        <w:t>a</w:t>
      </w:r>
      <w:r w:rsidRPr="00AD79C7">
        <w:rPr>
          <w:rFonts w:ascii="Abadi" w:hAnsi="Abadi"/>
          <w:b/>
          <w:bCs/>
          <w:spacing w:val="32"/>
          <w:sz w:val="21"/>
          <w:szCs w:val="21"/>
        </w:rPr>
        <w:t xml:space="preserve"> </w:t>
      </w:r>
      <w:r w:rsidRPr="00AD79C7">
        <w:rPr>
          <w:rFonts w:ascii="Abadi" w:hAnsi="Abadi"/>
          <w:b/>
          <w:bCs/>
          <w:sz w:val="21"/>
          <w:szCs w:val="21"/>
        </w:rPr>
        <w:t>la</w:t>
      </w:r>
      <w:r w:rsidRPr="00AD79C7">
        <w:rPr>
          <w:rFonts w:ascii="Abadi" w:hAnsi="Abadi"/>
          <w:b/>
          <w:bCs/>
          <w:spacing w:val="33"/>
          <w:sz w:val="21"/>
          <w:szCs w:val="21"/>
        </w:rPr>
        <w:t xml:space="preserve"> </w:t>
      </w:r>
      <w:r w:rsidRPr="00AD79C7">
        <w:rPr>
          <w:rFonts w:ascii="Abadi" w:hAnsi="Abadi"/>
          <w:b/>
          <w:bCs/>
          <w:sz w:val="21"/>
          <w:szCs w:val="21"/>
        </w:rPr>
        <w:t>propuesta</w:t>
      </w:r>
      <w:r w:rsidRPr="00AD79C7">
        <w:rPr>
          <w:rFonts w:ascii="Abadi" w:hAnsi="Abadi"/>
          <w:b/>
          <w:bCs/>
          <w:spacing w:val="33"/>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punto</w:t>
      </w:r>
      <w:r w:rsidRPr="00AD79C7">
        <w:rPr>
          <w:rFonts w:ascii="Abadi" w:hAnsi="Abadi"/>
          <w:b/>
          <w:bCs/>
          <w:spacing w:val="33"/>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acuerdo</w:t>
      </w:r>
      <w:r w:rsidRPr="00AD79C7">
        <w:rPr>
          <w:rFonts w:ascii="Abadi" w:hAnsi="Abadi"/>
          <w:b/>
          <w:bCs/>
          <w:spacing w:val="-2"/>
          <w:sz w:val="21"/>
          <w:szCs w:val="21"/>
        </w:rPr>
        <w:t xml:space="preserve"> </w:t>
      </w:r>
      <w:r w:rsidRPr="00AD79C7">
        <w:rPr>
          <w:rFonts w:ascii="Abadi" w:hAnsi="Abadi"/>
          <w:b/>
          <w:bCs/>
          <w:sz w:val="21"/>
          <w:szCs w:val="21"/>
        </w:rPr>
        <w:t>formulada</w:t>
      </w:r>
      <w:r w:rsidRPr="00AD79C7">
        <w:rPr>
          <w:rFonts w:ascii="Abadi" w:hAnsi="Abadi"/>
          <w:b/>
          <w:bCs/>
          <w:spacing w:val="25"/>
          <w:sz w:val="21"/>
          <w:szCs w:val="21"/>
        </w:rPr>
        <w:t xml:space="preserve"> </w:t>
      </w:r>
      <w:r w:rsidRPr="00AD79C7">
        <w:rPr>
          <w:rFonts w:ascii="Abadi" w:hAnsi="Abadi"/>
          <w:b/>
          <w:bCs/>
          <w:sz w:val="21"/>
          <w:szCs w:val="21"/>
        </w:rPr>
        <w:t>por</w:t>
      </w:r>
      <w:r w:rsidRPr="00AD79C7">
        <w:rPr>
          <w:rFonts w:ascii="Abadi" w:hAnsi="Abadi"/>
          <w:b/>
          <w:bCs/>
          <w:spacing w:val="25"/>
          <w:sz w:val="21"/>
          <w:szCs w:val="21"/>
        </w:rPr>
        <w:t xml:space="preserve"> </w:t>
      </w:r>
      <w:r w:rsidRPr="00AD79C7">
        <w:rPr>
          <w:rFonts w:ascii="Abadi" w:hAnsi="Abadi"/>
          <w:b/>
          <w:bCs/>
          <w:sz w:val="21"/>
          <w:szCs w:val="21"/>
        </w:rPr>
        <w:t>diputadas</w:t>
      </w:r>
      <w:r w:rsidRPr="00AD79C7">
        <w:rPr>
          <w:rFonts w:ascii="Abadi" w:hAnsi="Abadi"/>
          <w:b/>
          <w:bCs/>
          <w:spacing w:val="25"/>
          <w:sz w:val="21"/>
          <w:szCs w:val="21"/>
        </w:rPr>
        <w:t xml:space="preserve"> </w:t>
      </w:r>
      <w:r w:rsidRPr="00AD79C7">
        <w:rPr>
          <w:rFonts w:ascii="Abadi" w:hAnsi="Abadi"/>
          <w:b/>
          <w:bCs/>
          <w:sz w:val="21"/>
          <w:szCs w:val="21"/>
        </w:rPr>
        <w:t>y</w:t>
      </w:r>
      <w:r w:rsidRPr="00AD79C7">
        <w:rPr>
          <w:rFonts w:ascii="Abadi" w:hAnsi="Abadi"/>
          <w:b/>
          <w:bCs/>
          <w:spacing w:val="25"/>
          <w:sz w:val="21"/>
          <w:szCs w:val="21"/>
        </w:rPr>
        <w:t xml:space="preserve"> </w:t>
      </w:r>
      <w:r w:rsidRPr="00AD79C7">
        <w:rPr>
          <w:rFonts w:ascii="Abadi" w:hAnsi="Abadi"/>
          <w:b/>
          <w:bCs/>
          <w:sz w:val="21"/>
          <w:szCs w:val="21"/>
        </w:rPr>
        <w:t>diputados</w:t>
      </w:r>
      <w:r w:rsidRPr="00AD79C7">
        <w:rPr>
          <w:rFonts w:ascii="Abadi" w:hAnsi="Abadi"/>
          <w:b/>
          <w:bCs/>
          <w:spacing w:val="25"/>
          <w:sz w:val="21"/>
          <w:szCs w:val="21"/>
        </w:rPr>
        <w:t xml:space="preserve"> </w:t>
      </w:r>
      <w:r w:rsidRPr="00AD79C7">
        <w:rPr>
          <w:rFonts w:ascii="Abadi" w:hAnsi="Abadi"/>
          <w:b/>
          <w:bCs/>
          <w:sz w:val="21"/>
          <w:szCs w:val="21"/>
        </w:rPr>
        <w:t>integrantes</w:t>
      </w:r>
      <w:r w:rsidRPr="00AD79C7">
        <w:rPr>
          <w:rFonts w:ascii="Abadi" w:hAnsi="Abadi"/>
          <w:b/>
          <w:bCs/>
          <w:spacing w:val="25"/>
          <w:sz w:val="21"/>
          <w:szCs w:val="21"/>
        </w:rPr>
        <w:t xml:space="preserve"> </w:t>
      </w:r>
      <w:r w:rsidRPr="00AD79C7">
        <w:rPr>
          <w:rFonts w:ascii="Abadi" w:hAnsi="Abadi"/>
          <w:b/>
          <w:bCs/>
          <w:sz w:val="21"/>
          <w:szCs w:val="21"/>
        </w:rPr>
        <w:t>del</w:t>
      </w:r>
      <w:r w:rsidRPr="00AD79C7">
        <w:rPr>
          <w:rFonts w:ascii="Abadi" w:hAnsi="Abadi"/>
          <w:b/>
          <w:bCs/>
          <w:spacing w:val="25"/>
          <w:sz w:val="21"/>
          <w:szCs w:val="21"/>
        </w:rPr>
        <w:t xml:space="preserve"> </w:t>
      </w:r>
      <w:r w:rsidRPr="00AD79C7">
        <w:rPr>
          <w:rFonts w:ascii="Abadi" w:hAnsi="Abadi"/>
          <w:b/>
          <w:bCs/>
          <w:sz w:val="21"/>
          <w:szCs w:val="21"/>
        </w:rPr>
        <w:t>Grupo</w:t>
      </w:r>
      <w:r w:rsidRPr="00AD79C7">
        <w:rPr>
          <w:rFonts w:ascii="Abadi" w:hAnsi="Abadi"/>
          <w:b/>
          <w:bCs/>
          <w:spacing w:val="25"/>
          <w:sz w:val="21"/>
          <w:szCs w:val="21"/>
        </w:rPr>
        <w:t xml:space="preserve"> </w:t>
      </w:r>
      <w:r w:rsidRPr="00AD79C7">
        <w:rPr>
          <w:rFonts w:ascii="Abadi" w:hAnsi="Abadi"/>
          <w:b/>
          <w:bCs/>
          <w:sz w:val="21"/>
          <w:szCs w:val="21"/>
        </w:rPr>
        <w:t>Parlamentario</w:t>
      </w:r>
      <w:r w:rsidRPr="00AD79C7">
        <w:rPr>
          <w:rFonts w:ascii="Abadi" w:hAnsi="Abadi"/>
          <w:b/>
          <w:bCs/>
          <w:spacing w:val="-2"/>
          <w:sz w:val="21"/>
          <w:szCs w:val="21"/>
        </w:rPr>
        <w:t xml:space="preserve"> </w:t>
      </w:r>
      <w:r w:rsidRPr="00AD79C7">
        <w:rPr>
          <w:rFonts w:ascii="Abadi" w:hAnsi="Abadi"/>
          <w:b/>
          <w:bCs/>
          <w:sz w:val="21"/>
          <w:szCs w:val="21"/>
        </w:rPr>
        <w:t>del</w:t>
      </w:r>
      <w:r w:rsidRPr="00AD79C7">
        <w:rPr>
          <w:rFonts w:ascii="Abadi" w:hAnsi="Abadi"/>
          <w:b/>
          <w:bCs/>
          <w:spacing w:val="-3"/>
          <w:sz w:val="21"/>
          <w:szCs w:val="21"/>
        </w:rPr>
        <w:t xml:space="preserve"> </w:t>
      </w:r>
      <w:r w:rsidRPr="00AD79C7">
        <w:rPr>
          <w:rFonts w:ascii="Abadi" w:hAnsi="Abadi"/>
          <w:b/>
          <w:bCs/>
          <w:sz w:val="21"/>
          <w:szCs w:val="21"/>
        </w:rPr>
        <w:t>Partido</w:t>
      </w:r>
      <w:r w:rsidRPr="00AD79C7">
        <w:rPr>
          <w:rFonts w:ascii="Abadi" w:hAnsi="Abadi"/>
          <w:b/>
          <w:bCs/>
          <w:spacing w:val="-3"/>
          <w:sz w:val="21"/>
          <w:szCs w:val="21"/>
        </w:rPr>
        <w:t xml:space="preserve"> </w:t>
      </w:r>
      <w:r w:rsidRPr="00AD79C7">
        <w:rPr>
          <w:rFonts w:ascii="Abadi" w:hAnsi="Abadi"/>
          <w:b/>
          <w:bCs/>
          <w:sz w:val="21"/>
          <w:szCs w:val="21"/>
        </w:rPr>
        <w:t>MORENA,</w:t>
      </w:r>
      <w:r w:rsidRPr="00AD79C7">
        <w:rPr>
          <w:rFonts w:ascii="Abadi" w:hAnsi="Abadi"/>
          <w:b/>
          <w:bCs/>
          <w:spacing w:val="-3"/>
          <w:sz w:val="21"/>
          <w:szCs w:val="21"/>
        </w:rPr>
        <w:t xml:space="preserve"> </w:t>
      </w:r>
      <w:r w:rsidRPr="00AD79C7">
        <w:rPr>
          <w:rFonts w:ascii="Abadi" w:hAnsi="Abadi"/>
          <w:b/>
          <w:bCs/>
          <w:sz w:val="21"/>
          <w:szCs w:val="21"/>
        </w:rPr>
        <w:t>a</w:t>
      </w:r>
      <w:r w:rsidRPr="00AD79C7">
        <w:rPr>
          <w:rFonts w:ascii="Abadi" w:hAnsi="Abadi"/>
          <w:b/>
          <w:bCs/>
          <w:spacing w:val="-3"/>
          <w:sz w:val="21"/>
          <w:szCs w:val="21"/>
        </w:rPr>
        <w:t xml:space="preserve"> </w:t>
      </w:r>
      <w:r w:rsidRPr="00AD79C7">
        <w:rPr>
          <w:rFonts w:ascii="Abadi" w:hAnsi="Abadi"/>
          <w:b/>
          <w:bCs/>
          <w:sz w:val="21"/>
          <w:szCs w:val="21"/>
        </w:rPr>
        <w:t>efecto</w:t>
      </w:r>
      <w:r w:rsidRPr="00AD79C7">
        <w:rPr>
          <w:rFonts w:ascii="Abadi" w:hAnsi="Abadi"/>
          <w:b/>
          <w:bCs/>
          <w:spacing w:val="-3"/>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exhortar</w:t>
      </w:r>
      <w:r w:rsidRPr="00AD79C7">
        <w:rPr>
          <w:rFonts w:ascii="Abadi" w:hAnsi="Abadi"/>
          <w:b/>
          <w:bCs/>
          <w:spacing w:val="-3"/>
          <w:sz w:val="21"/>
          <w:szCs w:val="21"/>
        </w:rPr>
        <w:t xml:space="preserve"> </w:t>
      </w:r>
      <w:r w:rsidRPr="00AD79C7">
        <w:rPr>
          <w:rFonts w:ascii="Abadi" w:hAnsi="Abadi"/>
          <w:b/>
          <w:bCs/>
          <w:sz w:val="21"/>
          <w:szCs w:val="21"/>
        </w:rPr>
        <w:t>al</w:t>
      </w:r>
      <w:r w:rsidRPr="00AD79C7">
        <w:rPr>
          <w:rFonts w:ascii="Abadi" w:hAnsi="Abadi"/>
          <w:b/>
          <w:bCs/>
          <w:spacing w:val="-3"/>
          <w:sz w:val="21"/>
          <w:szCs w:val="21"/>
        </w:rPr>
        <w:t xml:space="preserve"> </w:t>
      </w:r>
      <w:r w:rsidRPr="00AD79C7">
        <w:rPr>
          <w:rFonts w:ascii="Abadi" w:hAnsi="Abadi"/>
          <w:b/>
          <w:bCs/>
          <w:sz w:val="21"/>
          <w:szCs w:val="21"/>
        </w:rPr>
        <w:t>titular</w:t>
      </w:r>
      <w:r w:rsidRPr="00AD79C7">
        <w:rPr>
          <w:rFonts w:ascii="Abadi" w:hAnsi="Abadi"/>
          <w:b/>
          <w:bCs/>
          <w:spacing w:val="-3"/>
          <w:sz w:val="21"/>
          <w:szCs w:val="21"/>
        </w:rPr>
        <w:t xml:space="preserve"> </w:t>
      </w:r>
      <w:r w:rsidRPr="00AD79C7">
        <w:rPr>
          <w:rFonts w:ascii="Abadi" w:hAnsi="Abadi"/>
          <w:b/>
          <w:bCs/>
          <w:sz w:val="21"/>
          <w:szCs w:val="21"/>
        </w:rPr>
        <w:t>de</w:t>
      </w:r>
      <w:r w:rsidRPr="00AD79C7">
        <w:rPr>
          <w:rFonts w:ascii="Abadi" w:hAnsi="Abadi"/>
          <w:b/>
          <w:bCs/>
          <w:spacing w:val="-3"/>
          <w:sz w:val="21"/>
          <w:szCs w:val="21"/>
        </w:rPr>
        <w:t xml:space="preserve"> </w:t>
      </w:r>
      <w:r w:rsidRPr="00AD79C7">
        <w:rPr>
          <w:rFonts w:ascii="Abadi" w:hAnsi="Abadi"/>
          <w:b/>
          <w:bCs/>
          <w:sz w:val="21"/>
          <w:szCs w:val="21"/>
        </w:rPr>
        <w:t>la</w:t>
      </w:r>
      <w:r w:rsidRPr="00AD79C7">
        <w:rPr>
          <w:rFonts w:ascii="Abadi" w:hAnsi="Abadi"/>
          <w:b/>
          <w:bCs/>
          <w:spacing w:val="-2"/>
          <w:sz w:val="21"/>
          <w:szCs w:val="21"/>
        </w:rPr>
        <w:t xml:space="preserve"> </w:t>
      </w:r>
      <w:r w:rsidRPr="00AD79C7">
        <w:rPr>
          <w:rFonts w:ascii="Abadi" w:hAnsi="Abadi"/>
          <w:b/>
          <w:bCs/>
          <w:sz w:val="21"/>
          <w:szCs w:val="21"/>
        </w:rPr>
        <w:t>Auditoría</w:t>
      </w:r>
      <w:r w:rsidRPr="00AD79C7">
        <w:rPr>
          <w:rFonts w:ascii="Abadi" w:hAnsi="Abadi"/>
          <w:b/>
          <w:bCs/>
          <w:spacing w:val="-3"/>
          <w:sz w:val="21"/>
          <w:szCs w:val="21"/>
        </w:rPr>
        <w:t xml:space="preserve"> </w:t>
      </w:r>
      <w:r w:rsidRPr="00AD79C7">
        <w:rPr>
          <w:rFonts w:ascii="Abadi" w:hAnsi="Abadi"/>
          <w:b/>
          <w:bCs/>
          <w:sz w:val="21"/>
          <w:szCs w:val="21"/>
        </w:rPr>
        <w:t>Superior</w:t>
      </w:r>
      <w:r w:rsidRPr="00AD79C7">
        <w:rPr>
          <w:rFonts w:ascii="Abadi" w:hAnsi="Abadi"/>
          <w:b/>
          <w:bCs/>
          <w:spacing w:val="-2"/>
          <w:sz w:val="21"/>
          <w:szCs w:val="21"/>
        </w:rPr>
        <w:t xml:space="preserve"> </w:t>
      </w:r>
      <w:r w:rsidRPr="00AD79C7">
        <w:rPr>
          <w:rFonts w:ascii="Abadi" w:hAnsi="Abadi"/>
          <w:b/>
          <w:bCs/>
          <w:sz w:val="21"/>
          <w:szCs w:val="21"/>
        </w:rPr>
        <w:t>del</w:t>
      </w:r>
      <w:r w:rsidRPr="00AD79C7">
        <w:rPr>
          <w:rFonts w:ascii="Abadi" w:hAnsi="Abadi"/>
          <w:b/>
          <w:bCs/>
          <w:spacing w:val="22"/>
          <w:sz w:val="21"/>
          <w:szCs w:val="21"/>
        </w:rPr>
        <w:t xml:space="preserve"> </w:t>
      </w:r>
      <w:r w:rsidRPr="00AD79C7">
        <w:rPr>
          <w:rFonts w:ascii="Abadi" w:hAnsi="Abadi"/>
          <w:b/>
          <w:bCs/>
          <w:sz w:val="21"/>
          <w:szCs w:val="21"/>
        </w:rPr>
        <w:t>Estado</w:t>
      </w:r>
      <w:r w:rsidRPr="00AD79C7">
        <w:rPr>
          <w:rFonts w:ascii="Abadi" w:hAnsi="Abadi"/>
          <w:b/>
          <w:bCs/>
          <w:spacing w:val="22"/>
          <w:sz w:val="21"/>
          <w:szCs w:val="21"/>
        </w:rPr>
        <w:t xml:space="preserve"> </w:t>
      </w:r>
      <w:r w:rsidRPr="00AD79C7">
        <w:rPr>
          <w:rFonts w:ascii="Abadi" w:hAnsi="Abadi"/>
          <w:b/>
          <w:bCs/>
          <w:sz w:val="21"/>
          <w:szCs w:val="21"/>
        </w:rPr>
        <w:t>de</w:t>
      </w:r>
      <w:r w:rsidRPr="00AD79C7">
        <w:rPr>
          <w:rFonts w:ascii="Abadi" w:hAnsi="Abadi"/>
          <w:b/>
          <w:bCs/>
          <w:spacing w:val="22"/>
          <w:sz w:val="21"/>
          <w:szCs w:val="21"/>
        </w:rPr>
        <w:t xml:space="preserve"> </w:t>
      </w:r>
      <w:r w:rsidRPr="00AD79C7">
        <w:rPr>
          <w:rFonts w:ascii="Abadi" w:hAnsi="Abadi"/>
          <w:b/>
          <w:bCs/>
          <w:sz w:val="21"/>
          <w:szCs w:val="21"/>
        </w:rPr>
        <w:t>Guanajuato,</w:t>
      </w:r>
      <w:r w:rsidRPr="00AD79C7">
        <w:rPr>
          <w:rFonts w:ascii="Abadi" w:hAnsi="Abadi"/>
          <w:b/>
          <w:bCs/>
          <w:spacing w:val="22"/>
          <w:sz w:val="21"/>
          <w:szCs w:val="21"/>
        </w:rPr>
        <w:t xml:space="preserve"> </w:t>
      </w:r>
      <w:r w:rsidRPr="00AD79C7">
        <w:rPr>
          <w:rFonts w:ascii="Abadi" w:hAnsi="Abadi"/>
          <w:b/>
          <w:bCs/>
          <w:sz w:val="21"/>
          <w:szCs w:val="21"/>
        </w:rPr>
        <w:t>para</w:t>
      </w:r>
      <w:r w:rsidRPr="00AD79C7">
        <w:rPr>
          <w:rFonts w:ascii="Abadi" w:hAnsi="Abadi"/>
          <w:b/>
          <w:bCs/>
          <w:spacing w:val="22"/>
          <w:sz w:val="21"/>
          <w:szCs w:val="21"/>
        </w:rPr>
        <w:t xml:space="preserve"> </w:t>
      </w:r>
      <w:r w:rsidRPr="00AD79C7">
        <w:rPr>
          <w:rFonts w:ascii="Abadi" w:hAnsi="Abadi"/>
          <w:b/>
          <w:bCs/>
          <w:sz w:val="21"/>
          <w:szCs w:val="21"/>
        </w:rPr>
        <w:t>que</w:t>
      </w:r>
      <w:r w:rsidRPr="00AD79C7">
        <w:rPr>
          <w:rFonts w:ascii="Abadi" w:hAnsi="Abadi"/>
          <w:b/>
          <w:bCs/>
          <w:spacing w:val="22"/>
          <w:sz w:val="21"/>
          <w:szCs w:val="21"/>
        </w:rPr>
        <w:t xml:space="preserve"> </w:t>
      </w:r>
      <w:r w:rsidRPr="00AD79C7">
        <w:rPr>
          <w:rFonts w:ascii="Abadi" w:hAnsi="Abadi"/>
          <w:b/>
          <w:bCs/>
          <w:sz w:val="21"/>
          <w:szCs w:val="21"/>
        </w:rPr>
        <w:t>lleve</w:t>
      </w:r>
      <w:r w:rsidRPr="00AD79C7">
        <w:rPr>
          <w:rFonts w:ascii="Abadi" w:hAnsi="Abadi"/>
          <w:b/>
          <w:bCs/>
          <w:spacing w:val="22"/>
          <w:sz w:val="21"/>
          <w:szCs w:val="21"/>
        </w:rPr>
        <w:t xml:space="preserve"> </w:t>
      </w:r>
      <w:r w:rsidRPr="00AD79C7">
        <w:rPr>
          <w:rFonts w:ascii="Abadi" w:hAnsi="Abadi"/>
          <w:b/>
          <w:bCs/>
          <w:sz w:val="21"/>
          <w:szCs w:val="21"/>
        </w:rPr>
        <w:t>a</w:t>
      </w:r>
      <w:r w:rsidRPr="00AD79C7">
        <w:rPr>
          <w:rFonts w:ascii="Abadi" w:hAnsi="Abadi"/>
          <w:b/>
          <w:bCs/>
          <w:spacing w:val="22"/>
          <w:sz w:val="21"/>
          <w:szCs w:val="21"/>
        </w:rPr>
        <w:t xml:space="preserve"> </w:t>
      </w:r>
      <w:r w:rsidRPr="00AD79C7">
        <w:rPr>
          <w:rFonts w:ascii="Abadi" w:hAnsi="Abadi"/>
          <w:b/>
          <w:bCs/>
          <w:sz w:val="21"/>
          <w:szCs w:val="21"/>
        </w:rPr>
        <w:t>cabo</w:t>
      </w:r>
      <w:r w:rsidRPr="00AD79C7">
        <w:rPr>
          <w:rFonts w:ascii="Abadi" w:hAnsi="Abadi"/>
          <w:b/>
          <w:bCs/>
          <w:spacing w:val="22"/>
          <w:sz w:val="21"/>
          <w:szCs w:val="21"/>
        </w:rPr>
        <w:t xml:space="preserve"> </w:t>
      </w:r>
      <w:r w:rsidRPr="00AD79C7">
        <w:rPr>
          <w:rFonts w:ascii="Abadi" w:hAnsi="Abadi"/>
          <w:b/>
          <w:bCs/>
          <w:sz w:val="21"/>
          <w:szCs w:val="21"/>
        </w:rPr>
        <w:t>una</w:t>
      </w:r>
      <w:r w:rsidRPr="00AD79C7">
        <w:rPr>
          <w:rFonts w:ascii="Abadi" w:hAnsi="Abadi"/>
          <w:b/>
          <w:bCs/>
          <w:spacing w:val="22"/>
          <w:sz w:val="21"/>
          <w:szCs w:val="21"/>
        </w:rPr>
        <w:t xml:space="preserve"> </w:t>
      </w:r>
      <w:r w:rsidRPr="00AD79C7">
        <w:rPr>
          <w:rFonts w:ascii="Abadi" w:hAnsi="Abadi"/>
          <w:b/>
          <w:bCs/>
          <w:sz w:val="21"/>
          <w:szCs w:val="21"/>
        </w:rPr>
        <w:t>auditoría</w:t>
      </w:r>
      <w:r w:rsidRPr="00AD79C7">
        <w:rPr>
          <w:rFonts w:ascii="Abadi" w:hAnsi="Abadi"/>
          <w:b/>
          <w:bCs/>
          <w:spacing w:val="22"/>
          <w:sz w:val="21"/>
          <w:szCs w:val="21"/>
        </w:rPr>
        <w:t xml:space="preserve"> </w:t>
      </w:r>
      <w:r w:rsidRPr="00AD79C7">
        <w:rPr>
          <w:rFonts w:ascii="Abadi" w:hAnsi="Abadi"/>
          <w:b/>
          <w:bCs/>
          <w:sz w:val="21"/>
          <w:szCs w:val="21"/>
        </w:rPr>
        <w:t>financiera</w:t>
      </w:r>
      <w:r w:rsidRPr="00AD79C7">
        <w:rPr>
          <w:rFonts w:ascii="Abadi" w:hAnsi="Abadi"/>
          <w:b/>
          <w:bCs/>
          <w:spacing w:val="-2"/>
          <w:sz w:val="21"/>
          <w:szCs w:val="21"/>
        </w:rPr>
        <w:t xml:space="preserve"> </w:t>
      </w:r>
      <w:r w:rsidRPr="00AD79C7">
        <w:rPr>
          <w:rFonts w:ascii="Abadi" w:hAnsi="Abadi"/>
          <w:b/>
          <w:bCs/>
          <w:sz w:val="21"/>
          <w:szCs w:val="21"/>
        </w:rPr>
        <w:t>integral</w:t>
      </w:r>
      <w:r w:rsidRPr="00AD79C7">
        <w:rPr>
          <w:rFonts w:ascii="Abadi" w:hAnsi="Abadi"/>
          <w:b/>
          <w:bCs/>
          <w:spacing w:val="18"/>
          <w:sz w:val="21"/>
          <w:szCs w:val="21"/>
        </w:rPr>
        <w:t xml:space="preserve"> </w:t>
      </w:r>
      <w:r w:rsidRPr="00AD79C7">
        <w:rPr>
          <w:rFonts w:ascii="Abadi" w:hAnsi="Abadi"/>
          <w:b/>
          <w:bCs/>
          <w:sz w:val="21"/>
          <w:szCs w:val="21"/>
        </w:rPr>
        <w:t>al</w:t>
      </w:r>
      <w:r w:rsidRPr="00AD79C7">
        <w:rPr>
          <w:rFonts w:ascii="Abadi" w:hAnsi="Abadi"/>
          <w:b/>
          <w:bCs/>
          <w:spacing w:val="18"/>
          <w:sz w:val="21"/>
          <w:szCs w:val="21"/>
        </w:rPr>
        <w:t xml:space="preserve"> </w:t>
      </w:r>
      <w:r w:rsidRPr="00AD79C7">
        <w:rPr>
          <w:rFonts w:ascii="Abadi" w:hAnsi="Abadi"/>
          <w:b/>
          <w:bCs/>
          <w:sz w:val="21"/>
          <w:szCs w:val="21"/>
        </w:rPr>
        <w:t>municipio</w:t>
      </w:r>
      <w:r w:rsidRPr="00AD79C7">
        <w:rPr>
          <w:rFonts w:ascii="Abadi" w:hAnsi="Abadi"/>
          <w:b/>
          <w:bCs/>
          <w:spacing w:val="18"/>
          <w:sz w:val="21"/>
          <w:szCs w:val="21"/>
        </w:rPr>
        <w:t xml:space="preserve"> </w:t>
      </w:r>
      <w:r w:rsidRPr="00AD79C7">
        <w:rPr>
          <w:rFonts w:ascii="Abadi" w:hAnsi="Abadi"/>
          <w:b/>
          <w:bCs/>
          <w:sz w:val="21"/>
          <w:szCs w:val="21"/>
        </w:rPr>
        <w:t>de</w:t>
      </w:r>
      <w:r w:rsidRPr="00AD79C7">
        <w:rPr>
          <w:rFonts w:ascii="Abadi" w:hAnsi="Abadi"/>
          <w:b/>
          <w:bCs/>
          <w:spacing w:val="18"/>
          <w:sz w:val="21"/>
          <w:szCs w:val="21"/>
        </w:rPr>
        <w:t xml:space="preserve"> </w:t>
      </w:r>
      <w:r w:rsidRPr="00AD79C7">
        <w:rPr>
          <w:rFonts w:ascii="Abadi" w:hAnsi="Abadi"/>
          <w:b/>
          <w:bCs/>
          <w:sz w:val="21"/>
          <w:szCs w:val="21"/>
        </w:rPr>
        <w:t>Cortazar,</w:t>
      </w:r>
      <w:r w:rsidRPr="00AD79C7">
        <w:rPr>
          <w:rFonts w:ascii="Abadi" w:hAnsi="Abadi"/>
          <w:b/>
          <w:bCs/>
          <w:spacing w:val="18"/>
          <w:sz w:val="21"/>
          <w:szCs w:val="21"/>
        </w:rPr>
        <w:t xml:space="preserve"> </w:t>
      </w:r>
      <w:r w:rsidRPr="00AD79C7">
        <w:rPr>
          <w:rFonts w:ascii="Abadi" w:hAnsi="Abadi"/>
          <w:b/>
          <w:bCs/>
          <w:sz w:val="21"/>
          <w:szCs w:val="21"/>
        </w:rPr>
        <w:t>Gto.,</w:t>
      </w:r>
      <w:r w:rsidRPr="00AD79C7">
        <w:rPr>
          <w:rFonts w:ascii="Abadi" w:hAnsi="Abadi"/>
          <w:b/>
          <w:bCs/>
          <w:spacing w:val="18"/>
          <w:sz w:val="21"/>
          <w:szCs w:val="21"/>
        </w:rPr>
        <w:t xml:space="preserve"> </w:t>
      </w:r>
      <w:r w:rsidRPr="00AD79C7">
        <w:rPr>
          <w:rFonts w:ascii="Abadi" w:hAnsi="Abadi"/>
          <w:b/>
          <w:bCs/>
          <w:sz w:val="21"/>
          <w:szCs w:val="21"/>
        </w:rPr>
        <w:t>por</w:t>
      </w:r>
      <w:r w:rsidRPr="00AD79C7">
        <w:rPr>
          <w:rFonts w:ascii="Abadi" w:hAnsi="Abadi"/>
          <w:b/>
          <w:bCs/>
          <w:spacing w:val="18"/>
          <w:sz w:val="21"/>
          <w:szCs w:val="21"/>
        </w:rPr>
        <w:t xml:space="preserve"> </w:t>
      </w:r>
      <w:r w:rsidRPr="00AD79C7">
        <w:rPr>
          <w:rFonts w:ascii="Abadi" w:hAnsi="Abadi"/>
          <w:b/>
          <w:bCs/>
          <w:sz w:val="21"/>
          <w:szCs w:val="21"/>
        </w:rPr>
        <w:t>los</w:t>
      </w:r>
      <w:r w:rsidRPr="00AD79C7">
        <w:rPr>
          <w:rFonts w:ascii="Abadi" w:hAnsi="Abadi"/>
          <w:b/>
          <w:bCs/>
          <w:spacing w:val="18"/>
          <w:sz w:val="21"/>
          <w:szCs w:val="21"/>
        </w:rPr>
        <w:t xml:space="preserve"> </w:t>
      </w:r>
      <w:r w:rsidRPr="00AD79C7">
        <w:rPr>
          <w:rFonts w:ascii="Abadi" w:hAnsi="Abadi"/>
          <w:b/>
          <w:bCs/>
          <w:sz w:val="21"/>
          <w:szCs w:val="21"/>
        </w:rPr>
        <w:t>ejercicios</w:t>
      </w:r>
      <w:r w:rsidRPr="00AD79C7">
        <w:rPr>
          <w:rFonts w:ascii="Abadi" w:hAnsi="Abadi"/>
          <w:b/>
          <w:bCs/>
          <w:spacing w:val="18"/>
          <w:sz w:val="21"/>
          <w:szCs w:val="21"/>
        </w:rPr>
        <w:t xml:space="preserve"> </w:t>
      </w:r>
      <w:r w:rsidRPr="00AD79C7">
        <w:rPr>
          <w:rFonts w:ascii="Abadi" w:hAnsi="Abadi"/>
          <w:b/>
          <w:bCs/>
          <w:sz w:val="21"/>
          <w:szCs w:val="21"/>
        </w:rPr>
        <w:t>fiscales</w:t>
      </w:r>
      <w:r w:rsidRPr="00AD79C7">
        <w:rPr>
          <w:rFonts w:ascii="Abadi" w:hAnsi="Abadi"/>
          <w:b/>
          <w:bCs/>
          <w:spacing w:val="18"/>
          <w:sz w:val="21"/>
          <w:szCs w:val="21"/>
        </w:rPr>
        <w:t xml:space="preserve"> </w:t>
      </w:r>
      <w:r w:rsidRPr="00AD79C7">
        <w:rPr>
          <w:rFonts w:ascii="Abadi" w:hAnsi="Abadi"/>
          <w:b/>
          <w:bCs/>
          <w:sz w:val="21"/>
          <w:szCs w:val="21"/>
        </w:rPr>
        <w:t>de</w:t>
      </w:r>
      <w:r w:rsidRPr="00AD79C7">
        <w:rPr>
          <w:rFonts w:ascii="Abadi" w:hAnsi="Abadi"/>
          <w:b/>
          <w:bCs/>
          <w:spacing w:val="18"/>
          <w:sz w:val="21"/>
          <w:szCs w:val="21"/>
        </w:rPr>
        <w:t xml:space="preserve"> </w:t>
      </w:r>
      <w:r w:rsidRPr="00AD79C7">
        <w:rPr>
          <w:rFonts w:ascii="Abadi" w:hAnsi="Abadi"/>
          <w:b/>
          <w:bCs/>
          <w:sz w:val="21"/>
          <w:szCs w:val="21"/>
        </w:rPr>
        <w:t>2019,</w:t>
      </w:r>
      <w:r w:rsidRPr="00AD79C7">
        <w:rPr>
          <w:rFonts w:ascii="Abadi" w:hAnsi="Abadi"/>
          <w:b/>
          <w:bCs/>
          <w:spacing w:val="-2"/>
          <w:sz w:val="21"/>
          <w:szCs w:val="21"/>
        </w:rPr>
        <w:t xml:space="preserve"> </w:t>
      </w:r>
      <w:r w:rsidRPr="00AD79C7">
        <w:rPr>
          <w:rFonts w:ascii="Abadi" w:hAnsi="Abadi"/>
          <w:b/>
          <w:bCs/>
          <w:sz w:val="21"/>
          <w:szCs w:val="21"/>
        </w:rPr>
        <w:t>2020</w:t>
      </w:r>
      <w:r w:rsidRPr="00AD79C7">
        <w:rPr>
          <w:rFonts w:ascii="Abadi" w:hAnsi="Abadi"/>
          <w:b/>
          <w:bCs/>
          <w:spacing w:val="80"/>
          <w:sz w:val="21"/>
          <w:szCs w:val="21"/>
        </w:rPr>
        <w:t xml:space="preserve"> </w:t>
      </w:r>
      <w:r w:rsidRPr="00AD79C7">
        <w:rPr>
          <w:rFonts w:ascii="Abadi" w:hAnsi="Abadi"/>
          <w:b/>
          <w:bCs/>
          <w:sz w:val="21"/>
          <w:szCs w:val="21"/>
        </w:rPr>
        <w:t>y</w:t>
      </w:r>
      <w:r w:rsidRPr="00AD79C7">
        <w:rPr>
          <w:rFonts w:ascii="Abadi" w:hAnsi="Abadi"/>
          <w:b/>
          <w:bCs/>
          <w:spacing w:val="80"/>
          <w:sz w:val="21"/>
          <w:szCs w:val="21"/>
        </w:rPr>
        <w:t xml:space="preserve"> </w:t>
      </w:r>
      <w:r w:rsidRPr="00AD79C7">
        <w:rPr>
          <w:rFonts w:ascii="Abadi" w:hAnsi="Abadi"/>
          <w:b/>
          <w:bCs/>
          <w:sz w:val="21"/>
          <w:szCs w:val="21"/>
        </w:rPr>
        <w:t>2021;</w:t>
      </w:r>
      <w:r w:rsidRPr="00AD79C7">
        <w:rPr>
          <w:rFonts w:ascii="Abadi" w:hAnsi="Abadi"/>
          <w:b/>
          <w:bCs/>
          <w:spacing w:val="80"/>
          <w:sz w:val="21"/>
          <w:szCs w:val="21"/>
        </w:rPr>
        <w:t xml:space="preserve"> </w:t>
      </w:r>
      <w:r w:rsidRPr="00AD79C7">
        <w:rPr>
          <w:rFonts w:ascii="Abadi" w:hAnsi="Abadi"/>
          <w:b/>
          <w:bCs/>
          <w:sz w:val="21"/>
          <w:szCs w:val="21"/>
        </w:rPr>
        <w:t>y</w:t>
      </w:r>
      <w:r w:rsidRPr="00AD79C7">
        <w:rPr>
          <w:rFonts w:ascii="Abadi" w:hAnsi="Abadi"/>
          <w:b/>
          <w:bCs/>
          <w:spacing w:val="80"/>
          <w:sz w:val="21"/>
          <w:szCs w:val="21"/>
        </w:rPr>
        <w:t xml:space="preserve"> </w:t>
      </w:r>
      <w:r w:rsidRPr="00AD79C7">
        <w:rPr>
          <w:rFonts w:ascii="Abadi" w:hAnsi="Abadi"/>
          <w:b/>
          <w:bCs/>
          <w:sz w:val="21"/>
          <w:szCs w:val="21"/>
        </w:rPr>
        <w:t>realice</w:t>
      </w:r>
      <w:r w:rsidRPr="00AD79C7">
        <w:rPr>
          <w:rFonts w:ascii="Abadi" w:hAnsi="Abadi"/>
          <w:b/>
          <w:bCs/>
          <w:spacing w:val="80"/>
          <w:sz w:val="21"/>
          <w:szCs w:val="21"/>
        </w:rPr>
        <w:t xml:space="preserve"> </w:t>
      </w:r>
      <w:r w:rsidRPr="00AD79C7">
        <w:rPr>
          <w:rFonts w:ascii="Abadi" w:hAnsi="Abadi"/>
          <w:b/>
          <w:bCs/>
          <w:sz w:val="21"/>
          <w:szCs w:val="21"/>
        </w:rPr>
        <w:t>las</w:t>
      </w:r>
      <w:r w:rsidRPr="00AD79C7">
        <w:rPr>
          <w:rFonts w:ascii="Abadi" w:hAnsi="Abadi"/>
          <w:b/>
          <w:bCs/>
          <w:spacing w:val="80"/>
          <w:sz w:val="21"/>
          <w:szCs w:val="21"/>
        </w:rPr>
        <w:t xml:space="preserve"> </w:t>
      </w:r>
      <w:r w:rsidRPr="00AD79C7">
        <w:rPr>
          <w:rFonts w:ascii="Abadi" w:hAnsi="Abadi"/>
          <w:b/>
          <w:bCs/>
          <w:sz w:val="21"/>
          <w:szCs w:val="21"/>
        </w:rPr>
        <w:t>investigaciones</w:t>
      </w:r>
      <w:r w:rsidRPr="00AD79C7">
        <w:rPr>
          <w:rFonts w:ascii="Abadi" w:hAnsi="Abadi"/>
          <w:b/>
          <w:bCs/>
          <w:spacing w:val="80"/>
          <w:sz w:val="21"/>
          <w:szCs w:val="21"/>
        </w:rPr>
        <w:t xml:space="preserve"> </w:t>
      </w:r>
      <w:r w:rsidRPr="00AD79C7">
        <w:rPr>
          <w:rFonts w:ascii="Abadi" w:hAnsi="Abadi"/>
          <w:b/>
          <w:bCs/>
          <w:sz w:val="21"/>
          <w:szCs w:val="21"/>
        </w:rPr>
        <w:t>necesarias</w:t>
      </w:r>
      <w:r w:rsidRPr="00AD79C7">
        <w:rPr>
          <w:rFonts w:ascii="Abadi" w:hAnsi="Abadi"/>
          <w:b/>
          <w:bCs/>
          <w:spacing w:val="80"/>
          <w:sz w:val="21"/>
          <w:szCs w:val="21"/>
        </w:rPr>
        <w:t xml:space="preserve"> </w:t>
      </w:r>
      <w:r w:rsidRPr="00AD79C7">
        <w:rPr>
          <w:rFonts w:ascii="Abadi" w:hAnsi="Abadi"/>
          <w:b/>
          <w:bCs/>
          <w:sz w:val="21"/>
          <w:szCs w:val="21"/>
        </w:rPr>
        <w:t>e</w:t>
      </w:r>
      <w:r w:rsidRPr="00AD79C7">
        <w:rPr>
          <w:rFonts w:ascii="Abadi" w:hAnsi="Abadi"/>
          <w:b/>
          <w:bCs/>
          <w:spacing w:val="80"/>
          <w:sz w:val="21"/>
          <w:szCs w:val="21"/>
        </w:rPr>
        <w:t xml:space="preserve"> </w:t>
      </w:r>
      <w:r w:rsidRPr="00AD79C7">
        <w:rPr>
          <w:rFonts w:ascii="Abadi" w:hAnsi="Abadi"/>
          <w:b/>
          <w:bCs/>
          <w:sz w:val="21"/>
          <w:szCs w:val="21"/>
        </w:rPr>
        <w:t>informe</w:t>
      </w:r>
      <w:r w:rsidRPr="00AD79C7">
        <w:rPr>
          <w:rFonts w:ascii="Abadi" w:hAnsi="Abadi"/>
          <w:b/>
          <w:bCs/>
          <w:spacing w:val="80"/>
          <w:sz w:val="21"/>
          <w:szCs w:val="21"/>
        </w:rPr>
        <w:t xml:space="preserve"> </w:t>
      </w:r>
      <w:r w:rsidRPr="00AD79C7">
        <w:rPr>
          <w:rFonts w:ascii="Abadi" w:hAnsi="Abadi"/>
          <w:b/>
          <w:bCs/>
          <w:sz w:val="21"/>
          <w:szCs w:val="21"/>
        </w:rPr>
        <w:t>a</w:t>
      </w:r>
      <w:r w:rsidRPr="00AD79C7">
        <w:rPr>
          <w:rFonts w:ascii="Abadi" w:hAnsi="Abadi"/>
          <w:b/>
          <w:bCs/>
          <w:spacing w:val="80"/>
          <w:sz w:val="21"/>
          <w:szCs w:val="21"/>
        </w:rPr>
        <w:t xml:space="preserve"> </w:t>
      </w:r>
      <w:r w:rsidRPr="00AD79C7">
        <w:rPr>
          <w:rFonts w:ascii="Abadi" w:hAnsi="Abadi"/>
          <w:b/>
          <w:bCs/>
          <w:sz w:val="21"/>
          <w:szCs w:val="21"/>
        </w:rPr>
        <w:t>la</w:t>
      </w:r>
      <w:r w:rsidRPr="00AD79C7">
        <w:rPr>
          <w:rFonts w:ascii="Abadi" w:hAnsi="Abadi"/>
          <w:b/>
          <w:bCs/>
          <w:spacing w:val="-2"/>
          <w:sz w:val="21"/>
          <w:szCs w:val="21"/>
        </w:rPr>
        <w:t xml:space="preserve"> </w:t>
      </w:r>
      <w:r w:rsidRPr="00AD79C7">
        <w:rPr>
          <w:rFonts w:ascii="Abadi" w:hAnsi="Abadi"/>
          <w:b/>
          <w:bCs/>
          <w:sz w:val="21"/>
          <w:szCs w:val="21"/>
        </w:rPr>
        <w:t>brevedad</w:t>
      </w:r>
      <w:r w:rsidRPr="00AD79C7">
        <w:rPr>
          <w:rFonts w:ascii="Abadi" w:hAnsi="Abadi"/>
          <w:b/>
          <w:bCs/>
          <w:spacing w:val="-10"/>
          <w:sz w:val="21"/>
          <w:szCs w:val="21"/>
        </w:rPr>
        <w:t xml:space="preserve"> </w:t>
      </w:r>
      <w:r w:rsidRPr="00AD79C7">
        <w:rPr>
          <w:rFonts w:ascii="Abadi" w:hAnsi="Abadi"/>
          <w:b/>
          <w:bCs/>
          <w:sz w:val="21"/>
          <w:szCs w:val="21"/>
        </w:rPr>
        <w:t>al</w:t>
      </w:r>
      <w:r w:rsidRPr="00AD79C7">
        <w:rPr>
          <w:rFonts w:ascii="Abadi" w:hAnsi="Abadi"/>
          <w:b/>
          <w:bCs/>
          <w:spacing w:val="-11"/>
          <w:sz w:val="21"/>
          <w:szCs w:val="21"/>
        </w:rPr>
        <w:t xml:space="preserve"> </w:t>
      </w:r>
      <w:r w:rsidRPr="00AD79C7">
        <w:rPr>
          <w:rFonts w:ascii="Abadi" w:hAnsi="Abadi"/>
          <w:b/>
          <w:bCs/>
          <w:sz w:val="21"/>
          <w:szCs w:val="21"/>
        </w:rPr>
        <w:t>Congreso</w:t>
      </w:r>
      <w:r w:rsidRPr="00AD79C7">
        <w:rPr>
          <w:rFonts w:ascii="Abadi" w:hAnsi="Abadi"/>
          <w:b/>
          <w:bCs/>
          <w:spacing w:val="-10"/>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Estado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Guanajuato,</w:t>
      </w:r>
      <w:r w:rsidRPr="00AD79C7">
        <w:rPr>
          <w:rFonts w:ascii="Abadi" w:hAnsi="Abadi"/>
          <w:b/>
          <w:bCs/>
          <w:spacing w:val="-11"/>
          <w:sz w:val="21"/>
          <w:szCs w:val="21"/>
        </w:rPr>
        <w:t xml:space="preserve"> </w:t>
      </w:r>
      <w:r w:rsidRPr="00AD79C7">
        <w:rPr>
          <w:rFonts w:ascii="Abadi" w:hAnsi="Abadi"/>
          <w:b/>
          <w:bCs/>
          <w:sz w:val="21"/>
          <w:szCs w:val="21"/>
        </w:rPr>
        <w:t>si</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Contraloría</w:t>
      </w:r>
      <w:r w:rsidRPr="00AD79C7">
        <w:rPr>
          <w:rFonts w:ascii="Abadi" w:hAnsi="Abadi"/>
          <w:b/>
          <w:bCs/>
          <w:spacing w:val="-9"/>
          <w:sz w:val="21"/>
          <w:szCs w:val="21"/>
        </w:rPr>
        <w:t xml:space="preserve"> </w:t>
      </w:r>
      <w:r w:rsidRPr="00AD79C7">
        <w:rPr>
          <w:rFonts w:ascii="Abadi" w:hAnsi="Abadi"/>
          <w:b/>
          <w:bCs/>
          <w:sz w:val="21"/>
          <w:szCs w:val="21"/>
        </w:rPr>
        <w:t>Municipal</w:t>
      </w:r>
      <w:r w:rsidRPr="00AD79C7">
        <w:rPr>
          <w:rFonts w:ascii="Abadi" w:hAnsi="Abadi"/>
          <w:b/>
          <w:bCs/>
          <w:spacing w:val="-2"/>
          <w:sz w:val="21"/>
          <w:szCs w:val="21"/>
        </w:rPr>
        <w:t xml:space="preserve"> </w:t>
      </w:r>
      <w:r w:rsidRPr="00AD79C7">
        <w:rPr>
          <w:rFonts w:ascii="Abadi" w:hAnsi="Abadi"/>
          <w:b/>
          <w:bCs/>
          <w:sz w:val="21"/>
          <w:szCs w:val="21"/>
        </w:rPr>
        <w:t>inició</w:t>
      </w:r>
      <w:r w:rsidRPr="00AD79C7">
        <w:rPr>
          <w:rFonts w:ascii="Abadi" w:hAnsi="Abadi"/>
          <w:b/>
          <w:bCs/>
          <w:spacing w:val="20"/>
          <w:sz w:val="21"/>
          <w:szCs w:val="21"/>
        </w:rPr>
        <w:t xml:space="preserve"> </w:t>
      </w:r>
      <w:r w:rsidRPr="00AD79C7">
        <w:rPr>
          <w:rFonts w:ascii="Abadi" w:hAnsi="Abadi"/>
          <w:b/>
          <w:bCs/>
          <w:sz w:val="21"/>
          <w:szCs w:val="21"/>
        </w:rPr>
        <w:t>algún</w:t>
      </w:r>
      <w:r w:rsidRPr="00AD79C7">
        <w:rPr>
          <w:rFonts w:ascii="Abadi" w:hAnsi="Abadi"/>
          <w:b/>
          <w:bCs/>
          <w:spacing w:val="20"/>
          <w:sz w:val="21"/>
          <w:szCs w:val="21"/>
        </w:rPr>
        <w:t xml:space="preserve"> </w:t>
      </w:r>
      <w:r w:rsidRPr="00AD79C7">
        <w:rPr>
          <w:rFonts w:ascii="Abadi" w:hAnsi="Abadi"/>
          <w:b/>
          <w:bCs/>
          <w:sz w:val="21"/>
          <w:szCs w:val="21"/>
        </w:rPr>
        <w:t>proceso</w:t>
      </w:r>
      <w:r w:rsidRPr="00AD79C7">
        <w:rPr>
          <w:rFonts w:ascii="Abadi" w:hAnsi="Abadi"/>
          <w:b/>
          <w:bCs/>
          <w:spacing w:val="20"/>
          <w:sz w:val="21"/>
          <w:szCs w:val="21"/>
        </w:rPr>
        <w:t xml:space="preserve"> </w:t>
      </w:r>
      <w:r w:rsidRPr="00AD79C7">
        <w:rPr>
          <w:rFonts w:ascii="Abadi" w:hAnsi="Abadi"/>
          <w:b/>
          <w:bCs/>
          <w:sz w:val="21"/>
          <w:szCs w:val="21"/>
        </w:rPr>
        <w:t>derivado</w:t>
      </w:r>
      <w:r w:rsidRPr="00AD79C7">
        <w:rPr>
          <w:rFonts w:ascii="Abadi" w:hAnsi="Abadi"/>
          <w:b/>
          <w:bCs/>
          <w:spacing w:val="20"/>
          <w:sz w:val="21"/>
          <w:szCs w:val="21"/>
        </w:rPr>
        <w:t xml:space="preserve"> </w:t>
      </w:r>
      <w:r w:rsidRPr="00AD79C7">
        <w:rPr>
          <w:rFonts w:ascii="Abadi" w:hAnsi="Abadi"/>
          <w:b/>
          <w:bCs/>
          <w:sz w:val="21"/>
          <w:szCs w:val="21"/>
        </w:rPr>
        <w:t>de</w:t>
      </w:r>
      <w:r w:rsidRPr="00AD79C7">
        <w:rPr>
          <w:rFonts w:ascii="Abadi" w:hAnsi="Abadi"/>
          <w:b/>
          <w:bCs/>
          <w:spacing w:val="20"/>
          <w:sz w:val="21"/>
          <w:szCs w:val="21"/>
        </w:rPr>
        <w:t xml:space="preserve"> </w:t>
      </w:r>
      <w:r w:rsidRPr="00AD79C7">
        <w:rPr>
          <w:rFonts w:ascii="Abadi" w:hAnsi="Abadi"/>
          <w:b/>
          <w:bCs/>
          <w:sz w:val="21"/>
          <w:szCs w:val="21"/>
        </w:rPr>
        <w:t>las</w:t>
      </w:r>
      <w:r w:rsidRPr="00AD79C7">
        <w:rPr>
          <w:rFonts w:ascii="Abadi" w:hAnsi="Abadi"/>
          <w:b/>
          <w:bCs/>
          <w:spacing w:val="20"/>
          <w:sz w:val="21"/>
          <w:szCs w:val="21"/>
        </w:rPr>
        <w:t xml:space="preserve"> </w:t>
      </w:r>
      <w:r w:rsidRPr="00AD79C7">
        <w:rPr>
          <w:rFonts w:ascii="Abadi" w:hAnsi="Abadi"/>
          <w:b/>
          <w:bCs/>
          <w:sz w:val="21"/>
          <w:szCs w:val="21"/>
        </w:rPr>
        <w:t>observaciones</w:t>
      </w:r>
      <w:r w:rsidRPr="00AD79C7">
        <w:rPr>
          <w:rFonts w:ascii="Abadi" w:hAnsi="Abadi"/>
          <w:b/>
          <w:bCs/>
          <w:spacing w:val="20"/>
          <w:sz w:val="21"/>
          <w:szCs w:val="21"/>
        </w:rPr>
        <w:t xml:space="preserve"> </w:t>
      </w:r>
      <w:r w:rsidRPr="00AD79C7">
        <w:rPr>
          <w:rFonts w:ascii="Abadi" w:hAnsi="Abadi"/>
          <w:b/>
          <w:bCs/>
          <w:sz w:val="21"/>
          <w:szCs w:val="21"/>
        </w:rPr>
        <w:t>no</w:t>
      </w:r>
      <w:r w:rsidRPr="00AD79C7">
        <w:rPr>
          <w:rFonts w:ascii="Abadi" w:hAnsi="Abadi"/>
          <w:b/>
          <w:bCs/>
          <w:spacing w:val="20"/>
          <w:sz w:val="21"/>
          <w:szCs w:val="21"/>
        </w:rPr>
        <w:t xml:space="preserve"> </w:t>
      </w:r>
      <w:r w:rsidRPr="00AD79C7">
        <w:rPr>
          <w:rFonts w:ascii="Abadi" w:hAnsi="Abadi"/>
          <w:b/>
          <w:bCs/>
          <w:sz w:val="21"/>
          <w:szCs w:val="21"/>
        </w:rPr>
        <w:t>solventadas</w:t>
      </w:r>
      <w:r w:rsidRPr="00AD79C7">
        <w:rPr>
          <w:rFonts w:ascii="Abadi" w:hAnsi="Abadi"/>
          <w:b/>
          <w:bCs/>
          <w:spacing w:val="20"/>
          <w:sz w:val="21"/>
          <w:szCs w:val="21"/>
        </w:rPr>
        <w:t xml:space="preserve"> </w:t>
      </w:r>
      <w:r w:rsidRPr="00AD79C7">
        <w:rPr>
          <w:rFonts w:ascii="Abadi" w:hAnsi="Abadi"/>
          <w:b/>
          <w:bCs/>
          <w:sz w:val="21"/>
          <w:szCs w:val="21"/>
        </w:rPr>
        <w:t>de</w:t>
      </w:r>
      <w:r w:rsidRPr="00AD79C7">
        <w:rPr>
          <w:rFonts w:ascii="Abadi" w:hAnsi="Abadi"/>
          <w:b/>
          <w:bCs/>
          <w:spacing w:val="20"/>
          <w:sz w:val="21"/>
          <w:szCs w:val="21"/>
        </w:rPr>
        <w:t xml:space="preserve"> </w:t>
      </w:r>
      <w:r w:rsidRPr="00AD79C7">
        <w:rPr>
          <w:rFonts w:ascii="Abadi" w:hAnsi="Abadi"/>
          <w:b/>
          <w:bCs/>
          <w:sz w:val="21"/>
          <w:szCs w:val="21"/>
        </w:rPr>
        <w:t>las</w:t>
      </w:r>
      <w:r w:rsidRPr="00AD79C7">
        <w:rPr>
          <w:rFonts w:ascii="Abadi" w:hAnsi="Abadi"/>
          <w:b/>
          <w:bCs/>
          <w:spacing w:val="-2"/>
          <w:sz w:val="21"/>
          <w:szCs w:val="21"/>
        </w:rPr>
        <w:t xml:space="preserve"> </w:t>
      </w:r>
      <w:r w:rsidRPr="00AD79C7">
        <w:rPr>
          <w:rFonts w:ascii="Abadi" w:hAnsi="Abadi"/>
          <w:b/>
          <w:bCs/>
          <w:sz w:val="21"/>
          <w:szCs w:val="21"/>
        </w:rPr>
        <w:t>auditorías</w:t>
      </w:r>
      <w:r w:rsidRPr="00AD79C7">
        <w:rPr>
          <w:rFonts w:ascii="Abadi" w:hAnsi="Abadi"/>
          <w:b/>
          <w:bCs/>
          <w:spacing w:val="-1"/>
          <w:sz w:val="21"/>
          <w:szCs w:val="21"/>
        </w:rPr>
        <w:t xml:space="preserve"> </w:t>
      </w:r>
      <w:r w:rsidRPr="00AD79C7">
        <w:rPr>
          <w:rFonts w:ascii="Abadi" w:hAnsi="Abadi"/>
          <w:b/>
          <w:bCs/>
          <w:sz w:val="21"/>
          <w:szCs w:val="21"/>
        </w:rPr>
        <w:t>practicadas</w:t>
      </w:r>
      <w:r w:rsidRPr="00AD79C7">
        <w:rPr>
          <w:rFonts w:ascii="Abadi" w:hAnsi="Abadi"/>
          <w:b/>
          <w:bCs/>
          <w:spacing w:val="-1"/>
          <w:sz w:val="21"/>
          <w:szCs w:val="21"/>
        </w:rPr>
        <w:t xml:space="preserve"> </w:t>
      </w:r>
      <w:r w:rsidRPr="00AD79C7">
        <w:rPr>
          <w:rFonts w:ascii="Abadi" w:hAnsi="Abadi"/>
          <w:b/>
          <w:bCs/>
          <w:sz w:val="21"/>
          <w:szCs w:val="21"/>
        </w:rPr>
        <w:t>a</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administración</w:t>
      </w:r>
      <w:r w:rsidRPr="00AD79C7">
        <w:rPr>
          <w:rFonts w:ascii="Abadi" w:hAnsi="Abadi"/>
          <w:b/>
          <w:bCs/>
          <w:spacing w:val="-1"/>
          <w:sz w:val="21"/>
          <w:szCs w:val="21"/>
        </w:rPr>
        <w:t xml:space="preserve"> </w:t>
      </w:r>
      <w:r w:rsidRPr="00AD79C7">
        <w:rPr>
          <w:rFonts w:ascii="Abadi" w:hAnsi="Abadi"/>
          <w:b/>
          <w:bCs/>
          <w:sz w:val="21"/>
          <w:szCs w:val="21"/>
        </w:rPr>
        <w:t>2018-2021</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dicho</w:t>
      </w:r>
      <w:r w:rsidRPr="00AD79C7">
        <w:rPr>
          <w:rFonts w:ascii="Abadi" w:hAnsi="Abadi"/>
          <w:b/>
          <w:bCs/>
          <w:spacing w:val="-1"/>
          <w:sz w:val="21"/>
          <w:szCs w:val="21"/>
        </w:rPr>
        <w:t xml:space="preserve"> </w:t>
      </w:r>
      <w:r w:rsidRPr="00AD79C7">
        <w:rPr>
          <w:rFonts w:ascii="Abadi" w:hAnsi="Abadi"/>
          <w:b/>
          <w:bCs/>
          <w:sz w:val="21"/>
          <w:szCs w:val="21"/>
        </w:rPr>
        <w:t>Municipio.</w:t>
      </w:r>
    </w:p>
    <w:p w14:paraId="4B3C6C80" w14:textId="77777777" w:rsidR="005353B1" w:rsidRPr="005353B1" w:rsidRDefault="005353B1" w:rsidP="005353B1">
      <w:pPr>
        <w:pStyle w:val="Prrafodelista"/>
        <w:rPr>
          <w:rFonts w:ascii="Abadi" w:hAnsi="Abadi"/>
          <w:b/>
          <w:bCs/>
          <w:i/>
          <w:iCs/>
          <w:sz w:val="21"/>
          <w:szCs w:val="21"/>
        </w:rPr>
      </w:pPr>
    </w:p>
    <w:p w14:paraId="18FD5F44" w14:textId="77777777" w:rsidR="005353B1" w:rsidRPr="005353B1" w:rsidRDefault="005353B1" w:rsidP="005353B1">
      <w:pPr>
        <w:tabs>
          <w:tab w:val="left" w:pos="856"/>
        </w:tabs>
        <w:kinsoku w:val="0"/>
        <w:overflowPunct w:val="0"/>
        <w:autoSpaceDE w:val="0"/>
        <w:autoSpaceDN w:val="0"/>
        <w:adjustRightInd w:val="0"/>
        <w:ind w:right="17"/>
        <w:jc w:val="both"/>
        <w:rPr>
          <w:rFonts w:ascii="Abadi" w:hAnsi="Abadi"/>
          <w:b/>
          <w:bCs/>
          <w:i/>
          <w:iCs/>
          <w:sz w:val="21"/>
          <w:szCs w:val="21"/>
        </w:rPr>
      </w:pPr>
    </w:p>
    <w:p w14:paraId="625B731A" w14:textId="4744E83E" w:rsidR="005353B1" w:rsidRPr="00B64ED0" w:rsidRDefault="005353B1"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i/>
          <w:iCs/>
          <w:sz w:val="21"/>
          <w:szCs w:val="21"/>
        </w:rPr>
      </w:pPr>
      <w:r w:rsidRPr="00AD79C7">
        <w:rPr>
          <w:rFonts w:ascii="Abadi" w:hAnsi="Abadi"/>
          <w:b/>
          <w:bCs/>
          <w:sz w:val="21"/>
          <w:szCs w:val="21"/>
        </w:rPr>
        <w:t>Discusión</w:t>
      </w:r>
      <w:r w:rsidRPr="00AD79C7">
        <w:rPr>
          <w:rFonts w:ascii="Abadi" w:hAnsi="Abadi"/>
          <w:b/>
          <w:bCs/>
          <w:spacing w:val="16"/>
          <w:sz w:val="21"/>
          <w:szCs w:val="21"/>
        </w:rPr>
        <w:t xml:space="preserve"> </w:t>
      </w:r>
      <w:r w:rsidRPr="00AD79C7">
        <w:rPr>
          <w:rFonts w:ascii="Abadi" w:hAnsi="Abadi"/>
          <w:b/>
          <w:bCs/>
          <w:sz w:val="21"/>
          <w:szCs w:val="21"/>
        </w:rPr>
        <w:t>y,</w:t>
      </w:r>
      <w:r w:rsidRPr="00AD79C7">
        <w:rPr>
          <w:rFonts w:ascii="Abadi" w:hAnsi="Abadi"/>
          <w:b/>
          <w:bCs/>
          <w:spacing w:val="15"/>
          <w:sz w:val="21"/>
          <w:szCs w:val="21"/>
        </w:rPr>
        <w:t xml:space="preserve"> </w:t>
      </w:r>
      <w:r w:rsidRPr="00AD79C7">
        <w:rPr>
          <w:rFonts w:ascii="Abadi" w:hAnsi="Abadi"/>
          <w:b/>
          <w:bCs/>
          <w:sz w:val="21"/>
          <w:szCs w:val="21"/>
        </w:rPr>
        <w:t>en</w:t>
      </w:r>
      <w:r w:rsidRPr="00AD79C7">
        <w:rPr>
          <w:rFonts w:ascii="Abadi" w:hAnsi="Abadi"/>
          <w:b/>
          <w:bCs/>
          <w:spacing w:val="16"/>
          <w:sz w:val="21"/>
          <w:szCs w:val="21"/>
        </w:rPr>
        <w:t xml:space="preserve"> </w:t>
      </w:r>
      <w:r w:rsidRPr="00AD79C7">
        <w:rPr>
          <w:rFonts w:ascii="Abadi" w:hAnsi="Abadi"/>
          <w:b/>
          <w:bCs/>
          <w:sz w:val="21"/>
          <w:szCs w:val="21"/>
        </w:rPr>
        <w:t>su</w:t>
      </w:r>
      <w:r w:rsidRPr="00AD79C7">
        <w:rPr>
          <w:rFonts w:ascii="Abadi" w:hAnsi="Abadi"/>
          <w:b/>
          <w:bCs/>
          <w:spacing w:val="16"/>
          <w:sz w:val="21"/>
          <w:szCs w:val="21"/>
        </w:rPr>
        <w:t xml:space="preserve"> </w:t>
      </w:r>
      <w:r w:rsidRPr="00AD79C7">
        <w:rPr>
          <w:rFonts w:ascii="Abadi" w:hAnsi="Abadi"/>
          <w:b/>
          <w:bCs/>
          <w:sz w:val="21"/>
          <w:szCs w:val="21"/>
        </w:rPr>
        <w:t>caso,</w:t>
      </w:r>
      <w:r w:rsidRPr="00AD79C7">
        <w:rPr>
          <w:rFonts w:ascii="Abadi" w:hAnsi="Abadi"/>
          <w:b/>
          <w:bCs/>
          <w:spacing w:val="15"/>
          <w:sz w:val="21"/>
          <w:szCs w:val="21"/>
        </w:rPr>
        <w:t xml:space="preserve"> </w:t>
      </w:r>
      <w:r w:rsidRPr="00AD79C7">
        <w:rPr>
          <w:rFonts w:ascii="Abadi" w:hAnsi="Abadi"/>
          <w:b/>
          <w:bCs/>
          <w:sz w:val="21"/>
          <w:szCs w:val="21"/>
        </w:rPr>
        <w:t>aprobación</w:t>
      </w:r>
      <w:r w:rsidRPr="00AD79C7">
        <w:rPr>
          <w:rFonts w:ascii="Abadi" w:hAnsi="Abadi"/>
          <w:b/>
          <w:bCs/>
          <w:spacing w:val="16"/>
          <w:sz w:val="21"/>
          <w:szCs w:val="21"/>
        </w:rPr>
        <w:t xml:space="preserve"> </w:t>
      </w:r>
      <w:r w:rsidRPr="00AD79C7">
        <w:rPr>
          <w:rFonts w:ascii="Abadi" w:hAnsi="Abadi"/>
          <w:b/>
          <w:bCs/>
          <w:sz w:val="21"/>
          <w:szCs w:val="21"/>
        </w:rPr>
        <w:t>del</w:t>
      </w:r>
      <w:r w:rsidRPr="00AD79C7">
        <w:rPr>
          <w:rFonts w:ascii="Abadi" w:hAnsi="Abadi"/>
          <w:b/>
          <w:bCs/>
          <w:spacing w:val="15"/>
          <w:sz w:val="21"/>
          <w:szCs w:val="21"/>
        </w:rPr>
        <w:t xml:space="preserve"> </w:t>
      </w:r>
      <w:r w:rsidRPr="00AD79C7">
        <w:rPr>
          <w:rFonts w:ascii="Abadi" w:hAnsi="Abadi"/>
          <w:b/>
          <w:bCs/>
          <w:sz w:val="21"/>
          <w:szCs w:val="21"/>
        </w:rPr>
        <w:t>dictamen</w:t>
      </w:r>
      <w:r w:rsidRPr="00AD79C7">
        <w:rPr>
          <w:rFonts w:ascii="Abadi" w:hAnsi="Abadi"/>
          <w:b/>
          <w:bCs/>
          <w:spacing w:val="16"/>
          <w:sz w:val="21"/>
          <w:szCs w:val="21"/>
        </w:rPr>
        <w:t xml:space="preserve"> </w:t>
      </w:r>
      <w:r w:rsidRPr="00AD79C7">
        <w:rPr>
          <w:rFonts w:ascii="Abadi" w:hAnsi="Abadi"/>
          <w:b/>
          <w:bCs/>
          <w:sz w:val="21"/>
          <w:szCs w:val="21"/>
        </w:rPr>
        <w:t>emitido</w:t>
      </w:r>
      <w:r w:rsidRPr="00AD79C7">
        <w:rPr>
          <w:rFonts w:ascii="Abadi" w:hAnsi="Abadi"/>
          <w:b/>
          <w:bCs/>
          <w:spacing w:val="15"/>
          <w:sz w:val="21"/>
          <w:szCs w:val="21"/>
        </w:rPr>
        <w:t xml:space="preserve"> </w:t>
      </w:r>
      <w:r w:rsidRPr="00AD79C7">
        <w:rPr>
          <w:rFonts w:ascii="Abadi" w:hAnsi="Abadi"/>
          <w:b/>
          <w:bCs/>
          <w:sz w:val="21"/>
          <w:szCs w:val="21"/>
        </w:rPr>
        <w:t>por</w:t>
      </w:r>
      <w:r w:rsidRPr="00AD79C7">
        <w:rPr>
          <w:rFonts w:ascii="Abadi" w:hAnsi="Abadi"/>
          <w:b/>
          <w:bCs/>
          <w:spacing w:val="15"/>
          <w:sz w:val="21"/>
          <w:szCs w:val="21"/>
        </w:rPr>
        <w:t xml:space="preserve"> </w:t>
      </w:r>
      <w:r w:rsidRPr="00AD79C7">
        <w:rPr>
          <w:rFonts w:ascii="Abadi" w:hAnsi="Abadi"/>
          <w:b/>
          <w:bCs/>
          <w:sz w:val="21"/>
          <w:szCs w:val="21"/>
        </w:rPr>
        <w:t>la</w:t>
      </w:r>
      <w:r w:rsidRPr="00AD79C7">
        <w:rPr>
          <w:rFonts w:ascii="Abadi" w:hAnsi="Abadi"/>
          <w:b/>
          <w:bCs/>
          <w:spacing w:val="16"/>
          <w:sz w:val="21"/>
          <w:szCs w:val="21"/>
        </w:rPr>
        <w:t xml:space="preserve"> </w:t>
      </w:r>
      <w:r w:rsidRPr="00AD79C7">
        <w:rPr>
          <w:rFonts w:ascii="Abadi" w:hAnsi="Abadi"/>
          <w:b/>
          <w:bCs/>
          <w:sz w:val="21"/>
          <w:szCs w:val="21"/>
        </w:rPr>
        <w:t>Comisión</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Hacienda</w:t>
      </w:r>
      <w:r w:rsidRPr="00AD79C7">
        <w:rPr>
          <w:rFonts w:ascii="Abadi" w:hAnsi="Abadi"/>
          <w:b/>
          <w:bCs/>
          <w:spacing w:val="32"/>
          <w:sz w:val="21"/>
          <w:szCs w:val="21"/>
        </w:rPr>
        <w:t xml:space="preserve"> </w:t>
      </w:r>
      <w:r w:rsidRPr="00AD79C7">
        <w:rPr>
          <w:rFonts w:ascii="Abadi" w:hAnsi="Abadi"/>
          <w:b/>
          <w:bCs/>
          <w:sz w:val="21"/>
          <w:szCs w:val="21"/>
        </w:rPr>
        <w:t>y</w:t>
      </w:r>
      <w:r w:rsidRPr="00AD79C7">
        <w:rPr>
          <w:rFonts w:ascii="Abadi" w:hAnsi="Abadi"/>
          <w:b/>
          <w:bCs/>
          <w:spacing w:val="33"/>
          <w:sz w:val="21"/>
          <w:szCs w:val="21"/>
        </w:rPr>
        <w:t xml:space="preserve"> </w:t>
      </w:r>
      <w:r w:rsidRPr="00AD79C7">
        <w:rPr>
          <w:rFonts w:ascii="Abadi" w:hAnsi="Abadi"/>
          <w:b/>
          <w:bCs/>
          <w:sz w:val="21"/>
          <w:szCs w:val="21"/>
        </w:rPr>
        <w:t>Fiscalización</w:t>
      </w:r>
      <w:r w:rsidRPr="00AD79C7">
        <w:rPr>
          <w:rFonts w:ascii="Abadi" w:hAnsi="Abadi"/>
          <w:b/>
          <w:bCs/>
          <w:spacing w:val="32"/>
          <w:sz w:val="21"/>
          <w:szCs w:val="21"/>
        </w:rPr>
        <w:t xml:space="preserve"> </w:t>
      </w:r>
      <w:r w:rsidRPr="00AD79C7">
        <w:rPr>
          <w:rFonts w:ascii="Abadi" w:hAnsi="Abadi"/>
          <w:b/>
          <w:bCs/>
          <w:sz w:val="21"/>
          <w:szCs w:val="21"/>
        </w:rPr>
        <w:t>relativo</w:t>
      </w:r>
      <w:r w:rsidRPr="00AD79C7">
        <w:rPr>
          <w:rFonts w:ascii="Abadi" w:hAnsi="Abadi"/>
          <w:b/>
          <w:bCs/>
          <w:spacing w:val="32"/>
          <w:sz w:val="21"/>
          <w:szCs w:val="21"/>
        </w:rPr>
        <w:t xml:space="preserve"> </w:t>
      </w:r>
      <w:r w:rsidRPr="00AD79C7">
        <w:rPr>
          <w:rFonts w:ascii="Abadi" w:hAnsi="Abadi"/>
          <w:b/>
          <w:bCs/>
          <w:sz w:val="21"/>
          <w:szCs w:val="21"/>
        </w:rPr>
        <w:t>a</w:t>
      </w:r>
      <w:r w:rsidRPr="00AD79C7">
        <w:rPr>
          <w:rFonts w:ascii="Abadi" w:hAnsi="Abadi"/>
          <w:b/>
          <w:bCs/>
          <w:spacing w:val="32"/>
          <w:sz w:val="21"/>
          <w:szCs w:val="21"/>
        </w:rPr>
        <w:t xml:space="preserve"> </w:t>
      </w:r>
      <w:r w:rsidRPr="00AD79C7">
        <w:rPr>
          <w:rFonts w:ascii="Abadi" w:hAnsi="Abadi"/>
          <w:b/>
          <w:bCs/>
          <w:sz w:val="21"/>
          <w:szCs w:val="21"/>
        </w:rPr>
        <w:t>la</w:t>
      </w:r>
      <w:r w:rsidRPr="00AD79C7">
        <w:rPr>
          <w:rFonts w:ascii="Abadi" w:hAnsi="Abadi"/>
          <w:b/>
          <w:bCs/>
          <w:spacing w:val="33"/>
          <w:sz w:val="21"/>
          <w:szCs w:val="21"/>
        </w:rPr>
        <w:t xml:space="preserve"> </w:t>
      </w:r>
      <w:r w:rsidRPr="00AD79C7">
        <w:rPr>
          <w:rFonts w:ascii="Abadi" w:hAnsi="Abadi"/>
          <w:b/>
          <w:bCs/>
          <w:sz w:val="21"/>
          <w:szCs w:val="21"/>
        </w:rPr>
        <w:t>propuesta</w:t>
      </w:r>
      <w:r w:rsidRPr="00AD79C7">
        <w:rPr>
          <w:rFonts w:ascii="Abadi" w:hAnsi="Abadi"/>
          <w:b/>
          <w:bCs/>
          <w:spacing w:val="33"/>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punto</w:t>
      </w:r>
      <w:r w:rsidRPr="00AD79C7">
        <w:rPr>
          <w:rFonts w:ascii="Abadi" w:hAnsi="Abadi"/>
          <w:b/>
          <w:bCs/>
          <w:spacing w:val="33"/>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acuerdo</w:t>
      </w:r>
      <w:r w:rsidRPr="00AD79C7">
        <w:rPr>
          <w:rFonts w:ascii="Abadi" w:hAnsi="Abadi"/>
          <w:b/>
          <w:bCs/>
          <w:spacing w:val="-2"/>
          <w:sz w:val="21"/>
          <w:szCs w:val="21"/>
        </w:rPr>
        <w:t xml:space="preserve"> </w:t>
      </w:r>
      <w:r w:rsidRPr="00AD79C7">
        <w:rPr>
          <w:rFonts w:ascii="Abadi" w:hAnsi="Abadi"/>
          <w:b/>
          <w:bCs/>
          <w:sz w:val="21"/>
          <w:szCs w:val="21"/>
        </w:rPr>
        <w:t>formulada</w:t>
      </w:r>
      <w:r w:rsidRPr="00AD79C7">
        <w:rPr>
          <w:rFonts w:ascii="Abadi" w:hAnsi="Abadi"/>
          <w:b/>
          <w:bCs/>
          <w:spacing w:val="25"/>
          <w:sz w:val="21"/>
          <w:szCs w:val="21"/>
        </w:rPr>
        <w:t xml:space="preserve"> </w:t>
      </w:r>
      <w:r w:rsidRPr="00AD79C7">
        <w:rPr>
          <w:rFonts w:ascii="Abadi" w:hAnsi="Abadi"/>
          <w:b/>
          <w:bCs/>
          <w:sz w:val="21"/>
          <w:szCs w:val="21"/>
        </w:rPr>
        <w:t>por</w:t>
      </w:r>
      <w:r w:rsidRPr="00AD79C7">
        <w:rPr>
          <w:rFonts w:ascii="Abadi" w:hAnsi="Abadi"/>
          <w:b/>
          <w:bCs/>
          <w:spacing w:val="25"/>
          <w:sz w:val="21"/>
          <w:szCs w:val="21"/>
        </w:rPr>
        <w:t xml:space="preserve"> </w:t>
      </w:r>
      <w:r w:rsidRPr="00AD79C7">
        <w:rPr>
          <w:rFonts w:ascii="Abadi" w:hAnsi="Abadi"/>
          <w:b/>
          <w:bCs/>
          <w:sz w:val="21"/>
          <w:szCs w:val="21"/>
        </w:rPr>
        <w:t>diputadas</w:t>
      </w:r>
      <w:r w:rsidRPr="00AD79C7">
        <w:rPr>
          <w:rFonts w:ascii="Abadi" w:hAnsi="Abadi"/>
          <w:b/>
          <w:bCs/>
          <w:spacing w:val="25"/>
          <w:sz w:val="21"/>
          <w:szCs w:val="21"/>
        </w:rPr>
        <w:t xml:space="preserve"> </w:t>
      </w:r>
      <w:r w:rsidRPr="00AD79C7">
        <w:rPr>
          <w:rFonts w:ascii="Abadi" w:hAnsi="Abadi"/>
          <w:b/>
          <w:bCs/>
          <w:sz w:val="21"/>
          <w:szCs w:val="21"/>
        </w:rPr>
        <w:t>y</w:t>
      </w:r>
      <w:r w:rsidRPr="00AD79C7">
        <w:rPr>
          <w:rFonts w:ascii="Abadi" w:hAnsi="Abadi"/>
          <w:b/>
          <w:bCs/>
          <w:spacing w:val="25"/>
          <w:sz w:val="21"/>
          <w:szCs w:val="21"/>
        </w:rPr>
        <w:t xml:space="preserve"> </w:t>
      </w:r>
      <w:r w:rsidRPr="00AD79C7">
        <w:rPr>
          <w:rFonts w:ascii="Abadi" w:hAnsi="Abadi"/>
          <w:b/>
          <w:bCs/>
          <w:sz w:val="21"/>
          <w:szCs w:val="21"/>
        </w:rPr>
        <w:t>diputados</w:t>
      </w:r>
      <w:r w:rsidRPr="00AD79C7">
        <w:rPr>
          <w:rFonts w:ascii="Abadi" w:hAnsi="Abadi"/>
          <w:b/>
          <w:bCs/>
          <w:spacing w:val="25"/>
          <w:sz w:val="21"/>
          <w:szCs w:val="21"/>
        </w:rPr>
        <w:t xml:space="preserve"> </w:t>
      </w:r>
      <w:r w:rsidRPr="00AD79C7">
        <w:rPr>
          <w:rFonts w:ascii="Abadi" w:hAnsi="Abadi"/>
          <w:b/>
          <w:bCs/>
          <w:sz w:val="21"/>
          <w:szCs w:val="21"/>
        </w:rPr>
        <w:t>integrantes</w:t>
      </w:r>
      <w:r w:rsidRPr="00AD79C7">
        <w:rPr>
          <w:rFonts w:ascii="Abadi" w:hAnsi="Abadi"/>
          <w:b/>
          <w:bCs/>
          <w:spacing w:val="25"/>
          <w:sz w:val="21"/>
          <w:szCs w:val="21"/>
        </w:rPr>
        <w:t xml:space="preserve"> </w:t>
      </w:r>
      <w:r w:rsidRPr="00AD79C7">
        <w:rPr>
          <w:rFonts w:ascii="Abadi" w:hAnsi="Abadi"/>
          <w:b/>
          <w:bCs/>
          <w:sz w:val="21"/>
          <w:szCs w:val="21"/>
        </w:rPr>
        <w:t>del</w:t>
      </w:r>
      <w:r w:rsidRPr="00AD79C7">
        <w:rPr>
          <w:rFonts w:ascii="Abadi" w:hAnsi="Abadi"/>
          <w:b/>
          <w:bCs/>
          <w:spacing w:val="25"/>
          <w:sz w:val="21"/>
          <w:szCs w:val="21"/>
        </w:rPr>
        <w:t xml:space="preserve"> </w:t>
      </w:r>
      <w:r w:rsidRPr="00AD79C7">
        <w:rPr>
          <w:rFonts w:ascii="Abadi" w:hAnsi="Abadi"/>
          <w:b/>
          <w:bCs/>
          <w:sz w:val="21"/>
          <w:szCs w:val="21"/>
        </w:rPr>
        <w:t>Grupo</w:t>
      </w:r>
      <w:r w:rsidRPr="00AD79C7">
        <w:rPr>
          <w:rFonts w:ascii="Abadi" w:hAnsi="Abadi"/>
          <w:b/>
          <w:bCs/>
          <w:spacing w:val="25"/>
          <w:sz w:val="21"/>
          <w:szCs w:val="21"/>
        </w:rPr>
        <w:t xml:space="preserve"> </w:t>
      </w:r>
      <w:r w:rsidRPr="00AD79C7">
        <w:rPr>
          <w:rFonts w:ascii="Abadi" w:hAnsi="Abadi"/>
          <w:b/>
          <w:bCs/>
          <w:sz w:val="21"/>
          <w:szCs w:val="21"/>
        </w:rPr>
        <w:t>Parlamentario</w:t>
      </w:r>
      <w:r w:rsidRPr="00AD79C7">
        <w:rPr>
          <w:rFonts w:ascii="Abadi" w:hAnsi="Abadi"/>
          <w:b/>
          <w:bCs/>
          <w:spacing w:val="-2"/>
          <w:sz w:val="21"/>
          <w:szCs w:val="21"/>
        </w:rPr>
        <w:t xml:space="preserve"> </w:t>
      </w:r>
      <w:r w:rsidRPr="00AD79C7">
        <w:rPr>
          <w:rFonts w:ascii="Abadi" w:hAnsi="Abadi"/>
          <w:b/>
          <w:bCs/>
          <w:sz w:val="21"/>
          <w:szCs w:val="21"/>
        </w:rPr>
        <w:t>del</w:t>
      </w:r>
      <w:r w:rsidRPr="00AD79C7">
        <w:rPr>
          <w:rFonts w:ascii="Abadi" w:hAnsi="Abadi"/>
          <w:b/>
          <w:bCs/>
          <w:spacing w:val="-3"/>
          <w:sz w:val="21"/>
          <w:szCs w:val="21"/>
        </w:rPr>
        <w:t xml:space="preserve"> </w:t>
      </w:r>
      <w:r w:rsidRPr="00AD79C7">
        <w:rPr>
          <w:rFonts w:ascii="Abadi" w:hAnsi="Abadi"/>
          <w:b/>
          <w:bCs/>
          <w:sz w:val="21"/>
          <w:szCs w:val="21"/>
        </w:rPr>
        <w:t>Partido</w:t>
      </w:r>
      <w:r w:rsidRPr="00AD79C7">
        <w:rPr>
          <w:rFonts w:ascii="Abadi" w:hAnsi="Abadi"/>
          <w:b/>
          <w:bCs/>
          <w:spacing w:val="-3"/>
          <w:sz w:val="21"/>
          <w:szCs w:val="21"/>
        </w:rPr>
        <w:t xml:space="preserve"> </w:t>
      </w:r>
      <w:r w:rsidRPr="00AD79C7">
        <w:rPr>
          <w:rFonts w:ascii="Abadi" w:hAnsi="Abadi"/>
          <w:b/>
          <w:bCs/>
          <w:sz w:val="21"/>
          <w:szCs w:val="21"/>
        </w:rPr>
        <w:t>MORENA,</w:t>
      </w:r>
      <w:r w:rsidRPr="00AD79C7">
        <w:rPr>
          <w:rFonts w:ascii="Abadi" w:hAnsi="Abadi"/>
          <w:b/>
          <w:bCs/>
          <w:spacing w:val="-3"/>
          <w:sz w:val="21"/>
          <w:szCs w:val="21"/>
        </w:rPr>
        <w:t xml:space="preserve"> </w:t>
      </w:r>
      <w:r w:rsidRPr="00AD79C7">
        <w:rPr>
          <w:rFonts w:ascii="Abadi" w:hAnsi="Abadi"/>
          <w:b/>
          <w:bCs/>
          <w:sz w:val="21"/>
          <w:szCs w:val="21"/>
        </w:rPr>
        <w:t>a</w:t>
      </w:r>
      <w:r w:rsidRPr="00AD79C7">
        <w:rPr>
          <w:rFonts w:ascii="Abadi" w:hAnsi="Abadi"/>
          <w:b/>
          <w:bCs/>
          <w:spacing w:val="-3"/>
          <w:sz w:val="21"/>
          <w:szCs w:val="21"/>
        </w:rPr>
        <w:t xml:space="preserve"> </w:t>
      </w:r>
      <w:r w:rsidRPr="00AD79C7">
        <w:rPr>
          <w:rFonts w:ascii="Abadi" w:hAnsi="Abadi"/>
          <w:b/>
          <w:bCs/>
          <w:sz w:val="21"/>
          <w:szCs w:val="21"/>
        </w:rPr>
        <w:t>efecto</w:t>
      </w:r>
      <w:r w:rsidRPr="00AD79C7">
        <w:rPr>
          <w:rFonts w:ascii="Abadi" w:hAnsi="Abadi"/>
          <w:b/>
          <w:bCs/>
          <w:spacing w:val="-3"/>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exhortar</w:t>
      </w:r>
      <w:r w:rsidRPr="00AD79C7">
        <w:rPr>
          <w:rFonts w:ascii="Abadi" w:hAnsi="Abadi"/>
          <w:b/>
          <w:bCs/>
          <w:spacing w:val="-3"/>
          <w:sz w:val="21"/>
          <w:szCs w:val="21"/>
        </w:rPr>
        <w:t xml:space="preserve"> </w:t>
      </w:r>
      <w:r w:rsidRPr="00AD79C7">
        <w:rPr>
          <w:rFonts w:ascii="Abadi" w:hAnsi="Abadi"/>
          <w:b/>
          <w:bCs/>
          <w:sz w:val="21"/>
          <w:szCs w:val="21"/>
        </w:rPr>
        <w:t>al</w:t>
      </w:r>
      <w:r w:rsidRPr="00AD79C7">
        <w:rPr>
          <w:rFonts w:ascii="Abadi" w:hAnsi="Abadi"/>
          <w:b/>
          <w:bCs/>
          <w:spacing w:val="-3"/>
          <w:sz w:val="21"/>
          <w:szCs w:val="21"/>
        </w:rPr>
        <w:t xml:space="preserve"> </w:t>
      </w:r>
      <w:r w:rsidRPr="00AD79C7">
        <w:rPr>
          <w:rFonts w:ascii="Abadi" w:hAnsi="Abadi"/>
          <w:b/>
          <w:bCs/>
          <w:sz w:val="21"/>
          <w:szCs w:val="21"/>
        </w:rPr>
        <w:t>titular</w:t>
      </w:r>
      <w:r w:rsidRPr="00AD79C7">
        <w:rPr>
          <w:rFonts w:ascii="Abadi" w:hAnsi="Abadi"/>
          <w:b/>
          <w:bCs/>
          <w:spacing w:val="-3"/>
          <w:sz w:val="21"/>
          <w:szCs w:val="21"/>
        </w:rPr>
        <w:t xml:space="preserve"> </w:t>
      </w:r>
      <w:r w:rsidRPr="00AD79C7">
        <w:rPr>
          <w:rFonts w:ascii="Abadi" w:hAnsi="Abadi"/>
          <w:b/>
          <w:bCs/>
          <w:sz w:val="21"/>
          <w:szCs w:val="21"/>
        </w:rPr>
        <w:t>de</w:t>
      </w:r>
      <w:r w:rsidRPr="00AD79C7">
        <w:rPr>
          <w:rFonts w:ascii="Abadi" w:hAnsi="Abadi"/>
          <w:b/>
          <w:bCs/>
          <w:spacing w:val="-3"/>
          <w:sz w:val="21"/>
          <w:szCs w:val="21"/>
        </w:rPr>
        <w:t xml:space="preserve"> </w:t>
      </w:r>
      <w:r w:rsidRPr="00AD79C7">
        <w:rPr>
          <w:rFonts w:ascii="Abadi" w:hAnsi="Abadi"/>
          <w:b/>
          <w:bCs/>
          <w:sz w:val="21"/>
          <w:szCs w:val="21"/>
        </w:rPr>
        <w:t>la</w:t>
      </w:r>
      <w:r w:rsidRPr="00AD79C7">
        <w:rPr>
          <w:rFonts w:ascii="Abadi" w:hAnsi="Abadi"/>
          <w:b/>
          <w:bCs/>
          <w:spacing w:val="-2"/>
          <w:sz w:val="21"/>
          <w:szCs w:val="21"/>
        </w:rPr>
        <w:t xml:space="preserve"> </w:t>
      </w:r>
      <w:r w:rsidRPr="00AD79C7">
        <w:rPr>
          <w:rFonts w:ascii="Abadi" w:hAnsi="Abadi"/>
          <w:b/>
          <w:bCs/>
          <w:sz w:val="21"/>
          <w:szCs w:val="21"/>
        </w:rPr>
        <w:t>Auditoría</w:t>
      </w:r>
      <w:r w:rsidRPr="00AD79C7">
        <w:rPr>
          <w:rFonts w:ascii="Abadi" w:hAnsi="Abadi"/>
          <w:b/>
          <w:bCs/>
          <w:spacing w:val="-3"/>
          <w:sz w:val="21"/>
          <w:szCs w:val="21"/>
        </w:rPr>
        <w:t xml:space="preserve"> </w:t>
      </w:r>
      <w:r w:rsidRPr="00AD79C7">
        <w:rPr>
          <w:rFonts w:ascii="Abadi" w:hAnsi="Abadi"/>
          <w:b/>
          <w:bCs/>
          <w:sz w:val="21"/>
          <w:szCs w:val="21"/>
        </w:rPr>
        <w:t>Superior</w:t>
      </w:r>
      <w:r w:rsidRPr="00AD79C7">
        <w:rPr>
          <w:rFonts w:ascii="Abadi" w:hAnsi="Abadi"/>
          <w:b/>
          <w:bCs/>
          <w:spacing w:val="-2"/>
          <w:sz w:val="21"/>
          <w:szCs w:val="21"/>
        </w:rPr>
        <w:t xml:space="preserve"> </w:t>
      </w:r>
      <w:r w:rsidRPr="00AD79C7">
        <w:rPr>
          <w:rFonts w:ascii="Abadi" w:hAnsi="Abadi"/>
          <w:b/>
          <w:bCs/>
          <w:sz w:val="21"/>
          <w:szCs w:val="21"/>
        </w:rPr>
        <w:t>del</w:t>
      </w:r>
      <w:r w:rsidRPr="00AD79C7">
        <w:rPr>
          <w:rFonts w:ascii="Abadi" w:hAnsi="Abadi"/>
          <w:b/>
          <w:bCs/>
          <w:spacing w:val="22"/>
          <w:sz w:val="21"/>
          <w:szCs w:val="21"/>
        </w:rPr>
        <w:t xml:space="preserve"> </w:t>
      </w:r>
      <w:r w:rsidRPr="00AD79C7">
        <w:rPr>
          <w:rFonts w:ascii="Abadi" w:hAnsi="Abadi"/>
          <w:b/>
          <w:bCs/>
          <w:sz w:val="21"/>
          <w:szCs w:val="21"/>
        </w:rPr>
        <w:t>Estado</w:t>
      </w:r>
      <w:r w:rsidRPr="00AD79C7">
        <w:rPr>
          <w:rFonts w:ascii="Abadi" w:hAnsi="Abadi"/>
          <w:b/>
          <w:bCs/>
          <w:spacing w:val="22"/>
          <w:sz w:val="21"/>
          <w:szCs w:val="21"/>
        </w:rPr>
        <w:t xml:space="preserve"> </w:t>
      </w:r>
      <w:r w:rsidRPr="00AD79C7">
        <w:rPr>
          <w:rFonts w:ascii="Abadi" w:hAnsi="Abadi"/>
          <w:b/>
          <w:bCs/>
          <w:sz w:val="21"/>
          <w:szCs w:val="21"/>
        </w:rPr>
        <w:t>de</w:t>
      </w:r>
      <w:r w:rsidRPr="00AD79C7">
        <w:rPr>
          <w:rFonts w:ascii="Abadi" w:hAnsi="Abadi"/>
          <w:b/>
          <w:bCs/>
          <w:spacing w:val="22"/>
          <w:sz w:val="21"/>
          <w:szCs w:val="21"/>
        </w:rPr>
        <w:t xml:space="preserve"> </w:t>
      </w:r>
      <w:r w:rsidRPr="00AD79C7">
        <w:rPr>
          <w:rFonts w:ascii="Abadi" w:hAnsi="Abadi"/>
          <w:b/>
          <w:bCs/>
          <w:sz w:val="21"/>
          <w:szCs w:val="21"/>
        </w:rPr>
        <w:t>Guanajuato,</w:t>
      </w:r>
      <w:r w:rsidRPr="00AD79C7">
        <w:rPr>
          <w:rFonts w:ascii="Abadi" w:hAnsi="Abadi"/>
          <w:b/>
          <w:bCs/>
          <w:spacing w:val="22"/>
          <w:sz w:val="21"/>
          <w:szCs w:val="21"/>
        </w:rPr>
        <w:t xml:space="preserve"> </w:t>
      </w:r>
      <w:r w:rsidRPr="00AD79C7">
        <w:rPr>
          <w:rFonts w:ascii="Abadi" w:hAnsi="Abadi"/>
          <w:b/>
          <w:bCs/>
          <w:sz w:val="21"/>
          <w:szCs w:val="21"/>
        </w:rPr>
        <w:t>para</w:t>
      </w:r>
      <w:r w:rsidRPr="00AD79C7">
        <w:rPr>
          <w:rFonts w:ascii="Abadi" w:hAnsi="Abadi"/>
          <w:b/>
          <w:bCs/>
          <w:spacing w:val="22"/>
          <w:sz w:val="21"/>
          <w:szCs w:val="21"/>
        </w:rPr>
        <w:t xml:space="preserve"> </w:t>
      </w:r>
      <w:r w:rsidRPr="00AD79C7">
        <w:rPr>
          <w:rFonts w:ascii="Abadi" w:hAnsi="Abadi"/>
          <w:b/>
          <w:bCs/>
          <w:sz w:val="21"/>
          <w:szCs w:val="21"/>
        </w:rPr>
        <w:t>que</w:t>
      </w:r>
      <w:r w:rsidRPr="00AD79C7">
        <w:rPr>
          <w:rFonts w:ascii="Abadi" w:hAnsi="Abadi"/>
          <w:b/>
          <w:bCs/>
          <w:spacing w:val="22"/>
          <w:sz w:val="21"/>
          <w:szCs w:val="21"/>
        </w:rPr>
        <w:t xml:space="preserve"> </w:t>
      </w:r>
      <w:r w:rsidRPr="00AD79C7">
        <w:rPr>
          <w:rFonts w:ascii="Abadi" w:hAnsi="Abadi"/>
          <w:b/>
          <w:bCs/>
          <w:sz w:val="21"/>
          <w:szCs w:val="21"/>
        </w:rPr>
        <w:t>lleve</w:t>
      </w:r>
      <w:r w:rsidRPr="00AD79C7">
        <w:rPr>
          <w:rFonts w:ascii="Abadi" w:hAnsi="Abadi"/>
          <w:b/>
          <w:bCs/>
          <w:spacing w:val="22"/>
          <w:sz w:val="21"/>
          <w:szCs w:val="21"/>
        </w:rPr>
        <w:t xml:space="preserve"> </w:t>
      </w:r>
      <w:r w:rsidRPr="00AD79C7">
        <w:rPr>
          <w:rFonts w:ascii="Abadi" w:hAnsi="Abadi"/>
          <w:b/>
          <w:bCs/>
          <w:sz w:val="21"/>
          <w:szCs w:val="21"/>
        </w:rPr>
        <w:t>a</w:t>
      </w:r>
      <w:r w:rsidRPr="00AD79C7">
        <w:rPr>
          <w:rFonts w:ascii="Abadi" w:hAnsi="Abadi"/>
          <w:b/>
          <w:bCs/>
          <w:spacing w:val="22"/>
          <w:sz w:val="21"/>
          <w:szCs w:val="21"/>
        </w:rPr>
        <w:t xml:space="preserve"> </w:t>
      </w:r>
      <w:r w:rsidRPr="00AD79C7">
        <w:rPr>
          <w:rFonts w:ascii="Abadi" w:hAnsi="Abadi"/>
          <w:b/>
          <w:bCs/>
          <w:sz w:val="21"/>
          <w:szCs w:val="21"/>
        </w:rPr>
        <w:t>cabo</w:t>
      </w:r>
      <w:r w:rsidRPr="00AD79C7">
        <w:rPr>
          <w:rFonts w:ascii="Abadi" w:hAnsi="Abadi"/>
          <w:b/>
          <w:bCs/>
          <w:spacing w:val="22"/>
          <w:sz w:val="21"/>
          <w:szCs w:val="21"/>
        </w:rPr>
        <w:t xml:space="preserve"> </w:t>
      </w:r>
      <w:r w:rsidRPr="00AD79C7">
        <w:rPr>
          <w:rFonts w:ascii="Abadi" w:hAnsi="Abadi"/>
          <w:b/>
          <w:bCs/>
          <w:sz w:val="21"/>
          <w:szCs w:val="21"/>
        </w:rPr>
        <w:t>una</w:t>
      </w:r>
      <w:r w:rsidRPr="00AD79C7">
        <w:rPr>
          <w:rFonts w:ascii="Abadi" w:hAnsi="Abadi"/>
          <w:b/>
          <w:bCs/>
          <w:spacing w:val="22"/>
          <w:sz w:val="21"/>
          <w:szCs w:val="21"/>
        </w:rPr>
        <w:t xml:space="preserve"> </w:t>
      </w:r>
      <w:r w:rsidRPr="00AD79C7">
        <w:rPr>
          <w:rFonts w:ascii="Abadi" w:hAnsi="Abadi"/>
          <w:b/>
          <w:bCs/>
          <w:sz w:val="21"/>
          <w:szCs w:val="21"/>
        </w:rPr>
        <w:t>auditoría</w:t>
      </w:r>
      <w:r w:rsidRPr="00AD79C7">
        <w:rPr>
          <w:rFonts w:ascii="Abadi" w:hAnsi="Abadi"/>
          <w:b/>
          <w:bCs/>
          <w:spacing w:val="22"/>
          <w:sz w:val="21"/>
          <w:szCs w:val="21"/>
        </w:rPr>
        <w:t xml:space="preserve"> </w:t>
      </w:r>
      <w:r w:rsidRPr="00AD79C7">
        <w:rPr>
          <w:rFonts w:ascii="Abadi" w:hAnsi="Abadi"/>
          <w:b/>
          <w:bCs/>
          <w:sz w:val="21"/>
          <w:szCs w:val="21"/>
        </w:rPr>
        <w:t>financiera</w:t>
      </w:r>
      <w:r w:rsidRPr="00AD79C7">
        <w:rPr>
          <w:rFonts w:ascii="Abadi" w:hAnsi="Abadi"/>
          <w:b/>
          <w:bCs/>
          <w:spacing w:val="-2"/>
          <w:sz w:val="21"/>
          <w:szCs w:val="21"/>
        </w:rPr>
        <w:t xml:space="preserve"> </w:t>
      </w:r>
      <w:r w:rsidRPr="00AD79C7">
        <w:rPr>
          <w:rFonts w:ascii="Abadi" w:hAnsi="Abadi"/>
          <w:b/>
          <w:bCs/>
          <w:sz w:val="21"/>
          <w:szCs w:val="21"/>
        </w:rPr>
        <w:t>integral</w:t>
      </w:r>
      <w:r w:rsidRPr="00AD79C7">
        <w:rPr>
          <w:rFonts w:ascii="Abadi" w:hAnsi="Abadi"/>
          <w:b/>
          <w:bCs/>
          <w:spacing w:val="18"/>
          <w:sz w:val="21"/>
          <w:szCs w:val="21"/>
        </w:rPr>
        <w:t xml:space="preserve"> </w:t>
      </w:r>
      <w:r w:rsidRPr="00AD79C7">
        <w:rPr>
          <w:rFonts w:ascii="Abadi" w:hAnsi="Abadi"/>
          <w:b/>
          <w:bCs/>
          <w:sz w:val="21"/>
          <w:szCs w:val="21"/>
        </w:rPr>
        <w:t>al</w:t>
      </w:r>
      <w:r w:rsidRPr="00AD79C7">
        <w:rPr>
          <w:rFonts w:ascii="Abadi" w:hAnsi="Abadi"/>
          <w:b/>
          <w:bCs/>
          <w:spacing w:val="18"/>
          <w:sz w:val="21"/>
          <w:szCs w:val="21"/>
        </w:rPr>
        <w:t xml:space="preserve"> </w:t>
      </w:r>
      <w:r w:rsidRPr="00AD79C7">
        <w:rPr>
          <w:rFonts w:ascii="Abadi" w:hAnsi="Abadi"/>
          <w:b/>
          <w:bCs/>
          <w:sz w:val="21"/>
          <w:szCs w:val="21"/>
        </w:rPr>
        <w:t>municipio</w:t>
      </w:r>
      <w:r w:rsidRPr="00AD79C7">
        <w:rPr>
          <w:rFonts w:ascii="Abadi" w:hAnsi="Abadi"/>
          <w:b/>
          <w:bCs/>
          <w:spacing w:val="18"/>
          <w:sz w:val="21"/>
          <w:szCs w:val="21"/>
        </w:rPr>
        <w:t xml:space="preserve"> </w:t>
      </w:r>
      <w:r w:rsidRPr="00AD79C7">
        <w:rPr>
          <w:rFonts w:ascii="Abadi" w:hAnsi="Abadi"/>
          <w:b/>
          <w:bCs/>
          <w:sz w:val="21"/>
          <w:szCs w:val="21"/>
        </w:rPr>
        <w:t>de</w:t>
      </w:r>
      <w:r w:rsidRPr="00AD79C7">
        <w:rPr>
          <w:rFonts w:ascii="Abadi" w:hAnsi="Abadi"/>
          <w:b/>
          <w:bCs/>
          <w:spacing w:val="18"/>
          <w:sz w:val="21"/>
          <w:szCs w:val="21"/>
        </w:rPr>
        <w:t xml:space="preserve"> </w:t>
      </w:r>
      <w:r w:rsidRPr="00AD79C7">
        <w:rPr>
          <w:rFonts w:ascii="Abadi" w:hAnsi="Abadi"/>
          <w:b/>
          <w:bCs/>
          <w:sz w:val="21"/>
          <w:szCs w:val="21"/>
        </w:rPr>
        <w:t>Cortazar,</w:t>
      </w:r>
      <w:r w:rsidRPr="00AD79C7">
        <w:rPr>
          <w:rFonts w:ascii="Abadi" w:hAnsi="Abadi"/>
          <w:b/>
          <w:bCs/>
          <w:spacing w:val="18"/>
          <w:sz w:val="21"/>
          <w:szCs w:val="21"/>
        </w:rPr>
        <w:t xml:space="preserve"> </w:t>
      </w:r>
      <w:r w:rsidRPr="00AD79C7">
        <w:rPr>
          <w:rFonts w:ascii="Abadi" w:hAnsi="Abadi"/>
          <w:b/>
          <w:bCs/>
          <w:sz w:val="21"/>
          <w:szCs w:val="21"/>
        </w:rPr>
        <w:t>Gto.,</w:t>
      </w:r>
      <w:r w:rsidRPr="00AD79C7">
        <w:rPr>
          <w:rFonts w:ascii="Abadi" w:hAnsi="Abadi"/>
          <w:b/>
          <w:bCs/>
          <w:spacing w:val="18"/>
          <w:sz w:val="21"/>
          <w:szCs w:val="21"/>
        </w:rPr>
        <w:t xml:space="preserve"> </w:t>
      </w:r>
      <w:r w:rsidRPr="00AD79C7">
        <w:rPr>
          <w:rFonts w:ascii="Abadi" w:hAnsi="Abadi"/>
          <w:b/>
          <w:bCs/>
          <w:sz w:val="21"/>
          <w:szCs w:val="21"/>
        </w:rPr>
        <w:t>por</w:t>
      </w:r>
      <w:r w:rsidRPr="00AD79C7">
        <w:rPr>
          <w:rFonts w:ascii="Abadi" w:hAnsi="Abadi"/>
          <w:b/>
          <w:bCs/>
          <w:spacing w:val="18"/>
          <w:sz w:val="21"/>
          <w:szCs w:val="21"/>
        </w:rPr>
        <w:t xml:space="preserve"> </w:t>
      </w:r>
      <w:r w:rsidRPr="00AD79C7">
        <w:rPr>
          <w:rFonts w:ascii="Abadi" w:hAnsi="Abadi"/>
          <w:b/>
          <w:bCs/>
          <w:sz w:val="21"/>
          <w:szCs w:val="21"/>
        </w:rPr>
        <w:t>los</w:t>
      </w:r>
      <w:r w:rsidRPr="00AD79C7">
        <w:rPr>
          <w:rFonts w:ascii="Abadi" w:hAnsi="Abadi"/>
          <w:b/>
          <w:bCs/>
          <w:spacing w:val="18"/>
          <w:sz w:val="21"/>
          <w:szCs w:val="21"/>
        </w:rPr>
        <w:t xml:space="preserve"> </w:t>
      </w:r>
      <w:r w:rsidRPr="00AD79C7">
        <w:rPr>
          <w:rFonts w:ascii="Abadi" w:hAnsi="Abadi"/>
          <w:b/>
          <w:bCs/>
          <w:sz w:val="21"/>
          <w:szCs w:val="21"/>
        </w:rPr>
        <w:t>ejercicios</w:t>
      </w:r>
      <w:r w:rsidRPr="00AD79C7">
        <w:rPr>
          <w:rFonts w:ascii="Abadi" w:hAnsi="Abadi"/>
          <w:b/>
          <w:bCs/>
          <w:spacing w:val="18"/>
          <w:sz w:val="21"/>
          <w:szCs w:val="21"/>
        </w:rPr>
        <w:t xml:space="preserve"> </w:t>
      </w:r>
      <w:r w:rsidRPr="00AD79C7">
        <w:rPr>
          <w:rFonts w:ascii="Abadi" w:hAnsi="Abadi"/>
          <w:b/>
          <w:bCs/>
          <w:sz w:val="21"/>
          <w:szCs w:val="21"/>
        </w:rPr>
        <w:t>fiscales</w:t>
      </w:r>
      <w:r w:rsidRPr="00AD79C7">
        <w:rPr>
          <w:rFonts w:ascii="Abadi" w:hAnsi="Abadi"/>
          <w:b/>
          <w:bCs/>
          <w:spacing w:val="18"/>
          <w:sz w:val="21"/>
          <w:szCs w:val="21"/>
        </w:rPr>
        <w:t xml:space="preserve"> </w:t>
      </w:r>
      <w:r w:rsidRPr="00AD79C7">
        <w:rPr>
          <w:rFonts w:ascii="Abadi" w:hAnsi="Abadi"/>
          <w:b/>
          <w:bCs/>
          <w:sz w:val="21"/>
          <w:szCs w:val="21"/>
        </w:rPr>
        <w:t>de</w:t>
      </w:r>
      <w:r w:rsidRPr="00AD79C7">
        <w:rPr>
          <w:rFonts w:ascii="Abadi" w:hAnsi="Abadi"/>
          <w:b/>
          <w:bCs/>
          <w:spacing w:val="18"/>
          <w:sz w:val="21"/>
          <w:szCs w:val="21"/>
        </w:rPr>
        <w:t xml:space="preserve"> </w:t>
      </w:r>
      <w:r w:rsidRPr="00AD79C7">
        <w:rPr>
          <w:rFonts w:ascii="Abadi" w:hAnsi="Abadi"/>
          <w:b/>
          <w:bCs/>
          <w:sz w:val="21"/>
          <w:szCs w:val="21"/>
        </w:rPr>
        <w:t>2019,</w:t>
      </w:r>
      <w:r w:rsidRPr="00AD79C7">
        <w:rPr>
          <w:rFonts w:ascii="Abadi" w:hAnsi="Abadi"/>
          <w:b/>
          <w:bCs/>
          <w:spacing w:val="-2"/>
          <w:sz w:val="21"/>
          <w:szCs w:val="21"/>
        </w:rPr>
        <w:t xml:space="preserve"> </w:t>
      </w:r>
      <w:r w:rsidRPr="00AD79C7">
        <w:rPr>
          <w:rFonts w:ascii="Abadi" w:hAnsi="Abadi"/>
          <w:b/>
          <w:bCs/>
          <w:sz w:val="21"/>
          <w:szCs w:val="21"/>
        </w:rPr>
        <w:t>2020</w:t>
      </w:r>
      <w:r w:rsidRPr="00AD79C7">
        <w:rPr>
          <w:rFonts w:ascii="Abadi" w:hAnsi="Abadi"/>
          <w:b/>
          <w:bCs/>
          <w:spacing w:val="80"/>
          <w:sz w:val="21"/>
          <w:szCs w:val="21"/>
        </w:rPr>
        <w:t xml:space="preserve"> </w:t>
      </w:r>
      <w:r w:rsidRPr="00AD79C7">
        <w:rPr>
          <w:rFonts w:ascii="Abadi" w:hAnsi="Abadi"/>
          <w:b/>
          <w:bCs/>
          <w:sz w:val="21"/>
          <w:szCs w:val="21"/>
        </w:rPr>
        <w:t>y</w:t>
      </w:r>
      <w:r w:rsidRPr="00AD79C7">
        <w:rPr>
          <w:rFonts w:ascii="Abadi" w:hAnsi="Abadi"/>
          <w:b/>
          <w:bCs/>
          <w:spacing w:val="80"/>
          <w:sz w:val="21"/>
          <w:szCs w:val="21"/>
        </w:rPr>
        <w:t xml:space="preserve"> </w:t>
      </w:r>
      <w:r w:rsidRPr="00AD79C7">
        <w:rPr>
          <w:rFonts w:ascii="Abadi" w:hAnsi="Abadi"/>
          <w:b/>
          <w:bCs/>
          <w:sz w:val="21"/>
          <w:szCs w:val="21"/>
        </w:rPr>
        <w:t>2021;</w:t>
      </w:r>
      <w:r w:rsidRPr="00AD79C7">
        <w:rPr>
          <w:rFonts w:ascii="Abadi" w:hAnsi="Abadi"/>
          <w:b/>
          <w:bCs/>
          <w:spacing w:val="80"/>
          <w:sz w:val="21"/>
          <w:szCs w:val="21"/>
        </w:rPr>
        <w:t xml:space="preserve"> </w:t>
      </w:r>
      <w:r w:rsidRPr="00AD79C7">
        <w:rPr>
          <w:rFonts w:ascii="Abadi" w:hAnsi="Abadi"/>
          <w:b/>
          <w:bCs/>
          <w:sz w:val="21"/>
          <w:szCs w:val="21"/>
        </w:rPr>
        <w:t>y</w:t>
      </w:r>
      <w:r w:rsidRPr="00AD79C7">
        <w:rPr>
          <w:rFonts w:ascii="Abadi" w:hAnsi="Abadi"/>
          <w:b/>
          <w:bCs/>
          <w:spacing w:val="80"/>
          <w:sz w:val="21"/>
          <w:szCs w:val="21"/>
        </w:rPr>
        <w:t xml:space="preserve"> </w:t>
      </w:r>
      <w:r w:rsidRPr="00AD79C7">
        <w:rPr>
          <w:rFonts w:ascii="Abadi" w:hAnsi="Abadi"/>
          <w:b/>
          <w:bCs/>
          <w:sz w:val="21"/>
          <w:szCs w:val="21"/>
        </w:rPr>
        <w:t>realice</w:t>
      </w:r>
      <w:r w:rsidRPr="00AD79C7">
        <w:rPr>
          <w:rFonts w:ascii="Abadi" w:hAnsi="Abadi"/>
          <w:b/>
          <w:bCs/>
          <w:spacing w:val="80"/>
          <w:sz w:val="21"/>
          <w:szCs w:val="21"/>
        </w:rPr>
        <w:t xml:space="preserve"> </w:t>
      </w:r>
      <w:r w:rsidRPr="00AD79C7">
        <w:rPr>
          <w:rFonts w:ascii="Abadi" w:hAnsi="Abadi"/>
          <w:b/>
          <w:bCs/>
          <w:sz w:val="21"/>
          <w:szCs w:val="21"/>
        </w:rPr>
        <w:t>las</w:t>
      </w:r>
      <w:r w:rsidRPr="00AD79C7">
        <w:rPr>
          <w:rFonts w:ascii="Abadi" w:hAnsi="Abadi"/>
          <w:b/>
          <w:bCs/>
          <w:spacing w:val="80"/>
          <w:sz w:val="21"/>
          <w:szCs w:val="21"/>
        </w:rPr>
        <w:t xml:space="preserve"> </w:t>
      </w:r>
      <w:r w:rsidRPr="00AD79C7">
        <w:rPr>
          <w:rFonts w:ascii="Abadi" w:hAnsi="Abadi"/>
          <w:b/>
          <w:bCs/>
          <w:sz w:val="21"/>
          <w:szCs w:val="21"/>
        </w:rPr>
        <w:t>investigaciones</w:t>
      </w:r>
      <w:r w:rsidRPr="00AD79C7">
        <w:rPr>
          <w:rFonts w:ascii="Abadi" w:hAnsi="Abadi"/>
          <w:b/>
          <w:bCs/>
          <w:spacing w:val="80"/>
          <w:sz w:val="21"/>
          <w:szCs w:val="21"/>
        </w:rPr>
        <w:t xml:space="preserve"> </w:t>
      </w:r>
      <w:r w:rsidRPr="00AD79C7">
        <w:rPr>
          <w:rFonts w:ascii="Abadi" w:hAnsi="Abadi"/>
          <w:b/>
          <w:bCs/>
          <w:sz w:val="21"/>
          <w:szCs w:val="21"/>
        </w:rPr>
        <w:t>necesarias</w:t>
      </w:r>
      <w:r w:rsidRPr="00AD79C7">
        <w:rPr>
          <w:rFonts w:ascii="Abadi" w:hAnsi="Abadi"/>
          <w:b/>
          <w:bCs/>
          <w:spacing w:val="80"/>
          <w:sz w:val="21"/>
          <w:szCs w:val="21"/>
        </w:rPr>
        <w:t xml:space="preserve"> </w:t>
      </w:r>
      <w:r w:rsidRPr="00AD79C7">
        <w:rPr>
          <w:rFonts w:ascii="Abadi" w:hAnsi="Abadi"/>
          <w:b/>
          <w:bCs/>
          <w:sz w:val="21"/>
          <w:szCs w:val="21"/>
        </w:rPr>
        <w:t>e</w:t>
      </w:r>
      <w:r w:rsidRPr="00AD79C7">
        <w:rPr>
          <w:rFonts w:ascii="Abadi" w:hAnsi="Abadi"/>
          <w:b/>
          <w:bCs/>
          <w:spacing w:val="80"/>
          <w:sz w:val="21"/>
          <w:szCs w:val="21"/>
        </w:rPr>
        <w:t xml:space="preserve"> </w:t>
      </w:r>
      <w:r w:rsidRPr="00AD79C7">
        <w:rPr>
          <w:rFonts w:ascii="Abadi" w:hAnsi="Abadi"/>
          <w:b/>
          <w:bCs/>
          <w:sz w:val="21"/>
          <w:szCs w:val="21"/>
        </w:rPr>
        <w:t>informe</w:t>
      </w:r>
      <w:r w:rsidRPr="00AD79C7">
        <w:rPr>
          <w:rFonts w:ascii="Abadi" w:hAnsi="Abadi"/>
          <w:b/>
          <w:bCs/>
          <w:spacing w:val="80"/>
          <w:sz w:val="21"/>
          <w:szCs w:val="21"/>
        </w:rPr>
        <w:t xml:space="preserve"> </w:t>
      </w:r>
      <w:r w:rsidRPr="00AD79C7">
        <w:rPr>
          <w:rFonts w:ascii="Abadi" w:hAnsi="Abadi"/>
          <w:b/>
          <w:bCs/>
          <w:sz w:val="21"/>
          <w:szCs w:val="21"/>
        </w:rPr>
        <w:t>a</w:t>
      </w:r>
      <w:r w:rsidRPr="00AD79C7">
        <w:rPr>
          <w:rFonts w:ascii="Abadi" w:hAnsi="Abadi"/>
          <w:b/>
          <w:bCs/>
          <w:spacing w:val="80"/>
          <w:sz w:val="21"/>
          <w:szCs w:val="21"/>
        </w:rPr>
        <w:t xml:space="preserve"> </w:t>
      </w:r>
      <w:r w:rsidRPr="00AD79C7">
        <w:rPr>
          <w:rFonts w:ascii="Abadi" w:hAnsi="Abadi"/>
          <w:b/>
          <w:bCs/>
          <w:sz w:val="21"/>
          <w:szCs w:val="21"/>
        </w:rPr>
        <w:t>la</w:t>
      </w:r>
      <w:r w:rsidRPr="00AD79C7">
        <w:rPr>
          <w:rFonts w:ascii="Abadi" w:hAnsi="Abadi"/>
          <w:b/>
          <w:bCs/>
          <w:spacing w:val="-2"/>
          <w:sz w:val="21"/>
          <w:szCs w:val="21"/>
        </w:rPr>
        <w:t xml:space="preserve"> </w:t>
      </w:r>
      <w:r w:rsidRPr="00AD79C7">
        <w:rPr>
          <w:rFonts w:ascii="Abadi" w:hAnsi="Abadi"/>
          <w:b/>
          <w:bCs/>
          <w:sz w:val="21"/>
          <w:szCs w:val="21"/>
        </w:rPr>
        <w:t>brevedad</w:t>
      </w:r>
      <w:r w:rsidRPr="00AD79C7">
        <w:rPr>
          <w:rFonts w:ascii="Abadi" w:hAnsi="Abadi"/>
          <w:b/>
          <w:bCs/>
          <w:spacing w:val="-10"/>
          <w:sz w:val="21"/>
          <w:szCs w:val="21"/>
        </w:rPr>
        <w:t xml:space="preserve"> </w:t>
      </w:r>
      <w:r w:rsidRPr="00AD79C7">
        <w:rPr>
          <w:rFonts w:ascii="Abadi" w:hAnsi="Abadi"/>
          <w:b/>
          <w:bCs/>
          <w:sz w:val="21"/>
          <w:szCs w:val="21"/>
        </w:rPr>
        <w:t>al</w:t>
      </w:r>
      <w:r w:rsidRPr="00AD79C7">
        <w:rPr>
          <w:rFonts w:ascii="Abadi" w:hAnsi="Abadi"/>
          <w:b/>
          <w:bCs/>
          <w:spacing w:val="-11"/>
          <w:sz w:val="21"/>
          <w:szCs w:val="21"/>
        </w:rPr>
        <w:t xml:space="preserve"> </w:t>
      </w:r>
      <w:r w:rsidRPr="00AD79C7">
        <w:rPr>
          <w:rFonts w:ascii="Abadi" w:hAnsi="Abadi"/>
          <w:b/>
          <w:bCs/>
          <w:sz w:val="21"/>
          <w:szCs w:val="21"/>
        </w:rPr>
        <w:t>Congreso</w:t>
      </w:r>
      <w:r w:rsidRPr="00AD79C7">
        <w:rPr>
          <w:rFonts w:ascii="Abadi" w:hAnsi="Abadi"/>
          <w:b/>
          <w:bCs/>
          <w:spacing w:val="-10"/>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Estado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Guanajuato,</w:t>
      </w:r>
      <w:r w:rsidRPr="00AD79C7">
        <w:rPr>
          <w:rFonts w:ascii="Abadi" w:hAnsi="Abadi"/>
          <w:b/>
          <w:bCs/>
          <w:spacing w:val="-11"/>
          <w:sz w:val="21"/>
          <w:szCs w:val="21"/>
        </w:rPr>
        <w:t xml:space="preserve"> </w:t>
      </w:r>
      <w:r w:rsidRPr="00AD79C7">
        <w:rPr>
          <w:rFonts w:ascii="Abadi" w:hAnsi="Abadi"/>
          <w:b/>
          <w:bCs/>
          <w:sz w:val="21"/>
          <w:szCs w:val="21"/>
        </w:rPr>
        <w:t>si</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Contraloría</w:t>
      </w:r>
      <w:r w:rsidRPr="00AD79C7">
        <w:rPr>
          <w:rFonts w:ascii="Abadi" w:hAnsi="Abadi"/>
          <w:b/>
          <w:bCs/>
          <w:spacing w:val="-9"/>
          <w:sz w:val="21"/>
          <w:szCs w:val="21"/>
        </w:rPr>
        <w:t xml:space="preserve"> </w:t>
      </w:r>
      <w:r w:rsidRPr="00AD79C7">
        <w:rPr>
          <w:rFonts w:ascii="Abadi" w:hAnsi="Abadi"/>
          <w:b/>
          <w:bCs/>
          <w:sz w:val="21"/>
          <w:szCs w:val="21"/>
        </w:rPr>
        <w:t>Municipal</w:t>
      </w:r>
      <w:r w:rsidRPr="00AD79C7">
        <w:rPr>
          <w:rFonts w:ascii="Abadi" w:hAnsi="Abadi"/>
          <w:b/>
          <w:bCs/>
          <w:spacing w:val="-2"/>
          <w:sz w:val="21"/>
          <w:szCs w:val="21"/>
        </w:rPr>
        <w:t xml:space="preserve"> </w:t>
      </w:r>
      <w:r w:rsidRPr="00AD79C7">
        <w:rPr>
          <w:rFonts w:ascii="Abadi" w:hAnsi="Abadi"/>
          <w:b/>
          <w:bCs/>
          <w:sz w:val="21"/>
          <w:szCs w:val="21"/>
        </w:rPr>
        <w:t>inició</w:t>
      </w:r>
      <w:r w:rsidRPr="00AD79C7">
        <w:rPr>
          <w:rFonts w:ascii="Abadi" w:hAnsi="Abadi"/>
          <w:b/>
          <w:bCs/>
          <w:spacing w:val="20"/>
          <w:sz w:val="21"/>
          <w:szCs w:val="21"/>
        </w:rPr>
        <w:t xml:space="preserve"> </w:t>
      </w:r>
      <w:r w:rsidRPr="00AD79C7">
        <w:rPr>
          <w:rFonts w:ascii="Abadi" w:hAnsi="Abadi"/>
          <w:b/>
          <w:bCs/>
          <w:sz w:val="21"/>
          <w:szCs w:val="21"/>
        </w:rPr>
        <w:t>algún</w:t>
      </w:r>
      <w:r w:rsidRPr="00AD79C7">
        <w:rPr>
          <w:rFonts w:ascii="Abadi" w:hAnsi="Abadi"/>
          <w:b/>
          <w:bCs/>
          <w:spacing w:val="20"/>
          <w:sz w:val="21"/>
          <w:szCs w:val="21"/>
        </w:rPr>
        <w:t xml:space="preserve"> </w:t>
      </w:r>
      <w:r w:rsidRPr="00AD79C7">
        <w:rPr>
          <w:rFonts w:ascii="Abadi" w:hAnsi="Abadi"/>
          <w:b/>
          <w:bCs/>
          <w:sz w:val="21"/>
          <w:szCs w:val="21"/>
        </w:rPr>
        <w:t>proceso</w:t>
      </w:r>
      <w:r w:rsidRPr="00AD79C7">
        <w:rPr>
          <w:rFonts w:ascii="Abadi" w:hAnsi="Abadi"/>
          <w:b/>
          <w:bCs/>
          <w:spacing w:val="20"/>
          <w:sz w:val="21"/>
          <w:szCs w:val="21"/>
        </w:rPr>
        <w:t xml:space="preserve"> </w:t>
      </w:r>
      <w:r w:rsidRPr="00AD79C7">
        <w:rPr>
          <w:rFonts w:ascii="Abadi" w:hAnsi="Abadi"/>
          <w:b/>
          <w:bCs/>
          <w:sz w:val="21"/>
          <w:szCs w:val="21"/>
        </w:rPr>
        <w:t>derivado</w:t>
      </w:r>
      <w:r w:rsidRPr="00AD79C7">
        <w:rPr>
          <w:rFonts w:ascii="Abadi" w:hAnsi="Abadi"/>
          <w:b/>
          <w:bCs/>
          <w:spacing w:val="20"/>
          <w:sz w:val="21"/>
          <w:szCs w:val="21"/>
        </w:rPr>
        <w:t xml:space="preserve"> </w:t>
      </w:r>
      <w:r w:rsidRPr="00AD79C7">
        <w:rPr>
          <w:rFonts w:ascii="Abadi" w:hAnsi="Abadi"/>
          <w:b/>
          <w:bCs/>
          <w:sz w:val="21"/>
          <w:szCs w:val="21"/>
        </w:rPr>
        <w:t>de</w:t>
      </w:r>
      <w:r w:rsidRPr="00AD79C7">
        <w:rPr>
          <w:rFonts w:ascii="Abadi" w:hAnsi="Abadi"/>
          <w:b/>
          <w:bCs/>
          <w:spacing w:val="20"/>
          <w:sz w:val="21"/>
          <w:szCs w:val="21"/>
        </w:rPr>
        <w:t xml:space="preserve"> </w:t>
      </w:r>
      <w:r w:rsidRPr="00AD79C7">
        <w:rPr>
          <w:rFonts w:ascii="Abadi" w:hAnsi="Abadi"/>
          <w:b/>
          <w:bCs/>
          <w:sz w:val="21"/>
          <w:szCs w:val="21"/>
        </w:rPr>
        <w:t>las</w:t>
      </w:r>
      <w:r w:rsidRPr="00AD79C7">
        <w:rPr>
          <w:rFonts w:ascii="Abadi" w:hAnsi="Abadi"/>
          <w:b/>
          <w:bCs/>
          <w:spacing w:val="20"/>
          <w:sz w:val="21"/>
          <w:szCs w:val="21"/>
        </w:rPr>
        <w:t xml:space="preserve"> </w:t>
      </w:r>
      <w:r w:rsidRPr="00AD79C7">
        <w:rPr>
          <w:rFonts w:ascii="Abadi" w:hAnsi="Abadi"/>
          <w:b/>
          <w:bCs/>
          <w:sz w:val="21"/>
          <w:szCs w:val="21"/>
        </w:rPr>
        <w:t>observaciones</w:t>
      </w:r>
      <w:r w:rsidRPr="00AD79C7">
        <w:rPr>
          <w:rFonts w:ascii="Abadi" w:hAnsi="Abadi"/>
          <w:b/>
          <w:bCs/>
          <w:spacing w:val="20"/>
          <w:sz w:val="21"/>
          <w:szCs w:val="21"/>
        </w:rPr>
        <w:t xml:space="preserve"> </w:t>
      </w:r>
      <w:r w:rsidRPr="00AD79C7">
        <w:rPr>
          <w:rFonts w:ascii="Abadi" w:hAnsi="Abadi"/>
          <w:b/>
          <w:bCs/>
          <w:sz w:val="21"/>
          <w:szCs w:val="21"/>
        </w:rPr>
        <w:t>no</w:t>
      </w:r>
      <w:r w:rsidRPr="00AD79C7">
        <w:rPr>
          <w:rFonts w:ascii="Abadi" w:hAnsi="Abadi"/>
          <w:b/>
          <w:bCs/>
          <w:spacing w:val="20"/>
          <w:sz w:val="21"/>
          <w:szCs w:val="21"/>
        </w:rPr>
        <w:t xml:space="preserve"> </w:t>
      </w:r>
      <w:r w:rsidRPr="00AD79C7">
        <w:rPr>
          <w:rFonts w:ascii="Abadi" w:hAnsi="Abadi"/>
          <w:b/>
          <w:bCs/>
          <w:sz w:val="21"/>
          <w:szCs w:val="21"/>
        </w:rPr>
        <w:t>solventadas</w:t>
      </w:r>
      <w:r w:rsidRPr="00AD79C7">
        <w:rPr>
          <w:rFonts w:ascii="Abadi" w:hAnsi="Abadi"/>
          <w:b/>
          <w:bCs/>
          <w:spacing w:val="20"/>
          <w:sz w:val="21"/>
          <w:szCs w:val="21"/>
        </w:rPr>
        <w:t xml:space="preserve"> </w:t>
      </w:r>
      <w:r w:rsidRPr="00AD79C7">
        <w:rPr>
          <w:rFonts w:ascii="Abadi" w:hAnsi="Abadi"/>
          <w:b/>
          <w:bCs/>
          <w:sz w:val="21"/>
          <w:szCs w:val="21"/>
        </w:rPr>
        <w:t>de</w:t>
      </w:r>
      <w:r w:rsidRPr="00AD79C7">
        <w:rPr>
          <w:rFonts w:ascii="Abadi" w:hAnsi="Abadi"/>
          <w:b/>
          <w:bCs/>
          <w:spacing w:val="20"/>
          <w:sz w:val="21"/>
          <w:szCs w:val="21"/>
        </w:rPr>
        <w:t xml:space="preserve"> </w:t>
      </w:r>
      <w:r w:rsidRPr="00AD79C7">
        <w:rPr>
          <w:rFonts w:ascii="Abadi" w:hAnsi="Abadi"/>
          <w:b/>
          <w:bCs/>
          <w:sz w:val="21"/>
          <w:szCs w:val="21"/>
        </w:rPr>
        <w:t>las</w:t>
      </w:r>
      <w:r w:rsidRPr="00AD79C7">
        <w:rPr>
          <w:rFonts w:ascii="Abadi" w:hAnsi="Abadi"/>
          <w:b/>
          <w:bCs/>
          <w:spacing w:val="-2"/>
          <w:sz w:val="21"/>
          <w:szCs w:val="21"/>
        </w:rPr>
        <w:t xml:space="preserve"> </w:t>
      </w:r>
      <w:r w:rsidRPr="00AD79C7">
        <w:rPr>
          <w:rFonts w:ascii="Abadi" w:hAnsi="Abadi"/>
          <w:b/>
          <w:bCs/>
          <w:sz w:val="21"/>
          <w:szCs w:val="21"/>
        </w:rPr>
        <w:t>auditorías</w:t>
      </w:r>
      <w:r w:rsidRPr="00AD79C7">
        <w:rPr>
          <w:rFonts w:ascii="Abadi" w:hAnsi="Abadi"/>
          <w:b/>
          <w:bCs/>
          <w:spacing w:val="-1"/>
          <w:sz w:val="21"/>
          <w:szCs w:val="21"/>
        </w:rPr>
        <w:t xml:space="preserve"> </w:t>
      </w:r>
      <w:r w:rsidRPr="00AD79C7">
        <w:rPr>
          <w:rFonts w:ascii="Abadi" w:hAnsi="Abadi"/>
          <w:b/>
          <w:bCs/>
          <w:sz w:val="21"/>
          <w:szCs w:val="21"/>
        </w:rPr>
        <w:t>practicadas</w:t>
      </w:r>
      <w:r w:rsidRPr="00AD79C7">
        <w:rPr>
          <w:rFonts w:ascii="Abadi" w:hAnsi="Abadi"/>
          <w:b/>
          <w:bCs/>
          <w:spacing w:val="-1"/>
          <w:sz w:val="21"/>
          <w:szCs w:val="21"/>
        </w:rPr>
        <w:t xml:space="preserve"> </w:t>
      </w:r>
      <w:r w:rsidRPr="00AD79C7">
        <w:rPr>
          <w:rFonts w:ascii="Abadi" w:hAnsi="Abadi"/>
          <w:b/>
          <w:bCs/>
          <w:sz w:val="21"/>
          <w:szCs w:val="21"/>
        </w:rPr>
        <w:t>a</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administración</w:t>
      </w:r>
      <w:r w:rsidRPr="00AD79C7">
        <w:rPr>
          <w:rFonts w:ascii="Abadi" w:hAnsi="Abadi"/>
          <w:b/>
          <w:bCs/>
          <w:spacing w:val="-1"/>
          <w:sz w:val="21"/>
          <w:szCs w:val="21"/>
        </w:rPr>
        <w:t xml:space="preserve"> </w:t>
      </w:r>
      <w:r w:rsidRPr="00AD79C7">
        <w:rPr>
          <w:rFonts w:ascii="Abadi" w:hAnsi="Abadi"/>
          <w:b/>
          <w:bCs/>
          <w:sz w:val="21"/>
          <w:szCs w:val="21"/>
        </w:rPr>
        <w:t>2018-2021</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dicho</w:t>
      </w:r>
      <w:r w:rsidRPr="00AD79C7">
        <w:rPr>
          <w:rFonts w:ascii="Abadi" w:hAnsi="Abadi"/>
          <w:b/>
          <w:bCs/>
          <w:spacing w:val="-1"/>
          <w:sz w:val="21"/>
          <w:szCs w:val="21"/>
        </w:rPr>
        <w:t xml:space="preserve"> </w:t>
      </w:r>
      <w:r w:rsidRPr="00AD79C7">
        <w:rPr>
          <w:rFonts w:ascii="Abadi" w:hAnsi="Abadi"/>
          <w:b/>
          <w:bCs/>
          <w:sz w:val="21"/>
          <w:szCs w:val="21"/>
        </w:rPr>
        <w:t>Municipio.</w:t>
      </w:r>
    </w:p>
    <w:p w14:paraId="398E677E" w14:textId="56194878" w:rsidR="00B64ED0" w:rsidRDefault="00B64ED0" w:rsidP="006B00FD">
      <w:pPr>
        <w:pStyle w:val="Prrafodelista"/>
        <w:tabs>
          <w:tab w:val="left" w:pos="856"/>
        </w:tabs>
        <w:kinsoku w:val="0"/>
        <w:overflowPunct w:val="0"/>
        <w:autoSpaceDE w:val="0"/>
        <w:autoSpaceDN w:val="0"/>
        <w:adjustRightInd w:val="0"/>
        <w:ind w:left="720" w:right="566"/>
        <w:jc w:val="both"/>
        <w:rPr>
          <w:rFonts w:ascii="Abadi" w:hAnsi="Abadi"/>
          <w:b/>
          <w:bCs/>
          <w:i/>
          <w:iCs/>
          <w:sz w:val="21"/>
          <w:szCs w:val="21"/>
        </w:rPr>
      </w:pPr>
    </w:p>
    <w:p w14:paraId="629A5A16" w14:textId="77777777" w:rsidR="00B64ED0" w:rsidRPr="00AD79C7" w:rsidRDefault="00B64ED0" w:rsidP="00B64ED0">
      <w:pPr>
        <w:pStyle w:val="Prrafodelista"/>
        <w:tabs>
          <w:tab w:val="left" w:pos="856"/>
        </w:tabs>
        <w:kinsoku w:val="0"/>
        <w:overflowPunct w:val="0"/>
        <w:autoSpaceDE w:val="0"/>
        <w:autoSpaceDN w:val="0"/>
        <w:adjustRightInd w:val="0"/>
        <w:ind w:left="720" w:right="17"/>
        <w:jc w:val="both"/>
        <w:rPr>
          <w:rFonts w:ascii="Abadi" w:hAnsi="Abadi"/>
          <w:b/>
          <w:bCs/>
          <w:i/>
          <w:iCs/>
          <w:sz w:val="21"/>
          <w:szCs w:val="21"/>
        </w:rPr>
      </w:pPr>
    </w:p>
    <w:p w14:paraId="45F40186" w14:textId="550939F4" w:rsidR="00B64ED0" w:rsidRPr="00AD79C7" w:rsidRDefault="00B64ED0"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i/>
          <w:iCs/>
          <w:sz w:val="21"/>
          <w:szCs w:val="21"/>
        </w:rPr>
      </w:pPr>
      <w:r w:rsidRPr="00AD79C7">
        <w:rPr>
          <w:rFonts w:ascii="Abadi" w:hAnsi="Abadi"/>
          <w:b/>
          <w:bCs/>
          <w:sz w:val="21"/>
          <w:szCs w:val="21"/>
        </w:rPr>
        <w:t>Discusión</w:t>
      </w:r>
      <w:r w:rsidRPr="00AD79C7">
        <w:rPr>
          <w:rFonts w:ascii="Abadi" w:hAnsi="Abadi"/>
          <w:b/>
          <w:bCs/>
          <w:spacing w:val="9"/>
          <w:sz w:val="21"/>
          <w:szCs w:val="21"/>
        </w:rPr>
        <w:t xml:space="preserve"> </w:t>
      </w:r>
      <w:r w:rsidRPr="00AD79C7">
        <w:rPr>
          <w:rFonts w:ascii="Abadi" w:hAnsi="Abadi"/>
          <w:b/>
          <w:bCs/>
          <w:sz w:val="21"/>
          <w:szCs w:val="21"/>
        </w:rPr>
        <w:t>y,</w:t>
      </w:r>
      <w:r w:rsidRPr="00AD79C7">
        <w:rPr>
          <w:rFonts w:ascii="Abadi" w:hAnsi="Abadi"/>
          <w:b/>
          <w:bCs/>
          <w:spacing w:val="9"/>
          <w:sz w:val="21"/>
          <w:szCs w:val="21"/>
        </w:rPr>
        <w:t xml:space="preserve"> </w:t>
      </w:r>
      <w:r w:rsidRPr="00AD79C7">
        <w:rPr>
          <w:rFonts w:ascii="Abadi" w:hAnsi="Abadi"/>
          <w:b/>
          <w:bCs/>
          <w:sz w:val="21"/>
          <w:szCs w:val="21"/>
        </w:rPr>
        <w:t>en</w:t>
      </w:r>
      <w:r w:rsidRPr="00AD79C7">
        <w:rPr>
          <w:rFonts w:ascii="Abadi" w:hAnsi="Abadi"/>
          <w:b/>
          <w:bCs/>
          <w:spacing w:val="9"/>
          <w:sz w:val="21"/>
          <w:szCs w:val="21"/>
        </w:rPr>
        <w:t xml:space="preserve"> </w:t>
      </w:r>
      <w:r w:rsidRPr="00AD79C7">
        <w:rPr>
          <w:rFonts w:ascii="Abadi" w:hAnsi="Abadi"/>
          <w:b/>
          <w:bCs/>
          <w:sz w:val="21"/>
          <w:szCs w:val="21"/>
        </w:rPr>
        <w:t>su</w:t>
      </w:r>
      <w:r w:rsidRPr="00AD79C7">
        <w:rPr>
          <w:rFonts w:ascii="Abadi" w:hAnsi="Abadi"/>
          <w:b/>
          <w:bCs/>
          <w:spacing w:val="9"/>
          <w:sz w:val="21"/>
          <w:szCs w:val="21"/>
        </w:rPr>
        <w:t xml:space="preserve"> </w:t>
      </w:r>
      <w:r w:rsidRPr="00AD79C7">
        <w:rPr>
          <w:rFonts w:ascii="Abadi" w:hAnsi="Abadi"/>
          <w:b/>
          <w:bCs/>
          <w:sz w:val="21"/>
          <w:szCs w:val="21"/>
        </w:rPr>
        <w:t>caso,</w:t>
      </w:r>
      <w:r w:rsidRPr="00AD79C7">
        <w:rPr>
          <w:rFonts w:ascii="Abadi" w:hAnsi="Abadi"/>
          <w:b/>
          <w:bCs/>
          <w:spacing w:val="9"/>
          <w:sz w:val="21"/>
          <w:szCs w:val="21"/>
        </w:rPr>
        <w:t xml:space="preserve"> </w:t>
      </w:r>
      <w:r w:rsidRPr="00AD79C7">
        <w:rPr>
          <w:rFonts w:ascii="Abadi" w:hAnsi="Abadi"/>
          <w:b/>
          <w:bCs/>
          <w:sz w:val="21"/>
          <w:szCs w:val="21"/>
        </w:rPr>
        <w:t>aprobación</w:t>
      </w:r>
      <w:r w:rsidRPr="00AD79C7">
        <w:rPr>
          <w:rFonts w:ascii="Abadi" w:hAnsi="Abadi"/>
          <w:b/>
          <w:bCs/>
          <w:spacing w:val="9"/>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dictamen</w:t>
      </w:r>
      <w:r w:rsidRPr="00AD79C7">
        <w:rPr>
          <w:rFonts w:ascii="Abadi" w:hAnsi="Abadi"/>
          <w:b/>
          <w:bCs/>
          <w:spacing w:val="9"/>
          <w:sz w:val="21"/>
          <w:szCs w:val="21"/>
        </w:rPr>
        <w:t xml:space="preserve"> </w:t>
      </w:r>
      <w:r w:rsidRPr="00AD79C7">
        <w:rPr>
          <w:rFonts w:ascii="Abadi" w:hAnsi="Abadi"/>
          <w:b/>
          <w:bCs/>
          <w:sz w:val="21"/>
          <w:szCs w:val="21"/>
        </w:rPr>
        <w:t>signado</w:t>
      </w:r>
      <w:r w:rsidRPr="00AD79C7">
        <w:rPr>
          <w:rFonts w:ascii="Abadi" w:hAnsi="Abadi"/>
          <w:b/>
          <w:bCs/>
          <w:spacing w:val="9"/>
          <w:sz w:val="21"/>
          <w:szCs w:val="21"/>
        </w:rPr>
        <w:t xml:space="preserve"> </w:t>
      </w:r>
      <w:r w:rsidRPr="00AD79C7">
        <w:rPr>
          <w:rFonts w:ascii="Abadi" w:hAnsi="Abadi"/>
          <w:b/>
          <w:bCs/>
          <w:sz w:val="21"/>
          <w:szCs w:val="21"/>
        </w:rPr>
        <w:t>por</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9"/>
          <w:sz w:val="21"/>
          <w:szCs w:val="21"/>
        </w:rPr>
        <w:t xml:space="preserve"> </w:t>
      </w:r>
      <w:r w:rsidRPr="00AD79C7">
        <w:rPr>
          <w:rFonts w:ascii="Abadi" w:hAnsi="Abadi"/>
          <w:b/>
          <w:bCs/>
          <w:sz w:val="21"/>
          <w:szCs w:val="21"/>
        </w:rPr>
        <w:t>Comisión</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33"/>
          <w:sz w:val="21"/>
          <w:szCs w:val="21"/>
        </w:rPr>
        <w:t xml:space="preserve"> </w:t>
      </w:r>
      <w:r w:rsidRPr="00AD79C7">
        <w:rPr>
          <w:rFonts w:ascii="Abadi" w:hAnsi="Abadi"/>
          <w:b/>
          <w:bCs/>
          <w:sz w:val="21"/>
          <w:szCs w:val="21"/>
        </w:rPr>
        <w:t>Hacienda</w:t>
      </w:r>
      <w:r w:rsidRPr="00AD79C7">
        <w:rPr>
          <w:rFonts w:ascii="Abadi" w:hAnsi="Abadi"/>
          <w:b/>
          <w:bCs/>
          <w:spacing w:val="32"/>
          <w:sz w:val="21"/>
          <w:szCs w:val="21"/>
        </w:rPr>
        <w:t xml:space="preserve"> </w:t>
      </w:r>
      <w:r w:rsidRPr="00AD79C7">
        <w:rPr>
          <w:rFonts w:ascii="Abadi" w:hAnsi="Abadi"/>
          <w:b/>
          <w:bCs/>
          <w:sz w:val="21"/>
          <w:szCs w:val="21"/>
        </w:rPr>
        <w:t>y</w:t>
      </w:r>
      <w:r w:rsidRPr="00AD79C7">
        <w:rPr>
          <w:rFonts w:ascii="Abadi" w:hAnsi="Abadi"/>
          <w:b/>
          <w:bCs/>
          <w:spacing w:val="32"/>
          <w:sz w:val="21"/>
          <w:szCs w:val="21"/>
        </w:rPr>
        <w:t xml:space="preserve"> </w:t>
      </w:r>
      <w:r w:rsidRPr="00AD79C7">
        <w:rPr>
          <w:rFonts w:ascii="Abadi" w:hAnsi="Abadi"/>
          <w:b/>
          <w:bCs/>
          <w:sz w:val="21"/>
          <w:szCs w:val="21"/>
        </w:rPr>
        <w:t>Fiscalización</w:t>
      </w:r>
      <w:r w:rsidRPr="00AD79C7">
        <w:rPr>
          <w:rFonts w:ascii="Abadi" w:hAnsi="Abadi"/>
          <w:b/>
          <w:bCs/>
          <w:spacing w:val="32"/>
          <w:sz w:val="21"/>
          <w:szCs w:val="21"/>
        </w:rPr>
        <w:t xml:space="preserve"> </w:t>
      </w:r>
      <w:r w:rsidRPr="00AD79C7">
        <w:rPr>
          <w:rFonts w:ascii="Abadi" w:hAnsi="Abadi"/>
          <w:b/>
          <w:bCs/>
          <w:sz w:val="21"/>
          <w:szCs w:val="21"/>
        </w:rPr>
        <w:t>relativo</w:t>
      </w:r>
      <w:r w:rsidRPr="00AD79C7">
        <w:rPr>
          <w:rFonts w:ascii="Abadi" w:hAnsi="Abadi"/>
          <w:b/>
          <w:bCs/>
          <w:spacing w:val="32"/>
          <w:sz w:val="21"/>
          <w:szCs w:val="21"/>
        </w:rPr>
        <w:t xml:space="preserve"> </w:t>
      </w:r>
      <w:r w:rsidRPr="00AD79C7">
        <w:rPr>
          <w:rFonts w:ascii="Abadi" w:hAnsi="Abadi"/>
          <w:b/>
          <w:bCs/>
          <w:sz w:val="21"/>
          <w:szCs w:val="21"/>
        </w:rPr>
        <w:t>a</w:t>
      </w:r>
      <w:r w:rsidRPr="00AD79C7">
        <w:rPr>
          <w:rFonts w:ascii="Abadi" w:hAnsi="Abadi"/>
          <w:b/>
          <w:bCs/>
          <w:spacing w:val="33"/>
          <w:sz w:val="21"/>
          <w:szCs w:val="21"/>
        </w:rPr>
        <w:t xml:space="preserve"> </w:t>
      </w:r>
      <w:r w:rsidRPr="00AD79C7">
        <w:rPr>
          <w:rFonts w:ascii="Abadi" w:hAnsi="Abadi"/>
          <w:b/>
          <w:bCs/>
          <w:sz w:val="21"/>
          <w:szCs w:val="21"/>
        </w:rPr>
        <w:t>la</w:t>
      </w:r>
      <w:r w:rsidRPr="00AD79C7">
        <w:rPr>
          <w:rFonts w:ascii="Abadi" w:hAnsi="Abadi"/>
          <w:b/>
          <w:bCs/>
          <w:spacing w:val="33"/>
          <w:sz w:val="21"/>
          <w:szCs w:val="21"/>
        </w:rPr>
        <w:t xml:space="preserve"> </w:t>
      </w:r>
      <w:r w:rsidRPr="00AD79C7">
        <w:rPr>
          <w:rFonts w:ascii="Abadi" w:hAnsi="Abadi"/>
          <w:b/>
          <w:bCs/>
          <w:sz w:val="21"/>
          <w:szCs w:val="21"/>
        </w:rPr>
        <w:t>propuesta</w:t>
      </w:r>
      <w:r w:rsidRPr="00AD79C7">
        <w:rPr>
          <w:rFonts w:ascii="Abadi" w:hAnsi="Abadi"/>
          <w:b/>
          <w:bCs/>
          <w:spacing w:val="32"/>
          <w:sz w:val="21"/>
          <w:szCs w:val="21"/>
        </w:rPr>
        <w:t xml:space="preserve"> </w:t>
      </w:r>
      <w:r w:rsidRPr="00AD79C7">
        <w:rPr>
          <w:rFonts w:ascii="Abadi" w:hAnsi="Abadi"/>
          <w:b/>
          <w:bCs/>
          <w:sz w:val="21"/>
          <w:szCs w:val="21"/>
        </w:rPr>
        <w:t>de</w:t>
      </w:r>
      <w:r w:rsidRPr="00AD79C7">
        <w:rPr>
          <w:rFonts w:ascii="Abadi" w:hAnsi="Abadi"/>
          <w:b/>
          <w:bCs/>
          <w:spacing w:val="32"/>
          <w:sz w:val="21"/>
          <w:szCs w:val="21"/>
        </w:rPr>
        <w:t xml:space="preserve"> </w:t>
      </w:r>
      <w:r w:rsidRPr="00AD79C7">
        <w:rPr>
          <w:rFonts w:ascii="Abadi" w:hAnsi="Abadi"/>
          <w:b/>
          <w:bCs/>
          <w:sz w:val="21"/>
          <w:szCs w:val="21"/>
        </w:rPr>
        <w:t>punto</w:t>
      </w:r>
      <w:r w:rsidRPr="00AD79C7">
        <w:rPr>
          <w:rFonts w:ascii="Abadi" w:hAnsi="Abadi"/>
          <w:b/>
          <w:bCs/>
          <w:spacing w:val="32"/>
          <w:sz w:val="21"/>
          <w:szCs w:val="21"/>
        </w:rPr>
        <w:t xml:space="preserve"> </w:t>
      </w:r>
      <w:r w:rsidRPr="00AD79C7">
        <w:rPr>
          <w:rFonts w:ascii="Abadi" w:hAnsi="Abadi"/>
          <w:b/>
          <w:bCs/>
          <w:sz w:val="21"/>
          <w:szCs w:val="21"/>
        </w:rPr>
        <w:t>de</w:t>
      </w:r>
      <w:r w:rsidRPr="00AD79C7">
        <w:rPr>
          <w:rFonts w:ascii="Abadi" w:hAnsi="Abadi"/>
          <w:b/>
          <w:bCs/>
          <w:spacing w:val="32"/>
          <w:sz w:val="21"/>
          <w:szCs w:val="21"/>
        </w:rPr>
        <w:t xml:space="preserve"> </w:t>
      </w:r>
      <w:r w:rsidRPr="00AD79C7">
        <w:rPr>
          <w:rFonts w:ascii="Abadi" w:hAnsi="Abadi"/>
          <w:b/>
          <w:bCs/>
          <w:sz w:val="21"/>
          <w:szCs w:val="21"/>
        </w:rPr>
        <w:t>acuerdo</w:t>
      </w:r>
      <w:r w:rsidRPr="00AD79C7">
        <w:rPr>
          <w:rFonts w:ascii="Abadi" w:hAnsi="Abadi"/>
          <w:b/>
          <w:bCs/>
          <w:spacing w:val="-1"/>
          <w:sz w:val="21"/>
          <w:szCs w:val="21"/>
        </w:rPr>
        <w:t xml:space="preserve"> </w:t>
      </w:r>
      <w:r w:rsidRPr="00AD79C7">
        <w:rPr>
          <w:rFonts w:ascii="Abadi" w:hAnsi="Abadi"/>
          <w:b/>
          <w:bCs/>
          <w:sz w:val="21"/>
          <w:szCs w:val="21"/>
        </w:rPr>
        <w:t>formulada</w:t>
      </w:r>
      <w:r w:rsidRPr="00AD79C7">
        <w:rPr>
          <w:rFonts w:ascii="Abadi" w:hAnsi="Abadi"/>
          <w:b/>
          <w:bCs/>
          <w:spacing w:val="25"/>
          <w:sz w:val="21"/>
          <w:szCs w:val="21"/>
        </w:rPr>
        <w:t xml:space="preserve"> </w:t>
      </w:r>
      <w:r w:rsidRPr="00AD79C7">
        <w:rPr>
          <w:rFonts w:ascii="Abadi" w:hAnsi="Abadi"/>
          <w:b/>
          <w:bCs/>
          <w:sz w:val="21"/>
          <w:szCs w:val="21"/>
        </w:rPr>
        <w:t>por</w:t>
      </w:r>
      <w:r w:rsidRPr="00AD79C7">
        <w:rPr>
          <w:rFonts w:ascii="Abadi" w:hAnsi="Abadi"/>
          <w:b/>
          <w:bCs/>
          <w:spacing w:val="25"/>
          <w:sz w:val="21"/>
          <w:szCs w:val="21"/>
        </w:rPr>
        <w:t xml:space="preserve"> </w:t>
      </w:r>
      <w:r w:rsidRPr="00AD79C7">
        <w:rPr>
          <w:rFonts w:ascii="Abadi" w:hAnsi="Abadi"/>
          <w:b/>
          <w:bCs/>
          <w:sz w:val="21"/>
          <w:szCs w:val="21"/>
        </w:rPr>
        <w:t>diputadas</w:t>
      </w:r>
      <w:r w:rsidRPr="00AD79C7">
        <w:rPr>
          <w:rFonts w:ascii="Abadi" w:hAnsi="Abadi"/>
          <w:b/>
          <w:bCs/>
          <w:spacing w:val="25"/>
          <w:sz w:val="21"/>
          <w:szCs w:val="21"/>
        </w:rPr>
        <w:t xml:space="preserve"> </w:t>
      </w:r>
      <w:r w:rsidRPr="00AD79C7">
        <w:rPr>
          <w:rFonts w:ascii="Abadi" w:hAnsi="Abadi"/>
          <w:b/>
          <w:bCs/>
          <w:sz w:val="21"/>
          <w:szCs w:val="21"/>
        </w:rPr>
        <w:t>y</w:t>
      </w:r>
      <w:r w:rsidRPr="00AD79C7">
        <w:rPr>
          <w:rFonts w:ascii="Abadi" w:hAnsi="Abadi"/>
          <w:b/>
          <w:bCs/>
          <w:spacing w:val="25"/>
          <w:sz w:val="21"/>
          <w:szCs w:val="21"/>
        </w:rPr>
        <w:t xml:space="preserve"> </w:t>
      </w:r>
      <w:r w:rsidRPr="00AD79C7">
        <w:rPr>
          <w:rFonts w:ascii="Abadi" w:hAnsi="Abadi"/>
          <w:b/>
          <w:bCs/>
          <w:sz w:val="21"/>
          <w:szCs w:val="21"/>
        </w:rPr>
        <w:t>diputados</w:t>
      </w:r>
      <w:r w:rsidRPr="00AD79C7">
        <w:rPr>
          <w:rFonts w:ascii="Abadi" w:hAnsi="Abadi"/>
          <w:b/>
          <w:bCs/>
          <w:spacing w:val="25"/>
          <w:sz w:val="21"/>
          <w:szCs w:val="21"/>
        </w:rPr>
        <w:t xml:space="preserve"> </w:t>
      </w:r>
      <w:r w:rsidRPr="00AD79C7">
        <w:rPr>
          <w:rFonts w:ascii="Abadi" w:hAnsi="Abadi"/>
          <w:b/>
          <w:bCs/>
          <w:sz w:val="21"/>
          <w:szCs w:val="21"/>
        </w:rPr>
        <w:t>integrantes</w:t>
      </w:r>
      <w:r w:rsidRPr="00AD79C7">
        <w:rPr>
          <w:rFonts w:ascii="Abadi" w:hAnsi="Abadi"/>
          <w:b/>
          <w:bCs/>
          <w:spacing w:val="25"/>
          <w:sz w:val="21"/>
          <w:szCs w:val="21"/>
        </w:rPr>
        <w:t xml:space="preserve"> </w:t>
      </w:r>
      <w:r w:rsidRPr="00AD79C7">
        <w:rPr>
          <w:rFonts w:ascii="Abadi" w:hAnsi="Abadi"/>
          <w:b/>
          <w:bCs/>
          <w:sz w:val="21"/>
          <w:szCs w:val="21"/>
        </w:rPr>
        <w:t>del</w:t>
      </w:r>
      <w:r w:rsidRPr="00AD79C7">
        <w:rPr>
          <w:rFonts w:ascii="Abadi" w:hAnsi="Abadi"/>
          <w:b/>
          <w:bCs/>
          <w:spacing w:val="25"/>
          <w:sz w:val="21"/>
          <w:szCs w:val="21"/>
        </w:rPr>
        <w:t xml:space="preserve"> </w:t>
      </w:r>
      <w:r w:rsidRPr="00AD79C7">
        <w:rPr>
          <w:rFonts w:ascii="Abadi" w:hAnsi="Abadi"/>
          <w:b/>
          <w:bCs/>
          <w:sz w:val="21"/>
          <w:szCs w:val="21"/>
        </w:rPr>
        <w:t>Grupo</w:t>
      </w:r>
      <w:r w:rsidRPr="00AD79C7">
        <w:rPr>
          <w:rFonts w:ascii="Abadi" w:hAnsi="Abadi"/>
          <w:b/>
          <w:bCs/>
          <w:spacing w:val="25"/>
          <w:sz w:val="21"/>
          <w:szCs w:val="21"/>
        </w:rPr>
        <w:t xml:space="preserve"> </w:t>
      </w:r>
      <w:r w:rsidRPr="00AD79C7">
        <w:rPr>
          <w:rFonts w:ascii="Abadi" w:hAnsi="Abadi"/>
          <w:b/>
          <w:bCs/>
          <w:sz w:val="21"/>
          <w:szCs w:val="21"/>
        </w:rPr>
        <w:t>Parlamentario</w:t>
      </w:r>
      <w:r w:rsidRPr="00AD79C7">
        <w:rPr>
          <w:rFonts w:ascii="Abadi" w:hAnsi="Abadi"/>
          <w:b/>
          <w:bCs/>
          <w:spacing w:val="-1"/>
          <w:sz w:val="21"/>
          <w:szCs w:val="21"/>
        </w:rPr>
        <w:t xml:space="preserve"> </w:t>
      </w:r>
      <w:r w:rsidRPr="00AD79C7">
        <w:rPr>
          <w:rFonts w:ascii="Abadi" w:hAnsi="Abadi"/>
          <w:b/>
          <w:bCs/>
          <w:sz w:val="21"/>
          <w:szCs w:val="21"/>
        </w:rPr>
        <w:t>del</w:t>
      </w:r>
      <w:r w:rsidRPr="00AD79C7">
        <w:rPr>
          <w:rFonts w:ascii="Abadi" w:hAnsi="Abadi"/>
          <w:b/>
          <w:bCs/>
          <w:spacing w:val="-3"/>
          <w:sz w:val="21"/>
          <w:szCs w:val="21"/>
        </w:rPr>
        <w:t xml:space="preserve"> </w:t>
      </w:r>
      <w:r w:rsidRPr="00AD79C7">
        <w:rPr>
          <w:rFonts w:ascii="Abadi" w:hAnsi="Abadi"/>
          <w:b/>
          <w:bCs/>
          <w:sz w:val="21"/>
          <w:szCs w:val="21"/>
        </w:rPr>
        <w:t>Partido</w:t>
      </w:r>
      <w:r w:rsidRPr="00AD79C7">
        <w:rPr>
          <w:rFonts w:ascii="Abadi" w:hAnsi="Abadi"/>
          <w:b/>
          <w:bCs/>
          <w:spacing w:val="-3"/>
          <w:sz w:val="21"/>
          <w:szCs w:val="21"/>
        </w:rPr>
        <w:t xml:space="preserve"> </w:t>
      </w:r>
      <w:r w:rsidRPr="00AD79C7">
        <w:rPr>
          <w:rFonts w:ascii="Abadi" w:hAnsi="Abadi"/>
          <w:b/>
          <w:bCs/>
          <w:sz w:val="21"/>
          <w:szCs w:val="21"/>
        </w:rPr>
        <w:t>Acción</w:t>
      </w:r>
      <w:r w:rsidRPr="00AD79C7">
        <w:rPr>
          <w:rFonts w:ascii="Abadi" w:hAnsi="Abadi"/>
          <w:b/>
          <w:bCs/>
          <w:spacing w:val="-3"/>
          <w:sz w:val="21"/>
          <w:szCs w:val="21"/>
        </w:rPr>
        <w:t xml:space="preserve"> </w:t>
      </w:r>
      <w:r w:rsidRPr="00AD79C7">
        <w:rPr>
          <w:rFonts w:ascii="Abadi" w:hAnsi="Abadi"/>
          <w:b/>
          <w:bCs/>
          <w:sz w:val="21"/>
          <w:szCs w:val="21"/>
        </w:rPr>
        <w:t>Nacional</w:t>
      </w:r>
      <w:r w:rsidRPr="00AD79C7">
        <w:rPr>
          <w:rFonts w:ascii="Abadi" w:hAnsi="Abadi"/>
          <w:b/>
          <w:bCs/>
          <w:spacing w:val="-3"/>
          <w:sz w:val="21"/>
          <w:szCs w:val="21"/>
        </w:rPr>
        <w:t xml:space="preserve"> </w:t>
      </w:r>
      <w:r w:rsidRPr="00AD79C7">
        <w:rPr>
          <w:rFonts w:ascii="Abadi" w:hAnsi="Abadi"/>
          <w:b/>
          <w:bCs/>
          <w:sz w:val="21"/>
          <w:szCs w:val="21"/>
        </w:rPr>
        <w:t>a</w:t>
      </w:r>
      <w:r w:rsidRPr="00AD79C7">
        <w:rPr>
          <w:rFonts w:ascii="Abadi" w:hAnsi="Abadi"/>
          <w:b/>
          <w:bCs/>
          <w:spacing w:val="-3"/>
          <w:sz w:val="21"/>
          <w:szCs w:val="21"/>
        </w:rPr>
        <w:t xml:space="preserve"> </w:t>
      </w:r>
      <w:r w:rsidRPr="00AD79C7">
        <w:rPr>
          <w:rFonts w:ascii="Abadi" w:hAnsi="Abadi"/>
          <w:b/>
          <w:bCs/>
          <w:sz w:val="21"/>
          <w:szCs w:val="21"/>
        </w:rPr>
        <w:t>fin</w:t>
      </w:r>
      <w:r w:rsidRPr="00AD79C7">
        <w:rPr>
          <w:rFonts w:ascii="Abadi" w:hAnsi="Abadi"/>
          <w:b/>
          <w:bCs/>
          <w:spacing w:val="-3"/>
          <w:sz w:val="21"/>
          <w:szCs w:val="21"/>
        </w:rPr>
        <w:t xml:space="preserve"> </w:t>
      </w:r>
      <w:r w:rsidRPr="00AD79C7">
        <w:rPr>
          <w:rFonts w:ascii="Abadi" w:hAnsi="Abadi"/>
          <w:b/>
          <w:bCs/>
          <w:sz w:val="21"/>
          <w:szCs w:val="21"/>
        </w:rPr>
        <w:t>de</w:t>
      </w:r>
      <w:r w:rsidRPr="00AD79C7">
        <w:rPr>
          <w:rFonts w:ascii="Abadi" w:hAnsi="Abadi"/>
          <w:b/>
          <w:bCs/>
          <w:spacing w:val="-3"/>
          <w:sz w:val="21"/>
          <w:szCs w:val="21"/>
        </w:rPr>
        <w:t xml:space="preserve"> </w:t>
      </w:r>
      <w:r w:rsidRPr="00AD79C7">
        <w:rPr>
          <w:rFonts w:ascii="Abadi" w:hAnsi="Abadi"/>
          <w:b/>
          <w:bCs/>
          <w:sz w:val="21"/>
          <w:szCs w:val="21"/>
        </w:rPr>
        <w:t>instruir</w:t>
      </w:r>
      <w:r w:rsidRPr="00AD79C7">
        <w:rPr>
          <w:rFonts w:ascii="Abadi" w:hAnsi="Abadi"/>
          <w:b/>
          <w:bCs/>
          <w:spacing w:val="-3"/>
          <w:sz w:val="21"/>
          <w:szCs w:val="21"/>
        </w:rPr>
        <w:t xml:space="preserve"> </w:t>
      </w:r>
      <w:r w:rsidRPr="00AD79C7">
        <w:rPr>
          <w:rFonts w:ascii="Abadi" w:hAnsi="Abadi"/>
          <w:b/>
          <w:bCs/>
          <w:sz w:val="21"/>
          <w:szCs w:val="21"/>
        </w:rPr>
        <w:t>al</w:t>
      </w:r>
      <w:r w:rsidRPr="00AD79C7">
        <w:rPr>
          <w:rFonts w:ascii="Abadi" w:hAnsi="Abadi"/>
          <w:b/>
          <w:bCs/>
          <w:spacing w:val="-3"/>
          <w:sz w:val="21"/>
          <w:szCs w:val="21"/>
        </w:rPr>
        <w:t xml:space="preserve"> </w:t>
      </w:r>
      <w:r w:rsidRPr="00AD79C7">
        <w:rPr>
          <w:rFonts w:ascii="Abadi" w:hAnsi="Abadi"/>
          <w:b/>
          <w:bCs/>
          <w:sz w:val="21"/>
          <w:szCs w:val="21"/>
        </w:rPr>
        <w:t>Auditor</w:t>
      </w:r>
      <w:r w:rsidRPr="00AD79C7">
        <w:rPr>
          <w:rFonts w:ascii="Abadi" w:hAnsi="Abadi"/>
          <w:b/>
          <w:bCs/>
          <w:spacing w:val="-3"/>
          <w:sz w:val="21"/>
          <w:szCs w:val="21"/>
        </w:rPr>
        <w:t xml:space="preserve"> </w:t>
      </w:r>
      <w:r w:rsidRPr="00AD79C7">
        <w:rPr>
          <w:rFonts w:ascii="Abadi" w:hAnsi="Abadi"/>
          <w:b/>
          <w:bCs/>
          <w:sz w:val="21"/>
          <w:szCs w:val="21"/>
        </w:rPr>
        <w:t>Superior</w:t>
      </w:r>
      <w:r w:rsidRPr="00AD79C7">
        <w:rPr>
          <w:rFonts w:ascii="Abadi" w:hAnsi="Abadi"/>
          <w:b/>
          <w:bCs/>
          <w:spacing w:val="-3"/>
          <w:sz w:val="21"/>
          <w:szCs w:val="21"/>
        </w:rPr>
        <w:t xml:space="preserve"> </w:t>
      </w:r>
      <w:r w:rsidRPr="00AD79C7">
        <w:rPr>
          <w:rFonts w:ascii="Abadi" w:hAnsi="Abadi"/>
          <w:b/>
          <w:bCs/>
          <w:sz w:val="21"/>
          <w:szCs w:val="21"/>
        </w:rPr>
        <w:t>del</w:t>
      </w:r>
      <w:r w:rsidRPr="00AD79C7">
        <w:rPr>
          <w:rFonts w:ascii="Abadi" w:hAnsi="Abadi"/>
          <w:b/>
          <w:bCs/>
          <w:spacing w:val="-3"/>
          <w:sz w:val="21"/>
          <w:szCs w:val="21"/>
        </w:rPr>
        <w:t xml:space="preserve"> </w:t>
      </w:r>
      <w:r w:rsidRPr="00AD79C7">
        <w:rPr>
          <w:rFonts w:ascii="Abadi" w:hAnsi="Abadi"/>
          <w:b/>
          <w:bCs/>
          <w:sz w:val="21"/>
          <w:szCs w:val="21"/>
        </w:rPr>
        <w:t>Estado</w:t>
      </w:r>
      <w:r w:rsidRPr="00AD79C7">
        <w:rPr>
          <w:rFonts w:ascii="Abadi" w:hAnsi="Abadi"/>
          <w:b/>
          <w:bCs/>
          <w:spacing w:val="-3"/>
          <w:sz w:val="21"/>
          <w:szCs w:val="21"/>
        </w:rPr>
        <w:t xml:space="preserve"> </w:t>
      </w:r>
      <w:r w:rsidRPr="00AD79C7">
        <w:rPr>
          <w:rFonts w:ascii="Abadi" w:hAnsi="Abadi"/>
          <w:b/>
          <w:bCs/>
          <w:sz w:val="21"/>
          <w:szCs w:val="21"/>
        </w:rPr>
        <w:t>a</w:t>
      </w:r>
      <w:r w:rsidRPr="00AD79C7">
        <w:rPr>
          <w:rFonts w:ascii="Abadi" w:hAnsi="Abadi"/>
          <w:b/>
          <w:bCs/>
          <w:spacing w:val="-1"/>
          <w:sz w:val="21"/>
          <w:szCs w:val="21"/>
        </w:rPr>
        <w:t xml:space="preserve"> </w:t>
      </w:r>
      <w:r w:rsidRPr="00AD79C7">
        <w:rPr>
          <w:rFonts w:ascii="Abadi" w:hAnsi="Abadi"/>
          <w:b/>
          <w:bCs/>
          <w:sz w:val="21"/>
          <w:szCs w:val="21"/>
        </w:rPr>
        <w:t>incluir</w:t>
      </w:r>
      <w:r w:rsidRPr="00AD79C7">
        <w:rPr>
          <w:rFonts w:ascii="Abadi" w:hAnsi="Abadi"/>
          <w:b/>
          <w:bCs/>
          <w:spacing w:val="-2"/>
          <w:sz w:val="21"/>
          <w:szCs w:val="21"/>
        </w:rPr>
        <w:t xml:space="preserve"> </w:t>
      </w:r>
      <w:r w:rsidRPr="00AD79C7">
        <w:rPr>
          <w:rFonts w:ascii="Abadi" w:hAnsi="Abadi"/>
          <w:b/>
          <w:bCs/>
          <w:sz w:val="21"/>
          <w:szCs w:val="21"/>
        </w:rPr>
        <w:t>en</w:t>
      </w:r>
      <w:r w:rsidRPr="00AD79C7">
        <w:rPr>
          <w:rFonts w:ascii="Abadi" w:hAnsi="Abadi"/>
          <w:b/>
          <w:bCs/>
          <w:spacing w:val="-2"/>
          <w:sz w:val="21"/>
          <w:szCs w:val="21"/>
        </w:rPr>
        <w:t xml:space="preserve"> </w:t>
      </w:r>
      <w:r w:rsidRPr="00AD79C7">
        <w:rPr>
          <w:rFonts w:ascii="Abadi" w:hAnsi="Abadi"/>
          <w:b/>
          <w:bCs/>
          <w:sz w:val="21"/>
          <w:szCs w:val="21"/>
        </w:rPr>
        <w:t>el</w:t>
      </w:r>
      <w:r w:rsidRPr="00AD79C7">
        <w:rPr>
          <w:rFonts w:ascii="Abadi" w:hAnsi="Abadi"/>
          <w:b/>
          <w:bCs/>
          <w:spacing w:val="-2"/>
          <w:sz w:val="21"/>
          <w:szCs w:val="21"/>
        </w:rPr>
        <w:t xml:space="preserve"> </w:t>
      </w:r>
      <w:r w:rsidRPr="00AD79C7">
        <w:rPr>
          <w:rFonts w:ascii="Abadi" w:hAnsi="Abadi"/>
          <w:b/>
          <w:bCs/>
          <w:sz w:val="21"/>
          <w:szCs w:val="21"/>
        </w:rPr>
        <w:t>Programa</w:t>
      </w:r>
      <w:r w:rsidRPr="00AD79C7">
        <w:rPr>
          <w:rFonts w:ascii="Abadi" w:hAnsi="Abadi"/>
          <w:b/>
          <w:bCs/>
          <w:spacing w:val="-2"/>
          <w:sz w:val="21"/>
          <w:szCs w:val="21"/>
        </w:rPr>
        <w:t xml:space="preserve"> </w:t>
      </w:r>
      <w:r w:rsidRPr="00AD79C7">
        <w:rPr>
          <w:rFonts w:ascii="Abadi" w:hAnsi="Abadi"/>
          <w:b/>
          <w:bCs/>
          <w:sz w:val="21"/>
          <w:szCs w:val="21"/>
        </w:rPr>
        <w:t>General</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Fiscalización</w:t>
      </w:r>
      <w:r w:rsidRPr="00AD79C7">
        <w:rPr>
          <w:rFonts w:ascii="Abadi" w:hAnsi="Abadi"/>
          <w:b/>
          <w:bCs/>
          <w:spacing w:val="-2"/>
          <w:sz w:val="21"/>
          <w:szCs w:val="21"/>
        </w:rPr>
        <w:t xml:space="preserve"> </w:t>
      </w:r>
      <w:r w:rsidRPr="00AD79C7">
        <w:rPr>
          <w:rFonts w:ascii="Abadi" w:hAnsi="Abadi"/>
          <w:b/>
          <w:bCs/>
          <w:sz w:val="21"/>
          <w:szCs w:val="21"/>
        </w:rPr>
        <w:t>del</w:t>
      </w:r>
      <w:r w:rsidRPr="00AD79C7">
        <w:rPr>
          <w:rFonts w:ascii="Abadi" w:hAnsi="Abadi"/>
          <w:b/>
          <w:bCs/>
          <w:spacing w:val="-2"/>
          <w:sz w:val="21"/>
          <w:szCs w:val="21"/>
        </w:rPr>
        <w:t xml:space="preserve"> </w:t>
      </w:r>
      <w:r w:rsidRPr="00AD79C7">
        <w:rPr>
          <w:rFonts w:ascii="Abadi" w:hAnsi="Abadi"/>
          <w:b/>
          <w:bCs/>
          <w:sz w:val="21"/>
          <w:szCs w:val="21"/>
        </w:rPr>
        <w:t>año</w:t>
      </w:r>
      <w:r w:rsidRPr="00AD79C7">
        <w:rPr>
          <w:rFonts w:ascii="Abadi" w:hAnsi="Abadi"/>
          <w:b/>
          <w:bCs/>
          <w:spacing w:val="-2"/>
          <w:sz w:val="21"/>
          <w:szCs w:val="21"/>
        </w:rPr>
        <w:t xml:space="preserve"> </w:t>
      </w:r>
      <w:r w:rsidRPr="00AD79C7">
        <w:rPr>
          <w:rFonts w:ascii="Abadi" w:hAnsi="Abadi"/>
          <w:b/>
          <w:bCs/>
          <w:sz w:val="21"/>
          <w:szCs w:val="21"/>
        </w:rPr>
        <w:t>2022,</w:t>
      </w:r>
      <w:r w:rsidRPr="00AD79C7">
        <w:rPr>
          <w:rFonts w:ascii="Abadi" w:hAnsi="Abadi"/>
          <w:b/>
          <w:bCs/>
          <w:spacing w:val="-2"/>
          <w:sz w:val="21"/>
          <w:szCs w:val="21"/>
        </w:rPr>
        <w:t xml:space="preserve"> </w:t>
      </w:r>
      <w:r w:rsidRPr="00AD79C7">
        <w:rPr>
          <w:rFonts w:ascii="Abadi" w:hAnsi="Abadi"/>
          <w:b/>
          <w:bCs/>
          <w:sz w:val="21"/>
          <w:szCs w:val="21"/>
        </w:rPr>
        <w:t>la</w:t>
      </w:r>
      <w:r w:rsidRPr="00AD79C7">
        <w:rPr>
          <w:rFonts w:ascii="Abadi" w:hAnsi="Abadi"/>
          <w:b/>
          <w:bCs/>
          <w:spacing w:val="-2"/>
          <w:sz w:val="21"/>
          <w:szCs w:val="21"/>
        </w:rPr>
        <w:t xml:space="preserve"> </w:t>
      </w:r>
      <w:r w:rsidRPr="00AD79C7">
        <w:rPr>
          <w:rFonts w:ascii="Abadi" w:hAnsi="Abadi"/>
          <w:b/>
          <w:bCs/>
          <w:sz w:val="21"/>
          <w:szCs w:val="21"/>
        </w:rPr>
        <w:t>realización</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12"/>
          <w:sz w:val="21"/>
          <w:szCs w:val="21"/>
        </w:rPr>
        <w:t xml:space="preserve"> </w:t>
      </w:r>
      <w:r w:rsidRPr="00AD79C7">
        <w:rPr>
          <w:rFonts w:ascii="Abadi" w:hAnsi="Abadi"/>
          <w:b/>
          <w:bCs/>
          <w:sz w:val="21"/>
          <w:szCs w:val="21"/>
        </w:rPr>
        <w:t>una</w:t>
      </w:r>
      <w:r w:rsidRPr="00AD79C7">
        <w:rPr>
          <w:rFonts w:ascii="Abadi" w:hAnsi="Abadi"/>
          <w:b/>
          <w:bCs/>
          <w:spacing w:val="12"/>
          <w:sz w:val="21"/>
          <w:szCs w:val="21"/>
        </w:rPr>
        <w:t xml:space="preserve"> </w:t>
      </w:r>
      <w:r w:rsidRPr="00AD79C7">
        <w:rPr>
          <w:rFonts w:ascii="Abadi" w:hAnsi="Abadi"/>
          <w:b/>
          <w:bCs/>
          <w:sz w:val="21"/>
          <w:szCs w:val="21"/>
        </w:rPr>
        <w:t>auditoría</w:t>
      </w:r>
      <w:r w:rsidRPr="00AD79C7">
        <w:rPr>
          <w:rFonts w:ascii="Abadi" w:hAnsi="Abadi"/>
          <w:b/>
          <w:bCs/>
          <w:spacing w:val="12"/>
          <w:sz w:val="21"/>
          <w:szCs w:val="21"/>
        </w:rPr>
        <w:t xml:space="preserve"> </w:t>
      </w:r>
      <w:r w:rsidRPr="00AD79C7">
        <w:rPr>
          <w:rFonts w:ascii="Abadi" w:hAnsi="Abadi"/>
          <w:b/>
          <w:bCs/>
          <w:sz w:val="21"/>
          <w:szCs w:val="21"/>
        </w:rPr>
        <w:t>específica</w:t>
      </w:r>
      <w:r w:rsidRPr="00AD79C7">
        <w:rPr>
          <w:rFonts w:ascii="Abadi" w:hAnsi="Abadi"/>
          <w:b/>
          <w:bCs/>
          <w:spacing w:val="12"/>
          <w:sz w:val="21"/>
          <w:szCs w:val="21"/>
        </w:rPr>
        <w:t xml:space="preserve"> </w:t>
      </w:r>
      <w:r w:rsidRPr="00AD79C7">
        <w:rPr>
          <w:rFonts w:ascii="Abadi" w:hAnsi="Abadi"/>
          <w:b/>
          <w:bCs/>
          <w:sz w:val="21"/>
          <w:szCs w:val="21"/>
        </w:rPr>
        <w:t>al</w:t>
      </w:r>
      <w:r w:rsidRPr="00AD79C7">
        <w:rPr>
          <w:rFonts w:ascii="Abadi" w:hAnsi="Abadi"/>
          <w:b/>
          <w:bCs/>
          <w:spacing w:val="11"/>
          <w:sz w:val="21"/>
          <w:szCs w:val="21"/>
        </w:rPr>
        <w:t xml:space="preserve"> </w:t>
      </w:r>
      <w:r w:rsidRPr="00AD79C7">
        <w:rPr>
          <w:rFonts w:ascii="Abadi" w:hAnsi="Abadi"/>
          <w:b/>
          <w:bCs/>
          <w:sz w:val="21"/>
          <w:szCs w:val="21"/>
        </w:rPr>
        <w:t>municipio</w:t>
      </w:r>
      <w:r w:rsidRPr="00AD79C7">
        <w:rPr>
          <w:rFonts w:ascii="Abadi" w:hAnsi="Abadi"/>
          <w:b/>
          <w:bCs/>
          <w:spacing w:val="12"/>
          <w:sz w:val="21"/>
          <w:szCs w:val="21"/>
        </w:rPr>
        <w:t xml:space="preserve"> </w:t>
      </w:r>
      <w:r w:rsidRPr="00AD79C7">
        <w:rPr>
          <w:rFonts w:ascii="Abadi" w:hAnsi="Abadi"/>
          <w:b/>
          <w:bCs/>
          <w:sz w:val="21"/>
          <w:szCs w:val="21"/>
        </w:rPr>
        <w:t>de</w:t>
      </w:r>
      <w:r w:rsidRPr="00AD79C7">
        <w:rPr>
          <w:rFonts w:ascii="Abadi" w:hAnsi="Abadi"/>
          <w:b/>
          <w:bCs/>
          <w:spacing w:val="12"/>
          <w:sz w:val="21"/>
          <w:szCs w:val="21"/>
        </w:rPr>
        <w:t xml:space="preserve"> </w:t>
      </w:r>
      <w:r w:rsidRPr="00AD79C7">
        <w:rPr>
          <w:rFonts w:ascii="Abadi" w:hAnsi="Abadi"/>
          <w:b/>
          <w:bCs/>
          <w:sz w:val="21"/>
          <w:szCs w:val="21"/>
        </w:rPr>
        <w:t>San</w:t>
      </w:r>
      <w:r w:rsidRPr="00AD79C7">
        <w:rPr>
          <w:rFonts w:ascii="Abadi" w:hAnsi="Abadi"/>
          <w:b/>
          <w:bCs/>
          <w:spacing w:val="12"/>
          <w:sz w:val="21"/>
          <w:szCs w:val="21"/>
        </w:rPr>
        <w:t xml:space="preserve"> </w:t>
      </w:r>
      <w:r w:rsidRPr="00AD79C7">
        <w:rPr>
          <w:rFonts w:ascii="Abadi" w:hAnsi="Abadi"/>
          <w:b/>
          <w:bCs/>
          <w:sz w:val="21"/>
          <w:szCs w:val="21"/>
        </w:rPr>
        <w:t>Miguel</w:t>
      </w:r>
      <w:r w:rsidRPr="00AD79C7">
        <w:rPr>
          <w:rFonts w:ascii="Abadi" w:hAnsi="Abadi"/>
          <w:b/>
          <w:bCs/>
          <w:spacing w:val="11"/>
          <w:sz w:val="21"/>
          <w:szCs w:val="21"/>
        </w:rPr>
        <w:t xml:space="preserve"> </w:t>
      </w:r>
      <w:r w:rsidRPr="00AD79C7">
        <w:rPr>
          <w:rFonts w:ascii="Abadi" w:hAnsi="Abadi"/>
          <w:b/>
          <w:bCs/>
          <w:sz w:val="21"/>
          <w:szCs w:val="21"/>
        </w:rPr>
        <w:t>de</w:t>
      </w:r>
      <w:r w:rsidRPr="00AD79C7">
        <w:rPr>
          <w:rFonts w:ascii="Abadi" w:hAnsi="Abadi"/>
          <w:b/>
          <w:bCs/>
          <w:spacing w:val="12"/>
          <w:sz w:val="21"/>
          <w:szCs w:val="21"/>
        </w:rPr>
        <w:t xml:space="preserve"> </w:t>
      </w:r>
      <w:r w:rsidRPr="00AD79C7">
        <w:rPr>
          <w:rFonts w:ascii="Abadi" w:hAnsi="Abadi"/>
          <w:b/>
          <w:bCs/>
          <w:sz w:val="21"/>
          <w:szCs w:val="21"/>
        </w:rPr>
        <w:t>Allende,</w:t>
      </w:r>
      <w:r w:rsidRPr="00AD79C7">
        <w:rPr>
          <w:rFonts w:ascii="Abadi" w:hAnsi="Abadi"/>
          <w:b/>
          <w:bCs/>
          <w:spacing w:val="12"/>
          <w:sz w:val="21"/>
          <w:szCs w:val="21"/>
        </w:rPr>
        <w:t xml:space="preserve"> </w:t>
      </w:r>
      <w:r w:rsidRPr="00AD79C7">
        <w:rPr>
          <w:rFonts w:ascii="Abadi" w:hAnsi="Abadi"/>
          <w:b/>
          <w:bCs/>
          <w:sz w:val="21"/>
          <w:szCs w:val="21"/>
        </w:rPr>
        <w:t>Gto.,</w:t>
      </w:r>
      <w:r w:rsidRPr="00AD79C7">
        <w:rPr>
          <w:rFonts w:ascii="Abadi" w:hAnsi="Abadi"/>
          <w:b/>
          <w:bCs/>
          <w:spacing w:val="11"/>
          <w:sz w:val="21"/>
          <w:szCs w:val="21"/>
        </w:rPr>
        <w:t xml:space="preserve"> </w:t>
      </w:r>
      <w:r w:rsidRPr="00AD79C7">
        <w:rPr>
          <w:rFonts w:ascii="Abadi" w:hAnsi="Abadi"/>
          <w:b/>
          <w:bCs/>
          <w:sz w:val="21"/>
          <w:szCs w:val="21"/>
        </w:rPr>
        <w:t>a</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46"/>
          <w:sz w:val="21"/>
          <w:szCs w:val="21"/>
        </w:rPr>
        <w:t xml:space="preserve"> </w:t>
      </w:r>
      <w:r w:rsidRPr="00AD79C7">
        <w:rPr>
          <w:rFonts w:ascii="Abadi" w:hAnsi="Abadi"/>
          <w:b/>
          <w:bCs/>
          <w:sz w:val="21"/>
          <w:szCs w:val="21"/>
        </w:rPr>
        <w:t>ejecución</w:t>
      </w:r>
      <w:r w:rsidRPr="00AD79C7">
        <w:rPr>
          <w:rFonts w:ascii="Abadi" w:hAnsi="Abadi"/>
          <w:b/>
          <w:bCs/>
          <w:spacing w:val="46"/>
          <w:sz w:val="21"/>
          <w:szCs w:val="21"/>
        </w:rPr>
        <w:t xml:space="preserve"> </w:t>
      </w:r>
      <w:r w:rsidRPr="00AD79C7">
        <w:rPr>
          <w:rFonts w:ascii="Abadi" w:hAnsi="Abadi"/>
          <w:b/>
          <w:bCs/>
          <w:sz w:val="21"/>
          <w:szCs w:val="21"/>
        </w:rPr>
        <w:t>y</w:t>
      </w:r>
      <w:r w:rsidRPr="00AD79C7">
        <w:rPr>
          <w:rFonts w:ascii="Abadi" w:hAnsi="Abadi"/>
          <w:b/>
          <w:bCs/>
          <w:spacing w:val="46"/>
          <w:sz w:val="21"/>
          <w:szCs w:val="21"/>
        </w:rPr>
        <w:t xml:space="preserve"> </w:t>
      </w:r>
      <w:r w:rsidRPr="00AD79C7">
        <w:rPr>
          <w:rFonts w:ascii="Abadi" w:hAnsi="Abadi"/>
          <w:b/>
          <w:bCs/>
          <w:sz w:val="21"/>
          <w:szCs w:val="21"/>
        </w:rPr>
        <w:t>cumplimiento</w:t>
      </w:r>
      <w:r w:rsidRPr="00AD79C7">
        <w:rPr>
          <w:rFonts w:ascii="Abadi" w:hAnsi="Abadi"/>
          <w:b/>
          <w:bCs/>
          <w:spacing w:val="46"/>
          <w:sz w:val="21"/>
          <w:szCs w:val="21"/>
        </w:rPr>
        <w:t xml:space="preserve"> </w:t>
      </w:r>
      <w:r w:rsidRPr="00AD79C7">
        <w:rPr>
          <w:rFonts w:ascii="Abadi" w:hAnsi="Abadi"/>
          <w:b/>
          <w:bCs/>
          <w:sz w:val="21"/>
          <w:szCs w:val="21"/>
        </w:rPr>
        <w:t>del</w:t>
      </w:r>
      <w:r w:rsidRPr="00AD79C7">
        <w:rPr>
          <w:rFonts w:ascii="Abadi" w:hAnsi="Abadi"/>
          <w:b/>
          <w:bCs/>
          <w:spacing w:val="46"/>
          <w:sz w:val="21"/>
          <w:szCs w:val="21"/>
        </w:rPr>
        <w:t xml:space="preserve"> </w:t>
      </w:r>
      <w:r w:rsidRPr="00AD79C7">
        <w:rPr>
          <w:rFonts w:ascii="Abadi" w:hAnsi="Abadi"/>
          <w:b/>
          <w:bCs/>
          <w:sz w:val="21"/>
          <w:szCs w:val="21"/>
        </w:rPr>
        <w:t>contrato</w:t>
      </w:r>
      <w:r w:rsidRPr="00AD79C7">
        <w:rPr>
          <w:rFonts w:ascii="Abadi" w:hAnsi="Abadi"/>
          <w:b/>
          <w:bCs/>
          <w:spacing w:val="46"/>
          <w:sz w:val="21"/>
          <w:szCs w:val="21"/>
        </w:rPr>
        <w:t xml:space="preserve"> </w:t>
      </w:r>
      <w:r w:rsidRPr="00AD79C7">
        <w:rPr>
          <w:rFonts w:ascii="Abadi" w:hAnsi="Abadi"/>
          <w:b/>
          <w:bCs/>
          <w:sz w:val="21"/>
          <w:szCs w:val="21"/>
        </w:rPr>
        <w:t>de</w:t>
      </w:r>
      <w:r w:rsidRPr="00AD79C7">
        <w:rPr>
          <w:rFonts w:ascii="Abadi" w:hAnsi="Abadi"/>
          <w:b/>
          <w:bCs/>
          <w:spacing w:val="46"/>
          <w:sz w:val="21"/>
          <w:szCs w:val="21"/>
        </w:rPr>
        <w:t xml:space="preserve"> </w:t>
      </w:r>
      <w:r w:rsidRPr="00AD79C7">
        <w:rPr>
          <w:rFonts w:ascii="Abadi" w:hAnsi="Abadi"/>
          <w:b/>
          <w:bCs/>
          <w:sz w:val="21"/>
          <w:szCs w:val="21"/>
        </w:rPr>
        <w:t>arrendamiento</w:t>
      </w:r>
      <w:r w:rsidRPr="00AD79C7">
        <w:rPr>
          <w:rFonts w:ascii="Abadi" w:hAnsi="Abadi"/>
          <w:b/>
          <w:bCs/>
          <w:spacing w:val="46"/>
          <w:sz w:val="21"/>
          <w:szCs w:val="21"/>
        </w:rPr>
        <w:t xml:space="preserve"> </w:t>
      </w:r>
      <w:r w:rsidRPr="00AD79C7">
        <w:rPr>
          <w:rFonts w:ascii="Abadi" w:hAnsi="Abadi"/>
          <w:b/>
          <w:bCs/>
          <w:sz w:val="21"/>
          <w:szCs w:val="21"/>
        </w:rPr>
        <w:t>puro</w:t>
      </w:r>
      <w:r w:rsidRPr="00AD79C7">
        <w:rPr>
          <w:rFonts w:ascii="Abadi" w:hAnsi="Abadi"/>
          <w:b/>
          <w:bCs/>
          <w:spacing w:val="46"/>
          <w:sz w:val="21"/>
          <w:szCs w:val="21"/>
        </w:rPr>
        <w:t xml:space="preserve"> </w:t>
      </w:r>
      <w:r w:rsidRPr="00AD79C7">
        <w:rPr>
          <w:rFonts w:ascii="Abadi" w:hAnsi="Abadi"/>
          <w:b/>
          <w:bCs/>
          <w:sz w:val="21"/>
          <w:szCs w:val="21"/>
        </w:rPr>
        <w:t>con</w:t>
      </w:r>
      <w:r w:rsidRPr="00AD79C7">
        <w:rPr>
          <w:rFonts w:ascii="Abadi" w:hAnsi="Abadi"/>
          <w:b/>
          <w:bCs/>
          <w:spacing w:val="46"/>
          <w:sz w:val="21"/>
          <w:szCs w:val="21"/>
        </w:rPr>
        <w:t xml:space="preserve"> </w:t>
      </w:r>
      <w:r w:rsidRPr="00AD79C7">
        <w:rPr>
          <w:rFonts w:ascii="Abadi" w:hAnsi="Abadi"/>
          <w:b/>
          <w:bCs/>
          <w:sz w:val="21"/>
          <w:szCs w:val="21"/>
        </w:rPr>
        <w:t>las</w:t>
      </w:r>
      <w:r w:rsidRPr="00AD79C7">
        <w:rPr>
          <w:rFonts w:ascii="Abadi" w:hAnsi="Abadi"/>
          <w:b/>
          <w:bCs/>
          <w:spacing w:val="-1"/>
          <w:sz w:val="21"/>
          <w:szCs w:val="21"/>
        </w:rPr>
        <w:t xml:space="preserve"> </w:t>
      </w:r>
      <w:r w:rsidRPr="00AD79C7">
        <w:rPr>
          <w:rFonts w:ascii="Abadi" w:hAnsi="Abadi"/>
          <w:b/>
          <w:bCs/>
          <w:sz w:val="21"/>
          <w:szCs w:val="21"/>
        </w:rPr>
        <w:t>empresas</w:t>
      </w:r>
      <w:r w:rsidRPr="00AD79C7">
        <w:rPr>
          <w:rFonts w:ascii="Abadi" w:hAnsi="Abadi"/>
          <w:b/>
          <w:bCs/>
          <w:spacing w:val="21"/>
          <w:sz w:val="21"/>
          <w:szCs w:val="21"/>
        </w:rPr>
        <w:t xml:space="preserve"> </w:t>
      </w:r>
      <w:r w:rsidRPr="00AD79C7">
        <w:rPr>
          <w:rFonts w:ascii="Abadi" w:hAnsi="Abadi"/>
          <w:b/>
          <w:bCs/>
          <w:i/>
          <w:iCs/>
          <w:sz w:val="21"/>
          <w:szCs w:val="21"/>
        </w:rPr>
        <w:t>Bercale</w:t>
      </w:r>
      <w:r w:rsidRPr="00AD79C7">
        <w:rPr>
          <w:rFonts w:ascii="Abadi" w:hAnsi="Abadi"/>
          <w:b/>
          <w:bCs/>
          <w:i/>
          <w:iCs/>
          <w:spacing w:val="21"/>
          <w:sz w:val="21"/>
          <w:szCs w:val="21"/>
        </w:rPr>
        <w:t xml:space="preserve"> </w:t>
      </w:r>
      <w:r w:rsidRPr="00AD79C7">
        <w:rPr>
          <w:rFonts w:ascii="Abadi" w:hAnsi="Abadi"/>
          <w:b/>
          <w:bCs/>
          <w:i/>
          <w:iCs/>
          <w:sz w:val="21"/>
          <w:szCs w:val="21"/>
        </w:rPr>
        <w:t>Services,</w:t>
      </w:r>
      <w:r w:rsidRPr="00AD79C7">
        <w:rPr>
          <w:rFonts w:ascii="Abadi" w:hAnsi="Abadi"/>
          <w:b/>
          <w:bCs/>
          <w:i/>
          <w:iCs/>
          <w:spacing w:val="21"/>
          <w:sz w:val="21"/>
          <w:szCs w:val="21"/>
        </w:rPr>
        <w:t xml:space="preserve"> </w:t>
      </w:r>
      <w:r w:rsidRPr="00AD79C7">
        <w:rPr>
          <w:rFonts w:ascii="Abadi" w:hAnsi="Abadi"/>
          <w:b/>
          <w:bCs/>
          <w:i/>
          <w:iCs/>
          <w:sz w:val="21"/>
          <w:szCs w:val="21"/>
        </w:rPr>
        <w:t>S.A.</w:t>
      </w:r>
      <w:r w:rsidRPr="00AD79C7">
        <w:rPr>
          <w:rFonts w:ascii="Abadi" w:hAnsi="Abadi"/>
          <w:b/>
          <w:bCs/>
          <w:i/>
          <w:iCs/>
          <w:spacing w:val="21"/>
          <w:sz w:val="21"/>
          <w:szCs w:val="21"/>
        </w:rPr>
        <w:t xml:space="preserve"> </w:t>
      </w:r>
      <w:r w:rsidRPr="00AD79C7">
        <w:rPr>
          <w:rFonts w:ascii="Abadi" w:hAnsi="Abadi"/>
          <w:b/>
          <w:bCs/>
          <w:i/>
          <w:iCs/>
          <w:sz w:val="21"/>
          <w:szCs w:val="21"/>
        </w:rPr>
        <w:t>de</w:t>
      </w:r>
      <w:r w:rsidRPr="00AD79C7">
        <w:rPr>
          <w:rFonts w:ascii="Abadi" w:hAnsi="Abadi"/>
          <w:b/>
          <w:bCs/>
          <w:i/>
          <w:iCs/>
          <w:spacing w:val="21"/>
          <w:sz w:val="21"/>
          <w:szCs w:val="21"/>
        </w:rPr>
        <w:t xml:space="preserve"> </w:t>
      </w:r>
      <w:r w:rsidRPr="00AD79C7">
        <w:rPr>
          <w:rFonts w:ascii="Abadi" w:hAnsi="Abadi"/>
          <w:b/>
          <w:bCs/>
          <w:i/>
          <w:iCs/>
          <w:sz w:val="21"/>
          <w:szCs w:val="21"/>
        </w:rPr>
        <w:t>C.</w:t>
      </w:r>
      <w:r w:rsidRPr="00AD79C7">
        <w:rPr>
          <w:rFonts w:ascii="Abadi" w:hAnsi="Abadi"/>
          <w:b/>
          <w:bCs/>
          <w:i/>
          <w:iCs/>
          <w:spacing w:val="21"/>
          <w:sz w:val="21"/>
          <w:szCs w:val="21"/>
        </w:rPr>
        <w:t xml:space="preserve"> </w:t>
      </w:r>
      <w:r w:rsidRPr="00AD79C7">
        <w:rPr>
          <w:rFonts w:ascii="Abadi" w:hAnsi="Abadi"/>
          <w:b/>
          <w:bCs/>
          <w:i/>
          <w:iCs/>
          <w:sz w:val="21"/>
          <w:szCs w:val="21"/>
        </w:rPr>
        <w:t>V.,</w:t>
      </w:r>
      <w:r w:rsidRPr="00AD79C7">
        <w:rPr>
          <w:rFonts w:ascii="Abadi" w:hAnsi="Abadi"/>
          <w:b/>
          <w:bCs/>
          <w:i/>
          <w:iCs/>
          <w:spacing w:val="21"/>
          <w:sz w:val="21"/>
          <w:szCs w:val="21"/>
        </w:rPr>
        <w:t xml:space="preserve"> </w:t>
      </w:r>
      <w:r w:rsidRPr="00AD79C7">
        <w:rPr>
          <w:rFonts w:ascii="Abadi" w:hAnsi="Abadi"/>
          <w:b/>
          <w:bCs/>
          <w:sz w:val="21"/>
          <w:szCs w:val="21"/>
        </w:rPr>
        <w:t>y</w:t>
      </w:r>
      <w:r w:rsidRPr="00AD79C7">
        <w:rPr>
          <w:rFonts w:ascii="Abadi" w:hAnsi="Abadi"/>
          <w:b/>
          <w:bCs/>
          <w:spacing w:val="21"/>
          <w:sz w:val="21"/>
          <w:szCs w:val="21"/>
        </w:rPr>
        <w:t xml:space="preserve"> </w:t>
      </w:r>
      <w:r w:rsidRPr="00AD79C7">
        <w:rPr>
          <w:rFonts w:ascii="Abadi" w:hAnsi="Abadi"/>
          <w:b/>
          <w:bCs/>
          <w:i/>
          <w:iCs/>
          <w:sz w:val="21"/>
          <w:szCs w:val="21"/>
        </w:rPr>
        <w:t>Lumo</w:t>
      </w:r>
      <w:r w:rsidRPr="00AD79C7">
        <w:rPr>
          <w:rFonts w:ascii="Abadi" w:hAnsi="Abadi"/>
          <w:b/>
          <w:bCs/>
          <w:i/>
          <w:iCs/>
          <w:spacing w:val="21"/>
          <w:sz w:val="21"/>
          <w:szCs w:val="21"/>
        </w:rPr>
        <w:t xml:space="preserve"> </w:t>
      </w:r>
      <w:r w:rsidRPr="00AD79C7">
        <w:rPr>
          <w:rFonts w:ascii="Abadi" w:hAnsi="Abadi"/>
          <w:b/>
          <w:bCs/>
          <w:i/>
          <w:iCs/>
          <w:sz w:val="21"/>
          <w:szCs w:val="21"/>
        </w:rPr>
        <w:t>Financiera</w:t>
      </w:r>
      <w:r w:rsidRPr="00AD79C7">
        <w:rPr>
          <w:rFonts w:ascii="Abadi" w:hAnsi="Abadi"/>
          <w:b/>
          <w:bCs/>
          <w:i/>
          <w:iCs/>
          <w:spacing w:val="21"/>
          <w:sz w:val="21"/>
          <w:szCs w:val="21"/>
        </w:rPr>
        <w:t xml:space="preserve"> </w:t>
      </w:r>
      <w:r w:rsidRPr="00AD79C7">
        <w:rPr>
          <w:rFonts w:ascii="Abadi" w:hAnsi="Abadi"/>
          <w:b/>
          <w:bCs/>
          <w:i/>
          <w:iCs/>
          <w:sz w:val="21"/>
          <w:szCs w:val="21"/>
        </w:rPr>
        <w:t>del</w:t>
      </w:r>
      <w:r w:rsidRPr="00AD79C7">
        <w:rPr>
          <w:rFonts w:ascii="Abadi" w:hAnsi="Abadi"/>
          <w:b/>
          <w:bCs/>
          <w:i/>
          <w:iCs/>
          <w:spacing w:val="21"/>
          <w:sz w:val="21"/>
          <w:szCs w:val="21"/>
        </w:rPr>
        <w:t xml:space="preserve"> </w:t>
      </w:r>
      <w:r w:rsidRPr="00AD79C7">
        <w:rPr>
          <w:rFonts w:ascii="Abadi" w:hAnsi="Abadi"/>
          <w:b/>
          <w:bCs/>
          <w:i/>
          <w:iCs/>
          <w:sz w:val="21"/>
          <w:szCs w:val="21"/>
        </w:rPr>
        <w:t>Centro,</w:t>
      </w:r>
      <w:r>
        <w:rPr>
          <w:rFonts w:ascii="Abadi" w:hAnsi="Abadi"/>
          <w:b/>
          <w:bCs/>
          <w:i/>
          <w:iCs/>
          <w:sz w:val="21"/>
          <w:szCs w:val="21"/>
        </w:rPr>
        <w:t xml:space="preserve">  </w:t>
      </w:r>
      <w:r w:rsidR="00C071F8">
        <w:rPr>
          <w:rFonts w:ascii="Abadi" w:hAnsi="Abadi"/>
          <w:b/>
          <w:bCs/>
          <w:i/>
          <w:iCs/>
          <w:sz w:val="21"/>
          <w:szCs w:val="21"/>
        </w:rPr>
        <w:t>S.</w:t>
      </w:r>
      <w:r w:rsidR="00175A40">
        <w:rPr>
          <w:rFonts w:ascii="Abadi" w:hAnsi="Abadi"/>
          <w:b/>
          <w:bCs/>
          <w:i/>
          <w:iCs/>
          <w:sz w:val="21"/>
          <w:szCs w:val="21"/>
        </w:rPr>
        <w:t>.A. de C.V., número SSP-001-07</w:t>
      </w:r>
      <w:r w:rsidR="00BE7C5E">
        <w:rPr>
          <w:rFonts w:ascii="Abadi" w:hAnsi="Abadi"/>
          <w:b/>
          <w:bCs/>
          <w:i/>
          <w:iCs/>
          <w:sz w:val="21"/>
          <w:szCs w:val="21"/>
        </w:rPr>
        <w:t>-2019 y su modificatorio.</w:t>
      </w:r>
    </w:p>
    <w:p w14:paraId="701D8B14" w14:textId="77777777" w:rsidR="007641A9" w:rsidRDefault="007641A9" w:rsidP="006B00FD">
      <w:pPr>
        <w:pStyle w:val="Prrafodelista"/>
        <w:tabs>
          <w:tab w:val="left" w:pos="856"/>
        </w:tabs>
        <w:kinsoku w:val="0"/>
        <w:overflowPunct w:val="0"/>
        <w:autoSpaceDE w:val="0"/>
        <w:autoSpaceDN w:val="0"/>
        <w:adjustRightInd w:val="0"/>
        <w:ind w:left="720" w:right="566"/>
        <w:jc w:val="both"/>
        <w:rPr>
          <w:rFonts w:ascii="Abadi" w:hAnsi="Abadi"/>
          <w:b/>
          <w:bCs/>
          <w:sz w:val="21"/>
          <w:szCs w:val="21"/>
        </w:rPr>
      </w:pPr>
    </w:p>
    <w:p w14:paraId="77311F40" w14:textId="14FB5DF8" w:rsidR="008E4145" w:rsidRDefault="008E4145" w:rsidP="005433FA">
      <w:pPr>
        <w:pStyle w:val="Prrafodelista"/>
        <w:numPr>
          <w:ilvl w:val="0"/>
          <w:numId w:val="8"/>
        </w:numPr>
        <w:tabs>
          <w:tab w:val="left" w:pos="856"/>
        </w:tabs>
        <w:kinsoku w:val="0"/>
        <w:overflowPunct w:val="0"/>
        <w:autoSpaceDE w:val="0"/>
        <w:autoSpaceDN w:val="0"/>
        <w:adjustRightInd w:val="0"/>
        <w:spacing w:before="22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9"/>
          <w:sz w:val="21"/>
          <w:szCs w:val="21"/>
        </w:rPr>
        <w:t xml:space="preserve"> </w:t>
      </w:r>
      <w:r w:rsidRPr="00AD79C7">
        <w:rPr>
          <w:rFonts w:ascii="Abadi" w:hAnsi="Abadi"/>
          <w:b/>
          <w:bCs/>
          <w:sz w:val="21"/>
          <w:szCs w:val="21"/>
        </w:rPr>
        <w:t>y,</w:t>
      </w:r>
      <w:r w:rsidRPr="00AD79C7">
        <w:rPr>
          <w:rFonts w:ascii="Abadi" w:hAnsi="Abadi"/>
          <w:b/>
          <w:bCs/>
          <w:spacing w:val="9"/>
          <w:sz w:val="21"/>
          <w:szCs w:val="21"/>
        </w:rPr>
        <w:t xml:space="preserve"> </w:t>
      </w:r>
      <w:r w:rsidRPr="00AD79C7">
        <w:rPr>
          <w:rFonts w:ascii="Abadi" w:hAnsi="Abadi"/>
          <w:b/>
          <w:bCs/>
          <w:sz w:val="21"/>
          <w:szCs w:val="21"/>
        </w:rPr>
        <w:t>en</w:t>
      </w:r>
      <w:r w:rsidRPr="00AD79C7">
        <w:rPr>
          <w:rFonts w:ascii="Abadi" w:hAnsi="Abadi"/>
          <w:b/>
          <w:bCs/>
          <w:spacing w:val="9"/>
          <w:sz w:val="21"/>
          <w:szCs w:val="21"/>
        </w:rPr>
        <w:t xml:space="preserve"> </w:t>
      </w:r>
      <w:r w:rsidRPr="00AD79C7">
        <w:rPr>
          <w:rFonts w:ascii="Abadi" w:hAnsi="Abadi"/>
          <w:b/>
          <w:bCs/>
          <w:sz w:val="21"/>
          <w:szCs w:val="21"/>
        </w:rPr>
        <w:t>su</w:t>
      </w:r>
      <w:r w:rsidRPr="00AD79C7">
        <w:rPr>
          <w:rFonts w:ascii="Abadi" w:hAnsi="Abadi"/>
          <w:b/>
          <w:bCs/>
          <w:spacing w:val="9"/>
          <w:sz w:val="21"/>
          <w:szCs w:val="21"/>
        </w:rPr>
        <w:t xml:space="preserve"> </w:t>
      </w:r>
      <w:r w:rsidRPr="00AD79C7">
        <w:rPr>
          <w:rFonts w:ascii="Abadi" w:hAnsi="Abadi"/>
          <w:b/>
          <w:bCs/>
          <w:sz w:val="21"/>
          <w:szCs w:val="21"/>
        </w:rPr>
        <w:t>caso,</w:t>
      </w:r>
      <w:r w:rsidRPr="00AD79C7">
        <w:rPr>
          <w:rFonts w:ascii="Abadi" w:hAnsi="Abadi"/>
          <w:b/>
          <w:bCs/>
          <w:spacing w:val="9"/>
          <w:sz w:val="21"/>
          <w:szCs w:val="21"/>
        </w:rPr>
        <w:t xml:space="preserve"> </w:t>
      </w:r>
      <w:r w:rsidRPr="00AD79C7">
        <w:rPr>
          <w:rFonts w:ascii="Abadi" w:hAnsi="Abadi"/>
          <w:b/>
          <w:bCs/>
          <w:sz w:val="21"/>
          <w:szCs w:val="21"/>
        </w:rPr>
        <w:t>aprobación</w:t>
      </w:r>
      <w:r w:rsidRPr="00AD79C7">
        <w:rPr>
          <w:rFonts w:ascii="Abadi" w:hAnsi="Abadi"/>
          <w:b/>
          <w:bCs/>
          <w:spacing w:val="9"/>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dictamen</w:t>
      </w:r>
      <w:r w:rsidRPr="00AD79C7">
        <w:rPr>
          <w:rFonts w:ascii="Abadi" w:hAnsi="Abadi"/>
          <w:b/>
          <w:bCs/>
          <w:spacing w:val="9"/>
          <w:sz w:val="21"/>
          <w:szCs w:val="21"/>
        </w:rPr>
        <w:t xml:space="preserve"> </w:t>
      </w:r>
      <w:r w:rsidRPr="00AD79C7">
        <w:rPr>
          <w:rFonts w:ascii="Abadi" w:hAnsi="Abadi"/>
          <w:b/>
          <w:bCs/>
          <w:sz w:val="21"/>
          <w:szCs w:val="21"/>
        </w:rPr>
        <w:t>suscrito</w:t>
      </w:r>
      <w:r w:rsidRPr="00AD79C7">
        <w:rPr>
          <w:rFonts w:ascii="Abadi" w:hAnsi="Abadi"/>
          <w:b/>
          <w:bCs/>
          <w:spacing w:val="9"/>
          <w:sz w:val="21"/>
          <w:szCs w:val="21"/>
        </w:rPr>
        <w:t xml:space="preserve"> </w:t>
      </w:r>
      <w:r w:rsidRPr="00AD79C7">
        <w:rPr>
          <w:rFonts w:ascii="Abadi" w:hAnsi="Abadi"/>
          <w:b/>
          <w:bCs/>
          <w:sz w:val="21"/>
          <w:szCs w:val="21"/>
        </w:rPr>
        <w:t>por</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9"/>
          <w:sz w:val="21"/>
          <w:szCs w:val="21"/>
        </w:rPr>
        <w:t xml:space="preserve"> </w:t>
      </w:r>
      <w:r w:rsidRPr="00AD79C7">
        <w:rPr>
          <w:rFonts w:ascii="Abadi" w:hAnsi="Abadi"/>
          <w:b/>
          <w:bCs/>
          <w:sz w:val="21"/>
          <w:szCs w:val="21"/>
        </w:rPr>
        <w:t>Comisión</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32"/>
          <w:sz w:val="21"/>
          <w:szCs w:val="21"/>
        </w:rPr>
        <w:t xml:space="preserve"> </w:t>
      </w:r>
      <w:r w:rsidRPr="00AD79C7">
        <w:rPr>
          <w:rFonts w:ascii="Abadi" w:hAnsi="Abadi"/>
          <w:b/>
          <w:bCs/>
          <w:sz w:val="21"/>
          <w:szCs w:val="21"/>
        </w:rPr>
        <w:t>Hacienda</w:t>
      </w:r>
      <w:r w:rsidRPr="00AD79C7">
        <w:rPr>
          <w:rFonts w:ascii="Abadi" w:hAnsi="Abadi"/>
          <w:b/>
          <w:bCs/>
          <w:spacing w:val="31"/>
          <w:sz w:val="21"/>
          <w:szCs w:val="21"/>
        </w:rPr>
        <w:t xml:space="preserve"> </w:t>
      </w:r>
      <w:r w:rsidRPr="00AD79C7">
        <w:rPr>
          <w:rFonts w:ascii="Abadi" w:hAnsi="Abadi"/>
          <w:b/>
          <w:bCs/>
          <w:sz w:val="21"/>
          <w:szCs w:val="21"/>
        </w:rPr>
        <w:t>y</w:t>
      </w:r>
      <w:r w:rsidRPr="00AD79C7">
        <w:rPr>
          <w:rFonts w:ascii="Abadi" w:hAnsi="Abadi"/>
          <w:b/>
          <w:bCs/>
          <w:spacing w:val="32"/>
          <w:sz w:val="21"/>
          <w:szCs w:val="21"/>
        </w:rPr>
        <w:t xml:space="preserve"> </w:t>
      </w:r>
      <w:r w:rsidRPr="00AD79C7">
        <w:rPr>
          <w:rFonts w:ascii="Abadi" w:hAnsi="Abadi"/>
          <w:b/>
          <w:bCs/>
          <w:sz w:val="21"/>
          <w:szCs w:val="21"/>
        </w:rPr>
        <w:t>Fiscalización</w:t>
      </w:r>
      <w:r w:rsidRPr="00AD79C7">
        <w:rPr>
          <w:rFonts w:ascii="Abadi" w:hAnsi="Abadi"/>
          <w:b/>
          <w:bCs/>
          <w:spacing w:val="32"/>
          <w:sz w:val="21"/>
          <w:szCs w:val="21"/>
        </w:rPr>
        <w:t xml:space="preserve"> </w:t>
      </w:r>
      <w:r w:rsidRPr="00AD79C7">
        <w:rPr>
          <w:rFonts w:ascii="Abadi" w:hAnsi="Abadi"/>
          <w:b/>
          <w:bCs/>
          <w:sz w:val="21"/>
          <w:szCs w:val="21"/>
        </w:rPr>
        <w:t>relativo</w:t>
      </w:r>
      <w:r w:rsidRPr="00AD79C7">
        <w:rPr>
          <w:rFonts w:ascii="Abadi" w:hAnsi="Abadi"/>
          <w:b/>
          <w:bCs/>
          <w:spacing w:val="31"/>
          <w:sz w:val="21"/>
          <w:szCs w:val="21"/>
        </w:rPr>
        <w:t xml:space="preserve"> </w:t>
      </w:r>
      <w:r w:rsidRPr="00AD79C7">
        <w:rPr>
          <w:rFonts w:ascii="Abadi" w:hAnsi="Abadi"/>
          <w:b/>
          <w:bCs/>
          <w:sz w:val="21"/>
          <w:szCs w:val="21"/>
        </w:rPr>
        <w:t>a</w:t>
      </w:r>
      <w:r w:rsidRPr="00AD79C7">
        <w:rPr>
          <w:rFonts w:ascii="Abadi" w:hAnsi="Abadi"/>
          <w:b/>
          <w:bCs/>
          <w:spacing w:val="32"/>
          <w:sz w:val="21"/>
          <w:szCs w:val="21"/>
        </w:rPr>
        <w:t xml:space="preserve"> </w:t>
      </w:r>
      <w:r w:rsidRPr="00AD79C7">
        <w:rPr>
          <w:rFonts w:ascii="Abadi" w:hAnsi="Abadi"/>
          <w:b/>
          <w:bCs/>
          <w:sz w:val="21"/>
          <w:szCs w:val="21"/>
        </w:rPr>
        <w:t>la</w:t>
      </w:r>
      <w:r w:rsidRPr="00AD79C7">
        <w:rPr>
          <w:rFonts w:ascii="Abadi" w:hAnsi="Abadi"/>
          <w:b/>
          <w:bCs/>
          <w:spacing w:val="32"/>
          <w:sz w:val="21"/>
          <w:szCs w:val="21"/>
        </w:rPr>
        <w:t xml:space="preserve"> </w:t>
      </w:r>
      <w:r w:rsidRPr="00AD79C7">
        <w:rPr>
          <w:rFonts w:ascii="Abadi" w:hAnsi="Abadi"/>
          <w:b/>
          <w:bCs/>
          <w:sz w:val="21"/>
          <w:szCs w:val="21"/>
        </w:rPr>
        <w:t>propuesta</w:t>
      </w:r>
      <w:r w:rsidRPr="00AD79C7">
        <w:rPr>
          <w:rFonts w:ascii="Abadi" w:hAnsi="Abadi"/>
          <w:b/>
          <w:bCs/>
          <w:spacing w:val="31"/>
          <w:sz w:val="21"/>
          <w:szCs w:val="21"/>
        </w:rPr>
        <w:t xml:space="preserve"> </w:t>
      </w:r>
      <w:r w:rsidRPr="00AD79C7">
        <w:rPr>
          <w:rFonts w:ascii="Abadi" w:hAnsi="Abadi"/>
          <w:b/>
          <w:bCs/>
          <w:sz w:val="21"/>
          <w:szCs w:val="21"/>
        </w:rPr>
        <w:t>de</w:t>
      </w:r>
      <w:r w:rsidRPr="00AD79C7">
        <w:rPr>
          <w:rFonts w:ascii="Abadi" w:hAnsi="Abadi"/>
          <w:b/>
          <w:bCs/>
          <w:spacing w:val="31"/>
          <w:sz w:val="21"/>
          <w:szCs w:val="21"/>
        </w:rPr>
        <w:t xml:space="preserve"> </w:t>
      </w:r>
      <w:r w:rsidRPr="00AD79C7">
        <w:rPr>
          <w:rFonts w:ascii="Abadi" w:hAnsi="Abadi"/>
          <w:b/>
          <w:bCs/>
          <w:sz w:val="21"/>
          <w:szCs w:val="21"/>
        </w:rPr>
        <w:t>punto</w:t>
      </w:r>
      <w:r w:rsidRPr="00AD79C7">
        <w:rPr>
          <w:rFonts w:ascii="Abadi" w:hAnsi="Abadi"/>
          <w:b/>
          <w:bCs/>
          <w:spacing w:val="31"/>
          <w:sz w:val="21"/>
          <w:szCs w:val="21"/>
        </w:rPr>
        <w:t xml:space="preserve"> </w:t>
      </w:r>
      <w:r w:rsidRPr="00AD79C7">
        <w:rPr>
          <w:rFonts w:ascii="Abadi" w:hAnsi="Abadi"/>
          <w:b/>
          <w:bCs/>
          <w:sz w:val="21"/>
          <w:szCs w:val="21"/>
        </w:rPr>
        <w:t>de</w:t>
      </w:r>
      <w:r w:rsidRPr="00AD79C7">
        <w:rPr>
          <w:rFonts w:ascii="Abadi" w:hAnsi="Abadi"/>
          <w:b/>
          <w:bCs/>
          <w:spacing w:val="31"/>
          <w:sz w:val="21"/>
          <w:szCs w:val="21"/>
        </w:rPr>
        <w:t xml:space="preserve"> </w:t>
      </w:r>
      <w:r w:rsidRPr="00AD79C7">
        <w:rPr>
          <w:rFonts w:ascii="Abadi" w:hAnsi="Abadi"/>
          <w:b/>
          <w:bCs/>
          <w:sz w:val="21"/>
          <w:szCs w:val="21"/>
        </w:rPr>
        <w:t>acuerdo</w:t>
      </w:r>
      <w:r w:rsidRPr="00AD79C7">
        <w:rPr>
          <w:rFonts w:ascii="Abadi" w:hAnsi="Abadi"/>
          <w:b/>
          <w:bCs/>
          <w:spacing w:val="-2"/>
          <w:sz w:val="21"/>
          <w:szCs w:val="21"/>
        </w:rPr>
        <w:t xml:space="preserve"> </w:t>
      </w:r>
      <w:r w:rsidRPr="00AD79C7">
        <w:rPr>
          <w:rFonts w:ascii="Abadi" w:hAnsi="Abadi"/>
          <w:b/>
          <w:bCs/>
          <w:sz w:val="21"/>
          <w:szCs w:val="21"/>
        </w:rPr>
        <w:t>formulada</w:t>
      </w:r>
      <w:r w:rsidRPr="00AD79C7">
        <w:rPr>
          <w:rFonts w:ascii="Abadi" w:hAnsi="Abadi"/>
          <w:b/>
          <w:bCs/>
          <w:spacing w:val="24"/>
          <w:sz w:val="21"/>
          <w:szCs w:val="21"/>
        </w:rPr>
        <w:t xml:space="preserve"> </w:t>
      </w:r>
      <w:r w:rsidRPr="00AD79C7">
        <w:rPr>
          <w:rFonts w:ascii="Abadi" w:hAnsi="Abadi"/>
          <w:b/>
          <w:bCs/>
          <w:sz w:val="21"/>
          <w:szCs w:val="21"/>
        </w:rPr>
        <w:t>por</w:t>
      </w:r>
      <w:r w:rsidRPr="00AD79C7">
        <w:rPr>
          <w:rFonts w:ascii="Abadi" w:hAnsi="Abadi"/>
          <w:b/>
          <w:bCs/>
          <w:spacing w:val="24"/>
          <w:sz w:val="21"/>
          <w:szCs w:val="21"/>
        </w:rPr>
        <w:t xml:space="preserve"> </w:t>
      </w:r>
      <w:r w:rsidRPr="00AD79C7">
        <w:rPr>
          <w:rFonts w:ascii="Abadi" w:hAnsi="Abadi"/>
          <w:b/>
          <w:bCs/>
          <w:sz w:val="21"/>
          <w:szCs w:val="21"/>
        </w:rPr>
        <w:t>diputadas</w:t>
      </w:r>
      <w:r w:rsidRPr="00AD79C7">
        <w:rPr>
          <w:rFonts w:ascii="Abadi" w:hAnsi="Abadi"/>
          <w:b/>
          <w:bCs/>
          <w:spacing w:val="24"/>
          <w:sz w:val="21"/>
          <w:szCs w:val="21"/>
        </w:rPr>
        <w:t xml:space="preserve"> </w:t>
      </w:r>
      <w:r w:rsidRPr="00AD79C7">
        <w:rPr>
          <w:rFonts w:ascii="Abadi" w:hAnsi="Abadi"/>
          <w:b/>
          <w:bCs/>
          <w:sz w:val="21"/>
          <w:szCs w:val="21"/>
        </w:rPr>
        <w:t>y</w:t>
      </w:r>
      <w:r w:rsidRPr="00AD79C7">
        <w:rPr>
          <w:rFonts w:ascii="Abadi" w:hAnsi="Abadi"/>
          <w:b/>
          <w:bCs/>
          <w:spacing w:val="24"/>
          <w:sz w:val="21"/>
          <w:szCs w:val="21"/>
        </w:rPr>
        <w:t xml:space="preserve"> </w:t>
      </w:r>
      <w:r w:rsidRPr="00AD79C7">
        <w:rPr>
          <w:rFonts w:ascii="Abadi" w:hAnsi="Abadi"/>
          <w:b/>
          <w:bCs/>
          <w:sz w:val="21"/>
          <w:szCs w:val="21"/>
        </w:rPr>
        <w:t>diputados</w:t>
      </w:r>
      <w:r w:rsidRPr="00AD79C7">
        <w:rPr>
          <w:rFonts w:ascii="Abadi" w:hAnsi="Abadi"/>
          <w:b/>
          <w:bCs/>
          <w:spacing w:val="24"/>
          <w:sz w:val="21"/>
          <w:szCs w:val="21"/>
        </w:rPr>
        <w:t xml:space="preserve"> </w:t>
      </w:r>
      <w:r w:rsidRPr="00AD79C7">
        <w:rPr>
          <w:rFonts w:ascii="Abadi" w:hAnsi="Abadi"/>
          <w:b/>
          <w:bCs/>
          <w:sz w:val="21"/>
          <w:szCs w:val="21"/>
        </w:rPr>
        <w:t>integrantes</w:t>
      </w:r>
      <w:r w:rsidRPr="00AD79C7">
        <w:rPr>
          <w:rFonts w:ascii="Abadi" w:hAnsi="Abadi"/>
          <w:b/>
          <w:bCs/>
          <w:spacing w:val="24"/>
          <w:sz w:val="21"/>
          <w:szCs w:val="21"/>
        </w:rPr>
        <w:t xml:space="preserve"> </w:t>
      </w:r>
      <w:r w:rsidRPr="00AD79C7">
        <w:rPr>
          <w:rFonts w:ascii="Abadi" w:hAnsi="Abadi"/>
          <w:b/>
          <w:bCs/>
          <w:sz w:val="21"/>
          <w:szCs w:val="21"/>
        </w:rPr>
        <w:t>del</w:t>
      </w:r>
      <w:r w:rsidRPr="00AD79C7">
        <w:rPr>
          <w:rFonts w:ascii="Abadi" w:hAnsi="Abadi"/>
          <w:b/>
          <w:bCs/>
          <w:spacing w:val="24"/>
          <w:sz w:val="21"/>
          <w:szCs w:val="21"/>
        </w:rPr>
        <w:t xml:space="preserve"> </w:t>
      </w:r>
      <w:r w:rsidRPr="00AD79C7">
        <w:rPr>
          <w:rFonts w:ascii="Abadi" w:hAnsi="Abadi"/>
          <w:b/>
          <w:bCs/>
          <w:sz w:val="21"/>
          <w:szCs w:val="21"/>
        </w:rPr>
        <w:t>Grupo</w:t>
      </w:r>
      <w:r w:rsidRPr="00AD79C7">
        <w:rPr>
          <w:rFonts w:ascii="Abadi" w:hAnsi="Abadi"/>
          <w:b/>
          <w:bCs/>
          <w:spacing w:val="24"/>
          <w:sz w:val="21"/>
          <w:szCs w:val="21"/>
        </w:rPr>
        <w:t xml:space="preserve"> </w:t>
      </w:r>
      <w:r w:rsidRPr="00AD79C7">
        <w:rPr>
          <w:rFonts w:ascii="Abadi" w:hAnsi="Abadi"/>
          <w:b/>
          <w:bCs/>
          <w:sz w:val="21"/>
          <w:szCs w:val="21"/>
        </w:rPr>
        <w:t>Parlamentario</w:t>
      </w:r>
      <w:r w:rsidRPr="00AD79C7">
        <w:rPr>
          <w:rFonts w:ascii="Abadi" w:hAnsi="Abadi"/>
          <w:b/>
          <w:bCs/>
          <w:spacing w:val="-2"/>
          <w:sz w:val="21"/>
          <w:szCs w:val="21"/>
        </w:rPr>
        <w:t xml:space="preserve"> </w:t>
      </w:r>
      <w:r w:rsidRPr="00AD79C7">
        <w:rPr>
          <w:rFonts w:ascii="Abadi" w:hAnsi="Abadi"/>
          <w:b/>
          <w:bCs/>
          <w:sz w:val="21"/>
          <w:szCs w:val="21"/>
        </w:rPr>
        <w:t>del</w:t>
      </w:r>
      <w:r w:rsidRPr="00AD79C7">
        <w:rPr>
          <w:rFonts w:ascii="Abadi" w:hAnsi="Abadi"/>
          <w:b/>
          <w:bCs/>
          <w:spacing w:val="-5"/>
          <w:sz w:val="21"/>
          <w:szCs w:val="21"/>
        </w:rPr>
        <w:t xml:space="preserve"> </w:t>
      </w:r>
      <w:r w:rsidRPr="00AD79C7">
        <w:rPr>
          <w:rFonts w:ascii="Abadi" w:hAnsi="Abadi"/>
          <w:b/>
          <w:bCs/>
          <w:sz w:val="21"/>
          <w:szCs w:val="21"/>
        </w:rPr>
        <w:t>Partido</w:t>
      </w:r>
      <w:r w:rsidRPr="00AD79C7">
        <w:rPr>
          <w:rFonts w:ascii="Abadi" w:hAnsi="Abadi"/>
          <w:b/>
          <w:bCs/>
          <w:spacing w:val="-5"/>
          <w:sz w:val="21"/>
          <w:szCs w:val="21"/>
        </w:rPr>
        <w:t xml:space="preserve"> </w:t>
      </w:r>
      <w:r w:rsidRPr="00AD79C7">
        <w:rPr>
          <w:rFonts w:ascii="Abadi" w:hAnsi="Abadi"/>
          <w:b/>
          <w:bCs/>
          <w:sz w:val="21"/>
          <w:szCs w:val="21"/>
        </w:rPr>
        <w:t>MORENA</w:t>
      </w:r>
      <w:r w:rsidRPr="00AD79C7">
        <w:rPr>
          <w:rFonts w:ascii="Abadi" w:hAnsi="Abadi"/>
          <w:b/>
          <w:bCs/>
          <w:spacing w:val="-6"/>
          <w:sz w:val="21"/>
          <w:szCs w:val="21"/>
        </w:rPr>
        <w:t xml:space="preserve"> </w:t>
      </w:r>
      <w:r w:rsidRPr="00AD79C7">
        <w:rPr>
          <w:rFonts w:ascii="Abadi" w:hAnsi="Abadi"/>
          <w:b/>
          <w:bCs/>
          <w:sz w:val="21"/>
          <w:szCs w:val="21"/>
        </w:rPr>
        <w:t>a</w:t>
      </w:r>
      <w:r w:rsidRPr="00AD79C7">
        <w:rPr>
          <w:rFonts w:ascii="Abadi" w:hAnsi="Abadi"/>
          <w:b/>
          <w:bCs/>
          <w:spacing w:val="-5"/>
          <w:sz w:val="21"/>
          <w:szCs w:val="21"/>
        </w:rPr>
        <w:t xml:space="preserve"> </w:t>
      </w:r>
      <w:r w:rsidRPr="00AD79C7">
        <w:rPr>
          <w:rFonts w:ascii="Abadi" w:hAnsi="Abadi"/>
          <w:b/>
          <w:bCs/>
          <w:sz w:val="21"/>
          <w:szCs w:val="21"/>
        </w:rPr>
        <w:t>efecto</w:t>
      </w:r>
      <w:r w:rsidRPr="00AD79C7">
        <w:rPr>
          <w:rFonts w:ascii="Abadi" w:hAnsi="Abadi"/>
          <w:b/>
          <w:bCs/>
          <w:spacing w:val="-5"/>
          <w:sz w:val="21"/>
          <w:szCs w:val="21"/>
        </w:rPr>
        <w:t xml:space="preserve"> </w:t>
      </w:r>
      <w:r w:rsidRPr="00AD79C7">
        <w:rPr>
          <w:rFonts w:ascii="Abadi" w:hAnsi="Abadi"/>
          <w:b/>
          <w:bCs/>
          <w:sz w:val="21"/>
          <w:szCs w:val="21"/>
        </w:rPr>
        <w:t>de</w:t>
      </w:r>
      <w:r w:rsidRPr="00AD79C7">
        <w:rPr>
          <w:rFonts w:ascii="Abadi" w:hAnsi="Abadi"/>
          <w:b/>
          <w:bCs/>
          <w:spacing w:val="-5"/>
          <w:sz w:val="21"/>
          <w:szCs w:val="21"/>
        </w:rPr>
        <w:t xml:space="preserve"> </w:t>
      </w:r>
      <w:r w:rsidRPr="00AD79C7">
        <w:rPr>
          <w:rFonts w:ascii="Abadi" w:hAnsi="Abadi"/>
          <w:b/>
          <w:bCs/>
          <w:sz w:val="21"/>
          <w:szCs w:val="21"/>
        </w:rPr>
        <w:t>exhortar</w:t>
      </w:r>
      <w:r w:rsidRPr="00AD79C7">
        <w:rPr>
          <w:rFonts w:ascii="Abadi" w:hAnsi="Abadi"/>
          <w:b/>
          <w:bCs/>
          <w:spacing w:val="-5"/>
          <w:sz w:val="21"/>
          <w:szCs w:val="21"/>
        </w:rPr>
        <w:t xml:space="preserve"> </w:t>
      </w:r>
      <w:r w:rsidRPr="00AD79C7">
        <w:rPr>
          <w:rFonts w:ascii="Abadi" w:hAnsi="Abadi"/>
          <w:b/>
          <w:bCs/>
          <w:sz w:val="21"/>
          <w:szCs w:val="21"/>
        </w:rPr>
        <w:t>al</w:t>
      </w:r>
      <w:r w:rsidRPr="00AD79C7">
        <w:rPr>
          <w:rFonts w:ascii="Abadi" w:hAnsi="Abadi"/>
          <w:b/>
          <w:bCs/>
          <w:spacing w:val="-5"/>
          <w:sz w:val="21"/>
          <w:szCs w:val="21"/>
        </w:rPr>
        <w:t xml:space="preserve"> </w:t>
      </w:r>
      <w:r w:rsidRPr="00AD79C7">
        <w:rPr>
          <w:rFonts w:ascii="Abadi" w:hAnsi="Abadi"/>
          <w:b/>
          <w:bCs/>
          <w:sz w:val="21"/>
          <w:szCs w:val="21"/>
        </w:rPr>
        <w:t>Auditor</w:t>
      </w:r>
      <w:r w:rsidRPr="00AD79C7">
        <w:rPr>
          <w:rFonts w:ascii="Abadi" w:hAnsi="Abadi"/>
          <w:b/>
          <w:bCs/>
          <w:spacing w:val="-5"/>
          <w:sz w:val="21"/>
          <w:szCs w:val="21"/>
        </w:rPr>
        <w:t xml:space="preserve"> </w:t>
      </w:r>
      <w:r w:rsidRPr="00AD79C7">
        <w:rPr>
          <w:rFonts w:ascii="Abadi" w:hAnsi="Abadi"/>
          <w:b/>
          <w:bCs/>
          <w:sz w:val="21"/>
          <w:szCs w:val="21"/>
        </w:rPr>
        <w:t>Superior</w:t>
      </w:r>
      <w:r w:rsidRPr="00AD79C7">
        <w:rPr>
          <w:rFonts w:ascii="Abadi" w:hAnsi="Abadi"/>
          <w:b/>
          <w:bCs/>
          <w:spacing w:val="-5"/>
          <w:sz w:val="21"/>
          <w:szCs w:val="21"/>
        </w:rPr>
        <w:t xml:space="preserve"> </w:t>
      </w:r>
      <w:r w:rsidRPr="00AD79C7">
        <w:rPr>
          <w:rFonts w:ascii="Abadi" w:hAnsi="Abadi"/>
          <w:b/>
          <w:bCs/>
          <w:sz w:val="21"/>
          <w:szCs w:val="21"/>
        </w:rPr>
        <w:t>del</w:t>
      </w:r>
      <w:r w:rsidRPr="00AD79C7">
        <w:rPr>
          <w:rFonts w:ascii="Abadi" w:hAnsi="Abadi"/>
          <w:b/>
          <w:bCs/>
          <w:spacing w:val="-5"/>
          <w:sz w:val="21"/>
          <w:szCs w:val="21"/>
        </w:rPr>
        <w:t xml:space="preserve"> </w:t>
      </w:r>
      <w:r w:rsidRPr="00AD79C7">
        <w:rPr>
          <w:rFonts w:ascii="Abadi" w:hAnsi="Abadi"/>
          <w:b/>
          <w:bCs/>
          <w:sz w:val="21"/>
          <w:szCs w:val="21"/>
        </w:rPr>
        <w:t>Estado</w:t>
      </w:r>
      <w:r w:rsidRPr="00AD79C7">
        <w:rPr>
          <w:rFonts w:ascii="Abadi" w:hAnsi="Abadi"/>
          <w:b/>
          <w:bCs/>
          <w:spacing w:val="-5"/>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Guanajuato</w:t>
      </w:r>
      <w:r w:rsidRPr="00AD79C7">
        <w:rPr>
          <w:rFonts w:ascii="Abadi" w:hAnsi="Abadi"/>
          <w:b/>
          <w:bCs/>
          <w:spacing w:val="20"/>
          <w:sz w:val="21"/>
          <w:szCs w:val="21"/>
        </w:rPr>
        <w:t xml:space="preserve"> </w:t>
      </w:r>
      <w:r w:rsidRPr="00AD79C7">
        <w:rPr>
          <w:rFonts w:ascii="Abadi" w:hAnsi="Abadi"/>
          <w:b/>
          <w:bCs/>
          <w:sz w:val="21"/>
          <w:szCs w:val="21"/>
        </w:rPr>
        <w:t>para</w:t>
      </w:r>
      <w:r w:rsidRPr="00AD79C7">
        <w:rPr>
          <w:rFonts w:ascii="Abadi" w:hAnsi="Abadi"/>
          <w:b/>
          <w:bCs/>
          <w:spacing w:val="20"/>
          <w:sz w:val="21"/>
          <w:szCs w:val="21"/>
        </w:rPr>
        <w:t xml:space="preserve"> </w:t>
      </w:r>
      <w:r w:rsidRPr="00AD79C7">
        <w:rPr>
          <w:rFonts w:ascii="Abadi" w:hAnsi="Abadi"/>
          <w:b/>
          <w:bCs/>
          <w:sz w:val="21"/>
          <w:szCs w:val="21"/>
        </w:rPr>
        <w:t>que</w:t>
      </w:r>
      <w:r w:rsidRPr="00AD79C7">
        <w:rPr>
          <w:rFonts w:ascii="Abadi" w:hAnsi="Abadi"/>
          <w:b/>
          <w:bCs/>
          <w:spacing w:val="21"/>
          <w:sz w:val="21"/>
          <w:szCs w:val="21"/>
        </w:rPr>
        <w:t xml:space="preserve"> </w:t>
      </w:r>
      <w:r w:rsidRPr="00AD79C7">
        <w:rPr>
          <w:rFonts w:ascii="Abadi" w:hAnsi="Abadi"/>
          <w:b/>
          <w:bCs/>
          <w:sz w:val="21"/>
          <w:szCs w:val="21"/>
        </w:rPr>
        <w:t>realice</w:t>
      </w:r>
      <w:r w:rsidRPr="00AD79C7">
        <w:rPr>
          <w:rFonts w:ascii="Abadi" w:hAnsi="Abadi"/>
          <w:b/>
          <w:bCs/>
          <w:spacing w:val="20"/>
          <w:sz w:val="21"/>
          <w:szCs w:val="21"/>
        </w:rPr>
        <w:t xml:space="preserve"> </w:t>
      </w:r>
      <w:r w:rsidRPr="00AD79C7">
        <w:rPr>
          <w:rFonts w:ascii="Abadi" w:hAnsi="Abadi"/>
          <w:b/>
          <w:bCs/>
          <w:sz w:val="21"/>
          <w:szCs w:val="21"/>
        </w:rPr>
        <w:t>dos</w:t>
      </w:r>
      <w:r w:rsidRPr="00AD79C7">
        <w:rPr>
          <w:rFonts w:ascii="Abadi" w:hAnsi="Abadi"/>
          <w:b/>
          <w:bCs/>
          <w:spacing w:val="20"/>
          <w:sz w:val="21"/>
          <w:szCs w:val="21"/>
        </w:rPr>
        <w:t xml:space="preserve"> </w:t>
      </w:r>
      <w:r w:rsidRPr="00AD79C7">
        <w:rPr>
          <w:rFonts w:ascii="Abadi" w:hAnsi="Abadi"/>
          <w:b/>
          <w:bCs/>
          <w:sz w:val="21"/>
          <w:szCs w:val="21"/>
        </w:rPr>
        <w:t>auditorías,</w:t>
      </w:r>
      <w:r w:rsidRPr="00AD79C7">
        <w:rPr>
          <w:rFonts w:ascii="Abadi" w:hAnsi="Abadi"/>
          <w:b/>
          <w:bCs/>
          <w:spacing w:val="20"/>
          <w:sz w:val="21"/>
          <w:szCs w:val="21"/>
        </w:rPr>
        <w:t xml:space="preserve"> </w:t>
      </w:r>
      <w:r w:rsidRPr="00AD79C7">
        <w:rPr>
          <w:rFonts w:ascii="Abadi" w:hAnsi="Abadi"/>
          <w:b/>
          <w:bCs/>
          <w:sz w:val="21"/>
          <w:szCs w:val="21"/>
        </w:rPr>
        <w:t>la</w:t>
      </w:r>
      <w:r w:rsidRPr="00AD79C7">
        <w:rPr>
          <w:rFonts w:ascii="Abadi" w:hAnsi="Abadi"/>
          <w:b/>
          <w:bCs/>
          <w:spacing w:val="20"/>
          <w:sz w:val="21"/>
          <w:szCs w:val="21"/>
        </w:rPr>
        <w:t xml:space="preserve"> </w:t>
      </w:r>
      <w:r w:rsidRPr="00AD79C7">
        <w:rPr>
          <w:rFonts w:ascii="Abadi" w:hAnsi="Abadi"/>
          <w:b/>
          <w:bCs/>
          <w:sz w:val="21"/>
          <w:szCs w:val="21"/>
        </w:rPr>
        <w:t>primera,</w:t>
      </w:r>
      <w:r w:rsidRPr="00AD79C7">
        <w:rPr>
          <w:rFonts w:ascii="Abadi" w:hAnsi="Abadi"/>
          <w:b/>
          <w:bCs/>
          <w:spacing w:val="20"/>
          <w:sz w:val="21"/>
          <w:szCs w:val="21"/>
        </w:rPr>
        <w:t xml:space="preserve"> </w:t>
      </w:r>
      <w:r w:rsidRPr="00AD79C7">
        <w:rPr>
          <w:rFonts w:ascii="Abadi" w:hAnsi="Abadi"/>
          <w:b/>
          <w:bCs/>
          <w:sz w:val="21"/>
          <w:szCs w:val="21"/>
        </w:rPr>
        <w:t>a</w:t>
      </w:r>
      <w:r w:rsidRPr="00AD79C7">
        <w:rPr>
          <w:rFonts w:ascii="Abadi" w:hAnsi="Abadi"/>
          <w:b/>
          <w:bCs/>
          <w:spacing w:val="20"/>
          <w:sz w:val="21"/>
          <w:szCs w:val="21"/>
        </w:rPr>
        <w:t xml:space="preserve"> </w:t>
      </w:r>
      <w:r w:rsidRPr="00AD79C7">
        <w:rPr>
          <w:rFonts w:ascii="Abadi" w:hAnsi="Abadi"/>
          <w:b/>
          <w:bCs/>
          <w:sz w:val="21"/>
          <w:szCs w:val="21"/>
        </w:rPr>
        <w:t>fin</w:t>
      </w:r>
      <w:r w:rsidRPr="00AD79C7">
        <w:rPr>
          <w:rFonts w:ascii="Abadi" w:hAnsi="Abadi"/>
          <w:b/>
          <w:bCs/>
          <w:spacing w:val="20"/>
          <w:sz w:val="21"/>
          <w:szCs w:val="21"/>
        </w:rPr>
        <w:t xml:space="preserve"> </w:t>
      </w:r>
      <w:r w:rsidRPr="00AD79C7">
        <w:rPr>
          <w:rFonts w:ascii="Abadi" w:hAnsi="Abadi"/>
          <w:b/>
          <w:bCs/>
          <w:sz w:val="21"/>
          <w:szCs w:val="21"/>
        </w:rPr>
        <w:t>de</w:t>
      </w:r>
      <w:r w:rsidRPr="00AD79C7">
        <w:rPr>
          <w:rFonts w:ascii="Abadi" w:hAnsi="Abadi"/>
          <w:b/>
          <w:bCs/>
          <w:spacing w:val="20"/>
          <w:sz w:val="21"/>
          <w:szCs w:val="21"/>
        </w:rPr>
        <w:t xml:space="preserve"> </w:t>
      </w:r>
      <w:r w:rsidRPr="00AD79C7">
        <w:rPr>
          <w:rFonts w:ascii="Abadi" w:hAnsi="Abadi"/>
          <w:b/>
          <w:bCs/>
          <w:sz w:val="21"/>
          <w:szCs w:val="21"/>
        </w:rPr>
        <w:t>revisar</w:t>
      </w:r>
      <w:r w:rsidRPr="00AD79C7">
        <w:rPr>
          <w:rFonts w:ascii="Abadi" w:hAnsi="Abadi"/>
          <w:b/>
          <w:bCs/>
          <w:spacing w:val="20"/>
          <w:sz w:val="21"/>
          <w:szCs w:val="21"/>
        </w:rPr>
        <w:t xml:space="preserve"> </w:t>
      </w:r>
      <w:r w:rsidRPr="00AD79C7">
        <w:rPr>
          <w:rFonts w:ascii="Abadi" w:hAnsi="Abadi"/>
          <w:b/>
          <w:bCs/>
          <w:sz w:val="21"/>
          <w:szCs w:val="21"/>
        </w:rPr>
        <w:t>el</w:t>
      </w:r>
      <w:r w:rsidRPr="00AD79C7">
        <w:rPr>
          <w:rFonts w:ascii="Abadi" w:hAnsi="Abadi"/>
          <w:b/>
          <w:bCs/>
          <w:spacing w:val="-2"/>
          <w:sz w:val="21"/>
          <w:szCs w:val="21"/>
        </w:rPr>
        <w:t xml:space="preserve"> </w:t>
      </w:r>
      <w:r w:rsidRPr="00AD79C7">
        <w:rPr>
          <w:rFonts w:ascii="Abadi" w:hAnsi="Abadi"/>
          <w:b/>
          <w:bCs/>
          <w:sz w:val="21"/>
          <w:szCs w:val="21"/>
        </w:rPr>
        <w:t>ejercicio</w:t>
      </w:r>
      <w:r w:rsidRPr="00AD79C7">
        <w:rPr>
          <w:rFonts w:ascii="Abadi" w:hAnsi="Abadi"/>
          <w:b/>
          <w:bCs/>
          <w:spacing w:val="9"/>
          <w:sz w:val="21"/>
          <w:szCs w:val="21"/>
        </w:rPr>
        <w:t xml:space="preserve"> </w:t>
      </w:r>
      <w:r w:rsidRPr="00AD79C7">
        <w:rPr>
          <w:rFonts w:ascii="Abadi" w:hAnsi="Abadi"/>
          <w:b/>
          <w:bCs/>
          <w:sz w:val="21"/>
          <w:szCs w:val="21"/>
        </w:rPr>
        <w:t>de</w:t>
      </w:r>
      <w:r w:rsidRPr="00AD79C7">
        <w:rPr>
          <w:rFonts w:ascii="Abadi" w:hAnsi="Abadi"/>
          <w:b/>
          <w:bCs/>
          <w:spacing w:val="9"/>
          <w:sz w:val="21"/>
          <w:szCs w:val="21"/>
        </w:rPr>
        <w:t xml:space="preserve"> </w:t>
      </w:r>
      <w:r w:rsidRPr="00AD79C7">
        <w:rPr>
          <w:rFonts w:ascii="Abadi" w:hAnsi="Abadi"/>
          <w:b/>
          <w:bCs/>
          <w:sz w:val="21"/>
          <w:szCs w:val="21"/>
        </w:rPr>
        <w:t>recursos</w:t>
      </w:r>
      <w:r w:rsidRPr="00AD79C7">
        <w:rPr>
          <w:rFonts w:ascii="Abadi" w:hAnsi="Abadi"/>
          <w:b/>
          <w:bCs/>
          <w:spacing w:val="9"/>
          <w:sz w:val="21"/>
          <w:szCs w:val="21"/>
        </w:rPr>
        <w:t xml:space="preserve"> </w:t>
      </w:r>
      <w:r w:rsidRPr="00AD79C7">
        <w:rPr>
          <w:rFonts w:ascii="Abadi" w:hAnsi="Abadi"/>
          <w:b/>
          <w:bCs/>
          <w:sz w:val="21"/>
          <w:szCs w:val="21"/>
        </w:rPr>
        <w:t>públicos</w:t>
      </w:r>
      <w:r w:rsidRPr="00AD79C7">
        <w:rPr>
          <w:rFonts w:ascii="Abadi" w:hAnsi="Abadi"/>
          <w:b/>
          <w:bCs/>
          <w:spacing w:val="9"/>
          <w:sz w:val="21"/>
          <w:szCs w:val="21"/>
        </w:rPr>
        <w:t xml:space="preserve"> </w:t>
      </w:r>
      <w:r w:rsidRPr="00AD79C7">
        <w:rPr>
          <w:rFonts w:ascii="Abadi" w:hAnsi="Abadi"/>
          <w:b/>
          <w:bCs/>
          <w:sz w:val="21"/>
          <w:szCs w:val="21"/>
        </w:rPr>
        <w:t>destinados</w:t>
      </w:r>
      <w:r w:rsidRPr="00AD79C7">
        <w:rPr>
          <w:rFonts w:ascii="Abadi" w:hAnsi="Abadi"/>
          <w:b/>
          <w:bCs/>
          <w:spacing w:val="9"/>
          <w:sz w:val="21"/>
          <w:szCs w:val="21"/>
        </w:rPr>
        <w:t xml:space="preserve"> </w:t>
      </w:r>
      <w:r w:rsidRPr="00AD79C7">
        <w:rPr>
          <w:rFonts w:ascii="Abadi" w:hAnsi="Abadi"/>
          <w:b/>
          <w:bCs/>
          <w:sz w:val="21"/>
          <w:szCs w:val="21"/>
        </w:rPr>
        <w:t>hasta</w:t>
      </w:r>
      <w:r w:rsidRPr="00AD79C7">
        <w:rPr>
          <w:rFonts w:ascii="Abadi" w:hAnsi="Abadi"/>
          <w:b/>
          <w:bCs/>
          <w:spacing w:val="9"/>
          <w:sz w:val="21"/>
          <w:szCs w:val="21"/>
        </w:rPr>
        <w:t xml:space="preserve"> </w:t>
      </w:r>
      <w:r w:rsidRPr="00AD79C7">
        <w:rPr>
          <w:rFonts w:ascii="Abadi" w:hAnsi="Abadi"/>
          <w:b/>
          <w:bCs/>
          <w:sz w:val="21"/>
          <w:szCs w:val="21"/>
        </w:rPr>
        <w:t>el</w:t>
      </w:r>
      <w:r w:rsidRPr="00AD79C7">
        <w:rPr>
          <w:rFonts w:ascii="Abadi" w:hAnsi="Abadi"/>
          <w:b/>
          <w:bCs/>
          <w:spacing w:val="9"/>
          <w:sz w:val="21"/>
          <w:szCs w:val="21"/>
        </w:rPr>
        <w:t xml:space="preserve"> </w:t>
      </w:r>
      <w:r w:rsidRPr="00AD79C7">
        <w:rPr>
          <w:rFonts w:ascii="Abadi" w:hAnsi="Abadi"/>
          <w:b/>
          <w:bCs/>
          <w:sz w:val="21"/>
          <w:szCs w:val="21"/>
        </w:rPr>
        <w:t>momento</w:t>
      </w:r>
      <w:r w:rsidRPr="00AD79C7">
        <w:rPr>
          <w:rFonts w:ascii="Abadi" w:hAnsi="Abadi"/>
          <w:b/>
          <w:bCs/>
          <w:spacing w:val="9"/>
          <w:sz w:val="21"/>
          <w:szCs w:val="21"/>
        </w:rPr>
        <w:t xml:space="preserve"> </w:t>
      </w:r>
      <w:r w:rsidRPr="00AD79C7">
        <w:rPr>
          <w:rFonts w:ascii="Abadi" w:hAnsi="Abadi"/>
          <w:b/>
          <w:bCs/>
          <w:sz w:val="21"/>
          <w:szCs w:val="21"/>
        </w:rPr>
        <w:t>a</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9"/>
          <w:sz w:val="21"/>
          <w:szCs w:val="21"/>
        </w:rPr>
        <w:t xml:space="preserve"> </w:t>
      </w:r>
      <w:r w:rsidRPr="00AD79C7">
        <w:rPr>
          <w:rFonts w:ascii="Abadi" w:hAnsi="Abadi"/>
          <w:b/>
          <w:bCs/>
          <w:sz w:val="21"/>
          <w:szCs w:val="21"/>
        </w:rPr>
        <w:t>academia</w:t>
      </w:r>
      <w:r w:rsidRPr="00AD79C7">
        <w:rPr>
          <w:rFonts w:ascii="Abadi" w:hAnsi="Abadi"/>
          <w:b/>
          <w:bCs/>
          <w:spacing w:val="-2"/>
          <w:sz w:val="21"/>
          <w:szCs w:val="21"/>
        </w:rPr>
        <w:t xml:space="preserve"> </w:t>
      </w:r>
      <w:r w:rsidRPr="00AD79C7">
        <w:rPr>
          <w:rFonts w:ascii="Abadi" w:hAnsi="Abadi"/>
          <w:b/>
          <w:bCs/>
          <w:sz w:val="21"/>
          <w:szCs w:val="21"/>
        </w:rPr>
        <w:t>del Instituto de Formación en Seguridad Pública del Estado, llevada a cabo</w:t>
      </w:r>
      <w:r w:rsidRPr="00AD79C7">
        <w:rPr>
          <w:rFonts w:ascii="Abadi" w:hAnsi="Abadi"/>
          <w:b/>
          <w:bCs/>
          <w:spacing w:val="-2"/>
          <w:sz w:val="21"/>
          <w:szCs w:val="21"/>
        </w:rPr>
        <w:t xml:space="preserve"> </w:t>
      </w:r>
      <w:r w:rsidRPr="00AD79C7">
        <w:rPr>
          <w:rFonts w:ascii="Abadi" w:hAnsi="Abadi"/>
          <w:b/>
          <w:bCs/>
          <w:sz w:val="21"/>
          <w:szCs w:val="21"/>
        </w:rPr>
        <w:t>por</w:t>
      </w:r>
      <w:r w:rsidRPr="00AD79C7">
        <w:rPr>
          <w:rFonts w:ascii="Abadi" w:hAnsi="Abadi"/>
          <w:b/>
          <w:bCs/>
          <w:spacing w:val="16"/>
          <w:sz w:val="21"/>
          <w:szCs w:val="21"/>
        </w:rPr>
        <w:t xml:space="preserve"> </w:t>
      </w:r>
      <w:r w:rsidRPr="00AD79C7">
        <w:rPr>
          <w:rFonts w:ascii="Abadi" w:hAnsi="Abadi"/>
          <w:b/>
          <w:bCs/>
          <w:sz w:val="21"/>
          <w:szCs w:val="21"/>
        </w:rPr>
        <w:t>el</w:t>
      </w:r>
      <w:r w:rsidRPr="00AD79C7">
        <w:rPr>
          <w:rFonts w:ascii="Abadi" w:hAnsi="Abadi"/>
          <w:b/>
          <w:bCs/>
          <w:spacing w:val="16"/>
          <w:sz w:val="21"/>
          <w:szCs w:val="21"/>
        </w:rPr>
        <w:t xml:space="preserve"> </w:t>
      </w:r>
      <w:r w:rsidRPr="00AD79C7">
        <w:rPr>
          <w:rFonts w:ascii="Abadi" w:hAnsi="Abadi"/>
          <w:b/>
          <w:bCs/>
          <w:sz w:val="21"/>
          <w:szCs w:val="21"/>
        </w:rPr>
        <w:lastRenderedPageBreak/>
        <w:t>Poder</w:t>
      </w:r>
      <w:r w:rsidRPr="00AD79C7">
        <w:rPr>
          <w:rFonts w:ascii="Abadi" w:hAnsi="Abadi"/>
          <w:b/>
          <w:bCs/>
          <w:spacing w:val="16"/>
          <w:sz w:val="21"/>
          <w:szCs w:val="21"/>
        </w:rPr>
        <w:t xml:space="preserve"> </w:t>
      </w:r>
      <w:r w:rsidRPr="00AD79C7">
        <w:rPr>
          <w:rFonts w:ascii="Abadi" w:hAnsi="Abadi"/>
          <w:b/>
          <w:bCs/>
          <w:sz w:val="21"/>
          <w:szCs w:val="21"/>
        </w:rPr>
        <w:t>Ejecutivo</w:t>
      </w:r>
      <w:r w:rsidRPr="00AD79C7">
        <w:rPr>
          <w:rFonts w:ascii="Abadi" w:hAnsi="Abadi"/>
          <w:b/>
          <w:bCs/>
          <w:spacing w:val="16"/>
          <w:sz w:val="21"/>
          <w:szCs w:val="21"/>
        </w:rPr>
        <w:t xml:space="preserve"> </w:t>
      </w:r>
      <w:r w:rsidRPr="00AD79C7">
        <w:rPr>
          <w:rFonts w:ascii="Abadi" w:hAnsi="Abadi"/>
          <w:b/>
          <w:bCs/>
          <w:sz w:val="21"/>
          <w:szCs w:val="21"/>
        </w:rPr>
        <w:t>del</w:t>
      </w:r>
      <w:r w:rsidRPr="00AD79C7">
        <w:rPr>
          <w:rFonts w:ascii="Abadi" w:hAnsi="Abadi"/>
          <w:b/>
          <w:bCs/>
          <w:spacing w:val="16"/>
          <w:sz w:val="21"/>
          <w:szCs w:val="21"/>
        </w:rPr>
        <w:t xml:space="preserve"> </w:t>
      </w:r>
      <w:r w:rsidRPr="00AD79C7">
        <w:rPr>
          <w:rFonts w:ascii="Abadi" w:hAnsi="Abadi"/>
          <w:b/>
          <w:bCs/>
          <w:sz w:val="21"/>
          <w:szCs w:val="21"/>
        </w:rPr>
        <w:t>Estado</w:t>
      </w:r>
      <w:r w:rsidRPr="00AD79C7">
        <w:rPr>
          <w:rFonts w:ascii="Abadi" w:hAnsi="Abadi"/>
          <w:b/>
          <w:bCs/>
          <w:spacing w:val="16"/>
          <w:sz w:val="21"/>
          <w:szCs w:val="21"/>
        </w:rPr>
        <w:t xml:space="preserve"> </w:t>
      </w:r>
      <w:r w:rsidRPr="00AD79C7">
        <w:rPr>
          <w:rFonts w:ascii="Abadi" w:hAnsi="Abadi"/>
          <w:b/>
          <w:bCs/>
          <w:sz w:val="21"/>
          <w:szCs w:val="21"/>
        </w:rPr>
        <w:t>de</w:t>
      </w:r>
      <w:r w:rsidRPr="00AD79C7">
        <w:rPr>
          <w:rFonts w:ascii="Abadi" w:hAnsi="Abadi"/>
          <w:b/>
          <w:bCs/>
          <w:spacing w:val="16"/>
          <w:sz w:val="21"/>
          <w:szCs w:val="21"/>
        </w:rPr>
        <w:t xml:space="preserve"> </w:t>
      </w:r>
      <w:r w:rsidRPr="00AD79C7">
        <w:rPr>
          <w:rFonts w:ascii="Abadi" w:hAnsi="Abadi"/>
          <w:b/>
          <w:bCs/>
          <w:sz w:val="21"/>
          <w:szCs w:val="21"/>
        </w:rPr>
        <w:t>Guanajuato</w:t>
      </w:r>
      <w:r w:rsidRPr="00AD79C7">
        <w:rPr>
          <w:rFonts w:ascii="Abadi" w:hAnsi="Abadi"/>
          <w:b/>
          <w:bCs/>
          <w:spacing w:val="16"/>
          <w:sz w:val="21"/>
          <w:szCs w:val="21"/>
        </w:rPr>
        <w:t xml:space="preserve"> </w:t>
      </w:r>
      <w:r w:rsidRPr="00AD79C7">
        <w:rPr>
          <w:rFonts w:ascii="Abadi" w:hAnsi="Abadi"/>
          <w:b/>
          <w:bCs/>
          <w:sz w:val="21"/>
          <w:szCs w:val="21"/>
        </w:rPr>
        <w:t>en</w:t>
      </w:r>
      <w:r w:rsidRPr="00AD79C7">
        <w:rPr>
          <w:rFonts w:ascii="Abadi" w:hAnsi="Abadi"/>
          <w:b/>
          <w:bCs/>
          <w:spacing w:val="16"/>
          <w:sz w:val="21"/>
          <w:szCs w:val="21"/>
        </w:rPr>
        <w:t xml:space="preserve"> </w:t>
      </w:r>
      <w:r w:rsidRPr="00AD79C7">
        <w:rPr>
          <w:rFonts w:ascii="Abadi" w:hAnsi="Abadi"/>
          <w:b/>
          <w:bCs/>
          <w:sz w:val="21"/>
          <w:szCs w:val="21"/>
        </w:rPr>
        <w:t>los</w:t>
      </w:r>
      <w:r w:rsidRPr="00AD79C7">
        <w:rPr>
          <w:rFonts w:ascii="Abadi" w:hAnsi="Abadi"/>
          <w:b/>
          <w:bCs/>
          <w:spacing w:val="16"/>
          <w:sz w:val="21"/>
          <w:szCs w:val="21"/>
        </w:rPr>
        <w:t xml:space="preserve"> </w:t>
      </w:r>
      <w:r w:rsidRPr="00AD79C7">
        <w:rPr>
          <w:rFonts w:ascii="Abadi" w:hAnsi="Abadi"/>
          <w:b/>
          <w:bCs/>
          <w:sz w:val="21"/>
          <w:szCs w:val="21"/>
        </w:rPr>
        <w:t>ejercicios</w:t>
      </w:r>
      <w:r w:rsidRPr="00AD79C7">
        <w:rPr>
          <w:rFonts w:ascii="Abadi" w:hAnsi="Abadi"/>
          <w:b/>
          <w:bCs/>
          <w:spacing w:val="16"/>
          <w:sz w:val="21"/>
          <w:szCs w:val="21"/>
        </w:rPr>
        <w:t xml:space="preserve"> </w:t>
      </w:r>
      <w:r w:rsidRPr="00AD79C7">
        <w:rPr>
          <w:rFonts w:ascii="Abadi" w:hAnsi="Abadi"/>
          <w:b/>
          <w:bCs/>
          <w:sz w:val="21"/>
          <w:szCs w:val="21"/>
        </w:rPr>
        <w:t>fiscales</w:t>
      </w:r>
      <w:r w:rsidRPr="00AD79C7">
        <w:rPr>
          <w:rFonts w:ascii="Abadi" w:hAnsi="Abadi"/>
          <w:b/>
          <w:bCs/>
          <w:spacing w:val="-2"/>
          <w:sz w:val="21"/>
          <w:szCs w:val="21"/>
        </w:rPr>
        <w:t xml:space="preserve"> </w:t>
      </w:r>
      <w:r w:rsidRPr="00AD79C7">
        <w:rPr>
          <w:rFonts w:ascii="Abadi" w:hAnsi="Abadi"/>
          <w:b/>
          <w:bCs/>
          <w:sz w:val="21"/>
          <w:szCs w:val="21"/>
        </w:rPr>
        <w:t>de 2019 y, en su caso, subsiguientes; y la segunda, a fin de revisar</w:t>
      </w:r>
      <w:r w:rsidRPr="00AD79C7">
        <w:rPr>
          <w:rFonts w:ascii="Abadi" w:hAnsi="Abadi"/>
          <w:b/>
          <w:bCs/>
          <w:spacing w:val="-1"/>
          <w:sz w:val="21"/>
          <w:szCs w:val="21"/>
        </w:rPr>
        <w:t xml:space="preserve"> </w:t>
      </w:r>
      <w:r w:rsidRPr="00AD79C7">
        <w:rPr>
          <w:rFonts w:ascii="Abadi" w:hAnsi="Abadi"/>
          <w:b/>
          <w:bCs/>
          <w:sz w:val="21"/>
          <w:szCs w:val="21"/>
        </w:rPr>
        <w:t>que los</w:t>
      </w:r>
      <w:r w:rsidRPr="00AD79C7">
        <w:rPr>
          <w:rFonts w:ascii="Abadi" w:hAnsi="Abadi"/>
          <w:b/>
          <w:bCs/>
          <w:spacing w:val="-2"/>
          <w:sz w:val="21"/>
          <w:szCs w:val="21"/>
        </w:rPr>
        <w:t xml:space="preserve"> </w:t>
      </w:r>
      <w:r w:rsidRPr="00AD79C7">
        <w:rPr>
          <w:rFonts w:ascii="Abadi" w:hAnsi="Abadi"/>
          <w:b/>
          <w:bCs/>
          <w:sz w:val="21"/>
          <w:szCs w:val="21"/>
        </w:rPr>
        <w:t>recursos públicos derivados</w:t>
      </w:r>
      <w:r w:rsidRPr="00AD79C7">
        <w:rPr>
          <w:rFonts w:ascii="Abadi" w:hAnsi="Abadi"/>
          <w:b/>
          <w:bCs/>
          <w:spacing w:val="2"/>
          <w:sz w:val="21"/>
          <w:szCs w:val="21"/>
        </w:rPr>
        <w:t xml:space="preserve"> </w:t>
      </w:r>
      <w:r w:rsidRPr="00AD79C7">
        <w:rPr>
          <w:rFonts w:ascii="Abadi" w:hAnsi="Abadi"/>
          <w:b/>
          <w:bCs/>
          <w:sz w:val="21"/>
          <w:szCs w:val="21"/>
        </w:rPr>
        <w:t>del financiamiento</w:t>
      </w:r>
      <w:r w:rsidRPr="00AD79C7">
        <w:rPr>
          <w:rFonts w:ascii="Abadi" w:hAnsi="Abadi"/>
          <w:b/>
          <w:bCs/>
          <w:spacing w:val="2"/>
          <w:sz w:val="21"/>
          <w:szCs w:val="21"/>
        </w:rPr>
        <w:t xml:space="preserve"> </w:t>
      </w:r>
      <w:r w:rsidRPr="00AD79C7">
        <w:rPr>
          <w:rFonts w:ascii="Abadi" w:hAnsi="Abadi"/>
          <w:b/>
          <w:bCs/>
          <w:sz w:val="21"/>
          <w:szCs w:val="21"/>
        </w:rPr>
        <w:t>avalado por</w:t>
      </w:r>
      <w:r w:rsidRPr="00AD79C7">
        <w:rPr>
          <w:rFonts w:ascii="Abadi" w:hAnsi="Abadi"/>
          <w:b/>
          <w:bCs/>
          <w:spacing w:val="2"/>
          <w:sz w:val="21"/>
          <w:szCs w:val="21"/>
        </w:rPr>
        <w:t xml:space="preserve"> </w:t>
      </w:r>
      <w:r w:rsidRPr="00AD79C7">
        <w:rPr>
          <w:rFonts w:ascii="Abadi" w:hAnsi="Abadi"/>
          <w:b/>
          <w:bCs/>
          <w:sz w:val="21"/>
          <w:szCs w:val="21"/>
        </w:rPr>
        <w:t>el Congreso en</w:t>
      </w:r>
      <w:r w:rsidRPr="00AD79C7">
        <w:rPr>
          <w:rFonts w:ascii="Abadi" w:hAnsi="Abadi"/>
          <w:b/>
          <w:bCs/>
          <w:spacing w:val="-2"/>
          <w:sz w:val="21"/>
          <w:szCs w:val="21"/>
        </w:rPr>
        <w:t xml:space="preserve"> </w:t>
      </w:r>
      <w:r w:rsidRPr="00AD79C7">
        <w:rPr>
          <w:rFonts w:ascii="Abadi" w:hAnsi="Abadi"/>
          <w:b/>
          <w:bCs/>
          <w:sz w:val="21"/>
          <w:szCs w:val="21"/>
        </w:rPr>
        <w:t>septiembre</w:t>
      </w:r>
      <w:r w:rsidRPr="00AD79C7">
        <w:rPr>
          <w:rFonts w:ascii="Abadi" w:hAnsi="Abadi"/>
          <w:b/>
          <w:bCs/>
          <w:spacing w:val="40"/>
          <w:sz w:val="21"/>
          <w:szCs w:val="21"/>
        </w:rPr>
        <w:t xml:space="preserve"> </w:t>
      </w:r>
      <w:r w:rsidRPr="00AD79C7">
        <w:rPr>
          <w:rFonts w:ascii="Abadi" w:hAnsi="Abadi"/>
          <w:b/>
          <w:bCs/>
          <w:sz w:val="21"/>
          <w:szCs w:val="21"/>
        </w:rPr>
        <w:t>de</w:t>
      </w:r>
      <w:r w:rsidRPr="00AD79C7">
        <w:rPr>
          <w:rFonts w:ascii="Abadi" w:hAnsi="Abadi"/>
          <w:b/>
          <w:bCs/>
          <w:spacing w:val="40"/>
          <w:sz w:val="21"/>
          <w:szCs w:val="21"/>
        </w:rPr>
        <w:t xml:space="preserve"> </w:t>
      </w:r>
      <w:r w:rsidRPr="00AD79C7">
        <w:rPr>
          <w:rFonts w:ascii="Abadi" w:hAnsi="Abadi"/>
          <w:b/>
          <w:bCs/>
          <w:sz w:val="21"/>
          <w:szCs w:val="21"/>
        </w:rPr>
        <w:t>2021,</w:t>
      </w:r>
      <w:r w:rsidRPr="00AD79C7">
        <w:rPr>
          <w:rFonts w:ascii="Abadi" w:hAnsi="Abadi"/>
          <w:b/>
          <w:bCs/>
          <w:spacing w:val="43"/>
          <w:sz w:val="21"/>
          <w:szCs w:val="21"/>
        </w:rPr>
        <w:t xml:space="preserve"> </w:t>
      </w:r>
      <w:r w:rsidRPr="00AD79C7">
        <w:rPr>
          <w:rFonts w:ascii="Abadi" w:hAnsi="Abadi"/>
          <w:b/>
          <w:bCs/>
          <w:sz w:val="21"/>
          <w:szCs w:val="21"/>
        </w:rPr>
        <w:t>se</w:t>
      </w:r>
      <w:r w:rsidRPr="00AD79C7">
        <w:rPr>
          <w:rFonts w:ascii="Abadi" w:hAnsi="Abadi"/>
          <w:b/>
          <w:bCs/>
          <w:spacing w:val="40"/>
          <w:sz w:val="21"/>
          <w:szCs w:val="21"/>
        </w:rPr>
        <w:t xml:space="preserve"> </w:t>
      </w:r>
      <w:r w:rsidRPr="00AD79C7">
        <w:rPr>
          <w:rFonts w:ascii="Abadi" w:hAnsi="Abadi"/>
          <w:b/>
          <w:bCs/>
          <w:sz w:val="21"/>
          <w:szCs w:val="21"/>
        </w:rPr>
        <w:t>destinen</w:t>
      </w:r>
      <w:r w:rsidRPr="00AD79C7">
        <w:rPr>
          <w:rFonts w:ascii="Abadi" w:hAnsi="Abadi"/>
          <w:b/>
          <w:bCs/>
          <w:spacing w:val="40"/>
          <w:sz w:val="21"/>
          <w:szCs w:val="21"/>
        </w:rPr>
        <w:t xml:space="preserve"> </w:t>
      </w:r>
      <w:r w:rsidRPr="00AD79C7">
        <w:rPr>
          <w:rFonts w:ascii="Abadi" w:hAnsi="Abadi"/>
          <w:b/>
          <w:bCs/>
          <w:sz w:val="21"/>
          <w:szCs w:val="21"/>
        </w:rPr>
        <w:t>a</w:t>
      </w:r>
      <w:r w:rsidRPr="00AD79C7">
        <w:rPr>
          <w:rFonts w:ascii="Abadi" w:hAnsi="Abadi"/>
          <w:b/>
          <w:bCs/>
          <w:spacing w:val="40"/>
          <w:sz w:val="21"/>
          <w:szCs w:val="21"/>
        </w:rPr>
        <w:t xml:space="preserve"> </w:t>
      </w:r>
      <w:r w:rsidRPr="00AD79C7">
        <w:rPr>
          <w:rFonts w:ascii="Abadi" w:hAnsi="Abadi"/>
          <w:b/>
          <w:bCs/>
          <w:sz w:val="21"/>
          <w:szCs w:val="21"/>
        </w:rPr>
        <w:t>proyectos</w:t>
      </w:r>
      <w:r w:rsidRPr="00AD79C7">
        <w:rPr>
          <w:rFonts w:ascii="Abadi" w:hAnsi="Abadi"/>
          <w:b/>
          <w:bCs/>
          <w:spacing w:val="40"/>
          <w:sz w:val="21"/>
          <w:szCs w:val="21"/>
        </w:rPr>
        <w:t xml:space="preserve"> </w:t>
      </w:r>
      <w:r w:rsidRPr="00AD79C7">
        <w:rPr>
          <w:rFonts w:ascii="Abadi" w:hAnsi="Abadi"/>
          <w:b/>
          <w:bCs/>
          <w:sz w:val="21"/>
          <w:szCs w:val="21"/>
        </w:rPr>
        <w:t>para</w:t>
      </w:r>
      <w:r w:rsidRPr="00AD79C7">
        <w:rPr>
          <w:rFonts w:ascii="Abadi" w:hAnsi="Abadi"/>
          <w:b/>
          <w:bCs/>
          <w:spacing w:val="40"/>
          <w:sz w:val="21"/>
          <w:szCs w:val="21"/>
        </w:rPr>
        <w:t xml:space="preserve"> </w:t>
      </w:r>
      <w:r w:rsidRPr="00AD79C7">
        <w:rPr>
          <w:rFonts w:ascii="Abadi" w:hAnsi="Abadi"/>
          <w:b/>
          <w:bCs/>
          <w:sz w:val="21"/>
          <w:szCs w:val="21"/>
        </w:rPr>
        <w:t>el</w:t>
      </w:r>
      <w:r w:rsidRPr="00AD79C7">
        <w:rPr>
          <w:rFonts w:ascii="Abadi" w:hAnsi="Abadi"/>
          <w:b/>
          <w:bCs/>
          <w:spacing w:val="40"/>
          <w:sz w:val="21"/>
          <w:szCs w:val="21"/>
        </w:rPr>
        <w:t xml:space="preserve"> </w:t>
      </w:r>
      <w:r w:rsidRPr="00AD79C7">
        <w:rPr>
          <w:rFonts w:ascii="Abadi" w:hAnsi="Abadi"/>
          <w:b/>
          <w:bCs/>
          <w:sz w:val="21"/>
          <w:szCs w:val="21"/>
        </w:rPr>
        <w:t>fortalecimiento</w:t>
      </w:r>
      <w:r w:rsidRPr="00AD79C7">
        <w:rPr>
          <w:rFonts w:ascii="Abadi" w:hAnsi="Abadi"/>
          <w:b/>
          <w:bCs/>
          <w:spacing w:val="40"/>
          <w:sz w:val="21"/>
          <w:szCs w:val="21"/>
        </w:rPr>
        <w:t xml:space="preserve"> </w:t>
      </w:r>
      <w:r w:rsidRPr="00AD79C7">
        <w:rPr>
          <w:rFonts w:ascii="Abadi" w:hAnsi="Abadi"/>
          <w:b/>
          <w:bCs/>
          <w:sz w:val="21"/>
          <w:szCs w:val="21"/>
        </w:rPr>
        <w:t>del</w:t>
      </w:r>
      <w:r w:rsidRPr="00AD79C7">
        <w:rPr>
          <w:rFonts w:ascii="Abadi" w:hAnsi="Abadi"/>
          <w:b/>
          <w:bCs/>
          <w:spacing w:val="-2"/>
          <w:sz w:val="21"/>
          <w:szCs w:val="21"/>
        </w:rPr>
        <w:t xml:space="preserve"> </w:t>
      </w:r>
      <w:r w:rsidRPr="00AD79C7">
        <w:rPr>
          <w:rFonts w:ascii="Abadi" w:hAnsi="Abadi"/>
          <w:b/>
          <w:bCs/>
          <w:sz w:val="21"/>
          <w:szCs w:val="21"/>
        </w:rPr>
        <w:t>sistema</w:t>
      </w:r>
      <w:r w:rsidRPr="00AD79C7">
        <w:rPr>
          <w:rFonts w:ascii="Abadi" w:hAnsi="Abadi"/>
          <w:b/>
          <w:bCs/>
          <w:spacing w:val="58"/>
          <w:sz w:val="21"/>
          <w:szCs w:val="21"/>
        </w:rPr>
        <w:t xml:space="preserve"> </w:t>
      </w:r>
      <w:r w:rsidRPr="00AD79C7">
        <w:rPr>
          <w:rFonts w:ascii="Abadi" w:hAnsi="Abadi"/>
          <w:b/>
          <w:bCs/>
          <w:sz w:val="21"/>
          <w:szCs w:val="21"/>
        </w:rPr>
        <w:t>de</w:t>
      </w:r>
      <w:r w:rsidRPr="00AD79C7">
        <w:rPr>
          <w:rFonts w:ascii="Abadi" w:hAnsi="Abadi"/>
          <w:b/>
          <w:bCs/>
          <w:spacing w:val="58"/>
          <w:sz w:val="21"/>
          <w:szCs w:val="21"/>
        </w:rPr>
        <w:t xml:space="preserve"> </w:t>
      </w:r>
      <w:r w:rsidRPr="00AD79C7">
        <w:rPr>
          <w:rFonts w:ascii="Abadi" w:hAnsi="Abadi"/>
          <w:b/>
          <w:bCs/>
          <w:sz w:val="21"/>
          <w:szCs w:val="21"/>
        </w:rPr>
        <w:t>seguridad</w:t>
      </w:r>
      <w:r w:rsidRPr="00AD79C7">
        <w:rPr>
          <w:rFonts w:ascii="Abadi" w:hAnsi="Abadi"/>
          <w:b/>
          <w:bCs/>
          <w:spacing w:val="58"/>
          <w:sz w:val="21"/>
          <w:szCs w:val="21"/>
        </w:rPr>
        <w:t xml:space="preserve"> </w:t>
      </w:r>
      <w:r w:rsidRPr="00AD79C7">
        <w:rPr>
          <w:rFonts w:ascii="Abadi" w:hAnsi="Abadi"/>
          <w:b/>
          <w:bCs/>
          <w:sz w:val="21"/>
          <w:szCs w:val="21"/>
        </w:rPr>
        <w:t>pública,</w:t>
      </w:r>
      <w:r w:rsidRPr="00AD79C7">
        <w:rPr>
          <w:rFonts w:ascii="Abadi" w:hAnsi="Abadi"/>
          <w:b/>
          <w:bCs/>
          <w:spacing w:val="58"/>
          <w:sz w:val="21"/>
          <w:szCs w:val="21"/>
        </w:rPr>
        <w:t xml:space="preserve"> </w:t>
      </w:r>
      <w:r w:rsidRPr="00AD79C7">
        <w:rPr>
          <w:rFonts w:ascii="Abadi" w:hAnsi="Abadi"/>
          <w:b/>
          <w:bCs/>
          <w:sz w:val="21"/>
          <w:szCs w:val="21"/>
        </w:rPr>
        <w:t>procuración</w:t>
      </w:r>
      <w:r w:rsidRPr="00AD79C7">
        <w:rPr>
          <w:rFonts w:ascii="Abadi" w:hAnsi="Abadi"/>
          <w:b/>
          <w:bCs/>
          <w:spacing w:val="58"/>
          <w:sz w:val="21"/>
          <w:szCs w:val="21"/>
        </w:rPr>
        <w:t xml:space="preserve"> </w:t>
      </w:r>
      <w:r w:rsidRPr="00AD79C7">
        <w:rPr>
          <w:rFonts w:ascii="Abadi" w:hAnsi="Abadi"/>
          <w:b/>
          <w:bCs/>
          <w:sz w:val="21"/>
          <w:szCs w:val="21"/>
        </w:rPr>
        <w:t>de</w:t>
      </w:r>
      <w:r w:rsidRPr="00AD79C7">
        <w:rPr>
          <w:rFonts w:ascii="Abadi" w:hAnsi="Abadi"/>
          <w:b/>
          <w:bCs/>
          <w:spacing w:val="58"/>
          <w:sz w:val="21"/>
          <w:szCs w:val="21"/>
        </w:rPr>
        <w:t xml:space="preserve"> </w:t>
      </w:r>
      <w:r w:rsidRPr="00AD79C7">
        <w:rPr>
          <w:rFonts w:ascii="Abadi" w:hAnsi="Abadi"/>
          <w:b/>
          <w:bCs/>
          <w:sz w:val="21"/>
          <w:szCs w:val="21"/>
        </w:rPr>
        <w:t>justicia</w:t>
      </w:r>
      <w:r w:rsidRPr="00AD79C7">
        <w:rPr>
          <w:rFonts w:ascii="Abadi" w:hAnsi="Abadi"/>
          <w:b/>
          <w:bCs/>
          <w:spacing w:val="58"/>
          <w:sz w:val="21"/>
          <w:szCs w:val="21"/>
        </w:rPr>
        <w:t xml:space="preserve"> </w:t>
      </w:r>
      <w:r w:rsidRPr="00AD79C7">
        <w:rPr>
          <w:rFonts w:ascii="Abadi" w:hAnsi="Abadi"/>
          <w:b/>
          <w:bCs/>
          <w:sz w:val="21"/>
          <w:szCs w:val="21"/>
        </w:rPr>
        <w:t>y</w:t>
      </w:r>
      <w:r w:rsidRPr="00AD79C7">
        <w:rPr>
          <w:rFonts w:ascii="Abadi" w:hAnsi="Abadi"/>
          <w:b/>
          <w:bCs/>
          <w:spacing w:val="58"/>
          <w:sz w:val="21"/>
          <w:szCs w:val="21"/>
        </w:rPr>
        <w:t xml:space="preserve"> </w:t>
      </w:r>
      <w:r w:rsidRPr="00AD79C7">
        <w:rPr>
          <w:rFonts w:ascii="Abadi" w:hAnsi="Abadi"/>
          <w:b/>
          <w:bCs/>
          <w:sz w:val="21"/>
          <w:szCs w:val="21"/>
        </w:rPr>
        <w:t>certeza</w:t>
      </w:r>
      <w:r w:rsidRPr="00AD79C7">
        <w:rPr>
          <w:rFonts w:ascii="Abadi" w:hAnsi="Abadi"/>
          <w:b/>
          <w:bCs/>
          <w:spacing w:val="58"/>
          <w:sz w:val="21"/>
          <w:szCs w:val="21"/>
        </w:rPr>
        <w:t xml:space="preserve"> </w:t>
      </w:r>
      <w:r w:rsidRPr="00AD79C7">
        <w:rPr>
          <w:rFonts w:ascii="Abadi" w:hAnsi="Abadi"/>
          <w:b/>
          <w:bCs/>
          <w:sz w:val="21"/>
          <w:szCs w:val="21"/>
        </w:rPr>
        <w:t>jurídica</w:t>
      </w:r>
      <w:r w:rsidRPr="00AD79C7">
        <w:rPr>
          <w:rFonts w:ascii="Abadi" w:hAnsi="Abadi"/>
          <w:b/>
          <w:bCs/>
          <w:spacing w:val="-2"/>
          <w:sz w:val="21"/>
          <w:szCs w:val="21"/>
        </w:rPr>
        <w:t xml:space="preserve"> </w:t>
      </w:r>
      <w:r w:rsidRPr="00AD79C7">
        <w:rPr>
          <w:rFonts w:ascii="Abadi" w:hAnsi="Abadi"/>
          <w:b/>
          <w:bCs/>
          <w:sz w:val="21"/>
          <w:szCs w:val="21"/>
        </w:rPr>
        <w:t>llevados</w:t>
      </w:r>
      <w:r w:rsidRPr="00AD79C7">
        <w:rPr>
          <w:rFonts w:ascii="Abadi" w:hAnsi="Abadi"/>
          <w:b/>
          <w:bCs/>
          <w:spacing w:val="22"/>
          <w:sz w:val="21"/>
          <w:szCs w:val="21"/>
        </w:rPr>
        <w:t xml:space="preserve"> </w:t>
      </w:r>
      <w:r w:rsidRPr="00AD79C7">
        <w:rPr>
          <w:rFonts w:ascii="Abadi" w:hAnsi="Abadi"/>
          <w:b/>
          <w:bCs/>
          <w:sz w:val="21"/>
          <w:szCs w:val="21"/>
        </w:rPr>
        <w:t>a</w:t>
      </w:r>
      <w:r w:rsidRPr="00AD79C7">
        <w:rPr>
          <w:rFonts w:ascii="Abadi" w:hAnsi="Abadi"/>
          <w:b/>
          <w:bCs/>
          <w:spacing w:val="22"/>
          <w:sz w:val="21"/>
          <w:szCs w:val="21"/>
        </w:rPr>
        <w:t xml:space="preserve"> </w:t>
      </w:r>
      <w:r w:rsidRPr="00AD79C7">
        <w:rPr>
          <w:rFonts w:ascii="Abadi" w:hAnsi="Abadi"/>
          <w:b/>
          <w:bCs/>
          <w:sz w:val="21"/>
          <w:szCs w:val="21"/>
        </w:rPr>
        <w:t>cabo</w:t>
      </w:r>
      <w:r w:rsidRPr="00AD79C7">
        <w:rPr>
          <w:rFonts w:ascii="Abadi" w:hAnsi="Abadi"/>
          <w:b/>
          <w:bCs/>
          <w:spacing w:val="21"/>
          <w:sz w:val="21"/>
          <w:szCs w:val="21"/>
        </w:rPr>
        <w:t xml:space="preserve"> </w:t>
      </w:r>
      <w:r w:rsidRPr="00AD79C7">
        <w:rPr>
          <w:rFonts w:ascii="Abadi" w:hAnsi="Abadi"/>
          <w:b/>
          <w:bCs/>
          <w:sz w:val="21"/>
          <w:szCs w:val="21"/>
        </w:rPr>
        <w:t>por</w:t>
      </w:r>
      <w:r w:rsidRPr="00AD79C7">
        <w:rPr>
          <w:rFonts w:ascii="Abadi" w:hAnsi="Abadi"/>
          <w:b/>
          <w:bCs/>
          <w:spacing w:val="21"/>
          <w:sz w:val="21"/>
          <w:szCs w:val="21"/>
        </w:rPr>
        <w:t xml:space="preserve"> </w:t>
      </w:r>
      <w:r w:rsidRPr="00AD79C7">
        <w:rPr>
          <w:rFonts w:ascii="Abadi" w:hAnsi="Abadi"/>
          <w:b/>
          <w:bCs/>
          <w:sz w:val="21"/>
          <w:szCs w:val="21"/>
        </w:rPr>
        <w:t>el</w:t>
      </w:r>
      <w:r w:rsidRPr="00AD79C7">
        <w:rPr>
          <w:rFonts w:ascii="Abadi" w:hAnsi="Abadi"/>
          <w:b/>
          <w:bCs/>
          <w:spacing w:val="21"/>
          <w:sz w:val="21"/>
          <w:szCs w:val="21"/>
        </w:rPr>
        <w:t xml:space="preserve"> </w:t>
      </w:r>
      <w:r w:rsidRPr="00AD79C7">
        <w:rPr>
          <w:rFonts w:ascii="Abadi" w:hAnsi="Abadi"/>
          <w:b/>
          <w:bCs/>
          <w:sz w:val="21"/>
          <w:szCs w:val="21"/>
        </w:rPr>
        <w:t>Poder</w:t>
      </w:r>
      <w:r w:rsidRPr="00AD79C7">
        <w:rPr>
          <w:rFonts w:ascii="Abadi" w:hAnsi="Abadi"/>
          <w:b/>
          <w:bCs/>
          <w:spacing w:val="21"/>
          <w:sz w:val="21"/>
          <w:szCs w:val="21"/>
        </w:rPr>
        <w:t xml:space="preserve"> </w:t>
      </w:r>
      <w:r w:rsidRPr="00AD79C7">
        <w:rPr>
          <w:rFonts w:ascii="Abadi" w:hAnsi="Abadi"/>
          <w:b/>
          <w:bCs/>
          <w:sz w:val="21"/>
          <w:szCs w:val="21"/>
        </w:rPr>
        <w:t>Ejecutivo</w:t>
      </w:r>
      <w:r w:rsidRPr="00AD79C7">
        <w:rPr>
          <w:rFonts w:ascii="Abadi" w:hAnsi="Abadi"/>
          <w:b/>
          <w:bCs/>
          <w:spacing w:val="22"/>
          <w:sz w:val="21"/>
          <w:szCs w:val="21"/>
        </w:rPr>
        <w:t xml:space="preserve"> </w:t>
      </w:r>
      <w:r w:rsidRPr="00AD79C7">
        <w:rPr>
          <w:rFonts w:ascii="Abadi" w:hAnsi="Abadi"/>
          <w:b/>
          <w:bCs/>
          <w:sz w:val="21"/>
          <w:szCs w:val="21"/>
        </w:rPr>
        <w:t>del</w:t>
      </w:r>
      <w:r w:rsidRPr="00AD79C7">
        <w:rPr>
          <w:rFonts w:ascii="Abadi" w:hAnsi="Abadi"/>
          <w:b/>
          <w:bCs/>
          <w:spacing w:val="21"/>
          <w:sz w:val="21"/>
          <w:szCs w:val="21"/>
        </w:rPr>
        <w:t xml:space="preserve"> </w:t>
      </w:r>
      <w:r w:rsidRPr="00AD79C7">
        <w:rPr>
          <w:rFonts w:ascii="Abadi" w:hAnsi="Abadi"/>
          <w:b/>
          <w:bCs/>
          <w:sz w:val="21"/>
          <w:szCs w:val="21"/>
        </w:rPr>
        <w:t>Estado</w:t>
      </w:r>
      <w:r w:rsidRPr="00AD79C7">
        <w:rPr>
          <w:rFonts w:ascii="Abadi" w:hAnsi="Abadi"/>
          <w:b/>
          <w:bCs/>
          <w:spacing w:val="22"/>
          <w:sz w:val="21"/>
          <w:szCs w:val="21"/>
        </w:rPr>
        <w:t xml:space="preserve"> </w:t>
      </w:r>
      <w:r w:rsidRPr="00AD79C7">
        <w:rPr>
          <w:rFonts w:ascii="Abadi" w:hAnsi="Abadi"/>
          <w:b/>
          <w:bCs/>
          <w:sz w:val="21"/>
          <w:szCs w:val="21"/>
        </w:rPr>
        <w:t>de</w:t>
      </w:r>
      <w:r w:rsidRPr="00AD79C7">
        <w:rPr>
          <w:rFonts w:ascii="Abadi" w:hAnsi="Abadi"/>
          <w:b/>
          <w:bCs/>
          <w:spacing w:val="22"/>
          <w:sz w:val="21"/>
          <w:szCs w:val="21"/>
        </w:rPr>
        <w:t xml:space="preserve"> </w:t>
      </w:r>
      <w:r w:rsidRPr="00AD79C7">
        <w:rPr>
          <w:rFonts w:ascii="Abadi" w:hAnsi="Abadi"/>
          <w:b/>
          <w:bCs/>
          <w:sz w:val="21"/>
          <w:szCs w:val="21"/>
        </w:rPr>
        <w:t>Guanajuato,</w:t>
      </w:r>
      <w:r w:rsidRPr="00AD79C7">
        <w:rPr>
          <w:rFonts w:ascii="Abadi" w:hAnsi="Abadi"/>
          <w:b/>
          <w:bCs/>
          <w:spacing w:val="21"/>
          <w:sz w:val="21"/>
          <w:szCs w:val="21"/>
        </w:rPr>
        <w:t xml:space="preserve"> </w:t>
      </w:r>
      <w:r w:rsidRPr="00AD79C7">
        <w:rPr>
          <w:rFonts w:ascii="Abadi" w:hAnsi="Abadi"/>
          <w:b/>
          <w:bCs/>
          <w:sz w:val="21"/>
          <w:szCs w:val="21"/>
        </w:rPr>
        <w:t>la</w:t>
      </w:r>
      <w:r w:rsidRPr="00AD79C7">
        <w:rPr>
          <w:rFonts w:ascii="Abadi" w:hAnsi="Abadi"/>
          <w:b/>
          <w:bCs/>
          <w:spacing w:val="22"/>
          <w:sz w:val="21"/>
          <w:szCs w:val="21"/>
        </w:rPr>
        <w:t xml:space="preserve"> </w:t>
      </w:r>
      <w:r w:rsidRPr="00AD79C7">
        <w:rPr>
          <w:rFonts w:ascii="Abadi" w:hAnsi="Abadi"/>
          <w:b/>
          <w:bCs/>
          <w:sz w:val="21"/>
          <w:szCs w:val="21"/>
        </w:rPr>
        <w:t>cual</w:t>
      </w:r>
      <w:r w:rsidRPr="00AD79C7">
        <w:rPr>
          <w:rFonts w:ascii="Abadi" w:hAnsi="Abadi"/>
          <w:b/>
          <w:bCs/>
          <w:spacing w:val="-2"/>
          <w:sz w:val="21"/>
          <w:szCs w:val="21"/>
        </w:rPr>
        <w:t xml:space="preserve"> </w:t>
      </w:r>
      <w:r w:rsidRPr="00AD79C7">
        <w:rPr>
          <w:rFonts w:ascii="Abadi" w:hAnsi="Abadi"/>
          <w:b/>
          <w:bCs/>
          <w:sz w:val="21"/>
          <w:szCs w:val="21"/>
        </w:rPr>
        <w:t>deberá</w:t>
      </w:r>
      <w:r w:rsidRPr="00AD79C7">
        <w:rPr>
          <w:rFonts w:ascii="Abadi" w:hAnsi="Abadi"/>
          <w:b/>
          <w:bCs/>
          <w:spacing w:val="18"/>
          <w:sz w:val="21"/>
          <w:szCs w:val="21"/>
        </w:rPr>
        <w:t xml:space="preserve"> </w:t>
      </w:r>
      <w:r w:rsidRPr="00AD79C7">
        <w:rPr>
          <w:rFonts w:ascii="Abadi" w:hAnsi="Abadi"/>
          <w:b/>
          <w:bCs/>
          <w:sz w:val="21"/>
          <w:szCs w:val="21"/>
        </w:rPr>
        <w:t>realizarse</w:t>
      </w:r>
      <w:r w:rsidRPr="00AD79C7">
        <w:rPr>
          <w:rFonts w:ascii="Abadi" w:hAnsi="Abadi"/>
          <w:b/>
          <w:bCs/>
          <w:spacing w:val="18"/>
          <w:sz w:val="21"/>
          <w:szCs w:val="21"/>
        </w:rPr>
        <w:t xml:space="preserve"> </w:t>
      </w:r>
      <w:r w:rsidRPr="00AD79C7">
        <w:rPr>
          <w:rFonts w:ascii="Abadi" w:hAnsi="Abadi"/>
          <w:b/>
          <w:bCs/>
          <w:sz w:val="21"/>
          <w:szCs w:val="21"/>
        </w:rPr>
        <w:t>de</w:t>
      </w:r>
      <w:r w:rsidRPr="00AD79C7">
        <w:rPr>
          <w:rFonts w:ascii="Abadi" w:hAnsi="Abadi"/>
          <w:b/>
          <w:bCs/>
          <w:spacing w:val="17"/>
          <w:sz w:val="21"/>
          <w:szCs w:val="21"/>
        </w:rPr>
        <w:t xml:space="preserve"> </w:t>
      </w:r>
      <w:r w:rsidRPr="00AD79C7">
        <w:rPr>
          <w:rFonts w:ascii="Abadi" w:hAnsi="Abadi"/>
          <w:b/>
          <w:bCs/>
          <w:sz w:val="21"/>
          <w:szCs w:val="21"/>
        </w:rPr>
        <w:t>manera</w:t>
      </w:r>
      <w:r w:rsidRPr="00AD79C7">
        <w:rPr>
          <w:rFonts w:ascii="Abadi" w:hAnsi="Abadi"/>
          <w:b/>
          <w:bCs/>
          <w:spacing w:val="18"/>
          <w:sz w:val="21"/>
          <w:szCs w:val="21"/>
        </w:rPr>
        <w:t xml:space="preserve"> </w:t>
      </w:r>
      <w:r w:rsidRPr="00AD79C7">
        <w:rPr>
          <w:rFonts w:ascii="Abadi" w:hAnsi="Abadi"/>
          <w:b/>
          <w:bCs/>
          <w:sz w:val="21"/>
          <w:szCs w:val="21"/>
        </w:rPr>
        <w:t>concomitante</w:t>
      </w:r>
      <w:r w:rsidRPr="00AD79C7">
        <w:rPr>
          <w:rFonts w:ascii="Abadi" w:hAnsi="Abadi"/>
          <w:b/>
          <w:bCs/>
          <w:spacing w:val="18"/>
          <w:sz w:val="21"/>
          <w:szCs w:val="21"/>
        </w:rPr>
        <w:t xml:space="preserve"> </w:t>
      </w:r>
      <w:r w:rsidRPr="00AD79C7">
        <w:rPr>
          <w:rFonts w:ascii="Abadi" w:hAnsi="Abadi"/>
          <w:b/>
          <w:bCs/>
          <w:sz w:val="21"/>
          <w:szCs w:val="21"/>
        </w:rPr>
        <w:t>a</w:t>
      </w:r>
      <w:r w:rsidRPr="00AD79C7">
        <w:rPr>
          <w:rFonts w:ascii="Abadi" w:hAnsi="Abadi"/>
          <w:b/>
          <w:bCs/>
          <w:spacing w:val="18"/>
          <w:sz w:val="21"/>
          <w:szCs w:val="21"/>
        </w:rPr>
        <w:t xml:space="preserve"> </w:t>
      </w:r>
      <w:r w:rsidRPr="00AD79C7">
        <w:rPr>
          <w:rFonts w:ascii="Abadi" w:hAnsi="Abadi"/>
          <w:b/>
          <w:bCs/>
          <w:sz w:val="21"/>
          <w:szCs w:val="21"/>
        </w:rPr>
        <w:t>partir</w:t>
      </w:r>
      <w:r w:rsidRPr="00AD79C7">
        <w:rPr>
          <w:rFonts w:ascii="Abadi" w:hAnsi="Abadi"/>
          <w:b/>
          <w:bCs/>
          <w:spacing w:val="17"/>
          <w:sz w:val="21"/>
          <w:szCs w:val="21"/>
        </w:rPr>
        <w:t xml:space="preserve"> </w:t>
      </w:r>
      <w:r w:rsidRPr="00AD79C7">
        <w:rPr>
          <w:rFonts w:ascii="Abadi" w:hAnsi="Abadi"/>
          <w:b/>
          <w:bCs/>
          <w:sz w:val="21"/>
          <w:szCs w:val="21"/>
        </w:rPr>
        <w:t>de</w:t>
      </w:r>
      <w:r w:rsidRPr="00AD79C7">
        <w:rPr>
          <w:rFonts w:ascii="Abadi" w:hAnsi="Abadi"/>
          <w:b/>
          <w:bCs/>
          <w:spacing w:val="18"/>
          <w:sz w:val="21"/>
          <w:szCs w:val="21"/>
        </w:rPr>
        <w:t xml:space="preserve"> </w:t>
      </w:r>
      <w:r w:rsidRPr="00AD79C7">
        <w:rPr>
          <w:rFonts w:ascii="Abadi" w:hAnsi="Abadi"/>
          <w:b/>
          <w:bCs/>
          <w:sz w:val="21"/>
          <w:szCs w:val="21"/>
        </w:rPr>
        <w:t>la</w:t>
      </w:r>
      <w:r w:rsidRPr="00AD79C7">
        <w:rPr>
          <w:rFonts w:ascii="Abadi" w:hAnsi="Abadi"/>
          <w:b/>
          <w:bCs/>
          <w:spacing w:val="18"/>
          <w:sz w:val="21"/>
          <w:szCs w:val="21"/>
        </w:rPr>
        <w:t xml:space="preserve"> </w:t>
      </w:r>
      <w:r w:rsidRPr="00AD79C7">
        <w:rPr>
          <w:rFonts w:ascii="Abadi" w:hAnsi="Abadi"/>
          <w:b/>
          <w:bCs/>
          <w:sz w:val="21"/>
          <w:szCs w:val="21"/>
        </w:rPr>
        <w:t>programación</w:t>
      </w:r>
      <w:r w:rsidRPr="00AD79C7">
        <w:rPr>
          <w:rFonts w:ascii="Abadi" w:hAnsi="Abadi"/>
          <w:b/>
          <w:bCs/>
          <w:spacing w:val="18"/>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dichos</w:t>
      </w:r>
      <w:r w:rsidRPr="00AD79C7">
        <w:rPr>
          <w:rFonts w:ascii="Abadi" w:hAnsi="Abadi"/>
          <w:b/>
          <w:bCs/>
          <w:spacing w:val="9"/>
          <w:sz w:val="21"/>
          <w:szCs w:val="21"/>
        </w:rPr>
        <w:t xml:space="preserve"> </w:t>
      </w:r>
      <w:r w:rsidRPr="00AD79C7">
        <w:rPr>
          <w:rFonts w:ascii="Abadi" w:hAnsi="Abadi"/>
          <w:b/>
          <w:bCs/>
          <w:sz w:val="21"/>
          <w:szCs w:val="21"/>
        </w:rPr>
        <w:t>recursos,</w:t>
      </w:r>
      <w:r w:rsidRPr="00AD79C7">
        <w:rPr>
          <w:rFonts w:ascii="Abadi" w:hAnsi="Abadi"/>
          <w:b/>
          <w:bCs/>
          <w:spacing w:val="8"/>
          <w:sz w:val="21"/>
          <w:szCs w:val="21"/>
        </w:rPr>
        <w:t xml:space="preserve"> </w:t>
      </w:r>
      <w:r w:rsidRPr="00AD79C7">
        <w:rPr>
          <w:rFonts w:ascii="Abadi" w:hAnsi="Abadi"/>
          <w:b/>
          <w:bCs/>
          <w:sz w:val="21"/>
          <w:szCs w:val="21"/>
        </w:rPr>
        <w:t>abarcando</w:t>
      </w:r>
      <w:r w:rsidRPr="00AD79C7">
        <w:rPr>
          <w:rFonts w:ascii="Abadi" w:hAnsi="Abadi"/>
          <w:b/>
          <w:bCs/>
          <w:spacing w:val="9"/>
          <w:sz w:val="21"/>
          <w:szCs w:val="21"/>
        </w:rPr>
        <w:t xml:space="preserve"> </w:t>
      </w:r>
      <w:r w:rsidRPr="00AD79C7">
        <w:rPr>
          <w:rFonts w:ascii="Abadi" w:hAnsi="Abadi"/>
          <w:b/>
          <w:bCs/>
          <w:sz w:val="21"/>
          <w:szCs w:val="21"/>
        </w:rPr>
        <w:t>los</w:t>
      </w:r>
      <w:r w:rsidRPr="00AD79C7">
        <w:rPr>
          <w:rFonts w:ascii="Abadi" w:hAnsi="Abadi"/>
          <w:b/>
          <w:bCs/>
          <w:spacing w:val="9"/>
          <w:sz w:val="21"/>
          <w:szCs w:val="21"/>
        </w:rPr>
        <w:t xml:space="preserve"> </w:t>
      </w:r>
      <w:r w:rsidRPr="00AD79C7">
        <w:rPr>
          <w:rFonts w:ascii="Abadi" w:hAnsi="Abadi"/>
          <w:b/>
          <w:bCs/>
          <w:sz w:val="21"/>
          <w:szCs w:val="21"/>
        </w:rPr>
        <w:t>ejercicios</w:t>
      </w:r>
      <w:r w:rsidRPr="00AD79C7">
        <w:rPr>
          <w:rFonts w:ascii="Abadi" w:hAnsi="Abadi"/>
          <w:b/>
          <w:bCs/>
          <w:spacing w:val="9"/>
          <w:sz w:val="21"/>
          <w:szCs w:val="21"/>
        </w:rPr>
        <w:t xml:space="preserve"> </w:t>
      </w:r>
      <w:r w:rsidRPr="00AD79C7">
        <w:rPr>
          <w:rFonts w:ascii="Abadi" w:hAnsi="Abadi"/>
          <w:b/>
          <w:bCs/>
          <w:sz w:val="21"/>
          <w:szCs w:val="21"/>
        </w:rPr>
        <w:t>fiscales</w:t>
      </w:r>
      <w:r w:rsidRPr="00AD79C7">
        <w:rPr>
          <w:rFonts w:ascii="Abadi" w:hAnsi="Abadi"/>
          <w:b/>
          <w:bCs/>
          <w:spacing w:val="9"/>
          <w:sz w:val="21"/>
          <w:szCs w:val="21"/>
        </w:rPr>
        <w:t xml:space="preserve"> </w:t>
      </w:r>
      <w:r w:rsidRPr="00AD79C7">
        <w:rPr>
          <w:rFonts w:ascii="Abadi" w:hAnsi="Abadi"/>
          <w:b/>
          <w:bCs/>
          <w:sz w:val="21"/>
          <w:szCs w:val="21"/>
        </w:rPr>
        <w:t>necesarios</w:t>
      </w:r>
      <w:r w:rsidRPr="00AD79C7">
        <w:rPr>
          <w:rFonts w:ascii="Abadi" w:hAnsi="Abadi"/>
          <w:b/>
          <w:bCs/>
          <w:spacing w:val="9"/>
          <w:sz w:val="21"/>
          <w:szCs w:val="21"/>
        </w:rPr>
        <w:t xml:space="preserve"> </w:t>
      </w:r>
      <w:r w:rsidRPr="00AD79C7">
        <w:rPr>
          <w:rFonts w:ascii="Abadi" w:hAnsi="Abadi"/>
          <w:b/>
          <w:bCs/>
          <w:sz w:val="21"/>
          <w:szCs w:val="21"/>
        </w:rPr>
        <w:t>hasta</w:t>
      </w:r>
      <w:r w:rsidRPr="00AD79C7">
        <w:rPr>
          <w:rFonts w:ascii="Abadi" w:hAnsi="Abadi"/>
          <w:b/>
          <w:bCs/>
          <w:spacing w:val="9"/>
          <w:sz w:val="21"/>
          <w:szCs w:val="21"/>
        </w:rPr>
        <w:t xml:space="preserve"> </w:t>
      </w:r>
      <w:r w:rsidRPr="00AD79C7">
        <w:rPr>
          <w:rFonts w:ascii="Abadi" w:hAnsi="Abadi"/>
          <w:b/>
          <w:bCs/>
          <w:sz w:val="21"/>
          <w:szCs w:val="21"/>
        </w:rPr>
        <w:t>que</w:t>
      </w:r>
      <w:r w:rsidRPr="00AD79C7">
        <w:rPr>
          <w:rFonts w:ascii="Abadi" w:hAnsi="Abadi"/>
          <w:b/>
          <w:bCs/>
          <w:spacing w:val="9"/>
          <w:sz w:val="21"/>
          <w:szCs w:val="21"/>
        </w:rPr>
        <w:t xml:space="preserve"> </w:t>
      </w:r>
      <w:r w:rsidRPr="00AD79C7">
        <w:rPr>
          <w:rFonts w:ascii="Abadi" w:hAnsi="Abadi"/>
          <w:b/>
          <w:bCs/>
          <w:sz w:val="21"/>
          <w:szCs w:val="21"/>
        </w:rPr>
        <w:t>se</w:t>
      </w:r>
      <w:r w:rsidRPr="00AD79C7">
        <w:rPr>
          <w:rFonts w:ascii="Abadi" w:hAnsi="Abadi"/>
          <w:b/>
          <w:bCs/>
          <w:spacing w:val="-2"/>
          <w:sz w:val="21"/>
          <w:szCs w:val="21"/>
        </w:rPr>
        <w:t xml:space="preserve"> </w:t>
      </w:r>
      <w:r w:rsidRPr="00AD79C7">
        <w:rPr>
          <w:rFonts w:ascii="Abadi" w:hAnsi="Abadi"/>
          <w:b/>
          <w:bCs/>
          <w:sz w:val="21"/>
          <w:szCs w:val="21"/>
        </w:rPr>
        <w:t>completen</w:t>
      </w:r>
      <w:r w:rsidRPr="00AD79C7">
        <w:rPr>
          <w:rFonts w:ascii="Abadi" w:hAnsi="Abadi"/>
          <w:b/>
          <w:bCs/>
          <w:spacing w:val="-1"/>
          <w:sz w:val="21"/>
          <w:szCs w:val="21"/>
        </w:rPr>
        <w:t xml:space="preserve"> </w:t>
      </w:r>
      <w:r w:rsidRPr="00AD79C7">
        <w:rPr>
          <w:rFonts w:ascii="Abadi" w:hAnsi="Abadi"/>
          <w:b/>
          <w:bCs/>
          <w:sz w:val="21"/>
          <w:szCs w:val="21"/>
        </w:rPr>
        <w:t>los</w:t>
      </w:r>
      <w:r w:rsidRPr="00AD79C7">
        <w:rPr>
          <w:rFonts w:ascii="Abadi" w:hAnsi="Abadi"/>
          <w:b/>
          <w:bCs/>
          <w:spacing w:val="-1"/>
          <w:sz w:val="21"/>
          <w:szCs w:val="21"/>
        </w:rPr>
        <w:t xml:space="preserve"> </w:t>
      </w:r>
      <w:r w:rsidRPr="00AD79C7">
        <w:rPr>
          <w:rFonts w:ascii="Abadi" w:hAnsi="Abadi"/>
          <w:b/>
          <w:bCs/>
          <w:sz w:val="21"/>
          <w:szCs w:val="21"/>
        </w:rPr>
        <w:t>proyectos</w:t>
      </w:r>
      <w:r w:rsidRPr="00AD79C7">
        <w:rPr>
          <w:rFonts w:ascii="Abadi" w:hAnsi="Abadi"/>
          <w:b/>
          <w:bCs/>
          <w:spacing w:val="-1"/>
          <w:sz w:val="21"/>
          <w:szCs w:val="21"/>
        </w:rPr>
        <w:t xml:space="preserve"> </w:t>
      </w:r>
      <w:r w:rsidRPr="00AD79C7">
        <w:rPr>
          <w:rFonts w:ascii="Abadi" w:hAnsi="Abadi"/>
          <w:b/>
          <w:bCs/>
          <w:sz w:val="21"/>
          <w:szCs w:val="21"/>
        </w:rPr>
        <w:t>que</w:t>
      </w:r>
      <w:r w:rsidRPr="00AD79C7">
        <w:rPr>
          <w:rFonts w:ascii="Abadi" w:hAnsi="Abadi"/>
          <w:b/>
          <w:bCs/>
          <w:spacing w:val="-1"/>
          <w:sz w:val="21"/>
          <w:szCs w:val="21"/>
        </w:rPr>
        <w:t xml:space="preserve"> </w:t>
      </w:r>
      <w:r w:rsidRPr="00AD79C7">
        <w:rPr>
          <w:rFonts w:ascii="Abadi" w:hAnsi="Abadi"/>
          <w:b/>
          <w:bCs/>
          <w:sz w:val="21"/>
          <w:szCs w:val="21"/>
        </w:rPr>
        <w:t>se</w:t>
      </w:r>
      <w:r w:rsidRPr="00AD79C7">
        <w:rPr>
          <w:rFonts w:ascii="Abadi" w:hAnsi="Abadi"/>
          <w:b/>
          <w:bCs/>
          <w:spacing w:val="-1"/>
          <w:sz w:val="21"/>
          <w:szCs w:val="21"/>
        </w:rPr>
        <w:t xml:space="preserve"> </w:t>
      </w:r>
      <w:r w:rsidRPr="00AD79C7">
        <w:rPr>
          <w:rFonts w:ascii="Abadi" w:hAnsi="Abadi"/>
          <w:b/>
          <w:bCs/>
          <w:sz w:val="21"/>
          <w:szCs w:val="21"/>
        </w:rPr>
        <w:t>lleven</w:t>
      </w:r>
      <w:r w:rsidRPr="00AD79C7">
        <w:rPr>
          <w:rFonts w:ascii="Abadi" w:hAnsi="Abadi"/>
          <w:b/>
          <w:bCs/>
          <w:spacing w:val="-1"/>
          <w:sz w:val="21"/>
          <w:szCs w:val="21"/>
        </w:rPr>
        <w:t xml:space="preserve"> </w:t>
      </w:r>
      <w:r w:rsidRPr="00AD79C7">
        <w:rPr>
          <w:rFonts w:ascii="Abadi" w:hAnsi="Abadi"/>
          <w:b/>
          <w:bCs/>
          <w:sz w:val="21"/>
          <w:szCs w:val="21"/>
        </w:rPr>
        <w:t>a</w:t>
      </w:r>
      <w:r w:rsidRPr="00AD79C7">
        <w:rPr>
          <w:rFonts w:ascii="Abadi" w:hAnsi="Abadi"/>
          <w:b/>
          <w:bCs/>
          <w:spacing w:val="-1"/>
          <w:sz w:val="21"/>
          <w:szCs w:val="21"/>
        </w:rPr>
        <w:t xml:space="preserve"> </w:t>
      </w:r>
      <w:r w:rsidRPr="00AD79C7">
        <w:rPr>
          <w:rFonts w:ascii="Abadi" w:hAnsi="Abadi"/>
          <w:b/>
          <w:bCs/>
          <w:sz w:val="21"/>
          <w:szCs w:val="21"/>
        </w:rPr>
        <w:t>cabo</w:t>
      </w:r>
      <w:r w:rsidRPr="00AD79C7">
        <w:rPr>
          <w:rFonts w:ascii="Abadi" w:hAnsi="Abadi"/>
          <w:b/>
          <w:bCs/>
          <w:spacing w:val="-1"/>
          <w:sz w:val="21"/>
          <w:szCs w:val="21"/>
        </w:rPr>
        <w:t xml:space="preserve"> </w:t>
      </w:r>
      <w:r w:rsidRPr="00AD79C7">
        <w:rPr>
          <w:rFonts w:ascii="Abadi" w:hAnsi="Abadi"/>
          <w:b/>
          <w:bCs/>
          <w:sz w:val="21"/>
          <w:szCs w:val="21"/>
        </w:rPr>
        <w:t>en</w:t>
      </w:r>
      <w:r w:rsidRPr="00AD79C7">
        <w:rPr>
          <w:rFonts w:ascii="Abadi" w:hAnsi="Abadi"/>
          <w:b/>
          <w:bCs/>
          <w:spacing w:val="-1"/>
          <w:sz w:val="21"/>
          <w:szCs w:val="21"/>
        </w:rPr>
        <w:t xml:space="preserve"> </w:t>
      </w:r>
      <w:r w:rsidRPr="00AD79C7">
        <w:rPr>
          <w:rFonts w:ascii="Abadi" w:hAnsi="Abadi"/>
          <w:b/>
          <w:bCs/>
          <w:sz w:val="21"/>
          <w:szCs w:val="21"/>
        </w:rPr>
        <w:t>tal</w:t>
      </w:r>
      <w:r w:rsidRPr="00AD79C7">
        <w:rPr>
          <w:rFonts w:ascii="Abadi" w:hAnsi="Abadi"/>
          <w:b/>
          <w:bCs/>
          <w:spacing w:val="-1"/>
          <w:sz w:val="21"/>
          <w:szCs w:val="21"/>
        </w:rPr>
        <w:t xml:space="preserve"> </w:t>
      </w:r>
      <w:r w:rsidRPr="00AD79C7">
        <w:rPr>
          <w:rFonts w:ascii="Abadi" w:hAnsi="Abadi"/>
          <w:b/>
          <w:bCs/>
          <w:sz w:val="21"/>
          <w:szCs w:val="21"/>
        </w:rPr>
        <w:t>rubro.</w:t>
      </w:r>
    </w:p>
    <w:p w14:paraId="0A50C2F9" w14:textId="77777777" w:rsidR="006B4A0F" w:rsidRDefault="006B4A0F" w:rsidP="006B4A0F">
      <w:pPr>
        <w:pStyle w:val="Prrafodelista"/>
        <w:tabs>
          <w:tab w:val="left" w:pos="856"/>
        </w:tabs>
        <w:kinsoku w:val="0"/>
        <w:overflowPunct w:val="0"/>
        <w:autoSpaceDE w:val="0"/>
        <w:autoSpaceDN w:val="0"/>
        <w:adjustRightInd w:val="0"/>
        <w:spacing w:before="220"/>
        <w:ind w:left="720" w:right="17"/>
        <w:jc w:val="both"/>
        <w:rPr>
          <w:rFonts w:ascii="Abadi" w:hAnsi="Abadi"/>
          <w:b/>
          <w:bCs/>
          <w:sz w:val="21"/>
          <w:szCs w:val="21"/>
        </w:rPr>
      </w:pPr>
    </w:p>
    <w:p w14:paraId="40D4FC18" w14:textId="1CADB805" w:rsidR="006B4A0F" w:rsidRDefault="006B4A0F"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80"/>
          <w:sz w:val="21"/>
          <w:szCs w:val="21"/>
        </w:rPr>
        <w:t xml:space="preserve"> </w:t>
      </w:r>
      <w:r w:rsidRPr="00AD79C7">
        <w:rPr>
          <w:rFonts w:ascii="Abadi" w:hAnsi="Abadi"/>
          <w:b/>
          <w:bCs/>
          <w:sz w:val="21"/>
          <w:szCs w:val="21"/>
        </w:rPr>
        <w:t>y,</w:t>
      </w:r>
      <w:r w:rsidRPr="00AD79C7">
        <w:rPr>
          <w:rFonts w:ascii="Abadi" w:hAnsi="Abadi"/>
          <w:b/>
          <w:bCs/>
          <w:spacing w:val="80"/>
          <w:sz w:val="21"/>
          <w:szCs w:val="21"/>
        </w:rPr>
        <w:t xml:space="preserve"> </w:t>
      </w:r>
      <w:r w:rsidRPr="00AD79C7">
        <w:rPr>
          <w:rFonts w:ascii="Abadi" w:hAnsi="Abadi"/>
          <w:b/>
          <w:bCs/>
          <w:sz w:val="21"/>
          <w:szCs w:val="21"/>
        </w:rPr>
        <w:t>en</w:t>
      </w:r>
      <w:r w:rsidRPr="00AD79C7">
        <w:rPr>
          <w:rFonts w:ascii="Abadi" w:hAnsi="Abadi"/>
          <w:b/>
          <w:bCs/>
          <w:spacing w:val="80"/>
          <w:sz w:val="21"/>
          <w:szCs w:val="21"/>
        </w:rPr>
        <w:t xml:space="preserve"> </w:t>
      </w:r>
      <w:r w:rsidRPr="00AD79C7">
        <w:rPr>
          <w:rFonts w:ascii="Abadi" w:hAnsi="Abadi"/>
          <w:b/>
          <w:bCs/>
          <w:sz w:val="21"/>
          <w:szCs w:val="21"/>
        </w:rPr>
        <w:t>su</w:t>
      </w:r>
      <w:r w:rsidRPr="00AD79C7">
        <w:rPr>
          <w:rFonts w:ascii="Abadi" w:hAnsi="Abadi"/>
          <w:b/>
          <w:bCs/>
          <w:spacing w:val="80"/>
          <w:sz w:val="21"/>
          <w:szCs w:val="21"/>
        </w:rPr>
        <w:t xml:space="preserve"> </w:t>
      </w:r>
      <w:r w:rsidRPr="00AD79C7">
        <w:rPr>
          <w:rFonts w:ascii="Abadi" w:hAnsi="Abadi"/>
          <w:b/>
          <w:bCs/>
          <w:sz w:val="21"/>
          <w:szCs w:val="21"/>
        </w:rPr>
        <w:t>caso,</w:t>
      </w:r>
      <w:r w:rsidRPr="00AD79C7">
        <w:rPr>
          <w:rFonts w:ascii="Abadi" w:hAnsi="Abadi"/>
          <w:b/>
          <w:bCs/>
          <w:spacing w:val="80"/>
          <w:sz w:val="21"/>
          <w:szCs w:val="21"/>
        </w:rPr>
        <w:t xml:space="preserve"> </w:t>
      </w:r>
      <w:r w:rsidRPr="00AD79C7">
        <w:rPr>
          <w:rFonts w:ascii="Abadi" w:hAnsi="Abadi"/>
          <w:b/>
          <w:bCs/>
          <w:sz w:val="21"/>
          <w:szCs w:val="21"/>
        </w:rPr>
        <w:t>aprobación</w:t>
      </w:r>
      <w:r w:rsidRPr="00AD79C7">
        <w:rPr>
          <w:rFonts w:ascii="Abadi" w:hAnsi="Abadi"/>
          <w:b/>
          <w:bCs/>
          <w:spacing w:val="80"/>
          <w:sz w:val="21"/>
          <w:szCs w:val="21"/>
        </w:rPr>
        <w:t xml:space="preserve"> </w:t>
      </w:r>
      <w:r w:rsidRPr="00AD79C7">
        <w:rPr>
          <w:rFonts w:ascii="Abadi" w:hAnsi="Abadi"/>
          <w:b/>
          <w:bCs/>
          <w:sz w:val="21"/>
          <w:szCs w:val="21"/>
        </w:rPr>
        <w:t>del</w:t>
      </w:r>
      <w:r w:rsidRPr="00AD79C7">
        <w:rPr>
          <w:rFonts w:ascii="Abadi" w:hAnsi="Abadi"/>
          <w:b/>
          <w:bCs/>
          <w:spacing w:val="80"/>
          <w:sz w:val="21"/>
          <w:szCs w:val="21"/>
        </w:rPr>
        <w:t xml:space="preserve"> </w:t>
      </w:r>
      <w:r w:rsidRPr="00AD79C7">
        <w:rPr>
          <w:rFonts w:ascii="Abadi" w:hAnsi="Abadi"/>
          <w:b/>
          <w:bCs/>
          <w:sz w:val="21"/>
          <w:szCs w:val="21"/>
        </w:rPr>
        <w:t>dictamen</w:t>
      </w:r>
      <w:r w:rsidRPr="00AD79C7">
        <w:rPr>
          <w:rFonts w:ascii="Abadi" w:hAnsi="Abadi"/>
          <w:b/>
          <w:bCs/>
          <w:spacing w:val="80"/>
          <w:sz w:val="21"/>
          <w:szCs w:val="21"/>
        </w:rPr>
        <w:t xml:space="preserve"> </w:t>
      </w:r>
      <w:r w:rsidRPr="00AD79C7">
        <w:rPr>
          <w:rFonts w:ascii="Abadi" w:hAnsi="Abadi"/>
          <w:b/>
          <w:bCs/>
          <w:sz w:val="21"/>
          <w:szCs w:val="21"/>
        </w:rPr>
        <w:t>presentado</w:t>
      </w:r>
      <w:r w:rsidRPr="00AD79C7">
        <w:rPr>
          <w:rFonts w:ascii="Abadi" w:hAnsi="Abadi"/>
          <w:b/>
          <w:bCs/>
          <w:spacing w:val="80"/>
          <w:sz w:val="21"/>
          <w:szCs w:val="21"/>
        </w:rPr>
        <w:t xml:space="preserve"> </w:t>
      </w:r>
      <w:r w:rsidRPr="00AD79C7">
        <w:rPr>
          <w:rFonts w:ascii="Abadi" w:hAnsi="Abadi"/>
          <w:b/>
          <w:bCs/>
          <w:sz w:val="21"/>
          <w:szCs w:val="21"/>
        </w:rPr>
        <w:t>por</w:t>
      </w:r>
      <w:r w:rsidRPr="00AD79C7">
        <w:rPr>
          <w:rFonts w:ascii="Abadi" w:hAnsi="Abadi"/>
          <w:b/>
          <w:bCs/>
          <w:spacing w:val="80"/>
          <w:sz w:val="21"/>
          <w:szCs w:val="21"/>
        </w:rPr>
        <w:t xml:space="preserve"> </w:t>
      </w:r>
      <w:r w:rsidRPr="00AD79C7">
        <w:rPr>
          <w:rFonts w:ascii="Abadi" w:hAnsi="Abadi"/>
          <w:b/>
          <w:bCs/>
          <w:sz w:val="21"/>
          <w:szCs w:val="21"/>
        </w:rPr>
        <w:t>la Comisión de Hacienda y Fiscalización relativo a la propuesta formulada por el</w:t>
      </w:r>
      <w:r w:rsidRPr="00AD79C7">
        <w:rPr>
          <w:rFonts w:ascii="Abadi" w:hAnsi="Abadi"/>
          <w:b/>
          <w:bCs/>
          <w:spacing w:val="33"/>
          <w:sz w:val="21"/>
          <w:szCs w:val="21"/>
        </w:rPr>
        <w:t xml:space="preserve"> </w:t>
      </w:r>
      <w:r w:rsidRPr="00AD79C7">
        <w:rPr>
          <w:rFonts w:ascii="Abadi" w:hAnsi="Abadi"/>
          <w:b/>
          <w:bCs/>
          <w:sz w:val="21"/>
          <w:szCs w:val="21"/>
        </w:rPr>
        <w:t>ayuntamiento</w:t>
      </w:r>
      <w:r w:rsidRPr="00AD79C7">
        <w:rPr>
          <w:rFonts w:ascii="Abadi" w:hAnsi="Abadi"/>
          <w:b/>
          <w:bCs/>
          <w:spacing w:val="34"/>
          <w:sz w:val="21"/>
          <w:szCs w:val="21"/>
        </w:rPr>
        <w:t xml:space="preserve"> </w:t>
      </w:r>
      <w:r w:rsidRPr="00AD79C7">
        <w:rPr>
          <w:rFonts w:ascii="Abadi" w:hAnsi="Abadi"/>
          <w:b/>
          <w:bCs/>
          <w:sz w:val="21"/>
          <w:szCs w:val="21"/>
        </w:rPr>
        <w:t>de</w:t>
      </w:r>
      <w:r w:rsidRPr="00AD79C7">
        <w:rPr>
          <w:rFonts w:ascii="Abadi" w:hAnsi="Abadi"/>
          <w:b/>
          <w:bCs/>
          <w:spacing w:val="34"/>
          <w:sz w:val="21"/>
          <w:szCs w:val="21"/>
        </w:rPr>
        <w:t xml:space="preserve"> </w:t>
      </w:r>
      <w:r w:rsidRPr="00AD79C7">
        <w:rPr>
          <w:rFonts w:ascii="Abadi" w:hAnsi="Abadi"/>
          <w:b/>
          <w:bCs/>
          <w:sz w:val="21"/>
          <w:szCs w:val="21"/>
        </w:rPr>
        <w:t>Apaseo</w:t>
      </w:r>
      <w:r w:rsidRPr="00AD79C7">
        <w:rPr>
          <w:rFonts w:ascii="Abadi" w:hAnsi="Abadi"/>
          <w:b/>
          <w:bCs/>
          <w:spacing w:val="34"/>
          <w:sz w:val="21"/>
          <w:szCs w:val="21"/>
        </w:rPr>
        <w:t xml:space="preserve"> </w:t>
      </w:r>
      <w:r w:rsidRPr="00AD79C7">
        <w:rPr>
          <w:rFonts w:ascii="Abadi" w:hAnsi="Abadi"/>
          <w:b/>
          <w:bCs/>
          <w:sz w:val="21"/>
          <w:szCs w:val="21"/>
        </w:rPr>
        <w:t>el</w:t>
      </w:r>
      <w:r w:rsidRPr="00AD79C7">
        <w:rPr>
          <w:rFonts w:ascii="Abadi" w:hAnsi="Abadi"/>
          <w:b/>
          <w:bCs/>
          <w:spacing w:val="33"/>
          <w:sz w:val="21"/>
          <w:szCs w:val="21"/>
        </w:rPr>
        <w:t xml:space="preserve"> </w:t>
      </w:r>
      <w:r w:rsidRPr="00AD79C7">
        <w:rPr>
          <w:rFonts w:ascii="Abadi" w:hAnsi="Abadi"/>
          <w:b/>
          <w:bCs/>
          <w:sz w:val="21"/>
          <w:szCs w:val="21"/>
        </w:rPr>
        <w:t>Alto,</w:t>
      </w:r>
      <w:r w:rsidRPr="00AD79C7">
        <w:rPr>
          <w:rFonts w:ascii="Abadi" w:hAnsi="Abadi"/>
          <w:b/>
          <w:bCs/>
          <w:spacing w:val="34"/>
          <w:sz w:val="21"/>
          <w:szCs w:val="21"/>
        </w:rPr>
        <w:t xml:space="preserve"> </w:t>
      </w:r>
      <w:r w:rsidRPr="00AD79C7">
        <w:rPr>
          <w:rFonts w:ascii="Abadi" w:hAnsi="Abadi"/>
          <w:b/>
          <w:bCs/>
          <w:sz w:val="21"/>
          <w:szCs w:val="21"/>
        </w:rPr>
        <w:t>Gto.,</w:t>
      </w:r>
      <w:r w:rsidRPr="00AD79C7">
        <w:rPr>
          <w:rFonts w:ascii="Abadi" w:hAnsi="Abadi"/>
          <w:b/>
          <w:bCs/>
          <w:spacing w:val="34"/>
          <w:sz w:val="21"/>
          <w:szCs w:val="21"/>
        </w:rPr>
        <w:t xml:space="preserve"> </w:t>
      </w:r>
      <w:r w:rsidRPr="00AD79C7">
        <w:rPr>
          <w:rFonts w:ascii="Abadi" w:hAnsi="Abadi"/>
          <w:b/>
          <w:bCs/>
          <w:sz w:val="21"/>
          <w:szCs w:val="21"/>
        </w:rPr>
        <w:t>a</w:t>
      </w:r>
      <w:r w:rsidRPr="00AD79C7">
        <w:rPr>
          <w:rFonts w:ascii="Abadi" w:hAnsi="Abadi"/>
          <w:b/>
          <w:bCs/>
          <w:spacing w:val="34"/>
          <w:sz w:val="21"/>
          <w:szCs w:val="21"/>
        </w:rPr>
        <w:t xml:space="preserve"> </w:t>
      </w:r>
      <w:r w:rsidRPr="00AD79C7">
        <w:rPr>
          <w:rFonts w:ascii="Abadi" w:hAnsi="Abadi"/>
          <w:b/>
          <w:bCs/>
          <w:sz w:val="21"/>
          <w:szCs w:val="21"/>
        </w:rPr>
        <w:t>efecto</w:t>
      </w:r>
      <w:r w:rsidRPr="00AD79C7">
        <w:rPr>
          <w:rFonts w:ascii="Abadi" w:hAnsi="Abadi"/>
          <w:b/>
          <w:bCs/>
          <w:spacing w:val="34"/>
          <w:sz w:val="21"/>
          <w:szCs w:val="21"/>
        </w:rPr>
        <w:t xml:space="preserve"> </w:t>
      </w:r>
      <w:r w:rsidRPr="00AD79C7">
        <w:rPr>
          <w:rFonts w:ascii="Abadi" w:hAnsi="Abadi"/>
          <w:b/>
          <w:bCs/>
          <w:sz w:val="21"/>
          <w:szCs w:val="21"/>
        </w:rPr>
        <w:t>de</w:t>
      </w:r>
      <w:r w:rsidRPr="00AD79C7">
        <w:rPr>
          <w:rFonts w:ascii="Abadi" w:hAnsi="Abadi"/>
          <w:b/>
          <w:bCs/>
          <w:spacing w:val="34"/>
          <w:sz w:val="21"/>
          <w:szCs w:val="21"/>
        </w:rPr>
        <w:t xml:space="preserve"> </w:t>
      </w:r>
      <w:r w:rsidRPr="00AD79C7">
        <w:rPr>
          <w:rFonts w:ascii="Abadi" w:hAnsi="Abadi"/>
          <w:b/>
          <w:bCs/>
          <w:sz w:val="21"/>
          <w:szCs w:val="21"/>
        </w:rPr>
        <w:t>que</w:t>
      </w:r>
      <w:r w:rsidRPr="00AD79C7">
        <w:rPr>
          <w:rFonts w:ascii="Abadi" w:hAnsi="Abadi"/>
          <w:b/>
          <w:bCs/>
          <w:spacing w:val="34"/>
          <w:sz w:val="21"/>
          <w:szCs w:val="21"/>
        </w:rPr>
        <w:t xml:space="preserve"> </w:t>
      </w:r>
      <w:r w:rsidRPr="00AD79C7">
        <w:rPr>
          <w:rFonts w:ascii="Abadi" w:hAnsi="Abadi"/>
          <w:b/>
          <w:bCs/>
          <w:sz w:val="21"/>
          <w:szCs w:val="21"/>
        </w:rPr>
        <w:t>se</w:t>
      </w:r>
      <w:r w:rsidRPr="00AD79C7">
        <w:rPr>
          <w:rFonts w:ascii="Abadi" w:hAnsi="Abadi"/>
          <w:b/>
          <w:bCs/>
          <w:spacing w:val="34"/>
          <w:sz w:val="21"/>
          <w:szCs w:val="21"/>
        </w:rPr>
        <w:t xml:space="preserve"> </w:t>
      </w:r>
      <w:r w:rsidRPr="00AD79C7">
        <w:rPr>
          <w:rFonts w:ascii="Abadi" w:hAnsi="Abadi"/>
          <w:b/>
          <w:bCs/>
          <w:sz w:val="21"/>
          <w:szCs w:val="21"/>
        </w:rPr>
        <w:t>ordene</w:t>
      </w:r>
      <w:r w:rsidRPr="00AD79C7">
        <w:rPr>
          <w:rFonts w:ascii="Abadi" w:hAnsi="Abadi"/>
          <w:b/>
          <w:bCs/>
          <w:spacing w:val="34"/>
          <w:sz w:val="21"/>
          <w:szCs w:val="21"/>
        </w:rPr>
        <w:t xml:space="preserve"> </w:t>
      </w:r>
      <w:r w:rsidRPr="00AD79C7">
        <w:rPr>
          <w:rFonts w:ascii="Abadi" w:hAnsi="Abadi"/>
          <w:b/>
          <w:bCs/>
          <w:sz w:val="21"/>
          <w:szCs w:val="21"/>
        </w:rPr>
        <w:t>una auditoría integral a la administración municipal 2018-2021.</w:t>
      </w:r>
    </w:p>
    <w:p w14:paraId="7DC70145" w14:textId="77777777" w:rsidR="00211EAE" w:rsidRPr="00211EAE" w:rsidRDefault="00211EAE" w:rsidP="006B00FD">
      <w:pPr>
        <w:pStyle w:val="Prrafodelista"/>
        <w:ind w:right="566"/>
        <w:rPr>
          <w:rFonts w:ascii="Abadi" w:hAnsi="Abadi"/>
          <w:b/>
          <w:bCs/>
          <w:sz w:val="21"/>
          <w:szCs w:val="21"/>
        </w:rPr>
      </w:pPr>
    </w:p>
    <w:p w14:paraId="10C10B42" w14:textId="77777777" w:rsidR="00211EAE" w:rsidRPr="00AD79C7" w:rsidRDefault="00211EAE" w:rsidP="005433FA">
      <w:pPr>
        <w:pStyle w:val="Prrafodelista"/>
        <w:numPr>
          <w:ilvl w:val="0"/>
          <w:numId w:val="8"/>
        </w:numPr>
        <w:tabs>
          <w:tab w:val="left" w:pos="856"/>
        </w:tabs>
        <w:kinsoku w:val="0"/>
        <w:overflowPunct w:val="0"/>
        <w:autoSpaceDE w:val="0"/>
        <w:autoSpaceDN w:val="0"/>
        <w:adjustRightInd w:val="0"/>
        <w:spacing w:before="1"/>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2"/>
          <w:sz w:val="21"/>
          <w:szCs w:val="21"/>
        </w:rPr>
        <w:t xml:space="preserve"> </w:t>
      </w:r>
      <w:r w:rsidRPr="00AD79C7">
        <w:rPr>
          <w:rFonts w:ascii="Abadi" w:hAnsi="Abadi"/>
          <w:b/>
          <w:bCs/>
          <w:sz w:val="21"/>
          <w:szCs w:val="21"/>
        </w:rPr>
        <w:t>y,</w:t>
      </w:r>
      <w:r w:rsidRPr="00AD79C7">
        <w:rPr>
          <w:rFonts w:ascii="Abadi" w:hAnsi="Abadi"/>
          <w:b/>
          <w:bCs/>
          <w:spacing w:val="12"/>
          <w:sz w:val="21"/>
          <w:szCs w:val="21"/>
        </w:rPr>
        <w:t xml:space="preserve"> </w:t>
      </w:r>
      <w:r w:rsidRPr="00AD79C7">
        <w:rPr>
          <w:rFonts w:ascii="Abadi" w:hAnsi="Abadi"/>
          <w:b/>
          <w:bCs/>
          <w:sz w:val="21"/>
          <w:szCs w:val="21"/>
        </w:rPr>
        <w:t>en</w:t>
      </w:r>
      <w:r w:rsidRPr="00AD79C7">
        <w:rPr>
          <w:rFonts w:ascii="Abadi" w:hAnsi="Abadi"/>
          <w:b/>
          <w:bCs/>
          <w:spacing w:val="12"/>
          <w:sz w:val="21"/>
          <w:szCs w:val="21"/>
        </w:rPr>
        <w:t xml:space="preserve"> </w:t>
      </w:r>
      <w:r w:rsidRPr="00AD79C7">
        <w:rPr>
          <w:rFonts w:ascii="Abadi" w:hAnsi="Abadi"/>
          <w:b/>
          <w:bCs/>
          <w:sz w:val="21"/>
          <w:szCs w:val="21"/>
        </w:rPr>
        <w:t>su</w:t>
      </w:r>
      <w:r w:rsidRPr="00AD79C7">
        <w:rPr>
          <w:rFonts w:ascii="Abadi" w:hAnsi="Abadi"/>
          <w:b/>
          <w:bCs/>
          <w:spacing w:val="12"/>
          <w:sz w:val="21"/>
          <w:szCs w:val="21"/>
        </w:rPr>
        <w:t xml:space="preserve"> </w:t>
      </w:r>
      <w:r w:rsidRPr="00AD79C7">
        <w:rPr>
          <w:rFonts w:ascii="Abadi" w:hAnsi="Abadi"/>
          <w:b/>
          <w:bCs/>
          <w:sz w:val="21"/>
          <w:szCs w:val="21"/>
        </w:rPr>
        <w:t>caso,</w:t>
      </w:r>
      <w:r w:rsidRPr="00AD79C7">
        <w:rPr>
          <w:rFonts w:ascii="Abadi" w:hAnsi="Abadi"/>
          <w:b/>
          <w:bCs/>
          <w:spacing w:val="11"/>
          <w:sz w:val="21"/>
          <w:szCs w:val="21"/>
        </w:rPr>
        <w:t xml:space="preserve"> </w:t>
      </w:r>
      <w:r w:rsidRPr="00AD79C7">
        <w:rPr>
          <w:rFonts w:ascii="Abadi" w:hAnsi="Abadi"/>
          <w:b/>
          <w:bCs/>
          <w:sz w:val="21"/>
          <w:szCs w:val="21"/>
        </w:rPr>
        <w:t>aprobación</w:t>
      </w:r>
      <w:r w:rsidRPr="00AD79C7">
        <w:rPr>
          <w:rFonts w:ascii="Abadi" w:hAnsi="Abadi"/>
          <w:b/>
          <w:bCs/>
          <w:spacing w:val="12"/>
          <w:sz w:val="21"/>
          <w:szCs w:val="21"/>
        </w:rPr>
        <w:t xml:space="preserve"> </w:t>
      </w:r>
      <w:r w:rsidRPr="00AD79C7">
        <w:rPr>
          <w:rFonts w:ascii="Abadi" w:hAnsi="Abadi"/>
          <w:b/>
          <w:bCs/>
          <w:sz w:val="21"/>
          <w:szCs w:val="21"/>
        </w:rPr>
        <w:t>del</w:t>
      </w:r>
      <w:r w:rsidRPr="00AD79C7">
        <w:rPr>
          <w:rFonts w:ascii="Abadi" w:hAnsi="Abadi"/>
          <w:b/>
          <w:bCs/>
          <w:spacing w:val="12"/>
          <w:sz w:val="21"/>
          <w:szCs w:val="21"/>
        </w:rPr>
        <w:t xml:space="preserve"> </w:t>
      </w:r>
      <w:r w:rsidRPr="00AD79C7">
        <w:rPr>
          <w:rFonts w:ascii="Abadi" w:hAnsi="Abadi"/>
          <w:b/>
          <w:bCs/>
          <w:sz w:val="21"/>
          <w:szCs w:val="21"/>
        </w:rPr>
        <w:t>dictamen</w:t>
      </w:r>
      <w:r w:rsidRPr="00AD79C7">
        <w:rPr>
          <w:rFonts w:ascii="Abadi" w:hAnsi="Abadi"/>
          <w:b/>
          <w:bCs/>
          <w:spacing w:val="12"/>
          <w:sz w:val="21"/>
          <w:szCs w:val="21"/>
        </w:rPr>
        <w:t xml:space="preserve"> </w:t>
      </w:r>
      <w:r w:rsidRPr="00AD79C7">
        <w:rPr>
          <w:rFonts w:ascii="Abadi" w:hAnsi="Abadi"/>
          <w:b/>
          <w:bCs/>
          <w:sz w:val="21"/>
          <w:szCs w:val="21"/>
        </w:rPr>
        <w:t>suscrito</w:t>
      </w:r>
      <w:r w:rsidRPr="00AD79C7">
        <w:rPr>
          <w:rFonts w:ascii="Abadi" w:hAnsi="Abadi"/>
          <w:b/>
          <w:bCs/>
          <w:spacing w:val="12"/>
          <w:sz w:val="21"/>
          <w:szCs w:val="21"/>
        </w:rPr>
        <w:t xml:space="preserve"> </w:t>
      </w:r>
      <w:r w:rsidRPr="00AD79C7">
        <w:rPr>
          <w:rFonts w:ascii="Abadi" w:hAnsi="Abadi"/>
          <w:b/>
          <w:bCs/>
          <w:sz w:val="21"/>
          <w:szCs w:val="21"/>
        </w:rPr>
        <w:t>por</w:t>
      </w:r>
      <w:r w:rsidRPr="00AD79C7">
        <w:rPr>
          <w:rFonts w:ascii="Abadi" w:hAnsi="Abadi"/>
          <w:b/>
          <w:bCs/>
          <w:spacing w:val="12"/>
          <w:sz w:val="21"/>
          <w:szCs w:val="21"/>
        </w:rPr>
        <w:t xml:space="preserve"> </w:t>
      </w:r>
      <w:r w:rsidRPr="00AD79C7">
        <w:rPr>
          <w:rFonts w:ascii="Abadi" w:hAnsi="Abadi"/>
          <w:b/>
          <w:bCs/>
          <w:sz w:val="21"/>
          <w:szCs w:val="21"/>
        </w:rPr>
        <w:t>la</w:t>
      </w:r>
      <w:r w:rsidRPr="00AD79C7">
        <w:rPr>
          <w:rFonts w:ascii="Abadi" w:hAnsi="Abadi"/>
          <w:b/>
          <w:bCs/>
          <w:spacing w:val="12"/>
          <w:sz w:val="21"/>
          <w:szCs w:val="21"/>
        </w:rPr>
        <w:t xml:space="preserve"> </w:t>
      </w:r>
      <w:r w:rsidRPr="00AD79C7">
        <w:rPr>
          <w:rFonts w:ascii="Abadi" w:hAnsi="Abadi"/>
          <w:b/>
          <w:bCs/>
          <w:sz w:val="21"/>
          <w:szCs w:val="21"/>
        </w:rPr>
        <w:t>Comisión de</w:t>
      </w:r>
      <w:r w:rsidRPr="00AD79C7">
        <w:rPr>
          <w:rFonts w:ascii="Abadi" w:hAnsi="Abadi"/>
          <w:b/>
          <w:bCs/>
          <w:spacing w:val="80"/>
          <w:sz w:val="21"/>
          <w:szCs w:val="21"/>
        </w:rPr>
        <w:t xml:space="preserve"> </w:t>
      </w:r>
      <w:r w:rsidRPr="00AD79C7">
        <w:rPr>
          <w:rFonts w:ascii="Abadi" w:hAnsi="Abadi"/>
          <w:b/>
          <w:bCs/>
          <w:sz w:val="21"/>
          <w:szCs w:val="21"/>
        </w:rPr>
        <w:t>Hacienda</w:t>
      </w:r>
      <w:r w:rsidRPr="00AD79C7">
        <w:rPr>
          <w:rFonts w:ascii="Abadi" w:hAnsi="Abadi"/>
          <w:b/>
          <w:bCs/>
          <w:spacing w:val="80"/>
          <w:sz w:val="21"/>
          <w:szCs w:val="21"/>
        </w:rPr>
        <w:t xml:space="preserve"> </w:t>
      </w:r>
      <w:r w:rsidRPr="00AD79C7">
        <w:rPr>
          <w:rFonts w:ascii="Abadi" w:hAnsi="Abadi"/>
          <w:b/>
          <w:bCs/>
          <w:sz w:val="21"/>
          <w:szCs w:val="21"/>
        </w:rPr>
        <w:t>y</w:t>
      </w:r>
      <w:r w:rsidRPr="00AD79C7">
        <w:rPr>
          <w:rFonts w:ascii="Abadi" w:hAnsi="Abadi"/>
          <w:b/>
          <w:bCs/>
          <w:spacing w:val="80"/>
          <w:sz w:val="21"/>
          <w:szCs w:val="21"/>
        </w:rPr>
        <w:t xml:space="preserve"> </w:t>
      </w:r>
      <w:r w:rsidRPr="00AD79C7">
        <w:rPr>
          <w:rFonts w:ascii="Abadi" w:hAnsi="Abadi"/>
          <w:b/>
          <w:bCs/>
          <w:sz w:val="21"/>
          <w:szCs w:val="21"/>
        </w:rPr>
        <w:t>Fiscalización</w:t>
      </w:r>
      <w:r w:rsidRPr="00AD79C7">
        <w:rPr>
          <w:rFonts w:ascii="Abadi" w:hAnsi="Abadi"/>
          <w:b/>
          <w:bCs/>
          <w:spacing w:val="80"/>
          <w:sz w:val="21"/>
          <w:szCs w:val="21"/>
        </w:rPr>
        <w:t xml:space="preserve"> </w:t>
      </w:r>
      <w:r w:rsidRPr="00AD79C7">
        <w:rPr>
          <w:rFonts w:ascii="Abadi" w:hAnsi="Abadi"/>
          <w:b/>
          <w:bCs/>
          <w:sz w:val="21"/>
          <w:szCs w:val="21"/>
        </w:rPr>
        <w:t>relativo</w:t>
      </w:r>
      <w:r w:rsidRPr="00AD79C7">
        <w:rPr>
          <w:rFonts w:ascii="Abadi" w:hAnsi="Abadi"/>
          <w:b/>
          <w:bCs/>
          <w:spacing w:val="80"/>
          <w:sz w:val="21"/>
          <w:szCs w:val="21"/>
        </w:rPr>
        <w:t xml:space="preserve"> </w:t>
      </w:r>
      <w:r w:rsidRPr="00AD79C7">
        <w:rPr>
          <w:rFonts w:ascii="Abadi" w:hAnsi="Abadi"/>
          <w:b/>
          <w:bCs/>
          <w:sz w:val="21"/>
          <w:szCs w:val="21"/>
        </w:rPr>
        <w:t>a</w:t>
      </w:r>
      <w:r w:rsidRPr="00AD79C7">
        <w:rPr>
          <w:rFonts w:ascii="Abadi" w:hAnsi="Abadi"/>
          <w:b/>
          <w:bCs/>
          <w:spacing w:val="80"/>
          <w:sz w:val="21"/>
          <w:szCs w:val="21"/>
        </w:rPr>
        <w:t xml:space="preserve"> </w:t>
      </w:r>
      <w:r w:rsidRPr="00AD79C7">
        <w:rPr>
          <w:rFonts w:ascii="Abadi" w:hAnsi="Abadi"/>
          <w:b/>
          <w:bCs/>
          <w:sz w:val="21"/>
          <w:szCs w:val="21"/>
        </w:rPr>
        <w:t>la</w:t>
      </w:r>
      <w:r w:rsidRPr="00AD79C7">
        <w:rPr>
          <w:rFonts w:ascii="Abadi" w:hAnsi="Abadi"/>
          <w:b/>
          <w:bCs/>
          <w:spacing w:val="80"/>
          <w:sz w:val="21"/>
          <w:szCs w:val="21"/>
        </w:rPr>
        <w:t xml:space="preserve"> </w:t>
      </w:r>
      <w:r w:rsidRPr="00AD79C7">
        <w:rPr>
          <w:rFonts w:ascii="Abadi" w:hAnsi="Abadi"/>
          <w:b/>
          <w:bCs/>
          <w:sz w:val="21"/>
          <w:szCs w:val="21"/>
        </w:rPr>
        <w:t>propuesta</w:t>
      </w:r>
      <w:r w:rsidRPr="00AD79C7">
        <w:rPr>
          <w:rFonts w:ascii="Abadi" w:hAnsi="Abadi"/>
          <w:b/>
          <w:bCs/>
          <w:spacing w:val="80"/>
          <w:sz w:val="21"/>
          <w:szCs w:val="21"/>
        </w:rPr>
        <w:t xml:space="preserve"> </w:t>
      </w:r>
      <w:r w:rsidRPr="00AD79C7">
        <w:rPr>
          <w:rFonts w:ascii="Abadi" w:hAnsi="Abadi"/>
          <w:b/>
          <w:bCs/>
          <w:sz w:val="21"/>
          <w:szCs w:val="21"/>
        </w:rPr>
        <w:t>formulada</w:t>
      </w:r>
      <w:r w:rsidRPr="00AD79C7">
        <w:rPr>
          <w:rFonts w:ascii="Abadi" w:hAnsi="Abadi"/>
          <w:b/>
          <w:bCs/>
          <w:spacing w:val="80"/>
          <w:sz w:val="21"/>
          <w:szCs w:val="21"/>
        </w:rPr>
        <w:t xml:space="preserve"> </w:t>
      </w:r>
      <w:r w:rsidRPr="00AD79C7">
        <w:rPr>
          <w:rFonts w:ascii="Abadi" w:hAnsi="Abadi"/>
          <w:b/>
          <w:bCs/>
          <w:sz w:val="21"/>
          <w:szCs w:val="21"/>
        </w:rPr>
        <w:t>por</w:t>
      </w:r>
      <w:r w:rsidRPr="00AD79C7">
        <w:rPr>
          <w:rFonts w:ascii="Abadi" w:hAnsi="Abadi"/>
          <w:b/>
          <w:bCs/>
          <w:spacing w:val="80"/>
          <w:sz w:val="21"/>
          <w:szCs w:val="21"/>
        </w:rPr>
        <w:t xml:space="preserve"> </w:t>
      </w:r>
      <w:r w:rsidRPr="00AD79C7">
        <w:rPr>
          <w:rFonts w:ascii="Abadi" w:hAnsi="Abadi"/>
          <w:b/>
          <w:bCs/>
          <w:sz w:val="21"/>
          <w:szCs w:val="21"/>
        </w:rPr>
        <w:t>el ayuntamiento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Santa</w:t>
      </w:r>
      <w:r w:rsidRPr="00AD79C7">
        <w:rPr>
          <w:rFonts w:ascii="Abadi" w:hAnsi="Abadi"/>
          <w:b/>
          <w:bCs/>
          <w:spacing w:val="10"/>
          <w:sz w:val="21"/>
          <w:szCs w:val="21"/>
        </w:rPr>
        <w:t xml:space="preserve"> </w:t>
      </w:r>
      <w:r w:rsidRPr="00AD79C7">
        <w:rPr>
          <w:rFonts w:ascii="Abadi" w:hAnsi="Abadi"/>
          <w:b/>
          <w:bCs/>
          <w:sz w:val="21"/>
          <w:szCs w:val="21"/>
        </w:rPr>
        <w:t>Cruz</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Juventino</w:t>
      </w:r>
      <w:r w:rsidRPr="00AD79C7">
        <w:rPr>
          <w:rFonts w:ascii="Abadi" w:hAnsi="Abadi"/>
          <w:b/>
          <w:bCs/>
          <w:spacing w:val="10"/>
          <w:sz w:val="21"/>
          <w:szCs w:val="21"/>
        </w:rPr>
        <w:t xml:space="preserve"> </w:t>
      </w:r>
      <w:r w:rsidRPr="00AD79C7">
        <w:rPr>
          <w:rFonts w:ascii="Abadi" w:hAnsi="Abadi"/>
          <w:b/>
          <w:bCs/>
          <w:sz w:val="21"/>
          <w:szCs w:val="21"/>
        </w:rPr>
        <w:t>Rosas,</w:t>
      </w:r>
      <w:r w:rsidRPr="00AD79C7">
        <w:rPr>
          <w:rFonts w:ascii="Abadi" w:hAnsi="Abadi"/>
          <w:b/>
          <w:bCs/>
          <w:spacing w:val="10"/>
          <w:sz w:val="21"/>
          <w:szCs w:val="21"/>
        </w:rPr>
        <w:t xml:space="preserve"> </w:t>
      </w:r>
      <w:r w:rsidRPr="00AD79C7">
        <w:rPr>
          <w:rFonts w:ascii="Abadi" w:hAnsi="Abadi"/>
          <w:b/>
          <w:bCs/>
          <w:sz w:val="21"/>
          <w:szCs w:val="21"/>
        </w:rPr>
        <w:t>Gto.,</w:t>
      </w:r>
      <w:r w:rsidRPr="00AD79C7">
        <w:rPr>
          <w:rFonts w:ascii="Abadi" w:hAnsi="Abadi"/>
          <w:b/>
          <w:bCs/>
          <w:spacing w:val="10"/>
          <w:sz w:val="21"/>
          <w:szCs w:val="21"/>
        </w:rPr>
        <w:t xml:space="preserve"> </w:t>
      </w:r>
      <w:r w:rsidRPr="00AD79C7">
        <w:rPr>
          <w:rFonts w:ascii="Abadi" w:hAnsi="Abadi"/>
          <w:b/>
          <w:bCs/>
          <w:sz w:val="21"/>
          <w:szCs w:val="21"/>
        </w:rPr>
        <w:t>a</w:t>
      </w:r>
      <w:r w:rsidRPr="00AD79C7">
        <w:rPr>
          <w:rFonts w:ascii="Abadi" w:hAnsi="Abadi"/>
          <w:b/>
          <w:bCs/>
          <w:spacing w:val="10"/>
          <w:sz w:val="21"/>
          <w:szCs w:val="21"/>
        </w:rPr>
        <w:t xml:space="preserve"> </w:t>
      </w:r>
      <w:r w:rsidRPr="00AD79C7">
        <w:rPr>
          <w:rFonts w:ascii="Abadi" w:hAnsi="Abadi"/>
          <w:b/>
          <w:bCs/>
          <w:sz w:val="21"/>
          <w:szCs w:val="21"/>
        </w:rPr>
        <w:t>efecto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que</w:t>
      </w:r>
      <w:r w:rsidRPr="00AD79C7">
        <w:rPr>
          <w:rFonts w:ascii="Abadi" w:hAnsi="Abadi"/>
          <w:b/>
          <w:bCs/>
          <w:spacing w:val="10"/>
          <w:sz w:val="21"/>
          <w:szCs w:val="21"/>
        </w:rPr>
        <w:t xml:space="preserve"> </w:t>
      </w:r>
      <w:r w:rsidRPr="00AD79C7">
        <w:rPr>
          <w:rFonts w:ascii="Abadi" w:hAnsi="Abadi"/>
          <w:b/>
          <w:bCs/>
          <w:sz w:val="21"/>
          <w:szCs w:val="21"/>
        </w:rPr>
        <w:t>se ordene una auditoría a la administración municipal 2018-2021.</w:t>
      </w:r>
    </w:p>
    <w:p w14:paraId="4F795BE3" w14:textId="7EC38FD1" w:rsidR="00211EAE" w:rsidRDefault="00211EAE" w:rsidP="006B00FD">
      <w:pPr>
        <w:pStyle w:val="Prrafodelista"/>
        <w:tabs>
          <w:tab w:val="left" w:pos="856"/>
        </w:tabs>
        <w:kinsoku w:val="0"/>
        <w:overflowPunct w:val="0"/>
        <w:autoSpaceDE w:val="0"/>
        <w:autoSpaceDN w:val="0"/>
        <w:adjustRightInd w:val="0"/>
        <w:ind w:left="720" w:right="566"/>
        <w:jc w:val="both"/>
        <w:rPr>
          <w:rFonts w:ascii="Abadi" w:hAnsi="Abadi"/>
          <w:b/>
          <w:bCs/>
          <w:sz w:val="21"/>
          <w:szCs w:val="21"/>
        </w:rPr>
      </w:pPr>
    </w:p>
    <w:p w14:paraId="290282E4" w14:textId="77777777" w:rsidR="0057022C" w:rsidRPr="00AD79C7" w:rsidRDefault="0057022C"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en</w:t>
      </w:r>
      <w:r w:rsidRPr="00AD79C7">
        <w:rPr>
          <w:rFonts w:ascii="Abadi" w:hAnsi="Abadi"/>
          <w:b/>
          <w:bCs/>
          <w:spacing w:val="10"/>
          <w:sz w:val="21"/>
          <w:szCs w:val="21"/>
        </w:rPr>
        <w:t xml:space="preserve"> </w:t>
      </w:r>
      <w:r w:rsidRPr="00AD79C7">
        <w:rPr>
          <w:rFonts w:ascii="Abadi" w:hAnsi="Abadi"/>
          <w:b/>
          <w:bCs/>
          <w:sz w:val="21"/>
          <w:szCs w:val="21"/>
        </w:rPr>
        <w:t>su</w:t>
      </w:r>
      <w:r w:rsidRPr="00AD79C7">
        <w:rPr>
          <w:rFonts w:ascii="Abadi" w:hAnsi="Abadi"/>
          <w:b/>
          <w:bCs/>
          <w:spacing w:val="10"/>
          <w:sz w:val="21"/>
          <w:szCs w:val="21"/>
        </w:rPr>
        <w:t xml:space="preserve"> </w:t>
      </w:r>
      <w:r w:rsidRPr="00AD79C7">
        <w:rPr>
          <w:rFonts w:ascii="Abadi" w:hAnsi="Abadi"/>
          <w:b/>
          <w:bCs/>
          <w:sz w:val="21"/>
          <w:szCs w:val="21"/>
        </w:rPr>
        <w:t>caso,</w:t>
      </w:r>
      <w:r w:rsidRPr="00AD79C7">
        <w:rPr>
          <w:rFonts w:ascii="Abadi" w:hAnsi="Abadi"/>
          <w:b/>
          <w:bCs/>
          <w:spacing w:val="10"/>
          <w:sz w:val="21"/>
          <w:szCs w:val="21"/>
        </w:rPr>
        <w:t xml:space="preserve"> </w:t>
      </w:r>
      <w:r w:rsidRPr="00AD79C7">
        <w:rPr>
          <w:rFonts w:ascii="Abadi" w:hAnsi="Abadi"/>
          <w:b/>
          <w:bCs/>
          <w:sz w:val="21"/>
          <w:szCs w:val="21"/>
        </w:rPr>
        <w:t>aprobación</w:t>
      </w:r>
      <w:r w:rsidRPr="00AD79C7">
        <w:rPr>
          <w:rFonts w:ascii="Abadi" w:hAnsi="Abadi"/>
          <w:b/>
          <w:bCs/>
          <w:spacing w:val="10"/>
          <w:sz w:val="21"/>
          <w:szCs w:val="21"/>
        </w:rPr>
        <w:t xml:space="preserve"> </w:t>
      </w:r>
      <w:r w:rsidRPr="00AD79C7">
        <w:rPr>
          <w:rFonts w:ascii="Abadi" w:hAnsi="Abadi"/>
          <w:b/>
          <w:bCs/>
          <w:sz w:val="21"/>
          <w:szCs w:val="21"/>
        </w:rPr>
        <w:t>del</w:t>
      </w:r>
      <w:r w:rsidRPr="00AD79C7">
        <w:rPr>
          <w:rFonts w:ascii="Abadi" w:hAnsi="Abadi"/>
          <w:b/>
          <w:bCs/>
          <w:spacing w:val="10"/>
          <w:sz w:val="21"/>
          <w:szCs w:val="21"/>
        </w:rPr>
        <w:t xml:space="preserve"> </w:t>
      </w:r>
      <w:r w:rsidRPr="00AD79C7">
        <w:rPr>
          <w:rFonts w:ascii="Abadi" w:hAnsi="Abadi"/>
          <w:b/>
          <w:bCs/>
          <w:sz w:val="21"/>
          <w:szCs w:val="21"/>
        </w:rPr>
        <w:t>dictamen</w:t>
      </w:r>
      <w:r w:rsidRPr="00AD79C7">
        <w:rPr>
          <w:rFonts w:ascii="Abadi" w:hAnsi="Abadi"/>
          <w:b/>
          <w:bCs/>
          <w:spacing w:val="10"/>
          <w:sz w:val="21"/>
          <w:szCs w:val="21"/>
        </w:rPr>
        <w:t xml:space="preserve"> </w:t>
      </w:r>
      <w:r w:rsidRPr="00AD79C7">
        <w:rPr>
          <w:rFonts w:ascii="Abadi" w:hAnsi="Abadi"/>
          <w:b/>
          <w:bCs/>
          <w:sz w:val="21"/>
          <w:szCs w:val="21"/>
        </w:rPr>
        <w:t>signado</w:t>
      </w:r>
      <w:r w:rsidRPr="00AD79C7">
        <w:rPr>
          <w:rFonts w:ascii="Abadi" w:hAnsi="Abadi"/>
          <w:b/>
          <w:bCs/>
          <w:spacing w:val="10"/>
          <w:sz w:val="21"/>
          <w:szCs w:val="21"/>
        </w:rPr>
        <w:t xml:space="preserve"> </w:t>
      </w:r>
      <w:r w:rsidRPr="00AD79C7">
        <w:rPr>
          <w:rFonts w:ascii="Abadi" w:hAnsi="Abadi"/>
          <w:b/>
          <w:bCs/>
          <w:sz w:val="21"/>
          <w:szCs w:val="21"/>
        </w:rPr>
        <w:t>por</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Comisión</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25"/>
          <w:sz w:val="21"/>
          <w:szCs w:val="21"/>
        </w:rPr>
        <w:t xml:space="preserve"> </w:t>
      </w:r>
      <w:r w:rsidRPr="00AD79C7">
        <w:rPr>
          <w:rFonts w:ascii="Abadi" w:hAnsi="Abadi"/>
          <w:b/>
          <w:bCs/>
          <w:sz w:val="21"/>
          <w:szCs w:val="21"/>
        </w:rPr>
        <w:t>Hacienda</w:t>
      </w:r>
      <w:r w:rsidRPr="00AD79C7">
        <w:rPr>
          <w:rFonts w:ascii="Abadi" w:hAnsi="Abadi"/>
          <w:b/>
          <w:bCs/>
          <w:spacing w:val="25"/>
          <w:sz w:val="21"/>
          <w:szCs w:val="21"/>
        </w:rPr>
        <w:t xml:space="preserve"> </w:t>
      </w:r>
      <w:r w:rsidRPr="00AD79C7">
        <w:rPr>
          <w:rFonts w:ascii="Abadi" w:hAnsi="Abadi"/>
          <w:b/>
          <w:bCs/>
          <w:sz w:val="21"/>
          <w:szCs w:val="21"/>
        </w:rPr>
        <w:t>y</w:t>
      </w:r>
      <w:r w:rsidRPr="00AD79C7">
        <w:rPr>
          <w:rFonts w:ascii="Abadi" w:hAnsi="Abadi"/>
          <w:b/>
          <w:bCs/>
          <w:spacing w:val="25"/>
          <w:sz w:val="21"/>
          <w:szCs w:val="21"/>
        </w:rPr>
        <w:t xml:space="preserve"> </w:t>
      </w:r>
      <w:r w:rsidRPr="00AD79C7">
        <w:rPr>
          <w:rFonts w:ascii="Abadi" w:hAnsi="Abadi"/>
          <w:b/>
          <w:bCs/>
          <w:sz w:val="21"/>
          <w:szCs w:val="21"/>
        </w:rPr>
        <w:t>Fiscalización</w:t>
      </w:r>
      <w:r w:rsidRPr="00AD79C7">
        <w:rPr>
          <w:rFonts w:ascii="Abadi" w:hAnsi="Abadi"/>
          <w:b/>
          <w:bCs/>
          <w:spacing w:val="25"/>
          <w:sz w:val="21"/>
          <w:szCs w:val="21"/>
        </w:rPr>
        <w:t xml:space="preserve"> </w:t>
      </w:r>
      <w:r w:rsidRPr="00AD79C7">
        <w:rPr>
          <w:rFonts w:ascii="Abadi" w:hAnsi="Abadi"/>
          <w:b/>
          <w:bCs/>
          <w:sz w:val="21"/>
          <w:szCs w:val="21"/>
        </w:rPr>
        <w:t>relativo</w:t>
      </w:r>
      <w:r w:rsidRPr="00AD79C7">
        <w:rPr>
          <w:rFonts w:ascii="Abadi" w:hAnsi="Abadi"/>
          <w:b/>
          <w:bCs/>
          <w:spacing w:val="25"/>
          <w:sz w:val="21"/>
          <w:szCs w:val="21"/>
        </w:rPr>
        <w:t xml:space="preserve"> </w:t>
      </w:r>
      <w:r w:rsidRPr="00AD79C7">
        <w:rPr>
          <w:rFonts w:ascii="Abadi" w:hAnsi="Abadi"/>
          <w:b/>
          <w:bCs/>
          <w:sz w:val="21"/>
          <w:szCs w:val="21"/>
        </w:rPr>
        <w:t>a</w:t>
      </w:r>
      <w:r w:rsidRPr="00AD79C7">
        <w:rPr>
          <w:rFonts w:ascii="Abadi" w:hAnsi="Abadi"/>
          <w:b/>
          <w:bCs/>
          <w:spacing w:val="25"/>
          <w:sz w:val="21"/>
          <w:szCs w:val="21"/>
        </w:rPr>
        <w:t xml:space="preserve"> </w:t>
      </w:r>
      <w:r w:rsidRPr="00AD79C7">
        <w:rPr>
          <w:rFonts w:ascii="Abadi" w:hAnsi="Abadi"/>
          <w:b/>
          <w:bCs/>
          <w:sz w:val="21"/>
          <w:szCs w:val="21"/>
        </w:rPr>
        <w:t>la</w:t>
      </w:r>
      <w:r w:rsidRPr="00AD79C7">
        <w:rPr>
          <w:rFonts w:ascii="Abadi" w:hAnsi="Abadi"/>
          <w:b/>
          <w:bCs/>
          <w:spacing w:val="25"/>
          <w:sz w:val="21"/>
          <w:szCs w:val="21"/>
        </w:rPr>
        <w:t xml:space="preserve"> </w:t>
      </w:r>
      <w:r w:rsidRPr="00AD79C7">
        <w:rPr>
          <w:rFonts w:ascii="Abadi" w:hAnsi="Abadi"/>
          <w:b/>
          <w:bCs/>
          <w:sz w:val="21"/>
          <w:szCs w:val="21"/>
        </w:rPr>
        <w:t>iniciativa</w:t>
      </w:r>
      <w:r w:rsidRPr="00AD79C7">
        <w:rPr>
          <w:rFonts w:ascii="Abadi" w:hAnsi="Abadi"/>
          <w:b/>
          <w:bCs/>
          <w:spacing w:val="25"/>
          <w:sz w:val="21"/>
          <w:szCs w:val="21"/>
        </w:rPr>
        <w:t xml:space="preserve"> </w:t>
      </w:r>
      <w:r w:rsidRPr="00AD79C7">
        <w:rPr>
          <w:rFonts w:ascii="Abadi" w:hAnsi="Abadi"/>
          <w:b/>
          <w:bCs/>
          <w:sz w:val="21"/>
          <w:szCs w:val="21"/>
        </w:rPr>
        <w:t>de</w:t>
      </w:r>
      <w:r w:rsidRPr="00AD79C7">
        <w:rPr>
          <w:rFonts w:ascii="Abadi" w:hAnsi="Abadi"/>
          <w:b/>
          <w:bCs/>
          <w:spacing w:val="25"/>
          <w:sz w:val="21"/>
          <w:szCs w:val="21"/>
        </w:rPr>
        <w:t xml:space="preserve"> </w:t>
      </w:r>
      <w:r w:rsidRPr="00AD79C7">
        <w:rPr>
          <w:rFonts w:ascii="Abadi" w:hAnsi="Abadi"/>
          <w:b/>
          <w:bCs/>
          <w:sz w:val="21"/>
          <w:szCs w:val="21"/>
        </w:rPr>
        <w:t>Ley</w:t>
      </w:r>
      <w:r w:rsidRPr="00AD79C7">
        <w:rPr>
          <w:rFonts w:ascii="Abadi" w:hAnsi="Abadi"/>
          <w:b/>
          <w:bCs/>
          <w:spacing w:val="25"/>
          <w:sz w:val="21"/>
          <w:szCs w:val="21"/>
        </w:rPr>
        <w:t xml:space="preserve"> </w:t>
      </w:r>
      <w:r w:rsidRPr="00AD79C7">
        <w:rPr>
          <w:rFonts w:ascii="Abadi" w:hAnsi="Abadi"/>
          <w:b/>
          <w:bCs/>
          <w:sz w:val="21"/>
          <w:szCs w:val="21"/>
        </w:rPr>
        <w:t>de</w:t>
      </w:r>
      <w:r w:rsidRPr="00AD79C7">
        <w:rPr>
          <w:rFonts w:ascii="Abadi" w:hAnsi="Abadi"/>
          <w:b/>
          <w:bCs/>
          <w:spacing w:val="25"/>
          <w:sz w:val="21"/>
          <w:szCs w:val="21"/>
        </w:rPr>
        <w:t xml:space="preserve"> </w:t>
      </w:r>
      <w:r w:rsidRPr="00AD79C7">
        <w:rPr>
          <w:rFonts w:ascii="Abadi" w:hAnsi="Abadi"/>
          <w:b/>
          <w:bCs/>
          <w:sz w:val="21"/>
          <w:szCs w:val="21"/>
        </w:rPr>
        <w:t>Publicidad</w:t>
      </w:r>
      <w:r w:rsidRPr="00AD79C7">
        <w:rPr>
          <w:rFonts w:ascii="Abadi" w:hAnsi="Abadi"/>
          <w:b/>
          <w:bCs/>
          <w:spacing w:val="25"/>
          <w:sz w:val="21"/>
          <w:szCs w:val="21"/>
        </w:rPr>
        <w:t xml:space="preserve"> </w:t>
      </w:r>
      <w:r w:rsidRPr="00AD79C7">
        <w:rPr>
          <w:rFonts w:ascii="Abadi" w:hAnsi="Abadi"/>
          <w:b/>
          <w:bCs/>
          <w:sz w:val="21"/>
          <w:szCs w:val="21"/>
        </w:rPr>
        <w:t>y</w:t>
      </w:r>
      <w:r w:rsidRPr="00AD79C7">
        <w:rPr>
          <w:rFonts w:ascii="Abadi" w:hAnsi="Abadi"/>
          <w:b/>
          <w:bCs/>
          <w:spacing w:val="-1"/>
          <w:sz w:val="21"/>
          <w:szCs w:val="21"/>
        </w:rPr>
        <w:t xml:space="preserve"> </w:t>
      </w:r>
      <w:r w:rsidRPr="00AD79C7">
        <w:rPr>
          <w:rFonts w:ascii="Abadi" w:hAnsi="Abadi"/>
          <w:b/>
          <w:bCs/>
          <w:sz w:val="21"/>
          <w:szCs w:val="21"/>
        </w:rPr>
        <w:t>Comunicación</w:t>
      </w:r>
      <w:r w:rsidRPr="00AD79C7">
        <w:rPr>
          <w:rFonts w:ascii="Abadi" w:hAnsi="Abadi"/>
          <w:b/>
          <w:bCs/>
          <w:spacing w:val="12"/>
          <w:sz w:val="21"/>
          <w:szCs w:val="21"/>
        </w:rPr>
        <w:t xml:space="preserve"> </w:t>
      </w:r>
      <w:r w:rsidRPr="00AD79C7">
        <w:rPr>
          <w:rFonts w:ascii="Abadi" w:hAnsi="Abadi"/>
          <w:b/>
          <w:bCs/>
          <w:sz w:val="21"/>
          <w:szCs w:val="21"/>
        </w:rPr>
        <w:t>Institucional</w:t>
      </w:r>
      <w:r w:rsidRPr="00AD79C7">
        <w:rPr>
          <w:rFonts w:ascii="Abadi" w:hAnsi="Abadi"/>
          <w:b/>
          <w:bCs/>
          <w:spacing w:val="12"/>
          <w:sz w:val="21"/>
          <w:szCs w:val="21"/>
        </w:rPr>
        <w:t xml:space="preserve"> </w:t>
      </w:r>
      <w:r w:rsidRPr="00AD79C7">
        <w:rPr>
          <w:rFonts w:ascii="Abadi" w:hAnsi="Abadi"/>
          <w:b/>
          <w:bCs/>
          <w:sz w:val="21"/>
          <w:szCs w:val="21"/>
        </w:rPr>
        <w:t>para</w:t>
      </w:r>
      <w:r w:rsidRPr="00AD79C7">
        <w:rPr>
          <w:rFonts w:ascii="Abadi" w:hAnsi="Abadi"/>
          <w:b/>
          <w:bCs/>
          <w:spacing w:val="12"/>
          <w:sz w:val="21"/>
          <w:szCs w:val="21"/>
        </w:rPr>
        <w:t xml:space="preserve"> </w:t>
      </w:r>
      <w:r w:rsidRPr="00AD79C7">
        <w:rPr>
          <w:rFonts w:ascii="Abadi" w:hAnsi="Abadi"/>
          <w:b/>
          <w:bCs/>
          <w:sz w:val="21"/>
          <w:szCs w:val="21"/>
        </w:rPr>
        <w:t>el</w:t>
      </w:r>
      <w:r w:rsidRPr="00AD79C7">
        <w:rPr>
          <w:rFonts w:ascii="Abadi" w:hAnsi="Abadi"/>
          <w:b/>
          <w:bCs/>
          <w:spacing w:val="12"/>
          <w:sz w:val="21"/>
          <w:szCs w:val="21"/>
        </w:rPr>
        <w:t xml:space="preserve"> </w:t>
      </w:r>
      <w:r w:rsidRPr="00AD79C7">
        <w:rPr>
          <w:rFonts w:ascii="Abadi" w:hAnsi="Abadi"/>
          <w:b/>
          <w:bCs/>
          <w:sz w:val="21"/>
          <w:szCs w:val="21"/>
        </w:rPr>
        <w:t>Estado</w:t>
      </w:r>
      <w:r w:rsidRPr="00AD79C7">
        <w:rPr>
          <w:rFonts w:ascii="Abadi" w:hAnsi="Abadi"/>
          <w:b/>
          <w:bCs/>
          <w:spacing w:val="12"/>
          <w:sz w:val="21"/>
          <w:szCs w:val="21"/>
        </w:rPr>
        <w:t xml:space="preserve"> </w:t>
      </w:r>
      <w:r w:rsidRPr="00AD79C7">
        <w:rPr>
          <w:rFonts w:ascii="Abadi" w:hAnsi="Abadi"/>
          <w:b/>
          <w:bCs/>
          <w:sz w:val="21"/>
          <w:szCs w:val="21"/>
        </w:rPr>
        <w:t>de</w:t>
      </w:r>
      <w:r w:rsidRPr="00AD79C7">
        <w:rPr>
          <w:rFonts w:ascii="Abadi" w:hAnsi="Abadi"/>
          <w:b/>
          <w:bCs/>
          <w:spacing w:val="12"/>
          <w:sz w:val="21"/>
          <w:szCs w:val="21"/>
        </w:rPr>
        <w:t xml:space="preserve"> </w:t>
      </w:r>
      <w:r w:rsidRPr="00AD79C7">
        <w:rPr>
          <w:rFonts w:ascii="Abadi" w:hAnsi="Abadi"/>
          <w:b/>
          <w:bCs/>
          <w:sz w:val="21"/>
          <w:szCs w:val="21"/>
        </w:rPr>
        <w:t>Guanajuato</w:t>
      </w:r>
      <w:r w:rsidRPr="00AD79C7">
        <w:rPr>
          <w:rFonts w:ascii="Abadi" w:hAnsi="Abadi"/>
          <w:b/>
          <w:bCs/>
          <w:spacing w:val="12"/>
          <w:sz w:val="21"/>
          <w:szCs w:val="21"/>
        </w:rPr>
        <w:t xml:space="preserve"> </w:t>
      </w:r>
      <w:r w:rsidRPr="00AD79C7">
        <w:rPr>
          <w:rFonts w:ascii="Abadi" w:hAnsi="Abadi"/>
          <w:b/>
          <w:bCs/>
          <w:sz w:val="21"/>
          <w:szCs w:val="21"/>
        </w:rPr>
        <w:t>formulada</w:t>
      </w:r>
      <w:r w:rsidRPr="00AD79C7">
        <w:rPr>
          <w:rFonts w:ascii="Abadi" w:hAnsi="Abadi"/>
          <w:b/>
          <w:bCs/>
          <w:spacing w:val="12"/>
          <w:sz w:val="21"/>
          <w:szCs w:val="21"/>
        </w:rPr>
        <w:t xml:space="preserve"> </w:t>
      </w:r>
      <w:r w:rsidRPr="00AD79C7">
        <w:rPr>
          <w:rFonts w:ascii="Abadi" w:hAnsi="Abadi"/>
          <w:b/>
          <w:bCs/>
          <w:sz w:val="21"/>
          <w:szCs w:val="21"/>
        </w:rPr>
        <w:t>por</w:t>
      </w:r>
      <w:r w:rsidRPr="00AD79C7">
        <w:rPr>
          <w:rFonts w:ascii="Abadi" w:hAnsi="Abadi"/>
          <w:b/>
          <w:bCs/>
          <w:spacing w:val="12"/>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diputada</w:t>
      </w:r>
      <w:r w:rsidRPr="00AD79C7">
        <w:rPr>
          <w:rFonts w:ascii="Abadi" w:hAnsi="Abadi"/>
          <w:b/>
          <w:bCs/>
          <w:spacing w:val="63"/>
          <w:sz w:val="21"/>
          <w:szCs w:val="21"/>
        </w:rPr>
        <w:t xml:space="preserve"> </w:t>
      </w:r>
      <w:r w:rsidRPr="00AD79C7">
        <w:rPr>
          <w:rFonts w:ascii="Abadi" w:hAnsi="Abadi"/>
          <w:b/>
          <w:bCs/>
          <w:sz w:val="21"/>
          <w:szCs w:val="21"/>
        </w:rPr>
        <w:t>y</w:t>
      </w:r>
      <w:r w:rsidRPr="00AD79C7">
        <w:rPr>
          <w:rFonts w:ascii="Abadi" w:hAnsi="Abadi"/>
          <w:b/>
          <w:bCs/>
          <w:spacing w:val="63"/>
          <w:sz w:val="21"/>
          <w:szCs w:val="21"/>
        </w:rPr>
        <w:t xml:space="preserve"> </w:t>
      </w:r>
      <w:r w:rsidRPr="00AD79C7">
        <w:rPr>
          <w:rFonts w:ascii="Abadi" w:hAnsi="Abadi"/>
          <w:b/>
          <w:bCs/>
          <w:sz w:val="21"/>
          <w:szCs w:val="21"/>
        </w:rPr>
        <w:t>el</w:t>
      </w:r>
      <w:r w:rsidRPr="00AD79C7">
        <w:rPr>
          <w:rFonts w:ascii="Abadi" w:hAnsi="Abadi"/>
          <w:b/>
          <w:bCs/>
          <w:spacing w:val="62"/>
          <w:sz w:val="21"/>
          <w:szCs w:val="21"/>
        </w:rPr>
        <w:t xml:space="preserve"> </w:t>
      </w:r>
      <w:r w:rsidRPr="00AD79C7">
        <w:rPr>
          <w:rFonts w:ascii="Abadi" w:hAnsi="Abadi"/>
          <w:b/>
          <w:bCs/>
          <w:sz w:val="21"/>
          <w:szCs w:val="21"/>
        </w:rPr>
        <w:t>diputado</w:t>
      </w:r>
      <w:r w:rsidRPr="00AD79C7">
        <w:rPr>
          <w:rFonts w:ascii="Abadi" w:hAnsi="Abadi"/>
          <w:b/>
          <w:bCs/>
          <w:spacing w:val="63"/>
          <w:sz w:val="21"/>
          <w:szCs w:val="21"/>
        </w:rPr>
        <w:t xml:space="preserve"> </w:t>
      </w:r>
      <w:r w:rsidRPr="00AD79C7">
        <w:rPr>
          <w:rFonts w:ascii="Abadi" w:hAnsi="Abadi"/>
          <w:b/>
          <w:bCs/>
          <w:sz w:val="21"/>
          <w:szCs w:val="21"/>
        </w:rPr>
        <w:t>integrantes</w:t>
      </w:r>
      <w:r w:rsidRPr="00AD79C7">
        <w:rPr>
          <w:rFonts w:ascii="Abadi" w:hAnsi="Abadi"/>
          <w:b/>
          <w:bCs/>
          <w:spacing w:val="63"/>
          <w:sz w:val="21"/>
          <w:szCs w:val="21"/>
        </w:rPr>
        <w:t xml:space="preserve"> </w:t>
      </w:r>
      <w:r w:rsidRPr="00AD79C7">
        <w:rPr>
          <w:rFonts w:ascii="Abadi" w:hAnsi="Abadi"/>
          <w:b/>
          <w:bCs/>
          <w:sz w:val="21"/>
          <w:szCs w:val="21"/>
        </w:rPr>
        <w:t>del</w:t>
      </w:r>
      <w:r w:rsidRPr="00AD79C7">
        <w:rPr>
          <w:rFonts w:ascii="Abadi" w:hAnsi="Abadi"/>
          <w:b/>
          <w:bCs/>
          <w:spacing w:val="62"/>
          <w:sz w:val="21"/>
          <w:szCs w:val="21"/>
        </w:rPr>
        <w:t xml:space="preserve"> </w:t>
      </w:r>
      <w:r w:rsidRPr="00AD79C7">
        <w:rPr>
          <w:rFonts w:ascii="Abadi" w:hAnsi="Abadi"/>
          <w:b/>
          <w:bCs/>
          <w:sz w:val="21"/>
          <w:szCs w:val="21"/>
        </w:rPr>
        <w:t>Grupo</w:t>
      </w:r>
      <w:r w:rsidRPr="00AD79C7">
        <w:rPr>
          <w:rFonts w:ascii="Abadi" w:hAnsi="Abadi"/>
          <w:b/>
          <w:bCs/>
          <w:spacing w:val="63"/>
          <w:sz w:val="21"/>
          <w:szCs w:val="21"/>
        </w:rPr>
        <w:t xml:space="preserve"> </w:t>
      </w:r>
      <w:r w:rsidRPr="00AD79C7">
        <w:rPr>
          <w:rFonts w:ascii="Abadi" w:hAnsi="Abadi"/>
          <w:b/>
          <w:bCs/>
          <w:sz w:val="21"/>
          <w:szCs w:val="21"/>
        </w:rPr>
        <w:t>Parlamentario</w:t>
      </w:r>
      <w:r w:rsidRPr="00AD79C7">
        <w:rPr>
          <w:rFonts w:ascii="Abadi" w:hAnsi="Abadi"/>
          <w:b/>
          <w:bCs/>
          <w:spacing w:val="63"/>
          <w:sz w:val="21"/>
          <w:szCs w:val="21"/>
        </w:rPr>
        <w:t xml:space="preserve"> </w:t>
      </w:r>
      <w:r w:rsidRPr="00AD79C7">
        <w:rPr>
          <w:rFonts w:ascii="Abadi" w:hAnsi="Abadi"/>
          <w:b/>
          <w:bCs/>
          <w:sz w:val="21"/>
          <w:szCs w:val="21"/>
        </w:rPr>
        <w:t>del</w:t>
      </w:r>
      <w:r w:rsidRPr="00AD79C7">
        <w:rPr>
          <w:rFonts w:ascii="Abadi" w:hAnsi="Abadi"/>
          <w:b/>
          <w:bCs/>
          <w:spacing w:val="62"/>
          <w:sz w:val="21"/>
          <w:szCs w:val="21"/>
        </w:rPr>
        <w:t xml:space="preserve"> </w:t>
      </w:r>
      <w:r w:rsidRPr="00AD79C7">
        <w:rPr>
          <w:rFonts w:ascii="Abadi" w:hAnsi="Abadi"/>
          <w:b/>
          <w:bCs/>
          <w:sz w:val="21"/>
          <w:szCs w:val="21"/>
        </w:rPr>
        <w:t>Partido</w:t>
      </w:r>
      <w:r w:rsidRPr="00AD79C7">
        <w:rPr>
          <w:rFonts w:ascii="Abadi" w:hAnsi="Abadi"/>
          <w:b/>
          <w:bCs/>
          <w:spacing w:val="-1"/>
          <w:sz w:val="21"/>
          <w:szCs w:val="21"/>
        </w:rPr>
        <w:t xml:space="preserve"> </w:t>
      </w:r>
      <w:r w:rsidRPr="00AD79C7">
        <w:rPr>
          <w:rFonts w:ascii="Abadi" w:hAnsi="Abadi"/>
          <w:b/>
          <w:bCs/>
          <w:sz w:val="21"/>
          <w:szCs w:val="21"/>
        </w:rPr>
        <w:t xml:space="preserve">Verde </w:t>
      </w:r>
      <w:r w:rsidRPr="00AD79C7">
        <w:rPr>
          <w:rFonts w:ascii="Abadi" w:hAnsi="Abadi"/>
          <w:b/>
          <w:bCs/>
          <w:sz w:val="21"/>
          <w:szCs w:val="21"/>
        </w:rPr>
        <w:t>Ecologista de México ante la Sexagésima Cuarta Legislatura.</w:t>
      </w:r>
    </w:p>
    <w:p w14:paraId="2F714F78" w14:textId="326DC0CC" w:rsidR="0057022C" w:rsidRDefault="0057022C" w:rsidP="0057022C">
      <w:pPr>
        <w:pStyle w:val="Prrafodelista"/>
        <w:tabs>
          <w:tab w:val="left" w:pos="856"/>
        </w:tabs>
        <w:kinsoku w:val="0"/>
        <w:overflowPunct w:val="0"/>
        <w:autoSpaceDE w:val="0"/>
        <w:autoSpaceDN w:val="0"/>
        <w:adjustRightInd w:val="0"/>
        <w:ind w:left="720" w:right="17"/>
        <w:jc w:val="both"/>
        <w:rPr>
          <w:rFonts w:ascii="Abadi" w:hAnsi="Abadi"/>
          <w:b/>
          <w:bCs/>
          <w:sz w:val="21"/>
          <w:szCs w:val="21"/>
        </w:rPr>
      </w:pPr>
    </w:p>
    <w:p w14:paraId="4B5D3418" w14:textId="62CAADCC" w:rsidR="00830B21" w:rsidRDefault="00830B21" w:rsidP="005433FA">
      <w:pPr>
        <w:pStyle w:val="Prrafodelista"/>
        <w:numPr>
          <w:ilvl w:val="0"/>
          <w:numId w:val="8"/>
        </w:numPr>
        <w:tabs>
          <w:tab w:val="left" w:pos="856"/>
        </w:tabs>
        <w:kinsoku w:val="0"/>
        <w:overflowPunct w:val="0"/>
        <w:autoSpaceDE w:val="0"/>
        <w:autoSpaceDN w:val="0"/>
        <w:adjustRightInd w:val="0"/>
        <w:spacing w:before="1"/>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7"/>
          <w:sz w:val="21"/>
          <w:szCs w:val="21"/>
        </w:rPr>
        <w:t xml:space="preserve"> </w:t>
      </w:r>
      <w:r w:rsidRPr="00AD79C7">
        <w:rPr>
          <w:rFonts w:ascii="Abadi" w:hAnsi="Abadi"/>
          <w:b/>
          <w:bCs/>
          <w:sz w:val="21"/>
          <w:szCs w:val="21"/>
        </w:rPr>
        <w:t>y,</w:t>
      </w:r>
      <w:r w:rsidRPr="00AD79C7">
        <w:rPr>
          <w:rFonts w:ascii="Abadi" w:hAnsi="Abadi"/>
          <w:b/>
          <w:bCs/>
          <w:spacing w:val="16"/>
          <w:sz w:val="21"/>
          <w:szCs w:val="21"/>
        </w:rPr>
        <w:t xml:space="preserve"> </w:t>
      </w:r>
      <w:r w:rsidRPr="00AD79C7">
        <w:rPr>
          <w:rFonts w:ascii="Abadi" w:hAnsi="Abadi"/>
          <w:b/>
          <w:bCs/>
          <w:sz w:val="21"/>
          <w:szCs w:val="21"/>
        </w:rPr>
        <w:t>en</w:t>
      </w:r>
      <w:r w:rsidRPr="00AD79C7">
        <w:rPr>
          <w:rFonts w:ascii="Abadi" w:hAnsi="Abadi"/>
          <w:b/>
          <w:bCs/>
          <w:spacing w:val="17"/>
          <w:sz w:val="21"/>
          <w:szCs w:val="21"/>
        </w:rPr>
        <w:t xml:space="preserve"> </w:t>
      </w:r>
      <w:r w:rsidRPr="00AD79C7">
        <w:rPr>
          <w:rFonts w:ascii="Abadi" w:hAnsi="Abadi"/>
          <w:b/>
          <w:bCs/>
          <w:sz w:val="21"/>
          <w:szCs w:val="21"/>
        </w:rPr>
        <w:t>su</w:t>
      </w:r>
      <w:r w:rsidRPr="00AD79C7">
        <w:rPr>
          <w:rFonts w:ascii="Abadi" w:hAnsi="Abadi"/>
          <w:b/>
          <w:bCs/>
          <w:spacing w:val="17"/>
          <w:sz w:val="21"/>
          <w:szCs w:val="21"/>
        </w:rPr>
        <w:t xml:space="preserve"> </w:t>
      </w:r>
      <w:r w:rsidRPr="00AD79C7">
        <w:rPr>
          <w:rFonts w:ascii="Abadi" w:hAnsi="Abadi"/>
          <w:b/>
          <w:bCs/>
          <w:sz w:val="21"/>
          <w:szCs w:val="21"/>
        </w:rPr>
        <w:t>caso,</w:t>
      </w:r>
      <w:r w:rsidRPr="00AD79C7">
        <w:rPr>
          <w:rFonts w:ascii="Abadi" w:hAnsi="Abadi"/>
          <w:b/>
          <w:bCs/>
          <w:spacing w:val="15"/>
          <w:sz w:val="21"/>
          <w:szCs w:val="21"/>
        </w:rPr>
        <w:t xml:space="preserve"> </w:t>
      </w:r>
      <w:r w:rsidRPr="00AD79C7">
        <w:rPr>
          <w:rFonts w:ascii="Abadi" w:hAnsi="Abadi"/>
          <w:b/>
          <w:bCs/>
          <w:sz w:val="21"/>
          <w:szCs w:val="21"/>
        </w:rPr>
        <w:t>aprobación</w:t>
      </w:r>
      <w:r w:rsidRPr="00AD79C7">
        <w:rPr>
          <w:rFonts w:ascii="Abadi" w:hAnsi="Abadi"/>
          <w:b/>
          <w:bCs/>
          <w:spacing w:val="17"/>
          <w:sz w:val="21"/>
          <w:szCs w:val="21"/>
        </w:rPr>
        <w:t xml:space="preserve"> </w:t>
      </w:r>
      <w:r w:rsidRPr="00AD79C7">
        <w:rPr>
          <w:rFonts w:ascii="Abadi" w:hAnsi="Abadi"/>
          <w:b/>
          <w:bCs/>
          <w:sz w:val="21"/>
          <w:szCs w:val="21"/>
        </w:rPr>
        <w:t>del</w:t>
      </w:r>
      <w:r w:rsidRPr="00AD79C7">
        <w:rPr>
          <w:rFonts w:ascii="Abadi" w:hAnsi="Abadi"/>
          <w:b/>
          <w:bCs/>
          <w:spacing w:val="16"/>
          <w:sz w:val="21"/>
          <w:szCs w:val="21"/>
        </w:rPr>
        <w:t xml:space="preserve"> </w:t>
      </w:r>
      <w:r w:rsidRPr="00AD79C7">
        <w:rPr>
          <w:rFonts w:ascii="Abadi" w:hAnsi="Abadi"/>
          <w:b/>
          <w:bCs/>
          <w:sz w:val="21"/>
          <w:szCs w:val="21"/>
        </w:rPr>
        <w:t>dictamen</w:t>
      </w:r>
      <w:r w:rsidRPr="00AD79C7">
        <w:rPr>
          <w:rFonts w:ascii="Abadi" w:hAnsi="Abadi"/>
          <w:b/>
          <w:bCs/>
          <w:spacing w:val="17"/>
          <w:sz w:val="21"/>
          <w:szCs w:val="21"/>
        </w:rPr>
        <w:t xml:space="preserve"> </w:t>
      </w:r>
      <w:r w:rsidRPr="00AD79C7">
        <w:rPr>
          <w:rFonts w:ascii="Abadi" w:hAnsi="Abadi"/>
          <w:b/>
          <w:bCs/>
          <w:sz w:val="21"/>
          <w:szCs w:val="21"/>
        </w:rPr>
        <w:t>emitido</w:t>
      </w:r>
      <w:r w:rsidRPr="00AD79C7">
        <w:rPr>
          <w:rFonts w:ascii="Abadi" w:hAnsi="Abadi"/>
          <w:b/>
          <w:bCs/>
          <w:spacing w:val="16"/>
          <w:sz w:val="21"/>
          <w:szCs w:val="21"/>
        </w:rPr>
        <w:t xml:space="preserve"> </w:t>
      </w:r>
      <w:r w:rsidRPr="00AD79C7">
        <w:rPr>
          <w:rFonts w:ascii="Abadi" w:hAnsi="Abadi"/>
          <w:b/>
          <w:bCs/>
          <w:sz w:val="21"/>
          <w:szCs w:val="21"/>
        </w:rPr>
        <w:t>por</w:t>
      </w:r>
      <w:r w:rsidRPr="00AD79C7">
        <w:rPr>
          <w:rFonts w:ascii="Abadi" w:hAnsi="Abadi"/>
          <w:b/>
          <w:bCs/>
          <w:spacing w:val="15"/>
          <w:sz w:val="21"/>
          <w:szCs w:val="21"/>
        </w:rPr>
        <w:t xml:space="preserve"> </w:t>
      </w:r>
      <w:r w:rsidRPr="00AD79C7">
        <w:rPr>
          <w:rFonts w:ascii="Abadi" w:hAnsi="Abadi"/>
          <w:b/>
          <w:bCs/>
          <w:sz w:val="21"/>
          <w:szCs w:val="21"/>
        </w:rPr>
        <w:t>la</w:t>
      </w:r>
      <w:r w:rsidRPr="00AD79C7">
        <w:rPr>
          <w:rFonts w:ascii="Abadi" w:hAnsi="Abadi"/>
          <w:b/>
          <w:bCs/>
          <w:spacing w:val="17"/>
          <w:sz w:val="21"/>
          <w:szCs w:val="21"/>
        </w:rPr>
        <w:t xml:space="preserve"> </w:t>
      </w:r>
      <w:r w:rsidRPr="00AD79C7">
        <w:rPr>
          <w:rFonts w:ascii="Abadi" w:hAnsi="Abadi"/>
          <w:b/>
          <w:bCs/>
          <w:sz w:val="21"/>
          <w:szCs w:val="21"/>
        </w:rPr>
        <w:t>Comisión</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3"/>
          <w:sz w:val="21"/>
          <w:szCs w:val="21"/>
        </w:rPr>
        <w:t xml:space="preserve"> </w:t>
      </w:r>
      <w:r w:rsidRPr="00AD79C7">
        <w:rPr>
          <w:rFonts w:ascii="Abadi" w:hAnsi="Abadi"/>
          <w:b/>
          <w:bCs/>
          <w:sz w:val="21"/>
          <w:szCs w:val="21"/>
        </w:rPr>
        <w:t>Hacienda</w:t>
      </w:r>
      <w:r w:rsidRPr="00AD79C7">
        <w:rPr>
          <w:rFonts w:ascii="Abadi" w:hAnsi="Abadi"/>
          <w:b/>
          <w:bCs/>
          <w:spacing w:val="-3"/>
          <w:sz w:val="21"/>
          <w:szCs w:val="21"/>
        </w:rPr>
        <w:t xml:space="preserve"> </w:t>
      </w:r>
      <w:r w:rsidRPr="00AD79C7">
        <w:rPr>
          <w:rFonts w:ascii="Abadi" w:hAnsi="Abadi"/>
          <w:b/>
          <w:bCs/>
          <w:sz w:val="21"/>
          <w:szCs w:val="21"/>
        </w:rPr>
        <w:t>y</w:t>
      </w:r>
      <w:r w:rsidRPr="00AD79C7">
        <w:rPr>
          <w:rFonts w:ascii="Abadi" w:hAnsi="Abadi"/>
          <w:b/>
          <w:bCs/>
          <w:spacing w:val="-3"/>
          <w:sz w:val="21"/>
          <w:szCs w:val="21"/>
        </w:rPr>
        <w:t xml:space="preserve"> </w:t>
      </w:r>
      <w:r w:rsidRPr="00AD79C7">
        <w:rPr>
          <w:rFonts w:ascii="Abadi" w:hAnsi="Abadi"/>
          <w:b/>
          <w:bCs/>
          <w:sz w:val="21"/>
          <w:szCs w:val="21"/>
        </w:rPr>
        <w:t>Fiscalización</w:t>
      </w:r>
      <w:r w:rsidRPr="00AD79C7">
        <w:rPr>
          <w:rFonts w:ascii="Abadi" w:hAnsi="Abadi"/>
          <w:b/>
          <w:bCs/>
          <w:spacing w:val="-3"/>
          <w:sz w:val="21"/>
          <w:szCs w:val="21"/>
        </w:rPr>
        <w:t xml:space="preserve"> </w:t>
      </w:r>
      <w:r w:rsidRPr="00AD79C7">
        <w:rPr>
          <w:rFonts w:ascii="Abadi" w:hAnsi="Abadi"/>
          <w:b/>
          <w:bCs/>
          <w:sz w:val="21"/>
          <w:szCs w:val="21"/>
        </w:rPr>
        <w:t>relativo</w:t>
      </w:r>
      <w:r w:rsidRPr="00AD79C7">
        <w:rPr>
          <w:rFonts w:ascii="Abadi" w:hAnsi="Abadi"/>
          <w:b/>
          <w:bCs/>
          <w:spacing w:val="-3"/>
          <w:sz w:val="21"/>
          <w:szCs w:val="21"/>
        </w:rPr>
        <w:t xml:space="preserve"> </w:t>
      </w:r>
      <w:r w:rsidRPr="00AD79C7">
        <w:rPr>
          <w:rFonts w:ascii="Abadi" w:hAnsi="Abadi"/>
          <w:b/>
          <w:bCs/>
          <w:sz w:val="21"/>
          <w:szCs w:val="21"/>
        </w:rPr>
        <w:t>a</w:t>
      </w:r>
      <w:r w:rsidRPr="00AD79C7">
        <w:rPr>
          <w:rFonts w:ascii="Abadi" w:hAnsi="Abadi"/>
          <w:b/>
          <w:bCs/>
          <w:spacing w:val="-4"/>
          <w:sz w:val="21"/>
          <w:szCs w:val="21"/>
        </w:rPr>
        <w:t xml:space="preserve"> </w:t>
      </w:r>
      <w:r w:rsidRPr="00AD79C7">
        <w:rPr>
          <w:rFonts w:ascii="Abadi" w:hAnsi="Abadi"/>
          <w:b/>
          <w:bCs/>
          <w:sz w:val="21"/>
          <w:szCs w:val="21"/>
        </w:rPr>
        <w:t>la</w:t>
      </w:r>
      <w:r w:rsidRPr="00AD79C7">
        <w:rPr>
          <w:rFonts w:ascii="Abadi" w:hAnsi="Abadi"/>
          <w:b/>
          <w:bCs/>
          <w:spacing w:val="-3"/>
          <w:sz w:val="21"/>
          <w:szCs w:val="21"/>
        </w:rPr>
        <w:t xml:space="preserve"> </w:t>
      </w:r>
      <w:r w:rsidRPr="00AD79C7">
        <w:rPr>
          <w:rFonts w:ascii="Abadi" w:hAnsi="Abadi"/>
          <w:b/>
          <w:bCs/>
          <w:sz w:val="21"/>
          <w:szCs w:val="21"/>
        </w:rPr>
        <w:t>iniciativa</w:t>
      </w:r>
      <w:r w:rsidRPr="00AD79C7">
        <w:rPr>
          <w:rFonts w:ascii="Abadi" w:hAnsi="Abadi"/>
          <w:b/>
          <w:bCs/>
          <w:spacing w:val="-3"/>
          <w:sz w:val="21"/>
          <w:szCs w:val="21"/>
        </w:rPr>
        <w:t xml:space="preserve"> </w:t>
      </w:r>
      <w:r w:rsidRPr="00AD79C7">
        <w:rPr>
          <w:rFonts w:ascii="Abadi" w:hAnsi="Abadi"/>
          <w:b/>
          <w:bCs/>
          <w:sz w:val="21"/>
          <w:szCs w:val="21"/>
        </w:rPr>
        <w:t>formulada</w:t>
      </w:r>
      <w:r w:rsidRPr="00AD79C7">
        <w:rPr>
          <w:rFonts w:ascii="Abadi" w:hAnsi="Abadi"/>
          <w:b/>
          <w:bCs/>
          <w:spacing w:val="-3"/>
          <w:sz w:val="21"/>
          <w:szCs w:val="21"/>
        </w:rPr>
        <w:t xml:space="preserve"> </w:t>
      </w:r>
      <w:r w:rsidRPr="00AD79C7">
        <w:rPr>
          <w:rFonts w:ascii="Abadi" w:hAnsi="Abadi"/>
          <w:b/>
          <w:bCs/>
          <w:sz w:val="21"/>
          <w:szCs w:val="21"/>
        </w:rPr>
        <w:t>por</w:t>
      </w:r>
      <w:r w:rsidRPr="00AD79C7">
        <w:rPr>
          <w:rFonts w:ascii="Abadi" w:hAnsi="Abadi"/>
          <w:b/>
          <w:bCs/>
          <w:spacing w:val="-3"/>
          <w:sz w:val="21"/>
          <w:szCs w:val="21"/>
        </w:rPr>
        <w:t xml:space="preserve"> </w:t>
      </w:r>
      <w:r w:rsidRPr="00AD79C7">
        <w:rPr>
          <w:rFonts w:ascii="Abadi" w:hAnsi="Abadi"/>
          <w:b/>
          <w:bCs/>
          <w:sz w:val="21"/>
          <w:szCs w:val="21"/>
        </w:rPr>
        <w:t>la</w:t>
      </w:r>
      <w:r w:rsidRPr="00AD79C7">
        <w:rPr>
          <w:rFonts w:ascii="Abadi" w:hAnsi="Abadi"/>
          <w:b/>
          <w:bCs/>
          <w:spacing w:val="-3"/>
          <w:sz w:val="21"/>
          <w:szCs w:val="21"/>
        </w:rPr>
        <w:t xml:space="preserve"> </w:t>
      </w:r>
      <w:r w:rsidRPr="00AD79C7">
        <w:rPr>
          <w:rFonts w:ascii="Abadi" w:hAnsi="Abadi"/>
          <w:b/>
          <w:bCs/>
          <w:sz w:val="21"/>
          <w:szCs w:val="21"/>
        </w:rPr>
        <w:t>diputada</w:t>
      </w:r>
      <w:r w:rsidRPr="00AD79C7">
        <w:rPr>
          <w:rFonts w:ascii="Abadi" w:hAnsi="Abadi"/>
          <w:b/>
          <w:bCs/>
          <w:spacing w:val="-1"/>
          <w:sz w:val="21"/>
          <w:szCs w:val="21"/>
        </w:rPr>
        <w:t xml:space="preserve"> </w:t>
      </w:r>
      <w:r w:rsidRPr="00AD79C7">
        <w:rPr>
          <w:rFonts w:ascii="Abadi" w:hAnsi="Abadi"/>
          <w:b/>
          <w:bCs/>
          <w:sz w:val="21"/>
          <w:szCs w:val="21"/>
        </w:rPr>
        <w:t>y</w:t>
      </w:r>
      <w:r w:rsidRPr="00AD79C7">
        <w:rPr>
          <w:rFonts w:ascii="Abadi" w:hAnsi="Abadi"/>
          <w:b/>
          <w:bCs/>
          <w:spacing w:val="58"/>
          <w:w w:val="150"/>
          <w:sz w:val="21"/>
          <w:szCs w:val="21"/>
        </w:rPr>
        <w:t xml:space="preserve"> </w:t>
      </w:r>
      <w:r w:rsidRPr="00AD79C7">
        <w:rPr>
          <w:rFonts w:ascii="Abadi" w:hAnsi="Abadi"/>
          <w:b/>
          <w:bCs/>
          <w:sz w:val="21"/>
          <w:szCs w:val="21"/>
        </w:rPr>
        <w:t>el</w:t>
      </w:r>
      <w:r w:rsidRPr="00AD79C7">
        <w:rPr>
          <w:rFonts w:ascii="Abadi" w:hAnsi="Abadi"/>
          <w:b/>
          <w:bCs/>
          <w:spacing w:val="58"/>
          <w:w w:val="150"/>
          <w:sz w:val="21"/>
          <w:szCs w:val="21"/>
        </w:rPr>
        <w:t xml:space="preserve"> </w:t>
      </w:r>
      <w:r w:rsidRPr="00AD79C7">
        <w:rPr>
          <w:rFonts w:ascii="Abadi" w:hAnsi="Abadi"/>
          <w:b/>
          <w:bCs/>
          <w:sz w:val="21"/>
          <w:szCs w:val="21"/>
        </w:rPr>
        <w:t>diputado</w:t>
      </w:r>
      <w:r w:rsidRPr="00AD79C7">
        <w:rPr>
          <w:rFonts w:ascii="Abadi" w:hAnsi="Abadi"/>
          <w:b/>
          <w:bCs/>
          <w:spacing w:val="58"/>
          <w:w w:val="150"/>
          <w:sz w:val="21"/>
          <w:szCs w:val="21"/>
        </w:rPr>
        <w:t xml:space="preserve"> </w:t>
      </w:r>
      <w:r w:rsidRPr="00AD79C7">
        <w:rPr>
          <w:rFonts w:ascii="Abadi" w:hAnsi="Abadi"/>
          <w:b/>
          <w:bCs/>
          <w:sz w:val="21"/>
          <w:szCs w:val="21"/>
        </w:rPr>
        <w:t>integrantes</w:t>
      </w:r>
      <w:r w:rsidRPr="00AD79C7">
        <w:rPr>
          <w:rFonts w:ascii="Abadi" w:hAnsi="Abadi"/>
          <w:b/>
          <w:bCs/>
          <w:spacing w:val="58"/>
          <w:w w:val="150"/>
          <w:sz w:val="21"/>
          <w:szCs w:val="21"/>
        </w:rPr>
        <w:t xml:space="preserve"> </w:t>
      </w:r>
      <w:r w:rsidRPr="00AD79C7">
        <w:rPr>
          <w:rFonts w:ascii="Abadi" w:hAnsi="Abadi"/>
          <w:b/>
          <w:bCs/>
          <w:sz w:val="21"/>
          <w:szCs w:val="21"/>
        </w:rPr>
        <w:t>del</w:t>
      </w:r>
      <w:r w:rsidRPr="00AD79C7">
        <w:rPr>
          <w:rFonts w:ascii="Abadi" w:hAnsi="Abadi"/>
          <w:b/>
          <w:bCs/>
          <w:spacing w:val="58"/>
          <w:w w:val="150"/>
          <w:sz w:val="21"/>
          <w:szCs w:val="21"/>
        </w:rPr>
        <w:t xml:space="preserve"> </w:t>
      </w:r>
      <w:r w:rsidRPr="00AD79C7">
        <w:rPr>
          <w:rFonts w:ascii="Abadi" w:hAnsi="Abadi"/>
          <w:b/>
          <w:bCs/>
          <w:sz w:val="21"/>
          <w:szCs w:val="21"/>
        </w:rPr>
        <w:t>Grupo</w:t>
      </w:r>
      <w:r w:rsidRPr="00AD79C7">
        <w:rPr>
          <w:rFonts w:ascii="Abadi" w:hAnsi="Abadi"/>
          <w:b/>
          <w:bCs/>
          <w:spacing w:val="58"/>
          <w:w w:val="150"/>
          <w:sz w:val="21"/>
          <w:szCs w:val="21"/>
        </w:rPr>
        <w:t xml:space="preserve"> </w:t>
      </w:r>
      <w:r w:rsidRPr="00AD79C7">
        <w:rPr>
          <w:rFonts w:ascii="Abadi" w:hAnsi="Abadi"/>
          <w:b/>
          <w:bCs/>
          <w:sz w:val="21"/>
          <w:szCs w:val="21"/>
        </w:rPr>
        <w:t>Parlamentario</w:t>
      </w:r>
      <w:r w:rsidRPr="00AD79C7">
        <w:rPr>
          <w:rFonts w:ascii="Abadi" w:hAnsi="Abadi"/>
          <w:b/>
          <w:bCs/>
          <w:spacing w:val="58"/>
          <w:w w:val="150"/>
          <w:sz w:val="21"/>
          <w:szCs w:val="21"/>
        </w:rPr>
        <w:t xml:space="preserve"> </w:t>
      </w:r>
      <w:r w:rsidRPr="00AD79C7">
        <w:rPr>
          <w:rFonts w:ascii="Abadi" w:hAnsi="Abadi"/>
          <w:b/>
          <w:bCs/>
          <w:sz w:val="21"/>
          <w:szCs w:val="21"/>
        </w:rPr>
        <w:t>del</w:t>
      </w:r>
      <w:r w:rsidRPr="00AD79C7">
        <w:rPr>
          <w:rFonts w:ascii="Abadi" w:hAnsi="Abadi"/>
          <w:b/>
          <w:bCs/>
          <w:spacing w:val="58"/>
          <w:w w:val="150"/>
          <w:sz w:val="21"/>
          <w:szCs w:val="21"/>
        </w:rPr>
        <w:t xml:space="preserve"> </w:t>
      </w:r>
      <w:r w:rsidRPr="00AD79C7">
        <w:rPr>
          <w:rFonts w:ascii="Abadi" w:hAnsi="Abadi"/>
          <w:b/>
          <w:bCs/>
          <w:sz w:val="21"/>
          <w:szCs w:val="21"/>
        </w:rPr>
        <w:t>Partido</w:t>
      </w:r>
      <w:r w:rsidRPr="00AD79C7">
        <w:rPr>
          <w:rFonts w:ascii="Abadi" w:hAnsi="Abadi"/>
          <w:b/>
          <w:bCs/>
          <w:spacing w:val="58"/>
          <w:w w:val="150"/>
          <w:sz w:val="21"/>
          <w:szCs w:val="21"/>
        </w:rPr>
        <w:t xml:space="preserve"> </w:t>
      </w:r>
      <w:r w:rsidRPr="00AD79C7">
        <w:rPr>
          <w:rFonts w:ascii="Abadi" w:hAnsi="Abadi"/>
          <w:b/>
          <w:bCs/>
          <w:sz w:val="21"/>
          <w:szCs w:val="21"/>
        </w:rPr>
        <w:t>Verde</w:t>
      </w:r>
      <w:r w:rsidRPr="00AD79C7">
        <w:rPr>
          <w:rFonts w:ascii="Abadi" w:hAnsi="Abadi"/>
          <w:b/>
          <w:bCs/>
          <w:spacing w:val="-1"/>
          <w:sz w:val="21"/>
          <w:szCs w:val="21"/>
        </w:rPr>
        <w:t xml:space="preserve"> </w:t>
      </w:r>
      <w:r w:rsidRPr="00AD79C7">
        <w:rPr>
          <w:rFonts w:ascii="Abadi" w:hAnsi="Abadi"/>
          <w:b/>
          <w:bCs/>
          <w:sz w:val="21"/>
          <w:szCs w:val="21"/>
        </w:rPr>
        <w:t>Ecologista de México a efecto de reformar y adicionar diversos artículos de</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Ley</w:t>
      </w:r>
      <w:r w:rsidRPr="00AD79C7">
        <w:rPr>
          <w:rFonts w:ascii="Abadi" w:hAnsi="Abadi"/>
          <w:b/>
          <w:bCs/>
          <w:spacing w:val="10"/>
          <w:sz w:val="21"/>
          <w:szCs w:val="21"/>
        </w:rPr>
        <w:t xml:space="preserve"> </w:t>
      </w:r>
      <w:r w:rsidRPr="00AD79C7">
        <w:rPr>
          <w:rFonts w:ascii="Abadi" w:hAnsi="Abadi"/>
          <w:b/>
          <w:bCs/>
          <w:sz w:val="21"/>
          <w:szCs w:val="21"/>
        </w:rPr>
        <w:t>para</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Gestión</w:t>
      </w:r>
      <w:r w:rsidRPr="00AD79C7">
        <w:rPr>
          <w:rFonts w:ascii="Abadi" w:hAnsi="Abadi"/>
          <w:b/>
          <w:bCs/>
          <w:spacing w:val="10"/>
          <w:sz w:val="21"/>
          <w:szCs w:val="21"/>
        </w:rPr>
        <w:t xml:space="preserve"> </w:t>
      </w:r>
      <w:r w:rsidRPr="00AD79C7">
        <w:rPr>
          <w:rFonts w:ascii="Abadi" w:hAnsi="Abadi"/>
          <w:b/>
          <w:bCs/>
          <w:sz w:val="21"/>
          <w:szCs w:val="21"/>
        </w:rPr>
        <w:t>Integral</w:t>
      </w:r>
      <w:r w:rsidRPr="00AD79C7">
        <w:rPr>
          <w:rFonts w:ascii="Abadi" w:hAnsi="Abadi"/>
          <w:b/>
          <w:bCs/>
          <w:spacing w:val="8"/>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Residuos</w:t>
      </w:r>
      <w:r w:rsidRPr="00AD79C7">
        <w:rPr>
          <w:rFonts w:ascii="Abadi" w:hAnsi="Abadi"/>
          <w:b/>
          <w:bCs/>
          <w:spacing w:val="10"/>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Estado</w:t>
      </w:r>
      <w:r w:rsidRPr="00AD79C7">
        <w:rPr>
          <w:rFonts w:ascii="Abadi" w:hAnsi="Abadi"/>
          <w:b/>
          <w:bCs/>
          <w:spacing w:val="9"/>
          <w:sz w:val="21"/>
          <w:szCs w:val="21"/>
        </w:rPr>
        <w:t xml:space="preserve"> </w:t>
      </w:r>
      <w:r w:rsidRPr="00AD79C7">
        <w:rPr>
          <w:rFonts w:ascii="Abadi" w:hAnsi="Abadi"/>
          <w:b/>
          <w:bCs/>
          <w:sz w:val="21"/>
          <w:szCs w:val="21"/>
        </w:rPr>
        <w:t>y</w:t>
      </w:r>
      <w:r w:rsidRPr="00AD79C7">
        <w:rPr>
          <w:rFonts w:ascii="Abadi" w:hAnsi="Abadi"/>
          <w:b/>
          <w:bCs/>
          <w:spacing w:val="9"/>
          <w:sz w:val="21"/>
          <w:szCs w:val="21"/>
        </w:rPr>
        <w:t xml:space="preserve"> </w:t>
      </w:r>
      <w:r w:rsidRPr="00AD79C7">
        <w:rPr>
          <w:rFonts w:ascii="Abadi" w:hAnsi="Abadi"/>
          <w:b/>
          <w:bCs/>
          <w:sz w:val="21"/>
          <w:szCs w:val="21"/>
        </w:rPr>
        <w:t>los</w:t>
      </w:r>
      <w:r w:rsidRPr="00AD79C7">
        <w:rPr>
          <w:rFonts w:ascii="Abadi" w:hAnsi="Abadi"/>
          <w:b/>
          <w:bCs/>
          <w:spacing w:val="8"/>
          <w:sz w:val="21"/>
          <w:szCs w:val="21"/>
        </w:rPr>
        <w:t xml:space="preserve"> </w:t>
      </w:r>
      <w:r w:rsidRPr="00AD79C7">
        <w:rPr>
          <w:rFonts w:ascii="Abadi" w:hAnsi="Abadi"/>
          <w:b/>
          <w:bCs/>
          <w:sz w:val="21"/>
          <w:szCs w:val="21"/>
        </w:rPr>
        <w:t>Municipios</w:t>
      </w:r>
      <w:r w:rsidRPr="00AD79C7">
        <w:rPr>
          <w:rFonts w:ascii="Abadi" w:hAnsi="Abadi"/>
          <w:b/>
          <w:bCs/>
          <w:spacing w:val="9"/>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Guanajuato</w:t>
      </w:r>
      <w:r w:rsidRPr="00AD79C7">
        <w:rPr>
          <w:rFonts w:ascii="Abadi" w:hAnsi="Abadi"/>
          <w:b/>
          <w:bCs/>
          <w:spacing w:val="60"/>
          <w:sz w:val="21"/>
          <w:szCs w:val="21"/>
        </w:rPr>
        <w:t xml:space="preserve"> </w:t>
      </w:r>
      <w:r w:rsidRPr="00AD79C7">
        <w:rPr>
          <w:rFonts w:ascii="Abadi" w:hAnsi="Abadi"/>
          <w:b/>
          <w:bCs/>
          <w:sz w:val="21"/>
          <w:szCs w:val="21"/>
        </w:rPr>
        <w:t>y</w:t>
      </w:r>
      <w:r w:rsidRPr="00AD79C7">
        <w:rPr>
          <w:rFonts w:ascii="Abadi" w:hAnsi="Abadi"/>
          <w:b/>
          <w:bCs/>
          <w:spacing w:val="60"/>
          <w:sz w:val="21"/>
          <w:szCs w:val="21"/>
        </w:rPr>
        <w:t xml:space="preserve"> </w:t>
      </w:r>
      <w:r w:rsidRPr="00AD79C7">
        <w:rPr>
          <w:rFonts w:ascii="Abadi" w:hAnsi="Abadi"/>
          <w:b/>
          <w:bCs/>
          <w:sz w:val="21"/>
          <w:szCs w:val="21"/>
        </w:rPr>
        <w:t>de</w:t>
      </w:r>
      <w:r w:rsidRPr="00AD79C7">
        <w:rPr>
          <w:rFonts w:ascii="Abadi" w:hAnsi="Abadi"/>
          <w:b/>
          <w:bCs/>
          <w:spacing w:val="60"/>
          <w:sz w:val="21"/>
          <w:szCs w:val="21"/>
        </w:rPr>
        <w:t xml:space="preserve"> </w:t>
      </w:r>
      <w:r w:rsidRPr="00AD79C7">
        <w:rPr>
          <w:rFonts w:ascii="Abadi" w:hAnsi="Abadi"/>
          <w:b/>
          <w:bCs/>
          <w:sz w:val="21"/>
          <w:szCs w:val="21"/>
        </w:rPr>
        <w:t>la</w:t>
      </w:r>
      <w:r w:rsidRPr="00AD79C7">
        <w:rPr>
          <w:rFonts w:ascii="Abadi" w:hAnsi="Abadi"/>
          <w:b/>
          <w:bCs/>
          <w:spacing w:val="59"/>
          <w:sz w:val="21"/>
          <w:szCs w:val="21"/>
        </w:rPr>
        <w:t xml:space="preserve"> </w:t>
      </w:r>
      <w:r w:rsidRPr="00AD79C7">
        <w:rPr>
          <w:rFonts w:ascii="Abadi" w:hAnsi="Abadi"/>
          <w:b/>
          <w:bCs/>
          <w:sz w:val="21"/>
          <w:szCs w:val="21"/>
        </w:rPr>
        <w:t>Ley</w:t>
      </w:r>
      <w:r w:rsidRPr="00AD79C7">
        <w:rPr>
          <w:rFonts w:ascii="Abadi" w:hAnsi="Abadi"/>
          <w:b/>
          <w:bCs/>
          <w:spacing w:val="59"/>
          <w:sz w:val="21"/>
          <w:szCs w:val="21"/>
        </w:rPr>
        <w:t xml:space="preserve"> </w:t>
      </w:r>
      <w:r w:rsidRPr="00AD79C7">
        <w:rPr>
          <w:rFonts w:ascii="Abadi" w:hAnsi="Abadi"/>
          <w:b/>
          <w:bCs/>
          <w:sz w:val="21"/>
          <w:szCs w:val="21"/>
        </w:rPr>
        <w:t>de</w:t>
      </w:r>
      <w:r w:rsidRPr="00AD79C7">
        <w:rPr>
          <w:rFonts w:ascii="Abadi" w:hAnsi="Abadi"/>
          <w:b/>
          <w:bCs/>
          <w:spacing w:val="60"/>
          <w:sz w:val="21"/>
          <w:szCs w:val="21"/>
        </w:rPr>
        <w:t xml:space="preserve"> </w:t>
      </w:r>
      <w:r w:rsidRPr="00AD79C7">
        <w:rPr>
          <w:rFonts w:ascii="Abadi" w:hAnsi="Abadi"/>
          <w:b/>
          <w:bCs/>
          <w:sz w:val="21"/>
          <w:szCs w:val="21"/>
        </w:rPr>
        <w:t>Contrataciones</w:t>
      </w:r>
      <w:r w:rsidRPr="00AD79C7">
        <w:rPr>
          <w:rFonts w:ascii="Abadi" w:hAnsi="Abadi"/>
          <w:b/>
          <w:bCs/>
          <w:spacing w:val="60"/>
          <w:sz w:val="21"/>
          <w:szCs w:val="21"/>
        </w:rPr>
        <w:t xml:space="preserve"> </w:t>
      </w:r>
      <w:r w:rsidRPr="00AD79C7">
        <w:rPr>
          <w:rFonts w:ascii="Abadi" w:hAnsi="Abadi"/>
          <w:b/>
          <w:bCs/>
          <w:sz w:val="21"/>
          <w:szCs w:val="21"/>
        </w:rPr>
        <w:t>Públicas</w:t>
      </w:r>
      <w:r w:rsidRPr="00AD79C7">
        <w:rPr>
          <w:rFonts w:ascii="Abadi" w:hAnsi="Abadi"/>
          <w:b/>
          <w:bCs/>
          <w:spacing w:val="59"/>
          <w:sz w:val="21"/>
          <w:szCs w:val="21"/>
        </w:rPr>
        <w:t xml:space="preserve"> </w:t>
      </w:r>
      <w:r w:rsidRPr="00AD79C7">
        <w:rPr>
          <w:rFonts w:ascii="Abadi" w:hAnsi="Abadi"/>
          <w:b/>
          <w:bCs/>
          <w:sz w:val="21"/>
          <w:szCs w:val="21"/>
        </w:rPr>
        <w:t>para</w:t>
      </w:r>
      <w:r w:rsidRPr="00AD79C7">
        <w:rPr>
          <w:rFonts w:ascii="Abadi" w:hAnsi="Abadi"/>
          <w:b/>
          <w:bCs/>
          <w:spacing w:val="60"/>
          <w:sz w:val="21"/>
          <w:szCs w:val="21"/>
        </w:rPr>
        <w:t xml:space="preserve"> </w:t>
      </w:r>
      <w:r w:rsidRPr="00AD79C7">
        <w:rPr>
          <w:rFonts w:ascii="Abadi" w:hAnsi="Abadi"/>
          <w:b/>
          <w:bCs/>
          <w:sz w:val="21"/>
          <w:szCs w:val="21"/>
        </w:rPr>
        <w:t>el</w:t>
      </w:r>
      <w:r w:rsidRPr="00AD79C7">
        <w:rPr>
          <w:rFonts w:ascii="Abadi" w:hAnsi="Abadi"/>
          <w:b/>
          <w:bCs/>
          <w:spacing w:val="59"/>
          <w:sz w:val="21"/>
          <w:szCs w:val="21"/>
        </w:rPr>
        <w:t xml:space="preserve"> </w:t>
      </w:r>
      <w:r w:rsidRPr="00AD79C7">
        <w:rPr>
          <w:rFonts w:ascii="Abadi" w:hAnsi="Abadi"/>
          <w:b/>
          <w:bCs/>
          <w:sz w:val="21"/>
          <w:szCs w:val="21"/>
        </w:rPr>
        <w:t>Estado</w:t>
      </w:r>
      <w:r w:rsidRPr="00AD79C7">
        <w:rPr>
          <w:rFonts w:ascii="Abadi" w:hAnsi="Abadi"/>
          <w:b/>
          <w:bCs/>
          <w:spacing w:val="59"/>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Guanajuato,</w:t>
      </w:r>
      <w:r w:rsidRPr="00AD79C7">
        <w:rPr>
          <w:rFonts w:ascii="Abadi" w:hAnsi="Abadi"/>
          <w:b/>
          <w:bCs/>
          <w:spacing w:val="-1"/>
          <w:sz w:val="21"/>
          <w:szCs w:val="21"/>
        </w:rPr>
        <w:t xml:space="preserve"> </w:t>
      </w:r>
      <w:r w:rsidRPr="00AD79C7">
        <w:rPr>
          <w:rFonts w:ascii="Abadi" w:hAnsi="Abadi"/>
          <w:b/>
          <w:bCs/>
          <w:sz w:val="21"/>
          <w:szCs w:val="21"/>
        </w:rPr>
        <w:t>en la parte correspondiente</w:t>
      </w:r>
      <w:r w:rsidRPr="00AD79C7">
        <w:rPr>
          <w:rFonts w:ascii="Abadi" w:hAnsi="Abadi"/>
          <w:b/>
          <w:bCs/>
          <w:spacing w:val="-1"/>
          <w:sz w:val="21"/>
          <w:szCs w:val="21"/>
        </w:rPr>
        <w:t xml:space="preserve"> </w:t>
      </w:r>
      <w:r w:rsidRPr="00AD79C7">
        <w:rPr>
          <w:rFonts w:ascii="Abadi" w:hAnsi="Abadi"/>
          <w:b/>
          <w:bCs/>
          <w:sz w:val="21"/>
          <w:szCs w:val="21"/>
        </w:rPr>
        <w:t>al</w:t>
      </w:r>
      <w:r w:rsidRPr="00AD79C7">
        <w:rPr>
          <w:rFonts w:ascii="Abadi" w:hAnsi="Abadi"/>
          <w:b/>
          <w:bCs/>
          <w:spacing w:val="-1"/>
          <w:sz w:val="21"/>
          <w:szCs w:val="21"/>
        </w:rPr>
        <w:t xml:space="preserve"> </w:t>
      </w:r>
      <w:r w:rsidRPr="00AD79C7">
        <w:rPr>
          <w:rFonts w:ascii="Abadi" w:hAnsi="Abadi"/>
          <w:b/>
          <w:bCs/>
          <w:sz w:val="21"/>
          <w:szCs w:val="21"/>
        </w:rPr>
        <w:t>segundo de los ordenamientos.</w:t>
      </w:r>
    </w:p>
    <w:p w14:paraId="33185FEA" w14:textId="77777777" w:rsidR="004F6CE0" w:rsidRPr="004F6CE0" w:rsidRDefault="004F6CE0" w:rsidP="006B00FD">
      <w:pPr>
        <w:pStyle w:val="Prrafodelista"/>
        <w:ind w:right="566"/>
        <w:rPr>
          <w:rFonts w:ascii="Abadi" w:hAnsi="Abadi"/>
          <w:b/>
          <w:bCs/>
          <w:sz w:val="21"/>
          <w:szCs w:val="21"/>
        </w:rPr>
      </w:pPr>
    </w:p>
    <w:p w14:paraId="3C1C6F08" w14:textId="02EF226A" w:rsidR="000621EA" w:rsidRDefault="000621EA" w:rsidP="005433FA">
      <w:pPr>
        <w:pStyle w:val="Prrafodelista"/>
        <w:numPr>
          <w:ilvl w:val="0"/>
          <w:numId w:val="8"/>
        </w:numPr>
        <w:tabs>
          <w:tab w:val="left" w:pos="856"/>
        </w:tabs>
        <w:kinsoku w:val="0"/>
        <w:overflowPunct w:val="0"/>
        <w:autoSpaceDE w:val="0"/>
        <w:autoSpaceDN w:val="0"/>
        <w:adjustRightInd w:val="0"/>
        <w:spacing w:before="1"/>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7"/>
          <w:sz w:val="21"/>
          <w:szCs w:val="21"/>
        </w:rPr>
        <w:t xml:space="preserve"> </w:t>
      </w:r>
      <w:r w:rsidRPr="00AD79C7">
        <w:rPr>
          <w:rFonts w:ascii="Abadi" w:hAnsi="Abadi"/>
          <w:b/>
          <w:bCs/>
          <w:sz w:val="21"/>
          <w:szCs w:val="21"/>
        </w:rPr>
        <w:t>y,</w:t>
      </w:r>
      <w:r w:rsidRPr="00AD79C7">
        <w:rPr>
          <w:rFonts w:ascii="Abadi" w:hAnsi="Abadi"/>
          <w:b/>
          <w:bCs/>
          <w:spacing w:val="16"/>
          <w:sz w:val="21"/>
          <w:szCs w:val="21"/>
        </w:rPr>
        <w:t xml:space="preserve"> </w:t>
      </w:r>
      <w:r w:rsidRPr="00AD79C7">
        <w:rPr>
          <w:rFonts w:ascii="Abadi" w:hAnsi="Abadi"/>
          <w:b/>
          <w:bCs/>
          <w:sz w:val="21"/>
          <w:szCs w:val="21"/>
        </w:rPr>
        <w:t>en</w:t>
      </w:r>
      <w:r w:rsidRPr="00AD79C7">
        <w:rPr>
          <w:rFonts w:ascii="Abadi" w:hAnsi="Abadi"/>
          <w:b/>
          <w:bCs/>
          <w:spacing w:val="17"/>
          <w:sz w:val="21"/>
          <w:szCs w:val="21"/>
        </w:rPr>
        <w:t xml:space="preserve"> </w:t>
      </w:r>
      <w:r w:rsidRPr="00AD79C7">
        <w:rPr>
          <w:rFonts w:ascii="Abadi" w:hAnsi="Abadi"/>
          <w:b/>
          <w:bCs/>
          <w:sz w:val="21"/>
          <w:szCs w:val="21"/>
        </w:rPr>
        <w:t>su</w:t>
      </w:r>
      <w:r w:rsidRPr="00AD79C7">
        <w:rPr>
          <w:rFonts w:ascii="Abadi" w:hAnsi="Abadi"/>
          <w:b/>
          <w:bCs/>
          <w:spacing w:val="17"/>
          <w:sz w:val="21"/>
          <w:szCs w:val="21"/>
        </w:rPr>
        <w:t xml:space="preserve"> </w:t>
      </w:r>
      <w:r w:rsidRPr="00AD79C7">
        <w:rPr>
          <w:rFonts w:ascii="Abadi" w:hAnsi="Abadi"/>
          <w:b/>
          <w:bCs/>
          <w:sz w:val="21"/>
          <w:szCs w:val="21"/>
        </w:rPr>
        <w:t>caso,</w:t>
      </w:r>
      <w:r w:rsidRPr="00AD79C7">
        <w:rPr>
          <w:rFonts w:ascii="Abadi" w:hAnsi="Abadi"/>
          <w:b/>
          <w:bCs/>
          <w:spacing w:val="15"/>
          <w:sz w:val="21"/>
          <w:szCs w:val="21"/>
        </w:rPr>
        <w:t xml:space="preserve"> </w:t>
      </w:r>
      <w:r w:rsidRPr="00AD79C7">
        <w:rPr>
          <w:rFonts w:ascii="Abadi" w:hAnsi="Abadi"/>
          <w:b/>
          <w:bCs/>
          <w:sz w:val="21"/>
          <w:szCs w:val="21"/>
        </w:rPr>
        <w:t>aprobación</w:t>
      </w:r>
      <w:r w:rsidRPr="00AD79C7">
        <w:rPr>
          <w:rFonts w:ascii="Abadi" w:hAnsi="Abadi"/>
          <w:b/>
          <w:bCs/>
          <w:spacing w:val="17"/>
          <w:sz w:val="21"/>
          <w:szCs w:val="21"/>
        </w:rPr>
        <w:t xml:space="preserve"> </w:t>
      </w:r>
      <w:r w:rsidRPr="00AD79C7">
        <w:rPr>
          <w:rFonts w:ascii="Abadi" w:hAnsi="Abadi"/>
          <w:b/>
          <w:bCs/>
          <w:sz w:val="21"/>
          <w:szCs w:val="21"/>
        </w:rPr>
        <w:t>del</w:t>
      </w:r>
      <w:r w:rsidRPr="00AD79C7">
        <w:rPr>
          <w:rFonts w:ascii="Abadi" w:hAnsi="Abadi"/>
          <w:b/>
          <w:bCs/>
          <w:spacing w:val="16"/>
          <w:sz w:val="21"/>
          <w:szCs w:val="21"/>
        </w:rPr>
        <w:t xml:space="preserve"> </w:t>
      </w:r>
      <w:r w:rsidRPr="00AD79C7">
        <w:rPr>
          <w:rFonts w:ascii="Abadi" w:hAnsi="Abadi"/>
          <w:b/>
          <w:bCs/>
          <w:sz w:val="21"/>
          <w:szCs w:val="21"/>
        </w:rPr>
        <w:t>dictamen</w:t>
      </w:r>
      <w:r w:rsidRPr="00AD79C7">
        <w:rPr>
          <w:rFonts w:ascii="Abadi" w:hAnsi="Abadi"/>
          <w:b/>
          <w:bCs/>
          <w:spacing w:val="17"/>
          <w:sz w:val="21"/>
          <w:szCs w:val="21"/>
        </w:rPr>
        <w:t xml:space="preserve"> </w:t>
      </w:r>
      <w:r w:rsidRPr="00AD79C7">
        <w:rPr>
          <w:rFonts w:ascii="Abadi" w:hAnsi="Abadi"/>
          <w:b/>
          <w:bCs/>
          <w:sz w:val="21"/>
          <w:szCs w:val="21"/>
        </w:rPr>
        <w:t>emitido</w:t>
      </w:r>
      <w:r w:rsidRPr="00AD79C7">
        <w:rPr>
          <w:rFonts w:ascii="Abadi" w:hAnsi="Abadi"/>
          <w:b/>
          <w:bCs/>
          <w:spacing w:val="16"/>
          <w:sz w:val="21"/>
          <w:szCs w:val="21"/>
        </w:rPr>
        <w:t xml:space="preserve"> </w:t>
      </w:r>
      <w:r w:rsidRPr="00AD79C7">
        <w:rPr>
          <w:rFonts w:ascii="Abadi" w:hAnsi="Abadi"/>
          <w:b/>
          <w:bCs/>
          <w:sz w:val="21"/>
          <w:szCs w:val="21"/>
        </w:rPr>
        <w:t>por</w:t>
      </w:r>
      <w:r w:rsidRPr="00AD79C7">
        <w:rPr>
          <w:rFonts w:ascii="Abadi" w:hAnsi="Abadi"/>
          <w:b/>
          <w:bCs/>
          <w:spacing w:val="15"/>
          <w:sz w:val="21"/>
          <w:szCs w:val="21"/>
        </w:rPr>
        <w:t xml:space="preserve"> </w:t>
      </w:r>
      <w:r w:rsidRPr="00AD79C7">
        <w:rPr>
          <w:rFonts w:ascii="Abadi" w:hAnsi="Abadi"/>
          <w:b/>
          <w:bCs/>
          <w:sz w:val="21"/>
          <w:szCs w:val="21"/>
        </w:rPr>
        <w:t>la</w:t>
      </w:r>
      <w:r w:rsidRPr="00AD79C7">
        <w:rPr>
          <w:rFonts w:ascii="Abadi" w:hAnsi="Abadi"/>
          <w:b/>
          <w:bCs/>
          <w:spacing w:val="17"/>
          <w:sz w:val="21"/>
          <w:szCs w:val="21"/>
        </w:rPr>
        <w:t xml:space="preserve"> </w:t>
      </w:r>
      <w:r w:rsidRPr="00AD79C7">
        <w:rPr>
          <w:rFonts w:ascii="Abadi" w:hAnsi="Abadi"/>
          <w:b/>
          <w:bCs/>
          <w:sz w:val="21"/>
          <w:szCs w:val="21"/>
        </w:rPr>
        <w:t>Comisión</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3"/>
          <w:sz w:val="21"/>
          <w:szCs w:val="21"/>
        </w:rPr>
        <w:t xml:space="preserve"> </w:t>
      </w:r>
      <w:r w:rsidRPr="00AD79C7">
        <w:rPr>
          <w:rFonts w:ascii="Abadi" w:hAnsi="Abadi"/>
          <w:b/>
          <w:bCs/>
          <w:sz w:val="21"/>
          <w:szCs w:val="21"/>
        </w:rPr>
        <w:t>Hacienda</w:t>
      </w:r>
      <w:r w:rsidRPr="00AD79C7">
        <w:rPr>
          <w:rFonts w:ascii="Abadi" w:hAnsi="Abadi"/>
          <w:b/>
          <w:bCs/>
          <w:spacing w:val="-3"/>
          <w:sz w:val="21"/>
          <w:szCs w:val="21"/>
        </w:rPr>
        <w:t xml:space="preserve"> </w:t>
      </w:r>
      <w:r w:rsidRPr="00AD79C7">
        <w:rPr>
          <w:rFonts w:ascii="Abadi" w:hAnsi="Abadi"/>
          <w:b/>
          <w:bCs/>
          <w:sz w:val="21"/>
          <w:szCs w:val="21"/>
        </w:rPr>
        <w:t>y</w:t>
      </w:r>
      <w:r w:rsidRPr="00AD79C7">
        <w:rPr>
          <w:rFonts w:ascii="Abadi" w:hAnsi="Abadi"/>
          <w:b/>
          <w:bCs/>
          <w:spacing w:val="-3"/>
          <w:sz w:val="21"/>
          <w:szCs w:val="21"/>
        </w:rPr>
        <w:t xml:space="preserve"> </w:t>
      </w:r>
      <w:r w:rsidRPr="00AD79C7">
        <w:rPr>
          <w:rFonts w:ascii="Abadi" w:hAnsi="Abadi"/>
          <w:b/>
          <w:bCs/>
          <w:sz w:val="21"/>
          <w:szCs w:val="21"/>
        </w:rPr>
        <w:t>Fiscalización</w:t>
      </w:r>
      <w:r w:rsidRPr="00AD79C7">
        <w:rPr>
          <w:rFonts w:ascii="Abadi" w:hAnsi="Abadi"/>
          <w:b/>
          <w:bCs/>
          <w:spacing w:val="-3"/>
          <w:sz w:val="21"/>
          <w:szCs w:val="21"/>
        </w:rPr>
        <w:t xml:space="preserve"> </w:t>
      </w:r>
      <w:r w:rsidRPr="00AD79C7">
        <w:rPr>
          <w:rFonts w:ascii="Abadi" w:hAnsi="Abadi"/>
          <w:b/>
          <w:bCs/>
          <w:sz w:val="21"/>
          <w:szCs w:val="21"/>
        </w:rPr>
        <w:t>relativo</w:t>
      </w:r>
      <w:r w:rsidRPr="00AD79C7">
        <w:rPr>
          <w:rFonts w:ascii="Abadi" w:hAnsi="Abadi"/>
          <w:b/>
          <w:bCs/>
          <w:spacing w:val="-3"/>
          <w:sz w:val="21"/>
          <w:szCs w:val="21"/>
        </w:rPr>
        <w:t xml:space="preserve"> </w:t>
      </w:r>
      <w:r w:rsidRPr="00AD79C7">
        <w:rPr>
          <w:rFonts w:ascii="Abadi" w:hAnsi="Abadi"/>
          <w:b/>
          <w:bCs/>
          <w:sz w:val="21"/>
          <w:szCs w:val="21"/>
        </w:rPr>
        <w:t>a</w:t>
      </w:r>
      <w:r w:rsidRPr="00AD79C7">
        <w:rPr>
          <w:rFonts w:ascii="Abadi" w:hAnsi="Abadi"/>
          <w:b/>
          <w:bCs/>
          <w:spacing w:val="-4"/>
          <w:sz w:val="21"/>
          <w:szCs w:val="21"/>
        </w:rPr>
        <w:t xml:space="preserve"> </w:t>
      </w:r>
      <w:r w:rsidRPr="00AD79C7">
        <w:rPr>
          <w:rFonts w:ascii="Abadi" w:hAnsi="Abadi"/>
          <w:b/>
          <w:bCs/>
          <w:sz w:val="21"/>
          <w:szCs w:val="21"/>
        </w:rPr>
        <w:t>la</w:t>
      </w:r>
      <w:r w:rsidRPr="00AD79C7">
        <w:rPr>
          <w:rFonts w:ascii="Abadi" w:hAnsi="Abadi"/>
          <w:b/>
          <w:bCs/>
          <w:spacing w:val="-3"/>
          <w:sz w:val="21"/>
          <w:szCs w:val="21"/>
        </w:rPr>
        <w:t xml:space="preserve"> </w:t>
      </w:r>
      <w:r w:rsidRPr="00AD79C7">
        <w:rPr>
          <w:rFonts w:ascii="Abadi" w:hAnsi="Abadi"/>
          <w:b/>
          <w:bCs/>
          <w:sz w:val="21"/>
          <w:szCs w:val="21"/>
        </w:rPr>
        <w:t>iniciativa</w:t>
      </w:r>
      <w:r w:rsidRPr="00AD79C7">
        <w:rPr>
          <w:rFonts w:ascii="Abadi" w:hAnsi="Abadi"/>
          <w:b/>
          <w:bCs/>
          <w:spacing w:val="-3"/>
          <w:sz w:val="21"/>
          <w:szCs w:val="21"/>
        </w:rPr>
        <w:t xml:space="preserve"> </w:t>
      </w:r>
      <w:r w:rsidRPr="00AD79C7">
        <w:rPr>
          <w:rFonts w:ascii="Abadi" w:hAnsi="Abadi"/>
          <w:b/>
          <w:bCs/>
          <w:sz w:val="21"/>
          <w:szCs w:val="21"/>
        </w:rPr>
        <w:t>formulada</w:t>
      </w:r>
      <w:r w:rsidRPr="00AD79C7">
        <w:rPr>
          <w:rFonts w:ascii="Abadi" w:hAnsi="Abadi"/>
          <w:b/>
          <w:bCs/>
          <w:spacing w:val="-3"/>
          <w:sz w:val="21"/>
          <w:szCs w:val="21"/>
        </w:rPr>
        <w:t xml:space="preserve"> </w:t>
      </w:r>
      <w:r w:rsidRPr="00AD79C7">
        <w:rPr>
          <w:rFonts w:ascii="Abadi" w:hAnsi="Abadi"/>
          <w:b/>
          <w:bCs/>
          <w:sz w:val="21"/>
          <w:szCs w:val="21"/>
        </w:rPr>
        <w:t>por</w:t>
      </w:r>
      <w:r w:rsidRPr="00AD79C7">
        <w:rPr>
          <w:rFonts w:ascii="Abadi" w:hAnsi="Abadi"/>
          <w:b/>
          <w:bCs/>
          <w:spacing w:val="-3"/>
          <w:sz w:val="21"/>
          <w:szCs w:val="21"/>
        </w:rPr>
        <w:t xml:space="preserve"> </w:t>
      </w:r>
      <w:r w:rsidRPr="00AD79C7">
        <w:rPr>
          <w:rFonts w:ascii="Abadi" w:hAnsi="Abadi"/>
          <w:b/>
          <w:bCs/>
          <w:sz w:val="21"/>
          <w:szCs w:val="21"/>
        </w:rPr>
        <w:t>la</w:t>
      </w:r>
      <w:r w:rsidRPr="00AD79C7">
        <w:rPr>
          <w:rFonts w:ascii="Abadi" w:hAnsi="Abadi"/>
          <w:b/>
          <w:bCs/>
          <w:spacing w:val="-3"/>
          <w:sz w:val="21"/>
          <w:szCs w:val="21"/>
        </w:rPr>
        <w:t xml:space="preserve"> </w:t>
      </w:r>
      <w:r w:rsidRPr="00AD79C7">
        <w:rPr>
          <w:rFonts w:ascii="Abadi" w:hAnsi="Abadi"/>
          <w:b/>
          <w:bCs/>
          <w:sz w:val="21"/>
          <w:szCs w:val="21"/>
        </w:rPr>
        <w:t>diputada</w:t>
      </w:r>
      <w:r w:rsidRPr="00AD79C7">
        <w:rPr>
          <w:rFonts w:ascii="Abadi" w:hAnsi="Abadi"/>
          <w:b/>
          <w:bCs/>
          <w:spacing w:val="-1"/>
          <w:sz w:val="21"/>
          <w:szCs w:val="21"/>
        </w:rPr>
        <w:t xml:space="preserve"> </w:t>
      </w:r>
      <w:r w:rsidRPr="00AD79C7">
        <w:rPr>
          <w:rFonts w:ascii="Abadi" w:hAnsi="Abadi"/>
          <w:b/>
          <w:bCs/>
          <w:sz w:val="21"/>
          <w:szCs w:val="21"/>
        </w:rPr>
        <w:t>y</w:t>
      </w:r>
      <w:r w:rsidRPr="00AD79C7">
        <w:rPr>
          <w:rFonts w:ascii="Abadi" w:hAnsi="Abadi"/>
          <w:b/>
          <w:bCs/>
          <w:spacing w:val="58"/>
          <w:w w:val="150"/>
          <w:sz w:val="21"/>
          <w:szCs w:val="21"/>
        </w:rPr>
        <w:t xml:space="preserve"> </w:t>
      </w:r>
      <w:r w:rsidRPr="00AD79C7">
        <w:rPr>
          <w:rFonts w:ascii="Abadi" w:hAnsi="Abadi"/>
          <w:b/>
          <w:bCs/>
          <w:sz w:val="21"/>
          <w:szCs w:val="21"/>
        </w:rPr>
        <w:t>el</w:t>
      </w:r>
      <w:r w:rsidRPr="00AD79C7">
        <w:rPr>
          <w:rFonts w:ascii="Abadi" w:hAnsi="Abadi"/>
          <w:b/>
          <w:bCs/>
          <w:spacing w:val="58"/>
          <w:w w:val="150"/>
          <w:sz w:val="21"/>
          <w:szCs w:val="21"/>
        </w:rPr>
        <w:t xml:space="preserve"> </w:t>
      </w:r>
      <w:r w:rsidRPr="00AD79C7">
        <w:rPr>
          <w:rFonts w:ascii="Abadi" w:hAnsi="Abadi"/>
          <w:b/>
          <w:bCs/>
          <w:sz w:val="21"/>
          <w:szCs w:val="21"/>
        </w:rPr>
        <w:t>diputado</w:t>
      </w:r>
      <w:r w:rsidRPr="00AD79C7">
        <w:rPr>
          <w:rFonts w:ascii="Abadi" w:hAnsi="Abadi"/>
          <w:b/>
          <w:bCs/>
          <w:spacing w:val="58"/>
          <w:w w:val="150"/>
          <w:sz w:val="21"/>
          <w:szCs w:val="21"/>
        </w:rPr>
        <w:t xml:space="preserve"> </w:t>
      </w:r>
      <w:r w:rsidRPr="00AD79C7">
        <w:rPr>
          <w:rFonts w:ascii="Abadi" w:hAnsi="Abadi"/>
          <w:b/>
          <w:bCs/>
          <w:sz w:val="21"/>
          <w:szCs w:val="21"/>
        </w:rPr>
        <w:t>integrantes</w:t>
      </w:r>
      <w:r w:rsidRPr="00AD79C7">
        <w:rPr>
          <w:rFonts w:ascii="Abadi" w:hAnsi="Abadi"/>
          <w:b/>
          <w:bCs/>
          <w:spacing w:val="58"/>
          <w:w w:val="150"/>
          <w:sz w:val="21"/>
          <w:szCs w:val="21"/>
        </w:rPr>
        <w:t xml:space="preserve"> </w:t>
      </w:r>
      <w:r w:rsidRPr="00AD79C7">
        <w:rPr>
          <w:rFonts w:ascii="Abadi" w:hAnsi="Abadi"/>
          <w:b/>
          <w:bCs/>
          <w:sz w:val="21"/>
          <w:szCs w:val="21"/>
        </w:rPr>
        <w:t>del</w:t>
      </w:r>
      <w:r w:rsidRPr="00AD79C7">
        <w:rPr>
          <w:rFonts w:ascii="Abadi" w:hAnsi="Abadi"/>
          <w:b/>
          <w:bCs/>
          <w:spacing w:val="58"/>
          <w:w w:val="150"/>
          <w:sz w:val="21"/>
          <w:szCs w:val="21"/>
        </w:rPr>
        <w:t xml:space="preserve"> </w:t>
      </w:r>
      <w:r w:rsidRPr="00AD79C7">
        <w:rPr>
          <w:rFonts w:ascii="Abadi" w:hAnsi="Abadi"/>
          <w:b/>
          <w:bCs/>
          <w:sz w:val="21"/>
          <w:szCs w:val="21"/>
        </w:rPr>
        <w:t>Grupo</w:t>
      </w:r>
      <w:r w:rsidRPr="00AD79C7">
        <w:rPr>
          <w:rFonts w:ascii="Abadi" w:hAnsi="Abadi"/>
          <w:b/>
          <w:bCs/>
          <w:spacing w:val="58"/>
          <w:w w:val="150"/>
          <w:sz w:val="21"/>
          <w:szCs w:val="21"/>
        </w:rPr>
        <w:t xml:space="preserve"> </w:t>
      </w:r>
      <w:r w:rsidRPr="00AD79C7">
        <w:rPr>
          <w:rFonts w:ascii="Abadi" w:hAnsi="Abadi"/>
          <w:b/>
          <w:bCs/>
          <w:sz w:val="21"/>
          <w:szCs w:val="21"/>
        </w:rPr>
        <w:t>Parlamentario</w:t>
      </w:r>
      <w:r w:rsidRPr="00AD79C7">
        <w:rPr>
          <w:rFonts w:ascii="Abadi" w:hAnsi="Abadi"/>
          <w:b/>
          <w:bCs/>
          <w:spacing w:val="58"/>
          <w:w w:val="150"/>
          <w:sz w:val="21"/>
          <w:szCs w:val="21"/>
        </w:rPr>
        <w:t xml:space="preserve"> </w:t>
      </w:r>
      <w:r w:rsidRPr="00AD79C7">
        <w:rPr>
          <w:rFonts w:ascii="Abadi" w:hAnsi="Abadi"/>
          <w:b/>
          <w:bCs/>
          <w:sz w:val="21"/>
          <w:szCs w:val="21"/>
        </w:rPr>
        <w:t>del</w:t>
      </w:r>
      <w:r w:rsidRPr="00AD79C7">
        <w:rPr>
          <w:rFonts w:ascii="Abadi" w:hAnsi="Abadi"/>
          <w:b/>
          <w:bCs/>
          <w:spacing w:val="58"/>
          <w:w w:val="150"/>
          <w:sz w:val="21"/>
          <w:szCs w:val="21"/>
        </w:rPr>
        <w:t xml:space="preserve"> </w:t>
      </w:r>
      <w:r w:rsidRPr="00AD79C7">
        <w:rPr>
          <w:rFonts w:ascii="Abadi" w:hAnsi="Abadi"/>
          <w:b/>
          <w:bCs/>
          <w:sz w:val="21"/>
          <w:szCs w:val="21"/>
        </w:rPr>
        <w:t>Partido</w:t>
      </w:r>
      <w:r w:rsidRPr="00AD79C7">
        <w:rPr>
          <w:rFonts w:ascii="Abadi" w:hAnsi="Abadi"/>
          <w:b/>
          <w:bCs/>
          <w:spacing w:val="58"/>
          <w:w w:val="150"/>
          <w:sz w:val="21"/>
          <w:szCs w:val="21"/>
        </w:rPr>
        <w:t xml:space="preserve"> </w:t>
      </w:r>
      <w:r w:rsidRPr="00AD79C7">
        <w:rPr>
          <w:rFonts w:ascii="Abadi" w:hAnsi="Abadi"/>
          <w:b/>
          <w:bCs/>
          <w:sz w:val="21"/>
          <w:szCs w:val="21"/>
        </w:rPr>
        <w:t>Verde</w:t>
      </w:r>
      <w:r w:rsidRPr="00AD79C7">
        <w:rPr>
          <w:rFonts w:ascii="Abadi" w:hAnsi="Abadi"/>
          <w:b/>
          <w:bCs/>
          <w:spacing w:val="-1"/>
          <w:sz w:val="21"/>
          <w:szCs w:val="21"/>
        </w:rPr>
        <w:t xml:space="preserve"> </w:t>
      </w:r>
      <w:r w:rsidRPr="00AD79C7">
        <w:rPr>
          <w:rFonts w:ascii="Abadi" w:hAnsi="Abadi"/>
          <w:b/>
          <w:bCs/>
          <w:sz w:val="21"/>
          <w:szCs w:val="21"/>
        </w:rPr>
        <w:t>Ecologista de México a efecto de reformar y adicionar diversos artículos de</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Ley</w:t>
      </w:r>
      <w:r w:rsidRPr="00AD79C7">
        <w:rPr>
          <w:rFonts w:ascii="Abadi" w:hAnsi="Abadi"/>
          <w:b/>
          <w:bCs/>
          <w:spacing w:val="10"/>
          <w:sz w:val="21"/>
          <w:szCs w:val="21"/>
        </w:rPr>
        <w:t xml:space="preserve"> </w:t>
      </w:r>
      <w:r w:rsidRPr="00AD79C7">
        <w:rPr>
          <w:rFonts w:ascii="Abadi" w:hAnsi="Abadi"/>
          <w:b/>
          <w:bCs/>
          <w:sz w:val="21"/>
          <w:szCs w:val="21"/>
        </w:rPr>
        <w:t>para</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Gestión</w:t>
      </w:r>
      <w:r w:rsidRPr="00AD79C7">
        <w:rPr>
          <w:rFonts w:ascii="Abadi" w:hAnsi="Abadi"/>
          <w:b/>
          <w:bCs/>
          <w:spacing w:val="10"/>
          <w:sz w:val="21"/>
          <w:szCs w:val="21"/>
        </w:rPr>
        <w:t xml:space="preserve"> </w:t>
      </w:r>
      <w:r w:rsidRPr="00AD79C7">
        <w:rPr>
          <w:rFonts w:ascii="Abadi" w:hAnsi="Abadi"/>
          <w:b/>
          <w:bCs/>
          <w:sz w:val="21"/>
          <w:szCs w:val="21"/>
        </w:rPr>
        <w:t>Integral</w:t>
      </w:r>
      <w:r w:rsidRPr="00AD79C7">
        <w:rPr>
          <w:rFonts w:ascii="Abadi" w:hAnsi="Abadi"/>
          <w:b/>
          <w:bCs/>
          <w:spacing w:val="8"/>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Residuos</w:t>
      </w:r>
      <w:r w:rsidRPr="00AD79C7">
        <w:rPr>
          <w:rFonts w:ascii="Abadi" w:hAnsi="Abadi"/>
          <w:b/>
          <w:bCs/>
          <w:spacing w:val="10"/>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Estado</w:t>
      </w:r>
      <w:r w:rsidRPr="00AD79C7">
        <w:rPr>
          <w:rFonts w:ascii="Abadi" w:hAnsi="Abadi"/>
          <w:b/>
          <w:bCs/>
          <w:spacing w:val="9"/>
          <w:sz w:val="21"/>
          <w:szCs w:val="21"/>
        </w:rPr>
        <w:t xml:space="preserve"> </w:t>
      </w:r>
      <w:r w:rsidRPr="00AD79C7">
        <w:rPr>
          <w:rFonts w:ascii="Abadi" w:hAnsi="Abadi"/>
          <w:b/>
          <w:bCs/>
          <w:sz w:val="21"/>
          <w:szCs w:val="21"/>
        </w:rPr>
        <w:t>y</w:t>
      </w:r>
      <w:r w:rsidRPr="00AD79C7">
        <w:rPr>
          <w:rFonts w:ascii="Abadi" w:hAnsi="Abadi"/>
          <w:b/>
          <w:bCs/>
          <w:spacing w:val="9"/>
          <w:sz w:val="21"/>
          <w:szCs w:val="21"/>
        </w:rPr>
        <w:t xml:space="preserve"> </w:t>
      </w:r>
      <w:r w:rsidRPr="00AD79C7">
        <w:rPr>
          <w:rFonts w:ascii="Abadi" w:hAnsi="Abadi"/>
          <w:b/>
          <w:bCs/>
          <w:sz w:val="21"/>
          <w:szCs w:val="21"/>
        </w:rPr>
        <w:t>los</w:t>
      </w:r>
      <w:r w:rsidRPr="00AD79C7">
        <w:rPr>
          <w:rFonts w:ascii="Abadi" w:hAnsi="Abadi"/>
          <w:b/>
          <w:bCs/>
          <w:spacing w:val="8"/>
          <w:sz w:val="21"/>
          <w:szCs w:val="21"/>
        </w:rPr>
        <w:t xml:space="preserve"> </w:t>
      </w:r>
      <w:r w:rsidRPr="00AD79C7">
        <w:rPr>
          <w:rFonts w:ascii="Abadi" w:hAnsi="Abadi"/>
          <w:b/>
          <w:bCs/>
          <w:sz w:val="21"/>
          <w:szCs w:val="21"/>
        </w:rPr>
        <w:t>Municipios</w:t>
      </w:r>
      <w:r w:rsidRPr="00AD79C7">
        <w:rPr>
          <w:rFonts w:ascii="Abadi" w:hAnsi="Abadi"/>
          <w:b/>
          <w:bCs/>
          <w:spacing w:val="9"/>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Guanajuato</w:t>
      </w:r>
      <w:r w:rsidRPr="00AD79C7">
        <w:rPr>
          <w:rFonts w:ascii="Abadi" w:hAnsi="Abadi"/>
          <w:b/>
          <w:bCs/>
          <w:spacing w:val="60"/>
          <w:sz w:val="21"/>
          <w:szCs w:val="21"/>
        </w:rPr>
        <w:t xml:space="preserve"> </w:t>
      </w:r>
      <w:r w:rsidRPr="00AD79C7">
        <w:rPr>
          <w:rFonts w:ascii="Abadi" w:hAnsi="Abadi"/>
          <w:b/>
          <w:bCs/>
          <w:sz w:val="21"/>
          <w:szCs w:val="21"/>
        </w:rPr>
        <w:t>y</w:t>
      </w:r>
      <w:r w:rsidRPr="00AD79C7">
        <w:rPr>
          <w:rFonts w:ascii="Abadi" w:hAnsi="Abadi"/>
          <w:b/>
          <w:bCs/>
          <w:spacing w:val="60"/>
          <w:sz w:val="21"/>
          <w:szCs w:val="21"/>
        </w:rPr>
        <w:t xml:space="preserve"> </w:t>
      </w:r>
      <w:r w:rsidRPr="00AD79C7">
        <w:rPr>
          <w:rFonts w:ascii="Abadi" w:hAnsi="Abadi"/>
          <w:b/>
          <w:bCs/>
          <w:sz w:val="21"/>
          <w:szCs w:val="21"/>
        </w:rPr>
        <w:t>de</w:t>
      </w:r>
      <w:r w:rsidRPr="00AD79C7">
        <w:rPr>
          <w:rFonts w:ascii="Abadi" w:hAnsi="Abadi"/>
          <w:b/>
          <w:bCs/>
          <w:spacing w:val="60"/>
          <w:sz w:val="21"/>
          <w:szCs w:val="21"/>
        </w:rPr>
        <w:t xml:space="preserve"> </w:t>
      </w:r>
      <w:r w:rsidRPr="00AD79C7">
        <w:rPr>
          <w:rFonts w:ascii="Abadi" w:hAnsi="Abadi"/>
          <w:b/>
          <w:bCs/>
          <w:sz w:val="21"/>
          <w:szCs w:val="21"/>
        </w:rPr>
        <w:t>la</w:t>
      </w:r>
      <w:r w:rsidRPr="00AD79C7">
        <w:rPr>
          <w:rFonts w:ascii="Abadi" w:hAnsi="Abadi"/>
          <w:b/>
          <w:bCs/>
          <w:spacing w:val="59"/>
          <w:sz w:val="21"/>
          <w:szCs w:val="21"/>
        </w:rPr>
        <w:t xml:space="preserve"> </w:t>
      </w:r>
      <w:r w:rsidRPr="00AD79C7">
        <w:rPr>
          <w:rFonts w:ascii="Abadi" w:hAnsi="Abadi"/>
          <w:b/>
          <w:bCs/>
          <w:sz w:val="21"/>
          <w:szCs w:val="21"/>
        </w:rPr>
        <w:t>Ley</w:t>
      </w:r>
      <w:r w:rsidRPr="00AD79C7">
        <w:rPr>
          <w:rFonts w:ascii="Abadi" w:hAnsi="Abadi"/>
          <w:b/>
          <w:bCs/>
          <w:spacing w:val="59"/>
          <w:sz w:val="21"/>
          <w:szCs w:val="21"/>
        </w:rPr>
        <w:t xml:space="preserve"> </w:t>
      </w:r>
      <w:r w:rsidRPr="00AD79C7">
        <w:rPr>
          <w:rFonts w:ascii="Abadi" w:hAnsi="Abadi"/>
          <w:b/>
          <w:bCs/>
          <w:sz w:val="21"/>
          <w:szCs w:val="21"/>
        </w:rPr>
        <w:t>de</w:t>
      </w:r>
      <w:r w:rsidRPr="00AD79C7">
        <w:rPr>
          <w:rFonts w:ascii="Abadi" w:hAnsi="Abadi"/>
          <w:b/>
          <w:bCs/>
          <w:spacing w:val="60"/>
          <w:sz w:val="21"/>
          <w:szCs w:val="21"/>
        </w:rPr>
        <w:t xml:space="preserve"> </w:t>
      </w:r>
      <w:r w:rsidRPr="00AD79C7">
        <w:rPr>
          <w:rFonts w:ascii="Abadi" w:hAnsi="Abadi"/>
          <w:b/>
          <w:bCs/>
          <w:sz w:val="21"/>
          <w:szCs w:val="21"/>
        </w:rPr>
        <w:t>Contrataciones</w:t>
      </w:r>
      <w:r w:rsidRPr="00AD79C7">
        <w:rPr>
          <w:rFonts w:ascii="Abadi" w:hAnsi="Abadi"/>
          <w:b/>
          <w:bCs/>
          <w:spacing w:val="60"/>
          <w:sz w:val="21"/>
          <w:szCs w:val="21"/>
        </w:rPr>
        <w:t xml:space="preserve"> </w:t>
      </w:r>
      <w:r w:rsidRPr="00AD79C7">
        <w:rPr>
          <w:rFonts w:ascii="Abadi" w:hAnsi="Abadi"/>
          <w:b/>
          <w:bCs/>
          <w:sz w:val="21"/>
          <w:szCs w:val="21"/>
        </w:rPr>
        <w:t>Públicas</w:t>
      </w:r>
      <w:r w:rsidRPr="00AD79C7">
        <w:rPr>
          <w:rFonts w:ascii="Abadi" w:hAnsi="Abadi"/>
          <w:b/>
          <w:bCs/>
          <w:spacing w:val="59"/>
          <w:sz w:val="21"/>
          <w:szCs w:val="21"/>
        </w:rPr>
        <w:t xml:space="preserve"> </w:t>
      </w:r>
      <w:r w:rsidRPr="00AD79C7">
        <w:rPr>
          <w:rFonts w:ascii="Abadi" w:hAnsi="Abadi"/>
          <w:b/>
          <w:bCs/>
          <w:sz w:val="21"/>
          <w:szCs w:val="21"/>
        </w:rPr>
        <w:t>para</w:t>
      </w:r>
      <w:r w:rsidRPr="00AD79C7">
        <w:rPr>
          <w:rFonts w:ascii="Abadi" w:hAnsi="Abadi"/>
          <w:b/>
          <w:bCs/>
          <w:spacing w:val="60"/>
          <w:sz w:val="21"/>
          <w:szCs w:val="21"/>
        </w:rPr>
        <w:t xml:space="preserve"> </w:t>
      </w:r>
      <w:r w:rsidRPr="00AD79C7">
        <w:rPr>
          <w:rFonts w:ascii="Abadi" w:hAnsi="Abadi"/>
          <w:b/>
          <w:bCs/>
          <w:sz w:val="21"/>
          <w:szCs w:val="21"/>
        </w:rPr>
        <w:t>el</w:t>
      </w:r>
      <w:r w:rsidRPr="00AD79C7">
        <w:rPr>
          <w:rFonts w:ascii="Abadi" w:hAnsi="Abadi"/>
          <w:b/>
          <w:bCs/>
          <w:spacing w:val="59"/>
          <w:sz w:val="21"/>
          <w:szCs w:val="21"/>
        </w:rPr>
        <w:t xml:space="preserve"> </w:t>
      </w:r>
      <w:r w:rsidRPr="00AD79C7">
        <w:rPr>
          <w:rFonts w:ascii="Abadi" w:hAnsi="Abadi"/>
          <w:b/>
          <w:bCs/>
          <w:sz w:val="21"/>
          <w:szCs w:val="21"/>
        </w:rPr>
        <w:t>Estado</w:t>
      </w:r>
      <w:r w:rsidRPr="00AD79C7">
        <w:rPr>
          <w:rFonts w:ascii="Abadi" w:hAnsi="Abadi"/>
          <w:b/>
          <w:bCs/>
          <w:spacing w:val="59"/>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Guanajuato,</w:t>
      </w:r>
      <w:r w:rsidRPr="00AD79C7">
        <w:rPr>
          <w:rFonts w:ascii="Abadi" w:hAnsi="Abadi"/>
          <w:b/>
          <w:bCs/>
          <w:spacing w:val="-1"/>
          <w:sz w:val="21"/>
          <w:szCs w:val="21"/>
        </w:rPr>
        <w:t xml:space="preserve"> </w:t>
      </w:r>
      <w:r w:rsidRPr="00AD79C7">
        <w:rPr>
          <w:rFonts w:ascii="Abadi" w:hAnsi="Abadi"/>
          <w:b/>
          <w:bCs/>
          <w:sz w:val="21"/>
          <w:szCs w:val="21"/>
        </w:rPr>
        <w:t>en la parte correspondiente</w:t>
      </w:r>
      <w:r w:rsidRPr="00AD79C7">
        <w:rPr>
          <w:rFonts w:ascii="Abadi" w:hAnsi="Abadi"/>
          <w:b/>
          <w:bCs/>
          <w:spacing w:val="-1"/>
          <w:sz w:val="21"/>
          <w:szCs w:val="21"/>
        </w:rPr>
        <w:t xml:space="preserve"> </w:t>
      </w:r>
      <w:r w:rsidRPr="00AD79C7">
        <w:rPr>
          <w:rFonts w:ascii="Abadi" w:hAnsi="Abadi"/>
          <w:b/>
          <w:bCs/>
          <w:sz w:val="21"/>
          <w:szCs w:val="21"/>
        </w:rPr>
        <w:t>al</w:t>
      </w:r>
      <w:r w:rsidRPr="00AD79C7">
        <w:rPr>
          <w:rFonts w:ascii="Abadi" w:hAnsi="Abadi"/>
          <w:b/>
          <w:bCs/>
          <w:spacing w:val="-1"/>
          <w:sz w:val="21"/>
          <w:szCs w:val="21"/>
        </w:rPr>
        <w:t xml:space="preserve"> </w:t>
      </w:r>
      <w:r w:rsidRPr="00AD79C7">
        <w:rPr>
          <w:rFonts w:ascii="Abadi" w:hAnsi="Abadi"/>
          <w:b/>
          <w:bCs/>
          <w:sz w:val="21"/>
          <w:szCs w:val="21"/>
        </w:rPr>
        <w:t>segundo de los ordenamientos.</w:t>
      </w:r>
    </w:p>
    <w:p w14:paraId="6C013789" w14:textId="77777777" w:rsidR="009B1385" w:rsidRPr="009B1385" w:rsidRDefault="009B1385" w:rsidP="006B00FD">
      <w:pPr>
        <w:pStyle w:val="Prrafodelista"/>
        <w:ind w:right="566"/>
        <w:rPr>
          <w:rFonts w:ascii="Abadi" w:hAnsi="Abadi"/>
          <w:b/>
          <w:bCs/>
          <w:sz w:val="21"/>
          <w:szCs w:val="21"/>
        </w:rPr>
      </w:pPr>
    </w:p>
    <w:p w14:paraId="5ACED7F4" w14:textId="77777777" w:rsidR="009B1385" w:rsidRPr="00AD79C7" w:rsidRDefault="009B1385" w:rsidP="005433FA">
      <w:pPr>
        <w:pStyle w:val="Prrafodelista"/>
        <w:numPr>
          <w:ilvl w:val="0"/>
          <w:numId w:val="8"/>
        </w:numPr>
        <w:tabs>
          <w:tab w:val="left" w:pos="856"/>
        </w:tabs>
        <w:kinsoku w:val="0"/>
        <w:overflowPunct w:val="0"/>
        <w:autoSpaceDE w:val="0"/>
        <w:autoSpaceDN w:val="0"/>
        <w:adjustRightInd w:val="0"/>
        <w:spacing w:before="22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9"/>
          <w:sz w:val="21"/>
          <w:szCs w:val="21"/>
        </w:rPr>
        <w:t xml:space="preserve"> </w:t>
      </w:r>
      <w:r w:rsidRPr="00AD79C7">
        <w:rPr>
          <w:rFonts w:ascii="Abadi" w:hAnsi="Abadi"/>
          <w:b/>
          <w:bCs/>
          <w:sz w:val="21"/>
          <w:szCs w:val="21"/>
        </w:rPr>
        <w:t>y,</w:t>
      </w:r>
      <w:r w:rsidRPr="00AD79C7">
        <w:rPr>
          <w:rFonts w:ascii="Abadi" w:hAnsi="Abadi"/>
          <w:b/>
          <w:bCs/>
          <w:spacing w:val="9"/>
          <w:sz w:val="21"/>
          <w:szCs w:val="21"/>
        </w:rPr>
        <w:t xml:space="preserve"> </w:t>
      </w:r>
      <w:r w:rsidRPr="00AD79C7">
        <w:rPr>
          <w:rFonts w:ascii="Abadi" w:hAnsi="Abadi"/>
          <w:b/>
          <w:bCs/>
          <w:sz w:val="21"/>
          <w:szCs w:val="21"/>
        </w:rPr>
        <w:t>en</w:t>
      </w:r>
      <w:r w:rsidRPr="00AD79C7">
        <w:rPr>
          <w:rFonts w:ascii="Abadi" w:hAnsi="Abadi"/>
          <w:b/>
          <w:bCs/>
          <w:spacing w:val="9"/>
          <w:sz w:val="21"/>
          <w:szCs w:val="21"/>
        </w:rPr>
        <w:t xml:space="preserve"> </w:t>
      </w:r>
      <w:r w:rsidRPr="00AD79C7">
        <w:rPr>
          <w:rFonts w:ascii="Abadi" w:hAnsi="Abadi"/>
          <w:b/>
          <w:bCs/>
          <w:sz w:val="21"/>
          <w:szCs w:val="21"/>
        </w:rPr>
        <w:t>su</w:t>
      </w:r>
      <w:r w:rsidRPr="00AD79C7">
        <w:rPr>
          <w:rFonts w:ascii="Abadi" w:hAnsi="Abadi"/>
          <w:b/>
          <w:bCs/>
          <w:spacing w:val="9"/>
          <w:sz w:val="21"/>
          <w:szCs w:val="21"/>
        </w:rPr>
        <w:t xml:space="preserve"> </w:t>
      </w:r>
      <w:r w:rsidRPr="00AD79C7">
        <w:rPr>
          <w:rFonts w:ascii="Abadi" w:hAnsi="Abadi"/>
          <w:b/>
          <w:bCs/>
          <w:sz w:val="21"/>
          <w:szCs w:val="21"/>
        </w:rPr>
        <w:t>caso,</w:t>
      </w:r>
      <w:r w:rsidRPr="00AD79C7">
        <w:rPr>
          <w:rFonts w:ascii="Abadi" w:hAnsi="Abadi"/>
          <w:b/>
          <w:bCs/>
          <w:spacing w:val="9"/>
          <w:sz w:val="21"/>
          <w:szCs w:val="21"/>
        </w:rPr>
        <w:t xml:space="preserve"> </w:t>
      </w:r>
      <w:r w:rsidRPr="00AD79C7">
        <w:rPr>
          <w:rFonts w:ascii="Abadi" w:hAnsi="Abadi"/>
          <w:b/>
          <w:bCs/>
          <w:sz w:val="21"/>
          <w:szCs w:val="21"/>
        </w:rPr>
        <w:t>aprobación</w:t>
      </w:r>
      <w:r w:rsidRPr="00AD79C7">
        <w:rPr>
          <w:rFonts w:ascii="Abadi" w:hAnsi="Abadi"/>
          <w:b/>
          <w:bCs/>
          <w:spacing w:val="9"/>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dictamen</w:t>
      </w:r>
      <w:r w:rsidRPr="00AD79C7">
        <w:rPr>
          <w:rFonts w:ascii="Abadi" w:hAnsi="Abadi"/>
          <w:b/>
          <w:bCs/>
          <w:spacing w:val="9"/>
          <w:sz w:val="21"/>
          <w:szCs w:val="21"/>
        </w:rPr>
        <w:t xml:space="preserve"> </w:t>
      </w:r>
      <w:r w:rsidRPr="00AD79C7">
        <w:rPr>
          <w:rFonts w:ascii="Abadi" w:hAnsi="Abadi"/>
          <w:b/>
          <w:bCs/>
          <w:sz w:val="21"/>
          <w:szCs w:val="21"/>
        </w:rPr>
        <w:t>signado</w:t>
      </w:r>
      <w:r w:rsidRPr="00AD79C7">
        <w:rPr>
          <w:rFonts w:ascii="Abadi" w:hAnsi="Abadi"/>
          <w:b/>
          <w:bCs/>
          <w:spacing w:val="9"/>
          <w:sz w:val="21"/>
          <w:szCs w:val="21"/>
        </w:rPr>
        <w:t xml:space="preserve"> </w:t>
      </w:r>
      <w:r w:rsidRPr="00AD79C7">
        <w:rPr>
          <w:rFonts w:ascii="Abadi" w:hAnsi="Abadi"/>
          <w:b/>
          <w:bCs/>
          <w:sz w:val="21"/>
          <w:szCs w:val="21"/>
        </w:rPr>
        <w:t>por</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9"/>
          <w:sz w:val="21"/>
          <w:szCs w:val="21"/>
        </w:rPr>
        <w:t xml:space="preserve"> </w:t>
      </w:r>
      <w:r w:rsidRPr="00AD79C7">
        <w:rPr>
          <w:rFonts w:ascii="Abadi" w:hAnsi="Abadi"/>
          <w:b/>
          <w:bCs/>
          <w:sz w:val="21"/>
          <w:szCs w:val="21"/>
        </w:rPr>
        <w:t>Comisión</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Hacienda</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Fiscalización</w:t>
      </w:r>
      <w:r w:rsidRPr="00AD79C7">
        <w:rPr>
          <w:rFonts w:ascii="Abadi" w:hAnsi="Abadi"/>
          <w:b/>
          <w:bCs/>
          <w:spacing w:val="10"/>
          <w:sz w:val="21"/>
          <w:szCs w:val="21"/>
        </w:rPr>
        <w:t xml:space="preserve"> </w:t>
      </w:r>
      <w:r w:rsidRPr="00AD79C7">
        <w:rPr>
          <w:rFonts w:ascii="Abadi" w:hAnsi="Abadi"/>
          <w:b/>
          <w:bCs/>
          <w:sz w:val="21"/>
          <w:szCs w:val="21"/>
        </w:rPr>
        <w:t>relativo</w:t>
      </w:r>
      <w:r w:rsidRPr="00AD79C7">
        <w:rPr>
          <w:rFonts w:ascii="Abadi" w:hAnsi="Abadi"/>
          <w:b/>
          <w:bCs/>
          <w:spacing w:val="10"/>
          <w:sz w:val="21"/>
          <w:szCs w:val="21"/>
        </w:rPr>
        <w:t xml:space="preserve"> </w:t>
      </w:r>
      <w:r w:rsidRPr="00AD79C7">
        <w:rPr>
          <w:rFonts w:ascii="Abadi" w:hAnsi="Abadi"/>
          <w:b/>
          <w:bCs/>
          <w:sz w:val="21"/>
          <w:szCs w:val="21"/>
        </w:rPr>
        <w:t>a</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iniciativa</w:t>
      </w:r>
      <w:r w:rsidRPr="00AD79C7">
        <w:rPr>
          <w:rFonts w:ascii="Abadi" w:hAnsi="Abadi"/>
          <w:b/>
          <w:bCs/>
          <w:spacing w:val="10"/>
          <w:sz w:val="21"/>
          <w:szCs w:val="21"/>
        </w:rPr>
        <w:t xml:space="preserve"> </w:t>
      </w:r>
      <w:r w:rsidRPr="00AD79C7">
        <w:rPr>
          <w:rFonts w:ascii="Abadi" w:hAnsi="Abadi"/>
          <w:b/>
          <w:bCs/>
          <w:sz w:val="21"/>
          <w:szCs w:val="21"/>
        </w:rPr>
        <w:t>formulada</w:t>
      </w:r>
      <w:r w:rsidRPr="00AD79C7">
        <w:rPr>
          <w:rFonts w:ascii="Abadi" w:hAnsi="Abadi"/>
          <w:b/>
          <w:bCs/>
          <w:spacing w:val="10"/>
          <w:sz w:val="21"/>
          <w:szCs w:val="21"/>
        </w:rPr>
        <w:t xml:space="preserve"> </w:t>
      </w:r>
      <w:r w:rsidRPr="00AD79C7">
        <w:rPr>
          <w:rFonts w:ascii="Abadi" w:hAnsi="Abadi"/>
          <w:b/>
          <w:bCs/>
          <w:sz w:val="21"/>
          <w:szCs w:val="21"/>
        </w:rPr>
        <w:t>por</w:t>
      </w:r>
      <w:r w:rsidRPr="00AD79C7">
        <w:rPr>
          <w:rFonts w:ascii="Abadi" w:hAnsi="Abadi"/>
          <w:b/>
          <w:bCs/>
          <w:spacing w:val="10"/>
          <w:sz w:val="21"/>
          <w:szCs w:val="21"/>
        </w:rPr>
        <w:t xml:space="preserve"> </w:t>
      </w:r>
      <w:r w:rsidRPr="00AD79C7">
        <w:rPr>
          <w:rFonts w:ascii="Abadi" w:hAnsi="Abadi"/>
          <w:b/>
          <w:bCs/>
          <w:sz w:val="21"/>
          <w:szCs w:val="21"/>
        </w:rPr>
        <w:t>diputadas</w:t>
      </w:r>
      <w:r w:rsidRPr="00AD79C7">
        <w:rPr>
          <w:rFonts w:ascii="Abadi" w:hAnsi="Abadi"/>
          <w:b/>
          <w:bCs/>
          <w:spacing w:val="-1"/>
          <w:sz w:val="21"/>
          <w:szCs w:val="21"/>
        </w:rPr>
        <w:t xml:space="preserve"> </w:t>
      </w:r>
      <w:r w:rsidRPr="00AD79C7">
        <w:rPr>
          <w:rFonts w:ascii="Abadi" w:hAnsi="Abadi"/>
          <w:b/>
          <w:bCs/>
          <w:sz w:val="21"/>
          <w:szCs w:val="21"/>
        </w:rPr>
        <w:t>y</w:t>
      </w:r>
      <w:r w:rsidRPr="00AD79C7">
        <w:rPr>
          <w:rFonts w:ascii="Abadi" w:hAnsi="Abadi"/>
          <w:b/>
          <w:bCs/>
          <w:spacing w:val="36"/>
          <w:sz w:val="21"/>
          <w:szCs w:val="21"/>
        </w:rPr>
        <w:t xml:space="preserve"> </w:t>
      </w:r>
      <w:r w:rsidRPr="00AD79C7">
        <w:rPr>
          <w:rFonts w:ascii="Abadi" w:hAnsi="Abadi"/>
          <w:b/>
          <w:bCs/>
          <w:sz w:val="21"/>
          <w:szCs w:val="21"/>
        </w:rPr>
        <w:t>diputados</w:t>
      </w:r>
      <w:r w:rsidRPr="00AD79C7">
        <w:rPr>
          <w:rFonts w:ascii="Abadi" w:hAnsi="Abadi"/>
          <w:b/>
          <w:bCs/>
          <w:spacing w:val="36"/>
          <w:sz w:val="21"/>
          <w:szCs w:val="21"/>
        </w:rPr>
        <w:t xml:space="preserve"> </w:t>
      </w:r>
      <w:r w:rsidRPr="00AD79C7">
        <w:rPr>
          <w:rFonts w:ascii="Abadi" w:hAnsi="Abadi"/>
          <w:b/>
          <w:bCs/>
          <w:sz w:val="21"/>
          <w:szCs w:val="21"/>
        </w:rPr>
        <w:t>integrantes</w:t>
      </w:r>
      <w:r w:rsidRPr="00AD79C7">
        <w:rPr>
          <w:rFonts w:ascii="Abadi" w:hAnsi="Abadi"/>
          <w:b/>
          <w:bCs/>
          <w:spacing w:val="37"/>
          <w:sz w:val="21"/>
          <w:szCs w:val="21"/>
        </w:rPr>
        <w:t xml:space="preserve"> </w:t>
      </w:r>
      <w:r w:rsidRPr="00AD79C7">
        <w:rPr>
          <w:rFonts w:ascii="Abadi" w:hAnsi="Abadi"/>
          <w:b/>
          <w:bCs/>
          <w:sz w:val="21"/>
          <w:szCs w:val="21"/>
        </w:rPr>
        <w:t>del</w:t>
      </w:r>
      <w:r w:rsidRPr="00AD79C7">
        <w:rPr>
          <w:rFonts w:ascii="Abadi" w:hAnsi="Abadi"/>
          <w:b/>
          <w:bCs/>
          <w:spacing w:val="38"/>
          <w:sz w:val="21"/>
          <w:szCs w:val="21"/>
        </w:rPr>
        <w:t xml:space="preserve"> </w:t>
      </w:r>
      <w:r w:rsidRPr="00AD79C7">
        <w:rPr>
          <w:rFonts w:ascii="Abadi" w:hAnsi="Abadi"/>
          <w:b/>
          <w:bCs/>
          <w:sz w:val="21"/>
          <w:szCs w:val="21"/>
        </w:rPr>
        <w:t>Grupo</w:t>
      </w:r>
      <w:r w:rsidRPr="00AD79C7">
        <w:rPr>
          <w:rFonts w:ascii="Abadi" w:hAnsi="Abadi"/>
          <w:b/>
          <w:bCs/>
          <w:spacing w:val="37"/>
          <w:sz w:val="21"/>
          <w:szCs w:val="21"/>
        </w:rPr>
        <w:t xml:space="preserve"> </w:t>
      </w:r>
      <w:r w:rsidRPr="00AD79C7">
        <w:rPr>
          <w:rFonts w:ascii="Abadi" w:hAnsi="Abadi"/>
          <w:b/>
          <w:bCs/>
          <w:sz w:val="21"/>
          <w:szCs w:val="21"/>
        </w:rPr>
        <w:t>Parlamentario</w:t>
      </w:r>
      <w:r w:rsidRPr="00AD79C7">
        <w:rPr>
          <w:rFonts w:ascii="Abadi" w:hAnsi="Abadi"/>
          <w:b/>
          <w:bCs/>
          <w:spacing w:val="37"/>
          <w:sz w:val="21"/>
          <w:szCs w:val="21"/>
        </w:rPr>
        <w:t xml:space="preserve"> </w:t>
      </w:r>
      <w:r w:rsidRPr="00AD79C7">
        <w:rPr>
          <w:rFonts w:ascii="Abadi" w:hAnsi="Abadi"/>
          <w:b/>
          <w:bCs/>
          <w:sz w:val="21"/>
          <w:szCs w:val="21"/>
        </w:rPr>
        <w:t>del</w:t>
      </w:r>
      <w:r w:rsidRPr="00AD79C7">
        <w:rPr>
          <w:rFonts w:ascii="Abadi" w:hAnsi="Abadi"/>
          <w:b/>
          <w:bCs/>
          <w:spacing w:val="36"/>
          <w:sz w:val="21"/>
          <w:szCs w:val="21"/>
        </w:rPr>
        <w:t xml:space="preserve"> </w:t>
      </w:r>
      <w:r w:rsidRPr="00AD79C7">
        <w:rPr>
          <w:rFonts w:ascii="Abadi" w:hAnsi="Abadi"/>
          <w:b/>
          <w:bCs/>
          <w:sz w:val="21"/>
          <w:szCs w:val="21"/>
        </w:rPr>
        <w:t>Partido</w:t>
      </w:r>
      <w:r w:rsidRPr="00AD79C7">
        <w:rPr>
          <w:rFonts w:ascii="Abadi" w:hAnsi="Abadi"/>
          <w:b/>
          <w:bCs/>
          <w:spacing w:val="37"/>
          <w:sz w:val="21"/>
          <w:szCs w:val="21"/>
        </w:rPr>
        <w:t xml:space="preserve"> </w:t>
      </w:r>
      <w:r w:rsidRPr="00AD79C7">
        <w:rPr>
          <w:rFonts w:ascii="Abadi" w:hAnsi="Abadi"/>
          <w:b/>
          <w:bCs/>
          <w:sz w:val="21"/>
          <w:szCs w:val="21"/>
        </w:rPr>
        <w:t>MORENA</w:t>
      </w:r>
      <w:r w:rsidRPr="00AD79C7">
        <w:rPr>
          <w:rFonts w:ascii="Abadi" w:hAnsi="Abadi"/>
          <w:b/>
          <w:bCs/>
          <w:spacing w:val="37"/>
          <w:sz w:val="21"/>
          <w:szCs w:val="21"/>
        </w:rPr>
        <w:t xml:space="preserve"> </w:t>
      </w:r>
      <w:r w:rsidRPr="00AD79C7">
        <w:rPr>
          <w:rFonts w:ascii="Abadi" w:hAnsi="Abadi"/>
          <w:b/>
          <w:bCs/>
          <w:sz w:val="21"/>
          <w:szCs w:val="21"/>
        </w:rPr>
        <w:t>a</w:t>
      </w:r>
      <w:r w:rsidRPr="00AD79C7">
        <w:rPr>
          <w:rFonts w:ascii="Abadi" w:hAnsi="Abadi"/>
          <w:b/>
          <w:bCs/>
          <w:spacing w:val="-1"/>
          <w:sz w:val="21"/>
          <w:szCs w:val="21"/>
        </w:rPr>
        <w:t xml:space="preserve"> </w:t>
      </w:r>
      <w:r w:rsidRPr="00AD79C7">
        <w:rPr>
          <w:rFonts w:ascii="Abadi" w:hAnsi="Abadi"/>
          <w:b/>
          <w:bCs/>
          <w:sz w:val="21"/>
          <w:szCs w:val="21"/>
        </w:rPr>
        <w:t>efecto</w:t>
      </w:r>
      <w:r w:rsidRPr="00AD79C7">
        <w:rPr>
          <w:rFonts w:ascii="Abadi" w:hAnsi="Abadi"/>
          <w:b/>
          <w:bCs/>
          <w:spacing w:val="31"/>
          <w:sz w:val="21"/>
          <w:szCs w:val="21"/>
        </w:rPr>
        <w:t xml:space="preserve"> </w:t>
      </w:r>
      <w:r w:rsidRPr="00AD79C7">
        <w:rPr>
          <w:rFonts w:ascii="Abadi" w:hAnsi="Abadi"/>
          <w:b/>
          <w:bCs/>
          <w:sz w:val="21"/>
          <w:szCs w:val="21"/>
        </w:rPr>
        <w:t>de</w:t>
      </w:r>
      <w:r w:rsidRPr="00AD79C7">
        <w:rPr>
          <w:rFonts w:ascii="Abadi" w:hAnsi="Abadi"/>
          <w:b/>
          <w:bCs/>
          <w:spacing w:val="31"/>
          <w:sz w:val="21"/>
          <w:szCs w:val="21"/>
        </w:rPr>
        <w:t xml:space="preserve"> </w:t>
      </w:r>
      <w:r w:rsidRPr="00AD79C7">
        <w:rPr>
          <w:rFonts w:ascii="Abadi" w:hAnsi="Abadi"/>
          <w:b/>
          <w:bCs/>
          <w:sz w:val="21"/>
          <w:szCs w:val="21"/>
        </w:rPr>
        <w:t>reformar</w:t>
      </w:r>
      <w:r w:rsidRPr="00AD79C7">
        <w:rPr>
          <w:rFonts w:ascii="Abadi" w:hAnsi="Abadi"/>
          <w:b/>
          <w:bCs/>
          <w:spacing w:val="31"/>
          <w:sz w:val="21"/>
          <w:szCs w:val="21"/>
        </w:rPr>
        <w:t xml:space="preserve"> </w:t>
      </w:r>
      <w:r w:rsidRPr="00AD79C7">
        <w:rPr>
          <w:rFonts w:ascii="Abadi" w:hAnsi="Abadi"/>
          <w:b/>
          <w:bCs/>
          <w:sz w:val="21"/>
          <w:szCs w:val="21"/>
        </w:rPr>
        <w:t>el</w:t>
      </w:r>
      <w:r w:rsidRPr="00AD79C7">
        <w:rPr>
          <w:rFonts w:ascii="Abadi" w:hAnsi="Abadi"/>
          <w:b/>
          <w:bCs/>
          <w:spacing w:val="31"/>
          <w:sz w:val="21"/>
          <w:szCs w:val="21"/>
        </w:rPr>
        <w:t xml:space="preserve"> </w:t>
      </w:r>
      <w:r w:rsidRPr="00AD79C7">
        <w:rPr>
          <w:rFonts w:ascii="Abadi" w:hAnsi="Abadi"/>
          <w:b/>
          <w:bCs/>
          <w:sz w:val="21"/>
          <w:szCs w:val="21"/>
        </w:rPr>
        <w:t>primer</w:t>
      </w:r>
      <w:r w:rsidRPr="00AD79C7">
        <w:rPr>
          <w:rFonts w:ascii="Abadi" w:hAnsi="Abadi"/>
          <w:b/>
          <w:bCs/>
          <w:spacing w:val="31"/>
          <w:sz w:val="21"/>
          <w:szCs w:val="21"/>
        </w:rPr>
        <w:t xml:space="preserve"> </w:t>
      </w:r>
      <w:r w:rsidRPr="00AD79C7">
        <w:rPr>
          <w:rFonts w:ascii="Abadi" w:hAnsi="Abadi"/>
          <w:b/>
          <w:bCs/>
          <w:sz w:val="21"/>
          <w:szCs w:val="21"/>
        </w:rPr>
        <w:t>párrafo</w:t>
      </w:r>
      <w:r w:rsidRPr="00AD79C7">
        <w:rPr>
          <w:rFonts w:ascii="Abadi" w:hAnsi="Abadi"/>
          <w:b/>
          <w:bCs/>
          <w:spacing w:val="31"/>
          <w:sz w:val="21"/>
          <w:szCs w:val="21"/>
        </w:rPr>
        <w:t xml:space="preserve"> </w:t>
      </w:r>
      <w:r w:rsidRPr="00AD79C7">
        <w:rPr>
          <w:rFonts w:ascii="Abadi" w:hAnsi="Abadi"/>
          <w:b/>
          <w:bCs/>
          <w:sz w:val="21"/>
          <w:szCs w:val="21"/>
        </w:rPr>
        <w:t>del</w:t>
      </w:r>
      <w:r w:rsidRPr="00AD79C7">
        <w:rPr>
          <w:rFonts w:ascii="Abadi" w:hAnsi="Abadi"/>
          <w:b/>
          <w:bCs/>
          <w:spacing w:val="31"/>
          <w:sz w:val="21"/>
          <w:szCs w:val="21"/>
        </w:rPr>
        <w:t xml:space="preserve"> </w:t>
      </w:r>
      <w:r w:rsidRPr="00AD79C7">
        <w:rPr>
          <w:rFonts w:ascii="Abadi" w:hAnsi="Abadi"/>
          <w:b/>
          <w:bCs/>
          <w:sz w:val="21"/>
          <w:szCs w:val="21"/>
        </w:rPr>
        <w:t>artículo</w:t>
      </w:r>
      <w:r w:rsidRPr="00AD79C7">
        <w:rPr>
          <w:rFonts w:ascii="Abadi" w:hAnsi="Abadi"/>
          <w:b/>
          <w:bCs/>
          <w:spacing w:val="31"/>
          <w:sz w:val="21"/>
          <w:szCs w:val="21"/>
        </w:rPr>
        <w:t xml:space="preserve"> </w:t>
      </w:r>
      <w:r w:rsidRPr="00AD79C7">
        <w:rPr>
          <w:rFonts w:ascii="Abadi" w:hAnsi="Abadi"/>
          <w:b/>
          <w:bCs/>
          <w:sz w:val="21"/>
          <w:szCs w:val="21"/>
        </w:rPr>
        <w:t>62</w:t>
      </w:r>
      <w:r w:rsidRPr="00AD79C7">
        <w:rPr>
          <w:rFonts w:ascii="Abadi" w:hAnsi="Abadi"/>
          <w:b/>
          <w:bCs/>
          <w:spacing w:val="31"/>
          <w:sz w:val="21"/>
          <w:szCs w:val="21"/>
        </w:rPr>
        <w:t xml:space="preserve"> </w:t>
      </w:r>
      <w:r w:rsidRPr="00AD79C7">
        <w:rPr>
          <w:rFonts w:ascii="Abadi" w:hAnsi="Abadi"/>
          <w:b/>
          <w:bCs/>
          <w:sz w:val="21"/>
          <w:szCs w:val="21"/>
        </w:rPr>
        <w:t>y</w:t>
      </w:r>
      <w:r w:rsidRPr="00AD79C7">
        <w:rPr>
          <w:rFonts w:ascii="Abadi" w:hAnsi="Abadi"/>
          <w:b/>
          <w:bCs/>
          <w:spacing w:val="31"/>
          <w:sz w:val="21"/>
          <w:szCs w:val="21"/>
        </w:rPr>
        <w:t xml:space="preserve"> </w:t>
      </w:r>
      <w:r w:rsidRPr="00AD79C7">
        <w:rPr>
          <w:rFonts w:ascii="Abadi" w:hAnsi="Abadi"/>
          <w:b/>
          <w:bCs/>
          <w:sz w:val="21"/>
          <w:szCs w:val="21"/>
        </w:rPr>
        <w:t>adicionar</w:t>
      </w:r>
      <w:r w:rsidRPr="00AD79C7">
        <w:rPr>
          <w:rFonts w:ascii="Abadi" w:hAnsi="Abadi"/>
          <w:b/>
          <w:bCs/>
          <w:spacing w:val="31"/>
          <w:sz w:val="21"/>
          <w:szCs w:val="21"/>
        </w:rPr>
        <w:t xml:space="preserve"> </w:t>
      </w:r>
      <w:r w:rsidRPr="00AD79C7">
        <w:rPr>
          <w:rFonts w:ascii="Abadi" w:hAnsi="Abadi"/>
          <w:b/>
          <w:bCs/>
          <w:sz w:val="21"/>
          <w:szCs w:val="21"/>
        </w:rPr>
        <w:t>un</w:t>
      </w:r>
      <w:r w:rsidRPr="00AD79C7">
        <w:rPr>
          <w:rFonts w:ascii="Abadi" w:hAnsi="Abadi"/>
          <w:b/>
          <w:bCs/>
          <w:spacing w:val="31"/>
          <w:sz w:val="21"/>
          <w:szCs w:val="21"/>
        </w:rPr>
        <w:t xml:space="preserve"> </w:t>
      </w:r>
      <w:r w:rsidRPr="00AD79C7">
        <w:rPr>
          <w:rFonts w:ascii="Abadi" w:hAnsi="Abadi"/>
          <w:b/>
          <w:bCs/>
          <w:sz w:val="21"/>
          <w:szCs w:val="21"/>
        </w:rPr>
        <w:t>cuarto</w:t>
      </w:r>
      <w:r w:rsidRPr="00AD79C7">
        <w:rPr>
          <w:rFonts w:ascii="Abadi" w:hAnsi="Abadi"/>
          <w:b/>
          <w:bCs/>
          <w:spacing w:val="-1"/>
          <w:sz w:val="21"/>
          <w:szCs w:val="21"/>
        </w:rPr>
        <w:t xml:space="preserve"> </w:t>
      </w:r>
      <w:r w:rsidRPr="00AD79C7">
        <w:rPr>
          <w:rFonts w:ascii="Abadi" w:hAnsi="Abadi"/>
          <w:b/>
          <w:bCs/>
          <w:sz w:val="21"/>
          <w:szCs w:val="21"/>
        </w:rPr>
        <w:t>párrafo</w:t>
      </w:r>
      <w:r w:rsidRPr="00AD79C7">
        <w:rPr>
          <w:rFonts w:ascii="Abadi" w:hAnsi="Abadi"/>
          <w:b/>
          <w:bCs/>
          <w:spacing w:val="50"/>
          <w:sz w:val="21"/>
          <w:szCs w:val="21"/>
        </w:rPr>
        <w:t xml:space="preserve"> </w:t>
      </w:r>
      <w:r w:rsidRPr="00AD79C7">
        <w:rPr>
          <w:rFonts w:ascii="Abadi" w:hAnsi="Abadi"/>
          <w:b/>
          <w:bCs/>
          <w:sz w:val="21"/>
          <w:szCs w:val="21"/>
        </w:rPr>
        <w:t>al</w:t>
      </w:r>
      <w:r w:rsidRPr="00AD79C7">
        <w:rPr>
          <w:rFonts w:ascii="Abadi" w:hAnsi="Abadi"/>
          <w:b/>
          <w:bCs/>
          <w:spacing w:val="50"/>
          <w:sz w:val="21"/>
          <w:szCs w:val="21"/>
        </w:rPr>
        <w:t xml:space="preserve"> </w:t>
      </w:r>
      <w:r w:rsidRPr="00AD79C7">
        <w:rPr>
          <w:rFonts w:ascii="Abadi" w:hAnsi="Abadi"/>
          <w:b/>
          <w:bCs/>
          <w:sz w:val="21"/>
          <w:szCs w:val="21"/>
        </w:rPr>
        <w:t>artículo</w:t>
      </w:r>
      <w:r w:rsidRPr="00AD79C7">
        <w:rPr>
          <w:rFonts w:ascii="Abadi" w:hAnsi="Abadi"/>
          <w:b/>
          <w:bCs/>
          <w:spacing w:val="50"/>
          <w:sz w:val="21"/>
          <w:szCs w:val="21"/>
        </w:rPr>
        <w:t xml:space="preserve"> </w:t>
      </w:r>
      <w:r w:rsidRPr="00AD79C7">
        <w:rPr>
          <w:rFonts w:ascii="Abadi" w:hAnsi="Abadi"/>
          <w:b/>
          <w:bCs/>
          <w:sz w:val="21"/>
          <w:szCs w:val="21"/>
        </w:rPr>
        <w:t>61</w:t>
      </w:r>
      <w:r w:rsidRPr="00AD79C7">
        <w:rPr>
          <w:rFonts w:ascii="Abadi" w:hAnsi="Abadi"/>
          <w:b/>
          <w:bCs/>
          <w:spacing w:val="50"/>
          <w:sz w:val="21"/>
          <w:szCs w:val="21"/>
        </w:rPr>
        <w:t xml:space="preserve"> </w:t>
      </w:r>
      <w:r w:rsidRPr="00AD79C7">
        <w:rPr>
          <w:rFonts w:ascii="Abadi" w:hAnsi="Abadi"/>
          <w:b/>
          <w:bCs/>
          <w:sz w:val="21"/>
          <w:szCs w:val="21"/>
        </w:rPr>
        <w:t>ter</w:t>
      </w:r>
      <w:r w:rsidRPr="00AD79C7">
        <w:rPr>
          <w:rFonts w:ascii="Abadi" w:hAnsi="Abadi"/>
          <w:b/>
          <w:bCs/>
          <w:spacing w:val="50"/>
          <w:sz w:val="21"/>
          <w:szCs w:val="21"/>
        </w:rPr>
        <w:t xml:space="preserve"> </w:t>
      </w:r>
      <w:r w:rsidRPr="00AD79C7">
        <w:rPr>
          <w:rFonts w:ascii="Abadi" w:hAnsi="Abadi"/>
          <w:b/>
          <w:bCs/>
          <w:sz w:val="21"/>
          <w:szCs w:val="21"/>
        </w:rPr>
        <w:t>1</w:t>
      </w:r>
      <w:r w:rsidRPr="00AD79C7">
        <w:rPr>
          <w:rFonts w:ascii="Abadi" w:hAnsi="Abadi"/>
          <w:b/>
          <w:bCs/>
          <w:spacing w:val="50"/>
          <w:sz w:val="21"/>
          <w:szCs w:val="21"/>
        </w:rPr>
        <w:t xml:space="preserve"> </w:t>
      </w:r>
      <w:r w:rsidRPr="00AD79C7">
        <w:rPr>
          <w:rFonts w:ascii="Abadi" w:hAnsi="Abadi"/>
          <w:b/>
          <w:bCs/>
          <w:sz w:val="21"/>
          <w:szCs w:val="21"/>
        </w:rPr>
        <w:t>de</w:t>
      </w:r>
      <w:r w:rsidRPr="00AD79C7">
        <w:rPr>
          <w:rFonts w:ascii="Abadi" w:hAnsi="Abadi"/>
          <w:b/>
          <w:bCs/>
          <w:spacing w:val="50"/>
          <w:sz w:val="21"/>
          <w:szCs w:val="21"/>
        </w:rPr>
        <w:t xml:space="preserve"> </w:t>
      </w:r>
      <w:r w:rsidRPr="00AD79C7">
        <w:rPr>
          <w:rFonts w:ascii="Abadi" w:hAnsi="Abadi"/>
          <w:b/>
          <w:bCs/>
          <w:sz w:val="21"/>
          <w:szCs w:val="21"/>
        </w:rPr>
        <w:t>la</w:t>
      </w:r>
      <w:r w:rsidRPr="00AD79C7">
        <w:rPr>
          <w:rFonts w:ascii="Abadi" w:hAnsi="Abadi"/>
          <w:b/>
          <w:bCs/>
          <w:spacing w:val="50"/>
          <w:sz w:val="21"/>
          <w:szCs w:val="21"/>
        </w:rPr>
        <w:t xml:space="preserve"> </w:t>
      </w:r>
      <w:r w:rsidRPr="00AD79C7">
        <w:rPr>
          <w:rFonts w:ascii="Abadi" w:hAnsi="Abadi"/>
          <w:b/>
          <w:bCs/>
          <w:sz w:val="21"/>
          <w:szCs w:val="21"/>
        </w:rPr>
        <w:t>Ley</w:t>
      </w:r>
      <w:r w:rsidRPr="00AD79C7">
        <w:rPr>
          <w:rFonts w:ascii="Abadi" w:hAnsi="Abadi"/>
          <w:b/>
          <w:bCs/>
          <w:spacing w:val="50"/>
          <w:sz w:val="21"/>
          <w:szCs w:val="21"/>
        </w:rPr>
        <w:t xml:space="preserve"> </w:t>
      </w:r>
      <w:r w:rsidRPr="00AD79C7">
        <w:rPr>
          <w:rFonts w:ascii="Abadi" w:hAnsi="Abadi"/>
          <w:b/>
          <w:bCs/>
          <w:sz w:val="21"/>
          <w:szCs w:val="21"/>
        </w:rPr>
        <w:t>para</w:t>
      </w:r>
      <w:r w:rsidRPr="00AD79C7">
        <w:rPr>
          <w:rFonts w:ascii="Abadi" w:hAnsi="Abadi"/>
          <w:b/>
          <w:bCs/>
          <w:spacing w:val="50"/>
          <w:sz w:val="21"/>
          <w:szCs w:val="21"/>
        </w:rPr>
        <w:t xml:space="preserve"> </w:t>
      </w:r>
      <w:r w:rsidRPr="00AD79C7">
        <w:rPr>
          <w:rFonts w:ascii="Abadi" w:hAnsi="Abadi"/>
          <w:b/>
          <w:bCs/>
          <w:sz w:val="21"/>
          <w:szCs w:val="21"/>
        </w:rPr>
        <w:t>el</w:t>
      </w:r>
      <w:r w:rsidRPr="00AD79C7">
        <w:rPr>
          <w:rFonts w:ascii="Abadi" w:hAnsi="Abadi"/>
          <w:b/>
          <w:bCs/>
          <w:spacing w:val="50"/>
          <w:sz w:val="21"/>
          <w:szCs w:val="21"/>
        </w:rPr>
        <w:t xml:space="preserve"> </w:t>
      </w:r>
      <w:r w:rsidRPr="00AD79C7">
        <w:rPr>
          <w:rFonts w:ascii="Abadi" w:hAnsi="Abadi"/>
          <w:b/>
          <w:bCs/>
          <w:sz w:val="21"/>
          <w:szCs w:val="21"/>
        </w:rPr>
        <w:t>Ejercicio</w:t>
      </w:r>
      <w:r w:rsidRPr="00AD79C7">
        <w:rPr>
          <w:rFonts w:ascii="Abadi" w:hAnsi="Abadi"/>
          <w:b/>
          <w:bCs/>
          <w:spacing w:val="50"/>
          <w:sz w:val="21"/>
          <w:szCs w:val="21"/>
        </w:rPr>
        <w:t xml:space="preserve"> </w:t>
      </w:r>
      <w:r w:rsidRPr="00AD79C7">
        <w:rPr>
          <w:rFonts w:ascii="Abadi" w:hAnsi="Abadi"/>
          <w:b/>
          <w:bCs/>
          <w:sz w:val="21"/>
          <w:szCs w:val="21"/>
        </w:rPr>
        <w:t>y</w:t>
      </w:r>
      <w:r w:rsidRPr="00AD79C7">
        <w:rPr>
          <w:rFonts w:ascii="Abadi" w:hAnsi="Abadi"/>
          <w:b/>
          <w:bCs/>
          <w:spacing w:val="50"/>
          <w:sz w:val="21"/>
          <w:szCs w:val="21"/>
        </w:rPr>
        <w:t xml:space="preserve"> </w:t>
      </w:r>
      <w:r w:rsidRPr="00AD79C7">
        <w:rPr>
          <w:rFonts w:ascii="Abadi" w:hAnsi="Abadi"/>
          <w:b/>
          <w:bCs/>
          <w:sz w:val="21"/>
          <w:szCs w:val="21"/>
        </w:rPr>
        <w:t>Control</w:t>
      </w:r>
      <w:r w:rsidRPr="00AD79C7">
        <w:rPr>
          <w:rFonts w:ascii="Abadi" w:hAnsi="Abadi"/>
          <w:b/>
          <w:bCs/>
          <w:spacing w:val="50"/>
          <w:sz w:val="21"/>
          <w:szCs w:val="21"/>
        </w:rPr>
        <w:t xml:space="preserve"> </w:t>
      </w:r>
      <w:r w:rsidRPr="00AD79C7">
        <w:rPr>
          <w:rFonts w:ascii="Abadi" w:hAnsi="Abadi"/>
          <w:b/>
          <w:bCs/>
          <w:sz w:val="21"/>
          <w:szCs w:val="21"/>
        </w:rPr>
        <w:t>de</w:t>
      </w:r>
      <w:r w:rsidRPr="00AD79C7">
        <w:rPr>
          <w:rFonts w:ascii="Abadi" w:hAnsi="Abadi"/>
          <w:b/>
          <w:bCs/>
          <w:spacing w:val="50"/>
          <w:sz w:val="21"/>
          <w:szCs w:val="21"/>
        </w:rPr>
        <w:t xml:space="preserve"> </w:t>
      </w:r>
      <w:r w:rsidRPr="00AD79C7">
        <w:rPr>
          <w:rFonts w:ascii="Abadi" w:hAnsi="Abadi"/>
          <w:b/>
          <w:bCs/>
          <w:sz w:val="21"/>
          <w:szCs w:val="21"/>
        </w:rPr>
        <w:t>los</w:t>
      </w:r>
      <w:r w:rsidRPr="00AD79C7">
        <w:rPr>
          <w:rFonts w:ascii="Abadi" w:hAnsi="Abadi"/>
          <w:b/>
          <w:bCs/>
          <w:spacing w:val="-1"/>
          <w:sz w:val="21"/>
          <w:szCs w:val="21"/>
        </w:rPr>
        <w:t xml:space="preserve"> </w:t>
      </w:r>
      <w:r w:rsidRPr="00AD79C7">
        <w:rPr>
          <w:rFonts w:ascii="Abadi" w:hAnsi="Abadi"/>
          <w:b/>
          <w:bCs/>
          <w:sz w:val="21"/>
          <w:szCs w:val="21"/>
        </w:rPr>
        <w:t>Recursos</w:t>
      </w:r>
      <w:r w:rsidRPr="00AD79C7">
        <w:rPr>
          <w:rFonts w:ascii="Abadi" w:hAnsi="Abadi"/>
          <w:b/>
          <w:bCs/>
          <w:spacing w:val="-15"/>
          <w:sz w:val="21"/>
          <w:szCs w:val="21"/>
        </w:rPr>
        <w:t xml:space="preserve"> </w:t>
      </w:r>
      <w:r w:rsidRPr="00AD79C7">
        <w:rPr>
          <w:rFonts w:ascii="Abadi" w:hAnsi="Abadi"/>
          <w:b/>
          <w:bCs/>
          <w:sz w:val="21"/>
          <w:szCs w:val="21"/>
        </w:rPr>
        <w:t>Públicos</w:t>
      </w:r>
      <w:r w:rsidRPr="00AD79C7">
        <w:rPr>
          <w:rFonts w:ascii="Abadi" w:hAnsi="Abadi"/>
          <w:b/>
          <w:bCs/>
          <w:spacing w:val="-15"/>
          <w:sz w:val="21"/>
          <w:szCs w:val="21"/>
        </w:rPr>
        <w:t xml:space="preserve"> </w:t>
      </w:r>
      <w:r w:rsidRPr="00AD79C7">
        <w:rPr>
          <w:rFonts w:ascii="Abadi" w:hAnsi="Abadi"/>
          <w:b/>
          <w:bCs/>
          <w:sz w:val="21"/>
          <w:szCs w:val="21"/>
        </w:rPr>
        <w:t>para</w:t>
      </w:r>
      <w:r w:rsidRPr="00AD79C7">
        <w:rPr>
          <w:rFonts w:ascii="Abadi" w:hAnsi="Abadi"/>
          <w:b/>
          <w:bCs/>
          <w:spacing w:val="-15"/>
          <w:sz w:val="21"/>
          <w:szCs w:val="21"/>
        </w:rPr>
        <w:t xml:space="preserve"> </w:t>
      </w:r>
      <w:r w:rsidRPr="00AD79C7">
        <w:rPr>
          <w:rFonts w:ascii="Abadi" w:hAnsi="Abadi"/>
          <w:b/>
          <w:bCs/>
          <w:sz w:val="21"/>
          <w:szCs w:val="21"/>
        </w:rPr>
        <w:t>el</w:t>
      </w:r>
      <w:r w:rsidRPr="00AD79C7">
        <w:rPr>
          <w:rFonts w:ascii="Abadi" w:hAnsi="Abadi"/>
          <w:b/>
          <w:bCs/>
          <w:spacing w:val="-15"/>
          <w:sz w:val="21"/>
          <w:szCs w:val="21"/>
        </w:rPr>
        <w:t xml:space="preserve"> </w:t>
      </w:r>
      <w:r w:rsidRPr="00AD79C7">
        <w:rPr>
          <w:rFonts w:ascii="Abadi" w:hAnsi="Abadi"/>
          <w:b/>
          <w:bCs/>
          <w:sz w:val="21"/>
          <w:szCs w:val="21"/>
        </w:rPr>
        <w:t>Estado</w:t>
      </w:r>
      <w:r w:rsidRPr="00AD79C7">
        <w:rPr>
          <w:rFonts w:ascii="Abadi" w:hAnsi="Abadi"/>
          <w:b/>
          <w:bCs/>
          <w:spacing w:val="-15"/>
          <w:sz w:val="21"/>
          <w:szCs w:val="21"/>
        </w:rPr>
        <w:t xml:space="preserve"> </w:t>
      </w:r>
      <w:r w:rsidRPr="00AD79C7">
        <w:rPr>
          <w:rFonts w:ascii="Abadi" w:hAnsi="Abadi"/>
          <w:b/>
          <w:bCs/>
          <w:sz w:val="21"/>
          <w:szCs w:val="21"/>
        </w:rPr>
        <w:t>y</w:t>
      </w:r>
      <w:r w:rsidRPr="00AD79C7">
        <w:rPr>
          <w:rFonts w:ascii="Abadi" w:hAnsi="Abadi"/>
          <w:b/>
          <w:bCs/>
          <w:spacing w:val="-15"/>
          <w:sz w:val="21"/>
          <w:szCs w:val="21"/>
        </w:rPr>
        <w:t xml:space="preserve"> </w:t>
      </w:r>
      <w:r w:rsidRPr="00AD79C7">
        <w:rPr>
          <w:rFonts w:ascii="Abadi" w:hAnsi="Abadi"/>
          <w:b/>
          <w:bCs/>
          <w:sz w:val="21"/>
          <w:szCs w:val="21"/>
        </w:rPr>
        <w:t>los</w:t>
      </w:r>
      <w:r w:rsidRPr="00AD79C7">
        <w:rPr>
          <w:rFonts w:ascii="Abadi" w:hAnsi="Abadi"/>
          <w:b/>
          <w:bCs/>
          <w:spacing w:val="-15"/>
          <w:sz w:val="21"/>
          <w:szCs w:val="21"/>
        </w:rPr>
        <w:t xml:space="preserve"> </w:t>
      </w:r>
      <w:r w:rsidRPr="00AD79C7">
        <w:rPr>
          <w:rFonts w:ascii="Abadi" w:hAnsi="Abadi"/>
          <w:b/>
          <w:bCs/>
          <w:sz w:val="21"/>
          <w:szCs w:val="21"/>
        </w:rPr>
        <w:t>Municipios</w:t>
      </w:r>
      <w:r w:rsidRPr="00AD79C7">
        <w:rPr>
          <w:rFonts w:ascii="Abadi" w:hAnsi="Abadi"/>
          <w:b/>
          <w:bCs/>
          <w:spacing w:val="-15"/>
          <w:sz w:val="21"/>
          <w:szCs w:val="21"/>
        </w:rPr>
        <w:t xml:space="preserve"> </w:t>
      </w:r>
      <w:r w:rsidRPr="00AD79C7">
        <w:rPr>
          <w:rFonts w:ascii="Abadi" w:hAnsi="Abadi"/>
          <w:b/>
          <w:bCs/>
          <w:sz w:val="21"/>
          <w:szCs w:val="21"/>
        </w:rPr>
        <w:t>de</w:t>
      </w:r>
      <w:r w:rsidRPr="00AD79C7">
        <w:rPr>
          <w:rFonts w:ascii="Abadi" w:hAnsi="Abadi"/>
          <w:b/>
          <w:bCs/>
          <w:spacing w:val="-15"/>
          <w:sz w:val="21"/>
          <w:szCs w:val="21"/>
        </w:rPr>
        <w:t xml:space="preserve"> </w:t>
      </w:r>
      <w:r w:rsidRPr="00AD79C7">
        <w:rPr>
          <w:rFonts w:ascii="Abadi" w:hAnsi="Abadi"/>
          <w:b/>
          <w:bCs/>
          <w:sz w:val="21"/>
          <w:szCs w:val="21"/>
        </w:rPr>
        <w:t>Guanajuato;</w:t>
      </w:r>
      <w:r w:rsidRPr="00AD79C7">
        <w:rPr>
          <w:rFonts w:ascii="Abadi" w:hAnsi="Abadi"/>
          <w:b/>
          <w:bCs/>
          <w:spacing w:val="-15"/>
          <w:sz w:val="21"/>
          <w:szCs w:val="21"/>
        </w:rPr>
        <w:t xml:space="preserve"> </w:t>
      </w:r>
      <w:r w:rsidRPr="00AD79C7">
        <w:rPr>
          <w:rFonts w:ascii="Abadi" w:hAnsi="Abadi"/>
          <w:b/>
          <w:bCs/>
          <w:sz w:val="21"/>
          <w:szCs w:val="21"/>
        </w:rPr>
        <w:t>y</w:t>
      </w:r>
      <w:r w:rsidRPr="00AD79C7">
        <w:rPr>
          <w:rFonts w:ascii="Abadi" w:hAnsi="Abadi"/>
          <w:b/>
          <w:bCs/>
          <w:spacing w:val="-13"/>
          <w:sz w:val="21"/>
          <w:szCs w:val="21"/>
        </w:rPr>
        <w:t xml:space="preserve"> </w:t>
      </w:r>
      <w:r w:rsidRPr="00AD79C7">
        <w:rPr>
          <w:rFonts w:ascii="Abadi" w:hAnsi="Abadi"/>
          <w:b/>
          <w:bCs/>
          <w:sz w:val="21"/>
          <w:szCs w:val="21"/>
        </w:rPr>
        <w:t>derogar</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29"/>
          <w:sz w:val="21"/>
          <w:szCs w:val="21"/>
        </w:rPr>
        <w:t xml:space="preserve"> </w:t>
      </w:r>
      <w:r w:rsidRPr="00AD79C7">
        <w:rPr>
          <w:rFonts w:ascii="Abadi" w:hAnsi="Abadi"/>
          <w:b/>
          <w:bCs/>
          <w:sz w:val="21"/>
          <w:szCs w:val="21"/>
        </w:rPr>
        <w:t>fracción</w:t>
      </w:r>
      <w:r w:rsidRPr="00AD79C7">
        <w:rPr>
          <w:rFonts w:ascii="Abadi" w:hAnsi="Abadi"/>
          <w:b/>
          <w:bCs/>
          <w:spacing w:val="28"/>
          <w:sz w:val="21"/>
          <w:szCs w:val="21"/>
        </w:rPr>
        <w:t xml:space="preserve"> </w:t>
      </w:r>
      <w:r w:rsidRPr="00AD79C7">
        <w:rPr>
          <w:rFonts w:ascii="Abadi" w:hAnsi="Abadi"/>
          <w:b/>
          <w:bCs/>
          <w:sz w:val="21"/>
          <w:szCs w:val="21"/>
        </w:rPr>
        <w:t>IX</w:t>
      </w:r>
      <w:r w:rsidRPr="00AD79C7">
        <w:rPr>
          <w:rFonts w:ascii="Abadi" w:hAnsi="Abadi"/>
          <w:b/>
          <w:bCs/>
          <w:spacing w:val="29"/>
          <w:sz w:val="21"/>
          <w:szCs w:val="21"/>
        </w:rPr>
        <w:t xml:space="preserve"> </w:t>
      </w:r>
      <w:r w:rsidRPr="00AD79C7">
        <w:rPr>
          <w:rFonts w:ascii="Abadi" w:hAnsi="Abadi"/>
          <w:b/>
          <w:bCs/>
          <w:sz w:val="21"/>
          <w:szCs w:val="21"/>
        </w:rPr>
        <w:t>del</w:t>
      </w:r>
      <w:r w:rsidRPr="00AD79C7">
        <w:rPr>
          <w:rFonts w:ascii="Abadi" w:hAnsi="Abadi"/>
          <w:b/>
          <w:bCs/>
          <w:spacing w:val="28"/>
          <w:sz w:val="21"/>
          <w:szCs w:val="21"/>
        </w:rPr>
        <w:t xml:space="preserve"> </w:t>
      </w:r>
      <w:r w:rsidRPr="00AD79C7">
        <w:rPr>
          <w:rFonts w:ascii="Abadi" w:hAnsi="Abadi"/>
          <w:b/>
          <w:bCs/>
          <w:sz w:val="21"/>
          <w:szCs w:val="21"/>
        </w:rPr>
        <w:t>artículo</w:t>
      </w:r>
      <w:r w:rsidRPr="00AD79C7">
        <w:rPr>
          <w:rFonts w:ascii="Abadi" w:hAnsi="Abadi"/>
          <w:b/>
          <w:bCs/>
          <w:spacing w:val="28"/>
          <w:sz w:val="21"/>
          <w:szCs w:val="21"/>
        </w:rPr>
        <w:t xml:space="preserve"> </w:t>
      </w:r>
      <w:r w:rsidRPr="00AD79C7">
        <w:rPr>
          <w:rFonts w:ascii="Abadi" w:hAnsi="Abadi"/>
          <w:b/>
          <w:bCs/>
          <w:sz w:val="21"/>
          <w:szCs w:val="21"/>
        </w:rPr>
        <w:t>7</w:t>
      </w:r>
      <w:r w:rsidRPr="00AD79C7">
        <w:rPr>
          <w:rFonts w:ascii="Abadi" w:hAnsi="Abadi"/>
          <w:b/>
          <w:bCs/>
          <w:spacing w:val="28"/>
          <w:sz w:val="21"/>
          <w:szCs w:val="21"/>
        </w:rPr>
        <w:t xml:space="preserve"> </w:t>
      </w:r>
      <w:r w:rsidRPr="00AD79C7">
        <w:rPr>
          <w:rFonts w:ascii="Abadi" w:hAnsi="Abadi"/>
          <w:b/>
          <w:bCs/>
          <w:sz w:val="21"/>
          <w:szCs w:val="21"/>
        </w:rPr>
        <w:t>de</w:t>
      </w:r>
      <w:r w:rsidRPr="00AD79C7">
        <w:rPr>
          <w:rFonts w:ascii="Abadi" w:hAnsi="Abadi"/>
          <w:b/>
          <w:bCs/>
          <w:spacing w:val="28"/>
          <w:sz w:val="21"/>
          <w:szCs w:val="21"/>
        </w:rPr>
        <w:t xml:space="preserve"> </w:t>
      </w:r>
      <w:r w:rsidRPr="00AD79C7">
        <w:rPr>
          <w:rFonts w:ascii="Abadi" w:hAnsi="Abadi"/>
          <w:b/>
          <w:bCs/>
          <w:sz w:val="21"/>
          <w:szCs w:val="21"/>
        </w:rPr>
        <w:t>la</w:t>
      </w:r>
      <w:r w:rsidRPr="00AD79C7">
        <w:rPr>
          <w:rFonts w:ascii="Abadi" w:hAnsi="Abadi"/>
          <w:b/>
          <w:bCs/>
          <w:spacing w:val="28"/>
          <w:sz w:val="21"/>
          <w:szCs w:val="21"/>
        </w:rPr>
        <w:t xml:space="preserve"> </w:t>
      </w:r>
      <w:r w:rsidRPr="00AD79C7">
        <w:rPr>
          <w:rFonts w:ascii="Abadi" w:hAnsi="Abadi"/>
          <w:b/>
          <w:bCs/>
          <w:sz w:val="21"/>
          <w:szCs w:val="21"/>
        </w:rPr>
        <w:t>Ley</w:t>
      </w:r>
      <w:r w:rsidRPr="00AD79C7">
        <w:rPr>
          <w:rFonts w:ascii="Abadi" w:hAnsi="Abadi"/>
          <w:b/>
          <w:bCs/>
          <w:spacing w:val="28"/>
          <w:sz w:val="21"/>
          <w:szCs w:val="21"/>
        </w:rPr>
        <w:t xml:space="preserve"> </w:t>
      </w:r>
      <w:r w:rsidRPr="00AD79C7">
        <w:rPr>
          <w:rFonts w:ascii="Abadi" w:hAnsi="Abadi"/>
          <w:b/>
          <w:bCs/>
          <w:sz w:val="21"/>
          <w:szCs w:val="21"/>
        </w:rPr>
        <w:t>de</w:t>
      </w:r>
      <w:r w:rsidRPr="00AD79C7">
        <w:rPr>
          <w:rFonts w:ascii="Abadi" w:hAnsi="Abadi"/>
          <w:b/>
          <w:bCs/>
          <w:spacing w:val="29"/>
          <w:sz w:val="21"/>
          <w:szCs w:val="21"/>
        </w:rPr>
        <w:t xml:space="preserve"> </w:t>
      </w:r>
      <w:r w:rsidRPr="00AD79C7">
        <w:rPr>
          <w:rFonts w:ascii="Abadi" w:hAnsi="Abadi"/>
          <w:b/>
          <w:bCs/>
          <w:sz w:val="21"/>
          <w:szCs w:val="21"/>
        </w:rPr>
        <w:t>Contrataciones</w:t>
      </w:r>
      <w:r w:rsidRPr="00AD79C7">
        <w:rPr>
          <w:rFonts w:ascii="Abadi" w:hAnsi="Abadi"/>
          <w:b/>
          <w:bCs/>
          <w:spacing w:val="29"/>
          <w:sz w:val="21"/>
          <w:szCs w:val="21"/>
        </w:rPr>
        <w:t xml:space="preserve"> </w:t>
      </w:r>
      <w:r w:rsidRPr="00AD79C7">
        <w:rPr>
          <w:rFonts w:ascii="Abadi" w:hAnsi="Abadi"/>
          <w:b/>
          <w:bCs/>
          <w:sz w:val="21"/>
          <w:szCs w:val="21"/>
        </w:rPr>
        <w:lastRenderedPageBreak/>
        <w:t>Públicas</w:t>
      </w:r>
      <w:r w:rsidRPr="00AD79C7">
        <w:rPr>
          <w:rFonts w:ascii="Abadi" w:hAnsi="Abadi"/>
          <w:b/>
          <w:bCs/>
          <w:spacing w:val="29"/>
          <w:sz w:val="21"/>
          <w:szCs w:val="21"/>
        </w:rPr>
        <w:t xml:space="preserve"> </w:t>
      </w:r>
      <w:r w:rsidRPr="00AD79C7">
        <w:rPr>
          <w:rFonts w:ascii="Abadi" w:hAnsi="Abadi"/>
          <w:b/>
          <w:bCs/>
          <w:sz w:val="21"/>
          <w:szCs w:val="21"/>
        </w:rPr>
        <w:t>para</w:t>
      </w:r>
      <w:r w:rsidRPr="00AD79C7">
        <w:rPr>
          <w:rFonts w:ascii="Abadi" w:hAnsi="Abadi"/>
          <w:b/>
          <w:bCs/>
          <w:spacing w:val="29"/>
          <w:sz w:val="21"/>
          <w:szCs w:val="21"/>
        </w:rPr>
        <w:t xml:space="preserve"> </w:t>
      </w:r>
      <w:r w:rsidRPr="00AD79C7">
        <w:rPr>
          <w:rFonts w:ascii="Abadi" w:hAnsi="Abadi"/>
          <w:b/>
          <w:bCs/>
          <w:sz w:val="21"/>
          <w:szCs w:val="21"/>
        </w:rPr>
        <w:t>el</w:t>
      </w:r>
      <w:r w:rsidRPr="00AD79C7">
        <w:rPr>
          <w:rFonts w:ascii="Abadi" w:hAnsi="Abadi"/>
          <w:b/>
          <w:bCs/>
          <w:spacing w:val="-1"/>
          <w:sz w:val="21"/>
          <w:szCs w:val="21"/>
        </w:rPr>
        <w:t xml:space="preserve"> </w:t>
      </w:r>
      <w:r w:rsidRPr="00AD79C7">
        <w:rPr>
          <w:rFonts w:ascii="Abadi" w:hAnsi="Abadi"/>
          <w:b/>
          <w:bCs/>
          <w:sz w:val="21"/>
          <w:szCs w:val="21"/>
        </w:rPr>
        <w:t>Estado</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Guanajuato.</w:t>
      </w:r>
    </w:p>
    <w:p w14:paraId="4C3F8FE5" w14:textId="77777777" w:rsidR="009B1385" w:rsidRPr="00AD79C7" w:rsidRDefault="009B1385" w:rsidP="009B1385">
      <w:pPr>
        <w:kinsoku w:val="0"/>
        <w:overflowPunct w:val="0"/>
        <w:autoSpaceDE w:val="0"/>
        <w:autoSpaceDN w:val="0"/>
        <w:adjustRightInd w:val="0"/>
        <w:spacing w:before="1"/>
        <w:ind w:right="17"/>
        <w:jc w:val="both"/>
        <w:rPr>
          <w:rFonts w:ascii="Abadi" w:hAnsi="Abadi" w:cs="Arial"/>
          <w:b/>
          <w:bCs/>
          <w:sz w:val="21"/>
          <w:szCs w:val="21"/>
        </w:rPr>
      </w:pPr>
    </w:p>
    <w:p w14:paraId="3D801F61" w14:textId="48B2F639" w:rsidR="009B1385" w:rsidRDefault="009B1385"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1"/>
          <w:sz w:val="21"/>
          <w:szCs w:val="21"/>
        </w:rPr>
        <w:t xml:space="preserve"> </w:t>
      </w:r>
      <w:r w:rsidRPr="00AD79C7">
        <w:rPr>
          <w:rFonts w:ascii="Abadi" w:hAnsi="Abadi"/>
          <w:b/>
          <w:bCs/>
          <w:sz w:val="21"/>
          <w:szCs w:val="21"/>
        </w:rPr>
        <w:t>y,</w:t>
      </w:r>
      <w:r w:rsidRPr="00AD79C7">
        <w:rPr>
          <w:rFonts w:ascii="Abadi" w:hAnsi="Abadi"/>
          <w:b/>
          <w:bCs/>
          <w:spacing w:val="11"/>
          <w:sz w:val="21"/>
          <w:szCs w:val="21"/>
        </w:rPr>
        <w:t xml:space="preserve"> </w:t>
      </w:r>
      <w:r w:rsidRPr="00AD79C7">
        <w:rPr>
          <w:rFonts w:ascii="Abadi" w:hAnsi="Abadi"/>
          <w:b/>
          <w:bCs/>
          <w:sz w:val="21"/>
          <w:szCs w:val="21"/>
        </w:rPr>
        <w:t>en</w:t>
      </w:r>
      <w:r w:rsidRPr="00AD79C7">
        <w:rPr>
          <w:rFonts w:ascii="Abadi" w:hAnsi="Abadi"/>
          <w:b/>
          <w:bCs/>
          <w:spacing w:val="11"/>
          <w:sz w:val="21"/>
          <w:szCs w:val="21"/>
        </w:rPr>
        <w:t xml:space="preserve"> </w:t>
      </w:r>
      <w:r w:rsidRPr="00AD79C7">
        <w:rPr>
          <w:rFonts w:ascii="Abadi" w:hAnsi="Abadi"/>
          <w:b/>
          <w:bCs/>
          <w:sz w:val="21"/>
          <w:szCs w:val="21"/>
        </w:rPr>
        <w:t>su</w:t>
      </w:r>
      <w:r w:rsidRPr="00AD79C7">
        <w:rPr>
          <w:rFonts w:ascii="Abadi" w:hAnsi="Abadi"/>
          <w:b/>
          <w:bCs/>
          <w:spacing w:val="11"/>
          <w:sz w:val="21"/>
          <w:szCs w:val="21"/>
        </w:rPr>
        <w:t xml:space="preserve"> </w:t>
      </w:r>
      <w:r w:rsidRPr="00AD79C7">
        <w:rPr>
          <w:rFonts w:ascii="Abadi" w:hAnsi="Abadi"/>
          <w:b/>
          <w:bCs/>
          <w:sz w:val="21"/>
          <w:szCs w:val="21"/>
        </w:rPr>
        <w:t>caso,</w:t>
      </w:r>
      <w:r w:rsidRPr="00AD79C7">
        <w:rPr>
          <w:rFonts w:ascii="Abadi" w:hAnsi="Abadi"/>
          <w:b/>
          <w:bCs/>
          <w:spacing w:val="11"/>
          <w:sz w:val="21"/>
          <w:szCs w:val="21"/>
        </w:rPr>
        <w:t xml:space="preserve"> </w:t>
      </w:r>
      <w:r w:rsidRPr="00AD79C7">
        <w:rPr>
          <w:rFonts w:ascii="Abadi" w:hAnsi="Abadi"/>
          <w:b/>
          <w:bCs/>
          <w:sz w:val="21"/>
          <w:szCs w:val="21"/>
        </w:rPr>
        <w:t>aprobación</w:t>
      </w:r>
      <w:r w:rsidRPr="00AD79C7">
        <w:rPr>
          <w:rFonts w:ascii="Abadi" w:hAnsi="Abadi"/>
          <w:b/>
          <w:bCs/>
          <w:spacing w:val="11"/>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dictamen</w:t>
      </w:r>
      <w:r w:rsidRPr="00AD79C7">
        <w:rPr>
          <w:rFonts w:ascii="Abadi" w:hAnsi="Abadi"/>
          <w:b/>
          <w:bCs/>
          <w:spacing w:val="11"/>
          <w:sz w:val="21"/>
          <w:szCs w:val="21"/>
        </w:rPr>
        <w:t xml:space="preserve"> </w:t>
      </w:r>
      <w:r w:rsidRPr="00AD79C7">
        <w:rPr>
          <w:rFonts w:ascii="Abadi" w:hAnsi="Abadi"/>
          <w:b/>
          <w:bCs/>
          <w:sz w:val="21"/>
          <w:szCs w:val="21"/>
        </w:rPr>
        <w:t>suscrito</w:t>
      </w:r>
      <w:r w:rsidRPr="00AD79C7">
        <w:rPr>
          <w:rFonts w:ascii="Abadi" w:hAnsi="Abadi"/>
          <w:b/>
          <w:bCs/>
          <w:spacing w:val="11"/>
          <w:sz w:val="21"/>
          <w:szCs w:val="21"/>
        </w:rPr>
        <w:t xml:space="preserve"> </w:t>
      </w:r>
      <w:r w:rsidRPr="00AD79C7">
        <w:rPr>
          <w:rFonts w:ascii="Abadi" w:hAnsi="Abadi"/>
          <w:b/>
          <w:bCs/>
          <w:sz w:val="21"/>
          <w:szCs w:val="21"/>
        </w:rPr>
        <w:t>por</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Comisión</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57"/>
          <w:w w:val="150"/>
          <w:sz w:val="21"/>
          <w:szCs w:val="21"/>
        </w:rPr>
        <w:t xml:space="preserve"> </w:t>
      </w:r>
      <w:r w:rsidRPr="00AD79C7">
        <w:rPr>
          <w:rFonts w:ascii="Abadi" w:hAnsi="Abadi"/>
          <w:b/>
          <w:bCs/>
          <w:sz w:val="21"/>
          <w:szCs w:val="21"/>
        </w:rPr>
        <w:t>Hacienda</w:t>
      </w:r>
      <w:r w:rsidRPr="00AD79C7">
        <w:rPr>
          <w:rFonts w:ascii="Abadi" w:hAnsi="Abadi"/>
          <w:b/>
          <w:bCs/>
          <w:spacing w:val="57"/>
          <w:w w:val="150"/>
          <w:sz w:val="21"/>
          <w:szCs w:val="21"/>
        </w:rPr>
        <w:t xml:space="preserve"> </w:t>
      </w:r>
      <w:r w:rsidRPr="00AD79C7">
        <w:rPr>
          <w:rFonts w:ascii="Abadi" w:hAnsi="Abadi"/>
          <w:b/>
          <w:bCs/>
          <w:sz w:val="21"/>
          <w:szCs w:val="21"/>
        </w:rPr>
        <w:t>y</w:t>
      </w:r>
      <w:r w:rsidRPr="00AD79C7">
        <w:rPr>
          <w:rFonts w:ascii="Abadi" w:hAnsi="Abadi"/>
          <w:b/>
          <w:bCs/>
          <w:spacing w:val="57"/>
          <w:w w:val="150"/>
          <w:sz w:val="21"/>
          <w:szCs w:val="21"/>
        </w:rPr>
        <w:t xml:space="preserve"> </w:t>
      </w:r>
      <w:r w:rsidRPr="00AD79C7">
        <w:rPr>
          <w:rFonts w:ascii="Abadi" w:hAnsi="Abadi"/>
          <w:b/>
          <w:bCs/>
          <w:sz w:val="21"/>
          <w:szCs w:val="21"/>
        </w:rPr>
        <w:t>Fiscalización</w:t>
      </w:r>
      <w:r w:rsidRPr="00AD79C7">
        <w:rPr>
          <w:rFonts w:ascii="Abadi" w:hAnsi="Abadi"/>
          <w:b/>
          <w:bCs/>
          <w:spacing w:val="57"/>
          <w:w w:val="150"/>
          <w:sz w:val="21"/>
          <w:szCs w:val="21"/>
        </w:rPr>
        <w:t xml:space="preserve"> </w:t>
      </w:r>
      <w:r w:rsidRPr="00AD79C7">
        <w:rPr>
          <w:rFonts w:ascii="Abadi" w:hAnsi="Abadi"/>
          <w:b/>
          <w:bCs/>
          <w:sz w:val="21"/>
          <w:szCs w:val="21"/>
        </w:rPr>
        <w:t>relativo</w:t>
      </w:r>
      <w:r w:rsidRPr="00AD79C7">
        <w:rPr>
          <w:rFonts w:ascii="Abadi" w:hAnsi="Abadi"/>
          <w:b/>
          <w:bCs/>
          <w:spacing w:val="57"/>
          <w:w w:val="150"/>
          <w:sz w:val="21"/>
          <w:szCs w:val="21"/>
        </w:rPr>
        <w:t xml:space="preserve"> </w:t>
      </w:r>
      <w:r w:rsidRPr="00AD79C7">
        <w:rPr>
          <w:rFonts w:ascii="Abadi" w:hAnsi="Abadi"/>
          <w:b/>
          <w:bCs/>
          <w:sz w:val="21"/>
          <w:szCs w:val="21"/>
        </w:rPr>
        <w:t>a</w:t>
      </w:r>
      <w:r w:rsidRPr="00AD79C7">
        <w:rPr>
          <w:rFonts w:ascii="Abadi" w:hAnsi="Abadi"/>
          <w:b/>
          <w:bCs/>
          <w:spacing w:val="57"/>
          <w:w w:val="150"/>
          <w:sz w:val="21"/>
          <w:szCs w:val="21"/>
        </w:rPr>
        <w:t xml:space="preserve"> </w:t>
      </w:r>
      <w:r w:rsidRPr="00AD79C7">
        <w:rPr>
          <w:rFonts w:ascii="Abadi" w:hAnsi="Abadi"/>
          <w:b/>
          <w:bCs/>
          <w:sz w:val="21"/>
          <w:szCs w:val="21"/>
        </w:rPr>
        <w:t>dos</w:t>
      </w:r>
      <w:r w:rsidRPr="00AD79C7">
        <w:rPr>
          <w:rFonts w:ascii="Abadi" w:hAnsi="Abadi"/>
          <w:b/>
          <w:bCs/>
          <w:spacing w:val="57"/>
          <w:w w:val="150"/>
          <w:sz w:val="21"/>
          <w:szCs w:val="21"/>
        </w:rPr>
        <w:t xml:space="preserve"> </w:t>
      </w:r>
      <w:r w:rsidRPr="00AD79C7">
        <w:rPr>
          <w:rFonts w:ascii="Abadi" w:hAnsi="Abadi"/>
          <w:b/>
          <w:bCs/>
          <w:sz w:val="21"/>
          <w:szCs w:val="21"/>
        </w:rPr>
        <w:t>iniciativas</w:t>
      </w:r>
      <w:r w:rsidRPr="00AD79C7">
        <w:rPr>
          <w:rFonts w:ascii="Abadi" w:hAnsi="Abadi"/>
          <w:b/>
          <w:bCs/>
          <w:spacing w:val="57"/>
          <w:w w:val="150"/>
          <w:sz w:val="21"/>
          <w:szCs w:val="21"/>
        </w:rPr>
        <w:t xml:space="preserve"> </w:t>
      </w:r>
      <w:r w:rsidRPr="00AD79C7">
        <w:rPr>
          <w:rFonts w:ascii="Abadi" w:hAnsi="Abadi"/>
          <w:b/>
          <w:bCs/>
          <w:sz w:val="21"/>
          <w:szCs w:val="21"/>
        </w:rPr>
        <w:t>formuladas</w:t>
      </w:r>
      <w:r w:rsidRPr="00AD79C7">
        <w:rPr>
          <w:rFonts w:ascii="Abadi" w:hAnsi="Abadi"/>
          <w:b/>
          <w:bCs/>
          <w:spacing w:val="57"/>
          <w:w w:val="150"/>
          <w:sz w:val="21"/>
          <w:szCs w:val="21"/>
        </w:rPr>
        <w:t xml:space="preserve"> </w:t>
      </w:r>
      <w:r w:rsidRPr="00AD79C7">
        <w:rPr>
          <w:rFonts w:ascii="Abadi" w:hAnsi="Abadi"/>
          <w:b/>
          <w:bCs/>
          <w:sz w:val="21"/>
          <w:szCs w:val="21"/>
        </w:rPr>
        <w:t>por</w:t>
      </w:r>
      <w:r w:rsidRPr="00AD79C7">
        <w:rPr>
          <w:rFonts w:ascii="Abadi" w:hAnsi="Abadi"/>
          <w:b/>
          <w:bCs/>
          <w:spacing w:val="-1"/>
          <w:sz w:val="21"/>
          <w:szCs w:val="21"/>
        </w:rPr>
        <w:t xml:space="preserve"> </w:t>
      </w:r>
      <w:r w:rsidRPr="00AD79C7">
        <w:rPr>
          <w:rFonts w:ascii="Abadi" w:hAnsi="Abadi"/>
          <w:b/>
          <w:bCs/>
          <w:sz w:val="21"/>
          <w:szCs w:val="21"/>
        </w:rPr>
        <w:t>diputadas</w:t>
      </w:r>
      <w:r w:rsidRPr="00AD79C7">
        <w:rPr>
          <w:rFonts w:ascii="Abadi" w:hAnsi="Abadi"/>
          <w:b/>
          <w:bCs/>
          <w:spacing w:val="72"/>
          <w:sz w:val="21"/>
          <w:szCs w:val="21"/>
        </w:rPr>
        <w:t xml:space="preserve"> </w:t>
      </w:r>
      <w:r w:rsidRPr="00AD79C7">
        <w:rPr>
          <w:rFonts w:ascii="Abadi" w:hAnsi="Abadi"/>
          <w:b/>
          <w:bCs/>
          <w:sz w:val="21"/>
          <w:szCs w:val="21"/>
        </w:rPr>
        <w:t>y</w:t>
      </w:r>
      <w:r w:rsidRPr="00AD79C7">
        <w:rPr>
          <w:rFonts w:ascii="Abadi" w:hAnsi="Abadi"/>
          <w:b/>
          <w:bCs/>
          <w:spacing w:val="72"/>
          <w:sz w:val="21"/>
          <w:szCs w:val="21"/>
        </w:rPr>
        <w:t xml:space="preserve"> </w:t>
      </w:r>
      <w:r w:rsidRPr="00AD79C7">
        <w:rPr>
          <w:rFonts w:ascii="Abadi" w:hAnsi="Abadi"/>
          <w:b/>
          <w:bCs/>
          <w:sz w:val="21"/>
          <w:szCs w:val="21"/>
        </w:rPr>
        <w:t>diputados</w:t>
      </w:r>
      <w:r w:rsidRPr="00AD79C7">
        <w:rPr>
          <w:rFonts w:ascii="Abadi" w:hAnsi="Abadi"/>
          <w:b/>
          <w:bCs/>
          <w:spacing w:val="72"/>
          <w:sz w:val="21"/>
          <w:szCs w:val="21"/>
        </w:rPr>
        <w:t xml:space="preserve"> </w:t>
      </w:r>
      <w:r w:rsidRPr="00AD79C7">
        <w:rPr>
          <w:rFonts w:ascii="Abadi" w:hAnsi="Abadi"/>
          <w:b/>
          <w:bCs/>
          <w:sz w:val="21"/>
          <w:szCs w:val="21"/>
        </w:rPr>
        <w:t>integrantes</w:t>
      </w:r>
      <w:r w:rsidRPr="00AD79C7">
        <w:rPr>
          <w:rFonts w:ascii="Abadi" w:hAnsi="Abadi"/>
          <w:b/>
          <w:bCs/>
          <w:spacing w:val="72"/>
          <w:sz w:val="21"/>
          <w:szCs w:val="21"/>
        </w:rPr>
        <w:t xml:space="preserve"> </w:t>
      </w:r>
      <w:r w:rsidRPr="00AD79C7">
        <w:rPr>
          <w:rFonts w:ascii="Abadi" w:hAnsi="Abadi"/>
          <w:b/>
          <w:bCs/>
          <w:sz w:val="21"/>
          <w:szCs w:val="21"/>
        </w:rPr>
        <w:t>del</w:t>
      </w:r>
      <w:r w:rsidRPr="00AD79C7">
        <w:rPr>
          <w:rFonts w:ascii="Abadi" w:hAnsi="Abadi"/>
          <w:b/>
          <w:bCs/>
          <w:spacing w:val="72"/>
          <w:sz w:val="21"/>
          <w:szCs w:val="21"/>
        </w:rPr>
        <w:t xml:space="preserve"> </w:t>
      </w:r>
      <w:r w:rsidRPr="00AD79C7">
        <w:rPr>
          <w:rFonts w:ascii="Abadi" w:hAnsi="Abadi"/>
          <w:b/>
          <w:bCs/>
          <w:sz w:val="21"/>
          <w:szCs w:val="21"/>
        </w:rPr>
        <w:t>Grupo</w:t>
      </w:r>
      <w:r w:rsidRPr="00AD79C7">
        <w:rPr>
          <w:rFonts w:ascii="Abadi" w:hAnsi="Abadi"/>
          <w:b/>
          <w:bCs/>
          <w:spacing w:val="72"/>
          <w:sz w:val="21"/>
          <w:szCs w:val="21"/>
        </w:rPr>
        <w:t xml:space="preserve"> </w:t>
      </w:r>
      <w:r w:rsidRPr="00AD79C7">
        <w:rPr>
          <w:rFonts w:ascii="Abadi" w:hAnsi="Abadi"/>
          <w:b/>
          <w:bCs/>
          <w:sz w:val="21"/>
          <w:szCs w:val="21"/>
        </w:rPr>
        <w:t>Parlamentario</w:t>
      </w:r>
      <w:r w:rsidRPr="00AD79C7">
        <w:rPr>
          <w:rFonts w:ascii="Abadi" w:hAnsi="Abadi"/>
          <w:b/>
          <w:bCs/>
          <w:spacing w:val="72"/>
          <w:sz w:val="21"/>
          <w:szCs w:val="21"/>
        </w:rPr>
        <w:t xml:space="preserve"> </w:t>
      </w:r>
      <w:r w:rsidRPr="00AD79C7">
        <w:rPr>
          <w:rFonts w:ascii="Abadi" w:hAnsi="Abadi"/>
          <w:b/>
          <w:bCs/>
          <w:sz w:val="21"/>
          <w:szCs w:val="21"/>
        </w:rPr>
        <w:t>del</w:t>
      </w:r>
      <w:r w:rsidRPr="00AD79C7">
        <w:rPr>
          <w:rFonts w:ascii="Abadi" w:hAnsi="Abadi"/>
          <w:b/>
          <w:bCs/>
          <w:spacing w:val="72"/>
          <w:sz w:val="21"/>
          <w:szCs w:val="21"/>
        </w:rPr>
        <w:t xml:space="preserve"> </w:t>
      </w:r>
      <w:r w:rsidRPr="00AD79C7">
        <w:rPr>
          <w:rFonts w:ascii="Abadi" w:hAnsi="Abadi"/>
          <w:b/>
          <w:bCs/>
          <w:sz w:val="21"/>
          <w:szCs w:val="21"/>
        </w:rPr>
        <w:t>Partido</w:t>
      </w:r>
      <w:r w:rsidRPr="00AD79C7">
        <w:rPr>
          <w:rFonts w:ascii="Abadi" w:hAnsi="Abadi"/>
          <w:b/>
          <w:bCs/>
          <w:spacing w:val="-1"/>
          <w:sz w:val="21"/>
          <w:szCs w:val="21"/>
        </w:rPr>
        <w:t xml:space="preserve"> </w:t>
      </w:r>
      <w:r w:rsidRPr="00AD79C7">
        <w:rPr>
          <w:rFonts w:ascii="Abadi" w:hAnsi="Abadi"/>
          <w:b/>
          <w:bCs/>
          <w:sz w:val="21"/>
          <w:szCs w:val="21"/>
        </w:rPr>
        <w:t>Acción</w:t>
      </w:r>
      <w:r w:rsidRPr="00AD79C7">
        <w:rPr>
          <w:rFonts w:ascii="Abadi" w:hAnsi="Abadi"/>
          <w:b/>
          <w:bCs/>
          <w:spacing w:val="-7"/>
          <w:sz w:val="21"/>
          <w:szCs w:val="21"/>
        </w:rPr>
        <w:t xml:space="preserve"> </w:t>
      </w:r>
      <w:r w:rsidRPr="00AD79C7">
        <w:rPr>
          <w:rFonts w:ascii="Abadi" w:hAnsi="Abadi"/>
          <w:b/>
          <w:bCs/>
          <w:sz w:val="21"/>
          <w:szCs w:val="21"/>
        </w:rPr>
        <w:t>Nacional</w:t>
      </w:r>
      <w:r w:rsidRPr="00AD79C7">
        <w:rPr>
          <w:rFonts w:ascii="Abadi" w:hAnsi="Abadi"/>
          <w:b/>
          <w:bCs/>
          <w:spacing w:val="-7"/>
          <w:sz w:val="21"/>
          <w:szCs w:val="21"/>
        </w:rPr>
        <w:t xml:space="preserve"> </w:t>
      </w:r>
      <w:r w:rsidRPr="00AD79C7">
        <w:rPr>
          <w:rFonts w:ascii="Abadi" w:hAnsi="Abadi"/>
          <w:b/>
          <w:bCs/>
          <w:sz w:val="21"/>
          <w:szCs w:val="21"/>
        </w:rPr>
        <w:t>a</w:t>
      </w:r>
      <w:r w:rsidRPr="00AD79C7">
        <w:rPr>
          <w:rFonts w:ascii="Abadi" w:hAnsi="Abadi"/>
          <w:b/>
          <w:bCs/>
          <w:spacing w:val="-7"/>
          <w:sz w:val="21"/>
          <w:szCs w:val="21"/>
        </w:rPr>
        <w:t xml:space="preserve"> </w:t>
      </w:r>
      <w:r w:rsidRPr="00AD79C7">
        <w:rPr>
          <w:rFonts w:ascii="Abadi" w:hAnsi="Abadi"/>
          <w:b/>
          <w:bCs/>
          <w:sz w:val="21"/>
          <w:szCs w:val="21"/>
        </w:rPr>
        <w:t>efecto</w:t>
      </w:r>
      <w:r w:rsidRPr="00AD79C7">
        <w:rPr>
          <w:rFonts w:ascii="Abadi" w:hAnsi="Abadi"/>
          <w:b/>
          <w:bCs/>
          <w:spacing w:val="-7"/>
          <w:sz w:val="21"/>
          <w:szCs w:val="21"/>
        </w:rPr>
        <w:t xml:space="preserve"> </w:t>
      </w:r>
      <w:r w:rsidRPr="00AD79C7">
        <w:rPr>
          <w:rFonts w:ascii="Abadi" w:hAnsi="Abadi"/>
          <w:b/>
          <w:bCs/>
          <w:sz w:val="21"/>
          <w:szCs w:val="21"/>
        </w:rPr>
        <w:t>de</w:t>
      </w:r>
      <w:r w:rsidRPr="00AD79C7">
        <w:rPr>
          <w:rFonts w:ascii="Abadi" w:hAnsi="Abadi"/>
          <w:b/>
          <w:bCs/>
          <w:spacing w:val="-7"/>
          <w:sz w:val="21"/>
          <w:szCs w:val="21"/>
        </w:rPr>
        <w:t xml:space="preserve"> </w:t>
      </w:r>
      <w:r w:rsidRPr="00AD79C7">
        <w:rPr>
          <w:rFonts w:ascii="Abadi" w:hAnsi="Abadi"/>
          <w:b/>
          <w:bCs/>
          <w:sz w:val="21"/>
          <w:szCs w:val="21"/>
        </w:rPr>
        <w:t>reformar,</w:t>
      </w:r>
      <w:r w:rsidRPr="00AD79C7">
        <w:rPr>
          <w:rFonts w:ascii="Abadi" w:hAnsi="Abadi"/>
          <w:b/>
          <w:bCs/>
          <w:spacing w:val="-7"/>
          <w:sz w:val="21"/>
          <w:szCs w:val="21"/>
        </w:rPr>
        <w:t xml:space="preserve"> </w:t>
      </w:r>
      <w:r w:rsidRPr="00AD79C7">
        <w:rPr>
          <w:rFonts w:ascii="Abadi" w:hAnsi="Abadi"/>
          <w:b/>
          <w:bCs/>
          <w:sz w:val="21"/>
          <w:szCs w:val="21"/>
        </w:rPr>
        <w:t>adicionar</w:t>
      </w:r>
      <w:r w:rsidRPr="00AD79C7">
        <w:rPr>
          <w:rFonts w:ascii="Abadi" w:hAnsi="Abadi"/>
          <w:b/>
          <w:bCs/>
          <w:spacing w:val="-7"/>
          <w:sz w:val="21"/>
          <w:szCs w:val="21"/>
        </w:rPr>
        <w:t xml:space="preserve"> </w:t>
      </w:r>
      <w:r w:rsidRPr="00AD79C7">
        <w:rPr>
          <w:rFonts w:ascii="Abadi" w:hAnsi="Abadi"/>
          <w:b/>
          <w:bCs/>
          <w:sz w:val="21"/>
          <w:szCs w:val="21"/>
        </w:rPr>
        <w:t>y</w:t>
      </w:r>
      <w:r w:rsidRPr="00AD79C7">
        <w:rPr>
          <w:rFonts w:ascii="Abadi" w:hAnsi="Abadi"/>
          <w:b/>
          <w:bCs/>
          <w:spacing w:val="-6"/>
          <w:sz w:val="21"/>
          <w:szCs w:val="21"/>
        </w:rPr>
        <w:t xml:space="preserve"> </w:t>
      </w:r>
      <w:r w:rsidRPr="00AD79C7">
        <w:rPr>
          <w:rFonts w:ascii="Abadi" w:hAnsi="Abadi"/>
          <w:b/>
          <w:bCs/>
          <w:sz w:val="21"/>
          <w:szCs w:val="21"/>
        </w:rPr>
        <w:t>derogar</w:t>
      </w:r>
      <w:r w:rsidRPr="00AD79C7">
        <w:rPr>
          <w:rFonts w:ascii="Abadi" w:hAnsi="Abadi"/>
          <w:b/>
          <w:bCs/>
          <w:spacing w:val="-7"/>
          <w:sz w:val="21"/>
          <w:szCs w:val="21"/>
        </w:rPr>
        <w:t xml:space="preserve"> </w:t>
      </w:r>
      <w:r w:rsidRPr="00AD79C7">
        <w:rPr>
          <w:rFonts w:ascii="Abadi" w:hAnsi="Abadi"/>
          <w:b/>
          <w:bCs/>
          <w:sz w:val="21"/>
          <w:szCs w:val="21"/>
        </w:rPr>
        <w:t>diversos</w:t>
      </w:r>
      <w:r w:rsidRPr="00AD79C7">
        <w:rPr>
          <w:rFonts w:ascii="Abadi" w:hAnsi="Abadi"/>
          <w:b/>
          <w:bCs/>
          <w:spacing w:val="-6"/>
          <w:sz w:val="21"/>
          <w:szCs w:val="21"/>
        </w:rPr>
        <w:t xml:space="preserve"> </w:t>
      </w:r>
      <w:r w:rsidRPr="00AD79C7">
        <w:rPr>
          <w:rFonts w:ascii="Abadi" w:hAnsi="Abadi"/>
          <w:b/>
          <w:bCs/>
          <w:sz w:val="21"/>
          <w:szCs w:val="21"/>
        </w:rPr>
        <w:t>artículos</w:t>
      </w:r>
      <w:r w:rsidRPr="00AD79C7">
        <w:rPr>
          <w:rFonts w:ascii="Abadi" w:hAnsi="Abadi"/>
          <w:b/>
          <w:bCs/>
          <w:spacing w:val="-1"/>
          <w:sz w:val="21"/>
          <w:szCs w:val="21"/>
        </w:rPr>
        <w:t xml:space="preserve"> </w:t>
      </w:r>
      <w:r w:rsidRPr="00AD79C7">
        <w:rPr>
          <w:rFonts w:ascii="Abadi" w:hAnsi="Abadi"/>
          <w:b/>
          <w:bCs/>
          <w:sz w:val="21"/>
          <w:szCs w:val="21"/>
        </w:rPr>
        <w:t>de la Ley de Contrataciones Públicas para el Estado de</w:t>
      </w:r>
      <w:r w:rsidRPr="00AD79C7">
        <w:rPr>
          <w:rFonts w:ascii="Abadi" w:hAnsi="Abadi"/>
          <w:b/>
          <w:bCs/>
          <w:spacing w:val="-1"/>
          <w:sz w:val="21"/>
          <w:szCs w:val="21"/>
        </w:rPr>
        <w:t xml:space="preserve"> </w:t>
      </w:r>
      <w:r w:rsidRPr="00AD79C7">
        <w:rPr>
          <w:rFonts w:ascii="Abadi" w:hAnsi="Abadi"/>
          <w:b/>
          <w:bCs/>
          <w:sz w:val="21"/>
          <w:szCs w:val="21"/>
        </w:rPr>
        <w:t>Guanajuato.</w:t>
      </w:r>
    </w:p>
    <w:p w14:paraId="5F448AFC" w14:textId="77777777" w:rsidR="0062095C" w:rsidRPr="0062095C" w:rsidRDefault="0062095C" w:rsidP="006B00FD">
      <w:pPr>
        <w:pStyle w:val="Prrafodelista"/>
        <w:ind w:right="566"/>
        <w:rPr>
          <w:rFonts w:ascii="Abadi" w:hAnsi="Abadi"/>
          <w:b/>
          <w:bCs/>
          <w:sz w:val="21"/>
          <w:szCs w:val="21"/>
        </w:rPr>
      </w:pPr>
    </w:p>
    <w:p w14:paraId="10E03784" w14:textId="77777777" w:rsidR="0062095C" w:rsidRPr="00AD79C7" w:rsidRDefault="0062095C"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51"/>
          <w:w w:val="150"/>
          <w:sz w:val="21"/>
          <w:szCs w:val="21"/>
        </w:rPr>
        <w:t xml:space="preserve"> </w:t>
      </w:r>
      <w:r w:rsidRPr="00AD79C7">
        <w:rPr>
          <w:rFonts w:ascii="Abadi" w:hAnsi="Abadi"/>
          <w:b/>
          <w:bCs/>
          <w:sz w:val="21"/>
          <w:szCs w:val="21"/>
        </w:rPr>
        <w:t>y,</w:t>
      </w:r>
      <w:r w:rsidRPr="00AD79C7">
        <w:rPr>
          <w:rFonts w:ascii="Abadi" w:hAnsi="Abadi"/>
          <w:b/>
          <w:bCs/>
          <w:spacing w:val="51"/>
          <w:w w:val="150"/>
          <w:sz w:val="21"/>
          <w:szCs w:val="21"/>
        </w:rPr>
        <w:t xml:space="preserve"> </w:t>
      </w:r>
      <w:r w:rsidRPr="00AD79C7">
        <w:rPr>
          <w:rFonts w:ascii="Abadi" w:hAnsi="Abadi"/>
          <w:b/>
          <w:bCs/>
          <w:sz w:val="21"/>
          <w:szCs w:val="21"/>
        </w:rPr>
        <w:t>en</w:t>
      </w:r>
      <w:r w:rsidRPr="00AD79C7">
        <w:rPr>
          <w:rFonts w:ascii="Abadi" w:hAnsi="Abadi"/>
          <w:b/>
          <w:bCs/>
          <w:spacing w:val="51"/>
          <w:w w:val="150"/>
          <w:sz w:val="21"/>
          <w:szCs w:val="21"/>
        </w:rPr>
        <w:t xml:space="preserve"> </w:t>
      </w:r>
      <w:r w:rsidRPr="00AD79C7">
        <w:rPr>
          <w:rFonts w:ascii="Abadi" w:hAnsi="Abadi"/>
          <w:b/>
          <w:bCs/>
          <w:sz w:val="21"/>
          <w:szCs w:val="21"/>
        </w:rPr>
        <w:t>su</w:t>
      </w:r>
      <w:r w:rsidRPr="00AD79C7">
        <w:rPr>
          <w:rFonts w:ascii="Abadi" w:hAnsi="Abadi"/>
          <w:b/>
          <w:bCs/>
          <w:spacing w:val="51"/>
          <w:w w:val="150"/>
          <w:sz w:val="21"/>
          <w:szCs w:val="21"/>
        </w:rPr>
        <w:t xml:space="preserve"> </w:t>
      </w:r>
      <w:r w:rsidRPr="00AD79C7">
        <w:rPr>
          <w:rFonts w:ascii="Abadi" w:hAnsi="Abadi"/>
          <w:b/>
          <w:bCs/>
          <w:sz w:val="21"/>
          <w:szCs w:val="21"/>
        </w:rPr>
        <w:t>caso,</w:t>
      </w:r>
      <w:r w:rsidRPr="00AD79C7">
        <w:rPr>
          <w:rFonts w:ascii="Abadi" w:hAnsi="Abadi"/>
          <w:b/>
          <w:bCs/>
          <w:spacing w:val="51"/>
          <w:w w:val="150"/>
          <w:sz w:val="21"/>
          <w:szCs w:val="21"/>
        </w:rPr>
        <w:t xml:space="preserve"> </w:t>
      </w:r>
      <w:r w:rsidRPr="00AD79C7">
        <w:rPr>
          <w:rFonts w:ascii="Abadi" w:hAnsi="Abadi"/>
          <w:b/>
          <w:bCs/>
          <w:sz w:val="21"/>
          <w:szCs w:val="21"/>
        </w:rPr>
        <w:t>aprobación</w:t>
      </w:r>
      <w:r w:rsidRPr="00AD79C7">
        <w:rPr>
          <w:rFonts w:ascii="Abadi" w:hAnsi="Abadi"/>
          <w:b/>
          <w:bCs/>
          <w:spacing w:val="51"/>
          <w:w w:val="150"/>
          <w:sz w:val="21"/>
          <w:szCs w:val="21"/>
        </w:rPr>
        <w:t xml:space="preserve"> </w:t>
      </w:r>
      <w:r w:rsidRPr="00AD79C7">
        <w:rPr>
          <w:rFonts w:ascii="Abadi" w:hAnsi="Abadi"/>
          <w:b/>
          <w:bCs/>
          <w:sz w:val="21"/>
          <w:szCs w:val="21"/>
        </w:rPr>
        <w:t>del</w:t>
      </w:r>
      <w:r w:rsidRPr="00AD79C7">
        <w:rPr>
          <w:rFonts w:ascii="Abadi" w:hAnsi="Abadi"/>
          <w:b/>
          <w:bCs/>
          <w:spacing w:val="51"/>
          <w:w w:val="150"/>
          <w:sz w:val="21"/>
          <w:szCs w:val="21"/>
        </w:rPr>
        <w:t xml:space="preserve"> </w:t>
      </w:r>
      <w:r w:rsidRPr="00AD79C7">
        <w:rPr>
          <w:rFonts w:ascii="Abadi" w:hAnsi="Abadi"/>
          <w:b/>
          <w:bCs/>
          <w:sz w:val="21"/>
          <w:szCs w:val="21"/>
        </w:rPr>
        <w:t>dictamen</w:t>
      </w:r>
      <w:r w:rsidRPr="00AD79C7">
        <w:rPr>
          <w:rFonts w:ascii="Abadi" w:hAnsi="Abadi"/>
          <w:b/>
          <w:bCs/>
          <w:spacing w:val="51"/>
          <w:w w:val="150"/>
          <w:sz w:val="21"/>
          <w:szCs w:val="21"/>
        </w:rPr>
        <w:t xml:space="preserve"> </w:t>
      </w:r>
      <w:r w:rsidRPr="00AD79C7">
        <w:rPr>
          <w:rFonts w:ascii="Abadi" w:hAnsi="Abadi"/>
          <w:b/>
          <w:bCs/>
          <w:sz w:val="21"/>
          <w:szCs w:val="21"/>
        </w:rPr>
        <w:t>presentado</w:t>
      </w:r>
      <w:r w:rsidRPr="00AD79C7">
        <w:rPr>
          <w:rFonts w:ascii="Abadi" w:hAnsi="Abadi"/>
          <w:b/>
          <w:bCs/>
          <w:spacing w:val="51"/>
          <w:w w:val="150"/>
          <w:sz w:val="21"/>
          <w:szCs w:val="21"/>
        </w:rPr>
        <w:t xml:space="preserve"> </w:t>
      </w:r>
      <w:r w:rsidRPr="00AD79C7">
        <w:rPr>
          <w:rFonts w:ascii="Abadi" w:hAnsi="Abadi"/>
          <w:b/>
          <w:bCs/>
          <w:sz w:val="21"/>
          <w:szCs w:val="21"/>
        </w:rPr>
        <w:t>por</w:t>
      </w:r>
      <w:r w:rsidRPr="00AD79C7">
        <w:rPr>
          <w:rFonts w:ascii="Abadi" w:hAnsi="Abadi"/>
          <w:b/>
          <w:bCs/>
          <w:spacing w:val="51"/>
          <w:w w:val="150"/>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Comisión</w:t>
      </w:r>
      <w:r w:rsidRPr="00AD79C7">
        <w:rPr>
          <w:rFonts w:ascii="Abadi" w:hAnsi="Abadi"/>
          <w:b/>
          <w:bCs/>
          <w:spacing w:val="15"/>
          <w:sz w:val="21"/>
          <w:szCs w:val="21"/>
        </w:rPr>
        <w:t xml:space="preserve"> </w:t>
      </w:r>
      <w:r w:rsidRPr="00AD79C7">
        <w:rPr>
          <w:rFonts w:ascii="Abadi" w:hAnsi="Abadi"/>
          <w:b/>
          <w:bCs/>
          <w:sz w:val="21"/>
          <w:szCs w:val="21"/>
        </w:rPr>
        <w:t>de</w:t>
      </w:r>
      <w:r w:rsidRPr="00AD79C7">
        <w:rPr>
          <w:rFonts w:ascii="Abadi" w:hAnsi="Abadi"/>
          <w:b/>
          <w:bCs/>
          <w:spacing w:val="15"/>
          <w:sz w:val="21"/>
          <w:szCs w:val="21"/>
        </w:rPr>
        <w:t xml:space="preserve"> </w:t>
      </w:r>
      <w:r w:rsidRPr="00AD79C7">
        <w:rPr>
          <w:rFonts w:ascii="Abadi" w:hAnsi="Abadi"/>
          <w:b/>
          <w:bCs/>
          <w:sz w:val="21"/>
          <w:szCs w:val="21"/>
        </w:rPr>
        <w:t>Hacienda</w:t>
      </w:r>
      <w:r w:rsidRPr="00AD79C7">
        <w:rPr>
          <w:rFonts w:ascii="Abadi" w:hAnsi="Abadi"/>
          <w:b/>
          <w:bCs/>
          <w:spacing w:val="15"/>
          <w:sz w:val="21"/>
          <w:szCs w:val="21"/>
        </w:rPr>
        <w:t xml:space="preserve"> </w:t>
      </w:r>
      <w:r w:rsidRPr="00AD79C7">
        <w:rPr>
          <w:rFonts w:ascii="Abadi" w:hAnsi="Abadi"/>
          <w:b/>
          <w:bCs/>
          <w:sz w:val="21"/>
          <w:szCs w:val="21"/>
        </w:rPr>
        <w:t>y</w:t>
      </w:r>
      <w:r w:rsidRPr="00AD79C7">
        <w:rPr>
          <w:rFonts w:ascii="Abadi" w:hAnsi="Abadi"/>
          <w:b/>
          <w:bCs/>
          <w:spacing w:val="15"/>
          <w:sz w:val="21"/>
          <w:szCs w:val="21"/>
        </w:rPr>
        <w:t xml:space="preserve"> </w:t>
      </w:r>
      <w:r w:rsidRPr="00AD79C7">
        <w:rPr>
          <w:rFonts w:ascii="Abadi" w:hAnsi="Abadi"/>
          <w:b/>
          <w:bCs/>
          <w:sz w:val="21"/>
          <w:szCs w:val="21"/>
        </w:rPr>
        <w:t>Fiscalización</w:t>
      </w:r>
      <w:r w:rsidRPr="00AD79C7">
        <w:rPr>
          <w:rFonts w:ascii="Abadi" w:hAnsi="Abadi"/>
          <w:b/>
          <w:bCs/>
          <w:spacing w:val="15"/>
          <w:sz w:val="21"/>
          <w:szCs w:val="21"/>
        </w:rPr>
        <w:t xml:space="preserve"> </w:t>
      </w:r>
      <w:r w:rsidRPr="00AD79C7">
        <w:rPr>
          <w:rFonts w:ascii="Abadi" w:hAnsi="Abadi"/>
          <w:b/>
          <w:bCs/>
          <w:sz w:val="21"/>
          <w:szCs w:val="21"/>
        </w:rPr>
        <w:t>relativo</w:t>
      </w:r>
      <w:r w:rsidRPr="00AD79C7">
        <w:rPr>
          <w:rFonts w:ascii="Abadi" w:hAnsi="Abadi"/>
          <w:b/>
          <w:bCs/>
          <w:spacing w:val="15"/>
          <w:sz w:val="21"/>
          <w:szCs w:val="21"/>
        </w:rPr>
        <w:t xml:space="preserve"> </w:t>
      </w:r>
      <w:r w:rsidRPr="00AD79C7">
        <w:rPr>
          <w:rFonts w:ascii="Abadi" w:hAnsi="Abadi"/>
          <w:b/>
          <w:bCs/>
          <w:sz w:val="21"/>
          <w:szCs w:val="21"/>
        </w:rPr>
        <w:t>a</w:t>
      </w:r>
      <w:r w:rsidRPr="00AD79C7">
        <w:rPr>
          <w:rFonts w:ascii="Abadi" w:hAnsi="Abadi"/>
          <w:b/>
          <w:bCs/>
          <w:spacing w:val="15"/>
          <w:sz w:val="21"/>
          <w:szCs w:val="21"/>
        </w:rPr>
        <w:t xml:space="preserve"> </w:t>
      </w:r>
      <w:r w:rsidRPr="00AD79C7">
        <w:rPr>
          <w:rFonts w:ascii="Abadi" w:hAnsi="Abadi"/>
          <w:b/>
          <w:bCs/>
          <w:sz w:val="21"/>
          <w:szCs w:val="21"/>
        </w:rPr>
        <w:t>la</w:t>
      </w:r>
      <w:r w:rsidRPr="00AD79C7">
        <w:rPr>
          <w:rFonts w:ascii="Abadi" w:hAnsi="Abadi"/>
          <w:b/>
          <w:bCs/>
          <w:spacing w:val="15"/>
          <w:sz w:val="21"/>
          <w:szCs w:val="21"/>
        </w:rPr>
        <w:t xml:space="preserve"> </w:t>
      </w:r>
      <w:r w:rsidRPr="00AD79C7">
        <w:rPr>
          <w:rFonts w:ascii="Abadi" w:hAnsi="Abadi"/>
          <w:b/>
          <w:bCs/>
          <w:sz w:val="21"/>
          <w:szCs w:val="21"/>
        </w:rPr>
        <w:t>iniciativa</w:t>
      </w:r>
      <w:r w:rsidRPr="00AD79C7">
        <w:rPr>
          <w:rFonts w:ascii="Abadi" w:hAnsi="Abadi"/>
          <w:b/>
          <w:bCs/>
          <w:spacing w:val="15"/>
          <w:sz w:val="21"/>
          <w:szCs w:val="21"/>
        </w:rPr>
        <w:t xml:space="preserve"> </w:t>
      </w:r>
      <w:r w:rsidRPr="00AD79C7">
        <w:rPr>
          <w:rFonts w:ascii="Abadi" w:hAnsi="Abadi"/>
          <w:b/>
          <w:bCs/>
          <w:sz w:val="21"/>
          <w:szCs w:val="21"/>
        </w:rPr>
        <w:t>formulada</w:t>
      </w:r>
      <w:r w:rsidRPr="00AD79C7">
        <w:rPr>
          <w:rFonts w:ascii="Abadi" w:hAnsi="Abadi"/>
          <w:b/>
          <w:bCs/>
          <w:spacing w:val="16"/>
          <w:sz w:val="21"/>
          <w:szCs w:val="21"/>
        </w:rPr>
        <w:t xml:space="preserve"> </w:t>
      </w:r>
      <w:r w:rsidRPr="00AD79C7">
        <w:rPr>
          <w:rFonts w:ascii="Abadi" w:hAnsi="Abadi"/>
          <w:b/>
          <w:bCs/>
          <w:sz w:val="21"/>
          <w:szCs w:val="21"/>
        </w:rPr>
        <w:t>por</w:t>
      </w:r>
      <w:r w:rsidRPr="00AD79C7">
        <w:rPr>
          <w:rFonts w:ascii="Abadi" w:hAnsi="Abadi"/>
          <w:b/>
          <w:bCs/>
          <w:spacing w:val="-1"/>
          <w:sz w:val="21"/>
          <w:szCs w:val="21"/>
        </w:rPr>
        <w:t xml:space="preserve"> </w:t>
      </w:r>
      <w:proofErr w:type="gramStart"/>
      <w:r w:rsidRPr="00AD79C7">
        <w:rPr>
          <w:rFonts w:ascii="Abadi" w:hAnsi="Abadi"/>
          <w:b/>
          <w:bCs/>
          <w:sz w:val="21"/>
          <w:szCs w:val="21"/>
        </w:rPr>
        <w:t>el</w:t>
      </w:r>
      <w:r w:rsidRPr="00AD79C7">
        <w:rPr>
          <w:rFonts w:ascii="Abadi" w:hAnsi="Abadi"/>
          <w:b/>
          <w:bCs/>
          <w:spacing w:val="26"/>
          <w:sz w:val="21"/>
          <w:szCs w:val="21"/>
        </w:rPr>
        <w:t xml:space="preserve">  </w:t>
      </w:r>
      <w:r w:rsidRPr="00AD79C7">
        <w:rPr>
          <w:rFonts w:ascii="Abadi" w:hAnsi="Abadi"/>
          <w:b/>
          <w:bCs/>
          <w:sz w:val="21"/>
          <w:szCs w:val="21"/>
        </w:rPr>
        <w:t>Gobernador</w:t>
      </w:r>
      <w:proofErr w:type="gramEnd"/>
      <w:r w:rsidRPr="00AD79C7">
        <w:rPr>
          <w:rFonts w:ascii="Abadi" w:hAnsi="Abadi"/>
          <w:b/>
          <w:bCs/>
          <w:spacing w:val="26"/>
          <w:sz w:val="21"/>
          <w:szCs w:val="21"/>
        </w:rPr>
        <w:t xml:space="preserve">  </w:t>
      </w:r>
      <w:r w:rsidRPr="00AD79C7">
        <w:rPr>
          <w:rFonts w:ascii="Abadi" w:hAnsi="Abadi"/>
          <w:b/>
          <w:bCs/>
          <w:sz w:val="21"/>
          <w:szCs w:val="21"/>
        </w:rPr>
        <w:t>del</w:t>
      </w:r>
      <w:r w:rsidRPr="00AD79C7">
        <w:rPr>
          <w:rFonts w:ascii="Abadi" w:hAnsi="Abadi"/>
          <w:b/>
          <w:bCs/>
          <w:spacing w:val="26"/>
          <w:sz w:val="21"/>
          <w:szCs w:val="21"/>
        </w:rPr>
        <w:t xml:space="preserve">  </w:t>
      </w:r>
      <w:r w:rsidRPr="00AD79C7">
        <w:rPr>
          <w:rFonts w:ascii="Abadi" w:hAnsi="Abadi"/>
          <w:b/>
          <w:bCs/>
          <w:sz w:val="21"/>
          <w:szCs w:val="21"/>
        </w:rPr>
        <w:t>Estado</w:t>
      </w:r>
      <w:r w:rsidRPr="00AD79C7">
        <w:rPr>
          <w:rFonts w:ascii="Abadi" w:hAnsi="Abadi"/>
          <w:b/>
          <w:bCs/>
          <w:spacing w:val="26"/>
          <w:sz w:val="21"/>
          <w:szCs w:val="21"/>
        </w:rPr>
        <w:t xml:space="preserve">  </w:t>
      </w:r>
      <w:r w:rsidRPr="00AD79C7">
        <w:rPr>
          <w:rFonts w:ascii="Abadi" w:hAnsi="Abadi"/>
          <w:b/>
          <w:bCs/>
          <w:sz w:val="21"/>
          <w:szCs w:val="21"/>
        </w:rPr>
        <w:t>a</w:t>
      </w:r>
      <w:r w:rsidRPr="00AD79C7">
        <w:rPr>
          <w:rFonts w:ascii="Abadi" w:hAnsi="Abadi"/>
          <w:b/>
          <w:bCs/>
          <w:spacing w:val="26"/>
          <w:sz w:val="21"/>
          <w:szCs w:val="21"/>
        </w:rPr>
        <w:t xml:space="preserve">  </w:t>
      </w:r>
      <w:r w:rsidRPr="00AD79C7">
        <w:rPr>
          <w:rFonts w:ascii="Abadi" w:hAnsi="Abadi"/>
          <w:b/>
          <w:bCs/>
          <w:sz w:val="21"/>
          <w:szCs w:val="21"/>
        </w:rPr>
        <w:t>efecto</w:t>
      </w:r>
      <w:r w:rsidRPr="00AD79C7">
        <w:rPr>
          <w:rFonts w:ascii="Abadi" w:hAnsi="Abadi"/>
          <w:b/>
          <w:bCs/>
          <w:spacing w:val="26"/>
          <w:sz w:val="21"/>
          <w:szCs w:val="21"/>
        </w:rPr>
        <w:t xml:space="preserve">  </w:t>
      </w:r>
      <w:r w:rsidRPr="00AD79C7">
        <w:rPr>
          <w:rFonts w:ascii="Abadi" w:hAnsi="Abadi"/>
          <w:b/>
          <w:bCs/>
          <w:sz w:val="21"/>
          <w:szCs w:val="21"/>
        </w:rPr>
        <w:t>de</w:t>
      </w:r>
      <w:r w:rsidRPr="00AD79C7">
        <w:rPr>
          <w:rFonts w:ascii="Abadi" w:hAnsi="Abadi"/>
          <w:b/>
          <w:bCs/>
          <w:spacing w:val="26"/>
          <w:sz w:val="21"/>
          <w:szCs w:val="21"/>
        </w:rPr>
        <w:t xml:space="preserve">  </w:t>
      </w:r>
      <w:r w:rsidRPr="00AD79C7">
        <w:rPr>
          <w:rFonts w:ascii="Abadi" w:hAnsi="Abadi"/>
          <w:b/>
          <w:bCs/>
          <w:sz w:val="21"/>
          <w:szCs w:val="21"/>
        </w:rPr>
        <w:t>que</w:t>
      </w:r>
      <w:r w:rsidRPr="00AD79C7">
        <w:rPr>
          <w:rFonts w:ascii="Abadi" w:hAnsi="Abadi"/>
          <w:b/>
          <w:bCs/>
          <w:spacing w:val="26"/>
          <w:sz w:val="21"/>
          <w:szCs w:val="21"/>
        </w:rPr>
        <w:t xml:space="preserve">  </w:t>
      </w:r>
      <w:r w:rsidRPr="00AD79C7">
        <w:rPr>
          <w:rFonts w:ascii="Abadi" w:hAnsi="Abadi"/>
          <w:b/>
          <w:bCs/>
          <w:sz w:val="21"/>
          <w:szCs w:val="21"/>
        </w:rPr>
        <w:t>se</w:t>
      </w:r>
      <w:r w:rsidRPr="00AD79C7">
        <w:rPr>
          <w:rFonts w:ascii="Abadi" w:hAnsi="Abadi"/>
          <w:b/>
          <w:bCs/>
          <w:spacing w:val="26"/>
          <w:sz w:val="21"/>
          <w:szCs w:val="21"/>
        </w:rPr>
        <w:t xml:space="preserve">  </w:t>
      </w:r>
      <w:r w:rsidRPr="00AD79C7">
        <w:rPr>
          <w:rFonts w:ascii="Abadi" w:hAnsi="Abadi"/>
          <w:b/>
          <w:bCs/>
          <w:sz w:val="21"/>
          <w:szCs w:val="21"/>
        </w:rPr>
        <w:t>le</w:t>
      </w:r>
      <w:r w:rsidRPr="00AD79C7">
        <w:rPr>
          <w:rFonts w:ascii="Abadi" w:hAnsi="Abadi"/>
          <w:b/>
          <w:bCs/>
          <w:spacing w:val="26"/>
          <w:sz w:val="21"/>
          <w:szCs w:val="21"/>
        </w:rPr>
        <w:t xml:space="preserve">  </w:t>
      </w:r>
      <w:r w:rsidRPr="00AD79C7">
        <w:rPr>
          <w:rFonts w:ascii="Abadi" w:hAnsi="Abadi"/>
          <w:b/>
          <w:bCs/>
          <w:sz w:val="21"/>
          <w:szCs w:val="21"/>
        </w:rPr>
        <w:t>autorice,</w:t>
      </w:r>
      <w:r w:rsidRPr="00AD79C7">
        <w:rPr>
          <w:rFonts w:ascii="Abadi" w:hAnsi="Abadi"/>
          <w:b/>
          <w:bCs/>
          <w:spacing w:val="26"/>
          <w:sz w:val="21"/>
          <w:szCs w:val="21"/>
        </w:rPr>
        <w:t xml:space="preserve">  </w:t>
      </w:r>
      <w:r w:rsidRPr="00AD79C7">
        <w:rPr>
          <w:rFonts w:ascii="Abadi" w:hAnsi="Abadi"/>
          <w:b/>
          <w:bCs/>
          <w:sz w:val="21"/>
          <w:szCs w:val="21"/>
        </w:rPr>
        <w:t>previa</w:t>
      </w:r>
      <w:r w:rsidRPr="00AD79C7">
        <w:rPr>
          <w:rFonts w:ascii="Abadi" w:hAnsi="Abadi"/>
          <w:b/>
          <w:bCs/>
          <w:spacing w:val="-1"/>
          <w:sz w:val="21"/>
          <w:szCs w:val="21"/>
        </w:rPr>
        <w:t xml:space="preserve"> </w:t>
      </w:r>
      <w:r w:rsidRPr="00AD79C7">
        <w:rPr>
          <w:rFonts w:ascii="Abadi" w:hAnsi="Abadi"/>
          <w:b/>
          <w:bCs/>
          <w:sz w:val="21"/>
          <w:szCs w:val="21"/>
        </w:rPr>
        <w:t>desafectación</w:t>
      </w:r>
      <w:r w:rsidRPr="00AD79C7">
        <w:rPr>
          <w:rFonts w:ascii="Abadi" w:hAnsi="Abadi"/>
          <w:b/>
          <w:bCs/>
          <w:spacing w:val="26"/>
          <w:sz w:val="21"/>
          <w:szCs w:val="21"/>
        </w:rPr>
        <w:t xml:space="preserve"> </w:t>
      </w:r>
      <w:r w:rsidRPr="00AD79C7">
        <w:rPr>
          <w:rFonts w:ascii="Abadi" w:hAnsi="Abadi"/>
          <w:b/>
          <w:bCs/>
          <w:sz w:val="21"/>
          <w:szCs w:val="21"/>
        </w:rPr>
        <w:t>del</w:t>
      </w:r>
      <w:r w:rsidRPr="00AD79C7">
        <w:rPr>
          <w:rFonts w:ascii="Abadi" w:hAnsi="Abadi"/>
          <w:b/>
          <w:bCs/>
          <w:spacing w:val="26"/>
          <w:sz w:val="21"/>
          <w:szCs w:val="21"/>
        </w:rPr>
        <w:t xml:space="preserve"> </w:t>
      </w:r>
      <w:r w:rsidRPr="00AD79C7">
        <w:rPr>
          <w:rFonts w:ascii="Abadi" w:hAnsi="Abadi"/>
          <w:b/>
          <w:bCs/>
          <w:sz w:val="21"/>
          <w:szCs w:val="21"/>
        </w:rPr>
        <w:t>dominio</w:t>
      </w:r>
      <w:r w:rsidRPr="00AD79C7">
        <w:rPr>
          <w:rFonts w:ascii="Abadi" w:hAnsi="Abadi"/>
          <w:b/>
          <w:bCs/>
          <w:spacing w:val="26"/>
          <w:sz w:val="21"/>
          <w:szCs w:val="21"/>
        </w:rPr>
        <w:t xml:space="preserve"> </w:t>
      </w:r>
      <w:r w:rsidRPr="00AD79C7">
        <w:rPr>
          <w:rFonts w:ascii="Abadi" w:hAnsi="Abadi"/>
          <w:b/>
          <w:bCs/>
          <w:sz w:val="21"/>
          <w:szCs w:val="21"/>
        </w:rPr>
        <w:t>público</w:t>
      </w:r>
      <w:r w:rsidRPr="00AD79C7">
        <w:rPr>
          <w:rFonts w:ascii="Abadi" w:hAnsi="Abadi"/>
          <w:b/>
          <w:bCs/>
          <w:spacing w:val="26"/>
          <w:sz w:val="21"/>
          <w:szCs w:val="21"/>
        </w:rPr>
        <w:t xml:space="preserve"> </w:t>
      </w:r>
      <w:r w:rsidRPr="00AD79C7">
        <w:rPr>
          <w:rFonts w:ascii="Abadi" w:hAnsi="Abadi"/>
          <w:b/>
          <w:bCs/>
          <w:sz w:val="21"/>
          <w:szCs w:val="21"/>
        </w:rPr>
        <w:t>del</w:t>
      </w:r>
      <w:r w:rsidRPr="00AD79C7">
        <w:rPr>
          <w:rFonts w:ascii="Abadi" w:hAnsi="Abadi"/>
          <w:b/>
          <w:bCs/>
          <w:spacing w:val="26"/>
          <w:sz w:val="21"/>
          <w:szCs w:val="21"/>
        </w:rPr>
        <w:t xml:space="preserve"> </w:t>
      </w:r>
      <w:r w:rsidRPr="00AD79C7">
        <w:rPr>
          <w:rFonts w:ascii="Abadi" w:hAnsi="Abadi"/>
          <w:b/>
          <w:bCs/>
          <w:sz w:val="21"/>
          <w:szCs w:val="21"/>
        </w:rPr>
        <w:t>Estado,</w:t>
      </w:r>
      <w:r w:rsidRPr="00AD79C7">
        <w:rPr>
          <w:rFonts w:ascii="Abadi" w:hAnsi="Abadi"/>
          <w:b/>
          <w:bCs/>
          <w:spacing w:val="26"/>
          <w:sz w:val="21"/>
          <w:szCs w:val="21"/>
        </w:rPr>
        <w:t xml:space="preserve"> </w:t>
      </w:r>
      <w:r w:rsidRPr="00AD79C7">
        <w:rPr>
          <w:rFonts w:ascii="Abadi" w:hAnsi="Abadi"/>
          <w:b/>
          <w:bCs/>
          <w:sz w:val="21"/>
          <w:szCs w:val="21"/>
        </w:rPr>
        <w:t>la</w:t>
      </w:r>
      <w:r w:rsidRPr="00AD79C7">
        <w:rPr>
          <w:rFonts w:ascii="Abadi" w:hAnsi="Abadi"/>
          <w:b/>
          <w:bCs/>
          <w:spacing w:val="26"/>
          <w:sz w:val="21"/>
          <w:szCs w:val="21"/>
        </w:rPr>
        <w:t xml:space="preserve"> </w:t>
      </w:r>
      <w:r w:rsidRPr="00AD79C7">
        <w:rPr>
          <w:rFonts w:ascii="Abadi" w:hAnsi="Abadi"/>
          <w:b/>
          <w:bCs/>
          <w:sz w:val="21"/>
          <w:szCs w:val="21"/>
        </w:rPr>
        <w:t>enajenación</w:t>
      </w:r>
      <w:r w:rsidRPr="00AD79C7">
        <w:rPr>
          <w:rFonts w:ascii="Abadi" w:hAnsi="Abadi"/>
          <w:b/>
          <w:bCs/>
          <w:spacing w:val="26"/>
          <w:sz w:val="21"/>
          <w:szCs w:val="21"/>
        </w:rPr>
        <w:t xml:space="preserve"> </w:t>
      </w:r>
      <w:r w:rsidRPr="00AD79C7">
        <w:rPr>
          <w:rFonts w:ascii="Abadi" w:hAnsi="Abadi"/>
          <w:b/>
          <w:bCs/>
          <w:sz w:val="21"/>
          <w:szCs w:val="21"/>
        </w:rPr>
        <w:t>mediante</w:t>
      </w:r>
      <w:r w:rsidRPr="00AD79C7">
        <w:rPr>
          <w:rFonts w:ascii="Abadi" w:hAnsi="Abadi"/>
          <w:b/>
          <w:bCs/>
          <w:spacing w:val="26"/>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figura</w:t>
      </w:r>
      <w:r w:rsidRPr="00AD79C7">
        <w:rPr>
          <w:rFonts w:ascii="Abadi" w:hAnsi="Abadi"/>
          <w:b/>
          <w:bCs/>
          <w:spacing w:val="70"/>
          <w:sz w:val="21"/>
          <w:szCs w:val="21"/>
        </w:rPr>
        <w:t xml:space="preserve"> </w:t>
      </w:r>
      <w:r w:rsidRPr="00AD79C7">
        <w:rPr>
          <w:rFonts w:ascii="Abadi" w:hAnsi="Abadi"/>
          <w:b/>
          <w:bCs/>
          <w:sz w:val="21"/>
          <w:szCs w:val="21"/>
        </w:rPr>
        <w:t>de</w:t>
      </w:r>
      <w:r w:rsidRPr="00AD79C7">
        <w:rPr>
          <w:rFonts w:ascii="Abadi" w:hAnsi="Abadi"/>
          <w:b/>
          <w:bCs/>
          <w:spacing w:val="70"/>
          <w:sz w:val="21"/>
          <w:szCs w:val="21"/>
        </w:rPr>
        <w:t xml:space="preserve"> </w:t>
      </w:r>
      <w:r w:rsidRPr="00AD79C7">
        <w:rPr>
          <w:rFonts w:ascii="Abadi" w:hAnsi="Abadi"/>
          <w:b/>
          <w:bCs/>
          <w:sz w:val="21"/>
          <w:szCs w:val="21"/>
        </w:rPr>
        <w:t>donación</w:t>
      </w:r>
      <w:r w:rsidRPr="00AD79C7">
        <w:rPr>
          <w:rFonts w:ascii="Abadi" w:hAnsi="Abadi"/>
          <w:b/>
          <w:bCs/>
          <w:spacing w:val="70"/>
          <w:sz w:val="21"/>
          <w:szCs w:val="21"/>
        </w:rPr>
        <w:t xml:space="preserve"> </w:t>
      </w:r>
      <w:r w:rsidRPr="00AD79C7">
        <w:rPr>
          <w:rFonts w:ascii="Abadi" w:hAnsi="Abadi"/>
          <w:b/>
          <w:bCs/>
          <w:sz w:val="21"/>
          <w:szCs w:val="21"/>
        </w:rPr>
        <w:t>de</w:t>
      </w:r>
      <w:r w:rsidRPr="00AD79C7">
        <w:rPr>
          <w:rFonts w:ascii="Abadi" w:hAnsi="Abadi"/>
          <w:b/>
          <w:bCs/>
          <w:spacing w:val="70"/>
          <w:sz w:val="21"/>
          <w:szCs w:val="21"/>
        </w:rPr>
        <w:t xml:space="preserve"> </w:t>
      </w:r>
      <w:r w:rsidRPr="00AD79C7">
        <w:rPr>
          <w:rFonts w:ascii="Abadi" w:hAnsi="Abadi"/>
          <w:b/>
          <w:bCs/>
          <w:sz w:val="21"/>
          <w:szCs w:val="21"/>
        </w:rPr>
        <w:t>una</w:t>
      </w:r>
      <w:r w:rsidRPr="00AD79C7">
        <w:rPr>
          <w:rFonts w:ascii="Abadi" w:hAnsi="Abadi"/>
          <w:b/>
          <w:bCs/>
          <w:spacing w:val="70"/>
          <w:sz w:val="21"/>
          <w:szCs w:val="21"/>
        </w:rPr>
        <w:t xml:space="preserve"> </w:t>
      </w:r>
      <w:r w:rsidRPr="00AD79C7">
        <w:rPr>
          <w:rFonts w:ascii="Abadi" w:hAnsi="Abadi"/>
          <w:b/>
          <w:bCs/>
          <w:sz w:val="21"/>
          <w:szCs w:val="21"/>
        </w:rPr>
        <w:t>fracción</w:t>
      </w:r>
      <w:r w:rsidRPr="00AD79C7">
        <w:rPr>
          <w:rFonts w:ascii="Abadi" w:hAnsi="Abadi"/>
          <w:b/>
          <w:bCs/>
          <w:spacing w:val="70"/>
          <w:sz w:val="21"/>
          <w:szCs w:val="21"/>
        </w:rPr>
        <w:t xml:space="preserve"> </w:t>
      </w:r>
      <w:r w:rsidRPr="00AD79C7">
        <w:rPr>
          <w:rFonts w:ascii="Abadi" w:hAnsi="Abadi"/>
          <w:b/>
          <w:bCs/>
          <w:sz w:val="21"/>
          <w:szCs w:val="21"/>
        </w:rPr>
        <w:t>de</w:t>
      </w:r>
      <w:r w:rsidRPr="00AD79C7">
        <w:rPr>
          <w:rFonts w:ascii="Abadi" w:hAnsi="Abadi"/>
          <w:b/>
          <w:bCs/>
          <w:spacing w:val="70"/>
          <w:sz w:val="21"/>
          <w:szCs w:val="21"/>
        </w:rPr>
        <w:t xml:space="preserve"> </w:t>
      </w:r>
      <w:r w:rsidRPr="00AD79C7">
        <w:rPr>
          <w:rFonts w:ascii="Abadi" w:hAnsi="Abadi"/>
          <w:b/>
          <w:bCs/>
          <w:sz w:val="21"/>
          <w:szCs w:val="21"/>
        </w:rPr>
        <w:t>un</w:t>
      </w:r>
      <w:r w:rsidRPr="00AD79C7">
        <w:rPr>
          <w:rFonts w:ascii="Abadi" w:hAnsi="Abadi"/>
          <w:b/>
          <w:bCs/>
          <w:spacing w:val="70"/>
          <w:sz w:val="21"/>
          <w:szCs w:val="21"/>
        </w:rPr>
        <w:t xml:space="preserve"> </w:t>
      </w:r>
      <w:r w:rsidRPr="00AD79C7">
        <w:rPr>
          <w:rFonts w:ascii="Abadi" w:hAnsi="Abadi"/>
          <w:b/>
          <w:bCs/>
          <w:sz w:val="21"/>
          <w:szCs w:val="21"/>
        </w:rPr>
        <w:t>bien</w:t>
      </w:r>
      <w:r w:rsidRPr="00AD79C7">
        <w:rPr>
          <w:rFonts w:ascii="Abadi" w:hAnsi="Abadi"/>
          <w:b/>
          <w:bCs/>
          <w:spacing w:val="70"/>
          <w:sz w:val="21"/>
          <w:szCs w:val="21"/>
        </w:rPr>
        <w:t xml:space="preserve"> </w:t>
      </w:r>
      <w:r w:rsidRPr="00AD79C7">
        <w:rPr>
          <w:rFonts w:ascii="Abadi" w:hAnsi="Abadi"/>
          <w:b/>
          <w:bCs/>
          <w:sz w:val="21"/>
          <w:szCs w:val="21"/>
        </w:rPr>
        <w:t>inmueble</w:t>
      </w:r>
      <w:r w:rsidRPr="00AD79C7">
        <w:rPr>
          <w:rFonts w:ascii="Abadi" w:hAnsi="Abadi"/>
          <w:b/>
          <w:bCs/>
          <w:spacing w:val="70"/>
          <w:sz w:val="21"/>
          <w:szCs w:val="21"/>
        </w:rPr>
        <w:t xml:space="preserve"> </w:t>
      </w:r>
      <w:r w:rsidRPr="00AD79C7">
        <w:rPr>
          <w:rFonts w:ascii="Abadi" w:hAnsi="Abadi"/>
          <w:b/>
          <w:bCs/>
          <w:sz w:val="21"/>
          <w:szCs w:val="21"/>
        </w:rPr>
        <w:t>en</w:t>
      </w:r>
      <w:r w:rsidRPr="00AD79C7">
        <w:rPr>
          <w:rFonts w:ascii="Abadi" w:hAnsi="Abadi"/>
          <w:b/>
          <w:bCs/>
          <w:spacing w:val="70"/>
          <w:sz w:val="21"/>
          <w:szCs w:val="21"/>
        </w:rPr>
        <w:t xml:space="preserve"> </w:t>
      </w:r>
      <w:r w:rsidRPr="00AD79C7">
        <w:rPr>
          <w:rFonts w:ascii="Abadi" w:hAnsi="Abadi"/>
          <w:b/>
          <w:bCs/>
          <w:sz w:val="21"/>
          <w:szCs w:val="21"/>
        </w:rPr>
        <w:t>favor</w:t>
      </w:r>
      <w:r w:rsidRPr="00AD79C7">
        <w:rPr>
          <w:rFonts w:ascii="Abadi" w:hAnsi="Abadi"/>
          <w:b/>
          <w:bCs/>
          <w:spacing w:val="70"/>
          <w:sz w:val="21"/>
          <w:szCs w:val="21"/>
        </w:rPr>
        <w:t xml:space="preserve"> </w:t>
      </w:r>
      <w:r w:rsidRPr="00AD79C7">
        <w:rPr>
          <w:rFonts w:ascii="Abadi" w:hAnsi="Abadi"/>
          <w:b/>
          <w:bCs/>
          <w:sz w:val="21"/>
          <w:szCs w:val="21"/>
        </w:rPr>
        <w:t>del</w:t>
      </w:r>
      <w:r w:rsidRPr="00AD79C7">
        <w:rPr>
          <w:rFonts w:ascii="Abadi" w:hAnsi="Abadi"/>
          <w:b/>
          <w:bCs/>
          <w:spacing w:val="-1"/>
          <w:sz w:val="21"/>
          <w:szCs w:val="21"/>
        </w:rPr>
        <w:t xml:space="preserve"> </w:t>
      </w:r>
      <w:r w:rsidRPr="00AD79C7">
        <w:rPr>
          <w:rFonts w:ascii="Abadi" w:hAnsi="Abadi"/>
          <w:b/>
          <w:bCs/>
          <w:sz w:val="21"/>
          <w:szCs w:val="21"/>
        </w:rPr>
        <w:t>municipio de Cortazar, Gto., para destinarlo a la Casa de la Cultura.</w:t>
      </w:r>
    </w:p>
    <w:p w14:paraId="04BE716A" w14:textId="77777777" w:rsidR="0062095C" w:rsidRPr="00AD79C7" w:rsidRDefault="0062095C" w:rsidP="006B00FD">
      <w:pPr>
        <w:kinsoku w:val="0"/>
        <w:overflowPunct w:val="0"/>
        <w:autoSpaceDE w:val="0"/>
        <w:autoSpaceDN w:val="0"/>
        <w:adjustRightInd w:val="0"/>
        <w:spacing w:before="4"/>
        <w:ind w:right="566"/>
        <w:jc w:val="both"/>
        <w:rPr>
          <w:rFonts w:ascii="Abadi" w:hAnsi="Abadi" w:cs="Arial"/>
          <w:b/>
          <w:bCs/>
          <w:sz w:val="21"/>
          <w:szCs w:val="21"/>
        </w:rPr>
      </w:pPr>
    </w:p>
    <w:p w14:paraId="1911944D" w14:textId="1534E308" w:rsidR="0062095C" w:rsidRDefault="0062095C"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1"/>
          <w:sz w:val="21"/>
          <w:szCs w:val="21"/>
        </w:rPr>
        <w:t xml:space="preserve"> </w:t>
      </w:r>
      <w:r w:rsidRPr="00AD79C7">
        <w:rPr>
          <w:rFonts w:ascii="Abadi" w:hAnsi="Abadi"/>
          <w:b/>
          <w:bCs/>
          <w:sz w:val="21"/>
          <w:szCs w:val="21"/>
        </w:rPr>
        <w:t>y,</w:t>
      </w:r>
      <w:r w:rsidRPr="00AD79C7">
        <w:rPr>
          <w:rFonts w:ascii="Abadi" w:hAnsi="Abadi"/>
          <w:b/>
          <w:bCs/>
          <w:spacing w:val="11"/>
          <w:sz w:val="21"/>
          <w:szCs w:val="21"/>
        </w:rPr>
        <w:t xml:space="preserve"> </w:t>
      </w:r>
      <w:r w:rsidRPr="00AD79C7">
        <w:rPr>
          <w:rFonts w:ascii="Abadi" w:hAnsi="Abadi"/>
          <w:b/>
          <w:bCs/>
          <w:sz w:val="21"/>
          <w:szCs w:val="21"/>
        </w:rPr>
        <w:t>en</w:t>
      </w:r>
      <w:r w:rsidRPr="00AD79C7">
        <w:rPr>
          <w:rFonts w:ascii="Abadi" w:hAnsi="Abadi"/>
          <w:b/>
          <w:bCs/>
          <w:spacing w:val="11"/>
          <w:sz w:val="21"/>
          <w:szCs w:val="21"/>
        </w:rPr>
        <w:t xml:space="preserve"> </w:t>
      </w:r>
      <w:r w:rsidRPr="00AD79C7">
        <w:rPr>
          <w:rFonts w:ascii="Abadi" w:hAnsi="Abadi"/>
          <w:b/>
          <w:bCs/>
          <w:sz w:val="21"/>
          <w:szCs w:val="21"/>
        </w:rPr>
        <w:t>su</w:t>
      </w:r>
      <w:r w:rsidRPr="00AD79C7">
        <w:rPr>
          <w:rFonts w:ascii="Abadi" w:hAnsi="Abadi"/>
          <w:b/>
          <w:bCs/>
          <w:spacing w:val="11"/>
          <w:sz w:val="21"/>
          <w:szCs w:val="21"/>
        </w:rPr>
        <w:t xml:space="preserve"> </w:t>
      </w:r>
      <w:r w:rsidRPr="00AD79C7">
        <w:rPr>
          <w:rFonts w:ascii="Abadi" w:hAnsi="Abadi"/>
          <w:b/>
          <w:bCs/>
          <w:sz w:val="21"/>
          <w:szCs w:val="21"/>
        </w:rPr>
        <w:t>caso,</w:t>
      </w:r>
      <w:r w:rsidRPr="00AD79C7">
        <w:rPr>
          <w:rFonts w:ascii="Abadi" w:hAnsi="Abadi"/>
          <w:b/>
          <w:bCs/>
          <w:spacing w:val="10"/>
          <w:sz w:val="21"/>
          <w:szCs w:val="21"/>
        </w:rPr>
        <w:t xml:space="preserve"> </w:t>
      </w:r>
      <w:r w:rsidRPr="00AD79C7">
        <w:rPr>
          <w:rFonts w:ascii="Abadi" w:hAnsi="Abadi"/>
          <w:b/>
          <w:bCs/>
          <w:sz w:val="21"/>
          <w:szCs w:val="21"/>
        </w:rPr>
        <w:t>aprobación</w:t>
      </w:r>
      <w:r w:rsidRPr="00AD79C7">
        <w:rPr>
          <w:rFonts w:ascii="Abadi" w:hAnsi="Abadi"/>
          <w:b/>
          <w:bCs/>
          <w:spacing w:val="11"/>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dictamen</w:t>
      </w:r>
      <w:r w:rsidRPr="00AD79C7">
        <w:rPr>
          <w:rFonts w:ascii="Abadi" w:hAnsi="Abadi"/>
          <w:b/>
          <w:bCs/>
          <w:spacing w:val="11"/>
          <w:sz w:val="21"/>
          <w:szCs w:val="21"/>
        </w:rPr>
        <w:t xml:space="preserve"> </w:t>
      </w:r>
      <w:r w:rsidRPr="00AD79C7">
        <w:rPr>
          <w:rFonts w:ascii="Abadi" w:hAnsi="Abadi"/>
          <w:b/>
          <w:bCs/>
          <w:sz w:val="21"/>
          <w:szCs w:val="21"/>
        </w:rPr>
        <w:t>suscrito</w:t>
      </w:r>
      <w:r w:rsidRPr="00AD79C7">
        <w:rPr>
          <w:rFonts w:ascii="Abadi" w:hAnsi="Abadi"/>
          <w:b/>
          <w:bCs/>
          <w:spacing w:val="11"/>
          <w:sz w:val="21"/>
          <w:szCs w:val="21"/>
        </w:rPr>
        <w:t xml:space="preserve"> </w:t>
      </w:r>
      <w:r w:rsidRPr="00AD79C7">
        <w:rPr>
          <w:rFonts w:ascii="Abadi" w:hAnsi="Abadi"/>
          <w:b/>
          <w:bCs/>
          <w:sz w:val="21"/>
          <w:szCs w:val="21"/>
        </w:rPr>
        <w:t>por</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Comisión</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67"/>
          <w:w w:val="150"/>
          <w:sz w:val="21"/>
          <w:szCs w:val="21"/>
        </w:rPr>
        <w:t xml:space="preserve"> </w:t>
      </w:r>
      <w:r w:rsidRPr="00AD79C7">
        <w:rPr>
          <w:rFonts w:ascii="Abadi" w:hAnsi="Abadi"/>
          <w:b/>
          <w:bCs/>
          <w:sz w:val="21"/>
          <w:szCs w:val="21"/>
        </w:rPr>
        <w:t>Hacienda</w:t>
      </w:r>
      <w:r w:rsidRPr="00AD79C7">
        <w:rPr>
          <w:rFonts w:ascii="Abadi" w:hAnsi="Abadi"/>
          <w:b/>
          <w:bCs/>
          <w:spacing w:val="67"/>
          <w:w w:val="150"/>
          <w:sz w:val="21"/>
          <w:szCs w:val="21"/>
        </w:rPr>
        <w:t xml:space="preserve"> </w:t>
      </w:r>
      <w:r w:rsidRPr="00AD79C7">
        <w:rPr>
          <w:rFonts w:ascii="Abadi" w:hAnsi="Abadi"/>
          <w:b/>
          <w:bCs/>
          <w:sz w:val="21"/>
          <w:szCs w:val="21"/>
        </w:rPr>
        <w:t>y</w:t>
      </w:r>
      <w:r w:rsidRPr="00AD79C7">
        <w:rPr>
          <w:rFonts w:ascii="Abadi" w:hAnsi="Abadi"/>
          <w:b/>
          <w:bCs/>
          <w:spacing w:val="67"/>
          <w:w w:val="150"/>
          <w:sz w:val="21"/>
          <w:szCs w:val="21"/>
        </w:rPr>
        <w:t xml:space="preserve"> </w:t>
      </w:r>
      <w:r w:rsidRPr="00AD79C7">
        <w:rPr>
          <w:rFonts w:ascii="Abadi" w:hAnsi="Abadi"/>
          <w:b/>
          <w:bCs/>
          <w:sz w:val="21"/>
          <w:szCs w:val="21"/>
        </w:rPr>
        <w:t>Fiscalización</w:t>
      </w:r>
      <w:r w:rsidRPr="00AD79C7">
        <w:rPr>
          <w:rFonts w:ascii="Abadi" w:hAnsi="Abadi"/>
          <w:b/>
          <w:bCs/>
          <w:spacing w:val="67"/>
          <w:w w:val="150"/>
          <w:sz w:val="21"/>
          <w:szCs w:val="21"/>
        </w:rPr>
        <w:t xml:space="preserve"> </w:t>
      </w:r>
      <w:r w:rsidRPr="00AD79C7">
        <w:rPr>
          <w:rFonts w:ascii="Abadi" w:hAnsi="Abadi"/>
          <w:b/>
          <w:bCs/>
          <w:sz w:val="21"/>
          <w:szCs w:val="21"/>
        </w:rPr>
        <w:t>relativo</w:t>
      </w:r>
      <w:r w:rsidRPr="00AD79C7">
        <w:rPr>
          <w:rFonts w:ascii="Abadi" w:hAnsi="Abadi"/>
          <w:b/>
          <w:bCs/>
          <w:spacing w:val="67"/>
          <w:w w:val="150"/>
          <w:sz w:val="21"/>
          <w:szCs w:val="21"/>
        </w:rPr>
        <w:t xml:space="preserve"> </w:t>
      </w:r>
      <w:r w:rsidRPr="00AD79C7">
        <w:rPr>
          <w:rFonts w:ascii="Abadi" w:hAnsi="Abadi"/>
          <w:b/>
          <w:bCs/>
          <w:sz w:val="21"/>
          <w:szCs w:val="21"/>
        </w:rPr>
        <w:t>a</w:t>
      </w:r>
      <w:r w:rsidRPr="00AD79C7">
        <w:rPr>
          <w:rFonts w:ascii="Abadi" w:hAnsi="Abadi"/>
          <w:b/>
          <w:bCs/>
          <w:spacing w:val="67"/>
          <w:w w:val="150"/>
          <w:sz w:val="21"/>
          <w:szCs w:val="21"/>
        </w:rPr>
        <w:t xml:space="preserve"> </w:t>
      </w:r>
      <w:r w:rsidRPr="00AD79C7">
        <w:rPr>
          <w:rFonts w:ascii="Abadi" w:hAnsi="Abadi"/>
          <w:b/>
          <w:bCs/>
          <w:sz w:val="21"/>
          <w:szCs w:val="21"/>
        </w:rPr>
        <w:t>la</w:t>
      </w:r>
      <w:r w:rsidRPr="00AD79C7">
        <w:rPr>
          <w:rFonts w:ascii="Abadi" w:hAnsi="Abadi"/>
          <w:b/>
          <w:bCs/>
          <w:spacing w:val="67"/>
          <w:w w:val="150"/>
          <w:sz w:val="21"/>
          <w:szCs w:val="21"/>
        </w:rPr>
        <w:t xml:space="preserve"> </w:t>
      </w:r>
      <w:r w:rsidRPr="00AD79C7">
        <w:rPr>
          <w:rFonts w:ascii="Abadi" w:hAnsi="Abadi"/>
          <w:b/>
          <w:bCs/>
          <w:sz w:val="21"/>
          <w:szCs w:val="21"/>
        </w:rPr>
        <w:t>iniciativa</w:t>
      </w:r>
      <w:r w:rsidRPr="00AD79C7">
        <w:rPr>
          <w:rFonts w:ascii="Abadi" w:hAnsi="Abadi"/>
          <w:b/>
          <w:bCs/>
          <w:spacing w:val="67"/>
          <w:w w:val="150"/>
          <w:sz w:val="21"/>
          <w:szCs w:val="21"/>
        </w:rPr>
        <w:t xml:space="preserve"> </w:t>
      </w:r>
      <w:r w:rsidRPr="00AD79C7">
        <w:rPr>
          <w:rFonts w:ascii="Abadi" w:hAnsi="Abadi"/>
          <w:b/>
          <w:bCs/>
          <w:sz w:val="21"/>
          <w:szCs w:val="21"/>
        </w:rPr>
        <w:t>formulada</w:t>
      </w:r>
      <w:r w:rsidRPr="00AD79C7">
        <w:rPr>
          <w:rFonts w:ascii="Abadi" w:hAnsi="Abadi"/>
          <w:b/>
          <w:bCs/>
          <w:spacing w:val="67"/>
          <w:w w:val="150"/>
          <w:sz w:val="21"/>
          <w:szCs w:val="21"/>
        </w:rPr>
        <w:t xml:space="preserve"> </w:t>
      </w:r>
      <w:r w:rsidRPr="00AD79C7">
        <w:rPr>
          <w:rFonts w:ascii="Abadi" w:hAnsi="Abadi"/>
          <w:b/>
          <w:bCs/>
          <w:sz w:val="21"/>
          <w:szCs w:val="21"/>
        </w:rPr>
        <w:t>por</w:t>
      </w:r>
      <w:r w:rsidRPr="00AD79C7">
        <w:rPr>
          <w:rFonts w:ascii="Abadi" w:hAnsi="Abadi"/>
          <w:b/>
          <w:bCs/>
          <w:spacing w:val="67"/>
          <w:w w:val="150"/>
          <w:sz w:val="21"/>
          <w:szCs w:val="21"/>
        </w:rPr>
        <w:t xml:space="preserve"> </w:t>
      </w:r>
      <w:r w:rsidRPr="00AD79C7">
        <w:rPr>
          <w:rFonts w:ascii="Abadi" w:hAnsi="Abadi"/>
          <w:b/>
          <w:bCs/>
          <w:sz w:val="21"/>
          <w:szCs w:val="21"/>
        </w:rPr>
        <w:t>el</w:t>
      </w:r>
      <w:r w:rsidRPr="00AD79C7">
        <w:rPr>
          <w:rFonts w:ascii="Abadi" w:hAnsi="Abadi"/>
          <w:b/>
          <w:bCs/>
          <w:spacing w:val="-1"/>
          <w:sz w:val="21"/>
          <w:szCs w:val="21"/>
        </w:rPr>
        <w:t xml:space="preserve"> </w:t>
      </w:r>
      <w:r w:rsidRPr="00AD79C7">
        <w:rPr>
          <w:rFonts w:ascii="Abadi" w:hAnsi="Abadi"/>
          <w:b/>
          <w:bCs/>
          <w:sz w:val="21"/>
          <w:szCs w:val="21"/>
        </w:rPr>
        <w:t>Gobernador del Estado</w:t>
      </w:r>
      <w:r w:rsidRPr="00AD79C7">
        <w:rPr>
          <w:rFonts w:ascii="Abadi" w:hAnsi="Abadi"/>
          <w:b/>
          <w:bCs/>
          <w:spacing w:val="5"/>
          <w:sz w:val="21"/>
          <w:szCs w:val="21"/>
        </w:rPr>
        <w:t xml:space="preserve"> </w:t>
      </w:r>
      <w:r w:rsidRPr="00AD79C7">
        <w:rPr>
          <w:rFonts w:ascii="Abadi" w:hAnsi="Abadi"/>
          <w:b/>
          <w:bCs/>
          <w:sz w:val="21"/>
          <w:szCs w:val="21"/>
        </w:rPr>
        <w:t>a</w:t>
      </w:r>
      <w:r w:rsidRPr="00AD79C7">
        <w:rPr>
          <w:rFonts w:ascii="Abadi" w:hAnsi="Abadi"/>
          <w:b/>
          <w:bCs/>
          <w:spacing w:val="5"/>
          <w:sz w:val="21"/>
          <w:szCs w:val="21"/>
        </w:rPr>
        <w:t xml:space="preserve"> </w:t>
      </w:r>
      <w:r w:rsidRPr="00AD79C7">
        <w:rPr>
          <w:rFonts w:ascii="Abadi" w:hAnsi="Abadi"/>
          <w:b/>
          <w:bCs/>
          <w:sz w:val="21"/>
          <w:szCs w:val="21"/>
        </w:rPr>
        <w:t>efecto de</w:t>
      </w:r>
      <w:r w:rsidRPr="00AD79C7">
        <w:rPr>
          <w:rFonts w:ascii="Abadi" w:hAnsi="Abadi"/>
          <w:b/>
          <w:bCs/>
          <w:spacing w:val="5"/>
          <w:sz w:val="21"/>
          <w:szCs w:val="21"/>
        </w:rPr>
        <w:t xml:space="preserve"> </w:t>
      </w:r>
      <w:r w:rsidRPr="00AD79C7">
        <w:rPr>
          <w:rFonts w:ascii="Abadi" w:hAnsi="Abadi"/>
          <w:b/>
          <w:bCs/>
          <w:sz w:val="21"/>
          <w:szCs w:val="21"/>
        </w:rPr>
        <w:t>que</w:t>
      </w:r>
      <w:r w:rsidRPr="00AD79C7">
        <w:rPr>
          <w:rFonts w:ascii="Abadi" w:hAnsi="Abadi"/>
          <w:b/>
          <w:bCs/>
          <w:spacing w:val="5"/>
          <w:sz w:val="21"/>
          <w:szCs w:val="21"/>
        </w:rPr>
        <w:t xml:space="preserve"> </w:t>
      </w:r>
      <w:r w:rsidRPr="00AD79C7">
        <w:rPr>
          <w:rFonts w:ascii="Abadi" w:hAnsi="Abadi"/>
          <w:b/>
          <w:bCs/>
          <w:sz w:val="21"/>
          <w:szCs w:val="21"/>
        </w:rPr>
        <w:t>se</w:t>
      </w:r>
      <w:r w:rsidRPr="00AD79C7">
        <w:rPr>
          <w:rFonts w:ascii="Abadi" w:hAnsi="Abadi"/>
          <w:b/>
          <w:bCs/>
          <w:spacing w:val="5"/>
          <w:sz w:val="21"/>
          <w:szCs w:val="21"/>
        </w:rPr>
        <w:t xml:space="preserve"> </w:t>
      </w:r>
      <w:r w:rsidRPr="00AD79C7">
        <w:rPr>
          <w:rFonts w:ascii="Abadi" w:hAnsi="Abadi"/>
          <w:b/>
          <w:bCs/>
          <w:sz w:val="21"/>
          <w:szCs w:val="21"/>
        </w:rPr>
        <w:t>le</w:t>
      </w:r>
      <w:r w:rsidRPr="00AD79C7">
        <w:rPr>
          <w:rFonts w:ascii="Abadi" w:hAnsi="Abadi"/>
          <w:b/>
          <w:bCs/>
          <w:spacing w:val="5"/>
          <w:sz w:val="21"/>
          <w:szCs w:val="21"/>
        </w:rPr>
        <w:t xml:space="preserve"> </w:t>
      </w:r>
      <w:r w:rsidRPr="00AD79C7">
        <w:rPr>
          <w:rFonts w:ascii="Abadi" w:hAnsi="Abadi"/>
          <w:b/>
          <w:bCs/>
          <w:sz w:val="21"/>
          <w:szCs w:val="21"/>
        </w:rPr>
        <w:t>autorice</w:t>
      </w:r>
      <w:r w:rsidRPr="00AD79C7">
        <w:rPr>
          <w:rFonts w:ascii="Abadi" w:hAnsi="Abadi"/>
          <w:b/>
          <w:bCs/>
          <w:spacing w:val="5"/>
          <w:sz w:val="21"/>
          <w:szCs w:val="21"/>
        </w:rPr>
        <w:t xml:space="preserve"> </w:t>
      </w:r>
      <w:r w:rsidRPr="00AD79C7">
        <w:rPr>
          <w:rFonts w:ascii="Abadi" w:hAnsi="Abadi"/>
          <w:b/>
          <w:bCs/>
          <w:sz w:val="21"/>
          <w:szCs w:val="21"/>
        </w:rPr>
        <w:t>previa</w:t>
      </w:r>
      <w:r w:rsidRPr="00AD79C7">
        <w:rPr>
          <w:rFonts w:ascii="Abadi" w:hAnsi="Abadi"/>
          <w:b/>
          <w:bCs/>
          <w:spacing w:val="5"/>
          <w:sz w:val="21"/>
          <w:szCs w:val="21"/>
        </w:rPr>
        <w:t xml:space="preserve"> </w:t>
      </w:r>
      <w:r w:rsidRPr="00AD79C7">
        <w:rPr>
          <w:rFonts w:ascii="Abadi" w:hAnsi="Abadi"/>
          <w:b/>
          <w:bCs/>
          <w:sz w:val="21"/>
          <w:szCs w:val="21"/>
        </w:rPr>
        <w:t>desafectación</w:t>
      </w:r>
      <w:r w:rsidRPr="00AD79C7">
        <w:rPr>
          <w:rFonts w:ascii="Abadi" w:hAnsi="Abadi"/>
          <w:b/>
          <w:bCs/>
          <w:spacing w:val="-1"/>
          <w:sz w:val="21"/>
          <w:szCs w:val="21"/>
        </w:rPr>
        <w:t xml:space="preserve"> </w:t>
      </w:r>
      <w:r w:rsidRPr="00AD79C7">
        <w:rPr>
          <w:rFonts w:ascii="Abadi" w:hAnsi="Abadi"/>
          <w:b/>
          <w:bCs/>
          <w:sz w:val="21"/>
          <w:szCs w:val="21"/>
        </w:rPr>
        <w:t>del</w:t>
      </w:r>
      <w:r w:rsidRPr="00AD79C7">
        <w:rPr>
          <w:rFonts w:ascii="Abadi" w:hAnsi="Abadi"/>
          <w:b/>
          <w:bCs/>
          <w:spacing w:val="7"/>
          <w:sz w:val="21"/>
          <w:szCs w:val="21"/>
        </w:rPr>
        <w:t xml:space="preserve"> </w:t>
      </w:r>
      <w:r w:rsidRPr="00AD79C7">
        <w:rPr>
          <w:rFonts w:ascii="Abadi" w:hAnsi="Abadi"/>
          <w:b/>
          <w:bCs/>
          <w:sz w:val="21"/>
          <w:szCs w:val="21"/>
        </w:rPr>
        <w:t>dominio</w:t>
      </w:r>
      <w:r w:rsidRPr="00AD79C7">
        <w:rPr>
          <w:rFonts w:ascii="Abadi" w:hAnsi="Abadi"/>
          <w:b/>
          <w:bCs/>
          <w:spacing w:val="7"/>
          <w:sz w:val="21"/>
          <w:szCs w:val="21"/>
        </w:rPr>
        <w:t xml:space="preserve"> </w:t>
      </w:r>
      <w:r w:rsidRPr="00AD79C7">
        <w:rPr>
          <w:rFonts w:ascii="Abadi" w:hAnsi="Abadi"/>
          <w:b/>
          <w:bCs/>
          <w:sz w:val="21"/>
          <w:szCs w:val="21"/>
        </w:rPr>
        <w:t>público</w:t>
      </w:r>
      <w:r w:rsidRPr="00AD79C7">
        <w:rPr>
          <w:rFonts w:ascii="Abadi" w:hAnsi="Abadi"/>
          <w:b/>
          <w:bCs/>
          <w:spacing w:val="7"/>
          <w:sz w:val="21"/>
          <w:szCs w:val="21"/>
        </w:rPr>
        <w:t xml:space="preserve"> </w:t>
      </w:r>
      <w:r w:rsidRPr="00AD79C7">
        <w:rPr>
          <w:rFonts w:ascii="Abadi" w:hAnsi="Abadi"/>
          <w:b/>
          <w:bCs/>
          <w:sz w:val="21"/>
          <w:szCs w:val="21"/>
        </w:rPr>
        <w:t>del</w:t>
      </w:r>
      <w:r w:rsidRPr="00AD79C7">
        <w:rPr>
          <w:rFonts w:ascii="Abadi" w:hAnsi="Abadi"/>
          <w:b/>
          <w:bCs/>
          <w:spacing w:val="7"/>
          <w:sz w:val="21"/>
          <w:szCs w:val="21"/>
        </w:rPr>
        <w:t xml:space="preserve"> </w:t>
      </w:r>
      <w:r w:rsidRPr="00AD79C7">
        <w:rPr>
          <w:rFonts w:ascii="Abadi" w:hAnsi="Abadi"/>
          <w:b/>
          <w:bCs/>
          <w:sz w:val="21"/>
          <w:szCs w:val="21"/>
        </w:rPr>
        <w:t>Estado</w:t>
      </w:r>
      <w:r w:rsidRPr="00AD79C7">
        <w:rPr>
          <w:rFonts w:ascii="Abadi" w:hAnsi="Abadi"/>
          <w:b/>
          <w:bCs/>
          <w:spacing w:val="7"/>
          <w:sz w:val="21"/>
          <w:szCs w:val="21"/>
        </w:rPr>
        <w:t xml:space="preserve"> </w:t>
      </w:r>
      <w:r w:rsidRPr="00AD79C7">
        <w:rPr>
          <w:rFonts w:ascii="Abadi" w:hAnsi="Abadi"/>
          <w:b/>
          <w:bCs/>
          <w:sz w:val="21"/>
          <w:szCs w:val="21"/>
        </w:rPr>
        <w:t>la</w:t>
      </w:r>
      <w:r w:rsidRPr="00AD79C7">
        <w:rPr>
          <w:rFonts w:ascii="Abadi" w:hAnsi="Abadi"/>
          <w:b/>
          <w:bCs/>
          <w:spacing w:val="7"/>
          <w:sz w:val="21"/>
          <w:szCs w:val="21"/>
        </w:rPr>
        <w:t xml:space="preserve"> </w:t>
      </w:r>
      <w:r w:rsidRPr="00AD79C7">
        <w:rPr>
          <w:rFonts w:ascii="Abadi" w:hAnsi="Abadi"/>
          <w:b/>
          <w:bCs/>
          <w:sz w:val="21"/>
          <w:szCs w:val="21"/>
        </w:rPr>
        <w:t>enajenación</w:t>
      </w:r>
      <w:r w:rsidRPr="00AD79C7">
        <w:rPr>
          <w:rFonts w:ascii="Abadi" w:hAnsi="Abadi"/>
          <w:b/>
          <w:bCs/>
          <w:spacing w:val="7"/>
          <w:sz w:val="21"/>
          <w:szCs w:val="21"/>
        </w:rPr>
        <w:t xml:space="preserve"> </w:t>
      </w:r>
      <w:r w:rsidRPr="00AD79C7">
        <w:rPr>
          <w:rFonts w:ascii="Abadi" w:hAnsi="Abadi"/>
          <w:b/>
          <w:bCs/>
          <w:sz w:val="21"/>
          <w:szCs w:val="21"/>
        </w:rPr>
        <w:t>de</w:t>
      </w:r>
      <w:r w:rsidRPr="00AD79C7">
        <w:rPr>
          <w:rFonts w:ascii="Abadi" w:hAnsi="Abadi"/>
          <w:b/>
          <w:bCs/>
          <w:spacing w:val="7"/>
          <w:sz w:val="21"/>
          <w:szCs w:val="21"/>
        </w:rPr>
        <w:t xml:space="preserve"> </w:t>
      </w:r>
      <w:r w:rsidRPr="00AD79C7">
        <w:rPr>
          <w:rFonts w:ascii="Abadi" w:hAnsi="Abadi"/>
          <w:b/>
          <w:bCs/>
          <w:sz w:val="21"/>
          <w:szCs w:val="21"/>
        </w:rPr>
        <w:t>tres</w:t>
      </w:r>
      <w:r w:rsidRPr="00AD79C7">
        <w:rPr>
          <w:rFonts w:ascii="Abadi" w:hAnsi="Abadi"/>
          <w:b/>
          <w:bCs/>
          <w:spacing w:val="7"/>
          <w:sz w:val="21"/>
          <w:szCs w:val="21"/>
        </w:rPr>
        <w:t xml:space="preserve"> </w:t>
      </w:r>
      <w:r w:rsidRPr="00AD79C7">
        <w:rPr>
          <w:rFonts w:ascii="Abadi" w:hAnsi="Abadi"/>
          <w:b/>
          <w:bCs/>
          <w:sz w:val="21"/>
          <w:szCs w:val="21"/>
        </w:rPr>
        <w:t>bienes</w:t>
      </w:r>
      <w:r w:rsidRPr="00AD79C7">
        <w:rPr>
          <w:rFonts w:ascii="Abadi" w:hAnsi="Abadi"/>
          <w:b/>
          <w:bCs/>
          <w:spacing w:val="7"/>
          <w:sz w:val="21"/>
          <w:szCs w:val="21"/>
        </w:rPr>
        <w:t xml:space="preserve"> </w:t>
      </w:r>
      <w:r w:rsidRPr="00AD79C7">
        <w:rPr>
          <w:rFonts w:ascii="Abadi" w:hAnsi="Abadi"/>
          <w:b/>
          <w:bCs/>
          <w:sz w:val="21"/>
          <w:szCs w:val="21"/>
        </w:rPr>
        <w:t>inmuebles</w:t>
      </w:r>
      <w:r w:rsidRPr="00AD79C7">
        <w:rPr>
          <w:rFonts w:ascii="Abadi" w:hAnsi="Abadi"/>
          <w:b/>
          <w:bCs/>
          <w:spacing w:val="7"/>
          <w:sz w:val="21"/>
          <w:szCs w:val="21"/>
        </w:rPr>
        <w:t xml:space="preserve"> </w:t>
      </w:r>
      <w:r w:rsidRPr="00AD79C7">
        <w:rPr>
          <w:rFonts w:ascii="Abadi" w:hAnsi="Abadi"/>
          <w:b/>
          <w:bCs/>
          <w:sz w:val="21"/>
          <w:szCs w:val="21"/>
        </w:rPr>
        <w:t>de</w:t>
      </w:r>
      <w:r w:rsidRPr="00AD79C7">
        <w:rPr>
          <w:rFonts w:ascii="Abadi" w:hAnsi="Abadi"/>
          <w:b/>
          <w:bCs/>
          <w:spacing w:val="-1"/>
          <w:sz w:val="21"/>
          <w:szCs w:val="21"/>
        </w:rPr>
        <w:t xml:space="preserve"> </w:t>
      </w:r>
      <w:r w:rsidRPr="00AD79C7">
        <w:rPr>
          <w:rFonts w:ascii="Abadi" w:hAnsi="Abadi"/>
          <w:b/>
          <w:bCs/>
          <w:sz w:val="21"/>
          <w:szCs w:val="21"/>
        </w:rPr>
        <w:t>propiedad</w:t>
      </w:r>
      <w:r w:rsidRPr="00AD79C7">
        <w:rPr>
          <w:rFonts w:ascii="Abadi" w:hAnsi="Abadi"/>
          <w:b/>
          <w:bCs/>
          <w:spacing w:val="19"/>
          <w:sz w:val="21"/>
          <w:szCs w:val="21"/>
        </w:rPr>
        <w:t xml:space="preserve"> </w:t>
      </w:r>
      <w:r w:rsidRPr="00AD79C7">
        <w:rPr>
          <w:rFonts w:ascii="Abadi" w:hAnsi="Abadi"/>
          <w:b/>
          <w:bCs/>
          <w:sz w:val="21"/>
          <w:szCs w:val="21"/>
        </w:rPr>
        <w:t>estatal</w:t>
      </w:r>
      <w:r w:rsidRPr="00AD79C7">
        <w:rPr>
          <w:rFonts w:ascii="Abadi" w:hAnsi="Abadi"/>
          <w:b/>
          <w:bCs/>
          <w:spacing w:val="19"/>
          <w:sz w:val="21"/>
          <w:szCs w:val="21"/>
        </w:rPr>
        <w:t xml:space="preserve"> </w:t>
      </w:r>
      <w:r w:rsidRPr="00AD79C7">
        <w:rPr>
          <w:rFonts w:ascii="Abadi" w:hAnsi="Abadi"/>
          <w:b/>
          <w:bCs/>
          <w:sz w:val="21"/>
          <w:szCs w:val="21"/>
        </w:rPr>
        <w:t>en</w:t>
      </w:r>
      <w:r w:rsidRPr="00AD79C7">
        <w:rPr>
          <w:rFonts w:ascii="Abadi" w:hAnsi="Abadi"/>
          <w:b/>
          <w:bCs/>
          <w:spacing w:val="20"/>
          <w:sz w:val="21"/>
          <w:szCs w:val="21"/>
        </w:rPr>
        <w:t xml:space="preserve"> </w:t>
      </w:r>
      <w:r w:rsidRPr="00AD79C7">
        <w:rPr>
          <w:rFonts w:ascii="Abadi" w:hAnsi="Abadi"/>
          <w:b/>
          <w:bCs/>
          <w:sz w:val="21"/>
          <w:szCs w:val="21"/>
        </w:rPr>
        <w:t>favor</w:t>
      </w:r>
      <w:r w:rsidRPr="00AD79C7">
        <w:rPr>
          <w:rFonts w:ascii="Abadi" w:hAnsi="Abadi"/>
          <w:b/>
          <w:bCs/>
          <w:spacing w:val="19"/>
          <w:sz w:val="21"/>
          <w:szCs w:val="21"/>
        </w:rPr>
        <w:t xml:space="preserve"> </w:t>
      </w:r>
      <w:r w:rsidRPr="00AD79C7">
        <w:rPr>
          <w:rFonts w:ascii="Abadi" w:hAnsi="Abadi"/>
          <w:b/>
          <w:bCs/>
          <w:sz w:val="21"/>
          <w:szCs w:val="21"/>
        </w:rPr>
        <w:t>de</w:t>
      </w:r>
      <w:r w:rsidRPr="00AD79C7">
        <w:rPr>
          <w:rFonts w:ascii="Abadi" w:hAnsi="Abadi"/>
          <w:b/>
          <w:bCs/>
          <w:spacing w:val="20"/>
          <w:sz w:val="21"/>
          <w:szCs w:val="21"/>
        </w:rPr>
        <w:t xml:space="preserve"> </w:t>
      </w:r>
      <w:r w:rsidRPr="00AD79C7">
        <w:rPr>
          <w:rFonts w:ascii="Abadi" w:hAnsi="Abadi"/>
          <w:b/>
          <w:bCs/>
          <w:sz w:val="21"/>
          <w:szCs w:val="21"/>
        </w:rPr>
        <w:t>la</w:t>
      </w:r>
      <w:r w:rsidRPr="00AD79C7">
        <w:rPr>
          <w:rFonts w:ascii="Abadi" w:hAnsi="Abadi"/>
          <w:b/>
          <w:bCs/>
          <w:spacing w:val="20"/>
          <w:sz w:val="21"/>
          <w:szCs w:val="21"/>
        </w:rPr>
        <w:t xml:space="preserve"> </w:t>
      </w:r>
      <w:r w:rsidRPr="00AD79C7">
        <w:rPr>
          <w:rFonts w:ascii="Abadi" w:hAnsi="Abadi"/>
          <w:b/>
          <w:bCs/>
          <w:sz w:val="21"/>
          <w:szCs w:val="21"/>
        </w:rPr>
        <w:t>persona</w:t>
      </w:r>
      <w:r w:rsidRPr="00AD79C7">
        <w:rPr>
          <w:rFonts w:ascii="Abadi" w:hAnsi="Abadi"/>
          <w:b/>
          <w:bCs/>
          <w:spacing w:val="20"/>
          <w:sz w:val="21"/>
          <w:szCs w:val="21"/>
        </w:rPr>
        <w:t xml:space="preserve"> </w:t>
      </w:r>
      <w:r w:rsidRPr="00AD79C7">
        <w:rPr>
          <w:rFonts w:ascii="Abadi" w:hAnsi="Abadi"/>
          <w:b/>
          <w:bCs/>
          <w:sz w:val="21"/>
          <w:szCs w:val="21"/>
        </w:rPr>
        <w:t>moral</w:t>
      </w:r>
      <w:r w:rsidRPr="00AD79C7">
        <w:rPr>
          <w:rFonts w:ascii="Abadi" w:hAnsi="Abadi"/>
          <w:b/>
          <w:bCs/>
          <w:spacing w:val="19"/>
          <w:sz w:val="21"/>
          <w:szCs w:val="21"/>
        </w:rPr>
        <w:t xml:space="preserve"> </w:t>
      </w:r>
      <w:r w:rsidRPr="00AD79C7">
        <w:rPr>
          <w:rFonts w:ascii="Abadi" w:hAnsi="Abadi"/>
          <w:b/>
          <w:bCs/>
          <w:sz w:val="21"/>
          <w:szCs w:val="21"/>
        </w:rPr>
        <w:t>denominada</w:t>
      </w:r>
      <w:r w:rsidRPr="00AD79C7">
        <w:rPr>
          <w:rFonts w:ascii="Abadi" w:hAnsi="Abadi"/>
          <w:b/>
          <w:bCs/>
          <w:spacing w:val="20"/>
          <w:sz w:val="21"/>
          <w:szCs w:val="21"/>
        </w:rPr>
        <w:t xml:space="preserve"> </w:t>
      </w:r>
      <w:r w:rsidRPr="00AD79C7">
        <w:rPr>
          <w:rFonts w:ascii="Abadi" w:hAnsi="Abadi"/>
          <w:b/>
          <w:bCs/>
          <w:i/>
          <w:iCs/>
          <w:sz w:val="21"/>
          <w:szCs w:val="21"/>
        </w:rPr>
        <w:t>Toyota</w:t>
      </w:r>
      <w:r w:rsidRPr="00AD79C7">
        <w:rPr>
          <w:rFonts w:ascii="Abadi" w:hAnsi="Abadi"/>
          <w:b/>
          <w:bCs/>
          <w:i/>
          <w:iCs/>
          <w:spacing w:val="20"/>
          <w:sz w:val="21"/>
          <w:szCs w:val="21"/>
        </w:rPr>
        <w:t xml:space="preserve"> </w:t>
      </w:r>
      <w:r w:rsidRPr="00AD79C7">
        <w:rPr>
          <w:rFonts w:ascii="Abadi" w:hAnsi="Abadi"/>
          <w:b/>
          <w:bCs/>
          <w:i/>
          <w:iCs/>
          <w:sz w:val="21"/>
          <w:szCs w:val="21"/>
        </w:rPr>
        <w:t>Motor</w:t>
      </w:r>
      <w:r w:rsidRPr="00AD79C7">
        <w:rPr>
          <w:rFonts w:ascii="Abadi" w:hAnsi="Abadi"/>
          <w:b/>
          <w:bCs/>
          <w:i/>
          <w:iCs/>
          <w:spacing w:val="-1"/>
          <w:sz w:val="21"/>
          <w:szCs w:val="21"/>
        </w:rPr>
        <w:t xml:space="preserve"> </w:t>
      </w:r>
      <w:r w:rsidRPr="00AD79C7">
        <w:rPr>
          <w:rFonts w:ascii="Abadi" w:hAnsi="Abadi"/>
          <w:b/>
          <w:bCs/>
          <w:i/>
          <w:iCs/>
          <w:sz w:val="21"/>
          <w:szCs w:val="21"/>
        </w:rPr>
        <w:t>Manufacturing de Guanajuato,</w:t>
      </w:r>
      <w:r w:rsidRPr="00AD79C7">
        <w:rPr>
          <w:rFonts w:ascii="Abadi" w:hAnsi="Abadi"/>
          <w:b/>
          <w:bCs/>
          <w:i/>
          <w:iCs/>
          <w:spacing w:val="-1"/>
          <w:sz w:val="21"/>
          <w:szCs w:val="21"/>
        </w:rPr>
        <w:t xml:space="preserve"> </w:t>
      </w:r>
      <w:r w:rsidRPr="00AD79C7">
        <w:rPr>
          <w:rFonts w:ascii="Abadi" w:hAnsi="Abadi"/>
          <w:b/>
          <w:bCs/>
          <w:i/>
          <w:iCs/>
          <w:sz w:val="21"/>
          <w:szCs w:val="21"/>
        </w:rPr>
        <w:t>S.A. de C.V</w:t>
      </w:r>
      <w:r w:rsidRPr="00AD79C7">
        <w:rPr>
          <w:rFonts w:ascii="Abadi" w:hAnsi="Abadi"/>
          <w:b/>
          <w:bCs/>
          <w:sz w:val="21"/>
          <w:szCs w:val="21"/>
        </w:rPr>
        <w:t>.</w:t>
      </w:r>
    </w:p>
    <w:p w14:paraId="10E76D91" w14:textId="77777777" w:rsidR="00E76114" w:rsidRPr="00E76114" w:rsidRDefault="00E76114" w:rsidP="00E76114">
      <w:pPr>
        <w:pStyle w:val="Prrafodelista"/>
        <w:rPr>
          <w:rFonts w:ascii="Abadi" w:hAnsi="Abadi"/>
          <w:b/>
          <w:bCs/>
          <w:sz w:val="21"/>
          <w:szCs w:val="21"/>
        </w:rPr>
      </w:pPr>
    </w:p>
    <w:p w14:paraId="761E58A4" w14:textId="77777777" w:rsidR="00662256" w:rsidRPr="00AD79C7" w:rsidRDefault="00662256"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2"/>
          <w:sz w:val="21"/>
          <w:szCs w:val="21"/>
        </w:rPr>
        <w:t xml:space="preserve"> </w:t>
      </w:r>
      <w:r w:rsidRPr="00AD79C7">
        <w:rPr>
          <w:rFonts w:ascii="Abadi" w:hAnsi="Abadi"/>
          <w:b/>
          <w:bCs/>
          <w:sz w:val="21"/>
          <w:szCs w:val="21"/>
        </w:rPr>
        <w:t>y,</w:t>
      </w:r>
      <w:r w:rsidRPr="00AD79C7">
        <w:rPr>
          <w:rFonts w:ascii="Abadi" w:hAnsi="Abadi"/>
          <w:b/>
          <w:bCs/>
          <w:spacing w:val="-13"/>
          <w:sz w:val="21"/>
          <w:szCs w:val="21"/>
        </w:rPr>
        <w:t xml:space="preserve"> </w:t>
      </w:r>
      <w:r w:rsidRPr="00AD79C7">
        <w:rPr>
          <w:rFonts w:ascii="Abadi" w:hAnsi="Abadi"/>
          <w:b/>
          <w:bCs/>
          <w:sz w:val="21"/>
          <w:szCs w:val="21"/>
        </w:rPr>
        <w:t>en</w:t>
      </w:r>
      <w:r w:rsidRPr="00AD79C7">
        <w:rPr>
          <w:rFonts w:ascii="Abadi" w:hAnsi="Abadi"/>
          <w:b/>
          <w:bCs/>
          <w:spacing w:val="-12"/>
          <w:sz w:val="21"/>
          <w:szCs w:val="21"/>
        </w:rPr>
        <w:t xml:space="preserve"> </w:t>
      </w:r>
      <w:r w:rsidRPr="00AD79C7">
        <w:rPr>
          <w:rFonts w:ascii="Abadi" w:hAnsi="Abadi"/>
          <w:b/>
          <w:bCs/>
          <w:sz w:val="21"/>
          <w:szCs w:val="21"/>
        </w:rPr>
        <w:t>su</w:t>
      </w:r>
      <w:r w:rsidRPr="00AD79C7">
        <w:rPr>
          <w:rFonts w:ascii="Abadi" w:hAnsi="Abadi"/>
          <w:b/>
          <w:bCs/>
          <w:spacing w:val="-12"/>
          <w:sz w:val="21"/>
          <w:szCs w:val="21"/>
        </w:rPr>
        <w:t xml:space="preserve"> </w:t>
      </w:r>
      <w:r w:rsidRPr="00AD79C7">
        <w:rPr>
          <w:rFonts w:ascii="Abadi" w:hAnsi="Abadi"/>
          <w:b/>
          <w:bCs/>
          <w:sz w:val="21"/>
          <w:szCs w:val="21"/>
        </w:rPr>
        <w:t>caso,</w:t>
      </w:r>
      <w:r w:rsidRPr="00AD79C7">
        <w:rPr>
          <w:rFonts w:ascii="Abadi" w:hAnsi="Abadi"/>
          <w:b/>
          <w:bCs/>
          <w:spacing w:val="-13"/>
          <w:sz w:val="21"/>
          <w:szCs w:val="21"/>
        </w:rPr>
        <w:t xml:space="preserve"> </w:t>
      </w:r>
      <w:r w:rsidRPr="00AD79C7">
        <w:rPr>
          <w:rFonts w:ascii="Abadi" w:hAnsi="Abadi"/>
          <w:b/>
          <w:bCs/>
          <w:sz w:val="21"/>
          <w:szCs w:val="21"/>
        </w:rPr>
        <w:t>aprobación</w:t>
      </w:r>
      <w:r w:rsidRPr="00AD79C7">
        <w:rPr>
          <w:rFonts w:ascii="Abadi" w:hAnsi="Abadi"/>
          <w:b/>
          <w:bCs/>
          <w:spacing w:val="-12"/>
          <w:sz w:val="21"/>
          <w:szCs w:val="21"/>
        </w:rPr>
        <w:t xml:space="preserve"> </w:t>
      </w:r>
      <w:r w:rsidRPr="00AD79C7">
        <w:rPr>
          <w:rFonts w:ascii="Abadi" w:hAnsi="Abadi"/>
          <w:b/>
          <w:bCs/>
          <w:sz w:val="21"/>
          <w:szCs w:val="21"/>
        </w:rPr>
        <w:t>del</w:t>
      </w:r>
      <w:r w:rsidRPr="00AD79C7">
        <w:rPr>
          <w:rFonts w:ascii="Abadi" w:hAnsi="Abadi"/>
          <w:b/>
          <w:bCs/>
          <w:spacing w:val="-13"/>
          <w:sz w:val="21"/>
          <w:szCs w:val="21"/>
        </w:rPr>
        <w:t xml:space="preserve"> </w:t>
      </w:r>
      <w:r w:rsidRPr="00AD79C7">
        <w:rPr>
          <w:rFonts w:ascii="Abadi" w:hAnsi="Abadi"/>
          <w:b/>
          <w:bCs/>
          <w:sz w:val="21"/>
          <w:szCs w:val="21"/>
        </w:rPr>
        <w:t>dictamen</w:t>
      </w:r>
      <w:r w:rsidRPr="00AD79C7">
        <w:rPr>
          <w:rFonts w:ascii="Abadi" w:hAnsi="Abadi"/>
          <w:b/>
          <w:bCs/>
          <w:spacing w:val="-12"/>
          <w:sz w:val="21"/>
          <w:szCs w:val="21"/>
        </w:rPr>
        <w:t xml:space="preserve"> </w:t>
      </w:r>
      <w:r w:rsidRPr="00AD79C7">
        <w:rPr>
          <w:rFonts w:ascii="Abadi" w:hAnsi="Abadi"/>
          <w:b/>
          <w:bCs/>
          <w:sz w:val="21"/>
          <w:szCs w:val="21"/>
        </w:rPr>
        <w:t>formulado</w:t>
      </w:r>
      <w:r w:rsidRPr="00AD79C7">
        <w:rPr>
          <w:rFonts w:ascii="Abadi" w:hAnsi="Abadi"/>
          <w:b/>
          <w:bCs/>
          <w:spacing w:val="-12"/>
          <w:sz w:val="21"/>
          <w:szCs w:val="21"/>
        </w:rPr>
        <w:t xml:space="preserve"> </w:t>
      </w:r>
      <w:r w:rsidRPr="00AD79C7">
        <w:rPr>
          <w:rFonts w:ascii="Abadi" w:hAnsi="Abadi"/>
          <w:b/>
          <w:bCs/>
          <w:sz w:val="21"/>
          <w:szCs w:val="21"/>
        </w:rPr>
        <w:t>por</w:t>
      </w:r>
      <w:r w:rsidRPr="00AD79C7">
        <w:rPr>
          <w:rFonts w:ascii="Abadi" w:hAnsi="Abadi"/>
          <w:b/>
          <w:bCs/>
          <w:spacing w:val="-13"/>
          <w:sz w:val="21"/>
          <w:szCs w:val="21"/>
        </w:rPr>
        <w:t xml:space="preserve"> </w:t>
      </w:r>
      <w:r w:rsidRPr="00AD79C7">
        <w:rPr>
          <w:rFonts w:ascii="Abadi" w:hAnsi="Abadi"/>
          <w:b/>
          <w:bCs/>
          <w:sz w:val="21"/>
          <w:szCs w:val="21"/>
        </w:rPr>
        <w:t>la</w:t>
      </w:r>
      <w:r w:rsidRPr="00AD79C7">
        <w:rPr>
          <w:rFonts w:ascii="Abadi" w:hAnsi="Abadi"/>
          <w:b/>
          <w:bCs/>
          <w:spacing w:val="-12"/>
          <w:sz w:val="21"/>
          <w:szCs w:val="21"/>
        </w:rPr>
        <w:t xml:space="preserve"> </w:t>
      </w:r>
      <w:r w:rsidRPr="00AD79C7">
        <w:rPr>
          <w:rFonts w:ascii="Abadi" w:hAnsi="Abadi"/>
          <w:b/>
          <w:bCs/>
          <w:sz w:val="21"/>
          <w:szCs w:val="21"/>
        </w:rPr>
        <w:t>Comisión</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Hacienda</w:t>
      </w:r>
      <w:r w:rsidRPr="00AD79C7">
        <w:rPr>
          <w:rFonts w:ascii="Abadi" w:hAnsi="Abadi"/>
          <w:b/>
          <w:bCs/>
          <w:spacing w:val="-2"/>
          <w:sz w:val="21"/>
          <w:szCs w:val="21"/>
        </w:rPr>
        <w:t xml:space="preserve"> </w:t>
      </w:r>
      <w:r w:rsidRPr="00AD79C7">
        <w:rPr>
          <w:rFonts w:ascii="Abadi" w:hAnsi="Abadi"/>
          <w:b/>
          <w:bCs/>
          <w:sz w:val="21"/>
          <w:szCs w:val="21"/>
        </w:rPr>
        <w:t>y</w:t>
      </w:r>
      <w:r w:rsidRPr="00AD79C7">
        <w:rPr>
          <w:rFonts w:ascii="Abadi" w:hAnsi="Abadi"/>
          <w:b/>
          <w:bCs/>
          <w:spacing w:val="-2"/>
          <w:sz w:val="21"/>
          <w:szCs w:val="21"/>
        </w:rPr>
        <w:t xml:space="preserve"> </w:t>
      </w:r>
      <w:r w:rsidRPr="00AD79C7">
        <w:rPr>
          <w:rFonts w:ascii="Abadi" w:hAnsi="Abadi"/>
          <w:b/>
          <w:bCs/>
          <w:sz w:val="21"/>
          <w:szCs w:val="21"/>
        </w:rPr>
        <w:t>Fiscalización</w:t>
      </w:r>
      <w:r w:rsidRPr="00AD79C7">
        <w:rPr>
          <w:rFonts w:ascii="Abadi" w:hAnsi="Abadi"/>
          <w:b/>
          <w:bCs/>
          <w:spacing w:val="-2"/>
          <w:sz w:val="21"/>
          <w:szCs w:val="21"/>
        </w:rPr>
        <w:t xml:space="preserve"> </w:t>
      </w:r>
      <w:r w:rsidRPr="00AD79C7">
        <w:rPr>
          <w:rFonts w:ascii="Abadi" w:hAnsi="Abadi"/>
          <w:b/>
          <w:bCs/>
          <w:sz w:val="21"/>
          <w:szCs w:val="21"/>
        </w:rPr>
        <w:t>relativo</w:t>
      </w:r>
      <w:r w:rsidRPr="00AD79C7">
        <w:rPr>
          <w:rFonts w:ascii="Abadi" w:hAnsi="Abadi"/>
          <w:b/>
          <w:bCs/>
          <w:spacing w:val="-2"/>
          <w:sz w:val="21"/>
          <w:szCs w:val="21"/>
        </w:rPr>
        <w:t xml:space="preserve"> </w:t>
      </w:r>
      <w:r w:rsidRPr="00AD79C7">
        <w:rPr>
          <w:rFonts w:ascii="Abadi" w:hAnsi="Abadi"/>
          <w:b/>
          <w:bCs/>
          <w:sz w:val="21"/>
          <w:szCs w:val="21"/>
        </w:rPr>
        <w:t>al</w:t>
      </w:r>
      <w:r w:rsidRPr="00AD79C7">
        <w:rPr>
          <w:rFonts w:ascii="Abadi" w:hAnsi="Abadi"/>
          <w:b/>
          <w:bCs/>
          <w:spacing w:val="-2"/>
          <w:sz w:val="21"/>
          <w:szCs w:val="21"/>
        </w:rPr>
        <w:t xml:space="preserve"> </w:t>
      </w:r>
      <w:r w:rsidRPr="00AD79C7">
        <w:rPr>
          <w:rFonts w:ascii="Abadi" w:hAnsi="Abadi"/>
          <w:b/>
          <w:bCs/>
          <w:sz w:val="21"/>
          <w:szCs w:val="21"/>
        </w:rPr>
        <w:t>informe</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resultados</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la</w:t>
      </w:r>
      <w:r w:rsidRPr="00AD79C7">
        <w:rPr>
          <w:rFonts w:ascii="Abadi" w:hAnsi="Abadi"/>
          <w:b/>
          <w:bCs/>
          <w:spacing w:val="-2"/>
          <w:sz w:val="21"/>
          <w:szCs w:val="21"/>
        </w:rPr>
        <w:t xml:space="preserve"> </w:t>
      </w:r>
      <w:r w:rsidRPr="00AD79C7">
        <w:rPr>
          <w:rFonts w:ascii="Abadi" w:hAnsi="Abadi"/>
          <w:b/>
          <w:bCs/>
          <w:sz w:val="21"/>
          <w:szCs w:val="21"/>
        </w:rPr>
        <w:t>auditoría</w:t>
      </w:r>
      <w:r w:rsidRPr="00AD79C7">
        <w:rPr>
          <w:rFonts w:ascii="Abadi" w:hAnsi="Abadi"/>
          <w:b/>
          <w:bCs/>
          <w:spacing w:val="-1"/>
          <w:sz w:val="21"/>
          <w:szCs w:val="21"/>
        </w:rPr>
        <w:t xml:space="preserve"> </w:t>
      </w:r>
      <w:r w:rsidRPr="00AD79C7">
        <w:rPr>
          <w:rFonts w:ascii="Abadi" w:hAnsi="Abadi"/>
          <w:b/>
          <w:bCs/>
          <w:sz w:val="21"/>
          <w:szCs w:val="21"/>
        </w:rPr>
        <w:t>practicada</w:t>
      </w:r>
      <w:r w:rsidRPr="00AD79C7">
        <w:rPr>
          <w:rFonts w:ascii="Abadi" w:hAnsi="Abadi"/>
          <w:b/>
          <w:bCs/>
          <w:spacing w:val="58"/>
          <w:w w:val="150"/>
          <w:sz w:val="21"/>
          <w:szCs w:val="21"/>
        </w:rPr>
        <w:t xml:space="preserve"> </w:t>
      </w:r>
      <w:r w:rsidRPr="00AD79C7">
        <w:rPr>
          <w:rFonts w:ascii="Abadi" w:hAnsi="Abadi"/>
          <w:b/>
          <w:bCs/>
          <w:sz w:val="21"/>
          <w:szCs w:val="21"/>
        </w:rPr>
        <w:t>por</w:t>
      </w:r>
      <w:r w:rsidRPr="00AD79C7">
        <w:rPr>
          <w:rFonts w:ascii="Abadi" w:hAnsi="Abadi"/>
          <w:b/>
          <w:bCs/>
          <w:spacing w:val="58"/>
          <w:w w:val="150"/>
          <w:sz w:val="21"/>
          <w:szCs w:val="21"/>
        </w:rPr>
        <w:t xml:space="preserve"> </w:t>
      </w:r>
      <w:r w:rsidRPr="00AD79C7">
        <w:rPr>
          <w:rFonts w:ascii="Abadi" w:hAnsi="Abadi"/>
          <w:b/>
          <w:bCs/>
          <w:sz w:val="21"/>
          <w:szCs w:val="21"/>
        </w:rPr>
        <w:t>la</w:t>
      </w:r>
      <w:r w:rsidRPr="00AD79C7">
        <w:rPr>
          <w:rFonts w:ascii="Abadi" w:hAnsi="Abadi"/>
          <w:b/>
          <w:bCs/>
          <w:spacing w:val="58"/>
          <w:w w:val="150"/>
          <w:sz w:val="21"/>
          <w:szCs w:val="21"/>
        </w:rPr>
        <w:t xml:space="preserve"> </w:t>
      </w:r>
      <w:r w:rsidRPr="00AD79C7">
        <w:rPr>
          <w:rFonts w:ascii="Abadi" w:hAnsi="Abadi"/>
          <w:b/>
          <w:bCs/>
          <w:sz w:val="21"/>
          <w:szCs w:val="21"/>
        </w:rPr>
        <w:t>Auditoría</w:t>
      </w:r>
      <w:r w:rsidRPr="00AD79C7">
        <w:rPr>
          <w:rFonts w:ascii="Abadi" w:hAnsi="Abadi"/>
          <w:b/>
          <w:bCs/>
          <w:spacing w:val="58"/>
          <w:w w:val="150"/>
          <w:sz w:val="21"/>
          <w:szCs w:val="21"/>
        </w:rPr>
        <w:t xml:space="preserve"> </w:t>
      </w:r>
      <w:r w:rsidRPr="00AD79C7">
        <w:rPr>
          <w:rFonts w:ascii="Abadi" w:hAnsi="Abadi"/>
          <w:b/>
          <w:bCs/>
          <w:sz w:val="21"/>
          <w:szCs w:val="21"/>
        </w:rPr>
        <w:t>Superior</w:t>
      </w:r>
      <w:r w:rsidRPr="00AD79C7">
        <w:rPr>
          <w:rFonts w:ascii="Abadi" w:hAnsi="Abadi"/>
          <w:b/>
          <w:bCs/>
          <w:spacing w:val="58"/>
          <w:w w:val="150"/>
          <w:sz w:val="21"/>
          <w:szCs w:val="21"/>
        </w:rPr>
        <w:t xml:space="preserve"> </w:t>
      </w:r>
      <w:r w:rsidRPr="00AD79C7">
        <w:rPr>
          <w:rFonts w:ascii="Abadi" w:hAnsi="Abadi"/>
          <w:b/>
          <w:bCs/>
          <w:sz w:val="21"/>
          <w:szCs w:val="21"/>
        </w:rPr>
        <w:t>del</w:t>
      </w:r>
      <w:r w:rsidRPr="00AD79C7">
        <w:rPr>
          <w:rFonts w:ascii="Abadi" w:hAnsi="Abadi"/>
          <w:b/>
          <w:bCs/>
          <w:spacing w:val="58"/>
          <w:w w:val="150"/>
          <w:sz w:val="21"/>
          <w:szCs w:val="21"/>
        </w:rPr>
        <w:t xml:space="preserve"> </w:t>
      </w:r>
      <w:r w:rsidRPr="00AD79C7">
        <w:rPr>
          <w:rFonts w:ascii="Abadi" w:hAnsi="Abadi"/>
          <w:b/>
          <w:bCs/>
          <w:sz w:val="21"/>
          <w:szCs w:val="21"/>
        </w:rPr>
        <w:t>Estado</w:t>
      </w:r>
      <w:r w:rsidRPr="00AD79C7">
        <w:rPr>
          <w:rFonts w:ascii="Abadi" w:hAnsi="Abadi"/>
          <w:b/>
          <w:bCs/>
          <w:spacing w:val="58"/>
          <w:w w:val="150"/>
          <w:sz w:val="21"/>
          <w:szCs w:val="21"/>
        </w:rPr>
        <w:t xml:space="preserve"> </w:t>
      </w:r>
      <w:r w:rsidRPr="00AD79C7">
        <w:rPr>
          <w:rFonts w:ascii="Abadi" w:hAnsi="Abadi"/>
          <w:b/>
          <w:bCs/>
          <w:sz w:val="21"/>
          <w:szCs w:val="21"/>
        </w:rPr>
        <w:t>de</w:t>
      </w:r>
      <w:r w:rsidRPr="00AD79C7">
        <w:rPr>
          <w:rFonts w:ascii="Abadi" w:hAnsi="Abadi"/>
          <w:b/>
          <w:bCs/>
          <w:spacing w:val="58"/>
          <w:w w:val="150"/>
          <w:sz w:val="21"/>
          <w:szCs w:val="21"/>
        </w:rPr>
        <w:t xml:space="preserve"> </w:t>
      </w:r>
      <w:r w:rsidRPr="00AD79C7">
        <w:rPr>
          <w:rFonts w:ascii="Abadi" w:hAnsi="Abadi"/>
          <w:b/>
          <w:bCs/>
          <w:sz w:val="21"/>
          <w:szCs w:val="21"/>
        </w:rPr>
        <w:t>Guanajuato,</w:t>
      </w:r>
      <w:r w:rsidRPr="00AD79C7">
        <w:rPr>
          <w:rFonts w:ascii="Abadi" w:hAnsi="Abadi"/>
          <w:b/>
          <w:bCs/>
          <w:spacing w:val="58"/>
          <w:w w:val="150"/>
          <w:sz w:val="21"/>
          <w:szCs w:val="21"/>
        </w:rPr>
        <w:t xml:space="preserve"> </w:t>
      </w:r>
      <w:r w:rsidRPr="00AD79C7">
        <w:rPr>
          <w:rFonts w:ascii="Abadi" w:hAnsi="Abadi"/>
          <w:b/>
          <w:bCs/>
          <w:sz w:val="21"/>
          <w:szCs w:val="21"/>
        </w:rPr>
        <w:t>a</w:t>
      </w:r>
      <w:r w:rsidRPr="00AD79C7">
        <w:rPr>
          <w:rFonts w:ascii="Abadi" w:hAnsi="Abadi"/>
          <w:b/>
          <w:bCs/>
          <w:spacing w:val="58"/>
          <w:w w:val="150"/>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infraestructura</w:t>
      </w:r>
      <w:r w:rsidRPr="00AD79C7">
        <w:rPr>
          <w:rFonts w:ascii="Abadi" w:hAnsi="Abadi"/>
          <w:b/>
          <w:bCs/>
          <w:spacing w:val="-10"/>
          <w:sz w:val="21"/>
          <w:szCs w:val="21"/>
        </w:rPr>
        <w:t xml:space="preserve"> </w:t>
      </w:r>
      <w:r w:rsidRPr="00AD79C7">
        <w:rPr>
          <w:rFonts w:ascii="Abadi" w:hAnsi="Abadi"/>
          <w:b/>
          <w:bCs/>
          <w:sz w:val="21"/>
          <w:szCs w:val="21"/>
        </w:rPr>
        <w:t>pública</w:t>
      </w:r>
      <w:r w:rsidRPr="00AD79C7">
        <w:rPr>
          <w:rFonts w:ascii="Abadi" w:hAnsi="Abadi"/>
          <w:b/>
          <w:bCs/>
          <w:spacing w:val="-10"/>
          <w:sz w:val="21"/>
          <w:szCs w:val="21"/>
        </w:rPr>
        <w:t xml:space="preserve"> </w:t>
      </w:r>
      <w:r w:rsidRPr="00AD79C7">
        <w:rPr>
          <w:rFonts w:ascii="Abadi" w:hAnsi="Abadi"/>
          <w:b/>
          <w:bCs/>
          <w:sz w:val="21"/>
          <w:szCs w:val="21"/>
        </w:rPr>
        <w:t>municipal</w:t>
      </w:r>
      <w:r w:rsidRPr="00AD79C7">
        <w:rPr>
          <w:rFonts w:ascii="Abadi" w:hAnsi="Abadi"/>
          <w:b/>
          <w:bCs/>
          <w:spacing w:val="-10"/>
          <w:sz w:val="21"/>
          <w:szCs w:val="21"/>
        </w:rPr>
        <w:t xml:space="preserve"> </w:t>
      </w:r>
      <w:r w:rsidRPr="00AD79C7">
        <w:rPr>
          <w:rFonts w:ascii="Abadi" w:hAnsi="Abadi"/>
          <w:b/>
          <w:bCs/>
          <w:sz w:val="21"/>
          <w:szCs w:val="21"/>
        </w:rPr>
        <w:t>respecto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las</w:t>
      </w:r>
      <w:r w:rsidRPr="00AD79C7">
        <w:rPr>
          <w:rFonts w:ascii="Abadi" w:hAnsi="Abadi"/>
          <w:b/>
          <w:bCs/>
          <w:spacing w:val="-10"/>
          <w:sz w:val="21"/>
          <w:szCs w:val="21"/>
        </w:rPr>
        <w:t xml:space="preserve"> </w:t>
      </w:r>
      <w:r w:rsidRPr="00AD79C7">
        <w:rPr>
          <w:rFonts w:ascii="Abadi" w:hAnsi="Abadi"/>
          <w:b/>
          <w:bCs/>
          <w:sz w:val="21"/>
          <w:szCs w:val="21"/>
        </w:rPr>
        <w:t>operaciones</w:t>
      </w:r>
      <w:r w:rsidRPr="00AD79C7">
        <w:rPr>
          <w:rFonts w:ascii="Abadi" w:hAnsi="Abadi"/>
          <w:b/>
          <w:bCs/>
          <w:spacing w:val="-10"/>
          <w:sz w:val="21"/>
          <w:szCs w:val="21"/>
        </w:rPr>
        <w:t xml:space="preserve"> </w:t>
      </w:r>
      <w:r w:rsidRPr="00AD79C7">
        <w:rPr>
          <w:rFonts w:ascii="Abadi" w:hAnsi="Abadi"/>
          <w:b/>
          <w:bCs/>
          <w:sz w:val="21"/>
          <w:szCs w:val="21"/>
        </w:rPr>
        <w:t>realizadas</w:t>
      </w:r>
      <w:r w:rsidRPr="00AD79C7">
        <w:rPr>
          <w:rFonts w:ascii="Abadi" w:hAnsi="Abadi"/>
          <w:b/>
          <w:bCs/>
          <w:spacing w:val="-10"/>
          <w:sz w:val="21"/>
          <w:szCs w:val="21"/>
        </w:rPr>
        <w:t xml:space="preserve"> </w:t>
      </w:r>
      <w:r w:rsidRPr="00AD79C7">
        <w:rPr>
          <w:rFonts w:ascii="Abadi" w:hAnsi="Abadi"/>
          <w:b/>
          <w:bCs/>
          <w:sz w:val="21"/>
          <w:szCs w:val="21"/>
        </w:rPr>
        <w:t>por</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18"/>
          <w:sz w:val="21"/>
          <w:szCs w:val="21"/>
        </w:rPr>
        <w:t xml:space="preserve"> </w:t>
      </w:r>
      <w:r w:rsidRPr="00AD79C7">
        <w:rPr>
          <w:rFonts w:ascii="Abadi" w:hAnsi="Abadi"/>
          <w:b/>
          <w:bCs/>
          <w:sz w:val="21"/>
          <w:szCs w:val="21"/>
        </w:rPr>
        <w:t>administración</w:t>
      </w:r>
      <w:r w:rsidRPr="00AD79C7">
        <w:rPr>
          <w:rFonts w:ascii="Abadi" w:hAnsi="Abadi"/>
          <w:b/>
          <w:bCs/>
          <w:spacing w:val="18"/>
          <w:sz w:val="21"/>
          <w:szCs w:val="21"/>
        </w:rPr>
        <w:t xml:space="preserve"> </w:t>
      </w:r>
      <w:r w:rsidRPr="00AD79C7">
        <w:rPr>
          <w:rFonts w:ascii="Abadi" w:hAnsi="Abadi"/>
          <w:b/>
          <w:bCs/>
          <w:sz w:val="21"/>
          <w:szCs w:val="21"/>
        </w:rPr>
        <w:t>municipal</w:t>
      </w:r>
      <w:r w:rsidRPr="00AD79C7">
        <w:rPr>
          <w:rFonts w:ascii="Abadi" w:hAnsi="Abadi"/>
          <w:b/>
          <w:bCs/>
          <w:spacing w:val="18"/>
          <w:sz w:val="21"/>
          <w:szCs w:val="21"/>
        </w:rPr>
        <w:t xml:space="preserve"> </w:t>
      </w:r>
      <w:r w:rsidRPr="00AD79C7">
        <w:rPr>
          <w:rFonts w:ascii="Abadi" w:hAnsi="Abadi"/>
          <w:b/>
          <w:bCs/>
          <w:sz w:val="21"/>
          <w:szCs w:val="21"/>
        </w:rPr>
        <w:t>de</w:t>
      </w:r>
      <w:r w:rsidRPr="00AD79C7">
        <w:rPr>
          <w:rFonts w:ascii="Abadi" w:hAnsi="Abadi"/>
          <w:b/>
          <w:bCs/>
          <w:spacing w:val="19"/>
          <w:sz w:val="21"/>
          <w:szCs w:val="21"/>
        </w:rPr>
        <w:t xml:space="preserve"> </w:t>
      </w:r>
      <w:r w:rsidRPr="00AD79C7">
        <w:rPr>
          <w:rFonts w:ascii="Abadi" w:hAnsi="Abadi"/>
          <w:b/>
          <w:bCs/>
          <w:sz w:val="21"/>
          <w:szCs w:val="21"/>
        </w:rPr>
        <w:t>Dolores</w:t>
      </w:r>
      <w:r w:rsidRPr="00AD79C7">
        <w:rPr>
          <w:rFonts w:ascii="Abadi" w:hAnsi="Abadi"/>
          <w:b/>
          <w:bCs/>
          <w:spacing w:val="19"/>
          <w:sz w:val="21"/>
          <w:szCs w:val="21"/>
        </w:rPr>
        <w:t xml:space="preserve"> </w:t>
      </w:r>
      <w:r w:rsidRPr="00AD79C7">
        <w:rPr>
          <w:rFonts w:ascii="Abadi" w:hAnsi="Abadi"/>
          <w:b/>
          <w:bCs/>
          <w:sz w:val="21"/>
          <w:szCs w:val="21"/>
        </w:rPr>
        <w:t>Hidalgo</w:t>
      </w:r>
      <w:r w:rsidRPr="00AD79C7">
        <w:rPr>
          <w:rFonts w:ascii="Abadi" w:hAnsi="Abadi"/>
          <w:b/>
          <w:bCs/>
          <w:spacing w:val="18"/>
          <w:sz w:val="21"/>
          <w:szCs w:val="21"/>
        </w:rPr>
        <w:t xml:space="preserve"> </w:t>
      </w:r>
      <w:r w:rsidRPr="00AD79C7">
        <w:rPr>
          <w:rFonts w:ascii="Abadi" w:hAnsi="Abadi"/>
          <w:b/>
          <w:bCs/>
          <w:sz w:val="21"/>
          <w:szCs w:val="21"/>
        </w:rPr>
        <w:t>Cuna</w:t>
      </w:r>
      <w:r w:rsidRPr="00AD79C7">
        <w:rPr>
          <w:rFonts w:ascii="Abadi" w:hAnsi="Abadi"/>
          <w:b/>
          <w:bCs/>
          <w:spacing w:val="18"/>
          <w:sz w:val="21"/>
          <w:szCs w:val="21"/>
        </w:rPr>
        <w:t xml:space="preserve"> </w:t>
      </w:r>
      <w:r w:rsidRPr="00AD79C7">
        <w:rPr>
          <w:rFonts w:ascii="Abadi" w:hAnsi="Abadi"/>
          <w:b/>
          <w:bCs/>
          <w:sz w:val="21"/>
          <w:szCs w:val="21"/>
        </w:rPr>
        <w:t>de</w:t>
      </w:r>
      <w:r w:rsidRPr="00AD79C7">
        <w:rPr>
          <w:rFonts w:ascii="Abadi" w:hAnsi="Abadi"/>
          <w:b/>
          <w:bCs/>
          <w:spacing w:val="18"/>
          <w:sz w:val="21"/>
          <w:szCs w:val="21"/>
        </w:rPr>
        <w:t xml:space="preserve"> </w:t>
      </w:r>
      <w:r w:rsidRPr="00AD79C7">
        <w:rPr>
          <w:rFonts w:ascii="Abadi" w:hAnsi="Abadi"/>
          <w:b/>
          <w:bCs/>
          <w:sz w:val="21"/>
          <w:szCs w:val="21"/>
        </w:rPr>
        <w:t>la</w:t>
      </w:r>
      <w:r w:rsidRPr="00AD79C7">
        <w:rPr>
          <w:rFonts w:ascii="Abadi" w:hAnsi="Abadi"/>
          <w:b/>
          <w:bCs/>
          <w:spacing w:val="18"/>
          <w:sz w:val="21"/>
          <w:szCs w:val="21"/>
        </w:rPr>
        <w:t xml:space="preserve"> </w:t>
      </w:r>
      <w:r w:rsidRPr="00AD79C7">
        <w:rPr>
          <w:rFonts w:ascii="Abadi" w:hAnsi="Abadi"/>
          <w:b/>
          <w:bCs/>
          <w:sz w:val="21"/>
          <w:szCs w:val="21"/>
        </w:rPr>
        <w:t>Independencia</w:t>
      </w:r>
      <w:r w:rsidRPr="00AD79C7">
        <w:rPr>
          <w:rFonts w:ascii="Abadi" w:hAnsi="Abadi"/>
          <w:b/>
          <w:bCs/>
          <w:spacing w:val="-1"/>
          <w:sz w:val="21"/>
          <w:szCs w:val="21"/>
        </w:rPr>
        <w:t xml:space="preserve"> </w:t>
      </w:r>
      <w:r w:rsidRPr="00AD79C7">
        <w:rPr>
          <w:rFonts w:ascii="Abadi" w:hAnsi="Abadi"/>
          <w:b/>
          <w:bCs/>
          <w:sz w:val="21"/>
          <w:szCs w:val="21"/>
        </w:rPr>
        <w:t>Nacional,</w:t>
      </w:r>
      <w:r w:rsidRPr="00AD79C7">
        <w:rPr>
          <w:rFonts w:ascii="Abadi" w:hAnsi="Abadi"/>
          <w:b/>
          <w:bCs/>
          <w:spacing w:val="9"/>
          <w:sz w:val="21"/>
          <w:szCs w:val="21"/>
        </w:rPr>
        <w:t xml:space="preserve"> </w:t>
      </w:r>
      <w:r w:rsidRPr="00AD79C7">
        <w:rPr>
          <w:rFonts w:ascii="Abadi" w:hAnsi="Abadi"/>
          <w:b/>
          <w:bCs/>
          <w:sz w:val="21"/>
          <w:szCs w:val="21"/>
        </w:rPr>
        <w:t>Gto.,</w:t>
      </w:r>
      <w:r w:rsidRPr="00AD79C7">
        <w:rPr>
          <w:rFonts w:ascii="Abadi" w:hAnsi="Abadi"/>
          <w:b/>
          <w:bCs/>
          <w:spacing w:val="9"/>
          <w:sz w:val="21"/>
          <w:szCs w:val="21"/>
        </w:rPr>
        <w:t xml:space="preserve"> </w:t>
      </w:r>
      <w:r w:rsidRPr="00AD79C7">
        <w:rPr>
          <w:rFonts w:ascii="Abadi" w:hAnsi="Abadi"/>
          <w:b/>
          <w:bCs/>
          <w:sz w:val="21"/>
          <w:szCs w:val="21"/>
        </w:rPr>
        <w:t>correspondientes</w:t>
      </w:r>
      <w:r w:rsidRPr="00AD79C7">
        <w:rPr>
          <w:rFonts w:ascii="Abadi" w:hAnsi="Abadi"/>
          <w:b/>
          <w:bCs/>
          <w:spacing w:val="10"/>
          <w:sz w:val="21"/>
          <w:szCs w:val="21"/>
        </w:rPr>
        <w:t xml:space="preserve"> </w:t>
      </w:r>
      <w:r w:rsidRPr="00AD79C7">
        <w:rPr>
          <w:rFonts w:ascii="Abadi" w:hAnsi="Abadi"/>
          <w:b/>
          <w:bCs/>
          <w:sz w:val="21"/>
          <w:szCs w:val="21"/>
        </w:rPr>
        <w:t>al</w:t>
      </w:r>
      <w:r w:rsidRPr="00AD79C7">
        <w:rPr>
          <w:rFonts w:ascii="Abadi" w:hAnsi="Abadi"/>
          <w:b/>
          <w:bCs/>
          <w:spacing w:val="9"/>
          <w:sz w:val="21"/>
          <w:szCs w:val="21"/>
        </w:rPr>
        <w:t xml:space="preserve"> </w:t>
      </w:r>
      <w:r w:rsidRPr="00AD79C7">
        <w:rPr>
          <w:rFonts w:ascii="Abadi" w:hAnsi="Abadi"/>
          <w:b/>
          <w:bCs/>
          <w:sz w:val="21"/>
          <w:szCs w:val="21"/>
        </w:rPr>
        <w:t>periodo</w:t>
      </w:r>
      <w:r w:rsidRPr="00AD79C7">
        <w:rPr>
          <w:rFonts w:ascii="Abadi" w:hAnsi="Abadi"/>
          <w:b/>
          <w:bCs/>
          <w:spacing w:val="9"/>
          <w:sz w:val="21"/>
          <w:szCs w:val="21"/>
        </w:rPr>
        <w:t xml:space="preserve"> </w:t>
      </w:r>
      <w:r w:rsidRPr="00AD79C7">
        <w:rPr>
          <w:rFonts w:ascii="Abadi" w:hAnsi="Abadi"/>
          <w:b/>
          <w:bCs/>
          <w:sz w:val="21"/>
          <w:szCs w:val="21"/>
        </w:rPr>
        <w:t>comprendido</w:t>
      </w:r>
      <w:r w:rsidRPr="00AD79C7">
        <w:rPr>
          <w:rFonts w:ascii="Abadi" w:hAnsi="Abadi"/>
          <w:b/>
          <w:bCs/>
          <w:spacing w:val="9"/>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1</w:t>
      </w:r>
      <w:r w:rsidRPr="00AD79C7">
        <w:rPr>
          <w:rFonts w:ascii="Abadi" w:hAnsi="Abadi"/>
          <w:b/>
          <w:bCs/>
          <w:spacing w:val="9"/>
          <w:sz w:val="21"/>
          <w:szCs w:val="21"/>
        </w:rPr>
        <w:t xml:space="preserve"> </w:t>
      </w:r>
      <w:r w:rsidRPr="00AD79C7">
        <w:rPr>
          <w:rFonts w:ascii="Abadi" w:hAnsi="Abadi"/>
          <w:b/>
          <w:bCs/>
          <w:sz w:val="21"/>
          <w:szCs w:val="21"/>
        </w:rPr>
        <w:t>de</w:t>
      </w:r>
      <w:r w:rsidRPr="00AD79C7">
        <w:rPr>
          <w:rFonts w:ascii="Abadi" w:hAnsi="Abadi"/>
          <w:b/>
          <w:bCs/>
          <w:spacing w:val="9"/>
          <w:sz w:val="21"/>
          <w:szCs w:val="21"/>
        </w:rPr>
        <w:t xml:space="preserve"> </w:t>
      </w:r>
      <w:r w:rsidRPr="00AD79C7">
        <w:rPr>
          <w:rFonts w:ascii="Abadi" w:hAnsi="Abadi"/>
          <w:b/>
          <w:bCs/>
          <w:sz w:val="21"/>
          <w:szCs w:val="21"/>
        </w:rPr>
        <w:t>enero</w:t>
      </w:r>
      <w:r w:rsidRPr="00AD79C7">
        <w:rPr>
          <w:rFonts w:ascii="Abadi" w:hAnsi="Abadi"/>
          <w:b/>
          <w:bCs/>
          <w:spacing w:val="9"/>
          <w:sz w:val="21"/>
          <w:szCs w:val="21"/>
        </w:rPr>
        <w:t xml:space="preserve"> </w:t>
      </w:r>
      <w:r w:rsidRPr="00AD79C7">
        <w:rPr>
          <w:rFonts w:ascii="Abadi" w:hAnsi="Abadi"/>
          <w:b/>
          <w:bCs/>
          <w:sz w:val="21"/>
          <w:szCs w:val="21"/>
        </w:rPr>
        <w:t>al</w:t>
      </w:r>
      <w:r w:rsidRPr="00AD79C7">
        <w:rPr>
          <w:rFonts w:ascii="Abadi" w:hAnsi="Abadi"/>
          <w:b/>
          <w:bCs/>
          <w:spacing w:val="-1"/>
          <w:sz w:val="21"/>
          <w:szCs w:val="21"/>
        </w:rPr>
        <w:t xml:space="preserve"> </w:t>
      </w:r>
      <w:r w:rsidRPr="00AD79C7">
        <w:rPr>
          <w:rFonts w:ascii="Abadi" w:hAnsi="Abadi"/>
          <w:b/>
          <w:bCs/>
          <w:sz w:val="21"/>
          <w:szCs w:val="21"/>
        </w:rPr>
        <w:t>31 de diciembre del ejercicio fiscal</w:t>
      </w:r>
      <w:r w:rsidRPr="00AD79C7">
        <w:rPr>
          <w:rFonts w:ascii="Abadi" w:hAnsi="Abadi"/>
          <w:b/>
          <w:bCs/>
          <w:spacing w:val="-1"/>
          <w:sz w:val="21"/>
          <w:szCs w:val="21"/>
        </w:rPr>
        <w:t xml:space="preserve"> </w:t>
      </w:r>
      <w:r w:rsidRPr="00AD79C7">
        <w:rPr>
          <w:rFonts w:ascii="Abadi" w:hAnsi="Abadi"/>
          <w:b/>
          <w:bCs/>
          <w:sz w:val="21"/>
          <w:szCs w:val="21"/>
        </w:rPr>
        <w:t>del año 2020.</w:t>
      </w:r>
    </w:p>
    <w:p w14:paraId="28F66E05" w14:textId="77777777" w:rsidR="00E76114" w:rsidRPr="00AD79C7" w:rsidRDefault="00E76114" w:rsidP="006B00FD">
      <w:pPr>
        <w:pStyle w:val="Prrafodelista"/>
        <w:tabs>
          <w:tab w:val="left" w:pos="856"/>
        </w:tabs>
        <w:kinsoku w:val="0"/>
        <w:overflowPunct w:val="0"/>
        <w:autoSpaceDE w:val="0"/>
        <w:autoSpaceDN w:val="0"/>
        <w:adjustRightInd w:val="0"/>
        <w:ind w:left="720" w:right="566"/>
        <w:jc w:val="both"/>
        <w:rPr>
          <w:rFonts w:ascii="Abadi" w:hAnsi="Abadi"/>
          <w:b/>
          <w:bCs/>
          <w:sz w:val="21"/>
          <w:szCs w:val="21"/>
        </w:rPr>
      </w:pPr>
    </w:p>
    <w:p w14:paraId="6BEFAF01" w14:textId="5E978355" w:rsidR="008410D8" w:rsidRDefault="008410D8" w:rsidP="005433FA">
      <w:pPr>
        <w:pStyle w:val="Prrafodelista"/>
        <w:numPr>
          <w:ilvl w:val="0"/>
          <w:numId w:val="8"/>
        </w:numPr>
        <w:tabs>
          <w:tab w:val="left" w:pos="856"/>
        </w:tabs>
        <w:kinsoku w:val="0"/>
        <w:overflowPunct w:val="0"/>
        <w:autoSpaceDE w:val="0"/>
        <w:autoSpaceDN w:val="0"/>
        <w:adjustRightInd w:val="0"/>
        <w:spacing w:before="22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en</w:t>
      </w:r>
      <w:r w:rsidRPr="00AD79C7">
        <w:rPr>
          <w:rFonts w:ascii="Abadi" w:hAnsi="Abadi"/>
          <w:b/>
          <w:bCs/>
          <w:spacing w:val="10"/>
          <w:sz w:val="21"/>
          <w:szCs w:val="21"/>
        </w:rPr>
        <w:t xml:space="preserve"> </w:t>
      </w:r>
      <w:r w:rsidRPr="00AD79C7">
        <w:rPr>
          <w:rFonts w:ascii="Abadi" w:hAnsi="Abadi"/>
          <w:b/>
          <w:bCs/>
          <w:sz w:val="21"/>
          <w:szCs w:val="21"/>
        </w:rPr>
        <w:t>su</w:t>
      </w:r>
      <w:r w:rsidRPr="00AD79C7">
        <w:rPr>
          <w:rFonts w:ascii="Abadi" w:hAnsi="Abadi"/>
          <w:b/>
          <w:bCs/>
          <w:spacing w:val="10"/>
          <w:sz w:val="21"/>
          <w:szCs w:val="21"/>
        </w:rPr>
        <w:t xml:space="preserve"> </w:t>
      </w:r>
      <w:r w:rsidRPr="00AD79C7">
        <w:rPr>
          <w:rFonts w:ascii="Abadi" w:hAnsi="Abadi"/>
          <w:b/>
          <w:bCs/>
          <w:sz w:val="21"/>
          <w:szCs w:val="21"/>
        </w:rPr>
        <w:t>caso,</w:t>
      </w:r>
      <w:r w:rsidRPr="00AD79C7">
        <w:rPr>
          <w:rFonts w:ascii="Abadi" w:hAnsi="Abadi"/>
          <w:b/>
          <w:bCs/>
          <w:spacing w:val="10"/>
          <w:sz w:val="21"/>
          <w:szCs w:val="21"/>
        </w:rPr>
        <w:t xml:space="preserve"> </w:t>
      </w:r>
      <w:r w:rsidRPr="00AD79C7">
        <w:rPr>
          <w:rFonts w:ascii="Abadi" w:hAnsi="Abadi"/>
          <w:b/>
          <w:bCs/>
          <w:sz w:val="21"/>
          <w:szCs w:val="21"/>
        </w:rPr>
        <w:t>aprobación</w:t>
      </w:r>
      <w:r w:rsidRPr="00AD79C7">
        <w:rPr>
          <w:rFonts w:ascii="Abadi" w:hAnsi="Abadi"/>
          <w:b/>
          <w:bCs/>
          <w:spacing w:val="10"/>
          <w:sz w:val="21"/>
          <w:szCs w:val="21"/>
        </w:rPr>
        <w:t xml:space="preserve"> </w:t>
      </w:r>
      <w:r w:rsidRPr="00AD79C7">
        <w:rPr>
          <w:rFonts w:ascii="Abadi" w:hAnsi="Abadi"/>
          <w:b/>
          <w:bCs/>
          <w:sz w:val="21"/>
          <w:szCs w:val="21"/>
        </w:rPr>
        <w:t>del</w:t>
      </w:r>
      <w:r w:rsidRPr="00AD79C7">
        <w:rPr>
          <w:rFonts w:ascii="Abadi" w:hAnsi="Abadi"/>
          <w:b/>
          <w:bCs/>
          <w:spacing w:val="10"/>
          <w:sz w:val="21"/>
          <w:szCs w:val="21"/>
        </w:rPr>
        <w:t xml:space="preserve"> </w:t>
      </w:r>
      <w:r w:rsidRPr="00AD79C7">
        <w:rPr>
          <w:rFonts w:ascii="Abadi" w:hAnsi="Abadi"/>
          <w:b/>
          <w:bCs/>
          <w:sz w:val="21"/>
          <w:szCs w:val="21"/>
        </w:rPr>
        <w:t>dictamen</w:t>
      </w:r>
      <w:r w:rsidRPr="00AD79C7">
        <w:rPr>
          <w:rFonts w:ascii="Abadi" w:hAnsi="Abadi"/>
          <w:b/>
          <w:bCs/>
          <w:spacing w:val="10"/>
          <w:sz w:val="21"/>
          <w:szCs w:val="21"/>
        </w:rPr>
        <w:t xml:space="preserve"> </w:t>
      </w:r>
      <w:r w:rsidRPr="00AD79C7">
        <w:rPr>
          <w:rFonts w:ascii="Abadi" w:hAnsi="Abadi"/>
          <w:b/>
          <w:bCs/>
          <w:sz w:val="21"/>
          <w:szCs w:val="21"/>
        </w:rPr>
        <w:t>signado</w:t>
      </w:r>
      <w:r w:rsidRPr="00AD79C7">
        <w:rPr>
          <w:rFonts w:ascii="Abadi" w:hAnsi="Abadi"/>
          <w:b/>
          <w:bCs/>
          <w:spacing w:val="10"/>
          <w:sz w:val="21"/>
          <w:szCs w:val="21"/>
        </w:rPr>
        <w:t xml:space="preserve"> </w:t>
      </w:r>
      <w:r w:rsidRPr="00AD79C7">
        <w:rPr>
          <w:rFonts w:ascii="Abadi" w:hAnsi="Abadi"/>
          <w:b/>
          <w:bCs/>
          <w:sz w:val="21"/>
          <w:szCs w:val="21"/>
        </w:rPr>
        <w:t>por</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Comisión</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Hacienda</w:t>
      </w:r>
      <w:r w:rsidRPr="00AD79C7">
        <w:rPr>
          <w:rFonts w:ascii="Abadi" w:hAnsi="Abadi"/>
          <w:b/>
          <w:bCs/>
          <w:spacing w:val="-2"/>
          <w:sz w:val="21"/>
          <w:szCs w:val="21"/>
        </w:rPr>
        <w:t xml:space="preserve"> </w:t>
      </w:r>
      <w:r w:rsidRPr="00AD79C7">
        <w:rPr>
          <w:rFonts w:ascii="Abadi" w:hAnsi="Abadi"/>
          <w:b/>
          <w:bCs/>
          <w:sz w:val="21"/>
          <w:szCs w:val="21"/>
        </w:rPr>
        <w:t>y</w:t>
      </w:r>
      <w:r w:rsidRPr="00AD79C7">
        <w:rPr>
          <w:rFonts w:ascii="Abadi" w:hAnsi="Abadi"/>
          <w:b/>
          <w:bCs/>
          <w:spacing w:val="-2"/>
          <w:sz w:val="21"/>
          <w:szCs w:val="21"/>
        </w:rPr>
        <w:t xml:space="preserve"> </w:t>
      </w:r>
      <w:r w:rsidRPr="00AD79C7">
        <w:rPr>
          <w:rFonts w:ascii="Abadi" w:hAnsi="Abadi"/>
          <w:b/>
          <w:bCs/>
          <w:sz w:val="21"/>
          <w:szCs w:val="21"/>
        </w:rPr>
        <w:t>Fiscalización</w:t>
      </w:r>
      <w:r w:rsidRPr="00AD79C7">
        <w:rPr>
          <w:rFonts w:ascii="Abadi" w:hAnsi="Abadi"/>
          <w:b/>
          <w:bCs/>
          <w:spacing w:val="-2"/>
          <w:sz w:val="21"/>
          <w:szCs w:val="21"/>
        </w:rPr>
        <w:t xml:space="preserve"> </w:t>
      </w:r>
      <w:r w:rsidRPr="00AD79C7">
        <w:rPr>
          <w:rFonts w:ascii="Abadi" w:hAnsi="Abadi"/>
          <w:b/>
          <w:bCs/>
          <w:sz w:val="21"/>
          <w:szCs w:val="21"/>
        </w:rPr>
        <w:t>relativo</w:t>
      </w:r>
      <w:r w:rsidRPr="00AD79C7">
        <w:rPr>
          <w:rFonts w:ascii="Abadi" w:hAnsi="Abadi"/>
          <w:b/>
          <w:bCs/>
          <w:spacing w:val="-2"/>
          <w:sz w:val="21"/>
          <w:szCs w:val="21"/>
        </w:rPr>
        <w:t xml:space="preserve"> </w:t>
      </w:r>
      <w:r w:rsidRPr="00AD79C7">
        <w:rPr>
          <w:rFonts w:ascii="Abadi" w:hAnsi="Abadi"/>
          <w:b/>
          <w:bCs/>
          <w:sz w:val="21"/>
          <w:szCs w:val="21"/>
        </w:rPr>
        <w:t>al</w:t>
      </w:r>
      <w:r w:rsidRPr="00AD79C7">
        <w:rPr>
          <w:rFonts w:ascii="Abadi" w:hAnsi="Abadi"/>
          <w:b/>
          <w:bCs/>
          <w:spacing w:val="-2"/>
          <w:sz w:val="21"/>
          <w:szCs w:val="21"/>
        </w:rPr>
        <w:t xml:space="preserve"> </w:t>
      </w:r>
      <w:r w:rsidRPr="00AD79C7">
        <w:rPr>
          <w:rFonts w:ascii="Abadi" w:hAnsi="Abadi"/>
          <w:b/>
          <w:bCs/>
          <w:sz w:val="21"/>
          <w:szCs w:val="21"/>
        </w:rPr>
        <w:t>informe</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resultados</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la</w:t>
      </w:r>
      <w:r w:rsidRPr="00AD79C7">
        <w:rPr>
          <w:rFonts w:ascii="Abadi" w:hAnsi="Abadi"/>
          <w:b/>
          <w:bCs/>
          <w:spacing w:val="-2"/>
          <w:sz w:val="21"/>
          <w:szCs w:val="21"/>
        </w:rPr>
        <w:t xml:space="preserve"> </w:t>
      </w:r>
      <w:r w:rsidRPr="00AD79C7">
        <w:rPr>
          <w:rFonts w:ascii="Abadi" w:hAnsi="Abadi"/>
          <w:b/>
          <w:bCs/>
          <w:sz w:val="21"/>
          <w:szCs w:val="21"/>
        </w:rPr>
        <w:t>auditoría</w:t>
      </w:r>
      <w:r w:rsidRPr="00AD79C7">
        <w:rPr>
          <w:rFonts w:ascii="Abadi" w:hAnsi="Abadi"/>
          <w:b/>
          <w:bCs/>
          <w:spacing w:val="-1"/>
          <w:sz w:val="21"/>
          <w:szCs w:val="21"/>
        </w:rPr>
        <w:t xml:space="preserve"> </w:t>
      </w:r>
      <w:r w:rsidRPr="00AD79C7">
        <w:rPr>
          <w:rFonts w:ascii="Abadi" w:hAnsi="Abadi"/>
          <w:b/>
          <w:bCs/>
          <w:sz w:val="21"/>
          <w:szCs w:val="21"/>
        </w:rPr>
        <w:t>practicada</w:t>
      </w:r>
      <w:r w:rsidRPr="00AD79C7">
        <w:rPr>
          <w:rFonts w:ascii="Abadi" w:hAnsi="Abadi"/>
          <w:b/>
          <w:bCs/>
          <w:spacing w:val="59"/>
          <w:w w:val="150"/>
          <w:sz w:val="21"/>
          <w:szCs w:val="21"/>
        </w:rPr>
        <w:t xml:space="preserve"> </w:t>
      </w:r>
      <w:r w:rsidRPr="00AD79C7">
        <w:rPr>
          <w:rFonts w:ascii="Abadi" w:hAnsi="Abadi"/>
          <w:b/>
          <w:bCs/>
          <w:sz w:val="21"/>
          <w:szCs w:val="21"/>
        </w:rPr>
        <w:t>por</w:t>
      </w:r>
      <w:r w:rsidRPr="00AD79C7">
        <w:rPr>
          <w:rFonts w:ascii="Abadi" w:hAnsi="Abadi"/>
          <w:b/>
          <w:bCs/>
          <w:spacing w:val="58"/>
          <w:w w:val="150"/>
          <w:sz w:val="21"/>
          <w:szCs w:val="21"/>
        </w:rPr>
        <w:t xml:space="preserve"> </w:t>
      </w:r>
      <w:r w:rsidRPr="00AD79C7">
        <w:rPr>
          <w:rFonts w:ascii="Abadi" w:hAnsi="Abadi"/>
          <w:b/>
          <w:bCs/>
          <w:sz w:val="21"/>
          <w:szCs w:val="21"/>
        </w:rPr>
        <w:t>la</w:t>
      </w:r>
      <w:r w:rsidRPr="00AD79C7">
        <w:rPr>
          <w:rFonts w:ascii="Abadi" w:hAnsi="Abadi"/>
          <w:b/>
          <w:bCs/>
          <w:spacing w:val="58"/>
          <w:w w:val="150"/>
          <w:sz w:val="21"/>
          <w:szCs w:val="21"/>
        </w:rPr>
        <w:t xml:space="preserve"> </w:t>
      </w:r>
      <w:r w:rsidRPr="00AD79C7">
        <w:rPr>
          <w:rFonts w:ascii="Abadi" w:hAnsi="Abadi"/>
          <w:b/>
          <w:bCs/>
          <w:sz w:val="21"/>
          <w:szCs w:val="21"/>
        </w:rPr>
        <w:t>Auditoría</w:t>
      </w:r>
      <w:r w:rsidRPr="00AD79C7">
        <w:rPr>
          <w:rFonts w:ascii="Abadi" w:hAnsi="Abadi"/>
          <w:b/>
          <w:bCs/>
          <w:spacing w:val="58"/>
          <w:w w:val="150"/>
          <w:sz w:val="21"/>
          <w:szCs w:val="21"/>
        </w:rPr>
        <w:t xml:space="preserve"> </w:t>
      </w:r>
      <w:r w:rsidRPr="00AD79C7">
        <w:rPr>
          <w:rFonts w:ascii="Abadi" w:hAnsi="Abadi"/>
          <w:b/>
          <w:bCs/>
          <w:sz w:val="21"/>
          <w:szCs w:val="21"/>
        </w:rPr>
        <w:t>Superior</w:t>
      </w:r>
      <w:r w:rsidRPr="00AD79C7">
        <w:rPr>
          <w:rFonts w:ascii="Abadi" w:hAnsi="Abadi"/>
          <w:b/>
          <w:bCs/>
          <w:spacing w:val="58"/>
          <w:w w:val="150"/>
          <w:sz w:val="21"/>
          <w:szCs w:val="21"/>
        </w:rPr>
        <w:t xml:space="preserve"> </w:t>
      </w:r>
      <w:r w:rsidRPr="00AD79C7">
        <w:rPr>
          <w:rFonts w:ascii="Abadi" w:hAnsi="Abadi"/>
          <w:b/>
          <w:bCs/>
          <w:sz w:val="21"/>
          <w:szCs w:val="21"/>
        </w:rPr>
        <w:t>del</w:t>
      </w:r>
      <w:r w:rsidRPr="00AD79C7">
        <w:rPr>
          <w:rFonts w:ascii="Abadi" w:hAnsi="Abadi"/>
          <w:b/>
          <w:bCs/>
          <w:spacing w:val="58"/>
          <w:w w:val="150"/>
          <w:sz w:val="21"/>
          <w:szCs w:val="21"/>
        </w:rPr>
        <w:t xml:space="preserve"> </w:t>
      </w:r>
      <w:r w:rsidRPr="00AD79C7">
        <w:rPr>
          <w:rFonts w:ascii="Abadi" w:hAnsi="Abadi"/>
          <w:b/>
          <w:bCs/>
          <w:sz w:val="21"/>
          <w:szCs w:val="21"/>
        </w:rPr>
        <w:t>Estado</w:t>
      </w:r>
      <w:r w:rsidRPr="00AD79C7">
        <w:rPr>
          <w:rFonts w:ascii="Abadi" w:hAnsi="Abadi"/>
          <w:b/>
          <w:bCs/>
          <w:spacing w:val="58"/>
          <w:w w:val="150"/>
          <w:sz w:val="21"/>
          <w:szCs w:val="21"/>
        </w:rPr>
        <w:t xml:space="preserve"> </w:t>
      </w:r>
      <w:r w:rsidRPr="00AD79C7">
        <w:rPr>
          <w:rFonts w:ascii="Abadi" w:hAnsi="Abadi"/>
          <w:b/>
          <w:bCs/>
          <w:sz w:val="21"/>
          <w:szCs w:val="21"/>
        </w:rPr>
        <w:t>de</w:t>
      </w:r>
      <w:r w:rsidRPr="00AD79C7">
        <w:rPr>
          <w:rFonts w:ascii="Abadi" w:hAnsi="Abadi"/>
          <w:b/>
          <w:bCs/>
          <w:spacing w:val="58"/>
          <w:w w:val="150"/>
          <w:sz w:val="21"/>
          <w:szCs w:val="21"/>
        </w:rPr>
        <w:t xml:space="preserve"> </w:t>
      </w:r>
      <w:r w:rsidRPr="00AD79C7">
        <w:rPr>
          <w:rFonts w:ascii="Abadi" w:hAnsi="Abadi"/>
          <w:b/>
          <w:bCs/>
          <w:sz w:val="21"/>
          <w:szCs w:val="21"/>
        </w:rPr>
        <w:t>Guanajuato,</w:t>
      </w:r>
      <w:r w:rsidRPr="00AD79C7">
        <w:rPr>
          <w:rFonts w:ascii="Abadi" w:hAnsi="Abadi"/>
          <w:b/>
          <w:bCs/>
          <w:spacing w:val="58"/>
          <w:w w:val="150"/>
          <w:sz w:val="21"/>
          <w:szCs w:val="21"/>
        </w:rPr>
        <w:t xml:space="preserve"> </w:t>
      </w:r>
      <w:r w:rsidRPr="00AD79C7">
        <w:rPr>
          <w:rFonts w:ascii="Abadi" w:hAnsi="Abadi"/>
          <w:b/>
          <w:bCs/>
          <w:sz w:val="21"/>
          <w:szCs w:val="21"/>
        </w:rPr>
        <w:t>a</w:t>
      </w:r>
      <w:r w:rsidRPr="00AD79C7">
        <w:rPr>
          <w:rFonts w:ascii="Abadi" w:hAnsi="Abadi"/>
          <w:b/>
          <w:bCs/>
          <w:spacing w:val="58"/>
          <w:w w:val="150"/>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infraestructura</w:t>
      </w:r>
      <w:r w:rsidRPr="00AD79C7">
        <w:rPr>
          <w:rFonts w:ascii="Abadi" w:hAnsi="Abadi"/>
          <w:b/>
          <w:bCs/>
          <w:spacing w:val="-10"/>
          <w:sz w:val="21"/>
          <w:szCs w:val="21"/>
        </w:rPr>
        <w:t xml:space="preserve"> </w:t>
      </w:r>
      <w:r w:rsidRPr="00AD79C7">
        <w:rPr>
          <w:rFonts w:ascii="Abadi" w:hAnsi="Abadi"/>
          <w:b/>
          <w:bCs/>
          <w:sz w:val="21"/>
          <w:szCs w:val="21"/>
        </w:rPr>
        <w:t>pública</w:t>
      </w:r>
      <w:r w:rsidRPr="00AD79C7">
        <w:rPr>
          <w:rFonts w:ascii="Abadi" w:hAnsi="Abadi"/>
          <w:b/>
          <w:bCs/>
          <w:spacing w:val="-10"/>
          <w:sz w:val="21"/>
          <w:szCs w:val="21"/>
        </w:rPr>
        <w:t xml:space="preserve"> </w:t>
      </w:r>
      <w:r w:rsidRPr="00AD79C7">
        <w:rPr>
          <w:rFonts w:ascii="Abadi" w:hAnsi="Abadi"/>
          <w:b/>
          <w:bCs/>
          <w:sz w:val="21"/>
          <w:szCs w:val="21"/>
        </w:rPr>
        <w:t>municipal</w:t>
      </w:r>
      <w:r w:rsidRPr="00AD79C7">
        <w:rPr>
          <w:rFonts w:ascii="Abadi" w:hAnsi="Abadi"/>
          <w:b/>
          <w:bCs/>
          <w:spacing w:val="-10"/>
          <w:sz w:val="21"/>
          <w:szCs w:val="21"/>
        </w:rPr>
        <w:t xml:space="preserve"> </w:t>
      </w:r>
      <w:r w:rsidRPr="00AD79C7">
        <w:rPr>
          <w:rFonts w:ascii="Abadi" w:hAnsi="Abadi"/>
          <w:b/>
          <w:bCs/>
          <w:sz w:val="21"/>
          <w:szCs w:val="21"/>
        </w:rPr>
        <w:t>respecto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las</w:t>
      </w:r>
      <w:r w:rsidRPr="00AD79C7">
        <w:rPr>
          <w:rFonts w:ascii="Abadi" w:hAnsi="Abadi"/>
          <w:b/>
          <w:bCs/>
          <w:spacing w:val="-10"/>
          <w:sz w:val="21"/>
          <w:szCs w:val="21"/>
        </w:rPr>
        <w:t xml:space="preserve"> </w:t>
      </w:r>
      <w:r w:rsidRPr="00AD79C7">
        <w:rPr>
          <w:rFonts w:ascii="Abadi" w:hAnsi="Abadi"/>
          <w:b/>
          <w:bCs/>
          <w:sz w:val="21"/>
          <w:szCs w:val="21"/>
        </w:rPr>
        <w:t>operaciones</w:t>
      </w:r>
      <w:r w:rsidRPr="00AD79C7">
        <w:rPr>
          <w:rFonts w:ascii="Abadi" w:hAnsi="Abadi"/>
          <w:b/>
          <w:bCs/>
          <w:spacing w:val="-10"/>
          <w:sz w:val="21"/>
          <w:szCs w:val="21"/>
        </w:rPr>
        <w:t xml:space="preserve"> </w:t>
      </w:r>
      <w:r w:rsidRPr="00AD79C7">
        <w:rPr>
          <w:rFonts w:ascii="Abadi" w:hAnsi="Abadi"/>
          <w:b/>
          <w:bCs/>
          <w:sz w:val="21"/>
          <w:szCs w:val="21"/>
        </w:rPr>
        <w:t>realizadas</w:t>
      </w:r>
      <w:r w:rsidRPr="00AD79C7">
        <w:rPr>
          <w:rFonts w:ascii="Abadi" w:hAnsi="Abadi"/>
          <w:b/>
          <w:bCs/>
          <w:spacing w:val="-10"/>
          <w:sz w:val="21"/>
          <w:szCs w:val="21"/>
        </w:rPr>
        <w:t xml:space="preserve"> </w:t>
      </w:r>
      <w:r w:rsidRPr="00AD79C7">
        <w:rPr>
          <w:rFonts w:ascii="Abadi" w:hAnsi="Abadi"/>
          <w:b/>
          <w:bCs/>
          <w:sz w:val="21"/>
          <w:szCs w:val="21"/>
        </w:rPr>
        <w:t>por</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15"/>
          <w:sz w:val="21"/>
          <w:szCs w:val="21"/>
        </w:rPr>
        <w:t xml:space="preserve"> </w:t>
      </w:r>
      <w:r w:rsidRPr="00AD79C7">
        <w:rPr>
          <w:rFonts w:ascii="Abadi" w:hAnsi="Abadi"/>
          <w:b/>
          <w:bCs/>
          <w:sz w:val="21"/>
          <w:szCs w:val="21"/>
        </w:rPr>
        <w:t>administración</w:t>
      </w:r>
      <w:r w:rsidRPr="00AD79C7">
        <w:rPr>
          <w:rFonts w:ascii="Abadi" w:hAnsi="Abadi"/>
          <w:b/>
          <w:bCs/>
          <w:spacing w:val="16"/>
          <w:sz w:val="21"/>
          <w:szCs w:val="21"/>
        </w:rPr>
        <w:t xml:space="preserve"> </w:t>
      </w:r>
      <w:r w:rsidRPr="00AD79C7">
        <w:rPr>
          <w:rFonts w:ascii="Abadi" w:hAnsi="Abadi"/>
          <w:b/>
          <w:bCs/>
          <w:sz w:val="21"/>
          <w:szCs w:val="21"/>
        </w:rPr>
        <w:t>municipal</w:t>
      </w:r>
      <w:r w:rsidRPr="00AD79C7">
        <w:rPr>
          <w:rFonts w:ascii="Abadi" w:hAnsi="Abadi"/>
          <w:b/>
          <w:bCs/>
          <w:spacing w:val="15"/>
          <w:sz w:val="21"/>
          <w:szCs w:val="21"/>
        </w:rPr>
        <w:t xml:space="preserve"> </w:t>
      </w:r>
      <w:r w:rsidRPr="00AD79C7">
        <w:rPr>
          <w:rFonts w:ascii="Abadi" w:hAnsi="Abadi"/>
          <w:b/>
          <w:bCs/>
          <w:sz w:val="21"/>
          <w:szCs w:val="21"/>
        </w:rPr>
        <w:t>de</w:t>
      </w:r>
      <w:r w:rsidRPr="00AD79C7">
        <w:rPr>
          <w:rFonts w:ascii="Abadi" w:hAnsi="Abadi"/>
          <w:b/>
          <w:bCs/>
          <w:spacing w:val="15"/>
          <w:sz w:val="21"/>
          <w:szCs w:val="21"/>
        </w:rPr>
        <w:t xml:space="preserve"> </w:t>
      </w:r>
      <w:r w:rsidRPr="00AD79C7">
        <w:rPr>
          <w:rFonts w:ascii="Abadi" w:hAnsi="Abadi"/>
          <w:b/>
          <w:bCs/>
          <w:sz w:val="21"/>
          <w:szCs w:val="21"/>
        </w:rPr>
        <w:t>Villagrán,</w:t>
      </w:r>
      <w:r w:rsidRPr="00AD79C7">
        <w:rPr>
          <w:rFonts w:ascii="Abadi" w:hAnsi="Abadi"/>
          <w:b/>
          <w:bCs/>
          <w:spacing w:val="15"/>
          <w:sz w:val="21"/>
          <w:szCs w:val="21"/>
        </w:rPr>
        <w:t xml:space="preserve"> </w:t>
      </w:r>
      <w:r w:rsidRPr="00AD79C7">
        <w:rPr>
          <w:rFonts w:ascii="Abadi" w:hAnsi="Abadi"/>
          <w:b/>
          <w:bCs/>
          <w:sz w:val="21"/>
          <w:szCs w:val="21"/>
        </w:rPr>
        <w:t>Gto.,</w:t>
      </w:r>
      <w:r w:rsidRPr="00AD79C7">
        <w:rPr>
          <w:rFonts w:ascii="Abadi" w:hAnsi="Abadi"/>
          <w:b/>
          <w:bCs/>
          <w:spacing w:val="15"/>
          <w:sz w:val="21"/>
          <w:szCs w:val="21"/>
        </w:rPr>
        <w:t xml:space="preserve"> </w:t>
      </w:r>
      <w:r w:rsidRPr="00AD79C7">
        <w:rPr>
          <w:rFonts w:ascii="Abadi" w:hAnsi="Abadi"/>
          <w:b/>
          <w:bCs/>
          <w:sz w:val="21"/>
          <w:szCs w:val="21"/>
        </w:rPr>
        <w:t>correspondientes</w:t>
      </w:r>
      <w:r w:rsidRPr="00AD79C7">
        <w:rPr>
          <w:rFonts w:ascii="Abadi" w:hAnsi="Abadi"/>
          <w:b/>
          <w:bCs/>
          <w:spacing w:val="16"/>
          <w:sz w:val="21"/>
          <w:szCs w:val="21"/>
        </w:rPr>
        <w:t xml:space="preserve"> </w:t>
      </w:r>
      <w:r w:rsidRPr="00AD79C7">
        <w:rPr>
          <w:rFonts w:ascii="Abadi" w:hAnsi="Abadi"/>
          <w:b/>
          <w:bCs/>
          <w:sz w:val="21"/>
          <w:szCs w:val="21"/>
        </w:rPr>
        <w:t>al</w:t>
      </w:r>
      <w:r w:rsidRPr="00AD79C7">
        <w:rPr>
          <w:rFonts w:ascii="Abadi" w:hAnsi="Abadi"/>
          <w:b/>
          <w:bCs/>
          <w:spacing w:val="15"/>
          <w:sz w:val="21"/>
          <w:szCs w:val="21"/>
        </w:rPr>
        <w:t xml:space="preserve"> </w:t>
      </w:r>
      <w:r w:rsidRPr="00AD79C7">
        <w:rPr>
          <w:rFonts w:ascii="Abadi" w:hAnsi="Abadi"/>
          <w:b/>
          <w:bCs/>
          <w:sz w:val="21"/>
          <w:szCs w:val="21"/>
        </w:rPr>
        <w:t>periodo</w:t>
      </w:r>
      <w:r w:rsidRPr="00AD79C7">
        <w:rPr>
          <w:rFonts w:ascii="Abadi" w:hAnsi="Abadi"/>
          <w:b/>
          <w:bCs/>
          <w:spacing w:val="-1"/>
          <w:sz w:val="21"/>
          <w:szCs w:val="21"/>
        </w:rPr>
        <w:t xml:space="preserve"> </w:t>
      </w:r>
      <w:r w:rsidRPr="00AD79C7">
        <w:rPr>
          <w:rFonts w:ascii="Abadi" w:hAnsi="Abadi"/>
          <w:b/>
          <w:bCs/>
          <w:sz w:val="21"/>
          <w:szCs w:val="21"/>
        </w:rPr>
        <w:t>comprendido</w:t>
      </w:r>
      <w:r w:rsidRPr="00AD79C7">
        <w:rPr>
          <w:rFonts w:ascii="Abadi" w:hAnsi="Abadi"/>
          <w:b/>
          <w:bCs/>
          <w:spacing w:val="16"/>
          <w:sz w:val="21"/>
          <w:szCs w:val="21"/>
        </w:rPr>
        <w:t xml:space="preserve"> </w:t>
      </w:r>
      <w:r w:rsidRPr="00AD79C7">
        <w:rPr>
          <w:rFonts w:ascii="Abadi" w:hAnsi="Abadi"/>
          <w:b/>
          <w:bCs/>
          <w:sz w:val="21"/>
          <w:szCs w:val="21"/>
        </w:rPr>
        <w:t>del</w:t>
      </w:r>
      <w:r w:rsidRPr="00AD79C7">
        <w:rPr>
          <w:rFonts w:ascii="Abadi" w:hAnsi="Abadi"/>
          <w:b/>
          <w:bCs/>
          <w:spacing w:val="16"/>
          <w:sz w:val="21"/>
          <w:szCs w:val="21"/>
        </w:rPr>
        <w:t xml:space="preserve"> </w:t>
      </w:r>
      <w:r w:rsidRPr="00AD79C7">
        <w:rPr>
          <w:rFonts w:ascii="Abadi" w:hAnsi="Abadi"/>
          <w:b/>
          <w:bCs/>
          <w:sz w:val="21"/>
          <w:szCs w:val="21"/>
        </w:rPr>
        <w:t>1</w:t>
      </w:r>
      <w:r w:rsidRPr="00AD79C7">
        <w:rPr>
          <w:rFonts w:ascii="Abadi" w:hAnsi="Abadi"/>
          <w:b/>
          <w:bCs/>
          <w:spacing w:val="16"/>
          <w:sz w:val="21"/>
          <w:szCs w:val="21"/>
        </w:rPr>
        <w:t xml:space="preserve"> </w:t>
      </w:r>
      <w:r w:rsidRPr="00AD79C7">
        <w:rPr>
          <w:rFonts w:ascii="Abadi" w:hAnsi="Abadi"/>
          <w:b/>
          <w:bCs/>
          <w:sz w:val="21"/>
          <w:szCs w:val="21"/>
        </w:rPr>
        <w:t>de</w:t>
      </w:r>
      <w:r w:rsidRPr="00AD79C7">
        <w:rPr>
          <w:rFonts w:ascii="Abadi" w:hAnsi="Abadi"/>
          <w:b/>
          <w:bCs/>
          <w:spacing w:val="16"/>
          <w:sz w:val="21"/>
          <w:szCs w:val="21"/>
        </w:rPr>
        <w:t xml:space="preserve"> </w:t>
      </w:r>
      <w:r w:rsidRPr="00AD79C7">
        <w:rPr>
          <w:rFonts w:ascii="Abadi" w:hAnsi="Abadi"/>
          <w:b/>
          <w:bCs/>
          <w:sz w:val="21"/>
          <w:szCs w:val="21"/>
        </w:rPr>
        <w:t>enero</w:t>
      </w:r>
      <w:r w:rsidRPr="00AD79C7">
        <w:rPr>
          <w:rFonts w:ascii="Abadi" w:hAnsi="Abadi"/>
          <w:b/>
          <w:bCs/>
          <w:spacing w:val="16"/>
          <w:sz w:val="21"/>
          <w:szCs w:val="21"/>
        </w:rPr>
        <w:t xml:space="preserve"> </w:t>
      </w:r>
      <w:r w:rsidRPr="00AD79C7">
        <w:rPr>
          <w:rFonts w:ascii="Abadi" w:hAnsi="Abadi"/>
          <w:b/>
          <w:bCs/>
          <w:sz w:val="21"/>
          <w:szCs w:val="21"/>
        </w:rPr>
        <w:t>al</w:t>
      </w:r>
      <w:r w:rsidRPr="00AD79C7">
        <w:rPr>
          <w:rFonts w:ascii="Abadi" w:hAnsi="Abadi"/>
          <w:b/>
          <w:bCs/>
          <w:spacing w:val="16"/>
          <w:sz w:val="21"/>
          <w:szCs w:val="21"/>
        </w:rPr>
        <w:t xml:space="preserve"> </w:t>
      </w:r>
      <w:r w:rsidRPr="00AD79C7">
        <w:rPr>
          <w:rFonts w:ascii="Abadi" w:hAnsi="Abadi"/>
          <w:b/>
          <w:bCs/>
          <w:sz w:val="21"/>
          <w:szCs w:val="21"/>
        </w:rPr>
        <w:t>31</w:t>
      </w:r>
      <w:r w:rsidRPr="00AD79C7">
        <w:rPr>
          <w:rFonts w:ascii="Abadi" w:hAnsi="Abadi"/>
          <w:b/>
          <w:bCs/>
          <w:spacing w:val="16"/>
          <w:sz w:val="21"/>
          <w:szCs w:val="21"/>
        </w:rPr>
        <w:t xml:space="preserve"> </w:t>
      </w:r>
      <w:r w:rsidRPr="00AD79C7">
        <w:rPr>
          <w:rFonts w:ascii="Abadi" w:hAnsi="Abadi"/>
          <w:b/>
          <w:bCs/>
          <w:sz w:val="21"/>
          <w:szCs w:val="21"/>
        </w:rPr>
        <w:t>de</w:t>
      </w:r>
      <w:r w:rsidRPr="00AD79C7">
        <w:rPr>
          <w:rFonts w:ascii="Abadi" w:hAnsi="Abadi"/>
          <w:b/>
          <w:bCs/>
          <w:spacing w:val="16"/>
          <w:sz w:val="21"/>
          <w:szCs w:val="21"/>
        </w:rPr>
        <w:t xml:space="preserve"> </w:t>
      </w:r>
      <w:r w:rsidRPr="00AD79C7">
        <w:rPr>
          <w:rFonts w:ascii="Abadi" w:hAnsi="Abadi"/>
          <w:b/>
          <w:bCs/>
          <w:sz w:val="21"/>
          <w:szCs w:val="21"/>
        </w:rPr>
        <w:t>diciembre</w:t>
      </w:r>
      <w:r w:rsidRPr="00AD79C7">
        <w:rPr>
          <w:rFonts w:ascii="Abadi" w:hAnsi="Abadi"/>
          <w:b/>
          <w:bCs/>
          <w:spacing w:val="16"/>
          <w:sz w:val="21"/>
          <w:szCs w:val="21"/>
        </w:rPr>
        <w:t xml:space="preserve"> </w:t>
      </w:r>
      <w:r w:rsidRPr="00AD79C7">
        <w:rPr>
          <w:rFonts w:ascii="Abadi" w:hAnsi="Abadi"/>
          <w:b/>
          <w:bCs/>
          <w:sz w:val="21"/>
          <w:szCs w:val="21"/>
        </w:rPr>
        <w:t>del</w:t>
      </w:r>
      <w:r w:rsidRPr="00AD79C7">
        <w:rPr>
          <w:rFonts w:ascii="Abadi" w:hAnsi="Abadi"/>
          <w:b/>
          <w:bCs/>
          <w:spacing w:val="16"/>
          <w:sz w:val="21"/>
          <w:szCs w:val="21"/>
        </w:rPr>
        <w:t xml:space="preserve"> </w:t>
      </w:r>
      <w:r w:rsidRPr="00AD79C7">
        <w:rPr>
          <w:rFonts w:ascii="Abadi" w:hAnsi="Abadi"/>
          <w:b/>
          <w:bCs/>
          <w:sz w:val="21"/>
          <w:szCs w:val="21"/>
        </w:rPr>
        <w:t>ejercicio</w:t>
      </w:r>
      <w:r w:rsidRPr="00AD79C7">
        <w:rPr>
          <w:rFonts w:ascii="Abadi" w:hAnsi="Abadi"/>
          <w:b/>
          <w:bCs/>
          <w:spacing w:val="16"/>
          <w:sz w:val="21"/>
          <w:szCs w:val="21"/>
        </w:rPr>
        <w:t xml:space="preserve"> </w:t>
      </w:r>
      <w:r w:rsidRPr="00AD79C7">
        <w:rPr>
          <w:rFonts w:ascii="Abadi" w:hAnsi="Abadi"/>
          <w:b/>
          <w:bCs/>
          <w:sz w:val="21"/>
          <w:szCs w:val="21"/>
        </w:rPr>
        <w:t>fiscal</w:t>
      </w:r>
      <w:r w:rsidRPr="00AD79C7">
        <w:rPr>
          <w:rFonts w:ascii="Abadi" w:hAnsi="Abadi"/>
          <w:b/>
          <w:bCs/>
          <w:spacing w:val="15"/>
          <w:sz w:val="21"/>
          <w:szCs w:val="21"/>
        </w:rPr>
        <w:t xml:space="preserve"> </w:t>
      </w:r>
      <w:r w:rsidRPr="00AD79C7">
        <w:rPr>
          <w:rFonts w:ascii="Abadi" w:hAnsi="Abadi"/>
          <w:b/>
          <w:bCs/>
          <w:sz w:val="21"/>
          <w:szCs w:val="21"/>
        </w:rPr>
        <w:t>del</w:t>
      </w:r>
      <w:r w:rsidRPr="00AD79C7">
        <w:rPr>
          <w:rFonts w:ascii="Abadi" w:hAnsi="Abadi"/>
          <w:b/>
          <w:bCs/>
          <w:spacing w:val="16"/>
          <w:sz w:val="21"/>
          <w:szCs w:val="21"/>
        </w:rPr>
        <w:t xml:space="preserve"> </w:t>
      </w:r>
      <w:r w:rsidRPr="00AD79C7">
        <w:rPr>
          <w:rFonts w:ascii="Abadi" w:hAnsi="Abadi"/>
          <w:b/>
          <w:bCs/>
          <w:sz w:val="21"/>
          <w:szCs w:val="21"/>
        </w:rPr>
        <w:t>año</w:t>
      </w:r>
      <w:r w:rsidRPr="00AD79C7">
        <w:rPr>
          <w:rFonts w:ascii="Abadi" w:hAnsi="Abadi"/>
          <w:b/>
          <w:bCs/>
          <w:spacing w:val="-1"/>
          <w:sz w:val="21"/>
          <w:szCs w:val="21"/>
        </w:rPr>
        <w:t xml:space="preserve"> </w:t>
      </w:r>
      <w:r w:rsidRPr="00AD79C7">
        <w:rPr>
          <w:rFonts w:ascii="Abadi" w:hAnsi="Abadi"/>
          <w:b/>
          <w:bCs/>
          <w:sz w:val="21"/>
          <w:szCs w:val="21"/>
        </w:rPr>
        <w:t>2020.</w:t>
      </w:r>
    </w:p>
    <w:p w14:paraId="05F54217" w14:textId="77777777" w:rsidR="001B76D0" w:rsidRPr="001B76D0" w:rsidRDefault="001B76D0" w:rsidP="006B00FD">
      <w:pPr>
        <w:pStyle w:val="Prrafodelista"/>
        <w:ind w:right="566"/>
        <w:rPr>
          <w:rFonts w:ascii="Abadi" w:hAnsi="Abadi"/>
          <w:b/>
          <w:bCs/>
          <w:sz w:val="21"/>
          <w:szCs w:val="21"/>
        </w:rPr>
      </w:pPr>
    </w:p>
    <w:p w14:paraId="013BE702" w14:textId="77777777" w:rsidR="00141DAE" w:rsidRPr="00AD79C7" w:rsidRDefault="00141DAE"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cs="Verdana"/>
          <w:b/>
          <w:bCs/>
          <w:sz w:val="21"/>
          <w:szCs w:val="21"/>
        </w:rPr>
      </w:pPr>
      <w:r w:rsidRPr="00AD79C7">
        <w:rPr>
          <w:rFonts w:ascii="Abadi" w:hAnsi="Abadi"/>
          <w:b/>
          <w:bCs/>
          <w:sz w:val="21"/>
          <w:szCs w:val="21"/>
        </w:rPr>
        <w:t>Discusión</w:t>
      </w:r>
      <w:r w:rsidRPr="00AD79C7">
        <w:rPr>
          <w:rFonts w:ascii="Abadi" w:hAnsi="Abadi"/>
          <w:b/>
          <w:bCs/>
          <w:spacing w:val="11"/>
          <w:sz w:val="21"/>
          <w:szCs w:val="21"/>
        </w:rPr>
        <w:t xml:space="preserve"> </w:t>
      </w:r>
      <w:r w:rsidRPr="00AD79C7">
        <w:rPr>
          <w:rFonts w:ascii="Abadi" w:hAnsi="Abadi"/>
          <w:b/>
          <w:bCs/>
          <w:sz w:val="21"/>
          <w:szCs w:val="21"/>
        </w:rPr>
        <w:t>y,</w:t>
      </w:r>
      <w:r w:rsidRPr="00AD79C7">
        <w:rPr>
          <w:rFonts w:ascii="Abadi" w:hAnsi="Abadi"/>
          <w:b/>
          <w:bCs/>
          <w:spacing w:val="11"/>
          <w:sz w:val="21"/>
          <w:szCs w:val="21"/>
        </w:rPr>
        <w:t xml:space="preserve"> </w:t>
      </w:r>
      <w:r w:rsidRPr="00AD79C7">
        <w:rPr>
          <w:rFonts w:ascii="Abadi" w:hAnsi="Abadi"/>
          <w:b/>
          <w:bCs/>
          <w:sz w:val="21"/>
          <w:szCs w:val="21"/>
        </w:rPr>
        <w:t>en</w:t>
      </w:r>
      <w:r w:rsidRPr="00AD79C7">
        <w:rPr>
          <w:rFonts w:ascii="Abadi" w:hAnsi="Abadi"/>
          <w:b/>
          <w:bCs/>
          <w:spacing w:val="11"/>
          <w:sz w:val="21"/>
          <w:szCs w:val="21"/>
        </w:rPr>
        <w:t xml:space="preserve"> </w:t>
      </w:r>
      <w:r w:rsidRPr="00AD79C7">
        <w:rPr>
          <w:rFonts w:ascii="Abadi" w:hAnsi="Abadi"/>
          <w:b/>
          <w:bCs/>
          <w:sz w:val="21"/>
          <w:szCs w:val="21"/>
        </w:rPr>
        <w:t>su</w:t>
      </w:r>
      <w:r w:rsidRPr="00AD79C7">
        <w:rPr>
          <w:rFonts w:ascii="Abadi" w:hAnsi="Abadi"/>
          <w:b/>
          <w:bCs/>
          <w:spacing w:val="11"/>
          <w:sz w:val="21"/>
          <w:szCs w:val="21"/>
        </w:rPr>
        <w:t xml:space="preserve"> </w:t>
      </w:r>
      <w:r w:rsidRPr="00AD79C7">
        <w:rPr>
          <w:rFonts w:ascii="Abadi" w:hAnsi="Abadi"/>
          <w:b/>
          <w:bCs/>
          <w:sz w:val="21"/>
          <w:szCs w:val="21"/>
        </w:rPr>
        <w:t>caso,</w:t>
      </w:r>
      <w:r w:rsidRPr="00AD79C7">
        <w:rPr>
          <w:rFonts w:ascii="Abadi" w:hAnsi="Abadi"/>
          <w:b/>
          <w:bCs/>
          <w:spacing w:val="11"/>
          <w:sz w:val="21"/>
          <w:szCs w:val="21"/>
        </w:rPr>
        <w:t xml:space="preserve"> </w:t>
      </w:r>
      <w:r w:rsidRPr="00AD79C7">
        <w:rPr>
          <w:rFonts w:ascii="Abadi" w:hAnsi="Abadi"/>
          <w:b/>
          <w:bCs/>
          <w:sz w:val="21"/>
          <w:szCs w:val="21"/>
        </w:rPr>
        <w:t>aprobación</w:t>
      </w:r>
      <w:r w:rsidRPr="00AD79C7">
        <w:rPr>
          <w:rFonts w:ascii="Abadi" w:hAnsi="Abadi"/>
          <w:b/>
          <w:bCs/>
          <w:spacing w:val="11"/>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dictamen</w:t>
      </w:r>
      <w:r w:rsidRPr="00AD79C7">
        <w:rPr>
          <w:rFonts w:ascii="Abadi" w:hAnsi="Abadi"/>
          <w:b/>
          <w:bCs/>
          <w:spacing w:val="11"/>
          <w:sz w:val="21"/>
          <w:szCs w:val="21"/>
        </w:rPr>
        <w:t xml:space="preserve"> </w:t>
      </w:r>
      <w:r w:rsidRPr="00AD79C7">
        <w:rPr>
          <w:rFonts w:ascii="Abadi" w:hAnsi="Abadi"/>
          <w:b/>
          <w:bCs/>
          <w:sz w:val="21"/>
          <w:szCs w:val="21"/>
        </w:rPr>
        <w:t>suscrito</w:t>
      </w:r>
      <w:r w:rsidRPr="00AD79C7">
        <w:rPr>
          <w:rFonts w:ascii="Abadi" w:hAnsi="Abadi"/>
          <w:b/>
          <w:bCs/>
          <w:spacing w:val="11"/>
          <w:sz w:val="21"/>
          <w:szCs w:val="21"/>
        </w:rPr>
        <w:t xml:space="preserve"> </w:t>
      </w:r>
      <w:r w:rsidRPr="00AD79C7">
        <w:rPr>
          <w:rFonts w:ascii="Abadi" w:hAnsi="Abadi"/>
          <w:b/>
          <w:bCs/>
          <w:sz w:val="21"/>
          <w:szCs w:val="21"/>
        </w:rPr>
        <w:t>por</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Comisión</w:t>
      </w:r>
      <w:r w:rsidRPr="00AD79C7">
        <w:rPr>
          <w:rFonts w:ascii="Abadi" w:hAnsi="Abadi"/>
          <w:b/>
          <w:bCs/>
          <w:spacing w:val="-1"/>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Hacienda</w:t>
      </w:r>
      <w:r w:rsidRPr="00AD79C7">
        <w:rPr>
          <w:rFonts w:ascii="Abadi" w:hAnsi="Abadi"/>
          <w:b/>
          <w:bCs/>
          <w:spacing w:val="-2"/>
          <w:sz w:val="21"/>
          <w:szCs w:val="21"/>
        </w:rPr>
        <w:t xml:space="preserve"> </w:t>
      </w:r>
      <w:r w:rsidRPr="00AD79C7">
        <w:rPr>
          <w:rFonts w:ascii="Abadi" w:hAnsi="Abadi"/>
          <w:b/>
          <w:bCs/>
          <w:sz w:val="21"/>
          <w:szCs w:val="21"/>
        </w:rPr>
        <w:t>y</w:t>
      </w:r>
      <w:r w:rsidRPr="00AD79C7">
        <w:rPr>
          <w:rFonts w:ascii="Abadi" w:hAnsi="Abadi"/>
          <w:b/>
          <w:bCs/>
          <w:spacing w:val="-2"/>
          <w:sz w:val="21"/>
          <w:szCs w:val="21"/>
        </w:rPr>
        <w:t xml:space="preserve"> </w:t>
      </w:r>
      <w:r w:rsidRPr="00AD79C7">
        <w:rPr>
          <w:rFonts w:ascii="Abadi" w:hAnsi="Abadi"/>
          <w:b/>
          <w:bCs/>
          <w:sz w:val="21"/>
          <w:szCs w:val="21"/>
        </w:rPr>
        <w:t>Fiscalización</w:t>
      </w:r>
      <w:r w:rsidRPr="00AD79C7">
        <w:rPr>
          <w:rFonts w:ascii="Abadi" w:hAnsi="Abadi"/>
          <w:b/>
          <w:bCs/>
          <w:spacing w:val="-2"/>
          <w:sz w:val="21"/>
          <w:szCs w:val="21"/>
        </w:rPr>
        <w:t xml:space="preserve"> </w:t>
      </w:r>
      <w:r w:rsidRPr="00AD79C7">
        <w:rPr>
          <w:rFonts w:ascii="Abadi" w:hAnsi="Abadi"/>
          <w:b/>
          <w:bCs/>
          <w:sz w:val="21"/>
          <w:szCs w:val="21"/>
        </w:rPr>
        <w:t>relativo</w:t>
      </w:r>
      <w:r w:rsidRPr="00AD79C7">
        <w:rPr>
          <w:rFonts w:ascii="Abadi" w:hAnsi="Abadi"/>
          <w:b/>
          <w:bCs/>
          <w:spacing w:val="-2"/>
          <w:sz w:val="21"/>
          <w:szCs w:val="21"/>
        </w:rPr>
        <w:t xml:space="preserve"> </w:t>
      </w:r>
      <w:r w:rsidRPr="00AD79C7">
        <w:rPr>
          <w:rFonts w:ascii="Abadi" w:hAnsi="Abadi"/>
          <w:b/>
          <w:bCs/>
          <w:sz w:val="21"/>
          <w:szCs w:val="21"/>
        </w:rPr>
        <w:t>al</w:t>
      </w:r>
      <w:r w:rsidRPr="00AD79C7">
        <w:rPr>
          <w:rFonts w:ascii="Abadi" w:hAnsi="Abadi"/>
          <w:b/>
          <w:bCs/>
          <w:spacing w:val="-2"/>
          <w:sz w:val="21"/>
          <w:szCs w:val="21"/>
        </w:rPr>
        <w:t xml:space="preserve"> </w:t>
      </w:r>
      <w:r w:rsidRPr="00AD79C7">
        <w:rPr>
          <w:rFonts w:ascii="Abadi" w:hAnsi="Abadi"/>
          <w:b/>
          <w:bCs/>
          <w:sz w:val="21"/>
          <w:szCs w:val="21"/>
        </w:rPr>
        <w:t>informe</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resultados</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la</w:t>
      </w:r>
      <w:r w:rsidRPr="00AD79C7">
        <w:rPr>
          <w:rFonts w:ascii="Abadi" w:hAnsi="Abadi"/>
          <w:b/>
          <w:bCs/>
          <w:spacing w:val="-2"/>
          <w:sz w:val="21"/>
          <w:szCs w:val="21"/>
        </w:rPr>
        <w:t xml:space="preserve"> </w:t>
      </w:r>
      <w:r w:rsidRPr="00AD79C7">
        <w:rPr>
          <w:rFonts w:ascii="Abadi" w:hAnsi="Abadi"/>
          <w:b/>
          <w:bCs/>
          <w:sz w:val="21"/>
          <w:szCs w:val="21"/>
        </w:rPr>
        <w:t>auditoría</w:t>
      </w:r>
      <w:r w:rsidRPr="00AD79C7">
        <w:rPr>
          <w:rFonts w:ascii="Abadi" w:hAnsi="Abadi"/>
          <w:b/>
          <w:bCs/>
          <w:spacing w:val="-1"/>
          <w:sz w:val="21"/>
          <w:szCs w:val="21"/>
        </w:rPr>
        <w:t xml:space="preserve"> </w:t>
      </w:r>
      <w:r w:rsidRPr="00AD79C7">
        <w:rPr>
          <w:rFonts w:ascii="Abadi" w:hAnsi="Abadi"/>
          <w:b/>
          <w:bCs/>
          <w:sz w:val="21"/>
          <w:szCs w:val="21"/>
        </w:rPr>
        <w:t>practicada</w:t>
      </w:r>
      <w:r w:rsidRPr="00AD79C7">
        <w:rPr>
          <w:rFonts w:ascii="Abadi" w:hAnsi="Abadi"/>
          <w:b/>
          <w:bCs/>
          <w:spacing w:val="58"/>
          <w:w w:val="150"/>
          <w:sz w:val="21"/>
          <w:szCs w:val="21"/>
        </w:rPr>
        <w:t xml:space="preserve"> </w:t>
      </w:r>
      <w:r w:rsidRPr="00AD79C7">
        <w:rPr>
          <w:rFonts w:ascii="Abadi" w:hAnsi="Abadi"/>
          <w:b/>
          <w:bCs/>
          <w:sz w:val="21"/>
          <w:szCs w:val="21"/>
        </w:rPr>
        <w:t>por</w:t>
      </w:r>
      <w:r w:rsidRPr="00AD79C7">
        <w:rPr>
          <w:rFonts w:ascii="Abadi" w:hAnsi="Abadi"/>
          <w:b/>
          <w:bCs/>
          <w:spacing w:val="58"/>
          <w:w w:val="150"/>
          <w:sz w:val="21"/>
          <w:szCs w:val="21"/>
        </w:rPr>
        <w:t xml:space="preserve"> </w:t>
      </w:r>
      <w:r w:rsidRPr="00AD79C7">
        <w:rPr>
          <w:rFonts w:ascii="Abadi" w:hAnsi="Abadi"/>
          <w:b/>
          <w:bCs/>
          <w:sz w:val="21"/>
          <w:szCs w:val="21"/>
        </w:rPr>
        <w:t>la</w:t>
      </w:r>
      <w:r w:rsidRPr="00AD79C7">
        <w:rPr>
          <w:rFonts w:ascii="Abadi" w:hAnsi="Abadi"/>
          <w:b/>
          <w:bCs/>
          <w:spacing w:val="58"/>
          <w:w w:val="150"/>
          <w:sz w:val="21"/>
          <w:szCs w:val="21"/>
        </w:rPr>
        <w:t xml:space="preserve"> </w:t>
      </w:r>
      <w:r w:rsidRPr="00AD79C7">
        <w:rPr>
          <w:rFonts w:ascii="Abadi" w:hAnsi="Abadi"/>
          <w:b/>
          <w:bCs/>
          <w:sz w:val="21"/>
          <w:szCs w:val="21"/>
        </w:rPr>
        <w:t>Auditoría</w:t>
      </w:r>
      <w:r w:rsidRPr="00AD79C7">
        <w:rPr>
          <w:rFonts w:ascii="Abadi" w:hAnsi="Abadi"/>
          <w:b/>
          <w:bCs/>
          <w:spacing w:val="58"/>
          <w:w w:val="150"/>
          <w:sz w:val="21"/>
          <w:szCs w:val="21"/>
        </w:rPr>
        <w:t xml:space="preserve"> </w:t>
      </w:r>
      <w:r w:rsidRPr="00AD79C7">
        <w:rPr>
          <w:rFonts w:ascii="Abadi" w:hAnsi="Abadi"/>
          <w:b/>
          <w:bCs/>
          <w:sz w:val="21"/>
          <w:szCs w:val="21"/>
        </w:rPr>
        <w:t>Superior</w:t>
      </w:r>
      <w:r w:rsidRPr="00AD79C7">
        <w:rPr>
          <w:rFonts w:ascii="Abadi" w:hAnsi="Abadi"/>
          <w:b/>
          <w:bCs/>
          <w:spacing w:val="58"/>
          <w:w w:val="150"/>
          <w:sz w:val="21"/>
          <w:szCs w:val="21"/>
        </w:rPr>
        <w:t xml:space="preserve"> </w:t>
      </w:r>
      <w:r w:rsidRPr="00AD79C7">
        <w:rPr>
          <w:rFonts w:ascii="Abadi" w:hAnsi="Abadi"/>
          <w:b/>
          <w:bCs/>
          <w:sz w:val="21"/>
          <w:szCs w:val="21"/>
        </w:rPr>
        <w:t>del</w:t>
      </w:r>
      <w:r w:rsidRPr="00AD79C7">
        <w:rPr>
          <w:rFonts w:ascii="Abadi" w:hAnsi="Abadi"/>
          <w:b/>
          <w:bCs/>
          <w:spacing w:val="58"/>
          <w:w w:val="150"/>
          <w:sz w:val="21"/>
          <w:szCs w:val="21"/>
        </w:rPr>
        <w:t xml:space="preserve"> </w:t>
      </w:r>
      <w:r w:rsidRPr="00AD79C7">
        <w:rPr>
          <w:rFonts w:ascii="Abadi" w:hAnsi="Abadi"/>
          <w:b/>
          <w:bCs/>
          <w:sz w:val="21"/>
          <w:szCs w:val="21"/>
        </w:rPr>
        <w:t>Estado</w:t>
      </w:r>
      <w:r w:rsidRPr="00AD79C7">
        <w:rPr>
          <w:rFonts w:ascii="Abadi" w:hAnsi="Abadi"/>
          <w:b/>
          <w:bCs/>
          <w:spacing w:val="58"/>
          <w:w w:val="150"/>
          <w:sz w:val="21"/>
          <w:szCs w:val="21"/>
        </w:rPr>
        <w:t xml:space="preserve"> </w:t>
      </w:r>
      <w:r w:rsidRPr="00AD79C7">
        <w:rPr>
          <w:rFonts w:ascii="Abadi" w:hAnsi="Abadi"/>
          <w:b/>
          <w:bCs/>
          <w:sz w:val="21"/>
          <w:szCs w:val="21"/>
        </w:rPr>
        <w:t>de</w:t>
      </w:r>
      <w:r w:rsidRPr="00AD79C7">
        <w:rPr>
          <w:rFonts w:ascii="Abadi" w:hAnsi="Abadi"/>
          <w:b/>
          <w:bCs/>
          <w:spacing w:val="58"/>
          <w:w w:val="150"/>
          <w:sz w:val="21"/>
          <w:szCs w:val="21"/>
        </w:rPr>
        <w:t xml:space="preserve"> </w:t>
      </w:r>
      <w:r w:rsidRPr="00AD79C7">
        <w:rPr>
          <w:rFonts w:ascii="Abadi" w:hAnsi="Abadi"/>
          <w:b/>
          <w:bCs/>
          <w:sz w:val="21"/>
          <w:szCs w:val="21"/>
        </w:rPr>
        <w:t>Guanajuato,</w:t>
      </w:r>
      <w:r w:rsidRPr="00AD79C7">
        <w:rPr>
          <w:rFonts w:ascii="Abadi" w:hAnsi="Abadi"/>
          <w:b/>
          <w:bCs/>
          <w:spacing w:val="58"/>
          <w:w w:val="150"/>
          <w:sz w:val="21"/>
          <w:szCs w:val="21"/>
        </w:rPr>
        <w:t xml:space="preserve"> </w:t>
      </w:r>
      <w:r w:rsidRPr="00AD79C7">
        <w:rPr>
          <w:rFonts w:ascii="Abadi" w:hAnsi="Abadi"/>
          <w:b/>
          <w:bCs/>
          <w:sz w:val="21"/>
          <w:szCs w:val="21"/>
        </w:rPr>
        <w:t>a</w:t>
      </w:r>
      <w:r w:rsidRPr="00AD79C7">
        <w:rPr>
          <w:rFonts w:ascii="Abadi" w:hAnsi="Abadi"/>
          <w:b/>
          <w:bCs/>
          <w:spacing w:val="58"/>
          <w:w w:val="150"/>
          <w:sz w:val="21"/>
          <w:szCs w:val="21"/>
        </w:rPr>
        <w:t xml:space="preserve"> </w:t>
      </w:r>
      <w:r w:rsidRPr="00AD79C7">
        <w:rPr>
          <w:rFonts w:ascii="Abadi" w:hAnsi="Abadi"/>
          <w:b/>
          <w:bCs/>
          <w:sz w:val="21"/>
          <w:szCs w:val="21"/>
        </w:rPr>
        <w:t>la</w:t>
      </w:r>
      <w:r w:rsidRPr="00AD79C7">
        <w:rPr>
          <w:rFonts w:ascii="Abadi" w:hAnsi="Abadi"/>
          <w:b/>
          <w:bCs/>
          <w:spacing w:val="-1"/>
          <w:sz w:val="21"/>
          <w:szCs w:val="21"/>
        </w:rPr>
        <w:t xml:space="preserve"> </w:t>
      </w:r>
      <w:r w:rsidRPr="00AD79C7">
        <w:rPr>
          <w:rFonts w:ascii="Abadi" w:hAnsi="Abadi"/>
          <w:b/>
          <w:bCs/>
          <w:sz w:val="21"/>
          <w:szCs w:val="21"/>
        </w:rPr>
        <w:t>infraestructura</w:t>
      </w:r>
      <w:r w:rsidRPr="00AD79C7">
        <w:rPr>
          <w:rFonts w:ascii="Abadi" w:hAnsi="Abadi"/>
          <w:b/>
          <w:bCs/>
          <w:spacing w:val="-10"/>
          <w:sz w:val="21"/>
          <w:szCs w:val="21"/>
        </w:rPr>
        <w:t xml:space="preserve"> </w:t>
      </w:r>
      <w:r w:rsidRPr="00AD79C7">
        <w:rPr>
          <w:rFonts w:ascii="Abadi" w:hAnsi="Abadi"/>
          <w:b/>
          <w:bCs/>
          <w:sz w:val="21"/>
          <w:szCs w:val="21"/>
        </w:rPr>
        <w:t>pública</w:t>
      </w:r>
      <w:r w:rsidRPr="00AD79C7">
        <w:rPr>
          <w:rFonts w:ascii="Abadi" w:hAnsi="Abadi"/>
          <w:b/>
          <w:bCs/>
          <w:spacing w:val="-10"/>
          <w:sz w:val="21"/>
          <w:szCs w:val="21"/>
        </w:rPr>
        <w:t xml:space="preserve"> </w:t>
      </w:r>
      <w:r w:rsidRPr="00AD79C7">
        <w:rPr>
          <w:rFonts w:ascii="Abadi" w:hAnsi="Abadi"/>
          <w:b/>
          <w:bCs/>
          <w:sz w:val="21"/>
          <w:szCs w:val="21"/>
        </w:rPr>
        <w:t>municipal</w:t>
      </w:r>
      <w:r w:rsidRPr="00AD79C7">
        <w:rPr>
          <w:rFonts w:ascii="Abadi" w:hAnsi="Abadi"/>
          <w:b/>
          <w:bCs/>
          <w:spacing w:val="-10"/>
          <w:sz w:val="21"/>
          <w:szCs w:val="21"/>
        </w:rPr>
        <w:t xml:space="preserve"> </w:t>
      </w:r>
      <w:r w:rsidRPr="00AD79C7">
        <w:rPr>
          <w:rFonts w:ascii="Abadi" w:hAnsi="Abadi"/>
          <w:b/>
          <w:bCs/>
          <w:sz w:val="21"/>
          <w:szCs w:val="21"/>
        </w:rPr>
        <w:t>respecto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las</w:t>
      </w:r>
      <w:r w:rsidRPr="00AD79C7">
        <w:rPr>
          <w:rFonts w:ascii="Abadi" w:hAnsi="Abadi"/>
          <w:b/>
          <w:bCs/>
          <w:spacing w:val="-10"/>
          <w:sz w:val="21"/>
          <w:szCs w:val="21"/>
        </w:rPr>
        <w:t xml:space="preserve"> </w:t>
      </w:r>
      <w:r w:rsidRPr="00AD79C7">
        <w:rPr>
          <w:rFonts w:ascii="Abadi" w:hAnsi="Abadi"/>
          <w:b/>
          <w:bCs/>
          <w:sz w:val="21"/>
          <w:szCs w:val="21"/>
        </w:rPr>
        <w:t>operaciones</w:t>
      </w:r>
      <w:r w:rsidRPr="00AD79C7">
        <w:rPr>
          <w:rFonts w:ascii="Abadi" w:hAnsi="Abadi"/>
          <w:b/>
          <w:bCs/>
          <w:spacing w:val="-10"/>
          <w:sz w:val="21"/>
          <w:szCs w:val="21"/>
        </w:rPr>
        <w:t xml:space="preserve"> </w:t>
      </w:r>
      <w:r w:rsidRPr="00AD79C7">
        <w:rPr>
          <w:rFonts w:ascii="Abadi" w:hAnsi="Abadi"/>
          <w:b/>
          <w:bCs/>
          <w:sz w:val="21"/>
          <w:szCs w:val="21"/>
        </w:rPr>
        <w:t>realizadas</w:t>
      </w:r>
      <w:r w:rsidRPr="00AD79C7">
        <w:rPr>
          <w:rFonts w:ascii="Abadi" w:hAnsi="Abadi"/>
          <w:b/>
          <w:bCs/>
          <w:spacing w:val="-10"/>
          <w:sz w:val="21"/>
          <w:szCs w:val="21"/>
        </w:rPr>
        <w:t xml:space="preserve"> </w:t>
      </w:r>
      <w:r w:rsidRPr="00AD79C7">
        <w:rPr>
          <w:rFonts w:ascii="Abadi" w:hAnsi="Abadi"/>
          <w:b/>
          <w:bCs/>
          <w:sz w:val="21"/>
          <w:szCs w:val="21"/>
        </w:rPr>
        <w:t>por</w:t>
      </w:r>
      <w:r w:rsidRPr="00AD79C7">
        <w:rPr>
          <w:rFonts w:ascii="Abadi" w:hAnsi="Abadi"/>
          <w:b/>
          <w:bCs/>
          <w:spacing w:val="-1"/>
          <w:sz w:val="21"/>
          <w:szCs w:val="21"/>
        </w:rPr>
        <w:t xml:space="preserve"> </w:t>
      </w:r>
      <w:r w:rsidRPr="00AD79C7">
        <w:rPr>
          <w:rFonts w:ascii="Abadi" w:hAnsi="Abadi"/>
          <w:b/>
          <w:bCs/>
          <w:sz w:val="21"/>
          <w:szCs w:val="21"/>
        </w:rPr>
        <w:t>la</w:t>
      </w:r>
      <w:r w:rsidRPr="00AD79C7">
        <w:rPr>
          <w:rFonts w:ascii="Abadi" w:hAnsi="Abadi"/>
          <w:b/>
          <w:bCs/>
          <w:spacing w:val="23"/>
          <w:sz w:val="21"/>
          <w:szCs w:val="21"/>
        </w:rPr>
        <w:t xml:space="preserve"> </w:t>
      </w:r>
      <w:r w:rsidRPr="00AD79C7">
        <w:rPr>
          <w:rFonts w:ascii="Abadi" w:hAnsi="Abadi"/>
          <w:b/>
          <w:bCs/>
          <w:sz w:val="21"/>
          <w:szCs w:val="21"/>
        </w:rPr>
        <w:t>administración</w:t>
      </w:r>
      <w:r w:rsidRPr="00AD79C7">
        <w:rPr>
          <w:rFonts w:ascii="Abadi" w:hAnsi="Abadi"/>
          <w:b/>
          <w:bCs/>
          <w:spacing w:val="23"/>
          <w:sz w:val="21"/>
          <w:szCs w:val="21"/>
        </w:rPr>
        <w:t xml:space="preserve"> </w:t>
      </w:r>
      <w:r w:rsidRPr="00AD79C7">
        <w:rPr>
          <w:rFonts w:ascii="Abadi" w:hAnsi="Abadi"/>
          <w:b/>
          <w:bCs/>
          <w:sz w:val="21"/>
          <w:szCs w:val="21"/>
        </w:rPr>
        <w:t>municipal</w:t>
      </w:r>
      <w:r w:rsidRPr="00AD79C7">
        <w:rPr>
          <w:rFonts w:ascii="Abadi" w:hAnsi="Abadi"/>
          <w:b/>
          <w:bCs/>
          <w:spacing w:val="22"/>
          <w:sz w:val="21"/>
          <w:szCs w:val="21"/>
        </w:rPr>
        <w:t xml:space="preserve"> </w:t>
      </w:r>
      <w:r w:rsidRPr="00AD79C7">
        <w:rPr>
          <w:rFonts w:ascii="Abadi" w:hAnsi="Abadi"/>
          <w:b/>
          <w:bCs/>
          <w:sz w:val="21"/>
          <w:szCs w:val="21"/>
        </w:rPr>
        <w:t>de</w:t>
      </w:r>
      <w:r w:rsidRPr="00AD79C7">
        <w:rPr>
          <w:rFonts w:ascii="Abadi" w:hAnsi="Abadi"/>
          <w:b/>
          <w:bCs/>
          <w:spacing w:val="23"/>
          <w:sz w:val="21"/>
          <w:szCs w:val="21"/>
        </w:rPr>
        <w:t xml:space="preserve"> </w:t>
      </w:r>
      <w:r w:rsidRPr="00AD79C7">
        <w:rPr>
          <w:rFonts w:ascii="Abadi" w:hAnsi="Abadi"/>
          <w:b/>
          <w:bCs/>
          <w:sz w:val="21"/>
          <w:szCs w:val="21"/>
        </w:rPr>
        <w:t>Irapuato,</w:t>
      </w:r>
      <w:r w:rsidRPr="00AD79C7">
        <w:rPr>
          <w:rFonts w:ascii="Abadi" w:hAnsi="Abadi"/>
          <w:b/>
          <w:bCs/>
          <w:spacing w:val="23"/>
          <w:sz w:val="21"/>
          <w:szCs w:val="21"/>
        </w:rPr>
        <w:t xml:space="preserve"> </w:t>
      </w:r>
      <w:r w:rsidRPr="00AD79C7">
        <w:rPr>
          <w:rFonts w:ascii="Abadi" w:hAnsi="Abadi"/>
          <w:b/>
          <w:bCs/>
          <w:sz w:val="21"/>
          <w:szCs w:val="21"/>
        </w:rPr>
        <w:t>Gto.,</w:t>
      </w:r>
      <w:r w:rsidRPr="00AD79C7">
        <w:rPr>
          <w:rFonts w:ascii="Abadi" w:hAnsi="Abadi"/>
          <w:b/>
          <w:bCs/>
          <w:spacing w:val="23"/>
          <w:sz w:val="21"/>
          <w:szCs w:val="21"/>
        </w:rPr>
        <w:t xml:space="preserve"> </w:t>
      </w:r>
      <w:r w:rsidRPr="00AD79C7">
        <w:rPr>
          <w:rFonts w:ascii="Abadi" w:hAnsi="Abadi"/>
          <w:b/>
          <w:bCs/>
          <w:sz w:val="21"/>
          <w:szCs w:val="21"/>
        </w:rPr>
        <w:t>correspondientes</w:t>
      </w:r>
      <w:r w:rsidRPr="00AD79C7">
        <w:rPr>
          <w:rFonts w:ascii="Abadi" w:hAnsi="Abadi"/>
          <w:b/>
          <w:bCs/>
          <w:spacing w:val="23"/>
          <w:sz w:val="21"/>
          <w:szCs w:val="21"/>
        </w:rPr>
        <w:t xml:space="preserve"> </w:t>
      </w:r>
      <w:r w:rsidRPr="00AD79C7">
        <w:rPr>
          <w:rFonts w:ascii="Abadi" w:hAnsi="Abadi"/>
          <w:b/>
          <w:bCs/>
          <w:sz w:val="21"/>
          <w:szCs w:val="21"/>
        </w:rPr>
        <w:t>al</w:t>
      </w:r>
      <w:r w:rsidRPr="00AD79C7">
        <w:rPr>
          <w:rFonts w:ascii="Abadi" w:hAnsi="Abadi"/>
          <w:b/>
          <w:bCs/>
          <w:spacing w:val="22"/>
          <w:sz w:val="21"/>
          <w:szCs w:val="21"/>
        </w:rPr>
        <w:t xml:space="preserve"> </w:t>
      </w:r>
      <w:r w:rsidRPr="00AD79C7">
        <w:rPr>
          <w:rFonts w:ascii="Abadi" w:hAnsi="Abadi"/>
          <w:b/>
          <w:bCs/>
          <w:sz w:val="21"/>
          <w:szCs w:val="21"/>
        </w:rPr>
        <w:t>periodo</w:t>
      </w:r>
      <w:r w:rsidRPr="00AD79C7">
        <w:rPr>
          <w:rFonts w:ascii="Abadi" w:hAnsi="Abadi"/>
          <w:b/>
          <w:bCs/>
          <w:spacing w:val="-1"/>
          <w:sz w:val="21"/>
          <w:szCs w:val="21"/>
        </w:rPr>
        <w:t xml:space="preserve"> </w:t>
      </w:r>
      <w:r w:rsidRPr="00AD79C7">
        <w:rPr>
          <w:rFonts w:ascii="Abadi" w:hAnsi="Abadi"/>
          <w:b/>
          <w:bCs/>
          <w:sz w:val="21"/>
          <w:szCs w:val="21"/>
        </w:rPr>
        <w:t>comprendido</w:t>
      </w:r>
      <w:r w:rsidRPr="00AD79C7">
        <w:rPr>
          <w:rFonts w:ascii="Abadi" w:hAnsi="Abadi"/>
          <w:b/>
          <w:bCs/>
          <w:spacing w:val="16"/>
          <w:sz w:val="21"/>
          <w:szCs w:val="21"/>
        </w:rPr>
        <w:t xml:space="preserve"> </w:t>
      </w:r>
      <w:r w:rsidRPr="00AD79C7">
        <w:rPr>
          <w:rFonts w:ascii="Abadi" w:hAnsi="Abadi"/>
          <w:b/>
          <w:bCs/>
          <w:sz w:val="21"/>
          <w:szCs w:val="21"/>
        </w:rPr>
        <w:t>del</w:t>
      </w:r>
      <w:r w:rsidRPr="00AD79C7">
        <w:rPr>
          <w:rFonts w:ascii="Abadi" w:hAnsi="Abadi"/>
          <w:b/>
          <w:bCs/>
          <w:spacing w:val="16"/>
          <w:sz w:val="21"/>
          <w:szCs w:val="21"/>
        </w:rPr>
        <w:t xml:space="preserve"> </w:t>
      </w:r>
      <w:r w:rsidRPr="00AD79C7">
        <w:rPr>
          <w:rFonts w:ascii="Abadi" w:hAnsi="Abadi"/>
          <w:b/>
          <w:bCs/>
          <w:sz w:val="21"/>
          <w:szCs w:val="21"/>
        </w:rPr>
        <w:t>1</w:t>
      </w:r>
      <w:r w:rsidRPr="00AD79C7">
        <w:rPr>
          <w:rFonts w:ascii="Abadi" w:hAnsi="Abadi"/>
          <w:b/>
          <w:bCs/>
          <w:spacing w:val="16"/>
          <w:sz w:val="21"/>
          <w:szCs w:val="21"/>
        </w:rPr>
        <w:t xml:space="preserve"> </w:t>
      </w:r>
      <w:r w:rsidRPr="00AD79C7">
        <w:rPr>
          <w:rFonts w:ascii="Abadi" w:hAnsi="Abadi"/>
          <w:b/>
          <w:bCs/>
          <w:sz w:val="21"/>
          <w:szCs w:val="21"/>
        </w:rPr>
        <w:t>de</w:t>
      </w:r>
      <w:r w:rsidRPr="00AD79C7">
        <w:rPr>
          <w:rFonts w:ascii="Abadi" w:hAnsi="Abadi"/>
          <w:b/>
          <w:bCs/>
          <w:spacing w:val="16"/>
          <w:sz w:val="21"/>
          <w:szCs w:val="21"/>
        </w:rPr>
        <w:t xml:space="preserve"> </w:t>
      </w:r>
      <w:r w:rsidRPr="00AD79C7">
        <w:rPr>
          <w:rFonts w:ascii="Abadi" w:hAnsi="Abadi"/>
          <w:b/>
          <w:bCs/>
          <w:sz w:val="21"/>
          <w:szCs w:val="21"/>
        </w:rPr>
        <w:t>enero</w:t>
      </w:r>
      <w:r w:rsidRPr="00AD79C7">
        <w:rPr>
          <w:rFonts w:ascii="Abadi" w:hAnsi="Abadi"/>
          <w:b/>
          <w:bCs/>
          <w:spacing w:val="16"/>
          <w:sz w:val="21"/>
          <w:szCs w:val="21"/>
        </w:rPr>
        <w:t xml:space="preserve"> </w:t>
      </w:r>
      <w:r w:rsidRPr="00AD79C7">
        <w:rPr>
          <w:rFonts w:ascii="Abadi" w:hAnsi="Abadi"/>
          <w:b/>
          <w:bCs/>
          <w:sz w:val="21"/>
          <w:szCs w:val="21"/>
        </w:rPr>
        <w:t>al</w:t>
      </w:r>
      <w:r w:rsidRPr="00AD79C7">
        <w:rPr>
          <w:rFonts w:ascii="Abadi" w:hAnsi="Abadi"/>
          <w:b/>
          <w:bCs/>
          <w:spacing w:val="16"/>
          <w:sz w:val="21"/>
          <w:szCs w:val="21"/>
        </w:rPr>
        <w:t xml:space="preserve"> </w:t>
      </w:r>
      <w:r w:rsidRPr="00AD79C7">
        <w:rPr>
          <w:rFonts w:ascii="Abadi" w:hAnsi="Abadi"/>
          <w:b/>
          <w:bCs/>
          <w:sz w:val="21"/>
          <w:szCs w:val="21"/>
        </w:rPr>
        <w:t>31</w:t>
      </w:r>
      <w:r w:rsidRPr="00AD79C7">
        <w:rPr>
          <w:rFonts w:ascii="Abadi" w:hAnsi="Abadi"/>
          <w:b/>
          <w:bCs/>
          <w:spacing w:val="16"/>
          <w:sz w:val="21"/>
          <w:szCs w:val="21"/>
        </w:rPr>
        <w:t xml:space="preserve"> </w:t>
      </w:r>
      <w:r w:rsidRPr="00AD79C7">
        <w:rPr>
          <w:rFonts w:ascii="Abadi" w:hAnsi="Abadi"/>
          <w:b/>
          <w:bCs/>
          <w:sz w:val="21"/>
          <w:szCs w:val="21"/>
        </w:rPr>
        <w:t>de</w:t>
      </w:r>
      <w:r w:rsidRPr="00AD79C7">
        <w:rPr>
          <w:rFonts w:ascii="Abadi" w:hAnsi="Abadi"/>
          <w:b/>
          <w:bCs/>
          <w:spacing w:val="17"/>
          <w:sz w:val="21"/>
          <w:szCs w:val="21"/>
        </w:rPr>
        <w:t xml:space="preserve"> </w:t>
      </w:r>
      <w:r w:rsidRPr="00AD79C7">
        <w:rPr>
          <w:rFonts w:ascii="Abadi" w:hAnsi="Abadi"/>
          <w:b/>
          <w:bCs/>
          <w:sz w:val="21"/>
          <w:szCs w:val="21"/>
        </w:rPr>
        <w:t>diciembre</w:t>
      </w:r>
      <w:r w:rsidRPr="00AD79C7">
        <w:rPr>
          <w:rFonts w:ascii="Abadi" w:hAnsi="Abadi"/>
          <w:b/>
          <w:bCs/>
          <w:spacing w:val="16"/>
          <w:sz w:val="21"/>
          <w:szCs w:val="21"/>
        </w:rPr>
        <w:t xml:space="preserve"> </w:t>
      </w:r>
      <w:r w:rsidRPr="00AD79C7">
        <w:rPr>
          <w:rFonts w:ascii="Abadi" w:hAnsi="Abadi"/>
          <w:b/>
          <w:bCs/>
          <w:sz w:val="21"/>
          <w:szCs w:val="21"/>
        </w:rPr>
        <w:t>del</w:t>
      </w:r>
      <w:r w:rsidRPr="00AD79C7">
        <w:rPr>
          <w:rFonts w:ascii="Abadi" w:hAnsi="Abadi"/>
          <w:b/>
          <w:bCs/>
          <w:spacing w:val="16"/>
          <w:sz w:val="21"/>
          <w:szCs w:val="21"/>
        </w:rPr>
        <w:t xml:space="preserve"> </w:t>
      </w:r>
      <w:r w:rsidRPr="00AD79C7">
        <w:rPr>
          <w:rFonts w:ascii="Abadi" w:hAnsi="Abadi"/>
          <w:b/>
          <w:bCs/>
          <w:sz w:val="21"/>
          <w:szCs w:val="21"/>
        </w:rPr>
        <w:t>ejercicio</w:t>
      </w:r>
      <w:r w:rsidRPr="00AD79C7">
        <w:rPr>
          <w:rFonts w:ascii="Abadi" w:hAnsi="Abadi"/>
          <w:b/>
          <w:bCs/>
          <w:spacing w:val="16"/>
          <w:sz w:val="21"/>
          <w:szCs w:val="21"/>
        </w:rPr>
        <w:t xml:space="preserve"> </w:t>
      </w:r>
      <w:r w:rsidRPr="00AD79C7">
        <w:rPr>
          <w:rFonts w:ascii="Abadi" w:hAnsi="Abadi"/>
          <w:b/>
          <w:bCs/>
          <w:sz w:val="21"/>
          <w:szCs w:val="21"/>
        </w:rPr>
        <w:t>fiscal</w:t>
      </w:r>
      <w:r w:rsidRPr="00AD79C7">
        <w:rPr>
          <w:rFonts w:ascii="Abadi" w:hAnsi="Abadi"/>
          <w:b/>
          <w:bCs/>
          <w:spacing w:val="15"/>
          <w:sz w:val="21"/>
          <w:szCs w:val="21"/>
        </w:rPr>
        <w:t xml:space="preserve"> </w:t>
      </w:r>
      <w:r w:rsidRPr="00AD79C7">
        <w:rPr>
          <w:rFonts w:ascii="Abadi" w:hAnsi="Abadi"/>
          <w:b/>
          <w:bCs/>
          <w:sz w:val="21"/>
          <w:szCs w:val="21"/>
        </w:rPr>
        <w:t>del</w:t>
      </w:r>
      <w:r w:rsidRPr="00AD79C7">
        <w:rPr>
          <w:rFonts w:ascii="Abadi" w:hAnsi="Abadi"/>
          <w:b/>
          <w:bCs/>
          <w:spacing w:val="16"/>
          <w:sz w:val="21"/>
          <w:szCs w:val="21"/>
        </w:rPr>
        <w:t xml:space="preserve"> </w:t>
      </w:r>
      <w:r w:rsidRPr="00AD79C7">
        <w:rPr>
          <w:rFonts w:ascii="Abadi" w:hAnsi="Abadi"/>
          <w:b/>
          <w:bCs/>
          <w:sz w:val="21"/>
          <w:szCs w:val="21"/>
        </w:rPr>
        <w:t>año</w:t>
      </w:r>
      <w:r w:rsidRPr="00AD79C7">
        <w:rPr>
          <w:rFonts w:ascii="Abadi" w:hAnsi="Abadi"/>
          <w:b/>
          <w:bCs/>
          <w:spacing w:val="-1"/>
          <w:sz w:val="21"/>
          <w:szCs w:val="21"/>
        </w:rPr>
        <w:t xml:space="preserve"> </w:t>
      </w:r>
      <w:r w:rsidRPr="00AD79C7">
        <w:rPr>
          <w:rFonts w:ascii="Abadi" w:hAnsi="Abadi"/>
          <w:b/>
          <w:bCs/>
          <w:sz w:val="21"/>
          <w:szCs w:val="21"/>
        </w:rPr>
        <w:t>2020</w:t>
      </w:r>
      <w:r w:rsidRPr="00AD79C7">
        <w:rPr>
          <w:rFonts w:ascii="Abadi" w:hAnsi="Abadi" w:cs="Verdana"/>
          <w:b/>
          <w:bCs/>
          <w:sz w:val="21"/>
          <w:szCs w:val="21"/>
        </w:rPr>
        <w:t>.</w:t>
      </w:r>
    </w:p>
    <w:p w14:paraId="7219E31B" w14:textId="77777777" w:rsidR="00141DAE" w:rsidRPr="00AD79C7" w:rsidRDefault="00141DAE" w:rsidP="00141DAE">
      <w:pPr>
        <w:kinsoku w:val="0"/>
        <w:overflowPunct w:val="0"/>
        <w:autoSpaceDE w:val="0"/>
        <w:autoSpaceDN w:val="0"/>
        <w:adjustRightInd w:val="0"/>
        <w:spacing w:before="11"/>
        <w:ind w:right="17"/>
        <w:jc w:val="both"/>
        <w:rPr>
          <w:rFonts w:ascii="Abadi" w:hAnsi="Abadi" w:cs="Verdana"/>
          <w:b/>
          <w:bCs/>
          <w:sz w:val="21"/>
          <w:szCs w:val="21"/>
        </w:rPr>
      </w:pPr>
    </w:p>
    <w:p w14:paraId="662A8987" w14:textId="77777777" w:rsidR="00141DAE" w:rsidRPr="00AD79C7" w:rsidRDefault="00141DAE"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3"/>
          <w:sz w:val="21"/>
          <w:szCs w:val="21"/>
        </w:rPr>
        <w:t xml:space="preserve"> </w:t>
      </w:r>
      <w:r w:rsidRPr="00AD79C7">
        <w:rPr>
          <w:rFonts w:ascii="Abadi" w:hAnsi="Abadi"/>
          <w:b/>
          <w:bCs/>
          <w:sz w:val="21"/>
          <w:szCs w:val="21"/>
        </w:rPr>
        <w:t>y,</w:t>
      </w:r>
      <w:r w:rsidRPr="00AD79C7">
        <w:rPr>
          <w:rFonts w:ascii="Abadi" w:hAnsi="Abadi"/>
          <w:b/>
          <w:bCs/>
          <w:spacing w:val="13"/>
          <w:sz w:val="21"/>
          <w:szCs w:val="21"/>
        </w:rPr>
        <w:t xml:space="preserve"> </w:t>
      </w:r>
      <w:r w:rsidRPr="00AD79C7">
        <w:rPr>
          <w:rFonts w:ascii="Abadi" w:hAnsi="Abadi"/>
          <w:b/>
          <w:bCs/>
          <w:sz w:val="21"/>
          <w:szCs w:val="21"/>
        </w:rPr>
        <w:t>en</w:t>
      </w:r>
      <w:r w:rsidRPr="00AD79C7">
        <w:rPr>
          <w:rFonts w:ascii="Abadi" w:hAnsi="Abadi"/>
          <w:b/>
          <w:bCs/>
          <w:spacing w:val="14"/>
          <w:sz w:val="21"/>
          <w:szCs w:val="21"/>
        </w:rPr>
        <w:t xml:space="preserve"> </w:t>
      </w:r>
      <w:r w:rsidRPr="00AD79C7">
        <w:rPr>
          <w:rFonts w:ascii="Abadi" w:hAnsi="Abadi"/>
          <w:b/>
          <w:bCs/>
          <w:sz w:val="21"/>
          <w:szCs w:val="21"/>
        </w:rPr>
        <w:t>su</w:t>
      </w:r>
      <w:r w:rsidRPr="00AD79C7">
        <w:rPr>
          <w:rFonts w:ascii="Abadi" w:hAnsi="Abadi"/>
          <w:b/>
          <w:bCs/>
          <w:spacing w:val="14"/>
          <w:sz w:val="21"/>
          <w:szCs w:val="21"/>
        </w:rPr>
        <w:t xml:space="preserve"> </w:t>
      </w:r>
      <w:r w:rsidRPr="00AD79C7">
        <w:rPr>
          <w:rFonts w:ascii="Abadi" w:hAnsi="Abadi"/>
          <w:b/>
          <w:bCs/>
          <w:sz w:val="21"/>
          <w:szCs w:val="21"/>
        </w:rPr>
        <w:t>caso,</w:t>
      </w:r>
      <w:r w:rsidRPr="00AD79C7">
        <w:rPr>
          <w:rFonts w:ascii="Abadi" w:hAnsi="Abadi"/>
          <w:b/>
          <w:bCs/>
          <w:spacing w:val="13"/>
          <w:sz w:val="21"/>
          <w:szCs w:val="21"/>
        </w:rPr>
        <w:t xml:space="preserve"> </w:t>
      </w:r>
      <w:r w:rsidRPr="00AD79C7">
        <w:rPr>
          <w:rFonts w:ascii="Abadi" w:hAnsi="Abadi"/>
          <w:b/>
          <w:bCs/>
          <w:sz w:val="21"/>
          <w:szCs w:val="21"/>
        </w:rPr>
        <w:t>aprobación</w:t>
      </w:r>
      <w:r w:rsidRPr="00AD79C7">
        <w:rPr>
          <w:rFonts w:ascii="Abadi" w:hAnsi="Abadi"/>
          <w:b/>
          <w:bCs/>
          <w:spacing w:val="14"/>
          <w:sz w:val="21"/>
          <w:szCs w:val="21"/>
        </w:rPr>
        <w:t xml:space="preserve"> </w:t>
      </w:r>
      <w:r w:rsidRPr="00AD79C7">
        <w:rPr>
          <w:rFonts w:ascii="Abadi" w:hAnsi="Abadi"/>
          <w:b/>
          <w:bCs/>
          <w:sz w:val="21"/>
          <w:szCs w:val="21"/>
        </w:rPr>
        <w:t>del</w:t>
      </w:r>
      <w:r w:rsidRPr="00AD79C7">
        <w:rPr>
          <w:rFonts w:ascii="Abadi" w:hAnsi="Abadi"/>
          <w:b/>
          <w:bCs/>
          <w:spacing w:val="13"/>
          <w:sz w:val="21"/>
          <w:szCs w:val="21"/>
        </w:rPr>
        <w:t xml:space="preserve"> </w:t>
      </w:r>
      <w:r w:rsidRPr="00AD79C7">
        <w:rPr>
          <w:rFonts w:ascii="Abadi" w:hAnsi="Abadi"/>
          <w:b/>
          <w:bCs/>
          <w:sz w:val="21"/>
          <w:szCs w:val="21"/>
        </w:rPr>
        <w:t>dictamen</w:t>
      </w:r>
      <w:r w:rsidRPr="00AD79C7">
        <w:rPr>
          <w:rFonts w:ascii="Abadi" w:hAnsi="Abadi"/>
          <w:b/>
          <w:bCs/>
          <w:spacing w:val="14"/>
          <w:sz w:val="21"/>
          <w:szCs w:val="21"/>
        </w:rPr>
        <w:t xml:space="preserve"> </w:t>
      </w:r>
      <w:r w:rsidRPr="00AD79C7">
        <w:rPr>
          <w:rFonts w:ascii="Abadi" w:hAnsi="Abadi"/>
          <w:b/>
          <w:bCs/>
          <w:sz w:val="21"/>
          <w:szCs w:val="21"/>
        </w:rPr>
        <w:t>emitido</w:t>
      </w:r>
      <w:r w:rsidRPr="00AD79C7">
        <w:rPr>
          <w:rFonts w:ascii="Abadi" w:hAnsi="Abadi"/>
          <w:b/>
          <w:bCs/>
          <w:spacing w:val="14"/>
          <w:sz w:val="21"/>
          <w:szCs w:val="21"/>
        </w:rPr>
        <w:t xml:space="preserve"> </w:t>
      </w:r>
      <w:r w:rsidRPr="00AD79C7">
        <w:rPr>
          <w:rFonts w:ascii="Abadi" w:hAnsi="Abadi"/>
          <w:b/>
          <w:bCs/>
          <w:sz w:val="21"/>
          <w:szCs w:val="21"/>
        </w:rPr>
        <w:t>por</w:t>
      </w:r>
      <w:r w:rsidRPr="00AD79C7">
        <w:rPr>
          <w:rFonts w:ascii="Abadi" w:hAnsi="Abadi"/>
          <w:b/>
          <w:bCs/>
          <w:spacing w:val="13"/>
          <w:sz w:val="21"/>
          <w:szCs w:val="21"/>
        </w:rPr>
        <w:t xml:space="preserve"> </w:t>
      </w:r>
      <w:r w:rsidRPr="00AD79C7">
        <w:rPr>
          <w:rFonts w:ascii="Abadi" w:hAnsi="Abadi"/>
          <w:b/>
          <w:bCs/>
          <w:sz w:val="21"/>
          <w:szCs w:val="21"/>
        </w:rPr>
        <w:t>la</w:t>
      </w:r>
      <w:r w:rsidRPr="00AD79C7">
        <w:rPr>
          <w:rFonts w:ascii="Abadi" w:hAnsi="Abadi"/>
          <w:b/>
          <w:bCs/>
          <w:spacing w:val="13"/>
          <w:sz w:val="21"/>
          <w:szCs w:val="21"/>
        </w:rPr>
        <w:t xml:space="preserve"> </w:t>
      </w:r>
      <w:r w:rsidRPr="00AD79C7">
        <w:rPr>
          <w:rFonts w:ascii="Abadi" w:hAnsi="Abadi"/>
          <w:b/>
          <w:bCs/>
          <w:sz w:val="21"/>
          <w:szCs w:val="21"/>
        </w:rPr>
        <w:t>Comisión de Hacienda y Fiscalización relativo al informe de resultados de la revisión practicada por la Auditoría Superior del Estado de Guanajuato, a la cuenta pública municipal de</w:t>
      </w:r>
      <w:r w:rsidRPr="00AD79C7">
        <w:rPr>
          <w:rFonts w:ascii="Abadi" w:hAnsi="Abadi"/>
          <w:b/>
          <w:bCs/>
          <w:spacing w:val="8"/>
          <w:sz w:val="21"/>
          <w:szCs w:val="21"/>
        </w:rPr>
        <w:t xml:space="preserve"> </w:t>
      </w:r>
      <w:r w:rsidRPr="00AD79C7">
        <w:rPr>
          <w:rFonts w:ascii="Abadi" w:hAnsi="Abadi"/>
          <w:b/>
          <w:bCs/>
          <w:sz w:val="21"/>
          <w:szCs w:val="21"/>
        </w:rPr>
        <w:t>Tierra Blanca, Gto., correspondiente al ejercicio fiscal del año 2020.</w:t>
      </w:r>
    </w:p>
    <w:p w14:paraId="08EAFC0E" w14:textId="77777777" w:rsidR="00141DAE" w:rsidRPr="00AD79C7" w:rsidRDefault="00141DAE" w:rsidP="006B00FD">
      <w:pPr>
        <w:kinsoku w:val="0"/>
        <w:overflowPunct w:val="0"/>
        <w:autoSpaceDE w:val="0"/>
        <w:autoSpaceDN w:val="0"/>
        <w:adjustRightInd w:val="0"/>
        <w:ind w:right="566"/>
        <w:jc w:val="both"/>
        <w:rPr>
          <w:rFonts w:ascii="Abadi" w:hAnsi="Abadi" w:cs="Arial"/>
          <w:b/>
          <w:bCs/>
          <w:sz w:val="21"/>
          <w:szCs w:val="21"/>
        </w:rPr>
      </w:pPr>
    </w:p>
    <w:p w14:paraId="39D449CD" w14:textId="07BCCD10" w:rsidR="00141DAE" w:rsidRDefault="00141DAE"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lastRenderedPageBreak/>
        <w:t>Discusión</w:t>
      </w:r>
      <w:r w:rsidRPr="00AD79C7">
        <w:rPr>
          <w:rFonts w:ascii="Abadi" w:hAnsi="Abadi"/>
          <w:b/>
          <w:bCs/>
          <w:spacing w:val="11"/>
          <w:sz w:val="21"/>
          <w:szCs w:val="21"/>
        </w:rPr>
        <w:t xml:space="preserve"> </w:t>
      </w:r>
      <w:r w:rsidRPr="00AD79C7">
        <w:rPr>
          <w:rFonts w:ascii="Abadi" w:hAnsi="Abadi"/>
          <w:b/>
          <w:bCs/>
          <w:sz w:val="21"/>
          <w:szCs w:val="21"/>
        </w:rPr>
        <w:t>y,</w:t>
      </w:r>
      <w:r w:rsidRPr="00AD79C7">
        <w:rPr>
          <w:rFonts w:ascii="Abadi" w:hAnsi="Abadi"/>
          <w:b/>
          <w:bCs/>
          <w:spacing w:val="11"/>
          <w:sz w:val="21"/>
          <w:szCs w:val="21"/>
        </w:rPr>
        <w:t xml:space="preserve"> </w:t>
      </w:r>
      <w:r w:rsidRPr="00AD79C7">
        <w:rPr>
          <w:rFonts w:ascii="Abadi" w:hAnsi="Abadi"/>
          <w:b/>
          <w:bCs/>
          <w:sz w:val="21"/>
          <w:szCs w:val="21"/>
        </w:rPr>
        <w:t>en</w:t>
      </w:r>
      <w:r w:rsidRPr="00AD79C7">
        <w:rPr>
          <w:rFonts w:ascii="Abadi" w:hAnsi="Abadi"/>
          <w:b/>
          <w:bCs/>
          <w:spacing w:val="11"/>
          <w:sz w:val="21"/>
          <w:szCs w:val="21"/>
        </w:rPr>
        <w:t xml:space="preserve"> </w:t>
      </w:r>
      <w:r w:rsidRPr="00AD79C7">
        <w:rPr>
          <w:rFonts w:ascii="Abadi" w:hAnsi="Abadi"/>
          <w:b/>
          <w:bCs/>
          <w:sz w:val="21"/>
          <w:szCs w:val="21"/>
        </w:rPr>
        <w:t>su</w:t>
      </w:r>
      <w:r w:rsidRPr="00AD79C7">
        <w:rPr>
          <w:rFonts w:ascii="Abadi" w:hAnsi="Abadi"/>
          <w:b/>
          <w:bCs/>
          <w:spacing w:val="11"/>
          <w:sz w:val="21"/>
          <w:szCs w:val="21"/>
        </w:rPr>
        <w:t xml:space="preserve"> </w:t>
      </w:r>
      <w:r w:rsidRPr="00AD79C7">
        <w:rPr>
          <w:rFonts w:ascii="Abadi" w:hAnsi="Abadi"/>
          <w:b/>
          <w:bCs/>
          <w:sz w:val="21"/>
          <w:szCs w:val="21"/>
        </w:rPr>
        <w:t>caso,</w:t>
      </w:r>
      <w:r w:rsidRPr="00AD79C7">
        <w:rPr>
          <w:rFonts w:ascii="Abadi" w:hAnsi="Abadi"/>
          <w:b/>
          <w:bCs/>
          <w:spacing w:val="11"/>
          <w:sz w:val="21"/>
          <w:szCs w:val="21"/>
        </w:rPr>
        <w:t xml:space="preserve"> </w:t>
      </w:r>
      <w:r w:rsidRPr="00AD79C7">
        <w:rPr>
          <w:rFonts w:ascii="Abadi" w:hAnsi="Abadi"/>
          <w:b/>
          <w:bCs/>
          <w:sz w:val="21"/>
          <w:szCs w:val="21"/>
        </w:rPr>
        <w:t>aprobación</w:t>
      </w:r>
      <w:r w:rsidRPr="00AD79C7">
        <w:rPr>
          <w:rFonts w:ascii="Abadi" w:hAnsi="Abadi"/>
          <w:b/>
          <w:bCs/>
          <w:spacing w:val="11"/>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dictamen</w:t>
      </w:r>
      <w:r w:rsidRPr="00AD79C7">
        <w:rPr>
          <w:rFonts w:ascii="Abadi" w:hAnsi="Abadi"/>
          <w:b/>
          <w:bCs/>
          <w:spacing w:val="11"/>
          <w:sz w:val="21"/>
          <w:szCs w:val="21"/>
        </w:rPr>
        <w:t xml:space="preserve"> </w:t>
      </w:r>
      <w:r w:rsidRPr="00AD79C7">
        <w:rPr>
          <w:rFonts w:ascii="Abadi" w:hAnsi="Abadi"/>
          <w:b/>
          <w:bCs/>
          <w:sz w:val="21"/>
          <w:szCs w:val="21"/>
        </w:rPr>
        <w:t>signado</w:t>
      </w:r>
      <w:r w:rsidRPr="00AD79C7">
        <w:rPr>
          <w:rFonts w:ascii="Abadi" w:hAnsi="Abadi"/>
          <w:b/>
          <w:bCs/>
          <w:spacing w:val="11"/>
          <w:sz w:val="21"/>
          <w:szCs w:val="21"/>
        </w:rPr>
        <w:t xml:space="preserve"> </w:t>
      </w:r>
      <w:r w:rsidRPr="00AD79C7">
        <w:rPr>
          <w:rFonts w:ascii="Abadi" w:hAnsi="Abadi"/>
          <w:b/>
          <w:bCs/>
          <w:sz w:val="21"/>
          <w:szCs w:val="21"/>
        </w:rPr>
        <w:t>por</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Comisión de</w:t>
      </w:r>
      <w:r w:rsidRPr="00AD79C7">
        <w:rPr>
          <w:rFonts w:ascii="Abadi" w:hAnsi="Abadi"/>
          <w:b/>
          <w:bCs/>
          <w:spacing w:val="10"/>
          <w:sz w:val="21"/>
          <w:szCs w:val="21"/>
        </w:rPr>
        <w:t xml:space="preserve"> </w:t>
      </w:r>
      <w:r w:rsidRPr="00AD79C7">
        <w:rPr>
          <w:rFonts w:ascii="Abadi" w:hAnsi="Abadi"/>
          <w:b/>
          <w:bCs/>
          <w:sz w:val="21"/>
          <w:szCs w:val="21"/>
        </w:rPr>
        <w:t>Hacienda</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Fiscalización</w:t>
      </w:r>
      <w:r w:rsidRPr="00AD79C7">
        <w:rPr>
          <w:rFonts w:ascii="Abadi" w:hAnsi="Abadi"/>
          <w:b/>
          <w:bCs/>
          <w:spacing w:val="10"/>
          <w:sz w:val="21"/>
          <w:szCs w:val="21"/>
        </w:rPr>
        <w:t xml:space="preserve"> </w:t>
      </w:r>
      <w:r w:rsidRPr="00AD79C7">
        <w:rPr>
          <w:rFonts w:ascii="Abadi" w:hAnsi="Abadi"/>
          <w:b/>
          <w:bCs/>
          <w:sz w:val="21"/>
          <w:szCs w:val="21"/>
        </w:rPr>
        <w:t>relativo</w:t>
      </w:r>
      <w:r w:rsidRPr="00AD79C7">
        <w:rPr>
          <w:rFonts w:ascii="Abadi" w:hAnsi="Abadi"/>
          <w:b/>
          <w:bCs/>
          <w:spacing w:val="10"/>
          <w:sz w:val="21"/>
          <w:szCs w:val="21"/>
        </w:rPr>
        <w:t xml:space="preserve"> </w:t>
      </w:r>
      <w:r w:rsidRPr="00AD79C7">
        <w:rPr>
          <w:rFonts w:ascii="Abadi" w:hAnsi="Abadi"/>
          <w:b/>
          <w:bCs/>
          <w:sz w:val="21"/>
          <w:szCs w:val="21"/>
        </w:rPr>
        <w:t>al</w:t>
      </w:r>
      <w:r w:rsidRPr="00AD79C7">
        <w:rPr>
          <w:rFonts w:ascii="Abadi" w:hAnsi="Abadi"/>
          <w:b/>
          <w:bCs/>
          <w:spacing w:val="9"/>
          <w:sz w:val="21"/>
          <w:szCs w:val="21"/>
        </w:rPr>
        <w:t xml:space="preserve"> </w:t>
      </w:r>
      <w:r w:rsidRPr="00AD79C7">
        <w:rPr>
          <w:rFonts w:ascii="Abadi" w:hAnsi="Abadi"/>
          <w:b/>
          <w:bCs/>
          <w:sz w:val="21"/>
          <w:szCs w:val="21"/>
        </w:rPr>
        <w:t>informe</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resultados</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revisión practicada</w:t>
      </w:r>
      <w:r w:rsidRPr="00AD79C7">
        <w:rPr>
          <w:rFonts w:ascii="Abadi" w:hAnsi="Abadi"/>
          <w:b/>
          <w:bCs/>
          <w:spacing w:val="16"/>
          <w:sz w:val="21"/>
          <w:szCs w:val="21"/>
        </w:rPr>
        <w:t xml:space="preserve"> </w:t>
      </w:r>
      <w:r w:rsidRPr="00AD79C7">
        <w:rPr>
          <w:rFonts w:ascii="Abadi" w:hAnsi="Abadi"/>
          <w:b/>
          <w:bCs/>
          <w:sz w:val="21"/>
          <w:szCs w:val="21"/>
        </w:rPr>
        <w:t>por</w:t>
      </w:r>
      <w:r w:rsidRPr="00AD79C7">
        <w:rPr>
          <w:rFonts w:ascii="Abadi" w:hAnsi="Abadi"/>
          <w:b/>
          <w:bCs/>
          <w:spacing w:val="16"/>
          <w:sz w:val="21"/>
          <w:szCs w:val="21"/>
        </w:rPr>
        <w:t xml:space="preserve"> </w:t>
      </w:r>
      <w:r w:rsidRPr="00AD79C7">
        <w:rPr>
          <w:rFonts w:ascii="Abadi" w:hAnsi="Abadi"/>
          <w:b/>
          <w:bCs/>
          <w:sz w:val="21"/>
          <w:szCs w:val="21"/>
        </w:rPr>
        <w:t>la</w:t>
      </w:r>
      <w:r w:rsidRPr="00AD79C7">
        <w:rPr>
          <w:rFonts w:ascii="Abadi" w:hAnsi="Abadi"/>
          <w:b/>
          <w:bCs/>
          <w:spacing w:val="16"/>
          <w:sz w:val="21"/>
          <w:szCs w:val="21"/>
        </w:rPr>
        <w:t xml:space="preserve"> </w:t>
      </w:r>
      <w:r w:rsidRPr="00AD79C7">
        <w:rPr>
          <w:rFonts w:ascii="Abadi" w:hAnsi="Abadi"/>
          <w:b/>
          <w:bCs/>
          <w:sz w:val="21"/>
          <w:szCs w:val="21"/>
        </w:rPr>
        <w:t>Auditoría</w:t>
      </w:r>
      <w:r w:rsidRPr="00AD79C7">
        <w:rPr>
          <w:rFonts w:ascii="Abadi" w:hAnsi="Abadi"/>
          <w:b/>
          <w:bCs/>
          <w:spacing w:val="16"/>
          <w:sz w:val="21"/>
          <w:szCs w:val="21"/>
        </w:rPr>
        <w:t xml:space="preserve"> </w:t>
      </w:r>
      <w:r w:rsidRPr="00AD79C7">
        <w:rPr>
          <w:rFonts w:ascii="Abadi" w:hAnsi="Abadi"/>
          <w:b/>
          <w:bCs/>
          <w:sz w:val="21"/>
          <w:szCs w:val="21"/>
        </w:rPr>
        <w:t>Superior</w:t>
      </w:r>
      <w:r w:rsidRPr="00AD79C7">
        <w:rPr>
          <w:rFonts w:ascii="Abadi" w:hAnsi="Abadi"/>
          <w:b/>
          <w:bCs/>
          <w:spacing w:val="16"/>
          <w:sz w:val="21"/>
          <w:szCs w:val="21"/>
        </w:rPr>
        <w:t xml:space="preserve"> </w:t>
      </w:r>
      <w:r w:rsidRPr="00AD79C7">
        <w:rPr>
          <w:rFonts w:ascii="Abadi" w:hAnsi="Abadi"/>
          <w:b/>
          <w:bCs/>
          <w:sz w:val="21"/>
          <w:szCs w:val="21"/>
        </w:rPr>
        <w:t>del</w:t>
      </w:r>
      <w:r w:rsidRPr="00AD79C7">
        <w:rPr>
          <w:rFonts w:ascii="Abadi" w:hAnsi="Abadi"/>
          <w:b/>
          <w:bCs/>
          <w:spacing w:val="16"/>
          <w:sz w:val="21"/>
          <w:szCs w:val="21"/>
        </w:rPr>
        <w:t xml:space="preserve"> </w:t>
      </w:r>
      <w:r w:rsidRPr="00AD79C7">
        <w:rPr>
          <w:rFonts w:ascii="Abadi" w:hAnsi="Abadi"/>
          <w:b/>
          <w:bCs/>
          <w:sz w:val="21"/>
          <w:szCs w:val="21"/>
        </w:rPr>
        <w:t>Estado</w:t>
      </w:r>
      <w:r w:rsidRPr="00AD79C7">
        <w:rPr>
          <w:rFonts w:ascii="Abadi" w:hAnsi="Abadi"/>
          <w:b/>
          <w:bCs/>
          <w:spacing w:val="16"/>
          <w:sz w:val="21"/>
          <w:szCs w:val="21"/>
        </w:rPr>
        <w:t xml:space="preserve"> </w:t>
      </w:r>
      <w:r w:rsidRPr="00AD79C7">
        <w:rPr>
          <w:rFonts w:ascii="Abadi" w:hAnsi="Abadi"/>
          <w:b/>
          <w:bCs/>
          <w:sz w:val="21"/>
          <w:szCs w:val="21"/>
        </w:rPr>
        <w:t>de</w:t>
      </w:r>
      <w:r w:rsidRPr="00AD79C7">
        <w:rPr>
          <w:rFonts w:ascii="Abadi" w:hAnsi="Abadi"/>
          <w:b/>
          <w:bCs/>
          <w:spacing w:val="16"/>
          <w:sz w:val="21"/>
          <w:szCs w:val="21"/>
        </w:rPr>
        <w:t xml:space="preserve"> </w:t>
      </w:r>
      <w:r w:rsidRPr="00AD79C7">
        <w:rPr>
          <w:rFonts w:ascii="Abadi" w:hAnsi="Abadi"/>
          <w:b/>
          <w:bCs/>
          <w:sz w:val="21"/>
          <w:szCs w:val="21"/>
        </w:rPr>
        <w:t>Guanajuato</w:t>
      </w:r>
      <w:r w:rsidRPr="00AD79C7">
        <w:rPr>
          <w:rFonts w:ascii="Abadi" w:hAnsi="Abadi"/>
          <w:b/>
          <w:bCs/>
          <w:spacing w:val="16"/>
          <w:sz w:val="21"/>
          <w:szCs w:val="21"/>
        </w:rPr>
        <w:t xml:space="preserve"> </w:t>
      </w:r>
      <w:r w:rsidRPr="00AD79C7">
        <w:rPr>
          <w:rFonts w:ascii="Abadi" w:hAnsi="Abadi"/>
          <w:b/>
          <w:bCs/>
          <w:sz w:val="21"/>
          <w:szCs w:val="21"/>
        </w:rPr>
        <w:t>a</w:t>
      </w:r>
      <w:r w:rsidRPr="00AD79C7">
        <w:rPr>
          <w:rFonts w:ascii="Abadi" w:hAnsi="Abadi"/>
          <w:b/>
          <w:bCs/>
          <w:spacing w:val="16"/>
          <w:sz w:val="21"/>
          <w:szCs w:val="21"/>
        </w:rPr>
        <w:t xml:space="preserve"> </w:t>
      </w:r>
      <w:r w:rsidRPr="00AD79C7">
        <w:rPr>
          <w:rFonts w:ascii="Abadi" w:hAnsi="Abadi"/>
          <w:b/>
          <w:bCs/>
          <w:sz w:val="21"/>
          <w:szCs w:val="21"/>
        </w:rPr>
        <w:t>la</w:t>
      </w:r>
      <w:r w:rsidRPr="00AD79C7">
        <w:rPr>
          <w:rFonts w:ascii="Abadi" w:hAnsi="Abadi"/>
          <w:b/>
          <w:bCs/>
          <w:spacing w:val="16"/>
          <w:sz w:val="21"/>
          <w:szCs w:val="21"/>
        </w:rPr>
        <w:t xml:space="preserve"> </w:t>
      </w:r>
      <w:r w:rsidRPr="00AD79C7">
        <w:rPr>
          <w:rFonts w:ascii="Abadi" w:hAnsi="Abadi"/>
          <w:b/>
          <w:bCs/>
          <w:sz w:val="21"/>
          <w:szCs w:val="21"/>
        </w:rPr>
        <w:t>cuenta pública</w:t>
      </w:r>
      <w:r w:rsidRPr="00AD79C7">
        <w:rPr>
          <w:rFonts w:ascii="Abadi" w:hAnsi="Abadi"/>
          <w:b/>
          <w:bCs/>
          <w:spacing w:val="21"/>
          <w:sz w:val="21"/>
          <w:szCs w:val="21"/>
        </w:rPr>
        <w:t xml:space="preserve"> </w:t>
      </w:r>
      <w:r w:rsidRPr="00AD79C7">
        <w:rPr>
          <w:rFonts w:ascii="Abadi" w:hAnsi="Abadi"/>
          <w:b/>
          <w:bCs/>
          <w:sz w:val="21"/>
          <w:szCs w:val="21"/>
        </w:rPr>
        <w:t>del</w:t>
      </w:r>
      <w:r w:rsidRPr="00AD79C7">
        <w:rPr>
          <w:rFonts w:ascii="Abadi" w:hAnsi="Abadi"/>
          <w:b/>
          <w:bCs/>
          <w:spacing w:val="21"/>
          <w:sz w:val="21"/>
          <w:szCs w:val="21"/>
        </w:rPr>
        <w:t xml:space="preserve"> </w:t>
      </w:r>
      <w:r w:rsidRPr="00AD79C7">
        <w:rPr>
          <w:rFonts w:ascii="Abadi" w:hAnsi="Abadi"/>
          <w:b/>
          <w:bCs/>
          <w:sz w:val="21"/>
          <w:szCs w:val="21"/>
        </w:rPr>
        <w:t>Poder</w:t>
      </w:r>
      <w:r w:rsidRPr="00AD79C7">
        <w:rPr>
          <w:rFonts w:ascii="Abadi" w:hAnsi="Abadi"/>
          <w:b/>
          <w:bCs/>
          <w:spacing w:val="21"/>
          <w:sz w:val="21"/>
          <w:szCs w:val="21"/>
        </w:rPr>
        <w:t xml:space="preserve"> </w:t>
      </w:r>
      <w:r w:rsidRPr="00AD79C7">
        <w:rPr>
          <w:rFonts w:ascii="Abadi" w:hAnsi="Abadi"/>
          <w:b/>
          <w:bCs/>
          <w:sz w:val="21"/>
          <w:szCs w:val="21"/>
        </w:rPr>
        <w:t>Ejecutivo</w:t>
      </w:r>
      <w:r w:rsidRPr="00AD79C7">
        <w:rPr>
          <w:rFonts w:ascii="Abadi" w:hAnsi="Abadi"/>
          <w:b/>
          <w:bCs/>
          <w:spacing w:val="21"/>
          <w:sz w:val="21"/>
          <w:szCs w:val="21"/>
        </w:rPr>
        <w:t xml:space="preserve"> </w:t>
      </w:r>
      <w:r w:rsidRPr="00AD79C7">
        <w:rPr>
          <w:rFonts w:ascii="Abadi" w:hAnsi="Abadi"/>
          <w:b/>
          <w:bCs/>
          <w:sz w:val="21"/>
          <w:szCs w:val="21"/>
        </w:rPr>
        <w:t>del</w:t>
      </w:r>
      <w:r w:rsidRPr="00AD79C7">
        <w:rPr>
          <w:rFonts w:ascii="Abadi" w:hAnsi="Abadi"/>
          <w:b/>
          <w:bCs/>
          <w:spacing w:val="21"/>
          <w:sz w:val="21"/>
          <w:szCs w:val="21"/>
        </w:rPr>
        <w:t xml:space="preserve"> </w:t>
      </w:r>
      <w:r w:rsidRPr="00AD79C7">
        <w:rPr>
          <w:rFonts w:ascii="Abadi" w:hAnsi="Abadi"/>
          <w:b/>
          <w:bCs/>
          <w:sz w:val="21"/>
          <w:szCs w:val="21"/>
        </w:rPr>
        <w:t>Estado</w:t>
      </w:r>
      <w:r w:rsidRPr="00AD79C7">
        <w:rPr>
          <w:rFonts w:ascii="Abadi" w:hAnsi="Abadi"/>
          <w:b/>
          <w:bCs/>
          <w:spacing w:val="21"/>
          <w:sz w:val="21"/>
          <w:szCs w:val="21"/>
        </w:rPr>
        <w:t xml:space="preserve"> </w:t>
      </w:r>
      <w:r w:rsidRPr="00AD79C7">
        <w:rPr>
          <w:rFonts w:ascii="Abadi" w:hAnsi="Abadi"/>
          <w:b/>
          <w:bCs/>
          <w:sz w:val="21"/>
          <w:szCs w:val="21"/>
        </w:rPr>
        <w:t>de</w:t>
      </w:r>
      <w:r w:rsidRPr="00AD79C7">
        <w:rPr>
          <w:rFonts w:ascii="Abadi" w:hAnsi="Abadi"/>
          <w:b/>
          <w:bCs/>
          <w:spacing w:val="21"/>
          <w:sz w:val="21"/>
          <w:szCs w:val="21"/>
        </w:rPr>
        <w:t xml:space="preserve"> </w:t>
      </w:r>
      <w:r w:rsidRPr="00AD79C7">
        <w:rPr>
          <w:rFonts w:ascii="Abadi" w:hAnsi="Abadi"/>
          <w:b/>
          <w:bCs/>
          <w:sz w:val="21"/>
          <w:szCs w:val="21"/>
        </w:rPr>
        <w:t>Guanajuato,</w:t>
      </w:r>
      <w:r w:rsidRPr="00AD79C7">
        <w:rPr>
          <w:rFonts w:ascii="Abadi" w:hAnsi="Abadi"/>
          <w:b/>
          <w:bCs/>
          <w:spacing w:val="21"/>
          <w:sz w:val="21"/>
          <w:szCs w:val="21"/>
        </w:rPr>
        <w:t xml:space="preserve"> </w:t>
      </w:r>
      <w:r w:rsidRPr="00AD79C7">
        <w:rPr>
          <w:rFonts w:ascii="Abadi" w:hAnsi="Abadi"/>
          <w:b/>
          <w:bCs/>
          <w:sz w:val="21"/>
          <w:szCs w:val="21"/>
        </w:rPr>
        <w:t>correspondiente</w:t>
      </w:r>
      <w:r w:rsidRPr="00AD79C7">
        <w:rPr>
          <w:rFonts w:ascii="Abadi" w:hAnsi="Abadi"/>
          <w:b/>
          <w:bCs/>
          <w:spacing w:val="21"/>
          <w:sz w:val="21"/>
          <w:szCs w:val="21"/>
        </w:rPr>
        <w:t xml:space="preserve"> </w:t>
      </w:r>
      <w:r w:rsidRPr="00AD79C7">
        <w:rPr>
          <w:rFonts w:ascii="Abadi" w:hAnsi="Abadi"/>
          <w:b/>
          <w:bCs/>
          <w:sz w:val="21"/>
          <w:szCs w:val="21"/>
        </w:rPr>
        <w:t>al ejercicio fiscal del año 2020.</w:t>
      </w:r>
    </w:p>
    <w:p w14:paraId="17898AED" w14:textId="77777777" w:rsidR="00A636EB" w:rsidRPr="00A636EB" w:rsidRDefault="00A636EB" w:rsidP="00A636EB">
      <w:pPr>
        <w:pStyle w:val="Prrafodelista"/>
        <w:rPr>
          <w:rFonts w:ascii="Abadi" w:hAnsi="Abadi"/>
          <w:b/>
          <w:bCs/>
          <w:sz w:val="21"/>
          <w:szCs w:val="21"/>
        </w:rPr>
      </w:pPr>
    </w:p>
    <w:p w14:paraId="711396B5" w14:textId="77777777" w:rsidR="00A636EB" w:rsidRPr="00AD79C7" w:rsidRDefault="00A636EB" w:rsidP="00A636EB">
      <w:pPr>
        <w:pStyle w:val="Prrafodelista"/>
        <w:tabs>
          <w:tab w:val="left" w:pos="856"/>
        </w:tabs>
        <w:kinsoku w:val="0"/>
        <w:overflowPunct w:val="0"/>
        <w:autoSpaceDE w:val="0"/>
        <w:autoSpaceDN w:val="0"/>
        <w:adjustRightInd w:val="0"/>
        <w:ind w:left="720" w:right="17"/>
        <w:jc w:val="both"/>
        <w:rPr>
          <w:rFonts w:ascii="Abadi" w:hAnsi="Abadi"/>
          <w:b/>
          <w:bCs/>
          <w:sz w:val="21"/>
          <w:szCs w:val="21"/>
        </w:rPr>
      </w:pPr>
    </w:p>
    <w:p w14:paraId="6AB33946" w14:textId="77777777" w:rsidR="00A636EB" w:rsidRPr="00AD79C7" w:rsidRDefault="00A636EB"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1"/>
          <w:sz w:val="21"/>
          <w:szCs w:val="21"/>
        </w:rPr>
        <w:t xml:space="preserve"> </w:t>
      </w:r>
      <w:r w:rsidRPr="00AD79C7">
        <w:rPr>
          <w:rFonts w:ascii="Abadi" w:hAnsi="Abadi"/>
          <w:b/>
          <w:bCs/>
          <w:sz w:val="21"/>
          <w:szCs w:val="21"/>
        </w:rPr>
        <w:t>y,</w:t>
      </w:r>
      <w:r w:rsidRPr="00AD79C7">
        <w:rPr>
          <w:rFonts w:ascii="Abadi" w:hAnsi="Abadi"/>
          <w:b/>
          <w:bCs/>
          <w:spacing w:val="11"/>
          <w:sz w:val="21"/>
          <w:szCs w:val="21"/>
        </w:rPr>
        <w:t xml:space="preserve"> </w:t>
      </w:r>
      <w:r w:rsidRPr="00AD79C7">
        <w:rPr>
          <w:rFonts w:ascii="Abadi" w:hAnsi="Abadi"/>
          <w:b/>
          <w:bCs/>
          <w:sz w:val="21"/>
          <w:szCs w:val="21"/>
        </w:rPr>
        <w:t>en</w:t>
      </w:r>
      <w:r w:rsidRPr="00AD79C7">
        <w:rPr>
          <w:rFonts w:ascii="Abadi" w:hAnsi="Abadi"/>
          <w:b/>
          <w:bCs/>
          <w:spacing w:val="11"/>
          <w:sz w:val="21"/>
          <w:szCs w:val="21"/>
        </w:rPr>
        <w:t xml:space="preserve"> </w:t>
      </w:r>
      <w:r w:rsidRPr="00AD79C7">
        <w:rPr>
          <w:rFonts w:ascii="Abadi" w:hAnsi="Abadi"/>
          <w:b/>
          <w:bCs/>
          <w:sz w:val="21"/>
          <w:szCs w:val="21"/>
        </w:rPr>
        <w:t>su</w:t>
      </w:r>
      <w:r w:rsidRPr="00AD79C7">
        <w:rPr>
          <w:rFonts w:ascii="Abadi" w:hAnsi="Abadi"/>
          <w:b/>
          <w:bCs/>
          <w:spacing w:val="11"/>
          <w:sz w:val="21"/>
          <w:szCs w:val="21"/>
        </w:rPr>
        <w:t xml:space="preserve"> </w:t>
      </w:r>
      <w:r w:rsidRPr="00AD79C7">
        <w:rPr>
          <w:rFonts w:ascii="Abadi" w:hAnsi="Abadi"/>
          <w:b/>
          <w:bCs/>
          <w:sz w:val="21"/>
          <w:szCs w:val="21"/>
        </w:rPr>
        <w:t>caso,</w:t>
      </w:r>
      <w:r w:rsidRPr="00AD79C7">
        <w:rPr>
          <w:rFonts w:ascii="Abadi" w:hAnsi="Abadi"/>
          <w:b/>
          <w:bCs/>
          <w:spacing w:val="11"/>
          <w:sz w:val="21"/>
          <w:szCs w:val="21"/>
        </w:rPr>
        <w:t xml:space="preserve"> </w:t>
      </w:r>
      <w:r w:rsidRPr="00AD79C7">
        <w:rPr>
          <w:rFonts w:ascii="Abadi" w:hAnsi="Abadi"/>
          <w:b/>
          <w:bCs/>
          <w:sz w:val="21"/>
          <w:szCs w:val="21"/>
        </w:rPr>
        <w:t>aprobación</w:t>
      </w:r>
      <w:r w:rsidRPr="00AD79C7">
        <w:rPr>
          <w:rFonts w:ascii="Abadi" w:hAnsi="Abadi"/>
          <w:b/>
          <w:bCs/>
          <w:spacing w:val="11"/>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dictamen</w:t>
      </w:r>
      <w:r w:rsidRPr="00AD79C7">
        <w:rPr>
          <w:rFonts w:ascii="Abadi" w:hAnsi="Abadi"/>
          <w:b/>
          <w:bCs/>
          <w:spacing w:val="11"/>
          <w:sz w:val="21"/>
          <w:szCs w:val="21"/>
        </w:rPr>
        <w:t xml:space="preserve"> </w:t>
      </w:r>
      <w:r w:rsidRPr="00AD79C7">
        <w:rPr>
          <w:rFonts w:ascii="Abadi" w:hAnsi="Abadi"/>
          <w:b/>
          <w:bCs/>
          <w:sz w:val="21"/>
          <w:szCs w:val="21"/>
        </w:rPr>
        <w:t>signado</w:t>
      </w:r>
      <w:r w:rsidRPr="00AD79C7">
        <w:rPr>
          <w:rFonts w:ascii="Abadi" w:hAnsi="Abadi"/>
          <w:b/>
          <w:bCs/>
          <w:spacing w:val="11"/>
          <w:sz w:val="21"/>
          <w:szCs w:val="21"/>
        </w:rPr>
        <w:t xml:space="preserve"> </w:t>
      </w:r>
      <w:r w:rsidRPr="00AD79C7">
        <w:rPr>
          <w:rFonts w:ascii="Abadi" w:hAnsi="Abadi"/>
          <w:b/>
          <w:bCs/>
          <w:sz w:val="21"/>
          <w:szCs w:val="21"/>
        </w:rPr>
        <w:t>por</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Comisión de</w:t>
      </w:r>
      <w:r w:rsidRPr="00AD79C7">
        <w:rPr>
          <w:rFonts w:ascii="Abadi" w:hAnsi="Abadi"/>
          <w:b/>
          <w:bCs/>
          <w:spacing w:val="10"/>
          <w:sz w:val="21"/>
          <w:szCs w:val="21"/>
        </w:rPr>
        <w:t xml:space="preserve"> </w:t>
      </w:r>
      <w:r w:rsidRPr="00AD79C7">
        <w:rPr>
          <w:rFonts w:ascii="Abadi" w:hAnsi="Abadi"/>
          <w:b/>
          <w:bCs/>
          <w:sz w:val="21"/>
          <w:szCs w:val="21"/>
        </w:rPr>
        <w:t>Hacienda</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Fiscalización</w:t>
      </w:r>
      <w:r w:rsidRPr="00AD79C7">
        <w:rPr>
          <w:rFonts w:ascii="Abadi" w:hAnsi="Abadi"/>
          <w:b/>
          <w:bCs/>
          <w:spacing w:val="10"/>
          <w:sz w:val="21"/>
          <w:szCs w:val="21"/>
        </w:rPr>
        <w:t xml:space="preserve"> </w:t>
      </w:r>
      <w:r w:rsidRPr="00AD79C7">
        <w:rPr>
          <w:rFonts w:ascii="Abadi" w:hAnsi="Abadi"/>
          <w:b/>
          <w:bCs/>
          <w:sz w:val="21"/>
          <w:szCs w:val="21"/>
        </w:rPr>
        <w:t>relativo</w:t>
      </w:r>
      <w:r w:rsidRPr="00AD79C7">
        <w:rPr>
          <w:rFonts w:ascii="Abadi" w:hAnsi="Abadi"/>
          <w:b/>
          <w:bCs/>
          <w:spacing w:val="10"/>
          <w:sz w:val="21"/>
          <w:szCs w:val="21"/>
        </w:rPr>
        <w:t xml:space="preserve"> </w:t>
      </w:r>
      <w:r w:rsidRPr="00AD79C7">
        <w:rPr>
          <w:rFonts w:ascii="Abadi" w:hAnsi="Abadi"/>
          <w:b/>
          <w:bCs/>
          <w:sz w:val="21"/>
          <w:szCs w:val="21"/>
        </w:rPr>
        <w:t>al</w:t>
      </w:r>
      <w:r w:rsidRPr="00AD79C7">
        <w:rPr>
          <w:rFonts w:ascii="Abadi" w:hAnsi="Abadi"/>
          <w:b/>
          <w:bCs/>
          <w:spacing w:val="9"/>
          <w:sz w:val="21"/>
          <w:szCs w:val="21"/>
        </w:rPr>
        <w:t xml:space="preserve"> </w:t>
      </w:r>
      <w:r w:rsidRPr="00AD79C7">
        <w:rPr>
          <w:rFonts w:ascii="Abadi" w:hAnsi="Abadi"/>
          <w:b/>
          <w:bCs/>
          <w:sz w:val="21"/>
          <w:szCs w:val="21"/>
        </w:rPr>
        <w:t>informe</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resultados</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revisión practicada</w:t>
      </w:r>
      <w:r w:rsidRPr="00AD79C7">
        <w:rPr>
          <w:rFonts w:ascii="Abadi" w:hAnsi="Abadi"/>
          <w:b/>
          <w:bCs/>
          <w:spacing w:val="10"/>
          <w:sz w:val="21"/>
          <w:szCs w:val="21"/>
        </w:rPr>
        <w:t xml:space="preserve"> </w:t>
      </w:r>
      <w:r w:rsidRPr="00AD79C7">
        <w:rPr>
          <w:rFonts w:ascii="Abadi" w:hAnsi="Abadi"/>
          <w:b/>
          <w:bCs/>
          <w:sz w:val="21"/>
          <w:szCs w:val="21"/>
        </w:rPr>
        <w:t>por</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Auditoría</w:t>
      </w:r>
      <w:r w:rsidRPr="00AD79C7">
        <w:rPr>
          <w:rFonts w:ascii="Abadi" w:hAnsi="Abadi"/>
          <w:b/>
          <w:bCs/>
          <w:spacing w:val="9"/>
          <w:sz w:val="21"/>
          <w:szCs w:val="21"/>
        </w:rPr>
        <w:t xml:space="preserve"> </w:t>
      </w:r>
      <w:r w:rsidRPr="00AD79C7">
        <w:rPr>
          <w:rFonts w:ascii="Abadi" w:hAnsi="Abadi"/>
          <w:b/>
          <w:bCs/>
          <w:sz w:val="21"/>
          <w:szCs w:val="21"/>
        </w:rPr>
        <w:t>Superior</w:t>
      </w:r>
      <w:r w:rsidRPr="00AD79C7">
        <w:rPr>
          <w:rFonts w:ascii="Abadi" w:hAnsi="Abadi"/>
          <w:b/>
          <w:bCs/>
          <w:spacing w:val="9"/>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Estado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Guanajuato,</w:t>
      </w:r>
      <w:r w:rsidRPr="00AD79C7">
        <w:rPr>
          <w:rFonts w:ascii="Abadi" w:hAnsi="Abadi"/>
          <w:b/>
          <w:bCs/>
          <w:spacing w:val="9"/>
          <w:sz w:val="21"/>
          <w:szCs w:val="21"/>
        </w:rPr>
        <w:t xml:space="preserve"> </w:t>
      </w:r>
      <w:r w:rsidRPr="00AD79C7">
        <w:rPr>
          <w:rFonts w:ascii="Abadi" w:hAnsi="Abadi"/>
          <w:b/>
          <w:bCs/>
          <w:sz w:val="21"/>
          <w:szCs w:val="21"/>
        </w:rPr>
        <w:t>a</w:t>
      </w:r>
      <w:r w:rsidRPr="00AD79C7">
        <w:rPr>
          <w:rFonts w:ascii="Abadi" w:hAnsi="Abadi"/>
          <w:b/>
          <w:bCs/>
          <w:spacing w:val="8"/>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cuenta pública</w:t>
      </w:r>
      <w:r w:rsidRPr="00AD79C7">
        <w:rPr>
          <w:rFonts w:ascii="Abadi" w:hAnsi="Abadi"/>
          <w:b/>
          <w:bCs/>
          <w:spacing w:val="80"/>
          <w:sz w:val="21"/>
          <w:szCs w:val="21"/>
        </w:rPr>
        <w:t xml:space="preserve"> </w:t>
      </w:r>
      <w:r w:rsidRPr="00AD79C7">
        <w:rPr>
          <w:rFonts w:ascii="Abadi" w:hAnsi="Abadi"/>
          <w:b/>
          <w:bCs/>
          <w:sz w:val="21"/>
          <w:szCs w:val="21"/>
        </w:rPr>
        <w:t>municipal</w:t>
      </w:r>
      <w:r w:rsidRPr="00AD79C7">
        <w:rPr>
          <w:rFonts w:ascii="Abadi" w:hAnsi="Abadi"/>
          <w:b/>
          <w:bCs/>
          <w:spacing w:val="80"/>
          <w:sz w:val="21"/>
          <w:szCs w:val="21"/>
        </w:rPr>
        <w:t xml:space="preserve"> </w:t>
      </w:r>
      <w:r w:rsidRPr="00AD79C7">
        <w:rPr>
          <w:rFonts w:ascii="Abadi" w:hAnsi="Abadi"/>
          <w:b/>
          <w:bCs/>
          <w:sz w:val="21"/>
          <w:szCs w:val="21"/>
        </w:rPr>
        <w:t>de</w:t>
      </w:r>
      <w:r w:rsidRPr="00AD79C7">
        <w:rPr>
          <w:rFonts w:ascii="Abadi" w:hAnsi="Abadi"/>
          <w:b/>
          <w:bCs/>
          <w:spacing w:val="80"/>
          <w:sz w:val="21"/>
          <w:szCs w:val="21"/>
        </w:rPr>
        <w:t xml:space="preserve"> </w:t>
      </w:r>
      <w:r w:rsidRPr="00AD79C7">
        <w:rPr>
          <w:rFonts w:ascii="Abadi" w:hAnsi="Abadi"/>
          <w:b/>
          <w:bCs/>
          <w:sz w:val="21"/>
          <w:szCs w:val="21"/>
        </w:rPr>
        <w:t>San</w:t>
      </w:r>
      <w:r w:rsidRPr="00AD79C7">
        <w:rPr>
          <w:rFonts w:ascii="Abadi" w:hAnsi="Abadi"/>
          <w:b/>
          <w:bCs/>
          <w:spacing w:val="80"/>
          <w:sz w:val="21"/>
          <w:szCs w:val="21"/>
        </w:rPr>
        <w:t xml:space="preserve"> </w:t>
      </w:r>
      <w:r w:rsidRPr="00AD79C7">
        <w:rPr>
          <w:rFonts w:ascii="Abadi" w:hAnsi="Abadi"/>
          <w:b/>
          <w:bCs/>
          <w:sz w:val="21"/>
          <w:szCs w:val="21"/>
        </w:rPr>
        <w:t>Miguel</w:t>
      </w:r>
      <w:r w:rsidRPr="00AD79C7">
        <w:rPr>
          <w:rFonts w:ascii="Abadi" w:hAnsi="Abadi"/>
          <w:b/>
          <w:bCs/>
          <w:spacing w:val="80"/>
          <w:sz w:val="21"/>
          <w:szCs w:val="21"/>
        </w:rPr>
        <w:t xml:space="preserve"> </w:t>
      </w:r>
      <w:r w:rsidRPr="00AD79C7">
        <w:rPr>
          <w:rFonts w:ascii="Abadi" w:hAnsi="Abadi"/>
          <w:b/>
          <w:bCs/>
          <w:sz w:val="21"/>
          <w:szCs w:val="21"/>
        </w:rPr>
        <w:t>de</w:t>
      </w:r>
      <w:r w:rsidRPr="00AD79C7">
        <w:rPr>
          <w:rFonts w:ascii="Abadi" w:hAnsi="Abadi"/>
          <w:b/>
          <w:bCs/>
          <w:spacing w:val="80"/>
          <w:sz w:val="21"/>
          <w:szCs w:val="21"/>
        </w:rPr>
        <w:t xml:space="preserve"> </w:t>
      </w:r>
      <w:r w:rsidRPr="00AD79C7">
        <w:rPr>
          <w:rFonts w:ascii="Abadi" w:hAnsi="Abadi"/>
          <w:b/>
          <w:bCs/>
          <w:sz w:val="21"/>
          <w:szCs w:val="21"/>
        </w:rPr>
        <w:t>Allende,</w:t>
      </w:r>
      <w:r w:rsidRPr="00AD79C7">
        <w:rPr>
          <w:rFonts w:ascii="Abadi" w:hAnsi="Abadi"/>
          <w:b/>
          <w:bCs/>
          <w:spacing w:val="80"/>
          <w:sz w:val="21"/>
          <w:szCs w:val="21"/>
        </w:rPr>
        <w:t xml:space="preserve"> </w:t>
      </w:r>
      <w:r w:rsidRPr="00AD79C7">
        <w:rPr>
          <w:rFonts w:ascii="Abadi" w:hAnsi="Abadi"/>
          <w:b/>
          <w:bCs/>
          <w:sz w:val="21"/>
          <w:szCs w:val="21"/>
        </w:rPr>
        <w:t>Gto.,</w:t>
      </w:r>
      <w:r w:rsidRPr="00AD79C7">
        <w:rPr>
          <w:rFonts w:ascii="Abadi" w:hAnsi="Abadi"/>
          <w:b/>
          <w:bCs/>
          <w:spacing w:val="80"/>
          <w:sz w:val="21"/>
          <w:szCs w:val="21"/>
        </w:rPr>
        <w:t xml:space="preserve"> </w:t>
      </w:r>
      <w:r w:rsidRPr="00AD79C7">
        <w:rPr>
          <w:rFonts w:ascii="Abadi" w:hAnsi="Abadi"/>
          <w:b/>
          <w:bCs/>
          <w:sz w:val="21"/>
          <w:szCs w:val="21"/>
        </w:rPr>
        <w:t>correspondiente</w:t>
      </w:r>
      <w:r w:rsidRPr="00AD79C7">
        <w:rPr>
          <w:rFonts w:ascii="Abadi" w:hAnsi="Abadi"/>
          <w:b/>
          <w:bCs/>
          <w:spacing w:val="80"/>
          <w:sz w:val="21"/>
          <w:szCs w:val="21"/>
        </w:rPr>
        <w:t xml:space="preserve"> </w:t>
      </w:r>
      <w:r w:rsidRPr="00AD79C7">
        <w:rPr>
          <w:rFonts w:ascii="Abadi" w:hAnsi="Abadi"/>
          <w:b/>
          <w:bCs/>
          <w:sz w:val="21"/>
          <w:szCs w:val="21"/>
        </w:rPr>
        <w:t>al ejercicio fiscal del año</w:t>
      </w:r>
      <w:r w:rsidRPr="00AD79C7">
        <w:rPr>
          <w:rFonts w:ascii="Abadi" w:hAnsi="Abadi"/>
          <w:b/>
          <w:bCs/>
          <w:spacing w:val="-1"/>
          <w:sz w:val="21"/>
          <w:szCs w:val="21"/>
        </w:rPr>
        <w:t xml:space="preserve"> </w:t>
      </w:r>
      <w:r w:rsidRPr="00AD79C7">
        <w:rPr>
          <w:rFonts w:ascii="Abadi" w:hAnsi="Abadi"/>
          <w:b/>
          <w:bCs/>
          <w:sz w:val="21"/>
          <w:szCs w:val="21"/>
        </w:rPr>
        <w:t>2020.</w:t>
      </w:r>
    </w:p>
    <w:p w14:paraId="78A91BA0" w14:textId="77777777" w:rsidR="00A636EB" w:rsidRPr="00AD79C7" w:rsidRDefault="00A636EB" w:rsidP="006B00FD">
      <w:pPr>
        <w:kinsoku w:val="0"/>
        <w:overflowPunct w:val="0"/>
        <w:autoSpaceDE w:val="0"/>
        <w:autoSpaceDN w:val="0"/>
        <w:adjustRightInd w:val="0"/>
        <w:ind w:right="566"/>
        <w:jc w:val="both"/>
        <w:rPr>
          <w:rFonts w:ascii="Abadi" w:hAnsi="Abadi" w:cs="Arial"/>
          <w:b/>
          <w:bCs/>
          <w:sz w:val="21"/>
          <w:szCs w:val="21"/>
        </w:rPr>
      </w:pPr>
    </w:p>
    <w:p w14:paraId="0A95CA3B" w14:textId="37673885" w:rsidR="00A636EB" w:rsidRDefault="00A636EB"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1"/>
          <w:sz w:val="21"/>
          <w:szCs w:val="21"/>
        </w:rPr>
        <w:t xml:space="preserve"> </w:t>
      </w:r>
      <w:r w:rsidRPr="00AD79C7">
        <w:rPr>
          <w:rFonts w:ascii="Abadi" w:hAnsi="Abadi"/>
          <w:b/>
          <w:bCs/>
          <w:sz w:val="21"/>
          <w:szCs w:val="21"/>
        </w:rPr>
        <w:t>y,</w:t>
      </w:r>
      <w:r w:rsidRPr="00AD79C7">
        <w:rPr>
          <w:rFonts w:ascii="Abadi" w:hAnsi="Abadi"/>
          <w:b/>
          <w:bCs/>
          <w:spacing w:val="11"/>
          <w:sz w:val="21"/>
          <w:szCs w:val="21"/>
        </w:rPr>
        <w:t xml:space="preserve"> </w:t>
      </w:r>
      <w:r w:rsidRPr="00AD79C7">
        <w:rPr>
          <w:rFonts w:ascii="Abadi" w:hAnsi="Abadi"/>
          <w:b/>
          <w:bCs/>
          <w:sz w:val="21"/>
          <w:szCs w:val="21"/>
        </w:rPr>
        <w:t>en</w:t>
      </w:r>
      <w:r w:rsidRPr="00AD79C7">
        <w:rPr>
          <w:rFonts w:ascii="Abadi" w:hAnsi="Abadi"/>
          <w:b/>
          <w:bCs/>
          <w:spacing w:val="11"/>
          <w:sz w:val="21"/>
          <w:szCs w:val="21"/>
        </w:rPr>
        <w:t xml:space="preserve"> </w:t>
      </w:r>
      <w:r w:rsidRPr="00AD79C7">
        <w:rPr>
          <w:rFonts w:ascii="Abadi" w:hAnsi="Abadi"/>
          <w:b/>
          <w:bCs/>
          <w:sz w:val="21"/>
          <w:szCs w:val="21"/>
        </w:rPr>
        <w:t>su</w:t>
      </w:r>
      <w:r w:rsidRPr="00AD79C7">
        <w:rPr>
          <w:rFonts w:ascii="Abadi" w:hAnsi="Abadi"/>
          <w:b/>
          <w:bCs/>
          <w:spacing w:val="11"/>
          <w:sz w:val="21"/>
          <w:szCs w:val="21"/>
        </w:rPr>
        <w:t xml:space="preserve"> </w:t>
      </w:r>
      <w:r w:rsidRPr="00AD79C7">
        <w:rPr>
          <w:rFonts w:ascii="Abadi" w:hAnsi="Abadi"/>
          <w:b/>
          <w:bCs/>
          <w:sz w:val="21"/>
          <w:szCs w:val="21"/>
        </w:rPr>
        <w:t>caso,</w:t>
      </w:r>
      <w:r w:rsidRPr="00AD79C7">
        <w:rPr>
          <w:rFonts w:ascii="Abadi" w:hAnsi="Abadi"/>
          <w:b/>
          <w:bCs/>
          <w:spacing w:val="11"/>
          <w:sz w:val="21"/>
          <w:szCs w:val="21"/>
        </w:rPr>
        <w:t xml:space="preserve"> </w:t>
      </w:r>
      <w:r w:rsidRPr="00AD79C7">
        <w:rPr>
          <w:rFonts w:ascii="Abadi" w:hAnsi="Abadi"/>
          <w:b/>
          <w:bCs/>
          <w:sz w:val="21"/>
          <w:szCs w:val="21"/>
        </w:rPr>
        <w:t>aprobación</w:t>
      </w:r>
      <w:r w:rsidRPr="00AD79C7">
        <w:rPr>
          <w:rFonts w:ascii="Abadi" w:hAnsi="Abadi"/>
          <w:b/>
          <w:bCs/>
          <w:spacing w:val="11"/>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dictamen</w:t>
      </w:r>
      <w:r w:rsidRPr="00AD79C7">
        <w:rPr>
          <w:rFonts w:ascii="Abadi" w:hAnsi="Abadi"/>
          <w:b/>
          <w:bCs/>
          <w:spacing w:val="11"/>
          <w:sz w:val="21"/>
          <w:szCs w:val="21"/>
        </w:rPr>
        <w:t xml:space="preserve"> </w:t>
      </w:r>
      <w:r w:rsidRPr="00AD79C7">
        <w:rPr>
          <w:rFonts w:ascii="Abadi" w:hAnsi="Abadi"/>
          <w:b/>
          <w:bCs/>
          <w:sz w:val="21"/>
          <w:szCs w:val="21"/>
        </w:rPr>
        <w:t>signado</w:t>
      </w:r>
      <w:r w:rsidRPr="00AD79C7">
        <w:rPr>
          <w:rFonts w:ascii="Abadi" w:hAnsi="Abadi"/>
          <w:b/>
          <w:bCs/>
          <w:spacing w:val="11"/>
          <w:sz w:val="21"/>
          <w:szCs w:val="21"/>
        </w:rPr>
        <w:t xml:space="preserve"> </w:t>
      </w:r>
      <w:r w:rsidRPr="00AD79C7">
        <w:rPr>
          <w:rFonts w:ascii="Abadi" w:hAnsi="Abadi"/>
          <w:b/>
          <w:bCs/>
          <w:sz w:val="21"/>
          <w:szCs w:val="21"/>
        </w:rPr>
        <w:t>por</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Comisión de</w:t>
      </w:r>
      <w:r w:rsidRPr="00AD79C7">
        <w:rPr>
          <w:rFonts w:ascii="Abadi" w:hAnsi="Abadi"/>
          <w:b/>
          <w:bCs/>
          <w:spacing w:val="10"/>
          <w:sz w:val="21"/>
          <w:szCs w:val="21"/>
        </w:rPr>
        <w:t xml:space="preserve"> </w:t>
      </w:r>
      <w:r w:rsidRPr="00AD79C7">
        <w:rPr>
          <w:rFonts w:ascii="Abadi" w:hAnsi="Abadi"/>
          <w:b/>
          <w:bCs/>
          <w:sz w:val="21"/>
          <w:szCs w:val="21"/>
        </w:rPr>
        <w:t>Hacienda</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Fiscalización</w:t>
      </w:r>
      <w:r w:rsidRPr="00AD79C7">
        <w:rPr>
          <w:rFonts w:ascii="Abadi" w:hAnsi="Abadi"/>
          <w:b/>
          <w:bCs/>
          <w:spacing w:val="10"/>
          <w:sz w:val="21"/>
          <w:szCs w:val="21"/>
        </w:rPr>
        <w:t xml:space="preserve"> </w:t>
      </w:r>
      <w:r w:rsidRPr="00AD79C7">
        <w:rPr>
          <w:rFonts w:ascii="Abadi" w:hAnsi="Abadi"/>
          <w:b/>
          <w:bCs/>
          <w:sz w:val="21"/>
          <w:szCs w:val="21"/>
        </w:rPr>
        <w:t>relativo</w:t>
      </w:r>
      <w:r w:rsidRPr="00AD79C7">
        <w:rPr>
          <w:rFonts w:ascii="Abadi" w:hAnsi="Abadi"/>
          <w:b/>
          <w:bCs/>
          <w:spacing w:val="10"/>
          <w:sz w:val="21"/>
          <w:szCs w:val="21"/>
        </w:rPr>
        <w:t xml:space="preserve"> </w:t>
      </w:r>
      <w:r w:rsidRPr="00AD79C7">
        <w:rPr>
          <w:rFonts w:ascii="Abadi" w:hAnsi="Abadi"/>
          <w:b/>
          <w:bCs/>
          <w:sz w:val="21"/>
          <w:szCs w:val="21"/>
        </w:rPr>
        <w:t>al</w:t>
      </w:r>
      <w:r w:rsidRPr="00AD79C7">
        <w:rPr>
          <w:rFonts w:ascii="Abadi" w:hAnsi="Abadi"/>
          <w:b/>
          <w:bCs/>
          <w:spacing w:val="9"/>
          <w:sz w:val="21"/>
          <w:szCs w:val="21"/>
        </w:rPr>
        <w:t xml:space="preserve"> </w:t>
      </w:r>
      <w:r w:rsidRPr="00AD79C7">
        <w:rPr>
          <w:rFonts w:ascii="Abadi" w:hAnsi="Abadi"/>
          <w:b/>
          <w:bCs/>
          <w:sz w:val="21"/>
          <w:szCs w:val="21"/>
        </w:rPr>
        <w:t>informe</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resultados</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revisión practicada</w:t>
      </w:r>
      <w:r w:rsidRPr="00AD79C7">
        <w:rPr>
          <w:rFonts w:ascii="Abadi" w:hAnsi="Abadi"/>
          <w:b/>
          <w:bCs/>
          <w:spacing w:val="10"/>
          <w:sz w:val="21"/>
          <w:szCs w:val="21"/>
        </w:rPr>
        <w:t xml:space="preserve"> </w:t>
      </w:r>
      <w:r w:rsidRPr="00AD79C7">
        <w:rPr>
          <w:rFonts w:ascii="Abadi" w:hAnsi="Abadi"/>
          <w:b/>
          <w:bCs/>
          <w:sz w:val="21"/>
          <w:szCs w:val="21"/>
        </w:rPr>
        <w:t>por</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Auditoría</w:t>
      </w:r>
      <w:r w:rsidRPr="00AD79C7">
        <w:rPr>
          <w:rFonts w:ascii="Abadi" w:hAnsi="Abadi"/>
          <w:b/>
          <w:bCs/>
          <w:spacing w:val="10"/>
          <w:sz w:val="21"/>
          <w:szCs w:val="21"/>
        </w:rPr>
        <w:t xml:space="preserve"> </w:t>
      </w:r>
      <w:r w:rsidRPr="00AD79C7">
        <w:rPr>
          <w:rFonts w:ascii="Abadi" w:hAnsi="Abadi"/>
          <w:b/>
          <w:bCs/>
          <w:sz w:val="21"/>
          <w:szCs w:val="21"/>
        </w:rPr>
        <w:t>Superior</w:t>
      </w:r>
      <w:r w:rsidRPr="00AD79C7">
        <w:rPr>
          <w:rFonts w:ascii="Abadi" w:hAnsi="Abadi"/>
          <w:b/>
          <w:bCs/>
          <w:spacing w:val="9"/>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Estado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Guanajuato,</w:t>
      </w:r>
      <w:r w:rsidRPr="00AD79C7">
        <w:rPr>
          <w:rFonts w:ascii="Abadi" w:hAnsi="Abadi"/>
          <w:b/>
          <w:bCs/>
          <w:spacing w:val="9"/>
          <w:sz w:val="21"/>
          <w:szCs w:val="21"/>
        </w:rPr>
        <w:t xml:space="preserve"> </w:t>
      </w:r>
      <w:r w:rsidRPr="00AD79C7">
        <w:rPr>
          <w:rFonts w:ascii="Abadi" w:hAnsi="Abadi"/>
          <w:b/>
          <w:bCs/>
          <w:sz w:val="21"/>
          <w:szCs w:val="21"/>
        </w:rPr>
        <w:t>a</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cuenta pública</w:t>
      </w:r>
      <w:r w:rsidRPr="00AD79C7">
        <w:rPr>
          <w:rFonts w:ascii="Abadi" w:hAnsi="Abadi"/>
          <w:b/>
          <w:bCs/>
          <w:spacing w:val="-8"/>
          <w:sz w:val="21"/>
          <w:szCs w:val="21"/>
        </w:rPr>
        <w:t xml:space="preserve"> </w:t>
      </w:r>
      <w:r w:rsidRPr="00AD79C7">
        <w:rPr>
          <w:rFonts w:ascii="Abadi" w:hAnsi="Abadi"/>
          <w:b/>
          <w:bCs/>
          <w:sz w:val="21"/>
          <w:szCs w:val="21"/>
        </w:rPr>
        <w:t>municipal</w:t>
      </w:r>
      <w:r w:rsidRPr="00AD79C7">
        <w:rPr>
          <w:rFonts w:ascii="Abadi" w:hAnsi="Abadi"/>
          <w:b/>
          <w:bCs/>
          <w:spacing w:val="-8"/>
          <w:sz w:val="21"/>
          <w:szCs w:val="21"/>
        </w:rPr>
        <w:t xml:space="preserve"> </w:t>
      </w:r>
      <w:r w:rsidRPr="00AD79C7">
        <w:rPr>
          <w:rFonts w:ascii="Abadi" w:hAnsi="Abadi"/>
          <w:b/>
          <w:bCs/>
          <w:sz w:val="21"/>
          <w:szCs w:val="21"/>
        </w:rPr>
        <w:t>de</w:t>
      </w:r>
      <w:r w:rsidRPr="00AD79C7">
        <w:rPr>
          <w:rFonts w:ascii="Abadi" w:hAnsi="Abadi"/>
          <w:b/>
          <w:bCs/>
          <w:spacing w:val="-8"/>
          <w:sz w:val="21"/>
          <w:szCs w:val="21"/>
        </w:rPr>
        <w:t xml:space="preserve"> </w:t>
      </w:r>
      <w:r w:rsidRPr="00AD79C7">
        <w:rPr>
          <w:rFonts w:ascii="Abadi" w:hAnsi="Abadi"/>
          <w:b/>
          <w:bCs/>
          <w:sz w:val="21"/>
          <w:szCs w:val="21"/>
        </w:rPr>
        <w:t>Salamanca,</w:t>
      </w:r>
      <w:r w:rsidRPr="00AD79C7">
        <w:rPr>
          <w:rFonts w:ascii="Abadi" w:hAnsi="Abadi"/>
          <w:b/>
          <w:bCs/>
          <w:spacing w:val="-8"/>
          <w:sz w:val="21"/>
          <w:szCs w:val="21"/>
        </w:rPr>
        <w:t xml:space="preserve"> </w:t>
      </w:r>
      <w:r w:rsidRPr="00AD79C7">
        <w:rPr>
          <w:rFonts w:ascii="Abadi" w:hAnsi="Abadi"/>
          <w:b/>
          <w:bCs/>
          <w:sz w:val="21"/>
          <w:szCs w:val="21"/>
        </w:rPr>
        <w:t>Gto.,</w:t>
      </w:r>
      <w:r w:rsidRPr="00AD79C7">
        <w:rPr>
          <w:rFonts w:ascii="Abadi" w:hAnsi="Abadi"/>
          <w:b/>
          <w:bCs/>
          <w:spacing w:val="-8"/>
          <w:sz w:val="21"/>
          <w:szCs w:val="21"/>
        </w:rPr>
        <w:t xml:space="preserve"> </w:t>
      </w:r>
      <w:r w:rsidRPr="00AD79C7">
        <w:rPr>
          <w:rFonts w:ascii="Abadi" w:hAnsi="Abadi"/>
          <w:b/>
          <w:bCs/>
          <w:sz w:val="21"/>
          <w:szCs w:val="21"/>
        </w:rPr>
        <w:t>correspondiente</w:t>
      </w:r>
      <w:r w:rsidRPr="00AD79C7">
        <w:rPr>
          <w:rFonts w:ascii="Abadi" w:hAnsi="Abadi"/>
          <w:b/>
          <w:bCs/>
          <w:spacing w:val="-8"/>
          <w:sz w:val="21"/>
          <w:szCs w:val="21"/>
        </w:rPr>
        <w:t xml:space="preserve"> </w:t>
      </w:r>
      <w:r w:rsidRPr="00AD79C7">
        <w:rPr>
          <w:rFonts w:ascii="Abadi" w:hAnsi="Abadi"/>
          <w:b/>
          <w:bCs/>
          <w:sz w:val="21"/>
          <w:szCs w:val="21"/>
        </w:rPr>
        <w:t>al</w:t>
      </w:r>
      <w:r w:rsidRPr="00AD79C7">
        <w:rPr>
          <w:rFonts w:ascii="Abadi" w:hAnsi="Abadi"/>
          <w:b/>
          <w:bCs/>
          <w:spacing w:val="-8"/>
          <w:sz w:val="21"/>
          <w:szCs w:val="21"/>
        </w:rPr>
        <w:t xml:space="preserve"> </w:t>
      </w:r>
      <w:r w:rsidRPr="00AD79C7">
        <w:rPr>
          <w:rFonts w:ascii="Abadi" w:hAnsi="Abadi"/>
          <w:b/>
          <w:bCs/>
          <w:sz w:val="21"/>
          <w:szCs w:val="21"/>
        </w:rPr>
        <w:t>ejercicio</w:t>
      </w:r>
      <w:r w:rsidRPr="00AD79C7">
        <w:rPr>
          <w:rFonts w:ascii="Abadi" w:hAnsi="Abadi"/>
          <w:b/>
          <w:bCs/>
          <w:spacing w:val="-8"/>
          <w:sz w:val="21"/>
          <w:szCs w:val="21"/>
        </w:rPr>
        <w:t xml:space="preserve"> </w:t>
      </w:r>
      <w:r w:rsidRPr="00AD79C7">
        <w:rPr>
          <w:rFonts w:ascii="Abadi" w:hAnsi="Abadi"/>
          <w:b/>
          <w:bCs/>
          <w:sz w:val="21"/>
          <w:szCs w:val="21"/>
        </w:rPr>
        <w:t>fiscal</w:t>
      </w:r>
      <w:r w:rsidRPr="00AD79C7">
        <w:rPr>
          <w:rFonts w:ascii="Abadi" w:hAnsi="Abadi"/>
          <w:b/>
          <w:bCs/>
          <w:spacing w:val="-8"/>
          <w:sz w:val="21"/>
          <w:szCs w:val="21"/>
        </w:rPr>
        <w:t xml:space="preserve"> </w:t>
      </w:r>
      <w:r w:rsidRPr="00AD79C7">
        <w:rPr>
          <w:rFonts w:ascii="Abadi" w:hAnsi="Abadi"/>
          <w:b/>
          <w:bCs/>
          <w:sz w:val="21"/>
          <w:szCs w:val="21"/>
        </w:rPr>
        <w:t>del año 2020.</w:t>
      </w:r>
    </w:p>
    <w:p w14:paraId="5144E23C" w14:textId="77777777" w:rsidR="00337289" w:rsidRPr="00337289" w:rsidRDefault="00337289" w:rsidP="006B00FD">
      <w:pPr>
        <w:pStyle w:val="Prrafodelista"/>
        <w:ind w:right="566"/>
        <w:rPr>
          <w:rFonts w:ascii="Abadi" w:hAnsi="Abadi"/>
          <w:b/>
          <w:bCs/>
          <w:sz w:val="21"/>
          <w:szCs w:val="21"/>
        </w:rPr>
      </w:pPr>
    </w:p>
    <w:p w14:paraId="3F85A0D3" w14:textId="77777777" w:rsidR="00C215A6" w:rsidRPr="00AD79C7" w:rsidRDefault="00C215A6" w:rsidP="005433FA">
      <w:pPr>
        <w:pStyle w:val="Prrafodelista"/>
        <w:numPr>
          <w:ilvl w:val="0"/>
          <w:numId w:val="8"/>
        </w:numPr>
        <w:tabs>
          <w:tab w:val="left" w:pos="856"/>
        </w:tabs>
        <w:kinsoku w:val="0"/>
        <w:overflowPunct w:val="0"/>
        <w:autoSpaceDE w:val="0"/>
        <w:autoSpaceDN w:val="0"/>
        <w:adjustRightInd w:val="0"/>
        <w:spacing w:before="22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1"/>
          <w:sz w:val="21"/>
          <w:szCs w:val="21"/>
        </w:rPr>
        <w:t xml:space="preserve"> </w:t>
      </w:r>
      <w:r w:rsidRPr="00AD79C7">
        <w:rPr>
          <w:rFonts w:ascii="Abadi" w:hAnsi="Abadi"/>
          <w:b/>
          <w:bCs/>
          <w:sz w:val="21"/>
          <w:szCs w:val="21"/>
        </w:rPr>
        <w:t>y,</w:t>
      </w:r>
      <w:r w:rsidRPr="00AD79C7">
        <w:rPr>
          <w:rFonts w:ascii="Abadi" w:hAnsi="Abadi"/>
          <w:b/>
          <w:bCs/>
          <w:spacing w:val="11"/>
          <w:sz w:val="21"/>
          <w:szCs w:val="21"/>
        </w:rPr>
        <w:t xml:space="preserve"> </w:t>
      </w:r>
      <w:r w:rsidRPr="00AD79C7">
        <w:rPr>
          <w:rFonts w:ascii="Abadi" w:hAnsi="Abadi"/>
          <w:b/>
          <w:bCs/>
          <w:sz w:val="21"/>
          <w:szCs w:val="21"/>
        </w:rPr>
        <w:t>en</w:t>
      </w:r>
      <w:r w:rsidRPr="00AD79C7">
        <w:rPr>
          <w:rFonts w:ascii="Abadi" w:hAnsi="Abadi"/>
          <w:b/>
          <w:bCs/>
          <w:spacing w:val="11"/>
          <w:sz w:val="21"/>
          <w:szCs w:val="21"/>
        </w:rPr>
        <w:t xml:space="preserve"> </w:t>
      </w:r>
      <w:r w:rsidRPr="00AD79C7">
        <w:rPr>
          <w:rFonts w:ascii="Abadi" w:hAnsi="Abadi"/>
          <w:b/>
          <w:bCs/>
          <w:sz w:val="21"/>
          <w:szCs w:val="21"/>
        </w:rPr>
        <w:t>su</w:t>
      </w:r>
      <w:r w:rsidRPr="00AD79C7">
        <w:rPr>
          <w:rFonts w:ascii="Abadi" w:hAnsi="Abadi"/>
          <w:b/>
          <w:bCs/>
          <w:spacing w:val="11"/>
          <w:sz w:val="21"/>
          <w:szCs w:val="21"/>
        </w:rPr>
        <w:t xml:space="preserve"> </w:t>
      </w:r>
      <w:r w:rsidRPr="00AD79C7">
        <w:rPr>
          <w:rFonts w:ascii="Abadi" w:hAnsi="Abadi"/>
          <w:b/>
          <w:bCs/>
          <w:sz w:val="21"/>
          <w:szCs w:val="21"/>
        </w:rPr>
        <w:t>caso,</w:t>
      </w:r>
      <w:r w:rsidRPr="00AD79C7">
        <w:rPr>
          <w:rFonts w:ascii="Abadi" w:hAnsi="Abadi"/>
          <w:b/>
          <w:bCs/>
          <w:spacing w:val="11"/>
          <w:sz w:val="21"/>
          <w:szCs w:val="21"/>
        </w:rPr>
        <w:t xml:space="preserve"> </w:t>
      </w:r>
      <w:r w:rsidRPr="00AD79C7">
        <w:rPr>
          <w:rFonts w:ascii="Abadi" w:hAnsi="Abadi"/>
          <w:b/>
          <w:bCs/>
          <w:sz w:val="21"/>
          <w:szCs w:val="21"/>
        </w:rPr>
        <w:t>aprobación</w:t>
      </w:r>
      <w:r w:rsidRPr="00AD79C7">
        <w:rPr>
          <w:rFonts w:ascii="Abadi" w:hAnsi="Abadi"/>
          <w:b/>
          <w:bCs/>
          <w:spacing w:val="11"/>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dictamen</w:t>
      </w:r>
      <w:r w:rsidRPr="00AD79C7">
        <w:rPr>
          <w:rFonts w:ascii="Abadi" w:hAnsi="Abadi"/>
          <w:b/>
          <w:bCs/>
          <w:spacing w:val="11"/>
          <w:sz w:val="21"/>
          <w:szCs w:val="21"/>
        </w:rPr>
        <w:t xml:space="preserve"> </w:t>
      </w:r>
      <w:r w:rsidRPr="00AD79C7">
        <w:rPr>
          <w:rFonts w:ascii="Abadi" w:hAnsi="Abadi"/>
          <w:b/>
          <w:bCs/>
          <w:sz w:val="21"/>
          <w:szCs w:val="21"/>
        </w:rPr>
        <w:t>signado</w:t>
      </w:r>
      <w:r w:rsidRPr="00AD79C7">
        <w:rPr>
          <w:rFonts w:ascii="Abadi" w:hAnsi="Abadi"/>
          <w:b/>
          <w:bCs/>
          <w:spacing w:val="11"/>
          <w:sz w:val="21"/>
          <w:szCs w:val="21"/>
        </w:rPr>
        <w:t xml:space="preserve"> </w:t>
      </w:r>
      <w:r w:rsidRPr="00AD79C7">
        <w:rPr>
          <w:rFonts w:ascii="Abadi" w:hAnsi="Abadi"/>
          <w:b/>
          <w:bCs/>
          <w:sz w:val="21"/>
          <w:szCs w:val="21"/>
        </w:rPr>
        <w:t>por</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Comisión de</w:t>
      </w:r>
      <w:r w:rsidRPr="00AD79C7">
        <w:rPr>
          <w:rFonts w:ascii="Abadi" w:hAnsi="Abadi"/>
          <w:b/>
          <w:bCs/>
          <w:spacing w:val="10"/>
          <w:sz w:val="21"/>
          <w:szCs w:val="21"/>
        </w:rPr>
        <w:t xml:space="preserve"> </w:t>
      </w:r>
      <w:r w:rsidRPr="00AD79C7">
        <w:rPr>
          <w:rFonts w:ascii="Abadi" w:hAnsi="Abadi"/>
          <w:b/>
          <w:bCs/>
          <w:sz w:val="21"/>
          <w:szCs w:val="21"/>
        </w:rPr>
        <w:t>Hacienda</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Fiscalización</w:t>
      </w:r>
      <w:r w:rsidRPr="00AD79C7">
        <w:rPr>
          <w:rFonts w:ascii="Abadi" w:hAnsi="Abadi"/>
          <w:b/>
          <w:bCs/>
          <w:spacing w:val="10"/>
          <w:sz w:val="21"/>
          <w:szCs w:val="21"/>
        </w:rPr>
        <w:t xml:space="preserve"> </w:t>
      </w:r>
      <w:r w:rsidRPr="00AD79C7">
        <w:rPr>
          <w:rFonts w:ascii="Abadi" w:hAnsi="Abadi"/>
          <w:b/>
          <w:bCs/>
          <w:sz w:val="21"/>
          <w:szCs w:val="21"/>
        </w:rPr>
        <w:t>relativo</w:t>
      </w:r>
      <w:r w:rsidRPr="00AD79C7">
        <w:rPr>
          <w:rFonts w:ascii="Abadi" w:hAnsi="Abadi"/>
          <w:b/>
          <w:bCs/>
          <w:spacing w:val="10"/>
          <w:sz w:val="21"/>
          <w:szCs w:val="21"/>
        </w:rPr>
        <w:t xml:space="preserve"> </w:t>
      </w:r>
      <w:r w:rsidRPr="00AD79C7">
        <w:rPr>
          <w:rFonts w:ascii="Abadi" w:hAnsi="Abadi"/>
          <w:b/>
          <w:bCs/>
          <w:sz w:val="21"/>
          <w:szCs w:val="21"/>
        </w:rPr>
        <w:t>al</w:t>
      </w:r>
      <w:r w:rsidRPr="00AD79C7">
        <w:rPr>
          <w:rFonts w:ascii="Abadi" w:hAnsi="Abadi"/>
          <w:b/>
          <w:bCs/>
          <w:spacing w:val="9"/>
          <w:sz w:val="21"/>
          <w:szCs w:val="21"/>
        </w:rPr>
        <w:t xml:space="preserve"> </w:t>
      </w:r>
      <w:r w:rsidRPr="00AD79C7">
        <w:rPr>
          <w:rFonts w:ascii="Abadi" w:hAnsi="Abadi"/>
          <w:b/>
          <w:bCs/>
          <w:sz w:val="21"/>
          <w:szCs w:val="21"/>
        </w:rPr>
        <w:t>informe</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resultados</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revisión practicada</w:t>
      </w:r>
      <w:r w:rsidRPr="00AD79C7">
        <w:rPr>
          <w:rFonts w:ascii="Abadi" w:hAnsi="Abadi"/>
          <w:b/>
          <w:bCs/>
          <w:spacing w:val="10"/>
          <w:sz w:val="21"/>
          <w:szCs w:val="21"/>
        </w:rPr>
        <w:t xml:space="preserve"> </w:t>
      </w:r>
      <w:r w:rsidRPr="00AD79C7">
        <w:rPr>
          <w:rFonts w:ascii="Abadi" w:hAnsi="Abadi"/>
          <w:b/>
          <w:bCs/>
          <w:sz w:val="21"/>
          <w:szCs w:val="21"/>
        </w:rPr>
        <w:t>por</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Auditoría</w:t>
      </w:r>
      <w:r w:rsidRPr="00AD79C7">
        <w:rPr>
          <w:rFonts w:ascii="Abadi" w:hAnsi="Abadi"/>
          <w:b/>
          <w:bCs/>
          <w:spacing w:val="10"/>
          <w:sz w:val="21"/>
          <w:szCs w:val="21"/>
        </w:rPr>
        <w:t xml:space="preserve"> </w:t>
      </w:r>
      <w:r w:rsidRPr="00AD79C7">
        <w:rPr>
          <w:rFonts w:ascii="Abadi" w:hAnsi="Abadi"/>
          <w:b/>
          <w:bCs/>
          <w:sz w:val="21"/>
          <w:szCs w:val="21"/>
        </w:rPr>
        <w:t>Superior</w:t>
      </w:r>
      <w:r w:rsidRPr="00AD79C7">
        <w:rPr>
          <w:rFonts w:ascii="Abadi" w:hAnsi="Abadi"/>
          <w:b/>
          <w:bCs/>
          <w:spacing w:val="9"/>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Estado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Guanajuato,</w:t>
      </w:r>
      <w:r w:rsidRPr="00AD79C7">
        <w:rPr>
          <w:rFonts w:ascii="Abadi" w:hAnsi="Abadi"/>
          <w:b/>
          <w:bCs/>
          <w:spacing w:val="9"/>
          <w:sz w:val="21"/>
          <w:szCs w:val="21"/>
        </w:rPr>
        <w:t xml:space="preserve"> </w:t>
      </w:r>
      <w:r w:rsidRPr="00AD79C7">
        <w:rPr>
          <w:rFonts w:ascii="Abadi" w:hAnsi="Abadi"/>
          <w:b/>
          <w:bCs/>
          <w:sz w:val="21"/>
          <w:szCs w:val="21"/>
        </w:rPr>
        <w:t>a</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cuenta pública</w:t>
      </w:r>
      <w:r w:rsidRPr="00AD79C7">
        <w:rPr>
          <w:rFonts w:ascii="Abadi" w:hAnsi="Abadi"/>
          <w:b/>
          <w:bCs/>
          <w:spacing w:val="32"/>
          <w:sz w:val="21"/>
          <w:szCs w:val="21"/>
        </w:rPr>
        <w:t xml:space="preserve"> </w:t>
      </w:r>
      <w:r w:rsidRPr="00AD79C7">
        <w:rPr>
          <w:rFonts w:ascii="Abadi" w:hAnsi="Abadi"/>
          <w:b/>
          <w:bCs/>
          <w:sz w:val="21"/>
          <w:szCs w:val="21"/>
        </w:rPr>
        <w:t>municipal</w:t>
      </w:r>
      <w:r w:rsidRPr="00AD79C7">
        <w:rPr>
          <w:rFonts w:ascii="Abadi" w:hAnsi="Abadi"/>
          <w:b/>
          <w:bCs/>
          <w:spacing w:val="33"/>
          <w:sz w:val="21"/>
          <w:szCs w:val="21"/>
        </w:rPr>
        <w:t xml:space="preserve"> </w:t>
      </w:r>
      <w:r w:rsidRPr="00AD79C7">
        <w:rPr>
          <w:rFonts w:ascii="Abadi" w:hAnsi="Abadi"/>
          <w:b/>
          <w:bCs/>
          <w:sz w:val="21"/>
          <w:szCs w:val="21"/>
        </w:rPr>
        <w:t>de</w:t>
      </w:r>
      <w:r w:rsidRPr="00AD79C7">
        <w:rPr>
          <w:rFonts w:ascii="Abadi" w:hAnsi="Abadi"/>
          <w:b/>
          <w:bCs/>
          <w:spacing w:val="32"/>
          <w:sz w:val="21"/>
          <w:szCs w:val="21"/>
        </w:rPr>
        <w:t xml:space="preserve"> </w:t>
      </w:r>
      <w:r w:rsidRPr="00AD79C7">
        <w:rPr>
          <w:rFonts w:ascii="Abadi" w:hAnsi="Abadi"/>
          <w:b/>
          <w:bCs/>
          <w:sz w:val="21"/>
          <w:szCs w:val="21"/>
        </w:rPr>
        <w:t>Abasolo,</w:t>
      </w:r>
      <w:r w:rsidRPr="00AD79C7">
        <w:rPr>
          <w:rFonts w:ascii="Abadi" w:hAnsi="Abadi"/>
          <w:b/>
          <w:bCs/>
          <w:spacing w:val="32"/>
          <w:sz w:val="21"/>
          <w:szCs w:val="21"/>
        </w:rPr>
        <w:t xml:space="preserve"> </w:t>
      </w:r>
      <w:r w:rsidRPr="00AD79C7">
        <w:rPr>
          <w:rFonts w:ascii="Abadi" w:hAnsi="Abadi"/>
          <w:b/>
          <w:bCs/>
          <w:sz w:val="21"/>
          <w:szCs w:val="21"/>
        </w:rPr>
        <w:t>Gto.,</w:t>
      </w:r>
      <w:r w:rsidRPr="00AD79C7">
        <w:rPr>
          <w:rFonts w:ascii="Abadi" w:hAnsi="Abadi"/>
          <w:b/>
          <w:bCs/>
          <w:spacing w:val="32"/>
          <w:sz w:val="21"/>
          <w:szCs w:val="21"/>
        </w:rPr>
        <w:t xml:space="preserve"> </w:t>
      </w:r>
      <w:r w:rsidRPr="00AD79C7">
        <w:rPr>
          <w:rFonts w:ascii="Abadi" w:hAnsi="Abadi"/>
          <w:b/>
          <w:bCs/>
          <w:sz w:val="21"/>
          <w:szCs w:val="21"/>
        </w:rPr>
        <w:t>correspondiente</w:t>
      </w:r>
      <w:r w:rsidRPr="00AD79C7">
        <w:rPr>
          <w:rFonts w:ascii="Abadi" w:hAnsi="Abadi"/>
          <w:b/>
          <w:bCs/>
          <w:spacing w:val="32"/>
          <w:sz w:val="21"/>
          <w:szCs w:val="21"/>
        </w:rPr>
        <w:t xml:space="preserve"> </w:t>
      </w:r>
      <w:r w:rsidRPr="00AD79C7">
        <w:rPr>
          <w:rFonts w:ascii="Abadi" w:hAnsi="Abadi"/>
          <w:b/>
          <w:bCs/>
          <w:sz w:val="21"/>
          <w:szCs w:val="21"/>
        </w:rPr>
        <w:t>al</w:t>
      </w:r>
      <w:r w:rsidRPr="00AD79C7">
        <w:rPr>
          <w:rFonts w:ascii="Abadi" w:hAnsi="Abadi"/>
          <w:b/>
          <w:bCs/>
          <w:spacing w:val="32"/>
          <w:sz w:val="21"/>
          <w:szCs w:val="21"/>
        </w:rPr>
        <w:t xml:space="preserve"> </w:t>
      </w:r>
      <w:r w:rsidRPr="00AD79C7">
        <w:rPr>
          <w:rFonts w:ascii="Abadi" w:hAnsi="Abadi"/>
          <w:b/>
          <w:bCs/>
          <w:sz w:val="21"/>
          <w:szCs w:val="21"/>
        </w:rPr>
        <w:t>ejercicio</w:t>
      </w:r>
      <w:r w:rsidRPr="00AD79C7">
        <w:rPr>
          <w:rFonts w:ascii="Abadi" w:hAnsi="Abadi"/>
          <w:b/>
          <w:bCs/>
          <w:spacing w:val="32"/>
          <w:sz w:val="21"/>
          <w:szCs w:val="21"/>
        </w:rPr>
        <w:t xml:space="preserve"> </w:t>
      </w:r>
      <w:r w:rsidRPr="00AD79C7">
        <w:rPr>
          <w:rFonts w:ascii="Abadi" w:hAnsi="Abadi"/>
          <w:b/>
          <w:bCs/>
          <w:sz w:val="21"/>
          <w:szCs w:val="21"/>
        </w:rPr>
        <w:t>fiscal</w:t>
      </w:r>
      <w:r w:rsidRPr="00AD79C7">
        <w:rPr>
          <w:rFonts w:ascii="Abadi" w:hAnsi="Abadi"/>
          <w:b/>
          <w:bCs/>
          <w:spacing w:val="32"/>
          <w:sz w:val="21"/>
          <w:szCs w:val="21"/>
        </w:rPr>
        <w:t xml:space="preserve"> </w:t>
      </w:r>
      <w:r w:rsidRPr="00AD79C7">
        <w:rPr>
          <w:rFonts w:ascii="Abadi" w:hAnsi="Abadi"/>
          <w:b/>
          <w:bCs/>
          <w:sz w:val="21"/>
          <w:szCs w:val="21"/>
        </w:rPr>
        <w:t>del año 2020.</w:t>
      </w:r>
    </w:p>
    <w:p w14:paraId="0DF02840" w14:textId="2B165F04" w:rsidR="00337289" w:rsidRDefault="00337289" w:rsidP="006B00FD">
      <w:pPr>
        <w:pStyle w:val="Prrafodelista"/>
        <w:tabs>
          <w:tab w:val="left" w:pos="856"/>
        </w:tabs>
        <w:kinsoku w:val="0"/>
        <w:overflowPunct w:val="0"/>
        <w:autoSpaceDE w:val="0"/>
        <w:autoSpaceDN w:val="0"/>
        <w:adjustRightInd w:val="0"/>
        <w:ind w:left="720" w:right="566"/>
        <w:jc w:val="both"/>
        <w:rPr>
          <w:rFonts w:ascii="Abadi" w:hAnsi="Abadi"/>
          <w:b/>
          <w:bCs/>
          <w:sz w:val="21"/>
          <w:szCs w:val="21"/>
        </w:rPr>
      </w:pPr>
    </w:p>
    <w:p w14:paraId="2381DDCE" w14:textId="2EFB963A" w:rsidR="00C5418E" w:rsidRDefault="00C5418E"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1"/>
          <w:sz w:val="21"/>
          <w:szCs w:val="21"/>
        </w:rPr>
        <w:t xml:space="preserve"> </w:t>
      </w:r>
      <w:r w:rsidRPr="00AD79C7">
        <w:rPr>
          <w:rFonts w:ascii="Abadi" w:hAnsi="Abadi"/>
          <w:b/>
          <w:bCs/>
          <w:sz w:val="21"/>
          <w:szCs w:val="21"/>
        </w:rPr>
        <w:t>y,</w:t>
      </w:r>
      <w:r w:rsidRPr="00AD79C7">
        <w:rPr>
          <w:rFonts w:ascii="Abadi" w:hAnsi="Abadi"/>
          <w:b/>
          <w:bCs/>
          <w:spacing w:val="11"/>
          <w:sz w:val="21"/>
          <w:szCs w:val="21"/>
        </w:rPr>
        <w:t xml:space="preserve"> </w:t>
      </w:r>
      <w:r w:rsidRPr="00AD79C7">
        <w:rPr>
          <w:rFonts w:ascii="Abadi" w:hAnsi="Abadi"/>
          <w:b/>
          <w:bCs/>
          <w:sz w:val="21"/>
          <w:szCs w:val="21"/>
        </w:rPr>
        <w:t>en</w:t>
      </w:r>
      <w:r w:rsidRPr="00AD79C7">
        <w:rPr>
          <w:rFonts w:ascii="Abadi" w:hAnsi="Abadi"/>
          <w:b/>
          <w:bCs/>
          <w:spacing w:val="11"/>
          <w:sz w:val="21"/>
          <w:szCs w:val="21"/>
        </w:rPr>
        <w:t xml:space="preserve"> </w:t>
      </w:r>
      <w:r w:rsidRPr="00AD79C7">
        <w:rPr>
          <w:rFonts w:ascii="Abadi" w:hAnsi="Abadi"/>
          <w:b/>
          <w:bCs/>
          <w:sz w:val="21"/>
          <w:szCs w:val="21"/>
        </w:rPr>
        <w:t>su</w:t>
      </w:r>
      <w:r w:rsidRPr="00AD79C7">
        <w:rPr>
          <w:rFonts w:ascii="Abadi" w:hAnsi="Abadi"/>
          <w:b/>
          <w:bCs/>
          <w:spacing w:val="11"/>
          <w:sz w:val="21"/>
          <w:szCs w:val="21"/>
        </w:rPr>
        <w:t xml:space="preserve"> </w:t>
      </w:r>
      <w:r w:rsidRPr="00AD79C7">
        <w:rPr>
          <w:rFonts w:ascii="Abadi" w:hAnsi="Abadi"/>
          <w:b/>
          <w:bCs/>
          <w:sz w:val="21"/>
          <w:szCs w:val="21"/>
        </w:rPr>
        <w:t>caso,</w:t>
      </w:r>
      <w:r w:rsidRPr="00AD79C7">
        <w:rPr>
          <w:rFonts w:ascii="Abadi" w:hAnsi="Abadi"/>
          <w:b/>
          <w:bCs/>
          <w:spacing w:val="11"/>
          <w:sz w:val="21"/>
          <w:szCs w:val="21"/>
        </w:rPr>
        <w:t xml:space="preserve"> </w:t>
      </w:r>
      <w:r w:rsidRPr="00AD79C7">
        <w:rPr>
          <w:rFonts w:ascii="Abadi" w:hAnsi="Abadi"/>
          <w:b/>
          <w:bCs/>
          <w:sz w:val="21"/>
          <w:szCs w:val="21"/>
        </w:rPr>
        <w:t>aprobación</w:t>
      </w:r>
      <w:r w:rsidRPr="00AD79C7">
        <w:rPr>
          <w:rFonts w:ascii="Abadi" w:hAnsi="Abadi"/>
          <w:b/>
          <w:bCs/>
          <w:spacing w:val="11"/>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dictamen</w:t>
      </w:r>
      <w:r w:rsidRPr="00AD79C7">
        <w:rPr>
          <w:rFonts w:ascii="Abadi" w:hAnsi="Abadi"/>
          <w:b/>
          <w:bCs/>
          <w:spacing w:val="11"/>
          <w:sz w:val="21"/>
          <w:szCs w:val="21"/>
        </w:rPr>
        <w:t xml:space="preserve"> </w:t>
      </w:r>
      <w:r w:rsidRPr="00AD79C7">
        <w:rPr>
          <w:rFonts w:ascii="Abadi" w:hAnsi="Abadi"/>
          <w:b/>
          <w:bCs/>
          <w:sz w:val="21"/>
          <w:szCs w:val="21"/>
        </w:rPr>
        <w:t>signado</w:t>
      </w:r>
      <w:r w:rsidRPr="00AD79C7">
        <w:rPr>
          <w:rFonts w:ascii="Abadi" w:hAnsi="Abadi"/>
          <w:b/>
          <w:bCs/>
          <w:spacing w:val="11"/>
          <w:sz w:val="21"/>
          <w:szCs w:val="21"/>
        </w:rPr>
        <w:t xml:space="preserve"> </w:t>
      </w:r>
      <w:r w:rsidRPr="00AD79C7">
        <w:rPr>
          <w:rFonts w:ascii="Abadi" w:hAnsi="Abadi"/>
          <w:b/>
          <w:bCs/>
          <w:sz w:val="21"/>
          <w:szCs w:val="21"/>
        </w:rPr>
        <w:t>por</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Comisión de</w:t>
      </w:r>
      <w:r w:rsidRPr="00AD79C7">
        <w:rPr>
          <w:rFonts w:ascii="Abadi" w:hAnsi="Abadi"/>
          <w:b/>
          <w:bCs/>
          <w:spacing w:val="10"/>
          <w:sz w:val="21"/>
          <w:szCs w:val="21"/>
        </w:rPr>
        <w:t xml:space="preserve"> </w:t>
      </w:r>
      <w:r w:rsidRPr="00AD79C7">
        <w:rPr>
          <w:rFonts w:ascii="Abadi" w:hAnsi="Abadi"/>
          <w:b/>
          <w:bCs/>
          <w:sz w:val="21"/>
          <w:szCs w:val="21"/>
        </w:rPr>
        <w:t>Hacienda</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Fiscalización</w:t>
      </w:r>
      <w:r w:rsidRPr="00AD79C7">
        <w:rPr>
          <w:rFonts w:ascii="Abadi" w:hAnsi="Abadi"/>
          <w:b/>
          <w:bCs/>
          <w:spacing w:val="10"/>
          <w:sz w:val="21"/>
          <w:szCs w:val="21"/>
        </w:rPr>
        <w:t xml:space="preserve"> </w:t>
      </w:r>
      <w:r w:rsidRPr="00AD79C7">
        <w:rPr>
          <w:rFonts w:ascii="Abadi" w:hAnsi="Abadi"/>
          <w:b/>
          <w:bCs/>
          <w:sz w:val="21"/>
          <w:szCs w:val="21"/>
        </w:rPr>
        <w:t>relativo</w:t>
      </w:r>
      <w:r w:rsidRPr="00AD79C7">
        <w:rPr>
          <w:rFonts w:ascii="Abadi" w:hAnsi="Abadi"/>
          <w:b/>
          <w:bCs/>
          <w:spacing w:val="10"/>
          <w:sz w:val="21"/>
          <w:szCs w:val="21"/>
        </w:rPr>
        <w:t xml:space="preserve"> </w:t>
      </w:r>
      <w:r w:rsidRPr="00AD79C7">
        <w:rPr>
          <w:rFonts w:ascii="Abadi" w:hAnsi="Abadi"/>
          <w:b/>
          <w:bCs/>
          <w:sz w:val="21"/>
          <w:szCs w:val="21"/>
        </w:rPr>
        <w:t>al</w:t>
      </w:r>
      <w:r w:rsidRPr="00AD79C7">
        <w:rPr>
          <w:rFonts w:ascii="Abadi" w:hAnsi="Abadi"/>
          <w:b/>
          <w:bCs/>
          <w:spacing w:val="9"/>
          <w:sz w:val="21"/>
          <w:szCs w:val="21"/>
        </w:rPr>
        <w:t xml:space="preserve"> </w:t>
      </w:r>
      <w:r w:rsidRPr="00AD79C7">
        <w:rPr>
          <w:rFonts w:ascii="Abadi" w:hAnsi="Abadi"/>
          <w:b/>
          <w:bCs/>
          <w:sz w:val="21"/>
          <w:szCs w:val="21"/>
        </w:rPr>
        <w:t>informe</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resultados</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revisión practicada</w:t>
      </w:r>
      <w:r w:rsidRPr="00AD79C7">
        <w:rPr>
          <w:rFonts w:ascii="Abadi" w:hAnsi="Abadi"/>
          <w:b/>
          <w:bCs/>
          <w:spacing w:val="10"/>
          <w:sz w:val="21"/>
          <w:szCs w:val="21"/>
        </w:rPr>
        <w:t xml:space="preserve"> </w:t>
      </w:r>
      <w:r w:rsidRPr="00AD79C7">
        <w:rPr>
          <w:rFonts w:ascii="Abadi" w:hAnsi="Abadi"/>
          <w:b/>
          <w:bCs/>
          <w:sz w:val="21"/>
          <w:szCs w:val="21"/>
        </w:rPr>
        <w:t>por</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Auditoría</w:t>
      </w:r>
      <w:r w:rsidRPr="00AD79C7">
        <w:rPr>
          <w:rFonts w:ascii="Abadi" w:hAnsi="Abadi"/>
          <w:b/>
          <w:bCs/>
          <w:spacing w:val="10"/>
          <w:sz w:val="21"/>
          <w:szCs w:val="21"/>
        </w:rPr>
        <w:t xml:space="preserve"> </w:t>
      </w:r>
      <w:r w:rsidRPr="00AD79C7">
        <w:rPr>
          <w:rFonts w:ascii="Abadi" w:hAnsi="Abadi"/>
          <w:b/>
          <w:bCs/>
          <w:sz w:val="21"/>
          <w:szCs w:val="21"/>
        </w:rPr>
        <w:t>Superior</w:t>
      </w:r>
      <w:r w:rsidRPr="00AD79C7">
        <w:rPr>
          <w:rFonts w:ascii="Abadi" w:hAnsi="Abadi"/>
          <w:b/>
          <w:bCs/>
          <w:spacing w:val="9"/>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Estado</w:t>
      </w:r>
      <w:r w:rsidRPr="00AD79C7">
        <w:rPr>
          <w:rFonts w:ascii="Abadi" w:hAnsi="Abadi"/>
          <w:b/>
          <w:bCs/>
          <w:spacing w:val="9"/>
          <w:sz w:val="21"/>
          <w:szCs w:val="21"/>
        </w:rPr>
        <w:t xml:space="preserve"> </w:t>
      </w:r>
      <w:r w:rsidRPr="00AD79C7">
        <w:rPr>
          <w:rFonts w:ascii="Abadi" w:hAnsi="Abadi"/>
          <w:b/>
          <w:bCs/>
          <w:sz w:val="21"/>
          <w:szCs w:val="21"/>
        </w:rPr>
        <w:t>de</w:t>
      </w:r>
      <w:r w:rsidRPr="00AD79C7">
        <w:rPr>
          <w:rFonts w:ascii="Abadi" w:hAnsi="Abadi"/>
          <w:b/>
          <w:bCs/>
          <w:spacing w:val="9"/>
          <w:sz w:val="21"/>
          <w:szCs w:val="21"/>
        </w:rPr>
        <w:t xml:space="preserve"> </w:t>
      </w:r>
      <w:r w:rsidRPr="00AD79C7">
        <w:rPr>
          <w:rFonts w:ascii="Abadi" w:hAnsi="Abadi"/>
          <w:b/>
          <w:bCs/>
          <w:sz w:val="21"/>
          <w:szCs w:val="21"/>
        </w:rPr>
        <w:t>Guanajuato,</w:t>
      </w:r>
      <w:r w:rsidRPr="00AD79C7">
        <w:rPr>
          <w:rFonts w:ascii="Abadi" w:hAnsi="Abadi"/>
          <w:b/>
          <w:bCs/>
          <w:spacing w:val="9"/>
          <w:sz w:val="21"/>
          <w:szCs w:val="21"/>
        </w:rPr>
        <w:t xml:space="preserve"> </w:t>
      </w:r>
      <w:r w:rsidRPr="00AD79C7">
        <w:rPr>
          <w:rFonts w:ascii="Abadi" w:hAnsi="Abadi"/>
          <w:b/>
          <w:bCs/>
          <w:sz w:val="21"/>
          <w:szCs w:val="21"/>
        </w:rPr>
        <w:t>a</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cuenta pública</w:t>
      </w:r>
      <w:r w:rsidRPr="00AD79C7">
        <w:rPr>
          <w:rFonts w:ascii="Abadi" w:hAnsi="Abadi"/>
          <w:b/>
          <w:bCs/>
          <w:spacing w:val="24"/>
          <w:sz w:val="21"/>
          <w:szCs w:val="21"/>
        </w:rPr>
        <w:t xml:space="preserve"> </w:t>
      </w:r>
      <w:r w:rsidRPr="00AD79C7">
        <w:rPr>
          <w:rFonts w:ascii="Abadi" w:hAnsi="Abadi"/>
          <w:b/>
          <w:bCs/>
          <w:sz w:val="21"/>
          <w:szCs w:val="21"/>
        </w:rPr>
        <w:t>municipal</w:t>
      </w:r>
      <w:r w:rsidRPr="00AD79C7">
        <w:rPr>
          <w:rFonts w:ascii="Abadi" w:hAnsi="Abadi"/>
          <w:b/>
          <w:bCs/>
          <w:spacing w:val="24"/>
          <w:sz w:val="21"/>
          <w:szCs w:val="21"/>
        </w:rPr>
        <w:t xml:space="preserve"> </w:t>
      </w:r>
      <w:r w:rsidRPr="00AD79C7">
        <w:rPr>
          <w:rFonts w:ascii="Abadi" w:hAnsi="Abadi"/>
          <w:b/>
          <w:bCs/>
          <w:sz w:val="21"/>
          <w:szCs w:val="21"/>
        </w:rPr>
        <w:t>de</w:t>
      </w:r>
      <w:r w:rsidRPr="00AD79C7">
        <w:rPr>
          <w:rFonts w:ascii="Abadi" w:hAnsi="Abadi"/>
          <w:b/>
          <w:bCs/>
          <w:spacing w:val="24"/>
          <w:sz w:val="21"/>
          <w:szCs w:val="21"/>
        </w:rPr>
        <w:t xml:space="preserve"> </w:t>
      </w:r>
      <w:r w:rsidRPr="00AD79C7">
        <w:rPr>
          <w:rFonts w:ascii="Abadi" w:hAnsi="Abadi"/>
          <w:b/>
          <w:bCs/>
          <w:sz w:val="21"/>
          <w:szCs w:val="21"/>
        </w:rPr>
        <w:t>Apaseo</w:t>
      </w:r>
      <w:r w:rsidRPr="00AD79C7">
        <w:rPr>
          <w:rFonts w:ascii="Abadi" w:hAnsi="Abadi"/>
          <w:b/>
          <w:bCs/>
          <w:spacing w:val="24"/>
          <w:sz w:val="21"/>
          <w:szCs w:val="21"/>
        </w:rPr>
        <w:t xml:space="preserve"> </w:t>
      </w:r>
      <w:r w:rsidRPr="00AD79C7">
        <w:rPr>
          <w:rFonts w:ascii="Abadi" w:hAnsi="Abadi"/>
          <w:b/>
          <w:bCs/>
          <w:sz w:val="21"/>
          <w:szCs w:val="21"/>
        </w:rPr>
        <w:t>el</w:t>
      </w:r>
      <w:r w:rsidRPr="00AD79C7">
        <w:rPr>
          <w:rFonts w:ascii="Abadi" w:hAnsi="Abadi"/>
          <w:b/>
          <w:bCs/>
          <w:spacing w:val="24"/>
          <w:sz w:val="21"/>
          <w:szCs w:val="21"/>
        </w:rPr>
        <w:t xml:space="preserve"> </w:t>
      </w:r>
      <w:r w:rsidRPr="00AD79C7">
        <w:rPr>
          <w:rFonts w:ascii="Abadi" w:hAnsi="Abadi"/>
          <w:b/>
          <w:bCs/>
          <w:sz w:val="21"/>
          <w:szCs w:val="21"/>
        </w:rPr>
        <w:t>Grande,</w:t>
      </w:r>
      <w:r w:rsidRPr="00AD79C7">
        <w:rPr>
          <w:rFonts w:ascii="Abadi" w:hAnsi="Abadi"/>
          <w:b/>
          <w:bCs/>
          <w:spacing w:val="24"/>
          <w:sz w:val="21"/>
          <w:szCs w:val="21"/>
        </w:rPr>
        <w:t xml:space="preserve"> </w:t>
      </w:r>
      <w:r w:rsidRPr="00AD79C7">
        <w:rPr>
          <w:rFonts w:ascii="Abadi" w:hAnsi="Abadi"/>
          <w:b/>
          <w:bCs/>
          <w:sz w:val="21"/>
          <w:szCs w:val="21"/>
        </w:rPr>
        <w:t>Gto.,</w:t>
      </w:r>
      <w:r w:rsidRPr="00AD79C7">
        <w:rPr>
          <w:rFonts w:ascii="Abadi" w:hAnsi="Abadi"/>
          <w:b/>
          <w:bCs/>
          <w:spacing w:val="24"/>
          <w:sz w:val="21"/>
          <w:szCs w:val="21"/>
        </w:rPr>
        <w:t xml:space="preserve"> </w:t>
      </w:r>
      <w:r w:rsidRPr="00AD79C7">
        <w:rPr>
          <w:rFonts w:ascii="Abadi" w:hAnsi="Abadi"/>
          <w:b/>
          <w:bCs/>
          <w:sz w:val="21"/>
          <w:szCs w:val="21"/>
        </w:rPr>
        <w:t>correspondiente</w:t>
      </w:r>
      <w:r w:rsidRPr="00AD79C7">
        <w:rPr>
          <w:rFonts w:ascii="Abadi" w:hAnsi="Abadi"/>
          <w:b/>
          <w:bCs/>
          <w:spacing w:val="24"/>
          <w:sz w:val="21"/>
          <w:szCs w:val="21"/>
        </w:rPr>
        <w:t xml:space="preserve"> </w:t>
      </w:r>
      <w:r w:rsidRPr="00AD79C7">
        <w:rPr>
          <w:rFonts w:ascii="Abadi" w:hAnsi="Abadi"/>
          <w:b/>
          <w:bCs/>
          <w:sz w:val="21"/>
          <w:szCs w:val="21"/>
        </w:rPr>
        <w:t>al</w:t>
      </w:r>
      <w:r w:rsidRPr="00AD79C7">
        <w:rPr>
          <w:rFonts w:ascii="Abadi" w:hAnsi="Abadi"/>
          <w:b/>
          <w:bCs/>
          <w:spacing w:val="24"/>
          <w:sz w:val="21"/>
          <w:szCs w:val="21"/>
        </w:rPr>
        <w:t xml:space="preserve"> </w:t>
      </w:r>
      <w:r w:rsidRPr="00AD79C7">
        <w:rPr>
          <w:rFonts w:ascii="Abadi" w:hAnsi="Abadi"/>
          <w:b/>
          <w:bCs/>
          <w:sz w:val="21"/>
          <w:szCs w:val="21"/>
        </w:rPr>
        <w:t>ejercicio fiscal del año 2020.</w:t>
      </w:r>
    </w:p>
    <w:p w14:paraId="2F7527F0" w14:textId="77777777" w:rsidR="00997863" w:rsidRPr="00997863" w:rsidRDefault="00997863" w:rsidP="006B00FD">
      <w:pPr>
        <w:pStyle w:val="Prrafodelista"/>
        <w:ind w:right="566"/>
        <w:rPr>
          <w:rFonts w:ascii="Abadi" w:hAnsi="Abadi"/>
          <w:b/>
          <w:bCs/>
          <w:sz w:val="21"/>
          <w:szCs w:val="21"/>
        </w:rPr>
      </w:pPr>
    </w:p>
    <w:p w14:paraId="4124E5AC" w14:textId="36FA9BB8" w:rsidR="00997863" w:rsidRDefault="00997863"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en</w:t>
      </w:r>
      <w:r w:rsidRPr="00AD79C7">
        <w:rPr>
          <w:rFonts w:ascii="Abadi" w:hAnsi="Abadi"/>
          <w:b/>
          <w:bCs/>
          <w:spacing w:val="10"/>
          <w:sz w:val="21"/>
          <w:szCs w:val="21"/>
        </w:rPr>
        <w:t xml:space="preserve"> </w:t>
      </w:r>
      <w:r w:rsidRPr="00AD79C7">
        <w:rPr>
          <w:rFonts w:ascii="Abadi" w:hAnsi="Abadi"/>
          <w:b/>
          <w:bCs/>
          <w:sz w:val="21"/>
          <w:szCs w:val="21"/>
        </w:rPr>
        <w:t>su</w:t>
      </w:r>
      <w:r w:rsidRPr="00AD79C7">
        <w:rPr>
          <w:rFonts w:ascii="Abadi" w:hAnsi="Abadi"/>
          <w:b/>
          <w:bCs/>
          <w:spacing w:val="10"/>
          <w:sz w:val="21"/>
          <w:szCs w:val="21"/>
        </w:rPr>
        <w:t xml:space="preserve"> </w:t>
      </w:r>
      <w:r w:rsidRPr="00AD79C7">
        <w:rPr>
          <w:rFonts w:ascii="Abadi" w:hAnsi="Abadi"/>
          <w:b/>
          <w:bCs/>
          <w:sz w:val="21"/>
          <w:szCs w:val="21"/>
        </w:rPr>
        <w:t>caso,</w:t>
      </w:r>
      <w:r w:rsidRPr="00AD79C7">
        <w:rPr>
          <w:rFonts w:ascii="Abadi" w:hAnsi="Abadi"/>
          <w:b/>
          <w:bCs/>
          <w:spacing w:val="10"/>
          <w:sz w:val="21"/>
          <w:szCs w:val="21"/>
        </w:rPr>
        <w:t xml:space="preserve"> </w:t>
      </w:r>
      <w:r w:rsidRPr="00AD79C7">
        <w:rPr>
          <w:rFonts w:ascii="Abadi" w:hAnsi="Abadi"/>
          <w:b/>
          <w:bCs/>
          <w:sz w:val="21"/>
          <w:szCs w:val="21"/>
        </w:rPr>
        <w:t>aprobación</w:t>
      </w:r>
      <w:r w:rsidRPr="00AD79C7">
        <w:rPr>
          <w:rFonts w:ascii="Abadi" w:hAnsi="Abadi"/>
          <w:b/>
          <w:bCs/>
          <w:spacing w:val="10"/>
          <w:sz w:val="21"/>
          <w:szCs w:val="21"/>
        </w:rPr>
        <w:t xml:space="preserve"> </w:t>
      </w:r>
      <w:r w:rsidRPr="00AD79C7">
        <w:rPr>
          <w:rFonts w:ascii="Abadi" w:hAnsi="Abadi"/>
          <w:b/>
          <w:bCs/>
          <w:sz w:val="21"/>
          <w:szCs w:val="21"/>
        </w:rPr>
        <w:t>del</w:t>
      </w:r>
      <w:r w:rsidRPr="00AD79C7">
        <w:rPr>
          <w:rFonts w:ascii="Abadi" w:hAnsi="Abadi"/>
          <w:b/>
          <w:bCs/>
          <w:spacing w:val="10"/>
          <w:sz w:val="21"/>
          <w:szCs w:val="21"/>
        </w:rPr>
        <w:t xml:space="preserve"> </w:t>
      </w:r>
      <w:r w:rsidRPr="00AD79C7">
        <w:rPr>
          <w:rFonts w:ascii="Abadi" w:hAnsi="Abadi"/>
          <w:b/>
          <w:bCs/>
          <w:sz w:val="21"/>
          <w:szCs w:val="21"/>
        </w:rPr>
        <w:t>dictamen</w:t>
      </w:r>
      <w:r w:rsidRPr="00AD79C7">
        <w:rPr>
          <w:rFonts w:ascii="Abadi" w:hAnsi="Abadi"/>
          <w:b/>
          <w:bCs/>
          <w:spacing w:val="10"/>
          <w:sz w:val="21"/>
          <w:szCs w:val="21"/>
        </w:rPr>
        <w:t xml:space="preserve"> </w:t>
      </w:r>
      <w:r w:rsidRPr="00AD79C7">
        <w:rPr>
          <w:rFonts w:ascii="Abadi" w:hAnsi="Abadi"/>
          <w:b/>
          <w:bCs/>
          <w:sz w:val="21"/>
          <w:szCs w:val="21"/>
        </w:rPr>
        <w:t>signado</w:t>
      </w:r>
      <w:r w:rsidRPr="00AD79C7">
        <w:rPr>
          <w:rFonts w:ascii="Abadi" w:hAnsi="Abadi"/>
          <w:b/>
          <w:bCs/>
          <w:spacing w:val="10"/>
          <w:sz w:val="21"/>
          <w:szCs w:val="21"/>
        </w:rPr>
        <w:t xml:space="preserve"> </w:t>
      </w:r>
      <w:r w:rsidRPr="00AD79C7">
        <w:rPr>
          <w:rFonts w:ascii="Abadi" w:hAnsi="Abadi"/>
          <w:b/>
          <w:bCs/>
          <w:sz w:val="21"/>
          <w:szCs w:val="21"/>
        </w:rPr>
        <w:t>por</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Comisión de</w:t>
      </w:r>
      <w:r w:rsidRPr="00AD79C7">
        <w:rPr>
          <w:rFonts w:ascii="Abadi" w:hAnsi="Abadi"/>
          <w:b/>
          <w:bCs/>
          <w:spacing w:val="9"/>
          <w:sz w:val="21"/>
          <w:szCs w:val="21"/>
        </w:rPr>
        <w:t xml:space="preserve"> </w:t>
      </w:r>
      <w:r w:rsidRPr="00AD79C7">
        <w:rPr>
          <w:rFonts w:ascii="Abadi" w:hAnsi="Abadi"/>
          <w:b/>
          <w:bCs/>
          <w:sz w:val="21"/>
          <w:szCs w:val="21"/>
        </w:rPr>
        <w:t>Hacienda</w:t>
      </w:r>
      <w:r w:rsidRPr="00AD79C7">
        <w:rPr>
          <w:rFonts w:ascii="Abadi" w:hAnsi="Abadi"/>
          <w:b/>
          <w:bCs/>
          <w:spacing w:val="9"/>
          <w:sz w:val="21"/>
          <w:szCs w:val="21"/>
        </w:rPr>
        <w:t xml:space="preserve"> </w:t>
      </w:r>
      <w:r w:rsidRPr="00AD79C7">
        <w:rPr>
          <w:rFonts w:ascii="Abadi" w:hAnsi="Abadi"/>
          <w:b/>
          <w:bCs/>
          <w:sz w:val="21"/>
          <w:szCs w:val="21"/>
        </w:rPr>
        <w:t>y</w:t>
      </w:r>
      <w:r w:rsidRPr="00AD79C7">
        <w:rPr>
          <w:rFonts w:ascii="Abadi" w:hAnsi="Abadi"/>
          <w:b/>
          <w:bCs/>
          <w:spacing w:val="9"/>
          <w:sz w:val="21"/>
          <w:szCs w:val="21"/>
        </w:rPr>
        <w:t xml:space="preserve"> </w:t>
      </w:r>
      <w:r w:rsidRPr="00AD79C7">
        <w:rPr>
          <w:rFonts w:ascii="Abadi" w:hAnsi="Abadi"/>
          <w:b/>
          <w:bCs/>
          <w:sz w:val="21"/>
          <w:szCs w:val="21"/>
        </w:rPr>
        <w:t>Fiscalización</w:t>
      </w:r>
      <w:r w:rsidRPr="00AD79C7">
        <w:rPr>
          <w:rFonts w:ascii="Abadi" w:hAnsi="Abadi"/>
          <w:b/>
          <w:bCs/>
          <w:spacing w:val="9"/>
          <w:sz w:val="21"/>
          <w:szCs w:val="21"/>
        </w:rPr>
        <w:t xml:space="preserve"> </w:t>
      </w:r>
      <w:r w:rsidRPr="00AD79C7">
        <w:rPr>
          <w:rFonts w:ascii="Abadi" w:hAnsi="Abadi"/>
          <w:b/>
          <w:bCs/>
          <w:sz w:val="21"/>
          <w:szCs w:val="21"/>
        </w:rPr>
        <w:t>relativo</w:t>
      </w:r>
      <w:r w:rsidRPr="00AD79C7">
        <w:rPr>
          <w:rFonts w:ascii="Abadi" w:hAnsi="Abadi"/>
          <w:b/>
          <w:bCs/>
          <w:spacing w:val="9"/>
          <w:sz w:val="21"/>
          <w:szCs w:val="21"/>
        </w:rPr>
        <w:t xml:space="preserve"> </w:t>
      </w:r>
      <w:r w:rsidRPr="00AD79C7">
        <w:rPr>
          <w:rFonts w:ascii="Abadi" w:hAnsi="Abadi"/>
          <w:b/>
          <w:bCs/>
          <w:sz w:val="21"/>
          <w:szCs w:val="21"/>
        </w:rPr>
        <w:t>al</w:t>
      </w:r>
      <w:r w:rsidRPr="00AD79C7">
        <w:rPr>
          <w:rFonts w:ascii="Abadi" w:hAnsi="Abadi"/>
          <w:b/>
          <w:bCs/>
          <w:spacing w:val="8"/>
          <w:sz w:val="21"/>
          <w:szCs w:val="21"/>
        </w:rPr>
        <w:t xml:space="preserve"> </w:t>
      </w:r>
      <w:r w:rsidRPr="00AD79C7">
        <w:rPr>
          <w:rFonts w:ascii="Abadi" w:hAnsi="Abadi"/>
          <w:b/>
          <w:bCs/>
          <w:sz w:val="21"/>
          <w:szCs w:val="21"/>
        </w:rPr>
        <w:t>informe</w:t>
      </w:r>
      <w:r w:rsidRPr="00AD79C7">
        <w:rPr>
          <w:rFonts w:ascii="Abadi" w:hAnsi="Abadi"/>
          <w:b/>
          <w:bCs/>
          <w:spacing w:val="9"/>
          <w:sz w:val="21"/>
          <w:szCs w:val="21"/>
        </w:rPr>
        <w:t xml:space="preserve"> </w:t>
      </w:r>
      <w:r w:rsidRPr="00AD79C7">
        <w:rPr>
          <w:rFonts w:ascii="Abadi" w:hAnsi="Abadi"/>
          <w:b/>
          <w:bCs/>
          <w:sz w:val="21"/>
          <w:szCs w:val="21"/>
        </w:rPr>
        <w:t>de</w:t>
      </w:r>
      <w:r w:rsidRPr="00AD79C7">
        <w:rPr>
          <w:rFonts w:ascii="Abadi" w:hAnsi="Abadi"/>
          <w:b/>
          <w:bCs/>
          <w:spacing w:val="9"/>
          <w:sz w:val="21"/>
          <w:szCs w:val="21"/>
        </w:rPr>
        <w:t xml:space="preserve"> </w:t>
      </w:r>
      <w:r w:rsidRPr="00AD79C7">
        <w:rPr>
          <w:rFonts w:ascii="Abadi" w:hAnsi="Abadi"/>
          <w:b/>
          <w:bCs/>
          <w:sz w:val="21"/>
          <w:szCs w:val="21"/>
        </w:rPr>
        <w:t>resultados</w:t>
      </w:r>
      <w:r w:rsidRPr="00AD79C7">
        <w:rPr>
          <w:rFonts w:ascii="Abadi" w:hAnsi="Abadi"/>
          <w:b/>
          <w:bCs/>
          <w:spacing w:val="9"/>
          <w:sz w:val="21"/>
          <w:szCs w:val="21"/>
        </w:rPr>
        <w:t xml:space="preserve"> </w:t>
      </w:r>
      <w:r w:rsidRPr="00AD79C7">
        <w:rPr>
          <w:rFonts w:ascii="Abadi" w:hAnsi="Abadi"/>
          <w:b/>
          <w:bCs/>
          <w:sz w:val="21"/>
          <w:szCs w:val="21"/>
        </w:rPr>
        <w:t>de</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9"/>
          <w:sz w:val="21"/>
          <w:szCs w:val="21"/>
        </w:rPr>
        <w:t xml:space="preserve"> </w:t>
      </w:r>
      <w:r w:rsidRPr="00AD79C7">
        <w:rPr>
          <w:rFonts w:ascii="Abadi" w:hAnsi="Abadi"/>
          <w:b/>
          <w:bCs/>
          <w:sz w:val="21"/>
          <w:szCs w:val="21"/>
        </w:rPr>
        <w:t>revisión practicada</w:t>
      </w:r>
      <w:r w:rsidRPr="00AD79C7">
        <w:rPr>
          <w:rFonts w:ascii="Abadi" w:hAnsi="Abadi"/>
          <w:b/>
          <w:bCs/>
          <w:spacing w:val="9"/>
          <w:sz w:val="21"/>
          <w:szCs w:val="21"/>
        </w:rPr>
        <w:t xml:space="preserve"> </w:t>
      </w:r>
      <w:r w:rsidRPr="00AD79C7">
        <w:rPr>
          <w:rFonts w:ascii="Abadi" w:hAnsi="Abadi"/>
          <w:b/>
          <w:bCs/>
          <w:sz w:val="21"/>
          <w:szCs w:val="21"/>
        </w:rPr>
        <w:t>por</w:t>
      </w:r>
      <w:r w:rsidRPr="00AD79C7">
        <w:rPr>
          <w:rFonts w:ascii="Abadi" w:hAnsi="Abadi"/>
          <w:b/>
          <w:bCs/>
          <w:spacing w:val="8"/>
          <w:sz w:val="21"/>
          <w:szCs w:val="21"/>
        </w:rPr>
        <w:t xml:space="preserve"> </w:t>
      </w:r>
      <w:r w:rsidRPr="00AD79C7">
        <w:rPr>
          <w:rFonts w:ascii="Abadi" w:hAnsi="Abadi"/>
          <w:b/>
          <w:bCs/>
          <w:sz w:val="21"/>
          <w:szCs w:val="21"/>
        </w:rPr>
        <w:t>la</w:t>
      </w:r>
      <w:r w:rsidRPr="00AD79C7">
        <w:rPr>
          <w:rFonts w:ascii="Abadi" w:hAnsi="Abadi"/>
          <w:b/>
          <w:bCs/>
          <w:spacing w:val="9"/>
          <w:sz w:val="21"/>
          <w:szCs w:val="21"/>
        </w:rPr>
        <w:t xml:space="preserve"> </w:t>
      </w:r>
      <w:r w:rsidRPr="00AD79C7">
        <w:rPr>
          <w:rFonts w:ascii="Abadi" w:hAnsi="Abadi"/>
          <w:b/>
          <w:bCs/>
          <w:sz w:val="21"/>
          <w:szCs w:val="21"/>
        </w:rPr>
        <w:t>Auditoría</w:t>
      </w:r>
      <w:r w:rsidRPr="00AD79C7">
        <w:rPr>
          <w:rFonts w:ascii="Abadi" w:hAnsi="Abadi"/>
          <w:b/>
          <w:bCs/>
          <w:spacing w:val="9"/>
          <w:sz w:val="21"/>
          <w:szCs w:val="21"/>
        </w:rPr>
        <w:t xml:space="preserve"> </w:t>
      </w:r>
      <w:r w:rsidRPr="00AD79C7">
        <w:rPr>
          <w:rFonts w:ascii="Abadi" w:hAnsi="Abadi"/>
          <w:b/>
          <w:bCs/>
          <w:sz w:val="21"/>
          <w:szCs w:val="21"/>
        </w:rPr>
        <w:t>Superior</w:t>
      </w:r>
      <w:r w:rsidRPr="00AD79C7">
        <w:rPr>
          <w:rFonts w:ascii="Abadi" w:hAnsi="Abadi"/>
          <w:b/>
          <w:bCs/>
          <w:spacing w:val="8"/>
          <w:sz w:val="21"/>
          <w:szCs w:val="21"/>
        </w:rPr>
        <w:t xml:space="preserve"> </w:t>
      </w:r>
      <w:r w:rsidRPr="00AD79C7">
        <w:rPr>
          <w:rFonts w:ascii="Abadi" w:hAnsi="Abadi"/>
          <w:b/>
          <w:bCs/>
          <w:sz w:val="21"/>
          <w:szCs w:val="21"/>
        </w:rPr>
        <w:t>del</w:t>
      </w:r>
      <w:r w:rsidRPr="00AD79C7">
        <w:rPr>
          <w:rFonts w:ascii="Abadi" w:hAnsi="Abadi"/>
          <w:b/>
          <w:bCs/>
          <w:spacing w:val="8"/>
          <w:sz w:val="21"/>
          <w:szCs w:val="21"/>
        </w:rPr>
        <w:t xml:space="preserve"> </w:t>
      </w:r>
      <w:r w:rsidRPr="00AD79C7">
        <w:rPr>
          <w:rFonts w:ascii="Abadi" w:hAnsi="Abadi"/>
          <w:b/>
          <w:bCs/>
          <w:sz w:val="21"/>
          <w:szCs w:val="21"/>
        </w:rPr>
        <w:t>Estado</w:t>
      </w:r>
      <w:r w:rsidRPr="00AD79C7">
        <w:rPr>
          <w:rFonts w:ascii="Abadi" w:hAnsi="Abadi"/>
          <w:b/>
          <w:bCs/>
          <w:spacing w:val="9"/>
          <w:sz w:val="21"/>
          <w:szCs w:val="21"/>
        </w:rPr>
        <w:t xml:space="preserve"> </w:t>
      </w:r>
      <w:r w:rsidRPr="00AD79C7">
        <w:rPr>
          <w:rFonts w:ascii="Abadi" w:hAnsi="Abadi"/>
          <w:b/>
          <w:bCs/>
          <w:sz w:val="21"/>
          <w:szCs w:val="21"/>
        </w:rPr>
        <w:t>de</w:t>
      </w:r>
      <w:r w:rsidRPr="00AD79C7">
        <w:rPr>
          <w:rFonts w:ascii="Abadi" w:hAnsi="Abadi"/>
          <w:b/>
          <w:bCs/>
          <w:spacing w:val="9"/>
          <w:sz w:val="21"/>
          <w:szCs w:val="21"/>
        </w:rPr>
        <w:t xml:space="preserve"> </w:t>
      </w:r>
      <w:r w:rsidRPr="00AD79C7">
        <w:rPr>
          <w:rFonts w:ascii="Abadi" w:hAnsi="Abadi"/>
          <w:b/>
          <w:bCs/>
          <w:sz w:val="21"/>
          <w:szCs w:val="21"/>
        </w:rPr>
        <w:t>Guanajuato,</w:t>
      </w:r>
      <w:r w:rsidRPr="00AD79C7">
        <w:rPr>
          <w:rFonts w:ascii="Abadi" w:hAnsi="Abadi"/>
          <w:b/>
          <w:bCs/>
          <w:spacing w:val="8"/>
          <w:sz w:val="21"/>
          <w:szCs w:val="21"/>
        </w:rPr>
        <w:t xml:space="preserve"> </w:t>
      </w:r>
      <w:r w:rsidRPr="00AD79C7">
        <w:rPr>
          <w:rFonts w:ascii="Abadi" w:hAnsi="Abadi"/>
          <w:b/>
          <w:bCs/>
          <w:sz w:val="21"/>
          <w:szCs w:val="21"/>
        </w:rPr>
        <w:t>a</w:t>
      </w:r>
      <w:r w:rsidRPr="00AD79C7">
        <w:rPr>
          <w:rFonts w:ascii="Abadi" w:hAnsi="Abadi"/>
          <w:b/>
          <w:bCs/>
          <w:spacing w:val="6"/>
          <w:sz w:val="21"/>
          <w:szCs w:val="21"/>
        </w:rPr>
        <w:t xml:space="preserve"> </w:t>
      </w:r>
      <w:r w:rsidRPr="00AD79C7">
        <w:rPr>
          <w:rFonts w:ascii="Abadi" w:hAnsi="Abadi"/>
          <w:b/>
          <w:bCs/>
          <w:sz w:val="21"/>
          <w:szCs w:val="21"/>
        </w:rPr>
        <w:t>la</w:t>
      </w:r>
      <w:r w:rsidRPr="00AD79C7">
        <w:rPr>
          <w:rFonts w:ascii="Abadi" w:hAnsi="Abadi"/>
          <w:b/>
          <w:bCs/>
          <w:spacing w:val="9"/>
          <w:sz w:val="21"/>
          <w:szCs w:val="21"/>
        </w:rPr>
        <w:t xml:space="preserve"> </w:t>
      </w:r>
      <w:r w:rsidRPr="00AD79C7">
        <w:rPr>
          <w:rFonts w:ascii="Abadi" w:hAnsi="Abadi"/>
          <w:b/>
          <w:bCs/>
          <w:sz w:val="21"/>
          <w:szCs w:val="21"/>
        </w:rPr>
        <w:t>cuenta pública</w:t>
      </w:r>
      <w:r w:rsidRPr="00AD79C7">
        <w:rPr>
          <w:rFonts w:ascii="Abadi" w:hAnsi="Abadi"/>
          <w:b/>
          <w:bCs/>
          <w:spacing w:val="16"/>
          <w:sz w:val="21"/>
          <w:szCs w:val="21"/>
        </w:rPr>
        <w:t xml:space="preserve"> </w:t>
      </w:r>
      <w:r w:rsidRPr="00AD79C7">
        <w:rPr>
          <w:rFonts w:ascii="Abadi" w:hAnsi="Abadi"/>
          <w:b/>
          <w:bCs/>
          <w:sz w:val="21"/>
          <w:szCs w:val="21"/>
        </w:rPr>
        <w:t>municipal</w:t>
      </w:r>
      <w:r w:rsidRPr="00AD79C7">
        <w:rPr>
          <w:rFonts w:ascii="Abadi" w:hAnsi="Abadi"/>
          <w:b/>
          <w:bCs/>
          <w:spacing w:val="16"/>
          <w:sz w:val="21"/>
          <w:szCs w:val="21"/>
        </w:rPr>
        <w:t xml:space="preserve"> </w:t>
      </w:r>
      <w:r w:rsidRPr="00AD79C7">
        <w:rPr>
          <w:rFonts w:ascii="Abadi" w:hAnsi="Abadi"/>
          <w:b/>
          <w:bCs/>
          <w:sz w:val="21"/>
          <w:szCs w:val="21"/>
        </w:rPr>
        <w:t>de</w:t>
      </w:r>
      <w:r w:rsidRPr="00AD79C7">
        <w:rPr>
          <w:rFonts w:ascii="Abadi" w:hAnsi="Abadi"/>
          <w:b/>
          <w:bCs/>
          <w:spacing w:val="16"/>
          <w:sz w:val="21"/>
          <w:szCs w:val="21"/>
        </w:rPr>
        <w:t xml:space="preserve"> </w:t>
      </w:r>
      <w:r w:rsidRPr="00AD79C7">
        <w:rPr>
          <w:rFonts w:ascii="Abadi" w:hAnsi="Abadi"/>
          <w:b/>
          <w:bCs/>
          <w:sz w:val="21"/>
          <w:szCs w:val="21"/>
        </w:rPr>
        <w:t>Dolores</w:t>
      </w:r>
      <w:r w:rsidRPr="00AD79C7">
        <w:rPr>
          <w:rFonts w:ascii="Abadi" w:hAnsi="Abadi"/>
          <w:b/>
          <w:bCs/>
          <w:spacing w:val="16"/>
          <w:sz w:val="21"/>
          <w:szCs w:val="21"/>
        </w:rPr>
        <w:t xml:space="preserve"> </w:t>
      </w:r>
      <w:r w:rsidRPr="00AD79C7">
        <w:rPr>
          <w:rFonts w:ascii="Abadi" w:hAnsi="Abadi"/>
          <w:b/>
          <w:bCs/>
          <w:sz w:val="21"/>
          <w:szCs w:val="21"/>
        </w:rPr>
        <w:t>Hidalgo</w:t>
      </w:r>
      <w:r w:rsidRPr="00AD79C7">
        <w:rPr>
          <w:rFonts w:ascii="Abadi" w:hAnsi="Abadi"/>
          <w:b/>
          <w:bCs/>
          <w:spacing w:val="16"/>
          <w:sz w:val="21"/>
          <w:szCs w:val="21"/>
        </w:rPr>
        <w:t xml:space="preserve"> </w:t>
      </w:r>
      <w:r w:rsidRPr="00AD79C7">
        <w:rPr>
          <w:rFonts w:ascii="Abadi" w:hAnsi="Abadi"/>
          <w:b/>
          <w:bCs/>
          <w:sz w:val="21"/>
          <w:szCs w:val="21"/>
        </w:rPr>
        <w:t>Cuna</w:t>
      </w:r>
      <w:r w:rsidRPr="00AD79C7">
        <w:rPr>
          <w:rFonts w:ascii="Abadi" w:hAnsi="Abadi"/>
          <w:b/>
          <w:bCs/>
          <w:spacing w:val="16"/>
          <w:sz w:val="21"/>
          <w:szCs w:val="21"/>
        </w:rPr>
        <w:t xml:space="preserve"> </w:t>
      </w:r>
      <w:r w:rsidRPr="00AD79C7">
        <w:rPr>
          <w:rFonts w:ascii="Abadi" w:hAnsi="Abadi"/>
          <w:b/>
          <w:bCs/>
          <w:sz w:val="21"/>
          <w:szCs w:val="21"/>
        </w:rPr>
        <w:t>de</w:t>
      </w:r>
      <w:r w:rsidRPr="00AD79C7">
        <w:rPr>
          <w:rFonts w:ascii="Abadi" w:hAnsi="Abadi"/>
          <w:b/>
          <w:bCs/>
          <w:spacing w:val="16"/>
          <w:sz w:val="21"/>
          <w:szCs w:val="21"/>
        </w:rPr>
        <w:t xml:space="preserve"> </w:t>
      </w:r>
      <w:r w:rsidRPr="00AD79C7">
        <w:rPr>
          <w:rFonts w:ascii="Abadi" w:hAnsi="Abadi"/>
          <w:b/>
          <w:bCs/>
          <w:sz w:val="21"/>
          <w:szCs w:val="21"/>
        </w:rPr>
        <w:t>la</w:t>
      </w:r>
      <w:r w:rsidRPr="00AD79C7">
        <w:rPr>
          <w:rFonts w:ascii="Abadi" w:hAnsi="Abadi"/>
          <w:b/>
          <w:bCs/>
          <w:spacing w:val="16"/>
          <w:sz w:val="21"/>
          <w:szCs w:val="21"/>
        </w:rPr>
        <w:t xml:space="preserve"> </w:t>
      </w:r>
      <w:r w:rsidRPr="00AD79C7">
        <w:rPr>
          <w:rFonts w:ascii="Abadi" w:hAnsi="Abadi"/>
          <w:b/>
          <w:bCs/>
          <w:sz w:val="21"/>
          <w:szCs w:val="21"/>
        </w:rPr>
        <w:t>Independencia</w:t>
      </w:r>
      <w:r w:rsidRPr="00AD79C7">
        <w:rPr>
          <w:rFonts w:ascii="Abadi" w:hAnsi="Abadi"/>
          <w:b/>
          <w:bCs/>
          <w:spacing w:val="16"/>
          <w:sz w:val="21"/>
          <w:szCs w:val="21"/>
        </w:rPr>
        <w:t xml:space="preserve"> </w:t>
      </w:r>
      <w:r w:rsidRPr="00AD79C7">
        <w:rPr>
          <w:rFonts w:ascii="Abadi" w:hAnsi="Abadi"/>
          <w:b/>
          <w:bCs/>
          <w:sz w:val="21"/>
          <w:szCs w:val="21"/>
        </w:rPr>
        <w:t>Nacional, Gto.,</w:t>
      </w:r>
      <w:r w:rsidRPr="00AD79C7">
        <w:rPr>
          <w:rFonts w:ascii="Abadi" w:hAnsi="Abadi"/>
          <w:b/>
          <w:bCs/>
          <w:spacing w:val="-1"/>
          <w:sz w:val="21"/>
          <w:szCs w:val="21"/>
        </w:rPr>
        <w:t xml:space="preserve"> </w:t>
      </w:r>
      <w:r w:rsidRPr="00AD79C7">
        <w:rPr>
          <w:rFonts w:ascii="Abadi" w:hAnsi="Abadi"/>
          <w:b/>
          <w:bCs/>
          <w:sz w:val="21"/>
          <w:szCs w:val="21"/>
        </w:rPr>
        <w:t>correspondiente al ejercicio fiscal del año</w:t>
      </w:r>
      <w:r w:rsidRPr="00AD79C7">
        <w:rPr>
          <w:rFonts w:ascii="Abadi" w:hAnsi="Abadi"/>
          <w:b/>
          <w:bCs/>
          <w:spacing w:val="-1"/>
          <w:sz w:val="21"/>
          <w:szCs w:val="21"/>
        </w:rPr>
        <w:t xml:space="preserve"> </w:t>
      </w:r>
      <w:r w:rsidRPr="00AD79C7">
        <w:rPr>
          <w:rFonts w:ascii="Abadi" w:hAnsi="Abadi"/>
          <w:b/>
          <w:bCs/>
          <w:sz w:val="21"/>
          <w:szCs w:val="21"/>
        </w:rPr>
        <w:t>2020.</w:t>
      </w:r>
    </w:p>
    <w:p w14:paraId="4D2AD915" w14:textId="77777777" w:rsidR="006209FF" w:rsidRPr="006209FF" w:rsidRDefault="006209FF" w:rsidP="006B00FD">
      <w:pPr>
        <w:pStyle w:val="Prrafodelista"/>
        <w:ind w:right="566"/>
        <w:rPr>
          <w:rFonts w:ascii="Abadi" w:hAnsi="Abadi"/>
          <w:b/>
          <w:bCs/>
          <w:sz w:val="21"/>
          <w:szCs w:val="21"/>
        </w:rPr>
      </w:pPr>
    </w:p>
    <w:p w14:paraId="6AD14208" w14:textId="77777777" w:rsidR="006209FF" w:rsidRPr="00AD79C7" w:rsidRDefault="006209FF"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1"/>
          <w:sz w:val="21"/>
          <w:szCs w:val="21"/>
        </w:rPr>
        <w:t xml:space="preserve"> </w:t>
      </w:r>
      <w:r w:rsidRPr="00AD79C7">
        <w:rPr>
          <w:rFonts w:ascii="Abadi" w:hAnsi="Abadi"/>
          <w:b/>
          <w:bCs/>
          <w:sz w:val="21"/>
          <w:szCs w:val="21"/>
        </w:rPr>
        <w:t>y,</w:t>
      </w:r>
      <w:r w:rsidRPr="00AD79C7">
        <w:rPr>
          <w:rFonts w:ascii="Abadi" w:hAnsi="Abadi"/>
          <w:b/>
          <w:bCs/>
          <w:spacing w:val="11"/>
          <w:sz w:val="21"/>
          <w:szCs w:val="21"/>
        </w:rPr>
        <w:t xml:space="preserve"> </w:t>
      </w:r>
      <w:r w:rsidRPr="00AD79C7">
        <w:rPr>
          <w:rFonts w:ascii="Abadi" w:hAnsi="Abadi"/>
          <w:b/>
          <w:bCs/>
          <w:sz w:val="21"/>
          <w:szCs w:val="21"/>
        </w:rPr>
        <w:t>en</w:t>
      </w:r>
      <w:r w:rsidRPr="00AD79C7">
        <w:rPr>
          <w:rFonts w:ascii="Abadi" w:hAnsi="Abadi"/>
          <w:b/>
          <w:bCs/>
          <w:spacing w:val="11"/>
          <w:sz w:val="21"/>
          <w:szCs w:val="21"/>
        </w:rPr>
        <w:t xml:space="preserve"> </w:t>
      </w:r>
      <w:r w:rsidRPr="00AD79C7">
        <w:rPr>
          <w:rFonts w:ascii="Abadi" w:hAnsi="Abadi"/>
          <w:b/>
          <w:bCs/>
          <w:sz w:val="21"/>
          <w:szCs w:val="21"/>
        </w:rPr>
        <w:t>su</w:t>
      </w:r>
      <w:r w:rsidRPr="00AD79C7">
        <w:rPr>
          <w:rFonts w:ascii="Abadi" w:hAnsi="Abadi"/>
          <w:b/>
          <w:bCs/>
          <w:spacing w:val="11"/>
          <w:sz w:val="21"/>
          <w:szCs w:val="21"/>
        </w:rPr>
        <w:t xml:space="preserve"> </w:t>
      </w:r>
      <w:r w:rsidRPr="00AD79C7">
        <w:rPr>
          <w:rFonts w:ascii="Abadi" w:hAnsi="Abadi"/>
          <w:b/>
          <w:bCs/>
          <w:sz w:val="21"/>
          <w:szCs w:val="21"/>
        </w:rPr>
        <w:t>caso,</w:t>
      </w:r>
      <w:r w:rsidRPr="00AD79C7">
        <w:rPr>
          <w:rFonts w:ascii="Abadi" w:hAnsi="Abadi"/>
          <w:b/>
          <w:bCs/>
          <w:spacing w:val="11"/>
          <w:sz w:val="21"/>
          <w:szCs w:val="21"/>
        </w:rPr>
        <w:t xml:space="preserve"> </w:t>
      </w:r>
      <w:r w:rsidRPr="00AD79C7">
        <w:rPr>
          <w:rFonts w:ascii="Abadi" w:hAnsi="Abadi"/>
          <w:b/>
          <w:bCs/>
          <w:sz w:val="21"/>
          <w:szCs w:val="21"/>
        </w:rPr>
        <w:t>aprobación</w:t>
      </w:r>
      <w:r w:rsidRPr="00AD79C7">
        <w:rPr>
          <w:rFonts w:ascii="Abadi" w:hAnsi="Abadi"/>
          <w:b/>
          <w:bCs/>
          <w:spacing w:val="11"/>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dictamen</w:t>
      </w:r>
      <w:r w:rsidRPr="00AD79C7">
        <w:rPr>
          <w:rFonts w:ascii="Abadi" w:hAnsi="Abadi"/>
          <w:b/>
          <w:bCs/>
          <w:spacing w:val="11"/>
          <w:sz w:val="21"/>
          <w:szCs w:val="21"/>
        </w:rPr>
        <w:t xml:space="preserve"> </w:t>
      </w:r>
      <w:r w:rsidRPr="00AD79C7">
        <w:rPr>
          <w:rFonts w:ascii="Abadi" w:hAnsi="Abadi"/>
          <w:b/>
          <w:bCs/>
          <w:sz w:val="21"/>
          <w:szCs w:val="21"/>
        </w:rPr>
        <w:t>signado</w:t>
      </w:r>
      <w:r w:rsidRPr="00AD79C7">
        <w:rPr>
          <w:rFonts w:ascii="Abadi" w:hAnsi="Abadi"/>
          <w:b/>
          <w:bCs/>
          <w:spacing w:val="11"/>
          <w:sz w:val="21"/>
          <w:szCs w:val="21"/>
        </w:rPr>
        <w:t xml:space="preserve"> </w:t>
      </w:r>
      <w:r w:rsidRPr="00AD79C7">
        <w:rPr>
          <w:rFonts w:ascii="Abadi" w:hAnsi="Abadi"/>
          <w:b/>
          <w:bCs/>
          <w:sz w:val="21"/>
          <w:szCs w:val="21"/>
        </w:rPr>
        <w:t>por</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Comisión de</w:t>
      </w:r>
      <w:r w:rsidRPr="00AD79C7">
        <w:rPr>
          <w:rFonts w:ascii="Abadi" w:hAnsi="Abadi"/>
          <w:b/>
          <w:bCs/>
          <w:spacing w:val="10"/>
          <w:sz w:val="21"/>
          <w:szCs w:val="21"/>
        </w:rPr>
        <w:t xml:space="preserve"> </w:t>
      </w:r>
      <w:r w:rsidRPr="00AD79C7">
        <w:rPr>
          <w:rFonts w:ascii="Abadi" w:hAnsi="Abadi"/>
          <w:b/>
          <w:bCs/>
          <w:sz w:val="21"/>
          <w:szCs w:val="21"/>
        </w:rPr>
        <w:t>Hacienda</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Fiscalización</w:t>
      </w:r>
      <w:r w:rsidRPr="00AD79C7">
        <w:rPr>
          <w:rFonts w:ascii="Abadi" w:hAnsi="Abadi"/>
          <w:b/>
          <w:bCs/>
          <w:spacing w:val="10"/>
          <w:sz w:val="21"/>
          <w:szCs w:val="21"/>
        </w:rPr>
        <w:t xml:space="preserve"> </w:t>
      </w:r>
      <w:r w:rsidRPr="00AD79C7">
        <w:rPr>
          <w:rFonts w:ascii="Abadi" w:hAnsi="Abadi"/>
          <w:b/>
          <w:bCs/>
          <w:sz w:val="21"/>
          <w:szCs w:val="21"/>
        </w:rPr>
        <w:t>relativo</w:t>
      </w:r>
      <w:r w:rsidRPr="00AD79C7">
        <w:rPr>
          <w:rFonts w:ascii="Abadi" w:hAnsi="Abadi"/>
          <w:b/>
          <w:bCs/>
          <w:spacing w:val="10"/>
          <w:sz w:val="21"/>
          <w:szCs w:val="21"/>
        </w:rPr>
        <w:t xml:space="preserve"> </w:t>
      </w:r>
      <w:r w:rsidRPr="00AD79C7">
        <w:rPr>
          <w:rFonts w:ascii="Abadi" w:hAnsi="Abadi"/>
          <w:b/>
          <w:bCs/>
          <w:sz w:val="21"/>
          <w:szCs w:val="21"/>
        </w:rPr>
        <w:t>al</w:t>
      </w:r>
      <w:r w:rsidRPr="00AD79C7">
        <w:rPr>
          <w:rFonts w:ascii="Abadi" w:hAnsi="Abadi"/>
          <w:b/>
          <w:bCs/>
          <w:spacing w:val="9"/>
          <w:sz w:val="21"/>
          <w:szCs w:val="21"/>
        </w:rPr>
        <w:t xml:space="preserve"> </w:t>
      </w:r>
      <w:r w:rsidRPr="00AD79C7">
        <w:rPr>
          <w:rFonts w:ascii="Abadi" w:hAnsi="Abadi"/>
          <w:b/>
          <w:bCs/>
          <w:sz w:val="21"/>
          <w:szCs w:val="21"/>
        </w:rPr>
        <w:t>informe</w:t>
      </w:r>
      <w:r w:rsidRPr="00AD79C7">
        <w:rPr>
          <w:rFonts w:ascii="Abadi" w:hAnsi="Abadi"/>
          <w:b/>
          <w:bCs/>
          <w:spacing w:val="9"/>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resultados</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revisión practicada</w:t>
      </w:r>
      <w:r w:rsidRPr="00AD79C7">
        <w:rPr>
          <w:rFonts w:ascii="Abadi" w:hAnsi="Abadi"/>
          <w:b/>
          <w:bCs/>
          <w:spacing w:val="10"/>
          <w:sz w:val="21"/>
          <w:szCs w:val="21"/>
        </w:rPr>
        <w:t xml:space="preserve"> </w:t>
      </w:r>
      <w:r w:rsidRPr="00AD79C7">
        <w:rPr>
          <w:rFonts w:ascii="Abadi" w:hAnsi="Abadi"/>
          <w:b/>
          <w:bCs/>
          <w:sz w:val="21"/>
          <w:szCs w:val="21"/>
        </w:rPr>
        <w:t>por</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Auditoría</w:t>
      </w:r>
      <w:r w:rsidRPr="00AD79C7">
        <w:rPr>
          <w:rFonts w:ascii="Abadi" w:hAnsi="Abadi"/>
          <w:b/>
          <w:bCs/>
          <w:spacing w:val="10"/>
          <w:sz w:val="21"/>
          <w:szCs w:val="21"/>
        </w:rPr>
        <w:t xml:space="preserve"> </w:t>
      </w:r>
      <w:r w:rsidRPr="00AD79C7">
        <w:rPr>
          <w:rFonts w:ascii="Abadi" w:hAnsi="Abadi"/>
          <w:b/>
          <w:bCs/>
          <w:sz w:val="21"/>
          <w:szCs w:val="21"/>
        </w:rPr>
        <w:t>Superior</w:t>
      </w:r>
      <w:r w:rsidRPr="00AD79C7">
        <w:rPr>
          <w:rFonts w:ascii="Abadi" w:hAnsi="Abadi"/>
          <w:b/>
          <w:bCs/>
          <w:spacing w:val="9"/>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Estado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Guanajuato,</w:t>
      </w:r>
      <w:r w:rsidRPr="00AD79C7">
        <w:rPr>
          <w:rFonts w:ascii="Abadi" w:hAnsi="Abadi"/>
          <w:b/>
          <w:bCs/>
          <w:spacing w:val="9"/>
          <w:sz w:val="21"/>
          <w:szCs w:val="21"/>
        </w:rPr>
        <w:t xml:space="preserve"> </w:t>
      </w:r>
      <w:r w:rsidRPr="00AD79C7">
        <w:rPr>
          <w:rFonts w:ascii="Abadi" w:hAnsi="Abadi"/>
          <w:b/>
          <w:bCs/>
          <w:sz w:val="21"/>
          <w:szCs w:val="21"/>
        </w:rPr>
        <w:t>a</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cuenta pública</w:t>
      </w:r>
      <w:r w:rsidRPr="00AD79C7">
        <w:rPr>
          <w:rFonts w:ascii="Abadi" w:hAnsi="Abadi"/>
          <w:b/>
          <w:bCs/>
          <w:spacing w:val="32"/>
          <w:sz w:val="21"/>
          <w:szCs w:val="21"/>
        </w:rPr>
        <w:t xml:space="preserve"> </w:t>
      </w:r>
      <w:r w:rsidRPr="00AD79C7">
        <w:rPr>
          <w:rFonts w:ascii="Abadi" w:hAnsi="Abadi"/>
          <w:b/>
          <w:bCs/>
          <w:sz w:val="21"/>
          <w:szCs w:val="21"/>
        </w:rPr>
        <w:t>municipal</w:t>
      </w:r>
      <w:r w:rsidRPr="00AD79C7">
        <w:rPr>
          <w:rFonts w:ascii="Abadi" w:hAnsi="Abadi"/>
          <w:b/>
          <w:bCs/>
          <w:spacing w:val="32"/>
          <w:sz w:val="21"/>
          <w:szCs w:val="21"/>
        </w:rPr>
        <w:t xml:space="preserve"> </w:t>
      </w:r>
      <w:r w:rsidRPr="00AD79C7">
        <w:rPr>
          <w:rFonts w:ascii="Abadi" w:hAnsi="Abadi"/>
          <w:b/>
          <w:bCs/>
          <w:sz w:val="21"/>
          <w:szCs w:val="21"/>
        </w:rPr>
        <w:t>de</w:t>
      </w:r>
      <w:r w:rsidRPr="00AD79C7">
        <w:rPr>
          <w:rFonts w:ascii="Abadi" w:hAnsi="Abadi"/>
          <w:b/>
          <w:bCs/>
          <w:spacing w:val="32"/>
          <w:sz w:val="21"/>
          <w:szCs w:val="21"/>
        </w:rPr>
        <w:t xml:space="preserve"> </w:t>
      </w:r>
      <w:r w:rsidRPr="00AD79C7">
        <w:rPr>
          <w:rFonts w:ascii="Abadi" w:hAnsi="Abadi"/>
          <w:b/>
          <w:bCs/>
          <w:sz w:val="21"/>
          <w:szCs w:val="21"/>
        </w:rPr>
        <w:t>San</w:t>
      </w:r>
      <w:r w:rsidRPr="00AD79C7">
        <w:rPr>
          <w:rFonts w:ascii="Abadi" w:hAnsi="Abadi"/>
          <w:b/>
          <w:bCs/>
          <w:spacing w:val="33"/>
          <w:sz w:val="21"/>
          <w:szCs w:val="21"/>
        </w:rPr>
        <w:t xml:space="preserve"> </w:t>
      </w:r>
      <w:r w:rsidRPr="00AD79C7">
        <w:rPr>
          <w:rFonts w:ascii="Abadi" w:hAnsi="Abadi"/>
          <w:b/>
          <w:bCs/>
          <w:sz w:val="21"/>
          <w:szCs w:val="21"/>
        </w:rPr>
        <w:t>José</w:t>
      </w:r>
      <w:r w:rsidRPr="00AD79C7">
        <w:rPr>
          <w:rFonts w:ascii="Abadi" w:hAnsi="Abadi"/>
          <w:b/>
          <w:bCs/>
          <w:spacing w:val="32"/>
          <w:sz w:val="21"/>
          <w:szCs w:val="21"/>
        </w:rPr>
        <w:t xml:space="preserve"> </w:t>
      </w:r>
      <w:r w:rsidRPr="00AD79C7">
        <w:rPr>
          <w:rFonts w:ascii="Abadi" w:hAnsi="Abadi"/>
          <w:b/>
          <w:bCs/>
          <w:sz w:val="21"/>
          <w:szCs w:val="21"/>
        </w:rPr>
        <w:t>Iturbide,</w:t>
      </w:r>
      <w:r w:rsidRPr="00AD79C7">
        <w:rPr>
          <w:rFonts w:ascii="Abadi" w:hAnsi="Abadi"/>
          <w:b/>
          <w:bCs/>
          <w:spacing w:val="32"/>
          <w:sz w:val="21"/>
          <w:szCs w:val="21"/>
        </w:rPr>
        <w:t xml:space="preserve"> </w:t>
      </w:r>
      <w:r w:rsidRPr="00AD79C7">
        <w:rPr>
          <w:rFonts w:ascii="Abadi" w:hAnsi="Abadi"/>
          <w:b/>
          <w:bCs/>
          <w:sz w:val="21"/>
          <w:szCs w:val="21"/>
        </w:rPr>
        <w:t>Gto.,</w:t>
      </w:r>
      <w:r w:rsidRPr="00AD79C7">
        <w:rPr>
          <w:rFonts w:ascii="Abadi" w:hAnsi="Abadi"/>
          <w:b/>
          <w:bCs/>
          <w:spacing w:val="32"/>
          <w:sz w:val="21"/>
          <w:szCs w:val="21"/>
        </w:rPr>
        <w:t xml:space="preserve"> </w:t>
      </w:r>
      <w:r w:rsidRPr="00AD79C7">
        <w:rPr>
          <w:rFonts w:ascii="Abadi" w:hAnsi="Abadi"/>
          <w:b/>
          <w:bCs/>
          <w:sz w:val="21"/>
          <w:szCs w:val="21"/>
        </w:rPr>
        <w:t>correspondiente</w:t>
      </w:r>
      <w:r w:rsidRPr="00AD79C7">
        <w:rPr>
          <w:rFonts w:ascii="Abadi" w:hAnsi="Abadi"/>
          <w:b/>
          <w:bCs/>
          <w:spacing w:val="32"/>
          <w:sz w:val="21"/>
          <w:szCs w:val="21"/>
        </w:rPr>
        <w:t xml:space="preserve"> </w:t>
      </w:r>
      <w:r w:rsidRPr="00AD79C7">
        <w:rPr>
          <w:rFonts w:ascii="Abadi" w:hAnsi="Abadi"/>
          <w:b/>
          <w:bCs/>
          <w:sz w:val="21"/>
          <w:szCs w:val="21"/>
        </w:rPr>
        <w:t>al</w:t>
      </w:r>
      <w:r w:rsidRPr="00AD79C7">
        <w:rPr>
          <w:rFonts w:ascii="Abadi" w:hAnsi="Abadi"/>
          <w:b/>
          <w:bCs/>
          <w:spacing w:val="32"/>
          <w:sz w:val="21"/>
          <w:szCs w:val="21"/>
        </w:rPr>
        <w:t xml:space="preserve"> </w:t>
      </w:r>
      <w:r w:rsidRPr="00AD79C7">
        <w:rPr>
          <w:rFonts w:ascii="Abadi" w:hAnsi="Abadi"/>
          <w:b/>
          <w:bCs/>
          <w:sz w:val="21"/>
          <w:szCs w:val="21"/>
        </w:rPr>
        <w:t>ejercicio fiscal del año 2020.</w:t>
      </w:r>
    </w:p>
    <w:p w14:paraId="78DF1B1F" w14:textId="77777777" w:rsidR="006209FF" w:rsidRPr="00AD79C7" w:rsidRDefault="006209FF" w:rsidP="006B00FD">
      <w:pPr>
        <w:kinsoku w:val="0"/>
        <w:overflowPunct w:val="0"/>
        <w:autoSpaceDE w:val="0"/>
        <w:autoSpaceDN w:val="0"/>
        <w:adjustRightInd w:val="0"/>
        <w:spacing w:before="7"/>
        <w:ind w:right="566"/>
        <w:jc w:val="both"/>
        <w:rPr>
          <w:rFonts w:ascii="Abadi" w:hAnsi="Abadi" w:cs="Arial"/>
          <w:b/>
          <w:bCs/>
          <w:sz w:val="21"/>
          <w:szCs w:val="21"/>
        </w:rPr>
      </w:pPr>
    </w:p>
    <w:p w14:paraId="22207BF6" w14:textId="48CA1F4F" w:rsidR="006209FF" w:rsidRDefault="006209FF"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1"/>
          <w:sz w:val="21"/>
          <w:szCs w:val="21"/>
        </w:rPr>
        <w:t xml:space="preserve"> </w:t>
      </w:r>
      <w:r w:rsidRPr="00AD79C7">
        <w:rPr>
          <w:rFonts w:ascii="Abadi" w:hAnsi="Abadi"/>
          <w:b/>
          <w:bCs/>
          <w:sz w:val="21"/>
          <w:szCs w:val="21"/>
        </w:rPr>
        <w:t>y,</w:t>
      </w:r>
      <w:r w:rsidRPr="00AD79C7">
        <w:rPr>
          <w:rFonts w:ascii="Abadi" w:hAnsi="Abadi"/>
          <w:b/>
          <w:bCs/>
          <w:spacing w:val="11"/>
          <w:sz w:val="21"/>
          <w:szCs w:val="21"/>
        </w:rPr>
        <w:t xml:space="preserve"> </w:t>
      </w:r>
      <w:r w:rsidRPr="00AD79C7">
        <w:rPr>
          <w:rFonts w:ascii="Abadi" w:hAnsi="Abadi"/>
          <w:b/>
          <w:bCs/>
          <w:sz w:val="21"/>
          <w:szCs w:val="21"/>
        </w:rPr>
        <w:t>en</w:t>
      </w:r>
      <w:r w:rsidRPr="00AD79C7">
        <w:rPr>
          <w:rFonts w:ascii="Abadi" w:hAnsi="Abadi"/>
          <w:b/>
          <w:bCs/>
          <w:spacing w:val="11"/>
          <w:sz w:val="21"/>
          <w:szCs w:val="21"/>
        </w:rPr>
        <w:t xml:space="preserve"> </w:t>
      </w:r>
      <w:r w:rsidRPr="00AD79C7">
        <w:rPr>
          <w:rFonts w:ascii="Abadi" w:hAnsi="Abadi"/>
          <w:b/>
          <w:bCs/>
          <w:sz w:val="21"/>
          <w:szCs w:val="21"/>
        </w:rPr>
        <w:t>su</w:t>
      </w:r>
      <w:r w:rsidRPr="00AD79C7">
        <w:rPr>
          <w:rFonts w:ascii="Abadi" w:hAnsi="Abadi"/>
          <w:b/>
          <w:bCs/>
          <w:spacing w:val="11"/>
          <w:sz w:val="21"/>
          <w:szCs w:val="21"/>
        </w:rPr>
        <w:t xml:space="preserve"> </w:t>
      </w:r>
      <w:r w:rsidRPr="00AD79C7">
        <w:rPr>
          <w:rFonts w:ascii="Abadi" w:hAnsi="Abadi"/>
          <w:b/>
          <w:bCs/>
          <w:sz w:val="21"/>
          <w:szCs w:val="21"/>
        </w:rPr>
        <w:t>caso,</w:t>
      </w:r>
      <w:r w:rsidRPr="00AD79C7">
        <w:rPr>
          <w:rFonts w:ascii="Abadi" w:hAnsi="Abadi"/>
          <w:b/>
          <w:bCs/>
          <w:spacing w:val="11"/>
          <w:sz w:val="21"/>
          <w:szCs w:val="21"/>
        </w:rPr>
        <w:t xml:space="preserve"> </w:t>
      </w:r>
      <w:r w:rsidRPr="00AD79C7">
        <w:rPr>
          <w:rFonts w:ascii="Abadi" w:hAnsi="Abadi"/>
          <w:b/>
          <w:bCs/>
          <w:sz w:val="21"/>
          <w:szCs w:val="21"/>
        </w:rPr>
        <w:t>aprobación</w:t>
      </w:r>
      <w:r w:rsidRPr="00AD79C7">
        <w:rPr>
          <w:rFonts w:ascii="Abadi" w:hAnsi="Abadi"/>
          <w:b/>
          <w:bCs/>
          <w:spacing w:val="11"/>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dictamen</w:t>
      </w:r>
      <w:r w:rsidRPr="00AD79C7">
        <w:rPr>
          <w:rFonts w:ascii="Abadi" w:hAnsi="Abadi"/>
          <w:b/>
          <w:bCs/>
          <w:spacing w:val="11"/>
          <w:sz w:val="21"/>
          <w:szCs w:val="21"/>
        </w:rPr>
        <w:t xml:space="preserve"> </w:t>
      </w:r>
      <w:r w:rsidRPr="00AD79C7">
        <w:rPr>
          <w:rFonts w:ascii="Abadi" w:hAnsi="Abadi"/>
          <w:b/>
          <w:bCs/>
          <w:sz w:val="21"/>
          <w:szCs w:val="21"/>
        </w:rPr>
        <w:t>signado</w:t>
      </w:r>
      <w:r w:rsidRPr="00AD79C7">
        <w:rPr>
          <w:rFonts w:ascii="Abadi" w:hAnsi="Abadi"/>
          <w:b/>
          <w:bCs/>
          <w:spacing w:val="11"/>
          <w:sz w:val="21"/>
          <w:szCs w:val="21"/>
        </w:rPr>
        <w:t xml:space="preserve"> </w:t>
      </w:r>
      <w:r w:rsidRPr="00AD79C7">
        <w:rPr>
          <w:rFonts w:ascii="Abadi" w:hAnsi="Abadi"/>
          <w:b/>
          <w:bCs/>
          <w:sz w:val="21"/>
          <w:szCs w:val="21"/>
        </w:rPr>
        <w:t>por</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Comisión de</w:t>
      </w:r>
      <w:r w:rsidRPr="00AD79C7">
        <w:rPr>
          <w:rFonts w:ascii="Abadi" w:hAnsi="Abadi"/>
          <w:b/>
          <w:bCs/>
          <w:spacing w:val="10"/>
          <w:sz w:val="21"/>
          <w:szCs w:val="21"/>
        </w:rPr>
        <w:t xml:space="preserve"> </w:t>
      </w:r>
      <w:r w:rsidRPr="00AD79C7">
        <w:rPr>
          <w:rFonts w:ascii="Abadi" w:hAnsi="Abadi"/>
          <w:b/>
          <w:bCs/>
          <w:sz w:val="21"/>
          <w:szCs w:val="21"/>
        </w:rPr>
        <w:t>Hacienda</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Fiscalización</w:t>
      </w:r>
      <w:r w:rsidRPr="00AD79C7">
        <w:rPr>
          <w:rFonts w:ascii="Abadi" w:hAnsi="Abadi"/>
          <w:b/>
          <w:bCs/>
          <w:spacing w:val="10"/>
          <w:sz w:val="21"/>
          <w:szCs w:val="21"/>
        </w:rPr>
        <w:t xml:space="preserve"> </w:t>
      </w:r>
      <w:r w:rsidRPr="00AD79C7">
        <w:rPr>
          <w:rFonts w:ascii="Abadi" w:hAnsi="Abadi"/>
          <w:b/>
          <w:bCs/>
          <w:sz w:val="21"/>
          <w:szCs w:val="21"/>
        </w:rPr>
        <w:t>relativo</w:t>
      </w:r>
      <w:r w:rsidRPr="00AD79C7">
        <w:rPr>
          <w:rFonts w:ascii="Abadi" w:hAnsi="Abadi"/>
          <w:b/>
          <w:bCs/>
          <w:spacing w:val="10"/>
          <w:sz w:val="21"/>
          <w:szCs w:val="21"/>
        </w:rPr>
        <w:t xml:space="preserve"> </w:t>
      </w:r>
      <w:r w:rsidRPr="00AD79C7">
        <w:rPr>
          <w:rFonts w:ascii="Abadi" w:hAnsi="Abadi"/>
          <w:b/>
          <w:bCs/>
          <w:sz w:val="21"/>
          <w:szCs w:val="21"/>
        </w:rPr>
        <w:t>al</w:t>
      </w:r>
      <w:r w:rsidRPr="00AD79C7">
        <w:rPr>
          <w:rFonts w:ascii="Abadi" w:hAnsi="Abadi"/>
          <w:b/>
          <w:bCs/>
          <w:spacing w:val="9"/>
          <w:sz w:val="21"/>
          <w:szCs w:val="21"/>
        </w:rPr>
        <w:t xml:space="preserve"> </w:t>
      </w:r>
      <w:r w:rsidRPr="00AD79C7">
        <w:rPr>
          <w:rFonts w:ascii="Abadi" w:hAnsi="Abadi"/>
          <w:b/>
          <w:bCs/>
          <w:sz w:val="21"/>
          <w:szCs w:val="21"/>
        </w:rPr>
        <w:t>informe</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resultados</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revisión practicada</w:t>
      </w:r>
      <w:r w:rsidRPr="00AD79C7">
        <w:rPr>
          <w:rFonts w:ascii="Abadi" w:hAnsi="Abadi"/>
          <w:b/>
          <w:bCs/>
          <w:spacing w:val="10"/>
          <w:sz w:val="21"/>
          <w:szCs w:val="21"/>
        </w:rPr>
        <w:t xml:space="preserve"> </w:t>
      </w:r>
      <w:r w:rsidRPr="00AD79C7">
        <w:rPr>
          <w:rFonts w:ascii="Abadi" w:hAnsi="Abadi"/>
          <w:b/>
          <w:bCs/>
          <w:sz w:val="21"/>
          <w:szCs w:val="21"/>
        </w:rPr>
        <w:t>por</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Auditoría</w:t>
      </w:r>
      <w:r w:rsidRPr="00AD79C7">
        <w:rPr>
          <w:rFonts w:ascii="Abadi" w:hAnsi="Abadi"/>
          <w:b/>
          <w:bCs/>
          <w:spacing w:val="10"/>
          <w:sz w:val="21"/>
          <w:szCs w:val="21"/>
        </w:rPr>
        <w:t xml:space="preserve"> </w:t>
      </w:r>
      <w:r w:rsidRPr="00AD79C7">
        <w:rPr>
          <w:rFonts w:ascii="Abadi" w:hAnsi="Abadi"/>
          <w:b/>
          <w:bCs/>
          <w:sz w:val="21"/>
          <w:szCs w:val="21"/>
        </w:rPr>
        <w:t>Superior</w:t>
      </w:r>
      <w:r w:rsidRPr="00AD79C7">
        <w:rPr>
          <w:rFonts w:ascii="Abadi" w:hAnsi="Abadi"/>
          <w:b/>
          <w:bCs/>
          <w:spacing w:val="9"/>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Estado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Guanajuato,</w:t>
      </w:r>
      <w:r w:rsidRPr="00AD79C7">
        <w:rPr>
          <w:rFonts w:ascii="Abadi" w:hAnsi="Abadi"/>
          <w:b/>
          <w:bCs/>
          <w:spacing w:val="9"/>
          <w:sz w:val="21"/>
          <w:szCs w:val="21"/>
        </w:rPr>
        <w:t xml:space="preserve"> </w:t>
      </w:r>
      <w:r w:rsidRPr="00AD79C7">
        <w:rPr>
          <w:rFonts w:ascii="Abadi" w:hAnsi="Abadi"/>
          <w:b/>
          <w:bCs/>
          <w:sz w:val="21"/>
          <w:szCs w:val="21"/>
        </w:rPr>
        <w:t>a</w:t>
      </w:r>
      <w:r w:rsidRPr="00AD79C7">
        <w:rPr>
          <w:rFonts w:ascii="Abadi" w:hAnsi="Abadi"/>
          <w:b/>
          <w:bCs/>
          <w:spacing w:val="8"/>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cuenta pública</w:t>
      </w:r>
      <w:r w:rsidRPr="00AD79C7">
        <w:rPr>
          <w:rFonts w:ascii="Abadi" w:hAnsi="Abadi"/>
          <w:b/>
          <w:bCs/>
          <w:spacing w:val="-6"/>
          <w:sz w:val="21"/>
          <w:szCs w:val="21"/>
        </w:rPr>
        <w:t xml:space="preserve"> </w:t>
      </w:r>
      <w:r w:rsidRPr="00AD79C7">
        <w:rPr>
          <w:rFonts w:ascii="Abadi" w:hAnsi="Abadi"/>
          <w:b/>
          <w:bCs/>
          <w:sz w:val="21"/>
          <w:szCs w:val="21"/>
        </w:rPr>
        <w:t>municipal</w:t>
      </w:r>
      <w:r w:rsidRPr="00AD79C7">
        <w:rPr>
          <w:rFonts w:ascii="Abadi" w:hAnsi="Abadi"/>
          <w:b/>
          <w:bCs/>
          <w:spacing w:val="-5"/>
          <w:sz w:val="21"/>
          <w:szCs w:val="21"/>
        </w:rPr>
        <w:t xml:space="preserve"> </w:t>
      </w:r>
      <w:r w:rsidRPr="00AD79C7">
        <w:rPr>
          <w:rFonts w:ascii="Abadi" w:hAnsi="Abadi"/>
          <w:b/>
          <w:bCs/>
          <w:sz w:val="21"/>
          <w:szCs w:val="21"/>
        </w:rPr>
        <w:t>de</w:t>
      </w:r>
      <w:r w:rsidRPr="00AD79C7">
        <w:rPr>
          <w:rFonts w:ascii="Abadi" w:hAnsi="Abadi"/>
          <w:b/>
          <w:bCs/>
          <w:spacing w:val="-6"/>
          <w:sz w:val="21"/>
          <w:szCs w:val="21"/>
        </w:rPr>
        <w:t xml:space="preserve"> </w:t>
      </w:r>
      <w:r w:rsidRPr="00AD79C7">
        <w:rPr>
          <w:rFonts w:ascii="Abadi" w:hAnsi="Abadi"/>
          <w:b/>
          <w:bCs/>
          <w:sz w:val="21"/>
          <w:szCs w:val="21"/>
        </w:rPr>
        <w:t>Santa</w:t>
      </w:r>
      <w:r w:rsidRPr="00AD79C7">
        <w:rPr>
          <w:rFonts w:ascii="Abadi" w:hAnsi="Abadi"/>
          <w:b/>
          <w:bCs/>
          <w:spacing w:val="-6"/>
          <w:sz w:val="21"/>
          <w:szCs w:val="21"/>
        </w:rPr>
        <w:t xml:space="preserve"> </w:t>
      </w:r>
      <w:r w:rsidRPr="00AD79C7">
        <w:rPr>
          <w:rFonts w:ascii="Abadi" w:hAnsi="Abadi"/>
          <w:b/>
          <w:bCs/>
          <w:sz w:val="21"/>
          <w:szCs w:val="21"/>
        </w:rPr>
        <w:t>Cruz</w:t>
      </w:r>
      <w:r w:rsidRPr="00AD79C7">
        <w:rPr>
          <w:rFonts w:ascii="Abadi" w:hAnsi="Abadi"/>
          <w:b/>
          <w:bCs/>
          <w:spacing w:val="-6"/>
          <w:sz w:val="21"/>
          <w:szCs w:val="21"/>
        </w:rPr>
        <w:t xml:space="preserve"> </w:t>
      </w:r>
      <w:r w:rsidRPr="00AD79C7">
        <w:rPr>
          <w:rFonts w:ascii="Abadi" w:hAnsi="Abadi"/>
          <w:b/>
          <w:bCs/>
          <w:sz w:val="21"/>
          <w:szCs w:val="21"/>
        </w:rPr>
        <w:t>de</w:t>
      </w:r>
      <w:r w:rsidRPr="00AD79C7">
        <w:rPr>
          <w:rFonts w:ascii="Abadi" w:hAnsi="Abadi"/>
          <w:b/>
          <w:bCs/>
          <w:spacing w:val="-5"/>
          <w:sz w:val="21"/>
          <w:szCs w:val="21"/>
        </w:rPr>
        <w:t xml:space="preserve"> </w:t>
      </w:r>
      <w:r w:rsidRPr="00AD79C7">
        <w:rPr>
          <w:rFonts w:ascii="Abadi" w:hAnsi="Abadi"/>
          <w:b/>
          <w:bCs/>
          <w:sz w:val="21"/>
          <w:szCs w:val="21"/>
        </w:rPr>
        <w:t>Juventino</w:t>
      </w:r>
      <w:r w:rsidRPr="00AD79C7">
        <w:rPr>
          <w:rFonts w:ascii="Abadi" w:hAnsi="Abadi"/>
          <w:b/>
          <w:bCs/>
          <w:spacing w:val="-5"/>
          <w:sz w:val="21"/>
          <w:szCs w:val="21"/>
        </w:rPr>
        <w:t xml:space="preserve"> </w:t>
      </w:r>
      <w:r w:rsidRPr="00AD79C7">
        <w:rPr>
          <w:rFonts w:ascii="Abadi" w:hAnsi="Abadi"/>
          <w:b/>
          <w:bCs/>
          <w:sz w:val="21"/>
          <w:szCs w:val="21"/>
        </w:rPr>
        <w:t>Rosas,</w:t>
      </w:r>
      <w:r w:rsidRPr="00AD79C7">
        <w:rPr>
          <w:rFonts w:ascii="Abadi" w:hAnsi="Abadi"/>
          <w:b/>
          <w:bCs/>
          <w:spacing w:val="-6"/>
          <w:sz w:val="21"/>
          <w:szCs w:val="21"/>
        </w:rPr>
        <w:t xml:space="preserve"> </w:t>
      </w:r>
      <w:r w:rsidRPr="00AD79C7">
        <w:rPr>
          <w:rFonts w:ascii="Abadi" w:hAnsi="Abadi"/>
          <w:b/>
          <w:bCs/>
          <w:sz w:val="21"/>
          <w:szCs w:val="21"/>
        </w:rPr>
        <w:t>Gto.,</w:t>
      </w:r>
      <w:r w:rsidRPr="00AD79C7">
        <w:rPr>
          <w:rFonts w:ascii="Abadi" w:hAnsi="Abadi"/>
          <w:b/>
          <w:bCs/>
          <w:spacing w:val="-6"/>
          <w:sz w:val="21"/>
          <w:szCs w:val="21"/>
        </w:rPr>
        <w:t xml:space="preserve"> </w:t>
      </w:r>
      <w:r w:rsidRPr="00AD79C7">
        <w:rPr>
          <w:rFonts w:ascii="Abadi" w:hAnsi="Abadi"/>
          <w:b/>
          <w:bCs/>
          <w:sz w:val="21"/>
          <w:szCs w:val="21"/>
        </w:rPr>
        <w:t>correspondiente al ejercicio fiscal del año</w:t>
      </w:r>
      <w:r w:rsidRPr="00AD79C7">
        <w:rPr>
          <w:rFonts w:ascii="Abadi" w:hAnsi="Abadi"/>
          <w:b/>
          <w:bCs/>
          <w:spacing w:val="-1"/>
          <w:sz w:val="21"/>
          <w:szCs w:val="21"/>
        </w:rPr>
        <w:t xml:space="preserve"> </w:t>
      </w:r>
      <w:r w:rsidRPr="00AD79C7">
        <w:rPr>
          <w:rFonts w:ascii="Abadi" w:hAnsi="Abadi"/>
          <w:b/>
          <w:bCs/>
          <w:sz w:val="21"/>
          <w:szCs w:val="21"/>
        </w:rPr>
        <w:t>2020.</w:t>
      </w:r>
    </w:p>
    <w:p w14:paraId="1FAED136" w14:textId="77777777" w:rsidR="00AE6AF2" w:rsidRPr="00AE6AF2" w:rsidRDefault="00AE6AF2" w:rsidP="00AE6AF2">
      <w:pPr>
        <w:pStyle w:val="Prrafodelista"/>
        <w:rPr>
          <w:rFonts w:ascii="Abadi" w:hAnsi="Abadi"/>
          <w:b/>
          <w:bCs/>
          <w:sz w:val="21"/>
          <w:szCs w:val="21"/>
        </w:rPr>
      </w:pPr>
    </w:p>
    <w:p w14:paraId="1FF08BE3" w14:textId="77777777" w:rsidR="00AE6AF2" w:rsidRPr="00AD79C7" w:rsidRDefault="00AE6AF2"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1"/>
          <w:sz w:val="21"/>
          <w:szCs w:val="21"/>
        </w:rPr>
        <w:t xml:space="preserve"> </w:t>
      </w:r>
      <w:r w:rsidRPr="00AD79C7">
        <w:rPr>
          <w:rFonts w:ascii="Abadi" w:hAnsi="Abadi"/>
          <w:b/>
          <w:bCs/>
          <w:sz w:val="21"/>
          <w:szCs w:val="21"/>
        </w:rPr>
        <w:t>y,</w:t>
      </w:r>
      <w:r w:rsidRPr="00AD79C7">
        <w:rPr>
          <w:rFonts w:ascii="Abadi" w:hAnsi="Abadi"/>
          <w:b/>
          <w:bCs/>
          <w:spacing w:val="11"/>
          <w:sz w:val="21"/>
          <w:szCs w:val="21"/>
        </w:rPr>
        <w:t xml:space="preserve"> </w:t>
      </w:r>
      <w:r w:rsidRPr="00AD79C7">
        <w:rPr>
          <w:rFonts w:ascii="Abadi" w:hAnsi="Abadi"/>
          <w:b/>
          <w:bCs/>
          <w:sz w:val="21"/>
          <w:szCs w:val="21"/>
        </w:rPr>
        <w:t>en</w:t>
      </w:r>
      <w:r w:rsidRPr="00AD79C7">
        <w:rPr>
          <w:rFonts w:ascii="Abadi" w:hAnsi="Abadi"/>
          <w:b/>
          <w:bCs/>
          <w:spacing w:val="11"/>
          <w:sz w:val="21"/>
          <w:szCs w:val="21"/>
        </w:rPr>
        <w:t xml:space="preserve"> </w:t>
      </w:r>
      <w:r w:rsidRPr="00AD79C7">
        <w:rPr>
          <w:rFonts w:ascii="Abadi" w:hAnsi="Abadi"/>
          <w:b/>
          <w:bCs/>
          <w:sz w:val="21"/>
          <w:szCs w:val="21"/>
        </w:rPr>
        <w:t>su</w:t>
      </w:r>
      <w:r w:rsidRPr="00AD79C7">
        <w:rPr>
          <w:rFonts w:ascii="Abadi" w:hAnsi="Abadi"/>
          <w:b/>
          <w:bCs/>
          <w:spacing w:val="11"/>
          <w:sz w:val="21"/>
          <w:szCs w:val="21"/>
        </w:rPr>
        <w:t xml:space="preserve"> </w:t>
      </w:r>
      <w:r w:rsidRPr="00AD79C7">
        <w:rPr>
          <w:rFonts w:ascii="Abadi" w:hAnsi="Abadi"/>
          <w:b/>
          <w:bCs/>
          <w:sz w:val="21"/>
          <w:szCs w:val="21"/>
        </w:rPr>
        <w:t>caso,</w:t>
      </w:r>
      <w:r w:rsidRPr="00AD79C7">
        <w:rPr>
          <w:rFonts w:ascii="Abadi" w:hAnsi="Abadi"/>
          <w:b/>
          <w:bCs/>
          <w:spacing w:val="11"/>
          <w:sz w:val="21"/>
          <w:szCs w:val="21"/>
        </w:rPr>
        <w:t xml:space="preserve"> </w:t>
      </w:r>
      <w:r w:rsidRPr="00AD79C7">
        <w:rPr>
          <w:rFonts w:ascii="Abadi" w:hAnsi="Abadi"/>
          <w:b/>
          <w:bCs/>
          <w:sz w:val="21"/>
          <w:szCs w:val="21"/>
        </w:rPr>
        <w:t>aprobación</w:t>
      </w:r>
      <w:r w:rsidRPr="00AD79C7">
        <w:rPr>
          <w:rFonts w:ascii="Abadi" w:hAnsi="Abadi"/>
          <w:b/>
          <w:bCs/>
          <w:spacing w:val="11"/>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dictamen</w:t>
      </w:r>
      <w:r w:rsidRPr="00AD79C7">
        <w:rPr>
          <w:rFonts w:ascii="Abadi" w:hAnsi="Abadi"/>
          <w:b/>
          <w:bCs/>
          <w:spacing w:val="11"/>
          <w:sz w:val="21"/>
          <w:szCs w:val="21"/>
        </w:rPr>
        <w:t xml:space="preserve"> </w:t>
      </w:r>
      <w:r w:rsidRPr="00AD79C7">
        <w:rPr>
          <w:rFonts w:ascii="Abadi" w:hAnsi="Abadi"/>
          <w:b/>
          <w:bCs/>
          <w:sz w:val="21"/>
          <w:szCs w:val="21"/>
        </w:rPr>
        <w:t>signado</w:t>
      </w:r>
      <w:r w:rsidRPr="00AD79C7">
        <w:rPr>
          <w:rFonts w:ascii="Abadi" w:hAnsi="Abadi"/>
          <w:b/>
          <w:bCs/>
          <w:spacing w:val="11"/>
          <w:sz w:val="21"/>
          <w:szCs w:val="21"/>
        </w:rPr>
        <w:t xml:space="preserve"> </w:t>
      </w:r>
      <w:r w:rsidRPr="00AD79C7">
        <w:rPr>
          <w:rFonts w:ascii="Abadi" w:hAnsi="Abadi"/>
          <w:b/>
          <w:bCs/>
          <w:sz w:val="21"/>
          <w:szCs w:val="21"/>
        </w:rPr>
        <w:t>por</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Comisión de</w:t>
      </w:r>
      <w:r w:rsidRPr="00AD79C7">
        <w:rPr>
          <w:rFonts w:ascii="Abadi" w:hAnsi="Abadi"/>
          <w:b/>
          <w:bCs/>
          <w:spacing w:val="10"/>
          <w:sz w:val="21"/>
          <w:szCs w:val="21"/>
        </w:rPr>
        <w:t xml:space="preserve"> </w:t>
      </w:r>
      <w:r w:rsidRPr="00AD79C7">
        <w:rPr>
          <w:rFonts w:ascii="Abadi" w:hAnsi="Abadi"/>
          <w:b/>
          <w:bCs/>
          <w:sz w:val="21"/>
          <w:szCs w:val="21"/>
        </w:rPr>
        <w:t>Hacienda</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Fiscalización</w:t>
      </w:r>
      <w:r w:rsidRPr="00AD79C7">
        <w:rPr>
          <w:rFonts w:ascii="Abadi" w:hAnsi="Abadi"/>
          <w:b/>
          <w:bCs/>
          <w:spacing w:val="10"/>
          <w:sz w:val="21"/>
          <w:szCs w:val="21"/>
        </w:rPr>
        <w:t xml:space="preserve"> </w:t>
      </w:r>
      <w:r w:rsidRPr="00AD79C7">
        <w:rPr>
          <w:rFonts w:ascii="Abadi" w:hAnsi="Abadi"/>
          <w:b/>
          <w:bCs/>
          <w:sz w:val="21"/>
          <w:szCs w:val="21"/>
        </w:rPr>
        <w:t>relativo</w:t>
      </w:r>
      <w:r w:rsidRPr="00AD79C7">
        <w:rPr>
          <w:rFonts w:ascii="Abadi" w:hAnsi="Abadi"/>
          <w:b/>
          <w:bCs/>
          <w:spacing w:val="10"/>
          <w:sz w:val="21"/>
          <w:szCs w:val="21"/>
        </w:rPr>
        <w:t xml:space="preserve"> </w:t>
      </w:r>
      <w:r w:rsidRPr="00AD79C7">
        <w:rPr>
          <w:rFonts w:ascii="Abadi" w:hAnsi="Abadi"/>
          <w:b/>
          <w:bCs/>
          <w:sz w:val="21"/>
          <w:szCs w:val="21"/>
        </w:rPr>
        <w:t>al</w:t>
      </w:r>
      <w:r w:rsidRPr="00AD79C7">
        <w:rPr>
          <w:rFonts w:ascii="Abadi" w:hAnsi="Abadi"/>
          <w:b/>
          <w:bCs/>
          <w:spacing w:val="9"/>
          <w:sz w:val="21"/>
          <w:szCs w:val="21"/>
        </w:rPr>
        <w:t xml:space="preserve"> </w:t>
      </w:r>
      <w:r w:rsidRPr="00AD79C7">
        <w:rPr>
          <w:rFonts w:ascii="Abadi" w:hAnsi="Abadi"/>
          <w:b/>
          <w:bCs/>
          <w:sz w:val="21"/>
          <w:szCs w:val="21"/>
        </w:rPr>
        <w:t>informe</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resultados</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revisión practicada</w:t>
      </w:r>
      <w:r w:rsidRPr="00AD79C7">
        <w:rPr>
          <w:rFonts w:ascii="Abadi" w:hAnsi="Abadi"/>
          <w:b/>
          <w:bCs/>
          <w:spacing w:val="10"/>
          <w:sz w:val="21"/>
          <w:szCs w:val="21"/>
        </w:rPr>
        <w:t xml:space="preserve"> </w:t>
      </w:r>
      <w:r w:rsidRPr="00AD79C7">
        <w:rPr>
          <w:rFonts w:ascii="Abadi" w:hAnsi="Abadi"/>
          <w:b/>
          <w:bCs/>
          <w:sz w:val="21"/>
          <w:szCs w:val="21"/>
        </w:rPr>
        <w:t>por</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Auditoría</w:t>
      </w:r>
      <w:r w:rsidRPr="00AD79C7">
        <w:rPr>
          <w:rFonts w:ascii="Abadi" w:hAnsi="Abadi"/>
          <w:b/>
          <w:bCs/>
          <w:spacing w:val="10"/>
          <w:sz w:val="21"/>
          <w:szCs w:val="21"/>
        </w:rPr>
        <w:t xml:space="preserve"> </w:t>
      </w:r>
      <w:r w:rsidRPr="00AD79C7">
        <w:rPr>
          <w:rFonts w:ascii="Abadi" w:hAnsi="Abadi"/>
          <w:b/>
          <w:bCs/>
          <w:sz w:val="21"/>
          <w:szCs w:val="21"/>
        </w:rPr>
        <w:t>Superior</w:t>
      </w:r>
      <w:r w:rsidRPr="00AD79C7">
        <w:rPr>
          <w:rFonts w:ascii="Abadi" w:hAnsi="Abadi"/>
          <w:b/>
          <w:bCs/>
          <w:spacing w:val="9"/>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Estado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Guanajuato,</w:t>
      </w:r>
      <w:r w:rsidRPr="00AD79C7">
        <w:rPr>
          <w:rFonts w:ascii="Abadi" w:hAnsi="Abadi"/>
          <w:b/>
          <w:bCs/>
          <w:spacing w:val="9"/>
          <w:sz w:val="21"/>
          <w:szCs w:val="21"/>
        </w:rPr>
        <w:t xml:space="preserve"> </w:t>
      </w:r>
      <w:r w:rsidRPr="00AD79C7">
        <w:rPr>
          <w:rFonts w:ascii="Abadi" w:hAnsi="Abadi"/>
          <w:b/>
          <w:bCs/>
          <w:sz w:val="21"/>
          <w:szCs w:val="21"/>
        </w:rPr>
        <w:t>a</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cuenta pública</w:t>
      </w:r>
      <w:r w:rsidRPr="00AD79C7">
        <w:rPr>
          <w:rFonts w:ascii="Abadi" w:hAnsi="Abadi"/>
          <w:b/>
          <w:bCs/>
          <w:spacing w:val="24"/>
          <w:sz w:val="21"/>
          <w:szCs w:val="21"/>
        </w:rPr>
        <w:t xml:space="preserve"> </w:t>
      </w:r>
      <w:r w:rsidRPr="00AD79C7">
        <w:rPr>
          <w:rFonts w:ascii="Abadi" w:hAnsi="Abadi"/>
          <w:b/>
          <w:bCs/>
          <w:sz w:val="21"/>
          <w:szCs w:val="21"/>
        </w:rPr>
        <w:t>municipal</w:t>
      </w:r>
      <w:r w:rsidRPr="00AD79C7">
        <w:rPr>
          <w:rFonts w:ascii="Abadi" w:hAnsi="Abadi"/>
          <w:b/>
          <w:bCs/>
          <w:spacing w:val="24"/>
          <w:sz w:val="21"/>
          <w:szCs w:val="21"/>
        </w:rPr>
        <w:t xml:space="preserve"> </w:t>
      </w:r>
      <w:r w:rsidRPr="00AD79C7">
        <w:rPr>
          <w:rFonts w:ascii="Abadi" w:hAnsi="Abadi"/>
          <w:b/>
          <w:bCs/>
          <w:sz w:val="21"/>
          <w:szCs w:val="21"/>
        </w:rPr>
        <w:t>de</w:t>
      </w:r>
      <w:r w:rsidRPr="00AD79C7">
        <w:rPr>
          <w:rFonts w:ascii="Abadi" w:hAnsi="Abadi"/>
          <w:b/>
          <w:bCs/>
          <w:spacing w:val="24"/>
          <w:sz w:val="21"/>
          <w:szCs w:val="21"/>
        </w:rPr>
        <w:t xml:space="preserve"> </w:t>
      </w:r>
      <w:r w:rsidRPr="00AD79C7">
        <w:rPr>
          <w:rFonts w:ascii="Abadi" w:hAnsi="Abadi"/>
          <w:b/>
          <w:bCs/>
          <w:sz w:val="21"/>
          <w:szCs w:val="21"/>
        </w:rPr>
        <w:t>Villagrán,</w:t>
      </w:r>
      <w:r w:rsidRPr="00AD79C7">
        <w:rPr>
          <w:rFonts w:ascii="Abadi" w:hAnsi="Abadi"/>
          <w:b/>
          <w:bCs/>
          <w:spacing w:val="24"/>
          <w:sz w:val="21"/>
          <w:szCs w:val="21"/>
        </w:rPr>
        <w:t xml:space="preserve"> </w:t>
      </w:r>
      <w:r w:rsidRPr="00AD79C7">
        <w:rPr>
          <w:rFonts w:ascii="Abadi" w:hAnsi="Abadi"/>
          <w:b/>
          <w:bCs/>
          <w:sz w:val="21"/>
          <w:szCs w:val="21"/>
        </w:rPr>
        <w:t>Gto.,</w:t>
      </w:r>
      <w:r w:rsidRPr="00AD79C7">
        <w:rPr>
          <w:rFonts w:ascii="Abadi" w:hAnsi="Abadi"/>
          <w:b/>
          <w:bCs/>
          <w:spacing w:val="24"/>
          <w:sz w:val="21"/>
          <w:szCs w:val="21"/>
        </w:rPr>
        <w:t xml:space="preserve"> </w:t>
      </w:r>
      <w:r w:rsidRPr="00AD79C7">
        <w:rPr>
          <w:rFonts w:ascii="Abadi" w:hAnsi="Abadi"/>
          <w:b/>
          <w:bCs/>
          <w:sz w:val="21"/>
          <w:szCs w:val="21"/>
        </w:rPr>
        <w:t>correspondiente</w:t>
      </w:r>
      <w:r w:rsidRPr="00AD79C7">
        <w:rPr>
          <w:rFonts w:ascii="Abadi" w:hAnsi="Abadi"/>
          <w:b/>
          <w:bCs/>
          <w:spacing w:val="24"/>
          <w:sz w:val="21"/>
          <w:szCs w:val="21"/>
        </w:rPr>
        <w:t xml:space="preserve"> </w:t>
      </w:r>
      <w:r w:rsidRPr="00AD79C7">
        <w:rPr>
          <w:rFonts w:ascii="Abadi" w:hAnsi="Abadi"/>
          <w:b/>
          <w:bCs/>
          <w:sz w:val="21"/>
          <w:szCs w:val="21"/>
        </w:rPr>
        <w:t>al</w:t>
      </w:r>
      <w:r w:rsidRPr="00AD79C7">
        <w:rPr>
          <w:rFonts w:ascii="Abadi" w:hAnsi="Abadi"/>
          <w:b/>
          <w:bCs/>
          <w:spacing w:val="24"/>
          <w:sz w:val="21"/>
          <w:szCs w:val="21"/>
        </w:rPr>
        <w:t xml:space="preserve"> </w:t>
      </w:r>
      <w:r w:rsidRPr="00AD79C7">
        <w:rPr>
          <w:rFonts w:ascii="Abadi" w:hAnsi="Abadi"/>
          <w:b/>
          <w:bCs/>
          <w:sz w:val="21"/>
          <w:szCs w:val="21"/>
        </w:rPr>
        <w:t>ejercicio</w:t>
      </w:r>
      <w:r w:rsidRPr="00AD79C7">
        <w:rPr>
          <w:rFonts w:ascii="Abadi" w:hAnsi="Abadi"/>
          <w:b/>
          <w:bCs/>
          <w:spacing w:val="24"/>
          <w:sz w:val="21"/>
          <w:szCs w:val="21"/>
        </w:rPr>
        <w:t xml:space="preserve"> </w:t>
      </w:r>
      <w:r w:rsidRPr="00AD79C7">
        <w:rPr>
          <w:rFonts w:ascii="Abadi" w:hAnsi="Abadi"/>
          <w:b/>
          <w:bCs/>
          <w:sz w:val="21"/>
          <w:szCs w:val="21"/>
        </w:rPr>
        <w:t>fiscal</w:t>
      </w:r>
      <w:r w:rsidRPr="00AD79C7">
        <w:rPr>
          <w:rFonts w:ascii="Abadi" w:hAnsi="Abadi"/>
          <w:b/>
          <w:bCs/>
          <w:spacing w:val="24"/>
          <w:sz w:val="21"/>
          <w:szCs w:val="21"/>
        </w:rPr>
        <w:t xml:space="preserve"> </w:t>
      </w:r>
      <w:r w:rsidRPr="00AD79C7">
        <w:rPr>
          <w:rFonts w:ascii="Abadi" w:hAnsi="Abadi"/>
          <w:b/>
          <w:bCs/>
          <w:sz w:val="21"/>
          <w:szCs w:val="21"/>
        </w:rPr>
        <w:t>del año 2020.</w:t>
      </w:r>
    </w:p>
    <w:p w14:paraId="6A334673" w14:textId="77777777" w:rsidR="00AE6AF2" w:rsidRPr="00AD79C7" w:rsidRDefault="00AE6AF2" w:rsidP="006B00FD">
      <w:pPr>
        <w:kinsoku w:val="0"/>
        <w:overflowPunct w:val="0"/>
        <w:autoSpaceDE w:val="0"/>
        <w:autoSpaceDN w:val="0"/>
        <w:adjustRightInd w:val="0"/>
        <w:spacing w:before="1"/>
        <w:ind w:right="566"/>
        <w:jc w:val="both"/>
        <w:rPr>
          <w:rFonts w:ascii="Abadi" w:hAnsi="Abadi" w:cs="Arial"/>
          <w:b/>
          <w:bCs/>
          <w:sz w:val="21"/>
          <w:szCs w:val="21"/>
        </w:rPr>
      </w:pPr>
    </w:p>
    <w:p w14:paraId="4C229274" w14:textId="77777777" w:rsidR="00AE6AF2" w:rsidRPr="00AD79C7" w:rsidRDefault="00AE6AF2"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1"/>
          <w:sz w:val="21"/>
          <w:szCs w:val="21"/>
        </w:rPr>
        <w:t xml:space="preserve"> </w:t>
      </w:r>
      <w:r w:rsidRPr="00AD79C7">
        <w:rPr>
          <w:rFonts w:ascii="Abadi" w:hAnsi="Abadi"/>
          <w:b/>
          <w:bCs/>
          <w:sz w:val="21"/>
          <w:szCs w:val="21"/>
        </w:rPr>
        <w:t>y,</w:t>
      </w:r>
      <w:r w:rsidRPr="00AD79C7">
        <w:rPr>
          <w:rFonts w:ascii="Abadi" w:hAnsi="Abadi"/>
          <w:b/>
          <w:bCs/>
          <w:spacing w:val="11"/>
          <w:sz w:val="21"/>
          <w:szCs w:val="21"/>
        </w:rPr>
        <w:t xml:space="preserve"> </w:t>
      </w:r>
      <w:r w:rsidRPr="00AD79C7">
        <w:rPr>
          <w:rFonts w:ascii="Abadi" w:hAnsi="Abadi"/>
          <w:b/>
          <w:bCs/>
          <w:sz w:val="21"/>
          <w:szCs w:val="21"/>
        </w:rPr>
        <w:t>en</w:t>
      </w:r>
      <w:r w:rsidRPr="00AD79C7">
        <w:rPr>
          <w:rFonts w:ascii="Abadi" w:hAnsi="Abadi"/>
          <w:b/>
          <w:bCs/>
          <w:spacing w:val="11"/>
          <w:sz w:val="21"/>
          <w:szCs w:val="21"/>
        </w:rPr>
        <w:t xml:space="preserve"> </w:t>
      </w:r>
      <w:r w:rsidRPr="00AD79C7">
        <w:rPr>
          <w:rFonts w:ascii="Abadi" w:hAnsi="Abadi"/>
          <w:b/>
          <w:bCs/>
          <w:sz w:val="21"/>
          <w:szCs w:val="21"/>
        </w:rPr>
        <w:t>su</w:t>
      </w:r>
      <w:r w:rsidRPr="00AD79C7">
        <w:rPr>
          <w:rFonts w:ascii="Abadi" w:hAnsi="Abadi"/>
          <w:b/>
          <w:bCs/>
          <w:spacing w:val="11"/>
          <w:sz w:val="21"/>
          <w:szCs w:val="21"/>
        </w:rPr>
        <w:t xml:space="preserve"> </w:t>
      </w:r>
      <w:r w:rsidRPr="00AD79C7">
        <w:rPr>
          <w:rFonts w:ascii="Abadi" w:hAnsi="Abadi"/>
          <w:b/>
          <w:bCs/>
          <w:sz w:val="21"/>
          <w:szCs w:val="21"/>
        </w:rPr>
        <w:t>caso,</w:t>
      </w:r>
      <w:r w:rsidRPr="00AD79C7">
        <w:rPr>
          <w:rFonts w:ascii="Abadi" w:hAnsi="Abadi"/>
          <w:b/>
          <w:bCs/>
          <w:spacing w:val="11"/>
          <w:sz w:val="21"/>
          <w:szCs w:val="21"/>
        </w:rPr>
        <w:t xml:space="preserve"> </w:t>
      </w:r>
      <w:r w:rsidRPr="00AD79C7">
        <w:rPr>
          <w:rFonts w:ascii="Abadi" w:hAnsi="Abadi"/>
          <w:b/>
          <w:bCs/>
          <w:sz w:val="21"/>
          <w:szCs w:val="21"/>
        </w:rPr>
        <w:t>aprobación</w:t>
      </w:r>
      <w:r w:rsidRPr="00AD79C7">
        <w:rPr>
          <w:rFonts w:ascii="Abadi" w:hAnsi="Abadi"/>
          <w:b/>
          <w:bCs/>
          <w:spacing w:val="11"/>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dictamen</w:t>
      </w:r>
      <w:r w:rsidRPr="00AD79C7">
        <w:rPr>
          <w:rFonts w:ascii="Abadi" w:hAnsi="Abadi"/>
          <w:b/>
          <w:bCs/>
          <w:spacing w:val="11"/>
          <w:sz w:val="21"/>
          <w:szCs w:val="21"/>
        </w:rPr>
        <w:t xml:space="preserve"> </w:t>
      </w:r>
      <w:r w:rsidRPr="00AD79C7">
        <w:rPr>
          <w:rFonts w:ascii="Abadi" w:hAnsi="Abadi"/>
          <w:b/>
          <w:bCs/>
          <w:sz w:val="21"/>
          <w:szCs w:val="21"/>
        </w:rPr>
        <w:t>signado</w:t>
      </w:r>
      <w:r w:rsidRPr="00AD79C7">
        <w:rPr>
          <w:rFonts w:ascii="Abadi" w:hAnsi="Abadi"/>
          <w:b/>
          <w:bCs/>
          <w:spacing w:val="11"/>
          <w:sz w:val="21"/>
          <w:szCs w:val="21"/>
        </w:rPr>
        <w:t xml:space="preserve"> </w:t>
      </w:r>
      <w:r w:rsidRPr="00AD79C7">
        <w:rPr>
          <w:rFonts w:ascii="Abadi" w:hAnsi="Abadi"/>
          <w:b/>
          <w:bCs/>
          <w:sz w:val="21"/>
          <w:szCs w:val="21"/>
        </w:rPr>
        <w:t>por</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Comisión de</w:t>
      </w:r>
      <w:r w:rsidRPr="00AD79C7">
        <w:rPr>
          <w:rFonts w:ascii="Abadi" w:hAnsi="Abadi"/>
          <w:b/>
          <w:bCs/>
          <w:spacing w:val="10"/>
          <w:sz w:val="21"/>
          <w:szCs w:val="21"/>
        </w:rPr>
        <w:t xml:space="preserve"> </w:t>
      </w:r>
      <w:r w:rsidRPr="00AD79C7">
        <w:rPr>
          <w:rFonts w:ascii="Abadi" w:hAnsi="Abadi"/>
          <w:b/>
          <w:bCs/>
          <w:sz w:val="21"/>
          <w:szCs w:val="21"/>
        </w:rPr>
        <w:t>Hacienda</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Fiscalización</w:t>
      </w:r>
      <w:r w:rsidRPr="00AD79C7">
        <w:rPr>
          <w:rFonts w:ascii="Abadi" w:hAnsi="Abadi"/>
          <w:b/>
          <w:bCs/>
          <w:spacing w:val="10"/>
          <w:sz w:val="21"/>
          <w:szCs w:val="21"/>
        </w:rPr>
        <w:t xml:space="preserve"> </w:t>
      </w:r>
      <w:r w:rsidRPr="00AD79C7">
        <w:rPr>
          <w:rFonts w:ascii="Abadi" w:hAnsi="Abadi"/>
          <w:b/>
          <w:bCs/>
          <w:sz w:val="21"/>
          <w:szCs w:val="21"/>
        </w:rPr>
        <w:t>relativo</w:t>
      </w:r>
      <w:r w:rsidRPr="00AD79C7">
        <w:rPr>
          <w:rFonts w:ascii="Abadi" w:hAnsi="Abadi"/>
          <w:b/>
          <w:bCs/>
          <w:spacing w:val="10"/>
          <w:sz w:val="21"/>
          <w:szCs w:val="21"/>
        </w:rPr>
        <w:t xml:space="preserve"> </w:t>
      </w:r>
      <w:r w:rsidRPr="00AD79C7">
        <w:rPr>
          <w:rFonts w:ascii="Abadi" w:hAnsi="Abadi"/>
          <w:b/>
          <w:bCs/>
          <w:sz w:val="21"/>
          <w:szCs w:val="21"/>
        </w:rPr>
        <w:t>al</w:t>
      </w:r>
      <w:r w:rsidRPr="00AD79C7">
        <w:rPr>
          <w:rFonts w:ascii="Abadi" w:hAnsi="Abadi"/>
          <w:b/>
          <w:bCs/>
          <w:spacing w:val="9"/>
          <w:sz w:val="21"/>
          <w:szCs w:val="21"/>
        </w:rPr>
        <w:t xml:space="preserve"> </w:t>
      </w:r>
      <w:r w:rsidRPr="00AD79C7">
        <w:rPr>
          <w:rFonts w:ascii="Abadi" w:hAnsi="Abadi"/>
          <w:b/>
          <w:bCs/>
          <w:sz w:val="21"/>
          <w:szCs w:val="21"/>
        </w:rPr>
        <w:t>informe</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resultados</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revisión practicada</w:t>
      </w:r>
      <w:r w:rsidRPr="00AD79C7">
        <w:rPr>
          <w:rFonts w:ascii="Abadi" w:hAnsi="Abadi"/>
          <w:b/>
          <w:bCs/>
          <w:spacing w:val="10"/>
          <w:sz w:val="21"/>
          <w:szCs w:val="21"/>
        </w:rPr>
        <w:t xml:space="preserve"> </w:t>
      </w:r>
      <w:r w:rsidRPr="00AD79C7">
        <w:rPr>
          <w:rFonts w:ascii="Abadi" w:hAnsi="Abadi"/>
          <w:b/>
          <w:bCs/>
          <w:sz w:val="21"/>
          <w:szCs w:val="21"/>
        </w:rPr>
        <w:t>por</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Auditoría</w:t>
      </w:r>
      <w:r w:rsidRPr="00AD79C7">
        <w:rPr>
          <w:rFonts w:ascii="Abadi" w:hAnsi="Abadi"/>
          <w:b/>
          <w:bCs/>
          <w:spacing w:val="10"/>
          <w:sz w:val="21"/>
          <w:szCs w:val="21"/>
        </w:rPr>
        <w:t xml:space="preserve"> </w:t>
      </w:r>
      <w:r w:rsidRPr="00AD79C7">
        <w:rPr>
          <w:rFonts w:ascii="Abadi" w:hAnsi="Abadi"/>
          <w:b/>
          <w:bCs/>
          <w:sz w:val="21"/>
          <w:szCs w:val="21"/>
        </w:rPr>
        <w:t>Superior</w:t>
      </w:r>
      <w:r w:rsidRPr="00AD79C7">
        <w:rPr>
          <w:rFonts w:ascii="Abadi" w:hAnsi="Abadi"/>
          <w:b/>
          <w:bCs/>
          <w:spacing w:val="9"/>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Estado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Guanajuato,</w:t>
      </w:r>
      <w:r w:rsidRPr="00AD79C7">
        <w:rPr>
          <w:rFonts w:ascii="Abadi" w:hAnsi="Abadi"/>
          <w:b/>
          <w:bCs/>
          <w:spacing w:val="9"/>
          <w:sz w:val="21"/>
          <w:szCs w:val="21"/>
        </w:rPr>
        <w:t xml:space="preserve"> </w:t>
      </w:r>
      <w:r w:rsidRPr="00AD79C7">
        <w:rPr>
          <w:rFonts w:ascii="Abadi" w:hAnsi="Abadi"/>
          <w:b/>
          <w:bCs/>
          <w:sz w:val="21"/>
          <w:szCs w:val="21"/>
        </w:rPr>
        <w:t>a</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cuenta pública</w:t>
      </w:r>
      <w:r w:rsidRPr="00AD79C7">
        <w:rPr>
          <w:rFonts w:ascii="Abadi" w:hAnsi="Abadi"/>
          <w:b/>
          <w:bCs/>
          <w:spacing w:val="-3"/>
          <w:sz w:val="21"/>
          <w:szCs w:val="21"/>
        </w:rPr>
        <w:t xml:space="preserve"> </w:t>
      </w:r>
      <w:r w:rsidRPr="00AD79C7">
        <w:rPr>
          <w:rFonts w:ascii="Abadi" w:hAnsi="Abadi"/>
          <w:b/>
          <w:bCs/>
          <w:sz w:val="21"/>
          <w:szCs w:val="21"/>
        </w:rPr>
        <w:t>municipal</w:t>
      </w:r>
      <w:r w:rsidRPr="00AD79C7">
        <w:rPr>
          <w:rFonts w:ascii="Abadi" w:hAnsi="Abadi"/>
          <w:b/>
          <w:bCs/>
          <w:spacing w:val="-2"/>
          <w:sz w:val="21"/>
          <w:szCs w:val="21"/>
        </w:rPr>
        <w:t xml:space="preserve"> </w:t>
      </w:r>
      <w:r w:rsidRPr="00AD79C7">
        <w:rPr>
          <w:rFonts w:ascii="Abadi" w:hAnsi="Abadi"/>
          <w:b/>
          <w:bCs/>
          <w:sz w:val="21"/>
          <w:szCs w:val="21"/>
        </w:rPr>
        <w:t>de</w:t>
      </w:r>
      <w:r w:rsidRPr="00AD79C7">
        <w:rPr>
          <w:rFonts w:ascii="Abadi" w:hAnsi="Abadi"/>
          <w:b/>
          <w:bCs/>
          <w:spacing w:val="-2"/>
          <w:sz w:val="21"/>
          <w:szCs w:val="21"/>
        </w:rPr>
        <w:t xml:space="preserve"> </w:t>
      </w:r>
      <w:r w:rsidRPr="00AD79C7">
        <w:rPr>
          <w:rFonts w:ascii="Abadi" w:hAnsi="Abadi"/>
          <w:b/>
          <w:bCs/>
          <w:sz w:val="21"/>
          <w:szCs w:val="21"/>
        </w:rPr>
        <w:t>Yuriria,</w:t>
      </w:r>
      <w:r w:rsidRPr="00AD79C7">
        <w:rPr>
          <w:rFonts w:ascii="Abadi" w:hAnsi="Abadi"/>
          <w:b/>
          <w:bCs/>
          <w:spacing w:val="-3"/>
          <w:sz w:val="21"/>
          <w:szCs w:val="21"/>
        </w:rPr>
        <w:t xml:space="preserve"> </w:t>
      </w:r>
      <w:r w:rsidRPr="00AD79C7">
        <w:rPr>
          <w:rFonts w:ascii="Abadi" w:hAnsi="Abadi"/>
          <w:b/>
          <w:bCs/>
          <w:sz w:val="21"/>
          <w:szCs w:val="21"/>
        </w:rPr>
        <w:t>Gto.,</w:t>
      </w:r>
      <w:r w:rsidRPr="00AD79C7">
        <w:rPr>
          <w:rFonts w:ascii="Abadi" w:hAnsi="Abadi"/>
          <w:b/>
          <w:bCs/>
          <w:spacing w:val="-2"/>
          <w:sz w:val="21"/>
          <w:szCs w:val="21"/>
        </w:rPr>
        <w:t xml:space="preserve"> </w:t>
      </w:r>
      <w:r w:rsidRPr="00AD79C7">
        <w:rPr>
          <w:rFonts w:ascii="Abadi" w:hAnsi="Abadi"/>
          <w:b/>
          <w:bCs/>
          <w:sz w:val="21"/>
          <w:szCs w:val="21"/>
        </w:rPr>
        <w:t>correspondiente</w:t>
      </w:r>
      <w:r w:rsidRPr="00AD79C7">
        <w:rPr>
          <w:rFonts w:ascii="Abadi" w:hAnsi="Abadi"/>
          <w:b/>
          <w:bCs/>
          <w:spacing w:val="-3"/>
          <w:sz w:val="21"/>
          <w:szCs w:val="21"/>
        </w:rPr>
        <w:t xml:space="preserve"> </w:t>
      </w:r>
      <w:r w:rsidRPr="00AD79C7">
        <w:rPr>
          <w:rFonts w:ascii="Abadi" w:hAnsi="Abadi"/>
          <w:b/>
          <w:bCs/>
          <w:sz w:val="21"/>
          <w:szCs w:val="21"/>
        </w:rPr>
        <w:t>al</w:t>
      </w:r>
      <w:r w:rsidRPr="00AD79C7">
        <w:rPr>
          <w:rFonts w:ascii="Abadi" w:hAnsi="Abadi"/>
          <w:b/>
          <w:bCs/>
          <w:spacing w:val="-3"/>
          <w:sz w:val="21"/>
          <w:szCs w:val="21"/>
        </w:rPr>
        <w:t xml:space="preserve"> </w:t>
      </w:r>
      <w:r w:rsidRPr="00AD79C7">
        <w:rPr>
          <w:rFonts w:ascii="Abadi" w:hAnsi="Abadi"/>
          <w:b/>
          <w:bCs/>
          <w:sz w:val="21"/>
          <w:szCs w:val="21"/>
        </w:rPr>
        <w:t>ejercicio</w:t>
      </w:r>
      <w:r w:rsidRPr="00AD79C7">
        <w:rPr>
          <w:rFonts w:ascii="Abadi" w:hAnsi="Abadi"/>
          <w:b/>
          <w:bCs/>
          <w:spacing w:val="-3"/>
          <w:sz w:val="21"/>
          <w:szCs w:val="21"/>
        </w:rPr>
        <w:t xml:space="preserve"> </w:t>
      </w:r>
      <w:r w:rsidRPr="00AD79C7">
        <w:rPr>
          <w:rFonts w:ascii="Abadi" w:hAnsi="Abadi"/>
          <w:b/>
          <w:bCs/>
          <w:sz w:val="21"/>
          <w:szCs w:val="21"/>
        </w:rPr>
        <w:t>fiscal</w:t>
      </w:r>
      <w:r w:rsidRPr="00AD79C7">
        <w:rPr>
          <w:rFonts w:ascii="Abadi" w:hAnsi="Abadi"/>
          <w:b/>
          <w:bCs/>
          <w:spacing w:val="-3"/>
          <w:sz w:val="21"/>
          <w:szCs w:val="21"/>
        </w:rPr>
        <w:t xml:space="preserve"> </w:t>
      </w:r>
      <w:r w:rsidRPr="00AD79C7">
        <w:rPr>
          <w:rFonts w:ascii="Abadi" w:hAnsi="Abadi"/>
          <w:b/>
          <w:bCs/>
          <w:sz w:val="21"/>
          <w:szCs w:val="21"/>
        </w:rPr>
        <w:t>del</w:t>
      </w:r>
      <w:r w:rsidRPr="00AD79C7">
        <w:rPr>
          <w:rFonts w:ascii="Abadi" w:hAnsi="Abadi"/>
          <w:b/>
          <w:bCs/>
          <w:spacing w:val="-3"/>
          <w:sz w:val="21"/>
          <w:szCs w:val="21"/>
        </w:rPr>
        <w:t xml:space="preserve"> </w:t>
      </w:r>
      <w:r w:rsidRPr="00AD79C7">
        <w:rPr>
          <w:rFonts w:ascii="Abadi" w:hAnsi="Abadi"/>
          <w:b/>
          <w:bCs/>
          <w:sz w:val="21"/>
          <w:szCs w:val="21"/>
        </w:rPr>
        <w:t>año 2020.</w:t>
      </w:r>
    </w:p>
    <w:p w14:paraId="0D20000E" w14:textId="77777777" w:rsidR="00AE6AF2" w:rsidRPr="00AD79C7" w:rsidRDefault="00AE6AF2" w:rsidP="006B00FD">
      <w:pPr>
        <w:pStyle w:val="Prrafodelista"/>
        <w:tabs>
          <w:tab w:val="left" w:pos="856"/>
        </w:tabs>
        <w:kinsoku w:val="0"/>
        <w:overflowPunct w:val="0"/>
        <w:autoSpaceDE w:val="0"/>
        <w:autoSpaceDN w:val="0"/>
        <w:adjustRightInd w:val="0"/>
        <w:ind w:left="720" w:right="566"/>
        <w:jc w:val="both"/>
        <w:rPr>
          <w:rFonts w:ascii="Abadi" w:hAnsi="Abadi"/>
          <w:b/>
          <w:bCs/>
          <w:sz w:val="21"/>
          <w:szCs w:val="21"/>
        </w:rPr>
      </w:pPr>
    </w:p>
    <w:p w14:paraId="23AA671C" w14:textId="77777777" w:rsidR="003E4354" w:rsidRPr="00AD79C7" w:rsidRDefault="003E4354" w:rsidP="005433FA">
      <w:pPr>
        <w:pStyle w:val="Prrafodelista"/>
        <w:numPr>
          <w:ilvl w:val="0"/>
          <w:numId w:val="8"/>
        </w:numPr>
        <w:tabs>
          <w:tab w:val="left" w:pos="856"/>
        </w:tabs>
        <w:kinsoku w:val="0"/>
        <w:overflowPunct w:val="0"/>
        <w:autoSpaceDE w:val="0"/>
        <w:autoSpaceDN w:val="0"/>
        <w:adjustRightInd w:val="0"/>
        <w:spacing w:before="130"/>
        <w:ind w:right="566"/>
        <w:jc w:val="both"/>
        <w:rPr>
          <w:rFonts w:ascii="Abadi" w:hAnsi="Abadi"/>
          <w:b/>
          <w:bCs/>
          <w:sz w:val="21"/>
          <w:szCs w:val="21"/>
        </w:rPr>
      </w:pPr>
      <w:r w:rsidRPr="00AD79C7">
        <w:rPr>
          <w:rFonts w:ascii="Abadi" w:hAnsi="Abadi"/>
          <w:b/>
          <w:bCs/>
          <w:sz w:val="21"/>
          <w:szCs w:val="21"/>
        </w:rPr>
        <w:t>Discusión</w:t>
      </w:r>
      <w:r w:rsidRPr="00AD79C7">
        <w:rPr>
          <w:rFonts w:ascii="Abadi" w:hAnsi="Abadi"/>
          <w:b/>
          <w:bCs/>
          <w:spacing w:val="11"/>
          <w:sz w:val="21"/>
          <w:szCs w:val="21"/>
        </w:rPr>
        <w:t xml:space="preserve"> </w:t>
      </w:r>
      <w:r w:rsidRPr="00AD79C7">
        <w:rPr>
          <w:rFonts w:ascii="Abadi" w:hAnsi="Abadi"/>
          <w:b/>
          <w:bCs/>
          <w:sz w:val="21"/>
          <w:szCs w:val="21"/>
        </w:rPr>
        <w:t>y,</w:t>
      </w:r>
      <w:r w:rsidRPr="00AD79C7">
        <w:rPr>
          <w:rFonts w:ascii="Abadi" w:hAnsi="Abadi"/>
          <w:b/>
          <w:bCs/>
          <w:spacing w:val="11"/>
          <w:sz w:val="21"/>
          <w:szCs w:val="21"/>
        </w:rPr>
        <w:t xml:space="preserve"> </w:t>
      </w:r>
      <w:r w:rsidRPr="00AD79C7">
        <w:rPr>
          <w:rFonts w:ascii="Abadi" w:hAnsi="Abadi"/>
          <w:b/>
          <w:bCs/>
          <w:sz w:val="21"/>
          <w:szCs w:val="21"/>
        </w:rPr>
        <w:t>en</w:t>
      </w:r>
      <w:r w:rsidRPr="00AD79C7">
        <w:rPr>
          <w:rFonts w:ascii="Abadi" w:hAnsi="Abadi"/>
          <w:b/>
          <w:bCs/>
          <w:spacing w:val="11"/>
          <w:sz w:val="21"/>
          <w:szCs w:val="21"/>
        </w:rPr>
        <w:t xml:space="preserve"> </w:t>
      </w:r>
      <w:r w:rsidRPr="00AD79C7">
        <w:rPr>
          <w:rFonts w:ascii="Abadi" w:hAnsi="Abadi"/>
          <w:b/>
          <w:bCs/>
          <w:sz w:val="21"/>
          <w:szCs w:val="21"/>
        </w:rPr>
        <w:t>su</w:t>
      </w:r>
      <w:r w:rsidRPr="00AD79C7">
        <w:rPr>
          <w:rFonts w:ascii="Abadi" w:hAnsi="Abadi"/>
          <w:b/>
          <w:bCs/>
          <w:spacing w:val="11"/>
          <w:sz w:val="21"/>
          <w:szCs w:val="21"/>
        </w:rPr>
        <w:t xml:space="preserve"> </w:t>
      </w:r>
      <w:r w:rsidRPr="00AD79C7">
        <w:rPr>
          <w:rFonts w:ascii="Abadi" w:hAnsi="Abadi"/>
          <w:b/>
          <w:bCs/>
          <w:sz w:val="21"/>
          <w:szCs w:val="21"/>
        </w:rPr>
        <w:t>caso,</w:t>
      </w:r>
      <w:r w:rsidRPr="00AD79C7">
        <w:rPr>
          <w:rFonts w:ascii="Abadi" w:hAnsi="Abadi"/>
          <w:b/>
          <w:bCs/>
          <w:spacing w:val="10"/>
          <w:sz w:val="21"/>
          <w:szCs w:val="21"/>
        </w:rPr>
        <w:t xml:space="preserve"> </w:t>
      </w:r>
      <w:r w:rsidRPr="00AD79C7">
        <w:rPr>
          <w:rFonts w:ascii="Abadi" w:hAnsi="Abadi"/>
          <w:b/>
          <w:bCs/>
          <w:sz w:val="21"/>
          <w:szCs w:val="21"/>
        </w:rPr>
        <w:t>aprobación</w:t>
      </w:r>
      <w:r w:rsidRPr="00AD79C7">
        <w:rPr>
          <w:rFonts w:ascii="Abadi" w:hAnsi="Abadi"/>
          <w:b/>
          <w:bCs/>
          <w:spacing w:val="11"/>
          <w:sz w:val="21"/>
          <w:szCs w:val="21"/>
        </w:rPr>
        <w:t xml:space="preserve"> </w:t>
      </w:r>
      <w:r w:rsidRPr="00AD79C7">
        <w:rPr>
          <w:rFonts w:ascii="Abadi" w:hAnsi="Abadi"/>
          <w:b/>
          <w:bCs/>
          <w:sz w:val="21"/>
          <w:szCs w:val="21"/>
        </w:rPr>
        <w:t>del</w:t>
      </w:r>
      <w:r w:rsidRPr="00AD79C7">
        <w:rPr>
          <w:rFonts w:ascii="Abadi" w:hAnsi="Abadi"/>
          <w:b/>
          <w:bCs/>
          <w:spacing w:val="11"/>
          <w:sz w:val="21"/>
          <w:szCs w:val="21"/>
        </w:rPr>
        <w:t xml:space="preserve"> </w:t>
      </w:r>
      <w:r w:rsidRPr="00AD79C7">
        <w:rPr>
          <w:rFonts w:ascii="Abadi" w:hAnsi="Abadi"/>
          <w:b/>
          <w:bCs/>
          <w:sz w:val="21"/>
          <w:szCs w:val="21"/>
        </w:rPr>
        <w:t>dictamen</w:t>
      </w:r>
      <w:r w:rsidRPr="00AD79C7">
        <w:rPr>
          <w:rFonts w:ascii="Abadi" w:hAnsi="Abadi"/>
          <w:b/>
          <w:bCs/>
          <w:spacing w:val="11"/>
          <w:sz w:val="21"/>
          <w:szCs w:val="21"/>
        </w:rPr>
        <w:t xml:space="preserve"> </w:t>
      </w:r>
      <w:r w:rsidRPr="00AD79C7">
        <w:rPr>
          <w:rFonts w:ascii="Abadi" w:hAnsi="Abadi"/>
          <w:b/>
          <w:bCs/>
          <w:sz w:val="21"/>
          <w:szCs w:val="21"/>
        </w:rPr>
        <w:t>signado</w:t>
      </w:r>
      <w:r w:rsidRPr="00AD79C7">
        <w:rPr>
          <w:rFonts w:ascii="Abadi" w:hAnsi="Abadi"/>
          <w:b/>
          <w:bCs/>
          <w:spacing w:val="11"/>
          <w:sz w:val="21"/>
          <w:szCs w:val="21"/>
        </w:rPr>
        <w:t xml:space="preserve"> </w:t>
      </w:r>
      <w:r w:rsidRPr="00AD79C7">
        <w:rPr>
          <w:rFonts w:ascii="Abadi" w:hAnsi="Abadi"/>
          <w:b/>
          <w:bCs/>
          <w:sz w:val="21"/>
          <w:szCs w:val="21"/>
        </w:rPr>
        <w:t>por</w:t>
      </w:r>
      <w:r w:rsidRPr="00AD79C7">
        <w:rPr>
          <w:rFonts w:ascii="Abadi" w:hAnsi="Abadi"/>
          <w:b/>
          <w:bCs/>
          <w:spacing w:val="11"/>
          <w:sz w:val="21"/>
          <w:szCs w:val="21"/>
        </w:rPr>
        <w:t xml:space="preserve"> </w:t>
      </w:r>
      <w:r w:rsidRPr="00AD79C7">
        <w:rPr>
          <w:rFonts w:ascii="Abadi" w:hAnsi="Abadi"/>
          <w:b/>
          <w:bCs/>
          <w:sz w:val="21"/>
          <w:szCs w:val="21"/>
        </w:rPr>
        <w:t>la</w:t>
      </w:r>
      <w:r w:rsidRPr="00AD79C7">
        <w:rPr>
          <w:rFonts w:ascii="Abadi" w:hAnsi="Abadi"/>
          <w:b/>
          <w:bCs/>
          <w:spacing w:val="11"/>
          <w:sz w:val="21"/>
          <w:szCs w:val="21"/>
        </w:rPr>
        <w:t xml:space="preserve"> </w:t>
      </w:r>
      <w:r w:rsidRPr="00AD79C7">
        <w:rPr>
          <w:rFonts w:ascii="Abadi" w:hAnsi="Abadi"/>
          <w:b/>
          <w:bCs/>
          <w:sz w:val="21"/>
          <w:szCs w:val="21"/>
        </w:rPr>
        <w:t>Comisión de</w:t>
      </w:r>
      <w:r w:rsidRPr="00AD79C7">
        <w:rPr>
          <w:rFonts w:ascii="Abadi" w:hAnsi="Abadi"/>
          <w:b/>
          <w:bCs/>
          <w:spacing w:val="10"/>
          <w:sz w:val="21"/>
          <w:szCs w:val="21"/>
        </w:rPr>
        <w:t xml:space="preserve"> </w:t>
      </w:r>
      <w:r w:rsidRPr="00AD79C7">
        <w:rPr>
          <w:rFonts w:ascii="Abadi" w:hAnsi="Abadi"/>
          <w:b/>
          <w:bCs/>
          <w:sz w:val="21"/>
          <w:szCs w:val="21"/>
        </w:rPr>
        <w:t>Hacienda</w:t>
      </w:r>
      <w:r w:rsidRPr="00AD79C7">
        <w:rPr>
          <w:rFonts w:ascii="Abadi" w:hAnsi="Abadi"/>
          <w:b/>
          <w:bCs/>
          <w:spacing w:val="10"/>
          <w:sz w:val="21"/>
          <w:szCs w:val="21"/>
        </w:rPr>
        <w:t xml:space="preserve"> </w:t>
      </w:r>
      <w:r w:rsidRPr="00AD79C7">
        <w:rPr>
          <w:rFonts w:ascii="Abadi" w:hAnsi="Abadi"/>
          <w:b/>
          <w:bCs/>
          <w:sz w:val="21"/>
          <w:szCs w:val="21"/>
        </w:rPr>
        <w:t>y</w:t>
      </w:r>
      <w:r w:rsidRPr="00AD79C7">
        <w:rPr>
          <w:rFonts w:ascii="Abadi" w:hAnsi="Abadi"/>
          <w:b/>
          <w:bCs/>
          <w:spacing w:val="10"/>
          <w:sz w:val="21"/>
          <w:szCs w:val="21"/>
        </w:rPr>
        <w:t xml:space="preserve"> </w:t>
      </w:r>
      <w:r w:rsidRPr="00AD79C7">
        <w:rPr>
          <w:rFonts w:ascii="Abadi" w:hAnsi="Abadi"/>
          <w:b/>
          <w:bCs/>
          <w:sz w:val="21"/>
          <w:szCs w:val="21"/>
        </w:rPr>
        <w:t>Fiscalización</w:t>
      </w:r>
      <w:r w:rsidRPr="00AD79C7">
        <w:rPr>
          <w:rFonts w:ascii="Abadi" w:hAnsi="Abadi"/>
          <w:b/>
          <w:bCs/>
          <w:spacing w:val="10"/>
          <w:sz w:val="21"/>
          <w:szCs w:val="21"/>
        </w:rPr>
        <w:t xml:space="preserve"> </w:t>
      </w:r>
      <w:r w:rsidRPr="00AD79C7">
        <w:rPr>
          <w:rFonts w:ascii="Abadi" w:hAnsi="Abadi"/>
          <w:b/>
          <w:bCs/>
          <w:sz w:val="21"/>
          <w:szCs w:val="21"/>
        </w:rPr>
        <w:t>relativo</w:t>
      </w:r>
      <w:r w:rsidRPr="00AD79C7">
        <w:rPr>
          <w:rFonts w:ascii="Abadi" w:hAnsi="Abadi"/>
          <w:b/>
          <w:bCs/>
          <w:spacing w:val="10"/>
          <w:sz w:val="21"/>
          <w:szCs w:val="21"/>
        </w:rPr>
        <w:t xml:space="preserve"> </w:t>
      </w:r>
      <w:r w:rsidRPr="00AD79C7">
        <w:rPr>
          <w:rFonts w:ascii="Abadi" w:hAnsi="Abadi"/>
          <w:b/>
          <w:bCs/>
          <w:sz w:val="21"/>
          <w:szCs w:val="21"/>
        </w:rPr>
        <w:t>al</w:t>
      </w:r>
      <w:r w:rsidRPr="00AD79C7">
        <w:rPr>
          <w:rFonts w:ascii="Abadi" w:hAnsi="Abadi"/>
          <w:b/>
          <w:bCs/>
          <w:spacing w:val="9"/>
          <w:sz w:val="21"/>
          <w:szCs w:val="21"/>
        </w:rPr>
        <w:t xml:space="preserve"> </w:t>
      </w:r>
      <w:r w:rsidRPr="00AD79C7">
        <w:rPr>
          <w:rFonts w:ascii="Abadi" w:hAnsi="Abadi"/>
          <w:b/>
          <w:bCs/>
          <w:sz w:val="21"/>
          <w:szCs w:val="21"/>
        </w:rPr>
        <w:t>informe</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resultados</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revisión practicada</w:t>
      </w:r>
      <w:r w:rsidRPr="00AD79C7">
        <w:rPr>
          <w:rFonts w:ascii="Abadi" w:hAnsi="Abadi"/>
          <w:b/>
          <w:bCs/>
          <w:spacing w:val="10"/>
          <w:sz w:val="21"/>
          <w:szCs w:val="21"/>
        </w:rPr>
        <w:t xml:space="preserve"> </w:t>
      </w:r>
      <w:r w:rsidRPr="00AD79C7">
        <w:rPr>
          <w:rFonts w:ascii="Abadi" w:hAnsi="Abadi"/>
          <w:b/>
          <w:bCs/>
          <w:sz w:val="21"/>
          <w:szCs w:val="21"/>
        </w:rPr>
        <w:t>por</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Auditoría</w:t>
      </w:r>
      <w:r w:rsidRPr="00AD79C7">
        <w:rPr>
          <w:rFonts w:ascii="Abadi" w:hAnsi="Abadi"/>
          <w:b/>
          <w:bCs/>
          <w:spacing w:val="10"/>
          <w:sz w:val="21"/>
          <w:szCs w:val="21"/>
        </w:rPr>
        <w:t xml:space="preserve"> </w:t>
      </w:r>
      <w:r w:rsidRPr="00AD79C7">
        <w:rPr>
          <w:rFonts w:ascii="Abadi" w:hAnsi="Abadi"/>
          <w:b/>
          <w:bCs/>
          <w:sz w:val="21"/>
          <w:szCs w:val="21"/>
        </w:rPr>
        <w:t>Superior</w:t>
      </w:r>
      <w:r w:rsidRPr="00AD79C7">
        <w:rPr>
          <w:rFonts w:ascii="Abadi" w:hAnsi="Abadi"/>
          <w:b/>
          <w:bCs/>
          <w:spacing w:val="9"/>
          <w:sz w:val="21"/>
          <w:szCs w:val="21"/>
        </w:rPr>
        <w:t xml:space="preserve"> </w:t>
      </w:r>
      <w:r w:rsidRPr="00AD79C7">
        <w:rPr>
          <w:rFonts w:ascii="Abadi" w:hAnsi="Abadi"/>
          <w:b/>
          <w:bCs/>
          <w:sz w:val="21"/>
          <w:szCs w:val="21"/>
        </w:rPr>
        <w:t>del</w:t>
      </w:r>
      <w:r w:rsidRPr="00AD79C7">
        <w:rPr>
          <w:rFonts w:ascii="Abadi" w:hAnsi="Abadi"/>
          <w:b/>
          <w:bCs/>
          <w:spacing w:val="9"/>
          <w:sz w:val="21"/>
          <w:szCs w:val="21"/>
        </w:rPr>
        <w:t xml:space="preserve"> </w:t>
      </w:r>
      <w:r w:rsidRPr="00AD79C7">
        <w:rPr>
          <w:rFonts w:ascii="Abadi" w:hAnsi="Abadi"/>
          <w:b/>
          <w:bCs/>
          <w:sz w:val="21"/>
          <w:szCs w:val="21"/>
        </w:rPr>
        <w:t>Estado</w:t>
      </w:r>
      <w:r w:rsidRPr="00AD79C7">
        <w:rPr>
          <w:rFonts w:ascii="Abadi" w:hAnsi="Abadi"/>
          <w:b/>
          <w:bCs/>
          <w:spacing w:val="10"/>
          <w:sz w:val="21"/>
          <w:szCs w:val="21"/>
        </w:rPr>
        <w:t xml:space="preserve"> </w:t>
      </w:r>
      <w:r w:rsidRPr="00AD79C7">
        <w:rPr>
          <w:rFonts w:ascii="Abadi" w:hAnsi="Abadi"/>
          <w:b/>
          <w:bCs/>
          <w:sz w:val="21"/>
          <w:szCs w:val="21"/>
        </w:rPr>
        <w:t>de</w:t>
      </w:r>
      <w:r w:rsidRPr="00AD79C7">
        <w:rPr>
          <w:rFonts w:ascii="Abadi" w:hAnsi="Abadi"/>
          <w:b/>
          <w:bCs/>
          <w:spacing w:val="10"/>
          <w:sz w:val="21"/>
          <w:szCs w:val="21"/>
        </w:rPr>
        <w:t xml:space="preserve"> </w:t>
      </w:r>
      <w:r w:rsidRPr="00AD79C7">
        <w:rPr>
          <w:rFonts w:ascii="Abadi" w:hAnsi="Abadi"/>
          <w:b/>
          <w:bCs/>
          <w:sz w:val="21"/>
          <w:szCs w:val="21"/>
        </w:rPr>
        <w:t>Guanajuato,</w:t>
      </w:r>
      <w:r w:rsidRPr="00AD79C7">
        <w:rPr>
          <w:rFonts w:ascii="Abadi" w:hAnsi="Abadi"/>
          <w:b/>
          <w:bCs/>
          <w:spacing w:val="9"/>
          <w:sz w:val="21"/>
          <w:szCs w:val="21"/>
        </w:rPr>
        <w:t xml:space="preserve"> </w:t>
      </w:r>
      <w:r w:rsidRPr="00AD79C7">
        <w:rPr>
          <w:rFonts w:ascii="Abadi" w:hAnsi="Abadi"/>
          <w:b/>
          <w:bCs/>
          <w:sz w:val="21"/>
          <w:szCs w:val="21"/>
        </w:rPr>
        <w:t>a</w:t>
      </w:r>
      <w:r w:rsidRPr="00AD79C7">
        <w:rPr>
          <w:rFonts w:ascii="Abadi" w:hAnsi="Abadi"/>
          <w:b/>
          <w:bCs/>
          <w:spacing w:val="9"/>
          <w:sz w:val="21"/>
          <w:szCs w:val="21"/>
        </w:rPr>
        <w:t xml:space="preserve"> </w:t>
      </w:r>
      <w:r w:rsidRPr="00AD79C7">
        <w:rPr>
          <w:rFonts w:ascii="Abadi" w:hAnsi="Abadi"/>
          <w:b/>
          <w:bCs/>
          <w:sz w:val="21"/>
          <w:szCs w:val="21"/>
        </w:rPr>
        <w:t>la</w:t>
      </w:r>
      <w:r w:rsidRPr="00AD79C7">
        <w:rPr>
          <w:rFonts w:ascii="Abadi" w:hAnsi="Abadi"/>
          <w:b/>
          <w:bCs/>
          <w:spacing w:val="10"/>
          <w:sz w:val="21"/>
          <w:szCs w:val="21"/>
        </w:rPr>
        <w:t xml:space="preserve"> </w:t>
      </w:r>
      <w:r w:rsidRPr="00AD79C7">
        <w:rPr>
          <w:rFonts w:ascii="Abadi" w:hAnsi="Abadi"/>
          <w:b/>
          <w:bCs/>
          <w:sz w:val="21"/>
          <w:szCs w:val="21"/>
        </w:rPr>
        <w:t>cuenta pública</w:t>
      </w:r>
      <w:r w:rsidRPr="00AD79C7">
        <w:rPr>
          <w:rFonts w:ascii="Abadi" w:hAnsi="Abadi"/>
          <w:b/>
          <w:bCs/>
          <w:spacing w:val="15"/>
          <w:sz w:val="21"/>
          <w:szCs w:val="21"/>
        </w:rPr>
        <w:t xml:space="preserve"> </w:t>
      </w:r>
      <w:r w:rsidRPr="00AD79C7">
        <w:rPr>
          <w:rFonts w:ascii="Abadi" w:hAnsi="Abadi"/>
          <w:b/>
          <w:bCs/>
          <w:sz w:val="21"/>
          <w:szCs w:val="21"/>
        </w:rPr>
        <w:t>municipal</w:t>
      </w:r>
      <w:r w:rsidRPr="00AD79C7">
        <w:rPr>
          <w:rFonts w:ascii="Abadi" w:hAnsi="Abadi"/>
          <w:b/>
          <w:bCs/>
          <w:spacing w:val="14"/>
          <w:sz w:val="21"/>
          <w:szCs w:val="21"/>
        </w:rPr>
        <w:t xml:space="preserve"> </w:t>
      </w:r>
      <w:r w:rsidRPr="00AD79C7">
        <w:rPr>
          <w:rFonts w:ascii="Abadi" w:hAnsi="Abadi"/>
          <w:b/>
          <w:bCs/>
          <w:sz w:val="21"/>
          <w:szCs w:val="21"/>
        </w:rPr>
        <w:t>de</w:t>
      </w:r>
      <w:r w:rsidRPr="00AD79C7">
        <w:rPr>
          <w:rFonts w:ascii="Abadi" w:hAnsi="Abadi"/>
          <w:b/>
          <w:bCs/>
          <w:spacing w:val="15"/>
          <w:sz w:val="21"/>
          <w:szCs w:val="21"/>
        </w:rPr>
        <w:t xml:space="preserve"> </w:t>
      </w:r>
      <w:r w:rsidRPr="00AD79C7">
        <w:rPr>
          <w:rFonts w:ascii="Abadi" w:hAnsi="Abadi"/>
          <w:b/>
          <w:bCs/>
          <w:sz w:val="21"/>
          <w:szCs w:val="21"/>
        </w:rPr>
        <w:t>León,</w:t>
      </w:r>
      <w:r w:rsidRPr="00AD79C7">
        <w:rPr>
          <w:rFonts w:ascii="Abadi" w:hAnsi="Abadi"/>
          <w:b/>
          <w:bCs/>
          <w:spacing w:val="15"/>
          <w:sz w:val="21"/>
          <w:szCs w:val="21"/>
        </w:rPr>
        <w:t xml:space="preserve"> </w:t>
      </w:r>
      <w:r w:rsidRPr="00AD79C7">
        <w:rPr>
          <w:rFonts w:ascii="Abadi" w:hAnsi="Abadi"/>
          <w:b/>
          <w:bCs/>
          <w:sz w:val="21"/>
          <w:szCs w:val="21"/>
        </w:rPr>
        <w:t>Gto.,</w:t>
      </w:r>
      <w:r w:rsidRPr="00AD79C7">
        <w:rPr>
          <w:rFonts w:ascii="Abadi" w:hAnsi="Abadi"/>
          <w:b/>
          <w:bCs/>
          <w:spacing w:val="14"/>
          <w:sz w:val="21"/>
          <w:szCs w:val="21"/>
        </w:rPr>
        <w:t xml:space="preserve"> </w:t>
      </w:r>
      <w:r w:rsidRPr="00AD79C7">
        <w:rPr>
          <w:rFonts w:ascii="Abadi" w:hAnsi="Abadi"/>
          <w:b/>
          <w:bCs/>
          <w:sz w:val="21"/>
          <w:szCs w:val="21"/>
        </w:rPr>
        <w:t>correspondiente</w:t>
      </w:r>
      <w:r w:rsidRPr="00AD79C7">
        <w:rPr>
          <w:rFonts w:ascii="Abadi" w:hAnsi="Abadi"/>
          <w:b/>
          <w:bCs/>
          <w:spacing w:val="15"/>
          <w:sz w:val="21"/>
          <w:szCs w:val="21"/>
        </w:rPr>
        <w:t xml:space="preserve"> </w:t>
      </w:r>
      <w:r w:rsidRPr="00AD79C7">
        <w:rPr>
          <w:rFonts w:ascii="Abadi" w:hAnsi="Abadi"/>
          <w:b/>
          <w:bCs/>
          <w:sz w:val="21"/>
          <w:szCs w:val="21"/>
        </w:rPr>
        <w:t>al</w:t>
      </w:r>
      <w:r w:rsidRPr="00AD79C7">
        <w:rPr>
          <w:rFonts w:ascii="Abadi" w:hAnsi="Abadi"/>
          <w:b/>
          <w:bCs/>
          <w:spacing w:val="15"/>
          <w:sz w:val="21"/>
          <w:szCs w:val="21"/>
        </w:rPr>
        <w:t xml:space="preserve"> </w:t>
      </w:r>
      <w:r w:rsidRPr="00AD79C7">
        <w:rPr>
          <w:rFonts w:ascii="Abadi" w:hAnsi="Abadi"/>
          <w:b/>
          <w:bCs/>
          <w:sz w:val="21"/>
          <w:szCs w:val="21"/>
        </w:rPr>
        <w:t>ejercicio</w:t>
      </w:r>
      <w:r w:rsidRPr="00AD79C7">
        <w:rPr>
          <w:rFonts w:ascii="Abadi" w:hAnsi="Abadi"/>
          <w:b/>
          <w:bCs/>
          <w:spacing w:val="15"/>
          <w:sz w:val="21"/>
          <w:szCs w:val="21"/>
        </w:rPr>
        <w:t xml:space="preserve"> </w:t>
      </w:r>
      <w:r w:rsidRPr="00AD79C7">
        <w:rPr>
          <w:rFonts w:ascii="Abadi" w:hAnsi="Abadi"/>
          <w:b/>
          <w:bCs/>
          <w:sz w:val="21"/>
          <w:szCs w:val="21"/>
        </w:rPr>
        <w:t>fiscal</w:t>
      </w:r>
      <w:r w:rsidRPr="00AD79C7">
        <w:rPr>
          <w:rFonts w:ascii="Abadi" w:hAnsi="Abadi"/>
          <w:b/>
          <w:bCs/>
          <w:spacing w:val="15"/>
          <w:sz w:val="21"/>
          <w:szCs w:val="21"/>
        </w:rPr>
        <w:t xml:space="preserve"> </w:t>
      </w:r>
      <w:r w:rsidRPr="00AD79C7">
        <w:rPr>
          <w:rFonts w:ascii="Abadi" w:hAnsi="Abadi"/>
          <w:b/>
          <w:bCs/>
          <w:sz w:val="21"/>
          <w:szCs w:val="21"/>
        </w:rPr>
        <w:t>del</w:t>
      </w:r>
      <w:r w:rsidRPr="00AD79C7">
        <w:rPr>
          <w:rFonts w:ascii="Abadi" w:hAnsi="Abadi"/>
          <w:b/>
          <w:bCs/>
          <w:spacing w:val="14"/>
          <w:sz w:val="21"/>
          <w:szCs w:val="21"/>
        </w:rPr>
        <w:t xml:space="preserve"> </w:t>
      </w:r>
      <w:r w:rsidRPr="00AD79C7">
        <w:rPr>
          <w:rFonts w:ascii="Abadi" w:hAnsi="Abadi"/>
          <w:b/>
          <w:bCs/>
          <w:sz w:val="21"/>
          <w:szCs w:val="21"/>
        </w:rPr>
        <w:t>año 2020.</w:t>
      </w:r>
    </w:p>
    <w:p w14:paraId="5B427031" w14:textId="77777777" w:rsidR="003E4354" w:rsidRPr="00AD79C7" w:rsidRDefault="003E4354" w:rsidP="006B00FD">
      <w:pPr>
        <w:kinsoku w:val="0"/>
        <w:overflowPunct w:val="0"/>
        <w:autoSpaceDE w:val="0"/>
        <w:autoSpaceDN w:val="0"/>
        <w:adjustRightInd w:val="0"/>
        <w:ind w:right="566"/>
        <w:jc w:val="both"/>
        <w:rPr>
          <w:rFonts w:ascii="Abadi" w:hAnsi="Abadi" w:cs="Arial"/>
          <w:b/>
          <w:bCs/>
          <w:sz w:val="21"/>
          <w:szCs w:val="21"/>
        </w:rPr>
      </w:pPr>
    </w:p>
    <w:p w14:paraId="1ED6EB88" w14:textId="77777777" w:rsidR="003E4354" w:rsidRPr="00AD79C7" w:rsidRDefault="003E4354" w:rsidP="005433FA">
      <w:pPr>
        <w:pStyle w:val="Prrafodelista"/>
        <w:numPr>
          <w:ilvl w:val="0"/>
          <w:numId w:val="8"/>
        </w:numPr>
        <w:tabs>
          <w:tab w:val="left" w:pos="856"/>
        </w:tabs>
        <w:kinsoku w:val="0"/>
        <w:overflowPunct w:val="0"/>
        <w:autoSpaceDE w:val="0"/>
        <w:autoSpaceDN w:val="0"/>
        <w:adjustRightInd w:val="0"/>
        <w:ind w:right="566"/>
        <w:jc w:val="both"/>
        <w:rPr>
          <w:rFonts w:ascii="Abadi" w:hAnsi="Abadi"/>
          <w:b/>
          <w:bCs/>
          <w:sz w:val="21"/>
          <w:szCs w:val="21"/>
        </w:rPr>
      </w:pPr>
      <w:r w:rsidRPr="00AD79C7">
        <w:rPr>
          <w:rFonts w:ascii="Abadi" w:hAnsi="Abadi"/>
          <w:b/>
          <w:bCs/>
          <w:sz w:val="21"/>
          <w:szCs w:val="21"/>
        </w:rPr>
        <w:t>Asuntos generales.</w:t>
      </w:r>
    </w:p>
    <w:p w14:paraId="4734BC5B" w14:textId="77777777" w:rsidR="006209FF" w:rsidRPr="00AD79C7" w:rsidRDefault="006209FF" w:rsidP="003E4354">
      <w:pPr>
        <w:pStyle w:val="Prrafodelista"/>
        <w:tabs>
          <w:tab w:val="left" w:pos="856"/>
        </w:tabs>
        <w:kinsoku w:val="0"/>
        <w:overflowPunct w:val="0"/>
        <w:autoSpaceDE w:val="0"/>
        <w:autoSpaceDN w:val="0"/>
        <w:adjustRightInd w:val="0"/>
        <w:ind w:left="720" w:right="17"/>
        <w:jc w:val="both"/>
        <w:rPr>
          <w:rFonts w:ascii="Abadi" w:hAnsi="Abadi"/>
          <w:b/>
          <w:bCs/>
          <w:sz w:val="21"/>
          <w:szCs w:val="21"/>
        </w:rPr>
      </w:pPr>
    </w:p>
    <w:p w14:paraId="04BF06D1" w14:textId="77777777" w:rsidR="00997863" w:rsidRPr="00AD79C7" w:rsidRDefault="00997863" w:rsidP="00997863">
      <w:pPr>
        <w:pStyle w:val="Prrafodelista"/>
        <w:tabs>
          <w:tab w:val="left" w:pos="856"/>
        </w:tabs>
        <w:kinsoku w:val="0"/>
        <w:overflowPunct w:val="0"/>
        <w:autoSpaceDE w:val="0"/>
        <w:autoSpaceDN w:val="0"/>
        <w:adjustRightInd w:val="0"/>
        <w:ind w:left="720" w:right="17"/>
        <w:jc w:val="both"/>
        <w:rPr>
          <w:rFonts w:ascii="Abadi" w:hAnsi="Abadi"/>
          <w:b/>
          <w:bCs/>
          <w:sz w:val="21"/>
          <w:szCs w:val="21"/>
        </w:rPr>
      </w:pPr>
    </w:p>
    <w:p w14:paraId="31AA7EF5" w14:textId="2DEFC698" w:rsidR="00D41F78" w:rsidRDefault="00922D45" w:rsidP="00F245CE">
      <w:pPr>
        <w:jc w:val="center"/>
        <w:rPr>
          <w:rFonts w:ascii="Abadi" w:hAnsi="Abadi"/>
          <w:b/>
          <w:bCs/>
          <w:iCs/>
          <w:sz w:val="21"/>
          <w:szCs w:val="21"/>
        </w:rPr>
      </w:pPr>
      <w:r w:rsidRPr="0066249B">
        <w:rPr>
          <w:rFonts w:ascii="Abadi" w:hAnsi="Abadi"/>
          <w:b/>
          <w:bCs/>
          <w:iCs/>
          <w:sz w:val="21"/>
          <w:szCs w:val="21"/>
        </w:rPr>
        <w:t>PRESIDENCIA D</w:t>
      </w:r>
      <w:r>
        <w:rPr>
          <w:rFonts w:ascii="Abadi" w:hAnsi="Abadi"/>
          <w:b/>
          <w:bCs/>
          <w:iCs/>
          <w:sz w:val="21"/>
          <w:szCs w:val="21"/>
        </w:rPr>
        <w:t>E LA DIPUTADA</w:t>
      </w:r>
      <w:r w:rsidR="00F245CE">
        <w:rPr>
          <w:rFonts w:ascii="Abadi" w:hAnsi="Abadi"/>
          <w:b/>
          <w:bCs/>
          <w:iCs/>
          <w:sz w:val="21"/>
          <w:szCs w:val="21"/>
        </w:rPr>
        <w:t xml:space="preserve"> IRMA </w:t>
      </w:r>
      <w:proofErr w:type="gramStart"/>
      <w:r w:rsidR="00F245CE">
        <w:rPr>
          <w:rFonts w:ascii="Abadi" w:hAnsi="Abadi"/>
          <w:b/>
          <w:bCs/>
          <w:iCs/>
          <w:sz w:val="21"/>
          <w:szCs w:val="21"/>
        </w:rPr>
        <w:t>LETICIA  GONZ</w:t>
      </w:r>
      <w:r w:rsidR="00761271">
        <w:rPr>
          <w:rFonts w:ascii="Abadi" w:hAnsi="Abadi"/>
          <w:b/>
          <w:bCs/>
          <w:iCs/>
          <w:sz w:val="21"/>
          <w:szCs w:val="21"/>
        </w:rPr>
        <w:t>Á</w:t>
      </w:r>
      <w:r w:rsidR="00F245CE">
        <w:rPr>
          <w:rFonts w:ascii="Abadi" w:hAnsi="Abadi"/>
          <w:b/>
          <w:bCs/>
          <w:iCs/>
          <w:sz w:val="21"/>
          <w:szCs w:val="21"/>
        </w:rPr>
        <w:t>LEZ</w:t>
      </w:r>
      <w:proofErr w:type="gramEnd"/>
      <w:r w:rsidR="00F245CE">
        <w:rPr>
          <w:rFonts w:ascii="Abadi" w:hAnsi="Abadi"/>
          <w:b/>
          <w:bCs/>
          <w:iCs/>
          <w:sz w:val="21"/>
          <w:szCs w:val="21"/>
        </w:rPr>
        <w:t xml:space="preserve"> SÁNCHEZ</w:t>
      </w:r>
    </w:p>
    <w:p w14:paraId="62A27881" w14:textId="0DF5CB0D" w:rsidR="005A7B4F" w:rsidRDefault="005A7B4F" w:rsidP="00F245CE">
      <w:pPr>
        <w:jc w:val="center"/>
        <w:rPr>
          <w:rFonts w:ascii="Abadi" w:hAnsi="Abadi"/>
          <w:b/>
          <w:bCs/>
          <w:iCs/>
          <w:sz w:val="21"/>
          <w:szCs w:val="21"/>
        </w:rPr>
      </w:pPr>
    </w:p>
    <w:p w14:paraId="5BB9605E" w14:textId="6C50525D" w:rsidR="00BD4D2E" w:rsidRPr="00BD4D2E" w:rsidRDefault="00BD4D2E" w:rsidP="002F289F">
      <w:pPr>
        <w:ind w:firstLine="349"/>
        <w:jc w:val="both"/>
        <w:rPr>
          <w:rFonts w:ascii="Abadi" w:hAnsi="Abadi"/>
          <w:sz w:val="21"/>
          <w:szCs w:val="21"/>
        </w:rPr>
      </w:pPr>
      <w:bookmarkStart w:id="0" w:name="_Hlk105528162"/>
      <w:bookmarkStart w:id="1" w:name="_Hlk105527768"/>
      <w:bookmarkStart w:id="2" w:name="_Hlk105529680"/>
      <w:r w:rsidRPr="00BD4D2E">
        <w:rPr>
          <w:rFonts w:ascii="Abadi" w:hAnsi="Abadi"/>
          <w:sz w:val="21"/>
          <w:szCs w:val="21"/>
        </w:rPr>
        <w:t xml:space="preserve"> </w:t>
      </w:r>
    </w:p>
    <w:p w14:paraId="60E71C6B" w14:textId="20399375" w:rsidR="00BD4D2E" w:rsidRDefault="00BD4D2E" w:rsidP="00BD4D2E">
      <w:pPr>
        <w:jc w:val="both"/>
        <w:rPr>
          <w:rFonts w:ascii="Abadi" w:hAnsi="Abadi"/>
          <w:b/>
          <w:bCs/>
          <w:sz w:val="21"/>
          <w:szCs w:val="21"/>
        </w:rPr>
      </w:pPr>
      <w:r w:rsidRPr="00BD4D2E">
        <w:rPr>
          <w:rFonts w:ascii="Abadi" w:hAnsi="Abadi"/>
          <w:b/>
          <w:bCs/>
          <w:sz w:val="21"/>
          <w:szCs w:val="21"/>
        </w:rPr>
        <w:t>(Se instruy</w:t>
      </w:r>
      <w:r>
        <w:rPr>
          <w:rFonts w:ascii="Abadi" w:hAnsi="Abadi"/>
          <w:b/>
          <w:bCs/>
          <w:sz w:val="21"/>
          <w:szCs w:val="21"/>
        </w:rPr>
        <w:t>e</w:t>
      </w:r>
      <w:r w:rsidRPr="00BD4D2E">
        <w:rPr>
          <w:rFonts w:ascii="Abadi" w:hAnsi="Abadi"/>
          <w:b/>
          <w:bCs/>
          <w:sz w:val="21"/>
          <w:szCs w:val="21"/>
        </w:rPr>
        <w:t xml:space="preserve"> </w:t>
      </w:r>
      <w:r>
        <w:rPr>
          <w:rFonts w:ascii="Abadi" w:hAnsi="Abadi"/>
          <w:b/>
          <w:bCs/>
          <w:sz w:val="21"/>
          <w:szCs w:val="21"/>
        </w:rPr>
        <w:t xml:space="preserve">a </w:t>
      </w:r>
      <w:r w:rsidRPr="00BD4D2E">
        <w:rPr>
          <w:rFonts w:ascii="Abadi" w:hAnsi="Abadi"/>
          <w:b/>
          <w:bCs/>
          <w:sz w:val="21"/>
          <w:szCs w:val="21"/>
        </w:rPr>
        <w:t xml:space="preserve">la </w:t>
      </w:r>
      <w:r w:rsidR="00047089">
        <w:rPr>
          <w:rFonts w:ascii="Abadi" w:hAnsi="Abadi"/>
          <w:b/>
          <w:bCs/>
          <w:sz w:val="21"/>
          <w:szCs w:val="21"/>
        </w:rPr>
        <w:t>S</w:t>
      </w:r>
      <w:r w:rsidRPr="00BD4D2E">
        <w:rPr>
          <w:rFonts w:ascii="Abadi" w:hAnsi="Abadi"/>
          <w:b/>
          <w:bCs/>
          <w:sz w:val="21"/>
          <w:szCs w:val="21"/>
        </w:rPr>
        <w:t>ecretaria dar lectura a la orden del día)</w:t>
      </w:r>
    </w:p>
    <w:p w14:paraId="5BDAC60B" w14:textId="6D03CC8E" w:rsidR="00B26D3A" w:rsidRDefault="00B26D3A" w:rsidP="00BD4D2E">
      <w:pPr>
        <w:jc w:val="both"/>
        <w:rPr>
          <w:rFonts w:ascii="Abadi" w:hAnsi="Abadi"/>
          <w:b/>
          <w:bCs/>
          <w:sz w:val="21"/>
          <w:szCs w:val="21"/>
        </w:rPr>
      </w:pPr>
    </w:p>
    <w:bookmarkEnd w:id="0"/>
    <w:bookmarkEnd w:id="1"/>
    <w:bookmarkEnd w:id="2"/>
    <w:p w14:paraId="7062F885" w14:textId="577ACEAD" w:rsidR="00AD7E6D" w:rsidRDefault="00AD7E6D" w:rsidP="00CC64DD">
      <w:pPr>
        <w:pStyle w:val="Textoindependiente"/>
        <w:numPr>
          <w:ilvl w:val="0"/>
          <w:numId w:val="5"/>
        </w:numPr>
        <w:spacing w:before="214"/>
        <w:ind w:left="284" w:right="-142"/>
        <w:rPr>
          <w:rFonts w:ascii="Abadi" w:hAnsi="Abadi"/>
          <w:sz w:val="21"/>
          <w:szCs w:val="21"/>
        </w:rPr>
      </w:pPr>
      <w:r w:rsidRPr="006F59BB">
        <w:rPr>
          <w:rFonts w:ascii="Abadi" w:hAnsi="Abadi"/>
          <w:sz w:val="21"/>
          <w:szCs w:val="21"/>
        </w:rPr>
        <w:t>LECTURA</w:t>
      </w:r>
      <w:r w:rsidRPr="006F59BB">
        <w:rPr>
          <w:rFonts w:ascii="Abadi" w:hAnsi="Abadi"/>
          <w:spacing w:val="-2"/>
          <w:sz w:val="21"/>
          <w:szCs w:val="21"/>
        </w:rPr>
        <w:t xml:space="preserve"> </w:t>
      </w:r>
      <w:r w:rsidRPr="006F59BB">
        <w:rPr>
          <w:rFonts w:ascii="Abadi" w:hAnsi="Abadi"/>
          <w:sz w:val="21"/>
          <w:szCs w:val="21"/>
        </w:rPr>
        <w:t>Y,</w:t>
      </w:r>
      <w:r w:rsidRPr="006F59BB">
        <w:rPr>
          <w:rFonts w:ascii="Abadi" w:hAnsi="Abadi"/>
          <w:spacing w:val="-2"/>
          <w:sz w:val="21"/>
          <w:szCs w:val="21"/>
        </w:rPr>
        <w:t xml:space="preserve"> </w:t>
      </w:r>
      <w:r w:rsidRPr="006F59BB">
        <w:rPr>
          <w:rFonts w:ascii="Abadi" w:hAnsi="Abadi"/>
          <w:sz w:val="21"/>
          <w:szCs w:val="21"/>
        </w:rPr>
        <w:t>EN</w:t>
      </w:r>
      <w:r w:rsidRPr="006F59BB">
        <w:rPr>
          <w:rFonts w:ascii="Abadi" w:hAnsi="Abadi"/>
          <w:spacing w:val="-1"/>
          <w:sz w:val="21"/>
          <w:szCs w:val="21"/>
        </w:rPr>
        <w:t xml:space="preserve"> </w:t>
      </w:r>
      <w:r w:rsidRPr="006F59BB">
        <w:rPr>
          <w:rFonts w:ascii="Abadi" w:hAnsi="Abadi"/>
          <w:sz w:val="21"/>
          <w:szCs w:val="21"/>
        </w:rPr>
        <w:t>SU</w:t>
      </w:r>
      <w:r w:rsidRPr="006F59BB">
        <w:rPr>
          <w:rFonts w:ascii="Abadi" w:hAnsi="Abadi"/>
          <w:spacing w:val="-2"/>
          <w:sz w:val="21"/>
          <w:szCs w:val="21"/>
        </w:rPr>
        <w:t xml:space="preserve"> </w:t>
      </w:r>
      <w:r w:rsidRPr="006F59BB">
        <w:rPr>
          <w:rFonts w:ascii="Abadi" w:hAnsi="Abadi"/>
          <w:sz w:val="21"/>
          <w:szCs w:val="21"/>
        </w:rPr>
        <w:t>CASO,</w:t>
      </w:r>
      <w:r w:rsidRPr="006F59BB">
        <w:rPr>
          <w:rFonts w:ascii="Abadi" w:hAnsi="Abadi"/>
          <w:spacing w:val="-2"/>
          <w:sz w:val="21"/>
          <w:szCs w:val="21"/>
        </w:rPr>
        <w:t xml:space="preserve"> </w:t>
      </w:r>
      <w:r w:rsidRPr="006F59BB">
        <w:rPr>
          <w:rFonts w:ascii="Abadi" w:hAnsi="Abadi"/>
          <w:sz w:val="21"/>
          <w:szCs w:val="21"/>
        </w:rPr>
        <w:t>APROBACIÓN</w:t>
      </w:r>
      <w:r w:rsidRPr="006F59BB">
        <w:rPr>
          <w:rFonts w:ascii="Abadi" w:hAnsi="Abadi"/>
          <w:spacing w:val="-1"/>
          <w:sz w:val="21"/>
          <w:szCs w:val="21"/>
        </w:rPr>
        <w:t xml:space="preserve"> </w:t>
      </w:r>
      <w:r w:rsidRPr="006F59BB">
        <w:rPr>
          <w:rFonts w:ascii="Abadi" w:hAnsi="Abadi"/>
          <w:sz w:val="21"/>
          <w:szCs w:val="21"/>
        </w:rPr>
        <w:t>DEL</w:t>
      </w:r>
      <w:r w:rsidRPr="006F59BB">
        <w:rPr>
          <w:rFonts w:ascii="Abadi" w:hAnsi="Abadi"/>
          <w:spacing w:val="-2"/>
          <w:sz w:val="21"/>
          <w:szCs w:val="21"/>
        </w:rPr>
        <w:t xml:space="preserve"> </w:t>
      </w:r>
      <w:r w:rsidRPr="006F59BB">
        <w:rPr>
          <w:rFonts w:ascii="Abadi" w:hAnsi="Abadi"/>
          <w:sz w:val="21"/>
          <w:szCs w:val="21"/>
        </w:rPr>
        <w:t>ORDEN</w:t>
      </w:r>
      <w:r w:rsidRPr="006F59BB">
        <w:rPr>
          <w:rFonts w:ascii="Abadi" w:hAnsi="Abadi"/>
          <w:spacing w:val="-1"/>
          <w:sz w:val="21"/>
          <w:szCs w:val="21"/>
        </w:rPr>
        <w:t xml:space="preserve"> </w:t>
      </w:r>
      <w:r w:rsidRPr="006F59BB">
        <w:rPr>
          <w:rFonts w:ascii="Abadi" w:hAnsi="Abadi"/>
          <w:sz w:val="21"/>
          <w:szCs w:val="21"/>
        </w:rPr>
        <w:t>DEL</w:t>
      </w:r>
      <w:r w:rsidRPr="006F59BB">
        <w:rPr>
          <w:rFonts w:ascii="Abadi" w:hAnsi="Abadi"/>
          <w:spacing w:val="-2"/>
          <w:sz w:val="21"/>
          <w:szCs w:val="21"/>
        </w:rPr>
        <w:t xml:space="preserve"> </w:t>
      </w:r>
      <w:r w:rsidRPr="006F59BB">
        <w:rPr>
          <w:rFonts w:ascii="Abadi" w:hAnsi="Abadi"/>
          <w:sz w:val="21"/>
          <w:szCs w:val="21"/>
        </w:rPr>
        <w:t>DÍA.</w:t>
      </w:r>
    </w:p>
    <w:p w14:paraId="2DC6B35C" w14:textId="77777777" w:rsidR="00B26D3A" w:rsidRPr="006F59BB" w:rsidRDefault="00B26D3A" w:rsidP="00B26D3A">
      <w:pPr>
        <w:pStyle w:val="Textoindependiente"/>
        <w:spacing w:before="214"/>
        <w:ind w:right="-142"/>
        <w:rPr>
          <w:rFonts w:ascii="Abadi" w:hAnsi="Abadi"/>
          <w:sz w:val="21"/>
          <w:szCs w:val="21"/>
        </w:rPr>
      </w:pPr>
    </w:p>
    <w:p w14:paraId="50B10D9F" w14:textId="072369DF" w:rsidR="00B26D3A" w:rsidRPr="00B26D3A" w:rsidRDefault="00B26D3A" w:rsidP="00B26D3A">
      <w:pPr>
        <w:pStyle w:val="Estilo1"/>
        <w:numPr>
          <w:ilvl w:val="0"/>
          <w:numId w:val="0"/>
        </w:numPr>
        <w:tabs>
          <w:tab w:val="clear" w:pos="4059"/>
        </w:tabs>
        <w:ind w:right="-25" w:firstLine="284"/>
        <w:rPr>
          <w:rFonts w:ascii="Abadi" w:hAnsi="Abadi"/>
          <w:b w:val="0"/>
          <w:bCs w:val="0"/>
          <w:iCs w:val="0"/>
          <w:sz w:val="21"/>
          <w:szCs w:val="21"/>
        </w:rPr>
      </w:pPr>
      <w:r>
        <w:rPr>
          <w:rFonts w:ascii="Abadi" w:hAnsi="Abadi"/>
          <w:sz w:val="21"/>
          <w:szCs w:val="21"/>
        </w:rPr>
        <w:t xml:space="preserve">- </w:t>
      </w:r>
      <w:r w:rsidRPr="00B26D3A">
        <w:rPr>
          <w:rFonts w:ascii="Abadi" w:hAnsi="Abadi"/>
          <w:sz w:val="21"/>
          <w:szCs w:val="21"/>
        </w:rPr>
        <w:t xml:space="preserve">La </w:t>
      </w:r>
      <w:proofErr w:type="gramStart"/>
      <w:r w:rsidRPr="00B26D3A">
        <w:rPr>
          <w:rFonts w:ascii="Abadi" w:hAnsi="Abadi"/>
          <w:sz w:val="21"/>
          <w:szCs w:val="21"/>
        </w:rPr>
        <w:t>Secretaria</w:t>
      </w:r>
      <w:r w:rsidRPr="00B26D3A">
        <w:rPr>
          <w:rFonts w:ascii="Abadi" w:hAnsi="Abadi"/>
          <w:b w:val="0"/>
          <w:bCs w:val="0"/>
          <w:sz w:val="21"/>
          <w:szCs w:val="21"/>
        </w:rPr>
        <w:t>.-</w:t>
      </w:r>
      <w:proofErr w:type="gramEnd"/>
      <w:r w:rsidRPr="00B26D3A">
        <w:rPr>
          <w:rFonts w:ascii="Abadi" w:hAnsi="Abadi"/>
          <w:b w:val="0"/>
          <w:bCs w:val="0"/>
          <w:sz w:val="21"/>
          <w:szCs w:val="21"/>
        </w:rPr>
        <w:t xml:space="preserve"> Orden del día de este </w:t>
      </w:r>
      <w:r w:rsidR="004151AA">
        <w:rPr>
          <w:rFonts w:ascii="Abadi" w:hAnsi="Abadi"/>
          <w:b w:val="0"/>
          <w:bCs w:val="0"/>
          <w:sz w:val="21"/>
          <w:szCs w:val="21"/>
        </w:rPr>
        <w:t>23</w:t>
      </w:r>
      <w:r w:rsidRPr="00B26D3A">
        <w:rPr>
          <w:rFonts w:ascii="Abadi" w:hAnsi="Abadi"/>
          <w:b w:val="0"/>
          <w:bCs w:val="0"/>
          <w:sz w:val="21"/>
          <w:szCs w:val="21"/>
        </w:rPr>
        <w:t xml:space="preserve"> de junio</w:t>
      </w:r>
      <w:r>
        <w:rPr>
          <w:rFonts w:ascii="Abadi" w:hAnsi="Abadi"/>
          <w:b w:val="0"/>
          <w:bCs w:val="0"/>
          <w:sz w:val="21"/>
          <w:szCs w:val="21"/>
        </w:rPr>
        <w:t xml:space="preserve"> </w:t>
      </w:r>
      <w:r w:rsidRPr="00B26D3A">
        <w:rPr>
          <w:rFonts w:ascii="Abadi" w:hAnsi="Abadi"/>
          <w:b w:val="0"/>
          <w:bCs w:val="0"/>
          <w:sz w:val="21"/>
          <w:szCs w:val="21"/>
        </w:rPr>
        <w:t>del 2022.</w:t>
      </w:r>
    </w:p>
    <w:p w14:paraId="72A80FEB" w14:textId="77777777" w:rsidR="00AD7E6D" w:rsidRPr="007F1D57" w:rsidRDefault="00AD7E6D" w:rsidP="007728C4">
      <w:pPr>
        <w:pStyle w:val="Estilo1"/>
        <w:numPr>
          <w:ilvl w:val="0"/>
          <w:numId w:val="0"/>
        </w:numPr>
        <w:ind w:left="851"/>
        <w:rPr>
          <w:rFonts w:ascii="Abadi" w:hAnsi="Abadi"/>
          <w:b w:val="0"/>
          <w:bCs w:val="0"/>
          <w:sz w:val="21"/>
          <w:szCs w:val="21"/>
        </w:rPr>
      </w:pPr>
    </w:p>
    <w:p w14:paraId="25D0DB08" w14:textId="77777777" w:rsidR="00C81307" w:rsidRPr="005C35F6" w:rsidRDefault="00C81307" w:rsidP="0024733C">
      <w:pPr>
        <w:ind w:firstLine="720"/>
        <w:jc w:val="both"/>
        <w:rPr>
          <w:rFonts w:ascii="Abadi" w:hAnsi="Abadi"/>
          <w:iCs/>
          <w:sz w:val="21"/>
          <w:szCs w:val="21"/>
        </w:rPr>
      </w:pPr>
    </w:p>
    <w:p w14:paraId="5C738FA2" w14:textId="7387A109" w:rsidR="00951F6D" w:rsidRDefault="00A86E23" w:rsidP="009C3583">
      <w:pPr>
        <w:jc w:val="both"/>
        <w:rPr>
          <w:rFonts w:ascii="Abadi" w:hAnsi="Abadi"/>
          <w:b/>
          <w:bCs/>
          <w:iCs/>
          <w:sz w:val="21"/>
          <w:szCs w:val="21"/>
        </w:rPr>
      </w:pPr>
      <w:r>
        <w:rPr>
          <w:rFonts w:ascii="Abadi" w:hAnsi="Abadi"/>
          <w:b/>
          <w:bCs/>
          <w:iCs/>
          <w:sz w:val="21"/>
          <w:szCs w:val="21"/>
        </w:rPr>
        <w:t>«</w:t>
      </w:r>
      <w:r w:rsidR="00B73D82">
        <w:rPr>
          <w:rFonts w:ascii="Abadi" w:hAnsi="Abadi"/>
          <w:b/>
          <w:bCs/>
          <w:iCs/>
          <w:sz w:val="21"/>
          <w:szCs w:val="21"/>
        </w:rPr>
        <w:t xml:space="preserve">SEXAGÉSIMA </w:t>
      </w:r>
      <w:r w:rsidR="00DD3236">
        <w:rPr>
          <w:rFonts w:ascii="Abadi" w:hAnsi="Abadi"/>
          <w:b/>
          <w:sz w:val="21"/>
          <w:szCs w:val="21"/>
        </w:rPr>
        <w:t>QUINTA</w:t>
      </w:r>
      <w:r w:rsidR="00DD3236" w:rsidRPr="0066249B">
        <w:rPr>
          <w:rFonts w:ascii="Abadi" w:hAnsi="Abadi"/>
          <w:b/>
          <w:sz w:val="21"/>
          <w:szCs w:val="21"/>
        </w:rPr>
        <w:t xml:space="preserve"> LEGISLATURA DEL CONGRESO DEL ESTADO DE GUANAJUATO. </w:t>
      </w:r>
      <w:r w:rsidR="00B000F3">
        <w:rPr>
          <w:rFonts w:ascii="Abadi" w:hAnsi="Abadi"/>
          <w:b/>
          <w:sz w:val="21"/>
          <w:szCs w:val="21"/>
        </w:rPr>
        <w:t xml:space="preserve">SESIÓN </w:t>
      </w:r>
      <w:r w:rsidR="006A5467">
        <w:rPr>
          <w:rFonts w:ascii="Abadi" w:hAnsi="Abadi"/>
          <w:b/>
          <w:sz w:val="21"/>
          <w:szCs w:val="21"/>
        </w:rPr>
        <w:t>ORDINARI</w:t>
      </w:r>
      <w:r w:rsidR="004D2542">
        <w:rPr>
          <w:rFonts w:ascii="Abadi" w:hAnsi="Abadi"/>
          <w:b/>
          <w:sz w:val="21"/>
          <w:szCs w:val="21"/>
        </w:rPr>
        <w:t>A DEL</w:t>
      </w:r>
      <w:r w:rsidR="00DD3236" w:rsidRPr="0066249B">
        <w:rPr>
          <w:rFonts w:ascii="Abadi" w:hAnsi="Abadi"/>
          <w:b/>
          <w:sz w:val="21"/>
          <w:szCs w:val="21"/>
        </w:rPr>
        <w:t xml:space="preserve"> PRIMER AÑO DE EJERCICIO</w:t>
      </w:r>
      <w:r w:rsidR="004547A5">
        <w:rPr>
          <w:rFonts w:ascii="Abadi" w:hAnsi="Abadi"/>
          <w:b/>
          <w:sz w:val="21"/>
          <w:szCs w:val="21"/>
        </w:rPr>
        <w:t xml:space="preserve"> </w:t>
      </w:r>
      <w:r w:rsidR="00DD3236" w:rsidRPr="0066249B">
        <w:rPr>
          <w:rFonts w:ascii="Abadi" w:hAnsi="Abadi"/>
          <w:b/>
          <w:sz w:val="21"/>
          <w:szCs w:val="21"/>
        </w:rPr>
        <w:t>CONSTITUCIONAL</w:t>
      </w:r>
      <w:r w:rsidR="00B73D82">
        <w:rPr>
          <w:rFonts w:ascii="Abadi" w:hAnsi="Abadi"/>
          <w:b/>
          <w:bCs/>
          <w:iCs/>
          <w:sz w:val="21"/>
          <w:szCs w:val="21"/>
        </w:rPr>
        <w:t xml:space="preserve">. </w:t>
      </w:r>
      <w:r w:rsidR="00A802FE">
        <w:rPr>
          <w:rFonts w:ascii="Abadi" w:hAnsi="Abadi"/>
          <w:b/>
          <w:bCs/>
          <w:iCs/>
          <w:sz w:val="21"/>
          <w:szCs w:val="21"/>
        </w:rPr>
        <w:t>SEGUNDO PERIODO</w:t>
      </w:r>
      <w:r w:rsidR="00B73D82">
        <w:rPr>
          <w:rFonts w:ascii="Abadi" w:hAnsi="Abadi"/>
          <w:b/>
          <w:bCs/>
          <w:iCs/>
          <w:sz w:val="21"/>
          <w:szCs w:val="21"/>
        </w:rPr>
        <w:t>.</w:t>
      </w:r>
      <w:r w:rsidR="00FF2C6B">
        <w:rPr>
          <w:rFonts w:ascii="Abadi" w:hAnsi="Abadi"/>
          <w:b/>
          <w:bCs/>
          <w:iCs/>
          <w:sz w:val="21"/>
          <w:szCs w:val="21"/>
        </w:rPr>
        <w:t xml:space="preserve"> </w:t>
      </w:r>
      <w:r w:rsidR="00643164">
        <w:rPr>
          <w:rFonts w:ascii="Abadi" w:hAnsi="Abadi"/>
          <w:b/>
          <w:bCs/>
          <w:iCs/>
          <w:sz w:val="21"/>
          <w:szCs w:val="21"/>
        </w:rPr>
        <w:t>23</w:t>
      </w:r>
      <w:r w:rsidR="00B26D3A">
        <w:rPr>
          <w:rFonts w:ascii="Abadi" w:hAnsi="Abadi"/>
          <w:b/>
          <w:bCs/>
          <w:iCs/>
          <w:sz w:val="21"/>
          <w:szCs w:val="21"/>
        </w:rPr>
        <w:t xml:space="preserve"> </w:t>
      </w:r>
      <w:r w:rsidR="00DD3236">
        <w:rPr>
          <w:rFonts w:ascii="Abadi" w:hAnsi="Abadi"/>
          <w:b/>
          <w:bCs/>
          <w:iCs/>
          <w:sz w:val="21"/>
          <w:szCs w:val="21"/>
        </w:rPr>
        <w:t>DE</w:t>
      </w:r>
      <w:r w:rsidR="00660F93">
        <w:rPr>
          <w:rFonts w:ascii="Abadi" w:hAnsi="Abadi"/>
          <w:b/>
          <w:bCs/>
          <w:iCs/>
          <w:sz w:val="21"/>
          <w:szCs w:val="21"/>
        </w:rPr>
        <w:t xml:space="preserve"> </w:t>
      </w:r>
      <w:r w:rsidR="00B26D3A">
        <w:rPr>
          <w:rFonts w:ascii="Abadi" w:hAnsi="Abadi"/>
          <w:b/>
          <w:bCs/>
          <w:iCs/>
          <w:sz w:val="21"/>
          <w:szCs w:val="21"/>
        </w:rPr>
        <w:t>JUNIO</w:t>
      </w:r>
      <w:r w:rsidR="004225F5">
        <w:rPr>
          <w:rFonts w:ascii="Abadi" w:hAnsi="Abadi"/>
          <w:b/>
          <w:bCs/>
          <w:iCs/>
          <w:sz w:val="21"/>
          <w:szCs w:val="21"/>
        </w:rPr>
        <w:t xml:space="preserve"> </w:t>
      </w:r>
      <w:r w:rsidR="00DD3236">
        <w:rPr>
          <w:rFonts w:ascii="Abadi" w:hAnsi="Abadi"/>
          <w:b/>
          <w:bCs/>
          <w:iCs/>
          <w:sz w:val="21"/>
          <w:szCs w:val="21"/>
        </w:rPr>
        <w:t>DE 2022.</w:t>
      </w:r>
    </w:p>
    <w:p w14:paraId="001C44E4" w14:textId="578B9410" w:rsidR="0070000D" w:rsidRDefault="0070000D" w:rsidP="009C3583">
      <w:pPr>
        <w:jc w:val="both"/>
        <w:rPr>
          <w:rFonts w:ascii="Abadi" w:hAnsi="Abadi"/>
          <w:b/>
          <w:bCs/>
          <w:iCs/>
          <w:sz w:val="21"/>
          <w:szCs w:val="21"/>
        </w:rPr>
      </w:pPr>
    </w:p>
    <w:p w14:paraId="20BC18F9" w14:textId="77777777" w:rsidR="0070000D" w:rsidRDefault="0070000D" w:rsidP="009C3583">
      <w:pPr>
        <w:jc w:val="both"/>
        <w:rPr>
          <w:rFonts w:ascii="Abadi" w:hAnsi="Abadi"/>
          <w:b/>
          <w:bCs/>
          <w:iCs/>
          <w:sz w:val="21"/>
          <w:szCs w:val="21"/>
        </w:rPr>
      </w:pPr>
    </w:p>
    <w:p w14:paraId="279D056E" w14:textId="7DAEF689" w:rsidR="007808AC" w:rsidRDefault="007808AC" w:rsidP="007808AC">
      <w:pPr>
        <w:pStyle w:val="Estilo1"/>
        <w:numPr>
          <w:ilvl w:val="0"/>
          <w:numId w:val="0"/>
        </w:numPr>
        <w:tabs>
          <w:tab w:val="clear" w:pos="4059"/>
        </w:tabs>
        <w:ind w:left="579" w:right="-25"/>
        <w:rPr>
          <w:rFonts w:ascii="Abadi" w:hAnsi="Abadi"/>
          <w:b w:val="0"/>
          <w:bCs w:val="0"/>
          <w:iCs w:val="0"/>
          <w:sz w:val="21"/>
          <w:szCs w:val="21"/>
        </w:rPr>
      </w:pPr>
    </w:p>
    <w:p w14:paraId="0EC4F6AB" w14:textId="53E8AF20" w:rsidR="007808AC" w:rsidRPr="00BD4D2E" w:rsidRDefault="007808AC" w:rsidP="007808AC">
      <w:pPr>
        <w:pStyle w:val="Estilo1"/>
        <w:numPr>
          <w:ilvl w:val="0"/>
          <w:numId w:val="0"/>
        </w:numPr>
        <w:tabs>
          <w:tab w:val="clear" w:pos="4059"/>
        </w:tabs>
        <w:ind w:left="579" w:right="-25"/>
        <w:rPr>
          <w:rFonts w:ascii="Abadi" w:hAnsi="Abadi"/>
          <w:b w:val="0"/>
          <w:bCs w:val="0"/>
          <w:iCs w:val="0"/>
          <w:sz w:val="21"/>
          <w:szCs w:val="21"/>
        </w:rPr>
      </w:pPr>
    </w:p>
    <w:p w14:paraId="04C9132C" w14:textId="5A9C69E1" w:rsidR="00B0382D" w:rsidRDefault="009F648A" w:rsidP="009F648A">
      <w:pPr>
        <w:jc w:val="center"/>
        <w:rPr>
          <w:rFonts w:ascii="Abadi" w:hAnsi="Abadi"/>
          <w:b/>
          <w:bCs/>
          <w:iCs/>
          <w:sz w:val="21"/>
          <w:szCs w:val="21"/>
        </w:rPr>
      </w:pPr>
      <w:r>
        <w:rPr>
          <w:rFonts w:ascii="Abadi" w:hAnsi="Abadi"/>
          <w:b/>
          <w:bCs/>
          <w:iCs/>
          <w:sz w:val="21"/>
          <w:szCs w:val="21"/>
        </w:rPr>
        <w:t>-</w:t>
      </w:r>
      <w:r w:rsidR="00A86E23">
        <w:rPr>
          <w:rFonts w:ascii="Abadi" w:hAnsi="Abadi"/>
          <w:b/>
          <w:bCs/>
          <w:iCs/>
          <w:sz w:val="21"/>
          <w:szCs w:val="21"/>
        </w:rPr>
        <w:t>Orden del día</w:t>
      </w:r>
      <w:r>
        <w:rPr>
          <w:rFonts w:ascii="Abadi" w:hAnsi="Abadi"/>
          <w:b/>
          <w:bCs/>
          <w:iCs/>
          <w:sz w:val="21"/>
          <w:szCs w:val="21"/>
        </w:rPr>
        <w:t>-</w:t>
      </w:r>
    </w:p>
    <w:p w14:paraId="2EE8A27F" w14:textId="2DAEBF0D" w:rsidR="00B73011" w:rsidRDefault="00B73011" w:rsidP="009F648A">
      <w:pPr>
        <w:jc w:val="center"/>
        <w:rPr>
          <w:rFonts w:ascii="Abadi" w:hAnsi="Abadi"/>
          <w:b/>
          <w:bCs/>
          <w:iCs/>
          <w:sz w:val="21"/>
          <w:szCs w:val="21"/>
        </w:rPr>
      </w:pPr>
    </w:p>
    <w:p w14:paraId="21CD8094" w14:textId="5BB8AEDD" w:rsidR="00B94CD4" w:rsidRPr="00FD5F33" w:rsidRDefault="00B94CD4" w:rsidP="001D5134">
      <w:pPr>
        <w:pStyle w:val="Textoindependiente"/>
        <w:kinsoku w:val="0"/>
        <w:overflowPunct w:val="0"/>
        <w:ind w:right="17"/>
        <w:rPr>
          <w:rFonts w:ascii="Abadi" w:hAnsi="Abadi"/>
          <w:b w:val="0"/>
          <w:bCs w:val="0"/>
          <w:sz w:val="21"/>
          <w:szCs w:val="21"/>
        </w:rPr>
      </w:pPr>
      <w:r w:rsidRPr="00B94CD4">
        <w:rPr>
          <w:rFonts w:ascii="Abadi" w:hAnsi="Abadi"/>
          <w:sz w:val="21"/>
          <w:szCs w:val="21"/>
        </w:rPr>
        <w:t>I.-</w:t>
      </w:r>
      <w:r w:rsidRPr="00B94CD4">
        <w:rPr>
          <w:rFonts w:ascii="Abadi" w:hAnsi="Abadi"/>
          <w:b w:val="0"/>
          <w:bCs w:val="0"/>
          <w:sz w:val="21"/>
          <w:szCs w:val="21"/>
        </w:rPr>
        <w:t xml:space="preserve"> Lectura y, en su caso, aprobación del orden del día. </w:t>
      </w:r>
      <w:r w:rsidRPr="00B94CD4">
        <w:rPr>
          <w:rFonts w:ascii="Abadi" w:hAnsi="Abadi"/>
          <w:sz w:val="21"/>
          <w:szCs w:val="21"/>
        </w:rPr>
        <w:t>II.-</w:t>
      </w:r>
      <w:r w:rsidRPr="00B94CD4">
        <w:rPr>
          <w:rFonts w:ascii="Abadi" w:hAnsi="Abadi"/>
          <w:b w:val="0"/>
          <w:bCs w:val="0"/>
          <w:sz w:val="21"/>
          <w:szCs w:val="21"/>
        </w:rPr>
        <w:t xml:space="preserve"> Lectura y, en su caso, aprobación del acta de la sesión ordinaria celebrada 16 de junio del año en curso. </w:t>
      </w:r>
      <w:r w:rsidRPr="00B94CD4">
        <w:rPr>
          <w:rFonts w:ascii="Abadi" w:hAnsi="Abadi"/>
          <w:sz w:val="21"/>
          <w:szCs w:val="21"/>
        </w:rPr>
        <w:t>III.-</w:t>
      </w:r>
      <w:r w:rsidRPr="00B94CD4">
        <w:rPr>
          <w:rFonts w:ascii="Abadi" w:hAnsi="Abadi"/>
          <w:b w:val="0"/>
          <w:bCs w:val="0"/>
          <w:sz w:val="21"/>
          <w:szCs w:val="21"/>
        </w:rPr>
        <w:t xml:space="preserve"> Dar cuenta con las comunicaciones y correspondencia recibidas. </w:t>
      </w:r>
      <w:r w:rsidRPr="00B94CD4">
        <w:rPr>
          <w:rFonts w:ascii="Abadi" w:hAnsi="Abadi"/>
          <w:sz w:val="21"/>
          <w:szCs w:val="21"/>
        </w:rPr>
        <w:t>IV.-</w:t>
      </w:r>
      <w:r w:rsidRPr="00B94CD4">
        <w:rPr>
          <w:rFonts w:ascii="Abadi" w:hAnsi="Abadi"/>
          <w:b w:val="0"/>
          <w:bCs w:val="0"/>
          <w:sz w:val="21"/>
          <w:szCs w:val="21"/>
        </w:rPr>
        <w:t xml:space="preserve"> Protesta de la ciudadana Brenda Paulina Hernández González como titular del</w:t>
      </w:r>
      <w:r w:rsidRPr="00B94CD4">
        <w:rPr>
          <w:rFonts w:ascii="Abadi" w:hAnsi="Abadi"/>
          <w:b w:val="0"/>
          <w:bCs w:val="0"/>
          <w:spacing w:val="75"/>
          <w:w w:val="150"/>
          <w:sz w:val="21"/>
          <w:szCs w:val="21"/>
        </w:rPr>
        <w:t xml:space="preserve"> </w:t>
      </w:r>
      <w:r w:rsidRPr="00B94CD4">
        <w:rPr>
          <w:rFonts w:ascii="Abadi" w:hAnsi="Abadi"/>
          <w:b w:val="0"/>
          <w:bCs w:val="0"/>
          <w:sz w:val="21"/>
          <w:szCs w:val="21"/>
        </w:rPr>
        <w:t>Órgano</w:t>
      </w:r>
      <w:r w:rsidRPr="00B94CD4">
        <w:rPr>
          <w:rFonts w:ascii="Abadi" w:hAnsi="Abadi"/>
          <w:b w:val="0"/>
          <w:bCs w:val="0"/>
          <w:spacing w:val="76"/>
          <w:w w:val="150"/>
          <w:sz w:val="21"/>
          <w:szCs w:val="21"/>
        </w:rPr>
        <w:t xml:space="preserve"> </w:t>
      </w:r>
      <w:r w:rsidRPr="00B94CD4">
        <w:rPr>
          <w:rFonts w:ascii="Abadi" w:hAnsi="Abadi"/>
          <w:b w:val="0"/>
          <w:bCs w:val="0"/>
          <w:sz w:val="21"/>
          <w:szCs w:val="21"/>
        </w:rPr>
        <w:t>Interno</w:t>
      </w:r>
      <w:r w:rsidRPr="00B94CD4">
        <w:rPr>
          <w:rFonts w:ascii="Abadi" w:hAnsi="Abadi"/>
          <w:b w:val="0"/>
          <w:bCs w:val="0"/>
          <w:spacing w:val="76"/>
          <w:w w:val="150"/>
          <w:sz w:val="21"/>
          <w:szCs w:val="21"/>
        </w:rPr>
        <w:t xml:space="preserve"> </w:t>
      </w:r>
      <w:r w:rsidRPr="00B94CD4">
        <w:rPr>
          <w:rFonts w:ascii="Abadi" w:hAnsi="Abadi"/>
          <w:b w:val="0"/>
          <w:bCs w:val="0"/>
          <w:sz w:val="21"/>
          <w:szCs w:val="21"/>
        </w:rPr>
        <w:t>de</w:t>
      </w:r>
      <w:r w:rsidRPr="00B94CD4">
        <w:rPr>
          <w:rFonts w:ascii="Abadi" w:hAnsi="Abadi"/>
          <w:b w:val="0"/>
          <w:bCs w:val="0"/>
          <w:spacing w:val="76"/>
          <w:w w:val="150"/>
          <w:sz w:val="21"/>
          <w:szCs w:val="21"/>
        </w:rPr>
        <w:t xml:space="preserve"> </w:t>
      </w:r>
      <w:r w:rsidRPr="00B94CD4">
        <w:rPr>
          <w:rFonts w:ascii="Abadi" w:hAnsi="Abadi"/>
          <w:b w:val="0"/>
          <w:bCs w:val="0"/>
          <w:sz w:val="21"/>
          <w:szCs w:val="21"/>
        </w:rPr>
        <w:t>Control</w:t>
      </w:r>
      <w:r w:rsidRPr="00B94CD4">
        <w:rPr>
          <w:rFonts w:ascii="Abadi" w:hAnsi="Abadi"/>
          <w:b w:val="0"/>
          <w:bCs w:val="0"/>
          <w:spacing w:val="75"/>
          <w:w w:val="150"/>
          <w:sz w:val="21"/>
          <w:szCs w:val="21"/>
        </w:rPr>
        <w:t xml:space="preserve"> </w:t>
      </w:r>
      <w:r w:rsidRPr="00B94CD4">
        <w:rPr>
          <w:rFonts w:ascii="Abadi" w:hAnsi="Abadi"/>
          <w:b w:val="0"/>
          <w:bCs w:val="0"/>
          <w:sz w:val="21"/>
          <w:szCs w:val="21"/>
        </w:rPr>
        <w:t>del</w:t>
      </w:r>
      <w:r w:rsidRPr="00B94CD4">
        <w:rPr>
          <w:rFonts w:ascii="Abadi" w:hAnsi="Abadi"/>
          <w:b w:val="0"/>
          <w:bCs w:val="0"/>
          <w:spacing w:val="76"/>
          <w:w w:val="150"/>
          <w:sz w:val="21"/>
          <w:szCs w:val="21"/>
        </w:rPr>
        <w:t xml:space="preserve"> </w:t>
      </w:r>
      <w:r w:rsidRPr="00B94CD4">
        <w:rPr>
          <w:rFonts w:ascii="Abadi" w:hAnsi="Abadi"/>
          <w:b w:val="0"/>
          <w:bCs w:val="0"/>
          <w:sz w:val="21"/>
          <w:szCs w:val="21"/>
        </w:rPr>
        <w:t>Instituto</w:t>
      </w:r>
      <w:r w:rsidRPr="00B94CD4">
        <w:rPr>
          <w:rFonts w:ascii="Abadi" w:hAnsi="Abadi"/>
          <w:b w:val="0"/>
          <w:bCs w:val="0"/>
          <w:spacing w:val="76"/>
          <w:w w:val="150"/>
          <w:sz w:val="21"/>
          <w:szCs w:val="21"/>
        </w:rPr>
        <w:t xml:space="preserve"> </w:t>
      </w:r>
      <w:r w:rsidRPr="00B94CD4">
        <w:rPr>
          <w:rFonts w:ascii="Abadi" w:hAnsi="Abadi"/>
          <w:b w:val="0"/>
          <w:bCs w:val="0"/>
          <w:sz w:val="21"/>
          <w:szCs w:val="21"/>
        </w:rPr>
        <w:t>Electoral</w:t>
      </w:r>
      <w:r w:rsidRPr="00B94CD4">
        <w:rPr>
          <w:rFonts w:ascii="Abadi" w:hAnsi="Abadi"/>
          <w:b w:val="0"/>
          <w:bCs w:val="0"/>
          <w:spacing w:val="76"/>
          <w:w w:val="150"/>
          <w:sz w:val="21"/>
          <w:szCs w:val="21"/>
        </w:rPr>
        <w:t xml:space="preserve"> </w:t>
      </w:r>
      <w:r w:rsidRPr="00B94CD4">
        <w:rPr>
          <w:rFonts w:ascii="Abadi" w:hAnsi="Abadi"/>
          <w:b w:val="0"/>
          <w:bCs w:val="0"/>
          <w:sz w:val="21"/>
          <w:szCs w:val="21"/>
        </w:rPr>
        <w:t>del</w:t>
      </w:r>
      <w:r w:rsidRPr="00B94CD4">
        <w:rPr>
          <w:rFonts w:ascii="Abadi" w:hAnsi="Abadi"/>
          <w:b w:val="0"/>
          <w:bCs w:val="0"/>
          <w:spacing w:val="75"/>
          <w:w w:val="150"/>
          <w:sz w:val="21"/>
          <w:szCs w:val="21"/>
        </w:rPr>
        <w:t xml:space="preserve"> </w:t>
      </w:r>
      <w:r w:rsidRPr="00B94CD4">
        <w:rPr>
          <w:rFonts w:ascii="Abadi" w:hAnsi="Abadi"/>
          <w:b w:val="0"/>
          <w:bCs w:val="0"/>
          <w:sz w:val="21"/>
          <w:szCs w:val="21"/>
        </w:rPr>
        <w:t>Estado</w:t>
      </w:r>
      <w:r w:rsidRPr="00B94CD4">
        <w:rPr>
          <w:rFonts w:ascii="Abadi" w:hAnsi="Abadi"/>
          <w:b w:val="0"/>
          <w:bCs w:val="0"/>
          <w:spacing w:val="76"/>
          <w:w w:val="150"/>
          <w:sz w:val="21"/>
          <w:szCs w:val="21"/>
        </w:rPr>
        <w:t xml:space="preserve"> </w:t>
      </w:r>
      <w:r w:rsidRPr="00B94CD4">
        <w:rPr>
          <w:rFonts w:ascii="Abadi" w:hAnsi="Abadi"/>
          <w:b w:val="0"/>
          <w:bCs w:val="0"/>
          <w:sz w:val="21"/>
          <w:szCs w:val="21"/>
        </w:rPr>
        <w:t>de Guanajuato</w:t>
      </w:r>
      <w:r w:rsidRPr="00B94CD4">
        <w:rPr>
          <w:rFonts w:ascii="Abadi" w:hAnsi="Abadi"/>
          <w:b w:val="0"/>
          <w:bCs w:val="0"/>
          <w:spacing w:val="9"/>
          <w:sz w:val="21"/>
          <w:szCs w:val="21"/>
        </w:rPr>
        <w:t xml:space="preserve"> </w:t>
      </w:r>
      <w:r w:rsidRPr="00B94CD4">
        <w:rPr>
          <w:rFonts w:ascii="Abadi" w:hAnsi="Abadi"/>
          <w:b w:val="0"/>
          <w:bCs w:val="0"/>
          <w:sz w:val="21"/>
          <w:szCs w:val="21"/>
        </w:rPr>
        <w:t>y</w:t>
      </w:r>
      <w:r w:rsidRPr="00B94CD4">
        <w:rPr>
          <w:rFonts w:ascii="Abadi" w:hAnsi="Abadi"/>
          <w:b w:val="0"/>
          <w:bCs w:val="0"/>
          <w:spacing w:val="10"/>
          <w:sz w:val="21"/>
          <w:szCs w:val="21"/>
        </w:rPr>
        <w:t xml:space="preserve"> </w:t>
      </w:r>
      <w:r w:rsidRPr="00B94CD4">
        <w:rPr>
          <w:rFonts w:ascii="Abadi" w:hAnsi="Abadi"/>
          <w:b w:val="0"/>
          <w:bCs w:val="0"/>
          <w:sz w:val="21"/>
          <w:szCs w:val="21"/>
        </w:rPr>
        <w:t>de</w:t>
      </w:r>
      <w:r w:rsidRPr="00B94CD4">
        <w:rPr>
          <w:rFonts w:ascii="Abadi" w:hAnsi="Abadi"/>
          <w:b w:val="0"/>
          <w:bCs w:val="0"/>
          <w:spacing w:val="10"/>
          <w:sz w:val="21"/>
          <w:szCs w:val="21"/>
        </w:rPr>
        <w:t xml:space="preserve"> </w:t>
      </w:r>
      <w:r w:rsidRPr="00B94CD4">
        <w:rPr>
          <w:rFonts w:ascii="Abadi" w:hAnsi="Abadi"/>
          <w:b w:val="0"/>
          <w:bCs w:val="0"/>
          <w:sz w:val="21"/>
          <w:szCs w:val="21"/>
        </w:rPr>
        <w:t>la</w:t>
      </w:r>
      <w:r w:rsidRPr="00B94CD4">
        <w:rPr>
          <w:rFonts w:ascii="Abadi" w:hAnsi="Abadi"/>
          <w:b w:val="0"/>
          <w:bCs w:val="0"/>
          <w:spacing w:val="10"/>
          <w:sz w:val="21"/>
          <w:szCs w:val="21"/>
        </w:rPr>
        <w:t xml:space="preserve"> </w:t>
      </w:r>
      <w:r w:rsidRPr="00B94CD4">
        <w:rPr>
          <w:rFonts w:ascii="Abadi" w:hAnsi="Abadi"/>
          <w:b w:val="0"/>
          <w:bCs w:val="0"/>
          <w:sz w:val="21"/>
          <w:szCs w:val="21"/>
        </w:rPr>
        <w:t>ciudadana</w:t>
      </w:r>
      <w:r w:rsidRPr="00B94CD4">
        <w:rPr>
          <w:rFonts w:ascii="Abadi" w:hAnsi="Abadi"/>
          <w:b w:val="0"/>
          <w:bCs w:val="0"/>
          <w:spacing w:val="10"/>
          <w:sz w:val="21"/>
          <w:szCs w:val="21"/>
        </w:rPr>
        <w:t xml:space="preserve"> </w:t>
      </w:r>
      <w:r w:rsidRPr="00B94CD4">
        <w:rPr>
          <w:rFonts w:ascii="Abadi" w:hAnsi="Abadi"/>
          <w:b w:val="0"/>
          <w:bCs w:val="0"/>
          <w:sz w:val="21"/>
          <w:szCs w:val="21"/>
        </w:rPr>
        <w:t>Ma</w:t>
      </w:r>
      <w:r w:rsidRPr="00B94CD4">
        <w:rPr>
          <w:rFonts w:ascii="Abadi" w:hAnsi="Abadi"/>
          <w:b w:val="0"/>
          <w:bCs w:val="0"/>
          <w:spacing w:val="10"/>
          <w:sz w:val="21"/>
          <w:szCs w:val="21"/>
        </w:rPr>
        <w:t xml:space="preserve"> </w:t>
      </w:r>
      <w:r w:rsidRPr="00B94CD4">
        <w:rPr>
          <w:rFonts w:ascii="Abadi" w:hAnsi="Abadi"/>
          <w:b w:val="0"/>
          <w:bCs w:val="0"/>
          <w:sz w:val="21"/>
          <w:szCs w:val="21"/>
        </w:rPr>
        <w:t>de</w:t>
      </w:r>
      <w:r w:rsidRPr="00B94CD4">
        <w:rPr>
          <w:rFonts w:ascii="Abadi" w:hAnsi="Abadi"/>
          <w:b w:val="0"/>
          <w:bCs w:val="0"/>
          <w:spacing w:val="10"/>
          <w:sz w:val="21"/>
          <w:szCs w:val="21"/>
        </w:rPr>
        <w:t xml:space="preserve"> </w:t>
      </w:r>
      <w:r w:rsidRPr="00B94CD4">
        <w:rPr>
          <w:rFonts w:ascii="Abadi" w:hAnsi="Abadi"/>
          <w:b w:val="0"/>
          <w:bCs w:val="0"/>
          <w:sz w:val="21"/>
          <w:szCs w:val="21"/>
        </w:rPr>
        <w:t>Lourdes</w:t>
      </w:r>
      <w:r w:rsidRPr="00B94CD4">
        <w:rPr>
          <w:rFonts w:ascii="Abadi" w:hAnsi="Abadi"/>
          <w:b w:val="0"/>
          <w:bCs w:val="0"/>
          <w:spacing w:val="10"/>
          <w:sz w:val="21"/>
          <w:szCs w:val="21"/>
        </w:rPr>
        <w:t xml:space="preserve"> </w:t>
      </w:r>
      <w:r w:rsidRPr="00B94CD4">
        <w:rPr>
          <w:rFonts w:ascii="Abadi" w:hAnsi="Abadi"/>
          <w:b w:val="0"/>
          <w:bCs w:val="0"/>
          <w:sz w:val="21"/>
          <w:szCs w:val="21"/>
        </w:rPr>
        <w:t>López</w:t>
      </w:r>
      <w:r w:rsidRPr="00B94CD4">
        <w:rPr>
          <w:rFonts w:ascii="Abadi" w:hAnsi="Abadi"/>
          <w:b w:val="0"/>
          <w:bCs w:val="0"/>
          <w:spacing w:val="10"/>
          <w:sz w:val="21"/>
          <w:szCs w:val="21"/>
        </w:rPr>
        <w:t xml:space="preserve"> </w:t>
      </w:r>
      <w:r w:rsidRPr="00B94CD4">
        <w:rPr>
          <w:rFonts w:ascii="Abadi" w:hAnsi="Abadi"/>
          <w:b w:val="0"/>
          <w:bCs w:val="0"/>
          <w:sz w:val="21"/>
          <w:szCs w:val="21"/>
        </w:rPr>
        <w:t>Ramírez,</w:t>
      </w:r>
      <w:r w:rsidRPr="00B94CD4">
        <w:rPr>
          <w:rFonts w:ascii="Abadi" w:hAnsi="Abadi"/>
          <w:b w:val="0"/>
          <w:bCs w:val="0"/>
          <w:spacing w:val="9"/>
          <w:sz w:val="21"/>
          <w:szCs w:val="21"/>
        </w:rPr>
        <w:t xml:space="preserve"> </w:t>
      </w:r>
      <w:r w:rsidRPr="00B94CD4">
        <w:rPr>
          <w:rFonts w:ascii="Abadi" w:hAnsi="Abadi"/>
          <w:b w:val="0"/>
          <w:bCs w:val="0"/>
          <w:sz w:val="21"/>
          <w:szCs w:val="21"/>
        </w:rPr>
        <w:t>como</w:t>
      </w:r>
      <w:r w:rsidRPr="00B94CD4">
        <w:rPr>
          <w:rFonts w:ascii="Abadi" w:hAnsi="Abadi"/>
          <w:b w:val="0"/>
          <w:bCs w:val="0"/>
          <w:spacing w:val="10"/>
          <w:sz w:val="21"/>
          <w:szCs w:val="21"/>
        </w:rPr>
        <w:t xml:space="preserve"> </w:t>
      </w:r>
      <w:r w:rsidRPr="00B94CD4">
        <w:rPr>
          <w:rFonts w:ascii="Abadi" w:hAnsi="Abadi"/>
          <w:b w:val="0"/>
          <w:bCs w:val="0"/>
          <w:sz w:val="21"/>
          <w:szCs w:val="21"/>
        </w:rPr>
        <w:t>titular del</w:t>
      </w:r>
      <w:r w:rsidRPr="00B94CD4">
        <w:rPr>
          <w:rFonts w:ascii="Abadi" w:hAnsi="Abadi"/>
          <w:b w:val="0"/>
          <w:bCs w:val="0"/>
          <w:spacing w:val="59"/>
          <w:sz w:val="21"/>
          <w:szCs w:val="21"/>
        </w:rPr>
        <w:t xml:space="preserve"> </w:t>
      </w:r>
      <w:r w:rsidRPr="00B94CD4">
        <w:rPr>
          <w:rFonts w:ascii="Abadi" w:hAnsi="Abadi"/>
          <w:b w:val="0"/>
          <w:bCs w:val="0"/>
          <w:sz w:val="21"/>
          <w:szCs w:val="21"/>
        </w:rPr>
        <w:t>Órgano</w:t>
      </w:r>
      <w:r w:rsidRPr="00B94CD4">
        <w:rPr>
          <w:rFonts w:ascii="Abadi" w:hAnsi="Abadi"/>
          <w:b w:val="0"/>
          <w:bCs w:val="0"/>
          <w:spacing w:val="59"/>
          <w:sz w:val="21"/>
          <w:szCs w:val="21"/>
        </w:rPr>
        <w:t xml:space="preserve"> </w:t>
      </w:r>
      <w:r w:rsidRPr="00B94CD4">
        <w:rPr>
          <w:rFonts w:ascii="Abadi" w:hAnsi="Abadi"/>
          <w:b w:val="0"/>
          <w:bCs w:val="0"/>
          <w:sz w:val="21"/>
          <w:szCs w:val="21"/>
        </w:rPr>
        <w:t>Interno</w:t>
      </w:r>
      <w:r w:rsidRPr="00B94CD4">
        <w:rPr>
          <w:rFonts w:ascii="Abadi" w:hAnsi="Abadi"/>
          <w:b w:val="0"/>
          <w:bCs w:val="0"/>
          <w:spacing w:val="59"/>
          <w:sz w:val="21"/>
          <w:szCs w:val="21"/>
        </w:rPr>
        <w:t xml:space="preserve"> </w:t>
      </w:r>
      <w:r w:rsidRPr="00B94CD4">
        <w:rPr>
          <w:rFonts w:ascii="Abadi" w:hAnsi="Abadi"/>
          <w:b w:val="0"/>
          <w:bCs w:val="0"/>
          <w:sz w:val="21"/>
          <w:szCs w:val="21"/>
        </w:rPr>
        <w:t>de</w:t>
      </w:r>
      <w:r w:rsidRPr="00B94CD4">
        <w:rPr>
          <w:rFonts w:ascii="Abadi" w:hAnsi="Abadi"/>
          <w:b w:val="0"/>
          <w:bCs w:val="0"/>
          <w:spacing w:val="59"/>
          <w:sz w:val="21"/>
          <w:szCs w:val="21"/>
        </w:rPr>
        <w:t xml:space="preserve"> </w:t>
      </w:r>
      <w:r w:rsidRPr="00B94CD4">
        <w:rPr>
          <w:rFonts w:ascii="Abadi" w:hAnsi="Abadi"/>
          <w:b w:val="0"/>
          <w:bCs w:val="0"/>
          <w:sz w:val="21"/>
          <w:szCs w:val="21"/>
        </w:rPr>
        <w:t>Control</w:t>
      </w:r>
      <w:r w:rsidRPr="00B94CD4">
        <w:rPr>
          <w:rFonts w:ascii="Abadi" w:hAnsi="Abadi"/>
          <w:b w:val="0"/>
          <w:bCs w:val="0"/>
          <w:spacing w:val="58"/>
          <w:sz w:val="21"/>
          <w:szCs w:val="21"/>
        </w:rPr>
        <w:t xml:space="preserve"> </w:t>
      </w:r>
      <w:r w:rsidRPr="00B94CD4">
        <w:rPr>
          <w:rFonts w:ascii="Abadi" w:hAnsi="Abadi"/>
          <w:b w:val="0"/>
          <w:bCs w:val="0"/>
          <w:sz w:val="21"/>
          <w:szCs w:val="21"/>
        </w:rPr>
        <w:t>del</w:t>
      </w:r>
      <w:r w:rsidRPr="00B94CD4">
        <w:rPr>
          <w:rFonts w:ascii="Abadi" w:hAnsi="Abadi"/>
          <w:b w:val="0"/>
          <w:bCs w:val="0"/>
          <w:spacing w:val="59"/>
          <w:sz w:val="21"/>
          <w:szCs w:val="21"/>
        </w:rPr>
        <w:t xml:space="preserve"> </w:t>
      </w:r>
      <w:r w:rsidRPr="00B94CD4">
        <w:rPr>
          <w:rFonts w:ascii="Abadi" w:hAnsi="Abadi"/>
          <w:b w:val="0"/>
          <w:bCs w:val="0"/>
          <w:sz w:val="21"/>
          <w:szCs w:val="21"/>
        </w:rPr>
        <w:t>Instituto</w:t>
      </w:r>
      <w:r w:rsidRPr="00B94CD4">
        <w:rPr>
          <w:rFonts w:ascii="Abadi" w:hAnsi="Abadi"/>
          <w:b w:val="0"/>
          <w:bCs w:val="0"/>
          <w:spacing w:val="59"/>
          <w:sz w:val="21"/>
          <w:szCs w:val="21"/>
        </w:rPr>
        <w:t xml:space="preserve"> </w:t>
      </w:r>
      <w:r w:rsidRPr="00B94CD4">
        <w:rPr>
          <w:rFonts w:ascii="Abadi" w:hAnsi="Abadi"/>
          <w:b w:val="0"/>
          <w:bCs w:val="0"/>
          <w:sz w:val="21"/>
          <w:szCs w:val="21"/>
        </w:rPr>
        <w:t>de</w:t>
      </w:r>
      <w:r w:rsidRPr="00B94CD4">
        <w:rPr>
          <w:rFonts w:ascii="Abadi" w:hAnsi="Abadi"/>
          <w:b w:val="0"/>
          <w:bCs w:val="0"/>
          <w:spacing w:val="59"/>
          <w:sz w:val="21"/>
          <w:szCs w:val="21"/>
        </w:rPr>
        <w:t xml:space="preserve"> </w:t>
      </w:r>
      <w:r w:rsidRPr="00B94CD4">
        <w:rPr>
          <w:rFonts w:ascii="Abadi" w:hAnsi="Abadi"/>
          <w:b w:val="0"/>
          <w:bCs w:val="0"/>
          <w:sz w:val="21"/>
          <w:szCs w:val="21"/>
        </w:rPr>
        <w:t>Acceso</w:t>
      </w:r>
      <w:r w:rsidRPr="00B94CD4">
        <w:rPr>
          <w:rFonts w:ascii="Abadi" w:hAnsi="Abadi"/>
          <w:b w:val="0"/>
          <w:bCs w:val="0"/>
          <w:spacing w:val="59"/>
          <w:sz w:val="21"/>
          <w:szCs w:val="21"/>
        </w:rPr>
        <w:t xml:space="preserve"> </w:t>
      </w:r>
      <w:r w:rsidRPr="00B94CD4">
        <w:rPr>
          <w:rFonts w:ascii="Abadi" w:hAnsi="Abadi"/>
          <w:b w:val="0"/>
          <w:bCs w:val="0"/>
          <w:sz w:val="21"/>
          <w:szCs w:val="21"/>
        </w:rPr>
        <w:t>a</w:t>
      </w:r>
      <w:r w:rsidRPr="00B94CD4">
        <w:rPr>
          <w:rFonts w:ascii="Abadi" w:hAnsi="Abadi"/>
          <w:b w:val="0"/>
          <w:bCs w:val="0"/>
          <w:spacing w:val="59"/>
          <w:sz w:val="21"/>
          <w:szCs w:val="21"/>
        </w:rPr>
        <w:t xml:space="preserve"> </w:t>
      </w:r>
      <w:r w:rsidRPr="00B94CD4">
        <w:rPr>
          <w:rFonts w:ascii="Abadi" w:hAnsi="Abadi"/>
          <w:b w:val="0"/>
          <w:bCs w:val="0"/>
          <w:sz w:val="21"/>
          <w:szCs w:val="21"/>
        </w:rPr>
        <w:t>la</w:t>
      </w:r>
      <w:r w:rsidRPr="00B94CD4">
        <w:rPr>
          <w:rFonts w:ascii="Abadi" w:hAnsi="Abadi"/>
          <w:b w:val="0"/>
          <w:bCs w:val="0"/>
          <w:spacing w:val="59"/>
          <w:sz w:val="21"/>
          <w:szCs w:val="21"/>
        </w:rPr>
        <w:t xml:space="preserve"> </w:t>
      </w:r>
      <w:r w:rsidRPr="00B94CD4">
        <w:rPr>
          <w:rFonts w:ascii="Abadi" w:hAnsi="Abadi"/>
          <w:b w:val="0"/>
          <w:bCs w:val="0"/>
          <w:sz w:val="21"/>
          <w:szCs w:val="21"/>
        </w:rPr>
        <w:t xml:space="preserve">Información Pública para el Estado de Guanajuato. </w:t>
      </w:r>
      <w:r w:rsidRPr="00B94CD4">
        <w:rPr>
          <w:rFonts w:ascii="Abadi" w:hAnsi="Abadi"/>
          <w:sz w:val="21"/>
          <w:szCs w:val="21"/>
        </w:rPr>
        <w:t>V.-</w:t>
      </w:r>
      <w:r w:rsidRPr="00B94CD4">
        <w:rPr>
          <w:rFonts w:ascii="Abadi" w:hAnsi="Abadi"/>
          <w:b w:val="0"/>
          <w:bCs w:val="0"/>
          <w:sz w:val="21"/>
          <w:szCs w:val="21"/>
        </w:rPr>
        <w:t xml:space="preserve"> Presentación</w:t>
      </w:r>
      <w:r w:rsidRPr="00B94CD4">
        <w:rPr>
          <w:rFonts w:ascii="Abadi" w:hAnsi="Abadi"/>
          <w:b w:val="0"/>
          <w:bCs w:val="0"/>
          <w:spacing w:val="-5"/>
          <w:sz w:val="21"/>
          <w:szCs w:val="21"/>
        </w:rPr>
        <w:t xml:space="preserve"> </w:t>
      </w:r>
      <w:r w:rsidRPr="00B94CD4">
        <w:rPr>
          <w:rFonts w:ascii="Abadi" w:hAnsi="Abadi"/>
          <w:b w:val="0"/>
          <w:bCs w:val="0"/>
          <w:sz w:val="21"/>
          <w:szCs w:val="21"/>
        </w:rPr>
        <w:t>de</w:t>
      </w:r>
      <w:r w:rsidRPr="00B94CD4">
        <w:rPr>
          <w:rFonts w:ascii="Abadi" w:hAnsi="Abadi"/>
          <w:b w:val="0"/>
          <w:bCs w:val="0"/>
          <w:spacing w:val="-5"/>
          <w:sz w:val="21"/>
          <w:szCs w:val="21"/>
        </w:rPr>
        <w:t xml:space="preserve"> </w:t>
      </w:r>
      <w:r w:rsidRPr="00B94CD4">
        <w:rPr>
          <w:rFonts w:ascii="Abadi" w:hAnsi="Abadi"/>
          <w:b w:val="0"/>
          <w:bCs w:val="0"/>
          <w:sz w:val="21"/>
          <w:szCs w:val="21"/>
        </w:rPr>
        <w:t>la</w:t>
      </w:r>
      <w:r w:rsidRPr="00B94CD4">
        <w:rPr>
          <w:rFonts w:ascii="Abadi" w:hAnsi="Abadi"/>
          <w:b w:val="0"/>
          <w:bCs w:val="0"/>
          <w:spacing w:val="-5"/>
          <w:sz w:val="21"/>
          <w:szCs w:val="21"/>
        </w:rPr>
        <w:t xml:space="preserve"> </w:t>
      </w:r>
      <w:r w:rsidRPr="00B94CD4">
        <w:rPr>
          <w:rFonts w:ascii="Abadi" w:hAnsi="Abadi"/>
          <w:b w:val="0"/>
          <w:bCs w:val="0"/>
          <w:sz w:val="21"/>
          <w:szCs w:val="21"/>
        </w:rPr>
        <w:t>iniciativa</w:t>
      </w:r>
      <w:r w:rsidRPr="00B94CD4">
        <w:rPr>
          <w:rFonts w:ascii="Abadi" w:hAnsi="Abadi"/>
          <w:b w:val="0"/>
          <w:bCs w:val="0"/>
          <w:spacing w:val="-5"/>
          <w:sz w:val="21"/>
          <w:szCs w:val="21"/>
        </w:rPr>
        <w:t xml:space="preserve"> </w:t>
      </w:r>
      <w:r w:rsidRPr="00B94CD4">
        <w:rPr>
          <w:rFonts w:ascii="Abadi" w:hAnsi="Abadi"/>
          <w:b w:val="0"/>
          <w:bCs w:val="0"/>
          <w:sz w:val="21"/>
          <w:szCs w:val="21"/>
        </w:rPr>
        <w:t>formulada</w:t>
      </w:r>
      <w:r w:rsidRPr="00B94CD4">
        <w:rPr>
          <w:rFonts w:ascii="Abadi" w:hAnsi="Abadi"/>
          <w:b w:val="0"/>
          <w:bCs w:val="0"/>
          <w:spacing w:val="-5"/>
          <w:sz w:val="21"/>
          <w:szCs w:val="21"/>
        </w:rPr>
        <w:t xml:space="preserve"> </w:t>
      </w:r>
      <w:r w:rsidRPr="00B94CD4">
        <w:rPr>
          <w:rFonts w:ascii="Abadi" w:hAnsi="Abadi"/>
          <w:b w:val="0"/>
          <w:bCs w:val="0"/>
          <w:sz w:val="21"/>
          <w:szCs w:val="21"/>
        </w:rPr>
        <w:t>por</w:t>
      </w:r>
      <w:r w:rsidRPr="00B94CD4">
        <w:rPr>
          <w:rFonts w:ascii="Abadi" w:hAnsi="Abadi"/>
          <w:b w:val="0"/>
          <w:bCs w:val="0"/>
          <w:spacing w:val="-5"/>
          <w:sz w:val="21"/>
          <w:szCs w:val="21"/>
        </w:rPr>
        <w:t xml:space="preserve"> </w:t>
      </w:r>
      <w:r w:rsidRPr="00B94CD4">
        <w:rPr>
          <w:rFonts w:ascii="Abadi" w:hAnsi="Abadi"/>
          <w:b w:val="0"/>
          <w:bCs w:val="0"/>
          <w:sz w:val="21"/>
          <w:szCs w:val="21"/>
        </w:rPr>
        <w:t>diputada</w:t>
      </w:r>
      <w:r w:rsidRPr="00B94CD4">
        <w:rPr>
          <w:rFonts w:ascii="Abadi" w:hAnsi="Abadi"/>
          <w:b w:val="0"/>
          <w:bCs w:val="0"/>
          <w:spacing w:val="-5"/>
          <w:sz w:val="21"/>
          <w:szCs w:val="21"/>
        </w:rPr>
        <w:t xml:space="preserve"> </w:t>
      </w:r>
      <w:r w:rsidRPr="00B94CD4">
        <w:rPr>
          <w:rFonts w:ascii="Abadi" w:hAnsi="Abadi"/>
          <w:b w:val="0"/>
          <w:bCs w:val="0"/>
          <w:sz w:val="21"/>
          <w:szCs w:val="21"/>
        </w:rPr>
        <w:t>y</w:t>
      </w:r>
      <w:r w:rsidRPr="00B94CD4">
        <w:rPr>
          <w:rFonts w:ascii="Abadi" w:hAnsi="Abadi"/>
          <w:b w:val="0"/>
          <w:bCs w:val="0"/>
          <w:spacing w:val="-5"/>
          <w:sz w:val="21"/>
          <w:szCs w:val="21"/>
        </w:rPr>
        <w:t xml:space="preserve"> </w:t>
      </w:r>
      <w:r w:rsidRPr="00B94CD4">
        <w:rPr>
          <w:rFonts w:ascii="Abadi" w:hAnsi="Abadi"/>
          <w:b w:val="0"/>
          <w:bCs w:val="0"/>
          <w:sz w:val="21"/>
          <w:szCs w:val="21"/>
        </w:rPr>
        <w:t>diputados</w:t>
      </w:r>
      <w:r w:rsidRPr="00B94CD4">
        <w:rPr>
          <w:rFonts w:ascii="Abadi" w:hAnsi="Abadi"/>
          <w:b w:val="0"/>
          <w:bCs w:val="0"/>
          <w:spacing w:val="-5"/>
          <w:sz w:val="21"/>
          <w:szCs w:val="21"/>
        </w:rPr>
        <w:t xml:space="preserve"> </w:t>
      </w:r>
      <w:r w:rsidRPr="00B94CD4">
        <w:rPr>
          <w:rFonts w:ascii="Abadi" w:hAnsi="Abadi"/>
          <w:b w:val="0"/>
          <w:bCs w:val="0"/>
          <w:sz w:val="21"/>
          <w:szCs w:val="21"/>
        </w:rPr>
        <w:t>integrantes del</w:t>
      </w:r>
      <w:r w:rsidRPr="00B94CD4">
        <w:rPr>
          <w:rFonts w:ascii="Abadi" w:hAnsi="Abadi"/>
          <w:b w:val="0"/>
          <w:bCs w:val="0"/>
          <w:spacing w:val="-6"/>
          <w:sz w:val="21"/>
          <w:szCs w:val="21"/>
        </w:rPr>
        <w:t xml:space="preserve"> </w:t>
      </w:r>
      <w:r w:rsidRPr="00B94CD4">
        <w:rPr>
          <w:rFonts w:ascii="Abadi" w:hAnsi="Abadi"/>
          <w:b w:val="0"/>
          <w:bCs w:val="0"/>
          <w:sz w:val="21"/>
          <w:szCs w:val="21"/>
        </w:rPr>
        <w:t>Grupo</w:t>
      </w:r>
      <w:r w:rsidRPr="00B94CD4">
        <w:rPr>
          <w:rFonts w:ascii="Abadi" w:hAnsi="Abadi"/>
          <w:b w:val="0"/>
          <w:bCs w:val="0"/>
          <w:spacing w:val="-6"/>
          <w:sz w:val="21"/>
          <w:szCs w:val="21"/>
        </w:rPr>
        <w:t xml:space="preserve"> </w:t>
      </w:r>
      <w:r w:rsidRPr="00B94CD4">
        <w:rPr>
          <w:rFonts w:ascii="Abadi" w:hAnsi="Abadi"/>
          <w:b w:val="0"/>
          <w:bCs w:val="0"/>
          <w:sz w:val="21"/>
          <w:szCs w:val="21"/>
        </w:rPr>
        <w:t>Parlamentario</w:t>
      </w:r>
      <w:r w:rsidRPr="00B94CD4">
        <w:rPr>
          <w:rFonts w:ascii="Abadi" w:hAnsi="Abadi"/>
          <w:b w:val="0"/>
          <w:bCs w:val="0"/>
          <w:spacing w:val="-6"/>
          <w:sz w:val="21"/>
          <w:szCs w:val="21"/>
        </w:rPr>
        <w:t xml:space="preserve"> </w:t>
      </w:r>
      <w:r w:rsidRPr="00B94CD4">
        <w:rPr>
          <w:rFonts w:ascii="Abadi" w:hAnsi="Abadi"/>
          <w:b w:val="0"/>
          <w:bCs w:val="0"/>
          <w:sz w:val="21"/>
          <w:szCs w:val="21"/>
        </w:rPr>
        <w:t>del</w:t>
      </w:r>
      <w:r w:rsidRPr="00B94CD4">
        <w:rPr>
          <w:rFonts w:ascii="Abadi" w:hAnsi="Abadi"/>
          <w:b w:val="0"/>
          <w:bCs w:val="0"/>
          <w:spacing w:val="-6"/>
          <w:sz w:val="21"/>
          <w:szCs w:val="21"/>
        </w:rPr>
        <w:t xml:space="preserve"> </w:t>
      </w:r>
      <w:r w:rsidRPr="00B94CD4">
        <w:rPr>
          <w:rFonts w:ascii="Abadi" w:hAnsi="Abadi"/>
          <w:b w:val="0"/>
          <w:bCs w:val="0"/>
          <w:sz w:val="21"/>
          <w:szCs w:val="21"/>
        </w:rPr>
        <w:t>Partido</w:t>
      </w:r>
      <w:r w:rsidRPr="00B94CD4">
        <w:rPr>
          <w:rFonts w:ascii="Abadi" w:hAnsi="Abadi"/>
          <w:b w:val="0"/>
          <w:bCs w:val="0"/>
          <w:spacing w:val="-6"/>
          <w:sz w:val="21"/>
          <w:szCs w:val="21"/>
        </w:rPr>
        <w:t xml:space="preserve"> </w:t>
      </w:r>
      <w:r w:rsidRPr="00B94CD4">
        <w:rPr>
          <w:rFonts w:ascii="Abadi" w:hAnsi="Abadi"/>
          <w:b w:val="0"/>
          <w:bCs w:val="0"/>
          <w:sz w:val="21"/>
          <w:szCs w:val="21"/>
        </w:rPr>
        <w:t>Revolucionario</w:t>
      </w:r>
      <w:r w:rsidRPr="00B94CD4">
        <w:rPr>
          <w:rFonts w:ascii="Abadi" w:hAnsi="Abadi"/>
          <w:b w:val="0"/>
          <w:bCs w:val="0"/>
          <w:spacing w:val="-6"/>
          <w:sz w:val="21"/>
          <w:szCs w:val="21"/>
        </w:rPr>
        <w:t xml:space="preserve"> </w:t>
      </w:r>
      <w:r w:rsidRPr="00B94CD4">
        <w:rPr>
          <w:rFonts w:ascii="Abadi" w:hAnsi="Abadi"/>
          <w:b w:val="0"/>
          <w:bCs w:val="0"/>
          <w:sz w:val="21"/>
          <w:szCs w:val="21"/>
        </w:rPr>
        <w:t>Institucional</w:t>
      </w:r>
      <w:r w:rsidRPr="00B94CD4">
        <w:rPr>
          <w:rFonts w:ascii="Abadi" w:hAnsi="Abadi"/>
          <w:b w:val="0"/>
          <w:bCs w:val="0"/>
          <w:spacing w:val="-7"/>
          <w:sz w:val="21"/>
          <w:szCs w:val="21"/>
        </w:rPr>
        <w:t xml:space="preserve"> </w:t>
      </w:r>
      <w:r w:rsidRPr="00B94CD4">
        <w:rPr>
          <w:rFonts w:ascii="Abadi" w:hAnsi="Abadi"/>
          <w:b w:val="0"/>
          <w:bCs w:val="0"/>
          <w:sz w:val="21"/>
          <w:szCs w:val="21"/>
        </w:rPr>
        <w:t>a</w:t>
      </w:r>
      <w:r w:rsidRPr="00B94CD4">
        <w:rPr>
          <w:rFonts w:ascii="Abadi" w:hAnsi="Abadi"/>
          <w:b w:val="0"/>
          <w:bCs w:val="0"/>
          <w:spacing w:val="-6"/>
          <w:sz w:val="21"/>
          <w:szCs w:val="21"/>
        </w:rPr>
        <w:t xml:space="preserve"> </w:t>
      </w:r>
      <w:r w:rsidRPr="00B94CD4">
        <w:rPr>
          <w:rFonts w:ascii="Abadi" w:hAnsi="Abadi"/>
          <w:b w:val="0"/>
          <w:bCs w:val="0"/>
          <w:sz w:val="21"/>
          <w:szCs w:val="21"/>
        </w:rPr>
        <w:t>efecto</w:t>
      </w:r>
      <w:r w:rsidRPr="00B94CD4">
        <w:rPr>
          <w:rFonts w:ascii="Abadi" w:hAnsi="Abadi"/>
          <w:b w:val="0"/>
          <w:bCs w:val="0"/>
          <w:spacing w:val="-6"/>
          <w:sz w:val="21"/>
          <w:szCs w:val="21"/>
        </w:rPr>
        <w:t xml:space="preserve"> </w:t>
      </w:r>
      <w:r w:rsidRPr="00B94CD4">
        <w:rPr>
          <w:rFonts w:ascii="Abadi" w:hAnsi="Abadi"/>
          <w:b w:val="0"/>
          <w:bCs w:val="0"/>
          <w:sz w:val="21"/>
          <w:szCs w:val="21"/>
        </w:rPr>
        <w:t>de reformar</w:t>
      </w:r>
      <w:r w:rsidRPr="00B94CD4">
        <w:rPr>
          <w:rFonts w:ascii="Abadi" w:hAnsi="Abadi"/>
          <w:b w:val="0"/>
          <w:bCs w:val="0"/>
          <w:spacing w:val="40"/>
          <w:sz w:val="21"/>
          <w:szCs w:val="21"/>
        </w:rPr>
        <w:t xml:space="preserve"> </w:t>
      </w:r>
      <w:r w:rsidRPr="00B94CD4">
        <w:rPr>
          <w:rFonts w:ascii="Abadi" w:hAnsi="Abadi"/>
          <w:b w:val="0"/>
          <w:bCs w:val="0"/>
          <w:sz w:val="21"/>
          <w:szCs w:val="21"/>
        </w:rPr>
        <w:t>y</w:t>
      </w:r>
      <w:r w:rsidRPr="00B94CD4">
        <w:rPr>
          <w:rFonts w:ascii="Abadi" w:hAnsi="Abadi"/>
          <w:b w:val="0"/>
          <w:bCs w:val="0"/>
          <w:spacing w:val="40"/>
          <w:sz w:val="21"/>
          <w:szCs w:val="21"/>
        </w:rPr>
        <w:t xml:space="preserve"> </w:t>
      </w:r>
      <w:r w:rsidRPr="00B94CD4">
        <w:rPr>
          <w:rFonts w:ascii="Abadi" w:hAnsi="Abadi"/>
          <w:b w:val="0"/>
          <w:bCs w:val="0"/>
          <w:sz w:val="21"/>
          <w:szCs w:val="21"/>
        </w:rPr>
        <w:t>adicionar</w:t>
      </w:r>
      <w:r w:rsidRPr="00B94CD4">
        <w:rPr>
          <w:rFonts w:ascii="Abadi" w:hAnsi="Abadi"/>
          <w:b w:val="0"/>
          <w:bCs w:val="0"/>
          <w:spacing w:val="40"/>
          <w:sz w:val="21"/>
          <w:szCs w:val="21"/>
        </w:rPr>
        <w:t xml:space="preserve"> </w:t>
      </w:r>
      <w:r w:rsidRPr="00B94CD4">
        <w:rPr>
          <w:rFonts w:ascii="Abadi" w:hAnsi="Abadi"/>
          <w:b w:val="0"/>
          <w:bCs w:val="0"/>
          <w:sz w:val="21"/>
          <w:szCs w:val="21"/>
        </w:rPr>
        <w:t>diversas</w:t>
      </w:r>
      <w:r w:rsidRPr="00B94CD4">
        <w:rPr>
          <w:rFonts w:ascii="Abadi" w:hAnsi="Abadi"/>
          <w:b w:val="0"/>
          <w:bCs w:val="0"/>
          <w:spacing w:val="40"/>
          <w:sz w:val="21"/>
          <w:szCs w:val="21"/>
        </w:rPr>
        <w:t xml:space="preserve"> </w:t>
      </w:r>
      <w:r w:rsidRPr="00B94CD4">
        <w:rPr>
          <w:rFonts w:ascii="Abadi" w:hAnsi="Abadi"/>
          <w:b w:val="0"/>
          <w:bCs w:val="0"/>
          <w:sz w:val="21"/>
          <w:szCs w:val="21"/>
        </w:rPr>
        <w:t>disposiciones</w:t>
      </w:r>
      <w:r w:rsidRPr="00B94CD4">
        <w:rPr>
          <w:rFonts w:ascii="Abadi" w:hAnsi="Abadi"/>
          <w:b w:val="0"/>
          <w:bCs w:val="0"/>
          <w:spacing w:val="40"/>
          <w:sz w:val="21"/>
          <w:szCs w:val="21"/>
        </w:rPr>
        <w:t xml:space="preserve"> </w:t>
      </w:r>
      <w:r w:rsidRPr="00B94CD4">
        <w:rPr>
          <w:rFonts w:ascii="Abadi" w:hAnsi="Abadi"/>
          <w:b w:val="0"/>
          <w:bCs w:val="0"/>
          <w:sz w:val="21"/>
          <w:szCs w:val="21"/>
        </w:rPr>
        <w:t>a</w:t>
      </w:r>
      <w:r w:rsidRPr="00B94CD4">
        <w:rPr>
          <w:rFonts w:ascii="Abadi" w:hAnsi="Abadi"/>
          <w:b w:val="0"/>
          <w:bCs w:val="0"/>
          <w:spacing w:val="40"/>
          <w:sz w:val="21"/>
          <w:szCs w:val="21"/>
        </w:rPr>
        <w:t xml:space="preserve"> </w:t>
      </w:r>
      <w:r w:rsidRPr="00B94CD4">
        <w:rPr>
          <w:rFonts w:ascii="Abadi" w:hAnsi="Abadi"/>
          <w:b w:val="0"/>
          <w:bCs w:val="0"/>
          <w:sz w:val="21"/>
          <w:szCs w:val="21"/>
        </w:rPr>
        <w:t>la</w:t>
      </w:r>
      <w:r w:rsidRPr="00B94CD4">
        <w:rPr>
          <w:rFonts w:ascii="Abadi" w:hAnsi="Abadi"/>
          <w:b w:val="0"/>
          <w:bCs w:val="0"/>
          <w:spacing w:val="40"/>
          <w:sz w:val="21"/>
          <w:szCs w:val="21"/>
        </w:rPr>
        <w:t xml:space="preserve"> </w:t>
      </w:r>
      <w:r w:rsidRPr="00B94CD4">
        <w:rPr>
          <w:rFonts w:ascii="Abadi" w:hAnsi="Abadi"/>
          <w:b w:val="0"/>
          <w:bCs w:val="0"/>
          <w:sz w:val="21"/>
          <w:szCs w:val="21"/>
        </w:rPr>
        <w:t>Ley</w:t>
      </w:r>
      <w:r w:rsidRPr="00B94CD4">
        <w:rPr>
          <w:rFonts w:ascii="Abadi" w:hAnsi="Abadi"/>
          <w:b w:val="0"/>
          <w:bCs w:val="0"/>
          <w:spacing w:val="40"/>
          <w:sz w:val="21"/>
          <w:szCs w:val="21"/>
        </w:rPr>
        <w:t xml:space="preserve"> </w:t>
      </w:r>
      <w:r w:rsidRPr="00B94CD4">
        <w:rPr>
          <w:rFonts w:ascii="Abadi" w:hAnsi="Abadi"/>
          <w:b w:val="0"/>
          <w:bCs w:val="0"/>
          <w:sz w:val="21"/>
          <w:szCs w:val="21"/>
        </w:rPr>
        <w:t>Orgánica</w:t>
      </w:r>
      <w:r w:rsidRPr="00B94CD4">
        <w:rPr>
          <w:rFonts w:ascii="Abadi" w:hAnsi="Abadi"/>
          <w:b w:val="0"/>
          <w:bCs w:val="0"/>
          <w:spacing w:val="40"/>
          <w:sz w:val="21"/>
          <w:szCs w:val="21"/>
        </w:rPr>
        <w:t xml:space="preserve"> </w:t>
      </w:r>
      <w:r w:rsidRPr="00B94CD4">
        <w:rPr>
          <w:rFonts w:ascii="Abadi" w:hAnsi="Abadi"/>
          <w:b w:val="0"/>
          <w:bCs w:val="0"/>
          <w:sz w:val="21"/>
          <w:szCs w:val="21"/>
        </w:rPr>
        <w:t>del</w:t>
      </w:r>
      <w:r w:rsidRPr="00B94CD4">
        <w:rPr>
          <w:rFonts w:ascii="Abadi" w:hAnsi="Abadi"/>
          <w:b w:val="0"/>
          <w:bCs w:val="0"/>
          <w:spacing w:val="40"/>
          <w:sz w:val="21"/>
          <w:szCs w:val="21"/>
        </w:rPr>
        <w:t xml:space="preserve"> </w:t>
      </w:r>
      <w:r w:rsidRPr="00B94CD4">
        <w:rPr>
          <w:rFonts w:ascii="Abadi" w:hAnsi="Abadi"/>
          <w:b w:val="0"/>
          <w:bCs w:val="0"/>
          <w:sz w:val="21"/>
          <w:szCs w:val="21"/>
        </w:rPr>
        <w:t xml:space="preserve">Poder Legislativo del Estado de Guanajuato. </w:t>
      </w:r>
      <w:r w:rsidRPr="00B94CD4">
        <w:rPr>
          <w:rFonts w:ascii="Abadi" w:hAnsi="Abadi"/>
          <w:sz w:val="21"/>
          <w:szCs w:val="21"/>
        </w:rPr>
        <w:t>VI.-</w:t>
      </w:r>
      <w:r w:rsidRPr="00B94CD4">
        <w:rPr>
          <w:rFonts w:ascii="Abadi" w:hAnsi="Abadi"/>
          <w:b w:val="0"/>
          <w:bCs w:val="0"/>
          <w:sz w:val="21"/>
          <w:szCs w:val="21"/>
        </w:rPr>
        <w:t xml:space="preserve"> Presentación</w:t>
      </w:r>
      <w:r w:rsidRPr="00B94CD4">
        <w:rPr>
          <w:rFonts w:ascii="Abadi" w:hAnsi="Abadi"/>
          <w:b w:val="0"/>
          <w:bCs w:val="0"/>
          <w:spacing w:val="33"/>
          <w:sz w:val="21"/>
          <w:szCs w:val="21"/>
        </w:rPr>
        <w:t xml:space="preserve"> </w:t>
      </w:r>
      <w:r w:rsidRPr="00B94CD4">
        <w:rPr>
          <w:rFonts w:ascii="Abadi" w:hAnsi="Abadi"/>
          <w:b w:val="0"/>
          <w:bCs w:val="0"/>
          <w:sz w:val="21"/>
          <w:szCs w:val="21"/>
        </w:rPr>
        <w:t>de</w:t>
      </w:r>
      <w:r w:rsidRPr="00B94CD4">
        <w:rPr>
          <w:rFonts w:ascii="Abadi" w:hAnsi="Abadi"/>
          <w:b w:val="0"/>
          <w:bCs w:val="0"/>
          <w:spacing w:val="33"/>
          <w:sz w:val="21"/>
          <w:szCs w:val="21"/>
        </w:rPr>
        <w:t xml:space="preserve"> </w:t>
      </w:r>
      <w:r w:rsidRPr="00B94CD4">
        <w:rPr>
          <w:rFonts w:ascii="Abadi" w:hAnsi="Abadi"/>
          <w:b w:val="0"/>
          <w:bCs w:val="0"/>
          <w:sz w:val="21"/>
          <w:szCs w:val="21"/>
        </w:rPr>
        <w:t>la</w:t>
      </w:r>
      <w:r w:rsidRPr="00B94CD4">
        <w:rPr>
          <w:rFonts w:ascii="Abadi" w:hAnsi="Abadi"/>
          <w:b w:val="0"/>
          <w:bCs w:val="0"/>
          <w:spacing w:val="33"/>
          <w:sz w:val="21"/>
          <w:szCs w:val="21"/>
        </w:rPr>
        <w:t xml:space="preserve"> </w:t>
      </w:r>
      <w:r w:rsidRPr="00B94CD4">
        <w:rPr>
          <w:rFonts w:ascii="Abadi" w:hAnsi="Abadi"/>
          <w:b w:val="0"/>
          <w:bCs w:val="0"/>
          <w:sz w:val="21"/>
          <w:szCs w:val="21"/>
        </w:rPr>
        <w:t>iniciativa</w:t>
      </w:r>
      <w:r w:rsidRPr="00B94CD4">
        <w:rPr>
          <w:rFonts w:ascii="Abadi" w:hAnsi="Abadi"/>
          <w:b w:val="0"/>
          <w:bCs w:val="0"/>
          <w:spacing w:val="33"/>
          <w:sz w:val="21"/>
          <w:szCs w:val="21"/>
        </w:rPr>
        <w:t xml:space="preserve"> </w:t>
      </w:r>
      <w:r w:rsidRPr="00B94CD4">
        <w:rPr>
          <w:rFonts w:ascii="Abadi" w:hAnsi="Abadi"/>
          <w:b w:val="0"/>
          <w:bCs w:val="0"/>
          <w:sz w:val="21"/>
          <w:szCs w:val="21"/>
        </w:rPr>
        <w:t>de</w:t>
      </w:r>
      <w:r w:rsidRPr="00B94CD4">
        <w:rPr>
          <w:rFonts w:ascii="Abadi" w:hAnsi="Abadi"/>
          <w:b w:val="0"/>
          <w:bCs w:val="0"/>
          <w:spacing w:val="33"/>
          <w:sz w:val="21"/>
          <w:szCs w:val="21"/>
        </w:rPr>
        <w:t xml:space="preserve"> </w:t>
      </w:r>
      <w:r w:rsidRPr="00B94CD4">
        <w:rPr>
          <w:rFonts w:ascii="Abadi" w:hAnsi="Abadi"/>
          <w:b w:val="0"/>
          <w:bCs w:val="0"/>
          <w:sz w:val="21"/>
          <w:szCs w:val="21"/>
        </w:rPr>
        <w:t>Ley</w:t>
      </w:r>
      <w:r w:rsidRPr="00B94CD4">
        <w:rPr>
          <w:rFonts w:ascii="Abadi" w:hAnsi="Abadi"/>
          <w:b w:val="0"/>
          <w:bCs w:val="0"/>
          <w:spacing w:val="33"/>
          <w:sz w:val="21"/>
          <w:szCs w:val="21"/>
        </w:rPr>
        <w:t xml:space="preserve"> </w:t>
      </w:r>
      <w:r w:rsidRPr="00B94CD4">
        <w:rPr>
          <w:rFonts w:ascii="Abadi" w:hAnsi="Abadi"/>
          <w:b w:val="0"/>
          <w:bCs w:val="0"/>
          <w:sz w:val="21"/>
          <w:szCs w:val="21"/>
        </w:rPr>
        <w:t>para</w:t>
      </w:r>
      <w:r w:rsidRPr="00B94CD4">
        <w:rPr>
          <w:rFonts w:ascii="Abadi" w:hAnsi="Abadi"/>
          <w:b w:val="0"/>
          <w:bCs w:val="0"/>
          <w:spacing w:val="33"/>
          <w:sz w:val="21"/>
          <w:szCs w:val="21"/>
        </w:rPr>
        <w:t xml:space="preserve"> </w:t>
      </w:r>
      <w:r w:rsidRPr="00B94CD4">
        <w:rPr>
          <w:rFonts w:ascii="Abadi" w:hAnsi="Abadi"/>
          <w:b w:val="0"/>
          <w:bCs w:val="0"/>
          <w:sz w:val="21"/>
          <w:szCs w:val="21"/>
        </w:rPr>
        <w:t>Fomentar</w:t>
      </w:r>
      <w:r w:rsidRPr="00B94CD4">
        <w:rPr>
          <w:rFonts w:ascii="Abadi" w:hAnsi="Abadi"/>
          <w:b w:val="0"/>
          <w:bCs w:val="0"/>
          <w:spacing w:val="33"/>
          <w:sz w:val="21"/>
          <w:szCs w:val="21"/>
        </w:rPr>
        <w:t xml:space="preserve"> </w:t>
      </w:r>
      <w:r w:rsidRPr="00B94CD4">
        <w:rPr>
          <w:rFonts w:ascii="Abadi" w:hAnsi="Abadi"/>
          <w:b w:val="0"/>
          <w:bCs w:val="0"/>
          <w:sz w:val="21"/>
          <w:szCs w:val="21"/>
        </w:rPr>
        <w:t>el</w:t>
      </w:r>
      <w:r w:rsidRPr="00B94CD4">
        <w:rPr>
          <w:rFonts w:ascii="Abadi" w:hAnsi="Abadi"/>
          <w:b w:val="0"/>
          <w:bCs w:val="0"/>
          <w:spacing w:val="33"/>
          <w:sz w:val="21"/>
          <w:szCs w:val="21"/>
        </w:rPr>
        <w:t xml:space="preserve"> </w:t>
      </w:r>
      <w:r w:rsidRPr="00B94CD4">
        <w:rPr>
          <w:rFonts w:ascii="Abadi" w:hAnsi="Abadi"/>
          <w:b w:val="0"/>
          <w:bCs w:val="0"/>
          <w:sz w:val="21"/>
          <w:szCs w:val="21"/>
        </w:rPr>
        <w:t>Acceso</w:t>
      </w:r>
      <w:r w:rsidRPr="00B94CD4">
        <w:rPr>
          <w:rFonts w:ascii="Abadi" w:hAnsi="Abadi"/>
          <w:b w:val="0"/>
          <w:bCs w:val="0"/>
          <w:spacing w:val="33"/>
          <w:sz w:val="21"/>
          <w:szCs w:val="21"/>
        </w:rPr>
        <w:t xml:space="preserve"> </w:t>
      </w:r>
      <w:r w:rsidRPr="00B94CD4">
        <w:rPr>
          <w:rFonts w:ascii="Abadi" w:hAnsi="Abadi"/>
          <w:b w:val="0"/>
          <w:bCs w:val="0"/>
          <w:sz w:val="21"/>
          <w:szCs w:val="21"/>
        </w:rPr>
        <w:t>al Financiamiento</w:t>
      </w:r>
      <w:r w:rsidRPr="00B94CD4">
        <w:rPr>
          <w:rFonts w:ascii="Abadi" w:hAnsi="Abadi"/>
          <w:b w:val="0"/>
          <w:bCs w:val="0"/>
          <w:spacing w:val="55"/>
          <w:sz w:val="21"/>
          <w:szCs w:val="21"/>
        </w:rPr>
        <w:t xml:space="preserve"> </w:t>
      </w:r>
      <w:r w:rsidRPr="00B94CD4">
        <w:rPr>
          <w:rFonts w:ascii="Abadi" w:hAnsi="Abadi"/>
          <w:b w:val="0"/>
          <w:bCs w:val="0"/>
          <w:sz w:val="21"/>
          <w:szCs w:val="21"/>
        </w:rPr>
        <w:t>a</w:t>
      </w:r>
      <w:r w:rsidRPr="00B94CD4">
        <w:rPr>
          <w:rFonts w:ascii="Abadi" w:hAnsi="Abadi"/>
          <w:b w:val="0"/>
          <w:bCs w:val="0"/>
          <w:spacing w:val="55"/>
          <w:sz w:val="21"/>
          <w:szCs w:val="21"/>
        </w:rPr>
        <w:t xml:space="preserve"> </w:t>
      </w:r>
      <w:r w:rsidRPr="00B94CD4">
        <w:rPr>
          <w:rFonts w:ascii="Abadi" w:hAnsi="Abadi"/>
          <w:b w:val="0"/>
          <w:bCs w:val="0"/>
          <w:sz w:val="21"/>
          <w:szCs w:val="21"/>
        </w:rPr>
        <w:t>las</w:t>
      </w:r>
      <w:r w:rsidRPr="00B94CD4">
        <w:rPr>
          <w:rFonts w:ascii="Abadi" w:hAnsi="Abadi"/>
          <w:b w:val="0"/>
          <w:bCs w:val="0"/>
          <w:spacing w:val="55"/>
          <w:sz w:val="21"/>
          <w:szCs w:val="21"/>
        </w:rPr>
        <w:t xml:space="preserve"> </w:t>
      </w:r>
      <w:r w:rsidRPr="00B94CD4">
        <w:rPr>
          <w:rFonts w:ascii="Abadi" w:hAnsi="Abadi"/>
          <w:b w:val="0"/>
          <w:bCs w:val="0"/>
          <w:sz w:val="21"/>
          <w:szCs w:val="21"/>
        </w:rPr>
        <w:t>Pequeñas</w:t>
      </w:r>
      <w:r w:rsidRPr="00B94CD4">
        <w:rPr>
          <w:rFonts w:ascii="Abadi" w:hAnsi="Abadi"/>
          <w:b w:val="0"/>
          <w:bCs w:val="0"/>
          <w:spacing w:val="55"/>
          <w:sz w:val="21"/>
          <w:szCs w:val="21"/>
        </w:rPr>
        <w:t xml:space="preserve"> </w:t>
      </w:r>
      <w:r w:rsidRPr="00B94CD4">
        <w:rPr>
          <w:rFonts w:ascii="Abadi" w:hAnsi="Abadi"/>
          <w:b w:val="0"/>
          <w:bCs w:val="0"/>
          <w:sz w:val="21"/>
          <w:szCs w:val="21"/>
        </w:rPr>
        <w:t>y</w:t>
      </w:r>
      <w:r w:rsidRPr="00B94CD4">
        <w:rPr>
          <w:rFonts w:ascii="Abadi" w:hAnsi="Abadi"/>
          <w:b w:val="0"/>
          <w:bCs w:val="0"/>
          <w:spacing w:val="55"/>
          <w:sz w:val="21"/>
          <w:szCs w:val="21"/>
        </w:rPr>
        <w:t xml:space="preserve"> </w:t>
      </w:r>
      <w:r w:rsidRPr="00B94CD4">
        <w:rPr>
          <w:rFonts w:ascii="Abadi" w:hAnsi="Abadi"/>
          <w:b w:val="0"/>
          <w:bCs w:val="0"/>
          <w:sz w:val="21"/>
          <w:szCs w:val="21"/>
        </w:rPr>
        <w:t>Medianas</w:t>
      </w:r>
      <w:r w:rsidRPr="00B94CD4">
        <w:rPr>
          <w:rFonts w:ascii="Abadi" w:hAnsi="Abadi"/>
          <w:b w:val="0"/>
          <w:bCs w:val="0"/>
          <w:spacing w:val="55"/>
          <w:sz w:val="21"/>
          <w:szCs w:val="21"/>
        </w:rPr>
        <w:t xml:space="preserve"> </w:t>
      </w:r>
      <w:r w:rsidRPr="00B94CD4">
        <w:rPr>
          <w:rFonts w:ascii="Abadi" w:hAnsi="Abadi"/>
          <w:b w:val="0"/>
          <w:bCs w:val="0"/>
          <w:sz w:val="21"/>
          <w:szCs w:val="21"/>
        </w:rPr>
        <w:t>Empresas</w:t>
      </w:r>
      <w:r w:rsidRPr="00B94CD4">
        <w:rPr>
          <w:rFonts w:ascii="Abadi" w:hAnsi="Abadi"/>
          <w:b w:val="0"/>
          <w:bCs w:val="0"/>
          <w:spacing w:val="54"/>
          <w:sz w:val="21"/>
          <w:szCs w:val="21"/>
        </w:rPr>
        <w:t xml:space="preserve"> </w:t>
      </w:r>
      <w:r w:rsidRPr="00B94CD4">
        <w:rPr>
          <w:rFonts w:ascii="Abadi" w:hAnsi="Abadi"/>
          <w:b w:val="0"/>
          <w:bCs w:val="0"/>
          <w:sz w:val="21"/>
          <w:szCs w:val="21"/>
        </w:rPr>
        <w:t>en</w:t>
      </w:r>
      <w:r w:rsidRPr="00B94CD4">
        <w:rPr>
          <w:rFonts w:ascii="Abadi" w:hAnsi="Abadi"/>
          <w:b w:val="0"/>
          <w:bCs w:val="0"/>
          <w:spacing w:val="54"/>
          <w:sz w:val="21"/>
          <w:szCs w:val="21"/>
        </w:rPr>
        <w:t xml:space="preserve"> </w:t>
      </w:r>
      <w:r w:rsidRPr="00B94CD4">
        <w:rPr>
          <w:rFonts w:ascii="Abadi" w:hAnsi="Abadi"/>
          <w:b w:val="0"/>
          <w:bCs w:val="0"/>
          <w:sz w:val="21"/>
          <w:szCs w:val="21"/>
        </w:rPr>
        <w:t>el</w:t>
      </w:r>
      <w:r w:rsidRPr="00B94CD4">
        <w:rPr>
          <w:rFonts w:ascii="Abadi" w:hAnsi="Abadi"/>
          <w:b w:val="0"/>
          <w:bCs w:val="0"/>
          <w:spacing w:val="54"/>
          <w:sz w:val="21"/>
          <w:szCs w:val="21"/>
        </w:rPr>
        <w:t xml:space="preserve"> </w:t>
      </w:r>
      <w:r w:rsidRPr="00B94CD4">
        <w:rPr>
          <w:rFonts w:ascii="Abadi" w:hAnsi="Abadi"/>
          <w:b w:val="0"/>
          <w:bCs w:val="0"/>
          <w:sz w:val="21"/>
          <w:szCs w:val="21"/>
        </w:rPr>
        <w:t>Estado</w:t>
      </w:r>
      <w:r w:rsidRPr="00B94CD4">
        <w:rPr>
          <w:rFonts w:ascii="Abadi" w:hAnsi="Abadi"/>
          <w:b w:val="0"/>
          <w:bCs w:val="0"/>
          <w:spacing w:val="54"/>
          <w:sz w:val="21"/>
          <w:szCs w:val="21"/>
        </w:rPr>
        <w:t xml:space="preserve"> </w:t>
      </w:r>
      <w:r w:rsidRPr="00B94CD4">
        <w:rPr>
          <w:rFonts w:ascii="Abadi" w:hAnsi="Abadi"/>
          <w:b w:val="0"/>
          <w:bCs w:val="0"/>
          <w:sz w:val="21"/>
          <w:szCs w:val="21"/>
        </w:rPr>
        <w:t>de Guanajuato,</w:t>
      </w:r>
      <w:r w:rsidRPr="00B94CD4">
        <w:rPr>
          <w:rFonts w:ascii="Abadi" w:hAnsi="Abadi"/>
          <w:b w:val="0"/>
          <w:bCs w:val="0"/>
          <w:spacing w:val="80"/>
          <w:sz w:val="21"/>
          <w:szCs w:val="21"/>
        </w:rPr>
        <w:t xml:space="preserve"> </w:t>
      </w:r>
      <w:r w:rsidRPr="00B94CD4">
        <w:rPr>
          <w:rFonts w:ascii="Abadi" w:hAnsi="Abadi"/>
          <w:b w:val="0"/>
          <w:bCs w:val="0"/>
          <w:sz w:val="21"/>
          <w:szCs w:val="21"/>
        </w:rPr>
        <w:t>suscrita</w:t>
      </w:r>
      <w:r w:rsidRPr="00B94CD4">
        <w:rPr>
          <w:rFonts w:ascii="Abadi" w:hAnsi="Abadi"/>
          <w:b w:val="0"/>
          <w:bCs w:val="0"/>
          <w:spacing w:val="80"/>
          <w:sz w:val="21"/>
          <w:szCs w:val="21"/>
        </w:rPr>
        <w:t xml:space="preserve"> </w:t>
      </w:r>
      <w:r w:rsidRPr="00B94CD4">
        <w:rPr>
          <w:rFonts w:ascii="Abadi" w:hAnsi="Abadi"/>
          <w:b w:val="0"/>
          <w:bCs w:val="0"/>
          <w:sz w:val="21"/>
          <w:szCs w:val="21"/>
        </w:rPr>
        <w:t>por</w:t>
      </w:r>
      <w:r w:rsidRPr="00B94CD4">
        <w:rPr>
          <w:rFonts w:ascii="Abadi" w:hAnsi="Abadi"/>
          <w:b w:val="0"/>
          <w:bCs w:val="0"/>
          <w:spacing w:val="80"/>
          <w:sz w:val="21"/>
          <w:szCs w:val="21"/>
        </w:rPr>
        <w:t xml:space="preserve"> </w:t>
      </w:r>
      <w:r w:rsidRPr="00B94CD4">
        <w:rPr>
          <w:rFonts w:ascii="Abadi" w:hAnsi="Abadi"/>
          <w:b w:val="0"/>
          <w:bCs w:val="0"/>
          <w:sz w:val="21"/>
          <w:szCs w:val="21"/>
        </w:rPr>
        <w:t>diputadas</w:t>
      </w:r>
      <w:r w:rsidRPr="00B94CD4">
        <w:rPr>
          <w:rFonts w:ascii="Abadi" w:hAnsi="Abadi"/>
          <w:b w:val="0"/>
          <w:bCs w:val="0"/>
          <w:spacing w:val="80"/>
          <w:sz w:val="21"/>
          <w:szCs w:val="21"/>
        </w:rPr>
        <w:t xml:space="preserve"> </w:t>
      </w:r>
      <w:r w:rsidRPr="00B94CD4">
        <w:rPr>
          <w:rFonts w:ascii="Abadi" w:hAnsi="Abadi"/>
          <w:b w:val="0"/>
          <w:bCs w:val="0"/>
          <w:sz w:val="21"/>
          <w:szCs w:val="21"/>
        </w:rPr>
        <w:t>y</w:t>
      </w:r>
      <w:r w:rsidRPr="00B94CD4">
        <w:rPr>
          <w:rFonts w:ascii="Abadi" w:hAnsi="Abadi"/>
          <w:b w:val="0"/>
          <w:bCs w:val="0"/>
          <w:spacing w:val="80"/>
          <w:sz w:val="21"/>
          <w:szCs w:val="21"/>
        </w:rPr>
        <w:t xml:space="preserve"> </w:t>
      </w:r>
      <w:r w:rsidRPr="00B94CD4">
        <w:rPr>
          <w:rFonts w:ascii="Abadi" w:hAnsi="Abadi"/>
          <w:b w:val="0"/>
          <w:bCs w:val="0"/>
          <w:sz w:val="21"/>
          <w:szCs w:val="21"/>
        </w:rPr>
        <w:t>diputados</w:t>
      </w:r>
      <w:r w:rsidRPr="00B94CD4">
        <w:rPr>
          <w:rFonts w:ascii="Abadi" w:hAnsi="Abadi"/>
          <w:b w:val="0"/>
          <w:bCs w:val="0"/>
          <w:spacing w:val="80"/>
          <w:sz w:val="21"/>
          <w:szCs w:val="21"/>
        </w:rPr>
        <w:t xml:space="preserve"> </w:t>
      </w:r>
      <w:r w:rsidRPr="00B94CD4">
        <w:rPr>
          <w:rFonts w:ascii="Abadi" w:hAnsi="Abadi"/>
          <w:b w:val="0"/>
          <w:bCs w:val="0"/>
          <w:sz w:val="21"/>
          <w:szCs w:val="21"/>
        </w:rPr>
        <w:t>integrantes</w:t>
      </w:r>
      <w:r w:rsidRPr="00B94CD4">
        <w:rPr>
          <w:rFonts w:ascii="Abadi" w:hAnsi="Abadi"/>
          <w:b w:val="0"/>
          <w:bCs w:val="0"/>
          <w:spacing w:val="80"/>
          <w:sz w:val="21"/>
          <w:szCs w:val="21"/>
        </w:rPr>
        <w:t xml:space="preserve"> </w:t>
      </w:r>
      <w:r w:rsidRPr="00B94CD4">
        <w:rPr>
          <w:rFonts w:ascii="Abadi" w:hAnsi="Abadi"/>
          <w:b w:val="0"/>
          <w:bCs w:val="0"/>
          <w:sz w:val="21"/>
          <w:szCs w:val="21"/>
        </w:rPr>
        <w:t>del</w:t>
      </w:r>
      <w:r w:rsidRPr="00B94CD4">
        <w:rPr>
          <w:rFonts w:ascii="Abadi" w:hAnsi="Abadi"/>
          <w:b w:val="0"/>
          <w:bCs w:val="0"/>
          <w:spacing w:val="80"/>
          <w:sz w:val="21"/>
          <w:szCs w:val="21"/>
        </w:rPr>
        <w:t xml:space="preserve"> </w:t>
      </w:r>
      <w:r w:rsidRPr="00B94CD4">
        <w:rPr>
          <w:rFonts w:ascii="Abadi" w:hAnsi="Abadi"/>
          <w:b w:val="0"/>
          <w:bCs w:val="0"/>
          <w:sz w:val="21"/>
          <w:szCs w:val="21"/>
        </w:rPr>
        <w:t xml:space="preserve">Grupo Parlamentario del Partido Acción Nacional. </w:t>
      </w:r>
      <w:r w:rsidRPr="00B94CD4">
        <w:rPr>
          <w:rFonts w:ascii="Abadi" w:hAnsi="Abadi"/>
          <w:sz w:val="21"/>
          <w:szCs w:val="21"/>
        </w:rPr>
        <w:t>VII.-</w:t>
      </w:r>
      <w:r w:rsidRPr="00B94CD4">
        <w:rPr>
          <w:rFonts w:ascii="Abadi" w:hAnsi="Abadi"/>
          <w:b w:val="0"/>
          <w:bCs w:val="0"/>
          <w:sz w:val="21"/>
          <w:szCs w:val="21"/>
        </w:rPr>
        <w:t xml:space="preserve"> Presentación de la iniciativa a efecto de adicionar la fracción XXI al artículo 28</w:t>
      </w:r>
      <w:r w:rsidRPr="00B94CD4">
        <w:rPr>
          <w:rFonts w:ascii="Abadi" w:hAnsi="Abadi"/>
          <w:b w:val="0"/>
          <w:bCs w:val="0"/>
          <w:spacing w:val="-6"/>
          <w:sz w:val="21"/>
          <w:szCs w:val="21"/>
        </w:rPr>
        <w:t xml:space="preserve"> </w:t>
      </w:r>
      <w:r w:rsidRPr="00B94CD4">
        <w:rPr>
          <w:rFonts w:ascii="Abadi" w:hAnsi="Abadi"/>
          <w:b w:val="0"/>
          <w:bCs w:val="0"/>
          <w:sz w:val="21"/>
          <w:szCs w:val="21"/>
        </w:rPr>
        <w:t>de</w:t>
      </w:r>
      <w:r w:rsidRPr="00B94CD4">
        <w:rPr>
          <w:rFonts w:ascii="Abadi" w:hAnsi="Abadi"/>
          <w:b w:val="0"/>
          <w:bCs w:val="0"/>
          <w:spacing w:val="-6"/>
          <w:sz w:val="21"/>
          <w:szCs w:val="21"/>
        </w:rPr>
        <w:t xml:space="preserve"> </w:t>
      </w:r>
      <w:r w:rsidRPr="00B94CD4">
        <w:rPr>
          <w:rFonts w:ascii="Abadi" w:hAnsi="Abadi"/>
          <w:b w:val="0"/>
          <w:bCs w:val="0"/>
          <w:sz w:val="21"/>
          <w:szCs w:val="21"/>
        </w:rPr>
        <w:t>la</w:t>
      </w:r>
      <w:r w:rsidRPr="00B94CD4">
        <w:rPr>
          <w:rFonts w:ascii="Abadi" w:hAnsi="Abadi"/>
          <w:b w:val="0"/>
          <w:bCs w:val="0"/>
          <w:spacing w:val="-6"/>
          <w:sz w:val="21"/>
          <w:szCs w:val="21"/>
        </w:rPr>
        <w:t xml:space="preserve"> </w:t>
      </w:r>
      <w:r w:rsidRPr="00B94CD4">
        <w:rPr>
          <w:rFonts w:ascii="Abadi" w:hAnsi="Abadi"/>
          <w:b w:val="0"/>
          <w:bCs w:val="0"/>
          <w:sz w:val="21"/>
          <w:szCs w:val="21"/>
        </w:rPr>
        <w:t>Ley</w:t>
      </w:r>
      <w:r w:rsidRPr="00B94CD4">
        <w:rPr>
          <w:rFonts w:ascii="Abadi" w:hAnsi="Abadi"/>
          <w:b w:val="0"/>
          <w:bCs w:val="0"/>
          <w:spacing w:val="-6"/>
          <w:sz w:val="21"/>
          <w:szCs w:val="21"/>
        </w:rPr>
        <w:t xml:space="preserve"> </w:t>
      </w:r>
      <w:r w:rsidRPr="00B94CD4">
        <w:rPr>
          <w:rFonts w:ascii="Abadi" w:hAnsi="Abadi"/>
          <w:b w:val="0"/>
          <w:bCs w:val="0"/>
          <w:sz w:val="21"/>
          <w:szCs w:val="21"/>
        </w:rPr>
        <w:t>de</w:t>
      </w:r>
      <w:r w:rsidRPr="00B94CD4">
        <w:rPr>
          <w:rFonts w:ascii="Abadi" w:hAnsi="Abadi"/>
          <w:b w:val="0"/>
          <w:bCs w:val="0"/>
          <w:spacing w:val="-6"/>
          <w:sz w:val="21"/>
          <w:szCs w:val="21"/>
        </w:rPr>
        <w:t xml:space="preserve"> </w:t>
      </w:r>
      <w:r w:rsidRPr="00B94CD4">
        <w:rPr>
          <w:rFonts w:ascii="Abadi" w:hAnsi="Abadi"/>
          <w:b w:val="0"/>
          <w:bCs w:val="0"/>
          <w:sz w:val="21"/>
          <w:szCs w:val="21"/>
        </w:rPr>
        <w:t>los</w:t>
      </w:r>
      <w:r w:rsidRPr="00B94CD4">
        <w:rPr>
          <w:rFonts w:ascii="Abadi" w:hAnsi="Abadi"/>
          <w:b w:val="0"/>
          <w:bCs w:val="0"/>
          <w:spacing w:val="-6"/>
          <w:sz w:val="21"/>
          <w:szCs w:val="21"/>
        </w:rPr>
        <w:t xml:space="preserve"> </w:t>
      </w:r>
      <w:r w:rsidRPr="00B94CD4">
        <w:rPr>
          <w:rFonts w:ascii="Abadi" w:hAnsi="Abadi"/>
          <w:b w:val="0"/>
          <w:bCs w:val="0"/>
          <w:sz w:val="21"/>
          <w:szCs w:val="21"/>
        </w:rPr>
        <w:t>Derechos</w:t>
      </w:r>
      <w:r w:rsidRPr="00B94CD4">
        <w:rPr>
          <w:rFonts w:ascii="Abadi" w:hAnsi="Abadi"/>
          <w:b w:val="0"/>
          <w:bCs w:val="0"/>
          <w:spacing w:val="-6"/>
          <w:sz w:val="21"/>
          <w:szCs w:val="21"/>
        </w:rPr>
        <w:t xml:space="preserve"> </w:t>
      </w:r>
      <w:r w:rsidRPr="00B94CD4">
        <w:rPr>
          <w:rFonts w:ascii="Abadi" w:hAnsi="Abadi"/>
          <w:b w:val="0"/>
          <w:bCs w:val="0"/>
          <w:sz w:val="21"/>
          <w:szCs w:val="21"/>
        </w:rPr>
        <w:t>de</w:t>
      </w:r>
      <w:r w:rsidRPr="00B94CD4">
        <w:rPr>
          <w:rFonts w:ascii="Abadi" w:hAnsi="Abadi"/>
          <w:b w:val="0"/>
          <w:bCs w:val="0"/>
          <w:spacing w:val="-6"/>
          <w:sz w:val="21"/>
          <w:szCs w:val="21"/>
        </w:rPr>
        <w:t xml:space="preserve"> </w:t>
      </w:r>
      <w:r w:rsidRPr="00B94CD4">
        <w:rPr>
          <w:rFonts w:ascii="Abadi" w:hAnsi="Abadi"/>
          <w:b w:val="0"/>
          <w:bCs w:val="0"/>
          <w:sz w:val="21"/>
          <w:szCs w:val="21"/>
        </w:rPr>
        <w:t>Niñas,</w:t>
      </w:r>
      <w:r w:rsidRPr="00B94CD4">
        <w:rPr>
          <w:rFonts w:ascii="Abadi" w:hAnsi="Abadi"/>
          <w:b w:val="0"/>
          <w:bCs w:val="0"/>
          <w:spacing w:val="-6"/>
          <w:sz w:val="21"/>
          <w:szCs w:val="21"/>
        </w:rPr>
        <w:t xml:space="preserve"> </w:t>
      </w:r>
      <w:r w:rsidRPr="00B94CD4">
        <w:rPr>
          <w:rFonts w:ascii="Abadi" w:hAnsi="Abadi"/>
          <w:b w:val="0"/>
          <w:bCs w:val="0"/>
          <w:sz w:val="21"/>
          <w:szCs w:val="21"/>
        </w:rPr>
        <w:t>Niños</w:t>
      </w:r>
      <w:r w:rsidRPr="00B94CD4">
        <w:rPr>
          <w:rFonts w:ascii="Abadi" w:hAnsi="Abadi"/>
          <w:b w:val="0"/>
          <w:bCs w:val="0"/>
          <w:spacing w:val="-6"/>
          <w:sz w:val="21"/>
          <w:szCs w:val="21"/>
        </w:rPr>
        <w:t xml:space="preserve"> </w:t>
      </w:r>
      <w:r w:rsidRPr="00B94CD4">
        <w:rPr>
          <w:rFonts w:ascii="Abadi" w:hAnsi="Abadi"/>
          <w:b w:val="0"/>
          <w:bCs w:val="0"/>
          <w:sz w:val="21"/>
          <w:szCs w:val="21"/>
        </w:rPr>
        <w:t>y</w:t>
      </w:r>
      <w:r w:rsidRPr="00B94CD4">
        <w:rPr>
          <w:rFonts w:ascii="Abadi" w:hAnsi="Abadi"/>
          <w:b w:val="0"/>
          <w:bCs w:val="0"/>
          <w:spacing w:val="-6"/>
          <w:sz w:val="21"/>
          <w:szCs w:val="21"/>
        </w:rPr>
        <w:t xml:space="preserve"> </w:t>
      </w:r>
      <w:r w:rsidRPr="00B94CD4">
        <w:rPr>
          <w:rFonts w:ascii="Abadi" w:hAnsi="Abadi"/>
          <w:b w:val="0"/>
          <w:bCs w:val="0"/>
          <w:sz w:val="21"/>
          <w:szCs w:val="21"/>
        </w:rPr>
        <w:t>Adolescentes</w:t>
      </w:r>
      <w:r w:rsidRPr="00B94CD4">
        <w:rPr>
          <w:rFonts w:ascii="Abadi" w:hAnsi="Abadi"/>
          <w:b w:val="0"/>
          <w:bCs w:val="0"/>
          <w:spacing w:val="-6"/>
          <w:sz w:val="21"/>
          <w:szCs w:val="21"/>
        </w:rPr>
        <w:t xml:space="preserve"> </w:t>
      </w:r>
      <w:r w:rsidRPr="00B94CD4">
        <w:rPr>
          <w:rFonts w:ascii="Abadi" w:hAnsi="Abadi"/>
          <w:b w:val="0"/>
          <w:bCs w:val="0"/>
          <w:sz w:val="21"/>
          <w:szCs w:val="21"/>
        </w:rPr>
        <w:t>del</w:t>
      </w:r>
      <w:r w:rsidRPr="00B94CD4">
        <w:rPr>
          <w:rFonts w:ascii="Abadi" w:hAnsi="Abadi"/>
          <w:b w:val="0"/>
          <w:bCs w:val="0"/>
          <w:spacing w:val="-6"/>
          <w:sz w:val="21"/>
          <w:szCs w:val="21"/>
        </w:rPr>
        <w:t xml:space="preserve"> </w:t>
      </w:r>
      <w:r w:rsidRPr="00B94CD4">
        <w:rPr>
          <w:rFonts w:ascii="Abadi" w:hAnsi="Abadi"/>
          <w:b w:val="0"/>
          <w:bCs w:val="0"/>
          <w:sz w:val="21"/>
          <w:szCs w:val="21"/>
        </w:rPr>
        <w:t>Estado</w:t>
      </w:r>
      <w:r w:rsidRPr="00B94CD4">
        <w:rPr>
          <w:rFonts w:ascii="Abadi" w:hAnsi="Abadi"/>
          <w:b w:val="0"/>
          <w:bCs w:val="0"/>
          <w:spacing w:val="-6"/>
          <w:sz w:val="21"/>
          <w:szCs w:val="21"/>
        </w:rPr>
        <w:t xml:space="preserve"> </w:t>
      </w:r>
      <w:r w:rsidRPr="00B94CD4">
        <w:rPr>
          <w:rFonts w:ascii="Abadi" w:hAnsi="Abadi"/>
          <w:b w:val="0"/>
          <w:bCs w:val="0"/>
          <w:sz w:val="21"/>
          <w:szCs w:val="21"/>
        </w:rPr>
        <w:t>de Guanajuato,</w:t>
      </w:r>
      <w:r w:rsidRPr="00B94CD4">
        <w:rPr>
          <w:rFonts w:ascii="Abadi" w:hAnsi="Abadi"/>
          <w:b w:val="0"/>
          <w:bCs w:val="0"/>
          <w:spacing w:val="69"/>
          <w:sz w:val="21"/>
          <w:szCs w:val="21"/>
        </w:rPr>
        <w:t xml:space="preserve"> </w:t>
      </w:r>
      <w:r w:rsidRPr="00B94CD4">
        <w:rPr>
          <w:rFonts w:ascii="Abadi" w:hAnsi="Abadi"/>
          <w:b w:val="0"/>
          <w:bCs w:val="0"/>
          <w:sz w:val="21"/>
          <w:szCs w:val="21"/>
        </w:rPr>
        <w:t>formulada</w:t>
      </w:r>
      <w:r w:rsidRPr="00B94CD4">
        <w:rPr>
          <w:rFonts w:ascii="Abadi" w:hAnsi="Abadi"/>
          <w:b w:val="0"/>
          <w:bCs w:val="0"/>
          <w:spacing w:val="70"/>
          <w:sz w:val="21"/>
          <w:szCs w:val="21"/>
        </w:rPr>
        <w:t xml:space="preserve"> </w:t>
      </w:r>
      <w:r w:rsidRPr="00B94CD4">
        <w:rPr>
          <w:rFonts w:ascii="Abadi" w:hAnsi="Abadi"/>
          <w:b w:val="0"/>
          <w:bCs w:val="0"/>
          <w:sz w:val="21"/>
          <w:szCs w:val="21"/>
        </w:rPr>
        <w:t>por</w:t>
      </w:r>
      <w:r w:rsidRPr="00B94CD4">
        <w:rPr>
          <w:rFonts w:ascii="Abadi" w:hAnsi="Abadi"/>
          <w:b w:val="0"/>
          <w:bCs w:val="0"/>
          <w:spacing w:val="69"/>
          <w:sz w:val="21"/>
          <w:szCs w:val="21"/>
        </w:rPr>
        <w:t xml:space="preserve"> </w:t>
      </w:r>
      <w:r w:rsidRPr="00B94CD4">
        <w:rPr>
          <w:rFonts w:ascii="Abadi" w:hAnsi="Abadi"/>
          <w:b w:val="0"/>
          <w:bCs w:val="0"/>
          <w:sz w:val="21"/>
          <w:szCs w:val="21"/>
        </w:rPr>
        <w:t>diputada</w:t>
      </w:r>
      <w:r w:rsidRPr="00B94CD4">
        <w:rPr>
          <w:rFonts w:ascii="Abadi" w:hAnsi="Abadi"/>
          <w:b w:val="0"/>
          <w:bCs w:val="0"/>
          <w:spacing w:val="69"/>
          <w:sz w:val="21"/>
          <w:szCs w:val="21"/>
        </w:rPr>
        <w:t xml:space="preserve"> </w:t>
      </w:r>
      <w:r w:rsidRPr="00B94CD4">
        <w:rPr>
          <w:rFonts w:ascii="Abadi" w:hAnsi="Abadi"/>
          <w:b w:val="0"/>
          <w:bCs w:val="0"/>
          <w:sz w:val="21"/>
          <w:szCs w:val="21"/>
        </w:rPr>
        <w:t>y</w:t>
      </w:r>
      <w:r w:rsidRPr="00B94CD4">
        <w:rPr>
          <w:rFonts w:ascii="Abadi" w:hAnsi="Abadi"/>
          <w:b w:val="0"/>
          <w:bCs w:val="0"/>
          <w:spacing w:val="70"/>
          <w:sz w:val="21"/>
          <w:szCs w:val="21"/>
        </w:rPr>
        <w:t xml:space="preserve"> </w:t>
      </w:r>
      <w:r w:rsidRPr="00B94CD4">
        <w:rPr>
          <w:rFonts w:ascii="Abadi" w:hAnsi="Abadi"/>
          <w:b w:val="0"/>
          <w:bCs w:val="0"/>
          <w:sz w:val="21"/>
          <w:szCs w:val="21"/>
        </w:rPr>
        <w:t>diputados</w:t>
      </w:r>
      <w:r w:rsidRPr="00B94CD4">
        <w:rPr>
          <w:rFonts w:ascii="Abadi" w:hAnsi="Abadi"/>
          <w:b w:val="0"/>
          <w:bCs w:val="0"/>
          <w:spacing w:val="70"/>
          <w:sz w:val="21"/>
          <w:szCs w:val="21"/>
        </w:rPr>
        <w:t xml:space="preserve"> </w:t>
      </w:r>
      <w:r w:rsidRPr="00B94CD4">
        <w:rPr>
          <w:rFonts w:ascii="Abadi" w:hAnsi="Abadi"/>
          <w:b w:val="0"/>
          <w:bCs w:val="0"/>
          <w:sz w:val="21"/>
          <w:szCs w:val="21"/>
        </w:rPr>
        <w:t>integrantes</w:t>
      </w:r>
      <w:r w:rsidRPr="00B94CD4">
        <w:rPr>
          <w:rFonts w:ascii="Abadi" w:hAnsi="Abadi"/>
          <w:b w:val="0"/>
          <w:bCs w:val="0"/>
          <w:spacing w:val="69"/>
          <w:sz w:val="21"/>
          <w:szCs w:val="21"/>
        </w:rPr>
        <w:t xml:space="preserve"> </w:t>
      </w:r>
      <w:r w:rsidRPr="00B94CD4">
        <w:rPr>
          <w:rFonts w:ascii="Abadi" w:hAnsi="Abadi"/>
          <w:b w:val="0"/>
          <w:bCs w:val="0"/>
          <w:sz w:val="21"/>
          <w:szCs w:val="21"/>
        </w:rPr>
        <w:t>del</w:t>
      </w:r>
      <w:r w:rsidRPr="00B94CD4">
        <w:rPr>
          <w:rFonts w:ascii="Abadi" w:hAnsi="Abadi"/>
          <w:b w:val="0"/>
          <w:bCs w:val="0"/>
          <w:spacing w:val="69"/>
          <w:sz w:val="21"/>
          <w:szCs w:val="21"/>
        </w:rPr>
        <w:t xml:space="preserve"> </w:t>
      </w:r>
      <w:r w:rsidRPr="00B94CD4">
        <w:rPr>
          <w:rFonts w:ascii="Abadi" w:hAnsi="Abadi"/>
          <w:b w:val="0"/>
          <w:bCs w:val="0"/>
          <w:sz w:val="21"/>
          <w:szCs w:val="21"/>
        </w:rPr>
        <w:t xml:space="preserve">Grupo Parlamentario del Partido Revolucionario Institucional. </w:t>
      </w:r>
      <w:r w:rsidRPr="00B94CD4">
        <w:rPr>
          <w:rFonts w:ascii="Abadi" w:hAnsi="Abadi"/>
          <w:sz w:val="21"/>
          <w:szCs w:val="21"/>
        </w:rPr>
        <w:t>VIII.-</w:t>
      </w:r>
      <w:r w:rsidRPr="00B94CD4">
        <w:rPr>
          <w:rFonts w:ascii="Abadi" w:hAnsi="Abadi"/>
          <w:b w:val="0"/>
          <w:bCs w:val="0"/>
          <w:sz w:val="21"/>
          <w:szCs w:val="21"/>
        </w:rPr>
        <w:t xml:space="preserve"> Presentación</w:t>
      </w:r>
      <w:r w:rsidRPr="00B94CD4">
        <w:rPr>
          <w:rFonts w:ascii="Abadi" w:hAnsi="Abadi"/>
          <w:b w:val="0"/>
          <w:bCs w:val="0"/>
          <w:spacing w:val="21"/>
          <w:sz w:val="21"/>
          <w:szCs w:val="21"/>
        </w:rPr>
        <w:t xml:space="preserve"> </w:t>
      </w:r>
      <w:r w:rsidRPr="00B94CD4">
        <w:rPr>
          <w:rFonts w:ascii="Abadi" w:hAnsi="Abadi"/>
          <w:b w:val="0"/>
          <w:bCs w:val="0"/>
          <w:sz w:val="21"/>
          <w:szCs w:val="21"/>
        </w:rPr>
        <w:t>de</w:t>
      </w:r>
      <w:r w:rsidRPr="00B94CD4">
        <w:rPr>
          <w:rFonts w:ascii="Abadi" w:hAnsi="Abadi"/>
          <w:b w:val="0"/>
          <w:bCs w:val="0"/>
          <w:spacing w:val="21"/>
          <w:sz w:val="21"/>
          <w:szCs w:val="21"/>
        </w:rPr>
        <w:t xml:space="preserve"> </w:t>
      </w:r>
      <w:r w:rsidRPr="00B94CD4">
        <w:rPr>
          <w:rFonts w:ascii="Abadi" w:hAnsi="Abadi"/>
          <w:b w:val="0"/>
          <w:bCs w:val="0"/>
          <w:sz w:val="21"/>
          <w:szCs w:val="21"/>
        </w:rPr>
        <w:t>la</w:t>
      </w:r>
      <w:r w:rsidRPr="00B94CD4">
        <w:rPr>
          <w:rFonts w:ascii="Abadi" w:hAnsi="Abadi"/>
          <w:b w:val="0"/>
          <w:bCs w:val="0"/>
          <w:spacing w:val="21"/>
          <w:sz w:val="21"/>
          <w:szCs w:val="21"/>
        </w:rPr>
        <w:t xml:space="preserve"> </w:t>
      </w:r>
      <w:r w:rsidRPr="00B94CD4">
        <w:rPr>
          <w:rFonts w:ascii="Abadi" w:hAnsi="Abadi"/>
          <w:b w:val="0"/>
          <w:bCs w:val="0"/>
          <w:sz w:val="21"/>
          <w:szCs w:val="21"/>
        </w:rPr>
        <w:t>iniciativa</w:t>
      </w:r>
      <w:r w:rsidRPr="00B94CD4">
        <w:rPr>
          <w:rFonts w:ascii="Abadi" w:hAnsi="Abadi"/>
          <w:b w:val="0"/>
          <w:bCs w:val="0"/>
          <w:spacing w:val="21"/>
          <w:sz w:val="21"/>
          <w:szCs w:val="21"/>
        </w:rPr>
        <w:t xml:space="preserve"> </w:t>
      </w:r>
      <w:r w:rsidRPr="00B94CD4">
        <w:rPr>
          <w:rFonts w:ascii="Abadi" w:hAnsi="Abadi"/>
          <w:b w:val="0"/>
          <w:bCs w:val="0"/>
          <w:sz w:val="21"/>
          <w:szCs w:val="21"/>
        </w:rPr>
        <w:t>suscrita</w:t>
      </w:r>
      <w:r w:rsidRPr="00B94CD4">
        <w:rPr>
          <w:rFonts w:ascii="Abadi" w:hAnsi="Abadi"/>
          <w:b w:val="0"/>
          <w:bCs w:val="0"/>
          <w:spacing w:val="21"/>
          <w:sz w:val="21"/>
          <w:szCs w:val="21"/>
        </w:rPr>
        <w:t xml:space="preserve"> </w:t>
      </w:r>
      <w:r w:rsidRPr="00B94CD4">
        <w:rPr>
          <w:rFonts w:ascii="Abadi" w:hAnsi="Abadi"/>
          <w:b w:val="0"/>
          <w:bCs w:val="0"/>
          <w:sz w:val="21"/>
          <w:szCs w:val="21"/>
        </w:rPr>
        <w:t>por</w:t>
      </w:r>
      <w:r w:rsidRPr="00B94CD4">
        <w:rPr>
          <w:rFonts w:ascii="Abadi" w:hAnsi="Abadi"/>
          <w:b w:val="0"/>
          <w:bCs w:val="0"/>
          <w:spacing w:val="20"/>
          <w:sz w:val="21"/>
          <w:szCs w:val="21"/>
        </w:rPr>
        <w:t xml:space="preserve"> </w:t>
      </w:r>
      <w:r w:rsidRPr="00B94CD4">
        <w:rPr>
          <w:rFonts w:ascii="Abadi" w:hAnsi="Abadi"/>
          <w:b w:val="0"/>
          <w:bCs w:val="0"/>
          <w:sz w:val="21"/>
          <w:szCs w:val="21"/>
        </w:rPr>
        <w:t>la</w:t>
      </w:r>
      <w:r w:rsidRPr="00B94CD4">
        <w:rPr>
          <w:rFonts w:ascii="Abadi" w:hAnsi="Abadi"/>
          <w:b w:val="0"/>
          <w:bCs w:val="0"/>
          <w:spacing w:val="21"/>
          <w:sz w:val="21"/>
          <w:szCs w:val="21"/>
        </w:rPr>
        <w:t xml:space="preserve"> </w:t>
      </w:r>
      <w:r w:rsidRPr="00B94CD4">
        <w:rPr>
          <w:rFonts w:ascii="Abadi" w:hAnsi="Abadi"/>
          <w:b w:val="0"/>
          <w:bCs w:val="0"/>
          <w:sz w:val="21"/>
          <w:szCs w:val="21"/>
        </w:rPr>
        <w:t>diputada</w:t>
      </w:r>
      <w:r w:rsidRPr="00B94CD4">
        <w:rPr>
          <w:rFonts w:ascii="Abadi" w:hAnsi="Abadi"/>
          <w:b w:val="0"/>
          <w:bCs w:val="0"/>
          <w:spacing w:val="21"/>
          <w:sz w:val="21"/>
          <w:szCs w:val="21"/>
        </w:rPr>
        <w:t xml:space="preserve"> </w:t>
      </w:r>
      <w:r w:rsidRPr="00B94CD4">
        <w:rPr>
          <w:rFonts w:ascii="Abadi" w:hAnsi="Abadi"/>
          <w:b w:val="0"/>
          <w:bCs w:val="0"/>
          <w:sz w:val="21"/>
          <w:szCs w:val="21"/>
        </w:rPr>
        <w:t>Martha</w:t>
      </w:r>
      <w:r w:rsidRPr="00B94CD4">
        <w:rPr>
          <w:rFonts w:ascii="Abadi" w:hAnsi="Abadi"/>
          <w:b w:val="0"/>
          <w:bCs w:val="0"/>
          <w:spacing w:val="21"/>
          <w:sz w:val="21"/>
          <w:szCs w:val="21"/>
        </w:rPr>
        <w:t xml:space="preserve"> </w:t>
      </w:r>
      <w:r w:rsidRPr="00B94CD4">
        <w:rPr>
          <w:rFonts w:ascii="Abadi" w:hAnsi="Abadi"/>
          <w:b w:val="0"/>
          <w:bCs w:val="0"/>
          <w:sz w:val="21"/>
          <w:szCs w:val="21"/>
        </w:rPr>
        <w:t>Edith</w:t>
      </w:r>
      <w:r w:rsidRPr="00B94CD4">
        <w:rPr>
          <w:rFonts w:ascii="Abadi" w:hAnsi="Abadi"/>
          <w:b w:val="0"/>
          <w:bCs w:val="0"/>
          <w:spacing w:val="21"/>
          <w:sz w:val="21"/>
          <w:szCs w:val="21"/>
        </w:rPr>
        <w:t xml:space="preserve"> </w:t>
      </w:r>
      <w:r w:rsidRPr="00B94CD4">
        <w:rPr>
          <w:rFonts w:ascii="Abadi" w:hAnsi="Abadi"/>
          <w:b w:val="0"/>
          <w:bCs w:val="0"/>
          <w:sz w:val="21"/>
          <w:szCs w:val="21"/>
        </w:rPr>
        <w:t>Moreno</w:t>
      </w:r>
      <w:r w:rsidRPr="00B94CD4">
        <w:rPr>
          <w:rFonts w:ascii="Abadi" w:hAnsi="Abadi"/>
          <w:b w:val="0"/>
          <w:bCs w:val="0"/>
          <w:spacing w:val="-1"/>
          <w:sz w:val="21"/>
          <w:szCs w:val="21"/>
        </w:rPr>
        <w:t xml:space="preserve"> </w:t>
      </w:r>
      <w:r w:rsidRPr="00B94CD4">
        <w:rPr>
          <w:rFonts w:ascii="Abadi" w:hAnsi="Abadi"/>
          <w:b w:val="0"/>
          <w:bCs w:val="0"/>
          <w:sz w:val="21"/>
          <w:szCs w:val="21"/>
        </w:rPr>
        <w:t>Valencia</w:t>
      </w:r>
      <w:r w:rsidRPr="00B94CD4">
        <w:rPr>
          <w:rFonts w:ascii="Abadi" w:hAnsi="Abadi"/>
          <w:b w:val="0"/>
          <w:bCs w:val="0"/>
          <w:spacing w:val="26"/>
          <w:sz w:val="21"/>
          <w:szCs w:val="21"/>
        </w:rPr>
        <w:t xml:space="preserve"> </w:t>
      </w:r>
      <w:r w:rsidRPr="00B94CD4">
        <w:rPr>
          <w:rFonts w:ascii="Abadi" w:hAnsi="Abadi"/>
          <w:b w:val="0"/>
          <w:bCs w:val="0"/>
          <w:sz w:val="21"/>
          <w:szCs w:val="21"/>
        </w:rPr>
        <w:t>integrante</w:t>
      </w:r>
      <w:r w:rsidRPr="00B94CD4">
        <w:rPr>
          <w:rFonts w:ascii="Abadi" w:hAnsi="Abadi"/>
          <w:b w:val="0"/>
          <w:bCs w:val="0"/>
          <w:spacing w:val="26"/>
          <w:sz w:val="21"/>
          <w:szCs w:val="21"/>
        </w:rPr>
        <w:t xml:space="preserve"> </w:t>
      </w:r>
      <w:r w:rsidRPr="00B94CD4">
        <w:rPr>
          <w:rFonts w:ascii="Abadi" w:hAnsi="Abadi"/>
          <w:b w:val="0"/>
          <w:bCs w:val="0"/>
          <w:sz w:val="21"/>
          <w:szCs w:val="21"/>
        </w:rPr>
        <w:t>del</w:t>
      </w:r>
      <w:r w:rsidRPr="00B94CD4">
        <w:rPr>
          <w:rFonts w:ascii="Abadi" w:hAnsi="Abadi"/>
          <w:b w:val="0"/>
          <w:bCs w:val="0"/>
          <w:spacing w:val="26"/>
          <w:sz w:val="21"/>
          <w:szCs w:val="21"/>
        </w:rPr>
        <w:t xml:space="preserve"> </w:t>
      </w:r>
      <w:r w:rsidRPr="00B94CD4">
        <w:rPr>
          <w:rFonts w:ascii="Abadi" w:hAnsi="Abadi"/>
          <w:b w:val="0"/>
          <w:bCs w:val="0"/>
          <w:sz w:val="21"/>
          <w:szCs w:val="21"/>
        </w:rPr>
        <w:t>Grupo</w:t>
      </w:r>
      <w:r w:rsidRPr="00B94CD4">
        <w:rPr>
          <w:rFonts w:ascii="Abadi" w:hAnsi="Abadi"/>
          <w:b w:val="0"/>
          <w:bCs w:val="0"/>
          <w:spacing w:val="26"/>
          <w:sz w:val="21"/>
          <w:szCs w:val="21"/>
        </w:rPr>
        <w:t xml:space="preserve"> </w:t>
      </w:r>
      <w:r w:rsidRPr="00B94CD4">
        <w:rPr>
          <w:rFonts w:ascii="Abadi" w:hAnsi="Abadi"/>
          <w:b w:val="0"/>
          <w:bCs w:val="0"/>
          <w:sz w:val="21"/>
          <w:szCs w:val="21"/>
        </w:rPr>
        <w:t>Parlamentario</w:t>
      </w:r>
      <w:r w:rsidRPr="00B94CD4">
        <w:rPr>
          <w:rFonts w:ascii="Abadi" w:hAnsi="Abadi"/>
          <w:b w:val="0"/>
          <w:bCs w:val="0"/>
          <w:spacing w:val="26"/>
          <w:sz w:val="21"/>
          <w:szCs w:val="21"/>
        </w:rPr>
        <w:t xml:space="preserve"> </w:t>
      </w:r>
      <w:r w:rsidRPr="00B94CD4">
        <w:rPr>
          <w:rFonts w:ascii="Abadi" w:hAnsi="Abadi"/>
          <w:b w:val="0"/>
          <w:bCs w:val="0"/>
          <w:sz w:val="21"/>
          <w:szCs w:val="21"/>
        </w:rPr>
        <w:t>del</w:t>
      </w:r>
      <w:r w:rsidRPr="00B94CD4">
        <w:rPr>
          <w:rFonts w:ascii="Abadi" w:hAnsi="Abadi"/>
          <w:b w:val="0"/>
          <w:bCs w:val="0"/>
          <w:spacing w:val="26"/>
          <w:sz w:val="21"/>
          <w:szCs w:val="21"/>
        </w:rPr>
        <w:t xml:space="preserve"> </w:t>
      </w:r>
      <w:r w:rsidRPr="00B94CD4">
        <w:rPr>
          <w:rFonts w:ascii="Abadi" w:hAnsi="Abadi"/>
          <w:b w:val="0"/>
          <w:bCs w:val="0"/>
          <w:sz w:val="21"/>
          <w:szCs w:val="21"/>
        </w:rPr>
        <w:t>Partido</w:t>
      </w:r>
      <w:r w:rsidRPr="00B94CD4">
        <w:rPr>
          <w:rFonts w:ascii="Abadi" w:hAnsi="Abadi"/>
          <w:b w:val="0"/>
          <w:bCs w:val="0"/>
          <w:spacing w:val="26"/>
          <w:sz w:val="21"/>
          <w:szCs w:val="21"/>
        </w:rPr>
        <w:t xml:space="preserve"> </w:t>
      </w:r>
      <w:r w:rsidRPr="00B94CD4">
        <w:rPr>
          <w:rFonts w:ascii="Abadi" w:hAnsi="Abadi"/>
          <w:b w:val="0"/>
          <w:bCs w:val="0"/>
          <w:sz w:val="21"/>
          <w:szCs w:val="21"/>
        </w:rPr>
        <w:t>MORENA,</w:t>
      </w:r>
      <w:r w:rsidRPr="00B94CD4">
        <w:rPr>
          <w:rFonts w:ascii="Abadi" w:hAnsi="Abadi"/>
          <w:b w:val="0"/>
          <w:bCs w:val="0"/>
          <w:spacing w:val="26"/>
          <w:sz w:val="21"/>
          <w:szCs w:val="21"/>
        </w:rPr>
        <w:t xml:space="preserve"> </w:t>
      </w:r>
      <w:r w:rsidRPr="00B94CD4">
        <w:rPr>
          <w:rFonts w:ascii="Abadi" w:hAnsi="Abadi"/>
          <w:b w:val="0"/>
          <w:bCs w:val="0"/>
          <w:sz w:val="21"/>
          <w:szCs w:val="21"/>
        </w:rPr>
        <w:t>por</w:t>
      </w:r>
      <w:r w:rsidRPr="00B94CD4">
        <w:rPr>
          <w:rFonts w:ascii="Abadi" w:hAnsi="Abadi"/>
          <w:b w:val="0"/>
          <w:bCs w:val="0"/>
          <w:spacing w:val="26"/>
          <w:sz w:val="21"/>
          <w:szCs w:val="21"/>
        </w:rPr>
        <w:t xml:space="preserve"> </w:t>
      </w:r>
      <w:r w:rsidRPr="00B94CD4">
        <w:rPr>
          <w:rFonts w:ascii="Abadi" w:hAnsi="Abadi"/>
          <w:b w:val="0"/>
          <w:bCs w:val="0"/>
          <w:sz w:val="21"/>
          <w:szCs w:val="21"/>
        </w:rPr>
        <w:t>la</w:t>
      </w:r>
      <w:r w:rsidRPr="00B94CD4">
        <w:rPr>
          <w:rFonts w:ascii="Abadi" w:hAnsi="Abadi"/>
          <w:b w:val="0"/>
          <w:bCs w:val="0"/>
          <w:spacing w:val="-1"/>
          <w:sz w:val="21"/>
          <w:szCs w:val="21"/>
        </w:rPr>
        <w:t xml:space="preserve"> </w:t>
      </w:r>
      <w:r w:rsidRPr="00B94CD4">
        <w:rPr>
          <w:rFonts w:ascii="Abadi" w:hAnsi="Abadi"/>
          <w:b w:val="0"/>
          <w:bCs w:val="0"/>
          <w:sz w:val="21"/>
          <w:szCs w:val="21"/>
        </w:rPr>
        <w:t>que</w:t>
      </w:r>
      <w:r w:rsidRPr="00B94CD4">
        <w:rPr>
          <w:rFonts w:ascii="Abadi" w:hAnsi="Abadi"/>
          <w:b w:val="0"/>
          <w:bCs w:val="0"/>
          <w:spacing w:val="15"/>
          <w:sz w:val="21"/>
          <w:szCs w:val="21"/>
        </w:rPr>
        <w:t xml:space="preserve"> </w:t>
      </w:r>
      <w:r w:rsidRPr="00B94CD4">
        <w:rPr>
          <w:rFonts w:ascii="Abadi" w:hAnsi="Abadi"/>
          <w:b w:val="0"/>
          <w:bCs w:val="0"/>
          <w:sz w:val="21"/>
          <w:szCs w:val="21"/>
        </w:rPr>
        <w:t>se</w:t>
      </w:r>
      <w:r w:rsidRPr="00B94CD4">
        <w:rPr>
          <w:rFonts w:ascii="Abadi" w:hAnsi="Abadi"/>
          <w:b w:val="0"/>
          <w:bCs w:val="0"/>
          <w:spacing w:val="15"/>
          <w:sz w:val="21"/>
          <w:szCs w:val="21"/>
        </w:rPr>
        <w:t xml:space="preserve"> </w:t>
      </w:r>
      <w:r w:rsidRPr="00B94CD4">
        <w:rPr>
          <w:rFonts w:ascii="Abadi" w:hAnsi="Abadi"/>
          <w:b w:val="0"/>
          <w:bCs w:val="0"/>
          <w:sz w:val="21"/>
          <w:szCs w:val="21"/>
        </w:rPr>
        <w:t>reforma</w:t>
      </w:r>
      <w:r w:rsidRPr="00B94CD4">
        <w:rPr>
          <w:rFonts w:ascii="Abadi" w:hAnsi="Abadi"/>
          <w:b w:val="0"/>
          <w:bCs w:val="0"/>
          <w:spacing w:val="15"/>
          <w:sz w:val="21"/>
          <w:szCs w:val="21"/>
        </w:rPr>
        <w:t xml:space="preserve"> </w:t>
      </w:r>
      <w:r w:rsidRPr="00B94CD4">
        <w:rPr>
          <w:rFonts w:ascii="Abadi" w:hAnsi="Abadi"/>
          <w:b w:val="0"/>
          <w:bCs w:val="0"/>
          <w:sz w:val="21"/>
          <w:szCs w:val="21"/>
        </w:rPr>
        <w:t>el</w:t>
      </w:r>
      <w:r w:rsidRPr="00B94CD4">
        <w:rPr>
          <w:rFonts w:ascii="Abadi" w:hAnsi="Abadi"/>
          <w:b w:val="0"/>
          <w:bCs w:val="0"/>
          <w:spacing w:val="15"/>
          <w:sz w:val="21"/>
          <w:szCs w:val="21"/>
        </w:rPr>
        <w:t xml:space="preserve"> </w:t>
      </w:r>
      <w:r w:rsidRPr="00B94CD4">
        <w:rPr>
          <w:rFonts w:ascii="Abadi" w:hAnsi="Abadi"/>
          <w:b w:val="0"/>
          <w:bCs w:val="0"/>
          <w:sz w:val="21"/>
          <w:szCs w:val="21"/>
        </w:rPr>
        <w:t>último</w:t>
      </w:r>
      <w:r w:rsidRPr="00B94CD4">
        <w:rPr>
          <w:rFonts w:ascii="Abadi" w:hAnsi="Abadi"/>
          <w:b w:val="0"/>
          <w:bCs w:val="0"/>
          <w:spacing w:val="15"/>
          <w:sz w:val="21"/>
          <w:szCs w:val="21"/>
        </w:rPr>
        <w:t xml:space="preserve"> </w:t>
      </w:r>
      <w:r w:rsidRPr="00B94CD4">
        <w:rPr>
          <w:rFonts w:ascii="Abadi" w:hAnsi="Abadi"/>
          <w:b w:val="0"/>
          <w:bCs w:val="0"/>
          <w:sz w:val="21"/>
          <w:szCs w:val="21"/>
        </w:rPr>
        <w:t>párrafo</w:t>
      </w:r>
      <w:r w:rsidRPr="00B94CD4">
        <w:rPr>
          <w:rFonts w:ascii="Abadi" w:hAnsi="Abadi"/>
          <w:b w:val="0"/>
          <w:bCs w:val="0"/>
          <w:spacing w:val="15"/>
          <w:sz w:val="21"/>
          <w:szCs w:val="21"/>
        </w:rPr>
        <w:t xml:space="preserve"> </w:t>
      </w:r>
      <w:r w:rsidRPr="00B94CD4">
        <w:rPr>
          <w:rFonts w:ascii="Abadi" w:hAnsi="Abadi"/>
          <w:b w:val="0"/>
          <w:bCs w:val="0"/>
          <w:sz w:val="21"/>
          <w:szCs w:val="21"/>
        </w:rPr>
        <w:t>y</w:t>
      </w:r>
      <w:r w:rsidRPr="00B94CD4">
        <w:rPr>
          <w:rFonts w:ascii="Abadi" w:hAnsi="Abadi"/>
          <w:b w:val="0"/>
          <w:bCs w:val="0"/>
          <w:spacing w:val="15"/>
          <w:sz w:val="21"/>
          <w:szCs w:val="21"/>
        </w:rPr>
        <w:t xml:space="preserve"> </w:t>
      </w:r>
      <w:r w:rsidRPr="00B94CD4">
        <w:rPr>
          <w:rFonts w:ascii="Abadi" w:hAnsi="Abadi"/>
          <w:b w:val="0"/>
          <w:bCs w:val="0"/>
          <w:sz w:val="21"/>
          <w:szCs w:val="21"/>
        </w:rPr>
        <w:t>se</w:t>
      </w:r>
      <w:r w:rsidRPr="00B94CD4">
        <w:rPr>
          <w:rFonts w:ascii="Abadi" w:hAnsi="Abadi"/>
          <w:b w:val="0"/>
          <w:bCs w:val="0"/>
          <w:spacing w:val="15"/>
          <w:sz w:val="21"/>
          <w:szCs w:val="21"/>
        </w:rPr>
        <w:t xml:space="preserve"> </w:t>
      </w:r>
      <w:r w:rsidRPr="00B94CD4">
        <w:rPr>
          <w:rFonts w:ascii="Abadi" w:hAnsi="Abadi"/>
          <w:b w:val="0"/>
          <w:bCs w:val="0"/>
          <w:sz w:val="21"/>
          <w:szCs w:val="21"/>
        </w:rPr>
        <w:t>adiciona</w:t>
      </w:r>
      <w:r w:rsidRPr="00B94CD4">
        <w:rPr>
          <w:rFonts w:ascii="Abadi" w:hAnsi="Abadi"/>
          <w:b w:val="0"/>
          <w:bCs w:val="0"/>
          <w:spacing w:val="15"/>
          <w:sz w:val="21"/>
          <w:szCs w:val="21"/>
        </w:rPr>
        <w:t xml:space="preserve"> </w:t>
      </w:r>
      <w:r w:rsidRPr="00B94CD4">
        <w:rPr>
          <w:rFonts w:ascii="Abadi" w:hAnsi="Abadi"/>
          <w:b w:val="0"/>
          <w:bCs w:val="0"/>
          <w:sz w:val="21"/>
          <w:szCs w:val="21"/>
        </w:rPr>
        <w:t>la</w:t>
      </w:r>
      <w:r w:rsidRPr="00B94CD4">
        <w:rPr>
          <w:rFonts w:ascii="Abadi" w:hAnsi="Abadi"/>
          <w:b w:val="0"/>
          <w:bCs w:val="0"/>
          <w:spacing w:val="15"/>
          <w:sz w:val="21"/>
          <w:szCs w:val="21"/>
        </w:rPr>
        <w:t xml:space="preserve"> </w:t>
      </w:r>
      <w:r w:rsidRPr="00B94CD4">
        <w:rPr>
          <w:rFonts w:ascii="Abadi" w:hAnsi="Abadi"/>
          <w:b w:val="0"/>
          <w:bCs w:val="0"/>
          <w:sz w:val="21"/>
          <w:szCs w:val="21"/>
        </w:rPr>
        <w:t>fracción</w:t>
      </w:r>
      <w:r w:rsidRPr="00B94CD4">
        <w:rPr>
          <w:rFonts w:ascii="Abadi" w:hAnsi="Abadi"/>
          <w:b w:val="0"/>
          <w:bCs w:val="0"/>
          <w:spacing w:val="15"/>
          <w:sz w:val="21"/>
          <w:szCs w:val="21"/>
        </w:rPr>
        <w:t xml:space="preserve"> </w:t>
      </w:r>
      <w:r w:rsidRPr="00B94CD4">
        <w:rPr>
          <w:rFonts w:ascii="Abadi" w:hAnsi="Abadi"/>
          <w:b w:val="0"/>
          <w:bCs w:val="0"/>
          <w:sz w:val="21"/>
          <w:szCs w:val="21"/>
        </w:rPr>
        <w:t>XI</w:t>
      </w:r>
      <w:r w:rsidRPr="00B94CD4">
        <w:rPr>
          <w:rFonts w:ascii="Abadi" w:hAnsi="Abadi"/>
          <w:b w:val="0"/>
          <w:bCs w:val="0"/>
          <w:spacing w:val="15"/>
          <w:sz w:val="21"/>
          <w:szCs w:val="21"/>
        </w:rPr>
        <w:t xml:space="preserve"> </w:t>
      </w:r>
      <w:r w:rsidRPr="00B94CD4">
        <w:rPr>
          <w:rFonts w:ascii="Abadi" w:hAnsi="Abadi"/>
          <w:b w:val="0"/>
          <w:bCs w:val="0"/>
          <w:sz w:val="21"/>
          <w:szCs w:val="21"/>
        </w:rPr>
        <w:t>recorriéndose</w:t>
      </w:r>
      <w:r w:rsidRPr="00B94CD4">
        <w:rPr>
          <w:rFonts w:ascii="Abadi" w:hAnsi="Abadi"/>
          <w:b w:val="0"/>
          <w:bCs w:val="0"/>
          <w:spacing w:val="-1"/>
          <w:sz w:val="21"/>
          <w:szCs w:val="21"/>
        </w:rPr>
        <w:t xml:space="preserve"> </w:t>
      </w:r>
      <w:r w:rsidRPr="00B94CD4">
        <w:rPr>
          <w:rFonts w:ascii="Abadi" w:hAnsi="Abadi"/>
          <w:b w:val="0"/>
          <w:bCs w:val="0"/>
          <w:sz w:val="21"/>
          <w:szCs w:val="21"/>
        </w:rPr>
        <w:t>las</w:t>
      </w:r>
      <w:r w:rsidRPr="00B94CD4">
        <w:rPr>
          <w:rFonts w:ascii="Abadi" w:hAnsi="Abadi"/>
          <w:b w:val="0"/>
          <w:bCs w:val="0"/>
          <w:spacing w:val="-4"/>
          <w:sz w:val="21"/>
          <w:szCs w:val="21"/>
        </w:rPr>
        <w:t xml:space="preserve"> </w:t>
      </w:r>
      <w:r w:rsidRPr="00B94CD4">
        <w:rPr>
          <w:rFonts w:ascii="Abadi" w:hAnsi="Abadi"/>
          <w:b w:val="0"/>
          <w:bCs w:val="0"/>
          <w:sz w:val="21"/>
          <w:szCs w:val="21"/>
        </w:rPr>
        <w:t>subsecuentes</w:t>
      </w:r>
      <w:r w:rsidRPr="00B94CD4">
        <w:rPr>
          <w:rFonts w:ascii="Abadi" w:hAnsi="Abadi"/>
          <w:b w:val="0"/>
          <w:bCs w:val="0"/>
          <w:spacing w:val="-4"/>
          <w:sz w:val="21"/>
          <w:szCs w:val="21"/>
        </w:rPr>
        <w:t xml:space="preserve"> </w:t>
      </w:r>
      <w:r w:rsidRPr="00B94CD4">
        <w:rPr>
          <w:rFonts w:ascii="Abadi" w:hAnsi="Abadi"/>
          <w:b w:val="0"/>
          <w:bCs w:val="0"/>
          <w:sz w:val="21"/>
          <w:szCs w:val="21"/>
        </w:rPr>
        <w:t>al</w:t>
      </w:r>
      <w:r w:rsidRPr="00B94CD4">
        <w:rPr>
          <w:rFonts w:ascii="Abadi" w:hAnsi="Abadi"/>
          <w:b w:val="0"/>
          <w:bCs w:val="0"/>
          <w:spacing w:val="-4"/>
          <w:sz w:val="21"/>
          <w:szCs w:val="21"/>
        </w:rPr>
        <w:t xml:space="preserve"> </w:t>
      </w:r>
      <w:r w:rsidRPr="00B94CD4">
        <w:rPr>
          <w:rFonts w:ascii="Abadi" w:hAnsi="Abadi"/>
          <w:b w:val="0"/>
          <w:bCs w:val="0"/>
          <w:sz w:val="21"/>
          <w:szCs w:val="21"/>
        </w:rPr>
        <w:t>artículo</w:t>
      </w:r>
      <w:r w:rsidRPr="00B94CD4">
        <w:rPr>
          <w:rFonts w:ascii="Abadi" w:hAnsi="Abadi"/>
          <w:b w:val="0"/>
          <w:bCs w:val="0"/>
          <w:spacing w:val="-4"/>
          <w:sz w:val="21"/>
          <w:szCs w:val="21"/>
        </w:rPr>
        <w:t xml:space="preserve"> </w:t>
      </w:r>
      <w:r w:rsidRPr="00B94CD4">
        <w:rPr>
          <w:rFonts w:ascii="Abadi" w:hAnsi="Abadi"/>
          <w:b w:val="0"/>
          <w:bCs w:val="0"/>
          <w:sz w:val="21"/>
          <w:szCs w:val="21"/>
        </w:rPr>
        <w:t>124</w:t>
      </w:r>
      <w:r w:rsidRPr="00B94CD4">
        <w:rPr>
          <w:rFonts w:ascii="Abadi" w:hAnsi="Abadi"/>
          <w:b w:val="0"/>
          <w:bCs w:val="0"/>
          <w:spacing w:val="-4"/>
          <w:sz w:val="21"/>
          <w:szCs w:val="21"/>
        </w:rPr>
        <w:t xml:space="preserve"> </w:t>
      </w:r>
      <w:r w:rsidRPr="00B94CD4">
        <w:rPr>
          <w:rFonts w:ascii="Abadi" w:hAnsi="Abadi"/>
          <w:b w:val="0"/>
          <w:bCs w:val="0"/>
          <w:sz w:val="21"/>
          <w:szCs w:val="21"/>
        </w:rPr>
        <w:t>y</w:t>
      </w:r>
      <w:r w:rsidRPr="00B94CD4">
        <w:rPr>
          <w:rFonts w:ascii="Abadi" w:hAnsi="Abadi"/>
          <w:b w:val="0"/>
          <w:bCs w:val="0"/>
          <w:spacing w:val="-4"/>
          <w:sz w:val="21"/>
          <w:szCs w:val="21"/>
        </w:rPr>
        <w:t xml:space="preserve"> </w:t>
      </w:r>
      <w:r w:rsidRPr="00B94CD4">
        <w:rPr>
          <w:rFonts w:ascii="Abadi" w:hAnsi="Abadi"/>
          <w:b w:val="0"/>
          <w:bCs w:val="0"/>
          <w:sz w:val="21"/>
          <w:szCs w:val="21"/>
        </w:rPr>
        <w:t>se</w:t>
      </w:r>
      <w:r w:rsidRPr="00B94CD4">
        <w:rPr>
          <w:rFonts w:ascii="Abadi" w:hAnsi="Abadi"/>
          <w:b w:val="0"/>
          <w:bCs w:val="0"/>
          <w:spacing w:val="-4"/>
          <w:sz w:val="21"/>
          <w:szCs w:val="21"/>
        </w:rPr>
        <w:t xml:space="preserve"> </w:t>
      </w:r>
      <w:r w:rsidRPr="00B94CD4">
        <w:rPr>
          <w:rFonts w:ascii="Abadi" w:hAnsi="Abadi"/>
          <w:b w:val="0"/>
          <w:bCs w:val="0"/>
          <w:sz w:val="21"/>
          <w:szCs w:val="21"/>
        </w:rPr>
        <w:t>adiciona</w:t>
      </w:r>
      <w:r w:rsidRPr="00B94CD4">
        <w:rPr>
          <w:rFonts w:ascii="Abadi" w:hAnsi="Abadi"/>
          <w:b w:val="0"/>
          <w:bCs w:val="0"/>
          <w:spacing w:val="-3"/>
          <w:sz w:val="21"/>
          <w:szCs w:val="21"/>
        </w:rPr>
        <w:t xml:space="preserve"> </w:t>
      </w:r>
      <w:r w:rsidRPr="00B94CD4">
        <w:rPr>
          <w:rFonts w:ascii="Abadi" w:hAnsi="Abadi"/>
          <w:b w:val="0"/>
          <w:bCs w:val="0"/>
          <w:sz w:val="21"/>
          <w:szCs w:val="21"/>
        </w:rPr>
        <w:t>el</w:t>
      </w:r>
      <w:r w:rsidRPr="00B94CD4">
        <w:rPr>
          <w:rFonts w:ascii="Abadi" w:hAnsi="Abadi"/>
          <w:b w:val="0"/>
          <w:bCs w:val="0"/>
          <w:spacing w:val="-4"/>
          <w:sz w:val="21"/>
          <w:szCs w:val="21"/>
        </w:rPr>
        <w:t xml:space="preserve"> </w:t>
      </w:r>
      <w:r w:rsidRPr="00B94CD4">
        <w:rPr>
          <w:rFonts w:ascii="Abadi" w:hAnsi="Abadi"/>
          <w:b w:val="0"/>
          <w:bCs w:val="0"/>
          <w:sz w:val="21"/>
          <w:szCs w:val="21"/>
        </w:rPr>
        <w:t>inciso</w:t>
      </w:r>
      <w:r w:rsidRPr="00B94CD4">
        <w:rPr>
          <w:rFonts w:ascii="Abadi" w:hAnsi="Abadi"/>
          <w:b w:val="0"/>
          <w:bCs w:val="0"/>
          <w:spacing w:val="-4"/>
          <w:sz w:val="21"/>
          <w:szCs w:val="21"/>
        </w:rPr>
        <w:t xml:space="preserve"> </w:t>
      </w:r>
      <w:r w:rsidRPr="00B94CD4">
        <w:rPr>
          <w:rFonts w:ascii="Abadi" w:hAnsi="Abadi"/>
          <w:b w:val="0"/>
          <w:bCs w:val="0"/>
          <w:sz w:val="21"/>
          <w:szCs w:val="21"/>
        </w:rPr>
        <w:t>o,</w:t>
      </w:r>
      <w:r w:rsidRPr="00B94CD4">
        <w:rPr>
          <w:rFonts w:ascii="Abadi" w:hAnsi="Abadi"/>
          <w:b w:val="0"/>
          <w:bCs w:val="0"/>
          <w:spacing w:val="-4"/>
          <w:sz w:val="21"/>
          <w:szCs w:val="21"/>
        </w:rPr>
        <w:t xml:space="preserve"> </w:t>
      </w:r>
      <w:r w:rsidRPr="00B94CD4">
        <w:rPr>
          <w:rFonts w:ascii="Abadi" w:hAnsi="Abadi"/>
          <w:b w:val="0"/>
          <w:bCs w:val="0"/>
          <w:sz w:val="21"/>
          <w:szCs w:val="21"/>
        </w:rPr>
        <w:t>a</w:t>
      </w:r>
      <w:r w:rsidRPr="00B94CD4">
        <w:rPr>
          <w:rFonts w:ascii="Abadi" w:hAnsi="Abadi"/>
          <w:b w:val="0"/>
          <w:bCs w:val="0"/>
          <w:spacing w:val="-4"/>
          <w:sz w:val="21"/>
          <w:szCs w:val="21"/>
        </w:rPr>
        <w:t xml:space="preserve"> </w:t>
      </w:r>
      <w:r w:rsidRPr="00B94CD4">
        <w:rPr>
          <w:rFonts w:ascii="Abadi" w:hAnsi="Abadi"/>
          <w:b w:val="0"/>
          <w:bCs w:val="0"/>
          <w:sz w:val="21"/>
          <w:szCs w:val="21"/>
        </w:rPr>
        <w:t>la</w:t>
      </w:r>
      <w:r w:rsidRPr="00B94CD4">
        <w:rPr>
          <w:rFonts w:ascii="Abadi" w:hAnsi="Abadi"/>
          <w:b w:val="0"/>
          <w:bCs w:val="0"/>
          <w:spacing w:val="-4"/>
          <w:sz w:val="21"/>
          <w:szCs w:val="21"/>
        </w:rPr>
        <w:t xml:space="preserve"> </w:t>
      </w:r>
      <w:r w:rsidRPr="00B94CD4">
        <w:rPr>
          <w:rFonts w:ascii="Abadi" w:hAnsi="Abadi"/>
          <w:b w:val="0"/>
          <w:bCs w:val="0"/>
          <w:sz w:val="21"/>
          <w:szCs w:val="21"/>
        </w:rPr>
        <w:t>fracción</w:t>
      </w:r>
      <w:r w:rsidRPr="00B94CD4">
        <w:rPr>
          <w:rFonts w:ascii="Abadi" w:hAnsi="Abadi"/>
          <w:b w:val="0"/>
          <w:bCs w:val="0"/>
          <w:spacing w:val="-4"/>
          <w:sz w:val="21"/>
          <w:szCs w:val="21"/>
        </w:rPr>
        <w:t xml:space="preserve"> </w:t>
      </w:r>
      <w:r w:rsidRPr="00B94CD4">
        <w:rPr>
          <w:rFonts w:ascii="Abadi" w:hAnsi="Abadi"/>
          <w:b w:val="0"/>
          <w:bCs w:val="0"/>
          <w:sz w:val="21"/>
          <w:szCs w:val="21"/>
        </w:rPr>
        <w:t>V</w:t>
      </w:r>
      <w:r w:rsidRPr="00B94CD4">
        <w:rPr>
          <w:rFonts w:ascii="Abadi" w:hAnsi="Abadi"/>
          <w:b w:val="0"/>
          <w:bCs w:val="0"/>
          <w:spacing w:val="-3"/>
          <w:sz w:val="21"/>
          <w:szCs w:val="21"/>
        </w:rPr>
        <w:t xml:space="preserve"> </w:t>
      </w:r>
      <w:r w:rsidRPr="00B94CD4">
        <w:rPr>
          <w:rFonts w:ascii="Abadi" w:hAnsi="Abadi"/>
          <w:b w:val="0"/>
          <w:bCs w:val="0"/>
          <w:sz w:val="21"/>
          <w:szCs w:val="21"/>
        </w:rPr>
        <w:t>del</w:t>
      </w:r>
      <w:r w:rsidRPr="00B94CD4">
        <w:rPr>
          <w:rFonts w:ascii="Abadi" w:hAnsi="Abadi"/>
          <w:b w:val="0"/>
          <w:bCs w:val="0"/>
          <w:spacing w:val="-1"/>
          <w:sz w:val="21"/>
          <w:szCs w:val="21"/>
        </w:rPr>
        <w:t xml:space="preserve"> </w:t>
      </w:r>
      <w:r w:rsidRPr="00B94CD4">
        <w:rPr>
          <w:rFonts w:ascii="Abadi" w:hAnsi="Abadi"/>
          <w:b w:val="0"/>
          <w:bCs w:val="0"/>
          <w:sz w:val="21"/>
          <w:szCs w:val="21"/>
        </w:rPr>
        <w:t xml:space="preserve">artículo 76, de la Ley Orgánica Municipal para el Estado de Guanajuato. </w:t>
      </w:r>
      <w:r w:rsidRPr="00B94CD4">
        <w:rPr>
          <w:rFonts w:ascii="Abadi" w:hAnsi="Abadi"/>
          <w:sz w:val="21"/>
          <w:szCs w:val="21"/>
        </w:rPr>
        <w:t>IX.-</w:t>
      </w:r>
      <w:r w:rsidRPr="00B94CD4">
        <w:rPr>
          <w:rFonts w:ascii="Abadi" w:hAnsi="Abadi"/>
          <w:b w:val="0"/>
          <w:bCs w:val="0"/>
          <w:sz w:val="21"/>
          <w:szCs w:val="21"/>
        </w:rPr>
        <w:t xml:space="preserve"> Presentación</w:t>
      </w:r>
      <w:r w:rsidRPr="00B94CD4">
        <w:rPr>
          <w:rFonts w:ascii="Abadi" w:hAnsi="Abadi"/>
          <w:b w:val="0"/>
          <w:bCs w:val="0"/>
          <w:spacing w:val="68"/>
          <w:sz w:val="21"/>
          <w:szCs w:val="21"/>
        </w:rPr>
        <w:t xml:space="preserve"> </w:t>
      </w:r>
      <w:r w:rsidRPr="00B94CD4">
        <w:rPr>
          <w:rFonts w:ascii="Abadi" w:hAnsi="Abadi"/>
          <w:b w:val="0"/>
          <w:bCs w:val="0"/>
          <w:sz w:val="21"/>
          <w:szCs w:val="21"/>
        </w:rPr>
        <w:t>de</w:t>
      </w:r>
      <w:r w:rsidRPr="00B94CD4">
        <w:rPr>
          <w:rFonts w:ascii="Abadi" w:hAnsi="Abadi"/>
          <w:b w:val="0"/>
          <w:bCs w:val="0"/>
          <w:spacing w:val="68"/>
          <w:sz w:val="21"/>
          <w:szCs w:val="21"/>
        </w:rPr>
        <w:t xml:space="preserve"> </w:t>
      </w:r>
      <w:r w:rsidRPr="00B94CD4">
        <w:rPr>
          <w:rFonts w:ascii="Abadi" w:hAnsi="Abadi"/>
          <w:b w:val="0"/>
          <w:bCs w:val="0"/>
          <w:sz w:val="21"/>
          <w:szCs w:val="21"/>
        </w:rPr>
        <w:t>la</w:t>
      </w:r>
      <w:r w:rsidRPr="00B94CD4">
        <w:rPr>
          <w:rFonts w:ascii="Abadi" w:hAnsi="Abadi"/>
          <w:b w:val="0"/>
          <w:bCs w:val="0"/>
          <w:spacing w:val="68"/>
          <w:sz w:val="21"/>
          <w:szCs w:val="21"/>
        </w:rPr>
        <w:t xml:space="preserve"> </w:t>
      </w:r>
      <w:r w:rsidRPr="00B94CD4">
        <w:rPr>
          <w:rFonts w:ascii="Abadi" w:hAnsi="Abadi"/>
          <w:b w:val="0"/>
          <w:bCs w:val="0"/>
          <w:sz w:val="21"/>
          <w:szCs w:val="21"/>
        </w:rPr>
        <w:t>iniciativa</w:t>
      </w:r>
      <w:r w:rsidRPr="00B94CD4">
        <w:rPr>
          <w:rFonts w:ascii="Abadi" w:hAnsi="Abadi"/>
          <w:b w:val="0"/>
          <w:bCs w:val="0"/>
          <w:spacing w:val="68"/>
          <w:sz w:val="21"/>
          <w:szCs w:val="21"/>
        </w:rPr>
        <w:t xml:space="preserve"> </w:t>
      </w:r>
      <w:r w:rsidRPr="00B94CD4">
        <w:rPr>
          <w:rFonts w:ascii="Abadi" w:hAnsi="Abadi"/>
          <w:b w:val="0"/>
          <w:bCs w:val="0"/>
          <w:sz w:val="21"/>
          <w:szCs w:val="21"/>
        </w:rPr>
        <w:t>a</w:t>
      </w:r>
      <w:r w:rsidRPr="00B94CD4">
        <w:rPr>
          <w:rFonts w:ascii="Abadi" w:hAnsi="Abadi"/>
          <w:b w:val="0"/>
          <w:bCs w:val="0"/>
          <w:spacing w:val="68"/>
          <w:sz w:val="21"/>
          <w:szCs w:val="21"/>
        </w:rPr>
        <w:t xml:space="preserve"> </w:t>
      </w:r>
      <w:r w:rsidRPr="00B94CD4">
        <w:rPr>
          <w:rFonts w:ascii="Abadi" w:hAnsi="Abadi"/>
          <w:b w:val="0"/>
          <w:bCs w:val="0"/>
          <w:sz w:val="21"/>
          <w:szCs w:val="21"/>
        </w:rPr>
        <w:t>efecto</w:t>
      </w:r>
      <w:r w:rsidRPr="00B94CD4">
        <w:rPr>
          <w:rFonts w:ascii="Abadi" w:hAnsi="Abadi"/>
          <w:b w:val="0"/>
          <w:bCs w:val="0"/>
          <w:spacing w:val="68"/>
          <w:sz w:val="21"/>
          <w:szCs w:val="21"/>
        </w:rPr>
        <w:t xml:space="preserve"> </w:t>
      </w:r>
      <w:r w:rsidRPr="00B94CD4">
        <w:rPr>
          <w:rFonts w:ascii="Abadi" w:hAnsi="Abadi"/>
          <w:b w:val="0"/>
          <w:bCs w:val="0"/>
          <w:sz w:val="21"/>
          <w:szCs w:val="21"/>
        </w:rPr>
        <w:t>de</w:t>
      </w:r>
      <w:r w:rsidRPr="00B94CD4">
        <w:rPr>
          <w:rFonts w:ascii="Abadi" w:hAnsi="Abadi"/>
          <w:b w:val="0"/>
          <w:bCs w:val="0"/>
          <w:spacing w:val="68"/>
          <w:sz w:val="21"/>
          <w:szCs w:val="21"/>
        </w:rPr>
        <w:t xml:space="preserve"> </w:t>
      </w:r>
      <w:r w:rsidRPr="00B94CD4">
        <w:rPr>
          <w:rFonts w:ascii="Abadi" w:hAnsi="Abadi"/>
          <w:b w:val="0"/>
          <w:bCs w:val="0"/>
          <w:sz w:val="21"/>
          <w:szCs w:val="21"/>
        </w:rPr>
        <w:t>reformar</w:t>
      </w:r>
      <w:r w:rsidRPr="00B94CD4">
        <w:rPr>
          <w:rFonts w:ascii="Abadi" w:hAnsi="Abadi"/>
          <w:b w:val="0"/>
          <w:bCs w:val="0"/>
          <w:spacing w:val="68"/>
          <w:sz w:val="21"/>
          <w:szCs w:val="21"/>
        </w:rPr>
        <w:t xml:space="preserve"> </w:t>
      </w:r>
      <w:r w:rsidRPr="00B94CD4">
        <w:rPr>
          <w:rFonts w:ascii="Abadi" w:hAnsi="Abadi"/>
          <w:b w:val="0"/>
          <w:bCs w:val="0"/>
          <w:sz w:val="21"/>
          <w:szCs w:val="21"/>
        </w:rPr>
        <w:t>y</w:t>
      </w:r>
      <w:r w:rsidRPr="00B94CD4">
        <w:rPr>
          <w:rFonts w:ascii="Abadi" w:hAnsi="Abadi"/>
          <w:b w:val="0"/>
          <w:bCs w:val="0"/>
          <w:spacing w:val="68"/>
          <w:sz w:val="21"/>
          <w:szCs w:val="21"/>
        </w:rPr>
        <w:t xml:space="preserve"> </w:t>
      </w:r>
      <w:r w:rsidRPr="00B94CD4">
        <w:rPr>
          <w:rFonts w:ascii="Abadi" w:hAnsi="Abadi"/>
          <w:b w:val="0"/>
          <w:bCs w:val="0"/>
          <w:sz w:val="21"/>
          <w:szCs w:val="21"/>
        </w:rPr>
        <w:t>adicionar</w:t>
      </w:r>
      <w:r w:rsidRPr="00B94CD4">
        <w:rPr>
          <w:rFonts w:ascii="Abadi" w:hAnsi="Abadi"/>
          <w:b w:val="0"/>
          <w:bCs w:val="0"/>
          <w:spacing w:val="68"/>
          <w:sz w:val="21"/>
          <w:szCs w:val="21"/>
        </w:rPr>
        <w:t xml:space="preserve"> </w:t>
      </w:r>
      <w:r w:rsidRPr="00B94CD4">
        <w:rPr>
          <w:rFonts w:ascii="Abadi" w:hAnsi="Abadi"/>
          <w:b w:val="0"/>
          <w:bCs w:val="0"/>
          <w:sz w:val="21"/>
          <w:szCs w:val="21"/>
        </w:rPr>
        <w:t>diversas</w:t>
      </w:r>
      <w:r w:rsidRPr="00B94CD4">
        <w:rPr>
          <w:rFonts w:ascii="Abadi" w:hAnsi="Abadi"/>
          <w:b w:val="0"/>
          <w:bCs w:val="0"/>
          <w:spacing w:val="-1"/>
          <w:sz w:val="21"/>
          <w:szCs w:val="21"/>
        </w:rPr>
        <w:t xml:space="preserve"> </w:t>
      </w:r>
      <w:r w:rsidRPr="00B94CD4">
        <w:rPr>
          <w:rFonts w:ascii="Abadi" w:hAnsi="Abadi"/>
          <w:b w:val="0"/>
          <w:bCs w:val="0"/>
          <w:sz w:val="21"/>
          <w:szCs w:val="21"/>
        </w:rPr>
        <w:t>disposiciones</w:t>
      </w:r>
      <w:r w:rsidRPr="00B94CD4">
        <w:rPr>
          <w:rFonts w:ascii="Abadi" w:hAnsi="Abadi"/>
          <w:b w:val="0"/>
          <w:bCs w:val="0"/>
          <w:spacing w:val="11"/>
          <w:sz w:val="21"/>
          <w:szCs w:val="21"/>
        </w:rPr>
        <w:t xml:space="preserve"> </w:t>
      </w:r>
      <w:r w:rsidRPr="00B94CD4">
        <w:rPr>
          <w:rFonts w:ascii="Abadi" w:hAnsi="Abadi"/>
          <w:b w:val="0"/>
          <w:bCs w:val="0"/>
          <w:sz w:val="21"/>
          <w:szCs w:val="21"/>
        </w:rPr>
        <w:t>de</w:t>
      </w:r>
      <w:r w:rsidRPr="00B94CD4">
        <w:rPr>
          <w:rFonts w:ascii="Abadi" w:hAnsi="Abadi"/>
          <w:b w:val="0"/>
          <w:bCs w:val="0"/>
          <w:spacing w:val="11"/>
          <w:sz w:val="21"/>
          <w:szCs w:val="21"/>
        </w:rPr>
        <w:t xml:space="preserve"> </w:t>
      </w:r>
      <w:r w:rsidRPr="00B94CD4">
        <w:rPr>
          <w:rFonts w:ascii="Abadi" w:hAnsi="Abadi"/>
          <w:b w:val="0"/>
          <w:bCs w:val="0"/>
          <w:sz w:val="21"/>
          <w:szCs w:val="21"/>
        </w:rPr>
        <w:t>la</w:t>
      </w:r>
      <w:r w:rsidRPr="00B94CD4">
        <w:rPr>
          <w:rFonts w:ascii="Abadi" w:hAnsi="Abadi"/>
          <w:b w:val="0"/>
          <w:bCs w:val="0"/>
          <w:spacing w:val="10"/>
          <w:sz w:val="21"/>
          <w:szCs w:val="21"/>
        </w:rPr>
        <w:t xml:space="preserve"> </w:t>
      </w:r>
      <w:r w:rsidRPr="00B94CD4">
        <w:rPr>
          <w:rFonts w:ascii="Abadi" w:hAnsi="Abadi"/>
          <w:b w:val="0"/>
          <w:bCs w:val="0"/>
          <w:sz w:val="21"/>
          <w:szCs w:val="21"/>
        </w:rPr>
        <w:t>Constitución</w:t>
      </w:r>
      <w:r w:rsidRPr="00B94CD4">
        <w:rPr>
          <w:rFonts w:ascii="Abadi" w:hAnsi="Abadi"/>
          <w:b w:val="0"/>
          <w:bCs w:val="0"/>
          <w:spacing w:val="10"/>
          <w:sz w:val="21"/>
          <w:szCs w:val="21"/>
        </w:rPr>
        <w:t xml:space="preserve"> </w:t>
      </w:r>
      <w:r w:rsidRPr="00B94CD4">
        <w:rPr>
          <w:rFonts w:ascii="Abadi" w:hAnsi="Abadi"/>
          <w:b w:val="0"/>
          <w:bCs w:val="0"/>
          <w:sz w:val="21"/>
          <w:szCs w:val="21"/>
        </w:rPr>
        <w:t>Política</w:t>
      </w:r>
      <w:r w:rsidRPr="00B94CD4">
        <w:rPr>
          <w:rFonts w:ascii="Abadi" w:hAnsi="Abadi"/>
          <w:b w:val="0"/>
          <w:bCs w:val="0"/>
          <w:spacing w:val="12"/>
          <w:sz w:val="21"/>
          <w:szCs w:val="21"/>
        </w:rPr>
        <w:t xml:space="preserve"> </w:t>
      </w:r>
      <w:r w:rsidRPr="00B94CD4">
        <w:rPr>
          <w:rFonts w:ascii="Abadi" w:hAnsi="Abadi"/>
          <w:b w:val="0"/>
          <w:bCs w:val="0"/>
          <w:sz w:val="21"/>
          <w:szCs w:val="21"/>
        </w:rPr>
        <w:t>para</w:t>
      </w:r>
      <w:r w:rsidRPr="00B94CD4">
        <w:rPr>
          <w:rFonts w:ascii="Abadi" w:hAnsi="Abadi"/>
          <w:b w:val="0"/>
          <w:bCs w:val="0"/>
          <w:spacing w:val="11"/>
          <w:sz w:val="21"/>
          <w:szCs w:val="21"/>
        </w:rPr>
        <w:t xml:space="preserve"> </w:t>
      </w:r>
      <w:r w:rsidRPr="00B94CD4">
        <w:rPr>
          <w:rFonts w:ascii="Abadi" w:hAnsi="Abadi"/>
          <w:b w:val="0"/>
          <w:bCs w:val="0"/>
          <w:sz w:val="21"/>
          <w:szCs w:val="21"/>
        </w:rPr>
        <w:t>el</w:t>
      </w:r>
      <w:r w:rsidRPr="00B94CD4">
        <w:rPr>
          <w:rFonts w:ascii="Abadi" w:hAnsi="Abadi"/>
          <w:b w:val="0"/>
          <w:bCs w:val="0"/>
          <w:spacing w:val="10"/>
          <w:sz w:val="21"/>
          <w:szCs w:val="21"/>
        </w:rPr>
        <w:t xml:space="preserve"> </w:t>
      </w:r>
      <w:r w:rsidRPr="00B94CD4">
        <w:rPr>
          <w:rFonts w:ascii="Abadi" w:hAnsi="Abadi"/>
          <w:b w:val="0"/>
          <w:bCs w:val="0"/>
          <w:sz w:val="21"/>
          <w:szCs w:val="21"/>
        </w:rPr>
        <w:t>Estado</w:t>
      </w:r>
      <w:r w:rsidRPr="00B94CD4">
        <w:rPr>
          <w:rFonts w:ascii="Abadi" w:hAnsi="Abadi"/>
          <w:b w:val="0"/>
          <w:bCs w:val="0"/>
          <w:spacing w:val="10"/>
          <w:sz w:val="21"/>
          <w:szCs w:val="21"/>
        </w:rPr>
        <w:t xml:space="preserve"> </w:t>
      </w:r>
      <w:r w:rsidRPr="00B94CD4">
        <w:rPr>
          <w:rFonts w:ascii="Abadi" w:hAnsi="Abadi"/>
          <w:b w:val="0"/>
          <w:bCs w:val="0"/>
          <w:sz w:val="21"/>
          <w:szCs w:val="21"/>
        </w:rPr>
        <w:t>de</w:t>
      </w:r>
      <w:r w:rsidRPr="00B94CD4">
        <w:rPr>
          <w:rFonts w:ascii="Abadi" w:hAnsi="Abadi"/>
          <w:b w:val="0"/>
          <w:bCs w:val="0"/>
          <w:spacing w:val="11"/>
          <w:sz w:val="21"/>
          <w:szCs w:val="21"/>
        </w:rPr>
        <w:t xml:space="preserve"> </w:t>
      </w:r>
      <w:r w:rsidRPr="00B94CD4">
        <w:rPr>
          <w:rFonts w:ascii="Abadi" w:hAnsi="Abadi"/>
          <w:b w:val="0"/>
          <w:bCs w:val="0"/>
          <w:sz w:val="21"/>
          <w:szCs w:val="21"/>
        </w:rPr>
        <w:t>Guanajuato,</w:t>
      </w:r>
      <w:r w:rsidRPr="00B94CD4">
        <w:rPr>
          <w:rFonts w:ascii="Abadi" w:hAnsi="Abadi"/>
          <w:b w:val="0"/>
          <w:bCs w:val="0"/>
          <w:spacing w:val="10"/>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la</w:t>
      </w:r>
      <w:r w:rsidRPr="00B94CD4">
        <w:rPr>
          <w:rFonts w:ascii="Abadi" w:hAnsi="Abadi"/>
          <w:b w:val="0"/>
          <w:bCs w:val="0"/>
          <w:spacing w:val="30"/>
          <w:sz w:val="21"/>
          <w:szCs w:val="21"/>
        </w:rPr>
        <w:t xml:space="preserve"> </w:t>
      </w:r>
      <w:r w:rsidRPr="00B94CD4">
        <w:rPr>
          <w:rFonts w:ascii="Abadi" w:hAnsi="Abadi"/>
          <w:b w:val="0"/>
          <w:bCs w:val="0"/>
          <w:sz w:val="21"/>
          <w:szCs w:val="21"/>
        </w:rPr>
        <w:t>Ley</w:t>
      </w:r>
      <w:r w:rsidRPr="00B94CD4">
        <w:rPr>
          <w:rFonts w:ascii="Abadi" w:hAnsi="Abadi"/>
          <w:b w:val="0"/>
          <w:bCs w:val="0"/>
          <w:spacing w:val="30"/>
          <w:sz w:val="21"/>
          <w:szCs w:val="21"/>
        </w:rPr>
        <w:t xml:space="preserve"> </w:t>
      </w:r>
      <w:r w:rsidRPr="00B94CD4">
        <w:rPr>
          <w:rFonts w:ascii="Abadi" w:hAnsi="Abadi"/>
          <w:b w:val="0"/>
          <w:bCs w:val="0"/>
          <w:sz w:val="21"/>
          <w:szCs w:val="21"/>
        </w:rPr>
        <w:t>de</w:t>
      </w:r>
      <w:r w:rsidRPr="00B94CD4">
        <w:rPr>
          <w:rFonts w:ascii="Abadi" w:hAnsi="Abadi"/>
          <w:b w:val="0"/>
          <w:bCs w:val="0"/>
          <w:spacing w:val="30"/>
          <w:sz w:val="21"/>
          <w:szCs w:val="21"/>
        </w:rPr>
        <w:t xml:space="preserve"> </w:t>
      </w:r>
      <w:r w:rsidRPr="00B94CD4">
        <w:rPr>
          <w:rFonts w:ascii="Abadi" w:hAnsi="Abadi"/>
          <w:b w:val="0"/>
          <w:bCs w:val="0"/>
          <w:sz w:val="21"/>
          <w:szCs w:val="21"/>
        </w:rPr>
        <w:t>Inclusión</w:t>
      </w:r>
      <w:r w:rsidRPr="00B94CD4">
        <w:rPr>
          <w:rFonts w:ascii="Abadi" w:hAnsi="Abadi"/>
          <w:b w:val="0"/>
          <w:bCs w:val="0"/>
          <w:spacing w:val="30"/>
          <w:sz w:val="21"/>
          <w:szCs w:val="21"/>
        </w:rPr>
        <w:t xml:space="preserve"> </w:t>
      </w:r>
      <w:r w:rsidRPr="00B94CD4">
        <w:rPr>
          <w:rFonts w:ascii="Abadi" w:hAnsi="Abadi"/>
          <w:b w:val="0"/>
          <w:bCs w:val="0"/>
          <w:sz w:val="21"/>
          <w:szCs w:val="21"/>
        </w:rPr>
        <w:t>para</w:t>
      </w:r>
      <w:r w:rsidRPr="00B94CD4">
        <w:rPr>
          <w:rFonts w:ascii="Abadi" w:hAnsi="Abadi"/>
          <w:b w:val="0"/>
          <w:bCs w:val="0"/>
          <w:spacing w:val="30"/>
          <w:sz w:val="21"/>
          <w:szCs w:val="21"/>
        </w:rPr>
        <w:t xml:space="preserve"> </w:t>
      </w:r>
      <w:r w:rsidRPr="00B94CD4">
        <w:rPr>
          <w:rFonts w:ascii="Abadi" w:hAnsi="Abadi"/>
          <w:b w:val="0"/>
          <w:bCs w:val="0"/>
          <w:sz w:val="21"/>
          <w:szCs w:val="21"/>
        </w:rPr>
        <w:t>las</w:t>
      </w:r>
      <w:r w:rsidRPr="00B94CD4">
        <w:rPr>
          <w:rFonts w:ascii="Abadi" w:hAnsi="Abadi"/>
          <w:b w:val="0"/>
          <w:bCs w:val="0"/>
          <w:spacing w:val="30"/>
          <w:sz w:val="21"/>
          <w:szCs w:val="21"/>
        </w:rPr>
        <w:t xml:space="preserve"> </w:t>
      </w:r>
      <w:r w:rsidRPr="00B94CD4">
        <w:rPr>
          <w:rFonts w:ascii="Abadi" w:hAnsi="Abadi"/>
          <w:b w:val="0"/>
          <w:bCs w:val="0"/>
          <w:sz w:val="21"/>
          <w:szCs w:val="21"/>
        </w:rPr>
        <w:t>Personas</w:t>
      </w:r>
      <w:r w:rsidRPr="00B94CD4">
        <w:rPr>
          <w:rFonts w:ascii="Abadi" w:hAnsi="Abadi"/>
          <w:b w:val="0"/>
          <w:bCs w:val="0"/>
          <w:spacing w:val="30"/>
          <w:sz w:val="21"/>
          <w:szCs w:val="21"/>
        </w:rPr>
        <w:t xml:space="preserve"> </w:t>
      </w:r>
      <w:r w:rsidRPr="00B94CD4">
        <w:rPr>
          <w:rFonts w:ascii="Abadi" w:hAnsi="Abadi"/>
          <w:b w:val="0"/>
          <w:bCs w:val="0"/>
          <w:sz w:val="21"/>
          <w:szCs w:val="21"/>
        </w:rPr>
        <w:t>con</w:t>
      </w:r>
      <w:r w:rsidRPr="00B94CD4">
        <w:rPr>
          <w:rFonts w:ascii="Abadi" w:hAnsi="Abadi"/>
          <w:b w:val="0"/>
          <w:bCs w:val="0"/>
          <w:spacing w:val="30"/>
          <w:sz w:val="21"/>
          <w:szCs w:val="21"/>
        </w:rPr>
        <w:t xml:space="preserve"> </w:t>
      </w:r>
      <w:r w:rsidRPr="00B94CD4">
        <w:rPr>
          <w:rFonts w:ascii="Abadi" w:hAnsi="Abadi"/>
          <w:b w:val="0"/>
          <w:bCs w:val="0"/>
          <w:sz w:val="21"/>
          <w:szCs w:val="21"/>
        </w:rPr>
        <w:t>Discapacidad</w:t>
      </w:r>
      <w:r w:rsidRPr="00B94CD4">
        <w:rPr>
          <w:rFonts w:ascii="Abadi" w:hAnsi="Abadi"/>
          <w:b w:val="0"/>
          <w:bCs w:val="0"/>
          <w:spacing w:val="30"/>
          <w:sz w:val="21"/>
          <w:szCs w:val="21"/>
        </w:rPr>
        <w:t xml:space="preserve"> </w:t>
      </w:r>
      <w:r w:rsidRPr="00B94CD4">
        <w:rPr>
          <w:rFonts w:ascii="Abadi" w:hAnsi="Abadi"/>
          <w:b w:val="0"/>
          <w:bCs w:val="0"/>
          <w:sz w:val="21"/>
          <w:szCs w:val="21"/>
        </w:rPr>
        <w:t>en</w:t>
      </w:r>
      <w:r w:rsidRPr="00B94CD4">
        <w:rPr>
          <w:rFonts w:ascii="Abadi" w:hAnsi="Abadi"/>
          <w:b w:val="0"/>
          <w:bCs w:val="0"/>
          <w:spacing w:val="30"/>
          <w:sz w:val="21"/>
          <w:szCs w:val="21"/>
        </w:rPr>
        <w:t xml:space="preserve"> </w:t>
      </w:r>
      <w:r w:rsidRPr="00B94CD4">
        <w:rPr>
          <w:rFonts w:ascii="Abadi" w:hAnsi="Abadi"/>
          <w:b w:val="0"/>
          <w:bCs w:val="0"/>
          <w:sz w:val="21"/>
          <w:szCs w:val="21"/>
        </w:rPr>
        <w:t>el</w:t>
      </w:r>
      <w:r w:rsidRPr="00B94CD4">
        <w:rPr>
          <w:rFonts w:ascii="Abadi" w:hAnsi="Abadi"/>
          <w:b w:val="0"/>
          <w:bCs w:val="0"/>
          <w:spacing w:val="30"/>
          <w:sz w:val="21"/>
          <w:szCs w:val="21"/>
        </w:rPr>
        <w:t xml:space="preserve"> </w:t>
      </w:r>
      <w:r w:rsidRPr="00B94CD4">
        <w:rPr>
          <w:rFonts w:ascii="Abadi" w:hAnsi="Abadi"/>
          <w:b w:val="0"/>
          <w:bCs w:val="0"/>
          <w:sz w:val="21"/>
          <w:szCs w:val="21"/>
        </w:rPr>
        <w:t>Estado</w:t>
      </w:r>
      <w:r w:rsidRPr="00B94CD4">
        <w:rPr>
          <w:rFonts w:ascii="Abadi" w:hAnsi="Abadi"/>
          <w:b w:val="0"/>
          <w:bCs w:val="0"/>
          <w:spacing w:val="30"/>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Guanajuato</w:t>
      </w:r>
      <w:r w:rsidRPr="00B94CD4">
        <w:rPr>
          <w:rFonts w:ascii="Abadi" w:hAnsi="Abadi"/>
          <w:b w:val="0"/>
          <w:bCs w:val="0"/>
          <w:spacing w:val="11"/>
          <w:sz w:val="21"/>
          <w:szCs w:val="21"/>
        </w:rPr>
        <w:t xml:space="preserve"> </w:t>
      </w:r>
      <w:r w:rsidRPr="00B94CD4">
        <w:rPr>
          <w:rFonts w:ascii="Abadi" w:hAnsi="Abadi"/>
          <w:b w:val="0"/>
          <w:bCs w:val="0"/>
          <w:sz w:val="21"/>
          <w:szCs w:val="21"/>
        </w:rPr>
        <w:t>y</w:t>
      </w:r>
      <w:r w:rsidRPr="00B94CD4">
        <w:rPr>
          <w:rFonts w:ascii="Abadi" w:hAnsi="Abadi"/>
          <w:b w:val="0"/>
          <w:bCs w:val="0"/>
          <w:spacing w:val="11"/>
          <w:sz w:val="21"/>
          <w:szCs w:val="21"/>
        </w:rPr>
        <w:t xml:space="preserve"> </w:t>
      </w:r>
      <w:r w:rsidRPr="00B94CD4">
        <w:rPr>
          <w:rFonts w:ascii="Abadi" w:hAnsi="Abadi"/>
          <w:b w:val="0"/>
          <w:bCs w:val="0"/>
          <w:sz w:val="21"/>
          <w:szCs w:val="21"/>
        </w:rPr>
        <w:t>de</w:t>
      </w:r>
      <w:r w:rsidRPr="00B94CD4">
        <w:rPr>
          <w:rFonts w:ascii="Abadi" w:hAnsi="Abadi"/>
          <w:b w:val="0"/>
          <w:bCs w:val="0"/>
          <w:spacing w:val="11"/>
          <w:sz w:val="21"/>
          <w:szCs w:val="21"/>
        </w:rPr>
        <w:t xml:space="preserve"> </w:t>
      </w:r>
      <w:r w:rsidRPr="00B94CD4">
        <w:rPr>
          <w:rFonts w:ascii="Abadi" w:hAnsi="Abadi"/>
          <w:b w:val="0"/>
          <w:bCs w:val="0"/>
          <w:sz w:val="21"/>
          <w:szCs w:val="21"/>
        </w:rPr>
        <w:t>la</w:t>
      </w:r>
      <w:r w:rsidRPr="00B94CD4">
        <w:rPr>
          <w:rFonts w:ascii="Abadi" w:hAnsi="Abadi"/>
          <w:b w:val="0"/>
          <w:bCs w:val="0"/>
          <w:spacing w:val="11"/>
          <w:sz w:val="21"/>
          <w:szCs w:val="21"/>
        </w:rPr>
        <w:t xml:space="preserve"> </w:t>
      </w:r>
      <w:r w:rsidRPr="00B94CD4">
        <w:rPr>
          <w:rFonts w:ascii="Abadi" w:hAnsi="Abadi"/>
          <w:b w:val="0"/>
          <w:bCs w:val="0"/>
          <w:sz w:val="21"/>
          <w:szCs w:val="21"/>
        </w:rPr>
        <w:t>Ley</w:t>
      </w:r>
      <w:r w:rsidRPr="00B94CD4">
        <w:rPr>
          <w:rFonts w:ascii="Abadi" w:hAnsi="Abadi"/>
          <w:b w:val="0"/>
          <w:bCs w:val="0"/>
          <w:spacing w:val="11"/>
          <w:sz w:val="21"/>
          <w:szCs w:val="21"/>
        </w:rPr>
        <w:t xml:space="preserve"> </w:t>
      </w:r>
      <w:r w:rsidRPr="00B94CD4">
        <w:rPr>
          <w:rFonts w:ascii="Abadi" w:hAnsi="Abadi"/>
          <w:b w:val="0"/>
          <w:bCs w:val="0"/>
          <w:sz w:val="21"/>
          <w:szCs w:val="21"/>
        </w:rPr>
        <w:t>Orgánica</w:t>
      </w:r>
      <w:r w:rsidRPr="00B94CD4">
        <w:rPr>
          <w:rFonts w:ascii="Abadi" w:hAnsi="Abadi"/>
          <w:b w:val="0"/>
          <w:bCs w:val="0"/>
          <w:spacing w:val="11"/>
          <w:sz w:val="21"/>
          <w:szCs w:val="21"/>
        </w:rPr>
        <w:t xml:space="preserve"> </w:t>
      </w:r>
      <w:r w:rsidRPr="00B94CD4">
        <w:rPr>
          <w:rFonts w:ascii="Abadi" w:hAnsi="Abadi"/>
          <w:b w:val="0"/>
          <w:bCs w:val="0"/>
          <w:sz w:val="21"/>
          <w:szCs w:val="21"/>
        </w:rPr>
        <w:t>Municipal</w:t>
      </w:r>
      <w:r w:rsidRPr="00B94CD4">
        <w:rPr>
          <w:rFonts w:ascii="Abadi" w:hAnsi="Abadi"/>
          <w:b w:val="0"/>
          <w:bCs w:val="0"/>
          <w:spacing w:val="11"/>
          <w:sz w:val="21"/>
          <w:szCs w:val="21"/>
        </w:rPr>
        <w:t xml:space="preserve"> </w:t>
      </w:r>
      <w:r w:rsidRPr="00B94CD4">
        <w:rPr>
          <w:rFonts w:ascii="Abadi" w:hAnsi="Abadi"/>
          <w:b w:val="0"/>
          <w:bCs w:val="0"/>
          <w:sz w:val="21"/>
          <w:szCs w:val="21"/>
        </w:rPr>
        <w:t>para</w:t>
      </w:r>
      <w:r w:rsidRPr="00B94CD4">
        <w:rPr>
          <w:rFonts w:ascii="Abadi" w:hAnsi="Abadi"/>
          <w:b w:val="0"/>
          <w:bCs w:val="0"/>
          <w:spacing w:val="11"/>
          <w:sz w:val="21"/>
          <w:szCs w:val="21"/>
        </w:rPr>
        <w:t xml:space="preserve"> </w:t>
      </w:r>
      <w:r w:rsidRPr="00B94CD4">
        <w:rPr>
          <w:rFonts w:ascii="Abadi" w:hAnsi="Abadi"/>
          <w:b w:val="0"/>
          <w:bCs w:val="0"/>
          <w:sz w:val="21"/>
          <w:szCs w:val="21"/>
        </w:rPr>
        <w:t>el</w:t>
      </w:r>
      <w:r w:rsidRPr="00B94CD4">
        <w:rPr>
          <w:rFonts w:ascii="Abadi" w:hAnsi="Abadi"/>
          <w:b w:val="0"/>
          <w:bCs w:val="0"/>
          <w:spacing w:val="11"/>
          <w:sz w:val="21"/>
          <w:szCs w:val="21"/>
        </w:rPr>
        <w:t xml:space="preserve"> </w:t>
      </w:r>
      <w:r w:rsidRPr="00B94CD4">
        <w:rPr>
          <w:rFonts w:ascii="Abadi" w:hAnsi="Abadi"/>
          <w:b w:val="0"/>
          <w:bCs w:val="0"/>
          <w:sz w:val="21"/>
          <w:szCs w:val="21"/>
        </w:rPr>
        <w:t>Estado</w:t>
      </w:r>
      <w:r w:rsidRPr="00B94CD4">
        <w:rPr>
          <w:rFonts w:ascii="Abadi" w:hAnsi="Abadi"/>
          <w:b w:val="0"/>
          <w:bCs w:val="0"/>
          <w:spacing w:val="11"/>
          <w:sz w:val="21"/>
          <w:szCs w:val="21"/>
        </w:rPr>
        <w:t xml:space="preserve"> </w:t>
      </w:r>
      <w:r w:rsidRPr="00B94CD4">
        <w:rPr>
          <w:rFonts w:ascii="Abadi" w:hAnsi="Abadi"/>
          <w:b w:val="0"/>
          <w:bCs w:val="0"/>
          <w:sz w:val="21"/>
          <w:szCs w:val="21"/>
        </w:rPr>
        <w:t>de</w:t>
      </w:r>
      <w:r w:rsidRPr="00B94CD4">
        <w:rPr>
          <w:rFonts w:ascii="Abadi" w:hAnsi="Abadi"/>
          <w:b w:val="0"/>
          <w:bCs w:val="0"/>
          <w:spacing w:val="11"/>
          <w:sz w:val="21"/>
          <w:szCs w:val="21"/>
        </w:rPr>
        <w:t xml:space="preserve"> </w:t>
      </w:r>
      <w:r w:rsidRPr="00B94CD4">
        <w:rPr>
          <w:rFonts w:ascii="Abadi" w:hAnsi="Abadi"/>
          <w:b w:val="0"/>
          <w:bCs w:val="0"/>
          <w:sz w:val="21"/>
          <w:szCs w:val="21"/>
        </w:rPr>
        <w:t>Guanajuato,</w:t>
      </w:r>
      <w:r w:rsidRPr="00B94CD4">
        <w:rPr>
          <w:rFonts w:ascii="Abadi" w:hAnsi="Abadi"/>
          <w:b w:val="0"/>
          <w:bCs w:val="0"/>
          <w:spacing w:val="-1"/>
          <w:sz w:val="21"/>
          <w:szCs w:val="21"/>
        </w:rPr>
        <w:t xml:space="preserve"> </w:t>
      </w:r>
      <w:r w:rsidRPr="00B94CD4">
        <w:rPr>
          <w:rFonts w:ascii="Abadi" w:hAnsi="Abadi"/>
          <w:b w:val="0"/>
          <w:bCs w:val="0"/>
          <w:sz w:val="21"/>
          <w:szCs w:val="21"/>
        </w:rPr>
        <w:t>suscrita</w:t>
      </w:r>
      <w:r w:rsidRPr="00B94CD4">
        <w:rPr>
          <w:rFonts w:ascii="Abadi" w:hAnsi="Abadi"/>
          <w:b w:val="0"/>
          <w:bCs w:val="0"/>
          <w:spacing w:val="-11"/>
          <w:sz w:val="21"/>
          <w:szCs w:val="21"/>
        </w:rPr>
        <w:t xml:space="preserve"> </w:t>
      </w:r>
      <w:r w:rsidRPr="00B94CD4">
        <w:rPr>
          <w:rFonts w:ascii="Abadi" w:hAnsi="Abadi"/>
          <w:b w:val="0"/>
          <w:bCs w:val="0"/>
          <w:sz w:val="21"/>
          <w:szCs w:val="21"/>
        </w:rPr>
        <w:t>por</w:t>
      </w:r>
      <w:r w:rsidRPr="00B94CD4">
        <w:rPr>
          <w:rFonts w:ascii="Abadi" w:hAnsi="Abadi"/>
          <w:b w:val="0"/>
          <w:bCs w:val="0"/>
          <w:spacing w:val="-10"/>
          <w:sz w:val="21"/>
          <w:szCs w:val="21"/>
        </w:rPr>
        <w:t xml:space="preserve"> </w:t>
      </w:r>
      <w:r w:rsidRPr="00B94CD4">
        <w:rPr>
          <w:rFonts w:ascii="Abadi" w:hAnsi="Abadi"/>
          <w:b w:val="0"/>
          <w:bCs w:val="0"/>
          <w:sz w:val="21"/>
          <w:szCs w:val="21"/>
        </w:rPr>
        <w:t>la</w:t>
      </w:r>
      <w:r w:rsidRPr="00B94CD4">
        <w:rPr>
          <w:rFonts w:ascii="Abadi" w:hAnsi="Abadi"/>
          <w:b w:val="0"/>
          <w:bCs w:val="0"/>
          <w:spacing w:val="-11"/>
          <w:sz w:val="21"/>
          <w:szCs w:val="21"/>
        </w:rPr>
        <w:t xml:space="preserve"> </w:t>
      </w:r>
      <w:r w:rsidRPr="00B94CD4">
        <w:rPr>
          <w:rFonts w:ascii="Abadi" w:hAnsi="Abadi"/>
          <w:b w:val="0"/>
          <w:bCs w:val="0"/>
          <w:sz w:val="21"/>
          <w:szCs w:val="21"/>
        </w:rPr>
        <w:t>diputada</w:t>
      </w:r>
      <w:r w:rsidRPr="00B94CD4">
        <w:rPr>
          <w:rFonts w:ascii="Abadi" w:hAnsi="Abadi"/>
          <w:b w:val="0"/>
          <w:bCs w:val="0"/>
          <w:spacing w:val="-11"/>
          <w:sz w:val="21"/>
          <w:szCs w:val="21"/>
        </w:rPr>
        <w:t xml:space="preserve"> </w:t>
      </w:r>
      <w:r w:rsidRPr="00B94CD4">
        <w:rPr>
          <w:rFonts w:ascii="Abadi" w:hAnsi="Abadi"/>
          <w:b w:val="0"/>
          <w:bCs w:val="0"/>
          <w:sz w:val="21"/>
          <w:szCs w:val="21"/>
        </w:rPr>
        <w:t>Irma</w:t>
      </w:r>
      <w:r w:rsidRPr="00B94CD4">
        <w:rPr>
          <w:rFonts w:ascii="Abadi" w:hAnsi="Abadi"/>
          <w:b w:val="0"/>
          <w:bCs w:val="0"/>
          <w:spacing w:val="-11"/>
          <w:sz w:val="21"/>
          <w:szCs w:val="21"/>
        </w:rPr>
        <w:t xml:space="preserve"> </w:t>
      </w:r>
      <w:r w:rsidRPr="00B94CD4">
        <w:rPr>
          <w:rFonts w:ascii="Abadi" w:hAnsi="Abadi"/>
          <w:b w:val="0"/>
          <w:bCs w:val="0"/>
          <w:sz w:val="21"/>
          <w:szCs w:val="21"/>
        </w:rPr>
        <w:t>Leticia</w:t>
      </w:r>
      <w:r w:rsidRPr="00B94CD4">
        <w:rPr>
          <w:rFonts w:ascii="Abadi" w:hAnsi="Abadi"/>
          <w:b w:val="0"/>
          <w:bCs w:val="0"/>
          <w:spacing w:val="-11"/>
          <w:sz w:val="21"/>
          <w:szCs w:val="21"/>
        </w:rPr>
        <w:t xml:space="preserve"> </w:t>
      </w:r>
      <w:r w:rsidRPr="00B94CD4">
        <w:rPr>
          <w:rFonts w:ascii="Abadi" w:hAnsi="Abadi"/>
          <w:b w:val="0"/>
          <w:bCs w:val="0"/>
          <w:sz w:val="21"/>
          <w:szCs w:val="21"/>
        </w:rPr>
        <w:t>González</w:t>
      </w:r>
      <w:r w:rsidRPr="00B94CD4">
        <w:rPr>
          <w:rFonts w:ascii="Abadi" w:hAnsi="Abadi"/>
          <w:b w:val="0"/>
          <w:bCs w:val="0"/>
          <w:spacing w:val="-11"/>
          <w:sz w:val="21"/>
          <w:szCs w:val="21"/>
        </w:rPr>
        <w:t xml:space="preserve"> </w:t>
      </w:r>
      <w:r w:rsidRPr="00B94CD4">
        <w:rPr>
          <w:rFonts w:ascii="Abadi" w:hAnsi="Abadi"/>
          <w:b w:val="0"/>
          <w:bCs w:val="0"/>
          <w:sz w:val="21"/>
          <w:szCs w:val="21"/>
        </w:rPr>
        <w:t>Sánchez</w:t>
      </w:r>
      <w:r w:rsidRPr="00B94CD4">
        <w:rPr>
          <w:rFonts w:ascii="Abadi" w:hAnsi="Abadi"/>
          <w:b w:val="0"/>
          <w:bCs w:val="0"/>
          <w:spacing w:val="-11"/>
          <w:sz w:val="21"/>
          <w:szCs w:val="21"/>
        </w:rPr>
        <w:t xml:space="preserve"> </w:t>
      </w:r>
      <w:r w:rsidRPr="00B94CD4">
        <w:rPr>
          <w:rFonts w:ascii="Abadi" w:hAnsi="Abadi"/>
          <w:b w:val="0"/>
          <w:bCs w:val="0"/>
          <w:sz w:val="21"/>
          <w:szCs w:val="21"/>
        </w:rPr>
        <w:t>integrante</w:t>
      </w:r>
      <w:r w:rsidRPr="00B94CD4">
        <w:rPr>
          <w:rFonts w:ascii="Abadi" w:hAnsi="Abadi"/>
          <w:b w:val="0"/>
          <w:bCs w:val="0"/>
          <w:spacing w:val="-11"/>
          <w:sz w:val="21"/>
          <w:szCs w:val="21"/>
        </w:rPr>
        <w:t xml:space="preserve"> </w:t>
      </w:r>
      <w:r w:rsidRPr="00B94CD4">
        <w:rPr>
          <w:rFonts w:ascii="Abadi" w:hAnsi="Abadi"/>
          <w:b w:val="0"/>
          <w:bCs w:val="0"/>
          <w:sz w:val="21"/>
          <w:szCs w:val="21"/>
        </w:rPr>
        <w:t>del</w:t>
      </w:r>
      <w:r w:rsidRPr="00B94CD4">
        <w:rPr>
          <w:rFonts w:ascii="Abadi" w:hAnsi="Abadi"/>
          <w:b w:val="0"/>
          <w:bCs w:val="0"/>
          <w:spacing w:val="-11"/>
          <w:sz w:val="21"/>
          <w:szCs w:val="21"/>
        </w:rPr>
        <w:t xml:space="preserve"> </w:t>
      </w:r>
      <w:r w:rsidRPr="00B94CD4">
        <w:rPr>
          <w:rFonts w:ascii="Abadi" w:hAnsi="Abadi"/>
          <w:b w:val="0"/>
          <w:bCs w:val="0"/>
          <w:sz w:val="21"/>
          <w:szCs w:val="21"/>
        </w:rPr>
        <w:t>Grupo</w:t>
      </w:r>
      <w:r w:rsidRPr="00B94CD4">
        <w:rPr>
          <w:rFonts w:ascii="Abadi" w:hAnsi="Abadi"/>
          <w:b w:val="0"/>
          <w:bCs w:val="0"/>
          <w:spacing w:val="-1"/>
          <w:sz w:val="21"/>
          <w:szCs w:val="21"/>
        </w:rPr>
        <w:t xml:space="preserve"> </w:t>
      </w:r>
      <w:r w:rsidRPr="00B94CD4">
        <w:rPr>
          <w:rFonts w:ascii="Abadi" w:hAnsi="Abadi"/>
          <w:b w:val="0"/>
          <w:bCs w:val="0"/>
          <w:sz w:val="21"/>
          <w:szCs w:val="21"/>
        </w:rPr>
        <w:t>Parlamentario del</w:t>
      </w:r>
      <w:r w:rsidRPr="00B94CD4">
        <w:rPr>
          <w:rFonts w:ascii="Abadi" w:hAnsi="Abadi"/>
          <w:b w:val="0"/>
          <w:bCs w:val="0"/>
          <w:spacing w:val="-1"/>
          <w:sz w:val="21"/>
          <w:szCs w:val="21"/>
        </w:rPr>
        <w:t xml:space="preserve"> </w:t>
      </w:r>
      <w:r w:rsidRPr="00B94CD4">
        <w:rPr>
          <w:rFonts w:ascii="Abadi" w:hAnsi="Abadi"/>
          <w:b w:val="0"/>
          <w:bCs w:val="0"/>
          <w:sz w:val="21"/>
          <w:szCs w:val="21"/>
        </w:rPr>
        <w:t xml:space="preserve">Partido MORENA. </w:t>
      </w:r>
      <w:r w:rsidRPr="00B94CD4">
        <w:rPr>
          <w:rFonts w:ascii="Abadi" w:hAnsi="Abadi"/>
          <w:sz w:val="21"/>
          <w:szCs w:val="21"/>
        </w:rPr>
        <w:t>X.</w:t>
      </w:r>
      <w:r w:rsidRPr="00B94CD4">
        <w:rPr>
          <w:rFonts w:ascii="Abadi" w:hAnsi="Abadi"/>
          <w:b w:val="0"/>
          <w:bCs w:val="0"/>
          <w:sz w:val="21"/>
          <w:szCs w:val="21"/>
        </w:rPr>
        <w:t xml:space="preserve"> Presentación</w:t>
      </w:r>
      <w:r w:rsidRPr="00B94CD4">
        <w:rPr>
          <w:rFonts w:ascii="Abadi" w:hAnsi="Abadi"/>
          <w:b w:val="0"/>
          <w:bCs w:val="0"/>
          <w:spacing w:val="35"/>
          <w:sz w:val="21"/>
          <w:szCs w:val="21"/>
        </w:rPr>
        <w:t xml:space="preserve"> </w:t>
      </w:r>
      <w:r w:rsidRPr="00B94CD4">
        <w:rPr>
          <w:rFonts w:ascii="Abadi" w:hAnsi="Abadi"/>
          <w:b w:val="0"/>
          <w:bCs w:val="0"/>
          <w:sz w:val="21"/>
          <w:szCs w:val="21"/>
        </w:rPr>
        <w:t>de</w:t>
      </w:r>
      <w:r w:rsidRPr="00B94CD4">
        <w:rPr>
          <w:rFonts w:ascii="Abadi" w:hAnsi="Abadi"/>
          <w:b w:val="0"/>
          <w:bCs w:val="0"/>
          <w:spacing w:val="35"/>
          <w:sz w:val="21"/>
          <w:szCs w:val="21"/>
        </w:rPr>
        <w:t xml:space="preserve"> </w:t>
      </w:r>
      <w:r w:rsidRPr="00B94CD4">
        <w:rPr>
          <w:rFonts w:ascii="Abadi" w:hAnsi="Abadi"/>
          <w:b w:val="0"/>
          <w:bCs w:val="0"/>
          <w:sz w:val="21"/>
          <w:szCs w:val="21"/>
        </w:rPr>
        <w:t>la</w:t>
      </w:r>
      <w:r w:rsidRPr="00B94CD4">
        <w:rPr>
          <w:rFonts w:ascii="Abadi" w:hAnsi="Abadi"/>
          <w:b w:val="0"/>
          <w:bCs w:val="0"/>
          <w:spacing w:val="36"/>
          <w:sz w:val="21"/>
          <w:szCs w:val="21"/>
        </w:rPr>
        <w:t xml:space="preserve"> </w:t>
      </w:r>
      <w:r w:rsidRPr="00B94CD4">
        <w:rPr>
          <w:rFonts w:ascii="Abadi" w:hAnsi="Abadi"/>
          <w:b w:val="0"/>
          <w:bCs w:val="0"/>
          <w:sz w:val="21"/>
          <w:szCs w:val="21"/>
        </w:rPr>
        <w:t>iniciativa</w:t>
      </w:r>
      <w:r w:rsidRPr="00B94CD4">
        <w:rPr>
          <w:rFonts w:ascii="Abadi" w:hAnsi="Abadi"/>
          <w:b w:val="0"/>
          <w:bCs w:val="0"/>
          <w:spacing w:val="35"/>
          <w:sz w:val="21"/>
          <w:szCs w:val="21"/>
        </w:rPr>
        <w:t xml:space="preserve"> </w:t>
      </w:r>
      <w:r w:rsidRPr="00B94CD4">
        <w:rPr>
          <w:rFonts w:ascii="Abadi" w:hAnsi="Abadi"/>
          <w:b w:val="0"/>
          <w:bCs w:val="0"/>
          <w:sz w:val="21"/>
          <w:szCs w:val="21"/>
        </w:rPr>
        <w:t>a</w:t>
      </w:r>
      <w:r w:rsidRPr="00B94CD4">
        <w:rPr>
          <w:rFonts w:ascii="Abadi" w:hAnsi="Abadi"/>
          <w:b w:val="0"/>
          <w:bCs w:val="0"/>
          <w:spacing w:val="35"/>
          <w:sz w:val="21"/>
          <w:szCs w:val="21"/>
        </w:rPr>
        <w:t xml:space="preserve"> </w:t>
      </w:r>
      <w:r w:rsidRPr="00B94CD4">
        <w:rPr>
          <w:rFonts w:ascii="Abadi" w:hAnsi="Abadi"/>
          <w:b w:val="0"/>
          <w:bCs w:val="0"/>
          <w:sz w:val="21"/>
          <w:szCs w:val="21"/>
        </w:rPr>
        <w:t>efecto</w:t>
      </w:r>
      <w:r w:rsidRPr="00B94CD4">
        <w:rPr>
          <w:rFonts w:ascii="Abadi" w:hAnsi="Abadi"/>
          <w:b w:val="0"/>
          <w:bCs w:val="0"/>
          <w:spacing w:val="35"/>
          <w:sz w:val="21"/>
          <w:szCs w:val="21"/>
        </w:rPr>
        <w:t xml:space="preserve"> </w:t>
      </w:r>
      <w:r w:rsidRPr="00B94CD4">
        <w:rPr>
          <w:rFonts w:ascii="Abadi" w:hAnsi="Abadi"/>
          <w:b w:val="0"/>
          <w:bCs w:val="0"/>
          <w:sz w:val="21"/>
          <w:szCs w:val="21"/>
        </w:rPr>
        <w:t>de</w:t>
      </w:r>
      <w:r w:rsidRPr="00B94CD4">
        <w:rPr>
          <w:rFonts w:ascii="Abadi" w:hAnsi="Abadi"/>
          <w:b w:val="0"/>
          <w:bCs w:val="0"/>
          <w:spacing w:val="36"/>
          <w:sz w:val="21"/>
          <w:szCs w:val="21"/>
        </w:rPr>
        <w:t xml:space="preserve"> </w:t>
      </w:r>
      <w:r w:rsidRPr="00B94CD4">
        <w:rPr>
          <w:rFonts w:ascii="Abadi" w:hAnsi="Abadi"/>
          <w:b w:val="0"/>
          <w:bCs w:val="0"/>
          <w:sz w:val="21"/>
          <w:szCs w:val="21"/>
        </w:rPr>
        <w:t>adicionar</w:t>
      </w:r>
      <w:r w:rsidRPr="00B94CD4">
        <w:rPr>
          <w:rFonts w:ascii="Abadi" w:hAnsi="Abadi"/>
          <w:b w:val="0"/>
          <w:bCs w:val="0"/>
          <w:spacing w:val="35"/>
          <w:sz w:val="21"/>
          <w:szCs w:val="21"/>
        </w:rPr>
        <w:t xml:space="preserve"> </w:t>
      </w:r>
      <w:r w:rsidRPr="00B94CD4">
        <w:rPr>
          <w:rFonts w:ascii="Abadi" w:hAnsi="Abadi"/>
          <w:b w:val="0"/>
          <w:bCs w:val="0"/>
          <w:sz w:val="21"/>
          <w:szCs w:val="21"/>
        </w:rPr>
        <w:t>un</w:t>
      </w:r>
      <w:r w:rsidRPr="00B94CD4">
        <w:rPr>
          <w:rFonts w:ascii="Abadi" w:hAnsi="Abadi"/>
          <w:b w:val="0"/>
          <w:bCs w:val="0"/>
          <w:spacing w:val="35"/>
          <w:sz w:val="21"/>
          <w:szCs w:val="21"/>
        </w:rPr>
        <w:t xml:space="preserve"> </w:t>
      </w:r>
      <w:r w:rsidRPr="00B94CD4">
        <w:rPr>
          <w:rFonts w:ascii="Abadi" w:hAnsi="Abadi"/>
          <w:b w:val="0"/>
          <w:bCs w:val="0"/>
          <w:sz w:val="21"/>
          <w:szCs w:val="21"/>
        </w:rPr>
        <w:t>segundo</w:t>
      </w:r>
      <w:r w:rsidRPr="00B94CD4">
        <w:rPr>
          <w:rFonts w:ascii="Abadi" w:hAnsi="Abadi"/>
          <w:b w:val="0"/>
          <w:bCs w:val="0"/>
          <w:spacing w:val="36"/>
          <w:sz w:val="21"/>
          <w:szCs w:val="21"/>
        </w:rPr>
        <w:t xml:space="preserve"> </w:t>
      </w:r>
      <w:r w:rsidRPr="00B94CD4">
        <w:rPr>
          <w:rFonts w:ascii="Abadi" w:hAnsi="Abadi"/>
          <w:b w:val="0"/>
          <w:bCs w:val="0"/>
          <w:sz w:val="21"/>
          <w:szCs w:val="21"/>
        </w:rPr>
        <w:t>párrafo</w:t>
      </w:r>
      <w:r w:rsidRPr="00B94CD4">
        <w:rPr>
          <w:rFonts w:ascii="Abadi" w:hAnsi="Abadi"/>
          <w:b w:val="0"/>
          <w:bCs w:val="0"/>
          <w:spacing w:val="35"/>
          <w:sz w:val="21"/>
          <w:szCs w:val="21"/>
        </w:rPr>
        <w:t xml:space="preserve"> </w:t>
      </w:r>
      <w:r w:rsidRPr="00B94CD4">
        <w:rPr>
          <w:rFonts w:ascii="Abadi" w:hAnsi="Abadi"/>
          <w:b w:val="0"/>
          <w:bCs w:val="0"/>
          <w:sz w:val="21"/>
          <w:szCs w:val="21"/>
        </w:rPr>
        <w:t>al artículo</w:t>
      </w:r>
      <w:r w:rsidRPr="00B94CD4">
        <w:rPr>
          <w:rFonts w:ascii="Abadi" w:hAnsi="Abadi"/>
          <w:b w:val="0"/>
          <w:bCs w:val="0"/>
          <w:spacing w:val="23"/>
          <w:sz w:val="21"/>
          <w:szCs w:val="21"/>
        </w:rPr>
        <w:t xml:space="preserve"> </w:t>
      </w:r>
      <w:r w:rsidRPr="00B94CD4">
        <w:rPr>
          <w:rFonts w:ascii="Abadi" w:hAnsi="Abadi"/>
          <w:b w:val="0"/>
          <w:bCs w:val="0"/>
          <w:sz w:val="21"/>
          <w:szCs w:val="21"/>
        </w:rPr>
        <w:t>35</w:t>
      </w:r>
      <w:r w:rsidRPr="00B94CD4">
        <w:rPr>
          <w:rFonts w:ascii="Abadi" w:hAnsi="Abadi"/>
          <w:b w:val="0"/>
          <w:bCs w:val="0"/>
          <w:spacing w:val="23"/>
          <w:sz w:val="21"/>
          <w:szCs w:val="21"/>
        </w:rPr>
        <w:t xml:space="preserve"> </w:t>
      </w:r>
      <w:r w:rsidRPr="00B94CD4">
        <w:rPr>
          <w:rFonts w:ascii="Abadi" w:hAnsi="Abadi"/>
          <w:b w:val="0"/>
          <w:bCs w:val="0"/>
          <w:sz w:val="21"/>
          <w:szCs w:val="21"/>
        </w:rPr>
        <w:t>de</w:t>
      </w:r>
      <w:r w:rsidRPr="00B94CD4">
        <w:rPr>
          <w:rFonts w:ascii="Abadi" w:hAnsi="Abadi"/>
          <w:b w:val="0"/>
          <w:bCs w:val="0"/>
          <w:spacing w:val="23"/>
          <w:sz w:val="21"/>
          <w:szCs w:val="21"/>
        </w:rPr>
        <w:t xml:space="preserve"> </w:t>
      </w:r>
      <w:r w:rsidRPr="00B94CD4">
        <w:rPr>
          <w:rFonts w:ascii="Abadi" w:hAnsi="Abadi"/>
          <w:b w:val="0"/>
          <w:bCs w:val="0"/>
          <w:sz w:val="21"/>
          <w:szCs w:val="21"/>
        </w:rPr>
        <w:t>la</w:t>
      </w:r>
      <w:r w:rsidRPr="00B94CD4">
        <w:rPr>
          <w:rFonts w:ascii="Abadi" w:hAnsi="Abadi"/>
          <w:b w:val="0"/>
          <w:bCs w:val="0"/>
          <w:spacing w:val="23"/>
          <w:sz w:val="21"/>
          <w:szCs w:val="21"/>
        </w:rPr>
        <w:t xml:space="preserve"> </w:t>
      </w:r>
      <w:r w:rsidRPr="00B94CD4">
        <w:rPr>
          <w:rFonts w:ascii="Abadi" w:hAnsi="Abadi"/>
          <w:b w:val="0"/>
          <w:bCs w:val="0"/>
          <w:sz w:val="21"/>
          <w:szCs w:val="21"/>
        </w:rPr>
        <w:t>Ley</w:t>
      </w:r>
      <w:r w:rsidRPr="00B94CD4">
        <w:rPr>
          <w:rFonts w:ascii="Abadi" w:hAnsi="Abadi"/>
          <w:b w:val="0"/>
          <w:bCs w:val="0"/>
          <w:spacing w:val="23"/>
          <w:sz w:val="21"/>
          <w:szCs w:val="21"/>
        </w:rPr>
        <w:t xml:space="preserve"> </w:t>
      </w:r>
      <w:r w:rsidRPr="00B94CD4">
        <w:rPr>
          <w:rFonts w:ascii="Abadi" w:hAnsi="Abadi"/>
          <w:b w:val="0"/>
          <w:bCs w:val="0"/>
          <w:sz w:val="21"/>
          <w:szCs w:val="21"/>
        </w:rPr>
        <w:t>para</w:t>
      </w:r>
      <w:r w:rsidRPr="00B94CD4">
        <w:rPr>
          <w:rFonts w:ascii="Abadi" w:hAnsi="Abadi"/>
          <w:b w:val="0"/>
          <w:bCs w:val="0"/>
          <w:spacing w:val="23"/>
          <w:sz w:val="21"/>
          <w:szCs w:val="21"/>
        </w:rPr>
        <w:t xml:space="preserve"> </w:t>
      </w:r>
      <w:r w:rsidRPr="00B94CD4">
        <w:rPr>
          <w:rFonts w:ascii="Abadi" w:hAnsi="Abadi"/>
          <w:b w:val="0"/>
          <w:bCs w:val="0"/>
          <w:sz w:val="21"/>
          <w:szCs w:val="21"/>
        </w:rPr>
        <w:t>la</w:t>
      </w:r>
      <w:r w:rsidRPr="00B94CD4">
        <w:rPr>
          <w:rFonts w:ascii="Abadi" w:hAnsi="Abadi"/>
          <w:b w:val="0"/>
          <w:bCs w:val="0"/>
          <w:spacing w:val="23"/>
          <w:sz w:val="21"/>
          <w:szCs w:val="21"/>
        </w:rPr>
        <w:t xml:space="preserve"> </w:t>
      </w:r>
      <w:r w:rsidRPr="00B94CD4">
        <w:rPr>
          <w:rFonts w:ascii="Abadi" w:hAnsi="Abadi"/>
          <w:b w:val="0"/>
          <w:bCs w:val="0"/>
          <w:sz w:val="21"/>
          <w:szCs w:val="21"/>
        </w:rPr>
        <w:t>Búsqueda</w:t>
      </w:r>
      <w:r w:rsidRPr="00B94CD4">
        <w:rPr>
          <w:rFonts w:ascii="Abadi" w:hAnsi="Abadi"/>
          <w:b w:val="0"/>
          <w:bCs w:val="0"/>
          <w:spacing w:val="23"/>
          <w:sz w:val="21"/>
          <w:szCs w:val="21"/>
        </w:rPr>
        <w:t xml:space="preserve"> </w:t>
      </w:r>
      <w:r w:rsidRPr="00B94CD4">
        <w:rPr>
          <w:rFonts w:ascii="Abadi" w:hAnsi="Abadi"/>
          <w:b w:val="0"/>
          <w:bCs w:val="0"/>
          <w:sz w:val="21"/>
          <w:szCs w:val="21"/>
        </w:rPr>
        <w:t>de</w:t>
      </w:r>
      <w:r w:rsidRPr="00B94CD4">
        <w:rPr>
          <w:rFonts w:ascii="Abadi" w:hAnsi="Abadi"/>
          <w:b w:val="0"/>
          <w:bCs w:val="0"/>
          <w:spacing w:val="23"/>
          <w:sz w:val="21"/>
          <w:szCs w:val="21"/>
        </w:rPr>
        <w:t xml:space="preserve"> </w:t>
      </w:r>
      <w:r w:rsidRPr="00B94CD4">
        <w:rPr>
          <w:rFonts w:ascii="Abadi" w:hAnsi="Abadi"/>
          <w:b w:val="0"/>
          <w:bCs w:val="0"/>
          <w:sz w:val="21"/>
          <w:szCs w:val="21"/>
        </w:rPr>
        <w:t>Personas</w:t>
      </w:r>
      <w:r w:rsidRPr="00B94CD4">
        <w:rPr>
          <w:rFonts w:ascii="Abadi" w:hAnsi="Abadi"/>
          <w:b w:val="0"/>
          <w:bCs w:val="0"/>
          <w:spacing w:val="23"/>
          <w:sz w:val="21"/>
          <w:szCs w:val="21"/>
        </w:rPr>
        <w:t xml:space="preserve"> </w:t>
      </w:r>
      <w:r w:rsidRPr="00B94CD4">
        <w:rPr>
          <w:rFonts w:ascii="Abadi" w:hAnsi="Abadi"/>
          <w:b w:val="0"/>
          <w:bCs w:val="0"/>
          <w:sz w:val="21"/>
          <w:szCs w:val="21"/>
        </w:rPr>
        <w:t>Desaparecidas</w:t>
      </w:r>
      <w:r w:rsidRPr="00B94CD4">
        <w:rPr>
          <w:rFonts w:ascii="Abadi" w:hAnsi="Abadi"/>
          <w:b w:val="0"/>
          <w:bCs w:val="0"/>
          <w:spacing w:val="23"/>
          <w:sz w:val="21"/>
          <w:szCs w:val="21"/>
        </w:rPr>
        <w:t xml:space="preserve"> </w:t>
      </w:r>
      <w:r w:rsidRPr="00B94CD4">
        <w:rPr>
          <w:rFonts w:ascii="Abadi" w:hAnsi="Abadi"/>
          <w:b w:val="0"/>
          <w:bCs w:val="0"/>
          <w:sz w:val="21"/>
          <w:szCs w:val="21"/>
        </w:rPr>
        <w:t>en</w:t>
      </w:r>
      <w:r w:rsidRPr="00B94CD4">
        <w:rPr>
          <w:rFonts w:ascii="Abadi" w:hAnsi="Abadi"/>
          <w:b w:val="0"/>
          <w:bCs w:val="0"/>
          <w:spacing w:val="23"/>
          <w:sz w:val="21"/>
          <w:szCs w:val="21"/>
        </w:rPr>
        <w:t xml:space="preserve"> </w:t>
      </w:r>
      <w:r w:rsidRPr="00B94CD4">
        <w:rPr>
          <w:rFonts w:ascii="Abadi" w:hAnsi="Abadi"/>
          <w:b w:val="0"/>
          <w:bCs w:val="0"/>
          <w:sz w:val="21"/>
          <w:szCs w:val="21"/>
        </w:rPr>
        <w:t>el Estado</w:t>
      </w:r>
      <w:r w:rsidRPr="00B94CD4">
        <w:rPr>
          <w:rFonts w:ascii="Abadi" w:hAnsi="Abadi"/>
          <w:b w:val="0"/>
          <w:bCs w:val="0"/>
          <w:spacing w:val="32"/>
          <w:sz w:val="21"/>
          <w:szCs w:val="21"/>
        </w:rPr>
        <w:t xml:space="preserve"> </w:t>
      </w:r>
      <w:r w:rsidRPr="00B94CD4">
        <w:rPr>
          <w:rFonts w:ascii="Abadi" w:hAnsi="Abadi"/>
          <w:b w:val="0"/>
          <w:bCs w:val="0"/>
          <w:sz w:val="21"/>
          <w:szCs w:val="21"/>
        </w:rPr>
        <w:t>de</w:t>
      </w:r>
      <w:r w:rsidRPr="00B94CD4">
        <w:rPr>
          <w:rFonts w:ascii="Abadi" w:hAnsi="Abadi"/>
          <w:b w:val="0"/>
          <w:bCs w:val="0"/>
          <w:spacing w:val="32"/>
          <w:sz w:val="21"/>
          <w:szCs w:val="21"/>
        </w:rPr>
        <w:t xml:space="preserve"> </w:t>
      </w:r>
      <w:r w:rsidRPr="00B94CD4">
        <w:rPr>
          <w:rFonts w:ascii="Abadi" w:hAnsi="Abadi"/>
          <w:b w:val="0"/>
          <w:bCs w:val="0"/>
          <w:sz w:val="21"/>
          <w:szCs w:val="21"/>
        </w:rPr>
        <w:t>Guanajuato</w:t>
      </w:r>
      <w:r w:rsidRPr="00B94CD4">
        <w:rPr>
          <w:rFonts w:ascii="Abadi" w:hAnsi="Abadi"/>
          <w:b w:val="0"/>
          <w:bCs w:val="0"/>
          <w:spacing w:val="31"/>
          <w:sz w:val="21"/>
          <w:szCs w:val="21"/>
        </w:rPr>
        <w:t xml:space="preserve"> </w:t>
      </w:r>
      <w:r w:rsidRPr="00B94CD4">
        <w:rPr>
          <w:rFonts w:ascii="Abadi" w:hAnsi="Abadi"/>
          <w:b w:val="0"/>
          <w:bCs w:val="0"/>
          <w:sz w:val="21"/>
          <w:szCs w:val="21"/>
        </w:rPr>
        <w:t>formulada</w:t>
      </w:r>
      <w:r w:rsidRPr="00B94CD4">
        <w:rPr>
          <w:rFonts w:ascii="Abadi" w:hAnsi="Abadi"/>
          <w:b w:val="0"/>
          <w:bCs w:val="0"/>
          <w:spacing w:val="32"/>
          <w:sz w:val="21"/>
          <w:szCs w:val="21"/>
        </w:rPr>
        <w:t xml:space="preserve"> </w:t>
      </w:r>
      <w:r w:rsidRPr="00B94CD4">
        <w:rPr>
          <w:rFonts w:ascii="Abadi" w:hAnsi="Abadi"/>
          <w:b w:val="0"/>
          <w:bCs w:val="0"/>
          <w:sz w:val="21"/>
          <w:szCs w:val="21"/>
        </w:rPr>
        <w:t>por</w:t>
      </w:r>
      <w:r w:rsidRPr="00B94CD4">
        <w:rPr>
          <w:rFonts w:ascii="Abadi" w:hAnsi="Abadi"/>
          <w:b w:val="0"/>
          <w:bCs w:val="0"/>
          <w:spacing w:val="32"/>
          <w:sz w:val="21"/>
          <w:szCs w:val="21"/>
        </w:rPr>
        <w:t xml:space="preserve"> </w:t>
      </w:r>
      <w:r w:rsidRPr="00B94CD4">
        <w:rPr>
          <w:rFonts w:ascii="Abadi" w:hAnsi="Abadi"/>
          <w:b w:val="0"/>
          <w:bCs w:val="0"/>
          <w:sz w:val="21"/>
          <w:szCs w:val="21"/>
        </w:rPr>
        <w:t>la</w:t>
      </w:r>
      <w:r w:rsidRPr="00B94CD4">
        <w:rPr>
          <w:rFonts w:ascii="Abadi" w:hAnsi="Abadi"/>
          <w:b w:val="0"/>
          <w:bCs w:val="0"/>
          <w:spacing w:val="32"/>
          <w:sz w:val="21"/>
          <w:szCs w:val="21"/>
        </w:rPr>
        <w:t xml:space="preserve"> </w:t>
      </w:r>
      <w:r w:rsidRPr="00B94CD4">
        <w:rPr>
          <w:rFonts w:ascii="Abadi" w:hAnsi="Abadi"/>
          <w:b w:val="0"/>
          <w:bCs w:val="0"/>
          <w:sz w:val="21"/>
          <w:szCs w:val="21"/>
        </w:rPr>
        <w:t>diputada</w:t>
      </w:r>
      <w:r w:rsidRPr="00B94CD4">
        <w:rPr>
          <w:rFonts w:ascii="Abadi" w:hAnsi="Abadi"/>
          <w:b w:val="0"/>
          <w:bCs w:val="0"/>
          <w:spacing w:val="32"/>
          <w:sz w:val="21"/>
          <w:szCs w:val="21"/>
        </w:rPr>
        <w:t xml:space="preserve"> </w:t>
      </w:r>
      <w:r w:rsidRPr="00B94CD4">
        <w:rPr>
          <w:rFonts w:ascii="Abadi" w:hAnsi="Abadi"/>
          <w:b w:val="0"/>
          <w:bCs w:val="0"/>
          <w:sz w:val="21"/>
          <w:szCs w:val="21"/>
        </w:rPr>
        <w:t>Hades</w:t>
      </w:r>
      <w:r w:rsidRPr="00B94CD4">
        <w:rPr>
          <w:rFonts w:ascii="Abadi" w:hAnsi="Abadi"/>
          <w:b w:val="0"/>
          <w:bCs w:val="0"/>
          <w:spacing w:val="32"/>
          <w:sz w:val="21"/>
          <w:szCs w:val="21"/>
        </w:rPr>
        <w:t xml:space="preserve"> </w:t>
      </w:r>
      <w:r w:rsidRPr="00B94CD4">
        <w:rPr>
          <w:rFonts w:ascii="Abadi" w:hAnsi="Abadi"/>
          <w:b w:val="0"/>
          <w:bCs w:val="0"/>
          <w:sz w:val="21"/>
          <w:szCs w:val="21"/>
        </w:rPr>
        <w:t>Berenice</w:t>
      </w:r>
      <w:r w:rsidRPr="00B94CD4">
        <w:rPr>
          <w:rFonts w:ascii="Abadi" w:hAnsi="Abadi"/>
          <w:b w:val="0"/>
          <w:bCs w:val="0"/>
          <w:spacing w:val="32"/>
          <w:sz w:val="21"/>
          <w:szCs w:val="21"/>
        </w:rPr>
        <w:t xml:space="preserve"> </w:t>
      </w:r>
      <w:r w:rsidRPr="00B94CD4">
        <w:rPr>
          <w:rFonts w:ascii="Abadi" w:hAnsi="Abadi"/>
          <w:b w:val="0"/>
          <w:bCs w:val="0"/>
          <w:sz w:val="21"/>
          <w:szCs w:val="21"/>
        </w:rPr>
        <w:t xml:space="preserve">Aguilar Castillo integrante del Grupo Parlamentario del Partido MORENA. </w:t>
      </w:r>
      <w:r w:rsidRPr="00B94CD4">
        <w:rPr>
          <w:rFonts w:ascii="Abadi" w:hAnsi="Abadi"/>
          <w:sz w:val="21"/>
          <w:szCs w:val="21"/>
        </w:rPr>
        <w:t>XI.-</w:t>
      </w:r>
      <w:r w:rsidRPr="00B94CD4">
        <w:rPr>
          <w:rFonts w:ascii="Abadi" w:hAnsi="Abadi"/>
          <w:b w:val="0"/>
          <w:bCs w:val="0"/>
          <w:sz w:val="21"/>
          <w:szCs w:val="21"/>
        </w:rPr>
        <w:t xml:space="preserve"> </w:t>
      </w:r>
      <w:r w:rsidRPr="00F67A15">
        <w:rPr>
          <w:rFonts w:ascii="Abadi" w:hAnsi="Abadi"/>
          <w:b w:val="0"/>
          <w:bCs w:val="0"/>
          <w:sz w:val="21"/>
          <w:szCs w:val="21"/>
        </w:rPr>
        <w:t>Presentación</w:t>
      </w:r>
      <w:r w:rsidRPr="00F67A15">
        <w:rPr>
          <w:rFonts w:ascii="Abadi" w:hAnsi="Abadi"/>
          <w:b w:val="0"/>
          <w:bCs w:val="0"/>
          <w:spacing w:val="65"/>
          <w:sz w:val="21"/>
          <w:szCs w:val="21"/>
        </w:rPr>
        <w:t xml:space="preserve"> </w:t>
      </w:r>
      <w:r w:rsidRPr="00F67A15">
        <w:rPr>
          <w:rFonts w:ascii="Abadi" w:hAnsi="Abadi"/>
          <w:b w:val="0"/>
          <w:bCs w:val="0"/>
          <w:sz w:val="21"/>
          <w:szCs w:val="21"/>
        </w:rPr>
        <w:t>de</w:t>
      </w:r>
      <w:r w:rsidRPr="00F67A15">
        <w:rPr>
          <w:rFonts w:ascii="Abadi" w:hAnsi="Abadi"/>
          <w:b w:val="0"/>
          <w:bCs w:val="0"/>
          <w:spacing w:val="65"/>
          <w:sz w:val="21"/>
          <w:szCs w:val="21"/>
        </w:rPr>
        <w:t xml:space="preserve"> </w:t>
      </w:r>
      <w:r w:rsidRPr="00F67A15">
        <w:rPr>
          <w:rFonts w:ascii="Abadi" w:hAnsi="Abadi"/>
          <w:b w:val="0"/>
          <w:bCs w:val="0"/>
          <w:sz w:val="21"/>
          <w:szCs w:val="21"/>
        </w:rPr>
        <w:t>la</w:t>
      </w:r>
      <w:r w:rsidRPr="00F67A15">
        <w:rPr>
          <w:rFonts w:ascii="Abadi" w:hAnsi="Abadi"/>
          <w:b w:val="0"/>
          <w:bCs w:val="0"/>
          <w:spacing w:val="65"/>
          <w:sz w:val="21"/>
          <w:szCs w:val="21"/>
        </w:rPr>
        <w:t xml:space="preserve"> </w:t>
      </w:r>
      <w:r w:rsidRPr="00F67A15">
        <w:rPr>
          <w:rFonts w:ascii="Abadi" w:hAnsi="Abadi"/>
          <w:b w:val="0"/>
          <w:bCs w:val="0"/>
          <w:sz w:val="21"/>
          <w:szCs w:val="21"/>
        </w:rPr>
        <w:t>iniciativa</w:t>
      </w:r>
      <w:r w:rsidRPr="00F67A15">
        <w:rPr>
          <w:rFonts w:ascii="Abadi" w:hAnsi="Abadi"/>
          <w:b w:val="0"/>
          <w:bCs w:val="0"/>
          <w:spacing w:val="65"/>
          <w:sz w:val="21"/>
          <w:szCs w:val="21"/>
        </w:rPr>
        <w:t xml:space="preserve"> </w:t>
      </w:r>
      <w:r w:rsidRPr="00F67A15">
        <w:rPr>
          <w:rFonts w:ascii="Abadi" w:hAnsi="Abadi"/>
          <w:b w:val="0"/>
          <w:bCs w:val="0"/>
          <w:sz w:val="21"/>
          <w:szCs w:val="21"/>
        </w:rPr>
        <w:t>suscrita</w:t>
      </w:r>
      <w:r w:rsidRPr="00F67A15">
        <w:rPr>
          <w:rFonts w:ascii="Abadi" w:hAnsi="Abadi"/>
          <w:b w:val="0"/>
          <w:bCs w:val="0"/>
          <w:spacing w:val="65"/>
          <w:sz w:val="21"/>
          <w:szCs w:val="21"/>
        </w:rPr>
        <w:t xml:space="preserve"> </w:t>
      </w:r>
      <w:r w:rsidRPr="00F67A15">
        <w:rPr>
          <w:rFonts w:ascii="Abadi" w:hAnsi="Abadi"/>
          <w:b w:val="0"/>
          <w:bCs w:val="0"/>
          <w:sz w:val="21"/>
          <w:szCs w:val="21"/>
        </w:rPr>
        <w:t>por</w:t>
      </w:r>
      <w:r w:rsidRPr="00F67A15">
        <w:rPr>
          <w:rFonts w:ascii="Abadi" w:hAnsi="Abadi"/>
          <w:b w:val="0"/>
          <w:bCs w:val="0"/>
          <w:spacing w:val="65"/>
          <w:sz w:val="21"/>
          <w:szCs w:val="21"/>
        </w:rPr>
        <w:t xml:space="preserve"> </w:t>
      </w:r>
      <w:r w:rsidRPr="00F67A15">
        <w:rPr>
          <w:rFonts w:ascii="Abadi" w:hAnsi="Abadi"/>
          <w:b w:val="0"/>
          <w:bCs w:val="0"/>
          <w:sz w:val="21"/>
          <w:szCs w:val="21"/>
        </w:rPr>
        <w:t>el</w:t>
      </w:r>
      <w:r w:rsidRPr="00F67A15">
        <w:rPr>
          <w:rFonts w:ascii="Abadi" w:hAnsi="Abadi"/>
          <w:b w:val="0"/>
          <w:bCs w:val="0"/>
          <w:spacing w:val="65"/>
          <w:sz w:val="21"/>
          <w:szCs w:val="21"/>
        </w:rPr>
        <w:t xml:space="preserve"> </w:t>
      </w:r>
      <w:r w:rsidRPr="00F67A15">
        <w:rPr>
          <w:rFonts w:ascii="Abadi" w:hAnsi="Abadi"/>
          <w:b w:val="0"/>
          <w:bCs w:val="0"/>
          <w:sz w:val="21"/>
          <w:szCs w:val="21"/>
        </w:rPr>
        <w:t>diputado</w:t>
      </w:r>
      <w:r w:rsidRPr="00F67A15">
        <w:rPr>
          <w:rFonts w:ascii="Abadi" w:hAnsi="Abadi"/>
          <w:b w:val="0"/>
          <w:bCs w:val="0"/>
          <w:spacing w:val="65"/>
          <w:sz w:val="21"/>
          <w:szCs w:val="21"/>
        </w:rPr>
        <w:t xml:space="preserve"> </w:t>
      </w:r>
      <w:r w:rsidRPr="00F67A15">
        <w:rPr>
          <w:rFonts w:ascii="Abadi" w:hAnsi="Abadi"/>
          <w:b w:val="0"/>
          <w:bCs w:val="0"/>
          <w:sz w:val="21"/>
          <w:szCs w:val="21"/>
        </w:rPr>
        <w:t>Ernesto</w:t>
      </w:r>
      <w:r w:rsidRPr="00F67A15">
        <w:rPr>
          <w:rFonts w:ascii="Abadi" w:hAnsi="Abadi"/>
          <w:b w:val="0"/>
          <w:bCs w:val="0"/>
          <w:spacing w:val="65"/>
          <w:sz w:val="21"/>
          <w:szCs w:val="21"/>
        </w:rPr>
        <w:t xml:space="preserve"> </w:t>
      </w:r>
      <w:r w:rsidRPr="00F67A15">
        <w:rPr>
          <w:rFonts w:ascii="Abadi" w:hAnsi="Abadi"/>
          <w:b w:val="0"/>
          <w:bCs w:val="0"/>
          <w:sz w:val="21"/>
          <w:szCs w:val="21"/>
        </w:rPr>
        <w:t>Alejandro Prieto</w:t>
      </w:r>
      <w:r w:rsidRPr="00F67A15">
        <w:rPr>
          <w:rFonts w:ascii="Abadi" w:hAnsi="Abadi"/>
          <w:b w:val="0"/>
          <w:bCs w:val="0"/>
          <w:spacing w:val="29"/>
          <w:sz w:val="21"/>
          <w:szCs w:val="21"/>
        </w:rPr>
        <w:t xml:space="preserve"> </w:t>
      </w:r>
      <w:r w:rsidRPr="00F67A15">
        <w:rPr>
          <w:rFonts w:ascii="Abadi" w:hAnsi="Abadi"/>
          <w:b w:val="0"/>
          <w:bCs w:val="0"/>
          <w:sz w:val="21"/>
          <w:szCs w:val="21"/>
        </w:rPr>
        <w:t>Gallardo</w:t>
      </w:r>
      <w:r w:rsidRPr="00F67A15">
        <w:rPr>
          <w:rFonts w:ascii="Abadi" w:hAnsi="Abadi"/>
          <w:b w:val="0"/>
          <w:bCs w:val="0"/>
          <w:spacing w:val="29"/>
          <w:sz w:val="21"/>
          <w:szCs w:val="21"/>
        </w:rPr>
        <w:t xml:space="preserve"> </w:t>
      </w:r>
      <w:r w:rsidRPr="00F67A15">
        <w:rPr>
          <w:rFonts w:ascii="Abadi" w:hAnsi="Abadi"/>
          <w:b w:val="0"/>
          <w:bCs w:val="0"/>
          <w:sz w:val="21"/>
          <w:szCs w:val="21"/>
        </w:rPr>
        <w:lastRenderedPageBreak/>
        <w:t>integrante</w:t>
      </w:r>
      <w:r w:rsidRPr="00F67A15">
        <w:rPr>
          <w:rFonts w:ascii="Abadi" w:hAnsi="Abadi"/>
          <w:b w:val="0"/>
          <w:bCs w:val="0"/>
          <w:spacing w:val="29"/>
          <w:sz w:val="21"/>
          <w:szCs w:val="21"/>
        </w:rPr>
        <w:t xml:space="preserve"> </w:t>
      </w:r>
      <w:r w:rsidRPr="00F67A15">
        <w:rPr>
          <w:rFonts w:ascii="Abadi" w:hAnsi="Abadi"/>
          <w:b w:val="0"/>
          <w:bCs w:val="0"/>
          <w:sz w:val="21"/>
          <w:szCs w:val="21"/>
        </w:rPr>
        <w:t>del</w:t>
      </w:r>
      <w:r w:rsidRPr="00F67A15">
        <w:rPr>
          <w:rFonts w:ascii="Abadi" w:hAnsi="Abadi"/>
          <w:b w:val="0"/>
          <w:bCs w:val="0"/>
          <w:spacing w:val="28"/>
          <w:sz w:val="21"/>
          <w:szCs w:val="21"/>
        </w:rPr>
        <w:t xml:space="preserve"> </w:t>
      </w:r>
      <w:r w:rsidRPr="00F67A15">
        <w:rPr>
          <w:rFonts w:ascii="Abadi" w:hAnsi="Abadi"/>
          <w:b w:val="0"/>
          <w:bCs w:val="0"/>
          <w:sz w:val="21"/>
          <w:szCs w:val="21"/>
        </w:rPr>
        <w:t>Grupo</w:t>
      </w:r>
      <w:r w:rsidRPr="00F67A15">
        <w:rPr>
          <w:rFonts w:ascii="Abadi" w:hAnsi="Abadi"/>
          <w:b w:val="0"/>
          <w:bCs w:val="0"/>
          <w:spacing w:val="29"/>
          <w:sz w:val="21"/>
          <w:szCs w:val="21"/>
        </w:rPr>
        <w:t xml:space="preserve"> </w:t>
      </w:r>
      <w:r w:rsidRPr="00F67A15">
        <w:rPr>
          <w:rFonts w:ascii="Abadi" w:hAnsi="Abadi"/>
          <w:b w:val="0"/>
          <w:bCs w:val="0"/>
          <w:sz w:val="21"/>
          <w:szCs w:val="21"/>
        </w:rPr>
        <w:t>Parlamentario</w:t>
      </w:r>
      <w:r w:rsidRPr="00F67A15">
        <w:rPr>
          <w:rFonts w:ascii="Abadi" w:hAnsi="Abadi"/>
          <w:b w:val="0"/>
          <w:bCs w:val="0"/>
          <w:spacing w:val="29"/>
          <w:sz w:val="21"/>
          <w:szCs w:val="21"/>
        </w:rPr>
        <w:t xml:space="preserve"> </w:t>
      </w:r>
      <w:r w:rsidRPr="00F67A15">
        <w:rPr>
          <w:rFonts w:ascii="Abadi" w:hAnsi="Abadi"/>
          <w:b w:val="0"/>
          <w:bCs w:val="0"/>
          <w:sz w:val="21"/>
          <w:szCs w:val="21"/>
        </w:rPr>
        <w:t>del</w:t>
      </w:r>
      <w:r w:rsidRPr="00F67A15">
        <w:rPr>
          <w:rFonts w:ascii="Abadi" w:hAnsi="Abadi"/>
          <w:b w:val="0"/>
          <w:bCs w:val="0"/>
          <w:spacing w:val="28"/>
          <w:sz w:val="21"/>
          <w:szCs w:val="21"/>
        </w:rPr>
        <w:t xml:space="preserve"> </w:t>
      </w:r>
      <w:r w:rsidRPr="00F67A15">
        <w:rPr>
          <w:rFonts w:ascii="Abadi" w:hAnsi="Abadi"/>
          <w:b w:val="0"/>
          <w:bCs w:val="0"/>
          <w:sz w:val="21"/>
          <w:szCs w:val="21"/>
        </w:rPr>
        <w:t>Partido</w:t>
      </w:r>
      <w:r w:rsidRPr="00F67A15">
        <w:rPr>
          <w:rFonts w:ascii="Abadi" w:hAnsi="Abadi"/>
          <w:b w:val="0"/>
          <w:bCs w:val="0"/>
          <w:spacing w:val="29"/>
          <w:sz w:val="21"/>
          <w:szCs w:val="21"/>
        </w:rPr>
        <w:t xml:space="preserve"> </w:t>
      </w:r>
      <w:r w:rsidRPr="00F67A15">
        <w:rPr>
          <w:rFonts w:ascii="Abadi" w:hAnsi="Abadi"/>
          <w:b w:val="0"/>
          <w:bCs w:val="0"/>
          <w:sz w:val="21"/>
          <w:szCs w:val="21"/>
        </w:rPr>
        <w:t>MORENA, por</w:t>
      </w:r>
      <w:r w:rsidRPr="00F67A15">
        <w:rPr>
          <w:rFonts w:ascii="Abadi" w:hAnsi="Abadi"/>
          <w:b w:val="0"/>
          <w:bCs w:val="0"/>
          <w:spacing w:val="61"/>
          <w:sz w:val="21"/>
          <w:szCs w:val="21"/>
        </w:rPr>
        <w:t xml:space="preserve"> </w:t>
      </w:r>
      <w:r w:rsidRPr="00F67A15">
        <w:rPr>
          <w:rFonts w:ascii="Abadi" w:hAnsi="Abadi"/>
          <w:b w:val="0"/>
          <w:bCs w:val="0"/>
          <w:sz w:val="21"/>
          <w:szCs w:val="21"/>
        </w:rPr>
        <w:t>la</w:t>
      </w:r>
      <w:r w:rsidRPr="00F67A15">
        <w:rPr>
          <w:rFonts w:ascii="Abadi" w:hAnsi="Abadi"/>
          <w:b w:val="0"/>
          <w:bCs w:val="0"/>
          <w:spacing w:val="61"/>
          <w:sz w:val="21"/>
          <w:szCs w:val="21"/>
        </w:rPr>
        <w:t xml:space="preserve"> </w:t>
      </w:r>
      <w:r w:rsidRPr="00F67A15">
        <w:rPr>
          <w:rFonts w:ascii="Abadi" w:hAnsi="Abadi"/>
          <w:b w:val="0"/>
          <w:bCs w:val="0"/>
          <w:sz w:val="21"/>
          <w:szCs w:val="21"/>
        </w:rPr>
        <w:t>que</w:t>
      </w:r>
      <w:r w:rsidRPr="00F67A15">
        <w:rPr>
          <w:rFonts w:ascii="Abadi" w:hAnsi="Abadi"/>
          <w:b w:val="0"/>
          <w:bCs w:val="0"/>
          <w:spacing w:val="61"/>
          <w:sz w:val="21"/>
          <w:szCs w:val="21"/>
        </w:rPr>
        <w:t xml:space="preserve"> </w:t>
      </w:r>
      <w:r w:rsidRPr="00F67A15">
        <w:rPr>
          <w:rFonts w:ascii="Abadi" w:hAnsi="Abadi"/>
          <w:b w:val="0"/>
          <w:bCs w:val="0"/>
          <w:sz w:val="21"/>
          <w:szCs w:val="21"/>
        </w:rPr>
        <w:t>se</w:t>
      </w:r>
      <w:r w:rsidRPr="00F67A15">
        <w:rPr>
          <w:rFonts w:ascii="Abadi" w:hAnsi="Abadi"/>
          <w:b w:val="0"/>
          <w:bCs w:val="0"/>
          <w:spacing w:val="61"/>
          <w:sz w:val="21"/>
          <w:szCs w:val="21"/>
        </w:rPr>
        <w:t xml:space="preserve"> </w:t>
      </w:r>
      <w:r w:rsidRPr="00F67A15">
        <w:rPr>
          <w:rFonts w:ascii="Abadi" w:hAnsi="Abadi"/>
          <w:b w:val="0"/>
          <w:bCs w:val="0"/>
          <w:sz w:val="21"/>
          <w:szCs w:val="21"/>
        </w:rPr>
        <w:t>adiciona</w:t>
      </w:r>
      <w:r w:rsidRPr="00F67A15">
        <w:rPr>
          <w:rFonts w:ascii="Abadi" w:hAnsi="Abadi"/>
          <w:b w:val="0"/>
          <w:bCs w:val="0"/>
          <w:spacing w:val="61"/>
          <w:sz w:val="21"/>
          <w:szCs w:val="21"/>
        </w:rPr>
        <w:t xml:space="preserve"> </w:t>
      </w:r>
      <w:r w:rsidRPr="00F67A15">
        <w:rPr>
          <w:rFonts w:ascii="Abadi" w:hAnsi="Abadi"/>
          <w:b w:val="0"/>
          <w:bCs w:val="0"/>
          <w:sz w:val="21"/>
          <w:szCs w:val="21"/>
        </w:rPr>
        <w:t>un</w:t>
      </w:r>
      <w:r w:rsidRPr="00F67A15">
        <w:rPr>
          <w:rFonts w:ascii="Abadi" w:hAnsi="Abadi"/>
          <w:b w:val="0"/>
          <w:bCs w:val="0"/>
          <w:spacing w:val="61"/>
          <w:sz w:val="21"/>
          <w:szCs w:val="21"/>
        </w:rPr>
        <w:t xml:space="preserve"> </w:t>
      </w:r>
      <w:r w:rsidRPr="00F67A15">
        <w:rPr>
          <w:rFonts w:ascii="Abadi" w:hAnsi="Abadi"/>
          <w:b w:val="0"/>
          <w:bCs w:val="0"/>
          <w:sz w:val="21"/>
          <w:szCs w:val="21"/>
        </w:rPr>
        <w:t>párrafo</w:t>
      </w:r>
      <w:r w:rsidRPr="00F67A15">
        <w:rPr>
          <w:rFonts w:ascii="Abadi" w:hAnsi="Abadi"/>
          <w:b w:val="0"/>
          <w:bCs w:val="0"/>
          <w:spacing w:val="61"/>
          <w:sz w:val="21"/>
          <w:szCs w:val="21"/>
        </w:rPr>
        <w:t xml:space="preserve"> </w:t>
      </w:r>
      <w:r w:rsidRPr="00F67A15">
        <w:rPr>
          <w:rFonts w:ascii="Abadi" w:hAnsi="Abadi"/>
          <w:b w:val="0"/>
          <w:bCs w:val="0"/>
          <w:sz w:val="21"/>
          <w:szCs w:val="21"/>
        </w:rPr>
        <w:t>al</w:t>
      </w:r>
      <w:r w:rsidRPr="00F67A15">
        <w:rPr>
          <w:rFonts w:ascii="Abadi" w:hAnsi="Abadi"/>
          <w:b w:val="0"/>
          <w:bCs w:val="0"/>
          <w:spacing w:val="61"/>
          <w:sz w:val="21"/>
          <w:szCs w:val="21"/>
        </w:rPr>
        <w:t xml:space="preserve"> </w:t>
      </w:r>
      <w:r w:rsidRPr="00F67A15">
        <w:rPr>
          <w:rFonts w:ascii="Abadi" w:hAnsi="Abadi"/>
          <w:b w:val="0"/>
          <w:bCs w:val="0"/>
          <w:sz w:val="21"/>
          <w:szCs w:val="21"/>
        </w:rPr>
        <w:t>artículo</w:t>
      </w:r>
      <w:r w:rsidRPr="00F67A15">
        <w:rPr>
          <w:rFonts w:ascii="Abadi" w:hAnsi="Abadi"/>
          <w:b w:val="0"/>
          <w:bCs w:val="0"/>
          <w:spacing w:val="61"/>
          <w:sz w:val="21"/>
          <w:szCs w:val="21"/>
        </w:rPr>
        <w:t xml:space="preserve"> </w:t>
      </w:r>
      <w:r w:rsidRPr="00F67A15">
        <w:rPr>
          <w:rFonts w:ascii="Abadi" w:hAnsi="Abadi"/>
          <w:b w:val="0"/>
          <w:bCs w:val="0"/>
          <w:sz w:val="21"/>
          <w:szCs w:val="21"/>
        </w:rPr>
        <w:t>31</w:t>
      </w:r>
      <w:r w:rsidRPr="00F67A15">
        <w:rPr>
          <w:rFonts w:ascii="Abadi" w:hAnsi="Abadi"/>
          <w:b w:val="0"/>
          <w:bCs w:val="0"/>
          <w:spacing w:val="61"/>
          <w:sz w:val="21"/>
          <w:szCs w:val="21"/>
        </w:rPr>
        <w:t xml:space="preserve"> </w:t>
      </w:r>
      <w:r w:rsidRPr="00F67A15">
        <w:rPr>
          <w:rFonts w:ascii="Abadi" w:hAnsi="Abadi"/>
          <w:b w:val="0"/>
          <w:bCs w:val="0"/>
          <w:sz w:val="21"/>
          <w:szCs w:val="21"/>
        </w:rPr>
        <w:t>de</w:t>
      </w:r>
      <w:r w:rsidRPr="00F67A15">
        <w:rPr>
          <w:rFonts w:ascii="Abadi" w:hAnsi="Abadi"/>
          <w:b w:val="0"/>
          <w:bCs w:val="0"/>
          <w:spacing w:val="61"/>
          <w:sz w:val="21"/>
          <w:szCs w:val="21"/>
        </w:rPr>
        <w:t xml:space="preserve"> </w:t>
      </w:r>
      <w:r w:rsidRPr="00F67A15">
        <w:rPr>
          <w:rFonts w:ascii="Abadi" w:hAnsi="Abadi"/>
          <w:b w:val="0"/>
          <w:bCs w:val="0"/>
          <w:sz w:val="21"/>
          <w:szCs w:val="21"/>
        </w:rPr>
        <w:t>la</w:t>
      </w:r>
      <w:r w:rsidRPr="00F67A15">
        <w:rPr>
          <w:rFonts w:ascii="Abadi" w:hAnsi="Abadi"/>
          <w:b w:val="0"/>
          <w:bCs w:val="0"/>
          <w:spacing w:val="61"/>
          <w:sz w:val="21"/>
          <w:szCs w:val="21"/>
        </w:rPr>
        <w:t xml:space="preserve"> </w:t>
      </w:r>
      <w:r w:rsidRPr="00F67A15">
        <w:rPr>
          <w:rFonts w:ascii="Abadi" w:hAnsi="Abadi"/>
          <w:b w:val="0"/>
          <w:bCs w:val="0"/>
          <w:sz w:val="21"/>
          <w:szCs w:val="21"/>
        </w:rPr>
        <w:t>Ley</w:t>
      </w:r>
      <w:r w:rsidRPr="00F67A15">
        <w:rPr>
          <w:rFonts w:ascii="Abadi" w:hAnsi="Abadi"/>
          <w:b w:val="0"/>
          <w:bCs w:val="0"/>
          <w:spacing w:val="61"/>
          <w:sz w:val="21"/>
          <w:szCs w:val="21"/>
        </w:rPr>
        <w:t xml:space="preserve"> </w:t>
      </w:r>
      <w:r w:rsidRPr="00F67A15">
        <w:rPr>
          <w:rFonts w:ascii="Abadi" w:hAnsi="Abadi"/>
          <w:b w:val="0"/>
          <w:bCs w:val="0"/>
          <w:sz w:val="21"/>
          <w:szCs w:val="21"/>
        </w:rPr>
        <w:t>de</w:t>
      </w:r>
      <w:r w:rsidRPr="00F67A15">
        <w:rPr>
          <w:rFonts w:ascii="Abadi" w:hAnsi="Abadi"/>
          <w:b w:val="0"/>
          <w:bCs w:val="0"/>
          <w:spacing w:val="61"/>
          <w:sz w:val="21"/>
          <w:szCs w:val="21"/>
        </w:rPr>
        <w:t xml:space="preserve"> </w:t>
      </w:r>
      <w:r w:rsidRPr="00F67A15">
        <w:rPr>
          <w:rFonts w:ascii="Abadi" w:hAnsi="Abadi"/>
          <w:b w:val="0"/>
          <w:bCs w:val="0"/>
          <w:sz w:val="21"/>
          <w:szCs w:val="21"/>
        </w:rPr>
        <w:t>Bebidas Alcohólicas para el Estado de Guanajuato y sus Municipios.</w:t>
      </w:r>
      <w:r w:rsidRPr="00B94CD4">
        <w:rPr>
          <w:rFonts w:ascii="Abadi" w:hAnsi="Abadi"/>
          <w:b w:val="0"/>
          <w:bCs w:val="0"/>
          <w:sz w:val="21"/>
          <w:szCs w:val="21"/>
        </w:rPr>
        <w:t xml:space="preserve"> </w:t>
      </w:r>
      <w:r w:rsidRPr="00B94CD4">
        <w:rPr>
          <w:rFonts w:ascii="Abadi" w:hAnsi="Abadi"/>
          <w:sz w:val="21"/>
          <w:szCs w:val="21"/>
        </w:rPr>
        <w:t>XII.-</w:t>
      </w:r>
      <w:r w:rsidRPr="00B94CD4">
        <w:rPr>
          <w:rFonts w:ascii="Abadi" w:hAnsi="Abadi"/>
          <w:b w:val="0"/>
          <w:bCs w:val="0"/>
          <w:sz w:val="21"/>
          <w:szCs w:val="21"/>
        </w:rPr>
        <w:t xml:space="preserve"> Presentación</w:t>
      </w:r>
      <w:r w:rsidRPr="00B94CD4">
        <w:rPr>
          <w:rFonts w:ascii="Abadi" w:hAnsi="Abadi"/>
          <w:b w:val="0"/>
          <w:bCs w:val="0"/>
          <w:spacing w:val="54"/>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la</w:t>
      </w:r>
      <w:r w:rsidRPr="00B94CD4">
        <w:rPr>
          <w:rFonts w:ascii="Abadi" w:hAnsi="Abadi"/>
          <w:b w:val="0"/>
          <w:bCs w:val="0"/>
          <w:spacing w:val="54"/>
          <w:sz w:val="21"/>
          <w:szCs w:val="21"/>
        </w:rPr>
        <w:t xml:space="preserve"> </w:t>
      </w:r>
      <w:r w:rsidRPr="00B94CD4">
        <w:rPr>
          <w:rFonts w:ascii="Abadi" w:hAnsi="Abadi"/>
          <w:b w:val="0"/>
          <w:bCs w:val="0"/>
          <w:sz w:val="21"/>
          <w:szCs w:val="21"/>
        </w:rPr>
        <w:t>propuesta</w:t>
      </w:r>
      <w:r w:rsidRPr="00B94CD4">
        <w:rPr>
          <w:rFonts w:ascii="Abadi" w:hAnsi="Abadi"/>
          <w:b w:val="0"/>
          <w:bCs w:val="0"/>
          <w:spacing w:val="54"/>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punto</w:t>
      </w:r>
      <w:r w:rsidRPr="00B94CD4">
        <w:rPr>
          <w:rFonts w:ascii="Abadi" w:hAnsi="Abadi"/>
          <w:b w:val="0"/>
          <w:bCs w:val="0"/>
          <w:spacing w:val="54"/>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acuerdo</w:t>
      </w:r>
      <w:r w:rsidRPr="00B94CD4">
        <w:rPr>
          <w:rFonts w:ascii="Abadi" w:hAnsi="Abadi"/>
          <w:b w:val="0"/>
          <w:bCs w:val="0"/>
          <w:spacing w:val="54"/>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obvia</w:t>
      </w:r>
      <w:r w:rsidRPr="00B94CD4">
        <w:rPr>
          <w:rFonts w:ascii="Abadi" w:hAnsi="Abadi"/>
          <w:b w:val="0"/>
          <w:bCs w:val="0"/>
          <w:spacing w:val="54"/>
          <w:sz w:val="21"/>
          <w:szCs w:val="21"/>
        </w:rPr>
        <w:t xml:space="preserve"> </w:t>
      </w:r>
      <w:r w:rsidRPr="00B94CD4">
        <w:rPr>
          <w:rFonts w:ascii="Abadi" w:hAnsi="Abadi"/>
          <w:b w:val="0"/>
          <w:bCs w:val="0"/>
          <w:sz w:val="21"/>
          <w:szCs w:val="21"/>
        </w:rPr>
        <w:t>resolución</w:t>
      </w:r>
      <w:r w:rsidRPr="00B94CD4">
        <w:rPr>
          <w:rFonts w:ascii="Abadi" w:hAnsi="Abadi"/>
          <w:b w:val="0"/>
          <w:bCs w:val="0"/>
          <w:spacing w:val="-1"/>
          <w:sz w:val="21"/>
          <w:szCs w:val="21"/>
        </w:rPr>
        <w:t xml:space="preserve"> </w:t>
      </w:r>
      <w:r w:rsidRPr="00B94CD4">
        <w:rPr>
          <w:rFonts w:ascii="Abadi" w:hAnsi="Abadi"/>
          <w:b w:val="0"/>
          <w:bCs w:val="0"/>
          <w:sz w:val="21"/>
          <w:szCs w:val="21"/>
        </w:rPr>
        <w:t>suscrita</w:t>
      </w:r>
      <w:r w:rsidRPr="00B94CD4">
        <w:rPr>
          <w:rFonts w:ascii="Abadi" w:hAnsi="Abadi"/>
          <w:b w:val="0"/>
          <w:bCs w:val="0"/>
          <w:spacing w:val="38"/>
          <w:sz w:val="21"/>
          <w:szCs w:val="21"/>
        </w:rPr>
        <w:t xml:space="preserve"> </w:t>
      </w:r>
      <w:r w:rsidRPr="00B94CD4">
        <w:rPr>
          <w:rFonts w:ascii="Abadi" w:hAnsi="Abadi"/>
          <w:b w:val="0"/>
          <w:bCs w:val="0"/>
          <w:sz w:val="21"/>
          <w:szCs w:val="21"/>
        </w:rPr>
        <w:t>por</w:t>
      </w:r>
      <w:r w:rsidRPr="00B94CD4">
        <w:rPr>
          <w:rFonts w:ascii="Abadi" w:hAnsi="Abadi"/>
          <w:b w:val="0"/>
          <w:bCs w:val="0"/>
          <w:spacing w:val="39"/>
          <w:sz w:val="21"/>
          <w:szCs w:val="21"/>
        </w:rPr>
        <w:t xml:space="preserve"> </w:t>
      </w:r>
      <w:r w:rsidRPr="00B94CD4">
        <w:rPr>
          <w:rFonts w:ascii="Abadi" w:hAnsi="Abadi"/>
          <w:b w:val="0"/>
          <w:bCs w:val="0"/>
          <w:sz w:val="21"/>
          <w:szCs w:val="21"/>
        </w:rPr>
        <w:t>las</w:t>
      </w:r>
      <w:r w:rsidRPr="00B94CD4">
        <w:rPr>
          <w:rFonts w:ascii="Abadi" w:hAnsi="Abadi"/>
          <w:b w:val="0"/>
          <w:bCs w:val="0"/>
          <w:spacing w:val="38"/>
          <w:sz w:val="21"/>
          <w:szCs w:val="21"/>
        </w:rPr>
        <w:t xml:space="preserve"> </w:t>
      </w:r>
      <w:r w:rsidRPr="00B94CD4">
        <w:rPr>
          <w:rFonts w:ascii="Abadi" w:hAnsi="Abadi"/>
          <w:b w:val="0"/>
          <w:bCs w:val="0"/>
          <w:sz w:val="21"/>
          <w:szCs w:val="21"/>
        </w:rPr>
        <w:t>diputadas</w:t>
      </w:r>
      <w:r w:rsidRPr="00B94CD4">
        <w:rPr>
          <w:rFonts w:ascii="Abadi" w:hAnsi="Abadi"/>
          <w:b w:val="0"/>
          <w:bCs w:val="0"/>
          <w:spacing w:val="38"/>
          <w:sz w:val="21"/>
          <w:szCs w:val="21"/>
        </w:rPr>
        <w:t xml:space="preserve"> </w:t>
      </w:r>
      <w:r w:rsidRPr="00B94CD4">
        <w:rPr>
          <w:rFonts w:ascii="Abadi" w:hAnsi="Abadi"/>
          <w:b w:val="0"/>
          <w:bCs w:val="0"/>
          <w:sz w:val="21"/>
          <w:szCs w:val="21"/>
        </w:rPr>
        <w:t>y</w:t>
      </w:r>
      <w:r w:rsidRPr="00B94CD4">
        <w:rPr>
          <w:rFonts w:ascii="Abadi" w:hAnsi="Abadi"/>
          <w:b w:val="0"/>
          <w:bCs w:val="0"/>
          <w:spacing w:val="38"/>
          <w:sz w:val="21"/>
          <w:szCs w:val="21"/>
        </w:rPr>
        <w:t xml:space="preserve"> </w:t>
      </w:r>
      <w:r w:rsidRPr="00B94CD4">
        <w:rPr>
          <w:rFonts w:ascii="Abadi" w:hAnsi="Abadi"/>
          <w:b w:val="0"/>
          <w:bCs w:val="0"/>
          <w:sz w:val="21"/>
          <w:szCs w:val="21"/>
        </w:rPr>
        <w:t>los</w:t>
      </w:r>
      <w:r w:rsidRPr="00B94CD4">
        <w:rPr>
          <w:rFonts w:ascii="Abadi" w:hAnsi="Abadi"/>
          <w:b w:val="0"/>
          <w:bCs w:val="0"/>
          <w:spacing w:val="38"/>
          <w:sz w:val="21"/>
          <w:szCs w:val="21"/>
        </w:rPr>
        <w:t xml:space="preserve"> </w:t>
      </w:r>
      <w:r w:rsidRPr="00B94CD4">
        <w:rPr>
          <w:rFonts w:ascii="Abadi" w:hAnsi="Abadi"/>
          <w:b w:val="0"/>
          <w:bCs w:val="0"/>
          <w:sz w:val="21"/>
          <w:szCs w:val="21"/>
        </w:rPr>
        <w:t>diputados</w:t>
      </w:r>
      <w:r w:rsidRPr="00B94CD4">
        <w:rPr>
          <w:rFonts w:ascii="Abadi" w:hAnsi="Abadi"/>
          <w:b w:val="0"/>
          <w:bCs w:val="0"/>
          <w:spacing w:val="38"/>
          <w:sz w:val="21"/>
          <w:szCs w:val="21"/>
        </w:rPr>
        <w:t xml:space="preserve"> </w:t>
      </w:r>
      <w:r w:rsidRPr="00B94CD4">
        <w:rPr>
          <w:rFonts w:ascii="Abadi" w:hAnsi="Abadi"/>
          <w:b w:val="0"/>
          <w:bCs w:val="0"/>
          <w:sz w:val="21"/>
          <w:szCs w:val="21"/>
        </w:rPr>
        <w:t>integrantes</w:t>
      </w:r>
      <w:r w:rsidRPr="00B94CD4">
        <w:rPr>
          <w:rFonts w:ascii="Abadi" w:hAnsi="Abadi"/>
          <w:b w:val="0"/>
          <w:bCs w:val="0"/>
          <w:spacing w:val="36"/>
          <w:sz w:val="21"/>
          <w:szCs w:val="21"/>
        </w:rPr>
        <w:t xml:space="preserve"> </w:t>
      </w:r>
      <w:r w:rsidRPr="00B94CD4">
        <w:rPr>
          <w:rFonts w:ascii="Abadi" w:hAnsi="Abadi"/>
          <w:b w:val="0"/>
          <w:bCs w:val="0"/>
          <w:sz w:val="21"/>
          <w:szCs w:val="21"/>
        </w:rPr>
        <w:t>de</w:t>
      </w:r>
      <w:r w:rsidRPr="00B94CD4">
        <w:rPr>
          <w:rFonts w:ascii="Abadi" w:hAnsi="Abadi"/>
          <w:b w:val="0"/>
          <w:bCs w:val="0"/>
          <w:spacing w:val="38"/>
          <w:sz w:val="21"/>
          <w:szCs w:val="21"/>
        </w:rPr>
        <w:t xml:space="preserve"> </w:t>
      </w:r>
      <w:r w:rsidRPr="00B94CD4">
        <w:rPr>
          <w:rFonts w:ascii="Abadi" w:hAnsi="Abadi"/>
          <w:b w:val="0"/>
          <w:bCs w:val="0"/>
          <w:sz w:val="21"/>
          <w:szCs w:val="21"/>
        </w:rPr>
        <w:t>la</w:t>
      </w:r>
      <w:r w:rsidRPr="00B94CD4">
        <w:rPr>
          <w:rFonts w:ascii="Abadi" w:hAnsi="Abadi"/>
          <w:b w:val="0"/>
          <w:bCs w:val="0"/>
          <w:spacing w:val="38"/>
          <w:sz w:val="21"/>
          <w:szCs w:val="21"/>
        </w:rPr>
        <w:t xml:space="preserve"> </w:t>
      </w:r>
      <w:r w:rsidRPr="00B94CD4">
        <w:rPr>
          <w:rFonts w:ascii="Abadi" w:hAnsi="Abadi"/>
          <w:b w:val="0"/>
          <w:bCs w:val="0"/>
          <w:sz w:val="21"/>
          <w:szCs w:val="21"/>
        </w:rPr>
        <w:t>Comisión</w:t>
      </w:r>
      <w:r w:rsidRPr="00B94CD4">
        <w:rPr>
          <w:rFonts w:ascii="Abadi" w:hAnsi="Abadi"/>
          <w:b w:val="0"/>
          <w:bCs w:val="0"/>
          <w:spacing w:val="38"/>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Justicia</w:t>
      </w:r>
      <w:r w:rsidRPr="00B94CD4">
        <w:rPr>
          <w:rFonts w:ascii="Abadi" w:hAnsi="Abadi"/>
          <w:b w:val="0"/>
          <w:bCs w:val="0"/>
          <w:spacing w:val="55"/>
          <w:sz w:val="21"/>
          <w:szCs w:val="21"/>
        </w:rPr>
        <w:t xml:space="preserve"> </w:t>
      </w:r>
      <w:r w:rsidRPr="00B94CD4">
        <w:rPr>
          <w:rFonts w:ascii="Abadi" w:hAnsi="Abadi"/>
          <w:b w:val="0"/>
          <w:bCs w:val="0"/>
          <w:sz w:val="21"/>
          <w:szCs w:val="21"/>
        </w:rPr>
        <w:t>a</w:t>
      </w:r>
      <w:r w:rsidRPr="00B94CD4">
        <w:rPr>
          <w:rFonts w:ascii="Abadi" w:hAnsi="Abadi"/>
          <w:b w:val="0"/>
          <w:bCs w:val="0"/>
          <w:spacing w:val="55"/>
          <w:sz w:val="21"/>
          <w:szCs w:val="21"/>
        </w:rPr>
        <w:t xml:space="preserve"> </w:t>
      </w:r>
      <w:r w:rsidRPr="00B94CD4">
        <w:rPr>
          <w:rFonts w:ascii="Abadi" w:hAnsi="Abadi"/>
          <w:b w:val="0"/>
          <w:bCs w:val="0"/>
          <w:sz w:val="21"/>
          <w:szCs w:val="21"/>
        </w:rPr>
        <w:t>efecto</w:t>
      </w:r>
      <w:r w:rsidRPr="00B94CD4">
        <w:rPr>
          <w:rFonts w:ascii="Abadi" w:hAnsi="Abadi"/>
          <w:b w:val="0"/>
          <w:bCs w:val="0"/>
          <w:spacing w:val="55"/>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exhortar</w:t>
      </w:r>
      <w:r w:rsidRPr="00B94CD4">
        <w:rPr>
          <w:rFonts w:ascii="Abadi" w:hAnsi="Abadi"/>
          <w:b w:val="0"/>
          <w:bCs w:val="0"/>
          <w:spacing w:val="54"/>
          <w:sz w:val="21"/>
          <w:szCs w:val="21"/>
        </w:rPr>
        <w:t xml:space="preserve"> </w:t>
      </w:r>
      <w:r w:rsidRPr="00B94CD4">
        <w:rPr>
          <w:rFonts w:ascii="Abadi" w:hAnsi="Abadi"/>
          <w:b w:val="0"/>
          <w:bCs w:val="0"/>
          <w:sz w:val="21"/>
          <w:szCs w:val="21"/>
        </w:rPr>
        <w:t>al</w:t>
      </w:r>
      <w:r w:rsidRPr="00B94CD4">
        <w:rPr>
          <w:rFonts w:ascii="Abadi" w:hAnsi="Abadi"/>
          <w:b w:val="0"/>
          <w:bCs w:val="0"/>
          <w:spacing w:val="54"/>
          <w:sz w:val="21"/>
          <w:szCs w:val="21"/>
        </w:rPr>
        <w:t xml:space="preserve"> </w:t>
      </w:r>
      <w:r w:rsidRPr="00B94CD4">
        <w:rPr>
          <w:rFonts w:ascii="Abadi" w:hAnsi="Abadi"/>
          <w:b w:val="0"/>
          <w:bCs w:val="0"/>
          <w:sz w:val="21"/>
          <w:szCs w:val="21"/>
        </w:rPr>
        <w:t>Congreso</w:t>
      </w:r>
      <w:r w:rsidRPr="00B94CD4">
        <w:rPr>
          <w:rFonts w:ascii="Abadi" w:hAnsi="Abadi"/>
          <w:b w:val="0"/>
          <w:bCs w:val="0"/>
          <w:spacing w:val="54"/>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la</w:t>
      </w:r>
      <w:r w:rsidRPr="00B94CD4">
        <w:rPr>
          <w:rFonts w:ascii="Abadi" w:hAnsi="Abadi"/>
          <w:b w:val="0"/>
          <w:bCs w:val="0"/>
          <w:spacing w:val="54"/>
          <w:sz w:val="21"/>
          <w:szCs w:val="21"/>
        </w:rPr>
        <w:t xml:space="preserve"> </w:t>
      </w:r>
      <w:r w:rsidRPr="00B94CD4">
        <w:rPr>
          <w:rFonts w:ascii="Abadi" w:hAnsi="Abadi"/>
          <w:b w:val="0"/>
          <w:bCs w:val="0"/>
          <w:sz w:val="21"/>
          <w:szCs w:val="21"/>
        </w:rPr>
        <w:t>Unión</w:t>
      </w:r>
      <w:r w:rsidRPr="00B94CD4">
        <w:rPr>
          <w:rFonts w:ascii="Abadi" w:hAnsi="Abadi"/>
          <w:b w:val="0"/>
          <w:bCs w:val="0"/>
          <w:spacing w:val="54"/>
          <w:sz w:val="21"/>
          <w:szCs w:val="21"/>
        </w:rPr>
        <w:t xml:space="preserve"> </w:t>
      </w:r>
      <w:r w:rsidRPr="00B94CD4">
        <w:rPr>
          <w:rFonts w:ascii="Abadi" w:hAnsi="Abadi"/>
          <w:b w:val="0"/>
          <w:bCs w:val="0"/>
          <w:sz w:val="21"/>
          <w:szCs w:val="21"/>
        </w:rPr>
        <w:t>para</w:t>
      </w:r>
      <w:r w:rsidRPr="00B94CD4">
        <w:rPr>
          <w:rFonts w:ascii="Abadi" w:hAnsi="Abadi"/>
          <w:b w:val="0"/>
          <w:bCs w:val="0"/>
          <w:spacing w:val="54"/>
          <w:sz w:val="21"/>
          <w:szCs w:val="21"/>
        </w:rPr>
        <w:t xml:space="preserve"> </w:t>
      </w:r>
      <w:r w:rsidRPr="00B94CD4">
        <w:rPr>
          <w:rFonts w:ascii="Abadi" w:hAnsi="Abadi"/>
          <w:b w:val="0"/>
          <w:bCs w:val="0"/>
          <w:sz w:val="21"/>
          <w:szCs w:val="21"/>
        </w:rPr>
        <w:t>que</w:t>
      </w:r>
      <w:r w:rsidRPr="00B94CD4">
        <w:rPr>
          <w:rFonts w:ascii="Abadi" w:hAnsi="Abadi"/>
          <w:b w:val="0"/>
          <w:bCs w:val="0"/>
          <w:spacing w:val="54"/>
          <w:sz w:val="21"/>
          <w:szCs w:val="21"/>
        </w:rPr>
        <w:t xml:space="preserve"> </w:t>
      </w:r>
      <w:r w:rsidRPr="00B94CD4">
        <w:rPr>
          <w:rFonts w:ascii="Abadi" w:hAnsi="Abadi"/>
          <w:b w:val="0"/>
          <w:bCs w:val="0"/>
          <w:sz w:val="21"/>
          <w:szCs w:val="21"/>
        </w:rPr>
        <w:t>en</w:t>
      </w:r>
      <w:r w:rsidRPr="00B94CD4">
        <w:rPr>
          <w:rFonts w:ascii="Abadi" w:hAnsi="Abadi"/>
          <w:b w:val="0"/>
          <w:bCs w:val="0"/>
          <w:spacing w:val="54"/>
          <w:sz w:val="21"/>
          <w:szCs w:val="21"/>
        </w:rPr>
        <w:t xml:space="preserve"> </w:t>
      </w:r>
      <w:r w:rsidRPr="00B94CD4">
        <w:rPr>
          <w:rFonts w:ascii="Abadi" w:hAnsi="Abadi"/>
          <w:b w:val="0"/>
          <w:bCs w:val="0"/>
          <w:sz w:val="21"/>
          <w:szCs w:val="21"/>
        </w:rPr>
        <w:t>los</w:t>
      </w:r>
      <w:r w:rsidRPr="00B94CD4">
        <w:rPr>
          <w:rFonts w:ascii="Abadi" w:hAnsi="Abadi"/>
          <w:b w:val="0"/>
          <w:bCs w:val="0"/>
          <w:spacing w:val="-1"/>
          <w:sz w:val="21"/>
          <w:szCs w:val="21"/>
        </w:rPr>
        <w:t xml:space="preserve"> </w:t>
      </w:r>
      <w:r w:rsidRPr="00B94CD4">
        <w:rPr>
          <w:rFonts w:ascii="Abadi" w:hAnsi="Abadi"/>
          <w:b w:val="0"/>
          <w:bCs w:val="0"/>
          <w:sz w:val="21"/>
          <w:szCs w:val="21"/>
        </w:rPr>
        <w:t>términos</w:t>
      </w:r>
      <w:r w:rsidRPr="00B94CD4">
        <w:rPr>
          <w:rFonts w:ascii="Abadi" w:hAnsi="Abadi"/>
          <w:b w:val="0"/>
          <w:bCs w:val="0"/>
          <w:spacing w:val="46"/>
          <w:sz w:val="21"/>
          <w:szCs w:val="21"/>
        </w:rPr>
        <w:t xml:space="preserve"> </w:t>
      </w:r>
      <w:r w:rsidRPr="00B94CD4">
        <w:rPr>
          <w:rFonts w:ascii="Abadi" w:hAnsi="Abadi"/>
          <w:b w:val="0"/>
          <w:bCs w:val="0"/>
          <w:sz w:val="21"/>
          <w:szCs w:val="21"/>
        </w:rPr>
        <w:t>del</w:t>
      </w:r>
      <w:r w:rsidRPr="00B94CD4">
        <w:rPr>
          <w:rFonts w:ascii="Abadi" w:hAnsi="Abadi"/>
          <w:b w:val="0"/>
          <w:bCs w:val="0"/>
          <w:spacing w:val="46"/>
          <w:sz w:val="21"/>
          <w:szCs w:val="21"/>
        </w:rPr>
        <w:t xml:space="preserve"> </w:t>
      </w:r>
      <w:r w:rsidRPr="00B94CD4">
        <w:rPr>
          <w:rFonts w:ascii="Abadi" w:hAnsi="Abadi"/>
          <w:b w:val="0"/>
          <w:bCs w:val="0"/>
          <w:sz w:val="21"/>
          <w:szCs w:val="21"/>
        </w:rPr>
        <w:t>artículo</w:t>
      </w:r>
      <w:r w:rsidRPr="00B94CD4">
        <w:rPr>
          <w:rFonts w:ascii="Abadi" w:hAnsi="Abadi"/>
          <w:b w:val="0"/>
          <w:bCs w:val="0"/>
          <w:spacing w:val="46"/>
          <w:sz w:val="21"/>
          <w:szCs w:val="21"/>
        </w:rPr>
        <w:t xml:space="preserve"> </w:t>
      </w:r>
      <w:r w:rsidRPr="00B94CD4">
        <w:rPr>
          <w:rFonts w:ascii="Abadi" w:hAnsi="Abadi"/>
          <w:b w:val="0"/>
          <w:bCs w:val="0"/>
          <w:sz w:val="21"/>
          <w:szCs w:val="21"/>
        </w:rPr>
        <w:t>73,</w:t>
      </w:r>
      <w:r w:rsidRPr="00B94CD4">
        <w:rPr>
          <w:rFonts w:ascii="Abadi" w:hAnsi="Abadi"/>
          <w:b w:val="0"/>
          <w:bCs w:val="0"/>
          <w:spacing w:val="46"/>
          <w:sz w:val="21"/>
          <w:szCs w:val="21"/>
        </w:rPr>
        <w:t xml:space="preserve"> </w:t>
      </w:r>
      <w:r w:rsidRPr="00B94CD4">
        <w:rPr>
          <w:rFonts w:ascii="Abadi" w:hAnsi="Abadi"/>
          <w:b w:val="0"/>
          <w:bCs w:val="0"/>
          <w:sz w:val="21"/>
          <w:szCs w:val="21"/>
        </w:rPr>
        <w:t>fracción</w:t>
      </w:r>
      <w:r w:rsidRPr="00B94CD4">
        <w:rPr>
          <w:rFonts w:ascii="Abadi" w:hAnsi="Abadi"/>
          <w:b w:val="0"/>
          <w:bCs w:val="0"/>
          <w:spacing w:val="46"/>
          <w:sz w:val="21"/>
          <w:szCs w:val="21"/>
        </w:rPr>
        <w:t xml:space="preserve"> </w:t>
      </w:r>
      <w:r w:rsidRPr="00B94CD4">
        <w:rPr>
          <w:rFonts w:ascii="Abadi" w:hAnsi="Abadi"/>
          <w:b w:val="0"/>
          <w:bCs w:val="0"/>
          <w:sz w:val="21"/>
          <w:szCs w:val="21"/>
        </w:rPr>
        <w:t>XXX</w:t>
      </w:r>
      <w:r w:rsidRPr="00B94CD4">
        <w:rPr>
          <w:rFonts w:ascii="Abadi" w:hAnsi="Abadi"/>
          <w:b w:val="0"/>
          <w:bCs w:val="0"/>
          <w:spacing w:val="47"/>
          <w:sz w:val="21"/>
          <w:szCs w:val="21"/>
        </w:rPr>
        <w:t xml:space="preserve"> </w:t>
      </w:r>
      <w:r w:rsidRPr="00B94CD4">
        <w:rPr>
          <w:rFonts w:ascii="Abadi" w:hAnsi="Abadi"/>
          <w:b w:val="0"/>
          <w:bCs w:val="0"/>
          <w:sz w:val="21"/>
          <w:szCs w:val="21"/>
        </w:rPr>
        <w:t>de</w:t>
      </w:r>
      <w:r w:rsidRPr="00B94CD4">
        <w:rPr>
          <w:rFonts w:ascii="Abadi" w:hAnsi="Abadi"/>
          <w:b w:val="0"/>
          <w:bCs w:val="0"/>
          <w:spacing w:val="46"/>
          <w:sz w:val="21"/>
          <w:szCs w:val="21"/>
        </w:rPr>
        <w:t xml:space="preserve"> </w:t>
      </w:r>
      <w:r w:rsidRPr="00B94CD4">
        <w:rPr>
          <w:rFonts w:ascii="Abadi" w:hAnsi="Abadi"/>
          <w:b w:val="0"/>
          <w:bCs w:val="0"/>
          <w:sz w:val="21"/>
          <w:szCs w:val="21"/>
        </w:rPr>
        <w:t>la</w:t>
      </w:r>
      <w:r w:rsidRPr="00B94CD4">
        <w:rPr>
          <w:rFonts w:ascii="Abadi" w:hAnsi="Abadi"/>
          <w:b w:val="0"/>
          <w:bCs w:val="0"/>
          <w:spacing w:val="46"/>
          <w:sz w:val="21"/>
          <w:szCs w:val="21"/>
        </w:rPr>
        <w:t xml:space="preserve"> </w:t>
      </w:r>
      <w:r w:rsidRPr="00B94CD4">
        <w:rPr>
          <w:rFonts w:ascii="Abadi" w:hAnsi="Abadi"/>
          <w:b w:val="0"/>
          <w:bCs w:val="0"/>
          <w:sz w:val="21"/>
          <w:szCs w:val="21"/>
        </w:rPr>
        <w:t>Constitución</w:t>
      </w:r>
      <w:r w:rsidRPr="00B94CD4">
        <w:rPr>
          <w:rFonts w:ascii="Abadi" w:hAnsi="Abadi"/>
          <w:b w:val="0"/>
          <w:bCs w:val="0"/>
          <w:spacing w:val="46"/>
          <w:sz w:val="21"/>
          <w:szCs w:val="21"/>
        </w:rPr>
        <w:t xml:space="preserve"> </w:t>
      </w:r>
      <w:r w:rsidRPr="00B94CD4">
        <w:rPr>
          <w:rFonts w:ascii="Abadi" w:hAnsi="Abadi"/>
          <w:b w:val="0"/>
          <w:bCs w:val="0"/>
          <w:sz w:val="21"/>
          <w:szCs w:val="21"/>
        </w:rPr>
        <w:t>Política</w:t>
      </w:r>
      <w:r w:rsidRPr="00B94CD4">
        <w:rPr>
          <w:rFonts w:ascii="Abadi" w:hAnsi="Abadi"/>
          <w:b w:val="0"/>
          <w:bCs w:val="0"/>
          <w:spacing w:val="46"/>
          <w:sz w:val="21"/>
          <w:szCs w:val="21"/>
        </w:rPr>
        <w:t xml:space="preserve"> </w:t>
      </w:r>
      <w:r w:rsidRPr="00B94CD4">
        <w:rPr>
          <w:rFonts w:ascii="Abadi" w:hAnsi="Abadi"/>
          <w:b w:val="0"/>
          <w:bCs w:val="0"/>
          <w:sz w:val="21"/>
          <w:szCs w:val="21"/>
        </w:rPr>
        <w:t>de</w:t>
      </w:r>
      <w:r w:rsidRPr="00B94CD4">
        <w:rPr>
          <w:rFonts w:ascii="Abadi" w:hAnsi="Abadi"/>
          <w:b w:val="0"/>
          <w:bCs w:val="0"/>
          <w:spacing w:val="46"/>
          <w:sz w:val="21"/>
          <w:szCs w:val="21"/>
        </w:rPr>
        <w:t xml:space="preserve"> </w:t>
      </w:r>
      <w:r w:rsidRPr="00B94CD4">
        <w:rPr>
          <w:rFonts w:ascii="Abadi" w:hAnsi="Abadi"/>
          <w:b w:val="0"/>
          <w:bCs w:val="0"/>
          <w:sz w:val="21"/>
          <w:szCs w:val="21"/>
        </w:rPr>
        <w:t>los</w:t>
      </w:r>
      <w:r w:rsidRPr="00B94CD4">
        <w:rPr>
          <w:rFonts w:ascii="Abadi" w:hAnsi="Abadi"/>
          <w:b w:val="0"/>
          <w:bCs w:val="0"/>
          <w:spacing w:val="-1"/>
          <w:sz w:val="21"/>
          <w:szCs w:val="21"/>
        </w:rPr>
        <w:t xml:space="preserve"> </w:t>
      </w:r>
      <w:r w:rsidRPr="00B94CD4">
        <w:rPr>
          <w:rFonts w:ascii="Abadi" w:hAnsi="Abadi"/>
          <w:b w:val="0"/>
          <w:bCs w:val="0"/>
          <w:sz w:val="21"/>
          <w:szCs w:val="21"/>
        </w:rPr>
        <w:t>Estados</w:t>
      </w:r>
      <w:r w:rsidRPr="00B94CD4">
        <w:rPr>
          <w:rFonts w:ascii="Abadi" w:hAnsi="Abadi"/>
          <w:b w:val="0"/>
          <w:bCs w:val="0"/>
          <w:spacing w:val="54"/>
          <w:w w:val="150"/>
          <w:sz w:val="21"/>
          <w:szCs w:val="21"/>
        </w:rPr>
        <w:t xml:space="preserve"> </w:t>
      </w:r>
      <w:r w:rsidRPr="00B94CD4">
        <w:rPr>
          <w:rFonts w:ascii="Abadi" w:hAnsi="Abadi"/>
          <w:b w:val="0"/>
          <w:bCs w:val="0"/>
          <w:sz w:val="21"/>
          <w:szCs w:val="21"/>
        </w:rPr>
        <w:t>Unidos</w:t>
      </w:r>
      <w:r w:rsidRPr="00B94CD4">
        <w:rPr>
          <w:rFonts w:ascii="Abadi" w:hAnsi="Abadi"/>
          <w:b w:val="0"/>
          <w:bCs w:val="0"/>
          <w:spacing w:val="54"/>
          <w:w w:val="150"/>
          <w:sz w:val="21"/>
          <w:szCs w:val="21"/>
        </w:rPr>
        <w:t xml:space="preserve"> </w:t>
      </w:r>
      <w:r w:rsidRPr="00B94CD4">
        <w:rPr>
          <w:rFonts w:ascii="Abadi" w:hAnsi="Abadi"/>
          <w:b w:val="0"/>
          <w:bCs w:val="0"/>
          <w:sz w:val="21"/>
          <w:szCs w:val="21"/>
        </w:rPr>
        <w:t>Mexicanos</w:t>
      </w:r>
      <w:r w:rsidRPr="00B94CD4">
        <w:rPr>
          <w:rFonts w:ascii="Abadi" w:hAnsi="Abadi"/>
          <w:b w:val="0"/>
          <w:bCs w:val="0"/>
          <w:spacing w:val="54"/>
          <w:w w:val="150"/>
          <w:sz w:val="21"/>
          <w:szCs w:val="21"/>
        </w:rPr>
        <w:t xml:space="preserve"> </w:t>
      </w:r>
      <w:r w:rsidRPr="00B94CD4">
        <w:rPr>
          <w:rFonts w:ascii="Abadi" w:hAnsi="Abadi"/>
          <w:b w:val="0"/>
          <w:bCs w:val="0"/>
          <w:sz w:val="21"/>
          <w:szCs w:val="21"/>
        </w:rPr>
        <w:t>se</w:t>
      </w:r>
      <w:r w:rsidRPr="00B94CD4">
        <w:rPr>
          <w:rFonts w:ascii="Abadi" w:hAnsi="Abadi"/>
          <w:b w:val="0"/>
          <w:bCs w:val="0"/>
          <w:spacing w:val="54"/>
          <w:w w:val="150"/>
          <w:sz w:val="21"/>
          <w:szCs w:val="21"/>
        </w:rPr>
        <w:t xml:space="preserve"> </w:t>
      </w:r>
      <w:r w:rsidRPr="00B94CD4">
        <w:rPr>
          <w:rFonts w:ascii="Abadi" w:hAnsi="Abadi"/>
          <w:b w:val="0"/>
          <w:bCs w:val="0"/>
          <w:sz w:val="21"/>
          <w:szCs w:val="21"/>
        </w:rPr>
        <w:t>expida</w:t>
      </w:r>
      <w:r w:rsidRPr="00B94CD4">
        <w:rPr>
          <w:rFonts w:ascii="Abadi" w:hAnsi="Abadi"/>
          <w:b w:val="0"/>
          <w:bCs w:val="0"/>
          <w:spacing w:val="54"/>
          <w:w w:val="150"/>
          <w:sz w:val="21"/>
          <w:szCs w:val="21"/>
        </w:rPr>
        <w:t xml:space="preserve"> </w:t>
      </w:r>
      <w:r w:rsidRPr="00B94CD4">
        <w:rPr>
          <w:rFonts w:ascii="Abadi" w:hAnsi="Abadi"/>
          <w:b w:val="0"/>
          <w:bCs w:val="0"/>
          <w:sz w:val="21"/>
          <w:szCs w:val="21"/>
        </w:rPr>
        <w:t>la</w:t>
      </w:r>
      <w:r w:rsidRPr="00B94CD4">
        <w:rPr>
          <w:rFonts w:ascii="Abadi" w:hAnsi="Abadi"/>
          <w:b w:val="0"/>
          <w:bCs w:val="0"/>
          <w:spacing w:val="54"/>
          <w:w w:val="150"/>
          <w:sz w:val="21"/>
          <w:szCs w:val="21"/>
        </w:rPr>
        <w:t xml:space="preserve"> </w:t>
      </w:r>
      <w:r w:rsidRPr="00B94CD4">
        <w:rPr>
          <w:rFonts w:ascii="Abadi" w:hAnsi="Abadi"/>
          <w:b w:val="0"/>
          <w:bCs w:val="0"/>
          <w:sz w:val="21"/>
          <w:szCs w:val="21"/>
        </w:rPr>
        <w:t>legislación</w:t>
      </w:r>
      <w:r w:rsidRPr="00B94CD4">
        <w:rPr>
          <w:rFonts w:ascii="Abadi" w:hAnsi="Abadi"/>
          <w:b w:val="0"/>
          <w:bCs w:val="0"/>
          <w:spacing w:val="54"/>
          <w:w w:val="150"/>
          <w:sz w:val="21"/>
          <w:szCs w:val="21"/>
        </w:rPr>
        <w:t xml:space="preserve"> </w:t>
      </w:r>
      <w:r w:rsidRPr="00B94CD4">
        <w:rPr>
          <w:rFonts w:ascii="Abadi" w:hAnsi="Abadi"/>
          <w:b w:val="0"/>
          <w:bCs w:val="0"/>
          <w:sz w:val="21"/>
          <w:szCs w:val="21"/>
        </w:rPr>
        <w:t>única</w:t>
      </w:r>
      <w:r w:rsidRPr="00B94CD4">
        <w:rPr>
          <w:rFonts w:ascii="Abadi" w:hAnsi="Abadi"/>
          <w:b w:val="0"/>
          <w:bCs w:val="0"/>
          <w:spacing w:val="54"/>
          <w:w w:val="150"/>
          <w:sz w:val="21"/>
          <w:szCs w:val="21"/>
        </w:rPr>
        <w:t xml:space="preserve"> </w:t>
      </w:r>
      <w:r w:rsidRPr="00B94CD4">
        <w:rPr>
          <w:rFonts w:ascii="Abadi" w:hAnsi="Abadi"/>
          <w:b w:val="0"/>
          <w:bCs w:val="0"/>
          <w:sz w:val="21"/>
          <w:szCs w:val="21"/>
        </w:rPr>
        <w:t>en</w:t>
      </w:r>
      <w:r w:rsidRPr="00B94CD4">
        <w:rPr>
          <w:rFonts w:ascii="Abadi" w:hAnsi="Abadi"/>
          <w:b w:val="0"/>
          <w:bCs w:val="0"/>
          <w:spacing w:val="54"/>
          <w:w w:val="150"/>
          <w:sz w:val="21"/>
          <w:szCs w:val="21"/>
        </w:rPr>
        <w:t xml:space="preserve"> </w:t>
      </w:r>
      <w:r w:rsidRPr="00B94CD4">
        <w:rPr>
          <w:rFonts w:ascii="Abadi" w:hAnsi="Abadi"/>
          <w:b w:val="0"/>
          <w:bCs w:val="0"/>
          <w:sz w:val="21"/>
          <w:szCs w:val="21"/>
        </w:rPr>
        <w:t>materia</w:t>
      </w:r>
      <w:r w:rsidRPr="00B94CD4">
        <w:rPr>
          <w:rFonts w:ascii="Abadi" w:hAnsi="Abadi"/>
          <w:b w:val="0"/>
          <w:bCs w:val="0"/>
          <w:spacing w:val="-1"/>
          <w:sz w:val="21"/>
          <w:szCs w:val="21"/>
        </w:rPr>
        <w:t xml:space="preserve"> </w:t>
      </w:r>
      <w:r w:rsidRPr="00B94CD4">
        <w:rPr>
          <w:rFonts w:ascii="Abadi" w:hAnsi="Abadi"/>
          <w:b w:val="0"/>
          <w:bCs w:val="0"/>
          <w:sz w:val="21"/>
          <w:szCs w:val="21"/>
        </w:rPr>
        <w:t>procesal civil y familiar</w:t>
      </w:r>
      <w:r w:rsidRPr="00B94CD4">
        <w:rPr>
          <w:rFonts w:ascii="Abadi" w:hAnsi="Abadi"/>
          <w:b w:val="0"/>
          <w:bCs w:val="0"/>
          <w:spacing w:val="-1"/>
          <w:sz w:val="21"/>
          <w:szCs w:val="21"/>
        </w:rPr>
        <w:t xml:space="preserve"> </w:t>
      </w:r>
      <w:r w:rsidRPr="00B94CD4">
        <w:rPr>
          <w:rFonts w:ascii="Abadi" w:hAnsi="Abadi"/>
          <w:b w:val="0"/>
          <w:bCs w:val="0"/>
          <w:sz w:val="21"/>
          <w:szCs w:val="21"/>
        </w:rPr>
        <w:t xml:space="preserve">y, en su caso, aprobación de la misma. </w:t>
      </w:r>
      <w:r w:rsidRPr="00B94CD4">
        <w:rPr>
          <w:rFonts w:ascii="Abadi" w:hAnsi="Abadi"/>
          <w:sz w:val="21"/>
          <w:szCs w:val="21"/>
        </w:rPr>
        <w:t>XIII.</w:t>
      </w:r>
      <w:r w:rsidRPr="00B94CD4">
        <w:rPr>
          <w:rFonts w:ascii="Abadi" w:hAnsi="Abadi"/>
          <w:b w:val="0"/>
          <w:bCs w:val="0"/>
          <w:sz w:val="21"/>
          <w:szCs w:val="21"/>
        </w:rPr>
        <w:t xml:space="preserve"> Presentación</w:t>
      </w:r>
      <w:r w:rsidRPr="00B94CD4">
        <w:rPr>
          <w:rFonts w:ascii="Abadi" w:hAnsi="Abadi"/>
          <w:b w:val="0"/>
          <w:bCs w:val="0"/>
          <w:spacing w:val="53"/>
          <w:sz w:val="21"/>
          <w:szCs w:val="21"/>
        </w:rPr>
        <w:t xml:space="preserve"> </w:t>
      </w:r>
      <w:r w:rsidRPr="00B94CD4">
        <w:rPr>
          <w:rFonts w:ascii="Abadi" w:hAnsi="Abadi"/>
          <w:b w:val="0"/>
          <w:bCs w:val="0"/>
          <w:sz w:val="21"/>
          <w:szCs w:val="21"/>
        </w:rPr>
        <w:t>de</w:t>
      </w:r>
      <w:r w:rsidRPr="00B94CD4">
        <w:rPr>
          <w:rFonts w:ascii="Abadi" w:hAnsi="Abadi"/>
          <w:b w:val="0"/>
          <w:bCs w:val="0"/>
          <w:spacing w:val="53"/>
          <w:sz w:val="21"/>
          <w:szCs w:val="21"/>
        </w:rPr>
        <w:t xml:space="preserve"> </w:t>
      </w:r>
      <w:r w:rsidRPr="00B94CD4">
        <w:rPr>
          <w:rFonts w:ascii="Abadi" w:hAnsi="Abadi"/>
          <w:b w:val="0"/>
          <w:bCs w:val="0"/>
          <w:sz w:val="21"/>
          <w:szCs w:val="21"/>
        </w:rPr>
        <w:t>la</w:t>
      </w:r>
      <w:r w:rsidRPr="00B94CD4">
        <w:rPr>
          <w:rFonts w:ascii="Abadi" w:hAnsi="Abadi"/>
          <w:b w:val="0"/>
          <w:bCs w:val="0"/>
          <w:spacing w:val="53"/>
          <w:sz w:val="21"/>
          <w:szCs w:val="21"/>
        </w:rPr>
        <w:t xml:space="preserve"> </w:t>
      </w:r>
      <w:r w:rsidRPr="00B94CD4">
        <w:rPr>
          <w:rFonts w:ascii="Abadi" w:hAnsi="Abadi"/>
          <w:b w:val="0"/>
          <w:bCs w:val="0"/>
          <w:sz w:val="21"/>
          <w:szCs w:val="21"/>
        </w:rPr>
        <w:t>propuesta</w:t>
      </w:r>
      <w:r w:rsidRPr="00B94CD4">
        <w:rPr>
          <w:rFonts w:ascii="Abadi" w:hAnsi="Abadi"/>
          <w:b w:val="0"/>
          <w:bCs w:val="0"/>
          <w:spacing w:val="53"/>
          <w:sz w:val="21"/>
          <w:szCs w:val="21"/>
        </w:rPr>
        <w:t xml:space="preserve"> </w:t>
      </w:r>
      <w:r w:rsidRPr="00B94CD4">
        <w:rPr>
          <w:rFonts w:ascii="Abadi" w:hAnsi="Abadi"/>
          <w:b w:val="0"/>
          <w:bCs w:val="0"/>
          <w:sz w:val="21"/>
          <w:szCs w:val="21"/>
        </w:rPr>
        <w:t>de</w:t>
      </w:r>
      <w:r w:rsidRPr="00B94CD4">
        <w:rPr>
          <w:rFonts w:ascii="Abadi" w:hAnsi="Abadi"/>
          <w:b w:val="0"/>
          <w:bCs w:val="0"/>
          <w:spacing w:val="53"/>
          <w:sz w:val="21"/>
          <w:szCs w:val="21"/>
        </w:rPr>
        <w:t xml:space="preserve"> </w:t>
      </w:r>
      <w:r w:rsidRPr="00B94CD4">
        <w:rPr>
          <w:rFonts w:ascii="Abadi" w:hAnsi="Abadi"/>
          <w:b w:val="0"/>
          <w:bCs w:val="0"/>
          <w:sz w:val="21"/>
          <w:szCs w:val="21"/>
        </w:rPr>
        <w:t>punto</w:t>
      </w:r>
      <w:r w:rsidRPr="00B94CD4">
        <w:rPr>
          <w:rFonts w:ascii="Abadi" w:hAnsi="Abadi"/>
          <w:b w:val="0"/>
          <w:bCs w:val="0"/>
          <w:spacing w:val="53"/>
          <w:sz w:val="21"/>
          <w:szCs w:val="21"/>
        </w:rPr>
        <w:t xml:space="preserve"> </w:t>
      </w:r>
      <w:r w:rsidRPr="00B94CD4">
        <w:rPr>
          <w:rFonts w:ascii="Abadi" w:hAnsi="Abadi"/>
          <w:b w:val="0"/>
          <w:bCs w:val="0"/>
          <w:sz w:val="21"/>
          <w:szCs w:val="21"/>
        </w:rPr>
        <w:t>de</w:t>
      </w:r>
      <w:r w:rsidRPr="00B94CD4">
        <w:rPr>
          <w:rFonts w:ascii="Abadi" w:hAnsi="Abadi"/>
          <w:b w:val="0"/>
          <w:bCs w:val="0"/>
          <w:spacing w:val="53"/>
          <w:sz w:val="21"/>
          <w:szCs w:val="21"/>
        </w:rPr>
        <w:t xml:space="preserve"> </w:t>
      </w:r>
      <w:r w:rsidRPr="00B94CD4">
        <w:rPr>
          <w:rFonts w:ascii="Abadi" w:hAnsi="Abadi"/>
          <w:b w:val="0"/>
          <w:bCs w:val="0"/>
          <w:sz w:val="21"/>
          <w:szCs w:val="21"/>
        </w:rPr>
        <w:t>acuerdo</w:t>
      </w:r>
      <w:r w:rsidRPr="00B94CD4">
        <w:rPr>
          <w:rFonts w:ascii="Abadi" w:hAnsi="Abadi"/>
          <w:b w:val="0"/>
          <w:bCs w:val="0"/>
          <w:spacing w:val="53"/>
          <w:sz w:val="21"/>
          <w:szCs w:val="21"/>
        </w:rPr>
        <w:t xml:space="preserve"> </w:t>
      </w:r>
      <w:r w:rsidRPr="00B94CD4">
        <w:rPr>
          <w:rFonts w:ascii="Abadi" w:hAnsi="Abadi"/>
          <w:b w:val="0"/>
          <w:bCs w:val="0"/>
          <w:sz w:val="21"/>
          <w:szCs w:val="21"/>
        </w:rPr>
        <w:t>de</w:t>
      </w:r>
      <w:r w:rsidRPr="00B94CD4">
        <w:rPr>
          <w:rFonts w:ascii="Abadi" w:hAnsi="Abadi"/>
          <w:b w:val="0"/>
          <w:bCs w:val="0"/>
          <w:spacing w:val="53"/>
          <w:sz w:val="21"/>
          <w:szCs w:val="21"/>
        </w:rPr>
        <w:t xml:space="preserve"> </w:t>
      </w:r>
      <w:r w:rsidRPr="00B94CD4">
        <w:rPr>
          <w:rFonts w:ascii="Abadi" w:hAnsi="Abadi"/>
          <w:b w:val="0"/>
          <w:bCs w:val="0"/>
          <w:sz w:val="21"/>
          <w:szCs w:val="21"/>
        </w:rPr>
        <w:t>obvia</w:t>
      </w:r>
      <w:r w:rsidRPr="00B94CD4">
        <w:rPr>
          <w:rFonts w:ascii="Abadi" w:hAnsi="Abadi"/>
          <w:b w:val="0"/>
          <w:bCs w:val="0"/>
          <w:spacing w:val="53"/>
          <w:sz w:val="21"/>
          <w:szCs w:val="21"/>
        </w:rPr>
        <w:t xml:space="preserve"> </w:t>
      </w:r>
      <w:r w:rsidRPr="00B94CD4">
        <w:rPr>
          <w:rFonts w:ascii="Abadi" w:hAnsi="Abadi"/>
          <w:b w:val="0"/>
          <w:bCs w:val="0"/>
          <w:sz w:val="21"/>
          <w:szCs w:val="21"/>
        </w:rPr>
        <w:t>resolución</w:t>
      </w:r>
      <w:r w:rsidRPr="00B94CD4">
        <w:rPr>
          <w:rFonts w:ascii="Abadi" w:hAnsi="Abadi"/>
          <w:b w:val="0"/>
          <w:bCs w:val="0"/>
          <w:spacing w:val="-2"/>
          <w:sz w:val="21"/>
          <w:szCs w:val="21"/>
        </w:rPr>
        <w:t xml:space="preserve"> </w:t>
      </w:r>
      <w:r w:rsidRPr="00B94CD4">
        <w:rPr>
          <w:rFonts w:ascii="Abadi" w:hAnsi="Abadi"/>
          <w:b w:val="0"/>
          <w:bCs w:val="0"/>
          <w:sz w:val="21"/>
          <w:szCs w:val="21"/>
        </w:rPr>
        <w:t>suscrita</w:t>
      </w:r>
      <w:r w:rsidRPr="00B94CD4">
        <w:rPr>
          <w:rFonts w:ascii="Abadi" w:hAnsi="Abadi"/>
          <w:b w:val="0"/>
          <w:bCs w:val="0"/>
          <w:spacing w:val="6"/>
          <w:sz w:val="21"/>
          <w:szCs w:val="21"/>
        </w:rPr>
        <w:t xml:space="preserve"> </w:t>
      </w:r>
      <w:r w:rsidRPr="00B94CD4">
        <w:rPr>
          <w:rFonts w:ascii="Abadi" w:hAnsi="Abadi"/>
          <w:b w:val="0"/>
          <w:bCs w:val="0"/>
          <w:sz w:val="21"/>
          <w:szCs w:val="21"/>
        </w:rPr>
        <w:t>por</w:t>
      </w:r>
      <w:r w:rsidRPr="00B94CD4">
        <w:rPr>
          <w:rFonts w:ascii="Abadi" w:hAnsi="Abadi"/>
          <w:b w:val="0"/>
          <w:bCs w:val="0"/>
          <w:spacing w:val="6"/>
          <w:sz w:val="21"/>
          <w:szCs w:val="21"/>
        </w:rPr>
        <w:t xml:space="preserve"> </w:t>
      </w:r>
      <w:r w:rsidRPr="00B94CD4">
        <w:rPr>
          <w:rFonts w:ascii="Abadi" w:hAnsi="Abadi"/>
          <w:b w:val="0"/>
          <w:bCs w:val="0"/>
          <w:sz w:val="21"/>
          <w:szCs w:val="21"/>
        </w:rPr>
        <w:t>diputadas</w:t>
      </w:r>
      <w:r w:rsidRPr="00B94CD4">
        <w:rPr>
          <w:rFonts w:ascii="Abadi" w:hAnsi="Abadi"/>
          <w:b w:val="0"/>
          <w:bCs w:val="0"/>
          <w:spacing w:val="6"/>
          <w:sz w:val="21"/>
          <w:szCs w:val="21"/>
        </w:rPr>
        <w:t xml:space="preserve"> </w:t>
      </w:r>
      <w:r w:rsidRPr="00B94CD4">
        <w:rPr>
          <w:rFonts w:ascii="Abadi" w:hAnsi="Abadi"/>
          <w:b w:val="0"/>
          <w:bCs w:val="0"/>
          <w:sz w:val="21"/>
          <w:szCs w:val="21"/>
        </w:rPr>
        <w:t>y</w:t>
      </w:r>
      <w:r w:rsidRPr="00B94CD4">
        <w:rPr>
          <w:rFonts w:ascii="Abadi" w:hAnsi="Abadi"/>
          <w:b w:val="0"/>
          <w:bCs w:val="0"/>
          <w:spacing w:val="6"/>
          <w:sz w:val="21"/>
          <w:szCs w:val="21"/>
        </w:rPr>
        <w:t xml:space="preserve"> </w:t>
      </w:r>
      <w:r w:rsidRPr="00B94CD4">
        <w:rPr>
          <w:rFonts w:ascii="Abadi" w:hAnsi="Abadi"/>
          <w:b w:val="0"/>
          <w:bCs w:val="0"/>
          <w:sz w:val="21"/>
          <w:szCs w:val="21"/>
        </w:rPr>
        <w:t>diputados</w:t>
      </w:r>
      <w:r w:rsidRPr="00B94CD4">
        <w:rPr>
          <w:rFonts w:ascii="Abadi" w:hAnsi="Abadi"/>
          <w:b w:val="0"/>
          <w:bCs w:val="0"/>
          <w:spacing w:val="6"/>
          <w:sz w:val="21"/>
          <w:szCs w:val="21"/>
        </w:rPr>
        <w:t xml:space="preserve"> </w:t>
      </w:r>
      <w:r w:rsidRPr="00B94CD4">
        <w:rPr>
          <w:rFonts w:ascii="Abadi" w:hAnsi="Abadi"/>
          <w:b w:val="0"/>
          <w:bCs w:val="0"/>
          <w:sz w:val="21"/>
          <w:szCs w:val="21"/>
        </w:rPr>
        <w:t>integrantes</w:t>
      </w:r>
      <w:r w:rsidRPr="00B94CD4">
        <w:rPr>
          <w:rFonts w:ascii="Abadi" w:hAnsi="Abadi"/>
          <w:b w:val="0"/>
          <w:bCs w:val="0"/>
          <w:spacing w:val="6"/>
          <w:sz w:val="21"/>
          <w:szCs w:val="21"/>
        </w:rPr>
        <w:t xml:space="preserve"> </w:t>
      </w:r>
      <w:r w:rsidRPr="00B94CD4">
        <w:rPr>
          <w:rFonts w:ascii="Abadi" w:hAnsi="Abadi"/>
          <w:b w:val="0"/>
          <w:bCs w:val="0"/>
          <w:sz w:val="21"/>
          <w:szCs w:val="21"/>
        </w:rPr>
        <w:t>del</w:t>
      </w:r>
      <w:r w:rsidRPr="00B94CD4">
        <w:rPr>
          <w:rFonts w:ascii="Abadi" w:hAnsi="Abadi"/>
          <w:b w:val="0"/>
          <w:bCs w:val="0"/>
          <w:spacing w:val="6"/>
          <w:sz w:val="21"/>
          <w:szCs w:val="21"/>
        </w:rPr>
        <w:t xml:space="preserve"> </w:t>
      </w:r>
      <w:r w:rsidRPr="00B94CD4">
        <w:rPr>
          <w:rFonts w:ascii="Abadi" w:hAnsi="Abadi"/>
          <w:b w:val="0"/>
          <w:bCs w:val="0"/>
          <w:sz w:val="21"/>
          <w:szCs w:val="21"/>
        </w:rPr>
        <w:t>Grupo</w:t>
      </w:r>
      <w:r w:rsidRPr="00B94CD4">
        <w:rPr>
          <w:rFonts w:ascii="Abadi" w:hAnsi="Abadi"/>
          <w:b w:val="0"/>
          <w:bCs w:val="0"/>
          <w:spacing w:val="6"/>
          <w:sz w:val="21"/>
          <w:szCs w:val="21"/>
        </w:rPr>
        <w:t xml:space="preserve"> </w:t>
      </w:r>
      <w:r w:rsidRPr="00B94CD4">
        <w:rPr>
          <w:rFonts w:ascii="Abadi" w:hAnsi="Abadi"/>
          <w:b w:val="0"/>
          <w:bCs w:val="0"/>
          <w:sz w:val="21"/>
          <w:szCs w:val="21"/>
        </w:rPr>
        <w:t>Parlamentario</w:t>
      </w:r>
      <w:r w:rsidRPr="00B94CD4">
        <w:rPr>
          <w:rFonts w:ascii="Abadi" w:hAnsi="Abadi"/>
          <w:b w:val="0"/>
          <w:bCs w:val="0"/>
          <w:spacing w:val="6"/>
          <w:sz w:val="21"/>
          <w:szCs w:val="21"/>
        </w:rPr>
        <w:t xml:space="preserve"> </w:t>
      </w:r>
      <w:r w:rsidRPr="00B94CD4">
        <w:rPr>
          <w:rFonts w:ascii="Abadi" w:hAnsi="Abadi"/>
          <w:b w:val="0"/>
          <w:bCs w:val="0"/>
          <w:sz w:val="21"/>
          <w:szCs w:val="21"/>
        </w:rPr>
        <w:t>del</w:t>
      </w:r>
      <w:r w:rsidRPr="00B94CD4">
        <w:rPr>
          <w:rFonts w:ascii="Abadi" w:hAnsi="Abadi"/>
          <w:b w:val="0"/>
          <w:bCs w:val="0"/>
          <w:spacing w:val="-2"/>
          <w:sz w:val="21"/>
          <w:szCs w:val="21"/>
        </w:rPr>
        <w:t xml:space="preserve"> </w:t>
      </w:r>
      <w:r w:rsidRPr="00B94CD4">
        <w:rPr>
          <w:rFonts w:ascii="Abadi" w:hAnsi="Abadi"/>
          <w:b w:val="0"/>
          <w:bCs w:val="0"/>
          <w:sz w:val="21"/>
          <w:szCs w:val="21"/>
        </w:rPr>
        <w:t>Partido</w:t>
      </w:r>
      <w:r w:rsidRPr="00B94CD4">
        <w:rPr>
          <w:rFonts w:ascii="Abadi" w:hAnsi="Abadi"/>
          <w:b w:val="0"/>
          <w:bCs w:val="0"/>
          <w:spacing w:val="-12"/>
          <w:sz w:val="21"/>
          <w:szCs w:val="21"/>
        </w:rPr>
        <w:t xml:space="preserve"> </w:t>
      </w:r>
      <w:r w:rsidRPr="00B94CD4">
        <w:rPr>
          <w:rFonts w:ascii="Abadi" w:hAnsi="Abadi"/>
          <w:b w:val="0"/>
          <w:bCs w:val="0"/>
          <w:sz w:val="21"/>
          <w:szCs w:val="21"/>
        </w:rPr>
        <w:t>Acción</w:t>
      </w:r>
      <w:r w:rsidRPr="00B94CD4">
        <w:rPr>
          <w:rFonts w:ascii="Abadi" w:hAnsi="Abadi"/>
          <w:b w:val="0"/>
          <w:bCs w:val="0"/>
          <w:spacing w:val="-12"/>
          <w:sz w:val="21"/>
          <w:szCs w:val="21"/>
        </w:rPr>
        <w:t xml:space="preserve"> </w:t>
      </w:r>
      <w:r w:rsidRPr="00B94CD4">
        <w:rPr>
          <w:rFonts w:ascii="Abadi" w:hAnsi="Abadi"/>
          <w:b w:val="0"/>
          <w:bCs w:val="0"/>
          <w:sz w:val="21"/>
          <w:szCs w:val="21"/>
        </w:rPr>
        <w:t>Nacional</w:t>
      </w:r>
      <w:r w:rsidRPr="00B94CD4">
        <w:rPr>
          <w:rFonts w:ascii="Abadi" w:hAnsi="Abadi"/>
          <w:b w:val="0"/>
          <w:bCs w:val="0"/>
          <w:spacing w:val="-13"/>
          <w:sz w:val="21"/>
          <w:szCs w:val="21"/>
        </w:rPr>
        <w:t xml:space="preserve"> </w:t>
      </w:r>
      <w:r w:rsidRPr="00B94CD4">
        <w:rPr>
          <w:rFonts w:ascii="Abadi" w:hAnsi="Abadi"/>
          <w:b w:val="0"/>
          <w:bCs w:val="0"/>
          <w:sz w:val="21"/>
          <w:szCs w:val="21"/>
        </w:rPr>
        <w:t>a</w:t>
      </w:r>
      <w:r w:rsidRPr="00B94CD4">
        <w:rPr>
          <w:rFonts w:ascii="Abadi" w:hAnsi="Abadi"/>
          <w:b w:val="0"/>
          <w:bCs w:val="0"/>
          <w:spacing w:val="-12"/>
          <w:sz w:val="21"/>
          <w:szCs w:val="21"/>
        </w:rPr>
        <w:t xml:space="preserve"> </w:t>
      </w:r>
      <w:r w:rsidRPr="00B94CD4">
        <w:rPr>
          <w:rFonts w:ascii="Abadi" w:hAnsi="Abadi"/>
          <w:b w:val="0"/>
          <w:bCs w:val="0"/>
          <w:sz w:val="21"/>
          <w:szCs w:val="21"/>
        </w:rPr>
        <w:t>efecto</w:t>
      </w:r>
      <w:r w:rsidRPr="00B94CD4">
        <w:rPr>
          <w:rFonts w:ascii="Abadi" w:hAnsi="Abadi"/>
          <w:b w:val="0"/>
          <w:bCs w:val="0"/>
          <w:spacing w:val="-12"/>
          <w:sz w:val="21"/>
          <w:szCs w:val="21"/>
        </w:rPr>
        <w:t xml:space="preserve"> </w:t>
      </w:r>
      <w:r w:rsidRPr="00B94CD4">
        <w:rPr>
          <w:rFonts w:ascii="Abadi" w:hAnsi="Abadi"/>
          <w:b w:val="0"/>
          <w:bCs w:val="0"/>
          <w:sz w:val="21"/>
          <w:szCs w:val="21"/>
        </w:rPr>
        <w:t>de</w:t>
      </w:r>
      <w:r w:rsidRPr="00B94CD4">
        <w:rPr>
          <w:rFonts w:ascii="Abadi" w:hAnsi="Abadi"/>
          <w:b w:val="0"/>
          <w:bCs w:val="0"/>
          <w:spacing w:val="-12"/>
          <w:sz w:val="21"/>
          <w:szCs w:val="21"/>
        </w:rPr>
        <w:t xml:space="preserve"> </w:t>
      </w:r>
      <w:r w:rsidRPr="00B94CD4">
        <w:rPr>
          <w:rFonts w:ascii="Abadi" w:hAnsi="Abadi"/>
          <w:b w:val="0"/>
          <w:bCs w:val="0"/>
          <w:sz w:val="21"/>
          <w:szCs w:val="21"/>
        </w:rPr>
        <w:t>exhortar</w:t>
      </w:r>
      <w:r w:rsidRPr="00B94CD4">
        <w:rPr>
          <w:rFonts w:ascii="Abadi" w:hAnsi="Abadi"/>
          <w:b w:val="0"/>
          <w:bCs w:val="0"/>
          <w:spacing w:val="-13"/>
          <w:sz w:val="21"/>
          <w:szCs w:val="21"/>
        </w:rPr>
        <w:t xml:space="preserve"> </w:t>
      </w:r>
      <w:r w:rsidRPr="00B94CD4">
        <w:rPr>
          <w:rFonts w:ascii="Abadi" w:hAnsi="Abadi"/>
          <w:b w:val="0"/>
          <w:bCs w:val="0"/>
          <w:sz w:val="21"/>
          <w:szCs w:val="21"/>
        </w:rPr>
        <w:t>a</w:t>
      </w:r>
      <w:r w:rsidRPr="00B94CD4">
        <w:rPr>
          <w:rFonts w:ascii="Abadi" w:hAnsi="Abadi"/>
          <w:b w:val="0"/>
          <w:bCs w:val="0"/>
          <w:spacing w:val="-12"/>
          <w:sz w:val="21"/>
          <w:szCs w:val="21"/>
        </w:rPr>
        <w:t xml:space="preserve"> </w:t>
      </w:r>
      <w:r w:rsidRPr="00B94CD4">
        <w:rPr>
          <w:rFonts w:ascii="Abadi" w:hAnsi="Abadi"/>
          <w:b w:val="0"/>
          <w:bCs w:val="0"/>
          <w:sz w:val="21"/>
          <w:szCs w:val="21"/>
        </w:rPr>
        <w:t>los</w:t>
      </w:r>
      <w:r w:rsidRPr="00B94CD4">
        <w:rPr>
          <w:rFonts w:ascii="Abadi" w:hAnsi="Abadi"/>
          <w:b w:val="0"/>
          <w:bCs w:val="0"/>
          <w:spacing w:val="-12"/>
          <w:sz w:val="21"/>
          <w:szCs w:val="21"/>
        </w:rPr>
        <w:t xml:space="preserve"> </w:t>
      </w:r>
      <w:r w:rsidRPr="00B94CD4">
        <w:rPr>
          <w:rFonts w:ascii="Abadi" w:hAnsi="Abadi"/>
          <w:b w:val="0"/>
          <w:bCs w:val="0"/>
          <w:sz w:val="21"/>
          <w:szCs w:val="21"/>
        </w:rPr>
        <w:t>ayuntamientos</w:t>
      </w:r>
      <w:r w:rsidRPr="00B94CD4">
        <w:rPr>
          <w:rFonts w:ascii="Abadi" w:hAnsi="Abadi"/>
          <w:b w:val="0"/>
          <w:bCs w:val="0"/>
          <w:spacing w:val="-12"/>
          <w:sz w:val="21"/>
          <w:szCs w:val="21"/>
        </w:rPr>
        <w:t xml:space="preserve"> </w:t>
      </w:r>
      <w:r w:rsidRPr="00B94CD4">
        <w:rPr>
          <w:rFonts w:ascii="Abadi" w:hAnsi="Abadi"/>
          <w:b w:val="0"/>
          <w:bCs w:val="0"/>
          <w:sz w:val="21"/>
          <w:szCs w:val="21"/>
        </w:rPr>
        <w:t>de</w:t>
      </w:r>
      <w:r w:rsidRPr="00B94CD4">
        <w:rPr>
          <w:rFonts w:ascii="Abadi" w:hAnsi="Abadi"/>
          <w:b w:val="0"/>
          <w:bCs w:val="0"/>
          <w:spacing w:val="-12"/>
          <w:sz w:val="21"/>
          <w:szCs w:val="21"/>
        </w:rPr>
        <w:t xml:space="preserve"> </w:t>
      </w:r>
      <w:r w:rsidRPr="00B94CD4">
        <w:rPr>
          <w:rFonts w:ascii="Abadi" w:hAnsi="Abadi"/>
          <w:b w:val="0"/>
          <w:bCs w:val="0"/>
          <w:sz w:val="21"/>
          <w:szCs w:val="21"/>
        </w:rPr>
        <w:t>Manuel</w:t>
      </w:r>
      <w:r w:rsidRPr="00B94CD4">
        <w:rPr>
          <w:rFonts w:ascii="Abadi" w:hAnsi="Abadi"/>
          <w:b w:val="0"/>
          <w:bCs w:val="0"/>
          <w:spacing w:val="-2"/>
          <w:sz w:val="21"/>
          <w:szCs w:val="21"/>
        </w:rPr>
        <w:t xml:space="preserve"> </w:t>
      </w:r>
      <w:r w:rsidRPr="00B94CD4">
        <w:rPr>
          <w:rFonts w:ascii="Abadi" w:hAnsi="Abadi"/>
          <w:b w:val="0"/>
          <w:bCs w:val="0"/>
          <w:sz w:val="21"/>
          <w:szCs w:val="21"/>
        </w:rPr>
        <w:t>Doblado,</w:t>
      </w:r>
      <w:r w:rsidRPr="00B94CD4">
        <w:rPr>
          <w:rFonts w:ascii="Abadi" w:hAnsi="Abadi"/>
          <w:b w:val="0"/>
          <w:bCs w:val="0"/>
          <w:spacing w:val="22"/>
          <w:sz w:val="21"/>
          <w:szCs w:val="21"/>
        </w:rPr>
        <w:t xml:space="preserve"> </w:t>
      </w:r>
      <w:r w:rsidRPr="00B94CD4">
        <w:rPr>
          <w:rFonts w:ascii="Abadi" w:hAnsi="Abadi"/>
          <w:b w:val="0"/>
          <w:bCs w:val="0"/>
          <w:sz w:val="21"/>
          <w:szCs w:val="21"/>
        </w:rPr>
        <w:t>Comonfort,</w:t>
      </w:r>
      <w:r w:rsidRPr="00B94CD4">
        <w:rPr>
          <w:rFonts w:ascii="Abadi" w:hAnsi="Abadi"/>
          <w:b w:val="0"/>
          <w:bCs w:val="0"/>
          <w:spacing w:val="22"/>
          <w:sz w:val="21"/>
          <w:szCs w:val="21"/>
        </w:rPr>
        <w:t xml:space="preserve"> </w:t>
      </w:r>
      <w:r w:rsidRPr="00B94CD4">
        <w:rPr>
          <w:rFonts w:ascii="Abadi" w:hAnsi="Abadi"/>
          <w:b w:val="0"/>
          <w:bCs w:val="0"/>
          <w:sz w:val="21"/>
          <w:szCs w:val="21"/>
        </w:rPr>
        <w:t>Cortazar,</w:t>
      </w:r>
      <w:r w:rsidRPr="00B94CD4">
        <w:rPr>
          <w:rFonts w:ascii="Abadi" w:hAnsi="Abadi"/>
          <w:b w:val="0"/>
          <w:bCs w:val="0"/>
          <w:spacing w:val="22"/>
          <w:sz w:val="21"/>
          <w:szCs w:val="21"/>
        </w:rPr>
        <w:t xml:space="preserve"> </w:t>
      </w:r>
      <w:r w:rsidRPr="00B94CD4">
        <w:rPr>
          <w:rFonts w:ascii="Abadi" w:hAnsi="Abadi"/>
          <w:b w:val="0"/>
          <w:bCs w:val="0"/>
          <w:sz w:val="21"/>
          <w:szCs w:val="21"/>
        </w:rPr>
        <w:t>Huanímaro,</w:t>
      </w:r>
      <w:r w:rsidRPr="00B94CD4">
        <w:rPr>
          <w:rFonts w:ascii="Abadi" w:hAnsi="Abadi"/>
          <w:b w:val="0"/>
          <w:bCs w:val="0"/>
          <w:spacing w:val="22"/>
          <w:sz w:val="21"/>
          <w:szCs w:val="21"/>
        </w:rPr>
        <w:t xml:space="preserve"> </w:t>
      </w:r>
      <w:r w:rsidRPr="00B94CD4">
        <w:rPr>
          <w:rFonts w:ascii="Abadi" w:hAnsi="Abadi"/>
          <w:b w:val="0"/>
          <w:bCs w:val="0"/>
          <w:sz w:val="21"/>
          <w:szCs w:val="21"/>
        </w:rPr>
        <w:t>Jaral</w:t>
      </w:r>
      <w:r w:rsidRPr="00B94CD4">
        <w:rPr>
          <w:rFonts w:ascii="Abadi" w:hAnsi="Abadi"/>
          <w:b w:val="0"/>
          <w:bCs w:val="0"/>
          <w:spacing w:val="22"/>
          <w:sz w:val="21"/>
          <w:szCs w:val="21"/>
        </w:rPr>
        <w:t xml:space="preserve"> </w:t>
      </w:r>
      <w:r w:rsidRPr="00B94CD4">
        <w:rPr>
          <w:rFonts w:ascii="Abadi" w:hAnsi="Abadi"/>
          <w:b w:val="0"/>
          <w:bCs w:val="0"/>
          <w:sz w:val="21"/>
          <w:szCs w:val="21"/>
        </w:rPr>
        <w:t>del</w:t>
      </w:r>
      <w:r w:rsidRPr="00B94CD4">
        <w:rPr>
          <w:rFonts w:ascii="Abadi" w:hAnsi="Abadi"/>
          <w:b w:val="0"/>
          <w:bCs w:val="0"/>
          <w:spacing w:val="22"/>
          <w:sz w:val="21"/>
          <w:szCs w:val="21"/>
        </w:rPr>
        <w:t xml:space="preserve"> </w:t>
      </w:r>
      <w:r w:rsidRPr="00B94CD4">
        <w:rPr>
          <w:rFonts w:ascii="Abadi" w:hAnsi="Abadi"/>
          <w:b w:val="0"/>
          <w:bCs w:val="0"/>
          <w:sz w:val="21"/>
          <w:szCs w:val="21"/>
        </w:rPr>
        <w:t>Progreso,</w:t>
      </w:r>
      <w:r w:rsidRPr="00B94CD4">
        <w:rPr>
          <w:rFonts w:ascii="Abadi" w:hAnsi="Abadi"/>
          <w:b w:val="0"/>
          <w:bCs w:val="0"/>
          <w:spacing w:val="22"/>
          <w:sz w:val="21"/>
          <w:szCs w:val="21"/>
        </w:rPr>
        <w:t xml:space="preserve"> </w:t>
      </w:r>
      <w:r w:rsidRPr="00B94CD4">
        <w:rPr>
          <w:rFonts w:ascii="Abadi" w:hAnsi="Abadi"/>
          <w:b w:val="0"/>
          <w:bCs w:val="0"/>
          <w:sz w:val="21"/>
          <w:szCs w:val="21"/>
        </w:rPr>
        <w:t>Jerécuaro,</w:t>
      </w:r>
      <w:r w:rsidRPr="00B94CD4">
        <w:rPr>
          <w:rFonts w:ascii="Abadi" w:hAnsi="Abadi"/>
          <w:b w:val="0"/>
          <w:bCs w:val="0"/>
          <w:spacing w:val="-2"/>
          <w:sz w:val="21"/>
          <w:szCs w:val="21"/>
        </w:rPr>
        <w:t xml:space="preserve"> </w:t>
      </w:r>
      <w:r w:rsidRPr="00B94CD4">
        <w:rPr>
          <w:rFonts w:ascii="Abadi" w:hAnsi="Abadi"/>
          <w:b w:val="0"/>
          <w:bCs w:val="0"/>
          <w:sz w:val="21"/>
          <w:szCs w:val="21"/>
        </w:rPr>
        <w:t>Ocampo, Pénjamo, Pueblo Nuevo, San Diego de la Unión, San Felipe, San</w:t>
      </w:r>
      <w:r w:rsidRPr="00B94CD4">
        <w:rPr>
          <w:rFonts w:ascii="Abadi" w:hAnsi="Abadi"/>
          <w:b w:val="0"/>
          <w:bCs w:val="0"/>
          <w:spacing w:val="-2"/>
          <w:sz w:val="21"/>
          <w:szCs w:val="21"/>
        </w:rPr>
        <w:t xml:space="preserve"> </w:t>
      </w:r>
      <w:r w:rsidRPr="00B94CD4">
        <w:rPr>
          <w:rFonts w:ascii="Abadi" w:hAnsi="Abadi"/>
          <w:b w:val="0"/>
          <w:bCs w:val="0"/>
          <w:sz w:val="21"/>
          <w:szCs w:val="21"/>
        </w:rPr>
        <w:t>José</w:t>
      </w:r>
      <w:r w:rsidRPr="00B94CD4">
        <w:rPr>
          <w:rFonts w:ascii="Abadi" w:hAnsi="Abadi"/>
          <w:b w:val="0"/>
          <w:bCs w:val="0"/>
          <w:spacing w:val="38"/>
          <w:sz w:val="21"/>
          <w:szCs w:val="21"/>
        </w:rPr>
        <w:t xml:space="preserve"> </w:t>
      </w:r>
      <w:r w:rsidRPr="00B94CD4">
        <w:rPr>
          <w:rFonts w:ascii="Abadi" w:hAnsi="Abadi"/>
          <w:b w:val="0"/>
          <w:bCs w:val="0"/>
          <w:sz w:val="21"/>
          <w:szCs w:val="21"/>
        </w:rPr>
        <w:t>Iturbide,</w:t>
      </w:r>
      <w:r w:rsidRPr="00B94CD4">
        <w:rPr>
          <w:rFonts w:ascii="Abadi" w:hAnsi="Abadi"/>
          <w:b w:val="0"/>
          <w:bCs w:val="0"/>
          <w:spacing w:val="38"/>
          <w:sz w:val="21"/>
          <w:szCs w:val="21"/>
        </w:rPr>
        <w:t xml:space="preserve"> </w:t>
      </w:r>
      <w:r w:rsidRPr="00B94CD4">
        <w:rPr>
          <w:rFonts w:ascii="Abadi" w:hAnsi="Abadi"/>
          <w:b w:val="0"/>
          <w:bCs w:val="0"/>
          <w:sz w:val="21"/>
          <w:szCs w:val="21"/>
        </w:rPr>
        <w:t>Santa</w:t>
      </w:r>
      <w:r w:rsidRPr="00B94CD4">
        <w:rPr>
          <w:rFonts w:ascii="Abadi" w:hAnsi="Abadi"/>
          <w:b w:val="0"/>
          <w:bCs w:val="0"/>
          <w:spacing w:val="38"/>
          <w:sz w:val="21"/>
          <w:szCs w:val="21"/>
        </w:rPr>
        <w:t xml:space="preserve"> </w:t>
      </w:r>
      <w:r w:rsidRPr="00B94CD4">
        <w:rPr>
          <w:rFonts w:ascii="Abadi" w:hAnsi="Abadi"/>
          <w:b w:val="0"/>
          <w:bCs w:val="0"/>
          <w:sz w:val="21"/>
          <w:szCs w:val="21"/>
        </w:rPr>
        <w:t>Catarina,</w:t>
      </w:r>
      <w:r w:rsidRPr="00B94CD4">
        <w:rPr>
          <w:rFonts w:ascii="Abadi" w:hAnsi="Abadi"/>
          <w:b w:val="0"/>
          <w:bCs w:val="0"/>
          <w:spacing w:val="38"/>
          <w:sz w:val="21"/>
          <w:szCs w:val="21"/>
        </w:rPr>
        <w:t xml:space="preserve"> </w:t>
      </w:r>
      <w:r w:rsidRPr="00B94CD4">
        <w:rPr>
          <w:rFonts w:ascii="Abadi" w:hAnsi="Abadi"/>
          <w:b w:val="0"/>
          <w:bCs w:val="0"/>
          <w:sz w:val="21"/>
          <w:szCs w:val="21"/>
        </w:rPr>
        <w:t>Santa</w:t>
      </w:r>
      <w:r w:rsidRPr="00B94CD4">
        <w:rPr>
          <w:rFonts w:ascii="Abadi" w:hAnsi="Abadi"/>
          <w:b w:val="0"/>
          <w:bCs w:val="0"/>
          <w:spacing w:val="38"/>
          <w:sz w:val="21"/>
          <w:szCs w:val="21"/>
        </w:rPr>
        <w:t xml:space="preserve"> </w:t>
      </w:r>
      <w:r w:rsidRPr="00B94CD4">
        <w:rPr>
          <w:rFonts w:ascii="Abadi" w:hAnsi="Abadi"/>
          <w:b w:val="0"/>
          <w:bCs w:val="0"/>
          <w:sz w:val="21"/>
          <w:szCs w:val="21"/>
        </w:rPr>
        <w:t>Cruz</w:t>
      </w:r>
      <w:r w:rsidRPr="00B94CD4">
        <w:rPr>
          <w:rFonts w:ascii="Abadi" w:hAnsi="Abadi"/>
          <w:b w:val="0"/>
          <w:bCs w:val="0"/>
          <w:spacing w:val="38"/>
          <w:sz w:val="21"/>
          <w:szCs w:val="21"/>
        </w:rPr>
        <w:t xml:space="preserve"> </w:t>
      </w:r>
      <w:r w:rsidRPr="00B94CD4">
        <w:rPr>
          <w:rFonts w:ascii="Abadi" w:hAnsi="Abadi"/>
          <w:b w:val="0"/>
          <w:bCs w:val="0"/>
          <w:sz w:val="21"/>
          <w:szCs w:val="21"/>
        </w:rPr>
        <w:t>de</w:t>
      </w:r>
      <w:r w:rsidRPr="00B94CD4">
        <w:rPr>
          <w:rFonts w:ascii="Abadi" w:hAnsi="Abadi"/>
          <w:b w:val="0"/>
          <w:bCs w:val="0"/>
          <w:spacing w:val="38"/>
          <w:sz w:val="21"/>
          <w:szCs w:val="21"/>
        </w:rPr>
        <w:t xml:space="preserve"> </w:t>
      </w:r>
      <w:r w:rsidRPr="00B94CD4">
        <w:rPr>
          <w:rFonts w:ascii="Abadi" w:hAnsi="Abadi"/>
          <w:b w:val="0"/>
          <w:bCs w:val="0"/>
          <w:sz w:val="21"/>
          <w:szCs w:val="21"/>
        </w:rPr>
        <w:t>Juventino</w:t>
      </w:r>
      <w:r w:rsidRPr="00B94CD4">
        <w:rPr>
          <w:rFonts w:ascii="Abadi" w:hAnsi="Abadi"/>
          <w:b w:val="0"/>
          <w:bCs w:val="0"/>
          <w:spacing w:val="38"/>
          <w:sz w:val="21"/>
          <w:szCs w:val="21"/>
        </w:rPr>
        <w:t xml:space="preserve"> </w:t>
      </w:r>
      <w:r w:rsidRPr="00B94CD4">
        <w:rPr>
          <w:rFonts w:ascii="Abadi" w:hAnsi="Abadi"/>
          <w:b w:val="0"/>
          <w:bCs w:val="0"/>
          <w:sz w:val="21"/>
          <w:szCs w:val="21"/>
        </w:rPr>
        <w:t>Rosas,</w:t>
      </w:r>
      <w:r w:rsidRPr="00B94CD4">
        <w:rPr>
          <w:rFonts w:ascii="Abadi" w:hAnsi="Abadi"/>
          <w:b w:val="0"/>
          <w:bCs w:val="0"/>
          <w:spacing w:val="37"/>
          <w:sz w:val="21"/>
          <w:szCs w:val="21"/>
        </w:rPr>
        <w:t xml:space="preserve"> </w:t>
      </w:r>
      <w:r w:rsidRPr="00B94CD4">
        <w:rPr>
          <w:rFonts w:ascii="Abadi" w:hAnsi="Abadi"/>
          <w:b w:val="0"/>
          <w:bCs w:val="0"/>
          <w:sz w:val="21"/>
          <w:szCs w:val="21"/>
        </w:rPr>
        <w:t>Santiago</w:t>
      </w:r>
      <w:r w:rsidRPr="00B94CD4">
        <w:rPr>
          <w:rFonts w:ascii="Abadi" w:hAnsi="Abadi"/>
          <w:b w:val="0"/>
          <w:bCs w:val="0"/>
          <w:spacing w:val="-2"/>
          <w:sz w:val="21"/>
          <w:szCs w:val="21"/>
        </w:rPr>
        <w:t xml:space="preserve"> </w:t>
      </w:r>
      <w:r w:rsidRPr="00B94CD4">
        <w:rPr>
          <w:rFonts w:ascii="Abadi" w:hAnsi="Abadi"/>
          <w:b w:val="0"/>
          <w:bCs w:val="0"/>
          <w:sz w:val="21"/>
          <w:szCs w:val="21"/>
        </w:rPr>
        <w:t>Maravatío,</w:t>
      </w:r>
      <w:r w:rsidRPr="00B94CD4">
        <w:rPr>
          <w:rFonts w:ascii="Abadi" w:hAnsi="Abadi"/>
          <w:b w:val="0"/>
          <w:bCs w:val="0"/>
          <w:spacing w:val="18"/>
          <w:sz w:val="21"/>
          <w:szCs w:val="21"/>
        </w:rPr>
        <w:t xml:space="preserve"> </w:t>
      </w:r>
      <w:r w:rsidRPr="00B94CD4">
        <w:rPr>
          <w:rFonts w:ascii="Abadi" w:hAnsi="Abadi"/>
          <w:b w:val="0"/>
          <w:bCs w:val="0"/>
          <w:sz w:val="21"/>
          <w:szCs w:val="21"/>
        </w:rPr>
        <w:t>Victoria,</w:t>
      </w:r>
      <w:r w:rsidRPr="00B94CD4">
        <w:rPr>
          <w:rFonts w:ascii="Abadi" w:hAnsi="Abadi"/>
          <w:b w:val="0"/>
          <w:bCs w:val="0"/>
          <w:spacing w:val="18"/>
          <w:sz w:val="21"/>
          <w:szCs w:val="21"/>
        </w:rPr>
        <w:t xml:space="preserve"> </w:t>
      </w:r>
      <w:r w:rsidRPr="00B94CD4">
        <w:rPr>
          <w:rFonts w:ascii="Abadi" w:hAnsi="Abadi"/>
          <w:b w:val="0"/>
          <w:bCs w:val="0"/>
          <w:sz w:val="21"/>
          <w:szCs w:val="21"/>
        </w:rPr>
        <w:t>Villagrán,</w:t>
      </w:r>
      <w:r w:rsidRPr="00B94CD4">
        <w:rPr>
          <w:rFonts w:ascii="Abadi" w:hAnsi="Abadi"/>
          <w:b w:val="0"/>
          <w:bCs w:val="0"/>
          <w:spacing w:val="18"/>
          <w:sz w:val="21"/>
          <w:szCs w:val="21"/>
        </w:rPr>
        <w:t xml:space="preserve"> </w:t>
      </w:r>
      <w:r w:rsidRPr="00B94CD4">
        <w:rPr>
          <w:rFonts w:ascii="Abadi" w:hAnsi="Abadi"/>
          <w:b w:val="0"/>
          <w:bCs w:val="0"/>
          <w:sz w:val="21"/>
          <w:szCs w:val="21"/>
        </w:rPr>
        <w:t>Xichú</w:t>
      </w:r>
      <w:r w:rsidRPr="00B94CD4">
        <w:rPr>
          <w:rFonts w:ascii="Abadi" w:hAnsi="Abadi"/>
          <w:b w:val="0"/>
          <w:bCs w:val="0"/>
          <w:spacing w:val="18"/>
          <w:sz w:val="21"/>
          <w:szCs w:val="21"/>
        </w:rPr>
        <w:t xml:space="preserve"> </w:t>
      </w:r>
      <w:r w:rsidRPr="00B94CD4">
        <w:rPr>
          <w:rFonts w:ascii="Abadi" w:hAnsi="Abadi"/>
          <w:b w:val="0"/>
          <w:bCs w:val="0"/>
          <w:sz w:val="21"/>
          <w:szCs w:val="21"/>
        </w:rPr>
        <w:t>y</w:t>
      </w:r>
      <w:r w:rsidRPr="00B94CD4">
        <w:rPr>
          <w:rFonts w:ascii="Abadi" w:hAnsi="Abadi"/>
          <w:b w:val="0"/>
          <w:bCs w:val="0"/>
          <w:spacing w:val="18"/>
          <w:sz w:val="21"/>
          <w:szCs w:val="21"/>
        </w:rPr>
        <w:t xml:space="preserve"> </w:t>
      </w:r>
      <w:r w:rsidRPr="00B94CD4">
        <w:rPr>
          <w:rFonts w:ascii="Abadi" w:hAnsi="Abadi"/>
          <w:b w:val="0"/>
          <w:bCs w:val="0"/>
          <w:sz w:val="21"/>
          <w:szCs w:val="21"/>
        </w:rPr>
        <w:t>Yuriria,</w:t>
      </w:r>
      <w:r w:rsidRPr="00B94CD4">
        <w:rPr>
          <w:rFonts w:ascii="Abadi" w:hAnsi="Abadi"/>
          <w:b w:val="0"/>
          <w:bCs w:val="0"/>
          <w:spacing w:val="18"/>
          <w:sz w:val="21"/>
          <w:szCs w:val="21"/>
        </w:rPr>
        <w:t xml:space="preserve"> </w:t>
      </w:r>
      <w:r w:rsidRPr="00B94CD4">
        <w:rPr>
          <w:rFonts w:ascii="Abadi" w:hAnsi="Abadi"/>
          <w:b w:val="0"/>
          <w:bCs w:val="0"/>
          <w:sz w:val="21"/>
          <w:szCs w:val="21"/>
        </w:rPr>
        <w:t>a</w:t>
      </w:r>
      <w:r w:rsidRPr="00B94CD4">
        <w:rPr>
          <w:rFonts w:ascii="Abadi" w:hAnsi="Abadi"/>
          <w:b w:val="0"/>
          <w:bCs w:val="0"/>
          <w:spacing w:val="18"/>
          <w:sz w:val="21"/>
          <w:szCs w:val="21"/>
        </w:rPr>
        <w:t xml:space="preserve"> </w:t>
      </w:r>
      <w:r w:rsidRPr="00B94CD4">
        <w:rPr>
          <w:rFonts w:ascii="Abadi" w:hAnsi="Abadi"/>
          <w:b w:val="0"/>
          <w:bCs w:val="0"/>
          <w:sz w:val="21"/>
          <w:szCs w:val="21"/>
        </w:rPr>
        <w:t>efecto,</w:t>
      </w:r>
      <w:r w:rsidRPr="00B94CD4">
        <w:rPr>
          <w:rFonts w:ascii="Abadi" w:hAnsi="Abadi"/>
          <w:b w:val="0"/>
          <w:bCs w:val="0"/>
          <w:spacing w:val="18"/>
          <w:sz w:val="21"/>
          <w:szCs w:val="21"/>
        </w:rPr>
        <w:t xml:space="preserve"> </w:t>
      </w:r>
      <w:r w:rsidRPr="00B94CD4">
        <w:rPr>
          <w:rFonts w:ascii="Abadi" w:hAnsi="Abadi"/>
          <w:b w:val="0"/>
          <w:bCs w:val="0"/>
          <w:sz w:val="21"/>
          <w:szCs w:val="21"/>
        </w:rPr>
        <w:t>de</w:t>
      </w:r>
      <w:r w:rsidRPr="00B94CD4">
        <w:rPr>
          <w:rFonts w:ascii="Abadi" w:hAnsi="Abadi"/>
          <w:b w:val="0"/>
          <w:bCs w:val="0"/>
          <w:spacing w:val="18"/>
          <w:sz w:val="21"/>
          <w:szCs w:val="21"/>
        </w:rPr>
        <w:t xml:space="preserve"> </w:t>
      </w:r>
      <w:r w:rsidRPr="00B94CD4">
        <w:rPr>
          <w:rFonts w:ascii="Abadi" w:hAnsi="Abadi"/>
          <w:b w:val="0"/>
          <w:bCs w:val="0"/>
          <w:sz w:val="21"/>
          <w:szCs w:val="21"/>
        </w:rPr>
        <w:t>que</w:t>
      </w:r>
      <w:r w:rsidRPr="00B94CD4">
        <w:rPr>
          <w:rFonts w:ascii="Abadi" w:hAnsi="Abadi"/>
          <w:b w:val="0"/>
          <w:bCs w:val="0"/>
          <w:spacing w:val="18"/>
          <w:sz w:val="21"/>
          <w:szCs w:val="21"/>
        </w:rPr>
        <w:t xml:space="preserve"> </w:t>
      </w:r>
      <w:r w:rsidRPr="00B94CD4">
        <w:rPr>
          <w:rFonts w:ascii="Abadi" w:hAnsi="Abadi"/>
          <w:b w:val="0"/>
          <w:bCs w:val="0"/>
          <w:sz w:val="21"/>
          <w:szCs w:val="21"/>
        </w:rPr>
        <w:t>expidan</w:t>
      </w:r>
      <w:r w:rsidRPr="00B94CD4">
        <w:rPr>
          <w:rFonts w:ascii="Abadi" w:hAnsi="Abadi"/>
          <w:b w:val="0"/>
          <w:bCs w:val="0"/>
          <w:spacing w:val="18"/>
          <w:sz w:val="21"/>
          <w:szCs w:val="21"/>
        </w:rPr>
        <w:t xml:space="preserve"> </w:t>
      </w:r>
      <w:r w:rsidRPr="00B94CD4">
        <w:rPr>
          <w:rFonts w:ascii="Abadi" w:hAnsi="Abadi"/>
          <w:b w:val="0"/>
          <w:bCs w:val="0"/>
          <w:sz w:val="21"/>
          <w:szCs w:val="21"/>
        </w:rPr>
        <w:t>su</w:t>
      </w:r>
      <w:r w:rsidRPr="00B94CD4">
        <w:rPr>
          <w:rFonts w:ascii="Abadi" w:hAnsi="Abadi"/>
          <w:b w:val="0"/>
          <w:bCs w:val="0"/>
          <w:spacing w:val="-2"/>
          <w:sz w:val="21"/>
          <w:szCs w:val="21"/>
        </w:rPr>
        <w:t xml:space="preserve"> </w:t>
      </w:r>
      <w:r w:rsidRPr="00B94CD4">
        <w:rPr>
          <w:rFonts w:ascii="Abadi" w:hAnsi="Abadi"/>
          <w:b w:val="0"/>
          <w:bCs w:val="0"/>
          <w:sz w:val="21"/>
          <w:szCs w:val="21"/>
        </w:rPr>
        <w:t>Programa</w:t>
      </w:r>
      <w:r w:rsidRPr="00B94CD4">
        <w:rPr>
          <w:rFonts w:ascii="Abadi" w:hAnsi="Abadi"/>
          <w:b w:val="0"/>
          <w:bCs w:val="0"/>
          <w:spacing w:val="65"/>
          <w:w w:val="150"/>
          <w:sz w:val="21"/>
          <w:szCs w:val="21"/>
        </w:rPr>
        <w:t xml:space="preserve"> </w:t>
      </w:r>
      <w:r w:rsidRPr="00B94CD4">
        <w:rPr>
          <w:rFonts w:ascii="Abadi" w:hAnsi="Abadi"/>
          <w:b w:val="0"/>
          <w:bCs w:val="0"/>
          <w:sz w:val="21"/>
          <w:szCs w:val="21"/>
        </w:rPr>
        <w:t>Municipal</w:t>
      </w:r>
      <w:r w:rsidRPr="00B94CD4">
        <w:rPr>
          <w:rFonts w:ascii="Abadi" w:hAnsi="Abadi"/>
          <w:b w:val="0"/>
          <w:bCs w:val="0"/>
          <w:spacing w:val="64"/>
          <w:w w:val="150"/>
          <w:sz w:val="21"/>
          <w:szCs w:val="21"/>
        </w:rPr>
        <w:t xml:space="preserve"> </w:t>
      </w:r>
      <w:r w:rsidRPr="00B94CD4">
        <w:rPr>
          <w:rFonts w:ascii="Abadi" w:hAnsi="Abadi"/>
          <w:b w:val="0"/>
          <w:bCs w:val="0"/>
          <w:sz w:val="21"/>
          <w:szCs w:val="21"/>
        </w:rPr>
        <w:t>de</w:t>
      </w:r>
      <w:r w:rsidRPr="00B94CD4">
        <w:rPr>
          <w:rFonts w:ascii="Abadi" w:hAnsi="Abadi"/>
          <w:b w:val="0"/>
          <w:bCs w:val="0"/>
          <w:spacing w:val="65"/>
          <w:w w:val="150"/>
          <w:sz w:val="21"/>
          <w:szCs w:val="21"/>
        </w:rPr>
        <w:t xml:space="preserve"> </w:t>
      </w:r>
      <w:r w:rsidRPr="00B94CD4">
        <w:rPr>
          <w:rFonts w:ascii="Abadi" w:hAnsi="Abadi"/>
          <w:b w:val="0"/>
          <w:bCs w:val="0"/>
          <w:sz w:val="21"/>
          <w:szCs w:val="21"/>
        </w:rPr>
        <w:t>Desarrollo</w:t>
      </w:r>
      <w:r w:rsidRPr="00B94CD4">
        <w:rPr>
          <w:rFonts w:ascii="Abadi" w:hAnsi="Abadi"/>
          <w:b w:val="0"/>
          <w:bCs w:val="0"/>
          <w:spacing w:val="65"/>
          <w:w w:val="150"/>
          <w:sz w:val="21"/>
          <w:szCs w:val="21"/>
        </w:rPr>
        <w:t xml:space="preserve"> </w:t>
      </w:r>
      <w:r w:rsidRPr="00B94CD4">
        <w:rPr>
          <w:rFonts w:ascii="Abadi" w:hAnsi="Abadi"/>
          <w:b w:val="0"/>
          <w:bCs w:val="0"/>
          <w:sz w:val="21"/>
          <w:szCs w:val="21"/>
        </w:rPr>
        <w:t>Urbano</w:t>
      </w:r>
      <w:r w:rsidRPr="00B94CD4">
        <w:rPr>
          <w:rFonts w:ascii="Abadi" w:hAnsi="Abadi"/>
          <w:b w:val="0"/>
          <w:bCs w:val="0"/>
          <w:spacing w:val="65"/>
          <w:w w:val="150"/>
          <w:sz w:val="21"/>
          <w:szCs w:val="21"/>
        </w:rPr>
        <w:t xml:space="preserve"> </w:t>
      </w:r>
      <w:r w:rsidRPr="00B94CD4">
        <w:rPr>
          <w:rFonts w:ascii="Abadi" w:hAnsi="Abadi"/>
          <w:b w:val="0"/>
          <w:bCs w:val="0"/>
          <w:sz w:val="21"/>
          <w:szCs w:val="21"/>
        </w:rPr>
        <w:t>y</w:t>
      </w:r>
      <w:r w:rsidRPr="00B94CD4">
        <w:rPr>
          <w:rFonts w:ascii="Abadi" w:hAnsi="Abadi"/>
          <w:b w:val="0"/>
          <w:bCs w:val="0"/>
          <w:spacing w:val="65"/>
          <w:w w:val="150"/>
          <w:sz w:val="21"/>
          <w:szCs w:val="21"/>
        </w:rPr>
        <w:t xml:space="preserve"> </w:t>
      </w:r>
      <w:r w:rsidRPr="00B94CD4">
        <w:rPr>
          <w:rFonts w:ascii="Abadi" w:hAnsi="Abadi"/>
          <w:b w:val="0"/>
          <w:bCs w:val="0"/>
          <w:sz w:val="21"/>
          <w:szCs w:val="21"/>
        </w:rPr>
        <w:t>Ordenamiento</w:t>
      </w:r>
      <w:r w:rsidRPr="00B94CD4">
        <w:rPr>
          <w:rFonts w:ascii="Abadi" w:hAnsi="Abadi"/>
          <w:b w:val="0"/>
          <w:bCs w:val="0"/>
          <w:spacing w:val="65"/>
          <w:w w:val="150"/>
          <w:sz w:val="21"/>
          <w:szCs w:val="21"/>
        </w:rPr>
        <w:t xml:space="preserve"> </w:t>
      </w:r>
      <w:r w:rsidRPr="00B94CD4">
        <w:rPr>
          <w:rFonts w:ascii="Abadi" w:hAnsi="Abadi"/>
          <w:b w:val="0"/>
          <w:bCs w:val="0"/>
          <w:sz w:val="21"/>
          <w:szCs w:val="21"/>
        </w:rPr>
        <w:t>Ecológico</w:t>
      </w:r>
      <w:r w:rsidRPr="00B94CD4">
        <w:rPr>
          <w:rFonts w:ascii="Abadi" w:hAnsi="Abadi"/>
          <w:b w:val="0"/>
          <w:bCs w:val="0"/>
          <w:spacing w:val="-2"/>
          <w:sz w:val="21"/>
          <w:szCs w:val="21"/>
        </w:rPr>
        <w:t xml:space="preserve"> </w:t>
      </w:r>
      <w:r w:rsidRPr="00B94CD4">
        <w:rPr>
          <w:rFonts w:ascii="Abadi" w:hAnsi="Abadi"/>
          <w:b w:val="0"/>
          <w:bCs w:val="0"/>
          <w:sz w:val="21"/>
          <w:szCs w:val="21"/>
        </w:rPr>
        <w:t>Territorial</w:t>
      </w:r>
      <w:r w:rsidRPr="00B94CD4">
        <w:rPr>
          <w:rFonts w:ascii="Abadi" w:hAnsi="Abadi"/>
          <w:b w:val="0"/>
          <w:bCs w:val="0"/>
          <w:spacing w:val="-1"/>
          <w:sz w:val="21"/>
          <w:szCs w:val="21"/>
        </w:rPr>
        <w:t xml:space="preserve"> </w:t>
      </w:r>
      <w:r w:rsidRPr="00B94CD4">
        <w:rPr>
          <w:rFonts w:ascii="Abadi" w:hAnsi="Abadi"/>
          <w:b w:val="0"/>
          <w:bCs w:val="0"/>
          <w:sz w:val="21"/>
          <w:szCs w:val="21"/>
        </w:rPr>
        <w:t>y,</w:t>
      </w:r>
      <w:r w:rsidRPr="00B94CD4">
        <w:rPr>
          <w:rFonts w:ascii="Abadi" w:hAnsi="Abadi"/>
          <w:b w:val="0"/>
          <w:bCs w:val="0"/>
          <w:spacing w:val="-1"/>
          <w:sz w:val="21"/>
          <w:szCs w:val="21"/>
        </w:rPr>
        <w:t xml:space="preserve"> </w:t>
      </w:r>
      <w:r w:rsidRPr="00B94CD4">
        <w:rPr>
          <w:rFonts w:ascii="Abadi" w:hAnsi="Abadi"/>
          <w:b w:val="0"/>
          <w:bCs w:val="0"/>
          <w:sz w:val="21"/>
          <w:szCs w:val="21"/>
        </w:rPr>
        <w:t>en</w:t>
      </w:r>
      <w:r w:rsidRPr="00B94CD4">
        <w:rPr>
          <w:rFonts w:ascii="Abadi" w:hAnsi="Abadi"/>
          <w:b w:val="0"/>
          <w:bCs w:val="0"/>
          <w:spacing w:val="-1"/>
          <w:sz w:val="21"/>
          <w:szCs w:val="21"/>
        </w:rPr>
        <w:t xml:space="preserve"> </w:t>
      </w:r>
      <w:r w:rsidRPr="00B94CD4">
        <w:rPr>
          <w:rFonts w:ascii="Abadi" w:hAnsi="Abadi"/>
          <w:b w:val="0"/>
          <w:bCs w:val="0"/>
          <w:sz w:val="21"/>
          <w:szCs w:val="21"/>
        </w:rPr>
        <w:t>su</w:t>
      </w:r>
      <w:r w:rsidRPr="00B94CD4">
        <w:rPr>
          <w:rFonts w:ascii="Abadi" w:hAnsi="Abadi"/>
          <w:b w:val="0"/>
          <w:bCs w:val="0"/>
          <w:spacing w:val="-1"/>
          <w:sz w:val="21"/>
          <w:szCs w:val="21"/>
        </w:rPr>
        <w:t xml:space="preserve"> </w:t>
      </w:r>
      <w:r w:rsidRPr="00B94CD4">
        <w:rPr>
          <w:rFonts w:ascii="Abadi" w:hAnsi="Abadi"/>
          <w:b w:val="0"/>
          <w:bCs w:val="0"/>
          <w:sz w:val="21"/>
          <w:szCs w:val="21"/>
        </w:rPr>
        <w:t>caso,</w:t>
      </w:r>
      <w:r w:rsidRPr="00B94CD4">
        <w:rPr>
          <w:rFonts w:ascii="Abadi" w:hAnsi="Abadi"/>
          <w:b w:val="0"/>
          <w:bCs w:val="0"/>
          <w:spacing w:val="-1"/>
          <w:sz w:val="21"/>
          <w:szCs w:val="21"/>
        </w:rPr>
        <w:t xml:space="preserve"> </w:t>
      </w:r>
      <w:r w:rsidRPr="00B94CD4">
        <w:rPr>
          <w:rFonts w:ascii="Abadi" w:hAnsi="Abadi"/>
          <w:b w:val="0"/>
          <w:bCs w:val="0"/>
          <w:sz w:val="21"/>
          <w:szCs w:val="21"/>
        </w:rPr>
        <w:t>aprobación</w:t>
      </w:r>
      <w:r w:rsidRPr="00B94CD4">
        <w:rPr>
          <w:rFonts w:ascii="Abadi" w:hAnsi="Abadi"/>
          <w:b w:val="0"/>
          <w:bCs w:val="0"/>
          <w:spacing w:val="-1"/>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la</w:t>
      </w:r>
      <w:r w:rsidRPr="00B94CD4">
        <w:rPr>
          <w:rFonts w:ascii="Abadi" w:hAnsi="Abadi"/>
          <w:b w:val="0"/>
          <w:bCs w:val="0"/>
          <w:spacing w:val="-1"/>
          <w:sz w:val="21"/>
          <w:szCs w:val="21"/>
        </w:rPr>
        <w:t xml:space="preserve"> </w:t>
      </w:r>
      <w:r w:rsidRPr="00B94CD4">
        <w:rPr>
          <w:rFonts w:ascii="Abadi" w:hAnsi="Abadi"/>
          <w:b w:val="0"/>
          <w:bCs w:val="0"/>
          <w:sz w:val="21"/>
          <w:szCs w:val="21"/>
        </w:rPr>
        <w:t xml:space="preserve">misma. </w:t>
      </w:r>
      <w:r w:rsidRPr="00B94CD4">
        <w:rPr>
          <w:rFonts w:ascii="Abadi" w:hAnsi="Abadi"/>
          <w:sz w:val="21"/>
          <w:szCs w:val="21"/>
        </w:rPr>
        <w:t>XIV.-</w:t>
      </w:r>
      <w:r w:rsidRPr="00B94CD4">
        <w:rPr>
          <w:rFonts w:ascii="Abadi" w:hAnsi="Abadi"/>
          <w:b w:val="0"/>
          <w:bCs w:val="0"/>
          <w:sz w:val="21"/>
          <w:szCs w:val="21"/>
        </w:rPr>
        <w:t xml:space="preserve"> Presentación</w:t>
      </w:r>
      <w:r w:rsidRPr="00B94CD4">
        <w:rPr>
          <w:rFonts w:ascii="Abadi" w:hAnsi="Abadi"/>
          <w:b w:val="0"/>
          <w:bCs w:val="0"/>
          <w:spacing w:val="54"/>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la</w:t>
      </w:r>
      <w:r w:rsidRPr="00B94CD4">
        <w:rPr>
          <w:rFonts w:ascii="Abadi" w:hAnsi="Abadi"/>
          <w:b w:val="0"/>
          <w:bCs w:val="0"/>
          <w:spacing w:val="54"/>
          <w:sz w:val="21"/>
          <w:szCs w:val="21"/>
        </w:rPr>
        <w:t xml:space="preserve"> </w:t>
      </w:r>
      <w:r w:rsidRPr="00B94CD4">
        <w:rPr>
          <w:rFonts w:ascii="Abadi" w:hAnsi="Abadi"/>
          <w:b w:val="0"/>
          <w:bCs w:val="0"/>
          <w:sz w:val="21"/>
          <w:szCs w:val="21"/>
        </w:rPr>
        <w:t>propuesta</w:t>
      </w:r>
      <w:r w:rsidRPr="00B94CD4">
        <w:rPr>
          <w:rFonts w:ascii="Abadi" w:hAnsi="Abadi"/>
          <w:b w:val="0"/>
          <w:bCs w:val="0"/>
          <w:spacing w:val="54"/>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punto</w:t>
      </w:r>
      <w:r w:rsidRPr="00B94CD4">
        <w:rPr>
          <w:rFonts w:ascii="Abadi" w:hAnsi="Abadi"/>
          <w:b w:val="0"/>
          <w:bCs w:val="0"/>
          <w:spacing w:val="54"/>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acuerdo</w:t>
      </w:r>
      <w:r w:rsidRPr="00B94CD4">
        <w:rPr>
          <w:rFonts w:ascii="Abadi" w:hAnsi="Abadi"/>
          <w:b w:val="0"/>
          <w:bCs w:val="0"/>
          <w:spacing w:val="54"/>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obvia</w:t>
      </w:r>
      <w:r w:rsidRPr="00B94CD4">
        <w:rPr>
          <w:rFonts w:ascii="Abadi" w:hAnsi="Abadi"/>
          <w:b w:val="0"/>
          <w:bCs w:val="0"/>
          <w:spacing w:val="54"/>
          <w:sz w:val="21"/>
          <w:szCs w:val="21"/>
        </w:rPr>
        <w:t xml:space="preserve"> </w:t>
      </w:r>
      <w:r w:rsidRPr="00B94CD4">
        <w:rPr>
          <w:rFonts w:ascii="Abadi" w:hAnsi="Abadi"/>
          <w:b w:val="0"/>
          <w:bCs w:val="0"/>
          <w:sz w:val="21"/>
          <w:szCs w:val="21"/>
        </w:rPr>
        <w:t>resolución</w:t>
      </w:r>
      <w:r w:rsidRPr="00B94CD4">
        <w:rPr>
          <w:rFonts w:ascii="Abadi" w:hAnsi="Abadi"/>
          <w:b w:val="0"/>
          <w:bCs w:val="0"/>
          <w:spacing w:val="-1"/>
          <w:sz w:val="21"/>
          <w:szCs w:val="21"/>
        </w:rPr>
        <w:t xml:space="preserve"> </w:t>
      </w:r>
      <w:r w:rsidRPr="00B94CD4">
        <w:rPr>
          <w:rFonts w:ascii="Abadi" w:hAnsi="Abadi"/>
          <w:b w:val="0"/>
          <w:bCs w:val="0"/>
          <w:sz w:val="21"/>
          <w:szCs w:val="21"/>
        </w:rPr>
        <w:t>suscrita</w:t>
      </w:r>
      <w:r w:rsidRPr="00B94CD4">
        <w:rPr>
          <w:rFonts w:ascii="Abadi" w:hAnsi="Abadi"/>
          <w:b w:val="0"/>
          <w:bCs w:val="0"/>
          <w:spacing w:val="7"/>
          <w:sz w:val="21"/>
          <w:szCs w:val="21"/>
        </w:rPr>
        <w:t xml:space="preserve"> </w:t>
      </w:r>
      <w:r w:rsidRPr="00B94CD4">
        <w:rPr>
          <w:rFonts w:ascii="Abadi" w:hAnsi="Abadi"/>
          <w:b w:val="0"/>
          <w:bCs w:val="0"/>
          <w:sz w:val="21"/>
          <w:szCs w:val="21"/>
        </w:rPr>
        <w:t>por</w:t>
      </w:r>
      <w:r w:rsidRPr="00B94CD4">
        <w:rPr>
          <w:rFonts w:ascii="Abadi" w:hAnsi="Abadi"/>
          <w:b w:val="0"/>
          <w:bCs w:val="0"/>
          <w:spacing w:val="7"/>
          <w:sz w:val="21"/>
          <w:szCs w:val="21"/>
        </w:rPr>
        <w:t xml:space="preserve"> </w:t>
      </w:r>
      <w:r w:rsidRPr="00B94CD4">
        <w:rPr>
          <w:rFonts w:ascii="Abadi" w:hAnsi="Abadi"/>
          <w:b w:val="0"/>
          <w:bCs w:val="0"/>
          <w:sz w:val="21"/>
          <w:szCs w:val="21"/>
        </w:rPr>
        <w:t>diputadas</w:t>
      </w:r>
      <w:r w:rsidRPr="00B94CD4">
        <w:rPr>
          <w:rFonts w:ascii="Abadi" w:hAnsi="Abadi"/>
          <w:b w:val="0"/>
          <w:bCs w:val="0"/>
          <w:spacing w:val="7"/>
          <w:sz w:val="21"/>
          <w:szCs w:val="21"/>
        </w:rPr>
        <w:t xml:space="preserve"> </w:t>
      </w:r>
      <w:r w:rsidRPr="00B94CD4">
        <w:rPr>
          <w:rFonts w:ascii="Abadi" w:hAnsi="Abadi"/>
          <w:b w:val="0"/>
          <w:bCs w:val="0"/>
          <w:sz w:val="21"/>
          <w:szCs w:val="21"/>
        </w:rPr>
        <w:t>y</w:t>
      </w:r>
      <w:r w:rsidRPr="00B94CD4">
        <w:rPr>
          <w:rFonts w:ascii="Abadi" w:hAnsi="Abadi"/>
          <w:b w:val="0"/>
          <w:bCs w:val="0"/>
          <w:spacing w:val="7"/>
          <w:sz w:val="21"/>
          <w:szCs w:val="21"/>
        </w:rPr>
        <w:t xml:space="preserve"> </w:t>
      </w:r>
      <w:r w:rsidRPr="00B94CD4">
        <w:rPr>
          <w:rFonts w:ascii="Abadi" w:hAnsi="Abadi"/>
          <w:b w:val="0"/>
          <w:bCs w:val="0"/>
          <w:sz w:val="21"/>
          <w:szCs w:val="21"/>
        </w:rPr>
        <w:t>diputados</w:t>
      </w:r>
      <w:r w:rsidRPr="00B94CD4">
        <w:rPr>
          <w:rFonts w:ascii="Abadi" w:hAnsi="Abadi"/>
          <w:b w:val="0"/>
          <w:bCs w:val="0"/>
          <w:spacing w:val="7"/>
          <w:sz w:val="21"/>
          <w:szCs w:val="21"/>
        </w:rPr>
        <w:t xml:space="preserve"> </w:t>
      </w:r>
      <w:r w:rsidRPr="00B94CD4">
        <w:rPr>
          <w:rFonts w:ascii="Abadi" w:hAnsi="Abadi"/>
          <w:b w:val="0"/>
          <w:bCs w:val="0"/>
          <w:sz w:val="21"/>
          <w:szCs w:val="21"/>
        </w:rPr>
        <w:t>integrantes</w:t>
      </w:r>
      <w:r w:rsidRPr="00B94CD4">
        <w:rPr>
          <w:rFonts w:ascii="Abadi" w:hAnsi="Abadi"/>
          <w:b w:val="0"/>
          <w:bCs w:val="0"/>
          <w:spacing w:val="7"/>
          <w:sz w:val="21"/>
          <w:szCs w:val="21"/>
        </w:rPr>
        <w:t xml:space="preserve"> </w:t>
      </w:r>
      <w:r w:rsidRPr="00B94CD4">
        <w:rPr>
          <w:rFonts w:ascii="Abadi" w:hAnsi="Abadi"/>
          <w:b w:val="0"/>
          <w:bCs w:val="0"/>
          <w:sz w:val="21"/>
          <w:szCs w:val="21"/>
        </w:rPr>
        <w:t>del</w:t>
      </w:r>
      <w:r w:rsidRPr="00B94CD4">
        <w:rPr>
          <w:rFonts w:ascii="Abadi" w:hAnsi="Abadi"/>
          <w:b w:val="0"/>
          <w:bCs w:val="0"/>
          <w:spacing w:val="7"/>
          <w:sz w:val="21"/>
          <w:szCs w:val="21"/>
        </w:rPr>
        <w:t xml:space="preserve"> </w:t>
      </w:r>
      <w:r w:rsidRPr="00B94CD4">
        <w:rPr>
          <w:rFonts w:ascii="Abadi" w:hAnsi="Abadi"/>
          <w:b w:val="0"/>
          <w:bCs w:val="0"/>
          <w:sz w:val="21"/>
          <w:szCs w:val="21"/>
        </w:rPr>
        <w:t>Grupo</w:t>
      </w:r>
      <w:r w:rsidRPr="00B94CD4">
        <w:rPr>
          <w:rFonts w:ascii="Abadi" w:hAnsi="Abadi"/>
          <w:b w:val="0"/>
          <w:bCs w:val="0"/>
          <w:spacing w:val="7"/>
          <w:sz w:val="21"/>
          <w:szCs w:val="21"/>
        </w:rPr>
        <w:t xml:space="preserve"> </w:t>
      </w:r>
      <w:r w:rsidRPr="00B94CD4">
        <w:rPr>
          <w:rFonts w:ascii="Abadi" w:hAnsi="Abadi"/>
          <w:b w:val="0"/>
          <w:bCs w:val="0"/>
          <w:sz w:val="21"/>
          <w:szCs w:val="21"/>
        </w:rPr>
        <w:t>Parlamentario</w:t>
      </w:r>
      <w:r w:rsidRPr="00B94CD4">
        <w:rPr>
          <w:rFonts w:ascii="Abadi" w:hAnsi="Abadi"/>
          <w:b w:val="0"/>
          <w:bCs w:val="0"/>
          <w:spacing w:val="7"/>
          <w:sz w:val="21"/>
          <w:szCs w:val="21"/>
        </w:rPr>
        <w:t xml:space="preserve"> </w:t>
      </w:r>
      <w:r w:rsidRPr="00B94CD4">
        <w:rPr>
          <w:rFonts w:ascii="Abadi" w:hAnsi="Abadi"/>
          <w:b w:val="0"/>
          <w:bCs w:val="0"/>
          <w:sz w:val="21"/>
          <w:szCs w:val="21"/>
        </w:rPr>
        <w:t>del</w:t>
      </w:r>
      <w:r w:rsidRPr="00B94CD4">
        <w:rPr>
          <w:rFonts w:ascii="Abadi" w:hAnsi="Abadi"/>
          <w:b w:val="0"/>
          <w:bCs w:val="0"/>
          <w:spacing w:val="-1"/>
          <w:sz w:val="21"/>
          <w:szCs w:val="21"/>
        </w:rPr>
        <w:t xml:space="preserve"> </w:t>
      </w:r>
      <w:r w:rsidRPr="00B94CD4">
        <w:rPr>
          <w:rFonts w:ascii="Abadi" w:hAnsi="Abadi"/>
          <w:b w:val="0"/>
          <w:bCs w:val="0"/>
          <w:sz w:val="21"/>
          <w:szCs w:val="21"/>
        </w:rPr>
        <w:t>Partido</w:t>
      </w:r>
      <w:r w:rsidRPr="00B94CD4">
        <w:rPr>
          <w:rFonts w:ascii="Abadi" w:hAnsi="Abadi"/>
          <w:b w:val="0"/>
          <w:bCs w:val="0"/>
          <w:spacing w:val="24"/>
          <w:sz w:val="21"/>
          <w:szCs w:val="21"/>
        </w:rPr>
        <w:t xml:space="preserve"> </w:t>
      </w:r>
      <w:r w:rsidRPr="00B94CD4">
        <w:rPr>
          <w:rFonts w:ascii="Abadi" w:hAnsi="Abadi"/>
          <w:b w:val="0"/>
          <w:bCs w:val="0"/>
          <w:sz w:val="21"/>
          <w:szCs w:val="21"/>
        </w:rPr>
        <w:t>Acción</w:t>
      </w:r>
      <w:r w:rsidRPr="00B94CD4">
        <w:rPr>
          <w:rFonts w:ascii="Abadi" w:hAnsi="Abadi"/>
          <w:b w:val="0"/>
          <w:bCs w:val="0"/>
          <w:spacing w:val="24"/>
          <w:sz w:val="21"/>
          <w:szCs w:val="21"/>
        </w:rPr>
        <w:t xml:space="preserve"> </w:t>
      </w:r>
      <w:r w:rsidRPr="00B94CD4">
        <w:rPr>
          <w:rFonts w:ascii="Abadi" w:hAnsi="Abadi"/>
          <w:b w:val="0"/>
          <w:bCs w:val="0"/>
          <w:sz w:val="21"/>
          <w:szCs w:val="21"/>
        </w:rPr>
        <w:t>Nacional</w:t>
      </w:r>
      <w:r w:rsidRPr="00B94CD4">
        <w:rPr>
          <w:rFonts w:ascii="Abadi" w:hAnsi="Abadi"/>
          <w:b w:val="0"/>
          <w:bCs w:val="0"/>
          <w:spacing w:val="24"/>
          <w:sz w:val="21"/>
          <w:szCs w:val="21"/>
        </w:rPr>
        <w:t xml:space="preserve"> </w:t>
      </w:r>
      <w:r w:rsidRPr="00B94CD4">
        <w:rPr>
          <w:rFonts w:ascii="Abadi" w:hAnsi="Abadi"/>
          <w:b w:val="0"/>
          <w:bCs w:val="0"/>
          <w:sz w:val="21"/>
          <w:szCs w:val="21"/>
        </w:rPr>
        <w:t>a</w:t>
      </w:r>
      <w:r w:rsidRPr="00B94CD4">
        <w:rPr>
          <w:rFonts w:ascii="Abadi" w:hAnsi="Abadi"/>
          <w:b w:val="0"/>
          <w:bCs w:val="0"/>
          <w:spacing w:val="24"/>
          <w:sz w:val="21"/>
          <w:szCs w:val="21"/>
        </w:rPr>
        <w:t xml:space="preserve"> </w:t>
      </w:r>
      <w:r w:rsidRPr="00B94CD4">
        <w:rPr>
          <w:rFonts w:ascii="Abadi" w:hAnsi="Abadi"/>
          <w:b w:val="0"/>
          <w:bCs w:val="0"/>
          <w:sz w:val="21"/>
          <w:szCs w:val="21"/>
        </w:rPr>
        <w:t>fin</w:t>
      </w:r>
      <w:r w:rsidRPr="00B94CD4">
        <w:rPr>
          <w:rFonts w:ascii="Abadi" w:hAnsi="Abadi"/>
          <w:b w:val="0"/>
          <w:bCs w:val="0"/>
          <w:spacing w:val="24"/>
          <w:sz w:val="21"/>
          <w:szCs w:val="21"/>
        </w:rPr>
        <w:t xml:space="preserve"> </w:t>
      </w:r>
      <w:r w:rsidRPr="00B94CD4">
        <w:rPr>
          <w:rFonts w:ascii="Abadi" w:hAnsi="Abadi"/>
          <w:b w:val="0"/>
          <w:bCs w:val="0"/>
          <w:sz w:val="21"/>
          <w:szCs w:val="21"/>
        </w:rPr>
        <w:t>de</w:t>
      </w:r>
      <w:r w:rsidRPr="00B94CD4">
        <w:rPr>
          <w:rFonts w:ascii="Abadi" w:hAnsi="Abadi"/>
          <w:b w:val="0"/>
          <w:bCs w:val="0"/>
          <w:spacing w:val="24"/>
          <w:sz w:val="21"/>
          <w:szCs w:val="21"/>
        </w:rPr>
        <w:t xml:space="preserve"> </w:t>
      </w:r>
      <w:r w:rsidRPr="00B94CD4">
        <w:rPr>
          <w:rFonts w:ascii="Abadi" w:hAnsi="Abadi"/>
          <w:b w:val="0"/>
          <w:bCs w:val="0"/>
          <w:sz w:val="21"/>
          <w:szCs w:val="21"/>
        </w:rPr>
        <w:t>exhortar</w:t>
      </w:r>
      <w:r w:rsidRPr="00B94CD4">
        <w:rPr>
          <w:rFonts w:ascii="Abadi" w:hAnsi="Abadi"/>
          <w:b w:val="0"/>
          <w:bCs w:val="0"/>
          <w:spacing w:val="24"/>
          <w:sz w:val="21"/>
          <w:szCs w:val="21"/>
        </w:rPr>
        <w:t xml:space="preserve"> </w:t>
      </w:r>
      <w:r w:rsidRPr="00B94CD4">
        <w:rPr>
          <w:rFonts w:ascii="Abadi" w:hAnsi="Abadi"/>
          <w:b w:val="0"/>
          <w:bCs w:val="0"/>
          <w:sz w:val="21"/>
          <w:szCs w:val="21"/>
        </w:rPr>
        <w:t>a</w:t>
      </w:r>
      <w:r w:rsidRPr="00B94CD4">
        <w:rPr>
          <w:rFonts w:ascii="Abadi" w:hAnsi="Abadi"/>
          <w:b w:val="0"/>
          <w:bCs w:val="0"/>
          <w:spacing w:val="24"/>
          <w:sz w:val="21"/>
          <w:szCs w:val="21"/>
        </w:rPr>
        <w:t xml:space="preserve"> </w:t>
      </w:r>
      <w:r w:rsidRPr="00B94CD4">
        <w:rPr>
          <w:rFonts w:ascii="Abadi" w:hAnsi="Abadi"/>
          <w:b w:val="0"/>
          <w:bCs w:val="0"/>
          <w:sz w:val="21"/>
          <w:szCs w:val="21"/>
        </w:rPr>
        <w:t>los</w:t>
      </w:r>
      <w:r w:rsidRPr="00B94CD4">
        <w:rPr>
          <w:rFonts w:ascii="Abadi" w:hAnsi="Abadi"/>
          <w:b w:val="0"/>
          <w:bCs w:val="0"/>
          <w:spacing w:val="24"/>
          <w:sz w:val="21"/>
          <w:szCs w:val="21"/>
        </w:rPr>
        <w:t xml:space="preserve"> </w:t>
      </w:r>
      <w:r w:rsidRPr="00B94CD4">
        <w:rPr>
          <w:rFonts w:ascii="Abadi" w:hAnsi="Abadi"/>
          <w:b w:val="0"/>
          <w:bCs w:val="0"/>
          <w:sz w:val="21"/>
          <w:szCs w:val="21"/>
        </w:rPr>
        <w:t>ayuntamientos</w:t>
      </w:r>
      <w:r w:rsidRPr="00B94CD4">
        <w:rPr>
          <w:rFonts w:ascii="Abadi" w:hAnsi="Abadi"/>
          <w:b w:val="0"/>
          <w:bCs w:val="0"/>
          <w:spacing w:val="24"/>
          <w:sz w:val="21"/>
          <w:szCs w:val="21"/>
        </w:rPr>
        <w:t xml:space="preserve"> </w:t>
      </w:r>
      <w:r w:rsidRPr="00B94CD4">
        <w:rPr>
          <w:rFonts w:ascii="Abadi" w:hAnsi="Abadi"/>
          <w:b w:val="0"/>
          <w:bCs w:val="0"/>
          <w:sz w:val="21"/>
          <w:szCs w:val="21"/>
        </w:rPr>
        <w:t>de</w:t>
      </w:r>
      <w:r w:rsidRPr="00B94CD4">
        <w:rPr>
          <w:rFonts w:ascii="Abadi" w:hAnsi="Abadi"/>
          <w:b w:val="0"/>
          <w:bCs w:val="0"/>
          <w:spacing w:val="24"/>
          <w:sz w:val="21"/>
          <w:szCs w:val="21"/>
        </w:rPr>
        <w:t xml:space="preserve"> </w:t>
      </w:r>
      <w:r w:rsidRPr="00B94CD4">
        <w:rPr>
          <w:rFonts w:ascii="Abadi" w:hAnsi="Abadi"/>
          <w:b w:val="0"/>
          <w:bCs w:val="0"/>
          <w:sz w:val="21"/>
          <w:szCs w:val="21"/>
        </w:rPr>
        <w:t>Atarjea,</w:t>
      </w:r>
      <w:r w:rsidRPr="00B94CD4">
        <w:rPr>
          <w:rFonts w:ascii="Abadi" w:hAnsi="Abadi"/>
          <w:b w:val="0"/>
          <w:bCs w:val="0"/>
          <w:spacing w:val="-1"/>
          <w:sz w:val="21"/>
          <w:szCs w:val="21"/>
        </w:rPr>
        <w:t xml:space="preserve"> </w:t>
      </w:r>
      <w:r w:rsidRPr="00B94CD4">
        <w:rPr>
          <w:rFonts w:ascii="Abadi" w:hAnsi="Abadi"/>
          <w:b w:val="0"/>
          <w:bCs w:val="0"/>
          <w:sz w:val="21"/>
          <w:szCs w:val="21"/>
        </w:rPr>
        <w:t>Ocampo,</w:t>
      </w:r>
      <w:r w:rsidRPr="00B94CD4">
        <w:rPr>
          <w:rFonts w:ascii="Abadi" w:hAnsi="Abadi"/>
          <w:b w:val="0"/>
          <w:bCs w:val="0"/>
          <w:spacing w:val="12"/>
          <w:sz w:val="21"/>
          <w:szCs w:val="21"/>
        </w:rPr>
        <w:t xml:space="preserve"> </w:t>
      </w:r>
      <w:r w:rsidRPr="00B94CD4">
        <w:rPr>
          <w:rFonts w:ascii="Abadi" w:hAnsi="Abadi"/>
          <w:b w:val="0"/>
          <w:bCs w:val="0"/>
          <w:sz w:val="21"/>
          <w:szCs w:val="21"/>
        </w:rPr>
        <w:t>Pueblo</w:t>
      </w:r>
      <w:r w:rsidRPr="00B94CD4">
        <w:rPr>
          <w:rFonts w:ascii="Abadi" w:hAnsi="Abadi"/>
          <w:b w:val="0"/>
          <w:bCs w:val="0"/>
          <w:spacing w:val="12"/>
          <w:sz w:val="21"/>
          <w:szCs w:val="21"/>
        </w:rPr>
        <w:t xml:space="preserve"> </w:t>
      </w:r>
      <w:r w:rsidRPr="00B94CD4">
        <w:rPr>
          <w:rFonts w:ascii="Abadi" w:hAnsi="Abadi"/>
          <w:b w:val="0"/>
          <w:bCs w:val="0"/>
          <w:sz w:val="21"/>
          <w:szCs w:val="21"/>
        </w:rPr>
        <w:t>Nuevo,</w:t>
      </w:r>
      <w:r w:rsidRPr="00B94CD4">
        <w:rPr>
          <w:rFonts w:ascii="Abadi" w:hAnsi="Abadi"/>
          <w:b w:val="0"/>
          <w:bCs w:val="0"/>
          <w:spacing w:val="12"/>
          <w:sz w:val="21"/>
          <w:szCs w:val="21"/>
        </w:rPr>
        <w:t xml:space="preserve"> </w:t>
      </w:r>
      <w:r w:rsidRPr="00B94CD4">
        <w:rPr>
          <w:rFonts w:ascii="Abadi" w:hAnsi="Abadi"/>
          <w:b w:val="0"/>
          <w:bCs w:val="0"/>
          <w:sz w:val="21"/>
          <w:szCs w:val="21"/>
        </w:rPr>
        <w:t>Santa</w:t>
      </w:r>
      <w:r w:rsidRPr="00B94CD4">
        <w:rPr>
          <w:rFonts w:ascii="Abadi" w:hAnsi="Abadi"/>
          <w:b w:val="0"/>
          <w:bCs w:val="0"/>
          <w:spacing w:val="12"/>
          <w:sz w:val="21"/>
          <w:szCs w:val="21"/>
        </w:rPr>
        <w:t xml:space="preserve"> </w:t>
      </w:r>
      <w:r w:rsidRPr="00B94CD4">
        <w:rPr>
          <w:rFonts w:ascii="Abadi" w:hAnsi="Abadi"/>
          <w:b w:val="0"/>
          <w:bCs w:val="0"/>
          <w:sz w:val="21"/>
          <w:szCs w:val="21"/>
        </w:rPr>
        <w:t>Catarina,</w:t>
      </w:r>
      <w:r w:rsidRPr="00B94CD4">
        <w:rPr>
          <w:rFonts w:ascii="Abadi" w:hAnsi="Abadi"/>
          <w:b w:val="0"/>
          <w:bCs w:val="0"/>
          <w:spacing w:val="11"/>
          <w:sz w:val="21"/>
          <w:szCs w:val="21"/>
        </w:rPr>
        <w:t xml:space="preserve"> </w:t>
      </w:r>
      <w:r w:rsidRPr="00B94CD4">
        <w:rPr>
          <w:rFonts w:ascii="Abadi" w:hAnsi="Abadi"/>
          <w:b w:val="0"/>
          <w:bCs w:val="0"/>
          <w:sz w:val="21"/>
          <w:szCs w:val="21"/>
        </w:rPr>
        <w:t>Xichú</w:t>
      </w:r>
      <w:r w:rsidRPr="00B94CD4">
        <w:rPr>
          <w:rFonts w:ascii="Abadi" w:hAnsi="Abadi"/>
          <w:b w:val="0"/>
          <w:bCs w:val="0"/>
          <w:spacing w:val="12"/>
          <w:sz w:val="21"/>
          <w:szCs w:val="21"/>
        </w:rPr>
        <w:t xml:space="preserve"> </w:t>
      </w:r>
      <w:r w:rsidRPr="00B94CD4">
        <w:rPr>
          <w:rFonts w:ascii="Abadi" w:hAnsi="Abadi"/>
          <w:b w:val="0"/>
          <w:bCs w:val="0"/>
          <w:sz w:val="21"/>
          <w:szCs w:val="21"/>
        </w:rPr>
        <w:t>y</w:t>
      </w:r>
      <w:r w:rsidRPr="00B94CD4">
        <w:rPr>
          <w:rFonts w:ascii="Abadi" w:hAnsi="Abadi"/>
          <w:b w:val="0"/>
          <w:bCs w:val="0"/>
          <w:spacing w:val="12"/>
          <w:sz w:val="21"/>
          <w:szCs w:val="21"/>
        </w:rPr>
        <w:t xml:space="preserve"> </w:t>
      </w:r>
      <w:r w:rsidRPr="00B94CD4">
        <w:rPr>
          <w:rFonts w:ascii="Abadi" w:hAnsi="Abadi"/>
          <w:b w:val="0"/>
          <w:bCs w:val="0"/>
          <w:sz w:val="21"/>
          <w:szCs w:val="21"/>
        </w:rPr>
        <w:t>Villagrán,</w:t>
      </w:r>
      <w:r w:rsidRPr="00B94CD4">
        <w:rPr>
          <w:rFonts w:ascii="Abadi" w:hAnsi="Abadi"/>
          <w:b w:val="0"/>
          <w:bCs w:val="0"/>
          <w:spacing w:val="12"/>
          <w:sz w:val="21"/>
          <w:szCs w:val="21"/>
        </w:rPr>
        <w:t xml:space="preserve"> </w:t>
      </w:r>
      <w:r w:rsidRPr="00B94CD4">
        <w:rPr>
          <w:rFonts w:ascii="Abadi" w:hAnsi="Abadi"/>
          <w:b w:val="0"/>
          <w:bCs w:val="0"/>
          <w:sz w:val="21"/>
          <w:szCs w:val="21"/>
        </w:rPr>
        <w:t>para</w:t>
      </w:r>
      <w:r w:rsidRPr="00B94CD4">
        <w:rPr>
          <w:rFonts w:ascii="Abadi" w:hAnsi="Abadi"/>
          <w:b w:val="0"/>
          <w:bCs w:val="0"/>
          <w:spacing w:val="12"/>
          <w:sz w:val="21"/>
          <w:szCs w:val="21"/>
        </w:rPr>
        <w:t xml:space="preserve"> </w:t>
      </w:r>
      <w:r w:rsidRPr="00B94CD4">
        <w:rPr>
          <w:rFonts w:ascii="Abadi" w:hAnsi="Abadi"/>
          <w:b w:val="0"/>
          <w:bCs w:val="0"/>
          <w:sz w:val="21"/>
          <w:szCs w:val="21"/>
        </w:rPr>
        <w:t>que</w:t>
      </w:r>
      <w:r w:rsidRPr="00B94CD4">
        <w:rPr>
          <w:rFonts w:ascii="Abadi" w:hAnsi="Abadi"/>
          <w:b w:val="0"/>
          <w:bCs w:val="0"/>
          <w:spacing w:val="12"/>
          <w:sz w:val="21"/>
          <w:szCs w:val="21"/>
        </w:rPr>
        <w:t xml:space="preserve"> </w:t>
      </w:r>
      <w:r w:rsidRPr="00B94CD4">
        <w:rPr>
          <w:rFonts w:ascii="Abadi" w:hAnsi="Abadi"/>
          <w:b w:val="0"/>
          <w:bCs w:val="0"/>
          <w:sz w:val="21"/>
          <w:szCs w:val="21"/>
        </w:rPr>
        <w:t>elijan</w:t>
      </w:r>
      <w:r w:rsidRPr="00B94CD4">
        <w:rPr>
          <w:rFonts w:ascii="Abadi" w:hAnsi="Abadi"/>
          <w:b w:val="0"/>
          <w:bCs w:val="0"/>
          <w:spacing w:val="-1"/>
          <w:sz w:val="21"/>
          <w:szCs w:val="21"/>
        </w:rPr>
        <w:t xml:space="preserve"> </w:t>
      </w:r>
      <w:r w:rsidRPr="00B94CD4">
        <w:rPr>
          <w:rFonts w:ascii="Abadi" w:hAnsi="Abadi"/>
          <w:b w:val="0"/>
          <w:bCs w:val="0"/>
          <w:sz w:val="21"/>
          <w:szCs w:val="21"/>
        </w:rPr>
        <w:t>a</w:t>
      </w:r>
      <w:r w:rsidRPr="00B94CD4">
        <w:rPr>
          <w:rFonts w:ascii="Abadi" w:hAnsi="Abadi"/>
          <w:b w:val="0"/>
          <w:bCs w:val="0"/>
          <w:spacing w:val="-17"/>
          <w:sz w:val="21"/>
          <w:szCs w:val="21"/>
        </w:rPr>
        <w:t xml:space="preserve"> </w:t>
      </w:r>
      <w:r w:rsidRPr="00B94CD4">
        <w:rPr>
          <w:rFonts w:ascii="Abadi" w:hAnsi="Abadi"/>
          <w:b w:val="0"/>
          <w:bCs w:val="0"/>
          <w:sz w:val="21"/>
          <w:szCs w:val="21"/>
        </w:rPr>
        <w:t>su</w:t>
      </w:r>
      <w:r w:rsidRPr="00B94CD4">
        <w:rPr>
          <w:rFonts w:ascii="Abadi" w:hAnsi="Abadi"/>
          <w:b w:val="0"/>
          <w:bCs w:val="0"/>
          <w:spacing w:val="-17"/>
          <w:sz w:val="21"/>
          <w:szCs w:val="21"/>
        </w:rPr>
        <w:t xml:space="preserve"> </w:t>
      </w:r>
      <w:r w:rsidRPr="00B94CD4">
        <w:rPr>
          <w:rFonts w:ascii="Abadi" w:hAnsi="Abadi"/>
          <w:b w:val="0"/>
          <w:bCs w:val="0"/>
          <w:sz w:val="21"/>
          <w:szCs w:val="21"/>
        </w:rPr>
        <w:t>cronista</w:t>
      </w:r>
      <w:r w:rsidRPr="00B94CD4">
        <w:rPr>
          <w:rFonts w:ascii="Abadi" w:hAnsi="Abadi"/>
          <w:b w:val="0"/>
          <w:bCs w:val="0"/>
          <w:spacing w:val="-17"/>
          <w:sz w:val="21"/>
          <w:szCs w:val="21"/>
        </w:rPr>
        <w:t xml:space="preserve"> </w:t>
      </w:r>
      <w:r w:rsidRPr="00B94CD4">
        <w:rPr>
          <w:rFonts w:ascii="Abadi" w:hAnsi="Abadi"/>
          <w:b w:val="0"/>
          <w:bCs w:val="0"/>
          <w:sz w:val="21"/>
          <w:szCs w:val="21"/>
        </w:rPr>
        <w:t>municipal</w:t>
      </w:r>
      <w:r w:rsidRPr="00B94CD4">
        <w:rPr>
          <w:rFonts w:ascii="Abadi" w:hAnsi="Abadi"/>
          <w:b w:val="0"/>
          <w:bCs w:val="0"/>
          <w:spacing w:val="-17"/>
          <w:sz w:val="21"/>
          <w:szCs w:val="21"/>
        </w:rPr>
        <w:t xml:space="preserve"> </w:t>
      </w:r>
      <w:r w:rsidRPr="00B94CD4">
        <w:rPr>
          <w:rFonts w:ascii="Abadi" w:hAnsi="Abadi"/>
          <w:b w:val="0"/>
          <w:bCs w:val="0"/>
          <w:sz w:val="21"/>
          <w:szCs w:val="21"/>
        </w:rPr>
        <w:t>con</w:t>
      </w:r>
      <w:r w:rsidRPr="00B94CD4">
        <w:rPr>
          <w:rFonts w:ascii="Abadi" w:hAnsi="Abadi"/>
          <w:b w:val="0"/>
          <w:bCs w:val="0"/>
          <w:spacing w:val="-17"/>
          <w:sz w:val="21"/>
          <w:szCs w:val="21"/>
        </w:rPr>
        <w:t xml:space="preserve"> </w:t>
      </w:r>
      <w:r w:rsidRPr="00B94CD4">
        <w:rPr>
          <w:rFonts w:ascii="Abadi" w:hAnsi="Abadi"/>
          <w:b w:val="0"/>
          <w:bCs w:val="0"/>
          <w:sz w:val="21"/>
          <w:szCs w:val="21"/>
        </w:rPr>
        <w:t>las</w:t>
      </w:r>
      <w:r w:rsidRPr="00B94CD4">
        <w:rPr>
          <w:rFonts w:ascii="Abadi" w:hAnsi="Abadi"/>
          <w:b w:val="0"/>
          <w:bCs w:val="0"/>
          <w:spacing w:val="-17"/>
          <w:sz w:val="21"/>
          <w:szCs w:val="21"/>
        </w:rPr>
        <w:t xml:space="preserve"> </w:t>
      </w:r>
      <w:r w:rsidRPr="00B94CD4">
        <w:rPr>
          <w:rFonts w:ascii="Abadi" w:hAnsi="Abadi"/>
          <w:b w:val="0"/>
          <w:bCs w:val="0"/>
          <w:sz w:val="21"/>
          <w:szCs w:val="21"/>
        </w:rPr>
        <w:t>formalidades</w:t>
      </w:r>
      <w:r w:rsidRPr="00B94CD4">
        <w:rPr>
          <w:rFonts w:ascii="Abadi" w:hAnsi="Abadi"/>
          <w:b w:val="0"/>
          <w:bCs w:val="0"/>
          <w:spacing w:val="-16"/>
          <w:sz w:val="21"/>
          <w:szCs w:val="21"/>
        </w:rPr>
        <w:t xml:space="preserve"> </w:t>
      </w:r>
      <w:r w:rsidRPr="00B94CD4">
        <w:rPr>
          <w:rFonts w:ascii="Abadi" w:hAnsi="Abadi"/>
          <w:b w:val="0"/>
          <w:bCs w:val="0"/>
          <w:sz w:val="21"/>
          <w:szCs w:val="21"/>
        </w:rPr>
        <w:t>establecidas</w:t>
      </w:r>
      <w:r w:rsidRPr="00B94CD4">
        <w:rPr>
          <w:rFonts w:ascii="Abadi" w:hAnsi="Abadi"/>
          <w:b w:val="0"/>
          <w:bCs w:val="0"/>
          <w:spacing w:val="-17"/>
          <w:sz w:val="21"/>
          <w:szCs w:val="21"/>
        </w:rPr>
        <w:t xml:space="preserve"> </w:t>
      </w:r>
      <w:r w:rsidRPr="00B94CD4">
        <w:rPr>
          <w:rFonts w:ascii="Abadi" w:hAnsi="Abadi"/>
          <w:b w:val="0"/>
          <w:bCs w:val="0"/>
          <w:sz w:val="21"/>
          <w:szCs w:val="21"/>
        </w:rPr>
        <w:t>en</w:t>
      </w:r>
      <w:r w:rsidRPr="00B94CD4">
        <w:rPr>
          <w:rFonts w:ascii="Abadi" w:hAnsi="Abadi"/>
          <w:b w:val="0"/>
          <w:bCs w:val="0"/>
          <w:spacing w:val="-17"/>
          <w:sz w:val="21"/>
          <w:szCs w:val="21"/>
        </w:rPr>
        <w:t xml:space="preserve"> </w:t>
      </w:r>
      <w:r w:rsidRPr="00B94CD4">
        <w:rPr>
          <w:rFonts w:ascii="Abadi" w:hAnsi="Abadi"/>
          <w:b w:val="0"/>
          <w:bCs w:val="0"/>
          <w:sz w:val="21"/>
          <w:szCs w:val="21"/>
        </w:rPr>
        <w:t>la</w:t>
      </w:r>
      <w:r w:rsidRPr="00B94CD4">
        <w:rPr>
          <w:rFonts w:ascii="Abadi" w:hAnsi="Abadi"/>
          <w:b w:val="0"/>
          <w:bCs w:val="0"/>
          <w:spacing w:val="-17"/>
          <w:sz w:val="21"/>
          <w:szCs w:val="21"/>
        </w:rPr>
        <w:t xml:space="preserve"> </w:t>
      </w:r>
      <w:r w:rsidRPr="00B94CD4">
        <w:rPr>
          <w:rFonts w:ascii="Abadi" w:hAnsi="Abadi"/>
          <w:b w:val="0"/>
          <w:bCs w:val="0"/>
          <w:sz w:val="21"/>
          <w:szCs w:val="21"/>
        </w:rPr>
        <w:t>Ley</w:t>
      </w:r>
      <w:r w:rsidRPr="00B94CD4">
        <w:rPr>
          <w:rFonts w:ascii="Abadi" w:hAnsi="Abadi"/>
          <w:b w:val="0"/>
          <w:bCs w:val="0"/>
          <w:spacing w:val="-17"/>
          <w:sz w:val="21"/>
          <w:szCs w:val="21"/>
        </w:rPr>
        <w:t xml:space="preserve"> </w:t>
      </w:r>
      <w:r w:rsidRPr="00B94CD4">
        <w:rPr>
          <w:rFonts w:ascii="Abadi" w:hAnsi="Abadi"/>
          <w:b w:val="0"/>
          <w:bCs w:val="0"/>
          <w:sz w:val="21"/>
          <w:szCs w:val="21"/>
        </w:rPr>
        <w:t>Orgánica</w:t>
      </w:r>
      <w:r w:rsidRPr="00B94CD4">
        <w:rPr>
          <w:rFonts w:ascii="Abadi" w:hAnsi="Abadi"/>
          <w:b w:val="0"/>
          <w:bCs w:val="0"/>
          <w:spacing w:val="-1"/>
          <w:sz w:val="21"/>
          <w:szCs w:val="21"/>
        </w:rPr>
        <w:t xml:space="preserve"> </w:t>
      </w:r>
      <w:r w:rsidRPr="00B94CD4">
        <w:rPr>
          <w:rFonts w:ascii="Abadi" w:hAnsi="Abadi"/>
          <w:b w:val="0"/>
          <w:bCs w:val="0"/>
          <w:sz w:val="21"/>
          <w:szCs w:val="21"/>
        </w:rPr>
        <w:t>Municipal</w:t>
      </w:r>
      <w:r w:rsidRPr="00B94CD4">
        <w:rPr>
          <w:rFonts w:ascii="Abadi" w:hAnsi="Abadi"/>
          <w:b w:val="0"/>
          <w:bCs w:val="0"/>
          <w:spacing w:val="-6"/>
          <w:sz w:val="21"/>
          <w:szCs w:val="21"/>
        </w:rPr>
        <w:t xml:space="preserve"> </w:t>
      </w:r>
      <w:r w:rsidRPr="00B94CD4">
        <w:rPr>
          <w:rFonts w:ascii="Abadi" w:hAnsi="Abadi"/>
          <w:b w:val="0"/>
          <w:bCs w:val="0"/>
          <w:sz w:val="21"/>
          <w:szCs w:val="21"/>
        </w:rPr>
        <w:t>del</w:t>
      </w:r>
      <w:r w:rsidRPr="00B94CD4">
        <w:rPr>
          <w:rFonts w:ascii="Abadi" w:hAnsi="Abadi"/>
          <w:b w:val="0"/>
          <w:bCs w:val="0"/>
          <w:spacing w:val="-6"/>
          <w:sz w:val="21"/>
          <w:szCs w:val="21"/>
        </w:rPr>
        <w:t xml:space="preserve"> </w:t>
      </w:r>
      <w:r w:rsidRPr="00B94CD4">
        <w:rPr>
          <w:rFonts w:ascii="Abadi" w:hAnsi="Abadi"/>
          <w:b w:val="0"/>
          <w:bCs w:val="0"/>
          <w:sz w:val="21"/>
          <w:szCs w:val="21"/>
        </w:rPr>
        <w:t>Estado</w:t>
      </w:r>
      <w:r w:rsidRPr="00B94CD4">
        <w:rPr>
          <w:rFonts w:ascii="Abadi" w:hAnsi="Abadi"/>
          <w:b w:val="0"/>
          <w:bCs w:val="0"/>
          <w:spacing w:val="-6"/>
          <w:sz w:val="21"/>
          <w:szCs w:val="21"/>
        </w:rPr>
        <w:t xml:space="preserve"> </w:t>
      </w:r>
      <w:r w:rsidRPr="00B94CD4">
        <w:rPr>
          <w:rFonts w:ascii="Abadi" w:hAnsi="Abadi"/>
          <w:b w:val="0"/>
          <w:bCs w:val="0"/>
          <w:sz w:val="21"/>
          <w:szCs w:val="21"/>
        </w:rPr>
        <w:t>de</w:t>
      </w:r>
      <w:r w:rsidRPr="00B94CD4">
        <w:rPr>
          <w:rFonts w:ascii="Abadi" w:hAnsi="Abadi"/>
          <w:b w:val="0"/>
          <w:bCs w:val="0"/>
          <w:spacing w:val="-6"/>
          <w:sz w:val="21"/>
          <w:szCs w:val="21"/>
        </w:rPr>
        <w:t xml:space="preserve"> </w:t>
      </w:r>
      <w:r w:rsidRPr="00B94CD4">
        <w:rPr>
          <w:rFonts w:ascii="Abadi" w:hAnsi="Abadi"/>
          <w:b w:val="0"/>
          <w:bCs w:val="0"/>
          <w:sz w:val="21"/>
          <w:szCs w:val="21"/>
        </w:rPr>
        <w:t>Guanajuato</w:t>
      </w:r>
      <w:r w:rsidRPr="00B94CD4">
        <w:rPr>
          <w:rFonts w:ascii="Abadi" w:hAnsi="Abadi"/>
          <w:b w:val="0"/>
          <w:bCs w:val="0"/>
          <w:spacing w:val="-6"/>
          <w:sz w:val="21"/>
          <w:szCs w:val="21"/>
        </w:rPr>
        <w:t xml:space="preserve"> </w:t>
      </w:r>
      <w:r w:rsidRPr="00B94CD4">
        <w:rPr>
          <w:rFonts w:ascii="Abadi" w:hAnsi="Abadi"/>
          <w:b w:val="0"/>
          <w:bCs w:val="0"/>
          <w:sz w:val="21"/>
          <w:szCs w:val="21"/>
        </w:rPr>
        <w:t>y,</w:t>
      </w:r>
      <w:r w:rsidRPr="00B94CD4">
        <w:rPr>
          <w:rFonts w:ascii="Abadi" w:hAnsi="Abadi"/>
          <w:b w:val="0"/>
          <w:bCs w:val="0"/>
          <w:spacing w:val="-6"/>
          <w:sz w:val="21"/>
          <w:szCs w:val="21"/>
        </w:rPr>
        <w:t xml:space="preserve"> </w:t>
      </w:r>
      <w:r w:rsidRPr="00B94CD4">
        <w:rPr>
          <w:rFonts w:ascii="Abadi" w:hAnsi="Abadi"/>
          <w:b w:val="0"/>
          <w:bCs w:val="0"/>
          <w:sz w:val="21"/>
          <w:szCs w:val="21"/>
        </w:rPr>
        <w:t>en</w:t>
      </w:r>
      <w:r w:rsidRPr="00B94CD4">
        <w:rPr>
          <w:rFonts w:ascii="Abadi" w:hAnsi="Abadi"/>
          <w:b w:val="0"/>
          <w:bCs w:val="0"/>
          <w:spacing w:val="-6"/>
          <w:sz w:val="21"/>
          <w:szCs w:val="21"/>
        </w:rPr>
        <w:t xml:space="preserve"> </w:t>
      </w:r>
      <w:r w:rsidRPr="00B94CD4">
        <w:rPr>
          <w:rFonts w:ascii="Abadi" w:hAnsi="Abadi"/>
          <w:b w:val="0"/>
          <w:bCs w:val="0"/>
          <w:sz w:val="21"/>
          <w:szCs w:val="21"/>
        </w:rPr>
        <w:t>su</w:t>
      </w:r>
      <w:r w:rsidRPr="00B94CD4">
        <w:rPr>
          <w:rFonts w:ascii="Abadi" w:hAnsi="Abadi"/>
          <w:b w:val="0"/>
          <w:bCs w:val="0"/>
          <w:spacing w:val="-6"/>
          <w:sz w:val="21"/>
          <w:szCs w:val="21"/>
        </w:rPr>
        <w:t xml:space="preserve"> </w:t>
      </w:r>
      <w:r w:rsidRPr="00B94CD4">
        <w:rPr>
          <w:rFonts w:ascii="Abadi" w:hAnsi="Abadi"/>
          <w:b w:val="0"/>
          <w:bCs w:val="0"/>
          <w:sz w:val="21"/>
          <w:szCs w:val="21"/>
        </w:rPr>
        <w:t>caso,</w:t>
      </w:r>
      <w:r w:rsidRPr="00B94CD4">
        <w:rPr>
          <w:rFonts w:ascii="Abadi" w:hAnsi="Abadi"/>
          <w:b w:val="0"/>
          <w:bCs w:val="0"/>
          <w:spacing w:val="-6"/>
          <w:sz w:val="21"/>
          <w:szCs w:val="21"/>
        </w:rPr>
        <w:t xml:space="preserve"> </w:t>
      </w:r>
      <w:r w:rsidRPr="00B94CD4">
        <w:rPr>
          <w:rFonts w:ascii="Abadi" w:hAnsi="Abadi"/>
          <w:b w:val="0"/>
          <w:bCs w:val="0"/>
          <w:sz w:val="21"/>
          <w:szCs w:val="21"/>
        </w:rPr>
        <w:t>aprobación</w:t>
      </w:r>
      <w:r w:rsidRPr="00B94CD4">
        <w:rPr>
          <w:rFonts w:ascii="Abadi" w:hAnsi="Abadi"/>
          <w:b w:val="0"/>
          <w:bCs w:val="0"/>
          <w:spacing w:val="-6"/>
          <w:sz w:val="21"/>
          <w:szCs w:val="21"/>
        </w:rPr>
        <w:t xml:space="preserve"> </w:t>
      </w:r>
      <w:r w:rsidRPr="00B94CD4">
        <w:rPr>
          <w:rFonts w:ascii="Abadi" w:hAnsi="Abadi"/>
          <w:b w:val="0"/>
          <w:bCs w:val="0"/>
          <w:sz w:val="21"/>
          <w:szCs w:val="21"/>
        </w:rPr>
        <w:t>de</w:t>
      </w:r>
      <w:r w:rsidRPr="00B94CD4">
        <w:rPr>
          <w:rFonts w:ascii="Abadi" w:hAnsi="Abadi"/>
          <w:b w:val="0"/>
          <w:bCs w:val="0"/>
          <w:spacing w:val="-6"/>
          <w:sz w:val="21"/>
          <w:szCs w:val="21"/>
        </w:rPr>
        <w:t xml:space="preserve"> </w:t>
      </w:r>
      <w:r w:rsidRPr="00B94CD4">
        <w:rPr>
          <w:rFonts w:ascii="Abadi" w:hAnsi="Abadi"/>
          <w:b w:val="0"/>
          <w:bCs w:val="0"/>
          <w:sz w:val="21"/>
          <w:szCs w:val="21"/>
        </w:rPr>
        <w:t>la</w:t>
      </w:r>
      <w:r w:rsidRPr="00B94CD4">
        <w:rPr>
          <w:rFonts w:ascii="Abadi" w:hAnsi="Abadi"/>
          <w:b w:val="0"/>
          <w:bCs w:val="0"/>
          <w:spacing w:val="-6"/>
          <w:sz w:val="21"/>
          <w:szCs w:val="21"/>
        </w:rPr>
        <w:t xml:space="preserve"> </w:t>
      </w:r>
      <w:r w:rsidRPr="00B94CD4">
        <w:rPr>
          <w:rFonts w:ascii="Abadi" w:hAnsi="Abadi"/>
          <w:b w:val="0"/>
          <w:bCs w:val="0"/>
          <w:sz w:val="21"/>
          <w:szCs w:val="21"/>
        </w:rPr>
        <w:t xml:space="preserve">misma. </w:t>
      </w:r>
      <w:r w:rsidRPr="00B94CD4">
        <w:rPr>
          <w:rFonts w:ascii="Abadi" w:hAnsi="Abadi"/>
          <w:sz w:val="21"/>
          <w:szCs w:val="21"/>
        </w:rPr>
        <w:t>XV.-</w:t>
      </w:r>
      <w:r w:rsidRPr="00B94CD4">
        <w:rPr>
          <w:rFonts w:ascii="Abadi" w:hAnsi="Abadi"/>
          <w:b w:val="0"/>
          <w:bCs w:val="0"/>
          <w:sz w:val="21"/>
          <w:szCs w:val="21"/>
        </w:rPr>
        <w:t xml:space="preserve"> Presentación</w:t>
      </w:r>
      <w:r w:rsidRPr="00B94CD4">
        <w:rPr>
          <w:rFonts w:ascii="Abadi" w:hAnsi="Abadi"/>
          <w:b w:val="0"/>
          <w:bCs w:val="0"/>
          <w:spacing w:val="53"/>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la</w:t>
      </w:r>
      <w:r w:rsidRPr="00B94CD4">
        <w:rPr>
          <w:rFonts w:ascii="Abadi" w:hAnsi="Abadi"/>
          <w:b w:val="0"/>
          <w:bCs w:val="0"/>
          <w:spacing w:val="54"/>
          <w:sz w:val="21"/>
          <w:szCs w:val="21"/>
        </w:rPr>
        <w:t xml:space="preserve"> </w:t>
      </w:r>
      <w:r w:rsidRPr="00B94CD4">
        <w:rPr>
          <w:rFonts w:ascii="Abadi" w:hAnsi="Abadi"/>
          <w:b w:val="0"/>
          <w:bCs w:val="0"/>
          <w:sz w:val="21"/>
          <w:szCs w:val="21"/>
        </w:rPr>
        <w:t>propuesta</w:t>
      </w:r>
      <w:r w:rsidRPr="00B94CD4">
        <w:rPr>
          <w:rFonts w:ascii="Abadi" w:hAnsi="Abadi"/>
          <w:b w:val="0"/>
          <w:bCs w:val="0"/>
          <w:spacing w:val="54"/>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punto</w:t>
      </w:r>
      <w:r w:rsidRPr="00B94CD4">
        <w:rPr>
          <w:rFonts w:ascii="Abadi" w:hAnsi="Abadi"/>
          <w:b w:val="0"/>
          <w:bCs w:val="0"/>
          <w:spacing w:val="54"/>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acuerdo</w:t>
      </w:r>
      <w:r w:rsidRPr="00B94CD4">
        <w:rPr>
          <w:rFonts w:ascii="Abadi" w:hAnsi="Abadi"/>
          <w:b w:val="0"/>
          <w:bCs w:val="0"/>
          <w:spacing w:val="54"/>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obvia</w:t>
      </w:r>
      <w:r w:rsidRPr="00B94CD4">
        <w:rPr>
          <w:rFonts w:ascii="Abadi" w:hAnsi="Abadi"/>
          <w:b w:val="0"/>
          <w:bCs w:val="0"/>
          <w:spacing w:val="54"/>
          <w:sz w:val="21"/>
          <w:szCs w:val="21"/>
        </w:rPr>
        <w:t xml:space="preserve"> </w:t>
      </w:r>
      <w:r w:rsidRPr="00B94CD4">
        <w:rPr>
          <w:rFonts w:ascii="Abadi" w:hAnsi="Abadi"/>
          <w:b w:val="0"/>
          <w:bCs w:val="0"/>
          <w:sz w:val="21"/>
          <w:szCs w:val="21"/>
        </w:rPr>
        <w:t>resolución</w:t>
      </w:r>
      <w:r w:rsidRPr="00B94CD4">
        <w:rPr>
          <w:rFonts w:ascii="Abadi" w:hAnsi="Abadi"/>
          <w:b w:val="0"/>
          <w:bCs w:val="0"/>
          <w:spacing w:val="-1"/>
          <w:sz w:val="21"/>
          <w:szCs w:val="21"/>
        </w:rPr>
        <w:t xml:space="preserve"> </w:t>
      </w:r>
      <w:r w:rsidRPr="00B94CD4">
        <w:rPr>
          <w:rFonts w:ascii="Abadi" w:hAnsi="Abadi"/>
          <w:b w:val="0"/>
          <w:bCs w:val="0"/>
          <w:sz w:val="21"/>
          <w:szCs w:val="21"/>
        </w:rPr>
        <w:t>formulada</w:t>
      </w:r>
      <w:r w:rsidRPr="00B94CD4">
        <w:rPr>
          <w:rFonts w:ascii="Abadi" w:hAnsi="Abadi"/>
          <w:b w:val="0"/>
          <w:bCs w:val="0"/>
          <w:spacing w:val="51"/>
          <w:w w:val="150"/>
          <w:sz w:val="21"/>
          <w:szCs w:val="21"/>
        </w:rPr>
        <w:t xml:space="preserve"> </w:t>
      </w:r>
      <w:r w:rsidRPr="00B94CD4">
        <w:rPr>
          <w:rFonts w:ascii="Abadi" w:hAnsi="Abadi"/>
          <w:b w:val="0"/>
          <w:bCs w:val="0"/>
          <w:sz w:val="21"/>
          <w:szCs w:val="21"/>
        </w:rPr>
        <w:t>por</w:t>
      </w:r>
      <w:r w:rsidRPr="00B94CD4">
        <w:rPr>
          <w:rFonts w:ascii="Abadi" w:hAnsi="Abadi"/>
          <w:b w:val="0"/>
          <w:bCs w:val="0"/>
          <w:spacing w:val="51"/>
          <w:w w:val="150"/>
          <w:sz w:val="21"/>
          <w:szCs w:val="21"/>
        </w:rPr>
        <w:t xml:space="preserve"> </w:t>
      </w:r>
      <w:r w:rsidRPr="00B94CD4">
        <w:rPr>
          <w:rFonts w:ascii="Abadi" w:hAnsi="Abadi"/>
          <w:b w:val="0"/>
          <w:bCs w:val="0"/>
          <w:sz w:val="21"/>
          <w:szCs w:val="21"/>
        </w:rPr>
        <w:t>la</w:t>
      </w:r>
      <w:r w:rsidRPr="00B94CD4">
        <w:rPr>
          <w:rFonts w:ascii="Abadi" w:hAnsi="Abadi"/>
          <w:b w:val="0"/>
          <w:bCs w:val="0"/>
          <w:spacing w:val="51"/>
          <w:w w:val="150"/>
          <w:sz w:val="21"/>
          <w:szCs w:val="21"/>
        </w:rPr>
        <w:t xml:space="preserve"> </w:t>
      </w:r>
      <w:r w:rsidRPr="00B94CD4">
        <w:rPr>
          <w:rFonts w:ascii="Abadi" w:hAnsi="Abadi"/>
          <w:b w:val="0"/>
          <w:bCs w:val="0"/>
          <w:sz w:val="21"/>
          <w:szCs w:val="21"/>
        </w:rPr>
        <w:t>diputada</w:t>
      </w:r>
      <w:r w:rsidRPr="00B94CD4">
        <w:rPr>
          <w:rFonts w:ascii="Abadi" w:hAnsi="Abadi"/>
          <w:b w:val="0"/>
          <w:bCs w:val="0"/>
          <w:spacing w:val="51"/>
          <w:w w:val="150"/>
          <w:sz w:val="21"/>
          <w:szCs w:val="21"/>
        </w:rPr>
        <w:t xml:space="preserve"> </w:t>
      </w:r>
      <w:r w:rsidRPr="00B94CD4">
        <w:rPr>
          <w:rFonts w:ascii="Abadi" w:hAnsi="Abadi"/>
          <w:b w:val="0"/>
          <w:bCs w:val="0"/>
          <w:sz w:val="21"/>
          <w:szCs w:val="21"/>
        </w:rPr>
        <w:t>Yulma</w:t>
      </w:r>
      <w:r w:rsidRPr="00B94CD4">
        <w:rPr>
          <w:rFonts w:ascii="Abadi" w:hAnsi="Abadi"/>
          <w:b w:val="0"/>
          <w:bCs w:val="0"/>
          <w:spacing w:val="51"/>
          <w:w w:val="150"/>
          <w:sz w:val="21"/>
          <w:szCs w:val="21"/>
        </w:rPr>
        <w:t xml:space="preserve"> </w:t>
      </w:r>
      <w:r w:rsidRPr="00B94CD4">
        <w:rPr>
          <w:rFonts w:ascii="Abadi" w:hAnsi="Abadi"/>
          <w:b w:val="0"/>
          <w:bCs w:val="0"/>
          <w:sz w:val="21"/>
          <w:szCs w:val="21"/>
        </w:rPr>
        <w:t>Rocha</w:t>
      </w:r>
      <w:r w:rsidRPr="00B94CD4">
        <w:rPr>
          <w:rFonts w:ascii="Abadi" w:hAnsi="Abadi"/>
          <w:b w:val="0"/>
          <w:bCs w:val="0"/>
          <w:spacing w:val="51"/>
          <w:w w:val="150"/>
          <w:sz w:val="21"/>
          <w:szCs w:val="21"/>
        </w:rPr>
        <w:t xml:space="preserve"> </w:t>
      </w:r>
      <w:r w:rsidRPr="00B94CD4">
        <w:rPr>
          <w:rFonts w:ascii="Abadi" w:hAnsi="Abadi"/>
          <w:b w:val="0"/>
          <w:bCs w:val="0"/>
          <w:sz w:val="21"/>
          <w:szCs w:val="21"/>
        </w:rPr>
        <w:t>Aguilar</w:t>
      </w:r>
      <w:r w:rsidRPr="00B94CD4">
        <w:rPr>
          <w:rFonts w:ascii="Abadi" w:hAnsi="Abadi"/>
          <w:b w:val="0"/>
          <w:bCs w:val="0"/>
          <w:spacing w:val="51"/>
          <w:w w:val="150"/>
          <w:sz w:val="21"/>
          <w:szCs w:val="21"/>
        </w:rPr>
        <w:t xml:space="preserve"> </w:t>
      </w:r>
      <w:r w:rsidRPr="00B94CD4">
        <w:rPr>
          <w:rFonts w:ascii="Abadi" w:hAnsi="Abadi"/>
          <w:b w:val="0"/>
          <w:bCs w:val="0"/>
          <w:sz w:val="21"/>
          <w:szCs w:val="21"/>
        </w:rPr>
        <w:t>integrante</w:t>
      </w:r>
      <w:r w:rsidRPr="00B94CD4">
        <w:rPr>
          <w:rFonts w:ascii="Abadi" w:hAnsi="Abadi"/>
          <w:b w:val="0"/>
          <w:bCs w:val="0"/>
          <w:spacing w:val="51"/>
          <w:w w:val="150"/>
          <w:sz w:val="21"/>
          <w:szCs w:val="21"/>
        </w:rPr>
        <w:t xml:space="preserve"> </w:t>
      </w:r>
      <w:r w:rsidRPr="00B94CD4">
        <w:rPr>
          <w:rFonts w:ascii="Abadi" w:hAnsi="Abadi"/>
          <w:b w:val="0"/>
          <w:bCs w:val="0"/>
          <w:sz w:val="21"/>
          <w:szCs w:val="21"/>
        </w:rPr>
        <w:t>del</w:t>
      </w:r>
      <w:r w:rsidRPr="00B94CD4">
        <w:rPr>
          <w:rFonts w:ascii="Abadi" w:hAnsi="Abadi"/>
          <w:b w:val="0"/>
          <w:bCs w:val="0"/>
          <w:spacing w:val="51"/>
          <w:w w:val="150"/>
          <w:sz w:val="21"/>
          <w:szCs w:val="21"/>
        </w:rPr>
        <w:t xml:space="preserve"> </w:t>
      </w:r>
      <w:r w:rsidRPr="00B94CD4">
        <w:rPr>
          <w:rFonts w:ascii="Abadi" w:hAnsi="Abadi"/>
          <w:b w:val="0"/>
          <w:bCs w:val="0"/>
          <w:sz w:val="21"/>
          <w:szCs w:val="21"/>
        </w:rPr>
        <w:t>Grupo</w:t>
      </w:r>
      <w:r w:rsidRPr="00B94CD4">
        <w:rPr>
          <w:rFonts w:ascii="Abadi" w:hAnsi="Abadi"/>
          <w:b w:val="0"/>
          <w:bCs w:val="0"/>
          <w:spacing w:val="-1"/>
          <w:sz w:val="21"/>
          <w:szCs w:val="21"/>
        </w:rPr>
        <w:t xml:space="preserve"> </w:t>
      </w:r>
      <w:r w:rsidRPr="00B94CD4">
        <w:rPr>
          <w:rFonts w:ascii="Abadi" w:hAnsi="Abadi"/>
          <w:b w:val="0"/>
          <w:bCs w:val="0"/>
          <w:sz w:val="21"/>
          <w:szCs w:val="21"/>
        </w:rPr>
        <w:t>Parlamentario del Partido Revolucionario Institucional por el que se efectúa</w:t>
      </w:r>
      <w:r w:rsidRPr="00B94CD4">
        <w:rPr>
          <w:rFonts w:ascii="Abadi" w:hAnsi="Abadi"/>
          <w:b w:val="0"/>
          <w:bCs w:val="0"/>
          <w:spacing w:val="-1"/>
          <w:sz w:val="21"/>
          <w:szCs w:val="21"/>
        </w:rPr>
        <w:t xml:space="preserve"> </w:t>
      </w:r>
      <w:r w:rsidRPr="00B94CD4">
        <w:rPr>
          <w:rFonts w:ascii="Abadi" w:hAnsi="Abadi"/>
          <w:b w:val="0"/>
          <w:bCs w:val="0"/>
          <w:sz w:val="21"/>
          <w:szCs w:val="21"/>
        </w:rPr>
        <w:t>un</w:t>
      </w:r>
      <w:r w:rsidRPr="00B94CD4">
        <w:rPr>
          <w:rFonts w:ascii="Abadi" w:hAnsi="Abadi"/>
          <w:b w:val="0"/>
          <w:bCs w:val="0"/>
          <w:spacing w:val="11"/>
          <w:sz w:val="21"/>
          <w:szCs w:val="21"/>
        </w:rPr>
        <w:t xml:space="preserve"> </w:t>
      </w:r>
      <w:r w:rsidRPr="00B94CD4">
        <w:rPr>
          <w:rFonts w:ascii="Abadi" w:hAnsi="Abadi"/>
          <w:b w:val="0"/>
          <w:bCs w:val="0"/>
          <w:sz w:val="21"/>
          <w:szCs w:val="21"/>
        </w:rPr>
        <w:t>respetuoso</w:t>
      </w:r>
      <w:r w:rsidRPr="00B94CD4">
        <w:rPr>
          <w:rFonts w:ascii="Abadi" w:hAnsi="Abadi"/>
          <w:b w:val="0"/>
          <w:bCs w:val="0"/>
          <w:spacing w:val="11"/>
          <w:sz w:val="21"/>
          <w:szCs w:val="21"/>
        </w:rPr>
        <w:t xml:space="preserve"> </w:t>
      </w:r>
      <w:r w:rsidRPr="00B94CD4">
        <w:rPr>
          <w:rFonts w:ascii="Abadi" w:hAnsi="Abadi"/>
          <w:b w:val="0"/>
          <w:bCs w:val="0"/>
          <w:sz w:val="21"/>
          <w:szCs w:val="21"/>
        </w:rPr>
        <w:t>exhorto</w:t>
      </w:r>
      <w:r w:rsidRPr="00B94CD4">
        <w:rPr>
          <w:rFonts w:ascii="Abadi" w:hAnsi="Abadi"/>
          <w:b w:val="0"/>
          <w:bCs w:val="0"/>
          <w:spacing w:val="11"/>
          <w:sz w:val="21"/>
          <w:szCs w:val="21"/>
        </w:rPr>
        <w:t xml:space="preserve"> </w:t>
      </w:r>
      <w:r w:rsidRPr="00B94CD4">
        <w:rPr>
          <w:rFonts w:ascii="Abadi" w:hAnsi="Abadi"/>
          <w:b w:val="0"/>
          <w:bCs w:val="0"/>
          <w:sz w:val="21"/>
          <w:szCs w:val="21"/>
        </w:rPr>
        <w:t>al</w:t>
      </w:r>
      <w:r w:rsidRPr="00B94CD4">
        <w:rPr>
          <w:rFonts w:ascii="Abadi" w:hAnsi="Abadi"/>
          <w:b w:val="0"/>
          <w:bCs w:val="0"/>
          <w:spacing w:val="11"/>
          <w:sz w:val="21"/>
          <w:szCs w:val="21"/>
        </w:rPr>
        <w:t xml:space="preserve"> </w:t>
      </w:r>
      <w:r w:rsidRPr="00B94CD4">
        <w:rPr>
          <w:rFonts w:ascii="Abadi" w:hAnsi="Abadi"/>
          <w:b w:val="0"/>
          <w:bCs w:val="0"/>
          <w:sz w:val="21"/>
          <w:szCs w:val="21"/>
        </w:rPr>
        <w:t>Instituto</w:t>
      </w:r>
      <w:r w:rsidRPr="00B94CD4">
        <w:rPr>
          <w:rFonts w:ascii="Abadi" w:hAnsi="Abadi"/>
          <w:b w:val="0"/>
          <w:bCs w:val="0"/>
          <w:spacing w:val="11"/>
          <w:sz w:val="21"/>
          <w:szCs w:val="21"/>
        </w:rPr>
        <w:t xml:space="preserve"> </w:t>
      </w:r>
      <w:r w:rsidRPr="00B94CD4">
        <w:rPr>
          <w:rFonts w:ascii="Abadi" w:hAnsi="Abadi"/>
          <w:b w:val="0"/>
          <w:bCs w:val="0"/>
          <w:sz w:val="21"/>
          <w:szCs w:val="21"/>
        </w:rPr>
        <w:t>de</w:t>
      </w:r>
      <w:r w:rsidRPr="00B94CD4">
        <w:rPr>
          <w:rFonts w:ascii="Abadi" w:hAnsi="Abadi"/>
          <w:b w:val="0"/>
          <w:bCs w:val="0"/>
          <w:spacing w:val="11"/>
          <w:sz w:val="21"/>
          <w:szCs w:val="21"/>
        </w:rPr>
        <w:t xml:space="preserve"> </w:t>
      </w:r>
      <w:r w:rsidRPr="00B94CD4">
        <w:rPr>
          <w:rFonts w:ascii="Abadi" w:hAnsi="Abadi"/>
          <w:b w:val="0"/>
          <w:bCs w:val="0"/>
          <w:sz w:val="21"/>
          <w:szCs w:val="21"/>
        </w:rPr>
        <w:t>Acceso</w:t>
      </w:r>
      <w:r w:rsidRPr="00B94CD4">
        <w:rPr>
          <w:rFonts w:ascii="Abadi" w:hAnsi="Abadi"/>
          <w:b w:val="0"/>
          <w:bCs w:val="0"/>
          <w:spacing w:val="11"/>
          <w:sz w:val="21"/>
          <w:szCs w:val="21"/>
        </w:rPr>
        <w:t xml:space="preserve"> </w:t>
      </w:r>
      <w:r w:rsidRPr="00B94CD4">
        <w:rPr>
          <w:rFonts w:ascii="Abadi" w:hAnsi="Abadi"/>
          <w:b w:val="0"/>
          <w:bCs w:val="0"/>
          <w:sz w:val="21"/>
          <w:szCs w:val="21"/>
        </w:rPr>
        <w:t>a</w:t>
      </w:r>
      <w:r w:rsidRPr="00B94CD4">
        <w:rPr>
          <w:rFonts w:ascii="Abadi" w:hAnsi="Abadi"/>
          <w:b w:val="0"/>
          <w:bCs w:val="0"/>
          <w:spacing w:val="11"/>
          <w:sz w:val="21"/>
          <w:szCs w:val="21"/>
        </w:rPr>
        <w:t xml:space="preserve"> </w:t>
      </w:r>
      <w:r w:rsidRPr="00B94CD4">
        <w:rPr>
          <w:rFonts w:ascii="Abadi" w:hAnsi="Abadi"/>
          <w:b w:val="0"/>
          <w:bCs w:val="0"/>
          <w:sz w:val="21"/>
          <w:szCs w:val="21"/>
        </w:rPr>
        <w:t>la</w:t>
      </w:r>
      <w:r w:rsidRPr="00B94CD4">
        <w:rPr>
          <w:rFonts w:ascii="Abadi" w:hAnsi="Abadi"/>
          <w:b w:val="0"/>
          <w:bCs w:val="0"/>
          <w:spacing w:val="11"/>
          <w:sz w:val="21"/>
          <w:szCs w:val="21"/>
        </w:rPr>
        <w:t xml:space="preserve"> </w:t>
      </w:r>
      <w:r w:rsidRPr="00B94CD4">
        <w:rPr>
          <w:rFonts w:ascii="Abadi" w:hAnsi="Abadi"/>
          <w:b w:val="0"/>
          <w:bCs w:val="0"/>
          <w:sz w:val="21"/>
          <w:szCs w:val="21"/>
        </w:rPr>
        <w:t>Información</w:t>
      </w:r>
      <w:r w:rsidRPr="00B94CD4">
        <w:rPr>
          <w:rFonts w:ascii="Abadi" w:hAnsi="Abadi"/>
          <w:b w:val="0"/>
          <w:bCs w:val="0"/>
          <w:spacing w:val="11"/>
          <w:sz w:val="21"/>
          <w:szCs w:val="21"/>
        </w:rPr>
        <w:t xml:space="preserve"> </w:t>
      </w:r>
      <w:r w:rsidRPr="00B94CD4">
        <w:rPr>
          <w:rFonts w:ascii="Abadi" w:hAnsi="Abadi"/>
          <w:b w:val="0"/>
          <w:bCs w:val="0"/>
          <w:sz w:val="21"/>
          <w:szCs w:val="21"/>
        </w:rPr>
        <w:t>Pública</w:t>
      </w:r>
      <w:r w:rsidRPr="00B94CD4">
        <w:rPr>
          <w:rFonts w:ascii="Abadi" w:hAnsi="Abadi"/>
          <w:b w:val="0"/>
          <w:bCs w:val="0"/>
          <w:spacing w:val="11"/>
          <w:sz w:val="21"/>
          <w:szCs w:val="21"/>
        </w:rPr>
        <w:t xml:space="preserve"> </w:t>
      </w:r>
      <w:r w:rsidRPr="00B94CD4">
        <w:rPr>
          <w:rFonts w:ascii="Abadi" w:hAnsi="Abadi"/>
          <w:b w:val="0"/>
          <w:bCs w:val="0"/>
          <w:sz w:val="21"/>
          <w:szCs w:val="21"/>
        </w:rPr>
        <w:t>para</w:t>
      </w:r>
      <w:r w:rsidRPr="00B94CD4">
        <w:rPr>
          <w:rFonts w:ascii="Abadi" w:hAnsi="Abadi"/>
          <w:b w:val="0"/>
          <w:bCs w:val="0"/>
          <w:spacing w:val="-1"/>
          <w:sz w:val="21"/>
          <w:szCs w:val="21"/>
        </w:rPr>
        <w:t xml:space="preserve"> </w:t>
      </w:r>
      <w:r w:rsidRPr="00B94CD4">
        <w:rPr>
          <w:rFonts w:ascii="Abadi" w:hAnsi="Abadi"/>
          <w:b w:val="0"/>
          <w:bCs w:val="0"/>
          <w:sz w:val="21"/>
          <w:szCs w:val="21"/>
        </w:rPr>
        <w:t>el</w:t>
      </w:r>
      <w:r w:rsidRPr="00B94CD4">
        <w:rPr>
          <w:rFonts w:ascii="Abadi" w:hAnsi="Abadi"/>
          <w:b w:val="0"/>
          <w:bCs w:val="0"/>
          <w:spacing w:val="4"/>
          <w:sz w:val="21"/>
          <w:szCs w:val="21"/>
        </w:rPr>
        <w:t xml:space="preserve"> </w:t>
      </w:r>
      <w:r w:rsidRPr="00B94CD4">
        <w:rPr>
          <w:rFonts w:ascii="Abadi" w:hAnsi="Abadi"/>
          <w:b w:val="0"/>
          <w:bCs w:val="0"/>
          <w:sz w:val="21"/>
          <w:szCs w:val="21"/>
        </w:rPr>
        <w:t>Estado</w:t>
      </w:r>
      <w:r w:rsidRPr="00B94CD4">
        <w:rPr>
          <w:rFonts w:ascii="Abadi" w:hAnsi="Abadi"/>
          <w:b w:val="0"/>
          <w:bCs w:val="0"/>
          <w:spacing w:val="4"/>
          <w:sz w:val="21"/>
          <w:szCs w:val="21"/>
        </w:rPr>
        <w:t xml:space="preserve"> </w:t>
      </w:r>
      <w:r w:rsidRPr="00B94CD4">
        <w:rPr>
          <w:rFonts w:ascii="Abadi" w:hAnsi="Abadi"/>
          <w:b w:val="0"/>
          <w:bCs w:val="0"/>
          <w:sz w:val="21"/>
          <w:szCs w:val="21"/>
        </w:rPr>
        <w:t>de</w:t>
      </w:r>
      <w:r w:rsidRPr="00B94CD4">
        <w:rPr>
          <w:rFonts w:ascii="Abadi" w:hAnsi="Abadi"/>
          <w:b w:val="0"/>
          <w:bCs w:val="0"/>
          <w:spacing w:val="4"/>
          <w:sz w:val="21"/>
          <w:szCs w:val="21"/>
        </w:rPr>
        <w:t xml:space="preserve"> </w:t>
      </w:r>
      <w:r w:rsidRPr="00B94CD4">
        <w:rPr>
          <w:rFonts w:ascii="Abadi" w:hAnsi="Abadi"/>
          <w:b w:val="0"/>
          <w:bCs w:val="0"/>
          <w:sz w:val="21"/>
          <w:szCs w:val="21"/>
        </w:rPr>
        <w:t>Guanajuato,</w:t>
      </w:r>
      <w:r w:rsidRPr="00B94CD4">
        <w:rPr>
          <w:rFonts w:ascii="Abadi" w:hAnsi="Abadi"/>
          <w:b w:val="0"/>
          <w:bCs w:val="0"/>
          <w:spacing w:val="4"/>
          <w:sz w:val="21"/>
          <w:szCs w:val="21"/>
        </w:rPr>
        <w:t xml:space="preserve"> </w:t>
      </w:r>
      <w:r w:rsidRPr="00B94CD4">
        <w:rPr>
          <w:rFonts w:ascii="Abadi" w:hAnsi="Abadi"/>
          <w:b w:val="0"/>
          <w:bCs w:val="0"/>
          <w:sz w:val="21"/>
          <w:szCs w:val="21"/>
        </w:rPr>
        <w:t>para</w:t>
      </w:r>
      <w:r w:rsidRPr="00B94CD4">
        <w:rPr>
          <w:rFonts w:ascii="Abadi" w:hAnsi="Abadi"/>
          <w:b w:val="0"/>
          <w:bCs w:val="0"/>
          <w:spacing w:val="4"/>
          <w:sz w:val="21"/>
          <w:szCs w:val="21"/>
        </w:rPr>
        <w:t xml:space="preserve"> </w:t>
      </w:r>
      <w:r w:rsidRPr="00B94CD4">
        <w:rPr>
          <w:rFonts w:ascii="Abadi" w:hAnsi="Abadi"/>
          <w:b w:val="0"/>
          <w:bCs w:val="0"/>
          <w:sz w:val="21"/>
          <w:szCs w:val="21"/>
        </w:rPr>
        <w:t>que,</w:t>
      </w:r>
      <w:r w:rsidRPr="00B94CD4">
        <w:rPr>
          <w:rFonts w:ascii="Abadi" w:hAnsi="Abadi"/>
          <w:b w:val="0"/>
          <w:bCs w:val="0"/>
          <w:spacing w:val="4"/>
          <w:sz w:val="21"/>
          <w:szCs w:val="21"/>
        </w:rPr>
        <w:t xml:space="preserve"> </w:t>
      </w:r>
      <w:r w:rsidRPr="00B94CD4">
        <w:rPr>
          <w:rFonts w:ascii="Abadi" w:hAnsi="Abadi"/>
          <w:b w:val="0"/>
          <w:bCs w:val="0"/>
          <w:sz w:val="21"/>
          <w:szCs w:val="21"/>
        </w:rPr>
        <w:t>en</w:t>
      </w:r>
      <w:r w:rsidRPr="00B94CD4">
        <w:rPr>
          <w:rFonts w:ascii="Abadi" w:hAnsi="Abadi"/>
          <w:b w:val="0"/>
          <w:bCs w:val="0"/>
          <w:spacing w:val="4"/>
          <w:sz w:val="21"/>
          <w:szCs w:val="21"/>
        </w:rPr>
        <w:t xml:space="preserve"> </w:t>
      </w:r>
      <w:r w:rsidRPr="00B94CD4">
        <w:rPr>
          <w:rFonts w:ascii="Abadi" w:hAnsi="Abadi"/>
          <w:b w:val="0"/>
          <w:bCs w:val="0"/>
          <w:sz w:val="21"/>
          <w:szCs w:val="21"/>
        </w:rPr>
        <w:t>función</w:t>
      </w:r>
      <w:r w:rsidRPr="00B94CD4">
        <w:rPr>
          <w:rFonts w:ascii="Abadi" w:hAnsi="Abadi"/>
          <w:b w:val="0"/>
          <w:bCs w:val="0"/>
          <w:spacing w:val="4"/>
          <w:sz w:val="21"/>
          <w:szCs w:val="21"/>
        </w:rPr>
        <w:t xml:space="preserve"> </w:t>
      </w:r>
      <w:r w:rsidRPr="00B94CD4">
        <w:rPr>
          <w:rFonts w:ascii="Abadi" w:hAnsi="Abadi"/>
          <w:b w:val="0"/>
          <w:bCs w:val="0"/>
          <w:sz w:val="21"/>
          <w:szCs w:val="21"/>
        </w:rPr>
        <w:t>de</w:t>
      </w:r>
      <w:r w:rsidRPr="00B94CD4">
        <w:rPr>
          <w:rFonts w:ascii="Abadi" w:hAnsi="Abadi"/>
          <w:b w:val="0"/>
          <w:bCs w:val="0"/>
          <w:spacing w:val="4"/>
          <w:sz w:val="21"/>
          <w:szCs w:val="21"/>
        </w:rPr>
        <w:t xml:space="preserve"> </w:t>
      </w:r>
      <w:r w:rsidRPr="00B94CD4">
        <w:rPr>
          <w:rFonts w:ascii="Abadi" w:hAnsi="Abadi"/>
          <w:b w:val="0"/>
          <w:bCs w:val="0"/>
          <w:sz w:val="21"/>
          <w:szCs w:val="21"/>
        </w:rPr>
        <w:t>lo</w:t>
      </w:r>
      <w:r w:rsidRPr="00B94CD4">
        <w:rPr>
          <w:rFonts w:ascii="Abadi" w:hAnsi="Abadi"/>
          <w:b w:val="0"/>
          <w:bCs w:val="0"/>
          <w:spacing w:val="4"/>
          <w:sz w:val="21"/>
          <w:szCs w:val="21"/>
        </w:rPr>
        <w:t xml:space="preserve"> </w:t>
      </w:r>
      <w:r w:rsidRPr="00B94CD4">
        <w:rPr>
          <w:rFonts w:ascii="Abadi" w:hAnsi="Abadi"/>
          <w:b w:val="0"/>
          <w:bCs w:val="0"/>
          <w:sz w:val="21"/>
          <w:szCs w:val="21"/>
        </w:rPr>
        <w:t>que</w:t>
      </w:r>
      <w:r w:rsidRPr="00B94CD4">
        <w:rPr>
          <w:rFonts w:ascii="Abadi" w:hAnsi="Abadi"/>
          <w:b w:val="0"/>
          <w:bCs w:val="0"/>
          <w:spacing w:val="4"/>
          <w:sz w:val="21"/>
          <w:szCs w:val="21"/>
        </w:rPr>
        <w:t xml:space="preserve"> </w:t>
      </w:r>
      <w:r w:rsidRPr="00B94CD4">
        <w:rPr>
          <w:rFonts w:ascii="Abadi" w:hAnsi="Abadi"/>
          <w:b w:val="0"/>
          <w:bCs w:val="0"/>
          <w:sz w:val="21"/>
          <w:szCs w:val="21"/>
        </w:rPr>
        <w:t>enuncia</w:t>
      </w:r>
      <w:r w:rsidRPr="00B94CD4">
        <w:rPr>
          <w:rFonts w:ascii="Abadi" w:hAnsi="Abadi"/>
          <w:b w:val="0"/>
          <w:bCs w:val="0"/>
          <w:spacing w:val="4"/>
          <w:sz w:val="21"/>
          <w:szCs w:val="21"/>
        </w:rPr>
        <w:t xml:space="preserve"> </w:t>
      </w:r>
      <w:r w:rsidRPr="00B94CD4">
        <w:rPr>
          <w:rFonts w:ascii="Abadi" w:hAnsi="Abadi"/>
          <w:b w:val="0"/>
          <w:bCs w:val="0"/>
          <w:sz w:val="21"/>
          <w:szCs w:val="21"/>
        </w:rPr>
        <w:t>la</w:t>
      </w:r>
      <w:r w:rsidRPr="00B94CD4">
        <w:rPr>
          <w:rFonts w:ascii="Abadi" w:hAnsi="Abadi"/>
          <w:b w:val="0"/>
          <w:bCs w:val="0"/>
          <w:spacing w:val="4"/>
          <w:sz w:val="21"/>
          <w:szCs w:val="21"/>
        </w:rPr>
        <w:t xml:space="preserve"> </w:t>
      </w:r>
      <w:r w:rsidRPr="00B94CD4">
        <w:rPr>
          <w:rFonts w:ascii="Abadi" w:hAnsi="Abadi"/>
          <w:b w:val="0"/>
          <w:bCs w:val="0"/>
          <w:sz w:val="21"/>
          <w:szCs w:val="21"/>
        </w:rPr>
        <w:t>Ley</w:t>
      </w:r>
      <w:r w:rsidRPr="00B94CD4">
        <w:rPr>
          <w:rFonts w:ascii="Abadi" w:hAnsi="Abadi"/>
          <w:b w:val="0"/>
          <w:bCs w:val="0"/>
          <w:spacing w:val="4"/>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Transparencia</w:t>
      </w:r>
      <w:r w:rsidRPr="00B94CD4">
        <w:rPr>
          <w:rFonts w:ascii="Abadi" w:hAnsi="Abadi"/>
          <w:b w:val="0"/>
          <w:bCs w:val="0"/>
          <w:spacing w:val="58"/>
          <w:w w:val="150"/>
          <w:sz w:val="21"/>
          <w:szCs w:val="21"/>
        </w:rPr>
        <w:t xml:space="preserve"> </w:t>
      </w:r>
      <w:r w:rsidRPr="00B94CD4">
        <w:rPr>
          <w:rFonts w:ascii="Abadi" w:hAnsi="Abadi"/>
          <w:b w:val="0"/>
          <w:bCs w:val="0"/>
          <w:sz w:val="21"/>
          <w:szCs w:val="21"/>
        </w:rPr>
        <w:t>y</w:t>
      </w:r>
      <w:r w:rsidRPr="00B94CD4">
        <w:rPr>
          <w:rFonts w:ascii="Abadi" w:hAnsi="Abadi"/>
          <w:b w:val="0"/>
          <w:bCs w:val="0"/>
          <w:spacing w:val="58"/>
          <w:w w:val="150"/>
          <w:sz w:val="21"/>
          <w:szCs w:val="21"/>
        </w:rPr>
        <w:t xml:space="preserve"> </w:t>
      </w:r>
      <w:r w:rsidRPr="00B94CD4">
        <w:rPr>
          <w:rFonts w:ascii="Abadi" w:hAnsi="Abadi"/>
          <w:b w:val="0"/>
          <w:bCs w:val="0"/>
          <w:sz w:val="21"/>
          <w:szCs w:val="21"/>
        </w:rPr>
        <w:t>Acceso</w:t>
      </w:r>
      <w:r w:rsidRPr="00B94CD4">
        <w:rPr>
          <w:rFonts w:ascii="Abadi" w:hAnsi="Abadi"/>
          <w:b w:val="0"/>
          <w:bCs w:val="0"/>
          <w:spacing w:val="58"/>
          <w:w w:val="150"/>
          <w:sz w:val="21"/>
          <w:szCs w:val="21"/>
        </w:rPr>
        <w:t xml:space="preserve"> </w:t>
      </w:r>
      <w:r w:rsidRPr="00B94CD4">
        <w:rPr>
          <w:rFonts w:ascii="Abadi" w:hAnsi="Abadi"/>
          <w:b w:val="0"/>
          <w:bCs w:val="0"/>
          <w:sz w:val="21"/>
          <w:szCs w:val="21"/>
        </w:rPr>
        <w:t>a</w:t>
      </w:r>
      <w:r w:rsidRPr="00B94CD4">
        <w:rPr>
          <w:rFonts w:ascii="Abadi" w:hAnsi="Abadi"/>
          <w:b w:val="0"/>
          <w:bCs w:val="0"/>
          <w:spacing w:val="58"/>
          <w:w w:val="150"/>
          <w:sz w:val="21"/>
          <w:szCs w:val="21"/>
        </w:rPr>
        <w:t xml:space="preserve"> </w:t>
      </w:r>
      <w:r w:rsidRPr="00B94CD4">
        <w:rPr>
          <w:rFonts w:ascii="Abadi" w:hAnsi="Abadi"/>
          <w:b w:val="0"/>
          <w:bCs w:val="0"/>
          <w:sz w:val="21"/>
          <w:szCs w:val="21"/>
        </w:rPr>
        <w:t>la</w:t>
      </w:r>
      <w:r w:rsidRPr="00B94CD4">
        <w:rPr>
          <w:rFonts w:ascii="Abadi" w:hAnsi="Abadi"/>
          <w:b w:val="0"/>
          <w:bCs w:val="0"/>
          <w:spacing w:val="58"/>
          <w:w w:val="150"/>
          <w:sz w:val="21"/>
          <w:szCs w:val="21"/>
        </w:rPr>
        <w:t xml:space="preserve"> </w:t>
      </w:r>
      <w:r w:rsidRPr="00B94CD4">
        <w:rPr>
          <w:rFonts w:ascii="Abadi" w:hAnsi="Abadi"/>
          <w:b w:val="0"/>
          <w:bCs w:val="0"/>
          <w:sz w:val="21"/>
          <w:szCs w:val="21"/>
        </w:rPr>
        <w:t>Información</w:t>
      </w:r>
      <w:r w:rsidRPr="00B94CD4">
        <w:rPr>
          <w:rFonts w:ascii="Abadi" w:hAnsi="Abadi"/>
          <w:b w:val="0"/>
          <w:bCs w:val="0"/>
          <w:spacing w:val="58"/>
          <w:w w:val="150"/>
          <w:sz w:val="21"/>
          <w:szCs w:val="21"/>
        </w:rPr>
        <w:t xml:space="preserve"> </w:t>
      </w:r>
      <w:r w:rsidRPr="00B94CD4">
        <w:rPr>
          <w:rFonts w:ascii="Abadi" w:hAnsi="Abadi"/>
          <w:b w:val="0"/>
          <w:bCs w:val="0"/>
          <w:sz w:val="21"/>
          <w:szCs w:val="21"/>
        </w:rPr>
        <w:t>Pública</w:t>
      </w:r>
      <w:r w:rsidRPr="00B94CD4">
        <w:rPr>
          <w:rFonts w:ascii="Abadi" w:hAnsi="Abadi"/>
          <w:b w:val="0"/>
          <w:bCs w:val="0"/>
          <w:spacing w:val="58"/>
          <w:w w:val="150"/>
          <w:sz w:val="21"/>
          <w:szCs w:val="21"/>
        </w:rPr>
        <w:t xml:space="preserve"> </w:t>
      </w:r>
      <w:r w:rsidRPr="00B94CD4">
        <w:rPr>
          <w:rFonts w:ascii="Abadi" w:hAnsi="Abadi"/>
          <w:b w:val="0"/>
          <w:bCs w:val="0"/>
          <w:sz w:val="21"/>
          <w:szCs w:val="21"/>
        </w:rPr>
        <w:t>para</w:t>
      </w:r>
      <w:r w:rsidRPr="00B94CD4">
        <w:rPr>
          <w:rFonts w:ascii="Abadi" w:hAnsi="Abadi"/>
          <w:b w:val="0"/>
          <w:bCs w:val="0"/>
          <w:spacing w:val="58"/>
          <w:w w:val="150"/>
          <w:sz w:val="21"/>
          <w:szCs w:val="21"/>
        </w:rPr>
        <w:t xml:space="preserve"> </w:t>
      </w:r>
      <w:r w:rsidRPr="00B94CD4">
        <w:rPr>
          <w:rFonts w:ascii="Abadi" w:hAnsi="Abadi"/>
          <w:b w:val="0"/>
          <w:bCs w:val="0"/>
          <w:sz w:val="21"/>
          <w:szCs w:val="21"/>
        </w:rPr>
        <w:t>el</w:t>
      </w:r>
      <w:r w:rsidRPr="00B94CD4">
        <w:rPr>
          <w:rFonts w:ascii="Abadi" w:hAnsi="Abadi"/>
          <w:b w:val="0"/>
          <w:bCs w:val="0"/>
          <w:spacing w:val="58"/>
          <w:w w:val="150"/>
          <w:sz w:val="21"/>
          <w:szCs w:val="21"/>
        </w:rPr>
        <w:t xml:space="preserve"> </w:t>
      </w:r>
      <w:r w:rsidRPr="00B94CD4">
        <w:rPr>
          <w:rFonts w:ascii="Abadi" w:hAnsi="Abadi"/>
          <w:b w:val="0"/>
          <w:bCs w:val="0"/>
          <w:sz w:val="21"/>
          <w:szCs w:val="21"/>
        </w:rPr>
        <w:t>Estado</w:t>
      </w:r>
      <w:r w:rsidRPr="00B94CD4">
        <w:rPr>
          <w:rFonts w:ascii="Abadi" w:hAnsi="Abadi"/>
          <w:b w:val="0"/>
          <w:bCs w:val="0"/>
          <w:spacing w:val="58"/>
          <w:w w:val="150"/>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Guanajuato,</w:t>
      </w:r>
      <w:r w:rsidRPr="00B94CD4">
        <w:rPr>
          <w:rFonts w:ascii="Abadi" w:hAnsi="Abadi"/>
          <w:b w:val="0"/>
          <w:bCs w:val="0"/>
          <w:spacing w:val="39"/>
          <w:sz w:val="21"/>
          <w:szCs w:val="21"/>
        </w:rPr>
        <w:t xml:space="preserve"> </w:t>
      </w:r>
      <w:r w:rsidRPr="00B94CD4">
        <w:rPr>
          <w:rFonts w:ascii="Abadi" w:hAnsi="Abadi"/>
          <w:b w:val="0"/>
          <w:bCs w:val="0"/>
          <w:sz w:val="21"/>
          <w:szCs w:val="21"/>
        </w:rPr>
        <w:t>incluya</w:t>
      </w:r>
      <w:r w:rsidRPr="00B94CD4">
        <w:rPr>
          <w:rFonts w:ascii="Abadi" w:hAnsi="Abadi"/>
          <w:b w:val="0"/>
          <w:bCs w:val="0"/>
          <w:spacing w:val="38"/>
          <w:sz w:val="21"/>
          <w:szCs w:val="21"/>
        </w:rPr>
        <w:t xml:space="preserve"> </w:t>
      </w:r>
      <w:r w:rsidRPr="00B94CD4">
        <w:rPr>
          <w:rFonts w:ascii="Abadi" w:hAnsi="Abadi"/>
          <w:b w:val="0"/>
          <w:bCs w:val="0"/>
          <w:sz w:val="21"/>
          <w:szCs w:val="21"/>
        </w:rPr>
        <w:t>a</w:t>
      </w:r>
      <w:r w:rsidRPr="00B94CD4">
        <w:rPr>
          <w:rFonts w:ascii="Abadi" w:hAnsi="Abadi"/>
          <w:b w:val="0"/>
          <w:bCs w:val="0"/>
          <w:spacing w:val="39"/>
          <w:sz w:val="21"/>
          <w:szCs w:val="21"/>
        </w:rPr>
        <w:t xml:space="preserve"> </w:t>
      </w:r>
      <w:r w:rsidRPr="00B94CD4">
        <w:rPr>
          <w:rFonts w:ascii="Abadi" w:hAnsi="Abadi"/>
          <w:b w:val="0"/>
          <w:bCs w:val="0"/>
          <w:sz w:val="21"/>
          <w:szCs w:val="21"/>
        </w:rPr>
        <w:t>GTO</w:t>
      </w:r>
      <w:r w:rsidRPr="00B94CD4">
        <w:rPr>
          <w:rFonts w:ascii="Abadi" w:hAnsi="Abadi"/>
          <w:b w:val="0"/>
          <w:bCs w:val="0"/>
          <w:spacing w:val="39"/>
          <w:sz w:val="21"/>
          <w:szCs w:val="21"/>
        </w:rPr>
        <w:t xml:space="preserve"> </w:t>
      </w:r>
      <w:r w:rsidRPr="00B94CD4">
        <w:rPr>
          <w:rFonts w:ascii="Abadi" w:hAnsi="Abadi"/>
          <w:b w:val="0"/>
          <w:bCs w:val="0"/>
          <w:sz w:val="21"/>
          <w:szCs w:val="21"/>
        </w:rPr>
        <w:t>Leasing</w:t>
      </w:r>
      <w:r w:rsidRPr="00B94CD4">
        <w:rPr>
          <w:rFonts w:ascii="Abadi" w:hAnsi="Abadi"/>
          <w:b w:val="0"/>
          <w:bCs w:val="0"/>
          <w:spacing w:val="39"/>
          <w:sz w:val="21"/>
          <w:szCs w:val="21"/>
        </w:rPr>
        <w:t xml:space="preserve"> </w:t>
      </w:r>
      <w:r w:rsidRPr="00B94CD4">
        <w:rPr>
          <w:rFonts w:ascii="Abadi" w:hAnsi="Abadi"/>
          <w:b w:val="0"/>
          <w:bCs w:val="0"/>
          <w:sz w:val="21"/>
          <w:szCs w:val="21"/>
        </w:rPr>
        <w:t>Services</w:t>
      </w:r>
      <w:r w:rsidRPr="00B94CD4">
        <w:rPr>
          <w:rFonts w:ascii="Abadi" w:hAnsi="Abadi"/>
          <w:b w:val="0"/>
          <w:bCs w:val="0"/>
          <w:spacing w:val="39"/>
          <w:sz w:val="21"/>
          <w:szCs w:val="21"/>
        </w:rPr>
        <w:t xml:space="preserve"> </w:t>
      </w:r>
      <w:r w:rsidRPr="00B94CD4">
        <w:rPr>
          <w:rFonts w:ascii="Abadi" w:hAnsi="Abadi"/>
          <w:b w:val="0"/>
          <w:bCs w:val="0"/>
          <w:sz w:val="21"/>
          <w:szCs w:val="21"/>
        </w:rPr>
        <w:t>S.A.P.I.</w:t>
      </w:r>
      <w:r w:rsidRPr="00B94CD4">
        <w:rPr>
          <w:rFonts w:ascii="Abadi" w:hAnsi="Abadi"/>
          <w:b w:val="0"/>
          <w:bCs w:val="0"/>
          <w:spacing w:val="39"/>
          <w:sz w:val="21"/>
          <w:szCs w:val="21"/>
        </w:rPr>
        <w:t xml:space="preserve"> </w:t>
      </w:r>
      <w:r w:rsidRPr="00B94CD4">
        <w:rPr>
          <w:rFonts w:ascii="Abadi" w:hAnsi="Abadi"/>
          <w:b w:val="0"/>
          <w:bCs w:val="0"/>
          <w:sz w:val="21"/>
          <w:szCs w:val="21"/>
        </w:rPr>
        <w:t>DE</w:t>
      </w:r>
      <w:r w:rsidRPr="00B94CD4">
        <w:rPr>
          <w:rFonts w:ascii="Abadi" w:hAnsi="Abadi"/>
          <w:b w:val="0"/>
          <w:bCs w:val="0"/>
          <w:spacing w:val="39"/>
          <w:sz w:val="21"/>
          <w:szCs w:val="21"/>
        </w:rPr>
        <w:t xml:space="preserve"> </w:t>
      </w:r>
      <w:r w:rsidRPr="00B94CD4">
        <w:rPr>
          <w:rFonts w:ascii="Abadi" w:hAnsi="Abadi"/>
          <w:b w:val="0"/>
          <w:bCs w:val="0"/>
          <w:sz w:val="21"/>
          <w:szCs w:val="21"/>
        </w:rPr>
        <w:t>C.V.,</w:t>
      </w:r>
      <w:r w:rsidRPr="00B94CD4">
        <w:rPr>
          <w:rFonts w:ascii="Abadi" w:hAnsi="Abadi"/>
          <w:b w:val="0"/>
          <w:bCs w:val="0"/>
          <w:spacing w:val="39"/>
          <w:sz w:val="21"/>
          <w:szCs w:val="21"/>
        </w:rPr>
        <w:t xml:space="preserve"> </w:t>
      </w:r>
      <w:r w:rsidRPr="00B94CD4">
        <w:rPr>
          <w:rFonts w:ascii="Abadi" w:hAnsi="Abadi"/>
          <w:b w:val="0"/>
          <w:bCs w:val="0"/>
          <w:sz w:val="21"/>
          <w:szCs w:val="21"/>
        </w:rPr>
        <w:t>SOFOM, E.N.R</w:t>
      </w:r>
      <w:r w:rsidRPr="00B94CD4">
        <w:rPr>
          <w:rFonts w:ascii="Abadi" w:hAnsi="Abadi"/>
          <w:b w:val="0"/>
          <w:bCs w:val="0"/>
          <w:spacing w:val="80"/>
          <w:sz w:val="21"/>
          <w:szCs w:val="21"/>
        </w:rPr>
        <w:t xml:space="preserve"> </w:t>
      </w:r>
      <w:r w:rsidRPr="00B94CD4">
        <w:rPr>
          <w:rFonts w:ascii="Abadi" w:hAnsi="Abadi"/>
          <w:b w:val="0"/>
          <w:bCs w:val="0"/>
          <w:sz w:val="21"/>
          <w:szCs w:val="21"/>
        </w:rPr>
        <w:t>Empresa</w:t>
      </w:r>
      <w:r w:rsidRPr="00B94CD4">
        <w:rPr>
          <w:rFonts w:ascii="Abadi" w:hAnsi="Abadi"/>
          <w:b w:val="0"/>
          <w:bCs w:val="0"/>
          <w:spacing w:val="80"/>
          <w:sz w:val="21"/>
          <w:szCs w:val="21"/>
        </w:rPr>
        <w:t xml:space="preserve"> </w:t>
      </w:r>
      <w:r w:rsidRPr="00B94CD4">
        <w:rPr>
          <w:rFonts w:ascii="Abadi" w:hAnsi="Abadi"/>
          <w:b w:val="0"/>
          <w:bCs w:val="0"/>
          <w:sz w:val="21"/>
          <w:szCs w:val="21"/>
        </w:rPr>
        <w:t>Equiparada</w:t>
      </w:r>
      <w:r w:rsidRPr="00B94CD4">
        <w:rPr>
          <w:rFonts w:ascii="Abadi" w:hAnsi="Abadi"/>
          <w:b w:val="0"/>
          <w:bCs w:val="0"/>
          <w:spacing w:val="80"/>
          <w:sz w:val="21"/>
          <w:szCs w:val="21"/>
        </w:rPr>
        <w:t xml:space="preserve"> </w:t>
      </w:r>
      <w:r w:rsidRPr="00B94CD4">
        <w:rPr>
          <w:rFonts w:ascii="Abadi" w:hAnsi="Abadi"/>
          <w:b w:val="0"/>
          <w:bCs w:val="0"/>
          <w:sz w:val="21"/>
          <w:szCs w:val="21"/>
        </w:rPr>
        <w:t>de</w:t>
      </w:r>
      <w:r w:rsidRPr="00B94CD4">
        <w:rPr>
          <w:rFonts w:ascii="Abadi" w:hAnsi="Abadi"/>
          <w:b w:val="0"/>
          <w:bCs w:val="0"/>
          <w:spacing w:val="80"/>
          <w:sz w:val="21"/>
          <w:szCs w:val="21"/>
        </w:rPr>
        <w:t xml:space="preserve"> </w:t>
      </w:r>
      <w:r w:rsidRPr="00B94CD4">
        <w:rPr>
          <w:rFonts w:ascii="Abadi" w:hAnsi="Abadi"/>
          <w:b w:val="0"/>
          <w:bCs w:val="0"/>
          <w:sz w:val="21"/>
          <w:szCs w:val="21"/>
        </w:rPr>
        <w:t>Participación</w:t>
      </w:r>
      <w:r w:rsidRPr="00B94CD4">
        <w:rPr>
          <w:rFonts w:ascii="Abadi" w:hAnsi="Abadi"/>
          <w:b w:val="0"/>
          <w:bCs w:val="0"/>
          <w:spacing w:val="80"/>
          <w:sz w:val="21"/>
          <w:szCs w:val="21"/>
        </w:rPr>
        <w:t xml:space="preserve"> </w:t>
      </w:r>
      <w:r w:rsidRPr="00B94CD4">
        <w:rPr>
          <w:rFonts w:ascii="Abadi" w:hAnsi="Abadi"/>
          <w:b w:val="0"/>
          <w:bCs w:val="0"/>
          <w:sz w:val="21"/>
          <w:szCs w:val="21"/>
        </w:rPr>
        <w:t>Estatal</w:t>
      </w:r>
      <w:r w:rsidRPr="00B94CD4">
        <w:rPr>
          <w:rFonts w:ascii="Abadi" w:hAnsi="Abadi"/>
          <w:b w:val="0"/>
          <w:bCs w:val="0"/>
          <w:spacing w:val="80"/>
          <w:sz w:val="21"/>
          <w:szCs w:val="21"/>
        </w:rPr>
        <w:t xml:space="preserve"> </w:t>
      </w:r>
      <w:r w:rsidRPr="00B94CD4">
        <w:rPr>
          <w:rFonts w:ascii="Abadi" w:hAnsi="Abadi"/>
          <w:b w:val="0"/>
          <w:bCs w:val="0"/>
          <w:sz w:val="21"/>
          <w:szCs w:val="21"/>
        </w:rPr>
        <w:t>Mayoritaria,</w:t>
      </w:r>
      <w:r w:rsidRPr="00B94CD4">
        <w:rPr>
          <w:rFonts w:ascii="Abadi" w:hAnsi="Abadi"/>
          <w:b w:val="0"/>
          <w:bCs w:val="0"/>
          <w:spacing w:val="80"/>
          <w:sz w:val="21"/>
          <w:szCs w:val="21"/>
        </w:rPr>
        <w:t xml:space="preserve"> </w:t>
      </w:r>
      <w:r w:rsidRPr="00B94CD4">
        <w:rPr>
          <w:rFonts w:ascii="Abadi" w:hAnsi="Abadi"/>
          <w:b w:val="0"/>
          <w:bCs w:val="0"/>
          <w:sz w:val="21"/>
          <w:szCs w:val="21"/>
        </w:rPr>
        <w:t>en</w:t>
      </w:r>
      <w:r w:rsidRPr="00B94CD4">
        <w:rPr>
          <w:rFonts w:ascii="Abadi" w:hAnsi="Abadi"/>
          <w:b w:val="0"/>
          <w:bCs w:val="0"/>
          <w:spacing w:val="80"/>
          <w:sz w:val="21"/>
          <w:szCs w:val="21"/>
        </w:rPr>
        <w:t xml:space="preserve"> </w:t>
      </w:r>
      <w:r w:rsidRPr="00B94CD4">
        <w:rPr>
          <w:rFonts w:ascii="Abadi" w:hAnsi="Abadi"/>
          <w:b w:val="0"/>
          <w:bCs w:val="0"/>
          <w:sz w:val="21"/>
          <w:szCs w:val="21"/>
        </w:rPr>
        <w:t>el Padrón</w:t>
      </w:r>
      <w:r w:rsidRPr="00B94CD4">
        <w:rPr>
          <w:rFonts w:ascii="Abadi" w:hAnsi="Abadi"/>
          <w:b w:val="0"/>
          <w:bCs w:val="0"/>
          <w:spacing w:val="13"/>
          <w:sz w:val="21"/>
          <w:szCs w:val="21"/>
        </w:rPr>
        <w:t xml:space="preserve"> </w:t>
      </w:r>
      <w:r w:rsidRPr="00B94CD4">
        <w:rPr>
          <w:rFonts w:ascii="Abadi" w:hAnsi="Abadi"/>
          <w:b w:val="0"/>
          <w:bCs w:val="0"/>
          <w:sz w:val="21"/>
          <w:szCs w:val="21"/>
        </w:rPr>
        <w:t>de</w:t>
      </w:r>
      <w:r w:rsidRPr="00B94CD4">
        <w:rPr>
          <w:rFonts w:ascii="Abadi" w:hAnsi="Abadi"/>
          <w:b w:val="0"/>
          <w:bCs w:val="0"/>
          <w:spacing w:val="13"/>
          <w:sz w:val="21"/>
          <w:szCs w:val="21"/>
        </w:rPr>
        <w:t xml:space="preserve"> </w:t>
      </w:r>
      <w:r w:rsidRPr="00B94CD4">
        <w:rPr>
          <w:rFonts w:ascii="Abadi" w:hAnsi="Abadi"/>
          <w:b w:val="0"/>
          <w:bCs w:val="0"/>
          <w:sz w:val="21"/>
          <w:szCs w:val="21"/>
        </w:rPr>
        <w:t>Sujetos</w:t>
      </w:r>
      <w:r w:rsidRPr="00B94CD4">
        <w:rPr>
          <w:rFonts w:ascii="Abadi" w:hAnsi="Abadi"/>
          <w:b w:val="0"/>
          <w:bCs w:val="0"/>
          <w:spacing w:val="13"/>
          <w:sz w:val="21"/>
          <w:szCs w:val="21"/>
        </w:rPr>
        <w:t xml:space="preserve"> </w:t>
      </w:r>
      <w:r w:rsidRPr="00B94CD4">
        <w:rPr>
          <w:rFonts w:ascii="Abadi" w:hAnsi="Abadi"/>
          <w:b w:val="0"/>
          <w:bCs w:val="0"/>
          <w:sz w:val="21"/>
          <w:szCs w:val="21"/>
        </w:rPr>
        <w:t>Obligados</w:t>
      </w:r>
      <w:r w:rsidRPr="00B94CD4">
        <w:rPr>
          <w:rFonts w:ascii="Abadi" w:hAnsi="Abadi"/>
          <w:b w:val="0"/>
          <w:bCs w:val="0"/>
          <w:spacing w:val="13"/>
          <w:sz w:val="21"/>
          <w:szCs w:val="21"/>
        </w:rPr>
        <w:t xml:space="preserve"> </w:t>
      </w:r>
      <w:r w:rsidRPr="00B94CD4">
        <w:rPr>
          <w:rFonts w:ascii="Abadi" w:hAnsi="Abadi"/>
          <w:b w:val="0"/>
          <w:bCs w:val="0"/>
          <w:sz w:val="21"/>
          <w:szCs w:val="21"/>
        </w:rPr>
        <w:t>para</w:t>
      </w:r>
      <w:r w:rsidRPr="00B94CD4">
        <w:rPr>
          <w:rFonts w:ascii="Abadi" w:hAnsi="Abadi"/>
          <w:b w:val="0"/>
          <w:bCs w:val="0"/>
          <w:spacing w:val="13"/>
          <w:sz w:val="21"/>
          <w:szCs w:val="21"/>
        </w:rPr>
        <w:t xml:space="preserve"> </w:t>
      </w:r>
      <w:r w:rsidRPr="00B94CD4">
        <w:rPr>
          <w:rFonts w:ascii="Abadi" w:hAnsi="Abadi"/>
          <w:b w:val="0"/>
          <w:bCs w:val="0"/>
          <w:sz w:val="21"/>
          <w:szCs w:val="21"/>
        </w:rPr>
        <w:t>efectos</w:t>
      </w:r>
      <w:r w:rsidRPr="00B94CD4">
        <w:rPr>
          <w:rFonts w:ascii="Abadi" w:hAnsi="Abadi"/>
          <w:b w:val="0"/>
          <w:bCs w:val="0"/>
          <w:spacing w:val="13"/>
          <w:sz w:val="21"/>
          <w:szCs w:val="21"/>
        </w:rPr>
        <w:t xml:space="preserve"> </w:t>
      </w:r>
      <w:r w:rsidRPr="00B94CD4">
        <w:rPr>
          <w:rFonts w:ascii="Abadi" w:hAnsi="Abadi"/>
          <w:b w:val="0"/>
          <w:bCs w:val="0"/>
          <w:sz w:val="21"/>
          <w:szCs w:val="21"/>
        </w:rPr>
        <w:t>de</w:t>
      </w:r>
      <w:r w:rsidRPr="00B94CD4">
        <w:rPr>
          <w:rFonts w:ascii="Abadi" w:hAnsi="Abadi"/>
          <w:b w:val="0"/>
          <w:bCs w:val="0"/>
          <w:spacing w:val="13"/>
          <w:sz w:val="21"/>
          <w:szCs w:val="21"/>
        </w:rPr>
        <w:t xml:space="preserve"> </w:t>
      </w:r>
      <w:r w:rsidRPr="00B94CD4">
        <w:rPr>
          <w:rFonts w:ascii="Abadi" w:hAnsi="Abadi"/>
          <w:b w:val="0"/>
          <w:bCs w:val="0"/>
          <w:sz w:val="21"/>
          <w:szCs w:val="21"/>
        </w:rPr>
        <w:t>cumplir</w:t>
      </w:r>
      <w:r w:rsidRPr="00B94CD4">
        <w:rPr>
          <w:rFonts w:ascii="Abadi" w:hAnsi="Abadi"/>
          <w:b w:val="0"/>
          <w:bCs w:val="0"/>
          <w:spacing w:val="13"/>
          <w:sz w:val="21"/>
          <w:szCs w:val="21"/>
        </w:rPr>
        <w:t xml:space="preserve"> </w:t>
      </w:r>
      <w:r w:rsidRPr="00B94CD4">
        <w:rPr>
          <w:rFonts w:ascii="Abadi" w:hAnsi="Abadi"/>
          <w:b w:val="0"/>
          <w:bCs w:val="0"/>
          <w:sz w:val="21"/>
          <w:szCs w:val="21"/>
        </w:rPr>
        <w:t>con</w:t>
      </w:r>
      <w:r w:rsidRPr="00B94CD4">
        <w:rPr>
          <w:rFonts w:ascii="Abadi" w:hAnsi="Abadi"/>
          <w:b w:val="0"/>
          <w:bCs w:val="0"/>
          <w:spacing w:val="13"/>
          <w:sz w:val="21"/>
          <w:szCs w:val="21"/>
        </w:rPr>
        <w:t xml:space="preserve"> </w:t>
      </w:r>
      <w:r w:rsidRPr="00B94CD4">
        <w:rPr>
          <w:rFonts w:ascii="Abadi" w:hAnsi="Abadi"/>
          <w:b w:val="0"/>
          <w:bCs w:val="0"/>
          <w:sz w:val="21"/>
          <w:szCs w:val="21"/>
        </w:rPr>
        <w:t>las</w:t>
      </w:r>
      <w:r w:rsidRPr="00B94CD4">
        <w:rPr>
          <w:rFonts w:ascii="Abadi" w:hAnsi="Abadi"/>
          <w:b w:val="0"/>
          <w:bCs w:val="0"/>
          <w:spacing w:val="13"/>
          <w:sz w:val="21"/>
          <w:szCs w:val="21"/>
        </w:rPr>
        <w:t xml:space="preserve"> </w:t>
      </w:r>
      <w:r w:rsidRPr="00B94CD4">
        <w:rPr>
          <w:rFonts w:ascii="Abadi" w:hAnsi="Abadi"/>
          <w:b w:val="0"/>
          <w:bCs w:val="0"/>
          <w:sz w:val="21"/>
          <w:szCs w:val="21"/>
        </w:rPr>
        <w:t>obligaciones de</w:t>
      </w:r>
      <w:r w:rsidRPr="00B94CD4">
        <w:rPr>
          <w:rFonts w:ascii="Abadi" w:hAnsi="Abadi"/>
          <w:b w:val="0"/>
          <w:bCs w:val="0"/>
          <w:spacing w:val="-13"/>
          <w:sz w:val="21"/>
          <w:szCs w:val="21"/>
        </w:rPr>
        <w:t xml:space="preserve"> </w:t>
      </w:r>
      <w:r w:rsidRPr="00B94CD4">
        <w:rPr>
          <w:rFonts w:ascii="Abadi" w:hAnsi="Abadi"/>
          <w:b w:val="0"/>
          <w:bCs w:val="0"/>
          <w:sz w:val="21"/>
          <w:szCs w:val="21"/>
        </w:rPr>
        <w:t>la</w:t>
      </w:r>
      <w:r w:rsidRPr="00B94CD4">
        <w:rPr>
          <w:rFonts w:ascii="Abadi" w:hAnsi="Abadi"/>
          <w:b w:val="0"/>
          <w:bCs w:val="0"/>
          <w:spacing w:val="-13"/>
          <w:sz w:val="21"/>
          <w:szCs w:val="21"/>
        </w:rPr>
        <w:t xml:space="preserve"> </w:t>
      </w:r>
      <w:r w:rsidRPr="00B94CD4">
        <w:rPr>
          <w:rFonts w:ascii="Abadi" w:hAnsi="Abadi"/>
          <w:b w:val="0"/>
          <w:bCs w:val="0"/>
          <w:sz w:val="21"/>
          <w:szCs w:val="21"/>
        </w:rPr>
        <w:t>Ley</w:t>
      </w:r>
      <w:r w:rsidRPr="00B94CD4">
        <w:rPr>
          <w:rFonts w:ascii="Abadi" w:hAnsi="Abadi"/>
          <w:b w:val="0"/>
          <w:bCs w:val="0"/>
          <w:spacing w:val="-13"/>
          <w:sz w:val="21"/>
          <w:szCs w:val="21"/>
        </w:rPr>
        <w:t xml:space="preserve"> </w:t>
      </w:r>
      <w:r w:rsidRPr="00B94CD4">
        <w:rPr>
          <w:rFonts w:ascii="Abadi" w:hAnsi="Abadi"/>
          <w:b w:val="0"/>
          <w:bCs w:val="0"/>
          <w:sz w:val="21"/>
          <w:szCs w:val="21"/>
        </w:rPr>
        <w:t>de</w:t>
      </w:r>
      <w:r w:rsidRPr="00B94CD4">
        <w:rPr>
          <w:rFonts w:ascii="Abadi" w:hAnsi="Abadi"/>
          <w:b w:val="0"/>
          <w:bCs w:val="0"/>
          <w:spacing w:val="-13"/>
          <w:sz w:val="21"/>
          <w:szCs w:val="21"/>
        </w:rPr>
        <w:t xml:space="preserve"> </w:t>
      </w:r>
      <w:r w:rsidRPr="00B94CD4">
        <w:rPr>
          <w:rFonts w:ascii="Abadi" w:hAnsi="Abadi"/>
          <w:b w:val="0"/>
          <w:bCs w:val="0"/>
          <w:sz w:val="21"/>
          <w:szCs w:val="21"/>
        </w:rPr>
        <w:t>Transparencia</w:t>
      </w:r>
      <w:r w:rsidRPr="00B94CD4">
        <w:rPr>
          <w:rFonts w:ascii="Abadi" w:hAnsi="Abadi"/>
          <w:b w:val="0"/>
          <w:bCs w:val="0"/>
          <w:spacing w:val="-13"/>
          <w:sz w:val="21"/>
          <w:szCs w:val="21"/>
        </w:rPr>
        <w:t xml:space="preserve"> </w:t>
      </w:r>
      <w:r w:rsidRPr="00B94CD4">
        <w:rPr>
          <w:rFonts w:ascii="Abadi" w:hAnsi="Abadi"/>
          <w:b w:val="0"/>
          <w:bCs w:val="0"/>
          <w:sz w:val="21"/>
          <w:szCs w:val="21"/>
        </w:rPr>
        <w:t>y</w:t>
      </w:r>
      <w:r w:rsidRPr="00B94CD4">
        <w:rPr>
          <w:rFonts w:ascii="Abadi" w:hAnsi="Abadi"/>
          <w:b w:val="0"/>
          <w:bCs w:val="0"/>
          <w:spacing w:val="-13"/>
          <w:sz w:val="21"/>
          <w:szCs w:val="21"/>
        </w:rPr>
        <w:t xml:space="preserve"> </w:t>
      </w:r>
      <w:r w:rsidRPr="00B94CD4">
        <w:rPr>
          <w:rFonts w:ascii="Abadi" w:hAnsi="Abadi"/>
          <w:b w:val="0"/>
          <w:bCs w:val="0"/>
          <w:sz w:val="21"/>
          <w:szCs w:val="21"/>
        </w:rPr>
        <w:t>Acceso</w:t>
      </w:r>
      <w:r w:rsidRPr="00B94CD4">
        <w:rPr>
          <w:rFonts w:ascii="Abadi" w:hAnsi="Abadi"/>
          <w:b w:val="0"/>
          <w:bCs w:val="0"/>
          <w:spacing w:val="-13"/>
          <w:sz w:val="21"/>
          <w:szCs w:val="21"/>
        </w:rPr>
        <w:t xml:space="preserve"> </w:t>
      </w:r>
      <w:r w:rsidRPr="00B94CD4">
        <w:rPr>
          <w:rFonts w:ascii="Abadi" w:hAnsi="Abadi"/>
          <w:b w:val="0"/>
          <w:bCs w:val="0"/>
          <w:sz w:val="21"/>
          <w:szCs w:val="21"/>
        </w:rPr>
        <w:t>a</w:t>
      </w:r>
      <w:r w:rsidRPr="00B94CD4">
        <w:rPr>
          <w:rFonts w:ascii="Abadi" w:hAnsi="Abadi"/>
          <w:b w:val="0"/>
          <w:bCs w:val="0"/>
          <w:spacing w:val="-13"/>
          <w:sz w:val="21"/>
          <w:szCs w:val="21"/>
        </w:rPr>
        <w:t xml:space="preserve"> </w:t>
      </w:r>
      <w:r w:rsidRPr="00B94CD4">
        <w:rPr>
          <w:rFonts w:ascii="Abadi" w:hAnsi="Abadi"/>
          <w:b w:val="0"/>
          <w:bCs w:val="0"/>
          <w:sz w:val="21"/>
          <w:szCs w:val="21"/>
        </w:rPr>
        <w:t>la</w:t>
      </w:r>
      <w:r w:rsidRPr="00B94CD4">
        <w:rPr>
          <w:rFonts w:ascii="Abadi" w:hAnsi="Abadi"/>
          <w:b w:val="0"/>
          <w:bCs w:val="0"/>
          <w:spacing w:val="-12"/>
          <w:sz w:val="21"/>
          <w:szCs w:val="21"/>
        </w:rPr>
        <w:t xml:space="preserve"> </w:t>
      </w:r>
      <w:r w:rsidRPr="00B94CD4">
        <w:rPr>
          <w:rFonts w:ascii="Abadi" w:hAnsi="Abadi"/>
          <w:b w:val="0"/>
          <w:bCs w:val="0"/>
          <w:sz w:val="21"/>
          <w:szCs w:val="21"/>
        </w:rPr>
        <w:t>Información</w:t>
      </w:r>
      <w:r w:rsidRPr="00B94CD4">
        <w:rPr>
          <w:rFonts w:ascii="Abadi" w:hAnsi="Abadi"/>
          <w:b w:val="0"/>
          <w:bCs w:val="0"/>
          <w:spacing w:val="-13"/>
          <w:sz w:val="21"/>
          <w:szCs w:val="21"/>
        </w:rPr>
        <w:t xml:space="preserve"> </w:t>
      </w:r>
      <w:r w:rsidRPr="00B94CD4">
        <w:rPr>
          <w:rFonts w:ascii="Abadi" w:hAnsi="Abadi"/>
          <w:b w:val="0"/>
          <w:bCs w:val="0"/>
          <w:sz w:val="21"/>
          <w:szCs w:val="21"/>
        </w:rPr>
        <w:t>Pública</w:t>
      </w:r>
      <w:r w:rsidRPr="00B94CD4">
        <w:rPr>
          <w:rFonts w:ascii="Abadi" w:hAnsi="Abadi"/>
          <w:b w:val="0"/>
          <w:bCs w:val="0"/>
          <w:spacing w:val="-13"/>
          <w:sz w:val="21"/>
          <w:szCs w:val="21"/>
        </w:rPr>
        <w:t xml:space="preserve"> </w:t>
      </w:r>
      <w:r w:rsidRPr="00B94CD4">
        <w:rPr>
          <w:rFonts w:ascii="Abadi" w:hAnsi="Abadi"/>
          <w:b w:val="0"/>
          <w:bCs w:val="0"/>
          <w:sz w:val="21"/>
          <w:szCs w:val="21"/>
        </w:rPr>
        <w:t>para</w:t>
      </w:r>
      <w:r w:rsidRPr="00B94CD4">
        <w:rPr>
          <w:rFonts w:ascii="Abadi" w:hAnsi="Abadi"/>
          <w:b w:val="0"/>
          <w:bCs w:val="0"/>
          <w:spacing w:val="-13"/>
          <w:sz w:val="21"/>
          <w:szCs w:val="21"/>
        </w:rPr>
        <w:t xml:space="preserve"> </w:t>
      </w:r>
      <w:r w:rsidRPr="00B94CD4">
        <w:rPr>
          <w:rFonts w:ascii="Abadi" w:hAnsi="Abadi"/>
          <w:b w:val="0"/>
          <w:bCs w:val="0"/>
          <w:sz w:val="21"/>
          <w:szCs w:val="21"/>
        </w:rPr>
        <w:t>el</w:t>
      </w:r>
      <w:r w:rsidRPr="00B94CD4">
        <w:rPr>
          <w:rFonts w:ascii="Abadi" w:hAnsi="Abadi"/>
          <w:b w:val="0"/>
          <w:bCs w:val="0"/>
          <w:spacing w:val="-13"/>
          <w:sz w:val="21"/>
          <w:szCs w:val="21"/>
        </w:rPr>
        <w:t xml:space="preserve"> </w:t>
      </w:r>
      <w:r w:rsidRPr="00B94CD4">
        <w:rPr>
          <w:rFonts w:ascii="Abadi" w:hAnsi="Abadi"/>
          <w:b w:val="0"/>
          <w:bCs w:val="0"/>
          <w:sz w:val="21"/>
          <w:szCs w:val="21"/>
        </w:rPr>
        <w:t xml:space="preserve">Estado de Guanajuato y, en su caso, aprobación de la misma. </w:t>
      </w:r>
      <w:r w:rsidRPr="00B94CD4">
        <w:rPr>
          <w:rFonts w:ascii="Abadi" w:hAnsi="Abadi"/>
          <w:sz w:val="21"/>
          <w:szCs w:val="21"/>
        </w:rPr>
        <w:t>XVI.-</w:t>
      </w:r>
      <w:r w:rsidRPr="00B94CD4">
        <w:rPr>
          <w:rFonts w:ascii="Abadi" w:hAnsi="Abadi"/>
          <w:b w:val="0"/>
          <w:bCs w:val="0"/>
          <w:sz w:val="21"/>
          <w:szCs w:val="21"/>
        </w:rPr>
        <w:t xml:space="preserve"> Presentación</w:t>
      </w:r>
      <w:r w:rsidRPr="00B94CD4">
        <w:rPr>
          <w:rFonts w:ascii="Abadi" w:hAnsi="Abadi"/>
          <w:b w:val="0"/>
          <w:bCs w:val="0"/>
          <w:spacing w:val="53"/>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la</w:t>
      </w:r>
      <w:r w:rsidRPr="00B94CD4">
        <w:rPr>
          <w:rFonts w:ascii="Abadi" w:hAnsi="Abadi"/>
          <w:b w:val="0"/>
          <w:bCs w:val="0"/>
          <w:spacing w:val="54"/>
          <w:sz w:val="21"/>
          <w:szCs w:val="21"/>
        </w:rPr>
        <w:t xml:space="preserve"> </w:t>
      </w:r>
      <w:r w:rsidRPr="00B94CD4">
        <w:rPr>
          <w:rFonts w:ascii="Abadi" w:hAnsi="Abadi"/>
          <w:b w:val="0"/>
          <w:bCs w:val="0"/>
          <w:sz w:val="21"/>
          <w:szCs w:val="21"/>
        </w:rPr>
        <w:t>propuesta</w:t>
      </w:r>
      <w:r w:rsidRPr="00B94CD4">
        <w:rPr>
          <w:rFonts w:ascii="Abadi" w:hAnsi="Abadi"/>
          <w:b w:val="0"/>
          <w:bCs w:val="0"/>
          <w:spacing w:val="54"/>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punto</w:t>
      </w:r>
      <w:r w:rsidRPr="00B94CD4">
        <w:rPr>
          <w:rFonts w:ascii="Abadi" w:hAnsi="Abadi"/>
          <w:b w:val="0"/>
          <w:bCs w:val="0"/>
          <w:spacing w:val="54"/>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acuerdo</w:t>
      </w:r>
      <w:r w:rsidRPr="00B94CD4">
        <w:rPr>
          <w:rFonts w:ascii="Abadi" w:hAnsi="Abadi"/>
          <w:b w:val="0"/>
          <w:bCs w:val="0"/>
          <w:spacing w:val="54"/>
          <w:sz w:val="21"/>
          <w:szCs w:val="21"/>
        </w:rPr>
        <w:t xml:space="preserve"> </w:t>
      </w:r>
      <w:r w:rsidRPr="00B94CD4">
        <w:rPr>
          <w:rFonts w:ascii="Abadi" w:hAnsi="Abadi"/>
          <w:b w:val="0"/>
          <w:bCs w:val="0"/>
          <w:sz w:val="21"/>
          <w:szCs w:val="21"/>
        </w:rPr>
        <w:t>de</w:t>
      </w:r>
      <w:r w:rsidRPr="00B94CD4">
        <w:rPr>
          <w:rFonts w:ascii="Abadi" w:hAnsi="Abadi"/>
          <w:b w:val="0"/>
          <w:bCs w:val="0"/>
          <w:spacing w:val="54"/>
          <w:sz w:val="21"/>
          <w:szCs w:val="21"/>
        </w:rPr>
        <w:t xml:space="preserve"> </w:t>
      </w:r>
      <w:r w:rsidRPr="00B94CD4">
        <w:rPr>
          <w:rFonts w:ascii="Abadi" w:hAnsi="Abadi"/>
          <w:b w:val="0"/>
          <w:bCs w:val="0"/>
          <w:sz w:val="21"/>
          <w:szCs w:val="21"/>
        </w:rPr>
        <w:t>obvia</w:t>
      </w:r>
      <w:r w:rsidRPr="00B94CD4">
        <w:rPr>
          <w:rFonts w:ascii="Abadi" w:hAnsi="Abadi"/>
          <w:b w:val="0"/>
          <w:bCs w:val="0"/>
          <w:spacing w:val="54"/>
          <w:sz w:val="21"/>
          <w:szCs w:val="21"/>
        </w:rPr>
        <w:t xml:space="preserve"> </w:t>
      </w:r>
      <w:r w:rsidRPr="00B94CD4">
        <w:rPr>
          <w:rFonts w:ascii="Abadi" w:hAnsi="Abadi"/>
          <w:b w:val="0"/>
          <w:bCs w:val="0"/>
          <w:sz w:val="21"/>
          <w:szCs w:val="21"/>
        </w:rPr>
        <w:t>resolución</w:t>
      </w:r>
      <w:r w:rsidRPr="00B94CD4">
        <w:rPr>
          <w:rFonts w:ascii="Abadi" w:hAnsi="Abadi"/>
          <w:b w:val="0"/>
          <w:bCs w:val="0"/>
          <w:spacing w:val="-1"/>
          <w:sz w:val="21"/>
          <w:szCs w:val="21"/>
        </w:rPr>
        <w:t xml:space="preserve"> </w:t>
      </w:r>
      <w:r w:rsidRPr="00B94CD4">
        <w:rPr>
          <w:rFonts w:ascii="Abadi" w:hAnsi="Abadi"/>
          <w:b w:val="0"/>
          <w:bCs w:val="0"/>
          <w:sz w:val="21"/>
          <w:szCs w:val="21"/>
        </w:rPr>
        <w:t>suscrita</w:t>
      </w:r>
      <w:r w:rsidRPr="00B94CD4">
        <w:rPr>
          <w:rFonts w:ascii="Abadi" w:hAnsi="Abadi"/>
          <w:b w:val="0"/>
          <w:bCs w:val="0"/>
          <w:spacing w:val="46"/>
          <w:sz w:val="21"/>
          <w:szCs w:val="21"/>
        </w:rPr>
        <w:t xml:space="preserve"> </w:t>
      </w:r>
      <w:r w:rsidRPr="00B94CD4">
        <w:rPr>
          <w:rFonts w:ascii="Abadi" w:hAnsi="Abadi"/>
          <w:b w:val="0"/>
          <w:bCs w:val="0"/>
          <w:sz w:val="21"/>
          <w:szCs w:val="21"/>
        </w:rPr>
        <w:t>por</w:t>
      </w:r>
      <w:r w:rsidRPr="00B94CD4">
        <w:rPr>
          <w:rFonts w:ascii="Abadi" w:hAnsi="Abadi"/>
          <w:b w:val="0"/>
          <w:bCs w:val="0"/>
          <w:spacing w:val="40"/>
          <w:sz w:val="21"/>
          <w:szCs w:val="21"/>
        </w:rPr>
        <w:t xml:space="preserve"> </w:t>
      </w:r>
      <w:r w:rsidRPr="00B94CD4">
        <w:rPr>
          <w:rFonts w:ascii="Abadi" w:hAnsi="Abadi"/>
          <w:b w:val="0"/>
          <w:bCs w:val="0"/>
          <w:sz w:val="21"/>
          <w:szCs w:val="21"/>
        </w:rPr>
        <w:t>el</w:t>
      </w:r>
      <w:r w:rsidRPr="00B94CD4">
        <w:rPr>
          <w:rFonts w:ascii="Abadi" w:hAnsi="Abadi"/>
          <w:b w:val="0"/>
          <w:bCs w:val="0"/>
          <w:spacing w:val="40"/>
          <w:sz w:val="21"/>
          <w:szCs w:val="21"/>
        </w:rPr>
        <w:t xml:space="preserve"> </w:t>
      </w:r>
      <w:r w:rsidRPr="00B94CD4">
        <w:rPr>
          <w:rFonts w:ascii="Abadi" w:hAnsi="Abadi"/>
          <w:b w:val="0"/>
          <w:bCs w:val="0"/>
          <w:sz w:val="21"/>
          <w:szCs w:val="21"/>
        </w:rPr>
        <w:t>diputado</w:t>
      </w:r>
      <w:r w:rsidRPr="00B94CD4">
        <w:rPr>
          <w:rFonts w:ascii="Abadi" w:hAnsi="Abadi"/>
          <w:b w:val="0"/>
          <w:bCs w:val="0"/>
          <w:spacing w:val="40"/>
          <w:sz w:val="21"/>
          <w:szCs w:val="21"/>
        </w:rPr>
        <w:t xml:space="preserve"> </w:t>
      </w:r>
      <w:r w:rsidRPr="00B94CD4">
        <w:rPr>
          <w:rFonts w:ascii="Abadi" w:hAnsi="Abadi"/>
          <w:b w:val="0"/>
          <w:bCs w:val="0"/>
          <w:sz w:val="21"/>
          <w:szCs w:val="21"/>
        </w:rPr>
        <w:t>Ernesto</w:t>
      </w:r>
      <w:r w:rsidRPr="00B94CD4">
        <w:rPr>
          <w:rFonts w:ascii="Abadi" w:hAnsi="Abadi"/>
          <w:b w:val="0"/>
          <w:bCs w:val="0"/>
          <w:spacing w:val="40"/>
          <w:sz w:val="21"/>
          <w:szCs w:val="21"/>
        </w:rPr>
        <w:t xml:space="preserve"> </w:t>
      </w:r>
      <w:r w:rsidRPr="00B94CD4">
        <w:rPr>
          <w:rFonts w:ascii="Abadi" w:hAnsi="Abadi"/>
          <w:b w:val="0"/>
          <w:bCs w:val="0"/>
          <w:sz w:val="21"/>
          <w:szCs w:val="21"/>
        </w:rPr>
        <w:t>Alejandro</w:t>
      </w:r>
      <w:r w:rsidRPr="00B94CD4">
        <w:rPr>
          <w:rFonts w:ascii="Abadi" w:hAnsi="Abadi"/>
          <w:b w:val="0"/>
          <w:bCs w:val="0"/>
          <w:spacing w:val="40"/>
          <w:sz w:val="21"/>
          <w:szCs w:val="21"/>
        </w:rPr>
        <w:t xml:space="preserve"> </w:t>
      </w:r>
      <w:r w:rsidRPr="00B94CD4">
        <w:rPr>
          <w:rFonts w:ascii="Abadi" w:hAnsi="Abadi"/>
          <w:b w:val="0"/>
          <w:bCs w:val="0"/>
          <w:sz w:val="21"/>
          <w:szCs w:val="21"/>
        </w:rPr>
        <w:t>Prieto</w:t>
      </w:r>
      <w:r w:rsidRPr="00B94CD4">
        <w:rPr>
          <w:rFonts w:ascii="Abadi" w:hAnsi="Abadi"/>
          <w:b w:val="0"/>
          <w:bCs w:val="0"/>
          <w:spacing w:val="40"/>
          <w:sz w:val="21"/>
          <w:szCs w:val="21"/>
        </w:rPr>
        <w:t xml:space="preserve"> </w:t>
      </w:r>
      <w:r w:rsidRPr="00B94CD4">
        <w:rPr>
          <w:rFonts w:ascii="Abadi" w:hAnsi="Abadi"/>
          <w:b w:val="0"/>
          <w:bCs w:val="0"/>
          <w:sz w:val="21"/>
          <w:szCs w:val="21"/>
        </w:rPr>
        <w:t>Gallardo</w:t>
      </w:r>
      <w:r w:rsidRPr="00B94CD4">
        <w:rPr>
          <w:rFonts w:ascii="Abadi" w:hAnsi="Abadi"/>
          <w:b w:val="0"/>
          <w:bCs w:val="0"/>
          <w:spacing w:val="40"/>
          <w:sz w:val="21"/>
          <w:szCs w:val="21"/>
        </w:rPr>
        <w:t xml:space="preserve"> </w:t>
      </w:r>
      <w:r w:rsidRPr="00B94CD4">
        <w:rPr>
          <w:rFonts w:ascii="Abadi" w:hAnsi="Abadi"/>
          <w:b w:val="0"/>
          <w:bCs w:val="0"/>
          <w:sz w:val="21"/>
          <w:szCs w:val="21"/>
        </w:rPr>
        <w:t>integrante</w:t>
      </w:r>
      <w:r w:rsidRPr="00B94CD4">
        <w:rPr>
          <w:rFonts w:ascii="Abadi" w:hAnsi="Abadi"/>
          <w:b w:val="0"/>
          <w:bCs w:val="0"/>
          <w:spacing w:val="40"/>
          <w:sz w:val="21"/>
          <w:szCs w:val="21"/>
        </w:rPr>
        <w:t xml:space="preserve"> </w:t>
      </w:r>
      <w:r w:rsidRPr="00B94CD4">
        <w:rPr>
          <w:rFonts w:ascii="Abadi" w:hAnsi="Abadi"/>
          <w:b w:val="0"/>
          <w:bCs w:val="0"/>
          <w:sz w:val="21"/>
          <w:szCs w:val="21"/>
        </w:rPr>
        <w:t>del</w:t>
      </w:r>
      <w:r w:rsidRPr="00B94CD4">
        <w:rPr>
          <w:rFonts w:ascii="Abadi" w:hAnsi="Abadi"/>
          <w:b w:val="0"/>
          <w:bCs w:val="0"/>
          <w:spacing w:val="-1"/>
          <w:sz w:val="21"/>
          <w:szCs w:val="21"/>
        </w:rPr>
        <w:t xml:space="preserve"> </w:t>
      </w:r>
      <w:r w:rsidRPr="00B94CD4">
        <w:rPr>
          <w:rFonts w:ascii="Abadi" w:hAnsi="Abadi"/>
          <w:b w:val="0"/>
          <w:bCs w:val="0"/>
          <w:sz w:val="21"/>
          <w:szCs w:val="21"/>
        </w:rPr>
        <w:t>Grupo</w:t>
      </w:r>
      <w:r w:rsidRPr="00B94CD4">
        <w:rPr>
          <w:rFonts w:ascii="Abadi" w:hAnsi="Abadi"/>
          <w:b w:val="0"/>
          <w:bCs w:val="0"/>
          <w:spacing w:val="-3"/>
          <w:sz w:val="21"/>
          <w:szCs w:val="21"/>
        </w:rPr>
        <w:t xml:space="preserve"> </w:t>
      </w:r>
      <w:r w:rsidRPr="00B94CD4">
        <w:rPr>
          <w:rFonts w:ascii="Abadi" w:hAnsi="Abadi"/>
          <w:b w:val="0"/>
          <w:bCs w:val="0"/>
          <w:sz w:val="21"/>
          <w:szCs w:val="21"/>
        </w:rPr>
        <w:t>Parlamentario</w:t>
      </w:r>
      <w:r w:rsidRPr="00B94CD4">
        <w:rPr>
          <w:rFonts w:ascii="Abadi" w:hAnsi="Abadi"/>
          <w:b w:val="0"/>
          <w:bCs w:val="0"/>
          <w:spacing w:val="-3"/>
          <w:sz w:val="21"/>
          <w:szCs w:val="21"/>
        </w:rPr>
        <w:t xml:space="preserve"> </w:t>
      </w:r>
      <w:r w:rsidRPr="00B94CD4">
        <w:rPr>
          <w:rFonts w:ascii="Abadi" w:hAnsi="Abadi"/>
          <w:b w:val="0"/>
          <w:bCs w:val="0"/>
          <w:sz w:val="21"/>
          <w:szCs w:val="21"/>
        </w:rPr>
        <w:t>del</w:t>
      </w:r>
      <w:r w:rsidRPr="00B94CD4">
        <w:rPr>
          <w:rFonts w:ascii="Abadi" w:hAnsi="Abadi"/>
          <w:b w:val="0"/>
          <w:bCs w:val="0"/>
          <w:spacing w:val="-4"/>
          <w:sz w:val="21"/>
          <w:szCs w:val="21"/>
        </w:rPr>
        <w:t xml:space="preserve"> </w:t>
      </w:r>
      <w:r w:rsidRPr="00B94CD4">
        <w:rPr>
          <w:rFonts w:ascii="Abadi" w:hAnsi="Abadi"/>
          <w:b w:val="0"/>
          <w:bCs w:val="0"/>
          <w:sz w:val="21"/>
          <w:szCs w:val="21"/>
        </w:rPr>
        <w:t>Partido</w:t>
      </w:r>
      <w:r w:rsidRPr="00B94CD4">
        <w:rPr>
          <w:rFonts w:ascii="Abadi" w:hAnsi="Abadi"/>
          <w:b w:val="0"/>
          <w:bCs w:val="0"/>
          <w:spacing w:val="-4"/>
          <w:sz w:val="21"/>
          <w:szCs w:val="21"/>
        </w:rPr>
        <w:t xml:space="preserve"> </w:t>
      </w:r>
      <w:r w:rsidRPr="00B94CD4">
        <w:rPr>
          <w:rFonts w:ascii="Abadi" w:hAnsi="Abadi"/>
          <w:b w:val="0"/>
          <w:bCs w:val="0"/>
          <w:sz w:val="21"/>
          <w:szCs w:val="21"/>
        </w:rPr>
        <w:t>MORENA</w:t>
      </w:r>
      <w:r w:rsidRPr="00B94CD4">
        <w:rPr>
          <w:rFonts w:ascii="Abadi" w:hAnsi="Abadi"/>
          <w:b w:val="0"/>
          <w:bCs w:val="0"/>
          <w:spacing w:val="-3"/>
          <w:sz w:val="21"/>
          <w:szCs w:val="21"/>
        </w:rPr>
        <w:t xml:space="preserve"> </w:t>
      </w:r>
      <w:r w:rsidRPr="00B94CD4">
        <w:rPr>
          <w:rFonts w:ascii="Abadi" w:hAnsi="Abadi"/>
          <w:b w:val="0"/>
          <w:bCs w:val="0"/>
          <w:sz w:val="21"/>
          <w:szCs w:val="21"/>
        </w:rPr>
        <w:t>a</w:t>
      </w:r>
      <w:r w:rsidRPr="00B94CD4">
        <w:rPr>
          <w:rFonts w:ascii="Abadi" w:hAnsi="Abadi"/>
          <w:b w:val="0"/>
          <w:bCs w:val="0"/>
          <w:spacing w:val="-3"/>
          <w:sz w:val="21"/>
          <w:szCs w:val="21"/>
        </w:rPr>
        <w:t xml:space="preserve"> </w:t>
      </w:r>
      <w:r w:rsidRPr="00B94CD4">
        <w:rPr>
          <w:rFonts w:ascii="Abadi" w:hAnsi="Abadi"/>
          <w:b w:val="0"/>
          <w:bCs w:val="0"/>
          <w:sz w:val="21"/>
          <w:szCs w:val="21"/>
        </w:rPr>
        <w:t>efecto</w:t>
      </w:r>
      <w:r w:rsidRPr="00B94CD4">
        <w:rPr>
          <w:rFonts w:ascii="Abadi" w:hAnsi="Abadi"/>
          <w:b w:val="0"/>
          <w:bCs w:val="0"/>
          <w:spacing w:val="-4"/>
          <w:sz w:val="21"/>
          <w:szCs w:val="21"/>
        </w:rPr>
        <w:t xml:space="preserve"> </w:t>
      </w:r>
      <w:r w:rsidRPr="00B94CD4">
        <w:rPr>
          <w:rFonts w:ascii="Abadi" w:hAnsi="Abadi"/>
          <w:b w:val="0"/>
          <w:bCs w:val="0"/>
          <w:sz w:val="21"/>
          <w:szCs w:val="21"/>
        </w:rPr>
        <w:t>de</w:t>
      </w:r>
      <w:r w:rsidRPr="00B94CD4">
        <w:rPr>
          <w:rFonts w:ascii="Abadi" w:hAnsi="Abadi"/>
          <w:b w:val="0"/>
          <w:bCs w:val="0"/>
          <w:spacing w:val="-3"/>
          <w:sz w:val="21"/>
          <w:szCs w:val="21"/>
        </w:rPr>
        <w:t xml:space="preserve"> </w:t>
      </w:r>
      <w:r w:rsidRPr="00B94CD4">
        <w:rPr>
          <w:rFonts w:ascii="Abadi" w:hAnsi="Abadi"/>
          <w:b w:val="0"/>
          <w:bCs w:val="0"/>
          <w:sz w:val="21"/>
          <w:szCs w:val="21"/>
        </w:rPr>
        <w:t>exhortar</w:t>
      </w:r>
      <w:r w:rsidRPr="00B94CD4">
        <w:rPr>
          <w:rFonts w:ascii="Abadi" w:hAnsi="Abadi"/>
          <w:b w:val="0"/>
          <w:bCs w:val="0"/>
          <w:spacing w:val="-4"/>
          <w:sz w:val="21"/>
          <w:szCs w:val="21"/>
        </w:rPr>
        <w:t xml:space="preserve"> </w:t>
      </w:r>
      <w:r w:rsidRPr="00B94CD4">
        <w:rPr>
          <w:rFonts w:ascii="Abadi" w:hAnsi="Abadi"/>
          <w:b w:val="0"/>
          <w:bCs w:val="0"/>
          <w:sz w:val="21"/>
          <w:szCs w:val="21"/>
        </w:rPr>
        <w:t>al</w:t>
      </w:r>
      <w:r w:rsidRPr="00B94CD4">
        <w:rPr>
          <w:rFonts w:ascii="Abadi" w:hAnsi="Abadi"/>
          <w:b w:val="0"/>
          <w:bCs w:val="0"/>
          <w:spacing w:val="-4"/>
          <w:sz w:val="21"/>
          <w:szCs w:val="21"/>
        </w:rPr>
        <w:t xml:space="preserve"> </w:t>
      </w:r>
      <w:r w:rsidRPr="00B94CD4">
        <w:rPr>
          <w:rFonts w:ascii="Abadi" w:hAnsi="Abadi"/>
          <w:b w:val="0"/>
          <w:bCs w:val="0"/>
          <w:sz w:val="21"/>
          <w:szCs w:val="21"/>
        </w:rPr>
        <w:t>titular</w:t>
      </w:r>
      <w:r w:rsidRPr="00B94CD4">
        <w:rPr>
          <w:rFonts w:ascii="Abadi" w:hAnsi="Abadi"/>
          <w:b w:val="0"/>
          <w:bCs w:val="0"/>
          <w:spacing w:val="-4"/>
          <w:sz w:val="21"/>
          <w:szCs w:val="21"/>
        </w:rPr>
        <w:t xml:space="preserve"> </w:t>
      </w:r>
      <w:r w:rsidRPr="00B94CD4">
        <w:rPr>
          <w:rFonts w:ascii="Abadi" w:hAnsi="Abadi"/>
          <w:b w:val="0"/>
          <w:bCs w:val="0"/>
          <w:sz w:val="21"/>
          <w:szCs w:val="21"/>
        </w:rPr>
        <w:t>del</w:t>
      </w:r>
      <w:r w:rsidRPr="00B94CD4">
        <w:rPr>
          <w:rFonts w:ascii="Abadi" w:hAnsi="Abadi"/>
          <w:b w:val="0"/>
          <w:bCs w:val="0"/>
          <w:spacing w:val="-1"/>
          <w:sz w:val="21"/>
          <w:szCs w:val="21"/>
        </w:rPr>
        <w:t xml:space="preserve"> </w:t>
      </w:r>
      <w:r w:rsidRPr="00B94CD4">
        <w:rPr>
          <w:rFonts w:ascii="Abadi" w:hAnsi="Abadi"/>
          <w:b w:val="0"/>
          <w:bCs w:val="0"/>
          <w:sz w:val="21"/>
          <w:szCs w:val="21"/>
        </w:rPr>
        <w:t>Ejecutivo</w:t>
      </w:r>
      <w:r w:rsidRPr="00B94CD4">
        <w:rPr>
          <w:rFonts w:ascii="Abadi" w:hAnsi="Abadi"/>
          <w:b w:val="0"/>
          <w:bCs w:val="0"/>
          <w:spacing w:val="25"/>
          <w:sz w:val="21"/>
          <w:szCs w:val="21"/>
        </w:rPr>
        <w:t xml:space="preserve"> </w:t>
      </w:r>
      <w:r w:rsidRPr="00B94CD4">
        <w:rPr>
          <w:rFonts w:ascii="Abadi" w:hAnsi="Abadi"/>
          <w:b w:val="0"/>
          <w:bCs w:val="0"/>
          <w:sz w:val="21"/>
          <w:szCs w:val="21"/>
        </w:rPr>
        <w:t>del</w:t>
      </w:r>
      <w:r w:rsidRPr="00B94CD4">
        <w:rPr>
          <w:rFonts w:ascii="Abadi" w:hAnsi="Abadi"/>
          <w:b w:val="0"/>
          <w:bCs w:val="0"/>
          <w:spacing w:val="24"/>
          <w:sz w:val="21"/>
          <w:szCs w:val="21"/>
        </w:rPr>
        <w:t xml:space="preserve"> </w:t>
      </w:r>
      <w:r w:rsidRPr="00B94CD4">
        <w:rPr>
          <w:rFonts w:ascii="Abadi" w:hAnsi="Abadi"/>
          <w:b w:val="0"/>
          <w:bCs w:val="0"/>
          <w:sz w:val="21"/>
          <w:szCs w:val="21"/>
        </w:rPr>
        <w:t>Estado</w:t>
      </w:r>
      <w:r w:rsidRPr="00B94CD4">
        <w:rPr>
          <w:rFonts w:ascii="Abadi" w:hAnsi="Abadi"/>
          <w:b w:val="0"/>
          <w:bCs w:val="0"/>
          <w:spacing w:val="25"/>
          <w:sz w:val="21"/>
          <w:szCs w:val="21"/>
        </w:rPr>
        <w:t xml:space="preserve"> </w:t>
      </w:r>
      <w:r w:rsidRPr="00B94CD4">
        <w:rPr>
          <w:rFonts w:ascii="Abadi" w:hAnsi="Abadi"/>
          <w:b w:val="0"/>
          <w:bCs w:val="0"/>
          <w:sz w:val="21"/>
          <w:szCs w:val="21"/>
        </w:rPr>
        <w:t>de</w:t>
      </w:r>
      <w:r w:rsidRPr="00B94CD4">
        <w:rPr>
          <w:rFonts w:ascii="Abadi" w:hAnsi="Abadi"/>
          <w:b w:val="0"/>
          <w:bCs w:val="0"/>
          <w:spacing w:val="25"/>
          <w:sz w:val="21"/>
          <w:szCs w:val="21"/>
        </w:rPr>
        <w:t xml:space="preserve"> </w:t>
      </w:r>
      <w:r w:rsidRPr="00B94CD4">
        <w:rPr>
          <w:rFonts w:ascii="Abadi" w:hAnsi="Abadi"/>
          <w:b w:val="0"/>
          <w:bCs w:val="0"/>
          <w:sz w:val="21"/>
          <w:szCs w:val="21"/>
        </w:rPr>
        <w:t>Guanajuato,</w:t>
      </w:r>
      <w:r w:rsidRPr="00B94CD4">
        <w:rPr>
          <w:rFonts w:ascii="Abadi" w:hAnsi="Abadi"/>
          <w:b w:val="0"/>
          <w:bCs w:val="0"/>
          <w:spacing w:val="24"/>
          <w:sz w:val="21"/>
          <w:szCs w:val="21"/>
        </w:rPr>
        <w:t xml:space="preserve"> </w:t>
      </w:r>
      <w:r w:rsidRPr="00B94CD4">
        <w:rPr>
          <w:rFonts w:ascii="Abadi" w:hAnsi="Abadi"/>
          <w:b w:val="0"/>
          <w:bCs w:val="0"/>
          <w:sz w:val="21"/>
          <w:szCs w:val="21"/>
        </w:rPr>
        <w:t>para</w:t>
      </w:r>
      <w:r w:rsidRPr="00B94CD4">
        <w:rPr>
          <w:rFonts w:ascii="Abadi" w:hAnsi="Abadi"/>
          <w:b w:val="0"/>
          <w:bCs w:val="0"/>
          <w:spacing w:val="25"/>
          <w:sz w:val="21"/>
          <w:szCs w:val="21"/>
        </w:rPr>
        <w:t xml:space="preserve"> </w:t>
      </w:r>
      <w:r w:rsidRPr="00B94CD4">
        <w:rPr>
          <w:rFonts w:ascii="Abadi" w:hAnsi="Abadi"/>
          <w:b w:val="0"/>
          <w:bCs w:val="0"/>
          <w:sz w:val="21"/>
          <w:szCs w:val="21"/>
        </w:rPr>
        <w:t>que</w:t>
      </w:r>
      <w:r w:rsidRPr="00B94CD4">
        <w:rPr>
          <w:rFonts w:ascii="Abadi" w:hAnsi="Abadi"/>
          <w:b w:val="0"/>
          <w:bCs w:val="0"/>
          <w:spacing w:val="25"/>
          <w:sz w:val="21"/>
          <w:szCs w:val="21"/>
        </w:rPr>
        <w:t xml:space="preserve"> </w:t>
      </w:r>
      <w:r w:rsidRPr="00B94CD4">
        <w:rPr>
          <w:rFonts w:ascii="Abadi" w:hAnsi="Abadi"/>
          <w:b w:val="0"/>
          <w:bCs w:val="0"/>
          <w:sz w:val="21"/>
          <w:szCs w:val="21"/>
        </w:rPr>
        <w:t>implemente</w:t>
      </w:r>
      <w:r w:rsidRPr="00B94CD4">
        <w:rPr>
          <w:rFonts w:ascii="Abadi" w:hAnsi="Abadi"/>
          <w:b w:val="0"/>
          <w:bCs w:val="0"/>
          <w:spacing w:val="25"/>
          <w:sz w:val="21"/>
          <w:szCs w:val="21"/>
        </w:rPr>
        <w:t xml:space="preserve"> </w:t>
      </w:r>
      <w:r w:rsidRPr="00B94CD4">
        <w:rPr>
          <w:rFonts w:ascii="Abadi" w:hAnsi="Abadi"/>
          <w:b w:val="0"/>
          <w:bCs w:val="0"/>
          <w:sz w:val="21"/>
          <w:szCs w:val="21"/>
        </w:rPr>
        <w:t>las</w:t>
      </w:r>
      <w:r w:rsidRPr="00B94CD4">
        <w:rPr>
          <w:rFonts w:ascii="Abadi" w:hAnsi="Abadi"/>
          <w:b w:val="0"/>
          <w:bCs w:val="0"/>
          <w:spacing w:val="25"/>
          <w:sz w:val="21"/>
          <w:szCs w:val="21"/>
        </w:rPr>
        <w:t xml:space="preserve"> </w:t>
      </w:r>
      <w:r w:rsidRPr="00B94CD4">
        <w:rPr>
          <w:rFonts w:ascii="Abadi" w:hAnsi="Abadi"/>
          <w:b w:val="0"/>
          <w:bCs w:val="0"/>
          <w:sz w:val="21"/>
          <w:szCs w:val="21"/>
        </w:rPr>
        <w:t>estrategias</w:t>
      </w:r>
      <w:r w:rsidRPr="00B94CD4">
        <w:rPr>
          <w:rFonts w:ascii="Abadi" w:hAnsi="Abadi"/>
          <w:b w:val="0"/>
          <w:bCs w:val="0"/>
          <w:spacing w:val="-1"/>
          <w:sz w:val="21"/>
          <w:szCs w:val="21"/>
        </w:rPr>
        <w:t xml:space="preserve"> </w:t>
      </w:r>
      <w:r w:rsidRPr="00B94CD4">
        <w:rPr>
          <w:rFonts w:ascii="Abadi" w:hAnsi="Abadi"/>
          <w:b w:val="0"/>
          <w:bCs w:val="0"/>
          <w:sz w:val="21"/>
          <w:szCs w:val="21"/>
        </w:rPr>
        <w:t>necesarias</w:t>
      </w:r>
      <w:r w:rsidRPr="00B94CD4">
        <w:rPr>
          <w:rFonts w:ascii="Abadi" w:hAnsi="Abadi"/>
          <w:b w:val="0"/>
          <w:bCs w:val="0"/>
          <w:spacing w:val="61"/>
          <w:sz w:val="21"/>
          <w:szCs w:val="21"/>
        </w:rPr>
        <w:t xml:space="preserve"> </w:t>
      </w:r>
      <w:r w:rsidRPr="00B94CD4">
        <w:rPr>
          <w:rFonts w:ascii="Abadi" w:hAnsi="Abadi"/>
          <w:b w:val="0"/>
          <w:bCs w:val="0"/>
          <w:sz w:val="21"/>
          <w:szCs w:val="21"/>
        </w:rPr>
        <w:t>y</w:t>
      </w:r>
      <w:r w:rsidRPr="00B94CD4">
        <w:rPr>
          <w:rFonts w:ascii="Abadi" w:hAnsi="Abadi"/>
          <w:b w:val="0"/>
          <w:bCs w:val="0"/>
          <w:spacing w:val="61"/>
          <w:sz w:val="21"/>
          <w:szCs w:val="21"/>
        </w:rPr>
        <w:t xml:space="preserve"> </w:t>
      </w:r>
      <w:r w:rsidRPr="00B94CD4">
        <w:rPr>
          <w:rFonts w:ascii="Abadi" w:hAnsi="Abadi"/>
          <w:b w:val="0"/>
          <w:bCs w:val="0"/>
          <w:sz w:val="21"/>
          <w:szCs w:val="21"/>
        </w:rPr>
        <w:t>establezca</w:t>
      </w:r>
      <w:r w:rsidRPr="00B94CD4">
        <w:rPr>
          <w:rFonts w:ascii="Abadi" w:hAnsi="Abadi"/>
          <w:b w:val="0"/>
          <w:bCs w:val="0"/>
          <w:spacing w:val="61"/>
          <w:sz w:val="21"/>
          <w:szCs w:val="21"/>
        </w:rPr>
        <w:t xml:space="preserve"> </w:t>
      </w:r>
      <w:r w:rsidRPr="00B94CD4">
        <w:rPr>
          <w:rFonts w:ascii="Abadi" w:hAnsi="Abadi"/>
          <w:b w:val="0"/>
          <w:bCs w:val="0"/>
          <w:sz w:val="21"/>
          <w:szCs w:val="21"/>
        </w:rPr>
        <w:t>las</w:t>
      </w:r>
      <w:r w:rsidRPr="00B94CD4">
        <w:rPr>
          <w:rFonts w:ascii="Abadi" w:hAnsi="Abadi"/>
          <w:b w:val="0"/>
          <w:bCs w:val="0"/>
          <w:spacing w:val="61"/>
          <w:sz w:val="21"/>
          <w:szCs w:val="21"/>
        </w:rPr>
        <w:t xml:space="preserve"> </w:t>
      </w:r>
      <w:r w:rsidRPr="00B94CD4">
        <w:rPr>
          <w:rFonts w:ascii="Abadi" w:hAnsi="Abadi"/>
          <w:b w:val="0"/>
          <w:bCs w:val="0"/>
          <w:sz w:val="21"/>
          <w:szCs w:val="21"/>
        </w:rPr>
        <w:t>políticas</w:t>
      </w:r>
      <w:r w:rsidRPr="00B94CD4">
        <w:rPr>
          <w:rFonts w:ascii="Abadi" w:hAnsi="Abadi"/>
          <w:b w:val="0"/>
          <w:bCs w:val="0"/>
          <w:spacing w:val="61"/>
          <w:sz w:val="21"/>
          <w:szCs w:val="21"/>
        </w:rPr>
        <w:t xml:space="preserve"> </w:t>
      </w:r>
      <w:r w:rsidRPr="00B94CD4">
        <w:rPr>
          <w:rFonts w:ascii="Abadi" w:hAnsi="Abadi"/>
          <w:b w:val="0"/>
          <w:bCs w:val="0"/>
          <w:sz w:val="21"/>
          <w:szCs w:val="21"/>
        </w:rPr>
        <w:t>públicas</w:t>
      </w:r>
      <w:r w:rsidRPr="00B94CD4">
        <w:rPr>
          <w:rFonts w:ascii="Abadi" w:hAnsi="Abadi"/>
          <w:b w:val="0"/>
          <w:bCs w:val="0"/>
          <w:spacing w:val="61"/>
          <w:sz w:val="21"/>
          <w:szCs w:val="21"/>
        </w:rPr>
        <w:t xml:space="preserve"> </w:t>
      </w:r>
      <w:r w:rsidRPr="00B94CD4">
        <w:rPr>
          <w:rFonts w:ascii="Abadi" w:hAnsi="Abadi"/>
          <w:b w:val="0"/>
          <w:bCs w:val="0"/>
          <w:sz w:val="21"/>
          <w:szCs w:val="21"/>
        </w:rPr>
        <w:t>sociales</w:t>
      </w:r>
      <w:r w:rsidRPr="00B94CD4">
        <w:rPr>
          <w:rFonts w:ascii="Abadi" w:hAnsi="Abadi"/>
          <w:b w:val="0"/>
          <w:bCs w:val="0"/>
          <w:spacing w:val="61"/>
          <w:sz w:val="21"/>
          <w:szCs w:val="21"/>
        </w:rPr>
        <w:t xml:space="preserve"> </w:t>
      </w:r>
      <w:r w:rsidRPr="00B94CD4">
        <w:rPr>
          <w:rFonts w:ascii="Abadi" w:hAnsi="Abadi"/>
          <w:b w:val="0"/>
          <w:bCs w:val="0"/>
          <w:sz w:val="21"/>
          <w:szCs w:val="21"/>
        </w:rPr>
        <w:t>y</w:t>
      </w:r>
      <w:r w:rsidRPr="00B94CD4">
        <w:rPr>
          <w:rFonts w:ascii="Abadi" w:hAnsi="Abadi"/>
          <w:b w:val="0"/>
          <w:bCs w:val="0"/>
          <w:spacing w:val="61"/>
          <w:sz w:val="21"/>
          <w:szCs w:val="21"/>
        </w:rPr>
        <w:t xml:space="preserve"> </w:t>
      </w:r>
      <w:r w:rsidRPr="00B94CD4">
        <w:rPr>
          <w:rFonts w:ascii="Abadi" w:hAnsi="Abadi"/>
          <w:b w:val="0"/>
          <w:bCs w:val="0"/>
          <w:sz w:val="21"/>
          <w:szCs w:val="21"/>
        </w:rPr>
        <w:t>de</w:t>
      </w:r>
      <w:r w:rsidRPr="00B94CD4">
        <w:rPr>
          <w:rFonts w:ascii="Abadi" w:hAnsi="Abadi"/>
          <w:b w:val="0"/>
          <w:bCs w:val="0"/>
          <w:spacing w:val="61"/>
          <w:sz w:val="21"/>
          <w:szCs w:val="21"/>
        </w:rPr>
        <w:t xml:space="preserve"> </w:t>
      </w:r>
      <w:r w:rsidRPr="00B94CD4">
        <w:rPr>
          <w:rFonts w:ascii="Abadi" w:hAnsi="Abadi"/>
          <w:b w:val="0"/>
          <w:bCs w:val="0"/>
          <w:sz w:val="21"/>
          <w:szCs w:val="21"/>
        </w:rPr>
        <w:t>salud,</w:t>
      </w:r>
      <w:r w:rsidRPr="00B94CD4">
        <w:rPr>
          <w:rFonts w:ascii="Abadi" w:hAnsi="Abadi"/>
          <w:b w:val="0"/>
          <w:bCs w:val="0"/>
          <w:spacing w:val="61"/>
          <w:sz w:val="21"/>
          <w:szCs w:val="21"/>
        </w:rPr>
        <w:t xml:space="preserve"> </w:t>
      </w:r>
      <w:r w:rsidRPr="00B94CD4">
        <w:rPr>
          <w:rFonts w:ascii="Abadi" w:hAnsi="Abadi"/>
          <w:b w:val="0"/>
          <w:bCs w:val="0"/>
          <w:sz w:val="21"/>
          <w:szCs w:val="21"/>
        </w:rPr>
        <w:t>que</w:t>
      </w:r>
      <w:r w:rsidRPr="00B94CD4">
        <w:rPr>
          <w:rFonts w:ascii="Abadi" w:hAnsi="Abadi"/>
          <w:b w:val="0"/>
          <w:bCs w:val="0"/>
          <w:spacing w:val="-1"/>
          <w:sz w:val="21"/>
          <w:szCs w:val="21"/>
        </w:rPr>
        <w:t xml:space="preserve"> </w:t>
      </w:r>
      <w:r w:rsidRPr="00B94CD4">
        <w:rPr>
          <w:rFonts w:ascii="Abadi" w:hAnsi="Abadi"/>
          <w:b w:val="0"/>
          <w:bCs w:val="0"/>
          <w:sz w:val="21"/>
          <w:szCs w:val="21"/>
        </w:rPr>
        <w:t>atiendan</w:t>
      </w:r>
      <w:r w:rsidRPr="00B94CD4">
        <w:rPr>
          <w:rFonts w:ascii="Abadi" w:hAnsi="Abadi"/>
          <w:b w:val="0"/>
          <w:bCs w:val="0"/>
          <w:spacing w:val="10"/>
          <w:sz w:val="21"/>
          <w:szCs w:val="21"/>
        </w:rPr>
        <w:t xml:space="preserve"> </w:t>
      </w:r>
      <w:r w:rsidRPr="00B94CD4">
        <w:rPr>
          <w:rFonts w:ascii="Abadi" w:hAnsi="Abadi"/>
          <w:b w:val="0"/>
          <w:bCs w:val="0"/>
          <w:sz w:val="21"/>
          <w:szCs w:val="21"/>
        </w:rPr>
        <w:t>de</w:t>
      </w:r>
      <w:r w:rsidRPr="00B94CD4">
        <w:rPr>
          <w:rFonts w:ascii="Abadi" w:hAnsi="Abadi"/>
          <w:b w:val="0"/>
          <w:bCs w:val="0"/>
          <w:spacing w:val="10"/>
          <w:sz w:val="21"/>
          <w:szCs w:val="21"/>
        </w:rPr>
        <w:t xml:space="preserve"> </w:t>
      </w:r>
      <w:r w:rsidRPr="00B94CD4">
        <w:rPr>
          <w:rFonts w:ascii="Abadi" w:hAnsi="Abadi"/>
          <w:b w:val="0"/>
          <w:bCs w:val="0"/>
          <w:sz w:val="21"/>
          <w:szCs w:val="21"/>
        </w:rPr>
        <w:t>manera</w:t>
      </w:r>
      <w:r w:rsidRPr="00B94CD4">
        <w:rPr>
          <w:rFonts w:ascii="Abadi" w:hAnsi="Abadi"/>
          <w:b w:val="0"/>
          <w:bCs w:val="0"/>
          <w:spacing w:val="10"/>
          <w:sz w:val="21"/>
          <w:szCs w:val="21"/>
        </w:rPr>
        <w:t xml:space="preserve"> </w:t>
      </w:r>
      <w:r w:rsidRPr="00B94CD4">
        <w:rPr>
          <w:rFonts w:ascii="Abadi" w:hAnsi="Abadi"/>
          <w:b w:val="0"/>
          <w:bCs w:val="0"/>
          <w:sz w:val="21"/>
          <w:szCs w:val="21"/>
        </w:rPr>
        <w:t>urgente</w:t>
      </w:r>
      <w:r w:rsidRPr="00B94CD4">
        <w:rPr>
          <w:rFonts w:ascii="Abadi" w:hAnsi="Abadi"/>
          <w:b w:val="0"/>
          <w:bCs w:val="0"/>
          <w:spacing w:val="10"/>
          <w:sz w:val="21"/>
          <w:szCs w:val="21"/>
        </w:rPr>
        <w:t xml:space="preserve"> </w:t>
      </w:r>
      <w:r w:rsidRPr="00B94CD4">
        <w:rPr>
          <w:rFonts w:ascii="Abadi" w:hAnsi="Abadi"/>
          <w:b w:val="0"/>
          <w:bCs w:val="0"/>
          <w:sz w:val="21"/>
          <w:szCs w:val="21"/>
        </w:rPr>
        <w:t>y</w:t>
      </w:r>
      <w:r w:rsidRPr="00B94CD4">
        <w:rPr>
          <w:rFonts w:ascii="Abadi" w:hAnsi="Abadi"/>
          <w:b w:val="0"/>
          <w:bCs w:val="0"/>
          <w:spacing w:val="11"/>
          <w:sz w:val="21"/>
          <w:szCs w:val="21"/>
        </w:rPr>
        <w:t xml:space="preserve"> </w:t>
      </w:r>
      <w:r w:rsidRPr="00B94CD4">
        <w:rPr>
          <w:rFonts w:ascii="Abadi" w:hAnsi="Abadi"/>
          <w:b w:val="0"/>
          <w:bCs w:val="0"/>
          <w:sz w:val="21"/>
          <w:szCs w:val="21"/>
        </w:rPr>
        <w:t>prioritaria</w:t>
      </w:r>
      <w:r w:rsidRPr="00B94CD4">
        <w:rPr>
          <w:rFonts w:ascii="Abadi" w:hAnsi="Abadi"/>
          <w:b w:val="0"/>
          <w:bCs w:val="0"/>
          <w:spacing w:val="10"/>
          <w:sz w:val="21"/>
          <w:szCs w:val="21"/>
        </w:rPr>
        <w:t xml:space="preserve"> </w:t>
      </w:r>
      <w:r w:rsidRPr="00B94CD4">
        <w:rPr>
          <w:rFonts w:ascii="Abadi" w:hAnsi="Abadi"/>
          <w:b w:val="0"/>
          <w:bCs w:val="0"/>
          <w:sz w:val="21"/>
          <w:szCs w:val="21"/>
        </w:rPr>
        <w:t>a</w:t>
      </w:r>
      <w:r w:rsidRPr="00B94CD4">
        <w:rPr>
          <w:rFonts w:ascii="Abadi" w:hAnsi="Abadi"/>
          <w:b w:val="0"/>
          <w:bCs w:val="0"/>
          <w:spacing w:val="10"/>
          <w:sz w:val="21"/>
          <w:szCs w:val="21"/>
        </w:rPr>
        <w:t xml:space="preserve"> </w:t>
      </w:r>
      <w:r w:rsidRPr="00B94CD4">
        <w:rPr>
          <w:rFonts w:ascii="Abadi" w:hAnsi="Abadi"/>
          <w:b w:val="0"/>
          <w:bCs w:val="0"/>
          <w:sz w:val="21"/>
          <w:szCs w:val="21"/>
        </w:rPr>
        <w:t>la</w:t>
      </w:r>
      <w:r w:rsidRPr="00B94CD4">
        <w:rPr>
          <w:rFonts w:ascii="Abadi" w:hAnsi="Abadi"/>
          <w:b w:val="0"/>
          <w:bCs w:val="0"/>
          <w:spacing w:val="10"/>
          <w:sz w:val="21"/>
          <w:szCs w:val="21"/>
        </w:rPr>
        <w:t xml:space="preserve"> </w:t>
      </w:r>
      <w:r w:rsidRPr="00B94CD4">
        <w:rPr>
          <w:rFonts w:ascii="Abadi" w:hAnsi="Abadi"/>
          <w:b w:val="0"/>
          <w:bCs w:val="0"/>
          <w:sz w:val="21"/>
          <w:szCs w:val="21"/>
        </w:rPr>
        <w:t>población</w:t>
      </w:r>
      <w:r w:rsidRPr="00B94CD4">
        <w:rPr>
          <w:rFonts w:ascii="Abadi" w:hAnsi="Abadi"/>
          <w:b w:val="0"/>
          <w:bCs w:val="0"/>
          <w:spacing w:val="10"/>
          <w:sz w:val="21"/>
          <w:szCs w:val="21"/>
        </w:rPr>
        <w:t xml:space="preserve"> </w:t>
      </w:r>
      <w:r w:rsidRPr="00B94CD4">
        <w:rPr>
          <w:rFonts w:ascii="Abadi" w:hAnsi="Abadi"/>
          <w:b w:val="0"/>
          <w:bCs w:val="0"/>
          <w:sz w:val="21"/>
          <w:szCs w:val="21"/>
        </w:rPr>
        <w:t>guanajuatense</w:t>
      </w:r>
      <w:r w:rsidRPr="00B94CD4">
        <w:rPr>
          <w:rFonts w:ascii="Abadi" w:hAnsi="Abadi"/>
          <w:b w:val="0"/>
          <w:bCs w:val="0"/>
          <w:spacing w:val="10"/>
          <w:sz w:val="21"/>
          <w:szCs w:val="21"/>
        </w:rPr>
        <w:t xml:space="preserve"> </w:t>
      </w:r>
      <w:r w:rsidRPr="00B94CD4">
        <w:rPr>
          <w:rFonts w:ascii="Abadi" w:hAnsi="Abadi"/>
          <w:b w:val="0"/>
          <w:bCs w:val="0"/>
          <w:sz w:val="21"/>
          <w:szCs w:val="21"/>
        </w:rPr>
        <w:t>que</w:t>
      </w:r>
      <w:r w:rsidRPr="00B94CD4">
        <w:rPr>
          <w:rFonts w:ascii="Abadi" w:hAnsi="Abadi"/>
          <w:b w:val="0"/>
          <w:bCs w:val="0"/>
          <w:spacing w:val="-1"/>
          <w:sz w:val="21"/>
          <w:szCs w:val="21"/>
        </w:rPr>
        <w:t xml:space="preserve"> </w:t>
      </w:r>
      <w:r w:rsidRPr="00B94CD4">
        <w:rPr>
          <w:rFonts w:ascii="Abadi" w:hAnsi="Abadi"/>
          <w:b w:val="0"/>
          <w:bCs w:val="0"/>
          <w:sz w:val="21"/>
          <w:szCs w:val="21"/>
        </w:rPr>
        <w:t>tenga</w:t>
      </w:r>
      <w:r w:rsidRPr="00B94CD4">
        <w:rPr>
          <w:rFonts w:ascii="Abadi" w:hAnsi="Abadi"/>
          <w:b w:val="0"/>
          <w:bCs w:val="0"/>
          <w:spacing w:val="51"/>
          <w:sz w:val="21"/>
          <w:szCs w:val="21"/>
        </w:rPr>
        <w:t xml:space="preserve"> </w:t>
      </w:r>
      <w:r w:rsidRPr="00B94CD4">
        <w:rPr>
          <w:rFonts w:ascii="Abadi" w:hAnsi="Abadi"/>
          <w:b w:val="0"/>
          <w:bCs w:val="0"/>
          <w:sz w:val="21"/>
          <w:szCs w:val="21"/>
        </w:rPr>
        <w:t>alguna</w:t>
      </w:r>
      <w:r w:rsidRPr="00B94CD4">
        <w:rPr>
          <w:rFonts w:ascii="Abadi" w:hAnsi="Abadi"/>
          <w:b w:val="0"/>
          <w:bCs w:val="0"/>
          <w:spacing w:val="51"/>
          <w:sz w:val="21"/>
          <w:szCs w:val="21"/>
        </w:rPr>
        <w:t xml:space="preserve"> </w:t>
      </w:r>
      <w:r w:rsidRPr="00B94CD4">
        <w:rPr>
          <w:rFonts w:ascii="Abadi" w:hAnsi="Abadi"/>
          <w:b w:val="0"/>
          <w:bCs w:val="0"/>
          <w:sz w:val="21"/>
          <w:szCs w:val="21"/>
        </w:rPr>
        <w:t>adicción</w:t>
      </w:r>
      <w:r w:rsidRPr="00B94CD4">
        <w:rPr>
          <w:rFonts w:ascii="Abadi" w:hAnsi="Abadi"/>
          <w:b w:val="0"/>
          <w:bCs w:val="0"/>
          <w:spacing w:val="51"/>
          <w:sz w:val="21"/>
          <w:szCs w:val="21"/>
        </w:rPr>
        <w:t xml:space="preserve"> </w:t>
      </w:r>
      <w:r w:rsidRPr="00B94CD4">
        <w:rPr>
          <w:rFonts w:ascii="Abadi" w:hAnsi="Abadi"/>
          <w:b w:val="0"/>
          <w:bCs w:val="0"/>
          <w:sz w:val="21"/>
          <w:szCs w:val="21"/>
        </w:rPr>
        <w:t>a</w:t>
      </w:r>
      <w:r w:rsidRPr="00B94CD4">
        <w:rPr>
          <w:rFonts w:ascii="Abadi" w:hAnsi="Abadi"/>
          <w:b w:val="0"/>
          <w:bCs w:val="0"/>
          <w:spacing w:val="51"/>
          <w:sz w:val="21"/>
          <w:szCs w:val="21"/>
        </w:rPr>
        <w:t xml:space="preserve"> </w:t>
      </w:r>
      <w:r w:rsidRPr="00B94CD4">
        <w:rPr>
          <w:rFonts w:ascii="Abadi" w:hAnsi="Abadi"/>
          <w:b w:val="0"/>
          <w:bCs w:val="0"/>
          <w:sz w:val="21"/>
          <w:szCs w:val="21"/>
        </w:rPr>
        <w:t>drogas</w:t>
      </w:r>
      <w:r w:rsidRPr="00B94CD4">
        <w:rPr>
          <w:rFonts w:ascii="Abadi" w:hAnsi="Abadi"/>
          <w:b w:val="0"/>
          <w:bCs w:val="0"/>
          <w:spacing w:val="51"/>
          <w:sz w:val="21"/>
          <w:szCs w:val="21"/>
        </w:rPr>
        <w:t xml:space="preserve"> </w:t>
      </w:r>
      <w:r w:rsidRPr="00B94CD4">
        <w:rPr>
          <w:rFonts w:ascii="Abadi" w:hAnsi="Abadi"/>
          <w:b w:val="0"/>
          <w:bCs w:val="0"/>
          <w:sz w:val="21"/>
          <w:szCs w:val="21"/>
        </w:rPr>
        <w:t>ilícitas</w:t>
      </w:r>
      <w:r w:rsidRPr="00B94CD4">
        <w:rPr>
          <w:rFonts w:ascii="Abadi" w:hAnsi="Abadi"/>
          <w:b w:val="0"/>
          <w:bCs w:val="0"/>
          <w:spacing w:val="51"/>
          <w:sz w:val="21"/>
          <w:szCs w:val="21"/>
        </w:rPr>
        <w:t xml:space="preserve"> </w:t>
      </w:r>
      <w:r w:rsidRPr="00B94CD4">
        <w:rPr>
          <w:rFonts w:ascii="Abadi" w:hAnsi="Abadi"/>
          <w:b w:val="0"/>
          <w:bCs w:val="0"/>
          <w:sz w:val="21"/>
          <w:szCs w:val="21"/>
        </w:rPr>
        <w:t>y,</w:t>
      </w:r>
      <w:r w:rsidRPr="00B94CD4">
        <w:rPr>
          <w:rFonts w:ascii="Abadi" w:hAnsi="Abadi"/>
          <w:b w:val="0"/>
          <w:bCs w:val="0"/>
          <w:spacing w:val="50"/>
          <w:sz w:val="21"/>
          <w:szCs w:val="21"/>
        </w:rPr>
        <w:t xml:space="preserve"> </w:t>
      </w:r>
      <w:r w:rsidRPr="00B94CD4">
        <w:rPr>
          <w:rFonts w:ascii="Abadi" w:hAnsi="Abadi"/>
          <w:b w:val="0"/>
          <w:bCs w:val="0"/>
          <w:sz w:val="21"/>
          <w:szCs w:val="21"/>
        </w:rPr>
        <w:t>en</w:t>
      </w:r>
      <w:r w:rsidRPr="00B94CD4">
        <w:rPr>
          <w:rFonts w:ascii="Abadi" w:hAnsi="Abadi"/>
          <w:b w:val="0"/>
          <w:bCs w:val="0"/>
          <w:spacing w:val="51"/>
          <w:sz w:val="21"/>
          <w:szCs w:val="21"/>
        </w:rPr>
        <w:t xml:space="preserve"> </w:t>
      </w:r>
      <w:r w:rsidRPr="00B94CD4">
        <w:rPr>
          <w:rFonts w:ascii="Abadi" w:hAnsi="Abadi"/>
          <w:b w:val="0"/>
          <w:bCs w:val="0"/>
          <w:sz w:val="21"/>
          <w:szCs w:val="21"/>
        </w:rPr>
        <w:t>su</w:t>
      </w:r>
      <w:r w:rsidRPr="00B94CD4">
        <w:rPr>
          <w:rFonts w:ascii="Abadi" w:hAnsi="Abadi"/>
          <w:b w:val="0"/>
          <w:bCs w:val="0"/>
          <w:spacing w:val="51"/>
          <w:sz w:val="21"/>
          <w:szCs w:val="21"/>
        </w:rPr>
        <w:t xml:space="preserve"> </w:t>
      </w:r>
      <w:r w:rsidRPr="00B94CD4">
        <w:rPr>
          <w:rFonts w:ascii="Abadi" w:hAnsi="Abadi"/>
          <w:b w:val="0"/>
          <w:bCs w:val="0"/>
          <w:sz w:val="21"/>
          <w:szCs w:val="21"/>
        </w:rPr>
        <w:t>caso,</w:t>
      </w:r>
      <w:r w:rsidRPr="00B94CD4">
        <w:rPr>
          <w:rFonts w:ascii="Abadi" w:hAnsi="Abadi"/>
          <w:b w:val="0"/>
          <w:bCs w:val="0"/>
          <w:spacing w:val="50"/>
          <w:sz w:val="21"/>
          <w:szCs w:val="21"/>
        </w:rPr>
        <w:t xml:space="preserve"> </w:t>
      </w:r>
      <w:r w:rsidRPr="00B94CD4">
        <w:rPr>
          <w:rFonts w:ascii="Abadi" w:hAnsi="Abadi"/>
          <w:b w:val="0"/>
          <w:bCs w:val="0"/>
          <w:sz w:val="21"/>
          <w:szCs w:val="21"/>
        </w:rPr>
        <w:t>aprobación</w:t>
      </w:r>
      <w:r w:rsidRPr="00B94CD4">
        <w:rPr>
          <w:rFonts w:ascii="Abadi" w:hAnsi="Abadi"/>
          <w:b w:val="0"/>
          <w:bCs w:val="0"/>
          <w:spacing w:val="51"/>
          <w:sz w:val="21"/>
          <w:szCs w:val="21"/>
        </w:rPr>
        <w:t xml:space="preserve"> </w:t>
      </w:r>
      <w:r w:rsidRPr="00B94CD4">
        <w:rPr>
          <w:rFonts w:ascii="Abadi" w:hAnsi="Abadi"/>
          <w:b w:val="0"/>
          <w:bCs w:val="0"/>
          <w:sz w:val="21"/>
          <w:szCs w:val="21"/>
        </w:rPr>
        <w:t>de</w:t>
      </w:r>
      <w:r w:rsidRPr="00B94CD4">
        <w:rPr>
          <w:rFonts w:ascii="Abadi" w:hAnsi="Abadi"/>
          <w:b w:val="0"/>
          <w:bCs w:val="0"/>
          <w:spacing w:val="51"/>
          <w:sz w:val="21"/>
          <w:szCs w:val="21"/>
        </w:rPr>
        <w:t xml:space="preserve"> </w:t>
      </w:r>
      <w:r w:rsidRPr="00B94CD4">
        <w:rPr>
          <w:rFonts w:ascii="Abadi" w:hAnsi="Abadi"/>
          <w:b w:val="0"/>
          <w:bCs w:val="0"/>
          <w:sz w:val="21"/>
          <w:szCs w:val="21"/>
        </w:rPr>
        <w:t>la</w:t>
      </w:r>
      <w:r w:rsidRPr="00B94CD4">
        <w:rPr>
          <w:rFonts w:ascii="Abadi" w:hAnsi="Abadi"/>
          <w:b w:val="0"/>
          <w:bCs w:val="0"/>
          <w:spacing w:val="-1"/>
          <w:sz w:val="21"/>
          <w:szCs w:val="21"/>
        </w:rPr>
        <w:t xml:space="preserve"> </w:t>
      </w:r>
      <w:r w:rsidRPr="00B94CD4">
        <w:rPr>
          <w:rFonts w:ascii="Abadi" w:hAnsi="Abadi"/>
          <w:b w:val="0"/>
          <w:bCs w:val="0"/>
          <w:sz w:val="21"/>
          <w:szCs w:val="21"/>
        </w:rPr>
        <w:t xml:space="preserve">misma. </w:t>
      </w:r>
      <w:r w:rsidRPr="00B94CD4">
        <w:rPr>
          <w:rFonts w:ascii="Abadi" w:hAnsi="Abadi"/>
          <w:sz w:val="21"/>
          <w:szCs w:val="21"/>
        </w:rPr>
        <w:t>XVII.-</w:t>
      </w:r>
      <w:r w:rsidRPr="00B94CD4">
        <w:rPr>
          <w:rFonts w:ascii="Abadi" w:hAnsi="Abadi"/>
          <w:b w:val="0"/>
          <w:bCs w:val="0"/>
          <w:sz w:val="21"/>
          <w:szCs w:val="21"/>
        </w:rPr>
        <w:t xml:space="preserve"> Presentación</w:t>
      </w:r>
      <w:r w:rsidRPr="00B94CD4">
        <w:rPr>
          <w:rFonts w:ascii="Abadi" w:hAnsi="Abadi"/>
          <w:b w:val="0"/>
          <w:bCs w:val="0"/>
          <w:spacing w:val="40"/>
          <w:sz w:val="21"/>
          <w:szCs w:val="21"/>
        </w:rPr>
        <w:t xml:space="preserve"> </w:t>
      </w:r>
      <w:r w:rsidRPr="00B94CD4">
        <w:rPr>
          <w:rFonts w:ascii="Abadi" w:hAnsi="Abadi"/>
          <w:b w:val="0"/>
          <w:bCs w:val="0"/>
          <w:sz w:val="21"/>
          <w:szCs w:val="21"/>
        </w:rPr>
        <w:t>de</w:t>
      </w:r>
      <w:r w:rsidRPr="00B94CD4">
        <w:rPr>
          <w:rFonts w:ascii="Abadi" w:hAnsi="Abadi"/>
          <w:b w:val="0"/>
          <w:bCs w:val="0"/>
          <w:spacing w:val="40"/>
          <w:sz w:val="21"/>
          <w:szCs w:val="21"/>
        </w:rPr>
        <w:t xml:space="preserve"> </w:t>
      </w:r>
      <w:r w:rsidRPr="00B94CD4">
        <w:rPr>
          <w:rFonts w:ascii="Abadi" w:hAnsi="Abadi"/>
          <w:b w:val="0"/>
          <w:bCs w:val="0"/>
          <w:sz w:val="21"/>
          <w:szCs w:val="21"/>
        </w:rPr>
        <w:t>la</w:t>
      </w:r>
      <w:r w:rsidRPr="00B94CD4">
        <w:rPr>
          <w:rFonts w:ascii="Abadi" w:hAnsi="Abadi"/>
          <w:b w:val="0"/>
          <w:bCs w:val="0"/>
          <w:spacing w:val="40"/>
          <w:sz w:val="21"/>
          <w:szCs w:val="21"/>
        </w:rPr>
        <w:t xml:space="preserve"> </w:t>
      </w:r>
      <w:r w:rsidRPr="00B94CD4">
        <w:rPr>
          <w:rFonts w:ascii="Abadi" w:hAnsi="Abadi"/>
          <w:b w:val="0"/>
          <w:bCs w:val="0"/>
          <w:sz w:val="21"/>
          <w:szCs w:val="21"/>
        </w:rPr>
        <w:t>propuesta</w:t>
      </w:r>
      <w:r w:rsidRPr="00B94CD4">
        <w:rPr>
          <w:rFonts w:ascii="Abadi" w:hAnsi="Abadi"/>
          <w:b w:val="0"/>
          <w:bCs w:val="0"/>
          <w:spacing w:val="40"/>
          <w:sz w:val="21"/>
          <w:szCs w:val="21"/>
        </w:rPr>
        <w:t xml:space="preserve"> </w:t>
      </w:r>
      <w:r w:rsidRPr="00B94CD4">
        <w:rPr>
          <w:rFonts w:ascii="Abadi" w:hAnsi="Abadi"/>
          <w:b w:val="0"/>
          <w:bCs w:val="0"/>
          <w:sz w:val="21"/>
          <w:szCs w:val="21"/>
        </w:rPr>
        <w:t>formulada</w:t>
      </w:r>
      <w:r w:rsidRPr="00B94CD4">
        <w:rPr>
          <w:rFonts w:ascii="Abadi" w:hAnsi="Abadi"/>
          <w:b w:val="0"/>
          <w:bCs w:val="0"/>
          <w:spacing w:val="40"/>
          <w:sz w:val="21"/>
          <w:szCs w:val="21"/>
        </w:rPr>
        <w:t xml:space="preserve"> </w:t>
      </w:r>
      <w:r w:rsidRPr="00B94CD4">
        <w:rPr>
          <w:rFonts w:ascii="Abadi" w:hAnsi="Abadi"/>
          <w:b w:val="0"/>
          <w:bCs w:val="0"/>
          <w:sz w:val="21"/>
          <w:szCs w:val="21"/>
        </w:rPr>
        <w:t>por</w:t>
      </w:r>
      <w:r w:rsidRPr="00B94CD4">
        <w:rPr>
          <w:rFonts w:ascii="Abadi" w:hAnsi="Abadi"/>
          <w:b w:val="0"/>
          <w:bCs w:val="0"/>
          <w:spacing w:val="40"/>
          <w:sz w:val="21"/>
          <w:szCs w:val="21"/>
        </w:rPr>
        <w:t xml:space="preserve"> </w:t>
      </w:r>
      <w:r w:rsidRPr="00B94CD4">
        <w:rPr>
          <w:rFonts w:ascii="Abadi" w:hAnsi="Abadi"/>
          <w:b w:val="0"/>
          <w:bCs w:val="0"/>
          <w:sz w:val="21"/>
          <w:szCs w:val="21"/>
        </w:rPr>
        <w:t>la</w:t>
      </w:r>
      <w:r w:rsidRPr="00B94CD4">
        <w:rPr>
          <w:rFonts w:ascii="Abadi" w:hAnsi="Abadi"/>
          <w:b w:val="0"/>
          <w:bCs w:val="0"/>
          <w:spacing w:val="40"/>
          <w:sz w:val="21"/>
          <w:szCs w:val="21"/>
        </w:rPr>
        <w:t xml:space="preserve"> </w:t>
      </w:r>
      <w:r w:rsidRPr="00B94CD4">
        <w:rPr>
          <w:rFonts w:ascii="Abadi" w:hAnsi="Abadi"/>
          <w:b w:val="0"/>
          <w:bCs w:val="0"/>
          <w:sz w:val="21"/>
          <w:szCs w:val="21"/>
        </w:rPr>
        <w:t>diputada</w:t>
      </w:r>
      <w:r w:rsidRPr="00B94CD4">
        <w:rPr>
          <w:rFonts w:ascii="Abadi" w:hAnsi="Abadi"/>
          <w:b w:val="0"/>
          <w:bCs w:val="0"/>
          <w:spacing w:val="40"/>
          <w:sz w:val="21"/>
          <w:szCs w:val="21"/>
        </w:rPr>
        <w:t xml:space="preserve"> </w:t>
      </w:r>
      <w:r w:rsidRPr="00B94CD4">
        <w:rPr>
          <w:rFonts w:ascii="Abadi" w:hAnsi="Abadi"/>
          <w:b w:val="0"/>
          <w:bCs w:val="0"/>
          <w:sz w:val="21"/>
          <w:szCs w:val="21"/>
        </w:rPr>
        <w:t>y</w:t>
      </w:r>
      <w:r w:rsidRPr="00B94CD4">
        <w:rPr>
          <w:rFonts w:ascii="Abadi" w:hAnsi="Abadi"/>
          <w:b w:val="0"/>
          <w:bCs w:val="0"/>
          <w:spacing w:val="40"/>
          <w:sz w:val="21"/>
          <w:szCs w:val="21"/>
        </w:rPr>
        <w:t xml:space="preserve"> </w:t>
      </w:r>
      <w:r w:rsidRPr="00B94CD4">
        <w:rPr>
          <w:rFonts w:ascii="Abadi" w:hAnsi="Abadi"/>
          <w:b w:val="0"/>
          <w:bCs w:val="0"/>
          <w:sz w:val="21"/>
          <w:szCs w:val="21"/>
        </w:rPr>
        <w:t>los</w:t>
      </w:r>
      <w:r w:rsidRPr="00B94CD4">
        <w:rPr>
          <w:rFonts w:ascii="Abadi" w:hAnsi="Abadi"/>
          <w:b w:val="0"/>
          <w:bCs w:val="0"/>
          <w:spacing w:val="40"/>
          <w:sz w:val="21"/>
          <w:szCs w:val="21"/>
        </w:rPr>
        <w:t xml:space="preserve"> </w:t>
      </w:r>
      <w:r w:rsidRPr="00B94CD4">
        <w:rPr>
          <w:rFonts w:ascii="Abadi" w:hAnsi="Abadi"/>
          <w:b w:val="0"/>
          <w:bCs w:val="0"/>
          <w:sz w:val="21"/>
          <w:szCs w:val="21"/>
        </w:rPr>
        <w:t>diputados integrantes</w:t>
      </w:r>
      <w:r w:rsidRPr="00B94CD4">
        <w:rPr>
          <w:rFonts w:ascii="Abadi" w:hAnsi="Abadi"/>
          <w:b w:val="0"/>
          <w:bCs w:val="0"/>
          <w:spacing w:val="33"/>
          <w:sz w:val="21"/>
          <w:szCs w:val="21"/>
        </w:rPr>
        <w:t xml:space="preserve"> </w:t>
      </w:r>
      <w:r w:rsidRPr="00B94CD4">
        <w:rPr>
          <w:rFonts w:ascii="Abadi" w:hAnsi="Abadi"/>
          <w:b w:val="0"/>
          <w:bCs w:val="0"/>
          <w:sz w:val="21"/>
          <w:szCs w:val="21"/>
        </w:rPr>
        <w:t>de</w:t>
      </w:r>
      <w:r w:rsidRPr="00B94CD4">
        <w:rPr>
          <w:rFonts w:ascii="Abadi" w:hAnsi="Abadi"/>
          <w:b w:val="0"/>
          <w:bCs w:val="0"/>
          <w:spacing w:val="33"/>
          <w:sz w:val="21"/>
          <w:szCs w:val="21"/>
        </w:rPr>
        <w:t xml:space="preserve"> </w:t>
      </w:r>
      <w:r w:rsidRPr="00B94CD4">
        <w:rPr>
          <w:rFonts w:ascii="Abadi" w:hAnsi="Abadi"/>
          <w:b w:val="0"/>
          <w:bCs w:val="0"/>
          <w:sz w:val="21"/>
          <w:szCs w:val="21"/>
        </w:rPr>
        <w:t>la</w:t>
      </w:r>
      <w:r w:rsidRPr="00B94CD4">
        <w:rPr>
          <w:rFonts w:ascii="Abadi" w:hAnsi="Abadi"/>
          <w:b w:val="0"/>
          <w:bCs w:val="0"/>
          <w:spacing w:val="33"/>
          <w:sz w:val="21"/>
          <w:szCs w:val="21"/>
        </w:rPr>
        <w:t xml:space="preserve"> </w:t>
      </w:r>
      <w:r w:rsidRPr="00B94CD4">
        <w:rPr>
          <w:rFonts w:ascii="Abadi" w:hAnsi="Abadi"/>
          <w:b w:val="0"/>
          <w:bCs w:val="0"/>
          <w:sz w:val="21"/>
          <w:szCs w:val="21"/>
        </w:rPr>
        <w:t>Junta</w:t>
      </w:r>
      <w:r w:rsidRPr="00B94CD4">
        <w:rPr>
          <w:rFonts w:ascii="Abadi" w:hAnsi="Abadi"/>
          <w:b w:val="0"/>
          <w:bCs w:val="0"/>
          <w:spacing w:val="33"/>
          <w:sz w:val="21"/>
          <w:szCs w:val="21"/>
        </w:rPr>
        <w:t xml:space="preserve"> </w:t>
      </w:r>
      <w:r w:rsidRPr="00B94CD4">
        <w:rPr>
          <w:rFonts w:ascii="Abadi" w:hAnsi="Abadi"/>
          <w:b w:val="0"/>
          <w:bCs w:val="0"/>
          <w:sz w:val="21"/>
          <w:szCs w:val="21"/>
        </w:rPr>
        <w:t>de</w:t>
      </w:r>
      <w:r w:rsidRPr="00B94CD4">
        <w:rPr>
          <w:rFonts w:ascii="Abadi" w:hAnsi="Abadi"/>
          <w:b w:val="0"/>
          <w:bCs w:val="0"/>
          <w:spacing w:val="33"/>
          <w:sz w:val="21"/>
          <w:szCs w:val="21"/>
        </w:rPr>
        <w:t xml:space="preserve"> </w:t>
      </w:r>
      <w:r w:rsidRPr="00B94CD4">
        <w:rPr>
          <w:rFonts w:ascii="Abadi" w:hAnsi="Abadi"/>
          <w:b w:val="0"/>
          <w:bCs w:val="0"/>
          <w:sz w:val="21"/>
          <w:szCs w:val="21"/>
        </w:rPr>
        <w:t>Gobierno</w:t>
      </w:r>
      <w:r w:rsidRPr="00B94CD4">
        <w:rPr>
          <w:rFonts w:ascii="Abadi" w:hAnsi="Abadi"/>
          <w:b w:val="0"/>
          <w:bCs w:val="0"/>
          <w:spacing w:val="33"/>
          <w:sz w:val="21"/>
          <w:szCs w:val="21"/>
        </w:rPr>
        <w:t xml:space="preserve"> </w:t>
      </w:r>
      <w:r w:rsidRPr="00B94CD4">
        <w:rPr>
          <w:rFonts w:ascii="Abadi" w:hAnsi="Abadi"/>
          <w:b w:val="0"/>
          <w:bCs w:val="0"/>
          <w:sz w:val="21"/>
          <w:szCs w:val="21"/>
        </w:rPr>
        <w:t>y</w:t>
      </w:r>
      <w:r w:rsidRPr="00B94CD4">
        <w:rPr>
          <w:rFonts w:ascii="Abadi" w:hAnsi="Abadi"/>
          <w:b w:val="0"/>
          <w:bCs w:val="0"/>
          <w:spacing w:val="33"/>
          <w:sz w:val="21"/>
          <w:szCs w:val="21"/>
        </w:rPr>
        <w:t xml:space="preserve"> </w:t>
      </w:r>
      <w:r w:rsidRPr="00B94CD4">
        <w:rPr>
          <w:rFonts w:ascii="Abadi" w:hAnsi="Abadi"/>
          <w:b w:val="0"/>
          <w:bCs w:val="0"/>
          <w:sz w:val="21"/>
          <w:szCs w:val="21"/>
        </w:rPr>
        <w:t>Coordinación</w:t>
      </w:r>
      <w:r w:rsidRPr="00B94CD4">
        <w:rPr>
          <w:rFonts w:ascii="Abadi" w:hAnsi="Abadi"/>
          <w:b w:val="0"/>
          <w:bCs w:val="0"/>
          <w:spacing w:val="33"/>
          <w:sz w:val="21"/>
          <w:szCs w:val="21"/>
        </w:rPr>
        <w:t xml:space="preserve"> </w:t>
      </w:r>
      <w:r w:rsidRPr="00B94CD4">
        <w:rPr>
          <w:rFonts w:ascii="Abadi" w:hAnsi="Abadi"/>
          <w:b w:val="0"/>
          <w:bCs w:val="0"/>
          <w:sz w:val="21"/>
          <w:szCs w:val="21"/>
        </w:rPr>
        <w:t>Política,</w:t>
      </w:r>
      <w:r w:rsidRPr="00B94CD4">
        <w:rPr>
          <w:rFonts w:ascii="Abadi" w:hAnsi="Abadi"/>
          <w:b w:val="0"/>
          <w:bCs w:val="0"/>
          <w:spacing w:val="33"/>
          <w:sz w:val="21"/>
          <w:szCs w:val="21"/>
        </w:rPr>
        <w:t xml:space="preserve"> </w:t>
      </w:r>
      <w:r w:rsidRPr="00B94CD4">
        <w:rPr>
          <w:rFonts w:ascii="Abadi" w:hAnsi="Abadi"/>
          <w:b w:val="0"/>
          <w:bCs w:val="0"/>
          <w:sz w:val="21"/>
          <w:szCs w:val="21"/>
        </w:rPr>
        <w:t>relativa</w:t>
      </w:r>
      <w:r w:rsidRPr="00B94CD4">
        <w:rPr>
          <w:rFonts w:ascii="Abadi" w:hAnsi="Abadi"/>
          <w:b w:val="0"/>
          <w:bCs w:val="0"/>
          <w:spacing w:val="33"/>
          <w:sz w:val="21"/>
          <w:szCs w:val="21"/>
        </w:rPr>
        <w:t xml:space="preserve"> </w:t>
      </w:r>
      <w:r w:rsidRPr="00B94CD4">
        <w:rPr>
          <w:rFonts w:ascii="Abadi" w:hAnsi="Abadi"/>
          <w:b w:val="0"/>
          <w:bCs w:val="0"/>
          <w:sz w:val="21"/>
          <w:szCs w:val="21"/>
        </w:rPr>
        <w:t>a</w:t>
      </w:r>
      <w:r w:rsidRPr="00B94CD4">
        <w:rPr>
          <w:rFonts w:ascii="Abadi" w:hAnsi="Abadi"/>
          <w:b w:val="0"/>
          <w:bCs w:val="0"/>
          <w:spacing w:val="33"/>
          <w:sz w:val="21"/>
          <w:szCs w:val="21"/>
        </w:rPr>
        <w:t xml:space="preserve"> </w:t>
      </w:r>
      <w:r w:rsidRPr="00B94CD4">
        <w:rPr>
          <w:rFonts w:ascii="Abadi" w:hAnsi="Abadi"/>
          <w:b w:val="0"/>
          <w:bCs w:val="0"/>
          <w:sz w:val="21"/>
          <w:szCs w:val="21"/>
        </w:rPr>
        <w:t>la modificación</w:t>
      </w:r>
      <w:r w:rsidRPr="00B94CD4">
        <w:rPr>
          <w:rFonts w:ascii="Abadi" w:hAnsi="Abadi"/>
          <w:b w:val="0"/>
          <w:bCs w:val="0"/>
          <w:spacing w:val="-3"/>
          <w:sz w:val="21"/>
          <w:szCs w:val="21"/>
        </w:rPr>
        <w:t xml:space="preserve"> </w:t>
      </w:r>
      <w:r w:rsidRPr="00B94CD4">
        <w:rPr>
          <w:rFonts w:ascii="Abadi" w:hAnsi="Abadi"/>
          <w:b w:val="0"/>
          <w:bCs w:val="0"/>
          <w:sz w:val="21"/>
          <w:szCs w:val="21"/>
        </w:rPr>
        <w:t>de</w:t>
      </w:r>
      <w:r w:rsidRPr="00B94CD4">
        <w:rPr>
          <w:rFonts w:ascii="Abadi" w:hAnsi="Abadi"/>
          <w:b w:val="0"/>
          <w:bCs w:val="0"/>
          <w:spacing w:val="-3"/>
          <w:sz w:val="21"/>
          <w:szCs w:val="21"/>
        </w:rPr>
        <w:t xml:space="preserve"> </w:t>
      </w:r>
      <w:r w:rsidRPr="00B94CD4">
        <w:rPr>
          <w:rFonts w:ascii="Abadi" w:hAnsi="Abadi"/>
          <w:b w:val="0"/>
          <w:bCs w:val="0"/>
          <w:sz w:val="21"/>
          <w:szCs w:val="21"/>
        </w:rPr>
        <w:t>la</w:t>
      </w:r>
      <w:r w:rsidRPr="00B94CD4">
        <w:rPr>
          <w:rFonts w:ascii="Abadi" w:hAnsi="Abadi"/>
          <w:b w:val="0"/>
          <w:bCs w:val="0"/>
          <w:spacing w:val="-3"/>
          <w:sz w:val="21"/>
          <w:szCs w:val="21"/>
        </w:rPr>
        <w:t xml:space="preserve"> </w:t>
      </w:r>
      <w:r w:rsidRPr="00B94CD4">
        <w:rPr>
          <w:rFonts w:ascii="Abadi" w:hAnsi="Abadi"/>
          <w:b w:val="0"/>
          <w:bCs w:val="0"/>
          <w:sz w:val="21"/>
          <w:szCs w:val="21"/>
        </w:rPr>
        <w:t>integración</w:t>
      </w:r>
      <w:r w:rsidRPr="00B94CD4">
        <w:rPr>
          <w:rFonts w:ascii="Abadi" w:hAnsi="Abadi"/>
          <w:b w:val="0"/>
          <w:bCs w:val="0"/>
          <w:spacing w:val="-3"/>
          <w:sz w:val="21"/>
          <w:szCs w:val="21"/>
        </w:rPr>
        <w:t xml:space="preserve"> </w:t>
      </w:r>
      <w:r w:rsidRPr="00B94CD4">
        <w:rPr>
          <w:rFonts w:ascii="Abadi" w:hAnsi="Abadi"/>
          <w:b w:val="0"/>
          <w:bCs w:val="0"/>
          <w:sz w:val="21"/>
          <w:szCs w:val="21"/>
        </w:rPr>
        <w:t>de</w:t>
      </w:r>
      <w:r w:rsidRPr="00B94CD4">
        <w:rPr>
          <w:rFonts w:ascii="Abadi" w:hAnsi="Abadi"/>
          <w:b w:val="0"/>
          <w:bCs w:val="0"/>
          <w:spacing w:val="-3"/>
          <w:sz w:val="21"/>
          <w:szCs w:val="21"/>
        </w:rPr>
        <w:t xml:space="preserve"> </w:t>
      </w:r>
      <w:r w:rsidRPr="00B94CD4">
        <w:rPr>
          <w:rFonts w:ascii="Abadi" w:hAnsi="Abadi"/>
          <w:b w:val="0"/>
          <w:bCs w:val="0"/>
          <w:sz w:val="21"/>
          <w:szCs w:val="21"/>
        </w:rPr>
        <w:t>la</w:t>
      </w:r>
      <w:r w:rsidRPr="00B94CD4">
        <w:rPr>
          <w:rFonts w:ascii="Abadi" w:hAnsi="Abadi"/>
          <w:b w:val="0"/>
          <w:bCs w:val="0"/>
          <w:spacing w:val="-3"/>
          <w:sz w:val="21"/>
          <w:szCs w:val="21"/>
        </w:rPr>
        <w:t xml:space="preserve"> </w:t>
      </w:r>
      <w:r w:rsidRPr="00B94CD4">
        <w:rPr>
          <w:rFonts w:ascii="Abadi" w:hAnsi="Abadi"/>
          <w:b w:val="0"/>
          <w:bCs w:val="0"/>
          <w:sz w:val="21"/>
          <w:szCs w:val="21"/>
        </w:rPr>
        <w:t>Comisión</w:t>
      </w:r>
      <w:r w:rsidRPr="00B94CD4">
        <w:rPr>
          <w:rFonts w:ascii="Abadi" w:hAnsi="Abadi"/>
          <w:b w:val="0"/>
          <w:bCs w:val="0"/>
          <w:spacing w:val="-3"/>
          <w:sz w:val="21"/>
          <w:szCs w:val="21"/>
        </w:rPr>
        <w:t xml:space="preserve"> </w:t>
      </w:r>
      <w:r w:rsidRPr="00B94CD4">
        <w:rPr>
          <w:rFonts w:ascii="Abadi" w:hAnsi="Abadi"/>
          <w:b w:val="0"/>
          <w:bCs w:val="0"/>
          <w:sz w:val="21"/>
          <w:szCs w:val="21"/>
        </w:rPr>
        <w:t>para</w:t>
      </w:r>
      <w:r w:rsidRPr="00B94CD4">
        <w:rPr>
          <w:rFonts w:ascii="Abadi" w:hAnsi="Abadi"/>
          <w:b w:val="0"/>
          <w:bCs w:val="0"/>
          <w:spacing w:val="-3"/>
          <w:sz w:val="21"/>
          <w:szCs w:val="21"/>
        </w:rPr>
        <w:t xml:space="preserve"> </w:t>
      </w:r>
      <w:r w:rsidRPr="00B94CD4">
        <w:rPr>
          <w:rFonts w:ascii="Abadi" w:hAnsi="Abadi"/>
          <w:b w:val="0"/>
          <w:bCs w:val="0"/>
          <w:sz w:val="21"/>
          <w:szCs w:val="21"/>
        </w:rPr>
        <w:t>la</w:t>
      </w:r>
      <w:r w:rsidRPr="00B94CD4">
        <w:rPr>
          <w:rFonts w:ascii="Abadi" w:hAnsi="Abadi"/>
          <w:b w:val="0"/>
          <w:bCs w:val="0"/>
          <w:spacing w:val="-3"/>
          <w:sz w:val="21"/>
          <w:szCs w:val="21"/>
        </w:rPr>
        <w:t xml:space="preserve"> </w:t>
      </w:r>
      <w:r w:rsidRPr="00B94CD4">
        <w:rPr>
          <w:rFonts w:ascii="Abadi" w:hAnsi="Abadi"/>
          <w:b w:val="0"/>
          <w:bCs w:val="0"/>
          <w:sz w:val="21"/>
          <w:szCs w:val="21"/>
        </w:rPr>
        <w:t>Igualdad</w:t>
      </w:r>
      <w:r w:rsidRPr="00B94CD4">
        <w:rPr>
          <w:rFonts w:ascii="Abadi" w:hAnsi="Abadi"/>
          <w:b w:val="0"/>
          <w:bCs w:val="0"/>
          <w:spacing w:val="-3"/>
          <w:sz w:val="21"/>
          <w:szCs w:val="21"/>
        </w:rPr>
        <w:t xml:space="preserve"> </w:t>
      </w:r>
      <w:r w:rsidRPr="00B94CD4">
        <w:rPr>
          <w:rFonts w:ascii="Abadi" w:hAnsi="Abadi"/>
          <w:b w:val="0"/>
          <w:bCs w:val="0"/>
          <w:sz w:val="21"/>
          <w:szCs w:val="21"/>
        </w:rPr>
        <w:t>de</w:t>
      </w:r>
      <w:r w:rsidRPr="00B94CD4">
        <w:rPr>
          <w:rFonts w:ascii="Abadi" w:hAnsi="Abadi"/>
          <w:b w:val="0"/>
          <w:bCs w:val="0"/>
          <w:spacing w:val="-3"/>
          <w:sz w:val="21"/>
          <w:szCs w:val="21"/>
        </w:rPr>
        <w:t xml:space="preserve"> </w:t>
      </w:r>
      <w:r w:rsidRPr="00B94CD4">
        <w:rPr>
          <w:rFonts w:ascii="Abadi" w:hAnsi="Abadi"/>
          <w:b w:val="0"/>
          <w:bCs w:val="0"/>
          <w:sz w:val="21"/>
          <w:szCs w:val="21"/>
        </w:rPr>
        <w:t>Género</w:t>
      </w:r>
      <w:r w:rsidRPr="00B94CD4">
        <w:rPr>
          <w:rFonts w:ascii="Abadi" w:hAnsi="Abadi"/>
          <w:b w:val="0"/>
          <w:bCs w:val="0"/>
          <w:spacing w:val="-3"/>
          <w:sz w:val="21"/>
          <w:szCs w:val="21"/>
        </w:rPr>
        <w:t xml:space="preserve"> </w:t>
      </w:r>
      <w:r w:rsidRPr="00B94CD4">
        <w:rPr>
          <w:rFonts w:ascii="Abadi" w:hAnsi="Abadi"/>
          <w:b w:val="0"/>
          <w:bCs w:val="0"/>
          <w:sz w:val="21"/>
          <w:szCs w:val="21"/>
        </w:rPr>
        <w:t xml:space="preserve">y, en su caso, aprobación de la misma. </w:t>
      </w:r>
      <w:r w:rsidRPr="00B94CD4">
        <w:rPr>
          <w:rFonts w:ascii="Abadi" w:hAnsi="Abadi"/>
          <w:sz w:val="21"/>
          <w:szCs w:val="21"/>
        </w:rPr>
        <w:t>XVIII.-</w:t>
      </w:r>
      <w:r w:rsidRPr="00B94CD4">
        <w:rPr>
          <w:rFonts w:ascii="Abadi" w:hAnsi="Abadi"/>
          <w:b w:val="0"/>
          <w:bCs w:val="0"/>
          <w:sz w:val="21"/>
          <w:szCs w:val="21"/>
        </w:rPr>
        <w:t xml:space="preserve"> Discusión</w:t>
      </w:r>
      <w:r w:rsidRPr="00B94CD4">
        <w:rPr>
          <w:rFonts w:ascii="Abadi" w:hAnsi="Abadi"/>
          <w:b w:val="0"/>
          <w:bCs w:val="0"/>
          <w:spacing w:val="16"/>
          <w:sz w:val="21"/>
          <w:szCs w:val="21"/>
        </w:rPr>
        <w:t xml:space="preserve"> </w:t>
      </w:r>
      <w:r w:rsidRPr="00B94CD4">
        <w:rPr>
          <w:rFonts w:ascii="Abadi" w:hAnsi="Abadi"/>
          <w:b w:val="0"/>
          <w:bCs w:val="0"/>
          <w:sz w:val="21"/>
          <w:szCs w:val="21"/>
        </w:rPr>
        <w:t>y,</w:t>
      </w:r>
      <w:r w:rsidRPr="00B94CD4">
        <w:rPr>
          <w:rFonts w:ascii="Abadi" w:hAnsi="Abadi"/>
          <w:b w:val="0"/>
          <w:bCs w:val="0"/>
          <w:spacing w:val="15"/>
          <w:sz w:val="21"/>
          <w:szCs w:val="21"/>
        </w:rPr>
        <w:t xml:space="preserve"> </w:t>
      </w:r>
      <w:r w:rsidRPr="00B94CD4">
        <w:rPr>
          <w:rFonts w:ascii="Abadi" w:hAnsi="Abadi"/>
          <w:b w:val="0"/>
          <w:bCs w:val="0"/>
          <w:sz w:val="21"/>
          <w:szCs w:val="21"/>
        </w:rPr>
        <w:t>en</w:t>
      </w:r>
      <w:r w:rsidRPr="00B94CD4">
        <w:rPr>
          <w:rFonts w:ascii="Abadi" w:hAnsi="Abadi"/>
          <w:b w:val="0"/>
          <w:bCs w:val="0"/>
          <w:spacing w:val="16"/>
          <w:sz w:val="21"/>
          <w:szCs w:val="21"/>
        </w:rPr>
        <w:t xml:space="preserve"> </w:t>
      </w:r>
      <w:r w:rsidRPr="00B94CD4">
        <w:rPr>
          <w:rFonts w:ascii="Abadi" w:hAnsi="Abadi"/>
          <w:b w:val="0"/>
          <w:bCs w:val="0"/>
          <w:sz w:val="21"/>
          <w:szCs w:val="21"/>
        </w:rPr>
        <w:t>su</w:t>
      </w:r>
      <w:r w:rsidRPr="00B94CD4">
        <w:rPr>
          <w:rFonts w:ascii="Abadi" w:hAnsi="Abadi"/>
          <w:b w:val="0"/>
          <w:bCs w:val="0"/>
          <w:spacing w:val="15"/>
          <w:sz w:val="21"/>
          <w:szCs w:val="21"/>
        </w:rPr>
        <w:t xml:space="preserve"> </w:t>
      </w:r>
      <w:r w:rsidRPr="00B94CD4">
        <w:rPr>
          <w:rFonts w:ascii="Abadi" w:hAnsi="Abadi"/>
          <w:b w:val="0"/>
          <w:bCs w:val="0"/>
          <w:sz w:val="21"/>
          <w:szCs w:val="21"/>
        </w:rPr>
        <w:t>caso,</w:t>
      </w:r>
      <w:r w:rsidRPr="00B94CD4">
        <w:rPr>
          <w:rFonts w:ascii="Abadi" w:hAnsi="Abadi"/>
          <w:b w:val="0"/>
          <w:bCs w:val="0"/>
          <w:spacing w:val="15"/>
          <w:sz w:val="21"/>
          <w:szCs w:val="21"/>
        </w:rPr>
        <w:t xml:space="preserve"> </w:t>
      </w:r>
      <w:r w:rsidRPr="00B94CD4">
        <w:rPr>
          <w:rFonts w:ascii="Abadi" w:hAnsi="Abadi"/>
          <w:b w:val="0"/>
          <w:bCs w:val="0"/>
          <w:sz w:val="21"/>
          <w:szCs w:val="21"/>
        </w:rPr>
        <w:t>aprobación</w:t>
      </w:r>
      <w:r w:rsidRPr="00B94CD4">
        <w:rPr>
          <w:rFonts w:ascii="Abadi" w:hAnsi="Abadi"/>
          <w:b w:val="0"/>
          <w:bCs w:val="0"/>
          <w:spacing w:val="16"/>
          <w:sz w:val="21"/>
          <w:szCs w:val="21"/>
        </w:rPr>
        <w:t xml:space="preserve"> </w:t>
      </w:r>
      <w:r w:rsidRPr="00B94CD4">
        <w:rPr>
          <w:rFonts w:ascii="Abadi" w:hAnsi="Abadi"/>
          <w:b w:val="0"/>
          <w:bCs w:val="0"/>
          <w:sz w:val="21"/>
          <w:szCs w:val="21"/>
        </w:rPr>
        <w:t>del</w:t>
      </w:r>
      <w:r w:rsidRPr="00B94CD4">
        <w:rPr>
          <w:rFonts w:ascii="Abadi" w:hAnsi="Abadi"/>
          <w:b w:val="0"/>
          <w:bCs w:val="0"/>
          <w:spacing w:val="15"/>
          <w:sz w:val="21"/>
          <w:szCs w:val="21"/>
        </w:rPr>
        <w:t xml:space="preserve"> </w:t>
      </w:r>
      <w:r w:rsidRPr="00B94CD4">
        <w:rPr>
          <w:rFonts w:ascii="Abadi" w:hAnsi="Abadi"/>
          <w:b w:val="0"/>
          <w:bCs w:val="0"/>
          <w:sz w:val="21"/>
          <w:szCs w:val="21"/>
        </w:rPr>
        <w:t>dictamen</w:t>
      </w:r>
      <w:r w:rsidRPr="00B94CD4">
        <w:rPr>
          <w:rFonts w:ascii="Abadi" w:hAnsi="Abadi"/>
          <w:b w:val="0"/>
          <w:bCs w:val="0"/>
          <w:spacing w:val="15"/>
          <w:sz w:val="21"/>
          <w:szCs w:val="21"/>
        </w:rPr>
        <w:t xml:space="preserve"> </w:t>
      </w:r>
      <w:r w:rsidRPr="00B94CD4">
        <w:rPr>
          <w:rFonts w:ascii="Abadi" w:hAnsi="Abadi"/>
          <w:b w:val="0"/>
          <w:bCs w:val="0"/>
          <w:sz w:val="21"/>
          <w:szCs w:val="21"/>
        </w:rPr>
        <w:t>emitido</w:t>
      </w:r>
      <w:r w:rsidRPr="00B94CD4">
        <w:rPr>
          <w:rFonts w:ascii="Abadi" w:hAnsi="Abadi"/>
          <w:b w:val="0"/>
          <w:bCs w:val="0"/>
          <w:spacing w:val="15"/>
          <w:sz w:val="21"/>
          <w:szCs w:val="21"/>
        </w:rPr>
        <w:t xml:space="preserve"> </w:t>
      </w:r>
      <w:r w:rsidRPr="00B94CD4">
        <w:rPr>
          <w:rFonts w:ascii="Abadi" w:hAnsi="Abadi"/>
          <w:b w:val="0"/>
          <w:bCs w:val="0"/>
          <w:sz w:val="21"/>
          <w:szCs w:val="21"/>
        </w:rPr>
        <w:t>por</w:t>
      </w:r>
      <w:r w:rsidRPr="00B94CD4">
        <w:rPr>
          <w:rFonts w:ascii="Abadi" w:hAnsi="Abadi"/>
          <w:b w:val="0"/>
          <w:bCs w:val="0"/>
          <w:spacing w:val="15"/>
          <w:sz w:val="21"/>
          <w:szCs w:val="21"/>
        </w:rPr>
        <w:t xml:space="preserve"> </w:t>
      </w:r>
      <w:r w:rsidRPr="00B94CD4">
        <w:rPr>
          <w:rFonts w:ascii="Abadi" w:hAnsi="Abadi"/>
          <w:b w:val="0"/>
          <w:bCs w:val="0"/>
          <w:sz w:val="21"/>
          <w:szCs w:val="21"/>
        </w:rPr>
        <w:t>la</w:t>
      </w:r>
      <w:r w:rsidRPr="00B94CD4">
        <w:rPr>
          <w:rFonts w:ascii="Abadi" w:hAnsi="Abadi"/>
          <w:b w:val="0"/>
          <w:bCs w:val="0"/>
          <w:spacing w:val="16"/>
          <w:sz w:val="21"/>
          <w:szCs w:val="21"/>
        </w:rPr>
        <w:t xml:space="preserve"> </w:t>
      </w:r>
      <w:r w:rsidRPr="00B94CD4">
        <w:rPr>
          <w:rFonts w:ascii="Abadi" w:hAnsi="Abadi"/>
          <w:b w:val="0"/>
          <w:bCs w:val="0"/>
          <w:sz w:val="21"/>
          <w:szCs w:val="21"/>
        </w:rPr>
        <w:t>Comisión</w:t>
      </w:r>
      <w:r w:rsidRPr="00B94CD4">
        <w:rPr>
          <w:rFonts w:ascii="Abadi" w:hAnsi="Abadi"/>
          <w:b w:val="0"/>
          <w:bCs w:val="0"/>
          <w:spacing w:val="-2"/>
          <w:sz w:val="21"/>
          <w:szCs w:val="21"/>
        </w:rPr>
        <w:t xml:space="preserve"> </w:t>
      </w:r>
      <w:r w:rsidRPr="00B94CD4">
        <w:rPr>
          <w:rFonts w:ascii="Abadi" w:hAnsi="Abadi"/>
          <w:b w:val="0"/>
          <w:bCs w:val="0"/>
          <w:sz w:val="21"/>
          <w:szCs w:val="21"/>
        </w:rPr>
        <w:t>de</w:t>
      </w:r>
      <w:r w:rsidRPr="00B94CD4">
        <w:rPr>
          <w:rFonts w:ascii="Abadi" w:hAnsi="Abadi"/>
          <w:b w:val="0"/>
          <w:bCs w:val="0"/>
          <w:spacing w:val="57"/>
          <w:sz w:val="21"/>
          <w:szCs w:val="21"/>
        </w:rPr>
        <w:t xml:space="preserve"> </w:t>
      </w:r>
      <w:r w:rsidRPr="00B94CD4">
        <w:rPr>
          <w:rFonts w:ascii="Abadi" w:hAnsi="Abadi"/>
          <w:b w:val="0"/>
          <w:bCs w:val="0"/>
          <w:sz w:val="21"/>
          <w:szCs w:val="21"/>
        </w:rPr>
        <w:t>Fomento</w:t>
      </w:r>
      <w:r w:rsidRPr="00B94CD4">
        <w:rPr>
          <w:rFonts w:ascii="Abadi" w:hAnsi="Abadi"/>
          <w:b w:val="0"/>
          <w:bCs w:val="0"/>
          <w:spacing w:val="57"/>
          <w:sz w:val="21"/>
          <w:szCs w:val="21"/>
        </w:rPr>
        <w:t xml:space="preserve"> </w:t>
      </w:r>
      <w:r w:rsidRPr="00B94CD4">
        <w:rPr>
          <w:rFonts w:ascii="Abadi" w:hAnsi="Abadi"/>
          <w:b w:val="0"/>
          <w:bCs w:val="0"/>
          <w:sz w:val="21"/>
          <w:szCs w:val="21"/>
        </w:rPr>
        <w:t>Agropecuario</w:t>
      </w:r>
      <w:r w:rsidRPr="00B94CD4">
        <w:rPr>
          <w:rFonts w:ascii="Abadi" w:hAnsi="Abadi"/>
          <w:b w:val="0"/>
          <w:bCs w:val="0"/>
          <w:spacing w:val="57"/>
          <w:sz w:val="21"/>
          <w:szCs w:val="21"/>
        </w:rPr>
        <w:t xml:space="preserve"> </w:t>
      </w:r>
      <w:r w:rsidRPr="00B94CD4">
        <w:rPr>
          <w:rFonts w:ascii="Abadi" w:hAnsi="Abadi"/>
          <w:b w:val="0"/>
          <w:bCs w:val="0"/>
          <w:sz w:val="21"/>
          <w:szCs w:val="21"/>
        </w:rPr>
        <w:t>relativo</w:t>
      </w:r>
      <w:r w:rsidRPr="00B94CD4">
        <w:rPr>
          <w:rFonts w:ascii="Abadi" w:hAnsi="Abadi"/>
          <w:b w:val="0"/>
          <w:bCs w:val="0"/>
          <w:spacing w:val="57"/>
          <w:sz w:val="21"/>
          <w:szCs w:val="21"/>
        </w:rPr>
        <w:t xml:space="preserve"> </w:t>
      </w:r>
      <w:r w:rsidRPr="00B94CD4">
        <w:rPr>
          <w:rFonts w:ascii="Abadi" w:hAnsi="Abadi"/>
          <w:b w:val="0"/>
          <w:bCs w:val="0"/>
          <w:sz w:val="21"/>
          <w:szCs w:val="21"/>
        </w:rPr>
        <w:t>a</w:t>
      </w:r>
      <w:r w:rsidRPr="00B94CD4">
        <w:rPr>
          <w:rFonts w:ascii="Abadi" w:hAnsi="Abadi"/>
          <w:b w:val="0"/>
          <w:bCs w:val="0"/>
          <w:spacing w:val="57"/>
          <w:sz w:val="21"/>
          <w:szCs w:val="21"/>
        </w:rPr>
        <w:t xml:space="preserve"> </w:t>
      </w:r>
      <w:r w:rsidRPr="00B94CD4">
        <w:rPr>
          <w:rFonts w:ascii="Abadi" w:hAnsi="Abadi"/>
          <w:b w:val="0"/>
          <w:bCs w:val="0"/>
          <w:sz w:val="21"/>
          <w:szCs w:val="21"/>
        </w:rPr>
        <w:t>la</w:t>
      </w:r>
      <w:r w:rsidRPr="00B94CD4">
        <w:rPr>
          <w:rFonts w:ascii="Abadi" w:hAnsi="Abadi"/>
          <w:b w:val="0"/>
          <w:bCs w:val="0"/>
          <w:spacing w:val="57"/>
          <w:sz w:val="21"/>
          <w:szCs w:val="21"/>
        </w:rPr>
        <w:t xml:space="preserve"> </w:t>
      </w:r>
      <w:r w:rsidRPr="00B94CD4">
        <w:rPr>
          <w:rFonts w:ascii="Abadi" w:hAnsi="Abadi"/>
          <w:b w:val="0"/>
          <w:bCs w:val="0"/>
          <w:sz w:val="21"/>
          <w:szCs w:val="21"/>
        </w:rPr>
        <w:t>propuesta</w:t>
      </w:r>
      <w:r w:rsidRPr="00B94CD4">
        <w:rPr>
          <w:rFonts w:ascii="Abadi" w:hAnsi="Abadi"/>
          <w:b w:val="0"/>
          <w:bCs w:val="0"/>
          <w:spacing w:val="57"/>
          <w:sz w:val="21"/>
          <w:szCs w:val="21"/>
        </w:rPr>
        <w:t xml:space="preserve"> </w:t>
      </w:r>
      <w:r w:rsidRPr="00B94CD4">
        <w:rPr>
          <w:rFonts w:ascii="Abadi" w:hAnsi="Abadi"/>
          <w:b w:val="0"/>
          <w:bCs w:val="0"/>
          <w:sz w:val="21"/>
          <w:szCs w:val="21"/>
        </w:rPr>
        <w:t>de</w:t>
      </w:r>
      <w:r w:rsidRPr="00B94CD4">
        <w:rPr>
          <w:rFonts w:ascii="Abadi" w:hAnsi="Abadi"/>
          <w:b w:val="0"/>
          <w:bCs w:val="0"/>
          <w:spacing w:val="57"/>
          <w:sz w:val="21"/>
          <w:szCs w:val="21"/>
        </w:rPr>
        <w:t xml:space="preserve"> </w:t>
      </w:r>
      <w:r w:rsidRPr="00B94CD4">
        <w:rPr>
          <w:rFonts w:ascii="Abadi" w:hAnsi="Abadi"/>
          <w:b w:val="0"/>
          <w:bCs w:val="0"/>
          <w:sz w:val="21"/>
          <w:szCs w:val="21"/>
        </w:rPr>
        <w:t>punto</w:t>
      </w:r>
      <w:r w:rsidRPr="00B94CD4">
        <w:rPr>
          <w:rFonts w:ascii="Abadi" w:hAnsi="Abadi"/>
          <w:b w:val="0"/>
          <w:bCs w:val="0"/>
          <w:spacing w:val="57"/>
          <w:sz w:val="21"/>
          <w:szCs w:val="21"/>
        </w:rPr>
        <w:t xml:space="preserve"> </w:t>
      </w:r>
      <w:r w:rsidRPr="00B94CD4">
        <w:rPr>
          <w:rFonts w:ascii="Abadi" w:hAnsi="Abadi"/>
          <w:b w:val="0"/>
          <w:bCs w:val="0"/>
          <w:sz w:val="21"/>
          <w:szCs w:val="21"/>
        </w:rPr>
        <w:t>de</w:t>
      </w:r>
      <w:r w:rsidRPr="00B94CD4">
        <w:rPr>
          <w:rFonts w:ascii="Abadi" w:hAnsi="Abadi"/>
          <w:b w:val="0"/>
          <w:bCs w:val="0"/>
          <w:spacing w:val="57"/>
          <w:sz w:val="21"/>
          <w:szCs w:val="21"/>
        </w:rPr>
        <w:t xml:space="preserve"> </w:t>
      </w:r>
      <w:r w:rsidRPr="00B94CD4">
        <w:rPr>
          <w:rFonts w:ascii="Abadi" w:hAnsi="Abadi"/>
          <w:b w:val="0"/>
          <w:bCs w:val="0"/>
          <w:sz w:val="21"/>
          <w:szCs w:val="21"/>
        </w:rPr>
        <w:t>acuerdo</w:t>
      </w:r>
      <w:r w:rsidRPr="00B94CD4">
        <w:rPr>
          <w:rFonts w:ascii="Abadi" w:hAnsi="Abadi"/>
          <w:b w:val="0"/>
          <w:bCs w:val="0"/>
          <w:spacing w:val="-2"/>
          <w:sz w:val="21"/>
          <w:szCs w:val="21"/>
        </w:rPr>
        <w:t xml:space="preserve"> </w:t>
      </w:r>
      <w:r w:rsidRPr="00B94CD4">
        <w:rPr>
          <w:rFonts w:ascii="Abadi" w:hAnsi="Abadi"/>
          <w:b w:val="0"/>
          <w:bCs w:val="0"/>
          <w:sz w:val="21"/>
          <w:szCs w:val="21"/>
        </w:rPr>
        <w:t>formulada</w:t>
      </w:r>
      <w:r w:rsidRPr="00B94CD4">
        <w:rPr>
          <w:rFonts w:ascii="Abadi" w:hAnsi="Abadi"/>
          <w:b w:val="0"/>
          <w:bCs w:val="0"/>
          <w:spacing w:val="25"/>
          <w:sz w:val="21"/>
          <w:szCs w:val="21"/>
        </w:rPr>
        <w:t xml:space="preserve"> </w:t>
      </w:r>
      <w:r w:rsidRPr="00B94CD4">
        <w:rPr>
          <w:rFonts w:ascii="Abadi" w:hAnsi="Abadi"/>
          <w:b w:val="0"/>
          <w:bCs w:val="0"/>
          <w:sz w:val="21"/>
          <w:szCs w:val="21"/>
        </w:rPr>
        <w:t>por</w:t>
      </w:r>
      <w:r w:rsidRPr="00B94CD4">
        <w:rPr>
          <w:rFonts w:ascii="Abadi" w:hAnsi="Abadi"/>
          <w:b w:val="0"/>
          <w:bCs w:val="0"/>
          <w:spacing w:val="25"/>
          <w:sz w:val="21"/>
          <w:szCs w:val="21"/>
        </w:rPr>
        <w:t xml:space="preserve"> </w:t>
      </w:r>
      <w:r w:rsidRPr="00B94CD4">
        <w:rPr>
          <w:rFonts w:ascii="Abadi" w:hAnsi="Abadi"/>
          <w:b w:val="0"/>
          <w:bCs w:val="0"/>
          <w:sz w:val="21"/>
          <w:szCs w:val="21"/>
        </w:rPr>
        <w:t>diputadas</w:t>
      </w:r>
      <w:r w:rsidRPr="00B94CD4">
        <w:rPr>
          <w:rFonts w:ascii="Abadi" w:hAnsi="Abadi"/>
          <w:b w:val="0"/>
          <w:bCs w:val="0"/>
          <w:spacing w:val="25"/>
          <w:sz w:val="21"/>
          <w:szCs w:val="21"/>
        </w:rPr>
        <w:t xml:space="preserve"> </w:t>
      </w:r>
      <w:r w:rsidRPr="00B94CD4">
        <w:rPr>
          <w:rFonts w:ascii="Abadi" w:hAnsi="Abadi"/>
          <w:b w:val="0"/>
          <w:bCs w:val="0"/>
          <w:sz w:val="21"/>
          <w:szCs w:val="21"/>
        </w:rPr>
        <w:t>y</w:t>
      </w:r>
      <w:r w:rsidRPr="00B94CD4">
        <w:rPr>
          <w:rFonts w:ascii="Abadi" w:hAnsi="Abadi"/>
          <w:b w:val="0"/>
          <w:bCs w:val="0"/>
          <w:spacing w:val="25"/>
          <w:sz w:val="21"/>
          <w:szCs w:val="21"/>
        </w:rPr>
        <w:t xml:space="preserve"> </w:t>
      </w:r>
      <w:r w:rsidRPr="00B94CD4">
        <w:rPr>
          <w:rFonts w:ascii="Abadi" w:hAnsi="Abadi"/>
          <w:b w:val="0"/>
          <w:bCs w:val="0"/>
          <w:sz w:val="21"/>
          <w:szCs w:val="21"/>
        </w:rPr>
        <w:t>diputados</w:t>
      </w:r>
      <w:r w:rsidRPr="00B94CD4">
        <w:rPr>
          <w:rFonts w:ascii="Abadi" w:hAnsi="Abadi"/>
          <w:b w:val="0"/>
          <w:bCs w:val="0"/>
          <w:spacing w:val="25"/>
          <w:sz w:val="21"/>
          <w:szCs w:val="21"/>
        </w:rPr>
        <w:t xml:space="preserve"> </w:t>
      </w:r>
      <w:r w:rsidRPr="00B94CD4">
        <w:rPr>
          <w:rFonts w:ascii="Abadi" w:hAnsi="Abadi"/>
          <w:b w:val="0"/>
          <w:bCs w:val="0"/>
          <w:sz w:val="21"/>
          <w:szCs w:val="21"/>
        </w:rPr>
        <w:t>integrantes</w:t>
      </w:r>
      <w:r w:rsidRPr="00B94CD4">
        <w:rPr>
          <w:rFonts w:ascii="Abadi" w:hAnsi="Abadi"/>
          <w:b w:val="0"/>
          <w:bCs w:val="0"/>
          <w:spacing w:val="25"/>
          <w:sz w:val="21"/>
          <w:szCs w:val="21"/>
        </w:rPr>
        <w:t xml:space="preserve"> </w:t>
      </w:r>
      <w:r w:rsidRPr="00B94CD4">
        <w:rPr>
          <w:rFonts w:ascii="Abadi" w:hAnsi="Abadi"/>
          <w:b w:val="0"/>
          <w:bCs w:val="0"/>
          <w:sz w:val="21"/>
          <w:szCs w:val="21"/>
        </w:rPr>
        <w:t>del</w:t>
      </w:r>
      <w:r w:rsidRPr="00B94CD4">
        <w:rPr>
          <w:rFonts w:ascii="Abadi" w:hAnsi="Abadi"/>
          <w:b w:val="0"/>
          <w:bCs w:val="0"/>
          <w:spacing w:val="25"/>
          <w:sz w:val="21"/>
          <w:szCs w:val="21"/>
        </w:rPr>
        <w:t xml:space="preserve"> </w:t>
      </w:r>
      <w:r w:rsidRPr="00B94CD4">
        <w:rPr>
          <w:rFonts w:ascii="Abadi" w:hAnsi="Abadi"/>
          <w:b w:val="0"/>
          <w:bCs w:val="0"/>
          <w:sz w:val="21"/>
          <w:szCs w:val="21"/>
        </w:rPr>
        <w:t>Grupo</w:t>
      </w:r>
      <w:r w:rsidRPr="00B94CD4">
        <w:rPr>
          <w:rFonts w:ascii="Abadi" w:hAnsi="Abadi"/>
          <w:b w:val="0"/>
          <w:bCs w:val="0"/>
          <w:spacing w:val="25"/>
          <w:sz w:val="21"/>
          <w:szCs w:val="21"/>
        </w:rPr>
        <w:t xml:space="preserve"> </w:t>
      </w:r>
      <w:r w:rsidRPr="00B94CD4">
        <w:rPr>
          <w:rFonts w:ascii="Abadi" w:hAnsi="Abadi"/>
          <w:b w:val="0"/>
          <w:bCs w:val="0"/>
          <w:sz w:val="21"/>
          <w:szCs w:val="21"/>
        </w:rPr>
        <w:t>Parlamentario</w:t>
      </w:r>
      <w:r w:rsidRPr="00B94CD4">
        <w:rPr>
          <w:rFonts w:ascii="Abadi" w:hAnsi="Abadi"/>
          <w:b w:val="0"/>
          <w:bCs w:val="0"/>
          <w:spacing w:val="-2"/>
          <w:sz w:val="21"/>
          <w:szCs w:val="21"/>
        </w:rPr>
        <w:t xml:space="preserve"> </w:t>
      </w:r>
      <w:r w:rsidRPr="00B94CD4">
        <w:rPr>
          <w:rFonts w:ascii="Abadi" w:hAnsi="Abadi"/>
          <w:b w:val="0"/>
          <w:bCs w:val="0"/>
          <w:sz w:val="21"/>
          <w:szCs w:val="21"/>
        </w:rPr>
        <w:t>del</w:t>
      </w:r>
      <w:r w:rsidRPr="00B94CD4">
        <w:rPr>
          <w:rFonts w:ascii="Abadi" w:hAnsi="Abadi"/>
          <w:b w:val="0"/>
          <w:bCs w:val="0"/>
          <w:spacing w:val="20"/>
          <w:sz w:val="21"/>
          <w:szCs w:val="21"/>
        </w:rPr>
        <w:t xml:space="preserve"> </w:t>
      </w:r>
      <w:r w:rsidRPr="00B94CD4">
        <w:rPr>
          <w:rFonts w:ascii="Abadi" w:hAnsi="Abadi"/>
          <w:b w:val="0"/>
          <w:bCs w:val="0"/>
          <w:sz w:val="21"/>
          <w:szCs w:val="21"/>
        </w:rPr>
        <w:t>Partido</w:t>
      </w:r>
      <w:r w:rsidRPr="00B94CD4">
        <w:rPr>
          <w:rFonts w:ascii="Abadi" w:hAnsi="Abadi"/>
          <w:b w:val="0"/>
          <w:bCs w:val="0"/>
          <w:spacing w:val="20"/>
          <w:sz w:val="21"/>
          <w:szCs w:val="21"/>
        </w:rPr>
        <w:t xml:space="preserve"> </w:t>
      </w:r>
      <w:r w:rsidRPr="00B94CD4">
        <w:rPr>
          <w:rFonts w:ascii="Abadi" w:hAnsi="Abadi"/>
          <w:b w:val="0"/>
          <w:bCs w:val="0"/>
          <w:sz w:val="21"/>
          <w:szCs w:val="21"/>
        </w:rPr>
        <w:t>Acción</w:t>
      </w:r>
      <w:r w:rsidRPr="00B94CD4">
        <w:rPr>
          <w:rFonts w:ascii="Abadi" w:hAnsi="Abadi"/>
          <w:b w:val="0"/>
          <w:bCs w:val="0"/>
          <w:spacing w:val="20"/>
          <w:sz w:val="21"/>
          <w:szCs w:val="21"/>
        </w:rPr>
        <w:t xml:space="preserve"> </w:t>
      </w:r>
      <w:r w:rsidRPr="00B94CD4">
        <w:rPr>
          <w:rFonts w:ascii="Abadi" w:hAnsi="Abadi"/>
          <w:b w:val="0"/>
          <w:bCs w:val="0"/>
          <w:sz w:val="21"/>
          <w:szCs w:val="21"/>
        </w:rPr>
        <w:t>Nacional</w:t>
      </w:r>
      <w:r w:rsidRPr="00B94CD4">
        <w:rPr>
          <w:rFonts w:ascii="Abadi" w:hAnsi="Abadi"/>
          <w:b w:val="0"/>
          <w:bCs w:val="0"/>
          <w:spacing w:val="20"/>
          <w:sz w:val="21"/>
          <w:szCs w:val="21"/>
        </w:rPr>
        <w:t xml:space="preserve"> </w:t>
      </w:r>
      <w:r w:rsidRPr="00B94CD4">
        <w:rPr>
          <w:rFonts w:ascii="Abadi" w:hAnsi="Abadi"/>
          <w:b w:val="0"/>
          <w:bCs w:val="0"/>
          <w:sz w:val="21"/>
          <w:szCs w:val="21"/>
        </w:rPr>
        <w:t>a</w:t>
      </w:r>
      <w:r w:rsidRPr="00B94CD4">
        <w:rPr>
          <w:rFonts w:ascii="Abadi" w:hAnsi="Abadi"/>
          <w:b w:val="0"/>
          <w:bCs w:val="0"/>
          <w:spacing w:val="20"/>
          <w:sz w:val="21"/>
          <w:szCs w:val="21"/>
        </w:rPr>
        <w:t xml:space="preserve"> </w:t>
      </w:r>
      <w:r w:rsidRPr="00B94CD4">
        <w:rPr>
          <w:rFonts w:ascii="Abadi" w:hAnsi="Abadi"/>
          <w:b w:val="0"/>
          <w:bCs w:val="0"/>
          <w:sz w:val="21"/>
          <w:szCs w:val="21"/>
        </w:rPr>
        <w:t>fin</w:t>
      </w:r>
      <w:r w:rsidRPr="00B94CD4">
        <w:rPr>
          <w:rFonts w:ascii="Abadi" w:hAnsi="Abadi"/>
          <w:b w:val="0"/>
          <w:bCs w:val="0"/>
          <w:spacing w:val="20"/>
          <w:sz w:val="21"/>
          <w:szCs w:val="21"/>
        </w:rPr>
        <w:t xml:space="preserve"> </w:t>
      </w:r>
      <w:r w:rsidRPr="00B94CD4">
        <w:rPr>
          <w:rFonts w:ascii="Abadi" w:hAnsi="Abadi"/>
          <w:b w:val="0"/>
          <w:bCs w:val="0"/>
          <w:sz w:val="21"/>
          <w:szCs w:val="21"/>
        </w:rPr>
        <w:t>de</w:t>
      </w:r>
      <w:r w:rsidRPr="00B94CD4">
        <w:rPr>
          <w:rFonts w:ascii="Abadi" w:hAnsi="Abadi"/>
          <w:b w:val="0"/>
          <w:bCs w:val="0"/>
          <w:spacing w:val="19"/>
          <w:sz w:val="21"/>
          <w:szCs w:val="21"/>
        </w:rPr>
        <w:t xml:space="preserve"> </w:t>
      </w:r>
      <w:r w:rsidRPr="00B94CD4">
        <w:rPr>
          <w:rFonts w:ascii="Abadi" w:hAnsi="Abadi"/>
          <w:b w:val="0"/>
          <w:bCs w:val="0"/>
          <w:sz w:val="21"/>
          <w:szCs w:val="21"/>
        </w:rPr>
        <w:t>exhortar</w:t>
      </w:r>
      <w:r w:rsidRPr="00B94CD4">
        <w:rPr>
          <w:rFonts w:ascii="Abadi" w:hAnsi="Abadi"/>
          <w:b w:val="0"/>
          <w:bCs w:val="0"/>
          <w:spacing w:val="20"/>
          <w:sz w:val="21"/>
          <w:szCs w:val="21"/>
        </w:rPr>
        <w:t xml:space="preserve"> </w:t>
      </w:r>
      <w:r w:rsidRPr="00B94CD4">
        <w:rPr>
          <w:rFonts w:ascii="Abadi" w:hAnsi="Abadi"/>
          <w:b w:val="0"/>
          <w:bCs w:val="0"/>
          <w:sz w:val="21"/>
          <w:szCs w:val="21"/>
        </w:rPr>
        <w:t>al</w:t>
      </w:r>
      <w:r w:rsidRPr="00B94CD4">
        <w:rPr>
          <w:rFonts w:ascii="Abadi" w:hAnsi="Abadi"/>
          <w:b w:val="0"/>
          <w:bCs w:val="0"/>
          <w:spacing w:val="20"/>
          <w:sz w:val="21"/>
          <w:szCs w:val="21"/>
        </w:rPr>
        <w:t xml:space="preserve"> </w:t>
      </w:r>
      <w:r w:rsidRPr="00B94CD4">
        <w:rPr>
          <w:rFonts w:ascii="Abadi" w:hAnsi="Abadi"/>
          <w:b w:val="0"/>
          <w:bCs w:val="0"/>
          <w:sz w:val="21"/>
          <w:szCs w:val="21"/>
        </w:rPr>
        <w:t>titular</w:t>
      </w:r>
      <w:r w:rsidRPr="00B94CD4">
        <w:rPr>
          <w:rFonts w:ascii="Abadi" w:hAnsi="Abadi"/>
          <w:b w:val="0"/>
          <w:bCs w:val="0"/>
          <w:spacing w:val="20"/>
          <w:sz w:val="21"/>
          <w:szCs w:val="21"/>
        </w:rPr>
        <w:t xml:space="preserve"> </w:t>
      </w:r>
      <w:r w:rsidRPr="00B94CD4">
        <w:rPr>
          <w:rFonts w:ascii="Abadi" w:hAnsi="Abadi"/>
          <w:b w:val="0"/>
          <w:bCs w:val="0"/>
          <w:sz w:val="21"/>
          <w:szCs w:val="21"/>
        </w:rPr>
        <w:t>del</w:t>
      </w:r>
      <w:r w:rsidRPr="00B94CD4">
        <w:rPr>
          <w:rFonts w:ascii="Abadi" w:hAnsi="Abadi"/>
          <w:b w:val="0"/>
          <w:bCs w:val="0"/>
          <w:spacing w:val="20"/>
          <w:sz w:val="21"/>
          <w:szCs w:val="21"/>
        </w:rPr>
        <w:t xml:space="preserve"> </w:t>
      </w:r>
      <w:r w:rsidRPr="00B94CD4">
        <w:rPr>
          <w:rFonts w:ascii="Abadi" w:hAnsi="Abadi"/>
          <w:b w:val="0"/>
          <w:bCs w:val="0"/>
          <w:sz w:val="21"/>
          <w:szCs w:val="21"/>
        </w:rPr>
        <w:t>Poder</w:t>
      </w:r>
      <w:r w:rsidRPr="00B94CD4">
        <w:rPr>
          <w:rFonts w:ascii="Abadi" w:hAnsi="Abadi"/>
          <w:b w:val="0"/>
          <w:bCs w:val="0"/>
          <w:spacing w:val="20"/>
          <w:sz w:val="21"/>
          <w:szCs w:val="21"/>
        </w:rPr>
        <w:t xml:space="preserve"> </w:t>
      </w:r>
      <w:r w:rsidRPr="00B94CD4">
        <w:rPr>
          <w:rFonts w:ascii="Abadi" w:hAnsi="Abadi"/>
          <w:b w:val="0"/>
          <w:bCs w:val="0"/>
          <w:sz w:val="21"/>
          <w:szCs w:val="21"/>
        </w:rPr>
        <w:t>Ejecutivo</w:t>
      </w:r>
      <w:r w:rsidRPr="00B94CD4">
        <w:rPr>
          <w:rFonts w:ascii="Abadi" w:hAnsi="Abadi"/>
          <w:b w:val="0"/>
          <w:bCs w:val="0"/>
          <w:spacing w:val="-2"/>
          <w:sz w:val="21"/>
          <w:szCs w:val="21"/>
        </w:rPr>
        <w:t xml:space="preserve"> </w:t>
      </w:r>
      <w:r w:rsidRPr="00B94CD4">
        <w:rPr>
          <w:rFonts w:ascii="Abadi" w:hAnsi="Abadi"/>
          <w:b w:val="0"/>
          <w:bCs w:val="0"/>
          <w:sz w:val="21"/>
          <w:szCs w:val="21"/>
        </w:rPr>
        <w:t>Federal</w:t>
      </w:r>
      <w:r w:rsidRPr="00B94CD4">
        <w:rPr>
          <w:rFonts w:ascii="Abadi" w:hAnsi="Abadi"/>
          <w:b w:val="0"/>
          <w:bCs w:val="0"/>
          <w:spacing w:val="56"/>
          <w:sz w:val="21"/>
          <w:szCs w:val="21"/>
        </w:rPr>
        <w:t xml:space="preserve"> </w:t>
      </w:r>
      <w:r w:rsidRPr="00B94CD4">
        <w:rPr>
          <w:rFonts w:ascii="Abadi" w:hAnsi="Abadi"/>
          <w:b w:val="0"/>
          <w:bCs w:val="0"/>
          <w:sz w:val="21"/>
          <w:szCs w:val="21"/>
        </w:rPr>
        <w:t>para</w:t>
      </w:r>
      <w:r w:rsidRPr="00B94CD4">
        <w:rPr>
          <w:rFonts w:ascii="Abadi" w:hAnsi="Abadi"/>
          <w:b w:val="0"/>
          <w:bCs w:val="0"/>
          <w:spacing w:val="56"/>
          <w:sz w:val="21"/>
          <w:szCs w:val="21"/>
        </w:rPr>
        <w:t xml:space="preserve"> </w:t>
      </w:r>
      <w:r w:rsidRPr="00B94CD4">
        <w:rPr>
          <w:rFonts w:ascii="Abadi" w:hAnsi="Abadi"/>
          <w:b w:val="0"/>
          <w:bCs w:val="0"/>
          <w:sz w:val="21"/>
          <w:szCs w:val="21"/>
        </w:rPr>
        <w:t>que,</w:t>
      </w:r>
      <w:r w:rsidRPr="00B94CD4">
        <w:rPr>
          <w:rFonts w:ascii="Abadi" w:hAnsi="Abadi"/>
          <w:b w:val="0"/>
          <w:bCs w:val="0"/>
          <w:spacing w:val="56"/>
          <w:sz w:val="21"/>
          <w:szCs w:val="21"/>
        </w:rPr>
        <w:t xml:space="preserve"> </w:t>
      </w:r>
      <w:r w:rsidRPr="00B94CD4">
        <w:rPr>
          <w:rFonts w:ascii="Abadi" w:hAnsi="Abadi"/>
          <w:b w:val="0"/>
          <w:bCs w:val="0"/>
          <w:sz w:val="21"/>
          <w:szCs w:val="21"/>
        </w:rPr>
        <w:t>a</w:t>
      </w:r>
      <w:r w:rsidRPr="00B94CD4">
        <w:rPr>
          <w:rFonts w:ascii="Abadi" w:hAnsi="Abadi"/>
          <w:b w:val="0"/>
          <w:bCs w:val="0"/>
          <w:spacing w:val="56"/>
          <w:sz w:val="21"/>
          <w:szCs w:val="21"/>
        </w:rPr>
        <w:t xml:space="preserve"> </w:t>
      </w:r>
      <w:r w:rsidRPr="00B94CD4">
        <w:rPr>
          <w:rFonts w:ascii="Abadi" w:hAnsi="Abadi"/>
          <w:b w:val="0"/>
          <w:bCs w:val="0"/>
          <w:sz w:val="21"/>
          <w:szCs w:val="21"/>
        </w:rPr>
        <w:t>través</w:t>
      </w:r>
      <w:r w:rsidRPr="00B94CD4">
        <w:rPr>
          <w:rFonts w:ascii="Abadi" w:hAnsi="Abadi"/>
          <w:b w:val="0"/>
          <w:bCs w:val="0"/>
          <w:spacing w:val="56"/>
          <w:sz w:val="21"/>
          <w:szCs w:val="21"/>
        </w:rPr>
        <w:t xml:space="preserve"> </w:t>
      </w:r>
      <w:r w:rsidRPr="00B94CD4">
        <w:rPr>
          <w:rFonts w:ascii="Abadi" w:hAnsi="Abadi"/>
          <w:b w:val="0"/>
          <w:bCs w:val="0"/>
          <w:sz w:val="21"/>
          <w:szCs w:val="21"/>
        </w:rPr>
        <w:t>de</w:t>
      </w:r>
      <w:r w:rsidRPr="00B94CD4">
        <w:rPr>
          <w:rFonts w:ascii="Abadi" w:hAnsi="Abadi"/>
          <w:b w:val="0"/>
          <w:bCs w:val="0"/>
          <w:spacing w:val="56"/>
          <w:sz w:val="21"/>
          <w:szCs w:val="21"/>
        </w:rPr>
        <w:t xml:space="preserve"> </w:t>
      </w:r>
      <w:r w:rsidRPr="00B94CD4">
        <w:rPr>
          <w:rFonts w:ascii="Abadi" w:hAnsi="Abadi"/>
          <w:b w:val="0"/>
          <w:bCs w:val="0"/>
          <w:sz w:val="21"/>
          <w:szCs w:val="21"/>
        </w:rPr>
        <w:t>la</w:t>
      </w:r>
      <w:r w:rsidRPr="00B94CD4">
        <w:rPr>
          <w:rFonts w:ascii="Abadi" w:hAnsi="Abadi"/>
          <w:b w:val="0"/>
          <w:bCs w:val="0"/>
          <w:spacing w:val="56"/>
          <w:sz w:val="21"/>
          <w:szCs w:val="21"/>
        </w:rPr>
        <w:t xml:space="preserve"> </w:t>
      </w:r>
      <w:r w:rsidRPr="00B94CD4">
        <w:rPr>
          <w:rFonts w:ascii="Abadi" w:hAnsi="Abadi"/>
          <w:b w:val="0"/>
          <w:bCs w:val="0"/>
          <w:sz w:val="21"/>
          <w:szCs w:val="21"/>
        </w:rPr>
        <w:t>Procuraduría</w:t>
      </w:r>
      <w:r w:rsidRPr="00B94CD4">
        <w:rPr>
          <w:rFonts w:ascii="Abadi" w:hAnsi="Abadi"/>
          <w:b w:val="0"/>
          <w:bCs w:val="0"/>
          <w:spacing w:val="56"/>
          <w:sz w:val="21"/>
          <w:szCs w:val="21"/>
        </w:rPr>
        <w:t xml:space="preserve"> </w:t>
      </w:r>
      <w:r w:rsidRPr="00B94CD4">
        <w:rPr>
          <w:rFonts w:ascii="Abadi" w:hAnsi="Abadi"/>
          <w:b w:val="0"/>
          <w:bCs w:val="0"/>
          <w:sz w:val="21"/>
          <w:szCs w:val="21"/>
        </w:rPr>
        <w:t>Federal</w:t>
      </w:r>
      <w:r w:rsidRPr="00B94CD4">
        <w:rPr>
          <w:rFonts w:ascii="Abadi" w:hAnsi="Abadi"/>
          <w:b w:val="0"/>
          <w:bCs w:val="0"/>
          <w:spacing w:val="56"/>
          <w:sz w:val="21"/>
          <w:szCs w:val="21"/>
        </w:rPr>
        <w:t xml:space="preserve"> </w:t>
      </w:r>
      <w:r w:rsidRPr="00B94CD4">
        <w:rPr>
          <w:rFonts w:ascii="Abadi" w:hAnsi="Abadi"/>
          <w:b w:val="0"/>
          <w:bCs w:val="0"/>
          <w:sz w:val="21"/>
          <w:szCs w:val="21"/>
        </w:rPr>
        <w:t>del</w:t>
      </w:r>
      <w:r w:rsidRPr="00B94CD4">
        <w:rPr>
          <w:rFonts w:ascii="Abadi" w:hAnsi="Abadi"/>
          <w:b w:val="0"/>
          <w:bCs w:val="0"/>
          <w:spacing w:val="56"/>
          <w:sz w:val="21"/>
          <w:szCs w:val="21"/>
        </w:rPr>
        <w:t xml:space="preserve"> </w:t>
      </w:r>
      <w:r w:rsidRPr="00B94CD4">
        <w:rPr>
          <w:rFonts w:ascii="Abadi" w:hAnsi="Abadi"/>
          <w:b w:val="0"/>
          <w:bCs w:val="0"/>
          <w:sz w:val="21"/>
          <w:szCs w:val="21"/>
        </w:rPr>
        <w:t>Consumidor</w:t>
      </w:r>
      <w:r w:rsidRPr="00B94CD4">
        <w:rPr>
          <w:rFonts w:ascii="Abadi" w:hAnsi="Abadi"/>
          <w:b w:val="0"/>
          <w:bCs w:val="0"/>
          <w:spacing w:val="-2"/>
          <w:sz w:val="21"/>
          <w:szCs w:val="21"/>
        </w:rPr>
        <w:t xml:space="preserve"> </w:t>
      </w:r>
      <w:r w:rsidRPr="00B94CD4">
        <w:rPr>
          <w:rFonts w:ascii="Abadi" w:hAnsi="Abadi"/>
          <w:b w:val="0"/>
          <w:bCs w:val="0"/>
          <w:sz w:val="21"/>
          <w:szCs w:val="21"/>
        </w:rPr>
        <w:t>verifique</w:t>
      </w:r>
      <w:r w:rsidRPr="00B94CD4">
        <w:rPr>
          <w:rFonts w:ascii="Abadi" w:hAnsi="Abadi"/>
          <w:b w:val="0"/>
          <w:bCs w:val="0"/>
          <w:spacing w:val="-6"/>
          <w:sz w:val="21"/>
          <w:szCs w:val="21"/>
        </w:rPr>
        <w:t xml:space="preserve"> </w:t>
      </w:r>
      <w:r w:rsidRPr="00B94CD4">
        <w:rPr>
          <w:rFonts w:ascii="Abadi" w:hAnsi="Abadi"/>
          <w:b w:val="0"/>
          <w:bCs w:val="0"/>
          <w:sz w:val="21"/>
          <w:szCs w:val="21"/>
        </w:rPr>
        <w:t>los</w:t>
      </w:r>
      <w:r w:rsidRPr="00B94CD4">
        <w:rPr>
          <w:rFonts w:ascii="Abadi" w:hAnsi="Abadi"/>
          <w:b w:val="0"/>
          <w:bCs w:val="0"/>
          <w:spacing w:val="-6"/>
          <w:sz w:val="21"/>
          <w:szCs w:val="21"/>
        </w:rPr>
        <w:t xml:space="preserve"> </w:t>
      </w:r>
      <w:r w:rsidRPr="00B94CD4">
        <w:rPr>
          <w:rFonts w:ascii="Abadi" w:hAnsi="Abadi"/>
          <w:b w:val="0"/>
          <w:bCs w:val="0"/>
          <w:sz w:val="21"/>
          <w:szCs w:val="21"/>
        </w:rPr>
        <w:t>instrumentos</w:t>
      </w:r>
      <w:r w:rsidRPr="00B94CD4">
        <w:rPr>
          <w:rFonts w:ascii="Abadi" w:hAnsi="Abadi"/>
          <w:b w:val="0"/>
          <w:bCs w:val="0"/>
          <w:spacing w:val="-6"/>
          <w:sz w:val="21"/>
          <w:szCs w:val="21"/>
        </w:rPr>
        <w:t xml:space="preserve"> </w:t>
      </w:r>
      <w:r w:rsidRPr="00B94CD4">
        <w:rPr>
          <w:rFonts w:ascii="Abadi" w:hAnsi="Abadi"/>
          <w:b w:val="0"/>
          <w:bCs w:val="0"/>
          <w:sz w:val="21"/>
          <w:szCs w:val="21"/>
        </w:rPr>
        <w:t>de</w:t>
      </w:r>
      <w:r w:rsidRPr="00B94CD4">
        <w:rPr>
          <w:rFonts w:ascii="Abadi" w:hAnsi="Abadi"/>
          <w:b w:val="0"/>
          <w:bCs w:val="0"/>
          <w:spacing w:val="-6"/>
          <w:sz w:val="21"/>
          <w:szCs w:val="21"/>
        </w:rPr>
        <w:t xml:space="preserve"> </w:t>
      </w:r>
      <w:r w:rsidRPr="00B94CD4">
        <w:rPr>
          <w:rFonts w:ascii="Abadi" w:hAnsi="Abadi"/>
          <w:b w:val="0"/>
          <w:bCs w:val="0"/>
          <w:sz w:val="21"/>
          <w:szCs w:val="21"/>
        </w:rPr>
        <w:t>medición</w:t>
      </w:r>
      <w:r w:rsidRPr="00B94CD4">
        <w:rPr>
          <w:rFonts w:ascii="Abadi" w:hAnsi="Abadi"/>
          <w:b w:val="0"/>
          <w:bCs w:val="0"/>
          <w:spacing w:val="-6"/>
          <w:sz w:val="21"/>
          <w:szCs w:val="21"/>
        </w:rPr>
        <w:t xml:space="preserve"> </w:t>
      </w:r>
      <w:r w:rsidRPr="00B94CD4">
        <w:rPr>
          <w:rFonts w:ascii="Abadi" w:hAnsi="Abadi"/>
          <w:b w:val="0"/>
          <w:bCs w:val="0"/>
          <w:sz w:val="21"/>
          <w:szCs w:val="21"/>
        </w:rPr>
        <w:t>que</w:t>
      </w:r>
      <w:r w:rsidRPr="00B94CD4">
        <w:rPr>
          <w:rFonts w:ascii="Abadi" w:hAnsi="Abadi"/>
          <w:b w:val="0"/>
          <w:bCs w:val="0"/>
          <w:spacing w:val="-6"/>
          <w:sz w:val="21"/>
          <w:szCs w:val="21"/>
        </w:rPr>
        <w:t xml:space="preserve"> </w:t>
      </w:r>
      <w:r w:rsidRPr="00B94CD4">
        <w:rPr>
          <w:rFonts w:ascii="Abadi" w:hAnsi="Abadi"/>
          <w:b w:val="0"/>
          <w:bCs w:val="0"/>
          <w:sz w:val="21"/>
          <w:szCs w:val="21"/>
        </w:rPr>
        <w:t>sirven</w:t>
      </w:r>
      <w:r w:rsidRPr="00B94CD4">
        <w:rPr>
          <w:rFonts w:ascii="Abadi" w:hAnsi="Abadi"/>
          <w:b w:val="0"/>
          <w:bCs w:val="0"/>
          <w:spacing w:val="-6"/>
          <w:sz w:val="21"/>
          <w:szCs w:val="21"/>
        </w:rPr>
        <w:t xml:space="preserve"> </w:t>
      </w:r>
      <w:r w:rsidRPr="00B94CD4">
        <w:rPr>
          <w:rFonts w:ascii="Abadi" w:hAnsi="Abadi"/>
          <w:b w:val="0"/>
          <w:bCs w:val="0"/>
          <w:sz w:val="21"/>
          <w:szCs w:val="21"/>
        </w:rPr>
        <w:t>de</w:t>
      </w:r>
      <w:r w:rsidRPr="00B94CD4">
        <w:rPr>
          <w:rFonts w:ascii="Abadi" w:hAnsi="Abadi"/>
          <w:b w:val="0"/>
          <w:bCs w:val="0"/>
          <w:spacing w:val="-6"/>
          <w:sz w:val="21"/>
          <w:szCs w:val="21"/>
        </w:rPr>
        <w:t xml:space="preserve"> </w:t>
      </w:r>
      <w:r w:rsidRPr="00B94CD4">
        <w:rPr>
          <w:rFonts w:ascii="Abadi" w:hAnsi="Abadi"/>
          <w:b w:val="0"/>
          <w:bCs w:val="0"/>
          <w:sz w:val="21"/>
          <w:szCs w:val="21"/>
        </w:rPr>
        <w:t>base</w:t>
      </w:r>
      <w:r w:rsidRPr="00B94CD4">
        <w:rPr>
          <w:rFonts w:ascii="Abadi" w:hAnsi="Abadi"/>
          <w:b w:val="0"/>
          <w:bCs w:val="0"/>
          <w:spacing w:val="-6"/>
          <w:sz w:val="21"/>
          <w:szCs w:val="21"/>
        </w:rPr>
        <w:t xml:space="preserve"> </w:t>
      </w:r>
      <w:r w:rsidRPr="00B94CD4">
        <w:rPr>
          <w:rFonts w:ascii="Abadi" w:hAnsi="Abadi"/>
          <w:b w:val="0"/>
          <w:bCs w:val="0"/>
          <w:sz w:val="21"/>
          <w:szCs w:val="21"/>
        </w:rPr>
        <w:t>en</w:t>
      </w:r>
      <w:r w:rsidRPr="00B94CD4">
        <w:rPr>
          <w:rFonts w:ascii="Abadi" w:hAnsi="Abadi"/>
          <w:b w:val="0"/>
          <w:bCs w:val="0"/>
          <w:spacing w:val="-6"/>
          <w:sz w:val="21"/>
          <w:szCs w:val="21"/>
        </w:rPr>
        <w:t xml:space="preserve"> </w:t>
      </w:r>
      <w:r w:rsidRPr="00B94CD4">
        <w:rPr>
          <w:rFonts w:ascii="Abadi" w:hAnsi="Abadi"/>
          <w:b w:val="0"/>
          <w:bCs w:val="0"/>
          <w:sz w:val="21"/>
          <w:szCs w:val="21"/>
        </w:rPr>
        <w:t>transacciones</w:t>
      </w:r>
      <w:r w:rsidRPr="00B94CD4">
        <w:rPr>
          <w:rFonts w:ascii="Abadi" w:hAnsi="Abadi"/>
          <w:b w:val="0"/>
          <w:bCs w:val="0"/>
          <w:spacing w:val="-2"/>
          <w:sz w:val="21"/>
          <w:szCs w:val="21"/>
        </w:rPr>
        <w:t xml:space="preserve"> </w:t>
      </w:r>
      <w:r w:rsidRPr="00B94CD4">
        <w:rPr>
          <w:rFonts w:ascii="Abadi" w:hAnsi="Abadi"/>
          <w:b w:val="0"/>
          <w:bCs w:val="0"/>
          <w:sz w:val="21"/>
          <w:szCs w:val="21"/>
        </w:rPr>
        <w:t>comerciales</w:t>
      </w:r>
      <w:r w:rsidRPr="00B94CD4">
        <w:rPr>
          <w:rFonts w:ascii="Abadi" w:hAnsi="Abadi"/>
          <w:b w:val="0"/>
          <w:bCs w:val="0"/>
          <w:spacing w:val="37"/>
          <w:sz w:val="21"/>
          <w:szCs w:val="21"/>
        </w:rPr>
        <w:t xml:space="preserve"> </w:t>
      </w:r>
      <w:r w:rsidRPr="00B94CD4">
        <w:rPr>
          <w:rFonts w:ascii="Abadi" w:hAnsi="Abadi"/>
          <w:b w:val="0"/>
          <w:bCs w:val="0"/>
          <w:sz w:val="21"/>
          <w:szCs w:val="21"/>
        </w:rPr>
        <w:t>del</w:t>
      </w:r>
      <w:r w:rsidRPr="00B94CD4">
        <w:rPr>
          <w:rFonts w:ascii="Abadi" w:hAnsi="Abadi"/>
          <w:b w:val="0"/>
          <w:bCs w:val="0"/>
          <w:spacing w:val="38"/>
          <w:sz w:val="21"/>
          <w:szCs w:val="21"/>
        </w:rPr>
        <w:t xml:space="preserve"> </w:t>
      </w:r>
      <w:r w:rsidRPr="00B94CD4">
        <w:rPr>
          <w:rFonts w:ascii="Abadi" w:hAnsi="Abadi"/>
          <w:b w:val="0"/>
          <w:bCs w:val="0"/>
          <w:sz w:val="21"/>
          <w:szCs w:val="21"/>
        </w:rPr>
        <w:t>sector</w:t>
      </w:r>
      <w:r w:rsidRPr="00B94CD4">
        <w:rPr>
          <w:rFonts w:ascii="Abadi" w:hAnsi="Abadi"/>
          <w:b w:val="0"/>
          <w:bCs w:val="0"/>
          <w:spacing w:val="37"/>
          <w:sz w:val="21"/>
          <w:szCs w:val="21"/>
        </w:rPr>
        <w:t xml:space="preserve"> </w:t>
      </w:r>
      <w:r w:rsidRPr="00B94CD4">
        <w:rPr>
          <w:rFonts w:ascii="Abadi" w:hAnsi="Abadi"/>
          <w:b w:val="0"/>
          <w:bCs w:val="0"/>
          <w:sz w:val="21"/>
          <w:szCs w:val="21"/>
        </w:rPr>
        <w:t>agroalimentario</w:t>
      </w:r>
      <w:r w:rsidRPr="00B94CD4">
        <w:rPr>
          <w:rFonts w:ascii="Abadi" w:hAnsi="Abadi"/>
          <w:b w:val="0"/>
          <w:bCs w:val="0"/>
          <w:spacing w:val="37"/>
          <w:sz w:val="21"/>
          <w:szCs w:val="21"/>
        </w:rPr>
        <w:t xml:space="preserve"> </w:t>
      </w:r>
      <w:r w:rsidRPr="00B94CD4">
        <w:rPr>
          <w:rFonts w:ascii="Abadi" w:hAnsi="Abadi"/>
          <w:b w:val="0"/>
          <w:bCs w:val="0"/>
          <w:sz w:val="21"/>
          <w:szCs w:val="21"/>
        </w:rPr>
        <w:t>en</w:t>
      </w:r>
      <w:r w:rsidRPr="00B94CD4">
        <w:rPr>
          <w:rFonts w:ascii="Abadi" w:hAnsi="Abadi"/>
          <w:b w:val="0"/>
          <w:bCs w:val="0"/>
          <w:spacing w:val="37"/>
          <w:sz w:val="21"/>
          <w:szCs w:val="21"/>
        </w:rPr>
        <w:t xml:space="preserve"> </w:t>
      </w:r>
      <w:r w:rsidRPr="00B94CD4">
        <w:rPr>
          <w:rFonts w:ascii="Abadi" w:hAnsi="Abadi"/>
          <w:b w:val="0"/>
          <w:bCs w:val="0"/>
          <w:sz w:val="21"/>
          <w:szCs w:val="21"/>
        </w:rPr>
        <w:t>el</w:t>
      </w:r>
      <w:r w:rsidRPr="00B94CD4">
        <w:rPr>
          <w:rFonts w:ascii="Abadi" w:hAnsi="Abadi"/>
          <w:b w:val="0"/>
          <w:bCs w:val="0"/>
          <w:spacing w:val="37"/>
          <w:sz w:val="21"/>
          <w:szCs w:val="21"/>
        </w:rPr>
        <w:t xml:space="preserve"> </w:t>
      </w:r>
      <w:r w:rsidRPr="00B94CD4">
        <w:rPr>
          <w:rFonts w:ascii="Abadi" w:hAnsi="Abadi"/>
          <w:b w:val="0"/>
          <w:bCs w:val="0"/>
          <w:sz w:val="21"/>
          <w:szCs w:val="21"/>
        </w:rPr>
        <w:t>Estado</w:t>
      </w:r>
      <w:r w:rsidRPr="00B94CD4">
        <w:rPr>
          <w:rFonts w:ascii="Abadi" w:hAnsi="Abadi"/>
          <w:b w:val="0"/>
          <w:bCs w:val="0"/>
          <w:spacing w:val="37"/>
          <w:sz w:val="21"/>
          <w:szCs w:val="21"/>
        </w:rPr>
        <w:t xml:space="preserve"> </w:t>
      </w:r>
      <w:r w:rsidRPr="00B94CD4">
        <w:rPr>
          <w:rFonts w:ascii="Abadi" w:hAnsi="Abadi"/>
          <w:b w:val="0"/>
          <w:bCs w:val="0"/>
          <w:sz w:val="21"/>
          <w:szCs w:val="21"/>
        </w:rPr>
        <w:t>de</w:t>
      </w:r>
      <w:r w:rsidRPr="00B94CD4">
        <w:rPr>
          <w:rFonts w:ascii="Abadi" w:hAnsi="Abadi"/>
          <w:b w:val="0"/>
          <w:bCs w:val="0"/>
          <w:spacing w:val="37"/>
          <w:sz w:val="21"/>
          <w:szCs w:val="21"/>
        </w:rPr>
        <w:t xml:space="preserve"> </w:t>
      </w:r>
      <w:r w:rsidRPr="00B94CD4">
        <w:rPr>
          <w:rFonts w:ascii="Abadi" w:hAnsi="Abadi"/>
          <w:b w:val="0"/>
          <w:bCs w:val="0"/>
          <w:sz w:val="21"/>
          <w:szCs w:val="21"/>
        </w:rPr>
        <w:t>Guanajuato</w:t>
      </w:r>
      <w:r w:rsidRPr="00B94CD4">
        <w:rPr>
          <w:rFonts w:ascii="Abadi" w:hAnsi="Abadi"/>
          <w:b w:val="0"/>
          <w:bCs w:val="0"/>
          <w:spacing w:val="37"/>
          <w:sz w:val="21"/>
          <w:szCs w:val="21"/>
        </w:rPr>
        <w:t xml:space="preserve"> </w:t>
      </w:r>
      <w:r w:rsidRPr="00B94CD4">
        <w:rPr>
          <w:rFonts w:ascii="Abadi" w:hAnsi="Abadi"/>
          <w:b w:val="0"/>
          <w:bCs w:val="0"/>
          <w:sz w:val="21"/>
          <w:szCs w:val="21"/>
        </w:rPr>
        <w:t>y</w:t>
      </w:r>
      <w:r w:rsidRPr="00B94CD4">
        <w:rPr>
          <w:rFonts w:ascii="Abadi" w:hAnsi="Abadi"/>
          <w:b w:val="0"/>
          <w:bCs w:val="0"/>
          <w:spacing w:val="37"/>
          <w:sz w:val="21"/>
          <w:szCs w:val="21"/>
        </w:rPr>
        <w:t xml:space="preserve"> </w:t>
      </w:r>
      <w:r w:rsidRPr="00B94CD4">
        <w:rPr>
          <w:rFonts w:ascii="Abadi" w:hAnsi="Abadi"/>
          <w:b w:val="0"/>
          <w:bCs w:val="0"/>
          <w:sz w:val="21"/>
          <w:szCs w:val="21"/>
        </w:rPr>
        <w:t>se</w:t>
      </w:r>
      <w:r w:rsidRPr="00B94CD4">
        <w:rPr>
          <w:rFonts w:ascii="Abadi" w:hAnsi="Abadi"/>
          <w:b w:val="0"/>
          <w:bCs w:val="0"/>
          <w:spacing w:val="-2"/>
          <w:sz w:val="21"/>
          <w:szCs w:val="21"/>
        </w:rPr>
        <w:t xml:space="preserve"> </w:t>
      </w:r>
      <w:r w:rsidRPr="00B94CD4">
        <w:rPr>
          <w:rFonts w:ascii="Abadi" w:hAnsi="Abadi"/>
          <w:b w:val="0"/>
          <w:bCs w:val="0"/>
          <w:sz w:val="21"/>
          <w:szCs w:val="21"/>
        </w:rPr>
        <w:t>realicen</w:t>
      </w:r>
      <w:r w:rsidRPr="00B94CD4">
        <w:rPr>
          <w:rFonts w:ascii="Abadi" w:hAnsi="Abadi"/>
          <w:b w:val="0"/>
          <w:bCs w:val="0"/>
          <w:spacing w:val="26"/>
          <w:sz w:val="21"/>
          <w:szCs w:val="21"/>
        </w:rPr>
        <w:t xml:space="preserve"> </w:t>
      </w:r>
      <w:r w:rsidRPr="00B94CD4">
        <w:rPr>
          <w:rFonts w:ascii="Abadi" w:hAnsi="Abadi"/>
          <w:b w:val="0"/>
          <w:bCs w:val="0"/>
          <w:sz w:val="21"/>
          <w:szCs w:val="21"/>
        </w:rPr>
        <w:t>verificaciones</w:t>
      </w:r>
      <w:r w:rsidRPr="00B94CD4">
        <w:rPr>
          <w:rFonts w:ascii="Abadi" w:hAnsi="Abadi"/>
          <w:b w:val="0"/>
          <w:bCs w:val="0"/>
          <w:spacing w:val="26"/>
          <w:sz w:val="21"/>
          <w:szCs w:val="21"/>
        </w:rPr>
        <w:t xml:space="preserve"> </w:t>
      </w:r>
      <w:r w:rsidRPr="00B94CD4">
        <w:rPr>
          <w:rFonts w:ascii="Abadi" w:hAnsi="Abadi"/>
          <w:b w:val="0"/>
          <w:bCs w:val="0"/>
          <w:sz w:val="21"/>
          <w:szCs w:val="21"/>
        </w:rPr>
        <w:t>rigurosas</w:t>
      </w:r>
      <w:r w:rsidRPr="00B94CD4">
        <w:rPr>
          <w:rFonts w:ascii="Abadi" w:hAnsi="Abadi"/>
          <w:b w:val="0"/>
          <w:bCs w:val="0"/>
          <w:spacing w:val="26"/>
          <w:sz w:val="21"/>
          <w:szCs w:val="21"/>
        </w:rPr>
        <w:t xml:space="preserve"> </w:t>
      </w:r>
      <w:r w:rsidRPr="00B94CD4">
        <w:rPr>
          <w:rFonts w:ascii="Abadi" w:hAnsi="Abadi"/>
          <w:b w:val="0"/>
          <w:bCs w:val="0"/>
          <w:sz w:val="21"/>
          <w:szCs w:val="21"/>
        </w:rPr>
        <w:t>en</w:t>
      </w:r>
      <w:r w:rsidRPr="00B94CD4">
        <w:rPr>
          <w:rFonts w:ascii="Abadi" w:hAnsi="Abadi"/>
          <w:b w:val="0"/>
          <w:bCs w:val="0"/>
          <w:spacing w:val="26"/>
          <w:sz w:val="21"/>
          <w:szCs w:val="21"/>
        </w:rPr>
        <w:t xml:space="preserve"> </w:t>
      </w:r>
      <w:r w:rsidRPr="00B94CD4">
        <w:rPr>
          <w:rFonts w:ascii="Abadi" w:hAnsi="Abadi"/>
          <w:b w:val="0"/>
          <w:bCs w:val="0"/>
          <w:sz w:val="21"/>
          <w:szCs w:val="21"/>
        </w:rPr>
        <w:t>los</w:t>
      </w:r>
      <w:r w:rsidRPr="00B94CD4">
        <w:rPr>
          <w:rFonts w:ascii="Abadi" w:hAnsi="Abadi"/>
          <w:b w:val="0"/>
          <w:bCs w:val="0"/>
          <w:spacing w:val="26"/>
          <w:sz w:val="21"/>
          <w:szCs w:val="21"/>
        </w:rPr>
        <w:t xml:space="preserve"> </w:t>
      </w:r>
      <w:r w:rsidRPr="00B94CD4">
        <w:rPr>
          <w:rFonts w:ascii="Abadi" w:hAnsi="Abadi"/>
          <w:b w:val="0"/>
          <w:bCs w:val="0"/>
          <w:sz w:val="21"/>
          <w:szCs w:val="21"/>
        </w:rPr>
        <w:t>centros</w:t>
      </w:r>
      <w:r w:rsidRPr="00B94CD4">
        <w:rPr>
          <w:rFonts w:ascii="Abadi" w:hAnsi="Abadi"/>
          <w:b w:val="0"/>
          <w:bCs w:val="0"/>
          <w:spacing w:val="26"/>
          <w:sz w:val="21"/>
          <w:szCs w:val="21"/>
        </w:rPr>
        <w:t xml:space="preserve"> </w:t>
      </w:r>
      <w:r w:rsidRPr="00B94CD4">
        <w:rPr>
          <w:rFonts w:ascii="Abadi" w:hAnsi="Abadi"/>
          <w:b w:val="0"/>
          <w:bCs w:val="0"/>
          <w:sz w:val="21"/>
          <w:szCs w:val="21"/>
        </w:rPr>
        <w:t>de</w:t>
      </w:r>
      <w:r w:rsidRPr="00B94CD4">
        <w:rPr>
          <w:rFonts w:ascii="Abadi" w:hAnsi="Abadi"/>
          <w:b w:val="0"/>
          <w:bCs w:val="0"/>
          <w:spacing w:val="26"/>
          <w:sz w:val="21"/>
          <w:szCs w:val="21"/>
        </w:rPr>
        <w:t xml:space="preserve"> </w:t>
      </w:r>
      <w:r w:rsidRPr="00B94CD4">
        <w:rPr>
          <w:rFonts w:ascii="Abadi" w:hAnsi="Abadi"/>
          <w:b w:val="0"/>
          <w:bCs w:val="0"/>
          <w:sz w:val="21"/>
          <w:szCs w:val="21"/>
        </w:rPr>
        <w:t>acopio</w:t>
      </w:r>
      <w:r w:rsidRPr="00B94CD4">
        <w:rPr>
          <w:rFonts w:ascii="Abadi" w:hAnsi="Abadi"/>
          <w:b w:val="0"/>
          <w:bCs w:val="0"/>
          <w:spacing w:val="26"/>
          <w:sz w:val="21"/>
          <w:szCs w:val="21"/>
        </w:rPr>
        <w:t xml:space="preserve"> </w:t>
      </w:r>
      <w:r w:rsidRPr="00B94CD4">
        <w:rPr>
          <w:rFonts w:ascii="Abadi" w:hAnsi="Abadi"/>
          <w:b w:val="0"/>
          <w:bCs w:val="0"/>
          <w:sz w:val="21"/>
          <w:szCs w:val="21"/>
        </w:rPr>
        <w:t>durante</w:t>
      </w:r>
      <w:r w:rsidRPr="00B94CD4">
        <w:rPr>
          <w:rFonts w:ascii="Abadi" w:hAnsi="Abadi"/>
          <w:b w:val="0"/>
          <w:bCs w:val="0"/>
          <w:spacing w:val="26"/>
          <w:sz w:val="21"/>
          <w:szCs w:val="21"/>
        </w:rPr>
        <w:t xml:space="preserve"> </w:t>
      </w:r>
      <w:r w:rsidRPr="00B94CD4">
        <w:rPr>
          <w:rFonts w:ascii="Abadi" w:hAnsi="Abadi"/>
          <w:b w:val="0"/>
          <w:bCs w:val="0"/>
          <w:sz w:val="21"/>
          <w:szCs w:val="21"/>
        </w:rPr>
        <w:t>el</w:t>
      </w:r>
      <w:r w:rsidRPr="00B94CD4">
        <w:rPr>
          <w:rFonts w:ascii="Abadi" w:hAnsi="Abadi"/>
          <w:b w:val="0"/>
          <w:bCs w:val="0"/>
          <w:spacing w:val="26"/>
          <w:sz w:val="21"/>
          <w:szCs w:val="21"/>
        </w:rPr>
        <w:t xml:space="preserve"> </w:t>
      </w:r>
      <w:r w:rsidRPr="00B94CD4">
        <w:rPr>
          <w:rFonts w:ascii="Abadi" w:hAnsi="Abadi"/>
          <w:b w:val="0"/>
          <w:bCs w:val="0"/>
          <w:sz w:val="21"/>
          <w:szCs w:val="21"/>
        </w:rPr>
        <w:t>ciclo</w:t>
      </w:r>
      <w:r w:rsidRPr="00B94CD4">
        <w:rPr>
          <w:rFonts w:ascii="Abadi" w:hAnsi="Abadi"/>
          <w:b w:val="0"/>
          <w:bCs w:val="0"/>
          <w:spacing w:val="-2"/>
          <w:sz w:val="21"/>
          <w:szCs w:val="21"/>
        </w:rPr>
        <w:t xml:space="preserve"> </w:t>
      </w:r>
      <w:r w:rsidRPr="00B94CD4">
        <w:rPr>
          <w:rFonts w:ascii="Abadi" w:hAnsi="Abadi"/>
          <w:b w:val="0"/>
          <w:bCs w:val="0"/>
          <w:sz w:val="21"/>
          <w:szCs w:val="21"/>
        </w:rPr>
        <w:t>agrícola</w:t>
      </w:r>
      <w:r w:rsidRPr="00B94CD4">
        <w:rPr>
          <w:rFonts w:ascii="Abadi" w:hAnsi="Abadi"/>
          <w:b w:val="0"/>
          <w:bCs w:val="0"/>
          <w:spacing w:val="79"/>
          <w:sz w:val="21"/>
          <w:szCs w:val="21"/>
        </w:rPr>
        <w:t xml:space="preserve"> </w:t>
      </w:r>
      <w:r w:rsidRPr="00B94CD4">
        <w:rPr>
          <w:rFonts w:ascii="Abadi" w:hAnsi="Abadi"/>
          <w:b w:val="0"/>
          <w:bCs w:val="0"/>
          <w:sz w:val="21"/>
          <w:szCs w:val="21"/>
        </w:rPr>
        <w:t>otoño-invierno,</w:t>
      </w:r>
      <w:r w:rsidRPr="00B94CD4">
        <w:rPr>
          <w:rFonts w:ascii="Abadi" w:hAnsi="Abadi"/>
          <w:b w:val="0"/>
          <w:bCs w:val="0"/>
          <w:spacing w:val="79"/>
          <w:sz w:val="21"/>
          <w:szCs w:val="21"/>
        </w:rPr>
        <w:t xml:space="preserve"> </w:t>
      </w:r>
      <w:r w:rsidRPr="00B94CD4">
        <w:rPr>
          <w:rFonts w:ascii="Abadi" w:hAnsi="Abadi"/>
          <w:b w:val="0"/>
          <w:bCs w:val="0"/>
          <w:sz w:val="21"/>
          <w:szCs w:val="21"/>
        </w:rPr>
        <w:t>una</w:t>
      </w:r>
      <w:r w:rsidRPr="00B94CD4">
        <w:rPr>
          <w:rFonts w:ascii="Abadi" w:hAnsi="Abadi"/>
          <w:b w:val="0"/>
          <w:bCs w:val="0"/>
          <w:spacing w:val="79"/>
          <w:sz w:val="21"/>
          <w:szCs w:val="21"/>
        </w:rPr>
        <w:t xml:space="preserve"> </w:t>
      </w:r>
      <w:r w:rsidRPr="00B94CD4">
        <w:rPr>
          <w:rFonts w:ascii="Abadi" w:hAnsi="Abadi"/>
          <w:b w:val="0"/>
          <w:bCs w:val="0"/>
          <w:sz w:val="21"/>
          <w:szCs w:val="21"/>
        </w:rPr>
        <w:t>vez</w:t>
      </w:r>
      <w:r w:rsidRPr="00B94CD4">
        <w:rPr>
          <w:rFonts w:ascii="Abadi" w:hAnsi="Abadi"/>
          <w:b w:val="0"/>
          <w:bCs w:val="0"/>
          <w:spacing w:val="79"/>
          <w:sz w:val="21"/>
          <w:szCs w:val="21"/>
        </w:rPr>
        <w:t xml:space="preserve"> </w:t>
      </w:r>
      <w:r w:rsidRPr="00B94CD4">
        <w:rPr>
          <w:rFonts w:ascii="Abadi" w:hAnsi="Abadi"/>
          <w:b w:val="0"/>
          <w:bCs w:val="0"/>
          <w:sz w:val="21"/>
          <w:szCs w:val="21"/>
        </w:rPr>
        <w:t>lo</w:t>
      </w:r>
      <w:r w:rsidRPr="00B94CD4">
        <w:rPr>
          <w:rFonts w:ascii="Abadi" w:hAnsi="Abadi"/>
          <w:b w:val="0"/>
          <w:bCs w:val="0"/>
          <w:spacing w:val="79"/>
          <w:sz w:val="21"/>
          <w:szCs w:val="21"/>
        </w:rPr>
        <w:t xml:space="preserve"> </w:t>
      </w:r>
      <w:r w:rsidRPr="00B94CD4">
        <w:rPr>
          <w:rFonts w:ascii="Abadi" w:hAnsi="Abadi"/>
          <w:b w:val="0"/>
          <w:bCs w:val="0"/>
          <w:sz w:val="21"/>
          <w:szCs w:val="21"/>
        </w:rPr>
        <w:t>cual</w:t>
      </w:r>
      <w:r w:rsidRPr="00B94CD4">
        <w:rPr>
          <w:rFonts w:ascii="Abadi" w:hAnsi="Abadi"/>
          <w:b w:val="0"/>
          <w:bCs w:val="0"/>
          <w:spacing w:val="79"/>
          <w:sz w:val="21"/>
          <w:szCs w:val="21"/>
        </w:rPr>
        <w:t xml:space="preserve"> </w:t>
      </w:r>
      <w:r w:rsidRPr="00B94CD4">
        <w:rPr>
          <w:rFonts w:ascii="Abadi" w:hAnsi="Abadi"/>
          <w:b w:val="0"/>
          <w:bCs w:val="0"/>
          <w:sz w:val="21"/>
          <w:szCs w:val="21"/>
        </w:rPr>
        <w:t>informe</w:t>
      </w:r>
      <w:r w:rsidRPr="00B94CD4">
        <w:rPr>
          <w:rFonts w:ascii="Abadi" w:hAnsi="Abadi"/>
          <w:b w:val="0"/>
          <w:bCs w:val="0"/>
          <w:spacing w:val="79"/>
          <w:sz w:val="21"/>
          <w:szCs w:val="21"/>
        </w:rPr>
        <w:t xml:space="preserve"> </w:t>
      </w:r>
      <w:r w:rsidRPr="00B94CD4">
        <w:rPr>
          <w:rFonts w:ascii="Abadi" w:hAnsi="Abadi"/>
          <w:b w:val="0"/>
          <w:bCs w:val="0"/>
          <w:sz w:val="21"/>
          <w:szCs w:val="21"/>
        </w:rPr>
        <w:t>a</w:t>
      </w:r>
      <w:r w:rsidRPr="00B94CD4">
        <w:rPr>
          <w:rFonts w:ascii="Abadi" w:hAnsi="Abadi"/>
          <w:b w:val="0"/>
          <w:bCs w:val="0"/>
          <w:spacing w:val="79"/>
          <w:sz w:val="21"/>
          <w:szCs w:val="21"/>
        </w:rPr>
        <w:t xml:space="preserve"> </w:t>
      </w:r>
      <w:r w:rsidRPr="00B94CD4">
        <w:rPr>
          <w:rFonts w:ascii="Abadi" w:hAnsi="Abadi"/>
          <w:b w:val="0"/>
          <w:bCs w:val="0"/>
          <w:sz w:val="21"/>
          <w:szCs w:val="21"/>
        </w:rPr>
        <w:t>esta</w:t>
      </w:r>
      <w:r w:rsidRPr="00B94CD4">
        <w:rPr>
          <w:rFonts w:ascii="Abadi" w:hAnsi="Abadi"/>
          <w:b w:val="0"/>
          <w:bCs w:val="0"/>
          <w:spacing w:val="79"/>
          <w:sz w:val="21"/>
          <w:szCs w:val="21"/>
        </w:rPr>
        <w:t xml:space="preserve"> </w:t>
      </w:r>
      <w:r w:rsidRPr="00B94CD4">
        <w:rPr>
          <w:rFonts w:ascii="Abadi" w:hAnsi="Abadi"/>
          <w:b w:val="0"/>
          <w:bCs w:val="0"/>
          <w:sz w:val="21"/>
          <w:szCs w:val="21"/>
        </w:rPr>
        <w:t>soberanía</w:t>
      </w:r>
      <w:r w:rsidRPr="00B94CD4">
        <w:rPr>
          <w:rFonts w:ascii="Abadi" w:hAnsi="Abadi"/>
          <w:b w:val="0"/>
          <w:bCs w:val="0"/>
          <w:spacing w:val="79"/>
          <w:sz w:val="21"/>
          <w:szCs w:val="21"/>
        </w:rPr>
        <w:t xml:space="preserve"> </w:t>
      </w:r>
      <w:r w:rsidRPr="00B94CD4">
        <w:rPr>
          <w:rFonts w:ascii="Abadi" w:hAnsi="Abadi"/>
          <w:b w:val="0"/>
          <w:bCs w:val="0"/>
          <w:sz w:val="21"/>
          <w:szCs w:val="21"/>
        </w:rPr>
        <w:t>los</w:t>
      </w:r>
      <w:r w:rsidRPr="00B94CD4">
        <w:rPr>
          <w:rFonts w:ascii="Abadi" w:hAnsi="Abadi"/>
          <w:b w:val="0"/>
          <w:bCs w:val="0"/>
          <w:spacing w:val="-2"/>
          <w:sz w:val="21"/>
          <w:szCs w:val="21"/>
        </w:rPr>
        <w:t xml:space="preserve"> </w:t>
      </w:r>
      <w:r w:rsidRPr="00B94CD4">
        <w:rPr>
          <w:rFonts w:ascii="Abadi" w:hAnsi="Abadi"/>
          <w:b w:val="0"/>
          <w:bCs w:val="0"/>
          <w:sz w:val="21"/>
          <w:szCs w:val="21"/>
        </w:rPr>
        <w:t>resultados</w:t>
      </w:r>
      <w:r w:rsidRPr="00B94CD4">
        <w:rPr>
          <w:rFonts w:ascii="Abadi" w:hAnsi="Abadi"/>
          <w:b w:val="0"/>
          <w:bCs w:val="0"/>
          <w:spacing w:val="-1"/>
          <w:sz w:val="21"/>
          <w:szCs w:val="21"/>
        </w:rPr>
        <w:t xml:space="preserve"> </w:t>
      </w:r>
      <w:r w:rsidRPr="00B94CD4">
        <w:rPr>
          <w:rFonts w:ascii="Abadi" w:hAnsi="Abadi"/>
          <w:b w:val="0"/>
          <w:bCs w:val="0"/>
          <w:sz w:val="21"/>
          <w:szCs w:val="21"/>
        </w:rPr>
        <w:t xml:space="preserve">encontrados. </w:t>
      </w:r>
      <w:r w:rsidRPr="00B94CD4">
        <w:rPr>
          <w:rFonts w:ascii="Abadi" w:hAnsi="Abadi"/>
          <w:sz w:val="21"/>
          <w:szCs w:val="21"/>
        </w:rPr>
        <w:t>XIX.-</w:t>
      </w:r>
      <w:r w:rsidRPr="00B94CD4">
        <w:rPr>
          <w:rFonts w:ascii="Abadi" w:hAnsi="Abadi"/>
          <w:b w:val="0"/>
          <w:bCs w:val="0"/>
          <w:sz w:val="21"/>
          <w:szCs w:val="21"/>
        </w:rPr>
        <w:t xml:space="preserve"> Discusión</w:t>
      </w:r>
      <w:r w:rsidRPr="00B94CD4">
        <w:rPr>
          <w:rFonts w:ascii="Abadi" w:hAnsi="Abadi"/>
          <w:b w:val="0"/>
          <w:bCs w:val="0"/>
          <w:spacing w:val="50"/>
          <w:w w:val="150"/>
          <w:sz w:val="21"/>
          <w:szCs w:val="21"/>
        </w:rPr>
        <w:t xml:space="preserve"> </w:t>
      </w:r>
      <w:r w:rsidRPr="00B94CD4">
        <w:rPr>
          <w:rFonts w:ascii="Abadi" w:hAnsi="Abadi"/>
          <w:b w:val="0"/>
          <w:bCs w:val="0"/>
          <w:sz w:val="21"/>
          <w:szCs w:val="21"/>
        </w:rPr>
        <w:t>y,</w:t>
      </w:r>
      <w:r w:rsidRPr="00B94CD4">
        <w:rPr>
          <w:rFonts w:ascii="Abadi" w:hAnsi="Abadi"/>
          <w:b w:val="0"/>
          <w:bCs w:val="0"/>
          <w:spacing w:val="50"/>
          <w:w w:val="150"/>
          <w:sz w:val="21"/>
          <w:szCs w:val="21"/>
        </w:rPr>
        <w:t xml:space="preserve"> </w:t>
      </w:r>
      <w:r w:rsidRPr="00B94CD4">
        <w:rPr>
          <w:rFonts w:ascii="Abadi" w:hAnsi="Abadi"/>
          <w:b w:val="0"/>
          <w:bCs w:val="0"/>
          <w:sz w:val="21"/>
          <w:szCs w:val="21"/>
        </w:rPr>
        <w:t>en</w:t>
      </w:r>
      <w:r w:rsidRPr="00B94CD4">
        <w:rPr>
          <w:rFonts w:ascii="Abadi" w:hAnsi="Abadi"/>
          <w:b w:val="0"/>
          <w:bCs w:val="0"/>
          <w:spacing w:val="50"/>
          <w:w w:val="150"/>
          <w:sz w:val="21"/>
          <w:szCs w:val="21"/>
        </w:rPr>
        <w:t xml:space="preserve"> </w:t>
      </w:r>
      <w:r w:rsidRPr="00B94CD4">
        <w:rPr>
          <w:rFonts w:ascii="Abadi" w:hAnsi="Abadi"/>
          <w:b w:val="0"/>
          <w:bCs w:val="0"/>
          <w:sz w:val="21"/>
          <w:szCs w:val="21"/>
        </w:rPr>
        <w:t>su</w:t>
      </w:r>
      <w:r w:rsidRPr="00B94CD4">
        <w:rPr>
          <w:rFonts w:ascii="Abadi" w:hAnsi="Abadi"/>
          <w:b w:val="0"/>
          <w:bCs w:val="0"/>
          <w:spacing w:val="50"/>
          <w:w w:val="150"/>
          <w:sz w:val="21"/>
          <w:szCs w:val="21"/>
        </w:rPr>
        <w:t xml:space="preserve"> </w:t>
      </w:r>
      <w:r w:rsidRPr="00B94CD4">
        <w:rPr>
          <w:rFonts w:ascii="Abadi" w:hAnsi="Abadi"/>
          <w:b w:val="0"/>
          <w:bCs w:val="0"/>
          <w:sz w:val="21"/>
          <w:szCs w:val="21"/>
        </w:rPr>
        <w:t>caso,</w:t>
      </w:r>
      <w:r w:rsidRPr="00B94CD4">
        <w:rPr>
          <w:rFonts w:ascii="Abadi" w:hAnsi="Abadi"/>
          <w:b w:val="0"/>
          <w:bCs w:val="0"/>
          <w:spacing w:val="50"/>
          <w:w w:val="150"/>
          <w:sz w:val="21"/>
          <w:szCs w:val="21"/>
        </w:rPr>
        <w:t xml:space="preserve"> </w:t>
      </w:r>
      <w:r w:rsidRPr="00B94CD4">
        <w:rPr>
          <w:rFonts w:ascii="Abadi" w:hAnsi="Abadi"/>
          <w:b w:val="0"/>
          <w:bCs w:val="0"/>
          <w:sz w:val="21"/>
          <w:szCs w:val="21"/>
        </w:rPr>
        <w:t>aprobación</w:t>
      </w:r>
      <w:r w:rsidRPr="00B94CD4">
        <w:rPr>
          <w:rFonts w:ascii="Abadi" w:hAnsi="Abadi"/>
          <w:b w:val="0"/>
          <w:bCs w:val="0"/>
          <w:spacing w:val="50"/>
          <w:w w:val="150"/>
          <w:sz w:val="21"/>
          <w:szCs w:val="21"/>
        </w:rPr>
        <w:t xml:space="preserve"> </w:t>
      </w:r>
      <w:r w:rsidRPr="00B94CD4">
        <w:rPr>
          <w:rFonts w:ascii="Abadi" w:hAnsi="Abadi"/>
          <w:b w:val="0"/>
          <w:bCs w:val="0"/>
          <w:sz w:val="21"/>
          <w:szCs w:val="21"/>
        </w:rPr>
        <w:t>del</w:t>
      </w:r>
      <w:r w:rsidRPr="00B94CD4">
        <w:rPr>
          <w:rFonts w:ascii="Abadi" w:hAnsi="Abadi"/>
          <w:b w:val="0"/>
          <w:bCs w:val="0"/>
          <w:spacing w:val="50"/>
          <w:w w:val="150"/>
          <w:sz w:val="21"/>
          <w:szCs w:val="21"/>
        </w:rPr>
        <w:t xml:space="preserve"> </w:t>
      </w:r>
      <w:r w:rsidRPr="00B94CD4">
        <w:rPr>
          <w:rFonts w:ascii="Abadi" w:hAnsi="Abadi"/>
          <w:b w:val="0"/>
          <w:bCs w:val="0"/>
          <w:sz w:val="21"/>
          <w:szCs w:val="21"/>
        </w:rPr>
        <w:t>dictamen</w:t>
      </w:r>
      <w:r w:rsidRPr="00B94CD4">
        <w:rPr>
          <w:rFonts w:ascii="Abadi" w:hAnsi="Abadi"/>
          <w:b w:val="0"/>
          <w:bCs w:val="0"/>
          <w:spacing w:val="50"/>
          <w:w w:val="150"/>
          <w:sz w:val="21"/>
          <w:szCs w:val="21"/>
        </w:rPr>
        <w:t xml:space="preserve"> </w:t>
      </w:r>
      <w:r w:rsidRPr="00B94CD4">
        <w:rPr>
          <w:rFonts w:ascii="Abadi" w:hAnsi="Abadi"/>
          <w:b w:val="0"/>
          <w:bCs w:val="0"/>
          <w:sz w:val="21"/>
          <w:szCs w:val="21"/>
        </w:rPr>
        <w:t>presentado</w:t>
      </w:r>
      <w:r w:rsidRPr="00B94CD4">
        <w:rPr>
          <w:rFonts w:ascii="Abadi" w:hAnsi="Abadi"/>
          <w:b w:val="0"/>
          <w:bCs w:val="0"/>
          <w:spacing w:val="50"/>
          <w:w w:val="150"/>
          <w:sz w:val="21"/>
          <w:szCs w:val="21"/>
        </w:rPr>
        <w:t xml:space="preserve"> </w:t>
      </w:r>
      <w:r w:rsidRPr="00B94CD4">
        <w:rPr>
          <w:rFonts w:ascii="Abadi" w:hAnsi="Abadi"/>
          <w:b w:val="0"/>
          <w:bCs w:val="0"/>
          <w:sz w:val="21"/>
          <w:szCs w:val="21"/>
        </w:rPr>
        <w:t>por</w:t>
      </w:r>
      <w:r w:rsidRPr="00B94CD4">
        <w:rPr>
          <w:rFonts w:ascii="Abadi" w:hAnsi="Abadi"/>
          <w:b w:val="0"/>
          <w:bCs w:val="0"/>
          <w:spacing w:val="50"/>
          <w:w w:val="150"/>
          <w:sz w:val="21"/>
          <w:szCs w:val="21"/>
        </w:rPr>
        <w:t xml:space="preserve"> </w:t>
      </w:r>
      <w:r w:rsidRPr="00B94CD4">
        <w:rPr>
          <w:rFonts w:ascii="Abadi" w:hAnsi="Abadi"/>
          <w:b w:val="0"/>
          <w:bCs w:val="0"/>
          <w:sz w:val="21"/>
          <w:szCs w:val="21"/>
        </w:rPr>
        <w:t>la</w:t>
      </w:r>
      <w:r w:rsidRPr="00B94CD4">
        <w:rPr>
          <w:rFonts w:ascii="Abadi" w:hAnsi="Abadi"/>
          <w:b w:val="0"/>
          <w:bCs w:val="0"/>
          <w:spacing w:val="-1"/>
          <w:sz w:val="21"/>
          <w:szCs w:val="21"/>
        </w:rPr>
        <w:t xml:space="preserve"> </w:t>
      </w:r>
      <w:r w:rsidRPr="00B94CD4">
        <w:rPr>
          <w:rFonts w:ascii="Abadi" w:hAnsi="Abadi"/>
          <w:b w:val="0"/>
          <w:bCs w:val="0"/>
          <w:sz w:val="21"/>
          <w:szCs w:val="21"/>
        </w:rPr>
        <w:t>Comisión</w:t>
      </w:r>
      <w:r w:rsidRPr="00B94CD4">
        <w:rPr>
          <w:rFonts w:ascii="Abadi" w:hAnsi="Abadi"/>
          <w:b w:val="0"/>
          <w:bCs w:val="0"/>
          <w:spacing w:val="15"/>
          <w:sz w:val="21"/>
          <w:szCs w:val="21"/>
        </w:rPr>
        <w:t xml:space="preserve"> </w:t>
      </w:r>
      <w:r w:rsidRPr="00B94CD4">
        <w:rPr>
          <w:rFonts w:ascii="Abadi" w:hAnsi="Abadi"/>
          <w:b w:val="0"/>
          <w:bCs w:val="0"/>
          <w:sz w:val="21"/>
          <w:szCs w:val="21"/>
        </w:rPr>
        <w:t>de</w:t>
      </w:r>
      <w:r w:rsidRPr="00B94CD4">
        <w:rPr>
          <w:rFonts w:ascii="Abadi" w:hAnsi="Abadi"/>
          <w:b w:val="0"/>
          <w:bCs w:val="0"/>
          <w:spacing w:val="14"/>
          <w:sz w:val="21"/>
          <w:szCs w:val="21"/>
        </w:rPr>
        <w:t xml:space="preserve"> </w:t>
      </w:r>
      <w:r w:rsidRPr="00B94CD4">
        <w:rPr>
          <w:rFonts w:ascii="Abadi" w:hAnsi="Abadi"/>
          <w:b w:val="0"/>
          <w:bCs w:val="0"/>
          <w:sz w:val="21"/>
          <w:szCs w:val="21"/>
        </w:rPr>
        <w:t>Gobernación</w:t>
      </w:r>
      <w:r w:rsidRPr="00B94CD4">
        <w:rPr>
          <w:rFonts w:ascii="Abadi" w:hAnsi="Abadi"/>
          <w:b w:val="0"/>
          <w:bCs w:val="0"/>
          <w:spacing w:val="14"/>
          <w:sz w:val="21"/>
          <w:szCs w:val="21"/>
        </w:rPr>
        <w:t xml:space="preserve"> </w:t>
      </w:r>
      <w:r w:rsidRPr="00B94CD4">
        <w:rPr>
          <w:rFonts w:ascii="Abadi" w:hAnsi="Abadi"/>
          <w:b w:val="0"/>
          <w:bCs w:val="0"/>
          <w:sz w:val="21"/>
          <w:szCs w:val="21"/>
        </w:rPr>
        <w:t>y</w:t>
      </w:r>
      <w:r w:rsidRPr="00B94CD4">
        <w:rPr>
          <w:rFonts w:ascii="Abadi" w:hAnsi="Abadi"/>
          <w:b w:val="0"/>
          <w:bCs w:val="0"/>
          <w:spacing w:val="14"/>
          <w:sz w:val="21"/>
          <w:szCs w:val="21"/>
        </w:rPr>
        <w:t xml:space="preserve"> </w:t>
      </w:r>
      <w:r w:rsidRPr="00B94CD4">
        <w:rPr>
          <w:rFonts w:ascii="Abadi" w:hAnsi="Abadi"/>
          <w:b w:val="0"/>
          <w:bCs w:val="0"/>
          <w:sz w:val="21"/>
          <w:szCs w:val="21"/>
        </w:rPr>
        <w:t>Puntos</w:t>
      </w:r>
      <w:r w:rsidRPr="00B94CD4">
        <w:rPr>
          <w:rFonts w:ascii="Abadi" w:hAnsi="Abadi"/>
          <w:b w:val="0"/>
          <w:bCs w:val="0"/>
          <w:spacing w:val="14"/>
          <w:sz w:val="21"/>
          <w:szCs w:val="21"/>
        </w:rPr>
        <w:t xml:space="preserve"> </w:t>
      </w:r>
      <w:r w:rsidRPr="00B94CD4">
        <w:rPr>
          <w:rFonts w:ascii="Abadi" w:hAnsi="Abadi"/>
          <w:b w:val="0"/>
          <w:bCs w:val="0"/>
          <w:sz w:val="21"/>
          <w:szCs w:val="21"/>
        </w:rPr>
        <w:t>Constitucionales</w:t>
      </w:r>
      <w:r w:rsidRPr="00B94CD4">
        <w:rPr>
          <w:rFonts w:ascii="Abadi" w:hAnsi="Abadi"/>
          <w:b w:val="0"/>
          <w:bCs w:val="0"/>
          <w:spacing w:val="13"/>
          <w:sz w:val="21"/>
          <w:szCs w:val="21"/>
        </w:rPr>
        <w:t xml:space="preserve"> </w:t>
      </w:r>
      <w:r w:rsidRPr="00B94CD4">
        <w:rPr>
          <w:rFonts w:ascii="Abadi" w:hAnsi="Abadi"/>
          <w:b w:val="0"/>
          <w:bCs w:val="0"/>
          <w:sz w:val="21"/>
          <w:szCs w:val="21"/>
        </w:rPr>
        <w:t>relativo</w:t>
      </w:r>
      <w:r w:rsidRPr="00B94CD4">
        <w:rPr>
          <w:rFonts w:ascii="Abadi" w:hAnsi="Abadi"/>
          <w:b w:val="0"/>
          <w:bCs w:val="0"/>
          <w:spacing w:val="14"/>
          <w:sz w:val="21"/>
          <w:szCs w:val="21"/>
        </w:rPr>
        <w:t xml:space="preserve"> </w:t>
      </w:r>
      <w:r w:rsidRPr="00B94CD4">
        <w:rPr>
          <w:rFonts w:ascii="Abadi" w:hAnsi="Abadi"/>
          <w:b w:val="0"/>
          <w:bCs w:val="0"/>
          <w:sz w:val="21"/>
          <w:szCs w:val="21"/>
        </w:rPr>
        <w:t>a</w:t>
      </w:r>
      <w:r w:rsidRPr="00B94CD4">
        <w:rPr>
          <w:rFonts w:ascii="Abadi" w:hAnsi="Abadi"/>
          <w:b w:val="0"/>
          <w:bCs w:val="0"/>
          <w:spacing w:val="14"/>
          <w:sz w:val="21"/>
          <w:szCs w:val="21"/>
        </w:rPr>
        <w:t xml:space="preserve"> </w:t>
      </w:r>
      <w:r w:rsidRPr="00B94CD4">
        <w:rPr>
          <w:rFonts w:ascii="Abadi" w:hAnsi="Abadi"/>
          <w:b w:val="0"/>
          <w:bCs w:val="0"/>
          <w:sz w:val="21"/>
          <w:szCs w:val="21"/>
        </w:rPr>
        <w:t>la</w:t>
      </w:r>
      <w:r w:rsidRPr="00B94CD4">
        <w:rPr>
          <w:rFonts w:ascii="Abadi" w:hAnsi="Abadi"/>
          <w:b w:val="0"/>
          <w:bCs w:val="0"/>
          <w:spacing w:val="14"/>
          <w:sz w:val="21"/>
          <w:szCs w:val="21"/>
        </w:rPr>
        <w:t xml:space="preserve"> </w:t>
      </w:r>
      <w:r w:rsidRPr="00B94CD4">
        <w:rPr>
          <w:rFonts w:ascii="Abadi" w:hAnsi="Abadi"/>
          <w:b w:val="0"/>
          <w:bCs w:val="0"/>
          <w:sz w:val="21"/>
          <w:szCs w:val="21"/>
        </w:rPr>
        <w:t>iniciativa</w:t>
      </w:r>
      <w:r w:rsidRPr="00B94CD4">
        <w:rPr>
          <w:rFonts w:ascii="Abadi" w:hAnsi="Abadi"/>
          <w:b w:val="0"/>
          <w:bCs w:val="0"/>
          <w:spacing w:val="-1"/>
          <w:sz w:val="21"/>
          <w:szCs w:val="21"/>
        </w:rPr>
        <w:t xml:space="preserve"> </w:t>
      </w:r>
      <w:r w:rsidRPr="00B94CD4">
        <w:rPr>
          <w:rFonts w:ascii="Abadi" w:hAnsi="Abadi"/>
          <w:b w:val="0"/>
          <w:bCs w:val="0"/>
          <w:sz w:val="21"/>
          <w:szCs w:val="21"/>
        </w:rPr>
        <w:t>formulada</w:t>
      </w:r>
      <w:r w:rsidRPr="00B94CD4">
        <w:rPr>
          <w:rFonts w:ascii="Abadi" w:hAnsi="Abadi"/>
          <w:b w:val="0"/>
          <w:bCs w:val="0"/>
          <w:spacing w:val="30"/>
          <w:sz w:val="21"/>
          <w:szCs w:val="21"/>
        </w:rPr>
        <w:t xml:space="preserve"> </w:t>
      </w:r>
      <w:r w:rsidRPr="00B94CD4">
        <w:rPr>
          <w:rFonts w:ascii="Abadi" w:hAnsi="Abadi"/>
          <w:b w:val="0"/>
          <w:bCs w:val="0"/>
          <w:sz w:val="21"/>
          <w:szCs w:val="21"/>
        </w:rPr>
        <w:t>por</w:t>
      </w:r>
      <w:r w:rsidRPr="00B94CD4">
        <w:rPr>
          <w:rFonts w:ascii="Abadi" w:hAnsi="Abadi"/>
          <w:b w:val="0"/>
          <w:bCs w:val="0"/>
          <w:spacing w:val="30"/>
          <w:sz w:val="21"/>
          <w:szCs w:val="21"/>
        </w:rPr>
        <w:t xml:space="preserve"> </w:t>
      </w:r>
      <w:r w:rsidRPr="00B94CD4">
        <w:rPr>
          <w:rFonts w:ascii="Abadi" w:hAnsi="Abadi"/>
          <w:b w:val="0"/>
          <w:bCs w:val="0"/>
          <w:sz w:val="21"/>
          <w:szCs w:val="21"/>
        </w:rPr>
        <w:t>la</w:t>
      </w:r>
      <w:r w:rsidRPr="00B94CD4">
        <w:rPr>
          <w:rFonts w:ascii="Abadi" w:hAnsi="Abadi"/>
          <w:b w:val="0"/>
          <w:bCs w:val="0"/>
          <w:spacing w:val="30"/>
          <w:sz w:val="21"/>
          <w:szCs w:val="21"/>
        </w:rPr>
        <w:t xml:space="preserve"> </w:t>
      </w:r>
      <w:r w:rsidRPr="00B94CD4">
        <w:rPr>
          <w:rFonts w:ascii="Abadi" w:hAnsi="Abadi"/>
          <w:b w:val="0"/>
          <w:bCs w:val="0"/>
          <w:sz w:val="21"/>
          <w:szCs w:val="21"/>
        </w:rPr>
        <w:t>diputada</w:t>
      </w:r>
      <w:r w:rsidRPr="00B94CD4">
        <w:rPr>
          <w:rFonts w:ascii="Abadi" w:hAnsi="Abadi"/>
          <w:b w:val="0"/>
          <w:bCs w:val="0"/>
          <w:spacing w:val="30"/>
          <w:sz w:val="21"/>
          <w:szCs w:val="21"/>
        </w:rPr>
        <w:t xml:space="preserve"> </w:t>
      </w:r>
      <w:r w:rsidRPr="00B94CD4">
        <w:rPr>
          <w:rFonts w:ascii="Abadi" w:hAnsi="Abadi"/>
          <w:b w:val="0"/>
          <w:bCs w:val="0"/>
          <w:sz w:val="21"/>
          <w:szCs w:val="21"/>
        </w:rPr>
        <w:t>María</w:t>
      </w:r>
      <w:r w:rsidRPr="00B94CD4">
        <w:rPr>
          <w:rFonts w:ascii="Abadi" w:hAnsi="Abadi"/>
          <w:b w:val="0"/>
          <w:bCs w:val="0"/>
          <w:spacing w:val="30"/>
          <w:sz w:val="21"/>
          <w:szCs w:val="21"/>
        </w:rPr>
        <w:t xml:space="preserve"> </w:t>
      </w:r>
      <w:r w:rsidRPr="00B94CD4">
        <w:rPr>
          <w:rFonts w:ascii="Abadi" w:hAnsi="Abadi"/>
          <w:b w:val="0"/>
          <w:bCs w:val="0"/>
          <w:sz w:val="21"/>
          <w:szCs w:val="21"/>
        </w:rPr>
        <w:t>Magdalena</w:t>
      </w:r>
      <w:r w:rsidRPr="00B94CD4">
        <w:rPr>
          <w:rFonts w:ascii="Abadi" w:hAnsi="Abadi"/>
          <w:b w:val="0"/>
          <w:bCs w:val="0"/>
          <w:spacing w:val="30"/>
          <w:sz w:val="21"/>
          <w:szCs w:val="21"/>
        </w:rPr>
        <w:t xml:space="preserve"> </w:t>
      </w:r>
      <w:r w:rsidRPr="00B94CD4">
        <w:rPr>
          <w:rFonts w:ascii="Abadi" w:hAnsi="Abadi"/>
          <w:b w:val="0"/>
          <w:bCs w:val="0"/>
          <w:sz w:val="21"/>
          <w:szCs w:val="21"/>
        </w:rPr>
        <w:t>Rosales</w:t>
      </w:r>
      <w:r w:rsidRPr="00B94CD4">
        <w:rPr>
          <w:rFonts w:ascii="Abadi" w:hAnsi="Abadi"/>
          <w:b w:val="0"/>
          <w:bCs w:val="0"/>
          <w:spacing w:val="30"/>
          <w:sz w:val="21"/>
          <w:szCs w:val="21"/>
        </w:rPr>
        <w:t xml:space="preserve"> </w:t>
      </w:r>
      <w:r w:rsidRPr="00B94CD4">
        <w:rPr>
          <w:rFonts w:ascii="Abadi" w:hAnsi="Abadi"/>
          <w:b w:val="0"/>
          <w:bCs w:val="0"/>
          <w:sz w:val="21"/>
          <w:szCs w:val="21"/>
        </w:rPr>
        <w:t>Cruz,</w:t>
      </w:r>
      <w:r w:rsidRPr="00B94CD4">
        <w:rPr>
          <w:rFonts w:ascii="Abadi" w:hAnsi="Abadi"/>
          <w:b w:val="0"/>
          <w:bCs w:val="0"/>
          <w:spacing w:val="30"/>
          <w:sz w:val="21"/>
          <w:szCs w:val="21"/>
        </w:rPr>
        <w:t xml:space="preserve"> </w:t>
      </w:r>
      <w:r w:rsidRPr="00B94CD4">
        <w:rPr>
          <w:rFonts w:ascii="Abadi" w:hAnsi="Abadi"/>
          <w:b w:val="0"/>
          <w:bCs w:val="0"/>
          <w:sz w:val="21"/>
          <w:szCs w:val="21"/>
        </w:rPr>
        <w:t>integrante</w:t>
      </w:r>
      <w:r w:rsidRPr="00B94CD4">
        <w:rPr>
          <w:rFonts w:ascii="Abadi" w:hAnsi="Abadi"/>
          <w:b w:val="0"/>
          <w:bCs w:val="0"/>
          <w:spacing w:val="30"/>
          <w:sz w:val="21"/>
          <w:szCs w:val="21"/>
        </w:rPr>
        <w:t xml:space="preserve"> </w:t>
      </w:r>
      <w:r w:rsidRPr="00B94CD4">
        <w:rPr>
          <w:rFonts w:ascii="Abadi" w:hAnsi="Abadi"/>
          <w:b w:val="0"/>
          <w:bCs w:val="0"/>
          <w:sz w:val="21"/>
          <w:szCs w:val="21"/>
        </w:rPr>
        <w:t>del</w:t>
      </w:r>
      <w:r w:rsidRPr="00B94CD4">
        <w:rPr>
          <w:rFonts w:ascii="Abadi" w:hAnsi="Abadi"/>
          <w:b w:val="0"/>
          <w:bCs w:val="0"/>
          <w:spacing w:val="-1"/>
          <w:sz w:val="21"/>
          <w:szCs w:val="21"/>
        </w:rPr>
        <w:t xml:space="preserve"> </w:t>
      </w:r>
      <w:r w:rsidRPr="00B94CD4">
        <w:rPr>
          <w:rFonts w:ascii="Abadi" w:hAnsi="Abadi"/>
          <w:b w:val="0"/>
          <w:bCs w:val="0"/>
          <w:sz w:val="21"/>
          <w:szCs w:val="21"/>
        </w:rPr>
        <w:t>Grupo</w:t>
      </w:r>
      <w:r w:rsidRPr="00B94CD4">
        <w:rPr>
          <w:rFonts w:ascii="Abadi" w:hAnsi="Abadi"/>
          <w:b w:val="0"/>
          <w:bCs w:val="0"/>
          <w:spacing w:val="-5"/>
          <w:sz w:val="21"/>
          <w:szCs w:val="21"/>
        </w:rPr>
        <w:t xml:space="preserve"> </w:t>
      </w:r>
      <w:r w:rsidRPr="00B94CD4">
        <w:rPr>
          <w:rFonts w:ascii="Abadi" w:hAnsi="Abadi"/>
          <w:b w:val="0"/>
          <w:bCs w:val="0"/>
          <w:sz w:val="21"/>
          <w:szCs w:val="21"/>
        </w:rPr>
        <w:t>Parlamentario</w:t>
      </w:r>
      <w:r w:rsidRPr="00B94CD4">
        <w:rPr>
          <w:rFonts w:ascii="Abadi" w:hAnsi="Abadi"/>
          <w:b w:val="0"/>
          <w:bCs w:val="0"/>
          <w:spacing w:val="-5"/>
          <w:sz w:val="21"/>
          <w:szCs w:val="21"/>
        </w:rPr>
        <w:t xml:space="preserve"> </w:t>
      </w:r>
      <w:r w:rsidRPr="00B94CD4">
        <w:rPr>
          <w:rFonts w:ascii="Abadi" w:hAnsi="Abadi"/>
          <w:b w:val="0"/>
          <w:bCs w:val="0"/>
          <w:sz w:val="21"/>
          <w:szCs w:val="21"/>
        </w:rPr>
        <w:t>del</w:t>
      </w:r>
      <w:r w:rsidRPr="00B94CD4">
        <w:rPr>
          <w:rFonts w:ascii="Abadi" w:hAnsi="Abadi"/>
          <w:b w:val="0"/>
          <w:bCs w:val="0"/>
          <w:spacing w:val="-6"/>
          <w:sz w:val="21"/>
          <w:szCs w:val="21"/>
        </w:rPr>
        <w:t xml:space="preserve"> </w:t>
      </w:r>
      <w:r w:rsidRPr="00B94CD4">
        <w:rPr>
          <w:rFonts w:ascii="Abadi" w:hAnsi="Abadi"/>
          <w:b w:val="0"/>
          <w:bCs w:val="0"/>
          <w:sz w:val="21"/>
          <w:szCs w:val="21"/>
        </w:rPr>
        <w:t>Partido</w:t>
      </w:r>
      <w:r w:rsidRPr="00B94CD4">
        <w:rPr>
          <w:rFonts w:ascii="Abadi" w:hAnsi="Abadi"/>
          <w:b w:val="0"/>
          <w:bCs w:val="0"/>
          <w:spacing w:val="-5"/>
          <w:sz w:val="21"/>
          <w:szCs w:val="21"/>
        </w:rPr>
        <w:t xml:space="preserve"> </w:t>
      </w:r>
      <w:r w:rsidRPr="00B94CD4">
        <w:rPr>
          <w:rFonts w:ascii="Abadi" w:hAnsi="Abadi"/>
          <w:b w:val="0"/>
          <w:bCs w:val="0"/>
          <w:sz w:val="21"/>
          <w:szCs w:val="21"/>
        </w:rPr>
        <w:t>Morena,</w:t>
      </w:r>
      <w:r w:rsidRPr="00B94CD4">
        <w:rPr>
          <w:rFonts w:ascii="Abadi" w:hAnsi="Abadi"/>
          <w:b w:val="0"/>
          <w:bCs w:val="0"/>
          <w:spacing w:val="-6"/>
          <w:sz w:val="21"/>
          <w:szCs w:val="21"/>
        </w:rPr>
        <w:t xml:space="preserve"> </w:t>
      </w:r>
      <w:r w:rsidRPr="00B94CD4">
        <w:rPr>
          <w:rFonts w:ascii="Abadi" w:hAnsi="Abadi"/>
          <w:b w:val="0"/>
          <w:bCs w:val="0"/>
          <w:sz w:val="21"/>
          <w:szCs w:val="21"/>
        </w:rPr>
        <w:t>a</w:t>
      </w:r>
      <w:r w:rsidRPr="00B94CD4">
        <w:rPr>
          <w:rFonts w:ascii="Abadi" w:hAnsi="Abadi"/>
          <w:b w:val="0"/>
          <w:bCs w:val="0"/>
          <w:spacing w:val="-5"/>
          <w:sz w:val="21"/>
          <w:szCs w:val="21"/>
        </w:rPr>
        <w:t xml:space="preserve"> </w:t>
      </w:r>
      <w:r w:rsidRPr="00B94CD4">
        <w:rPr>
          <w:rFonts w:ascii="Abadi" w:hAnsi="Abadi"/>
          <w:b w:val="0"/>
          <w:bCs w:val="0"/>
          <w:sz w:val="21"/>
          <w:szCs w:val="21"/>
        </w:rPr>
        <w:t>efecto</w:t>
      </w:r>
      <w:r w:rsidRPr="00B94CD4">
        <w:rPr>
          <w:rFonts w:ascii="Abadi" w:hAnsi="Abadi"/>
          <w:b w:val="0"/>
          <w:bCs w:val="0"/>
          <w:spacing w:val="-6"/>
          <w:sz w:val="21"/>
          <w:szCs w:val="21"/>
        </w:rPr>
        <w:t xml:space="preserve"> </w:t>
      </w:r>
      <w:r w:rsidRPr="00B94CD4">
        <w:rPr>
          <w:rFonts w:ascii="Abadi" w:hAnsi="Abadi"/>
          <w:b w:val="0"/>
          <w:bCs w:val="0"/>
          <w:sz w:val="21"/>
          <w:szCs w:val="21"/>
        </w:rPr>
        <w:t>de</w:t>
      </w:r>
      <w:r w:rsidRPr="00B94CD4">
        <w:rPr>
          <w:rFonts w:ascii="Abadi" w:hAnsi="Abadi"/>
          <w:b w:val="0"/>
          <w:bCs w:val="0"/>
          <w:spacing w:val="-5"/>
          <w:sz w:val="21"/>
          <w:szCs w:val="21"/>
        </w:rPr>
        <w:t xml:space="preserve"> </w:t>
      </w:r>
      <w:r w:rsidRPr="00B94CD4">
        <w:rPr>
          <w:rFonts w:ascii="Abadi" w:hAnsi="Abadi"/>
          <w:b w:val="0"/>
          <w:bCs w:val="0"/>
          <w:sz w:val="21"/>
          <w:szCs w:val="21"/>
        </w:rPr>
        <w:t>reformar</w:t>
      </w:r>
      <w:r w:rsidRPr="00B94CD4">
        <w:rPr>
          <w:rFonts w:ascii="Abadi" w:hAnsi="Abadi"/>
          <w:b w:val="0"/>
          <w:bCs w:val="0"/>
          <w:spacing w:val="-6"/>
          <w:sz w:val="21"/>
          <w:szCs w:val="21"/>
        </w:rPr>
        <w:t xml:space="preserve"> </w:t>
      </w:r>
      <w:r w:rsidRPr="00B94CD4">
        <w:rPr>
          <w:rFonts w:ascii="Abadi" w:hAnsi="Abadi"/>
          <w:b w:val="0"/>
          <w:bCs w:val="0"/>
          <w:sz w:val="21"/>
          <w:szCs w:val="21"/>
        </w:rPr>
        <w:t>el</w:t>
      </w:r>
      <w:r w:rsidRPr="00B94CD4">
        <w:rPr>
          <w:rFonts w:ascii="Abadi" w:hAnsi="Abadi"/>
          <w:b w:val="0"/>
          <w:bCs w:val="0"/>
          <w:spacing w:val="-6"/>
          <w:sz w:val="21"/>
          <w:szCs w:val="21"/>
        </w:rPr>
        <w:t xml:space="preserve"> </w:t>
      </w:r>
      <w:r w:rsidRPr="00B94CD4">
        <w:rPr>
          <w:rFonts w:ascii="Abadi" w:hAnsi="Abadi"/>
          <w:b w:val="0"/>
          <w:bCs w:val="0"/>
          <w:sz w:val="21"/>
          <w:szCs w:val="21"/>
        </w:rPr>
        <w:t>artículo</w:t>
      </w:r>
      <w:r w:rsidRPr="00B94CD4">
        <w:rPr>
          <w:rFonts w:ascii="Abadi" w:hAnsi="Abadi"/>
          <w:b w:val="0"/>
          <w:bCs w:val="0"/>
          <w:spacing w:val="-5"/>
          <w:sz w:val="21"/>
          <w:szCs w:val="21"/>
        </w:rPr>
        <w:t xml:space="preserve"> </w:t>
      </w:r>
      <w:r w:rsidRPr="00B94CD4">
        <w:rPr>
          <w:rFonts w:ascii="Abadi" w:hAnsi="Abadi"/>
          <w:b w:val="0"/>
          <w:bCs w:val="0"/>
          <w:sz w:val="21"/>
          <w:szCs w:val="21"/>
        </w:rPr>
        <w:t>30</w:t>
      </w:r>
      <w:r w:rsidRPr="00B94CD4">
        <w:rPr>
          <w:rFonts w:ascii="Abadi" w:hAnsi="Abadi"/>
          <w:b w:val="0"/>
          <w:bCs w:val="0"/>
          <w:spacing w:val="-1"/>
          <w:sz w:val="21"/>
          <w:szCs w:val="21"/>
        </w:rPr>
        <w:t xml:space="preserve"> </w:t>
      </w:r>
      <w:r w:rsidRPr="00B94CD4">
        <w:rPr>
          <w:rFonts w:ascii="Abadi" w:hAnsi="Abadi"/>
          <w:b w:val="0"/>
          <w:bCs w:val="0"/>
          <w:sz w:val="21"/>
          <w:szCs w:val="21"/>
        </w:rPr>
        <w:t>de</w:t>
      </w:r>
      <w:r w:rsidRPr="00B94CD4">
        <w:rPr>
          <w:rFonts w:ascii="Abadi" w:hAnsi="Abadi"/>
          <w:b w:val="0"/>
          <w:bCs w:val="0"/>
          <w:spacing w:val="22"/>
          <w:sz w:val="21"/>
          <w:szCs w:val="21"/>
        </w:rPr>
        <w:t xml:space="preserve"> </w:t>
      </w:r>
      <w:r w:rsidRPr="00B94CD4">
        <w:rPr>
          <w:rFonts w:ascii="Abadi" w:hAnsi="Abadi"/>
          <w:b w:val="0"/>
          <w:bCs w:val="0"/>
          <w:sz w:val="21"/>
          <w:szCs w:val="21"/>
        </w:rPr>
        <w:t>la</w:t>
      </w:r>
      <w:r w:rsidRPr="00B94CD4">
        <w:rPr>
          <w:rFonts w:ascii="Abadi" w:hAnsi="Abadi"/>
          <w:b w:val="0"/>
          <w:bCs w:val="0"/>
          <w:spacing w:val="22"/>
          <w:sz w:val="21"/>
          <w:szCs w:val="21"/>
        </w:rPr>
        <w:t xml:space="preserve"> </w:t>
      </w:r>
      <w:r w:rsidRPr="00B94CD4">
        <w:rPr>
          <w:rFonts w:ascii="Abadi" w:hAnsi="Abadi"/>
          <w:b w:val="0"/>
          <w:bCs w:val="0"/>
          <w:sz w:val="21"/>
          <w:szCs w:val="21"/>
        </w:rPr>
        <w:t>Constitución</w:t>
      </w:r>
      <w:r w:rsidRPr="00B94CD4">
        <w:rPr>
          <w:rFonts w:ascii="Abadi" w:hAnsi="Abadi"/>
          <w:b w:val="0"/>
          <w:bCs w:val="0"/>
          <w:spacing w:val="22"/>
          <w:sz w:val="21"/>
          <w:szCs w:val="21"/>
        </w:rPr>
        <w:t xml:space="preserve"> </w:t>
      </w:r>
      <w:r w:rsidRPr="00B94CD4">
        <w:rPr>
          <w:rFonts w:ascii="Abadi" w:hAnsi="Abadi"/>
          <w:b w:val="0"/>
          <w:bCs w:val="0"/>
          <w:sz w:val="21"/>
          <w:szCs w:val="21"/>
        </w:rPr>
        <w:t>Política</w:t>
      </w:r>
      <w:r w:rsidRPr="00B94CD4">
        <w:rPr>
          <w:rFonts w:ascii="Abadi" w:hAnsi="Abadi"/>
          <w:b w:val="0"/>
          <w:bCs w:val="0"/>
          <w:spacing w:val="22"/>
          <w:sz w:val="21"/>
          <w:szCs w:val="21"/>
        </w:rPr>
        <w:t xml:space="preserve"> </w:t>
      </w:r>
      <w:r w:rsidRPr="00B94CD4">
        <w:rPr>
          <w:rFonts w:ascii="Abadi" w:hAnsi="Abadi"/>
          <w:b w:val="0"/>
          <w:bCs w:val="0"/>
          <w:sz w:val="21"/>
          <w:szCs w:val="21"/>
        </w:rPr>
        <w:t>para</w:t>
      </w:r>
      <w:r w:rsidRPr="00B94CD4">
        <w:rPr>
          <w:rFonts w:ascii="Abadi" w:hAnsi="Abadi"/>
          <w:b w:val="0"/>
          <w:bCs w:val="0"/>
          <w:spacing w:val="22"/>
          <w:sz w:val="21"/>
          <w:szCs w:val="21"/>
        </w:rPr>
        <w:t xml:space="preserve"> </w:t>
      </w:r>
      <w:r w:rsidRPr="00B94CD4">
        <w:rPr>
          <w:rFonts w:ascii="Abadi" w:hAnsi="Abadi"/>
          <w:b w:val="0"/>
          <w:bCs w:val="0"/>
          <w:sz w:val="21"/>
          <w:szCs w:val="21"/>
        </w:rPr>
        <w:t>el</w:t>
      </w:r>
      <w:r w:rsidRPr="00B94CD4">
        <w:rPr>
          <w:rFonts w:ascii="Abadi" w:hAnsi="Abadi"/>
          <w:b w:val="0"/>
          <w:bCs w:val="0"/>
          <w:spacing w:val="22"/>
          <w:sz w:val="21"/>
          <w:szCs w:val="21"/>
        </w:rPr>
        <w:t xml:space="preserve"> </w:t>
      </w:r>
      <w:r w:rsidRPr="00B94CD4">
        <w:rPr>
          <w:rFonts w:ascii="Abadi" w:hAnsi="Abadi"/>
          <w:b w:val="0"/>
          <w:bCs w:val="0"/>
          <w:sz w:val="21"/>
          <w:szCs w:val="21"/>
        </w:rPr>
        <w:t>Estado</w:t>
      </w:r>
      <w:r w:rsidRPr="00B94CD4">
        <w:rPr>
          <w:rFonts w:ascii="Abadi" w:hAnsi="Abadi"/>
          <w:b w:val="0"/>
          <w:bCs w:val="0"/>
          <w:spacing w:val="22"/>
          <w:sz w:val="21"/>
          <w:szCs w:val="21"/>
        </w:rPr>
        <w:t xml:space="preserve"> </w:t>
      </w:r>
      <w:r w:rsidRPr="00B94CD4">
        <w:rPr>
          <w:rFonts w:ascii="Abadi" w:hAnsi="Abadi"/>
          <w:b w:val="0"/>
          <w:bCs w:val="0"/>
          <w:sz w:val="21"/>
          <w:szCs w:val="21"/>
        </w:rPr>
        <w:t>de</w:t>
      </w:r>
      <w:r w:rsidRPr="00B94CD4">
        <w:rPr>
          <w:rFonts w:ascii="Abadi" w:hAnsi="Abadi"/>
          <w:b w:val="0"/>
          <w:bCs w:val="0"/>
          <w:spacing w:val="22"/>
          <w:sz w:val="21"/>
          <w:szCs w:val="21"/>
        </w:rPr>
        <w:t xml:space="preserve"> </w:t>
      </w:r>
      <w:r w:rsidRPr="00B94CD4">
        <w:rPr>
          <w:rFonts w:ascii="Abadi" w:hAnsi="Abadi"/>
          <w:b w:val="0"/>
          <w:bCs w:val="0"/>
          <w:sz w:val="21"/>
          <w:szCs w:val="21"/>
        </w:rPr>
        <w:t>Guanajuato;</w:t>
      </w:r>
      <w:r w:rsidRPr="00B94CD4">
        <w:rPr>
          <w:rFonts w:ascii="Abadi" w:hAnsi="Abadi"/>
          <w:b w:val="0"/>
          <w:bCs w:val="0"/>
          <w:spacing w:val="22"/>
          <w:sz w:val="21"/>
          <w:szCs w:val="21"/>
        </w:rPr>
        <w:t xml:space="preserve"> </w:t>
      </w:r>
      <w:r w:rsidRPr="00B94CD4">
        <w:rPr>
          <w:rFonts w:ascii="Abadi" w:hAnsi="Abadi"/>
          <w:b w:val="0"/>
          <w:bCs w:val="0"/>
          <w:sz w:val="21"/>
          <w:szCs w:val="21"/>
        </w:rPr>
        <w:t>y</w:t>
      </w:r>
      <w:r w:rsidRPr="00B94CD4">
        <w:rPr>
          <w:rFonts w:ascii="Abadi" w:hAnsi="Abadi"/>
          <w:b w:val="0"/>
          <w:bCs w:val="0"/>
          <w:spacing w:val="22"/>
          <w:sz w:val="21"/>
          <w:szCs w:val="21"/>
        </w:rPr>
        <w:t xml:space="preserve"> </w:t>
      </w:r>
      <w:r w:rsidRPr="00B94CD4">
        <w:rPr>
          <w:rFonts w:ascii="Abadi" w:hAnsi="Abadi"/>
          <w:b w:val="0"/>
          <w:bCs w:val="0"/>
          <w:sz w:val="21"/>
          <w:szCs w:val="21"/>
        </w:rPr>
        <w:t>adicionar</w:t>
      </w:r>
      <w:r w:rsidRPr="00B94CD4">
        <w:rPr>
          <w:rFonts w:ascii="Abadi" w:hAnsi="Abadi"/>
          <w:b w:val="0"/>
          <w:bCs w:val="0"/>
          <w:spacing w:val="22"/>
          <w:sz w:val="21"/>
          <w:szCs w:val="21"/>
        </w:rPr>
        <w:t xml:space="preserve"> </w:t>
      </w:r>
      <w:r w:rsidRPr="00B94CD4">
        <w:rPr>
          <w:rFonts w:ascii="Abadi" w:hAnsi="Abadi"/>
          <w:b w:val="0"/>
          <w:bCs w:val="0"/>
          <w:sz w:val="21"/>
          <w:szCs w:val="21"/>
        </w:rPr>
        <w:t>una</w:t>
      </w:r>
      <w:r w:rsidRPr="00B94CD4">
        <w:rPr>
          <w:rFonts w:ascii="Abadi" w:hAnsi="Abadi"/>
          <w:b w:val="0"/>
          <w:bCs w:val="0"/>
          <w:spacing w:val="-1"/>
          <w:sz w:val="21"/>
          <w:szCs w:val="21"/>
        </w:rPr>
        <w:t xml:space="preserve"> </w:t>
      </w:r>
      <w:r w:rsidRPr="00B94CD4">
        <w:rPr>
          <w:rFonts w:ascii="Abadi" w:hAnsi="Abadi"/>
          <w:b w:val="0"/>
          <w:bCs w:val="0"/>
          <w:sz w:val="21"/>
          <w:szCs w:val="21"/>
        </w:rPr>
        <w:t>fracción</w:t>
      </w:r>
      <w:r w:rsidRPr="00B94CD4">
        <w:rPr>
          <w:rFonts w:ascii="Abadi" w:hAnsi="Abadi"/>
          <w:b w:val="0"/>
          <w:bCs w:val="0"/>
          <w:spacing w:val="46"/>
          <w:sz w:val="21"/>
          <w:szCs w:val="21"/>
        </w:rPr>
        <w:t xml:space="preserve"> </w:t>
      </w:r>
      <w:r w:rsidRPr="00B94CD4">
        <w:rPr>
          <w:rFonts w:ascii="Abadi" w:hAnsi="Abadi"/>
          <w:b w:val="0"/>
          <w:bCs w:val="0"/>
          <w:sz w:val="21"/>
          <w:szCs w:val="21"/>
        </w:rPr>
        <w:t>VI</w:t>
      </w:r>
      <w:r w:rsidRPr="00B94CD4">
        <w:rPr>
          <w:rFonts w:ascii="Abadi" w:hAnsi="Abadi"/>
          <w:b w:val="0"/>
          <w:bCs w:val="0"/>
          <w:spacing w:val="46"/>
          <w:sz w:val="21"/>
          <w:szCs w:val="21"/>
        </w:rPr>
        <w:t xml:space="preserve"> </w:t>
      </w:r>
      <w:r w:rsidRPr="00B94CD4">
        <w:rPr>
          <w:rFonts w:ascii="Abadi" w:hAnsi="Abadi"/>
          <w:b w:val="0"/>
          <w:bCs w:val="0"/>
          <w:sz w:val="21"/>
          <w:szCs w:val="21"/>
        </w:rPr>
        <w:t>al</w:t>
      </w:r>
      <w:r w:rsidRPr="00B94CD4">
        <w:rPr>
          <w:rFonts w:ascii="Abadi" w:hAnsi="Abadi"/>
          <w:b w:val="0"/>
          <w:bCs w:val="0"/>
          <w:spacing w:val="46"/>
          <w:sz w:val="21"/>
          <w:szCs w:val="21"/>
        </w:rPr>
        <w:t xml:space="preserve"> </w:t>
      </w:r>
      <w:r w:rsidRPr="00B94CD4">
        <w:rPr>
          <w:rFonts w:ascii="Abadi" w:hAnsi="Abadi"/>
          <w:b w:val="0"/>
          <w:bCs w:val="0"/>
          <w:sz w:val="21"/>
          <w:szCs w:val="21"/>
        </w:rPr>
        <w:t>artículo</w:t>
      </w:r>
      <w:r w:rsidRPr="00B94CD4">
        <w:rPr>
          <w:rFonts w:ascii="Abadi" w:hAnsi="Abadi"/>
          <w:b w:val="0"/>
          <w:bCs w:val="0"/>
          <w:spacing w:val="46"/>
          <w:sz w:val="21"/>
          <w:szCs w:val="21"/>
        </w:rPr>
        <w:t xml:space="preserve"> </w:t>
      </w:r>
      <w:r w:rsidRPr="00B94CD4">
        <w:rPr>
          <w:rFonts w:ascii="Abadi" w:hAnsi="Abadi"/>
          <w:b w:val="0"/>
          <w:bCs w:val="0"/>
          <w:sz w:val="21"/>
          <w:szCs w:val="21"/>
        </w:rPr>
        <w:t>11,</w:t>
      </w:r>
      <w:r w:rsidRPr="00B94CD4">
        <w:rPr>
          <w:rFonts w:ascii="Abadi" w:hAnsi="Abadi"/>
          <w:b w:val="0"/>
          <w:bCs w:val="0"/>
          <w:spacing w:val="46"/>
          <w:sz w:val="21"/>
          <w:szCs w:val="21"/>
        </w:rPr>
        <w:t xml:space="preserve"> </w:t>
      </w:r>
      <w:r w:rsidRPr="00B94CD4">
        <w:rPr>
          <w:rFonts w:ascii="Abadi" w:hAnsi="Abadi"/>
          <w:b w:val="0"/>
          <w:bCs w:val="0"/>
          <w:sz w:val="21"/>
          <w:szCs w:val="21"/>
        </w:rPr>
        <w:t>recorriéndose</w:t>
      </w:r>
      <w:r w:rsidRPr="00B94CD4">
        <w:rPr>
          <w:rFonts w:ascii="Abadi" w:hAnsi="Abadi"/>
          <w:b w:val="0"/>
          <w:bCs w:val="0"/>
          <w:spacing w:val="46"/>
          <w:sz w:val="21"/>
          <w:szCs w:val="21"/>
        </w:rPr>
        <w:t xml:space="preserve"> </w:t>
      </w:r>
      <w:r w:rsidRPr="00B94CD4">
        <w:rPr>
          <w:rFonts w:ascii="Abadi" w:hAnsi="Abadi"/>
          <w:b w:val="0"/>
          <w:bCs w:val="0"/>
          <w:sz w:val="21"/>
          <w:szCs w:val="21"/>
        </w:rPr>
        <w:t>la</w:t>
      </w:r>
      <w:r w:rsidRPr="00B94CD4">
        <w:rPr>
          <w:rFonts w:ascii="Abadi" w:hAnsi="Abadi"/>
          <w:b w:val="0"/>
          <w:bCs w:val="0"/>
          <w:spacing w:val="46"/>
          <w:sz w:val="21"/>
          <w:szCs w:val="21"/>
        </w:rPr>
        <w:t xml:space="preserve"> </w:t>
      </w:r>
      <w:r w:rsidRPr="00B94CD4">
        <w:rPr>
          <w:rFonts w:ascii="Abadi" w:hAnsi="Abadi"/>
          <w:b w:val="0"/>
          <w:bCs w:val="0"/>
          <w:sz w:val="21"/>
          <w:szCs w:val="21"/>
        </w:rPr>
        <w:t>subsecuente,</w:t>
      </w:r>
      <w:r w:rsidRPr="00B94CD4">
        <w:rPr>
          <w:rFonts w:ascii="Abadi" w:hAnsi="Abadi"/>
          <w:b w:val="0"/>
          <w:bCs w:val="0"/>
          <w:spacing w:val="46"/>
          <w:sz w:val="21"/>
          <w:szCs w:val="21"/>
        </w:rPr>
        <w:t xml:space="preserve"> </w:t>
      </w:r>
      <w:r w:rsidRPr="00B94CD4">
        <w:rPr>
          <w:rFonts w:ascii="Abadi" w:hAnsi="Abadi"/>
          <w:b w:val="0"/>
          <w:bCs w:val="0"/>
          <w:sz w:val="21"/>
          <w:szCs w:val="21"/>
        </w:rPr>
        <w:t>dos</w:t>
      </w:r>
      <w:r w:rsidRPr="00B94CD4">
        <w:rPr>
          <w:rFonts w:ascii="Abadi" w:hAnsi="Abadi"/>
          <w:b w:val="0"/>
          <w:bCs w:val="0"/>
          <w:spacing w:val="46"/>
          <w:sz w:val="21"/>
          <w:szCs w:val="21"/>
        </w:rPr>
        <w:t xml:space="preserve"> </w:t>
      </w:r>
      <w:r w:rsidRPr="00B94CD4">
        <w:rPr>
          <w:rFonts w:ascii="Abadi" w:hAnsi="Abadi"/>
          <w:b w:val="0"/>
          <w:bCs w:val="0"/>
          <w:sz w:val="21"/>
          <w:szCs w:val="21"/>
        </w:rPr>
        <w:t>párrafos</w:t>
      </w:r>
      <w:r w:rsidRPr="00B94CD4">
        <w:rPr>
          <w:rFonts w:ascii="Abadi" w:hAnsi="Abadi"/>
          <w:b w:val="0"/>
          <w:bCs w:val="0"/>
          <w:spacing w:val="46"/>
          <w:sz w:val="21"/>
          <w:szCs w:val="21"/>
        </w:rPr>
        <w:t xml:space="preserve"> </w:t>
      </w:r>
      <w:r w:rsidRPr="00B94CD4">
        <w:rPr>
          <w:rFonts w:ascii="Abadi" w:hAnsi="Abadi"/>
          <w:b w:val="0"/>
          <w:bCs w:val="0"/>
          <w:sz w:val="21"/>
          <w:szCs w:val="21"/>
        </w:rPr>
        <w:t>al</w:t>
      </w:r>
      <w:r w:rsidRPr="00B94CD4">
        <w:rPr>
          <w:rFonts w:ascii="Abadi" w:hAnsi="Abadi"/>
          <w:b w:val="0"/>
          <w:bCs w:val="0"/>
          <w:spacing w:val="-1"/>
          <w:sz w:val="21"/>
          <w:szCs w:val="21"/>
        </w:rPr>
        <w:t xml:space="preserve"> </w:t>
      </w:r>
      <w:r w:rsidRPr="00B94CD4">
        <w:rPr>
          <w:rFonts w:ascii="Abadi" w:hAnsi="Abadi"/>
          <w:b w:val="0"/>
          <w:bCs w:val="0"/>
          <w:sz w:val="21"/>
          <w:szCs w:val="21"/>
        </w:rPr>
        <w:t>artículo</w:t>
      </w:r>
      <w:r w:rsidRPr="00B94CD4">
        <w:rPr>
          <w:rFonts w:ascii="Abadi" w:hAnsi="Abadi"/>
          <w:b w:val="0"/>
          <w:bCs w:val="0"/>
          <w:spacing w:val="-5"/>
          <w:sz w:val="21"/>
          <w:szCs w:val="21"/>
        </w:rPr>
        <w:t xml:space="preserve"> </w:t>
      </w:r>
      <w:r w:rsidRPr="00B94CD4">
        <w:rPr>
          <w:rFonts w:ascii="Abadi" w:hAnsi="Abadi"/>
          <w:b w:val="0"/>
          <w:bCs w:val="0"/>
          <w:sz w:val="21"/>
          <w:szCs w:val="21"/>
        </w:rPr>
        <w:t>15</w:t>
      </w:r>
      <w:r w:rsidRPr="00B94CD4">
        <w:rPr>
          <w:rFonts w:ascii="Abadi" w:hAnsi="Abadi"/>
          <w:b w:val="0"/>
          <w:bCs w:val="0"/>
          <w:spacing w:val="-5"/>
          <w:sz w:val="21"/>
          <w:szCs w:val="21"/>
        </w:rPr>
        <w:t xml:space="preserve"> </w:t>
      </w:r>
      <w:r w:rsidRPr="00B94CD4">
        <w:rPr>
          <w:rFonts w:ascii="Abadi" w:hAnsi="Abadi"/>
          <w:b w:val="0"/>
          <w:bCs w:val="0"/>
          <w:sz w:val="21"/>
          <w:szCs w:val="21"/>
        </w:rPr>
        <w:t>y</w:t>
      </w:r>
      <w:r w:rsidRPr="00B94CD4">
        <w:rPr>
          <w:rFonts w:ascii="Abadi" w:hAnsi="Abadi"/>
          <w:b w:val="0"/>
          <w:bCs w:val="0"/>
          <w:spacing w:val="-5"/>
          <w:sz w:val="21"/>
          <w:szCs w:val="21"/>
        </w:rPr>
        <w:t xml:space="preserve"> </w:t>
      </w:r>
      <w:r w:rsidRPr="00B94CD4">
        <w:rPr>
          <w:rFonts w:ascii="Abadi" w:hAnsi="Abadi"/>
          <w:b w:val="0"/>
          <w:bCs w:val="0"/>
          <w:sz w:val="21"/>
          <w:szCs w:val="21"/>
        </w:rPr>
        <w:t>una</w:t>
      </w:r>
      <w:r w:rsidRPr="00B94CD4">
        <w:rPr>
          <w:rFonts w:ascii="Abadi" w:hAnsi="Abadi"/>
          <w:b w:val="0"/>
          <w:bCs w:val="0"/>
          <w:spacing w:val="-5"/>
          <w:sz w:val="21"/>
          <w:szCs w:val="21"/>
        </w:rPr>
        <w:t xml:space="preserve"> </w:t>
      </w:r>
      <w:r w:rsidRPr="00B94CD4">
        <w:rPr>
          <w:rFonts w:ascii="Abadi" w:hAnsi="Abadi"/>
          <w:b w:val="0"/>
          <w:bCs w:val="0"/>
          <w:sz w:val="21"/>
          <w:szCs w:val="21"/>
        </w:rPr>
        <w:t>fracción</w:t>
      </w:r>
      <w:r w:rsidRPr="00B94CD4">
        <w:rPr>
          <w:rFonts w:ascii="Abadi" w:hAnsi="Abadi"/>
          <w:b w:val="0"/>
          <w:bCs w:val="0"/>
          <w:spacing w:val="-5"/>
          <w:sz w:val="21"/>
          <w:szCs w:val="21"/>
        </w:rPr>
        <w:t xml:space="preserve"> </w:t>
      </w:r>
      <w:r w:rsidRPr="00B94CD4">
        <w:rPr>
          <w:rFonts w:ascii="Abadi" w:hAnsi="Abadi"/>
          <w:b w:val="0"/>
          <w:bCs w:val="0"/>
          <w:sz w:val="21"/>
          <w:szCs w:val="21"/>
        </w:rPr>
        <w:t>V</w:t>
      </w:r>
      <w:r w:rsidRPr="00B94CD4">
        <w:rPr>
          <w:rFonts w:ascii="Abadi" w:hAnsi="Abadi"/>
          <w:b w:val="0"/>
          <w:bCs w:val="0"/>
          <w:spacing w:val="-5"/>
          <w:sz w:val="21"/>
          <w:szCs w:val="21"/>
        </w:rPr>
        <w:t xml:space="preserve"> </w:t>
      </w:r>
      <w:r w:rsidRPr="00B94CD4">
        <w:rPr>
          <w:rFonts w:ascii="Abadi" w:hAnsi="Abadi"/>
          <w:b w:val="0"/>
          <w:bCs w:val="0"/>
          <w:sz w:val="21"/>
          <w:szCs w:val="21"/>
        </w:rPr>
        <w:t>al</w:t>
      </w:r>
      <w:r w:rsidRPr="00B94CD4">
        <w:rPr>
          <w:rFonts w:ascii="Abadi" w:hAnsi="Abadi"/>
          <w:b w:val="0"/>
          <w:bCs w:val="0"/>
          <w:spacing w:val="-5"/>
          <w:sz w:val="21"/>
          <w:szCs w:val="21"/>
        </w:rPr>
        <w:t xml:space="preserve"> </w:t>
      </w:r>
      <w:r w:rsidRPr="00B94CD4">
        <w:rPr>
          <w:rFonts w:ascii="Abadi" w:hAnsi="Abadi"/>
          <w:b w:val="0"/>
          <w:bCs w:val="0"/>
          <w:sz w:val="21"/>
          <w:szCs w:val="21"/>
        </w:rPr>
        <w:t>artículo</w:t>
      </w:r>
      <w:r w:rsidRPr="00B94CD4">
        <w:rPr>
          <w:rFonts w:ascii="Abadi" w:hAnsi="Abadi"/>
          <w:b w:val="0"/>
          <w:bCs w:val="0"/>
          <w:spacing w:val="-5"/>
          <w:sz w:val="21"/>
          <w:szCs w:val="21"/>
        </w:rPr>
        <w:t xml:space="preserve"> </w:t>
      </w:r>
      <w:r w:rsidRPr="00B94CD4">
        <w:rPr>
          <w:rFonts w:ascii="Abadi" w:hAnsi="Abadi"/>
          <w:b w:val="0"/>
          <w:bCs w:val="0"/>
          <w:sz w:val="21"/>
          <w:szCs w:val="21"/>
        </w:rPr>
        <w:t>18</w:t>
      </w:r>
      <w:r w:rsidRPr="00B94CD4">
        <w:rPr>
          <w:rFonts w:ascii="Abadi" w:hAnsi="Abadi"/>
          <w:b w:val="0"/>
          <w:bCs w:val="0"/>
          <w:spacing w:val="-4"/>
          <w:sz w:val="21"/>
          <w:szCs w:val="21"/>
        </w:rPr>
        <w:t xml:space="preserve"> </w:t>
      </w:r>
      <w:r w:rsidRPr="00B94CD4">
        <w:rPr>
          <w:rFonts w:ascii="Abadi" w:hAnsi="Abadi"/>
          <w:b w:val="0"/>
          <w:bCs w:val="0"/>
          <w:sz w:val="21"/>
          <w:szCs w:val="21"/>
        </w:rPr>
        <w:t>de</w:t>
      </w:r>
      <w:r w:rsidRPr="00B94CD4">
        <w:rPr>
          <w:rFonts w:ascii="Abadi" w:hAnsi="Abadi"/>
          <w:b w:val="0"/>
          <w:bCs w:val="0"/>
          <w:spacing w:val="-5"/>
          <w:sz w:val="21"/>
          <w:szCs w:val="21"/>
        </w:rPr>
        <w:t xml:space="preserve"> </w:t>
      </w:r>
      <w:r w:rsidRPr="00B94CD4">
        <w:rPr>
          <w:rFonts w:ascii="Abadi" w:hAnsi="Abadi"/>
          <w:b w:val="0"/>
          <w:bCs w:val="0"/>
          <w:sz w:val="21"/>
          <w:szCs w:val="21"/>
        </w:rPr>
        <w:t>la</w:t>
      </w:r>
      <w:r w:rsidRPr="00B94CD4">
        <w:rPr>
          <w:rFonts w:ascii="Abadi" w:hAnsi="Abadi"/>
          <w:b w:val="0"/>
          <w:bCs w:val="0"/>
          <w:spacing w:val="-5"/>
          <w:sz w:val="21"/>
          <w:szCs w:val="21"/>
        </w:rPr>
        <w:t xml:space="preserve"> </w:t>
      </w:r>
      <w:r w:rsidRPr="00B94CD4">
        <w:rPr>
          <w:rFonts w:ascii="Abadi" w:hAnsi="Abadi"/>
          <w:b w:val="0"/>
          <w:bCs w:val="0"/>
          <w:sz w:val="21"/>
          <w:szCs w:val="21"/>
        </w:rPr>
        <w:t>Ley</w:t>
      </w:r>
      <w:r w:rsidRPr="00B94CD4">
        <w:rPr>
          <w:rFonts w:ascii="Abadi" w:hAnsi="Abadi"/>
          <w:b w:val="0"/>
          <w:bCs w:val="0"/>
          <w:spacing w:val="-5"/>
          <w:sz w:val="21"/>
          <w:szCs w:val="21"/>
        </w:rPr>
        <w:t xml:space="preserve"> </w:t>
      </w:r>
      <w:r w:rsidRPr="00B94CD4">
        <w:rPr>
          <w:rFonts w:ascii="Abadi" w:hAnsi="Abadi"/>
          <w:b w:val="0"/>
          <w:bCs w:val="0"/>
          <w:sz w:val="21"/>
          <w:szCs w:val="21"/>
        </w:rPr>
        <w:t>Orgánica</w:t>
      </w:r>
      <w:r w:rsidRPr="00B94CD4">
        <w:rPr>
          <w:rFonts w:ascii="Abadi" w:hAnsi="Abadi"/>
          <w:b w:val="0"/>
          <w:bCs w:val="0"/>
          <w:spacing w:val="-5"/>
          <w:sz w:val="21"/>
          <w:szCs w:val="21"/>
        </w:rPr>
        <w:t xml:space="preserve"> </w:t>
      </w:r>
      <w:r w:rsidRPr="00B94CD4">
        <w:rPr>
          <w:rFonts w:ascii="Abadi" w:hAnsi="Abadi"/>
          <w:b w:val="0"/>
          <w:bCs w:val="0"/>
          <w:sz w:val="21"/>
          <w:szCs w:val="21"/>
        </w:rPr>
        <w:t>Municipal</w:t>
      </w:r>
      <w:r w:rsidRPr="00B94CD4">
        <w:rPr>
          <w:rFonts w:ascii="Abadi" w:hAnsi="Abadi"/>
          <w:b w:val="0"/>
          <w:bCs w:val="0"/>
          <w:spacing w:val="-5"/>
          <w:sz w:val="21"/>
          <w:szCs w:val="21"/>
        </w:rPr>
        <w:t xml:space="preserve"> </w:t>
      </w:r>
      <w:r w:rsidRPr="00B94CD4">
        <w:rPr>
          <w:rFonts w:ascii="Abadi" w:hAnsi="Abadi"/>
          <w:b w:val="0"/>
          <w:bCs w:val="0"/>
          <w:sz w:val="21"/>
          <w:szCs w:val="21"/>
        </w:rPr>
        <w:t>para</w:t>
      </w:r>
      <w:r w:rsidRPr="00B94CD4">
        <w:rPr>
          <w:rFonts w:ascii="Abadi" w:hAnsi="Abadi"/>
          <w:b w:val="0"/>
          <w:bCs w:val="0"/>
          <w:spacing w:val="-1"/>
          <w:sz w:val="21"/>
          <w:szCs w:val="21"/>
        </w:rPr>
        <w:t xml:space="preserve"> </w:t>
      </w:r>
      <w:r w:rsidRPr="00B94CD4">
        <w:rPr>
          <w:rFonts w:ascii="Abadi" w:hAnsi="Abadi"/>
          <w:b w:val="0"/>
          <w:bCs w:val="0"/>
          <w:sz w:val="21"/>
          <w:szCs w:val="21"/>
        </w:rPr>
        <w:t>el</w:t>
      </w:r>
      <w:r w:rsidRPr="00B94CD4">
        <w:rPr>
          <w:rFonts w:ascii="Abadi" w:hAnsi="Abadi"/>
          <w:b w:val="0"/>
          <w:bCs w:val="0"/>
          <w:spacing w:val="40"/>
          <w:sz w:val="21"/>
          <w:szCs w:val="21"/>
        </w:rPr>
        <w:t xml:space="preserve">  </w:t>
      </w:r>
      <w:r w:rsidRPr="00B94CD4">
        <w:rPr>
          <w:rFonts w:ascii="Abadi" w:hAnsi="Abadi"/>
          <w:b w:val="0"/>
          <w:bCs w:val="0"/>
          <w:sz w:val="21"/>
          <w:szCs w:val="21"/>
        </w:rPr>
        <w:t>Estado</w:t>
      </w:r>
      <w:r w:rsidRPr="00B94CD4">
        <w:rPr>
          <w:rFonts w:ascii="Abadi" w:hAnsi="Abadi"/>
          <w:b w:val="0"/>
          <w:bCs w:val="0"/>
          <w:spacing w:val="40"/>
          <w:sz w:val="21"/>
          <w:szCs w:val="21"/>
        </w:rPr>
        <w:t xml:space="preserve">  </w:t>
      </w:r>
      <w:r w:rsidRPr="00B94CD4">
        <w:rPr>
          <w:rFonts w:ascii="Abadi" w:hAnsi="Abadi"/>
          <w:b w:val="0"/>
          <w:bCs w:val="0"/>
          <w:sz w:val="21"/>
          <w:szCs w:val="21"/>
        </w:rPr>
        <w:t>de</w:t>
      </w:r>
      <w:r w:rsidRPr="00B94CD4">
        <w:rPr>
          <w:rFonts w:ascii="Abadi" w:hAnsi="Abadi"/>
          <w:b w:val="0"/>
          <w:bCs w:val="0"/>
          <w:spacing w:val="40"/>
          <w:sz w:val="21"/>
          <w:szCs w:val="21"/>
        </w:rPr>
        <w:t xml:space="preserve">  </w:t>
      </w:r>
      <w:r w:rsidRPr="00B94CD4">
        <w:rPr>
          <w:rFonts w:ascii="Abadi" w:hAnsi="Abadi"/>
          <w:b w:val="0"/>
          <w:bCs w:val="0"/>
          <w:sz w:val="21"/>
          <w:szCs w:val="21"/>
        </w:rPr>
        <w:t>Guanajuato,</w:t>
      </w:r>
      <w:r w:rsidRPr="00B94CD4">
        <w:rPr>
          <w:rFonts w:ascii="Abadi" w:hAnsi="Abadi"/>
          <w:b w:val="0"/>
          <w:bCs w:val="0"/>
          <w:spacing w:val="40"/>
          <w:sz w:val="21"/>
          <w:szCs w:val="21"/>
        </w:rPr>
        <w:t xml:space="preserve">  </w:t>
      </w:r>
      <w:r w:rsidRPr="00B94CD4">
        <w:rPr>
          <w:rFonts w:ascii="Abadi" w:hAnsi="Abadi"/>
          <w:b w:val="0"/>
          <w:bCs w:val="0"/>
          <w:i/>
          <w:iCs/>
          <w:sz w:val="21"/>
          <w:szCs w:val="21"/>
        </w:rPr>
        <w:t>en</w:t>
      </w:r>
      <w:r w:rsidRPr="00B94CD4">
        <w:rPr>
          <w:rFonts w:ascii="Abadi" w:hAnsi="Abadi"/>
          <w:b w:val="0"/>
          <w:bCs w:val="0"/>
          <w:i/>
          <w:iCs/>
          <w:spacing w:val="40"/>
          <w:sz w:val="21"/>
          <w:szCs w:val="21"/>
        </w:rPr>
        <w:t xml:space="preserve">  </w:t>
      </w:r>
      <w:r w:rsidRPr="00B94CD4">
        <w:rPr>
          <w:rFonts w:ascii="Abadi" w:hAnsi="Abadi"/>
          <w:b w:val="0"/>
          <w:bCs w:val="0"/>
          <w:i/>
          <w:iCs/>
          <w:sz w:val="21"/>
          <w:szCs w:val="21"/>
        </w:rPr>
        <w:t>la</w:t>
      </w:r>
      <w:r w:rsidRPr="00B94CD4">
        <w:rPr>
          <w:rFonts w:ascii="Abadi" w:hAnsi="Abadi"/>
          <w:b w:val="0"/>
          <w:bCs w:val="0"/>
          <w:i/>
          <w:iCs/>
          <w:spacing w:val="40"/>
          <w:sz w:val="21"/>
          <w:szCs w:val="21"/>
        </w:rPr>
        <w:t xml:space="preserve">  </w:t>
      </w:r>
      <w:r w:rsidRPr="00B94CD4">
        <w:rPr>
          <w:rFonts w:ascii="Abadi" w:hAnsi="Abadi"/>
          <w:b w:val="0"/>
          <w:bCs w:val="0"/>
          <w:i/>
          <w:iCs/>
          <w:sz w:val="21"/>
          <w:szCs w:val="21"/>
        </w:rPr>
        <w:t>parte</w:t>
      </w:r>
      <w:r w:rsidRPr="00B94CD4">
        <w:rPr>
          <w:rFonts w:ascii="Abadi" w:hAnsi="Abadi"/>
          <w:b w:val="0"/>
          <w:bCs w:val="0"/>
          <w:i/>
          <w:iCs/>
          <w:spacing w:val="40"/>
          <w:sz w:val="21"/>
          <w:szCs w:val="21"/>
        </w:rPr>
        <w:t xml:space="preserve">  </w:t>
      </w:r>
      <w:r w:rsidRPr="00B94CD4">
        <w:rPr>
          <w:rFonts w:ascii="Abadi" w:hAnsi="Abadi"/>
          <w:b w:val="0"/>
          <w:bCs w:val="0"/>
          <w:i/>
          <w:iCs/>
          <w:sz w:val="21"/>
          <w:szCs w:val="21"/>
        </w:rPr>
        <w:t>correspondiente</w:t>
      </w:r>
      <w:r w:rsidRPr="00B94CD4">
        <w:rPr>
          <w:rFonts w:ascii="Abadi" w:hAnsi="Abadi"/>
          <w:b w:val="0"/>
          <w:bCs w:val="0"/>
          <w:i/>
          <w:iCs/>
          <w:spacing w:val="40"/>
          <w:sz w:val="21"/>
          <w:szCs w:val="21"/>
        </w:rPr>
        <w:t xml:space="preserve">  </w:t>
      </w:r>
      <w:r w:rsidRPr="00B94CD4">
        <w:rPr>
          <w:rFonts w:ascii="Abadi" w:hAnsi="Abadi"/>
          <w:b w:val="0"/>
          <w:bCs w:val="0"/>
          <w:i/>
          <w:iCs/>
          <w:sz w:val="21"/>
          <w:szCs w:val="21"/>
        </w:rPr>
        <w:t>al</w:t>
      </w:r>
      <w:r w:rsidRPr="00B94CD4">
        <w:rPr>
          <w:rFonts w:ascii="Abadi" w:hAnsi="Abadi"/>
          <w:b w:val="0"/>
          <w:bCs w:val="0"/>
          <w:i/>
          <w:iCs/>
          <w:spacing w:val="40"/>
          <w:sz w:val="21"/>
          <w:szCs w:val="21"/>
        </w:rPr>
        <w:t xml:space="preserve">  </w:t>
      </w:r>
      <w:r w:rsidRPr="00B94CD4">
        <w:rPr>
          <w:rFonts w:ascii="Abadi" w:hAnsi="Abadi"/>
          <w:b w:val="0"/>
          <w:bCs w:val="0"/>
          <w:i/>
          <w:iCs/>
          <w:sz w:val="21"/>
          <w:szCs w:val="21"/>
        </w:rPr>
        <w:t>primer</w:t>
      </w:r>
      <w:r w:rsidRPr="00B94CD4">
        <w:rPr>
          <w:rFonts w:ascii="Abadi" w:hAnsi="Abadi"/>
          <w:b w:val="0"/>
          <w:bCs w:val="0"/>
          <w:i/>
          <w:iCs/>
          <w:spacing w:val="-1"/>
          <w:sz w:val="21"/>
          <w:szCs w:val="21"/>
        </w:rPr>
        <w:t xml:space="preserve"> </w:t>
      </w:r>
      <w:r w:rsidRPr="00B94CD4">
        <w:rPr>
          <w:rFonts w:ascii="Abadi" w:hAnsi="Abadi"/>
          <w:b w:val="0"/>
          <w:bCs w:val="0"/>
          <w:i/>
          <w:iCs/>
          <w:sz w:val="21"/>
          <w:szCs w:val="21"/>
        </w:rPr>
        <w:t>ordenamiento,</w:t>
      </w:r>
      <w:r w:rsidRPr="00B94CD4">
        <w:rPr>
          <w:rFonts w:ascii="Abadi" w:hAnsi="Abadi"/>
          <w:b w:val="0"/>
          <w:bCs w:val="0"/>
          <w:i/>
          <w:iCs/>
          <w:spacing w:val="-1"/>
          <w:sz w:val="21"/>
          <w:szCs w:val="21"/>
        </w:rPr>
        <w:t xml:space="preserve"> </w:t>
      </w:r>
      <w:r w:rsidRPr="00B94CD4">
        <w:rPr>
          <w:rFonts w:ascii="Abadi" w:hAnsi="Abadi"/>
          <w:b w:val="0"/>
          <w:bCs w:val="0"/>
          <w:sz w:val="21"/>
          <w:szCs w:val="21"/>
        </w:rPr>
        <w:t>ante</w:t>
      </w:r>
      <w:r w:rsidRPr="00B94CD4">
        <w:rPr>
          <w:rFonts w:ascii="Abadi" w:hAnsi="Abadi"/>
          <w:b w:val="0"/>
          <w:bCs w:val="0"/>
          <w:spacing w:val="-1"/>
          <w:sz w:val="21"/>
          <w:szCs w:val="21"/>
        </w:rPr>
        <w:t xml:space="preserve"> </w:t>
      </w:r>
      <w:r w:rsidRPr="00B94CD4">
        <w:rPr>
          <w:rFonts w:ascii="Abadi" w:hAnsi="Abadi"/>
          <w:b w:val="0"/>
          <w:bCs w:val="0"/>
          <w:sz w:val="21"/>
          <w:szCs w:val="21"/>
        </w:rPr>
        <w:t>la</w:t>
      </w:r>
      <w:r w:rsidRPr="00B94CD4">
        <w:rPr>
          <w:rFonts w:ascii="Abadi" w:hAnsi="Abadi"/>
          <w:b w:val="0"/>
          <w:bCs w:val="0"/>
          <w:spacing w:val="-1"/>
          <w:sz w:val="21"/>
          <w:szCs w:val="21"/>
        </w:rPr>
        <w:t xml:space="preserve"> </w:t>
      </w:r>
      <w:r w:rsidRPr="00B94CD4">
        <w:rPr>
          <w:rFonts w:ascii="Abadi" w:hAnsi="Abadi"/>
          <w:b w:val="0"/>
          <w:bCs w:val="0"/>
          <w:sz w:val="21"/>
          <w:szCs w:val="21"/>
        </w:rPr>
        <w:t>Sexagésima</w:t>
      </w:r>
      <w:r w:rsidRPr="00B94CD4">
        <w:rPr>
          <w:rFonts w:ascii="Abadi" w:hAnsi="Abadi"/>
          <w:b w:val="0"/>
          <w:bCs w:val="0"/>
          <w:spacing w:val="-1"/>
          <w:sz w:val="21"/>
          <w:szCs w:val="21"/>
        </w:rPr>
        <w:t xml:space="preserve"> </w:t>
      </w:r>
      <w:r w:rsidRPr="00B94CD4">
        <w:rPr>
          <w:rFonts w:ascii="Abadi" w:hAnsi="Abadi"/>
          <w:b w:val="0"/>
          <w:bCs w:val="0"/>
          <w:sz w:val="21"/>
          <w:szCs w:val="21"/>
        </w:rPr>
        <w:t>Cuarta</w:t>
      </w:r>
      <w:r w:rsidRPr="00B94CD4">
        <w:rPr>
          <w:rFonts w:ascii="Abadi" w:hAnsi="Abadi"/>
          <w:b w:val="0"/>
          <w:bCs w:val="0"/>
          <w:spacing w:val="-1"/>
          <w:sz w:val="21"/>
          <w:szCs w:val="21"/>
        </w:rPr>
        <w:t xml:space="preserve"> </w:t>
      </w:r>
      <w:r w:rsidRPr="00B94CD4">
        <w:rPr>
          <w:rFonts w:ascii="Abadi" w:hAnsi="Abadi"/>
          <w:b w:val="0"/>
          <w:bCs w:val="0"/>
          <w:sz w:val="21"/>
          <w:szCs w:val="21"/>
        </w:rPr>
        <w:t xml:space="preserve">Legislatura. </w:t>
      </w:r>
      <w:r w:rsidRPr="00B94CD4">
        <w:rPr>
          <w:rFonts w:ascii="Abadi" w:hAnsi="Abadi"/>
          <w:sz w:val="21"/>
          <w:szCs w:val="21"/>
        </w:rPr>
        <w:t>XX.</w:t>
      </w:r>
      <w:r w:rsidRPr="00B94CD4">
        <w:rPr>
          <w:rFonts w:ascii="Abadi" w:hAnsi="Abadi"/>
          <w:b w:val="0"/>
          <w:bCs w:val="0"/>
          <w:sz w:val="21"/>
          <w:szCs w:val="21"/>
        </w:rPr>
        <w:t xml:space="preserve"> Discusión</w:t>
      </w:r>
      <w:r w:rsidRPr="00B94CD4">
        <w:rPr>
          <w:rFonts w:ascii="Abadi" w:hAnsi="Abadi"/>
          <w:b w:val="0"/>
          <w:bCs w:val="0"/>
          <w:spacing w:val="10"/>
          <w:sz w:val="21"/>
          <w:szCs w:val="21"/>
        </w:rPr>
        <w:t xml:space="preserve"> </w:t>
      </w:r>
      <w:r w:rsidRPr="00B94CD4">
        <w:rPr>
          <w:rFonts w:ascii="Abadi" w:hAnsi="Abadi"/>
          <w:b w:val="0"/>
          <w:bCs w:val="0"/>
          <w:sz w:val="21"/>
          <w:szCs w:val="21"/>
        </w:rPr>
        <w:t>y,</w:t>
      </w:r>
      <w:r w:rsidRPr="00B94CD4">
        <w:rPr>
          <w:rFonts w:ascii="Abadi" w:hAnsi="Abadi"/>
          <w:b w:val="0"/>
          <w:bCs w:val="0"/>
          <w:spacing w:val="10"/>
          <w:sz w:val="21"/>
          <w:szCs w:val="21"/>
        </w:rPr>
        <w:t xml:space="preserve"> </w:t>
      </w:r>
      <w:r w:rsidRPr="00B94CD4">
        <w:rPr>
          <w:rFonts w:ascii="Abadi" w:hAnsi="Abadi"/>
          <w:b w:val="0"/>
          <w:bCs w:val="0"/>
          <w:sz w:val="21"/>
          <w:szCs w:val="21"/>
        </w:rPr>
        <w:t>en</w:t>
      </w:r>
      <w:r w:rsidRPr="00B94CD4">
        <w:rPr>
          <w:rFonts w:ascii="Abadi" w:hAnsi="Abadi"/>
          <w:b w:val="0"/>
          <w:bCs w:val="0"/>
          <w:spacing w:val="10"/>
          <w:sz w:val="21"/>
          <w:szCs w:val="21"/>
        </w:rPr>
        <w:t xml:space="preserve"> </w:t>
      </w:r>
      <w:r w:rsidRPr="00B94CD4">
        <w:rPr>
          <w:rFonts w:ascii="Abadi" w:hAnsi="Abadi"/>
          <w:b w:val="0"/>
          <w:bCs w:val="0"/>
          <w:sz w:val="21"/>
          <w:szCs w:val="21"/>
        </w:rPr>
        <w:t>su</w:t>
      </w:r>
      <w:r w:rsidRPr="00B94CD4">
        <w:rPr>
          <w:rFonts w:ascii="Abadi" w:hAnsi="Abadi"/>
          <w:b w:val="0"/>
          <w:bCs w:val="0"/>
          <w:spacing w:val="10"/>
          <w:sz w:val="21"/>
          <w:szCs w:val="21"/>
        </w:rPr>
        <w:t xml:space="preserve"> </w:t>
      </w:r>
      <w:r w:rsidRPr="00B94CD4">
        <w:rPr>
          <w:rFonts w:ascii="Abadi" w:hAnsi="Abadi"/>
          <w:b w:val="0"/>
          <w:bCs w:val="0"/>
          <w:sz w:val="21"/>
          <w:szCs w:val="21"/>
        </w:rPr>
        <w:t>caso,</w:t>
      </w:r>
      <w:r w:rsidRPr="00B94CD4">
        <w:rPr>
          <w:rFonts w:ascii="Abadi" w:hAnsi="Abadi"/>
          <w:b w:val="0"/>
          <w:bCs w:val="0"/>
          <w:spacing w:val="10"/>
          <w:sz w:val="21"/>
          <w:szCs w:val="21"/>
        </w:rPr>
        <w:t xml:space="preserve"> </w:t>
      </w:r>
      <w:r w:rsidRPr="00B94CD4">
        <w:rPr>
          <w:rFonts w:ascii="Abadi" w:hAnsi="Abadi"/>
          <w:b w:val="0"/>
          <w:bCs w:val="0"/>
          <w:sz w:val="21"/>
          <w:szCs w:val="21"/>
        </w:rPr>
        <w:t>aprobación</w:t>
      </w:r>
      <w:r w:rsidRPr="00B94CD4">
        <w:rPr>
          <w:rFonts w:ascii="Abadi" w:hAnsi="Abadi"/>
          <w:b w:val="0"/>
          <w:bCs w:val="0"/>
          <w:spacing w:val="10"/>
          <w:sz w:val="21"/>
          <w:szCs w:val="21"/>
        </w:rPr>
        <w:t xml:space="preserve"> </w:t>
      </w:r>
      <w:r w:rsidRPr="00B94CD4">
        <w:rPr>
          <w:rFonts w:ascii="Abadi" w:hAnsi="Abadi"/>
          <w:b w:val="0"/>
          <w:bCs w:val="0"/>
          <w:sz w:val="21"/>
          <w:szCs w:val="21"/>
        </w:rPr>
        <w:t>del</w:t>
      </w:r>
      <w:r w:rsidRPr="00B94CD4">
        <w:rPr>
          <w:rFonts w:ascii="Abadi" w:hAnsi="Abadi"/>
          <w:b w:val="0"/>
          <w:bCs w:val="0"/>
          <w:spacing w:val="10"/>
          <w:sz w:val="21"/>
          <w:szCs w:val="21"/>
        </w:rPr>
        <w:t xml:space="preserve"> </w:t>
      </w:r>
      <w:r w:rsidRPr="00B94CD4">
        <w:rPr>
          <w:rFonts w:ascii="Abadi" w:hAnsi="Abadi"/>
          <w:b w:val="0"/>
          <w:bCs w:val="0"/>
          <w:sz w:val="21"/>
          <w:szCs w:val="21"/>
        </w:rPr>
        <w:t>dictamen</w:t>
      </w:r>
      <w:r w:rsidRPr="00B94CD4">
        <w:rPr>
          <w:rFonts w:ascii="Abadi" w:hAnsi="Abadi"/>
          <w:b w:val="0"/>
          <w:bCs w:val="0"/>
          <w:spacing w:val="10"/>
          <w:sz w:val="21"/>
          <w:szCs w:val="21"/>
        </w:rPr>
        <w:t xml:space="preserve"> </w:t>
      </w:r>
      <w:r w:rsidRPr="00B94CD4">
        <w:rPr>
          <w:rFonts w:ascii="Abadi" w:hAnsi="Abadi"/>
          <w:b w:val="0"/>
          <w:bCs w:val="0"/>
          <w:sz w:val="21"/>
          <w:szCs w:val="21"/>
        </w:rPr>
        <w:t>suscrito</w:t>
      </w:r>
      <w:r w:rsidRPr="00B94CD4">
        <w:rPr>
          <w:rFonts w:ascii="Abadi" w:hAnsi="Abadi"/>
          <w:b w:val="0"/>
          <w:bCs w:val="0"/>
          <w:spacing w:val="11"/>
          <w:sz w:val="21"/>
          <w:szCs w:val="21"/>
        </w:rPr>
        <w:t xml:space="preserve"> </w:t>
      </w:r>
      <w:r w:rsidRPr="00B94CD4">
        <w:rPr>
          <w:rFonts w:ascii="Abadi" w:hAnsi="Abadi"/>
          <w:b w:val="0"/>
          <w:bCs w:val="0"/>
          <w:sz w:val="21"/>
          <w:szCs w:val="21"/>
        </w:rPr>
        <w:t>por</w:t>
      </w:r>
      <w:r w:rsidRPr="00B94CD4">
        <w:rPr>
          <w:rFonts w:ascii="Abadi" w:hAnsi="Abadi"/>
          <w:b w:val="0"/>
          <w:bCs w:val="0"/>
          <w:spacing w:val="10"/>
          <w:sz w:val="21"/>
          <w:szCs w:val="21"/>
        </w:rPr>
        <w:t xml:space="preserve"> </w:t>
      </w:r>
      <w:r w:rsidRPr="00B94CD4">
        <w:rPr>
          <w:rFonts w:ascii="Abadi" w:hAnsi="Abadi"/>
          <w:b w:val="0"/>
          <w:bCs w:val="0"/>
          <w:sz w:val="21"/>
          <w:szCs w:val="21"/>
        </w:rPr>
        <w:t>la</w:t>
      </w:r>
      <w:r w:rsidRPr="00B94CD4">
        <w:rPr>
          <w:rFonts w:ascii="Abadi" w:hAnsi="Abadi"/>
          <w:b w:val="0"/>
          <w:bCs w:val="0"/>
          <w:spacing w:val="10"/>
          <w:sz w:val="21"/>
          <w:szCs w:val="21"/>
        </w:rPr>
        <w:t xml:space="preserve"> </w:t>
      </w:r>
      <w:r w:rsidRPr="00B94CD4">
        <w:rPr>
          <w:rFonts w:ascii="Abadi" w:hAnsi="Abadi"/>
          <w:b w:val="0"/>
          <w:bCs w:val="0"/>
          <w:sz w:val="21"/>
          <w:szCs w:val="21"/>
        </w:rPr>
        <w:t>Comisión</w:t>
      </w:r>
      <w:r w:rsidRPr="00B94CD4">
        <w:rPr>
          <w:rFonts w:ascii="Abadi" w:hAnsi="Abadi"/>
          <w:b w:val="0"/>
          <w:bCs w:val="0"/>
          <w:spacing w:val="-2"/>
          <w:sz w:val="21"/>
          <w:szCs w:val="21"/>
        </w:rPr>
        <w:t xml:space="preserve"> </w:t>
      </w:r>
      <w:r w:rsidRPr="00B94CD4">
        <w:rPr>
          <w:rFonts w:ascii="Abadi" w:hAnsi="Abadi"/>
          <w:b w:val="0"/>
          <w:bCs w:val="0"/>
          <w:sz w:val="21"/>
          <w:szCs w:val="21"/>
        </w:rPr>
        <w:t>de</w:t>
      </w:r>
      <w:r w:rsidRPr="00B94CD4">
        <w:rPr>
          <w:rFonts w:ascii="Abadi" w:hAnsi="Abadi"/>
          <w:b w:val="0"/>
          <w:bCs w:val="0"/>
          <w:spacing w:val="4"/>
          <w:sz w:val="21"/>
          <w:szCs w:val="21"/>
        </w:rPr>
        <w:t xml:space="preserve"> </w:t>
      </w:r>
      <w:r w:rsidRPr="00B94CD4">
        <w:rPr>
          <w:rFonts w:ascii="Abadi" w:hAnsi="Abadi"/>
          <w:b w:val="0"/>
          <w:bCs w:val="0"/>
          <w:sz w:val="21"/>
          <w:szCs w:val="21"/>
        </w:rPr>
        <w:t>Gobernación</w:t>
      </w:r>
      <w:r w:rsidRPr="00B94CD4">
        <w:rPr>
          <w:rFonts w:ascii="Abadi" w:hAnsi="Abadi"/>
          <w:b w:val="0"/>
          <w:bCs w:val="0"/>
          <w:spacing w:val="4"/>
          <w:sz w:val="21"/>
          <w:szCs w:val="21"/>
        </w:rPr>
        <w:t xml:space="preserve"> </w:t>
      </w:r>
      <w:r w:rsidRPr="00B94CD4">
        <w:rPr>
          <w:rFonts w:ascii="Abadi" w:hAnsi="Abadi"/>
          <w:b w:val="0"/>
          <w:bCs w:val="0"/>
          <w:sz w:val="21"/>
          <w:szCs w:val="21"/>
        </w:rPr>
        <w:t>y</w:t>
      </w:r>
      <w:r w:rsidRPr="00B94CD4">
        <w:rPr>
          <w:rFonts w:ascii="Abadi" w:hAnsi="Abadi"/>
          <w:b w:val="0"/>
          <w:bCs w:val="0"/>
          <w:spacing w:val="4"/>
          <w:sz w:val="21"/>
          <w:szCs w:val="21"/>
        </w:rPr>
        <w:t xml:space="preserve"> </w:t>
      </w:r>
      <w:r w:rsidRPr="00B94CD4">
        <w:rPr>
          <w:rFonts w:ascii="Abadi" w:hAnsi="Abadi"/>
          <w:b w:val="0"/>
          <w:bCs w:val="0"/>
          <w:sz w:val="21"/>
          <w:szCs w:val="21"/>
        </w:rPr>
        <w:t>Puntos</w:t>
      </w:r>
      <w:r w:rsidRPr="00B94CD4">
        <w:rPr>
          <w:rFonts w:ascii="Abadi" w:hAnsi="Abadi"/>
          <w:b w:val="0"/>
          <w:bCs w:val="0"/>
          <w:spacing w:val="4"/>
          <w:sz w:val="21"/>
          <w:szCs w:val="21"/>
        </w:rPr>
        <w:t xml:space="preserve"> </w:t>
      </w:r>
      <w:r w:rsidRPr="00B94CD4">
        <w:rPr>
          <w:rFonts w:ascii="Abadi" w:hAnsi="Abadi"/>
          <w:b w:val="0"/>
          <w:bCs w:val="0"/>
          <w:sz w:val="21"/>
          <w:szCs w:val="21"/>
        </w:rPr>
        <w:t>Constitucionales</w:t>
      </w:r>
      <w:r w:rsidRPr="00B94CD4">
        <w:rPr>
          <w:rFonts w:ascii="Abadi" w:hAnsi="Abadi"/>
          <w:b w:val="0"/>
          <w:bCs w:val="0"/>
          <w:spacing w:val="3"/>
          <w:sz w:val="21"/>
          <w:szCs w:val="21"/>
        </w:rPr>
        <w:t xml:space="preserve"> </w:t>
      </w:r>
      <w:r w:rsidRPr="00B94CD4">
        <w:rPr>
          <w:rFonts w:ascii="Abadi" w:hAnsi="Abadi"/>
          <w:b w:val="0"/>
          <w:bCs w:val="0"/>
          <w:sz w:val="21"/>
          <w:szCs w:val="21"/>
        </w:rPr>
        <w:t>relativo</w:t>
      </w:r>
      <w:r w:rsidRPr="00B94CD4">
        <w:rPr>
          <w:rFonts w:ascii="Abadi" w:hAnsi="Abadi"/>
          <w:b w:val="0"/>
          <w:bCs w:val="0"/>
          <w:spacing w:val="4"/>
          <w:sz w:val="21"/>
          <w:szCs w:val="21"/>
        </w:rPr>
        <w:t xml:space="preserve"> </w:t>
      </w:r>
      <w:r w:rsidRPr="00B94CD4">
        <w:rPr>
          <w:rFonts w:ascii="Abadi" w:hAnsi="Abadi"/>
          <w:b w:val="0"/>
          <w:bCs w:val="0"/>
          <w:sz w:val="21"/>
          <w:szCs w:val="21"/>
        </w:rPr>
        <w:t>a</w:t>
      </w:r>
      <w:r w:rsidRPr="00B94CD4">
        <w:rPr>
          <w:rFonts w:ascii="Abadi" w:hAnsi="Abadi"/>
          <w:b w:val="0"/>
          <w:bCs w:val="0"/>
          <w:spacing w:val="4"/>
          <w:sz w:val="21"/>
          <w:szCs w:val="21"/>
        </w:rPr>
        <w:t xml:space="preserve"> </w:t>
      </w:r>
      <w:r w:rsidRPr="00B94CD4">
        <w:rPr>
          <w:rFonts w:ascii="Abadi" w:hAnsi="Abadi"/>
          <w:b w:val="0"/>
          <w:bCs w:val="0"/>
          <w:sz w:val="21"/>
          <w:szCs w:val="21"/>
        </w:rPr>
        <w:t>la</w:t>
      </w:r>
      <w:r w:rsidRPr="00B94CD4">
        <w:rPr>
          <w:rFonts w:ascii="Abadi" w:hAnsi="Abadi"/>
          <w:b w:val="0"/>
          <w:bCs w:val="0"/>
          <w:spacing w:val="4"/>
          <w:sz w:val="21"/>
          <w:szCs w:val="21"/>
        </w:rPr>
        <w:t xml:space="preserve"> </w:t>
      </w:r>
      <w:r w:rsidRPr="00B94CD4">
        <w:rPr>
          <w:rFonts w:ascii="Abadi" w:hAnsi="Abadi"/>
          <w:b w:val="0"/>
          <w:bCs w:val="0"/>
          <w:sz w:val="21"/>
          <w:szCs w:val="21"/>
        </w:rPr>
        <w:t>propuesta</w:t>
      </w:r>
      <w:r w:rsidRPr="00B94CD4">
        <w:rPr>
          <w:rFonts w:ascii="Abadi" w:hAnsi="Abadi"/>
          <w:b w:val="0"/>
          <w:bCs w:val="0"/>
          <w:spacing w:val="4"/>
          <w:sz w:val="21"/>
          <w:szCs w:val="21"/>
        </w:rPr>
        <w:t xml:space="preserve"> </w:t>
      </w:r>
      <w:r w:rsidRPr="00B94CD4">
        <w:rPr>
          <w:rFonts w:ascii="Abadi" w:hAnsi="Abadi"/>
          <w:b w:val="0"/>
          <w:bCs w:val="0"/>
          <w:sz w:val="21"/>
          <w:szCs w:val="21"/>
        </w:rPr>
        <w:t>de</w:t>
      </w:r>
      <w:r w:rsidRPr="00B94CD4">
        <w:rPr>
          <w:rFonts w:ascii="Abadi" w:hAnsi="Abadi"/>
          <w:b w:val="0"/>
          <w:bCs w:val="0"/>
          <w:spacing w:val="4"/>
          <w:sz w:val="21"/>
          <w:szCs w:val="21"/>
        </w:rPr>
        <w:t xml:space="preserve"> </w:t>
      </w:r>
      <w:r w:rsidRPr="00B94CD4">
        <w:rPr>
          <w:rFonts w:ascii="Abadi" w:hAnsi="Abadi"/>
          <w:b w:val="0"/>
          <w:bCs w:val="0"/>
          <w:sz w:val="21"/>
          <w:szCs w:val="21"/>
        </w:rPr>
        <w:t>punto</w:t>
      </w:r>
      <w:r w:rsidRPr="00B94CD4">
        <w:rPr>
          <w:rFonts w:ascii="Abadi" w:hAnsi="Abadi"/>
          <w:b w:val="0"/>
          <w:bCs w:val="0"/>
          <w:spacing w:val="-2"/>
          <w:sz w:val="21"/>
          <w:szCs w:val="21"/>
        </w:rPr>
        <w:t xml:space="preserve"> </w:t>
      </w:r>
      <w:r w:rsidRPr="00B94CD4">
        <w:rPr>
          <w:rFonts w:ascii="Abadi" w:hAnsi="Abadi"/>
          <w:b w:val="0"/>
          <w:bCs w:val="0"/>
          <w:sz w:val="21"/>
          <w:szCs w:val="21"/>
        </w:rPr>
        <w:t>de</w:t>
      </w:r>
      <w:r w:rsidRPr="00B94CD4">
        <w:rPr>
          <w:rFonts w:ascii="Abadi" w:hAnsi="Abadi"/>
          <w:b w:val="0"/>
          <w:bCs w:val="0"/>
          <w:spacing w:val="57"/>
          <w:sz w:val="21"/>
          <w:szCs w:val="21"/>
        </w:rPr>
        <w:t xml:space="preserve"> </w:t>
      </w:r>
      <w:r w:rsidRPr="00B94CD4">
        <w:rPr>
          <w:rFonts w:ascii="Abadi" w:hAnsi="Abadi"/>
          <w:b w:val="0"/>
          <w:bCs w:val="0"/>
          <w:sz w:val="21"/>
          <w:szCs w:val="21"/>
        </w:rPr>
        <w:t>acuerdo</w:t>
      </w:r>
      <w:r w:rsidRPr="00B94CD4">
        <w:rPr>
          <w:rFonts w:ascii="Abadi" w:hAnsi="Abadi"/>
          <w:b w:val="0"/>
          <w:bCs w:val="0"/>
          <w:spacing w:val="57"/>
          <w:sz w:val="21"/>
          <w:szCs w:val="21"/>
        </w:rPr>
        <w:t xml:space="preserve"> </w:t>
      </w:r>
      <w:r w:rsidRPr="00B94CD4">
        <w:rPr>
          <w:rFonts w:ascii="Abadi" w:hAnsi="Abadi"/>
          <w:b w:val="0"/>
          <w:bCs w:val="0"/>
          <w:sz w:val="21"/>
          <w:szCs w:val="21"/>
        </w:rPr>
        <w:t>formulada</w:t>
      </w:r>
      <w:r w:rsidRPr="00B94CD4">
        <w:rPr>
          <w:rFonts w:ascii="Abadi" w:hAnsi="Abadi"/>
          <w:b w:val="0"/>
          <w:bCs w:val="0"/>
          <w:spacing w:val="57"/>
          <w:sz w:val="21"/>
          <w:szCs w:val="21"/>
        </w:rPr>
        <w:t xml:space="preserve"> </w:t>
      </w:r>
      <w:r w:rsidRPr="00B94CD4">
        <w:rPr>
          <w:rFonts w:ascii="Abadi" w:hAnsi="Abadi"/>
          <w:b w:val="0"/>
          <w:bCs w:val="0"/>
          <w:sz w:val="21"/>
          <w:szCs w:val="21"/>
        </w:rPr>
        <w:t>por</w:t>
      </w:r>
      <w:r w:rsidRPr="00B94CD4">
        <w:rPr>
          <w:rFonts w:ascii="Abadi" w:hAnsi="Abadi"/>
          <w:b w:val="0"/>
          <w:bCs w:val="0"/>
          <w:spacing w:val="57"/>
          <w:sz w:val="21"/>
          <w:szCs w:val="21"/>
        </w:rPr>
        <w:t xml:space="preserve"> </w:t>
      </w:r>
      <w:r w:rsidRPr="00B94CD4">
        <w:rPr>
          <w:rFonts w:ascii="Abadi" w:hAnsi="Abadi"/>
          <w:b w:val="0"/>
          <w:bCs w:val="0"/>
          <w:sz w:val="21"/>
          <w:szCs w:val="21"/>
        </w:rPr>
        <w:t>diputadas</w:t>
      </w:r>
      <w:r w:rsidRPr="00B94CD4">
        <w:rPr>
          <w:rFonts w:ascii="Abadi" w:hAnsi="Abadi"/>
          <w:b w:val="0"/>
          <w:bCs w:val="0"/>
          <w:spacing w:val="57"/>
          <w:sz w:val="21"/>
          <w:szCs w:val="21"/>
        </w:rPr>
        <w:t xml:space="preserve"> </w:t>
      </w:r>
      <w:r w:rsidRPr="00B94CD4">
        <w:rPr>
          <w:rFonts w:ascii="Abadi" w:hAnsi="Abadi"/>
          <w:b w:val="0"/>
          <w:bCs w:val="0"/>
          <w:sz w:val="21"/>
          <w:szCs w:val="21"/>
        </w:rPr>
        <w:t>y</w:t>
      </w:r>
      <w:r w:rsidRPr="00B94CD4">
        <w:rPr>
          <w:rFonts w:ascii="Abadi" w:hAnsi="Abadi"/>
          <w:b w:val="0"/>
          <w:bCs w:val="0"/>
          <w:spacing w:val="57"/>
          <w:sz w:val="21"/>
          <w:szCs w:val="21"/>
        </w:rPr>
        <w:t xml:space="preserve"> </w:t>
      </w:r>
      <w:r w:rsidRPr="00B94CD4">
        <w:rPr>
          <w:rFonts w:ascii="Abadi" w:hAnsi="Abadi"/>
          <w:b w:val="0"/>
          <w:bCs w:val="0"/>
          <w:sz w:val="21"/>
          <w:szCs w:val="21"/>
        </w:rPr>
        <w:t>diputados</w:t>
      </w:r>
      <w:r w:rsidRPr="00B94CD4">
        <w:rPr>
          <w:rFonts w:ascii="Abadi" w:hAnsi="Abadi"/>
          <w:b w:val="0"/>
          <w:bCs w:val="0"/>
          <w:spacing w:val="57"/>
          <w:sz w:val="21"/>
          <w:szCs w:val="21"/>
        </w:rPr>
        <w:t xml:space="preserve"> </w:t>
      </w:r>
      <w:r w:rsidRPr="00B94CD4">
        <w:rPr>
          <w:rFonts w:ascii="Abadi" w:hAnsi="Abadi"/>
          <w:b w:val="0"/>
          <w:bCs w:val="0"/>
          <w:sz w:val="21"/>
          <w:szCs w:val="21"/>
        </w:rPr>
        <w:t>integrantes</w:t>
      </w:r>
      <w:r w:rsidRPr="00B94CD4">
        <w:rPr>
          <w:rFonts w:ascii="Abadi" w:hAnsi="Abadi"/>
          <w:b w:val="0"/>
          <w:bCs w:val="0"/>
          <w:spacing w:val="57"/>
          <w:sz w:val="21"/>
          <w:szCs w:val="21"/>
        </w:rPr>
        <w:t xml:space="preserve"> </w:t>
      </w:r>
      <w:r w:rsidRPr="00B94CD4">
        <w:rPr>
          <w:rFonts w:ascii="Abadi" w:hAnsi="Abadi"/>
          <w:b w:val="0"/>
          <w:bCs w:val="0"/>
          <w:sz w:val="21"/>
          <w:szCs w:val="21"/>
        </w:rPr>
        <w:t>del</w:t>
      </w:r>
      <w:r w:rsidRPr="00B94CD4">
        <w:rPr>
          <w:rFonts w:ascii="Abadi" w:hAnsi="Abadi"/>
          <w:b w:val="0"/>
          <w:bCs w:val="0"/>
          <w:spacing w:val="57"/>
          <w:sz w:val="21"/>
          <w:szCs w:val="21"/>
        </w:rPr>
        <w:t xml:space="preserve"> </w:t>
      </w:r>
      <w:r w:rsidRPr="00B94CD4">
        <w:rPr>
          <w:rFonts w:ascii="Abadi" w:hAnsi="Abadi"/>
          <w:b w:val="0"/>
          <w:bCs w:val="0"/>
          <w:sz w:val="21"/>
          <w:szCs w:val="21"/>
        </w:rPr>
        <w:t>Grupo</w:t>
      </w:r>
      <w:r w:rsidRPr="00B94CD4">
        <w:rPr>
          <w:rFonts w:ascii="Abadi" w:hAnsi="Abadi"/>
          <w:b w:val="0"/>
          <w:bCs w:val="0"/>
          <w:spacing w:val="-2"/>
          <w:sz w:val="21"/>
          <w:szCs w:val="21"/>
        </w:rPr>
        <w:t xml:space="preserve"> </w:t>
      </w:r>
      <w:r w:rsidRPr="00B94CD4">
        <w:rPr>
          <w:rFonts w:ascii="Abadi" w:hAnsi="Abadi"/>
          <w:b w:val="0"/>
          <w:bCs w:val="0"/>
          <w:sz w:val="21"/>
          <w:szCs w:val="21"/>
        </w:rPr>
        <w:t>Parlamentario</w:t>
      </w:r>
      <w:r w:rsidRPr="00B94CD4">
        <w:rPr>
          <w:rFonts w:ascii="Abadi" w:hAnsi="Abadi"/>
          <w:b w:val="0"/>
          <w:bCs w:val="0"/>
          <w:spacing w:val="12"/>
          <w:sz w:val="21"/>
          <w:szCs w:val="21"/>
        </w:rPr>
        <w:t xml:space="preserve"> </w:t>
      </w:r>
      <w:r w:rsidRPr="00B94CD4">
        <w:rPr>
          <w:rFonts w:ascii="Abadi" w:hAnsi="Abadi"/>
          <w:b w:val="0"/>
          <w:bCs w:val="0"/>
          <w:sz w:val="21"/>
          <w:szCs w:val="21"/>
        </w:rPr>
        <w:t>del</w:t>
      </w:r>
      <w:r w:rsidRPr="00B94CD4">
        <w:rPr>
          <w:rFonts w:ascii="Abadi" w:hAnsi="Abadi"/>
          <w:b w:val="0"/>
          <w:bCs w:val="0"/>
          <w:spacing w:val="11"/>
          <w:sz w:val="21"/>
          <w:szCs w:val="21"/>
        </w:rPr>
        <w:t xml:space="preserve"> </w:t>
      </w:r>
      <w:r w:rsidRPr="00B94CD4">
        <w:rPr>
          <w:rFonts w:ascii="Abadi" w:hAnsi="Abadi"/>
          <w:b w:val="0"/>
          <w:bCs w:val="0"/>
          <w:sz w:val="21"/>
          <w:szCs w:val="21"/>
        </w:rPr>
        <w:t>Partido</w:t>
      </w:r>
      <w:r w:rsidRPr="00B94CD4">
        <w:rPr>
          <w:rFonts w:ascii="Abadi" w:hAnsi="Abadi"/>
          <w:b w:val="0"/>
          <w:bCs w:val="0"/>
          <w:spacing w:val="12"/>
          <w:sz w:val="21"/>
          <w:szCs w:val="21"/>
        </w:rPr>
        <w:t xml:space="preserve"> </w:t>
      </w:r>
      <w:r w:rsidRPr="00B94CD4">
        <w:rPr>
          <w:rFonts w:ascii="Abadi" w:hAnsi="Abadi"/>
          <w:b w:val="0"/>
          <w:bCs w:val="0"/>
          <w:sz w:val="21"/>
          <w:szCs w:val="21"/>
        </w:rPr>
        <w:t>MORENA</w:t>
      </w:r>
      <w:r w:rsidRPr="00B94CD4">
        <w:rPr>
          <w:rFonts w:ascii="Abadi" w:hAnsi="Abadi"/>
          <w:b w:val="0"/>
          <w:bCs w:val="0"/>
          <w:spacing w:val="12"/>
          <w:sz w:val="21"/>
          <w:szCs w:val="21"/>
        </w:rPr>
        <w:t xml:space="preserve"> </w:t>
      </w:r>
      <w:r w:rsidRPr="00B94CD4">
        <w:rPr>
          <w:rFonts w:ascii="Abadi" w:hAnsi="Abadi"/>
          <w:b w:val="0"/>
          <w:bCs w:val="0"/>
          <w:sz w:val="21"/>
          <w:szCs w:val="21"/>
        </w:rPr>
        <w:t>a</w:t>
      </w:r>
      <w:r w:rsidRPr="00B94CD4">
        <w:rPr>
          <w:rFonts w:ascii="Abadi" w:hAnsi="Abadi"/>
          <w:b w:val="0"/>
          <w:bCs w:val="0"/>
          <w:spacing w:val="10"/>
          <w:sz w:val="21"/>
          <w:szCs w:val="21"/>
        </w:rPr>
        <w:t xml:space="preserve"> </w:t>
      </w:r>
      <w:r w:rsidRPr="00B94CD4">
        <w:rPr>
          <w:rFonts w:ascii="Abadi" w:hAnsi="Abadi"/>
          <w:b w:val="0"/>
          <w:bCs w:val="0"/>
          <w:sz w:val="21"/>
          <w:szCs w:val="21"/>
        </w:rPr>
        <w:t>efecto</w:t>
      </w:r>
      <w:r w:rsidRPr="00B94CD4">
        <w:rPr>
          <w:rFonts w:ascii="Abadi" w:hAnsi="Abadi"/>
          <w:b w:val="0"/>
          <w:bCs w:val="0"/>
          <w:spacing w:val="11"/>
          <w:sz w:val="21"/>
          <w:szCs w:val="21"/>
        </w:rPr>
        <w:t xml:space="preserve"> </w:t>
      </w:r>
      <w:r w:rsidRPr="00B94CD4">
        <w:rPr>
          <w:rFonts w:ascii="Abadi" w:hAnsi="Abadi"/>
          <w:b w:val="0"/>
          <w:bCs w:val="0"/>
          <w:sz w:val="21"/>
          <w:szCs w:val="21"/>
        </w:rPr>
        <w:t>de</w:t>
      </w:r>
      <w:r w:rsidRPr="00B94CD4">
        <w:rPr>
          <w:rFonts w:ascii="Abadi" w:hAnsi="Abadi"/>
          <w:b w:val="0"/>
          <w:bCs w:val="0"/>
          <w:spacing w:val="11"/>
          <w:sz w:val="21"/>
          <w:szCs w:val="21"/>
        </w:rPr>
        <w:t xml:space="preserve"> </w:t>
      </w:r>
      <w:r w:rsidRPr="00B94CD4">
        <w:rPr>
          <w:rFonts w:ascii="Abadi" w:hAnsi="Abadi"/>
          <w:b w:val="0"/>
          <w:bCs w:val="0"/>
          <w:sz w:val="21"/>
          <w:szCs w:val="21"/>
        </w:rPr>
        <w:t>exhortar</w:t>
      </w:r>
      <w:r w:rsidRPr="00B94CD4">
        <w:rPr>
          <w:rFonts w:ascii="Abadi" w:hAnsi="Abadi"/>
          <w:b w:val="0"/>
          <w:bCs w:val="0"/>
          <w:spacing w:val="11"/>
          <w:sz w:val="21"/>
          <w:szCs w:val="21"/>
        </w:rPr>
        <w:t xml:space="preserve"> </w:t>
      </w:r>
      <w:r w:rsidRPr="00B94CD4">
        <w:rPr>
          <w:rFonts w:ascii="Abadi" w:hAnsi="Abadi"/>
          <w:b w:val="0"/>
          <w:bCs w:val="0"/>
          <w:sz w:val="21"/>
          <w:szCs w:val="21"/>
        </w:rPr>
        <w:t>al</w:t>
      </w:r>
      <w:r w:rsidRPr="00B94CD4">
        <w:rPr>
          <w:rFonts w:ascii="Abadi" w:hAnsi="Abadi"/>
          <w:b w:val="0"/>
          <w:bCs w:val="0"/>
          <w:spacing w:val="11"/>
          <w:sz w:val="21"/>
          <w:szCs w:val="21"/>
        </w:rPr>
        <w:t xml:space="preserve"> </w:t>
      </w:r>
      <w:r w:rsidRPr="00B94CD4">
        <w:rPr>
          <w:rFonts w:ascii="Abadi" w:hAnsi="Abadi"/>
          <w:b w:val="0"/>
          <w:bCs w:val="0"/>
          <w:sz w:val="21"/>
          <w:szCs w:val="21"/>
        </w:rPr>
        <w:t>Fiscal</w:t>
      </w:r>
      <w:r w:rsidRPr="00B94CD4">
        <w:rPr>
          <w:rFonts w:ascii="Abadi" w:hAnsi="Abadi"/>
          <w:b w:val="0"/>
          <w:bCs w:val="0"/>
          <w:spacing w:val="11"/>
          <w:sz w:val="21"/>
          <w:szCs w:val="21"/>
        </w:rPr>
        <w:t xml:space="preserve"> </w:t>
      </w:r>
      <w:r w:rsidRPr="00B94CD4">
        <w:rPr>
          <w:rFonts w:ascii="Abadi" w:hAnsi="Abadi"/>
          <w:b w:val="0"/>
          <w:bCs w:val="0"/>
          <w:sz w:val="21"/>
          <w:szCs w:val="21"/>
        </w:rPr>
        <w:t>General</w:t>
      </w:r>
      <w:r w:rsidRPr="00B94CD4">
        <w:rPr>
          <w:rFonts w:ascii="Abadi" w:hAnsi="Abadi"/>
          <w:b w:val="0"/>
          <w:bCs w:val="0"/>
          <w:spacing w:val="-2"/>
          <w:sz w:val="21"/>
          <w:szCs w:val="21"/>
        </w:rPr>
        <w:t xml:space="preserve"> </w:t>
      </w:r>
      <w:r w:rsidRPr="00B94CD4">
        <w:rPr>
          <w:rFonts w:ascii="Abadi" w:hAnsi="Abadi"/>
          <w:b w:val="0"/>
          <w:bCs w:val="0"/>
          <w:sz w:val="21"/>
          <w:szCs w:val="21"/>
        </w:rPr>
        <w:t>de</w:t>
      </w:r>
      <w:r w:rsidRPr="00B94CD4">
        <w:rPr>
          <w:rFonts w:ascii="Abadi" w:hAnsi="Abadi"/>
          <w:b w:val="0"/>
          <w:bCs w:val="0"/>
          <w:spacing w:val="8"/>
          <w:sz w:val="21"/>
          <w:szCs w:val="21"/>
        </w:rPr>
        <w:t xml:space="preserve"> </w:t>
      </w:r>
      <w:r w:rsidRPr="00B94CD4">
        <w:rPr>
          <w:rFonts w:ascii="Abadi" w:hAnsi="Abadi"/>
          <w:b w:val="0"/>
          <w:bCs w:val="0"/>
          <w:sz w:val="21"/>
          <w:szCs w:val="21"/>
        </w:rPr>
        <w:t>Guanajuato</w:t>
      </w:r>
      <w:r w:rsidRPr="00B94CD4">
        <w:rPr>
          <w:rFonts w:ascii="Abadi" w:hAnsi="Abadi"/>
          <w:b w:val="0"/>
          <w:bCs w:val="0"/>
          <w:spacing w:val="8"/>
          <w:sz w:val="21"/>
          <w:szCs w:val="21"/>
        </w:rPr>
        <w:t xml:space="preserve"> </w:t>
      </w:r>
      <w:r w:rsidRPr="00B94CD4">
        <w:rPr>
          <w:rFonts w:ascii="Abadi" w:hAnsi="Abadi"/>
          <w:b w:val="0"/>
          <w:bCs w:val="0"/>
          <w:sz w:val="21"/>
          <w:szCs w:val="21"/>
        </w:rPr>
        <w:t>Carlos</w:t>
      </w:r>
      <w:r w:rsidRPr="00B94CD4">
        <w:rPr>
          <w:rFonts w:ascii="Abadi" w:hAnsi="Abadi"/>
          <w:b w:val="0"/>
          <w:bCs w:val="0"/>
          <w:spacing w:val="8"/>
          <w:sz w:val="21"/>
          <w:szCs w:val="21"/>
        </w:rPr>
        <w:t xml:space="preserve"> </w:t>
      </w:r>
      <w:r w:rsidRPr="00B94CD4">
        <w:rPr>
          <w:rFonts w:ascii="Abadi" w:hAnsi="Abadi"/>
          <w:b w:val="0"/>
          <w:bCs w:val="0"/>
          <w:sz w:val="21"/>
          <w:szCs w:val="21"/>
        </w:rPr>
        <w:t>Zamarripa</w:t>
      </w:r>
      <w:r w:rsidRPr="00B94CD4">
        <w:rPr>
          <w:rFonts w:ascii="Abadi" w:hAnsi="Abadi"/>
          <w:b w:val="0"/>
          <w:bCs w:val="0"/>
          <w:spacing w:val="8"/>
          <w:sz w:val="21"/>
          <w:szCs w:val="21"/>
        </w:rPr>
        <w:t xml:space="preserve"> </w:t>
      </w:r>
      <w:r w:rsidRPr="00B94CD4">
        <w:rPr>
          <w:rFonts w:ascii="Abadi" w:hAnsi="Abadi"/>
          <w:b w:val="0"/>
          <w:bCs w:val="0"/>
          <w:sz w:val="21"/>
          <w:szCs w:val="21"/>
        </w:rPr>
        <w:t>para</w:t>
      </w:r>
      <w:r w:rsidRPr="00B94CD4">
        <w:rPr>
          <w:rFonts w:ascii="Abadi" w:hAnsi="Abadi"/>
          <w:b w:val="0"/>
          <w:bCs w:val="0"/>
          <w:spacing w:val="8"/>
          <w:sz w:val="21"/>
          <w:szCs w:val="21"/>
        </w:rPr>
        <w:t xml:space="preserve"> </w:t>
      </w:r>
      <w:r w:rsidRPr="00B94CD4">
        <w:rPr>
          <w:rFonts w:ascii="Abadi" w:hAnsi="Abadi"/>
          <w:b w:val="0"/>
          <w:bCs w:val="0"/>
          <w:sz w:val="21"/>
          <w:szCs w:val="21"/>
        </w:rPr>
        <w:t>que</w:t>
      </w:r>
      <w:r w:rsidRPr="00B94CD4">
        <w:rPr>
          <w:rFonts w:ascii="Abadi" w:hAnsi="Abadi"/>
          <w:b w:val="0"/>
          <w:bCs w:val="0"/>
          <w:spacing w:val="8"/>
          <w:sz w:val="21"/>
          <w:szCs w:val="21"/>
        </w:rPr>
        <w:t xml:space="preserve"> </w:t>
      </w:r>
      <w:r w:rsidRPr="00B94CD4">
        <w:rPr>
          <w:rFonts w:ascii="Abadi" w:hAnsi="Abadi"/>
          <w:b w:val="0"/>
          <w:bCs w:val="0"/>
          <w:sz w:val="21"/>
          <w:szCs w:val="21"/>
        </w:rPr>
        <w:t>la</w:t>
      </w:r>
      <w:r w:rsidRPr="00B94CD4">
        <w:rPr>
          <w:rFonts w:ascii="Abadi" w:hAnsi="Abadi"/>
          <w:b w:val="0"/>
          <w:bCs w:val="0"/>
          <w:spacing w:val="8"/>
          <w:sz w:val="21"/>
          <w:szCs w:val="21"/>
        </w:rPr>
        <w:t xml:space="preserve"> </w:t>
      </w:r>
      <w:r w:rsidRPr="00B94CD4">
        <w:rPr>
          <w:rFonts w:ascii="Abadi" w:hAnsi="Abadi"/>
          <w:b w:val="0"/>
          <w:bCs w:val="0"/>
          <w:sz w:val="21"/>
          <w:szCs w:val="21"/>
        </w:rPr>
        <w:t>Fiscalía</w:t>
      </w:r>
      <w:r w:rsidRPr="00B94CD4">
        <w:rPr>
          <w:rFonts w:ascii="Abadi" w:hAnsi="Abadi"/>
          <w:b w:val="0"/>
          <w:bCs w:val="0"/>
          <w:spacing w:val="8"/>
          <w:sz w:val="21"/>
          <w:szCs w:val="21"/>
        </w:rPr>
        <w:t xml:space="preserve"> </w:t>
      </w:r>
      <w:r w:rsidRPr="00B94CD4">
        <w:rPr>
          <w:rFonts w:ascii="Abadi" w:hAnsi="Abadi"/>
          <w:b w:val="0"/>
          <w:bCs w:val="0"/>
          <w:sz w:val="21"/>
          <w:szCs w:val="21"/>
        </w:rPr>
        <w:t>a</w:t>
      </w:r>
      <w:r w:rsidRPr="00B94CD4">
        <w:rPr>
          <w:rFonts w:ascii="Abadi" w:hAnsi="Abadi"/>
          <w:b w:val="0"/>
          <w:bCs w:val="0"/>
          <w:spacing w:val="8"/>
          <w:sz w:val="21"/>
          <w:szCs w:val="21"/>
        </w:rPr>
        <w:t xml:space="preserve"> </w:t>
      </w:r>
      <w:r w:rsidRPr="00B94CD4">
        <w:rPr>
          <w:rFonts w:ascii="Abadi" w:hAnsi="Abadi"/>
          <w:b w:val="0"/>
          <w:bCs w:val="0"/>
          <w:sz w:val="21"/>
          <w:szCs w:val="21"/>
        </w:rPr>
        <w:t>su</w:t>
      </w:r>
      <w:r w:rsidRPr="00B94CD4">
        <w:rPr>
          <w:rFonts w:ascii="Abadi" w:hAnsi="Abadi"/>
          <w:b w:val="0"/>
          <w:bCs w:val="0"/>
          <w:spacing w:val="8"/>
          <w:sz w:val="21"/>
          <w:szCs w:val="21"/>
        </w:rPr>
        <w:t xml:space="preserve"> </w:t>
      </w:r>
      <w:r w:rsidRPr="00B94CD4">
        <w:rPr>
          <w:rFonts w:ascii="Abadi" w:hAnsi="Abadi"/>
          <w:b w:val="0"/>
          <w:bCs w:val="0"/>
          <w:sz w:val="21"/>
          <w:szCs w:val="21"/>
        </w:rPr>
        <w:t>cargo</w:t>
      </w:r>
      <w:r w:rsidRPr="00B94CD4">
        <w:rPr>
          <w:rFonts w:ascii="Abadi" w:hAnsi="Abadi"/>
          <w:b w:val="0"/>
          <w:bCs w:val="0"/>
          <w:spacing w:val="8"/>
          <w:sz w:val="21"/>
          <w:szCs w:val="21"/>
        </w:rPr>
        <w:t xml:space="preserve"> </w:t>
      </w:r>
      <w:r w:rsidRPr="00B94CD4">
        <w:rPr>
          <w:rFonts w:ascii="Abadi" w:hAnsi="Abadi"/>
          <w:b w:val="0"/>
          <w:bCs w:val="0"/>
          <w:sz w:val="21"/>
          <w:szCs w:val="21"/>
        </w:rPr>
        <w:t>obre</w:t>
      </w:r>
      <w:r w:rsidRPr="00B94CD4">
        <w:rPr>
          <w:rFonts w:ascii="Abadi" w:hAnsi="Abadi"/>
          <w:b w:val="0"/>
          <w:bCs w:val="0"/>
          <w:spacing w:val="8"/>
          <w:sz w:val="21"/>
          <w:szCs w:val="21"/>
        </w:rPr>
        <w:t xml:space="preserve"> </w:t>
      </w:r>
      <w:r w:rsidRPr="00B94CD4">
        <w:rPr>
          <w:rFonts w:ascii="Abadi" w:hAnsi="Abadi"/>
          <w:b w:val="0"/>
          <w:bCs w:val="0"/>
          <w:sz w:val="21"/>
          <w:szCs w:val="21"/>
        </w:rPr>
        <w:t>bajo</w:t>
      </w:r>
      <w:r w:rsidRPr="00B94CD4">
        <w:rPr>
          <w:rFonts w:ascii="Abadi" w:hAnsi="Abadi"/>
          <w:b w:val="0"/>
          <w:bCs w:val="0"/>
          <w:spacing w:val="-2"/>
          <w:sz w:val="21"/>
          <w:szCs w:val="21"/>
        </w:rPr>
        <w:t xml:space="preserve"> </w:t>
      </w:r>
      <w:r w:rsidRPr="00B94CD4">
        <w:rPr>
          <w:rFonts w:ascii="Abadi" w:hAnsi="Abadi"/>
          <w:b w:val="0"/>
          <w:bCs w:val="0"/>
          <w:sz w:val="21"/>
          <w:szCs w:val="21"/>
        </w:rPr>
        <w:t>el</w:t>
      </w:r>
      <w:r w:rsidRPr="00B94CD4">
        <w:rPr>
          <w:rFonts w:ascii="Abadi" w:hAnsi="Abadi"/>
          <w:b w:val="0"/>
          <w:bCs w:val="0"/>
          <w:spacing w:val="7"/>
          <w:sz w:val="21"/>
          <w:szCs w:val="21"/>
        </w:rPr>
        <w:t xml:space="preserve"> </w:t>
      </w:r>
      <w:r w:rsidRPr="00B94CD4">
        <w:rPr>
          <w:rFonts w:ascii="Abadi" w:hAnsi="Abadi"/>
          <w:b w:val="0"/>
          <w:bCs w:val="0"/>
          <w:sz w:val="21"/>
          <w:szCs w:val="21"/>
        </w:rPr>
        <w:t>principio</w:t>
      </w:r>
      <w:r w:rsidRPr="00B94CD4">
        <w:rPr>
          <w:rFonts w:ascii="Abadi" w:hAnsi="Abadi"/>
          <w:b w:val="0"/>
          <w:bCs w:val="0"/>
          <w:spacing w:val="8"/>
          <w:sz w:val="21"/>
          <w:szCs w:val="21"/>
        </w:rPr>
        <w:t xml:space="preserve"> </w:t>
      </w:r>
      <w:r w:rsidRPr="00B94CD4">
        <w:rPr>
          <w:rFonts w:ascii="Abadi" w:hAnsi="Abadi"/>
          <w:b w:val="0"/>
          <w:bCs w:val="0"/>
          <w:sz w:val="21"/>
          <w:szCs w:val="21"/>
        </w:rPr>
        <w:t>de</w:t>
      </w:r>
      <w:r w:rsidRPr="00B94CD4">
        <w:rPr>
          <w:rFonts w:ascii="Abadi" w:hAnsi="Abadi"/>
          <w:b w:val="0"/>
          <w:bCs w:val="0"/>
          <w:spacing w:val="8"/>
          <w:sz w:val="21"/>
          <w:szCs w:val="21"/>
        </w:rPr>
        <w:t xml:space="preserve"> </w:t>
      </w:r>
      <w:r w:rsidRPr="00B94CD4">
        <w:rPr>
          <w:rFonts w:ascii="Abadi" w:hAnsi="Abadi"/>
          <w:b w:val="0"/>
          <w:bCs w:val="0"/>
          <w:sz w:val="21"/>
          <w:szCs w:val="21"/>
        </w:rPr>
        <w:t>máxima</w:t>
      </w:r>
      <w:r w:rsidRPr="00B94CD4">
        <w:rPr>
          <w:rFonts w:ascii="Abadi" w:hAnsi="Abadi"/>
          <w:b w:val="0"/>
          <w:bCs w:val="0"/>
          <w:spacing w:val="8"/>
          <w:sz w:val="21"/>
          <w:szCs w:val="21"/>
        </w:rPr>
        <w:t xml:space="preserve"> </w:t>
      </w:r>
      <w:r w:rsidRPr="00B94CD4">
        <w:rPr>
          <w:rFonts w:ascii="Abadi" w:hAnsi="Abadi"/>
          <w:b w:val="0"/>
          <w:bCs w:val="0"/>
          <w:sz w:val="21"/>
          <w:szCs w:val="21"/>
        </w:rPr>
        <w:t>publicidad</w:t>
      </w:r>
      <w:r w:rsidRPr="00B94CD4">
        <w:rPr>
          <w:rFonts w:ascii="Abadi" w:hAnsi="Abadi"/>
          <w:b w:val="0"/>
          <w:bCs w:val="0"/>
          <w:spacing w:val="8"/>
          <w:sz w:val="21"/>
          <w:szCs w:val="21"/>
        </w:rPr>
        <w:t xml:space="preserve"> </w:t>
      </w:r>
      <w:r w:rsidRPr="00B94CD4">
        <w:rPr>
          <w:rFonts w:ascii="Abadi" w:hAnsi="Abadi"/>
          <w:b w:val="0"/>
          <w:bCs w:val="0"/>
          <w:sz w:val="21"/>
          <w:szCs w:val="21"/>
        </w:rPr>
        <w:t>con</w:t>
      </w:r>
      <w:r w:rsidRPr="00B94CD4">
        <w:rPr>
          <w:rFonts w:ascii="Abadi" w:hAnsi="Abadi"/>
          <w:b w:val="0"/>
          <w:bCs w:val="0"/>
          <w:spacing w:val="8"/>
          <w:sz w:val="21"/>
          <w:szCs w:val="21"/>
        </w:rPr>
        <w:t xml:space="preserve"> </w:t>
      </w:r>
      <w:r w:rsidRPr="00B94CD4">
        <w:rPr>
          <w:rFonts w:ascii="Abadi" w:hAnsi="Abadi"/>
          <w:b w:val="0"/>
          <w:bCs w:val="0"/>
          <w:sz w:val="21"/>
          <w:szCs w:val="21"/>
        </w:rPr>
        <w:t>respecto</w:t>
      </w:r>
      <w:r w:rsidRPr="00B94CD4">
        <w:rPr>
          <w:rFonts w:ascii="Abadi" w:hAnsi="Abadi"/>
          <w:b w:val="0"/>
          <w:bCs w:val="0"/>
          <w:spacing w:val="8"/>
          <w:sz w:val="21"/>
          <w:szCs w:val="21"/>
        </w:rPr>
        <w:t xml:space="preserve"> </w:t>
      </w:r>
      <w:r w:rsidRPr="00B94CD4">
        <w:rPr>
          <w:rFonts w:ascii="Abadi" w:hAnsi="Abadi"/>
          <w:b w:val="0"/>
          <w:bCs w:val="0"/>
          <w:sz w:val="21"/>
          <w:szCs w:val="21"/>
        </w:rPr>
        <w:t>al</w:t>
      </w:r>
      <w:r w:rsidRPr="00B94CD4">
        <w:rPr>
          <w:rFonts w:ascii="Abadi" w:hAnsi="Abadi"/>
          <w:b w:val="0"/>
          <w:bCs w:val="0"/>
          <w:spacing w:val="7"/>
          <w:sz w:val="21"/>
          <w:szCs w:val="21"/>
        </w:rPr>
        <w:t xml:space="preserve"> </w:t>
      </w:r>
      <w:r w:rsidRPr="00B94CD4">
        <w:rPr>
          <w:rFonts w:ascii="Abadi" w:hAnsi="Abadi"/>
          <w:b w:val="0"/>
          <w:bCs w:val="0"/>
          <w:sz w:val="21"/>
          <w:szCs w:val="21"/>
        </w:rPr>
        <w:lastRenderedPageBreak/>
        <w:t>derecho</w:t>
      </w:r>
      <w:r w:rsidRPr="00B94CD4">
        <w:rPr>
          <w:rFonts w:ascii="Abadi" w:hAnsi="Abadi"/>
          <w:b w:val="0"/>
          <w:bCs w:val="0"/>
          <w:spacing w:val="8"/>
          <w:sz w:val="21"/>
          <w:szCs w:val="21"/>
        </w:rPr>
        <w:t xml:space="preserve"> </w:t>
      </w:r>
      <w:r w:rsidRPr="00B94CD4">
        <w:rPr>
          <w:rFonts w:ascii="Abadi" w:hAnsi="Abadi"/>
          <w:b w:val="0"/>
          <w:bCs w:val="0"/>
          <w:sz w:val="21"/>
          <w:szCs w:val="21"/>
        </w:rPr>
        <w:t>a</w:t>
      </w:r>
      <w:r w:rsidRPr="00B94CD4">
        <w:rPr>
          <w:rFonts w:ascii="Abadi" w:hAnsi="Abadi"/>
          <w:b w:val="0"/>
          <w:bCs w:val="0"/>
          <w:spacing w:val="8"/>
          <w:sz w:val="21"/>
          <w:szCs w:val="21"/>
        </w:rPr>
        <w:t xml:space="preserve"> </w:t>
      </w:r>
      <w:r w:rsidRPr="00B94CD4">
        <w:rPr>
          <w:rFonts w:ascii="Abadi" w:hAnsi="Abadi"/>
          <w:b w:val="0"/>
          <w:bCs w:val="0"/>
          <w:sz w:val="21"/>
          <w:szCs w:val="21"/>
        </w:rPr>
        <w:t>la</w:t>
      </w:r>
      <w:r w:rsidRPr="00B94CD4">
        <w:rPr>
          <w:rFonts w:ascii="Abadi" w:hAnsi="Abadi"/>
          <w:b w:val="0"/>
          <w:bCs w:val="0"/>
          <w:spacing w:val="8"/>
          <w:sz w:val="21"/>
          <w:szCs w:val="21"/>
        </w:rPr>
        <w:t xml:space="preserve"> </w:t>
      </w:r>
      <w:r w:rsidRPr="00B94CD4">
        <w:rPr>
          <w:rFonts w:ascii="Abadi" w:hAnsi="Abadi"/>
          <w:b w:val="0"/>
          <w:bCs w:val="0"/>
          <w:sz w:val="21"/>
          <w:szCs w:val="21"/>
        </w:rPr>
        <w:t>información</w:t>
      </w:r>
      <w:r w:rsidRPr="00B94CD4">
        <w:rPr>
          <w:rFonts w:ascii="Abadi" w:hAnsi="Abadi"/>
          <w:b w:val="0"/>
          <w:bCs w:val="0"/>
          <w:spacing w:val="-2"/>
          <w:sz w:val="21"/>
          <w:szCs w:val="21"/>
        </w:rPr>
        <w:t xml:space="preserve"> </w:t>
      </w:r>
      <w:r w:rsidRPr="00B94CD4">
        <w:rPr>
          <w:rFonts w:ascii="Abadi" w:hAnsi="Abadi"/>
          <w:b w:val="0"/>
          <w:bCs w:val="0"/>
          <w:sz w:val="21"/>
          <w:szCs w:val="21"/>
        </w:rPr>
        <w:t>sobre</w:t>
      </w:r>
      <w:r w:rsidRPr="00B94CD4">
        <w:rPr>
          <w:rFonts w:ascii="Abadi" w:hAnsi="Abadi"/>
          <w:b w:val="0"/>
          <w:bCs w:val="0"/>
          <w:spacing w:val="33"/>
          <w:sz w:val="21"/>
          <w:szCs w:val="21"/>
        </w:rPr>
        <w:t xml:space="preserve"> </w:t>
      </w:r>
      <w:r w:rsidRPr="00B94CD4">
        <w:rPr>
          <w:rFonts w:ascii="Abadi" w:hAnsi="Abadi"/>
          <w:b w:val="0"/>
          <w:bCs w:val="0"/>
          <w:sz w:val="21"/>
          <w:szCs w:val="21"/>
        </w:rPr>
        <w:t>todos</w:t>
      </w:r>
      <w:r w:rsidRPr="00B94CD4">
        <w:rPr>
          <w:rFonts w:ascii="Abadi" w:hAnsi="Abadi"/>
          <w:b w:val="0"/>
          <w:bCs w:val="0"/>
          <w:spacing w:val="33"/>
          <w:sz w:val="21"/>
          <w:szCs w:val="21"/>
        </w:rPr>
        <w:t xml:space="preserve"> </w:t>
      </w:r>
      <w:r w:rsidRPr="00B94CD4">
        <w:rPr>
          <w:rFonts w:ascii="Abadi" w:hAnsi="Abadi"/>
          <w:b w:val="0"/>
          <w:bCs w:val="0"/>
          <w:sz w:val="21"/>
          <w:szCs w:val="21"/>
        </w:rPr>
        <w:t>los</w:t>
      </w:r>
      <w:r w:rsidRPr="00B94CD4">
        <w:rPr>
          <w:rFonts w:ascii="Abadi" w:hAnsi="Abadi"/>
          <w:b w:val="0"/>
          <w:bCs w:val="0"/>
          <w:spacing w:val="33"/>
          <w:sz w:val="21"/>
          <w:szCs w:val="21"/>
        </w:rPr>
        <w:t xml:space="preserve"> </w:t>
      </w:r>
      <w:r w:rsidRPr="00B94CD4">
        <w:rPr>
          <w:rFonts w:ascii="Abadi" w:hAnsi="Abadi"/>
          <w:b w:val="0"/>
          <w:bCs w:val="0"/>
          <w:sz w:val="21"/>
          <w:szCs w:val="21"/>
        </w:rPr>
        <w:t>contextos</w:t>
      </w:r>
      <w:r w:rsidRPr="00B94CD4">
        <w:rPr>
          <w:rFonts w:ascii="Abadi" w:hAnsi="Abadi"/>
          <w:b w:val="0"/>
          <w:bCs w:val="0"/>
          <w:spacing w:val="33"/>
          <w:sz w:val="21"/>
          <w:szCs w:val="21"/>
        </w:rPr>
        <w:t xml:space="preserve"> </w:t>
      </w:r>
      <w:r w:rsidRPr="00B94CD4">
        <w:rPr>
          <w:rFonts w:ascii="Abadi" w:hAnsi="Abadi"/>
          <w:b w:val="0"/>
          <w:bCs w:val="0"/>
          <w:sz w:val="21"/>
          <w:szCs w:val="21"/>
        </w:rPr>
        <w:t>de</w:t>
      </w:r>
      <w:r w:rsidRPr="00B94CD4">
        <w:rPr>
          <w:rFonts w:ascii="Abadi" w:hAnsi="Abadi"/>
          <w:b w:val="0"/>
          <w:bCs w:val="0"/>
          <w:spacing w:val="33"/>
          <w:sz w:val="21"/>
          <w:szCs w:val="21"/>
        </w:rPr>
        <w:t xml:space="preserve"> </w:t>
      </w:r>
      <w:r w:rsidRPr="00B94CD4">
        <w:rPr>
          <w:rFonts w:ascii="Abadi" w:hAnsi="Abadi"/>
          <w:b w:val="0"/>
          <w:bCs w:val="0"/>
          <w:sz w:val="21"/>
          <w:szCs w:val="21"/>
        </w:rPr>
        <w:t>hallazgo,</w:t>
      </w:r>
      <w:r w:rsidRPr="00B94CD4">
        <w:rPr>
          <w:rFonts w:ascii="Abadi" w:hAnsi="Abadi"/>
          <w:b w:val="0"/>
          <w:bCs w:val="0"/>
          <w:spacing w:val="33"/>
          <w:sz w:val="21"/>
          <w:szCs w:val="21"/>
        </w:rPr>
        <w:t xml:space="preserve"> </w:t>
      </w:r>
      <w:r w:rsidRPr="00B94CD4">
        <w:rPr>
          <w:rFonts w:ascii="Abadi" w:hAnsi="Abadi"/>
          <w:b w:val="0"/>
          <w:bCs w:val="0"/>
          <w:sz w:val="21"/>
          <w:szCs w:val="21"/>
        </w:rPr>
        <w:t>incluyendo</w:t>
      </w:r>
      <w:r w:rsidRPr="00B94CD4">
        <w:rPr>
          <w:rFonts w:ascii="Abadi" w:hAnsi="Abadi"/>
          <w:b w:val="0"/>
          <w:bCs w:val="0"/>
          <w:spacing w:val="33"/>
          <w:sz w:val="21"/>
          <w:szCs w:val="21"/>
        </w:rPr>
        <w:t xml:space="preserve"> </w:t>
      </w:r>
      <w:r w:rsidRPr="00B94CD4">
        <w:rPr>
          <w:rFonts w:ascii="Abadi" w:hAnsi="Abadi"/>
          <w:b w:val="0"/>
          <w:bCs w:val="0"/>
          <w:sz w:val="21"/>
          <w:szCs w:val="21"/>
        </w:rPr>
        <w:t>en</w:t>
      </w:r>
      <w:r w:rsidRPr="00B94CD4">
        <w:rPr>
          <w:rFonts w:ascii="Abadi" w:hAnsi="Abadi"/>
          <w:b w:val="0"/>
          <w:bCs w:val="0"/>
          <w:spacing w:val="33"/>
          <w:sz w:val="21"/>
          <w:szCs w:val="21"/>
        </w:rPr>
        <w:t xml:space="preserve"> </w:t>
      </w:r>
      <w:r w:rsidRPr="00B94CD4">
        <w:rPr>
          <w:rFonts w:ascii="Abadi" w:hAnsi="Abadi"/>
          <w:b w:val="0"/>
          <w:bCs w:val="0"/>
          <w:sz w:val="21"/>
          <w:szCs w:val="21"/>
        </w:rPr>
        <w:t>particular</w:t>
      </w:r>
      <w:r w:rsidRPr="00B94CD4">
        <w:rPr>
          <w:rFonts w:ascii="Abadi" w:hAnsi="Abadi"/>
          <w:b w:val="0"/>
          <w:bCs w:val="0"/>
          <w:spacing w:val="33"/>
          <w:sz w:val="21"/>
          <w:szCs w:val="21"/>
        </w:rPr>
        <w:t xml:space="preserve"> </w:t>
      </w:r>
      <w:r w:rsidRPr="00B94CD4">
        <w:rPr>
          <w:rFonts w:ascii="Abadi" w:hAnsi="Abadi"/>
          <w:b w:val="0"/>
          <w:bCs w:val="0"/>
          <w:sz w:val="21"/>
          <w:szCs w:val="21"/>
        </w:rPr>
        <w:t>las</w:t>
      </w:r>
      <w:r w:rsidRPr="00B94CD4">
        <w:rPr>
          <w:rFonts w:ascii="Abadi" w:hAnsi="Abadi"/>
          <w:b w:val="0"/>
          <w:bCs w:val="0"/>
          <w:spacing w:val="33"/>
          <w:sz w:val="21"/>
          <w:szCs w:val="21"/>
        </w:rPr>
        <w:t xml:space="preserve"> </w:t>
      </w:r>
      <w:r w:rsidRPr="00B94CD4">
        <w:rPr>
          <w:rFonts w:ascii="Abadi" w:hAnsi="Abadi"/>
          <w:b w:val="0"/>
          <w:bCs w:val="0"/>
          <w:sz w:val="21"/>
          <w:szCs w:val="21"/>
        </w:rPr>
        <w:t>fosas</w:t>
      </w:r>
      <w:r w:rsidRPr="00B94CD4">
        <w:rPr>
          <w:rFonts w:ascii="Abadi" w:hAnsi="Abadi"/>
          <w:b w:val="0"/>
          <w:bCs w:val="0"/>
          <w:spacing w:val="-2"/>
          <w:sz w:val="21"/>
          <w:szCs w:val="21"/>
        </w:rPr>
        <w:t xml:space="preserve"> </w:t>
      </w:r>
      <w:r w:rsidRPr="00B94CD4">
        <w:rPr>
          <w:rFonts w:ascii="Abadi" w:hAnsi="Abadi"/>
          <w:b w:val="0"/>
          <w:bCs w:val="0"/>
          <w:sz w:val="21"/>
          <w:szCs w:val="21"/>
        </w:rPr>
        <w:t>clandestinas</w:t>
      </w:r>
      <w:r w:rsidRPr="00B94CD4">
        <w:rPr>
          <w:rFonts w:ascii="Abadi" w:hAnsi="Abadi"/>
          <w:b w:val="0"/>
          <w:bCs w:val="0"/>
          <w:spacing w:val="-15"/>
          <w:sz w:val="21"/>
          <w:szCs w:val="21"/>
        </w:rPr>
        <w:t xml:space="preserve"> </w:t>
      </w:r>
      <w:r w:rsidRPr="00B94CD4">
        <w:rPr>
          <w:rFonts w:ascii="Abadi" w:hAnsi="Abadi"/>
          <w:b w:val="0"/>
          <w:bCs w:val="0"/>
          <w:sz w:val="21"/>
          <w:szCs w:val="21"/>
        </w:rPr>
        <w:t>de</w:t>
      </w:r>
      <w:r w:rsidRPr="00B94CD4">
        <w:rPr>
          <w:rFonts w:ascii="Abadi" w:hAnsi="Abadi"/>
          <w:b w:val="0"/>
          <w:bCs w:val="0"/>
          <w:spacing w:val="-15"/>
          <w:sz w:val="21"/>
          <w:szCs w:val="21"/>
        </w:rPr>
        <w:t xml:space="preserve"> </w:t>
      </w:r>
      <w:r w:rsidRPr="00B94CD4">
        <w:rPr>
          <w:rFonts w:ascii="Abadi" w:hAnsi="Abadi"/>
          <w:b w:val="0"/>
          <w:bCs w:val="0"/>
          <w:sz w:val="21"/>
          <w:szCs w:val="21"/>
        </w:rPr>
        <w:t>los</w:t>
      </w:r>
      <w:r w:rsidRPr="00B94CD4">
        <w:rPr>
          <w:rFonts w:ascii="Abadi" w:hAnsi="Abadi"/>
          <w:b w:val="0"/>
          <w:bCs w:val="0"/>
          <w:spacing w:val="-15"/>
          <w:sz w:val="21"/>
          <w:szCs w:val="21"/>
        </w:rPr>
        <w:t xml:space="preserve"> </w:t>
      </w:r>
      <w:r w:rsidRPr="00B94CD4">
        <w:rPr>
          <w:rFonts w:ascii="Abadi" w:hAnsi="Abadi"/>
          <w:b w:val="0"/>
          <w:bCs w:val="0"/>
          <w:sz w:val="21"/>
          <w:szCs w:val="21"/>
        </w:rPr>
        <w:t>que</w:t>
      </w:r>
      <w:r w:rsidRPr="00B94CD4">
        <w:rPr>
          <w:rFonts w:ascii="Abadi" w:hAnsi="Abadi"/>
          <w:b w:val="0"/>
          <w:bCs w:val="0"/>
          <w:spacing w:val="-15"/>
          <w:sz w:val="21"/>
          <w:szCs w:val="21"/>
        </w:rPr>
        <w:t xml:space="preserve"> </w:t>
      </w:r>
      <w:r w:rsidRPr="00B94CD4">
        <w:rPr>
          <w:rFonts w:ascii="Abadi" w:hAnsi="Abadi"/>
          <w:b w:val="0"/>
          <w:bCs w:val="0"/>
          <w:sz w:val="21"/>
          <w:szCs w:val="21"/>
        </w:rPr>
        <w:t>tiene</w:t>
      </w:r>
      <w:r w:rsidRPr="00B94CD4">
        <w:rPr>
          <w:rFonts w:ascii="Abadi" w:hAnsi="Abadi"/>
          <w:b w:val="0"/>
          <w:bCs w:val="0"/>
          <w:spacing w:val="-15"/>
          <w:sz w:val="21"/>
          <w:szCs w:val="21"/>
        </w:rPr>
        <w:t xml:space="preserve"> </w:t>
      </w:r>
      <w:r w:rsidRPr="00B94CD4">
        <w:rPr>
          <w:rFonts w:ascii="Abadi" w:hAnsi="Abadi"/>
          <w:b w:val="0"/>
          <w:bCs w:val="0"/>
          <w:sz w:val="21"/>
          <w:szCs w:val="21"/>
        </w:rPr>
        <w:t>conocimiento</w:t>
      </w:r>
      <w:r w:rsidRPr="00B94CD4">
        <w:rPr>
          <w:rFonts w:ascii="Abadi" w:hAnsi="Abadi"/>
          <w:b w:val="0"/>
          <w:bCs w:val="0"/>
          <w:spacing w:val="-15"/>
          <w:sz w:val="21"/>
          <w:szCs w:val="21"/>
        </w:rPr>
        <w:t xml:space="preserve"> </w:t>
      </w:r>
      <w:r w:rsidRPr="00B94CD4">
        <w:rPr>
          <w:rFonts w:ascii="Abadi" w:hAnsi="Abadi"/>
          <w:b w:val="0"/>
          <w:bCs w:val="0"/>
          <w:sz w:val="21"/>
          <w:szCs w:val="21"/>
        </w:rPr>
        <w:t>y</w:t>
      </w:r>
      <w:r w:rsidRPr="00B94CD4">
        <w:rPr>
          <w:rFonts w:ascii="Abadi" w:hAnsi="Abadi"/>
          <w:b w:val="0"/>
          <w:bCs w:val="0"/>
          <w:spacing w:val="-15"/>
          <w:sz w:val="21"/>
          <w:szCs w:val="21"/>
        </w:rPr>
        <w:t xml:space="preserve"> </w:t>
      </w:r>
      <w:r w:rsidRPr="00B94CD4">
        <w:rPr>
          <w:rFonts w:ascii="Abadi" w:hAnsi="Abadi"/>
          <w:b w:val="0"/>
          <w:bCs w:val="0"/>
          <w:sz w:val="21"/>
          <w:szCs w:val="21"/>
        </w:rPr>
        <w:t>homologue</w:t>
      </w:r>
      <w:r w:rsidRPr="00B94CD4">
        <w:rPr>
          <w:rFonts w:ascii="Abadi" w:hAnsi="Abadi"/>
          <w:b w:val="0"/>
          <w:bCs w:val="0"/>
          <w:spacing w:val="-15"/>
          <w:sz w:val="21"/>
          <w:szCs w:val="21"/>
        </w:rPr>
        <w:t xml:space="preserve"> </w:t>
      </w:r>
      <w:r w:rsidRPr="00B94CD4">
        <w:rPr>
          <w:rFonts w:ascii="Abadi" w:hAnsi="Abadi"/>
          <w:b w:val="0"/>
          <w:bCs w:val="0"/>
          <w:sz w:val="21"/>
          <w:szCs w:val="21"/>
        </w:rPr>
        <w:t>consecuentemente</w:t>
      </w:r>
      <w:r w:rsidRPr="00B94CD4">
        <w:rPr>
          <w:rFonts w:ascii="Abadi" w:hAnsi="Abadi"/>
          <w:b w:val="0"/>
          <w:bCs w:val="0"/>
          <w:spacing w:val="-2"/>
          <w:sz w:val="21"/>
          <w:szCs w:val="21"/>
        </w:rPr>
        <w:t xml:space="preserve"> </w:t>
      </w:r>
      <w:r w:rsidRPr="00B94CD4">
        <w:rPr>
          <w:rFonts w:ascii="Abadi" w:hAnsi="Abadi"/>
          <w:b w:val="0"/>
          <w:bCs w:val="0"/>
          <w:sz w:val="21"/>
          <w:szCs w:val="21"/>
        </w:rPr>
        <w:t>los</w:t>
      </w:r>
      <w:r w:rsidRPr="00B94CD4">
        <w:rPr>
          <w:rFonts w:ascii="Abadi" w:hAnsi="Abadi"/>
          <w:b w:val="0"/>
          <w:bCs w:val="0"/>
          <w:spacing w:val="-1"/>
          <w:sz w:val="21"/>
          <w:szCs w:val="21"/>
        </w:rPr>
        <w:t xml:space="preserve"> </w:t>
      </w:r>
      <w:r w:rsidRPr="00B94CD4">
        <w:rPr>
          <w:rFonts w:ascii="Abadi" w:hAnsi="Abadi"/>
          <w:b w:val="0"/>
          <w:bCs w:val="0"/>
          <w:sz w:val="21"/>
          <w:szCs w:val="21"/>
        </w:rPr>
        <w:t>datos</w:t>
      </w:r>
      <w:r w:rsidRPr="00B94CD4">
        <w:rPr>
          <w:rFonts w:ascii="Abadi" w:hAnsi="Abadi"/>
          <w:b w:val="0"/>
          <w:bCs w:val="0"/>
          <w:spacing w:val="-1"/>
          <w:sz w:val="21"/>
          <w:szCs w:val="21"/>
        </w:rPr>
        <w:t xml:space="preserve"> </w:t>
      </w:r>
      <w:r w:rsidRPr="00B94CD4">
        <w:rPr>
          <w:rFonts w:ascii="Abadi" w:hAnsi="Abadi"/>
          <w:b w:val="0"/>
          <w:bCs w:val="0"/>
          <w:sz w:val="21"/>
          <w:szCs w:val="21"/>
        </w:rPr>
        <w:t>del</w:t>
      </w:r>
      <w:r w:rsidRPr="00B94CD4">
        <w:rPr>
          <w:rFonts w:ascii="Abadi" w:hAnsi="Abadi"/>
          <w:b w:val="0"/>
          <w:bCs w:val="0"/>
          <w:spacing w:val="-1"/>
          <w:sz w:val="21"/>
          <w:szCs w:val="21"/>
        </w:rPr>
        <w:t xml:space="preserve"> </w:t>
      </w:r>
      <w:r w:rsidRPr="00B94CD4">
        <w:rPr>
          <w:rFonts w:ascii="Abadi" w:hAnsi="Abadi"/>
          <w:b w:val="0"/>
          <w:bCs w:val="0"/>
          <w:sz w:val="21"/>
          <w:szCs w:val="21"/>
        </w:rPr>
        <w:t>mapa</w:t>
      </w:r>
      <w:r w:rsidRPr="00B94CD4">
        <w:rPr>
          <w:rFonts w:ascii="Abadi" w:hAnsi="Abadi"/>
          <w:b w:val="0"/>
          <w:bCs w:val="0"/>
          <w:spacing w:val="-1"/>
          <w:sz w:val="21"/>
          <w:szCs w:val="21"/>
        </w:rPr>
        <w:t xml:space="preserve"> </w:t>
      </w:r>
      <w:r w:rsidRPr="00B94CD4">
        <w:rPr>
          <w:rFonts w:ascii="Abadi" w:hAnsi="Abadi"/>
          <w:b w:val="0"/>
          <w:bCs w:val="0"/>
          <w:sz w:val="21"/>
          <w:szCs w:val="21"/>
        </w:rPr>
        <w:t>que</w:t>
      </w:r>
      <w:r w:rsidRPr="00B94CD4">
        <w:rPr>
          <w:rFonts w:ascii="Abadi" w:hAnsi="Abadi"/>
          <w:b w:val="0"/>
          <w:bCs w:val="0"/>
          <w:spacing w:val="-1"/>
          <w:sz w:val="21"/>
          <w:szCs w:val="21"/>
        </w:rPr>
        <w:t xml:space="preserve"> </w:t>
      </w:r>
      <w:r w:rsidRPr="00B94CD4">
        <w:rPr>
          <w:rFonts w:ascii="Abadi" w:hAnsi="Abadi"/>
          <w:b w:val="0"/>
          <w:bCs w:val="0"/>
          <w:sz w:val="21"/>
          <w:szCs w:val="21"/>
        </w:rPr>
        <w:t>aparecen</w:t>
      </w:r>
      <w:r w:rsidRPr="00B94CD4">
        <w:rPr>
          <w:rFonts w:ascii="Abadi" w:hAnsi="Abadi"/>
          <w:b w:val="0"/>
          <w:bCs w:val="0"/>
          <w:spacing w:val="-1"/>
          <w:sz w:val="21"/>
          <w:szCs w:val="21"/>
        </w:rPr>
        <w:t xml:space="preserve"> </w:t>
      </w:r>
      <w:r w:rsidRPr="00B94CD4">
        <w:rPr>
          <w:rFonts w:ascii="Abadi" w:hAnsi="Abadi"/>
          <w:b w:val="0"/>
          <w:bCs w:val="0"/>
          <w:sz w:val="21"/>
          <w:szCs w:val="21"/>
        </w:rPr>
        <w:t>en</w:t>
      </w:r>
      <w:r w:rsidRPr="00B94CD4">
        <w:rPr>
          <w:rFonts w:ascii="Abadi" w:hAnsi="Abadi"/>
          <w:b w:val="0"/>
          <w:bCs w:val="0"/>
          <w:spacing w:val="-1"/>
          <w:sz w:val="21"/>
          <w:szCs w:val="21"/>
        </w:rPr>
        <w:t xml:space="preserve"> </w:t>
      </w:r>
      <w:r w:rsidRPr="00B94CD4">
        <w:rPr>
          <w:rFonts w:ascii="Abadi" w:hAnsi="Abadi"/>
          <w:b w:val="0"/>
          <w:bCs w:val="0"/>
          <w:sz w:val="21"/>
          <w:szCs w:val="21"/>
        </w:rPr>
        <w:t>su</w:t>
      </w:r>
      <w:r w:rsidRPr="00B94CD4">
        <w:rPr>
          <w:rFonts w:ascii="Abadi" w:hAnsi="Abadi"/>
          <w:b w:val="0"/>
          <w:bCs w:val="0"/>
          <w:spacing w:val="-1"/>
          <w:sz w:val="21"/>
          <w:szCs w:val="21"/>
        </w:rPr>
        <w:t xml:space="preserve"> </w:t>
      </w:r>
      <w:r w:rsidRPr="00B94CD4">
        <w:rPr>
          <w:rFonts w:ascii="Abadi" w:hAnsi="Abadi"/>
          <w:b w:val="0"/>
          <w:bCs w:val="0"/>
          <w:sz w:val="21"/>
          <w:szCs w:val="21"/>
        </w:rPr>
        <w:t>página</w:t>
      </w:r>
      <w:r w:rsidRPr="00B94CD4">
        <w:rPr>
          <w:rFonts w:ascii="Abadi" w:hAnsi="Abadi"/>
          <w:b w:val="0"/>
          <w:bCs w:val="0"/>
          <w:spacing w:val="-1"/>
          <w:sz w:val="21"/>
          <w:szCs w:val="21"/>
        </w:rPr>
        <w:t xml:space="preserve"> </w:t>
      </w:r>
      <w:r w:rsidRPr="00B94CD4">
        <w:rPr>
          <w:rFonts w:ascii="Abadi" w:hAnsi="Abadi"/>
          <w:b w:val="0"/>
          <w:bCs w:val="0"/>
          <w:sz w:val="21"/>
          <w:szCs w:val="21"/>
        </w:rPr>
        <w:t xml:space="preserve">oficial. </w:t>
      </w:r>
      <w:r w:rsidRPr="00B94CD4">
        <w:rPr>
          <w:rFonts w:ascii="Abadi" w:hAnsi="Abadi"/>
          <w:sz w:val="21"/>
          <w:szCs w:val="21"/>
        </w:rPr>
        <w:t>XXI.-</w:t>
      </w:r>
      <w:r w:rsidRPr="00B94CD4">
        <w:rPr>
          <w:rFonts w:ascii="Abadi" w:hAnsi="Abadi"/>
          <w:b w:val="0"/>
          <w:bCs w:val="0"/>
          <w:sz w:val="21"/>
          <w:szCs w:val="21"/>
        </w:rPr>
        <w:t xml:space="preserve"> Discusión</w:t>
      </w:r>
      <w:r w:rsidRPr="00B94CD4">
        <w:rPr>
          <w:rFonts w:ascii="Abadi" w:hAnsi="Abadi"/>
          <w:b w:val="0"/>
          <w:bCs w:val="0"/>
          <w:spacing w:val="16"/>
          <w:sz w:val="21"/>
          <w:szCs w:val="21"/>
        </w:rPr>
        <w:t xml:space="preserve"> </w:t>
      </w:r>
      <w:r w:rsidRPr="00B94CD4">
        <w:rPr>
          <w:rFonts w:ascii="Abadi" w:hAnsi="Abadi"/>
          <w:b w:val="0"/>
          <w:bCs w:val="0"/>
          <w:sz w:val="21"/>
          <w:szCs w:val="21"/>
        </w:rPr>
        <w:t>y,</w:t>
      </w:r>
      <w:r w:rsidRPr="00B94CD4">
        <w:rPr>
          <w:rFonts w:ascii="Abadi" w:hAnsi="Abadi"/>
          <w:b w:val="0"/>
          <w:bCs w:val="0"/>
          <w:spacing w:val="15"/>
          <w:sz w:val="21"/>
          <w:szCs w:val="21"/>
        </w:rPr>
        <w:t xml:space="preserve"> </w:t>
      </w:r>
      <w:r w:rsidRPr="00B94CD4">
        <w:rPr>
          <w:rFonts w:ascii="Abadi" w:hAnsi="Abadi"/>
          <w:b w:val="0"/>
          <w:bCs w:val="0"/>
          <w:sz w:val="21"/>
          <w:szCs w:val="21"/>
        </w:rPr>
        <w:t>en</w:t>
      </w:r>
      <w:r w:rsidRPr="00B94CD4">
        <w:rPr>
          <w:rFonts w:ascii="Abadi" w:hAnsi="Abadi"/>
          <w:b w:val="0"/>
          <w:bCs w:val="0"/>
          <w:spacing w:val="16"/>
          <w:sz w:val="21"/>
          <w:szCs w:val="21"/>
        </w:rPr>
        <w:t xml:space="preserve"> </w:t>
      </w:r>
      <w:r w:rsidRPr="00B94CD4">
        <w:rPr>
          <w:rFonts w:ascii="Abadi" w:hAnsi="Abadi"/>
          <w:b w:val="0"/>
          <w:bCs w:val="0"/>
          <w:sz w:val="21"/>
          <w:szCs w:val="21"/>
        </w:rPr>
        <w:t>su</w:t>
      </w:r>
      <w:r w:rsidRPr="00B94CD4">
        <w:rPr>
          <w:rFonts w:ascii="Abadi" w:hAnsi="Abadi"/>
          <w:b w:val="0"/>
          <w:bCs w:val="0"/>
          <w:spacing w:val="15"/>
          <w:sz w:val="21"/>
          <w:szCs w:val="21"/>
        </w:rPr>
        <w:t xml:space="preserve"> </w:t>
      </w:r>
      <w:r w:rsidRPr="00B94CD4">
        <w:rPr>
          <w:rFonts w:ascii="Abadi" w:hAnsi="Abadi"/>
          <w:b w:val="0"/>
          <w:bCs w:val="0"/>
          <w:sz w:val="21"/>
          <w:szCs w:val="21"/>
        </w:rPr>
        <w:t>caso,</w:t>
      </w:r>
      <w:r w:rsidRPr="00B94CD4">
        <w:rPr>
          <w:rFonts w:ascii="Abadi" w:hAnsi="Abadi"/>
          <w:b w:val="0"/>
          <w:bCs w:val="0"/>
          <w:spacing w:val="15"/>
          <w:sz w:val="21"/>
          <w:szCs w:val="21"/>
        </w:rPr>
        <w:t xml:space="preserve"> </w:t>
      </w:r>
      <w:r w:rsidRPr="00B94CD4">
        <w:rPr>
          <w:rFonts w:ascii="Abadi" w:hAnsi="Abadi"/>
          <w:b w:val="0"/>
          <w:bCs w:val="0"/>
          <w:sz w:val="21"/>
          <w:szCs w:val="21"/>
        </w:rPr>
        <w:t>aprobación</w:t>
      </w:r>
      <w:r w:rsidRPr="00B94CD4">
        <w:rPr>
          <w:rFonts w:ascii="Abadi" w:hAnsi="Abadi"/>
          <w:b w:val="0"/>
          <w:bCs w:val="0"/>
          <w:spacing w:val="16"/>
          <w:sz w:val="21"/>
          <w:szCs w:val="21"/>
        </w:rPr>
        <w:t xml:space="preserve"> </w:t>
      </w:r>
      <w:r w:rsidRPr="00B94CD4">
        <w:rPr>
          <w:rFonts w:ascii="Abadi" w:hAnsi="Abadi"/>
          <w:b w:val="0"/>
          <w:bCs w:val="0"/>
          <w:sz w:val="21"/>
          <w:szCs w:val="21"/>
        </w:rPr>
        <w:t>del</w:t>
      </w:r>
      <w:r w:rsidRPr="00B94CD4">
        <w:rPr>
          <w:rFonts w:ascii="Abadi" w:hAnsi="Abadi"/>
          <w:b w:val="0"/>
          <w:bCs w:val="0"/>
          <w:spacing w:val="15"/>
          <w:sz w:val="21"/>
          <w:szCs w:val="21"/>
        </w:rPr>
        <w:t xml:space="preserve"> </w:t>
      </w:r>
      <w:r w:rsidRPr="00B94CD4">
        <w:rPr>
          <w:rFonts w:ascii="Abadi" w:hAnsi="Abadi"/>
          <w:b w:val="0"/>
          <w:bCs w:val="0"/>
          <w:sz w:val="21"/>
          <w:szCs w:val="21"/>
        </w:rPr>
        <w:t>dictamen</w:t>
      </w:r>
      <w:r w:rsidRPr="00B94CD4">
        <w:rPr>
          <w:rFonts w:ascii="Abadi" w:hAnsi="Abadi"/>
          <w:b w:val="0"/>
          <w:bCs w:val="0"/>
          <w:spacing w:val="15"/>
          <w:sz w:val="21"/>
          <w:szCs w:val="21"/>
        </w:rPr>
        <w:t xml:space="preserve"> </w:t>
      </w:r>
      <w:r w:rsidRPr="00B94CD4">
        <w:rPr>
          <w:rFonts w:ascii="Abadi" w:hAnsi="Abadi"/>
          <w:b w:val="0"/>
          <w:bCs w:val="0"/>
          <w:sz w:val="21"/>
          <w:szCs w:val="21"/>
        </w:rPr>
        <w:t>emitido</w:t>
      </w:r>
      <w:r w:rsidRPr="00B94CD4">
        <w:rPr>
          <w:rFonts w:ascii="Abadi" w:hAnsi="Abadi"/>
          <w:b w:val="0"/>
          <w:bCs w:val="0"/>
          <w:spacing w:val="16"/>
          <w:sz w:val="21"/>
          <w:szCs w:val="21"/>
        </w:rPr>
        <w:t xml:space="preserve"> </w:t>
      </w:r>
      <w:r w:rsidRPr="00B94CD4">
        <w:rPr>
          <w:rFonts w:ascii="Abadi" w:hAnsi="Abadi"/>
          <w:b w:val="0"/>
          <w:bCs w:val="0"/>
          <w:sz w:val="21"/>
          <w:szCs w:val="21"/>
        </w:rPr>
        <w:t>por</w:t>
      </w:r>
      <w:r w:rsidRPr="00B94CD4">
        <w:rPr>
          <w:rFonts w:ascii="Abadi" w:hAnsi="Abadi"/>
          <w:b w:val="0"/>
          <w:bCs w:val="0"/>
          <w:spacing w:val="15"/>
          <w:sz w:val="21"/>
          <w:szCs w:val="21"/>
        </w:rPr>
        <w:t xml:space="preserve"> </w:t>
      </w:r>
      <w:r w:rsidRPr="00B94CD4">
        <w:rPr>
          <w:rFonts w:ascii="Abadi" w:hAnsi="Abadi"/>
          <w:b w:val="0"/>
          <w:bCs w:val="0"/>
          <w:sz w:val="21"/>
          <w:szCs w:val="21"/>
        </w:rPr>
        <w:t>la</w:t>
      </w:r>
      <w:r w:rsidRPr="00B94CD4">
        <w:rPr>
          <w:rFonts w:ascii="Abadi" w:hAnsi="Abadi"/>
          <w:b w:val="0"/>
          <w:bCs w:val="0"/>
          <w:spacing w:val="15"/>
          <w:sz w:val="21"/>
          <w:szCs w:val="21"/>
        </w:rPr>
        <w:t xml:space="preserve"> </w:t>
      </w:r>
      <w:r w:rsidRPr="00B94CD4">
        <w:rPr>
          <w:rFonts w:ascii="Abadi" w:hAnsi="Abadi"/>
          <w:b w:val="0"/>
          <w:bCs w:val="0"/>
          <w:sz w:val="21"/>
          <w:szCs w:val="21"/>
        </w:rPr>
        <w:t>Comisión</w:t>
      </w:r>
      <w:r w:rsidRPr="00B94CD4">
        <w:rPr>
          <w:rFonts w:ascii="Abadi" w:hAnsi="Abadi"/>
          <w:b w:val="0"/>
          <w:bCs w:val="0"/>
          <w:spacing w:val="-1"/>
          <w:sz w:val="21"/>
          <w:szCs w:val="21"/>
        </w:rPr>
        <w:t xml:space="preserve"> </w:t>
      </w:r>
      <w:r w:rsidRPr="00B94CD4">
        <w:rPr>
          <w:rFonts w:ascii="Abadi" w:hAnsi="Abadi"/>
          <w:b w:val="0"/>
          <w:bCs w:val="0"/>
          <w:sz w:val="21"/>
          <w:szCs w:val="21"/>
        </w:rPr>
        <w:t>de</w:t>
      </w:r>
      <w:r w:rsidRPr="00B94CD4">
        <w:rPr>
          <w:rFonts w:ascii="Abadi" w:hAnsi="Abadi"/>
          <w:b w:val="0"/>
          <w:bCs w:val="0"/>
          <w:spacing w:val="4"/>
          <w:sz w:val="21"/>
          <w:szCs w:val="21"/>
        </w:rPr>
        <w:t xml:space="preserve"> </w:t>
      </w:r>
      <w:r w:rsidRPr="00B94CD4">
        <w:rPr>
          <w:rFonts w:ascii="Abadi" w:hAnsi="Abadi"/>
          <w:b w:val="0"/>
          <w:bCs w:val="0"/>
          <w:sz w:val="21"/>
          <w:szCs w:val="21"/>
        </w:rPr>
        <w:t>Gobernación</w:t>
      </w:r>
      <w:r w:rsidRPr="00B94CD4">
        <w:rPr>
          <w:rFonts w:ascii="Abadi" w:hAnsi="Abadi"/>
          <w:b w:val="0"/>
          <w:bCs w:val="0"/>
          <w:spacing w:val="4"/>
          <w:sz w:val="21"/>
          <w:szCs w:val="21"/>
        </w:rPr>
        <w:t xml:space="preserve"> </w:t>
      </w:r>
      <w:r w:rsidRPr="00B94CD4">
        <w:rPr>
          <w:rFonts w:ascii="Abadi" w:hAnsi="Abadi"/>
          <w:b w:val="0"/>
          <w:bCs w:val="0"/>
          <w:sz w:val="21"/>
          <w:szCs w:val="21"/>
        </w:rPr>
        <w:t>y</w:t>
      </w:r>
      <w:r w:rsidRPr="00B94CD4">
        <w:rPr>
          <w:rFonts w:ascii="Abadi" w:hAnsi="Abadi"/>
          <w:b w:val="0"/>
          <w:bCs w:val="0"/>
          <w:spacing w:val="4"/>
          <w:sz w:val="21"/>
          <w:szCs w:val="21"/>
        </w:rPr>
        <w:t xml:space="preserve"> </w:t>
      </w:r>
      <w:r w:rsidRPr="00B94CD4">
        <w:rPr>
          <w:rFonts w:ascii="Abadi" w:hAnsi="Abadi"/>
          <w:b w:val="0"/>
          <w:bCs w:val="0"/>
          <w:sz w:val="21"/>
          <w:szCs w:val="21"/>
        </w:rPr>
        <w:t>Puntos</w:t>
      </w:r>
      <w:r w:rsidRPr="00B94CD4">
        <w:rPr>
          <w:rFonts w:ascii="Abadi" w:hAnsi="Abadi"/>
          <w:b w:val="0"/>
          <w:bCs w:val="0"/>
          <w:spacing w:val="4"/>
          <w:sz w:val="21"/>
          <w:szCs w:val="21"/>
        </w:rPr>
        <w:t xml:space="preserve"> </w:t>
      </w:r>
      <w:r w:rsidRPr="00B94CD4">
        <w:rPr>
          <w:rFonts w:ascii="Abadi" w:hAnsi="Abadi"/>
          <w:b w:val="0"/>
          <w:bCs w:val="0"/>
          <w:sz w:val="21"/>
          <w:szCs w:val="21"/>
        </w:rPr>
        <w:t>Constitucionales</w:t>
      </w:r>
      <w:r w:rsidRPr="00B94CD4">
        <w:rPr>
          <w:rFonts w:ascii="Abadi" w:hAnsi="Abadi"/>
          <w:b w:val="0"/>
          <w:bCs w:val="0"/>
          <w:spacing w:val="4"/>
          <w:sz w:val="21"/>
          <w:szCs w:val="21"/>
        </w:rPr>
        <w:t xml:space="preserve"> </w:t>
      </w:r>
      <w:r w:rsidRPr="00B94CD4">
        <w:rPr>
          <w:rFonts w:ascii="Abadi" w:hAnsi="Abadi"/>
          <w:b w:val="0"/>
          <w:bCs w:val="0"/>
          <w:sz w:val="21"/>
          <w:szCs w:val="21"/>
        </w:rPr>
        <w:t>relativo</w:t>
      </w:r>
      <w:r w:rsidRPr="00B94CD4">
        <w:rPr>
          <w:rFonts w:ascii="Abadi" w:hAnsi="Abadi"/>
          <w:b w:val="0"/>
          <w:bCs w:val="0"/>
          <w:spacing w:val="4"/>
          <w:sz w:val="21"/>
          <w:szCs w:val="21"/>
        </w:rPr>
        <w:t xml:space="preserve"> </w:t>
      </w:r>
      <w:r w:rsidRPr="00B94CD4">
        <w:rPr>
          <w:rFonts w:ascii="Abadi" w:hAnsi="Abadi"/>
          <w:b w:val="0"/>
          <w:bCs w:val="0"/>
          <w:sz w:val="21"/>
          <w:szCs w:val="21"/>
        </w:rPr>
        <w:t>a</w:t>
      </w:r>
      <w:r w:rsidRPr="00B94CD4">
        <w:rPr>
          <w:rFonts w:ascii="Abadi" w:hAnsi="Abadi"/>
          <w:b w:val="0"/>
          <w:bCs w:val="0"/>
          <w:spacing w:val="4"/>
          <w:sz w:val="21"/>
          <w:szCs w:val="21"/>
        </w:rPr>
        <w:t xml:space="preserve"> </w:t>
      </w:r>
      <w:r w:rsidRPr="00B94CD4">
        <w:rPr>
          <w:rFonts w:ascii="Abadi" w:hAnsi="Abadi"/>
          <w:b w:val="0"/>
          <w:bCs w:val="0"/>
          <w:sz w:val="21"/>
          <w:szCs w:val="21"/>
        </w:rPr>
        <w:t>la</w:t>
      </w:r>
      <w:r w:rsidRPr="00B94CD4">
        <w:rPr>
          <w:rFonts w:ascii="Abadi" w:hAnsi="Abadi"/>
          <w:b w:val="0"/>
          <w:bCs w:val="0"/>
          <w:spacing w:val="4"/>
          <w:sz w:val="21"/>
          <w:szCs w:val="21"/>
        </w:rPr>
        <w:t xml:space="preserve"> </w:t>
      </w:r>
      <w:r w:rsidRPr="00B94CD4">
        <w:rPr>
          <w:rFonts w:ascii="Abadi" w:hAnsi="Abadi"/>
          <w:b w:val="0"/>
          <w:bCs w:val="0"/>
          <w:sz w:val="21"/>
          <w:szCs w:val="21"/>
        </w:rPr>
        <w:t>propuesta</w:t>
      </w:r>
      <w:r w:rsidRPr="00B94CD4">
        <w:rPr>
          <w:rFonts w:ascii="Abadi" w:hAnsi="Abadi"/>
          <w:b w:val="0"/>
          <w:bCs w:val="0"/>
          <w:spacing w:val="4"/>
          <w:sz w:val="21"/>
          <w:szCs w:val="21"/>
        </w:rPr>
        <w:t xml:space="preserve"> </w:t>
      </w:r>
      <w:r w:rsidRPr="00B94CD4">
        <w:rPr>
          <w:rFonts w:ascii="Abadi" w:hAnsi="Abadi"/>
          <w:b w:val="0"/>
          <w:bCs w:val="0"/>
          <w:sz w:val="21"/>
          <w:szCs w:val="21"/>
        </w:rPr>
        <w:t>de</w:t>
      </w:r>
      <w:r w:rsidRPr="00B94CD4">
        <w:rPr>
          <w:rFonts w:ascii="Abadi" w:hAnsi="Abadi"/>
          <w:b w:val="0"/>
          <w:bCs w:val="0"/>
          <w:spacing w:val="4"/>
          <w:sz w:val="21"/>
          <w:szCs w:val="21"/>
        </w:rPr>
        <w:t xml:space="preserve"> </w:t>
      </w:r>
      <w:r w:rsidRPr="00B94CD4">
        <w:rPr>
          <w:rFonts w:ascii="Abadi" w:hAnsi="Abadi"/>
          <w:b w:val="0"/>
          <w:bCs w:val="0"/>
          <w:sz w:val="21"/>
          <w:szCs w:val="21"/>
        </w:rPr>
        <w:t>punto</w:t>
      </w:r>
      <w:r w:rsidRPr="00B94CD4">
        <w:rPr>
          <w:rFonts w:ascii="Abadi" w:hAnsi="Abadi"/>
          <w:b w:val="0"/>
          <w:bCs w:val="0"/>
          <w:spacing w:val="-1"/>
          <w:sz w:val="21"/>
          <w:szCs w:val="21"/>
        </w:rPr>
        <w:t xml:space="preserve"> </w:t>
      </w:r>
      <w:r w:rsidRPr="00B94CD4">
        <w:rPr>
          <w:rFonts w:ascii="Abadi" w:hAnsi="Abadi"/>
          <w:b w:val="0"/>
          <w:bCs w:val="0"/>
          <w:sz w:val="21"/>
          <w:szCs w:val="21"/>
        </w:rPr>
        <w:t>de</w:t>
      </w:r>
      <w:r w:rsidRPr="00B94CD4">
        <w:rPr>
          <w:rFonts w:ascii="Abadi" w:hAnsi="Abadi"/>
          <w:b w:val="0"/>
          <w:bCs w:val="0"/>
          <w:spacing w:val="24"/>
          <w:sz w:val="21"/>
          <w:szCs w:val="21"/>
        </w:rPr>
        <w:t xml:space="preserve"> </w:t>
      </w:r>
      <w:r w:rsidRPr="00B94CD4">
        <w:rPr>
          <w:rFonts w:ascii="Abadi" w:hAnsi="Abadi"/>
          <w:b w:val="0"/>
          <w:bCs w:val="0"/>
          <w:sz w:val="21"/>
          <w:szCs w:val="21"/>
        </w:rPr>
        <w:t>acuerdo</w:t>
      </w:r>
      <w:r w:rsidRPr="00B94CD4">
        <w:rPr>
          <w:rFonts w:ascii="Abadi" w:hAnsi="Abadi"/>
          <w:b w:val="0"/>
          <w:bCs w:val="0"/>
          <w:spacing w:val="24"/>
          <w:sz w:val="21"/>
          <w:szCs w:val="21"/>
        </w:rPr>
        <w:t xml:space="preserve"> </w:t>
      </w:r>
      <w:r w:rsidRPr="00B94CD4">
        <w:rPr>
          <w:rFonts w:ascii="Abadi" w:hAnsi="Abadi"/>
          <w:b w:val="0"/>
          <w:bCs w:val="0"/>
          <w:sz w:val="21"/>
          <w:szCs w:val="21"/>
        </w:rPr>
        <w:t>formulada</w:t>
      </w:r>
      <w:r w:rsidRPr="00B94CD4">
        <w:rPr>
          <w:rFonts w:ascii="Abadi" w:hAnsi="Abadi"/>
          <w:b w:val="0"/>
          <w:bCs w:val="0"/>
          <w:spacing w:val="24"/>
          <w:sz w:val="21"/>
          <w:szCs w:val="21"/>
        </w:rPr>
        <w:t xml:space="preserve"> </w:t>
      </w:r>
      <w:r w:rsidRPr="00B94CD4">
        <w:rPr>
          <w:rFonts w:ascii="Abadi" w:hAnsi="Abadi"/>
          <w:b w:val="0"/>
          <w:bCs w:val="0"/>
          <w:sz w:val="21"/>
          <w:szCs w:val="21"/>
        </w:rPr>
        <w:t>por</w:t>
      </w:r>
      <w:r w:rsidRPr="00B94CD4">
        <w:rPr>
          <w:rFonts w:ascii="Abadi" w:hAnsi="Abadi"/>
          <w:b w:val="0"/>
          <w:bCs w:val="0"/>
          <w:spacing w:val="24"/>
          <w:sz w:val="21"/>
          <w:szCs w:val="21"/>
        </w:rPr>
        <w:t xml:space="preserve"> </w:t>
      </w:r>
      <w:r w:rsidRPr="00B94CD4">
        <w:rPr>
          <w:rFonts w:ascii="Abadi" w:hAnsi="Abadi"/>
          <w:b w:val="0"/>
          <w:bCs w:val="0"/>
          <w:sz w:val="21"/>
          <w:szCs w:val="21"/>
        </w:rPr>
        <w:t>la</w:t>
      </w:r>
      <w:r w:rsidRPr="00B94CD4">
        <w:rPr>
          <w:rFonts w:ascii="Abadi" w:hAnsi="Abadi"/>
          <w:b w:val="0"/>
          <w:bCs w:val="0"/>
          <w:spacing w:val="24"/>
          <w:sz w:val="21"/>
          <w:szCs w:val="21"/>
        </w:rPr>
        <w:t xml:space="preserve"> </w:t>
      </w:r>
      <w:r w:rsidRPr="00B94CD4">
        <w:rPr>
          <w:rFonts w:ascii="Abadi" w:hAnsi="Abadi"/>
          <w:b w:val="0"/>
          <w:bCs w:val="0"/>
          <w:sz w:val="21"/>
          <w:szCs w:val="21"/>
        </w:rPr>
        <w:t>diputada</w:t>
      </w:r>
      <w:r w:rsidRPr="00B94CD4">
        <w:rPr>
          <w:rFonts w:ascii="Abadi" w:hAnsi="Abadi"/>
          <w:b w:val="0"/>
          <w:bCs w:val="0"/>
          <w:spacing w:val="24"/>
          <w:sz w:val="21"/>
          <w:szCs w:val="21"/>
        </w:rPr>
        <w:t xml:space="preserve"> </w:t>
      </w:r>
      <w:r w:rsidRPr="00B94CD4">
        <w:rPr>
          <w:rFonts w:ascii="Abadi" w:hAnsi="Abadi"/>
          <w:b w:val="0"/>
          <w:bCs w:val="0"/>
          <w:sz w:val="21"/>
          <w:szCs w:val="21"/>
        </w:rPr>
        <w:t>Alma</w:t>
      </w:r>
      <w:r w:rsidRPr="00B94CD4">
        <w:rPr>
          <w:rFonts w:ascii="Abadi" w:hAnsi="Abadi"/>
          <w:b w:val="0"/>
          <w:bCs w:val="0"/>
          <w:spacing w:val="24"/>
          <w:sz w:val="21"/>
          <w:szCs w:val="21"/>
        </w:rPr>
        <w:t xml:space="preserve"> </w:t>
      </w:r>
      <w:r w:rsidRPr="00B94CD4">
        <w:rPr>
          <w:rFonts w:ascii="Abadi" w:hAnsi="Abadi"/>
          <w:b w:val="0"/>
          <w:bCs w:val="0"/>
          <w:sz w:val="21"/>
          <w:szCs w:val="21"/>
        </w:rPr>
        <w:t>Edwviges</w:t>
      </w:r>
      <w:r w:rsidRPr="00B94CD4">
        <w:rPr>
          <w:rFonts w:ascii="Abadi" w:hAnsi="Abadi"/>
          <w:b w:val="0"/>
          <w:bCs w:val="0"/>
          <w:spacing w:val="24"/>
          <w:sz w:val="21"/>
          <w:szCs w:val="21"/>
        </w:rPr>
        <w:t xml:space="preserve"> </w:t>
      </w:r>
      <w:r w:rsidRPr="00B94CD4">
        <w:rPr>
          <w:rFonts w:ascii="Abadi" w:hAnsi="Abadi"/>
          <w:b w:val="0"/>
          <w:bCs w:val="0"/>
          <w:sz w:val="21"/>
          <w:szCs w:val="21"/>
        </w:rPr>
        <w:t>Alcaraz</w:t>
      </w:r>
      <w:r w:rsidRPr="00B94CD4">
        <w:rPr>
          <w:rFonts w:ascii="Abadi" w:hAnsi="Abadi"/>
          <w:b w:val="0"/>
          <w:bCs w:val="0"/>
          <w:spacing w:val="24"/>
          <w:sz w:val="21"/>
          <w:szCs w:val="21"/>
        </w:rPr>
        <w:t xml:space="preserve"> </w:t>
      </w:r>
      <w:r w:rsidRPr="00B94CD4">
        <w:rPr>
          <w:rFonts w:ascii="Abadi" w:hAnsi="Abadi"/>
          <w:b w:val="0"/>
          <w:bCs w:val="0"/>
          <w:sz w:val="21"/>
          <w:szCs w:val="21"/>
        </w:rPr>
        <w:t>Hernández</w:t>
      </w:r>
      <w:r w:rsidRPr="00B94CD4">
        <w:rPr>
          <w:rFonts w:ascii="Abadi" w:hAnsi="Abadi"/>
          <w:b w:val="0"/>
          <w:bCs w:val="0"/>
          <w:spacing w:val="-1"/>
          <w:sz w:val="21"/>
          <w:szCs w:val="21"/>
        </w:rPr>
        <w:t xml:space="preserve"> </w:t>
      </w:r>
      <w:r w:rsidRPr="00B94CD4">
        <w:rPr>
          <w:rFonts w:ascii="Abadi" w:hAnsi="Abadi"/>
          <w:b w:val="0"/>
          <w:bCs w:val="0"/>
          <w:sz w:val="21"/>
          <w:szCs w:val="21"/>
        </w:rPr>
        <w:t>integrante</w:t>
      </w:r>
      <w:r w:rsidRPr="00B94CD4">
        <w:rPr>
          <w:rFonts w:ascii="Abadi" w:hAnsi="Abadi"/>
          <w:b w:val="0"/>
          <w:bCs w:val="0"/>
          <w:spacing w:val="80"/>
          <w:sz w:val="21"/>
          <w:szCs w:val="21"/>
        </w:rPr>
        <w:t xml:space="preserve"> </w:t>
      </w:r>
      <w:r w:rsidRPr="00B94CD4">
        <w:rPr>
          <w:rFonts w:ascii="Abadi" w:hAnsi="Abadi"/>
          <w:b w:val="0"/>
          <w:bCs w:val="0"/>
          <w:sz w:val="21"/>
          <w:szCs w:val="21"/>
        </w:rPr>
        <w:t>del</w:t>
      </w:r>
      <w:r w:rsidRPr="00B94CD4">
        <w:rPr>
          <w:rFonts w:ascii="Abadi" w:hAnsi="Abadi"/>
          <w:b w:val="0"/>
          <w:bCs w:val="0"/>
          <w:spacing w:val="80"/>
          <w:sz w:val="21"/>
          <w:szCs w:val="21"/>
        </w:rPr>
        <w:t xml:space="preserve"> </w:t>
      </w:r>
      <w:r w:rsidRPr="00B94CD4">
        <w:rPr>
          <w:rFonts w:ascii="Abadi" w:hAnsi="Abadi"/>
          <w:b w:val="0"/>
          <w:bCs w:val="0"/>
          <w:sz w:val="21"/>
          <w:szCs w:val="21"/>
        </w:rPr>
        <w:t>Grupo</w:t>
      </w:r>
      <w:r w:rsidRPr="00B94CD4">
        <w:rPr>
          <w:rFonts w:ascii="Abadi" w:hAnsi="Abadi"/>
          <w:b w:val="0"/>
          <w:bCs w:val="0"/>
          <w:spacing w:val="80"/>
          <w:sz w:val="21"/>
          <w:szCs w:val="21"/>
        </w:rPr>
        <w:t xml:space="preserve"> </w:t>
      </w:r>
      <w:r w:rsidRPr="00B94CD4">
        <w:rPr>
          <w:rFonts w:ascii="Abadi" w:hAnsi="Abadi"/>
          <w:b w:val="0"/>
          <w:bCs w:val="0"/>
          <w:sz w:val="21"/>
          <w:szCs w:val="21"/>
        </w:rPr>
        <w:t>Parlamentario</w:t>
      </w:r>
      <w:r w:rsidRPr="00B94CD4">
        <w:rPr>
          <w:rFonts w:ascii="Abadi" w:hAnsi="Abadi"/>
          <w:b w:val="0"/>
          <w:bCs w:val="0"/>
          <w:spacing w:val="80"/>
          <w:sz w:val="21"/>
          <w:szCs w:val="21"/>
        </w:rPr>
        <w:t xml:space="preserve"> </w:t>
      </w:r>
      <w:r w:rsidRPr="00B94CD4">
        <w:rPr>
          <w:rFonts w:ascii="Abadi" w:hAnsi="Abadi"/>
          <w:b w:val="0"/>
          <w:bCs w:val="0"/>
          <w:sz w:val="21"/>
          <w:szCs w:val="21"/>
        </w:rPr>
        <w:t>del</w:t>
      </w:r>
      <w:r w:rsidRPr="00B94CD4">
        <w:rPr>
          <w:rFonts w:ascii="Abadi" w:hAnsi="Abadi"/>
          <w:b w:val="0"/>
          <w:bCs w:val="0"/>
          <w:spacing w:val="80"/>
          <w:sz w:val="21"/>
          <w:szCs w:val="21"/>
        </w:rPr>
        <w:t xml:space="preserve"> </w:t>
      </w:r>
      <w:r w:rsidRPr="00B94CD4">
        <w:rPr>
          <w:rFonts w:ascii="Abadi" w:hAnsi="Abadi"/>
          <w:b w:val="0"/>
          <w:bCs w:val="0"/>
          <w:sz w:val="21"/>
          <w:szCs w:val="21"/>
        </w:rPr>
        <w:t>Partido</w:t>
      </w:r>
      <w:r w:rsidRPr="00B94CD4">
        <w:rPr>
          <w:rFonts w:ascii="Abadi" w:hAnsi="Abadi"/>
          <w:b w:val="0"/>
          <w:bCs w:val="0"/>
          <w:spacing w:val="80"/>
          <w:sz w:val="21"/>
          <w:szCs w:val="21"/>
        </w:rPr>
        <w:t xml:space="preserve"> </w:t>
      </w:r>
      <w:r w:rsidRPr="00B94CD4">
        <w:rPr>
          <w:rFonts w:ascii="Abadi" w:hAnsi="Abadi"/>
          <w:b w:val="0"/>
          <w:bCs w:val="0"/>
          <w:sz w:val="21"/>
          <w:szCs w:val="21"/>
        </w:rPr>
        <w:t>MORENA</w:t>
      </w:r>
      <w:r w:rsidRPr="00B94CD4">
        <w:rPr>
          <w:rFonts w:ascii="Abadi" w:hAnsi="Abadi"/>
          <w:b w:val="0"/>
          <w:bCs w:val="0"/>
          <w:spacing w:val="80"/>
          <w:sz w:val="21"/>
          <w:szCs w:val="21"/>
        </w:rPr>
        <w:t xml:space="preserve"> </w:t>
      </w:r>
      <w:r w:rsidRPr="00B94CD4">
        <w:rPr>
          <w:rFonts w:ascii="Abadi" w:hAnsi="Abadi"/>
          <w:b w:val="0"/>
          <w:bCs w:val="0"/>
          <w:sz w:val="21"/>
          <w:szCs w:val="21"/>
        </w:rPr>
        <w:t>a</w:t>
      </w:r>
      <w:r w:rsidRPr="00B94CD4">
        <w:rPr>
          <w:rFonts w:ascii="Abadi" w:hAnsi="Abadi"/>
          <w:b w:val="0"/>
          <w:bCs w:val="0"/>
          <w:spacing w:val="80"/>
          <w:sz w:val="21"/>
          <w:szCs w:val="21"/>
        </w:rPr>
        <w:t xml:space="preserve"> </w:t>
      </w:r>
      <w:r w:rsidRPr="00B94CD4">
        <w:rPr>
          <w:rFonts w:ascii="Abadi" w:hAnsi="Abadi"/>
          <w:b w:val="0"/>
          <w:bCs w:val="0"/>
          <w:sz w:val="21"/>
          <w:szCs w:val="21"/>
        </w:rPr>
        <w:t>efecto</w:t>
      </w:r>
      <w:r w:rsidRPr="00B94CD4">
        <w:rPr>
          <w:rFonts w:ascii="Abadi" w:hAnsi="Abadi"/>
          <w:b w:val="0"/>
          <w:bCs w:val="0"/>
          <w:spacing w:val="80"/>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exhortar</w:t>
      </w:r>
      <w:r w:rsidRPr="00B94CD4">
        <w:rPr>
          <w:rFonts w:ascii="Abadi" w:hAnsi="Abadi"/>
          <w:b w:val="0"/>
          <w:bCs w:val="0"/>
          <w:spacing w:val="17"/>
          <w:sz w:val="21"/>
          <w:szCs w:val="21"/>
        </w:rPr>
        <w:t xml:space="preserve"> </w:t>
      </w:r>
      <w:r w:rsidRPr="00B94CD4">
        <w:rPr>
          <w:rFonts w:ascii="Abadi" w:hAnsi="Abadi"/>
          <w:b w:val="0"/>
          <w:bCs w:val="0"/>
          <w:sz w:val="21"/>
          <w:szCs w:val="21"/>
        </w:rPr>
        <w:t>a</w:t>
      </w:r>
      <w:r w:rsidRPr="00B94CD4">
        <w:rPr>
          <w:rFonts w:ascii="Abadi" w:hAnsi="Abadi"/>
          <w:b w:val="0"/>
          <w:bCs w:val="0"/>
          <w:spacing w:val="18"/>
          <w:sz w:val="21"/>
          <w:szCs w:val="21"/>
        </w:rPr>
        <w:t xml:space="preserve"> </w:t>
      </w:r>
      <w:r w:rsidRPr="00B94CD4">
        <w:rPr>
          <w:rFonts w:ascii="Abadi" w:hAnsi="Abadi"/>
          <w:b w:val="0"/>
          <w:bCs w:val="0"/>
          <w:sz w:val="21"/>
          <w:szCs w:val="21"/>
        </w:rPr>
        <w:t>los</w:t>
      </w:r>
      <w:r w:rsidRPr="00B94CD4">
        <w:rPr>
          <w:rFonts w:ascii="Abadi" w:hAnsi="Abadi"/>
          <w:b w:val="0"/>
          <w:bCs w:val="0"/>
          <w:spacing w:val="18"/>
          <w:sz w:val="21"/>
          <w:szCs w:val="21"/>
        </w:rPr>
        <w:t xml:space="preserve"> </w:t>
      </w:r>
      <w:r w:rsidRPr="00B94CD4">
        <w:rPr>
          <w:rFonts w:ascii="Abadi" w:hAnsi="Abadi"/>
          <w:b w:val="0"/>
          <w:bCs w:val="0"/>
          <w:sz w:val="21"/>
          <w:szCs w:val="21"/>
        </w:rPr>
        <w:t>ayuntamientos</w:t>
      </w:r>
      <w:r w:rsidRPr="00B94CD4">
        <w:rPr>
          <w:rFonts w:ascii="Abadi" w:hAnsi="Abadi"/>
          <w:b w:val="0"/>
          <w:bCs w:val="0"/>
          <w:spacing w:val="20"/>
          <w:sz w:val="21"/>
          <w:szCs w:val="21"/>
        </w:rPr>
        <w:t xml:space="preserve"> </w:t>
      </w:r>
      <w:r w:rsidRPr="00B94CD4">
        <w:rPr>
          <w:rFonts w:ascii="Abadi" w:hAnsi="Abadi"/>
          <w:b w:val="0"/>
          <w:bCs w:val="0"/>
          <w:sz w:val="21"/>
          <w:szCs w:val="21"/>
        </w:rPr>
        <w:t>que</w:t>
      </w:r>
      <w:r w:rsidRPr="00B94CD4">
        <w:rPr>
          <w:rFonts w:ascii="Abadi" w:hAnsi="Abadi"/>
          <w:b w:val="0"/>
          <w:bCs w:val="0"/>
          <w:spacing w:val="18"/>
          <w:sz w:val="21"/>
          <w:szCs w:val="21"/>
        </w:rPr>
        <w:t xml:space="preserve"> </w:t>
      </w:r>
      <w:r w:rsidRPr="00B94CD4">
        <w:rPr>
          <w:rFonts w:ascii="Abadi" w:hAnsi="Abadi"/>
          <w:b w:val="0"/>
          <w:bCs w:val="0"/>
          <w:sz w:val="21"/>
          <w:szCs w:val="21"/>
        </w:rPr>
        <w:t>faltan</w:t>
      </w:r>
      <w:r w:rsidRPr="00B94CD4">
        <w:rPr>
          <w:rFonts w:ascii="Abadi" w:hAnsi="Abadi"/>
          <w:b w:val="0"/>
          <w:bCs w:val="0"/>
          <w:spacing w:val="18"/>
          <w:sz w:val="21"/>
          <w:szCs w:val="21"/>
        </w:rPr>
        <w:t xml:space="preserve"> </w:t>
      </w:r>
      <w:r w:rsidRPr="00B94CD4">
        <w:rPr>
          <w:rFonts w:ascii="Abadi" w:hAnsi="Abadi"/>
          <w:b w:val="0"/>
          <w:bCs w:val="0"/>
          <w:sz w:val="21"/>
          <w:szCs w:val="21"/>
        </w:rPr>
        <w:t>de</w:t>
      </w:r>
      <w:r w:rsidRPr="00B94CD4">
        <w:rPr>
          <w:rFonts w:ascii="Abadi" w:hAnsi="Abadi"/>
          <w:b w:val="0"/>
          <w:bCs w:val="0"/>
          <w:spacing w:val="18"/>
          <w:sz w:val="21"/>
          <w:szCs w:val="21"/>
        </w:rPr>
        <w:t xml:space="preserve"> </w:t>
      </w:r>
      <w:r w:rsidRPr="00B94CD4">
        <w:rPr>
          <w:rFonts w:ascii="Abadi" w:hAnsi="Abadi"/>
          <w:b w:val="0"/>
          <w:bCs w:val="0"/>
          <w:sz w:val="21"/>
          <w:szCs w:val="21"/>
        </w:rPr>
        <w:t>discutir</w:t>
      </w:r>
      <w:r w:rsidRPr="00B94CD4">
        <w:rPr>
          <w:rFonts w:ascii="Abadi" w:hAnsi="Abadi"/>
          <w:b w:val="0"/>
          <w:bCs w:val="0"/>
          <w:spacing w:val="17"/>
          <w:sz w:val="21"/>
          <w:szCs w:val="21"/>
        </w:rPr>
        <w:t xml:space="preserve"> </w:t>
      </w:r>
      <w:r w:rsidRPr="00B94CD4">
        <w:rPr>
          <w:rFonts w:ascii="Abadi" w:hAnsi="Abadi"/>
          <w:b w:val="0"/>
          <w:bCs w:val="0"/>
          <w:sz w:val="21"/>
          <w:szCs w:val="21"/>
        </w:rPr>
        <w:t>y,</w:t>
      </w:r>
      <w:r w:rsidRPr="00B94CD4">
        <w:rPr>
          <w:rFonts w:ascii="Abadi" w:hAnsi="Abadi"/>
          <w:b w:val="0"/>
          <w:bCs w:val="0"/>
          <w:spacing w:val="17"/>
          <w:sz w:val="21"/>
          <w:szCs w:val="21"/>
        </w:rPr>
        <w:t xml:space="preserve"> </w:t>
      </w:r>
      <w:r w:rsidRPr="00B94CD4">
        <w:rPr>
          <w:rFonts w:ascii="Abadi" w:hAnsi="Abadi"/>
          <w:b w:val="0"/>
          <w:bCs w:val="0"/>
          <w:sz w:val="21"/>
          <w:szCs w:val="21"/>
        </w:rPr>
        <w:t>en</w:t>
      </w:r>
      <w:r w:rsidRPr="00B94CD4">
        <w:rPr>
          <w:rFonts w:ascii="Abadi" w:hAnsi="Abadi"/>
          <w:b w:val="0"/>
          <w:bCs w:val="0"/>
          <w:spacing w:val="18"/>
          <w:sz w:val="21"/>
          <w:szCs w:val="21"/>
        </w:rPr>
        <w:t xml:space="preserve"> </w:t>
      </w:r>
      <w:r w:rsidRPr="00B94CD4">
        <w:rPr>
          <w:rFonts w:ascii="Abadi" w:hAnsi="Abadi"/>
          <w:b w:val="0"/>
          <w:bCs w:val="0"/>
          <w:sz w:val="21"/>
          <w:szCs w:val="21"/>
        </w:rPr>
        <w:t>su</w:t>
      </w:r>
      <w:r w:rsidRPr="00B94CD4">
        <w:rPr>
          <w:rFonts w:ascii="Abadi" w:hAnsi="Abadi"/>
          <w:b w:val="0"/>
          <w:bCs w:val="0"/>
          <w:spacing w:val="18"/>
          <w:sz w:val="21"/>
          <w:szCs w:val="21"/>
        </w:rPr>
        <w:t xml:space="preserve"> </w:t>
      </w:r>
      <w:r w:rsidRPr="00B94CD4">
        <w:rPr>
          <w:rFonts w:ascii="Abadi" w:hAnsi="Abadi"/>
          <w:b w:val="0"/>
          <w:bCs w:val="0"/>
          <w:sz w:val="21"/>
          <w:szCs w:val="21"/>
        </w:rPr>
        <w:t>caso,</w:t>
      </w:r>
      <w:r w:rsidRPr="00B94CD4">
        <w:rPr>
          <w:rFonts w:ascii="Abadi" w:hAnsi="Abadi"/>
          <w:b w:val="0"/>
          <w:bCs w:val="0"/>
          <w:spacing w:val="17"/>
          <w:sz w:val="21"/>
          <w:szCs w:val="21"/>
        </w:rPr>
        <w:t xml:space="preserve"> </w:t>
      </w:r>
      <w:r w:rsidRPr="00B94CD4">
        <w:rPr>
          <w:rFonts w:ascii="Abadi" w:hAnsi="Abadi"/>
          <w:b w:val="0"/>
          <w:bCs w:val="0"/>
          <w:sz w:val="21"/>
          <w:szCs w:val="21"/>
        </w:rPr>
        <w:t>aprobar</w:t>
      </w:r>
      <w:r w:rsidRPr="00B94CD4">
        <w:rPr>
          <w:rFonts w:ascii="Abadi" w:hAnsi="Abadi"/>
          <w:b w:val="0"/>
          <w:bCs w:val="0"/>
          <w:spacing w:val="-1"/>
          <w:sz w:val="21"/>
          <w:szCs w:val="21"/>
        </w:rPr>
        <w:t xml:space="preserve"> </w:t>
      </w:r>
      <w:r w:rsidRPr="00B94CD4">
        <w:rPr>
          <w:rFonts w:ascii="Abadi" w:hAnsi="Abadi"/>
          <w:b w:val="0"/>
          <w:bCs w:val="0"/>
          <w:sz w:val="21"/>
          <w:szCs w:val="21"/>
        </w:rPr>
        <w:t>las</w:t>
      </w:r>
      <w:r w:rsidRPr="00B94CD4">
        <w:rPr>
          <w:rFonts w:ascii="Abadi" w:hAnsi="Abadi"/>
          <w:b w:val="0"/>
          <w:bCs w:val="0"/>
          <w:spacing w:val="76"/>
          <w:sz w:val="21"/>
          <w:szCs w:val="21"/>
        </w:rPr>
        <w:t xml:space="preserve"> </w:t>
      </w:r>
      <w:r w:rsidRPr="00B94CD4">
        <w:rPr>
          <w:rFonts w:ascii="Abadi" w:hAnsi="Abadi"/>
          <w:b w:val="0"/>
          <w:bCs w:val="0"/>
          <w:sz w:val="21"/>
          <w:szCs w:val="21"/>
        </w:rPr>
        <w:t>reformas</w:t>
      </w:r>
      <w:r w:rsidRPr="00B94CD4">
        <w:rPr>
          <w:rFonts w:ascii="Abadi" w:hAnsi="Abadi"/>
          <w:b w:val="0"/>
          <w:bCs w:val="0"/>
          <w:spacing w:val="76"/>
          <w:sz w:val="21"/>
          <w:szCs w:val="21"/>
        </w:rPr>
        <w:t xml:space="preserve"> </w:t>
      </w:r>
      <w:r w:rsidRPr="00B94CD4">
        <w:rPr>
          <w:rFonts w:ascii="Abadi" w:hAnsi="Abadi"/>
          <w:b w:val="0"/>
          <w:bCs w:val="0"/>
          <w:sz w:val="21"/>
          <w:szCs w:val="21"/>
        </w:rPr>
        <w:t>y</w:t>
      </w:r>
      <w:r w:rsidRPr="00B94CD4">
        <w:rPr>
          <w:rFonts w:ascii="Abadi" w:hAnsi="Abadi"/>
          <w:b w:val="0"/>
          <w:bCs w:val="0"/>
          <w:spacing w:val="76"/>
          <w:sz w:val="21"/>
          <w:szCs w:val="21"/>
        </w:rPr>
        <w:t xml:space="preserve"> </w:t>
      </w:r>
      <w:r w:rsidRPr="00B94CD4">
        <w:rPr>
          <w:rFonts w:ascii="Abadi" w:hAnsi="Abadi"/>
          <w:b w:val="0"/>
          <w:bCs w:val="0"/>
          <w:sz w:val="21"/>
          <w:szCs w:val="21"/>
        </w:rPr>
        <w:t>adiciones</w:t>
      </w:r>
      <w:r w:rsidRPr="00B94CD4">
        <w:rPr>
          <w:rFonts w:ascii="Abadi" w:hAnsi="Abadi"/>
          <w:b w:val="0"/>
          <w:bCs w:val="0"/>
          <w:spacing w:val="76"/>
          <w:sz w:val="21"/>
          <w:szCs w:val="21"/>
        </w:rPr>
        <w:t xml:space="preserve"> </w:t>
      </w:r>
      <w:r w:rsidRPr="00B94CD4">
        <w:rPr>
          <w:rFonts w:ascii="Abadi" w:hAnsi="Abadi"/>
          <w:b w:val="0"/>
          <w:bCs w:val="0"/>
          <w:sz w:val="21"/>
          <w:szCs w:val="21"/>
        </w:rPr>
        <w:t>a</w:t>
      </w:r>
      <w:r w:rsidRPr="00B94CD4">
        <w:rPr>
          <w:rFonts w:ascii="Abadi" w:hAnsi="Abadi"/>
          <w:b w:val="0"/>
          <w:bCs w:val="0"/>
          <w:spacing w:val="76"/>
          <w:sz w:val="21"/>
          <w:szCs w:val="21"/>
        </w:rPr>
        <w:t xml:space="preserve"> </w:t>
      </w:r>
      <w:r w:rsidRPr="00B94CD4">
        <w:rPr>
          <w:rFonts w:ascii="Abadi" w:hAnsi="Abadi"/>
          <w:b w:val="0"/>
          <w:bCs w:val="0"/>
          <w:sz w:val="21"/>
          <w:szCs w:val="21"/>
        </w:rPr>
        <w:t>la</w:t>
      </w:r>
      <w:r w:rsidRPr="00B94CD4">
        <w:rPr>
          <w:rFonts w:ascii="Abadi" w:hAnsi="Abadi"/>
          <w:b w:val="0"/>
          <w:bCs w:val="0"/>
          <w:spacing w:val="76"/>
          <w:sz w:val="21"/>
          <w:szCs w:val="21"/>
        </w:rPr>
        <w:t xml:space="preserve"> </w:t>
      </w:r>
      <w:r w:rsidRPr="00B94CD4">
        <w:rPr>
          <w:rFonts w:ascii="Abadi" w:hAnsi="Abadi"/>
          <w:b w:val="0"/>
          <w:bCs w:val="0"/>
          <w:sz w:val="21"/>
          <w:szCs w:val="21"/>
        </w:rPr>
        <w:t>Constitución</w:t>
      </w:r>
      <w:r w:rsidRPr="00B94CD4">
        <w:rPr>
          <w:rFonts w:ascii="Abadi" w:hAnsi="Abadi"/>
          <w:b w:val="0"/>
          <w:bCs w:val="0"/>
          <w:spacing w:val="76"/>
          <w:sz w:val="21"/>
          <w:szCs w:val="21"/>
        </w:rPr>
        <w:t xml:space="preserve"> </w:t>
      </w:r>
      <w:r w:rsidRPr="00B94CD4">
        <w:rPr>
          <w:rFonts w:ascii="Abadi" w:hAnsi="Abadi"/>
          <w:b w:val="0"/>
          <w:bCs w:val="0"/>
          <w:sz w:val="21"/>
          <w:szCs w:val="21"/>
        </w:rPr>
        <w:t>Política</w:t>
      </w:r>
      <w:r w:rsidRPr="00B94CD4">
        <w:rPr>
          <w:rFonts w:ascii="Abadi" w:hAnsi="Abadi"/>
          <w:b w:val="0"/>
          <w:bCs w:val="0"/>
          <w:spacing w:val="76"/>
          <w:sz w:val="21"/>
          <w:szCs w:val="21"/>
        </w:rPr>
        <w:t xml:space="preserve"> </w:t>
      </w:r>
      <w:r w:rsidRPr="00B94CD4">
        <w:rPr>
          <w:rFonts w:ascii="Abadi" w:hAnsi="Abadi"/>
          <w:b w:val="0"/>
          <w:bCs w:val="0"/>
          <w:sz w:val="21"/>
          <w:szCs w:val="21"/>
        </w:rPr>
        <w:t>para</w:t>
      </w:r>
      <w:r w:rsidRPr="00B94CD4">
        <w:rPr>
          <w:rFonts w:ascii="Abadi" w:hAnsi="Abadi"/>
          <w:b w:val="0"/>
          <w:bCs w:val="0"/>
          <w:spacing w:val="76"/>
          <w:sz w:val="21"/>
          <w:szCs w:val="21"/>
        </w:rPr>
        <w:t xml:space="preserve"> </w:t>
      </w:r>
      <w:r w:rsidRPr="00B94CD4">
        <w:rPr>
          <w:rFonts w:ascii="Abadi" w:hAnsi="Abadi"/>
          <w:b w:val="0"/>
          <w:bCs w:val="0"/>
          <w:sz w:val="21"/>
          <w:szCs w:val="21"/>
        </w:rPr>
        <w:t>el</w:t>
      </w:r>
      <w:r w:rsidRPr="00B94CD4">
        <w:rPr>
          <w:rFonts w:ascii="Abadi" w:hAnsi="Abadi"/>
          <w:b w:val="0"/>
          <w:bCs w:val="0"/>
          <w:spacing w:val="76"/>
          <w:sz w:val="21"/>
          <w:szCs w:val="21"/>
        </w:rPr>
        <w:t xml:space="preserve"> </w:t>
      </w:r>
      <w:r w:rsidRPr="00B94CD4">
        <w:rPr>
          <w:rFonts w:ascii="Abadi" w:hAnsi="Abadi"/>
          <w:b w:val="0"/>
          <w:bCs w:val="0"/>
          <w:sz w:val="21"/>
          <w:szCs w:val="21"/>
        </w:rPr>
        <w:t>Estado</w:t>
      </w:r>
      <w:r w:rsidRPr="00B94CD4">
        <w:rPr>
          <w:rFonts w:ascii="Abadi" w:hAnsi="Abadi"/>
          <w:b w:val="0"/>
          <w:bCs w:val="0"/>
          <w:spacing w:val="76"/>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Guanajuato,</w:t>
      </w:r>
      <w:r w:rsidRPr="00B94CD4">
        <w:rPr>
          <w:rFonts w:ascii="Abadi" w:hAnsi="Abadi"/>
          <w:b w:val="0"/>
          <w:bCs w:val="0"/>
          <w:spacing w:val="75"/>
          <w:w w:val="150"/>
          <w:sz w:val="21"/>
          <w:szCs w:val="21"/>
        </w:rPr>
        <w:t xml:space="preserve"> </w:t>
      </w:r>
      <w:r w:rsidRPr="00B94CD4">
        <w:rPr>
          <w:rFonts w:ascii="Abadi" w:hAnsi="Abadi"/>
          <w:b w:val="0"/>
          <w:bCs w:val="0"/>
          <w:sz w:val="21"/>
          <w:szCs w:val="21"/>
        </w:rPr>
        <w:t>contenidas</w:t>
      </w:r>
      <w:r w:rsidRPr="00B94CD4">
        <w:rPr>
          <w:rFonts w:ascii="Abadi" w:hAnsi="Abadi"/>
          <w:b w:val="0"/>
          <w:bCs w:val="0"/>
          <w:spacing w:val="76"/>
          <w:w w:val="150"/>
          <w:sz w:val="21"/>
          <w:szCs w:val="21"/>
        </w:rPr>
        <w:t xml:space="preserve"> </w:t>
      </w:r>
      <w:r w:rsidRPr="00B94CD4">
        <w:rPr>
          <w:rFonts w:ascii="Abadi" w:hAnsi="Abadi"/>
          <w:b w:val="0"/>
          <w:bCs w:val="0"/>
          <w:sz w:val="21"/>
          <w:szCs w:val="21"/>
        </w:rPr>
        <w:t>en</w:t>
      </w:r>
      <w:r w:rsidRPr="00B94CD4">
        <w:rPr>
          <w:rFonts w:ascii="Abadi" w:hAnsi="Abadi"/>
          <w:b w:val="0"/>
          <w:bCs w:val="0"/>
          <w:spacing w:val="76"/>
          <w:w w:val="150"/>
          <w:sz w:val="21"/>
          <w:szCs w:val="21"/>
        </w:rPr>
        <w:t xml:space="preserve"> </w:t>
      </w:r>
      <w:r w:rsidRPr="00B94CD4">
        <w:rPr>
          <w:rFonts w:ascii="Abadi" w:hAnsi="Abadi"/>
          <w:b w:val="0"/>
          <w:bCs w:val="0"/>
          <w:sz w:val="21"/>
          <w:szCs w:val="21"/>
        </w:rPr>
        <w:t>el</w:t>
      </w:r>
      <w:r w:rsidRPr="00B94CD4">
        <w:rPr>
          <w:rFonts w:ascii="Abadi" w:hAnsi="Abadi"/>
          <w:b w:val="0"/>
          <w:bCs w:val="0"/>
          <w:spacing w:val="76"/>
          <w:w w:val="150"/>
          <w:sz w:val="21"/>
          <w:szCs w:val="21"/>
        </w:rPr>
        <w:t xml:space="preserve"> </w:t>
      </w:r>
      <w:r w:rsidRPr="00B94CD4">
        <w:rPr>
          <w:rFonts w:ascii="Abadi" w:hAnsi="Abadi"/>
          <w:b w:val="0"/>
          <w:bCs w:val="0"/>
          <w:sz w:val="21"/>
          <w:szCs w:val="21"/>
        </w:rPr>
        <w:t>proyecto</w:t>
      </w:r>
      <w:r w:rsidRPr="00B94CD4">
        <w:rPr>
          <w:rFonts w:ascii="Abadi" w:hAnsi="Abadi"/>
          <w:b w:val="0"/>
          <w:bCs w:val="0"/>
          <w:spacing w:val="76"/>
          <w:w w:val="150"/>
          <w:sz w:val="21"/>
          <w:szCs w:val="21"/>
        </w:rPr>
        <w:t xml:space="preserve"> </w:t>
      </w:r>
      <w:r w:rsidRPr="00B94CD4">
        <w:rPr>
          <w:rFonts w:ascii="Abadi" w:hAnsi="Abadi"/>
          <w:b w:val="0"/>
          <w:bCs w:val="0"/>
          <w:sz w:val="21"/>
          <w:szCs w:val="21"/>
        </w:rPr>
        <w:t>de</w:t>
      </w:r>
      <w:r w:rsidRPr="00B94CD4">
        <w:rPr>
          <w:rFonts w:ascii="Abadi" w:hAnsi="Abadi"/>
          <w:b w:val="0"/>
          <w:bCs w:val="0"/>
          <w:spacing w:val="76"/>
          <w:w w:val="150"/>
          <w:sz w:val="21"/>
          <w:szCs w:val="21"/>
        </w:rPr>
        <w:t xml:space="preserve"> </w:t>
      </w:r>
      <w:r w:rsidRPr="00B94CD4">
        <w:rPr>
          <w:rFonts w:ascii="Abadi" w:hAnsi="Abadi"/>
          <w:b w:val="0"/>
          <w:bCs w:val="0"/>
          <w:sz w:val="21"/>
          <w:szCs w:val="21"/>
        </w:rPr>
        <w:t>decreto</w:t>
      </w:r>
      <w:r w:rsidRPr="00B94CD4">
        <w:rPr>
          <w:rFonts w:ascii="Abadi" w:hAnsi="Abadi"/>
          <w:b w:val="0"/>
          <w:bCs w:val="0"/>
          <w:spacing w:val="76"/>
          <w:w w:val="150"/>
          <w:sz w:val="21"/>
          <w:szCs w:val="21"/>
        </w:rPr>
        <w:t xml:space="preserve"> </w:t>
      </w:r>
      <w:r w:rsidRPr="00B94CD4">
        <w:rPr>
          <w:rFonts w:ascii="Abadi" w:hAnsi="Abadi"/>
          <w:b w:val="0"/>
          <w:bCs w:val="0"/>
          <w:sz w:val="21"/>
          <w:szCs w:val="21"/>
        </w:rPr>
        <w:t>de</w:t>
      </w:r>
      <w:r w:rsidRPr="00B94CD4">
        <w:rPr>
          <w:rFonts w:ascii="Abadi" w:hAnsi="Abadi"/>
          <w:b w:val="0"/>
          <w:bCs w:val="0"/>
          <w:spacing w:val="75"/>
          <w:w w:val="150"/>
          <w:sz w:val="21"/>
          <w:szCs w:val="21"/>
        </w:rPr>
        <w:t xml:space="preserve"> </w:t>
      </w:r>
      <w:r w:rsidRPr="00B94CD4">
        <w:rPr>
          <w:rFonts w:ascii="Abadi" w:hAnsi="Abadi"/>
          <w:b w:val="0"/>
          <w:bCs w:val="0"/>
          <w:sz w:val="21"/>
          <w:szCs w:val="21"/>
        </w:rPr>
        <w:t>fecha</w:t>
      </w:r>
      <w:r w:rsidRPr="00B94CD4">
        <w:rPr>
          <w:rFonts w:ascii="Abadi" w:hAnsi="Abadi"/>
          <w:b w:val="0"/>
          <w:bCs w:val="0"/>
          <w:spacing w:val="76"/>
          <w:w w:val="150"/>
          <w:sz w:val="21"/>
          <w:szCs w:val="21"/>
        </w:rPr>
        <w:t xml:space="preserve"> </w:t>
      </w:r>
      <w:r w:rsidRPr="00B94CD4">
        <w:rPr>
          <w:rFonts w:ascii="Abadi" w:hAnsi="Abadi"/>
          <w:b w:val="0"/>
          <w:bCs w:val="0"/>
          <w:sz w:val="21"/>
          <w:szCs w:val="21"/>
        </w:rPr>
        <w:t>13</w:t>
      </w:r>
      <w:r w:rsidRPr="00B94CD4">
        <w:rPr>
          <w:rFonts w:ascii="Abadi" w:hAnsi="Abadi"/>
          <w:b w:val="0"/>
          <w:bCs w:val="0"/>
          <w:spacing w:val="76"/>
          <w:w w:val="150"/>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septiembre</w:t>
      </w:r>
      <w:r w:rsidRPr="00B94CD4">
        <w:rPr>
          <w:rFonts w:ascii="Abadi" w:hAnsi="Abadi"/>
          <w:b w:val="0"/>
          <w:bCs w:val="0"/>
          <w:spacing w:val="-8"/>
          <w:sz w:val="21"/>
          <w:szCs w:val="21"/>
        </w:rPr>
        <w:t xml:space="preserve"> </w:t>
      </w:r>
      <w:r w:rsidRPr="00B94CD4">
        <w:rPr>
          <w:rFonts w:ascii="Abadi" w:hAnsi="Abadi"/>
          <w:b w:val="0"/>
          <w:bCs w:val="0"/>
          <w:sz w:val="21"/>
          <w:szCs w:val="21"/>
        </w:rPr>
        <w:t>de</w:t>
      </w:r>
      <w:r w:rsidRPr="00B94CD4">
        <w:rPr>
          <w:rFonts w:ascii="Abadi" w:hAnsi="Abadi"/>
          <w:b w:val="0"/>
          <w:bCs w:val="0"/>
          <w:spacing w:val="-8"/>
          <w:sz w:val="21"/>
          <w:szCs w:val="21"/>
        </w:rPr>
        <w:t xml:space="preserve"> </w:t>
      </w:r>
      <w:r w:rsidRPr="00B94CD4">
        <w:rPr>
          <w:rFonts w:ascii="Abadi" w:hAnsi="Abadi"/>
          <w:b w:val="0"/>
          <w:bCs w:val="0"/>
          <w:sz w:val="21"/>
          <w:szCs w:val="21"/>
        </w:rPr>
        <w:t>2021</w:t>
      </w:r>
      <w:r w:rsidRPr="00B94CD4">
        <w:rPr>
          <w:rFonts w:ascii="Abadi" w:hAnsi="Abadi"/>
          <w:b w:val="0"/>
          <w:bCs w:val="0"/>
          <w:spacing w:val="-8"/>
          <w:sz w:val="21"/>
          <w:szCs w:val="21"/>
        </w:rPr>
        <w:t xml:space="preserve"> </w:t>
      </w:r>
      <w:r w:rsidRPr="00B94CD4">
        <w:rPr>
          <w:rFonts w:ascii="Abadi" w:hAnsi="Abadi"/>
          <w:b w:val="0"/>
          <w:bCs w:val="0"/>
          <w:sz w:val="21"/>
          <w:szCs w:val="21"/>
        </w:rPr>
        <w:t>que</w:t>
      </w:r>
      <w:r w:rsidRPr="00B94CD4">
        <w:rPr>
          <w:rFonts w:ascii="Abadi" w:hAnsi="Abadi"/>
          <w:b w:val="0"/>
          <w:bCs w:val="0"/>
          <w:spacing w:val="-8"/>
          <w:sz w:val="21"/>
          <w:szCs w:val="21"/>
        </w:rPr>
        <w:t xml:space="preserve"> </w:t>
      </w:r>
      <w:r w:rsidRPr="00B94CD4">
        <w:rPr>
          <w:rFonts w:ascii="Abadi" w:hAnsi="Abadi"/>
          <w:b w:val="0"/>
          <w:bCs w:val="0"/>
          <w:sz w:val="21"/>
          <w:szCs w:val="21"/>
        </w:rPr>
        <w:t>ya</w:t>
      </w:r>
      <w:r w:rsidRPr="00B94CD4">
        <w:rPr>
          <w:rFonts w:ascii="Abadi" w:hAnsi="Abadi"/>
          <w:b w:val="0"/>
          <w:bCs w:val="0"/>
          <w:spacing w:val="-8"/>
          <w:sz w:val="21"/>
          <w:szCs w:val="21"/>
        </w:rPr>
        <w:t xml:space="preserve"> </w:t>
      </w:r>
      <w:r w:rsidRPr="00B94CD4">
        <w:rPr>
          <w:rFonts w:ascii="Abadi" w:hAnsi="Abadi"/>
          <w:b w:val="0"/>
          <w:bCs w:val="0"/>
          <w:sz w:val="21"/>
          <w:szCs w:val="21"/>
        </w:rPr>
        <w:t>les</w:t>
      </w:r>
      <w:r w:rsidRPr="00B94CD4">
        <w:rPr>
          <w:rFonts w:ascii="Abadi" w:hAnsi="Abadi"/>
          <w:b w:val="0"/>
          <w:bCs w:val="0"/>
          <w:spacing w:val="-8"/>
          <w:sz w:val="21"/>
          <w:szCs w:val="21"/>
        </w:rPr>
        <w:t xml:space="preserve"> </w:t>
      </w:r>
      <w:r w:rsidRPr="00B94CD4">
        <w:rPr>
          <w:rFonts w:ascii="Abadi" w:hAnsi="Abadi"/>
          <w:b w:val="0"/>
          <w:bCs w:val="0"/>
          <w:sz w:val="21"/>
          <w:szCs w:val="21"/>
        </w:rPr>
        <w:t>ha</w:t>
      </w:r>
      <w:r w:rsidRPr="00B94CD4">
        <w:rPr>
          <w:rFonts w:ascii="Abadi" w:hAnsi="Abadi"/>
          <w:b w:val="0"/>
          <w:bCs w:val="0"/>
          <w:spacing w:val="-8"/>
          <w:sz w:val="21"/>
          <w:szCs w:val="21"/>
        </w:rPr>
        <w:t xml:space="preserve"> </w:t>
      </w:r>
      <w:r w:rsidRPr="00B94CD4">
        <w:rPr>
          <w:rFonts w:ascii="Abadi" w:hAnsi="Abadi"/>
          <w:b w:val="0"/>
          <w:bCs w:val="0"/>
          <w:sz w:val="21"/>
          <w:szCs w:val="21"/>
        </w:rPr>
        <w:t>sido</w:t>
      </w:r>
      <w:r w:rsidRPr="00B94CD4">
        <w:rPr>
          <w:rFonts w:ascii="Abadi" w:hAnsi="Abadi"/>
          <w:b w:val="0"/>
          <w:bCs w:val="0"/>
          <w:spacing w:val="-8"/>
          <w:sz w:val="21"/>
          <w:szCs w:val="21"/>
        </w:rPr>
        <w:t xml:space="preserve"> </w:t>
      </w:r>
      <w:r w:rsidRPr="00B94CD4">
        <w:rPr>
          <w:rFonts w:ascii="Abadi" w:hAnsi="Abadi"/>
          <w:b w:val="0"/>
          <w:bCs w:val="0"/>
          <w:sz w:val="21"/>
          <w:szCs w:val="21"/>
        </w:rPr>
        <w:t>notificado</w:t>
      </w:r>
      <w:r w:rsidRPr="00B94CD4">
        <w:rPr>
          <w:rFonts w:ascii="Abadi" w:hAnsi="Abadi"/>
          <w:b w:val="0"/>
          <w:bCs w:val="0"/>
          <w:spacing w:val="-7"/>
          <w:sz w:val="21"/>
          <w:szCs w:val="21"/>
        </w:rPr>
        <w:t xml:space="preserve"> </w:t>
      </w:r>
      <w:r w:rsidRPr="00B94CD4">
        <w:rPr>
          <w:rFonts w:ascii="Abadi" w:hAnsi="Abadi"/>
          <w:b w:val="0"/>
          <w:bCs w:val="0"/>
          <w:sz w:val="21"/>
          <w:szCs w:val="21"/>
        </w:rPr>
        <w:t>con</w:t>
      </w:r>
      <w:r w:rsidRPr="00B94CD4">
        <w:rPr>
          <w:rFonts w:ascii="Abadi" w:hAnsi="Abadi"/>
          <w:b w:val="0"/>
          <w:bCs w:val="0"/>
          <w:spacing w:val="-8"/>
          <w:sz w:val="21"/>
          <w:szCs w:val="21"/>
        </w:rPr>
        <w:t xml:space="preserve"> </w:t>
      </w:r>
      <w:r w:rsidRPr="00B94CD4">
        <w:rPr>
          <w:rFonts w:ascii="Abadi" w:hAnsi="Abadi"/>
          <w:b w:val="0"/>
          <w:bCs w:val="0"/>
          <w:sz w:val="21"/>
          <w:szCs w:val="21"/>
        </w:rPr>
        <w:t>anterioridad,</w:t>
      </w:r>
      <w:r w:rsidRPr="00B94CD4">
        <w:rPr>
          <w:rFonts w:ascii="Abadi" w:hAnsi="Abadi"/>
          <w:b w:val="0"/>
          <w:bCs w:val="0"/>
          <w:spacing w:val="-8"/>
          <w:sz w:val="21"/>
          <w:szCs w:val="21"/>
        </w:rPr>
        <w:t xml:space="preserve"> </w:t>
      </w:r>
      <w:r w:rsidRPr="00B94CD4">
        <w:rPr>
          <w:rFonts w:ascii="Abadi" w:hAnsi="Abadi"/>
          <w:b w:val="0"/>
          <w:bCs w:val="0"/>
          <w:sz w:val="21"/>
          <w:szCs w:val="21"/>
        </w:rPr>
        <w:t>para</w:t>
      </w:r>
      <w:r w:rsidRPr="00B94CD4">
        <w:rPr>
          <w:rFonts w:ascii="Abadi" w:hAnsi="Abadi"/>
          <w:b w:val="0"/>
          <w:bCs w:val="0"/>
          <w:spacing w:val="-8"/>
          <w:sz w:val="21"/>
          <w:szCs w:val="21"/>
        </w:rPr>
        <w:t xml:space="preserve"> </w:t>
      </w:r>
      <w:r w:rsidRPr="00B94CD4">
        <w:rPr>
          <w:rFonts w:ascii="Abadi" w:hAnsi="Abadi"/>
          <w:b w:val="0"/>
          <w:bCs w:val="0"/>
          <w:sz w:val="21"/>
          <w:szCs w:val="21"/>
        </w:rPr>
        <w:t>que</w:t>
      </w:r>
      <w:r w:rsidRPr="00B94CD4">
        <w:rPr>
          <w:rFonts w:ascii="Abadi" w:hAnsi="Abadi"/>
          <w:b w:val="0"/>
          <w:bCs w:val="0"/>
          <w:spacing w:val="-1"/>
          <w:sz w:val="21"/>
          <w:szCs w:val="21"/>
        </w:rPr>
        <w:t xml:space="preserve"> </w:t>
      </w:r>
      <w:r w:rsidRPr="00B94CD4">
        <w:rPr>
          <w:rFonts w:ascii="Abadi" w:hAnsi="Abadi"/>
          <w:b w:val="0"/>
          <w:bCs w:val="0"/>
          <w:sz w:val="21"/>
          <w:szCs w:val="21"/>
        </w:rPr>
        <w:t>a</w:t>
      </w:r>
      <w:r w:rsidRPr="00B94CD4">
        <w:rPr>
          <w:rFonts w:ascii="Abadi" w:hAnsi="Abadi"/>
          <w:b w:val="0"/>
          <w:bCs w:val="0"/>
          <w:spacing w:val="-1"/>
          <w:sz w:val="21"/>
          <w:szCs w:val="21"/>
        </w:rPr>
        <w:t xml:space="preserve"> </w:t>
      </w:r>
      <w:r w:rsidRPr="00B94CD4">
        <w:rPr>
          <w:rFonts w:ascii="Abadi" w:hAnsi="Abadi"/>
          <w:b w:val="0"/>
          <w:bCs w:val="0"/>
          <w:sz w:val="21"/>
          <w:szCs w:val="21"/>
        </w:rPr>
        <w:t>la</w:t>
      </w:r>
      <w:r w:rsidRPr="00B94CD4">
        <w:rPr>
          <w:rFonts w:ascii="Abadi" w:hAnsi="Abadi"/>
          <w:b w:val="0"/>
          <w:bCs w:val="0"/>
          <w:spacing w:val="-1"/>
          <w:sz w:val="21"/>
          <w:szCs w:val="21"/>
        </w:rPr>
        <w:t xml:space="preserve"> </w:t>
      </w:r>
      <w:r w:rsidRPr="00B94CD4">
        <w:rPr>
          <w:rFonts w:ascii="Abadi" w:hAnsi="Abadi"/>
          <w:b w:val="0"/>
          <w:bCs w:val="0"/>
          <w:sz w:val="21"/>
          <w:szCs w:val="21"/>
        </w:rPr>
        <w:t>brevedad</w:t>
      </w:r>
      <w:r w:rsidRPr="00B94CD4">
        <w:rPr>
          <w:rFonts w:ascii="Abadi" w:hAnsi="Abadi"/>
          <w:b w:val="0"/>
          <w:bCs w:val="0"/>
          <w:spacing w:val="-1"/>
          <w:sz w:val="21"/>
          <w:szCs w:val="21"/>
        </w:rPr>
        <w:t xml:space="preserve"> </w:t>
      </w:r>
      <w:r w:rsidRPr="00B94CD4">
        <w:rPr>
          <w:rFonts w:ascii="Abadi" w:hAnsi="Abadi"/>
          <w:b w:val="0"/>
          <w:bCs w:val="0"/>
          <w:sz w:val="21"/>
          <w:szCs w:val="21"/>
        </w:rPr>
        <w:t>lleven</w:t>
      </w:r>
      <w:r w:rsidRPr="00B94CD4">
        <w:rPr>
          <w:rFonts w:ascii="Abadi" w:hAnsi="Abadi"/>
          <w:b w:val="0"/>
          <w:bCs w:val="0"/>
          <w:spacing w:val="-1"/>
          <w:sz w:val="21"/>
          <w:szCs w:val="21"/>
        </w:rPr>
        <w:t xml:space="preserve"> </w:t>
      </w:r>
      <w:r w:rsidRPr="00B94CD4">
        <w:rPr>
          <w:rFonts w:ascii="Abadi" w:hAnsi="Abadi"/>
          <w:b w:val="0"/>
          <w:bCs w:val="0"/>
          <w:sz w:val="21"/>
          <w:szCs w:val="21"/>
        </w:rPr>
        <w:t>a</w:t>
      </w:r>
      <w:r w:rsidRPr="00B94CD4">
        <w:rPr>
          <w:rFonts w:ascii="Abadi" w:hAnsi="Abadi"/>
          <w:b w:val="0"/>
          <w:bCs w:val="0"/>
          <w:spacing w:val="-1"/>
          <w:sz w:val="21"/>
          <w:szCs w:val="21"/>
        </w:rPr>
        <w:t xml:space="preserve"> </w:t>
      </w:r>
      <w:r w:rsidRPr="00B94CD4">
        <w:rPr>
          <w:rFonts w:ascii="Abadi" w:hAnsi="Abadi"/>
          <w:b w:val="0"/>
          <w:bCs w:val="0"/>
          <w:sz w:val="21"/>
          <w:szCs w:val="21"/>
        </w:rPr>
        <w:t>cabo</w:t>
      </w:r>
      <w:r w:rsidRPr="00B94CD4">
        <w:rPr>
          <w:rFonts w:ascii="Abadi" w:hAnsi="Abadi"/>
          <w:b w:val="0"/>
          <w:bCs w:val="0"/>
          <w:spacing w:val="-1"/>
          <w:sz w:val="21"/>
          <w:szCs w:val="21"/>
        </w:rPr>
        <w:t xml:space="preserve"> </w:t>
      </w:r>
      <w:r w:rsidRPr="00B94CD4">
        <w:rPr>
          <w:rFonts w:ascii="Abadi" w:hAnsi="Abadi"/>
          <w:b w:val="0"/>
          <w:bCs w:val="0"/>
          <w:sz w:val="21"/>
          <w:szCs w:val="21"/>
        </w:rPr>
        <w:t>el</w:t>
      </w:r>
      <w:r w:rsidRPr="00B94CD4">
        <w:rPr>
          <w:rFonts w:ascii="Abadi" w:hAnsi="Abadi"/>
          <w:b w:val="0"/>
          <w:bCs w:val="0"/>
          <w:spacing w:val="-1"/>
          <w:sz w:val="21"/>
          <w:szCs w:val="21"/>
        </w:rPr>
        <w:t xml:space="preserve"> </w:t>
      </w:r>
      <w:r w:rsidRPr="00B94CD4">
        <w:rPr>
          <w:rFonts w:ascii="Abadi" w:hAnsi="Abadi"/>
          <w:b w:val="0"/>
          <w:bCs w:val="0"/>
          <w:sz w:val="21"/>
          <w:szCs w:val="21"/>
        </w:rPr>
        <w:t>proceso</w:t>
      </w:r>
      <w:r w:rsidRPr="00B94CD4">
        <w:rPr>
          <w:rFonts w:ascii="Abadi" w:hAnsi="Abadi"/>
          <w:b w:val="0"/>
          <w:bCs w:val="0"/>
          <w:spacing w:val="-1"/>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 xml:space="preserve">discusión. </w:t>
      </w:r>
      <w:r w:rsidRPr="00B94CD4">
        <w:rPr>
          <w:rFonts w:ascii="Abadi" w:hAnsi="Abadi"/>
          <w:sz w:val="21"/>
          <w:szCs w:val="21"/>
        </w:rPr>
        <w:t>XXII.-</w:t>
      </w:r>
      <w:r w:rsidRPr="00B94CD4">
        <w:rPr>
          <w:rFonts w:ascii="Abadi" w:hAnsi="Abadi"/>
          <w:b w:val="0"/>
          <w:bCs w:val="0"/>
          <w:sz w:val="21"/>
          <w:szCs w:val="21"/>
        </w:rPr>
        <w:t xml:space="preserve"> Discusión</w:t>
      </w:r>
      <w:r w:rsidRPr="00B94CD4">
        <w:rPr>
          <w:rFonts w:ascii="Abadi" w:hAnsi="Abadi"/>
          <w:b w:val="0"/>
          <w:bCs w:val="0"/>
          <w:spacing w:val="80"/>
          <w:sz w:val="21"/>
          <w:szCs w:val="21"/>
        </w:rPr>
        <w:t xml:space="preserve"> </w:t>
      </w:r>
      <w:r w:rsidRPr="00B94CD4">
        <w:rPr>
          <w:rFonts w:ascii="Abadi" w:hAnsi="Abadi"/>
          <w:b w:val="0"/>
          <w:bCs w:val="0"/>
          <w:sz w:val="21"/>
          <w:szCs w:val="21"/>
        </w:rPr>
        <w:t>y,</w:t>
      </w:r>
      <w:r w:rsidRPr="00B94CD4">
        <w:rPr>
          <w:rFonts w:ascii="Abadi" w:hAnsi="Abadi"/>
          <w:b w:val="0"/>
          <w:bCs w:val="0"/>
          <w:spacing w:val="80"/>
          <w:sz w:val="21"/>
          <w:szCs w:val="21"/>
        </w:rPr>
        <w:t xml:space="preserve"> </w:t>
      </w:r>
      <w:r w:rsidRPr="00B94CD4">
        <w:rPr>
          <w:rFonts w:ascii="Abadi" w:hAnsi="Abadi"/>
          <w:b w:val="0"/>
          <w:bCs w:val="0"/>
          <w:sz w:val="21"/>
          <w:szCs w:val="21"/>
        </w:rPr>
        <w:t>en</w:t>
      </w:r>
      <w:r w:rsidRPr="00B94CD4">
        <w:rPr>
          <w:rFonts w:ascii="Abadi" w:hAnsi="Abadi"/>
          <w:b w:val="0"/>
          <w:bCs w:val="0"/>
          <w:spacing w:val="80"/>
          <w:sz w:val="21"/>
          <w:szCs w:val="21"/>
        </w:rPr>
        <w:t xml:space="preserve"> </w:t>
      </w:r>
      <w:r w:rsidRPr="00B94CD4">
        <w:rPr>
          <w:rFonts w:ascii="Abadi" w:hAnsi="Abadi"/>
          <w:b w:val="0"/>
          <w:bCs w:val="0"/>
          <w:sz w:val="21"/>
          <w:szCs w:val="21"/>
        </w:rPr>
        <w:t>su</w:t>
      </w:r>
      <w:r w:rsidRPr="00B94CD4">
        <w:rPr>
          <w:rFonts w:ascii="Abadi" w:hAnsi="Abadi"/>
          <w:b w:val="0"/>
          <w:bCs w:val="0"/>
          <w:spacing w:val="80"/>
          <w:sz w:val="21"/>
          <w:szCs w:val="21"/>
        </w:rPr>
        <w:t xml:space="preserve"> </w:t>
      </w:r>
      <w:r w:rsidRPr="00B94CD4">
        <w:rPr>
          <w:rFonts w:ascii="Abadi" w:hAnsi="Abadi"/>
          <w:b w:val="0"/>
          <w:bCs w:val="0"/>
          <w:sz w:val="21"/>
          <w:szCs w:val="21"/>
        </w:rPr>
        <w:t>caso,</w:t>
      </w:r>
      <w:r w:rsidRPr="00B94CD4">
        <w:rPr>
          <w:rFonts w:ascii="Abadi" w:hAnsi="Abadi"/>
          <w:b w:val="0"/>
          <w:bCs w:val="0"/>
          <w:spacing w:val="80"/>
          <w:sz w:val="21"/>
          <w:szCs w:val="21"/>
        </w:rPr>
        <w:t xml:space="preserve"> </w:t>
      </w:r>
      <w:r w:rsidRPr="00B94CD4">
        <w:rPr>
          <w:rFonts w:ascii="Abadi" w:hAnsi="Abadi"/>
          <w:b w:val="0"/>
          <w:bCs w:val="0"/>
          <w:sz w:val="21"/>
          <w:szCs w:val="21"/>
        </w:rPr>
        <w:t>aprobación</w:t>
      </w:r>
      <w:r w:rsidRPr="00B94CD4">
        <w:rPr>
          <w:rFonts w:ascii="Abadi" w:hAnsi="Abadi"/>
          <w:b w:val="0"/>
          <w:bCs w:val="0"/>
          <w:spacing w:val="80"/>
          <w:sz w:val="21"/>
          <w:szCs w:val="21"/>
        </w:rPr>
        <w:t xml:space="preserve"> </w:t>
      </w:r>
      <w:r w:rsidRPr="00B94CD4">
        <w:rPr>
          <w:rFonts w:ascii="Abadi" w:hAnsi="Abadi"/>
          <w:b w:val="0"/>
          <w:bCs w:val="0"/>
          <w:sz w:val="21"/>
          <w:szCs w:val="21"/>
        </w:rPr>
        <w:t>del</w:t>
      </w:r>
      <w:r w:rsidRPr="00B94CD4">
        <w:rPr>
          <w:rFonts w:ascii="Abadi" w:hAnsi="Abadi"/>
          <w:b w:val="0"/>
          <w:bCs w:val="0"/>
          <w:spacing w:val="80"/>
          <w:sz w:val="21"/>
          <w:szCs w:val="21"/>
        </w:rPr>
        <w:t xml:space="preserve"> </w:t>
      </w:r>
      <w:r w:rsidRPr="00B94CD4">
        <w:rPr>
          <w:rFonts w:ascii="Abadi" w:hAnsi="Abadi"/>
          <w:b w:val="0"/>
          <w:bCs w:val="0"/>
          <w:sz w:val="21"/>
          <w:szCs w:val="21"/>
        </w:rPr>
        <w:t>dictamen</w:t>
      </w:r>
      <w:r w:rsidRPr="00B94CD4">
        <w:rPr>
          <w:rFonts w:ascii="Abadi" w:hAnsi="Abadi"/>
          <w:b w:val="0"/>
          <w:bCs w:val="0"/>
          <w:spacing w:val="80"/>
          <w:sz w:val="21"/>
          <w:szCs w:val="21"/>
        </w:rPr>
        <w:t xml:space="preserve"> </w:t>
      </w:r>
      <w:r w:rsidRPr="00B94CD4">
        <w:rPr>
          <w:rFonts w:ascii="Abadi" w:hAnsi="Abadi"/>
          <w:b w:val="0"/>
          <w:bCs w:val="0"/>
          <w:sz w:val="21"/>
          <w:szCs w:val="21"/>
        </w:rPr>
        <w:t>presentado</w:t>
      </w:r>
      <w:r w:rsidRPr="00B94CD4">
        <w:rPr>
          <w:rFonts w:ascii="Abadi" w:hAnsi="Abadi"/>
          <w:b w:val="0"/>
          <w:bCs w:val="0"/>
          <w:spacing w:val="80"/>
          <w:sz w:val="21"/>
          <w:szCs w:val="21"/>
        </w:rPr>
        <w:t xml:space="preserve"> </w:t>
      </w:r>
      <w:r w:rsidRPr="00B94CD4">
        <w:rPr>
          <w:rFonts w:ascii="Abadi" w:hAnsi="Abadi"/>
          <w:b w:val="0"/>
          <w:bCs w:val="0"/>
          <w:sz w:val="21"/>
          <w:szCs w:val="21"/>
        </w:rPr>
        <w:t>por</w:t>
      </w:r>
      <w:r w:rsidRPr="00B94CD4">
        <w:rPr>
          <w:rFonts w:ascii="Abadi" w:hAnsi="Abadi"/>
          <w:b w:val="0"/>
          <w:bCs w:val="0"/>
          <w:spacing w:val="80"/>
          <w:sz w:val="21"/>
          <w:szCs w:val="21"/>
        </w:rPr>
        <w:t xml:space="preserve"> </w:t>
      </w:r>
      <w:r w:rsidRPr="00B94CD4">
        <w:rPr>
          <w:rFonts w:ascii="Abadi" w:hAnsi="Abadi"/>
          <w:b w:val="0"/>
          <w:bCs w:val="0"/>
          <w:sz w:val="21"/>
          <w:szCs w:val="21"/>
        </w:rPr>
        <w:t>la Comisión</w:t>
      </w:r>
      <w:r w:rsidRPr="00B94CD4">
        <w:rPr>
          <w:rFonts w:ascii="Abadi" w:hAnsi="Abadi"/>
          <w:b w:val="0"/>
          <w:bCs w:val="0"/>
          <w:spacing w:val="16"/>
          <w:sz w:val="21"/>
          <w:szCs w:val="21"/>
        </w:rPr>
        <w:t xml:space="preserve"> </w:t>
      </w:r>
      <w:r w:rsidRPr="00B94CD4">
        <w:rPr>
          <w:rFonts w:ascii="Abadi" w:hAnsi="Abadi"/>
          <w:b w:val="0"/>
          <w:bCs w:val="0"/>
          <w:sz w:val="21"/>
          <w:szCs w:val="21"/>
        </w:rPr>
        <w:t>de</w:t>
      </w:r>
      <w:r w:rsidRPr="00B94CD4">
        <w:rPr>
          <w:rFonts w:ascii="Abadi" w:hAnsi="Abadi"/>
          <w:b w:val="0"/>
          <w:bCs w:val="0"/>
          <w:spacing w:val="15"/>
          <w:sz w:val="21"/>
          <w:szCs w:val="21"/>
        </w:rPr>
        <w:t xml:space="preserve"> </w:t>
      </w:r>
      <w:r w:rsidRPr="00B94CD4">
        <w:rPr>
          <w:rFonts w:ascii="Abadi" w:hAnsi="Abadi"/>
          <w:b w:val="0"/>
          <w:bCs w:val="0"/>
          <w:sz w:val="21"/>
          <w:szCs w:val="21"/>
        </w:rPr>
        <w:t>Gobernación</w:t>
      </w:r>
      <w:r w:rsidRPr="00B94CD4">
        <w:rPr>
          <w:rFonts w:ascii="Abadi" w:hAnsi="Abadi"/>
          <w:b w:val="0"/>
          <w:bCs w:val="0"/>
          <w:spacing w:val="15"/>
          <w:sz w:val="21"/>
          <w:szCs w:val="21"/>
        </w:rPr>
        <w:t xml:space="preserve"> </w:t>
      </w:r>
      <w:r w:rsidRPr="00B94CD4">
        <w:rPr>
          <w:rFonts w:ascii="Abadi" w:hAnsi="Abadi"/>
          <w:b w:val="0"/>
          <w:bCs w:val="0"/>
          <w:sz w:val="21"/>
          <w:szCs w:val="21"/>
        </w:rPr>
        <w:t>y</w:t>
      </w:r>
      <w:r w:rsidRPr="00B94CD4">
        <w:rPr>
          <w:rFonts w:ascii="Abadi" w:hAnsi="Abadi"/>
          <w:b w:val="0"/>
          <w:bCs w:val="0"/>
          <w:spacing w:val="15"/>
          <w:sz w:val="21"/>
          <w:szCs w:val="21"/>
        </w:rPr>
        <w:t xml:space="preserve"> </w:t>
      </w:r>
      <w:r w:rsidRPr="00B94CD4">
        <w:rPr>
          <w:rFonts w:ascii="Abadi" w:hAnsi="Abadi"/>
          <w:b w:val="0"/>
          <w:bCs w:val="0"/>
          <w:sz w:val="21"/>
          <w:szCs w:val="21"/>
        </w:rPr>
        <w:t>Puntos</w:t>
      </w:r>
      <w:r w:rsidRPr="00B94CD4">
        <w:rPr>
          <w:rFonts w:ascii="Abadi" w:hAnsi="Abadi"/>
          <w:b w:val="0"/>
          <w:bCs w:val="0"/>
          <w:spacing w:val="15"/>
          <w:sz w:val="21"/>
          <w:szCs w:val="21"/>
        </w:rPr>
        <w:t xml:space="preserve"> </w:t>
      </w:r>
      <w:r w:rsidRPr="00B94CD4">
        <w:rPr>
          <w:rFonts w:ascii="Abadi" w:hAnsi="Abadi"/>
          <w:b w:val="0"/>
          <w:bCs w:val="0"/>
          <w:sz w:val="21"/>
          <w:szCs w:val="21"/>
        </w:rPr>
        <w:t>Constitucionales</w:t>
      </w:r>
      <w:r w:rsidRPr="00B94CD4">
        <w:rPr>
          <w:rFonts w:ascii="Abadi" w:hAnsi="Abadi"/>
          <w:b w:val="0"/>
          <w:bCs w:val="0"/>
          <w:spacing w:val="14"/>
          <w:sz w:val="21"/>
          <w:szCs w:val="21"/>
        </w:rPr>
        <w:t xml:space="preserve"> </w:t>
      </w:r>
      <w:r w:rsidRPr="00B94CD4">
        <w:rPr>
          <w:rFonts w:ascii="Abadi" w:hAnsi="Abadi"/>
          <w:b w:val="0"/>
          <w:bCs w:val="0"/>
          <w:sz w:val="21"/>
          <w:szCs w:val="21"/>
        </w:rPr>
        <w:t>relativo</w:t>
      </w:r>
      <w:r w:rsidRPr="00B94CD4">
        <w:rPr>
          <w:rFonts w:ascii="Abadi" w:hAnsi="Abadi"/>
          <w:b w:val="0"/>
          <w:bCs w:val="0"/>
          <w:spacing w:val="15"/>
          <w:sz w:val="21"/>
          <w:szCs w:val="21"/>
        </w:rPr>
        <w:t xml:space="preserve"> </w:t>
      </w:r>
      <w:r w:rsidRPr="00B94CD4">
        <w:rPr>
          <w:rFonts w:ascii="Abadi" w:hAnsi="Abadi"/>
          <w:b w:val="0"/>
          <w:bCs w:val="0"/>
          <w:sz w:val="21"/>
          <w:szCs w:val="21"/>
        </w:rPr>
        <w:t>a</w:t>
      </w:r>
      <w:r w:rsidRPr="00B94CD4">
        <w:rPr>
          <w:rFonts w:ascii="Abadi" w:hAnsi="Abadi"/>
          <w:b w:val="0"/>
          <w:bCs w:val="0"/>
          <w:spacing w:val="15"/>
          <w:sz w:val="21"/>
          <w:szCs w:val="21"/>
        </w:rPr>
        <w:t xml:space="preserve"> </w:t>
      </w:r>
      <w:r w:rsidRPr="00B94CD4">
        <w:rPr>
          <w:rFonts w:ascii="Abadi" w:hAnsi="Abadi"/>
          <w:b w:val="0"/>
          <w:bCs w:val="0"/>
          <w:sz w:val="21"/>
          <w:szCs w:val="21"/>
        </w:rPr>
        <w:t>la</w:t>
      </w:r>
      <w:r w:rsidRPr="00B94CD4">
        <w:rPr>
          <w:rFonts w:ascii="Abadi" w:hAnsi="Abadi"/>
          <w:b w:val="0"/>
          <w:bCs w:val="0"/>
          <w:spacing w:val="15"/>
          <w:sz w:val="21"/>
          <w:szCs w:val="21"/>
        </w:rPr>
        <w:t xml:space="preserve"> </w:t>
      </w:r>
      <w:r w:rsidRPr="00B94CD4">
        <w:rPr>
          <w:rFonts w:ascii="Abadi" w:hAnsi="Abadi"/>
          <w:b w:val="0"/>
          <w:bCs w:val="0"/>
          <w:sz w:val="21"/>
          <w:szCs w:val="21"/>
        </w:rPr>
        <w:t>iniciativa a</w:t>
      </w:r>
      <w:r w:rsidRPr="00B94CD4">
        <w:rPr>
          <w:rFonts w:ascii="Abadi" w:hAnsi="Abadi"/>
          <w:b w:val="0"/>
          <w:bCs w:val="0"/>
          <w:spacing w:val="-3"/>
          <w:sz w:val="21"/>
          <w:szCs w:val="21"/>
        </w:rPr>
        <w:t xml:space="preserve"> </w:t>
      </w:r>
      <w:r w:rsidRPr="00B94CD4">
        <w:rPr>
          <w:rFonts w:ascii="Abadi" w:hAnsi="Abadi"/>
          <w:b w:val="0"/>
          <w:bCs w:val="0"/>
          <w:sz w:val="21"/>
          <w:szCs w:val="21"/>
        </w:rPr>
        <w:t>efecto</w:t>
      </w:r>
      <w:r w:rsidRPr="00B94CD4">
        <w:rPr>
          <w:rFonts w:ascii="Abadi" w:hAnsi="Abadi"/>
          <w:b w:val="0"/>
          <w:bCs w:val="0"/>
          <w:spacing w:val="-3"/>
          <w:sz w:val="21"/>
          <w:szCs w:val="21"/>
        </w:rPr>
        <w:t xml:space="preserve"> </w:t>
      </w:r>
      <w:r w:rsidRPr="00B94CD4">
        <w:rPr>
          <w:rFonts w:ascii="Abadi" w:hAnsi="Abadi"/>
          <w:b w:val="0"/>
          <w:bCs w:val="0"/>
          <w:sz w:val="21"/>
          <w:szCs w:val="21"/>
        </w:rPr>
        <w:t>de</w:t>
      </w:r>
      <w:r w:rsidRPr="00B94CD4">
        <w:rPr>
          <w:rFonts w:ascii="Abadi" w:hAnsi="Abadi"/>
          <w:b w:val="0"/>
          <w:bCs w:val="0"/>
          <w:spacing w:val="-3"/>
          <w:sz w:val="21"/>
          <w:szCs w:val="21"/>
        </w:rPr>
        <w:t xml:space="preserve"> </w:t>
      </w:r>
      <w:r w:rsidRPr="00B94CD4">
        <w:rPr>
          <w:rFonts w:ascii="Abadi" w:hAnsi="Abadi"/>
          <w:b w:val="0"/>
          <w:bCs w:val="0"/>
          <w:sz w:val="21"/>
          <w:szCs w:val="21"/>
        </w:rPr>
        <w:t>reformar</w:t>
      </w:r>
      <w:r w:rsidRPr="00B94CD4">
        <w:rPr>
          <w:rFonts w:ascii="Abadi" w:hAnsi="Abadi"/>
          <w:b w:val="0"/>
          <w:bCs w:val="0"/>
          <w:spacing w:val="-3"/>
          <w:sz w:val="21"/>
          <w:szCs w:val="21"/>
        </w:rPr>
        <w:t xml:space="preserve"> </w:t>
      </w:r>
      <w:r w:rsidRPr="00B94CD4">
        <w:rPr>
          <w:rFonts w:ascii="Abadi" w:hAnsi="Abadi"/>
          <w:b w:val="0"/>
          <w:bCs w:val="0"/>
          <w:sz w:val="21"/>
          <w:szCs w:val="21"/>
        </w:rPr>
        <w:t>el</w:t>
      </w:r>
      <w:r w:rsidRPr="00B94CD4">
        <w:rPr>
          <w:rFonts w:ascii="Abadi" w:hAnsi="Abadi"/>
          <w:b w:val="0"/>
          <w:bCs w:val="0"/>
          <w:spacing w:val="-3"/>
          <w:sz w:val="21"/>
          <w:szCs w:val="21"/>
        </w:rPr>
        <w:t xml:space="preserve"> </w:t>
      </w:r>
      <w:r w:rsidRPr="00B94CD4">
        <w:rPr>
          <w:rFonts w:ascii="Abadi" w:hAnsi="Abadi"/>
          <w:b w:val="0"/>
          <w:bCs w:val="0"/>
          <w:sz w:val="21"/>
          <w:szCs w:val="21"/>
        </w:rPr>
        <w:t>artículo</w:t>
      </w:r>
      <w:r w:rsidRPr="00B94CD4">
        <w:rPr>
          <w:rFonts w:ascii="Abadi" w:hAnsi="Abadi"/>
          <w:b w:val="0"/>
          <w:bCs w:val="0"/>
          <w:spacing w:val="-2"/>
          <w:sz w:val="21"/>
          <w:szCs w:val="21"/>
        </w:rPr>
        <w:t xml:space="preserve"> </w:t>
      </w:r>
      <w:r w:rsidRPr="00B94CD4">
        <w:rPr>
          <w:rFonts w:ascii="Abadi" w:hAnsi="Abadi"/>
          <w:b w:val="0"/>
          <w:bCs w:val="0"/>
          <w:sz w:val="21"/>
          <w:szCs w:val="21"/>
        </w:rPr>
        <w:t>95</w:t>
      </w:r>
      <w:r w:rsidRPr="00B94CD4">
        <w:rPr>
          <w:rFonts w:ascii="Abadi" w:hAnsi="Abadi"/>
          <w:b w:val="0"/>
          <w:bCs w:val="0"/>
          <w:spacing w:val="-3"/>
          <w:sz w:val="21"/>
          <w:szCs w:val="21"/>
        </w:rPr>
        <w:t xml:space="preserve"> </w:t>
      </w:r>
      <w:r w:rsidRPr="00B94CD4">
        <w:rPr>
          <w:rFonts w:ascii="Abadi" w:hAnsi="Abadi"/>
          <w:b w:val="0"/>
          <w:bCs w:val="0"/>
          <w:sz w:val="21"/>
          <w:szCs w:val="21"/>
        </w:rPr>
        <w:t>de</w:t>
      </w:r>
      <w:r w:rsidRPr="00B94CD4">
        <w:rPr>
          <w:rFonts w:ascii="Abadi" w:hAnsi="Abadi"/>
          <w:b w:val="0"/>
          <w:bCs w:val="0"/>
          <w:spacing w:val="-3"/>
          <w:sz w:val="21"/>
          <w:szCs w:val="21"/>
        </w:rPr>
        <w:t xml:space="preserve"> </w:t>
      </w:r>
      <w:r w:rsidRPr="00B94CD4">
        <w:rPr>
          <w:rFonts w:ascii="Abadi" w:hAnsi="Abadi"/>
          <w:b w:val="0"/>
          <w:bCs w:val="0"/>
          <w:sz w:val="21"/>
          <w:szCs w:val="21"/>
        </w:rPr>
        <w:t>la</w:t>
      </w:r>
      <w:r w:rsidRPr="00B94CD4">
        <w:rPr>
          <w:rFonts w:ascii="Abadi" w:hAnsi="Abadi"/>
          <w:b w:val="0"/>
          <w:bCs w:val="0"/>
          <w:spacing w:val="-3"/>
          <w:sz w:val="21"/>
          <w:szCs w:val="21"/>
        </w:rPr>
        <w:t xml:space="preserve"> </w:t>
      </w:r>
      <w:r w:rsidRPr="00B94CD4">
        <w:rPr>
          <w:rFonts w:ascii="Abadi" w:hAnsi="Abadi"/>
          <w:b w:val="0"/>
          <w:bCs w:val="0"/>
          <w:sz w:val="21"/>
          <w:szCs w:val="21"/>
        </w:rPr>
        <w:t>Constitución</w:t>
      </w:r>
      <w:r w:rsidRPr="00B94CD4">
        <w:rPr>
          <w:rFonts w:ascii="Abadi" w:hAnsi="Abadi"/>
          <w:b w:val="0"/>
          <w:bCs w:val="0"/>
          <w:spacing w:val="-3"/>
          <w:sz w:val="21"/>
          <w:szCs w:val="21"/>
        </w:rPr>
        <w:t xml:space="preserve"> </w:t>
      </w:r>
      <w:r w:rsidRPr="00B94CD4">
        <w:rPr>
          <w:rFonts w:ascii="Abadi" w:hAnsi="Abadi"/>
          <w:b w:val="0"/>
          <w:bCs w:val="0"/>
          <w:sz w:val="21"/>
          <w:szCs w:val="21"/>
        </w:rPr>
        <w:t>Política</w:t>
      </w:r>
      <w:r w:rsidRPr="00B94CD4">
        <w:rPr>
          <w:rFonts w:ascii="Abadi" w:hAnsi="Abadi"/>
          <w:b w:val="0"/>
          <w:bCs w:val="0"/>
          <w:spacing w:val="-3"/>
          <w:sz w:val="21"/>
          <w:szCs w:val="21"/>
        </w:rPr>
        <w:t xml:space="preserve"> </w:t>
      </w:r>
      <w:r w:rsidRPr="00B94CD4">
        <w:rPr>
          <w:rFonts w:ascii="Abadi" w:hAnsi="Abadi"/>
          <w:b w:val="0"/>
          <w:bCs w:val="0"/>
          <w:sz w:val="21"/>
          <w:szCs w:val="21"/>
        </w:rPr>
        <w:t>para</w:t>
      </w:r>
      <w:r w:rsidRPr="00B94CD4">
        <w:rPr>
          <w:rFonts w:ascii="Abadi" w:hAnsi="Abadi"/>
          <w:b w:val="0"/>
          <w:bCs w:val="0"/>
          <w:spacing w:val="-3"/>
          <w:sz w:val="21"/>
          <w:szCs w:val="21"/>
        </w:rPr>
        <w:t xml:space="preserve"> </w:t>
      </w:r>
      <w:r w:rsidRPr="00B94CD4">
        <w:rPr>
          <w:rFonts w:ascii="Abadi" w:hAnsi="Abadi"/>
          <w:b w:val="0"/>
          <w:bCs w:val="0"/>
          <w:sz w:val="21"/>
          <w:szCs w:val="21"/>
        </w:rPr>
        <w:t>el</w:t>
      </w:r>
      <w:r w:rsidRPr="00B94CD4">
        <w:rPr>
          <w:rFonts w:ascii="Abadi" w:hAnsi="Abadi"/>
          <w:b w:val="0"/>
          <w:bCs w:val="0"/>
          <w:spacing w:val="-3"/>
          <w:sz w:val="21"/>
          <w:szCs w:val="21"/>
        </w:rPr>
        <w:t xml:space="preserve"> </w:t>
      </w:r>
      <w:r w:rsidRPr="00B94CD4">
        <w:rPr>
          <w:rFonts w:ascii="Abadi" w:hAnsi="Abadi"/>
          <w:b w:val="0"/>
          <w:bCs w:val="0"/>
          <w:sz w:val="21"/>
          <w:szCs w:val="21"/>
        </w:rPr>
        <w:t>Estado de</w:t>
      </w:r>
      <w:r w:rsidRPr="00B94CD4">
        <w:rPr>
          <w:rFonts w:ascii="Abadi" w:hAnsi="Abadi"/>
          <w:b w:val="0"/>
          <w:bCs w:val="0"/>
          <w:spacing w:val="22"/>
          <w:sz w:val="21"/>
          <w:szCs w:val="21"/>
        </w:rPr>
        <w:t xml:space="preserve"> </w:t>
      </w:r>
      <w:r w:rsidRPr="00B94CD4">
        <w:rPr>
          <w:rFonts w:ascii="Abadi" w:hAnsi="Abadi"/>
          <w:b w:val="0"/>
          <w:bCs w:val="0"/>
          <w:sz w:val="21"/>
          <w:szCs w:val="21"/>
        </w:rPr>
        <w:t>Guanajuato,</w:t>
      </w:r>
      <w:r w:rsidRPr="00B94CD4">
        <w:rPr>
          <w:rFonts w:ascii="Abadi" w:hAnsi="Abadi"/>
          <w:b w:val="0"/>
          <w:bCs w:val="0"/>
          <w:spacing w:val="22"/>
          <w:sz w:val="21"/>
          <w:szCs w:val="21"/>
        </w:rPr>
        <w:t xml:space="preserve"> </w:t>
      </w:r>
      <w:r w:rsidRPr="00B94CD4">
        <w:rPr>
          <w:rFonts w:ascii="Abadi" w:hAnsi="Abadi"/>
          <w:b w:val="0"/>
          <w:bCs w:val="0"/>
          <w:sz w:val="21"/>
          <w:szCs w:val="21"/>
        </w:rPr>
        <w:t>suscrita</w:t>
      </w:r>
      <w:r w:rsidRPr="00B94CD4">
        <w:rPr>
          <w:rFonts w:ascii="Abadi" w:hAnsi="Abadi"/>
          <w:b w:val="0"/>
          <w:bCs w:val="0"/>
          <w:spacing w:val="22"/>
          <w:sz w:val="21"/>
          <w:szCs w:val="21"/>
        </w:rPr>
        <w:t xml:space="preserve"> </w:t>
      </w:r>
      <w:r w:rsidRPr="00B94CD4">
        <w:rPr>
          <w:rFonts w:ascii="Abadi" w:hAnsi="Abadi"/>
          <w:b w:val="0"/>
          <w:bCs w:val="0"/>
          <w:sz w:val="21"/>
          <w:szCs w:val="21"/>
        </w:rPr>
        <w:t>por</w:t>
      </w:r>
      <w:r w:rsidRPr="00B94CD4">
        <w:rPr>
          <w:rFonts w:ascii="Abadi" w:hAnsi="Abadi"/>
          <w:b w:val="0"/>
          <w:bCs w:val="0"/>
          <w:spacing w:val="22"/>
          <w:sz w:val="21"/>
          <w:szCs w:val="21"/>
        </w:rPr>
        <w:t xml:space="preserve"> </w:t>
      </w:r>
      <w:r w:rsidRPr="00B94CD4">
        <w:rPr>
          <w:rFonts w:ascii="Abadi" w:hAnsi="Abadi"/>
          <w:b w:val="0"/>
          <w:bCs w:val="0"/>
          <w:sz w:val="21"/>
          <w:szCs w:val="21"/>
        </w:rPr>
        <w:t>el</w:t>
      </w:r>
      <w:r w:rsidRPr="00B94CD4">
        <w:rPr>
          <w:rFonts w:ascii="Abadi" w:hAnsi="Abadi"/>
          <w:b w:val="0"/>
          <w:bCs w:val="0"/>
          <w:spacing w:val="22"/>
          <w:sz w:val="21"/>
          <w:szCs w:val="21"/>
        </w:rPr>
        <w:t xml:space="preserve"> </w:t>
      </w:r>
      <w:r w:rsidRPr="00B94CD4">
        <w:rPr>
          <w:rFonts w:ascii="Abadi" w:hAnsi="Abadi"/>
          <w:b w:val="0"/>
          <w:bCs w:val="0"/>
          <w:sz w:val="21"/>
          <w:szCs w:val="21"/>
        </w:rPr>
        <w:t>diputado</w:t>
      </w:r>
      <w:r w:rsidRPr="00B94CD4">
        <w:rPr>
          <w:rFonts w:ascii="Abadi" w:hAnsi="Abadi"/>
          <w:b w:val="0"/>
          <w:bCs w:val="0"/>
          <w:spacing w:val="22"/>
          <w:sz w:val="21"/>
          <w:szCs w:val="21"/>
        </w:rPr>
        <w:t xml:space="preserve"> </w:t>
      </w:r>
      <w:r w:rsidRPr="00B94CD4">
        <w:rPr>
          <w:rFonts w:ascii="Abadi" w:hAnsi="Abadi"/>
          <w:b w:val="0"/>
          <w:bCs w:val="0"/>
          <w:sz w:val="21"/>
          <w:szCs w:val="21"/>
        </w:rPr>
        <w:t>Ernesto</w:t>
      </w:r>
      <w:r w:rsidRPr="00B94CD4">
        <w:rPr>
          <w:rFonts w:ascii="Abadi" w:hAnsi="Abadi"/>
          <w:b w:val="0"/>
          <w:bCs w:val="0"/>
          <w:spacing w:val="22"/>
          <w:sz w:val="21"/>
          <w:szCs w:val="21"/>
        </w:rPr>
        <w:t xml:space="preserve"> </w:t>
      </w:r>
      <w:r w:rsidRPr="00B94CD4">
        <w:rPr>
          <w:rFonts w:ascii="Abadi" w:hAnsi="Abadi"/>
          <w:b w:val="0"/>
          <w:bCs w:val="0"/>
          <w:sz w:val="21"/>
          <w:szCs w:val="21"/>
        </w:rPr>
        <w:t>Alejandro</w:t>
      </w:r>
      <w:r w:rsidRPr="00B94CD4">
        <w:rPr>
          <w:rFonts w:ascii="Abadi" w:hAnsi="Abadi"/>
          <w:b w:val="0"/>
          <w:bCs w:val="0"/>
          <w:spacing w:val="22"/>
          <w:sz w:val="21"/>
          <w:szCs w:val="21"/>
        </w:rPr>
        <w:t xml:space="preserve"> </w:t>
      </w:r>
      <w:r w:rsidRPr="00B94CD4">
        <w:rPr>
          <w:rFonts w:ascii="Abadi" w:hAnsi="Abadi"/>
          <w:b w:val="0"/>
          <w:bCs w:val="0"/>
          <w:sz w:val="21"/>
          <w:szCs w:val="21"/>
        </w:rPr>
        <w:t>Prieto</w:t>
      </w:r>
      <w:r w:rsidRPr="00B94CD4">
        <w:rPr>
          <w:rFonts w:ascii="Abadi" w:hAnsi="Abadi"/>
          <w:b w:val="0"/>
          <w:bCs w:val="0"/>
          <w:spacing w:val="22"/>
          <w:sz w:val="21"/>
          <w:szCs w:val="21"/>
        </w:rPr>
        <w:t xml:space="preserve"> </w:t>
      </w:r>
      <w:r w:rsidRPr="00B94CD4">
        <w:rPr>
          <w:rFonts w:ascii="Abadi" w:hAnsi="Abadi"/>
          <w:b w:val="0"/>
          <w:bCs w:val="0"/>
          <w:sz w:val="21"/>
          <w:szCs w:val="21"/>
        </w:rPr>
        <w:t xml:space="preserve">Gallardo integrante del Grupo Parlamentario del Partido MORENA. </w:t>
      </w:r>
      <w:r w:rsidRPr="00B94CD4">
        <w:rPr>
          <w:rFonts w:ascii="Abadi" w:hAnsi="Abadi"/>
          <w:sz w:val="21"/>
          <w:szCs w:val="21"/>
        </w:rPr>
        <w:t>XXIII.-</w:t>
      </w:r>
      <w:r w:rsidRPr="00B94CD4">
        <w:rPr>
          <w:rFonts w:ascii="Abadi" w:hAnsi="Abadi"/>
          <w:b w:val="0"/>
          <w:bCs w:val="0"/>
          <w:sz w:val="21"/>
          <w:szCs w:val="21"/>
        </w:rPr>
        <w:t xml:space="preserve"> Discusión</w:t>
      </w:r>
      <w:r w:rsidRPr="00B94CD4">
        <w:rPr>
          <w:rFonts w:ascii="Abadi" w:hAnsi="Abadi"/>
          <w:b w:val="0"/>
          <w:bCs w:val="0"/>
          <w:spacing w:val="80"/>
          <w:sz w:val="21"/>
          <w:szCs w:val="21"/>
        </w:rPr>
        <w:t xml:space="preserve"> </w:t>
      </w:r>
      <w:r w:rsidRPr="00B94CD4">
        <w:rPr>
          <w:rFonts w:ascii="Abadi" w:hAnsi="Abadi"/>
          <w:b w:val="0"/>
          <w:bCs w:val="0"/>
          <w:sz w:val="21"/>
          <w:szCs w:val="21"/>
        </w:rPr>
        <w:t>y,</w:t>
      </w:r>
      <w:r w:rsidRPr="00B94CD4">
        <w:rPr>
          <w:rFonts w:ascii="Abadi" w:hAnsi="Abadi"/>
          <w:b w:val="0"/>
          <w:bCs w:val="0"/>
          <w:spacing w:val="80"/>
          <w:sz w:val="21"/>
          <w:szCs w:val="21"/>
        </w:rPr>
        <w:t xml:space="preserve"> </w:t>
      </w:r>
      <w:r w:rsidRPr="00B94CD4">
        <w:rPr>
          <w:rFonts w:ascii="Abadi" w:hAnsi="Abadi"/>
          <w:b w:val="0"/>
          <w:bCs w:val="0"/>
          <w:sz w:val="21"/>
          <w:szCs w:val="21"/>
        </w:rPr>
        <w:t>en</w:t>
      </w:r>
      <w:r w:rsidRPr="00B94CD4">
        <w:rPr>
          <w:rFonts w:ascii="Abadi" w:hAnsi="Abadi"/>
          <w:b w:val="0"/>
          <w:bCs w:val="0"/>
          <w:spacing w:val="80"/>
          <w:sz w:val="21"/>
          <w:szCs w:val="21"/>
        </w:rPr>
        <w:t xml:space="preserve"> </w:t>
      </w:r>
      <w:r w:rsidRPr="00B94CD4">
        <w:rPr>
          <w:rFonts w:ascii="Abadi" w:hAnsi="Abadi"/>
          <w:b w:val="0"/>
          <w:bCs w:val="0"/>
          <w:sz w:val="21"/>
          <w:szCs w:val="21"/>
        </w:rPr>
        <w:t>su</w:t>
      </w:r>
      <w:r w:rsidRPr="00B94CD4">
        <w:rPr>
          <w:rFonts w:ascii="Abadi" w:hAnsi="Abadi"/>
          <w:b w:val="0"/>
          <w:bCs w:val="0"/>
          <w:spacing w:val="80"/>
          <w:sz w:val="21"/>
          <w:szCs w:val="21"/>
        </w:rPr>
        <w:t xml:space="preserve"> </w:t>
      </w:r>
      <w:r w:rsidRPr="00B94CD4">
        <w:rPr>
          <w:rFonts w:ascii="Abadi" w:hAnsi="Abadi"/>
          <w:b w:val="0"/>
          <w:bCs w:val="0"/>
          <w:sz w:val="21"/>
          <w:szCs w:val="21"/>
        </w:rPr>
        <w:t>caso,</w:t>
      </w:r>
      <w:r w:rsidRPr="00B94CD4">
        <w:rPr>
          <w:rFonts w:ascii="Abadi" w:hAnsi="Abadi"/>
          <w:b w:val="0"/>
          <w:bCs w:val="0"/>
          <w:spacing w:val="80"/>
          <w:sz w:val="21"/>
          <w:szCs w:val="21"/>
        </w:rPr>
        <w:t xml:space="preserve"> </w:t>
      </w:r>
      <w:r w:rsidRPr="00B94CD4">
        <w:rPr>
          <w:rFonts w:ascii="Abadi" w:hAnsi="Abadi"/>
          <w:b w:val="0"/>
          <w:bCs w:val="0"/>
          <w:sz w:val="21"/>
          <w:szCs w:val="21"/>
        </w:rPr>
        <w:t>aprobación</w:t>
      </w:r>
      <w:r w:rsidRPr="00B94CD4">
        <w:rPr>
          <w:rFonts w:ascii="Abadi" w:hAnsi="Abadi"/>
          <w:b w:val="0"/>
          <w:bCs w:val="0"/>
          <w:spacing w:val="80"/>
          <w:sz w:val="21"/>
          <w:szCs w:val="21"/>
        </w:rPr>
        <w:t xml:space="preserve"> </w:t>
      </w:r>
      <w:r w:rsidRPr="00B94CD4">
        <w:rPr>
          <w:rFonts w:ascii="Abadi" w:hAnsi="Abadi"/>
          <w:b w:val="0"/>
          <w:bCs w:val="0"/>
          <w:sz w:val="21"/>
          <w:szCs w:val="21"/>
        </w:rPr>
        <w:t>del</w:t>
      </w:r>
      <w:r w:rsidRPr="00B94CD4">
        <w:rPr>
          <w:rFonts w:ascii="Abadi" w:hAnsi="Abadi"/>
          <w:b w:val="0"/>
          <w:bCs w:val="0"/>
          <w:spacing w:val="80"/>
          <w:sz w:val="21"/>
          <w:szCs w:val="21"/>
        </w:rPr>
        <w:t xml:space="preserve"> </w:t>
      </w:r>
      <w:r w:rsidRPr="00B94CD4">
        <w:rPr>
          <w:rFonts w:ascii="Abadi" w:hAnsi="Abadi"/>
          <w:b w:val="0"/>
          <w:bCs w:val="0"/>
          <w:sz w:val="21"/>
          <w:szCs w:val="21"/>
        </w:rPr>
        <w:t>dictamen</w:t>
      </w:r>
      <w:r w:rsidRPr="00B94CD4">
        <w:rPr>
          <w:rFonts w:ascii="Abadi" w:hAnsi="Abadi"/>
          <w:b w:val="0"/>
          <w:bCs w:val="0"/>
          <w:spacing w:val="80"/>
          <w:sz w:val="21"/>
          <w:szCs w:val="21"/>
        </w:rPr>
        <w:t xml:space="preserve"> </w:t>
      </w:r>
      <w:r w:rsidRPr="00B94CD4">
        <w:rPr>
          <w:rFonts w:ascii="Abadi" w:hAnsi="Abadi"/>
          <w:b w:val="0"/>
          <w:bCs w:val="0"/>
          <w:sz w:val="21"/>
          <w:szCs w:val="21"/>
        </w:rPr>
        <w:t>presentado</w:t>
      </w:r>
      <w:r w:rsidRPr="00B94CD4">
        <w:rPr>
          <w:rFonts w:ascii="Abadi" w:hAnsi="Abadi"/>
          <w:b w:val="0"/>
          <w:bCs w:val="0"/>
          <w:spacing w:val="80"/>
          <w:sz w:val="21"/>
          <w:szCs w:val="21"/>
        </w:rPr>
        <w:t xml:space="preserve"> </w:t>
      </w:r>
      <w:r w:rsidRPr="00B94CD4">
        <w:rPr>
          <w:rFonts w:ascii="Abadi" w:hAnsi="Abadi"/>
          <w:b w:val="0"/>
          <w:bCs w:val="0"/>
          <w:sz w:val="21"/>
          <w:szCs w:val="21"/>
        </w:rPr>
        <w:t>por</w:t>
      </w:r>
      <w:r w:rsidRPr="00B94CD4">
        <w:rPr>
          <w:rFonts w:ascii="Abadi" w:hAnsi="Abadi"/>
          <w:b w:val="0"/>
          <w:bCs w:val="0"/>
          <w:spacing w:val="80"/>
          <w:sz w:val="21"/>
          <w:szCs w:val="21"/>
        </w:rPr>
        <w:t xml:space="preserve"> </w:t>
      </w:r>
      <w:r w:rsidRPr="00B94CD4">
        <w:rPr>
          <w:rFonts w:ascii="Abadi" w:hAnsi="Abadi"/>
          <w:b w:val="0"/>
          <w:bCs w:val="0"/>
          <w:sz w:val="21"/>
          <w:szCs w:val="21"/>
        </w:rPr>
        <w:t>la</w:t>
      </w:r>
      <w:r w:rsidRPr="00B94CD4">
        <w:rPr>
          <w:rFonts w:ascii="Abadi" w:hAnsi="Abadi"/>
          <w:b w:val="0"/>
          <w:bCs w:val="0"/>
          <w:spacing w:val="-1"/>
          <w:sz w:val="21"/>
          <w:szCs w:val="21"/>
        </w:rPr>
        <w:t xml:space="preserve"> </w:t>
      </w:r>
      <w:r w:rsidRPr="00B94CD4">
        <w:rPr>
          <w:rFonts w:ascii="Abadi" w:hAnsi="Abadi"/>
          <w:b w:val="0"/>
          <w:bCs w:val="0"/>
          <w:sz w:val="21"/>
          <w:szCs w:val="21"/>
        </w:rPr>
        <w:t>Comisión</w:t>
      </w:r>
      <w:r w:rsidRPr="00B94CD4">
        <w:rPr>
          <w:rFonts w:ascii="Abadi" w:hAnsi="Abadi"/>
          <w:b w:val="0"/>
          <w:bCs w:val="0"/>
          <w:spacing w:val="16"/>
          <w:sz w:val="21"/>
          <w:szCs w:val="21"/>
        </w:rPr>
        <w:t xml:space="preserve"> </w:t>
      </w:r>
      <w:r w:rsidRPr="00B94CD4">
        <w:rPr>
          <w:rFonts w:ascii="Abadi" w:hAnsi="Abadi"/>
          <w:b w:val="0"/>
          <w:bCs w:val="0"/>
          <w:sz w:val="21"/>
          <w:szCs w:val="21"/>
        </w:rPr>
        <w:t>de</w:t>
      </w:r>
      <w:r w:rsidRPr="00B94CD4">
        <w:rPr>
          <w:rFonts w:ascii="Abadi" w:hAnsi="Abadi"/>
          <w:b w:val="0"/>
          <w:bCs w:val="0"/>
          <w:spacing w:val="15"/>
          <w:sz w:val="21"/>
          <w:szCs w:val="21"/>
        </w:rPr>
        <w:t xml:space="preserve"> </w:t>
      </w:r>
      <w:r w:rsidRPr="00B94CD4">
        <w:rPr>
          <w:rFonts w:ascii="Abadi" w:hAnsi="Abadi"/>
          <w:b w:val="0"/>
          <w:bCs w:val="0"/>
          <w:sz w:val="21"/>
          <w:szCs w:val="21"/>
        </w:rPr>
        <w:t>Gobernación</w:t>
      </w:r>
      <w:r w:rsidRPr="00B94CD4">
        <w:rPr>
          <w:rFonts w:ascii="Abadi" w:hAnsi="Abadi"/>
          <w:b w:val="0"/>
          <w:bCs w:val="0"/>
          <w:spacing w:val="15"/>
          <w:sz w:val="21"/>
          <w:szCs w:val="21"/>
        </w:rPr>
        <w:t xml:space="preserve"> </w:t>
      </w:r>
      <w:r w:rsidRPr="00B94CD4">
        <w:rPr>
          <w:rFonts w:ascii="Abadi" w:hAnsi="Abadi"/>
          <w:b w:val="0"/>
          <w:bCs w:val="0"/>
          <w:sz w:val="21"/>
          <w:szCs w:val="21"/>
        </w:rPr>
        <w:t>y</w:t>
      </w:r>
      <w:r w:rsidRPr="00B94CD4">
        <w:rPr>
          <w:rFonts w:ascii="Abadi" w:hAnsi="Abadi"/>
          <w:b w:val="0"/>
          <w:bCs w:val="0"/>
          <w:spacing w:val="15"/>
          <w:sz w:val="21"/>
          <w:szCs w:val="21"/>
        </w:rPr>
        <w:t xml:space="preserve"> </w:t>
      </w:r>
      <w:r w:rsidRPr="00B94CD4">
        <w:rPr>
          <w:rFonts w:ascii="Abadi" w:hAnsi="Abadi"/>
          <w:b w:val="0"/>
          <w:bCs w:val="0"/>
          <w:sz w:val="21"/>
          <w:szCs w:val="21"/>
        </w:rPr>
        <w:t>Puntos</w:t>
      </w:r>
      <w:r w:rsidRPr="00B94CD4">
        <w:rPr>
          <w:rFonts w:ascii="Abadi" w:hAnsi="Abadi"/>
          <w:b w:val="0"/>
          <w:bCs w:val="0"/>
          <w:spacing w:val="15"/>
          <w:sz w:val="21"/>
          <w:szCs w:val="21"/>
        </w:rPr>
        <w:t xml:space="preserve"> </w:t>
      </w:r>
      <w:r w:rsidRPr="00B94CD4">
        <w:rPr>
          <w:rFonts w:ascii="Abadi" w:hAnsi="Abadi"/>
          <w:b w:val="0"/>
          <w:bCs w:val="0"/>
          <w:sz w:val="21"/>
          <w:szCs w:val="21"/>
        </w:rPr>
        <w:t>Constitucionales</w:t>
      </w:r>
      <w:r w:rsidRPr="00B94CD4">
        <w:rPr>
          <w:rFonts w:ascii="Abadi" w:hAnsi="Abadi"/>
          <w:b w:val="0"/>
          <w:bCs w:val="0"/>
          <w:spacing w:val="14"/>
          <w:sz w:val="21"/>
          <w:szCs w:val="21"/>
        </w:rPr>
        <w:t xml:space="preserve"> </w:t>
      </w:r>
      <w:r w:rsidRPr="00B94CD4">
        <w:rPr>
          <w:rFonts w:ascii="Abadi" w:hAnsi="Abadi"/>
          <w:b w:val="0"/>
          <w:bCs w:val="0"/>
          <w:sz w:val="21"/>
          <w:szCs w:val="21"/>
        </w:rPr>
        <w:t>relativo</w:t>
      </w:r>
      <w:r w:rsidRPr="00B94CD4">
        <w:rPr>
          <w:rFonts w:ascii="Abadi" w:hAnsi="Abadi"/>
          <w:b w:val="0"/>
          <w:bCs w:val="0"/>
          <w:spacing w:val="15"/>
          <w:sz w:val="21"/>
          <w:szCs w:val="21"/>
        </w:rPr>
        <w:t xml:space="preserve"> </w:t>
      </w:r>
      <w:r w:rsidRPr="00B94CD4">
        <w:rPr>
          <w:rFonts w:ascii="Abadi" w:hAnsi="Abadi"/>
          <w:b w:val="0"/>
          <w:bCs w:val="0"/>
          <w:sz w:val="21"/>
          <w:szCs w:val="21"/>
        </w:rPr>
        <w:t>a</w:t>
      </w:r>
      <w:r w:rsidRPr="00B94CD4">
        <w:rPr>
          <w:rFonts w:ascii="Abadi" w:hAnsi="Abadi"/>
          <w:b w:val="0"/>
          <w:bCs w:val="0"/>
          <w:spacing w:val="15"/>
          <w:sz w:val="21"/>
          <w:szCs w:val="21"/>
        </w:rPr>
        <w:t xml:space="preserve"> </w:t>
      </w:r>
      <w:r w:rsidRPr="00B94CD4">
        <w:rPr>
          <w:rFonts w:ascii="Abadi" w:hAnsi="Abadi"/>
          <w:b w:val="0"/>
          <w:bCs w:val="0"/>
          <w:sz w:val="21"/>
          <w:szCs w:val="21"/>
        </w:rPr>
        <w:t>la</w:t>
      </w:r>
      <w:r w:rsidRPr="00B94CD4">
        <w:rPr>
          <w:rFonts w:ascii="Abadi" w:hAnsi="Abadi"/>
          <w:b w:val="0"/>
          <w:bCs w:val="0"/>
          <w:spacing w:val="15"/>
          <w:sz w:val="21"/>
          <w:szCs w:val="21"/>
        </w:rPr>
        <w:t xml:space="preserve"> </w:t>
      </w:r>
      <w:r w:rsidRPr="00B94CD4">
        <w:rPr>
          <w:rFonts w:ascii="Abadi" w:hAnsi="Abadi"/>
          <w:b w:val="0"/>
          <w:bCs w:val="0"/>
          <w:sz w:val="21"/>
          <w:szCs w:val="21"/>
        </w:rPr>
        <w:t>iniciativa</w:t>
      </w:r>
      <w:r w:rsidRPr="00B94CD4">
        <w:rPr>
          <w:rFonts w:ascii="Abadi" w:hAnsi="Abadi"/>
          <w:b w:val="0"/>
          <w:bCs w:val="0"/>
          <w:spacing w:val="-1"/>
          <w:sz w:val="21"/>
          <w:szCs w:val="21"/>
        </w:rPr>
        <w:t xml:space="preserve"> </w:t>
      </w:r>
      <w:r w:rsidRPr="00B94CD4">
        <w:rPr>
          <w:rFonts w:ascii="Abadi" w:hAnsi="Abadi"/>
          <w:b w:val="0"/>
          <w:bCs w:val="0"/>
          <w:sz w:val="21"/>
          <w:szCs w:val="21"/>
        </w:rPr>
        <w:t>formulada</w:t>
      </w:r>
      <w:r w:rsidRPr="00B94CD4">
        <w:rPr>
          <w:rFonts w:ascii="Abadi" w:hAnsi="Abadi"/>
          <w:b w:val="0"/>
          <w:bCs w:val="0"/>
          <w:spacing w:val="40"/>
          <w:sz w:val="21"/>
          <w:szCs w:val="21"/>
        </w:rPr>
        <w:t xml:space="preserve"> </w:t>
      </w:r>
      <w:r w:rsidRPr="00B94CD4">
        <w:rPr>
          <w:rFonts w:ascii="Abadi" w:hAnsi="Abadi"/>
          <w:b w:val="0"/>
          <w:bCs w:val="0"/>
          <w:sz w:val="21"/>
          <w:szCs w:val="21"/>
        </w:rPr>
        <w:t>por</w:t>
      </w:r>
      <w:r w:rsidRPr="00B94CD4">
        <w:rPr>
          <w:rFonts w:ascii="Abadi" w:hAnsi="Abadi"/>
          <w:b w:val="0"/>
          <w:bCs w:val="0"/>
          <w:spacing w:val="40"/>
          <w:sz w:val="21"/>
          <w:szCs w:val="21"/>
        </w:rPr>
        <w:t xml:space="preserve"> </w:t>
      </w:r>
      <w:r w:rsidRPr="00B94CD4">
        <w:rPr>
          <w:rFonts w:ascii="Abadi" w:hAnsi="Abadi"/>
          <w:b w:val="0"/>
          <w:bCs w:val="0"/>
          <w:sz w:val="21"/>
          <w:szCs w:val="21"/>
        </w:rPr>
        <w:t>la</w:t>
      </w:r>
      <w:r w:rsidRPr="00B94CD4">
        <w:rPr>
          <w:rFonts w:ascii="Abadi" w:hAnsi="Abadi"/>
          <w:b w:val="0"/>
          <w:bCs w:val="0"/>
          <w:spacing w:val="40"/>
          <w:sz w:val="21"/>
          <w:szCs w:val="21"/>
        </w:rPr>
        <w:t xml:space="preserve"> </w:t>
      </w:r>
      <w:r w:rsidRPr="00B94CD4">
        <w:rPr>
          <w:rFonts w:ascii="Abadi" w:hAnsi="Abadi"/>
          <w:b w:val="0"/>
          <w:bCs w:val="0"/>
          <w:sz w:val="21"/>
          <w:szCs w:val="21"/>
        </w:rPr>
        <w:t>diputada</w:t>
      </w:r>
      <w:r w:rsidRPr="00B94CD4">
        <w:rPr>
          <w:rFonts w:ascii="Abadi" w:hAnsi="Abadi"/>
          <w:b w:val="0"/>
          <w:bCs w:val="0"/>
          <w:spacing w:val="40"/>
          <w:sz w:val="21"/>
          <w:szCs w:val="21"/>
        </w:rPr>
        <w:t xml:space="preserve"> </w:t>
      </w:r>
      <w:r w:rsidRPr="00B94CD4">
        <w:rPr>
          <w:rFonts w:ascii="Abadi" w:hAnsi="Abadi"/>
          <w:b w:val="0"/>
          <w:bCs w:val="0"/>
          <w:sz w:val="21"/>
          <w:szCs w:val="21"/>
        </w:rPr>
        <w:t>Hades</w:t>
      </w:r>
      <w:r w:rsidRPr="00B94CD4">
        <w:rPr>
          <w:rFonts w:ascii="Abadi" w:hAnsi="Abadi"/>
          <w:b w:val="0"/>
          <w:bCs w:val="0"/>
          <w:spacing w:val="40"/>
          <w:sz w:val="21"/>
          <w:szCs w:val="21"/>
        </w:rPr>
        <w:t xml:space="preserve"> </w:t>
      </w:r>
      <w:r w:rsidRPr="00B94CD4">
        <w:rPr>
          <w:rFonts w:ascii="Abadi" w:hAnsi="Abadi"/>
          <w:b w:val="0"/>
          <w:bCs w:val="0"/>
          <w:sz w:val="21"/>
          <w:szCs w:val="21"/>
        </w:rPr>
        <w:t>Berenice</w:t>
      </w:r>
      <w:r w:rsidRPr="00B94CD4">
        <w:rPr>
          <w:rFonts w:ascii="Abadi" w:hAnsi="Abadi"/>
          <w:b w:val="0"/>
          <w:bCs w:val="0"/>
          <w:spacing w:val="40"/>
          <w:sz w:val="21"/>
          <w:szCs w:val="21"/>
        </w:rPr>
        <w:t xml:space="preserve"> </w:t>
      </w:r>
      <w:r w:rsidRPr="00B94CD4">
        <w:rPr>
          <w:rFonts w:ascii="Abadi" w:hAnsi="Abadi"/>
          <w:b w:val="0"/>
          <w:bCs w:val="0"/>
          <w:sz w:val="21"/>
          <w:szCs w:val="21"/>
        </w:rPr>
        <w:t>Aguilar</w:t>
      </w:r>
      <w:r w:rsidRPr="00B94CD4">
        <w:rPr>
          <w:rFonts w:ascii="Abadi" w:hAnsi="Abadi"/>
          <w:b w:val="0"/>
          <w:bCs w:val="0"/>
          <w:spacing w:val="40"/>
          <w:sz w:val="21"/>
          <w:szCs w:val="21"/>
        </w:rPr>
        <w:t xml:space="preserve"> </w:t>
      </w:r>
      <w:r w:rsidRPr="00B94CD4">
        <w:rPr>
          <w:rFonts w:ascii="Abadi" w:hAnsi="Abadi"/>
          <w:b w:val="0"/>
          <w:bCs w:val="0"/>
          <w:sz w:val="21"/>
          <w:szCs w:val="21"/>
        </w:rPr>
        <w:t>Castillo</w:t>
      </w:r>
      <w:r w:rsidRPr="00B94CD4">
        <w:rPr>
          <w:rFonts w:ascii="Abadi" w:hAnsi="Abadi"/>
          <w:b w:val="0"/>
          <w:bCs w:val="0"/>
          <w:spacing w:val="40"/>
          <w:sz w:val="21"/>
          <w:szCs w:val="21"/>
        </w:rPr>
        <w:t xml:space="preserve"> </w:t>
      </w:r>
      <w:r w:rsidRPr="00B94CD4">
        <w:rPr>
          <w:rFonts w:ascii="Abadi" w:hAnsi="Abadi"/>
          <w:b w:val="0"/>
          <w:bCs w:val="0"/>
          <w:sz w:val="21"/>
          <w:szCs w:val="21"/>
        </w:rPr>
        <w:t>integrante</w:t>
      </w:r>
      <w:r w:rsidRPr="00B94CD4">
        <w:rPr>
          <w:rFonts w:ascii="Abadi" w:hAnsi="Abadi"/>
          <w:b w:val="0"/>
          <w:bCs w:val="0"/>
          <w:spacing w:val="40"/>
          <w:sz w:val="21"/>
          <w:szCs w:val="21"/>
        </w:rPr>
        <w:t xml:space="preserve"> </w:t>
      </w:r>
      <w:r w:rsidRPr="00B94CD4">
        <w:rPr>
          <w:rFonts w:ascii="Abadi" w:hAnsi="Abadi"/>
          <w:b w:val="0"/>
          <w:bCs w:val="0"/>
          <w:sz w:val="21"/>
          <w:szCs w:val="21"/>
        </w:rPr>
        <w:t>del</w:t>
      </w:r>
      <w:r w:rsidRPr="00B94CD4">
        <w:rPr>
          <w:rFonts w:ascii="Abadi" w:hAnsi="Abadi"/>
          <w:b w:val="0"/>
          <w:bCs w:val="0"/>
          <w:spacing w:val="-1"/>
          <w:sz w:val="21"/>
          <w:szCs w:val="21"/>
        </w:rPr>
        <w:t xml:space="preserve"> </w:t>
      </w:r>
      <w:r w:rsidRPr="00B94CD4">
        <w:rPr>
          <w:rFonts w:ascii="Abadi" w:hAnsi="Abadi"/>
          <w:b w:val="0"/>
          <w:bCs w:val="0"/>
          <w:sz w:val="21"/>
          <w:szCs w:val="21"/>
        </w:rPr>
        <w:t>Grupo</w:t>
      </w:r>
      <w:r w:rsidRPr="00B94CD4">
        <w:rPr>
          <w:rFonts w:ascii="Abadi" w:hAnsi="Abadi"/>
          <w:b w:val="0"/>
          <w:bCs w:val="0"/>
          <w:spacing w:val="-1"/>
          <w:sz w:val="21"/>
          <w:szCs w:val="21"/>
        </w:rPr>
        <w:t xml:space="preserve"> </w:t>
      </w:r>
      <w:r w:rsidRPr="00B94CD4">
        <w:rPr>
          <w:rFonts w:ascii="Abadi" w:hAnsi="Abadi"/>
          <w:b w:val="0"/>
          <w:bCs w:val="0"/>
          <w:sz w:val="21"/>
          <w:szCs w:val="21"/>
        </w:rPr>
        <w:t>Parlamentario del</w:t>
      </w:r>
      <w:r w:rsidRPr="00B94CD4">
        <w:rPr>
          <w:rFonts w:ascii="Abadi" w:hAnsi="Abadi"/>
          <w:b w:val="0"/>
          <w:bCs w:val="0"/>
          <w:spacing w:val="-1"/>
          <w:sz w:val="21"/>
          <w:szCs w:val="21"/>
        </w:rPr>
        <w:t xml:space="preserve"> </w:t>
      </w:r>
      <w:r w:rsidRPr="00B94CD4">
        <w:rPr>
          <w:rFonts w:ascii="Abadi" w:hAnsi="Abadi"/>
          <w:b w:val="0"/>
          <w:bCs w:val="0"/>
          <w:sz w:val="21"/>
          <w:szCs w:val="21"/>
        </w:rPr>
        <w:t>Partido</w:t>
      </w:r>
      <w:r w:rsidRPr="00B94CD4">
        <w:rPr>
          <w:rFonts w:ascii="Abadi" w:hAnsi="Abadi"/>
          <w:b w:val="0"/>
          <w:bCs w:val="0"/>
          <w:spacing w:val="-1"/>
          <w:sz w:val="21"/>
          <w:szCs w:val="21"/>
        </w:rPr>
        <w:t xml:space="preserve"> </w:t>
      </w:r>
      <w:r w:rsidRPr="00B94CD4">
        <w:rPr>
          <w:rFonts w:ascii="Abadi" w:hAnsi="Abadi"/>
          <w:b w:val="0"/>
          <w:bCs w:val="0"/>
          <w:sz w:val="21"/>
          <w:szCs w:val="21"/>
        </w:rPr>
        <w:t>MORENA,</w:t>
      </w:r>
      <w:r w:rsidRPr="00B94CD4">
        <w:rPr>
          <w:rFonts w:ascii="Abadi" w:hAnsi="Abadi"/>
          <w:b w:val="0"/>
          <w:bCs w:val="0"/>
          <w:spacing w:val="-1"/>
          <w:sz w:val="21"/>
          <w:szCs w:val="21"/>
        </w:rPr>
        <w:t xml:space="preserve"> </w:t>
      </w:r>
      <w:r w:rsidRPr="00B94CD4">
        <w:rPr>
          <w:rFonts w:ascii="Abadi" w:hAnsi="Abadi"/>
          <w:b w:val="0"/>
          <w:bCs w:val="0"/>
          <w:sz w:val="21"/>
          <w:szCs w:val="21"/>
        </w:rPr>
        <w:t>a</w:t>
      </w:r>
      <w:r w:rsidRPr="00B94CD4">
        <w:rPr>
          <w:rFonts w:ascii="Abadi" w:hAnsi="Abadi"/>
          <w:b w:val="0"/>
          <w:bCs w:val="0"/>
          <w:spacing w:val="-1"/>
          <w:sz w:val="21"/>
          <w:szCs w:val="21"/>
        </w:rPr>
        <w:t xml:space="preserve"> </w:t>
      </w:r>
      <w:r w:rsidRPr="00B94CD4">
        <w:rPr>
          <w:rFonts w:ascii="Abadi" w:hAnsi="Abadi"/>
          <w:b w:val="0"/>
          <w:bCs w:val="0"/>
          <w:sz w:val="21"/>
          <w:szCs w:val="21"/>
        </w:rPr>
        <w:t>efecto de</w:t>
      </w:r>
      <w:r w:rsidRPr="00B94CD4">
        <w:rPr>
          <w:rFonts w:ascii="Abadi" w:hAnsi="Abadi"/>
          <w:b w:val="0"/>
          <w:bCs w:val="0"/>
          <w:spacing w:val="-1"/>
          <w:sz w:val="21"/>
          <w:szCs w:val="21"/>
        </w:rPr>
        <w:t xml:space="preserve"> </w:t>
      </w:r>
      <w:r w:rsidRPr="00B94CD4">
        <w:rPr>
          <w:rFonts w:ascii="Abadi" w:hAnsi="Abadi"/>
          <w:b w:val="0"/>
          <w:bCs w:val="0"/>
          <w:sz w:val="21"/>
          <w:szCs w:val="21"/>
        </w:rPr>
        <w:t>reformar</w:t>
      </w:r>
      <w:r w:rsidRPr="00B94CD4">
        <w:rPr>
          <w:rFonts w:ascii="Abadi" w:hAnsi="Abadi"/>
          <w:b w:val="0"/>
          <w:bCs w:val="0"/>
          <w:spacing w:val="-1"/>
          <w:sz w:val="21"/>
          <w:szCs w:val="21"/>
        </w:rPr>
        <w:t xml:space="preserve"> </w:t>
      </w:r>
      <w:r w:rsidRPr="00B94CD4">
        <w:rPr>
          <w:rFonts w:ascii="Abadi" w:hAnsi="Abadi"/>
          <w:b w:val="0"/>
          <w:bCs w:val="0"/>
          <w:sz w:val="21"/>
          <w:szCs w:val="21"/>
        </w:rPr>
        <w:t>la</w:t>
      </w:r>
      <w:r w:rsidRPr="00B94CD4">
        <w:rPr>
          <w:rFonts w:ascii="Abadi" w:hAnsi="Abadi"/>
          <w:b w:val="0"/>
          <w:bCs w:val="0"/>
          <w:spacing w:val="-1"/>
          <w:sz w:val="21"/>
          <w:szCs w:val="21"/>
        </w:rPr>
        <w:t xml:space="preserve"> </w:t>
      </w:r>
      <w:r w:rsidRPr="00B94CD4">
        <w:rPr>
          <w:rFonts w:ascii="Abadi" w:hAnsi="Abadi"/>
          <w:b w:val="0"/>
          <w:bCs w:val="0"/>
          <w:sz w:val="21"/>
          <w:szCs w:val="21"/>
        </w:rPr>
        <w:t>fracción</w:t>
      </w:r>
      <w:r w:rsidRPr="00B94CD4">
        <w:rPr>
          <w:rFonts w:ascii="Abadi" w:hAnsi="Abadi"/>
          <w:b w:val="0"/>
          <w:bCs w:val="0"/>
          <w:spacing w:val="-1"/>
          <w:sz w:val="21"/>
          <w:szCs w:val="21"/>
        </w:rPr>
        <w:t xml:space="preserve"> </w:t>
      </w:r>
      <w:r w:rsidRPr="00B94CD4">
        <w:rPr>
          <w:rFonts w:ascii="Abadi" w:hAnsi="Abadi"/>
          <w:b w:val="0"/>
          <w:bCs w:val="0"/>
          <w:sz w:val="21"/>
          <w:szCs w:val="21"/>
        </w:rPr>
        <w:t>IV del artículo 95 de la Constitución Política</w:t>
      </w:r>
      <w:r w:rsidRPr="00B94CD4">
        <w:rPr>
          <w:rFonts w:ascii="Abadi" w:hAnsi="Abadi"/>
          <w:b w:val="0"/>
          <w:bCs w:val="0"/>
          <w:spacing w:val="-1"/>
          <w:sz w:val="21"/>
          <w:szCs w:val="21"/>
        </w:rPr>
        <w:t xml:space="preserve"> </w:t>
      </w:r>
      <w:r w:rsidRPr="00B94CD4">
        <w:rPr>
          <w:rFonts w:ascii="Abadi" w:hAnsi="Abadi"/>
          <w:b w:val="0"/>
          <w:bCs w:val="0"/>
          <w:sz w:val="21"/>
          <w:szCs w:val="21"/>
        </w:rPr>
        <w:t xml:space="preserve">para el Estado de Guanajuato. </w:t>
      </w:r>
      <w:r w:rsidRPr="00B94CD4">
        <w:rPr>
          <w:rFonts w:ascii="Abadi" w:hAnsi="Abadi"/>
          <w:sz w:val="21"/>
          <w:szCs w:val="21"/>
        </w:rPr>
        <w:t>XXIV.-</w:t>
      </w:r>
      <w:r w:rsidRPr="00B94CD4">
        <w:rPr>
          <w:rFonts w:ascii="Abadi" w:hAnsi="Abadi"/>
          <w:b w:val="0"/>
          <w:bCs w:val="0"/>
          <w:sz w:val="21"/>
          <w:szCs w:val="21"/>
        </w:rPr>
        <w:t xml:space="preserve"> Discusión</w:t>
      </w:r>
      <w:r w:rsidRPr="00B94CD4">
        <w:rPr>
          <w:rFonts w:ascii="Abadi" w:hAnsi="Abadi"/>
          <w:b w:val="0"/>
          <w:bCs w:val="0"/>
          <w:spacing w:val="80"/>
          <w:sz w:val="21"/>
          <w:szCs w:val="21"/>
        </w:rPr>
        <w:t xml:space="preserve"> </w:t>
      </w:r>
      <w:r w:rsidRPr="00B94CD4">
        <w:rPr>
          <w:rFonts w:ascii="Abadi" w:hAnsi="Abadi"/>
          <w:b w:val="0"/>
          <w:bCs w:val="0"/>
          <w:sz w:val="21"/>
          <w:szCs w:val="21"/>
        </w:rPr>
        <w:t>y,</w:t>
      </w:r>
      <w:r w:rsidRPr="00B94CD4">
        <w:rPr>
          <w:rFonts w:ascii="Abadi" w:hAnsi="Abadi"/>
          <w:b w:val="0"/>
          <w:bCs w:val="0"/>
          <w:spacing w:val="80"/>
          <w:sz w:val="21"/>
          <w:szCs w:val="21"/>
        </w:rPr>
        <w:t xml:space="preserve"> </w:t>
      </w:r>
      <w:r w:rsidRPr="00B94CD4">
        <w:rPr>
          <w:rFonts w:ascii="Abadi" w:hAnsi="Abadi"/>
          <w:b w:val="0"/>
          <w:bCs w:val="0"/>
          <w:sz w:val="21"/>
          <w:szCs w:val="21"/>
        </w:rPr>
        <w:t>en</w:t>
      </w:r>
      <w:r w:rsidRPr="00B94CD4">
        <w:rPr>
          <w:rFonts w:ascii="Abadi" w:hAnsi="Abadi"/>
          <w:b w:val="0"/>
          <w:bCs w:val="0"/>
          <w:spacing w:val="80"/>
          <w:sz w:val="21"/>
          <w:szCs w:val="21"/>
        </w:rPr>
        <w:t xml:space="preserve"> </w:t>
      </w:r>
      <w:r w:rsidRPr="00B94CD4">
        <w:rPr>
          <w:rFonts w:ascii="Abadi" w:hAnsi="Abadi"/>
          <w:b w:val="0"/>
          <w:bCs w:val="0"/>
          <w:sz w:val="21"/>
          <w:szCs w:val="21"/>
        </w:rPr>
        <w:t>su</w:t>
      </w:r>
      <w:r w:rsidRPr="00B94CD4">
        <w:rPr>
          <w:rFonts w:ascii="Abadi" w:hAnsi="Abadi"/>
          <w:b w:val="0"/>
          <w:bCs w:val="0"/>
          <w:spacing w:val="80"/>
          <w:sz w:val="21"/>
          <w:szCs w:val="21"/>
        </w:rPr>
        <w:t xml:space="preserve"> </w:t>
      </w:r>
      <w:r w:rsidRPr="00B94CD4">
        <w:rPr>
          <w:rFonts w:ascii="Abadi" w:hAnsi="Abadi"/>
          <w:b w:val="0"/>
          <w:bCs w:val="0"/>
          <w:sz w:val="21"/>
          <w:szCs w:val="21"/>
        </w:rPr>
        <w:t>caso,</w:t>
      </w:r>
      <w:r w:rsidRPr="00B94CD4">
        <w:rPr>
          <w:rFonts w:ascii="Abadi" w:hAnsi="Abadi"/>
          <w:b w:val="0"/>
          <w:bCs w:val="0"/>
          <w:spacing w:val="80"/>
          <w:sz w:val="21"/>
          <w:szCs w:val="21"/>
        </w:rPr>
        <w:t xml:space="preserve"> </w:t>
      </w:r>
      <w:r w:rsidRPr="00B94CD4">
        <w:rPr>
          <w:rFonts w:ascii="Abadi" w:hAnsi="Abadi"/>
          <w:b w:val="0"/>
          <w:bCs w:val="0"/>
          <w:sz w:val="21"/>
          <w:szCs w:val="21"/>
        </w:rPr>
        <w:t>aprobación</w:t>
      </w:r>
      <w:r w:rsidRPr="00B94CD4">
        <w:rPr>
          <w:rFonts w:ascii="Abadi" w:hAnsi="Abadi"/>
          <w:b w:val="0"/>
          <w:bCs w:val="0"/>
          <w:spacing w:val="80"/>
          <w:sz w:val="21"/>
          <w:szCs w:val="21"/>
        </w:rPr>
        <w:t xml:space="preserve"> </w:t>
      </w:r>
      <w:r w:rsidRPr="00B94CD4">
        <w:rPr>
          <w:rFonts w:ascii="Abadi" w:hAnsi="Abadi"/>
          <w:b w:val="0"/>
          <w:bCs w:val="0"/>
          <w:sz w:val="21"/>
          <w:szCs w:val="21"/>
        </w:rPr>
        <w:t>del</w:t>
      </w:r>
      <w:r w:rsidRPr="00B94CD4">
        <w:rPr>
          <w:rFonts w:ascii="Abadi" w:hAnsi="Abadi"/>
          <w:b w:val="0"/>
          <w:bCs w:val="0"/>
          <w:spacing w:val="80"/>
          <w:sz w:val="21"/>
          <w:szCs w:val="21"/>
        </w:rPr>
        <w:t xml:space="preserve"> </w:t>
      </w:r>
      <w:r w:rsidRPr="00B94CD4">
        <w:rPr>
          <w:rFonts w:ascii="Abadi" w:hAnsi="Abadi"/>
          <w:b w:val="0"/>
          <w:bCs w:val="0"/>
          <w:sz w:val="21"/>
          <w:szCs w:val="21"/>
        </w:rPr>
        <w:t>dictamen</w:t>
      </w:r>
      <w:r w:rsidRPr="00B94CD4">
        <w:rPr>
          <w:rFonts w:ascii="Abadi" w:hAnsi="Abadi"/>
          <w:b w:val="0"/>
          <w:bCs w:val="0"/>
          <w:spacing w:val="80"/>
          <w:sz w:val="21"/>
          <w:szCs w:val="21"/>
        </w:rPr>
        <w:t xml:space="preserve"> </w:t>
      </w:r>
      <w:r w:rsidRPr="00B94CD4">
        <w:rPr>
          <w:rFonts w:ascii="Abadi" w:hAnsi="Abadi"/>
          <w:b w:val="0"/>
          <w:bCs w:val="0"/>
          <w:sz w:val="21"/>
          <w:szCs w:val="21"/>
        </w:rPr>
        <w:t>presentado</w:t>
      </w:r>
      <w:r w:rsidRPr="00B94CD4">
        <w:rPr>
          <w:rFonts w:ascii="Abadi" w:hAnsi="Abadi"/>
          <w:b w:val="0"/>
          <w:bCs w:val="0"/>
          <w:spacing w:val="80"/>
          <w:sz w:val="21"/>
          <w:szCs w:val="21"/>
        </w:rPr>
        <w:t xml:space="preserve"> </w:t>
      </w:r>
      <w:r w:rsidRPr="00B94CD4">
        <w:rPr>
          <w:rFonts w:ascii="Abadi" w:hAnsi="Abadi"/>
          <w:b w:val="0"/>
          <w:bCs w:val="0"/>
          <w:sz w:val="21"/>
          <w:szCs w:val="21"/>
        </w:rPr>
        <w:t>por</w:t>
      </w:r>
      <w:r w:rsidRPr="00B94CD4">
        <w:rPr>
          <w:rFonts w:ascii="Abadi" w:hAnsi="Abadi"/>
          <w:b w:val="0"/>
          <w:bCs w:val="0"/>
          <w:spacing w:val="80"/>
          <w:sz w:val="21"/>
          <w:szCs w:val="21"/>
        </w:rPr>
        <w:t xml:space="preserve"> </w:t>
      </w:r>
      <w:r w:rsidRPr="00B94CD4">
        <w:rPr>
          <w:rFonts w:ascii="Abadi" w:hAnsi="Abadi"/>
          <w:b w:val="0"/>
          <w:bCs w:val="0"/>
          <w:sz w:val="21"/>
          <w:szCs w:val="21"/>
        </w:rPr>
        <w:t>la</w:t>
      </w:r>
      <w:r w:rsidRPr="00B94CD4">
        <w:rPr>
          <w:rFonts w:ascii="Abadi" w:hAnsi="Abadi"/>
          <w:b w:val="0"/>
          <w:bCs w:val="0"/>
          <w:spacing w:val="-1"/>
          <w:sz w:val="21"/>
          <w:szCs w:val="21"/>
        </w:rPr>
        <w:t xml:space="preserve"> </w:t>
      </w:r>
      <w:r w:rsidRPr="00B94CD4">
        <w:rPr>
          <w:rFonts w:ascii="Abadi" w:hAnsi="Abadi"/>
          <w:b w:val="0"/>
          <w:bCs w:val="0"/>
          <w:sz w:val="21"/>
          <w:szCs w:val="21"/>
        </w:rPr>
        <w:t>Comisión</w:t>
      </w:r>
      <w:r w:rsidRPr="00B94CD4">
        <w:rPr>
          <w:rFonts w:ascii="Abadi" w:hAnsi="Abadi"/>
          <w:b w:val="0"/>
          <w:bCs w:val="0"/>
          <w:spacing w:val="15"/>
          <w:sz w:val="21"/>
          <w:szCs w:val="21"/>
        </w:rPr>
        <w:t xml:space="preserve"> </w:t>
      </w:r>
      <w:r w:rsidRPr="00B94CD4">
        <w:rPr>
          <w:rFonts w:ascii="Abadi" w:hAnsi="Abadi"/>
          <w:b w:val="0"/>
          <w:bCs w:val="0"/>
          <w:sz w:val="21"/>
          <w:szCs w:val="21"/>
        </w:rPr>
        <w:t>de</w:t>
      </w:r>
      <w:r w:rsidRPr="00B94CD4">
        <w:rPr>
          <w:rFonts w:ascii="Abadi" w:hAnsi="Abadi"/>
          <w:b w:val="0"/>
          <w:bCs w:val="0"/>
          <w:spacing w:val="14"/>
          <w:sz w:val="21"/>
          <w:szCs w:val="21"/>
        </w:rPr>
        <w:t xml:space="preserve"> </w:t>
      </w:r>
      <w:r w:rsidRPr="00B94CD4">
        <w:rPr>
          <w:rFonts w:ascii="Abadi" w:hAnsi="Abadi"/>
          <w:b w:val="0"/>
          <w:bCs w:val="0"/>
          <w:sz w:val="21"/>
          <w:szCs w:val="21"/>
        </w:rPr>
        <w:t>Gobernación</w:t>
      </w:r>
      <w:r w:rsidRPr="00B94CD4">
        <w:rPr>
          <w:rFonts w:ascii="Abadi" w:hAnsi="Abadi"/>
          <w:b w:val="0"/>
          <w:bCs w:val="0"/>
          <w:spacing w:val="14"/>
          <w:sz w:val="21"/>
          <w:szCs w:val="21"/>
        </w:rPr>
        <w:t xml:space="preserve"> </w:t>
      </w:r>
      <w:r w:rsidRPr="00B94CD4">
        <w:rPr>
          <w:rFonts w:ascii="Abadi" w:hAnsi="Abadi"/>
          <w:b w:val="0"/>
          <w:bCs w:val="0"/>
          <w:sz w:val="21"/>
          <w:szCs w:val="21"/>
        </w:rPr>
        <w:t>y</w:t>
      </w:r>
      <w:r w:rsidRPr="00B94CD4">
        <w:rPr>
          <w:rFonts w:ascii="Abadi" w:hAnsi="Abadi"/>
          <w:b w:val="0"/>
          <w:bCs w:val="0"/>
          <w:spacing w:val="14"/>
          <w:sz w:val="21"/>
          <w:szCs w:val="21"/>
        </w:rPr>
        <w:t xml:space="preserve"> </w:t>
      </w:r>
      <w:r w:rsidRPr="00B94CD4">
        <w:rPr>
          <w:rFonts w:ascii="Abadi" w:hAnsi="Abadi"/>
          <w:b w:val="0"/>
          <w:bCs w:val="0"/>
          <w:sz w:val="21"/>
          <w:szCs w:val="21"/>
        </w:rPr>
        <w:t>Puntos</w:t>
      </w:r>
      <w:r w:rsidRPr="00B94CD4">
        <w:rPr>
          <w:rFonts w:ascii="Abadi" w:hAnsi="Abadi"/>
          <w:b w:val="0"/>
          <w:bCs w:val="0"/>
          <w:spacing w:val="14"/>
          <w:sz w:val="21"/>
          <w:szCs w:val="21"/>
        </w:rPr>
        <w:t xml:space="preserve"> </w:t>
      </w:r>
      <w:r w:rsidRPr="00B94CD4">
        <w:rPr>
          <w:rFonts w:ascii="Abadi" w:hAnsi="Abadi"/>
          <w:b w:val="0"/>
          <w:bCs w:val="0"/>
          <w:sz w:val="21"/>
          <w:szCs w:val="21"/>
        </w:rPr>
        <w:t>Constitucionales</w:t>
      </w:r>
      <w:r w:rsidRPr="00B94CD4">
        <w:rPr>
          <w:rFonts w:ascii="Abadi" w:hAnsi="Abadi"/>
          <w:b w:val="0"/>
          <w:bCs w:val="0"/>
          <w:spacing w:val="13"/>
          <w:sz w:val="21"/>
          <w:szCs w:val="21"/>
        </w:rPr>
        <w:t xml:space="preserve"> </w:t>
      </w:r>
      <w:r w:rsidRPr="00B94CD4">
        <w:rPr>
          <w:rFonts w:ascii="Abadi" w:hAnsi="Abadi"/>
          <w:b w:val="0"/>
          <w:bCs w:val="0"/>
          <w:sz w:val="21"/>
          <w:szCs w:val="21"/>
        </w:rPr>
        <w:t>relativo</w:t>
      </w:r>
      <w:r w:rsidRPr="00B94CD4">
        <w:rPr>
          <w:rFonts w:ascii="Abadi" w:hAnsi="Abadi"/>
          <w:b w:val="0"/>
          <w:bCs w:val="0"/>
          <w:spacing w:val="14"/>
          <w:sz w:val="21"/>
          <w:szCs w:val="21"/>
        </w:rPr>
        <w:t xml:space="preserve"> </w:t>
      </w:r>
      <w:r w:rsidRPr="00B94CD4">
        <w:rPr>
          <w:rFonts w:ascii="Abadi" w:hAnsi="Abadi"/>
          <w:b w:val="0"/>
          <w:bCs w:val="0"/>
          <w:sz w:val="21"/>
          <w:szCs w:val="21"/>
        </w:rPr>
        <w:t>a</w:t>
      </w:r>
      <w:r w:rsidRPr="00B94CD4">
        <w:rPr>
          <w:rFonts w:ascii="Abadi" w:hAnsi="Abadi"/>
          <w:b w:val="0"/>
          <w:bCs w:val="0"/>
          <w:spacing w:val="14"/>
          <w:sz w:val="21"/>
          <w:szCs w:val="21"/>
        </w:rPr>
        <w:t xml:space="preserve"> </w:t>
      </w:r>
      <w:r w:rsidRPr="00B94CD4">
        <w:rPr>
          <w:rFonts w:ascii="Abadi" w:hAnsi="Abadi"/>
          <w:b w:val="0"/>
          <w:bCs w:val="0"/>
          <w:sz w:val="21"/>
          <w:szCs w:val="21"/>
        </w:rPr>
        <w:t>la</w:t>
      </w:r>
      <w:r w:rsidRPr="00B94CD4">
        <w:rPr>
          <w:rFonts w:ascii="Abadi" w:hAnsi="Abadi"/>
          <w:b w:val="0"/>
          <w:bCs w:val="0"/>
          <w:spacing w:val="14"/>
          <w:sz w:val="21"/>
          <w:szCs w:val="21"/>
        </w:rPr>
        <w:t xml:space="preserve"> </w:t>
      </w:r>
      <w:r w:rsidRPr="00B94CD4">
        <w:rPr>
          <w:rFonts w:ascii="Abadi" w:hAnsi="Abadi"/>
          <w:b w:val="0"/>
          <w:bCs w:val="0"/>
          <w:sz w:val="21"/>
          <w:szCs w:val="21"/>
        </w:rPr>
        <w:t>iniciativa</w:t>
      </w:r>
      <w:r w:rsidRPr="00B94CD4">
        <w:rPr>
          <w:rFonts w:ascii="Abadi" w:hAnsi="Abadi"/>
          <w:b w:val="0"/>
          <w:bCs w:val="0"/>
          <w:spacing w:val="-1"/>
          <w:sz w:val="21"/>
          <w:szCs w:val="21"/>
        </w:rPr>
        <w:t xml:space="preserve"> </w:t>
      </w:r>
      <w:r w:rsidRPr="00B94CD4">
        <w:rPr>
          <w:rFonts w:ascii="Abadi" w:hAnsi="Abadi"/>
          <w:b w:val="0"/>
          <w:bCs w:val="0"/>
          <w:sz w:val="21"/>
          <w:szCs w:val="21"/>
        </w:rPr>
        <w:t>suscrita</w:t>
      </w:r>
      <w:r w:rsidRPr="00B94CD4">
        <w:rPr>
          <w:rFonts w:ascii="Abadi" w:hAnsi="Abadi"/>
          <w:b w:val="0"/>
          <w:bCs w:val="0"/>
          <w:spacing w:val="22"/>
          <w:sz w:val="21"/>
          <w:szCs w:val="21"/>
        </w:rPr>
        <w:t xml:space="preserve"> </w:t>
      </w:r>
      <w:r w:rsidRPr="00B94CD4">
        <w:rPr>
          <w:rFonts w:ascii="Abadi" w:hAnsi="Abadi"/>
          <w:b w:val="0"/>
          <w:bCs w:val="0"/>
          <w:sz w:val="21"/>
          <w:szCs w:val="21"/>
        </w:rPr>
        <w:t>por</w:t>
      </w:r>
      <w:r w:rsidRPr="00B94CD4">
        <w:rPr>
          <w:rFonts w:ascii="Abadi" w:hAnsi="Abadi"/>
          <w:b w:val="0"/>
          <w:bCs w:val="0"/>
          <w:spacing w:val="22"/>
          <w:sz w:val="21"/>
          <w:szCs w:val="21"/>
        </w:rPr>
        <w:t xml:space="preserve"> </w:t>
      </w:r>
      <w:r w:rsidRPr="00B94CD4">
        <w:rPr>
          <w:rFonts w:ascii="Abadi" w:hAnsi="Abadi"/>
          <w:b w:val="0"/>
          <w:bCs w:val="0"/>
          <w:sz w:val="21"/>
          <w:szCs w:val="21"/>
        </w:rPr>
        <w:t>la</w:t>
      </w:r>
      <w:r w:rsidRPr="00B94CD4">
        <w:rPr>
          <w:rFonts w:ascii="Abadi" w:hAnsi="Abadi"/>
          <w:b w:val="0"/>
          <w:bCs w:val="0"/>
          <w:spacing w:val="22"/>
          <w:sz w:val="21"/>
          <w:szCs w:val="21"/>
        </w:rPr>
        <w:t xml:space="preserve"> </w:t>
      </w:r>
      <w:r w:rsidRPr="00B94CD4">
        <w:rPr>
          <w:rFonts w:ascii="Abadi" w:hAnsi="Abadi"/>
          <w:b w:val="0"/>
          <w:bCs w:val="0"/>
          <w:sz w:val="21"/>
          <w:szCs w:val="21"/>
        </w:rPr>
        <w:t>diputada</w:t>
      </w:r>
      <w:r w:rsidRPr="00B94CD4">
        <w:rPr>
          <w:rFonts w:ascii="Abadi" w:hAnsi="Abadi"/>
          <w:b w:val="0"/>
          <w:bCs w:val="0"/>
          <w:spacing w:val="22"/>
          <w:sz w:val="21"/>
          <w:szCs w:val="21"/>
        </w:rPr>
        <w:t xml:space="preserve"> </w:t>
      </w:r>
      <w:r w:rsidRPr="00B94CD4">
        <w:rPr>
          <w:rFonts w:ascii="Abadi" w:hAnsi="Abadi"/>
          <w:b w:val="0"/>
          <w:bCs w:val="0"/>
          <w:sz w:val="21"/>
          <w:szCs w:val="21"/>
        </w:rPr>
        <w:t>Alma</w:t>
      </w:r>
      <w:r w:rsidRPr="00B94CD4">
        <w:rPr>
          <w:rFonts w:ascii="Abadi" w:hAnsi="Abadi"/>
          <w:b w:val="0"/>
          <w:bCs w:val="0"/>
          <w:spacing w:val="22"/>
          <w:sz w:val="21"/>
          <w:szCs w:val="21"/>
        </w:rPr>
        <w:t xml:space="preserve"> </w:t>
      </w:r>
      <w:r w:rsidRPr="00B94CD4">
        <w:rPr>
          <w:rFonts w:ascii="Abadi" w:hAnsi="Abadi"/>
          <w:b w:val="0"/>
          <w:bCs w:val="0"/>
          <w:sz w:val="21"/>
          <w:szCs w:val="21"/>
        </w:rPr>
        <w:t>Edwviges</w:t>
      </w:r>
      <w:r w:rsidRPr="00B94CD4">
        <w:rPr>
          <w:rFonts w:ascii="Abadi" w:hAnsi="Abadi"/>
          <w:b w:val="0"/>
          <w:bCs w:val="0"/>
          <w:spacing w:val="22"/>
          <w:sz w:val="21"/>
          <w:szCs w:val="21"/>
        </w:rPr>
        <w:t xml:space="preserve"> </w:t>
      </w:r>
      <w:r w:rsidRPr="00B94CD4">
        <w:rPr>
          <w:rFonts w:ascii="Abadi" w:hAnsi="Abadi"/>
          <w:b w:val="0"/>
          <w:bCs w:val="0"/>
          <w:sz w:val="21"/>
          <w:szCs w:val="21"/>
        </w:rPr>
        <w:t>Alcaraz</w:t>
      </w:r>
      <w:r w:rsidRPr="00B94CD4">
        <w:rPr>
          <w:rFonts w:ascii="Abadi" w:hAnsi="Abadi"/>
          <w:b w:val="0"/>
          <w:bCs w:val="0"/>
          <w:spacing w:val="22"/>
          <w:sz w:val="21"/>
          <w:szCs w:val="21"/>
        </w:rPr>
        <w:t xml:space="preserve"> </w:t>
      </w:r>
      <w:r w:rsidRPr="00B94CD4">
        <w:rPr>
          <w:rFonts w:ascii="Abadi" w:hAnsi="Abadi"/>
          <w:b w:val="0"/>
          <w:bCs w:val="0"/>
          <w:sz w:val="21"/>
          <w:szCs w:val="21"/>
        </w:rPr>
        <w:t>Hernández</w:t>
      </w:r>
      <w:r w:rsidRPr="00B94CD4">
        <w:rPr>
          <w:rFonts w:ascii="Abadi" w:hAnsi="Abadi"/>
          <w:b w:val="0"/>
          <w:bCs w:val="0"/>
          <w:spacing w:val="22"/>
          <w:sz w:val="21"/>
          <w:szCs w:val="21"/>
        </w:rPr>
        <w:t xml:space="preserve"> </w:t>
      </w:r>
      <w:r w:rsidRPr="00B94CD4">
        <w:rPr>
          <w:rFonts w:ascii="Abadi" w:hAnsi="Abadi"/>
          <w:b w:val="0"/>
          <w:bCs w:val="0"/>
          <w:sz w:val="21"/>
          <w:szCs w:val="21"/>
        </w:rPr>
        <w:t>integrante</w:t>
      </w:r>
      <w:r w:rsidRPr="00B94CD4">
        <w:rPr>
          <w:rFonts w:ascii="Abadi" w:hAnsi="Abadi"/>
          <w:b w:val="0"/>
          <w:bCs w:val="0"/>
          <w:spacing w:val="22"/>
          <w:sz w:val="21"/>
          <w:szCs w:val="21"/>
        </w:rPr>
        <w:t xml:space="preserve"> </w:t>
      </w:r>
      <w:r w:rsidRPr="00B94CD4">
        <w:rPr>
          <w:rFonts w:ascii="Abadi" w:hAnsi="Abadi"/>
          <w:b w:val="0"/>
          <w:bCs w:val="0"/>
          <w:sz w:val="21"/>
          <w:szCs w:val="21"/>
        </w:rPr>
        <w:t>del</w:t>
      </w:r>
      <w:r w:rsidRPr="00B94CD4">
        <w:rPr>
          <w:rFonts w:ascii="Abadi" w:hAnsi="Abadi"/>
          <w:b w:val="0"/>
          <w:bCs w:val="0"/>
          <w:spacing w:val="-1"/>
          <w:sz w:val="21"/>
          <w:szCs w:val="21"/>
        </w:rPr>
        <w:t xml:space="preserve"> </w:t>
      </w:r>
      <w:r w:rsidRPr="00B94CD4">
        <w:rPr>
          <w:rFonts w:ascii="Abadi" w:hAnsi="Abadi"/>
          <w:b w:val="0"/>
          <w:bCs w:val="0"/>
          <w:sz w:val="21"/>
          <w:szCs w:val="21"/>
        </w:rPr>
        <w:t>Grupo</w:t>
      </w:r>
      <w:r w:rsidRPr="00B94CD4">
        <w:rPr>
          <w:rFonts w:ascii="Abadi" w:hAnsi="Abadi"/>
          <w:b w:val="0"/>
          <w:bCs w:val="0"/>
          <w:spacing w:val="4"/>
          <w:sz w:val="21"/>
          <w:szCs w:val="21"/>
        </w:rPr>
        <w:t xml:space="preserve"> </w:t>
      </w:r>
      <w:r w:rsidRPr="00B94CD4">
        <w:rPr>
          <w:rFonts w:ascii="Abadi" w:hAnsi="Abadi"/>
          <w:b w:val="0"/>
          <w:bCs w:val="0"/>
          <w:sz w:val="21"/>
          <w:szCs w:val="21"/>
        </w:rPr>
        <w:t>Parlamentario</w:t>
      </w:r>
      <w:r w:rsidRPr="00B94CD4">
        <w:rPr>
          <w:rFonts w:ascii="Abadi" w:hAnsi="Abadi"/>
          <w:b w:val="0"/>
          <w:bCs w:val="0"/>
          <w:spacing w:val="4"/>
          <w:sz w:val="21"/>
          <w:szCs w:val="21"/>
        </w:rPr>
        <w:t xml:space="preserve"> </w:t>
      </w:r>
      <w:r w:rsidRPr="00B94CD4">
        <w:rPr>
          <w:rFonts w:ascii="Abadi" w:hAnsi="Abadi"/>
          <w:b w:val="0"/>
          <w:bCs w:val="0"/>
          <w:sz w:val="21"/>
          <w:szCs w:val="21"/>
        </w:rPr>
        <w:t>del</w:t>
      </w:r>
      <w:r w:rsidRPr="00B94CD4">
        <w:rPr>
          <w:rFonts w:ascii="Abadi" w:hAnsi="Abadi"/>
          <w:b w:val="0"/>
          <w:bCs w:val="0"/>
          <w:spacing w:val="4"/>
          <w:sz w:val="21"/>
          <w:szCs w:val="21"/>
        </w:rPr>
        <w:t xml:space="preserve"> </w:t>
      </w:r>
      <w:r w:rsidRPr="00B94CD4">
        <w:rPr>
          <w:rFonts w:ascii="Abadi" w:hAnsi="Abadi"/>
          <w:b w:val="0"/>
          <w:bCs w:val="0"/>
          <w:sz w:val="21"/>
          <w:szCs w:val="21"/>
        </w:rPr>
        <w:t>Partido</w:t>
      </w:r>
      <w:r w:rsidRPr="00B94CD4">
        <w:rPr>
          <w:rFonts w:ascii="Abadi" w:hAnsi="Abadi"/>
          <w:b w:val="0"/>
          <w:bCs w:val="0"/>
          <w:spacing w:val="4"/>
          <w:sz w:val="21"/>
          <w:szCs w:val="21"/>
        </w:rPr>
        <w:t xml:space="preserve"> </w:t>
      </w:r>
      <w:r w:rsidRPr="00B94CD4">
        <w:rPr>
          <w:rFonts w:ascii="Abadi" w:hAnsi="Abadi"/>
          <w:b w:val="0"/>
          <w:bCs w:val="0"/>
          <w:sz w:val="21"/>
          <w:szCs w:val="21"/>
        </w:rPr>
        <w:t>MORENA,</w:t>
      </w:r>
      <w:r w:rsidRPr="00B94CD4">
        <w:rPr>
          <w:rFonts w:ascii="Abadi" w:hAnsi="Abadi"/>
          <w:b w:val="0"/>
          <w:bCs w:val="0"/>
          <w:spacing w:val="4"/>
          <w:sz w:val="21"/>
          <w:szCs w:val="21"/>
        </w:rPr>
        <w:t xml:space="preserve"> </w:t>
      </w:r>
      <w:r w:rsidRPr="00B94CD4">
        <w:rPr>
          <w:rFonts w:ascii="Abadi" w:hAnsi="Abadi"/>
          <w:b w:val="0"/>
          <w:bCs w:val="0"/>
          <w:sz w:val="21"/>
          <w:szCs w:val="21"/>
        </w:rPr>
        <w:t>a</w:t>
      </w:r>
      <w:r w:rsidRPr="00B94CD4">
        <w:rPr>
          <w:rFonts w:ascii="Abadi" w:hAnsi="Abadi"/>
          <w:b w:val="0"/>
          <w:bCs w:val="0"/>
          <w:spacing w:val="4"/>
          <w:sz w:val="21"/>
          <w:szCs w:val="21"/>
        </w:rPr>
        <w:t xml:space="preserve"> </w:t>
      </w:r>
      <w:r w:rsidRPr="00B94CD4">
        <w:rPr>
          <w:rFonts w:ascii="Abadi" w:hAnsi="Abadi"/>
          <w:b w:val="0"/>
          <w:bCs w:val="0"/>
          <w:sz w:val="21"/>
          <w:szCs w:val="21"/>
        </w:rPr>
        <w:t>efecto</w:t>
      </w:r>
      <w:r w:rsidRPr="00B94CD4">
        <w:rPr>
          <w:rFonts w:ascii="Abadi" w:hAnsi="Abadi"/>
          <w:b w:val="0"/>
          <w:bCs w:val="0"/>
          <w:spacing w:val="4"/>
          <w:sz w:val="21"/>
          <w:szCs w:val="21"/>
        </w:rPr>
        <w:t xml:space="preserve"> </w:t>
      </w:r>
      <w:r w:rsidRPr="00B94CD4">
        <w:rPr>
          <w:rFonts w:ascii="Abadi" w:hAnsi="Abadi"/>
          <w:b w:val="0"/>
          <w:bCs w:val="0"/>
          <w:sz w:val="21"/>
          <w:szCs w:val="21"/>
        </w:rPr>
        <w:t>de</w:t>
      </w:r>
      <w:r w:rsidRPr="00B94CD4">
        <w:rPr>
          <w:rFonts w:ascii="Abadi" w:hAnsi="Abadi"/>
          <w:b w:val="0"/>
          <w:bCs w:val="0"/>
          <w:spacing w:val="4"/>
          <w:sz w:val="21"/>
          <w:szCs w:val="21"/>
        </w:rPr>
        <w:t xml:space="preserve"> </w:t>
      </w:r>
      <w:r w:rsidRPr="00B94CD4">
        <w:rPr>
          <w:rFonts w:ascii="Abadi" w:hAnsi="Abadi"/>
          <w:b w:val="0"/>
          <w:bCs w:val="0"/>
          <w:sz w:val="21"/>
          <w:szCs w:val="21"/>
        </w:rPr>
        <w:t>reformar</w:t>
      </w:r>
      <w:r w:rsidRPr="00B94CD4">
        <w:rPr>
          <w:rFonts w:ascii="Abadi" w:hAnsi="Abadi"/>
          <w:b w:val="0"/>
          <w:bCs w:val="0"/>
          <w:spacing w:val="4"/>
          <w:sz w:val="21"/>
          <w:szCs w:val="21"/>
        </w:rPr>
        <w:t xml:space="preserve"> </w:t>
      </w:r>
      <w:r w:rsidRPr="00B94CD4">
        <w:rPr>
          <w:rFonts w:ascii="Abadi" w:hAnsi="Abadi"/>
          <w:b w:val="0"/>
          <w:bCs w:val="0"/>
          <w:sz w:val="21"/>
          <w:szCs w:val="21"/>
        </w:rPr>
        <w:t>el</w:t>
      </w:r>
      <w:r w:rsidRPr="00B94CD4">
        <w:rPr>
          <w:rFonts w:ascii="Abadi" w:hAnsi="Abadi"/>
          <w:b w:val="0"/>
          <w:bCs w:val="0"/>
          <w:spacing w:val="4"/>
          <w:sz w:val="21"/>
          <w:szCs w:val="21"/>
        </w:rPr>
        <w:t xml:space="preserve"> </w:t>
      </w:r>
      <w:r w:rsidRPr="00B94CD4">
        <w:rPr>
          <w:rFonts w:ascii="Abadi" w:hAnsi="Abadi"/>
          <w:b w:val="0"/>
          <w:bCs w:val="0"/>
          <w:sz w:val="21"/>
          <w:szCs w:val="21"/>
        </w:rPr>
        <w:t>artículo</w:t>
      </w:r>
      <w:r w:rsidRPr="00B94CD4">
        <w:rPr>
          <w:rFonts w:ascii="Abadi" w:hAnsi="Abadi"/>
          <w:b w:val="0"/>
          <w:bCs w:val="0"/>
          <w:spacing w:val="-1"/>
          <w:sz w:val="21"/>
          <w:szCs w:val="21"/>
        </w:rPr>
        <w:t xml:space="preserve"> </w:t>
      </w:r>
      <w:r w:rsidRPr="00B94CD4">
        <w:rPr>
          <w:rFonts w:ascii="Abadi" w:hAnsi="Abadi"/>
          <w:b w:val="0"/>
          <w:bCs w:val="0"/>
          <w:sz w:val="21"/>
          <w:szCs w:val="21"/>
        </w:rPr>
        <w:t>95</w:t>
      </w:r>
      <w:r w:rsidRPr="00B94CD4">
        <w:rPr>
          <w:rFonts w:ascii="Abadi" w:hAnsi="Abadi"/>
          <w:b w:val="0"/>
          <w:bCs w:val="0"/>
          <w:spacing w:val="53"/>
          <w:sz w:val="21"/>
          <w:szCs w:val="21"/>
        </w:rPr>
        <w:t xml:space="preserve"> </w:t>
      </w:r>
      <w:r w:rsidRPr="00B94CD4">
        <w:rPr>
          <w:rFonts w:ascii="Abadi" w:hAnsi="Abadi"/>
          <w:b w:val="0"/>
          <w:bCs w:val="0"/>
          <w:sz w:val="21"/>
          <w:szCs w:val="21"/>
        </w:rPr>
        <w:t>de</w:t>
      </w:r>
      <w:r w:rsidRPr="00B94CD4">
        <w:rPr>
          <w:rFonts w:ascii="Abadi" w:hAnsi="Abadi"/>
          <w:b w:val="0"/>
          <w:bCs w:val="0"/>
          <w:spacing w:val="53"/>
          <w:sz w:val="21"/>
          <w:szCs w:val="21"/>
        </w:rPr>
        <w:t xml:space="preserve"> </w:t>
      </w:r>
      <w:r w:rsidRPr="00B94CD4">
        <w:rPr>
          <w:rFonts w:ascii="Abadi" w:hAnsi="Abadi"/>
          <w:b w:val="0"/>
          <w:bCs w:val="0"/>
          <w:sz w:val="21"/>
          <w:szCs w:val="21"/>
        </w:rPr>
        <w:t>la</w:t>
      </w:r>
      <w:r w:rsidRPr="00B94CD4">
        <w:rPr>
          <w:rFonts w:ascii="Abadi" w:hAnsi="Abadi"/>
          <w:b w:val="0"/>
          <w:bCs w:val="0"/>
          <w:spacing w:val="53"/>
          <w:sz w:val="21"/>
          <w:szCs w:val="21"/>
        </w:rPr>
        <w:t xml:space="preserve"> </w:t>
      </w:r>
      <w:r w:rsidRPr="00B94CD4">
        <w:rPr>
          <w:rFonts w:ascii="Abadi" w:hAnsi="Abadi"/>
          <w:b w:val="0"/>
          <w:bCs w:val="0"/>
          <w:sz w:val="21"/>
          <w:szCs w:val="21"/>
        </w:rPr>
        <w:t>Constitución</w:t>
      </w:r>
      <w:r w:rsidRPr="00B94CD4">
        <w:rPr>
          <w:rFonts w:ascii="Abadi" w:hAnsi="Abadi"/>
          <w:b w:val="0"/>
          <w:bCs w:val="0"/>
          <w:spacing w:val="53"/>
          <w:sz w:val="21"/>
          <w:szCs w:val="21"/>
        </w:rPr>
        <w:t xml:space="preserve"> </w:t>
      </w:r>
      <w:r w:rsidRPr="00B94CD4">
        <w:rPr>
          <w:rFonts w:ascii="Abadi" w:hAnsi="Abadi"/>
          <w:b w:val="0"/>
          <w:bCs w:val="0"/>
          <w:sz w:val="21"/>
          <w:szCs w:val="21"/>
        </w:rPr>
        <w:t>Política</w:t>
      </w:r>
      <w:r w:rsidRPr="00B94CD4">
        <w:rPr>
          <w:rFonts w:ascii="Abadi" w:hAnsi="Abadi"/>
          <w:b w:val="0"/>
          <w:bCs w:val="0"/>
          <w:spacing w:val="53"/>
          <w:sz w:val="21"/>
          <w:szCs w:val="21"/>
        </w:rPr>
        <w:t xml:space="preserve"> </w:t>
      </w:r>
      <w:r w:rsidRPr="00B94CD4">
        <w:rPr>
          <w:rFonts w:ascii="Abadi" w:hAnsi="Abadi"/>
          <w:b w:val="0"/>
          <w:bCs w:val="0"/>
          <w:sz w:val="21"/>
          <w:szCs w:val="21"/>
        </w:rPr>
        <w:t>para</w:t>
      </w:r>
      <w:r w:rsidRPr="00B94CD4">
        <w:rPr>
          <w:rFonts w:ascii="Abadi" w:hAnsi="Abadi"/>
          <w:b w:val="0"/>
          <w:bCs w:val="0"/>
          <w:spacing w:val="53"/>
          <w:sz w:val="21"/>
          <w:szCs w:val="21"/>
        </w:rPr>
        <w:t xml:space="preserve"> </w:t>
      </w:r>
      <w:r w:rsidRPr="00B94CD4">
        <w:rPr>
          <w:rFonts w:ascii="Abadi" w:hAnsi="Abadi"/>
          <w:b w:val="0"/>
          <w:bCs w:val="0"/>
          <w:sz w:val="21"/>
          <w:szCs w:val="21"/>
        </w:rPr>
        <w:t>el</w:t>
      </w:r>
      <w:r w:rsidRPr="00B94CD4">
        <w:rPr>
          <w:rFonts w:ascii="Abadi" w:hAnsi="Abadi"/>
          <w:b w:val="0"/>
          <w:bCs w:val="0"/>
          <w:spacing w:val="53"/>
          <w:sz w:val="21"/>
          <w:szCs w:val="21"/>
        </w:rPr>
        <w:t xml:space="preserve"> </w:t>
      </w:r>
      <w:r w:rsidRPr="00B94CD4">
        <w:rPr>
          <w:rFonts w:ascii="Abadi" w:hAnsi="Abadi"/>
          <w:b w:val="0"/>
          <w:bCs w:val="0"/>
          <w:sz w:val="21"/>
          <w:szCs w:val="21"/>
        </w:rPr>
        <w:t>Estado</w:t>
      </w:r>
      <w:r w:rsidRPr="00B94CD4">
        <w:rPr>
          <w:rFonts w:ascii="Abadi" w:hAnsi="Abadi"/>
          <w:b w:val="0"/>
          <w:bCs w:val="0"/>
          <w:spacing w:val="53"/>
          <w:sz w:val="21"/>
          <w:szCs w:val="21"/>
        </w:rPr>
        <w:t xml:space="preserve"> </w:t>
      </w:r>
      <w:r w:rsidRPr="00B94CD4">
        <w:rPr>
          <w:rFonts w:ascii="Abadi" w:hAnsi="Abadi"/>
          <w:b w:val="0"/>
          <w:bCs w:val="0"/>
          <w:sz w:val="21"/>
          <w:szCs w:val="21"/>
        </w:rPr>
        <w:t>de</w:t>
      </w:r>
      <w:r w:rsidRPr="00B94CD4">
        <w:rPr>
          <w:rFonts w:ascii="Abadi" w:hAnsi="Abadi"/>
          <w:b w:val="0"/>
          <w:bCs w:val="0"/>
          <w:spacing w:val="53"/>
          <w:sz w:val="21"/>
          <w:szCs w:val="21"/>
        </w:rPr>
        <w:t xml:space="preserve"> </w:t>
      </w:r>
      <w:r w:rsidRPr="00B94CD4">
        <w:rPr>
          <w:rFonts w:ascii="Abadi" w:hAnsi="Abadi"/>
          <w:b w:val="0"/>
          <w:bCs w:val="0"/>
          <w:sz w:val="21"/>
          <w:szCs w:val="21"/>
        </w:rPr>
        <w:t>Guanajuato;</w:t>
      </w:r>
      <w:r w:rsidRPr="00B94CD4">
        <w:rPr>
          <w:rFonts w:ascii="Abadi" w:hAnsi="Abadi"/>
          <w:b w:val="0"/>
          <w:bCs w:val="0"/>
          <w:spacing w:val="53"/>
          <w:sz w:val="21"/>
          <w:szCs w:val="21"/>
        </w:rPr>
        <w:t xml:space="preserve"> </w:t>
      </w:r>
      <w:r w:rsidRPr="00B94CD4">
        <w:rPr>
          <w:rFonts w:ascii="Abadi" w:hAnsi="Abadi"/>
          <w:b w:val="0"/>
          <w:bCs w:val="0"/>
          <w:sz w:val="21"/>
          <w:szCs w:val="21"/>
        </w:rPr>
        <w:t>así</w:t>
      </w:r>
      <w:r w:rsidRPr="00B94CD4">
        <w:rPr>
          <w:rFonts w:ascii="Abadi" w:hAnsi="Abadi"/>
          <w:b w:val="0"/>
          <w:bCs w:val="0"/>
          <w:spacing w:val="53"/>
          <w:sz w:val="21"/>
          <w:szCs w:val="21"/>
        </w:rPr>
        <w:t xml:space="preserve"> </w:t>
      </w:r>
      <w:r w:rsidRPr="00B94CD4">
        <w:rPr>
          <w:rFonts w:ascii="Abadi" w:hAnsi="Abadi"/>
          <w:b w:val="0"/>
          <w:bCs w:val="0"/>
          <w:sz w:val="21"/>
          <w:szCs w:val="21"/>
        </w:rPr>
        <w:t>como</w:t>
      </w:r>
      <w:r w:rsidRPr="00B94CD4">
        <w:rPr>
          <w:rFonts w:ascii="Abadi" w:hAnsi="Abadi"/>
          <w:b w:val="0"/>
          <w:bCs w:val="0"/>
          <w:spacing w:val="-1"/>
          <w:sz w:val="21"/>
          <w:szCs w:val="21"/>
        </w:rPr>
        <w:t xml:space="preserve"> </w:t>
      </w:r>
      <w:r w:rsidRPr="00B94CD4">
        <w:rPr>
          <w:rFonts w:ascii="Abadi" w:hAnsi="Abadi"/>
          <w:b w:val="0"/>
          <w:bCs w:val="0"/>
          <w:sz w:val="21"/>
          <w:szCs w:val="21"/>
        </w:rPr>
        <w:t>reformar</w:t>
      </w:r>
      <w:r w:rsidRPr="00B94CD4">
        <w:rPr>
          <w:rFonts w:ascii="Abadi" w:hAnsi="Abadi"/>
          <w:b w:val="0"/>
          <w:bCs w:val="0"/>
          <w:spacing w:val="39"/>
          <w:sz w:val="21"/>
          <w:szCs w:val="21"/>
        </w:rPr>
        <w:t xml:space="preserve"> </w:t>
      </w:r>
      <w:r w:rsidRPr="00B94CD4">
        <w:rPr>
          <w:rFonts w:ascii="Abadi" w:hAnsi="Abadi"/>
          <w:b w:val="0"/>
          <w:bCs w:val="0"/>
          <w:sz w:val="21"/>
          <w:szCs w:val="21"/>
        </w:rPr>
        <w:t>y</w:t>
      </w:r>
      <w:r w:rsidRPr="00B94CD4">
        <w:rPr>
          <w:rFonts w:ascii="Abadi" w:hAnsi="Abadi"/>
          <w:b w:val="0"/>
          <w:bCs w:val="0"/>
          <w:spacing w:val="39"/>
          <w:sz w:val="21"/>
          <w:szCs w:val="21"/>
        </w:rPr>
        <w:t xml:space="preserve"> </w:t>
      </w:r>
      <w:r w:rsidRPr="00B94CD4">
        <w:rPr>
          <w:rFonts w:ascii="Abadi" w:hAnsi="Abadi"/>
          <w:b w:val="0"/>
          <w:bCs w:val="0"/>
          <w:sz w:val="21"/>
          <w:szCs w:val="21"/>
        </w:rPr>
        <w:t>adicionar</w:t>
      </w:r>
      <w:r w:rsidRPr="00B94CD4">
        <w:rPr>
          <w:rFonts w:ascii="Abadi" w:hAnsi="Abadi"/>
          <w:b w:val="0"/>
          <w:bCs w:val="0"/>
          <w:spacing w:val="39"/>
          <w:sz w:val="21"/>
          <w:szCs w:val="21"/>
        </w:rPr>
        <w:t xml:space="preserve"> </w:t>
      </w:r>
      <w:r w:rsidRPr="00B94CD4">
        <w:rPr>
          <w:rFonts w:ascii="Abadi" w:hAnsi="Abadi"/>
          <w:b w:val="0"/>
          <w:bCs w:val="0"/>
          <w:sz w:val="21"/>
          <w:szCs w:val="21"/>
        </w:rPr>
        <w:t>diversas</w:t>
      </w:r>
      <w:r w:rsidRPr="00B94CD4">
        <w:rPr>
          <w:rFonts w:ascii="Abadi" w:hAnsi="Abadi"/>
          <w:b w:val="0"/>
          <w:bCs w:val="0"/>
          <w:spacing w:val="39"/>
          <w:sz w:val="21"/>
          <w:szCs w:val="21"/>
        </w:rPr>
        <w:t xml:space="preserve"> </w:t>
      </w:r>
      <w:r w:rsidRPr="00B94CD4">
        <w:rPr>
          <w:rFonts w:ascii="Abadi" w:hAnsi="Abadi"/>
          <w:b w:val="0"/>
          <w:bCs w:val="0"/>
          <w:sz w:val="21"/>
          <w:szCs w:val="21"/>
        </w:rPr>
        <w:t>disposiciones</w:t>
      </w:r>
      <w:r w:rsidRPr="00B94CD4">
        <w:rPr>
          <w:rFonts w:ascii="Abadi" w:hAnsi="Abadi"/>
          <w:b w:val="0"/>
          <w:bCs w:val="0"/>
          <w:spacing w:val="39"/>
          <w:sz w:val="21"/>
          <w:szCs w:val="21"/>
        </w:rPr>
        <w:t xml:space="preserve"> </w:t>
      </w:r>
      <w:r w:rsidRPr="00B94CD4">
        <w:rPr>
          <w:rFonts w:ascii="Abadi" w:hAnsi="Abadi"/>
          <w:b w:val="0"/>
          <w:bCs w:val="0"/>
          <w:sz w:val="21"/>
          <w:szCs w:val="21"/>
        </w:rPr>
        <w:t>a</w:t>
      </w:r>
      <w:r w:rsidRPr="00B94CD4">
        <w:rPr>
          <w:rFonts w:ascii="Abadi" w:hAnsi="Abadi"/>
          <w:b w:val="0"/>
          <w:bCs w:val="0"/>
          <w:spacing w:val="39"/>
          <w:sz w:val="21"/>
          <w:szCs w:val="21"/>
        </w:rPr>
        <w:t xml:space="preserve"> </w:t>
      </w:r>
      <w:r w:rsidRPr="00B94CD4">
        <w:rPr>
          <w:rFonts w:ascii="Abadi" w:hAnsi="Abadi"/>
          <w:b w:val="0"/>
          <w:bCs w:val="0"/>
          <w:sz w:val="21"/>
          <w:szCs w:val="21"/>
        </w:rPr>
        <w:t>la</w:t>
      </w:r>
      <w:r w:rsidRPr="00B94CD4">
        <w:rPr>
          <w:rFonts w:ascii="Abadi" w:hAnsi="Abadi"/>
          <w:b w:val="0"/>
          <w:bCs w:val="0"/>
          <w:spacing w:val="39"/>
          <w:sz w:val="21"/>
          <w:szCs w:val="21"/>
        </w:rPr>
        <w:t xml:space="preserve"> </w:t>
      </w:r>
      <w:r w:rsidRPr="00B94CD4">
        <w:rPr>
          <w:rFonts w:ascii="Abadi" w:hAnsi="Abadi"/>
          <w:b w:val="0"/>
          <w:bCs w:val="0"/>
          <w:sz w:val="21"/>
          <w:szCs w:val="21"/>
        </w:rPr>
        <w:t>Ley</w:t>
      </w:r>
      <w:r w:rsidRPr="00B94CD4">
        <w:rPr>
          <w:rFonts w:ascii="Abadi" w:hAnsi="Abadi"/>
          <w:b w:val="0"/>
          <w:bCs w:val="0"/>
          <w:spacing w:val="39"/>
          <w:sz w:val="21"/>
          <w:szCs w:val="21"/>
        </w:rPr>
        <w:t xml:space="preserve"> </w:t>
      </w:r>
      <w:r w:rsidRPr="00B94CD4">
        <w:rPr>
          <w:rFonts w:ascii="Abadi" w:hAnsi="Abadi"/>
          <w:b w:val="0"/>
          <w:bCs w:val="0"/>
          <w:sz w:val="21"/>
          <w:szCs w:val="21"/>
        </w:rPr>
        <w:t>Orgánica</w:t>
      </w:r>
      <w:r w:rsidRPr="00B94CD4">
        <w:rPr>
          <w:rFonts w:ascii="Abadi" w:hAnsi="Abadi"/>
          <w:b w:val="0"/>
          <w:bCs w:val="0"/>
          <w:spacing w:val="39"/>
          <w:sz w:val="21"/>
          <w:szCs w:val="21"/>
        </w:rPr>
        <w:t xml:space="preserve"> </w:t>
      </w:r>
      <w:r w:rsidRPr="00B94CD4">
        <w:rPr>
          <w:rFonts w:ascii="Abadi" w:hAnsi="Abadi"/>
          <w:b w:val="0"/>
          <w:bCs w:val="0"/>
          <w:sz w:val="21"/>
          <w:szCs w:val="21"/>
        </w:rPr>
        <w:t>del</w:t>
      </w:r>
      <w:r w:rsidRPr="00B94CD4">
        <w:rPr>
          <w:rFonts w:ascii="Abadi" w:hAnsi="Abadi"/>
          <w:b w:val="0"/>
          <w:bCs w:val="0"/>
          <w:spacing w:val="38"/>
          <w:sz w:val="21"/>
          <w:szCs w:val="21"/>
        </w:rPr>
        <w:t xml:space="preserve"> </w:t>
      </w:r>
      <w:r w:rsidRPr="00B94CD4">
        <w:rPr>
          <w:rFonts w:ascii="Abadi" w:hAnsi="Abadi"/>
          <w:b w:val="0"/>
          <w:bCs w:val="0"/>
          <w:sz w:val="21"/>
          <w:szCs w:val="21"/>
        </w:rPr>
        <w:t>Poder</w:t>
      </w:r>
      <w:r w:rsidRPr="00B94CD4">
        <w:rPr>
          <w:rFonts w:ascii="Abadi" w:hAnsi="Abadi"/>
          <w:b w:val="0"/>
          <w:bCs w:val="0"/>
          <w:spacing w:val="-1"/>
          <w:sz w:val="21"/>
          <w:szCs w:val="21"/>
        </w:rPr>
        <w:t xml:space="preserve"> </w:t>
      </w:r>
      <w:r w:rsidRPr="00B94CD4">
        <w:rPr>
          <w:rFonts w:ascii="Abadi" w:hAnsi="Abadi"/>
          <w:b w:val="0"/>
          <w:bCs w:val="0"/>
          <w:sz w:val="21"/>
          <w:szCs w:val="21"/>
        </w:rPr>
        <w:t>Legislativo</w:t>
      </w:r>
      <w:r w:rsidRPr="00B94CD4">
        <w:rPr>
          <w:rFonts w:ascii="Abadi" w:hAnsi="Abadi"/>
          <w:b w:val="0"/>
          <w:bCs w:val="0"/>
          <w:spacing w:val="-18"/>
          <w:sz w:val="21"/>
          <w:szCs w:val="21"/>
        </w:rPr>
        <w:t xml:space="preserve"> </w:t>
      </w:r>
      <w:r w:rsidRPr="00B94CD4">
        <w:rPr>
          <w:rFonts w:ascii="Abadi" w:hAnsi="Abadi"/>
          <w:b w:val="0"/>
          <w:bCs w:val="0"/>
          <w:sz w:val="21"/>
          <w:szCs w:val="21"/>
        </w:rPr>
        <w:t>del</w:t>
      </w:r>
      <w:r w:rsidRPr="00B94CD4">
        <w:rPr>
          <w:rFonts w:ascii="Abadi" w:hAnsi="Abadi"/>
          <w:b w:val="0"/>
          <w:bCs w:val="0"/>
          <w:spacing w:val="-18"/>
          <w:sz w:val="21"/>
          <w:szCs w:val="21"/>
        </w:rPr>
        <w:t xml:space="preserve"> </w:t>
      </w:r>
      <w:r w:rsidRPr="00B94CD4">
        <w:rPr>
          <w:rFonts w:ascii="Abadi" w:hAnsi="Abadi"/>
          <w:b w:val="0"/>
          <w:bCs w:val="0"/>
          <w:sz w:val="21"/>
          <w:szCs w:val="21"/>
        </w:rPr>
        <w:t>Estado</w:t>
      </w:r>
      <w:r w:rsidRPr="00B94CD4">
        <w:rPr>
          <w:rFonts w:ascii="Abadi" w:hAnsi="Abadi"/>
          <w:b w:val="0"/>
          <w:bCs w:val="0"/>
          <w:spacing w:val="-18"/>
          <w:sz w:val="21"/>
          <w:szCs w:val="21"/>
        </w:rPr>
        <w:t xml:space="preserve"> </w:t>
      </w:r>
      <w:r w:rsidRPr="00B94CD4">
        <w:rPr>
          <w:rFonts w:ascii="Abadi" w:hAnsi="Abadi"/>
          <w:b w:val="0"/>
          <w:bCs w:val="0"/>
          <w:sz w:val="21"/>
          <w:szCs w:val="21"/>
        </w:rPr>
        <w:t>de</w:t>
      </w:r>
      <w:r w:rsidRPr="00B94CD4">
        <w:rPr>
          <w:rFonts w:ascii="Abadi" w:hAnsi="Abadi"/>
          <w:b w:val="0"/>
          <w:bCs w:val="0"/>
          <w:spacing w:val="-18"/>
          <w:sz w:val="21"/>
          <w:szCs w:val="21"/>
        </w:rPr>
        <w:t xml:space="preserve"> </w:t>
      </w:r>
      <w:r w:rsidRPr="00B94CD4">
        <w:rPr>
          <w:rFonts w:ascii="Abadi" w:hAnsi="Abadi"/>
          <w:b w:val="0"/>
          <w:bCs w:val="0"/>
          <w:sz w:val="21"/>
          <w:szCs w:val="21"/>
        </w:rPr>
        <w:t>Guanajuato,</w:t>
      </w:r>
      <w:r w:rsidRPr="00B94CD4">
        <w:rPr>
          <w:rFonts w:ascii="Abadi" w:hAnsi="Abadi"/>
          <w:b w:val="0"/>
          <w:bCs w:val="0"/>
          <w:spacing w:val="-18"/>
          <w:sz w:val="21"/>
          <w:szCs w:val="21"/>
        </w:rPr>
        <w:t xml:space="preserve"> </w:t>
      </w:r>
      <w:r w:rsidRPr="00B94CD4">
        <w:rPr>
          <w:rFonts w:ascii="Abadi" w:hAnsi="Abadi"/>
          <w:b w:val="0"/>
          <w:bCs w:val="0"/>
          <w:i/>
          <w:iCs/>
          <w:sz w:val="21"/>
          <w:szCs w:val="21"/>
        </w:rPr>
        <w:t>en</w:t>
      </w:r>
      <w:r w:rsidRPr="00B94CD4">
        <w:rPr>
          <w:rFonts w:ascii="Abadi" w:hAnsi="Abadi"/>
          <w:b w:val="0"/>
          <w:bCs w:val="0"/>
          <w:i/>
          <w:iCs/>
          <w:spacing w:val="-18"/>
          <w:sz w:val="21"/>
          <w:szCs w:val="21"/>
        </w:rPr>
        <w:t xml:space="preserve"> </w:t>
      </w:r>
      <w:r w:rsidRPr="00B94CD4">
        <w:rPr>
          <w:rFonts w:ascii="Abadi" w:hAnsi="Abadi"/>
          <w:b w:val="0"/>
          <w:bCs w:val="0"/>
          <w:i/>
          <w:iCs/>
          <w:sz w:val="21"/>
          <w:szCs w:val="21"/>
        </w:rPr>
        <w:t>la</w:t>
      </w:r>
      <w:r w:rsidRPr="00B94CD4">
        <w:rPr>
          <w:rFonts w:ascii="Abadi" w:hAnsi="Abadi"/>
          <w:b w:val="0"/>
          <w:bCs w:val="0"/>
          <w:i/>
          <w:iCs/>
          <w:spacing w:val="-18"/>
          <w:sz w:val="21"/>
          <w:szCs w:val="21"/>
        </w:rPr>
        <w:t xml:space="preserve"> </w:t>
      </w:r>
      <w:r w:rsidRPr="00B94CD4">
        <w:rPr>
          <w:rFonts w:ascii="Abadi" w:hAnsi="Abadi"/>
          <w:b w:val="0"/>
          <w:bCs w:val="0"/>
          <w:i/>
          <w:iCs/>
          <w:sz w:val="21"/>
          <w:szCs w:val="21"/>
        </w:rPr>
        <w:t>parte</w:t>
      </w:r>
      <w:r w:rsidRPr="00B94CD4">
        <w:rPr>
          <w:rFonts w:ascii="Abadi" w:hAnsi="Abadi"/>
          <w:b w:val="0"/>
          <w:bCs w:val="0"/>
          <w:i/>
          <w:iCs/>
          <w:spacing w:val="-18"/>
          <w:sz w:val="21"/>
          <w:szCs w:val="21"/>
        </w:rPr>
        <w:t xml:space="preserve"> </w:t>
      </w:r>
      <w:r w:rsidRPr="00B94CD4">
        <w:rPr>
          <w:rFonts w:ascii="Abadi" w:hAnsi="Abadi"/>
          <w:b w:val="0"/>
          <w:bCs w:val="0"/>
          <w:i/>
          <w:iCs/>
          <w:sz w:val="21"/>
          <w:szCs w:val="21"/>
        </w:rPr>
        <w:t>correspondiente</w:t>
      </w:r>
      <w:r w:rsidRPr="00B94CD4">
        <w:rPr>
          <w:rFonts w:ascii="Abadi" w:hAnsi="Abadi"/>
          <w:b w:val="0"/>
          <w:bCs w:val="0"/>
          <w:i/>
          <w:iCs/>
          <w:spacing w:val="-18"/>
          <w:sz w:val="21"/>
          <w:szCs w:val="21"/>
        </w:rPr>
        <w:t xml:space="preserve"> </w:t>
      </w:r>
      <w:r w:rsidRPr="00B94CD4">
        <w:rPr>
          <w:rFonts w:ascii="Abadi" w:hAnsi="Abadi"/>
          <w:b w:val="0"/>
          <w:bCs w:val="0"/>
          <w:i/>
          <w:iCs/>
          <w:sz w:val="21"/>
          <w:szCs w:val="21"/>
        </w:rPr>
        <w:t>al</w:t>
      </w:r>
      <w:r w:rsidRPr="00B94CD4">
        <w:rPr>
          <w:rFonts w:ascii="Abadi" w:hAnsi="Abadi"/>
          <w:b w:val="0"/>
          <w:bCs w:val="0"/>
          <w:i/>
          <w:iCs/>
          <w:spacing w:val="-18"/>
          <w:sz w:val="21"/>
          <w:szCs w:val="21"/>
        </w:rPr>
        <w:t xml:space="preserve"> </w:t>
      </w:r>
      <w:r w:rsidRPr="00B94CD4">
        <w:rPr>
          <w:rFonts w:ascii="Abadi" w:hAnsi="Abadi"/>
          <w:b w:val="0"/>
          <w:bCs w:val="0"/>
          <w:i/>
          <w:iCs/>
          <w:sz w:val="21"/>
          <w:szCs w:val="21"/>
        </w:rPr>
        <w:t>primero</w:t>
      </w:r>
      <w:r w:rsidRPr="00B94CD4">
        <w:rPr>
          <w:rFonts w:ascii="Abadi" w:hAnsi="Abadi"/>
          <w:b w:val="0"/>
          <w:bCs w:val="0"/>
          <w:i/>
          <w:iCs/>
          <w:spacing w:val="-1"/>
          <w:sz w:val="21"/>
          <w:szCs w:val="21"/>
        </w:rPr>
        <w:t xml:space="preserve"> </w:t>
      </w:r>
      <w:r w:rsidRPr="00B94CD4">
        <w:rPr>
          <w:rFonts w:ascii="Abadi" w:hAnsi="Abadi"/>
          <w:b w:val="0"/>
          <w:bCs w:val="0"/>
          <w:i/>
          <w:iCs/>
          <w:sz w:val="21"/>
          <w:szCs w:val="21"/>
        </w:rPr>
        <w:t>de</w:t>
      </w:r>
      <w:r w:rsidRPr="00B94CD4">
        <w:rPr>
          <w:rFonts w:ascii="Abadi" w:hAnsi="Abadi"/>
          <w:b w:val="0"/>
          <w:bCs w:val="0"/>
          <w:i/>
          <w:iCs/>
          <w:spacing w:val="-1"/>
          <w:sz w:val="21"/>
          <w:szCs w:val="21"/>
        </w:rPr>
        <w:t xml:space="preserve"> </w:t>
      </w:r>
      <w:r w:rsidRPr="00B94CD4">
        <w:rPr>
          <w:rFonts w:ascii="Abadi" w:hAnsi="Abadi"/>
          <w:b w:val="0"/>
          <w:bCs w:val="0"/>
          <w:i/>
          <w:iCs/>
          <w:sz w:val="21"/>
          <w:szCs w:val="21"/>
        </w:rPr>
        <w:t>los</w:t>
      </w:r>
      <w:r w:rsidRPr="00B94CD4">
        <w:rPr>
          <w:rFonts w:ascii="Abadi" w:hAnsi="Abadi"/>
          <w:b w:val="0"/>
          <w:bCs w:val="0"/>
          <w:i/>
          <w:iCs/>
          <w:spacing w:val="-1"/>
          <w:sz w:val="21"/>
          <w:szCs w:val="21"/>
        </w:rPr>
        <w:t xml:space="preserve"> </w:t>
      </w:r>
      <w:r w:rsidRPr="00B94CD4">
        <w:rPr>
          <w:rFonts w:ascii="Abadi" w:hAnsi="Abadi"/>
          <w:b w:val="0"/>
          <w:bCs w:val="0"/>
          <w:i/>
          <w:iCs/>
          <w:sz w:val="21"/>
          <w:szCs w:val="21"/>
        </w:rPr>
        <w:t xml:space="preserve">ordenamientos. </w:t>
      </w:r>
      <w:r w:rsidRPr="00B94CD4">
        <w:rPr>
          <w:rFonts w:ascii="Abadi" w:hAnsi="Abadi"/>
          <w:sz w:val="21"/>
          <w:szCs w:val="21"/>
        </w:rPr>
        <w:t>XXV.</w:t>
      </w:r>
      <w:r w:rsidRPr="00B94CD4">
        <w:rPr>
          <w:rFonts w:ascii="Abadi" w:hAnsi="Abadi"/>
          <w:b w:val="0"/>
          <w:bCs w:val="0"/>
          <w:sz w:val="21"/>
          <w:szCs w:val="21"/>
        </w:rPr>
        <w:t>- Discusión</w:t>
      </w:r>
      <w:r w:rsidRPr="00B94CD4">
        <w:rPr>
          <w:rFonts w:ascii="Abadi" w:hAnsi="Abadi"/>
          <w:b w:val="0"/>
          <w:bCs w:val="0"/>
          <w:spacing w:val="50"/>
          <w:w w:val="150"/>
          <w:sz w:val="21"/>
          <w:szCs w:val="21"/>
        </w:rPr>
        <w:t xml:space="preserve"> </w:t>
      </w:r>
      <w:r w:rsidRPr="00B94CD4">
        <w:rPr>
          <w:rFonts w:ascii="Abadi" w:hAnsi="Abadi"/>
          <w:b w:val="0"/>
          <w:bCs w:val="0"/>
          <w:sz w:val="21"/>
          <w:szCs w:val="21"/>
        </w:rPr>
        <w:t>y,</w:t>
      </w:r>
      <w:r w:rsidRPr="00B94CD4">
        <w:rPr>
          <w:rFonts w:ascii="Abadi" w:hAnsi="Abadi"/>
          <w:b w:val="0"/>
          <w:bCs w:val="0"/>
          <w:spacing w:val="50"/>
          <w:w w:val="150"/>
          <w:sz w:val="21"/>
          <w:szCs w:val="21"/>
        </w:rPr>
        <w:t xml:space="preserve"> </w:t>
      </w:r>
      <w:r w:rsidRPr="00B94CD4">
        <w:rPr>
          <w:rFonts w:ascii="Abadi" w:hAnsi="Abadi"/>
          <w:b w:val="0"/>
          <w:bCs w:val="0"/>
          <w:sz w:val="21"/>
          <w:szCs w:val="21"/>
        </w:rPr>
        <w:t>en</w:t>
      </w:r>
      <w:r w:rsidRPr="00B94CD4">
        <w:rPr>
          <w:rFonts w:ascii="Abadi" w:hAnsi="Abadi"/>
          <w:b w:val="0"/>
          <w:bCs w:val="0"/>
          <w:spacing w:val="50"/>
          <w:w w:val="150"/>
          <w:sz w:val="21"/>
          <w:szCs w:val="21"/>
        </w:rPr>
        <w:t xml:space="preserve"> </w:t>
      </w:r>
      <w:r w:rsidRPr="00B94CD4">
        <w:rPr>
          <w:rFonts w:ascii="Abadi" w:hAnsi="Abadi"/>
          <w:b w:val="0"/>
          <w:bCs w:val="0"/>
          <w:sz w:val="21"/>
          <w:szCs w:val="21"/>
        </w:rPr>
        <w:t>su</w:t>
      </w:r>
      <w:r w:rsidRPr="00B94CD4">
        <w:rPr>
          <w:rFonts w:ascii="Abadi" w:hAnsi="Abadi"/>
          <w:b w:val="0"/>
          <w:bCs w:val="0"/>
          <w:spacing w:val="50"/>
          <w:w w:val="150"/>
          <w:sz w:val="21"/>
          <w:szCs w:val="21"/>
        </w:rPr>
        <w:t xml:space="preserve"> </w:t>
      </w:r>
      <w:r w:rsidRPr="00B94CD4">
        <w:rPr>
          <w:rFonts w:ascii="Abadi" w:hAnsi="Abadi"/>
          <w:b w:val="0"/>
          <w:bCs w:val="0"/>
          <w:sz w:val="21"/>
          <w:szCs w:val="21"/>
        </w:rPr>
        <w:t>caso,</w:t>
      </w:r>
      <w:r w:rsidRPr="00B94CD4">
        <w:rPr>
          <w:rFonts w:ascii="Abadi" w:hAnsi="Abadi"/>
          <w:b w:val="0"/>
          <w:bCs w:val="0"/>
          <w:spacing w:val="50"/>
          <w:w w:val="150"/>
          <w:sz w:val="21"/>
          <w:szCs w:val="21"/>
        </w:rPr>
        <w:t xml:space="preserve"> </w:t>
      </w:r>
      <w:r w:rsidRPr="00B94CD4">
        <w:rPr>
          <w:rFonts w:ascii="Abadi" w:hAnsi="Abadi"/>
          <w:b w:val="0"/>
          <w:bCs w:val="0"/>
          <w:sz w:val="21"/>
          <w:szCs w:val="21"/>
        </w:rPr>
        <w:t>aprobación</w:t>
      </w:r>
      <w:r w:rsidRPr="00B94CD4">
        <w:rPr>
          <w:rFonts w:ascii="Abadi" w:hAnsi="Abadi"/>
          <w:b w:val="0"/>
          <w:bCs w:val="0"/>
          <w:spacing w:val="50"/>
          <w:w w:val="150"/>
          <w:sz w:val="21"/>
          <w:szCs w:val="21"/>
        </w:rPr>
        <w:t xml:space="preserve"> </w:t>
      </w:r>
      <w:r w:rsidRPr="00B94CD4">
        <w:rPr>
          <w:rFonts w:ascii="Abadi" w:hAnsi="Abadi"/>
          <w:b w:val="0"/>
          <w:bCs w:val="0"/>
          <w:sz w:val="21"/>
          <w:szCs w:val="21"/>
        </w:rPr>
        <w:t>del</w:t>
      </w:r>
      <w:r w:rsidRPr="00B94CD4">
        <w:rPr>
          <w:rFonts w:ascii="Abadi" w:hAnsi="Abadi"/>
          <w:b w:val="0"/>
          <w:bCs w:val="0"/>
          <w:spacing w:val="50"/>
          <w:w w:val="150"/>
          <w:sz w:val="21"/>
          <w:szCs w:val="21"/>
        </w:rPr>
        <w:t xml:space="preserve"> </w:t>
      </w:r>
      <w:r w:rsidRPr="00B94CD4">
        <w:rPr>
          <w:rFonts w:ascii="Abadi" w:hAnsi="Abadi"/>
          <w:b w:val="0"/>
          <w:bCs w:val="0"/>
          <w:sz w:val="21"/>
          <w:szCs w:val="21"/>
        </w:rPr>
        <w:t>dictamen</w:t>
      </w:r>
      <w:r w:rsidRPr="00B94CD4">
        <w:rPr>
          <w:rFonts w:ascii="Abadi" w:hAnsi="Abadi"/>
          <w:b w:val="0"/>
          <w:bCs w:val="0"/>
          <w:spacing w:val="50"/>
          <w:w w:val="150"/>
          <w:sz w:val="21"/>
          <w:szCs w:val="21"/>
        </w:rPr>
        <w:t xml:space="preserve"> </w:t>
      </w:r>
      <w:r w:rsidRPr="00B94CD4">
        <w:rPr>
          <w:rFonts w:ascii="Abadi" w:hAnsi="Abadi"/>
          <w:b w:val="0"/>
          <w:bCs w:val="0"/>
          <w:sz w:val="21"/>
          <w:szCs w:val="21"/>
        </w:rPr>
        <w:t>presentado</w:t>
      </w:r>
      <w:r w:rsidRPr="00B94CD4">
        <w:rPr>
          <w:rFonts w:ascii="Abadi" w:hAnsi="Abadi"/>
          <w:b w:val="0"/>
          <w:bCs w:val="0"/>
          <w:spacing w:val="50"/>
          <w:w w:val="150"/>
          <w:sz w:val="21"/>
          <w:szCs w:val="21"/>
        </w:rPr>
        <w:t xml:space="preserve"> </w:t>
      </w:r>
      <w:r w:rsidRPr="00B94CD4">
        <w:rPr>
          <w:rFonts w:ascii="Abadi" w:hAnsi="Abadi"/>
          <w:b w:val="0"/>
          <w:bCs w:val="0"/>
          <w:sz w:val="21"/>
          <w:szCs w:val="21"/>
        </w:rPr>
        <w:t>por</w:t>
      </w:r>
      <w:r w:rsidRPr="00B94CD4">
        <w:rPr>
          <w:rFonts w:ascii="Abadi" w:hAnsi="Abadi"/>
          <w:b w:val="0"/>
          <w:bCs w:val="0"/>
          <w:spacing w:val="50"/>
          <w:w w:val="150"/>
          <w:sz w:val="21"/>
          <w:szCs w:val="21"/>
        </w:rPr>
        <w:t xml:space="preserve"> </w:t>
      </w:r>
      <w:r w:rsidRPr="00B94CD4">
        <w:rPr>
          <w:rFonts w:ascii="Abadi" w:hAnsi="Abadi"/>
          <w:b w:val="0"/>
          <w:bCs w:val="0"/>
          <w:sz w:val="21"/>
          <w:szCs w:val="21"/>
        </w:rPr>
        <w:t>la</w:t>
      </w:r>
      <w:r w:rsidRPr="00B94CD4">
        <w:rPr>
          <w:rFonts w:ascii="Abadi" w:hAnsi="Abadi"/>
          <w:b w:val="0"/>
          <w:bCs w:val="0"/>
          <w:spacing w:val="-2"/>
          <w:sz w:val="21"/>
          <w:szCs w:val="21"/>
        </w:rPr>
        <w:t xml:space="preserve"> </w:t>
      </w:r>
      <w:r w:rsidRPr="00B94CD4">
        <w:rPr>
          <w:rFonts w:ascii="Abadi" w:hAnsi="Abadi"/>
          <w:b w:val="0"/>
          <w:bCs w:val="0"/>
          <w:sz w:val="21"/>
          <w:szCs w:val="21"/>
        </w:rPr>
        <w:t>Comisión</w:t>
      </w:r>
      <w:r w:rsidRPr="00B94CD4">
        <w:rPr>
          <w:rFonts w:ascii="Abadi" w:hAnsi="Abadi"/>
          <w:b w:val="0"/>
          <w:bCs w:val="0"/>
          <w:spacing w:val="30"/>
          <w:sz w:val="21"/>
          <w:szCs w:val="21"/>
        </w:rPr>
        <w:t xml:space="preserve">  </w:t>
      </w:r>
      <w:r w:rsidRPr="00B94CD4">
        <w:rPr>
          <w:rFonts w:ascii="Abadi" w:hAnsi="Abadi"/>
          <w:b w:val="0"/>
          <w:bCs w:val="0"/>
          <w:sz w:val="21"/>
          <w:szCs w:val="21"/>
        </w:rPr>
        <w:t>de</w:t>
      </w:r>
      <w:r w:rsidRPr="00B94CD4">
        <w:rPr>
          <w:rFonts w:ascii="Abadi" w:hAnsi="Abadi"/>
          <w:b w:val="0"/>
          <w:bCs w:val="0"/>
          <w:spacing w:val="30"/>
          <w:sz w:val="21"/>
          <w:szCs w:val="21"/>
        </w:rPr>
        <w:t xml:space="preserve">  </w:t>
      </w:r>
      <w:r w:rsidRPr="00B94CD4">
        <w:rPr>
          <w:rFonts w:ascii="Abadi" w:hAnsi="Abadi"/>
          <w:b w:val="0"/>
          <w:bCs w:val="0"/>
          <w:sz w:val="21"/>
          <w:szCs w:val="21"/>
        </w:rPr>
        <w:t>Gobernación</w:t>
      </w:r>
      <w:r w:rsidRPr="00B94CD4">
        <w:rPr>
          <w:rFonts w:ascii="Abadi" w:hAnsi="Abadi"/>
          <w:b w:val="0"/>
          <w:bCs w:val="0"/>
          <w:spacing w:val="30"/>
          <w:sz w:val="21"/>
          <w:szCs w:val="21"/>
        </w:rPr>
        <w:t xml:space="preserve">  </w:t>
      </w:r>
      <w:r w:rsidRPr="00B94CD4">
        <w:rPr>
          <w:rFonts w:ascii="Abadi" w:hAnsi="Abadi"/>
          <w:b w:val="0"/>
          <w:bCs w:val="0"/>
          <w:sz w:val="21"/>
          <w:szCs w:val="21"/>
        </w:rPr>
        <w:t>y</w:t>
      </w:r>
      <w:r w:rsidRPr="00B94CD4">
        <w:rPr>
          <w:rFonts w:ascii="Abadi" w:hAnsi="Abadi"/>
          <w:b w:val="0"/>
          <w:bCs w:val="0"/>
          <w:spacing w:val="30"/>
          <w:sz w:val="21"/>
          <w:szCs w:val="21"/>
        </w:rPr>
        <w:t xml:space="preserve">  </w:t>
      </w:r>
      <w:r w:rsidRPr="00B94CD4">
        <w:rPr>
          <w:rFonts w:ascii="Abadi" w:hAnsi="Abadi"/>
          <w:b w:val="0"/>
          <w:bCs w:val="0"/>
          <w:sz w:val="21"/>
          <w:szCs w:val="21"/>
        </w:rPr>
        <w:t>Puntos</w:t>
      </w:r>
      <w:r w:rsidRPr="00B94CD4">
        <w:rPr>
          <w:rFonts w:ascii="Abadi" w:hAnsi="Abadi"/>
          <w:b w:val="0"/>
          <w:bCs w:val="0"/>
          <w:spacing w:val="30"/>
          <w:sz w:val="21"/>
          <w:szCs w:val="21"/>
        </w:rPr>
        <w:t xml:space="preserve">  </w:t>
      </w:r>
      <w:r w:rsidRPr="00B94CD4">
        <w:rPr>
          <w:rFonts w:ascii="Abadi" w:hAnsi="Abadi"/>
          <w:b w:val="0"/>
          <w:bCs w:val="0"/>
          <w:sz w:val="21"/>
          <w:szCs w:val="21"/>
        </w:rPr>
        <w:t>Constitucionales</w:t>
      </w:r>
      <w:r w:rsidRPr="00B94CD4">
        <w:rPr>
          <w:rFonts w:ascii="Abadi" w:hAnsi="Abadi"/>
          <w:b w:val="0"/>
          <w:bCs w:val="0"/>
          <w:spacing w:val="30"/>
          <w:sz w:val="21"/>
          <w:szCs w:val="21"/>
        </w:rPr>
        <w:t xml:space="preserve">  </w:t>
      </w:r>
      <w:r w:rsidRPr="00B94CD4">
        <w:rPr>
          <w:rFonts w:ascii="Abadi" w:hAnsi="Abadi"/>
          <w:b w:val="0"/>
          <w:bCs w:val="0"/>
          <w:sz w:val="21"/>
          <w:szCs w:val="21"/>
        </w:rPr>
        <w:t>relativo</w:t>
      </w:r>
      <w:r w:rsidRPr="00B94CD4">
        <w:rPr>
          <w:rFonts w:ascii="Abadi" w:hAnsi="Abadi"/>
          <w:b w:val="0"/>
          <w:bCs w:val="0"/>
          <w:spacing w:val="30"/>
          <w:sz w:val="21"/>
          <w:szCs w:val="21"/>
        </w:rPr>
        <w:t xml:space="preserve">  </w:t>
      </w:r>
      <w:r w:rsidRPr="00B94CD4">
        <w:rPr>
          <w:rFonts w:ascii="Abadi" w:hAnsi="Abadi"/>
          <w:b w:val="0"/>
          <w:bCs w:val="0"/>
          <w:sz w:val="21"/>
          <w:szCs w:val="21"/>
        </w:rPr>
        <w:t>a</w:t>
      </w:r>
      <w:r w:rsidRPr="00B94CD4">
        <w:rPr>
          <w:rFonts w:ascii="Abadi" w:hAnsi="Abadi"/>
          <w:b w:val="0"/>
          <w:bCs w:val="0"/>
          <w:spacing w:val="30"/>
          <w:sz w:val="21"/>
          <w:szCs w:val="21"/>
        </w:rPr>
        <w:t xml:space="preserve">  </w:t>
      </w:r>
      <w:r w:rsidRPr="00B94CD4">
        <w:rPr>
          <w:rFonts w:ascii="Abadi" w:hAnsi="Abadi"/>
          <w:b w:val="0"/>
          <w:bCs w:val="0"/>
          <w:sz w:val="21"/>
          <w:szCs w:val="21"/>
        </w:rPr>
        <w:t>las</w:t>
      </w:r>
      <w:r w:rsidRPr="00B94CD4">
        <w:rPr>
          <w:rFonts w:ascii="Abadi" w:hAnsi="Abadi"/>
          <w:b w:val="0"/>
          <w:bCs w:val="0"/>
          <w:spacing w:val="-2"/>
          <w:sz w:val="21"/>
          <w:szCs w:val="21"/>
        </w:rPr>
        <w:t xml:space="preserve"> </w:t>
      </w:r>
      <w:r w:rsidRPr="00B94CD4">
        <w:rPr>
          <w:rFonts w:ascii="Abadi" w:hAnsi="Abadi"/>
          <w:b w:val="0"/>
          <w:bCs w:val="0"/>
          <w:sz w:val="21"/>
          <w:szCs w:val="21"/>
        </w:rPr>
        <w:t>iniciativas, la primera formulada por el ayuntamiento de León, Gto, a efecto</w:t>
      </w:r>
      <w:r w:rsidRPr="00B94CD4">
        <w:rPr>
          <w:rFonts w:ascii="Abadi" w:hAnsi="Abadi"/>
          <w:b w:val="0"/>
          <w:bCs w:val="0"/>
          <w:spacing w:val="-2"/>
          <w:sz w:val="21"/>
          <w:szCs w:val="21"/>
        </w:rPr>
        <w:t xml:space="preserve"> </w:t>
      </w:r>
      <w:r w:rsidRPr="00B94CD4">
        <w:rPr>
          <w:rFonts w:ascii="Abadi" w:hAnsi="Abadi"/>
          <w:b w:val="0"/>
          <w:bCs w:val="0"/>
          <w:sz w:val="21"/>
          <w:szCs w:val="21"/>
        </w:rPr>
        <w:t>de</w:t>
      </w:r>
      <w:r w:rsidRPr="00B94CD4">
        <w:rPr>
          <w:rFonts w:ascii="Abadi" w:hAnsi="Abadi"/>
          <w:b w:val="0"/>
          <w:bCs w:val="0"/>
          <w:spacing w:val="29"/>
          <w:sz w:val="21"/>
          <w:szCs w:val="21"/>
        </w:rPr>
        <w:t xml:space="preserve"> </w:t>
      </w:r>
      <w:r w:rsidRPr="00B94CD4">
        <w:rPr>
          <w:rFonts w:ascii="Abadi" w:hAnsi="Abadi"/>
          <w:b w:val="0"/>
          <w:bCs w:val="0"/>
          <w:sz w:val="21"/>
          <w:szCs w:val="21"/>
        </w:rPr>
        <w:t>reformar</w:t>
      </w:r>
      <w:r w:rsidRPr="00B94CD4">
        <w:rPr>
          <w:rFonts w:ascii="Abadi" w:hAnsi="Abadi"/>
          <w:b w:val="0"/>
          <w:bCs w:val="0"/>
          <w:spacing w:val="29"/>
          <w:sz w:val="21"/>
          <w:szCs w:val="21"/>
        </w:rPr>
        <w:t xml:space="preserve"> </w:t>
      </w:r>
      <w:r w:rsidRPr="00B94CD4">
        <w:rPr>
          <w:rFonts w:ascii="Abadi" w:hAnsi="Abadi"/>
          <w:b w:val="0"/>
          <w:bCs w:val="0"/>
          <w:sz w:val="21"/>
          <w:szCs w:val="21"/>
        </w:rPr>
        <w:t>y</w:t>
      </w:r>
      <w:r w:rsidRPr="00B94CD4">
        <w:rPr>
          <w:rFonts w:ascii="Abadi" w:hAnsi="Abadi"/>
          <w:b w:val="0"/>
          <w:bCs w:val="0"/>
          <w:spacing w:val="29"/>
          <w:sz w:val="21"/>
          <w:szCs w:val="21"/>
        </w:rPr>
        <w:t xml:space="preserve"> </w:t>
      </w:r>
      <w:r w:rsidRPr="00B94CD4">
        <w:rPr>
          <w:rFonts w:ascii="Abadi" w:hAnsi="Abadi"/>
          <w:b w:val="0"/>
          <w:bCs w:val="0"/>
          <w:sz w:val="21"/>
          <w:szCs w:val="21"/>
        </w:rPr>
        <w:t>adicionar</w:t>
      </w:r>
      <w:r w:rsidRPr="00B94CD4">
        <w:rPr>
          <w:rFonts w:ascii="Abadi" w:hAnsi="Abadi"/>
          <w:b w:val="0"/>
          <w:bCs w:val="0"/>
          <w:spacing w:val="29"/>
          <w:sz w:val="21"/>
          <w:szCs w:val="21"/>
        </w:rPr>
        <w:t xml:space="preserve"> </w:t>
      </w:r>
      <w:r w:rsidRPr="00B94CD4">
        <w:rPr>
          <w:rFonts w:ascii="Abadi" w:hAnsi="Abadi"/>
          <w:b w:val="0"/>
          <w:bCs w:val="0"/>
          <w:sz w:val="21"/>
          <w:szCs w:val="21"/>
        </w:rPr>
        <w:t>diversas</w:t>
      </w:r>
      <w:r w:rsidRPr="00B94CD4">
        <w:rPr>
          <w:rFonts w:ascii="Abadi" w:hAnsi="Abadi"/>
          <w:b w:val="0"/>
          <w:bCs w:val="0"/>
          <w:spacing w:val="29"/>
          <w:sz w:val="21"/>
          <w:szCs w:val="21"/>
        </w:rPr>
        <w:t xml:space="preserve"> </w:t>
      </w:r>
      <w:r w:rsidRPr="00B94CD4">
        <w:rPr>
          <w:rFonts w:ascii="Abadi" w:hAnsi="Abadi"/>
          <w:b w:val="0"/>
          <w:bCs w:val="0"/>
          <w:sz w:val="21"/>
          <w:szCs w:val="21"/>
        </w:rPr>
        <w:t>disposiciones</w:t>
      </w:r>
      <w:r w:rsidRPr="00B94CD4">
        <w:rPr>
          <w:rFonts w:ascii="Abadi" w:hAnsi="Abadi"/>
          <w:b w:val="0"/>
          <w:bCs w:val="0"/>
          <w:spacing w:val="29"/>
          <w:sz w:val="21"/>
          <w:szCs w:val="21"/>
        </w:rPr>
        <w:t xml:space="preserve"> </w:t>
      </w:r>
      <w:r w:rsidRPr="00B94CD4">
        <w:rPr>
          <w:rFonts w:ascii="Abadi" w:hAnsi="Abadi"/>
          <w:b w:val="0"/>
          <w:bCs w:val="0"/>
          <w:sz w:val="21"/>
          <w:szCs w:val="21"/>
        </w:rPr>
        <w:t>de</w:t>
      </w:r>
      <w:r w:rsidRPr="00B94CD4">
        <w:rPr>
          <w:rFonts w:ascii="Abadi" w:hAnsi="Abadi"/>
          <w:b w:val="0"/>
          <w:bCs w:val="0"/>
          <w:spacing w:val="29"/>
          <w:sz w:val="21"/>
          <w:szCs w:val="21"/>
        </w:rPr>
        <w:t xml:space="preserve"> </w:t>
      </w:r>
      <w:r w:rsidRPr="00B94CD4">
        <w:rPr>
          <w:rFonts w:ascii="Abadi" w:hAnsi="Abadi"/>
          <w:b w:val="0"/>
          <w:bCs w:val="0"/>
          <w:sz w:val="21"/>
          <w:szCs w:val="21"/>
        </w:rPr>
        <w:t>la</w:t>
      </w:r>
      <w:r w:rsidRPr="00B94CD4">
        <w:rPr>
          <w:rFonts w:ascii="Abadi" w:hAnsi="Abadi"/>
          <w:b w:val="0"/>
          <w:bCs w:val="0"/>
          <w:spacing w:val="29"/>
          <w:sz w:val="21"/>
          <w:szCs w:val="21"/>
        </w:rPr>
        <w:t xml:space="preserve"> </w:t>
      </w:r>
      <w:r w:rsidRPr="00B94CD4">
        <w:rPr>
          <w:rFonts w:ascii="Abadi" w:hAnsi="Abadi"/>
          <w:b w:val="0"/>
          <w:bCs w:val="0"/>
          <w:sz w:val="21"/>
          <w:szCs w:val="21"/>
        </w:rPr>
        <w:t>Constitución</w:t>
      </w:r>
      <w:r w:rsidRPr="00B94CD4">
        <w:rPr>
          <w:rFonts w:ascii="Abadi" w:hAnsi="Abadi"/>
          <w:b w:val="0"/>
          <w:bCs w:val="0"/>
          <w:spacing w:val="29"/>
          <w:sz w:val="21"/>
          <w:szCs w:val="21"/>
        </w:rPr>
        <w:t xml:space="preserve"> </w:t>
      </w:r>
      <w:r w:rsidRPr="00B94CD4">
        <w:rPr>
          <w:rFonts w:ascii="Abadi" w:hAnsi="Abadi"/>
          <w:b w:val="0"/>
          <w:bCs w:val="0"/>
          <w:sz w:val="21"/>
          <w:szCs w:val="21"/>
        </w:rPr>
        <w:t>Política</w:t>
      </w:r>
      <w:r w:rsidRPr="00B94CD4">
        <w:rPr>
          <w:rFonts w:ascii="Abadi" w:hAnsi="Abadi"/>
          <w:b w:val="0"/>
          <w:bCs w:val="0"/>
          <w:spacing w:val="-2"/>
          <w:sz w:val="21"/>
          <w:szCs w:val="21"/>
        </w:rPr>
        <w:t xml:space="preserve"> </w:t>
      </w:r>
      <w:r w:rsidRPr="00B94CD4">
        <w:rPr>
          <w:rFonts w:ascii="Abadi" w:hAnsi="Abadi"/>
          <w:b w:val="0"/>
          <w:bCs w:val="0"/>
          <w:sz w:val="21"/>
          <w:szCs w:val="21"/>
        </w:rPr>
        <w:t>para</w:t>
      </w:r>
      <w:r w:rsidRPr="00B94CD4">
        <w:rPr>
          <w:rFonts w:ascii="Abadi" w:hAnsi="Abadi"/>
          <w:b w:val="0"/>
          <w:bCs w:val="0"/>
          <w:spacing w:val="-13"/>
          <w:sz w:val="21"/>
          <w:szCs w:val="21"/>
        </w:rPr>
        <w:t xml:space="preserve"> </w:t>
      </w:r>
      <w:r w:rsidRPr="00B94CD4">
        <w:rPr>
          <w:rFonts w:ascii="Abadi" w:hAnsi="Abadi"/>
          <w:b w:val="0"/>
          <w:bCs w:val="0"/>
          <w:sz w:val="21"/>
          <w:szCs w:val="21"/>
        </w:rPr>
        <w:t>el</w:t>
      </w:r>
      <w:r w:rsidRPr="00B94CD4">
        <w:rPr>
          <w:rFonts w:ascii="Abadi" w:hAnsi="Abadi"/>
          <w:b w:val="0"/>
          <w:bCs w:val="0"/>
          <w:spacing w:val="-13"/>
          <w:sz w:val="21"/>
          <w:szCs w:val="21"/>
        </w:rPr>
        <w:t xml:space="preserve"> </w:t>
      </w:r>
      <w:r w:rsidRPr="00B94CD4">
        <w:rPr>
          <w:rFonts w:ascii="Abadi" w:hAnsi="Abadi"/>
          <w:b w:val="0"/>
          <w:bCs w:val="0"/>
          <w:sz w:val="21"/>
          <w:szCs w:val="21"/>
        </w:rPr>
        <w:t>Estado</w:t>
      </w:r>
      <w:r w:rsidRPr="00B94CD4">
        <w:rPr>
          <w:rFonts w:ascii="Abadi" w:hAnsi="Abadi"/>
          <w:b w:val="0"/>
          <w:bCs w:val="0"/>
          <w:spacing w:val="-13"/>
          <w:sz w:val="21"/>
          <w:szCs w:val="21"/>
        </w:rPr>
        <w:t xml:space="preserve"> </w:t>
      </w:r>
      <w:r w:rsidRPr="00B94CD4">
        <w:rPr>
          <w:rFonts w:ascii="Abadi" w:hAnsi="Abadi"/>
          <w:b w:val="0"/>
          <w:bCs w:val="0"/>
          <w:sz w:val="21"/>
          <w:szCs w:val="21"/>
        </w:rPr>
        <w:t>de</w:t>
      </w:r>
      <w:r w:rsidRPr="00B94CD4">
        <w:rPr>
          <w:rFonts w:ascii="Abadi" w:hAnsi="Abadi"/>
          <w:b w:val="0"/>
          <w:bCs w:val="0"/>
          <w:spacing w:val="-13"/>
          <w:sz w:val="21"/>
          <w:szCs w:val="21"/>
        </w:rPr>
        <w:t xml:space="preserve"> </w:t>
      </w:r>
      <w:r w:rsidRPr="00B94CD4">
        <w:rPr>
          <w:rFonts w:ascii="Abadi" w:hAnsi="Abadi"/>
          <w:b w:val="0"/>
          <w:bCs w:val="0"/>
          <w:sz w:val="21"/>
          <w:szCs w:val="21"/>
        </w:rPr>
        <w:t>Guanajuato</w:t>
      </w:r>
      <w:r w:rsidRPr="00B94CD4">
        <w:rPr>
          <w:rFonts w:ascii="Abadi" w:hAnsi="Abadi"/>
          <w:b w:val="0"/>
          <w:bCs w:val="0"/>
          <w:spacing w:val="-13"/>
          <w:sz w:val="21"/>
          <w:szCs w:val="21"/>
        </w:rPr>
        <w:t xml:space="preserve"> </w:t>
      </w:r>
      <w:r w:rsidRPr="00B94CD4">
        <w:rPr>
          <w:rFonts w:ascii="Abadi" w:hAnsi="Abadi"/>
          <w:b w:val="0"/>
          <w:bCs w:val="0"/>
          <w:sz w:val="21"/>
          <w:szCs w:val="21"/>
        </w:rPr>
        <w:t>y</w:t>
      </w:r>
      <w:r w:rsidRPr="00B94CD4">
        <w:rPr>
          <w:rFonts w:ascii="Abadi" w:hAnsi="Abadi"/>
          <w:b w:val="0"/>
          <w:bCs w:val="0"/>
          <w:spacing w:val="-13"/>
          <w:sz w:val="21"/>
          <w:szCs w:val="21"/>
        </w:rPr>
        <w:t xml:space="preserve"> </w:t>
      </w:r>
      <w:r w:rsidRPr="00B94CD4">
        <w:rPr>
          <w:rFonts w:ascii="Abadi" w:hAnsi="Abadi"/>
          <w:b w:val="0"/>
          <w:bCs w:val="0"/>
          <w:sz w:val="21"/>
          <w:szCs w:val="21"/>
        </w:rPr>
        <w:t>de</w:t>
      </w:r>
      <w:r w:rsidRPr="00B94CD4">
        <w:rPr>
          <w:rFonts w:ascii="Abadi" w:hAnsi="Abadi"/>
          <w:b w:val="0"/>
          <w:bCs w:val="0"/>
          <w:spacing w:val="-13"/>
          <w:sz w:val="21"/>
          <w:szCs w:val="21"/>
        </w:rPr>
        <w:t xml:space="preserve"> </w:t>
      </w:r>
      <w:r w:rsidRPr="00B94CD4">
        <w:rPr>
          <w:rFonts w:ascii="Abadi" w:hAnsi="Abadi"/>
          <w:b w:val="0"/>
          <w:bCs w:val="0"/>
          <w:sz w:val="21"/>
          <w:szCs w:val="21"/>
        </w:rPr>
        <w:t>la</w:t>
      </w:r>
      <w:r w:rsidRPr="00B94CD4">
        <w:rPr>
          <w:rFonts w:ascii="Abadi" w:hAnsi="Abadi"/>
          <w:b w:val="0"/>
          <w:bCs w:val="0"/>
          <w:spacing w:val="-13"/>
          <w:sz w:val="21"/>
          <w:szCs w:val="21"/>
        </w:rPr>
        <w:t xml:space="preserve"> </w:t>
      </w:r>
      <w:r w:rsidRPr="00B94CD4">
        <w:rPr>
          <w:rFonts w:ascii="Abadi" w:hAnsi="Abadi"/>
          <w:b w:val="0"/>
          <w:bCs w:val="0"/>
          <w:sz w:val="21"/>
          <w:szCs w:val="21"/>
        </w:rPr>
        <w:t>Ley</w:t>
      </w:r>
      <w:r w:rsidRPr="00B94CD4">
        <w:rPr>
          <w:rFonts w:ascii="Abadi" w:hAnsi="Abadi"/>
          <w:b w:val="0"/>
          <w:bCs w:val="0"/>
          <w:spacing w:val="-13"/>
          <w:sz w:val="21"/>
          <w:szCs w:val="21"/>
        </w:rPr>
        <w:t xml:space="preserve"> </w:t>
      </w:r>
      <w:r w:rsidRPr="00B94CD4">
        <w:rPr>
          <w:rFonts w:ascii="Abadi" w:hAnsi="Abadi"/>
          <w:b w:val="0"/>
          <w:bCs w:val="0"/>
          <w:sz w:val="21"/>
          <w:szCs w:val="21"/>
        </w:rPr>
        <w:t>Orgánica</w:t>
      </w:r>
      <w:r w:rsidRPr="00B94CD4">
        <w:rPr>
          <w:rFonts w:ascii="Abadi" w:hAnsi="Abadi"/>
          <w:b w:val="0"/>
          <w:bCs w:val="0"/>
          <w:spacing w:val="-13"/>
          <w:sz w:val="21"/>
          <w:szCs w:val="21"/>
        </w:rPr>
        <w:t xml:space="preserve"> </w:t>
      </w:r>
      <w:r w:rsidRPr="00B94CD4">
        <w:rPr>
          <w:rFonts w:ascii="Abadi" w:hAnsi="Abadi"/>
          <w:b w:val="0"/>
          <w:bCs w:val="0"/>
          <w:sz w:val="21"/>
          <w:szCs w:val="21"/>
        </w:rPr>
        <w:t>Municipal</w:t>
      </w:r>
      <w:r w:rsidRPr="00B94CD4">
        <w:rPr>
          <w:rFonts w:ascii="Abadi" w:hAnsi="Abadi"/>
          <w:b w:val="0"/>
          <w:bCs w:val="0"/>
          <w:spacing w:val="-13"/>
          <w:sz w:val="21"/>
          <w:szCs w:val="21"/>
        </w:rPr>
        <w:t xml:space="preserve"> </w:t>
      </w:r>
      <w:r w:rsidRPr="00B94CD4">
        <w:rPr>
          <w:rFonts w:ascii="Abadi" w:hAnsi="Abadi"/>
          <w:b w:val="0"/>
          <w:bCs w:val="0"/>
          <w:sz w:val="21"/>
          <w:szCs w:val="21"/>
        </w:rPr>
        <w:t>para</w:t>
      </w:r>
      <w:r w:rsidRPr="00B94CD4">
        <w:rPr>
          <w:rFonts w:ascii="Abadi" w:hAnsi="Abadi"/>
          <w:b w:val="0"/>
          <w:bCs w:val="0"/>
          <w:spacing w:val="-13"/>
          <w:sz w:val="21"/>
          <w:szCs w:val="21"/>
        </w:rPr>
        <w:t xml:space="preserve"> </w:t>
      </w:r>
      <w:r w:rsidRPr="00B94CD4">
        <w:rPr>
          <w:rFonts w:ascii="Abadi" w:hAnsi="Abadi"/>
          <w:b w:val="0"/>
          <w:bCs w:val="0"/>
          <w:sz w:val="21"/>
          <w:szCs w:val="21"/>
        </w:rPr>
        <w:t>el</w:t>
      </w:r>
      <w:r w:rsidRPr="00B94CD4">
        <w:rPr>
          <w:rFonts w:ascii="Abadi" w:hAnsi="Abadi"/>
          <w:b w:val="0"/>
          <w:bCs w:val="0"/>
          <w:spacing w:val="-13"/>
          <w:sz w:val="21"/>
          <w:szCs w:val="21"/>
        </w:rPr>
        <w:t xml:space="preserve"> </w:t>
      </w:r>
      <w:r w:rsidRPr="00B94CD4">
        <w:rPr>
          <w:rFonts w:ascii="Abadi" w:hAnsi="Abadi"/>
          <w:b w:val="0"/>
          <w:bCs w:val="0"/>
          <w:sz w:val="21"/>
          <w:szCs w:val="21"/>
        </w:rPr>
        <w:t>Estado</w:t>
      </w:r>
      <w:r w:rsidRPr="00B94CD4">
        <w:rPr>
          <w:rFonts w:ascii="Abadi" w:hAnsi="Abadi"/>
          <w:b w:val="0"/>
          <w:bCs w:val="0"/>
          <w:spacing w:val="-2"/>
          <w:sz w:val="21"/>
          <w:szCs w:val="21"/>
        </w:rPr>
        <w:t xml:space="preserve"> </w:t>
      </w:r>
      <w:r w:rsidRPr="00B94CD4">
        <w:rPr>
          <w:rFonts w:ascii="Abadi" w:hAnsi="Abadi"/>
          <w:b w:val="0"/>
          <w:bCs w:val="0"/>
          <w:sz w:val="21"/>
          <w:szCs w:val="21"/>
        </w:rPr>
        <w:t>de</w:t>
      </w:r>
      <w:r w:rsidRPr="00B94CD4">
        <w:rPr>
          <w:rFonts w:ascii="Abadi" w:hAnsi="Abadi"/>
          <w:b w:val="0"/>
          <w:bCs w:val="0"/>
          <w:spacing w:val="-12"/>
          <w:sz w:val="21"/>
          <w:szCs w:val="21"/>
        </w:rPr>
        <w:t xml:space="preserve"> </w:t>
      </w:r>
      <w:r w:rsidRPr="00B94CD4">
        <w:rPr>
          <w:rFonts w:ascii="Abadi" w:hAnsi="Abadi"/>
          <w:b w:val="0"/>
          <w:bCs w:val="0"/>
          <w:sz w:val="21"/>
          <w:szCs w:val="21"/>
        </w:rPr>
        <w:t>Guanajuato,</w:t>
      </w:r>
      <w:r w:rsidRPr="00B94CD4">
        <w:rPr>
          <w:rFonts w:ascii="Abadi" w:hAnsi="Abadi"/>
          <w:b w:val="0"/>
          <w:bCs w:val="0"/>
          <w:spacing w:val="-12"/>
          <w:sz w:val="21"/>
          <w:szCs w:val="21"/>
        </w:rPr>
        <w:t xml:space="preserve"> </w:t>
      </w:r>
      <w:r w:rsidRPr="00B94CD4">
        <w:rPr>
          <w:rFonts w:ascii="Abadi" w:hAnsi="Abadi"/>
          <w:b w:val="0"/>
          <w:bCs w:val="0"/>
          <w:sz w:val="21"/>
          <w:szCs w:val="21"/>
        </w:rPr>
        <w:t>en</w:t>
      </w:r>
      <w:r w:rsidRPr="00B94CD4">
        <w:rPr>
          <w:rFonts w:ascii="Abadi" w:hAnsi="Abadi"/>
          <w:b w:val="0"/>
          <w:bCs w:val="0"/>
          <w:spacing w:val="-12"/>
          <w:sz w:val="21"/>
          <w:szCs w:val="21"/>
        </w:rPr>
        <w:t xml:space="preserve"> </w:t>
      </w:r>
      <w:r w:rsidRPr="00B94CD4">
        <w:rPr>
          <w:rFonts w:ascii="Abadi" w:hAnsi="Abadi"/>
          <w:b w:val="0"/>
          <w:bCs w:val="0"/>
          <w:sz w:val="21"/>
          <w:szCs w:val="21"/>
        </w:rPr>
        <w:t>lo</w:t>
      </w:r>
      <w:r w:rsidRPr="00B94CD4">
        <w:rPr>
          <w:rFonts w:ascii="Abadi" w:hAnsi="Abadi"/>
          <w:b w:val="0"/>
          <w:bCs w:val="0"/>
          <w:spacing w:val="-12"/>
          <w:sz w:val="21"/>
          <w:szCs w:val="21"/>
        </w:rPr>
        <w:t xml:space="preserve"> </w:t>
      </w:r>
      <w:r w:rsidRPr="00B94CD4">
        <w:rPr>
          <w:rFonts w:ascii="Abadi" w:hAnsi="Abadi"/>
          <w:b w:val="0"/>
          <w:bCs w:val="0"/>
          <w:sz w:val="21"/>
          <w:szCs w:val="21"/>
        </w:rPr>
        <w:t>que</w:t>
      </w:r>
      <w:r w:rsidRPr="00B94CD4">
        <w:rPr>
          <w:rFonts w:ascii="Abadi" w:hAnsi="Abadi"/>
          <w:b w:val="0"/>
          <w:bCs w:val="0"/>
          <w:spacing w:val="-12"/>
          <w:sz w:val="21"/>
          <w:szCs w:val="21"/>
        </w:rPr>
        <w:t xml:space="preserve"> </w:t>
      </w:r>
      <w:r w:rsidRPr="00B94CD4">
        <w:rPr>
          <w:rFonts w:ascii="Abadi" w:hAnsi="Abadi"/>
          <w:b w:val="0"/>
          <w:bCs w:val="0"/>
          <w:sz w:val="21"/>
          <w:szCs w:val="21"/>
        </w:rPr>
        <w:t>corresponde</w:t>
      </w:r>
      <w:r w:rsidRPr="00B94CD4">
        <w:rPr>
          <w:rFonts w:ascii="Abadi" w:hAnsi="Abadi"/>
          <w:b w:val="0"/>
          <w:bCs w:val="0"/>
          <w:spacing w:val="-12"/>
          <w:sz w:val="21"/>
          <w:szCs w:val="21"/>
        </w:rPr>
        <w:t xml:space="preserve"> </w:t>
      </w:r>
      <w:r w:rsidRPr="00B94CD4">
        <w:rPr>
          <w:rFonts w:ascii="Abadi" w:hAnsi="Abadi"/>
          <w:b w:val="0"/>
          <w:bCs w:val="0"/>
          <w:sz w:val="21"/>
          <w:szCs w:val="21"/>
        </w:rPr>
        <w:t>al</w:t>
      </w:r>
      <w:r w:rsidRPr="00B94CD4">
        <w:rPr>
          <w:rFonts w:ascii="Abadi" w:hAnsi="Abadi"/>
          <w:b w:val="0"/>
          <w:bCs w:val="0"/>
          <w:spacing w:val="-12"/>
          <w:sz w:val="21"/>
          <w:szCs w:val="21"/>
        </w:rPr>
        <w:t xml:space="preserve"> </w:t>
      </w:r>
      <w:r w:rsidRPr="00B94CD4">
        <w:rPr>
          <w:rFonts w:ascii="Abadi" w:hAnsi="Abadi"/>
          <w:b w:val="0"/>
          <w:bCs w:val="0"/>
          <w:sz w:val="21"/>
          <w:szCs w:val="21"/>
        </w:rPr>
        <w:t>primer</w:t>
      </w:r>
      <w:r w:rsidRPr="00B94CD4">
        <w:rPr>
          <w:rFonts w:ascii="Abadi" w:hAnsi="Abadi"/>
          <w:b w:val="0"/>
          <w:bCs w:val="0"/>
          <w:spacing w:val="-12"/>
          <w:sz w:val="21"/>
          <w:szCs w:val="21"/>
        </w:rPr>
        <w:t xml:space="preserve"> </w:t>
      </w:r>
      <w:r w:rsidRPr="00B94CD4">
        <w:rPr>
          <w:rFonts w:ascii="Abadi" w:hAnsi="Abadi"/>
          <w:b w:val="0"/>
          <w:bCs w:val="0"/>
          <w:sz w:val="21"/>
          <w:szCs w:val="21"/>
        </w:rPr>
        <w:t>ordenamiento</w:t>
      </w:r>
      <w:r w:rsidRPr="00B94CD4">
        <w:rPr>
          <w:rFonts w:ascii="Abadi" w:hAnsi="Abadi"/>
          <w:b w:val="0"/>
          <w:bCs w:val="0"/>
          <w:spacing w:val="-12"/>
          <w:sz w:val="21"/>
          <w:szCs w:val="21"/>
        </w:rPr>
        <w:t xml:space="preserve"> </w:t>
      </w:r>
      <w:r w:rsidRPr="00B94CD4">
        <w:rPr>
          <w:rFonts w:ascii="Abadi" w:hAnsi="Abadi"/>
          <w:b w:val="0"/>
          <w:bCs w:val="0"/>
          <w:sz w:val="21"/>
          <w:szCs w:val="21"/>
        </w:rPr>
        <w:t>y,</w:t>
      </w:r>
      <w:r w:rsidRPr="00B94CD4">
        <w:rPr>
          <w:rFonts w:ascii="Abadi" w:hAnsi="Abadi"/>
          <w:b w:val="0"/>
          <w:bCs w:val="0"/>
          <w:spacing w:val="-12"/>
          <w:sz w:val="21"/>
          <w:szCs w:val="21"/>
        </w:rPr>
        <w:t xml:space="preserve"> </w:t>
      </w:r>
      <w:r w:rsidRPr="00B94CD4">
        <w:rPr>
          <w:rFonts w:ascii="Abadi" w:hAnsi="Abadi"/>
          <w:b w:val="0"/>
          <w:bCs w:val="0"/>
          <w:sz w:val="21"/>
          <w:szCs w:val="21"/>
        </w:rPr>
        <w:t>la</w:t>
      </w:r>
      <w:r w:rsidRPr="00B94CD4">
        <w:rPr>
          <w:rFonts w:ascii="Abadi" w:hAnsi="Abadi"/>
          <w:b w:val="0"/>
          <w:bCs w:val="0"/>
          <w:spacing w:val="-12"/>
          <w:sz w:val="21"/>
          <w:szCs w:val="21"/>
        </w:rPr>
        <w:t xml:space="preserve"> </w:t>
      </w:r>
      <w:r w:rsidRPr="00B94CD4">
        <w:rPr>
          <w:rFonts w:ascii="Abadi" w:hAnsi="Abadi"/>
          <w:b w:val="0"/>
          <w:bCs w:val="0"/>
          <w:sz w:val="21"/>
          <w:szCs w:val="21"/>
        </w:rPr>
        <w:t>segunda</w:t>
      </w:r>
      <w:r w:rsidRPr="00B94CD4">
        <w:rPr>
          <w:rFonts w:ascii="Abadi" w:hAnsi="Abadi"/>
          <w:b w:val="0"/>
          <w:bCs w:val="0"/>
          <w:spacing w:val="-2"/>
          <w:sz w:val="21"/>
          <w:szCs w:val="21"/>
        </w:rPr>
        <w:t xml:space="preserve"> </w:t>
      </w:r>
      <w:r w:rsidRPr="00B94CD4">
        <w:rPr>
          <w:rFonts w:ascii="Abadi" w:hAnsi="Abadi"/>
          <w:b w:val="0"/>
          <w:bCs w:val="0"/>
          <w:sz w:val="21"/>
          <w:szCs w:val="21"/>
        </w:rPr>
        <w:t>suscrita</w:t>
      </w:r>
      <w:r w:rsidRPr="00B94CD4">
        <w:rPr>
          <w:rFonts w:ascii="Abadi" w:hAnsi="Abadi"/>
          <w:b w:val="0"/>
          <w:bCs w:val="0"/>
          <w:spacing w:val="19"/>
          <w:sz w:val="21"/>
          <w:szCs w:val="21"/>
        </w:rPr>
        <w:t xml:space="preserve"> </w:t>
      </w:r>
      <w:r w:rsidRPr="00B94CD4">
        <w:rPr>
          <w:rFonts w:ascii="Abadi" w:hAnsi="Abadi"/>
          <w:b w:val="0"/>
          <w:bCs w:val="0"/>
          <w:sz w:val="21"/>
          <w:szCs w:val="21"/>
        </w:rPr>
        <w:t>por</w:t>
      </w:r>
      <w:r w:rsidRPr="00B94CD4">
        <w:rPr>
          <w:rFonts w:ascii="Abadi" w:hAnsi="Abadi"/>
          <w:b w:val="0"/>
          <w:bCs w:val="0"/>
          <w:spacing w:val="19"/>
          <w:sz w:val="21"/>
          <w:szCs w:val="21"/>
        </w:rPr>
        <w:t xml:space="preserve"> </w:t>
      </w:r>
      <w:r w:rsidRPr="00B94CD4">
        <w:rPr>
          <w:rFonts w:ascii="Abadi" w:hAnsi="Abadi"/>
          <w:b w:val="0"/>
          <w:bCs w:val="0"/>
          <w:sz w:val="21"/>
          <w:szCs w:val="21"/>
        </w:rPr>
        <w:t>diputada</w:t>
      </w:r>
      <w:r w:rsidRPr="00B94CD4">
        <w:rPr>
          <w:rFonts w:ascii="Abadi" w:hAnsi="Abadi"/>
          <w:b w:val="0"/>
          <w:bCs w:val="0"/>
          <w:spacing w:val="19"/>
          <w:sz w:val="21"/>
          <w:szCs w:val="21"/>
        </w:rPr>
        <w:t xml:space="preserve"> </w:t>
      </w:r>
      <w:r w:rsidRPr="00B94CD4">
        <w:rPr>
          <w:rFonts w:ascii="Abadi" w:hAnsi="Abadi"/>
          <w:b w:val="0"/>
          <w:bCs w:val="0"/>
          <w:sz w:val="21"/>
          <w:szCs w:val="21"/>
        </w:rPr>
        <w:t>y</w:t>
      </w:r>
      <w:r w:rsidRPr="00B94CD4">
        <w:rPr>
          <w:rFonts w:ascii="Abadi" w:hAnsi="Abadi"/>
          <w:b w:val="0"/>
          <w:bCs w:val="0"/>
          <w:spacing w:val="19"/>
          <w:sz w:val="21"/>
          <w:szCs w:val="21"/>
        </w:rPr>
        <w:t xml:space="preserve"> </w:t>
      </w:r>
      <w:r w:rsidRPr="00B94CD4">
        <w:rPr>
          <w:rFonts w:ascii="Abadi" w:hAnsi="Abadi"/>
          <w:b w:val="0"/>
          <w:bCs w:val="0"/>
          <w:sz w:val="21"/>
          <w:szCs w:val="21"/>
        </w:rPr>
        <w:t>diputados</w:t>
      </w:r>
      <w:r w:rsidRPr="00B94CD4">
        <w:rPr>
          <w:rFonts w:ascii="Abadi" w:hAnsi="Abadi"/>
          <w:b w:val="0"/>
          <w:bCs w:val="0"/>
          <w:spacing w:val="19"/>
          <w:sz w:val="21"/>
          <w:szCs w:val="21"/>
        </w:rPr>
        <w:t xml:space="preserve"> </w:t>
      </w:r>
      <w:r w:rsidRPr="00B94CD4">
        <w:rPr>
          <w:rFonts w:ascii="Abadi" w:hAnsi="Abadi"/>
          <w:b w:val="0"/>
          <w:bCs w:val="0"/>
          <w:sz w:val="21"/>
          <w:szCs w:val="21"/>
        </w:rPr>
        <w:t>integrantes</w:t>
      </w:r>
      <w:r w:rsidRPr="00B94CD4">
        <w:rPr>
          <w:rFonts w:ascii="Abadi" w:hAnsi="Abadi"/>
          <w:b w:val="0"/>
          <w:bCs w:val="0"/>
          <w:spacing w:val="19"/>
          <w:sz w:val="21"/>
          <w:szCs w:val="21"/>
        </w:rPr>
        <w:t xml:space="preserve"> </w:t>
      </w:r>
      <w:r w:rsidRPr="00B94CD4">
        <w:rPr>
          <w:rFonts w:ascii="Abadi" w:hAnsi="Abadi"/>
          <w:b w:val="0"/>
          <w:bCs w:val="0"/>
          <w:sz w:val="21"/>
          <w:szCs w:val="21"/>
        </w:rPr>
        <w:t>del</w:t>
      </w:r>
      <w:r w:rsidRPr="00B94CD4">
        <w:rPr>
          <w:rFonts w:ascii="Abadi" w:hAnsi="Abadi"/>
          <w:b w:val="0"/>
          <w:bCs w:val="0"/>
          <w:spacing w:val="19"/>
          <w:sz w:val="21"/>
          <w:szCs w:val="21"/>
        </w:rPr>
        <w:t xml:space="preserve"> </w:t>
      </w:r>
      <w:r w:rsidRPr="00B94CD4">
        <w:rPr>
          <w:rFonts w:ascii="Abadi" w:hAnsi="Abadi"/>
          <w:b w:val="0"/>
          <w:bCs w:val="0"/>
          <w:sz w:val="21"/>
          <w:szCs w:val="21"/>
        </w:rPr>
        <w:t>Grupo</w:t>
      </w:r>
      <w:r w:rsidRPr="00B94CD4">
        <w:rPr>
          <w:rFonts w:ascii="Abadi" w:hAnsi="Abadi"/>
          <w:b w:val="0"/>
          <w:bCs w:val="0"/>
          <w:spacing w:val="19"/>
          <w:sz w:val="21"/>
          <w:szCs w:val="21"/>
        </w:rPr>
        <w:t xml:space="preserve"> </w:t>
      </w:r>
      <w:r w:rsidRPr="00B94CD4">
        <w:rPr>
          <w:rFonts w:ascii="Abadi" w:hAnsi="Abadi"/>
          <w:b w:val="0"/>
          <w:bCs w:val="0"/>
          <w:sz w:val="21"/>
          <w:szCs w:val="21"/>
        </w:rPr>
        <w:t>Parlamentario</w:t>
      </w:r>
      <w:r w:rsidRPr="00B94CD4">
        <w:rPr>
          <w:rFonts w:ascii="Abadi" w:hAnsi="Abadi"/>
          <w:b w:val="0"/>
          <w:bCs w:val="0"/>
          <w:spacing w:val="19"/>
          <w:sz w:val="21"/>
          <w:szCs w:val="21"/>
        </w:rPr>
        <w:t xml:space="preserve"> </w:t>
      </w:r>
      <w:r w:rsidRPr="00B94CD4">
        <w:rPr>
          <w:rFonts w:ascii="Abadi" w:hAnsi="Abadi"/>
          <w:b w:val="0"/>
          <w:bCs w:val="0"/>
          <w:sz w:val="21"/>
          <w:szCs w:val="21"/>
        </w:rPr>
        <w:t>del</w:t>
      </w:r>
      <w:r w:rsidRPr="00B94CD4">
        <w:rPr>
          <w:rFonts w:ascii="Abadi" w:hAnsi="Abadi"/>
          <w:b w:val="0"/>
          <w:bCs w:val="0"/>
          <w:spacing w:val="-2"/>
          <w:sz w:val="21"/>
          <w:szCs w:val="21"/>
        </w:rPr>
        <w:t xml:space="preserve"> </w:t>
      </w:r>
      <w:r w:rsidRPr="00B94CD4">
        <w:rPr>
          <w:rFonts w:ascii="Abadi" w:hAnsi="Abadi"/>
          <w:b w:val="0"/>
          <w:bCs w:val="0"/>
          <w:sz w:val="21"/>
          <w:szCs w:val="21"/>
        </w:rPr>
        <w:t>Partido</w:t>
      </w:r>
      <w:r w:rsidRPr="00B94CD4">
        <w:rPr>
          <w:rFonts w:ascii="Abadi" w:hAnsi="Abadi"/>
          <w:b w:val="0"/>
          <w:bCs w:val="0"/>
          <w:spacing w:val="46"/>
          <w:sz w:val="21"/>
          <w:szCs w:val="21"/>
        </w:rPr>
        <w:t xml:space="preserve"> </w:t>
      </w:r>
      <w:r w:rsidRPr="00B94CD4">
        <w:rPr>
          <w:rFonts w:ascii="Abadi" w:hAnsi="Abadi"/>
          <w:b w:val="0"/>
          <w:bCs w:val="0"/>
          <w:sz w:val="21"/>
          <w:szCs w:val="21"/>
        </w:rPr>
        <w:t>Revolucionario</w:t>
      </w:r>
      <w:r w:rsidRPr="00B94CD4">
        <w:rPr>
          <w:rFonts w:ascii="Abadi" w:hAnsi="Abadi"/>
          <w:b w:val="0"/>
          <w:bCs w:val="0"/>
          <w:spacing w:val="46"/>
          <w:sz w:val="21"/>
          <w:szCs w:val="21"/>
        </w:rPr>
        <w:t xml:space="preserve"> </w:t>
      </w:r>
      <w:r w:rsidRPr="00B94CD4">
        <w:rPr>
          <w:rFonts w:ascii="Abadi" w:hAnsi="Abadi"/>
          <w:b w:val="0"/>
          <w:bCs w:val="0"/>
          <w:sz w:val="21"/>
          <w:szCs w:val="21"/>
        </w:rPr>
        <w:t>Institucional</w:t>
      </w:r>
      <w:r w:rsidRPr="00B94CD4">
        <w:rPr>
          <w:rFonts w:ascii="Abadi" w:hAnsi="Abadi"/>
          <w:b w:val="0"/>
          <w:bCs w:val="0"/>
          <w:spacing w:val="46"/>
          <w:sz w:val="21"/>
          <w:szCs w:val="21"/>
        </w:rPr>
        <w:t xml:space="preserve"> </w:t>
      </w:r>
      <w:r w:rsidRPr="00B94CD4">
        <w:rPr>
          <w:rFonts w:ascii="Abadi" w:hAnsi="Abadi"/>
          <w:b w:val="0"/>
          <w:bCs w:val="0"/>
          <w:sz w:val="21"/>
          <w:szCs w:val="21"/>
        </w:rPr>
        <w:t>por</w:t>
      </w:r>
      <w:r w:rsidRPr="00B94CD4">
        <w:rPr>
          <w:rFonts w:ascii="Abadi" w:hAnsi="Abadi"/>
          <w:b w:val="0"/>
          <w:bCs w:val="0"/>
          <w:spacing w:val="46"/>
          <w:sz w:val="21"/>
          <w:szCs w:val="21"/>
        </w:rPr>
        <w:t xml:space="preserve"> </w:t>
      </w:r>
      <w:r w:rsidRPr="00B94CD4">
        <w:rPr>
          <w:rFonts w:ascii="Abadi" w:hAnsi="Abadi"/>
          <w:b w:val="0"/>
          <w:bCs w:val="0"/>
          <w:sz w:val="21"/>
          <w:szCs w:val="21"/>
        </w:rPr>
        <w:t>la</w:t>
      </w:r>
      <w:r w:rsidRPr="00B94CD4">
        <w:rPr>
          <w:rFonts w:ascii="Abadi" w:hAnsi="Abadi"/>
          <w:b w:val="0"/>
          <w:bCs w:val="0"/>
          <w:spacing w:val="46"/>
          <w:sz w:val="21"/>
          <w:szCs w:val="21"/>
        </w:rPr>
        <w:t xml:space="preserve"> </w:t>
      </w:r>
      <w:r w:rsidRPr="00B94CD4">
        <w:rPr>
          <w:rFonts w:ascii="Abadi" w:hAnsi="Abadi"/>
          <w:b w:val="0"/>
          <w:bCs w:val="0"/>
          <w:sz w:val="21"/>
          <w:szCs w:val="21"/>
        </w:rPr>
        <w:t>que</w:t>
      </w:r>
      <w:r w:rsidRPr="00B94CD4">
        <w:rPr>
          <w:rFonts w:ascii="Abadi" w:hAnsi="Abadi"/>
          <w:b w:val="0"/>
          <w:bCs w:val="0"/>
          <w:spacing w:val="46"/>
          <w:sz w:val="21"/>
          <w:szCs w:val="21"/>
        </w:rPr>
        <w:t xml:space="preserve"> </w:t>
      </w:r>
      <w:r w:rsidRPr="00B94CD4">
        <w:rPr>
          <w:rFonts w:ascii="Abadi" w:hAnsi="Abadi"/>
          <w:b w:val="0"/>
          <w:bCs w:val="0"/>
          <w:sz w:val="21"/>
          <w:szCs w:val="21"/>
        </w:rPr>
        <w:t>se</w:t>
      </w:r>
      <w:r w:rsidRPr="00B94CD4">
        <w:rPr>
          <w:rFonts w:ascii="Abadi" w:hAnsi="Abadi"/>
          <w:b w:val="0"/>
          <w:bCs w:val="0"/>
          <w:spacing w:val="46"/>
          <w:sz w:val="21"/>
          <w:szCs w:val="21"/>
        </w:rPr>
        <w:t xml:space="preserve"> </w:t>
      </w:r>
      <w:r w:rsidRPr="00B94CD4">
        <w:rPr>
          <w:rFonts w:ascii="Abadi" w:hAnsi="Abadi"/>
          <w:b w:val="0"/>
          <w:bCs w:val="0"/>
          <w:sz w:val="21"/>
          <w:szCs w:val="21"/>
        </w:rPr>
        <w:t>adiciona</w:t>
      </w:r>
      <w:r w:rsidRPr="00B94CD4">
        <w:rPr>
          <w:rFonts w:ascii="Abadi" w:hAnsi="Abadi"/>
          <w:b w:val="0"/>
          <w:bCs w:val="0"/>
          <w:spacing w:val="46"/>
          <w:sz w:val="21"/>
          <w:szCs w:val="21"/>
        </w:rPr>
        <w:t xml:space="preserve"> </w:t>
      </w:r>
      <w:r w:rsidRPr="00B94CD4">
        <w:rPr>
          <w:rFonts w:ascii="Abadi" w:hAnsi="Abadi"/>
          <w:b w:val="0"/>
          <w:bCs w:val="0"/>
          <w:sz w:val="21"/>
          <w:szCs w:val="21"/>
        </w:rPr>
        <w:t>un</w:t>
      </w:r>
      <w:r w:rsidRPr="00B94CD4">
        <w:rPr>
          <w:rFonts w:ascii="Abadi" w:hAnsi="Abadi"/>
          <w:b w:val="0"/>
          <w:bCs w:val="0"/>
          <w:spacing w:val="46"/>
          <w:sz w:val="21"/>
          <w:szCs w:val="21"/>
        </w:rPr>
        <w:t xml:space="preserve"> </w:t>
      </w:r>
      <w:r w:rsidRPr="00B94CD4">
        <w:rPr>
          <w:rFonts w:ascii="Abadi" w:hAnsi="Abadi"/>
          <w:b w:val="0"/>
          <w:bCs w:val="0"/>
          <w:sz w:val="21"/>
          <w:szCs w:val="21"/>
        </w:rPr>
        <w:t>párrafo</w:t>
      </w:r>
      <w:r w:rsidRPr="00B94CD4">
        <w:rPr>
          <w:rFonts w:ascii="Abadi" w:hAnsi="Abadi"/>
          <w:b w:val="0"/>
          <w:bCs w:val="0"/>
          <w:spacing w:val="46"/>
          <w:sz w:val="21"/>
          <w:szCs w:val="21"/>
        </w:rPr>
        <w:t xml:space="preserve"> </w:t>
      </w:r>
      <w:r w:rsidRPr="00B94CD4">
        <w:rPr>
          <w:rFonts w:ascii="Abadi" w:hAnsi="Abadi"/>
          <w:b w:val="0"/>
          <w:bCs w:val="0"/>
          <w:sz w:val="21"/>
          <w:szCs w:val="21"/>
        </w:rPr>
        <w:t>al</w:t>
      </w:r>
      <w:r w:rsidRPr="00B94CD4">
        <w:rPr>
          <w:rFonts w:ascii="Abadi" w:hAnsi="Abadi"/>
          <w:b w:val="0"/>
          <w:bCs w:val="0"/>
          <w:spacing w:val="-2"/>
          <w:sz w:val="21"/>
          <w:szCs w:val="21"/>
        </w:rPr>
        <w:t xml:space="preserve"> </w:t>
      </w:r>
      <w:r w:rsidRPr="00B94CD4">
        <w:rPr>
          <w:rFonts w:ascii="Abadi" w:hAnsi="Abadi"/>
          <w:b w:val="0"/>
          <w:bCs w:val="0"/>
          <w:sz w:val="21"/>
          <w:szCs w:val="21"/>
        </w:rPr>
        <w:t>artículo</w:t>
      </w:r>
      <w:r w:rsidRPr="00B94CD4">
        <w:rPr>
          <w:rFonts w:ascii="Abadi" w:hAnsi="Abadi"/>
          <w:b w:val="0"/>
          <w:bCs w:val="0"/>
          <w:spacing w:val="-1"/>
          <w:sz w:val="21"/>
          <w:szCs w:val="21"/>
        </w:rPr>
        <w:t xml:space="preserve"> </w:t>
      </w:r>
      <w:r w:rsidRPr="00B94CD4">
        <w:rPr>
          <w:rFonts w:ascii="Abadi" w:hAnsi="Abadi"/>
          <w:b w:val="0"/>
          <w:bCs w:val="0"/>
          <w:sz w:val="21"/>
          <w:szCs w:val="21"/>
        </w:rPr>
        <w:t>1</w:t>
      </w:r>
      <w:r w:rsidRPr="00B94CD4">
        <w:rPr>
          <w:rFonts w:ascii="Abadi" w:hAnsi="Abadi"/>
          <w:b w:val="0"/>
          <w:bCs w:val="0"/>
          <w:spacing w:val="-1"/>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la</w:t>
      </w:r>
      <w:r w:rsidRPr="00B94CD4">
        <w:rPr>
          <w:rFonts w:ascii="Abadi" w:hAnsi="Abadi"/>
          <w:b w:val="0"/>
          <w:bCs w:val="0"/>
          <w:spacing w:val="-1"/>
          <w:sz w:val="21"/>
          <w:szCs w:val="21"/>
        </w:rPr>
        <w:t xml:space="preserve"> </w:t>
      </w:r>
      <w:r w:rsidRPr="00B94CD4">
        <w:rPr>
          <w:rFonts w:ascii="Abadi" w:hAnsi="Abadi"/>
          <w:b w:val="0"/>
          <w:bCs w:val="0"/>
          <w:sz w:val="21"/>
          <w:szCs w:val="21"/>
        </w:rPr>
        <w:t>Constitución</w:t>
      </w:r>
      <w:r w:rsidRPr="00B94CD4">
        <w:rPr>
          <w:rFonts w:ascii="Abadi" w:hAnsi="Abadi"/>
          <w:b w:val="0"/>
          <w:bCs w:val="0"/>
          <w:spacing w:val="-1"/>
          <w:sz w:val="21"/>
          <w:szCs w:val="21"/>
        </w:rPr>
        <w:t xml:space="preserve"> </w:t>
      </w:r>
      <w:r w:rsidRPr="00B94CD4">
        <w:rPr>
          <w:rFonts w:ascii="Abadi" w:hAnsi="Abadi"/>
          <w:b w:val="0"/>
          <w:bCs w:val="0"/>
          <w:sz w:val="21"/>
          <w:szCs w:val="21"/>
        </w:rPr>
        <w:t>Política</w:t>
      </w:r>
      <w:r w:rsidRPr="00B94CD4">
        <w:rPr>
          <w:rFonts w:ascii="Abadi" w:hAnsi="Abadi"/>
          <w:b w:val="0"/>
          <w:bCs w:val="0"/>
          <w:spacing w:val="-1"/>
          <w:sz w:val="21"/>
          <w:szCs w:val="21"/>
        </w:rPr>
        <w:t xml:space="preserve"> </w:t>
      </w:r>
      <w:r w:rsidRPr="00B94CD4">
        <w:rPr>
          <w:rFonts w:ascii="Abadi" w:hAnsi="Abadi"/>
          <w:b w:val="0"/>
          <w:bCs w:val="0"/>
          <w:sz w:val="21"/>
          <w:szCs w:val="21"/>
        </w:rPr>
        <w:t>para</w:t>
      </w:r>
      <w:r w:rsidRPr="00B94CD4">
        <w:rPr>
          <w:rFonts w:ascii="Abadi" w:hAnsi="Abadi"/>
          <w:b w:val="0"/>
          <w:bCs w:val="0"/>
          <w:spacing w:val="-1"/>
          <w:sz w:val="21"/>
          <w:szCs w:val="21"/>
        </w:rPr>
        <w:t xml:space="preserve"> </w:t>
      </w:r>
      <w:r w:rsidRPr="00B94CD4">
        <w:rPr>
          <w:rFonts w:ascii="Abadi" w:hAnsi="Abadi"/>
          <w:b w:val="0"/>
          <w:bCs w:val="0"/>
          <w:sz w:val="21"/>
          <w:szCs w:val="21"/>
        </w:rPr>
        <w:t>el</w:t>
      </w:r>
      <w:r w:rsidRPr="00B94CD4">
        <w:rPr>
          <w:rFonts w:ascii="Abadi" w:hAnsi="Abadi"/>
          <w:b w:val="0"/>
          <w:bCs w:val="0"/>
          <w:spacing w:val="-2"/>
          <w:sz w:val="21"/>
          <w:szCs w:val="21"/>
        </w:rPr>
        <w:t xml:space="preserve"> </w:t>
      </w:r>
      <w:r w:rsidRPr="00B94CD4">
        <w:rPr>
          <w:rFonts w:ascii="Abadi" w:hAnsi="Abadi"/>
          <w:b w:val="0"/>
          <w:bCs w:val="0"/>
          <w:sz w:val="21"/>
          <w:szCs w:val="21"/>
        </w:rPr>
        <w:t>Estado</w:t>
      </w:r>
      <w:r w:rsidRPr="00B94CD4">
        <w:rPr>
          <w:rFonts w:ascii="Abadi" w:hAnsi="Abadi"/>
          <w:b w:val="0"/>
          <w:bCs w:val="0"/>
          <w:spacing w:val="-1"/>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 xml:space="preserve">Guanajuato. </w:t>
      </w:r>
      <w:r w:rsidRPr="00B94CD4">
        <w:rPr>
          <w:rFonts w:ascii="Abadi" w:hAnsi="Abadi"/>
          <w:sz w:val="21"/>
          <w:szCs w:val="21"/>
        </w:rPr>
        <w:t>XXVI.-</w:t>
      </w:r>
      <w:r w:rsidRPr="00B94CD4">
        <w:rPr>
          <w:rFonts w:ascii="Abadi" w:hAnsi="Abadi"/>
          <w:b w:val="0"/>
          <w:bCs w:val="0"/>
          <w:sz w:val="21"/>
          <w:szCs w:val="21"/>
        </w:rPr>
        <w:t xml:space="preserve"> Discusión</w:t>
      </w:r>
      <w:r w:rsidRPr="00B94CD4">
        <w:rPr>
          <w:rFonts w:ascii="Abadi" w:hAnsi="Abadi"/>
          <w:b w:val="0"/>
          <w:bCs w:val="0"/>
          <w:spacing w:val="78"/>
          <w:w w:val="150"/>
          <w:sz w:val="21"/>
          <w:szCs w:val="21"/>
        </w:rPr>
        <w:t xml:space="preserve"> </w:t>
      </w:r>
      <w:r w:rsidRPr="00B94CD4">
        <w:rPr>
          <w:rFonts w:ascii="Abadi" w:hAnsi="Abadi"/>
          <w:b w:val="0"/>
          <w:bCs w:val="0"/>
          <w:sz w:val="21"/>
          <w:szCs w:val="21"/>
        </w:rPr>
        <w:t>y,</w:t>
      </w:r>
      <w:r w:rsidRPr="00B94CD4">
        <w:rPr>
          <w:rFonts w:ascii="Abadi" w:hAnsi="Abadi"/>
          <w:b w:val="0"/>
          <w:bCs w:val="0"/>
          <w:spacing w:val="78"/>
          <w:w w:val="150"/>
          <w:sz w:val="21"/>
          <w:szCs w:val="21"/>
        </w:rPr>
        <w:t xml:space="preserve"> </w:t>
      </w:r>
      <w:r w:rsidRPr="00B94CD4">
        <w:rPr>
          <w:rFonts w:ascii="Abadi" w:hAnsi="Abadi"/>
          <w:b w:val="0"/>
          <w:bCs w:val="0"/>
          <w:sz w:val="21"/>
          <w:szCs w:val="21"/>
        </w:rPr>
        <w:t>en</w:t>
      </w:r>
      <w:r w:rsidRPr="00B94CD4">
        <w:rPr>
          <w:rFonts w:ascii="Abadi" w:hAnsi="Abadi"/>
          <w:b w:val="0"/>
          <w:bCs w:val="0"/>
          <w:spacing w:val="78"/>
          <w:w w:val="150"/>
          <w:sz w:val="21"/>
          <w:szCs w:val="21"/>
        </w:rPr>
        <w:t xml:space="preserve"> </w:t>
      </w:r>
      <w:r w:rsidRPr="00B94CD4">
        <w:rPr>
          <w:rFonts w:ascii="Abadi" w:hAnsi="Abadi"/>
          <w:b w:val="0"/>
          <w:bCs w:val="0"/>
          <w:sz w:val="21"/>
          <w:szCs w:val="21"/>
        </w:rPr>
        <w:t>su</w:t>
      </w:r>
      <w:r w:rsidRPr="00B94CD4">
        <w:rPr>
          <w:rFonts w:ascii="Abadi" w:hAnsi="Abadi"/>
          <w:b w:val="0"/>
          <w:bCs w:val="0"/>
          <w:spacing w:val="78"/>
          <w:w w:val="150"/>
          <w:sz w:val="21"/>
          <w:szCs w:val="21"/>
        </w:rPr>
        <w:t xml:space="preserve"> </w:t>
      </w:r>
      <w:r w:rsidRPr="00B94CD4">
        <w:rPr>
          <w:rFonts w:ascii="Abadi" w:hAnsi="Abadi"/>
          <w:b w:val="0"/>
          <w:bCs w:val="0"/>
          <w:sz w:val="21"/>
          <w:szCs w:val="21"/>
        </w:rPr>
        <w:t>caso,</w:t>
      </w:r>
      <w:r w:rsidRPr="00B94CD4">
        <w:rPr>
          <w:rFonts w:ascii="Abadi" w:hAnsi="Abadi"/>
          <w:b w:val="0"/>
          <w:bCs w:val="0"/>
          <w:spacing w:val="78"/>
          <w:w w:val="150"/>
          <w:sz w:val="21"/>
          <w:szCs w:val="21"/>
        </w:rPr>
        <w:t xml:space="preserve"> </w:t>
      </w:r>
      <w:r w:rsidRPr="00B94CD4">
        <w:rPr>
          <w:rFonts w:ascii="Abadi" w:hAnsi="Abadi"/>
          <w:b w:val="0"/>
          <w:bCs w:val="0"/>
          <w:sz w:val="21"/>
          <w:szCs w:val="21"/>
        </w:rPr>
        <w:t>aprobación</w:t>
      </w:r>
      <w:r w:rsidRPr="00B94CD4">
        <w:rPr>
          <w:rFonts w:ascii="Abadi" w:hAnsi="Abadi"/>
          <w:b w:val="0"/>
          <w:bCs w:val="0"/>
          <w:spacing w:val="78"/>
          <w:w w:val="150"/>
          <w:sz w:val="21"/>
          <w:szCs w:val="21"/>
        </w:rPr>
        <w:t xml:space="preserve"> </w:t>
      </w:r>
      <w:r w:rsidRPr="00B94CD4">
        <w:rPr>
          <w:rFonts w:ascii="Abadi" w:hAnsi="Abadi"/>
          <w:b w:val="0"/>
          <w:bCs w:val="0"/>
          <w:sz w:val="21"/>
          <w:szCs w:val="21"/>
        </w:rPr>
        <w:t>del</w:t>
      </w:r>
      <w:r w:rsidRPr="00B94CD4">
        <w:rPr>
          <w:rFonts w:ascii="Abadi" w:hAnsi="Abadi"/>
          <w:b w:val="0"/>
          <w:bCs w:val="0"/>
          <w:spacing w:val="78"/>
          <w:w w:val="150"/>
          <w:sz w:val="21"/>
          <w:szCs w:val="21"/>
        </w:rPr>
        <w:t xml:space="preserve"> </w:t>
      </w:r>
      <w:r w:rsidRPr="00B94CD4">
        <w:rPr>
          <w:rFonts w:ascii="Abadi" w:hAnsi="Abadi"/>
          <w:b w:val="0"/>
          <w:bCs w:val="0"/>
          <w:sz w:val="21"/>
          <w:szCs w:val="21"/>
        </w:rPr>
        <w:t>dictamen</w:t>
      </w:r>
      <w:r w:rsidRPr="00B94CD4">
        <w:rPr>
          <w:rFonts w:ascii="Abadi" w:hAnsi="Abadi"/>
          <w:b w:val="0"/>
          <w:bCs w:val="0"/>
          <w:spacing w:val="78"/>
          <w:w w:val="150"/>
          <w:sz w:val="21"/>
          <w:szCs w:val="21"/>
        </w:rPr>
        <w:t xml:space="preserve"> </w:t>
      </w:r>
      <w:r w:rsidRPr="00B94CD4">
        <w:rPr>
          <w:rFonts w:ascii="Abadi" w:hAnsi="Abadi"/>
          <w:b w:val="0"/>
          <w:bCs w:val="0"/>
          <w:sz w:val="21"/>
          <w:szCs w:val="21"/>
        </w:rPr>
        <w:t>signado</w:t>
      </w:r>
      <w:r w:rsidRPr="00B94CD4">
        <w:rPr>
          <w:rFonts w:ascii="Abadi" w:hAnsi="Abadi"/>
          <w:b w:val="0"/>
          <w:bCs w:val="0"/>
          <w:spacing w:val="78"/>
          <w:w w:val="150"/>
          <w:sz w:val="21"/>
          <w:szCs w:val="21"/>
        </w:rPr>
        <w:t xml:space="preserve"> </w:t>
      </w:r>
      <w:r w:rsidRPr="00B94CD4">
        <w:rPr>
          <w:rFonts w:ascii="Abadi" w:hAnsi="Abadi"/>
          <w:b w:val="0"/>
          <w:bCs w:val="0"/>
          <w:sz w:val="21"/>
          <w:szCs w:val="21"/>
        </w:rPr>
        <w:t>por</w:t>
      </w:r>
      <w:r w:rsidRPr="00B94CD4">
        <w:rPr>
          <w:rFonts w:ascii="Abadi" w:hAnsi="Abadi"/>
          <w:b w:val="0"/>
          <w:bCs w:val="0"/>
          <w:spacing w:val="78"/>
          <w:w w:val="150"/>
          <w:sz w:val="21"/>
          <w:szCs w:val="21"/>
        </w:rPr>
        <w:t xml:space="preserve"> </w:t>
      </w:r>
      <w:r w:rsidRPr="00B94CD4">
        <w:rPr>
          <w:rFonts w:ascii="Abadi" w:hAnsi="Abadi"/>
          <w:b w:val="0"/>
          <w:bCs w:val="0"/>
          <w:sz w:val="21"/>
          <w:szCs w:val="21"/>
        </w:rPr>
        <w:t>las</w:t>
      </w:r>
      <w:r w:rsidRPr="00B94CD4">
        <w:rPr>
          <w:rFonts w:ascii="Abadi" w:hAnsi="Abadi"/>
          <w:b w:val="0"/>
          <w:bCs w:val="0"/>
          <w:spacing w:val="-1"/>
          <w:sz w:val="21"/>
          <w:szCs w:val="21"/>
        </w:rPr>
        <w:t xml:space="preserve"> </w:t>
      </w:r>
      <w:r w:rsidRPr="00B94CD4">
        <w:rPr>
          <w:rFonts w:ascii="Abadi" w:hAnsi="Abadi"/>
          <w:b w:val="0"/>
          <w:bCs w:val="0"/>
          <w:sz w:val="21"/>
          <w:szCs w:val="21"/>
        </w:rPr>
        <w:t>Comisiones</w:t>
      </w:r>
      <w:r w:rsidRPr="00B94CD4">
        <w:rPr>
          <w:rFonts w:ascii="Abadi" w:hAnsi="Abadi"/>
          <w:b w:val="0"/>
          <w:bCs w:val="0"/>
          <w:spacing w:val="-7"/>
          <w:sz w:val="21"/>
          <w:szCs w:val="21"/>
        </w:rPr>
        <w:t xml:space="preserve"> </w:t>
      </w:r>
      <w:r w:rsidRPr="00B94CD4">
        <w:rPr>
          <w:rFonts w:ascii="Abadi" w:hAnsi="Abadi"/>
          <w:b w:val="0"/>
          <w:bCs w:val="0"/>
          <w:sz w:val="21"/>
          <w:szCs w:val="21"/>
        </w:rPr>
        <w:t>Unidas</w:t>
      </w:r>
      <w:r w:rsidRPr="00B94CD4">
        <w:rPr>
          <w:rFonts w:ascii="Abadi" w:hAnsi="Abadi"/>
          <w:b w:val="0"/>
          <w:bCs w:val="0"/>
          <w:spacing w:val="-6"/>
          <w:sz w:val="21"/>
          <w:szCs w:val="21"/>
        </w:rPr>
        <w:t xml:space="preserve"> </w:t>
      </w:r>
      <w:r w:rsidRPr="00B94CD4">
        <w:rPr>
          <w:rFonts w:ascii="Abadi" w:hAnsi="Abadi"/>
          <w:b w:val="0"/>
          <w:bCs w:val="0"/>
          <w:sz w:val="21"/>
          <w:szCs w:val="21"/>
        </w:rPr>
        <w:t>de</w:t>
      </w:r>
      <w:r w:rsidRPr="00B94CD4">
        <w:rPr>
          <w:rFonts w:ascii="Abadi" w:hAnsi="Abadi"/>
          <w:b w:val="0"/>
          <w:bCs w:val="0"/>
          <w:spacing w:val="-6"/>
          <w:sz w:val="21"/>
          <w:szCs w:val="21"/>
        </w:rPr>
        <w:t xml:space="preserve"> </w:t>
      </w:r>
      <w:r w:rsidRPr="00B94CD4">
        <w:rPr>
          <w:rFonts w:ascii="Abadi" w:hAnsi="Abadi"/>
          <w:b w:val="0"/>
          <w:bCs w:val="0"/>
          <w:sz w:val="21"/>
          <w:szCs w:val="21"/>
        </w:rPr>
        <w:t>Hacienda</w:t>
      </w:r>
      <w:r w:rsidRPr="00B94CD4">
        <w:rPr>
          <w:rFonts w:ascii="Abadi" w:hAnsi="Abadi"/>
          <w:b w:val="0"/>
          <w:bCs w:val="0"/>
          <w:spacing w:val="-6"/>
          <w:sz w:val="21"/>
          <w:szCs w:val="21"/>
        </w:rPr>
        <w:t xml:space="preserve"> </w:t>
      </w:r>
      <w:r w:rsidRPr="00B94CD4">
        <w:rPr>
          <w:rFonts w:ascii="Abadi" w:hAnsi="Abadi"/>
          <w:b w:val="0"/>
          <w:bCs w:val="0"/>
          <w:sz w:val="21"/>
          <w:szCs w:val="21"/>
        </w:rPr>
        <w:t>y</w:t>
      </w:r>
      <w:r w:rsidRPr="00B94CD4">
        <w:rPr>
          <w:rFonts w:ascii="Abadi" w:hAnsi="Abadi"/>
          <w:b w:val="0"/>
          <w:bCs w:val="0"/>
          <w:spacing w:val="-6"/>
          <w:sz w:val="21"/>
          <w:szCs w:val="21"/>
        </w:rPr>
        <w:t xml:space="preserve"> </w:t>
      </w:r>
      <w:r w:rsidRPr="00B94CD4">
        <w:rPr>
          <w:rFonts w:ascii="Abadi" w:hAnsi="Abadi"/>
          <w:b w:val="0"/>
          <w:bCs w:val="0"/>
          <w:sz w:val="21"/>
          <w:szCs w:val="21"/>
        </w:rPr>
        <w:t>Fiscalización</w:t>
      </w:r>
      <w:r w:rsidRPr="00B94CD4">
        <w:rPr>
          <w:rFonts w:ascii="Abadi" w:hAnsi="Abadi"/>
          <w:b w:val="0"/>
          <w:bCs w:val="0"/>
          <w:spacing w:val="-7"/>
          <w:sz w:val="21"/>
          <w:szCs w:val="21"/>
        </w:rPr>
        <w:t xml:space="preserve"> </w:t>
      </w:r>
      <w:r w:rsidRPr="00B94CD4">
        <w:rPr>
          <w:rFonts w:ascii="Abadi" w:hAnsi="Abadi"/>
          <w:b w:val="0"/>
          <w:bCs w:val="0"/>
          <w:sz w:val="21"/>
          <w:szCs w:val="21"/>
        </w:rPr>
        <w:t>y</w:t>
      </w:r>
      <w:r w:rsidRPr="00B94CD4">
        <w:rPr>
          <w:rFonts w:ascii="Abadi" w:hAnsi="Abadi"/>
          <w:b w:val="0"/>
          <w:bCs w:val="0"/>
          <w:spacing w:val="-6"/>
          <w:sz w:val="21"/>
          <w:szCs w:val="21"/>
        </w:rPr>
        <w:t xml:space="preserve"> </w:t>
      </w:r>
      <w:r w:rsidRPr="00B94CD4">
        <w:rPr>
          <w:rFonts w:ascii="Abadi" w:hAnsi="Abadi"/>
          <w:b w:val="0"/>
          <w:bCs w:val="0"/>
          <w:sz w:val="21"/>
          <w:szCs w:val="21"/>
        </w:rPr>
        <w:t>de</w:t>
      </w:r>
      <w:r w:rsidRPr="00B94CD4">
        <w:rPr>
          <w:rFonts w:ascii="Abadi" w:hAnsi="Abadi"/>
          <w:b w:val="0"/>
          <w:bCs w:val="0"/>
          <w:spacing w:val="-6"/>
          <w:sz w:val="21"/>
          <w:szCs w:val="21"/>
        </w:rPr>
        <w:t xml:space="preserve"> </w:t>
      </w:r>
      <w:r w:rsidRPr="00B94CD4">
        <w:rPr>
          <w:rFonts w:ascii="Abadi" w:hAnsi="Abadi"/>
          <w:b w:val="0"/>
          <w:bCs w:val="0"/>
          <w:sz w:val="21"/>
          <w:szCs w:val="21"/>
        </w:rPr>
        <w:t>Gobernación</w:t>
      </w:r>
      <w:r w:rsidRPr="00B94CD4">
        <w:rPr>
          <w:rFonts w:ascii="Abadi" w:hAnsi="Abadi"/>
          <w:b w:val="0"/>
          <w:bCs w:val="0"/>
          <w:spacing w:val="-6"/>
          <w:sz w:val="21"/>
          <w:szCs w:val="21"/>
        </w:rPr>
        <w:t xml:space="preserve"> </w:t>
      </w:r>
      <w:r w:rsidRPr="00B94CD4">
        <w:rPr>
          <w:rFonts w:ascii="Abadi" w:hAnsi="Abadi"/>
          <w:b w:val="0"/>
          <w:bCs w:val="0"/>
          <w:sz w:val="21"/>
          <w:szCs w:val="21"/>
        </w:rPr>
        <w:t>y</w:t>
      </w:r>
      <w:r w:rsidRPr="00B94CD4">
        <w:rPr>
          <w:rFonts w:ascii="Abadi" w:hAnsi="Abadi"/>
          <w:b w:val="0"/>
          <w:bCs w:val="0"/>
          <w:spacing w:val="-7"/>
          <w:sz w:val="21"/>
          <w:szCs w:val="21"/>
        </w:rPr>
        <w:t xml:space="preserve"> </w:t>
      </w:r>
      <w:r w:rsidRPr="00B94CD4">
        <w:rPr>
          <w:rFonts w:ascii="Abadi" w:hAnsi="Abadi"/>
          <w:b w:val="0"/>
          <w:bCs w:val="0"/>
          <w:sz w:val="21"/>
          <w:szCs w:val="21"/>
        </w:rPr>
        <w:t>Puntos</w:t>
      </w:r>
      <w:r w:rsidRPr="00B94CD4">
        <w:rPr>
          <w:rFonts w:ascii="Abadi" w:hAnsi="Abadi"/>
          <w:b w:val="0"/>
          <w:bCs w:val="0"/>
          <w:spacing w:val="-1"/>
          <w:sz w:val="21"/>
          <w:szCs w:val="21"/>
        </w:rPr>
        <w:t xml:space="preserve"> </w:t>
      </w:r>
      <w:r w:rsidRPr="00B94CD4">
        <w:rPr>
          <w:rFonts w:ascii="Abadi" w:hAnsi="Abadi"/>
          <w:b w:val="0"/>
          <w:bCs w:val="0"/>
          <w:sz w:val="21"/>
          <w:szCs w:val="21"/>
        </w:rPr>
        <w:t>Constitucionales</w:t>
      </w:r>
      <w:r w:rsidRPr="00B94CD4">
        <w:rPr>
          <w:rFonts w:ascii="Abadi" w:hAnsi="Abadi"/>
          <w:b w:val="0"/>
          <w:bCs w:val="0"/>
          <w:spacing w:val="54"/>
          <w:sz w:val="21"/>
          <w:szCs w:val="21"/>
        </w:rPr>
        <w:t xml:space="preserve"> </w:t>
      </w:r>
      <w:r w:rsidRPr="00B94CD4">
        <w:rPr>
          <w:rFonts w:ascii="Abadi" w:hAnsi="Abadi"/>
          <w:b w:val="0"/>
          <w:bCs w:val="0"/>
          <w:sz w:val="21"/>
          <w:szCs w:val="21"/>
        </w:rPr>
        <w:t>relativo</w:t>
      </w:r>
      <w:r w:rsidRPr="00B94CD4">
        <w:rPr>
          <w:rFonts w:ascii="Abadi" w:hAnsi="Abadi"/>
          <w:b w:val="0"/>
          <w:bCs w:val="0"/>
          <w:spacing w:val="53"/>
          <w:sz w:val="21"/>
          <w:szCs w:val="21"/>
        </w:rPr>
        <w:t xml:space="preserve"> </w:t>
      </w:r>
      <w:r w:rsidRPr="00B94CD4">
        <w:rPr>
          <w:rFonts w:ascii="Abadi" w:hAnsi="Abadi"/>
          <w:b w:val="0"/>
          <w:bCs w:val="0"/>
          <w:sz w:val="21"/>
          <w:szCs w:val="21"/>
        </w:rPr>
        <w:t>a</w:t>
      </w:r>
      <w:r w:rsidRPr="00B94CD4">
        <w:rPr>
          <w:rFonts w:ascii="Abadi" w:hAnsi="Abadi"/>
          <w:b w:val="0"/>
          <w:bCs w:val="0"/>
          <w:spacing w:val="53"/>
          <w:sz w:val="21"/>
          <w:szCs w:val="21"/>
        </w:rPr>
        <w:t xml:space="preserve"> </w:t>
      </w:r>
      <w:r w:rsidRPr="00B94CD4">
        <w:rPr>
          <w:rFonts w:ascii="Abadi" w:hAnsi="Abadi"/>
          <w:b w:val="0"/>
          <w:bCs w:val="0"/>
          <w:sz w:val="21"/>
          <w:szCs w:val="21"/>
        </w:rPr>
        <w:t>la</w:t>
      </w:r>
      <w:r w:rsidRPr="00B94CD4">
        <w:rPr>
          <w:rFonts w:ascii="Abadi" w:hAnsi="Abadi"/>
          <w:b w:val="0"/>
          <w:bCs w:val="0"/>
          <w:spacing w:val="53"/>
          <w:sz w:val="21"/>
          <w:szCs w:val="21"/>
        </w:rPr>
        <w:t xml:space="preserve"> </w:t>
      </w:r>
      <w:r w:rsidRPr="00B94CD4">
        <w:rPr>
          <w:rFonts w:ascii="Abadi" w:hAnsi="Abadi"/>
          <w:b w:val="0"/>
          <w:bCs w:val="0"/>
          <w:sz w:val="21"/>
          <w:szCs w:val="21"/>
        </w:rPr>
        <w:t>iniciativa</w:t>
      </w:r>
      <w:r w:rsidRPr="00B94CD4">
        <w:rPr>
          <w:rFonts w:ascii="Abadi" w:hAnsi="Abadi"/>
          <w:b w:val="0"/>
          <w:bCs w:val="0"/>
          <w:spacing w:val="53"/>
          <w:sz w:val="21"/>
          <w:szCs w:val="21"/>
        </w:rPr>
        <w:t xml:space="preserve"> </w:t>
      </w:r>
      <w:r w:rsidRPr="00B94CD4">
        <w:rPr>
          <w:rFonts w:ascii="Abadi" w:hAnsi="Abadi"/>
          <w:b w:val="0"/>
          <w:bCs w:val="0"/>
          <w:sz w:val="21"/>
          <w:szCs w:val="21"/>
        </w:rPr>
        <w:t>formulada</w:t>
      </w:r>
      <w:r w:rsidRPr="00B94CD4">
        <w:rPr>
          <w:rFonts w:ascii="Abadi" w:hAnsi="Abadi"/>
          <w:b w:val="0"/>
          <w:bCs w:val="0"/>
          <w:spacing w:val="53"/>
          <w:sz w:val="21"/>
          <w:szCs w:val="21"/>
        </w:rPr>
        <w:t xml:space="preserve"> </w:t>
      </w:r>
      <w:r w:rsidRPr="00B94CD4">
        <w:rPr>
          <w:rFonts w:ascii="Abadi" w:hAnsi="Abadi"/>
          <w:b w:val="0"/>
          <w:bCs w:val="0"/>
          <w:sz w:val="21"/>
          <w:szCs w:val="21"/>
        </w:rPr>
        <w:t>por</w:t>
      </w:r>
      <w:r w:rsidRPr="00B94CD4">
        <w:rPr>
          <w:rFonts w:ascii="Abadi" w:hAnsi="Abadi"/>
          <w:b w:val="0"/>
          <w:bCs w:val="0"/>
          <w:spacing w:val="53"/>
          <w:sz w:val="21"/>
          <w:szCs w:val="21"/>
        </w:rPr>
        <w:t xml:space="preserve"> </w:t>
      </w:r>
      <w:r w:rsidRPr="00B94CD4">
        <w:rPr>
          <w:rFonts w:ascii="Abadi" w:hAnsi="Abadi"/>
          <w:b w:val="0"/>
          <w:bCs w:val="0"/>
          <w:sz w:val="21"/>
          <w:szCs w:val="21"/>
        </w:rPr>
        <w:t>el</w:t>
      </w:r>
      <w:r w:rsidRPr="00B94CD4">
        <w:rPr>
          <w:rFonts w:ascii="Abadi" w:hAnsi="Abadi"/>
          <w:b w:val="0"/>
          <w:bCs w:val="0"/>
          <w:spacing w:val="53"/>
          <w:sz w:val="21"/>
          <w:szCs w:val="21"/>
        </w:rPr>
        <w:t xml:space="preserve"> </w:t>
      </w:r>
      <w:r w:rsidRPr="00B94CD4">
        <w:rPr>
          <w:rFonts w:ascii="Abadi" w:hAnsi="Abadi"/>
          <w:b w:val="0"/>
          <w:bCs w:val="0"/>
          <w:sz w:val="21"/>
          <w:szCs w:val="21"/>
        </w:rPr>
        <w:t>Gobernador</w:t>
      </w:r>
      <w:r w:rsidRPr="00B94CD4">
        <w:rPr>
          <w:rFonts w:ascii="Abadi" w:hAnsi="Abadi"/>
          <w:b w:val="0"/>
          <w:bCs w:val="0"/>
          <w:spacing w:val="53"/>
          <w:sz w:val="21"/>
          <w:szCs w:val="21"/>
        </w:rPr>
        <w:t xml:space="preserve"> </w:t>
      </w:r>
      <w:r w:rsidRPr="00B94CD4">
        <w:rPr>
          <w:rFonts w:ascii="Abadi" w:hAnsi="Abadi"/>
          <w:b w:val="0"/>
          <w:bCs w:val="0"/>
          <w:sz w:val="21"/>
          <w:szCs w:val="21"/>
        </w:rPr>
        <w:t>del</w:t>
      </w:r>
      <w:r w:rsidRPr="00B94CD4">
        <w:rPr>
          <w:rFonts w:ascii="Abadi" w:hAnsi="Abadi"/>
          <w:b w:val="0"/>
          <w:bCs w:val="0"/>
          <w:spacing w:val="-1"/>
          <w:sz w:val="21"/>
          <w:szCs w:val="21"/>
        </w:rPr>
        <w:t xml:space="preserve"> </w:t>
      </w:r>
      <w:r w:rsidRPr="00B94CD4">
        <w:rPr>
          <w:rFonts w:ascii="Abadi" w:hAnsi="Abadi"/>
          <w:b w:val="0"/>
          <w:bCs w:val="0"/>
          <w:sz w:val="21"/>
          <w:szCs w:val="21"/>
        </w:rPr>
        <w:t>Estado</w:t>
      </w:r>
      <w:r w:rsidRPr="00B94CD4">
        <w:rPr>
          <w:rFonts w:ascii="Abadi" w:hAnsi="Abadi"/>
          <w:b w:val="0"/>
          <w:bCs w:val="0"/>
          <w:spacing w:val="62"/>
          <w:sz w:val="21"/>
          <w:szCs w:val="21"/>
        </w:rPr>
        <w:t xml:space="preserve"> </w:t>
      </w:r>
      <w:r w:rsidRPr="00B94CD4">
        <w:rPr>
          <w:rFonts w:ascii="Abadi" w:hAnsi="Abadi"/>
          <w:b w:val="0"/>
          <w:bCs w:val="0"/>
          <w:sz w:val="21"/>
          <w:szCs w:val="21"/>
        </w:rPr>
        <w:t>a</w:t>
      </w:r>
      <w:r w:rsidRPr="00B94CD4">
        <w:rPr>
          <w:rFonts w:ascii="Abadi" w:hAnsi="Abadi"/>
          <w:b w:val="0"/>
          <w:bCs w:val="0"/>
          <w:spacing w:val="62"/>
          <w:sz w:val="21"/>
          <w:szCs w:val="21"/>
        </w:rPr>
        <w:t xml:space="preserve"> </w:t>
      </w:r>
      <w:r w:rsidRPr="00B94CD4">
        <w:rPr>
          <w:rFonts w:ascii="Abadi" w:hAnsi="Abadi"/>
          <w:b w:val="0"/>
          <w:bCs w:val="0"/>
          <w:sz w:val="21"/>
          <w:szCs w:val="21"/>
        </w:rPr>
        <w:t>efecto</w:t>
      </w:r>
      <w:r w:rsidRPr="00B94CD4">
        <w:rPr>
          <w:rFonts w:ascii="Abadi" w:hAnsi="Abadi"/>
          <w:b w:val="0"/>
          <w:bCs w:val="0"/>
          <w:spacing w:val="62"/>
          <w:sz w:val="21"/>
          <w:szCs w:val="21"/>
        </w:rPr>
        <w:t xml:space="preserve"> </w:t>
      </w:r>
      <w:r w:rsidRPr="00B94CD4">
        <w:rPr>
          <w:rFonts w:ascii="Abadi" w:hAnsi="Abadi"/>
          <w:b w:val="0"/>
          <w:bCs w:val="0"/>
          <w:sz w:val="21"/>
          <w:szCs w:val="21"/>
        </w:rPr>
        <w:t>de</w:t>
      </w:r>
      <w:r w:rsidRPr="00B94CD4">
        <w:rPr>
          <w:rFonts w:ascii="Abadi" w:hAnsi="Abadi"/>
          <w:b w:val="0"/>
          <w:bCs w:val="0"/>
          <w:spacing w:val="62"/>
          <w:sz w:val="21"/>
          <w:szCs w:val="21"/>
        </w:rPr>
        <w:t xml:space="preserve"> </w:t>
      </w:r>
      <w:r w:rsidRPr="00B94CD4">
        <w:rPr>
          <w:rFonts w:ascii="Abadi" w:hAnsi="Abadi"/>
          <w:b w:val="0"/>
          <w:bCs w:val="0"/>
          <w:sz w:val="21"/>
          <w:szCs w:val="21"/>
        </w:rPr>
        <w:t>reformar</w:t>
      </w:r>
      <w:r w:rsidRPr="00B94CD4">
        <w:rPr>
          <w:rFonts w:ascii="Abadi" w:hAnsi="Abadi"/>
          <w:b w:val="0"/>
          <w:bCs w:val="0"/>
          <w:spacing w:val="61"/>
          <w:sz w:val="21"/>
          <w:szCs w:val="21"/>
        </w:rPr>
        <w:t xml:space="preserve"> </w:t>
      </w:r>
      <w:r w:rsidRPr="00B94CD4">
        <w:rPr>
          <w:rFonts w:ascii="Abadi" w:hAnsi="Abadi"/>
          <w:b w:val="0"/>
          <w:bCs w:val="0"/>
          <w:sz w:val="21"/>
          <w:szCs w:val="21"/>
        </w:rPr>
        <w:t>el</w:t>
      </w:r>
      <w:r w:rsidRPr="00B94CD4">
        <w:rPr>
          <w:rFonts w:ascii="Abadi" w:hAnsi="Abadi"/>
          <w:b w:val="0"/>
          <w:bCs w:val="0"/>
          <w:spacing w:val="62"/>
          <w:sz w:val="21"/>
          <w:szCs w:val="21"/>
        </w:rPr>
        <w:t xml:space="preserve"> </w:t>
      </w:r>
      <w:r w:rsidRPr="00B94CD4">
        <w:rPr>
          <w:rFonts w:ascii="Abadi" w:hAnsi="Abadi"/>
          <w:b w:val="0"/>
          <w:bCs w:val="0"/>
          <w:sz w:val="21"/>
          <w:szCs w:val="21"/>
        </w:rPr>
        <w:t>artículo</w:t>
      </w:r>
      <w:r w:rsidRPr="00B94CD4">
        <w:rPr>
          <w:rFonts w:ascii="Abadi" w:hAnsi="Abadi"/>
          <w:b w:val="0"/>
          <w:bCs w:val="0"/>
          <w:spacing w:val="62"/>
          <w:sz w:val="21"/>
          <w:szCs w:val="21"/>
        </w:rPr>
        <w:t xml:space="preserve"> </w:t>
      </w:r>
      <w:r w:rsidRPr="00B94CD4">
        <w:rPr>
          <w:rFonts w:ascii="Abadi" w:hAnsi="Abadi"/>
          <w:b w:val="0"/>
          <w:bCs w:val="0"/>
          <w:sz w:val="21"/>
          <w:szCs w:val="21"/>
        </w:rPr>
        <w:t>Sexto</w:t>
      </w:r>
      <w:r w:rsidRPr="00B94CD4">
        <w:rPr>
          <w:rFonts w:ascii="Abadi" w:hAnsi="Abadi"/>
          <w:b w:val="0"/>
          <w:bCs w:val="0"/>
          <w:spacing w:val="62"/>
          <w:sz w:val="21"/>
          <w:szCs w:val="21"/>
        </w:rPr>
        <w:t xml:space="preserve"> </w:t>
      </w:r>
      <w:r w:rsidRPr="00B94CD4">
        <w:rPr>
          <w:rFonts w:ascii="Abadi" w:hAnsi="Abadi"/>
          <w:b w:val="0"/>
          <w:bCs w:val="0"/>
          <w:sz w:val="21"/>
          <w:szCs w:val="21"/>
        </w:rPr>
        <w:t>Transitorio</w:t>
      </w:r>
      <w:r w:rsidRPr="00B94CD4">
        <w:rPr>
          <w:rFonts w:ascii="Abadi" w:hAnsi="Abadi"/>
          <w:b w:val="0"/>
          <w:bCs w:val="0"/>
          <w:spacing w:val="62"/>
          <w:sz w:val="21"/>
          <w:szCs w:val="21"/>
        </w:rPr>
        <w:t xml:space="preserve"> </w:t>
      </w:r>
      <w:r w:rsidRPr="00B94CD4">
        <w:rPr>
          <w:rFonts w:ascii="Abadi" w:hAnsi="Abadi"/>
          <w:b w:val="0"/>
          <w:bCs w:val="0"/>
          <w:sz w:val="21"/>
          <w:szCs w:val="21"/>
        </w:rPr>
        <w:t>de</w:t>
      </w:r>
      <w:r w:rsidRPr="00B94CD4">
        <w:rPr>
          <w:rFonts w:ascii="Abadi" w:hAnsi="Abadi"/>
          <w:b w:val="0"/>
          <w:bCs w:val="0"/>
          <w:spacing w:val="62"/>
          <w:sz w:val="21"/>
          <w:szCs w:val="21"/>
        </w:rPr>
        <w:t xml:space="preserve"> </w:t>
      </w:r>
      <w:r w:rsidRPr="00B94CD4">
        <w:rPr>
          <w:rFonts w:ascii="Abadi" w:hAnsi="Abadi"/>
          <w:b w:val="0"/>
          <w:bCs w:val="0"/>
          <w:sz w:val="21"/>
          <w:szCs w:val="21"/>
        </w:rPr>
        <w:t>la</w:t>
      </w:r>
      <w:r w:rsidRPr="00B94CD4">
        <w:rPr>
          <w:rFonts w:ascii="Abadi" w:hAnsi="Abadi"/>
          <w:b w:val="0"/>
          <w:bCs w:val="0"/>
          <w:spacing w:val="62"/>
          <w:sz w:val="21"/>
          <w:szCs w:val="21"/>
        </w:rPr>
        <w:t xml:space="preserve"> </w:t>
      </w:r>
      <w:r w:rsidRPr="00B94CD4">
        <w:rPr>
          <w:rFonts w:ascii="Abadi" w:hAnsi="Abadi"/>
          <w:b w:val="0"/>
          <w:bCs w:val="0"/>
          <w:sz w:val="21"/>
          <w:szCs w:val="21"/>
        </w:rPr>
        <w:t>Ley</w:t>
      </w:r>
      <w:r w:rsidRPr="00B94CD4">
        <w:rPr>
          <w:rFonts w:ascii="Abadi" w:hAnsi="Abadi"/>
          <w:b w:val="0"/>
          <w:bCs w:val="0"/>
          <w:spacing w:val="62"/>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 xml:space="preserve">Ingresos del Estado de Guanajuato, para el Ejercicio Fiscal de 2022. </w:t>
      </w:r>
      <w:r w:rsidRPr="00812DB2">
        <w:rPr>
          <w:rFonts w:ascii="Abadi" w:hAnsi="Abadi"/>
          <w:sz w:val="21"/>
          <w:szCs w:val="21"/>
        </w:rPr>
        <w:t>XXVII.-</w:t>
      </w:r>
      <w:r w:rsidRPr="00B94CD4">
        <w:rPr>
          <w:rFonts w:ascii="Abadi" w:hAnsi="Abadi"/>
          <w:b w:val="0"/>
          <w:bCs w:val="0"/>
          <w:sz w:val="21"/>
          <w:szCs w:val="21"/>
        </w:rPr>
        <w:t xml:space="preserve"> Discusión</w:t>
      </w:r>
      <w:r w:rsidRPr="00B94CD4">
        <w:rPr>
          <w:rFonts w:ascii="Abadi" w:hAnsi="Abadi"/>
          <w:b w:val="0"/>
          <w:bCs w:val="0"/>
          <w:spacing w:val="12"/>
          <w:sz w:val="21"/>
          <w:szCs w:val="21"/>
        </w:rPr>
        <w:t xml:space="preserve"> </w:t>
      </w:r>
      <w:r w:rsidRPr="00B94CD4">
        <w:rPr>
          <w:rFonts w:ascii="Abadi" w:hAnsi="Abadi"/>
          <w:b w:val="0"/>
          <w:bCs w:val="0"/>
          <w:sz w:val="21"/>
          <w:szCs w:val="21"/>
        </w:rPr>
        <w:t>y,</w:t>
      </w:r>
      <w:r w:rsidRPr="00B94CD4">
        <w:rPr>
          <w:rFonts w:ascii="Abadi" w:hAnsi="Abadi"/>
          <w:b w:val="0"/>
          <w:bCs w:val="0"/>
          <w:spacing w:val="12"/>
          <w:sz w:val="21"/>
          <w:szCs w:val="21"/>
        </w:rPr>
        <w:t xml:space="preserve"> </w:t>
      </w:r>
      <w:r w:rsidRPr="00B94CD4">
        <w:rPr>
          <w:rFonts w:ascii="Abadi" w:hAnsi="Abadi"/>
          <w:b w:val="0"/>
          <w:bCs w:val="0"/>
          <w:sz w:val="21"/>
          <w:szCs w:val="21"/>
        </w:rPr>
        <w:t>en</w:t>
      </w:r>
      <w:r w:rsidRPr="00B94CD4">
        <w:rPr>
          <w:rFonts w:ascii="Abadi" w:hAnsi="Abadi"/>
          <w:b w:val="0"/>
          <w:bCs w:val="0"/>
          <w:spacing w:val="12"/>
          <w:sz w:val="21"/>
          <w:szCs w:val="21"/>
        </w:rPr>
        <w:t xml:space="preserve"> </w:t>
      </w:r>
      <w:r w:rsidRPr="00B94CD4">
        <w:rPr>
          <w:rFonts w:ascii="Abadi" w:hAnsi="Abadi"/>
          <w:b w:val="0"/>
          <w:bCs w:val="0"/>
          <w:sz w:val="21"/>
          <w:szCs w:val="21"/>
        </w:rPr>
        <w:t>su</w:t>
      </w:r>
      <w:r w:rsidRPr="00B94CD4">
        <w:rPr>
          <w:rFonts w:ascii="Abadi" w:hAnsi="Abadi"/>
          <w:b w:val="0"/>
          <w:bCs w:val="0"/>
          <w:spacing w:val="12"/>
          <w:sz w:val="21"/>
          <w:szCs w:val="21"/>
        </w:rPr>
        <w:t xml:space="preserve"> </w:t>
      </w:r>
      <w:r w:rsidRPr="00B94CD4">
        <w:rPr>
          <w:rFonts w:ascii="Abadi" w:hAnsi="Abadi"/>
          <w:b w:val="0"/>
          <w:bCs w:val="0"/>
          <w:sz w:val="21"/>
          <w:szCs w:val="21"/>
        </w:rPr>
        <w:t>caso,</w:t>
      </w:r>
      <w:r w:rsidRPr="00B94CD4">
        <w:rPr>
          <w:rFonts w:ascii="Abadi" w:hAnsi="Abadi"/>
          <w:b w:val="0"/>
          <w:bCs w:val="0"/>
          <w:spacing w:val="12"/>
          <w:sz w:val="21"/>
          <w:szCs w:val="21"/>
        </w:rPr>
        <w:t xml:space="preserve"> </w:t>
      </w:r>
      <w:r w:rsidRPr="00B94CD4">
        <w:rPr>
          <w:rFonts w:ascii="Abadi" w:hAnsi="Abadi"/>
          <w:b w:val="0"/>
          <w:bCs w:val="0"/>
          <w:sz w:val="21"/>
          <w:szCs w:val="21"/>
        </w:rPr>
        <w:t>aprobación</w:t>
      </w:r>
      <w:r w:rsidRPr="00B94CD4">
        <w:rPr>
          <w:rFonts w:ascii="Abadi" w:hAnsi="Abadi"/>
          <w:b w:val="0"/>
          <w:bCs w:val="0"/>
          <w:spacing w:val="12"/>
          <w:sz w:val="21"/>
          <w:szCs w:val="21"/>
        </w:rPr>
        <w:t xml:space="preserve"> </w:t>
      </w:r>
      <w:r w:rsidRPr="00B94CD4">
        <w:rPr>
          <w:rFonts w:ascii="Abadi" w:hAnsi="Abadi"/>
          <w:b w:val="0"/>
          <w:bCs w:val="0"/>
          <w:sz w:val="21"/>
          <w:szCs w:val="21"/>
        </w:rPr>
        <w:t>del</w:t>
      </w:r>
      <w:r w:rsidRPr="00B94CD4">
        <w:rPr>
          <w:rFonts w:ascii="Abadi" w:hAnsi="Abadi"/>
          <w:b w:val="0"/>
          <w:bCs w:val="0"/>
          <w:spacing w:val="12"/>
          <w:sz w:val="21"/>
          <w:szCs w:val="21"/>
        </w:rPr>
        <w:t xml:space="preserve"> </w:t>
      </w:r>
      <w:r w:rsidRPr="00B94CD4">
        <w:rPr>
          <w:rFonts w:ascii="Abadi" w:hAnsi="Abadi"/>
          <w:b w:val="0"/>
          <w:bCs w:val="0"/>
          <w:sz w:val="21"/>
          <w:szCs w:val="21"/>
        </w:rPr>
        <w:t>dictamen</w:t>
      </w:r>
      <w:r w:rsidRPr="00B94CD4">
        <w:rPr>
          <w:rFonts w:ascii="Abadi" w:hAnsi="Abadi"/>
          <w:b w:val="0"/>
          <w:bCs w:val="0"/>
          <w:spacing w:val="12"/>
          <w:sz w:val="21"/>
          <w:szCs w:val="21"/>
        </w:rPr>
        <w:t xml:space="preserve"> </w:t>
      </w:r>
      <w:r w:rsidRPr="00B94CD4">
        <w:rPr>
          <w:rFonts w:ascii="Abadi" w:hAnsi="Abadi"/>
          <w:b w:val="0"/>
          <w:bCs w:val="0"/>
          <w:sz w:val="21"/>
          <w:szCs w:val="21"/>
        </w:rPr>
        <w:t>suscrito</w:t>
      </w:r>
      <w:r w:rsidRPr="00B94CD4">
        <w:rPr>
          <w:rFonts w:ascii="Abadi" w:hAnsi="Abadi"/>
          <w:b w:val="0"/>
          <w:bCs w:val="0"/>
          <w:spacing w:val="13"/>
          <w:sz w:val="21"/>
          <w:szCs w:val="21"/>
        </w:rPr>
        <w:t xml:space="preserve"> </w:t>
      </w:r>
      <w:r w:rsidRPr="00B94CD4">
        <w:rPr>
          <w:rFonts w:ascii="Abadi" w:hAnsi="Abadi"/>
          <w:b w:val="0"/>
          <w:bCs w:val="0"/>
          <w:sz w:val="21"/>
          <w:szCs w:val="21"/>
        </w:rPr>
        <w:t>por</w:t>
      </w:r>
      <w:r w:rsidRPr="00B94CD4">
        <w:rPr>
          <w:rFonts w:ascii="Abadi" w:hAnsi="Abadi"/>
          <w:b w:val="0"/>
          <w:bCs w:val="0"/>
          <w:spacing w:val="12"/>
          <w:sz w:val="21"/>
          <w:szCs w:val="21"/>
        </w:rPr>
        <w:t xml:space="preserve"> </w:t>
      </w:r>
      <w:r w:rsidRPr="00B94CD4">
        <w:rPr>
          <w:rFonts w:ascii="Abadi" w:hAnsi="Abadi"/>
          <w:b w:val="0"/>
          <w:bCs w:val="0"/>
          <w:sz w:val="21"/>
          <w:szCs w:val="21"/>
        </w:rPr>
        <w:t>la</w:t>
      </w:r>
      <w:r w:rsidRPr="00B94CD4">
        <w:rPr>
          <w:rFonts w:ascii="Abadi" w:hAnsi="Abadi"/>
          <w:b w:val="0"/>
          <w:bCs w:val="0"/>
          <w:spacing w:val="12"/>
          <w:sz w:val="21"/>
          <w:szCs w:val="21"/>
        </w:rPr>
        <w:t xml:space="preserve"> </w:t>
      </w:r>
      <w:r w:rsidRPr="00B94CD4">
        <w:rPr>
          <w:rFonts w:ascii="Abadi" w:hAnsi="Abadi"/>
          <w:b w:val="0"/>
          <w:bCs w:val="0"/>
          <w:sz w:val="21"/>
          <w:szCs w:val="21"/>
        </w:rPr>
        <w:t>Comisión de</w:t>
      </w:r>
      <w:r w:rsidRPr="00B94CD4">
        <w:rPr>
          <w:rFonts w:ascii="Abadi" w:hAnsi="Abadi"/>
          <w:b w:val="0"/>
          <w:bCs w:val="0"/>
          <w:spacing w:val="35"/>
          <w:sz w:val="21"/>
          <w:szCs w:val="21"/>
        </w:rPr>
        <w:t xml:space="preserve"> </w:t>
      </w:r>
      <w:r w:rsidRPr="00B94CD4">
        <w:rPr>
          <w:rFonts w:ascii="Abadi" w:hAnsi="Abadi"/>
          <w:b w:val="0"/>
          <w:bCs w:val="0"/>
          <w:sz w:val="21"/>
          <w:szCs w:val="21"/>
        </w:rPr>
        <w:t>Justicia</w:t>
      </w:r>
      <w:r w:rsidRPr="00B94CD4">
        <w:rPr>
          <w:rFonts w:ascii="Abadi" w:hAnsi="Abadi"/>
          <w:b w:val="0"/>
          <w:bCs w:val="0"/>
          <w:spacing w:val="35"/>
          <w:sz w:val="21"/>
          <w:szCs w:val="21"/>
        </w:rPr>
        <w:t xml:space="preserve"> </w:t>
      </w:r>
      <w:r w:rsidRPr="00B94CD4">
        <w:rPr>
          <w:rFonts w:ascii="Abadi" w:hAnsi="Abadi"/>
          <w:b w:val="0"/>
          <w:bCs w:val="0"/>
          <w:sz w:val="21"/>
          <w:szCs w:val="21"/>
        </w:rPr>
        <w:t>relativo</w:t>
      </w:r>
      <w:r w:rsidRPr="00B94CD4">
        <w:rPr>
          <w:rFonts w:ascii="Abadi" w:hAnsi="Abadi"/>
          <w:b w:val="0"/>
          <w:bCs w:val="0"/>
          <w:spacing w:val="35"/>
          <w:sz w:val="21"/>
          <w:szCs w:val="21"/>
        </w:rPr>
        <w:t xml:space="preserve"> </w:t>
      </w:r>
      <w:r w:rsidRPr="00B94CD4">
        <w:rPr>
          <w:rFonts w:ascii="Abadi" w:hAnsi="Abadi"/>
          <w:b w:val="0"/>
          <w:bCs w:val="0"/>
          <w:sz w:val="21"/>
          <w:szCs w:val="21"/>
        </w:rPr>
        <w:t>a</w:t>
      </w:r>
      <w:r w:rsidRPr="00B94CD4">
        <w:rPr>
          <w:rFonts w:ascii="Abadi" w:hAnsi="Abadi"/>
          <w:b w:val="0"/>
          <w:bCs w:val="0"/>
          <w:spacing w:val="35"/>
          <w:sz w:val="21"/>
          <w:szCs w:val="21"/>
        </w:rPr>
        <w:t xml:space="preserve"> </w:t>
      </w:r>
      <w:r w:rsidRPr="00B94CD4">
        <w:rPr>
          <w:rFonts w:ascii="Abadi" w:hAnsi="Abadi"/>
          <w:b w:val="0"/>
          <w:bCs w:val="0"/>
          <w:sz w:val="21"/>
          <w:szCs w:val="21"/>
        </w:rPr>
        <w:t>la</w:t>
      </w:r>
      <w:r w:rsidRPr="00B94CD4">
        <w:rPr>
          <w:rFonts w:ascii="Abadi" w:hAnsi="Abadi"/>
          <w:b w:val="0"/>
          <w:bCs w:val="0"/>
          <w:spacing w:val="35"/>
          <w:sz w:val="21"/>
          <w:szCs w:val="21"/>
        </w:rPr>
        <w:t xml:space="preserve"> </w:t>
      </w:r>
      <w:r w:rsidRPr="00B94CD4">
        <w:rPr>
          <w:rFonts w:ascii="Abadi" w:hAnsi="Abadi"/>
          <w:b w:val="0"/>
          <w:bCs w:val="0"/>
          <w:sz w:val="21"/>
          <w:szCs w:val="21"/>
        </w:rPr>
        <w:t>iniciativa</w:t>
      </w:r>
      <w:r w:rsidRPr="00B94CD4">
        <w:rPr>
          <w:rFonts w:ascii="Abadi" w:hAnsi="Abadi"/>
          <w:b w:val="0"/>
          <w:bCs w:val="0"/>
          <w:spacing w:val="35"/>
          <w:sz w:val="21"/>
          <w:szCs w:val="21"/>
        </w:rPr>
        <w:t xml:space="preserve"> </w:t>
      </w:r>
      <w:r w:rsidRPr="00B94CD4">
        <w:rPr>
          <w:rFonts w:ascii="Abadi" w:hAnsi="Abadi"/>
          <w:b w:val="0"/>
          <w:bCs w:val="0"/>
          <w:sz w:val="21"/>
          <w:szCs w:val="21"/>
        </w:rPr>
        <w:t>a</w:t>
      </w:r>
      <w:r w:rsidRPr="00B94CD4">
        <w:rPr>
          <w:rFonts w:ascii="Abadi" w:hAnsi="Abadi"/>
          <w:b w:val="0"/>
          <w:bCs w:val="0"/>
          <w:spacing w:val="35"/>
          <w:sz w:val="21"/>
          <w:szCs w:val="21"/>
        </w:rPr>
        <w:t xml:space="preserve"> </w:t>
      </w:r>
      <w:r w:rsidRPr="00B94CD4">
        <w:rPr>
          <w:rFonts w:ascii="Abadi" w:hAnsi="Abadi"/>
          <w:b w:val="0"/>
          <w:bCs w:val="0"/>
          <w:sz w:val="21"/>
          <w:szCs w:val="21"/>
        </w:rPr>
        <w:t>efecto</w:t>
      </w:r>
      <w:r w:rsidRPr="00B94CD4">
        <w:rPr>
          <w:rFonts w:ascii="Abadi" w:hAnsi="Abadi"/>
          <w:b w:val="0"/>
          <w:bCs w:val="0"/>
          <w:spacing w:val="35"/>
          <w:sz w:val="21"/>
          <w:szCs w:val="21"/>
        </w:rPr>
        <w:t xml:space="preserve"> </w:t>
      </w:r>
      <w:r w:rsidRPr="00B94CD4">
        <w:rPr>
          <w:rFonts w:ascii="Abadi" w:hAnsi="Abadi"/>
          <w:b w:val="0"/>
          <w:bCs w:val="0"/>
          <w:sz w:val="21"/>
          <w:szCs w:val="21"/>
        </w:rPr>
        <w:t>de</w:t>
      </w:r>
      <w:r w:rsidRPr="00B94CD4">
        <w:rPr>
          <w:rFonts w:ascii="Abadi" w:hAnsi="Abadi"/>
          <w:b w:val="0"/>
          <w:bCs w:val="0"/>
          <w:spacing w:val="35"/>
          <w:sz w:val="21"/>
          <w:szCs w:val="21"/>
        </w:rPr>
        <w:t xml:space="preserve"> </w:t>
      </w:r>
      <w:r w:rsidRPr="00B94CD4">
        <w:rPr>
          <w:rFonts w:ascii="Abadi" w:hAnsi="Abadi"/>
          <w:b w:val="0"/>
          <w:bCs w:val="0"/>
          <w:sz w:val="21"/>
          <w:szCs w:val="21"/>
        </w:rPr>
        <w:t>reformar</w:t>
      </w:r>
      <w:r w:rsidRPr="00B94CD4">
        <w:rPr>
          <w:rFonts w:ascii="Abadi" w:hAnsi="Abadi"/>
          <w:b w:val="0"/>
          <w:bCs w:val="0"/>
          <w:spacing w:val="35"/>
          <w:sz w:val="21"/>
          <w:szCs w:val="21"/>
        </w:rPr>
        <w:t xml:space="preserve"> </w:t>
      </w:r>
      <w:r w:rsidRPr="00B94CD4">
        <w:rPr>
          <w:rFonts w:ascii="Abadi" w:hAnsi="Abadi"/>
          <w:b w:val="0"/>
          <w:bCs w:val="0"/>
          <w:sz w:val="21"/>
          <w:szCs w:val="21"/>
        </w:rPr>
        <w:t>el</w:t>
      </w:r>
      <w:r w:rsidRPr="00B94CD4">
        <w:rPr>
          <w:rFonts w:ascii="Abadi" w:hAnsi="Abadi"/>
          <w:b w:val="0"/>
          <w:bCs w:val="0"/>
          <w:spacing w:val="35"/>
          <w:sz w:val="21"/>
          <w:szCs w:val="21"/>
        </w:rPr>
        <w:t xml:space="preserve"> </w:t>
      </w:r>
      <w:r w:rsidRPr="00B94CD4">
        <w:rPr>
          <w:rFonts w:ascii="Abadi" w:hAnsi="Abadi"/>
          <w:b w:val="0"/>
          <w:bCs w:val="0"/>
          <w:sz w:val="21"/>
          <w:szCs w:val="21"/>
        </w:rPr>
        <w:t>artículo</w:t>
      </w:r>
      <w:r w:rsidRPr="00B94CD4">
        <w:rPr>
          <w:rFonts w:ascii="Abadi" w:hAnsi="Abadi"/>
          <w:b w:val="0"/>
          <w:bCs w:val="0"/>
          <w:spacing w:val="35"/>
          <w:sz w:val="21"/>
          <w:szCs w:val="21"/>
        </w:rPr>
        <w:t xml:space="preserve"> </w:t>
      </w:r>
      <w:r w:rsidRPr="00B94CD4">
        <w:rPr>
          <w:rFonts w:ascii="Abadi" w:hAnsi="Abadi"/>
          <w:b w:val="0"/>
          <w:bCs w:val="0"/>
          <w:sz w:val="21"/>
          <w:szCs w:val="21"/>
        </w:rPr>
        <w:t>139</w:t>
      </w:r>
      <w:r w:rsidRPr="00B94CD4">
        <w:rPr>
          <w:rFonts w:ascii="Abadi" w:hAnsi="Abadi"/>
          <w:b w:val="0"/>
          <w:bCs w:val="0"/>
          <w:spacing w:val="35"/>
          <w:sz w:val="21"/>
          <w:szCs w:val="21"/>
        </w:rPr>
        <w:t xml:space="preserve"> </w:t>
      </w:r>
      <w:r w:rsidRPr="00B94CD4">
        <w:rPr>
          <w:rFonts w:ascii="Abadi" w:hAnsi="Abadi"/>
          <w:b w:val="0"/>
          <w:bCs w:val="0"/>
          <w:sz w:val="21"/>
          <w:szCs w:val="21"/>
        </w:rPr>
        <w:t>del Código</w:t>
      </w:r>
      <w:r w:rsidRPr="00B94CD4">
        <w:rPr>
          <w:rFonts w:ascii="Abadi" w:hAnsi="Abadi"/>
          <w:b w:val="0"/>
          <w:bCs w:val="0"/>
          <w:spacing w:val="40"/>
          <w:sz w:val="21"/>
          <w:szCs w:val="21"/>
        </w:rPr>
        <w:t xml:space="preserve"> </w:t>
      </w:r>
      <w:r w:rsidRPr="00B94CD4">
        <w:rPr>
          <w:rFonts w:ascii="Abadi" w:hAnsi="Abadi"/>
          <w:b w:val="0"/>
          <w:bCs w:val="0"/>
          <w:sz w:val="21"/>
          <w:szCs w:val="21"/>
        </w:rPr>
        <w:t>Penal</w:t>
      </w:r>
      <w:r w:rsidRPr="00B94CD4">
        <w:rPr>
          <w:rFonts w:ascii="Abadi" w:hAnsi="Abadi"/>
          <w:b w:val="0"/>
          <w:bCs w:val="0"/>
          <w:spacing w:val="40"/>
          <w:sz w:val="21"/>
          <w:szCs w:val="21"/>
        </w:rPr>
        <w:t xml:space="preserve"> </w:t>
      </w:r>
      <w:r w:rsidRPr="00B94CD4">
        <w:rPr>
          <w:rFonts w:ascii="Abadi" w:hAnsi="Abadi"/>
          <w:b w:val="0"/>
          <w:bCs w:val="0"/>
          <w:sz w:val="21"/>
          <w:szCs w:val="21"/>
        </w:rPr>
        <w:t>del</w:t>
      </w:r>
      <w:r w:rsidRPr="00B94CD4">
        <w:rPr>
          <w:rFonts w:ascii="Abadi" w:hAnsi="Abadi"/>
          <w:b w:val="0"/>
          <w:bCs w:val="0"/>
          <w:spacing w:val="40"/>
          <w:sz w:val="21"/>
          <w:szCs w:val="21"/>
        </w:rPr>
        <w:t xml:space="preserve"> </w:t>
      </w:r>
      <w:r w:rsidRPr="00B94CD4">
        <w:rPr>
          <w:rFonts w:ascii="Abadi" w:hAnsi="Abadi"/>
          <w:b w:val="0"/>
          <w:bCs w:val="0"/>
          <w:sz w:val="21"/>
          <w:szCs w:val="21"/>
        </w:rPr>
        <w:t>Estado</w:t>
      </w:r>
      <w:r w:rsidRPr="00B94CD4">
        <w:rPr>
          <w:rFonts w:ascii="Abadi" w:hAnsi="Abadi"/>
          <w:b w:val="0"/>
          <w:bCs w:val="0"/>
          <w:spacing w:val="40"/>
          <w:sz w:val="21"/>
          <w:szCs w:val="21"/>
        </w:rPr>
        <w:t xml:space="preserve"> </w:t>
      </w:r>
      <w:r w:rsidRPr="00B94CD4">
        <w:rPr>
          <w:rFonts w:ascii="Abadi" w:hAnsi="Abadi"/>
          <w:b w:val="0"/>
          <w:bCs w:val="0"/>
          <w:sz w:val="21"/>
          <w:szCs w:val="21"/>
        </w:rPr>
        <w:t>de</w:t>
      </w:r>
      <w:r w:rsidRPr="00B94CD4">
        <w:rPr>
          <w:rFonts w:ascii="Abadi" w:hAnsi="Abadi"/>
          <w:b w:val="0"/>
          <w:bCs w:val="0"/>
          <w:spacing w:val="49"/>
          <w:sz w:val="21"/>
          <w:szCs w:val="21"/>
        </w:rPr>
        <w:t xml:space="preserve"> </w:t>
      </w:r>
      <w:r w:rsidRPr="00B94CD4">
        <w:rPr>
          <w:rFonts w:ascii="Abadi" w:hAnsi="Abadi"/>
          <w:b w:val="0"/>
          <w:bCs w:val="0"/>
          <w:sz w:val="21"/>
          <w:szCs w:val="21"/>
        </w:rPr>
        <w:t>Guanajuato,</w:t>
      </w:r>
      <w:r w:rsidRPr="00B94CD4">
        <w:rPr>
          <w:rFonts w:ascii="Abadi" w:hAnsi="Abadi"/>
          <w:b w:val="0"/>
          <w:bCs w:val="0"/>
          <w:spacing w:val="40"/>
          <w:sz w:val="21"/>
          <w:szCs w:val="21"/>
        </w:rPr>
        <w:t xml:space="preserve"> </w:t>
      </w:r>
      <w:r w:rsidRPr="00B94CD4">
        <w:rPr>
          <w:rFonts w:ascii="Abadi" w:hAnsi="Abadi"/>
          <w:b w:val="0"/>
          <w:bCs w:val="0"/>
          <w:sz w:val="21"/>
          <w:szCs w:val="21"/>
        </w:rPr>
        <w:t>presentada</w:t>
      </w:r>
      <w:r w:rsidRPr="00B94CD4">
        <w:rPr>
          <w:rFonts w:ascii="Abadi" w:hAnsi="Abadi"/>
          <w:b w:val="0"/>
          <w:bCs w:val="0"/>
          <w:spacing w:val="40"/>
          <w:sz w:val="21"/>
          <w:szCs w:val="21"/>
        </w:rPr>
        <w:t xml:space="preserve"> </w:t>
      </w:r>
      <w:r w:rsidRPr="00B94CD4">
        <w:rPr>
          <w:rFonts w:ascii="Abadi" w:hAnsi="Abadi"/>
          <w:b w:val="0"/>
          <w:bCs w:val="0"/>
          <w:sz w:val="21"/>
          <w:szCs w:val="21"/>
        </w:rPr>
        <w:t>por</w:t>
      </w:r>
      <w:r w:rsidRPr="00B94CD4">
        <w:rPr>
          <w:rFonts w:ascii="Abadi" w:hAnsi="Abadi"/>
          <w:b w:val="0"/>
          <w:bCs w:val="0"/>
          <w:spacing w:val="40"/>
          <w:sz w:val="21"/>
          <w:szCs w:val="21"/>
        </w:rPr>
        <w:t xml:space="preserve"> </w:t>
      </w:r>
      <w:r w:rsidRPr="00B94CD4">
        <w:rPr>
          <w:rFonts w:ascii="Abadi" w:hAnsi="Abadi"/>
          <w:b w:val="0"/>
          <w:bCs w:val="0"/>
          <w:sz w:val="21"/>
          <w:szCs w:val="21"/>
        </w:rPr>
        <w:t>diputada</w:t>
      </w:r>
      <w:r w:rsidRPr="00B94CD4">
        <w:rPr>
          <w:rFonts w:ascii="Abadi" w:hAnsi="Abadi"/>
          <w:b w:val="0"/>
          <w:bCs w:val="0"/>
          <w:spacing w:val="40"/>
          <w:sz w:val="21"/>
          <w:szCs w:val="21"/>
        </w:rPr>
        <w:t xml:space="preserve"> </w:t>
      </w:r>
      <w:r w:rsidRPr="00B94CD4">
        <w:rPr>
          <w:rFonts w:ascii="Abadi" w:hAnsi="Abadi"/>
          <w:b w:val="0"/>
          <w:bCs w:val="0"/>
          <w:sz w:val="21"/>
          <w:szCs w:val="21"/>
        </w:rPr>
        <w:t>y</w:t>
      </w:r>
      <w:r w:rsidRPr="00B94CD4">
        <w:rPr>
          <w:rFonts w:ascii="Abadi" w:hAnsi="Abadi"/>
          <w:b w:val="0"/>
          <w:bCs w:val="0"/>
          <w:spacing w:val="40"/>
          <w:sz w:val="21"/>
          <w:szCs w:val="21"/>
        </w:rPr>
        <w:t xml:space="preserve"> </w:t>
      </w:r>
      <w:r w:rsidRPr="00B94CD4">
        <w:rPr>
          <w:rFonts w:ascii="Abadi" w:hAnsi="Abadi"/>
          <w:b w:val="0"/>
          <w:bCs w:val="0"/>
          <w:sz w:val="21"/>
          <w:szCs w:val="21"/>
        </w:rPr>
        <w:t>los diputados</w:t>
      </w:r>
      <w:r w:rsidRPr="00B94CD4">
        <w:rPr>
          <w:rFonts w:ascii="Abadi" w:hAnsi="Abadi"/>
          <w:b w:val="0"/>
          <w:bCs w:val="0"/>
          <w:spacing w:val="27"/>
          <w:sz w:val="21"/>
          <w:szCs w:val="21"/>
        </w:rPr>
        <w:t xml:space="preserve"> </w:t>
      </w:r>
      <w:r w:rsidRPr="00B94CD4">
        <w:rPr>
          <w:rFonts w:ascii="Abadi" w:hAnsi="Abadi"/>
          <w:b w:val="0"/>
          <w:bCs w:val="0"/>
          <w:sz w:val="21"/>
          <w:szCs w:val="21"/>
        </w:rPr>
        <w:t>integrantes</w:t>
      </w:r>
      <w:r w:rsidRPr="00B94CD4">
        <w:rPr>
          <w:rFonts w:ascii="Abadi" w:hAnsi="Abadi"/>
          <w:b w:val="0"/>
          <w:bCs w:val="0"/>
          <w:spacing w:val="27"/>
          <w:sz w:val="21"/>
          <w:szCs w:val="21"/>
        </w:rPr>
        <w:t xml:space="preserve"> </w:t>
      </w:r>
      <w:r w:rsidRPr="00B94CD4">
        <w:rPr>
          <w:rFonts w:ascii="Abadi" w:hAnsi="Abadi"/>
          <w:b w:val="0"/>
          <w:bCs w:val="0"/>
          <w:sz w:val="21"/>
          <w:szCs w:val="21"/>
        </w:rPr>
        <w:t>del</w:t>
      </w:r>
      <w:r w:rsidRPr="00B94CD4">
        <w:rPr>
          <w:rFonts w:ascii="Abadi" w:hAnsi="Abadi"/>
          <w:b w:val="0"/>
          <w:bCs w:val="0"/>
          <w:spacing w:val="27"/>
          <w:sz w:val="21"/>
          <w:szCs w:val="21"/>
        </w:rPr>
        <w:t xml:space="preserve"> </w:t>
      </w:r>
      <w:r w:rsidRPr="00B94CD4">
        <w:rPr>
          <w:rFonts w:ascii="Abadi" w:hAnsi="Abadi"/>
          <w:b w:val="0"/>
          <w:bCs w:val="0"/>
          <w:sz w:val="21"/>
          <w:szCs w:val="21"/>
        </w:rPr>
        <w:t>Grupo</w:t>
      </w:r>
      <w:r w:rsidRPr="00B94CD4">
        <w:rPr>
          <w:rFonts w:ascii="Abadi" w:hAnsi="Abadi"/>
          <w:b w:val="0"/>
          <w:bCs w:val="0"/>
          <w:spacing w:val="27"/>
          <w:sz w:val="21"/>
          <w:szCs w:val="21"/>
        </w:rPr>
        <w:t xml:space="preserve"> </w:t>
      </w:r>
      <w:r w:rsidRPr="00B94CD4">
        <w:rPr>
          <w:rFonts w:ascii="Abadi" w:hAnsi="Abadi"/>
          <w:b w:val="0"/>
          <w:bCs w:val="0"/>
          <w:sz w:val="21"/>
          <w:szCs w:val="21"/>
        </w:rPr>
        <w:t>Parlamentario</w:t>
      </w:r>
      <w:r w:rsidRPr="00B94CD4">
        <w:rPr>
          <w:rFonts w:ascii="Abadi" w:hAnsi="Abadi"/>
          <w:b w:val="0"/>
          <w:bCs w:val="0"/>
          <w:spacing w:val="27"/>
          <w:sz w:val="21"/>
          <w:szCs w:val="21"/>
        </w:rPr>
        <w:t xml:space="preserve"> </w:t>
      </w:r>
      <w:r w:rsidRPr="00B94CD4">
        <w:rPr>
          <w:rFonts w:ascii="Abadi" w:hAnsi="Abadi"/>
          <w:b w:val="0"/>
          <w:bCs w:val="0"/>
          <w:sz w:val="21"/>
          <w:szCs w:val="21"/>
        </w:rPr>
        <w:t>del</w:t>
      </w:r>
      <w:r w:rsidRPr="00B94CD4">
        <w:rPr>
          <w:rFonts w:ascii="Abadi" w:hAnsi="Abadi"/>
          <w:b w:val="0"/>
          <w:bCs w:val="0"/>
          <w:spacing w:val="27"/>
          <w:sz w:val="21"/>
          <w:szCs w:val="21"/>
        </w:rPr>
        <w:t xml:space="preserve"> </w:t>
      </w:r>
      <w:r w:rsidRPr="00B94CD4">
        <w:rPr>
          <w:rFonts w:ascii="Abadi" w:hAnsi="Abadi"/>
          <w:b w:val="0"/>
          <w:bCs w:val="0"/>
          <w:sz w:val="21"/>
          <w:szCs w:val="21"/>
        </w:rPr>
        <w:t>Partido</w:t>
      </w:r>
      <w:r w:rsidRPr="00B94CD4">
        <w:rPr>
          <w:rFonts w:ascii="Abadi" w:hAnsi="Abadi"/>
          <w:b w:val="0"/>
          <w:bCs w:val="0"/>
          <w:spacing w:val="27"/>
          <w:sz w:val="21"/>
          <w:szCs w:val="21"/>
        </w:rPr>
        <w:t xml:space="preserve"> </w:t>
      </w:r>
      <w:r w:rsidRPr="00B94CD4">
        <w:rPr>
          <w:rFonts w:ascii="Abadi" w:hAnsi="Abadi"/>
          <w:b w:val="0"/>
          <w:bCs w:val="0"/>
          <w:sz w:val="21"/>
          <w:szCs w:val="21"/>
        </w:rPr>
        <w:t xml:space="preserve">Revolucionario Institucional. </w:t>
      </w:r>
      <w:r w:rsidRPr="00B94CD4">
        <w:rPr>
          <w:rFonts w:ascii="Abadi" w:hAnsi="Abadi"/>
          <w:sz w:val="21"/>
          <w:szCs w:val="21"/>
        </w:rPr>
        <w:t>XXVIII.-</w:t>
      </w:r>
      <w:r w:rsidRPr="00B94CD4">
        <w:rPr>
          <w:rFonts w:ascii="Abadi" w:hAnsi="Abadi"/>
          <w:b w:val="0"/>
          <w:bCs w:val="0"/>
          <w:sz w:val="21"/>
          <w:szCs w:val="21"/>
        </w:rPr>
        <w:t xml:space="preserve"> Discusión</w:t>
      </w:r>
      <w:r w:rsidRPr="00B94CD4">
        <w:rPr>
          <w:rFonts w:ascii="Abadi" w:hAnsi="Abadi"/>
          <w:b w:val="0"/>
          <w:bCs w:val="0"/>
          <w:spacing w:val="12"/>
          <w:sz w:val="21"/>
          <w:szCs w:val="21"/>
        </w:rPr>
        <w:t xml:space="preserve"> </w:t>
      </w:r>
      <w:r w:rsidRPr="00B94CD4">
        <w:rPr>
          <w:rFonts w:ascii="Abadi" w:hAnsi="Abadi"/>
          <w:b w:val="0"/>
          <w:bCs w:val="0"/>
          <w:sz w:val="21"/>
          <w:szCs w:val="21"/>
        </w:rPr>
        <w:t>y,</w:t>
      </w:r>
      <w:r w:rsidRPr="00B94CD4">
        <w:rPr>
          <w:rFonts w:ascii="Abadi" w:hAnsi="Abadi"/>
          <w:b w:val="0"/>
          <w:bCs w:val="0"/>
          <w:spacing w:val="12"/>
          <w:sz w:val="21"/>
          <w:szCs w:val="21"/>
        </w:rPr>
        <w:t xml:space="preserve"> </w:t>
      </w:r>
      <w:r w:rsidRPr="00B94CD4">
        <w:rPr>
          <w:rFonts w:ascii="Abadi" w:hAnsi="Abadi"/>
          <w:b w:val="0"/>
          <w:bCs w:val="0"/>
          <w:sz w:val="21"/>
          <w:szCs w:val="21"/>
        </w:rPr>
        <w:t>en</w:t>
      </w:r>
      <w:r w:rsidRPr="00B94CD4">
        <w:rPr>
          <w:rFonts w:ascii="Abadi" w:hAnsi="Abadi"/>
          <w:b w:val="0"/>
          <w:bCs w:val="0"/>
          <w:spacing w:val="12"/>
          <w:sz w:val="21"/>
          <w:szCs w:val="21"/>
        </w:rPr>
        <w:t xml:space="preserve"> </w:t>
      </w:r>
      <w:r w:rsidRPr="00B94CD4">
        <w:rPr>
          <w:rFonts w:ascii="Abadi" w:hAnsi="Abadi"/>
          <w:b w:val="0"/>
          <w:bCs w:val="0"/>
          <w:sz w:val="21"/>
          <w:szCs w:val="21"/>
        </w:rPr>
        <w:t>su</w:t>
      </w:r>
      <w:r w:rsidRPr="00B94CD4">
        <w:rPr>
          <w:rFonts w:ascii="Abadi" w:hAnsi="Abadi"/>
          <w:b w:val="0"/>
          <w:bCs w:val="0"/>
          <w:spacing w:val="11"/>
          <w:sz w:val="21"/>
          <w:szCs w:val="21"/>
        </w:rPr>
        <w:t xml:space="preserve"> </w:t>
      </w:r>
      <w:r w:rsidRPr="00B94CD4">
        <w:rPr>
          <w:rFonts w:ascii="Abadi" w:hAnsi="Abadi"/>
          <w:b w:val="0"/>
          <w:bCs w:val="0"/>
          <w:sz w:val="21"/>
          <w:szCs w:val="21"/>
        </w:rPr>
        <w:t>caso,</w:t>
      </w:r>
      <w:r w:rsidRPr="00B94CD4">
        <w:rPr>
          <w:rFonts w:ascii="Abadi" w:hAnsi="Abadi"/>
          <w:b w:val="0"/>
          <w:bCs w:val="0"/>
          <w:spacing w:val="12"/>
          <w:sz w:val="21"/>
          <w:szCs w:val="21"/>
        </w:rPr>
        <w:t xml:space="preserve"> </w:t>
      </w:r>
      <w:r w:rsidRPr="00B94CD4">
        <w:rPr>
          <w:rFonts w:ascii="Abadi" w:hAnsi="Abadi"/>
          <w:b w:val="0"/>
          <w:bCs w:val="0"/>
          <w:sz w:val="21"/>
          <w:szCs w:val="21"/>
        </w:rPr>
        <w:t>aprobación</w:t>
      </w:r>
      <w:r w:rsidRPr="00B94CD4">
        <w:rPr>
          <w:rFonts w:ascii="Abadi" w:hAnsi="Abadi"/>
          <w:b w:val="0"/>
          <w:bCs w:val="0"/>
          <w:spacing w:val="12"/>
          <w:sz w:val="21"/>
          <w:szCs w:val="21"/>
        </w:rPr>
        <w:t xml:space="preserve"> </w:t>
      </w:r>
      <w:r w:rsidRPr="00B94CD4">
        <w:rPr>
          <w:rFonts w:ascii="Abadi" w:hAnsi="Abadi"/>
          <w:b w:val="0"/>
          <w:bCs w:val="0"/>
          <w:sz w:val="21"/>
          <w:szCs w:val="21"/>
        </w:rPr>
        <w:t>del</w:t>
      </w:r>
      <w:r w:rsidRPr="00B94CD4">
        <w:rPr>
          <w:rFonts w:ascii="Abadi" w:hAnsi="Abadi"/>
          <w:b w:val="0"/>
          <w:bCs w:val="0"/>
          <w:spacing w:val="12"/>
          <w:sz w:val="21"/>
          <w:szCs w:val="21"/>
        </w:rPr>
        <w:t xml:space="preserve"> </w:t>
      </w:r>
      <w:r w:rsidRPr="00B94CD4">
        <w:rPr>
          <w:rFonts w:ascii="Abadi" w:hAnsi="Abadi"/>
          <w:b w:val="0"/>
          <w:bCs w:val="0"/>
          <w:sz w:val="21"/>
          <w:szCs w:val="21"/>
        </w:rPr>
        <w:t>dictamen</w:t>
      </w:r>
      <w:r w:rsidRPr="00B94CD4">
        <w:rPr>
          <w:rFonts w:ascii="Abadi" w:hAnsi="Abadi"/>
          <w:b w:val="0"/>
          <w:bCs w:val="0"/>
          <w:spacing w:val="12"/>
          <w:sz w:val="21"/>
          <w:szCs w:val="21"/>
        </w:rPr>
        <w:t xml:space="preserve"> </w:t>
      </w:r>
      <w:r w:rsidRPr="00B94CD4">
        <w:rPr>
          <w:rFonts w:ascii="Abadi" w:hAnsi="Abadi"/>
          <w:b w:val="0"/>
          <w:bCs w:val="0"/>
          <w:sz w:val="21"/>
          <w:szCs w:val="21"/>
        </w:rPr>
        <w:t>suscrito</w:t>
      </w:r>
      <w:r w:rsidRPr="00B94CD4">
        <w:rPr>
          <w:rFonts w:ascii="Abadi" w:hAnsi="Abadi"/>
          <w:b w:val="0"/>
          <w:bCs w:val="0"/>
          <w:spacing w:val="13"/>
          <w:sz w:val="21"/>
          <w:szCs w:val="21"/>
        </w:rPr>
        <w:t xml:space="preserve"> </w:t>
      </w:r>
      <w:r w:rsidRPr="00B94CD4">
        <w:rPr>
          <w:rFonts w:ascii="Abadi" w:hAnsi="Abadi"/>
          <w:b w:val="0"/>
          <w:bCs w:val="0"/>
          <w:sz w:val="21"/>
          <w:szCs w:val="21"/>
        </w:rPr>
        <w:t>por</w:t>
      </w:r>
      <w:r w:rsidRPr="00B94CD4">
        <w:rPr>
          <w:rFonts w:ascii="Abadi" w:hAnsi="Abadi"/>
          <w:b w:val="0"/>
          <w:bCs w:val="0"/>
          <w:spacing w:val="12"/>
          <w:sz w:val="21"/>
          <w:szCs w:val="21"/>
        </w:rPr>
        <w:t xml:space="preserve"> </w:t>
      </w:r>
      <w:r w:rsidRPr="00B94CD4">
        <w:rPr>
          <w:rFonts w:ascii="Abadi" w:hAnsi="Abadi"/>
          <w:b w:val="0"/>
          <w:bCs w:val="0"/>
          <w:sz w:val="21"/>
          <w:szCs w:val="21"/>
        </w:rPr>
        <w:t>la</w:t>
      </w:r>
      <w:r w:rsidRPr="00B94CD4">
        <w:rPr>
          <w:rFonts w:ascii="Abadi" w:hAnsi="Abadi"/>
          <w:b w:val="0"/>
          <w:bCs w:val="0"/>
          <w:spacing w:val="12"/>
          <w:sz w:val="21"/>
          <w:szCs w:val="21"/>
        </w:rPr>
        <w:t xml:space="preserve"> </w:t>
      </w:r>
      <w:r w:rsidRPr="00B94CD4">
        <w:rPr>
          <w:rFonts w:ascii="Abadi" w:hAnsi="Abadi"/>
          <w:b w:val="0"/>
          <w:bCs w:val="0"/>
          <w:sz w:val="21"/>
          <w:szCs w:val="21"/>
        </w:rPr>
        <w:t>Comisión de</w:t>
      </w:r>
      <w:r w:rsidRPr="00B94CD4">
        <w:rPr>
          <w:rFonts w:ascii="Abadi" w:hAnsi="Abadi"/>
          <w:b w:val="0"/>
          <w:bCs w:val="0"/>
          <w:spacing w:val="69"/>
          <w:w w:val="150"/>
          <w:sz w:val="21"/>
          <w:szCs w:val="21"/>
        </w:rPr>
        <w:t xml:space="preserve"> </w:t>
      </w:r>
      <w:r w:rsidRPr="00B94CD4">
        <w:rPr>
          <w:rFonts w:ascii="Abadi" w:hAnsi="Abadi"/>
          <w:b w:val="0"/>
          <w:bCs w:val="0"/>
          <w:sz w:val="21"/>
          <w:szCs w:val="21"/>
        </w:rPr>
        <w:t>Hacienda</w:t>
      </w:r>
      <w:r w:rsidRPr="00B94CD4">
        <w:rPr>
          <w:rFonts w:ascii="Abadi" w:hAnsi="Abadi"/>
          <w:b w:val="0"/>
          <w:bCs w:val="0"/>
          <w:spacing w:val="69"/>
          <w:w w:val="150"/>
          <w:sz w:val="21"/>
          <w:szCs w:val="21"/>
        </w:rPr>
        <w:t xml:space="preserve"> </w:t>
      </w:r>
      <w:r w:rsidRPr="00B94CD4">
        <w:rPr>
          <w:rFonts w:ascii="Abadi" w:hAnsi="Abadi"/>
          <w:b w:val="0"/>
          <w:bCs w:val="0"/>
          <w:sz w:val="21"/>
          <w:szCs w:val="21"/>
        </w:rPr>
        <w:t>y</w:t>
      </w:r>
      <w:r w:rsidRPr="00B94CD4">
        <w:rPr>
          <w:rFonts w:ascii="Abadi" w:hAnsi="Abadi"/>
          <w:b w:val="0"/>
          <w:bCs w:val="0"/>
          <w:spacing w:val="69"/>
          <w:w w:val="150"/>
          <w:sz w:val="21"/>
          <w:szCs w:val="21"/>
        </w:rPr>
        <w:t xml:space="preserve"> </w:t>
      </w:r>
      <w:r w:rsidRPr="00B94CD4">
        <w:rPr>
          <w:rFonts w:ascii="Abadi" w:hAnsi="Abadi"/>
          <w:b w:val="0"/>
          <w:bCs w:val="0"/>
          <w:sz w:val="21"/>
          <w:szCs w:val="21"/>
        </w:rPr>
        <w:t>Fiscalización</w:t>
      </w:r>
      <w:r w:rsidRPr="00B94CD4">
        <w:rPr>
          <w:rFonts w:ascii="Abadi" w:hAnsi="Abadi"/>
          <w:b w:val="0"/>
          <w:bCs w:val="0"/>
          <w:spacing w:val="69"/>
          <w:w w:val="150"/>
          <w:sz w:val="21"/>
          <w:szCs w:val="21"/>
        </w:rPr>
        <w:t xml:space="preserve"> </w:t>
      </w:r>
      <w:r w:rsidRPr="00B94CD4">
        <w:rPr>
          <w:rFonts w:ascii="Abadi" w:hAnsi="Abadi"/>
          <w:b w:val="0"/>
          <w:bCs w:val="0"/>
          <w:sz w:val="21"/>
          <w:szCs w:val="21"/>
        </w:rPr>
        <w:t>relativo</w:t>
      </w:r>
      <w:r w:rsidRPr="00B94CD4">
        <w:rPr>
          <w:rFonts w:ascii="Abadi" w:hAnsi="Abadi"/>
          <w:b w:val="0"/>
          <w:bCs w:val="0"/>
          <w:spacing w:val="69"/>
          <w:w w:val="150"/>
          <w:sz w:val="21"/>
          <w:szCs w:val="21"/>
        </w:rPr>
        <w:t xml:space="preserve"> </w:t>
      </w:r>
      <w:r w:rsidRPr="00B94CD4">
        <w:rPr>
          <w:rFonts w:ascii="Abadi" w:hAnsi="Abadi"/>
          <w:b w:val="0"/>
          <w:bCs w:val="0"/>
          <w:sz w:val="21"/>
          <w:szCs w:val="21"/>
        </w:rPr>
        <w:t>a</w:t>
      </w:r>
      <w:r w:rsidRPr="00B94CD4">
        <w:rPr>
          <w:rFonts w:ascii="Abadi" w:hAnsi="Abadi"/>
          <w:b w:val="0"/>
          <w:bCs w:val="0"/>
          <w:spacing w:val="69"/>
          <w:w w:val="150"/>
          <w:sz w:val="21"/>
          <w:szCs w:val="21"/>
        </w:rPr>
        <w:t xml:space="preserve"> </w:t>
      </w:r>
      <w:r w:rsidRPr="00B94CD4">
        <w:rPr>
          <w:rFonts w:ascii="Abadi" w:hAnsi="Abadi"/>
          <w:b w:val="0"/>
          <w:bCs w:val="0"/>
          <w:sz w:val="21"/>
          <w:szCs w:val="21"/>
        </w:rPr>
        <w:t>la</w:t>
      </w:r>
      <w:r w:rsidRPr="00B94CD4">
        <w:rPr>
          <w:rFonts w:ascii="Abadi" w:hAnsi="Abadi"/>
          <w:b w:val="0"/>
          <w:bCs w:val="0"/>
          <w:spacing w:val="69"/>
          <w:w w:val="150"/>
          <w:sz w:val="21"/>
          <w:szCs w:val="21"/>
        </w:rPr>
        <w:t xml:space="preserve"> </w:t>
      </w:r>
      <w:r w:rsidRPr="00B94CD4">
        <w:rPr>
          <w:rFonts w:ascii="Abadi" w:hAnsi="Abadi"/>
          <w:b w:val="0"/>
          <w:bCs w:val="0"/>
          <w:sz w:val="21"/>
          <w:szCs w:val="21"/>
        </w:rPr>
        <w:t>iniciativa</w:t>
      </w:r>
      <w:r w:rsidRPr="00B94CD4">
        <w:rPr>
          <w:rFonts w:ascii="Abadi" w:hAnsi="Abadi"/>
          <w:b w:val="0"/>
          <w:bCs w:val="0"/>
          <w:spacing w:val="69"/>
          <w:w w:val="150"/>
          <w:sz w:val="21"/>
          <w:szCs w:val="21"/>
        </w:rPr>
        <w:t xml:space="preserve"> </w:t>
      </w:r>
      <w:r w:rsidRPr="00B94CD4">
        <w:rPr>
          <w:rFonts w:ascii="Abadi" w:hAnsi="Abadi"/>
          <w:b w:val="0"/>
          <w:bCs w:val="0"/>
          <w:sz w:val="21"/>
          <w:szCs w:val="21"/>
        </w:rPr>
        <w:t>formulada</w:t>
      </w:r>
      <w:r w:rsidRPr="00B94CD4">
        <w:rPr>
          <w:rFonts w:ascii="Abadi" w:hAnsi="Abadi"/>
          <w:b w:val="0"/>
          <w:bCs w:val="0"/>
          <w:spacing w:val="69"/>
          <w:w w:val="150"/>
          <w:sz w:val="21"/>
          <w:szCs w:val="21"/>
        </w:rPr>
        <w:t xml:space="preserve"> </w:t>
      </w:r>
      <w:r w:rsidRPr="00B94CD4">
        <w:rPr>
          <w:rFonts w:ascii="Abadi" w:hAnsi="Abadi"/>
          <w:b w:val="0"/>
          <w:bCs w:val="0"/>
          <w:sz w:val="21"/>
          <w:szCs w:val="21"/>
        </w:rPr>
        <w:t>por</w:t>
      </w:r>
      <w:r w:rsidRPr="00B94CD4">
        <w:rPr>
          <w:rFonts w:ascii="Abadi" w:hAnsi="Abadi"/>
          <w:b w:val="0"/>
          <w:bCs w:val="0"/>
          <w:spacing w:val="69"/>
          <w:w w:val="150"/>
          <w:sz w:val="21"/>
          <w:szCs w:val="21"/>
        </w:rPr>
        <w:t xml:space="preserve"> </w:t>
      </w:r>
      <w:r w:rsidRPr="00B94CD4">
        <w:rPr>
          <w:rFonts w:ascii="Abadi" w:hAnsi="Abadi"/>
          <w:b w:val="0"/>
          <w:bCs w:val="0"/>
          <w:sz w:val="21"/>
          <w:szCs w:val="21"/>
        </w:rPr>
        <w:t>el ayuntamiento</w:t>
      </w:r>
      <w:r w:rsidRPr="00B94CD4">
        <w:rPr>
          <w:rFonts w:ascii="Abadi" w:hAnsi="Abadi"/>
          <w:b w:val="0"/>
          <w:bCs w:val="0"/>
          <w:spacing w:val="9"/>
          <w:sz w:val="21"/>
          <w:szCs w:val="21"/>
        </w:rPr>
        <w:t xml:space="preserve"> </w:t>
      </w:r>
      <w:r w:rsidRPr="00B94CD4">
        <w:rPr>
          <w:rFonts w:ascii="Abadi" w:hAnsi="Abadi"/>
          <w:b w:val="0"/>
          <w:bCs w:val="0"/>
          <w:sz w:val="21"/>
          <w:szCs w:val="21"/>
        </w:rPr>
        <w:t>de</w:t>
      </w:r>
      <w:r w:rsidRPr="00B94CD4">
        <w:rPr>
          <w:rFonts w:ascii="Abadi" w:hAnsi="Abadi"/>
          <w:b w:val="0"/>
          <w:bCs w:val="0"/>
          <w:spacing w:val="9"/>
          <w:sz w:val="21"/>
          <w:szCs w:val="21"/>
        </w:rPr>
        <w:t xml:space="preserve"> </w:t>
      </w:r>
      <w:r w:rsidRPr="00B94CD4">
        <w:rPr>
          <w:rFonts w:ascii="Abadi" w:hAnsi="Abadi"/>
          <w:b w:val="0"/>
          <w:bCs w:val="0"/>
          <w:sz w:val="21"/>
          <w:szCs w:val="21"/>
        </w:rPr>
        <w:t>Apaseo</w:t>
      </w:r>
      <w:r w:rsidRPr="00B94CD4">
        <w:rPr>
          <w:rFonts w:ascii="Abadi" w:hAnsi="Abadi"/>
          <w:b w:val="0"/>
          <w:bCs w:val="0"/>
          <w:spacing w:val="9"/>
          <w:sz w:val="21"/>
          <w:szCs w:val="21"/>
        </w:rPr>
        <w:t xml:space="preserve"> </w:t>
      </w:r>
      <w:r w:rsidRPr="00B94CD4">
        <w:rPr>
          <w:rFonts w:ascii="Abadi" w:hAnsi="Abadi"/>
          <w:b w:val="0"/>
          <w:bCs w:val="0"/>
          <w:sz w:val="21"/>
          <w:szCs w:val="21"/>
        </w:rPr>
        <w:t>el</w:t>
      </w:r>
      <w:r w:rsidRPr="00B94CD4">
        <w:rPr>
          <w:rFonts w:ascii="Abadi" w:hAnsi="Abadi"/>
          <w:b w:val="0"/>
          <w:bCs w:val="0"/>
          <w:spacing w:val="9"/>
          <w:sz w:val="21"/>
          <w:szCs w:val="21"/>
        </w:rPr>
        <w:t xml:space="preserve"> </w:t>
      </w:r>
      <w:r w:rsidRPr="00B94CD4">
        <w:rPr>
          <w:rFonts w:ascii="Abadi" w:hAnsi="Abadi"/>
          <w:b w:val="0"/>
          <w:bCs w:val="0"/>
          <w:sz w:val="21"/>
          <w:szCs w:val="21"/>
        </w:rPr>
        <w:t>Grande,</w:t>
      </w:r>
      <w:r w:rsidRPr="00B94CD4">
        <w:rPr>
          <w:rFonts w:ascii="Abadi" w:hAnsi="Abadi"/>
          <w:b w:val="0"/>
          <w:bCs w:val="0"/>
          <w:spacing w:val="9"/>
          <w:sz w:val="21"/>
          <w:szCs w:val="21"/>
        </w:rPr>
        <w:t xml:space="preserve"> </w:t>
      </w:r>
      <w:r w:rsidRPr="00B94CD4">
        <w:rPr>
          <w:rFonts w:ascii="Abadi" w:hAnsi="Abadi"/>
          <w:b w:val="0"/>
          <w:bCs w:val="0"/>
          <w:sz w:val="21"/>
          <w:szCs w:val="21"/>
        </w:rPr>
        <w:t>Gto.,</w:t>
      </w:r>
      <w:r w:rsidRPr="00B94CD4">
        <w:rPr>
          <w:rFonts w:ascii="Abadi" w:hAnsi="Abadi"/>
          <w:b w:val="0"/>
          <w:bCs w:val="0"/>
          <w:spacing w:val="9"/>
          <w:sz w:val="21"/>
          <w:szCs w:val="21"/>
        </w:rPr>
        <w:t xml:space="preserve"> </w:t>
      </w:r>
      <w:r w:rsidRPr="00B94CD4">
        <w:rPr>
          <w:rFonts w:ascii="Abadi" w:hAnsi="Abadi"/>
          <w:b w:val="0"/>
          <w:bCs w:val="0"/>
          <w:sz w:val="21"/>
          <w:szCs w:val="21"/>
        </w:rPr>
        <w:t>a</w:t>
      </w:r>
      <w:r w:rsidRPr="00B94CD4">
        <w:rPr>
          <w:rFonts w:ascii="Abadi" w:hAnsi="Abadi"/>
          <w:b w:val="0"/>
          <w:bCs w:val="0"/>
          <w:spacing w:val="11"/>
          <w:sz w:val="21"/>
          <w:szCs w:val="21"/>
        </w:rPr>
        <w:t xml:space="preserve"> </w:t>
      </w:r>
      <w:r w:rsidRPr="00B94CD4">
        <w:rPr>
          <w:rFonts w:ascii="Abadi" w:hAnsi="Abadi"/>
          <w:b w:val="0"/>
          <w:bCs w:val="0"/>
          <w:sz w:val="21"/>
          <w:szCs w:val="21"/>
        </w:rPr>
        <w:t>efecto</w:t>
      </w:r>
      <w:r w:rsidRPr="00B94CD4">
        <w:rPr>
          <w:rFonts w:ascii="Abadi" w:hAnsi="Abadi"/>
          <w:b w:val="0"/>
          <w:bCs w:val="0"/>
          <w:spacing w:val="9"/>
          <w:sz w:val="21"/>
          <w:szCs w:val="21"/>
        </w:rPr>
        <w:t xml:space="preserve"> </w:t>
      </w:r>
      <w:r w:rsidRPr="00B94CD4">
        <w:rPr>
          <w:rFonts w:ascii="Abadi" w:hAnsi="Abadi"/>
          <w:b w:val="0"/>
          <w:bCs w:val="0"/>
          <w:sz w:val="21"/>
          <w:szCs w:val="21"/>
        </w:rPr>
        <w:t>de</w:t>
      </w:r>
      <w:r w:rsidRPr="00B94CD4">
        <w:rPr>
          <w:rFonts w:ascii="Abadi" w:hAnsi="Abadi"/>
          <w:b w:val="0"/>
          <w:bCs w:val="0"/>
          <w:spacing w:val="9"/>
          <w:sz w:val="21"/>
          <w:szCs w:val="21"/>
        </w:rPr>
        <w:t xml:space="preserve"> </w:t>
      </w:r>
      <w:r w:rsidRPr="00B94CD4">
        <w:rPr>
          <w:rFonts w:ascii="Abadi" w:hAnsi="Abadi"/>
          <w:b w:val="0"/>
          <w:bCs w:val="0"/>
          <w:sz w:val="21"/>
          <w:szCs w:val="21"/>
        </w:rPr>
        <w:t>que</w:t>
      </w:r>
      <w:r w:rsidRPr="00B94CD4">
        <w:rPr>
          <w:rFonts w:ascii="Abadi" w:hAnsi="Abadi"/>
          <w:b w:val="0"/>
          <w:bCs w:val="0"/>
          <w:spacing w:val="9"/>
          <w:sz w:val="21"/>
          <w:szCs w:val="21"/>
        </w:rPr>
        <w:t xml:space="preserve"> </w:t>
      </w:r>
      <w:r w:rsidRPr="00B94CD4">
        <w:rPr>
          <w:rFonts w:ascii="Abadi" w:hAnsi="Abadi"/>
          <w:b w:val="0"/>
          <w:bCs w:val="0"/>
          <w:sz w:val="21"/>
          <w:szCs w:val="21"/>
        </w:rPr>
        <w:t>se</w:t>
      </w:r>
      <w:r w:rsidRPr="00B94CD4">
        <w:rPr>
          <w:rFonts w:ascii="Abadi" w:hAnsi="Abadi"/>
          <w:b w:val="0"/>
          <w:bCs w:val="0"/>
          <w:spacing w:val="9"/>
          <w:sz w:val="21"/>
          <w:szCs w:val="21"/>
        </w:rPr>
        <w:t xml:space="preserve"> </w:t>
      </w:r>
      <w:r w:rsidRPr="00B94CD4">
        <w:rPr>
          <w:rFonts w:ascii="Abadi" w:hAnsi="Abadi"/>
          <w:b w:val="0"/>
          <w:bCs w:val="0"/>
          <w:sz w:val="21"/>
          <w:szCs w:val="21"/>
        </w:rPr>
        <w:t>le</w:t>
      </w:r>
      <w:r w:rsidRPr="00B94CD4">
        <w:rPr>
          <w:rFonts w:ascii="Abadi" w:hAnsi="Abadi"/>
          <w:b w:val="0"/>
          <w:bCs w:val="0"/>
          <w:spacing w:val="9"/>
          <w:sz w:val="21"/>
          <w:szCs w:val="21"/>
        </w:rPr>
        <w:t xml:space="preserve"> </w:t>
      </w:r>
      <w:r w:rsidRPr="00B94CD4">
        <w:rPr>
          <w:rFonts w:ascii="Abadi" w:hAnsi="Abadi"/>
          <w:b w:val="0"/>
          <w:bCs w:val="0"/>
          <w:sz w:val="21"/>
          <w:szCs w:val="21"/>
        </w:rPr>
        <w:t>autorice</w:t>
      </w:r>
      <w:r w:rsidRPr="00B94CD4">
        <w:rPr>
          <w:rFonts w:ascii="Abadi" w:hAnsi="Abadi"/>
          <w:b w:val="0"/>
          <w:bCs w:val="0"/>
          <w:spacing w:val="9"/>
          <w:sz w:val="21"/>
          <w:szCs w:val="21"/>
        </w:rPr>
        <w:t xml:space="preserve"> </w:t>
      </w:r>
      <w:r w:rsidRPr="00B94CD4">
        <w:rPr>
          <w:rFonts w:ascii="Abadi" w:hAnsi="Abadi"/>
          <w:b w:val="0"/>
          <w:bCs w:val="0"/>
          <w:sz w:val="21"/>
          <w:szCs w:val="21"/>
        </w:rPr>
        <w:t>la contratación</w:t>
      </w:r>
      <w:r w:rsidRPr="00B94CD4">
        <w:rPr>
          <w:rFonts w:ascii="Abadi" w:hAnsi="Abadi"/>
          <w:b w:val="0"/>
          <w:bCs w:val="0"/>
          <w:spacing w:val="-17"/>
          <w:sz w:val="21"/>
          <w:szCs w:val="21"/>
        </w:rPr>
        <w:t xml:space="preserve"> </w:t>
      </w:r>
      <w:r w:rsidRPr="00B94CD4">
        <w:rPr>
          <w:rFonts w:ascii="Abadi" w:hAnsi="Abadi"/>
          <w:b w:val="0"/>
          <w:bCs w:val="0"/>
          <w:sz w:val="21"/>
          <w:szCs w:val="21"/>
        </w:rPr>
        <w:t>de</w:t>
      </w:r>
      <w:r w:rsidRPr="00B94CD4">
        <w:rPr>
          <w:rFonts w:ascii="Abadi" w:hAnsi="Abadi"/>
          <w:b w:val="0"/>
          <w:bCs w:val="0"/>
          <w:spacing w:val="-17"/>
          <w:sz w:val="21"/>
          <w:szCs w:val="21"/>
        </w:rPr>
        <w:t xml:space="preserve"> </w:t>
      </w:r>
      <w:r w:rsidRPr="00B94CD4">
        <w:rPr>
          <w:rFonts w:ascii="Abadi" w:hAnsi="Abadi"/>
          <w:b w:val="0"/>
          <w:bCs w:val="0"/>
          <w:sz w:val="21"/>
          <w:szCs w:val="21"/>
        </w:rPr>
        <w:t>uno</w:t>
      </w:r>
      <w:r w:rsidRPr="00B94CD4">
        <w:rPr>
          <w:rFonts w:ascii="Abadi" w:hAnsi="Abadi"/>
          <w:b w:val="0"/>
          <w:bCs w:val="0"/>
          <w:spacing w:val="-17"/>
          <w:sz w:val="21"/>
          <w:szCs w:val="21"/>
        </w:rPr>
        <w:t xml:space="preserve"> </w:t>
      </w:r>
      <w:r w:rsidRPr="00B94CD4">
        <w:rPr>
          <w:rFonts w:ascii="Abadi" w:hAnsi="Abadi"/>
          <w:b w:val="0"/>
          <w:bCs w:val="0"/>
          <w:sz w:val="21"/>
          <w:szCs w:val="21"/>
        </w:rPr>
        <w:t>o</w:t>
      </w:r>
      <w:r w:rsidRPr="00B94CD4">
        <w:rPr>
          <w:rFonts w:ascii="Abadi" w:hAnsi="Abadi"/>
          <w:b w:val="0"/>
          <w:bCs w:val="0"/>
          <w:spacing w:val="-17"/>
          <w:sz w:val="21"/>
          <w:szCs w:val="21"/>
        </w:rPr>
        <w:t xml:space="preserve"> </w:t>
      </w:r>
      <w:r w:rsidRPr="00B94CD4">
        <w:rPr>
          <w:rFonts w:ascii="Abadi" w:hAnsi="Abadi"/>
          <w:b w:val="0"/>
          <w:bCs w:val="0"/>
          <w:sz w:val="21"/>
          <w:szCs w:val="21"/>
        </w:rPr>
        <w:t>varios</w:t>
      </w:r>
      <w:r w:rsidRPr="00B94CD4">
        <w:rPr>
          <w:rFonts w:ascii="Abadi" w:hAnsi="Abadi"/>
          <w:b w:val="0"/>
          <w:bCs w:val="0"/>
          <w:spacing w:val="-16"/>
          <w:sz w:val="21"/>
          <w:szCs w:val="21"/>
        </w:rPr>
        <w:t xml:space="preserve"> </w:t>
      </w:r>
      <w:r w:rsidRPr="00B94CD4">
        <w:rPr>
          <w:rFonts w:ascii="Abadi" w:hAnsi="Abadi"/>
          <w:b w:val="0"/>
          <w:bCs w:val="0"/>
          <w:sz w:val="21"/>
          <w:szCs w:val="21"/>
        </w:rPr>
        <w:t>financiamientos</w:t>
      </w:r>
      <w:r w:rsidRPr="00B94CD4">
        <w:rPr>
          <w:rFonts w:ascii="Abadi" w:hAnsi="Abadi"/>
          <w:b w:val="0"/>
          <w:bCs w:val="0"/>
          <w:spacing w:val="-18"/>
          <w:sz w:val="21"/>
          <w:szCs w:val="21"/>
        </w:rPr>
        <w:t xml:space="preserve"> </w:t>
      </w:r>
      <w:r w:rsidRPr="00B94CD4">
        <w:rPr>
          <w:rFonts w:ascii="Abadi" w:hAnsi="Abadi"/>
          <w:b w:val="0"/>
          <w:bCs w:val="0"/>
          <w:sz w:val="21"/>
          <w:szCs w:val="21"/>
        </w:rPr>
        <w:t>para</w:t>
      </w:r>
      <w:r w:rsidRPr="00B94CD4">
        <w:rPr>
          <w:rFonts w:ascii="Abadi" w:hAnsi="Abadi"/>
          <w:b w:val="0"/>
          <w:bCs w:val="0"/>
          <w:spacing w:val="-17"/>
          <w:sz w:val="21"/>
          <w:szCs w:val="21"/>
        </w:rPr>
        <w:t xml:space="preserve"> </w:t>
      </w:r>
      <w:r w:rsidRPr="00B94CD4">
        <w:rPr>
          <w:rFonts w:ascii="Abadi" w:hAnsi="Abadi"/>
          <w:b w:val="0"/>
          <w:bCs w:val="0"/>
          <w:sz w:val="21"/>
          <w:szCs w:val="21"/>
        </w:rPr>
        <w:t>destinarlos</w:t>
      </w:r>
      <w:r w:rsidRPr="00B94CD4">
        <w:rPr>
          <w:rFonts w:ascii="Abadi" w:hAnsi="Abadi"/>
          <w:b w:val="0"/>
          <w:bCs w:val="0"/>
          <w:spacing w:val="-17"/>
          <w:sz w:val="21"/>
          <w:szCs w:val="21"/>
        </w:rPr>
        <w:t xml:space="preserve"> </w:t>
      </w:r>
      <w:r w:rsidRPr="00B94CD4">
        <w:rPr>
          <w:rFonts w:ascii="Abadi" w:hAnsi="Abadi"/>
          <w:b w:val="0"/>
          <w:bCs w:val="0"/>
          <w:sz w:val="21"/>
          <w:szCs w:val="21"/>
        </w:rPr>
        <w:t>a</w:t>
      </w:r>
      <w:r w:rsidRPr="00B94CD4">
        <w:rPr>
          <w:rFonts w:ascii="Abadi" w:hAnsi="Abadi"/>
          <w:b w:val="0"/>
          <w:bCs w:val="0"/>
          <w:spacing w:val="-16"/>
          <w:sz w:val="21"/>
          <w:szCs w:val="21"/>
        </w:rPr>
        <w:t xml:space="preserve"> </w:t>
      </w:r>
      <w:r w:rsidRPr="00B94CD4">
        <w:rPr>
          <w:rFonts w:ascii="Abadi" w:hAnsi="Abadi"/>
          <w:b w:val="0"/>
          <w:bCs w:val="0"/>
          <w:sz w:val="21"/>
          <w:szCs w:val="21"/>
        </w:rPr>
        <w:t>13</w:t>
      </w:r>
      <w:r w:rsidRPr="00B94CD4">
        <w:rPr>
          <w:rFonts w:ascii="Abadi" w:hAnsi="Abadi"/>
          <w:b w:val="0"/>
          <w:bCs w:val="0"/>
          <w:spacing w:val="-17"/>
          <w:sz w:val="21"/>
          <w:szCs w:val="21"/>
        </w:rPr>
        <w:t xml:space="preserve"> </w:t>
      </w:r>
      <w:r w:rsidRPr="00B94CD4">
        <w:rPr>
          <w:rFonts w:ascii="Abadi" w:hAnsi="Abadi"/>
          <w:b w:val="0"/>
          <w:bCs w:val="0"/>
          <w:sz w:val="21"/>
          <w:szCs w:val="21"/>
        </w:rPr>
        <w:t xml:space="preserve">proyectos de inversión pública productiva. </w:t>
      </w:r>
      <w:r w:rsidRPr="00B94CD4">
        <w:rPr>
          <w:rFonts w:ascii="Abadi" w:hAnsi="Abadi"/>
          <w:sz w:val="21"/>
          <w:szCs w:val="21"/>
        </w:rPr>
        <w:t>XXIX.-</w:t>
      </w:r>
      <w:r w:rsidRPr="00B94CD4">
        <w:rPr>
          <w:rFonts w:ascii="Abadi" w:hAnsi="Abadi"/>
          <w:b w:val="0"/>
          <w:bCs w:val="0"/>
          <w:sz w:val="21"/>
          <w:szCs w:val="21"/>
        </w:rPr>
        <w:t xml:space="preserve"> Discusión</w:t>
      </w:r>
      <w:r w:rsidRPr="00B94CD4">
        <w:rPr>
          <w:rFonts w:ascii="Abadi" w:hAnsi="Abadi"/>
          <w:b w:val="0"/>
          <w:bCs w:val="0"/>
          <w:spacing w:val="50"/>
          <w:w w:val="150"/>
          <w:sz w:val="21"/>
          <w:szCs w:val="21"/>
        </w:rPr>
        <w:t xml:space="preserve"> </w:t>
      </w:r>
      <w:r w:rsidRPr="00B94CD4">
        <w:rPr>
          <w:rFonts w:ascii="Abadi" w:hAnsi="Abadi"/>
          <w:b w:val="0"/>
          <w:bCs w:val="0"/>
          <w:sz w:val="21"/>
          <w:szCs w:val="21"/>
        </w:rPr>
        <w:t>y,</w:t>
      </w:r>
      <w:r w:rsidRPr="00B94CD4">
        <w:rPr>
          <w:rFonts w:ascii="Abadi" w:hAnsi="Abadi"/>
          <w:b w:val="0"/>
          <w:bCs w:val="0"/>
          <w:spacing w:val="50"/>
          <w:w w:val="150"/>
          <w:sz w:val="21"/>
          <w:szCs w:val="21"/>
        </w:rPr>
        <w:t xml:space="preserve"> </w:t>
      </w:r>
      <w:r w:rsidRPr="00B94CD4">
        <w:rPr>
          <w:rFonts w:ascii="Abadi" w:hAnsi="Abadi"/>
          <w:b w:val="0"/>
          <w:bCs w:val="0"/>
          <w:sz w:val="21"/>
          <w:szCs w:val="21"/>
        </w:rPr>
        <w:t>en</w:t>
      </w:r>
      <w:r w:rsidRPr="00B94CD4">
        <w:rPr>
          <w:rFonts w:ascii="Abadi" w:hAnsi="Abadi"/>
          <w:b w:val="0"/>
          <w:bCs w:val="0"/>
          <w:spacing w:val="50"/>
          <w:w w:val="150"/>
          <w:sz w:val="21"/>
          <w:szCs w:val="21"/>
        </w:rPr>
        <w:t xml:space="preserve"> </w:t>
      </w:r>
      <w:r w:rsidRPr="00B94CD4">
        <w:rPr>
          <w:rFonts w:ascii="Abadi" w:hAnsi="Abadi"/>
          <w:b w:val="0"/>
          <w:bCs w:val="0"/>
          <w:sz w:val="21"/>
          <w:szCs w:val="21"/>
        </w:rPr>
        <w:t>su</w:t>
      </w:r>
      <w:r w:rsidRPr="00B94CD4">
        <w:rPr>
          <w:rFonts w:ascii="Abadi" w:hAnsi="Abadi"/>
          <w:b w:val="0"/>
          <w:bCs w:val="0"/>
          <w:spacing w:val="50"/>
          <w:w w:val="150"/>
          <w:sz w:val="21"/>
          <w:szCs w:val="21"/>
        </w:rPr>
        <w:t xml:space="preserve"> </w:t>
      </w:r>
      <w:r w:rsidRPr="00B94CD4">
        <w:rPr>
          <w:rFonts w:ascii="Abadi" w:hAnsi="Abadi"/>
          <w:b w:val="0"/>
          <w:bCs w:val="0"/>
          <w:sz w:val="21"/>
          <w:szCs w:val="21"/>
        </w:rPr>
        <w:t>caso,</w:t>
      </w:r>
      <w:r w:rsidRPr="00B94CD4">
        <w:rPr>
          <w:rFonts w:ascii="Abadi" w:hAnsi="Abadi"/>
          <w:b w:val="0"/>
          <w:bCs w:val="0"/>
          <w:spacing w:val="50"/>
          <w:w w:val="150"/>
          <w:sz w:val="21"/>
          <w:szCs w:val="21"/>
        </w:rPr>
        <w:t xml:space="preserve"> </w:t>
      </w:r>
      <w:r w:rsidRPr="00B94CD4">
        <w:rPr>
          <w:rFonts w:ascii="Abadi" w:hAnsi="Abadi"/>
          <w:b w:val="0"/>
          <w:bCs w:val="0"/>
          <w:sz w:val="21"/>
          <w:szCs w:val="21"/>
        </w:rPr>
        <w:t>aprobación</w:t>
      </w:r>
      <w:r w:rsidRPr="00B94CD4">
        <w:rPr>
          <w:rFonts w:ascii="Abadi" w:hAnsi="Abadi"/>
          <w:b w:val="0"/>
          <w:bCs w:val="0"/>
          <w:spacing w:val="50"/>
          <w:w w:val="150"/>
          <w:sz w:val="21"/>
          <w:szCs w:val="21"/>
        </w:rPr>
        <w:t xml:space="preserve"> </w:t>
      </w:r>
      <w:r w:rsidRPr="00B94CD4">
        <w:rPr>
          <w:rFonts w:ascii="Abadi" w:hAnsi="Abadi"/>
          <w:b w:val="0"/>
          <w:bCs w:val="0"/>
          <w:sz w:val="21"/>
          <w:szCs w:val="21"/>
        </w:rPr>
        <w:t>del</w:t>
      </w:r>
      <w:r w:rsidRPr="00B94CD4">
        <w:rPr>
          <w:rFonts w:ascii="Abadi" w:hAnsi="Abadi"/>
          <w:b w:val="0"/>
          <w:bCs w:val="0"/>
          <w:spacing w:val="50"/>
          <w:w w:val="150"/>
          <w:sz w:val="21"/>
          <w:szCs w:val="21"/>
        </w:rPr>
        <w:t xml:space="preserve"> </w:t>
      </w:r>
      <w:r w:rsidRPr="00B94CD4">
        <w:rPr>
          <w:rFonts w:ascii="Abadi" w:hAnsi="Abadi"/>
          <w:b w:val="0"/>
          <w:bCs w:val="0"/>
          <w:sz w:val="21"/>
          <w:szCs w:val="21"/>
        </w:rPr>
        <w:t>dictamen</w:t>
      </w:r>
      <w:r w:rsidRPr="00B94CD4">
        <w:rPr>
          <w:rFonts w:ascii="Abadi" w:hAnsi="Abadi"/>
          <w:b w:val="0"/>
          <w:bCs w:val="0"/>
          <w:spacing w:val="50"/>
          <w:w w:val="150"/>
          <w:sz w:val="21"/>
          <w:szCs w:val="21"/>
        </w:rPr>
        <w:t xml:space="preserve"> </w:t>
      </w:r>
      <w:r w:rsidRPr="00B94CD4">
        <w:rPr>
          <w:rFonts w:ascii="Abadi" w:hAnsi="Abadi"/>
          <w:b w:val="0"/>
          <w:bCs w:val="0"/>
          <w:sz w:val="21"/>
          <w:szCs w:val="21"/>
        </w:rPr>
        <w:t>presentado</w:t>
      </w:r>
      <w:r w:rsidRPr="00B94CD4">
        <w:rPr>
          <w:rFonts w:ascii="Abadi" w:hAnsi="Abadi"/>
          <w:b w:val="0"/>
          <w:bCs w:val="0"/>
          <w:spacing w:val="50"/>
          <w:w w:val="150"/>
          <w:sz w:val="21"/>
          <w:szCs w:val="21"/>
        </w:rPr>
        <w:t xml:space="preserve"> </w:t>
      </w:r>
      <w:r w:rsidRPr="00B94CD4">
        <w:rPr>
          <w:rFonts w:ascii="Abadi" w:hAnsi="Abadi"/>
          <w:b w:val="0"/>
          <w:bCs w:val="0"/>
          <w:sz w:val="21"/>
          <w:szCs w:val="21"/>
        </w:rPr>
        <w:t>por</w:t>
      </w:r>
      <w:r w:rsidRPr="00B94CD4">
        <w:rPr>
          <w:rFonts w:ascii="Abadi" w:hAnsi="Abadi"/>
          <w:b w:val="0"/>
          <w:bCs w:val="0"/>
          <w:spacing w:val="50"/>
          <w:w w:val="150"/>
          <w:sz w:val="21"/>
          <w:szCs w:val="21"/>
        </w:rPr>
        <w:t xml:space="preserve"> </w:t>
      </w:r>
      <w:r w:rsidRPr="00B94CD4">
        <w:rPr>
          <w:rFonts w:ascii="Abadi" w:hAnsi="Abadi"/>
          <w:b w:val="0"/>
          <w:bCs w:val="0"/>
          <w:sz w:val="21"/>
          <w:szCs w:val="21"/>
        </w:rPr>
        <w:t>la</w:t>
      </w:r>
      <w:r w:rsidRPr="00B94CD4">
        <w:rPr>
          <w:rFonts w:ascii="Abadi" w:hAnsi="Abadi"/>
          <w:b w:val="0"/>
          <w:bCs w:val="0"/>
          <w:spacing w:val="-1"/>
          <w:sz w:val="21"/>
          <w:szCs w:val="21"/>
        </w:rPr>
        <w:t xml:space="preserve"> </w:t>
      </w:r>
      <w:r w:rsidRPr="00B94CD4">
        <w:rPr>
          <w:rFonts w:ascii="Abadi" w:hAnsi="Abadi"/>
          <w:b w:val="0"/>
          <w:bCs w:val="0"/>
          <w:sz w:val="21"/>
          <w:szCs w:val="21"/>
        </w:rPr>
        <w:t>Comisión</w:t>
      </w:r>
      <w:r w:rsidRPr="00B94CD4">
        <w:rPr>
          <w:rFonts w:ascii="Abadi" w:hAnsi="Abadi"/>
          <w:b w:val="0"/>
          <w:bCs w:val="0"/>
          <w:spacing w:val="19"/>
          <w:sz w:val="21"/>
          <w:szCs w:val="21"/>
        </w:rPr>
        <w:t xml:space="preserve"> </w:t>
      </w:r>
      <w:r w:rsidRPr="00B94CD4">
        <w:rPr>
          <w:rFonts w:ascii="Abadi" w:hAnsi="Abadi"/>
          <w:b w:val="0"/>
          <w:bCs w:val="0"/>
          <w:sz w:val="21"/>
          <w:szCs w:val="21"/>
        </w:rPr>
        <w:t>de</w:t>
      </w:r>
      <w:r w:rsidRPr="00B94CD4">
        <w:rPr>
          <w:rFonts w:ascii="Abadi" w:hAnsi="Abadi"/>
          <w:b w:val="0"/>
          <w:bCs w:val="0"/>
          <w:spacing w:val="19"/>
          <w:sz w:val="21"/>
          <w:szCs w:val="21"/>
        </w:rPr>
        <w:t xml:space="preserve"> </w:t>
      </w:r>
      <w:r w:rsidRPr="00B94CD4">
        <w:rPr>
          <w:rFonts w:ascii="Abadi" w:hAnsi="Abadi"/>
          <w:b w:val="0"/>
          <w:bCs w:val="0"/>
          <w:sz w:val="21"/>
          <w:szCs w:val="21"/>
        </w:rPr>
        <w:t>Hacienda</w:t>
      </w:r>
      <w:r w:rsidRPr="00B94CD4">
        <w:rPr>
          <w:rFonts w:ascii="Abadi" w:hAnsi="Abadi"/>
          <w:b w:val="0"/>
          <w:bCs w:val="0"/>
          <w:spacing w:val="19"/>
          <w:sz w:val="21"/>
          <w:szCs w:val="21"/>
        </w:rPr>
        <w:t xml:space="preserve"> </w:t>
      </w:r>
      <w:r w:rsidRPr="00B94CD4">
        <w:rPr>
          <w:rFonts w:ascii="Abadi" w:hAnsi="Abadi"/>
          <w:b w:val="0"/>
          <w:bCs w:val="0"/>
          <w:sz w:val="21"/>
          <w:szCs w:val="21"/>
        </w:rPr>
        <w:t>y</w:t>
      </w:r>
      <w:r w:rsidRPr="00B94CD4">
        <w:rPr>
          <w:rFonts w:ascii="Abadi" w:hAnsi="Abadi"/>
          <w:b w:val="0"/>
          <w:bCs w:val="0"/>
          <w:spacing w:val="20"/>
          <w:sz w:val="21"/>
          <w:szCs w:val="21"/>
        </w:rPr>
        <w:t xml:space="preserve"> </w:t>
      </w:r>
      <w:r w:rsidRPr="00B94CD4">
        <w:rPr>
          <w:rFonts w:ascii="Abadi" w:hAnsi="Abadi"/>
          <w:b w:val="0"/>
          <w:bCs w:val="0"/>
          <w:sz w:val="21"/>
          <w:szCs w:val="21"/>
        </w:rPr>
        <w:t>Fiscalización</w:t>
      </w:r>
      <w:r w:rsidRPr="00B94CD4">
        <w:rPr>
          <w:rFonts w:ascii="Abadi" w:hAnsi="Abadi"/>
          <w:b w:val="0"/>
          <w:bCs w:val="0"/>
          <w:spacing w:val="19"/>
          <w:sz w:val="21"/>
          <w:szCs w:val="21"/>
        </w:rPr>
        <w:t xml:space="preserve"> </w:t>
      </w:r>
      <w:r w:rsidRPr="00B94CD4">
        <w:rPr>
          <w:rFonts w:ascii="Abadi" w:hAnsi="Abadi"/>
          <w:b w:val="0"/>
          <w:bCs w:val="0"/>
          <w:sz w:val="21"/>
          <w:szCs w:val="21"/>
        </w:rPr>
        <w:t>relativo</w:t>
      </w:r>
      <w:r w:rsidRPr="00B94CD4">
        <w:rPr>
          <w:rFonts w:ascii="Abadi" w:hAnsi="Abadi"/>
          <w:b w:val="0"/>
          <w:bCs w:val="0"/>
          <w:spacing w:val="19"/>
          <w:sz w:val="21"/>
          <w:szCs w:val="21"/>
        </w:rPr>
        <w:t xml:space="preserve"> </w:t>
      </w:r>
      <w:r w:rsidRPr="00B94CD4">
        <w:rPr>
          <w:rFonts w:ascii="Abadi" w:hAnsi="Abadi"/>
          <w:b w:val="0"/>
          <w:bCs w:val="0"/>
          <w:sz w:val="21"/>
          <w:szCs w:val="21"/>
        </w:rPr>
        <w:t>a</w:t>
      </w:r>
      <w:r w:rsidRPr="00B94CD4">
        <w:rPr>
          <w:rFonts w:ascii="Abadi" w:hAnsi="Abadi"/>
          <w:b w:val="0"/>
          <w:bCs w:val="0"/>
          <w:spacing w:val="19"/>
          <w:sz w:val="21"/>
          <w:szCs w:val="21"/>
        </w:rPr>
        <w:t xml:space="preserve"> </w:t>
      </w:r>
      <w:r w:rsidRPr="00B94CD4">
        <w:rPr>
          <w:rFonts w:ascii="Abadi" w:hAnsi="Abadi"/>
          <w:b w:val="0"/>
          <w:bCs w:val="0"/>
          <w:sz w:val="21"/>
          <w:szCs w:val="21"/>
        </w:rPr>
        <w:t>la</w:t>
      </w:r>
      <w:r w:rsidRPr="00B94CD4">
        <w:rPr>
          <w:rFonts w:ascii="Abadi" w:hAnsi="Abadi"/>
          <w:b w:val="0"/>
          <w:bCs w:val="0"/>
          <w:spacing w:val="19"/>
          <w:sz w:val="21"/>
          <w:szCs w:val="21"/>
        </w:rPr>
        <w:t xml:space="preserve"> </w:t>
      </w:r>
      <w:r w:rsidRPr="00B94CD4">
        <w:rPr>
          <w:rFonts w:ascii="Abadi" w:hAnsi="Abadi"/>
          <w:b w:val="0"/>
          <w:bCs w:val="0"/>
          <w:sz w:val="21"/>
          <w:szCs w:val="21"/>
        </w:rPr>
        <w:t>propuesta</w:t>
      </w:r>
      <w:r w:rsidRPr="00B94CD4">
        <w:rPr>
          <w:rFonts w:ascii="Abadi" w:hAnsi="Abadi"/>
          <w:b w:val="0"/>
          <w:bCs w:val="0"/>
          <w:spacing w:val="19"/>
          <w:sz w:val="21"/>
          <w:szCs w:val="21"/>
        </w:rPr>
        <w:t xml:space="preserve"> </w:t>
      </w:r>
      <w:r w:rsidRPr="00B94CD4">
        <w:rPr>
          <w:rFonts w:ascii="Abadi" w:hAnsi="Abadi"/>
          <w:b w:val="0"/>
          <w:bCs w:val="0"/>
          <w:sz w:val="21"/>
          <w:szCs w:val="21"/>
        </w:rPr>
        <w:t>de</w:t>
      </w:r>
      <w:r w:rsidRPr="00B94CD4">
        <w:rPr>
          <w:rFonts w:ascii="Abadi" w:hAnsi="Abadi"/>
          <w:b w:val="0"/>
          <w:bCs w:val="0"/>
          <w:spacing w:val="19"/>
          <w:sz w:val="21"/>
          <w:szCs w:val="21"/>
        </w:rPr>
        <w:t xml:space="preserve"> </w:t>
      </w:r>
      <w:r w:rsidRPr="00B94CD4">
        <w:rPr>
          <w:rFonts w:ascii="Abadi" w:hAnsi="Abadi"/>
          <w:b w:val="0"/>
          <w:bCs w:val="0"/>
          <w:sz w:val="21"/>
          <w:szCs w:val="21"/>
        </w:rPr>
        <w:t>punto</w:t>
      </w:r>
      <w:r w:rsidRPr="00B94CD4">
        <w:rPr>
          <w:rFonts w:ascii="Abadi" w:hAnsi="Abadi"/>
          <w:b w:val="0"/>
          <w:bCs w:val="0"/>
          <w:spacing w:val="19"/>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acuerdo</w:t>
      </w:r>
      <w:r w:rsidRPr="00B94CD4">
        <w:rPr>
          <w:rFonts w:ascii="Abadi" w:hAnsi="Abadi"/>
          <w:b w:val="0"/>
          <w:bCs w:val="0"/>
          <w:spacing w:val="63"/>
          <w:sz w:val="21"/>
          <w:szCs w:val="21"/>
        </w:rPr>
        <w:t xml:space="preserve"> </w:t>
      </w:r>
      <w:r w:rsidRPr="00B94CD4">
        <w:rPr>
          <w:rFonts w:ascii="Abadi" w:hAnsi="Abadi"/>
          <w:b w:val="0"/>
          <w:bCs w:val="0"/>
          <w:sz w:val="21"/>
          <w:szCs w:val="21"/>
        </w:rPr>
        <w:t>suscrita</w:t>
      </w:r>
      <w:r w:rsidRPr="00B94CD4">
        <w:rPr>
          <w:rFonts w:ascii="Abadi" w:hAnsi="Abadi"/>
          <w:b w:val="0"/>
          <w:bCs w:val="0"/>
          <w:spacing w:val="63"/>
          <w:sz w:val="21"/>
          <w:szCs w:val="21"/>
        </w:rPr>
        <w:t xml:space="preserve"> </w:t>
      </w:r>
      <w:r w:rsidRPr="00B94CD4">
        <w:rPr>
          <w:rFonts w:ascii="Abadi" w:hAnsi="Abadi"/>
          <w:b w:val="0"/>
          <w:bCs w:val="0"/>
          <w:sz w:val="21"/>
          <w:szCs w:val="21"/>
        </w:rPr>
        <w:t>por</w:t>
      </w:r>
      <w:r w:rsidRPr="00B94CD4">
        <w:rPr>
          <w:rFonts w:ascii="Abadi" w:hAnsi="Abadi"/>
          <w:b w:val="0"/>
          <w:bCs w:val="0"/>
          <w:spacing w:val="63"/>
          <w:sz w:val="21"/>
          <w:szCs w:val="21"/>
        </w:rPr>
        <w:t xml:space="preserve"> </w:t>
      </w:r>
      <w:r w:rsidRPr="00B94CD4">
        <w:rPr>
          <w:rFonts w:ascii="Abadi" w:hAnsi="Abadi"/>
          <w:b w:val="0"/>
          <w:bCs w:val="0"/>
          <w:sz w:val="21"/>
          <w:szCs w:val="21"/>
        </w:rPr>
        <w:t>la</w:t>
      </w:r>
      <w:r w:rsidRPr="00B94CD4">
        <w:rPr>
          <w:rFonts w:ascii="Abadi" w:hAnsi="Abadi"/>
          <w:b w:val="0"/>
          <w:bCs w:val="0"/>
          <w:spacing w:val="63"/>
          <w:sz w:val="21"/>
          <w:szCs w:val="21"/>
        </w:rPr>
        <w:t xml:space="preserve"> </w:t>
      </w:r>
      <w:r w:rsidRPr="00B94CD4">
        <w:rPr>
          <w:rFonts w:ascii="Abadi" w:hAnsi="Abadi"/>
          <w:b w:val="0"/>
          <w:bCs w:val="0"/>
          <w:sz w:val="21"/>
          <w:szCs w:val="21"/>
        </w:rPr>
        <w:t>diputada</w:t>
      </w:r>
      <w:r w:rsidRPr="00B94CD4">
        <w:rPr>
          <w:rFonts w:ascii="Abadi" w:hAnsi="Abadi"/>
          <w:b w:val="0"/>
          <w:bCs w:val="0"/>
          <w:spacing w:val="62"/>
          <w:sz w:val="21"/>
          <w:szCs w:val="21"/>
        </w:rPr>
        <w:t xml:space="preserve"> </w:t>
      </w:r>
      <w:r w:rsidRPr="00B94CD4">
        <w:rPr>
          <w:rFonts w:ascii="Abadi" w:hAnsi="Abadi"/>
          <w:b w:val="0"/>
          <w:bCs w:val="0"/>
          <w:sz w:val="21"/>
          <w:szCs w:val="21"/>
        </w:rPr>
        <w:t>María</w:t>
      </w:r>
      <w:r w:rsidRPr="00B94CD4">
        <w:rPr>
          <w:rFonts w:ascii="Abadi" w:hAnsi="Abadi"/>
          <w:b w:val="0"/>
          <w:bCs w:val="0"/>
          <w:spacing w:val="63"/>
          <w:sz w:val="21"/>
          <w:szCs w:val="21"/>
        </w:rPr>
        <w:t xml:space="preserve"> </w:t>
      </w:r>
      <w:r w:rsidRPr="00B94CD4">
        <w:rPr>
          <w:rFonts w:ascii="Abadi" w:hAnsi="Abadi"/>
          <w:b w:val="0"/>
          <w:bCs w:val="0"/>
          <w:sz w:val="21"/>
          <w:szCs w:val="21"/>
        </w:rPr>
        <w:t>Magdalena</w:t>
      </w:r>
      <w:r w:rsidRPr="00B94CD4">
        <w:rPr>
          <w:rFonts w:ascii="Abadi" w:hAnsi="Abadi"/>
          <w:b w:val="0"/>
          <w:bCs w:val="0"/>
          <w:spacing w:val="63"/>
          <w:sz w:val="21"/>
          <w:szCs w:val="21"/>
        </w:rPr>
        <w:t xml:space="preserve"> </w:t>
      </w:r>
      <w:r w:rsidRPr="00B94CD4">
        <w:rPr>
          <w:rFonts w:ascii="Abadi" w:hAnsi="Abadi"/>
          <w:b w:val="0"/>
          <w:bCs w:val="0"/>
          <w:sz w:val="21"/>
          <w:szCs w:val="21"/>
        </w:rPr>
        <w:t>Rosales</w:t>
      </w:r>
      <w:r w:rsidRPr="00B94CD4">
        <w:rPr>
          <w:rFonts w:ascii="Abadi" w:hAnsi="Abadi"/>
          <w:b w:val="0"/>
          <w:bCs w:val="0"/>
          <w:spacing w:val="63"/>
          <w:sz w:val="21"/>
          <w:szCs w:val="21"/>
        </w:rPr>
        <w:t xml:space="preserve"> </w:t>
      </w:r>
      <w:r w:rsidRPr="00B94CD4">
        <w:rPr>
          <w:rFonts w:ascii="Abadi" w:hAnsi="Abadi"/>
          <w:b w:val="0"/>
          <w:bCs w:val="0"/>
          <w:sz w:val="21"/>
          <w:szCs w:val="21"/>
        </w:rPr>
        <w:t>Cruz</w:t>
      </w:r>
      <w:r w:rsidRPr="00B94CD4">
        <w:rPr>
          <w:rFonts w:ascii="Abadi" w:hAnsi="Abadi"/>
          <w:b w:val="0"/>
          <w:bCs w:val="0"/>
          <w:spacing w:val="63"/>
          <w:sz w:val="21"/>
          <w:szCs w:val="21"/>
        </w:rPr>
        <w:t xml:space="preserve"> </w:t>
      </w:r>
      <w:r w:rsidRPr="00B94CD4">
        <w:rPr>
          <w:rFonts w:ascii="Abadi" w:hAnsi="Abadi"/>
          <w:b w:val="0"/>
          <w:bCs w:val="0"/>
          <w:sz w:val="21"/>
          <w:szCs w:val="21"/>
        </w:rPr>
        <w:t>y</w:t>
      </w:r>
      <w:r w:rsidRPr="00B94CD4">
        <w:rPr>
          <w:rFonts w:ascii="Abadi" w:hAnsi="Abadi"/>
          <w:b w:val="0"/>
          <w:bCs w:val="0"/>
          <w:spacing w:val="63"/>
          <w:sz w:val="21"/>
          <w:szCs w:val="21"/>
        </w:rPr>
        <w:t xml:space="preserve"> </w:t>
      </w:r>
      <w:r w:rsidRPr="00B94CD4">
        <w:rPr>
          <w:rFonts w:ascii="Abadi" w:hAnsi="Abadi"/>
          <w:b w:val="0"/>
          <w:bCs w:val="0"/>
          <w:sz w:val="21"/>
          <w:szCs w:val="21"/>
        </w:rPr>
        <w:t>los</w:t>
      </w:r>
      <w:r w:rsidRPr="00B94CD4">
        <w:rPr>
          <w:rFonts w:ascii="Abadi" w:hAnsi="Abadi"/>
          <w:b w:val="0"/>
          <w:bCs w:val="0"/>
          <w:spacing w:val="-1"/>
          <w:sz w:val="21"/>
          <w:szCs w:val="21"/>
        </w:rPr>
        <w:t xml:space="preserve"> </w:t>
      </w:r>
      <w:r w:rsidRPr="00B94CD4">
        <w:rPr>
          <w:rFonts w:ascii="Abadi" w:hAnsi="Abadi"/>
          <w:b w:val="0"/>
          <w:bCs w:val="0"/>
          <w:sz w:val="21"/>
          <w:szCs w:val="21"/>
        </w:rPr>
        <w:t>diputados</w:t>
      </w:r>
      <w:r w:rsidRPr="00B94CD4">
        <w:rPr>
          <w:rFonts w:ascii="Abadi" w:hAnsi="Abadi"/>
          <w:b w:val="0"/>
          <w:bCs w:val="0"/>
          <w:spacing w:val="34"/>
          <w:sz w:val="21"/>
          <w:szCs w:val="21"/>
        </w:rPr>
        <w:t xml:space="preserve">  </w:t>
      </w:r>
      <w:r w:rsidRPr="00B94CD4">
        <w:rPr>
          <w:rFonts w:ascii="Abadi" w:hAnsi="Abadi"/>
          <w:b w:val="0"/>
          <w:bCs w:val="0"/>
          <w:sz w:val="21"/>
          <w:szCs w:val="21"/>
        </w:rPr>
        <w:t>Enrique</w:t>
      </w:r>
      <w:r w:rsidRPr="00B94CD4">
        <w:rPr>
          <w:rFonts w:ascii="Abadi" w:hAnsi="Abadi"/>
          <w:b w:val="0"/>
          <w:bCs w:val="0"/>
          <w:spacing w:val="34"/>
          <w:sz w:val="21"/>
          <w:szCs w:val="21"/>
        </w:rPr>
        <w:t xml:space="preserve">  </w:t>
      </w:r>
      <w:r w:rsidRPr="00B94CD4">
        <w:rPr>
          <w:rFonts w:ascii="Abadi" w:hAnsi="Abadi"/>
          <w:b w:val="0"/>
          <w:bCs w:val="0"/>
          <w:sz w:val="21"/>
          <w:szCs w:val="21"/>
        </w:rPr>
        <w:t>Alba</w:t>
      </w:r>
      <w:r w:rsidRPr="00B94CD4">
        <w:rPr>
          <w:rFonts w:ascii="Abadi" w:hAnsi="Abadi"/>
          <w:b w:val="0"/>
          <w:bCs w:val="0"/>
          <w:spacing w:val="34"/>
          <w:sz w:val="21"/>
          <w:szCs w:val="21"/>
        </w:rPr>
        <w:t xml:space="preserve">  </w:t>
      </w:r>
      <w:r w:rsidRPr="00B94CD4">
        <w:rPr>
          <w:rFonts w:ascii="Abadi" w:hAnsi="Abadi"/>
          <w:b w:val="0"/>
          <w:bCs w:val="0"/>
          <w:sz w:val="21"/>
          <w:szCs w:val="21"/>
        </w:rPr>
        <w:t>Martínez</w:t>
      </w:r>
      <w:r w:rsidRPr="00B94CD4">
        <w:rPr>
          <w:rFonts w:ascii="Abadi" w:hAnsi="Abadi"/>
          <w:b w:val="0"/>
          <w:bCs w:val="0"/>
          <w:spacing w:val="34"/>
          <w:sz w:val="21"/>
          <w:szCs w:val="21"/>
        </w:rPr>
        <w:t xml:space="preserve">  </w:t>
      </w:r>
      <w:r w:rsidRPr="00B94CD4">
        <w:rPr>
          <w:rFonts w:ascii="Abadi" w:hAnsi="Abadi"/>
          <w:b w:val="0"/>
          <w:bCs w:val="0"/>
          <w:sz w:val="21"/>
          <w:szCs w:val="21"/>
        </w:rPr>
        <w:t>y</w:t>
      </w:r>
      <w:r w:rsidRPr="00B94CD4">
        <w:rPr>
          <w:rFonts w:ascii="Abadi" w:hAnsi="Abadi"/>
          <w:b w:val="0"/>
          <w:bCs w:val="0"/>
          <w:spacing w:val="34"/>
          <w:sz w:val="21"/>
          <w:szCs w:val="21"/>
        </w:rPr>
        <w:t xml:space="preserve">  </w:t>
      </w:r>
      <w:r w:rsidRPr="00B94CD4">
        <w:rPr>
          <w:rFonts w:ascii="Abadi" w:hAnsi="Abadi"/>
          <w:b w:val="0"/>
          <w:bCs w:val="0"/>
          <w:sz w:val="21"/>
          <w:szCs w:val="21"/>
        </w:rPr>
        <w:t>Raúl</w:t>
      </w:r>
      <w:r w:rsidRPr="00B94CD4">
        <w:rPr>
          <w:rFonts w:ascii="Abadi" w:hAnsi="Abadi"/>
          <w:b w:val="0"/>
          <w:bCs w:val="0"/>
          <w:spacing w:val="34"/>
          <w:sz w:val="21"/>
          <w:szCs w:val="21"/>
        </w:rPr>
        <w:t xml:space="preserve">  </w:t>
      </w:r>
      <w:r w:rsidRPr="00B94CD4">
        <w:rPr>
          <w:rFonts w:ascii="Abadi" w:hAnsi="Abadi"/>
          <w:b w:val="0"/>
          <w:bCs w:val="0"/>
          <w:sz w:val="21"/>
          <w:szCs w:val="21"/>
        </w:rPr>
        <w:t>Humberto</w:t>
      </w:r>
      <w:r w:rsidRPr="00B94CD4">
        <w:rPr>
          <w:rFonts w:ascii="Abadi" w:hAnsi="Abadi"/>
          <w:b w:val="0"/>
          <w:bCs w:val="0"/>
          <w:spacing w:val="34"/>
          <w:sz w:val="21"/>
          <w:szCs w:val="21"/>
        </w:rPr>
        <w:t xml:space="preserve">  </w:t>
      </w:r>
      <w:r w:rsidRPr="00B94CD4">
        <w:rPr>
          <w:rFonts w:ascii="Abadi" w:hAnsi="Abadi"/>
          <w:b w:val="0"/>
          <w:bCs w:val="0"/>
          <w:sz w:val="21"/>
          <w:szCs w:val="21"/>
        </w:rPr>
        <w:t>Márquez</w:t>
      </w:r>
      <w:r w:rsidRPr="00B94CD4">
        <w:rPr>
          <w:rFonts w:ascii="Abadi" w:hAnsi="Abadi"/>
          <w:b w:val="0"/>
          <w:bCs w:val="0"/>
          <w:spacing w:val="34"/>
          <w:sz w:val="21"/>
          <w:szCs w:val="21"/>
        </w:rPr>
        <w:t xml:space="preserve">  </w:t>
      </w:r>
      <w:r w:rsidRPr="00B94CD4">
        <w:rPr>
          <w:rFonts w:ascii="Abadi" w:hAnsi="Abadi"/>
          <w:b w:val="0"/>
          <w:bCs w:val="0"/>
          <w:sz w:val="21"/>
          <w:szCs w:val="21"/>
        </w:rPr>
        <w:t>Albo,</w:t>
      </w:r>
      <w:r w:rsidRPr="00B94CD4">
        <w:rPr>
          <w:rFonts w:ascii="Abadi" w:hAnsi="Abadi"/>
          <w:b w:val="0"/>
          <w:bCs w:val="0"/>
          <w:spacing w:val="-1"/>
          <w:sz w:val="21"/>
          <w:szCs w:val="21"/>
        </w:rPr>
        <w:t xml:space="preserve"> </w:t>
      </w:r>
      <w:r w:rsidRPr="00B94CD4">
        <w:rPr>
          <w:rFonts w:ascii="Abadi" w:hAnsi="Abadi"/>
          <w:b w:val="0"/>
          <w:bCs w:val="0"/>
          <w:sz w:val="21"/>
          <w:szCs w:val="21"/>
        </w:rPr>
        <w:t>integrantes</w:t>
      </w:r>
      <w:r w:rsidRPr="00B94CD4">
        <w:rPr>
          <w:rFonts w:ascii="Abadi" w:hAnsi="Abadi"/>
          <w:b w:val="0"/>
          <w:bCs w:val="0"/>
          <w:spacing w:val="-16"/>
          <w:sz w:val="21"/>
          <w:szCs w:val="21"/>
        </w:rPr>
        <w:t xml:space="preserve"> </w:t>
      </w:r>
      <w:r w:rsidRPr="00B94CD4">
        <w:rPr>
          <w:rFonts w:ascii="Abadi" w:hAnsi="Abadi"/>
          <w:b w:val="0"/>
          <w:bCs w:val="0"/>
          <w:sz w:val="21"/>
          <w:szCs w:val="21"/>
        </w:rPr>
        <w:t>del</w:t>
      </w:r>
      <w:r w:rsidRPr="00B94CD4">
        <w:rPr>
          <w:rFonts w:ascii="Abadi" w:hAnsi="Abadi"/>
          <w:b w:val="0"/>
          <w:bCs w:val="0"/>
          <w:spacing w:val="-17"/>
          <w:sz w:val="21"/>
          <w:szCs w:val="21"/>
        </w:rPr>
        <w:t xml:space="preserve"> </w:t>
      </w:r>
      <w:r w:rsidRPr="00B94CD4">
        <w:rPr>
          <w:rFonts w:ascii="Abadi" w:hAnsi="Abadi"/>
          <w:b w:val="0"/>
          <w:bCs w:val="0"/>
          <w:sz w:val="21"/>
          <w:szCs w:val="21"/>
        </w:rPr>
        <w:t>Grupo</w:t>
      </w:r>
      <w:r w:rsidRPr="00B94CD4">
        <w:rPr>
          <w:rFonts w:ascii="Abadi" w:hAnsi="Abadi"/>
          <w:b w:val="0"/>
          <w:bCs w:val="0"/>
          <w:spacing w:val="-16"/>
          <w:sz w:val="21"/>
          <w:szCs w:val="21"/>
        </w:rPr>
        <w:t xml:space="preserve"> </w:t>
      </w:r>
      <w:r w:rsidRPr="00B94CD4">
        <w:rPr>
          <w:rFonts w:ascii="Abadi" w:hAnsi="Abadi"/>
          <w:b w:val="0"/>
          <w:bCs w:val="0"/>
          <w:sz w:val="21"/>
          <w:szCs w:val="21"/>
        </w:rPr>
        <w:t>Parlamentario</w:t>
      </w:r>
      <w:r w:rsidRPr="00B94CD4">
        <w:rPr>
          <w:rFonts w:ascii="Abadi" w:hAnsi="Abadi"/>
          <w:b w:val="0"/>
          <w:bCs w:val="0"/>
          <w:spacing w:val="-16"/>
          <w:sz w:val="21"/>
          <w:szCs w:val="21"/>
        </w:rPr>
        <w:t xml:space="preserve"> </w:t>
      </w:r>
      <w:r w:rsidRPr="00B94CD4">
        <w:rPr>
          <w:rFonts w:ascii="Abadi" w:hAnsi="Abadi"/>
          <w:b w:val="0"/>
          <w:bCs w:val="0"/>
          <w:sz w:val="21"/>
          <w:szCs w:val="21"/>
        </w:rPr>
        <w:t>del</w:t>
      </w:r>
      <w:r w:rsidRPr="00B94CD4">
        <w:rPr>
          <w:rFonts w:ascii="Abadi" w:hAnsi="Abadi"/>
          <w:b w:val="0"/>
          <w:bCs w:val="0"/>
          <w:spacing w:val="-17"/>
          <w:sz w:val="21"/>
          <w:szCs w:val="21"/>
        </w:rPr>
        <w:t xml:space="preserve"> </w:t>
      </w:r>
      <w:r w:rsidRPr="00B94CD4">
        <w:rPr>
          <w:rFonts w:ascii="Abadi" w:hAnsi="Abadi"/>
          <w:b w:val="0"/>
          <w:bCs w:val="0"/>
          <w:sz w:val="21"/>
          <w:szCs w:val="21"/>
        </w:rPr>
        <w:t>Partido</w:t>
      </w:r>
      <w:r w:rsidRPr="00B94CD4">
        <w:rPr>
          <w:rFonts w:ascii="Abadi" w:hAnsi="Abadi"/>
          <w:b w:val="0"/>
          <w:bCs w:val="0"/>
          <w:spacing w:val="-16"/>
          <w:sz w:val="21"/>
          <w:szCs w:val="21"/>
        </w:rPr>
        <w:t xml:space="preserve"> </w:t>
      </w:r>
      <w:r w:rsidRPr="00B94CD4">
        <w:rPr>
          <w:rFonts w:ascii="Abadi" w:hAnsi="Abadi"/>
          <w:b w:val="0"/>
          <w:bCs w:val="0"/>
          <w:sz w:val="21"/>
          <w:szCs w:val="21"/>
        </w:rPr>
        <w:t>Morena</w:t>
      </w:r>
      <w:r w:rsidRPr="00B94CD4">
        <w:rPr>
          <w:rFonts w:ascii="Abadi" w:hAnsi="Abadi"/>
          <w:b w:val="0"/>
          <w:bCs w:val="0"/>
          <w:spacing w:val="-16"/>
          <w:sz w:val="21"/>
          <w:szCs w:val="21"/>
        </w:rPr>
        <w:t xml:space="preserve"> </w:t>
      </w:r>
      <w:r w:rsidRPr="00B94CD4">
        <w:rPr>
          <w:rFonts w:ascii="Abadi" w:hAnsi="Abadi"/>
          <w:b w:val="0"/>
          <w:bCs w:val="0"/>
          <w:sz w:val="21"/>
          <w:szCs w:val="21"/>
        </w:rPr>
        <w:t>ante</w:t>
      </w:r>
      <w:r w:rsidRPr="00B94CD4">
        <w:rPr>
          <w:rFonts w:ascii="Abadi" w:hAnsi="Abadi"/>
          <w:b w:val="0"/>
          <w:bCs w:val="0"/>
          <w:spacing w:val="-16"/>
          <w:sz w:val="21"/>
          <w:szCs w:val="21"/>
        </w:rPr>
        <w:t xml:space="preserve"> </w:t>
      </w:r>
      <w:r w:rsidRPr="00B94CD4">
        <w:rPr>
          <w:rFonts w:ascii="Abadi" w:hAnsi="Abadi"/>
          <w:b w:val="0"/>
          <w:bCs w:val="0"/>
          <w:sz w:val="21"/>
          <w:szCs w:val="21"/>
        </w:rPr>
        <w:t>la</w:t>
      </w:r>
      <w:r w:rsidRPr="00B94CD4">
        <w:rPr>
          <w:rFonts w:ascii="Abadi" w:hAnsi="Abadi"/>
          <w:b w:val="0"/>
          <w:bCs w:val="0"/>
          <w:spacing w:val="-16"/>
          <w:sz w:val="21"/>
          <w:szCs w:val="21"/>
        </w:rPr>
        <w:t xml:space="preserve"> </w:t>
      </w:r>
      <w:r w:rsidRPr="00B94CD4">
        <w:rPr>
          <w:rFonts w:ascii="Abadi" w:hAnsi="Abadi"/>
          <w:b w:val="0"/>
          <w:bCs w:val="0"/>
          <w:sz w:val="21"/>
          <w:szCs w:val="21"/>
        </w:rPr>
        <w:t>Sexagésima</w:t>
      </w:r>
      <w:r w:rsidRPr="00B94CD4">
        <w:rPr>
          <w:rFonts w:ascii="Abadi" w:hAnsi="Abadi"/>
          <w:b w:val="0"/>
          <w:bCs w:val="0"/>
          <w:spacing w:val="-1"/>
          <w:sz w:val="21"/>
          <w:szCs w:val="21"/>
        </w:rPr>
        <w:t xml:space="preserve"> </w:t>
      </w:r>
      <w:r w:rsidRPr="00B94CD4">
        <w:rPr>
          <w:rFonts w:ascii="Abadi" w:hAnsi="Abadi"/>
          <w:b w:val="0"/>
          <w:bCs w:val="0"/>
          <w:sz w:val="21"/>
          <w:szCs w:val="21"/>
        </w:rPr>
        <w:t>Cuarta</w:t>
      </w:r>
      <w:r w:rsidRPr="00B94CD4">
        <w:rPr>
          <w:rFonts w:ascii="Abadi" w:hAnsi="Abadi"/>
          <w:b w:val="0"/>
          <w:bCs w:val="0"/>
          <w:spacing w:val="-10"/>
          <w:sz w:val="21"/>
          <w:szCs w:val="21"/>
        </w:rPr>
        <w:t xml:space="preserve"> </w:t>
      </w:r>
      <w:r w:rsidRPr="00B94CD4">
        <w:rPr>
          <w:rFonts w:ascii="Abadi" w:hAnsi="Abadi"/>
          <w:b w:val="0"/>
          <w:bCs w:val="0"/>
          <w:sz w:val="21"/>
          <w:szCs w:val="21"/>
        </w:rPr>
        <w:t>Legislatura,</w:t>
      </w:r>
      <w:r w:rsidRPr="00B94CD4">
        <w:rPr>
          <w:rFonts w:ascii="Abadi" w:hAnsi="Abadi"/>
          <w:b w:val="0"/>
          <w:bCs w:val="0"/>
          <w:spacing w:val="-10"/>
          <w:sz w:val="21"/>
          <w:szCs w:val="21"/>
        </w:rPr>
        <w:t xml:space="preserve"> </w:t>
      </w:r>
      <w:r w:rsidRPr="00B94CD4">
        <w:rPr>
          <w:rFonts w:ascii="Abadi" w:hAnsi="Abadi"/>
          <w:b w:val="0"/>
          <w:bCs w:val="0"/>
          <w:sz w:val="21"/>
          <w:szCs w:val="21"/>
        </w:rPr>
        <w:t>a</w:t>
      </w:r>
      <w:r w:rsidRPr="00B94CD4">
        <w:rPr>
          <w:rFonts w:ascii="Abadi" w:hAnsi="Abadi"/>
          <w:b w:val="0"/>
          <w:bCs w:val="0"/>
          <w:spacing w:val="-10"/>
          <w:sz w:val="21"/>
          <w:szCs w:val="21"/>
        </w:rPr>
        <w:t xml:space="preserve"> </w:t>
      </w:r>
      <w:r w:rsidRPr="00B94CD4">
        <w:rPr>
          <w:rFonts w:ascii="Abadi" w:hAnsi="Abadi"/>
          <w:b w:val="0"/>
          <w:bCs w:val="0"/>
          <w:sz w:val="21"/>
          <w:szCs w:val="21"/>
        </w:rPr>
        <w:t>efecto</w:t>
      </w:r>
      <w:r w:rsidRPr="00B94CD4">
        <w:rPr>
          <w:rFonts w:ascii="Abadi" w:hAnsi="Abadi"/>
          <w:b w:val="0"/>
          <w:bCs w:val="0"/>
          <w:spacing w:val="-10"/>
          <w:sz w:val="21"/>
          <w:szCs w:val="21"/>
        </w:rPr>
        <w:t xml:space="preserve"> </w:t>
      </w:r>
      <w:r w:rsidRPr="00B94CD4">
        <w:rPr>
          <w:rFonts w:ascii="Abadi" w:hAnsi="Abadi"/>
          <w:b w:val="0"/>
          <w:bCs w:val="0"/>
          <w:sz w:val="21"/>
          <w:szCs w:val="21"/>
        </w:rPr>
        <w:t>de</w:t>
      </w:r>
      <w:r w:rsidRPr="00B94CD4">
        <w:rPr>
          <w:rFonts w:ascii="Abadi" w:hAnsi="Abadi"/>
          <w:b w:val="0"/>
          <w:bCs w:val="0"/>
          <w:spacing w:val="-10"/>
          <w:sz w:val="21"/>
          <w:szCs w:val="21"/>
        </w:rPr>
        <w:t xml:space="preserve"> </w:t>
      </w:r>
      <w:r w:rsidRPr="00B94CD4">
        <w:rPr>
          <w:rFonts w:ascii="Abadi" w:hAnsi="Abadi"/>
          <w:b w:val="0"/>
          <w:bCs w:val="0"/>
          <w:sz w:val="21"/>
          <w:szCs w:val="21"/>
        </w:rPr>
        <w:t>exhortar</w:t>
      </w:r>
      <w:r w:rsidRPr="00B94CD4">
        <w:rPr>
          <w:rFonts w:ascii="Abadi" w:hAnsi="Abadi"/>
          <w:b w:val="0"/>
          <w:bCs w:val="0"/>
          <w:spacing w:val="-10"/>
          <w:sz w:val="21"/>
          <w:szCs w:val="21"/>
        </w:rPr>
        <w:t xml:space="preserve"> </w:t>
      </w:r>
      <w:r w:rsidRPr="00B94CD4">
        <w:rPr>
          <w:rFonts w:ascii="Abadi" w:hAnsi="Abadi"/>
          <w:b w:val="0"/>
          <w:bCs w:val="0"/>
          <w:sz w:val="21"/>
          <w:szCs w:val="21"/>
        </w:rPr>
        <w:t>al</w:t>
      </w:r>
      <w:r w:rsidRPr="00B94CD4">
        <w:rPr>
          <w:rFonts w:ascii="Abadi" w:hAnsi="Abadi"/>
          <w:b w:val="0"/>
          <w:bCs w:val="0"/>
          <w:spacing w:val="-10"/>
          <w:sz w:val="21"/>
          <w:szCs w:val="21"/>
        </w:rPr>
        <w:t xml:space="preserve"> </w:t>
      </w:r>
      <w:r w:rsidRPr="00B94CD4">
        <w:rPr>
          <w:rFonts w:ascii="Abadi" w:hAnsi="Abadi"/>
          <w:b w:val="0"/>
          <w:bCs w:val="0"/>
          <w:sz w:val="21"/>
          <w:szCs w:val="21"/>
        </w:rPr>
        <w:t>titular</w:t>
      </w:r>
      <w:r w:rsidRPr="00B94CD4">
        <w:rPr>
          <w:rFonts w:ascii="Abadi" w:hAnsi="Abadi"/>
          <w:b w:val="0"/>
          <w:bCs w:val="0"/>
          <w:spacing w:val="-10"/>
          <w:sz w:val="21"/>
          <w:szCs w:val="21"/>
        </w:rPr>
        <w:t xml:space="preserve"> </w:t>
      </w:r>
      <w:r w:rsidRPr="00B94CD4">
        <w:rPr>
          <w:rFonts w:ascii="Abadi" w:hAnsi="Abadi"/>
          <w:b w:val="0"/>
          <w:bCs w:val="0"/>
          <w:sz w:val="21"/>
          <w:szCs w:val="21"/>
        </w:rPr>
        <w:t>de</w:t>
      </w:r>
      <w:r w:rsidRPr="00B94CD4">
        <w:rPr>
          <w:rFonts w:ascii="Abadi" w:hAnsi="Abadi"/>
          <w:b w:val="0"/>
          <w:bCs w:val="0"/>
          <w:spacing w:val="-10"/>
          <w:sz w:val="21"/>
          <w:szCs w:val="21"/>
        </w:rPr>
        <w:t xml:space="preserve"> </w:t>
      </w:r>
      <w:r w:rsidRPr="00B94CD4">
        <w:rPr>
          <w:rFonts w:ascii="Abadi" w:hAnsi="Abadi"/>
          <w:b w:val="0"/>
          <w:bCs w:val="0"/>
          <w:sz w:val="21"/>
          <w:szCs w:val="21"/>
        </w:rPr>
        <w:t>la</w:t>
      </w:r>
      <w:r w:rsidRPr="00B94CD4">
        <w:rPr>
          <w:rFonts w:ascii="Abadi" w:hAnsi="Abadi"/>
          <w:b w:val="0"/>
          <w:bCs w:val="0"/>
          <w:spacing w:val="-10"/>
          <w:sz w:val="21"/>
          <w:szCs w:val="21"/>
        </w:rPr>
        <w:t xml:space="preserve"> </w:t>
      </w:r>
      <w:r w:rsidRPr="00B94CD4">
        <w:rPr>
          <w:rFonts w:ascii="Abadi" w:hAnsi="Abadi"/>
          <w:b w:val="0"/>
          <w:bCs w:val="0"/>
          <w:sz w:val="21"/>
          <w:szCs w:val="21"/>
        </w:rPr>
        <w:t>Auditoría</w:t>
      </w:r>
      <w:r w:rsidRPr="00B94CD4">
        <w:rPr>
          <w:rFonts w:ascii="Abadi" w:hAnsi="Abadi"/>
          <w:b w:val="0"/>
          <w:bCs w:val="0"/>
          <w:spacing w:val="-10"/>
          <w:sz w:val="21"/>
          <w:szCs w:val="21"/>
        </w:rPr>
        <w:t xml:space="preserve"> </w:t>
      </w:r>
      <w:r w:rsidRPr="00B94CD4">
        <w:rPr>
          <w:rFonts w:ascii="Abadi" w:hAnsi="Abadi"/>
          <w:b w:val="0"/>
          <w:bCs w:val="0"/>
          <w:sz w:val="21"/>
          <w:szCs w:val="21"/>
        </w:rPr>
        <w:t>Superior</w:t>
      </w:r>
      <w:r w:rsidRPr="00B94CD4">
        <w:rPr>
          <w:rFonts w:ascii="Abadi" w:hAnsi="Abadi"/>
          <w:b w:val="0"/>
          <w:bCs w:val="0"/>
          <w:spacing w:val="-10"/>
          <w:sz w:val="21"/>
          <w:szCs w:val="21"/>
        </w:rPr>
        <w:t xml:space="preserve"> </w:t>
      </w:r>
      <w:r w:rsidRPr="00B94CD4">
        <w:rPr>
          <w:rFonts w:ascii="Abadi" w:hAnsi="Abadi"/>
          <w:b w:val="0"/>
          <w:bCs w:val="0"/>
          <w:sz w:val="21"/>
          <w:szCs w:val="21"/>
        </w:rPr>
        <w:t>del</w:t>
      </w:r>
      <w:r w:rsidRPr="00B94CD4">
        <w:rPr>
          <w:rFonts w:ascii="Abadi" w:hAnsi="Abadi"/>
          <w:b w:val="0"/>
          <w:bCs w:val="0"/>
          <w:spacing w:val="-1"/>
          <w:sz w:val="21"/>
          <w:szCs w:val="21"/>
        </w:rPr>
        <w:t xml:space="preserve"> </w:t>
      </w:r>
      <w:r w:rsidRPr="00B94CD4">
        <w:rPr>
          <w:rFonts w:ascii="Abadi" w:hAnsi="Abadi"/>
          <w:b w:val="0"/>
          <w:bCs w:val="0"/>
          <w:sz w:val="21"/>
          <w:szCs w:val="21"/>
        </w:rPr>
        <w:t>Estado de Guanajuato,</w:t>
      </w:r>
      <w:r w:rsidRPr="00B94CD4">
        <w:rPr>
          <w:rFonts w:ascii="Abadi" w:hAnsi="Abadi"/>
          <w:b w:val="0"/>
          <w:bCs w:val="0"/>
          <w:spacing w:val="-1"/>
          <w:sz w:val="21"/>
          <w:szCs w:val="21"/>
        </w:rPr>
        <w:t xml:space="preserve"> </w:t>
      </w:r>
      <w:r w:rsidRPr="00B94CD4">
        <w:rPr>
          <w:rFonts w:ascii="Abadi" w:hAnsi="Abadi"/>
          <w:b w:val="0"/>
          <w:bCs w:val="0"/>
          <w:sz w:val="21"/>
          <w:szCs w:val="21"/>
        </w:rPr>
        <w:t>el</w:t>
      </w:r>
      <w:r w:rsidRPr="00B94CD4">
        <w:rPr>
          <w:rFonts w:ascii="Abadi" w:hAnsi="Abadi"/>
          <w:b w:val="0"/>
          <w:bCs w:val="0"/>
          <w:spacing w:val="-1"/>
          <w:sz w:val="21"/>
          <w:szCs w:val="21"/>
        </w:rPr>
        <w:t xml:space="preserve"> </w:t>
      </w:r>
      <w:r w:rsidRPr="00B94CD4">
        <w:rPr>
          <w:rFonts w:ascii="Abadi" w:hAnsi="Abadi"/>
          <w:b w:val="0"/>
          <w:bCs w:val="0"/>
          <w:sz w:val="21"/>
          <w:szCs w:val="21"/>
        </w:rPr>
        <w:t>ciudadano Javier</w:t>
      </w:r>
      <w:r w:rsidRPr="00B94CD4">
        <w:rPr>
          <w:rFonts w:ascii="Abadi" w:hAnsi="Abadi"/>
          <w:b w:val="0"/>
          <w:bCs w:val="0"/>
          <w:spacing w:val="-1"/>
          <w:sz w:val="21"/>
          <w:szCs w:val="21"/>
        </w:rPr>
        <w:t xml:space="preserve"> </w:t>
      </w:r>
      <w:r w:rsidRPr="00B94CD4">
        <w:rPr>
          <w:rFonts w:ascii="Abadi" w:hAnsi="Abadi"/>
          <w:b w:val="0"/>
          <w:bCs w:val="0"/>
          <w:sz w:val="21"/>
          <w:szCs w:val="21"/>
        </w:rPr>
        <w:t>Pérez Salazar, para que lleve a</w:t>
      </w:r>
      <w:r w:rsidRPr="00B94CD4">
        <w:rPr>
          <w:rFonts w:ascii="Abadi" w:hAnsi="Abadi"/>
          <w:b w:val="0"/>
          <w:bCs w:val="0"/>
          <w:spacing w:val="-1"/>
          <w:sz w:val="21"/>
          <w:szCs w:val="21"/>
        </w:rPr>
        <w:t xml:space="preserve"> </w:t>
      </w:r>
      <w:r w:rsidRPr="00B94CD4">
        <w:rPr>
          <w:rFonts w:ascii="Abadi" w:hAnsi="Abadi"/>
          <w:b w:val="0"/>
          <w:bCs w:val="0"/>
          <w:sz w:val="21"/>
          <w:szCs w:val="21"/>
        </w:rPr>
        <w:t>cabo</w:t>
      </w:r>
      <w:r w:rsidRPr="00B94CD4">
        <w:rPr>
          <w:rFonts w:ascii="Abadi" w:hAnsi="Abadi"/>
          <w:b w:val="0"/>
          <w:bCs w:val="0"/>
          <w:spacing w:val="78"/>
          <w:sz w:val="21"/>
          <w:szCs w:val="21"/>
        </w:rPr>
        <w:t xml:space="preserve"> </w:t>
      </w:r>
      <w:r w:rsidRPr="00B94CD4">
        <w:rPr>
          <w:rFonts w:ascii="Abadi" w:hAnsi="Abadi"/>
          <w:b w:val="0"/>
          <w:bCs w:val="0"/>
          <w:sz w:val="21"/>
          <w:szCs w:val="21"/>
        </w:rPr>
        <w:t>una</w:t>
      </w:r>
      <w:r w:rsidRPr="00B94CD4">
        <w:rPr>
          <w:rFonts w:ascii="Abadi" w:hAnsi="Abadi"/>
          <w:b w:val="0"/>
          <w:bCs w:val="0"/>
          <w:spacing w:val="78"/>
          <w:sz w:val="21"/>
          <w:szCs w:val="21"/>
        </w:rPr>
        <w:t xml:space="preserve"> </w:t>
      </w:r>
      <w:r w:rsidRPr="00B94CD4">
        <w:rPr>
          <w:rFonts w:ascii="Abadi" w:hAnsi="Abadi"/>
          <w:b w:val="0"/>
          <w:bCs w:val="0"/>
          <w:sz w:val="21"/>
          <w:szCs w:val="21"/>
        </w:rPr>
        <w:t>auditoría</w:t>
      </w:r>
      <w:r w:rsidRPr="00B94CD4">
        <w:rPr>
          <w:rFonts w:ascii="Abadi" w:hAnsi="Abadi"/>
          <w:b w:val="0"/>
          <w:bCs w:val="0"/>
          <w:spacing w:val="78"/>
          <w:sz w:val="21"/>
          <w:szCs w:val="21"/>
        </w:rPr>
        <w:t xml:space="preserve"> </w:t>
      </w:r>
      <w:r w:rsidRPr="00B94CD4">
        <w:rPr>
          <w:rFonts w:ascii="Abadi" w:hAnsi="Abadi"/>
          <w:b w:val="0"/>
          <w:bCs w:val="0"/>
          <w:sz w:val="21"/>
          <w:szCs w:val="21"/>
        </w:rPr>
        <w:t>específica</w:t>
      </w:r>
      <w:r w:rsidRPr="00B94CD4">
        <w:rPr>
          <w:rFonts w:ascii="Abadi" w:hAnsi="Abadi"/>
          <w:b w:val="0"/>
          <w:bCs w:val="0"/>
          <w:spacing w:val="78"/>
          <w:sz w:val="21"/>
          <w:szCs w:val="21"/>
        </w:rPr>
        <w:t xml:space="preserve"> </w:t>
      </w:r>
      <w:r w:rsidRPr="00B94CD4">
        <w:rPr>
          <w:rFonts w:ascii="Abadi" w:hAnsi="Abadi"/>
          <w:b w:val="0"/>
          <w:bCs w:val="0"/>
          <w:sz w:val="21"/>
          <w:szCs w:val="21"/>
        </w:rPr>
        <w:t>de</w:t>
      </w:r>
      <w:r w:rsidRPr="00B94CD4">
        <w:rPr>
          <w:rFonts w:ascii="Abadi" w:hAnsi="Abadi"/>
          <w:b w:val="0"/>
          <w:bCs w:val="0"/>
          <w:spacing w:val="78"/>
          <w:sz w:val="21"/>
          <w:szCs w:val="21"/>
        </w:rPr>
        <w:t xml:space="preserve"> </w:t>
      </w:r>
      <w:r w:rsidRPr="00B94CD4">
        <w:rPr>
          <w:rFonts w:ascii="Abadi" w:hAnsi="Abadi"/>
          <w:b w:val="0"/>
          <w:bCs w:val="0"/>
          <w:sz w:val="21"/>
          <w:szCs w:val="21"/>
        </w:rPr>
        <w:t>desempeño</w:t>
      </w:r>
      <w:r w:rsidRPr="00B94CD4">
        <w:rPr>
          <w:rFonts w:ascii="Abadi" w:hAnsi="Abadi"/>
          <w:b w:val="0"/>
          <w:bCs w:val="0"/>
          <w:spacing w:val="78"/>
          <w:sz w:val="21"/>
          <w:szCs w:val="21"/>
        </w:rPr>
        <w:t xml:space="preserve"> </w:t>
      </w:r>
      <w:r w:rsidRPr="00B94CD4">
        <w:rPr>
          <w:rFonts w:ascii="Abadi" w:hAnsi="Abadi"/>
          <w:b w:val="0"/>
          <w:bCs w:val="0"/>
          <w:sz w:val="21"/>
          <w:szCs w:val="21"/>
        </w:rPr>
        <w:t>que</w:t>
      </w:r>
      <w:r w:rsidRPr="00B94CD4">
        <w:rPr>
          <w:rFonts w:ascii="Abadi" w:hAnsi="Abadi"/>
          <w:b w:val="0"/>
          <w:bCs w:val="0"/>
          <w:spacing w:val="78"/>
          <w:sz w:val="21"/>
          <w:szCs w:val="21"/>
        </w:rPr>
        <w:t xml:space="preserve"> </w:t>
      </w:r>
      <w:r w:rsidRPr="00B94CD4">
        <w:rPr>
          <w:rFonts w:ascii="Abadi" w:hAnsi="Abadi"/>
          <w:b w:val="0"/>
          <w:bCs w:val="0"/>
          <w:sz w:val="21"/>
          <w:szCs w:val="21"/>
        </w:rPr>
        <w:t>evalúe</w:t>
      </w:r>
      <w:r w:rsidRPr="00B94CD4">
        <w:rPr>
          <w:rFonts w:ascii="Abadi" w:hAnsi="Abadi"/>
          <w:b w:val="0"/>
          <w:bCs w:val="0"/>
          <w:spacing w:val="78"/>
          <w:sz w:val="21"/>
          <w:szCs w:val="21"/>
        </w:rPr>
        <w:t xml:space="preserve"> </w:t>
      </w:r>
      <w:r w:rsidRPr="00B94CD4">
        <w:rPr>
          <w:rFonts w:ascii="Abadi" w:hAnsi="Abadi"/>
          <w:b w:val="0"/>
          <w:bCs w:val="0"/>
          <w:sz w:val="21"/>
          <w:szCs w:val="21"/>
        </w:rPr>
        <w:t>las</w:t>
      </w:r>
      <w:r w:rsidRPr="00B94CD4">
        <w:rPr>
          <w:rFonts w:ascii="Abadi" w:hAnsi="Abadi"/>
          <w:b w:val="0"/>
          <w:bCs w:val="0"/>
          <w:spacing w:val="78"/>
          <w:sz w:val="21"/>
          <w:szCs w:val="21"/>
        </w:rPr>
        <w:t xml:space="preserve"> </w:t>
      </w:r>
      <w:r w:rsidRPr="00B94CD4">
        <w:rPr>
          <w:rFonts w:ascii="Abadi" w:hAnsi="Abadi"/>
          <w:b w:val="0"/>
          <w:bCs w:val="0"/>
          <w:sz w:val="21"/>
          <w:szCs w:val="21"/>
        </w:rPr>
        <w:t>políticas</w:t>
      </w:r>
      <w:r w:rsidRPr="00B94CD4">
        <w:rPr>
          <w:rFonts w:ascii="Abadi" w:hAnsi="Abadi"/>
          <w:b w:val="0"/>
          <w:bCs w:val="0"/>
          <w:spacing w:val="-1"/>
          <w:sz w:val="21"/>
          <w:szCs w:val="21"/>
        </w:rPr>
        <w:t xml:space="preserve"> </w:t>
      </w:r>
      <w:r w:rsidRPr="00B94CD4">
        <w:rPr>
          <w:rFonts w:ascii="Abadi" w:hAnsi="Abadi"/>
          <w:b w:val="0"/>
          <w:bCs w:val="0"/>
          <w:sz w:val="21"/>
          <w:szCs w:val="21"/>
        </w:rPr>
        <w:t>públicas</w:t>
      </w:r>
      <w:r w:rsidRPr="00B94CD4">
        <w:rPr>
          <w:rFonts w:ascii="Abadi" w:hAnsi="Abadi"/>
          <w:b w:val="0"/>
          <w:bCs w:val="0"/>
          <w:spacing w:val="2"/>
          <w:sz w:val="21"/>
          <w:szCs w:val="21"/>
        </w:rPr>
        <w:t xml:space="preserve"> </w:t>
      </w:r>
      <w:r w:rsidRPr="00B94CD4">
        <w:rPr>
          <w:rFonts w:ascii="Abadi" w:hAnsi="Abadi"/>
          <w:b w:val="0"/>
          <w:bCs w:val="0"/>
          <w:sz w:val="21"/>
          <w:szCs w:val="21"/>
        </w:rPr>
        <w:t>de</w:t>
      </w:r>
      <w:r w:rsidRPr="00B94CD4">
        <w:rPr>
          <w:rFonts w:ascii="Abadi" w:hAnsi="Abadi"/>
          <w:b w:val="0"/>
          <w:bCs w:val="0"/>
          <w:spacing w:val="2"/>
          <w:sz w:val="21"/>
          <w:szCs w:val="21"/>
        </w:rPr>
        <w:t xml:space="preserve"> </w:t>
      </w:r>
      <w:r w:rsidRPr="00B94CD4">
        <w:rPr>
          <w:rFonts w:ascii="Abadi" w:hAnsi="Abadi"/>
          <w:b w:val="0"/>
          <w:bCs w:val="0"/>
          <w:sz w:val="21"/>
          <w:szCs w:val="21"/>
        </w:rPr>
        <w:t>desarrollo</w:t>
      </w:r>
      <w:r w:rsidRPr="00B94CD4">
        <w:rPr>
          <w:rFonts w:ascii="Abadi" w:hAnsi="Abadi"/>
          <w:b w:val="0"/>
          <w:bCs w:val="0"/>
          <w:spacing w:val="2"/>
          <w:sz w:val="21"/>
          <w:szCs w:val="21"/>
        </w:rPr>
        <w:t xml:space="preserve"> </w:t>
      </w:r>
      <w:r w:rsidRPr="00B94CD4">
        <w:rPr>
          <w:rFonts w:ascii="Abadi" w:hAnsi="Abadi"/>
          <w:b w:val="0"/>
          <w:bCs w:val="0"/>
          <w:sz w:val="21"/>
          <w:szCs w:val="21"/>
        </w:rPr>
        <w:t>social</w:t>
      </w:r>
      <w:r w:rsidRPr="00B94CD4">
        <w:rPr>
          <w:rFonts w:ascii="Abadi" w:hAnsi="Abadi"/>
          <w:b w:val="0"/>
          <w:bCs w:val="0"/>
          <w:spacing w:val="2"/>
          <w:sz w:val="21"/>
          <w:szCs w:val="21"/>
        </w:rPr>
        <w:t xml:space="preserve"> </w:t>
      </w:r>
      <w:r w:rsidRPr="00B94CD4">
        <w:rPr>
          <w:rFonts w:ascii="Abadi" w:hAnsi="Abadi"/>
          <w:b w:val="0"/>
          <w:bCs w:val="0"/>
          <w:sz w:val="21"/>
          <w:szCs w:val="21"/>
        </w:rPr>
        <w:t>y humano</w:t>
      </w:r>
      <w:r w:rsidRPr="00B94CD4">
        <w:rPr>
          <w:rFonts w:ascii="Abadi" w:hAnsi="Abadi"/>
          <w:b w:val="0"/>
          <w:bCs w:val="0"/>
          <w:spacing w:val="2"/>
          <w:sz w:val="21"/>
          <w:szCs w:val="21"/>
        </w:rPr>
        <w:t xml:space="preserve"> </w:t>
      </w:r>
      <w:r w:rsidRPr="00B94CD4">
        <w:rPr>
          <w:rFonts w:ascii="Abadi" w:hAnsi="Abadi"/>
          <w:b w:val="0"/>
          <w:bCs w:val="0"/>
          <w:sz w:val="21"/>
          <w:szCs w:val="21"/>
        </w:rPr>
        <w:t>llevadas</w:t>
      </w:r>
      <w:r w:rsidRPr="00B94CD4">
        <w:rPr>
          <w:rFonts w:ascii="Abadi" w:hAnsi="Abadi"/>
          <w:b w:val="0"/>
          <w:bCs w:val="0"/>
          <w:spacing w:val="2"/>
          <w:sz w:val="21"/>
          <w:szCs w:val="21"/>
        </w:rPr>
        <w:t xml:space="preserve"> </w:t>
      </w:r>
      <w:r w:rsidRPr="00B94CD4">
        <w:rPr>
          <w:rFonts w:ascii="Abadi" w:hAnsi="Abadi"/>
          <w:b w:val="0"/>
          <w:bCs w:val="0"/>
          <w:sz w:val="21"/>
          <w:szCs w:val="21"/>
        </w:rPr>
        <w:t>a</w:t>
      </w:r>
      <w:r w:rsidRPr="00B94CD4">
        <w:rPr>
          <w:rFonts w:ascii="Abadi" w:hAnsi="Abadi"/>
          <w:b w:val="0"/>
          <w:bCs w:val="0"/>
          <w:spacing w:val="2"/>
          <w:sz w:val="21"/>
          <w:szCs w:val="21"/>
        </w:rPr>
        <w:t xml:space="preserve"> </w:t>
      </w:r>
      <w:r w:rsidRPr="00B94CD4">
        <w:rPr>
          <w:rFonts w:ascii="Abadi" w:hAnsi="Abadi"/>
          <w:b w:val="0"/>
          <w:bCs w:val="0"/>
          <w:sz w:val="21"/>
          <w:szCs w:val="21"/>
        </w:rPr>
        <w:t>cabo</w:t>
      </w:r>
      <w:r w:rsidRPr="00B94CD4">
        <w:rPr>
          <w:rFonts w:ascii="Abadi" w:hAnsi="Abadi"/>
          <w:b w:val="0"/>
          <w:bCs w:val="0"/>
          <w:spacing w:val="2"/>
          <w:sz w:val="21"/>
          <w:szCs w:val="21"/>
        </w:rPr>
        <w:t xml:space="preserve"> </w:t>
      </w:r>
      <w:r w:rsidRPr="00B94CD4">
        <w:rPr>
          <w:rFonts w:ascii="Abadi" w:hAnsi="Abadi"/>
          <w:b w:val="0"/>
          <w:bCs w:val="0"/>
          <w:sz w:val="21"/>
          <w:szCs w:val="21"/>
        </w:rPr>
        <w:t>por</w:t>
      </w:r>
      <w:r w:rsidRPr="00B94CD4">
        <w:rPr>
          <w:rFonts w:ascii="Abadi" w:hAnsi="Abadi"/>
          <w:b w:val="0"/>
          <w:bCs w:val="0"/>
          <w:spacing w:val="2"/>
          <w:sz w:val="21"/>
          <w:szCs w:val="21"/>
        </w:rPr>
        <w:t xml:space="preserve"> </w:t>
      </w:r>
      <w:r w:rsidRPr="00B94CD4">
        <w:rPr>
          <w:rFonts w:ascii="Abadi" w:hAnsi="Abadi"/>
          <w:b w:val="0"/>
          <w:bCs w:val="0"/>
          <w:sz w:val="21"/>
          <w:szCs w:val="21"/>
        </w:rPr>
        <w:t>el Gobierno</w:t>
      </w:r>
      <w:r w:rsidRPr="00B94CD4">
        <w:rPr>
          <w:rFonts w:ascii="Abadi" w:hAnsi="Abadi"/>
          <w:b w:val="0"/>
          <w:bCs w:val="0"/>
          <w:spacing w:val="2"/>
          <w:sz w:val="21"/>
          <w:szCs w:val="21"/>
        </w:rPr>
        <w:t xml:space="preserve"> </w:t>
      </w:r>
      <w:r w:rsidRPr="00B94CD4">
        <w:rPr>
          <w:rFonts w:ascii="Abadi" w:hAnsi="Abadi"/>
          <w:b w:val="0"/>
          <w:bCs w:val="0"/>
          <w:sz w:val="21"/>
          <w:szCs w:val="21"/>
        </w:rPr>
        <w:t>del</w:t>
      </w:r>
      <w:r w:rsidRPr="00B94CD4">
        <w:rPr>
          <w:rFonts w:ascii="Abadi" w:hAnsi="Abadi"/>
          <w:b w:val="0"/>
          <w:bCs w:val="0"/>
          <w:spacing w:val="-1"/>
          <w:sz w:val="21"/>
          <w:szCs w:val="21"/>
        </w:rPr>
        <w:t xml:space="preserve"> </w:t>
      </w:r>
      <w:r w:rsidRPr="00B94CD4">
        <w:rPr>
          <w:rFonts w:ascii="Abadi" w:hAnsi="Abadi"/>
          <w:b w:val="0"/>
          <w:bCs w:val="0"/>
          <w:sz w:val="21"/>
          <w:szCs w:val="21"/>
        </w:rPr>
        <w:t xml:space="preserve">Estado. </w:t>
      </w:r>
      <w:r w:rsidRPr="00B94CD4">
        <w:rPr>
          <w:rFonts w:ascii="Abadi" w:hAnsi="Abadi"/>
          <w:sz w:val="21"/>
          <w:szCs w:val="21"/>
        </w:rPr>
        <w:t>XXX.-</w:t>
      </w:r>
      <w:r w:rsidRPr="00B94CD4">
        <w:rPr>
          <w:rFonts w:ascii="Abadi" w:hAnsi="Abadi"/>
          <w:b w:val="0"/>
          <w:bCs w:val="0"/>
          <w:sz w:val="21"/>
          <w:szCs w:val="21"/>
        </w:rPr>
        <w:t xml:space="preserve"> Discusión</w:t>
      </w:r>
      <w:r w:rsidRPr="00B94CD4">
        <w:rPr>
          <w:rFonts w:ascii="Abadi" w:hAnsi="Abadi"/>
          <w:b w:val="0"/>
          <w:bCs w:val="0"/>
          <w:spacing w:val="9"/>
          <w:sz w:val="21"/>
          <w:szCs w:val="21"/>
        </w:rPr>
        <w:t xml:space="preserve"> </w:t>
      </w:r>
      <w:r w:rsidRPr="00B94CD4">
        <w:rPr>
          <w:rFonts w:ascii="Abadi" w:hAnsi="Abadi"/>
          <w:b w:val="0"/>
          <w:bCs w:val="0"/>
          <w:sz w:val="21"/>
          <w:szCs w:val="21"/>
        </w:rPr>
        <w:t>y,</w:t>
      </w:r>
      <w:r w:rsidRPr="00B94CD4">
        <w:rPr>
          <w:rFonts w:ascii="Abadi" w:hAnsi="Abadi"/>
          <w:b w:val="0"/>
          <w:bCs w:val="0"/>
          <w:spacing w:val="9"/>
          <w:sz w:val="21"/>
          <w:szCs w:val="21"/>
        </w:rPr>
        <w:t xml:space="preserve"> </w:t>
      </w:r>
      <w:r w:rsidRPr="00B94CD4">
        <w:rPr>
          <w:rFonts w:ascii="Abadi" w:hAnsi="Abadi"/>
          <w:b w:val="0"/>
          <w:bCs w:val="0"/>
          <w:sz w:val="21"/>
          <w:szCs w:val="21"/>
        </w:rPr>
        <w:t>en</w:t>
      </w:r>
      <w:r w:rsidRPr="00B94CD4">
        <w:rPr>
          <w:rFonts w:ascii="Abadi" w:hAnsi="Abadi"/>
          <w:b w:val="0"/>
          <w:bCs w:val="0"/>
          <w:spacing w:val="9"/>
          <w:sz w:val="21"/>
          <w:szCs w:val="21"/>
        </w:rPr>
        <w:t xml:space="preserve"> </w:t>
      </w:r>
      <w:r w:rsidRPr="00B94CD4">
        <w:rPr>
          <w:rFonts w:ascii="Abadi" w:hAnsi="Abadi"/>
          <w:b w:val="0"/>
          <w:bCs w:val="0"/>
          <w:sz w:val="21"/>
          <w:szCs w:val="21"/>
        </w:rPr>
        <w:t>su</w:t>
      </w:r>
      <w:r w:rsidRPr="00B94CD4">
        <w:rPr>
          <w:rFonts w:ascii="Abadi" w:hAnsi="Abadi"/>
          <w:b w:val="0"/>
          <w:bCs w:val="0"/>
          <w:spacing w:val="9"/>
          <w:sz w:val="21"/>
          <w:szCs w:val="21"/>
        </w:rPr>
        <w:t xml:space="preserve"> </w:t>
      </w:r>
      <w:r w:rsidRPr="00B94CD4">
        <w:rPr>
          <w:rFonts w:ascii="Abadi" w:hAnsi="Abadi"/>
          <w:b w:val="0"/>
          <w:bCs w:val="0"/>
          <w:sz w:val="21"/>
          <w:szCs w:val="21"/>
        </w:rPr>
        <w:t>caso,</w:t>
      </w:r>
      <w:r w:rsidRPr="00B94CD4">
        <w:rPr>
          <w:rFonts w:ascii="Abadi" w:hAnsi="Abadi"/>
          <w:b w:val="0"/>
          <w:bCs w:val="0"/>
          <w:spacing w:val="9"/>
          <w:sz w:val="21"/>
          <w:szCs w:val="21"/>
        </w:rPr>
        <w:t xml:space="preserve"> </w:t>
      </w:r>
      <w:r w:rsidRPr="00B94CD4">
        <w:rPr>
          <w:rFonts w:ascii="Abadi" w:hAnsi="Abadi"/>
          <w:b w:val="0"/>
          <w:bCs w:val="0"/>
          <w:sz w:val="21"/>
          <w:szCs w:val="21"/>
        </w:rPr>
        <w:t>aprobación</w:t>
      </w:r>
      <w:r w:rsidRPr="00B94CD4">
        <w:rPr>
          <w:rFonts w:ascii="Abadi" w:hAnsi="Abadi"/>
          <w:b w:val="0"/>
          <w:bCs w:val="0"/>
          <w:spacing w:val="9"/>
          <w:sz w:val="21"/>
          <w:szCs w:val="21"/>
        </w:rPr>
        <w:t xml:space="preserve"> </w:t>
      </w:r>
      <w:r w:rsidRPr="00B94CD4">
        <w:rPr>
          <w:rFonts w:ascii="Abadi" w:hAnsi="Abadi"/>
          <w:b w:val="0"/>
          <w:bCs w:val="0"/>
          <w:sz w:val="21"/>
          <w:szCs w:val="21"/>
        </w:rPr>
        <w:t>del</w:t>
      </w:r>
      <w:r w:rsidRPr="00B94CD4">
        <w:rPr>
          <w:rFonts w:ascii="Abadi" w:hAnsi="Abadi"/>
          <w:b w:val="0"/>
          <w:bCs w:val="0"/>
          <w:spacing w:val="9"/>
          <w:sz w:val="21"/>
          <w:szCs w:val="21"/>
        </w:rPr>
        <w:t xml:space="preserve"> </w:t>
      </w:r>
      <w:r w:rsidRPr="00B94CD4">
        <w:rPr>
          <w:rFonts w:ascii="Abadi" w:hAnsi="Abadi"/>
          <w:b w:val="0"/>
          <w:bCs w:val="0"/>
          <w:sz w:val="21"/>
          <w:szCs w:val="21"/>
        </w:rPr>
        <w:t>dictamen</w:t>
      </w:r>
      <w:r w:rsidRPr="00B94CD4">
        <w:rPr>
          <w:rFonts w:ascii="Abadi" w:hAnsi="Abadi"/>
          <w:b w:val="0"/>
          <w:bCs w:val="0"/>
          <w:spacing w:val="9"/>
          <w:sz w:val="21"/>
          <w:szCs w:val="21"/>
        </w:rPr>
        <w:t xml:space="preserve"> </w:t>
      </w:r>
      <w:r w:rsidRPr="00B94CD4">
        <w:rPr>
          <w:rFonts w:ascii="Abadi" w:hAnsi="Abadi"/>
          <w:b w:val="0"/>
          <w:bCs w:val="0"/>
          <w:sz w:val="21"/>
          <w:szCs w:val="21"/>
        </w:rPr>
        <w:t>signado</w:t>
      </w:r>
      <w:r w:rsidRPr="00B94CD4">
        <w:rPr>
          <w:rFonts w:ascii="Abadi" w:hAnsi="Abadi"/>
          <w:b w:val="0"/>
          <w:bCs w:val="0"/>
          <w:spacing w:val="9"/>
          <w:sz w:val="21"/>
          <w:szCs w:val="21"/>
        </w:rPr>
        <w:t xml:space="preserve"> </w:t>
      </w:r>
      <w:r w:rsidRPr="00B94CD4">
        <w:rPr>
          <w:rFonts w:ascii="Abadi" w:hAnsi="Abadi"/>
          <w:b w:val="0"/>
          <w:bCs w:val="0"/>
          <w:sz w:val="21"/>
          <w:szCs w:val="21"/>
        </w:rPr>
        <w:t>por</w:t>
      </w:r>
      <w:r w:rsidRPr="00B94CD4">
        <w:rPr>
          <w:rFonts w:ascii="Abadi" w:hAnsi="Abadi"/>
          <w:b w:val="0"/>
          <w:bCs w:val="0"/>
          <w:spacing w:val="9"/>
          <w:sz w:val="21"/>
          <w:szCs w:val="21"/>
        </w:rPr>
        <w:t xml:space="preserve"> </w:t>
      </w:r>
      <w:r w:rsidRPr="00B94CD4">
        <w:rPr>
          <w:rFonts w:ascii="Abadi" w:hAnsi="Abadi"/>
          <w:b w:val="0"/>
          <w:bCs w:val="0"/>
          <w:sz w:val="21"/>
          <w:szCs w:val="21"/>
        </w:rPr>
        <w:t>la</w:t>
      </w:r>
      <w:r w:rsidRPr="00B94CD4">
        <w:rPr>
          <w:rFonts w:ascii="Abadi" w:hAnsi="Abadi"/>
          <w:b w:val="0"/>
          <w:bCs w:val="0"/>
          <w:spacing w:val="9"/>
          <w:sz w:val="21"/>
          <w:szCs w:val="21"/>
        </w:rPr>
        <w:t xml:space="preserve"> </w:t>
      </w:r>
      <w:r w:rsidRPr="00B94CD4">
        <w:rPr>
          <w:rFonts w:ascii="Abadi" w:hAnsi="Abadi"/>
          <w:b w:val="0"/>
          <w:bCs w:val="0"/>
          <w:sz w:val="21"/>
          <w:szCs w:val="21"/>
        </w:rPr>
        <w:t>Comisión</w:t>
      </w:r>
      <w:r w:rsidRPr="00B94CD4">
        <w:rPr>
          <w:rFonts w:ascii="Abadi" w:hAnsi="Abadi"/>
          <w:b w:val="0"/>
          <w:bCs w:val="0"/>
          <w:spacing w:val="-2"/>
          <w:sz w:val="21"/>
          <w:szCs w:val="21"/>
        </w:rPr>
        <w:t xml:space="preserve"> </w:t>
      </w:r>
      <w:r w:rsidRPr="00B94CD4">
        <w:rPr>
          <w:rFonts w:ascii="Abadi" w:hAnsi="Abadi"/>
          <w:b w:val="0"/>
          <w:bCs w:val="0"/>
          <w:sz w:val="21"/>
          <w:szCs w:val="21"/>
        </w:rPr>
        <w:t>de</w:t>
      </w:r>
      <w:r w:rsidRPr="00B94CD4">
        <w:rPr>
          <w:rFonts w:ascii="Abadi" w:hAnsi="Abadi"/>
          <w:b w:val="0"/>
          <w:bCs w:val="0"/>
          <w:spacing w:val="33"/>
          <w:sz w:val="21"/>
          <w:szCs w:val="21"/>
        </w:rPr>
        <w:t xml:space="preserve"> </w:t>
      </w:r>
      <w:r w:rsidRPr="00B94CD4">
        <w:rPr>
          <w:rFonts w:ascii="Abadi" w:hAnsi="Abadi"/>
          <w:b w:val="0"/>
          <w:bCs w:val="0"/>
          <w:sz w:val="21"/>
          <w:szCs w:val="21"/>
        </w:rPr>
        <w:t>Hacienda</w:t>
      </w:r>
      <w:r w:rsidRPr="00B94CD4">
        <w:rPr>
          <w:rFonts w:ascii="Abadi" w:hAnsi="Abadi"/>
          <w:b w:val="0"/>
          <w:bCs w:val="0"/>
          <w:spacing w:val="33"/>
          <w:sz w:val="21"/>
          <w:szCs w:val="21"/>
        </w:rPr>
        <w:t xml:space="preserve"> </w:t>
      </w:r>
      <w:r w:rsidRPr="00B94CD4">
        <w:rPr>
          <w:rFonts w:ascii="Abadi" w:hAnsi="Abadi"/>
          <w:b w:val="0"/>
          <w:bCs w:val="0"/>
          <w:sz w:val="21"/>
          <w:szCs w:val="21"/>
        </w:rPr>
        <w:t>y</w:t>
      </w:r>
      <w:r w:rsidRPr="00B94CD4">
        <w:rPr>
          <w:rFonts w:ascii="Abadi" w:hAnsi="Abadi"/>
          <w:b w:val="0"/>
          <w:bCs w:val="0"/>
          <w:spacing w:val="33"/>
          <w:sz w:val="21"/>
          <w:szCs w:val="21"/>
        </w:rPr>
        <w:t xml:space="preserve"> </w:t>
      </w:r>
      <w:r w:rsidRPr="00B94CD4">
        <w:rPr>
          <w:rFonts w:ascii="Abadi" w:hAnsi="Abadi"/>
          <w:b w:val="0"/>
          <w:bCs w:val="0"/>
          <w:sz w:val="21"/>
          <w:szCs w:val="21"/>
        </w:rPr>
        <w:t>Fiscalización</w:t>
      </w:r>
      <w:r w:rsidRPr="00B94CD4">
        <w:rPr>
          <w:rFonts w:ascii="Abadi" w:hAnsi="Abadi"/>
          <w:b w:val="0"/>
          <w:bCs w:val="0"/>
          <w:spacing w:val="32"/>
          <w:sz w:val="21"/>
          <w:szCs w:val="21"/>
        </w:rPr>
        <w:t xml:space="preserve"> </w:t>
      </w:r>
      <w:r w:rsidRPr="00B94CD4">
        <w:rPr>
          <w:rFonts w:ascii="Abadi" w:hAnsi="Abadi"/>
          <w:b w:val="0"/>
          <w:bCs w:val="0"/>
          <w:sz w:val="21"/>
          <w:szCs w:val="21"/>
        </w:rPr>
        <w:t>relativo</w:t>
      </w:r>
      <w:r w:rsidRPr="00B94CD4">
        <w:rPr>
          <w:rFonts w:ascii="Abadi" w:hAnsi="Abadi"/>
          <w:b w:val="0"/>
          <w:bCs w:val="0"/>
          <w:spacing w:val="33"/>
          <w:sz w:val="21"/>
          <w:szCs w:val="21"/>
        </w:rPr>
        <w:t xml:space="preserve"> </w:t>
      </w:r>
      <w:r w:rsidRPr="00B94CD4">
        <w:rPr>
          <w:rFonts w:ascii="Abadi" w:hAnsi="Abadi"/>
          <w:b w:val="0"/>
          <w:bCs w:val="0"/>
          <w:sz w:val="21"/>
          <w:szCs w:val="21"/>
        </w:rPr>
        <w:t>a</w:t>
      </w:r>
      <w:r w:rsidRPr="00B94CD4">
        <w:rPr>
          <w:rFonts w:ascii="Abadi" w:hAnsi="Abadi"/>
          <w:b w:val="0"/>
          <w:bCs w:val="0"/>
          <w:spacing w:val="32"/>
          <w:sz w:val="21"/>
          <w:szCs w:val="21"/>
        </w:rPr>
        <w:t xml:space="preserve"> </w:t>
      </w:r>
      <w:r w:rsidRPr="00B94CD4">
        <w:rPr>
          <w:rFonts w:ascii="Abadi" w:hAnsi="Abadi"/>
          <w:b w:val="0"/>
          <w:bCs w:val="0"/>
          <w:sz w:val="21"/>
          <w:szCs w:val="21"/>
        </w:rPr>
        <w:t>la</w:t>
      </w:r>
      <w:r w:rsidRPr="00B94CD4">
        <w:rPr>
          <w:rFonts w:ascii="Abadi" w:hAnsi="Abadi"/>
          <w:b w:val="0"/>
          <w:bCs w:val="0"/>
          <w:spacing w:val="33"/>
          <w:sz w:val="21"/>
          <w:szCs w:val="21"/>
        </w:rPr>
        <w:t xml:space="preserve"> </w:t>
      </w:r>
      <w:r w:rsidRPr="00B94CD4">
        <w:rPr>
          <w:rFonts w:ascii="Abadi" w:hAnsi="Abadi"/>
          <w:b w:val="0"/>
          <w:bCs w:val="0"/>
          <w:sz w:val="21"/>
          <w:szCs w:val="21"/>
        </w:rPr>
        <w:t>propuesta</w:t>
      </w:r>
      <w:r w:rsidRPr="00B94CD4">
        <w:rPr>
          <w:rFonts w:ascii="Abadi" w:hAnsi="Abadi"/>
          <w:b w:val="0"/>
          <w:bCs w:val="0"/>
          <w:spacing w:val="32"/>
          <w:sz w:val="21"/>
          <w:szCs w:val="21"/>
        </w:rPr>
        <w:t xml:space="preserve"> </w:t>
      </w:r>
      <w:r w:rsidRPr="00B94CD4">
        <w:rPr>
          <w:rFonts w:ascii="Abadi" w:hAnsi="Abadi"/>
          <w:b w:val="0"/>
          <w:bCs w:val="0"/>
          <w:sz w:val="21"/>
          <w:szCs w:val="21"/>
        </w:rPr>
        <w:t>de</w:t>
      </w:r>
      <w:r w:rsidRPr="00B94CD4">
        <w:rPr>
          <w:rFonts w:ascii="Abadi" w:hAnsi="Abadi"/>
          <w:b w:val="0"/>
          <w:bCs w:val="0"/>
          <w:spacing w:val="32"/>
          <w:sz w:val="21"/>
          <w:szCs w:val="21"/>
        </w:rPr>
        <w:t xml:space="preserve"> </w:t>
      </w:r>
      <w:r w:rsidRPr="00B94CD4">
        <w:rPr>
          <w:rFonts w:ascii="Abadi" w:hAnsi="Abadi"/>
          <w:b w:val="0"/>
          <w:bCs w:val="0"/>
          <w:sz w:val="21"/>
          <w:szCs w:val="21"/>
        </w:rPr>
        <w:t>punto</w:t>
      </w:r>
      <w:r w:rsidRPr="00B94CD4">
        <w:rPr>
          <w:rFonts w:ascii="Abadi" w:hAnsi="Abadi"/>
          <w:b w:val="0"/>
          <w:bCs w:val="0"/>
          <w:spacing w:val="32"/>
          <w:sz w:val="21"/>
          <w:szCs w:val="21"/>
        </w:rPr>
        <w:t xml:space="preserve"> </w:t>
      </w:r>
      <w:r w:rsidRPr="00B94CD4">
        <w:rPr>
          <w:rFonts w:ascii="Abadi" w:hAnsi="Abadi"/>
          <w:b w:val="0"/>
          <w:bCs w:val="0"/>
          <w:sz w:val="21"/>
          <w:szCs w:val="21"/>
        </w:rPr>
        <w:t>de</w:t>
      </w:r>
      <w:r w:rsidRPr="00B94CD4">
        <w:rPr>
          <w:rFonts w:ascii="Abadi" w:hAnsi="Abadi"/>
          <w:b w:val="0"/>
          <w:bCs w:val="0"/>
          <w:spacing w:val="32"/>
          <w:sz w:val="21"/>
          <w:szCs w:val="21"/>
        </w:rPr>
        <w:t xml:space="preserve"> </w:t>
      </w:r>
      <w:r w:rsidRPr="00B94CD4">
        <w:rPr>
          <w:rFonts w:ascii="Abadi" w:hAnsi="Abadi"/>
          <w:b w:val="0"/>
          <w:bCs w:val="0"/>
          <w:sz w:val="21"/>
          <w:szCs w:val="21"/>
        </w:rPr>
        <w:t>acuerdo</w:t>
      </w:r>
      <w:r w:rsidRPr="00B94CD4">
        <w:rPr>
          <w:rFonts w:ascii="Abadi" w:hAnsi="Abadi"/>
          <w:b w:val="0"/>
          <w:bCs w:val="0"/>
          <w:spacing w:val="-2"/>
          <w:sz w:val="21"/>
          <w:szCs w:val="21"/>
        </w:rPr>
        <w:t xml:space="preserve"> </w:t>
      </w:r>
      <w:r w:rsidRPr="00B94CD4">
        <w:rPr>
          <w:rFonts w:ascii="Abadi" w:hAnsi="Abadi"/>
          <w:b w:val="0"/>
          <w:bCs w:val="0"/>
          <w:sz w:val="21"/>
          <w:szCs w:val="21"/>
        </w:rPr>
        <w:t>formulada</w:t>
      </w:r>
      <w:r w:rsidRPr="00B94CD4">
        <w:rPr>
          <w:rFonts w:ascii="Abadi" w:hAnsi="Abadi"/>
          <w:b w:val="0"/>
          <w:bCs w:val="0"/>
          <w:spacing w:val="6"/>
          <w:sz w:val="21"/>
          <w:szCs w:val="21"/>
        </w:rPr>
        <w:t xml:space="preserve"> </w:t>
      </w:r>
      <w:r w:rsidRPr="00B94CD4">
        <w:rPr>
          <w:rFonts w:ascii="Abadi" w:hAnsi="Abadi"/>
          <w:b w:val="0"/>
          <w:bCs w:val="0"/>
          <w:sz w:val="21"/>
          <w:szCs w:val="21"/>
        </w:rPr>
        <w:t>por</w:t>
      </w:r>
      <w:r w:rsidRPr="00B94CD4">
        <w:rPr>
          <w:rFonts w:ascii="Abadi" w:hAnsi="Abadi"/>
          <w:b w:val="0"/>
          <w:bCs w:val="0"/>
          <w:spacing w:val="6"/>
          <w:sz w:val="21"/>
          <w:szCs w:val="21"/>
        </w:rPr>
        <w:t xml:space="preserve"> </w:t>
      </w:r>
      <w:r w:rsidRPr="00B94CD4">
        <w:rPr>
          <w:rFonts w:ascii="Abadi" w:hAnsi="Abadi"/>
          <w:b w:val="0"/>
          <w:bCs w:val="0"/>
          <w:sz w:val="21"/>
          <w:szCs w:val="21"/>
        </w:rPr>
        <w:t>el</w:t>
      </w:r>
      <w:r w:rsidRPr="00B94CD4">
        <w:rPr>
          <w:rFonts w:ascii="Abadi" w:hAnsi="Abadi"/>
          <w:b w:val="0"/>
          <w:bCs w:val="0"/>
          <w:spacing w:val="6"/>
          <w:sz w:val="21"/>
          <w:szCs w:val="21"/>
        </w:rPr>
        <w:t xml:space="preserve"> </w:t>
      </w:r>
      <w:r w:rsidRPr="00B94CD4">
        <w:rPr>
          <w:rFonts w:ascii="Abadi" w:hAnsi="Abadi"/>
          <w:b w:val="0"/>
          <w:bCs w:val="0"/>
          <w:sz w:val="21"/>
          <w:szCs w:val="21"/>
        </w:rPr>
        <w:t>diputado</w:t>
      </w:r>
      <w:r w:rsidRPr="00B94CD4">
        <w:rPr>
          <w:rFonts w:ascii="Abadi" w:hAnsi="Abadi"/>
          <w:b w:val="0"/>
          <w:bCs w:val="0"/>
          <w:spacing w:val="6"/>
          <w:sz w:val="21"/>
          <w:szCs w:val="21"/>
        </w:rPr>
        <w:t xml:space="preserve"> </w:t>
      </w:r>
      <w:r w:rsidRPr="00B94CD4">
        <w:rPr>
          <w:rFonts w:ascii="Abadi" w:hAnsi="Abadi"/>
          <w:b w:val="0"/>
          <w:bCs w:val="0"/>
          <w:sz w:val="21"/>
          <w:szCs w:val="21"/>
        </w:rPr>
        <w:t>Ernesto</w:t>
      </w:r>
      <w:r w:rsidRPr="00B94CD4">
        <w:rPr>
          <w:rFonts w:ascii="Abadi" w:hAnsi="Abadi"/>
          <w:b w:val="0"/>
          <w:bCs w:val="0"/>
          <w:spacing w:val="6"/>
          <w:sz w:val="21"/>
          <w:szCs w:val="21"/>
        </w:rPr>
        <w:t xml:space="preserve"> </w:t>
      </w:r>
      <w:r w:rsidRPr="00B94CD4">
        <w:rPr>
          <w:rFonts w:ascii="Abadi" w:hAnsi="Abadi"/>
          <w:b w:val="0"/>
          <w:bCs w:val="0"/>
          <w:sz w:val="21"/>
          <w:szCs w:val="21"/>
        </w:rPr>
        <w:t>Alejandro</w:t>
      </w:r>
      <w:r w:rsidRPr="00B94CD4">
        <w:rPr>
          <w:rFonts w:ascii="Abadi" w:hAnsi="Abadi"/>
          <w:b w:val="0"/>
          <w:bCs w:val="0"/>
          <w:spacing w:val="6"/>
          <w:sz w:val="21"/>
          <w:szCs w:val="21"/>
        </w:rPr>
        <w:t xml:space="preserve"> </w:t>
      </w:r>
      <w:r w:rsidRPr="00B94CD4">
        <w:rPr>
          <w:rFonts w:ascii="Abadi" w:hAnsi="Abadi"/>
          <w:b w:val="0"/>
          <w:bCs w:val="0"/>
          <w:sz w:val="21"/>
          <w:szCs w:val="21"/>
        </w:rPr>
        <w:t>Prieto</w:t>
      </w:r>
      <w:r w:rsidRPr="00B94CD4">
        <w:rPr>
          <w:rFonts w:ascii="Abadi" w:hAnsi="Abadi"/>
          <w:b w:val="0"/>
          <w:bCs w:val="0"/>
          <w:spacing w:val="7"/>
          <w:sz w:val="21"/>
          <w:szCs w:val="21"/>
        </w:rPr>
        <w:t xml:space="preserve"> </w:t>
      </w:r>
      <w:r w:rsidRPr="00B94CD4">
        <w:rPr>
          <w:rFonts w:ascii="Abadi" w:hAnsi="Abadi"/>
          <w:b w:val="0"/>
          <w:bCs w:val="0"/>
          <w:sz w:val="21"/>
          <w:szCs w:val="21"/>
        </w:rPr>
        <w:t>Gallardo,</w:t>
      </w:r>
      <w:r w:rsidRPr="00B94CD4">
        <w:rPr>
          <w:rFonts w:ascii="Abadi" w:hAnsi="Abadi"/>
          <w:b w:val="0"/>
          <w:bCs w:val="0"/>
          <w:spacing w:val="6"/>
          <w:sz w:val="21"/>
          <w:szCs w:val="21"/>
        </w:rPr>
        <w:t xml:space="preserve"> </w:t>
      </w:r>
      <w:r w:rsidRPr="00B94CD4">
        <w:rPr>
          <w:rFonts w:ascii="Abadi" w:hAnsi="Abadi"/>
          <w:b w:val="0"/>
          <w:bCs w:val="0"/>
          <w:sz w:val="21"/>
          <w:szCs w:val="21"/>
        </w:rPr>
        <w:t>integrante</w:t>
      </w:r>
      <w:r w:rsidRPr="00B94CD4">
        <w:rPr>
          <w:rFonts w:ascii="Abadi" w:hAnsi="Abadi"/>
          <w:b w:val="0"/>
          <w:bCs w:val="0"/>
          <w:spacing w:val="6"/>
          <w:sz w:val="21"/>
          <w:szCs w:val="21"/>
        </w:rPr>
        <w:t xml:space="preserve"> </w:t>
      </w:r>
      <w:r w:rsidRPr="00B94CD4">
        <w:rPr>
          <w:rFonts w:ascii="Abadi" w:hAnsi="Abadi"/>
          <w:b w:val="0"/>
          <w:bCs w:val="0"/>
          <w:sz w:val="21"/>
          <w:szCs w:val="21"/>
        </w:rPr>
        <w:t>del</w:t>
      </w:r>
      <w:r w:rsidRPr="00B94CD4">
        <w:rPr>
          <w:rFonts w:ascii="Abadi" w:hAnsi="Abadi"/>
          <w:b w:val="0"/>
          <w:bCs w:val="0"/>
          <w:spacing w:val="-2"/>
          <w:sz w:val="21"/>
          <w:szCs w:val="21"/>
        </w:rPr>
        <w:t xml:space="preserve"> </w:t>
      </w:r>
      <w:r w:rsidRPr="00B94CD4">
        <w:rPr>
          <w:rFonts w:ascii="Abadi" w:hAnsi="Abadi"/>
          <w:b w:val="0"/>
          <w:bCs w:val="0"/>
          <w:sz w:val="21"/>
          <w:szCs w:val="21"/>
        </w:rPr>
        <w:t>Grupo Parlamentario del</w:t>
      </w:r>
      <w:r w:rsidRPr="00B94CD4">
        <w:rPr>
          <w:rFonts w:ascii="Abadi" w:hAnsi="Abadi"/>
          <w:b w:val="0"/>
          <w:bCs w:val="0"/>
          <w:spacing w:val="-1"/>
          <w:sz w:val="21"/>
          <w:szCs w:val="21"/>
        </w:rPr>
        <w:t xml:space="preserve"> </w:t>
      </w:r>
      <w:r w:rsidRPr="00B94CD4">
        <w:rPr>
          <w:rFonts w:ascii="Abadi" w:hAnsi="Abadi"/>
          <w:b w:val="0"/>
          <w:bCs w:val="0"/>
          <w:sz w:val="21"/>
          <w:szCs w:val="21"/>
        </w:rPr>
        <w:t>Partido</w:t>
      </w:r>
      <w:r w:rsidRPr="00B94CD4">
        <w:rPr>
          <w:rFonts w:ascii="Abadi" w:hAnsi="Abadi"/>
          <w:b w:val="0"/>
          <w:bCs w:val="0"/>
          <w:spacing w:val="-1"/>
          <w:sz w:val="21"/>
          <w:szCs w:val="21"/>
        </w:rPr>
        <w:t xml:space="preserve"> </w:t>
      </w:r>
      <w:r w:rsidRPr="00B94CD4">
        <w:rPr>
          <w:rFonts w:ascii="Abadi" w:hAnsi="Abadi"/>
          <w:b w:val="0"/>
          <w:bCs w:val="0"/>
          <w:sz w:val="21"/>
          <w:szCs w:val="21"/>
        </w:rPr>
        <w:t>MORENA, a efecto de solicitar al titular de</w:t>
      </w:r>
      <w:r w:rsidRPr="00B94CD4">
        <w:rPr>
          <w:rFonts w:ascii="Abadi" w:hAnsi="Abadi"/>
          <w:b w:val="0"/>
          <w:bCs w:val="0"/>
          <w:spacing w:val="-2"/>
          <w:sz w:val="21"/>
          <w:szCs w:val="21"/>
        </w:rPr>
        <w:t xml:space="preserve"> </w:t>
      </w:r>
      <w:r w:rsidRPr="00B94CD4">
        <w:rPr>
          <w:rFonts w:ascii="Abadi" w:hAnsi="Abadi"/>
          <w:b w:val="0"/>
          <w:bCs w:val="0"/>
          <w:sz w:val="21"/>
          <w:szCs w:val="21"/>
        </w:rPr>
        <w:t>la</w:t>
      </w:r>
      <w:r w:rsidRPr="00B94CD4">
        <w:rPr>
          <w:rFonts w:ascii="Abadi" w:hAnsi="Abadi"/>
          <w:b w:val="0"/>
          <w:bCs w:val="0"/>
          <w:spacing w:val="29"/>
          <w:sz w:val="21"/>
          <w:szCs w:val="21"/>
        </w:rPr>
        <w:t xml:space="preserve"> </w:t>
      </w:r>
      <w:r w:rsidRPr="00B94CD4">
        <w:rPr>
          <w:rFonts w:ascii="Abadi" w:hAnsi="Abadi"/>
          <w:b w:val="0"/>
          <w:bCs w:val="0"/>
          <w:sz w:val="21"/>
          <w:szCs w:val="21"/>
        </w:rPr>
        <w:t>Secretaría</w:t>
      </w:r>
      <w:r w:rsidRPr="00B94CD4">
        <w:rPr>
          <w:rFonts w:ascii="Abadi" w:hAnsi="Abadi"/>
          <w:b w:val="0"/>
          <w:bCs w:val="0"/>
          <w:spacing w:val="29"/>
          <w:sz w:val="21"/>
          <w:szCs w:val="21"/>
        </w:rPr>
        <w:t xml:space="preserve"> </w:t>
      </w:r>
      <w:r w:rsidRPr="00B94CD4">
        <w:rPr>
          <w:rFonts w:ascii="Abadi" w:hAnsi="Abadi"/>
          <w:b w:val="0"/>
          <w:bCs w:val="0"/>
          <w:sz w:val="21"/>
          <w:szCs w:val="21"/>
        </w:rPr>
        <w:t>de</w:t>
      </w:r>
      <w:r w:rsidRPr="00B94CD4">
        <w:rPr>
          <w:rFonts w:ascii="Abadi" w:hAnsi="Abadi"/>
          <w:b w:val="0"/>
          <w:bCs w:val="0"/>
          <w:spacing w:val="29"/>
          <w:sz w:val="21"/>
          <w:szCs w:val="21"/>
        </w:rPr>
        <w:t xml:space="preserve"> </w:t>
      </w:r>
      <w:r w:rsidRPr="00B94CD4">
        <w:rPr>
          <w:rFonts w:ascii="Abadi" w:hAnsi="Abadi"/>
          <w:b w:val="0"/>
          <w:bCs w:val="0"/>
          <w:sz w:val="21"/>
          <w:szCs w:val="21"/>
        </w:rPr>
        <w:t>Desarrollo</w:t>
      </w:r>
      <w:r w:rsidRPr="00B94CD4">
        <w:rPr>
          <w:rFonts w:ascii="Abadi" w:hAnsi="Abadi"/>
          <w:b w:val="0"/>
          <w:bCs w:val="0"/>
          <w:spacing w:val="29"/>
          <w:sz w:val="21"/>
          <w:szCs w:val="21"/>
        </w:rPr>
        <w:t xml:space="preserve"> </w:t>
      </w:r>
      <w:r w:rsidRPr="00B94CD4">
        <w:rPr>
          <w:rFonts w:ascii="Abadi" w:hAnsi="Abadi"/>
          <w:b w:val="0"/>
          <w:bCs w:val="0"/>
          <w:sz w:val="21"/>
          <w:szCs w:val="21"/>
        </w:rPr>
        <w:t>Social</w:t>
      </w:r>
      <w:r w:rsidRPr="00B94CD4">
        <w:rPr>
          <w:rFonts w:ascii="Abadi" w:hAnsi="Abadi"/>
          <w:b w:val="0"/>
          <w:bCs w:val="0"/>
          <w:spacing w:val="28"/>
          <w:sz w:val="21"/>
          <w:szCs w:val="21"/>
        </w:rPr>
        <w:t xml:space="preserve"> </w:t>
      </w:r>
      <w:r w:rsidRPr="00B94CD4">
        <w:rPr>
          <w:rFonts w:ascii="Abadi" w:hAnsi="Abadi"/>
          <w:b w:val="0"/>
          <w:bCs w:val="0"/>
          <w:sz w:val="21"/>
          <w:szCs w:val="21"/>
        </w:rPr>
        <w:t>y</w:t>
      </w:r>
      <w:r w:rsidRPr="00B94CD4">
        <w:rPr>
          <w:rFonts w:ascii="Abadi" w:hAnsi="Abadi"/>
          <w:b w:val="0"/>
          <w:bCs w:val="0"/>
          <w:spacing w:val="29"/>
          <w:sz w:val="21"/>
          <w:szCs w:val="21"/>
        </w:rPr>
        <w:t xml:space="preserve"> </w:t>
      </w:r>
      <w:r w:rsidRPr="00B94CD4">
        <w:rPr>
          <w:rFonts w:ascii="Abadi" w:hAnsi="Abadi"/>
          <w:b w:val="0"/>
          <w:bCs w:val="0"/>
          <w:sz w:val="21"/>
          <w:szCs w:val="21"/>
        </w:rPr>
        <w:t>Humano</w:t>
      </w:r>
      <w:r w:rsidRPr="00B94CD4">
        <w:rPr>
          <w:rFonts w:ascii="Abadi" w:hAnsi="Abadi"/>
          <w:b w:val="0"/>
          <w:bCs w:val="0"/>
          <w:spacing w:val="29"/>
          <w:sz w:val="21"/>
          <w:szCs w:val="21"/>
        </w:rPr>
        <w:t xml:space="preserve"> </w:t>
      </w:r>
      <w:r w:rsidRPr="00B94CD4">
        <w:rPr>
          <w:rFonts w:ascii="Abadi" w:hAnsi="Abadi"/>
          <w:b w:val="0"/>
          <w:bCs w:val="0"/>
          <w:sz w:val="21"/>
          <w:szCs w:val="21"/>
        </w:rPr>
        <w:t>del</w:t>
      </w:r>
      <w:r w:rsidRPr="00B94CD4">
        <w:rPr>
          <w:rFonts w:ascii="Abadi" w:hAnsi="Abadi"/>
          <w:b w:val="0"/>
          <w:bCs w:val="0"/>
          <w:spacing w:val="28"/>
          <w:sz w:val="21"/>
          <w:szCs w:val="21"/>
        </w:rPr>
        <w:t xml:space="preserve"> </w:t>
      </w:r>
      <w:r w:rsidRPr="00B94CD4">
        <w:rPr>
          <w:rFonts w:ascii="Abadi" w:hAnsi="Abadi"/>
          <w:b w:val="0"/>
          <w:bCs w:val="0"/>
          <w:sz w:val="21"/>
          <w:szCs w:val="21"/>
        </w:rPr>
        <w:t>Gobierno</w:t>
      </w:r>
      <w:r w:rsidRPr="00B94CD4">
        <w:rPr>
          <w:rFonts w:ascii="Abadi" w:hAnsi="Abadi"/>
          <w:b w:val="0"/>
          <w:bCs w:val="0"/>
          <w:spacing w:val="28"/>
          <w:sz w:val="21"/>
          <w:szCs w:val="21"/>
        </w:rPr>
        <w:t xml:space="preserve"> </w:t>
      </w:r>
      <w:r w:rsidRPr="00B94CD4">
        <w:rPr>
          <w:rFonts w:ascii="Abadi" w:hAnsi="Abadi"/>
          <w:b w:val="0"/>
          <w:bCs w:val="0"/>
          <w:sz w:val="21"/>
          <w:szCs w:val="21"/>
        </w:rPr>
        <w:t>del</w:t>
      </w:r>
      <w:r w:rsidRPr="00B94CD4">
        <w:rPr>
          <w:rFonts w:ascii="Abadi" w:hAnsi="Abadi"/>
          <w:b w:val="0"/>
          <w:bCs w:val="0"/>
          <w:spacing w:val="28"/>
          <w:sz w:val="21"/>
          <w:szCs w:val="21"/>
        </w:rPr>
        <w:t xml:space="preserve"> </w:t>
      </w:r>
      <w:r w:rsidRPr="00B94CD4">
        <w:rPr>
          <w:rFonts w:ascii="Abadi" w:hAnsi="Abadi"/>
          <w:b w:val="0"/>
          <w:bCs w:val="0"/>
          <w:sz w:val="21"/>
          <w:szCs w:val="21"/>
        </w:rPr>
        <w:t>Estado</w:t>
      </w:r>
      <w:r w:rsidRPr="00B94CD4">
        <w:rPr>
          <w:rFonts w:ascii="Abadi" w:hAnsi="Abadi"/>
          <w:b w:val="0"/>
          <w:bCs w:val="0"/>
          <w:spacing w:val="29"/>
          <w:sz w:val="21"/>
          <w:szCs w:val="21"/>
        </w:rPr>
        <w:t xml:space="preserve"> </w:t>
      </w:r>
      <w:r w:rsidRPr="00B94CD4">
        <w:rPr>
          <w:rFonts w:ascii="Abadi" w:hAnsi="Abadi"/>
          <w:b w:val="0"/>
          <w:bCs w:val="0"/>
          <w:sz w:val="21"/>
          <w:szCs w:val="21"/>
        </w:rPr>
        <w:t>de</w:t>
      </w:r>
      <w:r w:rsidRPr="00B94CD4">
        <w:rPr>
          <w:rFonts w:ascii="Abadi" w:hAnsi="Abadi"/>
          <w:b w:val="0"/>
          <w:bCs w:val="0"/>
          <w:spacing w:val="-2"/>
          <w:sz w:val="21"/>
          <w:szCs w:val="21"/>
        </w:rPr>
        <w:t xml:space="preserve"> </w:t>
      </w:r>
      <w:r w:rsidRPr="00B94CD4">
        <w:rPr>
          <w:rFonts w:ascii="Abadi" w:hAnsi="Abadi"/>
          <w:b w:val="0"/>
          <w:bCs w:val="0"/>
          <w:sz w:val="21"/>
          <w:szCs w:val="21"/>
        </w:rPr>
        <w:t>Guanajuato</w:t>
      </w:r>
      <w:r w:rsidRPr="00B94CD4">
        <w:rPr>
          <w:rFonts w:ascii="Abadi" w:hAnsi="Abadi"/>
          <w:b w:val="0"/>
          <w:bCs w:val="0"/>
          <w:spacing w:val="-15"/>
          <w:sz w:val="21"/>
          <w:szCs w:val="21"/>
        </w:rPr>
        <w:t xml:space="preserve"> </w:t>
      </w:r>
      <w:r w:rsidRPr="00B94CD4">
        <w:rPr>
          <w:rFonts w:ascii="Abadi" w:hAnsi="Abadi"/>
          <w:b w:val="0"/>
          <w:bCs w:val="0"/>
          <w:sz w:val="21"/>
          <w:szCs w:val="21"/>
        </w:rPr>
        <w:t>informe</w:t>
      </w:r>
      <w:r w:rsidRPr="00B94CD4">
        <w:rPr>
          <w:rFonts w:ascii="Abadi" w:hAnsi="Abadi"/>
          <w:b w:val="0"/>
          <w:bCs w:val="0"/>
          <w:spacing w:val="-15"/>
          <w:sz w:val="21"/>
          <w:szCs w:val="21"/>
        </w:rPr>
        <w:t xml:space="preserve"> </w:t>
      </w:r>
      <w:r w:rsidRPr="00B94CD4">
        <w:rPr>
          <w:rFonts w:ascii="Abadi" w:hAnsi="Abadi"/>
          <w:b w:val="0"/>
          <w:bCs w:val="0"/>
          <w:sz w:val="21"/>
          <w:szCs w:val="21"/>
        </w:rPr>
        <w:t>sobre</w:t>
      </w:r>
      <w:r w:rsidRPr="00B94CD4">
        <w:rPr>
          <w:rFonts w:ascii="Abadi" w:hAnsi="Abadi"/>
          <w:b w:val="0"/>
          <w:bCs w:val="0"/>
          <w:spacing w:val="-14"/>
          <w:sz w:val="21"/>
          <w:szCs w:val="21"/>
        </w:rPr>
        <w:t xml:space="preserve"> </w:t>
      </w:r>
      <w:r w:rsidRPr="00B94CD4">
        <w:rPr>
          <w:rFonts w:ascii="Abadi" w:hAnsi="Abadi"/>
          <w:b w:val="0"/>
          <w:bCs w:val="0"/>
          <w:sz w:val="21"/>
          <w:szCs w:val="21"/>
        </w:rPr>
        <w:t>presuntas</w:t>
      </w:r>
      <w:r w:rsidRPr="00B94CD4">
        <w:rPr>
          <w:rFonts w:ascii="Abadi" w:hAnsi="Abadi"/>
          <w:b w:val="0"/>
          <w:bCs w:val="0"/>
          <w:spacing w:val="-15"/>
          <w:sz w:val="21"/>
          <w:szCs w:val="21"/>
        </w:rPr>
        <w:t xml:space="preserve"> </w:t>
      </w:r>
      <w:r w:rsidRPr="00B94CD4">
        <w:rPr>
          <w:rFonts w:ascii="Abadi" w:hAnsi="Abadi"/>
          <w:b w:val="0"/>
          <w:bCs w:val="0"/>
          <w:sz w:val="21"/>
          <w:szCs w:val="21"/>
        </w:rPr>
        <w:t>irregularidades</w:t>
      </w:r>
      <w:r w:rsidRPr="00B94CD4">
        <w:rPr>
          <w:rFonts w:ascii="Abadi" w:hAnsi="Abadi"/>
          <w:b w:val="0"/>
          <w:bCs w:val="0"/>
          <w:spacing w:val="-15"/>
          <w:sz w:val="21"/>
          <w:szCs w:val="21"/>
        </w:rPr>
        <w:t xml:space="preserve"> </w:t>
      </w:r>
      <w:r w:rsidRPr="00B94CD4">
        <w:rPr>
          <w:rFonts w:ascii="Abadi" w:hAnsi="Abadi"/>
          <w:b w:val="0"/>
          <w:bCs w:val="0"/>
          <w:sz w:val="21"/>
          <w:szCs w:val="21"/>
        </w:rPr>
        <w:t>y</w:t>
      </w:r>
      <w:r w:rsidRPr="00B94CD4">
        <w:rPr>
          <w:rFonts w:ascii="Abadi" w:hAnsi="Abadi"/>
          <w:b w:val="0"/>
          <w:bCs w:val="0"/>
          <w:spacing w:val="-15"/>
          <w:sz w:val="21"/>
          <w:szCs w:val="21"/>
        </w:rPr>
        <w:t xml:space="preserve"> </w:t>
      </w:r>
      <w:r w:rsidRPr="00B94CD4">
        <w:rPr>
          <w:rFonts w:ascii="Abadi" w:hAnsi="Abadi"/>
          <w:b w:val="0"/>
          <w:bCs w:val="0"/>
          <w:sz w:val="21"/>
          <w:szCs w:val="21"/>
        </w:rPr>
        <w:t>violación</w:t>
      </w:r>
      <w:r w:rsidRPr="00B94CD4">
        <w:rPr>
          <w:rFonts w:ascii="Abadi" w:hAnsi="Abadi"/>
          <w:b w:val="0"/>
          <w:bCs w:val="0"/>
          <w:spacing w:val="-15"/>
          <w:sz w:val="21"/>
          <w:szCs w:val="21"/>
        </w:rPr>
        <w:t xml:space="preserve"> </w:t>
      </w:r>
      <w:r w:rsidRPr="00B94CD4">
        <w:rPr>
          <w:rFonts w:ascii="Abadi" w:hAnsi="Abadi"/>
          <w:b w:val="0"/>
          <w:bCs w:val="0"/>
          <w:sz w:val="21"/>
          <w:szCs w:val="21"/>
        </w:rPr>
        <w:t>a</w:t>
      </w:r>
      <w:r w:rsidRPr="00B94CD4">
        <w:rPr>
          <w:rFonts w:ascii="Abadi" w:hAnsi="Abadi"/>
          <w:b w:val="0"/>
          <w:bCs w:val="0"/>
          <w:spacing w:val="-15"/>
          <w:sz w:val="21"/>
          <w:szCs w:val="21"/>
        </w:rPr>
        <w:t xml:space="preserve"> </w:t>
      </w:r>
      <w:r w:rsidRPr="00B94CD4">
        <w:rPr>
          <w:rFonts w:ascii="Abadi" w:hAnsi="Abadi"/>
          <w:b w:val="0"/>
          <w:bCs w:val="0"/>
          <w:sz w:val="21"/>
          <w:szCs w:val="21"/>
        </w:rPr>
        <w:t>las</w:t>
      </w:r>
      <w:r w:rsidRPr="00B94CD4">
        <w:rPr>
          <w:rFonts w:ascii="Abadi" w:hAnsi="Abadi"/>
          <w:b w:val="0"/>
          <w:bCs w:val="0"/>
          <w:spacing w:val="-15"/>
          <w:sz w:val="21"/>
          <w:szCs w:val="21"/>
        </w:rPr>
        <w:t xml:space="preserve"> </w:t>
      </w:r>
      <w:r w:rsidRPr="00B94CD4">
        <w:rPr>
          <w:rFonts w:ascii="Abadi" w:hAnsi="Abadi"/>
          <w:b w:val="0"/>
          <w:bCs w:val="0"/>
          <w:sz w:val="21"/>
          <w:szCs w:val="21"/>
        </w:rPr>
        <w:t>Reglas</w:t>
      </w:r>
      <w:r w:rsidRPr="00B94CD4">
        <w:rPr>
          <w:rFonts w:ascii="Abadi" w:hAnsi="Abadi"/>
          <w:b w:val="0"/>
          <w:bCs w:val="0"/>
          <w:spacing w:val="-2"/>
          <w:sz w:val="21"/>
          <w:szCs w:val="21"/>
        </w:rPr>
        <w:t xml:space="preserve"> </w:t>
      </w:r>
      <w:r w:rsidRPr="00B94CD4">
        <w:rPr>
          <w:rFonts w:ascii="Abadi" w:hAnsi="Abadi"/>
          <w:b w:val="0"/>
          <w:bCs w:val="0"/>
          <w:sz w:val="21"/>
          <w:szCs w:val="21"/>
        </w:rPr>
        <w:t>de</w:t>
      </w:r>
      <w:r w:rsidRPr="00B94CD4">
        <w:rPr>
          <w:rFonts w:ascii="Abadi" w:hAnsi="Abadi"/>
          <w:b w:val="0"/>
          <w:bCs w:val="0"/>
          <w:spacing w:val="-12"/>
          <w:sz w:val="21"/>
          <w:szCs w:val="21"/>
        </w:rPr>
        <w:t xml:space="preserve"> </w:t>
      </w:r>
      <w:r w:rsidRPr="00B94CD4">
        <w:rPr>
          <w:rFonts w:ascii="Abadi" w:hAnsi="Abadi"/>
          <w:b w:val="0"/>
          <w:bCs w:val="0"/>
          <w:sz w:val="21"/>
          <w:szCs w:val="21"/>
        </w:rPr>
        <w:t>Operación</w:t>
      </w:r>
      <w:r w:rsidRPr="00B94CD4">
        <w:rPr>
          <w:rFonts w:ascii="Abadi" w:hAnsi="Abadi"/>
          <w:b w:val="0"/>
          <w:bCs w:val="0"/>
          <w:spacing w:val="-12"/>
          <w:sz w:val="21"/>
          <w:szCs w:val="21"/>
        </w:rPr>
        <w:t xml:space="preserve"> </w:t>
      </w:r>
      <w:r w:rsidRPr="00B94CD4">
        <w:rPr>
          <w:rFonts w:ascii="Abadi" w:hAnsi="Abadi"/>
          <w:b w:val="0"/>
          <w:bCs w:val="0"/>
          <w:sz w:val="21"/>
          <w:szCs w:val="21"/>
        </w:rPr>
        <w:t>del</w:t>
      </w:r>
      <w:r w:rsidRPr="00B94CD4">
        <w:rPr>
          <w:rFonts w:ascii="Abadi" w:hAnsi="Abadi"/>
          <w:b w:val="0"/>
          <w:bCs w:val="0"/>
          <w:spacing w:val="-12"/>
          <w:sz w:val="21"/>
          <w:szCs w:val="21"/>
        </w:rPr>
        <w:t xml:space="preserve"> </w:t>
      </w:r>
      <w:r w:rsidRPr="00B94CD4">
        <w:rPr>
          <w:rFonts w:ascii="Abadi" w:hAnsi="Abadi"/>
          <w:b w:val="0"/>
          <w:bCs w:val="0"/>
          <w:sz w:val="21"/>
          <w:szCs w:val="21"/>
        </w:rPr>
        <w:t>Programa</w:t>
      </w:r>
      <w:r w:rsidRPr="00B94CD4">
        <w:rPr>
          <w:rFonts w:ascii="Abadi" w:hAnsi="Abadi"/>
          <w:b w:val="0"/>
          <w:bCs w:val="0"/>
          <w:spacing w:val="-12"/>
          <w:sz w:val="21"/>
          <w:szCs w:val="21"/>
        </w:rPr>
        <w:t xml:space="preserve"> </w:t>
      </w:r>
      <w:r w:rsidRPr="00B94CD4">
        <w:rPr>
          <w:rFonts w:ascii="Abadi" w:hAnsi="Abadi"/>
          <w:b w:val="0"/>
          <w:bCs w:val="0"/>
          <w:sz w:val="21"/>
          <w:szCs w:val="21"/>
        </w:rPr>
        <w:t>Vale</w:t>
      </w:r>
      <w:r w:rsidRPr="00B94CD4">
        <w:rPr>
          <w:rFonts w:ascii="Abadi" w:hAnsi="Abadi"/>
          <w:b w:val="0"/>
          <w:bCs w:val="0"/>
          <w:spacing w:val="-12"/>
          <w:sz w:val="21"/>
          <w:szCs w:val="21"/>
        </w:rPr>
        <w:t xml:space="preserve"> </w:t>
      </w:r>
      <w:r w:rsidRPr="00B94CD4">
        <w:rPr>
          <w:rFonts w:ascii="Abadi" w:hAnsi="Abadi"/>
          <w:b w:val="0"/>
          <w:bCs w:val="0"/>
          <w:sz w:val="21"/>
          <w:szCs w:val="21"/>
        </w:rPr>
        <w:t>Grandeza</w:t>
      </w:r>
      <w:r w:rsidRPr="00B94CD4">
        <w:rPr>
          <w:rFonts w:ascii="Abadi" w:hAnsi="Abadi"/>
          <w:b w:val="0"/>
          <w:bCs w:val="0"/>
          <w:spacing w:val="-12"/>
          <w:sz w:val="21"/>
          <w:szCs w:val="21"/>
        </w:rPr>
        <w:t xml:space="preserve"> </w:t>
      </w:r>
      <w:r w:rsidRPr="00B94CD4">
        <w:rPr>
          <w:rFonts w:ascii="Abadi" w:hAnsi="Abadi"/>
          <w:b w:val="0"/>
          <w:bCs w:val="0"/>
          <w:sz w:val="21"/>
          <w:szCs w:val="21"/>
        </w:rPr>
        <w:t>–</w:t>
      </w:r>
      <w:r w:rsidRPr="00B94CD4">
        <w:rPr>
          <w:rFonts w:ascii="Abadi" w:hAnsi="Abadi"/>
          <w:b w:val="0"/>
          <w:bCs w:val="0"/>
          <w:spacing w:val="-12"/>
          <w:sz w:val="21"/>
          <w:szCs w:val="21"/>
        </w:rPr>
        <w:t xml:space="preserve"> </w:t>
      </w:r>
      <w:r w:rsidRPr="00B94CD4">
        <w:rPr>
          <w:rFonts w:ascii="Abadi" w:hAnsi="Abadi"/>
          <w:b w:val="0"/>
          <w:bCs w:val="0"/>
          <w:sz w:val="21"/>
          <w:szCs w:val="21"/>
        </w:rPr>
        <w:t>Compra</w:t>
      </w:r>
      <w:r w:rsidRPr="00B94CD4">
        <w:rPr>
          <w:rFonts w:ascii="Abadi" w:hAnsi="Abadi"/>
          <w:b w:val="0"/>
          <w:bCs w:val="0"/>
          <w:spacing w:val="-12"/>
          <w:sz w:val="21"/>
          <w:szCs w:val="21"/>
        </w:rPr>
        <w:t xml:space="preserve"> </w:t>
      </w:r>
      <w:r w:rsidRPr="00B94CD4">
        <w:rPr>
          <w:rFonts w:ascii="Abadi" w:hAnsi="Abadi"/>
          <w:b w:val="0"/>
          <w:bCs w:val="0"/>
          <w:sz w:val="21"/>
          <w:szCs w:val="21"/>
        </w:rPr>
        <w:t>Local</w:t>
      </w:r>
      <w:r w:rsidRPr="00B94CD4">
        <w:rPr>
          <w:rFonts w:ascii="Abadi" w:hAnsi="Abadi"/>
          <w:b w:val="0"/>
          <w:bCs w:val="0"/>
          <w:spacing w:val="-12"/>
          <w:sz w:val="21"/>
          <w:szCs w:val="21"/>
        </w:rPr>
        <w:t xml:space="preserve"> </w:t>
      </w:r>
      <w:r w:rsidRPr="00B94CD4">
        <w:rPr>
          <w:rFonts w:ascii="Abadi" w:hAnsi="Abadi"/>
          <w:b w:val="0"/>
          <w:bCs w:val="0"/>
          <w:sz w:val="21"/>
          <w:szCs w:val="21"/>
        </w:rPr>
        <w:t>para</w:t>
      </w:r>
      <w:r w:rsidRPr="00B94CD4">
        <w:rPr>
          <w:rFonts w:ascii="Abadi" w:hAnsi="Abadi"/>
          <w:b w:val="0"/>
          <w:bCs w:val="0"/>
          <w:spacing w:val="-12"/>
          <w:sz w:val="21"/>
          <w:szCs w:val="21"/>
        </w:rPr>
        <w:t xml:space="preserve"> </w:t>
      </w:r>
      <w:r w:rsidRPr="00B94CD4">
        <w:rPr>
          <w:rFonts w:ascii="Abadi" w:hAnsi="Abadi"/>
          <w:b w:val="0"/>
          <w:bCs w:val="0"/>
          <w:sz w:val="21"/>
          <w:szCs w:val="21"/>
        </w:rPr>
        <w:t>el</w:t>
      </w:r>
      <w:r w:rsidRPr="00B94CD4">
        <w:rPr>
          <w:rFonts w:ascii="Abadi" w:hAnsi="Abadi"/>
          <w:b w:val="0"/>
          <w:bCs w:val="0"/>
          <w:spacing w:val="-12"/>
          <w:sz w:val="21"/>
          <w:szCs w:val="21"/>
        </w:rPr>
        <w:t xml:space="preserve"> </w:t>
      </w:r>
      <w:r w:rsidRPr="00B94CD4">
        <w:rPr>
          <w:rFonts w:ascii="Abadi" w:hAnsi="Abadi"/>
          <w:b w:val="0"/>
          <w:bCs w:val="0"/>
          <w:sz w:val="21"/>
          <w:szCs w:val="21"/>
        </w:rPr>
        <w:t>ejercicio</w:t>
      </w:r>
      <w:r w:rsidRPr="00B94CD4">
        <w:rPr>
          <w:rFonts w:ascii="Abadi" w:hAnsi="Abadi"/>
          <w:b w:val="0"/>
          <w:bCs w:val="0"/>
          <w:spacing w:val="-2"/>
          <w:sz w:val="21"/>
          <w:szCs w:val="21"/>
        </w:rPr>
        <w:t xml:space="preserve"> </w:t>
      </w:r>
      <w:r w:rsidRPr="00B94CD4">
        <w:rPr>
          <w:rFonts w:ascii="Abadi" w:hAnsi="Abadi"/>
          <w:b w:val="0"/>
          <w:bCs w:val="0"/>
          <w:sz w:val="21"/>
          <w:szCs w:val="21"/>
        </w:rPr>
        <w:t>fiscal</w:t>
      </w:r>
      <w:r w:rsidRPr="00B94CD4">
        <w:rPr>
          <w:rFonts w:ascii="Abadi" w:hAnsi="Abadi"/>
          <w:b w:val="0"/>
          <w:bCs w:val="0"/>
          <w:spacing w:val="-16"/>
          <w:sz w:val="21"/>
          <w:szCs w:val="21"/>
        </w:rPr>
        <w:t xml:space="preserve"> </w:t>
      </w:r>
      <w:r w:rsidRPr="00B94CD4">
        <w:rPr>
          <w:rFonts w:ascii="Abadi" w:hAnsi="Abadi"/>
          <w:b w:val="0"/>
          <w:bCs w:val="0"/>
          <w:sz w:val="21"/>
          <w:szCs w:val="21"/>
        </w:rPr>
        <w:t>de</w:t>
      </w:r>
      <w:r w:rsidRPr="00B94CD4">
        <w:rPr>
          <w:rFonts w:ascii="Abadi" w:hAnsi="Abadi"/>
          <w:b w:val="0"/>
          <w:bCs w:val="0"/>
          <w:spacing w:val="-16"/>
          <w:sz w:val="21"/>
          <w:szCs w:val="21"/>
        </w:rPr>
        <w:t xml:space="preserve"> </w:t>
      </w:r>
      <w:r w:rsidRPr="00B94CD4">
        <w:rPr>
          <w:rFonts w:ascii="Abadi" w:hAnsi="Abadi"/>
          <w:b w:val="0"/>
          <w:bCs w:val="0"/>
          <w:sz w:val="21"/>
          <w:szCs w:val="21"/>
        </w:rPr>
        <w:t>2021</w:t>
      </w:r>
      <w:r w:rsidRPr="00B94CD4">
        <w:rPr>
          <w:rFonts w:ascii="Abadi" w:hAnsi="Abadi"/>
          <w:b w:val="0"/>
          <w:bCs w:val="0"/>
          <w:spacing w:val="-16"/>
          <w:sz w:val="21"/>
          <w:szCs w:val="21"/>
        </w:rPr>
        <w:t xml:space="preserve"> </w:t>
      </w:r>
      <w:r w:rsidRPr="00B94CD4">
        <w:rPr>
          <w:rFonts w:ascii="Abadi" w:hAnsi="Abadi"/>
          <w:b w:val="0"/>
          <w:bCs w:val="0"/>
          <w:sz w:val="21"/>
          <w:szCs w:val="21"/>
        </w:rPr>
        <w:t>y</w:t>
      </w:r>
      <w:r w:rsidRPr="00B94CD4">
        <w:rPr>
          <w:rFonts w:ascii="Abadi" w:hAnsi="Abadi"/>
          <w:b w:val="0"/>
          <w:bCs w:val="0"/>
          <w:spacing w:val="-16"/>
          <w:sz w:val="21"/>
          <w:szCs w:val="21"/>
        </w:rPr>
        <w:t xml:space="preserve"> </w:t>
      </w:r>
      <w:r w:rsidRPr="00B94CD4">
        <w:rPr>
          <w:rFonts w:ascii="Abadi" w:hAnsi="Abadi"/>
          <w:b w:val="0"/>
          <w:bCs w:val="0"/>
          <w:sz w:val="21"/>
          <w:szCs w:val="21"/>
        </w:rPr>
        <w:t>hacerlo</w:t>
      </w:r>
      <w:r w:rsidRPr="00B94CD4">
        <w:rPr>
          <w:rFonts w:ascii="Abadi" w:hAnsi="Abadi"/>
          <w:b w:val="0"/>
          <w:bCs w:val="0"/>
          <w:spacing w:val="-16"/>
          <w:sz w:val="21"/>
          <w:szCs w:val="21"/>
        </w:rPr>
        <w:t xml:space="preserve"> </w:t>
      </w:r>
      <w:r w:rsidRPr="00B94CD4">
        <w:rPr>
          <w:rFonts w:ascii="Abadi" w:hAnsi="Abadi"/>
          <w:b w:val="0"/>
          <w:bCs w:val="0"/>
          <w:sz w:val="21"/>
          <w:szCs w:val="21"/>
        </w:rPr>
        <w:t>del</w:t>
      </w:r>
      <w:r w:rsidRPr="00B94CD4">
        <w:rPr>
          <w:rFonts w:ascii="Abadi" w:hAnsi="Abadi"/>
          <w:b w:val="0"/>
          <w:bCs w:val="0"/>
          <w:spacing w:val="-16"/>
          <w:sz w:val="21"/>
          <w:szCs w:val="21"/>
        </w:rPr>
        <w:t xml:space="preserve"> </w:t>
      </w:r>
      <w:r w:rsidRPr="00B94CD4">
        <w:rPr>
          <w:rFonts w:ascii="Abadi" w:hAnsi="Abadi"/>
          <w:b w:val="0"/>
          <w:bCs w:val="0"/>
          <w:sz w:val="21"/>
          <w:szCs w:val="21"/>
        </w:rPr>
        <w:lastRenderedPageBreak/>
        <w:t>conocimiento</w:t>
      </w:r>
      <w:r w:rsidRPr="00B94CD4">
        <w:rPr>
          <w:rFonts w:ascii="Abadi" w:hAnsi="Abadi"/>
          <w:b w:val="0"/>
          <w:bCs w:val="0"/>
          <w:spacing w:val="-16"/>
          <w:sz w:val="21"/>
          <w:szCs w:val="21"/>
        </w:rPr>
        <w:t xml:space="preserve"> </w:t>
      </w:r>
      <w:r w:rsidRPr="00B94CD4">
        <w:rPr>
          <w:rFonts w:ascii="Abadi" w:hAnsi="Abadi"/>
          <w:b w:val="0"/>
          <w:bCs w:val="0"/>
          <w:sz w:val="21"/>
          <w:szCs w:val="21"/>
        </w:rPr>
        <w:t>de</w:t>
      </w:r>
      <w:r w:rsidRPr="00B94CD4">
        <w:rPr>
          <w:rFonts w:ascii="Abadi" w:hAnsi="Abadi"/>
          <w:b w:val="0"/>
          <w:bCs w:val="0"/>
          <w:spacing w:val="-16"/>
          <w:sz w:val="21"/>
          <w:szCs w:val="21"/>
        </w:rPr>
        <w:t xml:space="preserve"> </w:t>
      </w:r>
      <w:r w:rsidRPr="00B94CD4">
        <w:rPr>
          <w:rFonts w:ascii="Abadi" w:hAnsi="Abadi"/>
          <w:b w:val="0"/>
          <w:bCs w:val="0"/>
          <w:sz w:val="21"/>
          <w:szCs w:val="21"/>
        </w:rPr>
        <w:t>la</w:t>
      </w:r>
      <w:r w:rsidRPr="00B94CD4">
        <w:rPr>
          <w:rFonts w:ascii="Abadi" w:hAnsi="Abadi"/>
          <w:b w:val="0"/>
          <w:bCs w:val="0"/>
          <w:spacing w:val="-16"/>
          <w:sz w:val="21"/>
          <w:szCs w:val="21"/>
        </w:rPr>
        <w:t xml:space="preserve"> </w:t>
      </w:r>
      <w:r w:rsidRPr="00B94CD4">
        <w:rPr>
          <w:rFonts w:ascii="Abadi" w:hAnsi="Abadi"/>
          <w:b w:val="0"/>
          <w:bCs w:val="0"/>
          <w:sz w:val="21"/>
          <w:szCs w:val="21"/>
        </w:rPr>
        <w:t>Auditoría</w:t>
      </w:r>
      <w:r w:rsidRPr="00B94CD4">
        <w:rPr>
          <w:rFonts w:ascii="Abadi" w:hAnsi="Abadi"/>
          <w:b w:val="0"/>
          <w:bCs w:val="0"/>
          <w:spacing w:val="-16"/>
          <w:sz w:val="21"/>
          <w:szCs w:val="21"/>
        </w:rPr>
        <w:t xml:space="preserve"> </w:t>
      </w:r>
      <w:r w:rsidRPr="00B94CD4">
        <w:rPr>
          <w:rFonts w:ascii="Abadi" w:hAnsi="Abadi"/>
          <w:b w:val="0"/>
          <w:bCs w:val="0"/>
          <w:sz w:val="21"/>
          <w:szCs w:val="21"/>
        </w:rPr>
        <w:t>Superior</w:t>
      </w:r>
      <w:r w:rsidRPr="00B94CD4">
        <w:rPr>
          <w:rFonts w:ascii="Abadi" w:hAnsi="Abadi"/>
          <w:b w:val="0"/>
          <w:bCs w:val="0"/>
          <w:spacing w:val="-16"/>
          <w:sz w:val="21"/>
          <w:szCs w:val="21"/>
        </w:rPr>
        <w:t xml:space="preserve"> </w:t>
      </w:r>
      <w:r w:rsidRPr="00B94CD4">
        <w:rPr>
          <w:rFonts w:ascii="Abadi" w:hAnsi="Abadi"/>
          <w:b w:val="0"/>
          <w:bCs w:val="0"/>
          <w:sz w:val="21"/>
          <w:szCs w:val="21"/>
        </w:rPr>
        <w:t>del</w:t>
      </w:r>
      <w:r w:rsidRPr="00B94CD4">
        <w:rPr>
          <w:rFonts w:ascii="Abadi" w:hAnsi="Abadi"/>
          <w:b w:val="0"/>
          <w:bCs w:val="0"/>
          <w:spacing w:val="-16"/>
          <w:sz w:val="21"/>
          <w:szCs w:val="21"/>
        </w:rPr>
        <w:t xml:space="preserve"> </w:t>
      </w:r>
      <w:r w:rsidRPr="00B94CD4">
        <w:rPr>
          <w:rFonts w:ascii="Abadi" w:hAnsi="Abadi"/>
          <w:b w:val="0"/>
          <w:bCs w:val="0"/>
          <w:sz w:val="21"/>
          <w:szCs w:val="21"/>
        </w:rPr>
        <w:t>Estado</w:t>
      </w:r>
      <w:r w:rsidRPr="00B94CD4">
        <w:rPr>
          <w:rFonts w:ascii="Abadi" w:hAnsi="Abadi"/>
          <w:b w:val="0"/>
          <w:bCs w:val="0"/>
          <w:spacing w:val="-2"/>
          <w:sz w:val="21"/>
          <w:szCs w:val="21"/>
        </w:rPr>
        <w:t xml:space="preserve"> </w:t>
      </w:r>
      <w:r w:rsidRPr="00B94CD4">
        <w:rPr>
          <w:rFonts w:ascii="Abadi" w:hAnsi="Abadi"/>
          <w:b w:val="0"/>
          <w:bCs w:val="0"/>
          <w:sz w:val="21"/>
          <w:szCs w:val="21"/>
        </w:rPr>
        <w:t>para</w:t>
      </w:r>
      <w:r w:rsidRPr="00B94CD4">
        <w:rPr>
          <w:rFonts w:ascii="Abadi" w:hAnsi="Abadi"/>
          <w:b w:val="0"/>
          <w:bCs w:val="0"/>
          <w:spacing w:val="49"/>
          <w:sz w:val="21"/>
          <w:szCs w:val="21"/>
        </w:rPr>
        <w:t xml:space="preserve"> </w:t>
      </w:r>
      <w:r w:rsidRPr="00B94CD4">
        <w:rPr>
          <w:rFonts w:ascii="Abadi" w:hAnsi="Abadi"/>
          <w:b w:val="0"/>
          <w:bCs w:val="0"/>
          <w:sz w:val="21"/>
          <w:szCs w:val="21"/>
        </w:rPr>
        <w:t>que</w:t>
      </w:r>
      <w:r w:rsidRPr="00B94CD4">
        <w:rPr>
          <w:rFonts w:ascii="Abadi" w:hAnsi="Abadi"/>
          <w:b w:val="0"/>
          <w:bCs w:val="0"/>
          <w:spacing w:val="49"/>
          <w:sz w:val="21"/>
          <w:szCs w:val="21"/>
        </w:rPr>
        <w:t xml:space="preserve"> </w:t>
      </w:r>
      <w:r w:rsidRPr="00B94CD4">
        <w:rPr>
          <w:rFonts w:ascii="Abadi" w:hAnsi="Abadi"/>
          <w:b w:val="0"/>
          <w:bCs w:val="0"/>
          <w:sz w:val="21"/>
          <w:szCs w:val="21"/>
        </w:rPr>
        <w:t>investigue</w:t>
      </w:r>
      <w:r w:rsidRPr="00B94CD4">
        <w:rPr>
          <w:rFonts w:ascii="Abadi" w:hAnsi="Abadi"/>
          <w:b w:val="0"/>
          <w:bCs w:val="0"/>
          <w:spacing w:val="49"/>
          <w:sz w:val="21"/>
          <w:szCs w:val="21"/>
        </w:rPr>
        <w:t xml:space="preserve"> </w:t>
      </w:r>
      <w:r w:rsidRPr="00B94CD4">
        <w:rPr>
          <w:rFonts w:ascii="Abadi" w:hAnsi="Abadi"/>
          <w:b w:val="0"/>
          <w:bCs w:val="0"/>
          <w:sz w:val="21"/>
          <w:szCs w:val="21"/>
        </w:rPr>
        <w:t>y</w:t>
      </w:r>
      <w:r w:rsidRPr="00B94CD4">
        <w:rPr>
          <w:rFonts w:ascii="Abadi" w:hAnsi="Abadi"/>
          <w:b w:val="0"/>
          <w:bCs w:val="0"/>
          <w:spacing w:val="50"/>
          <w:sz w:val="21"/>
          <w:szCs w:val="21"/>
        </w:rPr>
        <w:t xml:space="preserve"> </w:t>
      </w:r>
      <w:r w:rsidRPr="00B94CD4">
        <w:rPr>
          <w:rFonts w:ascii="Abadi" w:hAnsi="Abadi"/>
          <w:b w:val="0"/>
          <w:bCs w:val="0"/>
          <w:sz w:val="21"/>
          <w:szCs w:val="21"/>
        </w:rPr>
        <w:t>audite</w:t>
      </w:r>
      <w:r w:rsidRPr="00B94CD4">
        <w:rPr>
          <w:rFonts w:ascii="Abadi" w:hAnsi="Abadi"/>
          <w:b w:val="0"/>
          <w:bCs w:val="0"/>
          <w:spacing w:val="49"/>
          <w:sz w:val="21"/>
          <w:szCs w:val="21"/>
        </w:rPr>
        <w:t xml:space="preserve"> </w:t>
      </w:r>
      <w:r w:rsidRPr="00B94CD4">
        <w:rPr>
          <w:rFonts w:ascii="Abadi" w:hAnsi="Abadi"/>
          <w:b w:val="0"/>
          <w:bCs w:val="0"/>
          <w:sz w:val="21"/>
          <w:szCs w:val="21"/>
        </w:rPr>
        <w:t>la</w:t>
      </w:r>
      <w:r w:rsidRPr="00B94CD4">
        <w:rPr>
          <w:rFonts w:ascii="Abadi" w:hAnsi="Abadi"/>
          <w:b w:val="0"/>
          <w:bCs w:val="0"/>
          <w:spacing w:val="49"/>
          <w:sz w:val="21"/>
          <w:szCs w:val="21"/>
        </w:rPr>
        <w:t xml:space="preserve"> </w:t>
      </w:r>
      <w:r w:rsidRPr="00B94CD4">
        <w:rPr>
          <w:rFonts w:ascii="Abadi" w:hAnsi="Abadi"/>
          <w:b w:val="0"/>
          <w:bCs w:val="0"/>
          <w:sz w:val="21"/>
          <w:szCs w:val="21"/>
        </w:rPr>
        <w:t>falta</w:t>
      </w:r>
      <w:r w:rsidRPr="00B94CD4">
        <w:rPr>
          <w:rFonts w:ascii="Abadi" w:hAnsi="Abadi"/>
          <w:b w:val="0"/>
          <w:bCs w:val="0"/>
          <w:spacing w:val="49"/>
          <w:sz w:val="21"/>
          <w:szCs w:val="21"/>
        </w:rPr>
        <w:t xml:space="preserve"> </w:t>
      </w:r>
      <w:r w:rsidRPr="00B94CD4">
        <w:rPr>
          <w:rFonts w:ascii="Abadi" w:hAnsi="Abadi"/>
          <w:b w:val="0"/>
          <w:bCs w:val="0"/>
          <w:sz w:val="21"/>
          <w:szCs w:val="21"/>
        </w:rPr>
        <w:t>de</w:t>
      </w:r>
      <w:r w:rsidRPr="00B94CD4">
        <w:rPr>
          <w:rFonts w:ascii="Abadi" w:hAnsi="Abadi"/>
          <w:b w:val="0"/>
          <w:bCs w:val="0"/>
          <w:spacing w:val="49"/>
          <w:sz w:val="21"/>
          <w:szCs w:val="21"/>
        </w:rPr>
        <w:t xml:space="preserve"> </w:t>
      </w:r>
      <w:r w:rsidRPr="00B94CD4">
        <w:rPr>
          <w:rFonts w:ascii="Abadi" w:hAnsi="Abadi"/>
          <w:b w:val="0"/>
          <w:bCs w:val="0"/>
          <w:sz w:val="21"/>
          <w:szCs w:val="21"/>
        </w:rPr>
        <w:t>información</w:t>
      </w:r>
      <w:r w:rsidRPr="00B94CD4">
        <w:rPr>
          <w:rFonts w:ascii="Abadi" w:hAnsi="Abadi"/>
          <w:b w:val="0"/>
          <w:bCs w:val="0"/>
          <w:spacing w:val="49"/>
          <w:sz w:val="21"/>
          <w:szCs w:val="21"/>
        </w:rPr>
        <w:t xml:space="preserve"> </w:t>
      </w:r>
      <w:r w:rsidRPr="00B94CD4">
        <w:rPr>
          <w:rFonts w:ascii="Abadi" w:hAnsi="Abadi"/>
          <w:b w:val="0"/>
          <w:bCs w:val="0"/>
          <w:sz w:val="21"/>
          <w:szCs w:val="21"/>
        </w:rPr>
        <w:t>de</w:t>
      </w:r>
      <w:r w:rsidRPr="00B94CD4">
        <w:rPr>
          <w:rFonts w:ascii="Abadi" w:hAnsi="Abadi"/>
          <w:b w:val="0"/>
          <w:bCs w:val="0"/>
          <w:spacing w:val="49"/>
          <w:sz w:val="21"/>
          <w:szCs w:val="21"/>
        </w:rPr>
        <w:t xml:space="preserve"> </w:t>
      </w:r>
      <w:r w:rsidRPr="00B94CD4">
        <w:rPr>
          <w:rFonts w:ascii="Abadi" w:hAnsi="Abadi"/>
          <w:b w:val="0"/>
          <w:bCs w:val="0"/>
          <w:sz w:val="21"/>
          <w:szCs w:val="21"/>
        </w:rPr>
        <w:t>beneficiarios</w:t>
      </w:r>
      <w:r w:rsidRPr="00B94CD4">
        <w:rPr>
          <w:rFonts w:ascii="Abadi" w:hAnsi="Abadi"/>
          <w:b w:val="0"/>
          <w:bCs w:val="0"/>
          <w:spacing w:val="49"/>
          <w:sz w:val="21"/>
          <w:szCs w:val="21"/>
        </w:rPr>
        <w:t xml:space="preserve"> </w:t>
      </w:r>
      <w:r w:rsidRPr="00B94CD4">
        <w:rPr>
          <w:rFonts w:ascii="Abadi" w:hAnsi="Abadi"/>
          <w:b w:val="0"/>
          <w:bCs w:val="0"/>
          <w:sz w:val="21"/>
          <w:szCs w:val="21"/>
        </w:rPr>
        <w:t>de</w:t>
      </w:r>
      <w:r w:rsidRPr="00B94CD4">
        <w:rPr>
          <w:rFonts w:ascii="Abadi" w:hAnsi="Abadi"/>
          <w:b w:val="0"/>
          <w:bCs w:val="0"/>
          <w:spacing w:val="-2"/>
          <w:sz w:val="21"/>
          <w:szCs w:val="21"/>
        </w:rPr>
        <w:t xml:space="preserve"> </w:t>
      </w:r>
      <w:r w:rsidRPr="00B94CD4">
        <w:rPr>
          <w:rFonts w:ascii="Abadi" w:hAnsi="Abadi"/>
          <w:b w:val="0"/>
          <w:bCs w:val="0"/>
          <w:sz w:val="21"/>
          <w:szCs w:val="21"/>
        </w:rPr>
        <w:t>diversos</w:t>
      </w:r>
      <w:r w:rsidRPr="00B94CD4">
        <w:rPr>
          <w:rFonts w:ascii="Abadi" w:hAnsi="Abadi"/>
          <w:b w:val="0"/>
          <w:bCs w:val="0"/>
          <w:spacing w:val="75"/>
          <w:w w:val="150"/>
          <w:sz w:val="21"/>
          <w:szCs w:val="21"/>
        </w:rPr>
        <w:t xml:space="preserve"> </w:t>
      </w:r>
      <w:r w:rsidRPr="00B94CD4">
        <w:rPr>
          <w:rFonts w:ascii="Abadi" w:hAnsi="Abadi"/>
          <w:b w:val="0"/>
          <w:bCs w:val="0"/>
          <w:sz w:val="21"/>
          <w:szCs w:val="21"/>
        </w:rPr>
        <w:t>municipios</w:t>
      </w:r>
      <w:r w:rsidRPr="00B94CD4">
        <w:rPr>
          <w:rFonts w:ascii="Abadi" w:hAnsi="Abadi"/>
          <w:b w:val="0"/>
          <w:bCs w:val="0"/>
          <w:spacing w:val="75"/>
          <w:w w:val="150"/>
          <w:sz w:val="21"/>
          <w:szCs w:val="21"/>
        </w:rPr>
        <w:t xml:space="preserve"> </w:t>
      </w:r>
      <w:r w:rsidRPr="00B94CD4">
        <w:rPr>
          <w:rFonts w:ascii="Abadi" w:hAnsi="Abadi"/>
          <w:b w:val="0"/>
          <w:bCs w:val="0"/>
          <w:sz w:val="21"/>
          <w:szCs w:val="21"/>
        </w:rPr>
        <w:t>en</w:t>
      </w:r>
      <w:r w:rsidRPr="00B94CD4">
        <w:rPr>
          <w:rFonts w:ascii="Abadi" w:hAnsi="Abadi"/>
          <w:b w:val="0"/>
          <w:bCs w:val="0"/>
          <w:spacing w:val="75"/>
          <w:w w:val="150"/>
          <w:sz w:val="21"/>
          <w:szCs w:val="21"/>
        </w:rPr>
        <w:t xml:space="preserve"> </w:t>
      </w:r>
      <w:r w:rsidRPr="00B94CD4">
        <w:rPr>
          <w:rFonts w:ascii="Abadi" w:hAnsi="Abadi"/>
          <w:b w:val="0"/>
          <w:bCs w:val="0"/>
          <w:sz w:val="21"/>
          <w:szCs w:val="21"/>
        </w:rPr>
        <w:t>el</w:t>
      </w:r>
      <w:r w:rsidRPr="00B94CD4">
        <w:rPr>
          <w:rFonts w:ascii="Abadi" w:hAnsi="Abadi"/>
          <w:b w:val="0"/>
          <w:bCs w:val="0"/>
          <w:spacing w:val="75"/>
          <w:w w:val="150"/>
          <w:sz w:val="21"/>
          <w:szCs w:val="21"/>
        </w:rPr>
        <w:t xml:space="preserve"> </w:t>
      </w:r>
      <w:r w:rsidRPr="00B94CD4">
        <w:rPr>
          <w:rFonts w:ascii="Abadi" w:hAnsi="Abadi"/>
          <w:b w:val="0"/>
          <w:bCs w:val="0"/>
          <w:sz w:val="21"/>
          <w:szCs w:val="21"/>
        </w:rPr>
        <w:t>Padrón</w:t>
      </w:r>
      <w:r w:rsidRPr="00B94CD4">
        <w:rPr>
          <w:rFonts w:ascii="Abadi" w:hAnsi="Abadi"/>
          <w:b w:val="0"/>
          <w:bCs w:val="0"/>
          <w:spacing w:val="75"/>
          <w:w w:val="150"/>
          <w:sz w:val="21"/>
          <w:szCs w:val="21"/>
        </w:rPr>
        <w:t xml:space="preserve"> </w:t>
      </w:r>
      <w:r w:rsidRPr="00B94CD4">
        <w:rPr>
          <w:rFonts w:ascii="Abadi" w:hAnsi="Abadi"/>
          <w:b w:val="0"/>
          <w:bCs w:val="0"/>
          <w:sz w:val="21"/>
          <w:szCs w:val="21"/>
        </w:rPr>
        <w:t>Estatal</w:t>
      </w:r>
      <w:r w:rsidRPr="00B94CD4">
        <w:rPr>
          <w:rFonts w:ascii="Abadi" w:hAnsi="Abadi"/>
          <w:b w:val="0"/>
          <w:bCs w:val="0"/>
          <w:spacing w:val="75"/>
          <w:w w:val="150"/>
          <w:sz w:val="21"/>
          <w:szCs w:val="21"/>
        </w:rPr>
        <w:t xml:space="preserve"> </w:t>
      </w:r>
      <w:r w:rsidRPr="00B94CD4">
        <w:rPr>
          <w:rFonts w:ascii="Abadi" w:hAnsi="Abadi"/>
          <w:b w:val="0"/>
          <w:bCs w:val="0"/>
          <w:sz w:val="21"/>
          <w:szCs w:val="21"/>
        </w:rPr>
        <w:t>de</w:t>
      </w:r>
      <w:r w:rsidRPr="00B94CD4">
        <w:rPr>
          <w:rFonts w:ascii="Abadi" w:hAnsi="Abadi"/>
          <w:b w:val="0"/>
          <w:bCs w:val="0"/>
          <w:spacing w:val="75"/>
          <w:w w:val="150"/>
          <w:sz w:val="21"/>
          <w:szCs w:val="21"/>
        </w:rPr>
        <w:t xml:space="preserve"> </w:t>
      </w:r>
      <w:r w:rsidRPr="00B94CD4">
        <w:rPr>
          <w:rFonts w:ascii="Abadi" w:hAnsi="Abadi"/>
          <w:b w:val="0"/>
          <w:bCs w:val="0"/>
          <w:sz w:val="21"/>
          <w:szCs w:val="21"/>
        </w:rPr>
        <w:t>Beneficiarios</w:t>
      </w:r>
      <w:r w:rsidRPr="00B94CD4">
        <w:rPr>
          <w:rFonts w:ascii="Abadi" w:hAnsi="Abadi"/>
          <w:b w:val="0"/>
          <w:bCs w:val="0"/>
          <w:spacing w:val="75"/>
          <w:w w:val="150"/>
          <w:sz w:val="21"/>
          <w:szCs w:val="21"/>
        </w:rPr>
        <w:t xml:space="preserve"> </w:t>
      </w:r>
      <w:r w:rsidRPr="00B94CD4">
        <w:rPr>
          <w:rFonts w:ascii="Abadi" w:hAnsi="Abadi"/>
          <w:b w:val="0"/>
          <w:bCs w:val="0"/>
          <w:sz w:val="21"/>
          <w:szCs w:val="21"/>
        </w:rPr>
        <w:t>de</w:t>
      </w:r>
      <w:r w:rsidRPr="00B94CD4">
        <w:rPr>
          <w:rFonts w:ascii="Abadi" w:hAnsi="Abadi"/>
          <w:b w:val="0"/>
          <w:bCs w:val="0"/>
          <w:spacing w:val="75"/>
          <w:w w:val="150"/>
          <w:sz w:val="21"/>
          <w:szCs w:val="21"/>
        </w:rPr>
        <w:t xml:space="preserve"> </w:t>
      </w:r>
      <w:r w:rsidRPr="00B94CD4">
        <w:rPr>
          <w:rFonts w:ascii="Abadi" w:hAnsi="Abadi"/>
          <w:b w:val="0"/>
          <w:bCs w:val="0"/>
          <w:sz w:val="21"/>
          <w:szCs w:val="21"/>
        </w:rPr>
        <w:t>dicho</w:t>
      </w:r>
      <w:r w:rsidRPr="00B94CD4">
        <w:rPr>
          <w:rFonts w:ascii="Abadi" w:hAnsi="Abadi"/>
          <w:b w:val="0"/>
          <w:bCs w:val="0"/>
          <w:spacing w:val="-2"/>
          <w:sz w:val="21"/>
          <w:szCs w:val="21"/>
        </w:rPr>
        <w:t xml:space="preserve"> </w:t>
      </w:r>
      <w:r w:rsidRPr="00B94CD4">
        <w:rPr>
          <w:rFonts w:ascii="Abadi" w:hAnsi="Abadi"/>
          <w:b w:val="0"/>
          <w:bCs w:val="0"/>
          <w:sz w:val="21"/>
          <w:szCs w:val="21"/>
        </w:rPr>
        <w:t xml:space="preserve">Programa. </w:t>
      </w:r>
      <w:r w:rsidRPr="00B94CD4">
        <w:rPr>
          <w:rFonts w:ascii="Abadi" w:hAnsi="Abadi"/>
          <w:sz w:val="21"/>
          <w:szCs w:val="21"/>
        </w:rPr>
        <w:t>XXXI.-</w:t>
      </w:r>
      <w:r w:rsidRPr="00B94CD4">
        <w:rPr>
          <w:rFonts w:ascii="Abadi" w:hAnsi="Abadi"/>
          <w:b w:val="0"/>
          <w:bCs w:val="0"/>
          <w:sz w:val="21"/>
          <w:szCs w:val="21"/>
        </w:rPr>
        <w:t xml:space="preserve"> Discusión</w:t>
      </w:r>
      <w:r w:rsidRPr="00B94CD4">
        <w:rPr>
          <w:rFonts w:ascii="Abadi" w:hAnsi="Abadi"/>
          <w:b w:val="0"/>
          <w:bCs w:val="0"/>
          <w:spacing w:val="16"/>
          <w:sz w:val="21"/>
          <w:szCs w:val="21"/>
        </w:rPr>
        <w:t xml:space="preserve"> </w:t>
      </w:r>
      <w:r w:rsidRPr="00B94CD4">
        <w:rPr>
          <w:rFonts w:ascii="Abadi" w:hAnsi="Abadi"/>
          <w:b w:val="0"/>
          <w:bCs w:val="0"/>
          <w:sz w:val="21"/>
          <w:szCs w:val="21"/>
        </w:rPr>
        <w:t>y,</w:t>
      </w:r>
      <w:r w:rsidRPr="00B94CD4">
        <w:rPr>
          <w:rFonts w:ascii="Abadi" w:hAnsi="Abadi"/>
          <w:b w:val="0"/>
          <w:bCs w:val="0"/>
          <w:spacing w:val="15"/>
          <w:sz w:val="21"/>
          <w:szCs w:val="21"/>
        </w:rPr>
        <w:t xml:space="preserve"> </w:t>
      </w:r>
      <w:r w:rsidRPr="00B94CD4">
        <w:rPr>
          <w:rFonts w:ascii="Abadi" w:hAnsi="Abadi"/>
          <w:b w:val="0"/>
          <w:bCs w:val="0"/>
          <w:sz w:val="21"/>
          <w:szCs w:val="21"/>
        </w:rPr>
        <w:t>en</w:t>
      </w:r>
      <w:r w:rsidRPr="00B94CD4">
        <w:rPr>
          <w:rFonts w:ascii="Abadi" w:hAnsi="Abadi"/>
          <w:b w:val="0"/>
          <w:bCs w:val="0"/>
          <w:spacing w:val="16"/>
          <w:sz w:val="21"/>
          <w:szCs w:val="21"/>
        </w:rPr>
        <w:t xml:space="preserve"> </w:t>
      </w:r>
      <w:r w:rsidRPr="00B94CD4">
        <w:rPr>
          <w:rFonts w:ascii="Abadi" w:hAnsi="Abadi"/>
          <w:b w:val="0"/>
          <w:bCs w:val="0"/>
          <w:sz w:val="21"/>
          <w:szCs w:val="21"/>
        </w:rPr>
        <w:t>su</w:t>
      </w:r>
      <w:r w:rsidRPr="00B94CD4">
        <w:rPr>
          <w:rFonts w:ascii="Abadi" w:hAnsi="Abadi"/>
          <w:b w:val="0"/>
          <w:bCs w:val="0"/>
          <w:spacing w:val="15"/>
          <w:sz w:val="21"/>
          <w:szCs w:val="21"/>
        </w:rPr>
        <w:t xml:space="preserve"> </w:t>
      </w:r>
      <w:r w:rsidRPr="00B94CD4">
        <w:rPr>
          <w:rFonts w:ascii="Abadi" w:hAnsi="Abadi"/>
          <w:b w:val="0"/>
          <w:bCs w:val="0"/>
          <w:sz w:val="21"/>
          <w:szCs w:val="21"/>
        </w:rPr>
        <w:t>caso,</w:t>
      </w:r>
      <w:r w:rsidRPr="00B94CD4">
        <w:rPr>
          <w:rFonts w:ascii="Abadi" w:hAnsi="Abadi"/>
          <w:b w:val="0"/>
          <w:bCs w:val="0"/>
          <w:spacing w:val="16"/>
          <w:sz w:val="21"/>
          <w:szCs w:val="21"/>
        </w:rPr>
        <w:t xml:space="preserve"> </w:t>
      </w:r>
      <w:r w:rsidRPr="00B94CD4">
        <w:rPr>
          <w:rFonts w:ascii="Abadi" w:hAnsi="Abadi"/>
          <w:b w:val="0"/>
          <w:bCs w:val="0"/>
          <w:sz w:val="21"/>
          <w:szCs w:val="21"/>
        </w:rPr>
        <w:t>aprobación</w:t>
      </w:r>
      <w:r w:rsidRPr="00B94CD4">
        <w:rPr>
          <w:rFonts w:ascii="Abadi" w:hAnsi="Abadi"/>
          <w:b w:val="0"/>
          <w:bCs w:val="0"/>
          <w:spacing w:val="16"/>
          <w:sz w:val="21"/>
          <w:szCs w:val="21"/>
        </w:rPr>
        <w:t xml:space="preserve"> </w:t>
      </w:r>
      <w:r w:rsidRPr="00B94CD4">
        <w:rPr>
          <w:rFonts w:ascii="Abadi" w:hAnsi="Abadi"/>
          <w:b w:val="0"/>
          <w:bCs w:val="0"/>
          <w:sz w:val="21"/>
          <w:szCs w:val="21"/>
        </w:rPr>
        <w:t>del</w:t>
      </w:r>
      <w:r w:rsidRPr="00B94CD4">
        <w:rPr>
          <w:rFonts w:ascii="Abadi" w:hAnsi="Abadi"/>
          <w:b w:val="0"/>
          <w:bCs w:val="0"/>
          <w:spacing w:val="15"/>
          <w:sz w:val="21"/>
          <w:szCs w:val="21"/>
        </w:rPr>
        <w:t xml:space="preserve"> </w:t>
      </w:r>
      <w:r w:rsidRPr="00B94CD4">
        <w:rPr>
          <w:rFonts w:ascii="Abadi" w:hAnsi="Abadi"/>
          <w:b w:val="0"/>
          <w:bCs w:val="0"/>
          <w:sz w:val="21"/>
          <w:szCs w:val="21"/>
        </w:rPr>
        <w:t>dictamen</w:t>
      </w:r>
      <w:r w:rsidRPr="00B94CD4">
        <w:rPr>
          <w:rFonts w:ascii="Abadi" w:hAnsi="Abadi"/>
          <w:b w:val="0"/>
          <w:bCs w:val="0"/>
          <w:spacing w:val="16"/>
          <w:sz w:val="21"/>
          <w:szCs w:val="21"/>
        </w:rPr>
        <w:t xml:space="preserve"> </w:t>
      </w:r>
      <w:r w:rsidRPr="00B94CD4">
        <w:rPr>
          <w:rFonts w:ascii="Abadi" w:hAnsi="Abadi"/>
          <w:b w:val="0"/>
          <w:bCs w:val="0"/>
          <w:sz w:val="21"/>
          <w:szCs w:val="21"/>
        </w:rPr>
        <w:t>emitido</w:t>
      </w:r>
      <w:r w:rsidRPr="00B94CD4">
        <w:rPr>
          <w:rFonts w:ascii="Abadi" w:hAnsi="Abadi"/>
          <w:b w:val="0"/>
          <w:bCs w:val="0"/>
          <w:spacing w:val="16"/>
          <w:sz w:val="21"/>
          <w:szCs w:val="21"/>
        </w:rPr>
        <w:t xml:space="preserve"> </w:t>
      </w:r>
      <w:r w:rsidRPr="00B94CD4">
        <w:rPr>
          <w:rFonts w:ascii="Abadi" w:hAnsi="Abadi"/>
          <w:b w:val="0"/>
          <w:bCs w:val="0"/>
          <w:sz w:val="21"/>
          <w:szCs w:val="21"/>
        </w:rPr>
        <w:t>por</w:t>
      </w:r>
      <w:r w:rsidRPr="00B94CD4">
        <w:rPr>
          <w:rFonts w:ascii="Abadi" w:hAnsi="Abadi"/>
          <w:b w:val="0"/>
          <w:bCs w:val="0"/>
          <w:spacing w:val="15"/>
          <w:sz w:val="21"/>
          <w:szCs w:val="21"/>
        </w:rPr>
        <w:t xml:space="preserve"> </w:t>
      </w:r>
      <w:r w:rsidRPr="00B94CD4">
        <w:rPr>
          <w:rFonts w:ascii="Abadi" w:hAnsi="Abadi"/>
          <w:b w:val="0"/>
          <w:bCs w:val="0"/>
          <w:sz w:val="21"/>
          <w:szCs w:val="21"/>
        </w:rPr>
        <w:t>la</w:t>
      </w:r>
      <w:r w:rsidRPr="00B94CD4">
        <w:rPr>
          <w:rFonts w:ascii="Abadi" w:hAnsi="Abadi"/>
          <w:b w:val="0"/>
          <w:bCs w:val="0"/>
          <w:spacing w:val="16"/>
          <w:sz w:val="21"/>
          <w:szCs w:val="21"/>
        </w:rPr>
        <w:t xml:space="preserve"> </w:t>
      </w:r>
      <w:r w:rsidRPr="00B94CD4">
        <w:rPr>
          <w:rFonts w:ascii="Abadi" w:hAnsi="Abadi"/>
          <w:b w:val="0"/>
          <w:bCs w:val="0"/>
          <w:sz w:val="21"/>
          <w:szCs w:val="21"/>
        </w:rPr>
        <w:t>Comisión</w:t>
      </w:r>
      <w:r w:rsidRPr="00B94CD4">
        <w:rPr>
          <w:rFonts w:ascii="Abadi" w:hAnsi="Abadi"/>
          <w:b w:val="0"/>
          <w:bCs w:val="0"/>
          <w:spacing w:val="-1"/>
          <w:sz w:val="21"/>
          <w:szCs w:val="21"/>
        </w:rPr>
        <w:t xml:space="preserve"> </w:t>
      </w:r>
      <w:r w:rsidRPr="00B94CD4">
        <w:rPr>
          <w:rFonts w:ascii="Abadi" w:hAnsi="Abadi"/>
          <w:b w:val="0"/>
          <w:bCs w:val="0"/>
          <w:sz w:val="21"/>
          <w:szCs w:val="21"/>
        </w:rPr>
        <w:t>de</w:t>
      </w:r>
      <w:r w:rsidRPr="00B94CD4">
        <w:rPr>
          <w:rFonts w:ascii="Abadi" w:hAnsi="Abadi"/>
          <w:b w:val="0"/>
          <w:bCs w:val="0"/>
          <w:spacing w:val="32"/>
          <w:sz w:val="21"/>
          <w:szCs w:val="21"/>
        </w:rPr>
        <w:t xml:space="preserve"> </w:t>
      </w:r>
      <w:r w:rsidRPr="00B94CD4">
        <w:rPr>
          <w:rFonts w:ascii="Abadi" w:hAnsi="Abadi"/>
          <w:b w:val="0"/>
          <w:bCs w:val="0"/>
          <w:sz w:val="21"/>
          <w:szCs w:val="21"/>
        </w:rPr>
        <w:t>Hacienda</w:t>
      </w:r>
      <w:r w:rsidRPr="00B94CD4">
        <w:rPr>
          <w:rFonts w:ascii="Abadi" w:hAnsi="Abadi"/>
          <w:b w:val="0"/>
          <w:bCs w:val="0"/>
          <w:spacing w:val="32"/>
          <w:sz w:val="21"/>
          <w:szCs w:val="21"/>
        </w:rPr>
        <w:t xml:space="preserve"> </w:t>
      </w:r>
      <w:r w:rsidRPr="00B94CD4">
        <w:rPr>
          <w:rFonts w:ascii="Abadi" w:hAnsi="Abadi"/>
          <w:b w:val="0"/>
          <w:bCs w:val="0"/>
          <w:sz w:val="21"/>
          <w:szCs w:val="21"/>
        </w:rPr>
        <w:t>y</w:t>
      </w:r>
      <w:r w:rsidRPr="00B94CD4">
        <w:rPr>
          <w:rFonts w:ascii="Abadi" w:hAnsi="Abadi"/>
          <w:b w:val="0"/>
          <w:bCs w:val="0"/>
          <w:spacing w:val="33"/>
          <w:sz w:val="21"/>
          <w:szCs w:val="21"/>
        </w:rPr>
        <w:t xml:space="preserve"> </w:t>
      </w:r>
      <w:r w:rsidRPr="00B94CD4">
        <w:rPr>
          <w:rFonts w:ascii="Abadi" w:hAnsi="Abadi"/>
          <w:b w:val="0"/>
          <w:bCs w:val="0"/>
          <w:sz w:val="21"/>
          <w:szCs w:val="21"/>
        </w:rPr>
        <w:t>Fiscalización</w:t>
      </w:r>
      <w:r w:rsidRPr="00B94CD4">
        <w:rPr>
          <w:rFonts w:ascii="Abadi" w:hAnsi="Abadi"/>
          <w:b w:val="0"/>
          <w:bCs w:val="0"/>
          <w:spacing w:val="32"/>
          <w:sz w:val="21"/>
          <w:szCs w:val="21"/>
        </w:rPr>
        <w:t xml:space="preserve"> </w:t>
      </w:r>
      <w:r w:rsidRPr="00B94CD4">
        <w:rPr>
          <w:rFonts w:ascii="Abadi" w:hAnsi="Abadi"/>
          <w:b w:val="0"/>
          <w:bCs w:val="0"/>
          <w:sz w:val="21"/>
          <w:szCs w:val="21"/>
        </w:rPr>
        <w:t>relativo</w:t>
      </w:r>
      <w:r w:rsidRPr="00B94CD4">
        <w:rPr>
          <w:rFonts w:ascii="Abadi" w:hAnsi="Abadi"/>
          <w:b w:val="0"/>
          <w:bCs w:val="0"/>
          <w:spacing w:val="33"/>
          <w:sz w:val="21"/>
          <w:szCs w:val="21"/>
        </w:rPr>
        <w:t xml:space="preserve"> </w:t>
      </w:r>
      <w:r w:rsidRPr="00B94CD4">
        <w:rPr>
          <w:rFonts w:ascii="Abadi" w:hAnsi="Abadi"/>
          <w:b w:val="0"/>
          <w:bCs w:val="0"/>
          <w:sz w:val="21"/>
          <w:szCs w:val="21"/>
        </w:rPr>
        <w:t>a</w:t>
      </w:r>
      <w:r w:rsidRPr="00B94CD4">
        <w:rPr>
          <w:rFonts w:ascii="Abadi" w:hAnsi="Abadi"/>
          <w:b w:val="0"/>
          <w:bCs w:val="0"/>
          <w:spacing w:val="33"/>
          <w:sz w:val="21"/>
          <w:szCs w:val="21"/>
        </w:rPr>
        <w:t xml:space="preserve"> </w:t>
      </w:r>
      <w:r w:rsidRPr="00B94CD4">
        <w:rPr>
          <w:rFonts w:ascii="Abadi" w:hAnsi="Abadi"/>
          <w:b w:val="0"/>
          <w:bCs w:val="0"/>
          <w:sz w:val="21"/>
          <w:szCs w:val="21"/>
        </w:rPr>
        <w:t>la</w:t>
      </w:r>
      <w:r w:rsidRPr="00B94CD4">
        <w:rPr>
          <w:rFonts w:ascii="Abadi" w:hAnsi="Abadi"/>
          <w:b w:val="0"/>
          <w:bCs w:val="0"/>
          <w:spacing w:val="33"/>
          <w:sz w:val="21"/>
          <w:szCs w:val="21"/>
        </w:rPr>
        <w:t xml:space="preserve"> </w:t>
      </w:r>
      <w:r w:rsidRPr="00B94CD4">
        <w:rPr>
          <w:rFonts w:ascii="Abadi" w:hAnsi="Abadi"/>
          <w:b w:val="0"/>
          <w:bCs w:val="0"/>
          <w:sz w:val="21"/>
          <w:szCs w:val="21"/>
        </w:rPr>
        <w:t>propuesta</w:t>
      </w:r>
      <w:r w:rsidRPr="00B94CD4">
        <w:rPr>
          <w:rFonts w:ascii="Abadi" w:hAnsi="Abadi"/>
          <w:b w:val="0"/>
          <w:bCs w:val="0"/>
          <w:spacing w:val="32"/>
          <w:sz w:val="21"/>
          <w:szCs w:val="21"/>
        </w:rPr>
        <w:t xml:space="preserve"> </w:t>
      </w:r>
      <w:r w:rsidRPr="00B94CD4">
        <w:rPr>
          <w:rFonts w:ascii="Abadi" w:hAnsi="Abadi"/>
          <w:b w:val="0"/>
          <w:bCs w:val="0"/>
          <w:sz w:val="21"/>
          <w:szCs w:val="21"/>
        </w:rPr>
        <w:t>de</w:t>
      </w:r>
      <w:r w:rsidRPr="00B94CD4">
        <w:rPr>
          <w:rFonts w:ascii="Abadi" w:hAnsi="Abadi"/>
          <w:b w:val="0"/>
          <w:bCs w:val="0"/>
          <w:spacing w:val="32"/>
          <w:sz w:val="21"/>
          <w:szCs w:val="21"/>
        </w:rPr>
        <w:t xml:space="preserve"> </w:t>
      </w:r>
      <w:r w:rsidRPr="00B94CD4">
        <w:rPr>
          <w:rFonts w:ascii="Abadi" w:hAnsi="Abadi"/>
          <w:b w:val="0"/>
          <w:bCs w:val="0"/>
          <w:sz w:val="21"/>
          <w:szCs w:val="21"/>
        </w:rPr>
        <w:t>punto</w:t>
      </w:r>
      <w:r w:rsidRPr="00B94CD4">
        <w:rPr>
          <w:rFonts w:ascii="Abadi" w:hAnsi="Abadi"/>
          <w:b w:val="0"/>
          <w:bCs w:val="0"/>
          <w:spacing w:val="32"/>
          <w:sz w:val="21"/>
          <w:szCs w:val="21"/>
        </w:rPr>
        <w:t xml:space="preserve"> </w:t>
      </w:r>
      <w:r w:rsidRPr="00B94CD4">
        <w:rPr>
          <w:rFonts w:ascii="Abadi" w:hAnsi="Abadi"/>
          <w:b w:val="0"/>
          <w:bCs w:val="0"/>
          <w:sz w:val="21"/>
          <w:szCs w:val="21"/>
        </w:rPr>
        <w:t>de</w:t>
      </w:r>
      <w:r w:rsidRPr="00B94CD4">
        <w:rPr>
          <w:rFonts w:ascii="Abadi" w:hAnsi="Abadi"/>
          <w:b w:val="0"/>
          <w:bCs w:val="0"/>
          <w:spacing w:val="32"/>
          <w:sz w:val="21"/>
          <w:szCs w:val="21"/>
        </w:rPr>
        <w:t xml:space="preserve"> </w:t>
      </w:r>
      <w:r w:rsidRPr="00B94CD4">
        <w:rPr>
          <w:rFonts w:ascii="Abadi" w:hAnsi="Abadi"/>
          <w:b w:val="0"/>
          <w:bCs w:val="0"/>
          <w:sz w:val="21"/>
          <w:szCs w:val="21"/>
        </w:rPr>
        <w:t>acuerdo</w:t>
      </w:r>
      <w:r w:rsidRPr="00B94CD4">
        <w:rPr>
          <w:rFonts w:ascii="Abadi" w:hAnsi="Abadi"/>
          <w:b w:val="0"/>
          <w:bCs w:val="0"/>
          <w:spacing w:val="-1"/>
          <w:sz w:val="21"/>
          <w:szCs w:val="21"/>
        </w:rPr>
        <w:t xml:space="preserve"> </w:t>
      </w:r>
      <w:r w:rsidRPr="00B94CD4">
        <w:rPr>
          <w:rFonts w:ascii="Abadi" w:hAnsi="Abadi"/>
          <w:b w:val="0"/>
          <w:bCs w:val="0"/>
          <w:sz w:val="21"/>
          <w:szCs w:val="21"/>
        </w:rPr>
        <w:t>formulada</w:t>
      </w:r>
      <w:r w:rsidRPr="00B94CD4">
        <w:rPr>
          <w:rFonts w:ascii="Abadi" w:hAnsi="Abadi"/>
          <w:b w:val="0"/>
          <w:bCs w:val="0"/>
          <w:spacing w:val="-15"/>
          <w:sz w:val="21"/>
          <w:szCs w:val="21"/>
        </w:rPr>
        <w:t xml:space="preserve"> </w:t>
      </w:r>
      <w:r w:rsidRPr="00B94CD4">
        <w:rPr>
          <w:rFonts w:ascii="Abadi" w:hAnsi="Abadi"/>
          <w:b w:val="0"/>
          <w:bCs w:val="0"/>
          <w:sz w:val="21"/>
          <w:szCs w:val="21"/>
        </w:rPr>
        <w:t>por</w:t>
      </w:r>
      <w:r w:rsidRPr="00B94CD4">
        <w:rPr>
          <w:rFonts w:ascii="Abadi" w:hAnsi="Abadi"/>
          <w:b w:val="0"/>
          <w:bCs w:val="0"/>
          <w:spacing w:val="-15"/>
          <w:sz w:val="21"/>
          <w:szCs w:val="21"/>
        </w:rPr>
        <w:t xml:space="preserve"> </w:t>
      </w:r>
      <w:r w:rsidRPr="00B94CD4">
        <w:rPr>
          <w:rFonts w:ascii="Abadi" w:hAnsi="Abadi"/>
          <w:b w:val="0"/>
          <w:bCs w:val="0"/>
          <w:sz w:val="21"/>
          <w:szCs w:val="21"/>
        </w:rPr>
        <w:t>la</w:t>
      </w:r>
      <w:r w:rsidRPr="00B94CD4">
        <w:rPr>
          <w:rFonts w:ascii="Abadi" w:hAnsi="Abadi"/>
          <w:b w:val="0"/>
          <w:bCs w:val="0"/>
          <w:spacing w:val="-15"/>
          <w:sz w:val="21"/>
          <w:szCs w:val="21"/>
        </w:rPr>
        <w:t xml:space="preserve"> </w:t>
      </w:r>
      <w:r w:rsidRPr="00B94CD4">
        <w:rPr>
          <w:rFonts w:ascii="Abadi" w:hAnsi="Abadi"/>
          <w:b w:val="0"/>
          <w:bCs w:val="0"/>
          <w:sz w:val="21"/>
          <w:szCs w:val="21"/>
        </w:rPr>
        <w:t>diputada</w:t>
      </w:r>
      <w:r w:rsidRPr="00B94CD4">
        <w:rPr>
          <w:rFonts w:ascii="Abadi" w:hAnsi="Abadi"/>
          <w:b w:val="0"/>
          <w:bCs w:val="0"/>
          <w:spacing w:val="-15"/>
          <w:sz w:val="21"/>
          <w:szCs w:val="21"/>
        </w:rPr>
        <w:t xml:space="preserve"> </w:t>
      </w:r>
      <w:r w:rsidRPr="00B94CD4">
        <w:rPr>
          <w:rFonts w:ascii="Abadi" w:hAnsi="Abadi"/>
          <w:b w:val="0"/>
          <w:bCs w:val="0"/>
          <w:sz w:val="21"/>
          <w:szCs w:val="21"/>
        </w:rPr>
        <w:t>Alma</w:t>
      </w:r>
      <w:r w:rsidRPr="00B94CD4">
        <w:rPr>
          <w:rFonts w:ascii="Abadi" w:hAnsi="Abadi"/>
          <w:b w:val="0"/>
          <w:bCs w:val="0"/>
          <w:spacing w:val="-15"/>
          <w:sz w:val="21"/>
          <w:szCs w:val="21"/>
        </w:rPr>
        <w:t xml:space="preserve"> </w:t>
      </w:r>
      <w:r w:rsidRPr="00B94CD4">
        <w:rPr>
          <w:rFonts w:ascii="Abadi" w:hAnsi="Abadi"/>
          <w:b w:val="0"/>
          <w:bCs w:val="0"/>
          <w:sz w:val="21"/>
          <w:szCs w:val="21"/>
        </w:rPr>
        <w:t>Edwviges</w:t>
      </w:r>
      <w:r w:rsidRPr="00B94CD4">
        <w:rPr>
          <w:rFonts w:ascii="Abadi" w:hAnsi="Abadi"/>
          <w:b w:val="0"/>
          <w:bCs w:val="0"/>
          <w:spacing w:val="-15"/>
          <w:sz w:val="21"/>
          <w:szCs w:val="21"/>
        </w:rPr>
        <w:t xml:space="preserve"> </w:t>
      </w:r>
      <w:r w:rsidRPr="00B94CD4">
        <w:rPr>
          <w:rFonts w:ascii="Abadi" w:hAnsi="Abadi"/>
          <w:b w:val="0"/>
          <w:bCs w:val="0"/>
          <w:sz w:val="21"/>
          <w:szCs w:val="21"/>
        </w:rPr>
        <w:t>Alcaraz</w:t>
      </w:r>
      <w:r w:rsidRPr="00B94CD4">
        <w:rPr>
          <w:rFonts w:ascii="Abadi" w:hAnsi="Abadi"/>
          <w:b w:val="0"/>
          <w:bCs w:val="0"/>
          <w:spacing w:val="-15"/>
          <w:sz w:val="21"/>
          <w:szCs w:val="21"/>
        </w:rPr>
        <w:t xml:space="preserve"> </w:t>
      </w:r>
      <w:r w:rsidRPr="00B94CD4">
        <w:rPr>
          <w:rFonts w:ascii="Abadi" w:hAnsi="Abadi"/>
          <w:b w:val="0"/>
          <w:bCs w:val="0"/>
          <w:sz w:val="21"/>
          <w:szCs w:val="21"/>
        </w:rPr>
        <w:t>Hernández,</w:t>
      </w:r>
      <w:r w:rsidRPr="00B94CD4">
        <w:rPr>
          <w:rFonts w:ascii="Abadi" w:hAnsi="Abadi"/>
          <w:b w:val="0"/>
          <w:bCs w:val="0"/>
          <w:spacing w:val="-15"/>
          <w:sz w:val="21"/>
          <w:szCs w:val="21"/>
        </w:rPr>
        <w:t xml:space="preserve"> </w:t>
      </w:r>
      <w:r w:rsidRPr="00B94CD4">
        <w:rPr>
          <w:rFonts w:ascii="Abadi" w:hAnsi="Abadi"/>
          <w:b w:val="0"/>
          <w:bCs w:val="0"/>
          <w:sz w:val="21"/>
          <w:szCs w:val="21"/>
        </w:rPr>
        <w:t>integrante</w:t>
      </w:r>
      <w:r w:rsidRPr="00B94CD4">
        <w:rPr>
          <w:rFonts w:ascii="Abadi" w:hAnsi="Abadi"/>
          <w:b w:val="0"/>
          <w:bCs w:val="0"/>
          <w:spacing w:val="-14"/>
          <w:sz w:val="21"/>
          <w:szCs w:val="21"/>
        </w:rPr>
        <w:t xml:space="preserve"> </w:t>
      </w:r>
      <w:r w:rsidRPr="00B94CD4">
        <w:rPr>
          <w:rFonts w:ascii="Abadi" w:hAnsi="Abadi"/>
          <w:b w:val="0"/>
          <w:bCs w:val="0"/>
          <w:sz w:val="21"/>
          <w:szCs w:val="21"/>
        </w:rPr>
        <w:t>del</w:t>
      </w:r>
      <w:r w:rsidRPr="00B94CD4">
        <w:rPr>
          <w:rFonts w:ascii="Abadi" w:hAnsi="Abadi"/>
          <w:b w:val="0"/>
          <w:bCs w:val="0"/>
          <w:spacing w:val="-1"/>
          <w:sz w:val="21"/>
          <w:szCs w:val="21"/>
        </w:rPr>
        <w:t xml:space="preserve"> </w:t>
      </w:r>
      <w:r w:rsidRPr="00B94CD4">
        <w:rPr>
          <w:rFonts w:ascii="Abadi" w:hAnsi="Abadi"/>
          <w:b w:val="0"/>
          <w:bCs w:val="0"/>
          <w:sz w:val="21"/>
          <w:szCs w:val="21"/>
        </w:rPr>
        <w:t>Grupo</w:t>
      </w:r>
      <w:r w:rsidRPr="00B94CD4">
        <w:rPr>
          <w:rFonts w:ascii="Abadi" w:hAnsi="Abadi"/>
          <w:b w:val="0"/>
          <w:bCs w:val="0"/>
          <w:spacing w:val="12"/>
          <w:sz w:val="21"/>
          <w:szCs w:val="21"/>
        </w:rPr>
        <w:t xml:space="preserve"> </w:t>
      </w:r>
      <w:r w:rsidRPr="00B94CD4">
        <w:rPr>
          <w:rFonts w:ascii="Abadi" w:hAnsi="Abadi"/>
          <w:b w:val="0"/>
          <w:bCs w:val="0"/>
          <w:sz w:val="21"/>
          <w:szCs w:val="21"/>
        </w:rPr>
        <w:t>Parlamentario</w:t>
      </w:r>
      <w:r w:rsidRPr="00B94CD4">
        <w:rPr>
          <w:rFonts w:ascii="Abadi" w:hAnsi="Abadi"/>
          <w:b w:val="0"/>
          <w:bCs w:val="0"/>
          <w:spacing w:val="12"/>
          <w:sz w:val="21"/>
          <w:szCs w:val="21"/>
        </w:rPr>
        <w:t xml:space="preserve"> </w:t>
      </w:r>
      <w:r w:rsidRPr="00B94CD4">
        <w:rPr>
          <w:rFonts w:ascii="Abadi" w:hAnsi="Abadi"/>
          <w:b w:val="0"/>
          <w:bCs w:val="0"/>
          <w:sz w:val="21"/>
          <w:szCs w:val="21"/>
        </w:rPr>
        <w:t>del</w:t>
      </w:r>
      <w:r w:rsidRPr="00B94CD4">
        <w:rPr>
          <w:rFonts w:ascii="Abadi" w:hAnsi="Abadi"/>
          <w:b w:val="0"/>
          <w:bCs w:val="0"/>
          <w:spacing w:val="11"/>
          <w:sz w:val="21"/>
          <w:szCs w:val="21"/>
        </w:rPr>
        <w:t xml:space="preserve"> </w:t>
      </w:r>
      <w:r w:rsidRPr="00B94CD4">
        <w:rPr>
          <w:rFonts w:ascii="Abadi" w:hAnsi="Abadi"/>
          <w:b w:val="0"/>
          <w:bCs w:val="0"/>
          <w:sz w:val="21"/>
          <w:szCs w:val="21"/>
        </w:rPr>
        <w:t>Partido</w:t>
      </w:r>
      <w:r w:rsidRPr="00B94CD4">
        <w:rPr>
          <w:rFonts w:ascii="Abadi" w:hAnsi="Abadi"/>
          <w:b w:val="0"/>
          <w:bCs w:val="0"/>
          <w:spacing w:val="12"/>
          <w:sz w:val="21"/>
          <w:szCs w:val="21"/>
        </w:rPr>
        <w:t xml:space="preserve"> </w:t>
      </w:r>
      <w:r w:rsidRPr="00B94CD4">
        <w:rPr>
          <w:rFonts w:ascii="Abadi" w:hAnsi="Abadi"/>
          <w:b w:val="0"/>
          <w:bCs w:val="0"/>
          <w:sz w:val="21"/>
          <w:szCs w:val="21"/>
        </w:rPr>
        <w:t>MORENA</w:t>
      </w:r>
      <w:r w:rsidRPr="00B94CD4">
        <w:rPr>
          <w:rFonts w:ascii="Abadi" w:hAnsi="Abadi"/>
          <w:b w:val="0"/>
          <w:bCs w:val="0"/>
          <w:spacing w:val="12"/>
          <w:sz w:val="21"/>
          <w:szCs w:val="21"/>
        </w:rPr>
        <w:t xml:space="preserve"> </w:t>
      </w:r>
      <w:r w:rsidRPr="00B94CD4">
        <w:rPr>
          <w:rFonts w:ascii="Abadi" w:hAnsi="Abadi"/>
          <w:b w:val="0"/>
          <w:bCs w:val="0"/>
          <w:sz w:val="21"/>
          <w:szCs w:val="21"/>
        </w:rPr>
        <w:t>a</w:t>
      </w:r>
      <w:r w:rsidRPr="00B94CD4">
        <w:rPr>
          <w:rFonts w:ascii="Abadi" w:hAnsi="Abadi"/>
          <w:b w:val="0"/>
          <w:bCs w:val="0"/>
          <w:spacing w:val="12"/>
          <w:sz w:val="21"/>
          <w:szCs w:val="21"/>
        </w:rPr>
        <w:t xml:space="preserve"> </w:t>
      </w:r>
      <w:r w:rsidRPr="00B94CD4">
        <w:rPr>
          <w:rFonts w:ascii="Abadi" w:hAnsi="Abadi"/>
          <w:b w:val="0"/>
          <w:bCs w:val="0"/>
          <w:sz w:val="21"/>
          <w:szCs w:val="21"/>
        </w:rPr>
        <w:t>efecto</w:t>
      </w:r>
      <w:r w:rsidRPr="00B94CD4">
        <w:rPr>
          <w:rFonts w:ascii="Abadi" w:hAnsi="Abadi"/>
          <w:b w:val="0"/>
          <w:bCs w:val="0"/>
          <w:spacing w:val="12"/>
          <w:sz w:val="21"/>
          <w:szCs w:val="21"/>
        </w:rPr>
        <w:t xml:space="preserve"> </w:t>
      </w:r>
      <w:r w:rsidRPr="00B94CD4">
        <w:rPr>
          <w:rFonts w:ascii="Abadi" w:hAnsi="Abadi"/>
          <w:b w:val="0"/>
          <w:bCs w:val="0"/>
          <w:sz w:val="21"/>
          <w:szCs w:val="21"/>
        </w:rPr>
        <w:t>de</w:t>
      </w:r>
      <w:r w:rsidRPr="00B94CD4">
        <w:rPr>
          <w:rFonts w:ascii="Abadi" w:hAnsi="Abadi"/>
          <w:b w:val="0"/>
          <w:bCs w:val="0"/>
          <w:spacing w:val="12"/>
          <w:sz w:val="21"/>
          <w:szCs w:val="21"/>
        </w:rPr>
        <w:t xml:space="preserve"> </w:t>
      </w:r>
      <w:r w:rsidRPr="00B94CD4">
        <w:rPr>
          <w:rFonts w:ascii="Abadi" w:hAnsi="Abadi"/>
          <w:b w:val="0"/>
          <w:bCs w:val="0"/>
          <w:sz w:val="21"/>
          <w:szCs w:val="21"/>
        </w:rPr>
        <w:t>que</w:t>
      </w:r>
      <w:r w:rsidRPr="00B94CD4">
        <w:rPr>
          <w:rFonts w:ascii="Abadi" w:hAnsi="Abadi"/>
          <w:b w:val="0"/>
          <w:bCs w:val="0"/>
          <w:spacing w:val="12"/>
          <w:sz w:val="21"/>
          <w:szCs w:val="21"/>
        </w:rPr>
        <w:t xml:space="preserve"> </w:t>
      </w:r>
      <w:r w:rsidRPr="00B94CD4">
        <w:rPr>
          <w:rFonts w:ascii="Abadi" w:hAnsi="Abadi"/>
          <w:b w:val="0"/>
          <w:bCs w:val="0"/>
          <w:sz w:val="21"/>
          <w:szCs w:val="21"/>
        </w:rPr>
        <w:t>se</w:t>
      </w:r>
      <w:r w:rsidRPr="00B94CD4">
        <w:rPr>
          <w:rFonts w:ascii="Abadi" w:hAnsi="Abadi"/>
          <w:b w:val="0"/>
          <w:bCs w:val="0"/>
          <w:spacing w:val="12"/>
          <w:sz w:val="21"/>
          <w:szCs w:val="21"/>
        </w:rPr>
        <w:t xml:space="preserve"> </w:t>
      </w:r>
      <w:r w:rsidRPr="00B94CD4">
        <w:rPr>
          <w:rFonts w:ascii="Abadi" w:hAnsi="Abadi"/>
          <w:b w:val="0"/>
          <w:bCs w:val="0"/>
          <w:sz w:val="21"/>
          <w:szCs w:val="21"/>
        </w:rPr>
        <w:t>ordene</w:t>
      </w:r>
      <w:r w:rsidRPr="00B94CD4">
        <w:rPr>
          <w:rFonts w:ascii="Abadi" w:hAnsi="Abadi"/>
          <w:b w:val="0"/>
          <w:bCs w:val="0"/>
          <w:spacing w:val="12"/>
          <w:sz w:val="21"/>
          <w:szCs w:val="21"/>
        </w:rPr>
        <w:t xml:space="preserve"> </w:t>
      </w:r>
      <w:r w:rsidRPr="00B94CD4">
        <w:rPr>
          <w:rFonts w:ascii="Abadi" w:hAnsi="Abadi"/>
          <w:b w:val="0"/>
          <w:bCs w:val="0"/>
          <w:sz w:val="21"/>
          <w:szCs w:val="21"/>
        </w:rPr>
        <w:t>a</w:t>
      </w:r>
      <w:r w:rsidRPr="00B94CD4">
        <w:rPr>
          <w:rFonts w:ascii="Abadi" w:hAnsi="Abadi"/>
          <w:b w:val="0"/>
          <w:bCs w:val="0"/>
          <w:spacing w:val="12"/>
          <w:sz w:val="21"/>
          <w:szCs w:val="21"/>
        </w:rPr>
        <w:t xml:space="preserve"> </w:t>
      </w:r>
      <w:r w:rsidRPr="00B94CD4">
        <w:rPr>
          <w:rFonts w:ascii="Abadi" w:hAnsi="Abadi"/>
          <w:b w:val="0"/>
          <w:bCs w:val="0"/>
          <w:sz w:val="21"/>
          <w:szCs w:val="21"/>
        </w:rPr>
        <w:t>la</w:t>
      </w:r>
      <w:r w:rsidRPr="00B94CD4">
        <w:rPr>
          <w:rFonts w:ascii="Abadi" w:hAnsi="Abadi"/>
          <w:b w:val="0"/>
          <w:bCs w:val="0"/>
          <w:spacing w:val="-1"/>
          <w:sz w:val="21"/>
          <w:szCs w:val="21"/>
        </w:rPr>
        <w:t xml:space="preserve"> </w:t>
      </w:r>
      <w:r w:rsidRPr="00B94CD4">
        <w:rPr>
          <w:rFonts w:ascii="Abadi" w:hAnsi="Abadi"/>
          <w:b w:val="0"/>
          <w:bCs w:val="0"/>
          <w:sz w:val="21"/>
          <w:szCs w:val="21"/>
        </w:rPr>
        <w:t>Auditoría</w:t>
      </w:r>
      <w:r w:rsidRPr="00B94CD4">
        <w:rPr>
          <w:rFonts w:ascii="Abadi" w:hAnsi="Abadi"/>
          <w:b w:val="0"/>
          <w:bCs w:val="0"/>
          <w:spacing w:val="-5"/>
          <w:sz w:val="21"/>
          <w:szCs w:val="21"/>
        </w:rPr>
        <w:t xml:space="preserve"> </w:t>
      </w:r>
      <w:r w:rsidRPr="00B94CD4">
        <w:rPr>
          <w:rFonts w:ascii="Abadi" w:hAnsi="Abadi"/>
          <w:b w:val="0"/>
          <w:bCs w:val="0"/>
          <w:sz w:val="21"/>
          <w:szCs w:val="21"/>
        </w:rPr>
        <w:t>Superior</w:t>
      </w:r>
      <w:r w:rsidRPr="00B94CD4">
        <w:rPr>
          <w:rFonts w:ascii="Abadi" w:hAnsi="Abadi"/>
          <w:b w:val="0"/>
          <w:bCs w:val="0"/>
          <w:spacing w:val="-5"/>
          <w:sz w:val="21"/>
          <w:szCs w:val="21"/>
        </w:rPr>
        <w:t xml:space="preserve"> </w:t>
      </w:r>
      <w:r w:rsidRPr="00B94CD4">
        <w:rPr>
          <w:rFonts w:ascii="Abadi" w:hAnsi="Abadi"/>
          <w:b w:val="0"/>
          <w:bCs w:val="0"/>
          <w:sz w:val="21"/>
          <w:szCs w:val="21"/>
        </w:rPr>
        <w:t>del</w:t>
      </w:r>
      <w:r w:rsidRPr="00B94CD4">
        <w:rPr>
          <w:rFonts w:ascii="Abadi" w:hAnsi="Abadi"/>
          <w:b w:val="0"/>
          <w:bCs w:val="0"/>
          <w:spacing w:val="-5"/>
          <w:sz w:val="21"/>
          <w:szCs w:val="21"/>
        </w:rPr>
        <w:t xml:space="preserve"> </w:t>
      </w:r>
      <w:r w:rsidRPr="00B94CD4">
        <w:rPr>
          <w:rFonts w:ascii="Abadi" w:hAnsi="Abadi"/>
          <w:b w:val="0"/>
          <w:bCs w:val="0"/>
          <w:sz w:val="21"/>
          <w:szCs w:val="21"/>
        </w:rPr>
        <w:t>Estado</w:t>
      </w:r>
      <w:r w:rsidRPr="00B94CD4">
        <w:rPr>
          <w:rFonts w:ascii="Abadi" w:hAnsi="Abadi"/>
          <w:b w:val="0"/>
          <w:bCs w:val="0"/>
          <w:spacing w:val="-5"/>
          <w:sz w:val="21"/>
          <w:szCs w:val="21"/>
        </w:rPr>
        <w:t xml:space="preserve"> </w:t>
      </w:r>
      <w:r w:rsidRPr="00B94CD4">
        <w:rPr>
          <w:rFonts w:ascii="Abadi" w:hAnsi="Abadi"/>
          <w:b w:val="0"/>
          <w:bCs w:val="0"/>
          <w:sz w:val="21"/>
          <w:szCs w:val="21"/>
        </w:rPr>
        <w:t>de</w:t>
      </w:r>
      <w:r w:rsidRPr="00B94CD4">
        <w:rPr>
          <w:rFonts w:ascii="Abadi" w:hAnsi="Abadi"/>
          <w:b w:val="0"/>
          <w:bCs w:val="0"/>
          <w:spacing w:val="-5"/>
          <w:sz w:val="21"/>
          <w:szCs w:val="21"/>
        </w:rPr>
        <w:t xml:space="preserve"> </w:t>
      </w:r>
      <w:r w:rsidRPr="00B94CD4">
        <w:rPr>
          <w:rFonts w:ascii="Abadi" w:hAnsi="Abadi"/>
          <w:b w:val="0"/>
          <w:bCs w:val="0"/>
          <w:sz w:val="21"/>
          <w:szCs w:val="21"/>
        </w:rPr>
        <w:t>Guanajuato</w:t>
      </w:r>
      <w:r w:rsidRPr="00B94CD4">
        <w:rPr>
          <w:rFonts w:ascii="Abadi" w:hAnsi="Abadi"/>
          <w:b w:val="0"/>
          <w:bCs w:val="0"/>
          <w:spacing w:val="-5"/>
          <w:sz w:val="21"/>
          <w:szCs w:val="21"/>
        </w:rPr>
        <w:t xml:space="preserve"> </w:t>
      </w:r>
      <w:r w:rsidRPr="00B94CD4">
        <w:rPr>
          <w:rFonts w:ascii="Abadi" w:hAnsi="Abadi"/>
          <w:b w:val="0"/>
          <w:bCs w:val="0"/>
          <w:sz w:val="21"/>
          <w:szCs w:val="21"/>
        </w:rPr>
        <w:t>la</w:t>
      </w:r>
      <w:r w:rsidRPr="00B94CD4">
        <w:rPr>
          <w:rFonts w:ascii="Abadi" w:hAnsi="Abadi"/>
          <w:b w:val="0"/>
          <w:bCs w:val="0"/>
          <w:spacing w:val="-5"/>
          <w:sz w:val="21"/>
          <w:szCs w:val="21"/>
        </w:rPr>
        <w:t xml:space="preserve"> </w:t>
      </w:r>
      <w:r w:rsidRPr="00B94CD4">
        <w:rPr>
          <w:rFonts w:ascii="Abadi" w:hAnsi="Abadi"/>
          <w:b w:val="0"/>
          <w:bCs w:val="0"/>
          <w:sz w:val="21"/>
          <w:szCs w:val="21"/>
        </w:rPr>
        <w:t>realización</w:t>
      </w:r>
      <w:r w:rsidRPr="00B94CD4">
        <w:rPr>
          <w:rFonts w:ascii="Abadi" w:hAnsi="Abadi"/>
          <w:b w:val="0"/>
          <w:bCs w:val="0"/>
          <w:spacing w:val="-5"/>
          <w:sz w:val="21"/>
          <w:szCs w:val="21"/>
        </w:rPr>
        <w:t xml:space="preserve"> </w:t>
      </w:r>
      <w:r w:rsidRPr="00B94CD4">
        <w:rPr>
          <w:rFonts w:ascii="Abadi" w:hAnsi="Abadi"/>
          <w:b w:val="0"/>
          <w:bCs w:val="0"/>
          <w:sz w:val="21"/>
          <w:szCs w:val="21"/>
        </w:rPr>
        <w:t>de</w:t>
      </w:r>
      <w:r w:rsidRPr="00B94CD4">
        <w:rPr>
          <w:rFonts w:ascii="Abadi" w:hAnsi="Abadi"/>
          <w:b w:val="0"/>
          <w:bCs w:val="0"/>
          <w:spacing w:val="-5"/>
          <w:sz w:val="21"/>
          <w:szCs w:val="21"/>
        </w:rPr>
        <w:t xml:space="preserve"> </w:t>
      </w:r>
      <w:r w:rsidRPr="00B94CD4">
        <w:rPr>
          <w:rFonts w:ascii="Abadi" w:hAnsi="Abadi"/>
          <w:b w:val="0"/>
          <w:bCs w:val="0"/>
          <w:sz w:val="21"/>
          <w:szCs w:val="21"/>
        </w:rPr>
        <w:t>una</w:t>
      </w:r>
      <w:r w:rsidRPr="00B94CD4">
        <w:rPr>
          <w:rFonts w:ascii="Abadi" w:hAnsi="Abadi"/>
          <w:b w:val="0"/>
          <w:bCs w:val="0"/>
          <w:spacing w:val="-5"/>
          <w:sz w:val="21"/>
          <w:szCs w:val="21"/>
        </w:rPr>
        <w:t xml:space="preserve"> </w:t>
      </w:r>
      <w:r w:rsidRPr="00B94CD4">
        <w:rPr>
          <w:rFonts w:ascii="Abadi" w:hAnsi="Abadi"/>
          <w:b w:val="0"/>
          <w:bCs w:val="0"/>
          <w:sz w:val="21"/>
          <w:szCs w:val="21"/>
        </w:rPr>
        <w:t>auditoría</w:t>
      </w:r>
      <w:r w:rsidRPr="00B94CD4">
        <w:rPr>
          <w:rFonts w:ascii="Abadi" w:hAnsi="Abadi"/>
          <w:b w:val="0"/>
          <w:bCs w:val="0"/>
          <w:spacing w:val="-1"/>
          <w:sz w:val="21"/>
          <w:szCs w:val="21"/>
        </w:rPr>
        <w:t xml:space="preserve"> </w:t>
      </w:r>
      <w:r w:rsidRPr="00B94CD4">
        <w:rPr>
          <w:rFonts w:ascii="Abadi" w:hAnsi="Abadi"/>
          <w:b w:val="0"/>
          <w:bCs w:val="0"/>
          <w:sz w:val="21"/>
          <w:szCs w:val="21"/>
        </w:rPr>
        <w:t>específica</w:t>
      </w:r>
      <w:r w:rsidRPr="00B94CD4">
        <w:rPr>
          <w:rFonts w:ascii="Abadi" w:hAnsi="Abadi"/>
          <w:b w:val="0"/>
          <w:bCs w:val="0"/>
          <w:spacing w:val="14"/>
          <w:sz w:val="21"/>
          <w:szCs w:val="21"/>
        </w:rPr>
        <w:t xml:space="preserve"> </w:t>
      </w:r>
      <w:r w:rsidRPr="00B94CD4">
        <w:rPr>
          <w:rFonts w:ascii="Abadi" w:hAnsi="Abadi"/>
          <w:b w:val="0"/>
          <w:bCs w:val="0"/>
          <w:sz w:val="21"/>
          <w:szCs w:val="21"/>
        </w:rPr>
        <w:t>respecto</w:t>
      </w:r>
      <w:r w:rsidRPr="00B94CD4">
        <w:rPr>
          <w:rFonts w:ascii="Abadi" w:hAnsi="Abadi"/>
          <w:b w:val="0"/>
          <w:bCs w:val="0"/>
          <w:spacing w:val="14"/>
          <w:sz w:val="21"/>
          <w:szCs w:val="21"/>
        </w:rPr>
        <w:t xml:space="preserve"> </w:t>
      </w:r>
      <w:r w:rsidRPr="00B94CD4">
        <w:rPr>
          <w:rFonts w:ascii="Abadi" w:hAnsi="Abadi"/>
          <w:b w:val="0"/>
          <w:bCs w:val="0"/>
          <w:sz w:val="21"/>
          <w:szCs w:val="21"/>
        </w:rPr>
        <w:t>de</w:t>
      </w:r>
      <w:r w:rsidRPr="00B94CD4">
        <w:rPr>
          <w:rFonts w:ascii="Abadi" w:hAnsi="Abadi"/>
          <w:b w:val="0"/>
          <w:bCs w:val="0"/>
          <w:spacing w:val="14"/>
          <w:sz w:val="21"/>
          <w:szCs w:val="21"/>
        </w:rPr>
        <w:t xml:space="preserve"> </w:t>
      </w:r>
      <w:r w:rsidRPr="00B94CD4">
        <w:rPr>
          <w:rFonts w:ascii="Abadi" w:hAnsi="Abadi"/>
          <w:b w:val="0"/>
          <w:bCs w:val="0"/>
          <w:sz w:val="21"/>
          <w:szCs w:val="21"/>
        </w:rPr>
        <w:t>todas</w:t>
      </w:r>
      <w:r w:rsidRPr="00B94CD4">
        <w:rPr>
          <w:rFonts w:ascii="Abadi" w:hAnsi="Abadi"/>
          <w:b w:val="0"/>
          <w:bCs w:val="0"/>
          <w:spacing w:val="14"/>
          <w:sz w:val="21"/>
          <w:szCs w:val="21"/>
        </w:rPr>
        <w:t xml:space="preserve"> </w:t>
      </w:r>
      <w:r w:rsidRPr="00B94CD4">
        <w:rPr>
          <w:rFonts w:ascii="Abadi" w:hAnsi="Abadi"/>
          <w:b w:val="0"/>
          <w:bCs w:val="0"/>
          <w:sz w:val="21"/>
          <w:szCs w:val="21"/>
        </w:rPr>
        <w:t>las</w:t>
      </w:r>
      <w:r w:rsidRPr="00B94CD4">
        <w:rPr>
          <w:rFonts w:ascii="Abadi" w:hAnsi="Abadi"/>
          <w:b w:val="0"/>
          <w:bCs w:val="0"/>
          <w:spacing w:val="14"/>
          <w:sz w:val="21"/>
          <w:szCs w:val="21"/>
        </w:rPr>
        <w:t xml:space="preserve"> </w:t>
      </w:r>
      <w:r w:rsidRPr="00B94CD4">
        <w:rPr>
          <w:rFonts w:ascii="Abadi" w:hAnsi="Abadi"/>
          <w:b w:val="0"/>
          <w:bCs w:val="0"/>
          <w:sz w:val="21"/>
          <w:szCs w:val="21"/>
        </w:rPr>
        <w:t>operaciones</w:t>
      </w:r>
      <w:r w:rsidRPr="00B94CD4">
        <w:rPr>
          <w:rFonts w:ascii="Abadi" w:hAnsi="Abadi"/>
          <w:b w:val="0"/>
          <w:bCs w:val="0"/>
          <w:spacing w:val="14"/>
          <w:sz w:val="21"/>
          <w:szCs w:val="21"/>
        </w:rPr>
        <w:t xml:space="preserve"> </w:t>
      </w:r>
      <w:r w:rsidRPr="00B94CD4">
        <w:rPr>
          <w:rFonts w:ascii="Abadi" w:hAnsi="Abadi"/>
          <w:b w:val="0"/>
          <w:bCs w:val="0"/>
          <w:sz w:val="21"/>
          <w:szCs w:val="21"/>
        </w:rPr>
        <w:t>realizadas</w:t>
      </w:r>
      <w:r w:rsidRPr="00B94CD4">
        <w:rPr>
          <w:rFonts w:ascii="Abadi" w:hAnsi="Abadi"/>
          <w:b w:val="0"/>
          <w:bCs w:val="0"/>
          <w:spacing w:val="14"/>
          <w:sz w:val="21"/>
          <w:szCs w:val="21"/>
        </w:rPr>
        <w:t xml:space="preserve"> </w:t>
      </w:r>
      <w:r w:rsidRPr="00B94CD4">
        <w:rPr>
          <w:rFonts w:ascii="Abadi" w:hAnsi="Abadi"/>
          <w:b w:val="0"/>
          <w:bCs w:val="0"/>
          <w:sz w:val="21"/>
          <w:szCs w:val="21"/>
        </w:rPr>
        <w:t>por</w:t>
      </w:r>
      <w:r w:rsidRPr="00B94CD4">
        <w:rPr>
          <w:rFonts w:ascii="Abadi" w:hAnsi="Abadi"/>
          <w:b w:val="0"/>
          <w:bCs w:val="0"/>
          <w:spacing w:val="14"/>
          <w:sz w:val="21"/>
          <w:szCs w:val="21"/>
        </w:rPr>
        <w:t xml:space="preserve"> </w:t>
      </w:r>
      <w:r w:rsidRPr="00B94CD4">
        <w:rPr>
          <w:rFonts w:ascii="Abadi" w:hAnsi="Abadi"/>
          <w:b w:val="0"/>
          <w:bCs w:val="0"/>
          <w:sz w:val="21"/>
          <w:szCs w:val="21"/>
        </w:rPr>
        <w:t>el</w:t>
      </w:r>
      <w:r w:rsidRPr="00B94CD4">
        <w:rPr>
          <w:rFonts w:ascii="Abadi" w:hAnsi="Abadi"/>
          <w:b w:val="0"/>
          <w:bCs w:val="0"/>
          <w:spacing w:val="14"/>
          <w:sz w:val="21"/>
          <w:szCs w:val="21"/>
        </w:rPr>
        <w:t xml:space="preserve"> </w:t>
      </w:r>
      <w:r w:rsidRPr="00B94CD4">
        <w:rPr>
          <w:rFonts w:ascii="Abadi" w:hAnsi="Abadi"/>
          <w:b w:val="0"/>
          <w:bCs w:val="0"/>
          <w:sz w:val="21"/>
          <w:szCs w:val="21"/>
        </w:rPr>
        <w:t>Instituto</w:t>
      </w:r>
      <w:r w:rsidRPr="00B94CD4">
        <w:rPr>
          <w:rFonts w:ascii="Abadi" w:hAnsi="Abadi"/>
          <w:b w:val="0"/>
          <w:bCs w:val="0"/>
          <w:spacing w:val="14"/>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la</w:t>
      </w:r>
      <w:r w:rsidRPr="00B94CD4">
        <w:rPr>
          <w:rFonts w:ascii="Abadi" w:hAnsi="Abadi"/>
          <w:b w:val="0"/>
          <w:bCs w:val="0"/>
          <w:spacing w:val="-2"/>
          <w:sz w:val="21"/>
          <w:szCs w:val="21"/>
        </w:rPr>
        <w:t xml:space="preserve"> </w:t>
      </w:r>
      <w:r w:rsidRPr="00B94CD4">
        <w:rPr>
          <w:rFonts w:ascii="Abadi" w:hAnsi="Abadi"/>
          <w:b w:val="0"/>
          <w:bCs w:val="0"/>
          <w:sz w:val="21"/>
          <w:szCs w:val="21"/>
        </w:rPr>
        <w:t>Juventud</w:t>
      </w:r>
      <w:r w:rsidRPr="00B94CD4">
        <w:rPr>
          <w:rFonts w:ascii="Abadi" w:hAnsi="Abadi"/>
          <w:b w:val="0"/>
          <w:bCs w:val="0"/>
          <w:spacing w:val="-2"/>
          <w:sz w:val="21"/>
          <w:szCs w:val="21"/>
        </w:rPr>
        <w:t xml:space="preserve"> </w:t>
      </w:r>
      <w:r w:rsidRPr="00B94CD4">
        <w:rPr>
          <w:rFonts w:ascii="Abadi" w:hAnsi="Abadi"/>
          <w:b w:val="0"/>
          <w:bCs w:val="0"/>
          <w:sz w:val="21"/>
          <w:szCs w:val="21"/>
        </w:rPr>
        <w:t>Guanajuatense</w:t>
      </w:r>
      <w:r w:rsidRPr="00B94CD4">
        <w:rPr>
          <w:rFonts w:ascii="Abadi" w:hAnsi="Abadi"/>
          <w:b w:val="0"/>
          <w:bCs w:val="0"/>
          <w:spacing w:val="-2"/>
          <w:sz w:val="21"/>
          <w:szCs w:val="21"/>
        </w:rPr>
        <w:t xml:space="preserve"> </w:t>
      </w:r>
      <w:r w:rsidRPr="00B94CD4">
        <w:rPr>
          <w:rFonts w:ascii="Abadi" w:hAnsi="Abadi"/>
          <w:b w:val="0"/>
          <w:bCs w:val="0"/>
          <w:sz w:val="21"/>
          <w:szCs w:val="21"/>
        </w:rPr>
        <w:t>correspondientes</w:t>
      </w:r>
      <w:r w:rsidRPr="00B94CD4">
        <w:rPr>
          <w:rFonts w:ascii="Abadi" w:hAnsi="Abadi"/>
          <w:b w:val="0"/>
          <w:bCs w:val="0"/>
          <w:spacing w:val="-2"/>
          <w:sz w:val="21"/>
          <w:szCs w:val="21"/>
        </w:rPr>
        <w:t xml:space="preserve"> </w:t>
      </w:r>
      <w:r w:rsidRPr="00B94CD4">
        <w:rPr>
          <w:rFonts w:ascii="Abadi" w:hAnsi="Abadi"/>
          <w:b w:val="0"/>
          <w:bCs w:val="0"/>
          <w:sz w:val="21"/>
          <w:szCs w:val="21"/>
        </w:rPr>
        <w:t>al</w:t>
      </w:r>
      <w:r w:rsidRPr="00B94CD4">
        <w:rPr>
          <w:rFonts w:ascii="Abadi" w:hAnsi="Abadi"/>
          <w:b w:val="0"/>
          <w:bCs w:val="0"/>
          <w:spacing w:val="-2"/>
          <w:sz w:val="21"/>
          <w:szCs w:val="21"/>
        </w:rPr>
        <w:t xml:space="preserve"> </w:t>
      </w:r>
      <w:r w:rsidRPr="00B94CD4">
        <w:rPr>
          <w:rFonts w:ascii="Abadi" w:hAnsi="Abadi"/>
          <w:b w:val="0"/>
          <w:bCs w:val="0"/>
          <w:sz w:val="21"/>
          <w:szCs w:val="21"/>
        </w:rPr>
        <w:t>periodo</w:t>
      </w:r>
      <w:r w:rsidRPr="00B94CD4">
        <w:rPr>
          <w:rFonts w:ascii="Abadi" w:hAnsi="Abadi"/>
          <w:b w:val="0"/>
          <w:bCs w:val="0"/>
          <w:spacing w:val="-2"/>
          <w:sz w:val="21"/>
          <w:szCs w:val="21"/>
        </w:rPr>
        <w:t xml:space="preserve"> </w:t>
      </w:r>
      <w:r w:rsidRPr="00B94CD4">
        <w:rPr>
          <w:rFonts w:ascii="Abadi" w:hAnsi="Abadi"/>
          <w:b w:val="0"/>
          <w:bCs w:val="0"/>
          <w:sz w:val="21"/>
          <w:szCs w:val="21"/>
        </w:rPr>
        <w:t>comprendido</w:t>
      </w:r>
      <w:r w:rsidRPr="00B94CD4">
        <w:rPr>
          <w:rFonts w:ascii="Abadi" w:hAnsi="Abadi"/>
          <w:b w:val="0"/>
          <w:bCs w:val="0"/>
          <w:spacing w:val="-2"/>
          <w:sz w:val="21"/>
          <w:szCs w:val="21"/>
        </w:rPr>
        <w:t xml:space="preserve"> </w:t>
      </w:r>
      <w:r w:rsidRPr="00B94CD4">
        <w:rPr>
          <w:rFonts w:ascii="Abadi" w:hAnsi="Abadi"/>
          <w:b w:val="0"/>
          <w:bCs w:val="0"/>
          <w:sz w:val="21"/>
          <w:szCs w:val="21"/>
        </w:rPr>
        <w:t>entre</w:t>
      </w:r>
      <w:r w:rsidRPr="00B94CD4">
        <w:rPr>
          <w:rFonts w:ascii="Abadi" w:hAnsi="Abadi"/>
          <w:b w:val="0"/>
          <w:bCs w:val="0"/>
          <w:spacing w:val="-1"/>
          <w:sz w:val="21"/>
          <w:szCs w:val="21"/>
        </w:rPr>
        <w:t xml:space="preserve"> </w:t>
      </w:r>
      <w:r w:rsidRPr="00B94CD4">
        <w:rPr>
          <w:rFonts w:ascii="Abadi" w:hAnsi="Abadi"/>
          <w:b w:val="0"/>
          <w:bCs w:val="0"/>
          <w:sz w:val="21"/>
          <w:szCs w:val="21"/>
        </w:rPr>
        <w:t>los</w:t>
      </w:r>
      <w:r w:rsidRPr="00B94CD4">
        <w:rPr>
          <w:rFonts w:ascii="Abadi" w:hAnsi="Abadi"/>
          <w:b w:val="0"/>
          <w:bCs w:val="0"/>
          <w:spacing w:val="-1"/>
          <w:sz w:val="21"/>
          <w:szCs w:val="21"/>
        </w:rPr>
        <w:t xml:space="preserve"> </w:t>
      </w:r>
      <w:r w:rsidRPr="00B94CD4">
        <w:rPr>
          <w:rFonts w:ascii="Abadi" w:hAnsi="Abadi"/>
          <w:b w:val="0"/>
          <w:bCs w:val="0"/>
          <w:sz w:val="21"/>
          <w:szCs w:val="21"/>
        </w:rPr>
        <w:t>años</w:t>
      </w:r>
      <w:r w:rsidRPr="00B94CD4">
        <w:rPr>
          <w:rFonts w:ascii="Abadi" w:hAnsi="Abadi"/>
          <w:b w:val="0"/>
          <w:bCs w:val="0"/>
          <w:spacing w:val="-1"/>
          <w:sz w:val="21"/>
          <w:szCs w:val="21"/>
        </w:rPr>
        <w:t xml:space="preserve"> </w:t>
      </w:r>
      <w:r w:rsidRPr="00B94CD4">
        <w:rPr>
          <w:rFonts w:ascii="Abadi" w:hAnsi="Abadi"/>
          <w:b w:val="0"/>
          <w:bCs w:val="0"/>
          <w:sz w:val="21"/>
          <w:szCs w:val="21"/>
        </w:rPr>
        <w:t>2015</w:t>
      </w:r>
      <w:r w:rsidRPr="00B94CD4">
        <w:rPr>
          <w:rFonts w:ascii="Abadi" w:hAnsi="Abadi"/>
          <w:b w:val="0"/>
          <w:bCs w:val="0"/>
          <w:spacing w:val="-1"/>
          <w:sz w:val="21"/>
          <w:szCs w:val="21"/>
        </w:rPr>
        <w:t xml:space="preserve"> </w:t>
      </w:r>
      <w:r w:rsidRPr="00B94CD4">
        <w:rPr>
          <w:rFonts w:ascii="Abadi" w:hAnsi="Abadi"/>
          <w:b w:val="0"/>
          <w:bCs w:val="0"/>
          <w:sz w:val="21"/>
          <w:szCs w:val="21"/>
        </w:rPr>
        <w:t>al</w:t>
      </w:r>
      <w:r w:rsidRPr="00B94CD4">
        <w:rPr>
          <w:rFonts w:ascii="Abadi" w:hAnsi="Abadi"/>
          <w:b w:val="0"/>
          <w:bCs w:val="0"/>
          <w:spacing w:val="-1"/>
          <w:sz w:val="21"/>
          <w:szCs w:val="21"/>
        </w:rPr>
        <w:t xml:space="preserve"> </w:t>
      </w:r>
      <w:r w:rsidRPr="00B94CD4">
        <w:rPr>
          <w:rFonts w:ascii="Abadi" w:hAnsi="Abadi"/>
          <w:b w:val="0"/>
          <w:bCs w:val="0"/>
          <w:sz w:val="21"/>
          <w:szCs w:val="21"/>
        </w:rPr>
        <w:t xml:space="preserve">2020. </w:t>
      </w:r>
      <w:r w:rsidRPr="00812DB2">
        <w:rPr>
          <w:rFonts w:ascii="Abadi" w:hAnsi="Abadi"/>
          <w:sz w:val="21"/>
          <w:szCs w:val="21"/>
        </w:rPr>
        <w:t>XXXII.-</w:t>
      </w:r>
      <w:r w:rsidRPr="00B94CD4">
        <w:rPr>
          <w:rFonts w:ascii="Abadi" w:hAnsi="Abadi"/>
          <w:b w:val="0"/>
          <w:bCs w:val="0"/>
          <w:sz w:val="21"/>
          <w:szCs w:val="21"/>
        </w:rPr>
        <w:t xml:space="preserve"> Discusión</w:t>
      </w:r>
      <w:r w:rsidRPr="00B94CD4">
        <w:rPr>
          <w:rFonts w:ascii="Abadi" w:hAnsi="Abadi"/>
          <w:b w:val="0"/>
          <w:bCs w:val="0"/>
          <w:spacing w:val="10"/>
          <w:sz w:val="21"/>
          <w:szCs w:val="21"/>
        </w:rPr>
        <w:t xml:space="preserve"> </w:t>
      </w:r>
      <w:r w:rsidRPr="00B94CD4">
        <w:rPr>
          <w:rFonts w:ascii="Abadi" w:hAnsi="Abadi"/>
          <w:b w:val="0"/>
          <w:bCs w:val="0"/>
          <w:sz w:val="21"/>
          <w:szCs w:val="21"/>
        </w:rPr>
        <w:t>y,</w:t>
      </w:r>
      <w:r w:rsidRPr="00B94CD4">
        <w:rPr>
          <w:rFonts w:ascii="Abadi" w:hAnsi="Abadi"/>
          <w:b w:val="0"/>
          <w:bCs w:val="0"/>
          <w:spacing w:val="10"/>
          <w:sz w:val="21"/>
          <w:szCs w:val="21"/>
        </w:rPr>
        <w:t xml:space="preserve"> </w:t>
      </w:r>
      <w:r w:rsidRPr="00B94CD4">
        <w:rPr>
          <w:rFonts w:ascii="Abadi" w:hAnsi="Abadi"/>
          <w:b w:val="0"/>
          <w:bCs w:val="0"/>
          <w:sz w:val="21"/>
          <w:szCs w:val="21"/>
        </w:rPr>
        <w:t>en</w:t>
      </w:r>
      <w:r w:rsidRPr="00B94CD4">
        <w:rPr>
          <w:rFonts w:ascii="Abadi" w:hAnsi="Abadi"/>
          <w:b w:val="0"/>
          <w:bCs w:val="0"/>
          <w:spacing w:val="10"/>
          <w:sz w:val="21"/>
          <w:szCs w:val="21"/>
        </w:rPr>
        <w:t xml:space="preserve"> </w:t>
      </w:r>
      <w:r w:rsidRPr="00B94CD4">
        <w:rPr>
          <w:rFonts w:ascii="Abadi" w:hAnsi="Abadi"/>
          <w:b w:val="0"/>
          <w:bCs w:val="0"/>
          <w:sz w:val="21"/>
          <w:szCs w:val="21"/>
        </w:rPr>
        <w:t>su</w:t>
      </w:r>
      <w:r w:rsidRPr="00B94CD4">
        <w:rPr>
          <w:rFonts w:ascii="Abadi" w:hAnsi="Abadi"/>
          <w:b w:val="0"/>
          <w:bCs w:val="0"/>
          <w:spacing w:val="10"/>
          <w:sz w:val="21"/>
          <w:szCs w:val="21"/>
        </w:rPr>
        <w:t xml:space="preserve"> </w:t>
      </w:r>
      <w:r w:rsidRPr="00B94CD4">
        <w:rPr>
          <w:rFonts w:ascii="Abadi" w:hAnsi="Abadi"/>
          <w:b w:val="0"/>
          <w:bCs w:val="0"/>
          <w:sz w:val="21"/>
          <w:szCs w:val="21"/>
        </w:rPr>
        <w:t>caso,</w:t>
      </w:r>
      <w:r w:rsidRPr="00B94CD4">
        <w:rPr>
          <w:rFonts w:ascii="Abadi" w:hAnsi="Abadi"/>
          <w:b w:val="0"/>
          <w:bCs w:val="0"/>
          <w:spacing w:val="10"/>
          <w:sz w:val="21"/>
          <w:szCs w:val="21"/>
        </w:rPr>
        <w:t xml:space="preserve"> </w:t>
      </w:r>
      <w:r w:rsidRPr="00B94CD4">
        <w:rPr>
          <w:rFonts w:ascii="Abadi" w:hAnsi="Abadi"/>
          <w:b w:val="0"/>
          <w:bCs w:val="0"/>
          <w:sz w:val="21"/>
          <w:szCs w:val="21"/>
        </w:rPr>
        <w:t>aprobación</w:t>
      </w:r>
      <w:r w:rsidRPr="00B94CD4">
        <w:rPr>
          <w:rFonts w:ascii="Abadi" w:hAnsi="Abadi"/>
          <w:b w:val="0"/>
          <w:bCs w:val="0"/>
          <w:spacing w:val="10"/>
          <w:sz w:val="21"/>
          <w:szCs w:val="21"/>
        </w:rPr>
        <w:t xml:space="preserve"> </w:t>
      </w:r>
      <w:r w:rsidRPr="00B94CD4">
        <w:rPr>
          <w:rFonts w:ascii="Abadi" w:hAnsi="Abadi"/>
          <w:b w:val="0"/>
          <w:bCs w:val="0"/>
          <w:sz w:val="21"/>
          <w:szCs w:val="21"/>
        </w:rPr>
        <w:t>del</w:t>
      </w:r>
      <w:r w:rsidRPr="00B94CD4">
        <w:rPr>
          <w:rFonts w:ascii="Abadi" w:hAnsi="Abadi"/>
          <w:b w:val="0"/>
          <w:bCs w:val="0"/>
          <w:spacing w:val="10"/>
          <w:sz w:val="21"/>
          <w:szCs w:val="21"/>
        </w:rPr>
        <w:t xml:space="preserve"> </w:t>
      </w:r>
      <w:r w:rsidRPr="00B94CD4">
        <w:rPr>
          <w:rFonts w:ascii="Abadi" w:hAnsi="Abadi"/>
          <w:b w:val="0"/>
          <w:bCs w:val="0"/>
          <w:sz w:val="21"/>
          <w:szCs w:val="21"/>
        </w:rPr>
        <w:t>dictamen</w:t>
      </w:r>
      <w:r w:rsidRPr="00B94CD4">
        <w:rPr>
          <w:rFonts w:ascii="Abadi" w:hAnsi="Abadi"/>
          <w:b w:val="0"/>
          <w:bCs w:val="0"/>
          <w:spacing w:val="10"/>
          <w:sz w:val="21"/>
          <w:szCs w:val="21"/>
        </w:rPr>
        <w:t xml:space="preserve"> </w:t>
      </w:r>
      <w:r w:rsidRPr="00B94CD4">
        <w:rPr>
          <w:rFonts w:ascii="Abadi" w:hAnsi="Abadi"/>
          <w:b w:val="0"/>
          <w:bCs w:val="0"/>
          <w:sz w:val="21"/>
          <w:szCs w:val="21"/>
        </w:rPr>
        <w:t>suscrito</w:t>
      </w:r>
      <w:r w:rsidRPr="00B94CD4">
        <w:rPr>
          <w:rFonts w:ascii="Abadi" w:hAnsi="Abadi"/>
          <w:b w:val="0"/>
          <w:bCs w:val="0"/>
          <w:spacing w:val="11"/>
          <w:sz w:val="21"/>
          <w:szCs w:val="21"/>
        </w:rPr>
        <w:t xml:space="preserve"> </w:t>
      </w:r>
      <w:r w:rsidRPr="00B94CD4">
        <w:rPr>
          <w:rFonts w:ascii="Abadi" w:hAnsi="Abadi"/>
          <w:b w:val="0"/>
          <w:bCs w:val="0"/>
          <w:sz w:val="21"/>
          <w:szCs w:val="21"/>
        </w:rPr>
        <w:t>por</w:t>
      </w:r>
      <w:r w:rsidRPr="00B94CD4">
        <w:rPr>
          <w:rFonts w:ascii="Abadi" w:hAnsi="Abadi"/>
          <w:b w:val="0"/>
          <w:bCs w:val="0"/>
          <w:spacing w:val="10"/>
          <w:sz w:val="21"/>
          <w:szCs w:val="21"/>
        </w:rPr>
        <w:t xml:space="preserve"> </w:t>
      </w:r>
      <w:r w:rsidRPr="00B94CD4">
        <w:rPr>
          <w:rFonts w:ascii="Abadi" w:hAnsi="Abadi"/>
          <w:b w:val="0"/>
          <w:bCs w:val="0"/>
          <w:sz w:val="21"/>
          <w:szCs w:val="21"/>
        </w:rPr>
        <w:t>la</w:t>
      </w:r>
      <w:r w:rsidRPr="00B94CD4">
        <w:rPr>
          <w:rFonts w:ascii="Abadi" w:hAnsi="Abadi"/>
          <w:b w:val="0"/>
          <w:bCs w:val="0"/>
          <w:spacing w:val="10"/>
          <w:sz w:val="21"/>
          <w:szCs w:val="21"/>
        </w:rPr>
        <w:t xml:space="preserve"> </w:t>
      </w:r>
      <w:r w:rsidRPr="00B94CD4">
        <w:rPr>
          <w:rFonts w:ascii="Abadi" w:hAnsi="Abadi"/>
          <w:b w:val="0"/>
          <w:bCs w:val="0"/>
          <w:sz w:val="21"/>
          <w:szCs w:val="21"/>
        </w:rPr>
        <w:t>Comisión</w:t>
      </w:r>
      <w:r w:rsidRPr="00B94CD4">
        <w:rPr>
          <w:rFonts w:ascii="Abadi" w:hAnsi="Abadi"/>
          <w:b w:val="0"/>
          <w:bCs w:val="0"/>
          <w:spacing w:val="-2"/>
          <w:sz w:val="21"/>
          <w:szCs w:val="21"/>
        </w:rPr>
        <w:t xml:space="preserve"> </w:t>
      </w:r>
      <w:r w:rsidRPr="00B94CD4">
        <w:rPr>
          <w:rFonts w:ascii="Abadi" w:hAnsi="Abadi"/>
          <w:b w:val="0"/>
          <w:bCs w:val="0"/>
          <w:sz w:val="21"/>
          <w:szCs w:val="21"/>
        </w:rPr>
        <w:t>de</w:t>
      </w:r>
      <w:r w:rsidRPr="00B94CD4">
        <w:rPr>
          <w:rFonts w:ascii="Abadi" w:hAnsi="Abadi"/>
          <w:b w:val="0"/>
          <w:bCs w:val="0"/>
          <w:spacing w:val="-11"/>
          <w:sz w:val="21"/>
          <w:szCs w:val="21"/>
        </w:rPr>
        <w:t xml:space="preserve"> </w:t>
      </w:r>
      <w:r w:rsidRPr="00B94CD4">
        <w:rPr>
          <w:rFonts w:ascii="Abadi" w:hAnsi="Abadi"/>
          <w:b w:val="0"/>
          <w:bCs w:val="0"/>
          <w:sz w:val="21"/>
          <w:szCs w:val="21"/>
        </w:rPr>
        <w:t>Hacienda</w:t>
      </w:r>
      <w:r w:rsidRPr="00B94CD4">
        <w:rPr>
          <w:rFonts w:ascii="Abadi" w:hAnsi="Abadi"/>
          <w:b w:val="0"/>
          <w:bCs w:val="0"/>
          <w:spacing w:val="-11"/>
          <w:sz w:val="21"/>
          <w:szCs w:val="21"/>
        </w:rPr>
        <w:t xml:space="preserve"> </w:t>
      </w:r>
      <w:r w:rsidRPr="00B94CD4">
        <w:rPr>
          <w:rFonts w:ascii="Abadi" w:hAnsi="Abadi"/>
          <w:b w:val="0"/>
          <w:bCs w:val="0"/>
          <w:sz w:val="21"/>
          <w:szCs w:val="21"/>
        </w:rPr>
        <w:t>y</w:t>
      </w:r>
      <w:r w:rsidRPr="00B94CD4">
        <w:rPr>
          <w:rFonts w:ascii="Abadi" w:hAnsi="Abadi"/>
          <w:b w:val="0"/>
          <w:bCs w:val="0"/>
          <w:spacing w:val="-11"/>
          <w:sz w:val="21"/>
          <w:szCs w:val="21"/>
        </w:rPr>
        <w:t xml:space="preserve"> </w:t>
      </w:r>
      <w:r w:rsidRPr="00B94CD4">
        <w:rPr>
          <w:rFonts w:ascii="Abadi" w:hAnsi="Abadi"/>
          <w:b w:val="0"/>
          <w:bCs w:val="0"/>
          <w:sz w:val="21"/>
          <w:szCs w:val="21"/>
        </w:rPr>
        <w:t>Fiscalización</w:t>
      </w:r>
      <w:r w:rsidRPr="00B94CD4">
        <w:rPr>
          <w:rFonts w:ascii="Abadi" w:hAnsi="Abadi"/>
          <w:b w:val="0"/>
          <w:bCs w:val="0"/>
          <w:spacing w:val="-11"/>
          <w:sz w:val="21"/>
          <w:szCs w:val="21"/>
        </w:rPr>
        <w:t xml:space="preserve"> </w:t>
      </w:r>
      <w:r w:rsidRPr="00B94CD4">
        <w:rPr>
          <w:rFonts w:ascii="Abadi" w:hAnsi="Abadi"/>
          <w:b w:val="0"/>
          <w:bCs w:val="0"/>
          <w:sz w:val="21"/>
          <w:szCs w:val="21"/>
        </w:rPr>
        <w:t>relativo</w:t>
      </w:r>
      <w:r w:rsidRPr="00B94CD4">
        <w:rPr>
          <w:rFonts w:ascii="Abadi" w:hAnsi="Abadi"/>
          <w:b w:val="0"/>
          <w:bCs w:val="0"/>
          <w:spacing w:val="-11"/>
          <w:sz w:val="21"/>
          <w:szCs w:val="21"/>
        </w:rPr>
        <w:t xml:space="preserve"> </w:t>
      </w:r>
      <w:r w:rsidRPr="00B94CD4">
        <w:rPr>
          <w:rFonts w:ascii="Abadi" w:hAnsi="Abadi"/>
          <w:b w:val="0"/>
          <w:bCs w:val="0"/>
          <w:sz w:val="21"/>
          <w:szCs w:val="21"/>
        </w:rPr>
        <w:t>a</w:t>
      </w:r>
      <w:r w:rsidRPr="00B94CD4">
        <w:rPr>
          <w:rFonts w:ascii="Abadi" w:hAnsi="Abadi"/>
          <w:b w:val="0"/>
          <w:bCs w:val="0"/>
          <w:spacing w:val="-11"/>
          <w:sz w:val="21"/>
          <w:szCs w:val="21"/>
        </w:rPr>
        <w:t xml:space="preserve"> </w:t>
      </w:r>
      <w:r w:rsidRPr="00B94CD4">
        <w:rPr>
          <w:rFonts w:ascii="Abadi" w:hAnsi="Abadi"/>
          <w:b w:val="0"/>
          <w:bCs w:val="0"/>
          <w:sz w:val="21"/>
          <w:szCs w:val="21"/>
        </w:rPr>
        <w:t>dos</w:t>
      </w:r>
      <w:r w:rsidRPr="00B94CD4">
        <w:rPr>
          <w:rFonts w:ascii="Abadi" w:hAnsi="Abadi"/>
          <w:b w:val="0"/>
          <w:bCs w:val="0"/>
          <w:spacing w:val="-11"/>
          <w:sz w:val="21"/>
          <w:szCs w:val="21"/>
        </w:rPr>
        <w:t xml:space="preserve"> </w:t>
      </w:r>
      <w:r w:rsidRPr="00B94CD4">
        <w:rPr>
          <w:rFonts w:ascii="Abadi" w:hAnsi="Abadi"/>
          <w:b w:val="0"/>
          <w:bCs w:val="0"/>
          <w:sz w:val="21"/>
          <w:szCs w:val="21"/>
        </w:rPr>
        <w:t>propuestas</w:t>
      </w:r>
      <w:r w:rsidRPr="00B94CD4">
        <w:rPr>
          <w:rFonts w:ascii="Abadi" w:hAnsi="Abadi"/>
          <w:b w:val="0"/>
          <w:bCs w:val="0"/>
          <w:spacing w:val="-11"/>
          <w:sz w:val="21"/>
          <w:szCs w:val="21"/>
        </w:rPr>
        <w:t xml:space="preserve"> </w:t>
      </w:r>
      <w:r w:rsidRPr="00B94CD4">
        <w:rPr>
          <w:rFonts w:ascii="Abadi" w:hAnsi="Abadi"/>
          <w:b w:val="0"/>
          <w:bCs w:val="0"/>
          <w:sz w:val="21"/>
          <w:szCs w:val="21"/>
        </w:rPr>
        <w:t>de</w:t>
      </w:r>
      <w:r w:rsidRPr="00B94CD4">
        <w:rPr>
          <w:rFonts w:ascii="Abadi" w:hAnsi="Abadi"/>
          <w:b w:val="0"/>
          <w:bCs w:val="0"/>
          <w:spacing w:val="-11"/>
          <w:sz w:val="21"/>
          <w:szCs w:val="21"/>
        </w:rPr>
        <w:t xml:space="preserve"> </w:t>
      </w:r>
      <w:r w:rsidRPr="00B94CD4">
        <w:rPr>
          <w:rFonts w:ascii="Abadi" w:hAnsi="Abadi"/>
          <w:b w:val="0"/>
          <w:bCs w:val="0"/>
          <w:sz w:val="21"/>
          <w:szCs w:val="21"/>
        </w:rPr>
        <w:t>puntos</w:t>
      </w:r>
      <w:r w:rsidRPr="00B94CD4">
        <w:rPr>
          <w:rFonts w:ascii="Abadi" w:hAnsi="Abadi"/>
          <w:b w:val="0"/>
          <w:bCs w:val="0"/>
          <w:spacing w:val="-11"/>
          <w:sz w:val="21"/>
          <w:szCs w:val="21"/>
        </w:rPr>
        <w:t xml:space="preserve"> </w:t>
      </w:r>
      <w:r w:rsidRPr="00B94CD4">
        <w:rPr>
          <w:rFonts w:ascii="Abadi" w:hAnsi="Abadi"/>
          <w:b w:val="0"/>
          <w:bCs w:val="0"/>
          <w:sz w:val="21"/>
          <w:szCs w:val="21"/>
        </w:rPr>
        <w:t>de</w:t>
      </w:r>
      <w:r w:rsidRPr="00B94CD4">
        <w:rPr>
          <w:rFonts w:ascii="Abadi" w:hAnsi="Abadi"/>
          <w:b w:val="0"/>
          <w:bCs w:val="0"/>
          <w:spacing w:val="-11"/>
          <w:sz w:val="21"/>
          <w:szCs w:val="21"/>
        </w:rPr>
        <w:t xml:space="preserve"> </w:t>
      </w:r>
      <w:r w:rsidRPr="00B94CD4">
        <w:rPr>
          <w:rFonts w:ascii="Abadi" w:hAnsi="Abadi"/>
          <w:b w:val="0"/>
          <w:bCs w:val="0"/>
          <w:sz w:val="21"/>
          <w:szCs w:val="21"/>
        </w:rPr>
        <w:t>acuerdo</w:t>
      </w:r>
      <w:r w:rsidRPr="00B94CD4">
        <w:rPr>
          <w:rFonts w:ascii="Abadi" w:hAnsi="Abadi"/>
          <w:b w:val="0"/>
          <w:bCs w:val="0"/>
          <w:spacing w:val="-2"/>
          <w:sz w:val="21"/>
          <w:szCs w:val="21"/>
        </w:rPr>
        <w:t xml:space="preserve"> </w:t>
      </w:r>
      <w:r w:rsidRPr="00B94CD4">
        <w:rPr>
          <w:rFonts w:ascii="Abadi" w:hAnsi="Abadi"/>
          <w:b w:val="0"/>
          <w:bCs w:val="0"/>
          <w:sz w:val="21"/>
          <w:szCs w:val="21"/>
        </w:rPr>
        <w:t>formuladas,</w:t>
      </w:r>
      <w:r w:rsidRPr="00B94CD4">
        <w:rPr>
          <w:rFonts w:ascii="Abadi" w:hAnsi="Abadi"/>
          <w:b w:val="0"/>
          <w:bCs w:val="0"/>
          <w:spacing w:val="9"/>
          <w:sz w:val="21"/>
          <w:szCs w:val="21"/>
        </w:rPr>
        <w:t xml:space="preserve"> </w:t>
      </w:r>
      <w:r w:rsidRPr="00B94CD4">
        <w:rPr>
          <w:rFonts w:ascii="Abadi" w:hAnsi="Abadi"/>
          <w:b w:val="0"/>
          <w:bCs w:val="0"/>
          <w:sz w:val="21"/>
          <w:szCs w:val="21"/>
        </w:rPr>
        <w:t>la</w:t>
      </w:r>
      <w:r w:rsidRPr="00B94CD4">
        <w:rPr>
          <w:rFonts w:ascii="Abadi" w:hAnsi="Abadi"/>
          <w:b w:val="0"/>
          <w:bCs w:val="0"/>
          <w:spacing w:val="9"/>
          <w:sz w:val="21"/>
          <w:szCs w:val="21"/>
        </w:rPr>
        <w:t xml:space="preserve"> </w:t>
      </w:r>
      <w:r w:rsidRPr="00B94CD4">
        <w:rPr>
          <w:rFonts w:ascii="Abadi" w:hAnsi="Abadi"/>
          <w:b w:val="0"/>
          <w:bCs w:val="0"/>
          <w:sz w:val="21"/>
          <w:szCs w:val="21"/>
        </w:rPr>
        <w:t>primera,</w:t>
      </w:r>
      <w:r w:rsidRPr="00B94CD4">
        <w:rPr>
          <w:rFonts w:ascii="Abadi" w:hAnsi="Abadi"/>
          <w:b w:val="0"/>
          <w:bCs w:val="0"/>
          <w:spacing w:val="9"/>
          <w:sz w:val="21"/>
          <w:szCs w:val="21"/>
        </w:rPr>
        <w:t xml:space="preserve"> </w:t>
      </w:r>
      <w:r w:rsidRPr="00B94CD4">
        <w:rPr>
          <w:rFonts w:ascii="Abadi" w:hAnsi="Abadi"/>
          <w:b w:val="0"/>
          <w:bCs w:val="0"/>
          <w:sz w:val="21"/>
          <w:szCs w:val="21"/>
        </w:rPr>
        <w:t>por</w:t>
      </w:r>
      <w:r w:rsidRPr="00B94CD4">
        <w:rPr>
          <w:rFonts w:ascii="Abadi" w:hAnsi="Abadi"/>
          <w:b w:val="0"/>
          <w:bCs w:val="0"/>
          <w:spacing w:val="9"/>
          <w:sz w:val="21"/>
          <w:szCs w:val="21"/>
        </w:rPr>
        <w:t xml:space="preserve"> </w:t>
      </w:r>
      <w:r w:rsidRPr="00B94CD4">
        <w:rPr>
          <w:rFonts w:ascii="Abadi" w:hAnsi="Abadi"/>
          <w:b w:val="0"/>
          <w:bCs w:val="0"/>
          <w:sz w:val="21"/>
          <w:szCs w:val="21"/>
        </w:rPr>
        <w:t>la</w:t>
      </w:r>
      <w:r w:rsidRPr="00B94CD4">
        <w:rPr>
          <w:rFonts w:ascii="Abadi" w:hAnsi="Abadi"/>
          <w:b w:val="0"/>
          <w:bCs w:val="0"/>
          <w:spacing w:val="9"/>
          <w:sz w:val="21"/>
          <w:szCs w:val="21"/>
        </w:rPr>
        <w:t xml:space="preserve"> </w:t>
      </w:r>
      <w:r w:rsidRPr="00B94CD4">
        <w:rPr>
          <w:rFonts w:ascii="Abadi" w:hAnsi="Abadi"/>
          <w:b w:val="0"/>
          <w:bCs w:val="0"/>
          <w:sz w:val="21"/>
          <w:szCs w:val="21"/>
        </w:rPr>
        <w:t>diputada</w:t>
      </w:r>
      <w:r w:rsidRPr="00B94CD4">
        <w:rPr>
          <w:rFonts w:ascii="Abadi" w:hAnsi="Abadi"/>
          <w:b w:val="0"/>
          <w:bCs w:val="0"/>
          <w:spacing w:val="9"/>
          <w:sz w:val="21"/>
          <w:szCs w:val="21"/>
        </w:rPr>
        <w:t xml:space="preserve"> </w:t>
      </w:r>
      <w:r w:rsidRPr="00B94CD4">
        <w:rPr>
          <w:rFonts w:ascii="Abadi" w:hAnsi="Abadi"/>
          <w:b w:val="0"/>
          <w:bCs w:val="0"/>
          <w:sz w:val="21"/>
          <w:szCs w:val="21"/>
        </w:rPr>
        <w:t>y</w:t>
      </w:r>
      <w:r w:rsidRPr="00B94CD4">
        <w:rPr>
          <w:rFonts w:ascii="Abadi" w:hAnsi="Abadi"/>
          <w:b w:val="0"/>
          <w:bCs w:val="0"/>
          <w:spacing w:val="9"/>
          <w:sz w:val="21"/>
          <w:szCs w:val="21"/>
        </w:rPr>
        <w:t xml:space="preserve"> </w:t>
      </w:r>
      <w:r w:rsidRPr="00B94CD4">
        <w:rPr>
          <w:rFonts w:ascii="Abadi" w:hAnsi="Abadi"/>
          <w:b w:val="0"/>
          <w:bCs w:val="0"/>
          <w:sz w:val="21"/>
          <w:szCs w:val="21"/>
        </w:rPr>
        <w:t>el</w:t>
      </w:r>
      <w:r w:rsidRPr="00B94CD4">
        <w:rPr>
          <w:rFonts w:ascii="Abadi" w:hAnsi="Abadi"/>
          <w:b w:val="0"/>
          <w:bCs w:val="0"/>
          <w:spacing w:val="9"/>
          <w:sz w:val="21"/>
          <w:szCs w:val="21"/>
        </w:rPr>
        <w:t xml:space="preserve"> </w:t>
      </w:r>
      <w:r w:rsidRPr="00B94CD4">
        <w:rPr>
          <w:rFonts w:ascii="Abadi" w:hAnsi="Abadi"/>
          <w:b w:val="0"/>
          <w:bCs w:val="0"/>
          <w:sz w:val="21"/>
          <w:szCs w:val="21"/>
        </w:rPr>
        <w:t>diputado</w:t>
      </w:r>
      <w:r w:rsidRPr="00B94CD4">
        <w:rPr>
          <w:rFonts w:ascii="Abadi" w:hAnsi="Abadi"/>
          <w:b w:val="0"/>
          <w:bCs w:val="0"/>
          <w:spacing w:val="9"/>
          <w:sz w:val="21"/>
          <w:szCs w:val="21"/>
        </w:rPr>
        <w:t xml:space="preserve"> </w:t>
      </w:r>
      <w:r w:rsidRPr="00B94CD4">
        <w:rPr>
          <w:rFonts w:ascii="Abadi" w:hAnsi="Abadi"/>
          <w:b w:val="0"/>
          <w:bCs w:val="0"/>
          <w:sz w:val="21"/>
          <w:szCs w:val="21"/>
        </w:rPr>
        <w:t>integrantes</w:t>
      </w:r>
      <w:r w:rsidRPr="00B94CD4">
        <w:rPr>
          <w:rFonts w:ascii="Abadi" w:hAnsi="Abadi"/>
          <w:b w:val="0"/>
          <w:bCs w:val="0"/>
          <w:spacing w:val="9"/>
          <w:sz w:val="21"/>
          <w:szCs w:val="21"/>
        </w:rPr>
        <w:t xml:space="preserve"> </w:t>
      </w:r>
      <w:r w:rsidRPr="00B94CD4">
        <w:rPr>
          <w:rFonts w:ascii="Abadi" w:hAnsi="Abadi"/>
          <w:b w:val="0"/>
          <w:bCs w:val="0"/>
          <w:sz w:val="21"/>
          <w:szCs w:val="21"/>
        </w:rPr>
        <w:t>del</w:t>
      </w:r>
      <w:r w:rsidRPr="00B94CD4">
        <w:rPr>
          <w:rFonts w:ascii="Abadi" w:hAnsi="Abadi"/>
          <w:b w:val="0"/>
          <w:bCs w:val="0"/>
          <w:spacing w:val="9"/>
          <w:sz w:val="21"/>
          <w:szCs w:val="21"/>
        </w:rPr>
        <w:t xml:space="preserve"> </w:t>
      </w:r>
      <w:r w:rsidRPr="00B94CD4">
        <w:rPr>
          <w:rFonts w:ascii="Abadi" w:hAnsi="Abadi"/>
          <w:b w:val="0"/>
          <w:bCs w:val="0"/>
          <w:sz w:val="21"/>
          <w:szCs w:val="21"/>
        </w:rPr>
        <w:t>Grupo</w:t>
      </w:r>
      <w:r w:rsidRPr="00B94CD4">
        <w:rPr>
          <w:rFonts w:ascii="Abadi" w:hAnsi="Abadi"/>
          <w:b w:val="0"/>
          <w:bCs w:val="0"/>
          <w:spacing w:val="-2"/>
          <w:sz w:val="21"/>
          <w:szCs w:val="21"/>
        </w:rPr>
        <w:t xml:space="preserve"> </w:t>
      </w:r>
      <w:r w:rsidRPr="00B94CD4">
        <w:rPr>
          <w:rFonts w:ascii="Abadi" w:hAnsi="Abadi"/>
          <w:b w:val="0"/>
          <w:bCs w:val="0"/>
          <w:sz w:val="21"/>
          <w:szCs w:val="21"/>
        </w:rPr>
        <w:t>Parlamentario del Partido Verde Ecologista de</w:t>
      </w:r>
      <w:r w:rsidRPr="00B94CD4">
        <w:rPr>
          <w:rFonts w:ascii="Abadi" w:hAnsi="Abadi"/>
          <w:b w:val="0"/>
          <w:bCs w:val="0"/>
          <w:spacing w:val="3"/>
          <w:sz w:val="21"/>
          <w:szCs w:val="21"/>
        </w:rPr>
        <w:t xml:space="preserve"> </w:t>
      </w:r>
      <w:r w:rsidRPr="00B94CD4">
        <w:rPr>
          <w:rFonts w:ascii="Abadi" w:hAnsi="Abadi"/>
          <w:b w:val="0"/>
          <w:bCs w:val="0"/>
          <w:sz w:val="21"/>
          <w:szCs w:val="21"/>
        </w:rPr>
        <w:t>México; y la segunda, por la</w:t>
      </w:r>
      <w:r w:rsidRPr="00B94CD4">
        <w:rPr>
          <w:rFonts w:ascii="Abadi" w:hAnsi="Abadi"/>
          <w:b w:val="0"/>
          <w:bCs w:val="0"/>
          <w:spacing w:val="-2"/>
          <w:sz w:val="21"/>
          <w:szCs w:val="21"/>
        </w:rPr>
        <w:t xml:space="preserve"> </w:t>
      </w:r>
      <w:r w:rsidRPr="00B94CD4">
        <w:rPr>
          <w:rFonts w:ascii="Abadi" w:hAnsi="Abadi"/>
          <w:b w:val="0"/>
          <w:bCs w:val="0"/>
          <w:sz w:val="21"/>
          <w:szCs w:val="21"/>
        </w:rPr>
        <w:t>diputada</w:t>
      </w:r>
      <w:r w:rsidRPr="00B94CD4">
        <w:rPr>
          <w:rFonts w:ascii="Abadi" w:hAnsi="Abadi"/>
          <w:b w:val="0"/>
          <w:bCs w:val="0"/>
          <w:spacing w:val="36"/>
          <w:sz w:val="21"/>
          <w:szCs w:val="21"/>
        </w:rPr>
        <w:t xml:space="preserve">  </w:t>
      </w:r>
      <w:r w:rsidRPr="00B94CD4">
        <w:rPr>
          <w:rFonts w:ascii="Abadi" w:hAnsi="Abadi"/>
          <w:b w:val="0"/>
          <w:bCs w:val="0"/>
          <w:sz w:val="21"/>
          <w:szCs w:val="21"/>
        </w:rPr>
        <w:t>Alma</w:t>
      </w:r>
      <w:r w:rsidRPr="00B94CD4">
        <w:rPr>
          <w:rFonts w:ascii="Abadi" w:hAnsi="Abadi"/>
          <w:b w:val="0"/>
          <w:bCs w:val="0"/>
          <w:spacing w:val="36"/>
          <w:sz w:val="21"/>
          <w:szCs w:val="21"/>
        </w:rPr>
        <w:t xml:space="preserve">  </w:t>
      </w:r>
      <w:r w:rsidRPr="00B94CD4">
        <w:rPr>
          <w:rFonts w:ascii="Abadi" w:hAnsi="Abadi"/>
          <w:b w:val="0"/>
          <w:bCs w:val="0"/>
          <w:sz w:val="21"/>
          <w:szCs w:val="21"/>
        </w:rPr>
        <w:t>Edwviges</w:t>
      </w:r>
      <w:r w:rsidRPr="00B94CD4">
        <w:rPr>
          <w:rFonts w:ascii="Abadi" w:hAnsi="Abadi"/>
          <w:b w:val="0"/>
          <w:bCs w:val="0"/>
          <w:spacing w:val="36"/>
          <w:sz w:val="21"/>
          <w:szCs w:val="21"/>
        </w:rPr>
        <w:t xml:space="preserve">  </w:t>
      </w:r>
      <w:r w:rsidRPr="00B94CD4">
        <w:rPr>
          <w:rFonts w:ascii="Abadi" w:hAnsi="Abadi"/>
          <w:b w:val="0"/>
          <w:bCs w:val="0"/>
          <w:sz w:val="21"/>
          <w:szCs w:val="21"/>
        </w:rPr>
        <w:t>Alcaraz</w:t>
      </w:r>
      <w:r w:rsidRPr="00B94CD4">
        <w:rPr>
          <w:rFonts w:ascii="Abadi" w:hAnsi="Abadi"/>
          <w:b w:val="0"/>
          <w:bCs w:val="0"/>
          <w:spacing w:val="36"/>
          <w:sz w:val="21"/>
          <w:szCs w:val="21"/>
        </w:rPr>
        <w:t xml:space="preserve">  </w:t>
      </w:r>
      <w:r w:rsidRPr="00B94CD4">
        <w:rPr>
          <w:rFonts w:ascii="Abadi" w:hAnsi="Abadi"/>
          <w:b w:val="0"/>
          <w:bCs w:val="0"/>
          <w:sz w:val="21"/>
          <w:szCs w:val="21"/>
        </w:rPr>
        <w:t>Hernández,</w:t>
      </w:r>
      <w:r w:rsidRPr="00B94CD4">
        <w:rPr>
          <w:rFonts w:ascii="Abadi" w:hAnsi="Abadi"/>
          <w:b w:val="0"/>
          <w:bCs w:val="0"/>
          <w:spacing w:val="36"/>
          <w:sz w:val="21"/>
          <w:szCs w:val="21"/>
        </w:rPr>
        <w:t xml:space="preserve">  </w:t>
      </w:r>
      <w:r w:rsidRPr="00B94CD4">
        <w:rPr>
          <w:rFonts w:ascii="Abadi" w:hAnsi="Abadi"/>
          <w:b w:val="0"/>
          <w:bCs w:val="0"/>
          <w:sz w:val="21"/>
          <w:szCs w:val="21"/>
        </w:rPr>
        <w:t>integrante</w:t>
      </w:r>
      <w:r w:rsidRPr="00B94CD4">
        <w:rPr>
          <w:rFonts w:ascii="Abadi" w:hAnsi="Abadi"/>
          <w:b w:val="0"/>
          <w:bCs w:val="0"/>
          <w:spacing w:val="36"/>
          <w:sz w:val="21"/>
          <w:szCs w:val="21"/>
        </w:rPr>
        <w:t xml:space="preserve">  </w:t>
      </w:r>
      <w:r w:rsidRPr="00B94CD4">
        <w:rPr>
          <w:rFonts w:ascii="Abadi" w:hAnsi="Abadi"/>
          <w:b w:val="0"/>
          <w:bCs w:val="0"/>
          <w:sz w:val="21"/>
          <w:szCs w:val="21"/>
        </w:rPr>
        <w:t>del</w:t>
      </w:r>
      <w:r w:rsidRPr="00B94CD4">
        <w:rPr>
          <w:rFonts w:ascii="Abadi" w:hAnsi="Abadi"/>
          <w:b w:val="0"/>
          <w:bCs w:val="0"/>
          <w:spacing w:val="36"/>
          <w:sz w:val="21"/>
          <w:szCs w:val="21"/>
        </w:rPr>
        <w:t xml:space="preserve">  </w:t>
      </w:r>
      <w:r w:rsidRPr="00B94CD4">
        <w:rPr>
          <w:rFonts w:ascii="Abadi" w:hAnsi="Abadi"/>
          <w:b w:val="0"/>
          <w:bCs w:val="0"/>
          <w:sz w:val="21"/>
          <w:szCs w:val="21"/>
        </w:rPr>
        <w:t>Grupo</w:t>
      </w:r>
      <w:r w:rsidRPr="00B94CD4">
        <w:rPr>
          <w:rFonts w:ascii="Abadi" w:hAnsi="Abadi"/>
          <w:b w:val="0"/>
          <w:bCs w:val="0"/>
          <w:spacing w:val="-2"/>
          <w:sz w:val="21"/>
          <w:szCs w:val="21"/>
        </w:rPr>
        <w:t xml:space="preserve"> </w:t>
      </w:r>
      <w:r w:rsidRPr="00B94CD4">
        <w:rPr>
          <w:rFonts w:ascii="Abadi" w:hAnsi="Abadi"/>
          <w:b w:val="0"/>
          <w:bCs w:val="0"/>
          <w:sz w:val="21"/>
          <w:szCs w:val="21"/>
        </w:rPr>
        <w:t>Parlamentario</w:t>
      </w:r>
      <w:r w:rsidRPr="00B94CD4">
        <w:rPr>
          <w:rFonts w:ascii="Abadi" w:hAnsi="Abadi"/>
          <w:b w:val="0"/>
          <w:bCs w:val="0"/>
          <w:spacing w:val="34"/>
          <w:sz w:val="21"/>
          <w:szCs w:val="21"/>
        </w:rPr>
        <w:t xml:space="preserve"> </w:t>
      </w:r>
      <w:r w:rsidRPr="00B94CD4">
        <w:rPr>
          <w:rFonts w:ascii="Abadi" w:hAnsi="Abadi"/>
          <w:b w:val="0"/>
          <w:bCs w:val="0"/>
          <w:sz w:val="21"/>
          <w:szCs w:val="21"/>
        </w:rPr>
        <w:t>del</w:t>
      </w:r>
      <w:r w:rsidRPr="00B94CD4">
        <w:rPr>
          <w:rFonts w:ascii="Abadi" w:hAnsi="Abadi"/>
          <w:b w:val="0"/>
          <w:bCs w:val="0"/>
          <w:spacing w:val="34"/>
          <w:sz w:val="21"/>
          <w:szCs w:val="21"/>
        </w:rPr>
        <w:t xml:space="preserve"> </w:t>
      </w:r>
      <w:r w:rsidRPr="00B94CD4">
        <w:rPr>
          <w:rFonts w:ascii="Abadi" w:hAnsi="Abadi"/>
          <w:b w:val="0"/>
          <w:bCs w:val="0"/>
          <w:sz w:val="21"/>
          <w:szCs w:val="21"/>
        </w:rPr>
        <w:t>Partido</w:t>
      </w:r>
      <w:r w:rsidRPr="00B94CD4">
        <w:rPr>
          <w:rFonts w:ascii="Abadi" w:hAnsi="Abadi"/>
          <w:b w:val="0"/>
          <w:bCs w:val="0"/>
          <w:spacing w:val="35"/>
          <w:sz w:val="21"/>
          <w:szCs w:val="21"/>
        </w:rPr>
        <w:t xml:space="preserve"> </w:t>
      </w:r>
      <w:r w:rsidRPr="00B94CD4">
        <w:rPr>
          <w:rFonts w:ascii="Abadi" w:hAnsi="Abadi"/>
          <w:b w:val="0"/>
          <w:bCs w:val="0"/>
          <w:sz w:val="21"/>
          <w:szCs w:val="21"/>
        </w:rPr>
        <w:t>MORENA,</w:t>
      </w:r>
      <w:r w:rsidRPr="00B94CD4">
        <w:rPr>
          <w:rFonts w:ascii="Abadi" w:hAnsi="Abadi"/>
          <w:b w:val="0"/>
          <w:bCs w:val="0"/>
          <w:spacing w:val="34"/>
          <w:sz w:val="21"/>
          <w:szCs w:val="21"/>
        </w:rPr>
        <w:t xml:space="preserve"> </w:t>
      </w:r>
      <w:r w:rsidRPr="00B94CD4">
        <w:rPr>
          <w:rFonts w:ascii="Abadi" w:hAnsi="Abadi"/>
          <w:b w:val="0"/>
          <w:bCs w:val="0"/>
          <w:sz w:val="21"/>
          <w:szCs w:val="21"/>
        </w:rPr>
        <w:t>ambas</w:t>
      </w:r>
      <w:r w:rsidRPr="00B94CD4">
        <w:rPr>
          <w:rFonts w:ascii="Abadi" w:hAnsi="Abadi"/>
          <w:b w:val="0"/>
          <w:bCs w:val="0"/>
          <w:spacing w:val="34"/>
          <w:sz w:val="21"/>
          <w:szCs w:val="21"/>
        </w:rPr>
        <w:t xml:space="preserve"> </w:t>
      </w:r>
      <w:r w:rsidRPr="00B94CD4">
        <w:rPr>
          <w:rFonts w:ascii="Abadi" w:hAnsi="Abadi"/>
          <w:b w:val="0"/>
          <w:bCs w:val="0"/>
          <w:sz w:val="21"/>
          <w:szCs w:val="21"/>
        </w:rPr>
        <w:t>a</w:t>
      </w:r>
      <w:r w:rsidRPr="00B94CD4">
        <w:rPr>
          <w:rFonts w:ascii="Abadi" w:hAnsi="Abadi"/>
          <w:b w:val="0"/>
          <w:bCs w:val="0"/>
          <w:spacing w:val="34"/>
          <w:sz w:val="21"/>
          <w:szCs w:val="21"/>
        </w:rPr>
        <w:t xml:space="preserve"> </w:t>
      </w:r>
      <w:r w:rsidRPr="00B94CD4">
        <w:rPr>
          <w:rFonts w:ascii="Abadi" w:hAnsi="Abadi"/>
          <w:b w:val="0"/>
          <w:bCs w:val="0"/>
          <w:sz w:val="21"/>
          <w:szCs w:val="21"/>
        </w:rPr>
        <w:t>efecto</w:t>
      </w:r>
      <w:r w:rsidRPr="00B94CD4">
        <w:rPr>
          <w:rFonts w:ascii="Abadi" w:hAnsi="Abadi"/>
          <w:b w:val="0"/>
          <w:bCs w:val="0"/>
          <w:spacing w:val="35"/>
          <w:sz w:val="21"/>
          <w:szCs w:val="21"/>
        </w:rPr>
        <w:t xml:space="preserve"> </w:t>
      </w:r>
      <w:r w:rsidRPr="00B94CD4">
        <w:rPr>
          <w:rFonts w:ascii="Abadi" w:hAnsi="Abadi"/>
          <w:b w:val="0"/>
          <w:bCs w:val="0"/>
          <w:sz w:val="21"/>
          <w:szCs w:val="21"/>
        </w:rPr>
        <w:t>de</w:t>
      </w:r>
      <w:r w:rsidRPr="00B94CD4">
        <w:rPr>
          <w:rFonts w:ascii="Abadi" w:hAnsi="Abadi"/>
          <w:b w:val="0"/>
          <w:bCs w:val="0"/>
          <w:spacing w:val="34"/>
          <w:sz w:val="21"/>
          <w:szCs w:val="21"/>
        </w:rPr>
        <w:t xml:space="preserve"> </w:t>
      </w:r>
      <w:r w:rsidRPr="00B94CD4">
        <w:rPr>
          <w:rFonts w:ascii="Abadi" w:hAnsi="Abadi"/>
          <w:b w:val="0"/>
          <w:bCs w:val="0"/>
          <w:sz w:val="21"/>
          <w:szCs w:val="21"/>
        </w:rPr>
        <w:t>que</w:t>
      </w:r>
      <w:r w:rsidRPr="00B94CD4">
        <w:rPr>
          <w:rFonts w:ascii="Abadi" w:hAnsi="Abadi"/>
          <w:b w:val="0"/>
          <w:bCs w:val="0"/>
          <w:spacing w:val="34"/>
          <w:sz w:val="21"/>
          <w:szCs w:val="21"/>
        </w:rPr>
        <w:t xml:space="preserve"> </w:t>
      </w:r>
      <w:r w:rsidRPr="00B94CD4">
        <w:rPr>
          <w:rFonts w:ascii="Abadi" w:hAnsi="Abadi"/>
          <w:b w:val="0"/>
          <w:bCs w:val="0"/>
          <w:sz w:val="21"/>
          <w:szCs w:val="21"/>
        </w:rPr>
        <w:t>la</w:t>
      </w:r>
      <w:r w:rsidRPr="00B94CD4">
        <w:rPr>
          <w:rFonts w:ascii="Abadi" w:hAnsi="Abadi"/>
          <w:b w:val="0"/>
          <w:bCs w:val="0"/>
          <w:spacing w:val="35"/>
          <w:sz w:val="21"/>
          <w:szCs w:val="21"/>
        </w:rPr>
        <w:t xml:space="preserve"> </w:t>
      </w:r>
      <w:r w:rsidRPr="00B94CD4">
        <w:rPr>
          <w:rFonts w:ascii="Abadi" w:hAnsi="Abadi"/>
          <w:b w:val="0"/>
          <w:bCs w:val="0"/>
          <w:sz w:val="21"/>
          <w:szCs w:val="21"/>
        </w:rPr>
        <w:t>Auditoría</w:t>
      </w:r>
      <w:r w:rsidRPr="00B94CD4">
        <w:rPr>
          <w:rFonts w:ascii="Abadi" w:hAnsi="Abadi"/>
          <w:b w:val="0"/>
          <w:bCs w:val="0"/>
          <w:spacing w:val="-2"/>
          <w:sz w:val="21"/>
          <w:szCs w:val="21"/>
        </w:rPr>
        <w:t xml:space="preserve"> </w:t>
      </w:r>
      <w:r w:rsidRPr="00B94CD4">
        <w:rPr>
          <w:rFonts w:ascii="Abadi" w:hAnsi="Abadi"/>
          <w:b w:val="0"/>
          <w:bCs w:val="0"/>
          <w:sz w:val="21"/>
          <w:szCs w:val="21"/>
        </w:rPr>
        <w:t>Superior</w:t>
      </w:r>
      <w:r w:rsidRPr="00B94CD4">
        <w:rPr>
          <w:rFonts w:ascii="Abadi" w:hAnsi="Abadi"/>
          <w:b w:val="0"/>
          <w:bCs w:val="0"/>
          <w:spacing w:val="11"/>
          <w:sz w:val="21"/>
          <w:szCs w:val="21"/>
        </w:rPr>
        <w:t xml:space="preserve"> </w:t>
      </w:r>
      <w:r w:rsidRPr="00B94CD4">
        <w:rPr>
          <w:rFonts w:ascii="Abadi" w:hAnsi="Abadi"/>
          <w:b w:val="0"/>
          <w:bCs w:val="0"/>
          <w:sz w:val="21"/>
          <w:szCs w:val="21"/>
        </w:rPr>
        <w:t>del</w:t>
      </w:r>
      <w:r w:rsidRPr="00B94CD4">
        <w:rPr>
          <w:rFonts w:ascii="Abadi" w:hAnsi="Abadi"/>
          <w:b w:val="0"/>
          <w:bCs w:val="0"/>
          <w:spacing w:val="11"/>
          <w:sz w:val="21"/>
          <w:szCs w:val="21"/>
        </w:rPr>
        <w:t xml:space="preserve"> </w:t>
      </w:r>
      <w:r w:rsidRPr="00B94CD4">
        <w:rPr>
          <w:rFonts w:ascii="Abadi" w:hAnsi="Abadi"/>
          <w:b w:val="0"/>
          <w:bCs w:val="0"/>
          <w:sz w:val="21"/>
          <w:szCs w:val="21"/>
        </w:rPr>
        <w:t>Estado</w:t>
      </w:r>
      <w:r w:rsidRPr="00B94CD4">
        <w:rPr>
          <w:rFonts w:ascii="Abadi" w:hAnsi="Abadi"/>
          <w:b w:val="0"/>
          <w:bCs w:val="0"/>
          <w:spacing w:val="11"/>
          <w:sz w:val="21"/>
          <w:szCs w:val="21"/>
        </w:rPr>
        <w:t xml:space="preserve"> </w:t>
      </w:r>
      <w:r w:rsidRPr="00B94CD4">
        <w:rPr>
          <w:rFonts w:ascii="Abadi" w:hAnsi="Abadi"/>
          <w:b w:val="0"/>
          <w:bCs w:val="0"/>
          <w:sz w:val="21"/>
          <w:szCs w:val="21"/>
        </w:rPr>
        <w:t>de</w:t>
      </w:r>
      <w:r w:rsidRPr="00B94CD4">
        <w:rPr>
          <w:rFonts w:ascii="Abadi" w:hAnsi="Abadi"/>
          <w:b w:val="0"/>
          <w:bCs w:val="0"/>
          <w:spacing w:val="12"/>
          <w:sz w:val="21"/>
          <w:szCs w:val="21"/>
        </w:rPr>
        <w:t xml:space="preserve"> </w:t>
      </w:r>
      <w:r w:rsidRPr="00B94CD4">
        <w:rPr>
          <w:rFonts w:ascii="Abadi" w:hAnsi="Abadi"/>
          <w:b w:val="0"/>
          <w:bCs w:val="0"/>
          <w:sz w:val="21"/>
          <w:szCs w:val="21"/>
        </w:rPr>
        <w:t>Guanajuato</w:t>
      </w:r>
      <w:r w:rsidRPr="00B94CD4">
        <w:rPr>
          <w:rFonts w:ascii="Abadi" w:hAnsi="Abadi"/>
          <w:b w:val="0"/>
          <w:bCs w:val="0"/>
          <w:spacing w:val="12"/>
          <w:sz w:val="21"/>
          <w:szCs w:val="21"/>
        </w:rPr>
        <w:t xml:space="preserve"> </w:t>
      </w:r>
      <w:r w:rsidRPr="00B94CD4">
        <w:rPr>
          <w:rFonts w:ascii="Abadi" w:hAnsi="Abadi"/>
          <w:b w:val="0"/>
          <w:bCs w:val="0"/>
          <w:sz w:val="21"/>
          <w:szCs w:val="21"/>
        </w:rPr>
        <w:t>lleve</w:t>
      </w:r>
      <w:r w:rsidRPr="00B94CD4">
        <w:rPr>
          <w:rFonts w:ascii="Abadi" w:hAnsi="Abadi"/>
          <w:b w:val="0"/>
          <w:bCs w:val="0"/>
          <w:spacing w:val="12"/>
          <w:sz w:val="21"/>
          <w:szCs w:val="21"/>
        </w:rPr>
        <w:t xml:space="preserve"> </w:t>
      </w:r>
      <w:r w:rsidRPr="00B94CD4">
        <w:rPr>
          <w:rFonts w:ascii="Abadi" w:hAnsi="Abadi"/>
          <w:b w:val="0"/>
          <w:bCs w:val="0"/>
          <w:sz w:val="21"/>
          <w:szCs w:val="21"/>
        </w:rPr>
        <w:t>a</w:t>
      </w:r>
      <w:r w:rsidRPr="00B94CD4">
        <w:rPr>
          <w:rFonts w:ascii="Abadi" w:hAnsi="Abadi"/>
          <w:b w:val="0"/>
          <w:bCs w:val="0"/>
          <w:spacing w:val="12"/>
          <w:sz w:val="21"/>
          <w:szCs w:val="21"/>
        </w:rPr>
        <w:t xml:space="preserve"> </w:t>
      </w:r>
      <w:r w:rsidRPr="00B94CD4">
        <w:rPr>
          <w:rFonts w:ascii="Abadi" w:hAnsi="Abadi"/>
          <w:b w:val="0"/>
          <w:bCs w:val="0"/>
          <w:sz w:val="21"/>
          <w:szCs w:val="21"/>
        </w:rPr>
        <w:t>cabo</w:t>
      </w:r>
      <w:r w:rsidRPr="00B94CD4">
        <w:rPr>
          <w:rFonts w:ascii="Abadi" w:hAnsi="Abadi"/>
          <w:b w:val="0"/>
          <w:bCs w:val="0"/>
          <w:spacing w:val="12"/>
          <w:sz w:val="21"/>
          <w:szCs w:val="21"/>
        </w:rPr>
        <w:t xml:space="preserve"> </w:t>
      </w:r>
      <w:r w:rsidRPr="00B94CD4">
        <w:rPr>
          <w:rFonts w:ascii="Abadi" w:hAnsi="Abadi"/>
          <w:b w:val="0"/>
          <w:bCs w:val="0"/>
          <w:sz w:val="21"/>
          <w:szCs w:val="21"/>
        </w:rPr>
        <w:t>una</w:t>
      </w:r>
      <w:r w:rsidRPr="00B94CD4">
        <w:rPr>
          <w:rFonts w:ascii="Abadi" w:hAnsi="Abadi"/>
          <w:b w:val="0"/>
          <w:bCs w:val="0"/>
          <w:spacing w:val="12"/>
          <w:sz w:val="21"/>
          <w:szCs w:val="21"/>
        </w:rPr>
        <w:t xml:space="preserve"> </w:t>
      </w:r>
      <w:r w:rsidRPr="00B94CD4">
        <w:rPr>
          <w:rFonts w:ascii="Abadi" w:hAnsi="Abadi"/>
          <w:b w:val="0"/>
          <w:bCs w:val="0"/>
          <w:sz w:val="21"/>
          <w:szCs w:val="21"/>
        </w:rPr>
        <w:t>auditoría</w:t>
      </w:r>
      <w:r w:rsidRPr="00B94CD4">
        <w:rPr>
          <w:rFonts w:ascii="Abadi" w:hAnsi="Abadi"/>
          <w:b w:val="0"/>
          <w:bCs w:val="0"/>
          <w:spacing w:val="12"/>
          <w:sz w:val="21"/>
          <w:szCs w:val="21"/>
        </w:rPr>
        <w:t xml:space="preserve"> </w:t>
      </w:r>
      <w:r w:rsidRPr="00B94CD4">
        <w:rPr>
          <w:rFonts w:ascii="Abadi" w:hAnsi="Abadi"/>
          <w:b w:val="0"/>
          <w:bCs w:val="0"/>
          <w:sz w:val="21"/>
          <w:szCs w:val="21"/>
        </w:rPr>
        <w:t>integral</w:t>
      </w:r>
      <w:r w:rsidRPr="00B94CD4">
        <w:rPr>
          <w:rFonts w:ascii="Abadi" w:hAnsi="Abadi"/>
          <w:b w:val="0"/>
          <w:bCs w:val="0"/>
          <w:spacing w:val="11"/>
          <w:sz w:val="21"/>
          <w:szCs w:val="21"/>
        </w:rPr>
        <w:t xml:space="preserve"> </w:t>
      </w:r>
      <w:r w:rsidRPr="00B94CD4">
        <w:rPr>
          <w:rFonts w:ascii="Abadi" w:hAnsi="Abadi"/>
          <w:b w:val="0"/>
          <w:bCs w:val="0"/>
          <w:sz w:val="21"/>
          <w:szCs w:val="21"/>
        </w:rPr>
        <w:t>a</w:t>
      </w:r>
      <w:r w:rsidRPr="00B94CD4">
        <w:rPr>
          <w:rFonts w:ascii="Abadi" w:hAnsi="Abadi"/>
          <w:b w:val="0"/>
          <w:bCs w:val="0"/>
          <w:spacing w:val="12"/>
          <w:sz w:val="21"/>
          <w:szCs w:val="21"/>
        </w:rPr>
        <w:t xml:space="preserve"> </w:t>
      </w:r>
      <w:r w:rsidRPr="00B94CD4">
        <w:rPr>
          <w:rFonts w:ascii="Abadi" w:hAnsi="Abadi"/>
          <w:b w:val="0"/>
          <w:bCs w:val="0"/>
          <w:sz w:val="21"/>
          <w:szCs w:val="21"/>
        </w:rPr>
        <w:t>la</w:t>
      </w:r>
      <w:r w:rsidRPr="00B94CD4">
        <w:rPr>
          <w:rFonts w:ascii="Abadi" w:hAnsi="Abadi"/>
          <w:b w:val="0"/>
          <w:bCs w:val="0"/>
          <w:spacing w:val="-2"/>
          <w:sz w:val="21"/>
          <w:szCs w:val="21"/>
        </w:rPr>
        <w:t xml:space="preserve"> </w:t>
      </w:r>
      <w:r w:rsidRPr="00B94CD4">
        <w:rPr>
          <w:rFonts w:ascii="Abadi" w:hAnsi="Abadi"/>
          <w:b w:val="0"/>
          <w:bCs w:val="0"/>
          <w:sz w:val="21"/>
          <w:szCs w:val="21"/>
        </w:rPr>
        <w:t>administración</w:t>
      </w:r>
      <w:r w:rsidRPr="00B94CD4">
        <w:rPr>
          <w:rFonts w:ascii="Abadi" w:hAnsi="Abadi"/>
          <w:b w:val="0"/>
          <w:bCs w:val="0"/>
          <w:spacing w:val="24"/>
          <w:sz w:val="21"/>
          <w:szCs w:val="21"/>
        </w:rPr>
        <w:t xml:space="preserve"> </w:t>
      </w:r>
      <w:r w:rsidRPr="00B94CD4">
        <w:rPr>
          <w:rFonts w:ascii="Abadi" w:hAnsi="Abadi"/>
          <w:b w:val="0"/>
          <w:bCs w:val="0"/>
          <w:sz w:val="21"/>
          <w:szCs w:val="21"/>
        </w:rPr>
        <w:t>pública</w:t>
      </w:r>
      <w:r w:rsidRPr="00B94CD4">
        <w:rPr>
          <w:rFonts w:ascii="Abadi" w:hAnsi="Abadi"/>
          <w:b w:val="0"/>
          <w:bCs w:val="0"/>
          <w:spacing w:val="24"/>
          <w:sz w:val="21"/>
          <w:szCs w:val="21"/>
        </w:rPr>
        <w:t xml:space="preserve"> </w:t>
      </w:r>
      <w:r w:rsidRPr="00B94CD4">
        <w:rPr>
          <w:rFonts w:ascii="Abadi" w:hAnsi="Abadi"/>
          <w:b w:val="0"/>
          <w:bCs w:val="0"/>
          <w:sz w:val="21"/>
          <w:szCs w:val="21"/>
        </w:rPr>
        <w:t>municipal</w:t>
      </w:r>
      <w:r w:rsidRPr="00B94CD4">
        <w:rPr>
          <w:rFonts w:ascii="Abadi" w:hAnsi="Abadi"/>
          <w:b w:val="0"/>
          <w:bCs w:val="0"/>
          <w:spacing w:val="24"/>
          <w:sz w:val="21"/>
          <w:szCs w:val="21"/>
        </w:rPr>
        <w:t xml:space="preserve"> </w:t>
      </w:r>
      <w:r w:rsidRPr="00B94CD4">
        <w:rPr>
          <w:rFonts w:ascii="Abadi" w:hAnsi="Abadi"/>
          <w:b w:val="0"/>
          <w:bCs w:val="0"/>
          <w:sz w:val="21"/>
          <w:szCs w:val="21"/>
        </w:rPr>
        <w:t>de</w:t>
      </w:r>
      <w:r w:rsidRPr="00B94CD4">
        <w:rPr>
          <w:rFonts w:ascii="Abadi" w:hAnsi="Abadi"/>
          <w:b w:val="0"/>
          <w:bCs w:val="0"/>
          <w:spacing w:val="24"/>
          <w:sz w:val="21"/>
          <w:szCs w:val="21"/>
        </w:rPr>
        <w:t xml:space="preserve"> </w:t>
      </w:r>
      <w:r w:rsidRPr="00B94CD4">
        <w:rPr>
          <w:rFonts w:ascii="Abadi" w:hAnsi="Abadi"/>
          <w:b w:val="0"/>
          <w:bCs w:val="0"/>
          <w:sz w:val="21"/>
          <w:szCs w:val="21"/>
        </w:rPr>
        <w:t>León,</w:t>
      </w:r>
      <w:r w:rsidRPr="00B94CD4">
        <w:rPr>
          <w:rFonts w:ascii="Abadi" w:hAnsi="Abadi"/>
          <w:b w:val="0"/>
          <w:bCs w:val="0"/>
          <w:spacing w:val="24"/>
          <w:sz w:val="21"/>
          <w:szCs w:val="21"/>
        </w:rPr>
        <w:t xml:space="preserve"> </w:t>
      </w:r>
      <w:r w:rsidRPr="00B94CD4">
        <w:rPr>
          <w:rFonts w:ascii="Abadi" w:hAnsi="Abadi"/>
          <w:b w:val="0"/>
          <w:bCs w:val="0"/>
          <w:sz w:val="21"/>
          <w:szCs w:val="21"/>
        </w:rPr>
        <w:t>Gto.,</w:t>
      </w:r>
      <w:r w:rsidRPr="00B94CD4">
        <w:rPr>
          <w:rFonts w:ascii="Abadi" w:hAnsi="Abadi"/>
          <w:b w:val="0"/>
          <w:bCs w:val="0"/>
          <w:spacing w:val="24"/>
          <w:sz w:val="21"/>
          <w:szCs w:val="21"/>
        </w:rPr>
        <w:t xml:space="preserve"> </w:t>
      </w:r>
      <w:r w:rsidRPr="00B94CD4">
        <w:rPr>
          <w:rFonts w:ascii="Abadi" w:hAnsi="Abadi"/>
          <w:b w:val="0"/>
          <w:bCs w:val="0"/>
          <w:sz w:val="21"/>
          <w:szCs w:val="21"/>
        </w:rPr>
        <w:t>la</w:t>
      </w:r>
      <w:r w:rsidRPr="00B94CD4">
        <w:rPr>
          <w:rFonts w:ascii="Abadi" w:hAnsi="Abadi"/>
          <w:b w:val="0"/>
          <w:bCs w:val="0"/>
          <w:spacing w:val="24"/>
          <w:sz w:val="21"/>
          <w:szCs w:val="21"/>
        </w:rPr>
        <w:t xml:space="preserve"> </w:t>
      </w:r>
      <w:r w:rsidRPr="00B94CD4">
        <w:rPr>
          <w:rFonts w:ascii="Abadi" w:hAnsi="Abadi"/>
          <w:b w:val="0"/>
          <w:bCs w:val="0"/>
          <w:sz w:val="21"/>
          <w:szCs w:val="21"/>
        </w:rPr>
        <w:t>primera,</w:t>
      </w:r>
      <w:r w:rsidRPr="00B94CD4">
        <w:rPr>
          <w:rFonts w:ascii="Abadi" w:hAnsi="Abadi"/>
          <w:b w:val="0"/>
          <w:bCs w:val="0"/>
          <w:spacing w:val="24"/>
          <w:sz w:val="21"/>
          <w:szCs w:val="21"/>
        </w:rPr>
        <w:t xml:space="preserve"> </w:t>
      </w:r>
      <w:r w:rsidRPr="00B94CD4">
        <w:rPr>
          <w:rFonts w:ascii="Abadi" w:hAnsi="Abadi"/>
          <w:b w:val="0"/>
          <w:bCs w:val="0"/>
          <w:sz w:val="21"/>
          <w:szCs w:val="21"/>
        </w:rPr>
        <w:t>por</w:t>
      </w:r>
      <w:r w:rsidRPr="00B94CD4">
        <w:rPr>
          <w:rFonts w:ascii="Abadi" w:hAnsi="Abadi"/>
          <w:b w:val="0"/>
          <w:bCs w:val="0"/>
          <w:spacing w:val="24"/>
          <w:sz w:val="21"/>
          <w:szCs w:val="21"/>
        </w:rPr>
        <w:t xml:space="preserve"> </w:t>
      </w:r>
      <w:r w:rsidRPr="00B94CD4">
        <w:rPr>
          <w:rFonts w:ascii="Abadi" w:hAnsi="Abadi"/>
          <w:b w:val="0"/>
          <w:bCs w:val="0"/>
          <w:sz w:val="21"/>
          <w:szCs w:val="21"/>
        </w:rPr>
        <w:t>el</w:t>
      </w:r>
      <w:r w:rsidRPr="00B94CD4">
        <w:rPr>
          <w:rFonts w:ascii="Abadi" w:hAnsi="Abadi"/>
          <w:b w:val="0"/>
          <w:bCs w:val="0"/>
          <w:spacing w:val="24"/>
          <w:sz w:val="21"/>
          <w:szCs w:val="21"/>
        </w:rPr>
        <w:t xml:space="preserve"> </w:t>
      </w:r>
      <w:r w:rsidRPr="00B94CD4">
        <w:rPr>
          <w:rFonts w:ascii="Abadi" w:hAnsi="Abadi"/>
          <w:b w:val="0"/>
          <w:bCs w:val="0"/>
          <w:sz w:val="21"/>
          <w:szCs w:val="21"/>
        </w:rPr>
        <w:t>periodo</w:t>
      </w:r>
      <w:r w:rsidRPr="00B94CD4">
        <w:rPr>
          <w:rFonts w:ascii="Abadi" w:hAnsi="Abadi"/>
          <w:b w:val="0"/>
          <w:bCs w:val="0"/>
          <w:spacing w:val="-2"/>
          <w:sz w:val="21"/>
          <w:szCs w:val="21"/>
        </w:rPr>
        <w:t xml:space="preserve"> </w:t>
      </w:r>
      <w:r w:rsidRPr="00B94CD4">
        <w:rPr>
          <w:rFonts w:ascii="Abadi" w:hAnsi="Abadi"/>
          <w:b w:val="0"/>
          <w:bCs w:val="0"/>
          <w:sz w:val="21"/>
          <w:szCs w:val="21"/>
        </w:rPr>
        <w:t>comprendido</w:t>
      </w:r>
      <w:r w:rsidRPr="00B94CD4">
        <w:rPr>
          <w:rFonts w:ascii="Abadi" w:hAnsi="Abadi"/>
          <w:b w:val="0"/>
          <w:bCs w:val="0"/>
          <w:spacing w:val="11"/>
          <w:sz w:val="21"/>
          <w:szCs w:val="21"/>
        </w:rPr>
        <w:t xml:space="preserve"> </w:t>
      </w:r>
      <w:r w:rsidRPr="00B94CD4">
        <w:rPr>
          <w:rFonts w:ascii="Abadi" w:hAnsi="Abadi"/>
          <w:b w:val="0"/>
          <w:bCs w:val="0"/>
          <w:sz w:val="21"/>
          <w:szCs w:val="21"/>
        </w:rPr>
        <w:t>de</w:t>
      </w:r>
      <w:r w:rsidRPr="00B94CD4">
        <w:rPr>
          <w:rFonts w:ascii="Abadi" w:hAnsi="Abadi"/>
          <w:b w:val="0"/>
          <w:bCs w:val="0"/>
          <w:spacing w:val="11"/>
          <w:sz w:val="21"/>
          <w:szCs w:val="21"/>
        </w:rPr>
        <w:t xml:space="preserve"> </w:t>
      </w:r>
      <w:r w:rsidRPr="00B94CD4">
        <w:rPr>
          <w:rFonts w:ascii="Abadi" w:hAnsi="Abadi"/>
          <w:b w:val="0"/>
          <w:bCs w:val="0"/>
          <w:sz w:val="21"/>
          <w:szCs w:val="21"/>
        </w:rPr>
        <w:t>octubre</w:t>
      </w:r>
      <w:r w:rsidRPr="00B94CD4">
        <w:rPr>
          <w:rFonts w:ascii="Abadi" w:hAnsi="Abadi"/>
          <w:b w:val="0"/>
          <w:bCs w:val="0"/>
          <w:spacing w:val="11"/>
          <w:sz w:val="21"/>
          <w:szCs w:val="21"/>
        </w:rPr>
        <w:t xml:space="preserve"> </w:t>
      </w:r>
      <w:r w:rsidRPr="00B94CD4">
        <w:rPr>
          <w:rFonts w:ascii="Abadi" w:hAnsi="Abadi"/>
          <w:b w:val="0"/>
          <w:bCs w:val="0"/>
          <w:sz w:val="21"/>
          <w:szCs w:val="21"/>
        </w:rPr>
        <w:t>de</w:t>
      </w:r>
      <w:r w:rsidRPr="00B94CD4">
        <w:rPr>
          <w:rFonts w:ascii="Abadi" w:hAnsi="Abadi"/>
          <w:b w:val="0"/>
          <w:bCs w:val="0"/>
          <w:spacing w:val="11"/>
          <w:sz w:val="21"/>
          <w:szCs w:val="21"/>
        </w:rPr>
        <w:t xml:space="preserve"> </w:t>
      </w:r>
      <w:r w:rsidRPr="00B94CD4">
        <w:rPr>
          <w:rFonts w:ascii="Abadi" w:hAnsi="Abadi"/>
          <w:b w:val="0"/>
          <w:bCs w:val="0"/>
          <w:sz w:val="21"/>
          <w:szCs w:val="21"/>
        </w:rPr>
        <w:t>2018</w:t>
      </w:r>
      <w:r w:rsidRPr="00B94CD4">
        <w:rPr>
          <w:rFonts w:ascii="Abadi" w:hAnsi="Abadi"/>
          <w:b w:val="0"/>
          <w:bCs w:val="0"/>
          <w:spacing w:val="11"/>
          <w:sz w:val="21"/>
          <w:szCs w:val="21"/>
        </w:rPr>
        <w:t xml:space="preserve"> </w:t>
      </w:r>
      <w:r w:rsidRPr="00B94CD4">
        <w:rPr>
          <w:rFonts w:ascii="Abadi" w:hAnsi="Abadi"/>
          <w:b w:val="0"/>
          <w:bCs w:val="0"/>
          <w:sz w:val="21"/>
          <w:szCs w:val="21"/>
        </w:rPr>
        <w:t>a</w:t>
      </w:r>
      <w:r w:rsidRPr="00B94CD4">
        <w:rPr>
          <w:rFonts w:ascii="Abadi" w:hAnsi="Abadi"/>
          <w:b w:val="0"/>
          <w:bCs w:val="0"/>
          <w:spacing w:val="11"/>
          <w:sz w:val="21"/>
          <w:szCs w:val="21"/>
        </w:rPr>
        <w:t xml:space="preserve"> </w:t>
      </w:r>
      <w:r w:rsidRPr="00B94CD4">
        <w:rPr>
          <w:rFonts w:ascii="Abadi" w:hAnsi="Abadi"/>
          <w:b w:val="0"/>
          <w:bCs w:val="0"/>
          <w:sz w:val="21"/>
          <w:szCs w:val="21"/>
        </w:rPr>
        <w:t>octubre</w:t>
      </w:r>
      <w:r w:rsidRPr="00B94CD4">
        <w:rPr>
          <w:rFonts w:ascii="Abadi" w:hAnsi="Abadi"/>
          <w:b w:val="0"/>
          <w:bCs w:val="0"/>
          <w:spacing w:val="11"/>
          <w:sz w:val="21"/>
          <w:szCs w:val="21"/>
        </w:rPr>
        <w:t xml:space="preserve"> </w:t>
      </w:r>
      <w:r w:rsidRPr="00B94CD4">
        <w:rPr>
          <w:rFonts w:ascii="Abadi" w:hAnsi="Abadi"/>
          <w:b w:val="0"/>
          <w:bCs w:val="0"/>
          <w:sz w:val="21"/>
          <w:szCs w:val="21"/>
        </w:rPr>
        <w:t>de</w:t>
      </w:r>
      <w:r w:rsidRPr="00B94CD4">
        <w:rPr>
          <w:rFonts w:ascii="Abadi" w:hAnsi="Abadi"/>
          <w:b w:val="0"/>
          <w:bCs w:val="0"/>
          <w:spacing w:val="11"/>
          <w:sz w:val="21"/>
          <w:szCs w:val="21"/>
        </w:rPr>
        <w:t xml:space="preserve"> </w:t>
      </w:r>
      <w:r w:rsidRPr="00B94CD4">
        <w:rPr>
          <w:rFonts w:ascii="Abadi" w:hAnsi="Abadi"/>
          <w:b w:val="0"/>
          <w:bCs w:val="0"/>
          <w:sz w:val="21"/>
          <w:szCs w:val="21"/>
        </w:rPr>
        <w:t>2021;</w:t>
      </w:r>
      <w:r w:rsidRPr="00B94CD4">
        <w:rPr>
          <w:rFonts w:ascii="Abadi" w:hAnsi="Abadi"/>
          <w:b w:val="0"/>
          <w:bCs w:val="0"/>
          <w:spacing w:val="10"/>
          <w:sz w:val="21"/>
          <w:szCs w:val="21"/>
        </w:rPr>
        <w:t xml:space="preserve"> </w:t>
      </w:r>
      <w:r w:rsidRPr="00B94CD4">
        <w:rPr>
          <w:rFonts w:ascii="Abadi" w:hAnsi="Abadi"/>
          <w:b w:val="0"/>
          <w:bCs w:val="0"/>
          <w:sz w:val="21"/>
          <w:szCs w:val="21"/>
        </w:rPr>
        <w:t>y</w:t>
      </w:r>
      <w:r w:rsidRPr="00B94CD4">
        <w:rPr>
          <w:rFonts w:ascii="Abadi" w:hAnsi="Abadi"/>
          <w:b w:val="0"/>
          <w:bCs w:val="0"/>
          <w:spacing w:val="11"/>
          <w:sz w:val="21"/>
          <w:szCs w:val="21"/>
        </w:rPr>
        <w:t xml:space="preserve"> </w:t>
      </w:r>
      <w:r w:rsidRPr="00B94CD4">
        <w:rPr>
          <w:rFonts w:ascii="Abadi" w:hAnsi="Abadi"/>
          <w:b w:val="0"/>
          <w:bCs w:val="0"/>
          <w:sz w:val="21"/>
          <w:szCs w:val="21"/>
        </w:rPr>
        <w:t>la</w:t>
      </w:r>
      <w:r w:rsidRPr="00B94CD4">
        <w:rPr>
          <w:rFonts w:ascii="Abadi" w:hAnsi="Abadi"/>
          <w:b w:val="0"/>
          <w:bCs w:val="0"/>
          <w:spacing w:val="11"/>
          <w:sz w:val="21"/>
          <w:szCs w:val="21"/>
        </w:rPr>
        <w:t xml:space="preserve"> </w:t>
      </w:r>
      <w:r w:rsidRPr="00B94CD4">
        <w:rPr>
          <w:rFonts w:ascii="Abadi" w:hAnsi="Abadi"/>
          <w:b w:val="0"/>
          <w:bCs w:val="0"/>
          <w:sz w:val="21"/>
          <w:szCs w:val="21"/>
        </w:rPr>
        <w:t>segunda,</w:t>
      </w:r>
      <w:r w:rsidRPr="00B94CD4">
        <w:rPr>
          <w:rFonts w:ascii="Abadi" w:hAnsi="Abadi"/>
          <w:b w:val="0"/>
          <w:bCs w:val="0"/>
          <w:spacing w:val="10"/>
          <w:sz w:val="21"/>
          <w:szCs w:val="21"/>
        </w:rPr>
        <w:t xml:space="preserve"> </w:t>
      </w:r>
      <w:r w:rsidRPr="00B94CD4">
        <w:rPr>
          <w:rFonts w:ascii="Abadi" w:hAnsi="Abadi"/>
          <w:b w:val="0"/>
          <w:bCs w:val="0"/>
          <w:sz w:val="21"/>
          <w:szCs w:val="21"/>
        </w:rPr>
        <w:t>por</w:t>
      </w:r>
      <w:r w:rsidRPr="00B94CD4">
        <w:rPr>
          <w:rFonts w:ascii="Abadi" w:hAnsi="Abadi"/>
          <w:b w:val="0"/>
          <w:bCs w:val="0"/>
          <w:spacing w:val="10"/>
          <w:sz w:val="21"/>
          <w:szCs w:val="21"/>
        </w:rPr>
        <w:t xml:space="preserve"> </w:t>
      </w:r>
      <w:r w:rsidRPr="00B94CD4">
        <w:rPr>
          <w:rFonts w:ascii="Abadi" w:hAnsi="Abadi"/>
          <w:b w:val="0"/>
          <w:bCs w:val="0"/>
          <w:sz w:val="21"/>
          <w:szCs w:val="21"/>
        </w:rPr>
        <w:t>los</w:t>
      </w:r>
      <w:r w:rsidRPr="00B94CD4">
        <w:rPr>
          <w:rFonts w:ascii="Abadi" w:hAnsi="Abadi"/>
          <w:b w:val="0"/>
          <w:bCs w:val="0"/>
          <w:spacing w:val="-2"/>
          <w:sz w:val="21"/>
          <w:szCs w:val="21"/>
        </w:rPr>
        <w:t xml:space="preserve"> </w:t>
      </w:r>
      <w:r w:rsidRPr="00B94CD4">
        <w:rPr>
          <w:rFonts w:ascii="Abadi" w:hAnsi="Abadi"/>
          <w:b w:val="0"/>
          <w:bCs w:val="0"/>
          <w:sz w:val="21"/>
          <w:szCs w:val="21"/>
        </w:rPr>
        <w:t>ejercicios</w:t>
      </w:r>
      <w:r w:rsidRPr="00B94CD4">
        <w:rPr>
          <w:rFonts w:ascii="Abadi" w:hAnsi="Abadi"/>
          <w:b w:val="0"/>
          <w:bCs w:val="0"/>
          <w:spacing w:val="-1"/>
          <w:sz w:val="21"/>
          <w:szCs w:val="21"/>
        </w:rPr>
        <w:t xml:space="preserve"> </w:t>
      </w:r>
      <w:r w:rsidRPr="00B94CD4">
        <w:rPr>
          <w:rFonts w:ascii="Abadi" w:hAnsi="Abadi"/>
          <w:b w:val="0"/>
          <w:bCs w:val="0"/>
          <w:sz w:val="21"/>
          <w:szCs w:val="21"/>
        </w:rPr>
        <w:t>fiscales</w:t>
      </w:r>
      <w:r w:rsidRPr="00B94CD4">
        <w:rPr>
          <w:rFonts w:ascii="Abadi" w:hAnsi="Abadi"/>
          <w:b w:val="0"/>
          <w:bCs w:val="0"/>
          <w:spacing w:val="-1"/>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2019,</w:t>
      </w:r>
      <w:r w:rsidRPr="00B94CD4">
        <w:rPr>
          <w:rFonts w:ascii="Abadi" w:hAnsi="Abadi"/>
          <w:b w:val="0"/>
          <w:bCs w:val="0"/>
          <w:spacing w:val="-1"/>
          <w:sz w:val="21"/>
          <w:szCs w:val="21"/>
        </w:rPr>
        <w:t xml:space="preserve"> </w:t>
      </w:r>
      <w:r w:rsidRPr="00B94CD4">
        <w:rPr>
          <w:rFonts w:ascii="Abadi" w:hAnsi="Abadi"/>
          <w:b w:val="0"/>
          <w:bCs w:val="0"/>
          <w:sz w:val="21"/>
          <w:szCs w:val="21"/>
        </w:rPr>
        <w:t>2020</w:t>
      </w:r>
      <w:r w:rsidRPr="00B94CD4">
        <w:rPr>
          <w:rFonts w:ascii="Abadi" w:hAnsi="Abadi"/>
          <w:b w:val="0"/>
          <w:bCs w:val="0"/>
          <w:spacing w:val="-1"/>
          <w:sz w:val="21"/>
          <w:szCs w:val="21"/>
        </w:rPr>
        <w:t xml:space="preserve"> </w:t>
      </w:r>
      <w:r w:rsidRPr="00B94CD4">
        <w:rPr>
          <w:rFonts w:ascii="Abadi" w:hAnsi="Abadi"/>
          <w:b w:val="0"/>
          <w:bCs w:val="0"/>
          <w:sz w:val="21"/>
          <w:szCs w:val="21"/>
        </w:rPr>
        <w:t>y</w:t>
      </w:r>
      <w:r w:rsidRPr="00B94CD4">
        <w:rPr>
          <w:rFonts w:ascii="Abadi" w:hAnsi="Abadi"/>
          <w:b w:val="0"/>
          <w:bCs w:val="0"/>
          <w:spacing w:val="-1"/>
          <w:sz w:val="21"/>
          <w:szCs w:val="21"/>
        </w:rPr>
        <w:t xml:space="preserve"> </w:t>
      </w:r>
      <w:r w:rsidRPr="00B94CD4">
        <w:rPr>
          <w:rFonts w:ascii="Abadi" w:hAnsi="Abadi"/>
          <w:b w:val="0"/>
          <w:bCs w:val="0"/>
          <w:sz w:val="21"/>
          <w:szCs w:val="21"/>
        </w:rPr>
        <w:t xml:space="preserve">2021. </w:t>
      </w:r>
      <w:r w:rsidRPr="00812DB2">
        <w:rPr>
          <w:rFonts w:ascii="Abadi" w:hAnsi="Abadi"/>
          <w:sz w:val="21"/>
          <w:szCs w:val="21"/>
        </w:rPr>
        <w:t>XXXIII.-</w:t>
      </w:r>
      <w:r w:rsidRPr="00B94CD4">
        <w:rPr>
          <w:rFonts w:ascii="Abadi" w:hAnsi="Abadi"/>
          <w:b w:val="0"/>
          <w:bCs w:val="0"/>
          <w:sz w:val="21"/>
          <w:szCs w:val="21"/>
        </w:rPr>
        <w:t xml:space="preserve"> Discusión</w:t>
      </w:r>
      <w:r w:rsidRPr="00B94CD4">
        <w:rPr>
          <w:rFonts w:ascii="Abadi" w:hAnsi="Abadi"/>
          <w:b w:val="0"/>
          <w:bCs w:val="0"/>
          <w:spacing w:val="50"/>
          <w:w w:val="150"/>
          <w:sz w:val="21"/>
          <w:szCs w:val="21"/>
        </w:rPr>
        <w:t xml:space="preserve"> </w:t>
      </w:r>
      <w:r w:rsidRPr="00B94CD4">
        <w:rPr>
          <w:rFonts w:ascii="Abadi" w:hAnsi="Abadi"/>
          <w:b w:val="0"/>
          <w:bCs w:val="0"/>
          <w:sz w:val="21"/>
          <w:szCs w:val="21"/>
        </w:rPr>
        <w:t>y,</w:t>
      </w:r>
      <w:r w:rsidRPr="00B94CD4">
        <w:rPr>
          <w:rFonts w:ascii="Abadi" w:hAnsi="Abadi"/>
          <w:b w:val="0"/>
          <w:bCs w:val="0"/>
          <w:spacing w:val="50"/>
          <w:w w:val="150"/>
          <w:sz w:val="21"/>
          <w:szCs w:val="21"/>
        </w:rPr>
        <w:t xml:space="preserve"> </w:t>
      </w:r>
      <w:r w:rsidRPr="00B94CD4">
        <w:rPr>
          <w:rFonts w:ascii="Abadi" w:hAnsi="Abadi"/>
          <w:b w:val="0"/>
          <w:bCs w:val="0"/>
          <w:sz w:val="21"/>
          <w:szCs w:val="21"/>
        </w:rPr>
        <w:t>en</w:t>
      </w:r>
      <w:r w:rsidRPr="00B94CD4">
        <w:rPr>
          <w:rFonts w:ascii="Abadi" w:hAnsi="Abadi"/>
          <w:b w:val="0"/>
          <w:bCs w:val="0"/>
          <w:spacing w:val="50"/>
          <w:w w:val="150"/>
          <w:sz w:val="21"/>
          <w:szCs w:val="21"/>
        </w:rPr>
        <w:t xml:space="preserve"> </w:t>
      </w:r>
      <w:r w:rsidRPr="00B94CD4">
        <w:rPr>
          <w:rFonts w:ascii="Abadi" w:hAnsi="Abadi"/>
          <w:b w:val="0"/>
          <w:bCs w:val="0"/>
          <w:sz w:val="21"/>
          <w:szCs w:val="21"/>
        </w:rPr>
        <w:t>su</w:t>
      </w:r>
      <w:r w:rsidRPr="00B94CD4">
        <w:rPr>
          <w:rFonts w:ascii="Abadi" w:hAnsi="Abadi"/>
          <w:b w:val="0"/>
          <w:bCs w:val="0"/>
          <w:spacing w:val="50"/>
          <w:w w:val="150"/>
          <w:sz w:val="21"/>
          <w:szCs w:val="21"/>
        </w:rPr>
        <w:t xml:space="preserve"> </w:t>
      </w:r>
      <w:r w:rsidRPr="00B94CD4">
        <w:rPr>
          <w:rFonts w:ascii="Abadi" w:hAnsi="Abadi"/>
          <w:b w:val="0"/>
          <w:bCs w:val="0"/>
          <w:sz w:val="21"/>
          <w:szCs w:val="21"/>
        </w:rPr>
        <w:t>caso,</w:t>
      </w:r>
      <w:r w:rsidRPr="00B94CD4">
        <w:rPr>
          <w:rFonts w:ascii="Abadi" w:hAnsi="Abadi"/>
          <w:b w:val="0"/>
          <w:bCs w:val="0"/>
          <w:spacing w:val="50"/>
          <w:w w:val="150"/>
          <w:sz w:val="21"/>
          <w:szCs w:val="21"/>
        </w:rPr>
        <w:t xml:space="preserve"> </w:t>
      </w:r>
      <w:r w:rsidRPr="00B94CD4">
        <w:rPr>
          <w:rFonts w:ascii="Abadi" w:hAnsi="Abadi"/>
          <w:b w:val="0"/>
          <w:bCs w:val="0"/>
          <w:sz w:val="21"/>
          <w:szCs w:val="21"/>
        </w:rPr>
        <w:t>aprobación</w:t>
      </w:r>
      <w:r w:rsidRPr="00B94CD4">
        <w:rPr>
          <w:rFonts w:ascii="Abadi" w:hAnsi="Abadi"/>
          <w:b w:val="0"/>
          <w:bCs w:val="0"/>
          <w:spacing w:val="50"/>
          <w:w w:val="150"/>
          <w:sz w:val="21"/>
          <w:szCs w:val="21"/>
        </w:rPr>
        <w:t xml:space="preserve"> </w:t>
      </w:r>
      <w:r w:rsidRPr="00B94CD4">
        <w:rPr>
          <w:rFonts w:ascii="Abadi" w:hAnsi="Abadi"/>
          <w:b w:val="0"/>
          <w:bCs w:val="0"/>
          <w:sz w:val="21"/>
          <w:szCs w:val="21"/>
        </w:rPr>
        <w:t>del</w:t>
      </w:r>
      <w:r w:rsidRPr="00B94CD4">
        <w:rPr>
          <w:rFonts w:ascii="Abadi" w:hAnsi="Abadi"/>
          <w:b w:val="0"/>
          <w:bCs w:val="0"/>
          <w:spacing w:val="50"/>
          <w:w w:val="150"/>
          <w:sz w:val="21"/>
          <w:szCs w:val="21"/>
        </w:rPr>
        <w:t xml:space="preserve"> </w:t>
      </w:r>
      <w:r w:rsidRPr="00B94CD4">
        <w:rPr>
          <w:rFonts w:ascii="Abadi" w:hAnsi="Abadi"/>
          <w:b w:val="0"/>
          <w:bCs w:val="0"/>
          <w:sz w:val="21"/>
          <w:szCs w:val="21"/>
        </w:rPr>
        <w:t>dictamen</w:t>
      </w:r>
      <w:r w:rsidRPr="00B94CD4">
        <w:rPr>
          <w:rFonts w:ascii="Abadi" w:hAnsi="Abadi"/>
          <w:b w:val="0"/>
          <w:bCs w:val="0"/>
          <w:spacing w:val="50"/>
          <w:w w:val="150"/>
          <w:sz w:val="21"/>
          <w:szCs w:val="21"/>
        </w:rPr>
        <w:t xml:space="preserve"> </w:t>
      </w:r>
      <w:r w:rsidRPr="00B94CD4">
        <w:rPr>
          <w:rFonts w:ascii="Abadi" w:hAnsi="Abadi"/>
          <w:b w:val="0"/>
          <w:bCs w:val="0"/>
          <w:sz w:val="21"/>
          <w:szCs w:val="21"/>
        </w:rPr>
        <w:t>presentado</w:t>
      </w:r>
      <w:r w:rsidRPr="00B94CD4">
        <w:rPr>
          <w:rFonts w:ascii="Abadi" w:hAnsi="Abadi"/>
          <w:b w:val="0"/>
          <w:bCs w:val="0"/>
          <w:spacing w:val="50"/>
          <w:w w:val="150"/>
          <w:sz w:val="21"/>
          <w:szCs w:val="21"/>
        </w:rPr>
        <w:t xml:space="preserve"> </w:t>
      </w:r>
      <w:r w:rsidRPr="00B94CD4">
        <w:rPr>
          <w:rFonts w:ascii="Abadi" w:hAnsi="Abadi"/>
          <w:b w:val="0"/>
          <w:bCs w:val="0"/>
          <w:sz w:val="21"/>
          <w:szCs w:val="21"/>
        </w:rPr>
        <w:t>por</w:t>
      </w:r>
      <w:r w:rsidRPr="00B94CD4">
        <w:rPr>
          <w:rFonts w:ascii="Abadi" w:hAnsi="Abadi"/>
          <w:b w:val="0"/>
          <w:bCs w:val="0"/>
          <w:spacing w:val="50"/>
          <w:w w:val="150"/>
          <w:sz w:val="21"/>
          <w:szCs w:val="21"/>
        </w:rPr>
        <w:t xml:space="preserve"> </w:t>
      </w:r>
      <w:r w:rsidRPr="00B94CD4">
        <w:rPr>
          <w:rFonts w:ascii="Abadi" w:hAnsi="Abadi"/>
          <w:b w:val="0"/>
          <w:bCs w:val="0"/>
          <w:sz w:val="21"/>
          <w:szCs w:val="21"/>
        </w:rPr>
        <w:t>la</w:t>
      </w:r>
      <w:r w:rsidRPr="00B94CD4">
        <w:rPr>
          <w:rFonts w:ascii="Abadi" w:hAnsi="Abadi"/>
          <w:b w:val="0"/>
          <w:bCs w:val="0"/>
          <w:spacing w:val="-1"/>
          <w:sz w:val="21"/>
          <w:szCs w:val="21"/>
        </w:rPr>
        <w:t xml:space="preserve"> </w:t>
      </w:r>
      <w:r w:rsidRPr="00B94CD4">
        <w:rPr>
          <w:rFonts w:ascii="Abadi" w:hAnsi="Abadi"/>
          <w:b w:val="0"/>
          <w:bCs w:val="0"/>
          <w:sz w:val="21"/>
          <w:szCs w:val="21"/>
        </w:rPr>
        <w:t>Comisión</w:t>
      </w:r>
      <w:r w:rsidRPr="00B94CD4">
        <w:rPr>
          <w:rFonts w:ascii="Abadi" w:hAnsi="Abadi"/>
          <w:b w:val="0"/>
          <w:bCs w:val="0"/>
          <w:spacing w:val="20"/>
          <w:sz w:val="21"/>
          <w:szCs w:val="21"/>
        </w:rPr>
        <w:t xml:space="preserve"> </w:t>
      </w:r>
      <w:r w:rsidRPr="00B94CD4">
        <w:rPr>
          <w:rFonts w:ascii="Abadi" w:hAnsi="Abadi"/>
          <w:b w:val="0"/>
          <w:bCs w:val="0"/>
          <w:sz w:val="21"/>
          <w:szCs w:val="21"/>
        </w:rPr>
        <w:t>de</w:t>
      </w:r>
      <w:r w:rsidRPr="00B94CD4">
        <w:rPr>
          <w:rFonts w:ascii="Abadi" w:hAnsi="Abadi"/>
          <w:b w:val="0"/>
          <w:bCs w:val="0"/>
          <w:spacing w:val="20"/>
          <w:sz w:val="21"/>
          <w:szCs w:val="21"/>
        </w:rPr>
        <w:t xml:space="preserve"> </w:t>
      </w:r>
      <w:r w:rsidRPr="00B94CD4">
        <w:rPr>
          <w:rFonts w:ascii="Abadi" w:hAnsi="Abadi"/>
          <w:b w:val="0"/>
          <w:bCs w:val="0"/>
          <w:sz w:val="21"/>
          <w:szCs w:val="21"/>
        </w:rPr>
        <w:t>Hacienda</w:t>
      </w:r>
      <w:r w:rsidRPr="00B94CD4">
        <w:rPr>
          <w:rFonts w:ascii="Abadi" w:hAnsi="Abadi"/>
          <w:b w:val="0"/>
          <w:bCs w:val="0"/>
          <w:spacing w:val="20"/>
          <w:sz w:val="21"/>
          <w:szCs w:val="21"/>
        </w:rPr>
        <w:t xml:space="preserve"> </w:t>
      </w:r>
      <w:r w:rsidRPr="00B94CD4">
        <w:rPr>
          <w:rFonts w:ascii="Abadi" w:hAnsi="Abadi"/>
          <w:b w:val="0"/>
          <w:bCs w:val="0"/>
          <w:sz w:val="21"/>
          <w:szCs w:val="21"/>
        </w:rPr>
        <w:t>y</w:t>
      </w:r>
      <w:r w:rsidRPr="00B94CD4">
        <w:rPr>
          <w:rFonts w:ascii="Abadi" w:hAnsi="Abadi"/>
          <w:b w:val="0"/>
          <w:bCs w:val="0"/>
          <w:spacing w:val="21"/>
          <w:sz w:val="21"/>
          <w:szCs w:val="21"/>
        </w:rPr>
        <w:t xml:space="preserve"> </w:t>
      </w:r>
      <w:r w:rsidRPr="00B94CD4">
        <w:rPr>
          <w:rFonts w:ascii="Abadi" w:hAnsi="Abadi"/>
          <w:b w:val="0"/>
          <w:bCs w:val="0"/>
          <w:sz w:val="21"/>
          <w:szCs w:val="21"/>
        </w:rPr>
        <w:t>Fiscalización</w:t>
      </w:r>
      <w:r w:rsidRPr="00B94CD4">
        <w:rPr>
          <w:rFonts w:ascii="Abadi" w:hAnsi="Abadi"/>
          <w:b w:val="0"/>
          <w:bCs w:val="0"/>
          <w:spacing w:val="20"/>
          <w:sz w:val="21"/>
          <w:szCs w:val="21"/>
        </w:rPr>
        <w:t xml:space="preserve"> </w:t>
      </w:r>
      <w:r w:rsidRPr="00B94CD4">
        <w:rPr>
          <w:rFonts w:ascii="Abadi" w:hAnsi="Abadi"/>
          <w:b w:val="0"/>
          <w:bCs w:val="0"/>
          <w:sz w:val="21"/>
          <w:szCs w:val="21"/>
        </w:rPr>
        <w:t>relativo</w:t>
      </w:r>
      <w:r w:rsidRPr="00B94CD4">
        <w:rPr>
          <w:rFonts w:ascii="Abadi" w:hAnsi="Abadi"/>
          <w:b w:val="0"/>
          <w:bCs w:val="0"/>
          <w:spacing w:val="20"/>
          <w:sz w:val="21"/>
          <w:szCs w:val="21"/>
        </w:rPr>
        <w:t xml:space="preserve"> </w:t>
      </w:r>
      <w:r w:rsidRPr="00B94CD4">
        <w:rPr>
          <w:rFonts w:ascii="Abadi" w:hAnsi="Abadi"/>
          <w:b w:val="0"/>
          <w:bCs w:val="0"/>
          <w:sz w:val="21"/>
          <w:szCs w:val="21"/>
        </w:rPr>
        <w:t>a</w:t>
      </w:r>
      <w:r w:rsidRPr="00B94CD4">
        <w:rPr>
          <w:rFonts w:ascii="Abadi" w:hAnsi="Abadi"/>
          <w:b w:val="0"/>
          <w:bCs w:val="0"/>
          <w:spacing w:val="20"/>
          <w:sz w:val="21"/>
          <w:szCs w:val="21"/>
        </w:rPr>
        <w:t xml:space="preserve"> </w:t>
      </w:r>
      <w:r w:rsidRPr="00B94CD4">
        <w:rPr>
          <w:rFonts w:ascii="Abadi" w:hAnsi="Abadi"/>
          <w:b w:val="0"/>
          <w:bCs w:val="0"/>
          <w:sz w:val="21"/>
          <w:szCs w:val="21"/>
        </w:rPr>
        <w:t>la</w:t>
      </w:r>
      <w:r w:rsidRPr="00B94CD4">
        <w:rPr>
          <w:rFonts w:ascii="Abadi" w:hAnsi="Abadi"/>
          <w:b w:val="0"/>
          <w:bCs w:val="0"/>
          <w:spacing w:val="20"/>
          <w:sz w:val="21"/>
          <w:szCs w:val="21"/>
        </w:rPr>
        <w:t xml:space="preserve"> </w:t>
      </w:r>
      <w:r w:rsidRPr="00B94CD4">
        <w:rPr>
          <w:rFonts w:ascii="Abadi" w:hAnsi="Abadi"/>
          <w:b w:val="0"/>
          <w:bCs w:val="0"/>
          <w:sz w:val="21"/>
          <w:szCs w:val="21"/>
        </w:rPr>
        <w:t>propuesta</w:t>
      </w:r>
      <w:r w:rsidRPr="00B94CD4">
        <w:rPr>
          <w:rFonts w:ascii="Abadi" w:hAnsi="Abadi"/>
          <w:b w:val="0"/>
          <w:bCs w:val="0"/>
          <w:spacing w:val="20"/>
          <w:sz w:val="21"/>
          <w:szCs w:val="21"/>
        </w:rPr>
        <w:t xml:space="preserve"> </w:t>
      </w:r>
      <w:r w:rsidRPr="00B94CD4">
        <w:rPr>
          <w:rFonts w:ascii="Abadi" w:hAnsi="Abadi"/>
          <w:b w:val="0"/>
          <w:bCs w:val="0"/>
          <w:sz w:val="21"/>
          <w:szCs w:val="21"/>
        </w:rPr>
        <w:t>de</w:t>
      </w:r>
      <w:r w:rsidRPr="00B94CD4">
        <w:rPr>
          <w:rFonts w:ascii="Abadi" w:hAnsi="Abadi"/>
          <w:b w:val="0"/>
          <w:bCs w:val="0"/>
          <w:spacing w:val="20"/>
          <w:sz w:val="21"/>
          <w:szCs w:val="21"/>
        </w:rPr>
        <w:t xml:space="preserve"> </w:t>
      </w:r>
      <w:r w:rsidRPr="00B94CD4">
        <w:rPr>
          <w:rFonts w:ascii="Abadi" w:hAnsi="Abadi"/>
          <w:b w:val="0"/>
          <w:bCs w:val="0"/>
          <w:sz w:val="21"/>
          <w:szCs w:val="21"/>
        </w:rPr>
        <w:t>punto</w:t>
      </w:r>
      <w:r w:rsidRPr="00B94CD4">
        <w:rPr>
          <w:rFonts w:ascii="Abadi" w:hAnsi="Abadi"/>
          <w:b w:val="0"/>
          <w:bCs w:val="0"/>
          <w:spacing w:val="20"/>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acuerdo</w:t>
      </w:r>
      <w:r w:rsidRPr="00B94CD4">
        <w:rPr>
          <w:rFonts w:ascii="Abadi" w:hAnsi="Abadi"/>
          <w:b w:val="0"/>
          <w:bCs w:val="0"/>
          <w:spacing w:val="64"/>
          <w:sz w:val="21"/>
          <w:szCs w:val="21"/>
        </w:rPr>
        <w:t xml:space="preserve"> </w:t>
      </w:r>
      <w:r w:rsidRPr="00B94CD4">
        <w:rPr>
          <w:rFonts w:ascii="Abadi" w:hAnsi="Abadi"/>
          <w:b w:val="0"/>
          <w:bCs w:val="0"/>
          <w:sz w:val="21"/>
          <w:szCs w:val="21"/>
        </w:rPr>
        <w:t>formulada</w:t>
      </w:r>
      <w:r w:rsidRPr="00B94CD4">
        <w:rPr>
          <w:rFonts w:ascii="Abadi" w:hAnsi="Abadi"/>
          <w:b w:val="0"/>
          <w:bCs w:val="0"/>
          <w:spacing w:val="64"/>
          <w:sz w:val="21"/>
          <w:szCs w:val="21"/>
        </w:rPr>
        <w:t xml:space="preserve"> </w:t>
      </w:r>
      <w:r w:rsidRPr="00B94CD4">
        <w:rPr>
          <w:rFonts w:ascii="Abadi" w:hAnsi="Abadi"/>
          <w:b w:val="0"/>
          <w:bCs w:val="0"/>
          <w:sz w:val="21"/>
          <w:szCs w:val="21"/>
        </w:rPr>
        <w:t>por</w:t>
      </w:r>
      <w:r w:rsidRPr="00B94CD4">
        <w:rPr>
          <w:rFonts w:ascii="Abadi" w:hAnsi="Abadi"/>
          <w:b w:val="0"/>
          <w:bCs w:val="0"/>
          <w:spacing w:val="64"/>
          <w:sz w:val="21"/>
          <w:szCs w:val="21"/>
        </w:rPr>
        <w:t xml:space="preserve"> </w:t>
      </w:r>
      <w:r w:rsidRPr="00B94CD4">
        <w:rPr>
          <w:rFonts w:ascii="Abadi" w:hAnsi="Abadi"/>
          <w:b w:val="0"/>
          <w:bCs w:val="0"/>
          <w:sz w:val="21"/>
          <w:szCs w:val="21"/>
        </w:rPr>
        <w:t>la</w:t>
      </w:r>
      <w:r w:rsidRPr="00B94CD4">
        <w:rPr>
          <w:rFonts w:ascii="Abadi" w:hAnsi="Abadi"/>
          <w:b w:val="0"/>
          <w:bCs w:val="0"/>
          <w:spacing w:val="64"/>
          <w:sz w:val="21"/>
          <w:szCs w:val="21"/>
        </w:rPr>
        <w:t xml:space="preserve"> </w:t>
      </w:r>
      <w:r w:rsidRPr="00B94CD4">
        <w:rPr>
          <w:rFonts w:ascii="Abadi" w:hAnsi="Abadi"/>
          <w:b w:val="0"/>
          <w:bCs w:val="0"/>
          <w:sz w:val="21"/>
          <w:szCs w:val="21"/>
        </w:rPr>
        <w:t>diputada</w:t>
      </w:r>
      <w:r w:rsidRPr="00B94CD4">
        <w:rPr>
          <w:rFonts w:ascii="Abadi" w:hAnsi="Abadi"/>
          <w:b w:val="0"/>
          <w:bCs w:val="0"/>
          <w:spacing w:val="64"/>
          <w:sz w:val="21"/>
          <w:szCs w:val="21"/>
        </w:rPr>
        <w:t xml:space="preserve"> </w:t>
      </w:r>
      <w:r w:rsidRPr="00B94CD4">
        <w:rPr>
          <w:rFonts w:ascii="Abadi" w:hAnsi="Abadi"/>
          <w:b w:val="0"/>
          <w:bCs w:val="0"/>
          <w:sz w:val="21"/>
          <w:szCs w:val="21"/>
        </w:rPr>
        <w:t>Alma</w:t>
      </w:r>
      <w:r w:rsidRPr="00B94CD4">
        <w:rPr>
          <w:rFonts w:ascii="Abadi" w:hAnsi="Abadi"/>
          <w:b w:val="0"/>
          <w:bCs w:val="0"/>
          <w:spacing w:val="64"/>
          <w:sz w:val="21"/>
          <w:szCs w:val="21"/>
        </w:rPr>
        <w:t xml:space="preserve"> </w:t>
      </w:r>
      <w:r w:rsidRPr="00B94CD4">
        <w:rPr>
          <w:rFonts w:ascii="Abadi" w:hAnsi="Abadi"/>
          <w:b w:val="0"/>
          <w:bCs w:val="0"/>
          <w:sz w:val="21"/>
          <w:szCs w:val="21"/>
        </w:rPr>
        <w:t>Edwviges</w:t>
      </w:r>
      <w:r w:rsidRPr="00B94CD4">
        <w:rPr>
          <w:rFonts w:ascii="Abadi" w:hAnsi="Abadi"/>
          <w:b w:val="0"/>
          <w:bCs w:val="0"/>
          <w:spacing w:val="64"/>
          <w:sz w:val="21"/>
          <w:szCs w:val="21"/>
        </w:rPr>
        <w:t xml:space="preserve"> </w:t>
      </w:r>
      <w:r w:rsidRPr="00B94CD4">
        <w:rPr>
          <w:rFonts w:ascii="Abadi" w:hAnsi="Abadi"/>
          <w:b w:val="0"/>
          <w:bCs w:val="0"/>
          <w:sz w:val="21"/>
          <w:szCs w:val="21"/>
        </w:rPr>
        <w:t>Alcaraz</w:t>
      </w:r>
      <w:r w:rsidRPr="00B94CD4">
        <w:rPr>
          <w:rFonts w:ascii="Abadi" w:hAnsi="Abadi"/>
          <w:b w:val="0"/>
          <w:bCs w:val="0"/>
          <w:spacing w:val="64"/>
          <w:sz w:val="21"/>
          <w:szCs w:val="21"/>
        </w:rPr>
        <w:t xml:space="preserve"> </w:t>
      </w:r>
      <w:r w:rsidRPr="00B94CD4">
        <w:rPr>
          <w:rFonts w:ascii="Abadi" w:hAnsi="Abadi"/>
          <w:b w:val="0"/>
          <w:bCs w:val="0"/>
          <w:sz w:val="21"/>
          <w:szCs w:val="21"/>
        </w:rPr>
        <w:t>Hernández,</w:t>
      </w:r>
      <w:r w:rsidRPr="00B94CD4">
        <w:rPr>
          <w:rFonts w:ascii="Abadi" w:hAnsi="Abadi"/>
          <w:b w:val="0"/>
          <w:bCs w:val="0"/>
          <w:spacing w:val="-1"/>
          <w:sz w:val="21"/>
          <w:szCs w:val="21"/>
        </w:rPr>
        <w:t xml:space="preserve"> </w:t>
      </w:r>
      <w:r w:rsidRPr="00B94CD4">
        <w:rPr>
          <w:rFonts w:ascii="Abadi" w:hAnsi="Abadi"/>
          <w:b w:val="0"/>
          <w:bCs w:val="0"/>
          <w:sz w:val="21"/>
          <w:szCs w:val="21"/>
        </w:rPr>
        <w:t>integrante</w:t>
      </w:r>
      <w:r w:rsidRPr="00B94CD4">
        <w:rPr>
          <w:rFonts w:ascii="Abadi" w:hAnsi="Abadi"/>
          <w:b w:val="0"/>
          <w:bCs w:val="0"/>
          <w:spacing w:val="73"/>
          <w:sz w:val="21"/>
          <w:szCs w:val="21"/>
        </w:rPr>
        <w:t xml:space="preserve"> </w:t>
      </w:r>
      <w:r w:rsidRPr="00B94CD4">
        <w:rPr>
          <w:rFonts w:ascii="Abadi" w:hAnsi="Abadi"/>
          <w:b w:val="0"/>
          <w:bCs w:val="0"/>
          <w:sz w:val="21"/>
          <w:szCs w:val="21"/>
        </w:rPr>
        <w:t>del</w:t>
      </w:r>
      <w:r w:rsidRPr="00B94CD4">
        <w:rPr>
          <w:rFonts w:ascii="Abadi" w:hAnsi="Abadi"/>
          <w:b w:val="0"/>
          <w:bCs w:val="0"/>
          <w:spacing w:val="73"/>
          <w:sz w:val="21"/>
          <w:szCs w:val="21"/>
        </w:rPr>
        <w:t xml:space="preserve"> </w:t>
      </w:r>
      <w:r w:rsidRPr="00B94CD4">
        <w:rPr>
          <w:rFonts w:ascii="Abadi" w:hAnsi="Abadi"/>
          <w:b w:val="0"/>
          <w:bCs w:val="0"/>
          <w:sz w:val="21"/>
          <w:szCs w:val="21"/>
        </w:rPr>
        <w:t>Grupo</w:t>
      </w:r>
      <w:r w:rsidRPr="00B94CD4">
        <w:rPr>
          <w:rFonts w:ascii="Abadi" w:hAnsi="Abadi"/>
          <w:b w:val="0"/>
          <w:bCs w:val="0"/>
          <w:spacing w:val="73"/>
          <w:sz w:val="21"/>
          <w:szCs w:val="21"/>
        </w:rPr>
        <w:t xml:space="preserve"> </w:t>
      </w:r>
      <w:r w:rsidRPr="00B94CD4">
        <w:rPr>
          <w:rFonts w:ascii="Abadi" w:hAnsi="Abadi"/>
          <w:b w:val="0"/>
          <w:bCs w:val="0"/>
          <w:sz w:val="21"/>
          <w:szCs w:val="21"/>
        </w:rPr>
        <w:t>Parlamentario</w:t>
      </w:r>
      <w:r w:rsidRPr="00B94CD4">
        <w:rPr>
          <w:rFonts w:ascii="Abadi" w:hAnsi="Abadi"/>
          <w:b w:val="0"/>
          <w:bCs w:val="0"/>
          <w:spacing w:val="73"/>
          <w:sz w:val="21"/>
          <w:szCs w:val="21"/>
        </w:rPr>
        <w:t xml:space="preserve"> </w:t>
      </w:r>
      <w:r w:rsidRPr="00B94CD4">
        <w:rPr>
          <w:rFonts w:ascii="Abadi" w:hAnsi="Abadi"/>
          <w:b w:val="0"/>
          <w:bCs w:val="0"/>
          <w:sz w:val="21"/>
          <w:szCs w:val="21"/>
        </w:rPr>
        <w:t>del</w:t>
      </w:r>
      <w:r w:rsidRPr="00B94CD4">
        <w:rPr>
          <w:rFonts w:ascii="Abadi" w:hAnsi="Abadi"/>
          <w:b w:val="0"/>
          <w:bCs w:val="0"/>
          <w:spacing w:val="73"/>
          <w:sz w:val="21"/>
          <w:szCs w:val="21"/>
        </w:rPr>
        <w:t xml:space="preserve"> </w:t>
      </w:r>
      <w:r w:rsidRPr="00B94CD4">
        <w:rPr>
          <w:rFonts w:ascii="Abadi" w:hAnsi="Abadi"/>
          <w:b w:val="0"/>
          <w:bCs w:val="0"/>
          <w:sz w:val="21"/>
          <w:szCs w:val="21"/>
        </w:rPr>
        <w:t>Partido</w:t>
      </w:r>
      <w:r w:rsidRPr="00B94CD4">
        <w:rPr>
          <w:rFonts w:ascii="Abadi" w:hAnsi="Abadi"/>
          <w:b w:val="0"/>
          <w:bCs w:val="0"/>
          <w:spacing w:val="73"/>
          <w:sz w:val="21"/>
          <w:szCs w:val="21"/>
        </w:rPr>
        <w:t xml:space="preserve"> </w:t>
      </w:r>
      <w:r w:rsidRPr="00B94CD4">
        <w:rPr>
          <w:rFonts w:ascii="Abadi" w:hAnsi="Abadi"/>
          <w:b w:val="0"/>
          <w:bCs w:val="0"/>
          <w:sz w:val="21"/>
          <w:szCs w:val="21"/>
        </w:rPr>
        <w:t>MORENA,</w:t>
      </w:r>
      <w:r w:rsidRPr="00B94CD4">
        <w:rPr>
          <w:rFonts w:ascii="Abadi" w:hAnsi="Abadi"/>
          <w:b w:val="0"/>
          <w:bCs w:val="0"/>
          <w:spacing w:val="73"/>
          <w:sz w:val="21"/>
          <w:szCs w:val="21"/>
        </w:rPr>
        <w:t xml:space="preserve"> </w:t>
      </w:r>
      <w:r w:rsidRPr="00B94CD4">
        <w:rPr>
          <w:rFonts w:ascii="Abadi" w:hAnsi="Abadi"/>
          <w:b w:val="0"/>
          <w:bCs w:val="0"/>
          <w:sz w:val="21"/>
          <w:szCs w:val="21"/>
        </w:rPr>
        <w:t>a</w:t>
      </w:r>
      <w:r w:rsidRPr="00B94CD4">
        <w:rPr>
          <w:rFonts w:ascii="Abadi" w:hAnsi="Abadi"/>
          <w:b w:val="0"/>
          <w:bCs w:val="0"/>
          <w:spacing w:val="73"/>
          <w:sz w:val="21"/>
          <w:szCs w:val="21"/>
        </w:rPr>
        <w:t xml:space="preserve"> </w:t>
      </w:r>
      <w:r w:rsidRPr="00B94CD4">
        <w:rPr>
          <w:rFonts w:ascii="Abadi" w:hAnsi="Abadi"/>
          <w:b w:val="0"/>
          <w:bCs w:val="0"/>
          <w:sz w:val="21"/>
          <w:szCs w:val="21"/>
        </w:rPr>
        <w:t>efecto</w:t>
      </w:r>
      <w:r w:rsidRPr="00B94CD4">
        <w:rPr>
          <w:rFonts w:ascii="Abadi" w:hAnsi="Abadi"/>
          <w:b w:val="0"/>
          <w:bCs w:val="0"/>
          <w:spacing w:val="73"/>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exhortar</w:t>
      </w:r>
      <w:r w:rsidRPr="00B94CD4">
        <w:rPr>
          <w:rFonts w:ascii="Abadi" w:hAnsi="Abadi"/>
          <w:b w:val="0"/>
          <w:bCs w:val="0"/>
          <w:spacing w:val="18"/>
          <w:sz w:val="21"/>
          <w:szCs w:val="21"/>
        </w:rPr>
        <w:t xml:space="preserve"> </w:t>
      </w:r>
      <w:r w:rsidRPr="00B94CD4">
        <w:rPr>
          <w:rFonts w:ascii="Abadi" w:hAnsi="Abadi"/>
          <w:b w:val="0"/>
          <w:bCs w:val="0"/>
          <w:sz w:val="21"/>
          <w:szCs w:val="21"/>
        </w:rPr>
        <w:t>al</w:t>
      </w:r>
      <w:r w:rsidRPr="00B94CD4">
        <w:rPr>
          <w:rFonts w:ascii="Abadi" w:hAnsi="Abadi"/>
          <w:b w:val="0"/>
          <w:bCs w:val="0"/>
          <w:spacing w:val="18"/>
          <w:sz w:val="21"/>
          <w:szCs w:val="21"/>
        </w:rPr>
        <w:t xml:space="preserve"> </w:t>
      </w:r>
      <w:r w:rsidRPr="00B94CD4">
        <w:rPr>
          <w:rFonts w:ascii="Abadi" w:hAnsi="Abadi"/>
          <w:b w:val="0"/>
          <w:bCs w:val="0"/>
          <w:sz w:val="21"/>
          <w:szCs w:val="21"/>
        </w:rPr>
        <w:t>titular</w:t>
      </w:r>
      <w:r w:rsidRPr="00B94CD4">
        <w:rPr>
          <w:rFonts w:ascii="Abadi" w:hAnsi="Abadi"/>
          <w:b w:val="0"/>
          <w:bCs w:val="0"/>
          <w:spacing w:val="18"/>
          <w:sz w:val="21"/>
          <w:szCs w:val="21"/>
        </w:rPr>
        <w:t xml:space="preserve"> </w:t>
      </w:r>
      <w:r w:rsidRPr="00B94CD4">
        <w:rPr>
          <w:rFonts w:ascii="Abadi" w:hAnsi="Abadi"/>
          <w:b w:val="0"/>
          <w:bCs w:val="0"/>
          <w:sz w:val="21"/>
          <w:szCs w:val="21"/>
        </w:rPr>
        <w:t>de</w:t>
      </w:r>
      <w:r w:rsidRPr="00B94CD4">
        <w:rPr>
          <w:rFonts w:ascii="Abadi" w:hAnsi="Abadi"/>
          <w:b w:val="0"/>
          <w:bCs w:val="0"/>
          <w:spacing w:val="18"/>
          <w:sz w:val="21"/>
          <w:szCs w:val="21"/>
        </w:rPr>
        <w:t xml:space="preserve"> </w:t>
      </w:r>
      <w:r w:rsidRPr="00B94CD4">
        <w:rPr>
          <w:rFonts w:ascii="Abadi" w:hAnsi="Abadi"/>
          <w:b w:val="0"/>
          <w:bCs w:val="0"/>
          <w:sz w:val="21"/>
          <w:szCs w:val="21"/>
        </w:rPr>
        <w:t>la</w:t>
      </w:r>
      <w:r w:rsidRPr="00B94CD4">
        <w:rPr>
          <w:rFonts w:ascii="Abadi" w:hAnsi="Abadi"/>
          <w:b w:val="0"/>
          <w:bCs w:val="0"/>
          <w:spacing w:val="17"/>
          <w:sz w:val="21"/>
          <w:szCs w:val="21"/>
        </w:rPr>
        <w:t xml:space="preserve"> </w:t>
      </w:r>
      <w:r w:rsidRPr="00B94CD4">
        <w:rPr>
          <w:rFonts w:ascii="Abadi" w:hAnsi="Abadi"/>
          <w:b w:val="0"/>
          <w:bCs w:val="0"/>
          <w:sz w:val="21"/>
          <w:szCs w:val="21"/>
        </w:rPr>
        <w:t>Auditoría</w:t>
      </w:r>
      <w:r w:rsidRPr="00B94CD4">
        <w:rPr>
          <w:rFonts w:ascii="Abadi" w:hAnsi="Abadi"/>
          <w:b w:val="0"/>
          <w:bCs w:val="0"/>
          <w:spacing w:val="18"/>
          <w:sz w:val="21"/>
          <w:szCs w:val="21"/>
        </w:rPr>
        <w:t xml:space="preserve"> </w:t>
      </w:r>
      <w:r w:rsidRPr="00B94CD4">
        <w:rPr>
          <w:rFonts w:ascii="Abadi" w:hAnsi="Abadi"/>
          <w:b w:val="0"/>
          <w:bCs w:val="0"/>
          <w:sz w:val="21"/>
          <w:szCs w:val="21"/>
        </w:rPr>
        <w:t>Superior</w:t>
      </w:r>
      <w:r w:rsidRPr="00B94CD4">
        <w:rPr>
          <w:rFonts w:ascii="Abadi" w:hAnsi="Abadi"/>
          <w:b w:val="0"/>
          <w:bCs w:val="0"/>
          <w:spacing w:val="17"/>
          <w:sz w:val="21"/>
          <w:szCs w:val="21"/>
        </w:rPr>
        <w:t xml:space="preserve"> </w:t>
      </w:r>
      <w:r w:rsidRPr="00B94CD4">
        <w:rPr>
          <w:rFonts w:ascii="Abadi" w:hAnsi="Abadi"/>
          <w:b w:val="0"/>
          <w:bCs w:val="0"/>
          <w:sz w:val="21"/>
          <w:szCs w:val="21"/>
        </w:rPr>
        <w:t>del</w:t>
      </w:r>
      <w:r w:rsidRPr="00B94CD4">
        <w:rPr>
          <w:rFonts w:ascii="Abadi" w:hAnsi="Abadi"/>
          <w:b w:val="0"/>
          <w:bCs w:val="0"/>
          <w:spacing w:val="17"/>
          <w:sz w:val="21"/>
          <w:szCs w:val="21"/>
        </w:rPr>
        <w:t xml:space="preserve"> </w:t>
      </w:r>
      <w:r w:rsidRPr="00B94CD4">
        <w:rPr>
          <w:rFonts w:ascii="Abadi" w:hAnsi="Abadi"/>
          <w:b w:val="0"/>
          <w:bCs w:val="0"/>
          <w:sz w:val="21"/>
          <w:szCs w:val="21"/>
        </w:rPr>
        <w:t>Estado</w:t>
      </w:r>
      <w:r w:rsidRPr="00B94CD4">
        <w:rPr>
          <w:rFonts w:ascii="Abadi" w:hAnsi="Abadi"/>
          <w:b w:val="0"/>
          <w:bCs w:val="0"/>
          <w:spacing w:val="18"/>
          <w:sz w:val="21"/>
          <w:szCs w:val="21"/>
        </w:rPr>
        <w:t xml:space="preserve"> </w:t>
      </w:r>
      <w:r w:rsidRPr="00B94CD4">
        <w:rPr>
          <w:rFonts w:ascii="Abadi" w:hAnsi="Abadi"/>
          <w:b w:val="0"/>
          <w:bCs w:val="0"/>
          <w:sz w:val="21"/>
          <w:szCs w:val="21"/>
        </w:rPr>
        <w:t>de</w:t>
      </w:r>
      <w:r w:rsidRPr="00B94CD4">
        <w:rPr>
          <w:rFonts w:ascii="Abadi" w:hAnsi="Abadi"/>
          <w:b w:val="0"/>
          <w:bCs w:val="0"/>
          <w:spacing w:val="18"/>
          <w:sz w:val="21"/>
          <w:szCs w:val="21"/>
        </w:rPr>
        <w:t xml:space="preserve"> </w:t>
      </w:r>
      <w:r w:rsidRPr="00B94CD4">
        <w:rPr>
          <w:rFonts w:ascii="Abadi" w:hAnsi="Abadi"/>
          <w:b w:val="0"/>
          <w:bCs w:val="0"/>
          <w:sz w:val="21"/>
          <w:szCs w:val="21"/>
        </w:rPr>
        <w:t>Guanajuato,</w:t>
      </w:r>
      <w:r w:rsidRPr="00B94CD4">
        <w:rPr>
          <w:rFonts w:ascii="Abadi" w:hAnsi="Abadi"/>
          <w:b w:val="0"/>
          <w:bCs w:val="0"/>
          <w:spacing w:val="18"/>
          <w:sz w:val="21"/>
          <w:szCs w:val="21"/>
        </w:rPr>
        <w:t xml:space="preserve"> </w:t>
      </w:r>
      <w:r w:rsidRPr="00B94CD4">
        <w:rPr>
          <w:rFonts w:ascii="Abadi" w:hAnsi="Abadi"/>
          <w:b w:val="0"/>
          <w:bCs w:val="0"/>
          <w:sz w:val="21"/>
          <w:szCs w:val="21"/>
        </w:rPr>
        <w:t>para</w:t>
      </w:r>
      <w:r w:rsidRPr="00B94CD4">
        <w:rPr>
          <w:rFonts w:ascii="Abadi" w:hAnsi="Abadi"/>
          <w:b w:val="0"/>
          <w:bCs w:val="0"/>
          <w:spacing w:val="-1"/>
          <w:sz w:val="21"/>
          <w:szCs w:val="21"/>
        </w:rPr>
        <w:t xml:space="preserve"> </w:t>
      </w:r>
      <w:r w:rsidRPr="00B94CD4">
        <w:rPr>
          <w:rFonts w:ascii="Abadi" w:hAnsi="Abadi"/>
          <w:b w:val="0"/>
          <w:bCs w:val="0"/>
          <w:sz w:val="21"/>
          <w:szCs w:val="21"/>
        </w:rPr>
        <w:t>que</w:t>
      </w:r>
      <w:r w:rsidRPr="00B94CD4">
        <w:rPr>
          <w:rFonts w:ascii="Abadi" w:hAnsi="Abadi"/>
          <w:b w:val="0"/>
          <w:bCs w:val="0"/>
          <w:spacing w:val="26"/>
          <w:sz w:val="21"/>
          <w:szCs w:val="21"/>
        </w:rPr>
        <w:t xml:space="preserve">  </w:t>
      </w:r>
      <w:r w:rsidRPr="00B94CD4">
        <w:rPr>
          <w:rFonts w:ascii="Abadi" w:hAnsi="Abadi"/>
          <w:b w:val="0"/>
          <w:bCs w:val="0"/>
          <w:sz w:val="21"/>
          <w:szCs w:val="21"/>
        </w:rPr>
        <w:t>lleve</w:t>
      </w:r>
      <w:r w:rsidRPr="00B94CD4">
        <w:rPr>
          <w:rFonts w:ascii="Abadi" w:hAnsi="Abadi"/>
          <w:b w:val="0"/>
          <w:bCs w:val="0"/>
          <w:spacing w:val="26"/>
          <w:sz w:val="21"/>
          <w:szCs w:val="21"/>
        </w:rPr>
        <w:t xml:space="preserve">  </w:t>
      </w:r>
      <w:r w:rsidRPr="00B94CD4">
        <w:rPr>
          <w:rFonts w:ascii="Abadi" w:hAnsi="Abadi"/>
          <w:b w:val="0"/>
          <w:bCs w:val="0"/>
          <w:sz w:val="21"/>
          <w:szCs w:val="21"/>
        </w:rPr>
        <w:t>a</w:t>
      </w:r>
      <w:r w:rsidRPr="00B94CD4">
        <w:rPr>
          <w:rFonts w:ascii="Abadi" w:hAnsi="Abadi"/>
          <w:b w:val="0"/>
          <w:bCs w:val="0"/>
          <w:spacing w:val="26"/>
          <w:sz w:val="21"/>
          <w:szCs w:val="21"/>
        </w:rPr>
        <w:t xml:space="preserve">  </w:t>
      </w:r>
      <w:r w:rsidRPr="00B94CD4">
        <w:rPr>
          <w:rFonts w:ascii="Abadi" w:hAnsi="Abadi"/>
          <w:b w:val="0"/>
          <w:bCs w:val="0"/>
          <w:sz w:val="21"/>
          <w:szCs w:val="21"/>
        </w:rPr>
        <w:t>cabo</w:t>
      </w:r>
      <w:r w:rsidRPr="00B94CD4">
        <w:rPr>
          <w:rFonts w:ascii="Abadi" w:hAnsi="Abadi"/>
          <w:b w:val="0"/>
          <w:bCs w:val="0"/>
          <w:spacing w:val="26"/>
          <w:sz w:val="21"/>
          <w:szCs w:val="21"/>
        </w:rPr>
        <w:t xml:space="preserve">  </w:t>
      </w:r>
      <w:r w:rsidRPr="00B94CD4">
        <w:rPr>
          <w:rFonts w:ascii="Abadi" w:hAnsi="Abadi"/>
          <w:b w:val="0"/>
          <w:bCs w:val="0"/>
          <w:sz w:val="21"/>
          <w:szCs w:val="21"/>
        </w:rPr>
        <w:t>una</w:t>
      </w:r>
      <w:r w:rsidRPr="00B94CD4">
        <w:rPr>
          <w:rFonts w:ascii="Abadi" w:hAnsi="Abadi"/>
          <w:b w:val="0"/>
          <w:bCs w:val="0"/>
          <w:spacing w:val="26"/>
          <w:sz w:val="21"/>
          <w:szCs w:val="21"/>
        </w:rPr>
        <w:t xml:space="preserve">  </w:t>
      </w:r>
      <w:r w:rsidRPr="00B94CD4">
        <w:rPr>
          <w:rFonts w:ascii="Abadi" w:hAnsi="Abadi"/>
          <w:b w:val="0"/>
          <w:bCs w:val="0"/>
          <w:sz w:val="21"/>
          <w:szCs w:val="21"/>
        </w:rPr>
        <w:t>auditoría</w:t>
      </w:r>
      <w:r w:rsidRPr="00B94CD4">
        <w:rPr>
          <w:rFonts w:ascii="Abadi" w:hAnsi="Abadi"/>
          <w:b w:val="0"/>
          <w:bCs w:val="0"/>
          <w:spacing w:val="26"/>
          <w:sz w:val="21"/>
          <w:szCs w:val="21"/>
        </w:rPr>
        <w:t xml:space="preserve">  </w:t>
      </w:r>
      <w:r w:rsidRPr="00B94CD4">
        <w:rPr>
          <w:rFonts w:ascii="Abadi" w:hAnsi="Abadi"/>
          <w:b w:val="0"/>
          <w:bCs w:val="0"/>
          <w:sz w:val="21"/>
          <w:szCs w:val="21"/>
        </w:rPr>
        <w:t>financiera</w:t>
      </w:r>
      <w:r w:rsidRPr="00B94CD4">
        <w:rPr>
          <w:rFonts w:ascii="Abadi" w:hAnsi="Abadi"/>
          <w:b w:val="0"/>
          <w:bCs w:val="0"/>
          <w:spacing w:val="26"/>
          <w:sz w:val="21"/>
          <w:szCs w:val="21"/>
        </w:rPr>
        <w:t xml:space="preserve">  </w:t>
      </w:r>
      <w:r w:rsidRPr="00B94CD4">
        <w:rPr>
          <w:rFonts w:ascii="Abadi" w:hAnsi="Abadi"/>
          <w:b w:val="0"/>
          <w:bCs w:val="0"/>
          <w:sz w:val="21"/>
          <w:szCs w:val="21"/>
        </w:rPr>
        <w:t>integral</w:t>
      </w:r>
      <w:r w:rsidRPr="00B94CD4">
        <w:rPr>
          <w:rFonts w:ascii="Abadi" w:hAnsi="Abadi"/>
          <w:b w:val="0"/>
          <w:bCs w:val="0"/>
          <w:spacing w:val="26"/>
          <w:sz w:val="21"/>
          <w:szCs w:val="21"/>
        </w:rPr>
        <w:t xml:space="preserve">  </w:t>
      </w:r>
      <w:r w:rsidRPr="00B94CD4">
        <w:rPr>
          <w:rFonts w:ascii="Abadi" w:hAnsi="Abadi"/>
          <w:b w:val="0"/>
          <w:bCs w:val="0"/>
          <w:sz w:val="21"/>
          <w:szCs w:val="21"/>
        </w:rPr>
        <w:t>al</w:t>
      </w:r>
      <w:r w:rsidRPr="00B94CD4">
        <w:rPr>
          <w:rFonts w:ascii="Abadi" w:hAnsi="Abadi"/>
          <w:b w:val="0"/>
          <w:bCs w:val="0"/>
          <w:spacing w:val="26"/>
          <w:sz w:val="21"/>
          <w:szCs w:val="21"/>
        </w:rPr>
        <w:t xml:space="preserve">  </w:t>
      </w:r>
      <w:r w:rsidRPr="00B94CD4">
        <w:rPr>
          <w:rFonts w:ascii="Abadi" w:hAnsi="Abadi"/>
          <w:b w:val="0"/>
          <w:bCs w:val="0"/>
          <w:sz w:val="21"/>
          <w:szCs w:val="21"/>
        </w:rPr>
        <w:t>municipio</w:t>
      </w:r>
      <w:r w:rsidRPr="00B94CD4">
        <w:rPr>
          <w:rFonts w:ascii="Abadi" w:hAnsi="Abadi"/>
          <w:b w:val="0"/>
          <w:bCs w:val="0"/>
          <w:spacing w:val="26"/>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Guanajuato,</w:t>
      </w:r>
      <w:r w:rsidRPr="00B94CD4">
        <w:rPr>
          <w:rFonts w:ascii="Abadi" w:hAnsi="Abadi"/>
          <w:b w:val="0"/>
          <w:bCs w:val="0"/>
          <w:spacing w:val="-9"/>
          <w:sz w:val="21"/>
          <w:szCs w:val="21"/>
        </w:rPr>
        <w:t xml:space="preserve"> </w:t>
      </w:r>
      <w:r w:rsidRPr="00B94CD4">
        <w:rPr>
          <w:rFonts w:ascii="Abadi" w:hAnsi="Abadi"/>
          <w:b w:val="0"/>
          <w:bCs w:val="0"/>
          <w:sz w:val="21"/>
          <w:szCs w:val="21"/>
        </w:rPr>
        <w:t>por</w:t>
      </w:r>
      <w:r w:rsidRPr="00B94CD4">
        <w:rPr>
          <w:rFonts w:ascii="Abadi" w:hAnsi="Abadi"/>
          <w:b w:val="0"/>
          <w:bCs w:val="0"/>
          <w:spacing w:val="-9"/>
          <w:sz w:val="21"/>
          <w:szCs w:val="21"/>
        </w:rPr>
        <w:t xml:space="preserve"> </w:t>
      </w:r>
      <w:r w:rsidRPr="00B94CD4">
        <w:rPr>
          <w:rFonts w:ascii="Abadi" w:hAnsi="Abadi"/>
          <w:b w:val="0"/>
          <w:bCs w:val="0"/>
          <w:sz w:val="21"/>
          <w:szCs w:val="21"/>
        </w:rPr>
        <w:t>los</w:t>
      </w:r>
      <w:r w:rsidRPr="00B94CD4">
        <w:rPr>
          <w:rFonts w:ascii="Abadi" w:hAnsi="Abadi"/>
          <w:b w:val="0"/>
          <w:bCs w:val="0"/>
          <w:spacing w:val="-8"/>
          <w:sz w:val="21"/>
          <w:szCs w:val="21"/>
        </w:rPr>
        <w:t xml:space="preserve"> </w:t>
      </w:r>
      <w:r w:rsidRPr="00B94CD4">
        <w:rPr>
          <w:rFonts w:ascii="Abadi" w:hAnsi="Abadi"/>
          <w:b w:val="0"/>
          <w:bCs w:val="0"/>
          <w:sz w:val="21"/>
          <w:szCs w:val="21"/>
        </w:rPr>
        <w:t>ejercicios</w:t>
      </w:r>
      <w:r w:rsidRPr="00B94CD4">
        <w:rPr>
          <w:rFonts w:ascii="Abadi" w:hAnsi="Abadi"/>
          <w:b w:val="0"/>
          <w:bCs w:val="0"/>
          <w:spacing w:val="-9"/>
          <w:sz w:val="21"/>
          <w:szCs w:val="21"/>
        </w:rPr>
        <w:t xml:space="preserve"> </w:t>
      </w:r>
      <w:r w:rsidRPr="00B94CD4">
        <w:rPr>
          <w:rFonts w:ascii="Abadi" w:hAnsi="Abadi"/>
          <w:b w:val="0"/>
          <w:bCs w:val="0"/>
          <w:sz w:val="21"/>
          <w:szCs w:val="21"/>
        </w:rPr>
        <w:t>fiscales</w:t>
      </w:r>
      <w:r w:rsidRPr="00B94CD4">
        <w:rPr>
          <w:rFonts w:ascii="Abadi" w:hAnsi="Abadi"/>
          <w:b w:val="0"/>
          <w:bCs w:val="0"/>
          <w:spacing w:val="-9"/>
          <w:sz w:val="21"/>
          <w:szCs w:val="21"/>
        </w:rPr>
        <w:t xml:space="preserve"> </w:t>
      </w:r>
      <w:r w:rsidRPr="00B94CD4">
        <w:rPr>
          <w:rFonts w:ascii="Abadi" w:hAnsi="Abadi"/>
          <w:b w:val="0"/>
          <w:bCs w:val="0"/>
          <w:sz w:val="21"/>
          <w:szCs w:val="21"/>
        </w:rPr>
        <w:t>de</w:t>
      </w:r>
      <w:r w:rsidRPr="00B94CD4">
        <w:rPr>
          <w:rFonts w:ascii="Abadi" w:hAnsi="Abadi"/>
          <w:b w:val="0"/>
          <w:bCs w:val="0"/>
          <w:spacing w:val="-9"/>
          <w:sz w:val="21"/>
          <w:szCs w:val="21"/>
        </w:rPr>
        <w:t xml:space="preserve"> </w:t>
      </w:r>
      <w:r w:rsidRPr="00B94CD4">
        <w:rPr>
          <w:rFonts w:ascii="Abadi" w:hAnsi="Abadi"/>
          <w:b w:val="0"/>
          <w:bCs w:val="0"/>
          <w:sz w:val="21"/>
          <w:szCs w:val="21"/>
        </w:rPr>
        <w:t>2019,</w:t>
      </w:r>
      <w:r w:rsidRPr="00B94CD4">
        <w:rPr>
          <w:rFonts w:ascii="Abadi" w:hAnsi="Abadi"/>
          <w:b w:val="0"/>
          <w:bCs w:val="0"/>
          <w:spacing w:val="-9"/>
          <w:sz w:val="21"/>
          <w:szCs w:val="21"/>
        </w:rPr>
        <w:t xml:space="preserve"> </w:t>
      </w:r>
      <w:r w:rsidRPr="00B94CD4">
        <w:rPr>
          <w:rFonts w:ascii="Abadi" w:hAnsi="Abadi"/>
          <w:b w:val="0"/>
          <w:bCs w:val="0"/>
          <w:sz w:val="21"/>
          <w:szCs w:val="21"/>
        </w:rPr>
        <w:t>2020</w:t>
      </w:r>
      <w:r w:rsidRPr="00B94CD4">
        <w:rPr>
          <w:rFonts w:ascii="Abadi" w:hAnsi="Abadi"/>
          <w:b w:val="0"/>
          <w:bCs w:val="0"/>
          <w:spacing w:val="-8"/>
          <w:sz w:val="21"/>
          <w:szCs w:val="21"/>
        </w:rPr>
        <w:t xml:space="preserve"> </w:t>
      </w:r>
      <w:r w:rsidRPr="00B94CD4">
        <w:rPr>
          <w:rFonts w:ascii="Abadi" w:hAnsi="Abadi"/>
          <w:b w:val="0"/>
          <w:bCs w:val="0"/>
          <w:sz w:val="21"/>
          <w:szCs w:val="21"/>
        </w:rPr>
        <w:t>y</w:t>
      </w:r>
      <w:r w:rsidRPr="00B94CD4">
        <w:rPr>
          <w:rFonts w:ascii="Abadi" w:hAnsi="Abadi"/>
          <w:b w:val="0"/>
          <w:bCs w:val="0"/>
          <w:spacing w:val="-9"/>
          <w:sz w:val="21"/>
          <w:szCs w:val="21"/>
        </w:rPr>
        <w:t xml:space="preserve"> </w:t>
      </w:r>
      <w:r w:rsidRPr="00B94CD4">
        <w:rPr>
          <w:rFonts w:ascii="Abadi" w:hAnsi="Abadi"/>
          <w:b w:val="0"/>
          <w:bCs w:val="0"/>
          <w:sz w:val="21"/>
          <w:szCs w:val="21"/>
        </w:rPr>
        <w:t>2021</w:t>
      </w:r>
      <w:r w:rsidRPr="00B94CD4">
        <w:rPr>
          <w:rFonts w:ascii="Abadi" w:hAnsi="Abadi"/>
          <w:b w:val="0"/>
          <w:bCs w:val="0"/>
          <w:spacing w:val="-9"/>
          <w:sz w:val="21"/>
          <w:szCs w:val="21"/>
        </w:rPr>
        <w:t xml:space="preserve"> </w:t>
      </w:r>
      <w:r w:rsidRPr="00B94CD4">
        <w:rPr>
          <w:rFonts w:ascii="Abadi" w:hAnsi="Abadi"/>
          <w:b w:val="0"/>
          <w:bCs w:val="0"/>
          <w:sz w:val="21"/>
          <w:szCs w:val="21"/>
        </w:rPr>
        <w:t>y</w:t>
      </w:r>
      <w:r w:rsidRPr="00B94CD4">
        <w:rPr>
          <w:rFonts w:ascii="Abadi" w:hAnsi="Abadi"/>
          <w:b w:val="0"/>
          <w:bCs w:val="0"/>
          <w:spacing w:val="-9"/>
          <w:sz w:val="21"/>
          <w:szCs w:val="21"/>
        </w:rPr>
        <w:t xml:space="preserve"> </w:t>
      </w:r>
      <w:r w:rsidRPr="00B94CD4">
        <w:rPr>
          <w:rFonts w:ascii="Abadi" w:hAnsi="Abadi"/>
          <w:b w:val="0"/>
          <w:bCs w:val="0"/>
          <w:sz w:val="21"/>
          <w:szCs w:val="21"/>
        </w:rPr>
        <w:t>concomitante</w:t>
      </w:r>
      <w:r w:rsidRPr="00B94CD4">
        <w:rPr>
          <w:rFonts w:ascii="Abadi" w:hAnsi="Abadi"/>
          <w:b w:val="0"/>
          <w:bCs w:val="0"/>
          <w:spacing w:val="-1"/>
          <w:sz w:val="21"/>
          <w:szCs w:val="21"/>
        </w:rPr>
        <w:t xml:space="preserve"> </w:t>
      </w:r>
      <w:r w:rsidRPr="00B94CD4">
        <w:rPr>
          <w:rFonts w:ascii="Abadi" w:hAnsi="Abadi"/>
          <w:b w:val="0"/>
          <w:bCs w:val="0"/>
          <w:sz w:val="21"/>
          <w:szCs w:val="21"/>
        </w:rPr>
        <w:t xml:space="preserve">a 2022. </w:t>
      </w:r>
      <w:r w:rsidRPr="00812DB2">
        <w:rPr>
          <w:rFonts w:ascii="Abadi" w:hAnsi="Abadi"/>
          <w:sz w:val="21"/>
          <w:szCs w:val="21"/>
        </w:rPr>
        <w:t>XXXIV.-</w:t>
      </w:r>
      <w:r w:rsidRPr="00B94CD4">
        <w:rPr>
          <w:rFonts w:ascii="Abadi" w:hAnsi="Abadi"/>
          <w:b w:val="0"/>
          <w:bCs w:val="0"/>
          <w:sz w:val="21"/>
          <w:szCs w:val="21"/>
        </w:rPr>
        <w:t xml:space="preserve"> Discusión</w:t>
      </w:r>
      <w:r w:rsidRPr="00B94CD4">
        <w:rPr>
          <w:rFonts w:ascii="Abadi" w:hAnsi="Abadi"/>
          <w:b w:val="0"/>
          <w:bCs w:val="0"/>
          <w:spacing w:val="10"/>
          <w:sz w:val="21"/>
          <w:szCs w:val="21"/>
        </w:rPr>
        <w:t xml:space="preserve"> </w:t>
      </w:r>
      <w:r w:rsidRPr="00B94CD4">
        <w:rPr>
          <w:rFonts w:ascii="Abadi" w:hAnsi="Abadi"/>
          <w:b w:val="0"/>
          <w:bCs w:val="0"/>
          <w:sz w:val="21"/>
          <w:szCs w:val="21"/>
        </w:rPr>
        <w:t>y,</w:t>
      </w:r>
      <w:r w:rsidRPr="00B94CD4">
        <w:rPr>
          <w:rFonts w:ascii="Abadi" w:hAnsi="Abadi"/>
          <w:b w:val="0"/>
          <w:bCs w:val="0"/>
          <w:spacing w:val="10"/>
          <w:sz w:val="21"/>
          <w:szCs w:val="21"/>
        </w:rPr>
        <w:t xml:space="preserve"> </w:t>
      </w:r>
      <w:r w:rsidRPr="00B94CD4">
        <w:rPr>
          <w:rFonts w:ascii="Abadi" w:hAnsi="Abadi"/>
          <w:b w:val="0"/>
          <w:bCs w:val="0"/>
          <w:sz w:val="21"/>
          <w:szCs w:val="21"/>
        </w:rPr>
        <w:t>en</w:t>
      </w:r>
      <w:r w:rsidRPr="00B94CD4">
        <w:rPr>
          <w:rFonts w:ascii="Abadi" w:hAnsi="Abadi"/>
          <w:b w:val="0"/>
          <w:bCs w:val="0"/>
          <w:spacing w:val="9"/>
          <w:sz w:val="21"/>
          <w:szCs w:val="21"/>
        </w:rPr>
        <w:t xml:space="preserve"> </w:t>
      </w:r>
      <w:r w:rsidRPr="00B94CD4">
        <w:rPr>
          <w:rFonts w:ascii="Abadi" w:hAnsi="Abadi"/>
          <w:b w:val="0"/>
          <w:bCs w:val="0"/>
          <w:sz w:val="21"/>
          <w:szCs w:val="21"/>
        </w:rPr>
        <w:t>su</w:t>
      </w:r>
      <w:r w:rsidRPr="00B94CD4">
        <w:rPr>
          <w:rFonts w:ascii="Abadi" w:hAnsi="Abadi"/>
          <w:b w:val="0"/>
          <w:bCs w:val="0"/>
          <w:spacing w:val="10"/>
          <w:sz w:val="21"/>
          <w:szCs w:val="21"/>
        </w:rPr>
        <w:t xml:space="preserve"> </w:t>
      </w:r>
      <w:r w:rsidRPr="00B94CD4">
        <w:rPr>
          <w:rFonts w:ascii="Abadi" w:hAnsi="Abadi"/>
          <w:b w:val="0"/>
          <w:bCs w:val="0"/>
          <w:sz w:val="21"/>
          <w:szCs w:val="21"/>
        </w:rPr>
        <w:t>caso,</w:t>
      </w:r>
      <w:r w:rsidRPr="00B94CD4">
        <w:rPr>
          <w:rFonts w:ascii="Abadi" w:hAnsi="Abadi"/>
          <w:b w:val="0"/>
          <w:bCs w:val="0"/>
          <w:spacing w:val="10"/>
          <w:sz w:val="21"/>
          <w:szCs w:val="21"/>
        </w:rPr>
        <w:t xml:space="preserve"> </w:t>
      </w:r>
      <w:r w:rsidRPr="00B94CD4">
        <w:rPr>
          <w:rFonts w:ascii="Abadi" w:hAnsi="Abadi"/>
          <w:b w:val="0"/>
          <w:bCs w:val="0"/>
          <w:sz w:val="21"/>
          <w:szCs w:val="21"/>
        </w:rPr>
        <w:t>aprobación</w:t>
      </w:r>
      <w:r w:rsidRPr="00B94CD4">
        <w:rPr>
          <w:rFonts w:ascii="Abadi" w:hAnsi="Abadi"/>
          <w:b w:val="0"/>
          <w:bCs w:val="0"/>
          <w:spacing w:val="9"/>
          <w:sz w:val="21"/>
          <w:szCs w:val="21"/>
        </w:rPr>
        <w:t xml:space="preserve"> </w:t>
      </w:r>
      <w:r w:rsidRPr="00B94CD4">
        <w:rPr>
          <w:rFonts w:ascii="Abadi" w:hAnsi="Abadi"/>
          <w:b w:val="0"/>
          <w:bCs w:val="0"/>
          <w:sz w:val="21"/>
          <w:szCs w:val="21"/>
        </w:rPr>
        <w:t>del</w:t>
      </w:r>
      <w:r w:rsidRPr="00B94CD4">
        <w:rPr>
          <w:rFonts w:ascii="Abadi" w:hAnsi="Abadi"/>
          <w:b w:val="0"/>
          <w:bCs w:val="0"/>
          <w:spacing w:val="10"/>
          <w:sz w:val="21"/>
          <w:szCs w:val="21"/>
        </w:rPr>
        <w:t xml:space="preserve"> </w:t>
      </w:r>
      <w:r w:rsidRPr="00B94CD4">
        <w:rPr>
          <w:rFonts w:ascii="Abadi" w:hAnsi="Abadi"/>
          <w:b w:val="0"/>
          <w:bCs w:val="0"/>
          <w:sz w:val="21"/>
          <w:szCs w:val="21"/>
        </w:rPr>
        <w:t>dictamen</w:t>
      </w:r>
      <w:r w:rsidRPr="00B94CD4">
        <w:rPr>
          <w:rFonts w:ascii="Abadi" w:hAnsi="Abadi"/>
          <w:b w:val="0"/>
          <w:bCs w:val="0"/>
          <w:spacing w:val="10"/>
          <w:sz w:val="21"/>
          <w:szCs w:val="21"/>
        </w:rPr>
        <w:t xml:space="preserve"> </w:t>
      </w:r>
      <w:r w:rsidRPr="00B94CD4">
        <w:rPr>
          <w:rFonts w:ascii="Abadi" w:hAnsi="Abadi"/>
          <w:b w:val="0"/>
          <w:bCs w:val="0"/>
          <w:sz w:val="21"/>
          <w:szCs w:val="21"/>
        </w:rPr>
        <w:t>signado</w:t>
      </w:r>
      <w:r w:rsidRPr="00B94CD4">
        <w:rPr>
          <w:rFonts w:ascii="Abadi" w:hAnsi="Abadi"/>
          <w:b w:val="0"/>
          <w:bCs w:val="0"/>
          <w:spacing w:val="9"/>
          <w:sz w:val="21"/>
          <w:szCs w:val="21"/>
        </w:rPr>
        <w:t xml:space="preserve"> </w:t>
      </w:r>
      <w:r w:rsidRPr="00B94CD4">
        <w:rPr>
          <w:rFonts w:ascii="Abadi" w:hAnsi="Abadi"/>
          <w:b w:val="0"/>
          <w:bCs w:val="0"/>
          <w:sz w:val="21"/>
          <w:szCs w:val="21"/>
        </w:rPr>
        <w:t>por</w:t>
      </w:r>
      <w:r w:rsidRPr="00B94CD4">
        <w:rPr>
          <w:rFonts w:ascii="Abadi" w:hAnsi="Abadi"/>
          <w:b w:val="0"/>
          <w:bCs w:val="0"/>
          <w:spacing w:val="10"/>
          <w:sz w:val="21"/>
          <w:szCs w:val="21"/>
        </w:rPr>
        <w:t xml:space="preserve"> </w:t>
      </w:r>
      <w:r w:rsidRPr="00B94CD4">
        <w:rPr>
          <w:rFonts w:ascii="Abadi" w:hAnsi="Abadi"/>
          <w:b w:val="0"/>
          <w:bCs w:val="0"/>
          <w:sz w:val="21"/>
          <w:szCs w:val="21"/>
        </w:rPr>
        <w:t>la</w:t>
      </w:r>
      <w:r w:rsidRPr="00B94CD4">
        <w:rPr>
          <w:rFonts w:ascii="Abadi" w:hAnsi="Abadi"/>
          <w:b w:val="0"/>
          <w:bCs w:val="0"/>
          <w:spacing w:val="10"/>
          <w:sz w:val="21"/>
          <w:szCs w:val="21"/>
        </w:rPr>
        <w:t xml:space="preserve"> </w:t>
      </w:r>
      <w:r w:rsidRPr="00B94CD4">
        <w:rPr>
          <w:rFonts w:ascii="Abadi" w:hAnsi="Abadi"/>
          <w:b w:val="0"/>
          <w:bCs w:val="0"/>
          <w:sz w:val="21"/>
          <w:szCs w:val="21"/>
        </w:rPr>
        <w:t>Comisión</w:t>
      </w:r>
      <w:r w:rsidRPr="00B94CD4">
        <w:rPr>
          <w:rFonts w:ascii="Abadi" w:hAnsi="Abadi"/>
          <w:b w:val="0"/>
          <w:bCs w:val="0"/>
          <w:spacing w:val="-1"/>
          <w:sz w:val="21"/>
          <w:szCs w:val="21"/>
        </w:rPr>
        <w:t xml:space="preserve"> </w:t>
      </w:r>
      <w:r w:rsidRPr="00B94CD4">
        <w:rPr>
          <w:rFonts w:ascii="Abadi" w:hAnsi="Abadi"/>
          <w:b w:val="0"/>
          <w:bCs w:val="0"/>
          <w:sz w:val="21"/>
          <w:szCs w:val="21"/>
        </w:rPr>
        <w:t>de</w:t>
      </w:r>
      <w:r w:rsidRPr="00B94CD4">
        <w:rPr>
          <w:rFonts w:ascii="Abadi" w:hAnsi="Abadi"/>
          <w:b w:val="0"/>
          <w:bCs w:val="0"/>
          <w:spacing w:val="33"/>
          <w:sz w:val="21"/>
          <w:szCs w:val="21"/>
        </w:rPr>
        <w:t xml:space="preserve"> </w:t>
      </w:r>
      <w:r w:rsidRPr="00B94CD4">
        <w:rPr>
          <w:rFonts w:ascii="Abadi" w:hAnsi="Abadi"/>
          <w:b w:val="0"/>
          <w:bCs w:val="0"/>
          <w:sz w:val="21"/>
          <w:szCs w:val="21"/>
        </w:rPr>
        <w:t>Hacienda</w:t>
      </w:r>
      <w:r w:rsidRPr="00B94CD4">
        <w:rPr>
          <w:rFonts w:ascii="Abadi" w:hAnsi="Abadi"/>
          <w:b w:val="0"/>
          <w:bCs w:val="0"/>
          <w:spacing w:val="32"/>
          <w:sz w:val="21"/>
          <w:szCs w:val="21"/>
        </w:rPr>
        <w:t xml:space="preserve"> </w:t>
      </w:r>
      <w:r w:rsidRPr="00B94CD4">
        <w:rPr>
          <w:rFonts w:ascii="Abadi" w:hAnsi="Abadi"/>
          <w:b w:val="0"/>
          <w:bCs w:val="0"/>
          <w:sz w:val="21"/>
          <w:szCs w:val="21"/>
        </w:rPr>
        <w:t>y</w:t>
      </w:r>
      <w:r w:rsidRPr="00B94CD4">
        <w:rPr>
          <w:rFonts w:ascii="Abadi" w:hAnsi="Abadi"/>
          <w:b w:val="0"/>
          <w:bCs w:val="0"/>
          <w:spacing w:val="33"/>
          <w:sz w:val="21"/>
          <w:szCs w:val="21"/>
        </w:rPr>
        <w:t xml:space="preserve"> </w:t>
      </w:r>
      <w:r w:rsidRPr="00B94CD4">
        <w:rPr>
          <w:rFonts w:ascii="Abadi" w:hAnsi="Abadi"/>
          <w:b w:val="0"/>
          <w:bCs w:val="0"/>
          <w:sz w:val="21"/>
          <w:szCs w:val="21"/>
        </w:rPr>
        <w:t>Fiscalización</w:t>
      </w:r>
      <w:r w:rsidRPr="00B94CD4">
        <w:rPr>
          <w:rFonts w:ascii="Abadi" w:hAnsi="Abadi"/>
          <w:b w:val="0"/>
          <w:bCs w:val="0"/>
          <w:spacing w:val="32"/>
          <w:sz w:val="21"/>
          <w:szCs w:val="21"/>
        </w:rPr>
        <w:t xml:space="preserve"> </w:t>
      </w:r>
      <w:r w:rsidRPr="00B94CD4">
        <w:rPr>
          <w:rFonts w:ascii="Abadi" w:hAnsi="Abadi"/>
          <w:b w:val="0"/>
          <w:bCs w:val="0"/>
          <w:sz w:val="21"/>
          <w:szCs w:val="21"/>
        </w:rPr>
        <w:t>relativo</w:t>
      </w:r>
      <w:r w:rsidRPr="00B94CD4">
        <w:rPr>
          <w:rFonts w:ascii="Abadi" w:hAnsi="Abadi"/>
          <w:b w:val="0"/>
          <w:bCs w:val="0"/>
          <w:spacing w:val="33"/>
          <w:sz w:val="21"/>
          <w:szCs w:val="21"/>
        </w:rPr>
        <w:t xml:space="preserve"> </w:t>
      </w:r>
      <w:r w:rsidRPr="00B94CD4">
        <w:rPr>
          <w:rFonts w:ascii="Abadi" w:hAnsi="Abadi"/>
          <w:b w:val="0"/>
          <w:bCs w:val="0"/>
          <w:sz w:val="21"/>
          <w:szCs w:val="21"/>
        </w:rPr>
        <w:t>a</w:t>
      </w:r>
      <w:r w:rsidRPr="00B94CD4">
        <w:rPr>
          <w:rFonts w:ascii="Abadi" w:hAnsi="Abadi"/>
          <w:b w:val="0"/>
          <w:bCs w:val="0"/>
          <w:spacing w:val="33"/>
          <w:sz w:val="21"/>
          <w:szCs w:val="21"/>
        </w:rPr>
        <w:t xml:space="preserve"> </w:t>
      </w:r>
      <w:r w:rsidRPr="00B94CD4">
        <w:rPr>
          <w:rFonts w:ascii="Abadi" w:hAnsi="Abadi"/>
          <w:b w:val="0"/>
          <w:bCs w:val="0"/>
          <w:sz w:val="21"/>
          <w:szCs w:val="21"/>
        </w:rPr>
        <w:t>la</w:t>
      </w:r>
      <w:r w:rsidRPr="00B94CD4">
        <w:rPr>
          <w:rFonts w:ascii="Abadi" w:hAnsi="Abadi"/>
          <w:b w:val="0"/>
          <w:bCs w:val="0"/>
          <w:spacing w:val="34"/>
          <w:sz w:val="21"/>
          <w:szCs w:val="21"/>
        </w:rPr>
        <w:t xml:space="preserve"> </w:t>
      </w:r>
      <w:r w:rsidRPr="00B94CD4">
        <w:rPr>
          <w:rFonts w:ascii="Abadi" w:hAnsi="Abadi"/>
          <w:b w:val="0"/>
          <w:bCs w:val="0"/>
          <w:sz w:val="21"/>
          <w:szCs w:val="21"/>
        </w:rPr>
        <w:t>propuesta</w:t>
      </w:r>
      <w:r w:rsidRPr="00B94CD4">
        <w:rPr>
          <w:rFonts w:ascii="Abadi" w:hAnsi="Abadi"/>
          <w:b w:val="0"/>
          <w:bCs w:val="0"/>
          <w:spacing w:val="33"/>
          <w:sz w:val="21"/>
          <w:szCs w:val="21"/>
        </w:rPr>
        <w:t xml:space="preserve"> </w:t>
      </w:r>
      <w:r w:rsidRPr="00B94CD4">
        <w:rPr>
          <w:rFonts w:ascii="Abadi" w:hAnsi="Abadi"/>
          <w:b w:val="0"/>
          <w:bCs w:val="0"/>
          <w:sz w:val="21"/>
          <w:szCs w:val="21"/>
        </w:rPr>
        <w:t>de</w:t>
      </w:r>
      <w:r w:rsidRPr="00B94CD4">
        <w:rPr>
          <w:rFonts w:ascii="Abadi" w:hAnsi="Abadi"/>
          <w:b w:val="0"/>
          <w:bCs w:val="0"/>
          <w:spacing w:val="33"/>
          <w:sz w:val="21"/>
          <w:szCs w:val="21"/>
        </w:rPr>
        <w:t xml:space="preserve"> </w:t>
      </w:r>
      <w:r w:rsidRPr="00B94CD4">
        <w:rPr>
          <w:rFonts w:ascii="Abadi" w:hAnsi="Abadi"/>
          <w:b w:val="0"/>
          <w:bCs w:val="0"/>
          <w:sz w:val="21"/>
          <w:szCs w:val="21"/>
        </w:rPr>
        <w:t>punto</w:t>
      </w:r>
      <w:r w:rsidRPr="00B94CD4">
        <w:rPr>
          <w:rFonts w:ascii="Abadi" w:hAnsi="Abadi"/>
          <w:b w:val="0"/>
          <w:bCs w:val="0"/>
          <w:spacing w:val="33"/>
          <w:sz w:val="21"/>
          <w:szCs w:val="21"/>
        </w:rPr>
        <w:t xml:space="preserve"> </w:t>
      </w:r>
      <w:r w:rsidRPr="00B94CD4">
        <w:rPr>
          <w:rFonts w:ascii="Abadi" w:hAnsi="Abadi"/>
          <w:b w:val="0"/>
          <w:bCs w:val="0"/>
          <w:sz w:val="21"/>
          <w:szCs w:val="21"/>
        </w:rPr>
        <w:t>de</w:t>
      </w:r>
      <w:r w:rsidRPr="00B94CD4">
        <w:rPr>
          <w:rFonts w:ascii="Abadi" w:hAnsi="Abadi"/>
          <w:b w:val="0"/>
          <w:bCs w:val="0"/>
          <w:spacing w:val="34"/>
          <w:sz w:val="21"/>
          <w:szCs w:val="21"/>
        </w:rPr>
        <w:t xml:space="preserve"> </w:t>
      </w:r>
      <w:r w:rsidRPr="00B94CD4">
        <w:rPr>
          <w:rFonts w:ascii="Abadi" w:hAnsi="Abadi"/>
          <w:b w:val="0"/>
          <w:bCs w:val="0"/>
          <w:sz w:val="21"/>
          <w:szCs w:val="21"/>
        </w:rPr>
        <w:t>acuerdo</w:t>
      </w:r>
      <w:r w:rsidRPr="00B94CD4">
        <w:rPr>
          <w:rFonts w:ascii="Abadi" w:hAnsi="Abadi"/>
          <w:b w:val="0"/>
          <w:bCs w:val="0"/>
          <w:spacing w:val="-1"/>
          <w:sz w:val="21"/>
          <w:szCs w:val="21"/>
        </w:rPr>
        <w:t xml:space="preserve"> </w:t>
      </w:r>
      <w:r w:rsidRPr="00B94CD4">
        <w:rPr>
          <w:rFonts w:ascii="Abadi" w:hAnsi="Abadi"/>
          <w:b w:val="0"/>
          <w:bCs w:val="0"/>
          <w:sz w:val="21"/>
          <w:szCs w:val="21"/>
        </w:rPr>
        <w:t>formulada</w:t>
      </w:r>
      <w:r w:rsidRPr="00B94CD4">
        <w:rPr>
          <w:rFonts w:ascii="Abadi" w:hAnsi="Abadi"/>
          <w:b w:val="0"/>
          <w:bCs w:val="0"/>
          <w:spacing w:val="-13"/>
          <w:sz w:val="21"/>
          <w:szCs w:val="21"/>
        </w:rPr>
        <w:t xml:space="preserve"> </w:t>
      </w:r>
      <w:r w:rsidRPr="00B94CD4">
        <w:rPr>
          <w:rFonts w:ascii="Abadi" w:hAnsi="Abadi"/>
          <w:b w:val="0"/>
          <w:bCs w:val="0"/>
          <w:sz w:val="21"/>
          <w:szCs w:val="21"/>
        </w:rPr>
        <w:t>por</w:t>
      </w:r>
      <w:r w:rsidRPr="00B94CD4">
        <w:rPr>
          <w:rFonts w:ascii="Abadi" w:hAnsi="Abadi"/>
          <w:b w:val="0"/>
          <w:bCs w:val="0"/>
          <w:spacing w:val="-14"/>
          <w:sz w:val="21"/>
          <w:szCs w:val="21"/>
        </w:rPr>
        <w:t xml:space="preserve"> </w:t>
      </w:r>
      <w:r w:rsidRPr="00B94CD4">
        <w:rPr>
          <w:rFonts w:ascii="Abadi" w:hAnsi="Abadi"/>
          <w:b w:val="0"/>
          <w:bCs w:val="0"/>
          <w:sz w:val="21"/>
          <w:szCs w:val="21"/>
        </w:rPr>
        <w:t>la</w:t>
      </w:r>
      <w:r w:rsidRPr="00B94CD4">
        <w:rPr>
          <w:rFonts w:ascii="Abadi" w:hAnsi="Abadi"/>
          <w:b w:val="0"/>
          <w:bCs w:val="0"/>
          <w:spacing w:val="-15"/>
          <w:sz w:val="21"/>
          <w:szCs w:val="21"/>
        </w:rPr>
        <w:t xml:space="preserve"> </w:t>
      </w:r>
      <w:r w:rsidRPr="00B94CD4">
        <w:rPr>
          <w:rFonts w:ascii="Abadi" w:hAnsi="Abadi"/>
          <w:b w:val="0"/>
          <w:bCs w:val="0"/>
          <w:sz w:val="21"/>
          <w:szCs w:val="21"/>
        </w:rPr>
        <w:t>diputada</w:t>
      </w:r>
      <w:r w:rsidRPr="00B94CD4">
        <w:rPr>
          <w:rFonts w:ascii="Abadi" w:hAnsi="Abadi"/>
          <w:b w:val="0"/>
          <w:bCs w:val="0"/>
          <w:spacing w:val="-14"/>
          <w:sz w:val="21"/>
          <w:szCs w:val="21"/>
        </w:rPr>
        <w:t xml:space="preserve"> </w:t>
      </w:r>
      <w:r w:rsidRPr="00B94CD4">
        <w:rPr>
          <w:rFonts w:ascii="Abadi" w:hAnsi="Abadi"/>
          <w:b w:val="0"/>
          <w:bCs w:val="0"/>
          <w:sz w:val="21"/>
          <w:szCs w:val="21"/>
        </w:rPr>
        <w:t>Alma</w:t>
      </w:r>
      <w:r w:rsidRPr="00B94CD4">
        <w:rPr>
          <w:rFonts w:ascii="Abadi" w:hAnsi="Abadi"/>
          <w:b w:val="0"/>
          <w:bCs w:val="0"/>
          <w:spacing w:val="-14"/>
          <w:sz w:val="21"/>
          <w:szCs w:val="21"/>
        </w:rPr>
        <w:t xml:space="preserve"> </w:t>
      </w:r>
      <w:r w:rsidRPr="00B94CD4">
        <w:rPr>
          <w:rFonts w:ascii="Abadi" w:hAnsi="Abadi"/>
          <w:b w:val="0"/>
          <w:bCs w:val="0"/>
          <w:sz w:val="21"/>
          <w:szCs w:val="21"/>
        </w:rPr>
        <w:t>Edwviges</w:t>
      </w:r>
      <w:r w:rsidRPr="00B94CD4">
        <w:rPr>
          <w:rFonts w:ascii="Abadi" w:hAnsi="Abadi"/>
          <w:b w:val="0"/>
          <w:bCs w:val="0"/>
          <w:spacing w:val="-15"/>
          <w:sz w:val="21"/>
          <w:szCs w:val="21"/>
        </w:rPr>
        <w:t xml:space="preserve"> </w:t>
      </w:r>
      <w:r w:rsidRPr="00B94CD4">
        <w:rPr>
          <w:rFonts w:ascii="Abadi" w:hAnsi="Abadi"/>
          <w:b w:val="0"/>
          <w:bCs w:val="0"/>
          <w:sz w:val="21"/>
          <w:szCs w:val="21"/>
        </w:rPr>
        <w:t>Alcaraz</w:t>
      </w:r>
      <w:r w:rsidRPr="00B94CD4">
        <w:rPr>
          <w:rFonts w:ascii="Abadi" w:hAnsi="Abadi"/>
          <w:b w:val="0"/>
          <w:bCs w:val="0"/>
          <w:spacing w:val="-14"/>
          <w:sz w:val="21"/>
          <w:szCs w:val="21"/>
        </w:rPr>
        <w:t xml:space="preserve"> </w:t>
      </w:r>
      <w:r w:rsidRPr="00B94CD4">
        <w:rPr>
          <w:rFonts w:ascii="Abadi" w:hAnsi="Abadi"/>
          <w:b w:val="0"/>
          <w:bCs w:val="0"/>
          <w:sz w:val="21"/>
          <w:szCs w:val="21"/>
        </w:rPr>
        <w:t>Hernández,</w:t>
      </w:r>
      <w:r w:rsidRPr="00B94CD4">
        <w:rPr>
          <w:rFonts w:ascii="Abadi" w:hAnsi="Abadi"/>
          <w:b w:val="0"/>
          <w:bCs w:val="0"/>
          <w:spacing w:val="-14"/>
          <w:sz w:val="21"/>
          <w:szCs w:val="21"/>
        </w:rPr>
        <w:t xml:space="preserve"> </w:t>
      </w:r>
      <w:r w:rsidRPr="00B94CD4">
        <w:rPr>
          <w:rFonts w:ascii="Abadi" w:hAnsi="Abadi"/>
          <w:b w:val="0"/>
          <w:bCs w:val="0"/>
          <w:sz w:val="21"/>
          <w:szCs w:val="21"/>
        </w:rPr>
        <w:t>integrante</w:t>
      </w:r>
      <w:r w:rsidRPr="00B94CD4">
        <w:rPr>
          <w:rFonts w:ascii="Abadi" w:hAnsi="Abadi"/>
          <w:b w:val="0"/>
          <w:bCs w:val="0"/>
          <w:spacing w:val="-14"/>
          <w:sz w:val="21"/>
          <w:szCs w:val="21"/>
        </w:rPr>
        <w:t xml:space="preserve"> </w:t>
      </w:r>
      <w:r w:rsidRPr="00B94CD4">
        <w:rPr>
          <w:rFonts w:ascii="Abadi" w:hAnsi="Abadi"/>
          <w:b w:val="0"/>
          <w:bCs w:val="0"/>
          <w:sz w:val="21"/>
          <w:szCs w:val="21"/>
        </w:rPr>
        <w:t>del</w:t>
      </w:r>
      <w:r w:rsidRPr="00B94CD4">
        <w:rPr>
          <w:rFonts w:ascii="Abadi" w:hAnsi="Abadi"/>
          <w:b w:val="0"/>
          <w:bCs w:val="0"/>
          <w:spacing w:val="-1"/>
          <w:sz w:val="21"/>
          <w:szCs w:val="21"/>
        </w:rPr>
        <w:t xml:space="preserve"> </w:t>
      </w:r>
      <w:r w:rsidRPr="00B94CD4">
        <w:rPr>
          <w:rFonts w:ascii="Abadi" w:hAnsi="Abadi"/>
          <w:b w:val="0"/>
          <w:bCs w:val="0"/>
          <w:sz w:val="21"/>
          <w:szCs w:val="21"/>
        </w:rPr>
        <w:t>Grupo</w:t>
      </w:r>
      <w:r w:rsidRPr="00B94CD4">
        <w:rPr>
          <w:rFonts w:ascii="Abadi" w:hAnsi="Abadi"/>
          <w:b w:val="0"/>
          <w:bCs w:val="0"/>
          <w:spacing w:val="-6"/>
          <w:sz w:val="21"/>
          <w:szCs w:val="21"/>
        </w:rPr>
        <w:t xml:space="preserve"> </w:t>
      </w:r>
      <w:r w:rsidRPr="00B94CD4">
        <w:rPr>
          <w:rFonts w:ascii="Abadi" w:hAnsi="Abadi"/>
          <w:b w:val="0"/>
          <w:bCs w:val="0"/>
          <w:sz w:val="21"/>
          <w:szCs w:val="21"/>
        </w:rPr>
        <w:t>Parlamentario</w:t>
      </w:r>
      <w:r w:rsidRPr="00B94CD4">
        <w:rPr>
          <w:rFonts w:ascii="Abadi" w:hAnsi="Abadi"/>
          <w:b w:val="0"/>
          <w:bCs w:val="0"/>
          <w:spacing w:val="-6"/>
          <w:sz w:val="21"/>
          <w:szCs w:val="21"/>
        </w:rPr>
        <w:t xml:space="preserve"> </w:t>
      </w:r>
      <w:r w:rsidRPr="00B94CD4">
        <w:rPr>
          <w:rFonts w:ascii="Abadi" w:hAnsi="Abadi"/>
          <w:b w:val="0"/>
          <w:bCs w:val="0"/>
          <w:sz w:val="21"/>
          <w:szCs w:val="21"/>
        </w:rPr>
        <w:t>del</w:t>
      </w:r>
      <w:r w:rsidRPr="00B94CD4">
        <w:rPr>
          <w:rFonts w:ascii="Abadi" w:hAnsi="Abadi"/>
          <w:b w:val="0"/>
          <w:bCs w:val="0"/>
          <w:spacing w:val="-7"/>
          <w:sz w:val="21"/>
          <w:szCs w:val="21"/>
        </w:rPr>
        <w:t xml:space="preserve"> </w:t>
      </w:r>
      <w:r w:rsidRPr="00B94CD4">
        <w:rPr>
          <w:rFonts w:ascii="Abadi" w:hAnsi="Abadi"/>
          <w:b w:val="0"/>
          <w:bCs w:val="0"/>
          <w:sz w:val="21"/>
          <w:szCs w:val="21"/>
        </w:rPr>
        <w:t>Partido</w:t>
      </w:r>
      <w:r w:rsidRPr="00B94CD4">
        <w:rPr>
          <w:rFonts w:ascii="Abadi" w:hAnsi="Abadi"/>
          <w:b w:val="0"/>
          <w:bCs w:val="0"/>
          <w:spacing w:val="-6"/>
          <w:sz w:val="21"/>
          <w:szCs w:val="21"/>
        </w:rPr>
        <w:t xml:space="preserve"> </w:t>
      </w:r>
      <w:r w:rsidRPr="00B94CD4">
        <w:rPr>
          <w:rFonts w:ascii="Abadi" w:hAnsi="Abadi"/>
          <w:b w:val="0"/>
          <w:bCs w:val="0"/>
          <w:sz w:val="21"/>
          <w:szCs w:val="21"/>
        </w:rPr>
        <w:t>MORENA,</w:t>
      </w:r>
      <w:r w:rsidRPr="00B94CD4">
        <w:rPr>
          <w:rFonts w:ascii="Abadi" w:hAnsi="Abadi"/>
          <w:b w:val="0"/>
          <w:bCs w:val="0"/>
          <w:spacing w:val="-6"/>
          <w:sz w:val="21"/>
          <w:szCs w:val="21"/>
        </w:rPr>
        <w:t xml:space="preserve"> </w:t>
      </w:r>
      <w:r w:rsidRPr="00B94CD4">
        <w:rPr>
          <w:rFonts w:ascii="Abadi" w:hAnsi="Abadi"/>
          <w:b w:val="0"/>
          <w:bCs w:val="0"/>
          <w:sz w:val="21"/>
          <w:szCs w:val="21"/>
        </w:rPr>
        <w:t>a</w:t>
      </w:r>
      <w:r w:rsidRPr="00B94CD4">
        <w:rPr>
          <w:rFonts w:ascii="Abadi" w:hAnsi="Abadi"/>
          <w:b w:val="0"/>
          <w:bCs w:val="0"/>
          <w:spacing w:val="-7"/>
          <w:sz w:val="21"/>
          <w:szCs w:val="21"/>
        </w:rPr>
        <w:t xml:space="preserve"> </w:t>
      </w:r>
      <w:r w:rsidRPr="00B94CD4">
        <w:rPr>
          <w:rFonts w:ascii="Abadi" w:hAnsi="Abadi"/>
          <w:b w:val="0"/>
          <w:bCs w:val="0"/>
          <w:sz w:val="21"/>
          <w:szCs w:val="21"/>
        </w:rPr>
        <w:t>efecto</w:t>
      </w:r>
      <w:r w:rsidRPr="00B94CD4">
        <w:rPr>
          <w:rFonts w:ascii="Abadi" w:hAnsi="Abadi"/>
          <w:b w:val="0"/>
          <w:bCs w:val="0"/>
          <w:spacing w:val="-6"/>
          <w:sz w:val="21"/>
          <w:szCs w:val="21"/>
        </w:rPr>
        <w:t xml:space="preserve"> </w:t>
      </w:r>
      <w:r w:rsidRPr="00B94CD4">
        <w:rPr>
          <w:rFonts w:ascii="Abadi" w:hAnsi="Abadi"/>
          <w:b w:val="0"/>
          <w:bCs w:val="0"/>
          <w:sz w:val="21"/>
          <w:szCs w:val="21"/>
        </w:rPr>
        <w:t>de</w:t>
      </w:r>
      <w:r w:rsidRPr="00B94CD4">
        <w:rPr>
          <w:rFonts w:ascii="Abadi" w:hAnsi="Abadi"/>
          <w:b w:val="0"/>
          <w:bCs w:val="0"/>
          <w:spacing w:val="-6"/>
          <w:sz w:val="21"/>
          <w:szCs w:val="21"/>
        </w:rPr>
        <w:t xml:space="preserve"> </w:t>
      </w:r>
      <w:r w:rsidRPr="00B94CD4">
        <w:rPr>
          <w:rFonts w:ascii="Abadi" w:hAnsi="Abadi"/>
          <w:b w:val="0"/>
          <w:bCs w:val="0"/>
          <w:sz w:val="21"/>
          <w:szCs w:val="21"/>
        </w:rPr>
        <w:t>exhortar</w:t>
      </w:r>
      <w:r w:rsidRPr="00B94CD4">
        <w:rPr>
          <w:rFonts w:ascii="Abadi" w:hAnsi="Abadi"/>
          <w:b w:val="0"/>
          <w:bCs w:val="0"/>
          <w:spacing w:val="-7"/>
          <w:sz w:val="21"/>
          <w:szCs w:val="21"/>
        </w:rPr>
        <w:t xml:space="preserve"> </w:t>
      </w:r>
      <w:r w:rsidRPr="00B94CD4">
        <w:rPr>
          <w:rFonts w:ascii="Abadi" w:hAnsi="Abadi"/>
          <w:b w:val="0"/>
          <w:bCs w:val="0"/>
          <w:sz w:val="21"/>
          <w:szCs w:val="21"/>
        </w:rPr>
        <w:t>al</w:t>
      </w:r>
      <w:r w:rsidRPr="00B94CD4">
        <w:rPr>
          <w:rFonts w:ascii="Abadi" w:hAnsi="Abadi"/>
          <w:b w:val="0"/>
          <w:bCs w:val="0"/>
          <w:spacing w:val="-6"/>
          <w:sz w:val="21"/>
          <w:szCs w:val="21"/>
        </w:rPr>
        <w:t xml:space="preserve"> </w:t>
      </w:r>
      <w:r w:rsidRPr="00B94CD4">
        <w:rPr>
          <w:rFonts w:ascii="Abadi" w:hAnsi="Abadi"/>
          <w:b w:val="0"/>
          <w:bCs w:val="0"/>
          <w:sz w:val="21"/>
          <w:szCs w:val="21"/>
        </w:rPr>
        <w:t>titular</w:t>
      </w:r>
      <w:r w:rsidRPr="00B94CD4">
        <w:rPr>
          <w:rFonts w:ascii="Abadi" w:hAnsi="Abadi"/>
          <w:b w:val="0"/>
          <w:bCs w:val="0"/>
          <w:spacing w:val="-6"/>
          <w:sz w:val="21"/>
          <w:szCs w:val="21"/>
        </w:rPr>
        <w:t xml:space="preserve"> </w:t>
      </w:r>
      <w:r w:rsidRPr="00B94CD4">
        <w:rPr>
          <w:rFonts w:ascii="Abadi" w:hAnsi="Abadi"/>
          <w:b w:val="0"/>
          <w:bCs w:val="0"/>
          <w:sz w:val="21"/>
          <w:szCs w:val="21"/>
        </w:rPr>
        <w:t>de</w:t>
      </w:r>
      <w:r w:rsidRPr="00B94CD4">
        <w:rPr>
          <w:rFonts w:ascii="Abadi" w:hAnsi="Abadi"/>
          <w:b w:val="0"/>
          <w:bCs w:val="0"/>
          <w:spacing w:val="-1"/>
          <w:sz w:val="21"/>
          <w:szCs w:val="21"/>
        </w:rPr>
        <w:t xml:space="preserve"> </w:t>
      </w:r>
      <w:r w:rsidRPr="00B94CD4">
        <w:rPr>
          <w:rFonts w:ascii="Abadi" w:hAnsi="Abadi"/>
          <w:b w:val="0"/>
          <w:bCs w:val="0"/>
          <w:sz w:val="21"/>
          <w:szCs w:val="21"/>
        </w:rPr>
        <w:t>la</w:t>
      </w:r>
      <w:r w:rsidRPr="00B94CD4">
        <w:rPr>
          <w:rFonts w:ascii="Abadi" w:hAnsi="Abadi"/>
          <w:b w:val="0"/>
          <w:bCs w:val="0"/>
          <w:spacing w:val="8"/>
          <w:sz w:val="21"/>
          <w:szCs w:val="21"/>
        </w:rPr>
        <w:t xml:space="preserve"> </w:t>
      </w:r>
      <w:r w:rsidRPr="00B94CD4">
        <w:rPr>
          <w:rFonts w:ascii="Abadi" w:hAnsi="Abadi"/>
          <w:b w:val="0"/>
          <w:bCs w:val="0"/>
          <w:sz w:val="21"/>
          <w:szCs w:val="21"/>
        </w:rPr>
        <w:t>Auditoría</w:t>
      </w:r>
      <w:r w:rsidRPr="00B94CD4">
        <w:rPr>
          <w:rFonts w:ascii="Abadi" w:hAnsi="Abadi"/>
          <w:b w:val="0"/>
          <w:bCs w:val="0"/>
          <w:spacing w:val="8"/>
          <w:sz w:val="21"/>
          <w:szCs w:val="21"/>
        </w:rPr>
        <w:t xml:space="preserve"> </w:t>
      </w:r>
      <w:r w:rsidRPr="00B94CD4">
        <w:rPr>
          <w:rFonts w:ascii="Abadi" w:hAnsi="Abadi"/>
          <w:b w:val="0"/>
          <w:bCs w:val="0"/>
          <w:sz w:val="21"/>
          <w:szCs w:val="21"/>
        </w:rPr>
        <w:t>Superior</w:t>
      </w:r>
      <w:r w:rsidRPr="00B94CD4">
        <w:rPr>
          <w:rFonts w:ascii="Abadi" w:hAnsi="Abadi"/>
          <w:b w:val="0"/>
          <w:bCs w:val="0"/>
          <w:spacing w:val="7"/>
          <w:sz w:val="21"/>
          <w:szCs w:val="21"/>
        </w:rPr>
        <w:t xml:space="preserve"> </w:t>
      </w:r>
      <w:r w:rsidRPr="00B94CD4">
        <w:rPr>
          <w:rFonts w:ascii="Abadi" w:hAnsi="Abadi"/>
          <w:b w:val="0"/>
          <w:bCs w:val="0"/>
          <w:sz w:val="21"/>
          <w:szCs w:val="21"/>
        </w:rPr>
        <w:t>del</w:t>
      </w:r>
      <w:r w:rsidRPr="00B94CD4">
        <w:rPr>
          <w:rFonts w:ascii="Abadi" w:hAnsi="Abadi"/>
          <w:b w:val="0"/>
          <w:bCs w:val="0"/>
          <w:spacing w:val="7"/>
          <w:sz w:val="21"/>
          <w:szCs w:val="21"/>
        </w:rPr>
        <w:t xml:space="preserve"> </w:t>
      </w:r>
      <w:r w:rsidRPr="00B94CD4">
        <w:rPr>
          <w:rFonts w:ascii="Abadi" w:hAnsi="Abadi"/>
          <w:b w:val="0"/>
          <w:bCs w:val="0"/>
          <w:sz w:val="21"/>
          <w:szCs w:val="21"/>
        </w:rPr>
        <w:t>Estado</w:t>
      </w:r>
      <w:r w:rsidRPr="00B94CD4">
        <w:rPr>
          <w:rFonts w:ascii="Abadi" w:hAnsi="Abadi"/>
          <w:b w:val="0"/>
          <w:bCs w:val="0"/>
          <w:spacing w:val="8"/>
          <w:sz w:val="21"/>
          <w:szCs w:val="21"/>
        </w:rPr>
        <w:t xml:space="preserve"> </w:t>
      </w:r>
      <w:r w:rsidRPr="00B94CD4">
        <w:rPr>
          <w:rFonts w:ascii="Abadi" w:hAnsi="Abadi"/>
          <w:b w:val="0"/>
          <w:bCs w:val="0"/>
          <w:sz w:val="21"/>
          <w:szCs w:val="21"/>
        </w:rPr>
        <w:t>de</w:t>
      </w:r>
      <w:r w:rsidRPr="00B94CD4">
        <w:rPr>
          <w:rFonts w:ascii="Abadi" w:hAnsi="Abadi"/>
          <w:b w:val="0"/>
          <w:bCs w:val="0"/>
          <w:spacing w:val="7"/>
          <w:sz w:val="21"/>
          <w:szCs w:val="21"/>
        </w:rPr>
        <w:t xml:space="preserve"> </w:t>
      </w:r>
      <w:r w:rsidRPr="00B94CD4">
        <w:rPr>
          <w:rFonts w:ascii="Abadi" w:hAnsi="Abadi"/>
          <w:b w:val="0"/>
          <w:bCs w:val="0"/>
          <w:sz w:val="21"/>
          <w:szCs w:val="21"/>
        </w:rPr>
        <w:t>Guanajuato,</w:t>
      </w:r>
      <w:r w:rsidRPr="00B94CD4">
        <w:rPr>
          <w:rFonts w:ascii="Abadi" w:hAnsi="Abadi"/>
          <w:b w:val="0"/>
          <w:bCs w:val="0"/>
          <w:spacing w:val="8"/>
          <w:sz w:val="21"/>
          <w:szCs w:val="21"/>
        </w:rPr>
        <w:t xml:space="preserve"> </w:t>
      </w:r>
      <w:r w:rsidRPr="00B94CD4">
        <w:rPr>
          <w:rFonts w:ascii="Abadi" w:hAnsi="Abadi"/>
          <w:b w:val="0"/>
          <w:bCs w:val="0"/>
          <w:sz w:val="21"/>
          <w:szCs w:val="21"/>
        </w:rPr>
        <w:t>para</w:t>
      </w:r>
      <w:r w:rsidRPr="00B94CD4">
        <w:rPr>
          <w:rFonts w:ascii="Abadi" w:hAnsi="Abadi"/>
          <w:b w:val="0"/>
          <w:bCs w:val="0"/>
          <w:spacing w:val="8"/>
          <w:sz w:val="21"/>
          <w:szCs w:val="21"/>
        </w:rPr>
        <w:t xml:space="preserve"> </w:t>
      </w:r>
      <w:r w:rsidRPr="00B94CD4">
        <w:rPr>
          <w:rFonts w:ascii="Abadi" w:hAnsi="Abadi"/>
          <w:b w:val="0"/>
          <w:bCs w:val="0"/>
          <w:sz w:val="21"/>
          <w:szCs w:val="21"/>
        </w:rPr>
        <w:t>que</w:t>
      </w:r>
      <w:r w:rsidRPr="00B94CD4">
        <w:rPr>
          <w:rFonts w:ascii="Abadi" w:hAnsi="Abadi"/>
          <w:b w:val="0"/>
          <w:bCs w:val="0"/>
          <w:spacing w:val="7"/>
          <w:sz w:val="21"/>
          <w:szCs w:val="21"/>
        </w:rPr>
        <w:t xml:space="preserve"> </w:t>
      </w:r>
      <w:r w:rsidRPr="00B94CD4">
        <w:rPr>
          <w:rFonts w:ascii="Abadi" w:hAnsi="Abadi"/>
          <w:b w:val="0"/>
          <w:bCs w:val="0"/>
          <w:sz w:val="21"/>
          <w:szCs w:val="21"/>
        </w:rPr>
        <w:t>lleve</w:t>
      </w:r>
      <w:r w:rsidRPr="00B94CD4">
        <w:rPr>
          <w:rFonts w:ascii="Abadi" w:hAnsi="Abadi"/>
          <w:b w:val="0"/>
          <w:bCs w:val="0"/>
          <w:spacing w:val="7"/>
          <w:sz w:val="21"/>
          <w:szCs w:val="21"/>
        </w:rPr>
        <w:t xml:space="preserve"> </w:t>
      </w:r>
      <w:r w:rsidRPr="00B94CD4">
        <w:rPr>
          <w:rFonts w:ascii="Abadi" w:hAnsi="Abadi"/>
          <w:b w:val="0"/>
          <w:bCs w:val="0"/>
          <w:sz w:val="21"/>
          <w:szCs w:val="21"/>
        </w:rPr>
        <w:t>a</w:t>
      </w:r>
      <w:r w:rsidRPr="00B94CD4">
        <w:rPr>
          <w:rFonts w:ascii="Abadi" w:hAnsi="Abadi"/>
          <w:b w:val="0"/>
          <w:bCs w:val="0"/>
          <w:spacing w:val="8"/>
          <w:sz w:val="21"/>
          <w:szCs w:val="21"/>
        </w:rPr>
        <w:t xml:space="preserve"> </w:t>
      </w:r>
      <w:r w:rsidRPr="00B94CD4">
        <w:rPr>
          <w:rFonts w:ascii="Abadi" w:hAnsi="Abadi"/>
          <w:b w:val="0"/>
          <w:bCs w:val="0"/>
          <w:sz w:val="21"/>
          <w:szCs w:val="21"/>
        </w:rPr>
        <w:t>cabo</w:t>
      </w:r>
      <w:r w:rsidRPr="00B94CD4">
        <w:rPr>
          <w:rFonts w:ascii="Abadi" w:hAnsi="Abadi"/>
          <w:b w:val="0"/>
          <w:bCs w:val="0"/>
          <w:spacing w:val="7"/>
          <w:sz w:val="21"/>
          <w:szCs w:val="21"/>
        </w:rPr>
        <w:t xml:space="preserve"> </w:t>
      </w:r>
      <w:r w:rsidRPr="00B94CD4">
        <w:rPr>
          <w:rFonts w:ascii="Abadi" w:hAnsi="Abadi"/>
          <w:b w:val="0"/>
          <w:bCs w:val="0"/>
          <w:sz w:val="21"/>
          <w:szCs w:val="21"/>
        </w:rPr>
        <w:t>una</w:t>
      </w:r>
      <w:r w:rsidRPr="00B94CD4">
        <w:rPr>
          <w:rFonts w:ascii="Abadi" w:hAnsi="Abadi"/>
          <w:b w:val="0"/>
          <w:bCs w:val="0"/>
          <w:spacing w:val="-1"/>
          <w:sz w:val="21"/>
          <w:szCs w:val="21"/>
        </w:rPr>
        <w:t xml:space="preserve"> </w:t>
      </w:r>
      <w:r w:rsidRPr="00B94CD4">
        <w:rPr>
          <w:rFonts w:ascii="Abadi" w:hAnsi="Abadi"/>
          <w:b w:val="0"/>
          <w:bCs w:val="0"/>
          <w:sz w:val="21"/>
          <w:szCs w:val="21"/>
        </w:rPr>
        <w:t>auditoría</w:t>
      </w:r>
      <w:r w:rsidRPr="00B94CD4">
        <w:rPr>
          <w:rFonts w:ascii="Abadi" w:hAnsi="Abadi"/>
          <w:b w:val="0"/>
          <w:bCs w:val="0"/>
          <w:spacing w:val="-9"/>
          <w:sz w:val="21"/>
          <w:szCs w:val="21"/>
        </w:rPr>
        <w:t xml:space="preserve"> </w:t>
      </w:r>
      <w:r w:rsidRPr="00B94CD4">
        <w:rPr>
          <w:rFonts w:ascii="Abadi" w:hAnsi="Abadi"/>
          <w:b w:val="0"/>
          <w:bCs w:val="0"/>
          <w:sz w:val="21"/>
          <w:szCs w:val="21"/>
        </w:rPr>
        <w:t>financiera</w:t>
      </w:r>
      <w:r w:rsidRPr="00B94CD4">
        <w:rPr>
          <w:rFonts w:ascii="Abadi" w:hAnsi="Abadi"/>
          <w:b w:val="0"/>
          <w:bCs w:val="0"/>
          <w:spacing w:val="-8"/>
          <w:sz w:val="21"/>
          <w:szCs w:val="21"/>
        </w:rPr>
        <w:t xml:space="preserve"> </w:t>
      </w:r>
      <w:r w:rsidRPr="00B94CD4">
        <w:rPr>
          <w:rFonts w:ascii="Abadi" w:hAnsi="Abadi"/>
          <w:b w:val="0"/>
          <w:bCs w:val="0"/>
          <w:sz w:val="21"/>
          <w:szCs w:val="21"/>
        </w:rPr>
        <w:t>integral</w:t>
      </w:r>
      <w:r w:rsidRPr="00B94CD4">
        <w:rPr>
          <w:rFonts w:ascii="Abadi" w:hAnsi="Abadi"/>
          <w:b w:val="0"/>
          <w:bCs w:val="0"/>
          <w:spacing w:val="-10"/>
          <w:sz w:val="21"/>
          <w:szCs w:val="21"/>
        </w:rPr>
        <w:t xml:space="preserve"> </w:t>
      </w:r>
      <w:r w:rsidRPr="00B94CD4">
        <w:rPr>
          <w:rFonts w:ascii="Abadi" w:hAnsi="Abadi"/>
          <w:b w:val="0"/>
          <w:bCs w:val="0"/>
          <w:sz w:val="21"/>
          <w:szCs w:val="21"/>
        </w:rPr>
        <w:t>al</w:t>
      </w:r>
      <w:r w:rsidRPr="00B94CD4">
        <w:rPr>
          <w:rFonts w:ascii="Abadi" w:hAnsi="Abadi"/>
          <w:b w:val="0"/>
          <w:bCs w:val="0"/>
          <w:spacing w:val="-9"/>
          <w:sz w:val="21"/>
          <w:szCs w:val="21"/>
        </w:rPr>
        <w:t xml:space="preserve"> </w:t>
      </w:r>
      <w:r w:rsidRPr="00B94CD4">
        <w:rPr>
          <w:rFonts w:ascii="Abadi" w:hAnsi="Abadi"/>
          <w:b w:val="0"/>
          <w:bCs w:val="0"/>
          <w:sz w:val="21"/>
          <w:szCs w:val="21"/>
        </w:rPr>
        <w:t>municipio</w:t>
      </w:r>
      <w:r w:rsidRPr="00B94CD4">
        <w:rPr>
          <w:rFonts w:ascii="Abadi" w:hAnsi="Abadi"/>
          <w:b w:val="0"/>
          <w:bCs w:val="0"/>
          <w:spacing w:val="-9"/>
          <w:sz w:val="21"/>
          <w:szCs w:val="21"/>
        </w:rPr>
        <w:t xml:space="preserve"> </w:t>
      </w:r>
      <w:r w:rsidRPr="00B94CD4">
        <w:rPr>
          <w:rFonts w:ascii="Abadi" w:hAnsi="Abadi"/>
          <w:b w:val="0"/>
          <w:bCs w:val="0"/>
          <w:sz w:val="21"/>
          <w:szCs w:val="21"/>
        </w:rPr>
        <w:t>de</w:t>
      </w:r>
      <w:r w:rsidRPr="00B94CD4">
        <w:rPr>
          <w:rFonts w:ascii="Abadi" w:hAnsi="Abadi"/>
          <w:b w:val="0"/>
          <w:bCs w:val="0"/>
          <w:spacing w:val="-10"/>
          <w:sz w:val="21"/>
          <w:szCs w:val="21"/>
        </w:rPr>
        <w:t xml:space="preserve"> </w:t>
      </w:r>
      <w:r w:rsidRPr="00B94CD4">
        <w:rPr>
          <w:rFonts w:ascii="Abadi" w:hAnsi="Abadi"/>
          <w:b w:val="0"/>
          <w:bCs w:val="0"/>
          <w:sz w:val="21"/>
          <w:szCs w:val="21"/>
        </w:rPr>
        <w:t>San</w:t>
      </w:r>
      <w:r w:rsidRPr="00B94CD4">
        <w:rPr>
          <w:rFonts w:ascii="Abadi" w:hAnsi="Abadi"/>
          <w:b w:val="0"/>
          <w:bCs w:val="0"/>
          <w:spacing w:val="-9"/>
          <w:sz w:val="21"/>
          <w:szCs w:val="21"/>
        </w:rPr>
        <w:t xml:space="preserve"> </w:t>
      </w:r>
      <w:r w:rsidRPr="00B94CD4">
        <w:rPr>
          <w:rFonts w:ascii="Abadi" w:hAnsi="Abadi"/>
          <w:b w:val="0"/>
          <w:bCs w:val="0"/>
          <w:sz w:val="21"/>
          <w:szCs w:val="21"/>
        </w:rPr>
        <w:t>Miguel</w:t>
      </w:r>
      <w:r w:rsidRPr="00B94CD4">
        <w:rPr>
          <w:rFonts w:ascii="Abadi" w:hAnsi="Abadi"/>
          <w:b w:val="0"/>
          <w:bCs w:val="0"/>
          <w:spacing w:val="-9"/>
          <w:sz w:val="21"/>
          <w:szCs w:val="21"/>
        </w:rPr>
        <w:t xml:space="preserve"> </w:t>
      </w:r>
      <w:r w:rsidRPr="00B94CD4">
        <w:rPr>
          <w:rFonts w:ascii="Abadi" w:hAnsi="Abadi"/>
          <w:b w:val="0"/>
          <w:bCs w:val="0"/>
          <w:sz w:val="21"/>
          <w:szCs w:val="21"/>
        </w:rPr>
        <w:t>de</w:t>
      </w:r>
      <w:r w:rsidRPr="00B94CD4">
        <w:rPr>
          <w:rFonts w:ascii="Abadi" w:hAnsi="Abadi"/>
          <w:b w:val="0"/>
          <w:bCs w:val="0"/>
          <w:spacing w:val="-10"/>
          <w:sz w:val="21"/>
          <w:szCs w:val="21"/>
        </w:rPr>
        <w:t xml:space="preserve"> </w:t>
      </w:r>
      <w:r w:rsidRPr="00B94CD4">
        <w:rPr>
          <w:rFonts w:ascii="Abadi" w:hAnsi="Abadi"/>
          <w:b w:val="0"/>
          <w:bCs w:val="0"/>
          <w:sz w:val="21"/>
          <w:szCs w:val="21"/>
        </w:rPr>
        <w:t>Allende,</w:t>
      </w:r>
      <w:r w:rsidRPr="00B94CD4">
        <w:rPr>
          <w:rFonts w:ascii="Abadi" w:hAnsi="Abadi"/>
          <w:b w:val="0"/>
          <w:bCs w:val="0"/>
          <w:spacing w:val="-9"/>
          <w:sz w:val="21"/>
          <w:szCs w:val="21"/>
        </w:rPr>
        <w:t xml:space="preserve"> </w:t>
      </w:r>
      <w:r w:rsidRPr="00B94CD4">
        <w:rPr>
          <w:rFonts w:ascii="Abadi" w:hAnsi="Abadi"/>
          <w:b w:val="0"/>
          <w:bCs w:val="0"/>
          <w:sz w:val="21"/>
          <w:szCs w:val="21"/>
        </w:rPr>
        <w:t>Gto.,</w:t>
      </w:r>
      <w:r w:rsidRPr="00B94CD4">
        <w:rPr>
          <w:rFonts w:ascii="Abadi" w:hAnsi="Abadi"/>
          <w:b w:val="0"/>
          <w:bCs w:val="0"/>
          <w:spacing w:val="-8"/>
          <w:sz w:val="21"/>
          <w:szCs w:val="21"/>
        </w:rPr>
        <w:t xml:space="preserve"> </w:t>
      </w:r>
      <w:r w:rsidRPr="00B94CD4">
        <w:rPr>
          <w:rFonts w:ascii="Abadi" w:hAnsi="Abadi"/>
          <w:b w:val="0"/>
          <w:bCs w:val="0"/>
          <w:sz w:val="21"/>
          <w:szCs w:val="21"/>
        </w:rPr>
        <w:t>por</w:t>
      </w:r>
      <w:r w:rsidRPr="00B94CD4">
        <w:rPr>
          <w:rFonts w:ascii="Abadi" w:hAnsi="Abadi"/>
          <w:b w:val="0"/>
          <w:bCs w:val="0"/>
          <w:spacing w:val="-1"/>
          <w:sz w:val="21"/>
          <w:szCs w:val="21"/>
        </w:rPr>
        <w:t xml:space="preserve"> </w:t>
      </w:r>
      <w:r w:rsidRPr="00B94CD4">
        <w:rPr>
          <w:rFonts w:ascii="Abadi" w:hAnsi="Abadi"/>
          <w:b w:val="0"/>
          <w:bCs w:val="0"/>
          <w:sz w:val="21"/>
          <w:szCs w:val="21"/>
        </w:rPr>
        <w:t>los ejercicios fiscales</w:t>
      </w:r>
      <w:r w:rsidRPr="00B94CD4">
        <w:rPr>
          <w:rFonts w:ascii="Abadi" w:hAnsi="Abadi"/>
          <w:b w:val="0"/>
          <w:bCs w:val="0"/>
          <w:spacing w:val="-1"/>
          <w:sz w:val="21"/>
          <w:szCs w:val="21"/>
        </w:rPr>
        <w:t xml:space="preserve"> </w:t>
      </w:r>
      <w:r w:rsidRPr="00B94CD4">
        <w:rPr>
          <w:rFonts w:ascii="Abadi" w:hAnsi="Abadi"/>
          <w:b w:val="0"/>
          <w:bCs w:val="0"/>
          <w:sz w:val="21"/>
          <w:szCs w:val="21"/>
        </w:rPr>
        <w:t>de 2019, 2020</w:t>
      </w:r>
      <w:r w:rsidRPr="00B94CD4">
        <w:rPr>
          <w:rFonts w:ascii="Abadi" w:hAnsi="Abadi"/>
          <w:b w:val="0"/>
          <w:bCs w:val="0"/>
          <w:spacing w:val="-1"/>
          <w:sz w:val="21"/>
          <w:szCs w:val="21"/>
        </w:rPr>
        <w:t xml:space="preserve"> </w:t>
      </w:r>
      <w:r w:rsidRPr="00B94CD4">
        <w:rPr>
          <w:rFonts w:ascii="Abadi" w:hAnsi="Abadi"/>
          <w:b w:val="0"/>
          <w:bCs w:val="0"/>
          <w:sz w:val="21"/>
          <w:szCs w:val="21"/>
        </w:rPr>
        <w:t xml:space="preserve">y 2021. </w:t>
      </w:r>
      <w:r w:rsidRPr="00812DB2">
        <w:rPr>
          <w:rFonts w:ascii="Abadi" w:hAnsi="Abadi"/>
          <w:sz w:val="21"/>
          <w:szCs w:val="21"/>
        </w:rPr>
        <w:t>XXXV.-</w:t>
      </w:r>
      <w:r w:rsidRPr="00B94CD4">
        <w:rPr>
          <w:rFonts w:ascii="Abadi" w:hAnsi="Abadi"/>
          <w:b w:val="0"/>
          <w:bCs w:val="0"/>
          <w:sz w:val="21"/>
          <w:szCs w:val="21"/>
        </w:rPr>
        <w:t xml:space="preserve"> </w:t>
      </w:r>
      <w:r w:rsidRPr="00B94CD4">
        <w:rPr>
          <w:rFonts w:ascii="Abadi" w:hAnsi="Abadi"/>
          <w:b w:val="0"/>
          <w:bCs w:val="0"/>
          <w:sz w:val="21"/>
          <w:szCs w:val="21"/>
        </w:rPr>
        <w:t>Discusión</w:t>
      </w:r>
      <w:r w:rsidRPr="00B94CD4">
        <w:rPr>
          <w:rFonts w:ascii="Abadi" w:hAnsi="Abadi"/>
          <w:b w:val="0"/>
          <w:bCs w:val="0"/>
          <w:spacing w:val="16"/>
          <w:sz w:val="21"/>
          <w:szCs w:val="21"/>
        </w:rPr>
        <w:t xml:space="preserve"> </w:t>
      </w:r>
      <w:r w:rsidRPr="00B94CD4">
        <w:rPr>
          <w:rFonts w:ascii="Abadi" w:hAnsi="Abadi"/>
          <w:b w:val="0"/>
          <w:bCs w:val="0"/>
          <w:sz w:val="21"/>
          <w:szCs w:val="21"/>
        </w:rPr>
        <w:t>y,</w:t>
      </w:r>
      <w:r w:rsidRPr="00B94CD4">
        <w:rPr>
          <w:rFonts w:ascii="Abadi" w:hAnsi="Abadi"/>
          <w:b w:val="0"/>
          <w:bCs w:val="0"/>
          <w:spacing w:val="15"/>
          <w:sz w:val="21"/>
          <w:szCs w:val="21"/>
        </w:rPr>
        <w:t xml:space="preserve"> </w:t>
      </w:r>
      <w:r w:rsidRPr="00B94CD4">
        <w:rPr>
          <w:rFonts w:ascii="Abadi" w:hAnsi="Abadi"/>
          <w:b w:val="0"/>
          <w:bCs w:val="0"/>
          <w:sz w:val="21"/>
          <w:szCs w:val="21"/>
        </w:rPr>
        <w:t>en</w:t>
      </w:r>
      <w:r w:rsidRPr="00B94CD4">
        <w:rPr>
          <w:rFonts w:ascii="Abadi" w:hAnsi="Abadi"/>
          <w:b w:val="0"/>
          <w:bCs w:val="0"/>
          <w:spacing w:val="16"/>
          <w:sz w:val="21"/>
          <w:szCs w:val="21"/>
        </w:rPr>
        <w:t xml:space="preserve"> </w:t>
      </w:r>
      <w:r w:rsidRPr="00B94CD4">
        <w:rPr>
          <w:rFonts w:ascii="Abadi" w:hAnsi="Abadi"/>
          <w:b w:val="0"/>
          <w:bCs w:val="0"/>
          <w:sz w:val="21"/>
          <w:szCs w:val="21"/>
        </w:rPr>
        <w:t>su</w:t>
      </w:r>
      <w:r w:rsidRPr="00B94CD4">
        <w:rPr>
          <w:rFonts w:ascii="Abadi" w:hAnsi="Abadi"/>
          <w:b w:val="0"/>
          <w:bCs w:val="0"/>
          <w:spacing w:val="16"/>
          <w:sz w:val="21"/>
          <w:szCs w:val="21"/>
        </w:rPr>
        <w:t xml:space="preserve"> </w:t>
      </w:r>
      <w:r w:rsidRPr="00B94CD4">
        <w:rPr>
          <w:rFonts w:ascii="Abadi" w:hAnsi="Abadi"/>
          <w:b w:val="0"/>
          <w:bCs w:val="0"/>
          <w:sz w:val="21"/>
          <w:szCs w:val="21"/>
        </w:rPr>
        <w:t>caso,</w:t>
      </w:r>
      <w:r w:rsidRPr="00B94CD4">
        <w:rPr>
          <w:rFonts w:ascii="Abadi" w:hAnsi="Abadi"/>
          <w:b w:val="0"/>
          <w:bCs w:val="0"/>
          <w:spacing w:val="15"/>
          <w:sz w:val="21"/>
          <w:szCs w:val="21"/>
        </w:rPr>
        <w:t xml:space="preserve"> </w:t>
      </w:r>
      <w:r w:rsidRPr="00B94CD4">
        <w:rPr>
          <w:rFonts w:ascii="Abadi" w:hAnsi="Abadi"/>
          <w:b w:val="0"/>
          <w:bCs w:val="0"/>
          <w:sz w:val="21"/>
          <w:szCs w:val="21"/>
        </w:rPr>
        <w:t>aprobación</w:t>
      </w:r>
      <w:r w:rsidRPr="00B94CD4">
        <w:rPr>
          <w:rFonts w:ascii="Abadi" w:hAnsi="Abadi"/>
          <w:b w:val="0"/>
          <w:bCs w:val="0"/>
          <w:spacing w:val="16"/>
          <w:sz w:val="21"/>
          <w:szCs w:val="21"/>
        </w:rPr>
        <w:t xml:space="preserve"> </w:t>
      </w:r>
      <w:r w:rsidRPr="00B94CD4">
        <w:rPr>
          <w:rFonts w:ascii="Abadi" w:hAnsi="Abadi"/>
          <w:b w:val="0"/>
          <w:bCs w:val="0"/>
          <w:sz w:val="21"/>
          <w:szCs w:val="21"/>
        </w:rPr>
        <w:t>del</w:t>
      </w:r>
      <w:r w:rsidRPr="00B94CD4">
        <w:rPr>
          <w:rFonts w:ascii="Abadi" w:hAnsi="Abadi"/>
          <w:b w:val="0"/>
          <w:bCs w:val="0"/>
          <w:spacing w:val="15"/>
          <w:sz w:val="21"/>
          <w:szCs w:val="21"/>
        </w:rPr>
        <w:t xml:space="preserve"> </w:t>
      </w:r>
      <w:r w:rsidRPr="00B94CD4">
        <w:rPr>
          <w:rFonts w:ascii="Abadi" w:hAnsi="Abadi"/>
          <w:b w:val="0"/>
          <w:bCs w:val="0"/>
          <w:sz w:val="21"/>
          <w:szCs w:val="21"/>
        </w:rPr>
        <w:t>dictamen</w:t>
      </w:r>
      <w:r w:rsidRPr="00B94CD4">
        <w:rPr>
          <w:rFonts w:ascii="Abadi" w:hAnsi="Abadi"/>
          <w:b w:val="0"/>
          <w:bCs w:val="0"/>
          <w:spacing w:val="16"/>
          <w:sz w:val="21"/>
          <w:szCs w:val="21"/>
        </w:rPr>
        <w:t xml:space="preserve"> </w:t>
      </w:r>
      <w:r w:rsidRPr="00B94CD4">
        <w:rPr>
          <w:rFonts w:ascii="Abadi" w:hAnsi="Abadi"/>
          <w:b w:val="0"/>
          <w:bCs w:val="0"/>
          <w:sz w:val="21"/>
          <w:szCs w:val="21"/>
        </w:rPr>
        <w:t>emitido</w:t>
      </w:r>
      <w:r w:rsidRPr="00B94CD4">
        <w:rPr>
          <w:rFonts w:ascii="Abadi" w:hAnsi="Abadi"/>
          <w:b w:val="0"/>
          <w:bCs w:val="0"/>
          <w:spacing w:val="15"/>
          <w:sz w:val="21"/>
          <w:szCs w:val="21"/>
        </w:rPr>
        <w:t xml:space="preserve"> </w:t>
      </w:r>
      <w:r w:rsidRPr="00B94CD4">
        <w:rPr>
          <w:rFonts w:ascii="Abadi" w:hAnsi="Abadi"/>
          <w:b w:val="0"/>
          <w:bCs w:val="0"/>
          <w:sz w:val="21"/>
          <w:szCs w:val="21"/>
        </w:rPr>
        <w:t>por</w:t>
      </w:r>
      <w:r w:rsidRPr="00B94CD4">
        <w:rPr>
          <w:rFonts w:ascii="Abadi" w:hAnsi="Abadi"/>
          <w:b w:val="0"/>
          <w:bCs w:val="0"/>
          <w:spacing w:val="15"/>
          <w:sz w:val="21"/>
          <w:szCs w:val="21"/>
        </w:rPr>
        <w:t xml:space="preserve"> </w:t>
      </w:r>
      <w:r w:rsidRPr="00B94CD4">
        <w:rPr>
          <w:rFonts w:ascii="Abadi" w:hAnsi="Abadi"/>
          <w:b w:val="0"/>
          <w:bCs w:val="0"/>
          <w:sz w:val="21"/>
          <w:szCs w:val="21"/>
        </w:rPr>
        <w:t>la</w:t>
      </w:r>
      <w:r w:rsidRPr="00B94CD4">
        <w:rPr>
          <w:rFonts w:ascii="Abadi" w:hAnsi="Abadi"/>
          <w:b w:val="0"/>
          <w:bCs w:val="0"/>
          <w:spacing w:val="16"/>
          <w:sz w:val="21"/>
          <w:szCs w:val="21"/>
        </w:rPr>
        <w:t xml:space="preserve"> </w:t>
      </w:r>
      <w:r w:rsidRPr="00B94CD4">
        <w:rPr>
          <w:rFonts w:ascii="Abadi" w:hAnsi="Abadi"/>
          <w:b w:val="0"/>
          <w:bCs w:val="0"/>
          <w:sz w:val="21"/>
          <w:szCs w:val="21"/>
        </w:rPr>
        <w:t>Comisión</w:t>
      </w:r>
      <w:r w:rsidRPr="00B94CD4">
        <w:rPr>
          <w:rFonts w:ascii="Abadi" w:hAnsi="Abadi"/>
          <w:b w:val="0"/>
          <w:bCs w:val="0"/>
          <w:spacing w:val="-2"/>
          <w:sz w:val="21"/>
          <w:szCs w:val="21"/>
        </w:rPr>
        <w:t xml:space="preserve"> </w:t>
      </w:r>
      <w:r w:rsidRPr="00B94CD4">
        <w:rPr>
          <w:rFonts w:ascii="Abadi" w:hAnsi="Abadi"/>
          <w:b w:val="0"/>
          <w:bCs w:val="0"/>
          <w:sz w:val="21"/>
          <w:szCs w:val="21"/>
        </w:rPr>
        <w:t>de</w:t>
      </w:r>
      <w:r w:rsidRPr="00B94CD4">
        <w:rPr>
          <w:rFonts w:ascii="Abadi" w:hAnsi="Abadi"/>
          <w:b w:val="0"/>
          <w:bCs w:val="0"/>
          <w:spacing w:val="32"/>
          <w:sz w:val="21"/>
          <w:szCs w:val="21"/>
        </w:rPr>
        <w:t xml:space="preserve"> </w:t>
      </w:r>
      <w:r w:rsidRPr="00B94CD4">
        <w:rPr>
          <w:rFonts w:ascii="Abadi" w:hAnsi="Abadi"/>
          <w:b w:val="0"/>
          <w:bCs w:val="0"/>
          <w:sz w:val="21"/>
          <w:szCs w:val="21"/>
        </w:rPr>
        <w:t>Hacienda</w:t>
      </w:r>
      <w:r w:rsidRPr="00B94CD4">
        <w:rPr>
          <w:rFonts w:ascii="Abadi" w:hAnsi="Abadi"/>
          <w:b w:val="0"/>
          <w:bCs w:val="0"/>
          <w:spacing w:val="32"/>
          <w:sz w:val="21"/>
          <w:szCs w:val="21"/>
        </w:rPr>
        <w:t xml:space="preserve"> </w:t>
      </w:r>
      <w:r w:rsidRPr="00B94CD4">
        <w:rPr>
          <w:rFonts w:ascii="Abadi" w:hAnsi="Abadi"/>
          <w:b w:val="0"/>
          <w:bCs w:val="0"/>
          <w:sz w:val="21"/>
          <w:szCs w:val="21"/>
        </w:rPr>
        <w:t>y</w:t>
      </w:r>
      <w:r w:rsidRPr="00B94CD4">
        <w:rPr>
          <w:rFonts w:ascii="Abadi" w:hAnsi="Abadi"/>
          <w:b w:val="0"/>
          <w:bCs w:val="0"/>
          <w:spacing w:val="32"/>
          <w:sz w:val="21"/>
          <w:szCs w:val="21"/>
        </w:rPr>
        <w:t xml:space="preserve"> </w:t>
      </w:r>
      <w:r w:rsidRPr="00B94CD4">
        <w:rPr>
          <w:rFonts w:ascii="Abadi" w:hAnsi="Abadi"/>
          <w:b w:val="0"/>
          <w:bCs w:val="0"/>
          <w:sz w:val="21"/>
          <w:szCs w:val="21"/>
        </w:rPr>
        <w:t>Fiscalización</w:t>
      </w:r>
      <w:r w:rsidRPr="00B94CD4">
        <w:rPr>
          <w:rFonts w:ascii="Abadi" w:hAnsi="Abadi"/>
          <w:b w:val="0"/>
          <w:bCs w:val="0"/>
          <w:spacing w:val="32"/>
          <w:sz w:val="21"/>
          <w:szCs w:val="21"/>
        </w:rPr>
        <w:t xml:space="preserve"> </w:t>
      </w:r>
      <w:r w:rsidRPr="00B94CD4">
        <w:rPr>
          <w:rFonts w:ascii="Abadi" w:hAnsi="Abadi"/>
          <w:b w:val="0"/>
          <w:bCs w:val="0"/>
          <w:sz w:val="21"/>
          <w:szCs w:val="21"/>
        </w:rPr>
        <w:t>relativo</w:t>
      </w:r>
      <w:r w:rsidRPr="00B94CD4">
        <w:rPr>
          <w:rFonts w:ascii="Abadi" w:hAnsi="Abadi"/>
          <w:b w:val="0"/>
          <w:bCs w:val="0"/>
          <w:spacing w:val="32"/>
          <w:sz w:val="21"/>
          <w:szCs w:val="21"/>
        </w:rPr>
        <w:t xml:space="preserve"> </w:t>
      </w:r>
      <w:r w:rsidRPr="00B94CD4">
        <w:rPr>
          <w:rFonts w:ascii="Abadi" w:hAnsi="Abadi"/>
          <w:b w:val="0"/>
          <w:bCs w:val="0"/>
          <w:sz w:val="21"/>
          <w:szCs w:val="21"/>
        </w:rPr>
        <w:t>a</w:t>
      </w:r>
      <w:r w:rsidRPr="00B94CD4">
        <w:rPr>
          <w:rFonts w:ascii="Abadi" w:hAnsi="Abadi"/>
          <w:b w:val="0"/>
          <w:bCs w:val="0"/>
          <w:spacing w:val="33"/>
          <w:sz w:val="21"/>
          <w:szCs w:val="21"/>
        </w:rPr>
        <w:t xml:space="preserve"> </w:t>
      </w:r>
      <w:r w:rsidRPr="00B94CD4">
        <w:rPr>
          <w:rFonts w:ascii="Abadi" w:hAnsi="Abadi"/>
          <w:b w:val="0"/>
          <w:bCs w:val="0"/>
          <w:sz w:val="21"/>
          <w:szCs w:val="21"/>
        </w:rPr>
        <w:t>la</w:t>
      </w:r>
      <w:r w:rsidRPr="00B94CD4">
        <w:rPr>
          <w:rFonts w:ascii="Abadi" w:hAnsi="Abadi"/>
          <w:b w:val="0"/>
          <w:bCs w:val="0"/>
          <w:spacing w:val="33"/>
          <w:sz w:val="21"/>
          <w:szCs w:val="21"/>
        </w:rPr>
        <w:t xml:space="preserve"> </w:t>
      </w:r>
      <w:r w:rsidRPr="00B94CD4">
        <w:rPr>
          <w:rFonts w:ascii="Abadi" w:hAnsi="Abadi"/>
          <w:b w:val="0"/>
          <w:bCs w:val="0"/>
          <w:sz w:val="21"/>
          <w:szCs w:val="21"/>
        </w:rPr>
        <w:t>propuesta</w:t>
      </w:r>
      <w:r w:rsidRPr="00B94CD4">
        <w:rPr>
          <w:rFonts w:ascii="Abadi" w:hAnsi="Abadi"/>
          <w:b w:val="0"/>
          <w:bCs w:val="0"/>
          <w:spacing w:val="33"/>
          <w:sz w:val="21"/>
          <w:szCs w:val="21"/>
        </w:rPr>
        <w:t xml:space="preserve"> </w:t>
      </w:r>
      <w:r w:rsidRPr="00B94CD4">
        <w:rPr>
          <w:rFonts w:ascii="Abadi" w:hAnsi="Abadi"/>
          <w:b w:val="0"/>
          <w:bCs w:val="0"/>
          <w:sz w:val="21"/>
          <w:szCs w:val="21"/>
        </w:rPr>
        <w:t>de</w:t>
      </w:r>
      <w:r w:rsidRPr="00B94CD4">
        <w:rPr>
          <w:rFonts w:ascii="Abadi" w:hAnsi="Abadi"/>
          <w:b w:val="0"/>
          <w:bCs w:val="0"/>
          <w:spacing w:val="33"/>
          <w:sz w:val="21"/>
          <w:szCs w:val="21"/>
        </w:rPr>
        <w:t xml:space="preserve"> </w:t>
      </w:r>
      <w:r w:rsidRPr="00B94CD4">
        <w:rPr>
          <w:rFonts w:ascii="Abadi" w:hAnsi="Abadi"/>
          <w:b w:val="0"/>
          <w:bCs w:val="0"/>
          <w:sz w:val="21"/>
          <w:szCs w:val="21"/>
        </w:rPr>
        <w:t>punto</w:t>
      </w:r>
      <w:r w:rsidRPr="00B94CD4">
        <w:rPr>
          <w:rFonts w:ascii="Abadi" w:hAnsi="Abadi"/>
          <w:b w:val="0"/>
          <w:bCs w:val="0"/>
          <w:spacing w:val="33"/>
          <w:sz w:val="21"/>
          <w:szCs w:val="21"/>
        </w:rPr>
        <w:t xml:space="preserve"> </w:t>
      </w:r>
      <w:r w:rsidRPr="00B94CD4">
        <w:rPr>
          <w:rFonts w:ascii="Abadi" w:hAnsi="Abadi"/>
          <w:b w:val="0"/>
          <w:bCs w:val="0"/>
          <w:sz w:val="21"/>
          <w:szCs w:val="21"/>
        </w:rPr>
        <w:t>de</w:t>
      </w:r>
      <w:r w:rsidRPr="00B94CD4">
        <w:rPr>
          <w:rFonts w:ascii="Abadi" w:hAnsi="Abadi"/>
          <w:b w:val="0"/>
          <w:bCs w:val="0"/>
          <w:spacing w:val="33"/>
          <w:sz w:val="21"/>
          <w:szCs w:val="21"/>
        </w:rPr>
        <w:t xml:space="preserve"> </w:t>
      </w:r>
      <w:r w:rsidRPr="00B94CD4">
        <w:rPr>
          <w:rFonts w:ascii="Abadi" w:hAnsi="Abadi"/>
          <w:b w:val="0"/>
          <w:bCs w:val="0"/>
          <w:sz w:val="21"/>
          <w:szCs w:val="21"/>
        </w:rPr>
        <w:t>acuerdo</w:t>
      </w:r>
      <w:r w:rsidRPr="00B94CD4">
        <w:rPr>
          <w:rFonts w:ascii="Abadi" w:hAnsi="Abadi"/>
          <w:b w:val="0"/>
          <w:bCs w:val="0"/>
          <w:spacing w:val="-2"/>
          <w:sz w:val="21"/>
          <w:szCs w:val="21"/>
        </w:rPr>
        <w:t xml:space="preserve"> </w:t>
      </w:r>
      <w:r w:rsidRPr="00B94CD4">
        <w:rPr>
          <w:rFonts w:ascii="Abadi" w:hAnsi="Abadi"/>
          <w:b w:val="0"/>
          <w:bCs w:val="0"/>
          <w:sz w:val="21"/>
          <w:szCs w:val="21"/>
        </w:rPr>
        <w:t>formulada</w:t>
      </w:r>
      <w:r w:rsidRPr="00B94CD4">
        <w:rPr>
          <w:rFonts w:ascii="Abadi" w:hAnsi="Abadi"/>
          <w:b w:val="0"/>
          <w:bCs w:val="0"/>
          <w:spacing w:val="-14"/>
          <w:sz w:val="21"/>
          <w:szCs w:val="21"/>
        </w:rPr>
        <w:t xml:space="preserve"> </w:t>
      </w:r>
      <w:r w:rsidRPr="00B94CD4">
        <w:rPr>
          <w:rFonts w:ascii="Abadi" w:hAnsi="Abadi"/>
          <w:b w:val="0"/>
          <w:bCs w:val="0"/>
          <w:sz w:val="21"/>
          <w:szCs w:val="21"/>
        </w:rPr>
        <w:t>por</w:t>
      </w:r>
      <w:r w:rsidRPr="00B94CD4">
        <w:rPr>
          <w:rFonts w:ascii="Abadi" w:hAnsi="Abadi"/>
          <w:b w:val="0"/>
          <w:bCs w:val="0"/>
          <w:spacing w:val="-15"/>
          <w:sz w:val="21"/>
          <w:szCs w:val="21"/>
        </w:rPr>
        <w:t xml:space="preserve"> </w:t>
      </w:r>
      <w:r w:rsidRPr="00B94CD4">
        <w:rPr>
          <w:rFonts w:ascii="Abadi" w:hAnsi="Abadi"/>
          <w:b w:val="0"/>
          <w:bCs w:val="0"/>
          <w:sz w:val="21"/>
          <w:szCs w:val="21"/>
        </w:rPr>
        <w:t>la</w:t>
      </w:r>
      <w:r w:rsidRPr="00B94CD4">
        <w:rPr>
          <w:rFonts w:ascii="Abadi" w:hAnsi="Abadi"/>
          <w:b w:val="0"/>
          <w:bCs w:val="0"/>
          <w:spacing w:val="-15"/>
          <w:sz w:val="21"/>
          <w:szCs w:val="21"/>
        </w:rPr>
        <w:t xml:space="preserve"> </w:t>
      </w:r>
      <w:r w:rsidRPr="00B94CD4">
        <w:rPr>
          <w:rFonts w:ascii="Abadi" w:hAnsi="Abadi"/>
          <w:b w:val="0"/>
          <w:bCs w:val="0"/>
          <w:sz w:val="21"/>
          <w:szCs w:val="21"/>
        </w:rPr>
        <w:t>diputada</w:t>
      </w:r>
      <w:r w:rsidRPr="00B94CD4">
        <w:rPr>
          <w:rFonts w:ascii="Abadi" w:hAnsi="Abadi"/>
          <w:b w:val="0"/>
          <w:bCs w:val="0"/>
          <w:spacing w:val="-15"/>
          <w:sz w:val="21"/>
          <w:szCs w:val="21"/>
        </w:rPr>
        <w:t xml:space="preserve"> </w:t>
      </w:r>
      <w:r w:rsidRPr="00B94CD4">
        <w:rPr>
          <w:rFonts w:ascii="Abadi" w:hAnsi="Abadi"/>
          <w:b w:val="0"/>
          <w:bCs w:val="0"/>
          <w:sz w:val="21"/>
          <w:szCs w:val="21"/>
        </w:rPr>
        <w:t>Alma</w:t>
      </w:r>
      <w:r w:rsidRPr="00B94CD4">
        <w:rPr>
          <w:rFonts w:ascii="Abadi" w:hAnsi="Abadi"/>
          <w:b w:val="0"/>
          <w:bCs w:val="0"/>
          <w:spacing w:val="-15"/>
          <w:sz w:val="21"/>
          <w:szCs w:val="21"/>
        </w:rPr>
        <w:t xml:space="preserve"> </w:t>
      </w:r>
      <w:r w:rsidRPr="00B94CD4">
        <w:rPr>
          <w:rFonts w:ascii="Abadi" w:hAnsi="Abadi"/>
          <w:b w:val="0"/>
          <w:bCs w:val="0"/>
          <w:sz w:val="21"/>
          <w:szCs w:val="21"/>
        </w:rPr>
        <w:t>Edwviges</w:t>
      </w:r>
      <w:r w:rsidRPr="00B94CD4">
        <w:rPr>
          <w:rFonts w:ascii="Abadi" w:hAnsi="Abadi"/>
          <w:b w:val="0"/>
          <w:bCs w:val="0"/>
          <w:spacing w:val="-15"/>
          <w:sz w:val="21"/>
          <w:szCs w:val="21"/>
        </w:rPr>
        <w:t xml:space="preserve"> </w:t>
      </w:r>
      <w:r w:rsidRPr="00B94CD4">
        <w:rPr>
          <w:rFonts w:ascii="Abadi" w:hAnsi="Abadi"/>
          <w:b w:val="0"/>
          <w:bCs w:val="0"/>
          <w:sz w:val="21"/>
          <w:szCs w:val="21"/>
        </w:rPr>
        <w:t>Alcaraz</w:t>
      </w:r>
      <w:r w:rsidRPr="00B94CD4">
        <w:rPr>
          <w:rFonts w:ascii="Abadi" w:hAnsi="Abadi"/>
          <w:b w:val="0"/>
          <w:bCs w:val="0"/>
          <w:spacing w:val="-15"/>
          <w:sz w:val="21"/>
          <w:szCs w:val="21"/>
        </w:rPr>
        <w:t xml:space="preserve"> </w:t>
      </w:r>
      <w:r w:rsidRPr="00B94CD4">
        <w:rPr>
          <w:rFonts w:ascii="Abadi" w:hAnsi="Abadi"/>
          <w:b w:val="0"/>
          <w:bCs w:val="0"/>
          <w:sz w:val="21"/>
          <w:szCs w:val="21"/>
        </w:rPr>
        <w:t>Hernández,</w:t>
      </w:r>
      <w:r w:rsidRPr="00B94CD4">
        <w:rPr>
          <w:rFonts w:ascii="Abadi" w:hAnsi="Abadi"/>
          <w:b w:val="0"/>
          <w:bCs w:val="0"/>
          <w:spacing w:val="-15"/>
          <w:sz w:val="21"/>
          <w:szCs w:val="21"/>
        </w:rPr>
        <w:t xml:space="preserve"> </w:t>
      </w:r>
      <w:r w:rsidRPr="00B94CD4">
        <w:rPr>
          <w:rFonts w:ascii="Abadi" w:hAnsi="Abadi"/>
          <w:b w:val="0"/>
          <w:bCs w:val="0"/>
          <w:sz w:val="21"/>
          <w:szCs w:val="21"/>
        </w:rPr>
        <w:t>integrante</w:t>
      </w:r>
      <w:r w:rsidRPr="00B94CD4">
        <w:rPr>
          <w:rFonts w:ascii="Abadi" w:hAnsi="Abadi"/>
          <w:b w:val="0"/>
          <w:bCs w:val="0"/>
          <w:spacing w:val="-15"/>
          <w:sz w:val="21"/>
          <w:szCs w:val="21"/>
        </w:rPr>
        <w:t xml:space="preserve"> </w:t>
      </w:r>
      <w:r w:rsidRPr="00B94CD4">
        <w:rPr>
          <w:rFonts w:ascii="Abadi" w:hAnsi="Abadi"/>
          <w:b w:val="0"/>
          <w:bCs w:val="0"/>
          <w:sz w:val="21"/>
          <w:szCs w:val="21"/>
        </w:rPr>
        <w:t>del</w:t>
      </w:r>
      <w:r w:rsidRPr="00B94CD4">
        <w:rPr>
          <w:rFonts w:ascii="Abadi" w:hAnsi="Abadi"/>
          <w:b w:val="0"/>
          <w:bCs w:val="0"/>
          <w:spacing w:val="-2"/>
          <w:sz w:val="21"/>
          <w:szCs w:val="21"/>
        </w:rPr>
        <w:t xml:space="preserve"> </w:t>
      </w:r>
      <w:r w:rsidRPr="00B94CD4">
        <w:rPr>
          <w:rFonts w:ascii="Abadi" w:hAnsi="Abadi"/>
          <w:b w:val="0"/>
          <w:bCs w:val="0"/>
          <w:sz w:val="21"/>
          <w:szCs w:val="21"/>
        </w:rPr>
        <w:t>Grupo Parlamentario del</w:t>
      </w:r>
      <w:r w:rsidRPr="00B94CD4">
        <w:rPr>
          <w:rFonts w:ascii="Abadi" w:hAnsi="Abadi"/>
          <w:b w:val="0"/>
          <w:bCs w:val="0"/>
          <w:spacing w:val="-1"/>
          <w:sz w:val="21"/>
          <w:szCs w:val="21"/>
        </w:rPr>
        <w:t xml:space="preserve"> </w:t>
      </w:r>
      <w:r w:rsidRPr="00B94CD4">
        <w:rPr>
          <w:rFonts w:ascii="Abadi" w:hAnsi="Abadi"/>
          <w:b w:val="0"/>
          <w:bCs w:val="0"/>
          <w:sz w:val="21"/>
          <w:szCs w:val="21"/>
        </w:rPr>
        <w:t>Partido MORENA</w:t>
      </w:r>
      <w:r w:rsidRPr="00B94CD4">
        <w:rPr>
          <w:rFonts w:ascii="Abadi" w:hAnsi="Abadi"/>
          <w:b w:val="0"/>
          <w:bCs w:val="0"/>
          <w:spacing w:val="-1"/>
          <w:sz w:val="21"/>
          <w:szCs w:val="21"/>
        </w:rPr>
        <w:t xml:space="preserve"> </w:t>
      </w:r>
      <w:r w:rsidRPr="00B94CD4">
        <w:rPr>
          <w:rFonts w:ascii="Abadi" w:hAnsi="Abadi"/>
          <w:b w:val="0"/>
          <w:bCs w:val="0"/>
          <w:sz w:val="21"/>
          <w:szCs w:val="21"/>
        </w:rPr>
        <w:t>a efecto de exhortar al titular de</w:t>
      </w:r>
      <w:r w:rsidRPr="00B94CD4">
        <w:rPr>
          <w:rFonts w:ascii="Abadi" w:hAnsi="Abadi"/>
          <w:b w:val="0"/>
          <w:bCs w:val="0"/>
          <w:spacing w:val="-2"/>
          <w:sz w:val="21"/>
          <w:szCs w:val="21"/>
        </w:rPr>
        <w:t xml:space="preserve"> </w:t>
      </w:r>
      <w:r w:rsidRPr="00B94CD4">
        <w:rPr>
          <w:rFonts w:ascii="Abadi" w:hAnsi="Abadi"/>
          <w:b w:val="0"/>
          <w:bCs w:val="0"/>
          <w:sz w:val="21"/>
          <w:szCs w:val="21"/>
        </w:rPr>
        <w:t>la</w:t>
      </w:r>
      <w:r w:rsidRPr="00B94CD4">
        <w:rPr>
          <w:rFonts w:ascii="Abadi" w:hAnsi="Abadi"/>
          <w:b w:val="0"/>
          <w:bCs w:val="0"/>
          <w:spacing w:val="7"/>
          <w:sz w:val="21"/>
          <w:szCs w:val="21"/>
        </w:rPr>
        <w:t xml:space="preserve"> </w:t>
      </w:r>
      <w:r w:rsidRPr="00B94CD4">
        <w:rPr>
          <w:rFonts w:ascii="Abadi" w:hAnsi="Abadi"/>
          <w:b w:val="0"/>
          <w:bCs w:val="0"/>
          <w:sz w:val="21"/>
          <w:szCs w:val="21"/>
        </w:rPr>
        <w:t>Auditoría</w:t>
      </w:r>
      <w:r w:rsidRPr="00B94CD4">
        <w:rPr>
          <w:rFonts w:ascii="Abadi" w:hAnsi="Abadi"/>
          <w:b w:val="0"/>
          <w:bCs w:val="0"/>
          <w:spacing w:val="7"/>
          <w:sz w:val="21"/>
          <w:szCs w:val="21"/>
        </w:rPr>
        <w:t xml:space="preserve"> </w:t>
      </w:r>
      <w:r w:rsidRPr="00B94CD4">
        <w:rPr>
          <w:rFonts w:ascii="Abadi" w:hAnsi="Abadi"/>
          <w:b w:val="0"/>
          <w:bCs w:val="0"/>
          <w:sz w:val="21"/>
          <w:szCs w:val="21"/>
        </w:rPr>
        <w:t>Superior</w:t>
      </w:r>
      <w:r w:rsidRPr="00B94CD4">
        <w:rPr>
          <w:rFonts w:ascii="Abadi" w:hAnsi="Abadi"/>
          <w:b w:val="0"/>
          <w:bCs w:val="0"/>
          <w:spacing w:val="7"/>
          <w:sz w:val="21"/>
          <w:szCs w:val="21"/>
        </w:rPr>
        <w:t xml:space="preserve"> </w:t>
      </w:r>
      <w:r w:rsidRPr="00B94CD4">
        <w:rPr>
          <w:rFonts w:ascii="Abadi" w:hAnsi="Abadi"/>
          <w:b w:val="0"/>
          <w:bCs w:val="0"/>
          <w:sz w:val="21"/>
          <w:szCs w:val="21"/>
        </w:rPr>
        <w:t>del</w:t>
      </w:r>
      <w:r w:rsidRPr="00B94CD4">
        <w:rPr>
          <w:rFonts w:ascii="Abadi" w:hAnsi="Abadi"/>
          <w:b w:val="0"/>
          <w:bCs w:val="0"/>
          <w:spacing w:val="7"/>
          <w:sz w:val="21"/>
          <w:szCs w:val="21"/>
        </w:rPr>
        <w:t xml:space="preserve"> </w:t>
      </w:r>
      <w:r w:rsidRPr="00B94CD4">
        <w:rPr>
          <w:rFonts w:ascii="Abadi" w:hAnsi="Abadi"/>
          <w:b w:val="0"/>
          <w:bCs w:val="0"/>
          <w:sz w:val="21"/>
          <w:szCs w:val="21"/>
        </w:rPr>
        <w:t>Estado</w:t>
      </w:r>
      <w:r w:rsidRPr="00B94CD4">
        <w:rPr>
          <w:rFonts w:ascii="Abadi" w:hAnsi="Abadi"/>
          <w:b w:val="0"/>
          <w:bCs w:val="0"/>
          <w:spacing w:val="7"/>
          <w:sz w:val="21"/>
          <w:szCs w:val="21"/>
        </w:rPr>
        <w:t xml:space="preserve"> </w:t>
      </w:r>
      <w:r w:rsidRPr="00B94CD4">
        <w:rPr>
          <w:rFonts w:ascii="Abadi" w:hAnsi="Abadi"/>
          <w:b w:val="0"/>
          <w:bCs w:val="0"/>
          <w:sz w:val="21"/>
          <w:szCs w:val="21"/>
        </w:rPr>
        <w:t>de</w:t>
      </w:r>
      <w:r w:rsidRPr="00B94CD4">
        <w:rPr>
          <w:rFonts w:ascii="Abadi" w:hAnsi="Abadi"/>
          <w:b w:val="0"/>
          <w:bCs w:val="0"/>
          <w:spacing w:val="7"/>
          <w:sz w:val="21"/>
          <w:szCs w:val="21"/>
        </w:rPr>
        <w:t xml:space="preserve"> </w:t>
      </w:r>
      <w:r w:rsidRPr="00B94CD4">
        <w:rPr>
          <w:rFonts w:ascii="Abadi" w:hAnsi="Abadi"/>
          <w:b w:val="0"/>
          <w:bCs w:val="0"/>
          <w:sz w:val="21"/>
          <w:szCs w:val="21"/>
        </w:rPr>
        <w:t>Guanajuato,</w:t>
      </w:r>
      <w:r w:rsidRPr="00B94CD4">
        <w:rPr>
          <w:rFonts w:ascii="Abadi" w:hAnsi="Abadi"/>
          <w:b w:val="0"/>
          <w:bCs w:val="0"/>
          <w:spacing w:val="7"/>
          <w:sz w:val="21"/>
          <w:szCs w:val="21"/>
        </w:rPr>
        <w:t xml:space="preserve"> </w:t>
      </w:r>
      <w:r w:rsidRPr="00B94CD4">
        <w:rPr>
          <w:rFonts w:ascii="Abadi" w:hAnsi="Abadi"/>
          <w:b w:val="0"/>
          <w:bCs w:val="0"/>
          <w:sz w:val="21"/>
          <w:szCs w:val="21"/>
        </w:rPr>
        <w:t>para</w:t>
      </w:r>
      <w:r w:rsidRPr="00B94CD4">
        <w:rPr>
          <w:rFonts w:ascii="Abadi" w:hAnsi="Abadi"/>
          <w:b w:val="0"/>
          <w:bCs w:val="0"/>
          <w:spacing w:val="7"/>
          <w:sz w:val="21"/>
          <w:szCs w:val="21"/>
        </w:rPr>
        <w:t xml:space="preserve"> </w:t>
      </w:r>
      <w:r w:rsidRPr="00B94CD4">
        <w:rPr>
          <w:rFonts w:ascii="Abadi" w:hAnsi="Abadi"/>
          <w:b w:val="0"/>
          <w:bCs w:val="0"/>
          <w:sz w:val="21"/>
          <w:szCs w:val="21"/>
        </w:rPr>
        <w:t>que</w:t>
      </w:r>
      <w:r w:rsidRPr="00B94CD4">
        <w:rPr>
          <w:rFonts w:ascii="Abadi" w:hAnsi="Abadi"/>
          <w:b w:val="0"/>
          <w:bCs w:val="0"/>
          <w:spacing w:val="7"/>
          <w:sz w:val="21"/>
          <w:szCs w:val="21"/>
        </w:rPr>
        <w:t xml:space="preserve"> </w:t>
      </w:r>
      <w:r w:rsidRPr="00B94CD4">
        <w:rPr>
          <w:rFonts w:ascii="Abadi" w:hAnsi="Abadi"/>
          <w:b w:val="0"/>
          <w:bCs w:val="0"/>
          <w:sz w:val="21"/>
          <w:szCs w:val="21"/>
        </w:rPr>
        <w:t>lleve</w:t>
      </w:r>
      <w:r w:rsidRPr="00B94CD4">
        <w:rPr>
          <w:rFonts w:ascii="Abadi" w:hAnsi="Abadi"/>
          <w:b w:val="0"/>
          <w:bCs w:val="0"/>
          <w:spacing w:val="7"/>
          <w:sz w:val="21"/>
          <w:szCs w:val="21"/>
        </w:rPr>
        <w:t xml:space="preserve"> </w:t>
      </w:r>
      <w:r w:rsidRPr="00B94CD4">
        <w:rPr>
          <w:rFonts w:ascii="Abadi" w:hAnsi="Abadi"/>
          <w:b w:val="0"/>
          <w:bCs w:val="0"/>
          <w:sz w:val="21"/>
          <w:szCs w:val="21"/>
        </w:rPr>
        <w:t>a</w:t>
      </w:r>
      <w:r w:rsidRPr="00B94CD4">
        <w:rPr>
          <w:rFonts w:ascii="Abadi" w:hAnsi="Abadi"/>
          <w:b w:val="0"/>
          <w:bCs w:val="0"/>
          <w:spacing w:val="7"/>
          <w:sz w:val="21"/>
          <w:szCs w:val="21"/>
        </w:rPr>
        <w:t xml:space="preserve"> </w:t>
      </w:r>
      <w:r w:rsidRPr="00B94CD4">
        <w:rPr>
          <w:rFonts w:ascii="Abadi" w:hAnsi="Abadi"/>
          <w:b w:val="0"/>
          <w:bCs w:val="0"/>
          <w:sz w:val="21"/>
          <w:szCs w:val="21"/>
        </w:rPr>
        <w:t>cabo</w:t>
      </w:r>
      <w:r w:rsidRPr="00B94CD4">
        <w:rPr>
          <w:rFonts w:ascii="Abadi" w:hAnsi="Abadi"/>
          <w:b w:val="0"/>
          <w:bCs w:val="0"/>
          <w:spacing w:val="7"/>
          <w:sz w:val="21"/>
          <w:szCs w:val="21"/>
        </w:rPr>
        <w:t xml:space="preserve"> </w:t>
      </w:r>
      <w:r w:rsidRPr="00B94CD4">
        <w:rPr>
          <w:rFonts w:ascii="Abadi" w:hAnsi="Abadi"/>
          <w:b w:val="0"/>
          <w:bCs w:val="0"/>
          <w:sz w:val="21"/>
          <w:szCs w:val="21"/>
        </w:rPr>
        <w:t>una</w:t>
      </w:r>
      <w:r w:rsidRPr="00B94CD4">
        <w:rPr>
          <w:rFonts w:ascii="Abadi" w:hAnsi="Abadi"/>
          <w:b w:val="0"/>
          <w:bCs w:val="0"/>
          <w:spacing w:val="-2"/>
          <w:sz w:val="21"/>
          <w:szCs w:val="21"/>
        </w:rPr>
        <w:t xml:space="preserve"> </w:t>
      </w:r>
      <w:r w:rsidRPr="00B94CD4">
        <w:rPr>
          <w:rFonts w:ascii="Abadi" w:hAnsi="Abadi"/>
          <w:b w:val="0"/>
          <w:bCs w:val="0"/>
          <w:sz w:val="21"/>
          <w:szCs w:val="21"/>
        </w:rPr>
        <w:t>auditoría al Fideicomiso de Administración e Inversión para financiar obras,</w:t>
      </w:r>
      <w:r w:rsidRPr="00B94CD4">
        <w:rPr>
          <w:rFonts w:ascii="Abadi" w:hAnsi="Abadi"/>
          <w:b w:val="0"/>
          <w:bCs w:val="0"/>
          <w:spacing w:val="-2"/>
          <w:sz w:val="21"/>
          <w:szCs w:val="21"/>
        </w:rPr>
        <w:t xml:space="preserve"> </w:t>
      </w:r>
      <w:r w:rsidRPr="00B94CD4">
        <w:rPr>
          <w:rFonts w:ascii="Abadi" w:hAnsi="Abadi"/>
          <w:b w:val="0"/>
          <w:bCs w:val="0"/>
          <w:sz w:val="21"/>
          <w:szCs w:val="21"/>
        </w:rPr>
        <w:t>infraestructura,</w:t>
      </w:r>
      <w:r w:rsidRPr="00B94CD4">
        <w:rPr>
          <w:rFonts w:ascii="Abadi" w:hAnsi="Abadi"/>
          <w:b w:val="0"/>
          <w:bCs w:val="0"/>
          <w:spacing w:val="34"/>
          <w:sz w:val="21"/>
          <w:szCs w:val="21"/>
        </w:rPr>
        <w:t xml:space="preserve"> </w:t>
      </w:r>
      <w:r w:rsidRPr="00B94CD4">
        <w:rPr>
          <w:rFonts w:ascii="Abadi" w:hAnsi="Abadi"/>
          <w:b w:val="0"/>
          <w:bCs w:val="0"/>
          <w:sz w:val="21"/>
          <w:szCs w:val="21"/>
        </w:rPr>
        <w:t>proyectos</w:t>
      </w:r>
      <w:r w:rsidRPr="00B94CD4">
        <w:rPr>
          <w:rFonts w:ascii="Abadi" w:hAnsi="Abadi"/>
          <w:b w:val="0"/>
          <w:bCs w:val="0"/>
          <w:spacing w:val="34"/>
          <w:sz w:val="21"/>
          <w:szCs w:val="21"/>
        </w:rPr>
        <w:t xml:space="preserve"> </w:t>
      </w:r>
      <w:r w:rsidRPr="00B94CD4">
        <w:rPr>
          <w:rFonts w:ascii="Abadi" w:hAnsi="Abadi"/>
          <w:b w:val="0"/>
          <w:bCs w:val="0"/>
          <w:sz w:val="21"/>
          <w:szCs w:val="21"/>
        </w:rPr>
        <w:t>y</w:t>
      </w:r>
      <w:r w:rsidRPr="00B94CD4">
        <w:rPr>
          <w:rFonts w:ascii="Abadi" w:hAnsi="Abadi"/>
          <w:b w:val="0"/>
          <w:bCs w:val="0"/>
          <w:spacing w:val="34"/>
          <w:sz w:val="21"/>
          <w:szCs w:val="21"/>
        </w:rPr>
        <w:t xml:space="preserve"> </w:t>
      </w:r>
      <w:r w:rsidRPr="00B94CD4">
        <w:rPr>
          <w:rFonts w:ascii="Abadi" w:hAnsi="Abadi"/>
          <w:b w:val="0"/>
          <w:bCs w:val="0"/>
          <w:sz w:val="21"/>
          <w:szCs w:val="21"/>
        </w:rPr>
        <w:t>acciones</w:t>
      </w:r>
      <w:r w:rsidRPr="00B94CD4">
        <w:rPr>
          <w:rFonts w:ascii="Abadi" w:hAnsi="Abadi"/>
          <w:b w:val="0"/>
          <w:bCs w:val="0"/>
          <w:spacing w:val="34"/>
          <w:sz w:val="21"/>
          <w:szCs w:val="21"/>
        </w:rPr>
        <w:t xml:space="preserve"> </w:t>
      </w:r>
      <w:r w:rsidRPr="00B94CD4">
        <w:rPr>
          <w:rFonts w:ascii="Abadi" w:hAnsi="Abadi"/>
          <w:b w:val="0"/>
          <w:bCs w:val="0"/>
          <w:sz w:val="21"/>
          <w:szCs w:val="21"/>
        </w:rPr>
        <w:t>prioritarias</w:t>
      </w:r>
      <w:r w:rsidRPr="00B94CD4">
        <w:rPr>
          <w:rFonts w:ascii="Abadi" w:hAnsi="Abadi"/>
          <w:b w:val="0"/>
          <w:bCs w:val="0"/>
          <w:spacing w:val="34"/>
          <w:sz w:val="21"/>
          <w:szCs w:val="21"/>
        </w:rPr>
        <w:t xml:space="preserve"> </w:t>
      </w:r>
      <w:r w:rsidRPr="00B94CD4">
        <w:rPr>
          <w:rFonts w:ascii="Abadi" w:hAnsi="Abadi"/>
          <w:b w:val="0"/>
          <w:bCs w:val="0"/>
          <w:sz w:val="21"/>
          <w:szCs w:val="21"/>
        </w:rPr>
        <w:t>en</w:t>
      </w:r>
      <w:r w:rsidRPr="00B94CD4">
        <w:rPr>
          <w:rFonts w:ascii="Abadi" w:hAnsi="Abadi"/>
          <w:b w:val="0"/>
          <w:bCs w:val="0"/>
          <w:spacing w:val="34"/>
          <w:sz w:val="21"/>
          <w:szCs w:val="21"/>
        </w:rPr>
        <w:t xml:space="preserve"> </w:t>
      </w:r>
      <w:r w:rsidRPr="00B94CD4">
        <w:rPr>
          <w:rFonts w:ascii="Abadi" w:hAnsi="Abadi"/>
          <w:b w:val="0"/>
          <w:bCs w:val="0"/>
          <w:sz w:val="21"/>
          <w:szCs w:val="21"/>
        </w:rPr>
        <w:t>materia</w:t>
      </w:r>
      <w:r w:rsidRPr="00B94CD4">
        <w:rPr>
          <w:rFonts w:ascii="Abadi" w:hAnsi="Abadi"/>
          <w:b w:val="0"/>
          <w:bCs w:val="0"/>
          <w:spacing w:val="34"/>
          <w:sz w:val="21"/>
          <w:szCs w:val="21"/>
        </w:rPr>
        <w:t xml:space="preserve"> </w:t>
      </w:r>
      <w:r w:rsidRPr="00B94CD4">
        <w:rPr>
          <w:rFonts w:ascii="Abadi" w:hAnsi="Abadi"/>
          <w:b w:val="0"/>
          <w:bCs w:val="0"/>
          <w:sz w:val="21"/>
          <w:szCs w:val="21"/>
        </w:rPr>
        <w:t>de</w:t>
      </w:r>
      <w:r w:rsidRPr="00B94CD4">
        <w:rPr>
          <w:rFonts w:ascii="Abadi" w:hAnsi="Abadi"/>
          <w:b w:val="0"/>
          <w:bCs w:val="0"/>
          <w:spacing w:val="34"/>
          <w:sz w:val="21"/>
          <w:szCs w:val="21"/>
        </w:rPr>
        <w:t xml:space="preserve"> </w:t>
      </w:r>
      <w:r w:rsidRPr="00B94CD4">
        <w:rPr>
          <w:rFonts w:ascii="Abadi" w:hAnsi="Abadi"/>
          <w:b w:val="0"/>
          <w:bCs w:val="0"/>
          <w:sz w:val="21"/>
          <w:szCs w:val="21"/>
        </w:rPr>
        <w:t>desarrollo</w:t>
      </w:r>
      <w:r w:rsidRPr="00B94CD4">
        <w:rPr>
          <w:rFonts w:ascii="Abadi" w:hAnsi="Abadi"/>
          <w:b w:val="0"/>
          <w:bCs w:val="0"/>
          <w:spacing w:val="-2"/>
          <w:sz w:val="21"/>
          <w:szCs w:val="21"/>
        </w:rPr>
        <w:t xml:space="preserve"> </w:t>
      </w:r>
      <w:r w:rsidRPr="00B94CD4">
        <w:rPr>
          <w:rFonts w:ascii="Abadi" w:hAnsi="Abadi"/>
          <w:b w:val="0"/>
          <w:bCs w:val="0"/>
          <w:sz w:val="21"/>
          <w:szCs w:val="21"/>
        </w:rPr>
        <w:t>social</w:t>
      </w:r>
      <w:r w:rsidRPr="00B94CD4">
        <w:rPr>
          <w:rFonts w:ascii="Abadi" w:hAnsi="Abadi"/>
          <w:b w:val="0"/>
          <w:bCs w:val="0"/>
          <w:spacing w:val="7"/>
          <w:sz w:val="21"/>
          <w:szCs w:val="21"/>
        </w:rPr>
        <w:t xml:space="preserve"> </w:t>
      </w:r>
      <w:r w:rsidRPr="00B94CD4">
        <w:rPr>
          <w:rFonts w:ascii="Abadi" w:hAnsi="Abadi"/>
          <w:b w:val="0"/>
          <w:bCs w:val="0"/>
          <w:sz w:val="21"/>
          <w:szCs w:val="21"/>
        </w:rPr>
        <w:t>y</w:t>
      </w:r>
      <w:r w:rsidRPr="00B94CD4">
        <w:rPr>
          <w:rFonts w:ascii="Abadi" w:hAnsi="Abadi"/>
          <w:b w:val="0"/>
          <w:bCs w:val="0"/>
          <w:spacing w:val="7"/>
          <w:sz w:val="21"/>
          <w:szCs w:val="21"/>
        </w:rPr>
        <w:t xml:space="preserve"> </w:t>
      </w:r>
      <w:r w:rsidRPr="00B94CD4">
        <w:rPr>
          <w:rFonts w:ascii="Abadi" w:hAnsi="Abadi"/>
          <w:b w:val="0"/>
          <w:bCs w:val="0"/>
          <w:sz w:val="21"/>
          <w:szCs w:val="21"/>
        </w:rPr>
        <w:t>seguridad</w:t>
      </w:r>
      <w:r w:rsidRPr="00B94CD4">
        <w:rPr>
          <w:rFonts w:ascii="Abadi" w:hAnsi="Abadi"/>
          <w:b w:val="0"/>
          <w:bCs w:val="0"/>
          <w:spacing w:val="8"/>
          <w:sz w:val="21"/>
          <w:szCs w:val="21"/>
        </w:rPr>
        <w:t xml:space="preserve"> </w:t>
      </w:r>
      <w:r w:rsidRPr="00B94CD4">
        <w:rPr>
          <w:rFonts w:ascii="Abadi" w:hAnsi="Abadi"/>
          <w:b w:val="0"/>
          <w:bCs w:val="0"/>
          <w:sz w:val="21"/>
          <w:szCs w:val="21"/>
        </w:rPr>
        <w:t>pública</w:t>
      </w:r>
      <w:r w:rsidRPr="00B94CD4">
        <w:rPr>
          <w:rFonts w:ascii="Abadi" w:hAnsi="Abadi"/>
          <w:b w:val="0"/>
          <w:bCs w:val="0"/>
          <w:spacing w:val="7"/>
          <w:sz w:val="21"/>
          <w:szCs w:val="21"/>
        </w:rPr>
        <w:t xml:space="preserve"> </w:t>
      </w:r>
      <w:r w:rsidRPr="00B94CD4">
        <w:rPr>
          <w:rFonts w:ascii="Abadi" w:hAnsi="Abadi"/>
          <w:b w:val="0"/>
          <w:bCs w:val="0"/>
          <w:sz w:val="21"/>
          <w:szCs w:val="21"/>
        </w:rPr>
        <w:t>(FIDESSEG),</w:t>
      </w:r>
      <w:r w:rsidRPr="00B94CD4">
        <w:rPr>
          <w:rFonts w:ascii="Abadi" w:hAnsi="Abadi"/>
          <w:b w:val="0"/>
          <w:bCs w:val="0"/>
          <w:spacing w:val="7"/>
          <w:sz w:val="21"/>
          <w:szCs w:val="21"/>
        </w:rPr>
        <w:t xml:space="preserve"> </w:t>
      </w:r>
      <w:r w:rsidRPr="00B94CD4">
        <w:rPr>
          <w:rFonts w:ascii="Abadi" w:hAnsi="Abadi"/>
          <w:b w:val="0"/>
          <w:bCs w:val="0"/>
          <w:sz w:val="21"/>
          <w:szCs w:val="21"/>
        </w:rPr>
        <w:t>la</w:t>
      </w:r>
      <w:r w:rsidRPr="00B94CD4">
        <w:rPr>
          <w:rFonts w:ascii="Abadi" w:hAnsi="Abadi"/>
          <w:b w:val="0"/>
          <w:bCs w:val="0"/>
          <w:spacing w:val="7"/>
          <w:sz w:val="21"/>
          <w:szCs w:val="21"/>
        </w:rPr>
        <w:t xml:space="preserve"> </w:t>
      </w:r>
      <w:r w:rsidRPr="00B94CD4">
        <w:rPr>
          <w:rFonts w:ascii="Abadi" w:hAnsi="Abadi"/>
          <w:b w:val="0"/>
          <w:bCs w:val="0"/>
          <w:sz w:val="21"/>
          <w:szCs w:val="21"/>
        </w:rPr>
        <w:t>cual</w:t>
      </w:r>
      <w:r w:rsidRPr="00B94CD4">
        <w:rPr>
          <w:rFonts w:ascii="Abadi" w:hAnsi="Abadi"/>
          <w:b w:val="0"/>
          <w:bCs w:val="0"/>
          <w:spacing w:val="7"/>
          <w:sz w:val="21"/>
          <w:szCs w:val="21"/>
        </w:rPr>
        <w:t xml:space="preserve"> </w:t>
      </w:r>
      <w:r w:rsidRPr="00B94CD4">
        <w:rPr>
          <w:rFonts w:ascii="Abadi" w:hAnsi="Abadi"/>
          <w:b w:val="0"/>
          <w:bCs w:val="0"/>
          <w:sz w:val="21"/>
          <w:szCs w:val="21"/>
        </w:rPr>
        <w:t>deberá</w:t>
      </w:r>
      <w:r w:rsidRPr="00B94CD4">
        <w:rPr>
          <w:rFonts w:ascii="Abadi" w:hAnsi="Abadi"/>
          <w:b w:val="0"/>
          <w:bCs w:val="0"/>
          <w:spacing w:val="7"/>
          <w:sz w:val="21"/>
          <w:szCs w:val="21"/>
        </w:rPr>
        <w:t xml:space="preserve"> </w:t>
      </w:r>
      <w:r w:rsidRPr="00B94CD4">
        <w:rPr>
          <w:rFonts w:ascii="Abadi" w:hAnsi="Abadi"/>
          <w:b w:val="0"/>
          <w:bCs w:val="0"/>
          <w:sz w:val="21"/>
          <w:szCs w:val="21"/>
        </w:rPr>
        <w:t>abarcar</w:t>
      </w:r>
      <w:r w:rsidRPr="00B94CD4">
        <w:rPr>
          <w:rFonts w:ascii="Abadi" w:hAnsi="Abadi"/>
          <w:b w:val="0"/>
          <w:bCs w:val="0"/>
          <w:spacing w:val="7"/>
          <w:sz w:val="21"/>
          <w:szCs w:val="21"/>
        </w:rPr>
        <w:t xml:space="preserve"> </w:t>
      </w:r>
      <w:r w:rsidRPr="00B94CD4">
        <w:rPr>
          <w:rFonts w:ascii="Abadi" w:hAnsi="Abadi"/>
          <w:b w:val="0"/>
          <w:bCs w:val="0"/>
          <w:sz w:val="21"/>
          <w:szCs w:val="21"/>
        </w:rPr>
        <w:t>la</w:t>
      </w:r>
      <w:r w:rsidRPr="00B94CD4">
        <w:rPr>
          <w:rFonts w:ascii="Abadi" w:hAnsi="Abadi"/>
          <w:b w:val="0"/>
          <w:bCs w:val="0"/>
          <w:spacing w:val="7"/>
          <w:sz w:val="21"/>
          <w:szCs w:val="21"/>
        </w:rPr>
        <w:t xml:space="preserve"> </w:t>
      </w:r>
      <w:r w:rsidRPr="00B94CD4">
        <w:rPr>
          <w:rFonts w:ascii="Abadi" w:hAnsi="Abadi"/>
          <w:b w:val="0"/>
          <w:bCs w:val="0"/>
          <w:sz w:val="21"/>
          <w:szCs w:val="21"/>
        </w:rPr>
        <w:t>totalidad</w:t>
      </w:r>
      <w:r w:rsidRPr="00B94CD4">
        <w:rPr>
          <w:rFonts w:ascii="Abadi" w:hAnsi="Abadi"/>
          <w:b w:val="0"/>
          <w:bCs w:val="0"/>
          <w:spacing w:val="-2"/>
          <w:sz w:val="21"/>
          <w:szCs w:val="21"/>
        </w:rPr>
        <w:t xml:space="preserve"> </w:t>
      </w:r>
      <w:r w:rsidRPr="00B94CD4">
        <w:rPr>
          <w:rFonts w:ascii="Abadi" w:hAnsi="Abadi"/>
          <w:b w:val="0"/>
          <w:bCs w:val="0"/>
          <w:sz w:val="21"/>
          <w:szCs w:val="21"/>
        </w:rPr>
        <w:t>de</w:t>
      </w:r>
      <w:r w:rsidRPr="00B94CD4">
        <w:rPr>
          <w:rFonts w:ascii="Abadi" w:hAnsi="Abadi"/>
          <w:b w:val="0"/>
          <w:bCs w:val="0"/>
          <w:spacing w:val="27"/>
          <w:sz w:val="21"/>
          <w:szCs w:val="21"/>
        </w:rPr>
        <w:t xml:space="preserve">  </w:t>
      </w:r>
      <w:r w:rsidRPr="00B94CD4">
        <w:rPr>
          <w:rFonts w:ascii="Abadi" w:hAnsi="Abadi"/>
          <w:b w:val="0"/>
          <w:bCs w:val="0"/>
          <w:sz w:val="21"/>
          <w:szCs w:val="21"/>
        </w:rPr>
        <w:t>los</w:t>
      </w:r>
      <w:r w:rsidRPr="00B94CD4">
        <w:rPr>
          <w:rFonts w:ascii="Abadi" w:hAnsi="Abadi"/>
          <w:b w:val="0"/>
          <w:bCs w:val="0"/>
          <w:spacing w:val="27"/>
          <w:sz w:val="21"/>
          <w:szCs w:val="21"/>
        </w:rPr>
        <w:t xml:space="preserve">  </w:t>
      </w:r>
      <w:r w:rsidRPr="00B94CD4">
        <w:rPr>
          <w:rFonts w:ascii="Abadi" w:hAnsi="Abadi"/>
          <w:b w:val="0"/>
          <w:bCs w:val="0"/>
          <w:sz w:val="21"/>
          <w:szCs w:val="21"/>
        </w:rPr>
        <w:t>recursos</w:t>
      </w:r>
      <w:r w:rsidRPr="00B94CD4">
        <w:rPr>
          <w:rFonts w:ascii="Abadi" w:hAnsi="Abadi"/>
          <w:b w:val="0"/>
          <w:bCs w:val="0"/>
          <w:spacing w:val="26"/>
          <w:sz w:val="21"/>
          <w:szCs w:val="21"/>
        </w:rPr>
        <w:t xml:space="preserve">  </w:t>
      </w:r>
      <w:r w:rsidRPr="00B94CD4">
        <w:rPr>
          <w:rFonts w:ascii="Abadi" w:hAnsi="Abadi"/>
          <w:b w:val="0"/>
          <w:bCs w:val="0"/>
          <w:sz w:val="21"/>
          <w:szCs w:val="21"/>
        </w:rPr>
        <w:t>ejercidos</w:t>
      </w:r>
      <w:r w:rsidRPr="00B94CD4">
        <w:rPr>
          <w:rFonts w:ascii="Abadi" w:hAnsi="Abadi"/>
          <w:b w:val="0"/>
          <w:bCs w:val="0"/>
          <w:spacing w:val="26"/>
          <w:sz w:val="21"/>
          <w:szCs w:val="21"/>
        </w:rPr>
        <w:t xml:space="preserve">  </w:t>
      </w:r>
      <w:r w:rsidRPr="00B94CD4">
        <w:rPr>
          <w:rFonts w:ascii="Abadi" w:hAnsi="Abadi"/>
          <w:b w:val="0"/>
          <w:bCs w:val="0"/>
          <w:sz w:val="21"/>
          <w:szCs w:val="21"/>
        </w:rPr>
        <w:t>por</w:t>
      </w:r>
      <w:r w:rsidRPr="00B94CD4">
        <w:rPr>
          <w:rFonts w:ascii="Abadi" w:hAnsi="Abadi"/>
          <w:b w:val="0"/>
          <w:bCs w:val="0"/>
          <w:spacing w:val="26"/>
          <w:sz w:val="21"/>
          <w:szCs w:val="21"/>
        </w:rPr>
        <w:t xml:space="preserve">  </w:t>
      </w:r>
      <w:r w:rsidRPr="00B94CD4">
        <w:rPr>
          <w:rFonts w:ascii="Abadi" w:hAnsi="Abadi"/>
          <w:b w:val="0"/>
          <w:bCs w:val="0"/>
          <w:sz w:val="21"/>
          <w:szCs w:val="21"/>
        </w:rPr>
        <w:t>los</w:t>
      </w:r>
      <w:r w:rsidRPr="00B94CD4">
        <w:rPr>
          <w:rFonts w:ascii="Abadi" w:hAnsi="Abadi"/>
          <w:b w:val="0"/>
          <w:bCs w:val="0"/>
          <w:spacing w:val="27"/>
          <w:sz w:val="21"/>
          <w:szCs w:val="21"/>
        </w:rPr>
        <w:t xml:space="preserve">  </w:t>
      </w:r>
      <w:r w:rsidRPr="00B94CD4">
        <w:rPr>
          <w:rFonts w:ascii="Abadi" w:hAnsi="Abadi"/>
          <w:b w:val="0"/>
          <w:bCs w:val="0"/>
          <w:sz w:val="21"/>
          <w:szCs w:val="21"/>
        </w:rPr>
        <w:t>ejercicios</w:t>
      </w:r>
      <w:r w:rsidRPr="00B94CD4">
        <w:rPr>
          <w:rFonts w:ascii="Abadi" w:hAnsi="Abadi"/>
          <w:b w:val="0"/>
          <w:bCs w:val="0"/>
          <w:spacing w:val="26"/>
          <w:sz w:val="21"/>
          <w:szCs w:val="21"/>
        </w:rPr>
        <w:t xml:space="preserve">  </w:t>
      </w:r>
      <w:r w:rsidRPr="00B94CD4">
        <w:rPr>
          <w:rFonts w:ascii="Abadi" w:hAnsi="Abadi"/>
          <w:b w:val="0"/>
          <w:bCs w:val="0"/>
          <w:sz w:val="21"/>
          <w:szCs w:val="21"/>
        </w:rPr>
        <w:t>fiscales</w:t>
      </w:r>
      <w:r w:rsidRPr="00B94CD4">
        <w:rPr>
          <w:rFonts w:ascii="Abadi" w:hAnsi="Abadi"/>
          <w:b w:val="0"/>
          <w:bCs w:val="0"/>
          <w:spacing w:val="27"/>
          <w:sz w:val="21"/>
          <w:szCs w:val="21"/>
        </w:rPr>
        <w:t xml:space="preserve">  </w:t>
      </w:r>
      <w:r w:rsidRPr="00B94CD4">
        <w:rPr>
          <w:rFonts w:ascii="Abadi" w:hAnsi="Abadi"/>
          <w:b w:val="0"/>
          <w:bCs w:val="0"/>
          <w:sz w:val="21"/>
          <w:szCs w:val="21"/>
        </w:rPr>
        <w:t>2020,</w:t>
      </w:r>
      <w:r w:rsidRPr="00B94CD4">
        <w:rPr>
          <w:rFonts w:ascii="Abadi" w:hAnsi="Abadi"/>
          <w:b w:val="0"/>
          <w:bCs w:val="0"/>
          <w:spacing w:val="26"/>
          <w:sz w:val="21"/>
          <w:szCs w:val="21"/>
        </w:rPr>
        <w:t xml:space="preserve">  </w:t>
      </w:r>
      <w:r w:rsidRPr="00B94CD4">
        <w:rPr>
          <w:rFonts w:ascii="Abadi" w:hAnsi="Abadi"/>
          <w:b w:val="0"/>
          <w:bCs w:val="0"/>
          <w:sz w:val="21"/>
          <w:szCs w:val="21"/>
        </w:rPr>
        <w:t>2021</w:t>
      </w:r>
      <w:r w:rsidRPr="00B94CD4">
        <w:rPr>
          <w:rFonts w:ascii="Abadi" w:hAnsi="Abadi"/>
          <w:b w:val="0"/>
          <w:bCs w:val="0"/>
          <w:spacing w:val="27"/>
          <w:sz w:val="21"/>
          <w:szCs w:val="21"/>
        </w:rPr>
        <w:t xml:space="preserve">  </w:t>
      </w:r>
      <w:r w:rsidRPr="00B94CD4">
        <w:rPr>
          <w:rFonts w:ascii="Abadi" w:hAnsi="Abadi"/>
          <w:b w:val="0"/>
          <w:bCs w:val="0"/>
          <w:sz w:val="21"/>
          <w:szCs w:val="21"/>
        </w:rPr>
        <w:t>y</w:t>
      </w:r>
      <w:r w:rsidRPr="00B94CD4">
        <w:rPr>
          <w:rFonts w:ascii="Abadi" w:hAnsi="Abadi"/>
          <w:b w:val="0"/>
          <w:bCs w:val="0"/>
          <w:spacing w:val="-2"/>
          <w:sz w:val="21"/>
          <w:szCs w:val="21"/>
        </w:rPr>
        <w:t xml:space="preserve"> </w:t>
      </w:r>
      <w:r w:rsidRPr="00B94CD4">
        <w:rPr>
          <w:rFonts w:ascii="Abadi" w:hAnsi="Abadi"/>
          <w:b w:val="0"/>
          <w:bCs w:val="0"/>
          <w:sz w:val="21"/>
          <w:szCs w:val="21"/>
        </w:rPr>
        <w:t>concomitante</w:t>
      </w:r>
      <w:r w:rsidRPr="00B94CD4">
        <w:rPr>
          <w:rFonts w:ascii="Abadi" w:hAnsi="Abadi"/>
          <w:b w:val="0"/>
          <w:bCs w:val="0"/>
          <w:spacing w:val="-1"/>
          <w:sz w:val="21"/>
          <w:szCs w:val="21"/>
        </w:rPr>
        <w:t xml:space="preserve"> </w:t>
      </w:r>
      <w:r w:rsidRPr="00B94CD4">
        <w:rPr>
          <w:rFonts w:ascii="Abadi" w:hAnsi="Abadi"/>
          <w:b w:val="0"/>
          <w:bCs w:val="0"/>
          <w:sz w:val="21"/>
          <w:szCs w:val="21"/>
        </w:rPr>
        <w:t>a</w:t>
      </w:r>
      <w:r w:rsidRPr="00B94CD4">
        <w:rPr>
          <w:rFonts w:ascii="Abadi" w:hAnsi="Abadi"/>
          <w:b w:val="0"/>
          <w:bCs w:val="0"/>
          <w:spacing w:val="-1"/>
          <w:sz w:val="21"/>
          <w:szCs w:val="21"/>
        </w:rPr>
        <w:t xml:space="preserve"> </w:t>
      </w:r>
      <w:r w:rsidRPr="00B94CD4">
        <w:rPr>
          <w:rFonts w:ascii="Abadi" w:hAnsi="Abadi"/>
          <w:b w:val="0"/>
          <w:bCs w:val="0"/>
          <w:sz w:val="21"/>
          <w:szCs w:val="21"/>
        </w:rPr>
        <w:t xml:space="preserve">2022. </w:t>
      </w:r>
      <w:r w:rsidRPr="00812DB2">
        <w:rPr>
          <w:rFonts w:ascii="Abadi" w:hAnsi="Abadi"/>
          <w:sz w:val="21"/>
          <w:szCs w:val="21"/>
        </w:rPr>
        <w:t>XXXVI.-</w:t>
      </w:r>
      <w:r w:rsidRPr="00B94CD4">
        <w:rPr>
          <w:rFonts w:ascii="Abadi" w:hAnsi="Abadi"/>
          <w:b w:val="0"/>
          <w:bCs w:val="0"/>
          <w:sz w:val="21"/>
          <w:szCs w:val="21"/>
        </w:rPr>
        <w:t xml:space="preserve"> Discusión</w:t>
      </w:r>
      <w:r w:rsidRPr="00B94CD4">
        <w:rPr>
          <w:rFonts w:ascii="Abadi" w:hAnsi="Abadi"/>
          <w:b w:val="0"/>
          <w:bCs w:val="0"/>
          <w:spacing w:val="49"/>
          <w:w w:val="150"/>
          <w:sz w:val="21"/>
          <w:szCs w:val="21"/>
        </w:rPr>
        <w:t xml:space="preserve"> </w:t>
      </w:r>
      <w:r w:rsidRPr="00B94CD4">
        <w:rPr>
          <w:rFonts w:ascii="Abadi" w:hAnsi="Abadi"/>
          <w:b w:val="0"/>
          <w:bCs w:val="0"/>
          <w:sz w:val="21"/>
          <w:szCs w:val="21"/>
        </w:rPr>
        <w:t>y,</w:t>
      </w:r>
      <w:r w:rsidRPr="00B94CD4">
        <w:rPr>
          <w:rFonts w:ascii="Abadi" w:hAnsi="Abadi"/>
          <w:b w:val="0"/>
          <w:bCs w:val="0"/>
          <w:spacing w:val="49"/>
          <w:w w:val="150"/>
          <w:sz w:val="21"/>
          <w:szCs w:val="21"/>
        </w:rPr>
        <w:t xml:space="preserve"> </w:t>
      </w:r>
      <w:r w:rsidRPr="00B94CD4">
        <w:rPr>
          <w:rFonts w:ascii="Abadi" w:hAnsi="Abadi"/>
          <w:b w:val="0"/>
          <w:bCs w:val="0"/>
          <w:sz w:val="21"/>
          <w:szCs w:val="21"/>
        </w:rPr>
        <w:t>en</w:t>
      </w:r>
      <w:r w:rsidRPr="00B94CD4">
        <w:rPr>
          <w:rFonts w:ascii="Abadi" w:hAnsi="Abadi"/>
          <w:b w:val="0"/>
          <w:bCs w:val="0"/>
          <w:spacing w:val="49"/>
          <w:w w:val="150"/>
          <w:sz w:val="21"/>
          <w:szCs w:val="21"/>
        </w:rPr>
        <w:t xml:space="preserve"> </w:t>
      </w:r>
      <w:r w:rsidRPr="00B94CD4">
        <w:rPr>
          <w:rFonts w:ascii="Abadi" w:hAnsi="Abadi"/>
          <w:b w:val="0"/>
          <w:bCs w:val="0"/>
          <w:sz w:val="21"/>
          <w:szCs w:val="21"/>
        </w:rPr>
        <w:t>su</w:t>
      </w:r>
      <w:r w:rsidRPr="00B94CD4">
        <w:rPr>
          <w:rFonts w:ascii="Abadi" w:hAnsi="Abadi"/>
          <w:b w:val="0"/>
          <w:bCs w:val="0"/>
          <w:spacing w:val="49"/>
          <w:w w:val="150"/>
          <w:sz w:val="21"/>
          <w:szCs w:val="21"/>
        </w:rPr>
        <w:t xml:space="preserve"> </w:t>
      </w:r>
      <w:r w:rsidRPr="00B94CD4">
        <w:rPr>
          <w:rFonts w:ascii="Abadi" w:hAnsi="Abadi"/>
          <w:b w:val="0"/>
          <w:bCs w:val="0"/>
          <w:sz w:val="21"/>
          <w:szCs w:val="21"/>
        </w:rPr>
        <w:t>caso,</w:t>
      </w:r>
      <w:r w:rsidRPr="00B94CD4">
        <w:rPr>
          <w:rFonts w:ascii="Abadi" w:hAnsi="Abadi"/>
          <w:b w:val="0"/>
          <w:bCs w:val="0"/>
          <w:spacing w:val="49"/>
          <w:w w:val="150"/>
          <w:sz w:val="21"/>
          <w:szCs w:val="21"/>
        </w:rPr>
        <w:t xml:space="preserve"> </w:t>
      </w:r>
      <w:r w:rsidRPr="00B94CD4">
        <w:rPr>
          <w:rFonts w:ascii="Abadi" w:hAnsi="Abadi"/>
          <w:b w:val="0"/>
          <w:bCs w:val="0"/>
          <w:sz w:val="21"/>
          <w:szCs w:val="21"/>
        </w:rPr>
        <w:t>aprobación</w:t>
      </w:r>
      <w:r w:rsidRPr="00B94CD4">
        <w:rPr>
          <w:rFonts w:ascii="Abadi" w:hAnsi="Abadi"/>
          <w:b w:val="0"/>
          <w:bCs w:val="0"/>
          <w:spacing w:val="49"/>
          <w:w w:val="150"/>
          <w:sz w:val="21"/>
          <w:szCs w:val="21"/>
        </w:rPr>
        <w:t xml:space="preserve"> </w:t>
      </w:r>
      <w:r w:rsidRPr="00B94CD4">
        <w:rPr>
          <w:rFonts w:ascii="Abadi" w:hAnsi="Abadi"/>
          <w:b w:val="0"/>
          <w:bCs w:val="0"/>
          <w:sz w:val="21"/>
          <w:szCs w:val="21"/>
        </w:rPr>
        <w:t>del</w:t>
      </w:r>
      <w:r w:rsidRPr="00B94CD4">
        <w:rPr>
          <w:rFonts w:ascii="Abadi" w:hAnsi="Abadi"/>
          <w:b w:val="0"/>
          <w:bCs w:val="0"/>
          <w:spacing w:val="49"/>
          <w:w w:val="150"/>
          <w:sz w:val="21"/>
          <w:szCs w:val="21"/>
        </w:rPr>
        <w:t xml:space="preserve"> </w:t>
      </w:r>
      <w:r w:rsidRPr="00B94CD4">
        <w:rPr>
          <w:rFonts w:ascii="Abadi" w:hAnsi="Abadi"/>
          <w:b w:val="0"/>
          <w:bCs w:val="0"/>
          <w:sz w:val="21"/>
          <w:szCs w:val="21"/>
        </w:rPr>
        <w:t>dictamen</w:t>
      </w:r>
      <w:r w:rsidRPr="00B94CD4">
        <w:rPr>
          <w:rFonts w:ascii="Abadi" w:hAnsi="Abadi"/>
          <w:b w:val="0"/>
          <w:bCs w:val="0"/>
          <w:spacing w:val="49"/>
          <w:w w:val="150"/>
          <w:sz w:val="21"/>
          <w:szCs w:val="21"/>
        </w:rPr>
        <w:t xml:space="preserve"> </w:t>
      </w:r>
      <w:r w:rsidRPr="00B94CD4">
        <w:rPr>
          <w:rFonts w:ascii="Abadi" w:hAnsi="Abadi"/>
          <w:b w:val="0"/>
          <w:bCs w:val="0"/>
          <w:sz w:val="21"/>
          <w:szCs w:val="21"/>
        </w:rPr>
        <w:t>presentado</w:t>
      </w:r>
      <w:r w:rsidRPr="00B94CD4">
        <w:rPr>
          <w:rFonts w:ascii="Abadi" w:hAnsi="Abadi"/>
          <w:b w:val="0"/>
          <w:bCs w:val="0"/>
          <w:spacing w:val="49"/>
          <w:w w:val="150"/>
          <w:sz w:val="21"/>
          <w:szCs w:val="21"/>
        </w:rPr>
        <w:t xml:space="preserve"> </w:t>
      </w:r>
      <w:r w:rsidRPr="00B94CD4">
        <w:rPr>
          <w:rFonts w:ascii="Abadi" w:hAnsi="Abadi"/>
          <w:b w:val="0"/>
          <w:bCs w:val="0"/>
          <w:sz w:val="21"/>
          <w:szCs w:val="21"/>
        </w:rPr>
        <w:t>por</w:t>
      </w:r>
      <w:r w:rsidRPr="00B94CD4">
        <w:rPr>
          <w:rFonts w:ascii="Abadi" w:hAnsi="Abadi"/>
          <w:b w:val="0"/>
          <w:bCs w:val="0"/>
          <w:spacing w:val="49"/>
          <w:w w:val="150"/>
          <w:sz w:val="21"/>
          <w:szCs w:val="21"/>
        </w:rPr>
        <w:t xml:space="preserve"> </w:t>
      </w:r>
      <w:r w:rsidRPr="00B94CD4">
        <w:rPr>
          <w:rFonts w:ascii="Abadi" w:hAnsi="Abadi"/>
          <w:b w:val="0"/>
          <w:bCs w:val="0"/>
          <w:sz w:val="21"/>
          <w:szCs w:val="21"/>
        </w:rPr>
        <w:t>la</w:t>
      </w:r>
      <w:r w:rsidRPr="00B94CD4">
        <w:rPr>
          <w:rFonts w:ascii="Abadi" w:hAnsi="Abadi"/>
          <w:b w:val="0"/>
          <w:bCs w:val="0"/>
          <w:spacing w:val="-2"/>
          <w:sz w:val="21"/>
          <w:szCs w:val="21"/>
        </w:rPr>
        <w:t xml:space="preserve"> </w:t>
      </w:r>
      <w:r w:rsidRPr="00B94CD4">
        <w:rPr>
          <w:rFonts w:ascii="Abadi" w:hAnsi="Abadi"/>
          <w:b w:val="0"/>
          <w:bCs w:val="0"/>
          <w:sz w:val="21"/>
          <w:szCs w:val="21"/>
        </w:rPr>
        <w:t>Comisión</w:t>
      </w:r>
      <w:r w:rsidRPr="00B94CD4">
        <w:rPr>
          <w:rFonts w:ascii="Abadi" w:hAnsi="Abadi"/>
          <w:b w:val="0"/>
          <w:bCs w:val="0"/>
          <w:spacing w:val="19"/>
          <w:sz w:val="21"/>
          <w:szCs w:val="21"/>
        </w:rPr>
        <w:t xml:space="preserve"> </w:t>
      </w:r>
      <w:r w:rsidRPr="00B94CD4">
        <w:rPr>
          <w:rFonts w:ascii="Abadi" w:hAnsi="Abadi"/>
          <w:b w:val="0"/>
          <w:bCs w:val="0"/>
          <w:sz w:val="21"/>
          <w:szCs w:val="21"/>
        </w:rPr>
        <w:t>de</w:t>
      </w:r>
      <w:r w:rsidRPr="00B94CD4">
        <w:rPr>
          <w:rFonts w:ascii="Abadi" w:hAnsi="Abadi"/>
          <w:b w:val="0"/>
          <w:bCs w:val="0"/>
          <w:spacing w:val="19"/>
          <w:sz w:val="21"/>
          <w:szCs w:val="21"/>
        </w:rPr>
        <w:t xml:space="preserve"> </w:t>
      </w:r>
      <w:r w:rsidRPr="00B94CD4">
        <w:rPr>
          <w:rFonts w:ascii="Abadi" w:hAnsi="Abadi"/>
          <w:b w:val="0"/>
          <w:bCs w:val="0"/>
          <w:sz w:val="21"/>
          <w:szCs w:val="21"/>
        </w:rPr>
        <w:t>Hacienda</w:t>
      </w:r>
      <w:r w:rsidRPr="00B94CD4">
        <w:rPr>
          <w:rFonts w:ascii="Abadi" w:hAnsi="Abadi"/>
          <w:b w:val="0"/>
          <w:bCs w:val="0"/>
          <w:spacing w:val="19"/>
          <w:sz w:val="21"/>
          <w:szCs w:val="21"/>
        </w:rPr>
        <w:t xml:space="preserve"> </w:t>
      </w:r>
      <w:r w:rsidRPr="00B94CD4">
        <w:rPr>
          <w:rFonts w:ascii="Abadi" w:hAnsi="Abadi"/>
          <w:b w:val="0"/>
          <w:bCs w:val="0"/>
          <w:sz w:val="21"/>
          <w:szCs w:val="21"/>
        </w:rPr>
        <w:t>y</w:t>
      </w:r>
      <w:r w:rsidRPr="00B94CD4">
        <w:rPr>
          <w:rFonts w:ascii="Abadi" w:hAnsi="Abadi"/>
          <w:b w:val="0"/>
          <w:bCs w:val="0"/>
          <w:spacing w:val="20"/>
          <w:sz w:val="21"/>
          <w:szCs w:val="21"/>
        </w:rPr>
        <w:t xml:space="preserve"> </w:t>
      </w:r>
      <w:r w:rsidRPr="00B94CD4">
        <w:rPr>
          <w:rFonts w:ascii="Abadi" w:hAnsi="Abadi"/>
          <w:b w:val="0"/>
          <w:bCs w:val="0"/>
          <w:sz w:val="21"/>
          <w:szCs w:val="21"/>
        </w:rPr>
        <w:t>Fiscalización</w:t>
      </w:r>
      <w:r w:rsidRPr="00B94CD4">
        <w:rPr>
          <w:rFonts w:ascii="Abadi" w:hAnsi="Abadi"/>
          <w:b w:val="0"/>
          <w:bCs w:val="0"/>
          <w:spacing w:val="19"/>
          <w:sz w:val="21"/>
          <w:szCs w:val="21"/>
        </w:rPr>
        <w:t xml:space="preserve"> </w:t>
      </w:r>
      <w:r w:rsidRPr="00B94CD4">
        <w:rPr>
          <w:rFonts w:ascii="Abadi" w:hAnsi="Abadi"/>
          <w:b w:val="0"/>
          <w:bCs w:val="0"/>
          <w:sz w:val="21"/>
          <w:szCs w:val="21"/>
        </w:rPr>
        <w:t>relativo</w:t>
      </w:r>
      <w:r w:rsidRPr="00B94CD4">
        <w:rPr>
          <w:rFonts w:ascii="Abadi" w:hAnsi="Abadi"/>
          <w:b w:val="0"/>
          <w:bCs w:val="0"/>
          <w:spacing w:val="19"/>
          <w:sz w:val="21"/>
          <w:szCs w:val="21"/>
        </w:rPr>
        <w:t xml:space="preserve"> </w:t>
      </w:r>
      <w:r w:rsidRPr="00B94CD4">
        <w:rPr>
          <w:rFonts w:ascii="Abadi" w:hAnsi="Abadi"/>
          <w:b w:val="0"/>
          <w:bCs w:val="0"/>
          <w:sz w:val="21"/>
          <w:szCs w:val="21"/>
        </w:rPr>
        <w:t>a</w:t>
      </w:r>
      <w:r w:rsidRPr="00B94CD4">
        <w:rPr>
          <w:rFonts w:ascii="Abadi" w:hAnsi="Abadi"/>
          <w:b w:val="0"/>
          <w:bCs w:val="0"/>
          <w:spacing w:val="19"/>
          <w:sz w:val="21"/>
          <w:szCs w:val="21"/>
        </w:rPr>
        <w:t xml:space="preserve"> </w:t>
      </w:r>
      <w:r w:rsidRPr="00B94CD4">
        <w:rPr>
          <w:rFonts w:ascii="Abadi" w:hAnsi="Abadi"/>
          <w:b w:val="0"/>
          <w:bCs w:val="0"/>
          <w:sz w:val="21"/>
          <w:szCs w:val="21"/>
        </w:rPr>
        <w:t>la</w:t>
      </w:r>
      <w:r w:rsidRPr="00B94CD4">
        <w:rPr>
          <w:rFonts w:ascii="Abadi" w:hAnsi="Abadi"/>
          <w:b w:val="0"/>
          <w:bCs w:val="0"/>
          <w:spacing w:val="19"/>
          <w:sz w:val="21"/>
          <w:szCs w:val="21"/>
        </w:rPr>
        <w:t xml:space="preserve"> </w:t>
      </w:r>
      <w:r w:rsidRPr="00B94CD4">
        <w:rPr>
          <w:rFonts w:ascii="Abadi" w:hAnsi="Abadi"/>
          <w:b w:val="0"/>
          <w:bCs w:val="0"/>
          <w:sz w:val="21"/>
          <w:szCs w:val="21"/>
        </w:rPr>
        <w:t>propuesta</w:t>
      </w:r>
      <w:r w:rsidRPr="00B94CD4">
        <w:rPr>
          <w:rFonts w:ascii="Abadi" w:hAnsi="Abadi"/>
          <w:b w:val="0"/>
          <w:bCs w:val="0"/>
          <w:spacing w:val="19"/>
          <w:sz w:val="21"/>
          <w:szCs w:val="21"/>
        </w:rPr>
        <w:t xml:space="preserve"> </w:t>
      </w:r>
      <w:r w:rsidRPr="00B94CD4">
        <w:rPr>
          <w:rFonts w:ascii="Abadi" w:hAnsi="Abadi"/>
          <w:b w:val="0"/>
          <w:bCs w:val="0"/>
          <w:sz w:val="21"/>
          <w:szCs w:val="21"/>
        </w:rPr>
        <w:t>de</w:t>
      </w:r>
      <w:r w:rsidRPr="00B94CD4">
        <w:rPr>
          <w:rFonts w:ascii="Abadi" w:hAnsi="Abadi"/>
          <w:b w:val="0"/>
          <w:bCs w:val="0"/>
          <w:spacing w:val="19"/>
          <w:sz w:val="21"/>
          <w:szCs w:val="21"/>
        </w:rPr>
        <w:t xml:space="preserve"> </w:t>
      </w:r>
      <w:r w:rsidRPr="00B94CD4">
        <w:rPr>
          <w:rFonts w:ascii="Abadi" w:hAnsi="Abadi"/>
          <w:b w:val="0"/>
          <w:bCs w:val="0"/>
          <w:sz w:val="21"/>
          <w:szCs w:val="21"/>
        </w:rPr>
        <w:t>punto</w:t>
      </w:r>
      <w:r w:rsidRPr="00B94CD4">
        <w:rPr>
          <w:rFonts w:ascii="Abadi" w:hAnsi="Abadi"/>
          <w:b w:val="0"/>
          <w:bCs w:val="0"/>
          <w:spacing w:val="19"/>
          <w:sz w:val="21"/>
          <w:szCs w:val="21"/>
        </w:rPr>
        <w:t xml:space="preserve"> </w:t>
      </w:r>
      <w:r w:rsidRPr="00B94CD4">
        <w:rPr>
          <w:rFonts w:ascii="Abadi" w:hAnsi="Abadi"/>
          <w:b w:val="0"/>
          <w:bCs w:val="0"/>
          <w:sz w:val="21"/>
          <w:szCs w:val="21"/>
        </w:rPr>
        <w:t>de</w:t>
      </w:r>
      <w:r w:rsidRPr="00B94CD4">
        <w:rPr>
          <w:rFonts w:ascii="Abadi" w:hAnsi="Abadi"/>
          <w:b w:val="0"/>
          <w:bCs w:val="0"/>
          <w:spacing w:val="-2"/>
          <w:sz w:val="21"/>
          <w:szCs w:val="21"/>
        </w:rPr>
        <w:t xml:space="preserve"> </w:t>
      </w:r>
      <w:r w:rsidRPr="00B94CD4">
        <w:rPr>
          <w:rFonts w:ascii="Abadi" w:hAnsi="Abadi"/>
          <w:b w:val="0"/>
          <w:bCs w:val="0"/>
          <w:sz w:val="21"/>
          <w:szCs w:val="21"/>
        </w:rPr>
        <w:t>acuerdo</w:t>
      </w:r>
      <w:r w:rsidRPr="00B94CD4">
        <w:rPr>
          <w:rFonts w:ascii="Abadi" w:hAnsi="Abadi"/>
          <w:b w:val="0"/>
          <w:bCs w:val="0"/>
          <w:spacing w:val="63"/>
          <w:sz w:val="21"/>
          <w:szCs w:val="21"/>
        </w:rPr>
        <w:t xml:space="preserve"> </w:t>
      </w:r>
      <w:r w:rsidRPr="00B94CD4">
        <w:rPr>
          <w:rFonts w:ascii="Abadi" w:hAnsi="Abadi"/>
          <w:b w:val="0"/>
          <w:bCs w:val="0"/>
          <w:sz w:val="21"/>
          <w:szCs w:val="21"/>
        </w:rPr>
        <w:t>formulada</w:t>
      </w:r>
      <w:r w:rsidRPr="00B94CD4">
        <w:rPr>
          <w:rFonts w:ascii="Abadi" w:hAnsi="Abadi"/>
          <w:b w:val="0"/>
          <w:bCs w:val="0"/>
          <w:spacing w:val="63"/>
          <w:sz w:val="21"/>
          <w:szCs w:val="21"/>
        </w:rPr>
        <w:t xml:space="preserve"> </w:t>
      </w:r>
      <w:r w:rsidRPr="00B94CD4">
        <w:rPr>
          <w:rFonts w:ascii="Abadi" w:hAnsi="Abadi"/>
          <w:b w:val="0"/>
          <w:bCs w:val="0"/>
          <w:sz w:val="21"/>
          <w:szCs w:val="21"/>
        </w:rPr>
        <w:t>por</w:t>
      </w:r>
      <w:r w:rsidRPr="00B94CD4">
        <w:rPr>
          <w:rFonts w:ascii="Abadi" w:hAnsi="Abadi"/>
          <w:b w:val="0"/>
          <w:bCs w:val="0"/>
          <w:spacing w:val="63"/>
          <w:sz w:val="21"/>
          <w:szCs w:val="21"/>
        </w:rPr>
        <w:t xml:space="preserve"> </w:t>
      </w:r>
      <w:r w:rsidRPr="00B94CD4">
        <w:rPr>
          <w:rFonts w:ascii="Abadi" w:hAnsi="Abadi"/>
          <w:b w:val="0"/>
          <w:bCs w:val="0"/>
          <w:sz w:val="21"/>
          <w:szCs w:val="21"/>
        </w:rPr>
        <w:t>la</w:t>
      </w:r>
      <w:r w:rsidRPr="00B94CD4">
        <w:rPr>
          <w:rFonts w:ascii="Abadi" w:hAnsi="Abadi"/>
          <w:b w:val="0"/>
          <w:bCs w:val="0"/>
          <w:spacing w:val="63"/>
          <w:sz w:val="21"/>
          <w:szCs w:val="21"/>
        </w:rPr>
        <w:t xml:space="preserve"> </w:t>
      </w:r>
      <w:r w:rsidRPr="00B94CD4">
        <w:rPr>
          <w:rFonts w:ascii="Abadi" w:hAnsi="Abadi"/>
          <w:b w:val="0"/>
          <w:bCs w:val="0"/>
          <w:sz w:val="21"/>
          <w:szCs w:val="21"/>
        </w:rPr>
        <w:t>diputada</w:t>
      </w:r>
      <w:r w:rsidRPr="00B94CD4">
        <w:rPr>
          <w:rFonts w:ascii="Abadi" w:hAnsi="Abadi"/>
          <w:b w:val="0"/>
          <w:bCs w:val="0"/>
          <w:spacing w:val="63"/>
          <w:sz w:val="21"/>
          <w:szCs w:val="21"/>
        </w:rPr>
        <w:t xml:space="preserve"> </w:t>
      </w:r>
      <w:r w:rsidRPr="00B94CD4">
        <w:rPr>
          <w:rFonts w:ascii="Abadi" w:hAnsi="Abadi"/>
          <w:b w:val="0"/>
          <w:bCs w:val="0"/>
          <w:sz w:val="21"/>
          <w:szCs w:val="21"/>
        </w:rPr>
        <w:t>Alma</w:t>
      </w:r>
      <w:r w:rsidRPr="00B94CD4">
        <w:rPr>
          <w:rFonts w:ascii="Abadi" w:hAnsi="Abadi"/>
          <w:b w:val="0"/>
          <w:bCs w:val="0"/>
          <w:spacing w:val="63"/>
          <w:sz w:val="21"/>
          <w:szCs w:val="21"/>
        </w:rPr>
        <w:t xml:space="preserve"> </w:t>
      </w:r>
      <w:r w:rsidRPr="00B94CD4">
        <w:rPr>
          <w:rFonts w:ascii="Abadi" w:hAnsi="Abadi"/>
          <w:b w:val="0"/>
          <w:bCs w:val="0"/>
          <w:sz w:val="21"/>
          <w:szCs w:val="21"/>
        </w:rPr>
        <w:t>Edwviges</w:t>
      </w:r>
      <w:r w:rsidRPr="00B94CD4">
        <w:rPr>
          <w:rFonts w:ascii="Abadi" w:hAnsi="Abadi"/>
          <w:b w:val="0"/>
          <w:bCs w:val="0"/>
          <w:spacing w:val="63"/>
          <w:sz w:val="21"/>
          <w:szCs w:val="21"/>
        </w:rPr>
        <w:t xml:space="preserve"> </w:t>
      </w:r>
      <w:r w:rsidRPr="00B94CD4">
        <w:rPr>
          <w:rFonts w:ascii="Abadi" w:hAnsi="Abadi"/>
          <w:b w:val="0"/>
          <w:bCs w:val="0"/>
          <w:sz w:val="21"/>
          <w:szCs w:val="21"/>
        </w:rPr>
        <w:t>Alcaraz</w:t>
      </w:r>
      <w:r w:rsidRPr="00B94CD4">
        <w:rPr>
          <w:rFonts w:ascii="Abadi" w:hAnsi="Abadi"/>
          <w:b w:val="0"/>
          <w:bCs w:val="0"/>
          <w:spacing w:val="63"/>
          <w:sz w:val="21"/>
          <w:szCs w:val="21"/>
        </w:rPr>
        <w:t xml:space="preserve"> </w:t>
      </w:r>
      <w:r w:rsidRPr="00B94CD4">
        <w:rPr>
          <w:rFonts w:ascii="Abadi" w:hAnsi="Abadi"/>
          <w:b w:val="0"/>
          <w:bCs w:val="0"/>
          <w:sz w:val="21"/>
          <w:szCs w:val="21"/>
        </w:rPr>
        <w:t>Hernández,</w:t>
      </w:r>
      <w:r w:rsidRPr="00B94CD4">
        <w:rPr>
          <w:rFonts w:ascii="Abadi" w:hAnsi="Abadi"/>
          <w:b w:val="0"/>
          <w:bCs w:val="0"/>
          <w:spacing w:val="-2"/>
          <w:sz w:val="21"/>
          <w:szCs w:val="21"/>
        </w:rPr>
        <w:t xml:space="preserve"> </w:t>
      </w:r>
      <w:r w:rsidRPr="00B94CD4">
        <w:rPr>
          <w:rFonts w:ascii="Abadi" w:hAnsi="Abadi"/>
          <w:b w:val="0"/>
          <w:bCs w:val="0"/>
          <w:sz w:val="21"/>
          <w:szCs w:val="21"/>
        </w:rPr>
        <w:t>integrante</w:t>
      </w:r>
      <w:r w:rsidRPr="00B94CD4">
        <w:rPr>
          <w:rFonts w:ascii="Abadi" w:hAnsi="Abadi"/>
          <w:b w:val="0"/>
          <w:bCs w:val="0"/>
          <w:spacing w:val="80"/>
          <w:sz w:val="21"/>
          <w:szCs w:val="21"/>
        </w:rPr>
        <w:t xml:space="preserve"> </w:t>
      </w:r>
      <w:r w:rsidRPr="00B94CD4">
        <w:rPr>
          <w:rFonts w:ascii="Abadi" w:hAnsi="Abadi"/>
          <w:b w:val="0"/>
          <w:bCs w:val="0"/>
          <w:sz w:val="21"/>
          <w:szCs w:val="21"/>
        </w:rPr>
        <w:t>del</w:t>
      </w:r>
      <w:r w:rsidRPr="00B94CD4">
        <w:rPr>
          <w:rFonts w:ascii="Abadi" w:hAnsi="Abadi"/>
          <w:b w:val="0"/>
          <w:bCs w:val="0"/>
          <w:spacing w:val="80"/>
          <w:sz w:val="21"/>
          <w:szCs w:val="21"/>
        </w:rPr>
        <w:t xml:space="preserve"> </w:t>
      </w:r>
      <w:r w:rsidRPr="00B94CD4">
        <w:rPr>
          <w:rFonts w:ascii="Abadi" w:hAnsi="Abadi"/>
          <w:b w:val="0"/>
          <w:bCs w:val="0"/>
          <w:sz w:val="21"/>
          <w:szCs w:val="21"/>
        </w:rPr>
        <w:t>Grupo</w:t>
      </w:r>
      <w:r w:rsidRPr="00B94CD4">
        <w:rPr>
          <w:rFonts w:ascii="Abadi" w:hAnsi="Abadi"/>
          <w:b w:val="0"/>
          <w:bCs w:val="0"/>
          <w:spacing w:val="80"/>
          <w:sz w:val="21"/>
          <w:szCs w:val="21"/>
        </w:rPr>
        <w:t xml:space="preserve"> </w:t>
      </w:r>
      <w:r w:rsidRPr="00B94CD4">
        <w:rPr>
          <w:rFonts w:ascii="Abadi" w:hAnsi="Abadi"/>
          <w:b w:val="0"/>
          <w:bCs w:val="0"/>
          <w:sz w:val="21"/>
          <w:szCs w:val="21"/>
        </w:rPr>
        <w:t>Parlamentario</w:t>
      </w:r>
      <w:r w:rsidRPr="00B94CD4">
        <w:rPr>
          <w:rFonts w:ascii="Abadi" w:hAnsi="Abadi"/>
          <w:b w:val="0"/>
          <w:bCs w:val="0"/>
          <w:spacing w:val="80"/>
          <w:sz w:val="21"/>
          <w:szCs w:val="21"/>
        </w:rPr>
        <w:t xml:space="preserve"> </w:t>
      </w:r>
      <w:r w:rsidRPr="00B94CD4">
        <w:rPr>
          <w:rFonts w:ascii="Abadi" w:hAnsi="Abadi"/>
          <w:b w:val="0"/>
          <w:bCs w:val="0"/>
          <w:sz w:val="21"/>
          <w:szCs w:val="21"/>
        </w:rPr>
        <w:t>del</w:t>
      </w:r>
      <w:r w:rsidRPr="00B94CD4">
        <w:rPr>
          <w:rFonts w:ascii="Abadi" w:hAnsi="Abadi"/>
          <w:b w:val="0"/>
          <w:bCs w:val="0"/>
          <w:spacing w:val="80"/>
          <w:sz w:val="21"/>
          <w:szCs w:val="21"/>
        </w:rPr>
        <w:t xml:space="preserve"> </w:t>
      </w:r>
      <w:r w:rsidRPr="00B94CD4">
        <w:rPr>
          <w:rFonts w:ascii="Abadi" w:hAnsi="Abadi"/>
          <w:b w:val="0"/>
          <w:bCs w:val="0"/>
          <w:sz w:val="21"/>
          <w:szCs w:val="21"/>
        </w:rPr>
        <w:t>Partido</w:t>
      </w:r>
      <w:r w:rsidRPr="00B94CD4">
        <w:rPr>
          <w:rFonts w:ascii="Abadi" w:hAnsi="Abadi"/>
          <w:b w:val="0"/>
          <w:bCs w:val="0"/>
          <w:spacing w:val="80"/>
          <w:sz w:val="21"/>
          <w:szCs w:val="21"/>
        </w:rPr>
        <w:t xml:space="preserve"> </w:t>
      </w:r>
      <w:r w:rsidRPr="00B94CD4">
        <w:rPr>
          <w:rFonts w:ascii="Abadi" w:hAnsi="Abadi"/>
          <w:b w:val="0"/>
          <w:bCs w:val="0"/>
          <w:sz w:val="21"/>
          <w:szCs w:val="21"/>
        </w:rPr>
        <w:t>MORENA</w:t>
      </w:r>
      <w:r w:rsidRPr="00B94CD4">
        <w:rPr>
          <w:rFonts w:ascii="Abadi" w:hAnsi="Abadi"/>
          <w:b w:val="0"/>
          <w:bCs w:val="0"/>
          <w:spacing w:val="80"/>
          <w:sz w:val="21"/>
          <w:szCs w:val="21"/>
        </w:rPr>
        <w:t xml:space="preserve"> </w:t>
      </w:r>
      <w:r w:rsidRPr="00B94CD4">
        <w:rPr>
          <w:rFonts w:ascii="Abadi" w:hAnsi="Abadi"/>
          <w:b w:val="0"/>
          <w:bCs w:val="0"/>
          <w:sz w:val="21"/>
          <w:szCs w:val="21"/>
        </w:rPr>
        <w:t>a</w:t>
      </w:r>
      <w:r w:rsidRPr="00B94CD4">
        <w:rPr>
          <w:rFonts w:ascii="Abadi" w:hAnsi="Abadi"/>
          <w:b w:val="0"/>
          <w:bCs w:val="0"/>
          <w:spacing w:val="80"/>
          <w:sz w:val="21"/>
          <w:szCs w:val="21"/>
        </w:rPr>
        <w:t xml:space="preserve"> </w:t>
      </w:r>
      <w:r w:rsidRPr="00B94CD4">
        <w:rPr>
          <w:rFonts w:ascii="Abadi" w:hAnsi="Abadi"/>
          <w:b w:val="0"/>
          <w:bCs w:val="0"/>
          <w:sz w:val="21"/>
          <w:szCs w:val="21"/>
        </w:rPr>
        <w:t>efecto</w:t>
      </w:r>
      <w:r w:rsidRPr="00B94CD4">
        <w:rPr>
          <w:rFonts w:ascii="Abadi" w:hAnsi="Abadi"/>
          <w:b w:val="0"/>
          <w:bCs w:val="0"/>
          <w:spacing w:val="80"/>
          <w:sz w:val="21"/>
          <w:szCs w:val="21"/>
        </w:rPr>
        <w:t xml:space="preserve"> </w:t>
      </w:r>
      <w:r w:rsidRPr="00B94CD4">
        <w:rPr>
          <w:rFonts w:ascii="Abadi" w:hAnsi="Abadi"/>
          <w:b w:val="0"/>
          <w:bCs w:val="0"/>
          <w:sz w:val="21"/>
          <w:szCs w:val="21"/>
        </w:rPr>
        <w:t>de</w:t>
      </w:r>
      <w:r w:rsidRPr="00B94CD4">
        <w:rPr>
          <w:rFonts w:ascii="Abadi" w:hAnsi="Abadi"/>
          <w:b w:val="0"/>
          <w:bCs w:val="0"/>
          <w:spacing w:val="-2"/>
          <w:sz w:val="21"/>
          <w:szCs w:val="21"/>
        </w:rPr>
        <w:t xml:space="preserve"> </w:t>
      </w:r>
      <w:r w:rsidRPr="00B94CD4">
        <w:rPr>
          <w:rFonts w:ascii="Abadi" w:hAnsi="Abadi"/>
          <w:b w:val="0"/>
          <w:bCs w:val="0"/>
          <w:sz w:val="21"/>
          <w:szCs w:val="21"/>
        </w:rPr>
        <w:t>exhortar</w:t>
      </w:r>
      <w:r w:rsidRPr="00B94CD4">
        <w:rPr>
          <w:rFonts w:ascii="Abadi" w:hAnsi="Abadi"/>
          <w:b w:val="0"/>
          <w:bCs w:val="0"/>
          <w:spacing w:val="23"/>
          <w:sz w:val="21"/>
          <w:szCs w:val="21"/>
        </w:rPr>
        <w:t xml:space="preserve"> </w:t>
      </w:r>
      <w:r w:rsidRPr="00B94CD4">
        <w:rPr>
          <w:rFonts w:ascii="Abadi" w:hAnsi="Abadi"/>
          <w:b w:val="0"/>
          <w:bCs w:val="0"/>
          <w:sz w:val="21"/>
          <w:szCs w:val="21"/>
        </w:rPr>
        <w:t>al</w:t>
      </w:r>
      <w:r w:rsidRPr="00B94CD4">
        <w:rPr>
          <w:rFonts w:ascii="Abadi" w:hAnsi="Abadi"/>
          <w:b w:val="0"/>
          <w:bCs w:val="0"/>
          <w:spacing w:val="23"/>
          <w:sz w:val="21"/>
          <w:szCs w:val="21"/>
        </w:rPr>
        <w:t xml:space="preserve"> </w:t>
      </w:r>
      <w:r w:rsidRPr="00B94CD4">
        <w:rPr>
          <w:rFonts w:ascii="Abadi" w:hAnsi="Abadi"/>
          <w:b w:val="0"/>
          <w:bCs w:val="0"/>
          <w:sz w:val="21"/>
          <w:szCs w:val="21"/>
        </w:rPr>
        <w:t>titular</w:t>
      </w:r>
      <w:r w:rsidRPr="00B94CD4">
        <w:rPr>
          <w:rFonts w:ascii="Abadi" w:hAnsi="Abadi"/>
          <w:b w:val="0"/>
          <w:bCs w:val="0"/>
          <w:spacing w:val="23"/>
          <w:sz w:val="21"/>
          <w:szCs w:val="21"/>
        </w:rPr>
        <w:t xml:space="preserve"> </w:t>
      </w:r>
      <w:r w:rsidRPr="00B94CD4">
        <w:rPr>
          <w:rFonts w:ascii="Abadi" w:hAnsi="Abadi"/>
          <w:b w:val="0"/>
          <w:bCs w:val="0"/>
          <w:sz w:val="21"/>
          <w:szCs w:val="21"/>
        </w:rPr>
        <w:t>de</w:t>
      </w:r>
      <w:r w:rsidRPr="00B94CD4">
        <w:rPr>
          <w:rFonts w:ascii="Abadi" w:hAnsi="Abadi"/>
          <w:b w:val="0"/>
          <w:bCs w:val="0"/>
          <w:spacing w:val="23"/>
          <w:sz w:val="21"/>
          <w:szCs w:val="21"/>
        </w:rPr>
        <w:t xml:space="preserve"> </w:t>
      </w:r>
      <w:r w:rsidRPr="00B94CD4">
        <w:rPr>
          <w:rFonts w:ascii="Abadi" w:hAnsi="Abadi"/>
          <w:b w:val="0"/>
          <w:bCs w:val="0"/>
          <w:sz w:val="21"/>
          <w:szCs w:val="21"/>
        </w:rPr>
        <w:t>la</w:t>
      </w:r>
      <w:r w:rsidRPr="00B94CD4">
        <w:rPr>
          <w:rFonts w:ascii="Abadi" w:hAnsi="Abadi"/>
          <w:b w:val="0"/>
          <w:bCs w:val="0"/>
          <w:spacing w:val="23"/>
          <w:sz w:val="21"/>
          <w:szCs w:val="21"/>
        </w:rPr>
        <w:t xml:space="preserve"> </w:t>
      </w:r>
      <w:r w:rsidRPr="00B94CD4">
        <w:rPr>
          <w:rFonts w:ascii="Abadi" w:hAnsi="Abadi"/>
          <w:b w:val="0"/>
          <w:bCs w:val="0"/>
          <w:sz w:val="21"/>
          <w:szCs w:val="21"/>
        </w:rPr>
        <w:t>Auditoría</w:t>
      </w:r>
      <w:r w:rsidRPr="00B94CD4">
        <w:rPr>
          <w:rFonts w:ascii="Abadi" w:hAnsi="Abadi"/>
          <w:b w:val="0"/>
          <w:bCs w:val="0"/>
          <w:spacing w:val="23"/>
          <w:sz w:val="21"/>
          <w:szCs w:val="21"/>
        </w:rPr>
        <w:t xml:space="preserve"> </w:t>
      </w:r>
      <w:r w:rsidRPr="00B94CD4">
        <w:rPr>
          <w:rFonts w:ascii="Abadi" w:hAnsi="Abadi"/>
          <w:b w:val="0"/>
          <w:bCs w:val="0"/>
          <w:sz w:val="21"/>
          <w:szCs w:val="21"/>
        </w:rPr>
        <w:t>Superior</w:t>
      </w:r>
      <w:r w:rsidRPr="00B94CD4">
        <w:rPr>
          <w:rFonts w:ascii="Abadi" w:hAnsi="Abadi"/>
          <w:b w:val="0"/>
          <w:bCs w:val="0"/>
          <w:spacing w:val="23"/>
          <w:sz w:val="21"/>
          <w:szCs w:val="21"/>
        </w:rPr>
        <w:t xml:space="preserve"> </w:t>
      </w:r>
      <w:r w:rsidRPr="00B94CD4">
        <w:rPr>
          <w:rFonts w:ascii="Abadi" w:hAnsi="Abadi"/>
          <w:b w:val="0"/>
          <w:bCs w:val="0"/>
          <w:sz w:val="21"/>
          <w:szCs w:val="21"/>
        </w:rPr>
        <w:t>del</w:t>
      </w:r>
      <w:r w:rsidRPr="00B94CD4">
        <w:rPr>
          <w:rFonts w:ascii="Abadi" w:hAnsi="Abadi"/>
          <w:b w:val="0"/>
          <w:bCs w:val="0"/>
          <w:spacing w:val="23"/>
          <w:sz w:val="21"/>
          <w:szCs w:val="21"/>
        </w:rPr>
        <w:t xml:space="preserve"> </w:t>
      </w:r>
      <w:r w:rsidRPr="00B94CD4">
        <w:rPr>
          <w:rFonts w:ascii="Abadi" w:hAnsi="Abadi"/>
          <w:b w:val="0"/>
          <w:bCs w:val="0"/>
          <w:sz w:val="21"/>
          <w:szCs w:val="21"/>
        </w:rPr>
        <w:t>Estado</w:t>
      </w:r>
      <w:r w:rsidRPr="00B94CD4">
        <w:rPr>
          <w:rFonts w:ascii="Abadi" w:hAnsi="Abadi"/>
          <w:b w:val="0"/>
          <w:bCs w:val="0"/>
          <w:spacing w:val="23"/>
          <w:sz w:val="21"/>
          <w:szCs w:val="21"/>
        </w:rPr>
        <w:t xml:space="preserve"> </w:t>
      </w:r>
      <w:r w:rsidRPr="00B94CD4">
        <w:rPr>
          <w:rFonts w:ascii="Abadi" w:hAnsi="Abadi"/>
          <w:b w:val="0"/>
          <w:bCs w:val="0"/>
          <w:sz w:val="21"/>
          <w:szCs w:val="21"/>
        </w:rPr>
        <w:t>de</w:t>
      </w:r>
      <w:r w:rsidRPr="00B94CD4">
        <w:rPr>
          <w:rFonts w:ascii="Abadi" w:hAnsi="Abadi"/>
          <w:b w:val="0"/>
          <w:bCs w:val="0"/>
          <w:spacing w:val="23"/>
          <w:sz w:val="21"/>
          <w:szCs w:val="21"/>
        </w:rPr>
        <w:t xml:space="preserve"> </w:t>
      </w:r>
      <w:r w:rsidRPr="00B94CD4">
        <w:rPr>
          <w:rFonts w:ascii="Abadi" w:hAnsi="Abadi"/>
          <w:b w:val="0"/>
          <w:bCs w:val="0"/>
          <w:sz w:val="21"/>
          <w:szCs w:val="21"/>
        </w:rPr>
        <w:t>Guanajuato</w:t>
      </w:r>
      <w:r w:rsidRPr="00B94CD4">
        <w:rPr>
          <w:rFonts w:ascii="Abadi" w:hAnsi="Abadi"/>
          <w:b w:val="0"/>
          <w:bCs w:val="0"/>
          <w:spacing w:val="23"/>
          <w:sz w:val="21"/>
          <w:szCs w:val="21"/>
        </w:rPr>
        <w:t xml:space="preserve"> </w:t>
      </w:r>
      <w:r w:rsidRPr="00B94CD4">
        <w:rPr>
          <w:rFonts w:ascii="Abadi" w:hAnsi="Abadi"/>
          <w:b w:val="0"/>
          <w:bCs w:val="0"/>
          <w:sz w:val="21"/>
          <w:szCs w:val="21"/>
        </w:rPr>
        <w:t>para</w:t>
      </w:r>
      <w:r w:rsidRPr="00B94CD4">
        <w:rPr>
          <w:rFonts w:ascii="Abadi" w:hAnsi="Abadi"/>
          <w:b w:val="0"/>
          <w:bCs w:val="0"/>
          <w:spacing w:val="-2"/>
          <w:sz w:val="21"/>
          <w:szCs w:val="21"/>
        </w:rPr>
        <w:t xml:space="preserve"> </w:t>
      </w:r>
      <w:r w:rsidRPr="00B94CD4">
        <w:rPr>
          <w:rFonts w:ascii="Abadi" w:hAnsi="Abadi"/>
          <w:b w:val="0"/>
          <w:bCs w:val="0"/>
          <w:sz w:val="21"/>
          <w:szCs w:val="21"/>
        </w:rPr>
        <w:t>que</w:t>
      </w:r>
      <w:r w:rsidRPr="00B94CD4">
        <w:rPr>
          <w:rFonts w:ascii="Abadi" w:hAnsi="Abadi"/>
          <w:b w:val="0"/>
          <w:bCs w:val="0"/>
          <w:spacing w:val="21"/>
          <w:sz w:val="21"/>
          <w:szCs w:val="21"/>
        </w:rPr>
        <w:t xml:space="preserve"> </w:t>
      </w:r>
      <w:r w:rsidRPr="00B94CD4">
        <w:rPr>
          <w:rFonts w:ascii="Abadi" w:hAnsi="Abadi"/>
          <w:b w:val="0"/>
          <w:bCs w:val="0"/>
          <w:sz w:val="21"/>
          <w:szCs w:val="21"/>
        </w:rPr>
        <w:t>incorpore</w:t>
      </w:r>
      <w:r w:rsidRPr="00B94CD4">
        <w:rPr>
          <w:rFonts w:ascii="Abadi" w:hAnsi="Abadi"/>
          <w:b w:val="0"/>
          <w:bCs w:val="0"/>
          <w:spacing w:val="22"/>
          <w:sz w:val="21"/>
          <w:szCs w:val="21"/>
        </w:rPr>
        <w:t xml:space="preserve"> </w:t>
      </w:r>
      <w:r w:rsidRPr="00B94CD4">
        <w:rPr>
          <w:rFonts w:ascii="Abadi" w:hAnsi="Abadi"/>
          <w:b w:val="0"/>
          <w:bCs w:val="0"/>
          <w:sz w:val="21"/>
          <w:szCs w:val="21"/>
        </w:rPr>
        <w:t>al</w:t>
      </w:r>
      <w:r w:rsidRPr="00B94CD4">
        <w:rPr>
          <w:rFonts w:ascii="Abadi" w:hAnsi="Abadi"/>
          <w:b w:val="0"/>
          <w:bCs w:val="0"/>
          <w:spacing w:val="21"/>
          <w:sz w:val="21"/>
          <w:szCs w:val="21"/>
        </w:rPr>
        <w:t xml:space="preserve"> </w:t>
      </w:r>
      <w:r w:rsidRPr="00B94CD4">
        <w:rPr>
          <w:rFonts w:ascii="Abadi" w:hAnsi="Abadi"/>
          <w:b w:val="0"/>
          <w:bCs w:val="0"/>
          <w:sz w:val="21"/>
          <w:szCs w:val="21"/>
        </w:rPr>
        <w:t>Programa</w:t>
      </w:r>
      <w:r w:rsidRPr="00B94CD4">
        <w:rPr>
          <w:rFonts w:ascii="Abadi" w:hAnsi="Abadi"/>
          <w:b w:val="0"/>
          <w:bCs w:val="0"/>
          <w:spacing w:val="21"/>
          <w:sz w:val="21"/>
          <w:szCs w:val="21"/>
        </w:rPr>
        <w:t xml:space="preserve"> </w:t>
      </w:r>
      <w:r w:rsidRPr="00B94CD4">
        <w:rPr>
          <w:rFonts w:ascii="Abadi" w:hAnsi="Abadi"/>
          <w:b w:val="0"/>
          <w:bCs w:val="0"/>
          <w:sz w:val="21"/>
          <w:szCs w:val="21"/>
        </w:rPr>
        <w:t>General</w:t>
      </w:r>
      <w:r w:rsidRPr="00B94CD4">
        <w:rPr>
          <w:rFonts w:ascii="Abadi" w:hAnsi="Abadi"/>
          <w:b w:val="0"/>
          <w:bCs w:val="0"/>
          <w:spacing w:val="21"/>
          <w:sz w:val="21"/>
          <w:szCs w:val="21"/>
        </w:rPr>
        <w:t xml:space="preserve"> </w:t>
      </w:r>
      <w:r w:rsidRPr="00B94CD4">
        <w:rPr>
          <w:rFonts w:ascii="Abadi" w:hAnsi="Abadi"/>
          <w:b w:val="0"/>
          <w:bCs w:val="0"/>
          <w:sz w:val="21"/>
          <w:szCs w:val="21"/>
        </w:rPr>
        <w:t>de</w:t>
      </w:r>
      <w:r w:rsidRPr="00B94CD4">
        <w:rPr>
          <w:rFonts w:ascii="Abadi" w:hAnsi="Abadi"/>
          <w:b w:val="0"/>
          <w:bCs w:val="0"/>
          <w:spacing w:val="21"/>
          <w:sz w:val="21"/>
          <w:szCs w:val="21"/>
        </w:rPr>
        <w:t xml:space="preserve"> </w:t>
      </w:r>
      <w:r w:rsidRPr="00B94CD4">
        <w:rPr>
          <w:rFonts w:ascii="Abadi" w:hAnsi="Abadi"/>
          <w:b w:val="0"/>
          <w:bCs w:val="0"/>
          <w:sz w:val="21"/>
          <w:szCs w:val="21"/>
        </w:rPr>
        <w:t>Fiscalización</w:t>
      </w:r>
      <w:r w:rsidRPr="00B94CD4">
        <w:rPr>
          <w:rFonts w:ascii="Abadi" w:hAnsi="Abadi"/>
          <w:b w:val="0"/>
          <w:bCs w:val="0"/>
          <w:spacing w:val="21"/>
          <w:sz w:val="21"/>
          <w:szCs w:val="21"/>
        </w:rPr>
        <w:t xml:space="preserve"> </w:t>
      </w:r>
      <w:r w:rsidRPr="00B94CD4">
        <w:rPr>
          <w:rFonts w:ascii="Abadi" w:hAnsi="Abadi"/>
          <w:b w:val="0"/>
          <w:bCs w:val="0"/>
          <w:sz w:val="21"/>
          <w:szCs w:val="21"/>
        </w:rPr>
        <w:t>2022</w:t>
      </w:r>
      <w:r w:rsidRPr="00B94CD4">
        <w:rPr>
          <w:rFonts w:ascii="Abadi" w:hAnsi="Abadi"/>
          <w:b w:val="0"/>
          <w:bCs w:val="0"/>
          <w:spacing w:val="22"/>
          <w:sz w:val="21"/>
          <w:szCs w:val="21"/>
        </w:rPr>
        <w:t xml:space="preserve"> </w:t>
      </w:r>
      <w:r w:rsidRPr="00B94CD4">
        <w:rPr>
          <w:rFonts w:ascii="Abadi" w:hAnsi="Abadi"/>
          <w:b w:val="0"/>
          <w:bCs w:val="0"/>
          <w:sz w:val="21"/>
          <w:szCs w:val="21"/>
        </w:rPr>
        <w:t>la</w:t>
      </w:r>
      <w:r w:rsidRPr="00B94CD4">
        <w:rPr>
          <w:rFonts w:ascii="Abadi" w:hAnsi="Abadi"/>
          <w:b w:val="0"/>
          <w:bCs w:val="0"/>
          <w:spacing w:val="22"/>
          <w:sz w:val="21"/>
          <w:szCs w:val="21"/>
        </w:rPr>
        <w:t xml:space="preserve"> </w:t>
      </w:r>
      <w:r w:rsidRPr="00B94CD4">
        <w:rPr>
          <w:rFonts w:ascii="Abadi" w:hAnsi="Abadi"/>
          <w:b w:val="0"/>
          <w:bCs w:val="0"/>
          <w:sz w:val="21"/>
          <w:szCs w:val="21"/>
        </w:rPr>
        <w:t>evaluación</w:t>
      </w:r>
      <w:r w:rsidRPr="00B94CD4">
        <w:rPr>
          <w:rFonts w:ascii="Abadi" w:hAnsi="Abadi"/>
          <w:b w:val="0"/>
          <w:bCs w:val="0"/>
          <w:spacing w:val="22"/>
          <w:sz w:val="21"/>
          <w:szCs w:val="21"/>
        </w:rPr>
        <w:t xml:space="preserve"> </w:t>
      </w:r>
      <w:r w:rsidRPr="00B94CD4">
        <w:rPr>
          <w:rFonts w:ascii="Abadi" w:hAnsi="Abadi"/>
          <w:b w:val="0"/>
          <w:bCs w:val="0"/>
          <w:sz w:val="21"/>
          <w:szCs w:val="21"/>
        </w:rPr>
        <w:t>a</w:t>
      </w:r>
      <w:r w:rsidRPr="00B94CD4">
        <w:rPr>
          <w:rFonts w:ascii="Abadi" w:hAnsi="Abadi"/>
          <w:b w:val="0"/>
          <w:bCs w:val="0"/>
          <w:spacing w:val="-2"/>
          <w:sz w:val="21"/>
          <w:szCs w:val="21"/>
        </w:rPr>
        <w:t xml:space="preserve"> </w:t>
      </w:r>
      <w:r w:rsidRPr="00B94CD4">
        <w:rPr>
          <w:rFonts w:ascii="Abadi" w:hAnsi="Abadi"/>
          <w:b w:val="0"/>
          <w:bCs w:val="0"/>
          <w:sz w:val="21"/>
          <w:szCs w:val="21"/>
        </w:rPr>
        <w:t>las</w:t>
      </w:r>
      <w:r w:rsidRPr="00B94CD4">
        <w:rPr>
          <w:rFonts w:ascii="Abadi" w:hAnsi="Abadi"/>
          <w:b w:val="0"/>
          <w:bCs w:val="0"/>
          <w:spacing w:val="32"/>
          <w:sz w:val="21"/>
          <w:szCs w:val="21"/>
        </w:rPr>
        <w:t xml:space="preserve"> </w:t>
      </w:r>
      <w:r w:rsidRPr="00B94CD4">
        <w:rPr>
          <w:rFonts w:ascii="Abadi" w:hAnsi="Abadi"/>
          <w:b w:val="0"/>
          <w:bCs w:val="0"/>
          <w:sz w:val="21"/>
          <w:szCs w:val="21"/>
        </w:rPr>
        <w:t>intervenciones</w:t>
      </w:r>
      <w:r w:rsidRPr="00B94CD4">
        <w:rPr>
          <w:rFonts w:ascii="Abadi" w:hAnsi="Abadi"/>
          <w:b w:val="0"/>
          <w:bCs w:val="0"/>
          <w:spacing w:val="32"/>
          <w:sz w:val="21"/>
          <w:szCs w:val="21"/>
        </w:rPr>
        <w:t xml:space="preserve"> </w:t>
      </w:r>
      <w:r w:rsidRPr="00B94CD4">
        <w:rPr>
          <w:rFonts w:ascii="Abadi" w:hAnsi="Abadi"/>
          <w:b w:val="0"/>
          <w:bCs w:val="0"/>
          <w:sz w:val="21"/>
          <w:szCs w:val="21"/>
        </w:rPr>
        <w:t>públicas</w:t>
      </w:r>
      <w:r w:rsidRPr="00B94CD4">
        <w:rPr>
          <w:rFonts w:ascii="Abadi" w:hAnsi="Abadi"/>
          <w:b w:val="0"/>
          <w:bCs w:val="0"/>
          <w:spacing w:val="32"/>
          <w:sz w:val="21"/>
          <w:szCs w:val="21"/>
        </w:rPr>
        <w:t xml:space="preserve"> </w:t>
      </w:r>
      <w:r w:rsidRPr="00B94CD4">
        <w:rPr>
          <w:rFonts w:ascii="Abadi" w:hAnsi="Abadi"/>
          <w:b w:val="0"/>
          <w:bCs w:val="0"/>
          <w:sz w:val="21"/>
          <w:szCs w:val="21"/>
        </w:rPr>
        <w:t>para</w:t>
      </w:r>
      <w:r w:rsidRPr="00B94CD4">
        <w:rPr>
          <w:rFonts w:ascii="Abadi" w:hAnsi="Abadi"/>
          <w:b w:val="0"/>
          <w:bCs w:val="0"/>
          <w:spacing w:val="32"/>
          <w:sz w:val="21"/>
          <w:szCs w:val="21"/>
        </w:rPr>
        <w:t xml:space="preserve"> </w:t>
      </w:r>
      <w:r w:rsidRPr="00B94CD4">
        <w:rPr>
          <w:rFonts w:ascii="Abadi" w:hAnsi="Abadi"/>
          <w:b w:val="0"/>
          <w:bCs w:val="0"/>
          <w:sz w:val="21"/>
          <w:szCs w:val="21"/>
        </w:rPr>
        <w:t>garantizar</w:t>
      </w:r>
      <w:r w:rsidRPr="00B94CD4">
        <w:rPr>
          <w:rFonts w:ascii="Abadi" w:hAnsi="Abadi"/>
          <w:b w:val="0"/>
          <w:bCs w:val="0"/>
          <w:spacing w:val="32"/>
          <w:sz w:val="21"/>
          <w:szCs w:val="21"/>
        </w:rPr>
        <w:t xml:space="preserve"> </w:t>
      </w:r>
      <w:r w:rsidRPr="00B94CD4">
        <w:rPr>
          <w:rFonts w:ascii="Abadi" w:hAnsi="Abadi"/>
          <w:b w:val="0"/>
          <w:bCs w:val="0"/>
          <w:sz w:val="21"/>
          <w:szCs w:val="21"/>
        </w:rPr>
        <w:t>los</w:t>
      </w:r>
      <w:r w:rsidRPr="00B94CD4">
        <w:rPr>
          <w:rFonts w:ascii="Abadi" w:hAnsi="Abadi"/>
          <w:b w:val="0"/>
          <w:bCs w:val="0"/>
          <w:spacing w:val="32"/>
          <w:sz w:val="21"/>
          <w:szCs w:val="21"/>
        </w:rPr>
        <w:t xml:space="preserve"> </w:t>
      </w:r>
      <w:r w:rsidRPr="00B94CD4">
        <w:rPr>
          <w:rFonts w:ascii="Abadi" w:hAnsi="Abadi"/>
          <w:b w:val="0"/>
          <w:bCs w:val="0"/>
          <w:sz w:val="21"/>
          <w:szCs w:val="21"/>
        </w:rPr>
        <w:t>derechos</w:t>
      </w:r>
      <w:r w:rsidRPr="00B94CD4">
        <w:rPr>
          <w:rFonts w:ascii="Abadi" w:hAnsi="Abadi"/>
          <w:b w:val="0"/>
          <w:bCs w:val="0"/>
          <w:spacing w:val="32"/>
          <w:sz w:val="21"/>
          <w:szCs w:val="21"/>
        </w:rPr>
        <w:t xml:space="preserve"> </w:t>
      </w:r>
      <w:r w:rsidRPr="00B94CD4">
        <w:rPr>
          <w:rFonts w:ascii="Abadi" w:hAnsi="Abadi"/>
          <w:b w:val="0"/>
          <w:bCs w:val="0"/>
          <w:sz w:val="21"/>
          <w:szCs w:val="21"/>
        </w:rPr>
        <w:t>humanos</w:t>
      </w:r>
      <w:r w:rsidRPr="00B94CD4">
        <w:rPr>
          <w:rFonts w:ascii="Abadi" w:hAnsi="Abadi"/>
          <w:b w:val="0"/>
          <w:bCs w:val="0"/>
          <w:spacing w:val="32"/>
          <w:sz w:val="21"/>
          <w:szCs w:val="21"/>
        </w:rPr>
        <w:t xml:space="preserve"> </w:t>
      </w:r>
      <w:r w:rsidRPr="00B94CD4">
        <w:rPr>
          <w:rFonts w:ascii="Abadi" w:hAnsi="Abadi"/>
          <w:b w:val="0"/>
          <w:bCs w:val="0"/>
          <w:sz w:val="21"/>
          <w:szCs w:val="21"/>
        </w:rPr>
        <w:t>de</w:t>
      </w:r>
      <w:r w:rsidRPr="00B94CD4">
        <w:rPr>
          <w:rFonts w:ascii="Abadi" w:hAnsi="Abadi"/>
          <w:b w:val="0"/>
          <w:bCs w:val="0"/>
          <w:spacing w:val="32"/>
          <w:sz w:val="21"/>
          <w:szCs w:val="21"/>
        </w:rPr>
        <w:t xml:space="preserve"> </w:t>
      </w:r>
      <w:r w:rsidRPr="00B94CD4">
        <w:rPr>
          <w:rFonts w:ascii="Abadi" w:hAnsi="Abadi"/>
          <w:b w:val="0"/>
          <w:bCs w:val="0"/>
          <w:sz w:val="21"/>
          <w:szCs w:val="21"/>
        </w:rPr>
        <w:t>las</w:t>
      </w:r>
      <w:r w:rsidRPr="00B94CD4">
        <w:rPr>
          <w:rFonts w:ascii="Abadi" w:hAnsi="Abadi"/>
          <w:b w:val="0"/>
          <w:bCs w:val="0"/>
          <w:spacing w:val="-2"/>
          <w:sz w:val="21"/>
          <w:szCs w:val="21"/>
        </w:rPr>
        <w:t xml:space="preserve"> </w:t>
      </w:r>
      <w:r w:rsidRPr="00B94CD4">
        <w:rPr>
          <w:rFonts w:ascii="Abadi" w:hAnsi="Abadi"/>
          <w:b w:val="0"/>
          <w:bCs w:val="0"/>
          <w:sz w:val="21"/>
          <w:szCs w:val="21"/>
        </w:rPr>
        <w:t>mujeres</w:t>
      </w:r>
      <w:r w:rsidRPr="00B94CD4">
        <w:rPr>
          <w:rFonts w:ascii="Abadi" w:hAnsi="Abadi"/>
          <w:b w:val="0"/>
          <w:bCs w:val="0"/>
          <w:spacing w:val="43"/>
          <w:sz w:val="21"/>
          <w:szCs w:val="21"/>
        </w:rPr>
        <w:t xml:space="preserve"> </w:t>
      </w:r>
      <w:r w:rsidRPr="00B94CD4">
        <w:rPr>
          <w:rFonts w:ascii="Abadi" w:hAnsi="Abadi"/>
          <w:b w:val="0"/>
          <w:bCs w:val="0"/>
          <w:sz w:val="21"/>
          <w:szCs w:val="21"/>
        </w:rPr>
        <w:t>en</w:t>
      </w:r>
      <w:r w:rsidRPr="00B94CD4">
        <w:rPr>
          <w:rFonts w:ascii="Abadi" w:hAnsi="Abadi"/>
          <w:b w:val="0"/>
          <w:bCs w:val="0"/>
          <w:spacing w:val="43"/>
          <w:sz w:val="21"/>
          <w:szCs w:val="21"/>
        </w:rPr>
        <w:t xml:space="preserve"> </w:t>
      </w:r>
      <w:r w:rsidRPr="00B94CD4">
        <w:rPr>
          <w:rFonts w:ascii="Abadi" w:hAnsi="Abadi"/>
          <w:b w:val="0"/>
          <w:bCs w:val="0"/>
          <w:sz w:val="21"/>
          <w:szCs w:val="21"/>
        </w:rPr>
        <w:t>la</w:t>
      </w:r>
      <w:r w:rsidRPr="00B94CD4">
        <w:rPr>
          <w:rFonts w:ascii="Abadi" w:hAnsi="Abadi"/>
          <w:b w:val="0"/>
          <w:bCs w:val="0"/>
          <w:spacing w:val="43"/>
          <w:sz w:val="21"/>
          <w:szCs w:val="21"/>
        </w:rPr>
        <w:t xml:space="preserve"> </w:t>
      </w:r>
      <w:r w:rsidRPr="00B94CD4">
        <w:rPr>
          <w:rFonts w:ascii="Abadi" w:hAnsi="Abadi"/>
          <w:b w:val="0"/>
          <w:bCs w:val="0"/>
          <w:sz w:val="21"/>
          <w:szCs w:val="21"/>
        </w:rPr>
        <w:t>cual</w:t>
      </w:r>
      <w:r w:rsidRPr="00B94CD4">
        <w:rPr>
          <w:rFonts w:ascii="Abadi" w:hAnsi="Abadi"/>
          <w:b w:val="0"/>
          <w:bCs w:val="0"/>
          <w:spacing w:val="43"/>
          <w:sz w:val="21"/>
          <w:szCs w:val="21"/>
        </w:rPr>
        <w:t xml:space="preserve"> </w:t>
      </w:r>
      <w:r w:rsidRPr="00B94CD4">
        <w:rPr>
          <w:rFonts w:ascii="Abadi" w:hAnsi="Abadi"/>
          <w:b w:val="0"/>
          <w:bCs w:val="0"/>
          <w:sz w:val="21"/>
          <w:szCs w:val="21"/>
        </w:rPr>
        <w:t>el</w:t>
      </w:r>
      <w:r w:rsidRPr="00B94CD4">
        <w:rPr>
          <w:rFonts w:ascii="Abadi" w:hAnsi="Abadi"/>
          <w:b w:val="0"/>
          <w:bCs w:val="0"/>
          <w:spacing w:val="43"/>
          <w:sz w:val="21"/>
          <w:szCs w:val="21"/>
        </w:rPr>
        <w:t xml:space="preserve"> </w:t>
      </w:r>
      <w:r w:rsidRPr="00B94CD4">
        <w:rPr>
          <w:rFonts w:ascii="Abadi" w:hAnsi="Abadi"/>
          <w:b w:val="0"/>
          <w:bCs w:val="0"/>
          <w:sz w:val="21"/>
          <w:szCs w:val="21"/>
        </w:rPr>
        <w:t>sujeto</w:t>
      </w:r>
      <w:r w:rsidRPr="00B94CD4">
        <w:rPr>
          <w:rFonts w:ascii="Abadi" w:hAnsi="Abadi"/>
          <w:b w:val="0"/>
          <w:bCs w:val="0"/>
          <w:spacing w:val="43"/>
          <w:sz w:val="21"/>
          <w:szCs w:val="21"/>
        </w:rPr>
        <w:t xml:space="preserve"> </w:t>
      </w:r>
      <w:r w:rsidRPr="00B94CD4">
        <w:rPr>
          <w:rFonts w:ascii="Abadi" w:hAnsi="Abadi"/>
          <w:b w:val="0"/>
          <w:bCs w:val="0"/>
          <w:sz w:val="21"/>
          <w:szCs w:val="21"/>
        </w:rPr>
        <w:t>de</w:t>
      </w:r>
      <w:r w:rsidRPr="00B94CD4">
        <w:rPr>
          <w:rFonts w:ascii="Abadi" w:hAnsi="Abadi"/>
          <w:b w:val="0"/>
          <w:bCs w:val="0"/>
          <w:spacing w:val="43"/>
          <w:sz w:val="21"/>
          <w:szCs w:val="21"/>
        </w:rPr>
        <w:t xml:space="preserve"> </w:t>
      </w:r>
      <w:r w:rsidRPr="00B94CD4">
        <w:rPr>
          <w:rFonts w:ascii="Abadi" w:hAnsi="Abadi"/>
          <w:b w:val="0"/>
          <w:bCs w:val="0"/>
          <w:sz w:val="21"/>
          <w:szCs w:val="21"/>
        </w:rPr>
        <w:t>fiscalización</w:t>
      </w:r>
      <w:r w:rsidRPr="00B94CD4">
        <w:rPr>
          <w:rFonts w:ascii="Abadi" w:hAnsi="Abadi"/>
          <w:b w:val="0"/>
          <w:bCs w:val="0"/>
          <w:spacing w:val="43"/>
          <w:sz w:val="21"/>
          <w:szCs w:val="21"/>
        </w:rPr>
        <w:t xml:space="preserve"> </w:t>
      </w:r>
      <w:r w:rsidRPr="00B94CD4">
        <w:rPr>
          <w:rFonts w:ascii="Abadi" w:hAnsi="Abadi"/>
          <w:b w:val="0"/>
          <w:bCs w:val="0"/>
          <w:sz w:val="21"/>
          <w:szCs w:val="21"/>
        </w:rPr>
        <w:t>será</w:t>
      </w:r>
      <w:r w:rsidRPr="00B94CD4">
        <w:rPr>
          <w:rFonts w:ascii="Abadi" w:hAnsi="Abadi"/>
          <w:b w:val="0"/>
          <w:bCs w:val="0"/>
          <w:spacing w:val="43"/>
          <w:sz w:val="21"/>
          <w:szCs w:val="21"/>
        </w:rPr>
        <w:t xml:space="preserve"> </w:t>
      </w:r>
      <w:r w:rsidRPr="00B94CD4">
        <w:rPr>
          <w:rFonts w:ascii="Abadi" w:hAnsi="Abadi"/>
          <w:b w:val="0"/>
          <w:bCs w:val="0"/>
          <w:sz w:val="21"/>
          <w:szCs w:val="21"/>
        </w:rPr>
        <w:t>el</w:t>
      </w:r>
      <w:r w:rsidRPr="00B94CD4">
        <w:rPr>
          <w:rFonts w:ascii="Abadi" w:hAnsi="Abadi"/>
          <w:b w:val="0"/>
          <w:bCs w:val="0"/>
          <w:spacing w:val="43"/>
          <w:sz w:val="21"/>
          <w:szCs w:val="21"/>
        </w:rPr>
        <w:t xml:space="preserve"> </w:t>
      </w:r>
      <w:r w:rsidRPr="00B94CD4">
        <w:rPr>
          <w:rFonts w:ascii="Abadi" w:hAnsi="Abadi"/>
          <w:b w:val="0"/>
          <w:bCs w:val="0"/>
          <w:sz w:val="21"/>
          <w:szCs w:val="21"/>
        </w:rPr>
        <w:t>Poder</w:t>
      </w:r>
      <w:r w:rsidRPr="00B94CD4">
        <w:rPr>
          <w:rFonts w:ascii="Abadi" w:hAnsi="Abadi"/>
          <w:b w:val="0"/>
          <w:bCs w:val="0"/>
          <w:spacing w:val="43"/>
          <w:sz w:val="21"/>
          <w:szCs w:val="21"/>
        </w:rPr>
        <w:t xml:space="preserve"> </w:t>
      </w:r>
      <w:r w:rsidRPr="00B94CD4">
        <w:rPr>
          <w:rFonts w:ascii="Abadi" w:hAnsi="Abadi"/>
          <w:b w:val="0"/>
          <w:bCs w:val="0"/>
          <w:sz w:val="21"/>
          <w:szCs w:val="21"/>
        </w:rPr>
        <w:t>Ejecutivo</w:t>
      </w:r>
      <w:r w:rsidRPr="00B94CD4">
        <w:rPr>
          <w:rFonts w:ascii="Abadi" w:hAnsi="Abadi"/>
          <w:b w:val="0"/>
          <w:bCs w:val="0"/>
          <w:spacing w:val="43"/>
          <w:sz w:val="21"/>
          <w:szCs w:val="21"/>
        </w:rPr>
        <w:t xml:space="preserve"> </w:t>
      </w:r>
      <w:r w:rsidRPr="00B94CD4">
        <w:rPr>
          <w:rFonts w:ascii="Abadi" w:hAnsi="Abadi"/>
          <w:b w:val="0"/>
          <w:bCs w:val="0"/>
          <w:sz w:val="21"/>
          <w:szCs w:val="21"/>
        </w:rPr>
        <w:t>del</w:t>
      </w:r>
      <w:r w:rsidRPr="00B94CD4">
        <w:rPr>
          <w:rFonts w:ascii="Abadi" w:hAnsi="Abadi"/>
          <w:b w:val="0"/>
          <w:bCs w:val="0"/>
          <w:spacing w:val="-2"/>
          <w:sz w:val="21"/>
          <w:szCs w:val="21"/>
        </w:rPr>
        <w:t xml:space="preserve"> </w:t>
      </w:r>
      <w:r w:rsidRPr="00B94CD4">
        <w:rPr>
          <w:rFonts w:ascii="Abadi" w:hAnsi="Abadi"/>
          <w:b w:val="0"/>
          <w:bCs w:val="0"/>
          <w:sz w:val="21"/>
          <w:szCs w:val="21"/>
        </w:rPr>
        <w:t>Estado</w:t>
      </w:r>
      <w:r w:rsidRPr="00B94CD4">
        <w:rPr>
          <w:rFonts w:ascii="Abadi" w:hAnsi="Abadi"/>
          <w:b w:val="0"/>
          <w:bCs w:val="0"/>
          <w:spacing w:val="62"/>
          <w:w w:val="150"/>
          <w:sz w:val="21"/>
          <w:szCs w:val="21"/>
        </w:rPr>
        <w:t xml:space="preserve"> </w:t>
      </w:r>
      <w:r w:rsidRPr="00B94CD4">
        <w:rPr>
          <w:rFonts w:ascii="Abadi" w:hAnsi="Abadi"/>
          <w:b w:val="0"/>
          <w:bCs w:val="0"/>
          <w:sz w:val="21"/>
          <w:szCs w:val="21"/>
        </w:rPr>
        <w:t>y</w:t>
      </w:r>
      <w:r w:rsidRPr="00B94CD4">
        <w:rPr>
          <w:rFonts w:ascii="Abadi" w:hAnsi="Abadi"/>
          <w:b w:val="0"/>
          <w:bCs w:val="0"/>
          <w:spacing w:val="62"/>
          <w:w w:val="150"/>
          <w:sz w:val="21"/>
          <w:szCs w:val="21"/>
        </w:rPr>
        <w:t xml:space="preserve"> </w:t>
      </w:r>
      <w:r w:rsidRPr="00B94CD4">
        <w:rPr>
          <w:rFonts w:ascii="Abadi" w:hAnsi="Abadi"/>
          <w:b w:val="0"/>
          <w:bCs w:val="0"/>
          <w:sz w:val="21"/>
          <w:szCs w:val="21"/>
        </w:rPr>
        <w:t>la</w:t>
      </w:r>
      <w:r w:rsidRPr="00B94CD4">
        <w:rPr>
          <w:rFonts w:ascii="Abadi" w:hAnsi="Abadi"/>
          <w:b w:val="0"/>
          <w:bCs w:val="0"/>
          <w:spacing w:val="62"/>
          <w:w w:val="150"/>
          <w:sz w:val="21"/>
          <w:szCs w:val="21"/>
        </w:rPr>
        <w:t xml:space="preserve"> </w:t>
      </w:r>
      <w:r w:rsidRPr="00B94CD4">
        <w:rPr>
          <w:rFonts w:ascii="Abadi" w:hAnsi="Abadi"/>
          <w:b w:val="0"/>
          <w:bCs w:val="0"/>
          <w:sz w:val="21"/>
          <w:szCs w:val="21"/>
        </w:rPr>
        <w:t>materia</w:t>
      </w:r>
      <w:r w:rsidRPr="00B94CD4">
        <w:rPr>
          <w:rFonts w:ascii="Abadi" w:hAnsi="Abadi"/>
          <w:b w:val="0"/>
          <w:bCs w:val="0"/>
          <w:spacing w:val="63"/>
          <w:w w:val="150"/>
          <w:sz w:val="21"/>
          <w:szCs w:val="21"/>
        </w:rPr>
        <w:t xml:space="preserve"> </w:t>
      </w:r>
      <w:r w:rsidRPr="00B94CD4">
        <w:rPr>
          <w:rFonts w:ascii="Abadi" w:hAnsi="Abadi"/>
          <w:b w:val="0"/>
          <w:bCs w:val="0"/>
          <w:sz w:val="21"/>
          <w:szCs w:val="21"/>
        </w:rPr>
        <w:t>los</w:t>
      </w:r>
      <w:r w:rsidRPr="00B94CD4">
        <w:rPr>
          <w:rFonts w:ascii="Abadi" w:hAnsi="Abadi"/>
          <w:b w:val="0"/>
          <w:bCs w:val="0"/>
          <w:spacing w:val="62"/>
          <w:w w:val="150"/>
          <w:sz w:val="21"/>
          <w:szCs w:val="21"/>
        </w:rPr>
        <w:t xml:space="preserve"> </w:t>
      </w:r>
      <w:r w:rsidRPr="00B94CD4">
        <w:rPr>
          <w:rFonts w:ascii="Abadi" w:hAnsi="Abadi"/>
          <w:b w:val="0"/>
          <w:bCs w:val="0"/>
          <w:sz w:val="21"/>
          <w:szCs w:val="21"/>
        </w:rPr>
        <w:t>proyectos</w:t>
      </w:r>
      <w:r w:rsidRPr="00B94CD4">
        <w:rPr>
          <w:rFonts w:ascii="Abadi" w:hAnsi="Abadi"/>
          <w:b w:val="0"/>
          <w:bCs w:val="0"/>
          <w:spacing w:val="62"/>
          <w:w w:val="150"/>
          <w:sz w:val="21"/>
          <w:szCs w:val="21"/>
        </w:rPr>
        <w:t xml:space="preserve"> </w:t>
      </w:r>
      <w:r w:rsidRPr="00B94CD4">
        <w:rPr>
          <w:rFonts w:ascii="Abadi" w:hAnsi="Abadi"/>
          <w:b w:val="0"/>
          <w:bCs w:val="0"/>
          <w:i/>
          <w:iCs/>
          <w:sz w:val="21"/>
          <w:szCs w:val="21"/>
        </w:rPr>
        <w:t>Q3189</w:t>
      </w:r>
      <w:r w:rsidRPr="00B94CD4">
        <w:rPr>
          <w:rFonts w:ascii="Abadi" w:hAnsi="Abadi"/>
          <w:b w:val="0"/>
          <w:bCs w:val="0"/>
          <w:i/>
          <w:iCs/>
          <w:spacing w:val="63"/>
          <w:w w:val="150"/>
          <w:sz w:val="21"/>
          <w:szCs w:val="21"/>
        </w:rPr>
        <w:t xml:space="preserve"> </w:t>
      </w:r>
      <w:r w:rsidRPr="00B94CD4">
        <w:rPr>
          <w:rFonts w:ascii="Abadi" w:hAnsi="Abadi"/>
          <w:b w:val="0"/>
          <w:bCs w:val="0"/>
          <w:i/>
          <w:iCs/>
          <w:sz w:val="21"/>
          <w:szCs w:val="21"/>
        </w:rPr>
        <w:t>Acciones</w:t>
      </w:r>
      <w:r w:rsidRPr="00B94CD4">
        <w:rPr>
          <w:rFonts w:ascii="Abadi" w:hAnsi="Abadi"/>
          <w:b w:val="0"/>
          <w:bCs w:val="0"/>
          <w:i/>
          <w:iCs/>
          <w:spacing w:val="62"/>
          <w:w w:val="150"/>
          <w:sz w:val="21"/>
          <w:szCs w:val="21"/>
        </w:rPr>
        <w:t xml:space="preserve"> </w:t>
      </w:r>
      <w:r w:rsidRPr="00B94CD4">
        <w:rPr>
          <w:rFonts w:ascii="Abadi" w:hAnsi="Abadi"/>
          <w:b w:val="0"/>
          <w:bCs w:val="0"/>
          <w:i/>
          <w:iCs/>
          <w:sz w:val="21"/>
          <w:szCs w:val="21"/>
        </w:rPr>
        <w:t>para</w:t>
      </w:r>
      <w:r w:rsidRPr="00B94CD4">
        <w:rPr>
          <w:rFonts w:ascii="Abadi" w:hAnsi="Abadi"/>
          <w:b w:val="0"/>
          <w:bCs w:val="0"/>
          <w:i/>
          <w:iCs/>
          <w:spacing w:val="61"/>
          <w:w w:val="150"/>
          <w:sz w:val="21"/>
          <w:szCs w:val="21"/>
        </w:rPr>
        <w:t xml:space="preserve"> </w:t>
      </w:r>
      <w:r w:rsidRPr="00B94CD4">
        <w:rPr>
          <w:rFonts w:ascii="Abadi" w:hAnsi="Abadi"/>
          <w:b w:val="0"/>
          <w:bCs w:val="0"/>
          <w:i/>
          <w:iCs/>
          <w:sz w:val="21"/>
          <w:szCs w:val="21"/>
        </w:rPr>
        <w:t>reducir</w:t>
      </w:r>
      <w:r w:rsidRPr="00B94CD4">
        <w:rPr>
          <w:rFonts w:ascii="Abadi" w:hAnsi="Abadi"/>
          <w:b w:val="0"/>
          <w:bCs w:val="0"/>
          <w:i/>
          <w:iCs/>
          <w:spacing w:val="62"/>
          <w:w w:val="150"/>
          <w:sz w:val="21"/>
          <w:szCs w:val="21"/>
        </w:rPr>
        <w:t xml:space="preserve"> </w:t>
      </w:r>
      <w:r w:rsidRPr="00B94CD4">
        <w:rPr>
          <w:rFonts w:ascii="Abadi" w:hAnsi="Abadi"/>
          <w:b w:val="0"/>
          <w:bCs w:val="0"/>
          <w:i/>
          <w:iCs/>
          <w:sz w:val="21"/>
          <w:szCs w:val="21"/>
        </w:rPr>
        <w:t>las</w:t>
      </w:r>
      <w:r w:rsidRPr="00B94CD4">
        <w:rPr>
          <w:rFonts w:ascii="Abadi" w:hAnsi="Abadi"/>
          <w:b w:val="0"/>
          <w:bCs w:val="0"/>
          <w:i/>
          <w:iCs/>
          <w:spacing w:val="-2"/>
          <w:sz w:val="21"/>
          <w:szCs w:val="21"/>
        </w:rPr>
        <w:t xml:space="preserve"> </w:t>
      </w:r>
      <w:r w:rsidRPr="00B94CD4">
        <w:rPr>
          <w:rFonts w:ascii="Abadi" w:hAnsi="Abadi"/>
          <w:b w:val="0"/>
          <w:bCs w:val="0"/>
          <w:i/>
          <w:iCs/>
          <w:sz w:val="21"/>
          <w:szCs w:val="21"/>
        </w:rPr>
        <w:t>manifestaciones</w:t>
      </w:r>
      <w:r w:rsidRPr="00B94CD4">
        <w:rPr>
          <w:rFonts w:ascii="Abadi" w:hAnsi="Abadi"/>
          <w:b w:val="0"/>
          <w:bCs w:val="0"/>
          <w:i/>
          <w:iCs/>
          <w:spacing w:val="6"/>
          <w:sz w:val="21"/>
          <w:szCs w:val="21"/>
        </w:rPr>
        <w:t xml:space="preserve"> </w:t>
      </w:r>
      <w:r w:rsidRPr="00B94CD4">
        <w:rPr>
          <w:rFonts w:ascii="Abadi" w:hAnsi="Abadi"/>
          <w:b w:val="0"/>
          <w:bCs w:val="0"/>
          <w:i/>
          <w:iCs/>
          <w:sz w:val="21"/>
          <w:szCs w:val="21"/>
        </w:rPr>
        <w:t>de</w:t>
      </w:r>
      <w:r w:rsidRPr="00B94CD4">
        <w:rPr>
          <w:rFonts w:ascii="Abadi" w:hAnsi="Abadi"/>
          <w:b w:val="0"/>
          <w:bCs w:val="0"/>
          <w:i/>
          <w:iCs/>
          <w:spacing w:val="6"/>
          <w:sz w:val="21"/>
          <w:szCs w:val="21"/>
        </w:rPr>
        <w:t xml:space="preserve"> </w:t>
      </w:r>
      <w:r w:rsidRPr="00B94CD4">
        <w:rPr>
          <w:rFonts w:ascii="Abadi" w:hAnsi="Abadi"/>
          <w:b w:val="0"/>
          <w:bCs w:val="0"/>
          <w:i/>
          <w:iCs/>
          <w:sz w:val="21"/>
          <w:szCs w:val="21"/>
        </w:rPr>
        <w:t>violencia</w:t>
      </w:r>
      <w:r w:rsidRPr="00B94CD4">
        <w:rPr>
          <w:rFonts w:ascii="Abadi" w:hAnsi="Abadi"/>
          <w:b w:val="0"/>
          <w:bCs w:val="0"/>
          <w:i/>
          <w:iCs/>
          <w:spacing w:val="6"/>
          <w:sz w:val="21"/>
          <w:szCs w:val="21"/>
        </w:rPr>
        <w:t xml:space="preserve"> </w:t>
      </w:r>
      <w:r w:rsidRPr="00B94CD4">
        <w:rPr>
          <w:rFonts w:ascii="Abadi" w:hAnsi="Abadi"/>
          <w:b w:val="0"/>
          <w:bCs w:val="0"/>
          <w:i/>
          <w:iCs/>
          <w:sz w:val="21"/>
          <w:szCs w:val="21"/>
        </w:rPr>
        <w:t>en</w:t>
      </w:r>
      <w:r w:rsidRPr="00B94CD4">
        <w:rPr>
          <w:rFonts w:ascii="Abadi" w:hAnsi="Abadi"/>
          <w:b w:val="0"/>
          <w:bCs w:val="0"/>
          <w:i/>
          <w:iCs/>
          <w:spacing w:val="6"/>
          <w:sz w:val="21"/>
          <w:szCs w:val="21"/>
        </w:rPr>
        <w:t xml:space="preserve"> </w:t>
      </w:r>
      <w:r w:rsidRPr="00B94CD4">
        <w:rPr>
          <w:rFonts w:ascii="Abadi" w:hAnsi="Abadi"/>
          <w:b w:val="0"/>
          <w:bCs w:val="0"/>
          <w:i/>
          <w:iCs/>
          <w:sz w:val="21"/>
          <w:szCs w:val="21"/>
        </w:rPr>
        <w:t>contra</w:t>
      </w:r>
      <w:r w:rsidRPr="00B94CD4">
        <w:rPr>
          <w:rFonts w:ascii="Abadi" w:hAnsi="Abadi"/>
          <w:b w:val="0"/>
          <w:bCs w:val="0"/>
          <w:i/>
          <w:iCs/>
          <w:spacing w:val="6"/>
          <w:sz w:val="21"/>
          <w:szCs w:val="21"/>
        </w:rPr>
        <w:t xml:space="preserve"> </w:t>
      </w:r>
      <w:r w:rsidRPr="00B94CD4">
        <w:rPr>
          <w:rFonts w:ascii="Abadi" w:hAnsi="Abadi"/>
          <w:b w:val="0"/>
          <w:bCs w:val="0"/>
          <w:i/>
          <w:iCs/>
          <w:sz w:val="21"/>
          <w:szCs w:val="21"/>
        </w:rPr>
        <w:t>de</w:t>
      </w:r>
      <w:r w:rsidRPr="00B94CD4">
        <w:rPr>
          <w:rFonts w:ascii="Abadi" w:hAnsi="Abadi"/>
          <w:b w:val="0"/>
          <w:bCs w:val="0"/>
          <w:i/>
          <w:iCs/>
          <w:spacing w:val="6"/>
          <w:sz w:val="21"/>
          <w:szCs w:val="21"/>
        </w:rPr>
        <w:t xml:space="preserve"> </w:t>
      </w:r>
      <w:r w:rsidRPr="00B94CD4">
        <w:rPr>
          <w:rFonts w:ascii="Abadi" w:hAnsi="Abadi"/>
          <w:b w:val="0"/>
          <w:bCs w:val="0"/>
          <w:i/>
          <w:iCs/>
          <w:sz w:val="21"/>
          <w:szCs w:val="21"/>
        </w:rPr>
        <w:t>niñas,</w:t>
      </w:r>
      <w:r w:rsidRPr="00B94CD4">
        <w:rPr>
          <w:rFonts w:ascii="Abadi" w:hAnsi="Abadi"/>
          <w:b w:val="0"/>
          <w:bCs w:val="0"/>
          <w:i/>
          <w:iCs/>
          <w:spacing w:val="5"/>
          <w:sz w:val="21"/>
          <w:szCs w:val="21"/>
        </w:rPr>
        <w:t xml:space="preserve"> </w:t>
      </w:r>
      <w:r w:rsidRPr="00B94CD4">
        <w:rPr>
          <w:rFonts w:ascii="Abadi" w:hAnsi="Abadi"/>
          <w:b w:val="0"/>
          <w:bCs w:val="0"/>
          <w:i/>
          <w:iCs/>
          <w:sz w:val="21"/>
          <w:szCs w:val="21"/>
        </w:rPr>
        <w:t>adolescentes</w:t>
      </w:r>
      <w:r w:rsidRPr="00B94CD4">
        <w:rPr>
          <w:rFonts w:ascii="Abadi" w:hAnsi="Abadi"/>
          <w:b w:val="0"/>
          <w:bCs w:val="0"/>
          <w:i/>
          <w:iCs/>
          <w:spacing w:val="5"/>
          <w:sz w:val="21"/>
          <w:szCs w:val="21"/>
        </w:rPr>
        <w:t xml:space="preserve"> </w:t>
      </w:r>
      <w:r w:rsidRPr="00B94CD4">
        <w:rPr>
          <w:rFonts w:ascii="Abadi" w:hAnsi="Abadi"/>
          <w:b w:val="0"/>
          <w:bCs w:val="0"/>
          <w:i/>
          <w:iCs/>
          <w:sz w:val="21"/>
          <w:szCs w:val="21"/>
        </w:rPr>
        <w:t>y</w:t>
      </w:r>
      <w:r w:rsidRPr="00B94CD4">
        <w:rPr>
          <w:rFonts w:ascii="Abadi" w:hAnsi="Abadi"/>
          <w:b w:val="0"/>
          <w:bCs w:val="0"/>
          <w:i/>
          <w:iCs/>
          <w:spacing w:val="6"/>
          <w:sz w:val="21"/>
          <w:szCs w:val="21"/>
        </w:rPr>
        <w:t xml:space="preserve"> </w:t>
      </w:r>
      <w:r w:rsidRPr="00B94CD4">
        <w:rPr>
          <w:rFonts w:ascii="Abadi" w:hAnsi="Abadi"/>
          <w:b w:val="0"/>
          <w:bCs w:val="0"/>
          <w:i/>
          <w:iCs/>
          <w:sz w:val="21"/>
          <w:szCs w:val="21"/>
        </w:rPr>
        <w:t>mujeres</w:t>
      </w:r>
      <w:r w:rsidRPr="00B94CD4">
        <w:rPr>
          <w:rFonts w:ascii="Abadi" w:hAnsi="Abadi"/>
          <w:b w:val="0"/>
          <w:bCs w:val="0"/>
          <w:i/>
          <w:iCs/>
          <w:spacing w:val="6"/>
          <w:sz w:val="21"/>
          <w:szCs w:val="21"/>
        </w:rPr>
        <w:t xml:space="preserve"> </w:t>
      </w:r>
      <w:r w:rsidRPr="00B94CD4">
        <w:rPr>
          <w:rFonts w:ascii="Abadi" w:hAnsi="Abadi"/>
          <w:b w:val="0"/>
          <w:bCs w:val="0"/>
          <w:i/>
          <w:iCs/>
          <w:sz w:val="21"/>
          <w:szCs w:val="21"/>
        </w:rPr>
        <w:t>y</w:t>
      </w:r>
      <w:r w:rsidRPr="00B94CD4">
        <w:rPr>
          <w:rFonts w:ascii="Abadi" w:hAnsi="Abadi"/>
          <w:b w:val="0"/>
          <w:bCs w:val="0"/>
          <w:i/>
          <w:iCs/>
          <w:spacing w:val="-2"/>
          <w:sz w:val="21"/>
          <w:szCs w:val="21"/>
        </w:rPr>
        <w:t xml:space="preserve"> </w:t>
      </w:r>
      <w:r w:rsidRPr="00B94CD4">
        <w:rPr>
          <w:rFonts w:ascii="Abadi" w:hAnsi="Abadi"/>
          <w:b w:val="0"/>
          <w:bCs w:val="0"/>
          <w:i/>
          <w:iCs/>
          <w:sz w:val="21"/>
          <w:szCs w:val="21"/>
        </w:rPr>
        <w:t>Q3128</w:t>
      </w:r>
      <w:r w:rsidRPr="00B94CD4">
        <w:rPr>
          <w:rFonts w:ascii="Abadi" w:hAnsi="Abadi"/>
          <w:b w:val="0"/>
          <w:bCs w:val="0"/>
          <w:i/>
          <w:iCs/>
          <w:spacing w:val="-1"/>
          <w:sz w:val="21"/>
          <w:szCs w:val="21"/>
        </w:rPr>
        <w:t xml:space="preserve"> </w:t>
      </w:r>
      <w:r w:rsidRPr="00B94CD4">
        <w:rPr>
          <w:rFonts w:ascii="Abadi" w:hAnsi="Abadi"/>
          <w:b w:val="0"/>
          <w:bCs w:val="0"/>
          <w:i/>
          <w:iCs/>
          <w:sz w:val="21"/>
          <w:szCs w:val="21"/>
        </w:rPr>
        <w:t>Refugio</w:t>
      </w:r>
      <w:r w:rsidRPr="00B94CD4">
        <w:rPr>
          <w:rFonts w:ascii="Abadi" w:hAnsi="Abadi"/>
          <w:b w:val="0"/>
          <w:bCs w:val="0"/>
          <w:i/>
          <w:iCs/>
          <w:spacing w:val="-1"/>
          <w:sz w:val="21"/>
          <w:szCs w:val="21"/>
        </w:rPr>
        <w:t xml:space="preserve"> </w:t>
      </w:r>
      <w:r w:rsidRPr="00B94CD4">
        <w:rPr>
          <w:rFonts w:ascii="Abadi" w:hAnsi="Abadi"/>
          <w:b w:val="0"/>
          <w:bCs w:val="0"/>
          <w:i/>
          <w:iCs/>
          <w:sz w:val="21"/>
          <w:szCs w:val="21"/>
        </w:rPr>
        <w:t>para</w:t>
      </w:r>
      <w:r w:rsidRPr="00B94CD4">
        <w:rPr>
          <w:rFonts w:ascii="Abadi" w:hAnsi="Abadi"/>
          <w:b w:val="0"/>
          <w:bCs w:val="0"/>
          <w:i/>
          <w:iCs/>
          <w:spacing w:val="-1"/>
          <w:sz w:val="21"/>
          <w:szCs w:val="21"/>
        </w:rPr>
        <w:t xml:space="preserve"> </w:t>
      </w:r>
      <w:r w:rsidRPr="00B94CD4">
        <w:rPr>
          <w:rFonts w:ascii="Abadi" w:hAnsi="Abadi"/>
          <w:b w:val="0"/>
          <w:bCs w:val="0"/>
          <w:i/>
          <w:iCs/>
          <w:sz w:val="21"/>
          <w:szCs w:val="21"/>
        </w:rPr>
        <w:t>mujeres,</w:t>
      </w:r>
      <w:r w:rsidRPr="00B94CD4">
        <w:rPr>
          <w:rFonts w:ascii="Abadi" w:hAnsi="Abadi"/>
          <w:b w:val="0"/>
          <w:bCs w:val="0"/>
          <w:i/>
          <w:iCs/>
          <w:spacing w:val="-1"/>
          <w:sz w:val="21"/>
          <w:szCs w:val="21"/>
        </w:rPr>
        <w:t xml:space="preserve"> </w:t>
      </w:r>
      <w:r w:rsidRPr="00B94CD4">
        <w:rPr>
          <w:rFonts w:ascii="Abadi" w:hAnsi="Abadi"/>
          <w:b w:val="0"/>
          <w:bCs w:val="0"/>
          <w:i/>
          <w:iCs/>
          <w:sz w:val="21"/>
          <w:szCs w:val="21"/>
        </w:rPr>
        <w:t>sus</w:t>
      </w:r>
      <w:r w:rsidRPr="00B94CD4">
        <w:rPr>
          <w:rFonts w:ascii="Abadi" w:hAnsi="Abadi"/>
          <w:b w:val="0"/>
          <w:bCs w:val="0"/>
          <w:i/>
          <w:iCs/>
          <w:spacing w:val="-1"/>
          <w:sz w:val="21"/>
          <w:szCs w:val="21"/>
        </w:rPr>
        <w:t xml:space="preserve"> </w:t>
      </w:r>
      <w:r w:rsidRPr="00B94CD4">
        <w:rPr>
          <w:rFonts w:ascii="Abadi" w:hAnsi="Abadi"/>
          <w:b w:val="0"/>
          <w:bCs w:val="0"/>
          <w:i/>
          <w:iCs/>
          <w:sz w:val="21"/>
          <w:szCs w:val="21"/>
        </w:rPr>
        <w:t>hijas</w:t>
      </w:r>
      <w:r w:rsidRPr="00B94CD4">
        <w:rPr>
          <w:rFonts w:ascii="Abadi" w:hAnsi="Abadi"/>
          <w:b w:val="0"/>
          <w:bCs w:val="0"/>
          <w:i/>
          <w:iCs/>
          <w:spacing w:val="-1"/>
          <w:sz w:val="21"/>
          <w:szCs w:val="21"/>
        </w:rPr>
        <w:t xml:space="preserve"> </w:t>
      </w:r>
      <w:r w:rsidRPr="00B94CD4">
        <w:rPr>
          <w:rFonts w:ascii="Abadi" w:hAnsi="Abadi"/>
          <w:b w:val="0"/>
          <w:bCs w:val="0"/>
          <w:i/>
          <w:iCs/>
          <w:sz w:val="21"/>
          <w:szCs w:val="21"/>
        </w:rPr>
        <w:t>e</w:t>
      </w:r>
      <w:r w:rsidRPr="00B94CD4">
        <w:rPr>
          <w:rFonts w:ascii="Abadi" w:hAnsi="Abadi"/>
          <w:b w:val="0"/>
          <w:bCs w:val="0"/>
          <w:i/>
          <w:iCs/>
          <w:spacing w:val="-1"/>
          <w:sz w:val="21"/>
          <w:szCs w:val="21"/>
        </w:rPr>
        <w:t xml:space="preserve"> </w:t>
      </w:r>
      <w:r w:rsidRPr="00B94CD4">
        <w:rPr>
          <w:rFonts w:ascii="Abadi" w:hAnsi="Abadi"/>
          <w:b w:val="0"/>
          <w:bCs w:val="0"/>
          <w:i/>
          <w:iCs/>
          <w:sz w:val="21"/>
          <w:szCs w:val="21"/>
        </w:rPr>
        <w:t>hijos</w:t>
      </w:r>
      <w:r w:rsidRPr="00B94CD4">
        <w:rPr>
          <w:rFonts w:ascii="Abadi" w:hAnsi="Abadi"/>
          <w:b w:val="0"/>
          <w:bCs w:val="0"/>
          <w:i/>
          <w:iCs/>
          <w:spacing w:val="-1"/>
          <w:sz w:val="21"/>
          <w:szCs w:val="21"/>
        </w:rPr>
        <w:t xml:space="preserve"> </w:t>
      </w:r>
      <w:r w:rsidRPr="00B94CD4">
        <w:rPr>
          <w:rFonts w:ascii="Abadi" w:hAnsi="Abadi"/>
          <w:b w:val="0"/>
          <w:bCs w:val="0"/>
          <w:i/>
          <w:iCs/>
          <w:sz w:val="21"/>
          <w:szCs w:val="21"/>
        </w:rPr>
        <w:t>en</w:t>
      </w:r>
      <w:r w:rsidRPr="00B94CD4">
        <w:rPr>
          <w:rFonts w:ascii="Abadi" w:hAnsi="Abadi"/>
          <w:b w:val="0"/>
          <w:bCs w:val="0"/>
          <w:i/>
          <w:iCs/>
          <w:spacing w:val="-1"/>
          <w:sz w:val="21"/>
          <w:szCs w:val="21"/>
        </w:rPr>
        <w:t xml:space="preserve"> </w:t>
      </w:r>
      <w:r w:rsidRPr="00B94CD4">
        <w:rPr>
          <w:rFonts w:ascii="Abadi" w:hAnsi="Abadi"/>
          <w:b w:val="0"/>
          <w:bCs w:val="0"/>
          <w:i/>
          <w:iCs/>
          <w:sz w:val="21"/>
          <w:szCs w:val="21"/>
        </w:rPr>
        <w:t>situación</w:t>
      </w:r>
      <w:r w:rsidRPr="00B94CD4">
        <w:rPr>
          <w:rFonts w:ascii="Abadi" w:hAnsi="Abadi"/>
          <w:b w:val="0"/>
          <w:bCs w:val="0"/>
          <w:i/>
          <w:iCs/>
          <w:spacing w:val="-1"/>
          <w:sz w:val="21"/>
          <w:szCs w:val="21"/>
        </w:rPr>
        <w:t xml:space="preserve"> </w:t>
      </w:r>
      <w:r w:rsidRPr="00B94CD4">
        <w:rPr>
          <w:rFonts w:ascii="Abadi" w:hAnsi="Abadi"/>
          <w:b w:val="0"/>
          <w:bCs w:val="0"/>
          <w:i/>
          <w:iCs/>
          <w:sz w:val="21"/>
          <w:szCs w:val="21"/>
        </w:rPr>
        <w:t>de</w:t>
      </w:r>
      <w:r w:rsidRPr="00B94CD4">
        <w:rPr>
          <w:rFonts w:ascii="Abadi" w:hAnsi="Abadi"/>
          <w:b w:val="0"/>
          <w:bCs w:val="0"/>
          <w:i/>
          <w:iCs/>
          <w:spacing w:val="-1"/>
          <w:sz w:val="21"/>
          <w:szCs w:val="21"/>
        </w:rPr>
        <w:t xml:space="preserve"> </w:t>
      </w:r>
      <w:r w:rsidRPr="00B94CD4">
        <w:rPr>
          <w:rFonts w:ascii="Abadi" w:hAnsi="Abadi"/>
          <w:b w:val="0"/>
          <w:bCs w:val="0"/>
          <w:i/>
          <w:iCs/>
          <w:sz w:val="21"/>
          <w:szCs w:val="21"/>
        </w:rPr>
        <w:t>violencia</w:t>
      </w:r>
      <w:r w:rsidRPr="00B94CD4">
        <w:rPr>
          <w:rFonts w:ascii="Abadi" w:hAnsi="Abadi"/>
          <w:b w:val="0"/>
          <w:bCs w:val="0"/>
          <w:sz w:val="21"/>
          <w:szCs w:val="21"/>
        </w:rPr>
        <w:t xml:space="preserve">. </w:t>
      </w:r>
      <w:r w:rsidRPr="00812DB2">
        <w:rPr>
          <w:rFonts w:ascii="Abadi" w:hAnsi="Abadi"/>
          <w:sz w:val="21"/>
          <w:szCs w:val="21"/>
        </w:rPr>
        <w:t>XXXVII.-</w:t>
      </w:r>
      <w:r w:rsidRPr="00B94CD4">
        <w:rPr>
          <w:rFonts w:ascii="Abadi" w:hAnsi="Abadi"/>
          <w:b w:val="0"/>
          <w:bCs w:val="0"/>
          <w:sz w:val="21"/>
          <w:szCs w:val="21"/>
        </w:rPr>
        <w:t xml:space="preserve"> Discusión</w:t>
      </w:r>
      <w:r w:rsidRPr="00B94CD4">
        <w:rPr>
          <w:rFonts w:ascii="Abadi" w:hAnsi="Abadi"/>
          <w:b w:val="0"/>
          <w:bCs w:val="0"/>
          <w:spacing w:val="12"/>
          <w:sz w:val="21"/>
          <w:szCs w:val="21"/>
        </w:rPr>
        <w:t xml:space="preserve"> </w:t>
      </w:r>
      <w:r w:rsidRPr="00B94CD4">
        <w:rPr>
          <w:rFonts w:ascii="Abadi" w:hAnsi="Abadi"/>
          <w:b w:val="0"/>
          <w:bCs w:val="0"/>
          <w:sz w:val="21"/>
          <w:szCs w:val="21"/>
        </w:rPr>
        <w:t>y,</w:t>
      </w:r>
      <w:r w:rsidRPr="00B94CD4">
        <w:rPr>
          <w:rFonts w:ascii="Abadi" w:hAnsi="Abadi"/>
          <w:b w:val="0"/>
          <w:bCs w:val="0"/>
          <w:spacing w:val="12"/>
          <w:sz w:val="21"/>
          <w:szCs w:val="21"/>
        </w:rPr>
        <w:t xml:space="preserve"> </w:t>
      </w:r>
      <w:r w:rsidRPr="00B94CD4">
        <w:rPr>
          <w:rFonts w:ascii="Abadi" w:hAnsi="Abadi"/>
          <w:b w:val="0"/>
          <w:bCs w:val="0"/>
          <w:sz w:val="21"/>
          <w:szCs w:val="21"/>
        </w:rPr>
        <w:t>en</w:t>
      </w:r>
      <w:r w:rsidRPr="00B94CD4">
        <w:rPr>
          <w:rFonts w:ascii="Abadi" w:hAnsi="Abadi"/>
          <w:b w:val="0"/>
          <w:bCs w:val="0"/>
          <w:spacing w:val="12"/>
          <w:sz w:val="21"/>
          <w:szCs w:val="21"/>
        </w:rPr>
        <w:t xml:space="preserve"> </w:t>
      </w:r>
      <w:r w:rsidRPr="00B94CD4">
        <w:rPr>
          <w:rFonts w:ascii="Abadi" w:hAnsi="Abadi"/>
          <w:b w:val="0"/>
          <w:bCs w:val="0"/>
          <w:sz w:val="21"/>
          <w:szCs w:val="21"/>
        </w:rPr>
        <w:t>su</w:t>
      </w:r>
      <w:r w:rsidRPr="00B94CD4">
        <w:rPr>
          <w:rFonts w:ascii="Abadi" w:hAnsi="Abadi"/>
          <w:b w:val="0"/>
          <w:bCs w:val="0"/>
          <w:spacing w:val="12"/>
          <w:sz w:val="21"/>
          <w:szCs w:val="21"/>
        </w:rPr>
        <w:t xml:space="preserve"> </w:t>
      </w:r>
      <w:r w:rsidRPr="00B94CD4">
        <w:rPr>
          <w:rFonts w:ascii="Abadi" w:hAnsi="Abadi"/>
          <w:b w:val="0"/>
          <w:bCs w:val="0"/>
          <w:sz w:val="21"/>
          <w:szCs w:val="21"/>
        </w:rPr>
        <w:t>caso,</w:t>
      </w:r>
      <w:r w:rsidRPr="00B94CD4">
        <w:rPr>
          <w:rFonts w:ascii="Abadi" w:hAnsi="Abadi"/>
          <w:b w:val="0"/>
          <w:bCs w:val="0"/>
          <w:spacing w:val="12"/>
          <w:sz w:val="21"/>
          <w:szCs w:val="21"/>
        </w:rPr>
        <w:t xml:space="preserve"> </w:t>
      </w:r>
      <w:r w:rsidRPr="00B94CD4">
        <w:rPr>
          <w:rFonts w:ascii="Abadi" w:hAnsi="Abadi"/>
          <w:b w:val="0"/>
          <w:bCs w:val="0"/>
          <w:sz w:val="21"/>
          <w:szCs w:val="21"/>
        </w:rPr>
        <w:t>aprobación</w:t>
      </w:r>
      <w:r w:rsidRPr="00B94CD4">
        <w:rPr>
          <w:rFonts w:ascii="Abadi" w:hAnsi="Abadi"/>
          <w:b w:val="0"/>
          <w:bCs w:val="0"/>
          <w:spacing w:val="12"/>
          <w:sz w:val="21"/>
          <w:szCs w:val="21"/>
        </w:rPr>
        <w:t xml:space="preserve"> </w:t>
      </w:r>
      <w:r w:rsidRPr="00B94CD4">
        <w:rPr>
          <w:rFonts w:ascii="Abadi" w:hAnsi="Abadi"/>
          <w:b w:val="0"/>
          <w:bCs w:val="0"/>
          <w:sz w:val="21"/>
          <w:szCs w:val="21"/>
        </w:rPr>
        <w:t>del</w:t>
      </w:r>
      <w:r w:rsidRPr="00B94CD4">
        <w:rPr>
          <w:rFonts w:ascii="Abadi" w:hAnsi="Abadi"/>
          <w:b w:val="0"/>
          <w:bCs w:val="0"/>
          <w:spacing w:val="12"/>
          <w:sz w:val="21"/>
          <w:szCs w:val="21"/>
        </w:rPr>
        <w:t xml:space="preserve"> </w:t>
      </w:r>
      <w:r w:rsidRPr="00B94CD4">
        <w:rPr>
          <w:rFonts w:ascii="Abadi" w:hAnsi="Abadi"/>
          <w:b w:val="0"/>
          <w:bCs w:val="0"/>
          <w:sz w:val="21"/>
          <w:szCs w:val="21"/>
        </w:rPr>
        <w:t>dictamen</w:t>
      </w:r>
      <w:r w:rsidRPr="00B94CD4">
        <w:rPr>
          <w:rFonts w:ascii="Abadi" w:hAnsi="Abadi"/>
          <w:b w:val="0"/>
          <w:bCs w:val="0"/>
          <w:spacing w:val="12"/>
          <w:sz w:val="21"/>
          <w:szCs w:val="21"/>
        </w:rPr>
        <w:t xml:space="preserve"> </w:t>
      </w:r>
      <w:r w:rsidRPr="00B94CD4">
        <w:rPr>
          <w:rFonts w:ascii="Abadi" w:hAnsi="Abadi"/>
          <w:b w:val="0"/>
          <w:bCs w:val="0"/>
          <w:sz w:val="21"/>
          <w:szCs w:val="21"/>
        </w:rPr>
        <w:t>suscrito</w:t>
      </w:r>
      <w:r w:rsidRPr="00B94CD4">
        <w:rPr>
          <w:rFonts w:ascii="Abadi" w:hAnsi="Abadi"/>
          <w:b w:val="0"/>
          <w:bCs w:val="0"/>
          <w:spacing w:val="13"/>
          <w:sz w:val="21"/>
          <w:szCs w:val="21"/>
        </w:rPr>
        <w:t xml:space="preserve"> </w:t>
      </w:r>
      <w:r w:rsidRPr="00B94CD4">
        <w:rPr>
          <w:rFonts w:ascii="Abadi" w:hAnsi="Abadi"/>
          <w:b w:val="0"/>
          <w:bCs w:val="0"/>
          <w:sz w:val="21"/>
          <w:szCs w:val="21"/>
        </w:rPr>
        <w:t>por</w:t>
      </w:r>
      <w:r w:rsidRPr="00B94CD4">
        <w:rPr>
          <w:rFonts w:ascii="Abadi" w:hAnsi="Abadi"/>
          <w:b w:val="0"/>
          <w:bCs w:val="0"/>
          <w:spacing w:val="12"/>
          <w:sz w:val="21"/>
          <w:szCs w:val="21"/>
        </w:rPr>
        <w:t xml:space="preserve"> </w:t>
      </w:r>
      <w:r w:rsidRPr="00B94CD4">
        <w:rPr>
          <w:rFonts w:ascii="Abadi" w:hAnsi="Abadi"/>
          <w:b w:val="0"/>
          <w:bCs w:val="0"/>
          <w:sz w:val="21"/>
          <w:szCs w:val="21"/>
        </w:rPr>
        <w:t>la</w:t>
      </w:r>
      <w:r w:rsidRPr="00B94CD4">
        <w:rPr>
          <w:rFonts w:ascii="Abadi" w:hAnsi="Abadi"/>
          <w:b w:val="0"/>
          <w:bCs w:val="0"/>
          <w:spacing w:val="12"/>
          <w:sz w:val="21"/>
          <w:szCs w:val="21"/>
        </w:rPr>
        <w:t xml:space="preserve"> </w:t>
      </w:r>
      <w:r w:rsidRPr="00B94CD4">
        <w:rPr>
          <w:rFonts w:ascii="Abadi" w:hAnsi="Abadi"/>
          <w:b w:val="0"/>
          <w:bCs w:val="0"/>
          <w:sz w:val="21"/>
          <w:szCs w:val="21"/>
        </w:rPr>
        <w:t>Comisión de</w:t>
      </w:r>
      <w:r w:rsidRPr="00B94CD4">
        <w:rPr>
          <w:rFonts w:ascii="Abadi" w:hAnsi="Abadi"/>
          <w:b w:val="0"/>
          <w:bCs w:val="0"/>
          <w:spacing w:val="80"/>
          <w:sz w:val="21"/>
          <w:szCs w:val="21"/>
        </w:rPr>
        <w:t xml:space="preserve"> </w:t>
      </w:r>
      <w:r w:rsidRPr="00B94CD4">
        <w:rPr>
          <w:rFonts w:ascii="Abadi" w:hAnsi="Abadi"/>
          <w:b w:val="0"/>
          <w:bCs w:val="0"/>
          <w:sz w:val="21"/>
          <w:szCs w:val="21"/>
        </w:rPr>
        <w:t>Hacienda</w:t>
      </w:r>
      <w:r w:rsidRPr="00B94CD4">
        <w:rPr>
          <w:rFonts w:ascii="Abadi" w:hAnsi="Abadi"/>
          <w:b w:val="0"/>
          <w:bCs w:val="0"/>
          <w:spacing w:val="80"/>
          <w:sz w:val="21"/>
          <w:szCs w:val="21"/>
        </w:rPr>
        <w:t xml:space="preserve"> </w:t>
      </w:r>
      <w:r w:rsidRPr="00B94CD4">
        <w:rPr>
          <w:rFonts w:ascii="Abadi" w:hAnsi="Abadi"/>
          <w:b w:val="0"/>
          <w:bCs w:val="0"/>
          <w:sz w:val="21"/>
          <w:szCs w:val="21"/>
        </w:rPr>
        <w:t>y</w:t>
      </w:r>
      <w:r w:rsidRPr="00B94CD4">
        <w:rPr>
          <w:rFonts w:ascii="Abadi" w:hAnsi="Abadi"/>
          <w:b w:val="0"/>
          <w:bCs w:val="0"/>
          <w:spacing w:val="80"/>
          <w:sz w:val="21"/>
          <w:szCs w:val="21"/>
        </w:rPr>
        <w:t xml:space="preserve"> </w:t>
      </w:r>
      <w:r w:rsidRPr="00B94CD4">
        <w:rPr>
          <w:rFonts w:ascii="Abadi" w:hAnsi="Abadi"/>
          <w:b w:val="0"/>
          <w:bCs w:val="0"/>
          <w:sz w:val="21"/>
          <w:szCs w:val="21"/>
        </w:rPr>
        <w:t>Fiscalización</w:t>
      </w:r>
      <w:r w:rsidRPr="00B94CD4">
        <w:rPr>
          <w:rFonts w:ascii="Abadi" w:hAnsi="Abadi"/>
          <w:b w:val="0"/>
          <w:bCs w:val="0"/>
          <w:spacing w:val="80"/>
          <w:sz w:val="21"/>
          <w:szCs w:val="21"/>
        </w:rPr>
        <w:t xml:space="preserve"> </w:t>
      </w:r>
      <w:r w:rsidRPr="00B94CD4">
        <w:rPr>
          <w:rFonts w:ascii="Abadi" w:hAnsi="Abadi"/>
          <w:b w:val="0"/>
          <w:bCs w:val="0"/>
          <w:sz w:val="21"/>
          <w:szCs w:val="21"/>
        </w:rPr>
        <w:t>relativo</w:t>
      </w:r>
      <w:r w:rsidRPr="00B94CD4">
        <w:rPr>
          <w:rFonts w:ascii="Abadi" w:hAnsi="Abadi"/>
          <w:b w:val="0"/>
          <w:bCs w:val="0"/>
          <w:spacing w:val="80"/>
          <w:sz w:val="21"/>
          <w:szCs w:val="21"/>
        </w:rPr>
        <w:t xml:space="preserve"> </w:t>
      </w:r>
      <w:r w:rsidRPr="00B94CD4">
        <w:rPr>
          <w:rFonts w:ascii="Abadi" w:hAnsi="Abadi"/>
          <w:b w:val="0"/>
          <w:bCs w:val="0"/>
          <w:sz w:val="21"/>
          <w:szCs w:val="21"/>
        </w:rPr>
        <w:t>a</w:t>
      </w:r>
      <w:r w:rsidRPr="00B94CD4">
        <w:rPr>
          <w:rFonts w:ascii="Abadi" w:hAnsi="Abadi"/>
          <w:b w:val="0"/>
          <w:bCs w:val="0"/>
          <w:spacing w:val="80"/>
          <w:sz w:val="21"/>
          <w:szCs w:val="21"/>
        </w:rPr>
        <w:t xml:space="preserve"> </w:t>
      </w:r>
      <w:r w:rsidRPr="00B94CD4">
        <w:rPr>
          <w:rFonts w:ascii="Abadi" w:hAnsi="Abadi"/>
          <w:b w:val="0"/>
          <w:bCs w:val="0"/>
          <w:sz w:val="21"/>
          <w:szCs w:val="21"/>
        </w:rPr>
        <w:t>la</w:t>
      </w:r>
      <w:r w:rsidRPr="00B94CD4">
        <w:rPr>
          <w:rFonts w:ascii="Abadi" w:hAnsi="Abadi"/>
          <w:b w:val="0"/>
          <w:bCs w:val="0"/>
          <w:spacing w:val="80"/>
          <w:sz w:val="21"/>
          <w:szCs w:val="21"/>
        </w:rPr>
        <w:t xml:space="preserve"> </w:t>
      </w:r>
      <w:r w:rsidRPr="00B94CD4">
        <w:rPr>
          <w:rFonts w:ascii="Abadi" w:hAnsi="Abadi"/>
          <w:b w:val="0"/>
          <w:bCs w:val="0"/>
          <w:sz w:val="21"/>
          <w:szCs w:val="21"/>
        </w:rPr>
        <w:t>propuesta</w:t>
      </w:r>
      <w:r w:rsidRPr="00B94CD4">
        <w:rPr>
          <w:rFonts w:ascii="Abadi" w:hAnsi="Abadi"/>
          <w:b w:val="0"/>
          <w:bCs w:val="0"/>
          <w:spacing w:val="80"/>
          <w:sz w:val="21"/>
          <w:szCs w:val="21"/>
        </w:rPr>
        <w:t xml:space="preserve"> </w:t>
      </w:r>
      <w:r w:rsidRPr="00B94CD4">
        <w:rPr>
          <w:rFonts w:ascii="Abadi" w:hAnsi="Abadi"/>
          <w:b w:val="0"/>
          <w:bCs w:val="0"/>
          <w:sz w:val="21"/>
          <w:szCs w:val="21"/>
        </w:rPr>
        <w:t>formulada</w:t>
      </w:r>
      <w:r w:rsidRPr="00B94CD4">
        <w:rPr>
          <w:rFonts w:ascii="Abadi" w:hAnsi="Abadi"/>
          <w:b w:val="0"/>
          <w:bCs w:val="0"/>
          <w:spacing w:val="80"/>
          <w:sz w:val="21"/>
          <w:szCs w:val="21"/>
        </w:rPr>
        <w:t xml:space="preserve"> </w:t>
      </w:r>
      <w:r w:rsidRPr="00B94CD4">
        <w:rPr>
          <w:rFonts w:ascii="Abadi" w:hAnsi="Abadi"/>
          <w:b w:val="0"/>
          <w:bCs w:val="0"/>
          <w:sz w:val="21"/>
          <w:szCs w:val="21"/>
        </w:rPr>
        <w:t>por</w:t>
      </w:r>
      <w:r w:rsidRPr="00B94CD4">
        <w:rPr>
          <w:rFonts w:ascii="Abadi" w:hAnsi="Abadi"/>
          <w:b w:val="0"/>
          <w:bCs w:val="0"/>
          <w:spacing w:val="80"/>
          <w:sz w:val="21"/>
          <w:szCs w:val="21"/>
        </w:rPr>
        <w:t xml:space="preserve"> </w:t>
      </w:r>
      <w:r w:rsidRPr="00B94CD4">
        <w:rPr>
          <w:rFonts w:ascii="Abadi" w:hAnsi="Abadi"/>
          <w:b w:val="0"/>
          <w:bCs w:val="0"/>
          <w:sz w:val="21"/>
          <w:szCs w:val="21"/>
        </w:rPr>
        <w:t>el ayuntamiento</w:t>
      </w:r>
      <w:r w:rsidRPr="00B94CD4">
        <w:rPr>
          <w:rFonts w:ascii="Abadi" w:hAnsi="Abadi"/>
          <w:b w:val="0"/>
          <w:bCs w:val="0"/>
          <w:spacing w:val="23"/>
          <w:sz w:val="21"/>
          <w:szCs w:val="21"/>
        </w:rPr>
        <w:t xml:space="preserve"> </w:t>
      </w:r>
      <w:r w:rsidRPr="00B94CD4">
        <w:rPr>
          <w:rFonts w:ascii="Abadi" w:hAnsi="Abadi"/>
          <w:b w:val="0"/>
          <w:bCs w:val="0"/>
          <w:sz w:val="21"/>
          <w:szCs w:val="21"/>
        </w:rPr>
        <w:t>de</w:t>
      </w:r>
      <w:r w:rsidRPr="00B94CD4">
        <w:rPr>
          <w:rFonts w:ascii="Abadi" w:hAnsi="Abadi"/>
          <w:b w:val="0"/>
          <w:bCs w:val="0"/>
          <w:spacing w:val="23"/>
          <w:sz w:val="21"/>
          <w:szCs w:val="21"/>
        </w:rPr>
        <w:t xml:space="preserve"> </w:t>
      </w:r>
      <w:r w:rsidRPr="00B94CD4">
        <w:rPr>
          <w:rFonts w:ascii="Abadi" w:hAnsi="Abadi"/>
          <w:b w:val="0"/>
          <w:bCs w:val="0"/>
          <w:sz w:val="21"/>
          <w:szCs w:val="21"/>
        </w:rPr>
        <w:t>San</w:t>
      </w:r>
      <w:r w:rsidRPr="00B94CD4">
        <w:rPr>
          <w:rFonts w:ascii="Abadi" w:hAnsi="Abadi"/>
          <w:b w:val="0"/>
          <w:bCs w:val="0"/>
          <w:spacing w:val="23"/>
          <w:sz w:val="21"/>
          <w:szCs w:val="21"/>
        </w:rPr>
        <w:t xml:space="preserve"> </w:t>
      </w:r>
      <w:r w:rsidRPr="00B94CD4">
        <w:rPr>
          <w:rFonts w:ascii="Abadi" w:hAnsi="Abadi"/>
          <w:b w:val="0"/>
          <w:bCs w:val="0"/>
          <w:sz w:val="21"/>
          <w:szCs w:val="21"/>
        </w:rPr>
        <w:t>José</w:t>
      </w:r>
      <w:r w:rsidRPr="00B94CD4">
        <w:rPr>
          <w:rFonts w:ascii="Abadi" w:hAnsi="Abadi"/>
          <w:b w:val="0"/>
          <w:bCs w:val="0"/>
          <w:spacing w:val="23"/>
          <w:sz w:val="21"/>
          <w:szCs w:val="21"/>
        </w:rPr>
        <w:t xml:space="preserve"> </w:t>
      </w:r>
      <w:r w:rsidRPr="00B94CD4">
        <w:rPr>
          <w:rFonts w:ascii="Abadi" w:hAnsi="Abadi"/>
          <w:b w:val="0"/>
          <w:bCs w:val="0"/>
          <w:sz w:val="21"/>
          <w:szCs w:val="21"/>
        </w:rPr>
        <w:t>Iturbide,</w:t>
      </w:r>
      <w:r w:rsidRPr="00B94CD4">
        <w:rPr>
          <w:rFonts w:ascii="Abadi" w:hAnsi="Abadi"/>
          <w:b w:val="0"/>
          <w:bCs w:val="0"/>
          <w:spacing w:val="23"/>
          <w:sz w:val="21"/>
          <w:szCs w:val="21"/>
        </w:rPr>
        <w:t xml:space="preserve"> </w:t>
      </w:r>
      <w:r w:rsidRPr="00B94CD4">
        <w:rPr>
          <w:rFonts w:ascii="Abadi" w:hAnsi="Abadi"/>
          <w:b w:val="0"/>
          <w:bCs w:val="0"/>
          <w:sz w:val="21"/>
          <w:szCs w:val="21"/>
        </w:rPr>
        <w:t>Gto.,</w:t>
      </w:r>
      <w:r w:rsidRPr="00B94CD4">
        <w:rPr>
          <w:rFonts w:ascii="Abadi" w:hAnsi="Abadi"/>
          <w:b w:val="0"/>
          <w:bCs w:val="0"/>
          <w:spacing w:val="22"/>
          <w:sz w:val="21"/>
          <w:szCs w:val="21"/>
        </w:rPr>
        <w:t xml:space="preserve"> </w:t>
      </w:r>
      <w:r w:rsidRPr="00B94CD4">
        <w:rPr>
          <w:rFonts w:ascii="Abadi" w:hAnsi="Abadi"/>
          <w:b w:val="0"/>
          <w:bCs w:val="0"/>
          <w:sz w:val="21"/>
          <w:szCs w:val="21"/>
        </w:rPr>
        <w:t>a</w:t>
      </w:r>
      <w:r w:rsidRPr="00B94CD4">
        <w:rPr>
          <w:rFonts w:ascii="Abadi" w:hAnsi="Abadi"/>
          <w:b w:val="0"/>
          <w:bCs w:val="0"/>
          <w:spacing w:val="23"/>
          <w:sz w:val="21"/>
          <w:szCs w:val="21"/>
        </w:rPr>
        <w:t xml:space="preserve"> </w:t>
      </w:r>
      <w:r w:rsidRPr="00B94CD4">
        <w:rPr>
          <w:rFonts w:ascii="Abadi" w:hAnsi="Abadi"/>
          <w:b w:val="0"/>
          <w:bCs w:val="0"/>
          <w:sz w:val="21"/>
          <w:szCs w:val="21"/>
        </w:rPr>
        <w:t>efecto</w:t>
      </w:r>
      <w:r w:rsidRPr="00B94CD4">
        <w:rPr>
          <w:rFonts w:ascii="Abadi" w:hAnsi="Abadi"/>
          <w:b w:val="0"/>
          <w:bCs w:val="0"/>
          <w:spacing w:val="23"/>
          <w:sz w:val="21"/>
          <w:szCs w:val="21"/>
        </w:rPr>
        <w:t xml:space="preserve"> </w:t>
      </w:r>
      <w:r w:rsidRPr="00B94CD4">
        <w:rPr>
          <w:rFonts w:ascii="Abadi" w:hAnsi="Abadi"/>
          <w:b w:val="0"/>
          <w:bCs w:val="0"/>
          <w:sz w:val="21"/>
          <w:szCs w:val="21"/>
        </w:rPr>
        <w:t>de</w:t>
      </w:r>
      <w:r w:rsidRPr="00B94CD4">
        <w:rPr>
          <w:rFonts w:ascii="Abadi" w:hAnsi="Abadi"/>
          <w:b w:val="0"/>
          <w:bCs w:val="0"/>
          <w:spacing w:val="23"/>
          <w:sz w:val="21"/>
          <w:szCs w:val="21"/>
        </w:rPr>
        <w:t xml:space="preserve"> </w:t>
      </w:r>
      <w:r w:rsidRPr="00B94CD4">
        <w:rPr>
          <w:rFonts w:ascii="Abadi" w:hAnsi="Abadi"/>
          <w:b w:val="0"/>
          <w:bCs w:val="0"/>
          <w:sz w:val="21"/>
          <w:szCs w:val="21"/>
        </w:rPr>
        <w:t>que</w:t>
      </w:r>
      <w:r w:rsidRPr="00B94CD4">
        <w:rPr>
          <w:rFonts w:ascii="Abadi" w:hAnsi="Abadi"/>
          <w:b w:val="0"/>
          <w:bCs w:val="0"/>
          <w:spacing w:val="23"/>
          <w:sz w:val="21"/>
          <w:szCs w:val="21"/>
        </w:rPr>
        <w:t xml:space="preserve"> </w:t>
      </w:r>
      <w:r w:rsidRPr="00B94CD4">
        <w:rPr>
          <w:rFonts w:ascii="Abadi" w:hAnsi="Abadi"/>
          <w:b w:val="0"/>
          <w:bCs w:val="0"/>
          <w:sz w:val="21"/>
          <w:szCs w:val="21"/>
        </w:rPr>
        <w:t>se</w:t>
      </w:r>
      <w:r w:rsidRPr="00B94CD4">
        <w:rPr>
          <w:rFonts w:ascii="Abadi" w:hAnsi="Abadi"/>
          <w:b w:val="0"/>
          <w:bCs w:val="0"/>
          <w:spacing w:val="23"/>
          <w:sz w:val="21"/>
          <w:szCs w:val="21"/>
        </w:rPr>
        <w:t xml:space="preserve"> </w:t>
      </w:r>
      <w:r w:rsidRPr="00B94CD4">
        <w:rPr>
          <w:rFonts w:ascii="Abadi" w:hAnsi="Abadi"/>
          <w:b w:val="0"/>
          <w:bCs w:val="0"/>
          <w:sz w:val="21"/>
          <w:szCs w:val="21"/>
        </w:rPr>
        <w:t>lleve</w:t>
      </w:r>
      <w:r w:rsidRPr="00B94CD4">
        <w:rPr>
          <w:rFonts w:ascii="Abadi" w:hAnsi="Abadi"/>
          <w:b w:val="0"/>
          <w:bCs w:val="0"/>
          <w:spacing w:val="23"/>
          <w:sz w:val="21"/>
          <w:szCs w:val="21"/>
        </w:rPr>
        <w:t xml:space="preserve"> </w:t>
      </w:r>
      <w:r w:rsidRPr="00B94CD4">
        <w:rPr>
          <w:rFonts w:ascii="Abadi" w:hAnsi="Abadi"/>
          <w:b w:val="0"/>
          <w:bCs w:val="0"/>
          <w:sz w:val="21"/>
          <w:szCs w:val="21"/>
        </w:rPr>
        <w:t>a</w:t>
      </w:r>
      <w:r w:rsidRPr="00B94CD4">
        <w:rPr>
          <w:rFonts w:ascii="Abadi" w:hAnsi="Abadi"/>
          <w:b w:val="0"/>
          <w:bCs w:val="0"/>
          <w:spacing w:val="22"/>
          <w:sz w:val="21"/>
          <w:szCs w:val="21"/>
        </w:rPr>
        <w:t xml:space="preserve"> </w:t>
      </w:r>
      <w:r w:rsidRPr="00B94CD4">
        <w:rPr>
          <w:rFonts w:ascii="Abadi" w:hAnsi="Abadi"/>
          <w:b w:val="0"/>
          <w:bCs w:val="0"/>
          <w:sz w:val="21"/>
          <w:szCs w:val="21"/>
        </w:rPr>
        <w:t>cabo una</w:t>
      </w:r>
      <w:r w:rsidRPr="00B94CD4">
        <w:rPr>
          <w:rFonts w:ascii="Abadi" w:hAnsi="Abadi"/>
          <w:b w:val="0"/>
          <w:bCs w:val="0"/>
          <w:spacing w:val="51"/>
          <w:sz w:val="21"/>
          <w:szCs w:val="21"/>
        </w:rPr>
        <w:t xml:space="preserve"> </w:t>
      </w:r>
      <w:r w:rsidRPr="00B94CD4">
        <w:rPr>
          <w:rFonts w:ascii="Abadi" w:hAnsi="Abadi"/>
          <w:b w:val="0"/>
          <w:bCs w:val="0"/>
          <w:sz w:val="21"/>
          <w:szCs w:val="21"/>
        </w:rPr>
        <w:t>auditoría</w:t>
      </w:r>
      <w:r w:rsidRPr="00B94CD4">
        <w:rPr>
          <w:rFonts w:ascii="Abadi" w:hAnsi="Abadi"/>
          <w:b w:val="0"/>
          <w:bCs w:val="0"/>
          <w:spacing w:val="51"/>
          <w:sz w:val="21"/>
          <w:szCs w:val="21"/>
        </w:rPr>
        <w:t xml:space="preserve"> </w:t>
      </w:r>
      <w:r w:rsidRPr="00B94CD4">
        <w:rPr>
          <w:rFonts w:ascii="Abadi" w:hAnsi="Abadi"/>
          <w:b w:val="0"/>
          <w:bCs w:val="0"/>
          <w:sz w:val="21"/>
          <w:szCs w:val="21"/>
        </w:rPr>
        <w:t>integral</w:t>
      </w:r>
      <w:r w:rsidRPr="00B94CD4">
        <w:rPr>
          <w:rFonts w:ascii="Abadi" w:hAnsi="Abadi"/>
          <w:b w:val="0"/>
          <w:bCs w:val="0"/>
          <w:spacing w:val="51"/>
          <w:sz w:val="21"/>
          <w:szCs w:val="21"/>
        </w:rPr>
        <w:t xml:space="preserve"> </w:t>
      </w:r>
      <w:r w:rsidRPr="00B94CD4">
        <w:rPr>
          <w:rFonts w:ascii="Abadi" w:hAnsi="Abadi"/>
          <w:b w:val="0"/>
          <w:bCs w:val="0"/>
          <w:sz w:val="21"/>
          <w:szCs w:val="21"/>
        </w:rPr>
        <w:t>a</w:t>
      </w:r>
      <w:r w:rsidRPr="00B94CD4">
        <w:rPr>
          <w:rFonts w:ascii="Abadi" w:hAnsi="Abadi"/>
          <w:b w:val="0"/>
          <w:bCs w:val="0"/>
          <w:spacing w:val="52"/>
          <w:sz w:val="21"/>
          <w:szCs w:val="21"/>
        </w:rPr>
        <w:t xml:space="preserve"> </w:t>
      </w:r>
      <w:r w:rsidRPr="00B94CD4">
        <w:rPr>
          <w:rFonts w:ascii="Abadi" w:hAnsi="Abadi"/>
          <w:b w:val="0"/>
          <w:bCs w:val="0"/>
          <w:sz w:val="21"/>
          <w:szCs w:val="21"/>
        </w:rPr>
        <w:t>la</w:t>
      </w:r>
      <w:r w:rsidRPr="00B94CD4">
        <w:rPr>
          <w:rFonts w:ascii="Abadi" w:hAnsi="Abadi"/>
          <w:b w:val="0"/>
          <w:bCs w:val="0"/>
          <w:spacing w:val="51"/>
          <w:sz w:val="21"/>
          <w:szCs w:val="21"/>
        </w:rPr>
        <w:t xml:space="preserve"> </w:t>
      </w:r>
      <w:r w:rsidRPr="00B94CD4">
        <w:rPr>
          <w:rFonts w:ascii="Abadi" w:hAnsi="Abadi"/>
          <w:b w:val="0"/>
          <w:bCs w:val="0"/>
          <w:sz w:val="21"/>
          <w:szCs w:val="21"/>
        </w:rPr>
        <w:t>administración</w:t>
      </w:r>
      <w:r w:rsidRPr="00B94CD4">
        <w:rPr>
          <w:rFonts w:ascii="Abadi" w:hAnsi="Abadi"/>
          <w:b w:val="0"/>
          <w:bCs w:val="0"/>
          <w:spacing w:val="51"/>
          <w:sz w:val="21"/>
          <w:szCs w:val="21"/>
        </w:rPr>
        <w:t xml:space="preserve"> </w:t>
      </w:r>
      <w:r w:rsidRPr="00B94CD4">
        <w:rPr>
          <w:rFonts w:ascii="Abadi" w:hAnsi="Abadi"/>
          <w:b w:val="0"/>
          <w:bCs w:val="0"/>
          <w:sz w:val="21"/>
          <w:szCs w:val="21"/>
        </w:rPr>
        <w:t>municipal</w:t>
      </w:r>
      <w:r w:rsidRPr="00B94CD4">
        <w:rPr>
          <w:rFonts w:ascii="Abadi" w:hAnsi="Abadi"/>
          <w:b w:val="0"/>
          <w:bCs w:val="0"/>
          <w:spacing w:val="51"/>
          <w:sz w:val="21"/>
          <w:szCs w:val="21"/>
        </w:rPr>
        <w:t xml:space="preserve"> </w:t>
      </w:r>
      <w:r w:rsidRPr="00B94CD4">
        <w:rPr>
          <w:rFonts w:ascii="Abadi" w:hAnsi="Abadi"/>
          <w:b w:val="0"/>
          <w:bCs w:val="0"/>
          <w:sz w:val="21"/>
          <w:szCs w:val="21"/>
        </w:rPr>
        <w:t>2018-2021</w:t>
      </w:r>
      <w:r w:rsidRPr="00B94CD4">
        <w:rPr>
          <w:rFonts w:ascii="Abadi" w:hAnsi="Abadi"/>
          <w:b w:val="0"/>
          <w:bCs w:val="0"/>
          <w:spacing w:val="51"/>
          <w:sz w:val="21"/>
          <w:szCs w:val="21"/>
        </w:rPr>
        <w:t xml:space="preserve"> </w:t>
      </w:r>
      <w:r w:rsidRPr="00B94CD4">
        <w:rPr>
          <w:rFonts w:ascii="Abadi" w:hAnsi="Abadi"/>
          <w:b w:val="0"/>
          <w:bCs w:val="0"/>
          <w:sz w:val="21"/>
          <w:szCs w:val="21"/>
        </w:rPr>
        <w:t>de</w:t>
      </w:r>
      <w:r w:rsidRPr="00B94CD4">
        <w:rPr>
          <w:rFonts w:ascii="Abadi" w:hAnsi="Abadi"/>
          <w:b w:val="0"/>
          <w:bCs w:val="0"/>
          <w:spacing w:val="51"/>
          <w:sz w:val="21"/>
          <w:szCs w:val="21"/>
        </w:rPr>
        <w:t xml:space="preserve"> </w:t>
      </w:r>
      <w:r w:rsidRPr="00B94CD4">
        <w:rPr>
          <w:rFonts w:ascii="Abadi" w:hAnsi="Abadi"/>
          <w:b w:val="0"/>
          <w:bCs w:val="0"/>
          <w:sz w:val="21"/>
          <w:szCs w:val="21"/>
        </w:rPr>
        <w:t xml:space="preserve">dicho Municipio. </w:t>
      </w:r>
      <w:r w:rsidR="00812DB2">
        <w:rPr>
          <w:rFonts w:ascii="Abadi" w:hAnsi="Abadi"/>
          <w:b w:val="0"/>
          <w:bCs w:val="0"/>
          <w:sz w:val="21"/>
          <w:szCs w:val="21"/>
        </w:rPr>
        <w:t xml:space="preserve"> </w:t>
      </w:r>
      <w:r w:rsidRPr="009A3D12">
        <w:rPr>
          <w:rFonts w:ascii="Abadi" w:hAnsi="Abadi"/>
          <w:sz w:val="21"/>
          <w:szCs w:val="21"/>
        </w:rPr>
        <w:t>XXXVIII.-</w:t>
      </w:r>
      <w:r>
        <w:rPr>
          <w:rFonts w:ascii="Abadi" w:hAnsi="Abadi"/>
          <w:sz w:val="21"/>
          <w:szCs w:val="21"/>
        </w:rPr>
        <w:t xml:space="preserve"> </w:t>
      </w:r>
      <w:r w:rsidRPr="001D5134">
        <w:rPr>
          <w:rFonts w:ascii="Abadi" w:hAnsi="Abadi"/>
          <w:b w:val="0"/>
          <w:bCs w:val="0"/>
          <w:sz w:val="21"/>
          <w:szCs w:val="21"/>
        </w:rPr>
        <w:t>Discusión</w:t>
      </w:r>
      <w:r w:rsidRPr="001D5134">
        <w:rPr>
          <w:rFonts w:ascii="Abadi" w:hAnsi="Abadi"/>
          <w:b w:val="0"/>
          <w:bCs w:val="0"/>
          <w:spacing w:val="9"/>
          <w:sz w:val="21"/>
          <w:szCs w:val="21"/>
        </w:rPr>
        <w:t xml:space="preserve"> </w:t>
      </w:r>
      <w:r w:rsidRPr="001D5134">
        <w:rPr>
          <w:rFonts w:ascii="Abadi" w:hAnsi="Abadi"/>
          <w:b w:val="0"/>
          <w:bCs w:val="0"/>
          <w:sz w:val="21"/>
          <w:szCs w:val="21"/>
        </w:rPr>
        <w:t>y,</w:t>
      </w:r>
      <w:r w:rsidRPr="001D5134">
        <w:rPr>
          <w:rFonts w:ascii="Abadi" w:hAnsi="Abadi"/>
          <w:b w:val="0"/>
          <w:bCs w:val="0"/>
          <w:spacing w:val="9"/>
          <w:sz w:val="21"/>
          <w:szCs w:val="21"/>
        </w:rPr>
        <w:t xml:space="preserve"> </w:t>
      </w:r>
      <w:r w:rsidRPr="001D5134">
        <w:rPr>
          <w:rFonts w:ascii="Abadi" w:hAnsi="Abadi"/>
          <w:b w:val="0"/>
          <w:bCs w:val="0"/>
          <w:sz w:val="21"/>
          <w:szCs w:val="21"/>
        </w:rPr>
        <w:t>en</w:t>
      </w:r>
      <w:r w:rsidRPr="001D5134">
        <w:rPr>
          <w:rFonts w:ascii="Abadi" w:hAnsi="Abadi"/>
          <w:b w:val="0"/>
          <w:bCs w:val="0"/>
          <w:spacing w:val="9"/>
          <w:sz w:val="21"/>
          <w:szCs w:val="21"/>
        </w:rPr>
        <w:t xml:space="preserve"> </w:t>
      </w:r>
      <w:r w:rsidRPr="001D5134">
        <w:rPr>
          <w:rFonts w:ascii="Abadi" w:hAnsi="Abadi"/>
          <w:b w:val="0"/>
          <w:bCs w:val="0"/>
          <w:sz w:val="21"/>
          <w:szCs w:val="21"/>
        </w:rPr>
        <w:t>su</w:t>
      </w:r>
      <w:r w:rsidRPr="001D5134">
        <w:rPr>
          <w:rFonts w:ascii="Abadi" w:hAnsi="Abadi"/>
          <w:b w:val="0"/>
          <w:bCs w:val="0"/>
          <w:spacing w:val="9"/>
          <w:sz w:val="21"/>
          <w:szCs w:val="21"/>
        </w:rPr>
        <w:t xml:space="preserve"> </w:t>
      </w:r>
      <w:r w:rsidRPr="001D5134">
        <w:rPr>
          <w:rFonts w:ascii="Abadi" w:hAnsi="Abadi"/>
          <w:b w:val="0"/>
          <w:bCs w:val="0"/>
          <w:sz w:val="21"/>
          <w:szCs w:val="21"/>
        </w:rPr>
        <w:t>caso,</w:t>
      </w:r>
      <w:r w:rsidRPr="001D5134">
        <w:rPr>
          <w:rFonts w:ascii="Abadi" w:hAnsi="Abadi"/>
          <w:b w:val="0"/>
          <w:bCs w:val="0"/>
          <w:spacing w:val="9"/>
          <w:sz w:val="21"/>
          <w:szCs w:val="21"/>
        </w:rPr>
        <w:t xml:space="preserve"> </w:t>
      </w:r>
      <w:r w:rsidRPr="001D5134">
        <w:rPr>
          <w:rFonts w:ascii="Abadi" w:hAnsi="Abadi"/>
          <w:b w:val="0"/>
          <w:bCs w:val="0"/>
          <w:sz w:val="21"/>
          <w:szCs w:val="21"/>
        </w:rPr>
        <w:t>aprobación</w:t>
      </w:r>
      <w:r w:rsidRPr="001D5134">
        <w:rPr>
          <w:rFonts w:ascii="Abadi" w:hAnsi="Abadi"/>
          <w:b w:val="0"/>
          <w:bCs w:val="0"/>
          <w:spacing w:val="9"/>
          <w:sz w:val="21"/>
          <w:szCs w:val="21"/>
        </w:rPr>
        <w:t xml:space="preserve"> </w:t>
      </w:r>
      <w:r w:rsidRPr="001D5134">
        <w:rPr>
          <w:rFonts w:ascii="Abadi" w:hAnsi="Abadi"/>
          <w:b w:val="0"/>
          <w:bCs w:val="0"/>
          <w:sz w:val="21"/>
          <w:szCs w:val="21"/>
        </w:rPr>
        <w:t>del</w:t>
      </w:r>
      <w:r w:rsidRPr="001D5134">
        <w:rPr>
          <w:rFonts w:ascii="Abadi" w:hAnsi="Abadi"/>
          <w:b w:val="0"/>
          <w:bCs w:val="0"/>
          <w:spacing w:val="9"/>
          <w:sz w:val="21"/>
          <w:szCs w:val="21"/>
        </w:rPr>
        <w:t xml:space="preserve"> </w:t>
      </w:r>
      <w:r w:rsidRPr="001D5134">
        <w:rPr>
          <w:rFonts w:ascii="Abadi" w:hAnsi="Abadi"/>
          <w:b w:val="0"/>
          <w:bCs w:val="0"/>
          <w:sz w:val="21"/>
          <w:szCs w:val="21"/>
        </w:rPr>
        <w:t>dictamen</w:t>
      </w:r>
      <w:r w:rsidRPr="001D5134">
        <w:rPr>
          <w:rFonts w:ascii="Abadi" w:hAnsi="Abadi"/>
          <w:b w:val="0"/>
          <w:bCs w:val="0"/>
          <w:spacing w:val="9"/>
          <w:sz w:val="21"/>
          <w:szCs w:val="21"/>
        </w:rPr>
        <w:t xml:space="preserve"> </w:t>
      </w:r>
      <w:r w:rsidRPr="001D5134">
        <w:rPr>
          <w:rFonts w:ascii="Abadi" w:hAnsi="Abadi"/>
          <w:b w:val="0"/>
          <w:bCs w:val="0"/>
          <w:sz w:val="21"/>
          <w:szCs w:val="21"/>
        </w:rPr>
        <w:t>signado</w:t>
      </w:r>
      <w:r w:rsidRPr="001D5134">
        <w:rPr>
          <w:rFonts w:ascii="Abadi" w:hAnsi="Abadi"/>
          <w:b w:val="0"/>
          <w:bCs w:val="0"/>
          <w:spacing w:val="9"/>
          <w:sz w:val="21"/>
          <w:szCs w:val="21"/>
        </w:rPr>
        <w:t xml:space="preserve"> </w:t>
      </w:r>
      <w:r w:rsidRPr="001D5134">
        <w:rPr>
          <w:rFonts w:ascii="Abadi" w:hAnsi="Abadi"/>
          <w:b w:val="0"/>
          <w:bCs w:val="0"/>
          <w:sz w:val="21"/>
          <w:szCs w:val="21"/>
        </w:rPr>
        <w:t>por</w:t>
      </w:r>
      <w:r w:rsidRPr="001D5134">
        <w:rPr>
          <w:rFonts w:ascii="Abadi" w:hAnsi="Abadi"/>
          <w:b w:val="0"/>
          <w:bCs w:val="0"/>
          <w:spacing w:val="9"/>
          <w:sz w:val="21"/>
          <w:szCs w:val="21"/>
        </w:rPr>
        <w:t xml:space="preserve"> </w:t>
      </w:r>
      <w:r w:rsidRPr="001D5134">
        <w:rPr>
          <w:rFonts w:ascii="Abadi" w:hAnsi="Abadi"/>
          <w:b w:val="0"/>
          <w:bCs w:val="0"/>
          <w:sz w:val="21"/>
          <w:szCs w:val="21"/>
        </w:rPr>
        <w:t>la</w:t>
      </w:r>
      <w:r w:rsidRPr="001D5134">
        <w:rPr>
          <w:rFonts w:ascii="Abadi" w:hAnsi="Abadi"/>
          <w:b w:val="0"/>
          <w:bCs w:val="0"/>
          <w:spacing w:val="9"/>
          <w:sz w:val="21"/>
          <w:szCs w:val="21"/>
        </w:rPr>
        <w:t xml:space="preserve"> </w:t>
      </w:r>
      <w:r w:rsidRPr="001D5134">
        <w:rPr>
          <w:rFonts w:ascii="Abadi" w:hAnsi="Abadi"/>
          <w:b w:val="0"/>
          <w:bCs w:val="0"/>
          <w:sz w:val="21"/>
          <w:szCs w:val="21"/>
        </w:rPr>
        <w:t>Comisión</w:t>
      </w:r>
      <w:r w:rsidRPr="001D5134">
        <w:rPr>
          <w:rFonts w:ascii="Abadi" w:hAnsi="Abadi"/>
          <w:b w:val="0"/>
          <w:bCs w:val="0"/>
          <w:spacing w:val="-2"/>
          <w:sz w:val="21"/>
          <w:szCs w:val="21"/>
        </w:rPr>
        <w:t xml:space="preserve"> </w:t>
      </w:r>
      <w:r w:rsidRPr="001D5134">
        <w:rPr>
          <w:rFonts w:ascii="Abadi" w:hAnsi="Abadi"/>
          <w:b w:val="0"/>
          <w:bCs w:val="0"/>
          <w:sz w:val="21"/>
          <w:szCs w:val="21"/>
        </w:rPr>
        <w:t>de</w:t>
      </w:r>
      <w:r w:rsidRPr="001D5134">
        <w:rPr>
          <w:rFonts w:ascii="Abadi" w:hAnsi="Abadi"/>
          <w:b w:val="0"/>
          <w:bCs w:val="0"/>
          <w:spacing w:val="33"/>
          <w:sz w:val="21"/>
          <w:szCs w:val="21"/>
        </w:rPr>
        <w:t xml:space="preserve"> </w:t>
      </w:r>
      <w:r w:rsidRPr="001D5134">
        <w:rPr>
          <w:rFonts w:ascii="Abadi" w:hAnsi="Abadi"/>
          <w:b w:val="0"/>
          <w:bCs w:val="0"/>
          <w:sz w:val="21"/>
          <w:szCs w:val="21"/>
        </w:rPr>
        <w:t>Hacienda</w:t>
      </w:r>
      <w:r w:rsidRPr="001D5134">
        <w:rPr>
          <w:rFonts w:ascii="Abadi" w:hAnsi="Abadi"/>
          <w:b w:val="0"/>
          <w:bCs w:val="0"/>
          <w:spacing w:val="33"/>
          <w:sz w:val="21"/>
          <w:szCs w:val="21"/>
        </w:rPr>
        <w:t xml:space="preserve"> </w:t>
      </w:r>
      <w:r w:rsidRPr="001D5134">
        <w:rPr>
          <w:rFonts w:ascii="Abadi" w:hAnsi="Abadi"/>
          <w:b w:val="0"/>
          <w:bCs w:val="0"/>
          <w:sz w:val="21"/>
          <w:szCs w:val="21"/>
        </w:rPr>
        <w:t>y</w:t>
      </w:r>
      <w:r w:rsidRPr="001D5134">
        <w:rPr>
          <w:rFonts w:ascii="Abadi" w:hAnsi="Abadi"/>
          <w:b w:val="0"/>
          <w:bCs w:val="0"/>
          <w:spacing w:val="33"/>
          <w:sz w:val="21"/>
          <w:szCs w:val="21"/>
        </w:rPr>
        <w:t xml:space="preserve"> </w:t>
      </w:r>
      <w:r w:rsidRPr="001D5134">
        <w:rPr>
          <w:rFonts w:ascii="Abadi" w:hAnsi="Abadi"/>
          <w:b w:val="0"/>
          <w:bCs w:val="0"/>
          <w:sz w:val="21"/>
          <w:szCs w:val="21"/>
        </w:rPr>
        <w:t>Fiscalización</w:t>
      </w:r>
      <w:r w:rsidRPr="001D5134">
        <w:rPr>
          <w:rFonts w:ascii="Abadi" w:hAnsi="Abadi"/>
          <w:b w:val="0"/>
          <w:bCs w:val="0"/>
          <w:spacing w:val="32"/>
          <w:sz w:val="21"/>
          <w:szCs w:val="21"/>
        </w:rPr>
        <w:t xml:space="preserve"> </w:t>
      </w:r>
      <w:r w:rsidRPr="001D5134">
        <w:rPr>
          <w:rFonts w:ascii="Abadi" w:hAnsi="Abadi"/>
          <w:b w:val="0"/>
          <w:bCs w:val="0"/>
          <w:sz w:val="21"/>
          <w:szCs w:val="21"/>
        </w:rPr>
        <w:t>relativo</w:t>
      </w:r>
      <w:r w:rsidRPr="001D5134">
        <w:rPr>
          <w:rFonts w:ascii="Abadi" w:hAnsi="Abadi"/>
          <w:b w:val="0"/>
          <w:bCs w:val="0"/>
          <w:spacing w:val="32"/>
          <w:sz w:val="21"/>
          <w:szCs w:val="21"/>
        </w:rPr>
        <w:t xml:space="preserve"> </w:t>
      </w:r>
      <w:r w:rsidRPr="001D5134">
        <w:rPr>
          <w:rFonts w:ascii="Abadi" w:hAnsi="Abadi"/>
          <w:b w:val="0"/>
          <w:bCs w:val="0"/>
          <w:sz w:val="21"/>
          <w:szCs w:val="21"/>
        </w:rPr>
        <w:t>a</w:t>
      </w:r>
      <w:r w:rsidRPr="001D5134">
        <w:rPr>
          <w:rFonts w:ascii="Abadi" w:hAnsi="Abadi"/>
          <w:b w:val="0"/>
          <w:bCs w:val="0"/>
          <w:spacing w:val="33"/>
          <w:sz w:val="21"/>
          <w:szCs w:val="21"/>
        </w:rPr>
        <w:t xml:space="preserve"> </w:t>
      </w:r>
      <w:r w:rsidRPr="001D5134">
        <w:rPr>
          <w:rFonts w:ascii="Abadi" w:hAnsi="Abadi"/>
          <w:b w:val="0"/>
          <w:bCs w:val="0"/>
          <w:sz w:val="21"/>
          <w:szCs w:val="21"/>
        </w:rPr>
        <w:t>la</w:t>
      </w:r>
      <w:r w:rsidRPr="001D5134">
        <w:rPr>
          <w:rFonts w:ascii="Abadi" w:hAnsi="Abadi"/>
          <w:b w:val="0"/>
          <w:bCs w:val="0"/>
          <w:spacing w:val="33"/>
          <w:sz w:val="21"/>
          <w:szCs w:val="21"/>
        </w:rPr>
        <w:t xml:space="preserve"> </w:t>
      </w:r>
      <w:r w:rsidRPr="001D5134">
        <w:rPr>
          <w:rFonts w:ascii="Abadi" w:hAnsi="Abadi"/>
          <w:b w:val="0"/>
          <w:bCs w:val="0"/>
          <w:sz w:val="21"/>
          <w:szCs w:val="21"/>
        </w:rPr>
        <w:t>propuesta</w:t>
      </w:r>
      <w:r w:rsidRPr="001D5134">
        <w:rPr>
          <w:rFonts w:ascii="Abadi" w:hAnsi="Abadi"/>
          <w:b w:val="0"/>
          <w:bCs w:val="0"/>
          <w:spacing w:val="32"/>
          <w:sz w:val="21"/>
          <w:szCs w:val="21"/>
        </w:rPr>
        <w:t xml:space="preserve"> </w:t>
      </w:r>
      <w:r w:rsidRPr="001D5134">
        <w:rPr>
          <w:rFonts w:ascii="Abadi" w:hAnsi="Abadi"/>
          <w:b w:val="0"/>
          <w:bCs w:val="0"/>
          <w:sz w:val="21"/>
          <w:szCs w:val="21"/>
        </w:rPr>
        <w:t>de</w:t>
      </w:r>
      <w:r w:rsidRPr="001D5134">
        <w:rPr>
          <w:rFonts w:ascii="Abadi" w:hAnsi="Abadi"/>
          <w:b w:val="0"/>
          <w:bCs w:val="0"/>
          <w:spacing w:val="32"/>
          <w:sz w:val="21"/>
          <w:szCs w:val="21"/>
        </w:rPr>
        <w:t xml:space="preserve"> </w:t>
      </w:r>
      <w:r w:rsidRPr="001D5134">
        <w:rPr>
          <w:rFonts w:ascii="Abadi" w:hAnsi="Abadi"/>
          <w:b w:val="0"/>
          <w:bCs w:val="0"/>
          <w:sz w:val="21"/>
          <w:szCs w:val="21"/>
        </w:rPr>
        <w:t>punto</w:t>
      </w:r>
      <w:r w:rsidRPr="001D5134">
        <w:rPr>
          <w:rFonts w:ascii="Abadi" w:hAnsi="Abadi"/>
          <w:b w:val="0"/>
          <w:bCs w:val="0"/>
          <w:spacing w:val="32"/>
          <w:sz w:val="21"/>
          <w:szCs w:val="21"/>
        </w:rPr>
        <w:t xml:space="preserve"> </w:t>
      </w:r>
      <w:r w:rsidRPr="001D5134">
        <w:rPr>
          <w:rFonts w:ascii="Abadi" w:hAnsi="Abadi"/>
          <w:b w:val="0"/>
          <w:bCs w:val="0"/>
          <w:sz w:val="21"/>
          <w:szCs w:val="21"/>
        </w:rPr>
        <w:t>de</w:t>
      </w:r>
      <w:r w:rsidRPr="001D5134">
        <w:rPr>
          <w:rFonts w:ascii="Abadi" w:hAnsi="Abadi"/>
          <w:b w:val="0"/>
          <w:bCs w:val="0"/>
          <w:spacing w:val="32"/>
          <w:sz w:val="21"/>
          <w:szCs w:val="21"/>
        </w:rPr>
        <w:t xml:space="preserve"> </w:t>
      </w:r>
      <w:r w:rsidRPr="001D5134">
        <w:rPr>
          <w:rFonts w:ascii="Abadi" w:hAnsi="Abadi"/>
          <w:b w:val="0"/>
          <w:bCs w:val="0"/>
          <w:sz w:val="21"/>
          <w:szCs w:val="21"/>
        </w:rPr>
        <w:t>acuerdo</w:t>
      </w:r>
      <w:r w:rsidRPr="001D5134">
        <w:rPr>
          <w:rFonts w:ascii="Abadi" w:hAnsi="Abadi"/>
          <w:b w:val="0"/>
          <w:bCs w:val="0"/>
          <w:spacing w:val="-2"/>
          <w:sz w:val="21"/>
          <w:szCs w:val="21"/>
        </w:rPr>
        <w:t xml:space="preserve"> </w:t>
      </w:r>
      <w:r w:rsidRPr="001D5134">
        <w:rPr>
          <w:rFonts w:ascii="Abadi" w:hAnsi="Abadi"/>
          <w:b w:val="0"/>
          <w:bCs w:val="0"/>
          <w:sz w:val="21"/>
          <w:szCs w:val="21"/>
        </w:rPr>
        <w:t>formulada</w:t>
      </w:r>
      <w:r w:rsidRPr="001D5134">
        <w:rPr>
          <w:rFonts w:ascii="Abadi" w:hAnsi="Abadi"/>
          <w:b w:val="0"/>
          <w:bCs w:val="0"/>
          <w:spacing w:val="18"/>
          <w:sz w:val="21"/>
          <w:szCs w:val="21"/>
        </w:rPr>
        <w:t xml:space="preserve"> </w:t>
      </w:r>
      <w:r w:rsidRPr="001D5134">
        <w:rPr>
          <w:rFonts w:ascii="Abadi" w:hAnsi="Abadi"/>
          <w:b w:val="0"/>
          <w:bCs w:val="0"/>
          <w:sz w:val="21"/>
          <w:szCs w:val="21"/>
        </w:rPr>
        <w:t>por</w:t>
      </w:r>
      <w:r w:rsidRPr="001D5134">
        <w:rPr>
          <w:rFonts w:ascii="Abadi" w:hAnsi="Abadi"/>
          <w:b w:val="0"/>
          <w:bCs w:val="0"/>
          <w:spacing w:val="17"/>
          <w:sz w:val="21"/>
          <w:szCs w:val="21"/>
        </w:rPr>
        <w:t xml:space="preserve"> </w:t>
      </w:r>
      <w:r w:rsidRPr="001D5134">
        <w:rPr>
          <w:rFonts w:ascii="Abadi" w:hAnsi="Abadi"/>
          <w:b w:val="0"/>
          <w:bCs w:val="0"/>
          <w:sz w:val="21"/>
          <w:szCs w:val="21"/>
        </w:rPr>
        <w:t>el</w:t>
      </w:r>
      <w:r w:rsidRPr="001D5134">
        <w:rPr>
          <w:rFonts w:ascii="Abadi" w:hAnsi="Abadi"/>
          <w:b w:val="0"/>
          <w:bCs w:val="0"/>
          <w:spacing w:val="17"/>
          <w:sz w:val="21"/>
          <w:szCs w:val="21"/>
        </w:rPr>
        <w:t xml:space="preserve"> </w:t>
      </w:r>
      <w:r w:rsidRPr="001D5134">
        <w:rPr>
          <w:rFonts w:ascii="Abadi" w:hAnsi="Abadi"/>
          <w:b w:val="0"/>
          <w:bCs w:val="0"/>
          <w:sz w:val="21"/>
          <w:szCs w:val="21"/>
        </w:rPr>
        <w:t>diputado</w:t>
      </w:r>
      <w:r w:rsidRPr="001D5134">
        <w:rPr>
          <w:rFonts w:ascii="Abadi" w:hAnsi="Abadi"/>
          <w:b w:val="0"/>
          <w:bCs w:val="0"/>
          <w:spacing w:val="18"/>
          <w:sz w:val="21"/>
          <w:szCs w:val="21"/>
        </w:rPr>
        <w:t xml:space="preserve"> </w:t>
      </w:r>
      <w:r w:rsidRPr="001D5134">
        <w:rPr>
          <w:rFonts w:ascii="Abadi" w:hAnsi="Abadi"/>
          <w:b w:val="0"/>
          <w:bCs w:val="0"/>
          <w:sz w:val="21"/>
          <w:szCs w:val="21"/>
        </w:rPr>
        <w:t>Ernesto</w:t>
      </w:r>
      <w:r w:rsidRPr="001D5134">
        <w:rPr>
          <w:rFonts w:ascii="Abadi" w:hAnsi="Abadi"/>
          <w:b w:val="0"/>
          <w:bCs w:val="0"/>
          <w:spacing w:val="18"/>
          <w:sz w:val="21"/>
          <w:szCs w:val="21"/>
        </w:rPr>
        <w:t xml:space="preserve"> </w:t>
      </w:r>
      <w:r w:rsidRPr="001D5134">
        <w:rPr>
          <w:rFonts w:ascii="Abadi" w:hAnsi="Abadi"/>
          <w:b w:val="0"/>
          <w:bCs w:val="0"/>
          <w:sz w:val="21"/>
          <w:szCs w:val="21"/>
        </w:rPr>
        <w:t>Millán</w:t>
      </w:r>
      <w:r w:rsidRPr="001D5134">
        <w:rPr>
          <w:rFonts w:ascii="Abadi" w:hAnsi="Abadi"/>
          <w:b w:val="0"/>
          <w:bCs w:val="0"/>
          <w:spacing w:val="18"/>
          <w:sz w:val="21"/>
          <w:szCs w:val="21"/>
        </w:rPr>
        <w:t xml:space="preserve"> </w:t>
      </w:r>
      <w:r w:rsidRPr="001D5134">
        <w:rPr>
          <w:rFonts w:ascii="Abadi" w:hAnsi="Abadi"/>
          <w:b w:val="0"/>
          <w:bCs w:val="0"/>
          <w:sz w:val="21"/>
          <w:szCs w:val="21"/>
        </w:rPr>
        <w:t>Soberanes,</w:t>
      </w:r>
      <w:r w:rsidRPr="001D5134">
        <w:rPr>
          <w:rFonts w:ascii="Abadi" w:hAnsi="Abadi"/>
          <w:b w:val="0"/>
          <w:bCs w:val="0"/>
          <w:spacing w:val="17"/>
          <w:sz w:val="21"/>
          <w:szCs w:val="21"/>
        </w:rPr>
        <w:t xml:space="preserve"> </w:t>
      </w:r>
      <w:r w:rsidRPr="001D5134">
        <w:rPr>
          <w:rFonts w:ascii="Abadi" w:hAnsi="Abadi"/>
          <w:b w:val="0"/>
          <w:bCs w:val="0"/>
          <w:sz w:val="21"/>
          <w:szCs w:val="21"/>
        </w:rPr>
        <w:t>integrante</w:t>
      </w:r>
      <w:r w:rsidRPr="001D5134">
        <w:rPr>
          <w:rFonts w:ascii="Abadi" w:hAnsi="Abadi"/>
          <w:b w:val="0"/>
          <w:bCs w:val="0"/>
          <w:spacing w:val="17"/>
          <w:sz w:val="21"/>
          <w:szCs w:val="21"/>
        </w:rPr>
        <w:t xml:space="preserve"> </w:t>
      </w:r>
      <w:r w:rsidRPr="001D5134">
        <w:rPr>
          <w:rFonts w:ascii="Abadi" w:hAnsi="Abadi"/>
          <w:b w:val="0"/>
          <w:bCs w:val="0"/>
          <w:sz w:val="21"/>
          <w:szCs w:val="21"/>
        </w:rPr>
        <w:t>del</w:t>
      </w:r>
      <w:r w:rsidRPr="001D5134">
        <w:rPr>
          <w:rFonts w:ascii="Abadi" w:hAnsi="Abadi"/>
          <w:b w:val="0"/>
          <w:bCs w:val="0"/>
          <w:spacing w:val="17"/>
          <w:sz w:val="21"/>
          <w:szCs w:val="21"/>
        </w:rPr>
        <w:t xml:space="preserve"> </w:t>
      </w:r>
      <w:r w:rsidRPr="001D5134">
        <w:rPr>
          <w:rFonts w:ascii="Abadi" w:hAnsi="Abadi"/>
          <w:b w:val="0"/>
          <w:bCs w:val="0"/>
          <w:sz w:val="21"/>
          <w:szCs w:val="21"/>
        </w:rPr>
        <w:t>Grupo</w:t>
      </w:r>
      <w:r w:rsidRPr="001D5134">
        <w:rPr>
          <w:rFonts w:ascii="Abadi" w:hAnsi="Abadi"/>
          <w:b w:val="0"/>
          <w:bCs w:val="0"/>
          <w:spacing w:val="-2"/>
          <w:sz w:val="21"/>
          <w:szCs w:val="21"/>
        </w:rPr>
        <w:t xml:space="preserve"> </w:t>
      </w:r>
      <w:r w:rsidRPr="001D5134">
        <w:rPr>
          <w:rFonts w:ascii="Abadi" w:hAnsi="Abadi"/>
          <w:b w:val="0"/>
          <w:bCs w:val="0"/>
          <w:sz w:val="21"/>
          <w:szCs w:val="21"/>
        </w:rPr>
        <w:t>Parlamentario</w:t>
      </w:r>
      <w:r w:rsidRPr="001D5134">
        <w:rPr>
          <w:rFonts w:ascii="Abadi" w:hAnsi="Abadi"/>
          <w:b w:val="0"/>
          <w:bCs w:val="0"/>
          <w:spacing w:val="40"/>
          <w:sz w:val="21"/>
          <w:szCs w:val="21"/>
        </w:rPr>
        <w:t xml:space="preserve"> </w:t>
      </w:r>
      <w:r w:rsidRPr="001D5134">
        <w:rPr>
          <w:rFonts w:ascii="Abadi" w:hAnsi="Abadi"/>
          <w:b w:val="0"/>
          <w:bCs w:val="0"/>
          <w:sz w:val="21"/>
          <w:szCs w:val="21"/>
        </w:rPr>
        <w:t>del</w:t>
      </w:r>
      <w:r w:rsidRPr="001D5134">
        <w:rPr>
          <w:rFonts w:ascii="Abadi" w:hAnsi="Abadi"/>
          <w:b w:val="0"/>
          <w:bCs w:val="0"/>
          <w:spacing w:val="40"/>
          <w:sz w:val="21"/>
          <w:szCs w:val="21"/>
        </w:rPr>
        <w:t xml:space="preserve"> </w:t>
      </w:r>
      <w:r w:rsidRPr="001D5134">
        <w:rPr>
          <w:rFonts w:ascii="Abadi" w:hAnsi="Abadi"/>
          <w:b w:val="0"/>
          <w:bCs w:val="0"/>
          <w:sz w:val="21"/>
          <w:szCs w:val="21"/>
        </w:rPr>
        <w:t>Partido</w:t>
      </w:r>
      <w:r w:rsidRPr="001D5134">
        <w:rPr>
          <w:rFonts w:ascii="Abadi" w:hAnsi="Abadi"/>
          <w:b w:val="0"/>
          <w:bCs w:val="0"/>
          <w:spacing w:val="40"/>
          <w:sz w:val="21"/>
          <w:szCs w:val="21"/>
        </w:rPr>
        <w:t xml:space="preserve"> </w:t>
      </w:r>
      <w:r w:rsidRPr="001D5134">
        <w:rPr>
          <w:rFonts w:ascii="Abadi" w:hAnsi="Abadi"/>
          <w:b w:val="0"/>
          <w:bCs w:val="0"/>
          <w:sz w:val="21"/>
          <w:szCs w:val="21"/>
        </w:rPr>
        <w:t>MORENA,</w:t>
      </w:r>
      <w:r w:rsidRPr="001D5134">
        <w:rPr>
          <w:rFonts w:ascii="Abadi" w:hAnsi="Abadi"/>
          <w:b w:val="0"/>
          <w:bCs w:val="0"/>
          <w:spacing w:val="40"/>
          <w:sz w:val="21"/>
          <w:szCs w:val="21"/>
        </w:rPr>
        <w:t xml:space="preserve"> </w:t>
      </w:r>
      <w:r w:rsidRPr="001D5134">
        <w:rPr>
          <w:rFonts w:ascii="Abadi" w:hAnsi="Abadi"/>
          <w:b w:val="0"/>
          <w:bCs w:val="0"/>
          <w:sz w:val="21"/>
          <w:szCs w:val="21"/>
        </w:rPr>
        <w:t>a</w:t>
      </w:r>
      <w:r w:rsidRPr="001D5134">
        <w:rPr>
          <w:rFonts w:ascii="Abadi" w:hAnsi="Abadi"/>
          <w:b w:val="0"/>
          <w:bCs w:val="0"/>
          <w:spacing w:val="39"/>
          <w:sz w:val="21"/>
          <w:szCs w:val="21"/>
        </w:rPr>
        <w:t xml:space="preserve"> </w:t>
      </w:r>
      <w:r w:rsidRPr="001D5134">
        <w:rPr>
          <w:rFonts w:ascii="Abadi" w:hAnsi="Abadi"/>
          <w:b w:val="0"/>
          <w:bCs w:val="0"/>
          <w:sz w:val="21"/>
          <w:szCs w:val="21"/>
        </w:rPr>
        <w:t>efecto</w:t>
      </w:r>
      <w:r w:rsidRPr="001D5134">
        <w:rPr>
          <w:rFonts w:ascii="Abadi" w:hAnsi="Abadi"/>
          <w:b w:val="0"/>
          <w:bCs w:val="0"/>
          <w:spacing w:val="40"/>
          <w:sz w:val="21"/>
          <w:szCs w:val="21"/>
        </w:rPr>
        <w:t xml:space="preserve"> </w:t>
      </w:r>
      <w:r w:rsidRPr="001D5134">
        <w:rPr>
          <w:rFonts w:ascii="Abadi" w:hAnsi="Abadi"/>
          <w:b w:val="0"/>
          <w:bCs w:val="0"/>
          <w:sz w:val="21"/>
          <w:szCs w:val="21"/>
        </w:rPr>
        <w:t>de</w:t>
      </w:r>
      <w:r w:rsidRPr="001D5134">
        <w:rPr>
          <w:rFonts w:ascii="Abadi" w:hAnsi="Abadi"/>
          <w:b w:val="0"/>
          <w:bCs w:val="0"/>
          <w:spacing w:val="40"/>
          <w:sz w:val="21"/>
          <w:szCs w:val="21"/>
        </w:rPr>
        <w:t xml:space="preserve"> </w:t>
      </w:r>
      <w:r w:rsidRPr="001D5134">
        <w:rPr>
          <w:rFonts w:ascii="Abadi" w:hAnsi="Abadi"/>
          <w:b w:val="0"/>
          <w:bCs w:val="0"/>
          <w:sz w:val="21"/>
          <w:szCs w:val="21"/>
        </w:rPr>
        <w:t>exhortar</w:t>
      </w:r>
      <w:r w:rsidRPr="001D5134">
        <w:rPr>
          <w:rFonts w:ascii="Abadi" w:hAnsi="Abadi"/>
          <w:b w:val="0"/>
          <w:bCs w:val="0"/>
          <w:spacing w:val="40"/>
          <w:sz w:val="21"/>
          <w:szCs w:val="21"/>
        </w:rPr>
        <w:t xml:space="preserve"> </w:t>
      </w:r>
      <w:r w:rsidRPr="001D5134">
        <w:rPr>
          <w:rFonts w:ascii="Abadi" w:hAnsi="Abadi"/>
          <w:b w:val="0"/>
          <w:bCs w:val="0"/>
          <w:sz w:val="21"/>
          <w:szCs w:val="21"/>
        </w:rPr>
        <w:t>al</w:t>
      </w:r>
      <w:r w:rsidRPr="001D5134">
        <w:rPr>
          <w:rFonts w:ascii="Abadi" w:hAnsi="Abadi"/>
          <w:b w:val="0"/>
          <w:bCs w:val="0"/>
          <w:spacing w:val="40"/>
          <w:sz w:val="21"/>
          <w:szCs w:val="21"/>
        </w:rPr>
        <w:t xml:space="preserve"> </w:t>
      </w:r>
      <w:r w:rsidRPr="001D5134">
        <w:rPr>
          <w:rFonts w:ascii="Abadi" w:hAnsi="Abadi"/>
          <w:b w:val="0"/>
          <w:bCs w:val="0"/>
          <w:sz w:val="21"/>
          <w:szCs w:val="21"/>
        </w:rPr>
        <w:t>titular</w:t>
      </w:r>
      <w:r w:rsidRPr="001D5134">
        <w:rPr>
          <w:rFonts w:ascii="Abadi" w:hAnsi="Abadi"/>
          <w:b w:val="0"/>
          <w:bCs w:val="0"/>
          <w:spacing w:val="40"/>
          <w:sz w:val="21"/>
          <w:szCs w:val="21"/>
        </w:rPr>
        <w:t xml:space="preserve"> </w:t>
      </w:r>
      <w:r w:rsidRPr="001D5134">
        <w:rPr>
          <w:rFonts w:ascii="Abadi" w:hAnsi="Abadi"/>
          <w:b w:val="0"/>
          <w:bCs w:val="0"/>
          <w:sz w:val="21"/>
          <w:szCs w:val="21"/>
        </w:rPr>
        <w:t>de</w:t>
      </w:r>
      <w:r w:rsidRPr="001D5134">
        <w:rPr>
          <w:rFonts w:ascii="Abadi" w:hAnsi="Abadi"/>
          <w:b w:val="0"/>
          <w:bCs w:val="0"/>
          <w:spacing w:val="40"/>
          <w:sz w:val="21"/>
          <w:szCs w:val="21"/>
        </w:rPr>
        <w:t xml:space="preserve"> </w:t>
      </w:r>
      <w:r w:rsidRPr="001D5134">
        <w:rPr>
          <w:rFonts w:ascii="Abadi" w:hAnsi="Abadi"/>
          <w:b w:val="0"/>
          <w:bCs w:val="0"/>
          <w:sz w:val="21"/>
          <w:szCs w:val="21"/>
        </w:rPr>
        <w:t>la</w:t>
      </w:r>
      <w:r w:rsidRPr="001D5134">
        <w:rPr>
          <w:rFonts w:ascii="Abadi" w:hAnsi="Abadi"/>
          <w:b w:val="0"/>
          <w:bCs w:val="0"/>
          <w:spacing w:val="-2"/>
          <w:sz w:val="21"/>
          <w:szCs w:val="21"/>
        </w:rPr>
        <w:t xml:space="preserve"> </w:t>
      </w:r>
      <w:r w:rsidRPr="001D5134">
        <w:rPr>
          <w:rFonts w:ascii="Abadi" w:hAnsi="Abadi"/>
          <w:b w:val="0"/>
          <w:bCs w:val="0"/>
          <w:sz w:val="21"/>
          <w:szCs w:val="21"/>
        </w:rPr>
        <w:t>Auditoría</w:t>
      </w:r>
      <w:r w:rsidRPr="001D5134">
        <w:rPr>
          <w:rFonts w:ascii="Abadi" w:hAnsi="Abadi"/>
          <w:b w:val="0"/>
          <w:bCs w:val="0"/>
          <w:spacing w:val="32"/>
          <w:sz w:val="21"/>
          <w:szCs w:val="21"/>
        </w:rPr>
        <w:t xml:space="preserve"> </w:t>
      </w:r>
      <w:r w:rsidRPr="001D5134">
        <w:rPr>
          <w:rFonts w:ascii="Abadi" w:hAnsi="Abadi"/>
          <w:b w:val="0"/>
          <w:bCs w:val="0"/>
          <w:sz w:val="21"/>
          <w:szCs w:val="21"/>
        </w:rPr>
        <w:t>Superior</w:t>
      </w:r>
      <w:r w:rsidRPr="001D5134">
        <w:rPr>
          <w:rFonts w:ascii="Abadi" w:hAnsi="Abadi"/>
          <w:b w:val="0"/>
          <w:bCs w:val="0"/>
          <w:spacing w:val="32"/>
          <w:sz w:val="21"/>
          <w:szCs w:val="21"/>
        </w:rPr>
        <w:t xml:space="preserve"> </w:t>
      </w:r>
      <w:r w:rsidRPr="001D5134">
        <w:rPr>
          <w:rFonts w:ascii="Abadi" w:hAnsi="Abadi"/>
          <w:b w:val="0"/>
          <w:bCs w:val="0"/>
          <w:sz w:val="21"/>
          <w:szCs w:val="21"/>
        </w:rPr>
        <w:t>del</w:t>
      </w:r>
      <w:r w:rsidRPr="001D5134">
        <w:rPr>
          <w:rFonts w:ascii="Abadi" w:hAnsi="Abadi"/>
          <w:b w:val="0"/>
          <w:bCs w:val="0"/>
          <w:spacing w:val="32"/>
          <w:sz w:val="21"/>
          <w:szCs w:val="21"/>
        </w:rPr>
        <w:t xml:space="preserve"> </w:t>
      </w:r>
      <w:r w:rsidRPr="001D5134">
        <w:rPr>
          <w:rFonts w:ascii="Abadi" w:hAnsi="Abadi"/>
          <w:b w:val="0"/>
          <w:bCs w:val="0"/>
          <w:sz w:val="21"/>
          <w:szCs w:val="21"/>
        </w:rPr>
        <w:t>Estado</w:t>
      </w:r>
      <w:r w:rsidRPr="001D5134">
        <w:rPr>
          <w:rFonts w:ascii="Abadi" w:hAnsi="Abadi"/>
          <w:b w:val="0"/>
          <w:bCs w:val="0"/>
          <w:spacing w:val="32"/>
          <w:sz w:val="21"/>
          <w:szCs w:val="21"/>
        </w:rPr>
        <w:t xml:space="preserve"> </w:t>
      </w:r>
      <w:r w:rsidRPr="001D5134">
        <w:rPr>
          <w:rFonts w:ascii="Abadi" w:hAnsi="Abadi"/>
          <w:b w:val="0"/>
          <w:bCs w:val="0"/>
          <w:sz w:val="21"/>
          <w:szCs w:val="21"/>
        </w:rPr>
        <w:t>de</w:t>
      </w:r>
      <w:r w:rsidRPr="001D5134">
        <w:rPr>
          <w:rFonts w:ascii="Abadi" w:hAnsi="Abadi"/>
          <w:b w:val="0"/>
          <w:bCs w:val="0"/>
          <w:spacing w:val="32"/>
          <w:sz w:val="21"/>
          <w:szCs w:val="21"/>
        </w:rPr>
        <w:t xml:space="preserve"> </w:t>
      </w:r>
      <w:r w:rsidRPr="001D5134">
        <w:rPr>
          <w:rFonts w:ascii="Abadi" w:hAnsi="Abadi"/>
          <w:b w:val="0"/>
          <w:bCs w:val="0"/>
          <w:sz w:val="21"/>
          <w:szCs w:val="21"/>
        </w:rPr>
        <w:t>Guanajuato,</w:t>
      </w:r>
      <w:r w:rsidRPr="001D5134">
        <w:rPr>
          <w:rFonts w:ascii="Abadi" w:hAnsi="Abadi"/>
          <w:b w:val="0"/>
          <w:bCs w:val="0"/>
          <w:spacing w:val="32"/>
          <w:sz w:val="21"/>
          <w:szCs w:val="21"/>
        </w:rPr>
        <w:t xml:space="preserve"> </w:t>
      </w:r>
      <w:r w:rsidRPr="001D5134">
        <w:rPr>
          <w:rFonts w:ascii="Abadi" w:hAnsi="Abadi"/>
          <w:b w:val="0"/>
          <w:bCs w:val="0"/>
          <w:sz w:val="21"/>
          <w:szCs w:val="21"/>
        </w:rPr>
        <w:t>para</w:t>
      </w:r>
      <w:r w:rsidRPr="001D5134">
        <w:rPr>
          <w:rFonts w:ascii="Abadi" w:hAnsi="Abadi"/>
          <w:b w:val="0"/>
          <w:bCs w:val="0"/>
          <w:spacing w:val="33"/>
          <w:sz w:val="21"/>
          <w:szCs w:val="21"/>
        </w:rPr>
        <w:t xml:space="preserve"> </w:t>
      </w:r>
      <w:r w:rsidRPr="001D5134">
        <w:rPr>
          <w:rFonts w:ascii="Abadi" w:hAnsi="Abadi"/>
          <w:b w:val="0"/>
          <w:bCs w:val="0"/>
          <w:sz w:val="21"/>
          <w:szCs w:val="21"/>
        </w:rPr>
        <w:t>que</w:t>
      </w:r>
      <w:r w:rsidRPr="001D5134">
        <w:rPr>
          <w:rFonts w:ascii="Abadi" w:hAnsi="Abadi"/>
          <w:b w:val="0"/>
          <w:bCs w:val="0"/>
          <w:spacing w:val="33"/>
          <w:sz w:val="21"/>
          <w:szCs w:val="21"/>
        </w:rPr>
        <w:t xml:space="preserve"> </w:t>
      </w:r>
      <w:r w:rsidRPr="001D5134">
        <w:rPr>
          <w:rFonts w:ascii="Abadi" w:hAnsi="Abadi"/>
          <w:b w:val="0"/>
          <w:bCs w:val="0"/>
          <w:sz w:val="21"/>
          <w:szCs w:val="21"/>
        </w:rPr>
        <w:t>lleve</w:t>
      </w:r>
      <w:r w:rsidRPr="001D5134">
        <w:rPr>
          <w:rFonts w:ascii="Abadi" w:hAnsi="Abadi"/>
          <w:b w:val="0"/>
          <w:bCs w:val="0"/>
          <w:spacing w:val="32"/>
          <w:sz w:val="21"/>
          <w:szCs w:val="21"/>
        </w:rPr>
        <w:t xml:space="preserve"> </w:t>
      </w:r>
      <w:r w:rsidRPr="001D5134">
        <w:rPr>
          <w:rFonts w:ascii="Abadi" w:hAnsi="Abadi"/>
          <w:b w:val="0"/>
          <w:bCs w:val="0"/>
          <w:sz w:val="21"/>
          <w:szCs w:val="21"/>
        </w:rPr>
        <w:t>a</w:t>
      </w:r>
      <w:r w:rsidRPr="001D5134">
        <w:rPr>
          <w:rFonts w:ascii="Abadi" w:hAnsi="Abadi"/>
          <w:b w:val="0"/>
          <w:bCs w:val="0"/>
          <w:spacing w:val="32"/>
          <w:sz w:val="21"/>
          <w:szCs w:val="21"/>
        </w:rPr>
        <w:t xml:space="preserve"> </w:t>
      </w:r>
      <w:r w:rsidRPr="001D5134">
        <w:rPr>
          <w:rFonts w:ascii="Abadi" w:hAnsi="Abadi"/>
          <w:b w:val="0"/>
          <w:bCs w:val="0"/>
          <w:sz w:val="21"/>
          <w:szCs w:val="21"/>
        </w:rPr>
        <w:t>cabo</w:t>
      </w:r>
      <w:r w:rsidRPr="001D5134">
        <w:rPr>
          <w:rFonts w:ascii="Abadi" w:hAnsi="Abadi"/>
          <w:b w:val="0"/>
          <w:bCs w:val="0"/>
          <w:spacing w:val="32"/>
          <w:sz w:val="21"/>
          <w:szCs w:val="21"/>
        </w:rPr>
        <w:t xml:space="preserve"> </w:t>
      </w:r>
      <w:r w:rsidRPr="001D5134">
        <w:rPr>
          <w:rFonts w:ascii="Abadi" w:hAnsi="Abadi"/>
          <w:b w:val="0"/>
          <w:bCs w:val="0"/>
          <w:sz w:val="21"/>
          <w:szCs w:val="21"/>
        </w:rPr>
        <w:t>una</w:t>
      </w:r>
      <w:r w:rsidRPr="001D5134">
        <w:rPr>
          <w:rFonts w:ascii="Abadi" w:hAnsi="Abadi"/>
          <w:b w:val="0"/>
          <w:bCs w:val="0"/>
          <w:spacing w:val="-2"/>
          <w:sz w:val="21"/>
          <w:szCs w:val="21"/>
        </w:rPr>
        <w:t xml:space="preserve"> </w:t>
      </w:r>
      <w:r w:rsidRPr="001D5134">
        <w:rPr>
          <w:rFonts w:ascii="Abadi" w:hAnsi="Abadi"/>
          <w:b w:val="0"/>
          <w:bCs w:val="0"/>
          <w:sz w:val="21"/>
          <w:szCs w:val="21"/>
        </w:rPr>
        <w:t>auditoría</w:t>
      </w:r>
      <w:r w:rsidRPr="001D5134">
        <w:rPr>
          <w:rFonts w:ascii="Abadi" w:hAnsi="Abadi"/>
          <w:b w:val="0"/>
          <w:bCs w:val="0"/>
          <w:spacing w:val="36"/>
          <w:sz w:val="21"/>
          <w:szCs w:val="21"/>
        </w:rPr>
        <w:t xml:space="preserve"> </w:t>
      </w:r>
      <w:r w:rsidRPr="001D5134">
        <w:rPr>
          <w:rFonts w:ascii="Abadi" w:hAnsi="Abadi"/>
          <w:b w:val="0"/>
          <w:bCs w:val="0"/>
          <w:sz w:val="21"/>
          <w:szCs w:val="21"/>
        </w:rPr>
        <w:t>financiera</w:t>
      </w:r>
      <w:r w:rsidRPr="001D5134">
        <w:rPr>
          <w:rFonts w:ascii="Abadi" w:hAnsi="Abadi"/>
          <w:b w:val="0"/>
          <w:bCs w:val="0"/>
          <w:spacing w:val="36"/>
          <w:sz w:val="21"/>
          <w:szCs w:val="21"/>
        </w:rPr>
        <w:t xml:space="preserve"> </w:t>
      </w:r>
      <w:r w:rsidRPr="001D5134">
        <w:rPr>
          <w:rFonts w:ascii="Abadi" w:hAnsi="Abadi"/>
          <w:b w:val="0"/>
          <w:bCs w:val="0"/>
          <w:sz w:val="21"/>
          <w:szCs w:val="21"/>
        </w:rPr>
        <w:t>integral</w:t>
      </w:r>
      <w:r w:rsidRPr="001D5134">
        <w:rPr>
          <w:rFonts w:ascii="Abadi" w:hAnsi="Abadi"/>
          <w:b w:val="0"/>
          <w:bCs w:val="0"/>
          <w:spacing w:val="35"/>
          <w:sz w:val="21"/>
          <w:szCs w:val="21"/>
        </w:rPr>
        <w:t xml:space="preserve"> </w:t>
      </w:r>
      <w:r w:rsidRPr="001D5134">
        <w:rPr>
          <w:rFonts w:ascii="Abadi" w:hAnsi="Abadi"/>
          <w:b w:val="0"/>
          <w:bCs w:val="0"/>
          <w:sz w:val="21"/>
          <w:szCs w:val="21"/>
        </w:rPr>
        <w:t>al</w:t>
      </w:r>
      <w:r w:rsidRPr="001D5134">
        <w:rPr>
          <w:rFonts w:ascii="Abadi" w:hAnsi="Abadi"/>
          <w:b w:val="0"/>
          <w:bCs w:val="0"/>
          <w:spacing w:val="35"/>
          <w:sz w:val="21"/>
          <w:szCs w:val="21"/>
        </w:rPr>
        <w:t xml:space="preserve"> </w:t>
      </w:r>
      <w:r w:rsidRPr="001D5134">
        <w:rPr>
          <w:rFonts w:ascii="Abadi" w:hAnsi="Abadi"/>
          <w:b w:val="0"/>
          <w:bCs w:val="0"/>
          <w:sz w:val="21"/>
          <w:szCs w:val="21"/>
        </w:rPr>
        <w:t>municipio</w:t>
      </w:r>
      <w:r w:rsidRPr="001D5134">
        <w:rPr>
          <w:rFonts w:ascii="Abadi" w:hAnsi="Abadi"/>
          <w:b w:val="0"/>
          <w:bCs w:val="0"/>
          <w:spacing w:val="36"/>
          <w:sz w:val="21"/>
          <w:szCs w:val="21"/>
        </w:rPr>
        <w:t xml:space="preserve"> </w:t>
      </w:r>
      <w:r w:rsidRPr="001D5134">
        <w:rPr>
          <w:rFonts w:ascii="Abadi" w:hAnsi="Abadi"/>
          <w:b w:val="0"/>
          <w:bCs w:val="0"/>
          <w:sz w:val="21"/>
          <w:szCs w:val="21"/>
        </w:rPr>
        <w:t>de</w:t>
      </w:r>
      <w:r w:rsidRPr="001D5134">
        <w:rPr>
          <w:rFonts w:ascii="Abadi" w:hAnsi="Abadi"/>
          <w:b w:val="0"/>
          <w:bCs w:val="0"/>
          <w:spacing w:val="36"/>
          <w:sz w:val="21"/>
          <w:szCs w:val="21"/>
        </w:rPr>
        <w:t xml:space="preserve"> </w:t>
      </w:r>
      <w:r w:rsidRPr="001D5134">
        <w:rPr>
          <w:rFonts w:ascii="Abadi" w:hAnsi="Abadi"/>
          <w:b w:val="0"/>
          <w:bCs w:val="0"/>
          <w:sz w:val="21"/>
          <w:szCs w:val="21"/>
        </w:rPr>
        <w:t>Silao,</w:t>
      </w:r>
      <w:r w:rsidRPr="001D5134">
        <w:rPr>
          <w:rFonts w:ascii="Abadi" w:hAnsi="Abadi"/>
          <w:b w:val="0"/>
          <w:bCs w:val="0"/>
          <w:spacing w:val="36"/>
          <w:sz w:val="21"/>
          <w:szCs w:val="21"/>
        </w:rPr>
        <w:t xml:space="preserve"> </w:t>
      </w:r>
      <w:r w:rsidRPr="001D5134">
        <w:rPr>
          <w:rFonts w:ascii="Abadi" w:hAnsi="Abadi"/>
          <w:b w:val="0"/>
          <w:bCs w:val="0"/>
          <w:sz w:val="21"/>
          <w:szCs w:val="21"/>
        </w:rPr>
        <w:t>Gto.,</w:t>
      </w:r>
      <w:r w:rsidRPr="001D5134">
        <w:rPr>
          <w:rFonts w:ascii="Abadi" w:hAnsi="Abadi"/>
          <w:b w:val="0"/>
          <w:bCs w:val="0"/>
          <w:spacing w:val="36"/>
          <w:sz w:val="21"/>
          <w:szCs w:val="21"/>
        </w:rPr>
        <w:t xml:space="preserve"> </w:t>
      </w:r>
      <w:r w:rsidRPr="001D5134">
        <w:rPr>
          <w:rFonts w:ascii="Abadi" w:hAnsi="Abadi"/>
          <w:b w:val="0"/>
          <w:bCs w:val="0"/>
          <w:sz w:val="21"/>
          <w:szCs w:val="21"/>
        </w:rPr>
        <w:t>por</w:t>
      </w:r>
      <w:r w:rsidRPr="001D5134">
        <w:rPr>
          <w:rFonts w:ascii="Abadi" w:hAnsi="Abadi"/>
          <w:b w:val="0"/>
          <w:bCs w:val="0"/>
          <w:spacing w:val="36"/>
          <w:sz w:val="21"/>
          <w:szCs w:val="21"/>
        </w:rPr>
        <w:t xml:space="preserve"> </w:t>
      </w:r>
      <w:r w:rsidRPr="001D5134">
        <w:rPr>
          <w:rFonts w:ascii="Abadi" w:hAnsi="Abadi"/>
          <w:b w:val="0"/>
          <w:bCs w:val="0"/>
          <w:sz w:val="21"/>
          <w:szCs w:val="21"/>
        </w:rPr>
        <w:t>los</w:t>
      </w:r>
      <w:r w:rsidRPr="001D5134">
        <w:rPr>
          <w:rFonts w:ascii="Abadi" w:hAnsi="Abadi"/>
          <w:b w:val="0"/>
          <w:bCs w:val="0"/>
          <w:spacing w:val="36"/>
          <w:sz w:val="21"/>
          <w:szCs w:val="21"/>
        </w:rPr>
        <w:t xml:space="preserve"> </w:t>
      </w:r>
      <w:r w:rsidRPr="001D5134">
        <w:rPr>
          <w:rFonts w:ascii="Abadi" w:hAnsi="Abadi"/>
          <w:b w:val="0"/>
          <w:bCs w:val="0"/>
          <w:sz w:val="21"/>
          <w:szCs w:val="21"/>
        </w:rPr>
        <w:t>ejercicios</w:t>
      </w:r>
      <w:r w:rsidRPr="001D5134">
        <w:rPr>
          <w:rFonts w:ascii="Abadi" w:hAnsi="Abadi"/>
          <w:b w:val="0"/>
          <w:bCs w:val="0"/>
          <w:spacing w:val="-2"/>
          <w:sz w:val="21"/>
          <w:szCs w:val="21"/>
        </w:rPr>
        <w:t xml:space="preserve"> </w:t>
      </w:r>
      <w:r w:rsidRPr="001D5134">
        <w:rPr>
          <w:rFonts w:ascii="Abadi" w:hAnsi="Abadi"/>
          <w:b w:val="0"/>
          <w:bCs w:val="0"/>
          <w:sz w:val="21"/>
          <w:szCs w:val="21"/>
        </w:rPr>
        <w:t>fiscales</w:t>
      </w:r>
      <w:r w:rsidRPr="001D5134">
        <w:rPr>
          <w:rFonts w:ascii="Abadi" w:hAnsi="Abadi"/>
          <w:b w:val="0"/>
          <w:bCs w:val="0"/>
          <w:spacing w:val="27"/>
          <w:sz w:val="21"/>
          <w:szCs w:val="21"/>
        </w:rPr>
        <w:t xml:space="preserve"> </w:t>
      </w:r>
      <w:r w:rsidRPr="001D5134">
        <w:rPr>
          <w:rFonts w:ascii="Abadi" w:hAnsi="Abadi"/>
          <w:b w:val="0"/>
          <w:bCs w:val="0"/>
          <w:sz w:val="21"/>
          <w:szCs w:val="21"/>
        </w:rPr>
        <w:t>de</w:t>
      </w:r>
      <w:r w:rsidRPr="001D5134">
        <w:rPr>
          <w:rFonts w:ascii="Abadi" w:hAnsi="Abadi"/>
          <w:b w:val="0"/>
          <w:bCs w:val="0"/>
          <w:spacing w:val="27"/>
          <w:sz w:val="21"/>
          <w:szCs w:val="21"/>
        </w:rPr>
        <w:t xml:space="preserve"> </w:t>
      </w:r>
      <w:r w:rsidRPr="001D5134">
        <w:rPr>
          <w:rFonts w:ascii="Abadi" w:hAnsi="Abadi"/>
          <w:b w:val="0"/>
          <w:bCs w:val="0"/>
          <w:sz w:val="21"/>
          <w:szCs w:val="21"/>
        </w:rPr>
        <w:t>2019,</w:t>
      </w:r>
      <w:r w:rsidRPr="001D5134">
        <w:rPr>
          <w:rFonts w:ascii="Abadi" w:hAnsi="Abadi"/>
          <w:b w:val="0"/>
          <w:bCs w:val="0"/>
          <w:spacing w:val="27"/>
          <w:sz w:val="21"/>
          <w:szCs w:val="21"/>
        </w:rPr>
        <w:t xml:space="preserve"> </w:t>
      </w:r>
      <w:r w:rsidRPr="001D5134">
        <w:rPr>
          <w:rFonts w:ascii="Abadi" w:hAnsi="Abadi"/>
          <w:b w:val="0"/>
          <w:bCs w:val="0"/>
          <w:sz w:val="21"/>
          <w:szCs w:val="21"/>
        </w:rPr>
        <w:t>2020</w:t>
      </w:r>
      <w:r w:rsidRPr="001D5134">
        <w:rPr>
          <w:rFonts w:ascii="Abadi" w:hAnsi="Abadi"/>
          <w:b w:val="0"/>
          <w:bCs w:val="0"/>
          <w:spacing w:val="27"/>
          <w:sz w:val="21"/>
          <w:szCs w:val="21"/>
        </w:rPr>
        <w:t xml:space="preserve"> </w:t>
      </w:r>
      <w:r w:rsidRPr="001D5134">
        <w:rPr>
          <w:rFonts w:ascii="Abadi" w:hAnsi="Abadi"/>
          <w:b w:val="0"/>
          <w:bCs w:val="0"/>
          <w:sz w:val="21"/>
          <w:szCs w:val="21"/>
        </w:rPr>
        <w:t>y</w:t>
      </w:r>
      <w:r w:rsidRPr="001D5134">
        <w:rPr>
          <w:rFonts w:ascii="Abadi" w:hAnsi="Abadi"/>
          <w:b w:val="0"/>
          <w:bCs w:val="0"/>
          <w:spacing w:val="27"/>
          <w:sz w:val="21"/>
          <w:szCs w:val="21"/>
        </w:rPr>
        <w:t xml:space="preserve"> </w:t>
      </w:r>
      <w:r w:rsidRPr="001D5134">
        <w:rPr>
          <w:rFonts w:ascii="Abadi" w:hAnsi="Abadi"/>
          <w:b w:val="0"/>
          <w:bCs w:val="0"/>
          <w:sz w:val="21"/>
          <w:szCs w:val="21"/>
        </w:rPr>
        <w:t>2021;</w:t>
      </w:r>
      <w:r w:rsidRPr="001D5134">
        <w:rPr>
          <w:rFonts w:ascii="Abadi" w:hAnsi="Abadi"/>
          <w:b w:val="0"/>
          <w:bCs w:val="0"/>
          <w:spacing w:val="27"/>
          <w:sz w:val="21"/>
          <w:szCs w:val="21"/>
        </w:rPr>
        <w:t xml:space="preserve"> </w:t>
      </w:r>
      <w:r w:rsidRPr="001D5134">
        <w:rPr>
          <w:rFonts w:ascii="Abadi" w:hAnsi="Abadi"/>
          <w:b w:val="0"/>
          <w:bCs w:val="0"/>
          <w:sz w:val="21"/>
          <w:szCs w:val="21"/>
        </w:rPr>
        <w:t>y</w:t>
      </w:r>
      <w:r w:rsidRPr="001D5134">
        <w:rPr>
          <w:rFonts w:ascii="Abadi" w:hAnsi="Abadi"/>
          <w:b w:val="0"/>
          <w:bCs w:val="0"/>
          <w:spacing w:val="27"/>
          <w:sz w:val="21"/>
          <w:szCs w:val="21"/>
        </w:rPr>
        <w:t xml:space="preserve"> </w:t>
      </w:r>
      <w:r w:rsidRPr="001D5134">
        <w:rPr>
          <w:rFonts w:ascii="Abadi" w:hAnsi="Abadi"/>
          <w:b w:val="0"/>
          <w:bCs w:val="0"/>
          <w:sz w:val="21"/>
          <w:szCs w:val="21"/>
        </w:rPr>
        <w:t>realice</w:t>
      </w:r>
      <w:r w:rsidRPr="001D5134">
        <w:rPr>
          <w:rFonts w:ascii="Abadi" w:hAnsi="Abadi"/>
          <w:b w:val="0"/>
          <w:bCs w:val="0"/>
          <w:spacing w:val="27"/>
          <w:sz w:val="21"/>
          <w:szCs w:val="21"/>
        </w:rPr>
        <w:t xml:space="preserve"> </w:t>
      </w:r>
      <w:r w:rsidRPr="001D5134">
        <w:rPr>
          <w:rFonts w:ascii="Abadi" w:hAnsi="Abadi"/>
          <w:b w:val="0"/>
          <w:bCs w:val="0"/>
          <w:sz w:val="21"/>
          <w:szCs w:val="21"/>
        </w:rPr>
        <w:t>las</w:t>
      </w:r>
      <w:r w:rsidRPr="001D5134">
        <w:rPr>
          <w:rFonts w:ascii="Abadi" w:hAnsi="Abadi"/>
          <w:b w:val="0"/>
          <w:bCs w:val="0"/>
          <w:spacing w:val="27"/>
          <w:sz w:val="21"/>
          <w:szCs w:val="21"/>
        </w:rPr>
        <w:t xml:space="preserve"> </w:t>
      </w:r>
      <w:r w:rsidRPr="001D5134">
        <w:rPr>
          <w:rFonts w:ascii="Abadi" w:hAnsi="Abadi"/>
          <w:b w:val="0"/>
          <w:bCs w:val="0"/>
          <w:sz w:val="21"/>
          <w:szCs w:val="21"/>
        </w:rPr>
        <w:t>investigaciones</w:t>
      </w:r>
      <w:r w:rsidRPr="001D5134">
        <w:rPr>
          <w:rFonts w:ascii="Abadi" w:hAnsi="Abadi"/>
          <w:b w:val="0"/>
          <w:bCs w:val="0"/>
          <w:spacing w:val="27"/>
          <w:sz w:val="21"/>
          <w:szCs w:val="21"/>
        </w:rPr>
        <w:t xml:space="preserve"> </w:t>
      </w:r>
      <w:r w:rsidRPr="001D5134">
        <w:rPr>
          <w:rFonts w:ascii="Abadi" w:hAnsi="Abadi"/>
          <w:b w:val="0"/>
          <w:bCs w:val="0"/>
          <w:sz w:val="21"/>
          <w:szCs w:val="21"/>
        </w:rPr>
        <w:t>necesarias</w:t>
      </w:r>
      <w:r w:rsidRPr="001D5134">
        <w:rPr>
          <w:rFonts w:ascii="Abadi" w:hAnsi="Abadi"/>
          <w:b w:val="0"/>
          <w:bCs w:val="0"/>
          <w:spacing w:val="27"/>
          <w:sz w:val="21"/>
          <w:szCs w:val="21"/>
        </w:rPr>
        <w:t xml:space="preserve"> </w:t>
      </w:r>
      <w:r w:rsidRPr="001D5134">
        <w:rPr>
          <w:rFonts w:ascii="Abadi" w:hAnsi="Abadi"/>
          <w:b w:val="0"/>
          <w:bCs w:val="0"/>
          <w:sz w:val="21"/>
          <w:szCs w:val="21"/>
        </w:rPr>
        <w:t>e</w:t>
      </w:r>
      <w:r w:rsidRPr="001D5134">
        <w:rPr>
          <w:rFonts w:ascii="Abadi" w:hAnsi="Abadi"/>
          <w:b w:val="0"/>
          <w:bCs w:val="0"/>
          <w:spacing w:val="-2"/>
          <w:sz w:val="21"/>
          <w:szCs w:val="21"/>
        </w:rPr>
        <w:t xml:space="preserve"> </w:t>
      </w:r>
      <w:r w:rsidRPr="001D5134">
        <w:rPr>
          <w:rFonts w:ascii="Abadi" w:hAnsi="Abadi"/>
          <w:b w:val="0"/>
          <w:bCs w:val="0"/>
          <w:sz w:val="21"/>
          <w:szCs w:val="21"/>
        </w:rPr>
        <w:t>informe</w:t>
      </w:r>
      <w:r w:rsidRPr="001D5134">
        <w:rPr>
          <w:rFonts w:ascii="Abadi" w:hAnsi="Abadi"/>
          <w:b w:val="0"/>
          <w:bCs w:val="0"/>
          <w:spacing w:val="53"/>
          <w:w w:val="150"/>
          <w:sz w:val="21"/>
          <w:szCs w:val="21"/>
        </w:rPr>
        <w:t xml:space="preserve"> </w:t>
      </w:r>
      <w:r w:rsidRPr="001D5134">
        <w:rPr>
          <w:rFonts w:ascii="Abadi" w:hAnsi="Abadi"/>
          <w:b w:val="0"/>
          <w:bCs w:val="0"/>
          <w:sz w:val="21"/>
          <w:szCs w:val="21"/>
        </w:rPr>
        <w:t>a</w:t>
      </w:r>
      <w:r w:rsidRPr="001D5134">
        <w:rPr>
          <w:rFonts w:ascii="Abadi" w:hAnsi="Abadi"/>
          <w:b w:val="0"/>
          <w:bCs w:val="0"/>
          <w:spacing w:val="53"/>
          <w:w w:val="150"/>
          <w:sz w:val="21"/>
          <w:szCs w:val="21"/>
        </w:rPr>
        <w:t xml:space="preserve"> </w:t>
      </w:r>
      <w:r w:rsidRPr="001D5134">
        <w:rPr>
          <w:rFonts w:ascii="Abadi" w:hAnsi="Abadi"/>
          <w:b w:val="0"/>
          <w:bCs w:val="0"/>
          <w:sz w:val="21"/>
          <w:szCs w:val="21"/>
        </w:rPr>
        <w:t>la</w:t>
      </w:r>
      <w:r w:rsidRPr="001D5134">
        <w:rPr>
          <w:rFonts w:ascii="Abadi" w:hAnsi="Abadi"/>
          <w:b w:val="0"/>
          <w:bCs w:val="0"/>
          <w:spacing w:val="53"/>
          <w:w w:val="150"/>
          <w:sz w:val="21"/>
          <w:szCs w:val="21"/>
        </w:rPr>
        <w:t xml:space="preserve"> </w:t>
      </w:r>
      <w:r w:rsidRPr="001D5134">
        <w:rPr>
          <w:rFonts w:ascii="Abadi" w:hAnsi="Abadi"/>
          <w:b w:val="0"/>
          <w:bCs w:val="0"/>
          <w:sz w:val="21"/>
          <w:szCs w:val="21"/>
        </w:rPr>
        <w:t>brevedad</w:t>
      </w:r>
      <w:r w:rsidRPr="001D5134">
        <w:rPr>
          <w:rFonts w:ascii="Abadi" w:hAnsi="Abadi"/>
          <w:b w:val="0"/>
          <w:bCs w:val="0"/>
          <w:spacing w:val="53"/>
          <w:w w:val="150"/>
          <w:sz w:val="21"/>
          <w:szCs w:val="21"/>
        </w:rPr>
        <w:t xml:space="preserve"> </w:t>
      </w:r>
      <w:r w:rsidRPr="001D5134">
        <w:rPr>
          <w:rFonts w:ascii="Abadi" w:hAnsi="Abadi"/>
          <w:b w:val="0"/>
          <w:bCs w:val="0"/>
          <w:sz w:val="21"/>
          <w:szCs w:val="21"/>
        </w:rPr>
        <w:t>al</w:t>
      </w:r>
      <w:r w:rsidRPr="001D5134">
        <w:rPr>
          <w:rFonts w:ascii="Abadi" w:hAnsi="Abadi"/>
          <w:b w:val="0"/>
          <w:bCs w:val="0"/>
          <w:spacing w:val="53"/>
          <w:w w:val="150"/>
          <w:sz w:val="21"/>
          <w:szCs w:val="21"/>
        </w:rPr>
        <w:t xml:space="preserve"> </w:t>
      </w:r>
      <w:r w:rsidRPr="001D5134">
        <w:rPr>
          <w:rFonts w:ascii="Abadi" w:hAnsi="Abadi"/>
          <w:b w:val="0"/>
          <w:bCs w:val="0"/>
          <w:sz w:val="21"/>
          <w:szCs w:val="21"/>
        </w:rPr>
        <w:t>Congreso</w:t>
      </w:r>
      <w:r w:rsidRPr="001D5134">
        <w:rPr>
          <w:rFonts w:ascii="Abadi" w:hAnsi="Abadi"/>
          <w:b w:val="0"/>
          <w:bCs w:val="0"/>
          <w:spacing w:val="53"/>
          <w:w w:val="150"/>
          <w:sz w:val="21"/>
          <w:szCs w:val="21"/>
        </w:rPr>
        <w:t xml:space="preserve"> </w:t>
      </w:r>
      <w:r w:rsidRPr="001D5134">
        <w:rPr>
          <w:rFonts w:ascii="Abadi" w:hAnsi="Abadi"/>
          <w:b w:val="0"/>
          <w:bCs w:val="0"/>
          <w:sz w:val="21"/>
          <w:szCs w:val="21"/>
        </w:rPr>
        <w:t>del</w:t>
      </w:r>
      <w:r w:rsidRPr="001D5134">
        <w:rPr>
          <w:rFonts w:ascii="Abadi" w:hAnsi="Abadi"/>
          <w:b w:val="0"/>
          <w:bCs w:val="0"/>
          <w:spacing w:val="53"/>
          <w:w w:val="150"/>
          <w:sz w:val="21"/>
          <w:szCs w:val="21"/>
        </w:rPr>
        <w:t xml:space="preserve"> </w:t>
      </w:r>
      <w:r w:rsidRPr="001D5134">
        <w:rPr>
          <w:rFonts w:ascii="Abadi" w:hAnsi="Abadi"/>
          <w:b w:val="0"/>
          <w:bCs w:val="0"/>
          <w:sz w:val="21"/>
          <w:szCs w:val="21"/>
        </w:rPr>
        <w:t>Estado</w:t>
      </w:r>
      <w:r w:rsidRPr="001D5134">
        <w:rPr>
          <w:rFonts w:ascii="Abadi" w:hAnsi="Abadi"/>
          <w:b w:val="0"/>
          <w:bCs w:val="0"/>
          <w:spacing w:val="53"/>
          <w:w w:val="150"/>
          <w:sz w:val="21"/>
          <w:szCs w:val="21"/>
        </w:rPr>
        <w:t xml:space="preserve"> </w:t>
      </w:r>
      <w:r w:rsidRPr="001D5134">
        <w:rPr>
          <w:rFonts w:ascii="Abadi" w:hAnsi="Abadi"/>
          <w:b w:val="0"/>
          <w:bCs w:val="0"/>
          <w:sz w:val="21"/>
          <w:szCs w:val="21"/>
        </w:rPr>
        <w:t>de</w:t>
      </w:r>
      <w:r w:rsidRPr="001D5134">
        <w:rPr>
          <w:rFonts w:ascii="Abadi" w:hAnsi="Abadi"/>
          <w:b w:val="0"/>
          <w:bCs w:val="0"/>
          <w:spacing w:val="53"/>
          <w:w w:val="150"/>
          <w:sz w:val="21"/>
          <w:szCs w:val="21"/>
        </w:rPr>
        <w:t xml:space="preserve"> </w:t>
      </w:r>
      <w:r w:rsidRPr="001D5134">
        <w:rPr>
          <w:rFonts w:ascii="Abadi" w:hAnsi="Abadi"/>
          <w:b w:val="0"/>
          <w:bCs w:val="0"/>
          <w:sz w:val="21"/>
          <w:szCs w:val="21"/>
        </w:rPr>
        <w:t>Guanajuato,</w:t>
      </w:r>
      <w:r w:rsidRPr="001D5134">
        <w:rPr>
          <w:rFonts w:ascii="Abadi" w:hAnsi="Abadi"/>
          <w:b w:val="0"/>
          <w:bCs w:val="0"/>
          <w:spacing w:val="53"/>
          <w:w w:val="150"/>
          <w:sz w:val="21"/>
          <w:szCs w:val="21"/>
        </w:rPr>
        <w:t xml:space="preserve"> </w:t>
      </w:r>
      <w:r w:rsidRPr="001D5134">
        <w:rPr>
          <w:rFonts w:ascii="Abadi" w:hAnsi="Abadi"/>
          <w:b w:val="0"/>
          <w:bCs w:val="0"/>
          <w:sz w:val="21"/>
          <w:szCs w:val="21"/>
        </w:rPr>
        <w:t>si</w:t>
      </w:r>
      <w:r w:rsidRPr="001D5134">
        <w:rPr>
          <w:rFonts w:ascii="Abadi" w:hAnsi="Abadi"/>
          <w:b w:val="0"/>
          <w:bCs w:val="0"/>
          <w:spacing w:val="53"/>
          <w:w w:val="150"/>
          <w:sz w:val="21"/>
          <w:szCs w:val="21"/>
        </w:rPr>
        <w:t xml:space="preserve"> </w:t>
      </w:r>
      <w:r w:rsidRPr="001D5134">
        <w:rPr>
          <w:rFonts w:ascii="Abadi" w:hAnsi="Abadi"/>
          <w:b w:val="0"/>
          <w:bCs w:val="0"/>
          <w:sz w:val="21"/>
          <w:szCs w:val="21"/>
        </w:rPr>
        <w:t>la</w:t>
      </w:r>
      <w:r w:rsidRPr="001D5134">
        <w:rPr>
          <w:rFonts w:ascii="Abadi" w:hAnsi="Abadi"/>
          <w:b w:val="0"/>
          <w:bCs w:val="0"/>
          <w:spacing w:val="-2"/>
          <w:sz w:val="21"/>
          <w:szCs w:val="21"/>
        </w:rPr>
        <w:t xml:space="preserve"> </w:t>
      </w:r>
      <w:r w:rsidRPr="001D5134">
        <w:rPr>
          <w:rFonts w:ascii="Abadi" w:hAnsi="Abadi"/>
          <w:b w:val="0"/>
          <w:bCs w:val="0"/>
          <w:sz w:val="21"/>
          <w:szCs w:val="21"/>
        </w:rPr>
        <w:t>Contraloría</w:t>
      </w:r>
      <w:r w:rsidRPr="001D5134">
        <w:rPr>
          <w:rFonts w:ascii="Abadi" w:hAnsi="Abadi"/>
          <w:b w:val="0"/>
          <w:bCs w:val="0"/>
          <w:spacing w:val="48"/>
          <w:w w:val="150"/>
          <w:sz w:val="21"/>
          <w:szCs w:val="21"/>
        </w:rPr>
        <w:t xml:space="preserve"> </w:t>
      </w:r>
      <w:r w:rsidRPr="001D5134">
        <w:rPr>
          <w:rFonts w:ascii="Abadi" w:hAnsi="Abadi"/>
          <w:b w:val="0"/>
          <w:bCs w:val="0"/>
          <w:sz w:val="21"/>
          <w:szCs w:val="21"/>
        </w:rPr>
        <w:t>del</w:t>
      </w:r>
      <w:r w:rsidRPr="001D5134">
        <w:rPr>
          <w:rFonts w:ascii="Abadi" w:hAnsi="Abadi"/>
          <w:b w:val="0"/>
          <w:bCs w:val="0"/>
          <w:spacing w:val="48"/>
          <w:w w:val="150"/>
          <w:sz w:val="21"/>
          <w:szCs w:val="21"/>
        </w:rPr>
        <w:t xml:space="preserve"> </w:t>
      </w:r>
      <w:r w:rsidRPr="001D5134">
        <w:rPr>
          <w:rFonts w:ascii="Abadi" w:hAnsi="Abadi"/>
          <w:b w:val="0"/>
          <w:bCs w:val="0"/>
          <w:sz w:val="21"/>
          <w:szCs w:val="21"/>
        </w:rPr>
        <w:t>municipio</w:t>
      </w:r>
      <w:r w:rsidRPr="001D5134">
        <w:rPr>
          <w:rFonts w:ascii="Abadi" w:hAnsi="Abadi"/>
          <w:b w:val="0"/>
          <w:bCs w:val="0"/>
          <w:spacing w:val="48"/>
          <w:w w:val="150"/>
          <w:sz w:val="21"/>
          <w:szCs w:val="21"/>
        </w:rPr>
        <w:t xml:space="preserve"> </w:t>
      </w:r>
      <w:r w:rsidRPr="001D5134">
        <w:rPr>
          <w:rFonts w:ascii="Abadi" w:hAnsi="Abadi"/>
          <w:b w:val="0"/>
          <w:bCs w:val="0"/>
          <w:sz w:val="21"/>
          <w:szCs w:val="21"/>
        </w:rPr>
        <w:t>de</w:t>
      </w:r>
      <w:r w:rsidRPr="001D5134">
        <w:rPr>
          <w:rFonts w:ascii="Abadi" w:hAnsi="Abadi"/>
          <w:b w:val="0"/>
          <w:bCs w:val="0"/>
          <w:spacing w:val="48"/>
          <w:w w:val="150"/>
          <w:sz w:val="21"/>
          <w:szCs w:val="21"/>
        </w:rPr>
        <w:t xml:space="preserve"> </w:t>
      </w:r>
      <w:r w:rsidRPr="001D5134">
        <w:rPr>
          <w:rFonts w:ascii="Abadi" w:hAnsi="Abadi"/>
          <w:b w:val="0"/>
          <w:bCs w:val="0"/>
          <w:sz w:val="21"/>
          <w:szCs w:val="21"/>
        </w:rPr>
        <w:t>Silao</w:t>
      </w:r>
      <w:r w:rsidRPr="001D5134">
        <w:rPr>
          <w:rFonts w:ascii="Abadi" w:hAnsi="Abadi"/>
          <w:b w:val="0"/>
          <w:bCs w:val="0"/>
          <w:spacing w:val="48"/>
          <w:w w:val="150"/>
          <w:sz w:val="21"/>
          <w:szCs w:val="21"/>
        </w:rPr>
        <w:t xml:space="preserve"> </w:t>
      </w:r>
      <w:r w:rsidRPr="001D5134">
        <w:rPr>
          <w:rFonts w:ascii="Abadi" w:hAnsi="Abadi"/>
          <w:b w:val="0"/>
          <w:bCs w:val="0"/>
          <w:sz w:val="21"/>
          <w:szCs w:val="21"/>
        </w:rPr>
        <w:t>inició</w:t>
      </w:r>
      <w:r w:rsidRPr="001D5134">
        <w:rPr>
          <w:rFonts w:ascii="Abadi" w:hAnsi="Abadi"/>
          <w:b w:val="0"/>
          <w:bCs w:val="0"/>
          <w:spacing w:val="80"/>
          <w:sz w:val="21"/>
          <w:szCs w:val="21"/>
        </w:rPr>
        <w:t xml:space="preserve"> </w:t>
      </w:r>
      <w:r w:rsidRPr="001D5134">
        <w:rPr>
          <w:rFonts w:ascii="Abadi" w:hAnsi="Abadi"/>
          <w:b w:val="0"/>
          <w:bCs w:val="0"/>
          <w:sz w:val="21"/>
          <w:szCs w:val="21"/>
        </w:rPr>
        <w:t>proceso</w:t>
      </w:r>
      <w:r w:rsidRPr="001D5134">
        <w:rPr>
          <w:rFonts w:ascii="Abadi" w:hAnsi="Abadi"/>
          <w:b w:val="0"/>
          <w:bCs w:val="0"/>
          <w:spacing w:val="48"/>
          <w:w w:val="150"/>
          <w:sz w:val="21"/>
          <w:szCs w:val="21"/>
        </w:rPr>
        <w:t xml:space="preserve"> </w:t>
      </w:r>
      <w:r w:rsidRPr="001D5134">
        <w:rPr>
          <w:rFonts w:ascii="Abadi" w:hAnsi="Abadi"/>
          <w:b w:val="0"/>
          <w:bCs w:val="0"/>
          <w:sz w:val="21"/>
          <w:szCs w:val="21"/>
        </w:rPr>
        <w:t>alguno</w:t>
      </w:r>
      <w:r w:rsidRPr="001D5134">
        <w:rPr>
          <w:rFonts w:ascii="Abadi" w:hAnsi="Abadi"/>
          <w:b w:val="0"/>
          <w:bCs w:val="0"/>
          <w:spacing w:val="48"/>
          <w:w w:val="150"/>
          <w:sz w:val="21"/>
          <w:szCs w:val="21"/>
        </w:rPr>
        <w:t xml:space="preserve"> </w:t>
      </w:r>
      <w:r w:rsidRPr="001D5134">
        <w:rPr>
          <w:rFonts w:ascii="Abadi" w:hAnsi="Abadi"/>
          <w:b w:val="0"/>
          <w:bCs w:val="0"/>
          <w:sz w:val="21"/>
          <w:szCs w:val="21"/>
        </w:rPr>
        <w:t>contra</w:t>
      </w:r>
      <w:r w:rsidRPr="001D5134">
        <w:rPr>
          <w:rFonts w:ascii="Abadi" w:hAnsi="Abadi"/>
          <w:b w:val="0"/>
          <w:bCs w:val="0"/>
          <w:spacing w:val="48"/>
          <w:w w:val="150"/>
          <w:sz w:val="21"/>
          <w:szCs w:val="21"/>
        </w:rPr>
        <w:t xml:space="preserve"> </w:t>
      </w:r>
      <w:r w:rsidRPr="001D5134">
        <w:rPr>
          <w:rFonts w:ascii="Abadi" w:hAnsi="Abadi"/>
          <w:b w:val="0"/>
          <w:bCs w:val="0"/>
          <w:sz w:val="21"/>
          <w:szCs w:val="21"/>
        </w:rPr>
        <w:t>quien</w:t>
      </w:r>
      <w:r w:rsidRPr="001D5134">
        <w:rPr>
          <w:rFonts w:ascii="Abadi" w:hAnsi="Abadi"/>
          <w:b w:val="0"/>
          <w:bCs w:val="0"/>
          <w:spacing w:val="-2"/>
          <w:sz w:val="21"/>
          <w:szCs w:val="21"/>
        </w:rPr>
        <w:t xml:space="preserve"> </w:t>
      </w:r>
      <w:r w:rsidRPr="001D5134">
        <w:rPr>
          <w:rFonts w:ascii="Abadi" w:hAnsi="Abadi"/>
          <w:b w:val="0"/>
          <w:bCs w:val="0"/>
          <w:sz w:val="21"/>
          <w:szCs w:val="21"/>
        </w:rPr>
        <w:t>resultara</w:t>
      </w:r>
      <w:r w:rsidRPr="001D5134">
        <w:rPr>
          <w:rFonts w:ascii="Abadi" w:hAnsi="Abadi"/>
          <w:b w:val="0"/>
          <w:bCs w:val="0"/>
          <w:spacing w:val="25"/>
          <w:sz w:val="21"/>
          <w:szCs w:val="21"/>
        </w:rPr>
        <w:t xml:space="preserve">  </w:t>
      </w:r>
      <w:r w:rsidRPr="001D5134">
        <w:rPr>
          <w:rFonts w:ascii="Abadi" w:hAnsi="Abadi"/>
          <w:b w:val="0"/>
          <w:bCs w:val="0"/>
          <w:sz w:val="21"/>
          <w:szCs w:val="21"/>
        </w:rPr>
        <w:t>responsable</w:t>
      </w:r>
      <w:r w:rsidRPr="001D5134">
        <w:rPr>
          <w:rFonts w:ascii="Abadi" w:hAnsi="Abadi"/>
          <w:b w:val="0"/>
          <w:bCs w:val="0"/>
          <w:spacing w:val="24"/>
          <w:sz w:val="21"/>
          <w:szCs w:val="21"/>
        </w:rPr>
        <w:t xml:space="preserve">  </w:t>
      </w:r>
      <w:r w:rsidRPr="001D5134">
        <w:rPr>
          <w:rFonts w:ascii="Abadi" w:hAnsi="Abadi"/>
          <w:b w:val="0"/>
          <w:bCs w:val="0"/>
          <w:sz w:val="21"/>
          <w:szCs w:val="21"/>
        </w:rPr>
        <w:t>por</w:t>
      </w:r>
      <w:r w:rsidRPr="001D5134">
        <w:rPr>
          <w:rFonts w:ascii="Abadi" w:hAnsi="Abadi"/>
          <w:b w:val="0"/>
          <w:bCs w:val="0"/>
          <w:spacing w:val="24"/>
          <w:sz w:val="21"/>
          <w:szCs w:val="21"/>
        </w:rPr>
        <w:t xml:space="preserve">  </w:t>
      </w:r>
      <w:r w:rsidRPr="001D5134">
        <w:rPr>
          <w:rFonts w:ascii="Abadi" w:hAnsi="Abadi"/>
          <w:b w:val="0"/>
          <w:bCs w:val="0"/>
          <w:sz w:val="21"/>
          <w:szCs w:val="21"/>
        </w:rPr>
        <w:t>las</w:t>
      </w:r>
      <w:r w:rsidRPr="001D5134">
        <w:rPr>
          <w:rFonts w:ascii="Abadi" w:hAnsi="Abadi"/>
          <w:b w:val="0"/>
          <w:bCs w:val="0"/>
          <w:spacing w:val="25"/>
          <w:sz w:val="21"/>
          <w:szCs w:val="21"/>
        </w:rPr>
        <w:t xml:space="preserve">  </w:t>
      </w:r>
      <w:r w:rsidRPr="001D5134">
        <w:rPr>
          <w:rFonts w:ascii="Abadi" w:hAnsi="Abadi"/>
          <w:b w:val="0"/>
          <w:bCs w:val="0"/>
          <w:sz w:val="21"/>
          <w:szCs w:val="21"/>
        </w:rPr>
        <w:t>observaciones</w:t>
      </w:r>
      <w:r w:rsidRPr="001D5134">
        <w:rPr>
          <w:rFonts w:ascii="Abadi" w:hAnsi="Abadi"/>
          <w:b w:val="0"/>
          <w:bCs w:val="0"/>
          <w:spacing w:val="25"/>
          <w:sz w:val="21"/>
          <w:szCs w:val="21"/>
        </w:rPr>
        <w:t xml:space="preserve">  </w:t>
      </w:r>
      <w:r w:rsidRPr="001D5134">
        <w:rPr>
          <w:rFonts w:ascii="Abadi" w:hAnsi="Abadi"/>
          <w:b w:val="0"/>
          <w:bCs w:val="0"/>
          <w:sz w:val="21"/>
          <w:szCs w:val="21"/>
        </w:rPr>
        <w:lastRenderedPageBreak/>
        <w:t>no</w:t>
      </w:r>
      <w:r w:rsidRPr="001D5134">
        <w:rPr>
          <w:rFonts w:ascii="Abadi" w:hAnsi="Abadi"/>
          <w:b w:val="0"/>
          <w:bCs w:val="0"/>
          <w:spacing w:val="24"/>
          <w:sz w:val="21"/>
          <w:szCs w:val="21"/>
        </w:rPr>
        <w:t xml:space="preserve">  </w:t>
      </w:r>
      <w:r w:rsidRPr="001D5134">
        <w:rPr>
          <w:rFonts w:ascii="Abadi" w:hAnsi="Abadi"/>
          <w:b w:val="0"/>
          <w:bCs w:val="0"/>
          <w:sz w:val="21"/>
          <w:szCs w:val="21"/>
        </w:rPr>
        <w:t>solventadas</w:t>
      </w:r>
      <w:r w:rsidRPr="001D5134">
        <w:rPr>
          <w:rFonts w:ascii="Abadi" w:hAnsi="Abadi"/>
          <w:b w:val="0"/>
          <w:bCs w:val="0"/>
          <w:spacing w:val="24"/>
          <w:sz w:val="21"/>
          <w:szCs w:val="21"/>
        </w:rPr>
        <w:t xml:space="preserve">  </w:t>
      </w:r>
      <w:r w:rsidRPr="001D5134">
        <w:rPr>
          <w:rFonts w:ascii="Abadi" w:hAnsi="Abadi"/>
          <w:b w:val="0"/>
          <w:bCs w:val="0"/>
          <w:sz w:val="21"/>
          <w:szCs w:val="21"/>
        </w:rPr>
        <w:t>de</w:t>
      </w:r>
      <w:r w:rsidRPr="001D5134">
        <w:rPr>
          <w:rFonts w:ascii="Abadi" w:hAnsi="Abadi"/>
          <w:b w:val="0"/>
          <w:bCs w:val="0"/>
          <w:spacing w:val="24"/>
          <w:sz w:val="21"/>
          <w:szCs w:val="21"/>
        </w:rPr>
        <w:t xml:space="preserve">  </w:t>
      </w:r>
      <w:r w:rsidRPr="001D5134">
        <w:rPr>
          <w:rFonts w:ascii="Abadi" w:hAnsi="Abadi"/>
          <w:b w:val="0"/>
          <w:bCs w:val="0"/>
          <w:sz w:val="21"/>
          <w:szCs w:val="21"/>
        </w:rPr>
        <w:t>las</w:t>
      </w:r>
      <w:r w:rsidRPr="001D5134">
        <w:rPr>
          <w:rFonts w:ascii="Abadi" w:hAnsi="Abadi"/>
          <w:b w:val="0"/>
          <w:bCs w:val="0"/>
          <w:spacing w:val="-2"/>
          <w:sz w:val="21"/>
          <w:szCs w:val="21"/>
        </w:rPr>
        <w:t xml:space="preserve"> </w:t>
      </w:r>
      <w:r w:rsidRPr="001D5134">
        <w:rPr>
          <w:rFonts w:ascii="Abadi" w:hAnsi="Abadi"/>
          <w:b w:val="0"/>
          <w:bCs w:val="0"/>
          <w:sz w:val="21"/>
          <w:szCs w:val="21"/>
        </w:rPr>
        <w:t>auditorías</w:t>
      </w:r>
      <w:r w:rsidRPr="001D5134">
        <w:rPr>
          <w:rFonts w:ascii="Abadi" w:hAnsi="Abadi"/>
          <w:b w:val="0"/>
          <w:bCs w:val="0"/>
          <w:spacing w:val="-1"/>
          <w:sz w:val="21"/>
          <w:szCs w:val="21"/>
        </w:rPr>
        <w:t xml:space="preserve"> </w:t>
      </w:r>
      <w:r w:rsidRPr="001D5134">
        <w:rPr>
          <w:rFonts w:ascii="Abadi" w:hAnsi="Abadi"/>
          <w:b w:val="0"/>
          <w:bCs w:val="0"/>
          <w:sz w:val="21"/>
          <w:szCs w:val="21"/>
        </w:rPr>
        <w:t>practicadas</w:t>
      </w:r>
      <w:r w:rsidRPr="001D5134">
        <w:rPr>
          <w:rFonts w:ascii="Abadi" w:hAnsi="Abadi"/>
          <w:b w:val="0"/>
          <w:bCs w:val="0"/>
          <w:spacing w:val="-1"/>
          <w:sz w:val="21"/>
          <w:szCs w:val="21"/>
        </w:rPr>
        <w:t xml:space="preserve"> </w:t>
      </w:r>
      <w:r w:rsidRPr="001D5134">
        <w:rPr>
          <w:rFonts w:ascii="Abadi" w:hAnsi="Abadi"/>
          <w:b w:val="0"/>
          <w:bCs w:val="0"/>
          <w:sz w:val="21"/>
          <w:szCs w:val="21"/>
        </w:rPr>
        <w:t>a</w:t>
      </w:r>
      <w:r w:rsidRPr="001D5134">
        <w:rPr>
          <w:rFonts w:ascii="Abadi" w:hAnsi="Abadi"/>
          <w:b w:val="0"/>
          <w:bCs w:val="0"/>
          <w:spacing w:val="-1"/>
          <w:sz w:val="21"/>
          <w:szCs w:val="21"/>
        </w:rPr>
        <w:t xml:space="preserve"> </w:t>
      </w:r>
      <w:r w:rsidRPr="001D5134">
        <w:rPr>
          <w:rFonts w:ascii="Abadi" w:hAnsi="Abadi"/>
          <w:b w:val="0"/>
          <w:bCs w:val="0"/>
          <w:sz w:val="21"/>
          <w:szCs w:val="21"/>
        </w:rPr>
        <w:t>la</w:t>
      </w:r>
      <w:r w:rsidRPr="001D5134">
        <w:rPr>
          <w:rFonts w:ascii="Abadi" w:hAnsi="Abadi"/>
          <w:b w:val="0"/>
          <w:bCs w:val="0"/>
          <w:spacing w:val="-1"/>
          <w:sz w:val="21"/>
          <w:szCs w:val="21"/>
        </w:rPr>
        <w:t xml:space="preserve"> </w:t>
      </w:r>
      <w:r w:rsidRPr="001D5134">
        <w:rPr>
          <w:rFonts w:ascii="Abadi" w:hAnsi="Abadi"/>
          <w:b w:val="0"/>
          <w:bCs w:val="0"/>
          <w:sz w:val="21"/>
          <w:szCs w:val="21"/>
        </w:rPr>
        <w:t>administración</w:t>
      </w:r>
      <w:r w:rsidRPr="001D5134">
        <w:rPr>
          <w:rFonts w:ascii="Abadi" w:hAnsi="Abadi"/>
          <w:b w:val="0"/>
          <w:bCs w:val="0"/>
          <w:spacing w:val="-1"/>
          <w:sz w:val="21"/>
          <w:szCs w:val="21"/>
        </w:rPr>
        <w:t xml:space="preserve"> </w:t>
      </w:r>
      <w:r w:rsidRPr="001D5134">
        <w:rPr>
          <w:rFonts w:ascii="Abadi" w:hAnsi="Abadi"/>
          <w:b w:val="0"/>
          <w:bCs w:val="0"/>
          <w:sz w:val="21"/>
          <w:szCs w:val="21"/>
        </w:rPr>
        <w:t>2018-2021</w:t>
      </w:r>
      <w:r w:rsidRPr="001D5134">
        <w:rPr>
          <w:rFonts w:ascii="Abadi" w:hAnsi="Abadi"/>
          <w:b w:val="0"/>
          <w:bCs w:val="0"/>
          <w:spacing w:val="-1"/>
          <w:sz w:val="21"/>
          <w:szCs w:val="21"/>
        </w:rPr>
        <w:t xml:space="preserve"> </w:t>
      </w:r>
      <w:r w:rsidRPr="001D5134">
        <w:rPr>
          <w:rFonts w:ascii="Abadi" w:hAnsi="Abadi"/>
          <w:b w:val="0"/>
          <w:bCs w:val="0"/>
          <w:sz w:val="21"/>
          <w:szCs w:val="21"/>
        </w:rPr>
        <w:t>de</w:t>
      </w:r>
      <w:r w:rsidRPr="001D5134">
        <w:rPr>
          <w:rFonts w:ascii="Abadi" w:hAnsi="Abadi"/>
          <w:b w:val="0"/>
          <w:bCs w:val="0"/>
          <w:spacing w:val="-1"/>
          <w:sz w:val="21"/>
          <w:szCs w:val="21"/>
        </w:rPr>
        <w:t xml:space="preserve"> </w:t>
      </w:r>
      <w:r w:rsidRPr="001D5134">
        <w:rPr>
          <w:rFonts w:ascii="Abadi" w:hAnsi="Abadi"/>
          <w:b w:val="0"/>
          <w:bCs w:val="0"/>
          <w:sz w:val="21"/>
          <w:szCs w:val="21"/>
        </w:rPr>
        <w:t>dicho</w:t>
      </w:r>
      <w:r w:rsidRPr="001D5134">
        <w:rPr>
          <w:rFonts w:ascii="Abadi" w:hAnsi="Abadi"/>
          <w:b w:val="0"/>
          <w:bCs w:val="0"/>
          <w:spacing w:val="-1"/>
          <w:sz w:val="21"/>
          <w:szCs w:val="21"/>
        </w:rPr>
        <w:t xml:space="preserve"> </w:t>
      </w:r>
      <w:r w:rsidRPr="001D5134">
        <w:rPr>
          <w:rFonts w:ascii="Abadi" w:hAnsi="Abadi"/>
          <w:b w:val="0"/>
          <w:bCs w:val="0"/>
          <w:sz w:val="21"/>
          <w:szCs w:val="21"/>
        </w:rPr>
        <w:t>Municipio.</w:t>
      </w:r>
      <w:r>
        <w:rPr>
          <w:rFonts w:ascii="Abadi" w:hAnsi="Abadi"/>
          <w:sz w:val="21"/>
          <w:szCs w:val="21"/>
        </w:rPr>
        <w:t xml:space="preserve"> </w:t>
      </w:r>
      <w:r w:rsidRPr="009A3D12">
        <w:rPr>
          <w:rFonts w:ascii="Abadi" w:hAnsi="Abadi"/>
          <w:sz w:val="21"/>
          <w:szCs w:val="21"/>
        </w:rPr>
        <w:t>XXXIX</w:t>
      </w:r>
      <w:r w:rsidRPr="001D5134">
        <w:rPr>
          <w:rFonts w:ascii="Abadi" w:hAnsi="Abadi"/>
          <w:b w:val="0"/>
          <w:bCs w:val="0"/>
          <w:sz w:val="21"/>
          <w:szCs w:val="21"/>
        </w:rPr>
        <w:t>.- Discusión</w:t>
      </w:r>
      <w:r w:rsidRPr="001D5134">
        <w:rPr>
          <w:rFonts w:ascii="Abadi" w:hAnsi="Abadi"/>
          <w:b w:val="0"/>
          <w:bCs w:val="0"/>
          <w:spacing w:val="16"/>
          <w:sz w:val="21"/>
          <w:szCs w:val="21"/>
        </w:rPr>
        <w:t xml:space="preserve"> </w:t>
      </w:r>
      <w:r w:rsidRPr="001D5134">
        <w:rPr>
          <w:rFonts w:ascii="Abadi" w:hAnsi="Abadi"/>
          <w:b w:val="0"/>
          <w:bCs w:val="0"/>
          <w:sz w:val="21"/>
          <w:szCs w:val="21"/>
        </w:rPr>
        <w:t>y,</w:t>
      </w:r>
      <w:r w:rsidRPr="001D5134">
        <w:rPr>
          <w:rFonts w:ascii="Abadi" w:hAnsi="Abadi"/>
          <w:b w:val="0"/>
          <w:bCs w:val="0"/>
          <w:spacing w:val="15"/>
          <w:sz w:val="21"/>
          <w:szCs w:val="21"/>
        </w:rPr>
        <w:t xml:space="preserve"> </w:t>
      </w:r>
      <w:r w:rsidRPr="001D5134">
        <w:rPr>
          <w:rFonts w:ascii="Abadi" w:hAnsi="Abadi"/>
          <w:b w:val="0"/>
          <w:bCs w:val="0"/>
          <w:sz w:val="21"/>
          <w:szCs w:val="21"/>
        </w:rPr>
        <w:t>en</w:t>
      </w:r>
      <w:r w:rsidRPr="001D5134">
        <w:rPr>
          <w:rFonts w:ascii="Abadi" w:hAnsi="Abadi"/>
          <w:b w:val="0"/>
          <w:bCs w:val="0"/>
          <w:spacing w:val="16"/>
          <w:sz w:val="21"/>
          <w:szCs w:val="21"/>
        </w:rPr>
        <w:t xml:space="preserve"> </w:t>
      </w:r>
      <w:r w:rsidRPr="001D5134">
        <w:rPr>
          <w:rFonts w:ascii="Abadi" w:hAnsi="Abadi"/>
          <w:b w:val="0"/>
          <w:bCs w:val="0"/>
          <w:sz w:val="21"/>
          <w:szCs w:val="21"/>
        </w:rPr>
        <w:t>su</w:t>
      </w:r>
      <w:r w:rsidRPr="001D5134">
        <w:rPr>
          <w:rFonts w:ascii="Abadi" w:hAnsi="Abadi"/>
          <w:b w:val="0"/>
          <w:bCs w:val="0"/>
          <w:spacing w:val="16"/>
          <w:sz w:val="21"/>
          <w:szCs w:val="21"/>
        </w:rPr>
        <w:t xml:space="preserve"> </w:t>
      </w:r>
      <w:r w:rsidRPr="001D5134">
        <w:rPr>
          <w:rFonts w:ascii="Abadi" w:hAnsi="Abadi"/>
          <w:b w:val="0"/>
          <w:bCs w:val="0"/>
          <w:sz w:val="21"/>
          <w:szCs w:val="21"/>
        </w:rPr>
        <w:t>caso,</w:t>
      </w:r>
      <w:r w:rsidRPr="001D5134">
        <w:rPr>
          <w:rFonts w:ascii="Abadi" w:hAnsi="Abadi"/>
          <w:b w:val="0"/>
          <w:bCs w:val="0"/>
          <w:spacing w:val="15"/>
          <w:sz w:val="21"/>
          <w:szCs w:val="21"/>
        </w:rPr>
        <w:t xml:space="preserve"> </w:t>
      </w:r>
      <w:r w:rsidRPr="001D5134">
        <w:rPr>
          <w:rFonts w:ascii="Abadi" w:hAnsi="Abadi"/>
          <w:b w:val="0"/>
          <w:bCs w:val="0"/>
          <w:sz w:val="21"/>
          <w:szCs w:val="21"/>
        </w:rPr>
        <w:t>aprobación</w:t>
      </w:r>
      <w:r w:rsidRPr="001D5134">
        <w:rPr>
          <w:rFonts w:ascii="Abadi" w:hAnsi="Abadi"/>
          <w:b w:val="0"/>
          <w:bCs w:val="0"/>
          <w:spacing w:val="16"/>
          <w:sz w:val="21"/>
          <w:szCs w:val="21"/>
        </w:rPr>
        <w:t xml:space="preserve"> </w:t>
      </w:r>
      <w:r w:rsidRPr="001D5134">
        <w:rPr>
          <w:rFonts w:ascii="Abadi" w:hAnsi="Abadi"/>
          <w:b w:val="0"/>
          <w:bCs w:val="0"/>
          <w:sz w:val="21"/>
          <w:szCs w:val="21"/>
        </w:rPr>
        <w:t>del</w:t>
      </w:r>
      <w:r w:rsidRPr="001D5134">
        <w:rPr>
          <w:rFonts w:ascii="Abadi" w:hAnsi="Abadi"/>
          <w:b w:val="0"/>
          <w:bCs w:val="0"/>
          <w:spacing w:val="15"/>
          <w:sz w:val="21"/>
          <w:szCs w:val="21"/>
        </w:rPr>
        <w:t xml:space="preserve"> </w:t>
      </w:r>
      <w:r w:rsidRPr="001D5134">
        <w:rPr>
          <w:rFonts w:ascii="Abadi" w:hAnsi="Abadi"/>
          <w:b w:val="0"/>
          <w:bCs w:val="0"/>
          <w:sz w:val="21"/>
          <w:szCs w:val="21"/>
        </w:rPr>
        <w:t>dictamen</w:t>
      </w:r>
      <w:r w:rsidRPr="001D5134">
        <w:rPr>
          <w:rFonts w:ascii="Abadi" w:hAnsi="Abadi"/>
          <w:b w:val="0"/>
          <w:bCs w:val="0"/>
          <w:spacing w:val="16"/>
          <w:sz w:val="21"/>
          <w:szCs w:val="21"/>
        </w:rPr>
        <w:t xml:space="preserve"> </w:t>
      </w:r>
      <w:r w:rsidRPr="001D5134">
        <w:rPr>
          <w:rFonts w:ascii="Abadi" w:hAnsi="Abadi"/>
          <w:b w:val="0"/>
          <w:bCs w:val="0"/>
          <w:sz w:val="21"/>
          <w:szCs w:val="21"/>
        </w:rPr>
        <w:t>emitido</w:t>
      </w:r>
      <w:r w:rsidRPr="001D5134">
        <w:rPr>
          <w:rFonts w:ascii="Abadi" w:hAnsi="Abadi"/>
          <w:b w:val="0"/>
          <w:bCs w:val="0"/>
          <w:spacing w:val="15"/>
          <w:sz w:val="21"/>
          <w:szCs w:val="21"/>
        </w:rPr>
        <w:t xml:space="preserve"> </w:t>
      </w:r>
      <w:r w:rsidRPr="001D5134">
        <w:rPr>
          <w:rFonts w:ascii="Abadi" w:hAnsi="Abadi"/>
          <w:b w:val="0"/>
          <w:bCs w:val="0"/>
          <w:sz w:val="21"/>
          <w:szCs w:val="21"/>
        </w:rPr>
        <w:t>por</w:t>
      </w:r>
      <w:r w:rsidRPr="001D5134">
        <w:rPr>
          <w:rFonts w:ascii="Abadi" w:hAnsi="Abadi"/>
          <w:b w:val="0"/>
          <w:bCs w:val="0"/>
          <w:spacing w:val="15"/>
          <w:sz w:val="21"/>
          <w:szCs w:val="21"/>
        </w:rPr>
        <w:t xml:space="preserve"> </w:t>
      </w:r>
      <w:r w:rsidRPr="001D5134">
        <w:rPr>
          <w:rFonts w:ascii="Abadi" w:hAnsi="Abadi"/>
          <w:b w:val="0"/>
          <w:bCs w:val="0"/>
          <w:sz w:val="21"/>
          <w:szCs w:val="21"/>
        </w:rPr>
        <w:t>la</w:t>
      </w:r>
      <w:r w:rsidRPr="001D5134">
        <w:rPr>
          <w:rFonts w:ascii="Abadi" w:hAnsi="Abadi"/>
          <w:b w:val="0"/>
          <w:bCs w:val="0"/>
          <w:spacing w:val="16"/>
          <w:sz w:val="21"/>
          <w:szCs w:val="21"/>
        </w:rPr>
        <w:t xml:space="preserve"> </w:t>
      </w:r>
      <w:r w:rsidRPr="001D5134">
        <w:rPr>
          <w:rFonts w:ascii="Abadi" w:hAnsi="Abadi"/>
          <w:b w:val="0"/>
          <w:bCs w:val="0"/>
          <w:sz w:val="21"/>
          <w:szCs w:val="21"/>
        </w:rPr>
        <w:t>Comisión</w:t>
      </w:r>
      <w:r w:rsidRPr="001D5134">
        <w:rPr>
          <w:rFonts w:ascii="Abadi" w:hAnsi="Abadi"/>
          <w:b w:val="0"/>
          <w:bCs w:val="0"/>
          <w:spacing w:val="-2"/>
          <w:sz w:val="21"/>
          <w:szCs w:val="21"/>
        </w:rPr>
        <w:t xml:space="preserve"> </w:t>
      </w:r>
      <w:r w:rsidRPr="001D5134">
        <w:rPr>
          <w:rFonts w:ascii="Abadi" w:hAnsi="Abadi"/>
          <w:b w:val="0"/>
          <w:bCs w:val="0"/>
          <w:sz w:val="21"/>
          <w:szCs w:val="21"/>
        </w:rPr>
        <w:t>de</w:t>
      </w:r>
      <w:r w:rsidRPr="001D5134">
        <w:rPr>
          <w:rFonts w:ascii="Abadi" w:hAnsi="Abadi"/>
          <w:b w:val="0"/>
          <w:bCs w:val="0"/>
          <w:spacing w:val="33"/>
          <w:sz w:val="21"/>
          <w:szCs w:val="21"/>
        </w:rPr>
        <w:t xml:space="preserve"> </w:t>
      </w:r>
      <w:r w:rsidRPr="001D5134">
        <w:rPr>
          <w:rFonts w:ascii="Abadi" w:hAnsi="Abadi"/>
          <w:b w:val="0"/>
          <w:bCs w:val="0"/>
          <w:sz w:val="21"/>
          <w:szCs w:val="21"/>
        </w:rPr>
        <w:t>Hacienda</w:t>
      </w:r>
      <w:r w:rsidRPr="001D5134">
        <w:rPr>
          <w:rFonts w:ascii="Abadi" w:hAnsi="Abadi"/>
          <w:b w:val="0"/>
          <w:bCs w:val="0"/>
          <w:spacing w:val="32"/>
          <w:sz w:val="21"/>
          <w:szCs w:val="21"/>
        </w:rPr>
        <w:t xml:space="preserve"> </w:t>
      </w:r>
      <w:r w:rsidRPr="001D5134">
        <w:rPr>
          <w:rFonts w:ascii="Abadi" w:hAnsi="Abadi"/>
          <w:b w:val="0"/>
          <w:bCs w:val="0"/>
          <w:sz w:val="21"/>
          <w:szCs w:val="21"/>
        </w:rPr>
        <w:t>y</w:t>
      </w:r>
      <w:r w:rsidRPr="001D5134">
        <w:rPr>
          <w:rFonts w:ascii="Abadi" w:hAnsi="Abadi"/>
          <w:b w:val="0"/>
          <w:bCs w:val="0"/>
          <w:spacing w:val="33"/>
          <w:sz w:val="21"/>
          <w:szCs w:val="21"/>
        </w:rPr>
        <w:t xml:space="preserve"> </w:t>
      </w:r>
      <w:r w:rsidRPr="001D5134">
        <w:rPr>
          <w:rFonts w:ascii="Abadi" w:hAnsi="Abadi"/>
          <w:b w:val="0"/>
          <w:bCs w:val="0"/>
          <w:sz w:val="21"/>
          <w:szCs w:val="21"/>
        </w:rPr>
        <w:t>Fiscalización</w:t>
      </w:r>
      <w:r w:rsidRPr="001D5134">
        <w:rPr>
          <w:rFonts w:ascii="Abadi" w:hAnsi="Abadi"/>
          <w:b w:val="0"/>
          <w:bCs w:val="0"/>
          <w:spacing w:val="32"/>
          <w:sz w:val="21"/>
          <w:szCs w:val="21"/>
        </w:rPr>
        <w:t xml:space="preserve"> </w:t>
      </w:r>
      <w:r w:rsidRPr="001D5134">
        <w:rPr>
          <w:rFonts w:ascii="Abadi" w:hAnsi="Abadi"/>
          <w:b w:val="0"/>
          <w:bCs w:val="0"/>
          <w:sz w:val="21"/>
          <w:szCs w:val="21"/>
        </w:rPr>
        <w:t>relativo</w:t>
      </w:r>
      <w:r w:rsidRPr="001D5134">
        <w:rPr>
          <w:rFonts w:ascii="Abadi" w:hAnsi="Abadi"/>
          <w:b w:val="0"/>
          <w:bCs w:val="0"/>
          <w:spacing w:val="32"/>
          <w:sz w:val="21"/>
          <w:szCs w:val="21"/>
        </w:rPr>
        <w:t xml:space="preserve"> </w:t>
      </w:r>
      <w:r w:rsidRPr="001D5134">
        <w:rPr>
          <w:rFonts w:ascii="Abadi" w:hAnsi="Abadi"/>
          <w:b w:val="0"/>
          <w:bCs w:val="0"/>
          <w:sz w:val="21"/>
          <w:szCs w:val="21"/>
        </w:rPr>
        <w:t>a</w:t>
      </w:r>
      <w:r w:rsidRPr="001D5134">
        <w:rPr>
          <w:rFonts w:ascii="Abadi" w:hAnsi="Abadi"/>
          <w:b w:val="0"/>
          <w:bCs w:val="0"/>
          <w:spacing w:val="32"/>
          <w:sz w:val="21"/>
          <w:szCs w:val="21"/>
        </w:rPr>
        <w:t xml:space="preserve"> </w:t>
      </w:r>
      <w:r w:rsidRPr="001D5134">
        <w:rPr>
          <w:rFonts w:ascii="Abadi" w:hAnsi="Abadi"/>
          <w:b w:val="0"/>
          <w:bCs w:val="0"/>
          <w:sz w:val="21"/>
          <w:szCs w:val="21"/>
        </w:rPr>
        <w:t>la</w:t>
      </w:r>
      <w:r w:rsidRPr="001D5134">
        <w:rPr>
          <w:rFonts w:ascii="Abadi" w:hAnsi="Abadi"/>
          <w:b w:val="0"/>
          <w:bCs w:val="0"/>
          <w:spacing w:val="33"/>
          <w:sz w:val="21"/>
          <w:szCs w:val="21"/>
        </w:rPr>
        <w:t xml:space="preserve"> </w:t>
      </w:r>
      <w:r w:rsidRPr="001D5134">
        <w:rPr>
          <w:rFonts w:ascii="Abadi" w:hAnsi="Abadi"/>
          <w:b w:val="0"/>
          <w:bCs w:val="0"/>
          <w:sz w:val="21"/>
          <w:szCs w:val="21"/>
        </w:rPr>
        <w:t>propuesta</w:t>
      </w:r>
      <w:r w:rsidRPr="001D5134">
        <w:rPr>
          <w:rFonts w:ascii="Abadi" w:hAnsi="Abadi"/>
          <w:b w:val="0"/>
          <w:bCs w:val="0"/>
          <w:spacing w:val="33"/>
          <w:sz w:val="21"/>
          <w:szCs w:val="21"/>
        </w:rPr>
        <w:t xml:space="preserve"> </w:t>
      </w:r>
      <w:r w:rsidRPr="001D5134">
        <w:rPr>
          <w:rFonts w:ascii="Abadi" w:hAnsi="Abadi"/>
          <w:b w:val="0"/>
          <w:bCs w:val="0"/>
          <w:sz w:val="21"/>
          <w:szCs w:val="21"/>
        </w:rPr>
        <w:t>de</w:t>
      </w:r>
      <w:r w:rsidRPr="001D5134">
        <w:rPr>
          <w:rFonts w:ascii="Abadi" w:hAnsi="Abadi"/>
          <w:b w:val="0"/>
          <w:bCs w:val="0"/>
          <w:spacing w:val="33"/>
          <w:sz w:val="21"/>
          <w:szCs w:val="21"/>
        </w:rPr>
        <w:t xml:space="preserve"> </w:t>
      </w:r>
      <w:r w:rsidRPr="001D5134">
        <w:rPr>
          <w:rFonts w:ascii="Abadi" w:hAnsi="Abadi"/>
          <w:b w:val="0"/>
          <w:bCs w:val="0"/>
          <w:sz w:val="21"/>
          <w:szCs w:val="21"/>
        </w:rPr>
        <w:t>punto</w:t>
      </w:r>
      <w:r w:rsidRPr="001D5134">
        <w:rPr>
          <w:rFonts w:ascii="Abadi" w:hAnsi="Abadi"/>
          <w:b w:val="0"/>
          <w:bCs w:val="0"/>
          <w:spacing w:val="33"/>
          <w:sz w:val="21"/>
          <w:szCs w:val="21"/>
        </w:rPr>
        <w:t xml:space="preserve"> </w:t>
      </w:r>
      <w:r w:rsidRPr="001D5134">
        <w:rPr>
          <w:rFonts w:ascii="Abadi" w:hAnsi="Abadi"/>
          <w:b w:val="0"/>
          <w:bCs w:val="0"/>
          <w:sz w:val="21"/>
          <w:szCs w:val="21"/>
        </w:rPr>
        <w:t>de</w:t>
      </w:r>
      <w:r w:rsidRPr="001D5134">
        <w:rPr>
          <w:rFonts w:ascii="Abadi" w:hAnsi="Abadi"/>
          <w:b w:val="0"/>
          <w:bCs w:val="0"/>
          <w:spacing w:val="33"/>
          <w:sz w:val="21"/>
          <w:szCs w:val="21"/>
        </w:rPr>
        <w:t xml:space="preserve"> </w:t>
      </w:r>
      <w:r w:rsidRPr="001D5134">
        <w:rPr>
          <w:rFonts w:ascii="Abadi" w:hAnsi="Abadi"/>
          <w:b w:val="0"/>
          <w:bCs w:val="0"/>
          <w:sz w:val="21"/>
          <w:szCs w:val="21"/>
        </w:rPr>
        <w:t>acuerdo</w:t>
      </w:r>
      <w:r w:rsidRPr="001D5134">
        <w:rPr>
          <w:rFonts w:ascii="Abadi" w:hAnsi="Abadi"/>
          <w:b w:val="0"/>
          <w:bCs w:val="0"/>
          <w:spacing w:val="-2"/>
          <w:sz w:val="21"/>
          <w:szCs w:val="21"/>
        </w:rPr>
        <w:t xml:space="preserve"> </w:t>
      </w:r>
      <w:r w:rsidRPr="001D5134">
        <w:rPr>
          <w:rFonts w:ascii="Abadi" w:hAnsi="Abadi"/>
          <w:b w:val="0"/>
          <w:bCs w:val="0"/>
          <w:sz w:val="21"/>
          <w:szCs w:val="21"/>
        </w:rPr>
        <w:t>formulada</w:t>
      </w:r>
      <w:r w:rsidRPr="001D5134">
        <w:rPr>
          <w:rFonts w:ascii="Abadi" w:hAnsi="Abadi"/>
          <w:b w:val="0"/>
          <w:bCs w:val="0"/>
          <w:spacing w:val="25"/>
          <w:sz w:val="21"/>
          <w:szCs w:val="21"/>
        </w:rPr>
        <w:t xml:space="preserve"> </w:t>
      </w:r>
      <w:r w:rsidRPr="001D5134">
        <w:rPr>
          <w:rFonts w:ascii="Abadi" w:hAnsi="Abadi"/>
          <w:b w:val="0"/>
          <w:bCs w:val="0"/>
          <w:sz w:val="21"/>
          <w:szCs w:val="21"/>
        </w:rPr>
        <w:t>por</w:t>
      </w:r>
      <w:r w:rsidRPr="001D5134">
        <w:rPr>
          <w:rFonts w:ascii="Abadi" w:hAnsi="Abadi"/>
          <w:b w:val="0"/>
          <w:bCs w:val="0"/>
          <w:spacing w:val="25"/>
          <w:sz w:val="21"/>
          <w:szCs w:val="21"/>
        </w:rPr>
        <w:t xml:space="preserve"> </w:t>
      </w:r>
      <w:r w:rsidRPr="001D5134">
        <w:rPr>
          <w:rFonts w:ascii="Abadi" w:hAnsi="Abadi"/>
          <w:b w:val="0"/>
          <w:bCs w:val="0"/>
          <w:sz w:val="21"/>
          <w:szCs w:val="21"/>
        </w:rPr>
        <w:t>diputadas</w:t>
      </w:r>
      <w:r w:rsidRPr="001D5134">
        <w:rPr>
          <w:rFonts w:ascii="Abadi" w:hAnsi="Abadi"/>
          <w:b w:val="0"/>
          <w:bCs w:val="0"/>
          <w:spacing w:val="25"/>
          <w:sz w:val="21"/>
          <w:szCs w:val="21"/>
        </w:rPr>
        <w:t xml:space="preserve"> </w:t>
      </w:r>
      <w:r w:rsidRPr="001D5134">
        <w:rPr>
          <w:rFonts w:ascii="Abadi" w:hAnsi="Abadi"/>
          <w:b w:val="0"/>
          <w:bCs w:val="0"/>
          <w:sz w:val="21"/>
          <w:szCs w:val="21"/>
        </w:rPr>
        <w:t>y</w:t>
      </w:r>
      <w:r w:rsidRPr="001D5134">
        <w:rPr>
          <w:rFonts w:ascii="Abadi" w:hAnsi="Abadi"/>
          <w:b w:val="0"/>
          <w:bCs w:val="0"/>
          <w:spacing w:val="25"/>
          <w:sz w:val="21"/>
          <w:szCs w:val="21"/>
        </w:rPr>
        <w:t xml:space="preserve"> </w:t>
      </w:r>
      <w:r w:rsidRPr="001D5134">
        <w:rPr>
          <w:rFonts w:ascii="Abadi" w:hAnsi="Abadi"/>
          <w:b w:val="0"/>
          <w:bCs w:val="0"/>
          <w:sz w:val="21"/>
          <w:szCs w:val="21"/>
        </w:rPr>
        <w:t>diputados</w:t>
      </w:r>
      <w:r w:rsidRPr="001D5134">
        <w:rPr>
          <w:rFonts w:ascii="Abadi" w:hAnsi="Abadi"/>
          <w:b w:val="0"/>
          <w:bCs w:val="0"/>
          <w:spacing w:val="25"/>
          <w:sz w:val="21"/>
          <w:szCs w:val="21"/>
        </w:rPr>
        <w:t xml:space="preserve"> </w:t>
      </w:r>
      <w:r w:rsidRPr="001D5134">
        <w:rPr>
          <w:rFonts w:ascii="Abadi" w:hAnsi="Abadi"/>
          <w:b w:val="0"/>
          <w:bCs w:val="0"/>
          <w:sz w:val="21"/>
          <w:szCs w:val="21"/>
        </w:rPr>
        <w:t>integrantes</w:t>
      </w:r>
      <w:r w:rsidRPr="001D5134">
        <w:rPr>
          <w:rFonts w:ascii="Abadi" w:hAnsi="Abadi"/>
          <w:b w:val="0"/>
          <w:bCs w:val="0"/>
          <w:spacing w:val="25"/>
          <w:sz w:val="21"/>
          <w:szCs w:val="21"/>
        </w:rPr>
        <w:t xml:space="preserve"> </w:t>
      </w:r>
      <w:r w:rsidRPr="001D5134">
        <w:rPr>
          <w:rFonts w:ascii="Abadi" w:hAnsi="Abadi"/>
          <w:b w:val="0"/>
          <w:bCs w:val="0"/>
          <w:sz w:val="21"/>
          <w:szCs w:val="21"/>
        </w:rPr>
        <w:t>del</w:t>
      </w:r>
      <w:r w:rsidRPr="001D5134">
        <w:rPr>
          <w:rFonts w:ascii="Abadi" w:hAnsi="Abadi"/>
          <w:b w:val="0"/>
          <w:bCs w:val="0"/>
          <w:spacing w:val="25"/>
          <w:sz w:val="21"/>
          <w:szCs w:val="21"/>
        </w:rPr>
        <w:t xml:space="preserve"> </w:t>
      </w:r>
      <w:r w:rsidRPr="001D5134">
        <w:rPr>
          <w:rFonts w:ascii="Abadi" w:hAnsi="Abadi"/>
          <w:b w:val="0"/>
          <w:bCs w:val="0"/>
          <w:sz w:val="21"/>
          <w:szCs w:val="21"/>
        </w:rPr>
        <w:t>Grupo</w:t>
      </w:r>
      <w:r w:rsidRPr="001D5134">
        <w:rPr>
          <w:rFonts w:ascii="Abadi" w:hAnsi="Abadi"/>
          <w:b w:val="0"/>
          <w:bCs w:val="0"/>
          <w:spacing w:val="25"/>
          <w:sz w:val="21"/>
          <w:szCs w:val="21"/>
        </w:rPr>
        <w:t xml:space="preserve"> </w:t>
      </w:r>
      <w:r w:rsidRPr="001D5134">
        <w:rPr>
          <w:rFonts w:ascii="Abadi" w:hAnsi="Abadi"/>
          <w:b w:val="0"/>
          <w:bCs w:val="0"/>
          <w:sz w:val="21"/>
          <w:szCs w:val="21"/>
        </w:rPr>
        <w:t>Parlamentario</w:t>
      </w:r>
      <w:r w:rsidRPr="001D5134">
        <w:rPr>
          <w:rFonts w:ascii="Abadi" w:hAnsi="Abadi"/>
          <w:b w:val="0"/>
          <w:bCs w:val="0"/>
          <w:spacing w:val="-2"/>
          <w:sz w:val="21"/>
          <w:szCs w:val="21"/>
        </w:rPr>
        <w:t xml:space="preserve"> </w:t>
      </w:r>
      <w:r w:rsidRPr="001D5134">
        <w:rPr>
          <w:rFonts w:ascii="Abadi" w:hAnsi="Abadi"/>
          <w:b w:val="0"/>
          <w:bCs w:val="0"/>
          <w:sz w:val="21"/>
          <w:szCs w:val="21"/>
        </w:rPr>
        <w:t>del</w:t>
      </w:r>
      <w:r w:rsidRPr="001D5134">
        <w:rPr>
          <w:rFonts w:ascii="Abadi" w:hAnsi="Abadi"/>
          <w:b w:val="0"/>
          <w:bCs w:val="0"/>
          <w:spacing w:val="-3"/>
          <w:sz w:val="21"/>
          <w:szCs w:val="21"/>
        </w:rPr>
        <w:t xml:space="preserve"> </w:t>
      </w:r>
      <w:r w:rsidRPr="001D5134">
        <w:rPr>
          <w:rFonts w:ascii="Abadi" w:hAnsi="Abadi"/>
          <w:b w:val="0"/>
          <w:bCs w:val="0"/>
          <w:sz w:val="21"/>
          <w:szCs w:val="21"/>
        </w:rPr>
        <w:t>Partido</w:t>
      </w:r>
      <w:r w:rsidRPr="001D5134">
        <w:rPr>
          <w:rFonts w:ascii="Abadi" w:hAnsi="Abadi"/>
          <w:b w:val="0"/>
          <w:bCs w:val="0"/>
          <w:spacing w:val="-3"/>
          <w:sz w:val="21"/>
          <w:szCs w:val="21"/>
        </w:rPr>
        <w:t xml:space="preserve"> </w:t>
      </w:r>
      <w:r w:rsidRPr="001D5134">
        <w:rPr>
          <w:rFonts w:ascii="Abadi" w:hAnsi="Abadi"/>
          <w:b w:val="0"/>
          <w:bCs w:val="0"/>
          <w:sz w:val="21"/>
          <w:szCs w:val="21"/>
        </w:rPr>
        <w:t>MORENA,</w:t>
      </w:r>
      <w:r w:rsidRPr="001D5134">
        <w:rPr>
          <w:rFonts w:ascii="Abadi" w:hAnsi="Abadi"/>
          <w:b w:val="0"/>
          <w:bCs w:val="0"/>
          <w:spacing w:val="-3"/>
          <w:sz w:val="21"/>
          <w:szCs w:val="21"/>
        </w:rPr>
        <w:t xml:space="preserve"> </w:t>
      </w:r>
      <w:r w:rsidRPr="001D5134">
        <w:rPr>
          <w:rFonts w:ascii="Abadi" w:hAnsi="Abadi"/>
          <w:b w:val="0"/>
          <w:bCs w:val="0"/>
          <w:sz w:val="21"/>
          <w:szCs w:val="21"/>
        </w:rPr>
        <w:t>a</w:t>
      </w:r>
      <w:r w:rsidRPr="001D5134">
        <w:rPr>
          <w:rFonts w:ascii="Abadi" w:hAnsi="Abadi"/>
          <w:b w:val="0"/>
          <w:bCs w:val="0"/>
          <w:spacing w:val="-3"/>
          <w:sz w:val="21"/>
          <w:szCs w:val="21"/>
        </w:rPr>
        <w:t xml:space="preserve"> </w:t>
      </w:r>
      <w:r w:rsidRPr="001D5134">
        <w:rPr>
          <w:rFonts w:ascii="Abadi" w:hAnsi="Abadi"/>
          <w:b w:val="0"/>
          <w:bCs w:val="0"/>
          <w:sz w:val="21"/>
          <w:szCs w:val="21"/>
        </w:rPr>
        <w:t>efecto</w:t>
      </w:r>
      <w:r w:rsidRPr="001D5134">
        <w:rPr>
          <w:rFonts w:ascii="Abadi" w:hAnsi="Abadi"/>
          <w:b w:val="0"/>
          <w:bCs w:val="0"/>
          <w:spacing w:val="-3"/>
          <w:sz w:val="21"/>
          <w:szCs w:val="21"/>
        </w:rPr>
        <w:t xml:space="preserve"> </w:t>
      </w:r>
      <w:r w:rsidRPr="001D5134">
        <w:rPr>
          <w:rFonts w:ascii="Abadi" w:hAnsi="Abadi"/>
          <w:b w:val="0"/>
          <w:bCs w:val="0"/>
          <w:sz w:val="21"/>
          <w:szCs w:val="21"/>
        </w:rPr>
        <w:t>de</w:t>
      </w:r>
      <w:r w:rsidRPr="001D5134">
        <w:rPr>
          <w:rFonts w:ascii="Abadi" w:hAnsi="Abadi"/>
          <w:b w:val="0"/>
          <w:bCs w:val="0"/>
          <w:spacing w:val="-2"/>
          <w:sz w:val="21"/>
          <w:szCs w:val="21"/>
        </w:rPr>
        <w:t xml:space="preserve"> </w:t>
      </w:r>
      <w:r w:rsidRPr="001D5134">
        <w:rPr>
          <w:rFonts w:ascii="Abadi" w:hAnsi="Abadi"/>
          <w:b w:val="0"/>
          <w:bCs w:val="0"/>
          <w:sz w:val="21"/>
          <w:szCs w:val="21"/>
        </w:rPr>
        <w:t>exhortar</w:t>
      </w:r>
      <w:r w:rsidRPr="001D5134">
        <w:rPr>
          <w:rFonts w:ascii="Abadi" w:hAnsi="Abadi"/>
          <w:b w:val="0"/>
          <w:bCs w:val="0"/>
          <w:spacing w:val="-3"/>
          <w:sz w:val="21"/>
          <w:szCs w:val="21"/>
        </w:rPr>
        <w:t xml:space="preserve"> </w:t>
      </w:r>
      <w:r w:rsidRPr="001D5134">
        <w:rPr>
          <w:rFonts w:ascii="Abadi" w:hAnsi="Abadi"/>
          <w:b w:val="0"/>
          <w:bCs w:val="0"/>
          <w:sz w:val="21"/>
          <w:szCs w:val="21"/>
        </w:rPr>
        <w:t>al</w:t>
      </w:r>
      <w:r w:rsidRPr="001D5134">
        <w:rPr>
          <w:rFonts w:ascii="Abadi" w:hAnsi="Abadi"/>
          <w:b w:val="0"/>
          <w:bCs w:val="0"/>
          <w:spacing w:val="-3"/>
          <w:sz w:val="21"/>
          <w:szCs w:val="21"/>
        </w:rPr>
        <w:t xml:space="preserve"> </w:t>
      </w:r>
      <w:r w:rsidRPr="001D5134">
        <w:rPr>
          <w:rFonts w:ascii="Abadi" w:hAnsi="Abadi"/>
          <w:b w:val="0"/>
          <w:bCs w:val="0"/>
          <w:sz w:val="21"/>
          <w:szCs w:val="21"/>
        </w:rPr>
        <w:t>titular</w:t>
      </w:r>
      <w:r w:rsidRPr="001D5134">
        <w:rPr>
          <w:rFonts w:ascii="Abadi" w:hAnsi="Abadi"/>
          <w:b w:val="0"/>
          <w:bCs w:val="0"/>
          <w:spacing w:val="-3"/>
          <w:sz w:val="21"/>
          <w:szCs w:val="21"/>
        </w:rPr>
        <w:t xml:space="preserve"> </w:t>
      </w:r>
      <w:r w:rsidRPr="001D5134">
        <w:rPr>
          <w:rFonts w:ascii="Abadi" w:hAnsi="Abadi"/>
          <w:b w:val="0"/>
          <w:bCs w:val="0"/>
          <w:sz w:val="21"/>
          <w:szCs w:val="21"/>
        </w:rPr>
        <w:t>de</w:t>
      </w:r>
      <w:r w:rsidRPr="001D5134">
        <w:rPr>
          <w:rFonts w:ascii="Abadi" w:hAnsi="Abadi"/>
          <w:b w:val="0"/>
          <w:bCs w:val="0"/>
          <w:spacing w:val="-3"/>
          <w:sz w:val="21"/>
          <w:szCs w:val="21"/>
        </w:rPr>
        <w:t xml:space="preserve"> </w:t>
      </w:r>
      <w:r w:rsidRPr="001D5134">
        <w:rPr>
          <w:rFonts w:ascii="Abadi" w:hAnsi="Abadi"/>
          <w:b w:val="0"/>
          <w:bCs w:val="0"/>
          <w:sz w:val="21"/>
          <w:szCs w:val="21"/>
        </w:rPr>
        <w:t>la</w:t>
      </w:r>
      <w:r w:rsidRPr="001D5134">
        <w:rPr>
          <w:rFonts w:ascii="Abadi" w:hAnsi="Abadi"/>
          <w:b w:val="0"/>
          <w:bCs w:val="0"/>
          <w:spacing w:val="-2"/>
          <w:sz w:val="21"/>
          <w:szCs w:val="21"/>
        </w:rPr>
        <w:t xml:space="preserve"> </w:t>
      </w:r>
      <w:r w:rsidRPr="001D5134">
        <w:rPr>
          <w:rFonts w:ascii="Abadi" w:hAnsi="Abadi"/>
          <w:b w:val="0"/>
          <w:bCs w:val="0"/>
          <w:sz w:val="21"/>
          <w:szCs w:val="21"/>
        </w:rPr>
        <w:t>Auditoría</w:t>
      </w:r>
      <w:r w:rsidRPr="001D5134">
        <w:rPr>
          <w:rFonts w:ascii="Abadi" w:hAnsi="Abadi"/>
          <w:b w:val="0"/>
          <w:bCs w:val="0"/>
          <w:spacing w:val="-3"/>
          <w:sz w:val="21"/>
          <w:szCs w:val="21"/>
        </w:rPr>
        <w:t xml:space="preserve"> </w:t>
      </w:r>
      <w:r w:rsidRPr="001D5134">
        <w:rPr>
          <w:rFonts w:ascii="Abadi" w:hAnsi="Abadi"/>
          <w:b w:val="0"/>
          <w:bCs w:val="0"/>
          <w:sz w:val="21"/>
          <w:szCs w:val="21"/>
        </w:rPr>
        <w:t>Superior</w:t>
      </w:r>
      <w:r w:rsidRPr="001D5134">
        <w:rPr>
          <w:rFonts w:ascii="Abadi" w:hAnsi="Abadi"/>
          <w:b w:val="0"/>
          <w:bCs w:val="0"/>
          <w:spacing w:val="-2"/>
          <w:sz w:val="21"/>
          <w:szCs w:val="21"/>
        </w:rPr>
        <w:t xml:space="preserve"> </w:t>
      </w:r>
      <w:r w:rsidRPr="001D5134">
        <w:rPr>
          <w:rFonts w:ascii="Abadi" w:hAnsi="Abadi"/>
          <w:b w:val="0"/>
          <w:bCs w:val="0"/>
          <w:sz w:val="21"/>
          <w:szCs w:val="21"/>
        </w:rPr>
        <w:t>del</w:t>
      </w:r>
      <w:r w:rsidRPr="001D5134">
        <w:rPr>
          <w:rFonts w:ascii="Abadi" w:hAnsi="Abadi"/>
          <w:b w:val="0"/>
          <w:bCs w:val="0"/>
          <w:spacing w:val="22"/>
          <w:sz w:val="21"/>
          <w:szCs w:val="21"/>
        </w:rPr>
        <w:t xml:space="preserve"> </w:t>
      </w:r>
      <w:r w:rsidRPr="001D5134">
        <w:rPr>
          <w:rFonts w:ascii="Abadi" w:hAnsi="Abadi"/>
          <w:b w:val="0"/>
          <w:bCs w:val="0"/>
          <w:sz w:val="21"/>
          <w:szCs w:val="21"/>
        </w:rPr>
        <w:t>Estado</w:t>
      </w:r>
      <w:r w:rsidRPr="001D5134">
        <w:rPr>
          <w:rFonts w:ascii="Abadi" w:hAnsi="Abadi"/>
          <w:b w:val="0"/>
          <w:bCs w:val="0"/>
          <w:spacing w:val="22"/>
          <w:sz w:val="21"/>
          <w:szCs w:val="21"/>
        </w:rPr>
        <w:t xml:space="preserve"> </w:t>
      </w:r>
      <w:r w:rsidRPr="001D5134">
        <w:rPr>
          <w:rFonts w:ascii="Abadi" w:hAnsi="Abadi"/>
          <w:b w:val="0"/>
          <w:bCs w:val="0"/>
          <w:sz w:val="21"/>
          <w:szCs w:val="21"/>
        </w:rPr>
        <w:t>de</w:t>
      </w:r>
      <w:r w:rsidRPr="001D5134">
        <w:rPr>
          <w:rFonts w:ascii="Abadi" w:hAnsi="Abadi"/>
          <w:b w:val="0"/>
          <w:bCs w:val="0"/>
          <w:spacing w:val="22"/>
          <w:sz w:val="21"/>
          <w:szCs w:val="21"/>
        </w:rPr>
        <w:t xml:space="preserve"> </w:t>
      </w:r>
      <w:r w:rsidRPr="001D5134">
        <w:rPr>
          <w:rFonts w:ascii="Abadi" w:hAnsi="Abadi"/>
          <w:b w:val="0"/>
          <w:bCs w:val="0"/>
          <w:sz w:val="21"/>
          <w:szCs w:val="21"/>
        </w:rPr>
        <w:t>Guanajuato,</w:t>
      </w:r>
      <w:r w:rsidRPr="001D5134">
        <w:rPr>
          <w:rFonts w:ascii="Abadi" w:hAnsi="Abadi"/>
          <w:b w:val="0"/>
          <w:bCs w:val="0"/>
          <w:spacing w:val="22"/>
          <w:sz w:val="21"/>
          <w:szCs w:val="21"/>
        </w:rPr>
        <w:t xml:space="preserve"> </w:t>
      </w:r>
      <w:r w:rsidRPr="001D5134">
        <w:rPr>
          <w:rFonts w:ascii="Abadi" w:hAnsi="Abadi"/>
          <w:b w:val="0"/>
          <w:bCs w:val="0"/>
          <w:sz w:val="21"/>
          <w:szCs w:val="21"/>
        </w:rPr>
        <w:t>para</w:t>
      </w:r>
      <w:r w:rsidRPr="001D5134">
        <w:rPr>
          <w:rFonts w:ascii="Abadi" w:hAnsi="Abadi"/>
          <w:b w:val="0"/>
          <w:bCs w:val="0"/>
          <w:spacing w:val="22"/>
          <w:sz w:val="21"/>
          <w:szCs w:val="21"/>
        </w:rPr>
        <w:t xml:space="preserve"> </w:t>
      </w:r>
      <w:r w:rsidRPr="001D5134">
        <w:rPr>
          <w:rFonts w:ascii="Abadi" w:hAnsi="Abadi"/>
          <w:b w:val="0"/>
          <w:bCs w:val="0"/>
          <w:sz w:val="21"/>
          <w:szCs w:val="21"/>
        </w:rPr>
        <w:t>que</w:t>
      </w:r>
      <w:r w:rsidRPr="001D5134">
        <w:rPr>
          <w:rFonts w:ascii="Abadi" w:hAnsi="Abadi"/>
          <w:b w:val="0"/>
          <w:bCs w:val="0"/>
          <w:spacing w:val="22"/>
          <w:sz w:val="21"/>
          <w:szCs w:val="21"/>
        </w:rPr>
        <w:t xml:space="preserve"> </w:t>
      </w:r>
      <w:r w:rsidRPr="001D5134">
        <w:rPr>
          <w:rFonts w:ascii="Abadi" w:hAnsi="Abadi"/>
          <w:b w:val="0"/>
          <w:bCs w:val="0"/>
          <w:sz w:val="21"/>
          <w:szCs w:val="21"/>
        </w:rPr>
        <w:t>lleve</w:t>
      </w:r>
      <w:r w:rsidRPr="001D5134">
        <w:rPr>
          <w:rFonts w:ascii="Abadi" w:hAnsi="Abadi"/>
          <w:b w:val="0"/>
          <w:bCs w:val="0"/>
          <w:spacing w:val="22"/>
          <w:sz w:val="21"/>
          <w:szCs w:val="21"/>
        </w:rPr>
        <w:t xml:space="preserve"> </w:t>
      </w:r>
      <w:r w:rsidRPr="001D5134">
        <w:rPr>
          <w:rFonts w:ascii="Abadi" w:hAnsi="Abadi"/>
          <w:b w:val="0"/>
          <w:bCs w:val="0"/>
          <w:sz w:val="21"/>
          <w:szCs w:val="21"/>
        </w:rPr>
        <w:t>a</w:t>
      </w:r>
      <w:r w:rsidRPr="001D5134">
        <w:rPr>
          <w:rFonts w:ascii="Abadi" w:hAnsi="Abadi"/>
          <w:b w:val="0"/>
          <w:bCs w:val="0"/>
          <w:spacing w:val="22"/>
          <w:sz w:val="21"/>
          <w:szCs w:val="21"/>
        </w:rPr>
        <w:t xml:space="preserve"> </w:t>
      </w:r>
      <w:r w:rsidRPr="001D5134">
        <w:rPr>
          <w:rFonts w:ascii="Abadi" w:hAnsi="Abadi"/>
          <w:b w:val="0"/>
          <w:bCs w:val="0"/>
          <w:sz w:val="21"/>
          <w:szCs w:val="21"/>
        </w:rPr>
        <w:t>cabo</w:t>
      </w:r>
      <w:r w:rsidRPr="001D5134">
        <w:rPr>
          <w:rFonts w:ascii="Abadi" w:hAnsi="Abadi"/>
          <w:b w:val="0"/>
          <w:bCs w:val="0"/>
          <w:spacing w:val="22"/>
          <w:sz w:val="21"/>
          <w:szCs w:val="21"/>
        </w:rPr>
        <w:t xml:space="preserve"> </w:t>
      </w:r>
      <w:r w:rsidRPr="001D5134">
        <w:rPr>
          <w:rFonts w:ascii="Abadi" w:hAnsi="Abadi"/>
          <w:b w:val="0"/>
          <w:bCs w:val="0"/>
          <w:sz w:val="21"/>
          <w:szCs w:val="21"/>
        </w:rPr>
        <w:t>una</w:t>
      </w:r>
      <w:r w:rsidRPr="001D5134">
        <w:rPr>
          <w:rFonts w:ascii="Abadi" w:hAnsi="Abadi"/>
          <w:b w:val="0"/>
          <w:bCs w:val="0"/>
          <w:spacing w:val="22"/>
          <w:sz w:val="21"/>
          <w:szCs w:val="21"/>
        </w:rPr>
        <w:t xml:space="preserve"> </w:t>
      </w:r>
      <w:r w:rsidRPr="001D5134">
        <w:rPr>
          <w:rFonts w:ascii="Abadi" w:hAnsi="Abadi"/>
          <w:b w:val="0"/>
          <w:bCs w:val="0"/>
          <w:sz w:val="21"/>
          <w:szCs w:val="21"/>
        </w:rPr>
        <w:t>auditoría</w:t>
      </w:r>
      <w:r w:rsidRPr="001D5134">
        <w:rPr>
          <w:rFonts w:ascii="Abadi" w:hAnsi="Abadi"/>
          <w:b w:val="0"/>
          <w:bCs w:val="0"/>
          <w:spacing w:val="22"/>
          <w:sz w:val="21"/>
          <w:szCs w:val="21"/>
        </w:rPr>
        <w:t xml:space="preserve"> </w:t>
      </w:r>
      <w:r w:rsidRPr="001D5134">
        <w:rPr>
          <w:rFonts w:ascii="Abadi" w:hAnsi="Abadi"/>
          <w:b w:val="0"/>
          <w:bCs w:val="0"/>
          <w:sz w:val="21"/>
          <w:szCs w:val="21"/>
        </w:rPr>
        <w:t>financiera</w:t>
      </w:r>
      <w:r w:rsidRPr="001D5134">
        <w:rPr>
          <w:rFonts w:ascii="Abadi" w:hAnsi="Abadi"/>
          <w:b w:val="0"/>
          <w:bCs w:val="0"/>
          <w:spacing w:val="-2"/>
          <w:sz w:val="21"/>
          <w:szCs w:val="21"/>
        </w:rPr>
        <w:t xml:space="preserve"> </w:t>
      </w:r>
      <w:r w:rsidRPr="001D5134">
        <w:rPr>
          <w:rFonts w:ascii="Abadi" w:hAnsi="Abadi"/>
          <w:b w:val="0"/>
          <w:bCs w:val="0"/>
          <w:sz w:val="21"/>
          <w:szCs w:val="21"/>
        </w:rPr>
        <w:t>integral</w:t>
      </w:r>
      <w:r w:rsidRPr="001D5134">
        <w:rPr>
          <w:rFonts w:ascii="Abadi" w:hAnsi="Abadi"/>
          <w:b w:val="0"/>
          <w:bCs w:val="0"/>
          <w:spacing w:val="18"/>
          <w:sz w:val="21"/>
          <w:szCs w:val="21"/>
        </w:rPr>
        <w:t xml:space="preserve"> </w:t>
      </w:r>
      <w:r w:rsidRPr="001D5134">
        <w:rPr>
          <w:rFonts w:ascii="Abadi" w:hAnsi="Abadi"/>
          <w:b w:val="0"/>
          <w:bCs w:val="0"/>
          <w:sz w:val="21"/>
          <w:szCs w:val="21"/>
        </w:rPr>
        <w:t>al</w:t>
      </w:r>
      <w:r w:rsidRPr="001D5134">
        <w:rPr>
          <w:rFonts w:ascii="Abadi" w:hAnsi="Abadi"/>
          <w:b w:val="0"/>
          <w:bCs w:val="0"/>
          <w:spacing w:val="18"/>
          <w:sz w:val="21"/>
          <w:szCs w:val="21"/>
        </w:rPr>
        <w:t xml:space="preserve"> </w:t>
      </w:r>
      <w:r w:rsidRPr="001D5134">
        <w:rPr>
          <w:rFonts w:ascii="Abadi" w:hAnsi="Abadi"/>
          <w:b w:val="0"/>
          <w:bCs w:val="0"/>
          <w:sz w:val="21"/>
          <w:szCs w:val="21"/>
        </w:rPr>
        <w:t>municipio</w:t>
      </w:r>
      <w:r w:rsidRPr="001D5134">
        <w:rPr>
          <w:rFonts w:ascii="Abadi" w:hAnsi="Abadi"/>
          <w:b w:val="0"/>
          <w:bCs w:val="0"/>
          <w:spacing w:val="18"/>
          <w:sz w:val="21"/>
          <w:szCs w:val="21"/>
        </w:rPr>
        <w:t xml:space="preserve"> </w:t>
      </w:r>
      <w:r w:rsidRPr="001D5134">
        <w:rPr>
          <w:rFonts w:ascii="Abadi" w:hAnsi="Abadi"/>
          <w:b w:val="0"/>
          <w:bCs w:val="0"/>
          <w:sz w:val="21"/>
          <w:szCs w:val="21"/>
        </w:rPr>
        <w:t>de</w:t>
      </w:r>
      <w:r w:rsidRPr="001D5134">
        <w:rPr>
          <w:rFonts w:ascii="Abadi" w:hAnsi="Abadi"/>
          <w:b w:val="0"/>
          <w:bCs w:val="0"/>
          <w:spacing w:val="18"/>
          <w:sz w:val="21"/>
          <w:szCs w:val="21"/>
        </w:rPr>
        <w:t xml:space="preserve"> </w:t>
      </w:r>
      <w:r w:rsidRPr="001D5134">
        <w:rPr>
          <w:rFonts w:ascii="Abadi" w:hAnsi="Abadi"/>
          <w:b w:val="0"/>
          <w:bCs w:val="0"/>
          <w:sz w:val="21"/>
          <w:szCs w:val="21"/>
        </w:rPr>
        <w:t>Cortazar,</w:t>
      </w:r>
      <w:r w:rsidRPr="001D5134">
        <w:rPr>
          <w:rFonts w:ascii="Abadi" w:hAnsi="Abadi"/>
          <w:b w:val="0"/>
          <w:bCs w:val="0"/>
          <w:spacing w:val="18"/>
          <w:sz w:val="21"/>
          <w:szCs w:val="21"/>
        </w:rPr>
        <w:t xml:space="preserve"> </w:t>
      </w:r>
      <w:r w:rsidRPr="001D5134">
        <w:rPr>
          <w:rFonts w:ascii="Abadi" w:hAnsi="Abadi"/>
          <w:b w:val="0"/>
          <w:bCs w:val="0"/>
          <w:sz w:val="21"/>
          <w:szCs w:val="21"/>
        </w:rPr>
        <w:t>Gto.,</w:t>
      </w:r>
      <w:r w:rsidRPr="001D5134">
        <w:rPr>
          <w:rFonts w:ascii="Abadi" w:hAnsi="Abadi"/>
          <w:b w:val="0"/>
          <w:bCs w:val="0"/>
          <w:spacing w:val="18"/>
          <w:sz w:val="21"/>
          <w:szCs w:val="21"/>
        </w:rPr>
        <w:t xml:space="preserve"> </w:t>
      </w:r>
      <w:r w:rsidRPr="001D5134">
        <w:rPr>
          <w:rFonts w:ascii="Abadi" w:hAnsi="Abadi"/>
          <w:b w:val="0"/>
          <w:bCs w:val="0"/>
          <w:sz w:val="21"/>
          <w:szCs w:val="21"/>
        </w:rPr>
        <w:t>por</w:t>
      </w:r>
      <w:r w:rsidRPr="001D5134">
        <w:rPr>
          <w:rFonts w:ascii="Abadi" w:hAnsi="Abadi"/>
          <w:b w:val="0"/>
          <w:bCs w:val="0"/>
          <w:spacing w:val="18"/>
          <w:sz w:val="21"/>
          <w:szCs w:val="21"/>
        </w:rPr>
        <w:t xml:space="preserve"> </w:t>
      </w:r>
      <w:r w:rsidRPr="001D5134">
        <w:rPr>
          <w:rFonts w:ascii="Abadi" w:hAnsi="Abadi"/>
          <w:b w:val="0"/>
          <w:bCs w:val="0"/>
          <w:sz w:val="21"/>
          <w:szCs w:val="21"/>
        </w:rPr>
        <w:t>los</w:t>
      </w:r>
      <w:r w:rsidRPr="001D5134">
        <w:rPr>
          <w:rFonts w:ascii="Abadi" w:hAnsi="Abadi"/>
          <w:b w:val="0"/>
          <w:bCs w:val="0"/>
          <w:spacing w:val="18"/>
          <w:sz w:val="21"/>
          <w:szCs w:val="21"/>
        </w:rPr>
        <w:t xml:space="preserve"> </w:t>
      </w:r>
      <w:r w:rsidRPr="001D5134">
        <w:rPr>
          <w:rFonts w:ascii="Abadi" w:hAnsi="Abadi"/>
          <w:b w:val="0"/>
          <w:bCs w:val="0"/>
          <w:sz w:val="21"/>
          <w:szCs w:val="21"/>
        </w:rPr>
        <w:t>ejercicios</w:t>
      </w:r>
      <w:r w:rsidRPr="001D5134">
        <w:rPr>
          <w:rFonts w:ascii="Abadi" w:hAnsi="Abadi"/>
          <w:b w:val="0"/>
          <w:bCs w:val="0"/>
          <w:spacing w:val="18"/>
          <w:sz w:val="21"/>
          <w:szCs w:val="21"/>
        </w:rPr>
        <w:t xml:space="preserve"> </w:t>
      </w:r>
      <w:r w:rsidRPr="001D5134">
        <w:rPr>
          <w:rFonts w:ascii="Abadi" w:hAnsi="Abadi"/>
          <w:b w:val="0"/>
          <w:bCs w:val="0"/>
          <w:sz w:val="21"/>
          <w:szCs w:val="21"/>
        </w:rPr>
        <w:t>fiscales</w:t>
      </w:r>
      <w:r w:rsidRPr="001D5134">
        <w:rPr>
          <w:rFonts w:ascii="Abadi" w:hAnsi="Abadi"/>
          <w:b w:val="0"/>
          <w:bCs w:val="0"/>
          <w:spacing w:val="18"/>
          <w:sz w:val="21"/>
          <w:szCs w:val="21"/>
        </w:rPr>
        <w:t xml:space="preserve"> </w:t>
      </w:r>
      <w:r w:rsidRPr="001D5134">
        <w:rPr>
          <w:rFonts w:ascii="Abadi" w:hAnsi="Abadi"/>
          <w:b w:val="0"/>
          <w:bCs w:val="0"/>
          <w:sz w:val="21"/>
          <w:szCs w:val="21"/>
        </w:rPr>
        <w:t>de</w:t>
      </w:r>
      <w:r w:rsidRPr="001D5134">
        <w:rPr>
          <w:rFonts w:ascii="Abadi" w:hAnsi="Abadi"/>
          <w:b w:val="0"/>
          <w:bCs w:val="0"/>
          <w:spacing w:val="18"/>
          <w:sz w:val="21"/>
          <w:szCs w:val="21"/>
        </w:rPr>
        <w:t xml:space="preserve"> </w:t>
      </w:r>
      <w:r w:rsidRPr="001D5134">
        <w:rPr>
          <w:rFonts w:ascii="Abadi" w:hAnsi="Abadi"/>
          <w:b w:val="0"/>
          <w:bCs w:val="0"/>
          <w:sz w:val="21"/>
          <w:szCs w:val="21"/>
        </w:rPr>
        <w:t>2019,</w:t>
      </w:r>
      <w:r w:rsidRPr="001D5134">
        <w:rPr>
          <w:rFonts w:ascii="Abadi" w:hAnsi="Abadi"/>
          <w:b w:val="0"/>
          <w:bCs w:val="0"/>
          <w:spacing w:val="-2"/>
          <w:sz w:val="21"/>
          <w:szCs w:val="21"/>
        </w:rPr>
        <w:t xml:space="preserve"> </w:t>
      </w:r>
      <w:r w:rsidRPr="001D5134">
        <w:rPr>
          <w:rFonts w:ascii="Abadi" w:hAnsi="Abadi"/>
          <w:b w:val="0"/>
          <w:bCs w:val="0"/>
          <w:sz w:val="21"/>
          <w:szCs w:val="21"/>
        </w:rPr>
        <w:t>2020</w:t>
      </w:r>
      <w:r w:rsidRPr="001D5134">
        <w:rPr>
          <w:rFonts w:ascii="Abadi" w:hAnsi="Abadi"/>
          <w:b w:val="0"/>
          <w:bCs w:val="0"/>
          <w:spacing w:val="80"/>
          <w:sz w:val="21"/>
          <w:szCs w:val="21"/>
        </w:rPr>
        <w:t xml:space="preserve"> </w:t>
      </w:r>
      <w:r w:rsidRPr="001D5134">
        <w:rPr>
          <w:rFonts w:ascii="Abadi" w:hAnsi="Abadi"/>
          <w:b w:val="0"/>
          <w:bCs w:val="0"/>
          <w:sz w:val="21"/>
          <w:szCs w:val="21"/>
        </w:rPr>
        <w:t>y</w:t>
      </w:r>
      <w:r w:rsidRPr="001D5134">
        <w:rPr>
          <w:rFonts w:ascii="Abadi" w:hAnsi="Abadi"/>
          <w:b w:val="0"/>
          <w:bCs w:val="0"/>
          <w:spacing w:val="80"/>
          <w:sz w:val="21"/>
          <w:szCs w:val="21"/>
        </w:rPr>
        <w:t xml:space="preserve"> </w:t>
      </w:r>
      <w:r w:rsidRPr="001D5134">
        <w:rPr>
          <w:rFonts w:ascii="Abadi" w:hAnsi="Abadi"/>
          <w:b w:val="0"/>
          <w:bCs w:val="0"/>
          <w:sz w:val="21"/>
          <w:szCs w:val="21"/>
        </w:rPr>
        <w:t>2021;</w:t>
      </w:r>
      <w:r w:rsidRPr="001D5134">
        <w:rPr>
          <w:rFonts w:ascii="Abadi" w:hAnsi="Abadi"/>
          <w:b w:val="0"/>
          <w:bCs w:val="0"/>
          <w:spacing w:val="80"/>
          <w:sz w:val="21"/>
          <w:szCs w:val="21"/>
        </w:rPr>
        <w:t xml:space="preserve"> </w:t>
      </w:r>
      <w:r w:rsidRPr="001D5134">
        <w:rPr>
          <w:rFonts w:ascii="Abadi" w:hAnsi="Abadi"/>
          <w:b w:val="0"/>
          <w:bCs w:val="0"/>
          <w:sz w:val="21"/>
          <w:szCs w:val="21"/>
        </w:rPr>
        <w:t>y</w:t>
      </w:r>
      <w:r w:rsidRPr="001D5134">
        <w:rPr>
          <w:rFonts w:ascii="Abadi" w:hAnsi="Abadi"/>
          <w:b w:val="0"/>
          <w:bCs w:val="0"/>
          <w:spacing w:val="80"/>
          <w:sz w:val="21"/>
          <w:szCs w:val="21"/>
        </w:rPr>
        <w:t xml:space="preserve"> </w:t>
      </w:r>
      <w:r w:rsidRPr="001D5134">
        <w:rPr>
          <w:rFonts w:ascii="Abadi" w:hAnsi="Abadi"/>
          <w:b w:val="0"/>
          <w:bCs w:val="0"/>
          <w:sz w:val="21"/>
          <w:szCs w:val="21"/>
        </w:rPr>
        <w:t>realice</w:t>
      </w:r>
      <w:r w:rsidRPr="001D5134">
        <w:rPr>
          <w:rFonts w:ascii="Abadi" w:hAnsi="Abadi"/>
          <w:b w:val="0"/>
          <w:bCs w:val="0"/>
          <w:spacing w:val="80"/>
          <w:sz w:val="21"/>
          <w:szCs w:val="21"/>
        </w:rPr>
        <w:t xml:space="preserve"> </w:t>
      </w:r>
      <w:r w:rsidRPr="001D5134">
        <w:rPr>
          <w:rFonts w:ascii="Abadi" w:hAnsi="Abadi"/>
          <w:b w:val="0"/>
          <w:bCs w:val="0"/>
          <w:sz w:val="21"/>
          <w:szCs w:val="21"/>
        </w:rPr>
        <w:t>las</w:t>
      </w:r>
      <w:r w:rsidRPr="001D5134">
        <w:rPr>
          <w:rFonts w:ascii="Abadi" w:hAnsi="Abadi"/>
          <w:b w:val="0"/>
          <w:bCs w:val="0"/>
          <w:spacing w:val="80"/>
          <w:sz w:val="21"/>
          <w:szCs w:val="21"/>
        </w:rPr>
        <w:t xml:space="preserve"> </w:t>
      </w:r>
      <w:r w:rsidRPr="001D5134">
        <w:rPr>
          <w:rFonts w:ascii="Abadi" w:hAnsi="Abadi"/>
          <w:b w:val="0"/>
          <w:bCs w:val="0"/>
          <w:sz w:val="21"/>
          <w:szCs w:val="21"/>
        </w:rPr>
        <w:t>investigaciones</w:t>
      </w:r>
      <w:r w:rsidRPr="001D5134">
        <w:rPr>
          <w:rFonts w:ascii="Abadi" w:hAnsi="Abadi"/>
          <w:b w:val="0"/>
          <w:bCs w:val="0"/>
          <w:spacing w:val="80"/>
          <w:sz w:val="21"/>
          <w:szCs w:val="21"/>
        </w:rPr>
        <w:t xml:space="preserve"> </w:t>
      </w:r>
      <w:r w:rsidRPr="001D5134">
        <w:rPr>
          <w:rFonts w:ascii="Abadi" w:hAnsi="Abadi"/>
          <w:b w:val="0"/>
          <w:bCs w:val="0"/>
          <w:sz w:val="21"/>
          <w:szCs w:val="21"/>
        </w:rPr>
        <w:t>necesarias</w:t>
      </w:r>
      <w:r w:rsidRPr="001D5134">
        <w:rPr>
          <w:rFonts w:ascii="Abadi" w:hAnsi="Abadi"/>
          <w:b w:val="0"/>
          <w:bCs w:val="0"/>
          <w:spacing w:val="80"/>
          <w:sz w:val="21"/>
          <w:szCs w:val="21"/>
        </w:rPr>
        <w:t xml:space="preserve"> </w:t>
      </w:r>
      <w:r w:rsidRPr="001D5134">
        <w:rPr>
          <w:rFonts w:ascii="Abadi" w:hAnsi="Abadi"/>
          <w:b w:val="0"/>
          <w:bCs w:val="0"/>
          <w:sz w:val="21"/>
          <w:szCs w:val="21"/>
        </w:rPr>
        <w:t>e</w:t>
      </w:r>
      <w:r w:rsidRPr="001D5134">
        <w:rPr>
          <w:rFonts w:ascii="Abadi" w:hAnsi="Abadi"/>
          <w:b w:val="0"/>
          <w:bCs w:val="0"/>
          <w:spacing w:val="80"/>
          <w:sz w:val="21"/>
          <w:szCs w:val="21"/>
        </w:rPr>
        <w:t xml:space="preserve"> </w:t>
      </w:r>
      <w:r w:rsidRPr="001D5134">
        <w:rPr>
          <w:rFonts w:ascii="Abadi" w:hAnsi="Abadi"/>
          <w:b w:val="0"/>
          <w:bCs w:val="0"/>
          <w:sz w:val="21"/>
          <w:szCs w:val="21"/>
        </w:rPr>
        <w:t>informe</w:t>
      </w:r>
      <w:r w:rsidRPr="001D5134">
        <w:rPr>
          <w:rFonts w:ascii="Abadi" w:hAnsi="Abadi"/>
          <w:b w:val="0"/>
          <w:bCs w:val="0"/>
          <w:spacing w:val="80"/>
          <w:sz w:val="21"/>
          <w:szCs w:val="21"/>
        </w:rPr>
        <w:t xml:space="preserve"> </w:t>
      </w:r>
      <w:r w:rsidRPr="001D5134">
        <w:rPr>
          <w:rFonts w:ascii="Abadi" w:hAnsi="Abadi"/>
          <w:b w:val="0"/>
          <w:bCs w:val="0"/>
          <w:sz w:val="21"/>
          <w:szCs w:val="21"/>
        </w:rPr>
        <w:t>a</w:t>
      </w:r>
      <w:r w:rsidRPr="001D5134">
        <w:rPr>
          <w:rFonts w:ascii="Abadi" w:hAnsi="Abadi"/>
          <w:b w:val="0"/>
          <w:bCs w:val="0"/>
          <w:spacing w:val="80"/>
          <w:sz w:val="21"/>
          <w:szCs w:val="21"/>
        </w:rPr>
        <w:t xml:space="preserve"> </w:t>
      </w:r>
      <w:r w:rsidRPr="001D5134">
        <w:rPr>
          <w:rFonts w:ascii="Abadi" w:hAnsi="Abadi"/>
          <w:b w:val="0"/>
          <w:bCs w:val="0"/>
          <w:sz w:val="21"/>
          <w:szCs w:val="21"/>
        </w:rPr>
        <w:t>la</w:t>
      </w:r>
      <w:r w:rsidRPr="001D5134">
        <w:rPr>
          <w:rFonts w:ascii="Abadi" w:hAnsi="Abadi"/>
          <w:b w:val="0"/>
          <w:bCs w:val="0"/>
          <w:spacing w:val="-2"/>
          <w:sz w:val="21"/>
          <w:szCs w:val="21"/>
        </w:rPr>
        <w:t xml:space="preserve"> </w:t>
      </w:r>
      <w:r w:rsidRPr="001D5134">
        <w:rPr>
          <w:rFonts w:ascii="Abadi" w:hAnsi="Abadi"/>
          <w:b w:val="0"/>
          <w:bCs w:val="0"/>
          <w:sz w:val="21"/>
          <w:szCs w:val="21"/>
        </w:rPr>
        <w:t>brevedad</w:t>
      </w:r>
      <w:r w:rsidRPr="001D5134">
        <w:rPr>
          <w:rFonts w:ascii="Abadi" w:hAnsi="Abadi"/>
          <w:b w:val="0"/>
          <w:bCs w:val="0"/>
          <w:spacing w:val="-10"/>
          <w:sz w:val="21"/>
          <w:szCs w:val="21"/>
        </w:rPr>
        <w:t xml:space="preserve"> </w:t>
      </w:r>
      <w:r w:rsidRPr="001D5134">
        <w:rPr>
          <w:rFonts w:ascii="Abadi" w:hAnsi="Abadi"/>
          <w:b w:val="0"/>
          <w:bCs w:val="0"/>
          <w:sz w:val="21"/>
          <w:szCs w:val="21"/>
        </w:rPr>
        <w:t>al</w:t>
      </w:r>
      <w:r w:rsidRPr="001D5134">
        <w:rPr>
          <w:rFonts w:ascii="Abadi" w:hAnsi="Abadi"/>
          <w:b w:val="0"/>
          <w:bCs w:val="0"/>
          <w:spacing w:val="-11"/>
          <w:sz w:val="21"/>
          <w:szCs w:val="21"/>
        </w:rPr>
        <w:t xml:space="preserve"> </w:t>
      </w:r>
      <w:r w:rsidRPr="001D5134">
        <w:rPr>
          <w:rFonts w:ascii="Abadi" w:hAnsi="Abadi"/>
          <w:b w:val="0"/>
          <w:bCs w:val="0"/>
          <w:sz w:val="21"/>
          <w:szCs w:val="21"/>
        </w:rPr>
        <w:t>Congreso</w:t>
      </w:r>
      <w:r w:rsidRPr="001D5134">
        <w:rPr>
          <w:rFonts w:ascii="Abadi" w:hAnsi="Abadi"/>
          <w:b w:val="0"/>
          <w:bCs w:val="0"/>
          <w:spacing w:val="-10"/>
          <w:sz w:val="21"/>
          <w:szCs w:val="21"/>
        </w:rPr>
        <w:t xml:space="preserve"> </w:t>
      </w:r>
      <w:r w:rsidRPr="001D5134">
        <w:rPr>
          <w:rFonts w:ascii="Abadi" w:hAnsi="Abadi"/>
          <w:b w:val="0"/>
          <w:bCs w:val="0"/>
          <w:sz w:val="21"/>
          <w:szCs w:val="21"/>
        </w:rPr>
        <w:t>del</w:t>
      </w:r>
      <w:r w:rsidRPr="001D5134">
        <w:rPr>
          <w:rFonts w:ascii="Abadi" w:hAnsi="Abadi"/>
          <w:b w:val="0"/>
          <w:bCs w:val="0"/>
          <w:spacing w:val="-11"/>
          <w:sz w:val="21"/>
          <w:szCs w:val="21"/>
        </w:rPr>
        <w:t xml:space="preserve"> </w:t>
      </w:r>
      <w:r w:rsidRPr="001D5134">
        <w:rPr>
          <w:rFonts w:ascii="Abadi" w:hAnsi="Abadi"/>
          <w:b w:val="0"/>
          <w:bCs w:val="0"/>
          <w:sz w:val="21"/>
          <w:szCs w:val="21"/>
        </w:rPr>
        <w:t>Estado</w:t>
      </w:r>
      <w:r w:rsidRPr="001D5134">
        <w:rPr>
          <w:rFonts w:ascii="Abadi" w:hAnsi="Abadi"/>
          <w:b w:val="0"/>
          <w:bCs w:val="0"/>
          <w:spacing w:val="-10"/>
          <w:sz w:val="21"/>
          <w:szCs w:val="21"/>
        </w:rPr>
        <w:t xml:space="preserve"> </w:t>
      </w:r>
      <w:r w:rsidRPr="001D5134">
        <w:rPr>
          <w:rFonts w:ascii="Abadi" w:hAnsi="Abadi"/>
          <w:b w:val="0"/>
          <w:bCs w:val="0"/>
          <w:sz w:val="21"/>
          <w:szCs w:val="21"/>
        </w:rPr>
        <w:t>de</w:t>
      </w:r>
      <w:r w:rsidRPr="001D5134">
        <w:rPr>
          <w:rFonts w:ascii="Abadi" w:hAnsi="Abadi"/>
          <w:b w:val="0"/>
          <w:bCs w:val="0"/>
          <w:spacing w:val="-10"/>
          <w:sz w:val="21"/>
          <w:szCs w:val="21"/>
        </w:rPr>
        <w:t xml:space="preserve"> </w:t>
      </w:r>
      <w:r w:rsidRPr="001D5134">
        <w:rPr>
          <w:rFonts w:ascii="Abadi" w:hAnsi="Abadi"/>
          <w:b w:val="0"/>
          <w:bCs w:val="0"/>
          <w:sz w:val="21"/>
          <w:szCs w:val="21"/>
        </w:rPr>
        <w:t>Guanajuato,</w:t>
      </w:r>
      <w:r w:rsidRPr="001D5134">
        <w:rPr>
          <w:rFonts w:ascii="Abadi" w:hAnsi="Abadi"/>
          <w:b w:val="0"/>
          <w:bCs w:val="0"/>
          <w:spacing w:val="-11"/>
          <w:sz w:val="21"/>
          <w:szCs w:val="21"/>
        </w:rPr>
        <w:t xml:space="preserve"> </w:t>
      </w:r>
      <w:r w:rsidRPr="001D5134">
        <w:rPr>
          <w:rFonts w:ascii="Abadi" w:hAnsi="Abadi"/>
          <w:b w:val="0"/>
          <w:bCs w:val="0"/>
          <w:sz w:val="21"/>
          <w:szCs w:val="21"/>
        </w:rPr>
        <w:t>si</w:t>
      </w:r>
      <w:r w:rsidRPr="001D5134">
        <w:rPr>
          <w:rFonts w:ascii="Abadi" w:hAnsi="Abadi"/>
          <w:b w:val="0"/>
          <w:bCs w:val="0"/>
          <w:spacing w:val="-11"/>
          <w:sz w:val="21"/>
          <w:szCs w:val="21"/>
        </w:rPr>
        <w:t xml:space="preserve"> </w:t>
      </w:r>
      <w:r w:rsidRPr="001D5134">
        <w:rPr>
          <w:rFonts w:ascii="Abadi" w:hAnsi="Abadi"/>
          <w:b w:val="0"/>
          <w:bCs w:val="0"/>
          <w:sz w:val="21"/>
          <w:szCs w:val="21"/>
        </w:rPr>
        <w:t>la</w:t>
      </w:r>
      <w:r w:rsidRPr="001D5134">
        <w:rPr>
          <w:rFonts w:ascii="Abadi" w:hAnsi="Abadi"/>
          <w:b w:val="0"/>
          <w:bCs w:val="0"/>
          <w:spacing w:val="-11"/>
          <w:sz w:val="21"/>
          <w:szCs w:val="21"/>
        </w:rPr>
        <w:t xml:space="preserve"> </w:t>
      </w:r>
      <w:r w:rsidRPr="001D5134">
        <w:rPr>
          <w:rFonts w:ascii="Abadi" w:hAnsi="Abadi"/>
          <w:b w:val="0"/>
          <w:bCs w:val="0"/>
          <w:sz w:val="21"/>
          <w:szCs w:val="21"/>
        </w:rPr>
        <w:t>Contraloría</w:t>
      </w:r>
      <w:r w:rsidRPr="001D5134">
        <w:rPr>
          <w:rFonts w:ascii="Abadi" w:hAnsi="Abadi"/>
          <w:b w:val="0"/>
          <w:bCs w:val="0"/>
          <w:spacing w:val="-9"/>
          <w:sz w:val="21"/>
          <w:szCs w:val="21"/>
        </w:rPr>
        <w:t xml:space="preserve"> </w:t>
      </w:r>
      <w:r w:rsidRPr="001D5134">
        <w:rPr>
          <w:rFonts w:ascii="Abadi" w:hAnsi="Abadi"/>
          <w:b w:val="0"/>
          <w:bCs w:val="0"/>
          <w:sz w:val="21"/>
          <w:szCs w:val="21"/>
        </w:rPr>
        <w:t>Municipal</w:t>
      </w:r>
      <w:r w:rsidRPr="001D5134">
        <w:rPr>
          <w:rFonts w:ascii="Abadi" w:hAnsi="Abadi"/>
          <w:b w:val="0"/>
          <w:bCs w:val="0"/>
          <w:spacing w:val="-2"/>
          <w:sz w:val="21"/>
          <w:szCs w:val="21"/>
        </w:rPr>
        <w:t xml:space="preserve"> </w:t>
      </w:r>
      <w:r w:rsidRPr="001D5134">
        <w:rPr>
          <w:rFonts w:ascii="Abadi" w:hAnsi="Abadi"/>
          <w:b w:val="0"/>
          <w:bCs w:val="0"/>
          <w:sz w:val="21"/>
          <w:szCs w:val="21"/>
        </w:rPr>
        <w:t>inició</w:t>
      </w:r>
      <w:r w:rsidRPr="001D5134">
        <w:rPr>
          <w:rFonts w:ascii="Abadi" w:hAnsi="Abadi"/>
          <w:b w:val="0"/>
          <w:bCs w:val="0"/>
          <w:spacing w:val="20"/>
          <w:sz w:val="21"/>
          <w:szCs w:val="21"/>
        </w:rPr>
        <w:t xml:space="preserve"> </w:t>
      </w:r>
      <w:r w:rsidRPr="001D5134">
        <w:rPr>
          <w:rFonts w:ascii="Abadi" w:hAnsi="Abadi"/>
          <w:b w:val="0"/>
          <w:bCs w:val="0"/>
          <w:sz w:val="21"/>
          <w:szCs w:val="21"/>
        </w:rPr>
        <w:t>algún</w:t>
      </w:r>
      <w:r w:rsidRPr="001D5134">
        <w:rPr>
          <w:rFonts w:ascii="Abadi" w:hAnsi="Abadi"/>
          <w:b w:val="0"/>
          <w:bCs w:val="0"/>
          <w:spacing w:val="20"/>
          <w:sz w:val="21"/>
          <w:szCs w:val="21"/>
        </w:rPr>
        <w:t xml:space="preserve"> </w:t>
      </w:r>
      <w:r w:rsidRPr="001D5134">
        <w:rPr>
          <w:rFonts w:ascii="Abadi" w:hAnsi="Abadi"/>
          <w:b w:val="0"/>
          <w:bCs w:val="0"/>
          <w:sz w:val="21"/>
          <w:szCs w:val="21"/>
        </w:rPr>
        <w:t>proceso</w:t>
      </w:r>
      <w:r w:rsidRPr="001D5134">
        <w:rPr>
          <w:rFonts w:ascii="Abadi" w:hAnsi="Abadi"/>
          <w:b w:val="0"/>
          <w:bCs w:val="0"/>
          <w:spacing w:val="20"/>
          <w:sz w:val="21"/>
          <w:szCs w:val="21"/>
        </w:rPr>
        <w:t xml:space="preserve"> </w:t>
      </w:r>
      <w:r w:rsidRPr="001D5134">
        <w:rPr>
          <w:rFonts w:ascii="Abadi" w:hAnsi="Abadi"/>
          <w:b w:val="0"/>
          <w:bCs w:val="0"/>
          <w:sz w:val="21"/>
          <w:szCs w:val="21"/>
        </w:rPr>
        <w:t>derivado</w:t>
      </w:r>
      <w:r w:rsidRPr="001D5134">
        <w:rPr>
          <w:rFonts w:ascii="Abadi" w:hAnsi="Abadi"/>
          <w:b w:val="0"/>
          <w:bCs w:val="0"/>
          <w:spacing w:val="20"/>
          <w:sz w:val="21"/>
          <w:szCs w:val="21"/>
        </w:rPr>
        <w:t xml:space="preserve"> </w:t>
      </w:r>
      <w:r w:rsidRPr="001D5134">
        <w:rPr>
          <w:rFonts w:ascii="Abadi" w:hAnsi="Abadi"/>
          <w:b w:val="0"/>
          <w:bCs w:val="0"/>
          <w:sz w:val="21"/>
          <w:szCs w:val="21"/>
        </w:rPr>
        <w:t>de</w:t>
      </w:r>
      <w:r w:rsidRPr="001D5134">
        <w:rPr>
          <w:rFonts w:ascii="Abadi" w:hAnsi="Abadi"/>
          <w:b w:val="0"/>
          <w:bCs w:val="0"/>
          <w:spacing w:val="20"/>
          <w:sz w:val="21"/>
          <w:szCs w:val="21"/>
        </w:rPr>
        <w:t xml:space="preserve"> </w:t>
      </w:r>
      <w:r w:rsidRPr="001D5134">
        <w:rPr>
          <w:rFonts w:ascii="Abadi" w:hAnsi="Abadi"/>
          <w:b w:val="0"/>
          <w:bCs w:val="0"/>
          <w:sz w:val="21"/>
          <w:szCs w:val="21"/>
        </w:rPr>
        <w:t>las</w:t>
      </w:r>
      <w:r w:rsidRPr="001D5134">
        <w:rPr>
          <w:rFonts w:ascii="Abadi" w:hAnsi="Abadi"/>
          <w:b w:val="0"/>
          <w:bCs w:val="0"/>
          <w:spacing w:val="20"/>
          <w:sz w:val="21"/>
          <w:szCs w:val="21"/>
        </w:rPr>
        <w:t xml:space="preserve"> </w:t>
      </w:r>
      <w:r w:rsidRPr="001D5134">
        <w:rPr>
          <w:rFonts w:ascii="Abadi" w:hAnsi="Abadi"/>
          <w:b w:val="0"/>
          <w:bCs w:val="0"/>
          <w:sz w:val="21"/>
          <w:szCs w:val="21"/>
        </w:rPr>
        <w:t>observaciones</w:t>
      </w:r>
      <w:r w:rsidRPr="001D5134">
        <w:rPr>
          <w:rFonts w:ascii="Abadi" w:hAnsi="Abadi"/>
          <w:b w:val="0"/>
          <w:bCs w:val="0"/>
          <w:spacing w:val="20"/>
          <w:sz w:val="21"/>
          <w:szCs w:val="21"/>
        </w:rPr>
        <w:t xml:space="preserve"> </w:t>
      </w:r>
      <w:r w:rsidRPr="001D5134">
        <w:rPr>
          <w:rFonts w:ascii="Abadi" w:hAnsi="Abadi"/>
          <w:b w:val="0"/>
          <w:bCs w:val="0"/>
          <w:sz w:val="21"/>
          <w:szCs w:val="21"/>
        </w:rPr>
        <w:t>no</w:t>
      </w:r>
      <w:r w:rsidRPr="001D5134">
        <w:rPr>
          <w:rFonts w:ascii="Abadi" w:hAnsi="Abadi"/>
          <w:b w:val="0"/>
          <w:bCs w:val="0"/>
          <w:spacing w:val="20"/>
          <w:sz w:val="21"/>
          <w:szCs w:val="21"/>
        </w:rPr>
        <w:t xml:space="preserve"> </w:t>
      </w:r>
      <w:r w:rsidRPr="001D5134">
        <w:rPr>
          <w:rFonts w:ascii="Abadi" w:hAnsi="Abadi"/>
          <w:b w:val="0"/>
          <w:bCs w:val="0"/>
          <w:sz w:val="21"/>
          <w:szCs w:val="21"/>
        </w:rPr>
        <w:t>solventadas</w:t>
      </w:r>
      <w:r w:rsidRPr="001D5134">
        <w:rPr>
          <w:rFonts w:ascii="Abadi" w:hAnsi="Abadi"/>
          <w:b w:val="0"/>
          <w:bCs w:val="0"/>
          <w:spacing w:val="20"/>
          <w:sz w:val="21"/>
          <w:szCs w:val="21"/>
        </w:rPr>
        <w:t xml:space="preserve"> </w:t>
      </w:r>
      <w:r w:rsidRPr="001D5134">
        <w:rPr>
          <w:rFonts w:ascii="Abadi" w:hAnsi="Abadi"/>
          <w:b w:val="0"/>
          <w:bCs w:val="0"/>
          <w:sz w:val="21"/>
          <w:szCs w:val="21"/>
        </w:rPr>
        <w:t>de</w:t>
      </w:r>
      <w:r w:rsidRPr="001D5134">
        <w:rPr>
          <w:rFonts w:ascii="Abadi" w:hAnsi="Abadi"/>
          <w:b w:val="0"/>
          <w:bCs w:val="0"/>
          <w:spacing w:val="20"/>
          <w:sz w:val="21"/>
          <w:szCs w:val="21"/>
        </w:rPr>
        <w:t xml:space="preserve"> </w:t>
      </w:r>
      <w:r w:rsidRPr="001D5134">
        <w:rPr>
          <w:rFonts w:ascii="Abadi" w:hAnsi="Abadi"/>
          <w:b w:val="0"/>
          <w:bCs w:val="0"/>
          <w:sz w:val="21"/>
          <w:szCs w:val="21"/>
        </w:rPr>
        <w:t>las</w:t>
      </w:r>
      <w:r w:rsidRPr="001D5134">
        <w:rPr>
          <w:rFonts w:ascii="Abadi" w:hAnsi="Abadi"/>
          <w:b w:val="0"/>
          <w:bCs w:val="0"/>
          <w:spacing w:val="-2"/>
          <w:sz w:val="21"/>
          <w:szCs w:val="21"/>
        </w:rPr>
        <w:t xml:space="preserve"> </w:t>
      </w:r>
      <w:r w:rsidRPr="001D5134">
        <w:rPr>
          <w:rFonts w:ascii="Abadi" w:hAnsi="Abadi"/>
          <w:b w:val="0"/>
          <w:bCs w:val="0"/>
          <w:sz w:val="21"/>
          <w:szCs w:val="21"/>
        </w:rPr>
        <w:t>auditorías</w:t>
      </w:r>
      <w:r w:rsidRPr="001D5134">
        <w:rPr>
          <w:rFonts w:ascii="Abadi" w:hAnsi="Abadi"/>
          <w:b w:val="0"/>
          <w:bCs w:val="0"/>
          <w:spacing w:val="-1"/>
          <w:sz w:val="21"/>
          <w:szCs w:val="21"/>
        </w:rPr>
        <w:t xml:space="preserve"> </w:t>
      </w:r>
      <w:r w:rsidRPr="001D5134">
        <w:rPr>
          <w:rFonts w:ascii="Abadi" w:hAnsi="Abadi"/>
          <w:b w:val="0"/>
          <w:bCs w:val="0"/>
          <w:sz w:val="21"/>
          <w:szCs w:val="21"/>
        </w:rPr>
        <w:t>practicadas</w:t>
      </w:r>
      <w:r w:rsidRPr="001D5134">
        <w:rPr>
          <w:rFonts w:ascii="Abadi" w:hAnsi="Abadi"/>
          <w:b w:val="0"/>
          <w:bCs w:val="0"/>
          <w:spacing w:val="-1"/>
          <w:sz w:val="21"/>
          <w:szCs w:val="21"/>
        </w:rPr>
        <w:t xml:space="preserve"> </w:t>
      </w:r>
      <w:r w:rsidRPr="001D5134">
        <w:rPr>
          <w:rFonts w:ascii="Abadi" w:hAnsi="Abadi"/>
          <w:b w:val="0"/>
          <w:bCs w:val="0"/>
          <w:sz w:val="21"/>
          <w:szCs w:val="21"/>
        </w:rPr>
        <w:t>a</w:t>
      </w:r>
      <w:r w:rsidRPr="001D5134">
        <w:rPr>
          <w:rFonts w:ascii="Abadi" w:hAnsi="Abadi"/>
          <w:b w:val="0"/>
          <w:bCs w:val="0"/>
          <w:spacing w:val="-1"/>
          <w:sz w:val="21"/>
          <w:szCs w:val="21"/>
        </w:rPr>
        <w:t xml:space="preserve"> </w:t>
      </w:r>
      <w:r w:rsidRPr="001D5134">
        <w:rPr>
          <w:rFonts w:ascii="Abadi" w:hAnsi="Abadi"/>
          <w:b w:val="0"/>
          <w:bCs w:val="0"/>
          <w:sz w:val="21"/>
          <w:szCs w:val="21"/>
        </w:rPr>
        <w:t>la</w:t>
      </w:r>
      <w:r w:rsidRPr="001D5134">
        <w:rPr>
          <w:rFonts w:ascii="Abadi" w:hAnsi="Abadi"/>
          <w:b w:val="0"/>
          <w:bCs w:val="0"/>
          <w:spacing w:val="-1"/>
          <w:sz w:val="21"/>
          <w:szCs w:val="21"/>
        </w:rPr>
        <w:t xml:space="preserve"> </w:t>
      </w:r>
      <w:r w:rsidRPr="001D5134">
        <w:rPr>
          <w:rFonts w:ascii="Abadi" w:hAnsi="Abadi"/>
          <w:b w:val="0"/>
          <w:bCs w:val="0"/>
          <w:sz w:val="21"/>
          <w:szCs w:val="21"/>
        </w:rPr>
        <w:t>administración</w:t>
      </w:r>
      <w:r w:rsidRPr="001D5134">
        <w:rPr>
          <w:rFonts w:ascii="Abadi" w:hAnsi="Abadi"/>
          <w:b w:val="0"/>
          <w:bCs w:val="0"/>
          <w:spacing w:val="-1"/>
          <w:sz w:val="21"/>
          <w:szCs w:val="21"/>
        </w:rPr>
        <w:t xml:space="preserve"> </w:t>
      </w:r>
      <w:r w:rsidRPr="001D5134">
        <w:rPr>
          <w:rFonts w:ascii="Abadi" w:hAnsi="Abadi"/>
          <w:b w:val="0"/>
          <w:bCs w:val="0"/>
          <w:sz w:val="21"/>
          <w:szCs w:val="21"/>
        </w:rPr>
        <w:t>2018-2021</w:t>
      </w:r>
      <w:r w:rsidRPr="001D5134">
        <w:rPr>
          <w:rFonts w:ascii="Abadi" w:hAnsi="Abadi"/>
          <w:b w:val="0"/>
          <w:bCs w:val="0"/>
          <w:spacing w:val="-1"/>
          <w:sz w:val="21"/>
          <w:szCs w:val="21"/>
        </w:rPr>
        <w:t xml:space="preserve"> </w:t>
      </w:r>
      <w:r w:rsidRPr="001D5134">
        <w:rPr>
          <w:rFonts w:ascii="Abadi" w:hAnsi="Abadi"/>
          <w:b w:val="0"/>
          <w:bCs w:val="0"/>
          <w:sz w:val="21"/>
          <w:szCs w:val="21"/>
        </w:rPr>
        <w:t>de</w:t>
      </w:r>
      <w:r w:rsidRPr="001D5134">
        <w:rPr>
          <w:rFonts w:ascii="Abadi" w:hAnsi="Abadi"/>
          <w:b w:val="0"/>
          <w:bCs w:val="0"/>
          <w:spacing w:val="-1"/>
          <w:sz w:val="21"/>
          <w:szCs w:val="21"/>
        </w:rPr>
        <w:t xml:space="preserve"> </w:t>
      </w:r>
      <w:r w:rsidRPr="001D5134">
        <w:rPr>
          <w:rFonts w:ascii="Abadi" w:hAnsi="Abadi"/>
          <w:b w:val="0"/>
          <w:bCs w:val="0"/>
          <w:sz w:val="21"/>
          <w:szCs w:val="21"/>
        </w:rPr>
        <w:t>dicho</w:t>
      </w:r>
      <w:r w:rsidRPr="001D5134">
        <w:rPr>
          <w:rFonts w:ascii="Abadi" w:hAnsi="Abadi"/>
          <w:b w:val="0"/>
          <w:bCs w:val="0"/>
          <w:spacing w:val="-1"/>
          <w:sz w:val="21"/>
          <w:szCs w:val="21"/>
        </w:rPr>
        <w:t xml:space="preserve"> </w:t>
      </w:r>
      <w:r w:rsidRPr="001D5134">
        <w:rPr>
          <w:rFonts w:ascii="Abadi" w:hAnsi="Abadi"/>
          <w:b w:val="0"/>
          <w:bCs w:val="0"/>
          <w:sz w:val="21"/>
          <w:szCs w:val="21"/>
        </w:rPr>
        <w:t>Municipio.</w:t>
      </w:r>
      <w:r>
        <w:rPr>
          <w:rFonts w:ascii="Abadi" w:hAnsi="Abadi"/>
          <w:sz w:val="21"/>
          <w:szCs w:val="21"/>
        </w:rPr>
        <w:t xml:space="preserve"> </w:t>
      </w:r>
      <w:r w:rsidRPr="009A3D12">
        <w:rPr>
          <w:rFonts w:ascii="Abadi" w:hAnsi="Abadi"/>
          <w:sz w:val="21"/>
          <w:szCs w:val="21"/>
        </w:rPr>
        <w:t>XL-</w:t>
      </w:r>
      <w:r>
        <w:rPr>
          <w:rFonts w:ascii="Abadi" w:hAnsi="Abadi"/>
          <w:sz w:val="21"/>
          <w:szCs w:val="21"/>
        </w:rPr>
        <w:t xml:space="preserve"> </w:t>
      </w:r>
      <w:r w:rsidRPr="001D5134">
        <w:rPr>
          <w:rFonts w:ascii="Abadi" w:hAnsi="Abadi"/>
          <w:b w:val="0"/>
          <w:bCs w:val="0"/>
          <w:sz w:val="21"/>
          <w:szCs w:val="21"/>
        </w:rPr>
        <w:t>Discusión</w:t>
      </w:r>
      <w:r w:rsidRPr="001D5134">
        <w:rPr>
          <w:rFonts w:ascii="Abadi" w:hAnsi="Abadi"/>
          <w:b w:val="0"/>
          <w:bCs w:val="0"/>
          <w:spacing w:val="9"/>
          <w:sz w:val="21"/>
          <w:szCs w:val="21"/>
        </w:rPr>
        <w:t xml:space="preserve"> </w:t>
      </w:r>
      <w:r w:rsidRPr="001D5134">
        <w:rPr>
          <w:rFonts w:ascii="Abadi" w:hAnsi="Abadi"/>
          <w:b w:val="0"/>
          <w:bCs w:val="0"/>
          <w:sz w:val="21"/>
          <w:szCs w:val="21"/>
        </w:rPr>
        <w:t>y,</w:t>
      </w:r>
      <w:r w:rsidRPr="001D5134">
        <w:rPr>
          <w:rFonts w:ascii="Abadi" w:hAnsi="Abadi"/>
          <w:b w:val="0"/>
          <w:bCs w:val="0"/>
          <w:spacing w:val="9"/>
          <w:sz w:val="21"/>
          <w:szCs w:val="21"/>
        </w:rPr>
        <w:t xml:space="preserve"> </w:t>
      </w:r>
      <w:r w:rsidRPr="001D5134">
        <w:rPr>
          <w:rFonts w:ascii="Abadi" w:hAnsi="Abadi"/>
          <w:b w:val="0"/>
          <w:bCs w:val="0"/>
          <w:sz w:val="21"/>
          <w:szCs w:val="21"/>
        </w:rPr>
        <w:t>en</w:t>
      </w:r>
      <w:r w:rsidRPr="001D5134">
        <w:rPr>
          <w:rFonts w:ascii="Abadi" w:hAnsi="Abadi"/>
          <w:b w:val="0"/>
          <w:bCs w:val="0"/>
          <w:spacing w:val="9"/>
          <w:sz w:val="21"/>
          <w:szCs w:val="21"/>
        </w:rPr>
        <w:t xml:space="preserve"> </w:t>
      </w:r>
      <w:r w:rsidRPr="001D5134">
        <w:rPr>
          <w:rFonts w:ascii="Abadi" w:hAnsi="Abadi"/>
          <w:b w:val="0"/>
          <w:bCs w:val="0"/>
          <w:sz w:val="21"/>
          <w:szCs w:val="21"/>
        </w:rPr>
        <w:t>su</w:t>
      </w:r>
      <w:r w:rsidRPr="001D5134">
        <w:rPr>
          <w:rFonts w:ascii="Abadi" w:hAnsi="Abadi"/>
          <w:b w:val="0"/>
          <w:bCs w:val="0"/>
          <w:spacing w:val="9"/>
          <w:sz w:val="21"/>
          <w:szCs w:val="21"/>
        </w:rPr>
        <w:t xml:space="preserve"> </w:t>
      </w:r>
      <w:r w:rsidRPr="001D5134">
        <w:rPr>
          <w:rFonts w:ascii="Abadi" w:hAnsi="Abadi"/>
          <w:b w:val="0"/>
          <w:bCs w:val="0"/>
          <w:sz w:val="21"/>
          <w:szCs w:val="21"/>
        </w:rPr>
        <w:t>caso,</w:t>
      </w:r>
      <w:r w:rsidRPr="001D5134">
        <w:rPr>
          <w:rFonts w:ascii="Abadi" w:hAnsi="Abadi"/>
          <w:b w:val="0"/>
          <w:bCs w:val="0"/>
          <w:spacing w:val="9"/>
          <w:sz w:val="21"/>
          <w:szCs w:val="21"/>
        </w:rPr>
        <w:t xml:space="preserve"> </w:t>
      </w:r>
      <w:r w:rsidRPr="001D5134">
        <w:rPr>
          <w:rFonts w:ascii="Abadi" w:hAnsi="Abadi"/>
          <w:b w:val="0"/>
          <w:bCs w:val="0"/>
          <w:sz w:val="21"/>
          <w:szCs w:val="21"/>
        </w:rPr>
        <w:t>aprobación</w:t>
      </w:r>
      <w:r w:rsidRPr="001D5134">
        <w:rPr>
          <w:rFonts w:ascii="Abadi" w:hAnsi="Abadi"/>
          <w:b w:val="0"/>
          <w:bCs w:val="0"/>
          <w:spacing w:val="9"/>
          <w:sz w:val="21"/>
          <w:szCs w:val="21"/>
        </w:rPr>
        <w:t xml:space="preserve"> </w:t>
      </w:r>
      <w:r w:rsidRPr="001D5134">
        <w:rPr>
          <w:rFonts w:ascii="Abadi" w:hAnsi="Abadi"/>
          <w:b w:val="0"/>
          <w:bCs w:val="0"/>
          <w:sz w:val="21"/>
          <w:szCs w:val="21"/>
        </w:rPr>
        <w:t>del</w:t>
      </w:r>
      <w:r w:rsidRPr="001D5134">
        <w:rPr>
          <w:rFonts w:ascii="Abadi" w:hAnsi="Abadi"/>
          <w:b w:val="0"/>
          <w:bCs w:val="0"/>
          <w:spacing w:val="9"/>
          <w:sz w:val="21"/>
          <w:szCs w:val="21"/>
        </w:rPr>
        <w:t xml:space="preserve"> </w:t>
      </w:r>
      <w:r w:rsidRPr="001D5134">
        <w:rPr>
          <w:rFonts w:ascii="Abadi" w:hAnsi="Abadi"/>
          <w:b w:val="0"/>
          <w:bCs w:val="0"/>
          <w:sz w:val="21"/>
          <w:szCs w:val="21"/>
        </w:rPr>
        <w:t>dictamen</w:t>
      </w:r>
      <w:r w:rsidRPr="001D5134">
        <w:rPr>
          <w:rFonts w:ascii="Abadi" w:hAnsi="Abadi"/>
          <w:b w:val="0"/>
          <w:bCs w:val="0"/>
          <w:spacing w:val="9"/>
          <w:sz w:val="21"/>
          <w:szCs w:val="21"/>
        </w:rPr>
        <w:t xml:space="preserve"> </w:t>
      </w:r>
      <w:r w:rsidRPr="001D5134">
        <w:rPr>
          <w:rFonts w:ascii="Abadi" w:hAnsi="Abadi"/>
          <w:b w:val="0"/>
          <w:bCs w:val="0"/>
          <w:sz w:val="21"/>
          <w:szCs w:val="21"/>
        </w:rPr>
        <w:t>signado</w:t>
      </w:r>
      <w:r w:rsidRPr="001D5134">
        <w:rPr>
          <w:rFonts w:ascii="Abadi" w:hAnsi="Abadi"/>
          <w:b w:val="0"/>
          <w:bCs w:val="0"/>
          <w:spacing w:val="9"/>
          <w:sz w:val="21"/>
          <w:szCs w:val="21"/>
        </w:rPr>
        <w:t xml:space="preserve"> </w:t>
      </w:r>
      <w:r w:rsidRPr="001D5134">
        <w:rPr>
          <w:rFonts w:ascii="Abadi" w:hAnsi="Abadi"/>
          <w:b w:val="0"/>
          <w:bCs w:val="0"/>
          <w:sz w:val="21"/>
          <w:szCs w:val="21"/>
        </w:rPr>
        <w:t>por</w:t>
      </w:r>
      <w:r w:rsidRPr="001D5134">
        <w:rPr>
          <w:rFonts w:ascii="Abadi" w:hAnsi="Abadi"/>
          <w:b w:val="0"/>
          <w:bCs w:val="0"/>
          <w:spacing w:val="9"/>
          <w:sz w:val="21"/>
          <w:szCs w:val="21"/>
        </w:rPr>
        <w:t xml:space="preserve"> </w:t>
      </w:r>
      <w:r w:rsidRPr="001D5134">
        <w:rPr>
          <w:rFonts w:ascii="Abadi" w:hAnsi="Abadi"/>
          <w:b w:val="0"/>
          <w:bCs w:val="0"/>
          <w:sz w:val="21"/>
          <w:szCs w:val="21"/>
        </w:rPr>
        <w:t>la</w:t>
      </w:r>
      <w:r w:rsidRPr="001D5134">
        <w:rPr>
          <w:rFonts w:ascii="Abadi" w:hAnsi="Abadi"/>
          <w:b w:val="0"/>
          <w:bCs w:val="0"/>
          <w:spacing w:val="9"/>
          <w:sz w:val="21"/>
          <w:szCs w:val="21"/>
        </w:rPr>
        <w:t xml:space="preserve"> </w:t>
      </w:r>
      <w:r w:rsidRPr="001D5134">
        <w:rPr>
          <w:rFonts w:ascii="Abadi" w:hAnsi="Abadi"/>
          <w:b w:val="0"/>
          <w:bCs w:val="0"/>
          <w:sz w:val="21"/>
          <w:szCs w:val="21"/>
        </w:rPr>
        <w:t>Comisión</w:t>
      </w:r>
      <w:r w:rsidRPr="001D5134">
        <w:rPr>
          <w:rFonts w:ascii="Abadi" w:hAnsi="Abadi"/>
          <w:b w:val="0"/>
          <w:bCs w:val="0"/>
          <w:spacing w:val="-1"/>
          <w:sz w:val="21"/>
          <w:szCs w:val="21"/>
        </w:rPr>
        <w:t xml:space="preserve"> </w:t>
      </w:r>
      <w:r w:rsidRPr="001D5134">
        <w:rPr>
          <w:rFonts w:ascii="Abadi" w:hAnsi="Abadi"/>
          <w:b w:val="0"/>
          <w:bCs w:val="0"/>
          <w:sz w:val="21"/>
          <w:szCs w:val="21"/>
        </w:rPr>
        <w:t>de</w:t>
      </w:r>
      <w:r w:rsidRPr="001D5134">
        <w:rPr>
          <w:rFonts w:ascii="Abadi" w:hAnsi="Abadi"/>
          <w:b w:val="0"/>
          <w:bCs w:val="0"/>
          <w:spacing w:val="33"/>
          <w:sz w:val="21"/>
          <w:szCs w:val="21"/>
        </w:rPr>
        <w:t xml:space="preserve"> </w:t>
      </w:r>
      <w:r w:rsidRPr="001D5134">
        <w:rPr>
          <w:rFonts w:ascii="Abadi" w:hAnsi="Abadi"/>
          <w:b w:val="0"/>
          <w:bCs w:val="0"/>
          <w:sz w:val="21"/>
          <w:szCs w:val="21"/>
        </w:rPr>
        <w:t>Hacienda</w:t>
      </w:r>
      <w:r w:rsidRPr="001D5134">
        <w:rPr>
          <w:rFonts w:ascii="Abadi" w:hAnsi="Abadi"/>
          <w:b w:val="0"/>
          <w:bCs w:val="0"/>
          <w:spacing w:val="32"/>
          <w:sz w:val="21"/>
          <w:szCs w:val="21"/>
        </w:rPr>
        <w:t xml:space="preserve"> </w:t>
      </w:r>
      <w:r w:rsidRPr="001D5134">
        <w:rPr>
          <w:rFonts w:ascii="Abadi" w:hAnsi="Abadi"/>
          <w:b w:val="0"/>
          <w:bCs w:val="0"/>
          <w:sz w:val="21"/>
          <w:szCs w:val="21"/>
        </w:rPr>
        <w:t>y</w:t>
      </w:r>
      <w:r w:rsidRPr="001D5134">
        <w:rPr>
          <w:rFonts w:ascii="Abadi" w:hAnsi="Abadi"/>
          <w:b w:val="0"/>
          <w:bCs w:val="0"/>
          <w:spacing w:val="32"/>
          <w:sz w:val="21"/>
          <w:szCs w:val="21"/>
        </w:rPr>
        <w:t xml:space="preserve"> </w:t>
      </w:r>
      <w:r w:rsidRPr="001D5134">
        <w:rPr>
          <w:rFonts w:ascii="Abadi" w:hAnsi="Abadi"/>
          <w:b w:val="0"/>
          <w:bCs w:val="0"/>
          <w:sz w:val="21"/>
          <w:szCs w:val="21"/>
        </w:rPr>
        <w:t>Fiscalización</w:t>
      </w:r>
      <w:r w:rsidRPr="001D5134">
        <w:rPr>
          <w:rFonts w:ascii="Abadi" w:hAnsi="Abadi"/>
          <w:b w:val="0"/>
          <w:bCs w:val="0"/>
          <w:spacing w:val="32"/>
          <w:sz w:val="21"/>
          <w:szCs w:val="21"/>
        </w:rPr>
        <w:t xml:space="preserve"> </w:t>
      </w:r>
      <w:r w:rsidRPr="001D5134">
        <w:rPr>
          <w:rFonts w:ascii="Abadi" w:hAnsi="Abadi"/>
          <w:b w:val="0"/>
          <w:bCs w:val="0"/>
          <w:sz w:val="21"/>
          <w:szCs w:val="21"/>
        </w:rPr>
        <w:t>relativo</w:t>
      </w:r>
      <w:r w:rsidRPr="001D5134">
        <w:rPr>
          <w:rFonts w:ascii="Abadi" w:hAnsi="Abadi"/>
          <w:b w:val="0"/>
          <w:bCs w:val="0"/>
          <w:spacing w:val="32"/>
          <w:sz w:val="21"/>
          <w:szCs w:val="21"/>
        </w:rPr>
        <w:t xml:space="preserve"> </w:t>
      </w:r>
      <w:r w:rsidRPr="001D5134">
        <w:rPr>
          <w:rFonts w:ascii="Abadi" w:hAnsi="Abadi"/>
          <w:b w:val="0"/>
          <w:bCs w:val="0"/>
          <w:sz w:val="21"/>
          <w:szCs w:val="21"/>
        </w:rPr>
        <w:t>a</w:t>
      </w:r>
      <w:r w:rsidRPr="001D5134">
        <w:rPr>
          <w:rFonts w:ascii="Abadi" w:hAnsi="Abadi"/>
          <w:b w:val="0"/>
          <w:bCs w:val="0"/>
          <w:spacing w:val="33"/>
          <w:sz w:val="21"/>
          <w:szCs w:val="21"/>
        </w:rPr>
        <w:t xml:space="preserve"> </w:t>
      </w:r>
      <w:r w:rsidRPr="001D5134">
        <w:rPr>
          <w:rFonts w:ascii="Abadi" w:hAnsi="Abadi"/>
          <w:b w:val="0"/>
          <w:bCs w:val="0"/>
          <w:sz w:val="21"/>
          <w:szCs w:val="21"/>
        </w:rPr>
        <w:t>la</w:t>
      </w:r>
      <w:r w:rsidRPr="001D5134">
        <w:rPr>
          <w:rFonts w:ascii="Abadi" w:hAnsi="Abadi"/>
          <w:b w:val="0"/>
          <w:bCs w:val="0"/>
          <w:spacing w:val="33"/>
          <w:sz w:val="21"/>
          <w:szCs w:val="21"/>
        </w:rPr>
        <w:t xml:space="preserve"> </w:t>
      </w:r>
      <w:r w:rsidRPr="001D5134">
        <w:rPr>
          <w:rFonts w:ascii="Abadi" w:hAnsi="Abadi"/>
          <w:b w:val="0"/>
          <w:bCs w:val="0"/>
          <w:sz w:val="21"/>
          <w:szCs w:val="21"/>
        </w:rPr>
        <w:t>propuesta</w:t>
      </w:r>
      <w:r w:rsidRPr="001D5134">
        <w:rPr>
          <w:rFonts w:ascii="Abadi" w:hAnsi="Abadi"/>
          <w:b w:val="0"/>
          <w:bCs w:val="0"/>
          <w:spacing w:val="32"/>
          <w:sz w:val="21"/>
          <w:szCs w:val="21"/>
        </w:rPr>
        <w:t xml:space="preserve"> </w:t>
      </w:r>
      <w:r w:rsidRPr="001D5134">
        <w:rPr>
          <w:rFonts w:ascii="Abadi" w:hAnsi="Abadi"/>
          <w:b w:val="0"/>
          <w:bCs w:val="0"/>
          <w:sz w:val="21"/>
          <w:szCs w:val="21"/>
        </w:rPr>
        <w:t>de</w:t>
      </w:r>
      <w:r w:rsidRPr="001D5134">
        <w:rPr>
          <w:rFonts w:ascii="Abadi" w:hAnsi="Abadi"/>
          <w:b w:val="0"/>
          <w:bCs w:val="0"/>
          <w:spacing w:val="32"/>
          <w:sz w:val="21"/>
          <w:szCs w:val="21"/>
        </w:rPr>
        <w:t xml:space="preserve"> </w:t>
      </w:r>
      <w:r w:rsidRPr="001D5134">
        <w:rPr>
          <w:rFonts w:ascii="Abadi" w:hAnsi="Abadi"/>
          <w:b w:val="0"/>
          <w:bCs w:val="0"/>
          <w:sz w:val="21"/>
          <w:szCs w:val="21"/>
        </w:rPr>
        <w:t>punto</w:t>
      </w:r>
      <w:r w:rsidRPr="001D5134">
        <w:rPr>
          <w:rFonts w:ascii="Abadi" w:hAnsi="Abadi"/>
          <w:b w:val="0"/>
          <w:bCs w:val="0"/>
          <w:spacing w:val="32"/>
          <w:sz w:val="21"/>
          <w:szCs w:val="21"/>
        </w:rPr>
        <w:t xml:space="preserve"> </w:t>
      </w:r>
      <w:r w:rsidRPr="001D5134">
        <w:rPr>
          <w:rFonts w:ascii="Abadi" w:hAnsi="Abadi"/>
          <w:b w:val="0"/>
          <w:bCs w:val="0"/>
          <w:sz w:val="21"/>
          <w:szCs w:val="21"/>
        </w:rPr>
        <w:t>de</w:t>
      </w:r>
      <w:r w:rsidRPr="001D5134">
        <w:rPr>
          <w:rFonts w:ascii="Abadi" w:hAnsi="Abadi"/>
          <w:b w:val="0"/>
          <w:bCs w:val="0"/>
          <w:spacing w:val="32"/>
          <w:sz w:val="21"/>
          <w:szCs w:val="21"/>
        </w:rPr>
        <w:t xml:space="preserve"> </w:t>
      </w:r>
      <w:r w:rsidRPr="001D5134">
        <w:rPr>
          <w:rFonts w:ascii="Abadi" w:hAnsi="Abadi"/>
          <w:b w:val="0"/>
          <w:bCs w:val="0"/>
          <w:sz w:val="21"/>
          <w:szCs w:val="21"/>
        </w:rPr>
        <w:t>acuerdo</w:t>
      </w:r>
      <w:r w:rsidRPr="001D5134">
        <w:rPr>
          <w:rFonts w:ascii="Abadi" w:hAnsi="Abadi"/>
          <w:b w:val="0"/>
          <w:bCs w:val="0"/>
          <w:spacing w:val="-1"/>
          <w:sz w:val="21"/>
          <w:szCs w:val="21"/>
        </w:rPr>
        <w:t xml:space="preserve"> </w:t>
      </w:r>
      <w:r w:rsidRPr="001D5134">
        <w:rPr>
          <w:rFonts w:ascii="Abadi" w:hAnsi="Abadi"/>
          <w:b w:val="0"/>
          <w:bCs w:val="0"/>
          <w:sz w:val="21"/>
          <w:szCs w:val="21"/>
        </w:rPr>
        <w:t>formulada</w:t>
      </w:r>
      <w:r w:rsidRPr="001D5134">
        <w:rPr>
          <w:rFonts w:ascii="Abadi" w:hAnsi="Abadi"/>
          <w:b w:val="0"/>
          <w:bCs w:val="0"/>
          <w:spacing w:val="25"/>
          <w:sz w:val="21"/>
          <w:szCs w:val="21"/>
        </w:rPr>
        <w:t xml:space="preserve"> </w:t>
      </w:r>
      <w:r w:rsidRPr="001D5134">
        <w:rPr>
          <w:rFonts w:ascii="Abadi" w:hAnsi="Abadi"/>
          <w:b w:val="0"/>
          <w:bCs w:val="0"/>
          <w:sz w:val="21"/>
          <w:szCs w:val="21"/>
        </w:rPr>
        <w:t>por</w:t>
      </w:r>
      <w:r w:rsidRPr="001D5134">
        <w:rPr>
          <w:rFonts w:ascii="Abadi" w:hAnsi="Abadi"/>
          <w:b w:val="0"/>
          <w:bCs w:val="0"/>
          <w:spacing w:val="25"/>
          <w:sz w:val="21"/>
          <w:szCs w:val="21"/>
        </w:rPr>
        <w:t xml:space="preserve"> </w:t>
      </w:r>
      <w:r w:rsidRPr="001D5134">
        <w:rPr>
          <w:rFonts w:ascii="Abadi" w:hAnsi="Abadi"/>
          <w:b w:val="0"/>
          <w:bCs w:val="0"/>
          <w:sz w:val="21"/>
          <w:szCs w:val="21"/>
        </w:rPr>
        <w:t>diputadas</w:t>
      </w:r>
      <w:r w:rsidRPr="001D5134">
        <w:rPr>
          <w:rFonts w:ascii="Abadi" w:hAnsi="Abadi"/>
          <w:b w:val="0"/>
          <w:bCs w:val="0"/>
          <w:spacing w:val="25"/>
          <w:sz w:val="21"/>
          <w:szCs w:val="21"/>
        </w:rPr>
        <w:t xml:space="preserve"> </w:t>
      </w:r>
      <w:r w:rsidRPr="001D5134">
        <w:rPr>
          <w:rFonts w:ascii="Abadi" w:hAnsi="Abadi"/>
          <w:b w:val="0"/>
          <w:bCs w:val="0"/>
          <w:sz w:val="21"/>
          <w:szCs w:val="21"/>
        </w:rPr>
        <w:t>y</w:t>
      </w:r>
      <w:r w:rsidRPr="001D5134">
        <w:rPr>
          <w:rFonts w:ascii="Abadi" w:hAnsi="Abadi"/>
          <w:b w:val="0"/>
          <w:bCs w:val="0"/>
          <w:spacing w:val="25"/>
          <w:sz w:val="21"/>
          <w:szCs w:val="21"/>
        </w:rPr>
        <w:t xml:space="preserve"> </w:t>
      </w:r>
      <w:r w:rsidRPr="001D5134">
        <w:rPr>
          <w:rFonts w:ascii="Abadi" w:hAnsi="Abadi"/>
          <w:b w:val="0"/>
          <w:bCs w:val="0"/>
          <w:sz w:val="21"/>
          <w:szCs w:val="21"/>
        </w:rPr>
        <w:t>diputados</w:t>
      </w:r>
      <w:r w:rsidRPr="001D5134">
        <w:rPr>
          <w:rFonts w:ascii="Abadi" w:hAnsi="Abadi"/>
          <w:b w:val="0"/>
          <w:bCs w:val="0"/>
          <w:spacing w:val="25"/>
          <w:sz w:val="21"/>
          <w:szCs w:val="21"/>
        </w:rPr>
        <w:t xml:space="preserve"> </w:t>
      </w:r>
      <w:r w:rsidRPr="001D5134">
        <w:rPr>
          <w:rFonts w:ascii="Abadi" w:hAnsi="Abadi"/>
          <w:b w:val="0"/>
          <w:bCs w:val="0"/>
          <w:sz w:val="21"/>
          <w:szCs w:val="21"/>
        </w:rPr>
        <w:t>integrantes</w:t>
      </w:r>
      <w:r w:rsidRPr="001D5134">
        <w:rPr>
          <w:rFonts w:ascii="Abadi" w:hAnsi="Abadi"/>
          <w:b w:val="0"/>
          <w:bCs w:val="0"/>
          <w:spacing w:val="25"/>
          <w:sz w:val="21"/>
          <w:szCs w:val="21"/>
        </w:rPr>
        <w:t xml:space="preserve"> </w:t>
      </w:r>
      <w:r w:rsidRPr="001D5134">
        <w:rPr>
          <w:rFonts w:ascii="Abadi" w:hAnsi="Abadi"/>
          <w:b w:val="0"/>
          <w:bCs w:val="0"/>
          <w:sz w:val="21"/>
          <w:szCs w:val="21"/>
        </w:rPr>
        <w:t>del</w:t>
      </w:r>
      <w:r w:rsidRPr="001D5134">
        <w:rPr>
          <w:rFonts w:ascii="Abadi" w:hAnsi="Abadi"/>
          <w:b w:val="0"/>
          <w:bCs w:val="0"/>
          <w:spacing w:val="25"/>
          <w:sz w:val="21"/>
          <w:szCs w:val="21"/>
        </w:rPr>
        <w:t xml:space="preserve"> </w:t>
      </w:r>
      <w:r w:rsidRPr="001D5134">
        <w:rPr>
          <w:rFonts w:ascii="Abadi" w:hAnsi="Abadi"/>
          <w:b w:val="0"/>
          <w:bCs w:val="0"/>
          <w:sz w:val="21"/>
          <w:szCs w:val="21"/>
        </w:rPr>
        <w:t>Grupo</w:t>
      </w:r>
      <w:r w:rsidRPr="001D5134">
        <w:rPr>
          <w:rFonts w:ascii="Abadi" w:hAnsi="Abadi"/>
          <w:b w:val="0"/>
          <w:bCs w:val="0"/>
          <w:spacing w:val="25"/>
          <w:sz w:val="21"/>
          <w:szCs w:val="21"/>
        </w:rPr>
        <w:t xml:space="preserve"> </w:t>
      </w:r>
      <w:r w:rsidRPr="001D5134">
        <w:rPr>
          <w:rFonts w:ascii="Abadi" w:hAnsi="Abadi"/>
          <w:b w:val="0"/>
          <w:bCs w:val="0"/>
          <w:sz w:val="21"/>
          <w:szCs w:val="21"/>
        </w:rPr>
        <w:t>Parlamentario</w:t>
      </w:r>
      <w:r w:rsidRPr="001D5134">
        <w:rPr>
          <w:rFonts w:ascii="Abadi" w:hAnsi="Abadi"/>
          <w:b w:val="0"/>
          <w:bCs w:val="0"/>
          <w:spacing w:val="-1"/>
          <w:sz w:val="21"/>
          <w:szCs w:val="21"/>
        </w:rPr>
        <w:t xml:space="preserve"> </w:t>
      </w:r>
      <w:r w:rsidRPr="001D5134">
        <w:rPr>
          <w:rFonts w:ascii="Abadi" w:hAnsi="Abadi"/>
          <w:b w:val="0"/>
          <w:bCs w:val="0"/>
          <w:sz w:val="21"/>
          <w:szCs w:val="21"/>
        </w:rPr>
        <w:t>del</w:t>
      </w:r>
      <w:r w:rsidRPr="001D5134">
        <w:rPr>
          <w:rFonts w:ascii="Abadi" w:hAnsi="Abadi"/>
          <w:b w:val="0"/>
          <w:bCs w:val="0"/>
          <w:spacing w:val="-3"/>
          <w:sz w:val="21"/>
          <w:szCs w:val="21"/>
        </w:rPr>
        <w:t xml:space="preserve"> </w:t>
      </w:r>
      <w:r w:rsidRPr="001D5134">
        <w:rPr>
          <w:rFonts w:ascii="Abadi" w:hAnsi="Abadi"/>
          <w:b w:val="0"/>
          <w:bCs w:val="0"/>
          <w:sz w:val="21"/>
          <w:szCs w:val="21"/>
        </w:rPr>
        <w:t>Partido</w:t>
      </w:r>
      <w:r w:rsidRPr="001D5134">
        <w:rPr>
          <w:rFonts w:ascii="Abadi" w:hAnsi="Abadi"/>
          <w:b w:val="0"/>
          <w:bCs w:val="0"/>
          <w:spacing w:val="-3"/>
          <w:sz w:val="21"/>
          <w:szCs w:val="21"/>
        </w:rPr>
        <w:t xml:space="preserve"> </w:t>
      </w:r>
      <w:r w:rsidRPr="001D5134">
        <w:rPr>
          <w:rFonts w:ascii="Abadi" w:hAnsi="Abadi"/>
          <w:b w:val="0"/>
          <w:bCs w:val="0"/>
          <w:sz w:val="21"/>
          <w:szCs w:val="21"/>
        </w:rPr>
        <w:t>Acción</w:t>
      </w:r>
      <w:r w:rsidRPr="001D5134">
        <w:rPr>
          <w:rFonts w:ascii="Abadi" w:hAnsi="Abadi"/>
          <w:b w:val="0"/>
          <w:bCs w:val="0"/>
          <w:spacing w:val="-3"/>
          <w:sz w:val="21"/>
          <w:szCs w:val="21"/>
        </w:rPr>
        <w:t xml:space="preserve"> </w:t>
      </w:r>
      <w:r w:rsidRPr="001D5134">
        <w:rPr>
          <w:rFonts w:ascii="Abadi" w:hAnsi="Abadi"/>
          <w:b w:val="0"/>
          <w:bCs w:val="0"/>
          <w:sz w:val="21"/>
          <w:szCs w:val="21"/>
        </w:rPr>
        <w:t>Nacional</w:t>
      </w:r>
      <w:r w:rsidRPr="001D5134">
        <w:rPr>
          <w:rFonts w:ascii="Abadi" w:hAnsi="Abadi"/>
          <w:b w:val="0"/>
          <w:bCs w:val="0"/>
          <w:spacing w:val="-3"/>
          <w:sz w:val="21"/>
          <w:szCs w:val="21"/>
        </w:rPr>
        <w:t xml:space="preserve"> </w:t>
      </w:r>
      <w:r w:rsidRPr="001D5134">
        <w:rPr>
          <w:rFonts w:ascii="Abadi" w:hAnsi="Abadi"/>
          <w:b w:val="0"/>
          <w:bCs w:val="0"/>
          <w:sz w:val="21"/>
          <w:szCs w:val="21"/>
        </w:rPr>
        <w:t>a</w:t>
      </w:r>
      <w:r w:rsidRPr="001D5134">
        <w:rPr>
          <w:rFonts w:ascii="Abadi" w:hAnsi="Abadi"/>
          <w:b w:val="0"/>
          <w:bCs w:val="0"/>
          <w:spacing w:val="-3"/>
          <w:sz w:val="21"/>
          <w:szCs w:val="21"/>
        </w:rPr>
        <w:t xml:space="preserve"> </w:t>
      </w:r>
      <w:r w:rsidRPr="001D5134">
        <w:rPr>
          <w:rFonts w:ascii="Abadi" w:hAnsi="Abadi"/>
          <w:b w:val="0"/>
          <w:bCs w:val="0"/>
          <w:sz w:val="21"/>
          <w:szCs w:val="21"/>
        </w:rPr>
        <w:t>fin</w:t>
      </w:r>
      <w:r w:rsidRPr="001D5134">
        <w:rPr>
          <w:rFonts w:ascii="Abadi" w:hAnsi="Abadi"/>
          <w:b w:val="0"/>
          <w:bCs w:val="0"/>
          <w:spacing w:val="-3"/>
          <w:sz w:val="21"/>
          <w:szCs w:val="21"/>
        </w:rPr>
        <w:t xml:space="preserve"> </w:t>
      </w:r>
      <w:r w:rsidRPr="001D5134">
        <w:rPr>
          <w:rFonts w:ascii="Abadi" w:hAnsi="Abadi"/>
          <w:b w:val="0"/>
          <w:bCs w:val="0"/>
          <w:sz w:val="21"/>
          <w:szCs w:val="21"/>
        </w:rPr>
        <w:t>de</w:t>
      </w:r>
      <w:r w:rsidRPr="001D5134">
        <w:rPr>
          <w:rFonts w:ascii="Abadi" w:hAnsi="Abadi"/>
          <w:b w:val="0"/>
          <w:bCs w:val="0"/>
          <w:spacing w:val="-3"/>
          <w:sz w:val="21"/>
          <w:szCs w:val="21"/>
        </w:rPr>
        <w:t xml:space="preserve"> </w:t>
      </w:r>
      <w:r w:rsidRPr="001D5134">
        <w:rPr>
          <w:rFonts w:ascii="Abadi" w:hAnsi="Abadi"/>
          <w:b w:val="0"/>
          <w:bCs w:val="0"/>
          <w:sz w:val="21"/>
          <w:szCs w:val="21"/>
        </w:rPr>
        <w:t>instruir</w:t>
      </w:r>
      <w:r w:rsidRPr="001D5134">
        <w:rPr>
          <w:rFonts w:ascii="Abadi" w:hAnsi="Abadi"/>
          <w:b w:val="0"/>
          <w:bCs w:val="0"/>
          <w:spacing w:val="-3"/>
          <w:sz w:val="21"/>
          <w:szCs w:val="21"/>
        </w:rPr>
        <w:t xml:space="preserve"> </w:t>
      </w:r>
      <w:r w:rsidRPr="001D5134">
        <w:rPr>
          <w:rFonts w:ascii="Abadi" w:hAnsi="Abadi"/>
          <w:b w:val="0"/>
          <w:bCs w:val="0"/>
          <w:sz w:val="21"/>
          <w:szCs w:val="21"/>
        </w:rPr>
        <w:t>al</w:t>
      </w:r>
      <w:r w:rsidRPr="001D5134">
        <w:rPr>
          <w:rFonts w:ascii="Abadi" w:hAnsi="Abadi"/>
          <w:b w:val="0"/>
          <w:bCs w:val="0"/>
          <w:spacing w:val="-3"/>
          <w:sz w:val="21"/>
          <w:szCs w:val="21"/>
        </w:rPr>
        <w:t xml:space="preserve"> </w:t>
      </w:r>
      <w:r w:rsidRPr="001D5134">
        <w:rPr>
          <w:rFonts w:ascii="Abadi" w:hAnsi="Abadi"/>
          <w:b w:val="0"/>
          <w:bCs w:val="0"/>
          <w:sz w:val="21"/>
          <w:szCs w:val="21"/>
        </w:rPr>
        <w:t>Auditor</w:t>
      </w:r>
      <w:r w:rsidRPr="001D5134">
        <w:rPr>
          <w:rFonts w:ascii="Abadi" w:hAnsi="Abadi"/>
          <w:b w:val="0"/>
          <w:bCs w:val="0"/>
          <w:spacing w:val="-3"/>
          <w:sz w:val="21"/>
          <w:szCs w:val="21"/>
        </w:rPr>
        <w:t xml:space="preserve"> </w:t>
      </w:r>
      <w:r w:rsidRPr="001D5134">
        <w:rPr>
          <w:rFonts w:ascii="Abadi" w:hAnsi="Abadi"/>
          <w:b w:val="0"/>
          <w:bCs w:val="0"/>
          <w:sz w:val="21"/>
          <w:szCs w:val="21"/>
        </w:rPr>
        <w:t>Superior</w:t>
      </w:r>
      <w:r w:rsidRPr="001D5134">
        <w:rPr>
          <w:rFonts w:ascii="Abadi" w:hAnsi="Abadi"/>
          <w:b w:val="0"/>
          <w:bCs w:val="0"/>
          <w:spacing w:val="-3"/>
          <w:sz w:val="21"/>
          <w:szCs w:val="21"/>
        </w:rPr>
        <w:t xml:space="preserve"> </w:t>
      </w:r>
      <w:r w:rsidRPr="001D5134">
        <w:rPr>
          <w:rFonts w:ascii="Abadi" w:hAnsi="Abadi"/>
          <w:b w:val="0"/>
          <w:bCs w:val="0"/>
          <w:sz w:val="21"/>
          <w:szCs w:val="21"/>
        </w:rPr>
        <w:t>del</w:t>
      </w:r>
      <w:r w:rsidRPr="001D5134">
        <w:rPr>
          <w:rFonts w:ascii="Abadi" w:hAnsi="Abadi"/>
          <w:b w:val="0"/>
          <w:bCs w:val="0"/>
          <w:spacing w:val="-3"/>
          <w:sz w:val="21"/>
          <w:szCs w:val="21"/>
        </w:rPr>
        <w:t xml:space="preserve"> </w:t>
      </w:r>
      <w:r w:rsidRPr="001D5134">
        <w:rPr>
          <w:rFonts w:ascii="Abadi" w:hAnsi="Abadi"/>
          <w:b w:val="0"/>
          <w:bCs w:val="0"/>
          <w:sz w:val="21"/>
          <w:szCs w:val="21"/>
        </w:rPr>
        <w:t>Estado</w:t>
      </w:r>
      <w:r w:rsidRPr="001D5134">
        <w:rPr>
          <w:rFonts w:ascii="Abadi" w:hAnsi="Abadi"/>
          <w:b w:val="0"/>
          <w:bCs w:val="0"/>
          <w:spacing w:val="-3"/>
          <w:sz w:val="21"/>
          <w:szCs w:val="21"/>
        </w:rPr>
        <w:t xml:space="preserve"> </w:t>
      </w:r>
      <w:r w:rsidRPr="001D5134">
        <w:rPr>
          <w:rFonts w:ascii="Abadi" w:hAnsi="Abadi"/>
          <w:b w:val="0"/>
          <w:bCs w:val="0"/>
          <w:sz w:val="21"/>
          <w:szCs w:val="21"/>
        </w:rPr>
        <w:t>a</w:t>
      </w:r>
      <w:r w:rsidRPr="001D5134">
        <w:rPr>
          <w:rFonts w:ascii="Abadi" w:hAnsi="Abadi"/>
          <w:b w:val="0"/>
          <w:bCs w:val="0"/>
          <w:spacing w:val="-1"/>
          <w:sz w:val="21"/>
          <w:szCs w:val="21"/>
        </w:rPr>
        <w:t xml:space="preserve"> </w:t>
      </w:r>
      <w:r w:rsidRPr="001D5134">
        <w:rPr>
          <w:rFonts w:ascii="Abadi" w:hAnsi="Abadi"/>
          <w:b w:val="0"/>
          <w:bCs w:val="0"/>
          <w:sz w:val="21"/>
          <w:szCs w:val="21"/>
        </w:rPr>
        <w:t>incluir</w:t>
      </w:r>
      <w:r w:rsidRPr="001D5134">
        <w:rPr>
          <w:rFonts w:ascii="Abadi" w:hAnsi="Abadi"/>
          <w:b w:val="0"/>
          <w:bCs w:val="0"/>
          <w:spacing w:val="-2"/>
          <w:sz w:val="21"/>
          <w:szCs w:val="21"/>
        </w:rPr>
        <w:t xml:space="preserve"> </w:t>
      </w:r>
      <w:r w:rsidRPr="001D5134">
        <w:rPr>
          <w:rFonts w:ascii="Abadi" w:hAnsi="Abadi"/>
          <w:b w:val="0"/>
          <w:bCs w:val="0"/>
          <w:sz w:val="21"/>
          <w:szCs w:val="21"/>
        </w:rPr>
        <w:t>en</w:t>
      </w:r>
      <w:r w:rsidRPr="001D5134">
        <w:rPr>
          <w:rFonts w:ascii="Abadi" w:hAnsi="Abadi"/>
          <w:b w:val="0"/>
          <w:bCs w:val="0"/>
          <w:spacing w:val="-2"/>
          <w:sz w:val="21"/>
          <w:szCs w:val="21"/>
        </w:rPr>
        <w:t xml:space="preserve"> </w:t>
      </w:r>
      <w:r w:rsidRPr="001D5134">
        <w:rPr>
          <w:rFonts w:ascii="Abadi" w:hAnsi="Abadi"/>
          <w:b w:val="0"/>
          <w:bCs w:val="0"/>
          <w:sz w:val="21"/>
          <w:szCs w:val="21"/>
        </w:rPr>
        <w:t>el</w:t>
      </w:r>
      <w:r w:rsidRPr="001D5134">
        <w:rPr>
          <w:rFonts w:ascii="Abadi" w:hAnsi="Abadi"/>
          <w:b w:val="0"/>
          <w:bCs w:val="0"/>
          <w:spacing w:val="-2"/>
          <w:sz w:val="21"/>
          <w:szCs w:val="21"/>
        </w:rPr>
        <w:t xml:space="preserve"> </w:t>
      </w:r>
      <w:r w:rsidRPr="001D5134">
        <w:rPr>
          <w:rFonts w:ascii="Abadi" w:hAnsi="Abadi"/>
          <w:b w:val="0"/>
          <w:bCs w:val="0"/>
          <w:sz w:val="21"/>
          <w:szCs w:val="21"/>
        </w:rPr>
        <w:t>Programa</w:t>
      </w:r>
      <w:r w:rsidRPr="001D5134">
        <w:rPr>
          <w:rFonts w:ascii="Abadi" w:hAnsi="Abadi"/>
          <w:b w:val="0"/>
          <w:bCs w:val="0"/>
          <w:spacing w:val="-2"/>
          <w:sz w:val="21"/>
          <w:szCs w:val="21"/>
        </w:rPr>
        <w:t xml:space="preserve"> </w:t>
      </w:r>
      <w:r w:rsidRPr="001D5134">
        <w:rPr>
          <w:rFonts w:ascii="Abadi" w:hAnsi="Abadi"/>
          <w:b w:val="0"/>
          <w:bCs w:val="0"/>
          <w:sz w:val="21"/>
          <w:szCs w:val="21"/>
        </w:rPr>
        <w:t>General</w:t>
      </w:r>
      <w:r w:rsidRPr="001D5134">
        <w:rPr>
          <w:rFonts w:ascii="Abadi" w:hAnsi="Abadi"/>
          <w:b w:val="0"/>
          <w:bCs w:val="0"/>
          <w:spacing w:val="-2"/>
          <w:sz w:val="21"/>
          <w:szCs w:val="21"/>
        </w:rPr>
        <w:t xml:space="preserve"> </w:t>
      </w:r>
      <w:r w:rsidRPr="001D5134">
        <w:rPr>
          <w:rFonts w:ascii="Abadi" w:hAnsi="Abadi"/>
          <w:b w:val="0"/>
          <w:bCs w:val="0"/>
          <w:sz w:val="21"/>
          <w:szCs w:val="21"/>
        </w:rPr>
        <w:t>de</w:t>
      </w:r>
      <w:r w:rsidRPr="001D5134">
        <w:rPr>
          <w:rFonts w:ascii="Abadi" w:hAnsi="Abadi"/>
          <w:b w:val="0"/>
          <w:bCs w:val="0"/>
          <w:spacing w:val="-2"/>
          <w:sz w:val="21"/>
          <w:szCs w:val="21"/>
        </w:rPr>
        <w:t xml:space="preserve"> </w:t>
      </w:r>
      <w:r w:rsidRPr="001D5134">
        <w:rPr>
          <w:rFonts w:ascii="Abadi" w:hAnsi="Abadi"/>
          <w:b w:val="0"/>
          <w:bCs w:val="0"/>
          <w:sz w:val="21"/>
          <w:szCs w:val="21"/>
        </w:rPr>
        <w:t>Fiscalización</w:t>
      </w:r>
      <w:r w:rsidRPr="001D5134">
        <w:rPr>
          <w:rFonts w:ascii="Abadi" w:hAnsi="Abadi"/>
          <w:b w:val="0"/>
          <w:bCs w:val="0"/>
          <w:spacing w:val="-2"/>
          <w:sz w:val="21"/>
          <w:szCs w:val="21"/>
        </w:rPr>
        <w:t xml:space="preserve"> </w:t>
      </w:r>
      <w:r w:rsidRPr="001D5134">
        <w:rPr>
          <w:rFonts w:ascii="Abadi" w:hAnsi="Abadi"/>
          <w:b w:val="0"/>
          <w:bCs w:val="0"/>
          <w:sz w:val="21"/>
          <w:szCs w:val="21"/>
        </w:rPr>
        <w:t>del</w:t>
      </w:r>
      <w:r w:rsidRPr="001D5134">
        <w:rPr>
          <w:rFonts w:ascii="Abadi" w:hAnsi="Abadi"/>
          <w:b w:val="0"/>
          <w:bCs w:val="0"/>
          <w:spacing w:val="-2"/>
          <w:sz w:val="21"/>
          <w:szCs w:val="21"/>
        </w:rPr>
        <w:t xml:space="preserve"> </w:t>
      </w:r>
      <w:r w:rsidRPr="001D5134">
        <w:rPr>
          <w:rFonts w:ascii="Abadi" w:hAnsi="Abadi"/>
          <w:b w:val="0"/>
          <w:bCs w:val="0"/>
          <w:sz w:val="21"/>
          <w:szCs w:val="21"/>
        </w:rPr>
        <w:t>año</w:t>
      </w:r>
      <w:r w:rsidRPr="001D5134">
        <w:rPr>
          <w:rFonts w:ascii="Abadi" w:hAnsi="Abadi"/>
          <w:b w:val="0"/>
          <w:bCs w:val="0"/>
          <w:spacing w:val="-2"/>
          <w:sz w:val="21"/>
          <w:szCs w:val="21"/>
        </w:rPr>
        <w:t xml:space="preserve"> </w:t>
      </w:r>
      <w:r w:rsidRPr="001D5134">
        <w:rPr>
          <w:rFonts w:ascii="Abadi" w:hAnsi="Abadi"/>
          <w:b w:val="0"/>
          <w:bCs w:val="0"/>
          <w:sz w:val="21"/>
          <w:szCs w:val="21"/>
        </w:rPr>
        <w:t>2022,</w:t>
      </w:r>
      <w:r w:rsidRPr="001D5134">
        <w:rPr>
          <w:rFonts w:ascii="Abadi" w:hAnsi="Abadi"/>
          <w:b w:val="0"/>
          <w:bCs w:val="0"/>
          <w:spacing w:val="-2"/>
          <w:sz w:val="21"/>
          <w:szCs w:val="21"/>
        </w:rPr>
        <w:t xml:space="preserve"> </w:t>
      </w:r>
      <w:r w:rsidRPr="001D5134">
        <w:rPr>
          <w:rFonts w:ascii="Abadi" w:hAnsi="Abadi"/>
          <w:b w:val="0"/>
          <w:bCs w:val="0"/>
          <w:sz w:val="21"/>
          <w:szCs w:val="21"/>
        </w:rPr>
        <w:t>la</w:t>
      </w:r>
      <w:r w:rsidRPr="001D5134">
        <w:rPr>
          <w:rFonts w:ascii="Abadi" w:hAnsi="Abadi"/>
          <w:b w:val="0"/>
          <w:bCs w:val="0"/>
          <w:spacing w:val="-2"/>
          <w:sz w:val="21"/>
          <w:szCs w:val="21"/>
        </w:rPr>
        <w:t xml:space="preserve"> </w:t>
      </w:r>
      <w:r w:rsidRPr="001D5134">
        <w:rPr>
          <w:rFonts w:ascii="Abadi" w:hAnsi="Abadi"/>
          <w:b w:val="0"/>
          <w:bCs w:val="0"/>
          <w:sz w:val="21"/>
          <w:szCs w:val="21"/>
        </w:rPr>
        <w:t>realización</w:t>
      </w:r>
      <w:r w:rsidRPr="001D5134">
        <w:rPr>
          <w:rFonts w:ascii="Abadi" w:hAnsi="Abadi"/>
          <w:b w:val="0"/>
          <w:bCs w:val="0"/>
          <w:spacing w:val="-1"/>
          <w:sz w:val="21"/>
          <w:szCs w:val="21"/>
        </w:rPr>
        <w:t xml:space="preserve"> </w:t>
      </w:r>
      <w:r w:rsidRPr="001D5134">
        <w:rPr>
          <w:rFonts w:ascii="Abadi" w:hAnsi="Abadi"/>
          <w:b w:val="0"/>
          <w:bCs w:val="0"/>
          <w:sz w:val="21"/>
          <w:szCs w:val="21"/>
        </w:rPr>
        <w:t>de</w:t>
      </w:r>
      <w:r w:rsidRPr="001D5134">
        <w:rPr>
          <w:rFonts w:ascii="Abadi" w:hAnsi="Abadi"/>
          <w:b w:val="0"/>
          <w:bCs w:val="0"/>
          <w:spacing w:val="12"/>
          <w:sz w:val="21"/>
          <w:szCs w:val="21"/>
        </w:rPr>
        <w:t xml:space="preserve"> </w:t>
      </w:r>
      <w:r w:rsidRPr="001D5134">
        <w:rPr>
          <w:rFonts w:ascii="Abadi" w:hAnsi="Abadi"/>
          <w:b w:val="0"/>
          <w:bCs w:val="0"/>
          <w:sz w:val="21"/>
          <w:szCs w:val="21"/>
        </w:rPr>
        <w:t>una</w:t>
      </w:r>
      <w:r w:rsidRPr="001D5134">
        <w:rPr>
          <w:rFonts w:ascii="Abadi" w:hAnsi="Abadi"/>
          <w:b w:val="0"/>
          <w:bCs w:val="0"/>
          <w:spacing w:val="12"/>
          <w:sz w:val="21"/>
          <w:szCs w:val="21"/>
        </w:rPr>
        <w:t xml:space="preserve"> </w:t>
      </w:r>
      <w:r w:rsidRPr="001D5134">
        <w:rPr>
          <w:rFonts w:ascii="Abadi" w:hAnsi="Abadi"/>
          <w:b w:val="0"/>
          <w:bCs w:val="0"/>
          <w:sz w:val="21"/>
          <w:szCs w:val="21"/>
        </w:rPr>
        <w:t>auditoría</w:t>
      </w:r>
      <w:r w:rsidRPr="001D5134">
        <w:rPr>
          <w:rFonts w:ascii="Abadi" w:hAnsi="Abadi"/>
          <w:b w:val="0"/>
          <w:bCs w:val="0"/>
          <w:spacing w:val="12"/>
          <w:sz w:val="21"/>
          <w:szCs w:val="21"/>
        </w:rPr>
        <w:t xml:space="preserve"> </w:t>
      </w:r>
      <w:r w:rsidRPr="001D5134">
        <w:rPr>
          <w:rFonts w:ascii="Abadi" w:hAnsi="Abadi"/>
          <w:b w:val="0"/>
          <w:bCs w:val="0"/>
          <w:sz w:val="21"/>
          <w:szCs w:val="21"/>
        </w:rPr>
        <w:t>específica</w:t>
      </w:r>
      <w:r w:rsidRPr="001D5134">
        <w:rPr>
          <w:rFonts w:ascii="Abadi" w:hAnsi="Abadi"/>
          <w:b w:val="0"/>
          <w:bCs w:val="0"/>
          <w:spacing w:val="12"/>
          <w:sz w:val="21"/>
          <w:szCs w:val="21"/>
        </w:rPr>
        <w:t xml:space="preserve"> </w:t>
      </w:r>
      <w:r w:rsidRPr="001D5134">
        <w:rPr>
          <w:rFonts w:ascii="Abadi" w:hAnsi="Abadi"/>
          <w:b w:val="0"/>
          <w:bCs w:val="0"/>
          <w:sz w:val="21"/>
          <w:szCs w:val="21"/>
        </w:rPr>
        <w:t>al</w:t>
      </w:r>
      <w:r w:rsidRPr="001D5134">
        <w:rPr>
          <w:rFonts w:ascii="Abadi" w:hAnsi="Abadi"/>
          <w:b w:val="0"/>
          <w:bCs w:val="0"/>
          <w:spacing w:val="11"/>
          <w:sz w:val="21"/>
          <w:szCs w:val="21"/>
        </w:rPr>
        <w:t xml:space="preserve"> </w:t>
      </w:r>
      <w:r w:rsidRPr="001D5134">
        <w:rPr>
          <w:rFonts w:ascii="Abadi" w:hAnsi="Abadi"/>
          <w:b w:val="0"/>
          <w:bCs w:val="0"/>
          <w:sz w:val="21"/>
          <w:szCs w:val="21"/>
        </w:rPr>
        <w:t>municipio</w:t>
      </w:r>
      <w:r w:rsidRPr="001D5134">
        <w:rPr>
          <w:rFonts w:ascii="Abadi" w:hAnsi="Abadi"/>
          <w:b w:val="0"/>
          <w:bCs w:val="0"/>
          <w:spacing w:val="12"/>
          <w:sz w:val="21"/>
          <w:szCs w:val="21"/>
        </w:rPr>
        <w:t xml:space="preserve"> </w:t>
      </w:r>
      <w:r w:rsidRPr="001D5134">
        <w:rPr>
          <w:rFonts w:ascii="Abadi" w:hAnsi="Abadi"/>
          <w:b w:val="0"/>
          <w:bCs w:val="0"/>
          <w:sz w:val="21"/>
          <w:szCs w:val="21"/>
        </w:rPr>
        <w:t>de</w:t>
      </w:r>
      <w:r w:rsidRPr="001D5134">
        <w:rPr>
          <w:rFonts w:ascii="Abadi" w:hAnsi="Abadi"/>
          <w:b w:val="0"/>
          <w:bCs w:val="0"/>
          <w:spacing w:val="12"/>
          <w:sz w:val="21"/>
          <w:szCs w:val="21"/>
        </w:rPr>
        <w:t xml:space="preserve"> </w:t>
      </w:r>
      <w:r w:rsidRPr="001D5134">
        <w:rPr>
          <w:rFonts w:ascii="Abadi" w:hAnsi="Abadi"/>
          <w:b w:val="0"/>
          <w:bCs w:val="0"/>
          <w:sz w:val="21"/>
          <w:szCs w:val="21"/>
        </w:rPr>
        <w:t>San</w:t>
      </w:r>
      <w:r w:rsidRPr="001D5134">
        <w:rPr>
          <w:rFonts w:ascii="Abadi" w:hAnsi="Abadi"/>
          <w:b w:val="0"/>
          <w:bCs w:val="0"/>
          <w:spacing w:val="12"/>
          <w:sz w:val="21"/>
          <w:szCs w:val="21"/>
        </w:rPr>
        <w:t xml:space="preserve"> </w:t>
      </w:r>
      <w:r w:rsidRPr="001D5134">
        <w:rPr>
          <w:rFonts w:ascii="Abadi" w:hAnsi="Abadi"/>
          <w:b w:val="0"/>
          <w:bCs w:val="0"/>
          <w:sz w:val="21"/>
          <w:szCs w:val="21"/>
        </w:rPr>
        <w:t>Miguel</w:t>
      </w:r>
      <w:r w:rsidRPr="001D5134">
        <w:rPr>
          <w:rFonts w:ascii="Abadi" w:hAnsi="Abadi"/>
          <w:b w:val="0"/>
          <w:bCs w:val="0"/>
          <w:spacing w:val="11"/>
          <w:sz w:val="21"/>
          <w:szCs w:val="21"/>
        </w:rPr>
        <w:t xml:space="preserve"> </w:t>
      </w:r>
      <w:r w:rsidRPr="001D5134">
        <w:rPr>
          <w:rFonts w:ascii="Abadi" w:hAnsi="Abadi"/>
          <w:b w:val="0"/>
          <w:bCs w:val="0"/>
          <w:sz w:val="21"/>
          <w:szCs w:val="21"/>
        </w:rPr>
        <w:t>de</w:t>
      </w:r>
      <w:r w:rsidRPr="001D5134">
        <w:rPr>
          <w:rFonts w:ascii="Abadi" w:hAnsi="Abadi"/>
          <w:b w:val="0"/>
          <w:bCs w:val="0"/>
          <w:spacing w:val="12"/>
          <w:sz w:val="21"/>
          <w:szCs w:val="21"/>
        </w:rPr>
        <w:t xml:space="preserve"> </w:t>
      </w:r>
      <w:r w:rsidRPr="001D5134">
        <w:rPr>
          <w:rFonts w:ascii="Abadi" w:hAnsi="Abadi"/>
          <w:b w:val="0"/>
          <w:bCs w:val="0"/>
          <w:sz w:val="21"/>
          <w:szCs w:val="21"/>
        </w:rPr>
        <w:t>Allende,</w:t>
      </w:r>
      <w:r w:rsidRPr="001D5134">
        <w:rPr>
          <w:rFonts w:ascii="Abadi" w:hAnsi="Abadi"/>
          <w:b w:val="0"/>
          <w:bCs w:val="0"/>
          <w:spacing w:val="12"/>
          <w:sz w:val="21"/>
          <w:szCs w:val="21"/>
        </w:rPr>
        <w:t xml:space="preserve"> </w:t>
      </w:r>
      <w:r w:rsidRPr="001D5134">
        <w:rPr>
          <w:rFonts w:ascii="Abadi" w:hAnsi="Abadi"/>
          <w:b w:val="0"/>
          <w:bCs w:val="0"/>
          <w:sz w:val="21"/>
          <w:szCs w:val="21"/>
        </w:rPr>
        <w:t>Gto.,</w:t>
      </w:r>
      <w:r w:rsidRPr="001D5134">
        <w:rPr>
          <w:rFonts w:ascii="Abadi" w:hAnsi="Abadi"/>
          <w:b w:val="0"/>
          <w:bCs w:val="0"/>
          <w:spacing w:val="11"/>
          <w:sz w:val="21"/>
          <w:szCs w:val="21"/>
        </w:rPr>
        <w:t xml:space="preserve"> </w:t>
      </w:r>
      <w:r w:rsidRPr="001D5134">
        <w:rPr>
          <w:rFonts w:ascii="Abadi" w:hAnsi="Abadi"/>
          <w:b w:val="0"/>
          <w:bCs w:val="0"/>
          <w:sz w:val="21"/>
          <w:szCs w:val="21"/>
        </w:rPr>
        <w:t>a</w:t>
      </w:r>
      <w:r w:rsidRPr="001D5134">
        <w:rPr>
          <w:rFonts w:ascii="Abadi" w:hAnsi="Abadi"/>
          <w:b w:val="0"/>
          <w:bCs w:val="0"/>
          <w:spacing w:val="-1"/>
          <w:sz w:val="21"/>
          <w:szCs w:val="21"/>
        </w:rPr>
        <w:t xml:space="preserve"> </w:t>
      </w:r>
      <w:r w:rsidRPr="001D5134">
        <w:rPr>
          <w:rFonts w:ascii="Abadi" w:hAnsi="Abadi"/>
          <w:b w:val="0"/>
          <w:bCs w:val="0"/>
          <w:sz w:val="21"/>
          <w:szCs w:val="21"/>
        </w:rPr>
        <w:t>la</w:t>
      </w:r>
      <w:r w:rsidRPr="001D5134">
        <w:rPr>
          <w:rFonts w:ascii="Abadi" w:hAnsi="Abadi"/>
          <w:b w:val="0"/>
          <w:bCs w:val="0"/>
          <w:spacing w:val="46"/>
          <w:sz w:val="21"/>
          <w:szCs w:val="21"/>
        </w:rPr>
        <w:t xml:space="preserve"> </w:t>
      </w:r>
      <w:r w:rsidRPr="001D5134">
        <w:rPr>
          <w:rFonts w:ascii="Abadi" w:hAnsi="Abadi"/>
          <w:b w:val="0"/>
          <w:bCs w:val="0"/>
          <w:sz w:val="21"/>
          <w:szCs w:val="21"/>
        </w:rPr>
        <w:t>ejecución</w:t>
      </w:r>
      <w:r w:rsidRPr="001D5134">
        <w:rPr>
          <w:rFonts w:ascii="Abadi" w:hAnsi="Abadi"/>
          <w:b w:val="0"/>
          <w:bCs w:val="0"/>
          <w:spacing w:val="46"/>
          <w:sz w:val="21"/>
          <w:szCs w:val="21"/>
        </w:rPr>
        <w:t xml:space="preserve"> </w:t>
      </w:r>
      <w:r w:rsidRPr="001D5134">
        <w:rPr>
          <w:rFonts w:ascii="Abadi" w:hAnsi="Abadi"/>
          <w:b w:val="0"/>
          <w:bCs w:val="0"/>
          <w:sz w:val="21"/>
          <w:szCs w:val="21"/>
        </w:rPr>
        <w:t>y</w:t>
      </w:r>
      <w:r w:rsidRPr="001D5134">
        <w:rPr>
          <w:rFonts w:ascii="Abadi" w:hAnsi="Abadi"/>
          <w:b w:val="0"/>
          <w:bCs w:val="0"/>
          <w:spacing w:val="46"/>
          <w:sz w:val="21"/>
          <w:szCs w:val="21"/>
        </w:rPr>
        <w:t xml:space="preserve"> </w:t>
      </w:r>
      <w:r w:rsidRPr="001D5134">
        <w:rPr>
          <w:rFonts w:ascii="Abadi" w:hAnsi="Abadi"/>
          <w:b w:val="0"/>
          <w:bCs w:val="0"/>
          <w:sz w:val="21"/>
          <w:szCs w:val="21"/>
        </w:rPr>
        <w:t>cumplimiento</w:t>
      </w:r>
      <w:r w:rsidRPr="001D5134">
        <w:rPr>
          <w:rFonts w:ascii="Abadi" w:hAnsi="Abadi"/>
          <w:b w:val="0"/>
          <w:bCs w:val="0"/>
          <w:spacing w:val="46"/>
          <w:sz w:val="21"/>
          <w:szCs w:val="21"/>
        </w:rPr>
        <w:t xml:space="preserve"> </w:t>
      </w:r>
      <w:r w:rsidRPr="001D5134">
        <w:rPr>
          <w:rFonts w:ascii="Abadi" w:hAnsi="Abadi"/>
          <w:b w:val="0"/>
          <w:bCs w:val="0"/>
          <w:sz w:val="21"/>
          <w:szCs w:val="21"/>
        </w:rPr>
        <w:t>del</w:t>
      </w:r>
      <w:r w:rsidRPr="001D5134">
        <w:rPr>
          <w:rFonts w:ascii="Abadi" w:hAnsi="Abadi"/>
          <w:b w:val="0"/>
          <w:bCs w:val="0"/>
          <w:spacing w:val="46"/>
          <w:sz w:val="21"/>
          <w:szCs w:val="21"/>
        </w:rPr>
        <w:t xml:space="preserve"> </w:t>
      </w:r>
      <w:r w:rsidRPr="001D5134">
        <w:rPr>
          <w:rFonts w:ascii="Abadi" w:hAnsi="Abadi"/>
          <w:b w:val="0"/>
          <w:bCs w:val="0"/>
          <w:sz w:val="21"/>
          <w:szCs w:val="21"/>
        </w:rPr>
        <w:t>contrato</w:t>
      </w:r>
      <w:r w:rsidRPr="001D5134">
        <w:rPr>
          <w:rFonts w:ascii="Abadi" w:hAnsi="Abadi"/>
          <w:b w:val="0"/>
          <w:bCs w:val="0"/>
          <w:spacing w:val="46"/>
          <w:sz w:val="21"/>
          <w:szCs w:val="21"/>
        </w:rPr>
        <w:t xml:space="preserve"> </w:t>
      </w:r>
      <w:r w:rsidRPr="001D5134">
        <w:rPr>
          <w:rFonts w:ascii="Abadi" w:hAnsi="Abadi"/>
          <w:b w:val="0"/>
          <w:bCs w:val="0"/>
          <w:sz w:val="21"/>
          <w:szCs w:val="21"/>
        </w:rPr>
        <w:t>de</w:t>
      </w:r>
      <w:r w:rsidRPr="001D5134">
        <w:rPr>
          <w:rFonts w:ascii="Abadi" w:hAnsi="Abadi"/>
          <w:b w:val="0"/>
          <w:bCs w:val="0"/>
          <w:spacing w:val="46"/>
          <w:sz w:val="21"/>
          <w:szCs w:val="21"/>
        </w:rPr>
        <w:t xml:space="preserve"> </w:t>
      </w:r>
      <w:r w:rsidRPr="001D5134">
        <w:rPr>
          <w:rFonts w:ascii="Abadi" w:hAnsi="Abadi"/>
          <w:b w:val="0"/>
          <w:bCs w:val="0"/>
          <w:sz w:val="21"/>
          <w:szCs w:val="21"/>
        </w:rPr>
        <w:t>arrendamiento</w:t>
      </w:r>
      <w:r w:rsidRPr="001D5134">
        <w:rPr>
          <w:rFonts w:ascii="Abadi" w:hAnsi="Abadi"/>
          <w:b w:val="0"/>
          <w:bCs w:val="0"/>
          <w:spacing w:val="46"/>
          <w:sz w:val="21"/>
          <w:szCs w:val="21"/>
        </w:rPr>
        <w:t xml:space="preserve"> </w:t>
      </w:r>
      <w:r w:rsidRPr="001D5134">
        <w:rPr>
          <w:rFonts w:ascii="Abadi" w:hAnsi="Abadi"/>
          <w:b w:val="0"/>
          <w:bCs w:val="0"/>
          <w:sz w:val="21"/>
          <w:szCs w:val="21"/>
        </w:rPr>
        <w:t>puro</w:t>
      </w:r>
      <w:r w:rsidRPr="001D5134">
        <w:rPr>
          <w:rFonts w:ascii="Abadi" w:hAnsi="Abadi"/>
          <w:b w:val="0"/>
          <w:bCs w:val="0"/>
          <w:spacing w:val="46"/>
          <w:sz w:val="21"/>
          <w:szCs w:val="21"/>
        </w:rPr>
        <w:t xml:space="preserve"> </w:t>
      </w:r>
      <w:r w:rsidRPr="001D5134">
        <w:rPr>
          <w:rFonts w:ascii="Abadi" w:hAnsi="Abadi"/>
          <w:b w:val="0"/>
          <w:bCs w:val="0"/>
          <w:sz w:val="21"/>
          <w:szCs w:val="21"/>
        </w:rPr>
        <w:t>con</w:t>
      </w:r>
      <w:r w:rsidRPr="001D5134">
        <w:rPr>
          <w:rFonts w:ascii="Abadi" w:hAnsi="Abadi"/>
          <w:b w:val="0"/>
          <w:bCs w:val="0"/>
          <w:spacing w:val="46"/>
          <w:sz w:val="21"/>
          <w:szCs w:val="21"/>
        </w:rPr>
        <w:t xml:space="preserve"> </w:t>
      </w:r>
      <w:r w:rsidRPr="001D5134">
        <w:rPr>
          <w:rFonts w:ascii="Abadi" w:hAnsi="Abadi"/>
          <w:b w:val="0"/>
          <w:bCs w:val="0"/>
          <w:sz w:val="21"/>
          <w:szCs w:val="21"/>
        </w:rPr>
        <w:t>las</w:t>
      </w:r>
      <w:r w:rsidRPr="001D5134">
        <w:rPr>
          <w:rFonts w:ascii="Abadi" w:hAnsi="Abadi"/>
          <w:b w:val="0"/>
          <w:bCs w:val="0"/>
          <w:spacing w:val="-1"/>
          <w:sz w:val="21"/>
          <w:szCs w:val="21"/>
        </w:rPr>
        <w:t xml:space="preserve"> </w:t>
      </w:r>
      <w:r w:rsidRPr="001D5134">
        <w:rPr>
          <w:rFonts w:ascii="Abadi" w:hAnsi="Abadi"/>
          <w:b w:val="0"/>
          <w:bCs w:val="0"/>
          <w:sz w:val="21"/>
          <w:szCs w:val="21"/>
        </w:rPr>
        <w:t>empresas</w:t>
      </w:r>
      <w:r w:rsidRPr="001D5134">
        <w:rPr>
          <w:rFonts w:ascii="Abadi" w:hAnsi="Abadi"/>
          <w:b w:val="0"/>
          <w:bCs w:val="0"/>
          <w:spacing w:val="21"/>
          <w:sz w:val="21"/>
          <w:szCs w:val="21"/>
        </w:rPr>
        <w:t xml:space="preserve"> </w:t>
      </w:r>
      <w:r w:rsidRPr="001D5134">
        <w:rPr>
          <w:rFonts w:ascii="Abadi" w:hAnsi="Abadi"/>
          <w:b w:val="0"/>
          <w:bCs w:val="0"/>
          <w:i/>
          <w:iCs/>
          <w:sz w:val="21"/>
          <w:szCs w:val="21"/>
        </w:rPr>
        <w:t>Bercale</w:t>
      </w:r>
      <w:r w:rsidRPr="001D5134">
        <w:rPr>
          <w:rFonts w:ascii="Abadi" w:hAnsi="Abadi"/>
          <w:b w:val="0"/>
          <w:bCs w:val="0"/>
          <w:i/>
          <w:iCs/>
          <w:spacing w:val="21"/>
          <w:sz w:val="21"/>
          <w:szCs w:val="21"/>
        </w:rPr>
        <w:t xml:space="preserve"> </w:t>
      </w:r>
      <w:r w:rsidRPr="001D5134">
        <w:rPr>
          <w:rFonts w:ascii="Abadi" w:hAnsi="Abadi"/>
          <w:b w:val="0"/>
          <w:bCs w:val="0"/>
          <w:i/>
          <w:iCs/>
          <w:sz w:val="21"/>
          <w:szCs w:val="21"/>
        </w:rPr>
        <w:t>Services,</w:t>
      </w:r>
      <w:r w:rsidRPr="001D5134">
        <w:rPr>
          <w:rFonts w:ascii="Abadi" w:hAnsi="Abadi"/>
          <w:b w:val="0"/>
          <w:bCs w:val="0"/>
          <w:i/>
          <w:iCs/>
          <w:spacing w:val="21"/>
          <w:sz w:val="21"/>
          <w:szCs w:val="21"/>
        </w:rPr>
        <w:t xml:space="preserve"> </w:t>
      </w:r>
      <w:r w:rsidRPr="001D5134">
        <w:rPr>
          <w:rFonts w:ascii="Abadi" w:hAnsi="Abadi"/>
          <w:b w:val="0"/>
          <w:bCs w:val="0"/>
          <w:i/>
          <w:iCs/>
          <w:sz w:val="21"/>
          <w:szCs w:val="21"/>
        </w:rPr>
        <w:t>S.A.</w:t>
      </w:r>
      <w:r w:rsidRPr="001D5134">
        <w:rPr>
          <w:rFonts w:ascii="Abadi" w:hAnsi="Abadi"/>
          <w:b w:val="0"/>
          <w:bCs w:val="0"/>
          <w:i/>
          <w:iCs/>
          <w:spacing w:val="21"/>
          <w:sz w:val="21"/>
          <w:szCs w:val="21"/>
        </w:rPr>
        <w:t xml:space="preserve"> </w:t>
      </w:r>
      <w:r w:rsidRPr="001D5134">
        <w:rPr>
          <w:rFonts w:ascii="Abadi" w:hAnsi="Abadi"/>
          <w:b w:val="0"/>
          <w:bCs w:val="0"/>
          <w:i/>
          <w:iCs/>
          <w:sz w:val="21"/>
          <w:szCs w:val="21"/>
        </w:rPr>
        <w:t>de</w:t>
      </w:r>
      <w:r w:rsidRPr="001D5134">
        <w:rPr>
          <w:rFonts w:ascii="Abadi" w:hAnsi="Abadi"/>
          <w:b w:val="0"/>
          <w:bCs w:val="0"/>
          <w:i/>
          <w:iCs/>
          <w:spacing w:val="21"/>
          <w:sz w:val="21"/>
          <w:szCs w:val="21"/>
        </w:rPr>
        <w:t xml:space="preserve"> </w:t>
      </w:r>
      <w:r w:rsidRPr="001D5134">
        <w:rPr>
          <w:rFonts w:ascii="Abadi" w:hAnsi="Abadi"/>
          <w:b w:val="0"/>
          <w:bCs w:val="0"/>
          <w:i/>
          <w:iCs/>
          <w:sz w:val="21"/>
          <w:szCs w:val="21"/>
        </w:rPr>
        <w:t>C.</w:t>
      </w:r>
      <w:r w:rsidRPr="001D5134">
        <w:rPr>
          <w:rFonts w:ascii="Abadi" w:hAnsi="Abadi"/>
          <w:b w:val="0"/>
          <w:bCs w:val="0"/>
          <w:i/>
          <w:iCs/>
          <w:spacing w:val="21"/>
          <w:sz w:val="21"/>
          <w:szCs w:val="21"/>
        </w:rPr>
        <w:t xml:space="preserve"> </w:t>
      </w:r>
      <w:r w:rsidRPr="001D5134">
        <w:rPr>
          <w:rFonts w:ascii="Abadi" w:hAnsi="Abadi"/>
          <w:b w:val="0"/>
          <w:bCs w:val="0"/>
          <w:i/>
          <w:iCs/>
          <w:sz w:val="21"/>
          <w:szCs w:val="21"/>
        </w:rPr>
        <w:t>V.,</w:t>
      </w:r>
      <w:r w:rsidRPr="001D5134">
        <w:rPr>
          <w:rFonts w:ascii="Abadi" w:hAnsi="Abadi"/>
          <w:b w:val="0"/>
          <w:bCs w:val="0"/>
          <w:i/>
          <w:iCs/>
          <w:spacing w:val="21"/>
          <w:sz w:val="21"/>
          <w:szCs w:val="21"/>
        </w:rPr>
        <w:t xml:space="preserve"> </w:t>
      </w:r>
      <w:r w:rsidRPr="001D5134">
        <w:rPr>
          <w:rFonts w:ascii="Abadi" w:hAnsi="Abadi"/>
          <w:b w:val="0"/>
          <w:bCs w:val="0"/>
          <w:sz w:val="21"/>
          <w:szCs w:val="21"/>
        </w:rPr>
        <w:t>y</w:t>
      </w:r>
      <w:r w:rsidRPr="001D5134">
        <w:rPr>
          <w:rFonts w:ascii="Abadi" w:hAnsi="Abadi"/>
          <w:b w:val="0"/>
          <w:bCs w:val="0"/>
          <w:spacing w:val="21"/>
          <w:sz w:val="21"/>
          <w:szCs w:val="21"/>
        </w:rPr>
        <w:t xml:space="preserve"> </w:t>
      </w:r>
      <w:r w:rsidRPr="001D5134">
        <w:rPr>
          <w:rFonts w:ascii="Abadi" w:hAnsi="Abadi"/>
          <w:b w:val="0"/>
          <w:bCs w:val="0"/>
          <w:i/>
          <w:iCs/>
          <w:sz w:val="21"/>
          <w:szCs w:val="21"/>
        </w:rPr>
        <w:t>Lumo</w:t>
      </w:r>
      <w:r w:rsidRPr="001D5134">
        <w:rPr>
          <w:rFonts w:ascii="Abadi" w:hAnsi="Abadi"/>
          <w:b w:val="0"/>
          <w:bCs w:val="0"/>
          <w:i/>
          <w:iCs/>
          <w:spacing w:val="21"/>
          <w:sz w:val="21"/>
          <w:szCs w:val="21"/>
        </w:rPr>
        <w:t xml:space="preserve"> </w:t>
      </w:r>
      <w:r w:rsidRPr="001D5134">
        <w:rPr>
          <w:rFonts w:ascii="Abadi" w:hAnsi="Abadi"/>
          <w:b w:val="0"/>
          <w:bCs w:val="0"/>
          <w:i/>
          <w:iCs/>
          <w:sz w:val="21"/>
          <w:szCs w:val="21"/>
        </w:rPr>
        <w:t>Financiera</w:t>
      </w:r>
      <w:r w:rsidRPr="001D5134">
        <w:rPr>
          <w:rFonts w:ascii="Abadi" w:hAnsi="Abadi"/>
          <w:b w:val="0"/>
          <w:bCs w:val="0"/>
          <w:i/>
          <w:iCs/>
          <w:spacing w:val="21"/>
          <w:sz w:val="21"/>
          <w:szCs w:val="21"/>
        </w:rPr>
        <w:t xml:space="preserve"> </w:t>
      </w:r>
      <w:r w:rsidRPr="001D5134">
        <w:rPr>
          <w:rFonts w:ascii="Abadi" w:hAnsi="Abadi"/>
          <w:b w:val="0"/>
          <w:bCs w:val="0"/>
          <w:i/>
          <w:iCs/>
          <w:sz w:val="21"/>
          <w:szCs w:val="21"/>
        </w:rPr>
        <w:t>del</w:t>
      </w:r>
      <w:r w:rsidRPr="001D5134">
        <w:rPr>
          <w:rFonts w:ascii="Abadi" w:hAnsi="Abadi"/>
          <w:b w:val="0"/>
          <w:bCs w:val="0"/>
          <w:i/>
          <w:iCs/>
          <w:spacing w:val="21"/>
          <w:sz w:val="21"/>
          <w:szCs w:val="21"/>
        </w:rPr>
        <w:t xml:space="preserve"> </w:t>
      </w:r>
      <w:r w:rsidRPr="001D5134">
        <w:rPr>
          <w:rFonts w:ascii="Abadi" w:hAnsi="Abadi"/>
          <w:b w:val="0"/>
          <w:bCs w:val="0"/>
          <w:i/>
          <w:iCs/>
          <w:sz w:val="21"/>
          <w:szCs w:val="21"/>
        </w:rPr>
        <w:t xml:space="preserve">Centro, S.A. de C. V., </w:t>
      </w:r>
      <w:r w:rsidRPr="001D5134">
        <w:rPr>
          <w:rFonts w:ascii="Abadi" w:hAnsi="Abadi"/>
          <w:b w:val="0"/>
          <w:bCs w:val="0"/>
          <w:sz w:val="21"/>
          <w:szCs w:val="21"/>
        </w:rPr>
        <w:t xml:space="preserve">número SSP-001-07-2019 y su modificatorio. </w:t>
      </w:r>
      <w:r w:rsidRPr="009A3D12">
        <w:rPr>
          <w:rFonts w:ascii="Abadi" w:hAnsi="Abadi"/>
          <w:sz w:val="21"/>
          <w:szCs w:val="21"/>
        </w:rPr>
        <w:t>XLI.-</w:t>
      </w:r>
      <w:r>
        <w:rPr>
          <w:rFonts w:ascii="Abadi" w:hAnsi="Abadi"/>
          <w:sz w:val="21"/>
          <w:szCs w:val="21"/>
        </w:rPr>
        <w:t xml:space="preserve"> </w:t>
      </w:r>
      <w:r w:rsidRPr="001D5134">
        <w:rPr>
          <w:rFonts w:ascii="Abadi" w:hAnsi="Abadi"/>
          <w:b w:val="0"/>
          <w:bCs w:val="0"/>
          <w:sz w:val="21"/>
          <w:szCs w:val="21"/>
        </w:rPr>
        <w:t>Discusión</w:t>
      </w:r>
      <w:r w:rsidRPr="001D5134">
        <w:rPr>
          <w:rFonts w:ascii="Abadi" w:hAnsi="Abadi"/>
          <w:b w:val="0"/>
          <w:bCs w:val="0"/>
          <w:spacing w:val="9"/>
          <w:sz w:val="21"/>
          <w:szCs w:val="21"/>
        </w:rPr>
        <w:t xml:space="preserve"> </w:t>
      </w:r>
      <w:r w:rsidRPr="001D5134">
        <w:rPr>
          <w:rFonts w:ascii="Abadi" w:hAnsi="Abadi"/>
          <w:b w:val="0"/>
          <w:bCs w:val="0"/>
          <w:sz w:val="21"/>
          <w:szCs w:val="21"/>
        </w:rPr>
        <w:t>y,</w:t>
      </w:r>
      <w:r w:rsidRPr="001D5134">
        <w:rPr>
          <w:rFonts w:ascii="Abadi" w:hAnsi="Abadi"/>
          <w:b w:val="0"/>
          <w:bCs w:val="0"/>
          <w:spacing w:val="9"/>
          <w:sz w:val="21"/>
          <w:szCs w:val="21"/>
        </w:rPr>
        <w:t xml:space="preserve"> </w:t>
      </w:r>
      <w:r w:rsidRPr="001D5134">
        <w:rPr>
          <w:rFonts w:ascii="Abadi" w:hAnsi="Abadi"/>
          <w:b w:val="0"/>
          <w:bCs w:val="0"/>
          <w:sz w:val="21"/>
          <w:szCs w:val="21"/>
        </w:rPr>
        <w:t>en</w:t>
      </w:r>
      <w:r w:rsidRPr="001D5134">
        <w:rPr>
          <w:rFonts w:ascii="Abadi" w:hAnsi="Abadi"/>
          <w:b w:val="0"/>
          <w:bCs w:val="0"/>
          <w:spacing w:val="9"/>
          <w:sz w:val="21"/>
          <w:szCs w:val="21"/>
        </w:rPr>
        <w:t xml:space="preserve"> </w:t>
      </w:r>
      <w:r w:rsidRPr="001D5134">
        <w:rPr>
          <w:rFonts w:ascii="Abadi" w:hAnsi="Abadi"/>
          <w:b w:val="0"/>
          <w:bCs w:val="0"/>
          <w:sz w:val="21"/>
          <w:szCs w:val="21"/>
        </w:rPr>
        <w:t>su</w:t>
      </w:r>
      <w:r w:rsidRPr="001D5134">
        <w:rPr>
          <w:rFonts w:ascii="Abadi" w:hAnsi="Abadi"/>
          <w:b w:val="0"/>
          <w:bCs w:val="0"/>
          <w:spacing w:val="9"/>
          <w:sz w:val="21"/>
          <w:szCs w:val="21"/>
        </w:rPr>
        <w:t xml:space="preserve"> </w:t>
      </w:r>
      <w:r w:rsidRPr="001D5134">
        <w:rPr>
          <w:rFonts w:ascii="Abadi" w:hAnsi="Abadi"/>
          <w:b w:val="0"/>
          <w:bCs w:val="0"/>
          <w:sz w:val="21"/>
          <w:szCs w:val="21"/>
        </w:rPr>
        <w:t>caso,</w:t>
      </w:r>
      <w:r w:rsidRPr="001D5134">
        <w:rPr>
          <w:rFonts w:ascii="Abadi" w:hAnsi="Abadi"/>
          <w:b w:val="0"/>
          <w:bCs w:val="0"/>
          <w:spacing w:val="9"/>
          <w:sz w:val="21"/>
          <w:szCs w:val="21"/>
        </w:rPr>
        <w:t xml:space="preserve"> </w:t>
      </w:r>
      <w:r w:rsidRPr="001D5134">
        <w:rPr>
          <w:rFonts w:ascii="Abadi" w:hAnsi="Abadi"/>
          <w:b w:val="0"/>
          <w:bCs w:val="0"/>
          <w:sz w:val="21"/>
          <w:szCs w:val="21"/>
        </w:rPr>
        <w:t>aprobación</w:t>
      </w:r>
      <w:r w:rsidRPr="001D5134">
        <w:rPr>
          <w:rFonts w:ascii="Abadi" w:hAnsi="Abadi"/>
          <w:b w:val="0"/>
          <w:bCs w:val="0"/>
          <w:spacing w:val="9"/>
          <w:sz w:val="21"/>
          <w:szCs w:val="21"/>
        </w:rPr>
        <w:t xml:space="preserve"> </w:t>
      </w:r>
      <w:r w:rsidRPr="001D5134">
        <w:rPr>
          <w:rFonts w:ascii="Abadi" w:hAnsi="Abadi"/>
          <w:b w:val="0"/>
          <w:bCs w:val="0"/>
          <w:sz w:val="21"/>
          <w:szCs w:val="21"/>
        </w:rPr>
        <w:t>del</w:t>
      </w:r>
      <w:r w:rsidRPr="001D5134">
        <w:rPr>
          <w:rFonts w:ascii="Abadi" w:hAnsi="Abadi"/>
          <w:b w:val="0"/>
          <w:bCs w:val="0"/>
          <w:spacing w:val="9"/>
          <w:sz w:val="21"/>
          <w:szCs w:val="21"/>
        </w:rPr>
        <w:t xml:space="preserve"> </w:t>
      </w:r>
      <w:r w:rsidRPr="001D5134">
        <w:rPr>
          <w:rFonts w:ascii="Abadi" w:hAnsi="Abadi"/>
          <w:b w:val="0"/>
          <w:bCs w:val="0"/>
          <w:sz w:val="21"/>
          <w:szCs w:val="21"/>
        </w:rPr>
        <w:t>dictamen</w:t>
      </w:r>
      <w:r w:rsidRPr="001D5134">
        <w:rPr>
          <w:rFonts w:ascii="Abadi" w:hAnsi="Abadi"/>
          <w:b w:val="0"/>
          <w:bCs w:val="0"/>
          <w:spacing w:val="9"/>
          <w:sz w:val="21"/>
          <w:szCs w:val="21"/>
        </w:rPr>
        <w:t xml:space="preserve"> </w:t>
      </w:r>
      <w:r w:rsidRPr="001D5134">
        <w:rPr>
          <w:rFonts w:ascii="Abadi" w:hAnsi="Abadi"/>
          <w:b w:val="0"/>
          <w:bCs w:val="0"/>
          <w:sz w:val="21"/>
          <w:szCs w:val="21"/>
        </w:rPr>
        <w:t>suscrito</w:t>
      </w:r>
      <w:r w:rsidRPr="001D5134">
        <w:rPr>
          <w:rFonts w:ascii="Abadi" w:hAnsi="Abadi"/>
          <w:b w:val="0"/>
          <w:bCs w:val="0"/>
          <w:spacing w:val="9"/>
          <w:sz w:val="21"/>
          <w:szCs w:val="21"/>
        </w:rPr>
        <w:t xml:space="preserve"> </w:t>
      </w:r>
      <w:r w:rsidRPr="001D5134">
        <w:rPr>
          <w:rFonts w:ascii="Abadi" w:hAnsi="Abadi"/>
          <w:b w:val="0"/>
          <w:bCs w:val="0"/>
          <w:sz w:val="21"/>
          <w:szCs w:val="21"/>
        </w:rPr>
        <w:t>por</w:t>
      </w:r>
      <w:r w:rsidRPr="001D5134">
        <w:rPr>
          <w:rFonts w:ascii="Abadi" w:hAnsi="Abadi"/>
          <w:b w:val="0"/>
          <w:bCs w:val="0"/>
          <w:spacing w:val="9"/>
          <w:sz w:val="21"/>
          <w:szCs w:val="21"/>
        </w:rPr>
        <w:t xml:space="preserve"> </w:t>
      </w:r>
      <w:r w:rsidRPr="001D5134">
        <w:rPr>
          <w:rFonts w:ascii="Abadi" w:hAnsi="Abadi"/>
          <w:b w:val="0"/>
          <w:bCs w:val="0"/>
          <w:sz w:val="21"/>
          <w:szCs w:val="21"/>
        </w:rPr>
        <w:t>la</w:t>
      </w:r>
      <w:r w:rsidRPr="001D5134">
        <w:rPr>
          <w:rFonts w:ascii="Abadi" w:hAnsi="Abadi"/>
          <w:b w:val="0"/>
          <w:bCs w:val="0"/>
          <w:spacing w:val="9"/>
          <w:sz w:val="21"/>
          <w:szCs w:val="21"/>
        </w:rPr>
        <w:t xml:space="preserve"> </w:t>
      </w:r>
      <w:r w:rsidRPr="001D5134">
        <w:rPr>
          <w:rFonts w:ascii="Abadi" w:hAnsi="Abadi"/>
          <w:b w:val="0"/>
          <w:bCs w:val="0"/>
          <w:sz w:val="21"/>
          <w:szCs w:val="21"/>
        </w:rPr>
        <w:t>Comisión</w:t>
      </w:r>
      <w:r w:rsidRPr="001D5134">
        <w:rPr>
          <w:rFonts w:ascii="Abadi" w:hAnsi="Abadi"/>
          <w:b w:val="0"/>
          <w:bCs w:val="0"/>
          <w:spacing w:val="-2"/>
          <w:sz w:val="21"/>
          <w:szCs w:val="21"/>
        </w:rPr>
        <w:t xml:space="preserve"> </w:t>
      </w:r>
      <w:r w:rsidRPr="001D5134">
        <w:rPr>
          <w:rFonts w:ascii="Abadi" w:hAnsi="Abadi"/>
          <w:b w:val="0"/>
          <w:bCs w:val="0"/>
          <w:sz w:val="21"/>
          <w:szCs w:val="21"/>
        </w:rPr>
        <w:t>de</w:t>
      </w:r>
      <w:r w:rsidRPr="001D5134">
        <w:rPr>
          <w:rFonts w:ascii="Abadi" w:hAnsi="Abadi"/>
          <w:b w:val="0"/>
          <w:bCs w:val="0"/>
          <w:spacing w:val="32"/>
          <w:sz w:val="21"/>
          <w:szCs w:val="21"/>
        </w:rPr>
        <w:t xml:space="preserve"> </w:t>
      </w:r>
      <w:r w:rsidRPr="001D5134">
        <w:rPr>
          <w:rFonts w:ascii="Abadi" w:hAnsi="Abadi"/>
          <w:b w:val="0"/>
          <w:bCs w:val="0"/>
          <w:sz w:val="21"/>
          <w:szCs w:val="21"/>
        </w:rPr>
        <w:t>Hacienda</w:t>
      </w:r>
      <w:r w:rsidRPr="001D5134">
        <w:rPr>
          <w:rFonts w:ascii="Abadi" w:hAnsi="Abadi"/>
          <w:b w:val="0"/>
          <w:bCs w:val="0"/>
          <w:spacing w:val="31"/>
          <w:sz w:val="21"/>
          <w:szCs w:val="21"/>
        </w:rPr>
        <w:t xml:space="preserve"> </w:t>
      </w:r>
      <w:r w:rsidRPr="001D5134">
        <w:rPr>
          <w:rFonts w:ascii="Abadi" w:hAnsi="Abadi"/>
          <w:b w:val="0"/>
          <w:bCs w:val="0"/>
          <w:sz w:val="21"/>
          <w:szCs w:val="21"/>
        </w:rPr>
        <w:t>y</w:t>
      </w:r>
      <w:r w:rsidRPr="001D5134">
        <w:rPr>
          <w:rFonts w:ascii="Abadi" w:hAnsi="Abadi"/>
          <w:b w:val="0"/>
          <w:bCs w:val="0"/>
          <w:spacing w:val="32"/>
          <w:sz w:val="21"/>
          <w:szCs w:val="21"/>
        </w:rPr>
        <w:t xml:space="preserve"> </w:t>
      </w:r>
      <w:r w:rsidRPr="001D5134">
        <w:rPr>
          <w:rFonts w:ascii="Abadi" w:hAnsi="Abadi"/>
          <w:b w:val="0"/>
          <w:bCs w:val="0"/>
          <w:sz w:val="21"/>
          <w:szCs w:val="21"/>
        </w:rPr>
        <w:t>Fiscalización</w:t>
      </w:r>
      <w:r w:rsidRPr="001D5134">
        <w:rPr>
          <w:rFonts w:ascii="Abadi" w:hAnsi="Abadi"/>
          <w:b w:val="0"/>
          <w:bCs w:val="0"/>
          <w:spacing w:val="32"/>
          <w:sz w:val="21"/>
          <w:szCs w:val="21"/>
        </w:rPr>
        <w:t xml:space="preserve"> </w:t>
      </w:r>
      <w:r w:rsidRPr="001D5134">
        <w:rPr>
          <w:rFonts w:ascii="Abadi" w:hAnsi="Abadi"/>
          <w:b w:val="0"/>
          <w:bCs w:val="0"/>
          <w:sz w:val="21"/>
          <w:szCs w:val="21"/>
        </w:rPr>
        <w:t>relativo</w:t>
      </w:r>
      <w:r w:rsidRPr="001D5134">
        <w:rPr>
          <w:rFonts w:ascii="Abadi" w:hAnsi="Abadi"/>
          <w:b w:val="0"/>
          <w:bCs w:val="0"/>
          <w:spacing w:val="31"/>
          <w:sz w:val="21"/>
          <w:szCs w:val="21"/>
        </w:rPr>
        <w:t xml:space="preserve"> </w:t>
      </w:r>
      <w:r w:rsidRPr="001D5134">
        <w:rPr>
          <w:rFonts w:ascii="Abadi" w:hAnsi="Abadi"/>
          <w:b w:val="0"/>
          <w:bCs w:val="0"/>
          <w:sz w:val="21"/>
          <w:szCs w:val="21"/>
        </w:rPr>
        <w:t>a</w:t>
      </w:r>
      <w:r w:rsidRPr="001D5134">
        <w:rPr>
          <w:rFonts w:ascii="Abadi" w:hAnsi="Abadi"/>
          <w:b w:val="0"/>
          <w:bCs w:val="0"/>
          <w:spacing w:val="32"/>
          <w:sz w:val="21"/>
          <w:szCs w:val="21"/>
        </w:rPr>
        <w:t xml:space="preserve"> </w:t>
      </w:r>
      <w:r w:rsidRPr="001D5134">
        <w:rPr>
          <w:rFonts w:ascii="Abadi" w:hAnsi="Abadi"/>
          <w:b w:val="0"/>
          <w:bCs w:val="0"/>
          <w:sz w:val="21"/>
          <w:szCs w:val="21"/>
        </w:rPr>
        <w:t>la</w:t>
      </w:r>
      <w:r w:rsidRPr="001D5134">
        <w:rPr>
          <w:rFonts w:ascii="Abadi" w:hAnsi="Abadi"/>
          <w:b w:val="0"/>
          <w:bCs w:val="0"/>
          <w:spacing w:val="32"/>
          <w:sz w:val="21"/>
          <w:szCs w:val="21"/>
        </w:rPr>
        <w:t xml:space="preserve"> </w:t>
      </w:r>
      <w:r w:rsidRPr="001D5134">
        <w:rPr>
          <w:rFonts w:ascii="Abadi" w:hAnsi="Abadi"/>
          <w:b w:val="0"/>
          <w:bCs w:val="0"/>
          <w:sz w:val="21"/>
          <w:szCs w:val="21"/>
        </w:rPr>
        <w:t>propuesta</w:t>
      </w:r>
      <w:r w:rsidRPr="001D5134">
        <w:rPr>
          <w:rFonts w:ascii="Abadi" w:hAnsi="Abadi"/>
          <w:b w:val="0"/>
          <w:bCs w:val="0"/>
          <w:spacing w:val="31"/>
          <w:sz w:val="21"/>
          <w:szCs w:val="21"/>
        </w:rPr>
        <w:t xml:space="preserve"> </w:t>
      </w:r>
      <w:r w:rsidRPr="001D5134">
        <w:rPr>
          <w:rFonts w:ascii="Abadi" w:hAnsi="Abadi"/>
          <w:b w:val="0"/>
          <w:bCs w:val="0"/>
          <w:sz w:val="21"/>
          <w:szCs w:val="21"/>
        </w:rPr>
        <w:t>de</w:t>
      </w:r>
      <w:r w:rsidRPr="001D5134">
        <w:rPr>
          <w:rFonts w:ascii="Abadi" w:hAnsi="Abadi"/>
          <w:b w:val="0"/>
          <w:bCs w:val="0"/>
          <w:spacing w:val="31"/>
          <w:sz w:val="21"/>
          <w:szCs w:val="21"/>
        </w:rPr>
        <w:t xml:space="preserve"> </w:t>
      </w:r>
      <w:r w:rsidRPr="001D5134">
        <w:rPr>
          <w:rFonts w:ascii="Abadi" w:hAnsi="Abadi"/>
          <w:b w:val="0"/>
          <w:bCs w:val="0"/>
          <w:sz w:val="21"/>
          <w:szCs w:val="21"/>
        </w:rPr>
        <w:t>punto</w:t>
      </w:r>
      <w:r w:rsidRPr="001D5134">
        <w:rPr>
          <w:rFonts w:ascii="Abadi" w:hAnsi="Abadi"/>
          <w:b w:val="0"/>
          <w:bCs w:val="0"/>
          <w:spacing w:val="31"/>
          <w:sz w:val="21"/>
          <w:szCs w:val="21"/>
        </w:rPr>
        <w:t xml:space="preserve"> </w:t>
      </w:r>
      <w:r w:rsidRPr="001D5134">
        <w:rPr>
          <w:rFonts w:ascii="Abadi" w:hAnsi="Abadi"/>
          <w:b w:val="0"/>
          <w:bCs w:val="0"/>
          <w:sz w:val="21"/>
          <w:szCs w:val="21"/>
        </w:rPr>
        <w:t>de</w:t>
      </w:r>
      <w:r w:rsidRPr="001D5134">
        <w:rPr>
          <w:rFonts w:ascii="Abadi" w:hAnsi="Abadi"/>
          <w:b w:val="0"/>
          <w:bCs w:val="0"/>
          <w:spacing w:val="31"/>
          <w:sz w:val="21"/>
          <w:szCs w:val="21"/>
        </w:rPr>
        <w:t xml:space="preserve"> </w:t>
      </w:r>
      <w:r w:rsidRPr="001D5134">
        <w:rPr>
          <w:rFonts w:ascii="Abadi" w:hAnsi="Abadi"/>
          <w:b w:val="0"/>
          <w:bCs w:val="0"/>
          <w:sz w:val="21"/>
          <w:szCs w:val="21"/>
        </w:rPr>
        <w:t>acuerdo</w:t>
      </w:r>
      <w:r w:rsidRPr="001D5134">
        <w:rPr>
          <w:rFonts w:ascii="Abadi" w:hAnsi="Abadi"/>
          <w:b w:val="0"/>
          <w:bCs w:val="0"/>
          <w:spacing w:val="-2"/>
          <w:sz w:val="21"/>
          <w:szCs w:val="21"/>
        </w:rPr>
        <w:t xml:space="preserve"> </w:t>
      </w:r>
      <w:r w:rsidRPr="001D5134">
        <w:rPr>
          <w:rFonts w:ascii="Abadi" w:hAnsi="Abadi"/>
          <w:b w:val="0"/>
          <w:bCs w:val="0"/>
          <w:sz w:val="21"/>
          <w:szCs w:val="21"/>
        </w:rPr>
        <w:t>formulada</w:t>
      </w:r>
      <w:r w:rsidRPr="001D5134">
        <w:rPr>
          <w:rFonts w:ascii="Abadi" w:hAnsi="Abadi"/>
          <w:b w:val="0"/>
          <w:bCs w:val="0"/>
          <w:spacing w:val="24"/>
          <w:sz w:val="21"/>
          <w:szCs w:val="21"/>
        </w:rPr>
        <w:t xml:space="preserve"> </w:t>
      </w:r>
      <w:r w:rsidRPr="001D5134">
        <w:rPr>
          <w:rFonts w:ascii="Abadi" w:hAnsi="Abadi"/>
          <w:b w:val="0"/>
          <w:bCs w:val="0"/>
          <w:sz w:val="21"/>
          <w:szCs w:val="21"/>
        </w:rPr>
        <w:t>por</w:t>
      </w:r>
      <w:r w:rsidRPr="001D5134">
        <w:rPr>
          <w:rFonts w:ascii="Abadi" w:hAnsi="Abadi"/>
          <w:b w:val="0"/>
          <w:bCs w:val="0"/>
          <w:spacing w:val="24"/>
          <w:sz w:val="21"/>
          <w:szCs w:val="21"/>
        </w:rPr>
        <w:t xml:space="preserve"> </w:t>
      </w:r>
      <w:r w:rsidRPr="001D5134">
        <w:rPr>
          <w:rFonts w:ascii="Abadi" w:hAnsi="Abadi"/>
          <w:b w:val="0"/>
          <w:bCs w:val="0"/>
          <w:sz w:val="21"/>
          <w:szCs w:val="21"/>
        </w:rPr>
        <w:t>diputadas</w:t>
      </w:r>
      <w:r w:rsidRPr="001D5134">
        <w:rPr>
          <w:rFonts w:ascii="Abadi" w:hAnsi="Abadi"/>
          <w:b w:val="0"/>
          <w:bCs w:val="0"/>
          <w:spacing w:val="24"/>
          <w:sz w:val="21"/>
          <w:szCs w:val="21"/>
        </w:rPr>
        <w:t xml:space="preserve"> </w:t>
      </w:r>
      <w:r w:rsidRPr="001D5134">
        <w:rPr>
          <w:rFonts w:ascii="Abadi" w:hAnsi="Abadi"/>
          <w:b w:val="0"/>
          <w:bCs w:val="0"/>
          <w:sz w:val="21"/>
          <w:szCs w:val="21"/>
        </w:rPr>
        <w:t>y</w:t>
      </w:r>
      <w:r w:rsidRPr="001D5134">
        <w:rPr>
          <w:rFonts w:ascii="Abadi" w:hAnsi="Abadi"/>
          <w:b w:val="0"/>
          <w:bCs w:val="0"/>
          <w:spacing w:val="24"/>
          <w:sz w:val="21"/>
          <w:szCs w:val="21"/>
        </w:rPr>
        <w:t xml:space="preserve"> </w:t>
      </w:r>
      <w:r w:rsidRPr="001D5134">
        <w:rPr>
          <w:rFonts w:ascii="Abadi" w:hAnsi="Abadi"/>
          <w:b w:val="0"/>
          <w:bCs w:val="0"/>
          <w:sz w:val="21"/>
          <w:szCs w:val="21"/>
        </w:rPr>
        <w:t>diputados</w:t>
      </w:r>
      <w:r w:rsidRPr="001D5134">
        <w:rPr>
          <w:rFonts w:ascii="Abadi" w:hAnsi="Abadi"/>
          <w:b w:val="0"/>
          <w:bCs w:val="0"/>
          <w:spacing w:val="24"/>
          <w:sz w:val="21"/>
          <w:szCs w:val="21"/>
        </w:rPr>
        <w:t xml:space="preserve"> </w:t>
      </w:r>
      <w:r w:rsidRPr="001D5134">
        <w:rPr>
          <w:rFonts w:ascii="Abadi" w:hAnsi="Abadi"/>
          <w:b w:val="0"/>
          <w:bCs w:val="0"/>
          <w:sz w:val="21"/>
          <w:szCs w:val="21"/>
        </w:rPr>
        <w:t>integrantes</w:t>
      </w:r>
      <w:r w:rsidRPr="001D5134">
        <w:rPr>
          <w:rFonts w:ascii="Abadi" w:hAnsi="Abadi"/>
          <w:b w:val="0"/>
          <w:bCs w:val="0"/>
          <w:spacing w:val="24"/>
          <w:sz w:val="21"/>
          <w:szCs w:val="21"/>
        </w:rPr>
        <w:t xml:space="preserve"> </w:t>
      </w:r>
      <w:r w:rsidRPr="001D5134">
        <w:rPr>
          <w:rFonts w:ascii="Abadi" w:hAnsi="Abadi"/>
          <w:b w:val="0"/>
          <w:bCs w:val="0"/>
          <w:sz w:val="21"/>
          <w:szCs w:val="21"/>
        </w:rPr>
        <w:t>del</w:t>
      </w:r>
      <w:r w:rsidRPr="001D5134">
        <w:rPr>
          <w:rFonts w:ascii="Abadi" w:hAnsi="Abadi"/>
          <w:b w:val="0"/>
          <w:bCs w:val="0"/>
          <w:spacing w:val="24"/>
          <w:sz w:val="21"/>
          <w:szCs w:val="21"/>
        </w:rPr>
        <w:t xml:space="preserve"> </w:t>
      </w:r>
      <w:r w:rsidRPr="001D5134">
        <w:rPr>
          <w:rFonts w:ascii="Abadi" w:hAnsi="Abadi"/>
          <w:b w:val="0"/>
          <w:bCs w:val="0"/>
          <w:sz w:val="21"/>
          <w:szCs w:val="21"/>
        </w:rPr>
        <w:t>Grupo</w:t>
      </w:r>
      <w:r w:rsidRPr="001D5134">
        <w:rPr>
          <w:rFonts w:ascii="Abadi" w:hAnsi="Abadi"/>
          <w:b w:val="0"/>
          <w:bCs w:val="0"/>
          <w:spacing w:val="24"/>
          <w:sz w:val="21"/>
          <w:szCs w:val="21"/>
        </w:rPr>
        <w:t xml:space="preserve"> </w:t>
      </w:r>
      <w:r w:rsidRPr="001D5134">
        <w:rPr>
          <w:rFonts w:ascii="Abadi" w:hAnsi="Abadi"/>
          <w:b w:val="0"/>
          <w:bCs w:val="0"/>
          <w:sz w:val="21"/>
          <w:szCs w:val="21"/>
        </w:rPr>
        <w:t>Parlamentario</w:t>
      </w:r>
      <w:r w:rsidRPr="001D5134">
        <w:rPr>
          <w:rFonts w:ascii="Abadi" w:hAnsi="Abadi"/>
          <w:b w:val="0"/>
          <w:bCs w:val="0"/>
          <w:spacing w:val="-2"/>
          <w:sz w:val="21"/>
          <w:szCs w:val="21"/>
        </w:rPr>
        <w:t xml:space="preserve"> </w:t>
      </w:r>
      <w:r w:rsidRPr="001D5134">
        <w:rPr>
          <w:rFonts w:ascii="Abadi" w:hAnsi="Abadi"/>
          <w:b w:val="0"/>
          <w:bCs w:val="0"/>
          <w:sz w:val="21"/>
          <w:szCs w:val="21"/>
        </w:rPr>
        <w:t>del</w:t>
      </w:r>
      <w:r w:rsidRPr="001D5134">
        <w:rPr>
          <w:rFonts w:ascii="Abadi" w:hAnsi="Abadi"/>
          <w:b w:val="0"/>
          <w:bCs w:val="0"/>
          <w:spacing w:val="-5"/>
          <w:sz w:val="21"/>
          <w:szCs w:val="21"/>
        </w:rPr>
        <w:t xml:space="preserve"> </w:t>
      </w:r>
      <w:r w:rsidRPr="001D5134">
        <w:rPr>
          <w:rFonts w:ascii="Abadi" w:hAnsi="Abadi"/>
          <w:b w:val="0"/>
          <w:bCs w:val="0"/>
          <w:sz w:val="21"/>
          <w:szCs w:val="21"/>
        </w:rPr>
        <w:t>Partido</w:t>
      </w:r>
      <w:r w:rsidRPr="001D5134">
        <w:rPr>
          <w:rFonts w:ascii="Abadi" w:hAnsi="Abadi"/>
          <w:b w:val="0"/>
          <w:bCs w:val="0"/>
          <w:spacing w:val="-5"/>
          <w:sz w:val="21"/>
          <w:szCs w:val="21"/>
        </w:rPr>
        <w:t xml:space="preserve"> </w:t>
      </w:r>
      <w:r w:rsidRPr="001D5134">
        <w:rPr>
          <w:rFonts w:ascii="Abadi" w:hAnsi="Abadi"/>
          <w:b w:val="0"/>
          <w:bCs w:val="0"/>
          <w:sz w:val="21"/>
          <w:szCs w:val="21"/>
        </w:rPr>
        <w:t>MORENA</w:t>
      </w:r>
      <w:r w:rsidRPr="001D5134">
        <w:rPr>
          <w:rFonts w:ascii="Abadi" w:hAnsi="Abadi"/>
          <w:b w:val="0"/>
          <w:bCs w:val="0"/>
          <w:spacing w:val="-6"/>
          <w:sz w:val="21"/>
          <w:szCs w:val="21"/>
        </w:rPr>
        <w:t xml:space="preserve"> </w:t>
      </w:r>
      <w:r w:rsidRPr="001D5134">
        <w:rPr>
          <w:rFonts w:ascii="Abadi" w:hAnsi="Abadi"/>
          <w:b w:val="0"/>
          <w:bCs w:val="0"/>
          <w:sz w:val="21"/>
          <w:szCs w:val="21"/>
        </w:rPr>
        <w:t>a</w:t>
      </w:r>
      <w:r w:rsidRPr="001D5134">
        <w:rPr>
          <w:rFonts w:ascii="Abadi" w:hAnsi="Abadi"/>
          <w:b w:val="0"/>
          <w:bCs w:val="0"/>
          <w:spacing w:val="-5"/>
          <w:sz w:val="21"/>
          <w:szCs w:val="21"/>
        </w:rPr>
        <w:t xml:space="preserve"> </w:t>
      </w:r>
      <w:r w:rsidRPr="001D5134">
        <w:rPr>
          <w:rFonts w:ascii="Abadi" w:hAnsi="Abadi"/>
          <w:b w:val="0"/>
          <w:bCs w:val="0"/>
          <w:sz w:val="21"/>
          <w:szCs w:val="21"/>
        </w:rPr>
        <w:t>efecto</w:t>
      </w:r>
      <w:r w:rsidRPr="001D5134">
        <w:rPr>
          <w:rFonts w:ascii="Abadi" w:hAnsi="Abadi"/>
          <w:b w:val="0"/>
          <w:bCs w:val="0"/>
          <w:spacing w:val="-5"/>
          <w:sz w:val="21"/>
          <w:szCs w:val="21"/>
        </w:rPr>
        <w:t xml:space="preserve"> </w:t>
      </w:r>
      <w:r w:rsidRPr="001D5134">
        <w:rPr>
          <w:rFonts w:ascii="Abadi" w:hAnsi="Abadi"/>
          <w:b w:val="0"/>
          <w:bCs w:val="0"/>
          <w:sz w:val="21"/>
          <w:szCs w:val="21"/>
        </w:rPr>
        <w:t>de</w:t>
      </w:r>
      <w:r w:rsidRPr="001D5134">
        <w:rPr>
          <w:rFonts w:ascii="Abadi" w:hAnsi="Abadi"/>
          <w:b w:val="0"/>
          <w:bCs w:val="0"/>
          <w:spacing w:val="-5"/>
          <w:sz w:val="21"/>
          <w:szCs w:val="21"/>
        </w:rPr>
        <w:t xml:space="preserve"> </w:t>
      </w:r>
      <w:r w:rsidRPr="001D5134">
        <w:rPr>
          <w:rFonts w:ascii="Abadi" w:hAnsi="Abadi"/>
          <w:b w:val="0"/>
          <w:bCs w:val="0"/>
          <w:sz w:val="21"/>
          <w:szCs w:val="21"/>
        </w:rPr>
        <w:t>exhortar</w:t>
      </w:r>
      <w:r w:rsidRPr="001D5134">
        <w:rPr>
          <w:rFonts w:ascii="Abadi" w:hAnsi="Abadi"/>
          <w:b w:val="0"/>
          <w:bCs w:val="0"/>
          <w:spacing w:val="-5"/>
          <w:sz w:val="21"/>
          <w:szCs w:val="21"/>
        </w:rPr>
        <w:t xml:space="preserve"> </w:t>
      </w:r>
      <w:r w:rsidRPr="001D5134">
        <w:rPr>
          <w:rFonts w:ascii="Abadi" w:hAnsi="Abadi"/>
          <w:b w:val="0"/>
          <w:bCs w:val="0"/>
          <w:sz w:val="21"/>
          <w:szCs w:val="21"/>
        </w:rPr>
        <w:t>al</w:t>
      </w:r>
      <w:r w:rsidRPr="001D5134">
        <w:rPr>
          <w:rFonts w:ascii="Abadi" w:hAnsi="Abadi"/>
          <w:b w:val="0"/>
          <w:bCs w:val="0"/>
          <w:spacing w:val="-5"/>
          <w:sz w:val="21"/>
          <w:szCs w:val="21"/>
        </w:rPr>
        <w:t xml:space="preserve"> </w:t>
      </w:r>
      <w:r w:rsidRPr="001D5134">
        <w:rPr>
          <w:rFonts w:ascii="Abadi" w:hAnsi="Abadi"/>
          <w:b w:val="0"/>
          <w:bCs w:val="0"/>
          <w:sz w:val="21"/>
          <w:szCs w:val="21"/>
        </w:rPr>
        <w:t>Auditor</w:t>
      </w:r>
      <w:r w:rsidRPr="001D5134">
        <w:rPr>
          <w:rFonts w:ascii="Abadi" w:hAnsi="Abadi"/>
          <w:b w:val="0"/>
          <w:bCs w:val="0"/>
          <w:spacing w:val="-5"/>
          <w:sz w:val="21"/>
          <w:szCs w:val="21"/>
        </w:rPr>
        <w:t xml:space="preserve"> </w:t>
      </w:r>
      <w:r w:rsidRPr="001D5134">
        <w:rPr>
          <w:rFonts w:ascii="Abadi" w:hAnsi="Abadi"/>
          <w:b w:val="0"/>
          <w:bCs w:val="0"/>
          <w:sz w:val="21"/>
          <w:szCs w:val="21"/>
        </w:rPr>
        <w:t>Superior</w:t>
      </w:r>
      <w:r w:rsidRPr="001D5134">
        <w:rPr>
          <w:rFonts w:ascii="Abadi" w:hAnsi="Abadi"/>
          <w:b w:val="0"/>
          <w:bCs w:val="0"/>
          <w:spacing w:val="-5"/>
          <w:sz w:val="21"/>
          <w:szCs w:val="21"/>
        </w:rPr>
        <w:t xml:space="preserve"> </w:t>
      </w:r>
      <w:r w:rsidRPr="001D5134">
        <w:rPr>
          <w:rFonts w:ascii="Abadi" w:hAnsi="Abadi"/>
          <w:b w:val="0"/>
          <w:bCs w:val="0"/>
          <w:sz w:val="21"/>
          <w:szCs w:val="21"/>
        </w:rPr>
        <w:t>del</w:t>
      </w:r>
      <w:r w:rsidRPr="001D5134">
        <w:rPr>
          <w:rFonts w:ascii="Abadi" w:hAnsi="Abadi"/>
          <w:b w:val="0"/>
          <w:bCs w:val="0"/>
          <w:spacing w:val="-5"/>
          <w:sz w:val="21"/>
          <w:szCs w:val="21"/>
        </w:rPr>
        <w:t xml:space="preserve"> </w:t>
      </w:r>
      <w:r w:rsidRPr="001D5134">
        <w:rPr>
          <w:rFonts w:ascii="Abadi" w:hAnsi="Abadi"/>
          <w:b w:val="0"/>
          <w:bCs w:val="0"/>
          <w:sz w:val="21"/>
          <w:szCs w:val="21"/>
        </w:rPr>
        <w:t>Estado</w:t>
      </w:r>
      <w:r w:rsidRPr="001D5134">
        <w:rPr>
          <w:rFonts w:ascii="Abadi" w:hAnsi="Abadi"/>
          <w:b w:val="0"/>
          <w:bCs w:val="0"/>
          <w:spacing w:val="-5"/>
          <w:sz w:val="21"/>
          <w:szCs w:val="21"/>
        </w:rPr>
        <w:t xml:space="preserve"> </w:t>
      </w:r>
      <w:r w:rsidRPr="001D5134">
        <w:rPr>
          <w:rFonts w:ascii="Abadi" w:hAnsi="Abadi"/>
          <w:b w:val="0"/>
          <w:bCs w:val="0"/>
          <w:sz w:val="21"/>
          <w:szCs w:val="21"/>
        </w:rPr>
        <w:t>de</w:t>
      </w:r>
      <w:r w:rsidRPr="001D5134">
        <w:rPr>
          <w:rFonts w:ascii="Abadi" w:hAnsi="Abadi"/>
          <w:b w:val="0"/>
          <w:bCs w:val="0"/>
          <w:spacing w:val="-2"/>
          <w:sz w:val="21"/>
          <w:szCs w:val="21"/>
        </w:rPr>
        <w:t xml:space="preserve"> </w:t>
      </w:r>
      <w:r w:rsidRPr="001D5134">
        <w:rPr>
          <w:rFonts w:ascii="Abadi" w:hAnsi="Abadi"/>
          <w:b w:val="0"/>
          <w:bCs w:val="0"/>
          <w:sz w:val="21"/>
          <w:szCs w:val="21"/>
        </w:rPr>
        <w:t>Guanajuato</w:t>
      </w:r>
      <w:r w:rsidRPr="001D5134">
        <w:rPr>
          <w:rFonts w:ascii="Abadi" w:hAnsi="Abadi"/>
          <w:b w:val="0"/>
          <w:bCs w:val="0"/>
          <w:spacing w:val="20"/>
          <w:sz w:val="21"/>
          <w:szCs w:val="21"/>
        </w:rPr>
        <w:t xml:space="preserve"> </w:t>
      </w:r>
      <w:r w:rsidRPr="001D5134">
        <w:rPr>
          <w:rFonts w:ascii="Abadi" w:hAnsi="Abadi"/>
          <w:b w:val="0"/>
          <w:bCs w:val="0"/>
          <w:sz w:val="21"/>
          <w:szCs w:val="21"/>
        </w:rPr>
        <w:t>para</w:t>
      </w:r>
      <w:r w:rsidRPr="001D5134">
        <w:rPr>
          <w:rFonts w:ascii="Abadi" w:hAnsi="Abadi"/>
          <w:b w:val="0"/>
          <w:bCs w:val="0"/>
          <w:spacing w:val="20"/>
          <w:sz w:val="21"/>
          <w:szCs w:val="21"/>
        </w:rPr>
        <w:t xml:space="preserve"> </w:t>
      </w:r>
      <w:r w:rsidRPr="001D5134">
        <w:rPr>
          <w:rFonts w:ascii="Abadi" w:hAnsi="Abadi"/>
          <w:b w:val="0"/>
          <w:bCs w:val="0"/>
          <w:sz w:val="21"/>
          <w:szCs w:val="21"/>
        </w:rPr>
        <w:t>que</w:t>
      </w:r>
      <w:r w:rsidRPr="001D5134">
        <w:rPr>
          <w:rFonts w:ascii="Abadi" w:hAnsi="Abadi"/>
          <w:b w:val="0"/>
          <w:bCs w:val="0"/>
          <w:spacing w:val="21"/>
          <w:sz w:val="21"/>
          <w:szCs w:val="21"/>
        </w:rPr>
        <w:t xml:space="preserve"> </w:t>
      </w:r>
      <w:r w:rsidRPr="001D5134">
        <w:rPr>
          <w:rFonts w:ascii="Abadi" w:hAnsi="Abadi"/>
          <w:b w:val="0"/>
          <w:bCs w:val="0"/>
          <w:sz w:val="21"/>
          <w:szCs w:val="21"/>
        </w:rPr>
        <w:t>realice</w:t>
      </w:r>
      <w:r w:rsidRPr="001D5134">
        <w:rPr>
          <w:rFonts w:ascii="Abadi" w:hAnsi="Abadi"/>
          <w:b w:val="0"/>
          <w:bCs w:val="0"/>
          <w:spacing w:val="20"/>
          <w:sz w:val="21"/>
          <w:szCs w:val="21"/>
        </w:rPr>
        <w:t xml:space="preserve"> </w:t>
      </w:r>
      <w:r w:rsidRPr="001D5134">
        <w:rPr>
          <w:rFonts w:ascii="Abadi" w:hAnsi="Abadi"/>
          <w:b w:val="0"/>
          <w:bCs w:val="0"/>
          <w:sz w:val="21"/>
          <w:szCs w:val="21"/>
        </w:rPr>
        <w:t>dos</w:t>
      </w:r>
      <w:r w:rsidRPr="001D5134">
        <w:rPr>
          <w:rFonts w:ascii="Abadi" w:hAnsi="Abadi"/>
          <w:b w:val="0"/>
          <w:bCs w:val="0"/>
          <w:spacing w:val="20"/>
          <w:sz w:val="21"/>
          <w:szCs w:val="21"/>
        </w:rPr>
        <w:t xml:space="preserve"> </w:t>
      </w:r>
      <w:r w:rsidRPr="001D5134">
        <w:rPr>
          <w:rFonts w:ascii="Abadi" w:hAnsi="Abadi"/>
          <w:b w:val="0"/>
          <w:bCs w:val="0"/>
          <w:sz w:val="21"/>
          <w:szCs w:val="21"/>
        </w:rPr>
        <w:t>auditorías,</w:t>
      </w:r>
      <w:r w:rsidRPr="001D5134">
        <w:rPr>
          <w:rFonts w:ascii="Abadi" w:hAnsi="Abadi"/>
          <w:b w:val="0"/>
          <w:bCs w:val="0"/>
          <w:spacing w:val="20"/>
          <w:sz w:val="21"/>
          <w:szCs w:val="21"/>
        </w:rPr>
        <w:t xml:space="preserve"> </w:t>
      </w:r>
      <w:r w:rsidRPr="001D5134">
        <w:rPr>
          <w:rFonts w:ascii="Abadi" w:hAnsi="Abadi"/>
          <w:b w:val="0"/>
          <w:bCs w:val="0"/>
          <w:sz w:val="21"/>
          <w:szCs w:val="21"/>
        </w:rPr>
        <w:t>la</w:t>
      </w:r>
      <w:r w:rsidRPr="001D5134">
        <w:rPr>
          <w:rFonts w:ascii="Abadi" w:hAnsi="Abadi"/>
          <w:b w:val="0"/>
          <w:bCs w:val="0"/>
          <w:spacing w:val="20"/>
          <w:sz w:val="21"/>
          <w:szCs w:val="21"/>
        </w:rPr>
        <w:t xml:space="preserve"> </w:t>
      </w:r>
      <w:r w:rsidRPr="001D5134">
        <w:rPr>
          <w:rFonts w:ascii="Abadi" w:hAnsi="Abadi"/>
          <w:b w:val="0"/>
          <w:bCs w:val="0"/>
          <w:sz w:val="21"/>
          <w:szCs w:val="21"/>
        </w:rPr>
        <w:t>primera,</w:t>
      </w:r>
      <w:r w:rsidRPr="001D5134">
        <w:rPr>
          <w:rFonts w:ascii="Abadi" w:hAnsi="Abadi"/>
          <w:b w:val="0"/>
          <w:bCs w:val="0"/>
          <w:spacing w:val="20"/>
          <w:sz w:val="21"/>
          <w:szCs w:val="21"/>
        </w:rPr>
        <w:t xml:space="preserve"> </w:t>
      </w:r>
      <w:r w:rsidRPr="001D5134">
        <w:rPr>
          <w:rFonts w:ascii="Abadi" w:hAnsi="Abadi"/>
          <w:b w:val="0"/>
          <w:bCs w:val="0"/>
          <w:sz w:val="21"/>
          <w:szCs w:val="21"/>
        </w:rPr>
        <w:t>a</w:t>
      </w:r>
      <w:r w:rsidRPr="001D5134">
        <w:rPr>
          <w:rFonts w:ascii="Abadi" w:hAnsi="Abadi"/>
          <w:b w:val="0"/>
          <w:bCs w:val="0"/>
          <w:spacing w:val="20"/>
          <w:sz w:val="21"/>
          <w:szCs w:val="21"/>
        </w:rPr>
        <w:t xml:space="preserve"> </w:t>
      </w:r>
      <w:r w:rsidRPr="001D5134">
        <w:rPr>
          <w:rFonts w:ascii="Abadi" w:hAnsi="Abadi"/>
          <w:b w:val="0"/>
          <w:bCs w:val="0"/>
          <w:sz w:val="21"/>
          <w:szCs w:val="21"/>
        </w:rPr>
        <w:t>fin</w:t>
      </w:r>
      <w:r w:rsidRPr="001D5134">
        <w:rPr>
          <w:rFonts w:ascii="Abadi" w:hAnsi="Abadi"/>
          <w:b w:val="0"/>
          <w:bCs w:val="0"/>
          <w:spacing w:val="20"/>
          <w:sz w:val="21"/>
          <w:szCs w:val="21"/>
        </w:rPr>
        <w:t xml:space="preserve"> </w:t>
      </w:r>
      <w:r w:rsidRPr="001D5134">
        <w:rPr>
          <w:rFonts w:ascii="Abadi" w:hAnsi="Abadi"/>
          <w:b w:val="0"/>
          <w:bCs w:val="0"/>
          <w:sz w:val="21"/>
          <w:szCs w:val="21"/>
        </w:rPr>
        <w:t>de</w:t>
      </w:r>
      <w:r w:rsidRPr="001D5134">
        <w:rPr>
          <w:rFonts w:ascii="Abadi" w:hAnsi="Abadi"/>
          <w:b w:val="0"/>
          <w:bCs w:val="0"/>
          <w:spacing w:val="20"/>
          <w:sz w:val="21"/>
          <w:szCs w:val="21"/>
        </w:rPr>
        <w:t xml:space="preserve"> </w:t>
      </w:r>
      <w:r w:rsidRPr="001D5134">
        <w:rPr>
          <w:rFonts w:ascii="Abadi" w:hAnsi="Abadi"/>
          <w:b w:val="0"/>
          <w:bCs w:val="0"/>
          <w:sz w:val="21"/>
          <w:szCs w:val="21"/>
        </w:rPr>
        <w:t>revisar</w:t>
      </w:r>
      <w:r w:rsidRPr="001D5134">
        <w:rPr>
          <w:rFonts w:ascii="Abadi" w:hAnsi="Abadi"/>
          <w:b w:val="0"/>
          <w:bCs w:val="0"/>
          <w:spacing w:val="20"/>
          <w:sz w:val="21"/>
          <w:szCs w:val="21"/>
        </w:rPr>
        <w:t xml:space="preserve"> </w:t>
      </w:r>
      <w:r w:rsidRPr="001D5134">
        <w:rPr>
          <w:rFonts w:ascii="Abadi" w:hAnsi="Abadi"/>
          <w:b w:val="0"/>
          <w:bCs w:val="0"/>
          <w:sz w:val="21"/>
          <w:szCs w:val="21"/>
        </w:rPr>
        <w:t>el</w:t>
      </w:r>
      <w:r w:rsidRPr="001D5134">
        <w:rPr>
          <w:rFonts w:ascii="Abadi" w:hAnsi="Abadi"/>
          <w:b w:val="0"/>
          <w:bCs w:val="0"/>
          <w:spacing w:val="-2"/>
          <w:sz w:val="21"/>
          <w:szCs w:val="21"/>
        </w:rPr>
        <w:t xml:space="preserve"> </w:t>
      </w:r>
      <w:r w:rsidRPr="001D5134">
        <w:rPr>
          <w:rFonts w:ascii="Abadi" w:hAnsi="Abadi"/>
          <w:b w:val="0"/>
          <w:bCs w:val="0"/>
          <w:sz w:val="21"/>
          <w:szCs w:val="21"/>
        </w:rPr>
        <w:t>ejercicio</w:t>
      </w:r>
      <w:r w:rsidRPr="001D5134">
        <w:rPr>
          <w:rFonts w:ascii="Abadi" w:hAnsi="Abadi"/>
          <w:b w:val="0"/>
          <w:bCs w:val="0"/>
          <w:spacing w:val="9"/>
          <w:sz w:val="21"/>
          <w:szCs w:val="21"/>
        </w:rPr>
        <w:t xml:space="preserve"> </w:t>
      </w:r>
      <w:r w:rsidRPr="001D5134">
        <w:rPr>
          <w:rFonts w:ascii="Abadi" w:hAnsi="Abadi"/>
          <w:b w:val="0"/>
          <w:bCs w:val="0"/>
          <w:sz w:val="21"/>
          <w:szCs w:val="21"/>
        </w:rPr>
        <w:t>de</w:t>
      </w:r>
      <w:r w:rsidRPr="001D5134">
        <w:rPr>
          <w:rFonts w:ascii="Abadi" w:hAnsi="Abadi"/>
          <w:b w:val="0"/>
          <w:bCs w:val="0"/>
          <w:spacing w:val="9"/>
          <w:sz w:val="21"/>
          <w:szCs w:val="21"/>
        </w:rPr>
        <w:t xml:space="preserve"> </w:t>
      </w:r>
      <w:r w:rsidRPr="001D5134">
        <w:rPr>
          <w:rFonts w:ascii="Abadi" w:hAnsi="Abadi"/>
          <w:b w:val="0"/>
          <w:bCs w:val="0"/>
          <w:sz w:val="21"/>
          <w:szCs w:val="21"/>
        </w:rPr>
        <w:t>recursos</w:t>
      </w:r>
      <w:r w:rsidRPr="001D5134">
        <w:rPr>
          <w:rFonts w:ascii="Abadi" w:hAnsi="Abadi"/>
          <w:b w:val="0"/>
          <w:bCs w:val="0"/>
          <w:spacing w:val="9"/>
          <w:sz w:val="21"/>
          <w:szCs w:val="21"/>
        </w:rPr>
        <w:t xml:space="preserve"> </w:t>
      </w:r>
      <w:r w:rsidRPr="001D5134">
        <w:rPr>
          <w:rFonts w:ascii="Abadi" w:hAnsi="Abadi"/>
          <w:b w:val="0"/>
          <w:bCs w:val="0"/>
          <w:sz w:val="21"/>
          <w:szCs w:val="21"/>
        </w:rPr>
        <w:t>públicos</w:t>
      </w:r>
      <w:r w:rsidRPr="001D5134">
        <w:rPr>
          <w:rFonts w:ascii="Abadi" w:hAnsi="Abadi"/>
          <w:b w:val="0"/>
          <w:bCs w:val="0"/>
          <w:spacing w:val="9"/>
          <w:sz w:val="21"/>
          <w:szCs w:val="21"/>
        </w:rPr>
        <w:t xml:space="preserve"> </w:t>
      </w:r>
      <w:r w:rsidRPr="001D5134">
        <w:rPr>
          <w:rFonts w:ascii="Abadi" w:hAnsi="Abadi"/>
          <w:b w:val="0"/>
          <w:bCs w:val="0"/>
          <w:sz w:val="21"/>
          <w:szCs w:val="21"/>
        </w:rPr>
        <w:t>destinados</w:t>
      </w:r>
      <w:r w:rsidRPr="001D5134">
        <w:rPr>
          <w:rFonts w:ascii="Abadi" w:hAnsi="Abadi"/>
          <w:b w:val="0"/>
          <w:bCs w:val="0"/>
          <w:spacing w:val="9"/>
          <w:sz w:val="21"/>
          <w:szCs w:val="21"/>
        </w:rPr>
        <w:t xml:space="preserve"> </w:t>
      </w:r>
      <w:r w:rsidRPr="001D5134">
        <w:rPr>
          <w:rFonts w:ascii="Abadi" w:hAnsi="Abadi"/>
          <w:b w:val="0"/>
          <w:bCs w:val="0"/>
          <w:sz w:val="21"/>
          <w:szCs w:val="21"/>
        </w:rPr>
        <w:t>hasta</w:t>
      </w:r>
      <w:r w:rsidRPr="001D5134">
        <w:rPr>
          <w:rFonts w:ascii="Abadi" w:hAnsi="Abadi"/>
          <w:b w:val="0"/>
          <w:bCs w:val="0"/>
          <w:spacing w:val="9"/>
          <w:sz w:val="21"/>
          <w:szCs w:val="21"/>
        </w:rPr>
        <w:t xml:space="preserve"> </w:t>
      </w:r>
      <w:r w:rsidRPr="001D5134">
        <w:rPr>
          <w:rFonts w:ascii="Abadi" w:hAnsi="Abadi"/>
          <w:b w:val="0"/>
          <w:bCs w:val="0"/>
          <w:sz w:val="21"/>
          <w:szCs w:val="21"/>
        </w:rPr>
        <w:t>el</w:t>
      </w:r>
      <w:r w:rsidRPr="001D5134">
        <w:rPr>
          <w:rFonts w:ascii="Abadi" w:hAnsi="Abadi"/>
          <w:b w:val="0"/>
          <w:bCs w:val="0"/>
          <w:spacing w:val="9"/>
          <w:sz w:val="21"/>
          <w:szCs w:val="21"/>
        </w:rPr>
        <w:t xml:space="preserve"> </w:t>
      </w:r>
      <w:r w:rsidRPr="001D5134">
        <w:rPr>
          <w:rFonts w:ascii="Abadi" w:hAnsi="Abadi"/>
          <w:b w:val="0"/>
          <w:bCs w:val="0"/>
          <w:sz w:val="21"/>
          <w:szCs w:val="21"/>
        </w:rPr>
        <w:t>momento</w:t>
      </w:r>
      <w:r w:rsidRPr="001D5134">
        <w:rPr>
          <w:rFonts w:ascii="Abadi" w:hAnsi="Abadi"/>
          <w:b w:val="0"/>
          <w:bCs w:val="0"/>
          <w:spacing w:val="9"/>
          <w:sz w:val="21"/>
          <w:szCs w:val="21"/>
        </w:rPr>
        <w:t xml:space="preserve"> </w:t>
      </w:r>
      <w:r w:rsidRPr="001D5134">
        <w:rPr>
          <w:rFonts w:ascii="Abadi" w:hAnsi="Abadi"/>
          <w:b w:val="0"/>
          <w:bCs w:val="0"/>
          <w:sz w:val="21"/>
          <w:szCs w:val="21"/>
        </w:rPr>
        <w:t>a</w:t>
      </w:r>
      <w:r w:rsidRPr="001D5134">
        <w:rPr>
          <w:rFonts w:ascii="Abadi" w:hAnsi="Abadi"/>
          <w:b w:val="0"/>
          <w:bCs w:val="0"/>
          <w:spacing w:val="9"/>
          <w:sz w:val="21"/>
          <w:szCs w:val="21"/>
        </w:rPr>
        <w:t xml:space="preserve"> </w:t>
      </w:r>
      <w:r w:rsidRPr="001D5134">
        <w:rPr>
          <w:rFonts w:ascii="Abadi" w:hAnsi="Abadi"/>
          <w:b w:val="0"/>
          <w:bCs w:val="0"/>
          <w:sz w:val="21"/>
          <w:szCs w:val="21"/>
        </w:rPr>
        <w:t>la</w:t>
      </w:r>
      <w:r w:rsidRPr="001D5134">
        <w:rPr>
          <w:rFonts w:ascii="Abadi" w:hAnsi="Abadi"/>
          <w:b w:val="0"/>
          <w:bCs w:val="0"/>
          <w:spacing w:val="9"/>
          <w:sz w:val="21"/>
          <w:szCs w:val="21"/>
        </w:rPr>
        <w:t xml:space="preserve"> </w:t>
      </w:r>
      <w:r w:rsidRPr="001D5134">
        <w:rPr>
          <w:rFonts w:ascii="Abadi" w:hAnsi="Abadi"/>
          <w:b w:val="0"/>
          <w:bCs w:val="0"/>
          <w:sz w:val="21"/>
          <w:szCs w:val="21"/>
        </w:rPr>
        <w:t>academia</w:t>
      </w:r>
      <w:r w:rsidRPr="001D5134">
        <w:rPr>
          <w:rFonts w:ascii="Abadi" w:hAnsi="Abadi"/>
          <w:b w:val="0"/>
          <w:bCs w:val="0"/>
          <w:spacing w:val="-2"/>
          <w:sz w:val="21"/>
          <w:szCs w:val="21"/>
        </w:rPr>
        <w:t xml:space="preserve"> </w:t>
      </w:r>
      <w:r w:rsidRPr="001D5134">
        <w:rPr>
          <w:rFonts w:ascii="Abadi" w:hAnsi="Abadi"/>
          <w:b w:val="0"/>
          <w:bCs w:val="0"/>
          <w:sz w:val="21"/>
          <w:szCs w:val="21"/>
        </w:rPr>
        <w:t>del Instituto de Formación en Seguridad Pública del Estado, llevada a cabo</w:t>
      </w:r>
      <w:r w:rsidRPr="001D5134">
        <w:rPr>
          <w:rFonts w:ascii="Abadi" w:hAnsi="Abadi"/>
          <w:b w:val="0"/>
          <w:bCs w:val="0"/>
          <w:spacing w:val="-2"/>
          <w:sz w:val="21"/>
          <w:szCs w:val="21"/>
        </w:rPr>
        <w:t xml:space="preserve"> </w:t>
      </w:r>
      <w:r w:rsidRPr="001D5134">
        <w:rPr>
          <w:rFonts w:ascii="Abadi" w:hAnsi="Abadi"/>
          <w:b w:val="0"/>
          <w:bCs w:val="0"/>
          <w:sz w:val="21"/>
          <w:szCs w:val="21"/>
        </w:rPr>
        <w:t>por</w:t>
      </w:r>
      <w:r w:rsidRPr="001D5134">
        <w:rPr>
          <w:rFonts w:ascii="Abadi" w:hAnsi="Abadi"/>
          <w:b w:val="0"/>
          <w:bCs w:val="0"/>
          <w:spacing w:val="16"/>
          <w:sz w:val="21"/>
          <w:szCs w:val="21"/>
        </w:rPr>
        <w:t xml:space="preserve"> </w:t>
      </w:r>
      <w:r w:rsidRPr="001D5134">
        <w:rPr>
          <w:rFonts w:ascii="Abadi" w:hAnsi="Abadi"/>
          <w:b w:val="0"/>
          <w:bCs w:val="0"/>
          <w:sz w:val="21"/>
          <w:szCs w:val="21"/>
        </w:rPr>
        <w:t>el</w:t>
      </w:r>
      <w:r w:rsidRPr="001D5134">
        <w:rPr>
          <w:rFonts w:ascii="Abadi" w:hAnsi="Abadi"/>
          <w:b w:val="0"/>
          <w:bCs w:val="0"/>
          <w:spacing w:val="16"/>
          <w:sz w:val="21"/>
          <w:szCs w:val="21"/>
        </w:rPr>
        <w:t xml:space="preserve"> </w:t>
      </w:r>
      <w:r w:rsidRPr="001D5134">
        <w:rPr>
          <w:rFonts w:ascii="Abadi" w:hAnsi="Abadi"/>
          <w:b w:val="0"/>
          <w:bCs w:val="0"/>
          <w:sz w:val="21"/>
          <w:szCs w:val="21"/>
        </w:rPr>
        <w:t>Poder</w:t>
      </w:r>
      <w:r w:rsidRPr="001D5134">
        <w:rPr>
          <w:rFonts w:ascii="Abadi" w:hAnsi="Abadi"/>
          <w:b w:val="0"/>
          <w:bCs w:val="0"/>
          <w:spacing w:val="16"/>
          <w:sz w:val="21"/>
          <w:szCs w:val="21"/>
        </w:rPr>
        <w:t xml:space="preserve"> </w:t>
      </w:r>
      <w:r w:rsidRPr="001D5134">
        <w:rPr>
          <w:rFonts w:ascii="Abadi" w:hAnsi="Abadi"/>
          <w:b w:val="0"/>
          <w:bCs w:val="0"/>
          <w:sz w:val="21"/>
          <w:szCs w:val="21"/>
        </w:rPr>
        <w:t>Ejecutivo</w:t>
      </w:r>
      <w:r w:rsidRPr="001D5134">
        <w:rPr>
          <w:rFonts w:ascii="Abadi" w:hAnsi="Abadi"/>
          <w:b w:val="0"/>
          <w:bCs w:val="0"/>
          <w:spacing w:val="16"/>
          <w:sz w:val="21"/>
          <w:szCs w:val="21"/>
        </w:rPr>
        <w:t xml:space="preserve"> </w:t>
      </w:r>
      <w:r w:rsidRPr="001D5134">
        <w:rPr>
          <w:rFonts w:ascii="Abadi" w:hAnsi="Abadi"/>
          <w:b w:val="0"/>
          <w:bCs w:val="0"/>
          <w:sz w:val="21"/>
          <w:szCs w:val="21"/>
        </w:rPr>
        <w:t>del</w:t>
      </w:r>
      <w:r w:rsidRPr="001D5134">
        <w:rPr>
          <w:rFonts w:ascii="Abadi" w:hAnsi="Abadi"/>
          <w:b w:val="0"/>
          <w:bCs w:val="0"/>
          <w:spacing w:val="16"/>
          <w:sz w:val="21"/>
          <w:szCs w:val="21"/>
        </w:rPr>
        <w:t xml:space="preserve"> </w:t>
      </w:r>
      <w:r w:rsidRPr="001D5134">
        <w:rPr>
          <w:rFonts w:ascii="Abadi" w:hAnsi="Abadi"/>
          <w:b w:val="0"/>
          <w:bCs w:val="0"/>
          <w:sz w:val="21"/>
          <w:szCs w:val="21"/>
        </w:rPr>
        <w:t>Estado</w:t>
      </w:r>
      <w:r w:rsidRPr="001D5134">
        <w:rPr>
          <w:rFonts w:ascii="Abadi" w:hAnsi="Abadi"/>
          <w:b w:val="0"/>
          <w:bCs w:val="0"/>
          <w:spacing w:val="16"/>
          <w:sz w:val="21"/>
          <w:szCs w:val="21"/>
        </w:rPr>
        <w:t xml:space="preserve"> </w:t>
      </w:r>
      <w:r w:rsidRPr="001D5134">
        <w:rPr>
          <w:rFonts w:ascii="Abadi" w:hAnsi="Abadi"/>
          <w:b w:val="0"/>
          <w:bCs w:val="0"/>
          <w:sz w:val="21"/>
          <w:szCs w:val="21"/>
        </w:rPr>
        <w:t>de</w:t>
      </w:r>
      <w:r w:rsidRPr="001D5134">
        <w:rPr>
          <w:rFonts w:ascii="Abadi" w:hAnsi="Abadi"/>
          <w:b w:val="0"/>
          <w:bCs w:val="0"/>
          <w:spacing w:val="16"/>
          <w:sz w:val="21"/>
          <w:szCs w:val="21"/>
        </w:rPr>
        <w:t xml:space="preserve"> </w:t>
      </w:r>
      <w:r w:rsidRPr="001D5134">
        <w:rPr>
          <w:rFonts w:ascii="Abadi" w:hAnsi="Abadi"/>
          <w:b w:val="0"/>
          <w:bCs w:val="0"/>
          <w:sz w:val="21"/>
          <w:szCs w:val="21"/>
        </w:rPr>
        <w:t>Guanajuato</w:t>
      </w:r>
      <w:r w:rsidRPr="001D5134">
        <w:rPr>
          <w:rFonts w:ascii="Abadi" w:hAnsi="Abadi"/>
          <w:b w:val="0"/>
          <w:bCs w:val="0"/>
          <w:spacing w:val="16"/>
          <w:sz w:val="21"/>
          <w:szCs w:val="21"/>
        </w:rPr>
        <w:t xml:space="preserve"> </w:t>
      </w:r>
      <w:r w:rsidRPr="001D5134">
        <w:rPr>
          <w:rFonts w:ascii="Abadi" w:hAnsi="Abadi"/>
          <w:b w:val="0"/>
          <w:bCs w:val="0"/>
          <w:sz w:val="21"/>
          <w:szCs w:val="21"/>
        </w:rPr>
        <w:t>en</w:t>
      </w:r>
      <w:r w:rsidRPr="001D5134">
        <w:rPr>
          <w:rFonts w:ascii="Abadi" w:hAnsi="Abadi"/>
          <w:b w:val="0"/>
          <w:bCs w:val="0"/>
          <w:spacing w:val="16"/>
          <w:sz w:val="21"/>
          <w:szCs w:val="21"/>
        </w:rPr>
        <w:t xml:space="preserve"> </w:t>
      </w:r>
      <w:r w:rsidRPr="001D5134">
        <w:rPr>
          <w:rFonts w:ascii="Abadi" w:hAnsi="Abadi"/>
          <w:b w:val="0"/>
          <w:bCs w:val="0"/>
          <w:sz w:val="21"/>
          <w:szCs w:val="21"/>
        </w:rPr>
        <w:t>los</w:t>
      </w:r>
      <w:r w:rsidRPr="001D5134">
        <w:rPr>
          <w:rFonts w:ascii="Abadi" w:hAnsi="Abadi"/>
          <w:b w:val="0"/>
          <w:bCs w:val="0"/>
          <w:spacing w:val="16"/>
          <w:sz w:val="21"/>
          <w:szCs w:val="21"/>
        </w:rPr>
        <w:t xml:space="preserve"> </w:t>
      </w:r>
      <w:r w:rsidRPr="001D5134">
        <w:rPr>
          <w:rFonts w:ascii="Abadi" w:hAnsi="Abadi"/>
          <w:b w:val="0"/>
          <w:bCs w:val="0"/>
          <w:sz w:val="21"/>
          <w:szCs w:val="21"/>
        </w:rPr>
        <w:t>ejercicios</w:t>
      </w:r>
      <w:r w:rsidRPr="001D5134">
        <w:rPr>
          <w:rFonts w:ascii="Abadi" w:hAnsi="Abadi"/>
          <w:b w:val="0"/>
          <w:bCs w:val="0"/>
          <w:spacing w:val="16"/>
          <w:sz w:val="21"/>
          <w:szCs w:val="21"/>
        </w:rPr>
        <w:t xml:space="preserve"> </w:t>
      </w:r>
      <w:r w:rsidRPr="001D5134">
        <w:rPr>
          <w:rFonts w:ascii="Abadi" w:hAnsi="Abadi"/>
          <w:b w:val="0"/>
          <w:bCs w:val="0"/>
          <w:sz w:val="21"/>
          <w:szCs w:val="21"/>
        </w:rPr>
        <w:t>fiscales</w:t>
      </w:r>
      <w:r w:rsidRPr="001D5134">
        <w:rPr>
          <w:rFonts w:ascii="Abadi" w:hAnsi="Abadi"/>
          <w:b w:val="0"/>
          <w:bCs w:val="0"/>
          <w:spacing w:val="-2"/>
          <w:sz w:val="21"/>
          <w:szCs w:val="21"/>
        </w:rPr>
        <w:t xml:space="preserve"> </w:t>
      </w:r>
      <w:r w:rsidRPr="001D5134">
        <w:rPr>
          <w:rFonts w:ascii="Abadi" w:hAnsi="Abadi"/>
          <w:b w:val="0"/>
          <w:bCs w:val="0"/>
          <w:sz w:val="21"/>
          <w:szCs w:val="21"/>
        </w:rPr>
        <w:t>de 2019 y, en su caso, subsiguientes; y la segunda, a fin de revisar</w:t>
      </w:r>
      <w:r w:rsidRPr="001D5134">
        <w:rPr>
          <w:rFonts w:ascii="Abadi" w:hAnsi="Abadi"/>
          <w:b w:val="0"/>
          <w:bCs w:val="0"/>
          <w:spacing w:val="-1"/>
          <w:sz w:val="21"/>
          <w:szCs w:val="21"/>
        </w:rPr>
        <w:t xml:space="preserve"> </w:t>
      </w:r>
      <w:r w:rsidRPr="001D5134">
        <w:rPr>
          <w:rFonts w:ascii="Abadi" w:hAnsi="Abadi"/>
          <w:b w:val="0"/>
          <w:bCs w:val="0"/>
          <w:sz w:val="21"/>
          <w:szCs w:val="21"/>
        </w:rPr>
        <w:t>que los</w:t>
      </w:r>
      <w:r w:rsidRPr="001D5134">
        <w:rPr>
          <w:rFonts w:ascii="Abadi" w:hAnsi="Abadi"/>
          <w:b w:val="0"/>
          <w:bCs w:val="0"/>
          <w:spacing w:val="-2"/>
          <w:sz w:val="21"/>
          <w:szCs w:val="21"/>
        </w:rPr>
        <w:t xml:space="preserve"> </w:t>
      </w:r>
      <w:r w:rsidRPr="001D5134">
        <w:rPr>
          <w:rFonts w:ascii="Abadi" w:hAnsi="Abadi"/>
          <w:b w:val="0"/>
          <w:bCs w:val="0"/>
          <w:sz w:val="21"/>
          <w:szCs w:val="21"/>
        </w:rPr>
        <w:t>recursos públicos derivados</w:t>
      </w:r>
      <w:r w:rsidRPr="001D5134">
        <w:rPr>
          <w:rFonts w:ascii="Abadi" w:hAnsi="Abadi"/>
          <w:b w:val="0"/>
          <w:bCs w:val="0"/>
          <w:spacing w:val="2"/>
          <w:sz w:val="21"/>
          <w:szCs w:val="21"/>
        </w:rPr>
        <w:t xml:space="preserve"> </w:t>
      </w:r>
      <w:r w:rsidRPr="001D5134">
        <w:rPr>
          <w:rFonts w:ascii="Abadi" w:hAnsi="Abadi"/>
          <w:b w:val="0"/>
          <w:bCs w:val="0"/>
          <w:sz w:val="21"/>
          <w:szCs w:val="21"/>
        </w:rPr>
        <w:t>del financiamiento</w:t>
      </w:r>
      <w:r w:rsidRPr="001D5134">
        <w:rPr>
          <w:rFonts w:ascii="Abadi" w:hAnsi="Abadi"/>
          <w:b w:val="0"/>
          <w:bCs w:val="0"/>
          <w:spacing w:val="2"/>
          <w:sz w:val="21"/>
          <w:szCs w:val="21"/>
        </w:rPr>
        <w:t xml:space="preserve"> </w:t>
      </w:r>
      <w:r w:rsidRPr="001D5134">
        <w:rPr>
          <w:rFonts w:ascii="Abadi" w:hAnsi="Abadi"/>
          <w:b w:val="0"/>
          <w:bCs w:val="0"/>
          <w:sz w:val="21"/>
          <w:szCs w:val="21"/>
        </w:rPr>
        <w:t>avalado por</w:t>
      </w:r>
      <w:r w:rsidRPr="001D5134">
        <w:rPr>
          <w:rFonts w:ascii="Abadi" w:hAnsi="Abadi"/>
          <w:b w:val="0"/>
          <w:bCs w:val="0"/>
          <w:spacing w:val="2"/>
          <w:sz w:val="21"/>
          <w:szCs w:val="21"/>
        </w:rPr>
        <w:t xml:space="preserve"> </w:t>
      </w:r>
      <w:r w:rsidRPr="001D5134">
        <w:rPr>
          <w:rFonts w:ascii="Abadi" w:hAnsi="Abadi"/>
          <w:b w:val="0"/>
          <w:bCs w:val="0"/>
          <w:sz w:val="21"/>
          <w:szCs w:val="21"/>
        </w:rPr>
        <w:t>el Congreso en</w:t>
      </w:r>
      <w:r w:rsidRPr="001D5134">
        <w:rPr>
          <w:rFonts w:ascii="Abadi" w:hAnsi="Abadi"/>
          <w:b w:val="0"/>
          <w:bCs w:val="0"/>
          <w:spacing w:val="-2"/>
          <w:sz w:val="21"/>
          <w:szCs w:val="21"/>
        </w:rPr>
        <w:t xml:space="preserve"> </w:t>
      </w:r>
      <w:r w:rsidRPr="001D5134">
        <w:rPr>
          <w:rFonts w:ascii="Abadi" w:hAnsi="Abadi"/>
          <w:b w:val="0"/>
          <w:bCs w:val="0"/>
          <w:sz w:val="21"/>
          <w:szCs w:val="21"/>
        </w:rPr>
        <w:t>septiembre</w:t>
      </w:r>
      <w:r w:rsidRPr="001D5134">
        <w:rPr>
          <w:rFonts w:ascii="Abadi" w:hAnsi="Abadi"/>
          <w:b w:val="0"/>
          <w:bCs w:val="0"/>
          <w:spacing w:val="40"/>
          <w:sz w:val="21"/>
          <w:szCs w:val="21"/>
        </w:rPr>
        <w:t xml:space="preserve"> </w:t>
      </w:r>
      <w:r w:rsidRPr="001D5134">
        <w:rPr>
          <w:rFonts w:ascii="Abadi" w:hAnsi="Abadi"/>
          <w:b w:val="0"/>
          <w:bCs w:val="0"/>
          <w:sz w:val="21"/>
          <w:szCs w:val="21"/>
        </w:rPr>
        <w:t>de</w:t>
      </w:r>
      <w:r w:rsidRPr="001D5134">
        <w:rPr>
          <w:rFonts w:ascii="Abadi" w:hAnsi="Abadi"/>
          <w:b w:val="0"/>
          <w:bCs w:val="0"/>
          <w:spacing w:val="40"/>
          <w:sz w:val="21"/>
          <w:szCs w:val="21"/>
        </w:rPr>
        <w:t xml:space="preserve"> </w:t>
      </w:r>
      <w:r w:rsidRPr="001D5134">
        <w:rPr>
          <w:rFonts w:ascii="Abadi" w:hAnsi="Abadi"/>
          <w:b w:val="0"/>
          <w:bCs w:val="0"/>
          <w:sz w:val="21"/>
          <w:szCs w:val="21"/>
        </w:rPr>
        <w:t>2021,</w:t>
      </w:r>
      <w:r w:rsidRPr="001D5134">
        <w:rPr>
          <w:rFonts w:ascii="Abadi" w:hAnsi="Abadi"/>
          <w:b w:val="0"/>
          <w:bCs w:val="0"/>
          <w:spacing w:val="43"/>
          <w:sz w:val="21"/>
          <w:szCs w:val="21"/>
        </w:rPr>
        <w:t xml:space="preserve"> </w:t>
      </w:r>
      <w:r w:rsidRPr="001D5134">
        <w:rPr>
          <w:rFonts w:ascii="Abadi" w:hAnsi="Abadi"/>
          <w:b w:val="0"/>
          <w:bCs w:val="0"/>
          <w:sz w:val="21"/>
          <w:szCs w:val="21"/>
        </w:rPr>
        <w:t>se</w:t>
      </w:r>
      <w:r w:rsidRPr="001D5134">
        <w:rPr>
          <w:rFonts w:ascii="Abadi" w:hAnsi="Abadi"/>
          <w:b w:val="0"/>
          <w:bCs w:val="0"/>
          <w:spacing w:val="40"/>
          <w:sz w:val="21"/>
          <w:szCs w:val="21"/>
        </w:rPr>
        <w:t xml:space="preserve"> </w:t>
      </w:r>
      <w:r w:rsidRPr="001D5134">
        <w:rPr>
          <w:rFonts w:ascii="Abadi" w:hAnsi="Abadi"/>
          <w:b w:val="0"/>
          <w:bCs w:val="0"/>
          <w:sz w:val="21"/>
          <w:szCs w:val="21"/>
        </w:rPr>
        <w:t>destinen</w:t>
      </w:r>
      <w:r w:rsidRPr="001D5134">
        <w:rPr>
          <w:rFonts w:ascii="Abadi" w:hAnsi="Abadi"/>
          <w:b w:val="0"/>
          <w:bCs w:val="0"/>
          <w:spacing w:val="40"/>
          <w:sz w:val="21"/>
          <w:szCs w:val="21"/>
        </w:rPr>
        <w:t xml:space="preserve"> </w:t>
      </w:r>
      <w:r w:rsidRPr="001D5134">
        <w:rPr>
          <w:rFonts w:ascii="Abadi" w:hAnsi="Abadi"/>
          <w:b w:val="0"/>
          <w:bCs w:val="0"/>
          <w:sz w:val="21"/>
          <w:szCs w:val="21"/>
        </w:rPr>
        <w:t>a</w:t>
      </w:r>
      <w:r w:rsidRPr="001D5134">
        <w:rPr>
          <w:rFonts w:ascii="Abadi" w:hAnsi="Abadi"/>
          <w:b w:val="0"/>
          <w:bCs w:val="0"/>
          <w:spacing w:val="40"/>
          <w:sz w:val="21"/>
          <w:szCs w:val="21"/>
        </w:rPr>
        <w:t xml:space="preserve"> </w:t>
      </w:r>
      <w:r w:rsidRPr="001D5134">
        <w:rPr>
          <w:rFonts w:ascii="Abadi" w:hAnsi="Abadi"/>
          <w:b w:val="0"/>
          <w:bCs w:val="0"/>
          <w:sz w:val="21"/>
          <w:szCs w:val="21"/>
        </w:rPr>
        <w:t>proyectos</w:t>
      </w:r>
      <w:r w:rsidRPr="001D5134">
        <w:rPr>
          <w:rFonts w:ascii="Abadi" w:hAnsi="Abadi"/>
          <w:b w:val="0"/>
          <w:bCs w:val="0"/>
          <w:spacing w:val="40"/>
          <w:sz w:val="21"/>
          <w:szCs w:val="21"/>
        </w:rPr>
        <w:t xml:space="preserve"> </w:t>
      </w:r>
      <w:r w:rsidRPr="001D5134">
        <w:rPr>
          <w:rFonts w:ascii="Abadi" w:hAnsi="Abadi"/>
          <w:b w:val="0"/>
          <w:bCs w:val="0"/>
          <w:sz w:val="21"/>
          <w:szCs w:val="21"/>
        </w:rPr>
        <w:t>para</w:t>
      </w:r>
      <w:r w:rsidRPr="001D5134">
        <w:rPr>
          <w:rFonts w:ascii="Abadi" w:hAnsi="Abadi"/>
          <w:b w:val="0"/>
          <w:bCs w:val="0"/>
          <w:spacing w:val="40"/>
          <w:sz w:val="21"/>
          <w:szCs w:val="21"/>
        </w:rPr>
        <w:t xml:space="preserve"> </w:t>
      </w:r>
      <w:r w:rsidRPr="001D5134">
        <w:rPr>
          <w:rFonts w:ascii="Abadi" w:hAnsi="Abadi"/>
          <w:b w:val="0"/>
          <w:bCs w:val="0"/>
          <w:sz w:val="21"/>
          <w:szCs w:val="21"/>
        </w:rPr>
        <w:t>el</w:t>
      </w:r>
      <w:r w:rsidRPr="001D5134">
        <w:rPr>
          <w:rFonts w:ascii="Abadi" w:hAnsi="Abadi"/>
          <w:b w:val="0"/>
          <w:bCs w:val="0"/>
          <w:spacing w:val="40"/>
          <w:sz w:val="21"/>
          <w:szCs w:val="21"/>
        </w:rPr>
        <w:t xml:space="preserve"> </w:t>
      </w:r>
      <w:r w:rsidRPr="001D5134">
        <w:rPr>
          <w:rFonts w:ascii="Abadi" w:hAnsi="Abadi"/>
          <w:b w:val="0"/>
          <w:bCs w:val="0"/>
          <w:sz w:val="21"/>
          <w:szCs w:val="21"/>
        </w:rPr>
        <w:t>fortalecimiento</w:t>
      </w:r>
      <w:r w:rsidRPr="001D5134">
        <w:rPr>
          <w:rFonts w:ascii="Abadi" w:hAnsi="Abadi"/>
          <w:b w:val="0"/>
          <w:bCs w:val="0"/>
          <w:spacing w:val="40"/>
          <w:sz w:val="21"/>
          <w:szCs w:val="21"/>
        </w:rPr>
        <w:t xml:space="preserve"> </w:t>
      </w:r>
      <w:r w:rsidRPr="001D5134">
        <w:rPr>
          <w:rFonts w:ascii="Abadi" w:hAnsi="Abadi"/>
          <w:b w:val="0"/>
          <w:bCs w:val="0"/>
          <w:sz w:val="21"/>
          <w:szCs w:val="21"/>
        </w:rPr>
        <w:t>del</w:t>
      </w:r>
      <w:r w:rsidRPr="001D5134">
        <w:rPr>
          <w:rFonts w:ascii="Abadi" w:hAnsi="Abadi"/>
          <w:b w:val="0"/>
          <w:bCs w:val="0"/>
          <w:spacing w:val="-2"/>
          <w:sz w:val="21"/>
          <w:szCs w:val="21"/>
        </w:rPr>
        <w:t xml:space="preserve"> </w:t>
      </w:r>
      <w:r w:rsidRPr="001D5134">
        <w:rPr>
          <w:rFonts w:ascii="Abadi" w:hAnsi="Abadi"/>
          <w:b w:val="0"/>
          <w:bCs w:val="0"/>
          <w:sz w:val="21"/>
          <w:szCs w:val="21"/>
        </w:rPr>
        <w:t>sistema</w:t>
      </w:r>
      <w:r w:rsidRPr="001D5134">
        <w:rPr>
          <w:rFonts w:ascii="Abadi" w:hAnsi="Abadi"/>
          <w:b w:val="0"/>
          <w:bCs w:val="0"/>
          <w:spacing w:val="58"/>
          <w:sz w:val="21"/>
          <w:szCs w:val="21"/>
        </w:rPr>
        <w:t xml:space="preserve"> </w:t>
      </w:r>
      <w:r w:rsidRPr="001D5134">
        <w:rPr>
          <w:rFonts w:ascii="Abadi" w:hAnsi="Abadi"/>
          <w:b w:val="0"/>
          <w:bCs w:val="0"/>
          <w:sz w:val="21"/>
          <w:szCs w:val="21"/>
        </w:rPr>
        <w:t>de</w:t>
      </w:r>
      <w:r w:rsidRPr="001D5134">
        <w:rPr>
          <w:rFonts w:ascii="Abadi" w:hAnsi="Abadi"/>
          <w:b w:val="0"/>
          <w:bCs w:val="0"/>
          <w:spacing w:val="58"/>
          <w:sz w:val="21"/>
          <w:szCs w:val="21"/>
        </w:rPr>
        <w:t xml:space="preserve"> </w:t>
      </w:r>
      <w:r w:rsidRPr="001D5134">
        <w:rPr>
          <w:rFonts w:ascii="Abadi" w:hAnsi="Abadi"/>
          <w:b w:val="0"/>
          <w:bCs w:val="0"/>
          <w:sz w:val="21"/>
          <w:szCs w:val="21"/>
        </w:rPr>
        <w:t>seguridad</w:t>
      </w:r>
      <w:r w:rsidRPr="001D5134">
        <w:rPr>
          <w:rFonts w:ascii="Abadi" w:hAnsi="Abadi"/>
          <w:b w:val="0"/>
          <w:bCs w:val="0"/>
          <w:spacing w:val="58"/>
          <w:sz w:val="21"/>
          <w:szCs w:val="21"/>
        </w:rPr>
        <w:t xml:space="preserve"> </w:t>
      </w:r>
      <w:r w:rsidRPr="001D5134">
        <w:rPr>
          <w:rFonts w:ascii="Abadi" w:hAnsi="Abadi"/>
          <w:b w:val="0"/>
          <w:bCs w:val="0"/>
          <w:sz w:val="21"/>
          <w:szCs w:val="21"/>
        </w:rPr>
        <w:t>pública,</w:t>
      </w:r>
      <w:r w:rsidRPr="001D5134">
        <w:rPr>
          <w:rFonts w:ascii="Abadi" w:hAnsi="Abadi"/>
          <w:b w:val="0"/>
          <w:bCs w:val="0"/>
          <w:spacing w:val="58"/>
          <w:sz w:val="21"/>
          <w:szCs w:val="21"/>
        </w:rPr>
        <w:t xml:space="preserve"> </w:t>
      </w:r>
      <w:r w:rsidRPr="001D5134">
        <w:rPr>
          <w:rFonts w:ascii="Abadi" w:hAnsi="Abadi"/>
          <w:b w:val="0"/>
          <w:bCs w:val="0"/>
          <w:sz w:val="21"/>
          <w:szCs w:val="21"/>
        </w:rPr>
        <w:t>procuración</w:t>
      </w:r>
      <w:r w:rsidRPr="001D5134">
        <w:rPr>
          <w:rFonts w:ascii="Abadi" w:hAnsi="Abadi"/>
          <w:b w:val="0"/>
          <w:bCs w:val="0"/>
          <w:spacing w:val="58"/>
          <w:sz w:val="21"/>
          <w:szCs w:val="21"/>
        </w:rPr>
        <w:t xml:space="preserve"> </w:t>
      </w:r>
      <w:r w:rsidRPr="001D5134">
        <w:rPr>
          <w:rFonts w:ascii="Abadi" w:hAnsi="Abadi"/>
          <w:b w:val="0"/>
          <w:bCs w:val="0"/>
          <w:sz w:val="21"/>
          <w:szCs w:val="21"/>
        </w:rPr>
        <w:t>de</w:t>
      </w:r>
      <w:r w:rsidRPr="001D5134">
        <w:rPr>
          <w:rFonts w:ascii="Abadi" w:hAnsi="Abadi"/>
          <w:b w:val="0"/>
          <w:bCs w:val="0"/>
          <w:spacing w:val="58"/>
          <w:sz w:val="21"/>
          <w:szCs w:val="21"/>
        </w:rPr>
        <w:t xml:space="preserve"> </w:t>
      </w:r>
      <w:r w:rsidRPr="001D5134">
        <w:rPr>
          <w:rFonts w:ascii="Abadi" w:hAnsi="Abadi"/>
          <w:b w:val="0"/>
          <w:bCs w:val="0"/>
          <w:sz w:val="21"/>
          <w:szCs w:val="21"/>
        </w:rPr>
        <w:t>justicia</w:t>
      </w:r>
      <w:r w:rsidRPr="001D5134">
        <w:rPr>
          <w:rFonts w:ascii="Abadi" w:hAnsi="Abadi"/>
          <w:b w:val="0"/>
          <w:bCs w:val="0"/>
          <w:spacing w:val="58"/>
          <w:sz w:val="21"/>
          <w:szCs w:val="21"/>
        </w:rPr>
        <w:t xml:space="preserve"> </w:t>
      </w:r>
      <w:r w:rsidRPr="001D5134">
        <w:rPr>
          <w:rFonts w:ascii="Abadi" w:hAnsi="Abadi"/>
          <w:b w:val="0"/>
          <w:bCs w:val="0"/>
          <w:sz w:val="21"/>
          <w:szCs w:val="21"/>
        </w:rPr>
        <w:t>y</w:t>
      </w:r>
      <w:r w:rsidRPr="001D5134">
        <w:rPr>
          <w:rFonts w:ascii="Abadi" w:hAnsi="Abadi"/>
          <w:b w:val="0"/>
          <w:bCs w:val="0"/>
          <w:spacing w:val="58"/>
          <w:sz w:val="21"/>
          <w:szCs w:val="21"/>
        </w:rPr>
        <w:t xml:space="preserve"> </w:t>
      </w:r>
      <w:r w:rsidRPr="001D5134">
        <w:rPr>
          <w:rFonts w:ascii="Abadi" w:hAnsi="Abadi"/>
          <w:b w:val="0"/>
          <w:bCs w:val="0"/>
          <w:sz w:val="21"/>
          <w:szCs w:val="21"/>
        </w:rPr>
        <w:t>certeza</w:t>
      </w:r>
      <w:r w:rsidRPr="001D5134">
        <w:rPr>
          <w:rFonts w:ascii="Abadi" w:hAnsi="Abadi"/>
          <w:b w:val="0"/>
          <w:bCs w:val="0"/>
          <w:spacing w:val="58"/>
          <w:sz w:val="21"/>
          <w:szCs w:val="21"/>
        </w:rPr>
        <w:t xml:space="preserve"> </w:t>
      </w:r>
      <w:r w:rsidRPr="001D5134">
        <w:rPr>
          <w:rFonts w:ascii="Abadi" w:hAnsi="Abadi"/>
          <w:b w:val="0"/>
          <w:bCs w:val="0"/>
          <w:sz w:val="21"/>
          <w:szCs w:val="21"/>
        </w:rPr>
        <w:t>jurídica</w:t>
      </w:r>
      <w:r w:rsidRPr="001D5134">
        <w:rPr>
          <w:rFonts w:ascii="Abadi" w:hAnsi="Abadi"/>
          <w:b w:val="0"/>
          <w:bCs w:val="0"/>
          <w:spacing w:val="-2"/>
          <w:sz w:val="21"/>
          <w:szCs w:val="21"/>
        </w:rPr>
        <w:t xml:space="preserve"> </w:t>
      </w:r>
      <w:r w:rsidRPr="001D5134">
        <w:rPr>
          <w:rFonts w:ascii="Abadi" w:hAnsi="Abadi"/>
          <w:b w:val="0"/>
          <w:bCs w:val="0"/>
          <w:sz w:val="21"/>
          <w:szCs w:val="21"/>
        </w:rPr>
        <w:t>llevados</w:t>
      </w:r>
      <w:r w:rsidRPr="001D5134">
        <w:rPr>
          <w:rFonts w:ascii="Abadi" w:hAnsi="Abadi"/>
          <w:b w:val="0"/>
          <w:bCs w:val="0"/>
          <w:spacing w:val="22"/>
          <w:sz w:val="21"/>
          <w:szCs w:val="21"/>
        </w:rPr>
        <w:t xml:space="preserve"> </w:t>
      </w:r>
      <w:r w:rsidRPr="001D5134">
        <w:rPr>
          <w:rFonts w:ascii="Abadi" w:hAnsi="Abadi"/>
          <w:b w:val="0"/>
          <w:bCs w:val="0"/>
          <w:sz w:val="21"/>
          <w:szCs w:val="21"/>
        </w:rPr>
        <w:t>a</w:t>
      </w:r>
      <w:r w:rsidRPr="001D5134">
        <w:rPr>
          <w:rFonts w:ascii="Abadi" w:hAnsi="Abadi"/>
          <w:b w:val="0"/>
          <w:bCs w:val="0"/>
          <w:spacing w:val="22"/>
          <w:sz w:val="21"/>
          <w:szCs w:val="21"/>
        </w:rPr>
        <w:t xml:space="preserve"> </w:t>
      </w:r>
      <w:r w:rsidRPr="001D5134">
        <w:rPr>
          <w:rFonts w:ascii="Abadi" w:hAnsi="Abadi"/>
          <w:b w:val="0"/>
          <w:bCs w:val="0"/>
          <w:sz w:val="21"/>
          <w:szCs w:val="21"/>
        </w:rPr>
        <w:t>cabo</w:t>
      </w:r>
      <w:r w:rsidRPr="001D5134">
        <w:rPr>
          <w:rFonts w:ascii="Abadi" w:hAnsi="Abadi"/>
          <w:b w:val="0"/>
          <w:bCs w:val="0"/>
          <w:spacing w:val="21"/>
          <w:sz w:val="21"/>
          <w:szCs w:val="21"/>
        </w:rPr>
        <w:t xml:space="preserve"> </w:t>
      </w:r>
      <w:r w:rsidRPr="001D5134">
        <w:rPr>
          <w:rFonts w:ascii="Abadi" w:hAnsi="Abadi"/>
          <w:b w:val="0"/>
          <w:bCs w:val="0"/>
          <w:sz w:val="21"/>
          <w:szCs w:val="21"/>
        </w:rPr>
        <w:t>por</w:t>
      </w:r>
      <w:r w:rsidRPr="001D5134">
        <w:rPr>
          <w:rFonts w:ascii="Abadi" w:hAnsi="Abadi"/>
          <w:b w:val="0"/>
          <w:bCs w:val="0"/>
          <w:spacing w:val="21"/>
          <w:sz w:val="21"/>
          <w:szCs w:val="21"/>
        </w:rPr>
        <w:t xml:space="preserve"> </w:t>
      </w:r>
      <w:r w:rsidRPr="001D5134">
        <w:rPr>
          <w:rFonts w:ascii="Abadi" w:hAnsi="Abadi"/>
          <w:b w:val="0"/>
          <w:bCs w:val="0"/>
          <w:sz w:val="21"/>
          <w:szCs w:val="21"/>
        </w:rPr>
        <w:t>el</w:t>
      </w:r>
      <w:r w:rsidRPr="001D5134">
        <w:rPr>
          <w:rFonts w:ascii="Abadi" w:hAnsi="Abadi"/>
          <w:b w:val="0"/>
          <w:bCs w:val="0"/>
          <w:spacing w:val="21"/>
          <w:sz w:val="21"/>
          <w:szCs w:val="21"/>
        </w:rPr>
        <w:t xml:space="preserve"> </w:t>
      </w:r>
      <w:r w:rsidRPr="001D5134">
        <w:rPr>
          <w:rFonts w:ascii="Abadi" w:hAnsi="Abadi"/>
          <w:b w:val="0"/>
          <w:bCs w:val="0"/>
          <w:sz w:val="21"/>
          <w:szCs w:val="21"/>
        </w:rPr>
        <w:t>Poder</w:t>
      </w:r>
      <w:r w:rsidRPr="001D5134">
        <w:rPr>
          <w:rFonts w:ascii="Abadi" w:hAnsi="Abadi"/>
          <w:b w:val="0"/>
          <w:bCs w:val="0"/>
          <w:spacing w:val="21"/>
          <w:sz w:val="21"/>
          <w:szCs w:val="21"/>
        </w:rPr>
        <w:t xml:space="preserve"> </w:t>
      </w:r>
      <w:r w:rsidRPr="001D5134">
        <w:rPr>
          <w:rFonts w:ascii="Abadi" w:hAnsi="Abadi"/>
          <w:b w:val="0"/>
          <w:bCs w:val="0"/>
          <w:sz w:val="21"/>
          <w:szCs w:val="21"/>
        </w:rPr>
        <w:t>Ejecutivo</w:t>
      </w:r>
      <w:r w:rsidRPr="001D5134">
        <w:rPr>
          <w:rFonts w:ascii="Abadi" w:hAnsi="Abadi"/>
          <w:b w:val="0"/>
          <w:bCs w:val="0"/>
          <w:spacing w:val="22"/>
          <w:sz w:val="21"/>
          <w:szCs w:val="21"/>
        </w:rPr>
        <w:t xml:space="preserve"> </w:t>
      </w:r>
      <w:r w:rsidRPr="001D5134">
        <w:rPr>
          <w:rFonts w:ascii="Abadi" w:hAnsi="Abadi"/>
          <w:b w:val="0"/>
          <w:bCs w:val="0"/>
          <w:sz w:val="21"/>
          <w:szCs w:val="21"/>
        </w:rPr>
        <w:t>del</w:t>
      </w:r>
      <w:r w:rsidRPr="001D5134">
        <w:rPr>
          <w:rFonts w:ascii="Abadi" w:hAnsi="Abadi"/>
          <w:b w:val="0"/>
          <w:bCs w:val="0"/>
          <w:spacing w:val="21"/>
          <w:sz w:val="21"/>
          <w:szCs w:val="21"/>
        </w:rPr>
        <w:t xml:space="preserve"> </w:t>
      </w:r>
      <w:r w:rsidRPr="001D5134">
        <w:rPr>
          <w:rFonts w:ascii="Abadi" w:hAnsi="Abadi"/>
          <w:b w:val="0"/>
          <w:bCs w:val="0"/>
          <w:sz w:val="21"/>
          <w:szCs w:val="21"/>
        </w:rPr>
        <w:t>Estado</w:t>
      </w:r>
      <w:r w:rsidRPr="001D5134">
        <w:rPr>
          <w:rFonts w:ascii="Abadi" w:hAnsi="Abadi"/>
          <w:b w:val="0"/>
          <w:bCs w:val="0"/>
          <w:spacing w:val="22"/>
          <w:sz w:val="21"/>
          <w:szCs w:val="21"/>
        </w:rPr>
        <w:t xml:space="preserve"> </w:t>
      </w:r>
      <w:r w:rsidRPr="001D5134">
        <w:rPr>
          <w:rFonts w:ascii="Abadi" w:hAnsi="Abadi"/>
          <w:b w:val="0"/>
          <w:bCs w:val="0"/>
          <w:sz w:val="21"/>
          <w:szCs w:val="21"/>
        </w:rPr>
        <w:t>de</w:t>
      </w:r>
      <w:r w:rsidRPr="001D5134">
        <w:rPr>
          <w:rFonts w:ascii="Abadi" w:hAnsi="Abadi"/>
          <w:b w:val="0"/>
          <w:bCs w:val="0"/>
          <w:spacing w:val="22"/>
          <w:sz w:val="21"/>
          <w:szCs w:val="21"/>
        </w:rPr>
        <w:t xml:space="preserve"> </w:t>
      </w:r>
      <w:r w:rsidRPr="001D5134">
        <w:rPr>
          <w:rFonts w:ascii="Abadi" w:hAnsi="Abadi"/>
          <w:b w:val="0"/>
          <w:bCs w:val="0"/>
          <w:sz w:val="21"/>
          <w:szCs w:val="21"/>
        </w:rPr>
        <w:t>Guanajuato,</w:t>
      </w:r>
      <w:r w:rsidRPr="001D5134">
        <w:rPr>
          <w:rFonts w:ascii="Abadi" w:hAnsi="Abadi"/>
          <w:b w:val="0"/>
          <w:bCs w:val="0"/>
          <w:spacing w:val="21"/>
          <w:sz w:val="21"/>
          <w:szCs w:val="21"/>
        </w:rPr>
        <w:t xml:space="preserve"> </w:t>
      </w:r>
      <w:r w:rsidRPr="001D5134">
        <w:rPr>
          <w:rFonts w:ascii="Abadi" w:hAnsi="Abadi"/>
          <w:b w:val="0"/>
          <w:bCs w:val="0"/>
          <w:sz w:val="21"/>
          <w:szCs w:val="21"/>
        </w:rPr>
        <w:t>la</w:t>
      </w:r>
      <w:r w:rsidRPr="001D5134">
        <w:rPr>
          <w:rFonts w:ascii="Abadi" w:hAnsi="Abadi"/>
          <w:b w:val="0"/>
          <w:bCs w:val="0"/>
          <w:spacing w:val="22"/>
          <w:sz w:val="21"/>
          <w:szCs w:val="21"/>
        </w:rPr>
        <w:t xml:space="preserve"> </w:t>
      </w:r>
      <w:r w:rsidRPr="001D5134">
        <w:rPr>
          <w:rFonts w:ascii="Abadi" w:hAnsi="Abadi"/>
          <w:b w:val="0"/>
          <w:bCs w:val="0"/>
          <w:sz w:val="21"/>
          <w:szCs w:val="21"/>
        </w:rPr>
        <w:t>cual</w:t>
      </w:r>
      <w:r w:rsidRPr="001D5134">
        <w:rPr>
          <w:rFonts w:ascii="Abadi" w:hAnsi="Abadi"/>
          <w:b w:val="0"/>
          <w:bCs w:val="0"/>
          <w:spacing w:val="-2"/>
          <w:sz w:val="21"/>
          <w:szCs w:val="21"/>
        </w:rPr>
        <w:t xml:space="preserve"> </w:t>
      </w:r>
      <w:r w:rsidRPr="001D5134">
        <w:rPr>
          <w:rFonts w:ascii="Abadi" w:hAnsi="Abadi"/>
          <w:b w:val="0"/>
          <w:bCs w:val="0"/>
          <w:sz w:val="21"/>
          <w:szCs w:val="21"/>
        </w:rPr>
        <w:t>deberá</w:t>
      </w:r>
      <w:r w:rsidRPr="001D5134">
        <w:rPr>
          <w:rFonts w:ascii="Abadi" w:hAnsi="Abadi"/>
          <w:b w:val="0"/>
          <w:bCs w:val="0"/>
          <w:spacing w:val="18"/>
          <w:sz w:val="21"/>
          <w:szCs w:val="21"/>
        </w:rPr>
        <w:t xml:space="preserve"> </w:t>
      </w:r>
      <w:r w:rsidRPr="001D5134">
        <w:rPr>
          <w:rFonts w:ascii="Abadi" w:hAnsi="Abadi"/>
          <w:b w:val="0"/>
          <w:bCs w:val="0"/>
          <w:sz w:val="21"/>
          <w:szCs w:val="21"/>
        </w:rPr>
        <w:t>realizarse</w:t>
      </w:r>
      <w:r w:rsidRPr="001D5134">
        <w:rPr>
          <w:rFonts w:ascii="Abadi" w:hAnsi="Abadi"/>
          <w:b w:val="0"/>
          <w:bCs w:val="0"/>
          <w:spacing w:val="18"/>
          <w:sz w:val="21"/>
          <w:szCs w:val="21"/>
        </w:rPr>
        <w:t xml:space="preserve"> </w:t>
      </w:r>
      <w:r w:rsidRPr="001D5134">
        <w:rPr>
          <w:rFonts w:ascii="Abadi" w:hAnsi="Abadi"/>
          <w:b w:val="0"/>
          <w:bCs w:val="0"/>
          <w:sz w:val="21"/>
          <w:szCs w:val="21"/>
        </w:rPr>
        <w:t>de</w:t>
      </w:r>
      <w:r w:rsidRPr="001D5134">
        <w:rPr>
          <w:rFonts w:ascii="Abadi" w:hAnsi="Abadi"/>
          <w:b w:val="0"/>
          <w:bCs w:val="0"/>
          <w:spacing w:val="17"/>
          <w:sz w:val="21"/>
          <w:szCs w:val="21"/>
        </w:rPr>
        <w:t xml:space="preserve"> </w:t>
      </w:r>
      <w:r w:rsidRPr="001D5134">
        <w:rPr>
          <w:rFonts w:ascii="Abadi" w:hAnsi="Abadi"/>
          <w:b w:val="0"/>
          <w:bCs w:val="0"/>
          <w:sz w:val="21"/>
          <w:szCs w:val="21"/>
        </w:rPr>
        <w:t>manera</w:t>
      </w:r>
      <w:r w:rsidRPr="001D5134">
        <w:rPr>
          <w:rFonts w:ascii="Abadi" w:hAnsi="Abadi"/>
          <w:b w:val="0"/>
          <w:bCs w:val="0"/>
          <w:spacing w:val="18"/>
          <w:sz w:val="21"/>
          <w:szCs w:val="21"/>
        </w:rPr>
        <w:t xml:space="preserve"> </w:t>
      </w:r>
      <w:r w:rsidRPr="001D5134">
        <w:rPr>
          <w:rFonts w:ascii="Abadi" w:hAnsi="Abadi"/>
          <w:b w:val="0"/>
          <w:bCs w:val="0"/>
          <w:sz w:val="21"/>
          <w:szCs w:val="21"/>
        </w:rPr>
        <w:t>concomitante</w:t>
      </w:r>
      <w:r w:rsidRPr="001D5134">
        <w:rPr>
          <w:rFonts w:ascii="Abadi" w:hAnsi="Abadi"/>
          <w:b w:val="0"/>
          <w:bCs w:val="0"/>
          <w:spacing w:val="18"/>
          <w:sz w:val="21"/>
          <w:szCs w:val="21"/>
        </w:rPr>
        <w:t xml:space="preserve"> </w:t>
      </w:r>
      <w:r w:rsidRPr="001D5134">
        <w:rPr>
          <w:rFonts w:ascii="Abadi" w:hAnsi="Abadi"/>
          <w:b w:val="0"/>
          <w:bCs w:val="0"/>
          <w:sz w:val="21"/>
          <w:szCs w:val="21"/>
        </w:rPr>
        <w:t>a</w:t>
      </w:r>
      <w:r w:rsidRPr="001D5134">
        <w:rPr>
          <w:rFonts w:ascii="Abadi" w:hAnsi="Abadi"/>
          <w:b w:val="0"/>
          <w:bCs w:val="0"/>
          <w:spacing w:val="18"/>
          <w:sz w:val="21"/>
          <w:szCs w:val="21"/>
        </w:rPr>
        <w:t xml:space="preserve"> </w:t>
      </w:r>
      <w:r w:rsidRPr="001D5134">
        <w:rPr>
          <w:rFonts w:ascii="Abadi" w:hAnsi="Abadi"/>
          <w:b w:val="0"/>
          <w:bCs w:val="0"/>
          <w:sz w:val="21"/>
          <w:szCs w:val="21"/>
        </w:rPr>
        <w:t>partir</w:t>
      </w:r>
      <w:r w:rsidRPr="001D5134">
        <w:rPr>
          <w:rFonts w:ascii="Abadi" w:hAnsi="Abadi"/>
          <w:b w:val="0"/>
          <w:bCs w:val="0"/>
          <w:spacing w:val="17"/>
          <w:sz w:val="21"/>
          <w:szCs w:val="21"/>
        </w:rPr>
        <w:t xml:space="preserve"> </w:t>
      </w:r>
      <w:r w:rsidRPr="001D5134">
        <w:rPr>
          <w:rFonts w:ascii="Abadi" w:hAnsi="Abadi"/>
          <w:b w:val="0"/>
          <w:bCs w:val="0"/>
          <w:sz w:val="21"/>
          <w:szCs w:val="21"/>
        </w:rPr>
        <w:t>de</w:t>
      </w:r>
      <w:r w:rsidRPr="001D5134">
        <w:rPr>
          <w:rFonts w:ascii="Abadi" w:hAnsi="Abadi"/>
          <w:b w:val="0"/>
          <w:bCs w:val="0"/>
          <w:spacing w:val="18"/>
          <w:sz w:val="21"/>
          <w:szCs w:val="21"/>
        </w:rPr>
        <w:t xml:space="preserve"> </w:t>
      </w:r>
      <w:r w:rsidRPr="001D5134">
        <w:rPr>
          <w:rFonts w:ascii="Abadi" w:hAnsi="Abadi"/>
          <w:b w:val="0"/>
          <w:bCs w:val="0"/>
          <w:sz w:val="21"/>
          <w:szCs w:val="21"/>
        </w:rPr>
        <w:t>la</w:t>
      </w:r>
      <w:r w:rsidRPr="001D5134">
        <w:rPr>
          <w:rFonts w:ascii="Abadi" w:hAnsi="Abadi"/>
          <w:b w:val="0"/>
          <w:bCs w:val="0"/>
          <w:spacing w:val="18"/>
          <w:sz w:val="21"/>
          <w:szCs w:val="21"/>
        </w:rPr>
        <w:t xml:space="preserve"> </w:t>
      </w:r>
      <w:r w:rsidRPr="001D5134">
        <w:rPr>
          <w:rFonts w:ascii="Abadi" w:hAnsi="Abadi"/>
          <w:b w:val="0"/>
          <w:bCs w:val="0"/>
          <w:sz w:val="21"/>
          <w:szCs w:val="21"/>
        </w:rPr>
        <w:t>programación</w:t>
      </w:r>
      <w:r w:rsidRPr="001D5134">
        <w:rPr>
          <w:rFonts w:ascii="Abadi" w:hAnsi="Abadi"/>
          <w:b w:val="0"/>
          <w:bCs w:val="0"/>
          <w:spacing w:val="18"/>
          <w:sz w:val="21"/>
          <w:szCs w:val="21"/>
        </w:rPr>
        <w:t xml:space="preserve"> </w:t>
      </w:r>
      <w:r w:rsidRPr="001D5134">
        <w:rPr>
          <w:rFonts w:ascii="Abadi" w:hAnsi="Abadi"/>
          <w:b w:val="0"/>
          <w:bCs w:val="0"/>
          <w:sz w:val="21"/>
          <w:szCs w:val="21"/>
        </w:rPr>
        <w:t>de</w:t>
      </w:r>
      <w:r w:rsidRPr="001D5134">
        <w:rPr>
          <w:rFonts w:ascii="Abadi" w:hAnsi="Abadi"/>
          <w:b w:val="0"/>
          <w:bCs w:val="0"/>
          <w:spacing w:val="-2"/>
          <w:sz w:val="21"/>
          <w:szCs w:val="21"/>
        </w:rPr>
        <w:t xml:space="preserve"> </w:t>
      </w:r>
      <w:r w:rsidRPr="001D5134">
        <w:rPr>
          <w:rFonts w:ascii="Abadi" w:hAnsi="Abadi"/>
          <w:b w:val="0"/>
          <w:bCs w:val="0"/>
          <w:sz w:val="21"/>
          <w:szCs w:val="21"/>
        </w:rPr>
        <w:t>dichos</w:t>
      </w:r>
      <w:r w:rsidRPr="001D5134">
        <w:rPr>
          <w:rFonts w:ascii="Abadi" w:hAnsi="Abadi"/>
          <w:b w:val="0"/>
          <w:bCs w:val="0"/>
          <w:spacing w:val="9"/>
          <w:sz w:val="21"/>
          <w:szCs w:val="21"/>
        </w:rPr>
        <w:t xml:space="preserve"> </w:t>
      </w:r>
      <w:r w:rsidRPr="001D5134">
        <w:rPr>
          <w:rFonts w:ascii="Abadi" w:hAnsi="Abadi"/>
          <w:b w:val="0"/>
          <w:bCs w:val="0"/>
          <w:sz w:val="21"/>
          <w:szCs w:val="21"/>
        </w:rPr>
        <w:t>recursos,</w:t>
      </w:r>
      <w:r w:rsidRPr="001D5134">
        <w:rPr>
          <w:rFonts w:ascii="Abadi" w:hAnsi="Abadi"/>
          <w:b w:val="0"/>
          <w:bCs w:val="0"/>
          <w:spacing w:val="8"/>
          <w:sz w:val="21"/>
          <w:szCs w:val="21"/>
        </w:rPr>
        <w:t xml:space="preserve"> </w:t>
      </w:r>
      <w:r w:rsidRPr="001D5134">
        <w:rPr>
          <w:rFonts w:ascii="Abadi" w:hAnsi="Abadi"/>
          <w:b w:val="0"/>
          <w:bCs w:val="0"/>
          <w:sz w:val="21"/>
          <w:szCs w:val="21"/>
        </w:rPr>
        <w:t>abarcando</w:t>
      </w:r>
      <w:r w:rsidRPr="001D5134">
        <w:rPr>
          <w:rFonts w:ascii="Abadi" w:hAnsi="Abadi"/>
          <w:b w:val="0"/>
          <w:bCs w:val="0"/>
          <w:spacing w:val="9"/>
          <w:sz w:val="21"/>
          <w:szCs w:val="21"/>
        </w:rPr>
        <w:t xml:space="preserve"> </w:t>
      </w:r>
      <w:r w:rsidRPr="001D5134">
        <w:rPr>
          <w:rFonts w:ascii="Abadi" w:hAnsi="Abadi"/>
          <w:b w:val="0"/>
          <w:bCs w:val="0"/>
          <w:sz w:val="21"/>
          <w:szCs w:val="21"/>
        </w:rPr>
        <w:t>los</w:t>
      </w:r>
      <w:r w:rsidRPr="001D5134">
        <w:rPr>
          <w:rFonts w:ascii="Abadi" w:hAnsi="Abadi"/>
          <w:b w:val="0"/>
          <w:bCs w:val="0"/>
          <w:spacing w:val="9"/>
          <w:sz w:val="21"/>
          <w:szCs w:val="21"/>
        </w:rPr>
        <w:t xml:space="preserve"> </w:t>
      </w:r>
      <w:r w:rsidRPr="001D5134">
        <w:rPr>
          <w:rFonts w:ascii="Abadi" w:hAnsi="Abadi"/>
          <w:b w:val="0"/>
          <w:bCs w:val="0"/>
          <w:sz w:val="21"/>
          <w:szCs w:val="21"/>
        </w:rPr>
        <w:t>ejercicios</w:t>
      </w:r>
      <w:r w:rsidRPr="001D5134">
        <w:rPr>
          <w:rFonts w:ascii="Abadi" w:hAnsi="Abadi"/>
          <w:b w:val="0"/>
          <w:bCs w:val="0"/>
          <w:spacing w:val="9"/>
          <w:sz w:val="21"/>
          <w:szCs w:val="21"/>
        </w:rPr>
        <w:t xml:space="preserve"> </w:t>
      </w:r>
      <w:r w:rsidRPr="001D5134">
        <w:rPr>
          <w:rFonts w:ascii="Abadi" w:hAnsi="Abadi"/>
          <w:b w:val="0"/>
          <w:bCs w:val="0"/>
          <w:sz w:val="21"/>
          <w:szCs w:val="21"/>
        </w:rPr>
        <w:t>fiscales</w:t>
      </w:r>
      <w:r w:rsidRPr="001D5134">
        <w:rPr>
          <w:rFonts w:ascii="Abadi" w:hAnsi="Abadi"/>
          <w:b w:val="0"/>
          <w:bCs w:val="0"/>
          <w:spacing w:val="9"/>
          <w:sz w:val="21"/>
          <w:szCs w:val="21"/>
        </w:rPr>
        <w:t xml:space="preserve"> </w:t>
      </w:r>
      <w:r w:rsidRPr="001D5134">
        <w:rPr>
          <w:rFonts w:ascii="Abadi" w:hAnsi="Abadi"/>
          <w:b w:val="0"/>
          <w:bCs w:val="0"/>
          <w:sz w:val="21"/>
          <w:szCs w:val="21"/>
        </w:rPr>
        <w:t>necesarios</w:t>
      </w:r>
      <w:r w:rsidRPr="001D5134">
        <w:rPr>
          <w:rFonts w:ascii="Abadi" w:hAnsi="Abadi"/>
          <w:b w:val="0"/>
          <w:bCs w:val="0"/>
          <w:spacing w:val="9"/>
          <w:sz w:val="21"/>
          <w:szCs w:val="21"/>
        </w:rPr>
        <w:t xml:space="preserve"> </w:t>
      </w:r>
      <w:r w:rsidRPr="001D5134">
        <w:rPr>
          <w:rFonts w:ascii="Abadi" w:hAnsi="Abadi"/>
          <w:b w:val="0"/>
          <w:bCs w:val="0"/>
          <w:sz w:val="21"/>
          <w:szCs w:val="21"/>
        </w:rPr>
        <w:t>hasta</w:t>
      </w:r>
      <w:r w:rsidRPr="001D5134">
        <w:rPr>
          <w:rFonts w:ascii="Abadi" w:hAnsi="Abadi"/>
          <w:b w:val="0"/>
          <w:bCs w:val="0"/>
          <w:spacing w:val="9"/>
          <w:sz w:val="21"/>
          <w:szCs w:val="21"/>
        </w:rPr>
        <w:t xml:space="preserve"> </w:t>
      </w:r>
      <w:r w:rsidRPr="001D5134">
        <w:rPr>
          <w:rFonts w:ascii="Abadi" w:hAnsi="Abadi"/>
          <w:b w:val="0"/>
          <w:bCs w:val="0"/>
          <w:sz w:val="21"/>
          <w:szCs w:val="21"/>
        </w:rPr>
        <w:t>que</w:t>
      </w:r>
      <w:r w:rsidRPr="001D5134">
        <w:rPr>
          <w:rFonts w:ascii="Abadi" w:hAnsi="Abadi"/>
          <w:b w:val="0"/>
          <w:bCs w:val="0"/>
          <w:spacing w:val="9"/>
          <w:sz w:val="21"/>
          <w:szCs w:val="21"/>
        </w:rPr>
        <w:t xml:space="preserve"> </w:t>
      </w:r>
      <w:r w:rsidRPr="001D5134">
        <w:rPr>
          <w:rFonts w:ascii="Abadi" w:hAnsi="Abadi"/>
          <w:b w:val="0"/>
          <w:bCs w:val="0"/>
          <w:sz w:val="21"/>
          <w:szCs w:val="21"/>
        </w:rPr>
        <w:t>se</w:t>
      </w:r>
      <w:r w:rsidRPr="001D5134">
        <w:rPr>
          <w:rFonts w:ascii="Abadi" w:hAnsi="Abadi"/>
          <w:b w:val="0"/>
          <w:bCs w:val="0"/>
          <w:spacing w:val="-2"/>
          <w:sz w:val="21"/>
          <w:szCs w:val="21"/>
        </w:rPr>
        <w:t xml:space="preserve"> </w:t>
      </w:r>
      <w:r w:rsidRPr="001D5134">
        <w:rPr>
          <w:rFonts w:ascii="Abadi" w:hAnsi="Abadi"/>
          <w:b w:val="0"/>
          <w:bCs w:val="0"/>
          <w:sz w:val="21"/>
          <w:szCs w:val="21"/>
        </w:rPr>
        <w:t>completen</w:t>
      </w:r>
      <w:r w:rsidRPr="001D5134">
        <w:rPr>
          <w:rFonts w:ascii="Abadi" w:hAnsi="Abadi"/>
          <w:b w:val="0"/>
          <w:bCs w:val="0"/>
          <w:spacing w:val="-1"/>
          <w:sz w:val="21"/>
          <w:szCs w:val="21"/>
        </w:rPr>
        <w:t xml:space="preserve"> </w:t>
      </w:r>
      <w:r w:rsidRPr="001D5134">
        <w:rPr>
          <w:rFonts w:ascii="Abadi" w:hAnsi="Abadi"/>
          <w:b w:val="0"/>
          <w:bCs w:val="0"/>
          <w:sz w:val="21"/>
          <w:szCs w:val="21"/>
        </w:rPr>
        <w:t>los</w:t>
      </w:r>
      <w:r w:rsidRPr="001D5134">
        <w:rPr>
          <w:rFonts w:ascii="Abadi" w:hAnsi="Abadi"/>
          <w:b w:val="0"/>
          <w:bCs w:val="0"/>
          <w:spacing w:val="-1"/>
          <w:sz w:val="21"/>
          <w:szCs w:val="21"/>
        </w:rPr>
        <w:t xml:space="preserve"> </w:t>
      </w:r>
      <w:r w:rsidRPr="001D5134">
        <w:rPr>
          <w:rFonts w:ascii="Abadi" w:hAnsi="Abadi"/>
          <w:b w:val="0"/>
          <w:bCs w:val="0"/>
          <w:sz w:val="21"/>
          <w:szCs w:val="21"/>
        </w:rPr>
        <w:t>proyectos</w:t>
      </w:r>
      <w:r w:rsidRPr="001D5134">
        <w:rPr>
          <w:rFonts w:ascii="Abadi" w:hAnsi="Abadi"/>
          <w:b w:val="0"/>
          <w:bCs w:val="0"/>
          <w:spacing w:val="-1"/>
          <w:sz w:val="21"/>
          <w:szCs w:val="21"/>
        </w:rPr>
        <w:t xml:space="preserve"> </w:t>
      </w:r>
      <w:r w:rsidRPr="001D5134">
        <w:rPr>
          <w:rFonts w:ascii="Abadi" w:hAnsi="Abadi"/>
          <w:b w:val="0"/>
          <w:bCs w:val="0"/>
          <w:sz w:val="21"/>
          <w:szCs w:val="21"/>
        </w:rPr>
        <w:t>que</w:t>
      </w:r>
      <w:r w:rsidRPr="001D5134">
        <w:rPr>
          <w:rFonts w:ascii="Abadi" w:hAnsi="Abadi"/>
          <w:b w:val="0"/>
          <w:bCs w:val="0"/>
          <w:spacing w:val="-1"/>
          <w:sz w:val="21"/>
          <w:szCs w:val="21"/>
        </w:rPr>
        <w:t xml:space="preserve"> </w:t>
      </w:r>
      <w:r w:rsidRPr="001D5134">
        <w:rPr>
          <w:rFonts w:ascii="Abadi" w:hAnsi="Abadi"/>
          <w:b w:val="0"/>
          <w:bCs w:val="0"/>
          <w:sz w:val="21"/>
          <w:szCs w:val="21"/>
        </w:rPr>
        <w:t>se</w:t>
      </w:r>
      <w:r w:rsidRPr="001D5134">
        <w:rPr>
          <w:rFonts w:ascii="Abadi" w:hAnsi="Abadi"/>
          <w:b w:val="0"/>
          <w:bCs w:val="0"/>
          <w:spacing w:val="-1"/>
          <w:sz w:val="21"/>
          <w:szCs w:val="21"/>
        </w:rPr>
        <w:t xml:space="preserve"> </w:t>
      </w:r>
      <w:r w:rsidRPr="001D5134">
        <w:rPr>
          <w:rFonts w:ascii="Abadi" w:hAnsi="Abadi"/>
          <w:b w:val="0"/>
          <w:bCs w:val="0"/>
          <w:sz w:val="21"/>
          <w:szCs w:val="21"/>
        </w:rPr>
        <w:t>lleven</w:t>
      </w:r>
      <w:r w:rsidRPr="001D5134">
        <w:rPr>
          <w:rFonts w:ascii="Abadi" w:hAnsi="Abadi"/>
          <w:b w:val="0"/>
          <w:bCs w:val="0"/>
          <w:spacing w:val="-1"/>
          <w:sz w:val="21"/>
          <w:szCs w:val="21"/>
        </w:rPr>
        <w:t xml:space="preserve"> </w:t>
      </w:r>
      <w:r w:rsidRPr="001D5134">
        <w:rPr>
          <w:rFonts w:ascii="Abadi" w:hAnsi="Abadi"/>
          <w:b w:val="0"/>
          <w:bCs w:val="0"/>
          <w:sz w:val="21"/>
          <w:szCs w:val="21"/>
        </w:rPr>
        <w:t>a</w:t>
      </w:r>
      <w:r w:rsidRPr="001D5134">
        <w:rPr>
          <w:rFonts w:ascii="Abadi" w:hAnsi="Abadi"/>
          <w:b w:val="0"/>
          <w:bCs w:val="0"/>
          <w:spacing w:val="-1"/>
          <w:sz w:val="21"/>
          <w:szCs w:val="21"/>
        </w:rPr>
        <w:t xml:space="preserve"> </w:t>
      </w:r>
      <w:r w:rsidRPr="001D5134">
        <w:rPr>
          <w:rFonts w:ascii="Abadi" w:hAnsi="Abadi"/>
          <w:b w:val="0"/>
          <w:bCs w:val="0"/>
          <w:sz w:val="21"/>
          <w:szCs w:val="21"/>
        </w:rPr>
        <w:t>cabo</w:t>
      </w:r>
      <w:r w:rsidRPr="001D5134">
        <w:rPr>
          <w:rFonts w:ascii="Abadi" w:hAnsi="Abadi"/>
          <w:b w:val="0"/>
          <w:bCs w:val="0"/>
          <w:spacing w:val="-1"/>
          <w:sz w:val="21"/>
          <w:szCs w:val="21"/>
        </w:rPr>
        <w:t xml:space="preserve"> </w:t>
      </w:r>
      <w:r w:rsidRPr="001D5134">
        <w:rPr>
          <w:rFonts w:ascii="Abadi" w:hAnsi="Abadi"/>
          <w:b w:val="0"/>
          <w:bCs w:val="0"/>
          <w:sz w:val="21"/>
          <w:szCs w:val="21"/>
        </w:rPr>
        <w:t>en</w:t>
      </w:r>
      <w:r w:rsidRPr="001D5134">
        <w:rPr>
          <w:rFonts w:ascii="Abadi" w:hAnsi="Abadi"/>
          <w:b w:val="0"/>
          <w:bCs w:val="0"/>
          <w:spacing w:val="-1"/>
          <w:sz w:val="21"/>
          <w:szCs w:val="21"/>
        </w:rPr>
        <w:t xml:space="preserve"> </w:t>
      </w:r>
      <w:r w:rsidRPr="001D5134">
        <w:rPr>
          <w:rFonts w:ascii="Abadi" w:hAnsi="Abadi"/>
          <w:b w:val="0"/>
          <w:bCs w:val="0"/>
          <w:sz w:val="21"/>
          <w:szCs w:val="21"/>
        </w:rPr>
        <w:t>tal</w:t>
      </w:r>
      <w:r w:rsidRPr="001D5134">
        <w:rPr>
          <w:rFonts w:ascii="Abadi" w:hAnsi="Abadi"/>
          <w:b w:val="0"/>
          <w:bCs w:val="0"/>
          <w:spacing w:val="-1"/>
          <w:sz w:val="21"/>
          <w:szCs w:val="21"/>
        </w:rPr>
        <w:t xml:space="preserve"> </w:t>
      </w:r>
      <w:r w:rsidRPr="001D5134">
        <w:rPr>
          <w:rFonts w:ascii="Abadi" w:hAnsi="Abadi"/>
          <w:b w:val="0"/>
          <w:bCs w:val="0"/>
          <w:sz w:val="21"/>
          <w:szCs w:val="21"/>
        </w:rPr>
        <w:t>rubro.</w:t>
      </w:r>
      <w:r>
        <w:rPr>
          <w:rFonts w:ascii="Abadi" w:hAnsi="Abadi"/>
          <w:sz w:val="21"/>
          <w:szCs w:val="21"/>
        </w:rPr>
        <w:t xml:space="preserve"> </w:t>
      </w:r>
      <w:r w:rsidRPr="009A3D12">
        <w:rPr>
          <w:rFonts w:ascii="Abadi" w:hAnsi="Abadi"/>
          <w:sz w:val="21"/>
          <w:szCs w:val="21"/>
        </w:rPr>
        <w:t>XLII.-</w:t>
      </w:r>
      <w:r>
        <w:rPr>
          <w:rFonts w:ascii="Abadi" w:hAnsi="Abadi"/>
          <w:sz w:val="21"/>
          <w:szCs w:val="21"/>
        </w:rPr>
        <w:t xml:space="preserve"> </w:t>
      </w:r>
      <w:r w:rsidRPr="001D5134">
        <w:rPr>
          <w:rFonts w:ascii="Abadi" w:hAnsi="Abadi"/>
          <w:b w:val="0"/>
          <w:bCs w:val="0"/>
          <w:sz w:val="21"/>
          <w:szCs w:val="21"/>
        </w:rPr>
        <w:t>Discusión</w:t>
      </w:r>
      <w:r w:rsidRPr="001D5134">
        <w:rPr>
          <w:rFonts w:ascii="Abadi" w:hAnsi="Abadi"/>
          <w:b w:val="0"/>
          <w:bCs w:val="0"/>
          <w:spacing w:val="80"/>
          <w:sz w:val="21"/>
          <w:szCs w:val="21"/>
        </w:rPr>
        <w:t xml:space="preserve"> </w:t>
      </w:r>
      <w:r w:rsidRPr="001D5134">
        <w:rPr>
          <w:rFonts w:ascii="Abadi" w:hAnsi="Abadi"/>
          <w:b w:val="0"/>
          <w:bCs w:val="0"/>
          <w:sz w:val="21"/>
          <w:szCs w:val="21"/>
        </w:rPr>
        <w:t>y,</w:t>
      </w:r>
      <w:r w:rsidRPr="001D5134">
        <w:rPr>
          <w:rFonts w:ascii="Abadi" w:hAnsi="Abadi"/>
          <w:b w:val="0"/>
          <w:bCs w:val="0"/>
          <w:spacing w:val="80"/>
          <w:sz w:val="21"/>
          <w:szCs w:val="21"/>
        </w:rPr>
        <w:t xml:space="preserve"> </w:t>
      </w:r>
      <w:r w:rsidRPr="001D5134">
        <w:rPr>
          <w:rFonts w:ascii="Abadi" w:hAnsi="Abadi"/>
          <w:b w:val="0"/>
          <w:bCs w:val="0"/>
          <w:sz w:val="21"/>
          <w:szCs w:val="21"/>
        </w:rPr>
        <w:t>en</w:t>
      </w:r>
      <w:r w:rsidRPr="001D5134">
        <w:rPr>
          <w:rFonts w:ascii="Abadi" w:hAnsi="Abadi"/>
          <w:b w:val="0"/>
          <w:bCs w:val="0"/>
          <w:spacing w:val="80"/>
          <w:sz w:val="21"/>
          <w:szCs w:val="21"/>
        </w:rPr>
        <w:t xml:space="preserve"> </w:t>
      </w:r>
      <w:r w:rsidRPr="001D5134">
        <w:rPr>
          <w:rFonts w:ascii="Abadi" w:hAnsi="Abadi"/>
          <w:b w:val="0"/>
          <w:bCs w:val="0"/>
          <w:sz w:val="21"/>
          <w:szCs w:val="21"/>
        </w:rPr>
        <w:t>su</w:t>
      </w:r>
      <w:r w:rsidRPr="001D5134">
        <w:rPr>
          <w:rFonts w:ascii="Abadi" w:hAnsi="Abadi"/>
          <w:b w:val="0"/>
          <w:bCs w:val="0"/>
          <w:spacing w:val="80"/>
          <w:sz w:val="21"/>
          <w:szCs w:val="21"/>
        </w:rPr>
        <w:t xml:space="preserve"> </w:t>
      </w:r>
      <w:r w:rsidRPr="001D5134">
        <w:rPr>
          <w:rFonts w:ascii="Abadi" w:hAnsi="Abadi"/>
          <w:b w:val="0"/>
          <w:bCs w:val="0"/>
          <w:sz w:val="21"/>
          <w:szCs w:val="21"/>
        </w:rPr>
        <w:t>caso,</w:t>
      </w:r>
      <w:r w:rsidRPr="001D5134">
        <w:rPr>
          <w:rFonts w:ascii="Abadi" w:hAnsi="Abadi"/>
          <w:b w:val="0"/>
          <w:bCs w:val="0"/>
          <w:spacing w:val="80"/>
          <w:sz w:val="21"/>
          <w:szCs w:val="21"/>
        </w:rPr>
        <w:t xml:space="preserve"> </w:t>
      </w:r>
      <w:r w:rsidRPr="001D5134">
        <w:rPr>
          <w:rFonts w:ascii="Abadi" w:hAnsi="Abadi"/>
          <w:b w:val="0"/>
          <w:bCs w:val="0"/>
          <w:sz w:val="21"/>
          <w:szCs w:val="21"/>
        </w:rPr>
        <w:t>aprobación</w:t>
      </w:r>
      <w:r w:rsidRPr="001D5134">
        <w:rPr>
          <w:rFonts w:ascii="Abadi" w:hAnsi="Abadi"/>
          <w:b w:val="0"/>
          <w:bCs w:val="0"/>
          <w:spacing w:val="80"/>
          <w:sz w:val="21"/>
          <w:szCs w:val="21"/>
        </w:rPr>
        <w:t xml:space="preserve"> </w:t>
      </w:r>
      <w:r w:rsidRPr="001D5134">
        <w:rPr>
          <w:rFonts w:ascii="Abadi" w:hAnsi="Abadi"/>
          <w:b w:val="0"/>
          <w:bCs w:val="0"/>
          <w:sz w:val="21"/>
          <w:szCs w:val="21"/>
        </w:rPr>
        <w:t>del</w:t>
      </w:r>
      <w:r w:rsidRPr="001D5134">
        <w:rPr>
          <w:rFonts w:ascii="Abadi" w:hAnsi="Abadi"/>
          <w:b w:val="0"/>
          <w:bCs w:val="0"/>
          <w:spacing w:val="80"/>
          <w:sz w:val="21"/>
          <w:szCs w:val="21"/>
        </w:rPr>
        <w:t xml:space="preserve"> </w:t>
      </w:r>
      <w:r w:rsidRPr="001D5134">
        <w:rPr>
          <w:rFonts w:ascii="Abadi" w:hAnsi="Abadi"/>
          <w:b w:val="0"/>
          <w:bCs w:val="0"/>
          <w:sz w:val="21"/>
          <w:szCs w:val="21"/>
        </w:rPr>
        <w:t>dictamen</w:t>
      </w:r>
      <w:r w:rsidRPr="001D5134">
        <w:rPr>
          <w:rFonts w:ascii="Abadi" w:hAnsi="Abadi"/>
          <w:b w:val="0"/>
          <w:bCs w:val="0"/>
          <w:spacing w:val="80"/>
          <w:sz w:val="21"/>
          <w:szCs w:val="21"/>
        </w:rPr>
        <w:t xml:space="preserve"> </w:t>
      </w:r>
      <w:r w:rsidRPr="001D5134">
        <w:rPr>
          <w:rFonts w:ascii="Abadi" w:hAnsi="Abadi"/>
          <w:b w:val="0"/>
          <w:bCs w:val="0"/>
          <w:sz w:val="21"/>
          <w:szCs w:val="21"/>
        </w:rPr>
        <w:t>presentado</w:t>
      </w:r>
      <w:r w:rsidRPr="001D5134">
        <w:rPr>
          <w:rFonts w:ascii="Abadi" w:hAnsi="Abadi"/>
          <w:b w:val="0"/>
          <w:bCs w:val="0"/>
          <w:spacing w:val="80"/>
          <w:sz w:val="21"/>
          <w:szCs w:val="21"/>
        </w:rPr>
        <w:t xml:space="preserve"> </w:t>
      </w:r>
      <w:r w:rsidRPr="001D5134">
        <w:rPr>
          <w:rFonts w:ascii="Abadi" w:hAnsi="Abadi"/>
          <w:b w:val="0"/>
          <w:bCs w:val="0"/>
          <w:sz w:val="21"/>
          <w:szCs w:val="21"/>
        </w:rPr>
        <w:t>por</w:t>
      </w:r>
      <w:r w:rsidRPr="001D5134">
        <w:rPr>
          <w:rFonts w:ascii="Abadi" w:hAnsi="Abadi"/>
          <w:b w:val="0"/>
          <w:bCs w:val="0"/>
          <w:spacing w:val="80"/>
          <w:sz w:val="21"/>
          <w:szCs w:val="21"/>
        </w:rPr>
        <w:t xml:space="preserve"> </w:t>
      </w:r>
      <w:r w:rsidRPr="001D5134">
        <w:rPr>
          <w:rFonts w:ascii="Abadi" w:hAnsi="Abadi"/>
          <w:b w:val="0"/>
          <w:bCs w:val="0"/>
          <w:sz w:val="21"/>
          <w:szCs w:val="21"/>
        </w:rPr>
        <w:t>la Comisión de Hacienda y Fiscalización relativo a la propuesta formulada por el</w:t>
      </w:r>
      <w:r w:rsidRPr="001D5134">
        <w:rPr>
          <w:rFonts w:ascii="Abadi" w:hAnsi="Abadi"/>
          <w:b w:val="0"/>
          <w:bCs w:val="0"/>
          <w:spacing w:val="33"/>
          <w:sz w:val="21"/>
          <w:szCs w:val="21"/>
        </w:rPr>
        <w:t xml:space="preserve"> </w:t>
      </w:r>
      <w:r w:rsidRPr="001D5134">
        <w:rPr>
          <w:rFonts w:ascii="Abadi" w:hAnsi="Abadi"/>
          <w:b w:val="0"/>
          <w:bCs w:val="0"/>
          <w:sz w:val="21"/>
          <w:szCs w:val="21"/>
        </w:rPr>
        <w:t>ayuntamiento</w:t>
      </w:r>
      <w:r w:rsidRPr="001D5134">
        <w:rPr>
          <w:rFonts w:ascii="Abadi" w:hAnsi="Abadi"/>
          <w:b w:val="0"/>
          <w:bCs w:val="0"/>
          <w:spacing w:val="34"/>
          <w:sz w:val="21"/>
          <w:szCs w:val="21"/>
        </w:rPr>
        <w:t xml:space="preserve"> </w:t>
      </w:r>
      <w:r w:rsidRPr="001D5134">
        <w:rPr>
          <w:rFonts w:ascii="Abadi" w:hAnsi="Abadi"/>
          <w:b w:val="0"/>
          <w:bCs w:val="0"/>
          <w:sz w:val="21"/>
          <w:szCs w:val="21"/>
        </w:rPr>
        <w:t>de</w:t>
      </w:r>
      <w:r w:rsidRPr="001D5134">
        <w:rPr>
          <w:rFonts w:ascii="Abadi" w:hAnsi="Abadi"/>
          <w:b w:val="0"/>
          <w:bCs w:val="0"/>
          <w:spacing w:val="34"/>
          <w:sz w:val="21"/>
          <w:szCs w:val="21"/>
        </w:rPr>
        <w:t xml:space="preserve"> </w:t>
      </w:r>
      <w:r w:rsidRPr="001D5134">
        <w:rPr>
          <w:rFonts w:ascii="Abadi" w:hAnsi="Abadi"/>
          <w:b w:val="0"/>
          <w:bCs w:val="0"/>
          <w:sz w:val="21"/>
          <w:szCs w:val="21"/>
        </w:rPr>
        <w:t>Apaseo</w:t>
      </w:r>
      <w:r w:rsidRPr="001D5134">
        <w:rPr>
          <w:rFonts w:ascii="Abadi" w:hAnsi="Abadi"/>
          <w:b w:val="0"/>
          <w:bCs w:val="0"/>
          <w:spacing w:val="34"/>
          <w:sz w:val="21"/>
          <w:szCs w:val="21"/>
        </w:rPr>
        <w:t xml:space="preserve"> </w:t>
      </w:r>
      <w:r w:rsidRPr="001D5134">
        <w:rPr>
          <w:rFonts w:ascii="Abadi" w:hAnsi="Abadi"/>
          <w:b w:val="0"/>
          <w:bCs w:val="0"/>
          <w:sz w:val="21"/>
          <w:szCs w:val="21"/>
        </w:rPr>
        <w:t>el</w:t>
      </w:r>
      <w:r w:rsidRPr="001D5134">
        <w:rPr>
          <w:rFonts w:ascii="Abadi" w:hAnsi="Abadi"/>
          <w:b w:val="0"/>
          <w:bCs w:val="0"/>
          <w:spacing w:val="33"/>
          <w:sz w:val="21"/>
          <w:szCs w:val="21"/>
        </w:rPr>
        <w:t xml:space="preserve"> </w:t>
      </w:r>
      <w:r w:rsidRPr="001D5134">
        <w:rPr>
          <w:rFonts w:ascii="Abadi" w:hAnsi="Abadi"/>
          <w:b w:val="0"/>
          <w:bCs w:val="0"/>
          <w:sz w:val="21"/>
          <w:szCs w:val="21"/>
        </w:rPr>
        <w:t>Alto,</w:t>
      </w:r>
      <w:r w:rsidRPr="001D5134">
        <w:rPr>
          <w:rFonts w:ascii="Abadi" w:hAnsi="Abadi"/>
          <w:b w:val="0"/>
          <w:bCs w:val="0"/>
          <w:spacing w:val="34"/>
          <w:sz w:val="21"/>
          <w:szCs w:val="21"/>
        </w:rPr>
        <w:t xml:space="preserve"> </w:t>
      </w:r>
      <w:r w:rsidRPr="001D5134">
        <w:rPr>
          <w:rFonts w:ascii="Abadi" w:hAnsi="Abadi"/>
          <w:b w:val="0"/>
          <w:bCs w:val="0"/>
          <w:sz w:val="21"/>
          <w:szCs w:val="21"/>
        </w:rPr>
        <w:t>Gto.,</w:t>
      </w:r>
      <w:r w:rsidRPr="001D5134">
        <w:rPr>
          <w:rFonts w:ascii="Abadi" w:hAnsi="Abadi"/>
          <w:b w:val="0"/>
          <w:bCs w:val="0"/>
          <w:spacing w:val="34"/>
          <w:sz w:val="21"/>
          <w:szCs w:val="21"/>
        </w:rPr>
        <w:t xml:space="preserve"> </w:t>
      </w:r>
      <w:r w:rsidRPr="001D5134">
        <w:rPr>
          <w:rFonts w:ascii="Abadi" w:hAnsi="Abadi"/>
          <w:b w:val="0"/>
          <w:bCs w:val="0"/>
          <w:sz w:val="21"/>
          <w:szCs w:val="21"/>
        </w:rPr>
        <w:t>a</w:t>
      </w:r>
      <w:r w:rsidRPr="001D5134">
        <w:rPr>
          <w:rFonts w:ascii="Abadi" w:hAnsi="Abadi"/>
          <w:b w:val="0"/>
          <w:bCs w:val="0"/>
          <w:spacing w:val="34"/>
          <w:sz w:val="21"/>
          <w:szCs w:val="21"/>
        </w:rPr>
        <w:t xml:space="preserve"> </w:t>
      </w:r>
      <w:r w:rsidRPr="001D5134">
        <w:rPr>
          <w:rFonts w:ascii="Abadi" w:hAnsi="Abadi"/>
          <w:b w:val="0"/>
          <w:bCs w:val="0"/>
          <w:sz w:val="21"/>
          <w:szCs w:val="21"/>
        </w:rPr>
        <w:t>efecto</w:t>
      </w:r>
      <w:r w:rsidRPr="001D5134">
        <w:rPr>
          <w:rFonts w:ascii="Abadi" w:hAnsi="Abadi"/>
          <w:b w:val="0"/>
          <w:bCs w:val="0"/>
          <w:spacing w:val="34"/>
          <w:sz w:val="21"/>
          <w:szCs w:val="21"/>
        </w:rPr>
        <w:t xml:space="preserve"> </w:t>
      </w:r>
      <w:r w:rsidRPr="001D5134">
        <w:rPr>
          <w:rFonts w:ascii="Abadi" w:hAnsi="Abadi"/>
          <w:b w:val="0"/>
          <w:bCs w:val="0"/>
          <w:sz w:val="21"/>
          <w:szCs w:val="21"/>
        </w:rPr>
        <w:t>de</w:t>
      </w:r>
      <w:r w:rsidRPr="001D5134">
        <w:rPr>
          <w:rFonts w:ascii="Abadi" w:hAnsi="Abadi"/>
          <w:b w:val="0"/>
          <w:bCs w:val="0"/>
          <w:spacing w:val="34"/>
          <w:sz w:val="21"/>
          <w:szCs w:val="21"/>
        </w:rPr>
        <w:t xml:space="preserve"> </w:t>
      </w:r>
      <w:r w:rsidRPr="001D5134">
        <w:rPr>
          <w:rFonts w:ascii="Abadi" w:hAnsi="Abadi"/>
          <w:b w:val="0"/>
          <w:bCs w:val="0"/>
          <w:sz w:val="21"/>
          <w:szCs w:val="21"/>
        </w:rPr>
        <w:t>que</w:t>
      </w:r>
      <w:r w:rsidRPr="001D5134">
        <w:rPr>
          <w:rFonts w:ascii="Abadi" w:hAnsi="Abadi"/>
          <w:b w:val="0"/>
          <w:bCs w:val="0"/>
          <w:spacing w:val="34"/>
          <w:sz w:val="21"/>
          <w:szCs w:val="21"/>
        </w:rPr>
        <w:t xml:space="preserve"> </w:t>
      </w:r>
      <w:r w:rsidRPr="001D5134">
        <w:rPr>
          <w:rFonts w:ascii="Abadi" w:hAnsi="Abadi"/>
          <w:b w:val="0"/>
          <w:bCs w:val="0"/>
          <w:sz w:val="21"/>
          <w:szCs w:val="21"/>
        </w:rPr>
        <w:t>se</w:t>
      </w:r>
      <w:r w:rsidRPr="001D5134">
        <w:rPr>
          <w:rFonts w:ascii="Abadi" w:hAnsi="Abadi"/>
          <w:b w:val="0"/>
          <w:bCs w:val="0"/>
          <w:spacing w:val="34"/>
          <w:sz w:val="21"/>
          <w:szCs w:val="21"/>
        </w:rPr>
        <w:t xml:space="preserve"> </w:t>
      </w:r>
      <w:r w:rsidRPr="001D5134">
        <w:rPr>
          <w:rFonts w:ascii="Abadi" w:hAnsi="Abadi"/>
          <w:b w:val="0"/>
          <w:bCs w:val="0"/>
          <w:sz w:val="21"/>
          <w:szCs w:val="21"/>
        </w:rPr>
        <w:t>ordene</w:t>
      </w:r>
      <w:r w:rsidRPr="001D5134">
        <w:rPr>
          <w:rFonts w:ascii="Abadi" w:hAnsi="Abadi"/>
          <w:b w:val="0"/>
          <w:bCs w:val="0"/>
          <w:spacing w:val="34"/>
          <w:sz w:val="21"/>
          <w:szCs w:val="21"/>
        </w:rPr>
        <w:t xml:space="preserve"> </w:t>
      </w:r>
      <w:r w:rsidRPr="001D5134">
        <w:rPr>
          <w:rFonts w:ascii="Abadi" w:hAnsi="Abadi"/>
          <w:b w:val="0"/>
          <w:bCs w:val="0"/>
          <w:sz w:val="21"/>
          <w:szCs w:val="21"/>
        </w:rPr>
        <w:t>una auditoría integral a la administración municipal 2018-2021.</w:t>
      </w:r>
      <w:r>
        <w:rPr>
          <w:rFonts w:ascii="Abadi" w:hAnsi="Abadi"/>
          <w:sz w:val="21"/>
          <w:szCs w:val="21"/>
        </w:rPr>
        <w:t xml:space="preserve"> </w:t>
      </w:r>
      <w:r w:rsidRPr="009A3D12">
        <w:rPr>
          <w:rFonts w:ascii="Abadi" w:hAnsi="Abadi"/>
          <w:sz w:val="21"/>
          <w:szCs w:val="21"/>
        </w:rPr>
        <w:t>XLIII.-</w:t>
      </w:r>
      <w:r>
        <w:rPr>
          <w:rFonts w:ascii="Abadi" w:hAnsi="Abadi"/>
          <w:sz w:val="21"/>
          <w:szCs w:val="21"/>
        </w:rPr>
        <w:t xml:space="preserve"> </w:t>
      </w:r>
      <w:r w:rsidRPr="001D5134">
        <w:rPr>
          <w:rFonts w:ascii="Abadi" w:hAnsi="Abadi"/>
          <w:b w:val="0"/>
          <w:bCs w:val="0"/>
          <w:sz w:val="21"/>
          <w:szCs w:val="21"/>
        </w:rPr>
        <w:t>Discusión</w:t>
      </w:r>
      <w:r w:rsidRPr="001D5134">
        <w:rPr>
          <w:rFonts w:ascii="Abadi" w:hAnsi="Abadi"/>
          <w:b w:val="0"/>
          <w:bCs w:val="0"/>
          <w:spacing w:val="12"/>
          <w:sz w:val="21"/>
          <w:szCs w:val="21"/>
        </w:rPr>
        <w:t xml:space="preserve"> </w:t>
      </w:r>
      <w:r w:rsidRPr="001D5134">
        <w:rPr>
          <w:rFonts w:ascii="Abadi" w:hAnsi="Abadi"/>
          <w:b w:val="0"/>
          <w:bCs w:val="0"/>
          <w:sz w:val="21"/>
          <w:szCs w:val="21"/>
        </w:rPr>
        <w:t>y,</w:t>
      </w:r>
      <w:r w:rsidRPr="001D5134">
        <w:rPr>
          <w:rFonts w:ascii="Abadi" w:hAnsi="Abadi"/>
          <w:b w:val="0"/>
          <w:bCs w:val="0"/>
          <w:spacing w:val="12"/>
          <w:sz w:val="21"/>
          <w:szCs w:val="21"/>
        </w:rPr>
        <w:t xml:space="preserve"> </w:t>
      </w:r>
      <w:r w:rsidRPr="001D5134">
        <w:rPr>
          <w:rFonts w:ascii="Abadi" w:hAnsi="Abadi"/>
          <w:b w:val="0"/>
          <w:bCs w:val="0"/>
          <w:sz w:val="21"/>
          <w:szCs w:val="21"/>
        </w:rPr>
        <w:t>en</w:t>
      </w:r>
      <w:r w:rsidRPr="001D5134">
        <w:rPr>
          <w:rFonts w:ascii="Abadi" w:hAnsi="Abadi"/>
          <w:b w:val="0"/>
          <w:bCs w:val="0"/>
          <w:spacing w:val="12"/>
          <w:sz w:val="21"/>
          <w:szCs w:val="21"/>
        </w:rPr>
        <w:t xml:space="preserve"> </w:t>
      </w:r>
      <w:r w:rsidRPr="001D5134">
        <w:rPr>
          <w:rFonts w:ascii="Abadi" w:hAnsi="Abadi"/>
          <w:b w:val="0"/>
          <w:bCs w:val="0"/>
          <w:sz w:val="21"/>
          <w:szCs w:val="21"/>
        </w:rPr>
        <w:t>su</w:t>
      </w:r>
      <w:r w:rsidRPr="001D5134">
        <w:rPr>
          <w:rFonts w:ascii="Abadi" w:hAnsi="Abadi"/>
          <w:b w:val="0"/>
          <w:bCs w:val="0"/>
          <w:spacing w:val="12"/>
          <w:sz w:val="21"/>
          <w:szCs w:val="21"/>
        </w:rPr>
        <w:t xml:space="preserve"> </w:t>
      </w:r>
      <w:r w:rsidRPr="001D5134">
        <w:rPr>
          <w:rFonts w:ascii="Abadi" w:hAnsi="Abadi"/>
          <w:b w:val="0"/>
          <w:bCs w:val="0"/>
          <w:sz w:val="21"/>
          <w:szCs w:val="21"/>
        </w:rPr>
        <w:t>caso,</w:t>
      </w:r>
      <w:r w:rsidRPr="001D5134">
        <w:rPr>
          <w:rFonts w:ascii="Abadi" w:hAnsi="Abadi"/>
          <w:b w:val="0"/>
          <w:bCs w:val="0"/>
          <w:spacing w:val="11"/>
          <w:sz w:val="21"/>
          <w:szCs w:val="21"/>
        </w:rPr>
        <w:t xml:space="preserve"> </w:t>
      </w:r>
      <w:r w:rsidRPr="001D5134">
        <w:rPr>
          <w:rFonts w:ascii="Abadi" w:hAnsi="Abadi"/>
          <w:b w:val="0"/>
          <w:bCs w:val="0"/>
          <w:sz w:val="21"/>
          <w:szCs w:val="21"/>
        </w:rPr>
        <w:t>aprobación</w:t>
      </w:r>
      <w:r w:rsidRPr="001D5134">
        <w:rPr>
          <w:rFonts w:ascii="Abadi" w:hAnsi="Abadi"/>
          <w:b w:val="0"/>
          <w:bCs w:val="0"/>
          <w:spacing w:val="12"/>
          <w:sz w:val="21"/>
          <w:szCs w:val="21"/>
        </w:rPr>
        <w:t xml:space="preserve"> </w:t>
      </w:r>
      <w:r w:rsidRPr="001D5134">
        <w:rPr>
          <w:rFonts w:ascii="Abadi" w:hAnsi="Abadi"/>
          <w:b w:val="0"/>
          <w:bCs w:val="0"/>
          <w:sz w:val="21"/>
          <w:szCs w:val="21"/>
        </w:rPr>
        <w:t>del</w:t>
      </w:r>
      <w:r w:rsidRPr="001D5134">
        <w:rPr>
          <w:rFonts w:ascii="Abadi" w:hAnsi="Abadi"/>
          <w:b w:val="0"/>
          <w:bCs w:val="0"/>
          <w:spacing w:val="12"/>
          <w:sz w:val="21"/>
          <w:szCs w:val="21"/>
        </w:rPr>
        <w:t xml:space="preserve"> </w:t>
      </w:r>
      <w:r w:rsidRPr="001D5134">
        <w:rPr>
          <w:rFonts w:ascii="Abadi" w:hAnsi="Abadi"/>
          <w:b w:val="0"/>
          <w:bCs w:val="0"/>
          <w:sz w:val="21"/>
          <w:szCs w:val="21"/>
        </w:rPr>
        <w:t>dictamen</w:t>
      </w:r>
      <w:r w:rsidRPr="001D5134">
        <w:rPr>
          <w:rFonts w:ascii="Abadi" w:hAnsi="Abadi"/>
          <w:b w:val="0"/>
          <w:bCs w:val="0"/>
          <w:spacing w:val="12"/>
          <w:sz w:val="21"/>
          <w:szCs w:val="21"/>
        </w:rPr>
        <w:t xml:space="preserve"> </w:t>
      </w:r>
      <w:r w:rsidRPr="001D5134">
        <w:rPr>
          <w:rFonts w:ascii="Abadi" w:hAnsi="Abadi"/>
          <w:b w:val="0"/>
          <w:bCs w:val="0"/>
          <w:sz w:val="21"/>
          <w:szCs w:val="21"/>
        </w:rPr>
        <w:t>suscrito</w:t>
      </w:r>
      <w:r w:rsidRPr="001D5134">
        <w:rPr>
          <w:rFonts w:ascii="Abadi" w:hAnsi="Abadi"/>
          <w:b w:val="0"/>
          <w:bCs w:val="0"/>
          <w:spacing w:val="12"/>
          <w:sz w:val="21"/>
          <w:szCs w:val="21"/>
        </w:rPr>
        <w:t xml:space="preserve"> </w:t>
      </w:r>
      <w:r w:rsidRPr="001D5134">
        <w:rPr>
          <w:rFonts w:ascii="Abadi" w:hAnsi="Abadi"/>
          <w:b w:val="0"/>
          <w:bCs w:val="0"/>
          <w:sz w:val="21"/>
          <w:szCs w:val="21"/>
        </w:rPr>
        <w:t>por</w:t>
      </w:r>
      <w:r w:rsidRPr="001D5134">
        <w:rPr>
          <w:rFonts w:ascii="Abadi" w:hAnsi="Abadi"/>
          <w:b w:val="0"/>
          <w:bCs w:val="0"/>
          <w:spacing w:val="12"/>
          <w:sz w:val="21"/>
          <w:szCs w:val="21"/>
        </w:rPr>
        <w:t xml:space="preserve"> </w:t>
      </w:r>
      <w:r w:rsidRPr="001D5134">
        <w:rPr>
          <w:rFonts w:ascii="Abadi" w:hAnsi="Abadi"/>
          <w:b w:val="0"/>
          <w:bCs w:val="0"/>
          <w:sz w:val="21"/>
          <w:szCs w:val="21"/>
        </w:rPr>
        <w:t>la</w:t>
      </w:r>
      <w:r w:rsidRPr="001D5134">
        <w:rPr>
          <w:rFonts w:ascii="Abadi" w:hAnsi="Abadi"/>
          <w:b w:val="0"/>
          <w:bCs w:val="0"/>
          <w:spacing w:val="12"/>
          <w:sz w:val="21"/>
          <w:szCs w:val="21"/>
        </w:rPr>
        <w:t xml:space="preserve"> </w:t>
      </w:r>
      <w:r w:rsidRPr="001D5134">
        <w:rPr>
          <w:rFonts w:ascii="Abadi" w:hAnsi="Abadi"/>
          <w:b w:val="0"/>
          <w:bCs w:val="0"/>
          <w:sz w:val="21"/>
          <w:szCs w:val="21"/>
        </w:rPr>
        <w:t>Comisión de</w:t>
      </w:r>
      <w:r w:rsidRPr="001D5134">
        <w:rPr>
          <w:rFonts w:ascii="Abadi" w:hAnsi="Abadi"/>
          <w:b w:val="0"/>
          <w:bCs w:val="0"/>
          <w:spacing w:val="80"/>
          <w:sz w:val="21"/>
          <w:szCs w:val="21"/>
        </w:rPr>
        <w:t xml:space="preserve"> </w:t>
      </w:r>
      <w:r w:rsidRPr="001D5134">
        <w:rPr>
          <w:rFonts w:ascii="Abadi" w:hAnsi="Abadi"/>
          <w:b w:val="0"/>
          <w:bCs w:val="0"/>
          <w:sz w:val="21"/>
          <w:szCs w:val="21"/>
        </w:rPr>
        <w:t>Hacienda</w:t>
      </w:r>
      <w:r w:rsidRPr="001D5134">
        <w:rPr>
          <w:rFonts w:ascii="Abadi" w:hAnsi="Abadi"/>
          <w:b w:val="0"/>
          <w:bCs w:val="0"/>
          <w:spacing w:val="80"/>
          <w:sz w:val="21"/>
          <w:szCs w:val="21"/>
        </w:rPr>
        <w:t xml:space="preserve"> </w:t>
      </w:r>
      <w:r w:rsidRPr="001D5134">
        <w:rPr>
          <w:rFonts w:ascii="Abadi" w:hAnsi="Abadi"/>
          <w:b w:val="0"/>
          <w:bCs w:val="0"/>
          <w:sz w:val="21"/>
          <w:szCs w:val="21"/>
        </w:rPr>
        <w:t>y</w:t>
      </w:r>
      <w:r w:rsidRPr="001D5134">
        <w:rPr>
          <w:rFonts w:ascii="Abadi" w:hAnsi="Abadi"/>
          <w:b w:val="0"/>
          <w:bCs w:val="0"/>
          <w:spacing w:val="80"/>
          <w:sz w:val="21"/>
          <w:szCs w:val="21"/>
        </w:rPr>
        <w:t xml:space="preserve"> </w:t>
      </w:r>
      <w:r w:rsidRPr="001D5134">
        <w:rPr>
          <w:rFonts w:ascii="Abadi" w:hAnsi="Abadi"/>
          <w:b w:val="0"/>
          <w:bCs w:val="0"/>
          <w:sz w:val="21"/>
          <w:szCs w:val="21"/>
        </w:rPr>
        <w:t>Fiscalización</w:t>
      </w:r>
      <w:r w:rsidRPr="001D5134">
        <w:rPr>
          <w:rFonts w:ascii="Abadi" w:hAnsi="Abadi"/>
          <w:b w:val="0"/>
          <w:bCs w:val="0"/>
          <w:spacing w:val="80"/>
          <w:sz w:val="21"/>
          <w:szCs w:val="21"/>
        </w:rPr>
        <w:t xml:space="preserve"> </w:t>
      </w:r>
      <w:r w:rsidRPr="001D5134">
        <w:rPr>
          <w:rFonts w:ascii="Abadi" w:hAnsi="Abadi"/>
          <w:b w:val="0"/>
          <w:bCs w:val="0"/>
          <w:sz w:val="21"/>
          <w:szCs w:val="21"/>
        </w:rPr>
        <w:t>relativo</w:t>
      </w:r>
      <w:r w:rsidRPr="001D5134">
        <w:rPr>
          <w:rFonts w:ascii="Abadi" w:hAnsi="Abadi"/>
          <w:b w:val="0"/>
          <w:bCs w:val="0"/>
          <w:spacing w:val="80"/>
          <w:sz w:val="21"/>
          <w:szCs w:val="21"/>
        </w:rPr>
        <w:t xml:space="preserve"> </w:t>
      </w:r>
      <w:r w:rsidRPr="001D5134">
        <w:rPr>
          <w:rFonts w:ascii="Abadi" w:hAnsi="Abadi"/>
          <w:b w:val="0"/>
          <w:bCs w:val="0"/>
          <w:sz w:val="21"/>
          <w:szCs w:val="21"/>
        </w:rPr>
        <w:t>a</w:t>
      </w:r>
      <w:r w:rsidRPr="001D5134">
        <w:rPr>
          <w:rFonts w:ascii="Abadi" w:hAnsi="Abadi"/>
          <w:b w:val="0"/>
          <w:bCs w:val="0"/>
          <w:spacing w:val="80"/>
          <w:sz w:val="21"/>
          <w:szCs w:val="21"/>
        </w:rPr>
        <w:t xml:space="preserve"> </w:t>
      </w:r>
      <w:r w:rsidRPr="001D5134">
        <w:rPr>
          <w:rFonts w:ascii="Abadi" w:hAnsi="Abadi"/>
          <w:b w:val="0"/>
          <w:bCs w:val="0"/>
          <w:sz w:val="21"/>
          <w:szCs w:val="21"/>
        </w:rPr>
        <w:t>la</w:t>
      </w:r>
      <w:r w:rsidRPr="001D5134">
        <w:rPr>
          <w:rFonts w:ascii="Abadi" w:hAnsi="Abadi"/>
          <w:b w:val="0"/>
          <w:bCs w:val="0"/>
          <w:spacing w:val="80"/>
          <w:sz w:val="21"/>
          <w:szCs w:val="21"/>
        </w:rPr>
        <w:t xml:space="preserve"> </w:t>
      </w:r>
      <w:r w:rsidRPr="001D5134">
        <w:rPr>
          <w:rFonts w:ascii="Abadi" w:hAnsi="Abadi"/>
          <w:b w:val="0"/>
          <w:bCs w:val="0"/>
          <w:sz w:val="21"/>
          <w:szCs w:val="21"/>
        </w:rPr>
        <w:t>propuesta</w:t>
      </w:r>
      <w:r w:rsidRPr="001D5134">
        <w:rPr>
          <w:rFonts w:ascii="Abadi" w:hAnsi="Abadi"/>
          <w:b w:val="0"/>
          <w:bCs w:val="0"/>
          <w:spacing w:val="80"/>
          <w:sz w:val="21"/>
          <w:szCs w:val="21"/>
        </w:rPr>
        <w:t xml:space="preserve"> </w:t>
      </w:r>
      <w:r w:rsidRPr="001D5134">
        <w:rPr>
          <w:rFonts w:ascii="Abadi" w:hAnsi="Abadi"/>
          <w:b w:val="0"/>
          <w:bCs w:val="0"/>
          <w:sz w:val="21"/>
          <w:szCs w:val="21"/>
        </w:rPr>
        <w:t>formulada</w:t>
      </w:r>
      <w:r w:rsidRPr="001D5134">
        <w:rPr>
          <w:rFonts w:ascii="Abadi" w:hAnsi="Abadi"/>
          <w:b w:val="0"/>
          <w:bCs w:val="0"/>
          <w:spacing w:val="80"/>
          <w:sz w:val="21"/>
          <w:szCs w:val="21"/>
        </w:rPr>
        <w:t xml:space="preserve"> </w:t>
      </w:r>
      <w:r w:rsidRPr="001D5134">
        <w:rPr>
          <w:rFonts w:ascii="Abadi" w:hAnsi="Abadi"/>
          <w:b w:val="0"/>
          <w:bCs w:val="0"/>
          <w:sz w:val="21"/>
          <w:szCs w:val="21"/>
        </w:rPr>
        <w:t>por</w:t>
      </w:r>
      <w:r w:rsidRPr="001D5134">
        <w:rPr>
          <w:rFonts w:ascii="Abadi" w:hAnsi="Abadi"/>
          <w:b w:val="0"/>
          <w:bCs w:val="0"/>
          <w:spacing w:val="80"/>
          <w:sz w:val="21"/>
          <w:szCs w:val="21"/>
        </w:rPr>
        <w:t xml:space="preserve"> </w:t>
      </w:r>
      <w:r w:rsidRPr="001D5134">
        <w:rPr>
          <w:rFonts w:ascii="Abadi" w:hAnsi="Abadi"/>
          <w:b w:val="0"/>
          <w:bCs w:val="0"/>
          <w:sz w:val="21"/>
          <w:szCs w:val="21"/>
        </w:rPr>
        <w:t>el ayuntamiento</w:t>
      </w:r>
      <w:r w:rsidRPr="001D5134">
        <w:rPr>
          <w:rFonts w:ascii="Abadi" w:hAnsi="Abadi"/>
          <w:b w:val="0"/>
          <w:bCs w:val="0"/>
          <w:spacing w:val="10"/>
          <w:sz w:val="21"/>
          <w:szCs w:val="21"/>
        </w:rPr>
        <w:t xml:space="preserve"> </w:t>
      </w:r>
      <w:r w:rsidRPr="001D5134">
        <w:rPr>
          <w:rFonts w:ascii="Abadi" w:hAnsi="Abadi"/>
          <w:b w:val="0"/>
          <w:bCs w:val="0"/>
          <w:sz w:val="21"/>
          <w:szCs w:val="21"/>
        </w:rPr>
        <w:t>de</w:t>
      </w:r>
      <w:r w:rsidRPr="001D5134">
        <w:rPr>
          <w:rFonts w:ascii="Abadi" w:hAnsi="Abadi"/>
          <w:b w:val="0"/>
          <w:bCs w:val="0"/>
          <w:spacing w:val="10"/>
          <w:sz w:val="21"/>
          <w:szCs w:val="21"/>
        </w:rPr>
        <w:t xml:space="preserve"> </w:t>
      </w:r>
      <w:r w:rsidRPr="001D5134">
        <w:rPr>
          <w:rFonts w:ascii="Abadi" w:hAnsi="Abadi"/>
          <w:b w:val="0"/>
          <w:bCs w:val="0"/>
          <w:sz w:val="21"/>
          <w:szCs w:val="21"/>
        </w:rPr>
        <w:t>Santa</w:t>
      </w:r>
      <w:r w:rsidRPr="001D5134">
        <w:rPr>
          <w:rFonts w:ascii="Abadi" w:hAnsi="Abadi"/>
          <w:b w:val="0"/>
          <w:bCs w:val="0"/>
          <w:spacing w:val="10"/>
          <w:sz w:val="21"/>
          <w:szCs w:val="21"/>
        </w:rPr>
        <w:t xml:space="preserve"> </w:t>
      </w:r>
      <w:r w:rsidRPr="001D5134">
        <w:rPr>
          <w:rFonts w:ascii="Abadi" w:hAnsi="Abadi"/>
          <w:b w:val="0"/>
          <w:bCs w:val="0"/>
          <w:sz w:val="21"/>
          <w:szCs w:val="21"/>
        </w:rPr>
        <w:t>Cruz</w:t>
      </w:r>
      <w:r w:rsidRPr="001D5134">
        <w:rPr>
          <w:rFonts w:ascii="Abadi" w:hAnsi="Abadi"/>
          <w:b w:val="0"/>
          <w:bCs w:val="0"/>
          <w:spacing w:val="10"/>
          <w:sz w:val="21"/>
          <w:szCs w:val="21"/>
        </w:rPr>
        <w:t xml:space="preserve"> </w:t>
      </w:r>
      <w:r w:rsidRPr="001D5134">
        <w:rPr>
          <w:rFonts w:ascii="Abadi" w:hAnsi="Abadi"/>
          <w:b w:val="0"/>
          <w:bCs w:val="0"/>
          <w:sz w:val="21"/>
          <w:szCs w:val="21"/>
        </w:rPr>
        <w:t>de</w:t>
      </w:r>
      <w:r w:rsidRPr="001D5134">
        <w:rPr>
          <w:rFonts w:ascii="Abadi" w:hAnsi="Abadi"/>
          <w:b w:val="0"/>
          <w:bCs w:val="0"/>
          <w:spacing w:val="10"/>
          <w:sz w:val="21"/>
          <w:szCs w:val="21"/>
        </w:rPr>
        <w:t xml:space="preserve"> </w:t>
      </w:r>
      <w:r w:rsidRPr="001D5134">
        <w:rPr>
          <w:rFonts w:ascii="Abadi" w:hAnsi="Abadi"/>
          <w:b w:val="0"/>
          <w:bCs w:val="0"/>
          <w:sz w:val="21"/>
          <w:szCs w:val="21"/>
        </w:rPr>
        <w:t>Juventino</w:t>
      </w:r>
      <w:r w:rsidRPr="001D5134">
        <w:rPr>
          <w:rFonts w:ascii="Abadi" w:hAnsi="Abadi"/>
          <w:b w:val="0"/>
          <w:bCs w:val="0"/>
          <w:spacing w:val="10"/>
          <w:sz w:val="21"/>
          <w:szCs w:val="21"/>
        </w:rPr>
        <w:t xml:space="preserve"> </w:t>
      </w:r>
      <w:r w:rsidRPr="001D5134">
        <w:rPr>
          <w:rFonts w:ascii="Abadi" w:hAnsi="Abadi"/>
          <w:b w:val="0"/>
          <w:bCs w:val="0"/>
          <w:sz w:val="21"/>
          <w:szCs w:val="21"/>
        </w:rPr>
        <w:t>Rosas,</w:t>
      </w:r>
      <w:r w:rsidRPr="001D5134">
        <w:rPr>
          <w:rFonts w:ascii="Abadi" w:hAnsi="Abadi"/>
          <w:b w:val="0"/>
          <w:bCs w:val="0"/>
          <w:spacing w:val="10"/>
          <w:sz w:val="21"/>
          <w:szCs w:val="21"/>
        </w:rPr>
        <w:t xml:space="preserve"> </w:t>
      </w:r>
      <w:r w:rsidRPr="001D5134">
        <w:rPr>
          <w:rFonts w:ascii="Abadi" w:hAnsi="Abadi"/>
          <w:b w:val="0"/>
          <w:bCs w:val="0"/>
          <w:sz w:val="21"/>
          <w:szCs w:val="21"/>
        </w:rPr>
        <w:t>Gto.,</w:t>
      </w:r>
      <w:r w:rsidRPr="001D5134">
        <w:rPr>
          <w:rFonts w:ascii="Abadi" w:hAnsi="Abadi"/>
          <w:b w:val="0"/>
          <w:bCs w:val="0"/>
          <w:spacing w:val="10"/>
          <w:sz w:val="21"/>
          <w:szCs w:val="21"/>
        </w:rPr>
        <w:t xml:space="preserve"> </w:t>
      </w:r>
      <w:r w:rsidRPr="001D5134">
        <w:rPr>
          <w:rFonts w:ascii="Abadi" w:hAnsi="Abadi"/>
          <w:b w:val="0"/>
          <w:bCs w:val="0"/>
          <w:sz w:val="21"/>
          <w:szCs w:val="21"/>
        </w:rPr>
        <w:t>a</w:t>
      </w:r>
      <w:r w:rsidRPr="001D5134">
        <w:rPr>
          <w:rFonts w:ascii="Abadi" w:hAnsi="Abadi"/>
          <w:b w:val="0"/>
          <w:bCs w:val="0"/>
          <w:spacing w:val="10"/>
          <w:sz w:val="21"/>
          <w:szCs w:val="21"/>
        </w:rPr>
        <w:t xml:space="preserve"> </w:t>
      </w:r>
      <w:r w:rsidRPr="001D5134">
        <w:rPr>
          <w:rFonts w:ascii="Abadi" w:hAnsi="Abadi"/>
          <w:b w:val="0"/>
          <w:bCs w:val="0"/>
          <w:sz w:val="21"/>
          <w:szCs w:val="21"/>
        </w:rPr>
        <w:t>efecto</w:t>
      </w:r>
      <w:r w:rsidRPr="001D5134">
        <w:rPr>
          <w:rFonts w:ascii="Abadi" w:hAnsi="Abadi"/>
          <w:b w:val="0"/>
          <w:bCs w:val="0"/>
          <w:spacing w:val="10"/>
          <w:sz w:val="21"/>
          <w:szCs w:val="21"/>
        </w:rPr>
        <w:t xml:space="preserve"> </w:t>
      </w:r>
      <w:r w:rsidRPr="001D5134">
        <w:rPr>
          <w:rFonts w:ascii="Abadi" w:hAnsi="Abadi"/>
          <w:b w:val="0"/>
          <w:bCs w:val="0"/>
          <w:sz w:val="21"/>
          <w:szCs w:val="21"/>
        </w:rPr>
        <w:t>de</w:t>
      </w:r>
      <w:r w:rsidRPr="001D5134">
        <w:rPr>
          <w:rFonts w:ascii="Abadi" w:hAnsi="Abadi"/>
          <w:b w:val="0"/>
          <w:bCs w:val="0"/>
          <w:spacing w:val="10"/>
          <w:sz w:val="21"/>
          <w:szCs w:val="21"/>
        </w:rPr>
        <w:t xml:space="preserve"> </w:t>
      </w:r>
      <w:r w:rsidRPr="001D5134">
        <w:rPr>
          <w:rFonts w:ascii="Abadi" w:hAnsi="Abadi"/>
          <w:b w:val="0"/>
          <w:bCs w:val="0"/>
          <w:sz w:val="21"/>
          <w:szCs w:val="21"/>
        </w:rPr>
        <w:t>que</w:t>
      </w:r>
      <w:r w:rsidRPr="001D5134">
        <w:rPr>
          <w:rFonts w:ascii="Abadi" w:hAnsi="Abadi"/>
          <w:b w:val="0"/>
          <w:bCs w:val="0"/>
          <w:spacing w:val="10"/>
          <w:sz w:val="21"/>
          <w:szCs w:val="21"/>
        </w:rPr>
        <w:t xml:space="preserve"> </w:t>
      </w:r>
      <w:r w:rsidRPr="001D5134">
        <w:rPr>
          <w:rFonts w:ascii="Abadi" w:hAnsi="Abadi"/>
          <w:b w:val="0"/>
          <w:bCs w:val="0"/>
          <w:sz w:val="21"/>
          <w:szCs w:val="21"/>
        </w:rPr>
        <w:t>se ordene una auditoría a la administración municipal 2018-2021.</w:t>
      </w:r>
      <w:r>
        <w:rPr>
          <w:rFonts w:ascii="Abadi" w:hAnsi="Abadi"/>
          <w:sz w:val="21"/>
          <w:szCs w:val="21"/>
        </w:rPr>
        <w:t xml:space="preserve"> </w:t>
      </w:r>
      <w:r w:rsidRPr="009A3D12">
        <w:rPr>
          <w:rFonts w:ascii="Abadi" w:hAnsi="Abadi"/>
          <w:sz w:val="21"/>
          <w:szCs w:val="21"/>
        </w:rPr>
        <w:t>XLIV.-</w:t>
      </w:r>
      <w:r>
        <w:rPr>
          <w:rFonts w:ascii="Abadi" w:hAnsi="Abadi"/>
          <w:sz w:val="21"/>
          <w:szCs w:val="21"/>
        </w:rPr>
        <w:t xml:space="preserve"> </w:t>
      </w:r>
      <w:r w:rsidRPr="00764855">
        <w:rPr>
          <w:rFonts w:ascii="Abadi" w:hAnsi="Abadi"/>
          <w:b w:val="0"/>
          <w:bCs w:val="0"/>
          <w:sz w:val="21"/>
          <w:szCs w:val="21"/>
        </w:rPr>
        <w:t>Discusión</w:t>
      </w:r>
      <w:r w:rsidRPr="00764855">
        <w:rPr>
          <w:rFonts w:ascii="Abadi" w:hAnsi="Abadi"/>
          <w:b w:val="0"/>
          <w:bCs w:val="0"/>
          <w:spacing w:val="10"/>
          <w:sz w:val="21"/>
          <w:szCs w:val="21"/>
        </w:rPr>
        <w:t xml:space="preserve"> </w:t>
      </w:r>
      <w:r w:rsidRPr="00764855">
        <w:rPr>
          <w:rFonts w:ascii="Abadi" w:hAnsi="Abadi"/>
          <w:b w:val="0"/>
          <w:bCs w:val="0"/>
          <w:sz w:val="21"/>
          <w:szCs w:val="21"/>
        </w:rPr>
        <w:t>y,</w:t>
      </w:r>
      <w:r w:rsidRPr="00764855">
        <w:rPr>
          <w:rFonts w:ascii="Abadi" w:hAnsi="Abadi"/>
          <w:b w:val="0"/>
          <w:bCs w:val="0"/>
          <w:spacing w:val="10"/>
          <w:sz w:val="21"/>
          <w:szCs w:val="21"/>
        </w:rPr>
        <w:t xml:space="preserve"> </w:t>
      </w:r>
      <w:r w:rsidRPr="00764855">
        <w:rPr>
          <w:rFonts w:ascii="Abadi" w:hAnsi="Abadi"/>
          <w:b w:val="0"/>
          <w:bCs w:val="0"/>
          <w:sz w:val="21"/>
          <w:szCs w:val="21"/>
        </w:rPr>
        <w:t>en</w:t>
      </w:r>
      <w:r w:rsidRPr="00764855">
        <w:rPr>
          <w:rFonts w:ascii="Abadi" w:hAnsi="Abadi"/>
          <w:b w:val="0"/>
          <w:bCs w:val="0"/>
          <w:spacing w:val="10"/>
          <w:sz w:val="21"/>
          <w:szCs w:val="21"/>
        </w:rPr>
        <w:t xml:space="preserve"> </w:t>
      </w:r>
      <w:r w:rsidRPr="00764855">
        <w:rPr>
          <w:rFonts w:ascii="Abadi" w:hAnsi="Abadi"/>
          <w:b w:val="0"/>
          <w:bCs w:val="0"/>
          <w:sz w:val="21"/>
          <w:szCs w:val="21"/>
        </w:rPr>
        <w:t>su</w:t>
      </w:r>
      <w:r w:rsidRPr="00764855">
        <w:rPr>
          <w:rFonts w:ascii="Abadi" w:hAnsi="Abadi"/>
          <w:b w:val="0"/>
          <w:bCs w:val="0"/>
          <w:spacing w:val="10"/>
          <w:sz w:val="21"/>
          <w:szCs w:val="21"/>
        </w:rPr>
        <w:t xml:space="preserve"> </w:t>
      </w:r>
      <w:r w:rsidRPr="00764855">
        <w:rPr>
          <w:rFonts w:ascii="Abadi" w:hAnsi="Abadi"/>
          <w:b w:val="0"/>
          <w:bCs w:val="0"/>
          <w:sz w:val="21"/>
          <w:szCs w:val="21"/>
        </w:rPr>
        <w:t>caso,</w:t>
      </w:r>
      <w:r w:rsidRPr="00764855">
        <w:rPr>
          <w:rFonts w:ascii="Abadi" w:hAnsi="Abadi"/>
          <w:b w:val="0"/>
          <w:bCs w:val="0"/>
          <w:spacing w:val="10"/>
          <w:sz w:val="21"/>
          <w:szCs w:val="21"/>
        </w:rPr>
        <w:t xml:space="preserve"> </w:t>
      </w:r>
      <w:r w:rsidRPr="00764855">
        <w:rPr>
          <w:rFonts w:ascii="Abadi" w:hAnsi="Abadi"/>
          <w:b w:val="0"/>
          <w:bCs w:val="0"/>
          <w:sz w:val="21"/>
          <w:szCs w:val="21"/>
        </w:rPr>
        <w:t>aprobación</w:t>
      </w:r>
      <w:r w:rsidRPr="00637DC0">
        <w:rPr>
          <w:rFonts w:ascii="Abadi" w:hAnsi="Abadi"/>
          <w:spacing w:val="10"/>
          <w:sz w:val="21"/>
          <w:szCs w:val="21"/>
        </w:rPr>
        <w:t xml:space="preserve"> </w:t>
      </w:r>
      <w:r w:rsidRPr="001D5134">
        <w:rPr>
          <w:rFonts w:ascii="Abadi" w:hAnsi="Abadi"/>
          <w:b w:val="0"/>
          <w:bCs w:val="0"/>
          <w:sz w:val="21"/>
          <w:szCs w:val="21"/>
        </w:rPr>
        <w:t>del</w:t>
      </w:r>
      <w:r w:rsidRPr="001D5134">
        <w:rPr>
          <w:rFonts w:ascii="Abadi" w:hAnsi="Abadi"/>
          <w:b w:val="0"/>
          <w:bCs w:val="0"/>
          <w:spacing w:val="10"/>
          <w:sz w:val="21"/>
          <w:szCs w:val="21"/>
        </w:rPr>
        <w:t xml:space="preserve"> </w:t>
      </w:r>
      <w:r w:rsidRPr="001D5134">
        <w:rPr>
          <w:rFonts w:ascii="Abadi" w:hAnsi="Abadi"/>
          <w:b w:val="0"/>
          <w:bCs w:val="0"/>
          <w:sz w:val="21"/>
          <w:szCs w:val="21"/>
        </w:rPr>
        <w:t>dictamen</w:t>
      </w:r>
      <w:r w:rsidRPr="001D5134">
        <w:rPr>
          <w:rFonts w:ascii="Abadi" w:hAnsi="Abadi"/>
          <w:b w:val="0"/>
          <w:bCs w:val="0"/>
          <w:spacing w:val="10"/>
          <w:sz w:val="21"/>
          <w:szCs w:val="21"/>
        </w:rPr>
        <w:t xml:space="preserve"> </w:t>
      </w:r>
      <w:r w:rsidRPr="001D5134">
        <w:rPr>
          <w:rFonts w:ascii="Abadi" w:hAnsi="Abadi"/>
          <w:b w:val="0"/>
          <w:bCs w:val="0"/>
          <w:sz w:val="21"/>
          <w:szCs w:val="21"/>
        </w:rPr>
        <w:t>signado</w:t>
      </w:r>
      <w:r w:rsidRPr="001D5134">
        <w:rPr>
          <w:rFonts w:ascii="Abadi" w:hAnsi="Abadi"/>
          <w:b w:val="0"/>
          <w:bCs w:val="0"/>
          <w:spacing w:val="10"/>
          <w:sz w:val="21"/>
          <w:szCs w:val="21"/>
        </w:rPr>
        <w:t xml:space="preserve"> </w:t>
      </w:r>
      <w:r w:rsidRPr="001D5134">
        <w:rPr>
          <w:rFonts w:ascii="Abadi" w:hAnsi="Abadi"/>
          <w:b w:val="0"/>
          <w:bCs w:val="0"/>
          <w:sz w:val="21"/>
          <w:szCs w:val="21"/>
        </w:rPr>
        <w:t>por</w:t>
      </w:r>
      <w:r w:rsidRPr="001D5134">
        <w:rPr>
          <w:rFonts w:ascii="Abadi" w:hAnsi="Abadi"/>
          <w:b w:val="0"/>
          <w:bCs w:val="0"/>
          <w:spacing w:val="10"/>
          <w:sz w:val="21"/>
          <w:szCs w:val="21"/>
        </w:rPr>
        <w:t xml:space="preserve"> </w:t>
      </w:r>
      <w:r w:rsidRPr="001D5134">
        <w:rPr>
          <w:rFonts w:ascii="Abadi" w:hAnsi="Abadi"/>
          <w:b w:val="0"/>
          <w:bCs w:val="0"/>
          <w:sz w:val="21"/>
          <w:szCs w:val="21"/>
        </w:rPr>
        <w:t>la</w:t>
      </w:r>
      <w:r w:rsidRPr="001D5134">
        <w:rPr>
          <w:rFonts w:ascii="Abadi" w:hAnsi="Abadi"/>
          <w:b w:val="0"/>
          <w:bCs w:val="0"/>
          <w:spacing w:val="10"/>
          <w:sz w:val="21"/>
          <w:szCs w:val="21"/>
        </w:rPr>
        <w:t xml:space="preserve"> </w:t>
      </w:r>
      <w:r w:rsidRPr="001D5134">
        <w:rPr>
          <w:rFonts w:ascii="Abadi" w:hAnsi="Abadi"/>
          <w:b w:val="0"/>
          <w:bCs w:val="0"/>
          <w:sz w:val="21"/>
          <w:szCs w:val="21"/>
        </w:rPr>
        <w:t>Comisión</w:t>
      </w:r>
      <w:r w:rsidRPr="001D5134">
        <w:rPr>
          <w:rFonts w:ascii="Abadi" w:hAnsi="Abadi"/>
          <w:b w:val="0"/>
          <w:bCs w:val="0"/>
          <w:spacing w:val="-1"/>
          <w:sz w:val="21"/>
          <w:szCs w:val="21"/>
        </w:rPr>
        <w:t xml:space="preserve"> </w:t>
      </w:r>
      <w:r w:rsidRPr="001D5134">
        <w:rPr>
          <w:rFonts w:ascii="Abadi" w:hAnsi="Abadi"/>
          <w:b w:val="0"/>
          <w:bCs w:val="0"/>
          <w:sz w:val="21"/>
          <w:szCs w:val="21"/>
        </w:rPr>
        <w:t>de</w:t>
      </w:r>
      <w:r w:rsidRPr="001D5134">
        <w:rPr>
          <w:rFonts w:ascii="Abadi" w:hAnsi="Abadi"/>
          <w:b w:val="0"/>
          <w:bCs w:val="0"/>
          <w:spacing w:val="25"/>
          <w:sz w:val="21"/>
          <w:szCs w:val="21"/>
        </w:rPr>
        <w:t xml:space="preserve"> </w:t>
      </w:r>
      <w:r w:rsidRPr="001D5134">
        <w:rPr>
          <w:rFonts w:ascii="Abadi" w:hAnsi="Abadi"/>
          <w:b w:val="0"/>
          <w:bCs w:val="0"/>
          <w:sz w:val="21"/>
          <w:szCs w:val="21"/>
        </w:rPr>
        <w:t>Hacienda</w:t>
      </w:r>
      <w:r w:rsidRPr="001D5134">
        <w:rPr>
          <w:rFonts w:ascii="Abadi" w:hAnsi="Abadi"/>
          <w:b w:val="0"/>
          <w:bCs w:val="0"/>
          <w:spacing w:val="25"/>
          <w:sz w:val="21"/>
          <w:szCs w:val="21"/>
        </w:rPr>
        <w:t xml:space="preserve"> </w:t>
      </w:r>
      <w:r w:rsidRPr="001D5134">
        <w:rPr>
          <w:rFonts w:ascii="Abadi" w:hAnsi="Abadi"/>
          <w:b w:val="0"/>
          <w:bCs w:val="0"/>
          <w:sz w:val="21"/>
          <w:szCs w:val="21"/>
        </w:rPr>
        <w:t>y</w:t>
      </w:r>
      <w:r w:rsidRPr="001D5134">
        <w:rPr>
          <w:rFonts w:ascii="Abadi" w:hAnsi="Abadi"/>
          <w:b w:val="0"/>
          <w:bCs w:val="0"/>
          <w:spacing w:val="25"/>
          <w:sz w:val="21"/>
          <w:szCs w:val="21"/>
        </w:rPr>
        <w:t xml:space="preserve"> </w:t>
      </w:r>
      <w:r w:rsidRPr="001D5134">
        <w:rPr>
          <w:rFonts w:ascii="Abadi" w:hAnsi="Abadi"/>
          <w:b w:val="0"/>
          <w:bCs w:val="0"/>
          <w:sz w:val="21"/>
          <w:szCs w:val="21"/>
        </w:rPr>
        <w:t>Fiscalización</w:t>
      </w:r>
      <w:r w:rsidRPr="001D5134">
        <w:rPr>
          <w:rFonts w:ascii="Abadi" w:hAnsi="Abadi"/>
          <w:b w:val="0"/>
          <w:bCs w:val="0"/>
          <w:spacing w:val="25"/>
          <w:sz w:val="21"/>
          <w:szCs w:val="21"/>
        </w:rPr>
        <w:t xml:space="preserve"> </w:t>
      </w:r>
      <w:r w:rsidRPr="001D5134">
        <w:rPr>
          <w:rFonts w:ascii="Abadi" w:hAnsi="Abadi"/>
          <w:b w:val="0"/>
          <w:bCs w:val="0"/>
          <w:sz w:val="21"/>
          <w:szCs w:val="21"/>
        </w:rPr>
        <w:t>relativo</w:t>
      </w:r>
      <w:r w:rsidRPr="001D5134">
        <w:rPr>
          <w:rFonts w:ascii="Abadi" w:hAnsi="Abadi"/>
          <w:b w:val="0"/>
          <w:bCs w:val="0"/>
          <w:spacing w:val="25"/>
          <w:sz w:val="21"/>
          <w:szCs w:val="21"/>
        </w:rPr>
        <w:t xml:space="preserve"> </w:t>
      </w:r>
      <w:r w:rsidRPr="001D5134">
        <w:rPr>
          <w:rFonts w:ascii="Abadi" w:hAnsi="Abadi"/>
          <w:b w:val="0"/>
          <w:bCs w:val="0"/>
          <w:sz w:val="21"/>
          <w:szCs w:val="21"/>
        </w:rPr>
        <w:t>a</w:t>
      </w:r>
      <w:r w:rsidRPr="001D5134">
        <w:rPr>
          <w:rFonts w:ascii="Abadi" w:hAnsi="Abadi"/>
          <w:b w:val="0"/>
          <w:bCs w:val="0"/>
          <w:spacing w:val="25"/>
          <w:sz w:val="21"/>
          <w:szCs w:val="21"/>
        </w:rPr>
        <w:t xml:space="preserve"> </w:t>
      </w:r>
      <w:r w:rsidRPr="001D5134">
        <w:rPr>
          <w:rFonts w:ascii="Abadi" w:hAnsi="Abadi"/>
          <w:b w:val="0"/>
          <w:bCs w:val="0"/>
          <w:sz w:val="21"/>
          <w:szCs w:val="21"/>
        </w:rPr>
        <w:t>la</w:t>
      </w:r>
      <w:r w:rsidRPr="001D5134">
        <w:rPr>
          <w:rFonts w:ascii="Abadi" w:hAnsi="Abadi"/>
          <w:b w:val="0"/>
          <w:bCs w:val="0"/>
          <w:spacing w:val="25"/>
          <w:sz w:val="21"/>
          <w:szCs w:val="21"/>
        </w:rPr>
        <w:t xml:space="preserve"> </w:t>
      </w:r>
      <w:r w:rsidRPr="001D5134">
        <w:rPr>
          <w:rFonts w:ascii="Abadi" w:hAnsi="Abadi"/>
          <w:b w:val="0"/>
          <w:bCs w:val="0"/>
          <w:sz w:val="21"/>
          <w:szCs w:val="21"/>
        </w:rPr>
        <w:t>iniciativa</w:t>
      </w:r>
      <w:r w:rsidRPr="001D5134">
        <w:rPr>
          <w:rFonts w:ascii="Abadi" w:hAnsi="Abadi"/>
          <w:b w:val="0"/>
          <w:bCs w:val="0"/>
          <w:spacing w:val="25"/>
          <w:sz w:val="21"/>
          <w:szCs w:val="21"/>
        </w:rPr>
        <w:t xml:space="preserve"> </w:t>
      </w:r>
      <w:r w:rsidRPr="001D5134">
        <w:rPr>
          <w:rFonts w:ascii="Abadi" w:hAnsi="Abadi"/>
          <w:b w:val="0"/>
          <w:bCs w:val="0"/>
          <w:sz w:val="21"/>
          <w:szCs w:val="21"/>
        </w:rPr>
        <w:t>de</w:t>
      </w:r>
      <w:r w:rsidRPr="001D5134">
        <w:rPr>
          <w:rFonts w:ascii="Abadi" w:hAnsi="Abadi"/>
          <w:b w:val="0"/>
          <w:bCs w:val="0"/>
          <w:spacing w:val="25"/>
          <w:sz w:val="21"/>
          <w:szCs w:val="21"/>
        </w:rPr>
        <w:t xml:space="preserve"> </w:t>
      </w:r>
      <w:r w:rsidRPr="001D5134">
        <w:rPr>
          <w:rFonts w:ascii="Abadi" w:hAnsi="Abadi"/>
          <w:b w:val="0"/>
          <w:bCs w:val="0"/>
          <w:sz w:val="21"/>
          <w:szCs w:val="21"/>
        </w:rPr>
        <w:t>Ley</w:t>
      </w:r>
      <w:r w:rsidRPr="001D5134">
        <w:rPr>
          <w:rFonts w:ascii="Abadi" w:hAnsi="Abadi"/>
          <w:b w:val="0"/>
          <w:bCs w:val="0"/>
          <w:spacing w:val="25"/>
          <w:sz w:val="21"/>
          <w:szCs w:val="21"/>
        </w:rPr>
        <w:t xml:space="preserve"> </w:t>
      </w:r>
      <w:r w:rsidRPr="001D5134">
        <w:rPr>
          <w:rFonts w:ascii="Abadi" w:hAnsi="Abadi"/>
          <w:b w:val="0"/>
          <w:bCs w:val="0"/>
          <w:sz w:val="21"/>
          <w:szCs w:val="21"/>
        </w:rPr>
        <w:t>de</w:t>
      </w:r>
      <w:r w:rsidRPr="001D5134">
        <w:rPr>
          <w:rFonts w:ascii="Abadi" w:hAnsi="Abadi"/>
          <w:b w:val="0"/>
          <w:bCs w:val="0"/>
          <w:spacing w:val="25"/>
          <w:sz w:val="21"/>
          <w:szCs w:val="21"/>
        </w:rPr>
        <w:t xml:space="preserve"> </w:t>
      </w:r>
      <w:r w:rsidRPr="001D5134">
        <w:rPr>
          <w:rFonts w:ascii="Abadi" w:hAnsi="Abadi"/>
          <w:b w:val="0"/>
          <w:bCs w:val="0"/>
          <w:sz w:val="21"/>
          <w:szCs w:val="21"/>
        </w:rPr>
        <w:t>Publicidad</w:t>
      </w:r>
      <w:r w:rsidRPr="001D5134">
        <w:rPr>
          <w:rFonts w:ascii="Abadi" w:hAnsi="Abadi"/>
          <w:b w:val="0"/>
          <w:bCs w:val="0"/>
          <w:spacing w:val="25"/>
          <w:sz w:val="21"/>
          <w:szCs w:val="21"/>
        </w:rPr>
        <w:t xml:space="preserve"> </w:t>
      </w:r>
      <w:r w:rsidRPr="001D5134">
        <w:rPr>
          <w:rFonts w:ascii="Abadi" w:hAnsi="Abadi"/>
          <w:b w:val="0"/>
          <w:bCs w:val="0"/>
          <w:sz w:val="21"/>
          <w:szCs w:val="21"/>
        </w:rPr>
        <w:t>y</w:t>
      </w:r>
      <w:r w:rsidRPr="001D5134">
        <w:rPr>
          <w:rFonts w:ascii="Abadi" w:hAnsi="Abadi"/>
          <w:b w:val="0"/>
          <w:bCs w:val="0"/>
          <w:spacing w:val="-1"/>
          <w:sz w:val="21"/>
          <w:szCs w:val="21"/>
        </w:rPr>
        <w:t xml:space="preserve"> </w:t>
      </w:r>
      <w:r w:rsidRPr="001D5134">
        <w:rPr>
          <w:rFonts w:ascii="Abadi" w:hAnsi="Abadi"/>
          <w:b w:val="0"/>
          <w:bCs w:val="0"/>
          <w:sz w:val="21"/>
          <w:szCs w:val="21"/>
        </w:rPr>
        <w:t>Comunicación</w:t>
      </w:r>
      <w:r w:rsidRPr="001D5134">
        <w:rPr>
          <w:rFonts w:ascii="Abadi" w:hAnsi="Abadi"/>
          <w:b w:val="0"/>
          <w:bCs w:val="0"/>
          <w:spacing w:val="12"/>
          <w:sz w:val="21"/>
          <w:szCs w:val="21"/>
        </w:rPr>
        <w:t xml:space="preserve"> </w:t>
      </w:r>
      <w:r w:rsidRPr="001D5134">
        <w:rPr>
          <w:rFonts w:ascii="Abadi" w:hAnsi="Abadi"/>
          <w:b w:val="0"/>
          <w:bCs w:val="0"/>
          <w:sz w:val="21"/>
          <w:szCs w:val="21"/>
        </w:rPr>
        <w:t>Institucional</w:t>
      </w:r>
      <w:r w:rsidRPr="001D5134">
        <w:rPr>
          <w:rFonts w:ascii="Abadi" w:hAnsi="Abadi"/>
          <w:b w:val="0"/>
          <w:bCs w:val="0"/>
          <w:spacing w:val="12"/>
          <w:sz w:val="21"/>
          <w:szCs w:val="21"/>
        </w:rPr>
        <w:t xml:space="preserve"> </w:t>
      </w:r>
      <w:r w:rsidRPr="001D5134">
        <w:rPr>
          <w:rFonts w:ascii="Abadi" w:hAnsi="Abadi"/>
          <w:b w:val="0"/>
          <w:bCs w:val="0"/>
          <w:sz w:val="21"/>
          <w:szCs w:val="21"/>
        </w:rPr>
        <w:t>para</w:t>
      </w:r>
      <w:r w:rsidRPr="001D5134">
        <w:rPr>
          <w:rFonts w:ascii="Abadi" w:hAnsi="Abadi"/>
          <w:b w:val="0"/>
          <w:bCs w:val="0"/>
          <w:spacing w:val="12"/>
          <w:sz w:val="21"/>
          <w:szCs w:val="21"/>
        </w:rPr>
        <w:t xml:space="preserve"> </w:t>
      </w:r>
      <w:r w:rsidRPr="001D5134">
        <w:rPr>
          <w:rFonts w:ascii="Abadi" w:hAnsi="Abadi"/>
          <w:b w:val="0"/>
          <w:bCs w:val="0"/>
          <w:sz w:val="21"/>
          <w:szCs w:val="21"/>
        </w:rPr>
        <w:t>el</w:t>
      </w:r>
      <w:r w:rsidRPr="001D5134">
        <w:rPr>
          <w:rFonts w:ascii="Abadi" w:hAnsi="Abadi"/>
          <w:b w:val="0"/>
          <w:bCs w:val="0"/>
          <w:spacing w:val="12"/>
          <w:sz w:val="21"/>
          <w:szCs w:val="21"/>
        </w:rPr>
        <w:t xml:space="preserve"> </w:t>
      </w:r>
      <w:r w:rsidRPr="001D5134">
        <w:rPr>
          <w:rFonts w:ascii="Abadi" w:hAnsi="Abadi"/>
          <w:b w:val="0"/>
          <w:bCs w:val="0"/>
          <w:sz w:val="21"/>
          <w:szCs w:val="21"/>
        </w:rPr>
        <w:t>Estado</w:t>
      </w:r>
      <w:r w:rsidRPr="001D5134">
        <w:rPr>
          <w:rFonts w:ascii="Abadi" w:hAnsi="Abadi"/>
          <w:b w:val="0"/>
          <w:bCs w:val="0"/>
          <w:spacing w:val="12"/>
          <w:sz w:val="21"/>
          <w:szCs w:val="21"/>
        </w:rPr>
        <w:t xml:space="preserve"> </w:t>
      </w:r>
      <w:r w:rsidRPr="001D5134">
        <w:rPr>
          <w:rFonts w:ascii="Abadi" w:hAnsi="Abadi"/>
          <w:b w:val="0"/>
          <w:bCs w:val="0"/>
          <w:sz w:val="21"/>
          <w:szCs w:val="21"/>
        </w:rPr>
        <w:t>de</w:t>
      </w:r>
      <w:r w:rsidRPr="001D5134">
        <w:rPr>
          <w:rFonts w:ascii="Abadi" w:hAnsi="Abadi"/>
          <w:b w:val="0"/>
          <w:bCs w:val="0"/>
          <w:spacing w:val="12"/>
          <w:sz w:val="21"/>
          <w:szCs w:val="21"/>
        </w:rPr>
        <w:t xml:space="preserve"> </w:t>
      </w:r>
      <w:r w:rsidRPr="001D5134">
        <w:rPr>
          <w:rFonts w:ascii="Abadi" w:hAnsi="Abadi"/>
          <w:b w:val="0"/>
          <w:bCs w:val="0"/>
          <w:sz w:val="21"/>
          <w:szCs w:val="21"/>
        </w:rPr>
        <w:t>Guanajuato</w:t>
      </w:r>
      <w:r w:rsidRPr="001D5134">
        <w:rPr>
          <w:rFonts w:ascii="Abadi" w:hAnsi="Abadi"/>
          <w:b w:val="0"/>
          <w:bCs w:val="0"/>
          <w:spacing w:val="12"/>
          <w:sz w:val="21"/>
          <w:szCs w:val="21"/>
        </w:rPr>
        <w:t xml:space="preserve"> </w:t>
      </w:r>
      <w:r w:rsidRPr="001D5134">
        <w:rPr>
          <w:rFonts w:ascii="Abadi" w:hAnsi="Abadi"/>
          <w:b w:val="0"/>
          <w:bCs w:val="0"/>
          <w:sz w:val="21"/>
          <w:szCs w:val="21"/>
        </w:rPr>
        <w:t>formulada</w:t>
      </w:r>
      <w:r w:rsidRPr="001D5134">
        <w:rPr>
          <w:rFonts w:ascii="Abadi" w:hAnsi="Abadi"/>
          <w:b w:val="0"/>
          <w:bCs w:val="0"/>
          <w:spacing w:val="12"/>
          <w:sz w:val="21"/>
          <w:szCs w:val="21"/>
        </w:rPr>
        <w:t xml:space="preserve"> </w:t>
      </w:r>
      <w:r w:rsidRPr="001D5134">
        <w:rPr>
          <w:rFonts w:ascii="Abadi" w:hAnsi="Abadi"/>
          <w:b w:val="0"/>
          <w:bCs w:val="0"/>
          <w:sz w:val="21"/>
          <w:szCs w:val="21"/>
        </w:rPr>
        <w:t>por</w:t>
      </w:r>
      <w:r w:rsidRPr="001D5134">
        <w:rPr>
          <w:rFonts w:ascii="Abadi" w:hAnsi="Abadi"/>
          <w:b w:val="0"/>
          <w:bCs w:val="0"/>
          <w:spacing w:val="12"/>
          <w:sz w:val="21"/>
          <w:szCs w:val="21"/>
        </w:rPr>
        <w:t xml:space="preserve"> </w:t>
      </w:r>
      <w:r w:rsidRPr="001D5134">
        <w:rPr>
          <w:rFonts w:ascii="Abadi" w:hAnsi="Abadi"/>
          <w:b w:val="0"/>
          <w:bCs w:val="0"/>
          <w:sz w:val="21"/>
          <w:szCs w:val="21"/>
        </w:rPr>
        <w:t>la</w:t>
      </w:r>
      <w:r w:rsidRPr="001D5134">
        <w:rPr>
          <w:rFonts w:ascii="Abadi" w:hAnsi="Abadi"/>
          <w:b w:val="0"/>
          <w:bCs w:val="0"/>
          <w:spacing w:val="-1"/>
          <w:sz w:val="21"/>
          <w:szCs w:val="21"/>
        </w:rPr>
        <w:t xml:space="preserve"> </w:t>
      </w:r>
      <w:r w:rsidRPr="001D5134">
        <w:rPr>
          <w:rFonts w:ascii="Abadi" w:hAnsi="Abadi"/>
          <w:b w:val="0"/>
          <w:bCs w:val="0"/>
          <w:sz w:val="21"/>
          <w:szCs w:val="21"/>
        </w:rPr>
        <w:t>diputada</w:t>
      </w:r>
      <w:r w:rsidRPr="001D5134">
        <w:rPr>
          <w:rFonts w:ascii="Abadi" w:hAnsi="Abadi"/>
          <w:b w:val="0"/>
          <w:bCs w:val="0"/>
          <w:spacing w:val="63"/>
          <w:sz w:val="21"/>
          <w:szCs w:val="21"/>
        </w:rPr>
        <w:t xml:space="preserve"> </w:t>
      </w:r>
      <w:r w:rsidRPr="001D5134">
        <w:rPr>
          <w:rFonts w:ascii="Abadi" w:hAnsi="Abadi"/>
          <w:b w:val="0"/>
          <w:bCs w:val="0"/>
          <w:sz w:val="21"/>
          <w:szCs w:val="21"/>
        </w:rPr>
        <w:t>y</w:t>
      </w:r>
      <w:r w:rsidRPr="001D5134">
        <w:rPr>
          <w:rFonts w:ascii="Abadi" w:hAnsi="Abadi"/>
          <w:b w:val="0"/>
          <w:bCs w:val="0"/>
          <w:spacing w:val="63"/>
          <w:sz w:val="21"/>
          <w:szCs w:val="21"/>
        </w:rPr>
        <w:t xml:space="preserve"> </w:t>
      </w:r>
      <w:r w:rsidRPr="001D5134">
        <w:rPr>
          <w:rFonts w:ascii="Abadi" w:hAnsi="Abadi"/>
          <w:b w:val="0"/>
          <w:bCs w:val="0"/>
          <w:sz w:val="21"/>
          <w:szCs w:val="21"/>
        </w:rPr>
        <w:t>el</w:t>
      </w:r>
      <w:r w:rsidRPr="001D5134">
        <w:rPr>
          <w:rFonts w:ascii="Abadi" w:hAnsi="Abadi"/>
          <w:b w:val="0"/>
          <w:bCs w:val="0"/>
          <w:spacing w:val="62"/>
          <w:sz w:val="21"/>
          <w:szCs w:val="21"/>
        </w:rPr>
        <w:t xml:space="preserve"> </w:t>
      </w:r>
      <w:r w:rsidRPr="001D5134">
        <w:rPr>
          <w:rFonts w:ascii="Abadi" w:hAnsi="Abadi"/>
          <w:b w:val="0"/>
          <w:bCs w:val="0"/>
          <w:sz w:val="21"/>
          <w:szCs w:val="21"/>
        </w:rPr>
        <w:t>diputado</w:t>
      </w:r>
      <w:r w:rsidRPr="001D5134">
        <w:rPr>
          <w:rFonts w:ascii="Abadi" w:hAnsi="Abadi"/>
          <w:b w:val="0"/>
          <w:bCs w:val="0"/>
          <w:spacing w:val="63"/>
          <w:sz w:val="21"/>
          <w:szCs w:val="21"/>
        </w:rPr>
        <w:t xml:space="preserve"> </w:t>
      </w:r>
      <w:r w:rsidRPr="001D5134">
        <w:rPr>
          <w:rFonts w:ascii="Abadi" w:hAnsi="Abadi"/>
          <w:b w:val="0"/>
          <w:bCs w:val="0"/>
          <w:sz w:val="21"/>
          <w:szCs w:val="21"/>
        </w:rPr>
        <w:t>integrantes</w:t>
      </w:r>
      <w:r w:rsidRPr="001D5134">
        <w:rPr>
          <w:rFonts w:ascii="Abadi" w:hAnsi="Abadi"/>
          <w:b w:val="0"/>
          <w:bCs w:val="0"/>
          <w:spacing w:val="63"/>
          <w:sz w:val="21"/>
          <w:szCs w:val="21"/>
        </w:rPr>
        <w:t xml:space="preserve"> </w:t>
      </w:r>
      <w:r w:rsidRPr="001D5134">
        <w:rPr>
          <w:rFonts w:ascii="Abadi" w:hAnsi="Abadi"/>
          <w:b w:val="0"/>
          <w:bCs w:val="0"/>
          <w:sz w:val="21"/>
          <w:szCs w:val="21"/>
        </w:rPr>
        <w:t>del</w:t>
      </w:r>
      <w:r w:rsidRPr="001D5134">
        <w:rPr>
          <w:rFonts w:ascii="Abadi" w:hAnsi="Abadi"/>
          <w:b w:val="0"/>
          <w:bCs w:val="0"/>
          <w:spacing w:val="62"/>
          <w:sz w:val="21"/>
          <w:szCs w:val="21"/>
        </w:rPr>
        <w:t xml:space="preserve"> </w:t>
      </w:r>
      <w:r w:rsidRPr="001D5134">
        <w:rPr>
          <w:rFonts w:ascii="Abadi" w:hAnsi="Abadi"/>
          <w:b w:val="0"/>
          <w:bCs w:val="0"/>
          <w:sz w:val="21"/>
          <w:szCs w:val="21"/>
        </w:rPr>
        <w:t>Grupo</w:t>
      </w:r>
      <w:r w:rsidRPr="001D5134">
        <w:rPr>
          <w:rFonts w:ascii="Abadi" w:hAnsi="Abadi"/>
          <w:b w:val="0"/>
          <w:bCs w:val="0"/>
          <w:spacing w:val="63"/>
          <w:sz w:val="21"/>
          <w:szCs w:val="21"/>
        </w:rPr>
        <w:t xml:space="preserve"> </w:t>
      </w:r>
      <w:r w:rsidRPr="001D5134">
        <w:rPr>
          <w:rFonts w:ascii="Abadi" w:hAnsi="Abadi"/>
          <w:b w:val="0"/>
          <w:bCs w:val="0"/>
          <w:sz w:val="21"/>
          <w:szCs w:val="21"/>
        </w:rPr>
        <w:t>Parlamentario</w:t>
      </w:r>
      <w:r w:rsidRPr="001D5134">
        <w:rPr>
          <w:rFonts w:ascii="Abadi" w:hAnsi="Abadi"/>
          <w:b w:val="0"/>
          <w:bCs w:val="0"/>
          <w:spacing w:val="63"/>
          <w:sz w:val="21"/>
          <w:szCs w:val="21"/>
        </w:rPr>
        <w:t xml:space="preserve"> </w:t>
      </w:r>
      <w:r w:rsidRPr="001D5134">
        <w:rPr>
          <w:rFonts w:ascii="Abadi" w:hAnsi="Abadi"/>
          <w:b w:val="0"/>
          <w:bCs w:val="0"/>
          <w:sz w:val="21"/>
          <w:szCs w:val="21"/>
        </w:rPr>
        <w:t>del</w:t>
      </w:r>
      <w:r w:rsidRPr="001D5134">
        <w:rPr>
          <w:rFonts w:ascii="Abadi" w:hAnsi="Abadi"/>
          <w:b w:val="0"/>
          <w:bCs w:val="0"/>
          <w:spacing w:val="62"/>
          <w:sz w:val="21"/>
          <w:szCs w:val="21"/>
        </w:rPr>
        <w:t xml:space="preserve"> </w:t>
      </w:r>
      <w:r w:rsidRPr="001D5134">
        <w:rPr>
          <w:rFonts w:ascii="Abadi" w:hAnsi="Abadi"/>
          <w:b w:val="0"/>
          <w:bCs w:val="0"/>
          <w:sz w:val="21"/>
          <w:szCs w:val="21"/>
        </w:rPr>
        <w:t>Partido</w:t>
      </w:r>
      <w:r w:rsidRPr="001D5134">
        <w:rPr>
          <w:rFonts w:ascii="Abadi" w:hAnsi="Abadi"/>
          <w:b w:val="0"/>
          <w:bCs w:val="0"/>
          <w:spacing w:val="-1"/>
          <w:sz w:val="21"/>
          <w:szCs w:val="21"/>
        </w:rPr>
        <w:t xml:space="preserve"> </w:t>
      </w:r>
      <w:r w:rsidRPr="001D5134">
        <w:rPr>
          <w:rFonts w:ascii="Abadi" w:hAnsi="Abadi"/>
          <w:b w:val="0"/>
          <w:bCs w:val="0"/>
          <w:sz w:val="21"/>
          <w:szCs w:val="21"/>
        </w:rPr>
        <w:t>Verde Ecologista de México ante la Sexagésima Cuarta Legislatura.</w:t>
      </w:r>
      <w:r>
        <w:rPr>
          <w:rFonts w:ascii="Abadi" w:hAnsi="Abadi"/>
          <w:sz w:val="21"/>
          <w:szCs w:val="21"/>
        </w:rPr>
        <w:t xml:space="preserve"> </w:t>
      </w:r>
      <w:r w:rsidRPr="009A3D12">
        <w:rPr>
          <w:rFonts w:ascii="Abadi" w:hAnsi="Abadi"/>
          <w:sz w:val="21"/>
          <w:szCs w:val="21"/>
        </w:rPr>
        <w:t>XLV.-</w:t>
      </w:r>
      <w:r>
        <w:rPr>
          <w:rFonts w:ascii="Abadi" w:hAnsi="Abadi"/>
          <w:sz w:val="21"/>
          <w:szCs w:val="21"/>
        </w:rPr>
        <w:t xml:space="preserve"> </w:t>
      </w:r>
      <w:r w:rsidRPr="001D5134">
        <w:rPr>
          <w:rFonts w:ascii="Abadi" w:hAnsi="Abadi"/>
          <w:b w:val="0"/>
          <w:bCs w:val="0"/>
          <w:sz w:val="21"/>
          <w:szCs w:val="21"/>
        </w:rPr>
        <w:t>Discusión</w:t>
      </w:r>
      <w:r w:rsidRPr="001D5134">
        <w:rPr>
          <w:rFonts w:ascii="Abadi" w:hAnsi="Abadi"/>
          <w:b w:val="0"/>
          <w:bCs w:val="0"/>
          <w:spacing w:val="17"/>
          <w:sz w:val="21"/>
          <w:szCs w:val="21"/>
        </w:rPr>
        <w:t xml:space="preserve"> </w:t>
      </w:r>
      <w:r w:rsidRPr="001D5134">
        <w:rPr>
          <w:rFonts w:ascii="Abadi" w:hAnsi="Abadi"/>
          <w:b w:val="0"/>
          <w:bCs w:val="0"/>
          <w:sz w:val="21"/>
          <w:szCs w:val="21"/>
        </w:rPr>
        <w:t>y,</w:t>
      </w:r>
      <w:r w:rsidRPr="001D5134">
        <w:rPr>
          <w:rFonts w:ascii="Abadi" w:hAnsi="Abadi"/>
          <w:b w:val="0"/>
          <w:bCs w:val="0"/>
          <w:spacing w:val="16"/>
          <w:sz w:val="21"/>
          <w:szCs w:val="21"/>
        </w:rPr>
        <w:t xml:space="preserve"> </w:t>
      </w:r>
      <w:r w:rsidRPr="001D5134">
        <w:rPr>
          <w:rFonts w:ascii="Abadi" w:hAnsi="Abadi"/>
          <w:b w:val="0"/>
          <w:bCs w:val="0"/>
          <w:sz w:val="21"/>
          <w:szCs w:val="21"/>
        </w:rPr>
        <w:t>en</w:t>
      </w:r>
      <w:r w:rsidRPr="001D5134">
        <w:rPr>
          <w:rFonts w:ascii="Abadi" w:hAnsi="Abadi"/>
          <w:b w:val="0"/>
          <w:bCs w:val="0"/>
          <w:spacing w:val="17"/>
          <w:sz w:val="21"/>
          <w:szCs w:val="21"/>
        </w:rPr>
        <w:t xml:space="preserve"> </w:t>
      </w:r>
      <w:r w:rsidRPr="001D5134">
        <w:rPr>
          <w:rFonts w:ascii="Abadi" w:hAnsi="Abadi"/>
          <w:b w:val="0"/>
          <w:bCs w:val="0"/>
          <w:sz w:val="21"/>
          <w:szCs w:val="21"/>
        </w:rPr>
        <w:t>su</w:t>
      </w:r>
      <w:r w:rsidRPr="001D5134">
        <w:rPr>
          <w:rFonts w:ascii="Abadi" w:hAnsi="Abadi"/>
          <w:b w:val="0"/>
          <w:bCs w:val="0"/>
          <w:spacing w:val="17"/>
          <w:sz w:val="21"/>
          <w:szCs w:val="21"/>
        </w:rPr>
        <w:t xml:space="preserve"> </w:t>
      </w:r>
      <w:r w:rsidRPr="001D5134">
        <w:rPr>
          <w:rFonts w:ascii="Abadi" w:hAnsi="Abadi"/>
          <w:b w:val="0"/>
          <w:bCs w:val="0"/>
          <w:sz w:val="21"/>
          <w:szCs w:val="21"/>
        </w:rPr>
        <w:t>caso,</w:t>
      </w:r>
      <w:r w:rsidRPr="001D5134">
        <w:rPr>
          <w:rFonts w:ascii="Abadi" w:hAnsi="Abadi"/>
          <w:b w:val="0"/>
          <w:bCs w:val="0"/>
          <w:spacing w:val="15"/>
          <w:sz w:val="21"/>
          <w:szCs w:val="21"/>
        </w:rPr>
        <w:t xml:space="preserve"> </w:t>
      </w:r>
      <w:r w:rsidRPr="001D5134">
        <w:rPr>
          <w:rFonts w:ascii="Abadi" w:hAnsi="Abadi"/>
          <w:b w:val="0"/>
          <w:bCs w:val="0"/>
          <w:sz w:val="21"/>
          <w:szCs w:val="21"/>
        </w:rPr>
        <w:t>aprobación</w:t>
      </w:r>
      <w:r w:rsidRPr="001D5134">
        <w:rPr>
          <w:rFonts w:ascii="Abadi" w:hAnsi="Abadi"/>
          <w:b w:val="0"/>
          <w:bCs w:val="0"/>
          <w:spacing w:val="17"/>
          <w:sz w:val="21"/>
          <w:szCs w:val="21"/>
        </w:rPr>
        <w:t xml:space="preserve"> </w:t>
      </w:r>
      <w:r w:rsidRPr="001D5134">
        <w:rPr>
          <w:rFonts w:ascii="Abadi" w:hAnsi="Abadi"/>
          <w:b w:val="0"/>
          <w:bCs w:val="0"/>
          <w:sz w:val="21"/>
          <w:szCs w:val="21"/>
        </w:rPr>
        <w:t>del</w:t>
      </w:r>
      <w:r w:rsidRPr="001D5134">
        <w:rPr>
          <w:rFonts w:ascii="Abadi" w:hAnsi="Abadi"/>
          <w:b w:val="0"/>
          <w:bCs w:val="0"/>
          <w:spacing w:val="16"/>
          <w:sz w:val="21"/>
          <w:szCs w:val="21"/>
        </w:rPr>
        <w:t xml:space="preserve"> </w:t>
      </w:r>
      <w:r w:rsidRPr="001D5134">
        <w:rPr>
          <w:rFonts w:ascii="Abadi" w:hAnsi="Abadi"/>
          <w:b w:val="0"/>
          <w:bCs w:val="0"/>
          <w:sz w:val="21"/>
          <w:szCs w:val="21"/>
        </w:rPr>
        <w:t>dictamen</w:t>
      </w:r>
      <w:r w:rsidRPr="001D5134">
        <w:rPr>
          <w:rFonts w:ascii="Abadi" w:hAnsi="Abadi"/>
          <w:b w:val="0"/>
          <w:bCs w:val="0"/>
          <w:spacing w:val="17"/>
          <w:sz w:val="21"/>
          <w:szCs w:val="21"/>
        </w:rPr>
        <w:t xml:space="preserve"> </w:t>
      </w:r>
      <w:r w:rsidRPr="001D5134">
        <w:rPr>
          <w:rFonts w:ascii="Abadi" w:hAnsi="Abadi"/>
          <w:b w:val="0"/>
          <w:bCs w:val="0"/>
          <w:sz w:val="21"/>
          <w:szCs w:val="21"/>
        </w:rPr>
        <w:t>emitido</w:t>
      </w:r>
      <w:r w:rsidRPr="001D5134">
        <w:rPr>
          <w:rFonts w:ascii="Abadi" w:hAnsi="Abadi"/>
          <w:b w:val="0"/>
          <w:bCs w:val="0"/>
          <w:spacing w:val="16"/>
          <w:sz w:val="21"/>
          <w:szCs w:val="21"/>
        </w:rPr>
        <w:t xml:space="preserve"> </w:t>
      </w:r>
      <w:r w:rsidRPr="001D5134">
        <w:rPr>
          <w:rFonts w:ascii="Abadi" w:hAnsi="Abadi"/>
          <w:b w:val="0"/>
          <w:bCs w:val="0"/>
          <w:sz w:val="21"/>
          <w:szCs w:val="21"/>
        </w:rPr>
        <w:t>por</w:t>
      </w:r>
      <w:r w:rsidRPr="001D5134">
        <w:rPr>
          <w:rFonts w:ascii="Abadi" w:hAnsi="Abadi"/>
          <w:b w:val="0"/>
          <w:bCs w:val="0"/>
          <w:spacing w:val="15"/>
          <w:sz w:val="21"/>
          <w:szCs w:val="21"/>
        </w:rPr>
        <w:t xml:space="preserve"> </w:t>
      </w:r>
      <w:r w:rsidRPr="001D5134">
        <w:rPr>
          <w:rFonts w:ascii="Abadi" w:hAnsi="Abadi"/>
          <w:b w:val="0"/>
          <w:bCs w:val="0"/>
          <w:sz w:val="21"/>
          <w:szCs w:val="21"/>
        </w:rPr>
        <w:t>la</w:t>
      </w:r>
      <w:r w:rsidRPr="001D5134">
        <w:rPr>
          <w:rFonts w:ascii="Abadi" w:hAnsi="Abadi"/>
          <w:b w:val="0"/>
          <w:bCs w:val="0"/>
          <w:spacing w:val="17"/>
          <w:sz w:val="21"/>
          <w:szCs w:val="21"/>
        </w:rPr>
        <w:t xml:space="preserve"> </w:t>
      </w:r>
      <w:r w:rsidRPr="001D5134">
        <w:rPr>
          <w:rFonts w:ascii="Abadi" w:hAnsi="Abadi"/>
          <w:b w:val="0"/>
          <w:bCs w:val="0"/>
          <w:sz w:val="21"/>
          <w:szCs w:val="21"/>
        </w:rPr>
        <w:t>Comisión</w:t>
      </w:r>
      <w:r w:rsidRPr="001D5134">
        <w:rPr>
          <w:rFonts w:ascii="Abadi" w:hAnsi="Abadi"/>
          <w:b w:val="0"/>
          <w:bCs w:val="0"/>
          <w:spacing w:val="-1"/>
          <w:sz w:val="21"/>
          <w:szCs w:val="21"/>
        </w:rPr>
        <w:t xml:space="preserve"> </w:t>
      </w:r>
      <w:r w:rsidRPr="001D5134">
        <w:rPr>
          <w:rFonts w:ascii="Abadi" w:hAnsi="Abadi"/>
          <w:b w:val="0"/>
          <w:bCs w:val="0"/>
          <w:sz w:val="21"/>
          <w:szCs w:val="21"/>
        </w:rPr>
        <w:t>de</w:t>
      </w:r>
      <w:r w:rsidRPr="001D5134">
        <w:rPr>
          <w:rFonts w:ascii="Abadi" w:hAnsi="Abadi"/>
          <w:b w:val="0"/>
          <w:bCs w:val="0"/>
          <w:spacing w:val="-3"/>
          <w:sz w:val="21"/>
          <w:szCs w:val="21"/>
        </w:rPr>
        <w:t xml:space="preserve"> </w:t>
      </w:r>
      <w:r w:rsidRPr="001D5134">
        <w:rPr>
          <w:rFonts w:ascii="Abadi" w:hAnsi="Abadi"/>
          <w:b w:val="0"/>
          <w:bCs w:val="0"/>
          <w:sz w:val="21"/>
          <w:szCs w:val="21"/>
        </w:rPr>
        <w:t>Hacienda</w:t>
      </w:r>
      <w:r w:rsidRPr="001D5134">
        <w:rPr>
          <w:rFonts w:ascii="Abadi" w:hAnsi="Abadi"/>
          <w:b w:val="0"/>
          <w:bCs w:val="0"/>
          <w:spacing w:val="-3"/>
          <w:sz w:val="21"/>
          <w:szCs w:val="21"/>
        </w:rPr>
        <w:t xml:space="preserve"> </w:t>
      </w:r>
      <w:r w:rsidRPr="001D5134">
        <w:rPr>
          <w:rFonts w:ascii="Abadi" w:hAnsi="Abadi"/>
          <w:b w:val="0"/>
          <w:bCs w:val="0"/>
          <w:sz w:val="21"/>
          <w:szCs w:val="21"/>
        </w:rPr>
        <w:t>y</w:t>
      </w:r>
      <w:r w:rsidRPr="001D5134">
        <w:rPr>
          <w:rFonts w:ascii="Abadi" w:hAnsi="Abadi"/>
          <w:b w:val="0"/>
          <w:bCs w:val="0"/>
          <w:spacing w:val="-3"/>
          <w:sz w:val="21"/>
          <w:szCs w:val="21"/>
        </w:rPr>
        <w:t xml:space="preserve"> </w:t>
      </w:r>
      <w:r w:rsidRPr="001D5134">
        <w:rPr>
          <w:rFonts w:ascii="Abadi" w:hAnsi="Abadi"/>
          <w:b w:val="0"/>
          <w:bCs w:val="0"/>
          <w:sz w:val="21"/>
          <w:szCs w:val="21"/>
        </w:rPr>
        <w:t>Fiscalización</w:t>
      </w:r>
      <w:r w:rsidRPr="001D5134">
        <w:rPr>
          <w:rFonts w:ascii="Abadi" w:hAnsi="Abadi"/>
          <w:b w:val="0"/>
          <w:bCs w:val="0"/>
          <w:spacing w:val="-3"/>
          <w:sz w:val="21"/>
          <w:szCs w:val="21"/>
        </w:rPr>
        <w:t xml:space="preserve"> </w:t>
      </w:r>
      <w:r w:rsidRPr="001D5134">
        <w:rPr>
          <w:rFonts w:ascii="Abadi" w:hAnsi="Abadi"/>
          <w:b w:val="0"/>
          <w:bCs w:val="0"/>
          <w:sz w:val="21"/>
          <w:szCs w:val="21"/>
        </w:rPr>
        <w:t>relativo</w:t>
      </w:r>
      <w:r w:rsidRPr="001D5134">
        <w:rPr>
          <w:rFonts w:ascii="Abadi" w:hAnsi="Abadi"/>
          <w:b w:val="0"/>
          <w:bCs w:val="0"/>
          <w:spacing w:val="-3"/>
          <w:sz w:val="21"/>
          <w:szCs w:val="21"/>
        </w:rPr>
        <w:t xml:space="preserve"> </w:t>
      </w:r>
      <w:r w:rsidRPr="001D5134">
        <w:rPr>
          <w:rFonts w:ascii="Abadi" w:hAnsi="Abadi"/>
          <w:b w:val="0"/>
          <w:bCs w:val="0"/>
          <w:sz w:val="21"/>
          <w:szCs w:val="21"/>
        </w:rPr>
        <w:t>a</w:t>
      </w:r>
      <w:r w:rsidRPr="001D5134">
        <w:rPr>
          <w:rFonts w:ascii="Abadi" w:hAnsi="Abadi"/>
          <w:b w:val="0"/>
          <w:bCs w:val="0"/>
          <w:spacing w:val="-4"/>
          <w:sz w:val="21"/>
          <w:szCs w:val="21"/>
        </w:rPr>
        <w:t xml:space="preserve"> </w:t>
      </w:r>
      <w:r w:rsidRPr="001D5134">
        <w:rPr>
          <w:rFonts w:ascii="Abadi" w:hAnsi="Abadi"/>
          <w:b w:val="0"/>
          <w:bCs w:val="0"/>
          <w:sz w:val="21"/>
          <w:szCs w:val="21"/>
        </w:rPr>
        <w:t>la</w:t>
      </w:r>
      <w:r w:rsidRPr="001D5134">
        <w:rPr>
          <w:rFonts w:ascii="Abadi" w:hAnsi="Abadi"/>
          <w:b w:val="0"/>
          <w:bCs w:val="0"/>
          <w:spacing w:val="-3"/>
          <w:sz w:val="21"/>
          <w:szCs w:val="21"/>
        </w:rPr>
        <w:t xml:space="preserve"> </w:t>
      </w:r>
      <w:r w:rsidRPr="001D5134">
        <w:rPr>
          <w:rFonts w:ascii="Abadi" w:hAnsi="Abadi"/>
          <w:b w:val="0"/>
          <w:bCs w:val="0"/>
          <w:sz w:val="21"/>
          <w:szCs w:val="21"/>
        </w:rPr>
        <w:t>iniciativa</w:t>
      </w:r>
      <w:r w:rsidRPr="001D5134">
        <w:rPr>
          <w:rFonts w:ascii="Abadi" w:hAnsi="Abadi"/>
          <w:b w:val="0"/>
          <w:bCs w:val="0"/>
          <w:spacing w:val="-3"/>
          <w:sz w:val="21"/>
          <w:szCs w:val="21"/>
        </w:rPr>
        <w:t xml:space="preserve"> </w:t>
      </w:r>
      <w:r w:rsidRPr="001D5134">
        <w:rPr>
          <w:rFonts w:ascii="Abadi" w:hAnsi="Abadi"/>
          <w:b w:val="0"/>
          <w:bCs w:val="0"/>
          <w:sz w:val="21"/>
          <w:szCs w:val="21"/>
        </w:rPr>
        <w:t>formulada</w:t>
      </w:r>
      <w:r w:rsidRPr="001D5134">
        <w:rPr>
          <w:rFonts w:ascii="Abadi" w:hAnsi="Abadi"/>
          <w:b w:val="0"/>
          <w:bCs w:val="0"/>
          <w:spacing w:val="-3"/>
          <w:sz w:val="21"/>
          <w:szCs w:val="21"/>
        </w:rPr>
        <w:t xml:space="preserve"> </w:t>
      </w:r>
      <w:r w:rsidRPr="001D5134">
        <w:rPr>
          <w:rFonts w:ascii="Abadi" w:hAnsi="Abadi"/>
          <w:b w:val="0"/>
          <w:bCs w:val="0"/>
          <w:sz w:val="21"/>
          <w:szCs w:val="21"/>
        </w:rPr>
        <w:t>por</w:t>
      </w:r>
      <w:r w:rsidRPr="001D5134">
        <w:rPr>
          <w:rFonts w:ascii="Abadi" w:hAnsi="Abadi"/>
          <w:b w:val="0"/>
          <w:bCs w:val="0"/>
          <w:spacing w:val="-3"/>
          <w:sz w:val="21"/>
          <w:szCs w:val="21"/>
        </w:rPr>
        <w:t xml:space="preserve"> </w:t>
      </w:r>
      <w:r w:rsidRPr="001D5134">
        <w:rPr>
          <w:rFonts w:ascii="Abadi" w:hAnsi="Abadi"/>
          <w:b w:val="0"/>
          <w:bCs w:val="0"/>
          <w:sz w:val="21"/>
          <w:szCs w:val="21"/>
        </w:rPr>
        <w:t>la</w:t>
      </w:r>
      <w:r w:rsidRPr="001D5134">
        <w:rPr>
          <w:rFonts w:ascii="Abadi" w:hAnsi="Abadi"/>
          <w:b w:val="0"/>
          <w:bCs w:val="0"/>
          <w:spacing w:val="-3"/>
          <w:sz w:val="21"/>
          <w:szCs w:val="21"/>
        </w:rPr>
        <w:t xml:space="preserve"> </w:t>
      </w:r>
      <w:r w:rsidRPr="001D5134">
        <w:rPr>
          <w:rFonts w:ascii="Abadi" w:hAnsi="Abadi"/>
          <w:b w:val="0"/>
          <w:bCs w:val="0"/>
          <w:sz w:val="21"/>
          <w:szCs w:val="21"/>
        </w:rPr>
        <w:t>diputada</w:t>
      </w:r>
      <w:r w:rsidRPr="001D5134">
        <w:rPr>
          <w:rFonts w:ascii="Abadi" w:hAnsi="Abadi"/>
          <w:b w:val="0"/>
          <w:bCs w:val="0"/>
          <w:spacing w:val="-1"/>
          <w:sz w:val="21"/>
          <w:szCs w:val="21"/>
        </w:rPr>
        <w:t xml:space="preserve"> </w:t>
      </w:r>
      <w:r w:rsidRPr="001D5134">
        <w:rPr>
          <w:rFonts w:ascii="Abadi" w:hAnsi="Abadi"/>
          <w:b w:val="0"/>
          <w:bCs w:val="0"/>
          <w:sz w:val="21"/>
          <w:szCs w:val="21"/>
        </w:rPr>
        <w:t>y</w:t>
      </w:r>
      <w:r w:rsidRPr="001D5134">
        <w:rPr>
          <w:rFonts w:ascii="Abadi" w:hAnsi="Abadi"/>
          <w:b w:val="0"/>
          <w:bCs w:val="0"/>
          <w:spacing w:val="58"/>
          <w:w w:val="150"/>
          <w:sz w:val="21"/>
          <w:szCs w:val="21"/>
        </w:rPr>
        <w:t xml:space="preserve"> </w:t>
      </w:r>
      <w:r w:rsidRPr="001D5134">
        <w:rPr>
          <w:rFonts w:ascii="Abadi" w:hAnsi="Abadi"/>
          <w:b w:val="0"/>
          <w:bCs w:val="0"/>
          <w:sz w:val="21"/>
          <w:szCs w:val="21"/>
        </w:rPr>
        <w:t>el</w:t>
      </w:r>
      <w:r w:rsidRPr="001D5134">
        <w:rPr>
          <w:rFonts w:ascii="Abadi" w:hAnsi="Abadi"/>
          <w:b w:val="0"/>
          <w:bCs w:val="0"/>
          <w:spacing w:val="58"/>
          <w:w w:val="150"/>
          <w:sz w:val="21"/>
          <w:szCs w:val="21"/>
        </w:rPr>
        <w:t xml:space="preserve"> </w:t>
      </w:r>
      <w:r w:rsidRPr="001D5134">
        <w:rPr>
          <w:rFonts w:ascii="Abadi" w:hAnsi="Abadi"/>
          <w:b w:val="0"/>
          <w:bCs w:val="0"/>
          <w:sz w:val="21"/>
          <w:szCs w:val="21"/>
        </w:rPr>
        <w:t>diputado</w:t>
      </w:r>
      <w:r w:rsidRPr="001D5134">
        <w:rPr>
          <w:rFonts w:ascii="Abadi" w:hAnsi="Abadi"/>
          <w:b w:val="0"/>
          <w:bCs w:val="0"/>
          <w:spacing w:val="58"/>
          <w:w w:val="150"/>
          <w:sz w:val="21"/>
          <w:szCs w:val="21"/>
        </w:rPr>
        <w:t xml:space="preserve"> </w:t>
      </w:r>
      <w:r w:rsidRPr="001D5134">
        <w:rPr>
          <w:rFonts w:ascii="Abadi" w:hAnsi="Abadi"/>
          <w:b w:val="0"/>
          <w:bCs w:val="0"/>
          <w:sz w:val="21"/>
          <w:szCs w:val="21"/>
        </w:rPr>
        <w:t>integrantes</w:t>
      </w:r>
      <w:r w:rsidRPr="001D5134">
        <w:rPr>
          <w:rFonts w:ascii="Abadi" w:hAnsi="Abadi"/>
          <w:b w:val="0"/>
          <w:bCs w:val="0"/>
          <w:spacing w:val="58"/>
          <w:w w:val="150"/>
          <w:sz w:val="21"/>
          <w:szCs w:val="21"/>
        </w:rPr>
        <w:t xml:space="preserve"> </w:t>
      </w:r>
      <w:r w:rsidRPr="001D5134">
        <w:rPr>
          <w:rFonts w:ascii="Abadi" w:hAnsi="Abadi"/>
          <w:b w:val="0"/>
          <w:bCs w:val="0"/>
          <w:sz w:val="21"/>
          <w:szCs w:val="21"/>
        </w:rPr>
        <w:t>del</w:t>
      </w:r>
      <w:r w:rsidRPr="001D5134">
        <w:rPr>
          <w:rFonts w:ascii="Abadi" w:hAnsi="Abadi"/>
          <w:b w:val="0"/>
          <w:bCs w:val="0"/>
          <w:spacing w:val="58"/>
          <w:w w:val="150"/>
          <w:sz w:val="21"/>
          <w:szCs w:val="21"/>
        </w:rPr>
        <w:t xml:space="preserve"> </w:t>
      </w:r>
      <w:r w:rsidRPr="001D5134">
        <w:rPr>
          <w:rFonts w:ascii="Abadi" w:hAnsi="Abadi"/>
          <w:b w:val="0"/>
          <w:bCs w:val="0"/>
          <w:sz w:val="21"/>
          <w:szCs w:val="21"/>
        </w:rPr>
        <w:t>Grupo</w:t>
      </w:r>
      <w:r w:rsidRPr="001D5134">
        <w:rPr>
          <w:rFonts w:ascii="Abadi" w:hAnsi="Abadi"/>
          <w:b w:val="0"/>
          <w:bCs w:val="0"/>
          <w:spacing w:val="58"/>
          <w:w w:val="150"/>
          <w:sz w:val="21"/>
          <w:szCs w:val="21"/>
        </w:rPr>
        <w:t xml:space="preserve"> </w:t>
      </w:r>
      <w:r w:rsidRPr="001D5134">
        <w:rPr>
          <w:rFonts w:ascii="Abadi" w:hAnsi="Abadi"/>
          <w:b w:val="0"/>
          <w:bCs w:val="0"/>
          <w:sz w:val="21"/>
          <w:szCs w:val="21"/>
        </w:rPr>
        <w:t>Parlamentario</w:t>
      </w:r>
      <w:r w:rsidRPr="001D5134">
        <w:rPr>
          <w:rFonts w:ascii="Abadi" w:hAnsi="Abadi"/>
          <w:b w:val="0"/>
          <w:bCs w:val="0"/>
          <w:spacing w:val="58"/>
          <w:w w:val="150"/>
          <w:sz w:val="21"/>
          <w:szCs w:val="21"/>
        </w:rPr>
        <w:t xml:space="preserve"> </w:t>
      </w:r>
      <w:r w:rsidRPr="001D5134">
        <w:rPr>
          <w:rFonts w:ascii="Abadi" w:hAnsi="Abadi"/>
          <w:b w:val="0"/>
          <w:bCs w:val="0"/>
          <w:sz w:val="21"/>
          <w:szCs w:val="21"/>
        </w:rPr>
        <w:t>del</w:t>
      </w:r>
      <w:r w:rsidRPr="001D5134">
        <w:rPr>
          <w:rFonts w:ascii="Abadi" w:hAnsi="Abadi"/>
          <w:b w:val="0"/>
          <w:bCs w:val="0"/>
          <w:spacing w:val="58"/>
          <w:w w:val="150"/>
          <w:sz w:val="21"/>
          <w:szCs w:val="21"/>
        </w:rPr>
        <w:t xml:space="preserve"> </w:t>
      </w:r>
      <w:r w:rsidRPr="001D5134">
        <w:rPr>
          <w:rFonts w:ascii="Abadi" w:hAnsi="Abadi"/>
          <w:b w:val="0"/>
          <w:bCs w:val="0"/>
          <w:sz w:val="21"/>
          <w:szCs w:val="21"/>
        </w:rPr>
        <w:t>Partido</w:t>
      </w:r>
      <w:r w:rsidRPr="001D5134">
        <w:rPr>
          <w:rFonts w:ascii="Abadi" w:hAnsi="Abadi"/>
          <w:b w:val="0"/>
          <w:bCs w:val="0"/>
          <w:spacing w:val="58"/>
          <w:w w:val="150"/>
          <w:sz w:val="21"/>
          <w:szCs w:val="21"/>
        </w:rPr>
        <w:t xml:space="preserve"> </w:t>
      </w:r>
      <w:r w:rsidRPr="001D5134">
        <w:rPr>
          <w:rFonts w:ascii="Abadi" w:hAnsi="Abadi"/>
          <w:b w:val="0"/>
          <w:bCs w:val="0"/>
          <w:sz w:val="21"/>
          <w:szCs w:val="21"/>
        </w:rPr>
        <w:t>Verde</w:t>
      </w:r>
      <w:r w:rsidRPr="001D5134">
        <w:rPr>
          <w:rFonts w:ascii="Abadi" w:hAnsi="Abadi"/>
          <w:b w:val="0"/>
          <w:bCs w:val="0"/>
          <w:spacing w:val="-1"/>
          <w:sz w:val="21"/>
          <w:szCs w:val="21"/>
        </w:rPr>
        <w:t xml:space="preserve"> </w:t>
      </w:r>
      <w:r w:rsidRPr="001D5134">
        <w:rPr>
          <w:rFonts w:ascii="Abadi" w:hAnsi="Abadi"/>
          <w:b w:val="0"/>
          <w:bCs w:val="0"/>
          <w:sz w:val="21"/>
          <w:szCs w:val="21"/>
        </w:rPr>
        <w:t>Ecologista de México a efecto de reformar y adicionar diversos artículos de</w:t>
      </w:r>
      <w:r w:rsidRPr="001D5134">
        <w:rPr>
          <w:rFonts w:ascii="Abadi" w:hAnsi="Abadi"/>
          <w:b w:val="0"/>
          <w:bCs w:val="0"/>
          <w:spacing w:val="-1"/>
          <w:sz w:val="21"/>
          <w:szCs w:val="21"/>
        </w:rPr>
        <w:t xml:space="preserve"> </w:t>
      </w:r>
      <w:r w:rsidRPr="001D5134">
        <w:rPr>
          <w:rFonts w:ascii="Abadi" w:hAnsi="Abadi"/>
          <w:b w:val="0"/>
          <w:bCs w:val="0"/>
          <w:sz w:val="21"/>
          <w:szCs w:val="21"/>
        </w:rPr>
        <w:t>la</w:t>
      </w:r>
      <w:r w:rsidRPr="001D5134">
        <w:rPr>
          <w:rFonts w:ascii="Abadi" w:hAnsi="Abadi"/>
          <w:b w:val="0"/>
          <w:bCs w:val="0"/>
          <w:spacing w:val="10"/>
          <w:sz w:val="21"/>
          <w:szCs w:val="21"/>
        </w:rPr>
        <w:t xml:space="preserve"> </w:t>
      </w:r>
      <w:r w:rsidRPr="001D5134">
        <w:rPr>
          <w:rFonts w:ascii="Abadi" w:hAnsi="Abadi"/>
          <w:b w:val="0"/>
          <w:bCs w:val="0"/>
          <w:sz w:val="21"/>
          <w:szCs w:val="21"/>
        </w:rPr>
        <w:t>Ley</w:t>
      </w:r>
      <w:r w:rsidRPr="001D5134">
        <w:rPr>
          <w:rFonts w:ascii="Abadi" w:hAnsi="Abadi"/>
          <w:b w:val="0"/>
          <w:bCs w:val="0"/>
          <w:spacing w:val="10"/>
          <w:sz w:val="21"/>
          <w:szCs w:val="21"/>
        </w:rPr>
        <w:t xml:space="preserve"> </w:t>
      </w:r>
      <w:r w:rsidRPr="001D5134">
        <w:rPr>
          <w:rFonts w:ascii="Abadi" w:hAnsi="Abadi"/>
          <w:b w:val="0"/>
          <w:bCs w:val="0"/>
          <w:sz w:val="21"/>
          <w:szCs w:val="21"/>
        </w:rPr>
        <w:t>para</w:t>
      </w:r>
      <w:r w:rsidRPr="001D5134">
        <w:rPr>
          <w:rFonts w:ascii="Abadi" w:hAnsi="Abadi"/>
          <w:b w:val="0"/>
          <w:bCs w:val="0"/>
          <w:spacing w:val="9"/>
          <w:sz w:val="21"/>
          <w:szCs w:val="21"/>
        </w:rPr>
        <w:t xml:space="preserve"> </w:t>
      </w:r>
      <w:r w:rsidRPr="001D5134">
        <w:rPr>
          <w:rFonts w:ascii="Abadi" w:hAnsi="Abadi"/>
          <w:b w:val="0"/>
          <w:bCs w:val="0"/>
          <w:sz w:val="21"/>
          <w:szCs w:val="21"/>
        </w:rPr>
        <w:t>la</w:t>
      </w:r>
      <w:r w:rsidRPr="001D5134">
        <w:rPr>
          <w:rFonts w:ascii="Abadi" w:hAnsi="Abadi"/>
          <w:b w:val="0"/>
          <w:bCs w:val="0"/>
          <w:spacing w:val="10"/>
          <w:sz w:val="21"/>
          <w:szCs w:val="21"/>
        </w:rPr>
        <w:t xml:space="preserve"> </w:t>
      </w:r>
      <w:r w:rsidRPr="001D5134">
        <w:rPr>
          <w:rFonts w:ascii="Abadi" w:hAnsi="Abadi"/>
          <w:b w:val="0"/>
          <w:bCs w:val="0"/>
          <w:sz w:val="21"/>
          <w:szCs w:val="21"/>
        </w:rPr>
        <w:t>Gestión</w:t>
      </w:r>
      <w:r w:rsidRPr="001D5134">
        <w:rPr>
          <w:rFonts w:ascii="Abadi" w:hAnsi="Abadi"/>
          <w:b w:val="0"/>
          <w:bCs w:val="0"/>
          <w:spacing w:val="10"/>
          <w:sz w:val="21"/>
          <w:szCs w:val="21"/>
        </w:rPr>
        <w:t xml:space="preserve"> </w:t>
      </w:r>
      <w:r w:rsidRPr="001D5134">
        <w:rPr>
          <w:rFonts w:ascii="Abadi" w:hAnsi="Abadi"/>
          <w:b w:val="0"/>
          <w:bCs w:val="0"/>
          <w:sz w:val="21"/>
          <w:szCs w:val="21"/>
        </w:rPr>
        <w:t>Integral</w:t>
      </w:r>
      <w:r w:rsidRPr="001D5134">
        <w:rPr>
          <w:rFonts w:ascii="Abadi" w:hAnsi="Abadi"/>
          <w:b w:val="0"/>
          <w:bCs w:val="0"/>
          <w:spacing w:val="8"/>
          <w:sz w:val="21"/>
          <w:szCs w:val="21"/>
        </w:rPr>
        <w:t xml:space="preserve"> </w:t>
      </w:r>
      <w:r w:rsidRPr="001D5134">
        <w:rPr>
          <w:rFonts w:ascii="Abadi" w:hAnsi="Abadi"/>
          <w:b w:val="0"/>
          <w:bCs w:val="0"/>
          <w:sz w:val="21"/>
          <w:szCs w:val="21"/>
        </w:rPr>
        <w:t>de</w:t>
      </w:r>
      <w:r w:rsidRPr="001D5134">
        <w:rPr>
          <w:rFonts w:ascii="Abadi" w:hAnsi="Abadi"/>
          <w:b w:val="0"/>
          <w:bCs w:val="0"/>
          <w:spacing w:val="10"/>
          <w:sz w:val="21"/>
          <w:szCs w:val="21"/>
        </w:rPr>
        <w:t xml:space="preserve"> </w:t>
      </w:r>
      <w:r w:rsidRPr="001D5134">
        <w:rPr>
          <w:rFonts w:ascii="Abadi" w:hAnsi="Abadi"/>
          <w:b w:val="0"/>
          <w:bCs w:val="0"/>
          <w:sz w:val="21"/>
          <w:szCs w:val="21"/>
        </w:rPr>
        <w:t>Residuos</w:t>
      </w:r>
      <w:r w:rsidRPr="001D5134">
        <w:rPr>
          <w:rFonts w:ascii="Abadi" w:hAnsi="Abadi"/>
          <w:b w:val="0"/>
          <w:bCs w:val="0"/>
          <w:spacing w:val="10"/>
          <w:sz w:val="21"/>
          <w:szCs w:val="21"/>
        </w:rPr>
        <w:t xml:space="preserve"> </w:t>
      </w:r>
      <w:r w:rsidRPr="001D5134">
        <w:rPr>
          <w:rFonts w:ascii="Abadi" w:hAnsi="Abadi"/>
          <w:b w:val="0"/>
          <w:bCs w:val="0"/>
          <w:sz w:val="21"/>
          <w:szCs w:val="21"/>
        </w:rPr>
        <w:t>del</w:t>
      </w:r>
      <w:r w:rsidRPr="001D5134">
        <w:rPr>
          <w:rFonts w:ascii="Abadi" w:hAnsi="Abadi"/>
          <w:b w:val="0"/>
          <w:bCs w:val="0"/>
          <w:spacing w:val="9"/>
          <w:sz w:val="21"/>
          <w:szCs w:val="21"/>
        </w:rPr>
        <w:t xml:space="preserve"> </w:t>
      </w:r>
      <w:r w:rsidRPr="001D5134">
        <w:rPr>
          <w:rFonts w:ascii="Abadi" w:hAnsi="Abadi"/>
          <w:b w:val="0"/>
          <w:bCs w:val="0"/>
          <w:sz w:val="21"/>
          <w:szCs w:val="21"/>
        </w:rPr>
        <w:t>Estado</w:t>
      </w:r>
      <w:r w:rsidRPr="001D5134">
        <w:rPr>
          <w:rFonts w:ascii="Abadi" w:hAnsi="Abadi"/>
          <w:b w:val="0"/>
          <w:bCs w:val="0"/>
          <w:spacing w:val="9"/>
          <w:sz w:val="21"/>
          <w:szCs w:val="21"/>
        </w:rPr>
        <w:t xml:space="preserve"> </w:t>
      </w:r>
      <w:r w:rsidRPr="001D5134">
        <w:rPr>
          <w:rFonts w:ascii="Abadi" w:hAnsi="Abadi"/>
          <w:b w:val="0"/>
          <w:bCs w:val="0"/>
          <w:sz w:val="21"/>
          <w:szCs w:val="21"/>
        </w:rPr>
        <w:t>y</w:t>
      </w:r>
      <w:r w:rsidRPr="001D5134">
        <w:rPr>
          <w:rFonts w:ascii="Abadi" w:hAnsi="Abadi"/>
          <w:b w:val="0"/>
          <w:bCs w:val="0"/>
          <w:spacing w:val="9"/>
          <w:sz w:val="21"/>
          <w:szCs w:val="21"/>
        </w:rPr>
        <w:t xml:space="preserve"> </w:t>
      </w:r>
      <w:r w:rsidRPr="001D5134">
        <w:rPr>
          <w:rFonts w:ascii="Abadi" w:hAnsi="Abadi"/>
          <w:b w:val="0"/>
          <w:bCs w:val="0"/>
          <w:sz w:val="21"/>
          <w:szCs w:val="21"/>
        </w:rPr>
        <w:t>los</w:t>
      </w:r>
      <w:r w:rsidRPr="001D5134">
        <w:rPr>
          <w:rFonts w:ascii="Abadi" w:hAnsi="Abadi"/>
          <w:b w:val="0"/>
          <w:bCs w:val="0"/>
          <w:spacing w:val="8"/>
          <w:sz w:val="21"/>
          <w:szCs w:val="21"/>
        </w:rPr>
        <w:t xml:space="preserve"> </w:t>
      </w:r>
      <w:r w:rsidRPr="001D5134">
        <w:rPr>
          <w:rFonts w:ascii="Abadi" w:hAnsi="Abadi"/>
          <w:b w:val="0"/>
          <w:bCs w:val="0"/>
          <w:sz w:val="21"/>
          <w:szCs w:val="21"/>
        </w:rPr>
        <w:t>Municipios</w:t>
      </w:r>
      <w:r w:rsidRPr="001D5134">
        <w:rPr>
          <w:rFonts w:ascii="Abadi" w:hAnsi="Abadi"/>
          <w:b w:val="0"/>
          <w:bCs w:val="0"/>
          <w:spacing w:val="9"/>
          <w:sz w:val="21"/>
          <w:szCs w:val="21"/>
        </w:rPr>
        <w:t xml:space="preserve"> </w:t>
      </w:r>
      <w:r w:rsidRPr="001D5134">
        <w:rPr>
          <w:rFonts w:ascii="Abadi" w:hAnsi="Abadi"/>
          <w:b w:val="0"/>
          <w:bCs w:val="0"/>
          <w:sz w:val="21"/>
          <w:szCs w:val="21"/>
        </w:rPr>
        <w:t>de</w:t>
      </w:r>
      <w:r w:rsidRPr="001D5134">
        <w:rPr>
          <w:rFonts w:ascii="Abadi" w:hAnsi="Abadi"/>
          <w:b w:val="0"/>
          <w:bCs w:val="0"/>
          <w:spacing w:val="-1"/>
          <w:sz w:val="21"/>
          <w:szCs w:val="21"/>
        </w:rPr>
        <w:t xml:space="preserve"> </w:t>
      </w:r>
      <w:r w:rsidRPr="001D5134">
        <w:rPr>
          <w:rFonts w:ascii="Abadi" w:hAnsi="Abadi"/>
          <w:b w:val="0"/>
          <w:bCs w:val="0"/>
          <w:sz w:val="21"/>
          <w:szCs w:val="21"/>
        </w:rPr>
        <w:t>Guanajuato</w:t>
      </w:r>
      <w:r w:rsidRPr="001D5134">
        <w:rPr>
          <w:rFonts w:ascii="Abadi" w:hAnsi="Abadi"/>
          <w:b w:val="0"/>
          <w:bCs w:val="0"/>
          <w:spacing w:val="60"/>
          <w:sz w:val="21"/>
          <w:szCs w:val="21"/>
        </w:rPr>
        <w:t xml:space="preserve"> </w:t>
      </w:r>
      <w:r w:rsidRPr="001D5134">
        <w:rPr>
          <w:rFonts w:ascii="Abadi" w:hAnsi="Abadi"/>
          <w:b w:val="0"/>
          <w:bCs w:val="0"/>
          <w:sz w:val="21"/>
          <w:szCs w:val="21"/>
        </w:rPr>
        <w:t>y</w:t>
      </w:r>
      <w:r w:rsidRPr="001D5134">
        <w:rPr>
          <w:rFonts w:ascii="Abadi" w:hAnsi="Abadi"/>
          <w:b w:val="0"/>
          <w:bCs w:val="0"/>
          <w:spacing w:val="60"/>
          <w:sz w:val="21"/>
          <w:szCs w:val="21"/>
        </w:rPr>
        <w:t xml:space="preserve"> </w:t>
      </w:r>
      <w:r w:rsidRPr="001D5134">
        <w:rPr>
          <w:rFonts w:ascii="Abadi" w:hAnsi="Abadi"/>
          <w:b w:val="0"/>
          <w:bCs w:val="0"/>
          <w:sz w:val="21"/>
          <w:szCs w:val="21"/>
        </w:rPr>
        <w:t>de</w:t>
      </w:r>
      <w:r w:rsidRPr="001D5134">
        <w:rPr>
          <w:rFonts w:ascii="Abadi" w:hAnsi="Abadi"/>
          <w:b w:val="0"/>
          <w:bCs w:val="0"/>
          <w:spacing w:val="60"/>
          <w:sz w:val="21"/>
          <w:szCs w:val="21"/>
        </w:rPr>
        <w:t xml:space="preserve"> </w:t>
      </w:r>
      <w:r w:rsidRPr="001D5134">
        <w:rPr>
          <w:rFonts w:ascii="Abadi" w:hAnsi="Abadi"/>
          <w:b w:val="0"/>
          <w:bCs w:val="0"/>
          <w:sz w:val="21"/>
          <w:szCs w:val="21"/>
        </w:rPr>
        <w:t>la</w:t>
      </w:r>
      <w:r w:rsidRPr="001D5134">
        <w:rPr>
          <w:rFonts w:ascii="Abadi" w:hAnsi="Abadi"/>
          <w:b w:val="0"/>
          <w:bCs w:val="0"/>
          <w:spacing w:val="59"/>
          <w:sz w:val="21"/>
          <w:szCs w:val="21"/>
        </w:rPr>
        <w:t xml:space="preserve"> </w:t>
      </w:r>
      <w:r w:rsidRPr="001D5134">
        <w:rPr>
          <w:rFonts w:ascii="Abadi" w:hAnsi="Abadi"/>
          <w:b w:val="0"/>
          <w:bCs w:val="0"/>
          <w:sz w:val="21"/>
          <w:szCs w:val="21"/>
        </w:rPr>
        <w:t>Ley</w:t>
      </w:r>
      <w:r w:rsidRPr="001D5134">
        <w:rPr>
          <w:rFonts w:ascii="Abadi" w:hAnsi="Abadi"/>
          <w:b w:val="0"/>
          <w:bCs w:val="0"/>
          <w:spacing w:val="59"/>
          <w:sz w:val="21"/>
          <w:szCs w:val="21"/>
        </w:rPr>
        <w:t xml:space="preserve"> </w:t>
      </w:r>
      <w:r w:rsidRPr="001D5134">
        <w:rPr>
          <w:rFonts w:ascii="Abadi" w:hAnsi="Abadi"/>
          <w:b w:val="0"/>
          <w:bCs w:val="0"/>
          <w:sz w:val="21"/>
          <w:szCs w:val="21"/>
        </w:rPr>
        <w:t>de</w:t>
      </w:r>
      <w:r w:rsidRPr="001D5134">
        <w:rPr>
          <w:rFonts w:ascii="Abadi" w:hAnsi="Abadi"/>
          <w:b w:val="0"/>
          <w:bCs w:val="0"/>
          <w:spacing w:val="60"/>
          <w:sz w:val="21"/>
          <w:szCs w:val="21"/>
        </w:rPr>
        <w:t xml:space="preserve"> </w:t>
      </w:r>
      <w:r w:rsidRPr="001D5134">
        <w:rPr>
          <w:rFonts w:ascii="Abadi" w:hAnsi="Abadi"/>
          <w:b w:val="0"/>
          <w:bCs w:val="0"/>
          <w:sz w:val="21"/>
          <w:szCs w:val="21"/>
        </w:rPr>
        <w:t>Contrataciones</w:t>
      </w:r>
      <w:r w:rsidRPr="001D5134">
        <w:rPr>
          <w:rFonts w:ascii="Abadi" w:hAnsi="Abadi"/>
          <w:b w:val="0"/>
          <w:bCs w:val="0"/>
          <w:spacing w:val="60"/>
          <w:sz w:val="21"/>
          <w:szCs w:val="21"/>
        </w:rPr>
        <w:t xml:space="preserve"> </w:t>
      </w:r>
      <w:r w:rsidRPr="001D5134">
        <w:rPr>
          <w:rFonts w:ascii="Abadi" w:hAnsi="Abadi"/>
          <w:b w:val="0"/>
          <w:bCs w:val="0"/>
          <w:sz w:val="21"/>
          <w:szCs w:val="21"/>
        </w:rPr>
        <w:t>Públicas</w:t>
      </w:r>
      <w:r w:rsidRPr="001D5134">
        <w:rPr>
          <w:rFonts w:ascii="Abadi" w:hAnsi="Abadi"/>
          <w:b w:val="0"/>
          <w:bCs w:val="0"/>
          <w:spacing w:val="59"/>
          <w:sz w:val="21"/>
          <w:szCs w:val="21"/>
        </w:rPr>
        <w:t xml:space="preserve"> </w:t>
      </w:r>
      <w:r w:rsidRPr="001D5134">
        <w:rPr>
          <w:rFonts w:ascii="Abadi" w:hAnsi="Abadi"/>
          <w:b w:val="0"/>
          <w:bCs w:val="0"/>
          <w:sz w:val="21"/>
          <w:szCs w:val="21"/>
        </w:rPr>
        <w:t>para</w:t>
      </w:r>
      <w:r w:rsidRPr="001D5134">
        <w:rPr>
          <w:rFonts w:ascii="Abadi" w:hAnsi="Abadi"/>
          <w:b w:val="0"/>
          <w:bCs w:val="0"/>
          <w:spacing w:val="60"/>
          <w:sz w:val="21"/>
          <w:szCs w:val="21"/>
        </w:rPr>
        <w:t xml:space="preserve"> </w:t>
      </w:r>
      <w:r w:rsidRPr="001D5134">
        <w:rPr>
          <w:rFonts w:ascii="Abadi" w:hAnsi="Abadi"/>
          <w:b w:val="0"/>
          <w:bCs w:val="0"/>
          <w:sz w:val="21"/>
          <w:szCs w:val="21"/>
        </w:rPr>
        <w:t>el</w:t>
      </w:r>
      <w:r w:rsidRPr="001D5134">
        <w:rPr>
          <w:rFonts w:ascii="Abadi" w:hAnsi="Abadi"/>
          <w:b w:val="0"/>
          <w:bCs w:val="0"/>
          <w:spacing w:val="59"/>
          <w:sz w:val="21"/>
          <w:szCs w:val="21"/>
        </w:rPr>
        <w:t xml:space="preserve"> </w:t>
      </w:r>
      <w:r w:rsidRPr="001D5134">
        <w:rPr>
          <w:rFonts w:ascii="Abadi" w:hAnsi="Abadi"/>
          <w:b w:val="0"/>
          <w:bCs w:val="0"/>
          <w:sz w:val="21"/>
          <w:szCs w:val="21"/>
        </w:rPr>
        <w:t>Estado</w:t>
      </w:r>
      <w:r w:rsidRPr="001D5134">
        <w:rPr>
          <w:rFonts w:ascii="Abadi" w:hAnsi="Abadi"/>
          <w:b w:val="0"/>
          <w:bCs w:val="0"/>
          <w:spacing w:val="59"/>
          <w:sz w:val="21"/>
          <w:szCs w:val="21"/>
        </w:rPr>
        <w:t xml:space="preserve"> </w:t>
      </w:r>
      <w:r w:rsidRPr="001D5134">
        <w:rPr>
          <w:rFonts w:ascii="Abadi" w:hAnsi="Abadi"/>
          <w:b w:val="0"/>
          <w:bCs w:val="0"/>
          <w:sz w:val="21"/>
          <w:szCs w:val="21"/>
        </w:rPr>
        <w:t>de</w:t>
      </w:r>
      <w:r w:rsidRPr="001D5134">
        <w:rPr>
          <w:rFonts w:ascii="Abadi" w:hAnsi="Abadi"/>
          <w:b w:val="0"/>
          <w:bCs w:val="0"/>
          <w:spacing w:val="-1"/>
          <w:sz w:val="21"/>
          <w:szCs w:val="21"/>
        </w:rPr>
        <w:t xml:space="preserve"> </w:t>
      </w:r>
      <w:r w:rsidRPr="001D5134">
        <w:rPr>
          <w:rFonts w:ascii="Abadi" w:hAnsi="Abadi"/>
          <w:b w:val="0"/>
          <w:bCs w:val="0"/>
          <w:sz w:val="21"/>
          <w:szCs w:val="21"/>
        </w:rPr>
        <w:t>Guanajuato,</w:t>
      </w:r>
      <w:r w:rsidRPr="001D5134">
        <w:rPr>
          <w:rFonts w:ascii="Abadi" w:hAnsi="Abadi"/>
          <w:b w:val="0"/>
          <w:bCs w:val="0"/>
          <w:spacing w:val="-1"/>
          <w:sz w:val="21"/>
          <w:szCs w:val="21"/>
        </w:rPr>
        <w:t xml:space="preserve"> </w:t>
      </w:r>
      <w:r w:rsidRPr="001D5134">
        <w:rPr>
          <w:rFonts w:ascii="Abadi" w:hAnsi="Abadi"/>
          <w:b w:val="0"/>
          <w:bCs w:val="0"/>
          <w:sz w:val="21"/>
          <w:szCs w:val="21"/>
        </w:rPr>
        <w:t>en la parte correspondiente</w:t>
      </w:r>
      <w:r w:rsidRPr="001D5134">
        <w:rPr>
          <w:rFonts w:ascii="Abadi" w:hAnsi="Abadi"/>
          <w:b w:val="0"/>
          <w:bCs w:val="0"/>
          <w:spacing w:val="-1"/>
          <w:sz w:val="21"/>
          <w:szCs w:val="21"/>
        </w:rPr>
        <w:t xml:space="preserve"> </w:t>
      </w:r>
      <w:r w:rsidRPr="001D5134">
        <w:rPr>
          <w:rFonts w:ascii="Abadi" w:hAnsi="Abadi"/>
          <w:b w:val="0"/>
          <w:bCs w:val="0"/>
          <w:sz w:val="21"/>
          <w:szCs w:val="21"/>
        </w:rPr>
        <w:t>al</w:t>
      </w:r>
      <w:r w:rsidRPr="001D5134">
        <w:rPr>
          <w:rFonts w:ascii="Abadi" w:hAnsi="Abadi"/>
          <w:b w:val="0"/>
          <w:bCs w:val="0"/>
          <w:spacing w:val="-1"/>
          <w:sz w:val="21"/>
          <w:szCs w:val="21"/>
        </w:rPr>
        <w:t xml:space="preserve"> </w:t>
      </w:r>
      <w:r w:rsidRPr="001D5134">
        <w:rPr>
          <w:rFonts w:ascii="Abadi" w:hAnsi="Abadi"/>
          <w:b w:val="0"/>
          <w:bCs w:val="0"/>
          <w:sz w:val="21"/>
          <w:szCs w:val="21"/>
        </w:rPr>
        <w:t>segundo de los ordenamientos.</w:t>
      </w:r>
      <w:r>
        <w:rPr>
          <w:rFonts w:ascii="Abadi" w:hAnsi="Abadi"/>
          <w:sz w:val="21"/>
          <w:szCs w:val="21"/>
        </w:rPr>
        <w:t xml:space="preserve"> </w:t>
      </w:r>
      <w:r w:rsidRPr="009A3D12">
        <w:rPr>
          <w:rFonts w:ascii="Abadi" w:hAnsi="Abadi"/>
          <w:sz w:val="21"/>
          <w:szCs w:val="21"/>
        </w:rPr>
        <w:t>XLVI.-</w:t>
      </w:r>
      <w:r>
        <w:rPr>
          <w:rFonts w:ascii="Abadi" w:hAnsi="Abadi"/>
          <w:sz w:val="21"/>
          <w:szCs w:val="21"/>
        </w:rPr>
        <w:t xml:space="preserve"> </w:t>
      </w:r>
      <w:r w:rsidRPr="001D5134">
        <w:rPr>
          <w:rFonts w:ascii="Abadi" w:hAnsi="Abadi"/>
          <w:b w:val="0"/>
          <w:bCs w:val="0"/>
          <w:sz w:val="21"/>
          <w:szCs w:val="21"/>
        </w:rPr>
        <w:t>Discusión</w:t>
      </w:r>
      <w:r w:rsidRPr="001D5134">
        <w:rPr>
          <w:rFonts w:ascii="Abadi" w:hAnsi="Abadi"/>
          <w:b w:val="0"/>
          <w:bCs w:val="0"/>
          <w:spacing w:val="9"/>
          <w:sz w:val="21"/>
          <w:szCs w:val="21"/>
        </w:rPr>
        <w:t xml:space="preserve"> </w:t>
      </w:r>
      <w:r w:rsidRPr="001D5134">
        <w:rPr>
          <w:rFonts w:ascii="Abadi" w:hAnsi="Abadi"/>
          <w:b w:val="0"/>
          <w:bCs w:val="0"/>
          <w:sz w:val="21"/>
          <w:szCs w:val="21"/>
        </w:rPr>
        <w:t>y,</w:t>
      </w:r>
      <w:r w:rsidRPr="001D5134">
        <w:rPr>
          <w:rFonts w:ascii="Abadi" w:hAnsi="Abadi"/>
          <w:b w:val="0"/>
          <w:bCs w:val="0"/>
          <w:spacing w:val="9"/>
          <w:sz w:val="21"/>
          <w:szCs w:val="21"/>
        </w:rPr>
        <w:t xml:space="preserve"> </w:t>
      </w:r>
      <w:r w:rsidRPr="001D5134">
        <w:rPr>
          <w:rFonts w:ascii="Abadi" w:hAnsi="Abadi"/>
          <w:b w:val="0"/>
          <w:bCs w:val="0"/>
          <w:sz w:val="21"/>
          <w:szCs w:val="21"/>
        </w:rPr>
        <w:t>en</w:t>
      </w:r>
      <w:r w:rsidRPr="001D5134">
        <w:rPr>
          <w:rFonts w:ascii="Abadi" w:hAnsi="Abadi"/>
          <w:b w:val="0"/>
          <w:bCs w:val="0"/>
          <w:spacing w:val="9"/>
          <w:sz w:val="21"/>
          <w:szCs w:val="21"/>
        </w:rPr>
        <w:t xml:space="preserve"> </w:t>
      </w:r>
      <w:r w:rsidRPr="001D5134">
        <w:rPr>
          <w:rFonts w:ascii="Abadi" w:hAnsi="Abadi"/>
          <w:b w:val="0"/>
          <w:bCs w:val="0"/>
          <w:sz w:val="21"/>
          <w:szCs w:val="21"/>
        </w:rPr>
        <w:t>su</w:t>
      </w:r>
      <w:r w:rsidRPr="001D5134">
        <w:rPr>
          <w:rFonts w:ascii="Abadi" w:hAnsi="Abadi"/>
          <w:b w:val="0"/>
          <w:bCs w:val="0"/>
          <w:spacing w:val="9"/>
          <w:sz w:val="21"/>
          <w:szCs w:val="21"/>
        </w:rPr>
        <w:t xml:space="preserve"> </w:t>
      </w:r>
      <w:r w:rsidRPr="001D5134">
        <w:rPr>
          <w:rFonts w:ascii="Abadi" w:hAnsi="Abadi"/>
          <w:b w:val="0"/>
          <w:bCs w:val="0"/>
          <w:sz w:val="21"/>
          <w:szCs w:val="21"/>
        </w:rPr>
        <w:t>caso,</w:t>
      </w:r>
      <w:r w:rsidRPr="001D5134">
        <w:rPr>
          <w:rFonts w:ascii="Abadi" w:hAnsi="Abadi"/>
          <w:b w:val="0"/>
          <w:bCs w:val="0"/>
          <w:spacing w:val="9"/>
          <w:sz w:val="21"/>
          <w:szCs w:val="21"/>
        </w:rPr>
        <w:t xml:space="preserve"> </w:t>
      </w:r>
      <w:r w:rsidRPr="001D5134">
        <w:rPr>
          <w:rFonts w:ascii="Abadi" w:hAnsi="Abadi"/>
          <w:b w:val="0"/>
          <w:bCs w:val="0"/>
          <w:sz w:val="21"/>
          <w:szCs w:val="21"/>
        </w:rPr>
        <w:t>aprobación</w:t>
      </w:r>
      <w:r w:rsidRPr="001D5134">
        <w:rPr>
          <w:rFonts w:ascii="Abadi" w:hAnsi="Abadi"/>
          <w:b w:val="0"/>
          <w:bCs w:val="0"/>
          <w:spacing w:val="9"/>
          <w:sz w:val="21"/>
          <w:szCs w:val="21"/>
        </w:rPr>
        <w:t xml:space="preserve"> </w:t>
      </w:r>
      <w:r w:rsidRPr="001D5134">
        <w:rPr>
          <w:rFonts w:ascii="Abadi" w:hAnsi="Abadi"/>
          <w:b w:val="0"/>
          <w:bCs w:val="0"/>
          <w:sz w:val="21"/>
          <w:szCs w:val="21"/>
        </w:rPr>
        <w:t>del</w:t>
      </w:r>
      <w:r w:rsidRPr="001D5134">
        <w:rPr>
          <w:rFonts w:ascii="Abadi" w:hAnsi="Abadi"/>
          <w:b w:val="0"/>
          <w:bCs w:val="0"/>
          <w:spacing w:val="9"/>
          <w:sz w:val="21"/>
          <w:szCs w:val="21"/>
        </w:rPr>
        <w:t xml:space="preserve"> </w:t>
      </w:r>
      <w:r w:rsidRPr="001D5134">
        <w:rPr>
          <w:rFonts w:ascii="Abadi" w:hAnsi="Abadi"/>
          <w:b w:val="0"/>
          <w:bCs w:val="0"/>
          <w:sz w:val="21"/>
          <w:szCs w:val="21"/>
        </w:rPr>
        <w:t>dictamen</w:t>
      </w:r>
      <w:r w:rsidRPr="001D5134">
        <w:rPr>
          <w:rFonts w:ascii="Abadi" w:hAnsi="Abadi"/>
          <w:b w:val="0"/>
          <w:bCs w:val="0"/>
          <w:spacing w:val="9"/>
          <w:sz w:val="21"/>
          <w:szCs w:val="21"/>
        </w:rPr>
        <w:t xml:space="preserve"> </w:t>
      </w:r>
      <w:r w:rsidRPr="001D5134">
        <w:rPr>
          <w:rFonts w:ascii="Abadi" w:hAnsi="Abadi"/>
          <w:b w:val="0"/>
          <w:bCs w:val="0"/>
          <w:sz w:val="21"/>
          <w:szCs w:val="21"/>
        </w:rPr>
        <w:t>signado</w:t>
      </w:r>
      <w:r w:rsidRPr="001D5134">
        <w:rPr>
          <w:rFonts w:ascii="Abadi" w:hAnsi="Abadi"/>
          <w:b w:val="0"/>
          <w:bCs w:val="0"/>
          <w:spacing w:val="9"/>
          <w:sz w:val="21"/>
          <w:szCs w:val="21"/>
        </w:rPr>
        <w:t xml:space="preserve"> </w:t>
      </w:r>
      <w:r w:rsidRPr="001D5134">
        <w:rPr>
          <w:rFonts w:ascii="Abadi" w:hAnsi="Abadi"/>
          <w:b w:val="0"/>
          <w:bCs w:val="0"/>
          <w:sz w:val="21"/>
          <w:szCs w:val="21"/>
        </w:rPr>
        <w:t>por</w:t>
      </w:r>
      <w:r w:rsidRPr="001D5134">
        <w:rPr>
          <w:rFonts w:ascii="Abadi" w:hAnsi="Abadi"/>
          <w:b w:val="0"/>
          <w:bCs w:val="0"/>
          <w:spacing w:val="9"/>
          <w:sz w:val="21"/>
          <w:szCs w:val="21"/>
        </w:rPr>
        <w:t xml:space="preserve"> </w:t>
      </w:r>
      <w:r w:rsidRPr="001D5134">
        <w:rPr>
          <w:rFonts w:ascii="Abadi" w:hAnsi="Abadi"/>
          <w:b w:val="0"/>
          <w:bCs w:val="0"/>
          <w:sz w:val="21"/>
          <w:szCs w:val="21"/>
        </w:rPr>
        <w:t>la</w:t>
      </w:r>
      <w:r w:rsidRPr="001D5134">
        <w:rPr>
          <w:rFonts w:ascii="Abadi" w:hAnsi="Abadi"/>
          <w:b w:val="0"/>
          <w:bCs w:val="0"/>
          <w:spacing w:val="9"/>
          <w:sz w:val="21"/>
          <w:szCs w:val="21"/>
        </w:rPr>
        <w:t xml:space="preserve"> </w:t>
      </w:r>
      <w:r w:rsidRPr="001D5134">
        <w:rPr>
          <w:rFonts w:ascii="Abadi" w:hAnsi="Abadi"/>
          <w:b w:val="0"/>
          <w:bCs w:val="0"/>
          <w:sz w:val="21"/>
          <w:szCs w:val="21"/>
        </w:rPr>
        <w:t>Comisión</w:t>
      </w:r>
      <w:r w:rsidRPr="001D5134">
        <w:rPr>
          <w:rFonts w:ascii="Abadi" w:hAnsi="Abadi"/>
          <w:b w:val="0"/>
          <w:bCs w:val="0"/>
          <w:spacing w:val="-1"/>
          <w:sz w:val="21"/>
          <w:szCs w:val="21"/>
        </w:rPr>
        <w:t xml:space="preserve"> </w:t>
      </w:r>
      <w:r w:rsidRPr="001D5134">
        <w:rPr>
          <w:rFonts w:ascii="Abadi" w:hAnsi="Abadi"/>
          <w:b w:val="0"/>
          <w:bCs w:val="0"/>
          <w:sz w:val="21"/>
          <w:szCs w:val="21"/>
        </w:rPr>
        <w:t>de</w:t>
      </w:r>
      <w:r w:rsidRPr="001D5134">
        <w:rPr>
          <w:rFonts w:ascii="Abadi" w:hAnsi="Abadi"/>
          <w:b w:val="0"/>
          <w:bCs w:val="0"/>
          <w:spacing w:val="10"/>
          <w:sz w:val="21"/>
          <w:szCs w:val="21"/>
        </w:rPr>
        <w:t xml:space="preserve"> </w:t>
      </w:r>
      <w:r w:rsidRPr="001D5134">
        <w:rPr>
          <w:rFonts w:ascii="Abadi" w:hAnsi="Abadi"/>
          <w:b w:val="0"/>
          <w:bCs w:val="0"/>
          <w:sz w:val="21"/>
          <w:szCs w:val="21"/>
        </w:rPr>
        <w:t>Hacienda</w:t>
      </w:r>
      <w:r w:rsidRPr="001D5134">
        <w:rPr>
          <w:rFonts w:ascii="Abadi" w:hAnsi="Abadi"/>
          <w:b w:val="0"/>
          <w:bCs w:val="0"/>
          <w:spacing w:val="10"/>
          <w:sz w:val="21"/>
          <w:szCs w:val="21"/>
        </w:rPr>
        <w:t xml:space="preserve"> </w:t>
      </w:r>
      <w:r w:rsidRPr="001D5134">
        <w:rPr>
          <w:rFonts w:ascii="Abadi" w:hAnsi="Abadi"/>
          <w:b w:val="0"/>
          <w:bCs w:val="0"/>
          <w:sz w:val="21"/>
          <w:szCs w:val="21"/>
        </w:rPr>
        <w:t>y</w:t>
      </w:r>
      <w:r w:rsidRPr="001D5134">
        <w:rPr>
          <w:rFonts w:ascii="Abadi" w:hAnsi="Abadi"/>
          <w:b w:val="0"/>
          <w:bCs w:val="0"/>
          <w:spacing w:val="10"/>
          <w:sz w:val="21"/>
          <w:szCs w:val="21"/>
        </w:rPr>
        <w:t xml:space="preserve"> </w:t>
      </w:r>
      <w:r w:rsidRPr="001D5134">
        <w:rPr>
          <w:rFonts w:ascii="Abadi" w:hAnsi="Abadi"/>
          <w:b w:val="0"/>
          <w:bCs w:val="0"/>
          <w:sz w:val="21"/>
          <w:szCs w:val="21"/>
        </w:rPr>
        <w:t>Fiscalización</w:t>
      </w:r>
      <w:r w:rsidRPr="001D5134">
        <w:rPr>
          <w:rFonts w:ascii="Abadi" w:hAnsi="Abadi"/>
          <w:b w:val="0"/>
          <w:bCs w:val="0"/>
          <w:spacing w:val="10"/>
          <w:sz w:val="21"/>
          <w:szCs w:val="21"/>
        </w:rPr>
        <w:t xml:space="preserve"> </w:t>
      </w:r>
      <w:r w:rsidRPr="001D5134">
        <w:rPr>
          <w:rFonts w:ascii="Abadi" w:hAnsi="Abadi"/>
          <w:b w:val="0"/>
          <w:bCs w:val="0"/>
          <w:sz w:val="21"/>
          <w:szCs w:val="21"/>
        </w:rPr>
        <w:t>relativo</w:t>
      </w:r>
      <w:r w:rsidRPr="001D5134">
        <w:rPr>
          <w:rFonts w:ascii="Abadi" w:hAnsi="Abadi"/>
          <w:b w:val="0"/>
          <w:bCs w:val="0"/>
          <w:spacing w:val="10"/>
          <w:sz w:val="21"/>
          <w:szCs w:val="21"/>
        </w:rPr>
        <w:t xml:space="preserve"> </w:t>
      </w:r>
      <w:r w:rsidRPr="001D5134">
        <w:rPr>
          <w:rFonts w:ascii="Abadi" w:hAnsi="Abadi"/>
          <w:b w:val="0"/>
          <w:bCs w:val="0"/>
          <w:sz w:val="21"/>
          <w:szCs w:val="21"/>
        </w:rPr>
        <w:t>a</w:t>
      </w:r>
      <w:r w:rsidRPr="001D5134">
        <w:rPr>
          <w:rFonts w:ascii="Abadi" w:hAnsi="Abadi"/>
          <w:b w:val="0"/>
          <w:bCs w:val="0"/>
          <w:spacing w:val="10"/>
          <w:sz w:val="21"/>
          <w:szCs w:val="21"/>
        </w:rPr>
        <w:t xml:space="preserve"> </w:t>
      </w:r>
      <w:r w:rsidRPr="001D5134">
        <w:rPr>
          <w:rFonts w:ascii="Abadi" w:hAnsi="Abadi"/>
          <w:b w:val="0"/>
          <w:bCs w:val="0"/>
          <w:sz w:val="21"/>
          <w:szCs w:val="21"/>
        </w:rPr>
        <w:t>la</w:t>
      </w:r>
      <w:r w:rsidRPr="001D5134">
        <w:rPr>
          <w:rFonts w:ascii="Abadi" w:hAnsi="Abadi"/>
          <w:b w:val="0"/>
          <w:bCs w:val="0"/>
          <w:spacing w:val="10"/>
          <w:sz w:val="21"/>
          <w:szCs w:val="21"/>
        </w:rPr>
        <w:t xml:space="preserve"> </w:t>
      </w:r>
      <w:r w:rsidRPr="001D5134">
        <w:rPr>
          <w:rFonts w:ascii="Abadi" w:hAnsi="Abadi"/>
          <w:b w:val="0"/>
          <w:bCs w:val="0"/>
          <w:sz w:val="21"/>
          <w:szCs w:val="21"/>
        </w:rPr>
        <w:t>iniciativa</w:t>
      </w:r>
      <w:r w:rsidRPr="001D5134">
        <w:rPr>
          <w:rFonts w:ascii="Abadi" w:hAnsi="Abadi"/>
          <w:b w:val="0"/>
          <w:bCs w:val="0"/>
          <w:spacing w:val="10"/>
          <w:sz w:val="21"/>
          <w:szCs w:val="21"/>
        </w:rPr>
        <w:t xml:space="preserve"> </w:t>
      </w:r>
      <w:r w:rsidRPr="001D5134">
        <w:rPr>
          <w:rFonts w:ascii="Abadi" w:hAnsi="Abadi"/>
          <w:b w:val="0"/>
          <w:bCs w:val="0"/>
          <w:sz w:val="21"/>
          <w:szCs w:val="21"/>
        </w:rPr>
        <w:t>formulada</w:t>
      </w:r>
      <w:r w:rsidRPr="001D5134">
        <w:rPr>
          <w:rFonts w:ascii="Abadi" w:hAnsi="Abadi"/>
          <w:b w:val="0"/>
          <w:bCs w:val="0"/>
          <w:spacing w:val="10"/>
          <w:sz w:val="21"/>
          <w:szCs w:val="21"/>
        </w:rPr>
        <w:t xml:space="preserve"> </w:t>
      </w:r>
      <w:r w:rsidRPr="001D5134">
        <w:rPr>
          <w:rFonts w:ascii="Abadi" w:hAnsi="Abadi"/>
          <w:b w:val="0"/>
          <w:bCs w:val="0"/>
          <w:sz w:val="21"/>
          <w:szCs w:val="21"/>
        </w:rPr>
        <w:t>por</w:t>
      </w:r>
      <w:r w:rsidRPr="001D5134">
        <w:rPr>
          <w:rFonts w:ascii="Abadi" w:hAnsi="Abadi"/>
          <w:b w:val="0"/>
          <w:bCs w:val="0"/>
          <w:spacing w:val="10"/>
          <w:sz w:val="21"/>
          <w:szCs w:val="21"/>
        </w:rPr>
        <w:t xml:space="preserve"> </w:t>
      </w:r>
      <w:r w:rsidRPr="001D5134">
        <w:rPr>
          <w:rFonts w:ascii="Abadi" w:hAnsi="Abadi"/>
          <w:b w:val="0"/>
          <w:bCs w:val="0"/>
          <w:sz w:val="21"/>
          <w:szCs w:val="21"/>
        </w:rPr>
        <w:t>diputadas</w:t>
      </w:r>
      <w:r w:rsidRPr="001D5134">
        <w:rPr>
          <w:rFonts w:ascii="Abadi" w:hAnsi="Abadi"/>
          <w:b w:val="0"/>
          <w:bCs w:val="0"/>
          <w:spacing w:val="-1"/>
          <w:sz w:val="21"/>
          <w:szCs w:val="21"/>
        </w:rPr>
        <w:t xml:space="preserve"> </w:t>
      </w:r>
      <w:r w:rsidRPr="001D5134">
        <w:rPr>
          <w:rFonts w:ascii="Abadi" w:hAnsi="Abadi"/>
          <w:b w:val="0"/>
          <w:bCs w:val="0"/>
          <w:sz w:val="21"/>
          <w:szCs w:val="21"/>
        </w:rPr>
        <w:t>y</w:t>
      </w:r>
      <w:r w:rsidRPr="001D5134">
        <w:rPr>
          <w:rFonts w:ascii="Abadi" w:hAnsi="Abadi"/>
          <w:b w:val="0"/>
          <w:bCs w:val="0"/>
          <w:spacing w:val="36"/>
          <w:sz w:val="21"/>
          <w:szCs w:val="21"/>
        </w:rPr>
        <w:t xml:space="preserve"> </w:t>
      </w:r>
      <w:r w:rsidRPr="001D5134">
        <w:rPr>
          <w:rFonts w:ascii="Abadi" w:hAnsi="Abadi"/>
          <w:b w:val="0"/>
          <w:bCs w:val="0"/>
          <w:sz w:val="21"/>
          <w:szCs w:val="21"/>
        </w:rPr>
        <w:t>diputados</w:t>
      </w:r>
      <w:r w:rsidRPr="001D5134">
        <w:rPr>
          <w:rFonts w:ascii="Abadi" w:hAnsi="Abadi"/>
          <w:b w:val="0"/>
          <w:bCs w:val="0"/>
          <w:spacing w:val="36"/>
          <w:sz w:val="21"/>
          <w:szCs w:val="21"/>
        </w:rPr>
        <w:t xml:space="preserve"> </w:t>
      </w:r>
      <w:r w:rsidRPr="001D5134">
        <w:rPr>
          <w:rFonts w:ascii="Abadi" w:hAnsi="Abadi"/>
          <w:b w:val="0"/>
          <w:bCs w:val="0"/>
          <w:sz w:val="21"/>
          <w:szCs w:val="21"/>
        </w:rPr>
        <w:t>integrantes</w:t>
      </w:r>
      <w:r w:rsidRPr="001D5134">
        <w:rPr>
          <w:rFonts w:ascii="Abadi" w:hAnsi="Abadi"/>
          <w:b w:val="0"/>
          <w:bCs w:val="0"/>
          <w:spacing w:val="37"/>
          <w:sz w:val="21"/>
          <w:szCs w:val="21"/>
        </w:rPr>
        <w:t xml:space="preserve"> </w:t>
      </w:r>
      <w:r w:rsidRPr="001D5134">
        <w:rPr>
          <w:rFonts w:ascii="Abadi" w:hAnsi="Abadi"/>
          <w:b w:val="0"/>
          <w:bCs w:val="0"/>
          <w:sz w:val="21"/>
          <w:szCs w:val="21"/>
        </w:rPr>
        <w:t>del</w:t>
      </w:r>
      <w:r w:rsidRPr="001D5134">
        <w:rPr>
          <w:rFonts w:ascii="Abadi" w:hAnsi="Abadi"/>
          <w:b w:val="0"/>
          <w:bCs w:val="0"/>
          <w:spacing w:val="38"/>
          <w:sz w:val="21"/>
          <w:szCs w:val="21"/>
        </w:rPr>
        <w:t xml:space="preserve"> </w:t>
      </w:r>
      <w:r w:rsidRPr="001D5134">
        <w:rPr>
          <w:rFonts w:ascii="Abadi" w:hAnsi="Abadi"/>
          <w:b w:val="0"/>
          <w:bCs w:val="0"/>
          <w:sz w:val="21"/>
          <w:szCs w:val="21"/>
        </w:rPr>
        <w:t>Grupo</w:t>
      </w:r>
      <w:r w:rsidRPr="001D5134">
        <w:rPr>
          <w:rFonts w:ascii="Abadi" w:hAnsi="Abadi"/>
          <w:b w:val="0"/>
          <w:bCs w:val="0"/>
          <w:spacing w:val="37"/>
          <w:sz w:val="21"/>
          <w:szCs w:val="21"/>
        </w:rPr>
        <w:t xml:space="preserve"> </w:t>
      </w:r>
      <w:r w:rsidRPr="001D5134">
        <w:rPr>
          <w:rFonts w:ascii="Abadi" w:hAnsi="Abadi"/>
          <w:b w:val="0"/>
          <w:bCs w:val="0"/>
          <w:sz w:val="21"/>
          <w:szCs w:val="21"/>
        </w:rPr>
        <w:t>Parlamentario</w:t>
      </w:r>
      <w:r w:rsidRPr="001D5134">
        <w:rPr>
          <w:rFonts w:ascii="Abadi" w:hAnsi="Abadi"/>
          <w:b w:val="0"/>
          <w:bCs w:val="0"/>
          <w:spacing w:val="37"/>
          <w:sz w:val="21"/>
          <w:szCs w:val="21"/>
        </w:rPr>
        <w:t xml:space="preserve"> </w:t>
      </w:r>
      <w:r w:rsidRPr="001D5134">
        <w:rPr>
          <w:rFonts w:ascii="Abadi" w:hAnsi="Abadi"/>
          <w:b w:val="0"/>
          <w:bCs w:val="0"/>
          <w:sz w:val="21"/>
          <w:szCs w:val="21"/>
        </w:rPr>
        <w:t>del</w:t>
      </w:r>
      <w:r w:rsidRPr="001D5134">
        <w:rPr>
          <w:rFonts w:ascii="Abadi" w:hAnsi="Abadi"/>
          <w:b w:val="0"/>
          <w:bCs w:val="0"/>
          <w:spacing w:val="36"/>
          <w:sz w:val="21"/>
          <w:szCs w:val="21"/>
        </w:rPr>
        <w:t xml:space="preserve"> </w:t>
      </w:r>
      <w:r w:rsidRPr="001D5134">
        <w:rPr>
          <w:rFonts w:ascii="Abadi" w:hAnsi="Abadi"/>
          <w:b w:val="0"/>
          <w:bCs w:val="0"/>
          <w:sz w:val="21"/>
          <w:szCs w:val="21"/>
        </w:rPr>
        <w:t>Partido</w:t>
      </w:r>
      <w:r w:rsidRPr="001D5134">
        <w:rPr>
          <w:rFonts w:ascii="Abadi" w:hAnsi="Abadi"/>
          <w:b w:val="0"/>
          <w:bCs w:val="0"/>
          <w:spacing w:val="37"/>
          <w:sz w:val="21"/>
          <w:szCs w:val="21"/>
        </w:rPr>
        <w:t xml:space="preserve"> </w:t>
      </w:r>
      <w:r w:rsidRPr="001D5134">
        <w:rPr>
          <w:rFonts w:ascii="Abadi" w:hAnsi="Abadi"/>
          <w:b w:val="0"/>
          <w:bCs w:val="0"/>
          <w:sz w:val="21"/>
          <w:szCs w:val="21"/>
        </w:rPr>
        <w:t>MORENA</w:t>
      </w:r>
      <w:r w:rsidRPr="001D5134">
        <w:rPr>
          <w:rFonts w:ascii="Abadi" w:hAnsi="Abadi"/>
          <w:b w:val="0"/>
          <w:bCs w:val="0"/>
          <w:spacing w:val="37"/>
          <w:sz w:val="21"/>
          <w:szCs w:val="21"/>
        </w:rPr>
        <w:t xml:space="preserve"> </w:t>
      </w:r>
      <w:r w:rsidRPr="001D5134">
        <w:rPr>
          <w:rFonts w:ascii="Abadi" w:hAnsi="Abadi"/>
          <w:b w:val="0"/>
          <w:bCs w:val="0"/>
          <w:sz w:val="21"/>
          <w:szCs w:val="21"/>
        </w:rPr>
        <w:t>a</w:t>
      </w:r>
      <w:r w:rsidRPr="001D5134">
        <w:rPr>
          <w:rFonts w:ascii="Abadi" w:hAnsi="Abadi"/>
          <w:b w:val="0"/>
          <w:bCs w:val="0"/>
          <w:spacing w:val="-1"/>
          <w:sz w:val="21"/>
          <w:szCs w:val="21"/>
        </w:rPr>
        <w:t xml:space="preserve"> </w:t>
      </w:r>
      <w:r w:rsidRPr="001D5134">
        <w:rPr>
          <w:rFonts w:ascii="Abadi" w:hAnsi="Abadi"/>
          <w:b w:val="0"/>
          <w:bCs w:val="0"/>
          <w:sz w:val="21"/>
          <w:szCs w:val="21"/>
        </w:rPr>
        <w:t>efecto</w:t>
      </w:r>
      <w:r w:rsidRPr="001D5134">
        <w:rPr>
          <w:rFonts w:ascii="Abadi" w:hAnsi="Abadi"/>
          <w:b w:val="0"/>
          <w:bCs w:val="0"/>
          <w:spacing w:val="31"/>
          <w:sz w:val="21"/>
          <w:szCs w:val="21"/>
        </w:rPr>
        <w:t xml:space="preserve"> </w:t>
      </w:r>
      <w:r w:rsidRPr="001D5134">
        <w:rPr>
          <w:rFonts w:ascii="Abadi" w:hAnsi="Abadi"/>
          <w:b w:val="0"/>
          <w:bCs w:val="0"/>
          <w:sz w:val="21"/>
          <w:szCs w:val="21"/>
        </w:rPr>
        <w:t>de</w:t>
      </w:r>
      <w:r w:rsidRPr="001D5134">
        <w:rPr>
          <w:rFonts w:ascii="Abadi" w:hAnsi="Abadi"/>
          <w:b w:val="0"/>
          <w:bCs w:val="0"/>
          <w:spacing w:val="31"/>
          <w:sz w:val="21"/>
          <w:szCs w:val="21"/>
        </w:rPr>
        <w:t xml:space="preserve"> </w:t>
      </w:r>
      <w:r w:rsidRPr="001D5134">
        <w:rPr>
          <w:rFonts w:ascii="Abadi" w:hAnsi="Abadi"/>
          <w:b w:val="0"/>
          <w:bCs w:val="0"/>
          <w:sz w:val="21"/>
          <w:szCs w:val="21"/>
        </w:rPr>
        <w:t>reformar</w:t>
      </w:r>
      <w:r w:rsidRPr="001D5134">
        <w:rPr>
          <w:rFonts w:ascii="Abadi" w:hAnsi="Abadi"/>
          <w:b w:val="0"/>
          <w:bCs w:val="0"/>
          <w:spacing w:val="31"/>
          <w:sz w:val="21"/>
          <w:szCs w:val="21"/>
        </w:rPr>
        <w:t xml:space="preserve"> </w:t>
      </w:r>
      <w:r w:rsidRPr="001D5134">
        <w:rPr>
          <w:rFonts w:ascii="Abadi" w:hAnsi="Abadi"/>
          <w:b w:val="0"/>
          <w:bCs w:val="0"/>
          <w:sz w:val="21"/>
          <w:szCs w:val="21"/>
        </w:rPr>
        <w:t>el</w:t>
      </w:r>
      <w:r w:rsidRPr="001D5134">
        <w:rPr>
          <w:rFonts w:ascii="Abadi" w:hAnsi="Abadi"/>
          <w:b w:val="0"/>
          <w:bCs w:val="0"/>
          <w:spacing w:val="31"/>
          <w:sz w:val="21"/>
          <w:szCs w:val="21"/>
        </w:rPr>
        <w:t xml:space="preserve"> </w:t>
      </w:r>
      <w:r w:rsidRPr="001D5134">
        <w:rPr>
          <w:rFonts w:ascii="Abadi" w:hAnsi="Abadi"/>
          <w:b w:val="0"/>
          <w:bCs w:val="0"/>
          <w:sz w:val="21"/>
          <w:szCs w:val="21"/>
        </w:rPr>
        <w:t>primer</w:t>
      </w:r>
      <w:r w:rsidRPr="001D5134">
        <w:rPr>
          <w:rFonts w:ascii="Abadi" w:hAnsi="Abadi"/>
          <w:b w:val="0"/>
          <w:bCs w:val="0"/>
          <w:spacing w:val="31"/>
          <w:sz w:val="21"/>
          <w:szCs w:val="21"/>
        </w:rPr>
        <w:t xml:space="preserve"> </w:t>
      </w:r>
      <w:r w:rsidRPr="001D5134">
        <w:rPr>
          <w:rFonts w:ascii="Abadi" w:hAnsi="Abadi"/>
          <w:b w:val="0"/>
          <w:bCs w:val="0"/>
          <w:sz w:val="21"/>
          <w:szCs w:val="21"/>
        </w:rPr>
        <w:t>párrafo</w:t>
      </w:r>
      <w:r w:rsidRPr="001D5134">
        <w:rPr>
          <w:rFonts w:ascii="Abadi" w:hAnsi="Abadi"/>
          <w:b w:val="0"/>
          <w:bCs w:val="0"/>
          <w:spacing w:val="31"/>
          <w:sz w:val="21"/>
          <w:szCs w:val="21"/>
        </w:rPr>
        <w:t xml:space="preserve"> </w:t>
      </w:r>
      <w:r w:rsidRPr="001D5134">
        <w:rPr>
          <w:rFonts w:ascii="Abadi" w:hAnsi="Abadi"/>
          <w:b w:val="0"/>
          <w:bCs w:val="0"/>
          <w:sz w:val="21"/>
          <w:szCs w:val="21"/>
        </w:rPr>
        <w:t>del</w:t>
      </w:r>
      <w:r w:rsidRPr="001D5134">
        <w:rPr>
          <w:rFonts w:ascii="Abadi" w:hAnsi="Abadi"/>
          <w:b w:val="0"/>
          <w:bCs w:val="0"/>
          <w:spacing w:val="31"/>
          <w:sz w:val="21"/>
          <w:szCs w:val="21"/>
        </w:rPr>
        <w:t xml:space="preserve"> </w:t>
      </w:r>
      <w:r w:rsidRPr="001D5134">
        <w:rPr>
          <w:rFonts w:ascii="Abadi" w:hAnsi="Abadi"/>
          <w:b w:val="0"/>
          <w:bCs w:val="0"/>
          <w:sz w:val="21"/>
          <w:szCs w:val="21"/>
        </w:rPr>
        <w:t>artículo</w:t>
      </w:r>
      <w:r w:rsidRPr="001D5134">
        <w:rPr>
          <w:rFonts w:ascii="Abadi" w:hAnsi="Abadi"/>
          <w:b w:val="0"/>
          <w:bCs w:val="0"/>
          <w:spacing w:val="31"/>
          <w:sz w:val="21"/>
          <w:szCs w:val="21"/>
        </w:rPr>
        <w:t xml:space="preserve"> </w:t>
      </w:r>
      <w:r w:rsidRPr="001D5134">
        <w:rPr>
          <w:rFonts w:ascii="Abadi" w:hAnsi="Abadi"/>
          <w:b w:val="0"/>
          <w:bCs w:val="0"/>
          <w:sz w:val="21"/>
          <w:szCs w:val="21"/>
        </w:rPr>
        <w:t>62</w:t>
      </w:r>
      <w:r w:rsidRPr="001D5134">
        <w:rPr>
          <w:rFonts w:ascii="Abadi" w:hAnsi="Abadi"/>
          <w:b w:val="0"/>
          <w:bCs w:val="0"/>
          <w:spacing w:val="31"/>
          <w:sz w:val="21"/>
          <w:szCs w:val="21"/>
        </w:rPr>
        <w:t xml:space="preserve"> </w:t>
      </w:r>
      <w:r w:rsidRPr="001D5134">
        <w:rPr>
          <w:rFonts w:ascii="Abadi" w:hAnsi="Abadi"/>
          <w:b w:val="0"/>
          <w:bCs w:val="0"/>
          <w:sz w:val="21"/>
          <w:szCs w:val="21"/>
        </w:rPr>
        <w:t>y</w:t>
      </w:r>
      <w:r w:rsidRPr="001D5134">
        <w:rPr>
          <w:rFonts w:ascii="Abadi" w:hAnsi="Abadi"/>
          <w:b w:val="0"/>
          <w:bCs w:val="0"/>
          <w:spacing w:val="31"/>
          <w:sz w:val="21"/>
          <w:szCs w:val="21"/>
        </w:rPr>
        <w:t xml:space="preserve"> </w:t>
      </w:r>
      <w:r w:rsidRPr="001D5134">
        <w:rPr>
          <w:rFonts w:ascii="Abadi" w:hAnsi="Abadi"/>
          <w:b w:val="0"/>
          <w:bCs w:val="0"/>
          <w:sz w:val="21"/>
          <w:szCs w:val="21"/>
        </w:rPr>
        <w:t>adicionar</w:t>
      </w:r>
      <w:r w:rsidRPr="001D5134">
        <w:rPr>
          <w:rFonts w:ascii="Abadi" w:hAnsi="Abadi"/>
          <w:b w:val="0"/>
          <w:bCs w:val="0"/>
          <w:spacing w:val="31"/>
          <w:sz w:val="21"/>
          <w:szCs w:val="21"/>
        </w:rPr>
        <w:t xml:space="preserve"> </w:t>
      </w:r>
      <w:r w:rsidRPr="001D5134">
        <w:rPr>
          <w:rFonts w:ascii="Abadi" w:hAnsi="Abadi"/>
          <w:b w:val="0"/>
          <w:bCs w:val="0"/>
          <w:sz w:val="21"/>
          <w:szCs w:val="21"/>
        </w:rPr>
        <w:t>un</w:t>
      </w:r>
      <w:r w:rsidRPr="001D5134">
        <w:rPr>
          <w:rFonts w:ascii="Abadi" w:hAnsi="Abadi"/>
          <w:b w:val="0"/>
          <w:bCs w:val="0"/>
          <w:spacing w:val="31"/>
          <w:sz w:val="21"/>
          <w:szCs w:val="21"/>
        </w:rPr>
        <w:t xml:space="preserve"> </w:t>
      </w:r>
      <w:r w:rsidRPr="001D5134">
        <w:rPr>
          <w:rFonts w:ascii="Abadi" w:hAnsi="Abadi"/>
          <w:b w:val="0"/>
          <w:bCs w:val="0"/>
          <w:sz w:val="21"/>
          <w:szCs w:val="21"/>
        </w:rPr>
        <w:t>cuarto</w:t>
      </w:r>
      <w:r w:rsidRPr="001D5134">
        <w:rPr>
          <w:rFonts w:ascii="Abadi" w:hAnsi="Abadi"/>
          <w:b w:val="0"/>
          <w:bCs w:val="0"/>
          <w:spacing w:val="-1"/>
          <w:sz w:val="21"/>
          <w:szCs w:val="21"/>
        </w:rPr>
        <w:t xml:space="preserve"> </w:t>
      </w:r>
      <w:r w:rsidRPr="001D5134">
        <w:rPr>
          <w:rFonts w:ascii="Abadi" w:hAnsi="Abadi"/>
          <w:b w:val="0"/>
          <w:bCs w:val="0"/>
          <w:sz w:val="21"/>
          <w:szCs w:val="21"/>
        </w:rPr>
        <w:t>párrafo</w:t>
      </w:r>
      <w:r w:rsidRPr="001D5134">
        <w:rPr>
          <w:rFonts w:ascii="Abadi" w:hAnsi="Abadi"/>
          <w:b w:val="0"/>
          <w:bCs w:val="0"/>
          <w:spacing w:val="50"/>
          <w:sz w:val="21"/>
          <w:szCs w:val="21"/>
        </w:rPr>
        <w:t xml:space="preserve"> </w:t>
      </w:r>
      <w:r w:rsidRPr="001D5134">
        <w:rPr>
          <w:rFonts w:ascii="Abadi" w:hAnsi="Abadi"/>
          <w:b w:val="0"/>
          <w:bCs w:val="0"/>
          <w:sz w:val="21"/>
          <w:szCs w:val="21"/>
        </w:rPr>
        <w:t>al</w:t>
      </w:r>
      <w:r w:rsidRPr="001D5134">
        <w:rPr>
          <w:rFonts w:ascii="Abadi" w:hAnsi="Abadi"/>
          <w:b w:val="0"/>
          <w:bCs w:val="0"/>
          <w:spacing w:val="50"/>
          <w:sz w:val="21"/>
          <w:szCs w:val="21"/>
        </w:rPr>
        <w:t xml:space="preserve"> </w:t>
      </w:r>
      <w:r w:rsidRPr="001D5134">
        <w:rPr>
          <w:rFonts w:ascii="Abadi" w:hAnsi="Abadi"/>
          <w:b w:val="0"/>
          <w:bCs w:val="0"/>
          <w:sz w:val="21"/>
          <w:szCs w:val="21"/>
        </w:rPr>
        <w:t>artículo</w:t>
      </w:r>
      <w:r w:rsidRPr="001D5134">
        <w:rPr>
          <w:rFonts w:ascii="Abadi" w:hAnsi="Abadi"/>
          <w:b w:val="0"/>
          <w:bCs w:val="0"/>
          <w:spacing w:val="50"/>
          <w:sz w:val="21"/>
          <w:szCs w:val="21"/>
        </w:rPr>
        <w:t xml:space="preserve"> </w:t>
      </w:r>
      <w:r w:rsidRPr="001D5134">
        <w:rPr>
          <w:rFonts w:ascii="Abadi" w:hAnsi="Abadi"/>
          <w:b w:val="0"/>
          <w:bCs w:val="0"/>
          <w:sz w:val="21"/>
          <w:szCs w:val="21"/>
        </w:rPr>
        <w:t>61</w:t>
      </w:r>
      <w:r w:rsidRPr="001D5134">
        <w:rPr>
          <w:rFonts w:ascii="Abadi" w:hAnsi="Abadi"/>
          <w:b w:val="0"/>
          <w:bCs w:val="0"/>
          <w:spacing w:val="50"/>
          <w:sz w:val="21"/>
          <w:szCs w:val="21"/>
        </w:rPr>
        <w:t xml:space="preserve"> </w:t>
      </w:r>
      <w:r w:rsidRPr="001D5134">
        <w:rPr>
          <w:rFonts w:ascii="Abadi" w:hAnsi="Abadi"/>
          <w:b w:val="0"/>
          <w:bCs w:val="0"/>
          <w:sz w:val="21"/>
          <w:szCs w:val="21"/>
        </w:rPr>
        <w:t>ter</w:t>
      </w:r>
      <w:r w:rsidRPr="001D5134">
        <w:rPr>
          <w:rFonts w:ascii="Abadi" w:hAnsi="Abadi"/>
          <w:b w:val="0"/>
          <w:bCs w:val="0"/>
          <w:spacing w:val="50"/>
          <w:sz w:val="21"/>
          <w:szCs w:val="21"/>
        </w:rPr>
        <w:t xml:space="preserve"> </w:t>
      </w:r>
      <w:r w:rsidRPr="001D5134">
        <w:rPr>
          <w:rFonts w:ascii="Abadi" w:hAnsi="Abadi"/>
          <w:b w:val="0"/>
          <w:bCs w:val="0"/>
          <w:sz w:val="21"/>
          <w:szCs w:val="21"/>
        </w:rPr>
        <w:t>1</w:t>
      </w:r>
      <w:r w:rsidRPr="001D5134">
        <w:rPr>
          <w:rFonts w:ascii="Abadi" w:hAnsi="Abadi"/>
          <w:b w:val="0"/>
          <w:bCs w:val="0"/>
          <w:spacing w:val="50"/>
          <w:sz w:val="21"/>
          <w:szCs w:val="21"/>
        </w:rPr>
        <w:t xml:space="preserve"> </w:t>
      </w:r>
      <w:r w:rsidRPr="001D5134">
        <w:rPr>
          <w:rFonts w:ascii="Abadi" w:hAnsi="Abadi"/>
          <w:b w:val="0"/>
          <w:bCs w:val="0"/>
          <w:sz w:val="21"/>
          <w:szCs w:val="21"/>
        </w:rPr>
        <w:t>de</w:t>
      </w:r>
      <w:r w:rsidRPr="001D5134">
        <w:rPr>
          <w:rFonts w:ascii="Abadi" w:hAnsi="Abadi"/>
          <w:b w:val="0"/>
          <w:bCs w:val="0"/>
          <w:spacing w:val="50"/>
          <w:sz w:val="21"/>
          <w:szCs w:val="21"/>
        </w:rPr>
        <w:t xml:space="preserve"> </w:t>
      </w:r>
      <w:r w:rsidRPr="001D5134">
        <w:rPr>
          <w:rFonts w:ascii="Abadi" w:hAnsi="Abadi"/>
          <w:b w:val="0"/>
          <w:bCs w:val="0"/>
          <w:sz w:val="21"/>
          <w:szCs w:val="21"/>
        </w:rPr>
        <w:t>la</w:t>
      </w:r>
      <w:r w:rsidRPr="001D5134">
        <w:rPr>
          <w:rFonts w:ascii="Abadi" w:hAnsi="Abadi"/>
          <w:b w:val="0"/>
          <w:bCs w:val="0"/>
          <w:spacing w:val="50"/>
          <w:sz w:val="21"/>
          <w:szCs w:val="21"/>
        </w:rPr>
        <w:t xml:space="preserve"> </w:t>
      </w:r>
      <w:r w:rsidRPr="001D5134">
        <w:rPr>
          <w:rFonts w:ascii="Abadi" w:hAnsi="Abadi"/>
          <w:b w:val="0"/>
          <w:bCs w:val="0"/>
          <w:sz w:val="21"/>
          <w:szCs w:val="21"/>
        </w:rPr>
        <w:t>Ley</w:t>
      </w:r>
      <w:r w:rsidRPr="001D5134">
        <w:rPr>
          <w:rFonts w:ascii="Abadi" w:hAnsi="Abadi"/>
          <w:b w:val="0"/>
          <w:bCs w:val="0"/>
          <w:spacing w:val="50"/>
          <w:sz w:val="21"/>
          <w:szCs w:val="21"/>
        </w:rPr>
        <w:t xml:space="preserve"> </w:t>
      </w:r>
      <w:r w:rsidRPr="001D5134">
        <w:rPr>
          <w:rFonts w:ascii="Abadi" w:hAnsi="Abadi"/>
          <w:b w:val="0"/>
          <w:bCs w:val="0"/>
          <w:sz w:val="21"/>
          <w:szCs w:val="21"/>
        </w:rPr>
        <w:t>para</w:t>
      </w:r>
      <w:r w:rsidRPr="001D5134">
        <w:rPr>
          <w:rFonts w:ascii="Abadi" w:hAnsi="Abadi"/>
          <w:b w:val="0"/>
          <w:bCs w:val="0"/>
          <w:spacing w:val="50"/>
          <w:sz w:val="21"/>
          <w:szCs w:val="21"/>
        </w:rPr>
        <w:t xml:space="preserve"> </w:t>
      </w:r>
      <w:r w:rsidRPr="001D5134">
        <w:rPr>
          <w:rFonts w:ascii="Abadi" w:hAnsi="Abadi"/>
          <w:b w:val="0"/>
          <w:bCs w:val="0"/>
          <w:sz w:val="21"/>
          <w:szCs w:val="21"/>
        </w:rPr>
        <w:t>el</w:t>
      </w:r>
      <w:r w:rsidRPr="001D5134">
        <w:rPr>
          <w:rFonts w:ascii="Abadi" w:hAnsi="Abadi"/>
          <w:b w:val="0"/>
          <w:bCs w:val="0"/>
          <w:spacing w:val="50"/>
          <w:sz w:val="21"/>
          <w:szCs w:val="21"/>
        </w:rPr>
        <w:t xml:space="preserve"> </w:t>
      </w:r>
      <w:r w:rsidRPr="001D5134">
        <w:rPr>
          <w:rFonts w:ascii="Abadi" w:hAnsi="Abadi"/>
          <w:b w:val="0"/>
          <w:bCs w:val="0"/>
          <w:sz w:val="21"/>
          <w:szCs w:val="21"/>
        </w:rPr>
        <w:t>Ejercicio</w:t>
      </w:r>
      <w:r w:rsidRPr="001D5134">
        <w:rPr>
          <w:rFonts w:ascii="Abadi" w:hAnsi="Abadi"/>
          <w:b w:val="0"/>
          <w:bCs w:val="0"/>
          <w:spacing w:val="50"/>
          <w:sz w:val="21"/>
          <w:szCs w:val="21"/>
        </w:rPr>
        <w:t xml:space="preserve"> </w:t>
      </w:r>
      <w:r w:rsidRPr="001D5134">
        <w:rPr>
          <w:rFonts w:ascii="Abadi" w:hAnsi="Abadi"/>
          <w:b w:val="0"/>
          <w:bCs w:val="0"/>
          <w:sz w:val="21"/>
          <w:szCs w:val="21"/>
        </w:rPr>
        <w:t>y</w:t>
      </w:r>
      <w:r w:rsidRPr="001D5134">
        <w:rPr>
          <w:rFonts w:ascii="Abadi" w:hAnsi="Abadi"/>
          <w:b w:val="0"/>
          <w:bCs w:val="0"/>
          <w:spacing w:val="50"/>
          <w:sz w:val="21"/>
          <w:szCs w:val="21"/>
        </w:rPr>
        <w:t xml:space="preserve"> </w:t>
      </w:r>
      <w:r w:rsidRPr="001D5134">
        <w:rPr>
          <w:rFonts w:ascii="Abadi" w:hAnsi="Abadi"/>
          <w:b w:val="0"/>
          <w:bCs w:val="0"/>
          <w:sz w:val="21"/>
          <w:szCs w:val="21"/>
        </w:rPr>
        <w:t>Control</w:t>
      </w:r>
      <w:r w:rsidRPr="001D5134">
        <w:rPr>
          <w:rFonts w:ascii="Abadi" w:hAnsi="Abadi"/>
          <w:b w:val="0"/>
          <w:bCs w:val="0"/>
          <w:spacing w:val="50"/>
          <w:sz w:val="21"/>
          <w:szCs w:val="21"/>
        </w:rPr>
        <w:t xml:space="preserve"> </w:t>
      </w:r>
      <w:r w:rsidRPr="001D5134">
        <w:rPr>
          <w:rFonts w:ascii="Abadi" w:hAnsi="Abadi"/>
          <w:b w:val="0"/>
          <w:bCs w:val="0"/>
          <w:sz w:val="21"/>
          <w:szCs w:val="21"/>
        </w:rPr>
        <w:t>de</w:t>
      </w:r>
      <w:r w:rsidRPr="001D5134">
        <w:rPr>
          <w:rFonts w:ascii="Abadi" w:hAnsi="Abadi"/>
          <w:b w:val="0"/>
          <w:bCs w:val="0"/>
          <w:spacing w:val="50"/>
          <w:sz w:val="21"/>
          <w:szCs w:val="21"/>
        </w:rPr>
        <w:t xml:space="preserve"> </w:t>
      </w:r>
      <w:r w:rsidRPr="001D5134">
        <w:rPr>
          <w:rFonts w:ascii="Abadi" w:hAnsi="Abadi"/>
          <w:b w:val="0"/>
          <w:bCs w:val="0"/>
          <w:sz w:val="21"/>
          <w:szCs w:val="21"/>
        </w:rPr>
        <w:t>los</w:t>
      </w:r>
      <w:r w:rsidRPr="001D5134">
        <w:rPr>
          <w:rFonts w:ascii="Abadi" w:hAnsi="Abadi"/>
          <w:b w:val="0"/>
          <w:bCs w:val="0"/>
          <w:spacing w:val="-1"/>
          <w:sz w:val="21"/>
          <w:szCs w:val="21"/>
        </w:rPr>
        <w:t xml:space="preserve"> </w:t>
      </w:r>
      <w:r w:rsidRPr="001D5134">
        <w:rPr>
          <w:rFonts w:ascii="Abadi" w:hAnsi="Abadi"/>
          <w:b w:val="0"/>
          <w:bCs w:val="0"/>
          <w:sz w:val="21"/>
          <w:szCs w:val="21"/>
        </w:rPr>
        <w:t>Recursos</w:t>
      </w:r>
      <w:r w:rsidRPr="001D5134">
        <w:rPr>
          <w:rFonts w:ascii="Abadi" w:hAnsi="Abadi"/>
          <w:b w:val="0"/>
          <w:bCs w:val="0"/>
          <w:spacing w:val="-15"/>
          <w:sz w:val="21"/>
          <w:szCs w:val="21"/>
        </w:rPr>
        <w:t xml:space="preserve"> </w:t>
      </w:r>
      <w:r w:rsidRPr="001D5134">
        <w:rPr>
          <w:rFonts w:ascii="Abadi" w:hAnsi="Abadi"/>
          <w:b w:val="0"/>
          <w:bCs w:val="0"/>
          <w:sz w:val="21"/>
          <w:szCs w:val="21"/>
        </w:rPr>
        <w:t>Públicos</w:t>
      </w:r>
      <w:r w:rsidRPr="001D5134">
        <w:rPr>
          <w:rFonts w:ascii="Abadi" w:hAnsi="Abadi"/>
          <w:b w:val="0"/>
          <w:bCs w:val="0"/>
          <w:spacing w:val="-15"/>
          <w:sz w:val="21"/>
          <w:szCs w:val="21"/>
        </w:rPr>
        <w:t xml:space="preserve"> </w:t>
      </w:r>
      <w:r w:rsidRPr="001D5134">
        <w:rPr>
          <w:rFonts w:ascii="Abadi" w:hAnsi="Abadi"/>
          <w:b w:val="0"/>
          <w:bCs w:val="0"/>
          <w:sz w:val="21"/>
          <w:szCs w:val="21"/>
        </w:rPr>
        <w:t>para</w:t>
      </w:r>
      <w:r w:rsidRPr="001D5134">
        <w:rPr>
          <w:rFonts w:ascii="Abadi" w:hAnsi="Abadi"/>
          <w:b w:val="0"/>
          <w:bCs w:val="0"/>
          <w:spacing w:val="-15"/>
          <w:sz w:val="21"/>
          <w:szCs w:val="21"/>
        </w:rPr>
        <w:t xml:space="preserve"> </w:t>
      </w:r>
      <w:r w:rsidRPr="001D5134">
        <w:rPr>
          <w:rFonts w:ascii="Abadi" w:hAnsi="Abadi"/>
          <w:b w:val="0"/>
          <w:bCs w:val="0"/>
          <w:sz w:val="21"/>
          <w:szCs w:val="21"/>
        </w:rPr>
        <w:t>el</w:t>
      </w:r>
      <w:r w:rsidRPr="001D5134">
        <w:rPr>
          <w:rFonts w:ascii="Abadi" w:hAnsi="Abadi"/>
          <w:b w:val="0"/>
          <w:bCs w:val="0"/>
          <w:spacing w:val="-15"/>
          <w:sz w:val="21"/>
          <w:szCs w:val="21"/>
        </w:rPr>
        <w:t xml:space="preserve"> </w:t>
      </w:r>
      <w:r w:rsidRPr="001D5134">
        <w:rPr>
          <w:rFonts w:ascii="Abadi" w:hAnsi="Abadi"/>
          <w:b w:val="0"/>
          <w:bCs w:val="0"/>
          <w:sz w:val="21"/>
          <w:szCs w:val="21"/>
        </w:rPr>
        <w:t>Estado</w:t>
      </w:r>
      <w:r w:rsidRPr="001D5134">
        <w:rPr>
          <w:rFonts w:ascii="Abadi" w:hAnsi="Abadi"/>
          <w:b w:val="0"/>
          <w:bCs w:val="0"/>
          <w:spacing w:val="-15"/>
          <w:sz w:val="21"/>
          <w:szCs w:val="21"/>
        </w:rPr>
        <w:t xml:space="preserve"> </w:t>
      </w:r>
      <w:r w:rsidRPr="001D5134">
        <w:rPr>
          <w:rFonts w:ascii="Abadi" w:hAnsi="Abadi"/>
          <w:b w:val="0"/>
          <w:bCs w:val="0"/>
          <w:sz w:val="21"/>
          <w:szCs w:val="21"/>
        </w:rPr>
        <w:t>y</w:t>
      </w:r>
      <w:r w:rsidRPr="001D5134">
        <w:rPr>
          <w:rFonts w:ascii="Abadi" w:hAnsi="Abadi"/>
          <w:b w:val="0"/>
          <w:bCs w:val="0"/>
          <w:spacing w:val="-15"/>
          <w:sz w:val="21"/>
          <w:szCs w:val="21"/>
        </w:rPr>
        <w:t xml:space="preserve"> </w:t>
      </w:r>
      <w:r w:rsidRPr="001D5134">
        <w:rPr>
          <w:rFonts w:ascii="Abadi" w:hAnsi="Abadi"/>
          <w:b w:val="0"/>
          <w:bCs w:val="0"/>
          <w:sz w:val="21"/>
          <w:szCs w:val="21"/>
        </w:rPr>
        <w:t>los</w:t>
      </w:r>
      <w:r w:rsidRPr="001D5134">
        <w:rPr>
          <w:rFonts w:ascii="Abadi" w:hAnsi="Abadi"/>
          <w:b w:val="0"/>
          <w:bCs w:val="0"/>
          <w:spacing w:val="-15"/>
          <w:sz w:val="21"/>
          <w:szCs w:val="21"/>
        </w:rPr>
        <w:t xml:space="preserve"> </w:t>
      </w:r>
      <w:r w:rsidRPr="001D5134">
        <w:rPr>
          <w:rFonts w:ascii="Abadi" w:hAnsi="Abadi"/>
          <w:b w:val="0"/>
          <w:bCs w:val="0"/>
          <w:sz w:val="21"/>
          <w:szCs w:val="21"/>
        </w:rPr>
        <w:t>Municipios</w:t>
      </w:r>
      <w:r w:rsidRPr="001D5134">
        <w:rPr>
          <w:rFonts w:ascii="Abadi" w:hAnsi="Abadi"/>
          <w:b w:val="0"/>
          <w:bCs w:val="0"/>
          <w:spacing w:val="-15"/>
          <w:sz w:val="21"/>
          <w:szCs w:val="21"/>
        </w:rPr>
        <w:t xml:space="preserve"> </w:t>
      </w:r>
      <w:r w:rsidRPr="001D5134">
        <w:rPr>
          <w:rFonts w:ascii="Abadi" w:hAnsi="Abadi"/>
          <w:b w:val="0"/>
          <w:bCs w:val="0"/>
          <w:sz w:val="21"/>
          <w:szCs w:val="21"/>
        </w:rPr>
        <w:t>de</w:t>
      </w:r>
      <w:r w:rsidRPr="001D5134">
        <w:rPr>
          <w:rFonts w:ascii="Abadi" w:hAnsi="Abadi"/>
          <w:b w:val="0"/>
          <w:bCs w:val="0"/>
          <w:spacing w:val="-15"/>
          <w:sz w:val="21"/>
          <w:szCs w:val="21"/>
        </w:rPr>
        <w:t xml:space="preserve"> </w:t>
      </w:r>
      <w:r w:rsidRPr="001D5134">
        <w:rPr>
          <w:rFonts w:ascii="Abadi" w:hAnsi="Abadi"/>
          <w:b w:val="0"/>
          <w:bCs w:val="0"/>
          <w:sz w:val="21"/>
          <w:szCs w:val="21"/>
        </w:rPr>
        <w:t>Guanajuato;</w:t>
      </w:r>
      <w:r w:rsidRPr="001D5134">
        <w:rPr>
          <w:rFonts w:ascii="Abadi" w:hAnsi="Abadi"/>
          <w:b w:val="0"/>
          <w:bCs w:val="0"/>
          <w:spacing w:val="-15"/>
          <w:sz w:val="21"/>
          <w:szCs w:val="21"/>
        </w:rPr>
        <w:t xml:space="preserve"> </w:t>
      </w:r>
      <w:r w:rsidRPr="001D5134">
        <w:rPr>
          <w:rFonts w:ascii="Abadi" w:hAnsi="Abadi"/>
          <w:b w:val="0"/>
          <w:bCs w:val="0"/>
          <w:sz w:val="21"/>
          <w:szCs w:val="21"/>
        </w:rPr>
        <w:t>y</w:t>
      </w:r>
      <w:r w:rsidRPr="001D5134">
        <w:rPr>
          <w:rFonts w:ascii="Abadi" w:hAnsi="Abadi"/>
          <w:b w:val="0"/>
          <w:bCs w:val="0"/>
          <w:spacing w:val="-13"/>
          <w:sz w:val="21"/>
          <w:szCs w:val="21"/>
        </w:rPr>
        <w:t xml:space="preserve"> </w:t>
      </w:r>
      <w:r w:rsidRPr="001D5134">
        <w:rPr>
          <w:rFonts w:ascii="Abadi" w:hAnsi="Abadi"/>
          <w:b w:val="0"/>
          <w:bCs w:val="0"/>
          <w:sz w:val="21"/>
          <w:szCs w:val="21"/>
        </w:rPr>
        <w:t>derogar</w:t>
      </w:r>
      <w:r w:rsidRPr="001D5134">
        <w:rPr>
          <w:rFonts w:ascii="Abadi" w:hAnsi="Abadi"/>
          <w:b w:val="0"/>
          <w:bCs w:val="0"/>
          <w:spacing w:val="-1"/>
          <w:sz w:val="21"/>
          <w:szCs w:val="21"/>
        </w:rPr>
        <w:t xml:space="preserve"> </w:t>
      </w:r>
      <w:r w:rsidRPr="001D5134">
        <w:rPr>
          <w:rFonts w:ascii="Abadi" w:hAnsi="Abadi"/>
          <w:b w:val="0"/>
          <w:bCs w:val="0"/>
          <w:sz w:val="21"/>
          <w:szCs w:val="21"/>
        </w:rPr>
        <w:t>la</w:t>
      </w:r>
      <w:r w:rsidRPr="001D5134">
        <w:rPr>
          <w:rFonts w:ascii="Abadi" w:hAnsi="Abadi"/>
          <w:b w:val="0"/>
          <w:bCs w:val="0"/>
          <w:spacing w:val="29"/>
          <w:sz w:val="21"/>
          <w:szCs w:val="21"/>
        </w:rPr>
        <w:t xml:space="preserve"> </w:t>
      </w:r>
      <w:r w:rsidRPr="001D5134">
        <w:rPr>
          <w:rFonts w:ascii="Abadi" w:hAnsi="Abadi"/>
          <w:b w:val="0"/>
          <w:bCs w:val="0"/>
          <w:sz w:val="21"/>
          <w:szCs w:val="21"/>
        </w:rPr>
        <w:t>fracción</w:t>
      </w:r>
      <w:r w:rsidRPr="001D5134">
        <w:rPr>
          <w:rFonts w:ascii="Abadi" w:hAnsi="Abadi"/>
          <w:b w:val="0"/>
          <w:bCs w:val="0"/>
          <w:spacing w:val="28"/>
          <w:sz w:val="21"/>
          <w:szCs w:val="21"/>
        </w:rPr>
        <w:t xml:space="preserve"> </w:t>
      </w:r>
      <w:r w:rsidRPr="001D5134">
        <w:rPr>
          <w:rFonts w:ascii="Abadi" w:hAnsi="Abadi"/>
          <w:b w:val="0"/>
          <w:bCs w:val="0"/>
          <w:sz w:val="21"/>
          <w:szCs w:val="21"/>
        </w:rPr>
        <w:t>IX</w:t>
      </w:r>
      <w:r w:rsidRPr="001D5134">
        <w:rPr>
          <w:rFonts w:ascii="Abadi" w:hAnsi="Abadi"/>
          <w:b w:val="0"/>
          <w:bCs w:val="0"/>
          <w:spacing w:val="29"/>
          <w:sz w:val="21"/>
          <w:szCs w:val="21"/>
        </w:rPr>
        <w:t xml:space="preserve"> </w:t>
      </w:r>
      <w:r w:rsidRPr="001D5134">
        <w:rPr>
          <w:rFonts w:ascii="Abadi" w:hAnsi="Abadi"/>
          <w:b w:val="0"/>
          <w:bCs w:val="0"/>
          <w:sz w:val="21"/>
          <w:szCs w:val="21"/>
        </w:rPr>
        <w:t>del</w:t>
      </w:r>
      <w:r w:rsidRPr="001D5134">
        <w:rPr>
          <w:rFonts w:ascii="Abadi" w:hAnsi="Abadi"/>
          <w:b w:val="0"/>
          <w:bCs w:val="0"/>
          <w:spacing w:val="28"/>
          <w:sz w:val="21"/>
          <w:szCs w:val="21"/>
        </w:rPr>
        <w:t xml:space="preserve"> </w:t>
      </w:r>
      <w:r w:rsidRPr="001D5134">
        <w:rPr>
          <w:rFonts w:ascii="Abadi" w:hAnsi="Abadi"/>
          <w:b w:val="0"/>
          <w:bCs w:val="0"/>
          <w:sz w:val="21"/>
          <w:szCs w:val="21"/>
        </w:rPr>
        <w:t>artículo</w:t>
      </w:r>
      <w:r w:rsidRPr="001D5134">
        <w:rPr>
          <w:rFonts w:ascii="Abadi" w:hAnsi="Abadi"/>
          <w:b w:val="0"/>
          <w:bCs w:val="0"/>
          <w:spacing w:val="28"/>
          <w:sz w:val="21"/>
          <w:szCs w:val="21"/>
        </w:rPr>
        <w:t xml:space="preserve"> </w:t>
      </w:r>
      <w:r w:rsidRPr="001D5134">
        <w:rPr>
          <w:rFonts w:ascii="Abadi" w:hAnsi="Abadi"/>
          <w:b w:val="0"/>
          <w:bCs w:val="0"/>
          <w:sz w:val="21"/>
          <w:szCs w:val="21"/>
        </w:rPr>
        <w:t>7</w:t>
      </w:r>
      <w:r w:rsidRPr="001D5134">
        <w:rPr>
          <w:rFonts w:ascii="Abadi" w:hAnsi="Abadi"/>
          <w:b w:val="0"/>
          <w:bCs w:val="0"/>
          <w:spacing w:val="28"/>
          <w:sz w:val="21"/>
          <w:szCs w:val="21"/>
        </w:rPr>
        <w:t xml:space="preserve"> </w:t>
      </w:r>
      <w:r w:rsidRPr="001D5134">
        <w:rPr>
          <w:rFonts w:ascii="Abadi" w:hAnsi="Abadi"/>
          <w:b w:val="0"/>
          <w:bCs w:val="0"/>
          <w:sz w:val="21"/>
          <w:szCs w:val="21"/>
        </w:rPr>
        <w:t>de</w:t>
      </w:r>
      <w:r w:rsidRPr="001D5134">
        <w:rPr>
          <w:rFonts w:ascii="Abadi" w:hAnsi="Abadi"/>
          <w:b w:val="0"/>
          <w:bCs w:val="0"/>
          <w:spacing w:val="28"/>
          <w:sz w:val="21"/>
          <w:szCs w:val="21"/>
        </w:rPr>
        <w:t xml:space="preserve"> </w:t>
      </w:r>
      <w:r w:rsidRPr="001D5134">
        <w:rPr>
          <w:rFonts w:ascii="Abadi" w:hAnsi="Abadi"/>
          <w:b w:val="0"/>
          <w:bCs w:val="0"/>
          <w:sz w:val="21"/>
          <w:szCs w:val="21"/>
        </w:rPr>
        <w:t>la</w:t>
      </w:r>
      <w:r w:rsidRPr="001D5134">
        <w:rPr>
          <w:rFonts w:ascii="Abadi" w:hAnsi="Abadi"/>
          <w:b w:val="0"/>
          <w:bCs w:val="0"/>
          <w:spacing w:val="28"/>
          <w:sz w:val="21"/>
          <w:szCs w:val="21"/>
        </w:rPr>
        <w:t xml:space="preserve"> </w:t>
      </w:r>
      <w:r w:rsidRPr="001D5134">
        <w:rPr>
          <w:rFonts w:ascii="Abadi" w:hAnsi="Abadi"/>
          <w:b w:val="0"/>
          <w:bCs w:val="0"/>
          <w:sz w:val="21"/>
          <w:szCs w:val="21"/>
        </w:rPr>
        <w:t>Ley</w:t>
      </w:r>
      <w:r w:rsidRPr="001D5134">
        <w:rPr>
          <w:rFonts w:ascii="Abadi" w:hAnsi="Abadi"/>
          <w:b w:val="0"/>
          <w:bCs w:val="0"/>
          <w:spacing w:val="28"/>
          <w:sz w:val="21"/>
          <w:szCs w:val="21"/>
        </w:rPr>
        <w:t xml:space="preserve"> </w:t>
      </w:r>
      <w:r w:rsidRPr="001D5134">
        <w:rPr>
          <w:rFonts w:ascii="Abadi" w:hAnsi="Abadi"/>
          <w:b w:val="0"/>
          <w:bCs w:val="0"/>
          <w:sz w:val="21"/>
          <w:szCs w:val="21"/>
        </w:rPr>
        <w:t>de</w:t>
      </w:r>
      <w:r w:rsidRPr="001D5134">
        <w:rPr>
          <w:rFonts w:ascii="Abadi" w:hAnsi="Abadi"/>
          <w:b w:val="0"/>
          <w:bCs w:val="0"/>
          <w:spacing w:val="29"/>
          <w:sz w:val="21"/>
          <w:szCs w:val="21"/>
        </w:rPr>
        <w:t xml:space="preserve"> </w:t>
      </w:r>
      <w:r w:rsidRPr="001D5134">
        <w:rPr>
          <w:rFonts w:ascii="Abadi" w:hAnsi="Abadi"/>
          <w:b w:val="0"/>
          <w:bCs w:val="0"/>
          <w:sz w:val="21"/>
          <w:szCs w:val="21"/>
        </w:rPr>
        <w:t>Contrataciones</w:t>
      </w:r>
      <w:r w:rsidRPr="001D5134">
        <w:rPr>
          <w:rFonts w:ascii="Abadi" w:hAnsi="Abadi"/>
          <w:b w:val="0"/>
          <w:bCs w:val="0"/>
          <w:spacing w:val="29"/>
          <w:sz w:val="21"/>
          <w:szCs w:val="21"/>
        </w:rPr>
        <w:t xml:space="preserve"> </w:t>
      </w:r>
      <w:r w:rsidRPr="001D5134">
        <w:rPr>
          <w:rFonts w:ascii="Abadi" w:hAnsi="Abadi"/>
          <w:b w:val="0"/>
          <w:bCs w:val="0"/>
          <w:sz w:val="21"/>
          <w:szCs w:val="21"/>
        </w:rPr>
        <w:t>Públicas</w:t>
      </w:r>
      <w:r w:rsidRPr="001D5134">
        <w:rPr>
          <w:rFonts w:ascii="Abadi" w:hAnsi="Abadi"/>
          <w:b w:val="0"/>
          <w:bCs w:val="0"/>
          <w:spacing w:val="29"/>
          <w:sz w:val="21"/>
          <w:szCs w:val="21"/>
        </w:rPr>
        <w:t xml:space="preserve"> </w:t>
      </w:r>
      <w:r w:rsidRPr="001D5134">
        <w:rPr>
          <w:rFonts w:ascii="Abadi" w:hAnsi="Abadi"/>
          <w:b w:val="0"/>
          <w:bCs w:val="0"/>
          <w:sz w:val="21"/>
          <w:szCs w:val="21"/>
        </w:rPr>
        <w:t>para</w:t>
      </w:r>
      <w:r w:rsidRPr="001D5134">
        <w:rPr>
          <w:rFonts w:ascii="Abadi" w:hAnsi="Abadi"/>
          <w:b w:val="0"/>
          <w:bCs w:val="0"/>
          <w:spacing w:val="29"/>
          <w:sz w:val="21"/>
          <w:szCs w:val="21"/>
        </w:rPr>
        <w:t xml:space="preserve"> </w:t>
      </w:r>
      <w:r w:rsidRPr="001D5134">
        <w:rPr>
          <w:rFonts w:ascii="Abadi" w:hAnsi="Abadi"/>
          <w:b w:val="0"/>
          <w:bCs w:val="0"/>
          <w:sz w:val="21"/>
          <w:szCs w:val="21"/>
        </w:rPr>
        <w:t>el</w:t>
      </w:r>
      <w:r w:rsidRPr="001D5134">
        <w:rPr>
          <w:rFonts w:ascii="Abadi" w:hAnsi="Abadi"/>
          <w:b w:val="0"/>
          <w:bCs w:val="0"/>
          <w:spacing w:val="-1"/>
          <w:sz w:val="21"/>
          <w:szCs w:val="21"/>
        </w:rPr>
        <w:t xml:space="preserve"> </w:t>
      </w:r>
      <w:r w:rsidRPr="001D5134">
        <w:rPr>
          <w:rFonts w:ascii="Abadi" w:hAnsi="Abadi"/>
          <w:b w:val="0"/>
          <w:bCs w:val="0"/>
          <w:sz w:val="21"/>
          <w:szCs w:val="21"/>
        </w:rPr>
        <w:t>Estado</w:t>
      </w:r>
      <w:r w:rsidRPr="001D5134">
        <w:rPr>
          <w:rFonts w:ascii="Abadi" w:hAnsi="Abadi"/>
          <w:b w:val="0"/>
          <w:bCs w:val="0"/>
          <w:spacing w:val="-1"/>
          <w:sz w:val="21"/>
          <w:szCs w:val="21"/>
        </w:rPr>
        <w:t xml:space="preserve"> </w:t>
      </w:r>
      <w:r w:rsidRPr="001D5134">
        <w:rPr>
          <w:rFonts w:ascii="Abadi" w:hAnsi="Abadi"/>
          <w:b w:val="0"/>
          <w:bCs w:val="0"/>
          <w:sz w:val="21"/>
          <w:szCs w:val="21"/>
        </w:rPr>
        <w:t>de</w:t>
      </w:r>
      <w:r w:rsidRPr="001D5134">
        <w:rPr>
          <w:rFonts w:ascii="Abadi" w:hAnsi="Abadi"/>
          <w:b w:val="0"/>
          <w:bCs w:val="0"/>
          <w:spacing w:val="-1"/>
          <w:sz w:val="21"/>
          <w:szCs w:val="21"/>
        </w:rPr>
        <w:t xml:space="preserve"> </w:t>
      </w:r>
      <w:r w:rsidRPr="001D5134">
        <w:rPr>
          <w:rFonts w:ascii="Abadi" w:hAnsi="Abadi"/>
          <w:b w:val="0"/>
          <w:bCs w:val="0"/>
          <w:sz w:val="21"/>
          <w:szCs w:val="21"/>
        </w:rPr>
        <w:t>Guanajuato.</w:t>
      </w:r>
      <w:r>
        <w:rPr>
          <w:rFonts w:ascii="Abadi" w:hAnsi="Abadi"/>
          <w:sz w:val="21"/>
          <w:szCs w:val="21"/>
        </w:rPr>
        <w:t xml:space="preserve"> </w:t>
      </w:r>
      <w:r w:rsidRPr="009A3D12">
        <w:rPr>
          <w:rFonts w:ascii="Abadi" w:hAnsi="Abadi"/>
          <w:sz w:val="21"/>
          <w:szCs w:val="21"/>
        </w:rPr>
        <w:t>XLVII.-</w:t>
      </w:r>
      <w:r>
        <w:rPr>
          <w:rFonts w:ascii="Abadi" w:hAnsi="Abadi"/>
          <w:sz w:val="21"/>
          <w:szCs w:val="21"/>
        </w:rPr>
        <w:t xml:space="preserve"> </w:t>
      </w:r>
      <w:r w:rsidRPr="001D5134">
        <w:rPr>
          <w:rFonts w:ascii="Abadi" w:hAnsi="Abadi"/>
          <w:b w:val="0"/>
          <w:bCs w:val="0"/>
          <w:sz w:val="21"/>
          <w:szCs w:val="21"/>
        </w:rPr>
        <w:t>Discusión</w:t>
      </w:r>
      <w:r w:rsidRPr="001D5134">
        <w:rPr>
          <w:rFonts w:ascii="Abadi" w:hAnsi="Abadi"/>
          <w:b w:val="0"/>
          <w:bCs w:val="0"/>
          <w:spacing w:val="11"/>
          <w:sz w:val="21"/>
          <w:szCs w:val="21"/>
        </w:rPr>
        <w:t xml:space="preserve"> </w:t>
      </w:r>
      <w:r w:rsidRPr="001D5134">
        <w:rPr>
          <w:rFonts w:ascii="Abadi" w:hAnsi="Abadi"/>
          <w:b w:val="0"/>
          <w:bCs w:val="0"/>
          <w:sz w:val="21"/>
          <w:szCs w:val="21"/>
        </w:rPr>
        <w:t>y,</w:t>
      </w:r>
      <w:r w:rsidRPr="001D5134">
        <w:rPr>
          <w:rFonts w:ascii="Abadi" w:hAnsi="Abadi"/>
          <w:b w:val="0"/>
          <w:bCs w:val="0"/>
          <w:spacing w:val="11"/>
          <w:sz w:val="21"/>
          <w:szCs w:val="21"/>
        </w:rPr>
        <w:t xml:space="preserve"> </w:t>
      </w:r>
      <w:r w:rsidRPr="001D5134">
        <w:rPr>
          <w:rFonts w:ascii="Abadi" w:hAnsi="Abadi"/>
          <w:b w:val="0"/>
          <w:bCs w:val="0"/>
          <w:sz w:val="21"/>
          <w:szCs w:val="21"/>
        </w:rPr>
        <w:t>en</w:t>
      </w:r>
      <w:r w:rsidRPr="001D5134">
        <w:rPr>
          <w:rFonts w:ascii="Abadi" w:hAnsi="Abadi"/>
          <w:b w:val="0"/>
          <w:bCs w:val="0"/>
          <w:spacing w:val="11"/>
          <w:sz w:val="21"/>
          <w:szCs w:val="21"/>
        </w:rPr>
        <w:t xml:space="preserve"> </w:t>
      </w:r>
      <w:r w:rsidRPr="001D5134">
        <w:rPr>
          <w:rFonts w:ascii="Abadi" w:hAnsi="Abadi"/>
          <w:b w:val="0"/>
          <w:bCs w:val="0"/>
          <w:sz w:val="21"/>
          <w:szCs w:val="21"/>
        </w:rPr>
        <w:t>su</w:t>
      </w:r>
      <w:r w:rsidRPr="001D5134">
        <w:rPr>
          <w:rFonts w:ascii="Abadi" w:hAnsi="Abadi"/>
          <w:b w:val="0"/>
          <w:bCs w:val="0"/>
          <w:spacing w:val="11"/>
          <w:sz w:val="21"/>
          <w:szCs w:val="21"/>
        </w:rPr>
        <w:t xml:space="preserve"> </w:t>
      </w:r>
      <w:r w:rsidRPr="001D5134">
        <w:rPr>
          <w:rFonts w:ascii="Abadi" w:hAnsi="Abadi"/>
          <w:b w:val="0"/>
          <w:bCs w:val="0"/>
          <w:sz w:val="21"/>
          <w:szCs w:val="21"/>
        </w:rPr>
        <w:t>caso,</w:t>
      </w:r>
      <w:r w:rsidRPr="001D5134">
        <w:rPr>
          <w:rFonts w:ascii="Abadi" w:hAnsi="Abadi"/>
          <w:b w:val="0"/>
          <w:bCs w:val="0"/>
          <w:spacing w:val="11"/>
          <w:sz w:val="21"/>
          <w:szCs w:val="21"/>
        </w:rPr>
        <w:t xml:space="preserve"> </w:t>
      </w:r>
      <w:r w:rsidRPr="001D5134">
        <w:rPr>
          <w:rFonts w:ascii="Abadi" w:hAnsi="Abadi"/>
          <w:b w:val="0"/>
          <w:bCs w:val="0"/>
          <w:sz w:val="21"/>
          <w:szCs w:val="21"/>
        </w:rPr>
        <w:t>aprobación</w:t>
      </w:r>
      <w:r w:rsidRPr="001D5134">
        <w:rPr>
          <w:rFonts w:ascii="Abadi" w:hAnsi="Abadi"/>
          <w:b w:val="0"/>
          <w:bCs w:val="0"/>
          <w:spacing w:val="11"/>
          <w:sz w:val="21"/>
          <w:szCs w:val="21"/>
        </w:rPr>
        <w:t xml:space="preserve"> </w:t>
      </w:r>
      <w:r w:rsidRPr="001D5134">
        <w:rPr>
          <w:rFonts w:ascii="Abadi" w:hAnsi="Abadi"/>
          <w:b w:val="0"/>
          <w:bCs w:val="0"/>
          <w:sz w:val="21"/>
          <w:szCs w:val="21"/>
        </w:rPr>
        <w:t>del</w:t>
      </w:r>
      <w:r w:rsidRPr="001D5134">
        <w:rPr>
          <w:rFonts w:ascii="Abadi" w:hAnsi="Abadi"/>
          <w:b w:val="0"/>
          <w:bCs w:val="0"/>
          <w:spacing w:val="11"/>
          <w:sz w:val="21"/>
          <w:szCs w:val="21"/>
        </w:rPr>
        <w:t xml:space="preserve"> </w:t>
      </w:r>
      <w:r w:rsidRPr="001D5134">
        <w:rPr>
          <w:rFonts w:ascii="Abadi" w:hAnsi="Abadi"/>
          <w:b w:val="0"/>
          <w:bCs w:val="0"/>
          <w:sz w:val="21"/>
          <w:szCs w:val="21"/>
        </w:rPr>
        <w:t>dictamen</w:t>
      </w:r>
      <w:r w:rsidRPr="001D5134">
        <w:rPr>
          <w:rFonts w:ascii="Abadi" w:hAnsi="Abadi"/>
          <w:b w:val="0"/>
          <w:bCs w:val="0"/>
          <w:spacing w:val="11"/>
          <w:sz w:val="21"/>
          <w:szCs w:val="21"/>
        </w:rPr>
        <w:t xml:space="preserve"> </w:t>
      </w:r>
      <w:r w:rsidRPr="001D5134">
        <w:rPr>
          <w:rFonts w:ascii="Abadi" w:hAnsi="Abadi"/>
          <w:b w:val="0"/>
          <w:bCs w:val="0"/>
          <w:sz w:val="21"/>
          <w:szCs w:val="21"/>
        </w:rPr>
        <w:t>suscrito</w:t>
      </w:r>
      <w:r w:rsidRPr="001D5134">
        <w:rPr>
          <w:rFonts w:ascii="Abadi" w:hAnsi="Abadi"/>
          <w:b w:val="0"/>
          <w:bCs w:val="0"/>
          <w:spacing w:val="11"/>
          <w:sz w:val="21"/>
          <w:szCs w:val="21"/>
        </w:rPr>
        <w:t xml:space="preserve"> </w:t>
      </w:r>
      <w:r w:rsidRPr="001D5134">
        <w:rPr>
          <w:rFonts w:ascii="Abadi" w:hAnsi="Abadi"/>
          <w:b w:val="0"/>
          <w:bCs w:val="0"/>
          <w:sz w:val="21"/>
          <w:szCs w:val="21"/>
        </w:rPr>
        <w:t>por</w:t>
      </w:r>
      <w:r w:rsidRPr="001D5134">
        <w:rPr>
          <w:rFonts w:ascii="Abadi" w:hAnsi="Abadi"/>
          <w:b w:val="0"/>
          <w:bCs w:val="0"/>
          <w:spacing w:val="11"/>
          <w:sz w:val="21"/>
          <w:szCs w:val="21"/>
        </w:rPr>
        <w:t xml:space="preserve"> </w:t>
      </w:r>
      <w:r w:rsidRPr="001D5134">
        <w:rPr>
          <w:rFonts w:ascii="Abadi" w:hAnsi="Abadi"/>
          <w:b w:val="0"/>
          <w:bCs w:val="0"/>
          <w:sz w:val="21"/>
          <w:szCs w:val="21"/>
        </w:rPr>
        <w:t>la</w:t>
      </w:r>
      <w:r w:rsidRPr="001D5134">
        <w:rPr>
          <w:rFonts w:ascii="Abadi" w:hAnsi="Abadi"/>
          <w:b w:val="0"/>
          <w:bCs w:val="0"/>
          <w:spacing w:val="11"/>
          <w:sz w:val="21"/>
          <w:szCs w:val="21"/>
        </w:rPr>
        <w:t xml:space="preserve"> </w:t>
      </w:r>
      <w:r w:rsidRPr="001D5134">
        <w:rPr>
          <w:rFonts w:ascii="Abadi" w:hAnsi="Abadi"/>
          <w:b w:val="0"/>
          <w:bCs w:val="0"/>
          <w:sz w:val="21"/>
          <w:szCs w:val="21"/>
        </w:rPr>
        <w:t>Comisión</w:t>
      </w:r>
      <w:r w:rsidRPr="001D5134">
        <w:rPr>
          <w:rFonts w:ascii="Abadi" w:hAnsi="Abadi"/>
          <w:b w:val="0"/>
          <w:bCs w:val="0"/>
          <w:spacing w:val="-1"/>
          <w:sz w:val="21"/>
          <w:szCs w:val="21"/>
        </w:rPr>
        <w:t xml:space="preserve"> </w:t>
      </w:r>
      <w:r w:rsidRPr="001D5134">
        <w:rPr>
          <w:rFonts w:ascii="Abadi" w:hAnsi="Abadi"/>
          <w:b w:val="0"/>
          <w:bCs w:val="0"/>
          <w:sz w:val="21"/>
          <w:szCs w:val="21"/>
        </w:rPr>
        <w:t>de</w:t>
      </w:r>
      <w:r w:rsidRPr="001D5134">
        <w:rPr>
          <w:rFonts w:ascii="Abadi" w:hAnsi="Abadi"/>
          <w:b w:val="0"/>
          <w:bCs w:val="0"/>
          <w:spacing w:val="57"/>
          <w:w w:val="150"/>
          <w:sz w:val="21"/>
          <w:szCs w:val="21"/>
        </w:rPr>
        <w:t xml:space="preserve"> </w:t>
      </w:r>
      <w:r w:rsidRPr="001D5134">
        <w:rPr>
          <w:rFonts w:ascii="Abadi" w:hAnsi="Abadi"/>
          <w:b w:val="0"/>
          <w:bCs w:val="0"/>
          <w:sz w:val="21"/>
          <w:szCs w:val="21"/>
        </w:rPr>
        <w:t>Hacienda</w:t>
      </w:r>
      <w:r w:rsidRPr="001D5134">
        <w:rPr>
          <w:rFonts w:ascii="Abadi" w:hAnsi="Abadi"/>
          <w:b w:val="0"/>
          <w:bCs w:val="0"/>
          <w:spacing w:val="57"/>
          <w:w w:val="150"/>
          <w:sz w:val="21"/>
          <w:szCs w:val="21"/>
        </w:rPr>
        <w:t xml:space="preserve"> </w:t>
      </w:r>
      <w:r w:rsidRPr="001D5134">
        <w:rPr>
          <w:rFonts w:ascii="Abadi" w:hAnsi="Abadi"/>
          <w:b w:val="0"/>
          <w:bCs w:val="0"/>
          <w:sz w:val="21"/>
          <w:szCs w:val="21"/>
        </w:rPr>
        <w:t>y</w:t>
      </w:r>
      <w:r w:rsidRPr="001D5134">
        <w:rPr>
          <w:rFonts w:ascii="Abadi" w:hAnsi="Abadi"/>
          <w:b w:val="0"/>
          <w:bCs w:val="0"/>
          <w:spacing w:val="57"/>
          <w:w w:val="150"/>
          <w:sz w:val="21"/>
          <w:szCs w:val="21"/>
        </w:rPr>
        <w:t xml:space="preserve"> </w:t>
      </w:r>
      <w:r w:rsidRPr="001D5134">
        <w:rPr>
          <w:rFonts w:ascii="Abadi" w:hAnsi="Abadi"/>
          <w:b w:val="0"/>
          <w:bCs w:val="0"/>
          <w:sz w:val="21"/>
          <w:szCs w:val="21"/>
        </w:rPr>
        <w:t>Fiscalización</w:t>
      </w:r>
      <w:r w:rsidRPr="001D5134">
        <w:rPr>
          <w:rFonts w:ascii="Abadi" w:hAnsi="Abadi"/>
          <w:b w:val="0"/>
          <w:bCs w:val="0"/>
          <w:spacing w:val="57"/>
          <w:w w:val="150"/>
          <w:sz w:val="21"/>
          <w:szCs w:val="21"/>
        </w:rPr>
        <w:t xml:space="preserve"> </w:t>
      </w:r>
      <w:r w:rsidRPr="001D5134">
        <w:rPr>
          <w:rFonts w:ascii="Abadi" w:hAnsi="Abadi"/>
          <w:b w:val="0"/>
          <w:bCs w:val="0"/>
          <w:sz w:val="21"/>
          <w:szCs w:val="21"/>
        </w:rPr>
        <w:t>relativo</w:t>
      </w:r>
      <w:r w:rsidRPr="001D5134">
        <w:rPr>
          <w:rFonts w:ascii="Abadi" w:hAnsi="Abadi"/>
          <w:b w:val="0"/>
          <w:bCs w:val="0"/>
          <w:spacing w:val="57"/>
          <w:w w:val="150"/>
          <w:sz w:val="21"/>
          <w:szCs w:val="21"/>
        </w:rPr>
        <w:t xml:space="preserve"> </w:t>
      </w:r>
      <w:r w:rsidRPr="001D5134">
        <w:rPr>
          <w:rFonts w:ascii="Abadi" w:hAnsi="Abadi"/>
          <w:b w:val="0"/>
          <w:bCs w:val="0"/>
          <w:sz w:val="21"/>
          <w:szCs w:val="21"/>
        </w:rPr>
        <w:t>a</w:t>
      </w:r>
      <w:r w:rsidRPr="001D5134">
        <w:rPr>
          <w:rFonts w:ascii="Abadi" w:hAnsi="Abadi"/>
          <w:b w:val="0"/>
          <w:bCs w:val="0"/>
          <w:spacing w:val="57"/>
          <w:w w:val="150"/>
          <w:sz w:val="21"/>
          <w:szCs w:val="21"/>
        </w:rPr>
        <w:t xml:space="preserve"> </w:t>
      </w:r>
      <w:r w:rsidRPr="001D5134">
        <w:rPr>
          <w:rFonts w:ascii="Abadi" w:hAnsi="Abadi"/>
          <w:b w:val="0"/>
          <w:bCs w:val="0"/>
          <w:sz w:val="21"/>
          <w:szCs w:val="21"/>
        </w:rPr>
        <w:t>dos</w:t>
      </w:r>
      <w:r w:rsidRPr="001D5134">
        <w:rPr>
          <w:rFonts w:ascii="Abadi" w:hAnsi="Abadi"/>
          <w:b w:val="0"/>
          <w:bCs w:val="0"/>
          <w:spacing w:val="57"/>
          <w:w w:val="150"/>
          <w:sz w:val="21"/>
          <w:szCs w:val="21"/>
        </w:rPr>
        <w:t xml:space="preserve"> </w:t>
      </w:r>
      <w:r w:rsidRPr="001D5134">
        <w:rPr>
          <w:rFonts w:ascii="Abadi" w:hAnsi="Abadi"/>
          <w:b w:val="0"/>
          <w:bCs w:val="0"/>
          <w:sz w:val="21"/>
          <w:szCs w:val="21"/>
        </w:rPr>
        <w:t>iniciativas</w:t>
      </w:r>
      <w:r w:rsidRPr="001D5134">
        <w:rPr>
          <w:rFonts w:ascii="Abadi" w:hAnsi="Abadi"/>
          <w:b w:val="0"/>
          <w:bCs w:val="0"/>
          <w:spacing w:val="57"/>
          <w:w w:val="150"/>
          <w:sz w:val="21"/>
          <w:szCs w:val="21"/>
        </w:rPr>
        <w:t xml:space="preserve"> </w:t>
      </w:r>
      <w:r w:rsidRPr="001D5134">
        <w:rPr>
          <w:rFonts w:ascii="Abadi" w:hAnsi="Abadi"/>
          <w:b w:val="0"/>
          <w:bCs w:val="0"/>
          <w:sz w:val="21"/>
          <w:szCs w:val="21"/>
        </w:rPr>
        <w:t>formuladas</w:t>
      </w:r>
      <w:r w:rsidRPr="001D5134">
        <w:rPr>
          <w:rFonts w:ascii="Abadi" w:hAnsi="Abadi"/>
          <w:b w:val="0"/>
          <w:bCs w:val="0"/>
          <w:spacing w:val="57"/>
          <w:w w:val="150"/>
          <w:sz w:val="21"/>
          <w:szCs w:val="21"/>
        </w:rPr>
        <w:t xml:space="preserve"> </w:t>
      </w:r>
      <w:r w:rsidRPr="001D5134">
        <w:rPr>
          <w:rFonts w:ascii="Abadi" w:hAnsi="Abadi"/>
          <w:b w:val="0"/>
          <w:bCs w:val="0"/>
          <w:sz w:val="21"/>
          <w:szCs w:val="21"/>
        </w:rPr>
        <w:t>por</w:t>
      </w:r>
      <w:r w:rsidRPr="001D5134">
        <w:rPr>
          <w:rFonts w:ascii="Abadi" w:hAnsi="Abadi"/>
          <w:b w:val="0"/>
          <w:bCs w:val="0"/>
          <w:spacing w:val="-1"/>
          <w:sz w:val="21"/>
          <w:szCs w:val="21"/>
        </w:rPr>
        <w:t xml:space="preserve"> </w:t>
      </w:r>
      <w:r w:rsidRPr="001D5134">
        <w:rPr>
          <w:rFonts w:ascii="Abadi" w:hAnsi="Abadi"/>
          <w:b w:val="0"/>
          <w:bCs w:val="0"/>
          <w:sz w:val="21"/>
          <w:szCs w:val="21"/>
        </w:rPr>
        <w:t>diputadas</w:t>
      </w:r>
      <w:r w:rsidRPr="001D5134">
        <w:rPr>
          <w:rFonts w:ascii="Abadi" w:hAnsi="Abadi"/>
          <w:b w:val="0"/>
          <w:bCs w:val="0"/>
          <w:spacing w:val="72"/>
          <w:sz w:val="21"/>
          <w:szCs w:val="21"/>
        </w:rPr>
        <w:t xml:space="preserve"> </w:t>
      </w:r>
      <w:r w:rsidRPr="001D5134">
        <w:rPr>
          <w:rFonts w:ascii="Abadi" w:hAnsi="Abadi"/>
          <w:b w:val="0"/>
          <w:bCs w:val="0"/>
          <w:sz w:val="21"/>
          <w:szCs w:val="21"/>
        </w:rPr>
        <w:t>y</w:t>
      </w:r>
      <w:r w:rsidRPr="001D5134">
        <w:rPr>
          <w:rFonts w:ascii="Abadi" w:hAnsi="Abadi"/>
          <w:b w:val="0"/>
          <w:bCs w:val="0"/>
          <w:spacing w:val="72"/>
          <w:sz w:val="21"/>
          <w:szCs w:val="21"/>
        </w:rPr>
        <w:t xml:space="preserve"> </w:t>
      </w:r>
      <w:r w:rsidRPr="001D5134">
        <w:rPr>
          <w:rFonts w:ascii="Abadi" w:hAnsi="Abadi"/>
          <w:b w:val="0"/>
          <w:bCs w:val="0"/>
          <w:sz w:val="21"/>
          <w:szCs w:val="21"/>
        </w:rPr>
        <w:t>diputados</w:t>
      </w:r>
      <w:r w:rsidRPr="001D5134">
        <w:rPr>
          <w:rFonts w:ascii="Abadi" w:hAnsi="Abadi"/>
          <w:b w:val="0"/>
          <w:bCs w:val="0"/>
          <w:spacing w:val="72"/>
          <w:sz w:val="21"/>
          <w:szCs w:val="21"/>
        </w:rPr>
        <w:t xml:space="preserve"> </w:t>
      </w:r>
      <w:r w:rsidRPr="001D5134">
        <w:rPr>
          <w:rFonts w:ascii="Abadi" w:hAnsi="Abadi"/>
          <w:b w:val="0"/>
          <w:bCs w:val="0"/>
          <w:sz w:val="21"/>
          <w:szCs w:val="21"/>
        </w:rPr>
        <w:t>integrantes</w:t>
      </w:r>
      <w:r w:rsidRPr="001D5134">
        <w:rPr>
          <w:rFonts w:ascii="Abadi" w:hAnsi="Abadi"/>
          <w:b w:val="0"/>
          <w:bCs w:val="0"/>
          <w:spacing w:val="72"/>
          <w:sz w:val="21"/>
          <w:szCs w:val="21"/>
        </w:rPr>
        <w:t xml:space="preserve"> </w:t>
      </w:r>
      <w:r w:rsidRPr="001D5134">
        <w:rPr>
          <w:rFonts w:ascii="Abadi" w:hAnsi="Abadi"/>
          <w:b w:val="0"/>
          <w:bCs w:val="0"/>
          <w:sz w:val="21"/>
          <w:szCs w:val="21"/>
        </w:rPr>
        <w:t>del</w:t>
      </w:r>
      <w:r w:rsidRPr="001D5134">
        <w:rPr>
          <w:rFonts w:ascii="Abadi" w:hAnsi="Abadi"/>
          <w:b w:val="0"/>
          <w:bCs w:val="0"/>
          <w:spacing w:val="72"/>
          <w:sz w:val="21"/>
          <w:szCs w:val="21"/>
        </w:rPr>
        <w:t xml:space="preserve"> </w:t>
      </w:r>
      <w:r w:rsidRPr="001D5134">
        <w:rPr>
          <w:rFonts w:ascii="Abadi" w:hAnsi="Abadi"/>
          <w:b w:val="0"/>
          <w:bCs w:val="0"/>
          <w:sz w:val="21"/>
          <w:szCs w:val="21"/>
        </w:rPr>
        <w:t>Grupo</w:t>
      </w:r>
      <w:r w:rsidRPr="001D5134">
        <w:rPr>
          <w:rFonts w:ascii="Abadi" w:hAnsi="Abadi"/>
          <w:b w:val="0"/>
          <w:bCs w:val="0"/>
          <w:spacing w:val="72"/>
          <w:sz w:val="21"/>
          <w:szCs w:val="21"/>
        </w:rPr>
        <w:t xml:space="preserve"> </w:t>
      </w:r>
      <w:r w:rsidRPr="001D5134">
        <w:rPr>
          <w:rFonts w:ascii="Abadi" w:hAnsi="Abadi"/>
          <w:b w:val="0"/>
          <w:bCs w:val="0"/>
          <w:sz w:val="21"/>
          <w:szCs w:val="21"/>
        </w:rPr>
        <w:t>Parlamentario</w:t>
      </w:r>
      <w:r w:rsidRPr="001D5134">
        <w:rPr>
          <w:rFonts w:ascii="Abadi" w:hAnsi="Abadi"/>
          <w:b w:val="0"/>
          <w:bCs w:val="0"/>
          <w:spacing w:val="72"/>
          <w:sz w:val="21"/>
          <w:szCs w:val="21"/>
        </w:rPr>
        <w:t xml:space="preserve"> </w:t>
      </w:r>
      <w:r w:rsidRPr="001D5134">
        <w:rPr>
          <w:rFonts w:ascii="Abadi" w:hAnsi="Abadi"/>
          <w:b w:val="0"/>
          <w:bCs w:val="0"/>
          <w:sz w:val="21"/>
          <w:szCs w:val="21"/>
        </w:rPr>
        <w:t>del</w:t>
      </w:r>
      <w:r w:rsidRPr="001D5134">
        <w:rPr>
          <w:rFonts w:ascii="Abadi" w:hAnsi="Abadi"/>
          <w:b w:val="0"/>
          <w:bCs w:val="0"/>
          <w:spacing w:val="72"/>
          <w:sz w:val="21"/>
          <w:szCs w:val="21"/>
        </w:rPr>
        <w:t xml:space="preserve"> </w:t>
      </w:r>
      <w:r w:rsidRPr="001D5134">
        <w:rPr>
          <w:rFonts w:ascii="Abadi" w:hAnsi="Abadi"/>
          <w:b w:val="0"/>
          <w:bCs w:val="0"/>
          <w:sz w:val="21"/>
          <w:szCs w:val="21"/>
        </w:rPr>
        <w:t>Partido</w:t>
      </w:r>
      <w:r w:rsidRPr="001D5134">
        <w:rPr>
          <w:rFonts w:ascii="Abadi" w:hAnsi="Abadi"/>
          <w:b w:val="0"/>
          <w:bCs w:val="0"/>
          <w:spacing w:val="-1"/>
          <w:sz w:val="21"/>
          <w:szCs w:val="21"/>
        </w:rPr>
        <w:t xml:space="preserve"> </w:t>
      </w:r>
      <w:r w:rsidRPr="001D5134">
        <w:rPr>
          <w:rFonts w:ascii="Abadi" w:hAnsi="Abadi"/>
          <w:b w:val="0"/>
          <w:bCs w:val="0"/>
          <w:sz w:val="21"/>
          <w:szCs w:val="21"/>
        </w:rPr>
        <w:t>Acción</w:t>
      </w:r>
      <w:r w:rsidRPr="001D5134">
        <w:rPr>
          <w:rFonts w:ascii="Abadi" w:hAnsi="Abadi"/>
          <w:b w:val="0"/>
          <w:bCs w:val="0"/>
          <w:spacing w:val="-7"/>
          <w:sz w:val="21"/>
          <w:szCs w:val="21"/>
        </w:rPr>
        <w:t xml:space="preserve"> </w:t>
      </w:r>
      <w:r w:rsidRPr="001D5134">
        <w:rPr>
          <w:rFonts w:ascii="Abadi" w:hAnsi="Abadi"/>
          <w:b w:val="0"/>
          <w:bCs w:val="0"/>
          <w:sz w:val="21"/>
          <w:szCs w:val="21"/>
        </w:rPr>
        <w:t>Nacional</w:t>
      </w:r>
      <w:r w:rsidRPr="001D5134">
        <w:rPr>
          <w:rFonts w:ascii="Abadi" w:hAnsi="Abadi"/>
          <w:b w:val="0"/>
          <w:bCs w:val="0"/>
          <w:spacing w:val="-7"/>
          <w:sz w:val="21"/>
          <w:szCs w:val="21"/>
        </w:rPr>
        <w:t xml:space="preserve"> </w:t>
      </w:r>
      <w:r w:rsidRPr="001D5134">
        <w:rPr>
          <w:rFonts w:ascii="Abadi" w:hAnsi="Abadi"/>
          <w:b w:val="0"/>
          <w:bCs w:val="0"/>
          <w:sz w:val="21"/>
          <w:szCs w:val="21"/>
        </w:rPr>
        <w:t>a</w:t>
      </w:r>
      <w:r w:rsidRPr="001D5134">
        <w:rPr>
          <w:rFonts w:ascii="Abadi" w:hAnsi="Abadi"/>
          <w:b w:val="0"/>
          <w:bCs w:val="0"/>
          <w:spacing w:val="-7"/>
          <w:sz w:val="21"/>
          <w:szCs w:val="21"/>
        </w:rPr>
        <w:t xml:space="preserve"> </w:t>
      </w:r>
      <w:r w:rsidRPr="001D5134">
        <w:rPr>
          <w:rFonts w:ascii="Abadi" w:hAnsi="Abadi"/>
          <w:b w:val="0"/>
          <w:bCs w:val="0"/>
          <w:sz w:val="21"/>
          <w:szCs w:val="21"/>
        </w:rPr>
        <w:t>efecto</w:t>
      </w:r>
      <w:r w:rsidRPr="001D5134">
        <w:rPr>
          <w:rFonts w:ascii="Abadi" w:hAnsi="Abadi"/>
          <w:b w:val="0"/>
          <w:bCs w:val="0"/>
          <w:spacing w:val="-7"/>
          <w:sz w:val="21"/>
          <w:szCs w:val="21"/>
        </w:rPr>
        <w:t xml:space="preserve"> </w:t>
      </w:r>
      <w:r w:rsidRPr="001D5134">
        <w:rPr>
          <w:rFonts w:ascii="Abadi" w:hAnsi="Abadi"/>
          <w:b w:val="0"/>
          <w:bCs w:val="0"/>
          <w:sz w:val="21"/>
          <w:szCs w:val="21"/>
        </w:rPr>
        <w:t>de</w:t>
      </w:r>
      <w:r w:rsidRPr="001D5134">
        <w:rPr>
          <w:rFonts w:ascii="Abadi" w:hAnsi="Abadi"/>
          <w:b w:val="0"/>
          <w:bCs w:val="0"/>
          <w:spacing w:val="-7"/>
          <w:sz w:val="21"/>
          <w:szCs w:val="21"/>
        </w:rPr>
        <w:t xml:space="preserve"> </w:t>
      </w:r>
      <w:r w:rsidRPr="001D5134">
        <w:rPr>
          <w:rFonts w:ascii="Abadi" w:hAnsi="Abadi"/>
          <w:b w:val="0"/>
          <w:bCs w:val="0"/>
          <w:sz w:val="21"/>
          <w:szCs w:val="21"/>
        </w:rPr>
        <w:t>reformar,</w:t>
      </w:r>
      <w:r w:rsidRPr="001D5134">
        <w:rPr>
          <w:rFonts w:ascii="Abadi" w:hAnsi="Abadi"/>
          <w:b w:val="0"/>
          <w:bCs w:val="0"/>
          <w:spacing w:val="-7"/>
          <w:sz w:val="21"/>
          <w:szCs w:val="21"/>
        </w:rPr>
        <w:t xml:space="preserve"> </w:t>
      </w:r>
      <w:r w:rsidRPr="001D5134">
        <w:rPr>
          <w:rFonts w:ascii="Abadi" w:hAnsi="Abadi"/>
          <w:b w:val="0"/>
          <w:bCs w:val="0"/>
          <w:sz w:val="21"/>
          <w:szCs w:val="21"/>
        </w:rPr>
        <w:t>adicionar</w:t>
      </w:r>
      <w:r w:rsidRPr="001D5134">
        <w:rPr>
          <w:rFonts w:ascii="Abadi" w:hAnsi="Abadi"/>
          <w:b w:val="0"/>
          <w:bCs w:val="0"/>
          <w:spacing w:val="-7"/>
          <w:sz w:val="21"/>
          <w:szCs w:val="21"/>
        </w:rPr>
        <w:t xml:space="preserve"> </w:t>
      </w:r>
      <w:r w:rsidRPr="001D5134">
        <w:rPr>
          <w:rFonts w:ascii="Abadi" w:hAnsi="Abadi"/>
          <w:b w:val="0"/>
          <w:bCs w:val="0"/>
          <w:sz w:val="21"/>
          <w:szCs w:val="21"/>
        </w:rPr>
        <w:t>y</w:t>
      </w:r>
      <w:r w:rsidRPr="001D5134">
        <w:rPr>
          <w:rFonts w:ascii="Abadi" w:hAnsi="Abadi"/>
          <w:b w:val="0"/>
          <w:bCs w:val="0"/>
          <w:spacing w:val="-6"/>
          <w:sz w:val="21"/>
          <w:szCs w:val="21"/>
        </w:rPr>
        <w:t xml:space="preserve"> </w:t>
      </w:r>
      <w:r w:rsidRPr="001D5134">
        <w:rPr>
          <w:rFonts w:ascii="Abadi" w:hAnsi="Abadi"/>
          <w:b w:val="0"/>
          <w:bCs w:val="0"/>
          <w:sz w:val="21"/>
          <w:szCs w:val="21"/>
        </w:rPr>
        <w:t>derogar</w:t>
      </w:r>
      <w:r w:rsidRPr="001D5134">
        <w:rPr>
          <w:rFonts w:ascii="Abadi" w:hAnsi="Abadi"/>
          <w:b w:val="0"/>
          <w:bCs w:val="0"/>
          <w:spacing w:val="-7"/>
          <w:sz w:val="21"/>
          <w:szCs w:val="21"/>
        </w:rPr>
        <w:t xml:space="preserve"> </w:t>
      </w:r>
      <w:r w:rsidRPr="001D5134">
        <w:rPr>
          <w:rFonts w:ascii="Abadi" w:hAnsi="Abadi"/>
          <w:b w:val="0"/>
          <w:bCs w:val="0"/>
          <w:sz w:val="21"/>
          <w:szCs w:val="21"/>
        </w:rPr>
        <w:t>diversos</w:t>
      </w:r>
      <w:r w:rsidRPr="001D5134">
        <w:rPr>
          <w:rFonts w:ascii="Abadi" w:hAnsi="Abadi"/>
          <w:b w:val="0"/>
          <w:bCs w:val="0"/>
          <w:spacing w:val="-6"/>
          <w:sz w:val="21"/>
          <w:szCs w:val="21"/>
        </w:rPr>
        <w:t xml:space="preserve"> </w:t>
      </w:r>
      <w:r w:rsidRPr="001D5134">
        <w:rPr>
          <w:rFonts w:ascii="Abadi" w:hAnsi="Abadi"/>
          <w:b w:val="0"/>
          <w:bCs w:val="0"/>
          <w:sz w:val="21"/>
          <w:szCs w:val="21"/>
        </w:rPr>
        <w:t>artículos</w:t>
      </w:r>
      <w:r w:rsidRPr="001D5134">
        <w:rPr>
          <w:rFonts w:ascii="Abadi" w:hAnsi="Abadi"/>
          <w:b w:val="0"/>
          <w:bCs w:val="0"/>
          <w:spacing w:val="-1"/>
          <w:sz w:val="21"/>
          <w:szCs w:val="21"/>
        </w:rPr>
        <w:t xml:space="preserve"> </w:t>
      </w:r>
      <w:r w:rsidRPr="001D5134">
        <w:rPr>
          <w:rFonts w:ascii="Abadi" w:hAnsi="Abadi"/>
          <w:b w:val="0"/>
          <w:bCs w:val="0"/>
          <w:sz w:val="21"/>
          <w:szCs w:val="21"/>
        </w:rPr>
        <w:t>de la Ley de Contrataciones Públicas para el Estado de</w:t>
      </w:r>
      <w:r w:rsidRPr="001D5134">
        <w:rPr>
          <w:rFonts w:ascii="Abadi" w:hAnsi="Abadi"/>
          <w:b w:val="0"/>
          <w:bCs w:val="0"/>
          <w:spacing w:val="-1"/>
          <w:sz w:val="21"/>
          <w:szCs w:val="21"/>
        </w:rPr>
        <w:t xml:space="preserve"> </w:t>
      </w:r>
      <w:r w:rsidRPr="001D5134">
        <w:rPr>
          <w:rFonts w:ascii="Abadi" w:hAnsi="Abadi"/>
          <w:b w:val="0"/>
          <w:bCs w:val="0"/>
          <w:sz w:val="21"/>
          <w:szCs w:val="21"/>
        </w:rPr>
        <w:t>Guanajuato.</w:t>
      </w:r>
      <w:r>
        <w:rPr>
          <w:rFonts w:ascii="Abadi" w:hAnsi="Abadi"/>
          <w:sz w:val="21"/>
          <w:szCs w:val="21"/>
        </w:rPr>
        <w:t xml:space="preserve"> </w:t>
      </w:r>
      <w:r w:rsidRPr="009A3D12">
        <w:rPr>
          <w:rFonts w:ascii="Abadi" w:hAnsi="Abadi"/>
          <w:sz w:val="21"/>
          <w:szCs w:val="21"/>
        </w:rPr>
        <w:t>XLV</w:t>
      </w:r>
      <w:r w:rsidR="001D5134">
        <w:rPr>
          <w:rFonts w:ascii="Abadi" w:hAnsi="Abadi"/>
          <w:sz w:val="21"/>
          <w:szCs w:val="21"/>
        </w:rPr>
        <w:t>III</w:t>
      </w:r>
      <w:r w:rsidRPr="009A3D12">
        <w:rPr>
          <w:rFonts w:ascii="Abadi" w:hAnsi="Abadi"/>
          <w:sz w:val="21"/>
          <w:szCs w:val="21"/>
        </w:rPr>
        <w:t>.-</w:t>
      </w:r>
      <w:r>
        <w:rPr>
          <w:rFonts w:ascii="Abadi" w:hAnsi="Abadi"/>
          <w:sz w:val="21"/>
          <w:szCs w:val="21"/>
        </w:rPr>
        <w:t xml:space="preserve"> </w:t>
      </w:r>
      <w:r w:rsidRPr="001D5134">
        <w:rPr>
          <w:rFonts w:ascii="Abadi" w:hAnsi="Abadi"/>
          <w:b w:val="0"/>
          <w:bCs w:val="0"/>
          <w:sz w:val="21"/>
          <w:szCs w:val="21"/>
        </w:rPr>
        <w:t>Discusión</w:t>
      </w:r>
      <w:r w:rsidRPr="001D5134">
        <w:rPr>
          <w:rFonts w:ascii="Abadi" w:hAnsi="Abadi"/>
          <w:b w:val="0"/>
          <w:bCs w:val="0"/>
          <w:spacing w:val="51"/>
          <w:w w:val="150"/>
          <w:sz w:val="21"/>
          <w:szCs w:val="21"/>
        </w:rPr>
        <w:t xml:space="preserve"> </w:t>
      </w:r>
      <w:r w:rsidRPr="001D5134">
        <w:rPr>
          <w:rFonts w:ascii="Abadi" w:hAnsi="Abadi"/>
          <w:b w:val="0"/>
          <w:bCs w:val="0"/>
          <w:sz w:val="21"/>
          <w:szCs w:val="21"/>
        </w:rPr>
        <w:t>y,</w:t>
      </w:r>
      <w:r w:rsidRPr="001D5134">
        <w:rPr>
          <w:rFonts w:ascii="Abadi" w:hAnsi="Abadi"/>
          <w:b w:val="0"/>
          <w:bCs w:val="0"/>
          <w:spacing w:val="51"/>
          <w:w w:val="150"/>
          <w:sz w:val="21"/>
          <w:szCs w:val="21"/>
        </w:rPr>
        <w:t xml:space="preserve"> </w:t>
      </w:r>
      <w:r w:rsidRPr="001D5134">
        <w:rPr>
          <w:rFonts w:ascii="Abadi" w:hAnsi="Abadi"/>
          <w:b w:val="0"/>
          <w:bCs w:val="0"/>
          <w:sz w:val="21"/>
          <w:szCs w:val="21"/>
        </w:rPr>
        <w:t>en</w:t>
      </w:r>
      <w:r w:rsidRPr="001D5134">
        <w:rPr>
          <w:rFonts w:ascii="Abadi" w:hAnsi="Abadi"/>
          <w:b w:val="0"/>
          <w:bCs w:val="0"/>
          <w:spacing w:val="51"/>
          <w:w w:val="150"/>
          <w:sz w:val="21"/>
          <w:szCs w:val="21"/>
        </w:rPr>
        <w:t xml:space="preserve"> </w:t>
      </w:r>
      <w:r w:rsidRPr="001D5134">
        <w:rPr>
          <w:rFonts w:ascii="Abadi" w:hAnsi="Abadi"/>
          <w:b w:val="0"/>
          <w:bCs w:val="0"/>
          <w:sz w:val="21"/>
          <w:szCs w:val="21"/>
        </w:rPr>
        <w:t>su</w:t>
      </w:r>
      <w:r w:rsidRPr="001D5134">
        <w:rPr>
          <w:rFonts w:ascii="Abadi" w:hAnsi="Abadi"/>
          <w:b w:val="0"/>
          <w:bCs w:val="0"/>
          <w:spacing w:val="51"/>
          <w:w w:val="150"/>
          <w:sz w:val="21"/>
          <w:szCs w:val="21"/>
        </w:rPr>
        <w:t xml:space="preserve"> </w:t>
      </w:r>
      <w:r w:rsidRPr="001D5134">
        <w:rPr>
          <w:rFonts w:ascii="Abadi" w:hAnsi="Abadi"/>
          <w:b w:val="0"/>
          <w:bCs w:val="0"/>
          <w:sz w:val="21"/>
          <w:szCs w:val="21"/>
        </w:rPr>
        <w:t>caso,</w:t>
      </w:r>
      <w:r w:rsidRPr="001D5134">
        <w:rPr>
          <w:rFonts w:ascii="Abadi" w:hAnsi="Abadi"/>
          <w:b w:val="0"/>
          <w:bCs w:val="0"/>
          <w:spacing w:val="51"/>
          <w:w w:val="150"/>
          <w:sz w:val="21"/>
          <w:szCs w:val="21"/>
        </w:rPr>
        <w:t xml:space="preserve"> </w:t>
      </w:r>
      <w:r w:rsidRPr="001D5134">
        <w:rPr>
          <w:rFonts w:ascii="Abadi" w:hAnsi="Abadi"/>
          <w:b w:val="0"/>
          <w:bCs w:val="0"/>
          <w:sz w:val="21"/>
          <w:szCs w:val="21"/>
        </w:rPr>
        <w:lastRenderedPageBreak/>
        <w:t>aprobación</w:t>
      </w:r>
      <w:r w:rsidRPr="001D5134">
        <w:rPr>
          <w:rFonts w:ascii="Abadi" w:hAnsi="Abadi"/>
          <w:b w:val="0"/>
          <w:bCs w:val="0"/>
          <w:spacing w:val="51"/>
          <w:w w:val="150"/>
          <w:sz w:val="21"/>
          <w:szCs w:val="21"/>
        </w:rPr>
        <w:t xml:space="preserve"> </w:t>
      </w:r>
      <w:r w:rsidRPr="001D5134">
        <w:rPr>
          <w:rFonts w:ascii="Abadi" w:hAnsi="Abadi"/>
          <w:b w:val="0"/>
          <w:bCs w:val="0"/>
          <w:sz w:val="21"/>
          <w:szCs w:val="21"/>
        </w:rPr>
        <w:t>del</w:t>
      </w:r>
      <w:r w:rsidRPr="001D5134">
        <w:rPr>
          <w:rFonts w:ascii="Abadi" w:hAnsi="Abadi"/>
          <w:b w:val="0"/>
          <w:bCs w:val="0"/>
          <w:spacing w:val="51"/>
          <w:w w:val="150"/>
          <w:sz w:val="21"/>
          <w:szCs w:val="21"/>
        </w:rPr>
        <w:t xml:space="preserve"> </w:t>
      </w:r>
      <w:r w:rsidRPr="001D5134">
        <w:rPr>
          <w:rFonts w:ascii="Abadi" w:hAnsi="Abadi"/>
          <w:b w:val="0"/>
          <w:bCs w:val="0"/>
          <w:sz w:val="21"/>
          <w:szCs w:val="21"/>
        </w:rPr>
        <w:t>dictamen</w:t>
      </w:r>
      <w:r w:rsidRPr="001D5134">
        <w:rPr>
          <w:rFonts w:ascii="Abadi" w:hAnsi="Abadi"/>
          <w:b w:val="0"/>
          <w:bCs w:val="0"/>
          <w:spacing w:val="51"/>
          <w:w w:val="150"/>
          <w:sz w:val="21"/>
          <w:szCs w:val="21"/>
        </w:rPr>
        <w:t xml:space="preserve"> </w:t>
      </w:r>
      <w:r w:rsidRPr="001D5134">
        <w:rPr>
          <w:rFonts w:ascii="Abadi" w:hAnsi="Abadi"/>
          <w:b w:val="0"/>
          <w:bCs w:val="0"/>
          <w:sz w:val="21"/>
          <w:szCs w:val="21"/>
        </w:rPr>
        <w:t>presentado</w:t>
      </w:r>
      <w:r w:rsidRPr="001D5134">
        <w:rPr>
          <w:rFonts w:ascii="Abadi" w:hAnsi="Abadi"/>
          <w:b w:val="0"/>
          <w:bCs w:val="0"/>
          <w:spacing w:val="51"/>
          <w:w w:val="150"/>
          <w:sz w:val="21"/>
          <w:szCs w:val="21"/>
        </w:rPr>
        <w:t xml:space="preserve"> </w:t>
      </w:r>
      <w:r w:rsidRPr="001D5134">
        <w:rPr>
          <w:rFonts w:ascii="Abadi" w:hAnsi="Abadi"/>
          <w:b w:val="0"/>
          <w:bCs w:val="0"/>
          <w:sz w:val="21"/>
          <w:szCs w:val="21"/>
        </w:rPr>
        <w:t>por</w:t>
      </w:r>
      <w:r w:rsidRPr="001D5134">
        <w:rPr>
          <w:rFonts w:ascii="Abadi" w:hAnsi="Abadi"/>
          <w:b w:val="0"/>
          <w:bCs w:val="0"/>
          <w:spacing w:val="51"/>
          <w:w w:val="150"/>
          <w:sz w:val="21"/>
          <w:szCs w:val="21"/>
        </w:rPr>
        <w:t xml:space="preserve"> </w:t>
      </w:r>
      <w:r w:rsidRPr="001D5134">
        <w:rPr>
          <w:rFonts w:ascii="Abadi" w:hAnsi="Abadi"/>
          <w:b w:val="0"/>
          <w:bCs w:val="0"/>
          <w:sz w:val="21"/>
          <w:szCs w:val="21"/>
        </w:rPr>
        <w:t>la</w:t>
      </w:r>
      <w:r w:rsidRPr="001D5134">
        <w:rPr>
          <w:rFonts w:ascii="Abadi" w:hAnsi="Abadi"/>
          <w:b w:val="0"/>
          <w:bCs w:val="0"/>
          <w:spacing w:val="-1"/>
          <w:sz w:val="21"/>
          <w:szCs w:val="21"/>
        </w:rPr>
        <w:t xml:space="preserve"> </w:t>
      </w:r>
      <w:r w:rsidRPr="001D5134">
        <w:rPr>
          <w:rFonts w:ascii="Abadi" w:hAnsi="Abadi"/>
          <w:b w:val="0"/>
          <w:bCs w:val="0"/>
          <w:sz w:val="21"/>
          <w:szCs w:val="21"/>
        </w:rPr>
        <w:t>Comisión</w:t>
      </w:r>
      <w:r w:rsidRPr="001D5134">
        <w:rPr>
          <w:rFonts w:ascii="Abadi" w:hAnsi="Abadi"/>
          <w:b w:val="0"/>
          <w:bCs w:val="0"/>
          <w:spacing w:val="15"/>
          <w:sz w:val="21"/>
          <w:szCs w:val="21"/>
        </w:rPr>
        <w:t xml:space="preserve"> </w:t>
      </w:r>
      <w:r w:rsidRPr="001D5134">
        <w:rPr>
          <w:rFonts w:ascii="Abadi" w:hAnsi="Abadi"/>
          <w:b w:val="0"/>
          <w:bCs w:val="0"/>
          <w:sz w:val="21"/>
          <w:szCs w:val="21"/>
        </w:rPr>
        <w:t>de</w:t>
      </w:r>
      <w:r w:rsidRPr="001D5134">
        <w:rPr>
          <w:rFonts w:ascii="Abadi" w:hAnsi="Abadi"/>
          <w:b w:val="0"/>
          <w:bCs w:val="0"/>
          <w:spacing w:val="15"/>
          <w:sz w:val="21"/>
          <w:szCs w:val="21"/>
        </w:rPr>
        <w:t xml:space="preserve"> </w:t>
      </w:r>
      <w:r w:rsidRPr="001D5134">
        <w:rPr>
          <w:rFonts w:ascii="Abadi" w:hAnsi="Abadi"/>
          <w:b w:val="0"/>
          <w:bCs w:val="0"/>
          <w:sz w:val="21"/>
          <w:szCs w:val="21"/>
        </w:rPr>
        <w:t>Hacienda</w:t>
      </w:r>
      <w:r w:rsidRPr="001D5134">
        <w:rPr>
          <w:rFonts w:ascii="Abadi" w:hAnsi="Abadi"/>
          <w:b w:val="0"/>
          <w:bCs w:val="0"/>
          <w:spacing w:val="15"/>
          <w:sz w:val="21"/>
          <w:szCs w:val="21"/>
        </w:rPr>
        <w:t xml:space="preserve"> </w:t>
      </w:r>
      <w:r w:rsidRPr="001D5134">
        <w:rPr>
          <w:rFonts w:ascii="Abadi" w:hAnsi="Abadi"/>
          <w:b w:val="0"/>
          <w:bCs w:val="0"/>
          <w:sz w:val="21"/>
          <w:szCs w:val="21"/>
        </w:rPr>
        <w:t>y</w:t>
      </w:r>
      <w:r w:rsidRPr="001D5134">
        <w:rPr>
          <w:rFonts w:ascii="Abadi" w:hAnsi="Abadi"/>
          <w:b w:val="0"/>
          <w:bCs w:val="0"/>
          <w:spacing w:val="15"/>
          <w:sz w:val="21"/>
          <w:szCs w:val="21"/>
        </w:rPr>
        <w:t xml:space="preserve"> </w:t>
      </w:r>
      <w:r w:rsidRPr="001D5134">
        <w:rPr>
          <w:rFonts w:ascii="Abadi" w:hAnsi="Abadi"/>
          <w:b w:val="0"/>
          <w:bCs w:val="0"/>
          <w:sz w:val="21"/>
          <w:szCs w:val="21"/>
        </w:rPr>
        <w:t>Fiscalización</w:t>
      </w:r>
      <w:r w:rsidRPr="001D5134">
        <w:rPr>
          <w:rFonts w:ascii="Abadi" w:hAnsi="Abadi"/>
          <w:b w:val="0"/>
          <w:bCs w:val="0"/>
          <w:spacing w:val="15"/>
          <w:sz w:val="21"/>
          <w:szCs w:val="21"/>
        </w:rPr>
        <w:t xml:space="preserve"> </w:t>
      </w:r>
      <w:r w:rsidRPr="001D5134">
        <w:rPr>
          <w:rFonts w:ascii="Abadi" w:hAnsi="Abadi"/>
          <w:b w:val="0"/>
          <w:bCs w:val="0"/>
          <w:sz w:val="21"/>
          <w:szCs w:val="21"/>
        </w:rPr>
        <w:t>relativo</w:t>
      </w:r>
      <w:r w:rsidRPr="001D5134">
        <w:rPr>
          <w:rFonts w:ascii="Abadi" w:hAnsi="Abadi"/>
          <w:b w:val="0"/>
          <w:bCs w:val="0"/>
          <w:spacing w:val="15"/>
          <w:sz w:val="21"/>
          <w:szCs w:val="21"/>
        </w:rPr>
        <w:t xml:space="preserve"> </w:t>
      </w:r>
      <w:r w:rsidRPr="001D5134">
        <w:rPr>
          <w:rFonts w:ascii="Abadi" w:hAnsi="Abadi"/>
          <w:b w:val="0"/>
          <w:bCs w:val="0"/>
          <w:sz w:val="21"/>
          <w:szCs w:val="21"/>
        </w:rPr>
        <w:t>a</w:t>
      </w:r>
      <w:r w:rsidRPr="001D5134">
        <w:rPr>
          <w:rFonts w:ascii="Abadi" w:hAnsi="Abadi"/>
          <w:b w:val="0"/>
          <w:bCs w:val="0"/>
          <w:spacing w:val="15"/>
          <w:sz w:val="21"/>
          <w:szCs w:val="21"/>
        </w:rPr>
        <w:t xml:space="preserve"> </w:t>
      </w:r>
      <w:r w:rsidRPr="001D5134">
        <w:rPr>
          <w:rFonts w:ascii="Abadi" w:hAnsi="Abadi"/>
          <w:b w:val="0"/>
          <w:bCs w:val="0"/>
          <w:sz w:val="21"/>
          <w:szCs w:val="21"/>
        </w:rPr>
        <w:t>la</w:t>
      </w:r>
      <w:r w:rsidRPr="001D5134">
        <w:rPr>
          <w:rFonts w:ascii="Abadi" w:hAnsi="Abadi"/>
          <w:b w:val="0"/>
          <w:bCs w:val="0"/>
          <w:spacing w:val="15"/>
          <w:sz w:val="21"/>
          <w:szCs w:val="21"/>
        </w:rPr>
        <w:t xml:space="preserve"> </w:t>
      </w:r>
      <w:r w:rsidRPr="001D5134">
        <w:rPr>
          <w:rFonts w:ascii="Abadi" w:hAnsi="Abadi"/>
          <w:b w:val="0"/>
          <w:bCs w:val="0"/>
          <w:sz w:val="21"/>
          <w:szCs w:val="21"/>
        </w:rPr>
        <w:t>iniciativa</w:t>
      </w:r>
      <w:r w:rsidRPr="001D5134">
        <w:rPr>
          <w:rFonts w:ascii="Abadi" w:hAnsi="Abadi"/>
          <w:b w:val="0"/>
          <w:bCs w:val="0"/>
          <w:spacing w:val="15"/>
          <w:sz w:val="21"/>
          <w:szCs w:val="21"/>
        </w:rPr>
        <w:t xml:space="preserve"> </w:t>
      </w:r>
      <w:r w:rsidRPr="001D5134">
        <w:rPr>
          <w:rFonts w:ascii="Abadi" w:hAnsi="Abadi"/>
          <w:b w:val="0"/>
          <w:bCs w:val="0"/>
          <w:sz w:val="21"/>
          <w:szCs w:val="21"/>
        </w:rPr>
        <w:t>formulada</w:t>
      </w:r>
      <w:r w:rsidRPr="001D5134">
        <w:rPr>
          <w:rFonts w:ascii="Abadi" w:hAnsi="Abadi"/>
          <w:b w:val="0"/>
          <w:bCs w:val="0"/>
          <w:spacing w:val="16"/>
          <w:sz w:val="21"/>
          <w:szCs w:val="21"/>
        </w:rPr>
        <w:t xml:space="preserve"> </w:t>
      </w:r>
      <w:r w:rsidRPr="001D5134">
        <w:rPr>
          <w:rFonts w:ascii="Abadi" w:hAnsi="Abadi"/>
          <w:b w:val="0"/>
          <w:bCs w:val="0"/>
          <w:sz w:val="21"/>
          <w:szCs w:val="21"/>
        </w:rPr>
        <w:t>por</w:t>
      </w:r>
      <w:r w:rsidRPr="001D5134">
        <w:rPr>
          <w:rFonts w:ascii="Abadi" w:hAnsi="Abadi"/>
          <w:b w:val="0"/>
          <w:bCs w:val="0"/>
          <w:spacing w:val="-1"/>
          <w:sz w:val="21"/>
          <w:szCs w:val="21"/>
        </w:rPr>
        <w:t xml:space="preserve"> </w:t>
      </w:r>
      <w:r w:rsidRPr="001D5134">
        <w:rPr>
          <w:rFonts w:ascii="Abadi" w:hAnsi="Abadi"/>
          <w:b w:val="0"/>
          <w:bCs w:val="0"/>
          <w:sz w:val="21"/>
          <w:szCs w:val="21"/>
        </w:rPr>
        <w:t>el</w:t>
      </w:r>
      <w:r w:rsidRPr="001D5134">
        <w:rPr>
          <w:rFonts w:ascii="Abadi" w:hAnsi="Abadi"/>
          <w:b w:val="0"/>
          <w:bCs w:val="0"/>
          <w:spacing w:val="26"/>
          <w:sz w:val="21"/>
          <w:szCs w:val="21"/>
        </w:rPr>
        <w:t xml:space="preserve"> </w:t>
      </w:r>
      <w:r w:rsidRPr="001D5134">
        <w:rPr>
          <w:rFonts w:ascii="Abadi" w:hAnsi="Abadi"/>
          <w:b w:val="0"/>
          <w:bCs w:val="0"/>
          <w:sz w:val="21"/>
          <w:szCs w:val="21"/>
        </w:rPr>
        <w:t>Gobernador</w:t>
      </w:r>
      <w:r w:rsidRPr="001D5134">
        <w:rPr>
          <w:rFonts w:ascii="Abadi" w:hAnsi="Abadi"/>
          <w:b w:val="0"/>
          <w:bCs w:val="0"/>
          <w:spacing w:val="26"/>
          <w:sz w:val="21"/>
          <w:szCs w:val="21"/>
        </w:rPr>
        <w:t xml:space="preserve"> </w:t>
      </w:r>
      <w:r w:rsidRPr="001D5134">
        <w:rPr>
          <w:rFonts w:ascii="Abadi" w:hAnsi="Abadi"/>
          <w:b w:val="0"/>
          <w:bCs w:val="0"/>
          <w:sz w:val="21"/>
          <w:szCs w:val="21"/>
        </w:rPr>
        <w:t>del</w:t>
      </w:r>
      <w:r w:rsidRPr="001D5134">
        <w:rPr>
          <w:rFonts w:ascii="Abadi" w:hAnsi="Abadi"/>
          <w:b w:val="0"/>
          <w:bCs w:val="0"/>
          <w:spacing w:val="26"/>
          <w:sz w:val="21"/>
          <w:szCs w:val="21"/>
        </w:rPr>
        <w:t xml:space="preserve"> </w:t>
      </w:r>
      <w:r w:rsidRPr="001D5134">
        <w:rPr>
          <w:rFonts w:ascii="Abadi" w:hAnsi="Abadi"/>
          <w:b w:val="0"/>
          <w:bCs w:val="0"/>
          <w:sz w:val="21"/>
          <w:szCs w:val="21"/>
        </w:rPr>
        <w:t>Estado</w:t>
      </w:r>
      <w:r w:rsidRPr="001D5134">
        <w:rPr>
          <w:rFonts w:ascii="Abadi" w:hAnsi="Abadi"/>
          <w:b w:val="0"/>
          <w:bCs w:val="0"/>
          <w:spacing w:val="26"/>
          <w:sz w:val="21"/>
          <w:szCs w:val="21"/>
        </w:rPr>
        <w:t xml:space="preserve"> </w:t>
      </w:r>
      <w:r w:rsidRPr="001D5134">
        <w:rPr>
          <w:rFonts w:ascii="Abadi" w:hAnsi="Abadi"/>
          <w:b w:val="0"/>
          <w:bCs w:val="0"/>
          <w:sz w:val="21"/>
          <w:szCs w:val="21"/>
        </w:rPr>
        <w:t>a</w:t>
      </w:r>
      <w:r w:rsidRPr="001D5134">
        <w:rPr>
          <w:rFonts w:ascii="Abadi" w:hAnsi="Abadi"/>
          <w:b w:val="0"/>
          <w:bCs w:val="0"/>
          <w:spacing w:val="26"/>
          <w:sz w:val="21"/>
          <w:szCs w:val="21"/>
        </w:rPr>
        <w:t xml:space="preserve"> </w:t>
      </w:r>
      <w:r w:rsidRPr="001D5134">
        <w:rPr>
          <w:rFonts w:ascii="Abadi" w:hAnsi="Abadi"/>
          <w:b w:val="0"/>
          <w:bCs w:val="0"/>
          <w:sz w:val="21"/>
          <w:szCs w:val="21"/>
        </w:rPr>
        <w:t>efecto</w:t>
      </w:r>
      <w:r w:rsidRPr="001D5134">
        <w:rPr>
          <w:rFonts w:ascii="Abadi" w:hAnsi="Abadi"/>
          <w:b w:val="0"/>
          <w:bCs w:val="0"/>
          <w:spacing w:val="26"/>
          <w:sz w:val="21"/>
          <w:szCs w:val="21"/>
        </w:rPr>
        <w:t xml:space="preserve"> </w:t>
      </w:r>
      <w:r w:rsidRPr="001D5134">
        <w:rPr>
          <w:rFonts w:ascii="Abadi" w:hAnsi="Abadi"/>
          <w:b w:val="0"/>
          <w:bCs w:val="0"/>
          <w:sz w:val="21"/>
          <w:szCs w:val="21"/>
        </w:rPr>
        <w:t>de</w:t>
      </w:r>
      <w:r w:rsidRPr="001D5134">
        <w:rPr>
          <w:rFonts w:ascii="Abadi" w:hAnsi="Abadi"/>
          <w:b w:val="0"/>
          <w:bCs w:val="0"/>
          <w:spacing w:val="26"/>
          <w:sz w:val="21"/>
          <w:szCs w:val="21"/>
        </w:rPr>
        <w:t xml:space="preserve"> </w:t>
      </w:r>
      <w:r w:rsidRPr="001D5134">
        <w:rPr>
          <w:rFonts w:ascii="Abadi" w:hAnsi="Abadi"/>
          <w:b w:val="0"/>
          <w:bCs w:val="0"/>
          <w:sz w:val="21"/>
          <w:szCs w:val="21"/>
        </w:rPr>
        <w:t>que</w:t>
      </w:r>
      <w:r w:rsidRPr="001D5134">
        <w:rPr>
          <w:rFonts w:ascii="Abadi" w:hAnsi="Abadi"/>
          <w:b w:val="0"/>
          <w:bCs w:val="0"/>
          <w:spacing w:val="26"/>
          <w:sz w:val="21"/>
          <w:szCs w:val="21"/>
        </w:rPr>
        <w:t xml:space="preserve"> </w:t>
      </w:r>
      <w:r w:rsidRPr="001D5134">
        <w:rPr>
          <w:rFonts w:ascii="Abadi" w:hAnsi="Abadi"/>
          <w:b w:val="0"/>
          <w:bCs w:val="0"/>
          <w:sz w:val="21"/>
          <w:szCs w:val="21"/>
        </w:rPr>
        <w:t>se</w:t>
      </w:r>
      <w:r w:rsidRPr="001D5134">
        <w:rPr>
          <w:rFonts w:ascii="Abadi" w:hAnsi="Abadi"/>
          <w:b w:val="0"/>
          <w:bCs w:val="0"/>
          <w:spacing w:val="26"/>
          <w:sz w:val="21"/>
          <w:szCs w:val="21"/>
        </w:rPr>
        <w:t xml:space="preserve"> </w:t>
      </w:r>
      <w:r w:rsidRPr="001D5134">
        <w:rPr>
          <w:rFonts w:ascii="Abadi" w:hAnsi="Abadi"/>
          <w:b w:val="0"/>
          <w:bCs w:val="0"/>
          <w:sz w:val="21"/>
          <w:szCs w:val="21"/>
        </w:rPr>
        <w:t>le</w:t>
      </w:r>
      <w:r w:rsidRPr="001D5134">
        <w:rPr>
          <w:rFonts w:ascii="Abadi" w:hAnsi="Abadi"/>
          <w:b w:val="0"/>
          <w:bCs w:val="0"/>
          <w:spacing w:val="26"/>
          <w:sz w:val="21"/>
          <w:szCs w:val="21"/>
        </w:rPr>
        <w:t xml:space="preserve"> </w:t>
      </w:r>
      <w:r w:rsidRPr="001D5134">
        <w:rPr>
          <w:rFonts w:ascii="Abadi" w:hAnsi="Abadi"/>
          <w:b w:val="0"/>
          <w:bCs w:val="0"/>
          <w:sz w:val="21"/>
          <w:szCs w:val="21"/>
        </w:rPr>
        <w:t>autorice,</w:t>
      </w:r>
      <w:r w:rsidRPr="001D5134">
        <w:rPr>
          <w:rFonts w:ascii="Abadi" w:hAnsi="Abadi"/>
          <w:b w:val="0"/>
          <w:bCs w:val="0"/>
          <w:spacing w:val="26"/>
          <w:sz w:val="21"/>
          <w:szCs w:val="21"/>
        </w:rPr>
        <w:t xml:space="preserve"> </w:t>
      </w:r>
      <w:r w:rsidRPr="001D5134">
        <w:rPr>
          <w:rFonts w:ascii="Abadi" w:hAnsi="Abadi"/>
          <w:b w:val="0"/>
          <w:bCs w:val="0"/>
          <w:sz w:val="21"/>
          <w:szCs w:val="21"/>
        </w:rPr>
        <w:t>previa</w:t>
      </w:r>
      <w:r w:rsidRPr="001D5134">
        <w:rPr>
          <w:rFonts w:ascii="Abadi" w:hAnsi="Abadi"/>
          <w:b w:val="0"/>
          <w:bCs w:val="0"/>
          <w:spacing w:val="-1"/>
          <w:sz w:val="21"/>
          <w:szCs w:val="21"/>
        </w:rPr>
        <w:t xml:space="preserve"> </w:t>
      </w:r>
      <w:r w:rsidRPr="001D5134">
        <w:rPr>
          <w:rFonts w:ascii="Abadi" w:hAnsi="Abadi"/>
          <w:b w:val="0"/>
          <w:bCs w:val="0"/>
          <w:sz w:val="21"/>
          <w:szCs w:val="21"/>
        </w:rPr>
        <w:t>desafectación</w:t>
      </w:r>
      <w:r w:rsidRPr="001D5134">
        <w:rPr>
          <w:rFonts w:ascii="Abadi" w:hAnsi="Abadi"/>
          <w:b w:val="0"/>
          <w:bCs w:val="0"/>
          <w:spacing w:val="26"/>
          <w:sz w:val="21"/>
          <w:szCs w:val="21"/>
        </w:rPr>
        <w:t xml:space="preserve"> </w:t>
      </w:r>
      <w:r w:rsidRPr="001D5134">
        <w:rPr>
          <w:rFonts w:ascii="Abadi" w:hAnsi="Abadi"/>
          <w:b w:val="0"/>
          <w:bCs w:val="0"/>
          <w:sz w:val="21"/>
          <w:szCs w:val="21"/>
        </w:rPr>
        <w:t>del</w:t>
      </w:r>
      <w:r w:rsidRPr="001D5134">
        <w:rPr>
          <w:rFonts w:ascii="Abadi" w:hAnsi="Abadi"/>
          <w:b w:val="0"/>
          <w:bCs w:val="0"/>
          <w:spacing w:val="26"/>
          <w:sz w:val="21"/>
          <w:szCs w:val="21"/>
        </w:rPr>
        <w:t xml:space="preserve"> </w:t>
      </w:r>
      <w:r w:rsidRPr="001D5134">
        <w:rPr>
          <w:rFonts w:ascii="Abadi" w:hAnsi="Abadi"/>
          <w:b w:val="0"/>
          <w:bCs w:val="0"/>
          <w:sz w:val="21"/>
          <w:szCs w:val="21"/>
        </w:rPr>
        <w:t>dominio</w:t>
      </w:r>
      <w:r w:rsidRPr="001D5134">
        <w:rPr>
          <w:rFonts w:ascii="Abadi" w:hAnsi="Abadi"/>
          <w:b w:val="0"/>
          <w:bCs w:val="0"/>
          <w:spacing w:val="26"/>
          <w:sz w:val="21"/>
          <w:szCs w:val="21"/>
        </w:rPr>
        <w:t xml:space="preserve"> </w:t>
      </w:r>
      <w:r w:rsidRPr="001D5134">
        <w:rPr>
          <w:rFonts w:ascii="Abadi" w:hAnsi="Abadi"/>
          <w:b w:val="0"/>
          <w:bCs w:val="0"/>
          <w:sz w:val="21"/>
          <w:szCs w:val="21"/>
        </w:rPr>
        <w:t>público</w:t>
      </w:r>
      <w:r w:rsidRPr="001D5134">
        <w:rPr>
          <w:rFonts w:ascii="Abadi" w:hAnsi="Abadi"/>
          <w:b w:val="0"/>
          <w:bCs w:val="0"/>
          <w:spacing w:val="26"/>
          <w:sz w:val="21"/>
          <w:szCs w:val="21"/>
        </w:rPr>
        <w:t xml:space="preserve"> </w:t>
      </w:r>
      <w:r w:rsidRPr="001D5134">
        <w:rPr>
          <w:rFonts w:ascii="Abadi" w:hAnsi="Abadi"/>
          <w:b w:val="0"/>
          <w:bCs w:val="0"/>
          <w:sz w:val="21"/>
          <w:szCs w:val="21"/>
        </w:rPr>
        <w:t>del</w:t>
      </w:r>
      <w:r w:rsidRPr="001D5134">
        <w:rPr>
          <w:rFonts w:ascii="Abadi" w:hAnsi="Abadi"/>
          <w:b w:val="0"/>
          <w:bCs w:val="0"/>
          <w:spacing w:val="26"/>
          <w:sz w:val="21"/>
          <w:szCs w:val="21"/>
        </w:rPr>
        <w:t xml:space="preserve"> </w:t>
      </w:r>
      <w:r w:rsidRPr="001D5134">
        <w:rPr>
          <w:rFonts w:ascii="Abadi" w:hAnsi="Abadi"/>
          <w:b w:val="0"/>
          <w:bCs w:val="0"/>
          <w:sz w:val="21"/>
          <w:szCs w:val="21"/>
        </w:rPr>
        <w:t>Estado,</w:t>
      </w:r>
      <w:r w:rsidRPr="001D5134">
        <w:rPr>
          <w:rFonts w:ascii="Abadi" w:hAnsi="Abadi"/>
          <w:b w:val="0"/>
          <w:bCs w:val="0"/>
          <w:spacing w:val="26"/>
          <w:sz w:val="21"/>
          <w:szCs w:val="21"/>
        </w:rPr>
        <w:t xml:space="preserve"> </w:t>
      </w:r>
      <w:r w:rsidRPr="001D5134">
        <w:rPr>
          <w:rFonts w:ascii="Abadi" w:hAnsi="Abadi"/>
          <w:b w:val="0"/>
          <w:bCs w:val="0"/>
          <w:sz w:val="21"/>
          <w:szCs w:val="21"/>
        </w:rPr>
        <w:t>la</w:t>
      </w:r>
      <w:r w:rsidRPr="001D5134">
        <w:rPr>
          <w:rFonts w:ascii="Abadi" w:hAnsi="Abadi"/>
          <w:b w:val="0"/>
          <w:bCs w:val="0"/>
          <w:spacing w:val="26"/>
          <w:sz w:val="21"/>
          <w:szCs w:val="21"/>
        </w:rPr>
        <w:t xml:space="preserve"> </w:t>
      </w:r>
      <w:r w:rsidRPr="001D5134">
        <w:rPr>
          <w:rFonts w:ascii="Abadi" w:hAnsi="Abadi"/>
          <w:b w:val="0"/>
          <w:bCs w:val="0"/>
          <w:sz w:val="21"/>
          <w:szCs w:val="21"/>
        </w:rPr>
        <w:t>enajenación</w:t>
      </w:r>
      <w:r w:rsidRPr="001D5134">
        <w:rPr>
          <w:rFonts w:ascii="Abadi" w:hAnsi="Abadi"/>
          <w:b w:val="0"/>
          <w:bCs w:val="0"/>
          <w:spacing w:val="26"/>
          <w:sz w:val="21"/>
          <w:szCs w:val="21"/>
        </w:rPr>
        <w:t xml:space="preserve"> </w:t>
      </w:r>
      <w:r w:rsidRPr="001D5134">
        <w:rPr>
          <w:rFonts w:ascii="Abadi" w:hAnsi="Abadi"/>
          <w:b w:val="0"/>
          <w:bCs w:val="0"/>
          <w:sz w:val="21"/>
          <w:szCs w:val="21"/>
        </w:rPr>
        <w:t>mediante</w:t>
      </w:r>
      <w:r w:rsidRPr="001D5134">
        <w:rPr>
          <w:rFonts w:ascii="Abadi" w:hAnsi="Abadi"/>
          <w:b w:val="0"/>
          <w:bCs w:val="0"/>
          <w:spacing w:val="26"/>
          <w:sz w:val="21"/>
          <w:szCs w:val="21"/>
        </w:rPr>
        <w:t xml:space="preserve"> </w:t>
      </w:r>
      <w:r w:rsidRPr="001D5134">
        <w:rPr>
          <w:rFonts w:ascii="Abadi" w:hAnsi="Abadi"/>
          <w:b w:val="0"/>
          <w:bCs w:val="0"/>
          <w:sz w:val="21"/>
          <w:szCs w:val="21"/>
        </w:rPr>
        <w:t>la</w:t>
      </w:r>
      <w:r w:rsidRPr="001D5134">
        <w:rPr>
          <w:rFonts w:ascii="Abadi" w:hAnsi="Abadi"/>
          <w:b w:val="0"/>
          <w:bCs w:val="0"/>
          <w:spacing w:val="-1"/>
          <w:sz w:val="21"/>
          <w:szCs w:val="21"/>
        </w:rPr>
        <w:t xml:space="preserve"> </w:t>
      </w:r>
      <w:r w:rsidRPr="001D5134">
        <w:rPr>
          <w:rFonts w:ascii="Abadi" w:hAnsi="Abadi"/>
          <w:b w:val="0"/>
          <w:bCs w:val="0"/>
          <w:sz w:val="21"/>
          <w:szCs w:val="21"/>
        </w:rPr>
        <w:t>figura</w:t>
      </w:r>
      <w:r w:rsidRPr="001D5134">
        <w:rPr>
          <w:rFonts w:ascii="Abadi" w:hAnsi="Abadi"/>
          <w:b w:val="0"/>
          <w:bCs w:val="0"/>
          <w:spacing w:val="70"/>
          <w:sz w:val="21"/>
          <w:szCs w:val="21"/>
        </w:rPr>
        <w:t xml:space="preserve"> </w:t>
      </w:r>
      <w:r w:rsidRPr="001D5134">
        <w:rPr>
          <w:rFonts w:ascii="Abadi" w:hAnsi="Abadi"/>
          <w:b w:val="0"/>
          <w:bCs w:val="0"/>
          <w:sz w:val="21"/>
          <w:szCs w:val="21"/>
        </w:rPr>
        <w:t>de</w:t>
      </w:r>
      <w:r w:rsidRPr="001D5134">
        <w:rPr>
          <w:rFonts w:ascii="Abadi" w:hAnsi="Abadi"/>
          <w:b w:val="0"/>
          <w:bCs w:val="0"/>
          <w:spacing w:val="70"/>
          <w:sz w:val="21"/>
          <w:szCs w:val="21"/>
        </w:rPr>
        <w:t xml:space="preserve"> </w:t>
      </w:r>
      <w:r w:rsidRPr="001D5134">
        <w:rPr>
          <w:rFonts w:ascii="Abadi" w:hAnsi="Abadi"/>
          <w:b w:val="0"/>
          <w:bCs w:val="0"/>
          <w:sz w:val="21"/>
          <w:szCs w:val="21"/>
        </w:rPr>
        <w:t>donación</w:t>
      </w:r>
      <w:r w:rsidRPr="001D5134">
        <w:rPr>
          <w:rFonts w:ascii="Abadi" w:hAnsi="Abadi"/>
          <w:b w:val="0"/>
          <w:bCs w:val="0"/>
          <w:spacing w:val="70"/>
          <w:sz w:val="21"/>
          <w:szCs w:val="21"/>
        </w:rPr>
        <w:t xml:space="preserve"> </w:t>
      </w:r>
      <w:r w:rsidRPr="001D5134">
        <w:rPr>
          <w:rFonts w:ascii="Abadi" w:hAnsi="Abadi"/>
          <w:b w:val="0"/>
          <w:bCs w:val="0"/>
          <w:sz w:val="21"/>
          <w:szCs w:val="21"/>
        </w:rPr>
        <w:t>de</w:t>
      </w:r>
      <w:r w:rsidRPr="001D5134">
        <w:rPr>
          <w:rFonts w:ascii="Abadi" w:hAnsi="Abadi"/>
          <w:b w:val="0"/>
          <w:bCs w:val="0"/>
          <w:spacing w:val="70"/>
          <w:sz w:val="21"/>
          <w:szCs w:val="21"/>
        </w:rPr>
        <w:t xml:space="preserve"> </w:t>
      </w:r>
      <w:r w:rsidRPr="001D5134">
        <w:rPr>
          <w:rFonts w:ascii="Abadi" w:hAnsi="Abadi"/>
          <w:b w:val="0"/>
          <w:bCs w:val="0"/>
          <w:sz w:val="21"/>
          <w:szCs w:val="21"/>
        </w:rPr>
        <w:t>una</w:t>
      </w:r>
      <w:r w:rsidRPr="001D5134">
        <w:rPr>
          <w:rFonts w:ascii="Abadi" w:hAnsi="Abadi"/>
          <w:b w:val="0"/>
          <w:bCs w:val="0"/>
          <w:spacing w:val="70"/>
          <w:sz w:val="21"/>
          <w:szCs w:val="21"/>
        </w:rPr>
        <w:t xml:space="preserve"> </w:t>
      </w:r>
      <w:r w:rsidRPr="001D5134">
        <w:rPr>
          <w:rFonts w:ascii="Abadi" w:hAnsi="Abadi"/>
          <w:b w:val="0"/>
          <w:bCs w:val="0"/>
          <w:sz w:val="21"/>
          <w:szCs w:val="21"/>
        </w:rPr>
        <w:t>fracción</w:t>
      </w:r>
      <w:r w:rsidRPr="001D5134">
        <w:rPr>
          <w:rFonts w:ascii="Abadi" w:hAnsi="Abadi"/>
          <w:b w:val="0"/>
          <w:bCs w:val="0"/>
          <w:spacing w:val="70"/>
          <w:sz w:val="21"/>
          <w:szCs w:val="21"/>
        </w:rPr>
        <w:t xml:space="preserve"> </w:t>
      </w:r>
      <w:r w:rsidRPr="001D5134">
        <w:rPr>
          <w:rFonts w:ascii="Abadi" w:hAnsi="Abadi"/>
          <w:b w:val="0"/>
          <w:bCs w:val="0"/>
          <w:sz w:val="21"/>
          <w:szCs w:val="21"/>
        </w:rPr>
        <w:t>de</w:t>
      </w:r>
      <w:r w:rsidRPr="001D5134">
        <w:rPr>
          <w:rFonts w:ascii="Abadi" w:hAnsi="Abadi"/>
          <w:b w:val="0"/>
          <w:bCs w:val="0"/>
          <w:spacing w:val="70"/>
          <w:sz w:val="21"/>
          <w:szCs w:val="21"/>
        </w:rPr>
        <w:t xml:space="preserve"> </w:t>
      </w:r>
      <w:r w:rsidRPr="001D5134">
        <w:rPr>
          <w:rFonts w:ascii="Abadi" w:hAnsi="Abadi"/>
          <w:b w:val="0"/>
          <w:bCs w:val="0"/>
          <w:sz w:val="21"/>
          <w:szCs w:val="21"/>
        </w:rPr>
        <w:t>un</w:t>
      </w:r>
      <w:r w:rsidRPr="001D5134">
        <w:rPr>
          <w:rFonts w:ascii="Abadi" w:hAnsi="Abadi"/>
          <w:b w:val="0"/>
          <w:bCs w:val="0"/>
          <w:spacing w:val="70"/>
          <w:sz w:val="21"/>
          <w:szCs w:val="21"/>
        </w:rPr>
        <w:t xml:space="preserve"> </w:t>
      </w:r>
      <w:r w:rsidRPr="001D5134">
        <w:rPr>
          <w:rFonts w:ascii="Abadi" w:hAnsi="Abadi"/>
          <w:b w:val="0"/>
          <w:bCs w:val="0"/>
          <w:sz w:val="21"/>
          <w:szCs w:val="21"/>
        </w:rPr>
        <w:t>bien</w:t>
      </w:r>
      <w:r w:rsidRPr="001D5134">
        <w:rPr>
          <w:rFonts w:ascii="Abadi" w:hAnsi="Abadi"/>
          <w:b w:val="0"/>
          <w:bCs w:val="0"/>
          <w:spacing w:val="70"/>
          <w:sz w:val="21"/>
          <w:szCs w:val="21"/>
        </w:rPr>
        <w:t xml:space="preserve"> </w:t>
      </w:r>
      <w:r w:rsidRPr="001D5134">
        <w:rPr>
          <w:rFonts w:ascii="Abadi" w:hAnsi="Abadi"/>
          <w:b w:val="0"/>
          <w:bCs w:val="0"/>
          <w:sz w:val="21"/>
          <w:szCs w:val="21"/>
        </w:rPr>
        <w:t>inmueble</w:t>
      </w:r>
      <w:r w:rsidRPr="001D5134">
        <w:rPr>
          <w:rFonts w:ascii="Abadi" w:hAnsi="Abadi"/>
          <w:b w:val="0"/>
          <w:bCs w:val="0"/>
          <w:spacing w:val="70"/>
          <w:sz w:val="21"/>
          <w:szCs w:val="21"/>
        </w:rPr>
        <w:t xml:space="preserve"> </w:t>
      </w:r>
      <w:r w:rsidRPr="001D5134">
        <w:rPr>
          <w:rFonts w:ascii="Abadi" w:hAnsi="Abadi"/>
          <w:b w:val="0"/>
          <w:bCs w:val="0"/>
          <w:sz w:val="21"/>
          <w:szCs w:val="21"/>
        </w:rPr>
        <w:t>en</w:t>
      </w:r>
      <w:r w:rsidRPr="001D5134">
        <w:rPr>
          <w:rFonts w:ascii="Abadi" w:hAnsi="Abadi"/>
          <w:b w:val="0"/>
          <w:bCs w:val="0"/>
          <w:spacing w:val="70"/>
          <w:sz w:val="21"/>
          <w:szCs w:val="21"/>
        </w:rPr>
        <w:t xml:space="preserve"> </w:t>
      </w:r>
      <w:r w:rsidRPr="001D5134">
        <w:rPr>
          <w:rFonts w:ascii="Abadi" w:hAnsi="Abadi"/>
          <w:b w:val="0"/>
          <w:bCs w:val="0"/>
          <w:sz w:val="21"/>
          <w:szCs w:val="21"/>
        </w:rPr>
        <w:t>favor</w:t>
      </w:r>
      <w:r w:rsidRPr="001D5134">
        <w:rPr>
          <w:rFonts w:ascii="Abadi" w:hAnsi="Abadi"/>
          <w:b w:val="0"/>
          <w:bCs w:val="0"/>
          <w:spacing w:val="70"/>
          <w:sz w:val="21"/>
          <w:szCs w:val="21"/>
        </w:rPr>
        <w:t xml:space="preserve"> </w:t>
      </w:r>
      <w:r w:rsidRPr="001D5134">
        <w:rPr>
          <w:rFonts w:ascii="Abadi" w:hAnsi="Abadi"/>
          <w:b w:val="0"/>
          <w:bCs w:val="0"/>
          <w:sz w:val="21"/>
          <w:szCs w:val="21"/>
        </w:rPr>
        <w:t>del</w:t>
      </w:r>
      <w:r w:rsidRPr="001D5134">
        <w:rPr>
          <w:rFonts w:ascii="Abadi" w:hAnsi="Abadi"/>
          <w:b w:val="0"/>
          <w:bCs w:val="0"/>
          <w:spacing w:val="-1"/>
          <w:sz w:val="21"/>
          <w:szCs w:val="21"/>
        </w:rPr>
        <w:t xml:space="preserve"> </w:t>
      </w:r>
      <w:r w:rsidRPr="001D5134">
        <w:rPr>
          <w:rFonts w:ascii="Abadi" w:hAnsi="Abadi"/>
          <w:b w:val="0"/>
          <w:bCs w:val="0"/>
          <w:sz w:val="21"/>
          <w:szCs w:val="21"/>
        </w:rPr>
        <w:t>municipio de Cortazar, Gto., para destinarlo a la Casa de la Cultura.</w:t>
      </w:r>
      <w:r>
        <w:rPr>
          <w:rFonts w:ascii="Abadi" w:hAnsi="Abadi"/>
          <w:sz w:val="21"/>
          <w:szCs w:val="21"/>
        </w:rPr>
        <w:t xml:space="preserve"> </w:t>
      </w:r>
      <w:r w:rsidRPr="009A3D12">
        <w:rPr>
          <w:rFonts w:ascii="Abadi" w:hAnsi="Abadi"/>
          <w:sz w:val="21"/>
          <w:szCs w:val="21"/>
        </w:rPr>
        <w:t>XLIX.-</w:t>
      </w:r>
      <w:r>
        <w:rPr>
          <w:rFonts w:ascii="Abadi" w:hAnsi="Abadi"/>
          <w:sz w:val="21"/>
          <w:szCs w:val="21"/>
        </w:rPr>
        <w:t xml:space="preserve"> </w:t>
      </w:r>
      <w:r w:rsidRPr="001D5134">
        <w:rPr>
          <w:rFonts w:ascii="Abadi" w:hAnsi="Abadi"/>
          <w:b w:val="0"/>
          <w:bCs w:val="0"/>
          <w:sz w:val="21"/>
          <w:szCs w:val="21"/>
        </w:rPr>
        <w:t>Discusión</w:t>
      </w:r>
      <w:r w:rsidRPr="001D5134">
        <w:rPr>
          <w:rFonts w:ascii="Abadi" w:hAnsi="Abadi"/>
          <w:b w:val="0"/>
          <w:bCs w:val="0"/>
          <w:spacing w:val="11"/>
          <w:sz w:val="21"/>
          <w:szCs w:val="21"/>
        </w:rPr>
        <w:t xml:space="preserve"> </w:t>
      </w:r>
      <w:r w:rsidRPr="001D5134">
        <w:rPr>
          <w:rFonts w:ascii="Abadi" w:hAnsi="Abadi"/>
          <w:b w:val="0"/>
          <w:bCs w:val="0"/>
          <w:sz w:val="21"/>
          <w:szCs w:val="21"/>
        </w:rPr>
        <w:t>y,</w:t>
      </w:r>
      <w:r w:rsidRPr="001D5134">
        <w:rPr>
          <w:rFonts w:ascii="Abadi" w:hAnsi="Abadi"/>
          <w:b w:val="0"/>
          <w:bCs w:val="0"/>
          <w:spacing w:val="11"/>
          <w:sz w:val="21"/>
          <w:szCs w:val="21"/>
        </w:rPr>
        <w:t xml:space="preserve"> </w:t>
      </w:r>
      <w:r w:rsidRPr="001D5134">
        <w:rPr>
          <w:rFonts w:ascii="Abadi" w:hAnsi="Abadi"/>
          <w:b w:val="0"/>
          <w:bCs w:val="0"/>
          <w:sz w:val="21"/>
          <w:szCs w:val="21"/>
        </w:rPr>
        <w:t>en</w:t>
      </w:r>
      <w:r w:rsidRPr="001D5134">
        <w:rPr>
          <w:rFonts w:ascii="Abadi" w:hAnsi="Abadi"/>
          <w:b w:val="0"/>
          <w:bCs w:val="0"/>
          <w:spacing w:val="11"/>
          <w:sz w:val="21"/>
          <w:szCs w:val="21"/>
        </w:rPr>
        <w:t xml:space="preserve"> </w:t>
      </w:r>
      <w:r w:rsidRPr="001D5134">
        <w:rPr>
          <w:rFonts w:ascii="Abadi" w:hAnsi="Abadi"/>
          <w:b w:val="0"/>
          <w:bCs w:val="0"/>
          <w:sz w:val="21"/>
          <w:szCs w:val="21"/>
        </w:rPr>
        <w:t>su</w:t>
      </w:r>
      <w:r w:rsidRPr="001D5134">
        <w:rPr>
          <w:rFonts w:ascii="Abadi" w:hAnsi="Abadi"/>
          <w:b w:val="0"/>
          <w:bCs w:val="0"/>
          <w:spacing w:val="11"/>
          <w:sz w:val="21"/>
          <w:szCs w:val="21"/>
        </w:rPr>
        <w:t xml:space="preserve"> </w:t>
      </w:r>
      <w:r w:rsidRPr="001D5134">
        <w:rPr>
          <w:rFonts w:ascii="Abadi" w:hAnsi="Abadi"/>
          <w:b w:val="0"/>
          <w:bCs w:val="0"/>
          <w:sz w:val="21"/>
          <w:szCs w:val="21"/>
        </w:rPr>
        <w:t>caso,</w:t>
      </w:r>
      <w:r w:rsidRPr="001D5134">
        <w:rPr>
          <w:rFonts w:ascii="Abadi" w:hAnsi="Abadi"/>
          <w:b w:val="0"/>
          <w:bCs w:val="0"/>
          <w:spacing w:val="10"/>
          <w:sz w:val="21"/>
          <w:szCs w:val="21"/>
        </w:rPr>
        <w:t xml:space="preserve"> </w:t>
      </w:r>
      <w:r w:rsidRPr="001D5134">
        <w:rPr>
          <w:rFonts w:ascii="Abadi" w:hAnsi="Abadi"/>
          <w:b w:val="0"/>
          <w:bCs w:val="0"/>
          <w:sz w:val="21"/>
          <w:szCs w:val="21"/>
        </w:rPr>
        <w:t>aprobación</w:t>
      </w:r>
      <w:r w:rsidRPr="001D5134">
        <w:rPr>
          <w:rFonts w:ascii="Abadi" w:hAnsi="Abadi"/>
          <w:b w:val="0"/>
          <w:bCs w:val="0"/>
          <w:spacing w:val="11"/>
          <w:sz w:val="21"/>
          <w:szCs w:val="21"/>
        </w:rPr>
        <w:t xml:space="preserve"> </w:t>
      </w:r>
      <w:r w:rsidRPr="001D5134">
        <w:rPr>
          <w:rFonts w:ascii="Abadi" w:hAnsi="Abadi"/>
          <w:b w:val="0"/>
          <w:bCs w:val="0"/>
          <w:sz w:val="21"/>
          <w:szCs w:val="21"/>
        </w:rPr>
        <w:t>del</w:t>
      </w:r>
      <w:r w:rsidRPr="001D5134">
        <w:rPr>
          <w:rFonts w:ascii="Abadi" w:hAnsi="Abadi"/>
          <w:b w:val="0"/>
          <w:bCs w:val="0"/>
          <w:spacing w:val="11"/>
          <w:sz w:val="21"/>
          <w:szCs w:val="21"/>
        </w:rPr>
        <w:t xml:space="preserve"> </w:t>
      </w:r>
      <w:r w:rsidRPr="001D5134">
        <w:rPr>
          <w:rFonts w:ascii="Abadi" w:hAnsi="Abadi"/>
          <w:b w:val="0"/>
          <w:bCs w:val="0"/>
          <w:sz w:val="21"/>
          <w:szCs w:val="21"/>
        </w:rPr>
        <w:t>dictamen</w:t>
      </w:r>
      <w:r w:rsidRPr="001D5134">
        <w:rPr>
          <w:rFonts w:ascii="Abadi" w:hAnsi="Abadi"/>
          <w:b w:val="0"/>
          <w:bCs w:val="0"/>
          <w:spacing w:val="11"/>
          <w:sz w:val="21"/>
          <w:szCs w:val="21"/>
        </w:rPr>
        <w:t xml:space="preserve"> </w:t>
      </w:r>
      <w:r w:rsidRPr="001D5134">
        <w:rPr>
          <w:rFonts w:ascii="Abadi" w:hAnsi="Abadi"/>
          <w:b w:val="0"/>
          <w:bCs w:val="0"/>
          <w:sz w:val="21"/>
          <w:szCs w:val="21"/>
        </w:rPr>
        <w:t>suscrito</w:t>
      </w:r>
      <w:r w:rsidRPr="001D5134">
        <w:rPr>
          <w:rFonts w:ascii="Abadi" w:hAnsi="Abadi"/>
          <w:b w:val="0"/>
          <w:bCs w:val="0"/>
          <w:spacing w:val="11"/>
          <w:sz w:val="21"/>
          <w:szCs w:val="21"/>
        </w:rPr>
        <w:t xml:space="preserve"> </w:t>
      </w:r>
      <w:r w:rsidRPr="001D5134">
        <w:rPr>
          <w:rFonts w:ascii="Abadi" w:hAnsi="Abadi"/>
          <w:b w:val="0"/>
          <w:bCs w:val="0"/>
          <w:sz w:val="21"/>
          <w:szCs w:val="21"/>
        </w:rPr>
        <w:t>por</w:t>
      </w:r>
      <w:r w:rsidRPr="001D5134">
        <w:rPr>
          <w:rFonts w:ascii="Abadi" w:hAnsi="Abadi"/>
          <w:b w:val="0"/>
          <w:bCs w:val="0"/>
          <w:spacing w:val="11"/>
          <w:sz w:val="21"/>
          <w:szCs w:val="21"/>
        </w:rPr>
        <w:t xml:space="preserve"> </w:t>
      </w:r>
      <w:r w:rsidRPr="001D5134">
        <w:rPr>
          <w:rFonts w:ascii="Abadi" w:hAnsi="Abadi"/>
          <w:b w:val="0"/>
          <w:bCs w:val="0"/>
          <w:sz w:val="21"/>
          <w:szCs w:val="21"/>
        </w:rPr>
        <w:t>la</w:t>
      </w:r>
      <w:r w:rsidRPr="001D5134">
        <w:rPr>
          <w:rFonts w:ascii="Abadi" w:hAnsi="Abadi"/>
          <w:b w:val="0"/>
          <w:bCs w:val="0"/>
          <w:spacing w:val="11"/>
          <w:sz w:val="21"/>
          <w:szCs w:val="21"/>
        </w:rPr>
        <w:t xml:space="preserve"> </w:t>
      </w:r>
      <w:r w:rsidRPr="001D5134">
        <w:rPr>
          <w:rFonts w:ascii="Abadi" w:hAnsi="Abadi"/>
          <w:b w:val="0"/>
          <w:bCs w:val="0"/>
          <w:sz w:val="21"/>
          <w:szCs w:val="21"/>
        </w:rPr>
        <w:t>Comisión</w:t>
      </w:r>
      <w:r w:rsidRPr="001D5134">
        <w:rPr>
          <w:rFonts w:ascii="Abadi" w:hAnsi="Abadi"/>
          <w:b w:val="0"/>
          <w:bCs w:val="0"/>
          <w:spacing w:val="-1"/>
          <w:sz w:val="21"/>
          <w:szCs w:val="21"/>
        </w:rPr>
        <w:t xml:space="preserve"> </w:t>
      </w:r>
      <w:r w:rsidRPr="001D5134">
        <w:rPr>
          <w:rFonts w:ascii="Abadi" w:hAnsi="Abadi"/>
          <w:b w:val="0"/>
          <w:bCs w:val="0"/>
          <w:sz w:val="21"/>
          <w:szCs w:val="21"/>
        </w:rPr>
        <w:t>de</w:t>
      </w:r>
      <w:r w:rsidRPr="001D5134">
        <w:rPr>
          <w:rFonts w:ascii="Abadi" w:hAnsi="Abadi"/>
          <w:b w:val="0"/>
          <w:bCs w:val="0"/>
          <w:spacing w:val="67"/>
          <w:w w:val="150"/>
          <w:sz w:val="21"/>
          <w:szCs w:val="21"/>
        </w:rPr>
        <w:t xml:space="preserve"> </w:t>
      </w:r>
      <w:r w:rsidRPr="001D5134">
        <w:rPr>
          <w:rFonts w:ascii="Abadi" w:hAnsi="Abadi"/>
          <w:b w:val="0"/>
          <w:bCs w:val="0"/>
          <w:sz w:val="21"/>
          <w:szCs w:val="21"/>
        </w:rPr>
        <w:t>Hacienda</w:t>
      </w:r>
      <w:r w:rsidRPr="001D5134">
        <w:rPr>
          <w:rFonts w:ascii="Abadi" w:hAnsi="Abadi"/>
          <w:b w:val="0"/>
          <w:bCs w:val="0"/>
          <w:spacing w:val="67"/>
          <w:w w:val="150"/>
          <w:sz w:val="21"/>
          <w:szCs w:val="21"/>
        </w:rPr>
        <w:t xml:space="preserve"> </w:t>
      </w:r>
      <w:r w:rsidRPr="001D5134">
        <w:rPr>
          <w:rFonts w:ascii="Abadi" w:hAnsi="Abadi"/>
          <w:b w:val="0"/>
          <w:bCs w:val="0"/>
          <w:sz w:val="21"/>
          <w:szCs w:val="21"/>
        </w:rPr>
        <w:t>y</w:t>
      </w:r>
      <w:r w:rsidRPr="001D5134">
        <w:rPr>
          <w:rFonts w:ascii="Abadi" w:hAnsi="Abadi"/>
          <w:b w:val="0"/>
          <w:bCs w:val="0"/>
          <w:spacing w:val="67"/>
          <w:w w:val="150"/>
          <w:sz w:val="21"/>
          <w:szCs w:val="21"/>
        </w:rPr>
        <w:t xml:space="preserve"> </w:t>
      </w:r>
      <w:r w:rsidRPr="001D5134">
        <w:rPr>
          <w:rFonts w:ascii="Abadi" w:hAnsi="Abadi"/>
          <w:b w:val="0"/>
          <w:bCs w:val="0"/>
          <w:sz w:val="21"/>
          <w:szCs w:val="21"/>
        </w:rPr>
        <w:t>Fiscalización</w:t>
      </w:r>
      <w:r w:rsidRPr="001D5134">
        <w:rPr>
          <w:rFonts w:ascii="Abadi" w:hAnsi="Abadi"/>
          <w:b w:val="0"/>
          <w:bCs w:val="0"/>
          <w:spacing w:val="67"/>
          <w:w w:val="150"/>
          <w:sz w:val="21"/>
          <w:szCs w:val="21"/>
        </w:rPr>
        <w:t xml:space="preserve"> </w:t>
      </w:r>
      <w:r w:rsidRPr="001D5134">
        <w:rPr>
          <w:rFonts w:ascii="Abadi" w:hAnsi="Abadi"/>
          <w:b w:val="0"/>
          <w:bCs w:val="0"/>
          <w:sz w:val="21"/>
          <w:szCs w:val="21"/>
        </w:rPr>
        <w:t>relativo</w:t>
      </w:r>
      <w:r w:rsidRPr="001D5134">
        <w:rPr>
          <w:rFonts w:ascii="Abadi" w:hAnsi="Abadi"/>
          <w:b w:val="0"/>
          <w:bCs w:val="0"/>
          <w:spacing w:val="67"/>
          <w:w w:val="150"/>
          <w:sz w:val="21"/>
          <w:szCs w:val="21"/>
        </w:rPr>
        <w:t xml:space="preserve"> </w:t>
      </w:r>
      <w:r w:rsidRPr="001D5134">
        <w:rPr>
          <w:rFonts w:ascii="Abadi" w:hAnsi="Abadi"/>
          <w:b w:val="0"/>
          <w:bCs w:val="0"/>
          <w:sz w:val="21"/>
          <w:szCs w:val="21"/>
        </w:rPr>
        <w:t>a</w:t>
      </w:r>
      <w:r w:rsidRPr="001D5134">
        <w:rPr>
          <w:rFonts w:ascii="Abadi" w:hAnsi="Abadi"/>
          <w:b w:val="0"/>
          <w:bCs w:val="0"/>
          <w:spacing w:val="67"/>
          <w:w w:val="150"/>
          <w:sz w:val="21"/>
          <w:szCs w:val="21"/>
        </w:rPr>
        <w:t xml:space="preserve"> </w:t>
      </w:r>
      <w:r w:rsidRPr="001D5134">
        <w:rPr>
          <w:rFonts w:ascii="Abadi" w:hAnsi="Abadi"/>
          <w:b w:val="0"/>
          <w:bCs w:val="0"/>
          <w:sz w:val="21"/>
          <w:szCs w:val="21"/>
        </w:rPr>
        <w:t>la</w:t>
      </w:r>
      <w:r w:rsidRPr="001D5134">
        <w:rPr>
          <w:rFonts w:ascii="Abadi" w:hAnsi="Abadi"/>
          <w:b w:val="0"/>
          <w:bCs w:val="0"/>
          <w:spacing w:val="67"/>
          <w:w w:val="150"/>
          <w:sz w:val="21"/>
          <w:szCs w:val="21"/>
        </w:rPr>
        <w:t xml:space="preserve"> </w:t>
      </w:r>
      <w:r w:rsidRPr="001D5134">
        <w:rPr>
          <w:rFonts w:ascii="Abadi" w:hAnsi="Abadi"/>
          <w:b w:val="0"/>
          <w:bCs w:val="0"/>
          <w:sz w:val="21"/>
          <w:szCs w:val="21"/>
        </w:rPr>
        <w:t>iniciativa</w:t>
      </w:r>
      <w:r w:rsidRPr="001D5134">
        <w:rPr>
          <w:rFonts w:ascii="Abadi" w:hAnsi="Abadi"/>
          <w:b w:val="0"/>
          <w:bCs w:val="0"/>
          <w:spacing w:val="67"/>
          <w:w w:val="150"/>
          <w:sz w:val="21"/>
          <w:szCs w:val="21"/>
        </w:rPr>
        <w:t xml:space="preserve"> </w:t>
      </w:r>
      <w:r w:rsidRPr="001D5134">
        <w:rPr>
          <w:rFonts w:ascii="Abadi" w:hAnsi="Abadi"/>
          <w:b w:val="0"/>
          <w:bCs w:val="0"/>
          <w:sz w:val="21"/>
          <w:szCs w:val="21"/>
        </w:rPr>
        <w:t>formulada</w:t>
      </w:r>
      <w:r w:rsidRPr="001D5134">
        <w:rPr>
          <w:rFonts w:ascii="Abadi" w:hAnsi="Abadi"/>
          <w:b w:val="0"/>
          <w:bCs w:val="0"/>
          <w:spacing w:val="67"/>
          <w:w w:val="150"/>
          <w:sz w:val="21"/>
          <w:szCs w:val="21"/>
        </w:rPr>
        <w:t xml:space="preserve"> </w:t>
      </w:r>
      <w:r w:rsidRPr="001D5134">
        <w:rPr>
          <w:rFonts w:ascii="Abadi" w:hAnsi="Abadi"/>
          <w:b w:val="0"/>
          <w:bCs w:val="0"/>
          <w:sz w:val="21"/>
          <w:szCs w:val="21"/>
        </w:rPr>
        <w:t>por</w:t>
      </w:r>
      <w:r w:rsidRPr="001D5134">
        <w:rPr>
          <w:rFonts w:ascii="Abadi" w:hAnsi="Abadi"/>
          <w:b w:val="0"/>
          <w:bCs w:val="0"/>
          <w:spacing w:val="67"/>
          <w:w w:val="150"/>
          <w:sz w:val="21"/>
          <w:szCs w:val="21"/>
        </w:rPr>
        <w:t xml:space="preserve"> </w:t>
      </w:r>
      <w:r w:rsidRPr="001D5134">
        <w:rPr>
          <w:rFonts w:ascii="Abadi" w:hAnsi="Abadi"/>
          <w:b w:val="0"/>
          <w:bCs w:val="0"/>
          <w:sz w:val="21"/>
          <w:szCs w:val="21"/>
        </w:rPr>
        <w:t>el</w:t>
      </w:r>
      <w:r w:rsidRPr="001D5134">
        <w:rPr>
          <w:rFonts w:ascii="Abadi" w:hAnsi="Abadi"/>
          <w:b w:val="0"/>
          <w:bCs w:val="0"/>
          <w:spacing w:val="-1"/>
          <w:sz w:val="21"/>
          <w:szCs w:val="21"/>
        </w:rPr>
        <w:t xml:space="preserve"> </w:t>
      </w:r>
      <w:r w:rsidRPr="001D5134">
        <w:rPr>
          <w:rFonts w:ascii="Abadi" w:hAnsi="Abadi"/>
          <w:b w:val="0"/>
          <w:bCs w:val="0"/>
          <w:sz w:val="21"/>
          <w:szCs w:val="21"/>
        </w:rPr>
        <w:t>Gobernador del Estado</w:t>
      </w:r>
      <w:r w:rsidRPr="001D5134">
        <w:rPr>
          <w:rFonts w:ascii="Abadi" w:hAnsi="Abadi"/>
          <w:b w:val="0"/>
          <w:bCs w:val="0"/>
          <w:spacing w:val="5"/>
          <w:sz w:val="21"/>
          <w:szCs w:val="21"/>
        </w:rPr>
        <w:t xml:space="preserve"> </w:t>
      </w:r>
      <w:r w:rsidRPr="001D5134">
        <w:rPr>
          <w:rFonts w:ascii="Abadi" w:hAnsi="Abadi"/>
          <w:b w:val="0"/>
          <w:bCs w:val="0"/>
          <w:sz w:val="21"/>
          <w:szCs w:val="21"/>
        </w:rPr>
        <w:t>a</w:t>
      </w:r>
      <w:r w:rsidRPr="001D5134">
        <w:rPr>
          <w:rFonts w:ascii="Abadi" w:hAnsi="Abadi"/>
          <w:b w:val="0"/>
          <w:bCs w:val="0"/>
          <w:spacing w:val="5"/>
          <w:sz w:val="21"/>
          <w:szCs w:val="21"/>
        </w:rPr>
        <w:t xml:space="preserve"> </w:t>
      </w:r>
      <w:r w:rsidRPr="001D5134">
        <w:rPr>
          <w:rFonts w:ascii="Abadi" w:hAnsi="Abadi"/>
          <w:b w:val="0"/>
          <w:bCs w:val="0"/>
          <w:sz w:val="21"/>
          <w:szCs w:val="21"/>
        </w:rPr>
        <w:t>efecto de</w:t>
      </w:r>
      <w:r w:rsidRPr="001D5134">
        <w:rPr>
          <w:rFonts w:ascii="Abadi" w:hAnsi="Abadi"/>
          <w:b w:val="0"/>
          <w:bCs w:val="0"/>
          <w:spacing w:val="5"/>
          <w:sz w:val="21"/>
          <w:szCs w:val="21"/>
        </w:rPr>
        <w:t xml:space="preserve"> </w:t>
      </w:r>
      <w:r w:rsidRPr="001D5134">
        <w:rPr>
          <w:rFonts w:ascii="Abadi" w:hAnsi="Abadi"/>
          <w:b w:val="0"/>
          <w:bCs w:val="0"/>
          <w:sz w:val="21"/>
          <w:szCs w:val="21"/>
        </w:rPr>
        <w:t>que</w:t>
      </w:r>
      <w:r w:rsidRPr="001D5134">
        <w:rPr>
          <w:rFonts w:ascii="Abadi" w:hAnsi="Abadi"/>
          <w:b w:val="0"/>
          <w:bCs w:val="0"/>
          <w:spacing w:val="5"/>
          <w:sz w:val="21"/>
          <w:szCs w:val="21"/>
        </w:rPr>
        <w:t xml:space="preserve"> </w:t>
      </w:r>
      <w:r w:rsidRPr="001D5134">
        <w:rPr>
          <w:rFonts w:ascii="Abadi" w:hAnsi="Abadi"/>
          <w:b w:val="0"/>
          <w:bCs w:val="0"/>
          <w:sz w:val="21"/>
          <w:szCs w:val="21"/>
        </w:rPr>
        <w:t>se</w:t>
      </w:r>
      <w:r w:rsidRPr="001D5134">
        <w:rPr>
          <w:rFonts w:ascii="Abadi" w:hAnsi="Abadi"/>
          <w:b w:val="0"/>
          <w:bCs w:val="0"/>
          <w:spacing w:val="5"/>
          <w:sz w:val="21"/>
          <w:szCs w:val="21"/>
        </w:rPr>
        <w:t xml:space="preserve"> </w:t>
      </w:r>
      <w:r w:rsidRPr="001D5134">
        <w:rPr>
          <w:rFonts w:ascii="Abadi" w:hAnsi="Abadi"/>
          <w:b w:val="0"/>
          <w:bCs w:val="0"/>
          <w:sz w:val="21"/>
          <w:szCs w:val="21"/>
        </w:rPr>
        <w:t>le</w:t>
      </w:r>
      <w:r w:rsidRPr="001D5134">
        <w:rPr>
          <w:rFonts w:ascii="Abadi" w:hAnsi="Abadi"/>
          <w:b w:val="0"/>
          <w:bCs w:val="0"/>
          <w:spacing w:val="5"/>
          <w:sz w:val="21"/>
          <w:szCs w:val="21"/>
        </w:rPr>
        <w:t xml:space="preserve"> </w:t>
      </w:r>
      <w:r w:rsidRPr="001D5134">
        <w:rPr>
          <w:rFonts w:ascii="Abadi" w:hAnsi="Abadi"/>
          <w:b w:val="0"/>
          <w:bCs w:val="0"/>
          <w:sz w:val="21"/>
          <w:szCs w:val="21"/>
        </w:rPr>
        <w:t>autorice</w:t>
      </w:r>
      <w:r w:rsidRPr="001D5134">
        <w:rPr>
          <w:rFonts w:ascii="Abadi" w:hAnsi="Abadi"/>
          <w:b w:val="0"/>
          <w:bCs w:val="0"/>
          <w:spacing w:val="5"/>
          <w:sz w:val="21"/>
          <w:szCs w:val="21"/>
        </w:rPr>
        <w:t xml:space="preserve"> </w:t>
      </w:r>
      <w:r w:rsidRPr="001D5134">
        <w:rPr>
          <w:rFonts w:ascii="Abadi" w:hAnsi="Abadi"/>
          <w:b w:val="0"/>
          <w:bCs w:val="0"/>
          <w:sz w:val="21"/>
          <w:szCs w:val="21"/>
        </w:rPr>
        <w:t>previa</w:t>
      </w:r>
      <w:r w:rsidRPr="001D5134">
        <w:rPr>
          <w:rFonts w:ascii="Abadi" w:hAnsi="Abadi"/>
          <w:b w:val="0"/>
          <w:bCs w:val="0"/>
          <w:spacing w:val="5"/>
          <w:sz w:val="21"/>
          <w:szCs w:val="21"/>
        </w:rPr>
        <w:t xml:space="preserve"> </w:t>
      </w:r>
      <w:r w:rsidRPr="001D5134">
        <w:rPr>
          <w:rFonts w:ascii="Abadi" w:hAnsi="Abadi"/>
          <w:b w:val="0"/>
          <w:bCs w:val="0"/>
          <w:sz w:val="21"/>
          <w:szCs w:val="21"/>
        </w:rPr>
        <w:t>desafectación</w:t>
      </w:r>
      <w:r w:rsidRPr="001D5134">
        <w:rPr>
          <w:rFonts w:ascii="Abadi" w:hAnsi="Abadi"/>
          <w:b w:val="0"/>
          <w:bCs w:val="0"/>
          <w:spacing w:val="-1"/>
          <w:sz w:val="21"/>
          <w:szCs w:val="21"/>
        </w:rPr>
        <w:t xml:space="preserve"> </w:t>
      </w:r>
      <w:r w:rsidRPr="001D5134">
        <w:rPr>
          <w:rFonts w:ascii="Abadi" w:hAnsi="Abadi"/>
          <w:b w:val="0"/>
          <w:bCs w:val="0"/>
          <w:sz w:val="21"/>
          <w:szCs w:val="21"/>
        </w:rPr>
        <w:t>del</w:t>
      </w:r>
      <w:r w:rsidRPr="001D5134">
        <w:rPr>
          <w:rFonts w:ascii="Abadi" w:hAnsi="Abadi"/>
          <w:b w:val="0"/>
          <w:bCs w:val="0"/>
          <w:spacing w:val="7"/>
          <w:sz w:val="21"/>
          <w:szCs w:val="21"/>
        </w:rPr>
        <w:t xml:space="preserve"> </w:t>
      </w:r>
      <w:r w:rsidRPr="001D5134">
        <w:rPr>
          <w:rFonts w:ascii="Abadi" w:hAnsi="Abadi"/>
          <w:b w:val="0"/>
          <w:bCs w:val="0"/>
          <w:sz w:val="21"/>
          <w:szCs w:val="21"/>
        </w:rPr>
        <w:t>dominio</w:t>
      </w:r>
      <w:r w:rsidRPr="001D5134">
        <w:rPr>
          <w:rFonts w:ascii="Abadi" w:hAnsi="Abadi"/>
          <w:b w:val="0"/>
          <w:bCs w:val="0"/>
          <w:spacing w:val="7"/>
          <w:sz w:val="21"/>
          <w:szCs w:val="21"/>
        </w:rPr>
        <w:t xml:space="preserve"> </w:t>
      </w:r>
      <w:r w:rsidRPr="001D5134">
        <w:rPr>
          <w:rFonts w:ascii="Abadi" w:hAnsi="Abadi"/>
          <w:b w:val="0"/>
          <w:bCs w:val="0"/>
          <w:sz w:val="21"/>
          <w:szCs w:val="21"/>
        </w:rPr>
        <w:t>público</w:t>
      </w:r>
      <w:r w:rsidRPr="001D5134">
        <w:rPr>
          <w:rFonts w:ascii="Abadi" w:hAnsi="Abadi"/>
          <w:b w:val="0"/>
          <w:bCs w:val="0"/>
          <w:spacing w:val="7"/>
          <w:sz w:val="21"/>
          <w:szCs w:val="21"/>
        </w:rPr>
        <w:t xml:space="preserve"> </w:t>
      </w:r>
      <w:r w:rsidRPr="001D5134">
        <w:rPr>
          <w:rFonts w:ascii="Abadi" w:hAnsi="Abadi"/>
          <w:b w:val="0"/>
          <w:bCs w:val="0"/>
          <w:sz w:val="21"/>
          <w:szCs w:val="21"/>
        </w:rPr>
        <w:t>del</w:t>
      </w:r>
      <w:r w:rsidRPr="001D5134">
        <w:rPr>
          <w:rFonts w:ascii="Abadi" w:hAnsi="Abadi"/>
          <w:b w:val="0"/>
          <w:bCs w:val="0"/>
          <w:spacing w:val="7"/>
          <w:sz w:val="21"/>
          <w:szCs w:val="21"/>
        </w:rPr>
        <w:t xml:space="preserve"> </w:t>
      </w:r>
      <w:r w:rsidRPr="001D5134">
        <w:rPr>
          <w:rFonts w:ascii="Abadi" w:hAnsi="Abadi"/>
          <w:b w:val="0"/>
          <w:bCs w:val="0"/>
          <w:sz w:val="21"/>
          <w:szCs w:val="21"/>
        </w:rPr>
        <w:t>Estado</w:t>
      </w:r>
      <w:r w:rsidRPr="001D5134">
        <w:rPr>
          <w:rFonts w:ascii="Abadi" w:hAnsi="Abadi"/>
          <w:b w:val="0"/>
          <w:bCs w:val="0"/>
          <w:spacing w:val="7"/>
          <w:sz w:val="21"/>
          <w:szCs w:val="21"/>
        </w:rPr>
        <w:t xml:space="preserve"> </w:t>
      </w:r>
      <w:r w:rsidRPr="001D5134">
        <w:rPr>
          <w:rFonts w:ascii="Abadi" w:hAnsi="Abadi"/>
          <w:b w:val="0"/>
          <w:bCs w:val="0"/>
          <w:sz w:val="21"/>
          <w:szCs w:val="21"/>
        </w:rPr>
        <w:t>la</w:t>
      </w:r>
      <w:r w:rsidRPr="001D5134">
        <w:rPr>
          <w:rFonts w:ascii="Abadi" w:hAnsi="Abadi"/>
          <w:b w:val="0"/>
          <w:bCs w:val="0"/>
          <w:spacing w:val="7"/>
          <w:sz w:val="21"/>
          <w:szCs w:val="21"/>
        </w:rPr>
        <w:t xml:space="preserve"> </w:t>
      </w:r>
      <w:r w:rsidRPr="001D5134">
        <w:rPr>
          <w:rFonts w:ascii="Abadi" w:hAnsi="Abadi"/>
          <w:b w:val="0"/>
          <w:bCs w:val="0"/>
          <w:sz w:val="21"/>
          <w:szCs w:val="21"/>
        </w:rPr>
        <w:t>enajenación</w:t>
      </w:r>
      <w:r w:rsidRPr="001D5134">
        <w:rPr>
          <w:rFonts w:ascii="Abadi" w:hAnsi="Abadi"/>
          <w:b w:val="0"/>
          <w:bCs w:val="0"/>
          <w:spacing w:val="7"/>
          <w:sz w:val="21"/>
          <w:szCs w:val="21"/>
        </w:rPr>
        <w:t xml:space="preserve"> </w:t>
      </w:r>
      <w:r w:rsidRPr="001D5134">
        <w:rPr>
          <w:rFonts w:ascii="Abadi" w:hAnsi="Abadi"/>
          <w:b w:val="0"/>
          <w:bCs w:val="0"/>
          <w:sz w:val="21"/>
          <w:szCs w:val="21"/>
        </w:rPr>
        <w:t>de</w:t>
      </w:r>
      <w:r w:rsidRPr="001D5134">
        <w:rPr>
          <w:rFonts w:ascii="Abadi" w:hAnsi="Abadi"/>
          <w:b w:val="0"/>
          <w:bCs w:val="0"/>
          <w:spacing w:val="7"/>
          <w:sz w:val="21"/>
          <w:szCs w:val="21"/>
        </w:rPr>
        <w:t xml:space="preserve"> </w:t>
      </w:r>
      <w:r w:rsidRPr="001D5134">
        <w:rPr>
          <w:rFonts w:ascii="Abadi" w:hAnsi="Abadi"/>
          <w:b w:val="0"/>
          <w:bCs w:val="0"/>
          <w:sz w:val="21"/>
          <w:szCs w:val="21"/>
        </w:rPr>
        <w:t>tres</w:t>
      </w:r>
      <w:r w:rsidRPr="001D5134">
        <w:rPr>
          <w:rFonts w:ascii="Abadi" w:hAnsi="Abadi"/>
          <w:b w:val="0"/>
          <w:bCs w:val="0"/>
          <w:spacing w:val="7"/>
          <w:sz w:val="21"/>
          <w:szCs w:val="21"/>
        </w:rPr>
        <w:t xml:space="preserve"> </w:t>
      </w:r>
      <w:r w:rsidRPr="001D5134">
        <w:rPr>
          <w:rFonts w:ascii="Abadi" w:hAnsi="Abadi"/>
          <w:b w:val="0"/>
          <w:bCs w:val="0"/>
          <w:sz w:val="21"/>
          <w:szCs w:val="21"/>
        </w:rPr>
        <w:t>bienes</w:t>
      </w:r>
      <w:r w:rsidRPr="001D5134">
        <w:rPr>
          <w:rFonts w:ascii="Abadi" w:hAnsi="Abadi"/>
          <w:b w:val="0"/>
          <w:bCs w:val="0"/>
          <w:spacing w:val="7"/>
          <w:sz w:val="21"/>
          <w:szCs w:val="21"/>
        </w:rPr>
        <w:t xml:space="preserve"> </w:t>
      </w:r>
      <w:r w:rsidRPr="001D5134">
        <w:rPr>
          <w:rFonts w:ascii="Abadi" w:hAnsi="Abadi"/>
          <w:b w:val="0"/>
          <w:bCs w:val="0"/>
          <w:sz w:val="21"/>
          <w:szCs w:val="21"/>
        </w:rPr>
        <w:t>inmuebles</w:t>
      </w:r>
      <w:r w:rsidRPr="001D5134">
        <w:rPr>
          <w:rFonts w:ascii="Abadi" w:hAnsi="Abadi"/>
          <w:b w:val="0"/>
          <w:bCs w:val="0"/>
          <w:spacing w:val="7"/>
          <w:sz w:val="21"/>
          <w:szCs w:val="21"/>
        </w:rPr>
        <w:t xml:space="preserve"> </w:t>
      </w:r>
      <w:r w:rsidRPr="001D5134">
        <w:rPr>
          <w:rFonts w:ascii="Abadi" w:hAnsi="Abadi"/>
          <w:b w:val="0"/>
          <w:bCs w:val="0"/>
          <w:sz w:val="21"/>
          <w:szCs w:val="21"/>
        </w:rPr>
        <w:t>de</w:t>
      </w:r>
      <w:r w:rsidRPr="001D5134">
        <w:rPr>
          <w:rFonts w:ascii="Abadi" w:hAnsi="Abadi"/>
          <w:b w:val="0"/>
          <w:bCs w:val="0"/>
          <w:spacing w:val="-1"/>
          <w:sz w:val="21"/>
          <w:szCs w:val="21"/>
        </w:rPr>
        <w:t xml:space="preserve"> </w:t>
      </w:r>
      <w:r w:rsidRPr="001D5134">
        <w:rPr>
          <w:rFonts w:ascii="Abadi" w:hAnsi="Abadi"/>
          <w:b w:val="0"/>
          <w:bCs w:val="0"/>
          <w:sz w:val="21"/>
          <w:szCs w:val="21"/>
        </w:rPr>
        <w:t>propiedad</w:t>
      </w:r>
      <w:r w:rsidRPr="001D5134">
        <w:rPr>
          <w:rFonts w:ascii="Abadi" w:hAnsi="Abadi"/>
          <w:b w:val="0"/>
          <w:bCs w:val="0"/>
          <w:spacing w:val="19"/>
          <w:sz w:val="21"/>
          <w:szCs w:val="21"/>
        </w:rPr>
        <w:t xml:space="preserve"> </w:t>
      </w:r>
      <w:r w:rsidRPr="001D5134">
        <w:rPr>
          <w:rFonts w:ascii="Abadi" w:hAnsi="Abadi"/>
          <w:b w:val="0"/>
          <w:bCs w:val="0"/>
          <w:sz w:val="21"/>
          <w:szCs w:val="21"/>
        </w:rPr>
        <w:t>estatal</w:t>
      </w:r>
      <w:r w:rsidRPr="001D5134">
        <w:rPr>
          <w:rFonts w:ascii="Abadi" w:hAnsi="Abadi"/>
          <w:b w:val="0"/>
          <w:bCs w:val="0"/>
          <w:spacing w:val="19"/>
          <w:sz w:val="21"/>
          <w:szCs w:val="21"/>
        </w:rPr>
        <w:t xml:space="preserve"> </w:t>
      </w:r>
      <w:r w:rsidRPr="001D5134">
        <w:rPr>
          <w:rFonts w:ascii="Abadi" w:hAnsi="Abadi"/>
          <w:b w:val="0"/>
          <w:bCs w:val="0"/>
          <w:sz w:val="21"/>
          <w:szCs w:val="21"/>
        </w:rPr>
        <w:t>en</w:t>
      </w:r>
      <w:r w:rsidRPr="001D5134">
        <w:rPr>
          <w:rFonts w:ascii="Abadi" w:hAnsi="Abadi"/>
          <w:b w:val="0"/>
          <w:bCs w:val="0"/>
          <w:spacing w:val="20"/>
          <w:sz w:val="21"/>
          <w:szCs w:val="21"/>
        </w:rPr>
        <w:t xml:space="preserve"> </w:t>
      </w:r>
      <w:r w:rsidRPr="001D5134">
        <w:rPr>
          <w:rFonts w:ascii="Abadi" w:hAnsi="Abadi"/>
          <w:b w:val="0"/>
          <w:bCs w:val="0"/>
          <w:sz w:val="21"/>
          <w:szCs w:val="21"/>
        </w:rPr>
        <w:t>favor</w:t>
      </w:r>
      <w:r w:rsidRPr="001D5134">
        <w:rPr>
          <w:rFonts w:ascii="Abadi" w:hAnsi="Abadi"/>
          <w:b w:val="0"/>
          <w:bCs w:val="0"/>
          <w:spacing w:val="19"/>
          <w:sz w:val="21"/>
          <w:szCs w:val="21"/>
        </w:rPr>
        <w:t xml:space="preserve"> </w:t>
      </w:r>
      <w:r w:rsidRPr="001D5134">
        <w:rPr>
          <w:rFonts w:ascii="Abadi" w:hAnsi="Abadi"/>
          <w:b w:val="0"/>
          <w:bCs w:val="0"/>
          <w:sz w:val="21"/>
          <w:szCs w:val="21"/>
        </w:rPr>
        <w:t>de</w:t>
      </w:r>
      <w:r w:rsidRPr="001D5134">
        <w:rPr>
          <w:rFonts w:ascii="Abadi" w:hAnsi="Abadi"/>
          <w:b w:val="0"/>
          <w:bCs w:val="0"/>
          <w:spacing w:val="20"/>
          <w:sz w:val="21"/>
          <w:szCs w:val="21"/>
        </w:rPr>
        <w:t xml:space="preserve"> </w:t>
      </w:r>
      <w:r w:rsidRPr="001D5134">
        <w:rPr>
          <w:rFonts w:ascii="Abadi" w:hAnsi="Abadi"/>
          <w:b w:val="0"/>
          <w:bCs w:val="0"/>
          <w:sz w:val="21"/>
          <w:szCs w:val="21"/>
        </w:rPr>
        <w:t>la</w:t>
      </w:r>
      <w:r w:rsidRPr="001D5134">
        <w:rPr>
          <w:rFonts w:ascii="Abadi" w:hAnsi="Abadi"/>
          <w:b w:val="0"/>
          <w:bCs w:val="0"/>
          <w:spacing w:val="20"/>
          <w:sz w:val="21"/>
          <w:szCs w:val="21"/>
        </w:rPr>
        <w:t xml:space="preserve"> </w:t>
      </w:r>
      <w:r w:rsidRPr="001D5134">
        <w:rPr>
          <w:rFonts w:ascii="Abadi" w:hAnsi="Abadi"/>
          <w:b w:val="0"/>
          <w:bCs w:val="0"/>
          <w:sz w:val="21"/>
          <w:szCs w:val="21"/>
        </w:rPr>
        <w:t>persona</w:t>
      </w:r>
      <w:r w:rsidRPr="001D5134">
        <w:rPr>
          <w:rFonts w:ascii="Abadi" w:hAnsi="Abadi"/>
          <w:b w:val="0"/>
          <w:bCs w:val="0"/>
          <w:spacing w:val="20"/>
          <w:sz w:val="21"/>
          <w:szCs w:val="21"/>
        </w:rPr>
        <w:t xml:space="preserve"> </w:t>
      </w:r>
      <w:r w:rsidRPr="001D5134">
        <w:rPr>
          <w:rFonts w:ascii="Abadi" w:hAnsi="Abadi"/>
          <w:b w:val="0"/>
          <w:bCs w:val="0"/>
          <w:sz w:val="21"/>
          <w:szCs w:val="21"/>
        </w:rPr>
        <w:t>moral</w:t>
      </w:r>
      <w:r w:rsidRPr="001D5134">
        <w:rPr>
          <w:rFonts w:ascii="Abadi" w:hAnsi="Abadi"/>
          <w:b w:val="0"/>
          <w:bCs w:val="0"/>
          <w:spacing w:val="19"/>
          <w:sz w:val="21"/>
          <w:szCs w:val="21"/>
        </w:rPr>
        <w:t xml:space="preserve"> </w:t>
      </w:r>
      <w:r w:rsidRPr="001D5134">
        <w:rPr>
          <w:rFonts w:ascii="Abadi" w:hAnsi="Abadi"/>
          <w:b w:val="0"/>
          <w:bCs w:val="0"/>
          <w:sz w:val="21"/>
          <w:szCs w:val="21"/>
        </w:rPr>
        <w:t>denominada</w:t>
      </w:r>
      <w:r w:rsidRPr="001D5134">
        <w:rPr>
          <w:rFonts w:ascii="Abadi" w:hAnsi="Abadi"/>
          <w:b w:val="0"/>
          <w:bCs w:val="0"/>
          <w:spacing w:val="20"/>
          <w:sz w:val="21"/>
          <w:szCs w:val="21"/>
        </w:rPr>
        <w:t xml:space="preserve"> </w:t>
      </w:r>
      <w:r w:rsidRPr="001D5134">
        <w:rPr>
          <w:rFonts w:ascii="Abadi" w:hAnsi="Abadi"/>
          <w:b w:val="0"/>
          <w:bCs w:val="0"/>
          <w:i/>
          <w:iCs/>
          <w:sz w:val="21"/>
          <w:szCs w:val="21"/>
        </w:rPr>
        <w:t>Toyota</w:t>
      </w:r>
      <w:r w:rsidRPr="001D5134">
        <w:rPr>
          <w:rFonts w:ascii="Abadi" w:hAnsi="Abadi"/>
          <w:b w:val="0"/>
          <w:bCs w:val="0"/>
          <w:i/>
          <w:iCs/>
          <w:spacing w:val="20"/>
          <w:sz w:val="21"/>
          <w:szCs w:val="21"/>
        </w:rPr>
        <w:t xml:space="preserve"> </w:t>
      </w:r>
      <w:r w:rsidRPr="001D5134">
        <w:rPr>
          <w:rFonts w:ascii="Abadi" w:hAnsi="Abadi"/>
          <w:b w:val="0"/>
          <w:bCs w:val="0"/>
          <w:i/>
          <w:iCs/>
          <w:sz w:val="21"/>
          <w:szCs w:val="21"/>
        </w:rPr>
        <w:t>Motor</w:t>
      </w:r>
      <w:r w:rsidRPr="001D5134">
        <w:rPr>
          <w:rFonts w:ascii="Abadi" w:hAnsi="Abadi"/>
          <w:b w:val="0"/>
          <w:bCs w:val="0"/>
          <w:i/>
          <w:iCs/>
          <w:spacing w:val="-1"/>
          <w:sz w:val="21"/>
          <w:szCs w:val="21"/>
        </w:rPr>
        <w:t xml:space="preserve"> </w:t>
      </w:r>
      <w:r w:rsidRPr="001D5134">
        <w:rPr>
          <w:rFonts w:ascii="Abadi" w:hAnsi="Abadi"/>
          <w:b w:val="0"/>
          <w:bCs w:val="0"/>
          <w:i/>
          <w:iCs/>
          <w:sz w:val="21"/>
          <w:szCs w:val="21"/>
        </w:rPr>
        <w:t>Manufacturing de Guanajuato,</w:t>
      </w:r>
      <w:r w:rsidRPr="001D5134">
        <w:rPr>
          <w:rFonts w:ascii="Abadi" w:hAnsi="Abadi"/>
          <w:b w:val="0"/>
          <w:bCs w:val="0"/>
          <w:i/>
          <w:iCs/>
          <w:spacing w:val="-1"/>
          <w:sz w:val="21"/>
          <w:szCs w:val="21"/>
        </w:rPr>
        <w:t xml:space="preserve"> </w:t>
      </w:r>
      <w:r w:rsidRPr="001D5134">
        <w:rPr>
          <w:rFonts w:ascii="Abadi" w:hAnsi="Abadi"/>
          <w:b w:val="0"/>
          <w:bCs w:val="0"/>
          <w:i/>
          <w:iCs/>
          <w:sz w:val="21"/>
          <w:szCs w:val="21"/>
        </w:rPr>
        <w:t>S.A. de C.V</w:t>
      </w:r>
      <w:r w:rsidRPr="001D5134">
        <w:rPr>
          <w:rFonts w:ascii="Abadi" w:hAnsi="Abadi"/>
          <w:b w:val="0"/>
          <w:bCs w:val="0"/>
          <w:sz w:val="21"/>
          <w:szCs w:val="21"/>
        </w:rPr>
        <w:t xml:space="preserve">. </w:t>
      </w:r>
      <w:r w:rsidRPr="00CA7957">
        <w:rPr>
          <w:rFonts w:ascii="Abadi" w:hAnsi="Abadi"/>
          <w:sz w:val="21"/>
          <w:szCs w:val="21"/>
        </w:rPr>
        <w:t>L.-</w:t>
      </w:r>
      <w:r w:rsidRPr="001D5134">
        <w:rPr>
          <w:rFonts w:ascii="Abadi" w:hAnsi="Abadi"/>
          <w:b w:val="0"/>
          <w:bCs w:val="0"/>
          <w:sz w:val="21"/>
          <w:szCs w:val="21"/>
        </w:rPr>
        <w:t xml:space="preserve"> Discusión</w:t>
      </w:r>
      <w:r w:rsidRPr="001D5134">
        <w:rPr>
          <w:rFonts w:ascii="Abadi" w:hAnsi="Abadi"/>
          <w:b w:val="0"/>
          <w:bCs w:val="0"/>
          <w:spacing w:val="-12"/>
          <w:sz w:val="21"/>
          <w:szCs w:val="21"/>
        </w:rPr>
        <w:t xml:space="preserve"> </w:t>
      </w:r>
      <w:r w:rsidRPr="001D5134">
        <w:rPr>
          <w:rFonts w:ascii="Abadi" w:hAnsi="Abadi"/>
          <w:b w:val="0"/>
          <w:bCs w:val="0"/>
          <w:sz w:val="21"/>
          <w:szCs w:val="21"/>
        </w:rPr>
        <w:t>y,</w:t>
      </w:r>
      <w:r w:rsidRPr="001D5134">
        <w:rPr>
          <w:rFonts w:ascii="Abadi" w:hAnsi="Abadi"/>
          <w:b w:val="0"/>
          <w:bCs w:val="0"/>
          <w:spacing w:val="-13"/>
          <w:sz w:val="21"/>
          <w:szCs w:val="21"/>
        </w:rPr>
        <w:t xml:space="preserve"> </w:t>
      </w:r>
      <w:r w:rsidRPr="001D5134">
        <w:rPr>
          <w:rFonts w:ascii="Abadi" w:hAnsi="Abadi"/>
          <w:b w:val="0"/>
          <w:bCs w:val="0"/>
          <w:sz w:val="21"/>
          <w:szCs w:val="21"/>
        </w:rPr>
        <w:t>en</w:t>
      </w:r>
      <w:r w:rsidRPr="001D5134">
        <w:rPr>
          <w:rFonts w:ascii="Abadi" w:hAnsi="Abadi"/>
          <w:b w:val="0"/>
          <w:bCs w:val="0"/>
          <w:spacing w:val="-12"/>
          <w:sz w:val="21"/>
          <w:szCs w:val="21"/>
        </w:rPr>
        <w:t xml:space="preserve"> </w:t>
      </w:r>
      <w:r w:rsidRPr="001D5134">
        <w:rPr>
          <w:rFonts w:ascii="Abadi" w:hAnsi="Abadi"/>
          <w:b w:val="0"/>
          <w:bCs w:val="0"/>
          <w:sz w:val="21"/>
          <w:szCs w:val="21"/>
        </w:rPr>
        <w:t>su</w:t>
      </w:r>
      <w:r w:rsidRPr="001D5134">
        <w:rPr>
          <w:rFonts w:ascii="Abadi" w:hAnsi="Abadi"/>
          <w:b w:val="0"/>
          <w:bCs w:val="0"/>
          <w:spacing w:val="-12"/>
          <w:sz w:val="21"/>
          <w:szCs w:val="21"/>
        </w:rPr>
        <w:t xml:space="preserve"> </w:t>
      </w:r>
      <w:r w:rsidRPr="001D5134">
        <w:rPr>
          <w:rFonts w:ascii="Abadi" w:hAnsi="Abadi"/>
          <w:b w:val="0"/>
          <w:bCs w:val="0"/>
          <w:sz w:val="21"/>
          <w:szCs w:val="21"/>
        </w:rPr>
        <w:t>caso,</w:t>
      </w:r>
      <w:r w:rsidRPr="001D5134">
        <w:rPr>
          <w:rFonts w:ascii="Abadi" w:hAnsi="Abadi"/>
          <w:b w:val="0"/>
          <w:bCs w:val="0"/>
          <w:spacing w:val="-13"/>
          <w:sz w:val="21"/>
          <w:szCs w:val="21"/>
        </w:rPr>
        <w:t xml:space="preserve"> </w:t>
      </w:r>
      <w:r w:rsidRPr="001D5134">
        <w:rPr>
          <w:rFonts w:ascii="Abadi" w:hAnsi="Abadi"/>
          <w:b w:val="0"/>
          <w:bCs w:val="0"/>
          <w:sz w:val="21"/>
          <w:szCs w:val="21"/>
        </w:rPr>
        <w:t>aprobación</w:t>
      </w:r>
      <w:r w:rsidRPr="001D5134">
        <w:rPr>
          <w:rFonts w:ascii="Abadi" w:hAnsi="Abadi"/>
          <w:b w:val="0"/>
          <w:bCs w:val="0"/>
          <w:spacing w:val="-12"/>
          <w:sz w:val="21"/>
          <w:szCs w:val="21"/>
        </w:rPr>
        <w:t xml:space="preserve"> </w:t>
      </w:r>
      <w:r w:rsidRPr="001D5134">
        <w:rPr>
          <w:rFonts w:ascii="Abadi" w:hAnsi="Abadi"/>
          <w:b w:val="0"/>
          <w:bCs w:val="0"/>
          <w:sz w:val="21"/>
          <w:szCs w:val="21"/>
        </w:rPr>
        <w:t>del</w:t>
      </w:r>
      <w:r w:rsidRPr="001D5134">
        <w:rPr>
          <w:rFonts w:ascii="Abadi" w:hAnsi="Abadi"/>
          <w:b w:val="0"/>
          <w:bCs w:val="0"/>
          <w:spacing w:val="-13"/>
          <w:sz w:val="21"/>
          <w:szCs w:val="21"/>
        </w:rPr>
        <w:t xml:space="preserve"> </w:t>
      </w:r>
      <w:r w:rsidRPr="001D5134">
        <w:rPr>
          <w:rFonts w:ascii="Abadi" w:hAnsi="Abadi"/>
          <w:b w:val="0"/>
          <w:bCs w:val="0"/>
          <w:sz w:val="21"/>
          <w:szCs w:val="21"/>
        </w:rPr>
        <w:t>dictamen</w:t>
      </w:r>
      <w:r w:rsidRPr="001D5134">
        <w:rPr>
          <w:rFonts w:ascii="Abadi" w:hAnsi="Abadi"/>
          <w:b w:val="0"/>
          <w:bCs w:val="0"/>
          <w:spacing w:val="-12"/>
          <w:sz w:val="21"/>
          <w:szCs w:val="21"/>
        </w:rPr>
        <w:t xml:space="preserve"> </w:t>
      </w:r>
      <w:r w:rsidRPr="001D5134">
        <w:rPr>
          <w:rFonts w:ascii="Abadi" w:hAnsi="Abadi"/>
          <w:b w:val="0"/>
          <w:bCs w:val="0"/>
          <w:sz w:val="21"/>
          <w:szCs w:val="21"/>
        </w:rPr>
        <w:t>formulado</w:t>
      </w:r>
      <w:r w:rsidRPr="001D5134">
        <w:rPr>
          <w:rFonts w:ascii="Abadi" w:hAnsi="Abadi"/>
          <w:b w:val="0"/>
          <w:bCs w:val="0"/>
          <w:spacing w:val="-12"/>
          <w:sz w:val="21"/>
          <w:szCs w:val="21"/>
        </w:rPr>
        <w:t xml:space="preserve"> </w:t>
      </w:r>
      <w:r w:rsidRPr="001D5134">
        <w:rPr>
          <w:rFonts w:ascii="Abadi" w:hAnsi="Abadi"/>
          <w:b w:val="0"/>
          <w:bCs w:val="0"/>
          <w:sz w:val="21"/>
          <w:szCs w:val="21"/>
        </w:rPr>
        <w:t>por</w:t>
      </w:r>
      <w:r w:rsidRPr="001D5134">
        <w:rPr>
          <w:rFonts w:ascii="Abadi" w:hAnsi="Abadi"/>
          <w:b w:val="0"/>
          <w:bCs w:val="0"/>
          <w:spacing w:val="-13"/>
          <w:sz w:val="21"/>
          <w:szCs w:val="21"/>
        </w:rPr>
        <w:t xml:space="preserve"> </w:t>
      </w:r>
      <w:r w:rsidRPr="001D5134">
        <w:rPr>
          <w:rFonts w:ascii="Abadi" w:hAnsi="Abadi"/>
          <w:b w:val="0"/>
          <w:bCs w:val="0"/>
          <w:sz w:val="21"/>
          <w:szCs w:val="21"/>
        </w:rPr>
        <w:t>la</w:t>
      </w:r>
      <w:r w:rsidRPr="001D5134">
        <w:rPr>
          <w:rFonts w:ascii="Abadi" w:hAnsi="Abadi"/>
          <w:b w:val="0"/>
          <w:bCs w:val="0"/>
          <w:spacing w:val="-12"/>
          <w:sz w:val="21"/>
          <w:szCs w:val="21"/>
        </w:rPr>
        <w:t xml:space="preserve"> </w:t>
      </w:r>
      <w:r w:rsidRPr="001D5134">
        <w:rPr>
          <w:rFonts w:ascii="Abadi" w:hAnsi="Abadi"/>
          <w:b w:val="0"/>
          <w:bCs w:val="0"/>
          <w:sz w:val="21"/>
          <w:szCs w:val="21"/>
        </w:rPr>
        <w:t>Comisión</w:t>
      </w:r>
      <w:r w:rsidRPr="001D5134">
        <w:rPr>
          <w:rFonts w:ascii="Abadi" w:hAnsi="Abadi"/>
          <w:b w:val="0"/>
          <w:bCs w:val="0"/>
          <w:spacing w:val="-1"/>
          <w:sz w:val="21"/>
          <w:szCs w:val="21"/>
        </w:rPr>
        <w:t xml:space="preserve"> </w:t>
      </w:r>
      <w:r w:rsidRPr="001D5134">
        <w:rPr>
          <w:rFonts w:ascii="Abadi" w:hAnsi="Abadi"/>
          <w:b w:val="0"/>
          <w:bCs w:val="0"/>
          <w:sz w:val="21"/>
          <w:szCs w:val="21"/>
        </w:rPr>
        <w:t>de</w:t>
      </w:r>
      <w:r w:rsidRPr="001D5134">
        <w:rPr>
          <w:rFonts w:ascii="Abadi" w:hAnsi="Abadi"/>
          <w:b w:val="0"/>
          <w:bCs w:val="0"/>
          <w:spacing w:val="-2"/>
          <w:sz w:val="21"/>
          <w:szCs w:val="21"/>
        </w:rPr>
        <w:t xml:space="preserve"> </w:t>
      </w:r>
      <w:r w:rsidRPr="001D5134">
        <w:rPr>
          <w:rFonts w:ascii="Abadi" w:hAnsi="Abadi"/>
          <w:b w:val="0"/>
          <w:bCs w:val="0"/>
          <w:sz w:val="21"/>
          <w:szCs w:val="21"/>
        </w:rPr>
        <w:t>Hacienda</w:t>
      </w:r>
      <w:r w:rsidRPr="001D5134">
        <w:rPr>
          <w:rFonts w:ascii="Abadi" w:hAnsi="Abadi"/>
          <w:b w:val="0"/>
          <w:bCs w:val="0"/>
          <w:spacing w:val="-2"/>
          <w:sz w:val="21"/>
          <w:szCs w:val="21"/>
        </w:rPr>
        <w:t xml:space="preserve"> </w:t>
      </w:r>
      <w:r w:rsidRPr="001D5134">
        <w:rPr>
          <w:rFonts w:ascii="Abadi" w:hAnsi="Abadi"/>
          <w:b w:val="0"/>
          <w:bCs w:val="0"/>
          <w:sz w:val="21"/>
          <w:szCs w:val="21"/>
        </w:rPr>
        <w:t>y</w:t>
      </w:r>
      <w:r w:rsidRPr="001D5134">
        <w:rPr>
          <w:rFonts w:ascii="Abadi" w:hAnsi="Abadi"/>
          <w:b w:val="0"/>
          <w:bCs w:val="0"/>
          <w:spacing w:val="-2"/>
          <w:sz w:val="21"/>
          <w:szCs w:val="21"/>
        </w:rPr>
        <w:t xml:space="preserve"> </w:t>
      </w:r>
      <w:r w:rsidRPr="001D5134">
        <w:rPr>
          <w:rFonts w:ascii="Abadi" w:hAnsi="Abadi"/>
          <w:b w:val="0"/>
          <w:bCs w:val="0"/>
          <w:sz w:val="21"/>
          <w:szCs w:val="21"/>
        </w:rPr>
        <w:t>Fiscalización</w:t>
      </w:r>
      <w:r w:rsidRPr="001D5134">
        <w:rPr>
          <w:rFonts w:ascii="Abadi" w:hAnsi="Abadi"/>
          <w:b w:val="0"/>
          <w:bCs w:val="0"/>
          <w:spacing w:val="-2"/>
          <w:sz w:val="21"/>
          <w:szCs w:val="21"/>
        </w:rPr>
        <w:t xml:space="preserve"> </w:t>
      </w:r>
      <w:r w:rsidRPr="001D5134">
        <w:rPr>
          <w:rFonts w:ascii="Abadi" w:hAnsi="Abadi"/>
          <w:b w:val="0"/>
          <w:bCs w:val="0"/>
          <w:sz w:val="21"/>
          <w:szCs w:val="21"/>
        </w:rPr>
        <w:t>relativo</w:t>
      </w:r>
      <w:r w:rsidRPr="001D5134">
        <w:rPr>
          <w:rFonts w:ascii="Abadi" w:hAnsi="Abadi"/>
          <w:b w:val="0"/>
          <w:bCs w:val="0"/>
          <w:spacing w:val="-2"/>
          <w:sz w:val="21"/>
          <w:szCs w:val="21"/>
        </w:rPr>
        <w:t xml:space="preserve"> </w:t>
      </w:r>
      <w:r w:rsidRPr="001D5134">
        <w:rPr>
          <w:rFonts w:ascii="Abadi" w:hAnsi="Abadi"/>
          <w:b w:val="0"/>
          <w:bCs w:val="0"/>
          <w:sz w:val="21"/>
          <w:szCs w:val="21"/>
        </w:rPr>
        <w:t>al</w:t>
      </w:r>
      <w:r w:rsidRPr="001D5134">
        <w:rPr>
          <w:rFonts w:ascii="Abadi" w:hAnsi="Abadi"/>
          <w:b w:val="0"/>
          <w:bCs w:val="0"/>
          <w:spacing w:val="-2"/>
          <w:sz w:val="21"/>
          <w:szCs w:val="21"/>
        </w:rPr>
        <w:t xml:space="preserve"> </w:t>
      </w:r>
      <w:r w:rsidRPr="001D5134">
        <w:rPr>
          <w:rFonts w:ascii="Abadi" w:hAnsi="Abadi"/>
          <w:b w:val="0"/>
          <w:bCs w:val="0"/>
          <w:sz w:val="21"/>
          <w:szCs w:val="21"/>
        </w:rPr>
        <w:t>informe</w:t>
      </w:r>
      <w:r w:rsidRPr="001D5134">
        <w:rPr>
          <w:rFonts w:ascii="Abadi" w:hAnsi="Abadi"/>
          <w:b w:val="0"/>
          <w:bCs w:val="0"/>
          <w:spacing w:val="-2"/>
          <w:sz w:val="21"/>
          <w:szCs w:val="21"/>
        </w:rPr>
        <w:t xml:space="preserve"> </w:t>
      </w:r>
      <w:r w:rsidRPr="001D5134">
        <w:rPr>
          <w:rFonts w:ascii="Abadi" w:hAnsi="Abadi"/>
          <w:b w:val="0"/>
          <w:bCs w:val="0"/>
          <w:sz w:val="21"/>
          <w:szCs w:val="21"/>
        </w:rPr>
        <w:t>de</w:t>
      </w:r>
      <w:r w:rsidRPr="001D5134">
        <w:rPr>
          <w:rFonts w:ascii="Abadi" w:hAnsi="Abadi"/>
          <w:b w:val="0"/>
          <w:bCs w:val="0"/>
          <w:spacing w:val="-2"/>
          <w:sz w:val="21"/>
          <w:szCs w:val="21"/>
        </w:rPr>
        <w:t xml:space="preserve"> </w:t>
      </w:r>
      <w:r w:rsidRPr="001D5134">
        <w:rPr>
          <w:rFonts w:ascii="Abadi" w:hAnsi="Abadi"/>
          <w:b w:val="0"/>
          <w:bCs w:val="0"/>
          <w:sz w:val="21"/>
          <w:szCs w:val="21"/>
        </w:rPr>
        <w:t>resultados</w:t>
      </w:r>
      <w:r w:rsidRPr="001D5134">
        <w:rPr>
          <w:rFonts w:ascii="Abadi" w:hAnsi="Abadi"/>
          <w:b w:val="0"/>
          <w:bCs w:val="0"/>
          <w:spacing w:val="-2"/>
          <w:sz w:val="21"/>
          <w:szCs w:val="21"/>
        </w:rPr>
        <w:t xml:space="preserve"> </w:t>
      </w:r>
      <w:r w:rsidRPr="001D5134">
        <w:rPr>
          <w:rFonts w:ascii="Abadi" w:hAnsi="Abadi"/>
          <w:b w:val="0"/>
          <w:bCs w:val="0"/>
          <w:sz w:val="21"/>
          <w:szCs w:val="21"/>
        </w:rPr>
        <w:t>de</w:t>
      </w:r>
      <w:r w:rsidRPr="001D5134">
        <w:rPr>
          <w:rFonts w:ascii="Abadi" w:hAnsi="Abadi"/>
          <w:b w:val="0"/>
          <w:bCs w:val="0"/>
          <w:spacing w:val="-2"/>
          <w:sz w:val="21"/>
          <w:szCs w:val="21"/>
        </w:rPr>
        <w:t xml:space="preserve"> </w:t>
      </w:r>
      <w:r w:rsidRPr="001D5134">
        <w:rPr>
          <w:rFonts w:ascii="Abadi" w:hAnsi="Abadi"/>
          <w:b w:val="0"/>
          <w:bCs w:val="0"/>
          <w:sz w:val="21"/>
          <w:szCs w:val="21"/>
        </w:rPr>
        <w:t>la</w:t>
      </w:r>
      <w:r w:rsidRPr="001D5134">
        <w:rPr>
          <w:rFonts w:ascii="Abadi" w:hAnsi="Abadi"/>
          <w:b w:val="0"/>
          <w:bCs w:val="0"/>
          <w:spacing w:val="-2"/>
          <w:sz w:val="21"/>
          <w:szCs w:val="21"/>
        </w:rPr>
        <w:t xml:space="preserve"> </w:t>
      </w:r>
      <w:r w:rsidRPr="001D5134">
        <w:rPr>
          <w:rFonts w:ascii="Abadi" w:hAnsi="Abadi"/>
          <w:b w:val="0"/>
          <w:bCs w:val="0"/>
          <w:sz w:val="21"/>
          <w:szCs w:val="21"/>
        </w:rPr>
        <w:t>auditoría</w:t>
      </w:r>
      <w:r w:rsidRPr="001D5134">
        <w:rPr>
          <w:rFonts w:ascii="Abadi" w:hAnsi="Abadi"/>
          <w:b w:val="0"/>
          <w:bCs w:val="0"/>
          <w:spacing w:val="-1"/>
          <w:sz w:val="21"/>
          <w:szCs w:val="21"/>
        </w:rPr>
        <w:t xml:space="preserve"> </w:t>
      </w:r>
      <w:r w:rsidRPr="001D5134">
        <w:rPr>
          <w:rFonts w:ascii="Abadi" w:hAnsi="Abadi"/>
          <w:b w:val="0"/>
          <w:bCs w:val="0"/>
          <w:sz w:val="21"/>
          <w:szCs w:val="21"/>
        </w:rPr>
        <w:t>practicada</w:t>
      </w:r>
      <w:r w:rsidRPr="001D5134">
        <w:rPr>
          <w:rFonts w:ascii="Abadi" w:hAnsi="Abadi"/>
          <w:b w:val="0"/>
          <w:bCs w:val="0"/>
          <w:spacing w:val="58"/>
          <w:w w:val="150"/>
          <w:sz w:val="21"/>
          <w:szCs w:val="21"/>
        </w:rPr>
        <w:t xml:space="preserve"> </w:t>
      </w:r>
      <w:r w:rsidRPr="001D5134">
        <w:rPr>
          <w:rFonts w:ascii="Abadi" w:hAnsi="Abadi"/>
          <w:b w:val="0"/>
          <w:bCs w:val="0"/>
          <w:sz w:val="21"/>
          <w:szCs w:val="21"/>
        </w:rPr>
        <w:t>por</w:t>
      </w:r>
      <w:r w:rsidRPr="001D5134">
        <w:rPr>
          <w:rFonts w:ascii="Abadi" w:hAnsi="Abadi"/>
          <w:b w:val="0"/>
          <w:bCs w:val="0"/>
          <w:spacing w:val="58"/>
          <w:w w:val="150"/>
          <w:sz w:val="21"/>
          <w:szCs w:val="21"/>
        </w:rPr>
        <w:t xml:space="preserve"> </w:t>
      </w:r>
      <w:r w:rsidRPr="001D5134">
        <w:rPr>
          <w:rFonts w:ascii="Abadi" w:hAnsi="Abadi"/>
          <w:b w:val="0"/>
          <w:bCs w:val="0"/>
          <w:sz w:val="21"/>
          <w:szCs w:val="21"/>
        </w:rPr>
        <w:t>la</w:t>
      </w:r>
      <w:r w:rsidRPr="001D5134">
        <w:rPr>
          <w:rFonts w:ascii="Abadi" w:hAnsi="Abadi"/>
          <w:b w:val="0"/>
          <w:bCs w:val="0"/>
          <w:spacing w:val="58"/>
          <w:w w:val="150"/>
          <w:sz w:val="21"/>
          <w:szCs w:val="21"/>
        </w:rPr>
        <w:t xml:space="preserve"> </w:t>
      </w:r>
      <w:r w:rsidRPr="001D5134">
        <w:rPr>
          <w:rFonts w:ascii="Abadi" w:hAnsi="Abadi"/>
          <w:b w:val="0"/>
          <w:bCs w:val="0"/>
          <w:sz w:val="21"/>
          <w:szCs w:val="21"/>
        </w:rPr>
        <w:t>Auditoría</w:t>
      </w:r>
      <w:r w:rsidRPr="001D5134">
        <w:rPr>
          <w:rFonts w:ascii="Abadi" w:hAnsi="Abadi"/>
          <w:b w:val="0"/>
          <w:bCs w:val="0"/>
          <w:spacing w:val="58"/>
          <w:w w:val="150"/>
          <w:sz w:val="21"/>
          <w:szCs w:val="21"/>
        </w:rPr>
        <w:t xml:space="preserve"> </w:t>
      </w:r>
      <w:r w:rsidRPr="001D5134">
        <w:rPr>
          <w:rFonts w:ascii="Abadi" w:hAnsi="Abadi"/>
          <w:b w:val="0"/>
          <w:bCs w:val="0"/>
          <w:sz w:val="21"/>
          <w:szCs w:val="21"/>
        </w:rPr>
        <w:t>Superior</w:t>
      </w:r>
      <w:r w:rsidRPr="001D5134">
        <w:rPr>
          <w:rFonts w:ascii="Abadi" w:hAnsi="Abadi"/>
          <w:b w:val="0"/>
          <w:bCs w:val="0"/>
          <w:spacing w:val="58"/>
          <w:w w:val="150"/>
          <w:sz w:val="21"/>
          <w:szCs w:val="21"/>
        </w:rPr>
        <w:t xml:space="preserve"> </w:t>
      </w:r>
      <w:r w:rsidRPr="001D5134">
        <w:rPr>
          <w:rFonts w:ascii="Abadi" w:hAnsi="Abadi"/>
          <w:b w:val="0"/>
          <w:bCs w:val="0"/>
          <w:sz w:val="21"/>
          <w:szCs w:val="21"/>
        </w:rPr>
        <w:t>del</w:t>
      </w:r>
      <w:r w:rsidRPr="001D5134">
        <w:rPr>
          <w:rFonts w:ascii="Abadi" w:hAnsi="Abadi"/>
          <w:b w:val="0"/>
          <w:bCs w:val="0"/>
          <w:spacing w:val="58"/>
          <w:w w:val="150"/>
          <w:sz w:val="21"/>
          <w:szCs w:val="21"/>
        </w:rPr>
        <w:t xml:space="preserve"> </w:t>
      </w:r>
      <w:r w:rsidRPr="001D5134">
        <w:rPr>
          <w:rFonts w:ascii="Abadi" w:hAnsi="Abadi"/>
          <w:b w:val="0"/>
          <w:bCs w:val="0"/>
          <w:sz w:val="21"/>
          <w:szCs w:val="21"/>
        </w:rPr>
        <w:t>Estado</w:t>
      </w:r>
      <w:r w:rsidRPr="001D5134">
        <w:rPr>
          <w:rFonts w:ascii="Abadi" w:hAnsi="Abadi"/>
          <w:b w:val="0"/>
          <w:bCs w:val="0"/>
          <w:spacing w:val="58"/>
          <w:w w:val="150"/>
          <w:sz w:val="21"/>
          <w:szCs w:val="21"/>
        </w:rPr>
        <w:t xml:space="preserve"> </w:t>
      </w:r>
      <w:r w:rsidRPr="001D5134">
        <w:rPr>
          <w:rFonts w:ascii="Abadi" w:hAnsi="Abadi"/>
          <w:b w:val="0"/>
          <w:bCs w:val="0"/>
          <w:sz w:val="21"/>
          <w:szCs w:val="21"/>
        </w:rPr>
        <w:t>de</w:t>
      </w:r>
      <w:r w:rsidRPr="001D5134">
        <w:rPr>
          <w:rFonts w:ascii="Abadi" w:hAnsi="Abadi"/>
          <w:b w:val="0"/>
          <w:bCs w:val="0"/>
          <w:spacing w:val="58"/>
          <w:w w:val="150"/>
          <w:sz w:val="21"/>
          <w:szCs w:val="21"/>
        </w:rPr>
        <w:t xml:space="preserve"> </w:t>
      </w:r>
      <w:r w:rsidRPr="001D5134">
        <w:rPr>
          <w:rFonts w:ascii="Abadi" w:hAnsi="Abadi"/>
          <w:b w:val="0"/>
          <w:bCs w:val="0"/>
          <w:sz w:val="21"/>
          <w:szCs w:val="21"/>
        </w:rPr>
        <w:t>Guanajuato,</w:t>
      </w:r>
      <w:r w:rsidRPr="001D5134">
        <w:rPr>
          <w:rFonts w:ascii="Abadi" w:hAnsi="Abadi"/>
          <w:b w:val="0"/>
          <w:bCs w:val="0"/>
          <w:spacing w:val="58"/>
          <w:w w:val="150"/>
          <w:sz w:val="21"/>
          <w:szCs w:val="21"/>
        </w:rPr>
        <w:t xml:space="preserve"> </w:t>
      </w:r>
      <w:r w:rsidRPr="001D5134">
        <w:rPr>
          <w:rFonts w:ascii="Abadi" w:hAnsi="Abadi"/>
          <w:b w:val="0"/>
          <w:bCs w:val="0"/>
          <w:sz w:val="21"/>
          <w:szCs w:val="21"/>
        </w:rPr>
        <w:t>a</w:t>
      </w:r>
      <w:r w:rsidRPr="001D5134">
        <w:rPr>
          <w:rFonts w:ascii="Abadi" w:hAnsi="Abadi"/>
          <w:b w:val="0"/>
          <w:bCs w:val="0"/>
          <w:spacing w:val="58"/>
          <w:w w:val="150"/>
          <w:sz w:val="21"/>
          <w:szCs w:val="21"/>
        </w:rPr>
        <w:t xml:space="preserve"> </w:t>
      </w:r>
      <w:r w:rsidRPr="001D5134">
        <w:rPr>
          <w:rFonts w:ascii="Abadi" w:hAnsi="Abadi"/>
          <w:b w:val="0"/>
          <w:bCs w:val="0"/>
          <w:sz w:val="21"/>
          <w:szCs w:val="21"/>
        </w:rPr>
        <w:t>la</w:t>
      </w:r>
      <w:r w:rsidRPr="001D5134">
        <w:rPr>
          <w:rFonts w:ascii="Abadi" w:hAnsi="Abadi"/>
          <w:b w:val="0"/>
          <w:bCs w:val="0"/>
          <w:spacing w:val="-1"/>
          <w:sz w:val="21"/>
          <w:szCs w:val="21"/>
        </w:rPr>
        <w:t xml:space="preserve"> </w:t>
      </w:r>
      <w:r w:rsidRPr="001D5134">
        <w:rPr>
          <w:rFonts w:ascii="Abadi" w:hAnsi="Abadi"/>
          <w:b w:val="0"/>
          <w:bCs w:val="0"/>
          <w:sz w:val="21"/>
          <w:szCs w:val="21"/>
        </w:rPr>
        <w:t>infraestructura</w:t>
      </w:r>
      <w:r w:rsidRPr="001D5134">
        <w:rPr>
          <w:rFonts w:ascii="Abadi" w:hAnsi="Abadi"/>
          <w:b w:val="0"/>
          <w:bCs w:val="0"/>
          <w:spacing w:val="-10"/>
          <w:sz w:val="21"/>
          <w:szCs w:val="21"/>
        </w:rPr>
        <w:t xml:space="preserve"> </w:t>
      </w:r>
      <w:r w:rsidRPr="001D5134">
        <w:rPr>
          <w:rFonts w:ascii="Abadi" w:hAnsi="Abadi"/>
          <w:b w:val="0"/>
          <w:bCs w:val="0"/>
          <w:sz w:val="21"/>
          <w:szCs w:val="21"/>
        </w:rPr>
        <w:t>pública</w:t>
      </w:r>
      <w:r w:rsidRPr="001D5134">
        <w:rPr>
          <w:rFonts w:ascii="Abadi" w:hAnsi="Abadi"/>
          <w:b w:val="0"/>
          <w:bCs w:val="0"/>
          <w:spacing w:val="-10"/>
          <w:sz w:val="21"/>
          <w:szCs w:val="21"/>
        </w:rPr>
        <w:t xml:space="preserve"> </w:t>
      </w:r>
      <w:r w:rsidRPr="001D5134">
        <w:rPr>
          <w:rFonts w:ascii="Abadi" w:hAnsi="Abadi"/>
          <w:b w:val="0"/>
          <w:bCs w:val="0"/>
          <w:sz w:val="21"/>
          <w:szCs w:val="21"/>
        </w:rPr>
        <w:t>municipal</w:t>
      </w:r>
      <w:r w:rsidRPr="001D5134">
        <w:rPr>
          <w:rFonts w:ascii="Abadi" w:hAnsi="Abadi"/>
          <w:b w:val="0"/>
          <w:bCs w:val="0"/>
          <w:spacing w:val="-10"/>
          <w:sz w:val="21"/>
          <w:szCs w:val="21"/>
        </w:rPr>
        <w:t xml:space="preserve"> </w:t>
      </w:r>
      <w:r w:rsidRPr="001D5134">
        <w:rPr>
          <w:rFonts w:ascii="Abadi" w:hAnsi="Abadi"/>
          <w:b w:val="0"/>
          <w:bCs w:val="0"/>
          <w:sz w:val="21"/>
          <w:szCs w:val="21"/>
        </w:rPr>
        <w:t>respecto</w:t>
      </w:r>
      <w:r w:rsidRPr="001D5134">
        <w:rPr>
          <w:rFonts w:ascii="Abadi" w:hAnsi="Abadi"/>
          <w:b w:val="0"/>
          <w:bCs w:val="0"/>
          <w:spacing w:val="-10"/>
          <w:sz w:val="21"/>
          <w:szCs w:val="21"/>
        </w:rPr>
        <w:t xml:space="preserve"> </w:t>
      </w:r>
      <w:r w:rsidRPr="001D5134">
        <w:rPr>
          <w:rFonts w:ascii="Abadi" w:hAnsi="Abadi"/>
          <w:b w:val="0"/>
          <w:bCs w:val="0"/>
          <w:sz w:val="21"/>
          <w:szCs w:val="21"/>
        </w:rPr>
        <w:t>de</w:t>
      </w:r>
      <w:r w:rsidRPr="001D5134">
        <w:rPr>
          <w:rFonts w:ascii="Abadi" w:hAnsi="Abadi"/>
          <w:b w:val="0"/>
          <w:bCs w:val="0"/>
          <w:spacing w:val="-10"/>
          <w:sz w:val="21"/>
          <w:szCs w:val="21"/>
        </w:rPr>
        <w:t xml:space="preserve"> </w:t>
      </w:r>
      <w:r w:rsidRPr="001D5134">
        <w:rPr>
          <w:rFonts w:ascii="Abadi" w:hAnsi="Abadi"/>
          <w:b w:val="0"/>
          <w:bCs w:val="0"/>
          <w:sz w:val="21"/>
          <w:szCs w:val="21"/>
        </w:rPr>
        <w:t>las</w:t>
      </w:r>
      <w:r w:rsidRPr="001D5134">
        <w:rPr>
          <w:rFonts w:ascii="Abadi" w:hAnsi="Abadi"/>
          <w:b w:val="0"/>
          <w:bCs w:val="0"/>
          <w:spacing w:val="-10"/>
          <w:sz w:val="21"/>
          <w:szCs w:val="21"/>
        </w:rPr>
        <w:t xml:space="preserve"> </w:t>
      </w:r>
      <w:r w:rsidRPr="001D5134">
        <w:rPr>
          <w:rFonts w:ascii="Abadi" w:hAnsi="Abadi"/>
          <w:b w:val="0"/>
          <w:bCs w:val="0"/>
          <w:sz w:val="21"/>
          <w:szCs w:val="21"/>
        </w:rPr>
        <w:t>operaciones</w:t>
      </w:r>
      <w:r w:rsidRPr="001D5134">
        <w:rPr>
          <w:rFonts w:ascii="Abadi" w:hAnsi="Abadi"/>
          <w:b w:val="0"/>
          <w:bCs w:val="0"/>
          <w:spacing w:val="-10"/>
          <w:sz w:val="21"/>
          <w:szCs w:val="21"/>
        </w:rPr>
        <w:t xml:space="preserve"> </w:t>
      </w:r>
      <w:r w:rsidRPr="001D5134">
        <w:rPr>
          <w:rFonts w:ascii="Abadi" w:hAnsi="Abadi"/>
          <w:b w:val="0"/>
          <w:bCs w:val="0"/>
          <w:sz w:val="21"/>
          <w:szCs w:val="21"/>
        </w:rPr>
        <w:t>realizadas</w:t>
      </w:r>
      <w:r w:rsidRPr="001D5134">
        <w:rPr>
          <w:rFonts w:ascii="Abadi" w:hAnsi="Abadi"/>
          <w:b w:val="0"/>
          <w:bCs w:val="0"/>
          <w:spacing w:val="-10"/>
          <w:sz w:val="21"/>
          <w:szCs w:val="21"/>
        </w:rPr>
        <w:t xml:space="preserve"> </w:t>
      </w:r>
      <w:r w:rsidRPr="001D5134">
        <w:rPr>
          <w:rFonts w:ascii="Abadi" w:hAnsi="Abadi"/>
          <w:b w:val="0"/>
          <w:bCs w:val="0"/>
          <w:sz w:val="21"/>
          <w:szCs w:val="21"/>
        </w:rPr>
        <w:t>por</w:t>
      </w:r>
      <w:r w:rsidRPr="001D5134">
        <w:rPr>
          <w:rFonts w:ascii="Abadi" w:hAnsi="Abadi"/>
          <w:b w:val="0"/>
          <w:bCs w:val="0"/>
          <w:spacing w:val="-1"/>
          <w:sz w:val="21"/>
          <w:szCs w:val="21"/>
        </w:rPr>
        <w:t xml:space="preserve"> </w:t>
      </w:r>
      <w:r w:rsidRPr="001D5134">
        <w:rPr>
          <w:rFonts w:ascii="Abadi" w:hAnsi="Abadi"/>
          <w:b w:val="0"/>
          <w:bCs w:val="0"/>
          <w:sz w:val="21"/>
          <w:szCs w:val="21"/>
        </w:rPr>
        <w:t>la</w:t>
      </w:r>
      <w:r w:rsidRPr="001D5134">
        <w:rPr>
          <w:rFonts w:ascii="Abadi" w:hAnsi="Abadi"/>
          <w:b w:val="0"/>
          <w:bCs w:val="0"/>
          <w:spacing w:val="18"/>
          <w:sz w:val="21"/>
          <w:szCs w:val="21"/>
        </w:rPr>
        <w:t xml:space="preserve"> </w:t>
      </w:r>
      <w:r w:rsidRPr="001D5134">
        <w:rPr>
          <w:rFonts w:ascii="Abadi" w:hAnsi="Abadi"/>
          <w:b w:val="0"/>
          <w:bCs w:val="0"/>
          <w:sz w:val="21"/>
          <w:szCs w:val="21"/>
        </w:rPr>
        <w:t>administración</w:t>
      </w:r>
      <w:r w:rsidRPr="001D5134">
        <w:rPr>
          <w:rFonts w:ascii="Abadi" w:hAnsi="Abadi"/>
          <w:b w:val="0"/>
          <w:bCs w:val="0"/>
          <w:spacing w:val="18"/>
          <w:sz w:val="21"/>
          <w:szCs w:val="21"/>
        </w:rPr>
        <w:t xml:space="preserve"> </w:t>
      </w:r>
      <w:r w:rsidRPr="001D5134">
        <w:rPr>
          <w:rFonts w:ascii="Abadi" w:hAnsi="Abadi"/>
          <w:b w:val="0"/>
          <w:bCs w:val="0"/>
          <w:sz w:val="21"/>
          <w:szCs w:val="21"/>
        </w:rPr>
        <w:t>municipal</w:t>
      </w:r>
      <w:r w:rsidRPr="001D5134">
        <w:rPr>
          <w:rFonts w:ascii="Abadi" w:hAnsi="Abadi"/>
          <w:b w:val="0"/>
          <w:bCs w:val="0"/>
          <w:spacing w:val="18"/>
          <w:sz w:val="21"/>
          <w:szCs w:val="21"/>
        </w:rPr>
        <w:t xml:space="preserve"> </w:t>
      </w:r>
      <w:r w:rsidRPr="001D5134">
        <w:rPr>
          <w:rFonts w:ascii="Abadi" w:hAnsi="Abadi"/>
          <w:b w:val="0"/>
          <w:bCs w:val="0"/>
          <w:sz w:val="21"/>
          <w:szCs w:val="21"/>
        </w:rPr>
        <w:t>de</w:t>
      </w:r>
      <w:r w:rsidRPr="001D5134">
        <w:rPr>
          <w:rFonts w:ascii="Abadi" w:hAnsi="Abadi"/>
          <w:b w:val="0"/>
          <w:bCs w:val="0"/>
          <w:spacing w:val="19"/>
          <w:sz w:val="21"/>
          <w:szCs w:val="21"/>
        </w:rPr>
        <w:t xml:space="preserve"> </w:t>
      </w:r>
      <w:r w:rsidRPr="001D5134">
        <w:rPr>
          <w:rFonts w:ascii="Abadi" w:hAnsi="Abadi"/>
          <w:b w:val="0"/>
          <w:bCs w:val="0"/>
          <w:sz w:val="21"/>
          <w:szCs w:val="21"/>
        </w:rPr>
        <w:t>Dolores</w:t>
      </w:r>
      <w:r w:rsidRPr="001D5134">
        <w:rPr>
          <w:rFonts w:ascii="Abadi" w:hAnsi="Abadi"/>
          <w:b w:val="0"/>
          <w:bCs w:val="0"/>
          <w:spacing w:val="19"/>
          <w:sz w:val="21"/>
          <w:szCs w:val="21"/>
        </w:rPr>
        <w:t xml:space="preserve"> </w:t>
      </w:r>
      <w:r w:rsidRPr="001D5134">
        <w:rPr>
          <w:rFonts w:ascii="Abadi" w:hAnsi="Abadi"/>
          <w:b w:val="0"/>
          <w:bCs w:val="0"/>
          <w:sz w:val="21"/>
          <w:szCs w:val="21"/>
        </w:rPr>
        <w:t>Hidalgo</w:t>
      </w:r>
      <w:r w:rsidRPr="001D5134">
        <w:rPr>
          <w:rFonts w:ascii="Abadi" w:hAnsi="Abadi"/>
          <w:b w:val="0"/>
          <w:bCs w:val="0"/>
          <w:spacing w:val="18"/>
          <w:sz w:val="21"/>
          <w:szCs w:val="21"/>
        </w:rPr>
        <w:t xml:space="preserve"> </w:t>
      </w:r>
      <w:r w:rsidRPr="001D5134">
        <w:rPr>
          <w:rFonts w:ascii="Abadi" w:hAnsi="Abadi"/>
          <w:b w:val="0"/>
          <w:bCs w:val="0"/>
          <w:sz w:val="21"/>
          <w:szCs w:val="21"/>
        </w:rPr>
        <w:t>Cuna</w:t>
      </w:r>
      <w:r w:rsidRPr="001D5134">
        <w:rPr>
          <w:rFonts w:ascii="Abadi" w:hAnsi="Abadi"/>
          <w:b w:val="0"/>
          <w:bCs w:val="0"/>
          <w:spacing w:val="18"/>
          <w:sz w:val="21"/>
          <w:szCs w:val="21"/>
        </w:rPr>
        <w:t xml:space="preserve"> </w:t>
      </w:r>
      <w:r w:rsidRPr="001D5134">
        <w:rPr>
          <w:rFonts w:ascii="Abadi" w:hAnsi="Abadi"/>
          <w:b w:val="0"/>
          <w:bCs w:val="0"/>
          <w:sz w:val="21"/>
          <w:szCs w:val="21"/>
        </w:rPr>
        <w:t>de</w:t>
      </w:r>
      <w:r w:rsidRPr="001D5134">
        <w:rPr>
          <w:rFonts w:ascii="Abadi" w:hAnsi="Abadi"/>
          <w:b w:val="0"/>
          <w:bCs w:val="0"/>
          <w:spacing w:val="18"/>
          <w:sz w:val="21"/>
          <w:szCs w:val="21"/>
        </w:rPr>
        <w:t xml:space="preserve"> </w:t>
      </w:r>
      <w:r w:rsidRPr="001D5134">
        <w:rPr>
          <w:rFonts w:ascii="Abadi" w:hAnsi="Abadi"/>
          <w:b w:val="0"/>
          <w:bCs w:val="0"/>
          <w:sz w:val="21"/>
          <w:szCs w:val="21"/>
        </w:rPr>
        <w:t>la</w:t>
      </w:r>
      <w:r w:rsidRPr="001D5134">
        <w:rPr>
          <w:rFonts w:ascii="Abadi" w:hAnsi="Abadi"/>
          <w:b w:val="0"/>
          <w:bCs w:val="0"/>
          <w:spacing w:val="18"/>
          <w:sz w:val="21"/>
          <w:szCs w:val="21"/>
        </w:rPr>
        <w:t xml:space="preserve"> </w:t>
      </w:r>
      <w:r w:rsidRPr="001D5134">
        <w:rPr>
          <w:rFonts w:ascii="Abadi" w:hAnsi="Abadi"/>
          <w:b w:val="0"/>
          <w:bCs w:val="0"/>
          <w:sz w:val="21"/>
          <w:szCs w:val="21"/>
        </w:rPr>
        <w:t>Independencia</w:t>
      </w:r>
      <w:r w:rsidRPr="001D5134">
        <w:rPr>
          <w:rFonts w:ascii="Abadi" w:hAnsi="Abadi"/>
          <w:b w:val="0"/>
          <w:bCs w:val="0"/>
          <w:spacing w:val="-1"/>
          <w:sz w:val="21"/>
          <w:szCs w:val="21"/>
        </w:rPr>
        <w:t xml:space="preserve"> </w:t>
      </w:r>
      <w:r w:rsidRPr="001D5134">
        <w:rPr>
          <w:rFonts w:ascii="Abadi" w:hAnsi="Abadi"/>
          <w:b w:val="0"/>
          <w:bCs w:val="0"/>
          <w:sz w:val="21"/>
          <w:szCs w:val="21"/>
        </w:rPr>
        <w:t>Nacional,</w:t>
      </w:r>
      <w:r w:rsidRPr="001D5134">
        <w:rPr>
          <w:rFonts w:ascii="Abadi" w:hAnsi="Abadi"/>
          <w:b w:val="0"/>
          <w:bCs w:val="0"/>
          <w:spacing w:val="9"/>
          <w:sz w:val="21"/>
          <w:szCs w:val="21"/>
        </w:rPr>
        <w:t xml:space="preserve"> </w:t>
      </w:r>
      <w:r w:rsidRPr="001D5134">
        <w:rPr>
          <w:rFonts w:ascii="Abadi" w:hAnsi="Abadi"/>
          <w:b w:val="0"/>
          <w:bCs w:val="0"/>
          <w:sz w:val="21"/>
          <w:szCs w:val="21"/>
        </w:rPr>
        <w:t>Gto.,</w:t>
      </w:r>
      <w:r w:rsidRPr="001D5134">
        <w:rPr>
          <w:rFonts w:ascii="Abadi" w:hAnsi="Abadi"/>
          <w:b w:val="0"/>
          <w:bCs w:val="0"/>
          <w:spacing w:val="9"/>
          <w:sz w:val="21"/>
          <w:szCs w:val="21"/>
        </w:rPr>
        <w:t xml:space="preserve"> </w:t>
      </w:r>
      <w:r w:rsidRPr="001D5134">
        <w:rPr>
          <w:rFonts w:ascii="Abadi" w:hAnsi="Abadi"/>
          <w:b w:val="0"/>
          <w:bCs w:val="0"/>
          <w:sz w:val="21"/>
          <w:szCs w:val="21"/>
        </w:rPr>
        <w:t>correspondientes</w:t>
      </w:r>
      <w:r w:rsidRPr="001D5134">
        <w:rPr>
          <w:rFonts w:ascii="Abadi" w:hAnsi="Abadi"/>
          <w:b w:val="0"/>
          <w:bCs w:val="0"/>
          <w:spacing w:val="10"/>
          <w:sz w:val="21"/>
          <w:szCs w:val="21"/>
        </w:rPr>
        <w:t xml:space="preserve"> </w:t>
      </w:r>
      <w:r w:rsidRPr="001D5134">
        <w:rPr>
          <w:rFonts w:ascii="Abadi" w:hAnsi="Abadi"/>
          <w:b w:val="0"/>
          <w:bCs w:val="0"/>
          <w:sz w:val="21"/>
          <w:szCs w:val="21"/>
        </w:rPr>
        <w:t>al</w:t>
      </w:r>
      <w:r w:rsidRPr="001D5134">
        <w:rPr>
          <w:rFonts w:ascii="Abadi" w:hAnsi="Abadi"/>
          <w:b w:val="0"/>
          <w:bCs w:val="0"/>
          <w:spacing w:val="9"/>
          <w:sz w:val="21"/>
          <w:szCs w:val="21"/>
        </w:rPr>
        <w:t xml:space="preserve"> </w:t>
      </w:r>
      <w:r w:rsidRPr="001D5134">
        <w:rPr>
          <w:rFonts w:ascii="Abadi" w:hAnsi="Abadi"/>
          <w:b w:val="0"/>
          <w:bCs w:val="0"/>
          <w:sz w:val="21"/>
          <w:szCs w:val="21"/>
        </w:rPr>
        <w:t>periodo</w:t>
      </w:r>
      <w:r w:rsidRPr="001D5134">
        <w:rPr>
          <w:rFonts w:ascii="Abadi" w:hAnsi="Abadi"/>
          <w:b w:val="0"/>
          <w:bCs w:val="0"/>
          <w:spacing w:val="9"/>
          <w:sz w:val="21"/>
          <w:szCs w:val="21"/>
        </w:rPr>
        <w:t xml:space="preserve"> </w:t>
      </w:r>
      <w:r w:rsidRPr="001D5134">
        <w:rPr>
          <w:rFonts w:ascii="Abadi" w:hAnsi="Abadi"/>
          <w:b w:val="0"/>
          <w:bCs w:val="0"/>
          <w:sz w:val="21"/>
          <w:szCs w:val="21"/>
        </w:rPr>
        <w:t>comprendido</w:t>
      </w:r>
      <w:r w:rsidRPr="001D5134">
        <w:rPr>
          <w:rFonts w:ascii="Abadi" w:hAnsi="Abadi"/>
          <w:b w:val="0"/>
          <w:bCs w:val="0"/>
          <w:spacing w:val="9"/>
          <w:sz w:val="21"/>
          <w:szCs w:val="21"/>
        </w:rPr>
        <w:t xml:space="preserve"> </w:t>
      </w:r>
      <w:r w:rsidRPr="001D5134">
        <w:rPr>
          <w:rFonts w:ascii="Abadi" w:hAnsi="Abadi"/>
          <w:b w:val="0"/>
          <w:bCs w:val="0"/>
          <w:sz w:val="21"/>
          <w:szCs w:val="21"/>
        </w:rPr>
        <w:t>del</w:t>
      </w:r>
      <w:r w:rsidRPr="001D5134">
        <w:rPr>
          <w:rFonts w:ascii="Abadi" w:hAnsi="Abadi"/>
          <w:b w:val="0"/>
          <w:bCs w:val="0"/>
          <w:spacing w:val="9"/>
          <w:sz w:val="21"/>
          <w:szCs w:val="21"/>
        </w:rPr>
        <w:t xml:space="preserve"> </w:t>
      </w:r>
      <w:r w:rsidRPr="001D5134">
        <w:rPr>
          <w:rFonts w:ascii="Abadi" w:hAnsi="Abadi"/>
          <w:b w:val="0"/>
          <w:bCs w:val="0"/>
          <w:sz w:val="21"/>
          <w:szCs w:val="21"/>
        </w:rPr>
        <w:t>1</w:t>
      </w:r>
      <w:r w:rsidRPr="001D5134">
        <w:rPr>
          <w:rFonts w:ascii="Abadi" w:hAnsi="Abadi"/>
          <w:b w:val="0"/>
          <w:bCs w:val="0"/>
          <w:spacing w:val="9"/>
          <w:sz w:val="21"/>
          <w:szCs w:val="21"/>
        </w:rPr>
        <w:t xml:space="preserve"> </w:t>
      </w:r>
      <w:r w:rsidRPr="001D5134">
        <w:rPr>
          <w:rFonts w:ascii="Abadi" w:hAnsi="Abadi"/>
          <w:b w:val="0"/>
          <w:bCs w:val="0"/>
          <w:sz w:val="21"/>
          <w:szCs w:val="21"/>
        </w:rPr>
        <w:t>de</w:t>
      </w:r>
      <w:r w:rsidRPr="001D5134">
        <w:rPr>
          <w:rFonts w:ascii="Abadi" w:hAnsi="Abadi"/>
          <w:b w:val="0"/>
          <w:bCs w:val="0"/>
          <w:spacing w:val="9"/>
          <w:sz w:val="21"/>
          <w:szCs w:val="21"/>
        </w:rPr>
        <w:t xml:space="preserve"> </w:t>
      </w:r>
      <w:r w:rsidRPr="001D5134">
        <w:rPr>
          <w:rFonts w:ascii="Abadi" w:hAnsi="Abadi"/>
          <w:b w:val="0"/>
          <w:bCs w:val="0"/>
          <w:sz w:val="21"/>
          <w:szCs w:val="21"/>
        </w:rPr>
        <w:t>enero</w:t>
      </w:r>
      <w:r w:rsidRPr="001D5134">
        <w:rPr>
          <w:rFonts w:ascii="Abadi" w:hAnsi="Abadi"/>
          <w:b w:val="0"/>
          <w:bCs w:val="0"/>
          <w:spacing w:val="9"/>
          <w:sz w:val="21"/>
          <w:szCs w:val="21"/>
        </w:rPr>
        <w:t xml:space="preserve"> </w:t>
      </w:r>
      <w:r w:rsidRPr="001D5134">
        <w:rPr>
          <w:rFonts w:ascii="Abadi" w:hAnsi="Abadi"/>
          <w:b w:val="0"/>
          <w:bCs w:val="0"/>
          <w:sz w:val="21"/>
          <w:szCs w:val="21"/>
        </w:rPr>
        <w:t>al</w:t>
      </w:r>
      <w:r w:rsidRPr="001D5134">
        <w:rPr>
          <w:rFonts w:ascii="Abadi" w:hAnsi="Abadi"/>
          <w:b w:val="0"/>
          <w:bCs w:val="0"/>
          <w:spacing w:val="-1"/>
          <w:sz w:val="21"/>
          <w:szCs w:val="21"/>
        </w:rPr>
        <w:t xml:space="preserve"> </w:t>
      </w:r>
      <w:r w:rsidRPr="001D5134">
        <w:rPr>
          <w:rFonts w:ascii="Abadi" w:hAnsi="Abadi"/>
          <w:b w:val="0"/>
          <w:bCs w:val="0"/>
          <w:sz w:val="21"/>
          <w:szCs w:val="21"/>
        </w:rPr>
        <w:t>31 de diciembre del ejercicio fiscal</w:t>
      </w:r>
      <w:r w:rsidRPr="001D5134">
        <w:rPr>
          <w:rFonts w:ascii="Abadi" w:hAnsi="Abadi"/>
          <w:b w:val="0"/>
          <w:bCs w:val="0"/>
          <w:spacing w:val="-1"/>
          <w:sz w:val="21"/>
          <w:szCs w:val="21"/>
        </w:rPr>
        <w:t xml:space="preserve"> </w:t>
      </w:r>
      <w:r w:rsidRPr="001D5134">
        <w:rPr>
          <w:rFonts w:ascii="Abadi" w:hAnsi="Abadi"/>
          <w:b w:val="0"/>
          <w:bCs w:val="0"/>
          <w:sz w:val="21"/>
          <w:szCs w:val="21"/>
        </w:rPr>
        <w:t>del año 2020.</w:t>
      </w:r>
      <w:r>
        <w:rPr>
          <w:rFonts w:ascii="Abadi" w:hAnsi="Abadi"/>
          <w:sz w:val="21"/>
          <w:szCs w:val="21"/>
        </w:rPr>
        <w:t xml:space="preserve"> </w:t>
      </w:r>
      <w:r w:rsidRPr="009A3D12">
        <w:rPr>
          <w:rFonts w:ascii="Abadi" w:hAnsi="Abadi"/>
          <w:sz w:val="21"/>
          <w:szCs w:val="21"/>
        </w:rPr>
        <w:t>LI.-</w:t>
      </w:r>
      <w:r>
        <w:rPr>
          <w:rFonts w:ascii="Abadi" w:hAnsi="Abadi"/>
          <w:sz w:val="21"/>
          <w:szCs w:val="21"/>
        </w:rPr>
        <w:t xml:space="preserve"> </w:t>
      </w:r>
      <w:r w:rsidRPr="001D5134">
        <w:rPr>
          <w:rFonts w:ascii="Abadi" w:hAnsi="Abadi"/>
          <w:b w:val="0"/>
          <w:bCs w:val="0"/>
          <w:sz w:val="21"/>
          <w:szCs w:val="21"/>
        </w:rPr>
        <w:t>Discusión</w:t>
      </w:r>
      <w:r w:rsidRPr="001D5134">
        <w:rPr>
          <w:rFonts w:ascii="Abadi" w:hAnsi="Abadi"/>
          <w:b w:val="0"/>
          <w:bCs w:val="0"/>
          <w:spacing w:val="10"/>
          <w:sz w:val="21"/>
          <w:szCs w:val="21"/>
        </w:rPr>
        <w:t xml:space="preserve"> </w:t>
      </w:r>
      <w:r w:rsidRPr="001D5134">
        <w:rPr>
          <w:rFonts w:ascii="Abadi" w:hAnsi="Abadi"/>
          <w:b w:val="0"/>
          <w:bCs w:val="0"/>
          <w:sz w:val="21"/>
          <w:szCs w:val="21"/>
        </w:rPr>
        <w:t>y,</w:t>
      </w:r>
      <w:r w:rsidRPr="001D5134">
        <w:rPr>
          <w:rFonts w:ascii="Abadi" w:hAnsi="Abadi"/>
          <w:b w:val="0"/>
          <w:bCs w:val="0"/>
          <w:spacing w:val="10"/>
          <w:sz w:val="21"/>
          <w:szCs w:val="21"/>
        </w:rPr>
        <w:t xml:space="preserve"> </w:t>
      </w:r>
      <w:r w:rsidRPr="001D5134">
        <w:rPr>
          <w:rFonts w:ascii="Abadi" w:hAnsi="Abadi"/>
          <w:b w:val="0"/>
          <w:bCs w:val="0"/>
          <w:sz w:val="21"/>
          <w:szCs w:val="21"/>
        </w:rPr>
        <w:t>en</w:t>
      </w:r>
      <w:r w:rsidRPr="001D5134">
        <w:rPr>
          <w:rFonts w:ascii="Abadi" w:hAnsi="Abadi"/>
          <w:b w:val="0"/>
          <w:bCs w:val="0"/>
          <w:spacing w:val="10"/>
          <w:sz w:val="21"/>
          <w:szCs w:val="21"/>
        </w:rPr>
        <w:t xml:space="preserve"> </w:t>
      </w:r>
      <w:r w:rsidRPr="001D5134">
        <w:rPr>
          <w:rFonts w:ascii="Abadi" w:hAnsi="Abadi"/>
          <w:b w:val="0"/>
          <w:bCs w:val="0"/>
          <w:sz w:val="21"/>
          <w:szCs w:val="21"/>
        </w:rPr>
        <w:t>su</w:t>
      </w:r>
      <w:r w:rsidRPr="001D5134">
        <w:rPr>
          <w:rFonts w:ascii="Abadi" w:hAnsi="Abadi"/>
          <w:b w:val="0"/>
          <w:bCs w:val="0"/>
          <w:spacing w:val="10"/>
          <w:sz w:val="21"/>
          <w:szCs w:val="21"/>
        </w:rPr>
        <w:t xml:space="preserve"> </w:t>
      </w:r>
      <w:r w:rsidRPr="001D5134">
        <w:rPr>
          <w:rFonts w:ascii="Abadi" w:hAnsi="Abadi"/>
          <w:b w:val="0"/>
          <w:bCs w:val="0"/>
          <w:sz w:val="21"/>
          <w:szCs w:val="21"/>
        </w:rPr>
        <w:t>caso,</w:t>
      </w:r>
      <w:r w:rsidRPr="001D5134">
        <w:rPr>
          <w:rFonts w:ascii="Abadi" w:hAnsi="Abadi"/>
          <w:b w:val="0"/>
          <w:bCs w:val="0"/>
          <w:spacing w:val="10"/>
          <w:sz w:val="21"/>
          <w:szCs w:val="21"/>
        </w:rPr>
        <w:t xml:space="preserve"> </w:t>
      </w:r>
      <w:r w:rsidRPr="001D5134">
        <w:rPr>
          <w:rFonts w:ascii="Abadi" w:hAnsi="Abadi"/>
          <w:b w:val="0"/>
          <w:bCs w:val="0"/>
          <w:sz w:val="21"/>
          <w:szCs w:val="21"/>
        </w:rPr>
        <w:t>aprobación</w:t>
      </w:r>
      <w:r w:rsidRPr="001D5134">
        <w:rPr>
          <w:rFonts w:ascii="Abadi" w:hAnsi="Abadi"/>
          <w:b w:val="0"/>
          <w:bCs w:val="0"/>
          <w:spacing w:val="10"/>
          <w:sz w:val="21"/>
          <w:szCs w:val="21"/>
        </w:rPr>
        <w:t xml:space="preserve"> </w:t>
      </w:r>
      <w:r w:rsidRPr="001D5134">
        <w:rPr>
          <w:rFonts w:ascii="Abadi" w:hAnsi="Abadi"/>
          <w:b w:val="0"/>
          <w:bCs w:val="0"/>
          <w:sz w:val="21"/>
          <w:szCs w:val="21"/>
        </w:rPr>
        <w:t>del</w:t>
      </w:r>
      <w:r w:rsidRPr="001D5134">
        <w:rPr>
          <w:rFonts w:ascii="Abadi" w:hAnsi="Abadi"/>
          <w:b w:val="0"/>
          <w:bCs w:val="0"/>
          <w:spacing w:val="10"/>
          <w:sz w:val="21"/>
          <w:szCs w:val="21"/>
        </w:rPr>
        <w:t xml:space="preserve"> </w:t>
      </w:r>
      <w:r w:rsidRPr="001D5134">
        <w:rPr>
          <w:rFonts w:ascii="Abadi" w:hAnsi="Abadi"/>
          <w:b w:val="0"/>
          <w:bCs w:val="0"/>
          <w:sz w:val="21"/>
          <w:szCs w:val="21"/>
        </w:rPr>
        <w:t>dictamen</w:t>
      </w:r>
      <w:r w:rsidRPr="001D5134">
        <w:rPr>
          <w:rFonts w:ascii="Abadi" w:hAnsi="Abadi"/>
          <w:b w:val="0"/>
          <w:bCs w:val="0"/>
          <w:spacing w:val="10"/>
          <w:sz w:val="21"/>
          <w:szCs w:val="21"/>
        </w:rPr>
        <w:t xml:space="preserve"> </w:t>
      </w:r>
      <w:r w:rsidRPr="001D5134">
        <w:rPr>
          <w:rFonts w:ascii="Abadi" w:hAnsi="Abadi"/>
          <w:b w:val="0"/>
          <w:bCs w:val="0"/>
          <w:sz w:val="21"/>
          <w:szCs w:val="21"/>
        </w:rPr>
        <w:t>signado</w:t>
      </w:r>
      <w:r w:rsidRPr="001D5134">
        <w:rPr>
          <w:rFonts w:ascii="Abadi" w:hAnsi="Abadi"/>
          <w:b w:val="0"/>
          <w:bCs w:val="0"/>
          <w:spacing w:val="10"/>
          <w:sz w:val="21"/>
          <w:szCs w:val="21"/>
        </w:rPr>
        <w:t xml:space="preserve"> </w:t>
      </w:r>
      <w:r w:rsidRPr="001D5134">
        <w:rPr>
          <w:rFonts w:ascii="Abadi" w:hAnsi="Abadi"/>
          <w:b w:val="0"/>
          <w:bCs w:val="0"/>
          <w:sz w:val="21"/>
          <w:szCs w:val="21"/>
        </w:rPr>
        <w:t>por</w:t>
      </w:r>
      <w:r w:rsidRPr="001D5134">
        <w:rPr>
          <w:rFonts w:ascii="Abadi" w:hAnsi="Abadi"/>
          <w:b w:val="0"/>
          <w:bCs w:val="0"/>
          <w:spacing w:val="10"/>
          <w:sz w:val="21"/>
          <w:szCs w:val="21"/>
        </w:rPr>
        <w:t xml:space="preserve"> </w:t>
      </w:r>
      <w:r w:rsidRPr="001D5134">
        <w:rPr>
          <w:rFonts w:ascii="Abadi" w:hAnsi="Abadi"/>
          <w:b w:val="0"/>
          <w:bCs w:val="0"/>
          <w:sz w:val="21"/>
          <w:szCs w:val="21"/>
        </w:rPr>
        <w:t>la</w:t>
      </w:r>
      <w:r w:rsidRPr="001D5134">
        <w:rPr>
          <w:rFonts w:ascii="Abadi" w:hAnsi="Abadi"/>
          <w:b w:val="0"/>
          <w:bCs w:val="0"/>
          <w:spacing w:val="10"/>
          <w:sz w:val="21"/>
          <w:szCs w:val="21"/>
        </w:rPr>
        <w:t xml:space="preserve"> </w:t>
      </w:r>
      <w:r w:rsidRPr="001D5134">
        <w:rPr>
          <w:rFonts w:ascii="Abadi" w:hAnsi="Abadi"/>
          <w:b w:val="0"/>
          <w:bCs w:val="0"/>
          <w:sz w:val="21"/>
          <w:szCs w:val="21"/>
        </w:rPr>
        <w:t>Comisión</w:t>
      </w:r>
      <w:r w:rsidRPr="001D5134">
        <w:rPr>
          <w:rFonts w:ascii="Abadi" w:hAnsi="Abadi"/>
          <w:b w:val="0"/>
          <w:bCs w:val="0"/>
          <w:spacing w:val="-1"/>
          <w:sz w:val="21"/>
          <w:szCs w:val="21"/>
        </w:rPr>
        <w:t xml:space="preserve"> </w:t>
      </w:r>
      <w:r w:rsidRPr="001D5134">
        <w:rPr>
          <w:rFonts w:ascii="Abadi" w:hAnsi="Abadi"/>
          <w:b w:val="0"/>
          <w:bCs w:val="0"/>
          <w:sz w:val="21"/>
          <w:szCs w:val="21"/>
        </w:rPr>
        <w:t>de</w:t>
      </w:r>
      <w:r w:rsidRPr="001D5134">
        <w:rPr>
          <w:rFonts w:ascii="Abadi" w:hAnsi="Abadi"/>
          <w:b w:val="0"/>
          <w:bCs w:val="0"/>
          <w:spacing w:val="-2"/>
          <w:sz w:val="21"/>
          <w:szCs w:val="21"/>
        </w:rPr>
        <w:t xml:space="preserve"> </w:t>
      </w:r>
      <w:r w:rsidRPr="001D5134">
        <w:rPr>
          <w:rFonts w:ascii="Abadi" w:hAnsi="Abadi"/>
          <w:b w:val="0"/>
          <w:bCs w:val="0"/>
          <w:sz w:val="21"/>
          <w:szCs w:val="21"/>
        </w:rPr>
        <w:t>Hacienda</w:t>
      </w:r>
      <w:r w:rsidRPr="001D5134">
        <w:rPr>
          <w:rFonts w:ascii="Abadi" w:hAnsi="Abadi"/>
          <w:b w:val="0"/>
          <w:bCs w:val="0"/>
          <w:spacing w:val="-2"/>
          <w:sz w:val="21"/>
          <w:szCs w:val="21"/>
        </w:rPr>
        <w:t xml:space="preserve"> </w:t>
      </w:r>
      <w:r w:rsidRPr="001D5134">
        <w:rPr>
          <w:rFonts w:ascii="Abadi" w:hAnsi="Abadi"/>
          <w:b w:val="0"/>
          <w:bCs w:val="0"/>
          <w:sz w:val="21"/>
          <w:szCs w:val="21"/>
        </w:rPr>
        <w:t>y</w:t>
      </w:r>
      <w:r w:rsidRPr="001D5134">
        <w:rPr>
          <w:rFonts w:ascii="Abadi" w:hAnsi="Abadi"/>
          <w:b w:val="0"/>
          <w:bCs w:val="0"/>
          <w:spacing w:val="-2"/>
          <w:sz w:val="21"/>
          <w:szCs w:val="21"/>
        </w:rPr>
        <w:t xml:space="preserve"> </w:t>
      </w:r>
      <w:r w:rsidRPr="001D5134">
        <w:rPr>
          <w:rFonts w:ascii="Abadi" w:hAnsi="Abadi"/>
          <w:b w:val="0"/>
          <w:bCs w:val="0"/>
          <w:sz w:val="21"/>
          <w:szCs w:val="21"/>
        </w:rPr>
        <w:t>Fiscalización</w:t>
      </w:r>
      <w:r w:rsidRPr="001D5134">
        <w:rPr>
          <w:rFonts w:ascii="Abadi" w:hAnsi="Abadi"/>
          <w:b w:val="0"/>
          <w:bCs w:val="0"/>
          <w:spacing w:val="-2"/>
          <w:sz w:val="21"/>
          <w:szCs w:val="21"/>
        </w:rPr>
        <w:t xml:space="preserve"> </w:t>
      </w:r>
      <w:r w:rsidRPr="001D5134">
        <w:rPr>
          <w:rFonts w:ascii="Abadi" w:hAnsi="Abadi"/>
          <w:b w:val="0"/>
          <w:bCs w:val="0"/>
          <w:sz w:val="21"/>
          <w:szCs w:val="21"/>
        </w:rPr>
        <w:t>relativo</w:t>
      </w:r>
      <w:r w:rsidRPr="001D5134">
        <w:rPr>
          <w:rFonts w:ascii="Abadi" w:hAnsi="Abadi"/>
          <w:b w:val="0"/>
          <w:bCs w:val="0"/>
          <w:spacing w:val="-2"/>
          <w:sz w:val="21"/>
          <w:szCs w:val="21"/>
        </w:rPr>
        <w:t xml:space="preserve"> </w:t>
      </w:r>
      <w:r w:rsidRPr="001D5134">
        <w:rPr>
          <w:rFonts w:ascii="Abadi" w:hAnsi="Abadi"/>
          <w:b w:val="0"/>
          <w:bCs w:val="0"/>
          <w:sz w:val="21"/>
          <w:szCs w:val="21"/>
        </w:rPr>
        <w:t>al</w:t>
      </w:r>
      <w:r w:rsidRPr="001D5134">
        <w:rPr>
          <w:rFonts w:ascii="Abadi" w:hAnsi="Abadi"/>
          <w:b w:val="0"/>
          <w:bCs w:val="0"/>
          <w:spacing w:val="-2"/>
          <w:sz w:val="21"/>
          <w:szCs w:val="21"/>
        </w:rPr>
        <w:t xml:space="preserve"> </w:t>
      </w:r>
      <w:r w:rsidRPr="001D5134">
        <w:rPr>
          <w:rFonts w:ascii="Abadi" w:hAnsi="Abadi"/>
          <w:b w:val="0"/>
          <w:bCs w:val="0"/>
          <w:sz w:val="21"/>
          <w:szCs w:val="21"/>
        </w:rPr>
        <w:t>informe</w:t>
      </w:r>
      <w:r w:rsidRPr="001D5134">
        <w:rPr>
          <w:rFonts w:ascii="Abadi" w:hAnsi="Abadi"/>
          <w:b w:val="0"/>
          <w:bCs w:val="0"/>
          <w:spacing w:val="-2"/>
          <w:sz w:val="21"/>
          <w:szCs w:val="21"/>
        </w:rPr>
        <w:t xml:space="preserve"> </w:t>
      </w:r>
      <w:r w:rsidRPr="001D5134">
        <w:rPr>
          <w:rFonts w:ascii="Abadi" w:hAnsi="Abadi"/>
          <w:b w:val="0"/>
          <w:bCs w:val="0"/>
          <w:sz w:val="21"/>
          <w:szCs w:val="21"/>
        </w:rPr>
        <w:t>de</w:t>
      </w:r>
      <w:r w:rsidRPr="001D5134">
        <w:rPr>
          <w:rFonts w:ascii="Abadi" w:hAnsi="Abadi"/>
          <w:b w:val="0"/>
          <w:bCs w:val="0"/>
          <w:spacing w:val="-2"/>
          <w:sz w:val="21"/>
          <w:szCs w:val="21"/>
        </w:rPr>
        <w:t xml:space="preserve"> </w:t>
      </w:r>
      <w:r w:rsidRPr="001D5134">
        <w:rPr>
          <w:rFonts w:ascii="Abadi" w:hAnsi="Abadi"/>
          <w:b w:val="0"/>
          <w:bCs w:val="0"/>
          <w:sz w:val="21"/>
          <w:szCs w:val="21"/>
        </w:rPr>
        <w:t>resultados</w:t>
      </w:r>
      <w:r w:rsidRPr="001D5134">
        <w:rPr>
          <w:rFonts w:ascii="Abadi" w:hAnsi="Abadi"/>
          <w:b w:val="0"/>
          <w:bCs w:val="0"/>
          <w:spacing w:val="-2"/>
          <w:sz w:val="21"/>
          <w:szCs w:val="21"/>
        </w:rPr>
        <w:t xml:space="preserve"> </w:t>
      </w:r>
      <w:r w:rsidRPr="001D5134">
        <w:rPr>
          <w:rFonts w:ascii="Abadi" w:hAnsi="Abadi"/>
          <w:b w:val="0"/>
          <w:bCs w:val="0"/>
          <w:sz w:val="21"/>
          <w:szCs w:val="21"/>
        </w:rPr>
        <w:t>de</w:t>
      </w:r>
      <w:r w:rsidRPr="001D5134">
        <w:rPr>
          <w:rFonts w:ascii="Abadi" w:hAnsi="Abadi"/>
          <w:b w:val="0"/>
          <w:bCs w:val="0"/>
          <w:spacing w:val="-2"/>
          <w:sz w:val="21"/>
          <w:szCs w:val="21"/>
        </w:rPr>
        <w:t xml:space="preserve"> </w:t>
      </w:r>
      <w:r w:rsidRPr="001D5134">
        <w:rPr>
          <w:rFonts w:ascii="Abadi" w:hAnsi="Abadi"/>
          <w:b w:val="0"/>
          <w:bCs w:val="0"/>
          <w:sz w:val="21"/>
          <w:szCs w:val="21"/>
        </w:rPr>
        <w:t>la</w:t>
      </w:r>
      <w:r w:rsidRPr="001D5134">
        <w:rPr>
          <w:rFonts w:ascii="Abadi" w:hAnsi="Abadi"/>
          <w:b w:val="0"/>
          <w:bCs w:val="0"/>
          <w:spacing w:val="-2"/>
          <w:sz w:val="21"/>
          <w:szCs w:val="21"/>
        </w:rPr>
        <w:t xml:space="preserve"> </w:t>
      </w:r>
      <w:r w:rsidRPr="001D5134">
        <w:rPr>
          <w:rFonts w:ascii="Abadi" w:hAnsi="Abadi"/>
          <w:b w:val="0"/>
          <w:bCs w:val="0"/>
          <w:sz w:val="21"/>
          <w:szCs w:val="21"/>
        </w:rPr>
        <w:t>auditoría</w:t>
      </w:r>
      <w:r w:rsidRPr="001D5134">
        <w:rPr>
          <w:rFonts w:ascii="Abadi" w:hAnsi="Abadi"/>
          <w:b w:val="0"/>
          <w:bCs w:val="0"/>
          <w:spacing w:val="-1"/>
          <w:sz w:val="21"/>
          <w:szCs w:val="21"/>
        </w:rPr>
        <w:t xml:space="preserve"> </w:t>
      </w:r>
      <w:r w:rsidRPr="001D5134">
        <w:rPr>
          <w:rFonts w:ascii="Abadi" w:hAnsi="Abadi"/>
          <w:b w:val="0"/>
          <w:bCs w:val="0"/>
          <w:sz w:val="21"/>
          <w:szCs w:val="21"/>
        </w:rPr>
        <w:t>practicada</w:t>
      </w:r>
      <w:r w:rsidRPr="001D5134">
        <w:rPr>
          <w:rFonts w:ascii="Abadi" w:hAnsi="Abadi"/>
          <w:b w:val="0"/>
          <w:bCs w:val="0"/>
          <w:spacing w:val="59"/>
          <w:w w:val="150"/>
          <w:sz w:val="21"/>
          <w:szCs w:val="21"/>
        </w:rPr>
        <w:t xml:space="preserve"> </w:t>
      </w:r>
      <w:r w:rsidRPr="001D5134">
        <w:rPr>
          <w:rFonts w:ascii="Abadi" w:hAnsi="Abadi"/>
          <w:b w:val="0"/>
          <w:bCs w:val="0"/>
          <w:sz w:val="21"/>
          <w:szCs w:val="21"/>
        </w:rPr>
        <w:t>por</w:t>
      </w:r>
      <w:r w:rsidRPr="001D5134">
        <w:rPr>
          <w:rFonts w:ascii="Abadi" w:hAnsi="Abadi"/>
          <w:b w:val="0"/>
          <w:bCs w:val="0"/>
          <w:spacing w:val="58"/>
          <w:w w:val="150"/>
          <w:sz w:val="21"/>
          <w:szCs w:val="21"/>
        </w:rPr>
        <w:t xml:space="preserve"> </w:t>
      </w:r>
      <w:r w:rsidRPr="001D5134">
        <w:rPr>
          <w:rFonts w:ascii="Abadi" w:hAnsi="Abadi"/>
          <w:b w:val="0"/>
          <w:bCs w:val="0"/>
          <w:sz w:val="21"/>
          <w:szCs w:val="21"/>
        </w:rPr>
        <w:t>la</w:t>
      </w:r>
      <w:r w:rsidRPr="001D5134">
        <w:rPr>
          <w:rFonts w:ascii="Abadi" w:hAnsi="Abadi"/>
          <w:b w:val="0"/>
          <w:bCs w:val="0"/>
          <w:spacing w:val="58"/>
          <w:w w:val="150"/>
          <w:sz w:val="21"/>
          <w:szCs w:val="21"/>
        </w:rPr>
        <w:t xml:space="preserve"> </w:t>
      </w:r>
      <w:r w:rsidRPr="001D5134">
        <w:rPr>
          <w:rFonts w:ascii="Abadi" w:hAnsi="Abadi"/>
          <w:b w:val="0"/>
          <w:bCs w:val="0"/>
          <w:sz w:val="21"/>
          <w:szCs w:val="21"/>
        </w:rPr>
        <w:t>Auditoría</w:t>
      </w:r>
      <w:r w:rsidRPr="001D5134">
        <w:rPr>
          <w:rFonts w:ascii="Abadi" w:hAnsi="Abadi"/>
          <w:b w:val="0"/>
          <w:bCs w:val="0"/>
          <w:spacing w:val="58"/>
          <w:w w:val="150"/>
          <w:sz w:val="21"/>
          <w:szCs w:val="21"/>
        </w:rPr>
        <w:t xml:space="preserve"> </w:t>
      </w:r>
      <w:r w:rsidRPr="001D5134">
        <w:rPr>
          <w:rFonts w:ascii="Abadi" w:hAnsi="Abadi"/>
          <w:b w:val="0"/>
          <w:bCs w:val="0"/>
          <w:sz w:val="21"/>
          <w:szCs w:val="21"/>
        </w:rPr>
        <w:t>Superior</w:t>
      </w:r>
      <w:r w:rsidRPr="001D5134">
        <w:rPr>
          <w:rFonts w:ascii="Abadi" w:hAnsi="Abadi"/>
          <w:b w:val="0"/>
          <w:bCs w:val="0"/>
          <w:spacing w:val="58"/>
          <w:w w:val="150"/>
          <w:sz w:val="21"/>
          <w:szCs w:val="21"/>
        </w:rPr>
        <w:t xml:space="preserve"> </w:t>
      </w:r>
      <w:r w:rsidRPr="001D5134">
        <w:rPr>
          <w:rFonts w:ascii="Abadi" w:hAnsi="Abadi"/>
          <w:b w:val="0"/>
          <w:bCs w:val="0"/>
          <w:sz w:val="21"/>
          <w:szCs w:val="21"/>
        </w:rPr>
        <w:t>del</w:t>
      </w:r>
      <w:r w:rsidRPr="001D5134">
        <w:rPr>
          <w:rFonts w:ascii="Abadi" w:hAnsi="Abadi"/>
          <w:b w:val="0"/>
          <w:bCs w:val="0"/>
          <w:spacing w:val="58"/>
          <w:w w:val="150"/>
          <w:sz w:val="21"/>
          <w:szCs w:val="21"/>
        </w:rPr>
        <w:t xml:space="preserve"> </w:t>
      </w:r>
      <w:r w:rsidRPr="001D5134">
        <w:rPr>
          <w:rFonts w:ascii="Abadi" w:hAnsi="Abadi"/>
          <w:b w:val="0"/>
          <w:bCs w:val="0"/>
          <w:sz w:val="21"/>
          <w:szCs w:val="21"/>
        </w:rPr>
        <w:t>Estado</w:t>
      </w:r>
      <w:r w:rsidRPr="001D5134">
        <w:rPr>
          <w:rFonts w:ascii="Abadi" w:hAnsi="Abadi"/>
          <w:b w:val="0"/>
          <w:bCs w:val="0"/>
          <w:spacing w:val="58"/>
          <w:w w:val="150"/>
          <w:sz w:val="21"/>
          <w:szCs w:val="21"/>
        </w:rPr>
        <w:t xml:space="preserve"> </w:t>
      </w:r>
      <w:r w:rsidRPr="001D5134">
        <w:rPr>
          <w:rFonts w:ascii="Abadi" w:hAnsi="Abadi"/>
          <w:b w:val="0"/>
          <w:bCs w:val="0"/>
          <w:sz w:val="21"/>
          <w:szCs w:val="21"/>
        </w:rPr>
        <w:t>de</w:t>
      </w:r>
      <w:r w:rsidRPr="001D5134">
        <w:rPr>
          <w:rFonts w:ascii="Abadi" w:hAnsi="Abadi"/>
          <w:b w:val="0"/>
          <w:bCs w:val="0"/>
          <w:spacing w:val="58"/>
          <w:w w:val="150"/>
          <w:sz w:val="21"/>
          <w:szCs w:val="21"/>
        </w:rPr>
        <w:t xml:space="preserve"> </w:t>
      </w:r>
      <w:r w:rsidRPr="001D5134">
        <w:rPr>
          <w:rFonts w:ascii="Abadi" w:hAnsi="Abadi"/>
          <w:b w:val="0"/>
          <w:bCs w:val="0"/>
          <w:sz w:val="21"/>
          <w:szCs w:val="21"/>
        </w:rPr>
        <w:t>Guanajuato,</w:t>
      </w:r>
      <w:r w:rsidRPr="001D5134">
        <w:rPr>
          <w:rFonts w:ascii="Abadi" w:hAnsi="Abadi"/>
          <w:b w:val="0"/>
          <w:bCs w:val="0"/>
          <w:spacing w:val="58"/>
          <w:w w:val="150"/>
          <w:sz w:val="21"/>
          <w:szCs w:val="21"/>
        </w:rPr>
        <w:t xml:space="preserve"> </w:t>
      </w:r>
      <w:r w:rsidRPr="001D5134">
        <w:rPr>
          <w:rFonts w:ascii="Abadi" w:hAnsi="Abadi"/>
          <w:b w:val="0"/>
          <w:bCs w:val="0"/>
          <w:sz w:val="21"/>
          <w:szCs w:val="21"/>
        </w:rPr>
        <w:t>a</w:t>
      </w:r>
      <w:r w:rsidRPr="001D5134">
        <w:rPr>
          <w:rFonts w:ascii="Abadi" w:hAnsi="Abadi"/>
          <w:b w:val="0"/>
          <w:bCs w:val="0"/>
          <w:spacing w:val="58"/>
          <w:w w:val="150"/>
          <w:sz w:val="21"/>
          <w:szCs w:val="21"/>
        </w:rPr>
        <w:t xml:space="preserve"> </w:t>
      </w:r>
      <w:r w:rsidRPr="001D5134">
        <w:rPr>
          <w:rFonts w:ascii="Abadi" w:hAnsi="Abadi"/>
          <w:b w:val="0"/>
          <w:bCs w:val="0"/>
          <w:sz w:val="21"/>
          <w:szCs w:val="21"/>
        </w:rPr>
        <w:t>la</w:t>
      </w:r>
      <w:r w:rsidRPr="001D5134">
        <w:rPr>
          <w:rFonts w:ascii="Abadi" w:hAnsi="Abadi"/>
          <w:b w:val="0"/>
          <w:bCs w:val="0"/>
          <w:spacing w:val="-1"/>
          <w:sz w:val="21"/>
          <w:szCs w:val="21"/>
        </w:rPr>
        <w:t xml:space="preserve"> </w:t>
      </w:r>
      <w:r w:rsidRPr="001D5134">
        <w:rPr>
          <w:rFonts w:ascii="Abadi" w:hAnsi="Abadi"/>
          <w:b w:val="0"/>
          <w:bCs w:val="0"/>
          <w:sz w:val="21"/>
          <w:szCs w:val="21"/>
        </w:rPr>
        <w:t>infraestructura</w:t>
      </w:r>
      <w:r w:rsidRPr="001D5134">
        <w:rPr>
          <w:rFonts w:ascii="Abadi" w:hAnsi="Abadi"/>
          <w:b w:val="0"/>
          <w:bCs w:val="0"/>
          <w:spacing w:val="-10"/>
          <w:sz w:val="21"/>
          <w:szCs w:val="21"/>
        </w:rPr>
        <w:t xml:space="preserve"> </w:t>
      </w:r>
      <w:r w:rsidRPr="001D5134">
        <w:rPr>
          <w:rFonts w:ascii="Abadi" w:hAnsi="Abadi"/>
          <w:b w:val="0"/>
          <w:bCs w:val="0"/>
          <w:sz w:val="21"/>
          <w:szCs w:val="21"/>
        </w:rPr>
        <w:t>pública</w:t>
      </w:r>
      <w:r w:rsidRPr="001D5134">
        <w:rPr>
          <w:rFonts w:ascii="Abadi" w:hAnsi="Abadi"/>
          <w:b w:val="0"/>
          <w:bCs w:val="0"/>
          <w:spacing w:val="-10"/>
          <w:sz w:val="21"/>
          <w:szCs w:val="21"/>
        </w:rPr>
        <w:t xml:space="preserve"> </w:t>
      </w:r>
      <w:r w:rsidRPr="001D5134">
        <w:rPr>
          <w:rFonts w:ascii="Abadi" w:hAnsi="Abadi"/>
          <w:b w:val="0"/>
          <w:bCs w:val="0"/>
          <w:sz w:val="21"/>
          <w:szCs w:val="21"/>
        </w:rPr>
        <w:t>municipal</w:t>
      </w:r>
      <w:r w:rsidRPr="001D5134">
        <w:rPr>
          <w:rFonts w:ascii="Abadi" w:hAnsi="Abadi"/>
          <w:b w:val="0"/>
          <w:bCs w:val="0"/>
          <w:spacing w:val="-10"/>
          <w:sz w:val="21"/>
          <w:szCs w:val="21"/>
        </w:rPr>
        <w:t xml:space="preserve"> </w:t>
      </w:r>
      <w:r w:rsidRPr="001D5134">
        <w:rPr>
          <w:rFonts w:ascii="Abadi" w:hAnsi="Abadi"/>
          <w:b w:val="0"/>
          <w:bCs w:val="0"/>
          <w:sz w:val="21"/>
          <w:szCs w:val="21"/>
        </w:rPr>
        <w:t>respecto</w:t>
      </w:r>
      <w:r w:rsidRPr="001D5134">
        <w:rPr>
          <w:rFonts w:ascii="Abadi" w:hAnsi="Abadi"/>
          <w:b w:val="0"/>
          <w:bCs w:val="0"/>
          <w:spacing w:val="-10"/>
          <w:sz w:val="21"/>
          <w:szCs w:val="21"/>
        </w:rPr>
        <w:t xml:space="preserve"> </w:t>
      </w:r>
      <w:r w:rsidRPr="001D5134">
        <w:rPr>
          <w:rFonts w:ascii="Abadi" w:hAnsi="Abadi"/>
          <w:b w:val="0"/>
          <w:bCs w:val="0"/>
          <w:sz w:val="21"/>
          <w:szCs w:val="21"/>
        </w:rPr>
        <w:t>de</w:t>
      </w:r>
      <w:r w:rsidRPr="001D5134">
        <w:rPr>
          <w:rFonts w:ascii="Abadi" w:hAnsi="Abadi"/>
          <w:b w:val="0"/>
          <w:bCs w:val="0"/>
          <w:spacing w:val="-10"/>
          <w:sz w:val="21"/>
          <w:szCs w:val="21"/>
        </w:rPr>
        <w:t xml:space="preserve"> </w:t>
      </w:r>
      <w:r w:rsidRPr="001D5134">
        <w:rPr>
          <w:rFonts w:ascii="Abadi" w:hAnsi="Abadi"/>
          <w:b w:val="0"/>
          <w:bCs w:val="0"/>
          <w:sz w:val="21"/>
          <w:szCs w:val="21"/>
        </w:rPr>
        <w:t>las</w:t>
      </w:r>
      <w:r w:rsidRPr="001D5134">
        <w:rPr>
          <w:rFonts w:ascii="Abadi" w:hAnsi="Abadi"/>
          <w:b w:val="0"/>
          <w:bCs w:val="0"/>
          <w:spacing w:val="-10"/>
          <w:sz w:val="21"/>
          <w:szCs w:val="21"/>
        </w:rPr>
        <w:t xml:space="preserve"> </w:t>
      </w:r>
      <w:r w:rsidRPr="001D5134">
        <w:rPr>
          <w:rFonts w:ascii="Abadi" w:hAnsi="Abadi"/>
          <w:b w:val="0"/>
          <w:bCs w:val="0"/>
          <w:sz w:val="21"/>
          <w:szCs w:val="21"/>
        </w:rPr>
        <w:t>operaciones</w:t>
      </w:r>
      <w:r w:rsidRPr="001D5134">
        <w:rPr>
          <w:rFonts w:ascii="Abadi" w:hAnsi="Abadi"/>
          <w:b w:val="0"/>
          <w:bCs w:val="0"/>
          <w:spacing w:val="-10"/>
          <w:sz w:val="21"/>
          <w:szCs w:val="21"/>
        </w:rPr>
        <w:t xml:space="preserve"> </w:t>
      </w:r>
      <w:r w:rsidRPr="001D5134">
        <w:rPr>
          <w:rFonts w:ascii="Abadi" w:hAnsi="Abadi"/>
          <w:b w:val="0"/>
          <w:bCs w:val="0"/>
          <w:sz w:val="21"/>
          <w:szCs w:val="21"/>
        </w:rPr>
        <w:t>realizadas</w:t>
      </w:r>
      <w:r w:rsidRPr="001D5134">
        <w:rPr>
          <w:rFonts w:ascii="Abadi" w:hAnsi="Abadi"/>
          <w:b w:val="0"/>
          <w:bCs w:val="0"/>
          <w:spacing w:val="-10"/>
          <w:sz w:val="21"/>
          <w:szCs w:val="21"/>
        </w:rPr>
        <w:t xml:space="preserve"> </w:t>
      </w:r>
      <w:r w:rsidRPr="001D5134">
        <w:rPr>
          <w:rFonts w:ascii="Abadi" w:hAnsi="Abadi"/>
          <w:b w:val="0"/>
          <w:bCs w:val="0"/>
          <w:sz w:val="21"/>
          <w:szCs w:val="21"/>
        </w:rPr>
        <w:t>por</w:t>
      </w:r>
      <w:r w:rsidRPr="001D5134">
        <w:rPr>
          <w:rFonts w:ascii="Abadi" w:hAnsi="Abadi"/>
          <w:b w:val="0"/>
          <w:bCs w:val="0"/>
          <w:spacing w:val="-1"/>
          <w:sz w:val="21"/>
          <w:szCs w:val="21"/>
        </w:rPr>
        <w:t xml:space="preserve"> </w:t>
      </w:r>
      <w:r w:rsidRPr="001D5134">
        <w:rPr>
          <w:rFonts w:ascii="Abadi" w:hAnsi="Abadi"/>
          <w:b w:val="0"/>
          <w:bCs w:val="0"/>
          <w:sz w:val="21"/>
          <w:szCs w:val="21"/>
        </w:rPr>
        <w:t>la</w:t>
      </w:r>
      <w:r w:rsidRPr="001D5134">
        <w:rPr>
          <w:rFonts w:ascii="Abadi" w:hAnsi="Abadi"/>
          <w:b w:val="0"/>
          <w:bCs w:val="0"/>
          <w:spacing w:val="15"/>
          <w:sz w:val="21"/>
          <w:szCs w:val="21"/>
        </w:rPr>
        <w:t xml:space="preserve"> </w:t>
      </w:r>
      <w:r w:rsidRPr="001D5134">
        <w:rPr>
          <w:rFonts w:ascii="Abadi" w:hAnsi="Abadi"/>
          <w:b w:val="0"/>
          <w:bCs w:val="0"/>
          <w:sz w:val="21"/>
          <w:szCs w:val="21"/>
        </w:rPr>
        <w:t>administración</w:t>
      </w:r>
      <w:r w:rsidRPr="001D5134">
        <w:rPr>
          <w:rFonts w:ascii="Abadi" w:hAnsi="Abadi"/>
          <w:b w:val="0"/>
          <w:bCs w:val="0"/>
          <w:spacing w:val="16"/>
          <w:sz w:val="21"/>
          <w:szCs w:val="21"/>
        </w:rPr>
        <w:t xml:space="preserve"> </w:t>
      </w:r>
      <w:r w:rsidRPr="001D5134">
        <w:rPr>
          <w:rFonts w:ascii="Abadi" w:hAnsi="Abadi"/>
          <w:b w:val="0"/>
          <w:bCs w:val="0"/>
          <w:sz w:val="21"/>
          <w:szCs w:val="21"/>
        </w:rPr>
        <w:t>municipal</w:t>
      </w:r>
      <w:r w:rsidRPr="001D5134">
        <w:rPr>
          <w:rFonts w:ascii="Abadi" w:hAnsi="Abadi"/>
          <w:b w:val="0"/>
          <w:bCs w:val="0"/>
          <w:spacing w:val="15"/>
          <w:sz w:val="21"/>
          <w:szCs w:val="21"/>
        </w:rPr>
        <w:t xml:space="preserve"> </w:t>
      </w:r>
      <w:r w:rsidRPr="001D5134">
        <w:rPr>
          <w:rFonts w:ascii="Abadi" w:hAnsi="Abadi"/>
          <w:b w:val="0"/>
          <w:bCs w:val="0"/>
          <w:sz w:val="21"/>
          <w:szCs w:val="21"/>
        </w:rPr>
        <w:t>de</w:t>
      </w:r>
      <w:r w:rsidRPr="001D5134">
        <w:rPr>
          <w:rFonts w:ascii="Abadi" w:hAnsi="Abadi"/>
          <w:b w:val="0"/>
          <w:bCs w:val="0"/>
          <w:spacing w:val="15"/>
          <w:sz w:val="21"/>
          <w:szCs w:val="21"/>
        </w:rPr>
        <w:t xml:space="preserve"> </w:t>
      </w:r>
      <w:r w:rsidRPr="001D5134">
        <w:rPr>
          <w:rFonts w:ascii="Abadi" w:hAnsi="Abadi"/>
          <w:b w:val="0"/>
          <w:bCs w:val="0"/>
          <w:sz w:val="21"/>
          <w:szCs w:val="21"/>
        </w:rPr>
        <w:t>Villagrán,</w:t>
      </w:r>
      <w:r w:rsidRPr="001D5134">
        <w:rPr>
          <w:rFonts w:ascii="Abadi" w:hAnsi="Abadi"/>
          <w:b w:val="0"/>
          <w:bCs w:val="0"/>
          <w:spacing w:val="15"/>
          <w:sz w:val="21"/>
          <w:szCs w:val="21"/>
        </w:rPr>
        <w:t xml:space="preserve"> </w:t>
      </w:r>
      <w:r w:rsidRPr="001D5134">
        <w:rPr>
          <w:rFonts w:ascii="Abadi" w:hAnsi="Abadi"/>
          <w:b w:val="0"/>
          <w:bCs w:val="0"/>
          <w:sz w:val="21"/>
          <w:szCs w:val="21"/>
        </w:rPr>
        <w:t>Gto.,</w:t>
      </w:r>
      <w:r w:rsidRPr="001D5134">
        <w:rPr>
          <w:rFonts w:ascii="Abadi" w:hAnsi="Abadi"/>
          <w:b w:val="0"/>
          <w:bCs w:val="0"/>
          <w:spacing w:val="15"/>
          <w:sz w:val="21"/>
          <w:szCs w:val="21"/>
        </w:rPr>
        <w:t xml:space="preserve"> </w:t>
      </w:r>
      <w:r w:rsidRPr="001D5134">
        <w:rPr>
          <w:rFonts w:ascii="Abadi" w:hAnsi="Abadi"/>
          <w:b w:val="0"/>
          <w:bCs w:val="0"/>
          <w:sz w:val="21"/>
          <w:szCs w:val="21"/>
        </w:rPr>
        <w:t>correspondientes</w:t>
      </w:r>
      <w:r w:rsidRPr="001D5134">
        <w:rPr>
          <w:rFonts w:ascii="Abadi" w:hAnsi="Abadi"/>
          <w:b w:val="0"/>
          <w:bCs w:val="0"/>
          <w:spacing w:val="16"/>
          <w:sz w:val="21"/>
          <w:szCs w:val="21"/>
        </w:rPr>
        <w:t xml:space="preserve"> </w:t>
      </w:r>
      <w:r w:rsidRPr="001D5134">
        <w:rPr>
          <w:rFonts w:ascii="Abadi" w:hAnsi="Abadi"/>
          <w:b w:val="0"/>
          <w:bCs w:val="0"/>
          <w:sz w:val="21"/>
          <w:szCs w:val="21"/>
        </w:rPr>
        <w:t>al</w:t>
      </w:r>
      <w:r w:rsidRPr="001D5134">
        <w:rPr>
          <w:rFonts w:ascii="Abadi" w:hAnsi="Abadi"/>
          <w:b w:val="0"/>
          <w:bCs w:val="0"/>
          <w:spacing w:val="15"/>
          <w:sz w:val="21"/>
          <w:szCs w:val="21"/>
        </w:rPr>
        <w:t xml:space="preserve"> </w:t>
      </w:r>
      <w:r w:rsidRPr="001D5134">
        <w:rPr>
          <w:rFonts w:ascii="Abadi" w:hAnsi="Abadi"/>
          <w:b w:val="0"/>
          <w:bCs w:val="0"/>
          <w:sz w:val="21"/>
          <w:szCs w:val="21"/>
        </w:rPr>
        <w:t>periodo</w:t>
      </w:r>
      <w:r w:rsidRPr="001D5134">
        <w:rPr>
          <w:rFonts w:ascii="Abadi" w:hAnsi="Abadi"/>
          <w:b w:val="0"/>
          <w:bCs w:val="0"/>
          <w:spacing w:val="-1"/>
          <w:sz w:val="21"/>
          <w:szCs w:val="21"/>
        </w:rPr>
        <w:t xml:space="preserve"> </w:t>
      </w:r>
      <w:r w:rsidRPr="001D5134">
        <w:rPr>
          <w:rFonts w:ascii="Abadi" w:hAnsi="Abadi"/>
          <w:b w:val="0"/>
          <w:bCs w:val="0"/>
          <w:sz w:val="21"/>
          <w:szCs w:val="21"/>
        </w:rPr>
        <w:t>comprendido</w:t>
      </w:r>
      <w:r w:rsidRPr="001D5134">
        <w:rPr>
          <w:rFonts w:ascii="Abadi" w:hAnsi="Abadi"/>
          <w:b w:val="0"/>
          <w:bCs w:val="0"/>
          <w:spacing w:val="16"/>
          <w:sz w:val="21"/>
          <w:szCs w:val="21"/>
        </w:rPr>
        <w:t xml:space="preserve"> </w:t>
      </w:r>
      <w:r w:rsidRPr="001D5134">
        <w:rPr>
          <w:rFonts w:ascii="Abadi" w:hAnsi="Abadi"/>
          <w:b w:val="0"/>
          <w:bCs w:val="0"/>
          <w:sz w:val="21"/>
          <w:szCs w:val="21"/>
        </w:rPr>
        <w:t>del</w:t>
      </w:r>
      <w:r w:rsidRPr="001D5134">
        <w:rPr>
          <w:rFonts w:ascii="Abadi" w:hAnsi="Abadi"/>
          <w:b w:val="0"/>
          <w:bCs w:val="0"/>
          <w:spacing w:val="16"/>
          <w:sz w:val="21"/>
          <w:szCs w:val="21"/>
        </w:rPr>
        <w:t xml:space="preserve"> </w:t>
      </w:r>
      <w:r w:rsidRPr="001D5134">
        <w:rPr>
          <w:rFonts w:ascii="Abadi" w:hAnsi="Abadi"/>
          <w:b w:val="0"/>
          <w:bCs w:val="0"/>
          <w:sz w:val="21"/>
          <w:szCs w:val="21"/>
        </w:rPr>
        <w:t>1</w:t>
      </w:r>
      <w:r w:rsidRPr="001D5134">
        <w:rPr>
          <w:rFonts w:ascii="Abadi" w:hAnsi="Abadi"/>
          <w:b w:val="0"/>
          <w:bCs w:val="0"/>
          <w:spacing w:val="16"/>
          <w:sz w:val="21"/>
          <w:szCs w:val="21"/>
        </w:rPr>
        <w:t xml:space="preserve"> </w:t>
      </w:r>
      <w:r w:rsidRPr="001D5134">
        <w:rPr>
          <w:rFonts w:ascii="Abadi" w:hAnsi="Abadi"/>
          <w:b w:val="0"/>
          <w:bCs w:val="0"/>
          <w:sz w:val="21"/>
          <w:szCs w:val="21"/>
        </w:rPr>
        <w:t>de</w:t>
      </w:r>
      <w:r w:rsidRPr="001D5134">
        <w:rPr>
          <w:rFonts w:ascii="Abadi" w:hAnsi="Abadi"/>
          <w:b w:val="0"/>
          <w:bCs w:val="0"/>
          <w:spacing w:val="16"/>
          <w:sz w:val="21"/>
          <w:szCs w:val="21"/>
        </w:rPr>
        <w:t xml:space="preserve"> </w:t>
      </w:r>
      <w:r w:rsidRPr="001D5134">
        <w:rPr>
          <w:rFonts w:ascii="Abadi" w:hAnsi="Abadi"/>
          <w:b w:val="0"/>
          <w:bCs w:val="0"/>
          <w:sz w:val="21"/>
          <w:szCs w:val="21"/>
        </w:rPr>
        <w:t>enero</w:t>
      </w:r>
      <w:r w:rsidRPr="001D5134">
        <w:rPr>
          <w:rFonts w:ascii="Abadi" w:hAnsi="Abadi"/>
          <w:b w:val="0"/>
          <w:bCs w:val="0"/>
          <w:spacing w:val="16"/>
          <w:sz w:val="21"/>
          <w:szCs w:val="21"/>
        </w:rPr>
        <w:t xml:space="preserve"> </w:t>
      </w:r>
      <w:r w:rsidRPr="001D5134">
        <w:rPr>
          <w:rFonts w:ascii="Abadi" w:hAnsi="Abadi"/>
          <w:b w:val="0"/>
          <w:bCs w:val="0"/>
          <w:sz w:val="21"/>
          <w:szCs w:val="21"/>
        </w:rPr>
        <w:t>al</w:t>
      </w:r>
      <w:r w:rsidRPr="001D5134">
        <w:rPr>
          <w:rFonts w:ascii="Abadi" w:hAnsi="Abadi"/>
          <w:b w:val="0"/>
          <w:bCs w:val="0"/>
          <w:spacing w:val="16"/>
          <w:sz w:val="21"/>
          <w:szCs w:val="21"/>
        </w:rPr>
        <w:t xml:space="preserve"> </w:t>
      </w:r>
      <w:r w:rsidRPr="001D5134">
        <w:rPr>
          <w:rFonts w:ascii="Abadi" w:hAnsi="Abadi"/>
          <w:b w:val="0"/>
          <w:bCs w:val="0"/>
          <w:sz w:val="21"/>
          <w:szCs w:val="21"/>
        </w:rPr>
        <w:t>31</w:t>
      </w:r>
      <w:r w:rsidRPr="001D5134">
        <w:rPr>
          <w:rFonts w:ascii="Abadi" w:hAnsi="Abadi"/>
          <w:b w:val="0"/>
          <w:bCs w:val="0"/>
          <w:spacing w:val="16"/>
          <w:sz w:val="21"/>
          <w:szCs w:val="21"/>
        </w:rPr>
        <w:t xml:space="preserve"> </w:t>
      </w:r>
      <w:r w:rsidRPr="001D5134">
        <w:rPr>
          <w:rFonts w:ascii="Abadi" w:hAnsi="Abadi"/>
          <w:b w:val="0"/>
          <w:bCs w:val="0"/>
          <w:sz w:val="21"/>
          <w:szCs w:val="21"/>
        </w:rPr>
        <w:t>de</w:t>
      </w:r>
      <w:r w:rsidRPr="001D5134">
        <w:rPr>
          <w:rFonts w:ascii="Abadi" w:hAnsi="Abadi"/>
          <w:b w:val="0"/>
          <w:bCs w:val="0"/>
          <w:spacing w:val="16"/>
          <w:sz w:val="21"/>
          <w:szCs w:val="21"/>
        </w:rPr>
        <w:t xml:space="preserve"> </w:t>
      </w:r>
      <w:r w:rsidRPr="001D5134">
        <w:rPr>
          <w:rFonts w:ascii="Abadi" w:hAnsi="Abadi"/>
          <w:b w:val="0"/>
          <w:bCs w:val="0"/>
          <w:sz w:val="21"/>
          <w:szCs w:val="21"/>
        </w:rPr>
        <w:t>diciembre</w:t>
      </w:r>
      <w:r w:rsidRPr="001D5134">
        <w:rPr>
          <w:rFonts w:ascii="Abadi" w:hAnsi="Abadi"/>
          <w:b w:val="0"/>
          <w:bCs w:val="0"/>
          <w:spacing w:val="16"/>
          <w:sz w:val="21"/>
          <w:szCs w:val="21"/>
        </w:rPr>
        <w:t xml:space="preserve"> </w:t>
      </w:r>
      <w:r w:rsidRPr="001D5134">
        <w:rPr>
          <w:rFonts w:ascii="Abadi" w:hAnsi="Abadi"/>
          <w:b w:val="0"/>
          <w:bCs w:val="0"/>
          <w:sz w:val="21"/>
          <w:szCs w:val="21"/>
        </w:rPr>
        <w:t>del</w:t>
      </w:r>
      <w:r w:rsidRPr="001D5134">
        <w:rPr>
          <w:rFonts w:ascii="Abadi" w:hAnsi="Abadi"/>
          <w:b w:val="0"/>
          <w:bCs w:val="0"/>
          <w:spacing w:val="16"/>
          <w:sz w:val="21"/>
          <w:szCs w:val="21"/>
        </w:rPr>
        <w:t xml:space="preserve"> </w:t>
      </w:r>
      <w:r w:rsidRPr="001D5134">
        <w:rPr>
          <w:rFonts w:ascii="Abadi" w:hAnsi="Abadi"/>
          <w:b w:val="0"/>
          <w:bCs w:val="0"/>
          <w:sz w:val="21"/>
          <w:szCs w:val="21"/>
        </w:rPr>
        <w:t>ejercicio</w:t>
      </w:r>
      <w:r w:rsidRPr="001D5134">
        <w:rPr>
          <w:rFonts w:ascii="Abadi" w:hAnsi="Abadi"/>
          <w:b w:val="0"/>
          <w:bCs w:val="0"/>
          <w:spacing w:val="16"/>
          <w:sz w:val="21"/>
          <w:szCs w:val="21"/>
        </w:rPr>
        <w:t xml:space="preserve"> </w:t>
      </w:r>
      <w:r w:rsidRPr="001D5134">
        <w:rPr>
          <w:rFonts w:ascii="Abadi" w:hAnsi="Abadi"/>
          <w:b w:val="0"/>
          <w:bCs w:val="0"/>
          <w:sz w:val="21"/>
          <w:szCs w:val="21"/>
        </w:rPr>
        <w:t>fiscal</w:t>
      </w:r>
      <w:r w:rsidRPr="001D5134">
        <w:rPr>
          <w:rFonts w:ascii="Abadi" w:hAnsi="Abadi"/>
          <w:b w:val="0"/>
          <w:bCs w:val="0"/>
          <w:spacing w:val="15"/>
          <w:sz w:val="21"/>
          <w:szCs w:val="21"/>
        </w:rPr>
        <w:t xml:space="preserve"> </w:t>
      </w:r>
      <w:r w:rsidRPr="001D5134">
        <w:rPr>
          <w:rFonts w:ascii="Abadi" w:hAnsi="Abadi"/>
          <w:b w:val="0"/>
          <w:bCs w:val="0"/>
          <w:sz w:val="21"/>
          <w:szCs w:val="21"/>
        </w:rPr>
        <w:t>del</w:t>
      </w:r>
      <w:r w:rsidRPr="001D5134">
        <w:rPr>
          <w:rFonts w:ascii="Abadi" w:hAnsi="Abadi"/>
          <w:b w:val="0"/>
          <w:bCs w:val="0"/>
          <w:spacing w:val="16"/>
          <w:sz w:val="21"/>
          <w:szCs w:val="21"/>
        </w:rPr>
        <w:t xml:space="preserve"> </w:t>
      </w:r>
      <w:r w:rsidRPr="001D5134">
        <w:rPr>
          <w:rFonts w:ascii="Abadi" w:hAnsi="Abadi"/>
          <w:b w:val="0"/>
          <w:bCs w:val="0"/>
          <w:sz w:val="21"/>
          <w:szCs w:val="21"/>
        </w:rPr>
        <w:t>año</w:t>
      </w:r>
      <w:r w:rsidRPr="001D5134">
        <w:rPr>
          <w:rFonts w:ascii="Abadi" w:hAnsi="Abadi"/>
          <w:b w:val="0"/>
          <w:bCs w:val="0"/>
          <w:spacing w:val="-1"/>
          <w:sz w:val="21"/>
          <w:szCs w:val="21"/>
        </w:rPr>
        <w:t xml:space="preserve"> </w:t>
      </w:r>
      <w:r w:rsidRPr="001D5134">
        <w:rPr>
          <w:rFonts w:ascii="Abadi" w:hAnsi="Abadi"/>
          <w:b w:val="0"/>
          <w:bCs w:val="0"/>
          <w:sz w:val="21"/>
          <w:szCs w:val="21"/>
        </w:rPr>
        <w:t>2020.</w:t>
      </w:r>
      <w:r>
        <w:rPr>
          <w:rFonts w:ascii="Abadi" w:hAnsi="Abadi"/>
          <w:sz w:val="21"/>
          <w:szCs w:val="21"/>
        </w:rPr>
        <w:t xml:space="preserve"> </w:t>
      </w:r>
      <w:r w:rsidRPr="009A3D12">
        <w:rPr>
          <w:rFonts w:ascii="Abadi" w:hAnsi="Abadi"/>
          <w:sz w:val="21"/>
          <w:szCs w:val="21"/>
        </w:rPr>
        <w:t>LII.-</w:t>
      </w:r>
      <w:r>
        <w:rPr>
          <w:rFonts w:ascii="Abadi" w:hAnsi="Abadi"/>
          <w:sz w:val="21"/>
          <w:szCs w:val="21"/>
        </w:rPr>
        <w:t xml:space="preserve"> </w:t>
      </w:r>
      <w:r w:rsidRPr="001D5134">
        <w:rPr>
          <w:rFonts w:ascii="Abadi" w:hAnsi="Abadi"/>
          <w:b w:val="0"/>
          <w:bCs w:val="0"/>
          <w:sz w:val="21"/>
          <w:szCs w:val="21"/>
        </w:rPr>
        <w:t>Discusión</w:t>
      </w:r>
      <w:r w:rsidRPr="001D5134">
        <w:rPr>
          <w:rFonts w:ascii="Abadi" w:hAnsi="Abadi"/>
          <w:b w:val="0"/>
          <w:bCs w:val="0"/>
          <w:spacing w:val="11"/>
          <w:sz w:val="21"/>
          <w:szCs w:val="21"/>
        </w:rPr>
        <w:t xml:space="preserve"> </w:t>
      </w:r>
      <w:r w:rsidRPr="001D5134">
        <w:rPr>
          <w:rFonts w:ascii="Abadi" w:hAnsi="Abadi"/>
          <w:b w:val="0"/>
          <w:bCs w:val="0"/>
          <w:sz w:val="21"/>
          <w:szCs w:val="21"/>
        </w:rPr>
        <w:t>y,</w:t>
      </w:r>
      <w:r w:rsidRPr="001D5134">
        <w:rPr>
          <w:rFonts w:ascii="Abadi" w:hAnsi="Abadi"/>
          <w:b w:val="0"/>
          <w:bCs w:val="0"/>
          <w:spacing w:val="11"/>
          <w:sz w:val="21"/>
          <w:szCs w:val="21"/>
        </w:rPr>
        <w:t xml:space="preserve"> </w:t>
      </w:r>
      <w:r w:rsidRPr="001D5134">
        <w:rPr>
          <w:rFonts w:ascii="Abadi" w:hAnsi="Abadi"/>
          <w:b w:val="0"/>
          <w:bCs w:val="0"/>
          <w:sz w:val="21"/>
          <w:szCs w:val="21"/>
        </w:rPr>
        <w:t>en</w:t>
      </w:r>
      <w:r w:rsidRPr="001D5134">
        <w:rPr>
          <w:rFonts w:ascii="Abadi" w:hAnsi="Abadi"/>
          <w:b w:val="0"/>
          <w:bCs w:val="0"/>
          <w:spacing w:val="11"/>
          <w:sz w:val="21"/>
          <w:szCs w:val="21"/>
        </w:rPr>
        <w:t xml:space="preserve"> </w:t>
      </w:r>
      <w:r w:rsidRPr="001D5134">
        <w:rPr>
          <w:rFonts w:ascii="Abadi" w:hAnsi="Abadi"/>
          <w:b w:val="0"/>
          <w:bCs w:val="0"/>
          <w:sz w:val="21"/>
          <w:szCs w:val="21"/>
        </w:rPr>
        <w:t>su</w:t>
      </w:r>
      <w:r w:rsidRPr="001D5134">
        <w:rPr>
          <w:rFonts w:ascii="Abadi" w:hAnsi="Abadi"/>
          <w:b w:val="0"/>
          <w:bCs w:val="0"/>
          <w:spacing w:val="11"/>
          <w:sz w:val="21"/>
          <w:szCs w:val="21"/>
        </w:rPr>
        <w:t xml:space="preserve"> </w:t>
      </w:r>
      <w:r w:rsidRPr="001D5134">
        <w:rPr>
          <w:rFonts w:ascii="Abadi" w:hAnsi="Abadi"/>
          <w:b w:val="0"/>
          <w:bCs w:val="0"/>
          <w:sz w:val="21"/>
          <w:szCs w:val="21"/>
        </w:rPr>
        <w:t>caso,</w:t>
      </w:r>
      <w:r w:rsidRPr="001D5134">
        <w:rPr>
          <w:rFonts w:ascii="Abadi" w:hAnsi="Abadi"/>
          <w:b w:val="0"/>
          <w:bCs w:val="0"/>
          <w:spacing w:val="11"/>
          <w:sz w:val="21"/>
          <w:szCs w:val="21"/>
        </w:rPr>
        <w:t xml:space="preserve"> </w:t>
      </w:r>
      <w:r w:rsidRPr="001D5134">
        <w:rPr>
          <w:rFonts w:ascii="Abadi" w:hAnsi="Abadi"/>
          <w:b w:val="0"/>
          <w:bCs w:val="0"/>
          <w:sz w:val="21"/>
          <w:szCs w:val="21"/>
        </w:rPr>
        <w:t>aprobación</w:t>
      </w:r>
      <w:r w:rsidRPr="001D5134">
        <w:rPr>
          <w:rFonts w:ascii="Abadi" w:hAnsi="Abadi"/>
          <w:b w:val="0"/>
          <w:bCs w:val="0"/>
          <w:spacing w:val="11"/>
          <w:sz w:val="21"/>
          <w:szCs w:val="21"/>
        </w:rPr>
        <w:t xml:space="preserve"> </w:t>
      </w:r>
      <w:r w:rsidRPr="001D5134">
        <w:rPr>
          <w:rFonts w:ascii="Abadi" w:hAnsi="Abadi"/>
          <w:b w:val="0"/>
          <w:bCs w:val="0"/>
          <w:sz w:val="21"/>
          <w:szCs w:val="21"/>
        </w:rPr>
        <w:t>del</w:t>
      </w:r>
      <w:r w:rsidRPr="001D5134">
        <w:rPr>
          <w:rFonts w:ascii="Abadi" w:hAnsi="Abadi"/>
          <w:b w:val="0"/>
          <w:bCs w:val="0"/>
          <w:spacing w:val="11"/>
          <w:sz w:val="21"/>
          <w:szCs w:val="21"/>
        </w:rPr>
        <w:t xml:space="preserve"> </w:t>
      </w:r>
      <w:r w:rsidRPr="001D5134">
        <w:rPr>
          <w:rFonts w:ascii="Abadi" w:hAnsi="Abadi"/>
          <w:b w:val="0"/>
          <w:bCs w:val="0"/>
          <w:sz w:val="21"/>
          <w:szCs w:val="21"/>
        </w:rPr>
        <w:t>dictamen</w:t>
      </w:r>
      <w:r w:rsidRPr="001D5134">
        <w:rPr>
          <w:rFonts w:ascii="Abadi" w:hAnsi="Abadi"/>
          <w:b w:val="0"/>
          <w:bCs w:val="0"/>
          <w:spacing w:val="11"/>
          <w:sz w:val="21"/>
          <w:szCs w:val="21"/>
        </w:rPr>
        <w:t xml:space="preserve"> </w:t>
      </w:r>
      <w:r w:rsidRPr="001D5134">
        <w:rPr>
          <w:rFonts w:ascii="Abadi" w:hAnsi="Abadi"/>
          <w:b w:val="0"/>
          <w:bCs w:val="0"/>
          <w:sz w:val="21"/>
          <w:szCs w:val="21"/>
        </w:rPr>
        <w:t>suscrito</w:t>
      </w:r>
      <w:r w:rsidRPr="001D5134">
        <w:rPr>
          <w:rFonts w:ascii="Abadi" w:hAnsi="Abadi"/>
          <w:b w:val="0"/>
          <w:bCs w:val="0"/>
          <w:spacing w:val="11"/>
          <w:sz w:val="21"/>
          <w:szCs w:val="21"/>
        </w:rPr>
        <w:t xml:space="preserve"> </w:t>
      </w:r>
      <w:r w:rsidRPr="001D5134">
        <w:rPr>
          <w:rFonts w:ascii="Abadi" w:hAnsi="Abadi"/>
          <w:b w:val="0"/>
          <w:bCs w:val="0"/>
          <w:sz w:val="21"/>
          <w:szCs w:val="21"/>
        </w:rPr>
        <w:t>por</w:t>
      </w:r>
      <w:r w:rsidRPr="001D5134">
        <w:rPr>
          <w:rFonts w:ascii="Abadi" w:hAnsi="Abadi"/>
          <w:b w:val="0"/>
          <w:bCs w:val="0"/>
          <w:spacing w:val="11"/>
          <w:sz w:val="21"/>
          <w:szCs w:val="21"/>
        </w:rPr>
        <w:t xml:space="preserve"> </w:t>
      </w:r>
      <w:r w:rsidRPr="001D5134">
        <w:rPr>
          <w:rFonts w:ascii="Abadi" w:hAnsi="Abadi"/>
          <w:b w:val="0"/>
          <w:bCs w:val="0"/>
          <w:sz w:val="21"/>
          <w:szCs w:val="21"/>
        </w:rPr>
        <w:t>la</w:t>
      </w:r>
      <w:r w:rsidRPr="001D5134">
        <w:rPr>
          <w:rFonts w:ascii="Abadi" w:hAnsi="Abadi"/>
          <w:b w:val="0"/>
          <w:bCs w:val="0"/>
          <w:spacing w:val="11"/>
          <w:sz w:val="21"/>
          <w:szCs w:val="21"/>
        </w:rPr>
        <w:t xml:space="preserve"> </w:t>
      </w:r>
      <w:r w:rsidRPr="001D5134">
        <w:rPr>
          <w:rFonts w:ascii="Abadi" w:hAnsi="Abadi"/>
          <w:b w:val="0"/>
          <w:bCs w:val="0"/>
          <w:sz w:val="21"/>
          <w:szCs w:val="21"/>
        </w:rPr>
        <w:t>Comisión</w:t>
      </w:r>
      <w:r w:rsidRPr="001D5134">
        <w:rPr>
          <w:rFonts w:ascii="Abadi" w:hAnsi="Abadi"/>
          <w:b w:val="0"/>
          <w:bCs w:val="0"/>
          <w:spacing w:val="-1"/>
          <w:sz w:val="21"/>
          <w:szCs w:val="21"/>
        </w:rPr>
        <w:t xml:space="preserve"> </w:t>
      </w:r>
      <w:r w:rsidRPr="001D5134">
        <w:rPr>
          <w:rFonts w:ascii="Abadi" w:hAnsi="Abadi"/>
          <w:b w:val="0"/>
          <w:bCs w:val="0"/>
          <w:sz w:val="21"/>
          <w:szCs w:val="21"/>
        </w:rPr>
        <w:t>de</w:t>
      </w:r>
      <w:r w:rsidRPr="001D5134">
        <w:rPr>
          <w:rFonts w:ascii="Abadi" w:hAnsi="Abadi"/>
          <w:b w:val="0"/>
          <w:bCs w:val="0"/>
          <w:spacing w:val="-2"/>
          <w:sz w:val="21"/>
          <w:szCs w:val="21"/>
        </w:rPr>
        <w:t xml:space="preserve"> </w:t>
      </w:r>
      <w:r w:rsidRPr="001D5134">
        <w:rPr>
          <w:rFonts w:ascii="Abadi" w:hAnsi="Abadi"/>
          <w:b w:val="0"/>
          <w:bCs w:val="0"/>
          <w:sz w:val="21"/>
          <w:szCs w:val="21"/>
        </w:rPr>
        <w:t>Hacienda</w:t>
      </w:r>
      <w:r w:rsidRPr="001D5134">
        <w:rPr>
          <w:rFonts w:ascii="Abadi" w:hAnsi="Abadi"/>
          <w:b w:val="0"/>
          <w:bCs w:val="0"/>
          <w:spacing w:val="-2"/>
          <w:sz w:val="21"/>
          <w:szCs w:val="21"/>
        </w:rPr>
        <w:t xml:space="preserve"> </w:t>
      </w:r>
      <w:r w:rsidRPr="001D5134">
        <w:rPr>
          <w:rFonts w:ascii="Abadi" w:hAnsi="Abadi"/>
          <w:b w:val="0"/>
          <w:bCs w:val="0"/>
          <w:sz w:val="21"/>
          <w:szCs w:val="21"/>
        </w:rPr>
        <w:t>y</w:t>
      </w:r>
      <w:r w:rsidRPr="001D5134">
        <w:rPr>
          <w:rFonts w:ascii="Abadi" w:hAnsi="Abadi"/>
          <w:b w:val="0"/>
          <w:bCs w:val="0"/>
          <w:spacing w:val="-2"/>
          <w:sz w:val="21"/>
          <w:szCs w:val="21"/>
        </w:rPr>
        <w:t xml:space="preserve"> </w:t>
      </w:r>
      <w:r w:rsidRPr="001D5134">
        <w:rPr>
          <w:rFonts w:ascii="Abadi" w:hAnsi="Abadi"/>
          <w:b w:val="0"/>
          <w:bCs w:val="0"/>
          <w:sz w:val="21"/>
          <w:szCs w:val="21"/>
        </w:rPr>
        <w:t>Fiscalización</w:t>
      </w:r>
      <w:r w:rsidRPr="001D5134">
        <w:rPr>
          <w:rFonts w:ascii="Abadi" w:hAnsi="Abadi"/>
          <w:b w:val="0"/>
          <w:bCs w:val="0"/>
          <w:spacing w:val="-2"/>
          <w:sz w:val="21"/>
          <w:szCs w:val="21"/>
        </w:rPr>
        <w:t xml:space="preserve"> </w:t>
      </w:r>
      <w:r w:rsidRPr="001D5134">
        <w:rPr>
          <w:rFonts w:ascii="Abadi" w:hAnsi="Abadi"/>
          <w:b w:val="0"/>
          <w:bCs w:val="0"/>
          <w:sz w:val="21"/>
          <w:szCs w:val="21"/>
        </w:rPr>
        <w:t>relativo</w:t>
      </w:r>
      <w:r w:rsidRPr="001D5134">
        <w:rPr>
          <w:rFonts w:ascii="Abadi" w:hAnsi="Abadi"/>
          <w:b w:val="0"/>
          <w:bCs w:val="0"/>
          <w:spacing w:val="-2"/>
          <w:sz w:val="21"/>
          <w:szCs w:val="21"/>
        </w:rPr>
        <w:t xml:space="preserve"> </w:t>
      </w:r>
      <w:r w:rsidRPr="001D5134">
        <w:rPr>
          <w:rFonts w:ascii="Abadi" w:hAnsi="Abadi"/>
          <w:b w:val="0"/>
          <w:bCs w:val="0"/>
          <w:sz w:val="21"/>
          <w:szCs w:val="21"/>
        </w:rPr>
        <w:t>al</w:t>
      </w:r>
      <w:r w:rsidRPr="001D5134">
        <w:rPr>
          <w:rFonts w:ascii="Abadi" w:hAnsi="Abadi"/>
          <w:b w:val="0"/>
          <w:bCs w:val="0"/>
          <w:spacing w:val="-2"/>
          <w:sz w:val="21"/>
          <w:szCs w:val="21"/>
        </w:rPr>
        <w:t xml:space="preserve"> </w:t>
      </w:r>
      <w:r w:rsidRPr="001D5134">
        <w:rPr>
          <w:rFonts w:ascii="Abadi" w:hAnsi="Abadi"/>
          <w:b w:val="0"/>
          <w:bCs w:val="0"/>
          <w:sz w:val="21"/>
          <w:szCs w:val="21"/>
        </w:rPr>
        <w:t>informe</w:t>
      </w:r>
      <w:r w:rsidRPr="001D5134">
        <w:rPr>
          <w:rFonts w:ascii="Abadi" w:hAnsi="Abadi"/>
          <w:b w:val="0"/>
          <w:bCs w:val="0"/>
          <w:spacing w:val="-2"/>
          <w:sz w:val="21"/>
          <w:szCs w:val="21"/>
        </w:rPr>
        <w:t xml:space="preserve"> </w:t>
      </w:r>
      <w:r w:rsidRPr="001D5134">
        <w:rPr>
          <w:rFonts w:ascii="Abadi" w:hAnsi="Abadi"/>
          <w:b w:val="0"/>
          <w:bCs w:val="0"/>
          <w:sz w:val="21"/>
          <w:szCs w:val="21"/>
        </w:rPr>
        <w:t>de</w:t>
      </w:r>
      <w:r w:rsidRPr="001D5134">
        <w:rPr>
          <w:rFonts w:ascii="Abadi" w:hAnsi="Abadi"/>
          <w:b w:val="0"/>
          <w:bCs w:val="0"/>
          <w:spacing w:val="-2"/>
          <w:sz w:val="21"/>
          <w:szCs w:val="21"/>
        </w:rPr>
        <w:t xml:space="preserve"> </w:t>
      </w:r>
      <w:r w:rsidRPr="001D5134">
        <w:rPr>
          <w:rFonts w:ascii="Abadi" w:hAnsi="Abadi"/>
          <w:b w:val="0"/>
          <w:bCs w:val="0"/>
          <w:sz w:val="21"/>
          <w:szCs w:val="21"/>
        </w:rPr>
        <w:t>resultados</w:t>
      </w:r>
      <w:r w:rsidRPr="001D5134">
        <w:rPr>
          <w:rFonts w:ascii="Abadi" w:hAnsi="Abadi"/>
          <w:b w:val="0"/>
          <w:bCs w:val="0"/>
          <w:spacing w:val="-2"/>
          <w:sz w:val="21"/>
          <w:szCs w:val="21"/>
        </w:rPr>
        <w:t xml:space="preserve"> </w:t>
      </w:r>
      <w:r w:rsidRPr="001D5134">
        <w:rPr>
          <w:rFonts w:ascii="Abadi" w:hAnsi="Abadi"/>
          <w:b w:val="0"/>
          <w:bCs w:val="0"/>
          <w:sz w:val="21"/>
          <w:szCs w:val="21"/>
        </w:rPr>
        <w:t>de</w:t>
      </w:r>
      <w:r w:rsidRPr="001D5134">
        <w:rPr>
          <w:rFonts w:ascii="Abadi" w:hAnsi="Abadi"/>
          <w:b w:val="0"/>
          <w:bCs w:val="0"/>
          <w:spacing w:val="-2"/>
          <w:sz w:val="21"/>
          <w:szCs w:val="21"/>
        </w:rPr>
        <w:t xml:space="preserve"> </w:t>
      </w:r>
      <w:r w:rsidRPr="001D5134">
        <w:rPr>
          <w:rFonts w:ascii="Abadi" w:hAnsi="Abadi"/>
          <w:b w:val="0"/>
          <w:bCs w:val="0"/>
          <w:sz w:val="21"/>
          <w:szCs w:val="21"/>
        </w:rPr>
        <w:t>la</w:t>
      </w:r>
      <w:r w:rsidRPr="001D5134">
        <w:rPr>
          <w:rFonts w:ascii="Abadi" w:hAnsi="Abadi"/>
          <w:b w:val="0"/>
          <w:bCs w:val="0"/>
          <w:spacing w:val="-2"/>
          <w:sz w:val="21"/>
          <w:szCs w:val="21"/>
        </w:rPr>
        <w:t xml:space="preserve"> </w:t>
      </w:r>
      <w:r w:rsidRPr="001D5134">
        <w:rPr>
          <w:rFonts w:ascii="Abadi" w:hAnsi="Abadi"/>
          <w:b w:val="0"/>
          <w:bCs w:val="0"/>
          <w:sz w:val="21"/>
          <w:szCs w:val="21"/>
        </w:rPr>
        <w:t>auditoría</w:t>
      </w:r>
      <w:r w:rsidRPr="001D5134">
        <w:rPr>
          <w:rFonts w:ascii="Abadi" w:hAnsi="Abadi"/>
          <w:b w:val="0"/>
          <w:bCs w:val="0"/>
          <w:spacing w:val="-1"/>
          <w:sz w:val="21"/>
          <w:szCs w:val="21"/>
        </w:rPr>
        <w:t xml:space="preserve"> </w:t>
      </w:r>
      <w:r w:rsidRPr="001D5134">
        <w:rPr>
          <w:rFonts w:ascii="Abadi" w:hAnsi="Abadi"/>
          <w:b w:val="0"/>
          <w:bCs w:val="0"/>
          <w:sz w:val="21"/>
          <w:szCs w:val="21"/>
        </w:rPr>
        <w:t>practicada</w:t>
      </w:r>
      <w:r w:rsidRPr="001D5134">
        <w:rPr>
          <w:rFonts w:ascii="Abadi" w:hAnsi="Abadi"/>
          <w:b w:val="0"/>
          <w:bCs w:val="0"/>
          <w:spacing w:val="58"/>
          <w:w w:val="150"/>
          <w:sz w:val="21"/>
          <w:szCs w:val="21"/>
        </w:rPr>
        <w:t xml:space="preserve"> </w:t>
      </w:r>
      <w:r w:rsidRPr="001D5134">
        <w:rPr>
          <w:rFonts w:ascii="Abadi" w:hAnsi="Abadi"/>
          <w:b w:val="0"/>
          <w:bCs w:val="0"/>
          <w:sz w:val="21"/>
          <w:szCs w:val="21"/>
        </w:rPr>
        <w:t>por</w:t>
      </w:r>
      <w:r w:rsidRPr="001D5134">
        <w:rPr>
          <w:rFonts w:ascii="Abadi" w:hAnsi="Abadi"/>
          <w:b w:val="0"/>
          <w:bCs w:val="0"/>
          <w:spacing w:val="58"/>
          <w:w w:val="150"/>
          <w:sz w:val="21"/>
          <w:szCs w:val="21"/>
        </w:rPr>
        <w:t xml:space="preserve"> </w:t>
      </w:r>
      <w:r w:rsidRPr="001D5134">
        <w:rPr>
          <w:rFonts w:ascii="Abadi" w:hAnsi="Abadi"/>
          <w:b w:val="0"/>
          <w:bCs w:val="0"/>
          <w:sz w:val="21"/>
          <w:szCs w:val="21"/>
        </w:rPr>
        <w:t>la</w:t>
      </w:r>
      <w:r w:rsidRPr="001D5134">
        <w:rPr>
          <w:rFonts w:ascii="Abadi" w:hAnsi="Abadi"/>
          <w:b w:val="0"/>
          <w:bCs w:val="0"/>
          <w:spacing w:val="58"/>
          <w:w w:val="150"/>
          <w:sz w:val="21"/>
          <w:szCs w:val="21"/>
        </w:rPr>
        <w:t xml:space="preserve"> </w:t>
      </w:r>
      <w:r w:rsidRPr="001D5134">
        <w:rPr>
          <w:rFonts w:ascii="Abadi" w:hAnsi="Abadi"/>
          <w:b w:val="0"/>
          <w:bCs w:val="0"/>
          <w:sz w:val="21"/>
          <w:szCs w:val="21"/>
        </w:rPr>
        <w:t>Auditoría</w:t>
      </w:r>
      <w:r w:rsidRPr="001D5134">
        <w:rPr>
          <w:rFonts w:ascii="Abadi" w:hAnsi="Abadi"/>
          <w:b w:val="0"/>
          <w:bCs w:val="0"/>
          <w:spacing w:val="58"/>
          <w:w w:val="150"/>
          <w:sz w:val="21"/>
          <w:szCs w:val="21"/>
        </w:rPr>
        <w:t xml:space="preserve"> </w:t>
      </w:r>
      <w:r w:rsidRPr="001D5134">
        <w:rPr>
          <w:rFonts w:ascii="Abadi" w:hAnsi="Abadi"/>
          <w:b w:val="0"/>
          <w:bCs w:val="0"/>
          <w:sz w:val="21"/>
          <w:szCs w:val="21"/>
        </w:rPr>
        <w:t>Superior</w:t>
      </w:r>
      <w:r w:rsidRPr="001D5134">
        <w:rPr>
          <w:rFonts w:ascii="Abadi" w:hAnsi="Abadi"/>
          <w:b w:val="0"/>
          <w:bCs w:val="0"/>
          <w:spacing w:val="58"/>
          <w:w w:val="150"/>
          <w:sz w:val="21"/>
          <w:szCs w:val="21"/>
        </w:rPr>
        <w:t xml:space="preserve"> </w:t>
      </w:r>
      <w:r w:rsidRPr="001D5134">
        <w:rPr>
          <w:rFonts w:ascii="Abadi" w:hAnsi="Abadi"/>
          <w:b w:val="0"/>
          <w:bCs w:val="0"/>
          <w:sz w:val="21"/>
          <w:szCs w:val="21"/>
        </w:rPr>
        <w:t>del</w:t>
      </w:r>
      <w:r w:rsidRPr="001D5134">
        <w:rPr>
          <w:rFonts w:ascii="Abadi" w:hAnsi="Abadi"/>
          <w:b w:val="0"/>
          <w:bCs w:val="0"/>
          <w:spacing w:val="58"/>
          <w:w w:val="150"/>
          <w:sz w:val="21"/>
          <w:szCs w:val="21"/>
        </w:rPr>
        <w:t xml:space="preserve"> </w:t>
      </w:r>
      <w:r w:rsidRPr="001D5134">
        <w:rPr>
          <w:rFonts w:ascii="Abadi" w:hAnsi="Abadi"/>
          <w:b w:val="0"/>
          <w:bCs w:val="0"/>
          <w:sz w:val="21"/>
          <w:szCs w:val="21"/>
        </w:rPr>
        <w:t>Estado</w:t>
      </w:r>
      <w:r w:rsidRPr="001D5134">
        <w:rPr>
          <w:rFonts w:ascii="Abadi" w:hAnsi="Abadi"/>
          <w:b w:val="0"/>
          <w:bCs w:val="0"/>
          <w:spacing w:val="58"/>
          <w:w w:val="150"/>
          <w:sz w:val="21"/>
          <w:szCs w:val="21"/>
        </w:rPr>
        <w:t xml:space="preserve"> </w:t>
      </w:r>
      <w:r w:rsidRPr="001D5134">
        <w:rPr>
          <w:rFonts w:ascii="Abadi" w:hAnsi="Abadi"/>
          <w:b w:val="0"/>
          <w:bCs w:val="0"/>
          <w:sz w:val="21"/>
          <w:szCs w:val="21"/>
        </w:rPr>
        <w:t>de</w:t>
      </w:r>
      <w:r w:rsidRPr="001D5134">
        <w:rPr>
          <w:rFonts w:ascii="Abadi" w:hAnsi="Abadi"/>
          <w:b w:val="0"/>
          <w:bCs w:val="0"/>
          <w:spacing w:val="58"/>
          <w:w w:val="150"/>
          <w:sz w:val="21"/>
          <w:szCs w:val="21"/>
        </w:rPr>
        <w:t xml:space="preserve"> </w:t>
      </w:r>
      <w:r w:rsidRPr="001D5134">
        <w:rPr>
          <w:rFonts w:ascii="Abadi" w:hAnsi="Abadi"/>
          <w:b w:val="0"/>
          <w:bCs w:val="0"/>
          <w:sz w:val="21"/>
          <w:szCs w:val="21"/>
        </w:rPr>
        <w:t>Guanajuato,</w:t>
      </w:r>
      <w:r w:rsidRPr="001D5134">
        <w:rPr>
          <w:rFonts w:ascii="Abadi" w:hAnsi="Abadi"/>
          <w:b w:val="0"/>
          <w:bCs w:val="0"/>
          <w:spacing w:val="58"/>
          <w:w w:val="150"/>
          <w:sz w:val="21"/>
          <w:szCs w:val="21"/>
        </w:rPr>
        <w:t xml:space="preserve"> </w:t>
      </w:r>
      <w:r w:rsidRPr="001D5134">
        <w:rPr>
          <w:rFonts w:ascii="Abadi" w:hAnsi="Abadi"/>
          <w:b w:val="0"/>
          <w:bCs w:val="0"/>
          <w:sz w:val="21"/>
          <w:szCs w:val="21"/>
        </w:rPr>
        <w:t>a</w:t>
      </w:r>
      <w:r w:rsidRPr="001D5134">
        <w:rPr>
          <w:rFonts w:ascii="Abadi" w:hAnsi="Abadi"/>
          <w:b w:val="0"/>
          <w:bCs w:val="0"/>
          <w:spacing w:val="58"/>
          <w:w w:val="150"/>
          <w:sz w:val="21"/>
          <w:szCs w:val="21"/>
        </w:rPr>
        <w:t xml:space="preserve"> </w:t>
      </w:r>
      <w:r w:rsidRPr="001D5134">
        <w:rPr>
          <w:rFonts w:ascii="Abadi" w:hAnsi="Abadi"/>
          <w:b w:val="0"/>
          <w:bCs w:val="0"/>
          <w:sz w:val="21"/>
          <w:szCs w:val="21"/>
        </w:rPr>
        <w:t>la</w:t>
      </w:r>
      <w:r w:rsidRPr="001D5134">
        <w:rPr>
          <w:rFonts w:ascii="Abadi" w:hAnsi="Abadi"/>
          <w:b w:val="0"/>
          <w:bCs w:val="0"/>
          <w:spacing w:val="-1"/>
          <w:sz w:val="21"/>
          <w:szCs w:val="21"/>
        </w:rPr>
        <w:t xml:space="preserve"> </w:t>
      </w:r>
      <w:r w:rsidRPr="001D5134">
        <w:rPr>
          <w:rFonts w:ascii="Abadi" w:hAnsi="Abadi"/>
          <w:b w:val="0"/>
          <w:bCs w:val="0"/>
          <w:sz w:val="21"/>
          <w:szCs w:val="21"/>
        </w:rPr>
        <w:t>infraestructura</w:t>
      </w:r>
      <w:r w:rsidRPr="001D5134">
        <w:rPr>
          <w:rFonts w:ascii="Abadi" w:hAnsi="Abadi"/>
          <w:b w:val="0"/>
          <w:bCs w:val="0"/>
          <w:spacing w:val="-10"/>
          <w:sz w:val="21"/>
          <w:szCs w:val="21"/>
        </w:rPr>
        <w:t xml:space="preserve"> </w:t>
      </w:r>
      <w:r w:rsidRPr="001D5134">
        <w:rPr>
          <w:rFonts w:ascii="Abadi" w:hAnsi="Abadi"/>
          <w:b w:val="0"/>
          <w:bCs w:val="0"/>
          <w:sz w:val="21"/>
          <w:szCs w:val="21"/>
        </w:rPr>
        <w:t>pública</w:t>
      </w:r>
      <w:r w:rsidRPr="001D5134">
        <w:rPr>
          <w:rFonts w:ascii="Abadi" w:hAnsi="Abadi"/>
          <w:b w:val="0"/>
          <w:bCs w:val="0"/>
          <w:spacing w:val="-10"/>
          <w:sz w:val="21"/>
          <w:szCs w:val="21"/>
        </w:rPr>
        <w:t xml:space="preserve"> </w:t>
      </w:r>
      <w:r w:rsidRPr="001D5134">
        <w:rPr>
          <w:rFonts w:ascii="Abadi" w:hAnsi="Abadi"/>
          <w:b w:val="0"/>
          <w:bCs w:val="0"/>
          <w:sz w:val="21"/>
          <w:szCs w:val="21"/>
        </w:rPr>
        <w:t>municipal</w:t>
      </w:r>
      <w:r w:rsidRPr="001D5134">
        <w:rPr>
          <w:rFonts w:ascii="Abadi" w:hAnsi="Abadi"/>
          <w:b w:val="0"/>
          <w:bCs w:val="0"/>
          <w:spacing w:val="-10"/>
          <w:sz w:val="21"/>
          <w:szCs w:val="21"/>
        </w:rPr>
        <w:t xml:space="preserve"> </w:t>
      </w:r>
      <w:r w:rsidRPr="001D5134">
        <w:rPr>
          <w:rFonts w:ascii="Abadi" w:hAnsi="Abadi"/>
          <w:b w:val="0"/>
          <w:bCs w:val="0"/>
          <w:sz w:val="21"/>
          <w:szCs w:val="21"/>
        </w:rPr>
        <w:t>respecto</w:t>
      </w:r>
      <w:r w:rsidRPr="001D5134">
        <w:rPr>
          <w:rFonts w:ascii="Abadi" w:hAnsi="Abadi"/>
          <w:b w:val="0"/>
          <w:bCs w:val="0"/>
          <w:spacing w:val="-10"/>
          <w:sz w:val="21"/>
          <w:szCs w:val="21"/>
        </w:rPr>
        <w:t xml:space="preserve"> </w:t>
      </w:r>
      <w:r w:rsidRPr="001D5134">
        <w:rPr>
          <w:rFonts w:ascii="Abadi" w:hAnsi="Abadi"/>
          <w:b w:val="0"/>
          <w:bCs w:val="0"/>
          <w:sz w:val="21"/>
          <w:szCs w:val="21"/>
        </w:rPr>
        <w:t>de</w:t>
      </w:r>
      <w:r w:rsidRPr="001D5134">
        <w:rPr>
          <w:rFonts w:ascii="Abadi" w:hAnsi="Abadi"/>
          <w:b w:val="0"/>
          <w:bCs w:val="0"/>
          <w:spacing w:val="-10"/>
          <w:sz w:val="21"/>
          <w:szCs w:val="21"/>
        </w:rPr>
        <w:t xml:space="preserve"> </w:t>
      </w:r>
      <w:r w:rsidRPr="001D5134">
        <w:rPr>
          <w:rFonts w:ascii="Abadi" w:hAnsi="Abadi"/>
          <w:b w:val="0"/>
          <w:bCs w:val="0"/>
          <w:sz w:val="21"/>
          <w:szCs w:val="21"/>
        </w:rPr>
        <w:t>las</w:t>
      </w:r>
      <w:r w:rsidRPr="001D5134">
        <w:rPr>
          <w:rFonts w:ascii="Abadi" w:hAnsi="Abadi"/>
          <w:b w:val="0"/>
          <w:bCs w:val="0"/>
          <w:spacing w:val="-10"/>
          <w:sz w:val="21"/>
          <w:szCs w:val="21"/>
        </w:rPr>
        <w:t xml:space="preserve"> </w:t>
      </w:r>
      <w:r w:rsidRPr="001D5134">
        <w:rPr>
          <w:rFonts w:ascii="Abadi" w:hAnsi="Abadi"/>
          <w:b w:val="0"/>
          <w:bCs w:val="0"/>
          <w:sz w:val="21"/>
          <w:szCs w:val="21"/>
        </w:rPr>
        <w:t>operaciones</w:t>
      </w:r>
      <w:r w:rsidRPr="001D5134">
        <w:rPr>
          <w:rFonts w:ascii="Abadi" w:hAnsi="Abadi"/>
          <w:b w:val="0"/>
          <w:bCs w:val="0"/>
          <w:spacing w:val="-10"/>
          <w:sz w:val="21"/>
          <w:szCs w:val="21"/>
        </w:rPr>
        <w:t xml:space="preserve"> </w:t>
      </w:r>
      <w:r w:rsidRPr="001D5134">
        <w:rPr>
          <w:rFonts w:ascii="Abadi" w:hAnsi="Abadi"/>
          <w:b w:val="0"/>
          <w:bCs w:val="0"/>
          <w:sz w:val="21"/>
          <w:szCs w:val="21"/>
        </w:rPr>
        <w:t>realizadas</w:t>
      </w:r>
      <w:r w:rsidRPr="001D5134">
        <w:rPr>
          <w:rFonts w:ascii="Abadi" w:hAnsi="Abadi"/>
          <w:b w:val="0"/>
          <w:bCs w:val="0"/>
          <w:spacing w:val="-10"/>
          <w:sz w:val="21"/>
          <w:szCs w:val="21"/>
        </w:rPr>
        <w:t xml:space="preserve"> </w:t>
      </w:r>
      <w:r w:rsidRPr="001D5134">
        <w:rPr>
          <w:rFonts w:ascii="Abadi" w:hAnsi="Abadi"/>
          <w:b w:val="0"/>
          <w:bCs w:val="0"/>
          <w:sz w:val="21"/>
          <w:szCs w:val="21"/>
        </w:rPr>
        <w:t>por</w:t>
      </w:r>
      <w:r w:rsidRPr="001D5134">
        <w:rPr>
          <w:rFonts w:ascii="Abadi" w:hAnsi="Abadi"/>
          <w:b w:val="0"/>
          <w:bCs w:val="0"/>
          <w:spacing w:val="-1"/>
          <w:sz w:val="21"/>
          <w:szCs w:val="21"/>
        </w:rPr>
        <w:t xml:space="preserve"> </w:t>
      </w:r>
      <w:r w:rsidRPr="001D5134">
        <w:rPr>
          <w:rFonts w:ascii="Abadi" w:hAnsi="Abadi"/>
          <w:b w:val="0"/>
          <w:bCs w:val="0"/>
          <w:sz w:val="21"/>
          <w:szCs w:val="21"/>
        </w:rPr>
        <w:t>la</w:t>
      </w:r>
      <w:r w:rsidRPr="001D5134">
        <w:rPr>
          <w:rFonts w:ascii="Abadi" w:hAnsi="Abadi"/>
          <w:b w:val="0"/>
          <w:bCs w:val="0"/>
          <w:spacing w:val="23"/>
          <w:sz w:val="21"/>
          <w:szCs w:val="21"/>
        </w:rPr>
        <w:t xml:space="preserve"> </w:t>
      </w:r>
      <w:r w:rsidRPr="001D5134">
        <w:rPr>
          <w:rFonts w:ascii="Abadi" w:hAnsi="Abadi"/>
          <w:b w:val="0"/>
          <w:bCs w:val="0"/>
          <w:sz w:val="21"/>
          <w:szCs w:val="21"/>
        </w:rPr>
        <w:t>administración</w:t>
      </w:r>
      <w:r w:rsidRPr="001D5134">
        <w:rPr>
          <w:rFonts w:ascii="Abadi" w:hAnsi="Abadi"/>
          <w:b w:val="0"/>
          <w:bCs w:val="0"/>
          <w:spacing w:val="23"/>
          <w:sz w:val="21"/>
          <w:szCs w:val="21"/>
        </w:rPr>
        <w:t xml:space="preserve"> </w:t>
      </w:r>
      <w:r w:rsidRPr="001D5134">
        <w:rPr>
          <w:rFonts w:ascii="Abadi" w:hAnsi="Abadi"/>
          <w:b w:val="0"/>
          <w:bCs w:val="0"/>
          <w:sz w:val="21"/>
          <w:szCs w:val="21"/>
        </w:rPr>
        <w:t>municipal</w:t>
      </w:r>
      <w:r w:rsidRPr="001D5134">
        <w:rPr>
          <w:rFonts w:ascii="Abadi" w:hAnsi="Abadi"/>
          <w:b w:val="0"/>
          <w:bCs w:val="0"/>
          <w:spacing w:val="22"/>
          <w:sz w:val="21"/>
          <w:szCs w:val="21"/>
        </w:rPr>
        <w:t xml:space="preserve"> </w:t>
      </w:r>
      <w:r w:rsidRPr="001D5134">
        <w:rPr>
          <w:rFonts w:ascii="Abadi" w:hAnsi="Abadi"/>
          <w:b w:val="0"/>
          <w:bCs w:val="0"/>
          <w:sz w:val="21"/>
          <w:szCs w:val="21"/>
        </w:rPr>
        <w:t>de</w:t>
      </w:r>
      <w:r w:rsidRPr="001D5134">
        <w:rPr>
          <w:rFonts w:ascii="Abadi" w:hAnsi="Abadi"/>
          <w:b w:val="0"/>
          <w:bCs w:val="0"/>
          <w:spacing w:val="23"/>
          <w:sz w:val="21"/>
          <w:szCs w:val="21"/>
        </w:rPr>
        <w:t xml:space="preserve"> </w:t>
      </w:r>
      <w:r w:rsidRPr="001D5134">
        <w:rPr>
          <w:rFonts w:ascii="Abadi" w:hAnsi="Abadi"/>
          <w:b w:val="0"/>
          <w:bCs w:val="0"/>
          <w:sz w:val="21"/>
          <w:szCs w:val="21"/>
        </w:rPr>
        <w:t>Irapuato,</w:t>
      </w:r>
      <w:r w:rsidRPr="001D5134">
        <w:rPr>
          <w:rFonts w:ascii="Abadi" w:hAnsi="Abadi"/>
          <w:b w:val="0"/>
          <w:bCs w:val="0"/>
          <w:spacing w:val="23"/>
          <w:sz w:val="21"/>
          <w:szCs w:val="21"/>
        </w:rPr>
        <w:t xml:space="preserve"> </w:t>
      </w:r>
      <w:r w:rsidRPr="001D5134">
        <w:rPr>
          <w:rFonts w:ascii="Abadi" w:hAnsi="Abadi"/>
          <w:b w:val="0"/>
          <w:bCs w:val="0"/>
          <w:sz w:val="21"/>
          <w:szCs w:val="21"/>
        </w:rPr>
        <w:t>Gto.,</w:t>
      </w:r>
      <w:r w:rsidRPr="001D5134">
        <w:rPr>
          <w:rFonts w:ascii="Abadi" w:hAnsi="Abadi"/>
          <w:b w:val="0"/>
          <w:bCs w:val="0"/>
          <w:spacing w:val="23"/>
          <w:sz w:val="21"/>
          <w:szCs w:val="21"/>
        </w:rPr>
        <w:t xml:space="preserve"> </w:t>
      </w:r>
      <w:r w:rsidRPr="001D5134">
        <w:rPr>
          <w:rFonts w:ascii="Abadi" w:hAnsi="Abadi"/>
          <w:b w:val="0"/>
          <w:bCs w:val="0"/>
          <w:sz w:val="21"/>
          <w:szCs w:val="21"/>
        </w:rPr>
        <w:t>correspondientes</w:t>
      </w:r>
      <w:r w:rsidRPr="001D5134">
        <w:rPr>
          <w:rFonts w:ascii="Abadi" w:hAnsi="Abadi"/>
          <w:b w:val="0"/>
          <w:bCs w:val="0"/>
          <w:spacing w:val="23"/>
          <w:sz w:val="21"/>
          <w:szCs w:val="21"/>
        </w:rPr>
        <w:t xml:space="preserve"> </w:t>
      </w:r>
      <w:r w:rsidRPr="001D5134">
        <w:rPr>
          <w:rFonts w:ascii="Abadi" w:hAnsi="Abadi"/>
          <w:b w:val="0"/>
          <w:bCs w:val="0"/>
          <w:sz w:val="21"/>
          <w:szCs w:val="21"/>
        </w:rPr>
        <w:t>al</w:t>
      </w:r>
      <w:r w:rsidRPr="001D5134">
        <w:rPr>
          <w:rFonts w:ascii="Abadi" w:hAnsi="Abadi"/>
          <w:b w:val="0"/>
          <w:bCs w:val="0"/>
          <w:spacing w:val="22"/>
          <w:sz w:val="21"/>
          <w:szCs w:val="21"/>
        </w:rPr>
        <w:t xml:space="preserve"> </w:t>
      </w:r>
      <w:r w:rsidRPr="001D5134">
        <w:rPr>
          <w:rFonts w:ascii="Abadi" w:hAnsi="Abadi"/>
          <w:b w:val="0"/>
          <w:bCs w:val="0"/>
          <w:sz w:val="21"/>
          <w:szCs w:val="21"/>
        </w:rPr>
        <w:t>periodo</w:t>
      </w:r>
      <w:r w:rsidRPr="001D5134">
        <w:rPr>
          <w:rFonts w:ascii="Abadi" w:hAnsi="Abadi"/>
          <w:b w:val="0"/>
          <w:bCs w:val="0"/>
          <w:spacing w:val="-1"/>
          <w:sz w:val="21"/>
          <w:szCs w:val="21"/>
        </w:rPr>
        <w:t xml:space="preserve"> </w:t>
      </w:r>
      <w:r w:rsidRPr="001D5134">
        <w:rPr>
          <w:rFonts w:ascii="Abadi" w:hAnsi="Abadi"/>
          <w:b w:val="0"/>
          <w:bCs w:val="0"/>
          <w:sz w:val="21"/>
          <w:szCs w:val="21"/>
        </w:rPr>
        <w:t>comprendido</w:t>
      </w:r>
      <w:r w:rsidRPr="001D5134">
        <w:rPr>
          <w:rFonts w:ascii="Abadi" w:hAnsi="Abadi"/>
          <w:b w:val="0"/>
          <w:bCs w:val="0"/>
          <w:spacing w:val="16"/>
          <w:sz w:val="21"/>
          <w:szCs w:val="21"/>
        </w:rPr>
        <w:t xml:space="preserve"> </w:t>
      </w:r>
      <w:r w:rsidRPr="001D5134">
        <w:rPr>
          <w:rFonts w:ascii="Abadi" w:hAnsi="Abadi"/>
          <w:b w:val="0"/>
          <w:bCs w:val="0"/>
          <w:sz w:val="21"/>
          <w:szCs w:val="21"/>
        </w:rPr>
        <w:t>del</w:t>
      </w:r>
      <w:r w:rsidRPr="001D5134">
        <w:rPr>
          <w:rFonts w:ascii="Abadi" w:hAnsi="Abadi"/>
          <w:b w:val="0"/>
          <w:bCs w:val="0"/>
          <w:spacing w:val="16"/>
          <w:sz w:val="21"/>
          <w:szCs w:val="21"/>
        </w:rPr>
        <w:t xml:space="preserve"> </w:t>
      </w:r>
      <w:r w:rsidRPr="001D5134">
        <w:rPr>
          <w:rFonts w:ascii="Abadi" w:hAnsi="Abadi"/>
          <w:b w:val="0"/>
          <w:bCs w:val="0"/>
          <w:sz w:val="21"/>
          <w:szCs w:val="21"/>
        </w:rPr>
        <w:t>1</w:t>
      </w:r>
      <w:r w:rsidRPr="001D5134">
        <w:rPr>
          <w:rFonts w:ascii="Abadi" w:hAnsi="Abadi"/>
          <w:b w:val="0"/>
          <w:bCs w:val="0"/>
          <w:spacing w:val="16"/>
          <w:sz w:val="21"/>
          <w:szCs w:val="21"/>
        </w:rPr>
        <w:t xml:space="preserve"> </w:t>
      </w:r>
      <w:r w:rsidRPr="001D5134">
        <w:rPr>
          <w:rFonts w:ascii="Abadi" w:hAnsi="Abadi"/>
          <w:b w:val="0"/>
          <w:bCs w:val="0"/>
          <w:sz w:val="21"/>
          <w:szCs w:val="21"/>
        </w:rPr>
        <w:t>de</w:t>
      </w:r>
      <w:r w:rsidRPr="001D5134">
        <w:rPr>
          <w:rFonts w:ascii="Abadi" w:hAnsi="Abadi"/>
          <w:b w:val="0"/>
          <w:bCs w:val="0"/>
          <w:spacing w:val="16"/>
          <w:sz w:val="21"/>
          <w:szCs w:val="21"/>
        </w:rPr>
        <w:t xml:space="preserve"> </w:t>
      </w:r>
      <w:r w:rsidRPr="001D5134">
        <w:rPr>
          <w:rFonts w:ascii="Abadi" w:hAnsi="Abadi"/>
          <w:b w:val="0"/>
          <w:bCs w:val="0"/>
          <w:sz w:val="21"/>
          <w:szCs w:val="21"/>
        </w:rPr>
        <w:t>enero</w:t>
      </w:r>
      <w:r w:rsidRPr="001D5134">
        <w:rPr>
          <w:rFonts w:ascii="Abadi" w:hAnsi="Abadi"/>
          <w:b w:val="0"/>
          <w:bCs w:val="0"/>
          <w:spacing w:val="16"/>
          <w:sz w:val="21"/>
          <w:szCs w:val="21"/>
        </w:rPr>
        <w:t xml:space="preserve"> </w:t>
      </w:r>
      <w:r w:rsidRPr="001D5134">
        <w:rPr>
          <w:rFonts w:ascii="Abadi" w:hAnsi="Abadi"/>
          <w:b w:val="0"/>
          <w:bCs w:val="0"/>
          <w:sz w:val="21"/>
          <w:szCs w:val="21"/>
        </w:rPr>
        <w:t>al</w:t>
      </w:r>
      <w:r w:rsidRPr="001D5134">
        <w:rPr>
          <w:rFonts w:ascii="Abadi" w:hAnsi="Abadi"/>
          <w:b w:val="0"/>
          <w:bCs w:val="0"/>
          <w:spacing w:val="16"/>
          <w:sz w:val="21"/>
          <w:szCs w:val="21"/>
        </w:rPr>
        <w:t xml:space="preserve"> </w:t>
      </w:r>
      <w:r w:rsidRPr="001D5134">
        <w:rPr>
          <w:rFonts w:ascii="Abadi" w:hAnsi="Abadi"/>
          <w:b w:val="0"/>
          <w:bCs w:val="0"/>
          <w:sz w:val="21"/>
          <w:szCs w:val="21"/>
        </w:rPr>
        <w:t>31</w:t>
      </w:r>
      <w:r w:rsidRPr="001D5134">
        <w:rPr>
          <w:rFonts w:ascii="Abadi" w:hAnsi="Abadi"/>
          <w:b w:val="0"/>
          <w:bCs w:val="0"/>
          <w:spacing w:val="16"/>
          <w:sz w:val="21"/>
          <w:szCs w:val="21"/>
        </w:rPr>
        <w:t xml:space="preserve"> </w:t>
      </w:r>
      <w:r w:rsidRPr="001D5134">
        <w:rPr>
          <w:rFonts w:ascii="Abadi" w:hAnsi="Abadi"/>
          <w:b w:val="0"/>
          <w:bCs w:val="0"/>
          <w:sz w:val="21"/>
          <w:szCs w:val="21"/>
        </w:rPr>
        <w:t>de</w:t>
      </w:r>
      <w:r w:rsidRPr="001D5134">
        <w:rPr>
          <w:rFonts w:ascii="Abadi" w:hAnsi="Abadi"/>
          <w:b w:val="0"/>
          <w:bCs w:val="0"/>
          <w:spacing w:val="17"/>
          <w:sz w:val="21"/>
          <w:szCs w:val="21"/>
        </w:rPr>
        <w:t xml:space="preserve"> </w:t>
      </w:r>
      <w:r w:rsidRPr="001D5134">
        <w:rPr>
          <w:rFonts w:ascii="Abadi" w:hAnsi="Abadi"/>
          <w:b w:val="0"/>
          <w:bCs w:val="0"/>
          <w:sz w:val="21"/>
          <w:szCs w:val="21"/>
        </w:rPr>
        <w:t>diciembre</w:t>
      </w:r>
      <w:r w:rsidRPr="001D5134">
        <w:rPr>
          <w:rFonts w:ascii="Abadi" w:hAnsi="Abadi"/>
          <w:b w:val="0"/>
          <w:bCs w:val="0"/>
          <w:spacing w:val="16"/>
          <w:sz w:val="21"/>
          <w:szCs w:val="21"/>
        </w:rPr>
        <w:t xml:space="preserve"> </w:t>
      </w:r>
      <w:r w:rsidRPr="001D5134">
        <w:rPr>
          <w:rFonts w:ascii="Abadi" w:hAnsi="Abadi"/>
          <w:b w:val="0"/>
          <w:bCs w:val="0"/>
          <w:sz w:val="21"/>
          <w:szCs w:val="21"/>
        </w:rPr>
        <w:t>del</w:t>
      </w:r>
      <w:r w:rsidRPr="001D5134">
        <w:rPr>
          <w:rFonts w:ascii="Abadi" w:hAnsi="Abadi"/>
          <w:b w:val="0"/>
          <w:bCs w:val="0"/>
          <w:spacing w:val="16"/>
          <w:sz w:val="21"/>
          <w:szCs w:val="21"/>
        </w:rPr>
        <w:t xml:space="preserve"> </w:t>
      </w:r>
      <w:r w:rsidRPr="001D5134">
        <w:rPr>
          <w:rFonts w:ascii="Abadi" w:hAnsi="Abadi"/>
          <w:b w:val="0"/>
          <w:bCs w:val="0"/>
          <w:sz w:val="21"/>
          <w:szCs w:val="21"/>
        </w:rPr>
        <w:t>ejercicio</w:t>
      </w:r>
      <w:r w:rsidRPr="001D5134">
        <w:rPr>
          <w:rFonts w:ascii="Abadi" w:hAnsi="Abadi"/>
          <w:b w:val="0"/>
          <w:bCs w:val="0"/>
          <w:spacing w:val="16"/>
          <w:sz w:val="21"/>
          <w:szCs w:val="21"/>
        </w:rPr>
        <w:t xml:space="preserve"> </w:t>
      </w:r>
      <w:r w:rsidRPr="001D5134">
        <w:rPr>
          <w:rFonts w:ascii="Abadi" w:hAnsi="Abadi"/>
          <w:b w:val="0"/>
          <w:bCs w:val="0"/>
          <w:sz w:val="21"/>
          <w:szCs w:val="21"/>
        </w:rPr>
        <w:t>fiscal</w:t>
      </w:r>
      <w:r w:rsidRPr="001D5134">
        <w:rPr>
          <w:rFonts w:ascii="Abadi" w:hAnsi="Abadi"/>
          <w:b w:val="0"/>
          <w:bCs w:val="0"/>
          <w:spacing w:val="15"/>
          <w:sz w:val="21"/>
          <w:szCs w:val="21"/>
        </w:rPr>
        <w:t xml:space="preserve"> </w:t>
      </w:r>
      <w:r w:rsidRPr="001D5134">
        <w:rPr>
          <w:rFonts w:ascii="Abadi" w:hAnsi="Abadi"/>
          <w:b w:val="0"/>
          <w:bCs w:val="0"/>
          <w:sz w:val="21"/>
          <w:szCs w:val="21"/>
        </w:rPr>
        <w:t>del</w:t>
      </w:r>
      <w:r w:rsidRPr="001D5134">
        <w:rPr>
          <w:rFonts w:ascii="Abadi" w:hAnsi="Abadi"/>
          <w:b w:val="0"/>
          <w:bCs w:val="0"/>
          <w:spacing w:val="16"/>
          <w:sz w:val="21"/>
          <w:szCs w:val="21"/>
        </w:rPr>
        <w:t xml:space="preserve"> </w:t>
      </w:r>
      <w:r w:rsidRPr="001D5134">
        <w:rPr>
          <w:rFonts w:ascii="Abadi" w:hAnsi="Abadi"/>
          <w:b w:val="0"/>
          <w:bCs w:val="0"/>
          <w:sz w:val="21"/>
          <w:szCs w:val="21"/>
        </w:rPr>
        <w:t>año</w:t>
      </w:r>
      <w:r w:rsidRPr="001D5134">
        <w:rPr>
          <w:rFonts w:ascii="Abadi" w:hAnsi="Abadi"/>
          <w:b w:val="0"/>
          <w:bCs w:val="0"/>
          <w:spacing w:val="-1"/>
          <w:sz w:val="21"/>
          <w:szCs w:val="21"/>
        </w:rPr>
        <w:t xml:space="preserve"> </w:t>
      </w:r>
      <w:r w:rsidRPr="001D5134">
        <w:rPr>
          <w:rFonts w:ascii="Abadi" w:hAnsi="Abadi"/>
          <w:b w:val="0"/>
          <w:bCs w:val="0"/>
          <w:sz w:val="21"/>
          <w:szCs w:val="21"/>
        </w:rPr>
        <w:t>2020</w:t>
      </w:r>
      <w:r w:rsidRPr="001D5134">
        <w:rPr>
          <w:rFonts w:ascii="Abadi" w:hAnsi="Abadi" w:cs="Verdana"/>
          <w:b w:val="0"/>
          <w:bCs w:val="0"/>
          <w:sz w:val="21"/>
          <w:szCs w:val="21"/>
        </w:rPr>
        <w:t>.</w:t>
      </w:r>
      <w:r>
        <w:rPr>
          <w:rFonts w:ascii="Abadi" w:hAnsi="Abadi" w:cs="Verdana"/>
          <w:sz w:val="21"/>
          <w:szCs w:val="21"/>
        </w:rPr>
        <w:t xml:space="preserve"> </w:t>
      </w:r>
      <w:r w:rsidRPr="009A3D12">
        <w:rPr>
          <w:rFonts w:ascii="Abadi" w:hAnsi="Abadi"/>
          <w:sz w:val="21"/>
          <w:szCs w:val="21"/>
        </w:rPr>
        <w:t>LIIII.-</w:t>
      </w:r>
      <w:r w:rsidRPr="00FD5F33">
        <w:rPr>
          <w:rFonts w:ascii="Abadi" w:hAnsi="Abadi"/>
          <w:b w:val="0"/>
          <w:bCs w:val="0"/>
          <w:sz w:val="21"/>
          <w:szCs w:val="21"/>
        </w:rPr>
        <w:t>Discusión</w:t>
      </w:r>
      <w:r w:rsidRPr="00FD5F33">
        <w:rPr>
          <w:rFonts w:ascii="Abadi" w:hAnsi="Abadi"/>
          <w:b w:val="0"/>
          <w:bCs w:val="0"/>
          <w:spacing w:val="13"/>
          <w:sz w:val="21"/>
          <w:szCs w:val="21"/>
        </w:rPr>
        <w:t xml:space="preserve"> </w:t>
      </w:r>
      <w:r w:rsidRPr="00FD5F33">
        <w:rPr>
          <w:rFonts w:ascii="Abadi" w:hAnsi="Abadi"/>
          <w:b w:val="0"/>
          <w:bCs w:val="0"/>
          <w:sz w:val="21"/>
          <w:szCs w:val="21"/>
        </w:rPr>
        <w:t>y,</w:t>
      </w:r>
      <w:r w:rsidRPr="00FD5F33">
        <w:rPr>
          <w:rFonts w:ascii="Abadi" w:hAnsi="Abadi"/>
          <w:b w:val="0"/>
          <w:bCs w:val="0"/>
          <w:spacing w:val="13"/>
          <w:sz w:val="21"/>
          <w:szCs w:val="21"/>
        </w:rPr>
        <w:t xml:space="preserve"> </w:t>
      </w:r>
      <w:r w:rsidRPr="00FD5F33">
        <w:rPr>
          <w:rFonts w:ascii="Abadi" w:hAnsi="Abadi"/>
          <w:b w:val="0"/>
          <w:bCs w:val="0"/>
          <w:sz w:val="21"/>
          <w:szCs w:val="21"/>
        </w:rPr>
        <w:t>en</w:t>
      </w:r>
      <w:r w:rsidRPr="00FD5F33">
        <w:rPr>
          <w:rFonts w:ascii="Abadi" w:hAnsi="Abadi"/>
          <w:b w:val="0"/>
          <w:bCs w:val="0"/>
          <w:spacing w:val="14"/>
          <w:sz w:val="21"/>
          <w:szCs w:val="21"/>
        </w:rPr>
        <w:t xml:space="preserve"> </w:t>
      </w:r>
      <w:r w:rsidRPr="00FD5F33">
        <w:rPr>
          <w:rFonts w:ascii="Abadi" w:hAnsi="Abadi"/>
          <w:b w:val="0"/>
          <w:bCs w:val="0"/>
          <w:sz w:val="21"/>
          <w:szCs w:val="21"/>
        </w:rPr>
        <w:t>su</w:t>
      </w:r>
      <w:r w:rsidRPr="00FD5F33">
        <w:rPr>
          <w:rFonts w:ascii="Abadi" w:hAnsi="Abadi"/>
          <w:b w:val="0"/>
          <w:bCs w:val="0"/>
          <w:spacing w:val="14"/>
          <w:sz w:val="21"/>
          <w:szCs w:val="21"/>
        </w:rPr>
        <w:t xml:space="preserve"> </w:t>
      </w:r>
      <w:r w:rsidRPr="00FD5F33">
        <w:rPr>
          <w:rFonts w:ascii="Abadi" w:hAnsi="Abadi"/>
          <w:b w:val="0"/>
          <w:bCs w:val="0"/>
          <w:sz w:val="21"/>
          <w:szCs w:val="21"/>
        </w:rPr>
        <w:t>caso,</w:t>
      </w:r>
      <w:r w:rsidRPr="00FD5F33">
        <w:rPr>
          <w:rFonts w:ascii="Abadi" w:hAnsi="Abadi"/>
          <w:b w:val="0"/>
          <w:bCs w:val="0"/>
          <w:spacing w:val="13"/>
          <w:sz w:val="21"/>
          <w:szCs w:val="21"/>
        </w:rPr>
        <w:t xml:space="preserve"> </w:t>
      </w:r>
      <w:r w:rsidRPr="00FD5F33">
        <w:rPr>
          <w:rFonts w:ascii="Abadi" w:hAnsi="Abadi"/>
          <w:b w:val="0"/>
          <w:bCs w:val="0"/>
          <w:sz w:val="21"/>
          <w:szCs w:val="21"/>
        </w:rPr>
        <w:t>aprobación</w:t>
      </w:r>
      <w:r w:rsidRPr="00FD5F33">
        <w:rPr>
          <w:rFonts w:ascii="Abadi" w:hAnsi="Abadi"/>
          <w:b w:val="0"/>
          <w:bCs w:val="0"/>
          <w:spacing w:val="14"/>
          <w:sz w:val="21"/>
          <w:szCs w:val="21"/>
        </w:rPr>
        <w:t xml:space="preserve"> </w:t>
      </w:r>
      <w:r w:rsidRPr="00FD5F33">
        <w:rPr>
          <w:rFonts w:ascii="Abadi" w:hAnsi="Abadi"/>
          <w:b w:val="0"/>
          <w:bCs w:val="0"/>
          <w:sz w:val="21"/>
          <w:szCs w:val="21"/>
        </w:rPr>
        <w:t>del</w:t>
      </w:r>
      <w:r w:rsidRPr="00FD5F33">
        <w:rPr>
          <w:rFonts w:ascii="Abadi" w:hAnsi="Abadi"/>
          <w:b w:val="0"/>
          <w:bCs w:val="0"/>
          <w:spacing w:val="13"/>
          <w:sz w:val="21"/>
          <w:szCs w:val="21"/>
        </w:rPr>
        <w:t xml:space="preserve"> </w:t>
      </w:r>
      <w:r w:rsidRPr="00FD5F33">
        <w:rPr>
          <w:rFonts w:ascii="Abadi" w:hAnsi="Abadi"/>
          <w:b w:val="0"/>
          <w:bCs w:val="0"/>
          <w:sz w:val="21"/>
          <w:szCs w:val="21"/>
        </w:rPr>
        <w:t>dictamen</w:t>
      </w:r>
      <w:r w:rsidRPr="00FD5F33">
        <w:rPr>
          <w:rFonts w:ascii="Abadi" w:hAnsi="Abadi"/>
          <w:b w:val="0"/>
          <w:bCs w:val="0"/>
          <w:spacing w:val="14"/>
          <w:sz w:val="21"/>
          <w:szCs w:val="21"/>
        </w:rPr>
        <w:t xml:space="preserve"> </w:t>
      </w:r>
      <w:r w:rsidRPr="00FD5F33">
        <w:rPr>
          <w:rFonts w:ascii="Abadi" w:hAnsi="Abadi"/>
          <w:b w:val="0"/>
          <w:bCs w:val="0"/>
          <w:sz w:val="21"/>
          <w:szCs w:val="21"/>
        </w:rPr>
        <w:t>emitido</w:t>
      </w:r>
      <w:r w:rsidRPr="00FD5F33">
        <w:rPr>
          <w:rFonts w:ascii="Abadi" w:hAnsi="Abadi"/>
          <w:b w:val="0"/>
          <w:bCs w:val="0"/>
          <w:spacing w:val="14"/>
          <w:sz w:val="21"/>
          <w:szCs w:val="21"/>
        </w:rPr>
        <w:t xml:space="preserve"> </w:t>
      </w:r>
      <w:r w:rsidRPr="00FD5F33">
        <w:rPr>
          <w:rFonts w:ascii="Abadi" w:hAnsi="Abadi"/>
          <w:b w:val="0"/>
          <w:bCs w:val="0"/>
          <w:sz w:val="21"/>
          <w:szCs w:val="21"/>
        </w:rPr>
        <w:t>por</w:t>
      </w:r>
      <w:r w:rsidRPr="00FD5F33">
        <w:rPr>
          <w:rFonts w:ascii="Abadi" w:hAnsi="Abadi"/>
          <w:b w:val="0"/>
          <w:bCs w:val="0"/>
          <w:spacing w:val="13"/>
          <w:sz w:val="21"/>
          <w:szCs w:val="21"/>
        </w:rPr>
        <w:t xml:space="preserve"> </w:t>
      </w:r>
      <w:r w:rsidRPr="00FD5F33">
        <w:rPr>
          <w:rFonts w:ascii="Abadi" w:hAnsi="Abadi"/>
          <w:b w:val="0"/>
          <w:bCs w:val="0"/>
          <w:sz w:val="21"/>
          <w:szCs w:val="21"/>
        </w:rPr>
        <w:t>la</w:t>
      </w:r>
      <w:r w:rsidRPr="00FD5F33">
        <w:rPr>
          <w:rFonts w:ascii="Abadi" w:hAnsi="Abadi"/>
          <w:b w:val="0"/>
          <w:bCs w:val="0"/>
          <w:spacing w:val="13"/>
          <w:sz w:val="21"/>
          <w:szCs w:val="21"/>
        </w:rPr>
        <w:t xml:space="preserve"> </w:t>
      </w:r>
      <w:r w:rsidRPr="00FD5F33">
        <w:rPr>
          <w:rFonts w:ascii="Abadi" w:hAnsi="Abadi"/>
          <w:b w:val="0"/>
          <w:bCs w:val="0"/>
          <w:sz w:val="21"/>
          <w:szCs w:val="21"/>
        </w:rPr>
        <w:t>Comisión de Hacienda y Fiscalización relativo al informe de resultados de la revisión practicada por la Auditoría Superior del Estado de Guanajuato, a la cuenta pública municipal de</w:t>
      </w:r>
      <w:r w:rsidRPr="00FD5F33">
        <w:rPr>
          <w:rFonts w:ascii="Abadi" w:hAnsi="Abadi"/>
          <w:b w:val="0"/>
          <w:bCs w:val="0"/>
          <w:spacing w:val="8"/>
          <w:sz w:val="21"/>
          <w:szCs w:val="21"/>
        </w:rPr>
        <w:t xml:space="preserve"> </w:t>
      </w:r>
      <w:r w:rsidRPr="00FD5F33">
        <w:rPr>
          <w:rFonts w:ascii="Abadi" w:hAnsi="Abadi"/>
          <w:b w:val="0"/>
          <w:bCs w:val="0"/>
          <w:sz w:val="21"/>
          <w:szCs w:val="21"/>
        </w:rPr>
        <w:t xml:space="preserve">Tierra Blanca, Gto., correspondiente al ejercicio fiscal del año 2020. </w:t>
      </w:r>
      <w:r w:rsidRPr="009A3D12">
        <w:rPr>
          <w:rFonts w:ascii="Abadi" w:hAnsi="Abadi"/>
          <w:sz w:val="21"/>
          <w:szCs w:val="21"/>
        </w:rPr>
        <w:t>LIV.-</w:t>
      </w:r>
      <w:r>
        <w:rPr>
          <w:rFonts w:ascii="Abadi" w:hAnsi="Abadi"/>
          <w:sz w:val="21"/>
          <w:szCs w:val="21"/>
        </w:rPr>
        <w:t xml:space="preserve"> </w:t>
      </w:r>
      <w:r w:rsidRPr="00FD5F33">
        <w:rPr>
          <w:rFonts w:ascii="Abadi" w:hAnsi="Abadi"/>
          <w:b w:val="0"/>
          <w:bCs w:val="0"/>
          <w:sz w:val="21"/>
          <w:szCs w:val="21"/>
        </w:rPr>
        <w:t>Discusión</w:t>
      </w:r>
      <w:r w:rsidRPr="00FD5F33">
        <w:rPr>
          <w:rFonts w:ascii="Abadi" w:hAnsi="Abadi"/>
          <w:b w:val="0"/>
          <w:bCs w:val="0"/>
          <w:spacing w:val="11"/>
          <w:sz w:val="21"/>
          <w:szCs w:val="21"/>
        </w:rPr>
        <w:t xml:space="preserve"> </w:t>
      </w:r>
      <w:r w:rsidRPr="00FD5F33">
        <w:rPr>
          <w:rFonts w:ascii="Abadi" w:hAnsi="Abadi"/>
          <w:b w:val="0"/>
          <w:bCs w:val="0"/>
          <w:sz w:val="21"/>
          <w:szCs w:val="21"/>
        </w:rPr>
        <w:t>y,</w:t>
      </w:r>
      <w:r w:rsidRPr="00FD5F33">
        <w:rPr>
          <w:rFonts w:ascii="Abadi" w:hAnsi="Abadi"/>
          <w:b w:val="0"/>
          <w:bCs w:val="0"/>
          <w:spacing w:val="11"/>
          <w:sz w:val="21"/>
          <w:szCs w:val="21"/>
        </w:rPr>
        <w:t xml:space="preserve"> </w:t>
      </w:r>
      <w:r w:rsidRPr="00FD5F33">
        <w:rPr>
          <w:rFonts w:ascii="Abadi" w:hAnsi="Abadi"/>
          <w:b w:val="0"/>
          <w:bCs w:val="0"/>
          <w:sz w:val="21"/>
          <w:szCs w:val="21"/>
        </w:rPr>
        <w:t>en</w:t>
      </w:r>
      <w:r w:rsidRPr="00FD5F33">
        <w:rPr>
          <w:rFonts w:ascii="Abadi" w:hAnsi="Abadi"/>
          <w:b w:val="0"/>
          <w:bCs w:val="0"/>
          <w:spacing w:val="11"/>
          <w:sz w:val="21"/>
          <w:szCs w:val="21"/>
        </w:rPr>
        <w:t xml:space="preserve"> </w:t>
      </w:r>
      <w:r w:rsidRPr="00FD5F33">
        <w:rPr>
          <w:rFonts w:ascii="Abadi" w:hAnsi="Abadi"/>
          <w:b w:val="0"/>
          <w:bCs w:val="0"/>
          <w:sz w:val="21"/>
          <w:szCs w:val="21"/>
        </w:rPr>
        <w:t>su</w:t>
      </w:r>
      <w:r w:rsidRPr="00FD5F33">
        <w:rPr>
          <w:rFonts w:ascii="Abadi" w:hAnsi="Abadi"/>
          <w:b w:val="0"/>
          <w:bCs w:val="0"/>
          <w:spacing w:val="11"/>
          <w:sz w:val="21"/>
          <w:szCs w:val="21"/>
        </w:rPr>
        <w:t xml:space="preserve"> </w:t>
      </w:r>
      <w:r w:rsidRPr="00FD5F33">
        <w:rPr>
          <w:rFonts w:ascii="Abadi" w:hAnsi="Abadi"/>
          <w:b w:val="0"/>
          <w:bCs w:val="0"/>
          <w:sz w:val="21"/>
          <w:szCs w:val="21"/>
        </w:rPr>
        <w:t>caso,</w:t>
      </w:r>
      <w:r w:rsidRPr="00FD5F33">
        <w:rPr>
          <w:rFonts w:ascii="Abadi" w:hAnsi="Abadi"/>
          <w:b w:val="0"/>
          <w:bCs w:val="0"/>
          <w:spacing w:val="11"/>
          <w:sz w:val="21"/>
          <w:szCs w:val="21"/>
        </w:rPr>
        <w:t xml:space="preserve"> </w:t>
      </w:r>
      <w:r w:rsidRPr="00FD5F33">
        <w:rPr>
          <w:rFonts w:ascii="Abadi" w:hAnsi="Abadi"/>
          <w:b w:val="0"/>
          <w:bCs w:val="0"/>
          <w:sz w:val="21"/>
          <w:szCs w:val="21"/>
        </w:rPr>
        <w:t>aprobación</w:t>
      </w:r>
      <w:r w:rsidRPr="00FD5F33">
        <w:rPr>
          <w:rFonts w:ascii="Abadi" w:hAnsi="Abadi"/>
          <w:b w:val="0"/>
          <w:bCs w:val="0"/>
          <w:spacing w:val="11"/>
          <w:sz w:val="21"/>
          <w:szCs w:val="21"/>
        </w:rPr>
        <w:t xml:space="preserve"> </w:t>
      </w:r>
      <w:r w:rsidRPr="00FD5F33">
        <w:rPr>
          <w:rFonts w:ascii="Abadi" w:hAnsi="Abadi"/>
          <w:b w:val="0"/>
          <w:bCs w:val="0"/>
          <w:sz w:val="21"/>
          <w:szCs w:val="21"/>
        </w:rPr>
        <w:t>del</w:t>
      </w:r>
      <w:r w:rsidRPr="00FD5F33">
        <w:rPr>
          <w:rFonts w:ascii="Abadi" w:hAnsi="Abadi"/>
          <w:b w:val="0"/>
          <w:bCs w:val="0"/>
          <w:spacing w:val="11"/>
          <w:sz w:val="21"/>
          <w:szCs w:val="21"/>
        </w:rPr>
        <w:t xml:space="preserve"> </w:t>
      </w:r>
      <w:r w:rsidRPr="00FD5F33">
        <w:rPr>
          <w:rFonts w:ascii="Abadi" w:hAnsi="Abadi"/>
          <w:b w:val="0"/>
          <w:bCs w:val="0"/>
          <w:sz w:val="21"/>
          <w:szCs w:val="21"/>
        </w:rPr>
        <w:t>dictamen</w:t>
      </w:r>
      <w:r w:rsidRPr="00FD5F33">
        <w:rPr>
          <w:rFonts w:ascii="Abadi" w:hAnsi="Abadi"/>
          <w:b w:val="0"/>
          <w:bCs w:val="0"/>
          <w:spacing w:val="11"/>
          <w:sz w:val="21"/>
          <w:szCs w:val="21"/>
        </w:rPr>
        <w:t xml:space="preserve"> </w:t>
      </w:r>
      <w:r w:rsidRPr="00FD5F33">
        <w:rPr>
          <w:rFonts w:ascii="Abadi" w:hAnsi="Abadi"/>
          <w:b w:val="0"/>
          <w:bCs w:val="0"/>
          <w:sz w:val="21"/>
          <w:szCs w:val="21"/>
        </w:rPr>
        <w:t>signado</w:t>
      </w:r>
      <w:r w:rsidRPr="00FD5F33">
        <w:rPr>
          <w:rFonts w:ascii="Abadi" w:hAnsi="Abadi"/>
          <w:b w:val="0"/>
          <w:bCs w:val="0"/>
          <w:spacing w:val="11"/>
          <w:sz w:val="21"/>
          <w:szCs w:val="21"/>
        </w:rPr>
        <w:t xml:space="preserve"> </w:t>
      </w:r>
      <w:r w:rsidRPr="00FD5F33">
        <w:rPr>
          <w:rFonts w:ascii="Abadi" w:hAnsi="Abadi"/>
          <w:b w:val="0"/>
          <w:bCs w:val="0"/>
          <w:sz w:val="21"/>
          <w:szCs w:val="21"/>
        </w:rPr>
        <w:t>por</w:t>
      </w:r>
      <w:r w:rsidRPr="00FD5F33">
        <w:rPr>
          <w:rFonts w:ascii="Abadi" w:hAnsi="Abadi"/>
          <w:b w:val="0"/>
          <w:bCs w:val="0"/>
          <w:spacing w:val="11"/>
          <w:sz w:val="21"/>
          <w:szCs w:val="21"/>
        </w:rPr>
        <w:t xml:space="preserve"> </w:t>
      </w:r>
      <w:r w:rsidRPr="00FD5F33">
        <w:rPr>
          <w:rFonts w:ascii="Abadi" w:hAnsi="Abadi"/>
          <w:b w:val="0"/>
          <w:bCs w:val="0"/>
          <w:sz w:val="21"/>
          <w:szCs w:val="21"/>
        </w:rPr>
        <w:t>la</w:t>
      </w:r>
      <w:r w:rsidRPr="00FD5F33">
        <w:rPr>
          <w:rFonts w:ascii="Abadi" w:hAnsi="Abadi"/>
          <w:b w:val="0"/>
          <w:bCs w:val="0"/>
          <w:spacing w:val="11"/>
          <w:sz w:val="21"/>
          <w:szCs w:val="21"/>
        </w:rPr>
        <w:t xml:space="preserve"> </w:t>
      </w:r>
      <w:r w:rsidRPr="00FD5F33">
        <w:rPr>
          <w:rFonts w:ascii="Abadi" w:hAnsi="Abadi"/>
          <w:b w:val="0"/>
          <w:bCs w:val="0"/>
          <w:sz w:val="21"/>
          <w:szCs w:val="21"/>
        </w:rPr>
        <w:t>Comisión de</w:t>
      </w:r>
      <w:r w:rsidRPr="00FD5F33">
        <w:rPr>
          <w:rFonts w:ascii="Abadi" w:hAnsi="Abadi"/>
          <w:b w:val="0"/>
          <w:bCs w:val="0"/>
          <w:spacing w:val="10"/>
          <w:sz w:val="21"/>
          <w:szCs w:val="21"/>
        </w:rPr>
        <w:t xml:space="preserve"> </w:t>
      </w:r>
      <w:r w:rsidRPr="00FD5F33">
        <w:rPr>
          <w:rFonts w:ascii="Abadi" w:hAnsi="Abadi"/>
          <w:b w:val="0"/>
          <w:bCs w:val="0"/>
          <w:sz w:val="21"/>
          <w:szCs w:val="21"/>
        </w:rPr>
        <w:t>Hacienda</w:t>
      </w:r>
      <w:r w:rsidRPr="00FD5F33">
        <w:rPr>
          <w:rFonts w:ascii="Abadi" w:hAnsi="Abadi"/>
          <w:b w:val="0"/>
          <w:bCs w:val="0"/>
          <w:spacing w:val="10"/>
          <w:sz w:val="21"/>
          <w:szCs w:val="21"/>
        </w:rPr>
        <w:t xml:space="preserve"> </w:t>
      </w:r>
      <w:r w:rsidRPr="00FD5F33">
        <w:rPr>
          <w:rFonts w:ascii="Abadi" w:hAnsi="Abadi"/>
          <w:b w:val="0"/>
          <w:bCs w:val="0"/>
          <w:sz w:val="21"/>
          <w:szCs w:val="21"/>
        </w:rPr>
        <w:t>y</w:t>
      </w:r>
      <w:r w:rsidRPr="00FD5F33">
        <w:rPr>
          <w:rFonts w:ascii="Abadi" w:hAnsi="Abadi"/>
          <w:b w:val="0"/>
          <w:bCs w:val="0"/>
          <w:spacing w:val="10"/>
          <w:sz w:val="21"/>
          <w:szCs w:val="21"/>
        </w:rPr>
        <w:t xml:space="preserve"> </w:t>
      </w:r>
      <w:r w:rsidRPr="00FD5F33">
        <w:rPr>
          <w:rFonts w:ascii="Abadi" w:hAnsi="Abadi"/>
          <w:b w:val="0"/>
          <w:bCs w:val="0"/>
          <w:sz w:val="21"/>
          <w:szCs w:val="21"/>
        </w:rPr>
        <w:t>Fiscalización</w:t>
      </w:r>
      <w:r w:rsidRPr="00FD5F33">
        <w:rPr>
          <w:rFonts w:ascii="Abadi" w:hAnsi="Abadi"/>
          <w:b w:val="0"/>
          <w:bCs w:val="0"/>
          <w:spacing w:val="10"/>
          <w:sz w:val="21"/>
          <w:szCs w:val="21"/>
        </w:rPr>
        <w:t xml:space="preserve"> </w:t>
      </w:r>
      <w:r w:rsidRPr="00FD5F33">
        <w:rPr>
          <w:rFonts w:ascii="Abadi" w:hAnsi="Abadi"/>
          <w:b w:val="0"/>
          <w:bCs w:val="0"/>
          <w:sz w:val="21"/>
          <w:szCs w:val="21"/>
        </w:rPr>
        <w:t>relativo</w:t>
      </w:r>
      <w:r w:rsidRPr="00FD5F33">
        <w:rPr>
          <w:rFonts w:ascii="Abadi" w:hAnsi="Abadi"/>
          <w:b w:val="0"/>
          <w:bCs w:val="0"/>
          <w:spacing w:val="10"/>
          <w:sz w:val="21"/>
          <w:szCs w:val="21"/>
        </w:rPr>
        <w:t xml:space="preserve"> </w:t>
      </w:r>
      <w:r w:rsidRPr="00FD5F33">
        <w:rPr>
          <w:rFonts w:ascii="Abadi" w:hAnsi="Abadi"/>
          <w:b w:val="0"/>
          <w:bCs w:val="0"/>
          <w:sz w:val="21"/>
          <w:szCs w:val="21"/>
        </w:rPr>
        <w:t>al</w:t>
      </w:r>
      <w:r w:rsidRPr="00FD5F33">
        <w:rPr>
          <w:rFonts w:ascii="Abadi" w:hAnsi="Abadi"/>
          <w:b w:val="0"/>
          <w:bCs w:val="0"/>
          <w:spacing w:val="9"/>
          <w:sz w:val="21"/>
          <w:szCs w:val="21"/>
        </w:rPr>
        <w:t xml:space="preserve"> </w:t>
      </w:r>
      <w:r w:rsidRPr="00FD5F33">
        <w:rPr>
          <w:rFonts w:ascii="Abadi" w:hAnsi="Abadi"/>
          <w:b w:val="0"/>
          <w:bCs w:val="0"/>
          <w:sz w:val="21"/>
          <w:szCs w:val="21"/>
        </w:rPr>
        <w:t>informe</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resultados</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revisión practicada</w:t>
      </w:r>
      <w:r w:rsidRPr="00FD5F33">
        <w:rPr>
          <w:rFonts w:ascii="Abadi" w:hAnsi="Abadi"/>
          <w:b w:val="0"/>
          <w:bCs w:val="0"/>
          <w:spacing w:val="16"/>
          <w:sz w:val="21"/>
          <w:szCs w:val="21"/>
        </w:rPr>
        <w:t xml:space="preserve"> </w:t>
      </w:r>
      <w:r w:rsidRPr="00FD5F33">
        <w:rPr>
          <w:rFonts w:ascii="Abadi" w:hAnsi="Abadi"/>
          <w:b w:val="0"/>
          <w:bCs w:val="0"/>
          <w:sz w:val="21"/>
          <w:szCs w:val="21"/>
        </w:rPr>
        <w:t>por</w:t>
      </w:r>
      <w:r w:rsidRPr="00FD5F33">
        <w:rPr>
          <w:rFonts w:ascii="Abadi" w:hAnsi="Abadi"/>
          <w:b w:val="0"/>
          <w:bCs w:val="0"/>
          <w:spacing w:val="16"/>
          <w:sz w:val="21"/>
          <w:szCs w:val="21"/>
        </w:rPr>
        <w:t xml:space="preserve"> </w:t>
      </w:r>
      <w:r w:rsidRPr="00FD5F33">
        <w:rPr>
          <w:rFonts w:ascii="Abadi" w:hAnsi="Abadi"/>
          <w:b w:val="0"/>
          <w:bCs w:val="0"/>
          <w:sz w:val="21"/>
          <w:szCs w:val="21"/>
        </w:rPr>
        <w:t>la</w:t>
      </w:r>
      <w:r w:rsidRPr="00FD5F33">
        <w:rPr>
          <w:rFonts w:ascii="Abadi" w:hAnsi="Abadi"/>
          <w:b w:val="0"/>
          <w:bCs w:val="0"/>
          <w:spacing w:val="16"/>
          <w:sz w:val="21"/>
          <w:szCs w:val="21"/>
        </w:rPr>
        <w:t xml:space="preserve"> </w:t>
      </w:r>
      <w:r w:rsidRPr="00FD5F33">
        <w:rPr>
          <w:rFonts w:ascii="Abadi" w:hAnsi="Abadi"/>
          <w:b w:val="0"/>
          <w:bCs w:val="0"/>
          <w:sz w:val="21"/>
          <w:szCs w:val="21"/>
        </w:rPr>
        <w:t>Auditoría</w:t>
      </w:r>
      <w:r w:rsidRPr="00FD5F33">
        <w:rPr>
          <w:rFonts w:ascii="Abadi" w:hAnsi="Abadi"/>
          <w:b w:val="0"/>
          <w:bCs w:val="0"/>
          <w:spacing w:val="16"/>
          <w:sz w:val="21"/>
          <w:szCs w:val="21"/>
        </w:rPr>
        <w:t xml:space="preserve"> </w:t>
      </w:r>
      <w:r w:rsidRPr="00FD5F33">
        <w:rPr>
          <w:rFonts w:ascii="Abadi" w:hAnsi="Abadi"/>
          <w:b w:val="0"/>
          <w:bCs w:val="0"/>
          <w:sz w:val="21"/>
          <w:szCs w:val="21"/>
        </w:rPr>
        <w:t>Superior</w:t>
      </w:r>
      <w:r w:rsidRPr="00FD5F33">
        <w:rPr>
          <w:rFonts w:ascii="Abadi" w:hAnsi="Abadi"/>
          <w:b w:val="0"/>
          <w:bCs w:val="0"/>
          <w:spacing w:val="16"/>
          <w:sz w:val="21"/>
          <w:szCs w:val="21"/>
        </w:rPr>
        <w:t xml:space="preserve"> </w:t>
      </w:r>
      <w:r w:rsidRPr="00FD5F33">
        <w:rPr>
          <w:rFonts w:ascii="Abadi" w:hAnsi="Abadi"/>
          <w:b w:val="0"/>
          <w:bCs w:val="0"/>
          <w:sz w:val="21"/>
          <w:szCs w:val="21"/>
        </w:rPr>
        <w:t>del</w:t>
      </w:r>
      <w:r w:rsidRPr="00FD5F33">
        <w:rPr>
          <w:rFonts w:ascii="Abadi" w:hAnsi="Abadi"/>
          <w:b w:val="0"/>
          <w:bCs w:val="0"/>
          <w:spacing w:val="16"/>
          <w:sz w:val="21"/>
          <w:szCs w:val="21"/>
        </w:rPr>
        <w:t xml:space="preserve"> </w:t>
      </w:r>
      <w:r w:rsidRPr="00FD5F33">
        <w:rPr>
          <w:rFonts w:ascii="Abadi" w:hAnsi="Abadi"/>
          <w:b w:val="0"/>
          <w:bCs w:val="0"/>
          <w:sz w:val="21"/>
          <w:szCs w:val="21"/>
        </w:rPr>
        <w:t>Estado</w:t>
      </w:r>
      <w:r w:rsidRPr="00FD5F33">
        <w:rPr>
          <w:rFonts w:ascii="Abadi" w:hAnsi="Abadi"/>
          <w:b w:val="0"/>
          <w:bCs w:val="0"/>
          <w:spacing w:val="16"/>
          <w:sz w:val="21"/>
          <w:szCs w:val="21"/>
        </w:rPr>
        <w:t xml:space="preserve"> </w:t>
      </w:r>
      <w:r w:rsidRPr="00FD5F33">
        <w:rPr>
          <w:rFonts w:ascii="Abadi" w:hAnsi="Abadi"/>
          <w:b w:val="0"/>
          <w:bCs w:val="0"/>
          <w:sz w:val="21"/>
          <w:szCs w:val="21"/>
        </w:rPr>
        <w:t>de</w:t>
      </w:r>
      <w:r w:rsidRPr="00FD5F33">
        <w:rPr>
          <w:rFonts w:ascii="Abadi" w:hAnsi="Abadi"/>
          <w:b w:val="0"/>
          <w:bCs w:val="0"/>
          <w:spacing w:val="16"/>
          <w:sz w:val="21"/>
          <w:szCs w:val="21"/>
        </w:rPr>
        <w:t xml:space="preserve"> </w:t>
      </w:r>
      <w:r w:rsidRPr="00FD5F33">
        <w:rPr>
          <w:rFonts w:ascii="Abadi" w:hAnsi="Abadi"/>
          <w:b w:val="0"/>
          <w:bCs w:val="0"/>
          <w:sz w:val="21"/>
          <w:szCs w:val="21"/>
        </w:rPr>
        <w:t>Guanajuato</w:t>
      </w:r>
      <w:r w:rsidRPr="00FD5F33">
        <w:rPr>
          <w:rFonts w:ascii="Abadi" w:hAnsi="Abadi"/>
          <w:b w:val="0"/>
          <w:bCs w:val="0"/>
          <w:spacing w:val="16"/>
          <w:sz w:val="21"/>
          <w:szCs w:val="21"/>
        </w:rPr>
        <w:t xml:space="preserve"> </w:t>
      </w:r>
      <w:r w:rsidRPr="00FD5F33">
        <w:rPr>
          <w:rFonts w:ascii="Abadi" w:hAnsi="Abadi"/>
          <w:b w:val="0"/>
          <w:bCs w:val="0"/>
          <w:sz w:val="21"/>
          <w:szCs w:val="21"/>
        </w:rPr>
        <w:t>a</w:t>
      </w:r>
      <w:r w:rsidRPr="00FD5F33">
        <w:rPr>
          <w:rFonts w:ascii="Abadi" w:hAnsi="Abadi"/>
          <w:b w:val="0"/>
          <w:bCs w:val="0"/>
          <w:spacing w:val="16"/>
          <w:sz w:val="21"/>
          <w:szCs w:val="21"/>
        </w:rPr>
        <w:t xml:space="preserve"> </w:t>
      </w:r>
      <w:r w:rsidRPr="00FD5F33">
        <w:rPr>
          <w:rFonts w:ascii="Abadi" w:hAnsi="Abadi"/>
          <w:b w:val="0"/>
          <w:bCs w:val="0"/>
          <w:sz w:val="21"/>
          <w:szCs w:val="21"/>
        </w:rPr>
        <w:t>la</w:t>
      </w:r>
      <w:r w:rsidRPr="00FD5F33">
        <w:rPr>
          <w:rFonts w:ascii="Abadi" w:hAnsi="Abadi"/>
          <w:b w:val="0"/>
          <w:bCs w:val="0"/>
          <w:spacing w:val="16"/>
          <w:sz w:val="21"/>
          <w:szCs w:val="21"/>
        </w:rPr>
        <w:t xml:space="preserve"> </w:t>
      </w:r>
      <w:r w:rsidRPr="00FD5F33">
        <w:rPr>
          <w:rFonts w:ascii="Abadi" w:hAnsi="Abadi"/>
          <w:b w:val="0"/>
          <w:bCs w:val="0"/>
          <w:sz w:val="21"/>
          <w:szCs w:val="21"/>
        </w:rPr>
        <w:t>cuenta pública</w:t>
      </w:r>
      <w:r w:rsidRPr="00FD5F33">
        <w:rPr>
          <w:rFonts w:ascii="Abadi" w:hAnsi="Abadi"/>
          <w:b w:val="0"/>
          <w:bCs w:val="0"/>
          <w:spacing w:val="21"/>
          <w:sz w:val="21"/>
          <w:szCs w:val="21"/>
        </w:rPr>
        <w:t xml:space="preserve"> </w:t>
      </w:r>
      <w:r w:rsidRPr="00FD5F33">
        <w:rPr>
          <w:rFonts w:ascii="Abadi" w:hAnsi="Abadi"/>
          <w:b w:val="0"/>
          <w:bCs w:val="0"/>
          <w:sz w:val="21"/>
          <w:szCs w:val="21"/>
        </w:rPr>
        <w:t>del</w:t>
      </w:r>
      <w:r w:rsidRPr="00FD5F33">
        <w:rPr>
          <w:rFonts w:ascii="Abadi" w:hAnsi="Abadi"/>
          <w:b w:val="0"/>
          <w:bCs w:val="0"/>
          <w:spacing w:val="21"/>
          <w:sz w:val="21"/>
          <w:szCs w:val="21"/>
        </w:rPr>
        <w:t xml:space="preserve"> </w:t>
      </w:r>
      <w:r w:rsidRPr="00FD5F33">
        <w:rPr>
          <w:rFonts w:ascii="Abadi" w:hAnsi="Abadi"/>
          <w:b w:val="0"/>
          <w:bCs w:val="0"/>
          <w:sz w:val="21"/>
          <w:szCs w:val="21"/>
        </w:rPr>
        <w:t>Poder</w:t>
      </w:r>
      <w:r w:rsidRPr="00FD5F33">
        <w:rPr>
          <w:rFonts w:ascii="Abadi" w:hAnsi="Abadi"/>
          <w:b w:val="0"/>
          <w:bCs w:val="0"/>
          <w:spacing w:val="21"/>
          <w:sz w:val="21"/>
          <w:szCs w:val="21"/>
        </w:rPr>
        <w:t xml:space="preserve"> </w:t>
      </w:r>
      <w:r w:rsidRPr="00FD5F33">
        <w:rPr>
          <w:rFonts w:ascii="Abadi" w:hAnsi="Abadi"/>
          <w:b w:val="0"/>
          <w:bCs w:val="0"/>
          <w:sz w:val="21"/>
          <w:szCs w:val="21"/>
        </w:rPr>
        <w:t>Ejecutivo</w:t>
      </w:r>
      <w:r w:rsidRPr="00FD5F33">
        <w:rPr>
          <w:rFonts w:ascii="Abadi" w:hAnsi="Abadi"/>
          <w:b w:val="0"/>
          <w:bCs w:val="0"/>
          <w:spacing w:val="21"/>
          <w:sz w:val="21"/>
          <w:szCs w:val="21"/>
        </w:rPr>
        <w:t xml:space="preserve"> </w:t>
      </w:r>
      <w:r w:rsidRPr="00FD5F33">
        <w:rPr>
          <w:rFonts w:ascii="Abadi" w:hAnsi="Abadi"/>
          <w:b w:val="0"/>
          <w:bCs w:val="0"/>
          <w:sz w:val="21"/>
          <w:szCs w:val="21"/>
        </w:rPr>
        <w:t>del</w:t>
      </w:r>
      <w:r w:rsidRPr="00FD5F33">
        <w:rPr>
          <w:rFonts w:ascii="Abadi" w:hAnsi="Abadi"/>
          <w:b w:val="0"/>
          <w:bCs w:val="0"/>
          <w:spacing w:val="21"/>
          <w:sz w:val="21"/>
          <w:szCs w:val="21"/>
        </w:rPr>
        <w:t xml:space="preserve"> </w:t>
      </w:r>
      <w:r w:rsidRPr="00FD5F33">
        <w:rPr>
          <w:rFonts w:ascii="Abadi" w:hAnsi="Abadi"/>
          <w:b w:val="0"/>
          <w:bCs w:val="0"/>
          <w:sz w:val="21"/>
          <w:szCs w:val="21"/>
        </w:rPr>
        <w:t>Estado</w:t>
      </w:r>
      <w:r w:rsidRPr="00FD5F33">
        <w:rPr>
          <w:rFonts w:ascii="Abadi" w:hAnsi="Abadi"/>
          <w:b w:val="0"/>
          <w:bCs w:val="0"/>
          <w:spacing w:val="21"/>
          <w:sz w:val="21"/>
          <w:szCs w:val="21"/>
        </w:rPr>
        <w:t xml:space="preserve"> </w:t>
      </w:r>
      <w:r w:rsidRPr="00FD5F33">
        <w:rPr>
          <w:rFonts w:ascii="Abadi" w:hAnsi="Abadi"/>
          <w:b w:val="0"/>
          <w:bCs w:val="0"/>
          <w:sz w:val="21"/>
          <w:szCs w:val="21"/>
        </w:rPr>
        <w:t>de</w:t>
      </w:r>
      <w:r w:rsidRPr="00FD5F33">
        <w:rPr>
          <w:rFonts w:ascii="Abadi" w:hAnsi="Abadi"/>
          <w:b w:val="0"/>
          <w:bCs w:val="0"/>
          <w:spacing w:val="21"/>
          <w:sz w:val="21"/>
          <w:szCs w:val="21"/>
        </w:rPr>
        <w:t xml:space="preserve"> </w:t>
      </w:r>
      <w:r w:rsidRPr="00FD5F33">
        <w:rPr>
          <w:rFonts w:ascii="Abadi" w:hAnsi="Abadi"/>
          <w:b w:val="0"/>
          <w:bCs w:val="0"/>
          <w:sz w:val="21"/>
          <w:szCs w:val="21"/>
        </w:rPr>
        <w:t>Guanajuato,</w:t>
      </w:r>
      <w:r w:rsidRPr="00FD5F33">
        <w:rPr>
          <w:rFonts w:ascii="Abadi" w:hAnsi="Abadi"/>
          <w:b w:val="0"/>
          <w:bCs w:val="0"/>
          <w:spacing w:val="21"/>
          <w:sz w:val="21"/>
          <w:szCs w:val="21"/>
        </w:rPr>
        <w:t xml:space="preserve"> </w:t>
      </w:r>
      <w:r w:rsidRPr="00FD5F33">
        <w:rPr>
          <w:rFonts w:ascii="Abadi" w:hAnsi="Abadi"/>
          <w:b w:val="0"/>
          <w:bCs w:val="0"/>
          <w:sz w:val="21"/>
          <w:szCs w:val="21"/>
        </w:rPr>
        <w:t>correspondiente</w:t>
      </w:r>
      <w:r w:rsidRPr="00FD5F33">
        <w:rPr>
          <w:rFonts w:ascii="Abadi" w:hAnsi="Abadi"/>
          <w:b w:val="0"/>
          <w:bCs w:val="0"/>
          <w:spacing w:val="21"/>
          <w:sz w:val="21"/>
          <w:szCs w:val="21"/>
        </w:rPr>
        <w:t xml:space="preserve"> </w:t>
      </w:r>
      <w:r w:rsidRPr="00FD5F33">
        <w:rPr>
          <w:rFonts w:ascii="Abadi" w:hAnsi="Abadi"/>
          <w:b w:val="0"/>
          <w:bCs w:val="0"/>
          <w:sz w:val="21"/>
          <w:szCs w:val="21"/>
        </w:rPr>
        <w:t xml:space="preserve">al ejercicio fiscal del año 2020. </w:t>
      </w:r>
      <w:r w:rsidRPr="009A3D12">
        <w:rPr>
          <w:rFonts w:ascii="Abadi" w:hAnsi="Abadi"/>
          <w:sz w:val="21"/>
          <w:szCs w:val="21"/>
        </w:rPr>
        <w:t>LV.-</w:t>
      </w:r>
      <w:r>
        <w:rPr>
          <w:rFonts w:ascii="Abadi" w:hAnsi="Abadi"/>
          <w:sz w:val="21"/>
          <w:szCs w:val="21"/>
        </w:rPr>
        <w:t xml:space="preserve"> </w:t>
      </w:r>
      <w:r w:rsidRPr="00FD5F33">
        <w:rPr>
          <w:rFonts w:ascii="Abadi" w:hAnsi="Abadi"/>
          <w:b w:val="0"/>
          <w:bCs w:val="0"/>
          <w:sz w:val="21"/>
          <w:szCs w:val="21"/>
        </w:rPr>
        <w:t>Discusión</w:t>
      </w:r>
      <w:r w:rsidRPr="00FD5F33">
        <w:rPr>
          <w:rFonts w:ascii="Abadi" w:hAnsi="Abadi"/>
          <w:b w:val="0"/>
          <w:bCs w:val="0"/>
          <w:spacing w:val="11"/>
          <w:sz w:val="21"/>
          <w:szCs w:val="21"/>
        </w:rPr>
        <w:t xml:space="preserve"> </w:t>
      </w:r>
      <w:r w:rsidRPr="00FD5F33">
        <w:rPr>
          <w:rFonts w:ascii="Abadi" w:hAnsi="Abadi"/>
          <w:b w:val="0"/>
          <w:bCs w:val="0"/>
          <w:sz w:val="21"/>
          <w:szCs w:val="21"/>
        </w:rPr>
        <w:t>y,</w:t>
      </w:r>
      <w:r w:rsidRPr="00FD5F33">
        <w:rPr>
          <w:rFonts w:ascii="Abadi" w:hAnsi="Abadi"/>
          <w:b w:val="0"/>
          <w:bCs w:val="0"/>
          <w:spacing w:val="11"/>
          <w:sz w:val="21"/>
          <w:szCs w:val="21"/>
        </w:rPr>
        <w:t xml:space="preserve"> </w:t>
      </w:r>
      <w:r w:rsidRPr="00FD5F33">
        <w:rPr>
          <w:rFonts w:ascii="Abadi" w:hAnsi="Abadi"/>
          <w:b w:val="0"/>
          <w:bCs w:val="0"/>
          <w:sz w:val="21"/>
          <w:szCs w:val="21"/>
        </w:rPr>
        <w:t>en</w:t>
      </w:r>
      <w:r w:rsidRPr="00FD5F33">
        <w:rPr>
          <w:rFonts w:ascii="Abadi" w:hAnsi="Abadi"/>
          <w:b w:val="0"/>
          <w:bCs w:val="0"/>
          <w:spacing w:val="11"/>
          <w:sz w:val="21"/>
          <w:szCs w:val="21"/>
        </w:rPr>
        <w:t xml:space="preserve"> </w:t>
      </w:r>
      <w:r w:rsidRPr="00FD5F33">
        <w:rPr>
          <w:rFonts w:ascii="Abadi" w:hAnsi="Abadi"/>
          <w:b w:val="0"/>
          <w:bCs w:val="0"/>
          <w:sz w:val="21"/>
          <w:szCs w:val="21"/>
        </w:rPr>
        <w:t>su</w:t>
      </w:r>
      <w:r w:rsidRPr="00FD5F33">
        <w:rPr>
          <w:rFonts w:ascii="Abadi" w:hAnsi="Abadi"/>
          <w:b w:val="0"/>
          <w:bCs w:val="0"/>
          <w:spacing w:val="11"/>
          <w:sz w:val="21"/>
          <w:szCs w:val="21"/>
        </w:rPr>
        <w:t xml:space="preserve"> </w:t>
      </w:r>
      <w:r w:rsidRPr="00FD5F33">
        <w:rPr>
          <w:rFonts w:ascii="Abadi" w:hAnsi="Abadi"/>
          <w:b w:val="0"/>
          <w:bCs w:val="0"/>
          <w:sz w:val="21"/>
          <w:szCs w:val="21"/>
        </w:rPr>
        <w:t>caso,</w:t>
      </w:r>
      <w:r w:rsidRPr="00FD5F33">
        <w:rPr>
          <w:rFonts w:ascii="Abadi" w:hAnsi="Abadi"/>
          <w:b w:val="0"/>
          <w:bCs w:val="0"/>
          <w:spacing w:val="11"/>
          <w:sz w:val="21"/>
          <w:szCs w:val="21"/>
        </w:rPr>
        <w:t xml:space="preserve"> </w:t>
      </w:r>
      <w:r w:rsidRPr="00FD5F33">
        <w:rPr>
          <w:rFonts w:ascii="Abadi" w:hAnsi="Abadi"/>
          <w:b w:val="0"/>
          <w:bCs w:val="0"/>
          <w:sz w:val="21"/>
          <w:szCs w:val="21"/>
        </w:rPr>
        <w:t>aprobación</w:t>
      </w:r>
      <w:r w:rsidRPr="00FD5F33">
        <w:rPr>
          <w:rFonts w:ascii="Abadi" w:hAnsi="Abadi"/>
          <w:b w:val="0"/>
          <w:bCs w:val="0"/>
          <w:spacing w:val="11"/>
          <w:sz w:val="21"/>
          <w:szCs w:val="21"/>
        </w:rPr>
        <w:t xml:space="preserve"> </w:t>
      </w:r>
      <w:r w:rsidRPr="00FD5F33">
        <w:rPr>
          <w:rFonts w:ascii="Abadi" w:hAnsi="Abadi"/>
          <w:b w:val="0"/>
          <w:bCs w:val="0"/>
          <w:sz w:val="21"/>
          <w:szCs w:val="21"/>
        </w:rPr>
        <w:t>del</w:t>
      </w:r>
      <w:r w:rsidRPr="00FD5F33">
        <w:rPr>
          <w:rFonts w:ascii="Abadi" w:hAnsi="Abadi"/>
          <w:b w:val="0"/>
          <w:bCs w:val="0"/>
          <w:spacing w:val="11"/>
          <w:sz w:val="21"/>
          <w:szCs w:val="21"/>
        </w:rPr>
        <w:t xml:space="preserve"> </w:t>
      </w:r>
      <w:r w:rsidRPr="00FD5F33">
        <w:rPr>
          <w:rFonts w:ascii="Abadi" w:hAnsi="Abadi"/>
          <w:b w:val="0"/>
          <w:bCs w:val="0"/>
          <w:sz w:val="21"/>
          <w:szCs w:val="21"/>
        </w:rPr>
        <w:t>dictamen</w:t>
      </w:r>
      <w:r w:rsidRPr="00FD5F33">
        <w:rPr>
          <w:rFonts w:ascii="Abadi" w:hAnsi="Abadi"/>
          <w:b w:val="0"/>
          <w:bCs w:val="0"/>
          <w:spacing w:val="11"/>
          <w:sz w:val="21"/>
          <w:szCs w:val="21"/>
        </w:rPr>
        <w:t xml:space="preserve"> </w:t>
      </w:r>
      <w:r w:rsidRPr="00FD5F33">
        <w:rPr>
          <w:rFonts w:ascii="Abadi" w:hAnsi="Abadi"/>
          <w:b w:val="0"/>
          <w:bCs w:val="0"/>
          <w:sz w:val="21"/>
          <w:szCs w:val="21"/>
        </w:rPr>
        <w:t>signado</w:t>
      </w:r>
      <w:r w:rsidRPr="00FD5F33">
        <w:rPr>
          <w:rFonts w:ascii="Abadi" w:hAnsi="Abadi"/>
          <w:b w:val="0"/>
          <w:bCs w:val="0"/>
          <w:spacing w:val="11"/>
          <w:sz w:val="21"/>
          <w:szCs w:val="21"/>
        </w:rPr>
        <w:t xml:space="preserve"> </w:t>
      </w:r>
      <w:r w:rsidRPr="00FD5F33">
        <w:rPr>
          <w:rFonts w:ascii="Abadi" w:hAnsi="Abadi"/>
          <w:b w:val="0"/>
          <w:bCs w:val="0"/>
          <w:sz w:val="21"/>
          <w:szCs w:val="21"/>
        </w:rPr>
        <w:t>por</w:t>
      </w:r>
      <w:r w:rsidRPr="00FD5F33">
        <w:rPr>
          <w:rFonts w:ascii="Abadi" w:hAnsi="Abadi"/>
          <w:b w:val="0"/>
          <w:bCs w:val="0"/>
          <w:spacing w:val="11"/>
          <w:sz w:val="21"/>
          <w:szCs w:val="21"/>
        </w:rPr>
        <w:t xml:space="preserve"> </w:t>
      </w:r>
      <w:r w:rsidRPr="00FD5F33">
        <w:rPr>
          <w:rFonts w:ascii="Abadi" w:hAnsi="Abadi"/>
          <w:b w:val="0"/>
          <w:bCs w:val="0"/>
          <w:sz w:val="21"/>
          <w:szCs w:val="21"/>
        </w:rPr>
        <w:t>la</w:t>
      </w:r>
      <w:r w:rsidRPr="00FD5F33">
        <w:rPr>
          <w:rFonts w:ascii="Abadi" w:hAnsi="Abadi"/>
          <w:b w:val="0"/>
          <w:bCs w:val="0"/>
          <w:spacing w:val="11"/>
          <w:sz w:val="21"/>
          <w:szCs w:val="21"/>
        </w:rPr>
        <w:t xml:space="preserve"> </w:t>
      </w:r>
      <w:r w:rsidRPr="00FD5F33">
        <w:rPr>
          <w:rFonts w:ascii="Abadi" w:hAnsi="Abadi"/>
          <w:b w:val="0"/>
          <w:bCs w:val="0"/>
          <w:sz w:val="21"/>
          <w:szCs w:val="21"/>
        </w:rPr>
        <w:t>Comisión de</w:t>
      </w:r>
      <w:r w:rsidRPr="00FD5F33">
        <w:rPr>
          <w:rFonts w:ascii="Abadi" w:hAnsi="Abadi"/>
          <w:b w:val="0"/>
          <w:bCs w:val="0"/>
          <w:spacing w:val="10"/>
          <w:sz w:val="21"/>
          <w:szCs w:val="21"/>
        </w:rPr>
        <w:t xml:space="preserve"> </w:t>
      </w:r>
      <w:r w:rsidRPr="00FD5F33">
        <w:rPr>
          <w:rFonts w:ascii="Abadi" w:hAnsi="Abadi"/>
          <w:b w:val="0"/>
          <w:bCs w:val="0"/>
          <w:sz w:val="21"/>
          <w:szCs w:val="21"/>
        </w:rPr>
        <w:t>Hacienda</w:t>
      </w:r>
      <w:r w:rsidRPr="00FD5F33">
        <w:rPr>
          <w:rFonts w:ascii="Abadi" w:hAnsi="Abadi"/>
          <w:b w:val="0"/>
          <w:bCs w:val="0"/>
          <w:spacing w:val="10"/>
          <w:sz w:val="21"/>
          <w:szCs w:val="21"/>
        </w:rPr>
        <w:t xml:space="preserve"> </w:t>
      </w:r>
      <w:r w:rsidRPr="00FD5F33">
        <w:rPr>
          <w:rFonts w:ascii="Abadi" w:hAnsi="Abadi"/>
          <w:b w:val="0"/>
          <w:bCs w:val="0"/>
          <w:sz w:val="21"/>
          <w:szCs w:val="21"/>
        </w:rPr>
        <w:t>y</w:t>
      </w:r>
      <w:r w:rsidRPr="00FD5F33">
        <w:rPr>
          <w:rFonts w:ascii="Abadi" w:hAnsi="Abadi"/>
          <w:b w:val="0"/>
          <w:bCs w:val="0"/>
          <w:spacing w:val="10"/>
          <w:sz w:val="21"/>
          <w:szCs w:val="21"/>
        </w:rPr>
        <w:t xml:space="preserve"> </w:t>
      </w:r>
      <w:r w:rsidRPr="00FD5F33">
        <w:rPr>
          <w:rFonts w:ascii="Abadi" w:hAnsi="Abadi"/>
          <w:b w:val="0"/>
          <w:bCs w:val="0"/>
          <w:sz w:val="21"/>
          <w:szCs w:val="21"/>
        </w:rPr>
        <w:t>Fiscalización</w:t>
      </w:r>
      <w:r w:rsidRPr="00FD5F33">
        <w:rPr>
          <w:rFonts w:ascii="Abadi" w:hAnsi="Abadi"/>
          <w:b w:val="0"/>
          <w:bCs w:val="0"/>
          <w:spacing w:val="10"/>
          <w:sz w:val="21"/>
          <w:szCs w:val="21"/>
        </w:rPr>
        <w:t xml:space="preserve"> </w:t>
      </w:r>
      <w:r w:rsidRPr="00FD5F33">
        <w:rPr>
          <w:rFonts w:ascii="Abadi" w:hAnsi="Abadi"/>
          <w:b w:val="0"/>
          <w:bCs w:val="0"/>
          <w:sz w:val="21"/>
          <w:szCs w:val="21"/>
        </w:rPr>
        <w:t>relativo</w:t>
      </w:r>
      <w:r w:rsidRPr="00FD5F33">
        <w:rPr>
          <w:rFonts w:ascii="Abadi" w:hAnsi="Abadi"/>
          <w:b w:val="0"/>
          <w:bCs w:val="0"/>
          <w:spacing w:val="10"/>
          <w:sz w:val="21"/>
          <w:szCs w:val="21"/>
        </w:rPr>
        <w:t xml:space="preserve"> </w:t>
      </w:r>
      <w:r w:rsidRPr="00FD5F33">
        <w:rPr>
          <w:rFonts w:ascii="Abadi" w:hAnsi="Abadi"/>
          <w:b w:val="0"/>
          <w:bCs w:val="0"/>
          <w:sz w:val="21"/>
          <w:szCs w:val="21"/>
        </w:rPr>
        <w:t>al</w:t>
      </w:r>
      <w:r w:rsidRPr="00FD5F33">
        <w:rPr>
          <w:rFonts w:ascii="Abadi" w:hAnsi="Abadi"/>
          <w:b w:val="0"/>
          <w:bCs w:val="0"/>
          <w:spacing w:val="9"/>
          <w:sz w:val="21"/>
          <w:szCs w:val="21"/>
        </w:rPr>
        <w:t xml:space="preserve"> </w:t>
      </w:r>
      <w:r w:rsidRPr="00FD5F33">
        <w:rPr>
          <w:rFonts w:ascii="Abadi" w:hAnsi="Abadi"/>
          <w:b w:val="0"/>
          <w:bCs w:val="0"/>
          <w:sz w:val="21"/>
          <w:szCs w:val="21"/>
        </w:rPr>
        <w:t>informe</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resultados</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revisión practicada</w:t>
      </w:r>
      <w:r w:rsidRPr="00FD5F33">
        <w:rPr>
          <w:rFonts w:ascii="Abadi" w:hAnsi="Abadi"/>
          <w:b w:val="0"/>
          <w:bCs w:val="0"/>
          <w:spacing w:val="10"/>
          <w:sz w:val="21"/>
          <w:szCs w:val="21"/>
        </w:rPr>
        <w:t xml:space="preserve"> </w:t>
      </w:r>
      <w:r w:rsidRPr="00FD5F33">
        <w:rPr>
          <w:rFonts w:ascii="Abadi" w:hAnsi="Abadi"/>
          <w:b w:val="0"/>
          <w:bCs w:val="0"/>
          <w:sz w:val="21"/>
          <w:szCs w:val="21"/>
        </w:rPr>
        <w:t>por</w:t>
      </w:r>
      <w:r w:rsidRPr="00FD5F33">
        <w:rPr>
          <w:rFonts w:ascii="Abadi" w:hAnsi="Abadi"/>
          <w:b w:val="0"/>
          <w:bCs w:val="0"/>
          <w:spacing w:val="9"/>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Auditoría</w:t>
      </w:r>
      <w:r w:rsidRPr="00FD5F33">
        <w:rPr>
          <w:rFonts w:ascii="Abadi" w:hAnsi="Abadi"/>
          <w:b w:val="0"/>
          <w:bCs w:val="0"/>
          <w:spacing w:val="9"/>
          <w:sz w:val="21"/>
          <w:szCs w:val="21"/>
        </w:rPr>
        <w:t xml:space="preserve"> </w:t>
      </w:r>
      <w:r w:rsidRPr="00FD5F33">
        <w:rPr>
          <w:rFonts w:ascii="Abadi" w:hAnsi="Abadi"/>
          <w:b w:val="0"/>
          <w:bCs w:val="0"/>
          <w:sz w:val="21"/>
          <w:szCs w:val="21"/>
        </w:rPr>
        <w:t>Superior</w:t>
      </w:r>
      <w:r w:rsidRPr="00FD5F33">
        <w:rPr>
          <w:rFonts w:ascii="Abadi" w:hAnsi="Abadi"/>
          <w:b w:val="0"/>
          <w:bCs w:val="0"/>
          <w:spacing w:val="9"/>
          <w:sz w:val="21"/>
          <w:szCs w:val="21"/>
        </w:rPr>
        <w:t xml:space="preserve"> </w:t>
      </w:r>
      <w:r w:rsidRPr="00FD5F33">
        <w:rPr>
          <w:rFonts w:ascii="Abadi" w:hAnsi="Abadi"/>
          <w:b w:val="0"/>
          <w:bCs w:val="0"/>
          <w:sz w:val="21"/>
          <w:szCs w:val="21"/>
        </w:rPr>
        <w:t>del</w:t>
      </w:r>
      <w:r w:rsidRPr="00FD5F33">
        <w:rPr>
          <w:rFonts w:ascii="Abadi" w:hAnsi="Abadi"/>
          <w:b w:val="0"/>
          <w:bCs w:val="0"/>
          <w:spacing w:val="9"/>
          <w:sz w:val="21"/>
          <w:szCs w:val="21"/>
        </w:rPr>
        <w:t xml:space="preserve"> </w:t>
      </w:r>
      <w:r w:rsidRPr="00FD5F33">
        <w:rPr>
          <w:rFonts w:ascii="Abadi" w:hAnsi="Abadi"/>
          <w:b w:val="0"/>
          <w:bCs w:val="0"/>
          <w:sz w:val="21"/>
          <w:szCs w:val="21"/>
        </w:rPr>
        <w:t>Estado</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Guanajuato,</w:t>
      </w:r>
      <w:r w:rsidRPr="00FD5F33">
        <w:rPr>
          <w:rFonts w:ascii="Abadi" w:hAnsi="Abadi"/>
          <w:b w:val="0"/>
          <w:bCs w:val="0"/>
          <w:spacing w:val="9"/>
          <w:sz w:val="21"/>
          <w:szCs w:val="21"/>
        </w:rPr>
        <w:t xml:space="preserve"> </w:t>
      </w:r>
      <w:r w:rsidRPr="00FD5F33">
        <w:rPr>
          <w:rFonts w:ascii="Abadi" w:hAnsi="Abadi"/>
          <w:b w:val="0"/>
          <w:bCs w:val="0"/>
          <w:sz w:val="21"/>
          <w:szCs w:val="21"/>
        </w:rPr>
        <w:t>a</w:t>
      </w:r>
      <w:r w:rsidRPr="00FD5F33">
        <w:rPr>
          <w:rFonts w:ascii="Abadi" w:hAnsi="Abadi"/>
          <w:b w:val="0"/>
          <w:bCs w:val="0"/>
          <w:spacing w:val="8"/>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cuenta pública</w:t>
      </w:r>
      <w:r w:rsidRPr="00FD5F33">
        <w:rPr>
          <w:rFonts w:ascii="Abadi" w:hAnsi="Abadi"/>
          <w:b w:val="0"/>
          <w:bCs w:val="0"/>
          <w:spacing w:val="80"/>
          <w:sz w:val="21"/>
          <w:szCs w:val="21"/>
        </w:rPr>
        <w:t xml:space="preserve"> </w:t>
      </w:r>
      <w:r w:rsidRPr="00FD5F33">
        <w:rPr>
          <w:rFonts w:ascii="Abadi" w:hAnsi="Abadi"/>
          <w:b w:val="0"/>
          <w:bCs w:val="0"/>
          <w:sz w:val="21"/>
          <w:szCs w:val="21"/>
        </w:rPr>
        <w:t>municipal</w:t>
      </w:r>
      <w:r w:rsidRPr="00FD5F33">
        <w:rPr>
          <w:rFonts w:ascii="Abadi" w:hAnsi="Abadi"/>
          <w:b w:val="0"/>
          <w:bCs w:val="0"/>
          <w:spacing w:val="80"/>
          <w:sz w:val="21"/>
          <w:szCs w:val="21"/>
        </w:rPr>
        <w:t xml:space="preserve"> </w:t>
      </w:r>
      <w:r w:rsidRPr="00FD5F33">
        <w:rPr>
          <w:rFonts w:ascii="Abadi" w:hAnsi="Abadi"/>
          <w:b w:val="0"/>
          <w:bCs w:val="0"/>
          <w:sz w:val="21"/>
          <w:szCs w:val="21"/>
        </w:rPr>
        <w:t>de</w:t>
      </w:r>
      <w:r w:rsidRPr="00FD5F33">
        <w:rPr>
          <w:rFonts w:ascii="Abadi" w:hAnsi="Abadi"/>
          <w:b w:val="0"/>
          <w:bCs w:val="0"/>
          <w:spacing w:val="80"/>
          <w:sz w:val="21"/>
          <w:szCs w:val="21"/>
        </w:rPr>
        <w:t xml:space="preserve"> </w:t>
      </w:r>
      <w:r w:rsidRPr="00FD5F33">
        <w:rPr>
          <w:rFonts w:ascii="Abadi" w:hAnsi="Abadi"/>
          <w:b w:val="0"/>
          <w:bCs w:val="0"/>
          <w:sz w:val="21"/>
          <w:szCs w:val="21"/>
        </w:rPr>
        <w:t>San</w:t>
      </w:r>
      <w:r w:rsidRPr="00FD5F33">
        <w:rPr>
          <w:rFonts w:ascii="Abadi" w:hAnsi="Abadi"/>
          <w:b w:val="0"/>
          <w:bCs w:val="0"/>
          <w:spacing w:val="80"/>
          <w:sz w:val="21"/>
          <w:szCs w:val="21"/>
        </w:rPr>
        <w:t xml:space="preserve"> </w:t>
      </w:r>
      <w:r w:rsidRPr="00FD5F33">
        <w:rPr>
          <w:rFonts w:ascii="Abadi" w:hAnsi="Abadi"/>
          <w:b w:val="0"/>
          <w:bCs w:val="0"/>
          <w:sz w:val="21"/>
          <w:szCs w:val="21"/>
        </w:rPr>
        <w:t>Miguel</w:t>
      </w:r>
      <w:r w:rsidRPr="00FD5F33">
        <w:rPr>
          <w:rFonts w:ascii="Abadi" w:hAnsi="Abadi"/>
          <w:b w:val="0"/>
          <w:bCs w:val="0"/>
          <w:spacing w:val="80"/>
          <w:sz w:val="21"/>
          <w:szCs w:val="21"/>
        </w:rPr>
        <w:t xml:space="preserve"> </w:t>
      </w:r>
      <w:r w:rsidRPr="00FD5F33">
        <w:rPr>
          <w:rFonts w:ascii="Abadi" w:hAnsi="Abadi"/>
          <w:b w:val="0"/>
          <w:bCs w:val="0"/>
          <w:sz w:val="21"/>
          <w:szCs w:val="21"/>
        </w:rPr>
        <w:t>de</w:t>
      </w:r>
      <w:r w:rsidRPr="00FD5F33">
        <w:rPr>
          <w:rFonts w:ascii="Abadi" w:hAnsi="Abadi"/>
          <w:b w:val="0"/>
          <w:bCs w:val="0"/>
          <w:spacing w:val="80"/>
          <w:sz w:val="21"/>
          <w:szCs w:val="21"/>
        </w:rPr>
        <w:t xml:space="preserve"> </w:t>
      </w:r>
      <w:r w:rsidRPr="00FD5F33">
        <w:rPr>
          <w:rFonts w:ascii="Abadi" w:hAnsi="Abadi"/>
          <w:b w:val="0"/>
          <w:bCs w:val="0"/>
          <w:sz w:val="21"/>
          <w:szCs w:val="21"/>
        </w:rPr>
        <w:t>Allende,</w:t>
      </w:r>
      <w:r w:rsidRPr="00FD5F33">
        <w:rPr>
          <w:rFonts w:ascii="Abadi" w:hAnsi="Abadi"/>
          <w:b w:val="0"/>
          <w:bCs w:val="0"/>
          <w:spacing w:val="80"/>
          <w:sz w:val="21"/>
          <w:szCs w:val="21"/>
        </w:rPr>
        <w:t xml:space="preserve"> </w:t>
      </w:r>
      <w:r w:rsidRPr="00FD5F33">
        <w:rPr>
          <w:rFonts w:ascii="Abadi" w:hAnsi="Abadi"/>
          <w:b w:val="0"/>
          <w:bCs w:val="0"/>
          <w:sz w:val="21"/>
          <w:szCs w:val="21"/>
        </w:rPr>
        <w:t>Gto.,</w:t>
      </w:r>
      <w:r w:rsidRPr="00FD5F33">
        <w:rPr>
          <w:rFonts w:ascii="Abadi" w:hAnsi="Abadi"/>
          <w:b w:val="0"/>
          <w:bCs w:val="0"/>
          <w:spacing w:val="80"/>
          <w:sz w:val="21"/>
          <w:szCs w:val="21"/>
        </w:rPr>
        <w:t xml:space="preserve"> </w:t>
      </w:r>
      <w:r w:rsidRPr="00FD5F33">
        <w:rPr>
          <w:rFonts w:ascii="Abadi" w:hAnsi="Abadi"/>
          <w:b w:val="0"/>
          <w:bCs w:val="0"/>
          <w:sz w:val="21"/>
          <w:szCs w:val="21"/>
        </w:rPr>
        <w:t>correspondiente</w:t>
      </w:r>
      <w:r w:rsidRPr="00FD5F33">
        <w:rPr>
          <w:rFonts w:ascii="Abadi" w:hAnsi="Abadi"/>
          <w:b w:val="0"/>
          <w:bCs w:val="0"/>
          <w:spacing w:val="80"/>
          <w:sz w:val="21"/>
          <w:szCs w:val="21"/>
        </w:rPr>
        <w:t xml:space="preserve"> </w:t>
      </w:r>
      <w:r w:rsidRPr="00FD5F33">
        <w:rPr>
          <w:rFonts w:ascii="Abadi" w:hAnsi="Abadi"/>
          <w:b w:val="0"/>
          <w:bCs w:val="0"/>
          <w:sz w:val="21"/>
          <w:szCs w:val="21"/>
        </w:rPr>
        <w:t>al ejercicio fiscal del año</w:t>
      </w:r>
      <w:r w:rsidRPr="00FD5F33">
        <w:rPr>
          <w:rFonts w:ascii="Abadi" w:hAnsi="Abadi"/>
          <w:b w:val="0"/>
          <w:bCs w:val="0"/>
          <w:spacing w:val="-1"/>
          <w:sz w:val="21"/>
          <w:szCs w:val="21"/>
        </w:rPr>
        <w:t xml:space="preserve"> </w:t>
      </w:r>
      <w:r w:rsidRPr="00FD5F33">
        <w:rPr>
          <w:rFonts w:ascii="Abadi" w:hAnsi="Abadi"/>
          <w:b w:val="0"/>
          <w:bCs w:val="0"/>
          <w:sz w:val="21"/>
          <w:szCs w:val="21"/>
        </w:rPr>
        <w:t>2020.</w:t>
      </w:r>
      <w:r>
        <w:rPr>
          <w:rFonts w:ascii="Abadi" w:hAnsi="Abadi"/>
          <w:sz w:val="21"/>
          <w:szCs w:val="21"/>
        </w:rPr>
        <w:t xml:space="preserve"> </w:t>
      </w:r>
      <w:r w:rsidRPr="009A3D12">
        <w:rPr>
          <w:rFonts w:ascii="Abadi" w:hAnsi="Abadi"/>
          <w:sz w:val="21"/>
          <w:szCs w:val="21"/>
        </w:rPr>
        <w:t>LVI.-</w:t>
      </w:r>
      <w:r>
        <w:rPr>
          <w:rFonts w:ascii="Abadi" w:hAnsi="Abadi"/>
          <w:sz w:val="21"/>
          <w:szCs w:val="21"/>
        </w:rPr>
        <w:t xml:space="preserve"> </w:t>
      </w:r>
      <w:r w:rsidRPr="00FD5F33">
        <w:rPr>
          <w:rFonts w:ascii="Abadi" w:hAnsi="Abadi"/>
          <w:b w:val="0"/>
          <w:bCs w:val="0"/>
          <w:sz w:val="21"/>
          <w:szCs w:val="21"/>
        </w:rPr>
        <w:t>Discusión</w:t>
      </w:r>
      <w:r w:rsidRPr="00FD5F33">
        <w:rPr>
          <w:rFonts w:ascii="Abadi" w:hAnsi="Abadi"/>
          <w:b w:val="0"/>
          <w:bCs w:val="0"/>
          <w:spacing w:val="11"/>
          <w:sz w:val="21"/>
          <w:szCs w:val="21"/>
        </w:rPr>
        <w:t xml:space="preserve"> </w:t>
      </w:r>
      <w:r w:rsidRPr="00FD5F33">
        <w:rPr>
          <w:rFonts w:ascii="Abadi" w:hAnsi="Abadi"/>
          <w:b w:val="0"/>
          <w:bCs w:val="0"/>
          <w:sz w:val="21"/>
          <w:szCs w:val="21"/>
        </w:rPr>
        <w:t>y,</w:t>
      </w:r>
      <w:r w:rsidRPr="00FD5F33">
        <w:rPr>
          <w:rFonts w:ascii="Abadi" w:hAnsi="Abadi"/>
          <w:b w:val="0"/>
          <w:bCs w:val="0"/>
          <w:spacing w:val="11"/>
          <w:sz w:val="21"/>
          <w:szCs w:val="21"/>
        </w:rPr>
        <w:t xml:space="preserve"> </w:t>
      </w:r>
      <w:r w:rsidRPr="00FD5F33">
        <w:rPr>
          <w:rFonts w:ascii="Abadi" w:hAnsi="Abadi"/>
          <w:b w:val="0"/>
          <w:bCs w:val="0"/>
          <w:sz w:val="21"/>
          <w:szCs w:val="21"/>
        </w:rPr>
        <w:t>en</w:t>
      </w:r>
      <w:r w:rsidRPr="00FD5F33">
        <w:rPr>
          <w:rFonts w:ascii="Abadi" w:hAnsi="Abadi"/>
          <w:b w:val="0"/>
          <w:bCs w:val="0"/>
          <w:spacing w:val="11"/>
          <w:sz w:val="21"/>
          <w:szCs w:val="21"/>
        </w:rPr>
        <w:t xml:space="preserve"> </w:t>
      </w:r>
      <w:r w:rsidRPr="00FD5F33">
        <w:rPr>
          <w:rFonts w:ascii="Abadi" w:hAnsi="Abadi"/>
          <w:b w:val="0"/>
          <w:bCs w:val="0"/>
          <w:sz w:val="21"/>
          <w:szCs w:val="21"/>
        </w:rPr>
        <w:t>su</w:t>
      </w:r>
      <w:r w:rsidRPr="00FD5F33">
        <w:rPr>
          <w:rFonts w:ascii="Abadi" w:hAnsi="Abadi"/>
          <w:b w:val="0"/>
          <w:bCs w:val="0"/>
          <w:spacing w:val="11"/>
          <w:sz w:val="21"/>
          <w:szCs w:val="21"/>
        </w:rPr>
        <w:t xml:space="preserve"> </w:t>
      </w:r>
      <w:r w:rsidRPr="00FD5F33">
        <w:rPr>
          <w:rFonts w:ascii="Abadi" w:hAnsi="Abadi"/>
          <w:b w:val="0"/>
          <w:bCs w:val="0"/>
          <w:sz w:val="21"/>
          <w:szCs w:val="21"/>
        </w:rPr>
        <w:t>caso,</w:t>
      </w:r>
      <w:r w:rsidRPr="00FD5F33">
        <w:rPr>
          <w:rFonts w:ascii="Abadi" w:hAnsi="Abadi"/>
          <w:b w:val="0"/>
          <w:bCs w:val="0"/>
          <w:spacing w:val="11"/>
          <w:sz w:val="21"/>
          <w:szCs w:val="21"/>
        </w:rPr>
        <w:t xml:space="preserve"> </w:t>
      </w:r>
      <w:r w:rsidRPr="00FD5F33">
        <w:rPr>
          <w:rFonts w:ascii="Abadi" w:hAnsi="Abadi"/>
          <w:b w:val="0"/>
          <w:bCs w:val="0"/>
          <w:sz w:val="21"/>
          <w:szCs w:val="21"/>
        </w:rPr>
        <w:t>aprobación</w:t>
      </w:r>
      <w:r w:rsidRPr="00FD5F33">
        <w:rPr>
          <w:rFonts w:ascii="Abadi" w:hAnsi="Abadi"/>
          <w:b w:val="0"/>
          <w:bCs w:val="0"/>
          <w:spacing w:val="11"/>
          <w:sz w:val="21"/>
          <w:szCs w:val="21"/>
        </w:rPr>
        <w:t xml:space="preserve"> </w:t>
      </w:r>
      <w:r w:rsidRPr="00FD5F33">
        <w:rPr>
          <w:rFonts w:ascii="Abadi" w:hAnsi="Abadi"/>
          <w:b w:val="0"/>
          <w:bCs w:val="0"/>
          <w:sz w:val="21"/>
          <w:szCs w:val="21"/>
        </w:rPr>
        <w:t>del</w:t>
      </w:r>
      <w:r w:rsidRPr="00FD5F33">
        <w:rPr>
          <w:rFonts w:ascii="Abadi" w:hAnsi="Abadi"/>
          <w:b w:val="0"/>
          <w:bCs w:val="0"/>
          <w:spacing w:val="11"/>
          <w:sz w:val="21"/>
          <w:szCs w:val="21"/>
        </w:rPr>
        <w:t xml:space="preserve"> </w:t>
      </w:r>
      <w:r w:rsidRPr="00FD5F33">
        <w:rPr>
          <w:rFonts w:ascii="Abadi" w:hAnsi="Abadi"/>
          <w:b w:val="0"/>
          <w:bCs w:val="0"/>
          <w:sz w:val="21"/>
          <w:szCs w:val="21"/>
        </w:rPr>
        <w:t>dictamen</w:t>
      </w:r>
      <w:r w:rsidRPr="00FD5F33">
        <w:rPr>
          <w:rFonts w:ascii="Abadi" w:hAnsi="Abadi"/>
          <w:b w:val="0"/>
          <w:bCs w:val="0"/>
          <w:spacing w:val="11"/>
          <w:sz w:val="21"/>
          <w:szCs w:val="21"/>
        </w:rPr>
        <w:t xml:space="preserve"> </w:t>
      </w:r>
      <w:r w:rsidRPr="00FD5F33">
        <w:rPr>
          <w:rFonts w:ascii="Abadi" w:hAnsi="Abadi"/>
          <w:b w:val="0"/>
          <w:bCs w:val="0"/>
          <w:sz w:val="21"/>
          <w:szCs w:val="21"/>
        </w:rPr>
        <w:t>signado</w:t>
      </w:r>
      <w:r w:rsidRPr="00FD5F33">
        <w:rPr>
          <w:rFonts w:ascii="Abadi" w:hAnsi="Abadi"/>
          <w:b w:val="0"/>
          <w:bCs w:val="0"/>
          <w:spacing w:val="11"/>
          <w:sz w:val="21"/>
          <w:szCs w:val="21"/>
        </w:rPr>
        <w:t xml:space="preserve"> </w:t>
      </w:r>
      <w:r w:rsidRPr="00FD5F33">
        <w:rPr>
          <w:rFonts w:ascii="Abadi" w:hAnsi="Abadi"/>
          <w:b w:val="0"/>
          <w:bCs w:val="0"/>
          <w:sz w:val="21"/>
          <w:szCs w:val="21"/>
        </w:rPr>
        <w:t>por</w:t>
      </w:r>
      <w:r w:rsidRPr="00FD5F33">
        <w:rPr>
          <w:rFonts w:ascii="Abadi" w:hAnsi="Abadi"/>
          <w:b w:val="0"/>
          <w:bCs w:val="0"/>
          <w:spacing w:val="11"/>
          <w:sz w:val="21"/>
          <w:szCs w:val="21"/>
        </w:rPr>
        <w:t xml:space="preserve"> </w:t>
      </w:r>
      <w:r w:rsidRPr="00FD5F33">
        <w:rPr>
          <w:rFonts w:ascii="Abadi" w:hAnsi="Abadi"/>
          <w:b w:val="0"/>
          <w:bCs w:val="0"/>
          <w:sz w:val="21"/>
          <w:szCs w:val="21"/>
        </w:rPr>
        <w:t>la</w:t>
      </w:r>
      <w:r w:rsidRPr="00FD5F33">
        <w:rPr>
          <w:rFonts w:ascii="Abadi" w:hAnsi="Abadi"/>
          <w:b w:val="0"/>
          <w:bCs w:val="0"/>
          <w:spacing w:val="11"/>
          <w:sz w:val="21"/>
          <w:szCs w:val="21"/>
        </w:rPr>
        <w:t xml:space="preserve"> </w:t>
      </w:r>
      <w:r w:rsidRPr="00FD5F33">
        <w:rPr>
          <w:rFonts w:ascii="Abadi" w:hAnsi="Abadi"/>
          <w:b w:val="0"/>
          <w:bCs w:val="0"/>
          <w:sz w:val="21"/>
          <w:szCs w:val="21"/>
        </w:rPr>
        <w:t>Comisión de</w:t>
      </w:r>
      <w:r w:rsidRPr="00FD5F33">
        <w:rPr>
          <w:rFonts w:ascii="Abadi" w:hAnsi="Abadi"/>
          <w:b w:val="0"/>
          <w:bCs w:val="0"/>
          <w:spacing w:val="10"/>
          <w:sz w:val="21"/>
          <w:szCs w:val="21"/>
        </w:rPr>
        <w:t xml:space="preserve"> </w:t>
      </w:r>
      <w:r w:rsidRPr="00FD5F33">
        <w:rPr>
          <w:rFonts w:ascii="Abadi" w:hAnsi="Abadi"/>
          <w:b w:val="0"/>
          <w:bCs w:val="0"/>
          <w:sz w:val="21"/>
          <w:szCs w:val="21"/>
        </w:rPr>
        <w:t>Hacienda</w:t>
      </w:r>
      <w:r w:rsidRPr="00FD5F33">
        <w:rPr>
          <w:rFonts w:ascii="Abadi" w:hAnsi="Abadi"/>
          <w:b w:val="0"/>
          <w:bCs w:val="0"/>
          <w:spacing w:val="10"/>
          <w:sz w:val="21"/>
          <w:szCs w:val="21"/>
        </w:rPr>
        <w:t xml:space="preserve"> </w:t>
      </w:r>
      <w:r w:rsidRPr="00FD5F33">
        <w:rPr>
          <w:rFonts w:ascii="Abadi" w:hAnsi="Abadi"/>
          <w:b w:val="0"/>
          <w:bCs w:val="0"/>
          <w:sz w:val="21"/>
          <w:szCs w:val="21"/>
        </w:rPr>
        <w:t>y</w:t>
      </w:r>
      <w:r w:rsidRPr="00FD5F33">
        <w:rPr>
          <w:rFonts w:ascii="Abadi" w:hAnsi="Abadi"/>
          <w:b w:val="0"/>
          <w:bCs w:val="0"/>
          <w:spacing w:val="10"/>
          <w:sz w:val="21"/>
          <w:szCs w:val="21"/>
        </w:rPr>
        <w:t xml:space="preserve"> </w:t>
      </w:r>
      <w:r w:rsidRPr="00FD5F33">
        <w:rPr>
          <w:rFonts w:ascii="Abadi" w:hAnsi="Abadi"/>
          <w:b w:val="0"/>
          <w:bCs w:val="0"/>
          <w:sz w:val="21"/>
          <w:szCs w:val="21"/>
        </w:rPr>
        <w:t>Fiscalización</w:t>
      </w:r>
      <w:r w:rsidRPr="00FD5F33">
        <w:rPr>
          <w:rFonts w:ascii="Abadi" w:hAnsi="Abadi"/>
          <w:b w:val="0"/>
          <w:bCs w:val="0"/>
          <w:spacing w:val="10"/>
          <w:sz w:val="21"/>
          <w:szCs w:val="21"/>
        </w:rPr>
        <w:t xml:space="preserve"> </w:t>
      </w:r>
      <w:r w:rsidRPr="00FD5F33">
        <w:rPr>
          <w:rFonts w:ascii="Abadi" w:hAnsi="Abadi"/>
          <w:b w:val="0"/>
          <w:bCs w:val="0"/>
          <w:sz w:val="21"/>
          <w:szCs w:val="21"/>
        </w:rPr>
        <w:t>relativo</w:t>
      </w:r>
      <w:r w:rsidRPr="00FD5F33">
        <w:rPr>
          <w:rFonts w:ascii="Abadi" w:hAnsi="Abadi"/>
          <w:b w:val="0"/>
          <w:bCs w:val="0"/>
          <w:spacing w:val="10"/>
          <w:sz w:val="21"/>
          <w:szCs w:val="21"/>
        </w:rPr>
        <w:t xml:space="preserve"> </w:t>
      </w:r>
      <w:r w:rsidRPr="00FD5F33">
        <w:rPr>
          <w:rFonts w:ascii="Abadi" w:hAnsi="Abadi"/>
          <w:b w:val="0"/>
          <w:bCs w:val="0"/>
          <w:sz w:val="21"/>
          <w:szCs w:val="21"/>
        </w:rPr>
        <w:t>al</w:t>
      </w:r>
      <w:r w:rsidRPr="00FD5F33">
        <w:rPr>
          <w:rFonts w:ascii="Abadi" w:hAnsi="Abadi"/>
          <w:b w:val="0"/>
          <w:bCs w:val="0"/>
          <w:spacing w:val="9"/>
          <w:sz w:val="21"/>
          <w:szCs w:val="21"/>
        </w:rPr>
        <w:t xml:space="preserve"> </w:t>
      </w:r>
      <w:r w:rsidRPr="00FD5F33">
        <w:rPr>
          <w:rFonts w:ascii="Abadi" w:hAnsi="Abadi"/>
          <w:b w:val="0"/>
          <w:bCs w:val="0"/>
          <w:sz w:val="21"/>
          <w:szCs w:val="21"/>
        </w:rPr>
        <w:t>informe</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resultados</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revisión practicada</w:t>
      </w:r>
      <w:r w:rsidRPr="00FD5F33">
        <w:rPr>
          <w:rFonts w:ascii="Abadi" w:hAnsi="Abadi"/>
          <w:b w:val="0"/>
          <w:bCs w:val="0"/>
          <w:spacing w:val="10"/>
          <w:sz w:val="21"/>
          <w:szCs w:val="21"/>
        </w:rPr>
        <w:t xml:space="preserve"> </w:t>
      </w:r>
      <w:r w:rsidRPr="00FD5F33">
        <w:rPr>
          <w:rFonts w:ascii="Abadi" w:hAnsi="Abadi"/>
          <w:b w:val="0"/>
          <w:bCs w:val="0"/>
          <w:sz w:val="21"/>
          <w:szCs w:val="21"/>
        </w:rPr>
        <w:t>por</w:t>
      </w:r>
      <w:r w:rsidRPr="00FD5F33">
        <w:rPr>
          <w:rFonts w:ascii="Abadi" w:hAnsi="Abadi"/>
          <w:b w:val="0"/>
          <w:bCs w:val="0"/>
          <w:spacing w:val="9"/>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Auditoría</w:t>
      </w:r>
      <w:r w:rsidRPr="00FD5F33">
        <w:rPr>
          <w:rFonts w:ascii="Abadi" w:hAnsi="Abadi"/>
          <w:b w:val="0"/>
          <w:bCs w:val="0"/>
          <w:spacing w:val="10"/>
          <w:sz w:val="21"/>
          <w:szCs w:val="21"/>
        </w:rPr>
        <w:t xml:space="preserve"> </w:t>
      </w:r>
      <w:r w:rsidRPr="00FD5F33">
        <w:rPr>
          <w:rFonts w:ascii="Abadi" w:hAnsi="Abadi"/>
          <w:b w:val="0"/>
          <w:bCs w:val="0"/>
          <w:sz w:val="21"/>
          <w:szCs w:val="21"/>
        </w:rPr>
        <w:t>Superior</w:t>
      </w:r>
      <w:r w:rsidRPr="00FD5F33">
        <w:rPr>
          <w:rFonts w:ascii="Abadi" w:hAnsi="Abadi"/>
          <w:b w:val="0"/>
          <w:bCs w:val="0"/>
          <w:spacing w:val="9"/>
          <w:sz w:val="21"/>
          <w:szCs w:val="21"/>
        </w:rPr>
        <w:t xml:space="preserve"> </w:t>
      </w:r>
      <w:r w:rsidRPr="00FD5F33">
        <w:rPr>
          <w:rFonts w:ascii="Abadi" w:hAnsi="Abadi"/>
          <w:b w:val="0"/>
          <w:bCs w:val="0"/>
          <w:sz w:val="21"/>
          <w:szCs w:val="21"/>
        </w:rPr>
        <w:t>del</w:t>
      </w:r>
      <w:r w:rsidRPr="00FD5F33">
        <w:rPr>
          <w:rFonts w:ascii="Abadi" w:hAnsi="Abadi"/>
          <w:b w:val="0"/>
          <w:bCs w:val="0"/>
          <w:spacing w:val="9"/>
          <w:sz w:val="21"/>
          <w:szCs w:val="21"/>
        </w:rPr>
        <w:t xml:space="preserve"> </w:t>
      </w:r>
      <w:r w:rsidRPr="00FD5F33">
        <w:rPr>
          <w:rFonts w:ascii="Abadi" w:hAnsi="Abadi"/>
          <w:b w:val="0"/>
          <w:bCs w:val="0"/>
          <w:sz w:val="21"/>
          <w:szCs w:val="21"/>
        </w:rPr>
        <w:t>Estado</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Guanajuato,</w:t>
      </w:r>
      <w:r w:rsidRPr="00FD5F33">
        <w:rPr>
          <w:rFonts w:ascii="Abadi" w:hAnsi="Abadi"/>
          <w:b w:val="0"/>
          <w:bCs w:val="0"/>
          <w:spacing w:val="9"/>
          <w:sz w:val="21"/>
          <w:szCs w:val="21"/>
        </w:rPr>
        <w:t xml:space="preserve"> </w:t>
      </w:r>
      <w:r w:rsidRPr="00FD5F33">
        <w:rPr>
          <w:rFonts w:ascii="Abadi" w:hAnsi="Abadi"/>
          <w:b w:val="0"/>
          <w:bCs w:val="0"/>
          <w:sz w:val="21"/>
          <w:szCs w:val="21"/>
        </w:rPr>
        <w:t>a</w:t>
      </w:r>
      <w:r w:rsidRPr="00FD5F33">
        <w:rPr>
          <w:rFonts w:ascii="Abadi" w:hAnsi="Abadi"/>
          <w:b w:val="0"/>
          <w:bCs w:val="0"/>
          <w:spacing w:val="10"/>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cuenta pública</w:t>
      </w:r>
      <w:r w:rsidRPr="00FD5F33">
        <w:rPr>
          <w:rFonts w:ascii="Abadi" w:hAnsi="Abadi"/>
          <w:b w:val="0"/>
          <w:bCs w:val="0"/>
          <w:spacing w:val="-8"/>
          <w:sz w:val="21"/>
          <w:szCs w:val="21"/>
        </w:rPr>
        <w:t xml:space="preserve"> </w:t>
      </w:r>
      <w:r w:rsidRPr="00FD5F33">
        <w:rPr>
          <w:rFonts w:ascii="Abadi" w:hAnsi="Abadi"/>
          <w:b w:val="0"/>
          <w:bCs w:val="0"/>
          <w:sz w:val="21"/>
          <w:szCs w:val="21"/>
        </w:rPr>
        <w:t>municipal</w:t>
      </w:r>
      <w:r w:rsidRPr="00FD5F33">
        <w:rPr>
          <w:rFonts w:ascii="Abadi" w:hAnsi="Abadi"/>
          <w:b w:val="0"/>
          <w:bCs w:val="0"/>
          <w:spacing w:val="-8"/>
          <w:sz w:val="21"/>
          <w:szCs w:val="21"/>
        </w:rPr>
        <w:t xml:space="preserve"> </w:t>
      </w:r>
      <w:r w:rsidRPr="00FD5F33">
        <w:rPr>
          <w:rFonts w:ascii="Abadi" w:hAnsi="Abadi"/>
          <w:b w:val="0"/>
          <w:bCs w:val="0"/>
          <w:sz w:val="21"/>
          <w:szCs w:val="21"/>
        </w:rPr>
        <w:t>de</w:t>
      </w:r>
      <w:r w:rsidRPr="00FD5F33">
        <w:rPr>
          <w:rFonts w:ascii="Abadi" w:hAnsi="Abadi"/>
          <w:b w:val="0"/>
          <w:bCs w:val="0"/>
          <w:spacing w:val="-8"/>
          <w:sz w:val="21"/>
          <w:szCs w:val="21"/>
        </w:rPr>
        <w:t xml:space="preserve"> </w:t>
      </w:r>
      <w:r w:rsidRPr="00FD5F33">
        <w:rPr>
          <w:rFonts w:ascii="Abadi" w:hAnsi="Abadi"/>
          <w:b w:val="0"/>
          <w:bCs w:val="0"/>
          <w:sz w:val="21"/>
          <w:szCs w:val="21"/>
        </w:rPr>
        <w:t>Salamanca,</w:t>
      </w:r>
      <w:r w:rsidRPr="00FD5F33">
        <w:rPr>
          <w:rFonts w:ascii="Abadi" w:hAnsi="Abadi"/>
          <w:b w:val="0"/>
          <w:bCs w:val="0"/>
          <w:spacing w:val="-8"/>
          <w:sz w:val="21"/>
          <w:szCs w:val="21"/>
        </w:rPr>
        <w:t xml:space="preserve"> </w:t>
      </w:r>
      <w:r w:rsidRPr="00FD5F33">
        <w:rPr>
          <w:rFonts w:ascii="Abadi" w:hAnsi="Abadi"/>
          <w:b w:val="0"/>
          <w:bCs w:val="0"/>
          <w:sz w:val="21"/>
          <w:szCs w:val="21"/>
        </w:rPr>
        <w:t>Gto.,</w:t>
      </w:r>
      <w:r w:rsidRPr="00FD5F33">
        <w:rPr>
          <w:rFonts w:ascii="Abadi" w:hAnsi="Abadi"/>
          <w:b w:val="0"/>
          <w:bCs w:val="0"/>
          <w:spacing w:val="-8"/>
          <w:sz w:val="21"/>
          <w:szCs w:val="21"/>
        </w:rPr>
        <w:t xml:space="preserve"> </w:t>
      </w:r>
      <w:r w:rsidRPr="00FD5F33">
        <w:rPr>
          <w:rFonts w:ascii="Abadi" w:hAnsi="Abadi"/>
          <w:b w:val="0"/>
          <w:bCs w:val="0"/>
          <w:sz w:val="21"/>
          <w:szCs w:val="21"/>
        </w:rPr>
        <w:t>correspondiente</w:t>
      </w:r>
      <w:r w:rsidRPr="00FD5F33">
        <w:rPr>
          <w:rFonts w:ascii="Abadi" w:hAnsi="Abadi"/>
          <w:b w:val="0"/>
          <w:bCs w:val="0"/>
          <w:spacing w:val="-8"/>
          <w:sz w:val="21"/>
          <w:szCs w:val="21"/>
        </w:rPr>
        <w:t xml:space="preserve"> </w:t>
      </w:r>
      <w:r w:rsidRPr="00FD5F33">
        <w:rPr>
          <w:rFonts w:ascii="Abadi" w:hAnsi="Abadi"/>
          <w:b w:val="0"/>
          <w:bCs w:val="0"/>
          <w:sz w:val="21"/>
          <w:szCs w:val="21"/>
        </w:rPr>
        <w:t>al</w:t>
      </w:r>
      <w:r w:rsidRPr="00FD5F33">
        <w:rPr>
          <w:rFonts w:ascii="Abadi" w:hAnsi="Abadi"/>
          <w:b w:val="0"/>
          <w:bCs w:val="0"/>
          <w:spacing w:val="-8"/>
          <w:sz w:val="21"/>
          <w:szCs w:val="21"/>
        </w:rPr>
        <w:t xml:space="preserve"> </w:t>
      </w:r>
      <w:r w:rsidRPr="00FD5F33">
        <w:rPr>
          <w:rFonts w:ascii="Abadi" w:hAnsi="Abadi"/>
          <w:b w:val="0"/>
          <w:bCs w:val="0"/>
          <w:sz w:val="21"/>
          <w:szCs w:val="21"/>
        </w:rPr>
        <w:t>ejercicio</w:t>
      </w:r>
      <w:r w:rsidRPr="00FD5F33">
        <w:rPr>
          <w:rFonts w:ascii="Abadi" w:hAnsi="Abadi"/>
          <w:b w:val="0"/>
          <w:bCs w:val="0"/>
          <w:spacing w:val="-8"/>
          <w:sz w:val="21"/>
          <w:szCs w:val="21"/>
        </w:rPr>
        <w:t xml:space="preserve"> </w:t>
      </w:r>
      <w:r w:rsidRPr="00FD5F33">
        <w:rPr>
          <w:rFonts w:ascii="Abadi" w:hAnsi="Abadi"/>
          <w:b w:val="0"/>
          <w:bCs w:val="0"/>
          <w:sz w:val="21"/>
          <w:szCs w:val="21"/>
        </w:rPr>
        <w:t>fiscal</w:t>
      </w:r>
      <w:r w:rsidRPr="00FD5F33">
        <w:rPr>
          <w:rFonts w:ascii="Abadi" w:hAnsi="Abadi"/>
          <w:b w:val="0"/>
          <w:bCs w:val="0"/>
          <w:spacing w:val="-8"/>
          <w:sz w:val="21"/>
          <w:szCs w:val="21"/>
        </w:rPr>
        <w:t xml:space="preserve"> </w:t>
      </w:r>
      <w:r w:rsidRPr="00FD5F33">
        <w:rPr>
          <w:rFonts w:ascii="Abadi" w:hAnsi="Abadi"/>
          <w:b w:val="0"/>
          <w:bCs w:val="0"/>
          <w:sz w:val="21"/>
          <w:szCs w:val="21"/>
        </w:rPr>
        <w:t>del año 2020.</w:t>
      </w:r>
      <w:r>
        <w:rPr>
          <w:rFonts w:ascii="Abadi" w:hAnsi="Abadi"/>
          <w:sz w:val="21"/>
          <w:szCs w:val="21"/>
        </w:rPr>
        <w:t xml:space="preserve"> </w:t>
      </w:r>
      <w:r w:rsidRPr="009A3D12">
        <w:rPr>
          <w:rFonts w:ascii="Abadi" w:hAnsi="Abadi"/>
          <w:sz w:val="21"/>
          <w:szCs w:val="21"/>
        </w:rPr>
        <w:t>LVII.-</w:t>
      </w:r>
      <w:r>
        <w:rPr>
          <w:rFonts w:ascii="Abadi" w:hAnsi="Abadi"/>
          <w:sz w:val="21"/>
          <w:szCs w:val="21"/>
        </w:rPr>
        <w:t xml:space="preserve"> </w:t>
      </w:r>
      <w:r w:rsidRPr="00FD5F33">
        <w:rPr>
          <w:rFonts w:ascii="Abadi" w:hAnsi="Abadi"/>
          <w:b w:val="0"/>
          <w:bCs w:val="0"/>
          <w:sz w:val="21"/>
          <w:szCs w:val="21"/>
        </w:rPr>
        <w:t>Discusión</w:t>
      </w:r>
      <w:r w:rsidRPr="00FD5F33">
        <w:rPr>
          <w:rFonts w:ascii="Abadi" w:hAnsi="Abadi"/>
          <w:b w:val="0"/>
          <w:bCs w:val="0"/>
          <w:spacing w:val="11"/>
          <w:sz w:val="21"/>
          <w:szCs w:val="21"/>
        </w:rPr>
        <w:t xml:space="preserve"> </w:t>
      </w:r>
      <w:r w:rsidRPr="00FD5F33">
        <w:rPr>
          <w:rFonts w:ascii="Abadi" w:hAnsi="Abadi"/>
          <w:b w:val="0"/>
          <w:bCs w:val="0"/>
          <w:sz w:val="21"/>
          <w:szCs w:val="21"/>
        </w:rPr>
        <w:t>y,</w:t>
      </w:r>
      <w:r w:rsidRPr="00FD5F33">
        <w:rPr>
          <w:rFonts w:ascii="Abadi" w:hAnsi="Abadi"/>
          <w:b w:val="0"/>
          <w:bCs w:val="0"/>
          <w:spacing w:val="11"/>
          <w:sz w:val="21"/>
          <w:szCs w:val="21"/>
        </w:rPr>
        <w:t xml:space="preserve"> </w:t>
      </w:r>
      <w:r w:rsidRPr="00FD5F33">
        <w:rPr>
          <w:rFonts w:ascii="Abadi" w:hAnsi="Abadi"/>
          <w:b w:val="0"/>
          <w:bCs w:val="0"/>
          <w:sz w:val="21"/>
          <w:szCs w:val="21"/>
        </w:rPr>
        <w:t>en</w:t>
      </w:r>
      <w:r w:rsidRPr="00FD5F33">
        <w:rPr>
          <w:rFonts w:ascii="Abadi" w:hAnsi="Abadi"/>
          <w:b w:val="0"/>
          <w:bCs w:val="0"/>
          <w:spacing w:val="11"/>
          <w:sz w:val="21"/>
          <w:szCs w:val="21"/>
        </w:rPr>
        <w:t xml:space="preserve"> </w:t>
      </w:r>
      <w:r w:rsidRPr="00FD5F33">
        <w:rPr>
          <w:rFonts w:ascii="Abadi" w:hAnsi="Abadi"/>
          <w:b w:val="0"/>
          <w:bCs w:val="0"/>
          <w:sz w:val="21"/>
          <w:szCs w:val="21"/>
        </w:rPr>
        <w:t>su</w:t>
      </w:r>
      <w:r w:rsidRPr="00FD5F33">
        <w:rPr>
          <w:rFonts w:ascii="Abadi" w:hAnsi="Abadi"/>
          <w:b w:val="0"/>
          <w:bCs w:val="0"/>
          <w:spacing w:val="11"/>
          <w:sz w:val="21"/>
          <w:szCs w:val="21"/>
        </w:rPr>
        <w:t xml:space="preserve"> </w:t>
      </w:r>
      <w:r w:rsidRPr="00FD5F33">
        <w:rPr>
          <w:rFonts w:ascii="Abadi" w:hAnsi="Abadi"/>
          <w:b w:val="0"/>
          <w:bCs w:val="0"/>
          <w:sz w:val="21"/>
          <w:szCs w:val="21"/>
        </w:rPr>
        <w:t>caso,</w:t>
      </w:r>
      <w:r w:rsidRPr="00FD5F33">
        <w:rPr>
          <w:rFonts w:ascii="Abadi" w:hAnsi="Abadi"/>
          <w:b w:val="0"/>
          <w:bCs w:val="0"/>
          <w:spacing w:val="11"/>
          <w:sz w:val="21"/>
          <w:szCs w:val="21"/>
        </w:rPr>
        <w:t xml:space="preserve"> </w:t>
      </w:r>
      <w:r w:rsidRPr="00FD5F33">
        <w:rPr>
          <w:rFonts w:ascii="Abadi" w:hAnsi="Abadi"/>
          <w:b w:val="0"/>
          <w:bCs w:val="0"/>
          <w:sz w:val="21"/>
          <w:szCs w:val="21"/>
        </w:rPr>
        <w:t>aprobación</w:t>
      </w:r>
      <w:r w:rsidRPr="00FD5F33">
        <w:rPr>
          <w:rFonts w:ascii="Abadi" w:hAnsi="Abadi"/>
          <w:b w:val="0"/>
          <w:bCs w:val="0"/>
          <w:spacing w:val="11"/>
          <w:sz w:val="21"/>
          <w:szCs w:val="21"/>
        </w:rPr>
        <w:t xml:space="preserve"> </w:t>
      </w:r>
      <w:r w:rsidRPr="00FD5F33">
        <w:rPr>
          <w:rFonts w:ascii="Abadi" w:hAnsi="Abadi"/>
          <w:b w:val="0"/>
          <w:bCs w:val="0"/>
          <w:sz w:val="21"/>
          <w:szCs w:val="21"/>
        </w:rPr>
        <w:t>del</w:t>
      </w:r>
      <w:r w:rsidRPr="00FD5F33">
        <w:rPr>
          <w:rFonts w:ascii="Abadi" w:hAnsi="Abadi"/>
          <w:b w:val="0"/>
          <w:bCs w:val="0"/>
          <w:spacing w:val="11"/>
          <w:sz w:val="21"/>
          <w:szCs w:val="21"/>
        </w:rPr>
        <w:t xml:space="preserve"> </w:t>
      </w:r>
      <w:r w:rsidRPr="00FD5F33">
        <w:rPr>
          <w:rFonts w:ascii="Abadi" w:hAnsi="Abadi"/>
          <w:b w:val="0"/>
          <w:bCs w:val="0"/>
          <w:sz w:val="21"/>
          <w:szCs w:val="21"/>
        </w:rPr>
        <w:t>dictamen</w:t>
      </w:r>
      <w:r w:rsidRPr="00FD5F33">
        <w:rPr>
          <w:rFonts w:ascii="Abadi" w:hAnsi="Abadi"/>
          <w:b w:val="0"/>
          <w:bCs w:val="0"/>
          <w:spacing w:val="11"/>
          <w:sz w:val="21"/>
          <w:szCs w:val="21"/>
        </w:rPr>
        <w:t xml:space="preserve"> </w:t>
      </w:r>
      <w:r w:rsidRPr="00FD5F33">
        <w:rPr>
          <w:rFonts w:ascii="Abadi" w:hAnsi="Abadi"/>
          <w:b w:val="0"/>
          <w:bCs w:val="0"/>
          <w:sz w:val="21"/>
          <w:szCs w:val="21"/>
        </w:rPr>
        <w:t>signado</w:t>
      </w:r>
      <w:r w:rsidRPr="00FD5F33">
        <w:rPr>
          <w:rFonts w:ascii="Abadi" w:hAnsi="Abadi"/>
          <w:b w:val="0"/>
          <w:bCs w:val="0"/>
          <w:spacing w:val="11"/>
          <w:sz w:val="21"/>
          <w:szCs w:val="21"/>
        </w:rPr>
        <w:t xml:space="preserve"> </w:t>
      </w:r>
      <w:r w:rsidRPr="00FD5F33">
        <w:rPr>
          <w:rFonts w:ascii="Abadi" w:hAnsi="Abadi"/>
          <w:b w:val="0"/>
          <w:bCs w:val="0"/>
          <w:sz w:val="21"/>
          <w:szCs w:val="21"/>
        </w:rPr>
        <w:t>por</w:t>
      </w:r>
      <w:r w:rsidRPr="00FD5F33">
        <w:rPr>
          <w:rFonts w:ascii="Abadi" w:hAnsi="Abadi"/>
          <w:b w:val="0"/>
          <w:bCs w:val="0"/>
          <w:spacing w:val="11"/>
          <w:sz w:val="21"/>
          <w:szCs w:val="21"/>
        </w:rPr>
        <w:t xml:space="preserve"> </w:t>
      </w:r>
      <w:r w:rsidRPr="00FD5F33">
        <w:rPr>
          <w:rFonts w:ascii="Abadi" w:hAnsi="Abadi"/>
          <w:b w:val="0"/>
          <w:bCs w:val="0"/>
          <w:sz w:val="21"/>
          <w:szCs w:val="21"/>
        </w:rPr>
        <w:t>la</w:t>
      </w:r>
      <w:r w:rsidRPr="00FD5F33">
        <w:rPr>
          <w:rFonts w:ascii="Abadi" w:hAnsi="Abadi"/>
          <w:b w:val="0"/>
          <w:bCs w:val="0"/>
          <w:spacing w:val="11"/>
          <w:sz w:val="21"/>
          <w:szCs w:val="21"/>
        </w:rPr>
        <w:t xml:space="preserve"> </w:t>
      </w:r>
      <w:r w:rsidRPr="00FD5F33">
        <w:rPr>
          <w:rFonts w:ascii="Abadi" w:hAnsi="Abadi"/>
          <w:b w:val="0"/>
          <w:bCs w:val="0"/>
          <w:sz w:val="21"/>
          <w:szCs w:val="21"/>
        </w:rPr>
        <w:t>Comisión de</w:t>
      </w:r>
      <w:r w:rsidRPr="00FD5F33">
        <w:rPr>
          <w:rFonts w:ascii="Abadi" w:hAnsi="Abadi"/>
          <w:b w:val="0"/>
          <w:bCs w:val="0"/>
          <w:spacing w:val="10"/>
          <w:sz w:val="21"/>
          <w:szCs w:val="21"/>
        </w:rPr>
        <w:t xml:space="preserve"> </w:t>
      </w:r>
      <w:r w:rsidRPr="00FD5F33">
        <w:rPr>
          <w:rFonts w:ascii="Abadi" w:hAnsi="Abadi"/>
          <w:b w:val="0"/>
          <w:bCs w:val="0"/>
          <w:sz w:val="21"/>
          <w:szCs w:val="21"/>
        </w:rPr>
        <w:t>Hacienda</w:t>
      </w:r>
      <w:r w:rsidRPr="00FD5F33">
        <w:rPr>
          <w:rFonts w:ascii="Abadi" w:hAnsi="Abadi"/>
          <w:b w:val="0"/>
          <w:bCs w:val="0"/>
          <w:spacing w:val="10"/>
          <w:sz w:val="21"/>
          <w:szCs w:val="21"/>
        </w:rPr>
        <w:t xml:space="preserve"> </w:t>
      </w:r>
      <w:r w:rsidRPr="00FD5F33">
        <w:rPr>
          <w:rFonts w:ascii="Abadi" w:hAnsi="Abadi"/>
          <w:b w:val="0"/>
          <w:bCs w:val="0"/>
          <w:sz w:val="21"/>
          <w:szCs w:val="21"/>
        </w:rPr>
        <w:t>y</w:t>
      </w:r>
      <w:r w:rsidRPr="00FD5F33">
        <w:rPr>
          <w:rFonts w:ascii="Abadi" w:hAnsi="Abadi"/>
          <w:b w:val="0"/>
          <w:bCs w:val="0"/>
          <w:spacing w:val="10"/>
          <w:sz w:val="21"/>
          <w:szCs w:val="21"/>
        </w:rPr>
        <w:t xml:space="preserve"> </w:t>
      </w:r>
      <w:r w:rsidRPr="00FD5F33">
        <w:rPr>
          <w:rFonts w:ascii="Abadi" w:hAnsi="Abadi"/>
          <w:b w:val="0"/>
          <w:bCs w:val="0"/>
          <w:sz w:val="21"/>
          <w:szCs w:val="21"/>
        </w:rPr>
        <w:t>Fiscalización</w:t>
      </w:r>
      <w:r w:rsidRPr="00FD5F33">
        <w:rPr>
          <w:rFonts w:ascii="Abadi" w:hAnsi="Abadi"/>
          <w:b w:val="0"/>
          <w:bCs w:val="0"/>
          <w:spacing w:val="10"/>
          <w:sz w:val="21"/>
          <w:szCs w:val="21"/>
        </w:rPr>
        <w:t xml:space="preserve"> </w:t>
      </w:r>
      <w:r w:rsidRPr="00FD5F33">
        <w:rPr>
          <w:rFonts w:ascii="Abadi" w:hAnsi="Abadi"/>
          <w:b w:val="0"/>
          <w:bCs w:val="0"/>
          <w:sz w:val="21"/>
          <w:szCs w:val="21"/>
        </w:rPr>
        <w:t>relativo</w:t>
      </w:r>
      <w:r w:rsidRPr="00FD5F33">
        <w:rPr>
          <w:rFonts w:ascii="Abadi" w:hAnsi="Abadi"/>
          <w:b w:val="0"/>
          <w:bCs w:val="0"/>
          <w:spacing w:val="10"/>
          <w:sz w:val="21"/>
          <w:szCs w:val="21"/>
        </w:rPr>
        <w:t xml:space="preserve"> </w:t>
      </w:r>
      <w:r w:rsidRPr="00FD5F33">
        <w:rPr>
          <w:rFonts w:ascii="Abadi" w:hAnsi="Abadi"/>
          <w:b w:val="0"/>
          <w:bCs w:val="0"/>
          <w:sz w:val="21"/>
          <w:szCs w:val="21"/>
        </w:rPr>
        <w:t>al</w:t>
      </w:r>
      <w:r w:rsidRPr="00FD5F33">
        <w:rPr>
          <w:rFonts w:ascii="Abadi" w:hAnsi="Abadi"/>
          <w:b w:val="0"/>
          <w:bCs w:val="0"/>
          <w:spacing w:val="9"/>
          <w:sz w:val="21"/>
          <w:szCs w:val="21"/>
        </w:rPr>
        <w:t xml:space="preserve"> </w:t>
      </w:r>
      <w:r w:rsidRPr="00FD5F33">
        <w:rPr>
          <w:rFonts w:ascii="Abadi" w:hAnsi="Abadi"/>
          <w:b w:val="0"/>
          <w:bCs w:val="0"/>
          <w:sz w:val="21"/>
          <w:szCs w:val="21"/>
        </w:rPr>
        <w:t>informe</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resultados</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revisión practicada</w:t>
      </w:r>
      <w:r w:rsidRPr="00FD5F33">
        <w:rPr>
          <w:rFonts w:ascii="Abadi" w:hAnsi="Abadi"/>
          <w:b w:val="0"/>
          <w:bCs w:val="0"/>
          <w:spacing w:val="10"/>
          <w:sz w:val="21"/>
          <w:szCs w:val="21"/>
        </w:rPr>
        <w:t xml:space="preserve"> </w:t>
      </w:r>
      <w:r w:rsidRPr="00FD5F33">
        <w:rPr>
          <w:rFonts w:ascii="Abadi" w:hAnsi="Abadi"/>
          <w:b w:val="0"/>
          <w:bCs w:val="0"/>
          <w:sz w:val="21"/>
          <w:szCs w:val="21"/>
        </w:rPr>
        <w:t>por</w:t>
      </w:r>
      <w:r w:rsidRPr="00FD5F33">
        <w:rPr>
          <w:rFonts w:ascii="Abadi" w:hAnsi="Abadi"/>
          <w:b w:val="0"/>
          <w:bCs w:val="0"/>
          <w:spacing w:val="9"/>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Auditoría</w:t>
      </w:r>
      <w:r w:rsidRPr="00FD5F33">
        <w:rPr>
          <w:rFonts w:ascii="Abadi" w:hAnsi="Abadi"/>
          <w:b w:val="0"/>
          <w:bCs w:val="0"/>
          <w:spacing w:val="10"/>
          <w:sz w:val="21"/>
          <w:szCs w:val="21"/>
        </w:rPr>
        <w:t xml:space="preserve"> </w:t>
      </w:r>
      <w:r w:rsidRPr="00FD5F33">
        <w:rPr>
          <w:rFonts w:ascii="Abadi" w:hAnsi="Abadi"/>
          <w:b w:val="0"/>
          <w:bCs w:val="0"/>
          <w:sz w:val="21"/>
          <w:szCs w:val="21"/>
        </w:rPr>
        <w:t>Superior</w:t>
      </w:r>
      <w:r w:rsidRPr="00FD5F33">
        <w:rPr>
          <w:rFonts w:ascii="Abadi" w:hAnsi="Abadi"/>
          <w:b w:val="0"/>
          <w:bCs w:val="0"/>
          <w:spacing w:val="9"/>
          <w:sz w:val="21"/>
          <w:szCs w:val="21"/>
        </w:rPr>
        <w:t xml:space="preserve"> </w:t>
      </w:r>
      <w:r w:rsidRPr="00FD5F33">
        <w:rPr>
          <w:rFonts w:ascii="Abadi" w:hAnsi="Abadi"/>
          <w:b w:val="0"/>
          <w:bCs w:val="0"/>
          <w:sz w:val="21"/>
          <w:szCs w:val="21"/>
        </w:rPr>
        <w:t>del</w:t>
      </w:r>
      <w:r w:rsidRPr="00FD5F33">
        <w:rPr>
          <w:rFonts w:ascii="Abadi" w:hAnsi="Abadi"/>
          <w:b w:val="0"/>
          <w:bCs w:val="0"/>
          <w:spacing w:val="9"/>
          <w:sz w:val="21"/>
          <w:szCs w:val="21"/>
        </w:rPr>
        <w:t xml:space="preserve"> </w:t>
      </w:r>
      <w:r w:rsidRPr="00FD5F33">
        <w:rPr>
          <w:rFonts w:ascii="Abadi" w:hAnsi="Abadi"/>
          <w:b w:val="0"/>
          <w:bCs w:val="0"/>
          <w:sz w:val="21"/>
          <w:szCs w:val="21"/>
        </w:rPr>
        <w:t>Estado</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Guanajuato,</w:t>
      </w:r>
      <w:r w:rsidRPr="00FD5F33">
        <w:rPr>
          <w:rFonts w:ascii="Abadi" w:hAnsi="Abadi"/>
          <w:b w:val="0"/>
          <w:bCs w:val="0"/>
          <w:spacing w:val="9"/>
          <w:sz w:val="21"/>
          <w:szCs w:val="21"/>
        </w:rPr>
        <w:t xml:space="preserve"> </w:t>
      </w:r>
      <w:r w:rsidRPr="00FD5F33">
        <w:rPr>
          <w:rFonts w:ascii="Abadi" w:hAnsi="Abadi"/>
          <w:b w:val="0"/>
          <w:bCs w:val="0"/>
          <w:sz w:val="21"/>
          <w:szCs w:val="21"/>
        </w:rPr>
        <w:t>a</w:t>
      </w:r>
      <w:r w:rsidRPr="00FD5F33">
        <w:rPr>
          <w:rFonts w:ascii="Abadi" w:hAnsi="Abadi"/>
          <w:b w:val="0"/>
          <w:bCs w:val="0"/>
          <w:spacing w:val="10"/>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cuenta pública</w:t>
      </w:r>
      <w:r w:rsidRPr="00FD5F33">
        <w:rPr>
          <w:rFonts w:ascii="Abadi" w:hAnsi="Abadi"/>
          <w:b w:val="0"/>
          <w:bCs w:val="0"/>
          <w:spacing w:val="32"/>
          <w:sz w:val="21"/>
          <w:szCs w:val="21"/>
        </w:rPr>
        <w:t xml:space="preserve"> </w:t>
      </w:r>
      <w:r w:rsidRPr="00FD5F33">
        <w:rPr>
          <w:rFonts w:ascii="Abadi" w:hAnsi="Abadi"/>
          <w:b w:val="0"/>
          <w:bCs w:val="0"/>
          <w:sz w:val="21"/>
          <w:szCs w:val="21"/>
        </w:rPr>
        <w:t>municipal</w:t>
      </w:r>
      <w:r w:rsidRPr="00FD5F33">
        <w:rPr>
          <w:rFonts w:ascii="Abadi" w:hAnsi="Abadi"/>
          <w:b w:val="0"/>
          <w:bCs w:val="0"/>
          <w:spacing w:val="33"/>
          <w:sz w:val="21"/>
          <w:szCs w:val="21"/>
        </w:rPr>
        <w:t xml:space="preserve"> </w:t>
      </w:r>
      <w:r w:rsidRPr="00FD5F33">
        <w:rPr>
          <w:rFonts w:ascii="Abadi" w:hAnsi="Abadi"/>
          <w:b w:val="0"/>
          <w:bCs w:val="0"/>
          <w:sz w:val="21"/>
          <w:szCs w:val="21"/>
        </w:rPr>
        <w:t>de</w:t>
      </w:r>
      <w:r w:rsidRPr="00FD5F33">
        <w:rPr>
          <w:rFonts w:ascii="Abadi" w:hAnsi="Abadi"/>
          <w:b w:val="0"/>
          <w:bCs w:val="0"/>
          <w:spacing w:val="32"/>
          <w:sz w:val="21"/>
          <w:szCs w:val="21"/>
        </w:rPr>
        <w:t xml:space="preserve"> </w:t>
      </w:r>
      <w:r w:rsidRPr="00FD5F33">
        <w:rPr>
          <w:rFonts w:ascii="Abadi" w:hAnsi="Abadi"/>
          <w:b w:val="0"/>
          <w:bCs w:val="0"/>
          <w:sz w:val="21"/>
          <w:szCs w:val="21"/>
        </w:rPr>
        <w:t>Abasolo,</w:t>
      </w:r>
      <w:r w:rsidRPr="00FD5F33">
        <w:rPr>
          <w:rFonts w:ascii="Abadi" w:hAnsi="Abadi"/>
          <w:b w:val="0"/>
          <w:bCs w:val="0"/>
          <w:spacing w:val="32"/>
          <w:sz w:val="21"/>
          <w:szCs w:val="21"/>
        </w:rPr>
        <w:t xml:space="preserve"> </w:t>
      </w:r>
      <w:r w:rsidRPr="00FD5F33">
        <w:rPr>
          <w:rFonts w:ascii="Abadi" w:hAnsi="Abadi"/>
          <w:b w:val="0"/>
          <w:bCs w:val="0"/>
          <w:sz w:val="21"/>
          <w:szCs w:val="21"/>
        </w:rPr>
        <w:t>Gto.,</w:t>
      </w:r>
      <w:r w:rsidRPr="00FD5F33">
        <w:rPr>
          <w:rFonts w:ascii="Abadi" w:hAnsi="Abadi"/>
          <w:b w:val="0"/>
          <w:bCs w:val="0"/>
          <w:spacing w:val="32"/>
          <w:sz w:val="21"/>
          <w:szCs w:val="21"/>
        </w:rPr>
        <w:t xml:space="preserve"> </w:t>
      </w:r>
      <w:r w:rsidRPr="00FD5F33">
        <w:rPr>
          <w:rFonts w:ascii="Abadi" w:hAnsi="Abadi"/>
          <w:b w:val="0"/>
          <w:bCs w:val="0"/>
          <w:sz w:val="21"/>
          <w:szCs w:val="21"/>
        </w:rPr>
        <w:t>correspondiente</w:t>
      </w:r>
      <w:r w:rsidRPr="00FD5F33">
        <w:rPr>
          <w:rFonts w:ascii="Abadi" w:hAnsi="Abadi"/>
          <w:b w:val="0"/>
          <w:bCs w:val="0"/>
          <w:spacing w:val="32"/>
          <w:sz w:val="21"/>
          <w:szCs w:val="21"/>
        </w:rPr>
        <w:t xml:space="preserve"> </w:t>
      </w:r>
      <w:r w:rsidRPr="00FD5F33">
        <w:rPr>
          <w:rFonts w:ascii="Abadi" w:hAnsi="Abadi"/>
          <w:b w:val="0"/>
          <w:bCs w:val="0"/>
          <w:sz w:val="21"/>
          <w:szCs w:val="21"/>
        </w:rPr>
        <w:t>al</w:t>
      </w:r>
      <w:r w:rsidRPr="00FD5F33">
        <w:rPr>
          <w:rFonts w:ascii="Abadi" w:hAnsi="Abadi"/>
          <w:b w:val="0"/>
          <w:bCs w:val="0"/>
          <w:spacing w:val="32"/>
          <w:sz w:val="21"/>
          <w:szCs w:val="21"/>
        </w:rPr>
        <w:t xml:space="preserve"> </w:t>
      </w:r>
      <w:r w:rsidRPr="00FD5F33">
        <w:rPr>
          <w:rFonts w:ascii="Abadi" w:hAnsi="Abadi"/>
          <w:b w:val="0"/>
          <w:bCs w:val="0"/>
          <w:sz w:val="21"/>
          <w:szCs w:val="21"/>
        </w:rPr>
        <w:t>ejercicio</w:t>
      </w:r>
      <w:r w:rsidRPr="00FD5F33">
        <w:rPr>
          <w:rFonts w:ascii="Abadi" w:hAnsi="Abadi"/>
          <w:b w:val="0"/>
          <w:bCs w:val="0"/>
          <w:spacing w:val="32"/>
          <w:sz w:val="21"/>
          <w:szCs w:val="21"/>
        </w:rPr>
        <w:t xml:space="preserve"> </w:t>
      </w:r>
      <w:r w:rsidRPr="00FD5F33">
        <w:rPr>
          <w:rFonts w:ascii="Abadi" w:hAnsi="Abadi"/>
          <w:b w:val="0"/>
          <w:bCs w:val="0"/>
          <w:sz w:val="21"/>
          <w:szCs w:val="21"/>
        </w:rPr>
        <w:t>fiscal</w:t>
      </w:r>
      <w:r w:rsidRPr="00FD5F33">
        <w:rPr>
          <w:rFonts w:ascii="Abadi" w:hAnsi="Abadi"/>
          <w:b w:val="0"/>
          <w:bCs w:val="0"/>
          <w:spacing w:val="32"/>
          <w:sz w:val="21"/>
          <w:szCs w:val="21"/>
        </w:rPr>
        <w:t xml:space="preserve"> </w:t>
      </w:r>
      <w:r w:rsidRPr="00FD5F33">
        <w:rPr>
          <w:rFonts w:ascii="Abadi" w:hAnsi="Abadi"/>
          <w:b w:val="0"/>
          <w:bCs w:val="0"/>
          <w:sz w:val="21"/>
          <w:szCs w:val="21"/>
        </w:rPr>
        <w:t>del año 2020.</w:t>
      </w:r>
      <w:r>
        <w:rPr>
          <w:rFonts w:ascii="Abadi" w:hAnsi="Abadi"/>
          <w:sz w:val="21"/>
          <w:szCs w:val="21"/>
        </w:rPr>
        <w:t xml:space="preserve"> </w:t>
      </w:r>
      <w:r w:rsidRPr="009A3D12">
        <w:rPr>
          <w:rFonts w:ascii="Abadi" w:hAnsi="Abadi"/>
          <w:sz w:val="21"/>
          <w:szCs w:val="21"/>
        </w:rPr>
        <w:t>LVIII.-</w:t>
      </w:r>
      <w:r>
        <w:rPr>
          <w:rFonts w:ascii="Abadi" w:hAnsi="Abadi"/>
          <w:sz w:val="21"/>
          <w:szCs w:val="21"/>
        </w:rPr>
        <w:t xml:space="preserve"> </w:t>
      </w:r>
      <w:r w:rsidRPr="00FD5F33">
        <w:rPr>
          <w:rFonts w:ascii="Abadi" w:hAnsi="Abadi"/>
          <w:b w:val="0"/>
          <w:bCs w:val="0"/>
          <w:sz w:val="21"/>
          <w:szCs w:val="21"/>
        </w:rPr>
        <w:t>Discusión</w:t>
      </w:r>
      <w:r w:rsidRPr="00FD5F33">
        <w:rPr>
          <w:rFonts w:ascii="Abadi" w:hAnsi="Abadi"/>
          <w:b w:val="0"/>
          <w:bCs w:val="0"/>
          <w:spacing w:val="11"/>
          <w:sz w:val="21"/>
          <w:szCs w:val="21"/>
        </w:rPr>
        <w:t xml:space="preserve"> </w:t>
      </w:r>
      <w:r w:rsidRPr="00FD5F33">
        <w:rPr>
          <w:rFonts w:ascii="Abadi" w:hAnsi="Abadi"/>
          <w:b w:val="0"/>
          <w:bCs w:val="0"/>
          <w:sz w:val="21"/>
          <w:szCs w:val="21"/>
        </w:rPr>
        <w:t>y,</w:t>
      </w:r>
      <w:r w:rsidRPr="00FD5F33">
        <w:rPr>
          <w:rFonts w:ascii="Abadi" w:hAnsi="Abadi"/>
          <w:b w:val="0"/>
          <w:bCs w:val="0"/>
          <w:spacing w:val="11"/>
          <w:sz w:val="21"/>
          <w:szCs w:val="21"/>
        </w:rPr>
        <w:t xml:space="preserve"> </w:t>
      </w:r>
      <w:r w:rsidRPr="00FD5F33">
        <w:rPr>
          <w:rFonts w:ascii="Abadi" w:hAnsi="Abadi"/>
          <w:b w:val="0"/>
          <w:bCs w:val="0"/>
          <w:sz w:val="21"/>
          <w:szCs w:val="21"/>
        </w:rPr>
        <w:t>en</w:t>
      </w:r>
      <w:r w:rsidRPr="00FD5F33">
        <w:rPr>
          <w:rFonts w:ascii="Abadi" w:hAnsi="Abadi"/>
          <w:b w:val="0"/>
          <w:bCs w:val="0"/>
          <w:spacing w:val="11"/>
          <w:sz w:val="21"/>
          <w:szCs w:val="21"/>
        </w:rPr>
        <w:t xml:space="preserve"> </w:t>
      </w:r>
      <w:r w:rsidRPr="00FD5F33">
        <w:rPr>
          <w:rFonts w:ascii="Abadi" w:hAnsi="Abadi"/>
          <w:b w:val="0"/>
          <w:bCs w:val="0"/>
          <w:sz w:val="21"/>
          <w:szCs w:val="21"/>
        </w:rPr>
        <w:t>su</w:t>
      </w:r>
      <w:r w:rsidRPr="00FD5F33">
        <w:rPr>
          <w:rFonts w:ascii="Abadi" w:hAnsi="Abadi"/>
          <w:b w:val="0"/>
          <w:bCs w:val="0"/>
          <w:spacing w:val="11"/>
          <w:sz w:val="21"/>
          <w:szCs w:val="21"/>
        </w:rPr>
        <w:t xml:space="preserve"> </w:t>
      </w:r>
      <w:r w:rsidRPr="00FD5F33">
        <w:rPr>
          <w:rFonts w:ascii="Abadi" w:hAnsi="Abadi"/>
          <w:b w:val="0"/>
          <w:bCs w:val="0"/>
          <w:sz w:val="21"/>
          <w:szCs w:val="21"/>
        </w:rPr>
        <w:t>caso,</w:t>
      </w:r>
      <w:r w:rsidRPr="00FD5F33">
        <w:rPr>
          <w:rFonts w:ascii="Abadi" w:hAnsi="Abadi"/>
          <w:b w:val="0"/>
          <w:bCs w:val="0"/>
          <w:spacing w:val="11"/>
          <w:sz w:val="21"/>
          <w:szCs w:val="21"/>
        </w:rPr>
        <w:t xml:space="preserve"> </w:t>
      </w:r>
      <w:r w:rsidRPr="00FD5F33">
        <w:rPr>
          <w:rFonts w:ascii="Abadi" w:hAnsi="Abadi"/>
          <w:b w:val="0"/>
          <w:bCs w:val="0"/>
          <w:sz w:val="21"/>
          <w:szCs w:val="21"/>
        </w:rPr>
        <w:t>aprobación</w:t>
      </w:r>
      <w:r w:rsidRPr="00FD5F33">
        <w:rPr>
          <w:rFonts w:ascii="Abadi" w:hAnsi="Abadi"/>
          <w:b w:val="0"/>
          <w:bCs w:val="0"/>
          <w:spacing w:val="11"/>
          <w:sz w:val="21"/>
          <w:szCs w:val="21"/>
        </w:rPr>
        <w:t xml:space="preserve"> </w:t>
      </w:r>
      <w:r w:rsidRPr="00FD5F33">
        <w:rPr>
          <w:rFonts w:ascii="Abadi" w:hAnsi="Abadi"/>
          <w:b w:val="0"/>
          <w:bCs w:val="0"/>
          <w:sz w:val="21"/>
          <w:szCs w:val="21"/>
        </w:rPr>
        <w:t>del</w:t>
      </w:r>
      <w:r w:rsidRPr="00FD5F33">
        <w:rPr>
          <w:rFonts w:ascii="Abadi" w:hAnsi="Abadi"/>
          <w:b w:val="0"/>
          <w:bCs w:val="0"/>
          <w:spacing w:val="11"/>
          <w:sz w:val="21"/>
          <w:szCs w:val="21"/>
        </w:rPr>
        <w:t xml:space="preserve"> </w:t>
      </w:r>
      <w:r w:rsidRPr="00FD5F33">
        <w:rPr>
          <w:rFonts w:ascii="Abadi" w:hAnsi="Abadi"/>
          <w:b w:val="0"/>
          <w:bCs w:val="0"/>
          <w:sz w:val="21"/>
          <w:szCs w:val="21"/>
        </w:rPr>
        <w:t>dictamen</w:t>
      </w:r>
      <w:r w:rsidRPr="00FD5F33">
        <w:rPr>
          <w:rFonts w:ascii="Abadi" w:hAnsi="Abadi"/>
          <w:b w:val="0"/>
          <w:bCs w:val="0"/>
          <w:spacing w:val="11"/>
          <w:sz w:val="21"/>
          <w:szCs w:val="21"/>
        </w:rPr>
        <w:t xml:space="preserve"> </w:t>
      </w:r>
      <w:r w:rsidRPr="00FD5F33">
        <w:rPr>
          <w:rFonts w:ascii="Abadi" w:hAnsi="Abadi"/>
          <w:b w:val="0"/>
          <w:bCs w:val="0"/>
          <w:sz w:val="21"/>
          <w:szCs w:val="21"/>
        </w:rPr>
        <w:t>signado</w:t>
      </w:r>
      <w:r w:rsidRPr="00FD5F33">
        <w:rPr>
          <w:rFonts w:ascii="Abadi" w:hAnsi="Abadi"/>
          <w:b w:val="0"/>
          <w:bCs w:val="0"/>
          <w:spacing w:val="11"/>
          <w:sz w:val="21"/>
          <w:szCs w:val="21"/>
        </w:rPr>
        <w:t xml:space="preserve"> </w:t>
      </w:r>
      <w:r w:rsidRPr="00FD5F33">
        <w:rPr>
          <w:rFonts w:ascii="Abadi" w:hAnsi="Abadi"/>
          <w:b w:val="0"/>
          <w:bCs w:val="0"/>
          <w:sz w:val="21"/>
          <w:szCs w:val="21"/>
        </w:rPr>
        <w:t>por</w:t>
      </w:r>
      <w:r w:rsidRPr="00FD5F33">
        <w:rPr>
          <w:rFonts w:ascii="Abadi" w:hAnsi="Abadi"/>
          <w:b w:val="0"/>
          <w:bCs w:val="0"/>
          <w:spacing w:val="11"/>
          <w:sz w:val="21"/>
          <w:szCs w:val="21"/>
        </w:rPr>
        <w:t xml:space="preserve"> </w:t>
      </w:r>
      <w:r w:rsidRPr="00FD5F33">
        <w:rPr>
          <w:rFonts w:ascii="Abadi" w:hAnsi="Abadi"/>
          <w:b w:val="0"/>
          <w:bCs w:val="0"/>
          <w:sz w:val="21"/>
          <w:szCs w:val="21"/>
        </w:rPr>
        <w:t>la</w:t>
      </w:r>
      <w:r w:rsidRPr="00FD5F33">
        <w:rPr>
          <w:rFonts w:ascii="Abadi" w:hAnsi="Abadi"/>
          <w:b w:val="0"/>
          <w:bCs w:val="0"/>
          <w:spacing w:val="11"/>
          <w:sz w:val="21"/>
          <w:szCs w:val="21"/>
        </w:rPr>
        <w:t xml:space="preserve"> </w:t>
      </w:r>
      <w:r w:rsidRPr="00FD5F33">
        <w:rPr>
          <w:rFonts w:ascii="Abadi" w:hAnsi="Abadi"/>
          <w:b w:val="0"/>
          <w:bCs w:val="0"/>
          <w:sz w:val="21"/>
          <w:szCs w:val="21"/>
        </w:rPr>
        <w:t>Comisión de</w:t>
      </w:r>
      <w:r w:rsidRPr="00FD5F33">
        <w:rPr>
          <w:rFonts w:ascii="Abadi" w:hAnsi="Abadi"/>
          <w:b w:val="0"/>
          <w:bCs w:val="0"/>
          <w:spacing w:val="10"/>
          <w:sz w:val="21"/>
          <w:szCs w:val="21"/>
        </w:rPr>
        <w:t xml:space="preserve"> </w:t>
      </w:r>
      <w:r w:rsidRPr="00FD5F33">
        <w:rPr>
          <w:rFonts w:ascii="Abadi" w:hAnsi="Abadi"/>
          <w:b w:val="0"/>
          <w:bCs w:val="0"/>
          <w:sz w:val="21"/>
          <w:szCs w:val="21"/>
        </w:rPr>
        <w:t>Hacienda</w:t>
      </w:r>
      <w:r w:rsidRPr="00FD5F33">
        <w:rPr>
          <w:rFonts w:ascii="Abadi" w:hAnsi="Abadi"/>
          <w:b w:val="0"/>
          <w:bCs w:val="0"/>
          <w:spacing w:val="10"/>
          <w:sz w:val="21"/>
          <w:szCs w:val="21"/>
        </w:rPr>
        <w:t xml:space="preserve"> </w:t>
      </w:r>
      <w:r w:rsidRPr="00FD5F33">
        <w:rPr>
          <w:rFonts w:ascii="Abadi" w:hAnsi="Abadi"/>
          <w:b w:val="0"/>
          <w:bCs w:val="0"/>
          <w:sz w:val="21"/>
          <w:szCs w:val="21"/>
        </w:rPr>
        <w:t>y</w:t>
      </w:r>
      <w:r w:rsidRPr="00FD5F33">
        <w:rPr>
          <w:rFonts w:ascii="Abadi" w:hAnsi="Abadi"/>
          <w:b w:val="0"/>
          <w:bCs w:val="0"/>
          <w:spacing w:val="10"/>
          <w:sz w:val="21"/>
          <w:szCs w:val="21"/>
        </w:rPr>
        <w:t xml:space="preserve"> </w:t>
      </w:r>
      <w:r w:rsidRPr="00FD5F33">
        <w:rPr>
          <w:rFonts w:ascii="Abadi" w:hAnsi="Abadi"/>
          <w:b w:val="0"/>
          <w:bCs w:val="0"/>
          <w:sz w:val="21"/>
          <w:szCs w:val="21"/>
        </w:rPr>
        <w:t>Fiscalización</w:t>
      </w:r>
      <w:r w:rsidRPr="00FD5F33">
        <w:rPr>
          <w:rFonts w:ascii="Abadi" w:hAnsi="Abadi"/>
          <w:b w:val="0"/>
          <w:bCs w:val="0"/>
          <w:spacing w:val="10"/>
          <w:sz w:val="21"/>
          <w:szCs w:val="21"/>
        </w:rPr>
        <w:t xml:space="preserve"> </w:t>
      </w:r>
      <w:r w:rsidRPr="00FD5F33">
        <w:rPr>
          <w:rFonts w:ascii="Abadi" w:hAnsi="Abadi"/>
          <w:b w:val="0"/>
          <w:bCs w:val="0"/>
          <w:sz w:val="21"/>
          <w:szCs w:val="21"/>
        </w:rPr>
        <w:t>relativo</w:t>
      </w:r>
      <w:r w:rsidRPr="00FD5F33">
        <w:rPr>
          <w:rFonts w:ascii="Abadi" w:hAnsi="Abadi"/>
          <w:b w:val="0"/>
          <w:bCs w:val="0"/>
          <w:spacing w:val="10"/>
          <w:sz w:val="21"/>
          <w:szCs w:val="21"/>
        </w:rPr>
        <w:t xml:space="preserve"> </w:t>
      </w:r>
      <w:r w:rsidRPr="00FD5F33">
        <w:rPr>
          <w:rFonts w:ascii="Abadi" w:hAnsi="Abadi"/>
          <w:b w:val="0"/>
          <w:bCs w:val="0"/>
          <w:sz w:val="21"/>
          <w:szCs w:val="21"/>
        </w:rPr>
        <w:t>al</w:t>
      </w:r>
      <w:r w:rsidRPr="00FD5F33">
        <w:rPr>
          <w:rFonts w:ascii="Abadi" w:hAnsi="Abadi"/>
          <w:b w:val="0"/>
          <w:bCs w:val="0"/>
          <w:spacing w:val="9"/>
          <w:sz w:val="21"/>
          <w:szCs w:val="21"/>
        </w:rPr>
        <w:t xml:space="preserve"> </w:t>
      </w:r>
      <w:r w:rsidRPr="00FD5F33">
        <w:rPr>
          <w:rFonts w:ascii="Abadi" w:hAnsi="Abadi"/>
          <w:b w:val="0"/>
          <w:bCs w:val="0"/>
          <w:sz w:val="21"/>
          <w:szCs w:val="21"/>
        </w:rPr>
        <w:t>informe</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resultados</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revisión practicada</w:t>
      </w:r>
      <w:r w:rsidRPr="00FD5F33">
        <w:rPr>
          <w:rFonts w:ascii="Abadi" w:hAnsi="Abadi"/>
          <w:b w:val="0"/>
          <w:bCs w:val="0"/>
          <w:spacing w:val="10"/>
          <w:sz w:val="21"/>
          <w:szCs w:val="21"/>
        </w:rPr>
        <w:t xml:space="preserve"> </w:t>
      </w:r>
      <w:r w:rsidRPr="00FD5F33">
        <w:rPr>
          <w:rFonts w:ascii="Abadi" w:hAnsi="Abadi"/>
          <w:b w:val="0"/>
          <w:bCs w:val="0"/>
          <w:sz w:val="21"/>
          <w:szCs w:val="21"/>
        </w:rPr>
        <w:t>por</w:t>
      </w:r>
      <w:r w:rsidRPr="00FD5F33">
        <w:rPr>
          <w:rFonts w:ascii="Abadi" w:hAnsi="Abadi"/>
          <w:b w:val="0"/>
          <w:bCs w:val="0"/>
          <w:spacing w:val="9"/>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Auditoría</w:t>
      </w:r>
      <w:r w:rsidRPr="00FD5F33">
        <w:rPr>
          <w:rFonts w:ascii="Abadi" w:hAnsi="Abadi"/>
          <w:b w:val="0"/>
          <w:bCs w:val="0"/>
          <w:spacing w:val="10"/>
          <w:sz w:val="21"/>
          <w:szCs w:val="21"/>
        </w:rPr>
        <w:t xml:space="preserve"> </w:t>
      </w:r>
      <w:r w:rsidRPr="00FD5F33">
        <w:rPr>
          <w:rFonts w:ascii="Abadi" w:hAnsi="Abadi"/>
          <w:b w:val="0"/>
          <w:bCs w:val="0"/>
          <w:sz w:val="21"/>
          <w:szCs w:val="21"/>
        </w:rPr>
        <w:t>Superior</w:t>
      </w:r>
      <w:r w:rsidRPr="00FD5F33">
        <w:rPr>
          <w:rFonts w:ascii="Abadi" w:hAnsi="Abadi"/>
          <w:b w:val="0"/>
          <w:bCs w:val="0"/>
          <w:spacing w:val="9"/>
          <w:sz w:val="21"/>
          <w:szCs w:val="21"/>
        </w:rPr>
        <w:t xml:space="preserve"> </w:t>
      </w:r>
      <w:r w:rsidRPr="00FD5F33">
        <w:rPr>
          <w:rFonts w:ascii="Abadi" w:hAnsi="Abadi"/>
          <w:b w:val="0"/>
          <w:bCs w:val="0"/>
          <w:sz w:val="21"/>
          <w:szCs w:val="21"/>
        </w:rPr>
        <w:t>del</w:t>
      </w:r>
      <w:r w:rsidRPr="00FD5F33">
        <w:rPr>
          <w:rFonts w:ascii="Abadi" w:hAnsi="Abadi"/>
          <w:b w:val="0"/>
          <w:bCs w:val="0"/>
          <w:spacing w:val="9"/>
          <w:sz w:val="21"/>
          <w:szCs w:val="21"/>
        </w:rPr>
        <w:t xml:space="preserve"> </w:t>
      </w:r>
      <w:r w:rsidRPr="00FD5F33">
        <w:rPr>
          <w:rFonts w:ascii="Abadi" w:hAnsi="Abadi"/>
          <w:b w:val="0"/>
          <w:bCs w:val="0"/>
          <w:sz w:val="21"/>
          <w:szCs w:val="21"/>
        </w:rPr>
        <w:t>Estado</w:t>
      </w:r>
      <w:r w:rsidRPr="00FD5F33">
        <w:rPr>
          <w:rFonts w:ascii="Abadi" w:hAnsi="Abadi"/>
          <w:b w:val="0"/>
          <w:bCs w:val="0"/>
          <w:spacing w:val="9"/>
          <w:sz w:val="21"/>
          <w:szCs w:val="21"/>
        </w:rPr>
        <w:t xml:space="preserve"> </w:t>
      </w:r>
      <w:r w:rsidRPr="00FD5F33">
        <w:rPr>
          <w:rFonts w:ascii="Abadi" w:hAnsi="Abadi"/>
          <w:b w:val="0"/>
          <w:bCs w:val="0"/>
          <w:sz w:val="21"/>
          <w:szCs w:val="21"/>
        </w:rPr>
        <w:t>de</w:t>
      </w:r>
      <w:r w:rsidRPr="00FD5F33">
        <w:rPr>
          <w:rFonts w:ascii="Abadi" w:hAnsi="Abadi"/>
          <w:b w:val="0"/>
          <w:bCs w:val="0"/>
          <w:spacing w:val="9"/>
          <w:sz w:val="21"/>
          <w:szCs w:val="21"/>
        </w:rPr>
        <w:t xml:space="preserve"> </w:t>
      </w:r>
      <w:r w:rsidRPr="00FD5F33">
        <w:rPr>
          <w:rFonts w:ascii="Abadi" w:hAnsi="Abadi"/>
          <w:b w:val="0"/>
          <w:bCs w:val="0"/>
          <w:sz w:val="21"/>
          <w:szCs w:val="21"/>
        </w:rPr>
        <w:t>Guanajuato,</w:t>
      </w:r>
      <w:r w:rsidRPr="00FD5F33">
        <w:rPr>
          <w:rFonts w:ascii="Abadi" w:hAnsi="Abadi"/>
          <w:b w:val="0"/>
          <w:bCs w:val="0"/>
          <w:spacing w:val="9"/>
          <w:sz w:val="21"/>
          <w:szCs w:val="21"/>
        </w:rPr>
        <w:t xml:space="preserve"> </w:t>
      </w:r>
      <w:r w:rsidRPr="00FD5F33">
        <w:rPr>
          <w:rFonts w:ascii="Abadi" w:hAnsi="Abadi"/>
          <w:b w:val="0"/>
          <w:bCs w:val="0"/>
          <w:sz w:val="21"/>
          <w:szCs w:val="21"/>
        </w:rPr>
        <w:t>a</w:t>
      </w:r>
      <w:r w:rsidRPr="00FD5F33">
        <w:rPr>
          <w:rFonts w:ascii="Abadi" w:hAnsi="Abadi"/>
          <w:b w:val="0"/>
          <w:bCs w:val="0"/>
          <w:spacing w:val="11"/>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cuenta pública</w:t>
      </w:r>
      <w:r w:rsidRPr="00FD5F33">
        <w:rPr>
          <w:rFonts w:ascii="Abadi" w:hAnsi="Abadi"/>
          <w:b w:val="0"/>
          <w:bCs w:val="0"/>
          <w:spacing w:val="24"/>
          <w:sz w:val="21"/>
          <w:szCs w:val="21"/>
        </w:rPr>
        <w:t xml:space="preserve"> </w:t>
      </w:r>
      <w:r w:rsidRPr="00FD5F33">
        <w:rPr>
          <w:rFonts w:ascii="Abadi" w:hAnsi="Abadi"/>
          <w:b w:val="0"/>
          <w:bCs w:val="0"/>
          <w:sz w:val="21"/>
          <w:szCs w:val="21"/>
        </w:rPr>
        <w:t>municipal</w:t>
      </w:r>
      <w:r w:rsidRPr="00FD5F33">
        <w:rPr>
          <w:rFonts w:ascii="Abadi" w:hAnsi="Abadi"/>
          <w:b w:val="0"/>
          <w:bCs w:val="0"/>
          <w:spacing w:val="24"/>
          <w:sz w:val="21"/>
          <w:szCs w:val="21"/>
        </w:rPr>
        <w:t xml:space="preserve"> </w:t>
      </w:r>
      <w:r w:rsidRPr="00FD5F33">
        <w:rPr>
          <w:rFonts w:ascii="Abadi" w:hAnsi="Abadi"/>
          <w:b w:val="0"/>
          <w:bCs w:val="0"/>
          <w:sz w:val="21"/>
          <w:szCs w:val="21"/>
        </w:rPr>
        <w:t>de</w:t>
      </w:r>
      <w:r w:rsidRPr="00FD5F33">
        <w:rPr>
          <w:rFonts w:ascii="Abadi" w:hAnsi="Abadi"/>
          <w:b w:val="0"/>
          <w:bCs w:val="0"/>
          <w:spacing w:val="24"/>
          <w:sz w:val="21"/>
          <w:szCs w:val="21"/>
        </w:rPr>
        <w:t xml:space="preserve"> </w:t>
      </w:r>
      <w:r w:rsidRPr="00FD5F33">
        <w:rPr>
          <w:rFonts w:ascii="Abadi" w:hAnsi="Abadi"/>
          <w:b w:val="0"/>
          <w:bCs w:val="0"/>
          <w:sz w:val="21"/>
          <w:szCs w:val="21"/>
        </w:rPr>
        <w:t>Apaseo</w:t>
      </w:r>
      <w:r w:rsidRPr="00FD5F33">
        <w:rPr>
          <w:rFonts w:ascii="Abadi" w:hAnsi="Abadi"/>
          <w:b w:val="0"/>
          <w:bCs w:val="0"/>
          <w:spacing w:val="24"/>
          <w:sz w:val="21"/>
          <w:szCs w:val="21"/>
        </w:rPr>
        <w:t xml:space="preserve"> </w:t>
      </w:r>
      <w:r w:rsidRPr="00FD5F33">
        <w:rPr>
          <w:rFonts w:ascii="Abadi" w:hAnsi="Abadi"/>
          <w:b w:val="0"/>
          <w:bCs w:val="0"/>
          <w:sz w:val="21"/>
          <w:szCs w:val="21"/>
        </w:rPr>
        <w:t>el</w:t>
      </w:r>
      <w:r w:rsidRPr="00FD5F33">
        <w:rPr>
          <w:rFonts w:ascii="Abadi" w:hAnsi="Abadi"/>
          <w:b w:val="0"/>
          <w:bCs w:val="0"/>
          <w:spacing w:val="24"/>
          <w:sz w:val="21"/>
          <w:szCs w:val="21"/>
        </w:rPr>
        <w:t xml:space="preserve"> </w:t>
      </w:r>
      <w:r w:rsidRPr="00FD5F33">
        <w:rPr>
          <w:rFonts w:ascii="Abadi" w:hAnsi="Abadi"/>
          <w:b w:val="0"/>
          <w:bCs w:val="0"/>
          <w:sz w:val="21"/>
          <w:szCs w:val="21"/>
        </w:rPr>
        <w:t>Grande,</w:t>
      </w:r>
      <w:r w:rsidRPr="00FD5F33">
        <w:rPr>
          <w:rFonts w:ascii="Abadi" w:hAnsi="Abadi"/>
          <w:b w:val="0"/>
          <w:bCs w:val="0"/>
          <w:spacing w:val="24"/>
          <w:sz w:val="21"/>
          <w:szCs w:val="21"/>
        </w:rPr>
        <w:t xml:space="preserve"> </w:t>
      </w:r>
      <w:r w:rsidRPr="00FD5F33">
        <w:rPr>
          <w:rFonts w:ascii="Abadi" w:hAnsi="Abadi"/>
          <w:b w:val="0"/>
          <w:bCs w:val="0"/>
          <w:sz w:val="21"/>
          <w:szCs w:val="21"/>
        </w:rPr>
        <w:t>Gto.,</w:t>
      </w:r>
      <w:r w:rsidRPr="00FD5F33">
        <w:rPr>
          <w:rFonts w:ascii="Abadi" w:hAnsi="Abadi"/>
          <w:b w:val="0"/>
          <w:bCs w:val="0"/>
          <w:spacing w:val="24"/>
          <w:sz w:val="21"/>
          <w:szCs w:val="21"/>
        </w:rPr>
        <w:t xml:space="preserve"> </w:t>
      </w:r>
      <w:r w:rsidRPr="00FD5F33">
        <w:rPr>
          <w:rFonts w:ascii="Abadi" w:hAnsi="Abadi"/>
          <w:b w:val="0"/>
          <w:bCs w:val="0"/>
          <w:sz w:val="21"/>
          <w:szCs w:val="21"/>
        </w:rPr>
        <w:t>correspondiente</w:t>
      </w:r>
      <w:r w:rsidRPr="00FD5F33">
        <w:rPr>
          <w:rFonts w:ascii="Abadi" w:hAnsi="Abadi"/>
          <w:b w:val="0"/>
          <w:bCs w:val="0"/>
          <w:spacing w:val="24"/>
          <w:sz w:val="21"/>
          <w:szCs w:val="21"/>
        </w:rPr>
        <w:t xml:space="preserve"> </w:t>
      </w:r>
      <w:r w:rsidRPr="00FD5F33">
        <w:rPr>
          <w:rFonts w:ascii="Abadi" w:hAnsi="Abadi"/>
          <w:b w:val="0"/>
          <w:bCs w:val="0"/>
          <w:sz w:val="21"/>
          <w:szCs w:val="21"/>
        </w:rPr>
        <w:t>al</w:t>
      </w:r>
      <w:r w:rsidRPr="00FD5F33">
        <w:rPr>
          <w:rFonts w:ascii="Abadi" w:hAnsi="Abadi"/>
          <w:b w:val="0"/>
          <w:bCs w:val="0"/>
          <w:spacing w:val="24"/>
          <w:sz w:val="21"/>
          <w:szCs w:val="21"/>
        </w:rPr>
        <w:t xml:space="preserve"> </w:t>
      </w:r>
      <w:r w:rsidRPr="00FD5F33">
        <w:rPr>
          <w:rFonts w:ascii="Abadi" w:hAnsi="Abadi"/>
          <w:b w:val="0"/>
          <w:bCs w:val="0"/>
          <w:sz w:val="21"/>
          <w:szCs w:val="21"/>
        </w:rPr>
        <w:t>ejercicio fiscal del año 2020.</w:t>
      </w:r>
      <w:r>
        <w:rPr>
          <w:rFonts w:ascii="Abadi" w:hAnsi="Abadi"/>
          <w:sz w:val="21"/>
          <w:szCs w:val="21"/>
        </w:rPr>
        <w:t xml:space="preserve"> </w:t>
      </w:r>
      <w:r w:rsidRPr="009A3D12">
        <w:rPr>
          <w:rFonts w:ascii="Abadi" w:hAnsi="Abadi"/>
          <w:sz w:val="21"/>
          <w:szCs w:val="21"/>
        </w:rPr>
        <w:t>LIX.-</w:t>
      </w:r>
      <w:r>
        <w:rPr>
          <w:rFonts w:ascii="Abadi" w:hAnsi="Abadi"/>
          <w:sz w:val="21"/>
          <w:szCs w:val="21"/>
        </w:rPr>
        <w:t xml:space="preserve"> </w:t>
      </w:r>
      <w:r w:rsidRPr="00FD5F33">
        <w:rPr>
          <w:rFonts w:ascii="Abadi" w:hAnsi="Abadi"/>
          <w:b w:val="0"/>
          <w:bCs w:val="0"/>
          <w:sz w:val="21"/>
          <w:szCs w:val="21"/>
        </w:rPr>
        <w:t>Discusión</w:t>
      </w:r>
      <w:r w:rsidRPr="00FD5F33">
        <w:rPr>
          <w:rFonts w:ascii="Abadi" w:hAnsi="Abadi"/>
          <w:b w:val="0"/>
          <w:bCs w:val="0"/>
          <w:spacing w:val="10"/>
          <w:sz w:val="21"/>
          <w:szCs w:val="21"/>
        </w:rPr>
        <w:t xml:space="preserve"> </w:t>
      </w:r>
      <w:r w:rsidRPr="00FD5F33">
        <w:rPr>
          <w:rFonts w:ascii="Abadi" w:hAnsi="Abadi"/>
          <w:b w:val="0"/>
          <w:bCs w:val="0"/>
          <w:sz w:val="21"/>
          <w:szCs w:val="21"/>
        </w:rPr>
        <w:t>y,</w:t>
      </w:r>
      <w:r w:rsidRPr="00FD5F33">
        <w:rPr>
          <w:rFonts w:ascii="Abadi" w:hAnsi="Abadi"/>
          <w:b w:val="0"/>
          <w:bCs w:val="0"/>
          <w:spacing w:val="10"/>
          <w:sz w:val="21"/>
          <w:szCs w:val="21"/>
        </w:rPr>
        <w:t xml:space="preserve"> </w:t>
      </w:r>
      <w:r w:rsidRPr="00FD5F33">
        <w:rPr>
          <w:rFonts w:ascii="Abadi" w:hAnsi="Abadi"/>
          <w:b w:val="0"/>
          <w:bCs w:val="0"/>
          <w:sz w:val="21"/>
          <w:szCs w:val="21"/>
        </w:rPr>
        <w:t>en</w:t>
      </w:r>
      <w:r w:rsidRPr="00FD5F33">
        <w:rPr>
          <w:rFonts w:ascii="Abadi" w:hAnsi="Abadi"/>
          <w:b w:val="0"/>
          <w:bCs w:val="0"/>
          <w:spacing w:val="10"/>
          <w:sz w:val="21"/>
          <w:szCs w:val="21"/>
        </w:rPr>
        <w:t xml:space="preserve"> </w:t>
      </w:r>
      <w:r w:rsidRPr="00FD5F33">
        <w:rPr>
          <w:rFonts w:ascii="Abadi" w:hAnsi="Abadi"/>
          <w:b w:val="0"/>
          <w:bCs w:val="0"/>
          <w:sz w:val="21"/>
          <w:szCs w:val="21"/>
        </w:rPr>
        <w:t>su</w:t>
      </w:r>
      <w:r w:rsidRPr="00FD5F33">
        <w:rPr>
          <w:rFonts w:ascii="Abadi" w:hAnsi="Abadi"/>
          <w:b w:val="0"/>
          <w:bCs w:val="0"/>
          <w:spacing w:val="10"/>
          <w:sz w:val="21"/>
          <w:szCs w:val="21"/>
        </w:rPr>
        <w:t xml:space="preserve"> </w:t>
      </w:r>
      <w:r w:rsidRPr="00FD5F33">
        <w:rPr>
          <w:rFonts w:ascii="Abadi" w:hAnsi="Abadi"/>
          <w:b w:val="0"/>
          <w:bCs w:val="0"/>
          <w:sz w:val="21"/>
          <w:szCs w:val="21"/>
        </w:rPr>
        <w:t>caso,</w:t>
      </w:r>
      <w:r w:rsidRPr="00FD5F33">
        <w:rPr>
          <w:rFonts w:ascii="Abadi" w:hAnsi="Abadi"/>
          <w:b w:val="0"/>
          <w:bCs w:val="0"/>
          <w:spacing w:val="10"/>
          <w:sz w:val="21"/>
          <w:szCs w:val="21"/>
        </w:rPr>
        <w:t xml:space="preserve"> </w:t>
      </w:r>
      <w:r w:rsidRPr="00FD5F33">
        <w:rPr>
          <w:rFonts w:ascii="Abadi" w:hAnsi="Abadi"/>
          <w:b w:val="0"/>
          <w:bCs w:val="0"/>
          <w:sz w:val="21"/>
          <w:szCs w:val="21"/>
        </w:rPr>
        <w:t>aprobación</w:t>
      </w:r>
      <w:r w:rsidRPr="00FD5F33">
        <w:rPr>
          <w:rFonts w:ascii="Abadi" w:hAnsi="Abadi"/>
          <w:b w:val="0"/>
          <w:bCs w:val="0"/>
          <w:spacing w:val="10"/>
          <w:sz w:val="21"/>
          <w:szCs w:val="21"/>
        </w:rPr>
        <w:t xml:space="preserve"> </w:t>
      </w:r>
      <w:r w:rsidRPr="00FD5F33">
        <w:rPr>
          <w:rFonts w:ascii="Abadi" w:hAnsi="Abadi"/>
          <w:b w:val="0"/>
          <w:bCs w:val="0"/>
          <w:sz w:val="21"/>
          <w:szCs w:val="21"/>
        </w:rPr>
        <w:t>del</w:t>
      </w:r>
      <w:r w:rsidRPr="00FD5F33">
        <w:rPr>
          <w:rFonts w:ascii="Abadi" w:hAnsi="Abadi"/>
          <w:b w:val="0"/>
          <w:bCs w:val="0"/>
          <w:spacing w:val="10"/>
          <w:sz w:val="21"/>
          <w:szCs w:val="21"/>
        </w:rPr>
        <w:t xml:space="preserve"> </w:t>
      </w:r>
      <w:r w:rsidRPr="00FD5F33">
        <w:rPr>
          <w:rFonts w:ascii="Abadi" w:hAnsi="Abadi"/>
          <w:b w:val="0"/>
          <w:bCs w:val="0"/>
          <w:sz w:val="21"/>
          <w:szCs w:val="21"/>
        </w:rPr>
        <w:t>dictamen</w:t>
      </w:r>
      <w:r w:rsidRPr="00FD5F33">
        <w:rPr>
          <w:rFonts w:ascii="Abadi" w:hAnsi="Abadi"/>
          <w:b w:val="0"/>
          <w:bCs w:val="0"/>
          <w:spacing w:val="10"/>
          <w:sz w:val="21"/>
          <w:szCs w:val="21"/>
        </w:rPr>
        <w:t xml:space="preserve"> </w:t>
      </w:r>
      <w:r w:rsidRPr="00FD5F33">
        <w:rPr>
          <w:rFonts w:ascii="Abadi" w:hAnsi="Abadi"/>
          <w:b w:val="0"/>
          <w:bCs w:val="0"/>
          <w:sz w:val="21"/>
          <w:szCs w:val="21"/>
        </w:rPr>
        <w:t>signado</w:t>
      </w:r>
      <w:r w:rsidRPr="00FD5F33">
        <w:rPr>
          <w:rFonts w:ascii="Abadi" w:hAnsi="Abadi"/>
          <w:b w:val="0"/>
          <w:bCs w:val="0"/>
          <w:spacing w:val="10"/>
          <w:sz w:val="21"/>
          <w:szCs w:val="21"/>
        </w:rPr>
        <w:t xml:space="preserve"> </w:t>
      </w:r>
      <w:r w:rsidRPr="00FD5F33">
        <w:rPr>
          <w:rFonts w:ascii="Abadi" w:hAnsi="Abadi"/>
          <w:b w:val="0"/>
          <w:bCs w:val="0"/>
          <w:sz w:val="21"/>
          <w:szCs w:val="21"/>
        </w:rPr>
        <w:t>por</w:t>
      </w:r>
      <w:r w:rsidRPr="00FD5F33">
        <w:rPr>
          <w:rFonts w:ascii="Abadi" w:hAnsi="Abadi"/>
          <w:b w:val="0"/>
          <w:bCs w:val="0"/>
          <w:spacing w:val="10"/>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Comisión de</w:t>
      </w:r>
      <w:r w:rsidRPr="00FD5F33">
        <w:rPr>
          <w:rFonts w:ascii="Abadi" w:hAnsi="Abadi"/>
          <w:b w:val="0"/>
          <w:bCs w:val="0"/>
          <w:spacing w:val="9"/>
          <w:sz w:val="21"/>
          <w:szCs w:val="21"/>
        </w:rPr>
        <w:t xml:space="preserve"> </w:t>
      </w:r>
      <w:r w:rsidRPr="00FD5F33">
        <w:rPr>
          <w:rFonts w:ascii="Abadi" w:hAnsi="Abadi"/>
          <w:b w:val="0"/>
          <w:bCs w:val="0"/>
          <w:sz w:val="21"/>
          <w:szCs w:val="21"/>
        </w:rPr>
        <w:t>Hacienda</w:t>
      </w:r>
      <w:r w:rsidRPr="00FD5F33">
        <w:rPr>
          <w:rFonts w:ascii="Abadi" w:hAnsi="Abadi"/>
          <w:b w:val="0"/>
          <w:bCs w:val="0"/>
          <w:spacing w:val="9"/>
          <w:sz w:val="21"/>
          <w:szCs w:val="21"/>
        </w:rPr>
        <w:t xml:space="preserve"> </w:t>
      </w:r>
      <w:r w:rsidRPr="00FD5F33">
        <w:rPr>
          <w:rFonts w:ascii="Abadi" w:hAnsi="Abadi"/>
          <w:b w:val="0"/>
          <w:bCs w:val="0"/>
          <w:sz w:val="21"/>
          <w:szCs w:val="21"/>
        </w:rPr>
        <w:t>y</w:t>
      </w:r>
      <w:r w:rsidRPr="00FD5F33">
        <w:rPr>
          <w:rFonts w:ascii="Abadi" w:hAnsi="Abadi"/>
          <w:b w:val="0"/>
          <w:bCs w:val="0"/>
          <w:spacing w:val="9"/>
          <w:sz w:val="21"/>
          <w:szCs w:val="21"/>
        </w:rPr>
        <w:t xml:space="preserve"> </w:t>
      </w:r>
      <w:r w:rsidRPr="00FD5F33">
        <w:rPr>
          <w:rFonts w:ascii="Abadi" w:hAnsi="Abadi"/>
          <w:b w:val="0"/>
          <w:bCs w:val="0"/>
          <w:sz w:val="21"/>
          <w:szCs w:val="21"/>
        </w:rPr>
        <w:t>Fiscalización</w:t>
      </w:r>
      <w:r w:rsidRPr="00FD5F33">
        <w:rPr>
          <w:rFonts w:ascii="Abadi" w:hAnsi="Abadi"/>
          <w:b w:val="0"/>
          <w:bCs w:val="0"/>
          <w:spacing w:val="9"/>
          <w:sz w:val="21"/>
          <w:szCs w:val="21"/>
        </w:rPr>
        <w:t xml:space="preserve"> </w:t>
      </w:r>
      <w:r w:rsidRPr="00FD5F33">
        <w:rPr>
          <w:rFonts w:ascii="Abadi" w:hAnsi="Abadi"/>
          <w:b w:val="0"/>
          <w:bCs w:val="0"/>
          <w:sz w:val="21"/>
          <w:szCs w:val="21"/>
        </w:rPr>
        <w:t>relativo</w:t>
      </w:r>
      <w:r w:rsidRPr="00FD5F33">
        <w:rPr>
          <w:rFonts w:ascii="Abadi" w:hAnsi="Abadi"/>
          <w:b w:val="0"/>
          <w:bCs w:val="0"/>
          <w:spacing w:val="9"/>
          <w:sz w:val="21"/>
          <w:szCs w:val="21"/>
        </w:rPr>
        <w:t xml:space="preserve"> </w:t>
      </w:r>
      <w:r w:rsidRPr="00FD5F33">
        <w:rPr>
          <w:rFonts w:ascii="Abadi" w:hAnsi="Abadi"/>
          <w:b w:val="0"/>
          <w:bCs w:val="0"/>
          <w:sz w:val="21"/>
          <w:szCs w:val="21"/>
        </w:rPr>
        <w:t>al</w:t>
      </w:r>
      <w:r w:rsidRPr="00FD5F33">
        <w:rPr>
          <w:rFonts w:ascii="Abadi" w:hAnsi="Abadi"/>
          <w:b w:val="0"/>
          <w:bCs w:val="0"/>
          <w:spacing w:val="8"/>
          <w:sz w:val="21"/>
          <w:szCs w:val="21"/>
        </w:rPr>
        <w:t xml:space="preserve"> </w:t>
      </w:r>
      <w:r w:rsidRPr="00FD5F33">
        <w:rPr>
          <w:rFonts w:ascii="Abadi" w:hAnsi="Abadi"/>
          <w:b w:val="0"/>
          <w:bCs w:val="0"/>
          <w:sz w:val="21"/>
          <w:szCs w:val="21"/>
        </w:rPr>
        <w:t>informe</w:t>
      </w:r>
      <w:r w:rsidRPr="00FD5F33">
        <w:rPr>
          <w:rFonts w:ascii="Abadi" w:hAnsi="Abadi"/>
          <w:b w:val="0"/>
          <w:bCs w:val="0"/>
          <w:spacing w:val="9"/>
          <w:sz w:val="21"/>
          <w:szCs w:val="21"/>
        </w:rPr>
        <w:t xml:space="preserve"> </w:t>
      </w:r>
      <w:r w:rsidRPr="00FD5F33">
        <w:rPr>
          <w:rFonts w:ascii="Abadi" w:hAnsi="Abadi"/>
          <w:b w:val="0"/>
          <w:bCs w:val="0"/>
          <w:sz w:val="21"/>
          <w:szCs w:val="21"/>
        </w:rPr>
        <w:t>de</w:t>
      </w:r>
      <w:r w:rsidRPr="00FD5F33">
        <w:rPr>
          <w:rFonts w:ascii="Abadi" w:hAnsi="Abadi"/>
          <w:b w:val="0"/>
          <w:bCs w:val="0"/>
          <w:spacing w:val="9"/>
          <w:sz w:val="21"/>
          <w:szCs w:val="21"/>
        </w:rPr>
        <w:t xml:space="preserve"> </w:t>
      </w:r>
      <w:r w:rsidRPr="00FD5F33">
        <w:rPr>
          <w:rFonts w:ascii="Abadi" w:hAnsi="Abadi"/>
          <w:b w:val="0"/>
          <w:bCs w:val="0"/>
          <w:sz w:val="21"/>
          <w:szCs w:val="21"/>
        </w:rPr>
        <w:t>resultados</w:t>
      </w:r>
      <w:r w:rsidRPr="00FD5F33">
        <w:rPr>
          <w:rFonts w:ascii="Abadi" w:hAnsi="Abadi"/>
          <w:b w:val="0"/>
          <w:bCs w:val="0"/>
          <w:spacing w:val="9"/>
          <w:sz w:val="21"/>
          <w:szCs w:val="21"/>
        </w:rPr>
        <w:t xml:space="preserve"> </w:t>
      </w:r>
      <w:r w:rsidRPr="00FD5F33">
        <w:rPr>
          <w:rFonts w:ascii="Abadi" w:hAnsi="Abadi"/>
          <w:b w:val="0"/>
          <w:bCs w:val="0"/>
          <w:sz w:val="21"/>
          <w:szCs w:val="21"/>
        </w:rPr>
        <w:t>de</w:t>
      </w:r>
      <w:r w:rsidRPr="00FD5F33">
        <w:rPr>
          <w:rFonts w:ascii="Abadi" w:hAnsi="Abadi"/>
          <w:b w:val="0"/>
          <w:bCs w:val="0"/>
          <w:spacing w:val="9"/>
          <w:sz w:val="21"/>
          <w:szCs w:val="21"/>
        </w:rPr>
        <w:t xml:space="preserve"> </w:t>
      </w:r>
      <w:r w:rsidRPr="00FD5F33">
        <w:rPr>
          <w:rFonts w:ascii="Abadi" w:hAnsi="Abadi"/>
          <w:b w:val="0"/>
          <w:bCs w:val="0"/>
          <w:sz w:val="21"/>
          <w:szCs w:val="21"/>
        </w:rPr>
        <w:t>la</w:t>
      </w:r>
      <w:r w:rsidRPr="00FD5F33">
        <w:rPr>
          <w:rFonts w:ascii="Abadi" w:hAnsi="Abadi"/>
          <w:b w:val="0"/>
          <w:bCs w:val="0"/>
          <w:spacing w:val="9"/>
          <w:sz w:val="21"/>
          <w:szCs w:val="21"/>
        </w:rPr>
        <w:t xml:space="preserve"> </w:t>
      </w:r>
      <w:r w:rsidRPr="00FD5F33">
        <w:rPr>
          <w:rFonts w:ascii="Abadi" w:hAnsi="Abadi"/>
          <w:b w:val="0"/>
          <w:bCs w:val="0"/>
          <w:sz w:val="21"/>
          <w:szCs w:val="21"/>
        </w:rPr>
        <w:t>revisión practicada</w:t>
      </w:r>
      <w:r w:rsidRPr="00FD5F33">
        <w:rPr>
          <w:rFonts w:ascii="Abadi" w:hAnsi="Abadi"/>
          <w:b w:val="0"/>
          <w:bCs w:val="0"/>
          <w:spacing w:val="9"/>
          <w:sz w:val="21"/>
          <w:szCs w:val="21"/>
        </w:rPr>
        <w:t xml:space="preserve"> </w:t>
      </w:r>
      <w:r w:rsidRPr="00FD5F33">
        <w:rPr>
          <w:rFonts w:ascii="Abadi" w:hAnsi="Abadi"/>
          <w:b w:val="0"/>
          <w:bCs w:val="0"/>
          <w:sz w:val="21"/>
          <w:szCs w:val="21"/>
        </w:rPr>
        <w:t>por</w:t>
      </w:r>
      <w:r w:rsidRPr="00FD5F33">
        <w:rPr>
          <w:rFonts w:ascii="Abadi" w:hAnsi="Abadi"/>
          <w:b w:val="0"/>
          <w:bCs w:val="0"/>
          <w:spacing w:val="8"/>
          <w:sz w:val="21"/>
          <w:szCs w:val="21"/>
        </w:rPr>
        <w:t xml:space="preserve"> </w:t>
      </w:r>
      <w:r w:rsidRPr="00FD5F33">
        <w:rPr>
          <w:rFonts w:ascii="Abadi" w:hAnsi="Abadi"/>
          <w:b w:val="0"/>
          <w:bCs w:val="0"/>
          <w:sz w:val="21"/>
          <w:szCs w:val="21"/>
        </w:rPr>
        <w:t>la</w:t>
      </w:r>
      <w:r w:rsidRPr="00FD5F33">
        <w:rPr>
          <w:rFonts w:ascii="Abadi" w:hAnsi="Abadi"/>
          <w:b w:val="0"/>
          <w:bCs w:val="0"/>
          <w:spacing w:val="9"/>
          <w:sz w:val="21"/>
          <w:szCs w:val="21"/>
        </w:rPr>
        <w:t xml:space="preserve"> </w:t>
      </w:r>
      <w:r w:rsidRPr="00FD5F33">
        <w:rPr>
          <w:rFonts w:ascii="Abadi" w:hAnsi="Abadi"/>
          <w:b w:val="0"/>
          <w:bCs w:val="0"/>
          <w:sz w:val="21"/>
          <w:szCs w:val="21"/>
        </w:rPr>
        <w:t>Auditoría</w:t>
      </w:r>
      <w:r w:rsidRPr="00FD5F33">
        <w:rPr>
          <w:rFonts w:ascii="Abadi" w:hAnsi="Abadi"/>
          <w:b w:val="0"/>
          <w:bCs w:val="0"/>
          <w:spacing w:val="9"/>
          <w:sz w:val="21"/>
          <w:szCs w:val="21"/>
        </w:rPr>
        <w:t xml:space="preserve"> </w:t>
      </w:r>
      <w:r w:rsidRPr="00FD5F33">
        <w:rPr>
          <w:rFonts w:ascii="Abadi" w:hAnsi="Abadi"/>
          <w:b w:val="0"/>
          <w:bCs w:val="0"/>
          <w:sz w:val="21"/>
          <w:szCs w:val="21"/>
        </w:rPr>
        <w:t>Superior</w:t>
      </w:r>
      <w:r w:rsidRPr="00FD5F33">
        <w:rPr>
          <w:rFonts w:ascii="Abadi" w:hAnsi="Abadi"/>
          <w:b w:val="0"/>
          <w:bCs w:val="0"/>
          <w:spacing w:val="8"/>
          <w:sz w:val="21"/>
          <w:szCs w:val="21"/>
        </w:rPr>
        <w:t xml:space="preserve"> </w:t>
      </w:r>
      <w:r w:rsidRPr="00FD5F33">
        <w:rPr>
          <w:rFonts w:ascii="Abadi" w:hAnsi="Abadi"/>
          <w:b w:val="0"/>
          <w:bCs w:val="0"/>
          <w:sz w:val="21"/>
          <w:szCs w:val="21"/>
        </w:rPr>
        <w:t>del</w:t>
      </w:r>
      <w:r w:rsidRPr="00FD5F33">
        <w:rPr>
          <w:rFonts w:ascii="Abadi" w:hAnsi="Abadi"/>
          <w:b w:val="0"/>
          <w:bCs w:val="0"/>
          <w:spacing w:val="8"/>
          <w:sz w:val="21"/>
          <w:szCs w:val="21"/>
        </w:rPr>
        <w:t xml:space="preserve"> </w:t>
      </w:r>
      <w:r w:rsidRPr="00FD5F33">
        <w:rPr>
          <w:rFonts w:ascii="Abadi" w:hAnsi="Abadi"/>
          <w:b w:val="0"/>
          <w:bCs w:val="0"/>
          <w:sz w:val="21"/>
          <w:szCs w:val="21"/>
        </w:rPr>
        <w:t>Estado</w:t>
      </w:r>
      <w:r w:rsidRPr="00FD5F33">
        <w:rPr>
          <w:rFonts w:ascii="Abadi" w:hAnsi="Abadi"/>
          <w:b w:val="0"/>
          <w:bCs w:val="0"/>
          <w:spacing w:val="9"/>
          <w:sz w:val="21"/>
          <w:szCs w:val="21"/>
        </w:rPr>
        <w:t xml:space="preserve"> </w:t>
      </w:r>
      <w:r w:rsidRPr="00FD5F33">
        <w:rPr>
          <w:rFonts w:ascii="Abadi" w:hAnsi="Abadi"/>
          <w:b w:val="0"/>
          <w:bCs w:val="0"/>
          <w:sz w:val="21"/>
          <w:szCs w:val="21"/>
        </w:rPr>
        <w:t>de</w:t>
      </w:r>
      <w:r w:rsidRPr="00FD5F33">
        <w:rPr>
          <w:rFonts w:ascii="Abadi" w:hAnsi="Abadi"/>
          <w:b w:val="0"/>
          <w:bCs w:val="0"/>
          <w:spacing w:val="9"/>
          <w:sz w:val="21"/>
          <w:szCs w:val="21"/>
        </w:rPr>
        <w:t xml:space="preserve"> </w:t>
      </w:r>
      <w:r w:rsidRPr="00FD5F33">
        <w:rPr>
          <w:rFonts w:ascii="Abadi" w:hAnsi="Abadi"/>
          <w:b w:val="0"/>
          <w:bCs w:val="0"/>
          <w:sz w:val="21"/>
          <w:szCs w:val="21"/>
        </w:rPr>
        <w:t>Guanajuato,</w:t>
      </w:r>
      <w:r w:rsidRPr="00FD5F33">
        <w:rPr>
          <w:rFonts w:ascii="Abadi" w:hAnsi="Abadi"/>
          <w:b w:val="0"/>
          <w:bCs w:val="0"/>
          <w:spacing w:val="8"/>
          <w:sz w:val="21"/>
          <w:szCs w:val="21"/>
        </w:rPr>
        <w:t xml:space="preserve"> </w:t>
      </w:r>
      <w:r w:rsidRPr="00FD5F33">
        <w:rPr>
          <w:rFonts w:ascii="Abadi" w:hAnsi="Abadi"/>
          <w:b w:val="0"/>
          <w:bCs w:val="0"/>
          <w:sz w:val="21"/>
          <w:szCs w:val="21"/>
        </w:rPr>
        <w:t>a</w:t>
      </w:r>
      <w:r w:rsidRPr="00FD5F33">
        <w:rPr>
          <w:rFonts w:ascii="Abadi" w:hAnsi="Abadi"/>
          <w:b w:val="0"/>
          <w:bCs w:val="0"/>
          <w:spacing w:val="6"/>
          <w:sz w:val="21"/>
          <w:szCs w:val="21"/>
        </w:rPr>
        <w:t xml:space="preserve"> </w:t>
      </w:r>
      <w:r w:rsidRPr="00FD5F33">
        <w:rPr>
          <w:rFonts w:ascii="Abadi" w:hAnsi="Abadi"/>
          <w:b w:val="0"/>
          <w:bCs w:val="0"/>
          <w:sz w:val="21"/>
          <w:szCs w:val="21"/>
        </w:rPr>
        <w:t>la</w:t>
      </w:r>
      <w:r w:rsidRPr="00FD5F33">
        <w:rPr>
          <w:rFonts w:ascii="Abadi" w:hAnsi="Abadi"/>
          <w:b w:val="0"/>
          <w:bCs w:val="0"/>
          <w:spacing w:val="9"/>
          <w:sz w:val="21"/>
          <w:szCs w:val="21"/>
        </w:rPr>
        <w:t xml:space="preserve"> </w:t>
      </w:r>
      <w:r w:rsidRPr="00FD5F33">
        <w:rPr>
          <w:rFonts w:ascii="Abadi" w:hAnsi="Abadi"/>
          <w:b w:val="0"/>
          <w:bCs w:val="0"/>
          <w:sz w:val="21"/>
          <w:szCs w:val="21"/>
        </w:rPr>
        <w:t>cuenta pública</w:t>
      </w:r>
      <w:r w:rsidRPr="00FD5F33">
        <w:rPr>
          <w:rFonts w:ascii="Abadi" w:hAnsi="Abadi"/>
          <w:b w:val="0"/>
          <w:bCs w:val="0"/>
          <w:spacing w:val="16"/>
          <w:sz w:val="21"/>
          <w:szCs w:val="21"/>
        </w:rPr>
        <w:t xml:space="preserve"> </w:t>
      </w:r>
      <w:r w:rsidRPr="00FD5F33">
        <w:rPr>
          <w:rFonts w:ascii="Abadi" w:hAnsi="Abadi"/>
          <w:b w:val="0"/>
          <w:bCs w:val="0"/>
          <w:sz w:val="21"/>
          <w:szCs w:val="21"/>
        </w:rPr>
        <w:t>municipal</w:t>
      </w:r>
      <w:r w:rsidRPr="00FD5F33">
        <w:rPr>
          <w:rFonts w:ascii="Abadi" w:hAnsi="Abadi"/>
          <w:b w:val="0"/>
          <w:bCs w:val="0"/>
          <w:spacing w:val="16"/>
          <w:sz w:val="21"/>
          <w:szCs w:val="21"/>
        </w:rPr>
        <w:t xml:space="preserve"> </w:t>
      </w:r>
      <w:r w:rsidRPr="00FD5F33">
        <w:rPr>
          <w:rFonts w:ascii="Abadi" w:hAnsi="Abadi"/>
          <w:b w:val="0"/>
          <w:bCs w:val="0"/>
          <w:sz w:val="21"/>
          <w:szCs w:val="21"/>
        </w:rPr>
        <w:t>de</w:t>
      </w:r>
      <w:r w:rsidRPr="00FD5F33">
        <w:rPr>
          <w:rFonts w:ascii="Abadi" w:hAnsi="Abadi"/>
          <w:b w:val="0"/>
          <w:bCs w:val="0"/>
          <w:spacing w:val="16"/>
          <w:sz w:val="21"/>
          <w:szCs w:val="21"/>
        </w:rPr>
        <w:t xml:space="preserve"> </w:t>
      </w:r>
      <w:r w:rsidRPr="00FD5F33">
        <w:rPr>
          <w:rFonts w:ascii="Abadi" w:hAnsi="Abadi"/>
          <w:b w:val="0"/>
          <w:bCs w:val="0"/>
          <w:sz w:val="21"/>
          <w:szCs w:val="21"/>
        </w:rPr>
        <w:t>Dolores</w:t>
      </w:r>
      <w:r w:rsidRPr="00FD5F33">
        <w:rPr>
          <w:rFonts w:ascii="Abadi" w:hAnsi="Abadi"/>
          <w:b w:val="0"/>
          <w:bCs w:val="0"/>
          <w:spacing w:val="16"/>
          <w:sz w:val="21"/>
          <w:szCs w:val="21"/>
        </w:rPr>
        <w:t xml:space="preserve"> </w:t>
      </w:r>
      <w:r w:rsidRPr="00FD5F33">
        <w:rPr>
          <w:rFonts w:ascii="Abadi" w:hAnsi="Abadi"/>
          <w:b w:val="0"/>
          <w:bCs w:val="0"/>
          <w:sz w:val="21"/>
          <w:szCs w:val="21"/>
        </w:rPr>
        <w:t>Hidalgo</w:t>
      </w:r>
      <w:r w:rsidRPr="00FD5F33">
        <w:rPr>
          <w:rFonts w:ascii="Abadi" w:hAnsi="Abadi"/>
          <w:b w:val="0"/>
          <w:bCs w:val="0"/>
          <w:spacing w:val="16"/>
          <w:sz w:val="21"/>
          <w:szCs w:val="21"/>
        </w:rPr>
        <w:t xml:space="preserve"> </w:t>
      </w:r>
      <w:r w:rsidRPr="00FD5F33">
        <w:rPr>
          <w:rFonts w:ascii="Abadi" w:hAnsi="Abadi"/>
          <w:b w:val="0"/>
          <w:bCs w:val="0"/>
          <w:sz w:val="21"/>
          <w:szCs w:val="21"/>
        </w:rPr>
        <w:t>Cuna</w:t>
      </w:r>
      <w:r w:rsidRPr="00FD5F33">
        <w:rPr>
          <w:rFonts w:ascii="Abadi" w:hAnsi="Abadi"/>
          <w:b w:val="0"/>
          <w:bCs w:val="0"/>
          <w:spacing w:val="16"/>
          <w:sz w:val="21"/>
          <w:szCs w:val="21"/>
        </w:rPr>
        <w:t xml:space="preserve"> </w:t>
      </w:r>
      <w:r w:rsidRPr="00FD5F33">
        <w:rPr>
          <w:rFonts w:ascii="Abadi" w:hAnsi="Abadi"/>
          <w:b w:val="0"/>
          <w:bCs w:val="0"/>
          <w:sz w:val="21"/>
          <w:szCs w:val="21"/>
        </w:rPr>
        <w:t>de</w:t>
      </w:r>
      <w:r w:rsidRPr="00FD5F33">
        <w:rPr>
          <w:rFonts w:ascii="Abadi" w:hAnsi="Abadi"/>
          <w:b w:val="0"/>
          <w:bCs w:val="0"/>
          <w:spacing w:val="16"/>
          <w:sz w:val="21"/>
          <w:szCs w:val="21"/>
        </w:rPr>
        <w:t xml:space="preserve"> </w:t>
      </w:r>
      <w:r w:rsidRPr="00FD5F33">
        <w:rPr>
          <w:rFonts w:ascii="Abadi" w:hAnsi="Abadi"/>
          <w:b w:val="0"/>
          <w:bCs w:val="0"/>
          <w:sz w:val="21"/>
          <w:szCs w:val="21"/>
        </w:rPr>
        <w:t>la</w:t>
      </w:r>
      <w:r w:rsidRPr="00FD5F33">
        <w:rPr>
          <w:rFonts w:ascii="Abadi" w:hAnsi="Abadi"/>
          <w:b w:val="0"/>
          <w:bCs w:val="0"/>
          <w:spacing w:val="16"/>
          <w:sz w:val="21"/>
          <w:szCs w:val="21"/>
        </w:rPr>
        <w:t xml:space="preserve"> </w:t>
      </w:r>
      <w:r w:rsidRPr="00FD5F33">
        <w:rPr>
          <w:rFonts w:ascii="Abadi" w:hAnsi="Abadi"/>
          <w:b w:val="0"/>
          <w:bCs w:val="0"/>
          <w:sz w:val="21"/>
          <w:szCs w:val="21"/>
        </w:rPr>
        <w:t>Independencia</w:t>
      </w:r>
      <w:r w:rsidRPr="00FD5F33">
        <w:rPr>
          <w:rFonts w:ascii="Abadi" w:hAnsi="Abadi"/>
          <w:b w:val="0"/>
          <w:bCs w:val="0"/>
          <w:spacing w:val="16"/>
          <w:sz w:val="21"/>
          <w:szCs w:val="21"/>
        </w:rPr>
        <w:t xml:space="preserve"> </w:t>
      </w:r>
      <w:r w:rsidRPr="00FD5F33">
        <w:rPr>
          <w:rFonts w:ascii="Abadi" w:hAnsi="Abadi"/>
          <w:b w:val="0"/>
          <w:bCs w:val="0"/>
          <w:sz w:val="21"/>
          <w:szCs w:val="21"/>
        </w:rPr>
        <w:t>Nacional, Gto.,</w:t>
      </w:r>
      <w:r w:rsidRPr="00FD5F33">
        <w:rPr>
          <w:rFonts w:ascii="Abadi" w:hAnsi="Abadi"/>
          <w:b w:val="0"/>
          <w:bCs w:val="0"/>
          <w:spacing w:val="-1"/>
          <w:sz w:val="21"/>
          <w:szCs w:val="21"/>
        </w:rPr>
        <w:t xml:space="preserve"> </w:t>
      </w:r>
      <w:r w:rsidRPr="00FD5F33">
        <w:rPr>
          <w:rFonts w:ascii="Abadi" w:hAnsi="Abadi"/>
          <w:b w:val="0"/>
          <w:bCs w:val="0"/>
          <w:sz w:val="21"/>
          <w:szCs w:val="21"/>
        </w:rPr>
        <w:t>correspondiente al ejercicio fiscal del año</w:t>
      </w:r>
      <w:r w:rsidRPr="00FD5F33">
        <w:rPr>
          <w:rFonts w:ascii="Abadi" w:hAnsi="Abadi"/>
          <w:b w:val="0"/>
          <w:bCs w:val="0"/>
          <w:spacing w:val="-1"/>
          <w:sz w:val="21"/>
          <w:szCs w:val="21"/>
        </w:rPr>
        <w:t xml:space="preserve"> </w:t>
      </w:r>
      <w:r w:rsidRPr="00FD5F33">
        <w:rPr>
          <w:rFonts w:ascii="Abadi" w:hAnsi="Abadi"/>
          <w:b w:val="0"/>
          <w:bCs w:val="0"/>
          <w:sz w:val="21"/>
          <w:szCs w:val="21"/>
        </w:rPr>
        <w:t>2020.</w:t>
      </w:r>
      <w:r>
        <w:rPr>
          <w:rFonts w:ascii="Abadi" w:hAnsi="Abadi"/>
          <w:sz w:val="21"/>
          <w:szCs w:val="21"/>
        </w:rPr>
        <w:t xml:space="preserve"> </w:t>
      </w:r>
      <w:r w:rsidRPr="009A3D12">
        <w:rPr>
          <w:rFonts w:ascii="Abadi" w:hAnsi="Abadi"/>
          <w:sz w:val="21"/>
          <w:szCs w:val="21"/>
        </w:rPr>
        <w:t>LX.-</w:t>
      </w:r>
      <w:r>
        <w:rPr>
          <w:rFonts w:ascii="Abadi" w:hAnsi="Abadi"/>
          <w:sz w:val="21"/>
          <w:szCs w:val="21"/>
        </w:rPr>
        <w:t xml:space="preserve"> </w:t>
      </w:r>
      <w:r w:rsidRPr="00FD5F33">
        <w:rPr>
          <w:rFonts w:ascii="Abadi" w:hAnsi="Abadi"/>
          <w:b w:val="0"/>
          <w:bCs w:val="0"/>
          <w:sz w:val="21"/>
          <w:szCs w:val="21"/>
        </w:rPr>
        <w:t>Discusión</w:t>
      </w:r>
      <w:r w:rsidRPr="00FD5F33">
        <w:rPr>
          <w:rFonts w:ascii="Abadi" w:hAnsi="Abadi"/>
          <w:b w:val="0"/>
          <w:bCs w:val="0"/>
          <w:spacing w:val="11"/>
          <w:sz w:val="21"/>
          <w:szCs w:val="21"/>
        </w:rPr>
        <w:t xml:space="preserve"> </w:t>
      </w:r>
      <w:r w:rsidRPr="00FD5F33">
        <w:rPr>
          <w:rFonts w:ascii="Abadi" w:hAnsi="Abadi"/>
          <w:b w:val="0"/>
          <w:bCs w:val="0"/>
          <w:sz w:val="21"/>
          <w:szCs w:val="21"/>
        </w:rPr>
        <w:t>y,</w:t>
      </w:r>
      <w:r w:rsidRPr="00FD5F33">
        <w:rPr>
          <w:rFonts w:ascii="Abadi" w:hAnsi="Abadi"/>
          <w:b w:val="0"/>
          <w:bCs w:val="0"/>
          <w:spacing w:val="11"/>
          <w:sz w:val="21"/>
          <w:szCs w:val="21"/>
        </w:rPr>
        <w:t xml:space="preserve"> </w:t>
      </w:r>
      <w:r w:rsidRPr="00FD5F33">
        <w:rPr>
          <w:rFonts w:ascii="Abadi" w:hAnsi="Abadi"/>
          <w:b w:val="0"/>
          <w:bCs w:val="0"/>
          <w:sz w:val="21"/>
          <w:szCs w:val="21"/>
        </w:rPr>
        <w:t>en</w:t>
      </w:r>
      <w:r w:rsidRPr="00FD5F33">
        <w:rPr>
          <w:rFonts w:ascii="Abadi" w:hAnsi="Abadi"/>
          <w:b w:val="0"/>
          <w:bCs w:val="0"/>
          <w:spacing w:val="11"/>
          <w:sz w:val="21"/>
          <w:szCs w:val="21"/>
        </w:rPr>
        <w:t xml:space="preserve"> </w:t>
      </w:r>
      <w:r w:rsidRPr="00FD5F33">
        <w:rPr>
          <w:rFonts w:ascii="Abadi" w:hAnsi="Abadi"/>
          <w:b w:val="0"/>
          <w:bCs w:val="0"/>
          <w:sz w:val="21"/>
          <w:szCs w:val="21"/>
        </w:rPr>
        <w:t>su</w:t>
      </w:r>
      <w:r w:rsidRPr="00FD5F33">
        <w:rPr>
          <w:rFonts w:ascii="Abadi" w:hAnsi="Abadi"/>
          <w:b w:val="0"/>
          <w:bCs w:val="0"/>
          <w:spacing w:val="11"/>
          <w:sz w:val="21"/>
          <w:szCs w:val="21"/>
        </w:rPr>
        <w:t xml:space="preserve"> </w:t>
      </w:r>
      <w:r w:rsidRPr="00FD5F33">
        <w:rPr>
          <w:rFonts w:ascii="Abadi" w:hAnsi="Abadi"/>
          <w:b w:val="0"/>
          <w:bCs w:val="0"/>
          <w:sz w:val="21"/>
          <w:szCs w:val="21"/>
        </w:rPr>
        <w:t>caso,</w:t>
      </w:r>
      <w:r w:rsidRPr="00FD5F33">
        <w:rPr>
          <w:rFonts w:ascii="Abadi" w:hAnsi="Abadi"/>
          <w:b w:val="0"/>
          <w:bCs w:val="0"/>
          <w:spacing w:val="11"/>
          <w:sz w:val="21"/>
          <w:szCs w:val="21"/>
        </w:rPr>
        <w:t xml:space="preserve"> </w:t>
      </w:r>
      <w:r w:rsidRPr="00FD5F33">
        <w:rPr>
          <w:rFonts w:ascii="Abadi" w:hAnsi="Abadi"/>
          <w:b w:val="0"/>
          <w:bCs w:val="0"/>
          <w:sz w:val="21"/>
          <w:szCs w:val="21"/>
        </w:rPr>
        <w:t>aprobación</w:t>
      </w:r>
      <w:r w:rsidRPr="00FD5F33">
        <w:rPr>
          <w:rFonts w:ascii="Abadi" w:hAnsi="Abadi"/>
          <w:b w:val="0"/>
          <w:bCs w:val="0"/>
          <w:spacing w:val="11"/>
          <w:sz w:val="21"/>
          <w:szCs w:val="21"/>
        </w:rPr>
        <w:t xml:space="preserve"> </w:t>
      </w:r>
      <w:r w:rsidRPr="00FD5F33">
        <w:rPr>
          <w:rFonts w:ascii="Abadi" w:hAnsi="Abadi"/>
          <w:b w:val="0"/>
          <w:bCs w:val="0"/>
          <w:sz w:val="21"/>
          <w:szCs w:val="21"/>
        </w:rPr>
        <w:t>del</w:t>
      </w:r>
      <w:r w:rsidRPr="00FD5F33">
        <w:rPr>
          <w:rFonts w:ascii="Abadi" w:hAnsi="Abadi"/>
          <w:b w:val="0"/>
          <w:bCs w:val="0"/>
          <w:spacing w:val="11"/>
          <w:sz w:val="21"/>
          <w:szCs w:val="21"/>
        </w:rPr>
        <w:t xml:space="preserve"> </w:t>
      </w:r>
      <w:r w:rsidRPr="00FD5F33">
        <w:rPr>
          <w:rFonts w:ascii="Abadi" w:hAnsi="Abadi"/>
          <w:b w:val="0"/>
          <w:bCs w:val="0"/>
          <w:sz w:val="21"/>
          <w:szCs w:val="21"/>
        </w:rPr>
        <w:t>dictamen</w:t>
      </w:r>
      <w:r w:rsidRPr="00FD5F33">
        <w:rPr>
          <w:rFonts w:ascii="Abadi" w:hAnsi="Abadi"/>
          <w:b w:val="0"/>
          <w:bCs w:val="0"/>
          <w:spacing w:val="11"/>
          <w:sz w:val="21"/>
          <w:szCs w:val="21"/>
        </w:rPr>
        <w:t xml:space="preserve"> </w:t>
      </w:r>
      <w:r w:rsidRPr="00FD5F33">
        <w:rPr>
          <w:rFonts w:ascii="Abadi" w:hAnsi="Abadi"/>
          <w:b w:val="0"/>
          <w:bCs w:val="0"/>
          <w:sz w:val="21"/>
          <w:szCs w:val="21"/>
        </w:rPr>
        <w:t>signado</w:t>
      </w:r>
      <w:r w:rsidRPr="00FD5F33">
        <w:rPr>
          <w:rFonts w:ascii="Abadi" w:hAnsi="Abadi"/>
          <w:b w:val="0"/>
          <w:bCs w:val="0"/>
          <w:spacing w:val="11"/>
          <w:sz w:val="21"/>
          <w:szCs w:val="21"/>
        </w:rPr>
        <w:t xml:space="preserve"> </w:t>
      </w:r>
      <w:r w:rsidRPr="00FD5F33">
        <w:rPr>
          <w:rFonts w:ascii="Abadi" w:hAnsi="Abadi"/>
          <w:b w:val="0"/>
          <w:bCs w:val="0"/>
          <w:sz w:val="21"/>
          <w:szCs w:val="21"/>
        </w:rPr>
        <w:t>por</w:t>
      </w:r>
      <w:r w:rsidRPr="00FD5F33">
        <w:rPr>
          <w:rFonts w:ascii="Abadi" w:hAnsi="Abadi"/>
          <w:b w:val="0"/>
          <w:bCs w:val="0"/>
          <w:spacing w:val="11"/>
          <w:sz w:val="21"/>
          <w:szCs w:val="21"/>
        </w:rPr>
        <w:t xml:space="preserve"> </w:t>
      </w:r>
      <w:r w:rsidRPr="00FD5F33">
        <w:rPr>
          <w:rFonts w:ascii="Abadi" w:hAnsi="Abadi"/>
          <w:b w:val="0"/>
          <w:bCs w:val="0"/>
          <w:sz w:val="21"/>
          <w:szCs w:val="21"/>
        </w:rPr>
        <w:t>la</w:t>
      </w:r>
      <w:r w:rsidRPr="00FD5F33">
        <w:rPr>
          <w:rFonts w:ascii="Abadi" w:hAnsi="Abadi"/>
          <w:b w:val="0"/>
          <w:bCs w:val="0"/>
          <w:spacing w:val="11"/>
          <w:sz w:val="21"/>
          <w:szCs w:val="21"/>
        </w:rPr>
        <w:t xml:space="preserve"> </w:t>
      </w:r>
      <w:r w:rsidRPr="00FD5F33">
        <w:rPr>
          <w:rFonts w:ascii="Abadi" w:hAnsi="Abadi"/>
          <w:b w:val="0"/>
          <w:bCs w:val="0"/>
          <w:sz w:val="21"/>
          <w:szCs w:val="21"/>
        </w:rPr>
        <w:t>Comisión de</w:t>
      </w:r>
      <w:r w:rsidRPr="00FD5F33">
        <w:rPr>
          <w:rFonts w:ascii="Abadi" w:hAnsi="Abadi"/>
          <w:b w:val="0"/>
          <w:bCs w:val="0"/>
          <w:spacing w:val="10"/>
          <w:sz w:val="21"/>
          <w:szCs w:val="21"/>
        </w:rPr>
        <w:t xml:space="preserve"> </w:t>
      </w:r>
      <w:r w:rsidRPr="00FD5F33">
        <w:rPr>
          <w:rFonts w:ascii="Abadi" w:hAnsi="Abadi"/>
          <w:b w:val="0"/>
          <w:bCs w:val="0"/>
          <w:sz w:val="21"/>
          <w:szCs w:val="21"/>
        </w:rPr>
        <w:t>Hacienda</w:t>
      </w:r>
      <w:r w:rsidRPr="00FD5F33">
        <w:rPr>
          <w:rFonts w:ascii="Abadi" w:hAnsi="Abadi"/>
          <w:b w:val="0"/>
          <w:bCs w:val="0"/>
          <w:spacing w:val="10"/>
          <w:sz w:val="21"/>
          <w:szCs w:val="21"/>
        </w:rPr>
        <w:t xml:space="preserve"> </w:t>
      </w:r>
      <w:r w:rsidRPr="00FD5F33">
        <w:rPr>
          <w:rFonts w:ascii="Abadi" w:hAnsi="Abadi"/>
          <w:b w:val="0"/>
          <w:bCs w:val="0"/>
          <w:sz w:val="21"/>
          <w:szCs w:val="21"/>
        </w:rPr>
        <w:t>y</w:t>
      </w:r>
      <w:r w:rsidRPr="00FD5F33">
        <w:rPr>
          <w:rFonts w:ascii="Abadi" w:hAnsi="Abadi"/>
          <w:b w:val="0"/>
          <w:bCs w:val="0"/>
          <w:spacing w:val="10"/>
          <w:sz w:val="21"/>
          <w:szCs w:val="21"/>
        </w:rPr>
        <w:t xml:space="preserve"> </w:t>
      </w:r>
      <w:r w:rsidRPr="00FD5F33">
        <w:rPr>
          <w:rFonts w:ascii="Abadi" w:hAnsi="Abadi"/>
          <w:b w:val="0"/>
          <w:bCs w:val="0"/>
          <w:sz w:val="21"/>
          <w:szCs w:val="21"/>
        </w:rPr>
        <w:t>Fiscalización</w:t>
      </w:r>
      <w:r w:rsidRPr="00FD5F33">
        <w:rPr>
          <w:rFonts w:ascii="Abadi" w:hAnsi="Abadi"/>
          <w:b w:val="0"/>
          <w:bCs w:val="0"/>
          <w:spacing w:val="10"/>
          <w:sz w:val="21"/>
          <w:szCs w:val="21"/>
        </w:rPr>
        <w:t xml:space="preserve"> </w:t>
      </w:r>
      <w:r w:rsidRPr="00FD5F33">
        <w:rPr>
          <w:rFonts w:ascii="Abadi" w:hAnsi="Abadi"/>
          <w:b w:val="0"/>
          <w:bCs w:val="0"/>
          <w:sz w:val="21"/>
          <w:szCs w:val="21"/>
        </w:rPr>
        <w:t>relativo</w:t>
      </w:r>
      <w:r w:rsidRPr="00FD5F33">
        <w:rPr>
          <w:rFonts w:ascii="Abadi" w:hAnsi="Abadi"/>
          <w:b w:val="0"/>
          <w:bCs w:val="0"/>
          <w:spacing w:val="10"/>
          <w:sz w:val="21"/>
          <w:szCs w:val="21"/>
        </w:rPr>
        <w:t xml:space="preserve"> </w:t>
      </w:r>
      <w:r w:rsidRPr="00FD5F33">
        <w:rPr>
          <w:rFonts w:ascii="Abadi" w:hAnsi="Abadi"/>
          <w:b w:val="0"/>
          <w:bCs w:val="0"/>
          <w:sz w:val="21"/>
          <w:szCs w:val="21"/>
        </w:rPr>
        <w:t>al</w:t>
      </w:r>
      <w:r w:rsidRPr="00FD5F33">
        <w:rPr>
          <w:rFonts w:ascii="Abadi" w:hAnsi="Abadi"/>
          <w:b w:val="0"/>
          <w:bCs w:val="0"/>
          <w:spacing w:val="9"/>
          <w:sz w:val="21"/>
          <w:szCs w:val="21"/>
        </w:rPr>
        <w:t xml:space="preserve"> </w:t>
      </w:r>
      <w:r w:rsidRPr="00FD5F33">
        <w:rPr>
          <w:rFonts w:ascii="Abadi" w:hAnsi="Abadi"/>
          <w:b w:val="0"/>
          <w:bCs w:val="0"/>
          <w:sz w:val="21"/>
          <w:szCs w:val="21"/>
        </w:rPr>
        <w:t>informe</w:t>
      </w:r>
      <w:r w:rsidRPr="00FD5F33">
        <w:rPr>
          <w:rFonts w:ascii="Abadi" w:hAnsi="Abadi"/>
          <w:b w:val="0"/>
          <w:bCs w:val="0"/>
          <w:spacing w:val="9"/>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resultados</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revisión practicada</w:t>
      </w:r>
      <w:r w:rsidRPr="00FD5F33">
        <w:rPr>
          <w:rFonts w:ascii="Abadi" w:hAnsi="Abadi"/>
          <w:b w:val="0"/>
          <w:bCs w:val="0"/>
          <w:spacing w:val="10"/>
          <w:sz w:val="21"/>
          <w:szCs w:val="21"/>
        </w:rPr>
        <w:t xml:space="preserve"> </w:t>
      </w:r>
      <w:r w:rsidRPr="00FD5F33">
        <w:rPr>
          <w:rFonts w:ascii="Abadi" w:hAnsi="Abadi"/>
          <w:b w:val="0"/>
          <w:bCs w:val="0"/>
          <w:sz w:val="21"/>
          <w:szCs w:val="21"/>
        </w:rPr>
        <w:t>por</w:t>
      </w:r>
      <w:r w:rsidRPr="00FD5F33">
        <w:rPr>
          <w:rFonts w:ascii="Abadi" w:hAnsi="Abadi"/>
          <w:b w:val="0"/>
          <w:bCs w:val="0"/>
          <w:spacing w:val="9"/>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Auditoría</w:t>
      </w:r>
      <w:r w:rsidRPr="00FD5F33">
        <w:rPr>
          <w:rFonts w:ascii="Abadi" w:hAnsi="Abadi"/>
          <w:b w:val="0"/>
          <w:bCs w:val="0"/>
          <w:spacing w:val="10"/>
          <w:sz w:val="21"/>
          <w:szCs w:val="21"/>
        </w:rPr>
        <w:t xml:space="preserve"> </w:t>
      </w:r>
      <w:r w:rsidRPr="00FD5F33">
        <w:rPr>
          <w:rFonts w:ascii="Abadi" w:hAnsi="Abadi"/>
          <w:b w:val="0"/>
          <w:bCs w:val="0"/>
          <w:sz w:val="21"/>
          <w:szCs w:val="21"/>
        </w:rPr>
        <w:t>Superior</w:t>
      </w:r>
      <w:r w:rsidRPr="00FD5F33">
        <w:rPr>
          <w:rFonts w:ascii="Abadi" w:hAnsi="Abadi"/>
          <w:b w:val="0"/>
          <w:bCs w:val="0"/>
          <w:spacing w:val="9"/>
          <w:sz w:val="21"/>
          <w:szCs w:val="21"/>
        </w:rPr>
        <w:t xml:space="preserve"> </w:t>
      </w:r>
      <w:r w:rsidRPr="00FD5F33">
        <w:rPr>
          <w:rFonts w:ascii="Abadi" w:hAnsi="Abadi"/>
          <w:b w:val="0"/>
          <w:bCs w:val="0"/>
          <w:sz w:val="21"/>
          <w:szCs w:val="21"/>
        </w:rPr>
        <w:t>del</w:t>
      </w:r>
      <w:r w:rsidRPr="00FD5F33">
        <w:rPr>
          <w:rFonts w:ascii="Abadi" w:hAnsi="Abadi"/>
          <w:b w:val="0"/>
          <w:bCs w:val="0"/>
          <w:spacing w:val="9"/>
          <w:sz w:val="21"/>
          <w:szCs w:val="21"/>
        </w:rPr>
        <w:t xml:space="preserve"> </w:t>
      </w:r>
      <w:r w:rsidRPr="00FD5F33">
        <w:rPr>
          <w:rFonts w:ascii="Abadi" w:hAnsi="Abadi"/>
          <w:b w:val="0"/>
          <w:bCs w:val="0"/>
          <w:sz w:val="21"/>
          <w:szCs w:val="21"/>
        </w:rPr>
        <w:t>Estado</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Guanajuato,</w:t>
      </w:r>
      <w:r w:rsidRPr="00FD5F33">
        <w:rPr>
          <w:rFonts w:ascii="Abadi" w:hAnsi="Abadi"/>
          <w:b w:val="0"/>
          <w:bCs w:val="0"/>
          <w:spacing w:val="9"/>
          <w:sz w:val="21"/>
          <w:szCs w:val="21"/>
        </w:rPr>
        <w:t xml:space="preserve"> </w:t>
      </w:r>
      <w:r w:rsidRPr="00FD5F33">
        <w:rPr>
          <w:rFonts w:ascii="Abadi" w:hAnsi="Abadi"/>
          <w:b w:val="0"/>
          <w:bCs w:val="0"/>
          <w:sz w:val="21"/>
          <w:szCs w:val="21"/>
        </w:rPr>
        <w:t>a</w:t>
      </w:r>
      <w:r w:rsidRPr="00FD5F33">
        <w:rPr>
          <w:rFonts w:ascii="Abadi" w:hAnsi="Abadi"/>
          <w:b w:val="0"/>
          <w:bCs w:val="0"/>
          <w:spacing w:val="9"/>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cuenta pública</w:t>
      </w:r>
      <w:r w:rsidRPr="00FD5F33">
        <w:rPr>
          <w:rFonts w:ascii="Abadi" w:hAnsi="Abadi"/>
          <w:b w:val="0"/>
          <w:bCs w:val="0"/>
          <w:spacing w:val="32"/>
          <w:sz w:val="21"/>
          <w:szCs w:val="21"/>
        </w:rPr>
        <w:t xml:space="preserve"> </w:t>
      </w:r>
      <w:r w:rsidRPr="00FD5F33">
        <w:rPr>
          <w:rFonts w:ascii="Abadi" w:hAnsi="Abadi"/>
          <w:b w:val="0"/>
          <w:bCs w:val="0"/>
          <w:sz w:val="21"/>
          <w:szCs w:val="21"/>
        </w:rPr>
        <w:t>municipal</w:t>
      </w:r>
      <w:r w:rsidRPr="00FD5F33">
        <w:rPr>
          <w:rFonts w:ascii="Abadi" w:hAnsi="Abadi"/>
          <w:b w:val="0"/>
          <w:bCs w:val="0"/>
          <w:spacing w:val="32"/>
          <w:sz w:val="21"/>
          <w:szCs w:val="21"/>
        </w:rPr>
        <w:t xml:space="preserve"> </w:t>
      </w:r>
      <w:r w:rsidRPr="00FD5F33">
        <w:rPr>
          <w:rFonts w:ascii="Abadi" w:hAnsi="Abadi"/>
          <w:b w:val="0"/>
          <w:bCs w:val="0"/>
          <w:sz w:val="21"/>
          <w:szCs w:val="21"/>
        </w:rPr>
        <w:t>de</w:t>
      </w:r>
      <w:r w:rsidRPr="00FD5F33">
        <w:rPr>
          <w:rFonts w:ascii="Abadi" w:hAnsi="Abadi"/>
          <w:b w:val="0"/>
          <w:bCs w:val="0"/>
          <w:spacing w:val="32"/>
          <w:sz w:val="21"/>
          <w:szCs w:val="21"/>
        </w:rPr>
        <w:t xml:space="preserve"> </w:t>
      </w:r>
      <w:r w:rsidRPr="00FD5F33">
        <w:rPr>
          <w:rFonts w:ascii="Abadi" w:hAnsi="Abadi"/>
          <w:b w:val="0"/>
          <w:bCs w:val="0"/>
          <w:sz w:val="21"/>
          <w:szCs w:val="21"/>
        </w:rPr>
        <w:t>San</w:t>
      </w:r>
      <w:r w:rsidRPr="00FD5F33">
        <w:rPr>
          <w:rFonts w:ascii="Abadi" w:hAnsi="Abadi"/>
          <w:b w:val="0"/>
          <w:bCs w:val="0"/>
          <w:spacing w:val="33"/>
          <w:sz w:val="21"/>
          <w:szCs w:val="21"/>
        </w:rPr>
        <w:t xml:space="preserve"> </w:t>
      </w:r>
      <w:r w:rsidRPr="00FD5F33">
        <w:rPr>
          <w:rFonts w:ascii="Abadi" w:hAnsi="Abadi"/>
          <w:b w:val="0"/>
          <w:bCs w:val="0"/>
          <w:sz w:val="21"/>
          <w:szCs w:val="21"/>
        </w:rPr>
        <w:t>José</w:t>
      </w:r>
      <w:r w:rsidRPr="00FD5F33">
        <w:rPr>
          <w:rFonts w:ascii="Abadi" w:hAnsi="Abadi"/>
          <w:b w:val="0"/>
          <w:bCs w:val="0"/>
          <w:spacing w:val="32"/>
          <w:sz w:val="21"/>
          <w:szCs w:val="21"/>
        </w:rPr>
        <w:t xml:space="preserve"> </w:t>
      </w:r>
      <w:r w:rsidRPr="00FD5F33">
        <w:rPr>
          <w:rFonts w:ascii="Abadi" w:hAnsi="Abadi"/>
          <w:b w:val="0"/>
          <w:bCs w:val="0"/>
          <w:sz w:val="21"/>
          <w:szCs w:val="21"/>
        </w:rPr>
        <w:t>Iturbide,</w:t>
      </w:r>
      <w:r w:rsidRPr="00FD5F33">
        <w:rPr>
          <w:rFonts w:ascii="Abadi" w:hAnsi="Abadi"/>
          <w:b w:val="0"/>
          <w:bCs w:val="0"/>
          <w:spacing w:val="32"/>
          <w:sz w:val="21"/>
          <w:szCs w:val="21"/>
        </w:rPr>
        <w:t xml:space="preserve"> </w:t>
      </w:r>
      <w:r w:rsidRPr="00FD5F33">
        <w:rPr>
          <w:rFonts w:ascii="Abadi" w:hAnsi="Abadi"/>
          <w:b w:val="0"/>
          <w:bCs w:val="0"/>
          <w:sz w:val="21"/>
          <w:szCs w:val="21"/>
        </w:rPr>
        <w:t>Gto.,</w:t>
      </w:r>
      <w:r w:rsidRPr="00FD5F33">
        <w:rPr>
          <w:rFonts w:ascii="Abadi" w:hAnsi="Abadi"/>
          <w:b w:val="0"/>
          <w:bCs w:val="0"/>
          <w:spacing w:val="32"/>
          <w:sz w:val="21"/>
          <w:szCs w:val="21"/>
        </w:rPr>
        <w:t xml:space="preserve"> </w:t>
      </w:r>
      <w:r w:rsidRPr="00FD5F33">
        <w:rPr>
          <w:rFonts w:ascii="Abadi" w:hAnsi="Abadi"/>
          <w:b w:val="0"/>
          <w:bCs w:val="0"/>
          <w:sz w:val="21"/>
          <w:szCs w:val="21"/>
        </w:rPr>
        <w:t>correspondiente</w:t>
      </w:r>
      <w:r w:rsidRPr="00FD5F33">
        <w:rPr>
          <w:rFonts w:ascii="Abadi" w:hAnsi="Abadi"/>
          <w:b w:val="0"/>
          <w:bCs w:val="0"/>
          <w:spacing w:val="32"/>
          <w:sz w:val="21"/>
          <w:szCs w:val="21"/>
        </w:rPr>
        <w:t xml:space="preserve"> </w:t>
      </w:r>
      <w:r w:rsidRPr="00FD5F33">
        <w:rPr>
          <w:rFonts w:ascii="Abadi" w:hAnsi="Abadi"/>
          <w:b w:val="0"/>
          <w:bCs w:val="0"/>
          <w:sz w:val="21"/>
          <w:szCs w:val="21"/>
        </w:rPr>
        <w:t>al</w:t>
      </w:r>
      <w:r w:rsidRPr="00FD5F33">
        <w:rPr>
          <w:rFonts w:ascii="Abadi" w:hAnsi="Abadi"/>
          <w:b w:val="0"/>
          <w:bCs w:val="0"/>
          <w:spacing w:val="32"/>
          <w:sz w:val="21"/>
          <w:szCs w:val="21"/>
        </w:rPr>
        <w:t xml:space="preserve"> </w:t>
      </w:r>
      <w:r w:rsidRPr="00FD5F33">
        <w:rPr>
          <w:rFonts w:ascii="Abadi" w:hAnsi="Abadi"/>
          <w:b w:val="0"/>
          <w:bCs w:val="0"/>
          <w:sz w:val="21"/>
          <w:szCs w:val="21"/>
        </w:rPr>
        <w:t>ejercicio fiscal del año 2020.</w:t>
      </w:r>
      <w:r>
        <w:rPr>
          <w:rFonts w:ascii="Abadi" w:hAnsi="Abadi"/>
          <w:sz w:val="21"/>
          <w:szCs w:val="21"/>
        </w:rPr>
        <w:t xml:space="preserve"> </w:t>
      </w:r>
      <w:r w:rsidRPr="009A3D12">
        <w:rPr>
          <w:rFonts w:ascii="Abadi" w:hAnsi="Abadi"/>
          <w:sz w:val="21"/>
          <w:szCs w:val="21"/>
        </w:rPr>
        <w:t>LXI.-</w:t>
      </w:r>
      <w:r>
        <w:rPr>
          <w:rFonts w:ascii="Abadi" w:hAnsi="Abadi"/>
          <w:sz w:val="21"/>
          <w:szCs w:val="21"/>
        </w:rPr>
        <w:t xml:space="preserve"> </w:t>
      </w:r>
      <w:r w:rsidRPr="00FD5F33">
        <w:rPr>
          <w:rFonts w:ascii="Abadi" w:hAnsi="Abadi"/>
          <w:b w:val="0"/>
          <w:bCs w:val="0"/>
          <w:sz w:val="21"/>
          <w:szCs w:val="21"/>
        </w:rPr>
        <w:t>Discusión</w:t>
      </w:r>
      <w:r w:rsidRPr="00FD5F33">
        <w:rPr>
          <w:rFonts w:ascii="Abadi" w:hAnsi="Abadi"/>
          <w:b w:val="0"/>
          <w:bCs w:val="0"/>
          <w:spacing w:val="11"/>
          <w:sz w:val="21"/>
          <w:szCs w:val="21"/>
        </w:rPr>
        <w:t xml:space="preserve"> </w:t>
      </w:r>
      <w:r w:rsidRPr="00FD5F33">
        <w:rPr>
          <w:rFonts w:ascii="Abadi" w:hAnsi="Abadi"/>
          <w:b w:val="0"/>
          <w:bCs w:val="0"/>
          <w:sz w:val="21"/>
          <w:szCs w:val="21"/>
        </w:rPr>
        <w:t>y,</w:t>
      </w:r>
      <w:r w:rsidRPr="00FD5F33">
        <w:rPr>
          <w:rFonts w:ascii="Abadi" w:hAnsi="Abadi"/>
          <w:b w:val="0"/>
          <w:bCs w:val="0"/>
          <w:spacing w:val="11"/>
          <w:sz w:val="21"/>
          <w:szCs w:val="21"/>
        </w:rPr>
        <w:t xml:space="preserve"> </w:t>
      </w:r>
      <w:r w:rsidRPr="00FD5F33">
        <w:rPr>
          <w:rFonts w:ascii="Abadi" w:hAnsi="Abadi"/>
          <w:b w:val="0"/>
          <w:bCs w:val="0"/>
          <w:sz w:val="21"/>
          <w:szCs w:val="21"/>
        </w:rPr>
        <w:t>en</w:t>
      </w:r>
      <w:r w:rsidRPr="00FD5F33">
        <w:rPr>
          <w:rFonts w:ascii="Abadi" w:hAnsi="Abadi"/>
          <w:b w:val="0"/>
          <w:bCs w:val="0"/>
          <w:spacing w:val="11"/>
          <w:sz w:val="21"/>
          <w:szCs w:val="21"/>
        </w:rPr>
        <w:t xml:space="preserve"> </w:t>
      </w:r>
      <w:r w:rsidRPr="00FD5F33">
        <w:rPr>
          <w:rFonts w:ascii="Abadi" w:hAnsi="Abadi"/>
          <w:b w:val="0"/>
          <w:bCs w:val="0"/>
          <w:sz w:val="21"/>
          <w:szCs w:val="21"/>
        </w:rPr>
        <w:t>su</w:t>
      </w:r>
      <w:r w:rsidRPr="00FD5F33">
        <w:rPr>
          <w:rFonts w:ascii="Abadi" w:hAnsi="Abadi"/>
          <w:b w:val="0"/>
          <w:bCs w:val="0"/>
          <w:spacing w:val="11"/>
          <w:sz w:val="21"/>
          <w:szCs w:val="21"/>
        </w:rPr>
        <w:t xml:space="preserve"> </w:t>
      </w:r>
      <w:r w:rsidRPr="00FD5F33">
        <w:rPr>
          <w:rFonts w:ascii="Abadi" w:hAnsi="Abadi"/>
          <w:b w:val="0"/>
          <w:bCs w:val="0"/>
          <w:sz w:val="21"/>
          <w:szCs w:val="21"/>
        </w:rPr>
        <w:t>caso,</w:t>
      </w:r>
      <w:r w:rsidRPr="00FD5F33">
        <w:rPr>
          <w:rFonts w:ascii="Abadi" w:hAnsi="Abadi"/>
          <w:b w:val="0"/>
          <w:bCs w:val="0"/>
          <w:spacing w:val="11"/>
          <w:sz w:val="21"/>
          <w:szCs w:val="21"/>
        </w:rPr>
        <w:t xml:space="preserve"> </w:t>
      </w:r>
      <w:r w:rsidRPr="00FD5F33">
        <w:rPr>
          <w:rFonts w:ascii="Abadi" w:hAnsi="Abadi"/>
          <w:b w:val="0"/>
          <w:bCs w:val="0"/>
          <w:sz w:val="21"/>
          <w:szCs w:val="21"/>
        </w:rPr>
        <w:t>aprobación</w:t>
      </w:r>
      <w:r w:rsidRPr="00FD5F33">
        <w:rPr>
          <w:rFonts w:ascii="Abadi" w:hAnsi="Abadi"/>
          <w:b w:val="0"/>
          <w:bCs w:val="0"/>
          <w:spacing w:val="11"/>
          <w:sz w:val="21"/>
          <w:szCs w:val="21"/>
        </w:rPr>
        <w:t xml:space="preserve"> </w:t>
      </w:r>
      <w:r w:rsidRPr="00FD5F33">
        <w:rPr>
          <w:rFonts w:ascii="Abadi" w:hAnsi="Abadi"/>
          <w:b w:val="0"/>
          <w:bCs w:val="0"/>
          <w:sz w:val="21"/>
          <w:szCs w:val="21"/>
        </w:rPr>
        <w:t>del</w:t>
      </w:r>
      <w:r w:rsidRPr="00FD5F33">
        <w:rPr>
          <w:rFonts w:ascii="Abadi" w:hAnsi="Abadi"/>
          <w:b w:val="0"/>
          <w:bCs w:val="0"/>
          <w:spacing w:val="11"/>
          <w:sz w:val="21"/>
          <w:szCs w:val="21"/>
        </w:rPr>
        <w:t xml:space="preserve"> </w:t>
      </w:r>
      <w:r w:rsidRPr="00FD5F33">
        <w:rPr>
          <w:rFonts w:ascii="Abadi" w:hAnsi="Abadi"/>
          <w:b w:val="0"/>
          <w:bCs w:val="0"/>
          <w:sz w:val="21"/>
          <w:szCs w:val="21"/>
        </w:rPr>
        <w:t>dictamen</w:t>
      </w:r>
      <w:r w:rsidRPr="00FD5F33">
        <w:rPr>
          <w:rFonts w:ascii="Abadi" w:hAnsi="Abadi"/>
          <w:b w:val="0"/>
          <w:bCs w:val="0"/>
          <w:spacing w:val="11"/>
          <w:sz w:val="21"/>
          <w:szCs w:val="21"/>
        </w:rPr>
        <w:t xml:space="preserve"> </w:t>
      </w:r>
      <w:r w:rsidRPr="00FD5F33">
        <w:rPr>
          <w:rFonts w:ascii="Abadi" w:hAnsi="Abadi"/>
          <w:b w:val="0"/>
          <w:bCs w:val="0"/>
          <w:sz w:val="21"/>
          <w:szCs w:val="21"/>
        </w:rPr>
        <w:t>signado</w:t>
      </w:r>
      <w:r w:rsidRPr="00FD5F33">
        <w:rPr>
          <w:rFonts w:ascii="Abadi" w:hAnsi="Abadi"/>
          <w:b w:val="0"/>
          <w:bCs w:val="0"/>
          <w:spacing w:val="11"/>
          <w:sz w:val="21"/>
          <w:szCs w:val="21"/>
        </w:rPr>
        <w:t xml:space="preserve"> </w:t>
      </w:r>
      <w:r w:rsidRPr="00FD5F33">
        <w:rPr>
          <w:rFonts w:ascii="Abadi" w:hAnsi="Abadi"/>
          <w:b w:val="0"/>
          <w:bCs w:val="0"/>
          <w:sz w:val="21"/>
          <w:szCs w:val="21"/>
        </w:rPr>
        <w:t>por</w:t>
      </w:r>
      <w:r w:rsidRPr="00FD5F33">
        <w:rPr>
          <w:rFonts w:ascii="Abadi" w:hAnsi="Abadi"/>
          <w:b w:val="0"/>
          <w:bCs w:val="0"/>
          <w:spacing w:val="11"/>
          <w:sz w:val="21"/>
          <w:szCs w:val="21"/>
        </w:rPr>
        <w:t xml:space="preserve"> </w:t>
      </w:r>
      <w:r w:rsidRPr="00FD5F33">
        <w:rPr>
          <w:rFonts w:ascii="Abadi" w:hAnsi="Abadi"/>
          <w:b w:val="0"/>
          <w:bCs w:val="0"/>
          <w:sz w:val="21"/>
          <w:szCs w:val="21"/>
        </w:rPr>
        <w:t>la</w:t>
      </w:r>
      <w:r w:rsidRPr="00FD5F33">
        <w:rPr>
          <w:rFonts w:ascii="Abadi" w:hAnsi="Abadi"/>
          <w:b w:val="0"/>
          <w:bCs w:val="0"/>
          <w:spacing w:val="11"/>
          <w:sz w:val="21"/>
          <w:szCs w:val="21"/>
        </w:rPr>
        <w:t xml:space="preserve"> </w:t>
      </w:r>
      <w:r w:rsidRPr="00FD5F33">
        <w:rPr>
          <w:rFonts w:ascii="Abadi" w:hAnsi="Abadi"/>
          <w:b w:val="0"/>
          <w:bCs w:val="0"/>
          <w:sz w:val="21"/>
          <w:szCs w:val="21"/>
        </w:rPr>
        <w:t>Comisión de</w:t>
      </w:r>
      <w:r w:rsidRPr="00FD5F33">
        <w:rPr>
          <w:rFonts w:ascii="Abadi" w:hAnsi="Abadi"/>
          <w:b w:val="0"/>
          <w:bCs w:val="0"/>
          <w:spacing w:val="10"/>
          <w:sz w:val="21"/>
          <w:szCs w:val="21"/>
        </w:rPr>
        <w:t xml:space="preserve"> </w:t>
      </w:r>
      <w:r w:rsidRPr="00FD5F33">
        <w:rPr>
          <w:rFonts w:ascii="Abadi" w:hAnsi="Abadi"/>
          <w:b w:val="0"/>
          <w:bCs w:val="0"/>
          <w:sz w:val="21"/>
          <w:szCs w:val="21"/>
        </w:rPr>
        <w:t>Hacienda</w:t>
      </w:r>
      <w:r w:rsidRPr="00FD5F33">
        <w:rPr>
          <w:rFonts w:ascii="Abadi" w:hAnsi="Abadi"/>
          <w:b w:val="0"/>
          <w:bCs w:val="0"/>
          <w:spacing w:val="10"/>
          <w:sz w:val="21"/>
          <w:szCs w:val="21"/>
        </w:rPr>
        <w:t xml:space="preserve"> </w:t>
      </w:r>
      <w:r w:rsidRPr="00FD5F33">
        <w:rPr>
          <w:rFonts w:ascii="Abadi" w:hAnsi="Abadi"/>
          <w:b w:val="0"/>
          <w:bCs w:val="0"/>
          <w:sz w:val="21"/>
          <w:szCs w:val="21"/>
        </w:rPr>
        <w:t>y</w:t>
      </w:r>
      <w:r w:rsidRPr="00FD5F33">
        <w:rPr>
          <w:rFonts w:ascii="Abadi" w:hAnsi="Abadi"/>
          <w:b w:val="0"/>
          <w:bCs w:val="0"/>
          <w:spacing w:val="10"/>
          <w:sz w:val="21"/>
          <w:szCs w:val="21"/>
        </w:rPr>
        <w:t xml:space="preserve"> </w:t>
      </w:r>
      <w:r w:rsidRPr="00FD5F33">
        <w:rPr>
          <w:rFonts w:ascii="Abadi" w:hAnsi="Abadi"/>
          <w:b w:val="0"/>
          <w:bCs w:val="0"/>
          <w:sz w:val="21"/>
          <w:szCs w:val="21"/>
        </w:rPr>
        <w:t>Fiscalización</w:t>
      </w:r>
      <w:r w:rsidRPr="00FD5F33">
        <w:rPr>
          <w:rFonts w:ascii="Abadi" w:hAnsi="Abadi"/>
          <w:b w:val="0"/>
          <w:bCs w:val="0"/>
          <w:spacing w:val="10"/>
          <w:sz w:val="21"/>
          <w:szCs w:val="21"/>
        </w:rPr>
        <w:t xml:space="preserve"> </w:t>
      </w:r>
      <w:r w:rsidRPr="00FD5F33">
        <w:rPr>
          <w:rFonts w:ascii="Abadi" w:hAnsi="Abadi"/>
          <w:b w:val="0"/>
          <w:bCs w:val="0"/>
          <w:sz w:val="21"/>
          <w:szCs w:val="21"/>
        </w:rPr>
        <w:t>relativo</w:t>
      </w:r>
      <w:r w:rsidRPr="00FD5F33">
        <w:rPr>
          <w:rFonts w:ascii="Abadi" w:hAnsi="Abadi"/>
          <w:b w:val="0"/>
          <w:bCs w:val="0"/>
          <w:spacing w:val="10"/>
          <w:sz w:val="21"/>
          <w:szCs w:val="21"/>
        </w:rPr>
        <w:t xml:space="preserve"> </w:t>
      </w:r>
      <w:r w:rsidRPr="00FD5F33">
        <w:rPr>
          <w:rFonts w:ascii="Abadi" w:hAnsi="Abadi"/>
          <w:b w:val="0"/>
          <w:bCs w:val="0"/>
          <w:sz w:val="21"/>
          <w:szCs w:val="21"/>
        </w:rPr>
        <w:t>al</w:t>
      </w:r>
      <w:r w:rsidRPr="00FD5F33">
        <w:rPr>
          <w:rFonts w:ascii="Abadi" w:hAnsi="Abadi"/>
          <w:b w:val="0"/>
          <w:bCs w:val="0"/>
          <w:spacing w:val="9"/>
          <w:sz w:val="21"/>
          <w:szCs w:val="21"/>
        </w:rPr>
        <w:t xml:space="preserve"> </w:t>
      </w:r>
      <w:r w:rsidRPr="00FD5F33">
        <w:rPr>
          <w:rFonts w:ascii="Abadi" w:hAnsi="Abadi"/>
          <w:b w:val="0"/>
          <w:bCs w:val="0"/>
          <w:sz w:val="21"/>
          <w:szCs w:val="21"/>
        </w:rPr>
        <w:t>informe</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resultados</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revisión practicada</w:t>
      </w:r>
      <w:r w:rsidRPr="00FD5F33">
        <w:rPr>
          <w:rFonts w:ascii="Abadi" w:hAnsi="Abadi"/>
          <w:b w:val="0"/>
          <w:bCs w:val="0"/>
          <w:spacing w:val="10"/>
          <w:sz w:val="21"/>
          <w:szCs w:val="21"/>
        </w:rPr>
        <w:t xml:space="preserve"> </w:t>
      </w:r>
      <w:r w:rsidRPr="00FD5F33">
        <w:rPr>
          <w:rFonts w:ascii="Abadi" w:hAnsi="Abadi"/>
          <w:b w:val="0"/>
          <w:bCs w:val="0"/>
          <w:sz w:val="21"/>
          <w:szCs w:val="21"/>
        </w:rPr>
        <w:t>por</w:t>
      </w:r>
      <w:r w:rsidRPr="00FD5F33">
        <w:rPr>
          <w:rFonts w:ascii="Abadi" w:hAnsi="Abadi"/>
          <w:b w:val="0"/>
          <w:bCs w:val="0"/>
          <w:spacing w:val="9"/>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Auditoría</w:t>
      </w:r>
      <w:r w:rsidRPr="00FD5F33">
        <w:rPr>
          <w:rFonts w:ascii="Abadi" w:hAnsi="Abadi"/>
          <w:b w:val="0"/>
          <w:bCs w:val="0"/>
          <w:spacing w:val="10"/>
          <w:sz w:val="21"/>
          <w:szCs w:val="21"/>
        </w:rPr>
        <w:t xml:space="preserve"> </w:t>
      </w:r>
      <w:r w:rsidRPr="00FD5F33">
        <w:rPr>
          <w:rFonts w:ascii="Abadi" w:hAnsi="Abadi"/>
          <w:b w:val="0"/>
          <w:bCs w:val="0"/>
          <w:sz w:val="21"/>
          <w:szCs w:val="21"/>
        </w:rPr>
        <w:t>Superior</w:t>
      </w:r>
      <w:r w:rsidRPr="00FD5F33">
        <w:rPr>
          <w:rFonts w:ascii="Abadi" w:hAnsi="Abadi"/>
          <w:b w:val="0"/>
          <w:bCs w:val="0"/>
          <w:spacing w:val="9"/>
          <w:sz w:val="21"/>
          <w:szCs w:val="21"/>
        </w:rPr>
        <w:t xml:space="preserve"> </w:t>
      </w:r>
      <w:r w:rsidRPr="00FD5F33">
        <w:rPr>
          <w:rFonts w:ascii="Abadi" w:hAnsi="Abadi"/>
          <w:b w:val="0"/>
          <w:bCs w:val="0"/>
          <w:sz w:val="21"/>
          <w:szCs w:val="21"/>
        </w:rPr>
        <w:t>del</w:t>
      </w:r>
      <w:r w:rsidRPr="00FD5F33">
        <w:rPr>
          <w:rFonts w:ascii="Abadi" w:hAnsi="Abadi"/>
          <w:b w:val="0"/>
          <w:bCs w:val="0"/>
          <w:spacing w:val="9"/>
          <w:sz w:val="21"/>
          <w:szCs w:val="21"/>
        </w:rPr>
        <w:t xml:space="preserve"> </w:t>
      </w:r>
      <w:r w:rsidRPr="00FD5F33">
        <w:rPr>
          <w:rFonts w:ascii="Abadi" w:hAnsi="Abadi"/>
          <w:b w:val="0"/>
          <w:bCs w:val="0"/>
          <w:sz w:val="21"/>
          <w:szCs w:val="21"/>
        </w:rPr>
        <w:t>Estado</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Guanajuato,</w:t>
      </w:r>
      <w:r w:rsidRPr="00FD5F33">
        <w:rPr>
          <w:rFonts w:ascii="Abadi" w:hAnsi="Abadi"/>
          <w:b w:val="0"/>
          <w:bCs w:val="0"/>
          <w:spacing w:val="9"/>
          <w:sz w:val="21"/>
          <w:szCs w:val="21"/>
        </w:rPr>
        <w:t xml:space="preserve"> </w:t>
      </w:r>
      <w:r w:rsidRPr="00FD5F33">
        <w:rPr>
          <w:rFonts w:ascii="Abadi" w:hAnsi="Abadi"/>
          <w:b w:val="0"/>
          <w:bCs w:val="0"/>
          <w:sz w:val="21"/>
          <w:szCs w:val="21"/>
        </w:rPr>
        <w:t>a</w:t>
      </w:r>
      <w:r w:rsidRPr="00FD5F33">
        <w:rPr>
          <w:rFonts w:ascii="Abadi" w:hAnsi="Abadi"/>
          <w:b w:val="0"/>
          <w:bCs w:val="0"/>
          <w:spacing w:val="8"/>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cuenta pública</w:t>
      </w:r>
      <w:r w:rsidRPr="00FD5F33">
        <w:rPr>
          <w:rFonts w:ascii="Abadi" w:hAnsi="Abadi"/>
          <w:b w:val="0"/>
          <w:bCs w:val="0"/>
          <w:spacing w:val="-6"/>
          <w:sz w:val="21"/>
          <w:szCs w:val="21"/>
        </w:rPr>
        <w:t xml:space="preserve"> </w:t>
      </w:r>
      <w:r w:rsidRPr="00FD5F33">
        <w:rPr>
          <w:rFonts w:ascii="Abadi" w:hAnsi="Abadi"/>
          <w:b w:val="0"/>
          <w:bCs w:val="0"/>
          <w:sz w:val="21"/>
          <w:szCs w:val="21"/>
        </w:rPr>
        <w:t>municipal</w:t>
      </w:r>
      <w:r w:rsidRPr="00FD5F33">
        <w:rPr>
          <w:rFonts w:ascii="Abadi" w:hAnsi="Abadi"/>
          <w:b w:val="0"/>
          <w:bCs w:val="0"/>
          <w:spacing w:val="-5"/>
          <w:sz w:val="21"/>
          <w:szCs w:val="21"/>
        </w:rPr>
        <w:t xml:space="preserve"> </w:t>
      </w:r>
      <w:r w:rsidRPr="00FD5F33">
        <w:rPr>
          <w:rFonts w:ascii="Abadi" w:hAnsi="Abadi"/>
          <w:b w:val="0"/>
          <w:bCs w:val="0"/>
          <w:sz w:val="21"/>
          <w:szCs w:val="21"/>
        </w:rPr>
        <w:t>de</w:t>
      </w:r>
      <w:r w:rsidRPr="00FD5F33">
        <w:rPr>
          <w:rFonts w:ascii="Abadi" w:hAnsi="Abadi"/>
          <w:b w:val="0"/>
          <w:bCs w:val="0"/>
          <w:spacing w:val="-6"/>
          <w:sz w:val="21"/>
          <w:szCs w:val="21"/>
        </w:rPr>
        <w:t xml:space="preserve"> </w:t>
      </w:r>
      <w:r w:rsidRPr="00FD5F33">
        <w:rPr>
          <w:rFonts w:ascii="Abadi" w:hAnsi="Abadi"/>
          <w:b w:val="0"/>
          <w:bCs w:val="0"/>
          <w:sz w:val="21"/>
          <w:szCs w:val="21"/>
        </w:rPr>
        <w:t>Santa</w:t>
      </w:r>
      <w:r w:rsidRPr="00FD5F33">
        <w:rPr>
          <w:rFonts w:ascii="Abadi" w:hAnsi="Abadi"/>
          <w:b w:val="0"/>
          <w:bCs w:val="0"/>
          <w:spacing w:val="-6"/>
          <w:sz w:val="21"/>
          <w:szCs w:val="21"/>
        </w:rPr>
        <w:t xml:space="preserve"> </w:t>
      </w:r>
      <w:r w:rsidRPr="00FD5F33">
        <w:rPr>
          <w:rFonts w:ascii="Abadi" w:hAnsi="Abadi"/>
          <w:b w:val="0"/>
          <w:bCs w:val="0"/>
          <w:sz w:val="21"/>
          <w:szCs w:val="21"/>
        </w:rPr>
        <w:t>Cruz</w:t>
      </w:r>
      <w:r w:rsidRPr="00FD5F33">
        <w:rPr>
          <w:rFonts w:ascii="Abadi" w:hAnsi="Abadi"/>
          <w:b w:val="0"/>
          <w:bCs w:val="0"/>
          <w:spacing w:val="-6"/>
          <w:sz w:val="21"/>
          <w:szCs w:val="21"/>
        </w:rPr>
        <w:t xml:space="preserve"> </w:t>
      </w:r>
      <w:r w:rsidRPr="00FD5F33">
        <w:rPr>
          <w:rFonts w:ascii="Abadi" w:hAnsi="Abadi"/>
          <w:b w:val="0"/>
          <w:bCs w:val="0"/>
          <w:sz w:val="21"/>
          <w:szCs w:val="21"/>
        </w:rPr>
        <w:t>de</w:t>
      </w:r>
      <w:r w:rsidRPr="00FD5F33">
        <w:rPr>
          <w:rFonts w:ascii="Abadi" w:hAnsi="Abadi"/>
          <w:b w:val="0"/>
          <w:bCs w:val="0"/>
          <w:spacing w:val="-5"/>
          <w:sz w:val="21"/>
          <w:szCs w:val="21"/>
        </w:rPr>
        <w:t xml:space="preserve"> </w:t>
      </w:r>
      <w:r w:rsidRPr="00FD5F33">
        <w:rPr>
          <w:rFonts w:ascii="Abadi" w:hAnsi="Abadi"/>
          <w:b w:val="0"/>
          <w:bCs w:val="0"/>
          <w:sz w:val="21"/>
          <w:szCs w:val="21"/>
        </w:rPr>
        <w:t>Juventino</w:t>
      </w:r>
      <w:r w:rsidRPr="00FD5F33">
        <w:rPr>
          <w:rFonts w:ascii="Abadi" w:hAnsi="Abadi"/>
          <w:b w:val="0"/>
          <w:bCs w:val="0"/>
          <w:spacing w:val="-5"/>
          <w:sz w:val="21"/>
          <w:szCs w:val="21"/>
        </w:rPr>
        <w:t xml:space="preserve"> </w:t>
      </w:r>
      <w:r w:rsidRPr="00FD5F33">
        <w:rPr>
          <w:rFonts w:ascii="Abadi" w:hAnsi="Abadi"/>
          <w:b w:val="0"/>
          <w:bCs w:val="0"/>
          <w:sz w:val="21"/>
          <w:szCs w:val="21"/>
        </w:rPr>
        <w:t>Rosas,</w:t>
      </w:r>
      <w:r w:rsidRPr="00FD5F33">
        <w:rPr>
          <w:rFonts w:ascii="Abadi" w:hAnsi="Abadi"/>
          <w:b w:val="0"/>
          <w:bCs w:val="0"/>
          <w:spacing w:val="-6"/>
          <w:sz w:val="21"/>
          <w:szCs w:val="21"/>
        </w:rPr>
        <w:t xml:space="preserve"> </w:t>
      </w:r>
      <w:r w:rsidRPr="00FD5F33">
        <w:rPr>
          <w:rFonts w:ascii="Abadi" w:hAnsi="Abadi"/>
          <w:b w:val="0"/>
          <w:bCs w:val="0"/>
          <w:sz w:val="21"/>
          <w:szCs w:val="21"/>
        </w:rPr>
        <w:t>Gto.,</w:t>
      </w:r>
      <w:r w:rsidRPr="00FD5F33">
        <w:rPr>
          <w:rFonts w:ascii="Abadi" w:hAnsi="Abadi"/>
          <w:b w:val="0"/>
          <w:bCs w:val="0"/>
          <w:spacing w:val="-6"/>
          <w:sz w:val="21"/>
          <w:szCs w:val="21"/>
        </w:rPr>
        <w:t xml:space="preserve"> </w:t>
      </w:r>
      <w:r w:rsidRPr="00FD5F33">
        <w:rPr>
          <w:rFonts w:ascii="Abadi" w:hAnsi="Abadi"/>
          <w:b w:val="0"/>
          <w:bCs w:val="0"/>
          <w:sz w:val="21"/>
          <w:szCs w:val="21"/>
        </w:rPr>
        <w:lastRenderedPageBreak/>
        <w:t>correspondiente al ejercicio fiscal del año</w:t>
      </w:r>
      <w:r w:rsidRPr="00FD5F33">
        <w:rPr>
          <w:rFonts w:ascii="Abadi" w:hAnsi="Abadi"/>
          <w:b w:val="0"/>
          <w:bCs w:val="0"/>
          <w:spacing w:val="-1"/>
          <w:sz w:val="21"/>
          <w:szCs w:val="21"/>
        </w:rPr>
        <w:t xml:space="preserve"> </w:t>
      </w:r>
      <w:r w:rsidRPr="00FD5F33">
        <w:rPr>
          <w:rFonts w:ascii="Abadi" w:hAnsi="Abadi"/>
          <w:b w:val="0"/>
          <w:bCs w:val="0"/>
          <w:sz w:val="21"/>
          <w:szCs w:val="21"/>
        </w:rPr>
        <w:t>2020. LXII.- Discusión</w:t>
      </w:r>
      <w:r w:rsidRPr="00FD5F33">
        <w:rPr>
          <w:rFonts w:ascii="Abadi" w:hAnsi="Abadi"/>
          <w:b w:val="0"/>
          <w:bCs w:val="0"/>
          <w:spacing w:val="11"/>
          <w:sz w:val="21"/>
          <w:szCs w:val="21"/>
        </w:rPr>
        <w:t xml:space="preserve"> </w:t>
      </w:r>
      <w:r w:rsidRPr="00FD5F33">
        <w:rPr>
          <w:rFonts w:ascii="Abadi" w:hAnsi="Abadi"/>
          <w:b w:val="0"/>
          <w:bCs w:val="0"/>
          <w:sz w:val="21"/>
          <w:szCs w:val="21"/>
        </w:rPr>
        <w:t>y,</w:t>
      </w:r>
      <w:r w:rsidRPr="00FD5F33">
        <w:rPr>
          <w:rFonts w:ascii="Abadi" w:hAnsi="Abadi"/>
          <w:b w:val="0"/>
          <w:bCs w:val="0"/>
          <w:spacing w:val="11"/>
          <w:sz w:val="21"/>
          <w:szCs w:val="21"/>
        </w:rPr>
        <w:t xml:space="preserve"> </w:t>
      </w:r>
      <w:r w:rsidRPr="00FD5F33">
        <w:rPr>
          <w:rFonts w:ascii="Abadi" w:hAnsi="Abadi"/>
          <w:b w:val="0"/>
          <w:bCs w:val="0"/>
          <w:sz w:val="21"/>
          <w:szCs w:val="21"/>
        </w:rPr>
        <w:t>en</w:t>
      </w:r>
      <w:r w:rsidRPr="00FD5F33">
        <w:rPr>
          <w:rFonts w:ascii="Abadi" w:hAnsi="Abadi"/>
          <w:b w:val="0"/>
          <w:bCs w:val="0"/>
          <w:spacing w:val="11"/>
          <w:sz w:val="21"/>
          <w:szCs w:val="21"/>
        </w:rPr>
        <w:t xml:space="preserve"> </w:t>
      </w:r>
      <w:r w:rsidRPr="00FD5F33">
        <w:rPr>
          <w:rFonts w:ascii="Abadi" w:hAnsi="Abadi"/>
          <w:b w:val="0"/>
          <w:bCs w:val="0"/>
          <w:sz w:val="21"/>
          <w:szCs w:val="21"/>
        </w:rPr>
        <w:t>su</w:t>
      </w:r>
      <w:r w:rsidRPr="00FD5F33">
        <w:rPr>
          <w:rFonts w:ascii="Abadi" w:hAnsi="Abadi"/>
          <w:b w:val="0"/>
          <w:bCs w:val="0"/>
          <w:spacing w:val="11"/>
          <w:sz w:val="21"/>
          <w:szCs w:val="21"/>
        </w:rPr>
        <w:t xml:space="preserve"> </w:t>
      </w:r>
      <w:r w:rsidRPr="00FD5F33">
        <w:rPr>
          <w:rFonts w:ascii="Abadi" w:hAnsi="Abadi"/>
          <w:b w:val="0"/>
          <w:bCs w:val="0"/>
          <w:sz w:val="21"/>
          <w:szCs w:val="21"/>
        </w:rPr>
        <w:t>caso,</w:t>
      </w:r>
      <w:r w:rsidRPr="00FD5F33">
        <w:rPr>
          <w:rFonts w:ascii="Abadi" w:hAnsi="Abadi"/>
          <w:b w:val="0"/>
          <w:bCs w:val="0"/>
          <w:spacing w:val="11"/>
          <w:sz w:val="21"/>
          <w:szCs w:val="21"/>
        </w:rPr>
        <w:t xml:space="preserve"> </w:t>
      </w:r>
      <w:r w:rsidRPr="00FD5F33">
        <w:rPr>
          <w:rFonts w:ascii="Abadi" w:hAnsi="Abadi"/>
          <w:b w:val="0"/>
          <w:bCs w:val="0"/>
          <w:sz w:val="21"/>
          <w:szCs w:val="21"/>
        </w:rPr>
        <w:t>aprobación</w:t>
      </w:r>
      <w:r w:rsidRPr="00FD5F33">
        <w:rPr>
          <w:rFonts w:ascii="Abadi" w:hAnsi="Abadi"/>
          <w:b w:val="0"/>
          <w:bCs w:val="0"/>
          <w:spacing w:val="11"/>
          <w:sz w:val="21"/>
          <w:szCs w:val="21"/>
        </w:rPr>
        <w:t xml:space="preserve"> </w:t>
      </w:r>
      <w:r w:rsidRPr="00FD5F33">
        <w:rPr>
          <w:rFonts w:ascii="Abadi" w:hAnsi="Abadi"/>
          <w:b w:val="0"/>
          <w:bCs w:val="0"/>
          <w:sz w:val="21"/>
          <w:szCs w:val="21"/>
        </w:rPr>
        <w:t>del</w:t>
      </w:r>
      <w:r w:rsidRPr="00FD5F33">
        <w:rPr>
          <w:rFonts w:ascii="Abadi" w:hAnsi="Abadi"/>
          <w:b w:val="0"/>
          <w:bCs w:val="0"/>
          <w:spacing w:val="11"/>
          <w:sz w:val="21"/>
          <w:szCs w:val="21"/>
        </w:rPr>
        <w:t xml:space="preserve"> </w:t>
      </w:r>
      <w:r w:rsidRPr="00FD5F33">
        <w:rPr>
          <w:rFonts w:ascii="Abadi" w:hAnsi="Abadi"/>
          <w:b w:val="0"/>
          <w:bCs w:val="0"/>
          <w:sz w:val="21"/>
          <w:szCs w:val="21"/>
        </w:rPr>
        <w:t>dictamen</w:t>
      </w:r>
      <w:r w:rsidRPr="00FD5F33">
        <w:rPr>
          <w:rFonts w:ascii="Abadi" w:hAnsi="Abadi"/>
          <w:b w:val="0"/>
          <w:bCs w:val="0"/>
          <w:spacing w:val="11"/>
          <w:sz w:val="21"/>
          <w:szCs w:val="21"/>
        </w:rPr>
        <w:t xml:space="preserve"> </w:t>
      </w:r>
      <w:r w:rsidRPr="00FD5F33">
        <w:rPr>
          <w:rFonts w:ascii="Abadi" w:hAnsi="Abadi"/>
          <w:b w:val="0"/>
          <w:bCs w:val="0"/>
          <w:sz w:val="21"/>
          <w:szCs w:val="21"/>
        </w:rPr>
        <w:t>signado</w:t>
      </w:r>
      <w:r w:rsidRPr="00FD5F33">
        <w:rPr>
          <w:rFonts w:ascii="Abadi" w:hAnsi="Abadi"/>
          <w:b w:val="0"/>
          <w:bCs w:val="0"/>
          <w:spacing w:val="11"/>
          <w:sz w:val="21"/>
          <w:szCs w:val="21"/>
        </w:rPr>
        <w:t xml:space="preserve"> </w:t>
      </w:r>
      <w:r w:rsidRPr="00FD5F33">
        <w:rPr>
          <w:rFonts w:ascii="Abadi" w:hAnsi="Abadi"/>
          <w:b w:val="0"/>
          <w:bCs w:val="0"/>
          <w:sz w:val="21"/>
          <w:szCs w:val="21"/>
        </w:rPr>
        <w:t>por</w:t>
      </w:r>
      <w:r w:rsidRPr="00FD5F33">
        <w:rPr>
          <w:rFonts w:ascii="Abadi" w:hAnsi="Abadi"/>
          <w:b w:val="0"/>
          <w:bCs w:val="0"/>
          <w:spacing w:val="11"/>
          <w:sz w:val="21"/>
          <w:szCs w:val="21"/>
        </w:rPr>
        <w:t xml:space="preserve"> </w:t>
      </w:r>
      <w:r w:rsidRPr="00FD5F33">
        <w:rPr>
          <w:rFonts w:ascii="Abadi" w:hAnsi="Abadi"/>
          <w:b w:val="0"/>
          <w:bCs w:val="0"/>
          <w:sz w:val="21"/>
          <w:szCs w:val="21"/>
        </w:rPr>
        <w:t>la</w:t>
      </w:r>
      <w:r w:rsidRPr="00FD5F33">
        <w:rPr>
          <w:rFonts w:ascii="Abadi" w:hAnsi="Abadi"/>
          <w:b w:val="0"/>
          <w:bCs w:val="0"/>
          <w:spacing w:val="11"/>
          <w:sz w:val="21"/>
          <w:szCs w:val="21"/>
        </w:rPr>
        <w:t xml:space="preserve"> </w:t>
      </w:r>
      <w:r w:rsidRPr="00FD5F33">
        <w:rPr>
          <w:rFonts w:ascii="Abadi" w:hAnsi="Abadi"/>
          <w:b w:val="0"/>
          <w:bCs w:val="0"/>
          <w:sz w:val="21"/>
          <w:szCs w:val="21"/>
        </w:rPr>
        <w:t>Comisión de</w:t>
      </w:r>
      <w:r w:rsidRPr="00FD5F33">
        <w:rPr>
          <w:rFonts w:ascii="Abadi" w:hAnsi="Abadi"/>
          <w:b w:val="0"/>
          <w:bCs w:val="0"/>
          <w:spacing w:val="10"/>
          <w:sz w:val="21"/>
          <w:szCs w:val="21"/>
        </w:rPr>
        <w:t xml:space="preserve"> </w:t>
      </w:r>
      <w:r w:rsidRPr="00FD5F33">
        <w:rPr>
          <w:rFonts w:ascii="Abadi" w:hAnsi="Abadi"/>
          <w:b w:val="0"/>
          <w:bCs w:val="0"/>
          <w:sz w:val="21"/>
          <w:szCs w:val="21"/>
        </w:rPr>
        <w:t>Hacienda</w:t>
      </w:r>
      <w:r w:rsidRPr="00FD5F33">
        <w:rPr>
          <w:rFonts w:ascii="Abadi" w:hAnsi="Abadi"/>
          <w:b w:val="0"/>
          <w:bCs w:val="0"/>
          <w:spacing w:val="10"/>
          <w:sz w:val="21"/>
          <w:szCs w:val="21"/>
        </w:rPr>
        <w:t xml:space="preserve"> </w:t>
      </w:r>
      <w:r w:rsidRPr="00FD5F33">
        <w:rPr>
          <w:rFonts w:ascii="Abadi" w:hAnsi="Abadi"/>
          <w:b w:val="0"/>
          <w:bCs w:val="0"/>
          <w:sz w:val="21"/>
          <w:szCs w:val="21"/>
        </w:rPr>
        <w:t>y</w:t>
      </w:r>
      <w:r w:rsidRPr="00FD5F33">
        <w:rPr>
          <w:rFonts w:ascii="Abadi" w:hAnsi="Abadi"/>
          <w:b w:val="0"/>
          <w:bCs w:val="0"/>
          <w:spacing w:val="10"/>
          <w:sz w:val="21"/>
          <w:szCs w:val="21"/>
        </w:rPr>
        <w:t xml:space="preserve"> </w:t>
      </w:r>
      <w:r w:rsidRPr="00FD5F33">
        <w:rPr>
          <w:rFonts w:ascii="Abadi" w:hAnsi="Abadi"/>
          <w:b w:val="0"/>
          <w:bCs w:val="0"/>
          <w:sz w:val="21"/>
          <w:szCs w:val="21"/>
        </w:rPr>
        <w:t>Fiscalización</w:t>
      </w:r>
      <w:r w:rsidRPr="00FD5F33">
        <w:rPr>
          <w:rFonts w:ascii="Abadi" w:hAnsi="Abadi"/>
          <w:b w:val="0"/>
          <w:bCs w:val="0"/>
          <w:spacing w:val="10"/>
          <w:sz w:val="21"/>
          <w:szCs w:val="21"/>
        </w:rPr>
        <w:t xml:space="preserve"> </w:t>
      </w:r>
      <w:r w:rsidRPr="00FD5F33">
        <w:rPr>
          <w:rFonts w:ascii="Abadi" w:hAnsi="Abadi"/>
          <w:b w:val="0"/>
          <w:bCs w:val="0"/>
          <w:sz w:val="21"/>
          <w:szCs w:val="21"/>
        </w:rPr>
        <w:t>relativo</w:t>
      </w:r>
      <w:r w:rsidRPr="00FD5F33">
        <w:rPr>
          <w:rFonts w:ascii="Abadi" w:hAnsi="Abadi"/>
          <w:b w:val="0"/>
          <w:bCs w:val="0"/>
          <w:spacing w:val="10"/>
          <w:sz w:val="21"/>
          <w:szCs w:val="21"/>
        </w:rPr>
        <w:t xml:space="preserve"> </w:t>
      </w:r>
      <w:r w:rsidRPr="00FD5F33">
        <w:rPr>
          <w:rFonts w:ascii="Abadi" w:hAnsi="Abadi"/>
          <w:b w:val="0"/>
          <w:bCs w:val="0"/>
          <w:sz w:val="21"/>
          <w:szCs w:val="21"/>
        </w:rPr>
        <w:t>al</w:t>
      </w:r>
      <w:r w:rsidRPr="00FD5F33">
        <w:rPr>
          <w:rFonts w:ascii="Abadi" w:hAnsi="Abadi"/>
          <w:b w:val="0"/>
          <w:bCs w:val="0"/>
          <w:spacing w:val="9"/>
          <w:sz w:val="21"/>
          <w:szCs w:val="21"/>
        </w:rPr>
        <w:t xml:space="preserve"> </w:t>
      </w:r>
      <w:r w:rsidRPr="00FD5F33">
        <w:rPr>
          <w:rFonts w:ascii="Abadi" w:hAnsi="Abadi"/>
          <w:b w:val="0"/>
          <w:bCs w:val="0"/>
          <w:sz w:val="21"/>
          <w:szCs w:val="21"/>
        </w:rPr>
        <w:t>informe</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resultados</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revisión practicada</w:t>
      </w:r>
      <w:r w:rsidRPr="00FD5F33">
        <w:rPr>
          <w:rFonts w:ascii="Abadi" w:hAnsi="Abadi"/>
          <w:b w:val="0"/>
          <w:bCs w:val="0"/>
          <w:spacing w:val="10"/>
          <w:sz w:val="21"/>
          <w:szCs w:val="21"/>
        </w:rPr>
        <w:t xml:space="preserve"> </w:t>
      </w:r>
      <w:r w:rsidRPr="00FD5F33">
        <w:rPr>
          <w:rFonts w:ascii="Abadi" w:hAnsi="Abadi"/>
          <w:b w:val="0"/>
          <w:bCs w:val="0"/>
          <w:sz w:val="21"/>
          <w:szCs w:val="21"/>
        </w:rPr>
        <w:t>por</w:t>
      </w:r>
      <w:r w:rsidRPr="00FD5F33">
        <w:rPr>
          <w:rFonts w:ascii="Abadi" w:hAnsi="Abadi"/>
          <w:b w:val="0"/>
          <w:bCs w:val="0"/>
          <w:spacing w:val="9"/>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Auditoría</w:t>
      </w:r>
      <w:r w:rsidRPr="00FD5F33">
        <w:rPr>
          <w:rFonts w:ascii="Abadi" w:hAnsi="Abadi"/>
          <w:b w:val="0"/>
          <w:bCs w:val="0"/>
          <w:spacing w:val="10"/>
          <w:sz w:val="21"/>
          <w:szCs w:val="21"/>
        </w:rPr>
        <w:t xml:space="preserve"> </w:t>
      </w:r>
      <w:r w:rsidRPr="00FD5F33">
        <w:rPr>
          <w:rFonts w:ascii="Abadi" w:hAnsi="Abadi"/>
          <w:b w:val="0"/>
          <w:bCs w:val="0"/>
          <w:sz w:val="21"/>
          <w:szCs w:val="21"/>
        </w:rPr>
        <w:t>Superior</w:t>
      </w:r>
      <w:r w:rsidRPr="00FD5F33">
        <w:rPr>
          <w:rFonts w:ascii="Abadi" w:hAnsi="Abadi"/>
          <w:b w:val="0"/>
          <w:bCs w:val="0"/>
          <w:spacing w:val="9"/>
          <w:sz w:val="21"/>
          <w:szCs w:val="21"/>
        </w:rPr>
        <w:t xml:space="preserve"> </w:t>
      </w:r>
      <w:r w:rsidRPr="00FD5F33">
        <w:rPr>
          <w:rFonts w:ascii="Abadi" w:hAnsi="Abadi"/>
          <w:b w:val="0"/>
          <w:bCs w:val="0"/>
          <w:sz w:val="21"/>
          <w:szCs w:val="21"/>
        </w:rPr>
        <w:t>del</w:t>
      </w:r>
      <w:r w:rsidRPr="00FD5F33">
        <w:rPr>
          <w:rFonts w:ascii="Abadi" w:hAnsi="Abadi"/>
          <w:b w:val="0"/>
          <w:bCs w:val="0"/>
          <w:spacing w:val="9"/>
          <w:sz w:val="21"/>
          <w:szCs w:val="21"/>
        </w:rPr>
        <w:t xml:space="preserve"> </w:t>
      </w:r>
      <w:r w:rsidRPr="00FD5F33">
        <w:rPr>
          <w:rFonts w:ascii="Abadi" w:hAnsi="Abadi"/>
          <w:b w:val="0"/>
          <w:bCs w:val="0"/>
          <w:sz w:val="21"/>
          <w:szCs w:val="21"/>
        </w:rPr>
        <w:t>Estado</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Guanajuato,</w:t>
      </w:r>
      <w:r w:rsidRPr="00FD5F33">
        <w:rPr>
          <w:rFonts w:ascii="Abadi" w:hAnsi="Abadi"/>
          <w:b w:val="0"/>
          <w:bCs w:val="0"/>
          <w:spacing w:val="9"/>
          <w:sz w:val="21"/>
          <w:szCs w:val="21"/>
        </w:rPr>
        <w:t xml:space="preserve"> </w:t>
      </w:r>
      <w:r w:rsidRPr="00FD5F33">
        <w:rPr>
          <w:rFonts w:ascii="Abadi" w:hAnsi="Abadi"/>
          <w:b w:val="0"/>
          <w:bCs w:val="0"/>
          <w:sz w:val="21"/>
          <w:szCs w:val="21"/>
        </w:rPr>
        <w:t>a</w:t>
      </w:r>
      <w:r w:rsidRPr="00FD5F33">
        <w:rPr>
          <w:rFonts w:ascii="Abadi" w:hAnsi="Abadi"/>
          <w:b w:val="0"/>
          <w:bCs w:val="0"/>
          <w:spacing w:val="10"/>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cuenta pública</w:t>
      </w:r>
      <w:r w:rsidRPr="00FD5F33">
        <w:rPr>
          <w:rFonts w:ascii="Abadi" w:hAnsi="Abadi"/>
          <w:b w:val="0"/>
          <w:bCs w:val="0"/>
          <w:spacing w:val="24"/>
          <w:sz w:val="21"/>
          <w:szCs w:val="21"/>
        </w:rPr>
        <w:t xml:space="preserve"> </w:t>
      </w:r>
      <w:r w:rsidRPr="00FD5F33">
        <w:rPr>
          <w:rFonts w:ascii="Abadi" w:hAnsi="Abadi"/>
          <w:b w:val="0"/>
          <w:bCs w:val="0"/>
          <w:sz w:val="21"/>
          <w:szCs w:val="21"/>
        </w:rPr>
        <w:t>municipal</w:t>
      </w:r>
      <w:r w:rsidRPr="00FD5F33">
        <w:rPr>
          <w:rFonts w:ascii="Abadi" w:hAnsi="Abadi"/>
          <w:b w:val="0"/>
          <w:bCs w:val="0"/>
          <w:spacing w:val="24"/>
          <w:sz w:val="21"/>
          <w:szCs w:val="21"/>
        </w:rPr>
        <w:t xml:space="preserve"> </w:t>
      </w:r>
      <w:r w:rsidRPr="00FD5F33">
        <w:rPr>
          <w:rFonts w:ascii="Abadi" w:hAnsi="Abadi"/>
          <w:b w:val="0"/>
          <w:bCs w:val="0"/>
          <w:sz w:val="21"/>
          <w:szCs w:val="21"/>
        </w:rPr>
        <w:t>de</w:t>
      </w:r>
      <w:r w:rsidRPr="00FD5F33">
        <w:rPr>
          <w:rFonts w:ascii="Abadi" w:hAnsi="Abadi"/>
          <w:b w:val="0"/>
          <w:bCs w:val="0"/>
          <w:spacing w:val="24"/>
          <w:sz w:val="21"/>
          <w:szCs w:val="21"/>
        </w:rPr>
        <w:t xml:space="preserve"> </w:t>
      </w:r>
      <w:r w:rsidRPr="00FD5F33">
        <w:rPr>
          <w:rFonts w:ascii="Abadi" w:hAnsi="Abadi"/>
          <w:b w:val="0"/>
          <w:bCs w:val="0"/>
          <w:sz w:val="21"/>
          <w:szCs w:val="21"/>
        </w:rPr>
        <w:t>Villagrán,</w:t>
      </w:r>
      <w:r w:rsidRPr="00FD5F33">
        <w:rPr>
          <w:rFonts w:ascii="Abadi" w:hAnsi="Abadi"/>
          <w:b w:val="0"/>
          <w:bCs w:val="0"/>
          <w:spacing w:val="24"/>
          <w:sz w:val="21"/>
          <w:szCs w:val="21"/>
        </w:rPr>
        <w:t xml:space="preserve"> </w:t>
      </w:r>
      <w:r w:rsidRPr="00FD5F33">
        <w:rPr>
          <w:rFonts w:ascii="Abadi" w:hAnsi="Abadi"/>
          <w:b w:val="0"/>
          <w:bCs w:val="0"/>
          <w:sz w:val="21"/>
          <w:szCs w:val="21"/>
        </w:rPr>
        <w:t>Gto.,</w:t>
      </w:r>
      <w:r w:rsidRPr="00FD5F33">
        <w:rPr>
          <w:rFonts w:ascii="Abadi" w:hAnsi="Abadi"/>
          <w:b w:val="0"/>
          <w:bCs w:val="0"/>
          <w:spacing w:val="24"/>
          <w:sz w:val="21"/>
          <w:szCs w:val="21"/>
        </w:rPr>
        <w:t xml:space="preserve"> </w:t>
      </w:r>
      <w:r w:rsidRPr="00FD5F33">
        <w:rPr>
          <w:rFonts w:ascii="Abadi" w:hAnsi="Abadi"/>
          <w:b w:val="0"/>
          <w:bCs w:val="0"/>
          <w:sz w:val="21"/>
          <w:szCs w:val="21"/>
        </w:rPr>
        <w:t>correspondiente</w:t>
      </w:r>
      <w:r w:rsidRPr="00FD5F33">
        <w:rPr>
          <w:rFonts w:ascii="Abadi" w:hAnsi="Abadi"/>
          <w:b w:val="0"/>
          <w:bCs w:val="0"/>
          <w:spacing w:val="24"/>
          <w:sz w:val="21"/>
          <w:szCs w:val="21"/>
        </w:rPr>
        <w:t xml:space="preserve"> </w:t>
      </w:r>
      <w:r w:rsidRPr="00FD5F33">
        <w:rPr>
          <w:rFonts w:ascii="Abadi" w:hAnsi="Abadi"/>
          <w:b w:val="0"/>
          <w:bCs w:val="0"/>
          <w:sz w:val="21"/>
          <w:szCs w:val="21"/>
        </w:rPr>
        <w:t>al</w:t>
      </w:r>
      <w:r w:rsidRPr="00FD5F33">
        <w:rPr>
          <w:rFonts w:ascii="Abadi" w:hAnsi="Abadi"/>
          <w:b w:val="0"/>
          <w:bCs w:val="0"/>
          <w:spacing w:val="24"/>
          <w:sz w:val="21"/>
          <w:szCs w:val="21"/>
        </w:rPr>
        <w:t xml:space="preserve"> </w:t>
      </w:r>
      <w:r w:rsidRPr="00FD5F33">
        <w:rPr>
          <w:rFonts w:ascii="Abadi" w:hAnsi="Abadi"/>
          <w:b w:val="0"/>
          <w:bCs w:val="0"/>
          <w:sz w:val="21"/>
          <w:szCs w:val="21"/>
        </w:rPr>
        <w:t>ejercicio</w:t>
      </w:r>
      <w:r w:rsidRPr="00FD5F33">
        <w:rPr>
          <w:rFonts w:ascii="Abadi" w:hAnsi="Abadi"/>
          <w:b w:val="0"/>
          <w:bCs w:val="0"/>
          <w:spacing w:val="24"/>
          <w:sz w:val="21"/>
          <w:szCs w:val="21"/>
        </w:rPr>
        <w:t xml:space="preserve"> </w:t>
      </w:r>
      <w:r w:rsidRPr="00FD5F33">
        <w:rPr>
          <w:rFonts w:ascii="Abadi" w:hAnsi="Abadi"/>
          <w:b w:val="0"/>
          <w:bCs w:val="0"/>
          <w:sz w:val="21"/>
          <w:szCs w:val="21"/>
        </w:rPr>
        <w:t>fiscal</w:t>
      </w:r>
      <w:r w:rsidRPr="00FD5F33">
        <w:rPr>
          <w:rFonts w:ascii="Abadi" w:hAnsi="Abadi"/>
          <w:b w:val="0"/>
          <w:bCs w:val="0"/>
          <w:spacing w:val="24"/>
          <w:sz w:val="21"/>
          <w:szCs w:val="21"/>
        </w:rPr>
        <w:t xml:space="preserve"> </w:t>
      </w:r>
      <w:r w:rsidRPr="00FD5F33">
        <w:rPr>
          <w:rFonts w:ascii="Abadi" w:hAnsi="Abadi"/>
          <w:b w:val="0"/>
          <w:bCs w:val="0"/>
          <w:sz w:val="21"/>
          <w:szCs w:val="21"/>
        </w:rPr>
        <w:t>del año 2020.</w:t>
      </w:r>
      <w:r>
        <w:rPr>
          <w:rFonts w:ascii="Abadi" w:hAnsi="Abadi"/>
          <w:sz w:val="21"/>
          <w:szCs w:val="21"/>
        </w:rPr>
        <w:t xml:space="preserve"> </w:t>
      </w:r>
      <w:r w:rsidRPr="009A3D12">
        <w:rPr>
          <w:rFonts w:ascii="Abadi" w:hAnsi="Abadi"/>
          <w:sz w:val="21"/>
          <w:szCs w:val="21"/>
        </w:rPr>
        <w:t>LXIII.-</w:t>
      </w:r>
      <w:r>
        <w:rPr>
          <w:rFonts w:ascii="Abadi" w:hAnsi="Abadi"/>
          <w:sz w:val="21"/>
          <w:szCs w:val="21"/>
        </w:rPr>
        <w:t xml:space="preserve"> </w:t>
      </w:r>
      <w:r w:rsidRPr="00FD5F33">
        <w:rPr>
          <w:rFonts w:ascii="Abadi" w:hAnsi="Abadi"/>
          <w:b w:val="0"/>
          <w:bCs w:val="0"/>
          <w:sz w:val="21"/>
          <w:szCs w:val="21"/>
        </w:rPr>
        <w:t>Discusión</w:t>
      </w:r>
      <w:r w:rsidRPr="00FD5F33">
        <w:rPr>
          <w:rFonts w:ascii="Abadi" w:hAnsi="Abadi"/>
          <w:b w:val="0"/>
          <w:bCs w:val="0"/>
          <w:spacing w:val="11"/>
          <w:sz w:val="21"/>
          <w:szCs w:val="21"/>
        </w:rPr>
        <w:t xml:space="preserve"> </w:t>
      </w:r>
      <w:r w:rsidRPr="00FD5F33">
        <w:rPr>
          <w:rFonts w:ascii="Abadi" w:hAnsi="Abadi"/>
          <w:b w:val="0"/>
          <w:bCs w:val="0"/>
          <w:sz w:val="21"/>
          <w:szCs w:val="21"/>
        </w:rPr>
        <w:t>y,</w:t>
      </w:r>
      <w:r w:rsidRPr="00FD5F33">
        <w:rPr>
          <w:rFonts w:ascii="Abadi" w:hAnsi="Abadi"/>
          <w:b w:val="0"/>
          <w:bCs w:val="0"/>
          <w:spacing w:val="11"/>
          <w:sz w:val="21"/>
          <w:szCs w:val="21"/>
        </w:rPr>
        <w:t xml:space="preserve"> </w:t>
      </w:r>
      <w:r w:rsidRPr="00FD5F33">
        <w:rPr>
          <w:rFonts w:ascii="Abadi" w:hAnsi="Abadi"/>
          <w:b w:val="0"/>
          <w:bCs w:val="0"/>
          <w:sz w:val="21"/>
          <w:szCs w:val="21"/>
        </w:rPr>
        <w:t>en</w:t>
      </w:r>
      <w:r w:rsidRPr="00FD5F33">
        <w:rPr>
          <w:rFonts w:ascii="Abadi" w:hAnsi="Abadi"/>
          <w:b w:val="0"/>
          <w:bCs w:val="0"/>
          <w:spacing w:val="11"/>
          <w:sz w:val="21"/>
          <w:szCs w:val="21"/>
        </w:rPr>
        <w:t xml:space="preserve"> </w:t>
      </w:r>
      <w:r w:rsidRPr="00FD5F33">
        <w:rPr>
          <w:rFonts w:ascii="Abadi" w:hAnsi="Abadi"/>
          <w:b w:val="0"/>
          <w:bCs w:val="0"/>
          <w:sz w:val="21"/>
          <w:szCs w:val="21"/>
        </w:rPr>
        <w:t>su</w:t>
      </w:r>
      <w:r w:rsidRPr="00FD5F33">
        <w:rPr>
          <w:rFonts w:ascii="Abadi" w:hAnsi="Abadi"/>
          <w:b w:val="0"/>
          <w:bCs w:val="0"/>
          <w:spacing w:val="11"/>
          <w:sz w:val="21"/>
          <w:szCs w:val="21"/>
        </w:rPr>
        <w:t xml:space="preserve"> </w:t>
      </w:r>
      <w:r w:rsidRPr="00FD5F33">
        <w:rPr>
          <w:rFonts w:ascii="Abadi" w:hAnsi="Abadi"/>
          <w:b w:val="0"/>
          <w:bCs w:val="0"/>
          <w:sz w:val="21"/>
          <w:szCs w:val="21"/>
        </w:rPr>
        <w:t>caso,</w:t>
      </w:r>
      <w:r w:rsidRPr="00FD5F33">
        <w:rPr>
          <w:rFonts w:ascii="Abadi" w:hAnsi="Abadi"/>
          <w:b w:val="0"/>
          <w:bCs w:val="0"/>
          <w:spacing w:val="11"/>
          <w:sz w:val="21"/>
          <w:szCs w:val="21"/>
        </w:rPr>
        <w:t xml:space="preserve"> </w:t>
      </w:r>
      <w:r w:rsidRPr="00FD5F33">
        <w:rPr>
          <w:rFonts w:ascii="Abadi" w:hAnsi="Abadi"/>
          <w:b w:val="0"/>
          <w:bCs w:val="0"/>
          <w:sz w:val="21"/>
          <w:szCs w:val="21"/>
        </w:rPr>
        <w:t>aprobación</w:t>
      </w:r>
      <w:r w:rsidRPr="00FD5F33">
        <w:rPr>
          <w:rFonts w:ascii="Abadi" w:hAnsi="Abadi"/>
          <w:b w:val="0"/>
          <w:bCs w:val="0"/>
          <w:spacing w:val="11"/>
          <w:sz w:val="21"/>
          <w:szCs w:val="21"/>
        </w:rPr>
        <w:t xml:space="preserve"> </w:t>
      </w:r>
      <w:r w:rsidRPr="00FD5F33">
        <w:rPr>
          <w:rFonts w:ascii="Abadi" w:hAnsi="Abadi"/>
          <w:b w:val="0"/>
          <w:bCs w:val="0"/>
          <w:sz w:val="21"/>
          <w:szCs w:val="21"/>
        </w:rPr>
        <w:t>del</w:t>
      </w:r>
      <w:r w:rsidRPr="00FD5F33">
        <w:rPr>
          <w:rFonts w:ascii="Abadi" w:hAnsi="Abadi"/>
          <w:b w:val="0"/>
          <w:bCs w:val="0"/>
          <w:spacing w:val="11"/>
          <w:sz w:val="21"/>
          <w:szCs w:val="21"/>
        </w:rPr>
        <w:t xml:space="preserve"> </w:t>
      </w:r>
      <w:r w:rsidRPr="00FD5F33">
        <w:rPr>
          <w:rFonts w:ascii="Abadi" w:hAnsi="Abadi"/>
          <w:b w:val="0"/>
          <w:bCs w:val="0"/>
          <w:sz w:val="21"/>
          <w:szCs w:val="21"/>
        </w:rPr>
        <w:t>dictamen</w:t>
      </w:r>
      <w:r w:rsidRPr="00FD5F33">
        <w:rPr>
          <w:rFonts w:ascii="Abadi" w:hAnsi="Abadi"/>
          <w:b w:val="0"/>
          <w:bCs w:val="0"/>
          <w:spacing w:val="11"/>
          <w:sz w:val="21"/>
          <w:szCs w:val="21"/>
        </w:rPr>
        <w:t xml:space="preserve"> </w:t>
      </w:r>
      <w:r w:rsidRPr="00FD5F33">
        <w:rPr>
          <w:rFonts w:ascii="Abadi" w:hAnsi="Abadi"/>
          <w:b w:val="0"/>
          <w:bCs w:val="0"/>
          <w:sz w:val="21"/>
          <w:szCs w:val="21"/>
        </w:rPr>
        <w:t>signado</w:t>
      </w:r>
      <w:r w:rsidRPr="00FD5F33">
        <w:rPr>
          <w:rFonts w:ascii="Abadi" w:hAnsi="Abadi"/>
          <w:b w:val="0"/>
          <w:bCs w:val="0"/>
          <w:spacing w:val="11"/>
          <w:sz w:val="21"/>
          <w:szCs w:val="21"/>
        </w:rPr>
        <w:t xml:space="preserve"> </w:t>
      </w:r>
      <w:r w:rsidRPr="00FD5F33">
        <w:rPr>
          <w:rFonts w:ascii="Abadi" w:hAnsi="Abadi"/>
          <w:b w:val="0"/>
          <w:bCs w:val="0"/>
          <w:sz w:val="21"/>
          <w:szCs w:val="21"/>
        </w:rPr>
        <w:t>por</w:t>
      </w:r>
      <w:r w:rsidRPr="00FD5F33">
        <w:rPr>
          <w:rFonts w:ascii="Abadi" w:hAnsi="Abadi"/>
          <w:b w:val="0"/>
          <w:bCs w:val="0"/>
          <w:spacing w:val="11"/>
          <w:sz w:val="21"/>
          <w:szCs w:val="21"/>
        </w:rPr>
        <w:t xml:space="preserve"> </w:t>
      </w:r>
      <w:r w:rsidRPr="00FD5F33">
        <w:rPr>
          <w:rFonts w:ascii="Abadi" w:hAnsi="Abadi"/>
          <w:b w:val="0"/>
          <w:bCs w:val="0"/>
          <w:sz w:val="21"/>
          <w:szCs w:val="21"/>
        </w:rPr>
        <w:t>la</w:t>
      </w:r>
      <w:r w:rsidRPr="00FD5F33">
        <w:rPr>
          <w:rFonts w:ascii="Abadi" w:hAnsi="Abadi"/>
          <w:b w:val="0"/>
          <w:bCs w:val="0"/>
          <w:spacing w:val="11"/>
          <w:sz w:val="21"/>
          <w:szCs w:val="21"/>
        </w:rPr>
        <w:t xml:space="preserve"> </w:t>
      </w:r>
      <w:r w:rsidRPr="00FD5F33">
        <w:rPr>
          <w:rFonts w:ascii="Abadi" w:hAnsi="Abadi"/>
          <w:b w:val="0"/>
          <w:bCs w:val="0"/>
          <w:sz w:val="21"/>
          <w:szCs w:val="21"/>
        </w:rPr>
        <w:t>Comisión de</w:t>
      </w:r>
      <w:r w:rsidRPr="00FD5F33">
        <w:rPr>
          <w:rFonts w:ascii="Abadi" w:hAnsi="Abadi"/>
          <w:b w:val="0"/>
          <w:bCs w:val="0"/>
          <w:spacing w:val="10"/>
          <w:sz w:val="21"/>
          <w:szCs w:val="21"/>
        </w:rPr>
        <w:t xml:space="preserve"> </w:t>
      </w:r>
      <w:r w:rsidRPr="00FD5F33">
        <w:rPr>
          <w:rFonts w:ascii="Abadi" w:hAnsi="Abadi"/>
          <w:b w:val="0"/>
          <w:bCs w:val="0"/>
          <w:sz w:val="21"/>
          <w:szCs w:val="21"/>
        </w:rPr>
        <w:t>Hacienda</w:t>
      </w:r>
      <w:r w:rsidRPr="00FD5F33">
        <w:rPr>
          <w:rFonts w:ascii="Abadi" w:hAnsi="Abadi"/>
          <w:b w:val="0"/>
          <w:bCs w:val="0"/>
          <w:spacing w:val="10"/>
          <w:sz w:val="21"/>
          <w:szCs w:val="21"/>
        </w:rPr>
        <w:t xml:space="preserve"> </w:t>
      </w:r>
      <w:r w:rsidRPr="00FD5F33">
        <w:rPr>
          <w:rFonts w:ascii="Abadi" w:hAnsi="Abadi"/>
          <w:b w:val="0"/>
          <w:bCs w:val="0"/>
          <w:sz w:val="21"/>
          <w:szCs w:val="21"/>
        </w:rPr>
        <w:t>y</w:t>
      </w:r>
      <w:r w:rsidRPr="00FD5F33">
        <w:rPr>
          <w:rFonts w:ascii="Abadi" w:hAnsi="Abadi"/>
          <w:b w:val="0"/>
          <w:bCs w:val="0"/>
          <w:spacing w:val="10"/>
          <w:sz w:val="21"/>
          <w:szCs w:val="21"/>
        </w:rPr>
        <w:t xml:space="preserve"> </w:t>
      </w:r>
      <w:r w:rsidRPr="00FD5F33">
        <w:rPr>
          <w:rFonts w:ascii="Abadi" w:hAnsi="Abadi"/>
          <w:b w:val="0"/>
          <w:bCs w:val="0"/>
          <w:sz w:val="21"/>
          <w:szCs w:val="21"/>
        </w:rPr>
        <w:t>Fiscalización</w:t>
      </w:r>
      <w:r w:rsidRPr="00FD5F33">
        <w:rPr>
          <w:rFonts w:ascii="Abadi" w:hAnsi="Abadi"/>
          <w:b w:val="0"/>
          <w:bCs w:val="0"/>
          <w:spacing w:val="10"/>
          <w:sz w:val="21"/>
          <w:szCs w:val="21"/>
        </w:rPr>
        <w:t xml:space="preserve"> </w:t>
      </w:r>
      <w:r w:rsidRPr="00FD5F33">
        <w:rPr>
          <w:rFonts w:ascii="Abadi" w:hAnsi="Abadi"/>
          <w:b w:val="0"/>
          <w:bCs w:val="0"/>
          <w:sz w:val="21"/>
          <w:szCs w:val="21"/>
        </w:rPr>
        <w:t>relativo</w:t>
      </w:r>
      <w:r w:rsidRPr="00FD5F33">
        <w:rPr>
          <w:rFonts w:ascii="Abadi" w:hAnsi="Abadi"/>
          <w:b w:val="0"/>
          <w:bCs w:val="0"/>
          <w:spacing w:val="10"/>
          <w:sz w:val="21"/>
          <w:szCs w:val="21"/>
        </w:rPr>
        <w:t xml:space="preserve"> </w:t>
      </w:r>
      <w:r w:rsidRPr="00FD5F33">
        <w:rPr>
          <w:rFonts w:ascii="Abadi" w:hAnsi="Abadi"/>
          <w:b w:val="0"/>
          <w:bCs w:val="0"/>
          <w:sz w:val="21"/>
          <w:szCs w:val="21"/>
        </w:rPr>
        <w:t>al</w:t>
      </w:r>
      <w:r w:rsidRPr="00FD5F33">
        <w:rPr>
          <w:rFonts w:ascii="Abadi" w:hAnsi="Abadi"/>
          <w:b w:val="0"/>
          <w:bCs w:val="0"/>
          <w:spacing w:val="9"/>
          <w:sz w:val="21"/>
          <w:szCs w:val="21"/>
        </w:rPr>
        <w:t xml:space="preserve"> </w:t>
      </w:r>
      <w:r w:rsidRPr="00FD5F33">
        <w:rPr>
          <w:rFonts w:ascii="Abadi" w:hAnsi="Abadi"/>
          <w:b w:val="0"/>
          <w:bCs w:val="0"/>
          <w:sz w:val="21"/>
          <w:szCs w:val="21"/>
        </w:rPr>
        <w:t>informe</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resultados</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revisión practicada</w:t>
      </w:r>
      <w:r w:rsidRPr="00FD5F33">
        <w:rPr>
          <w:rFonts w:ascii="Abadi" w:hAnsi="Abadi"/>
          <w:b w:val="0"/>
          <w:bCs w:val="0"/>
          <w:spacing w:val="10"/>
          <w:sz w:val="21"/>
          <w:szCs w:val="21"/>
        </w:rPr>
        <w:t xml:space="preserve"> </w:t>
      </w:r>
      <w:r w:rsidRPr="00FD5F33">
        <w:rPr>
          <w:rFonts w:ascii="Abadi" w:hAnsi="Abadi"/>
          <w:b w:val="0"/>
          <w:bCs w:val="0"/>
          <w:sz w:val="21"/>
          <w:szCs w:val="21"/>
        </w:rPr>
        <w:t>por</w:t>
      </w:r>
      <w:r w:rsidRPr="00FD5F33">
        <w:rPr>
          <w:rFonts w:ascii="Abadi" w:hAnsi="Abadi"/>
          <w:b w:val="0"/>
          <w:bCs w:val="0"/>
          <w:spacing w:val="9"/>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Auditoría</w:t>
      </w:r>
      <w:r w:rsidRPr="00FD5F33">
        <w:rPr>
          <w:rFonts w:ascii="Abadi" w:hAnsi="Abadi"/>
          <w:b w:val="0"/>
          <w:bCs w:val="0"/>
          <w:spacing w:val="10"/>
          <w:sz w:val="21"/>
          <w:szCs w:val="21"/>
        </w:rPr>
        <w:t xml:space="preserve"> </w:t>
      </w:r>
      <w:r w:rsidRPr="00FD5F33">
        <w:rPr>
          <w:rFonts w:ascii="Abadi" w:hAnsi="Abadi"/>
          <w:b w:val="0"/>
          <w:bCs w:val="0"/>
          <w:sz w:val="21"/>
          <w:szCs w:val="21"/>
        </w:rPr>
        <w:t>Superior</w:t>
      </w:r>
      <w:r w:rsidRPr="00FD5F33">
        <w:rPr>
          <w:rFonts w:ascii="Abadi" w:hAnsi="Abadi"/>
          <w:b w:val="0"/>
          <w:bCs w:val="0"/>
          <w:spacing w:val="9"/>
          <w:sz w:val="21"/>
          <w:szCs w:val="21"/>
        </w:rPr>
        <w:t xml:space="preserve"> </w:t>
      </w:r>
      <w:r w:rsidRPr="00FD5F33">
        <w:rPr>
          <w:rFonts w:ascii="Abadi" w:hAnsi="Abadi"/>
          <w:b w:val="0"/>
          <w:bCs w:val="0"/>
          <w:sz w:val="21"/>
          <w:szCs w:val="21"/>
        </w:rPr>
        <w:t>del</w:t>
      </w:r>
      <w:r w:rsidRPr="00FD5F33">
        <w:rPr>
          <w:rFonts w:ascii="Abadi" w:hAnsi="Abadi"/>
          <w:b w:val="0"/>
          <w:bCs w:val="0"/>
          <w:spacing w:val="9"/>
          <w:sz w:val="21"/>
          <w:szCs w:val="21"/>
        </w:rPr>
        <w:t xml:space="preserve"> </w:t>
      </w:r>
      <w:r w:rsidRPr="00FD5F33">
        <w:rPr>
          <w:rFonts w:ascii="Abadi" w:hAnsi="Abadi"/>
          <w:b w:val="0"/>
          <w:bCs w:val="0"/>
          <w:sz w:val="21"/>
          <w:szCs w:val="21"/>
        </w:rPr>
        <w:t>Estado</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Guanajuato,</w:t>
      </w:r>
      <w:r w:rsidRPr="00FD5F33">
        <w:rPr>
          <w:rFonts w:ascii="Abadi" w:hAnsi="Abadi"/>
          <w:b w:val="0"/>
          <w:bCs w:val="0"/>
          <w:spacing w:val="9"/>
          <w:sz w:val="21"/>
          <w:szCs w:val="21"/>
        </w:rPr>
        <w:t xml:space="preserve"> </w:t>
      </w:r>
      <w:r w:rsidRPr="00FD5F33">
        <w:rPr>
          <w:rFonts w:ascii="Abadi" w:hAnsi="Abadi"/>
          <w:b w:val="0"/>
          <w:bCs w:val="0"/>
          <w:sz w:val="21"/>
          <w:szCs w:val="21"/>
        </w:rPr>
        <w:t>a</w:t>
      </w:r>
      <w:r w:rsidRPr="00FD5F33">
        <w:rPr>
          <w:rFonts w:ascii="Abadi" w:hAnsi="Abadi"/>
          <w:b w:val="0"/>
          <w:bCs w:val="0"/>
          <w:spacing w:val="10"/>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cuenta pública</w:t>
      </w:r>
      <w:r w:rsidRPr="00FD5F33">
        <w:rPr>
          <w:rFonts w:ascii="Abadi" w:hAnsi="Abadi"/>
          <w:b w:val="0"/>
          <w:bCs w:val="0"/>
          <w:spacing w:val="-3"/>
          <w:sz w:val="21"/>
          <w:szCs w:val="21"/>
        </w:rPr>
        <w:t xml:space="preserve"> </w:t>
      </w:r>
      <w:r w:rsidRPr="00FD5F33">
        <w:rPr>
          <w:rFonts w:ascii="Abadi" w:hAnsi="Abadi"/>
          <w:b w:val="0"/>
          <w:bCs w:val="0"/>
          <w:sz w:val="21"/>
          <w:szCs w:val="21"/>
        </w:rPr>
        <w:t>municipal</w:t>
      </w:r>
      <w:r w:rsidRPr="00FD5F33">
        <w:rPr>
          <w:rFonts w:ascii="Abadi" w:hAnsi="Abadi"/>
          <w:b w:val="0"/>
          <w:bCs w:val="0"/>
          <w:spacing w:val="-2"/>
          <w:sz w:val="21"/>
          <w:szCs w:val="21"/>
        </w:rPr>
        <w:t xml:space="preserve"> </w:t>
      </w:r>
      <w:r w:rsidRPr="00FD5F33">
        <w:rPr>
          <w:rFonts w:ascii="Abadi" w:hAnsi="Abadi"/>
          <w:b w:val="0"/>
          <w:bCs w:val="0"/>
          <w:sz w:val="21"/>
          <w:szCs w:val="21"/>
        </w:rPr>
        <w:t>de</w:t>
      </w:r>
      <w:r w:rsidRPr="00FD5F33">
        <w:rPr>
          <w:rFonts w:ascii="Abadi" w:hAnsi="Abadi"/>
          <w:b w:val="0"/>
          <w:bCs w:val="0"/>
          <w:spacing w:val="-2"/>
          <w:sz w:val="21"/>
          <w:szCs w:val="21"/>
        </w:rPr>
        <w:t xml:space="preserve"> </w:t>
      </w:r>
      <w:r w:rsidRPr="00FD5F33">
        <w:rPr>
          <w:rFonts w:ascii="Abadi" w:hAnsi="Abadi"/>
          <w:b w:val="0"/>
          <w:bCs w:val="0"/>
          <w:sz w:val="21"/>
          <w:szCs w:val="21"/>
        </w:rPr>
        <w:t>Yuriria,</w:t>
      </w:r>
      <w:r w:rsidRPr="00FD5F33">
        <w:rPr>
          <w:rFonts w:ascii="Abadi" w:hAnsi="Abadi"/>
          <w:b w:val="0"/>
          <w:bCs w:val="0"/>
          <w:spacing w:val="-3"/>
          <w:sz w:val="21"/>
          <w:szCs w:val="21"/>
        </w:rPr>
        <w:t xml:space="preserve"> </w:t>
      </w:r>
      <w:r w:rsidRPr="00FD5F33">
        <w:rPr>
          <w:rFonts w:ascii="Abadi" w:hAnsi="Abadi"/>
          <w:b w:val="0"/>
          <w:bCs w:val="0"/>
          <w:sz w:val="21"/>
          <w:szCs w:val="21"/>
        </w:rPr>
        <w:t>Gto.,</w:t>
      </w:r>
      <w:r w:rsidRPr="00FD5F33">
        <w:rPr>
          <w:rFonts w:ascii="Abadi" w:hAnsi="Abadi"/>
          <w:b w:val="0"/>
          <w:bCs w:val="0"/>
          <w:spacing w:val="-2"/>
          <w:sz w:val="21"/>
          <w:szCs w:val="21"/>
        </w:rPr>
        <w:t xml:space="preserve"> </w:t>
      </w:r>
      <w:r w:rsidRPr="00FD5F33">
        <w:rPr>
          <w:rFonts w:ascii="Abadi" w:hAnsi="Abadi"/>
          <w:b w:val="0"/>
          <w:bCs w:val="0"/>
          <w:sz w:val="21"/>
          <w:szCs w:val="21"/>
        </w:rPr>
        <w:t>correspondiente</w:t>
      </w:r>
      <w:r w:rsidRPr="00FD5F33">
        <w:rPr>
          <w:rFonts w:ascii="Abadi" w:hAnsi="Abadi"/>
          <w:b w:val="0"/>
          <w:bCs w:val="0"/>
          <w:spacing w:val="-3"/>
          <w:sz w:val="21"/>
          <w:szCs w:val="21"/>
        </w:rPr>
        <w:t xml:space="preserve"> </w:t>
      </w:r>
      <w:r w:rsidRPr="00FD5F33">
        <w:rPr>
          <w:rFonts w:ascii="Abadi" w:hAnsi="Abadi"/>
          <w:b w:val="0"/>
          <w:bCs w:val="0"/>
          <w:sz w:val="21"/>
          <w:szCs w:val="21"/>
        </w:rPr>
        <w:t>al</w:t>
      </w:r>
      <w:r w:rsidRPr="00FD5F33">
        <w:rPr>
          <w:rFonts w:ascii="Abadi" w:hAnsi="Abadi"/>
          <w:b w:val="0"/>
          <w:bCs w:val="0"/>
          <w:spacing w:val="-3"/>
          <w:sz w:val="21"/>
          <w:szCs w:val="21"/>
        </w:rPr>
        <w:t xml:space="preserve"> </w:t>
      </w:r>
      <w:r w:rsidRPr="00FD5F33">
        <w:rPr>
          <w:rFonts w:ascii="Abadi" w:hAnsi="Abadi"/>
          <w:b w:val="0"/>
          <w:bCs w:val="0"/>
          <w:sz w:val="21"/>
          <w:szCs w:val="21"/>
        </w:rPr>
        <w:t>ejercicio</w:t>
      </w:r>
      <w:r w:rsidRPr="00FD5F33">
        <w:rPr>
          <w:rFonts w:ascii="Abadi" w:hAnsi="Abadi"/>
          <w:b w:val="0"/>
          <w:bCs w:val="0"/>
          <w:spacing w:val="-3"/>
          <w:sz w:val="21"/>
          <w:szCs w:val="21"/>
        </w:rPr>
        <w:t xml:space="preserve"> </w:t>
      </w:r>
      <w:r w:rsidRPr="00FD5F33">
        <w:rPr>
          <w:rFonts w:ascii="Abadi" w:hAnsi="Abadi"/>
          <w:b w:val="0"/>
          <w:bCs w:val="0"/>
          <w:sz w:val="21"/>
          <w:szCs w:val="21"/>
        </w:rPr>
        <w:t>fiscal</w:t>
      </w:r>
      <w:r w:rsidRPr="00FD5F33">
        <w:rPr>
          <w:rFonts w:ascii="Abadi" w:hAnsi="Abadi"/>
          <w:b w:val="0"/>
          <w:bCs w:val="0"/>
          <w:spacing w:val="-3"/>
          <w:sz w:val="21"/>
          <w:szCs w:val="21"/>
        </w:rPr>
        <w:t xml:space="preserve"> </w:t>
      </w:r>
      <w:r w:rsidRPr="00FD5F33">
        <w:rPr>
          <w:rFonts w:ascii="Abadi" w:hAnsi="Abadi"/>
          <w:b w:val="0"/>
          <w:bCs w:val="0"/>
          <w:sz w:val="21"/>
          <w:szCs w:val="21"/>
        </w:rPr>
        <w:t>del</w:t>
      </w:r>
      <w:r w:rsidRPr="00FD5F33">
        <w:rPr>
          <w:rFonts w:ascii="Abadi" w:hAnsi="Abadi"/>
          <w:b w:val="0"/>
          <w:bCs w:val="0"/>
          <w:spacing w:val="-3"/>
          <w:sz w:val="21"/>
          <w:szCs w:val="21"/>
        </w:rPr>
        <w:t xml:space="preserve"> </w:t>
      </w:r>
      <w:r w:rsidRPr="00FD5F33">
        <w:rPr>
          <w:rFonts w:ascii="Abadi" w:hAnsi="Abadi"/>
          <w:b w:val="0"/>
          <w:bCs w:val="0"/>
          <w:sz w:val="21"/>
          <w:szCs w:val="21"/>
        </w:rPr>
        <w:t>año 2020.</w:t>
      </w:r>
      <w:r>
        <w:rPr>
          <w:rFonts w:ascii="Abadi" w:hAnsi="Abadi"/>
          <w:sz w:val="21"/>
          <w:szCs w:val="21"/>
        </w:rPr>
        <w:t xml:space="preserve">  </w:t>
      </w:r>
      <w:r w:rsidRPr="009A3D12">
        <w:rPr>
          <w:rFonts w:ascii="Abadi" w:hAnsi="Abadi"/>
          <w:sz w:val="21"/>
          <w:szCs w:val="21"/>
        </w:rPr>
        <w:t>LXIV.-</w:t>
      </w:r>
      <w:r>
        <w:rPr>
          <w:rFonts w:ascii="Abadi" w:hAnsi="Abadi"/>
          <w:sz w:val="21"/>
          <w:szCs w:val="21"/>
        </w:rPr>
        <w:t xml:space="preserve"> </w:t>
      </w:r>
      <w:r w:rsidRPr="00FD5F33">
        <w:rPr>
          <w:rFonts w:ascii="Abadi" w:hAnsi="Abadi"/>
          <w:b w:val="0"/>
          <w:bCs w:val="0"/>
          <w:sz w:val="21"/>
          <w:szCs w:val="21"/>
        </w:rPr>
        <w:t>Discusión</w:t>
      </w:r>
      <w:r w:rsidRPr="00FD5F33">
        <w:rPr>
          <w:rFonts w:ascii="Abadi" w:hAnsi="Abadi"/>
          <w:b w:val="0"/>
          <w:bCs w:val="0"/>
          <w:spacing w:val="11"/>
          <w:sz w:val="21"/>
          <w:szCs w:val="21"/>
        </w:rPr>
        <w:t xml:space="preserve"> </w:t>
      </w:r>
      <w:r w:rsidRPr="00FD5F33">
        <w:rPr>
          <w:rFonts w:ascii="Abadi" w:hAnsi="Abadi"/>
          <w:b w:val="0"/>
          <w:bCs w:val="0"/>
          <w:sz w:val="21"/>
          <w:szCs w:val="21"/>
        </w:rPr>
        <w:t>y,</w:t>
      </w:r>
      <w:r w:rsidRPr="00FD5F33">
        <w:rPr>
          <w:rFonts w:ascii="Abadi" w:hAnsi="Abadi"/>
          <w:b w:val="0"/>
          <w:bCs w:val="0"/>
          <w:spacing w:val="11"/>
          <w:sz w:val="21"/>
          <w:szCs w:val="21"/>
        </w:rPr>
        <w:t xml:space="preserve"> </w:t>
      </w:r>
      <w:r w:rsidRPr="00FD5F33">
        <w:rPr>
          <w:rFonts w:ascii="Abadi" w:hAnsi="Abadi"/>
          <w:b w:val="0"/>
          <w:bCs w:val="0"/>
          <w:sz w:val="21"/>
          <w:szCs w:val="21"/>
        </w:rPr>
        <w:t>en</w:t>
      </w:r>
      <w:r w:rsidRPr="00FD5F33">
        <w:rPr>
          <w:rFonts w:ascii="Abadi" w:hAnsi="Abadi"/>
          <w:b w:val="0"/>
          <w:bCs w:val="0"/>
          <w:spacing w:val="11"/>
          <w:sz w:val="21"/>
          <w:szCs w:val="21"/>
        </w:rPr>
        <w:t xml:space="preserve"> </w:t>
      </w:r>
      <w:r w:rsidRPr="00FD5F33">
        <w:rPr>
          <w:rFonts w:ascii="Abadi" w:hAnsi="Abadi"/>
          <w:b w:val="0"/>
          <w:bCs w:val="0"/>
          <w:sz w:val="21"/>
          <w:szCs w:val="21"/>
        </w:rPr>
        <w:t>su</w:t>
      </w:r>
      <w:r w:rsidRPr="00FD5F33">
        <w:rPr>
          <w:rFonts w:ascii="Abadi" w:hAnsi="Abadi"/>
          <w:b w:val="0"/>
          <w:bCs w:val="0"/>
          <w:spacing w:val="11"/>
          <w:sz w:val="21"/>
          <w:szCs w:val="21"/>
        </w:rPr>
        <w:t xml:space="preserve"> </w:t>
      </w:r>
      <w:r w:rsidRPr="00FD5F33">
        <w:rPr>
          <w:rFonts w:ascii="Abadi" w:hAnsi="Abadi"/>
          <w:b w:val="0"/>
          <w:bCs w:val="0"/>
          <w:sz w:val="21"/>
          <w:szCs w:val="21"/>
        </w:rPr>
        <w:t>caso,</w:t>
      </w:r>
      <w:r w:rsidRPr="00FD5F33">
        <w:rPr>
          <w:rFonts w:ascii="Abadi" w:hAnsi="Abadi"/>
          <w:b w:val="0"/>
          <w:bCs w:val="0"/>
          <w:spacing w:val="10"/>
          <w:sz w:val="21"/>
          <w:szCs w:val="21"/>
        </w:rPr>
        <w:t xml:space="preserve"> </w:t>
      </w:r>
      <w:r w:rsidRPr="00FD5F33">
        <w:rPr>
          <w:rFonts w:ascii="Abadi" w:hAnsi="Abadi"/>
          <w:b w:val="0"/>
          <w:bCs w:val="0"/>
          <w:sz w:val="21"/>
          <w:szCs w:val="21"/>
        </w:rPr>
        <w:t>aprobación</w:t>
      </w:r>
      <w:r w:rsidRPr="00FD5F33">
        <w:rPr>
          <w:rFonts w:ascii="Abadi" w:hAnsi="Abadi"/>
          <w:b w:val="0"/>
          <w:bCs w:val="0"/>
          <w:spacing w:val="11"/>
          <w:sz w:val="21"/>
          <w:szCs w:val="21"/>
        </w:rPr>
        <w:t xml:space="preserve"> </w:t>
      </w:r>
      <w:r w:rsidRPr="00FD5F33">
        <w:rPr>
          <w:rFonts w:ascii="Abadi" w:hAnsi="Abadi"/>
          <w:b w:val="0"/>
          <w:bCs w:val="0"/>
          <w:sz w:val="21"/>
          <w:szCs w:val="21"/>
        </w:rPr>
        <w:t>del</w:t>
      </w:r>
      <w:r w:rsidRPr="00FD5F33">
        <w:rPr>
          <w:rFonts w:ascii="Abadi" w:hAnsi="Abadi"/>
          <w:b w:val="0"/>
          <w:bCs w:val="0"/>
          <w:spacing w:val="11"/>
          <w:sz w:val="21"/>
          <w:szCs w:val="21"/>
        </w:rPr>
        <w:t xml:space="preserve"> </w:t>
      </w:r>
      <w:r w:rsidRPr="00FD5F33">
        <w:rPr>
          <w:rFonts w:ascii="Abadi" w:hAnsi="Abadi"/>
          <w:b w:val="0"/>
          <w:bCs w:val="0"/>
          <w:sz w:val="21"/>
          <w:szCs w:val="21"/>
        </w:rPr>
        <w:t>dictamen</w:t>
      </w:r>
      <w:r w:rsidRPr="00FD5F33">
        <w:rPr>
          <w:rFonts w:ascii="Abadi" w:hAnsi="Abadi"/>
          <w:b w:val="0"/>
          <w:bCs w:val="0"/>
          <w:spacing w:val="11"/>
          <w:sz w:val="21"/>
          <w:szCs w:val="21"/>
        </w:rPr>
        <w:t xml:space="preserve"> </w:t>
      </w:r>
      <w:r w:rsidRPr="00FD5F33">
        <w:rPr>
          <w:rFonts w:ascii="Abadi" w:hAnsi="Abadi"/>
          <w:b w:val="0"/>
          <w:bCs w:val="0"/>
          <w:sz w:val="21"/>
          <w:szCs w:val="21"/>
        </w:rPr>
        <w:t>signado</w:t>
      </w:r>
      <w:r w:rsidRPr="00FD5F33">
        <w:rPr>
          <w:rFonts w:ascii="Abadi" w:hAnsi="Abadi"/>
          <w:b w:val="0"/>
          <w:bCs w:val="0"/>
          <w:spacing w:val="11"/>
          <w:sz w:val="21"/>
          <w:szCs w:val="21"/>
        </w:rPr>
        <w:t xml:space="preserve"> </w:t>
      </w:r>
      <w:r w:rsidRPr="00FD5F33">
        <w:rPr>
          <w:rFonts w:ascii="Abadi" w:hAnsi="Abadi"/>
          <w:b w:val="0"/>
          <w:bCs w:val="0"/>
          <w:sz w:val="21"/>
          <w:szCs w:val="21"/>
        </w:rPr>
        <w:t>por</w:t>
      </w:r>
      <w:r w:rsidRPr="00FD5F33">
        <w:rPr>
          <w:rFonts w:ascii="Abadi" w:hAnsi="Abadi"/>
          <w:b w:val="0"/>
          <w:bCs w:val="0"/>
          <w:spacing w:val="11"/>
          <w:sz w:val="21"/>
          <w:szCs w:val="21"/>
        </w:rPr>
        <w:t xml:space="preserve"> </w:t>
      </w:r>
      <w:r w:rsidRPr="00FD5F33">
        <w:rPr>
          <w:rFonts w:ascii="Abadi" w:hAnsi="Abadi"/>
          <w:b w:val="0"/>
          <w:bCs w:val="0"/>
          <w:sz w:val="21"/>
          <w:szCs w:val="21"/>
        </w:rPr>
        <w:t>la</w:t>
      </w:r>
      <w:r w:rsidRPr="00FD5F33">
        <w:rPr>
          <w:rFonts w:ascii="Abadi" w:hAnsi="Abadi"/>
          <w:b w:val="0"/>
          <w:bCs w:val="0"/>
          <w:spacing w:val="11"/>
          <w:sz w:val="21"/>
          <w:szCs w:val="21"/>
        </w:rPr>
        <w:t xml:space="preserve"> </w:t>
      </w:r>
      <w:r w:rsidRPr="00FD5F33">
        <w:rPr>
          <w:rFonts w:ascii="Abadi" w:hAnsi="Abadi"/>
          <w:b w:val="0"/>
          <w:bCs w:val="0"/>
          <w:sz w:val="21"/>
          <w:szCs w:val="21"/>
        </w:rPr>
        <w:t>Comisión de</w:t>
      </w:r>
      <w:r w:rsidRPr="00FD5F33">
        <w:rPr>
          <w:rFonts w:ascii="Abadi" w:hAnsi="Abadi"/>
          <w:b w:val="0"/>
          <w:bCs w:val="0"/>
          <w:spacing w:val="10"/>
          <w:sz w:val="21"/>
          <w:szCs w:val="21"/>
        </w:rPr>
        <w:t xml:space="preserve"> </w:t>
      </w:r>
      <w:r w:rsidRPr="00FD5F33">
        <w:rPr>
          <w:rFonts w:ascii="Abadi" w:hAnsi="Abadi"/>
          <w:b w:val="0"/>
          <w:bCs w:val="0"/>
          <w:sz w:val="21"/>
          <w:szCs w:val="21"/>
        </w:rPr>
        <w:t>Hacienda</w:t>
      </w:r>
      <w:r w:rsidRPr="00FD5F33">
        <w:rPr>
          <w:rFonts w:ascii="Abadi" w:hAnsi="Abadi"/>
          <w:b w:val="0"/>
          <w:bCs w:val="0"/>
          <w:spacing w:val="10"/>
          <w:sz w:val="21"/>
          <w:szCs w:val="21"/>
        </w:rPr>
        <w:t xml:space="preserve"> </w:t>
      </w:r>
      <w:r w:rsidRPr="00FD5F33">
        <w:rPr>
          <w:rFonts w:ascii="Abadi" w:hAnsi="Abadi"/>
          <w:b w:val="0"/>
          <w:bCs w:val="0"/>
          <w:sz w:val="21"/>
          <w:szCs w:val="21"/>
        </w:rPr>
        <w:t>y</w:t>
      </w:r>
      <w:r w:rsidRPr="00FD5F33">
        <w:rPr>
          <w:rFonts w:ascii="Abadi" w:hAnsi="Abadi"/>
          <w:b w:val="0"/>
          <w:bCs w:val="0"/>
          <w:spacing w:val="10"/>
          <w:sz w:val="21"/>
          <w:szCs w:val="21"/>
        </w:rPr>
        <w:t xml:space="preserve"> </w:t>
      </w:r>
      <w:r w:rsidRPr="00FD5F33">
        <w:rPr>
          <w:rFonts w:ascii="Abadi" w:hAnsi="Abadi"/>
          <w:b w:val="0"/>
          <w:bCs w:val="0"/>
          <w:sz w:val="21"/>
          <w:szCs w:val="21"/>
        </w:rPr>
        <w:t>Fiscalización</w:t>
      </w:r>
      <w:r w:rsidRPr="00FD5F33">
        <w:rPr>
          <w:rFonts w:ascii="Abadi" w:hAnsi="Abadi"/>
          <w:b w:val="0"/>
          <w:bCs w:val="0"/>
          <w:spacing w:val="10"/>
          <w:sz w:val="21"/>
          <w:szCs w:val="21"/>
        </w:rPr>
        <w:t xml:space="preserve"> </w:t>
      </w:r>
      <w:r w:rsidRPr="00FD5F33">
        <w:rPr>
          <w:rFonts w:ascii="Abadi" w:hAnsi="Abadi"/>
          <w:b w:val="0"/>
          <w:bCs w:val="0"/>
          <w:sz w:val="21"/>
          <w:szCs w:val="21"/>
        </w:rPr>
        <w:t>relativo</w:t>
      </w:r>
      <w:r w:rsidRPr="00FD5F33">
        <w:rPr>
          <w:rFonts w:ascii="Abadi" w:hAnsi="Abadi"/>
          <w:b w:val="0"/>
          <w:bCs w:val="0"/>
          <w:spacing w:val="10"/>
          <w:sz w:val="21"/>
          <w:szCs w:val="21"/>
        </w:rPr>
        <w:t xml:space="preserve"> </w:t>
      </w:r>
      <w:r w:rsidRPr="00FD5F33">
        <w:rPr>
          <w:rFonts w:ascii="Abadi" w:hAnsi="Abadi"/>
          <w:b w:val="0"/>
          <w:bCs w:val="0"/>
          <w:sz w:val="21"/>
          <w:szCs w:val="21"/>
        </w:rPr>
        <w:t>al</w:t>
      </w:r>
      <w:r w:rsidRPr="00FD5F33">
        <w:rPr>
          <w:rFonts w:ascii="Abadi" w:hAnsi="Abadi"/>
          <w:b w:val="0"/>
          <w:bCs w:val="0"/>
          <w:spacing w:val="9"/>
          <w:sz w:val="21"/>
          <w:szCs w:val="21"/>
        </w:rPr>
        <w:t xml:space="preserve"> </w:t>
      </w:r>
      <w:r w:rsidRPr="00FD5F33">
        <w:rPr>
          <w:rFonts w:ascii="Abadi" w:hAnsi="Abadi"/>
          <w:b w:val="0"/>
          <w:bCs w:val="0"/>
          <w:sz w:val="21"/>
          <w:szCs w:val="21"/>
        </w:rPr>
        <w:t>informe</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resultados</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revisión practicada</w:t>
      </w:r>
      <w:r w:rsidRPr="00FD5F33">
        <w:rPr>
          <w:rFonts w:ascii="Abadi" w:hAnsi="Abadi"/>
          <w:b w:val="0"/>
          <w:bCs w:val="0"/>
          <w:spacing w:val="10"/>
          <w:sz w:val="21"/>
          <w:szCs w:val="21"/>
        </w:rPr>
        <w:t xml:space="preserve"> </w:t>
      </w:r>
      <w:r w:rsidRPr="00FD5F33">
        <w:rPr>
          <w:rFonts w:ascii="Abadi" w:hAnsi="Abadi"/>
          <w:b w:val="0"/>
          <w:bCs w:val="0"/>
          <w:sz w:val="21"/>
          <w:szCs w:val="21"/>
        </w:rPr>
        <w:t>por</w:t>
      </w:r>
      <w:r w:rsidRPr="00FD5F33">
        <w:rPr>
          <w:rFonts w:ascii="Abadi" w:hAnsi="Abadi"/>
          <w:b w:val="0"/>
          <w:bCs w:val="0"/>
          <w:spacing w:val="9"/>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Auditoría</w:t>
      </w:r>
      <w:r w:rsidRPr="00FD5F33">
        <w:rPr>
          <w:rFonts w:ascii="Abadi" w:hAnsi="Abadi"/>
          <w:b w:val="0"/>
          <w:bCs w:val="0"/>
          <w:spacing w:val="10"/>
          <w:sz w:val="21"/>
          <w:szCs w:val="21"/>
        </w:rPr>
        <w:t xml:space="preserve"> </w:t>
      </w:r>
      <w:r w:rsidRPr="00FD5F33">
        <w:rPr>
          <w:rFonts w:ascii="Abadi" w:hAnsi="Abadi"/>
          <w:b w:val="0"/>
          <w:bCs w:val="0"/>
          <w:sz w:val="21"/>
          <w:szCs w:val="21"/>
        </w:rPr>
        <w:t>Superior</w:t>
      </w:r>
      <w:r w:rsidRPr="00FD5F33">
        <w:rPr>
          <w:rFonts w:ascii="Abadi" w:hAnsi="Abadi"/>
          <w:b w:val="0"/>
          <w:bCs w:val="0"/>
          <w:spacing w:val="9"/>
          <w:sz w:val="21"/>
          <w:szCs w:val="21"/>
        </w:rPr>
        <w:t xml:space="preserve"> </w:t>
      </w:r>
      <w:r w:rsidRPr="00FD5F33">
        <w:rPr>
          <w:rFonts w:ascii="Abadi" w:hAnsi="Abadi"/>
          <w:b w:val="0"/>
          <w:bCs w:val="0"/>
          <w:sz w:val="21"/>
          <w:szCs w:val="21"/>
        </w:rPr>
        <w:t>del</w:t>
      </w:r>
      <w:r w:rsidRPr="00FD5F33">
        <w:rPr>
          <w:rFonts w:ascii="Abadi" w:hAnsi="Abadi"/>
          <w:b w:val="0"/>
          <w:bCs w:val="0"/>
          <w:spacing w:val="9"/>
          <w:sz w:val="21"/>
          <w:szCs w:val="21"/>
        </w:rPr>
        <w:t xml:space="preserve"> </w:t>
      </w:r>
      <w:r w:rsidRPr="00FD5F33">
        <w:rPr>
          <w:rFonts w:ascii="Abadi" w:hAnsi="Abadi"/>
          <w:b w:val="0"/>
          <w:bCs w:val="0"/>
          <w:sz w:val="21"/>
          <w:szCs w:val="21"/>
        </w:rPr>
        <w:t>Estado</w:t>
      </w:r>
      <w:r w:rsidRPr="00FD5F33">
        <w:rPr>
          <w:rFonts w:ascii="Abadi" w:hAnsi="Abadi"/>
          <w:b w:val="0"/>
          <w:bCs w:val="0"/>
          <w:spacing w:val="10"/>
          <w:sz w:val="21"/>
          <w:szCs w:val="21"/>
        </w:rPr>
        <w:t xml:space="preserve"> </w:t>
      </w:r>
      <w:r w:rsidRPr="00FD5F33">
        <w:rPr>
          <w:rFonts w:ascii="Abadi" w:hAnsi="Abadi"/>
          <w:b w:val="0"/>
          <w:bCs w:val="0"/>
          <w:sz w:val="21"/>
          <w:szCs w:val="21"/>
        </w:rPr>
        <w:t>de</w:t>
      </w:r>
      <w:r w:rsidRPr="00FD5F33">
        <w:rPr>
          <w:rFonts w:ascii="Abadi" w:hAnsi="Abadi"/>
          <w:b w:val="0"/>
          <w:bCs w:val="0"/>
          <w:spacing w:val="10"/>
          <w:sz w:val="21"/>
          <w:szCs w:val="21"/>
        </w:rPr>
        <w:t xml:space="preserve"> </w:t>
      </w:r>
      <w:r w:rsidRPr="00FD5F33">
        <w:rPr>
          <w:rFonts w:ascii="Abadi" w:hAnsi="Abadi"/>
          <w:b w:val="0"/>
          <w:bCs w:val="0"/>
          <w:sz w:val="21"/>
          <w:szCs w:val="21"/>
        </w:rPr>
        <w:t>Guanajuato,</w:t>
      </w:r>
      <w:r w:rsidRPr="00FD5F33">
        <w:rPr>
          <w:rFonts w:ascii="Abadi" w:hAnsi="Abadi"/>
          <w:b w:val="0"/>
          <w:bCs w:val="0"/>
          <w:spacing w:val="9"/>
          <w:sz w:val="21"/>
          <w:szCs w:val="21"/>
        </w:rPr>
        <w:t xml:space="preserve"> </w:t>
      </w:r>
      <w:r w:rsidRPr="00FD5F33">
        <w:rPr>
          <w:rFonts w:ascii="Abadi" w:hAnsi="Abadi"/>
          <w:b w:val="0"/>
          <w:bCs w:val="0"/>
          <w:sz w:val="21"/>
          <w:szCs w:val="21"/>
        </w:rPr>
        <w:t>a</w:t>
      </w:r>
      <w:r w:rsidRPr="00FD5F33">
        <w:rPr>
          <w:rFonts w:ascii="Abadi" w:hAnsi="Abadi"/>
          <w:b w:val="0"/>
          <w:bCs w:val="0"/>
          <w:spacing w:val="9"/>
          <w:sz w:val="21"/>
          <w:szCs w:val="21"/>
        </w:rPr>
        <w:t xml:space="preserve"> </w:t>
      </w:r>
      <w:r w:rsidRPr="00FD5F33">
        <w:rPr>
          <w:rFonts w:ascii="Abadi" w:hAnsi="Abadi"/>
          <w:b w:val="0"/>
          <w:bCs w:val="0"/>
          <w:sz w:val="21"/>
          <w:szCs w:val="21"/>
        </w:rPr>
        <w:t>la</w:t>
      </w:r>
      <w:r w:rsidRPr="00FD5F33">
        <w:rPr>
          <w:rFonts w:ascii="Abadi" w:hAnsi="Abadi"/>
          <w:b w:val="0"/>
          <w:bCs w:val="0"/>
          <w:spacing w:val="10"/>
          <w:sz w:val="21"/>
          <w:szCs w:val="21"/>
        </w:rPr>
        <w:t xml:space="preserve"> </w:t>
      </w:r>
      <w:r w:rsidRPr="00FD5F33">
        <w:rPr>
          <w:rFonts w:ascii="Abadi" w:hAnsi="Abadi"/>
          <w:b w:val="0"/>
          <w:bCs w:val="0"/>
          <w:sz w:val="21"/>
          <w:szCs w:val="21"/>
        </w:rPr>
        <w:t>cuenta pública</w:t>
      </w:r>
      <w:r w:rsidRPr="00FD5F33">
        <w:rPr>
          <w:rFonts w:ascii="Abadi" w:hAnsi="Abadi"/>
          <w:b w:val="0"/>
          <w:bCs w:val="0"/>
          <w:spacing w:val="15"/>
          <w:sz w:val="21"/>
          <w:szCs w:val="21"/>
        </w:rPr>
        <w:t xml:space="preserve"> </w:t>
      </w:r>
      <w:r w:rsidRPr="00FD5F33">
        <w:rPr>
          <w:rFonts w:ascii="Abadi" w:hAnsi="Abadi"/>
          <w:b w:val="0"/>
          <w:bCs w:val="0"/>
          <w:sz w:val="21"/>
          <w:szCs w:val="21"/>
        </w:rPr>
        <w:t>municipal</w:t>
      </w:r>
      <w:r w:rsidRPr="00FD5F33">
        <w:rPr>
          <w:rFonts w:ascii="Abadi" w:hAnsi="Abadi"/>
          <w:b w:val="0"/>
          <w:bCs w:val="0"/>
          <w:spacing w:val="14"/>
          <w:sz w:val="21"/>
          <w:szCs w:val="21"/>
        </w:rPr>
        <w:t xml:space="preserve"> </w:t>
      </w:r>
      <w:r w:rsidRPr="00FD5F33">
        <w:rPr>
          <w:rFonts w:ascii="Abadi" w:hAnsi="Abadi"/>
          <w:b w:val="0"/>
          <w:bCs w:val="0"/>
          <w:sz w:val="21"/>
          <w:szCs w:val="21"/>
        </w:rPr>
        <w:t>de</w:t>
      </w:r>
      <w:r w:rsidRPr="00FD5F33">
        <w:rPr>
          <w:rFonts w:ascii="Abadi" w:hAnsi="Abadi"/>
          <w:b w:val="0"/>
          <w:bCs w:val="0"/>
          <w:spacing w:val="15"/>
          <w:sz w:val="21"/>
          <w:szCs w:val="21"/>
        </w:rPr>
        <w:t xml:space="preserve"> </w:t>
      </w:r>
      <w:r w:rsidRPr="00FD5F33">
        <w:rPr>
          <w:rFonts w:ascii="Abadi" w:hAnsi="Abadi"/>
          <w:b w:val="0"/>
          <w:bCs w:val="0"/>
          <w:sz w:val="21"/>
          <w:szCs w:val="21"/>
        </w:rPr>
        <w:t>León,</w:t>
      </w:r>
      <w:r w:rsidRPr="00FD5F33">
        <w:rPr>
          <w:rFonts w:ascii="Abadi" w:hAnsi="Abadi"/>
          <w:b w:val="0"/>
          <w:bCs w:val="0"/>
          <w:spacing w:val="15"/>
          <w:sz w:val="21"/>
          <w:szCs w:val="21"/>
        </w:rPr>
        <w:t xml:space="preserve"> </w:t>
      </w:r>
      <w:r w:rsidRPr="00FD5F33">
        <w:rPr>
          <w:rFonts w:ascii="Abadi" w:hAnsi="Abadi"/>
          <w:b w:val="0"/>
          <w:bCs w:val="0"/>
          <w:sz w:val="21"/>
          <w:szCs w:val="21"/>
        </w:rPr>
        <w:t>Gto.,</w:t>
      </w:r>
      <w:r w:rsidRPr="00FD5F33">
        <w:rPr>
          <w:rFonts w:ascii="Abadi" w:hAnsi="Abadi"/>
          <w:b w:val="0"/>
          <w:bCs w:val="0"/>
          <w:spacing w:val="14"/>
          <w:sz w:val="21"/>
          <w:szCs w:val="21"/>
        </w:rPr>
        <w:t xml:space="preserve"> </w:t>
      </w:r>
      <w:r w:rsidRPr="00FD5F33">
        <w:rPr>
          <w:rFonts w:ascii="Abadi" w:hAnsi="Abadi"/>
          <w:b w:val="0"/>
          <w:bCs w:val="0"/>
          <w:sz w:val="21"/>
          <w:szCs w:val="21"/>
        </w:rPr>
        <w:t>correspondiente</w:t>
      </w:r>
      <w:r w:rsidRPr="00FD5F33">
        <w:rPr>
          <w:rFonts w:ascii="Abadi" w:hAnsi="Abadi"/>
          <w:b w:val="0"/>
          <w:bCs w:val="0"/>
          <w:spacing w:val="15"/>
          <w:sz w:val="21"/>
          <w:szCs w:val="21"/>
        </w:rPr>
        <w:t xml:space="preserve"> </w:t>
      </w:r>
      <w:r w:rsidRPr="00FD5F33">
        <w:rPr>
          <w:rFonts w:ascii="Abadi" w:hAnsi="Abadi"/>
          <w:b w:val="0"/>
          <w:bCs w:val="0"/>
          <w:sz w:val="21"/>
          <w:szCs w:val="21"/>
        </w:rPr>
        <w:t>al</w:t>
      </w:r>
      <w:r w:rsidRPr="00FD5F33">
        <w:rPr>
          <w:rFonts w:ascii="Abadi" w:hAnsi="Abadi"/>
          <w:b w:val="0"/>
          <w:bCs w:val="0"/>
          <w:spacing w:val="15"/>
          <w:sz w:val="21"/>
          <w:szCs w:val="21"/>
        </w:rPr>
        <w:t xml:space="preserve"> </w:t>
      </w:r>
      <w:r w:rsidRPr="00FD5F33">
        <w:rPr>
          <w:rFonts w:ascii="Abadi" w:hAnsi="Abadi"/>
          <w:b w:val="0"/>
          <w:bCs w:val="0"/>
          <w:sz w:val="21"/>
          <w:szCs w:val="21"/>
        </w:rPr>
        <w:t>ejercicio</w:t>
      </w:r>
      <w:r w:rsidRPr="00FD5F33">
        <w:rPr>
          <w:rFonts w:ascii="Abadi" w:hAnsi="Abadi"/>
          <w:b w:val="0"/>
          <w:bCs w:val="0"/>
          <w:spacing w:val="15"/>
          <w:sz w:val="21"/>
          <w:szCs w:val="21"/>
        </w:rPr>
        <w:t xml:space="preserve"> </w:t>
      </w:r>
      <w:r w:rsidRPr="00FD5F33">
        <w:rPr>
          <w:rFonts w:ascii="Abadi" w:hAnsi="Abadi"/>
          <w:b w:val="0"/>
          <w:bCs w:val="0"/>
          <w:sz w:val="21"/>
          <w:szCs w:val="21"/>
        </w:rPr>
        <w:t>fiscal</w:t>
      </w:r>
      <w:r w:rsidRPr="00FD5F33">
        <w:rPr>
          <w:rFonts w:ascii="Abadi" w:hAnsi="Abadi"/>
          <w:b w:val="0"/>
          <w:bCs w:val="0"/>
          <w:spacing w:val="15"/>
          <w:sz w:val="21"/>
          <w:szCs w:val="21"/>
        </w:rPr>
        <w:t xml:space="preserve"> </w:t>
      </w:r>
      <w:r w:rsidRPr="00FD5F33">
        <w:rPr>
          <w:rFonts w:ascii="Abadi" w:hAnsi="Abadi"/>
          <w:b w:val="0"/>
          <w:bCs w:val="0"/>
          <w:sz w:val="21"/>
          <w:szCs w:val="21"/>
        </w:rPr>
        <w:t>del</w:t>
      </w:r>
      <w:r w:rsidRPr="00FD5F33">
        <w:rPr>
          <w:rFonts w:ascii="Abadi" w:hAnsi="Abadi"/>
          <w:b w:val="0"/>
          <w:bCs w:val="0"/>
          <w:spacing w:val="14"/>
          <w:sz w:val="21"/>
          <w:szCs w:val="21"/>
        </w:rPr>
        <w:t xml:space="preserve"> </w:t>
      </w:r>
      <w:r w:rsidRPr="00FD5F33">
        <w:rPr>
          <w:rFonts w:ascii="Abadi" w:hAnsi="Abadi"/>
          <w:b w:val="0"/>
          <w:bCs w:val="0"/>
          <w:sz w:val="21"/>
          <w:szCs w:val="21"/>
        </w:rPr>
        <w:t>año 2020.</w:t>
      </w:r>
      <w:r>
        <w:rPr>
          <w:rFonts w:ascii="Abadi" w:hAnsi="Abadi"/>
          <w:sz w:val="21"/>
          <w:szCs w:val="21"/>
        </w:rPr>
        <w:t xml:space="preserve"> </w:t>
      </w:r>
      <w:r w:rsidRPr="009A3D12">
        <w:rPr>
          <w:rFonts w:ascii="Abadi" w:hAnsi="Abadi"/>
          <w:sz w:val="21"/>
          <w:szCs w:val="21"/>
        </w:rPr>
        <w:t>LXV.-</w:t>
      </w:r>
      <w:r>
        <w:rPr>
          <w:rFonts w:ascii="Abadi" w:hAnsi="Abadi"/>
          <w:sz w:val="21"/>
          <w:szCs w:val="21"/>
        </w:rPr>
        <w:t xml:space="preserve"> </w:t>
      </w:r>
      <w:r w:rsidRPr="00FD5F33">
        <w:rPr>
          <w:rFonts w:ascii="Abadi" w:hAnsi="Abadi"/>
          <w:b w:val="0"/>
          <w:bCs w:val="0"/>
          <w:sz w:val="21"/>
          <w:szCs w:val="21"/>
        </w:rPr>
        <w:t>Asuntos generales.</w:t>
      </w:r>
    </w:p>
    <w:p w14:paraId="714EE954" w14:textId="77777777" w:rsidR="00DA5DA8" w:rsidRDefault="00DA5DA8" w:rsidP="00677FF2">
      <w:pPr>
        <w:spacing w:after="160" w:line="259" w:lineRule="auto"/>
        <w:ind w:firstLine="708"/>
        <w:jc w:val="both"/>
        <w:rPr>
          <w:rFonts w:ascii="Abadi" w:hAnsi="Abadi"/>
          <w:b/>
          <w:bCs/>
          <w:sz w:val="21"/>
          <w:szCs w:val="21"/>
        </w:rPr>
      </w:pPr>
    </w:p>
    <w:p w14:paraId="48FECC1D" w14:textId="55607AAC" w:rsidR="00695A92" w:rsidRPr="00695A92" w:rsidRDefault="00193DD4" w:rsidP="00677FF2">
      <w:pPr>
        <w:spacing w:after="160" w:line="259" w:lineRule="auto"/>
        <w:ind w:firstLine="708"/>
        <w:jc w:val="both"/>
        <w:rPr>
          <w:rFonts w:ascii="Abadi" w:hAnsi="Abadi"/>
          <w:sz w:val="21"/>
          <w:szCs w:val="21"/>
        </w:rPr>
      </w:pPr>
      <w:r w:rsidRPr="00193DD4">
        <w:rPr>
          <w:rFonts w:ascii="Abadi" w:hAnsi="Abadi"/>
          <w:b/>
          <w:bCs/>
          <w:sz w:val="21"/>
          <w:szCs w:val="21"/>
        </w:rPr>
        <w:t>-</w:t>
      </w:r>
      <w:r>
        <w:rPr>
          <w:rFonts w:ascii="Abadi" w:hAnsi="Abadi"/>
          <w:b/>
          <w:bCs/>
          <w:sz w:val="21"/>
          <w:szCs w:val="21"/>
        </w:rPr>
        <w:t xml:space="preserve"> </w:t>
      </w:r>
      <w:r w:rsidR="00B26D3A">
        <w:rPr>
          <w:rFonts w:ascii="Abadi" w:hAnsi="Abadi"/>
          <w:b/>
          <w:bCs/>
          <w:sz w:val="21"/>
          <w:szCs w:val="21"/>
        </w:rPr>
        <w:t xml:space="preserve">La Presidencia.- </w:t>
      </w:r>
      <w:r w:rsidR="00827ECD" w:rsidRPr="00695A92">
        <w:rPr>
          <w:rFonts w:ascii="Abadi" w:hAnsi="Abadi"/>
          <w:sz w:val="21"/>
          <w:szCs w:val="21"/>
        </w:rPr>
        <w:t>Muchas gracias diputada</w:t>
      </w:r>
    </w:p>
    <w:p w14:paraId="67B75EF4" w14:textId="64897833" w:rsidR="00695A92" w:rsidRDefault="00695A92" w:rsidP="00695A92">
      <w:pPr>
        <w:ind w:firstLine="720"/>
        <w:jc w:val="both"/>
        <w:rPr>
          <w:rFonts w:ascii="Abadi" w:hAnsi="Abadi"/>
          <w:sz w:val="21"/>
          <w:szCs w:val="21"/>
        </w:rPr>
      </w:pPr>
      <w:bookmarkStart w:id="3" w:name="_Hlk105530330"/>
      <w:r>
        <w:rPr>
          <w:rFonts w:ascii="Abadi" w:hAnsi="Abadi"/>
          <w:b/>
          <w:bCs/>
          <w:sz w:val="21"/>
          <w:szCs w:val="21"/>
        </w:rPr>
        <w:t>- La</w:t>
      </w:r>
      <w:r w:rsidRPr="001A6EFF">
        <w:rPr>
          <w:rFonts w:ascii="Abadi" w:hAnsi="Abadi"/>
          <w:b/>
          <w:bCs/>
          <w:sz w:val="21"/>
          <w:szCs w:val="21"/>
        </w:rPr>
        <w:t xml:space="preserve"> Presid</w:t>
      </w:r>
      <w:r>
        <w:rPr>
          <w:rFonts w:ascii="Abadi" w:hAnsi="Abadi"/>
          <w:b/>
          <w:bCs/>
          <w:sz w:val="21"/>
          <w:szCs w:val="21"/>
        </w:rPr>
        <w:t>encia.-</w:t>
      </w:r>
      <w:r w:rsidRPr="00086C4A">
        <w:rPr>
          <w:rFonts w:ascii="Abadi" w:hAnsi="Abadi"/>
          <w:sz w:val="21"/>
          <w:szCs w:val="21"/>
        </w:rPr>
        <w:t xml:space="preserve"> </w:t>
      </w:r>
      <w:r w:rsidRPr="00FF0D2D">
        <w:rPr>
          <w:rFonts w:ascii="Abadi" w:hAnsi="Abadi"/>
          <w:sz w:val="21"/>
          <w:szCs w:val="21"/>
        </w:rPr>
        <w:t xml:space="preserve">La propuesta de orden del día, está a consideración de la </w:t>
      </w:r>
      <w:r>
        <w:rPr>
          <w:rFonts w:ascii="Abadi" w:hAnsi="Abadi"/>
          <w:sz w:val="21"/>
          <w:szCs w:val="21"/>
        </w:rPr>
        <w:t>Asamblea</w:t>
      </w:r>
      <w:r w:rsidRPr="00FF0D2D">
        <w:rPr>
          <w:rFonts w:ascii="Abadi" w:hAnsi="Abadi"/>
          <w:sz w:val="21"/>
          <w:szCs w:val="21"/>
        </w:rPr>
        <w:t xml:space="preserve"> si desean hacer uso de la palabra indíquenlo a esta </w:t>
      </w:r>
      <w:r>
        <w:rPr>
          <w:rFonts w:ascii="Abadi" w:hAnsi="Abadi"/>
          <w:sz w:val="21"/>
          <w:szCs w:val="21"/>
        </w:rPr>
        <w:t>P</w:t>
      </w:r>
      <w:r w:rsidRPr="00FF0D2D">
        <w:rPr>
          <w:rFonts w:ascii="Abadi" w:hAnsi="Abadi"/>
          <w:sz w:val="21"/>
          <w:szCs w:val="21"/>
        </w:rPr>
        <w:t>residencia</w:t>
      </w:r>
      <w:r>
        <w:rPr>
          <w:rFonts w:ascii="Abadi" w:hAnsi="Abadi"/>
          <w:sz w:val="21"/>
          <w:szCs w:val="21"/>
        </w:rPr>
        <w:t>.</w:t>
      </w:r>
    </w:p>
    <w:p w14:paraId="5545449F" w14:textId="5D666293" w:rsidR="00DF5BD7" w:rsidRDefault="00DF5BD7" w:rsidP="00814B3E">
      <w:pPr>
        <w:ind w:firstLine="708"/>
        <w:jc w:val="both"/>
        <w:rPr>
          <w:rFonts w:ascii="Abadi" w:hAnsi="Abadi"/>
          <w:sz w:val="21"/>
          <w:szCs w:val="21"/>
        </w:rPr>
      </w:pPr>
      <w:bookmarkStart w:id="4" w:name="_Hlk105531907"/>
      <w:bookmarkEnd w:id="3"/>
    </w:p>
    <w:bookmarkEnd w:id="4"/>
    <w:p w14:paraId="2AF98D55" w14:textId="692226B7" w:rsidR="00E774D4" w:rsidRPr="00631A3F" w:rsidRDefault="00E774D4" w:rsidP="00631A3F">
      <w:pPr>
        <w:jc w:val="center"/>
        <w:rPr>
          <w:rFonts w:ascii="Abadi" w:hAnsi="Abadi"/>
          <w:b/>
          <w:bCs/>
          <w:sz w:val="21"/>
          <w:szCs w:val="21"/>
        </w:rPr>
      </w:pPr>
    </w:p>
    <w:p w14:paraId="53A52C8C" w14:textId="592E7883" w:rsidR="00AD7E6D" w:rsidRPr="006F59BB" w:rsidRDefault="00AD7E6D" w:rsidP="00CC64DD">
      <w:pPr>
        <w:pStyle w:val="Prrafodelista"/>
        <w:numPr>
          <w:ilvl w:val="0"/>
          <w:numId w:val="6"/>
        </w:numPr>
        <w:spacing w:before="1"/>
        <w:ind w:left="284" w:right="-142"/>
        <w:jc w:val="both"/>
        <w:rPr>
          <w:rFonts w:ascii="Abadi" w:hAnsi="Abadi"/>
          <w:b/>
          <w:bCs/>
          <w:sz w:val="21"/>
          <w:szCs w:val="21"/>
        </w:rPr>
      </w:pPr>
      <w:r w:rsidRPr="006F59BB">
        <w:rPr>
          <w:rFonts w:ascii="Abadi" w:hAnsi="Abadi"/>
          <w:b/>
          <w:bCs/>
          <w:sz w:val="21"/>
          <w:szCs w:val="21"/>
        </w:rPr>
        <w:t>LECTURA Y, EN SU CASO, APROBACIÓN DEL ACTA DE LA SESIÓN ORDINARIA CELEBRADA</w:t>
      </w:r>
      <w:r w:rsidRPr="006F59BB">
        <w:rPr>
          <w:rFonts w:ascii="Abadi" w:hAnsi="Abadi"/>
          <w:b/>
          <w:bCs/>
          <w:spacing w:val="-70"/>
          <w:sz w:val="21"/>
          <w:szCs w:val="21"/>
        </w:rPr>
        <w:t xml:space="preserve"> </w:t>
      </w:r>
      <w:r w:rsidRPr="006F59BB">
        <w:rPr>
          <w:rFonts w:ascii="Abadi" w:hAnsi="Abadi"/>
          <w:b/>
          <w:bCs/>
          <w:sz w:val="21"/>
          <w:szCs w:val="21"/>
        </w:rPr>
        <w:t>EL</w:t>
      </w:r>
      <w:r w:rsidRPr="006F59BB">
        <w:rPr>
          <w:rFonts w:ascii="Abadi" w:hAnsi="Abadi"/>
          <w:b/>
          <w:bCs/>
          <w:spacing w:val="-1"/>
          <w:sz w:val="21"/>
          <w:szCs w:val="21"/>
        </w:rPr>
        <w:t xml:space="preserve"> </w:t>
      </w:r>
      <w:r w:rsidR="00A40CDD">
        <w:rPr>
          <w:rFonts w:ascii="Abadi" w:hAnsi="Abadi"/>
          <w:b/>
          <w:bCs/>
          <w:spacing w:val="-1"/>
          <w:sz w:val="21"/>
          <w:szCs w:val="21"/>
        </w:rPr>
        <w:t>16 DE JUNIO DEL</w:t>
      </w:r>
      <w:r w:rsidRPr="006F59BB">
        <w:rPr>
          <w:rFonts w:ascii="Abadi" w:hAnsi="Abadi"/>
          <w:b/>
          <w:bCs/>
          <w:sz w:val="21"/>
          <w:szCs w:val="21"/>
        </w:rPr>
        <w:t xml:space="preserve"> AÑO EN CURSO</w:t>
      </w:r>
    </w:p>
    <w:p w14:paraId="40AED146" w14:textId="77777777" w:rsidR="00702601" w:rsidRDefault="00702601" w:rsidP="00702601">
      <w:pPr>
        <w:pStyle w:val="Estilo1"/>
        <w:numPr>
          <w:ilvl w:val="0"/>
          <w:numId w:val="0"/>
        </w:numPr>
        <w:tabs>
          <w:tab w:val="clear" w:pos="4059"/>
        </w:tabs>
        <w:ind w:right="0" w:firstLine="708"/>
        <w:rPr>
          <w:rFonts w:ascii="Abadi" w:hAnsi="Abadi"/>
          <w:b w:val="0"/>
          <w:bCs w:val="0"/>
          <w:sz w:val="21"/>
          <w:szCs w:val="21"/>
        </w:rPr>
      </w:pPr>
    </w:p>
    <w:p w14:paraId="4D8B5226" w14:textId="77777777" w:rsidR="002B3EA7" w:rsidRDefault="002B3EA7" w:rsidP="00135E64">
      <w:pPr>
        <w:pStyle w:val="Default"/>
        <w:jc w:val="center"/>
        <w:rPr>
          <w:rFonts w:ascii="Abadi" w:hAnsi="Abadi"/>
          <w:b/>
          <w:bCs/>
          <w:sz w:val="21"/>
          <w:szCs w:val="21"/>
        </w:rPr>
      </w:pPr>
    </w:p>
    <w:p w14:paraId="5D2E262C" w14:textId="1C91C4B0" w:rsidR="00DF5851" w:rsidRDefault="00D26630" w:rsidP="00135E64">
      <w:pPr>
        <w:pStyle w:val="Default"/>
        <w:jc w:val="center"/>
        <w:rPr>
          <w:rFonts w:ascii="Abadi" w:hAnsi="Abadi"/>
          <w:b/>
          <w:bCs/>
          <w:sz w:val="21"/>
          <w:szCs w:val="21"/>
        </w:rPr>
      </w:pPr>
      <w:r>
        <w:rPr>
          <w:rStyle w:val="Refdenotaalpie"/>
          <w:rFonts w:ascii="Abadi" w:hAnsi="Abadi"/>
          <w:b/>
          <w:bCs/>
          <w:sz w:val="21"/>
          <w:szCs w:val="21"/>
        </w:rPr>
        <w:footnoteReference w:id="1"/>
      </w:r>
      <w:r w:rsidR="00DF5851" w:rsidRPr="00DF5851">
        <w:rPr>
          <w:rFonts w:ascii="Abadi" w:hAnsi="Abadi"/>
          <w:b/>
          <w:bCs/>
          <w:sz w:val="21"/>
          <w:szCs w:val="21"/>
        </w:rPr>
        <w:t xml:space="preserve">ACTA NÚMERO </w:t>
      </w:r>
      <w:r w:rsidR="00654465">
        <w:rPr>
          <w:rFonts w:ascii="Abadi" w:hAnsi="Abadi"/>
          <w:b/>
          <w:bCs/>
          <w:sz w:val="21"/>
          <w:szCs w:val="21"/>
        </w:rPr>
        <w:t>3</w:t>
      </w:r>
      <w:r w:rsidR="00105B53">
        <w:rPr>
          <w:rFonts w:ascii="Abadi" w:hAnsi="Abadi"/>
          <w:b/>
          <w:bCs/>
          <w:sz w:val="21"/>
          <w:szCs w:val="21"/>
        </w:rPr>
        <w:t>4</w:t>
      </w:r>
    </w:p>
    <w:p w14:paraId="1FE06551" w14:textId="349028CC" w:rsidR="007E220E" w:rsidRDefault="00DF5851" w:rsidP="00135E64">
      <w:pPr>
        <w:pStyle w:val="Default"/>
        <w:jc w:val="center"/>
        <w:rPr>
          <w:rFonts w:ascii="Abadi" w:hAnsi="Abadi"/>
          <w:b/>
          <w:bCs/>
          <w:sz w:val="21"/>
          <w:szCs w:val="21"/>
        </w:rPr>
      </w:pPr>
      <w:r w:rsidRPr="00DF5851">
        <w:rPr>
          <w:rFonts w:ascii="Abadi" w:hAnsi="Abadi"/>
          <w:b/>
          <w:bCs/>
          <w:sz w:val="21"/>
          <w:szCs w:val="21"/>
        </w:rPr>
        <w:t xml:space="preserve"> SEXAGÉSIMA QUINTA LEGISLATURA CONSTITUCIONAL DEL CONGRESO DEL ESTADO LIBRE Y SOBERANO DE GUANAJUATO SEGUNDO PERIODO ORDINARIO DE SESIONES PRIMER AÑO DE EJERCICIO CONSTITUCIONAL SESIÓN CELEBRADA EL </w:t>
      </w:r>
      <w:r w:rsidR="007A2CFE">
        <w:rPr>
          <w:rFonts w:ascii="Abadi" w:hAnsi="Abadi"/>
          <w:b/>
          <w:bCs/>
          <w:sz w:val="21"/>
          <w:szCs w:val="21"/>
        </w:rPr>
        <w:t>1</w:t>
      </w:r>
      <w:r w:rsidR="004151AA">
        <w:rPr>
          <w:rFonts w:ascii="Abadi" w:hAnsi="Abadi"/>
          <w:b/>
          <w:bCs/>
          <w:sz w:val="21"/>
          <w:szCs w:val="21"/>
        </w:rPr>
        <w:t>6</w:t>
      </w:r>
      <w:r w:rsidR="007A2CFE">
        <w:rPr>
          <w:rFonts w:ascii="Abadi" w:hAnsi="Abadi"/>
          <w:b/>
          <w:bCs/>
          <w:sz w:val="21"/>
          <w:szCs w:val="21"/>
        </w:rPr>
        <w:t xml:space="preserve"> </w:t>
      </w:r>
      <w:r w:rsidRPr="00DF5851">
        <w:rPr>
          <w:rFonts w:ascii="Abadi" w:hAnsi="Abadi"/>
          <w:b/>
          <w:bCs/>
          <w:sz w:val="21"/>
          <w:szCs w:val="21"/>
        </w:rPr>
        <w:t xml:space="preserve">DE </w:t>
      </w:r>
      <w:r w:rsidR="00BC6314">
        <w:rPr>
          <w:rFonts w:ascii="Abadi" w:hAnsi="Abadi"/>
          <w:b/>
          <w:bCs/>
          <w:sz w:val="21"/>
          <w:szCs w:val="21"/>
        </w:rPr>
        <w:t>JUNIO</w:t>
      </w:r>
      <w:r w:rsidR="002B3EA7">
        <w:rPr>
          <w:rFonts w:ascii="Abadi" w:hAnsi="Abadi"/>
          <w:b/>
          <w:bCs/>
          <w:sz w:val="21"/>
          <w:szCs w:val="21"/>
        </w:rPr>
        <w:t xml:space="preserve"> </w:t>
      </w:r>
      <w:r w:rsidRPr="00DF5851">
        <w:rPr>
          <w:rFonts w:ascii="Abadi" w:hAnsi="Abadi"/>
          <w:b/>
          <w:bCs/>
          <w:sz w:val="21"/>
          <w:szCs w:val="21"/>
        </w:rPr>
        <w:t>DE 2022</w:t>
      </w:r>
    </w:p>
    <w:p w14:paraId="66707922" w14:textId="77777777" w:rsidR="00DF5851" w:rsidRDefault="00DF5851" w:rsidP="00135E64">
      <w:pPr>
        <w:pStyle w:val="Default"/>
        <w:jc w:val="center"/>
        <w:rPr>
          <w:rFonts w:ascii="Abadi" w:hAnsi="Abadi"/>
          <w:b/>
          <w:bCs/>
          <w:sz w:val="21"/>
          <w:szCs w:val="21"/>
        </w:rPr>
      </w:pPr>
    </w:p>
    <w:p w14:paraId="0259B67C" w14:textId="1F050D6A" w:rsidR="00135E64" w:rsidRPr="00E6379B" w:rsidRDefault="00135E64" w:rsidP="00135E64">
      <w:pPr>
        <w:pStyle w:val="Default"/>
        <w:jc w:val="center"/>
        <w:rPr>
          <w:rFonts w:ascii="Abadi" w:hAnsi="Abadi"/>
          <w:b/>
          <w:bCs/>
          <w:sz w:val="21"/>
          <w:szCs w:val="21"/>
        </w:rPr>
      </w:pPr>
      <w:r w:rsidRPr="00E6379B">
        <w:rPr>
          <w:rFonts w:ascii="Abadi" w:hAnsi="Abadi"/>
          <w:b/>
          <w:bCs/>
          <w:sz w:val="21"/>
          <w:szCs w:val="21"/>
        </w:rPr>
        <w:t xml:space="preserve"> PRESIDENCIA DE LA DIPUTADA IRMA LETICIA GONZÁLEZ SÁNCHEZ</w:t>
      </w:r>
    </w:p>
    <w:p w14:paraId="46BA6D91" w14:textId="77777777" w:rsidR="00135E64" w:rsidRPr="00E6379B" w:rsidRDefault="00135E64" w:rsidP="00135E64">
      <w:pPr>
        <w:pStyle w:val="Default"/>
        <w:jc w:val="both"/>
        <w:rPr>
          <w:rFonts w:ascii="Abadi" w:hAnsi="Abadi"/>
          <w:b/>
          <w:bCs/>
          <w:sz w:val="21"/>
          <w:szCs w:val="21"/>
        </w:rPr>
      </w:pPr>
    </w:p>
    <w:p w14:paraId="6DFEE2C4" w14:textId="77777777" w:rsidR="000E4AA9" w:rsidRPr="00E54183" w:rsidRDefault="000E4AA9" w:rsidP="000E4AA9">
      <w:pPr>
        <w:pStyle w:val="Default"/>
        <w:jc w:val="both"/>
        <w:rPr>
          <w:rFonts w:ascii="Abadi" w:hAnsi="Abadi"/>
          <w:sz w:val="21"/>
          <w:szCs w:val="21"/>
        </w:rPr>
      </w:pPr>
    </w:p>
    <w:p w14:paraId="664E5B48" w14:textId="75308C5F" w:rsidR="000E4AA9" w:rsidRPr="00E54183" w:rsidRDefault="000E4AA9" w:rsidP="000E4AA9">
      <w:pPr>
        <w:pStyle w:val="Default"/>
        <w:ind w:firstLine="708"/>
        <w:jc w:val="both"/>
        <w:rPr>
          <w:rFonts w:ascii="Abadi" w:hAnsi="Abadi"/>
          <w:sz w:val="21"/>
          <w:szCs w:val="21"/>
        </w:rPr>
      </w:pPr>
      <w:r w:rsidRPr="00E54183">
        <w:rPr>
          <w:rFonts w:ascii="Abadi" w:hAnsi="Abadi"/>
          <w:sz w:val="21"/>
          <w:szCs w:val="21"/>
        </w:rPr>
        <w:t xml:space="preserve">En la ciudad de Guanajuato, capital del Estado del mismo nombre, se reunieron las </w:t>
      </w:r>
      <w:r w:rsidRPr="00E54183">
        <w:rPr>
          <w:rFonts w:ascii="Abadi" w:hAnsi="Abadi"/>
          <w:sz w:val="21"/>
          <w:szCs w:val="21"/>
        </w:rPr>
        <w:t xml:space="preserve">diputadas y los diputados integrantes de la Sexagésima Quinta Legislatura del Congreso del Estado Libre y Soberano de Guanajuato a efecto de llevar a cabo la sesión ordinaria, en los términos de la convocatoria, la cual tuvo el siguiente desarrollo: - - - - - - - - - - - - - - - - - - </w:t>
      </w:r>
    </w:p>
    <w:p w14:paraId="6710D084" w14:textId="6161ABFE" w:rsidR="000E4AA9" w:rsidRPr="00E54183" w:rsidRDefault="000E4AA9" w:rsidP="000E4AA9">
      <w:pPr>
        <w:pStyle w:val="Default"/>
        <w:ind w:firstLine="708"/>
        <w:jc w:val="both"/>
        <w:rPr>
          <w:rFonts w:ascii="Abadi" w:hAnsi="Abadi"/>
          <w:sz w:val="21"/>
          <w:szCs w:val="21"/>
        </w:rPr>
      </w:pPr>
      <w:r w:rsidRPr="00E54183">
        <w:rPr>
          <w:rFonts w:ascii="Abadi" w:hAnsi="Abadi"/>
          <w:sz w:val="21"/>
          <w:szCs w:val="21"/>
        </w:rPr>
        <w:t xml:space="preserve">La presidencia solicitó a la secretaría certificar el cuórum conforme al registro de asistencia del sistema electrónico. - - - - - - - - - </w:t>
      </w:r>
      <w:r w:rsidR="004151AA">
        <w:rPr>
          <w:rFonts w:ascii="Abadi" w:hAnsi="Abadi"/>
          <w:sz w:val="21"/>
          <w:szCs w:val="21"/>
        </w:rPr>
        <w:t>-</w:t>
      </w:r>
    </w:p>
    <w:p w14:paraId="0B1C3F5C" w14:textId="760B3101" w:rsidR="000E4AA9" w:rsidRPr="00E54183" w:rsidRDefault="000E4AA9" w:rsidP="000E4AA9">
      <w:pPr>
        <w:pStyle w:val="Default"/>
        <w:jc w:val="both"/>
        <w:rPr>
          <w:rFonts w:ascii="Abadi" w:hAnsi="Abadi"/>
          <w:sz w:val="21"/>
          <w:szCs w:val="21"/>
        </w:rPr>
      </w:pPr>
      <w:r w:rsidRPr="00E54183">
        <w:rPr>
          <w:rFonts w:ascii="Abadi" w:hAnsi="Abadi"/>
          <w:sz w:val="21"/>
          <w:szCs w:val="21"/>
        </w:rPr>
        <w:t xml:space="preserve">Se registró la presencia de veintisiete diputadas y diputados a través del sistema electrónico. Las diputadas Martha Edith Moreno Valencia y Ruth Noemí Tiscareño Agoitia, así como el diputado Gerardo Fernández González se incorporaron a la sesión durante el desahogo del punto uno del orden del día. La diputada Angélica Casillas Martínez se incorporó durante el desarrollo del punto cuatro del orden del día; las diputadas Martha Lourdes Ortega Roque, Dessire Angel Rocha y Yulma Rocha Aguilar durante el punto cinco del orden del día; la diputada Hades Berenice Aguilar Castillo y el diputado Ernesto Alejandro Prieto Gallardo se incorporaron durante el desahogo de los puntos seis y nueve del orden del día, respectivamente. - - - - - - - - - </w:t>
      </w:r>
    </w:p>
    <w:p w14:paraId="55B75302" w14:textId="142F4F8B" w:rsidR="000E4AA9" w:rsidRPr="00E54183" w:rsidRDefault="000E4AA9" w:rsidP="000E4AA9">
      <w:pPr>
        <w:pStyle w:val="Default"/>
        <w:ind w:firstLine="708"/>
        <w:jc w:val="both"/>
        <w:rPr>
          <w:rFonts w:ascii="Abadi" w:hAnsi="Abadi"/>
          <w:sz w:val="21"/>
          <w:szCs w:val="21"/>
        </w:rPr>
      </w:pPr>
      <w:r w:rsidRPr="00E54183">
        <w:rPr>
          <w:rFonts w:ascii="Abadi" w:hAnsi="Abadi"/>
          <w:sz w:val="21"/>
          <w:szCs w:val="21"/>
        </w:rPr>
        <w:t xml:space="preserve">Comprobado el cuórum legal, la presidencia declaró abierta la sesión a las diez horas con veintitrés minutos del dieciséis de junio de dos mil veintidós. - - - - - - - - - - - - - - </w:t>
      </w:r>
      <w:r w:rsidR="004151AA">
        <w:rPr>
          <w:rFonts w:ascii="Abadi" w:hAnsi="Abadi"/>
          <w:sz w:val="21"/>
          <w:szCs w:val="21"/>
        </w:rPr>
        <w:t>- - - - -</w:t>
      </w:r>
    </w:p>
    <w:p w14:paraId="74F86278" w14:textId="6374C99E" w:rsidR="000E4AA9" w:rsidRPr="00E54183" w:rsidRDefault="000E4AA9" w:rsidP="000E4AA9">
      <w:pPr>
        <w:pStyle w:val="Default"/>
        <w:ind w:firstLine="708"/>
        <w:jc w:val="both"/>
        <w:rPr>
          <w:rFonts w:ascii="Abadi" w:hAnsi="Abadi"/>
          <w:sz w:val="21"/>
          <w:szCs w:val="21"/>
        </w:rPr>
      </w:pPr>
      <w:r w:rsidRPr="00E54183">
        <w:rPr>
          <w:rFonts w:ascii="Abadi" w:hAnsi="Abadi"/>
          <w:sz w:val="21"/>
          <w:szCs w:val="21"/>
        </w:rPr>
        <w:t xml:space="preserve">La secretaría por instrucción de la presidencia dio lectura al orden del día; mismo que, en la modalidad electrónica, resultó aprobado por unanimidad en votación económica, sin discusión, con veintiocho votos. </w:t>
      </w:r>
    </w:p>
    <w:p w14:paraId="77E68143" w14:textId="0CDFE04B" w:rsidR="000E4AA9" w:rsidRPr="00E54183" w:rsidRDefault="000E4AA9" w:rsidP="000E4AA9">
      <w:pPr>
        <w:pStyle w:val="Default"/>
        <w:ind w:firstLine="708"/>
        <w:jc w:val="both"/>
        <w:rPr>
          <w:rFonts w:ascii="Abadi" w:hAnsi="Abadi"/>
          <w:sz w:val="21"/>
          <w:szCs w:val="21"/>
        </w:rPr>
      </w:pPr>
      <w:r w:rsidRPr="00E54183">
        <w:rPr>
          <w:rFonts w:ascii="Abadi" w:hAnsi="Abadi"/>
          <w:sz w:val="21"/>
          <w:szCs w:val="21"/>
        </w:rPr>
        <w:t xml:space="preserve">En votación económica, en la modalidad electrónica, se aprobó por unanimidad, con veintiocho votos, sin discusión, la propuesta de dispensa de lectura del acta de la sesión ordinaria celebrada el nueve de junio del año en curso. En la misma modalidad se aprobó por unanimidad, sin discusión, el acta de referencia con veintinueve votos. - - - - - - - - - - - - - - - - - - - - - </w:t>
      </w:r>
    </w:p>
    <w:p w14:paraId="60F9E84A" w14:textId="2663E555" w:rsidR="000E4AA9" w:rsidRPr="00E54183" w:rsidRDefault="000E4AA9" w:rsidP="000E4AA9">
      <w:pPr>
        <w:pStyle w:val="Default"/>
        <w:ind w:firstLine="708"/>
        <w:jc w:val="both"/>
        <w:rPr>
          <w:rFonts w:ascii="Abadi" w:hAnsi="Abadi"/>
          <w:sz w:val="21"/>
          <w:szCs w:val="21"/>
        </w:rPr>
      </w:pPr>
      <w:r w:rsidRPr="00E54183">
        <w:rPr>
          <w:rFonts w:ascii="Abadi" w:hAnsi="Abadi"/>
          <w:sz w:val="21"/>
          <w:szCs w:val="21"/>
        </w:rPr>
        <w:t xml:space="preserve">La presidencia dio la bienvenida a estudiantes de la licenciatura en derecho de la Universidad de León, invitados por la diputada Laura Cristina Márquez Alcalá. - - - - - - - - - - - </w:t>
      </w:r>
      <w:r w:rsidR="004151AA">
        <w:rPr>
          <w:rFonts w:ascii="Abadi" w:hAnsi="Abadi"/>
          <w:sz w:val="21"/>
          <w:szCs w:val="21"/>
        </w:rPr>
        <w:t>-</w:t>
      </w:r>
    </w:p>
    <w:p w14:paraId="6E514FF2" w14:textId="0073F0BA" w:rsidR="000E4AA9" w:rsidRPr="00E54183" w:rsidRDefault="000E4AA9" w:rsidP="000E4AA9">
      <w:pPr>
        <w:pStyle w:val="Default"/>
        <w:ind w:firstLine="708"/>
        <w:jc w:val="both"/>
        <w:rPr>
          <w:rFonts w:ascii="Abadi" w:hAnsi="Abadi"/>
          <w:sz w:val="21"/>
          <w:szCs w:val="21"/>
        </w:rPr>
      </w:pPr>
      <w:r w:rsidRPr="00E54183">
        <w:rPr>
          <w:rFonts w:ascii="Abadi" w:hAnsi="Abadi"/>
          <w:sz w:val="21"/>
          <w:szCs w:val="21"/>
        </w:rPr>
        <w:t xml:space="preserve">En votación económica, en la modalidad electrónica, se aprobó por unanimidad, con veintinueve votos, la propuesta de dispensa de lectura de las comunicaciones y correspondencia recibidas, en razón de encontrarse en la Gaceta Parlamentaria. Una vez lo cual, la presidencia </w:t>
      </w:r>
      <w:r w:rsidRPr="00E54183">
        <w:rPr>
          <w:rFonts w:ascii="Abadi" w:hAnsi="Abadi"/>
          <w:sz w:val="21"/>
          <w:szCs w:val="21"/>
        </w:rPr>
        <w:lastRenderedPageBreak/>
        <w:t xml:space="preserve">ordenó ejecutar los acuerdos dictados a las comunicaciones y correspondencia recibidas. - - - </w:t>
      </w:r>
    </w:p>
    <w:p w14:paraId="4074FACA" w14:textId="09FEBE86"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sz w:val="21"/>
          <w:szCs w:val="21"/>
        </w:rPr>
        <w:t xml:space="preserve">La diputada Laura Cristina Márquez Alcalá, a petición de la presidencia, dio lectura a la exposición de motivos de la iniciativa formulada por diputadas y diputados integrantes del Grupo Parlamentario del Partido Acción Nacional a efecto de reformar, adicionar y derogar diversas disposiciones de la Ley Orgánica del Poder Legislativo del Estado de Guanajuato. Concluida la lectura, con fundamento en el artículo ciento once -fracción segunda- de la Ley Orgánica Poder </w:t>
      </w:r>
      <w:r w:rsidRPr="00E54183">
        <w:rPr>
          <w:rFonts w:ascii="Abadi" w:hAnsi="Abadi" w:cstheme="minorBidi"/>
          <w:color w:val="auto"/>
          <w:sz w:val="21"/>
          <w:szCs w:val="21"/>
        </w:rPr>
        <w:t>Legislativo del Estado, la presidencia turnó la iniciativa a la Comisión de Gobernación y Puntos Constitucionales, para su estudio y dictamen. -</w:t>
      </w:r>
      <w:r w:rsidR="004151AA">
        <w:rPr>
          <w:rFonts w:ascii="Abadi" w:hAnsi="Abadi" w:cstheme="minorBidi"/>
          <w:color w:val="auto"/>
          <w:sz w:val="21"/>
          <w:szCs w:val="21"/>
        </w:rPr>
        <w:t xml:space="preserve"> - - - - - - - - - - - - - - - - - - -</w:t>
      </w:r>
      <w:r w:rsidRPr="00E54183">
        <w:rPr>
          <w:rFonts w:ascii="Abadi" w:hAnsi="Abadi" w:cstheme="minorBidi"/>
          <w:color w:val="auto"/>
          <w:sz w:val="21"/>
          <w:szCs w:val="21"/>
        </w:rPr>
        <w:t xml:space="preserve"> </w:t>
      </w:r>
    </w:p>
    <w:p w14:paraId="62C5E53B" w14:textId="137A5133"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La presidencia dio la bienvenida a los alumnos de la Universidad Continente Americano y de la Universidad Centro de Estudios de México, invitados por el diputado César Larrondo Díaz; así como a los alumnos de la escuela primaria urbana Librado Acevedo, invitados por la diputada Lilia Margarita Rionda Salas. - - - - - - - </w:t>
      </w:r>
    </w:p>
    <w:p w14:paraId="5CF7FE12" w14:textId="5689D317"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La diputada Alma Edwviges Alcaraz Hernández, integrante del Grupo Parlamentario del Partido MORENA, a petición de la presidencia, dio lectura a la exposición de motivos de su iniciativa a fin de reformar y adicionar diversos artículos de la Ley para la Protección de Personas Defensoras de Derechos Humanos y Periodistas del Estado de Guanajuato. Concluida la lectura, con fundamento en el artículo ciento seis -fracción primera- de la Ley Orgánica del Poder Legislativo del Estado, la presidencia la turnó a la Comisión de Derechos Humanos y Atención a Grupos Vulnerables, para su estudio y dictamen. </w:t>
      </w:r>
    </w:p>
    <w:p w14:paraId="30DAD91F" w14:textId="7F1C276B"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El diputado Ernesto Millán Soberanes, integrante del Grupo Parlamentario del Partido MORENA, a solicitud de la presidencia, dio lectura a la exposición de motivos de su iniciativa a efecto de derogar el cuarto párrafo del artículo cinco de la Ley Orgánica Municipal para el Estado de Guanajuato. Una vez lo cual, con fundamento en el artículo ciento cuatro -fracción primera- de la Ley Orgánica del Poder Legislativo del Estado, la presidencia la turnó a la Comisión de Asuntos Municipales, para su estudio y dictamen. - - - - - - </w:t>
      </w:r>
    </w:p>
    <w:p w14:paraId="56C85945" w14:textId="7C15E16C" w:rsidR="000E4AA9" w:rsidRPr="00E54183" w:rsidRDefault="000E4AA9" w:rsidP="000E4AA9">
      <w:pPr>
        <w:pStyle w:val="Default"/>
        <w:jc w:val="both"/>
        <w:rPr>
          <w:rFonts w:ascii="Abadi" w:hAnsi="Abadi"/>
          <w:color w:val="auto"/>
          <w:sz w:val="21"/>
          <w:szCs w:val="21"/>
        </w:rPr>
      </w:pPr>
      <w:r w:rsidRPr="00E54183">
        <w:rPr>
          <w:rFonts w:ascii="Abadi" w:hAnsi="Abadi" w:cstheme="minorBidi"/>
          <w:color w:val="auto"/>
          <w:sz w:val="21"/>
          <w:szCs w:val="21"/>
        </w:rPr>
        <w:t xml:space="preserve">La presidencia dio la bienvenida a los alumnos, a la maestra Juanita García y al profesor Luis Zamora de la escuela telesecundaria número doscientos veintisiete </w:t>
      </w:r>
      <w:r w:rsidRPr="00E54183">
        <w:rPr>
          <w:rFonts w:ascii="Abadi" w:hAnsi="Abadi"/>
          <w:i/>
          <w:iCs/>
          <w:color w:val="auto"/>
          <w:sz w:val="21"/>
          <w:szCs w:val="21"/>
        </w:rPr>
        <w:t>Eulalia Guzmán</w:t>
      </w:r>
      <w:r w:rsidRPr="00E54183">
        <w:rPr>
          <w:rFonts w:ascii="Abadi" w:hAnsi="Abadi"/>
          <w:color w:val="auto"/>
          <w:sz w:val="21"/>
          <w:szCs w:val="21"/>
        </w:rPr>
        <w:t>, invitados por el diputado Miguel Ángel Salim Alle. - - - -</w:t>
      </w:r>
      <w:r w:rsidR="004151AA">
        <w:rPr>
          <w:rFonts w:ascii="Abadi" w:hAnsi="Abadi"/>
          <w:color w:val="auto"/>
          <w:sz w:val="21"/>
          <w:szCs w:val="21"/>
        </w:rPr>
        <w:t xml:space="preserve"> - -</w:t>
      </w:r>
      <w:r w:rsidRPr="00E54183">
        <w:rPr>
          <w:rFonts w:ascii="Abadi" w:hAnsi="Abadi"/>
          <w:color w:val="auto"/>
          <w:sz w:val="21"/>
          <w:szCs w:val="21"/>
        </w:rPr>
        <w:t xml:space="preserve"> </w:t>
      </w:r>
    </w:p>
    <w:p w14:paraId="5F159231" w14:textId="74704E57"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olor w:val="auto"/>
          <w:sz w:val="21"/>
          <w:szCs w:val="21"/>
        </w:rPr>
        <w:t xml:space="preserve">El diputado David Martínez Mendizábal, a petición de la presidencia, dio lectura a la exposición de motivos de la iniciativa por la que se reforman y adicionan diversas disposiciones </w:t>
      </w:r>
      <w:r w:rsidRPr="00E54183">
        <w:rPr>
          <w:rFonts w:ascii="Abadi" w:hAnsi="Abadi"/>
          <w:color w:val="auto"/>
          <w:sz w:val="21"/>
          <w:szCs w:val="21"/>
        </w:rPr>
        <w:t xml:space="preserve">de la Ley de Acceso de las Mujeres a una Vida Libre de Violencia para el Estado de Guanajuato, del Código Civil para el Estado de Guanajuato y de la Ley de los Derechos de Niñas, Niños y Adolescentes del Estado de Guanajuato, formulada por él y por la diputada Martha Edith Moreno Valencia, integrantes del Grupo Parlamentario del Partido MORENA. Concluida la lectura, la presidencia turnó la parte correspondiente a la Ley de Acceso de las Mujeres a una Vida Libre de Violencia para el Estado de Guanajuato a la Comisión para la Igualdad de Género, con fundamento en el artículo ciento dieciséis -fracción tercera-; la parte relativa al Código Civil para el Estado de Guanajuato, a la Comisión de Justicia, con fundamento en el artículo ciento trece -fracción segunda-; y lo referente a la Ley de los Derechos de Niñas, Niños y Adolescentes del Estado de Guanajuato a la Comisión de Derechos Humanos y Atención a Grupos Vulnerables, con fundamento </w:t>
      </w:r>
      <w:r w:rsidRPr="00E54183">
        <w:rPr>
          <w:rFonts w:ascii="Abadi" w:hAnsi="Abadi" w:cstheme="minorBidi"/>
          <w:color w:val="auto"/>
          <w:sz w:val="21"/>
          <w:szCs w:val="21"/>
        </w:rPr>
        <w:t xml:space="preserve">en el artículo ciento seis -fracción primera- de la Ley Orgánica del Poder Legislativo del Estado, para su estudio y dictamen. - - - - - - - - - - - - - - </w:t>
      </w:r>
    </w:p>
    <w:p w14:paraId="599651BE" w14:textId="274E3A37"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La presidencia dio la bienvenida a los alumnos de la licenciatura en derecho del Instituto Universitario del Centro de México, invitados por la diputada Martha Edith Moreno Valencia; así como a personas del municipio de Jaral del Progreso, invitados por el diputado José Alfonso Borja Pimentel. - - - - - - - - - - - - - </w:t>
      </w:r>
      <w:r w:rsidR="004151AA">
        <w:rPr>
          <w:rFonts w:ascii="Abadi" w:hAnsi="Abadi" w:cstheme="minorBidi"/>
          <w:color w:val="auto"/>
          <w:sz w:val="21"/>
          <w:szCs w:val="21"/>
        </w:rPr>
        <w:t xml:space="preserve">- - - - </w:t>
      </w:r>
    </w:p>
    <w:p w14:paraId="76CACE19" w14:textId="028EFC0E"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La diputada Hades Berenice Aguilar Castillo, integrante del Grupo Parlamentario del Partido MORENA, a petición de la presidencia, dio lectura a la exposición de motivos de su iniciativa a fin de adicionar una fracción sexta al artículo doce y una fracción cuarta al artículo trece de la Ley para la Protección y Atención del Migrante y sus Familias del Estado de Guanajuato. Concluida la lectura, con fundamento en el artículo ciento cinco -fracción primera- de la Ley Orgánica del Poder Legislativo del Estado, la presidencia la turnó a la Comisión de Atención al Migrante, para su estudio y dictamen. - - - - - - - - - - - - - - - - - - </w:t>
      </w:r>
    </w:p>
    <w:p w14:paraId="5D517A62" w14:textId="232753CA"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La diputada Dessire Angel Rocha, a solicitud de la presidencia, dio lectura a la exposición de motivos de la iniciativa suscrita por ella y por las diputadas Yulma Rocha Aguilar y Martha Lourdes Ortega Roque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w:t>
      </w:r>
      <w:r w:rsidRPr="00E54183">
        <w:rPr>
          <w:rFonts w:ascii="Abadi" w:hAnsi="Abadi" w:cstheme="minorBidi"/>
          <w:color w:val="auto"/>
          <w:sz w:val="21"/>
          <w:szCs w:val="21"/>
        </w:rPr>
        <w:lastRenderedPageBreak/>
        <w:t xml:space="preserve">Estado de Guanajuato y del Código Penal del Estado de Guanajuato. Agotada la lectura, la presidencia turnó la parte correspondiente a la Ley de Acceso de las Mujeres a una Vida Libre de Violencia para el Estado de Guanajuato y a la Ley para Prevenir, Atender y Erradicar la Violencia en el Estado de Guanajuato, a la Comisión para la Igualdad de Género, con fundamento en el artículo ciento dieciséis -fracción tercera-; la parte relativa a la Ley de los Derechos de Niñas, Niños y Adolescentes del Estado de Guanajuato a la Comisión de Derechos Humanos y Atención a Grupos Vulnerables, con fundamento en el artículo ciento seis -fracción primera-; y la parte referida al Código Civil para el Estado de Guanajuato y al Código Penal del Estado de Guanajuato, a la Comisión de Justicia, con fundamento en el artículo ciento trece -fracción segunda- de la Ley Orgánica del Poder Legislativo del Estado, para su estudio y dictamen. - - - - - - - - - - - - - </w:t>
      </w:r>
      <w:r w:rsidR="004151AA">
        <w:rPr>
          <w:rFonts w:ascii="Abadi" w:hAnsi="Abadi" w:cstheme="minorBidi"/>
          <w:color w:val="auto"/>
          <w:sz w:val="21"/>
          <w:szCs w:val="21"/>
        </w:rPr>
        <w:t xml:space="preserve">- - - - - - - - - - - - - </w:t>
      </w:r>
    </w:p>
    <w:p w14:paraId="611848E6" w14:textId="36C6227B" w:rsidR="00222EA6" w:rsidRDefault="000E4AA9" w:rsidP="00222EA6">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En el punto diez del orden del día, la presidencia dio cuenta con la iniciativa suscrita por la diputada Hades Berenice Aguilar Castillo, integrante del Grupo Parlamentario del Partido MORENA a efecto de adicionar una fracción cuarta al artículo dos de la Ley de los Derechos de Niñas, Niños y Adolescentes del Estado de Guanajuato y la turnó para su estudio y dictamen a la Comisión de Derechos Humanos y Atención a Grupos Vulnerables, con fundamento en la -fracción primera- del artículo ciento seis de la Ley Orgánica del Poder Legislativo del Estado. - - - - </w:t>
      </w:r>
    </w:p>
    <w:p w14:paraId="3C8CB53C" w14:textId="76213319" w:rsidR="000E4AA9" w:rsidRPr="00E54183" w:rsidRDefault="000E4AA9" w:rsidP="00222EA6">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A petición de la presidencia, el diputado Ernesto Alejandro Prieto Gallardo, integrante del Grupo Parlamentario del Partido MORENA dio lectura a la exposición de motivos de su iniciativa a efecto de adicionar los párrafos quinto y sexto a la fracción décima del artículo treinta; una fracción undécima al artículo treinta y uno y una fracción decimoctava al artículo treinta y ocho de la Ley de Bebidas Alcohólicas para el Estado de Guanajuato y sus Municipios. Concluida la lectura, la presidencia turnó la iniciativa a las Comisiones Unidas de Hacienda y Fiscalización y de Gobernación y Puntos Constitucionales, con fundamento en los artículos ciento doce -fracción primera- y ciento once -fracción décima quinta-; así como en el último párrafo de dichos artículos de la Ley Orgánica del Poder Legislativo del Estado, para su estudio y dictamen. - - - - - - - - - </w:t>
      </w:r>
    </w:p>
    <w:p w14:paraId="7D1188E6" w14:textId="5FFA7194"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La presidencia dio cuenta con la solicitud formulada por el ayuntamiento de Silao de la Victoria, Guanajuato, a efecto de que se le autorice la contratación de un crédito para destinarlo a diversos proyectos de inversión </w:t>
      </w:r>
      <w:r w:rsidRPr="00E54183">
        <w:rPr>
          <w:rFonts w:ascii="Abadi" w:hAnsi="Abadi" w:cstheme="minorBidi"/>
          <w:color w:val="auto"/>
          <w:sz w:val="21"/>
          <w:szCs w:val="21"/>
        </w:rPr>
        <w:t xml:space="preserve">pública productiva y la turnó a la Comisión de Hacienda y Fiscalización para su estudio y dictamen, con fundamento en el artículo ciento doce -fracción sexta- de la Ley Orgánica del Poder Legislativo del Estado. - - - - - - - - - - - - </w:t>
      </w:r>
      <w:r w:rsidR="004151AA">
        <w:rPr>
          <w:rFonts w:ascii="Abadi" w:hAnsi="Abadi" w:cstheme="minorBidi"/>
          <w:color w:val="auto"/>
          <w:sz w:val="21"/>
          <w:szCs w:val="21"/>
        </w:rPr>
        <w:t xml:space="preserve">- </w:t>
      </w:r>
    </w:p>
    <w:p w14:paraId="24BDD20C" w14:textId="4E929235"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La presidencia solicitó a las diputadas y a los diputados abstenerse de abandonar el salón de sesiones durante las votaciones. - - - - </w:t>
      </w:r>
      <w:r w:rsidR="004151AA">
        <w:rPr>
          <w:rFonts w:ascii="Abadi" w:hAnsi="Abadi" w:cstheme="minorBidi"/>
          <w:color w:val="auto"/>
          <w:sz w:val="21"/>
          <w:szCs w:val="21"/>
        </w:rPr>
        <w:t xml:space="preserve">- - - - - </w:t>
      </w:r>
    </w:p>
    <w:p w14:paraId="4377734F" w14:textId="77777777" w:rsidR="00A40CDD" w:rsidRDefault="000E4AA9" w:rsidP="000E4AA9">
      <w:pPr>
        <w:pStyle w:val="Default"/>
        <w:jc w:val="both"/>
        <w:rPr>
          <w:rFonts w:ascii="Abadi" w:hAnsi="Abadi"/>
          <w:color w:val="auto"/>
          <w:sz w:val="21"/>
          <w:szCs w:val="21"/>
        </w:rPr>
      </w:pPr>
      <w:r w:rsidRPr="00E54183">
        <w:rPr>
          <w:rFonts w:ascii="Abadi" w:hAnsi="Abadi" w:cstheme="minorBidi"/>
          <w:color w:val="auto"/>
          <w:sz w:val="21"/>
          <w:szCs w:val="21"/>
        </w:rPr>
        <w:t xml:space="preserve">La diputada Martha Edith Moreno Valencia, a petición de la presidencia, dio lectura a la propuesta de punto de acuerdo de obvia resolución formulada por diputadas y diputados integrantes del Grupo Parlamentario del Partido MORENA a efecto de exhortar al titular de la Auditoría Superior del Estado de Guanajuato, Javier Pérez Salazar para que lleve a cabo una auditoría específica de cumplimiento al Poder Ejecutivo del Estado de Guanajuato, la cual deberá comprender la totalidad de los recursos públicos destinados a la inversión en la sociedad anónima promotora de inversión de capital variable y sociedad financiera de objeto múltiple denominada </w:t>
      </w:r>
      <w:r w:rsidRPr="00E54183">
        <w:rPr>
          <w:rFonts w:ascii="Abadi" w:hAnsi="Abadi"/>
          <w:i/>
          <w:iCs/>
          <w:color w:val="auto"/>
          <w:sz w:val="21"/>
          <w:szCs w:val="21"/>
        </w:rPr>
        <w:t>GTO Leasing Services</w:t>
      </w:r>
      <w:r w:rsidRPr="00E54183">
        <w:rPr>
          <w:rFonts w:ascii="Abadi" w:hAnsi="Abadi"/>
          <w:color w:val="auto"/>
          <w:sz w:val="21"/>
          <w:szCs w:val="21"/>
        </w:rPr>
        <w:t xml:space="preserve">, así como aquellos destinados en la adjudicación y contratación de bienes y servicios de dicha sociedad por parte del Estado de Guanajuato, por los ejercicios fiscales dos mil veinte, dos mil veintiuno y concomitante a dos mil veintidós. Agotada la lectura, se sometió a consideración de la asamblea declarar de obvia resolución la propuesta de punto de acuerdo, registrándose la intervención de la diputada Alma Edwviges Alcaraz Hernández quien habló a favor de la obvia resolución. Una vez lo cual, se recabó votación económica, resultando aprobada la obvia resolución por unanimidad, en la modalidad electrónica, al computarse treinta y cuatro votos a favor. Se sometió a discusión el punto de acuerdo, sin registrarse participaciones, por lo que, puesto a votación nominal, mediante la modalidad electrónica no resultó aprobado, al registrarse doce votos a favor y veinticuatro votos en contra. La diputada Yulma Rocha Aguilar razonó su voto a favor. En consecuencia, la presidencia instruyó a la Secretaría General el archivo de la propuesta de punto de acuerdo. - - </w:t>
      </w:r>
    </w:p>
    <w:p w14:paraId="212FDED1" w14:textId="33223C7E" w:rsidR="000E4AA9" w:rsidRPr="00E54183" w:rsidRDefault="000E4AA9" w:rsidP="00A40CDD">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El diputado Alejandro Arias Ávila, a petición de la presidencia, dio lectura a la propuesta de punto de acuerdo de obvia resolución, formulada por la diputada y los diputados integrantes de la Junta de Gobierno y Coordinación Política, por la que se declara como Recinto Oficial del Congreso del Estado el inmueble que ocupa el Palacio de los Poderes, ubicado en Plaza de la Paz número setenta y siete, zona centro, de la ciudad de Guanajuato, </w:t>
      </w:r>
      <w:r w:rsidRPr="00E54183">
        <w:rPr>
          <w:rFonts w:ascii="Abadi" w:hAnsi="Abadi" w:cstheme="minorBidi"/>
          <w:color w:val="auto"/>
          <w:sz w:val="21"/>
          <w:szCs w:val="21"/>
        </w:rPr>
        <w:lastRenderedPageBreak/>
        <w:t xml:space="preserve">Guanajuato, a efecto de llevar a cabo la última sesión ordinaria del segundo periodo ordinario de sesiones, así como la instalación de la Diputación Permanente que fungirá durante el segundo receso del primer año de ejercicio constitucional, en el marco de la conmemoración del Bicentenario de la Instalación de la Excelentísima Diputación Provincial de Guanajuato, mil ochocientos veintidós - mil ochocientos veinticuatro. Concluida la lectura, se sometió a consideración de la asamblea declarar de obvia resolución la propuesta de punto de acuerdo, sin registrarse participaciones. Se recabó votación económica, resultando aprobada la obvia resolución por unanimidad, en la modalidad electrónica, computándose treinta y cuatro votos a favor. Se sometió a discusión el punto de acuerdo, registrándose la participación de la diputada Ruth Noemí Tiscareño Agoitia para hablar a favor. Una vez lo cual, se sometió a votación nominal, mediante la modalidad electrónica y resultó aprobado por unanimidad, con treinta y seis votos a favor. En consecuencia, la presidencia instruyó remitir el acuerdo aprobado junto con sus consideraciones, al Gobernador del Estado, para su publicación en el Periódico Oficial del Gobierno del Estado. - - </w:t>
      </w:r>
    </w:p>
    <w:p w14:paraId="4483C434" w14:textId="41AD76C8"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La secretaría, por indicación de la presidencia, dio lectura a la propuesta formulada por la diputada y los diputados integrantes de la Junta de Gobierno y Coordinación Política, relativa a la modificación de la integración de la Comisión de Fomento Agropecuario de la Sexagésima Quinta Legislatura, de conformidad con el artículo setenta y seis de la Ley Orgánica del Poder Legislativo del Estado. Concluida la lectura y una vez puesta a consideración, al no registrarse participaciones, se recabó votación por cédula resultando aprobada por unanimidad al computarse treinta y seis votos a favor. La presidencia declaró modificada la integración de la Comisión de Fomento Agropecuario, conforme a la propuesta aprobada. - - - - - - - - - - - - - - - - </w:t>
      </w:r>
    </w:p>
    <w:p w14:paraId="0E0AD549" w14:textId="0E5B3B3F" w:rsidR="000E4AA9"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Con el objeto de agilizar el trámite parlamentario de los asuntos agendados en los puntos del dieciséis al sesenta y ocho del orden del día, y en virtud de haberse proporcionado con anticipación, así como encontrarse en la Gaceta Parlamentaria, la presidencia propuso la dispensa de lectura de estos; de igual manera, propuso que los dictámenes formulados por la Comisión de Hacienda y Fiscalización, contenidos en los puntos del veintisiete al sesenta y ocho del orden del día se sometieran a discusión y posterior votación en un solo acto. Puesta a consideración la propuesta, esta resultó aprobada por </w:t>
      </w:r>
      <w:r w:rsidRPr="00E54183">
        <w:rPr>
          <w:rFonts w:ascii="Abadi" w:hAnsi="Abadi" w:cstheme="minorBidi"/>
          <w:color w:val="auto"/>
          <w:sz w:val="21"/>
          <w:szCs w:val="21"/>
        </w:rPr>
        <w:t xml:space="preserve">unanimidad, al computarse treinta y seis votos a favor, sin discusión, en votación económica en la modalidad electrónica. Por lo que se procedió a desahogar el orden del día en los términos aprobados. - - - - - - - - - - - - - - - - - - - - - - - - </w:t>
      </w:r>
    </w:p>
    <w:p w14:paraId="50A5158E" w14:textId="5CFC8C9E"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La presidencia dio la bienvenida a un grupo de líderes comerciantes de la ciudad de Celaya, invitados por la diputada María de la Luz Hernández Martínez. - - - - - - - - - - - - - - - </w:t>
      </w:r>
    </w:p>
    <w:p w14:paraId="6838BFBA" w14:textId="6A25A811" w:rsidR="000E4AA9" w:rsidRPr="00E54183" w:rsidRDefault="000E4AA9" w:rsidP="000E4AA9">
      <w:pPr>
        <w:pStyle w:val="Default"/>
        <w:jc w:val="both"/>
        <w:rPr>
          <w:rFonts w:ascii="Abadi" w:hAnsi="Abadi" w:cstheme="minorBidi"/>
          <w:color w:val="auto"/>
          <w:sz w:val="21"/>
          <w:szCs w:val="21"/>
        </w:rPr>
      </w:pPr>
      <w:r w:rsidRPr="00E54183">
        <w:rPr>
          <w:rFonts w:ascii="Abadi" w:hAnsi="Abadi" w:cstheme="minorBidi"/>
          <w:color w:val="auto"/>
          <w:sz w:val="21"/>
          <w:szCs w:val="21"/>
        </w:rPr>
        <w:t xml:space="preserve">Se sometió a discusión el informe de los conceptos generales de los estados financieros de los recursos presupuestales y las transferencias y ajustes presupuestales, correspondiente al periodo comprendido del uno al treinta de abril del año en curso, formulado por la Comisión de Administración. No se registraron participaciones. Se recabó votación nominal, en la modalidad electrónica, resultando aprobado el informe por mayoría, al computarse treinta y cuatro votos a favor y dos votos en contra. - - - - </w:t>
      </w:r>
    </w:p>
    <w:p w14:paraId="642025EC" w14:textId="36B2B1FF"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Se sometió a discusión el dictamen signado por la Comisión de Justicia relativo a la iniciativa a fin de adicionar un segundo y tercer párrafos recorriéndose el subsecuente del artículo quince de la Ley Orgánica de la Fiscalía General del Estado de Guanajuato, presentada por el diputado Ernesto Alejandro Prieto Gallardo integrante del Grupo Parlamentario del Partido MORENA de la Sexagésima Cuarta Legislatura. Se registraron las intervenciones de los diputados Ernesto Alejandro Prieto Gallardo y Bricio Balderas Álvarez, el primero, para hablar en contra y el segundo, para hablar a favor. Agotadas las participaciones, se recabó votación nominal, resultando aprobado el dictamen por mayoría, en la modalidad electrónica, con veintisiete votos a favor y seis votos en contra. La presidencia instruyó a la Secretaría General para que procediera al archivo definitivo de la iniciativa referida en el dictamen aprobado. - - - - </w:t>
      </w:r>
    </w:p>
    <w:p w14:paraId="405BC964" w14:textId="2767516A"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Se sometió a discusión el dictamen emitido por la Comisión de Justicia relativo a la iniciativa a efecto de reformar diversos artículos de la Ley para la Protección de los Derechos Humanos en el Estado de Guanajuato, de la Ley de Transparencia y Acceso a la Información Pública para el Estado de Guanajuato, de la Ley Orgánica del Tribunal de Justicia Administrativa del Estado de Guanajuato, de la Ley Orgánica de la Fiscalía General del Estado de Guanajuato, de la Ley Orgánica de la Universidad de Guanajuato y de la Ley Orgánica del Poder Legislativo del Estado de Guanajuato, en su parte correspondiente únicamente a la Ley Orgánica de la Fiscalía General del Estado de Guanajuato, presentada por diputadas y diputados </w:t>
      </w:r>
      <w:r w:rsidRPr="00E54183">
        <w:rPr>
          <w:rFonts w:ascii="Abadi" w:hAnsi="Abadi" w:cstheme="minorBidi"/>
          <w:color w:val="auto"/>
          <w:sz w:val="21"/>
          <w:szCs w:val="21"/>
        </w:rPr>
        <w:lastRenderedPageBreak/>
        <w:t xml:space="preserve">integrantes del Grupo Parlamentario del Partido Acción Nacional de la Sexagésima Cuarta Legislatura. Se registró la intervención de la diputada Martha Guadalupe Hernández Camarena para hablar a favor. Concluida la participación, se recabó votación nominal, resultando aprobado el dictamen por unanimidad, en la modalidad electrónica, con treinta y seis votos a favor. La diputada Yulma Rocha Aguilar razonó su voto a favor. La presidencia instruyó remitir al Ejecutivo del Estado el decreto aprobado para los efectos constitucionales de su competencia. - - - - - - - </w:t>
      </w:r>
    </w:p>
    <w:p w14:paraId="2D649749" w14:textId="447B203D" w:rsidR="000E4AA9" w:rsidRPr="00E54183" w:rsidRDefault="000E4AA9" w:rsidP="00222EA6">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Se sometió a discusión el dictamen emitido por la Comisión de Justicia relativo a la propuesta de terna para la designación de una o un Magistrado Propietario en materia Penal del Supremo Tribunal de Justicia del Estado de Guanajuato, formulada por el Consejo del Poder Judicial del Estado de Guanajuato. Al no registrarse participaciones, se recabó votación nominal, resultando aprobado el dictamen por unanimidad, en la modalidad electrónica, al computarse treinta y cinco votos a favor. Enseguida, se procedió a la designación de una o un Magistrado Propietario en materia Penal del Supremo Tribunal de Justicia del Estado de Guanajuato, mediante votación por cédula, en los términos del artículo ciento noventa y tres, fracción tercera de la Ley Orgánica del Poder Legislativo del Estado. Una vez lo cual la secretaría declaró que el ciudadano Francisco Medina Meza obtuvo veintiséis votos; la ciudadana Ma. Cristina Cabrera Manrique obtuvo nueve votos y el ciudadano Carlos Alberto Llamas Morales obtuvo cero votos. En consecuencia, se designó al ciudadano Francisco Medina Meza, como Magistrado Propietario en materia Penal del Supremo Tribunal de Justicia del Estado de Guanajuato, por el término de siete años, que se contará a partir del momento en que rinda la protesta al cargo, de conformidad con los artículos ciento dieciséis, fracción tercera, noventa y cinco de la Constitución Política de los Estados Unidos Mexicanos; sesenta y tres, fracción vigésima primera y ochenta y cinco de la Constitución Política para el Estado de Guanajuato; cincuenta y ocho y sesenta y cuatro de la Ley Orgánica del Poder Judicial del Estado de Guanajuato. La presidencia instruyó comunicar al Ejecutivo del Estado la designación del Magistrado Propietario en materia Penal del Supremo Tribunal de Justicia del Estado de Guanajuato, para su conocimiento y publicación en el Periódico Oficial del Gobierno del Estado; a la presidenta del Supremo Tribunal de Justicia del </w:t>
      </w:r>
      <w:r w:rsidRPr="00E54183">
        <w:rPr>
          <w:rFonts w:ascii="Abadi" w:hAnsi="Abadi" w:cstheme="minorBidi"/>
          <w:color w:val="auto"/>
          <w:sz w:val="21"/>
          <w:szCs w:val="21"/>
        </w:rPr>
        <w:t xml:space="preserve">Estado y del Consejo del Poder Judicial del Estado, para los efectos conducentes; y al ciudadano Francisco Medina Meza, para que rindiera la protesta de ley. - - - - - - - - - - - - - - </w:t>
      </w:r>
    </w:p>
    <w:p w14:paraId="070C8F55" w14:textId="1859F11F"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Se sometió a discusión el dictamen emitido por la Comisión de Justicia relativo a la propuesta de terna para la designación de una Magistrada Propietaria en materia Civil del Supremo Tribunal de Justicia del Estado de Guanajuato, formulada por el Consejo del Poder Judicial del Estado de Guanajuato. Al no registrarse participaciones, se recabó votación nominal, resultando aprobado el dictamen por unanimidad, en la modalidad electrónica, al computarse treinta y cinco votos a favor. Enseguida, se procedió a la designación de una Magistrada Propietaria en materia Civil del Supremo Tribunal de Justicia del Estado de Guanajuato, mediante votación por cédula, en los términos del artículo ciento noventa y tres, fracción tercera de la Ley Orgánica del Poder Legislativo del Estado. Una vez lo cual la secretaría declaró que la ciudadana Claudia Ibet Amezcua Rodríguez obtuvo treinta y cuatro votos; la ciudadana Edna Jessica Muñoz Escoto obtuvo un voto y la ciudadana Elizabeth Amor Venegas Rodríguez obtuvo cero votos. En consecuencia, se designó a la ciudadana Claudia Ibet Amezcua Rodríguez, como Magistrada Propietaria en materia Civil del Supremo Tribunal de Justicia del Estado de Guanajuato, por el término de siete años, que se contará a partir del momento en que rinda la protesta al cargo, de conformidad con los artículos ciento dieciséis, fracción tercera, noventa y cinco de la Constitución Política de los Estados Unidos Mexicanos; sesenta y tres, fracción vigésima primera y ochenta y cinco de la Constitución Política para el Estado de Guanajuato; cincuenta y ocho y sesenta y cuatro de la Ley Orgánica del Poder Judicial del Estado de Guanajuato. La presidencia instruyó comunicar al Ejecutivo del Estado la designación de la Magistrada Propietaria en materia Civil del Supremo Tribunal de Justicia del Estado de Guanajuato, para su conocimiento y publicación en el Periódico Oficial del Gobierno del Estado; a la presidenta del Supremo Tribunal de Justicia del Estado y del Consejo del Poder Judicial del Estado, para los efectos conducentes; y a la ciudadana Claudia Ibet Amezcua Rodríguez, para que rindiera la protesta de ley. - - - - - - - - - - - - - -</w:t>
      </w:r>
      <w:r w:rsidR="004151AA">
        <w:rPr>
          <w:rFonts w:ascii="Abadi" w:hAnsi="Abadi" w:cstheme="minorBidi"/>
          <w:color w:val="auto"/>
          <w:sz w:val="21"/>
          <w:szCs w:val="21"/>
        </w:rPr>
        <w:t xml:space="preserve"> - - - - - - - - </w:t>
      </w:r>
    </w:p>
    <w:p w14:paraId="07E3721F" w14:textId="36729080"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Se sometió a discusión el dictamen emitido por la Comisión de Justicia relativo a la propuesta de terna para la designación de un Magistrado Propietario en materia Civil del </w:t>
      </w:r>
      <w:r w:rsidRPr="00E54183">
        <w:rPr>
          <w:rFonts w:ascii="Abadi" w:hAnsi="Abadi" w:cstheme="minorBidi"/>
          <w:color w:val="auto"/>
          <w:sz w:val="21"/>
          <w:szCs w:val="21"/>
        </w:rPr>
        <w:lastRenderedPageBreak/>
        <w:t xml:space="preserve">Supremo Tribunal de Justicia del Estado de Guanajuato, formulada por el Consejo del Poder Judicial del Estado de Guanajuato. Al no registrarse participaciones, se recabó votación nominal, resultando aprobado el dictamen por mayoría de votos, en la modalidad electrónica, al computarse veintiocho votos a favor y ocho votos en contra. Enseguida, se procedió a la designación de un Magistrado Propietario en materia Civil del Supremo Tribunal de Justicia del Estado de Guanajuato, mediante votación por cédula, en los términos del artículo ciento noventa y tres, fracción tercera de la Ley Orgánica del Poder Legislativo del Estado. Una vez lo cual la secretaría declaró que el ciudadano Francisco Javier Zamora Rocha obtuvo veinticinco votos; el ciudadano Hugo Ernesto Hernández obtuvo once votos y el ciudadano Gabriel Morales Díaz obtuvo cero votos. En consecuencia, se designó al ciudadano Francisco Javier Zamora Rocha, como Magistrado Propietario en materia Civil del Supremo Tribunal de Justicia del Estado de Guanajuato, por el término de siete años, que se contará a partir del momento en que rinda la protesta al cargo, de conformidad con los artículos ciento dieciséis, fracción tercera, noventa y cinco de la Constitución Política de los Estados Unidos Mexicanos; sesenta y tres, fracción vigésima primera y ochenta y cinco de la Constitución Política para el Estado de Guanajuato; cincuenta y ocho y sesenta y cuatro de la Ley Orgánica del Poder Judicial del Estado de Guanajuato. La presidencia instruyó comunicar al Ejecutivo del Estado la designación del Magistrado Propietario en materia Civil del Supremo Tribunal de Justicia del Estado de Guanajuato, para su conocimiento y publicación en el Periódico Oficial del Gobierno del Estado; a la presidenta del Supremo Tribunal de Justicia del Estado y del Consejo del Poder Judicial del Estado, para los efectos conducentes; y al ciudadano Francisco Javier Zamora Rocha, para que rindiera la protesta de ley. - - - - - - - - - - - - </w:t>
      </w:r>
    </w:p>
    <w:p w14:paraId="3B9DB241" w14:textId="4D83F6E5"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Se sometió a discusión el dictamen emitido por la Comisión de Justicia relativo a la propuesta de terna para la designación de una Consejera del Poder Judicial del Estado, formulada por el Pleno del Supremo Tribunal de Justicia. Al no registrarse participaciones, se recabó votación nominal, resultando aprobado el dictamen por unanimidad, en la modalidad electrónica, al computarse treinta y cinco votos a favor. Enseguida, se procedió a la designación de una Consejera del Poder Judicial del Estado, mediante votación por cédula, en los términos del artículo ciento noventa y tres, fracción tercera de </w:t>
      </w:r>
      <w:r w:rsidRPr="00E54183">
        <w:rPr>
          <w:rFonts w:ascii="Abadi" w:hAnsi="Abadi" w:cstheme="minorBidi"/>
          <w:color w:val="auto"/>
          <w:sz w:val="21"/>
          <w:szCs w:val="21"/>
        </w:rPr>
        <w:t xml:space="preserve">la Ley Orgánica del Poder Legislativo del Estado. Una vez lo cual la secretaría declaró que la ciudadana Imelda Carbajal Cervantes obtuvo treinta y cuatro votos; la ciudadana Rosa Ivonne Arrona Gómez obtuvo un voto y la ciudadana Gabriela Naranjo Guevara obtuvo cero votos. En consecuencia, se designó a la ciudadana Imelda Carbajal Cervantes, como Consejera del Poder Judicial del Estado, por el término de cuatro años, que se contará a partir del momento en que rinda la protesta al cargo, de conformidad con los artículos sesenta y tres -fracción vigésima primera-, ochenta y dos y ochenta y cinco de la Constitución Política para el Estado de Guanajuato; y veintisiete de la Ley Orgánica del Poder Judicial del Estado de Guanajuato. La presidencia instruyó comunicar al Ejecutivo del Estado la designación de la Consejera del Poder Judicial del Estado, para su conocimiento y publicación en el Periódico Oficial del Gobierno del Estado; a la presidenta del Supremo Tribunal de Justicia del Estado y del Consejo del Poder Judicial del Estado, para los efectos conducentes; y a la ciudadana Imelda Carbajal Cervantes, para que rindiera la protesta de ley. - - - - - - - - - - - - </w:t>
      </w:r>
    </w:p>
    <w:p w14:paraId="2BCC3AC9" w14:textId="641E4A8D" w:rsidR="000E4AA9" w:rsidRPr="00E54183" w:rsidRDefault="000E4AA9" w:rsidP="000E4AA9">
      <w:pPr>
        <w:pStyle w:val="Default"/>
        <w:ind w:firstLine="708"/>
        <w:jc w:val="both"/>
        <w:rPr>
          <w:rFonts w:ascii="Abadi" w:hAnsi="Abadi"/>
          <w:color w:val="auto"/>
          <w:sz w:val="21"/>
          <w:szCs w:val="21"/>
        </w:rPr>
      </w:pPr>
      <w:r w:rsidRPr="00E54183">
        <w:rPr>
          <w:rFonts w:ascii="Abadi" w:hAnsi="Abadi" w:cstheme="minorBidi"/>
          <w:color w:val="auto"/>
          <w:sz w:val="21"/>
          <w:szCs w:val="21"/>
        </w:rPr>
        <w:t xml:space="preserve">Se sometió a discusión el dictamen presentado por la Comisión de Justicia relativo a la iniciativa a fin de adicionar una fracción cuarta al artículo ciento setenta y nueve - c del Código Penal del Estado de Guanajuato y un tercer párrafo al artículo cuarenta y ocho de la Ley de los Derechos de Niñas, Niños y Adolescentes del Estado de Guanajuato, </w:t>
      </w:r>
      <w:r w:rsidRPr="00E54183">
        <w:rPr>
          <w:rFonts w:ascii="Abadi" w:hAnsi="Abadi"/>
          <w:i/>
          <w:iCs/>
          <w:color w:val="auto"/>
          <w:sz w:val="21"/>
          <w:szCs w:val="21"/>
        </w:rPr>
        <w:t>en su parte correspondiente al primero de los ordenamientos</w:t>
      </w:r>
      <w:r w:rsidRPr="00E54183">
        <w:rPr>
          <w:rFonts w:ascii="Abadi" w:hAnsi="Abadi"/>
          <w:color w:val="auto"/>
          <w:sz w:val="21"/>
          <w:szCs w:val="21"/>
        </w:rPr>
        <w:t xml:space="preserve">, presentada por la diputada Martha Edith Moreno Valencia integrante del Grupo Parlamentario del Partido MORENA. Al no registrarse participaciones se recabó votación nominal, resultando aprobado el dictamen por mayoría, en la modalidad electrónica, al computarse veintiocho votos a favor y seis votos en contra. La presidencia instruyó a la Secretaría General para que procediera al archivo definitivo de la iniciativa referida en el dictamen aprobado. </w:t>
      </w:r>
    </w:p>
    <w:p w14:paraId="4A98F826" w14:textId="3CE189A7" w:rsidR="00222EA6" w:rsidRDefault="000E4AA9" w:rsidP="00222EA6">
      <w:pPr>
        <w:pStyle w:val="Default"/>
        <w:ind w:firstLine="708"/>
        <w:jc w:val="both"/>
        <w:rPr>
          <w:rFonts w:ascii="Abadi" w:hAnsi="Abadi"/>
          <w:color w:val="auto"/>
          <w:sz w:val="21"/>
          <w:szCs w:val="21"/>
        </w:rPr>
      </w:pPr>
      <w:r w:rsidRPr="00E54183">
        <w:rPr>
          <w:rFonts w:ascii="Abadi" w:hAnsi="Abadi"/>
          <w:color w:val="auto"/>
          <w:sz w:val="21"/>
          <w:szCs w:val="21"/>
        </w:rPr>
        <w:t xml:space="preserve">Se sometió a discusión el dictamen formulado por la Comisión de Asuntos Municipales relativo a la propuesta de punto de acuerdo suscrita por diputadas y diputados integrantes del Grupo Parlamentario del Partido Acción Nacional, a efecto de exhortar a los cuarenta y seis ayuntamientos para que, en caso de no haberlo efectuado, realicen los nombramientos de los delegados y subdelegados y se informe a esta soberanía sobre los resultados. Al no registrarse participaciones se recabó votación nominal, resultando aprobado el </w:t>
      </w:r>
      <w:r w:rsidRPr="00E54183">
        <w:rPr>
          <w:rFonts w:ascii="Abadi" w:hAnsi="Abadi"/>
          <w:color w:val="auto"/>
          <w:sz w:val="21"/>
          <w:szCs w:val="21"/>
        </w:rPr>
        <w:lastRenderedPageBreak/>
        <w:t xml:space="preserve">dictamen por unanimidad, en la modalidad electrónica, al computarse treinta y tres votos a favor. La presidencia instruyó comunicar el acuerdo aprobado junto con su dictamen a los ayuntamientos, para los efectos conducentes. </w:t>
      </w:r>
      <w:r w:rsidR="00222EA6">
        <w:rPr>
          <w:rFonts w:ascii="Abadi" w:hAnsi="Abadi"/>
          <w:color w:val="auto"/>
          <w:sz w:val="21"/>
          <w:szCs w:val="21"/>
        </w:rPr>
        <w:t>–</w:t>
      </w:r>
    </w:p>
    <w:p w14:paraId="4897C4AF" w14:textId="332C6E87" w:rsidR="000E4AA9" w:rsidRPr="00E54183" w:rsidRDefault="000E4AA9" w:rsidP="00222EA6">
      <w:pPr>
        <w:pStyle w:val="Default"/>
        <w:ind w:firstLine="708"/>
        <w:jc w:val="both"/>
        <w:rPr>
          <w:rFonts w:ascii="Abadi" w:hAnsi="Abadi" w:cstheme="minorBidi"/>
          <w:color w:val="auto"/>
          <w:sz w:val="21"/>
          <w:szCs w:val="21"/>
        </w:rPr>
      </w:pPr>
      <w:r w:rsidRPr="00E54183">
        <w:rPr>
          <w:rFonts w:ascii="Abadi" w:hAnsi="Abadi"/>
          <w:color w:val="auto"/>
          <w:sz w:val="21"/>
          <w:szCs w:val="21"/>
        </w:rPr>
        <w:t xml:space="preserve"> </w:t>
      </w:r>
      <w:r w:rsidRPr="00E54183">
        <w:rPr>
          <w:rFonts w:ascii="Abadi" w:hAnsi="Abadi" w:cstheme="minorBidi"/>
          <w:color w:val="auto"/>
          <w:sz w:val="21"/>
          <w:szCs w:val="21"/>
        </w:rPr>
        <w:t xml:space="preserve">Se sometió a discusión el dictamen presentado por la Comisión de Gobernación y Puntos Constitucionales relativo a la propuesta de terna para la designación de quien ostentará la titularidad del Órgano Interno de Control del Instituto Electoral del Estado de Guanajuato, formulada por el Consejo General de dicho Instituto. Al no registrarse participaciones, se recabó votación nominal, resultando aprobado el dictamen por unanimidad, en la modalidad electrónica, al computarse treinta y cuatro votos a favor. Enseguida, se procedió a la elección mediante votación por cédula, en los términos del artículo ciento noventa y tres, fracción tercera de la Ley Orgánica del Poder Legislativo del Estado. Una vez lo cual la secretaría declaró que el ciudadano Sergio Ojeda Cano obtuvo un voto; la ciudadana Brenda Paulina Hernández González obtuvo treinta y tres votos y la ciudadana Siboney Ortega Aviña obtuvo un voto. En consecuencia, se designó a la ciudadana Brenda Paulina Hernández González, como titular del Órgano Interno de Control del Instituto Electoral del Estado de Guanajuato, por el término de cinco años, que se contará a partir del momento en que rinda la protesta al cargo, de conformidad con los artículos sesenta y tres, fracción vigésima primera, último párrafo de la Constitución Política para el Estado de Guanajuato; cuatrocientos cuarenta y ocho bis y cuatrocientos cuarenta y nueve de la Ley de Instituciones y Procedimientos Electorales del Estado de Guanajuato. La presidencia instruyó comunicar al Ejecutivo del Estado la designación de la titular del Órgano Interno de Control del Instituto Electoral del Estado de Guanajuato, para su publicación en el Periódico Oficial del Gobierno del Estado; a la Consejera Presidenta del Instituto Electoral del Estado de Guanajuato, para los efectos conducentes; y a la ciudadana Brenda Paulina Hernández González, para que rinda la protesta de ley. - - </w:t>
      </w:r>
    </w:p>
    <w:p w14:paraId="016140D3" w14:textId="791EEB12"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Se sometió a discusión el dictamen presentado por la Comisión de Gobernación y Puntos Constitucionales relativo a la propuesta de terna para la designación de quien ostentará la titularidad del Órgano Interno de Control del Instituto de Acceso a la Información Pública para el Estado de Guanajuato, formulada por el Pleno de dicho Instituto. Al no registrarse participaciones, se recabó votación nominal, </w:t>
      </w:r>
      <w:r w:rsidRPr="00E54183">
        <w:rPr>
          <w:rFonts w:ascii="Abadi" w:hAnsi="Abadi" w:cstheme="minorBidi"/>
          <w:color w:val="auto"/>
          <w:sz w:val="21"/>
          <w:szCs w:val="21"/>
        </w:rPr>
        <w:t xml:space="preserve">resultando aprobado el dictamen por unanimidad, en la modalidad electrónica, al computarse treinta y cinco votos a favor. Enseguida, se procedió a la elección mediante votación por cédula, en los términos del artículo ciento noventa y tres, fracción tercera de la Ley Orgánica del Poder Legislativo del Estado. Una vez lo cual la secretaría declaró que la ciudadana Hilda Ruth Barba Orozco obtuvo cero votos; la ciudadana Ma de Lourdes López Ramírez obtuvo veintisiete votos y el ciudadano Alejandro Vázquez López obtuvo ocho votos. En consecuencia, se designó a la ciudadana Ma de Lourdes López Ramírez, como titular del Órgano Interno de Control del Instituto de Acceso a la Información Pública para el Estado de Guanajuato, por el término de cinco años, que se contará a partir del momento en que rinda la protesta al cargo, de conformidad con los artículos sesenta y tres, fracción vigésima primera, último párrafo de la Constitución Política para el Estado de Guanajuato; ciento cincuenta y nueve, y ciento cincuenta y nueve Bis de la Ley de Transparencia y Acceso a la Información Pública para el Estado de Guanajuato. La presidencia instruyó comunicar al Ejecutivo del Estado la designación de la titular del Órgano Interno de Control del Instituto de Acceso a la Información Pública para el Estado de Guanajuato, para su publicación en el Periódico Oficial del Gobierno del Estado; a la Comisionada Presidenta del Instituto de Acceso a la Información Pública para el Estado de Guanajuato, para los efectos conducentes; y a la ciudadana Ma de Lourdes López Ramírez, para que rinda la protesta de ley. - - - - - - - - - - - - - - </w:t>
      </w:r>
    </w:p>
    <w:p w14:paraId="0B008A90" w14:textId="1037C145"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Se sometieron a discusión los dictámenes presentados por la Comisión de Hacienda y Fiscalización, contenidos en los puntos del veintisiete al sesenta y ocho del orden del día, relativos a los informes generales elaborados por la Auditoría Superior del Estado de Guanajuato de los procesos de entrega recepción de las administraciones públicas municipales dos mil dieciocho -dos mil veintiuno de: Atarjea, Celaya, Comonfort, Coroneo, Cortazar, Cuerámaro, Doctor Mora, Dolores Hidalgo Cuna de la Independencia Nacional, Guanajuato, Huanímaro, Irapuato, Jaral del Progreso, Jerécuaro, León, Manuel Doblado, Moroleón, Ocampo, Pénjamo, Pueblo Nuevo, Purísima del Rincón, Romita, Salamanca, Salvatierra, San Diego de la Unión, San Felipe, San Francisco del Rincón, San José Iturbide, San Luis de la Paz, San Miguel de Allende, Santa Catarina, Santa Cruz de Juventino Rosas, Santiago Maravatío, Silao de la Victoria, </w:t>
      </w:r>
      <w:r w:rsidRPr="00E54183">
        <w:rPr>
          <w:rFonts w:ascii="Abadi" w:hAnsi="Abadi" w:cstheme="minorBidi"/>
          <w:color w:val="auto"/>
          <w:sz w:val="21"/>
          <w:szCs w:val="21"/>
        </w:rPr>
        <w:lastRenderedPageBreak/>
        <w:t>Tarandacuao, Tarimoro, Tierra Blanca, Uriangato, Valle de Santiago, Victoria, Villagrán, Xichú y Yuriria. Se registró la intervención del diputado Víctor Manuel Zanella Huerta para hablar como autor de los dictámenes, con fundamento en el artículo setenta y ocho -fracción primera- de la Ley Orgánica del Poder Legislativo del Estado. Concluida la intervención, se recabó votación nominal, resultando aprobados los dictámenes por mayoría, en la modalidad electrónica, al computarse veintisiete votos a favor y ocho votos en contra, excepto en los dictámenes previstos en los puntos treinta y cinco, cuarenta y uno y cuarenta y dos, en los que se registraron veintiséis votos a favor, ocho votos en contra y una abstención de la diputada Lilia Margarita Rionda Salas y de los diputados Gustavo Adolfo Alfaro Reyes y Jorge Ortiz Ortega respectivamente, fundamentando los motivos de las mismas. La presidencia, ordenó remitir los acuerdos aprobados junto con sus dictámenes y los informes generales a la Auditoría Superior del Estado de Guanajuato y a los ayuntamientos de Atarjea, Celaya, Comonfort, Coroneo, Cortazar, Cuerámaro, Doctor Mora, Dolores Hidalgo Cuna de la Independencia Nacional, Guanajuato, Huanímaro, Irapuato, Jaral del Progreso, Jerécuaro, León, Manuel Doblado, Moroleón, Ocampo, Pénjamo, Pueblo Nuevo, Purísima del Rincón, Romita, Salamanca, Salvatierra, San Diego de la Unión, San Felipe, San Francisco del Rincón, San José Iturbide, San Luis de la Paz, San Miguel de Allende, Santa Catarina, Santa Cruz de Juventino</w:t>
      </w:r>
      <w:r>
        <w:rPr>
          <w:rFonts w:ascii="Abadi" w:hAnsi="Abadi" w:cstheme="minorBidi"/>
          <w:color w:val="auto"/>
          <w:sz w:val="21"/>
          <w:szCs w:val="21"/>
        </w:rPr>
        <w:t xml:space="preserve"> </w:t>
      </w:r>
      <w:r w:rsidRPr="00E54183">
        <w:rPr>
          <w:rFonts w:ascii="Abadi" w:hAnsi="Abadi" w:cstheme="minorBidi"/>
          <w:color w:val="auto"/>
          <w:sz w:val="21"/>
          <w:szCs w:val="21"/>
        </w:rPr>
        <w:t xml:space="preserve">Rosas, Santiago Maravatío, Silao de la Victoria, Tarandacuao, Tarimoro, Tierra Blanca, Uriangato, Valle de Santiago, Victoria, Villagrán, Xichú y Yuriria, para los efectos conducentes. - - </w:t>
      </w:r>
    </w:p>
    <w:p w14:paraId="2ED07AB9" w14:textId="322D084D" w:rsidR="000E4AA9" w:rsidRPr="00E54183" w:rsidRDefault="000E4AA9" w:rsidP="000E4AA9">
      <w:pPr>
        <w:pStyle w:val="Default"/>
        <w:ind w:firstLine="708"/>
        <w:jc w:val="both"/>
        <w:rPr>
          <w:rFonts w:ascii="Abadi" w:hAnsi="Abadi" w:cstheme="minorBidi"/>
          <w:color w:val="auto"/>
          <w:sz w:val="21"/>
          <w:szCs w:val="21"/>
        </w:rPr>
      </w:pPr>
      <w:r w:rsidRPr="00E54183">
        <w:rPr>
          <w:rFonts w:ascii="Abadi" w:hAnsi="Abadi" w:cstheme="minorBidi"/>
          <w:color w:val="auto"/>
          <w:sz w:val="21"/>
          <w:szCs w:val="21"/>
        </w:rPr>
        <w:t xml:space="preserve">La presidencia informó que, toda vez que en la presente sesión, se aprobaron las designaciones del ciudadano Francisco Medina Meza, de la ciudadana Claudia Ibet Amezcua Rodríguez, del ciudadano Francisco Javier Zamora Rocha y de la ciudadana Imelda Carbajal Cervantes como Magistrado Propietario en materia Penal, Magistrada Propietaria en materia Civil y Magistrado Propietario en materia Civil del Supremo Tribunal de Justicia del Estado y Consejera del Poder Judicial del Estado respectivamente, estos se encontraban en disponibilidad de acudir al salón de sesiones a rendir la protesta, por lo que resultaba oportuno llamarles. Con ese motivo, se designó a las diputadas y a los diputados integrantes de la </w:t>
      </w:r>
      <w:r w:rsidRPr="00E54183">
        <w:rPr>
          <w:rFonts w:ascii="Abadi" w:hAnsi="Abadi" w:cstheme="minorBidi"/>
          <w:color w:val="auto"/>
          <w:sz w:val="21"/>
          <w:szCs w:val="21"/>
        </w:rPr>
        <w:t xml:space="preserve">Comisión de Justicia, para que fungieran como comisión de protocolo e introdujeran al salón de sesiones a las personas referidas. Una vez lo cual, la presidencia les tomó la protesta; asimismo, pidió a la comisión de protocolo acompañarlos a abandonar el salón de sesiones cuando lo estimaran pertinente. - - - - - - - - - - - </w:t>
      </w:r>
      <w:r w:rsidR="00222EA6">
        <w:rPr>
          <w:rFonts w:ascii="Abadi" w:hAnsi="Abadi" w:cstheme="minorBidi"/>
          <w:color w:val="auto"/>
          <w:sz w:val="21"/>
          <w:szCs w:val="21"/>
        </w:rPr>
        <w:t xml:space="preserve">- - - - - - </w:t>
      </w:r>
      <w:r w:rsidR="004151AA">
        <w:rPr>
          <w:rFonts w:ascii="Abadi" w:hAnsi="Abadi" w:cstheme="minorBidi"/>
          <w:color w:val="auto"/>
          <w:sz w:val="21"/>
          <w:szCs w:val="21"/>
        </w:rPr>
        <w:t>-</w:t>
      </w:r>
    </w:p>
    <w:p w14:paraId="0F00EA55" w14:textId="6D151555" w:rsidR="000E4AA9" w:rsidRPr="00E54183" w:rsidRDefault="000E4AA9" w:rsidP="000E4AA9">
      <w:pPr>
        <w:pStyle w:val="Default"/>
        <w:jc w:val="both"/>
        <w:rPr>
          <w:rFonts w:ascii="Abadi" w:hAnsi="Abadi"/>
          <w:color w:val="auto"/>
          <w:sz w:val="21"/>
          <w:szCs w:val="21"/>
        </w:rPr>
      </w:pPr>
      <w:r w:rsidRPr="00E54183">
        <w:rPr>
          <w:rFonts w:ascii="Abadi" w:hAnsi="Abadi" w:cstheme="minorBidi"/>
          <w:color w:val="auto"/>
          <w:sz w:val="21"/>
          <w:szCs w:val="21"/>
        </w:rPr>
        <w:t xml:space="preserve">En el apartado de asuntos generales, se registraron las intervenciones de las diputadas Alma Edwviges Alcaraz Hernández con el tema </w:t>
      </w:r>
      <w:r w:rsidRPr="00E54183">
        <w:rPr>
          <w:rFonts w:ascii="Abadi" w:hAnsi="Abadi"/>
          <w:i/>
          <w:iCs/>
          <w:color w:val="auto"/>
          <w:sz w:val="21"/>
          <w:szCs w:val="21"/>
        </w:rPr>
        <w:t xml:space="preserve">responsabilidad </w:t>
      </w:r>
      <w:r w:rsidRPr="00E54183">
        <w:rPr>
          <w:rFonts w:ascii="Abadi" w:hAnsi="Abadi"/>
          <w:color w:val="auto"/>
          <w:sz w:val="21"/>
          <w:szCs w:val="21"/>
        </w:rPr>
        <w:t xml:space="preserve">y Hades Berenice Aguilar Castillo con el tema </w:t>
      </w:r>
      <w:r w:rsidRPr="00E54183">
        <w:rPr>
          <w:rFonts w:ascii="Abadi" w:hAnsi="Abadi"/>
          <w:i/>
          <w:iCs/>
          <w:color w:val="auto"/>
          <w:sz w:val="21"/>
          <w:szCs w:val="21"/>
        </w:rPr>
        <w:t>fracaso</w:t>
      </w:r>
      <w:r w:rsidRPr="00E54183">
        <w:rPr>
          <w:rFonts w:ascii="Abadi" w:hAnsi="Abadi"/>
          <w:color w:val="auto"/>
          <w:sz w:val="21"/>
          <w:szCs w:val="21"/>
        </w:rPr>
        <w:t xml:space="preserve">. - - - - - - - - - - - - - </w:t>
      </w:r>
      <w:r w:rsidR="004151AA">
        <w:rPr>
          <w:rFonts w:ascii="Abadi" w:hAnsi="Abadi"/>
          <w:color w:val="auto"/>
          <w:sz w:val="21"/>
          <w:szCs w:val="21"/>
        </w:rPr>
        <w:t xml:space="preserve">- - - - - - </w:t>
      </w:r>
    </w:p>
    <w:p w14:paraId="312A75EA" w14:textId="75A52D57" w:rsidR="000E4AA9" w:rsidRPr="00E54183" w:rsidRDefault="000E4AA9" w:rsidP="000E4AA9">
      <w:pPr>
        <w:pStyle w:val="Default"/>
        <w:ind w:firstLine="708"/>
        <w:jc w:val="both"/>
        <w:rPr>
          <w:rFonts w:ascii="Abadi" w:hAnsi="Abadi"/>
          <w:color w:val="auto"/>
          <w:sz w:val="21"/>
          <w:szCs w:val="21"/>
        </w:rPr>
      </w:pPr>
      <w:r w:rsidRPr="00E54183">
        <w:rPr>
          <w:rFonts w:ascii="Abadi" w:hAnsi="Abadi"/>
          <w:color w:val="auto"/>
          <w:sz w:val="21"/>
          <w:szCs w:val="21"/>
        </w:rPr>
        <w:t>La presidencia dio la bienvenida a Paloma Robles Lacayo, regidora del ayuntamiento de Guanajuato.</w:t>
      </w:r>
      <w:r w:rsidR="003D6548">
        <w:rPr>
          <w:rFonts w:ascii="Abadi" w:hAnsi="Abadi"/>
          <w:color w:val="auto"/>
          <w:sz w:val="21"/>
          <w:szCs w:val="21"/>
        </w:rPr>
        <w:t xml:space="preserve"> - - - - - - - - - - - -</w:t>
      </w:r>
      <w:r w:rsidRPr="00E54183">
        <w:rPr>
          <w:rFonts w:ascii="Abadi" w:hAnsi="Abadi"/>
          <w:color w:val="auto"/>
          <w:sz w:val="21"/>
          <w:szCs w:val="21"/>
        </w:rPr>
        <w:t xml:space="preserve"> </w:t>
      </w:r>
      <w:r w:rsidR="004151AA">
        <w:rPr>
          <w:rFonts w:ascii="Abadi" w:hAnsi="Abadi"/>
          <w:color w:val="auto"/>
          <w:sz w:val="21"/>
          <w:szCs w:val="21"/>
        </w:rPr>
        <w:t xml:space="preserve">- - - - - - - - - - - - - </w:t>
      </w:r>
    </w:p>
    <w:p w14:paraId="44FA6896" w14:textId="1CB51A38" w:rsidR="000E4AA9" w:rsidRPr="00E54183" w:rsidRDefault="000E4AA9" w:rsidP="000E4AA9">
      <w:pPr>
        <w:pStyle w:val="Default"/>
        <w:ind w:firstLine="708"/>
        <w:jc w:val="both"/>
        <w:rPr>
          <w:rFonts w:ascii="Abadi" w:hAnsi="Abadi"/>
          <w:color w:val="auto"/>
          <w:sz w:val="21"/>
          <w:szCs w:val="21"/>
        </w:rPr>
      </w:pPr>
      <w:r w:rsidRPr="00E54183">
        <w:rPr>
          <w:rFonts w:ascii="Abadi" w:hAnsi="Abadi"/>
          <w:color w:val="auto"/>
          <w:sz w:val="21"/>
          <w:szCs w:val="21"/>
        </w:rPr>
        <w:t xml:space="preserve">La secretaría informó que se habían agotado los asuntos listados en el orden del día, que la asistencia a la sesión había sido de treinta y seis diputadas y diputados. - - - - - - - </w:t>
      </w:r>
      <w:r w:rsidR="004151AA">
        <w:rPr>
          <w:rFonts w:ascii="Abadi" w:hAnsi="Abadi"/>
          <w:color w:val="auto"/>
          <w:sz w:val="21"/>
          <w:szCs w:val="21"/>
        </w:rPr>
        <w:t xml:space="preserve">- - - - - - </w:t>
      </w:r>
    </w:p>
    <w:p w14:paraId="558B2B21" w14:textId="6ABB8C97" w:rsidR="000E4AA9" w:rsidRPr="00E54183" w:rsidRDefault="000E4AA9" w:rsidP="000E4AA9">
      <w:pPr>
        <w:pStyle w:val="Default"/>
        <w:ind w:firstLine="708"/>
        <w:jc w:val="both"/>
        <w:rPr>
          <w:rFonts w:ascii="Abadi" w:hAnsi="Abadi"/>
          <w:color w:val="auto"/>
          <w:sz w:val="21"/>
          <w:szCs w:val="21"/>
        </w:rPr>
      </w:pPr>
      <w:r w:rsidRPr="00E54183">
        <w:rPr>
          <w:rFonts w:ascii="Abadi" w:hAnsi="Abadi"/>
          <w:color w:val="auto"/>
          <w:sz w:val="21"/>
          <w:szCs w:val="21"/>
        </w:rPr>
        <w:t xml:space="preserve">La presidencia expresó que, en virtud de que el cuórum de asistencia se había mantenido, no procedería a instruir a la secretaría a un nuevo pase de lista; por lo que levantó la sesión a las catorce horas con treinta y un minutos e indicó que se citaría para la siguiente sesión por conducto de la Secretaría General. - - - - - - - - - - </w:t>
      </w:r>
    </w:p>
    <w:p w14:paraId="5702710C" w14:textId="44ABDC85" w:rsidR="000E4AA9" w:rsidRPr="00E54183" w:rsidRDefault="000E4AA9" w:rsidP="000E4AA9">
      <w:pPr>
        <w:pStyle w:val="Default"/>
        <w:ind w:firstLine="708"/>
        <w:jc w:val="both"/>
        <w:rPr>
          <w:rFonts w:ascii="Abadi" w:hAnsi="Abadi"/>
          <w:color w:val="auto"/>
          <w:sz w:val="21"/>
          <w:szCs w:val="21"/>
        </w:rPr>
      </w:pPr>
      <w:r w:rsidRPr="00E54183">
        <w:rPr>
          <w:rFonts w:ascii="Abadi" w:hAnsi="Abadi"/>
          <w:color w:val="auto"/>
          <w:sz w:val="21"/>
          <w:szCs w:val="21"/>
        </w:rPr>
        <w:t xml:space="preserve">Todas y cada una de las intervenciones de las diputadas y de los diputados registradas durante la presente sesión se contienen íntegramente en versión mecanográfica y forman parte de la presente acta. Damos fe. - - </w:t>
      </w:r>
      <w:r w:rsidR="004151AA">
        <w:rPr>
          <w:rFonts w:ascii="Abadi" w:hAnsi="Abadi"/>
          <w:color w:val="auto"/>
          <w:sz w:val="21"/>
          <w:szCs w:val="21"/>
        </w:rPr>
        <w:t xml:space="preserve">- - - - - - </w:t>
      </w:r>
    </w:p>
    <w:p w14:paraId="13B7ADF5" w14:textId="77777777" w:rsidR="000E4AA9" w:rsidRDefault="000E4AA9" w:rsidP="000E4AA9">
      <w:pPr>
        <w:pStyle w:val="Default"/>
        <w:jc w:val="both"/>
        <w:rPr>
          <w:rFonts w:ascii="Abadi" w:hAnsi="Abadi"/>
          <w:b/>
          <w:bCs/>
          <w:color w:val="auto"/>
          <w:sz w:val="21"/>
          <w:szCs w:val="21"/>
        </w:rPr>
      </w:pPr>
    </w:p>
    <w:p w14:paraId="78AB137E" w14:textId="77777777" w:rsidR="00135E64" w:rsidRDefault="00135E64" w:rsidP="00135E64">
      <w:pPr>
        <w:autoSpaceDE w:val="0"/>
        <w:autoSpaceDN w:val="0"/>
        <w:adjustRightInd w:val="0"/>
        <w:jc w:val="both"/>
        <w:rPr>
          <w:rFonts w:ascii="Abadi" w:hAnsi="Abadi" w:cs="Verdana"/>
          <w:b/>
          <w:bCs/>
          <w:color w:val="000000"/>
          <w:sz w:val="21"/>
          <w:szCs w:val="21"/>
        </w:rPr>
      </w:pPr>
    </w:p>
    <w:p w14:paraId="5617BA4A" w14:textId="77777777" w:rsidR="00135E64" w:rsidRPr="00E6379B" w:rsidRDefault="00135E64" w:rsidP="00135E64">
      <w:pPr>
        <w:pStyle w:val="Default"/>
        <w:jc w:val="both"/>
        <w:rPr>
          <w:rFonts w:ascii="Abadi" w:hAnsi="Abadi"/>
          <w:sz w:val="21"/>
          <w:szCs w:val="21"/>
        </w:rPr>
      </w:pPr>
      <w:r w:rsidRPr="00AA22F2">
        <w:rPr>
          <w:rFonts w:ascii="Abadi" w:hAnsi="Abadi" w:cs="Verdana"/>
          <w:b/>
          <w:bCs/>
          <w:sz w:val="21"/>
          <w:szCs w:val="21"/>
        </w:rPr>
        <w:t>Irma Leticia González Sánchez</w:t>
      </w:r>
    </w:p>
    <w:p w14:paraId="54E1B7A5" w14:textId="77777777" w:rsidR="00992EA7" w:rsidRDefault="00135E64" w:rsidP="00135E64">
      <w:pPr>
        <w:autoSpaceDE w:val="0"/>
        <w:autoSpaceDN w:val="0"/>
        <w:adjustRightInd w:val="0"/>
        <w:jc w:val="both"/>
        <w:rPr>
          <w:rFonts w:ascii="Abadi" w:hAnsi="Abadi" w:cs="Verdana"/>
          <w:b/>
          <w:bCs/>
          <w:color w:val="000000"/>
          <w:sz w:val="21"/>
          <w:szCs w:val="21"/>
        </w:rPr>
      </w:pPr>
      <w:r w:rsidRPr="00AA22F2">
        <w:rPr>
          <w:rFonts w:ascii="Abadi" w:hAnsi="Abadi" w:cs="Verdana"/>
          <w:b/>
          <w:bCs/>
          <w:color w:val="000000"/>
          <w:sz w:val="21"/>
          <w:szCs w:val="21"/>
        </w:rPr>
        <w:t xml:space="preserve">Diputada presidenta </w:t>
      </w:r>
    </w:p>
    <w:p w14:paraId="607AC35C" w14:textId="77777777" w:rsidR="00992EA7" w:rsidRDefault="00992EA7" w:rsidP="00135E64">
      <w:pPr>
        <w:autoSpaceDE w:val="0"/>
        <w:autoSpaceDN w:val="0"/>
        <w:adjustRightInd w:val="0"/>
        <w:jc w:val="both"/>
        <w:rPr>
          <w:rFonts w:ascii="Abadi" w:hAnsi="Abadi" w:cs="Verdana"/>
          <w:b/>
          <w:bCs/>
          <w:color w:val="000000"/>
          <w:sz w:val="21"/>
          <w:szCs w:val="21"/>
        </w:rPr>
      </w:pPr>
    </w:p>
    <w:p w14:paraId="6481B876" w14:textId="724F1F90" w:rsidR="00135E64" w:rsidRPr="00AA22F2" w:rsidRDefault="00135E64" w:rsidP="00135E64">
      <w:pPr>
        <w:autoSpaceDE w:val="0"/>
        <w:autoSpaceDN w:val="0"/>
        <w:adjustRightInd w:val="0"/>
        <w:jc w:val="both"/>
        <w:rPr>
          <w:rFonts w:ascii="Abadi" w:hAnsi="Abadi" w:cs="Verdana"/>
          <w:b/>
          <w:bCs/>
          <w:color w:val="000000"/>
          <w:sz w:val="21"/>
          <w:szCs w:val="21"/>
        </w:rPr>
      </w:pPr>
      <w:r w:rsidRPr="00AA22F2">
        <w:rPr>
          <w:rFonts w:ascii="Abadi" w:hAnsi="Abadi" w:cs="Verdana"/>
          <w:b/>
          <w:bCs/>
          <w:color w:val="000000"/>
          <w:sz w:val="21"/>
          <w:szCs w:val="21"/>
        </w:rPr>
        <w:t xml:space="preserve">Briseida Anabel Magdaleno González </w:t>
      </w:r>
    </w:p>
    <w:p w14:paraId="5F8E7AA1" w14:textId="77777777" w:rsidR="00135E64" w:rsidRDefault="00135E64" w:rsidP="00135E64">
      <w:pPr>
        <w:pStyle w:val="Default"/>
        <w:jc w:val="both"/>
        <w:rPr>
          <w:rFonts w:ascii="Abadi" w:hAnsi="Abadi" w:cs="Verdana"/>
          <w:b/>
          <w:bCs/>
          <w:sz w:val="21"/>
          <w:szCs w:val="21"/>
        </w:rPr>
      </w:pPr>
      <w:r w:rsidRPr="00AA22F2">
        <w:rPr>
          <w:rFonts w:ascii="Abadi" w:hAnsi="Abadi" w:cs="Verdana"/>
          <w:b/>
          <w:bCs/>
          <w:sz w:val="21"/>
          <w:szCs w:val="21"/>
        </w:rPr>
        <w:t>Diputada secretaria</w:t>
      </w:r>
    </w:p>
    <w:p w14:paraId="780364AD" w14:textId="77777777" w:rsidR="00135E64" w:rsidRDefault="00135E64" w:rsidP="00135E64">
      <w:pPr>
        <w:pStyle w:val="Default"/>
        <w:jc w:val="both"/>
        <w:rPr>
          <w:rFonts w:ascii="Abadi" w:hAnsi="Abadi" w:cs="Verdana"/>
          <w:b/>
          <w:bCs/>
          <w:sz w:val="21"/>
          <w:szCs w:val="21"/>
        </w:rPr>
      </w:pPr>
    </w:p>
    <w:p w14:paraId="353A3A28" w14:textId="77777777" w:rsidR="00135E64" w:rsidRPr="00AA22F2" w:rsidRDefault="00135E64" w:rsidP="00135E64">
      <w:pPr>
        <w:autoSpaceDE w:val="0"/>
        <w:autoSpaceDN w:val="0"/>
        <w:adjustRightInd w:val="0"/>
        <w:jc w:val="both"/>
        <w:rPr>
          <w:rFonts w:ascii="Abadi" w:hAnsi="Abadi" w:cs="Verdana"/>
          <w:color w:val="000000"/>
          <w:sz w:val="21"/>
          <w:szCs w:val="21"/>
        </w:rPr>
      </w:pPr>
      <w:r w:rsidRPr="00AA22F2">
        <w:rPr>
          <w:rFonts w:ascii="Abadi" w:hAnsi="Abadi" w:cs="Verdana"/>
          <w:b/>
          <w:bCs/>
          <w:color w:val="000000"/>
          <w:sz w:val="21"/>
          <w:szCs w:val="21"/>
        </w:rPr>
        <w:t xml:space="preserve">Yulma Rocha Aguilar </w:t>
      </w:r>
    </w:p>
    <w:p w14:paraId="15D5ED5F" w14:textId="681B1E6A" w:rsidR="00135E64" w:rsidRDefault="00135E64" w:rsidP="00135E64">
      <w:pPr>
        <w:pStyle w:val="Default"/>
        <w:jc w:val="both"/>
        <w:rPr>
          <w:rFonts w:ascii="Abadi" w:hAnsi="Abadi" w:cs="Verdana"/>
          <w:b/>
          <w:bCs/>
          <w:sz w:val="21"/>
          <w:szCs w:val="21"/>
        </w:rPr>
      </w:pPr>
      <w:r w:rsidRPr="00AA22F2">
        <w:rPr>
          <w:rFonts w:ascii="Abadi" w:hAnsi="Abadi" w:cs="Verdana"/>
          <w:b/>
          <w:bCs/>
          <w:sz w:val="21"/>
          <w:szCs w:val="21"/>
        </w:rPr>
        <w:t xml:space="preserve">Diputada secretaria </w:t>
      </w:r>
    </w:p>
    <w:p w14:paraId="736AAF9B" w14:textId="5EDFCB1D" w:rsidR="00992EA7" w:rsidRDefault="00992EA7" w:rsidP="00135E64">
      <w:pPr>
        <w:pStyle w:val="Default"/>
        <w:jc w:val="both"/>
        <w:rPr>
          <w:rFonts w:ascii="Abadi" w:hAnsi="Abadi" w:cs="Verdana"/>
          <w:b/>
          <w:bCs/>
          <w:sz w:val="21"/>
          <w:szCs w:val="21"/>
        </w:rPr>
      </w:pPr>
    </w:p>
    <w:p w14:paraId="4A7FF07A" w14:textId="20B7ED5D" w:rsidR="00992EA7" w:rsidRDefault="00992EA7" w:rsidP="00992EA7">
      <w:pPr>
        <w:pStyle w:val="Default"/>
        <w:rPr>
          <w:rFonts w:ascii="Abadi" w:eastAsia="Times New Roman" w:hAnsi="Abadi" w:cs="Verdana"/>
          <w:b/>
          <w:bCs/>
          <w:sz w:val="21"/>
          <w:szCs w:val="21"/>
          <w:lang w:eastAsia="es-ES"/>
        </w:rPr>
      </w:pPr>
      <w:r w:rsidRPr="00992EA7">
        <w:rPr>
          <w:rFonts w:ascii="Abadi" w:eastAsia="Times New Roman" w:hAnsi="Abadi" w:cs="Verdana"/>
          <w:b/>
          <w:bCs/>
          <w:sz w:val="21"/>
          <w:szCs w:val="21"/>
          <w:lang w:eastAsia="es-ES"/>
        </w:rPr>
        <w:t>Laura Cristina Márquez Alcalá Diputada vicepresidenta</w:t>
      </w:r>
    </w:p>
    <w:p w14:paraId="4B19D91C" w14:textId="39AAD639" w:rsidR="00814B3E" w:rsidRDefault="00814B3E" w:rsidP="00992EA7">
      <w:pPr>
        <w:pStyle w:val="Default"/>
        <w:rPr>
          <w:rFonts w:ascii="Abadi" w:eastAsia="Times New Roman" w:hAnsi="Abadi" w:cs="Verdana"/>
          <w:b/>
          <w:bCs/>
          <w:sz w:val="21"/>
          <w:szCs w:val="21"/>
          <w:lang w:eastAsia="es-ES"/>
        </w:rPr>
      </w:pPr>
    </w:p>
    <w:p w14:paraId="12C8E39C" w14:textId="77777777" w:rsidR="00FB7EF9" w:rsidRPr="001D5B8E" w:rsidRDefault="00FB7EF9" w:rsidP="00FB7EF9">
      <w:pPr>
        <w:jc w:val="both"/>
        <w:rPr>
          <w:rFonts w:ascii="Abadi" w:hAnsi="Abadi"/>
          <w:sz w:val="21"/>
          <w:szCs w:val="21"/>
        </w:rPr>
      </w:pPr>
    </w:p>
    <w:p w14:paraId="62127273" w14:textId="69E6FD3C" w:rsidR="00443882" w:rsidRDefault="00FA5D95" w:rsidP="006623F0">
      <w:pPr>
        <w:pStyle w:val="Prrafodelista"/>
        <w:numPr>
          <w:ilvl w:val="0"/>
          <w:numId w:val="4"/>
        </w:numPr>
        <w:ind w:left="284"/>
        <w:jc w:val="both"/>
        <w:rPr>
          <w:rFonts w:ascii="Abadi" w:hAnsi="Abadi"/>
          <w:b/>
          <w:bCs/>
          <w:sz w:val="21"/>
          <w:szCs w:val="21"/>
        </w:rPr>
      </w:pPr>
      <w:r w:rsidRPr="00371C5B">
        <w:rPr>
          <w:rFonts w:ascii="Abadi" w:hAnsi="Abadi"/>
          <w:b/>
          <w:bCs/>
          <w:sz w:val="21"/>
          <w:szCs w:val="21"/>
        </w:rPr>
        <w:t xml:space="preserve">DAR CUENTA CON LAS COMUNICACIONES </w:t>
      </w:r>
      <w:r w:rsidR="000D1744" w:rsidRPr="00371C5B">
        <w:rPr>
          <w:rFonts w:ascii="Abadi" w:hAnsi="Abadi"/>
          <w:b/>
          <w:bCs/>
          <w:sz w:val="21"/>
          <w:szCs w:val="21"/>
        </w:rPr>
        <w:t>Y CORRESPONDENCIA</w:t>
      </w:r>
      <w:r w:rsidRPr="00371C5B">
        <w:rPr>
          <w:rFonts w:ascii="Abadi" w:hAnsi="Abadi"/>
          <w:b/>
          <w:bCs/>
          <w:sz w:val="21"/>
          <w:szCs w:val="21"/>
        </w:rPr>
        <w:t xml:space="preserve"> RECIBIDAS</w:t>
      </w:r>
      <w:r w:rsidR="005F21F2" w:rsidRPr="00371C5B">
        <w:rPr>
          <w:rFonts w:ascii="Abadi" w:hAnsi="Abadi"/>
          <w:b/>
          <w:bCs/>
          <w:sz w:val="21"/>
          <w:szCs w:val="21"/>
        </w:rPr>
        <w:t xml:space="preserve"> </w:t>
      </w:r>
      <w:r w:rsidR="0007521C">
        <w:rPr>
          <w:rStyle w:val="Refdenotaalpie"/>
          <w:rFonts w:ascii="Abadi" w:hAnsi="Abadi"/>
          <w:b/>
          <w:bCs/>
          <w:sz w:val="21"/>
          <w:szCs w:val="21"/>
        </w:rPr>
        <w:footnoteReference w:id="2"/>
      </w:r>
    </w:p>
    <w:p w14:paraId="412EA27D" w14:textId="77777777" w:rsidR="0007521C" w:rsidRPr="00371C5B" w:rsidRDefault="0007521C" w:rsidP="0007521C">
      <w:pPr>
        <w:pStyle w:val="Prrafodelista"/>
        <w:ind w:left="284"/>
        <w:jc w:val="both"/>
        <w:rPr>
          <w:rFonts w:ascii="Abadi" w:hAnsi="Abadi"/>
          <w:b/>
          <w:bCs/>
          <w:sz w:val="21"/>
          <w:szCs w:val="21"/>
        </w:rPr>
      </w:pPr>
    </w:p>
    <w:tbl>
      <w:tblPr>
        <w:tblStyle w:val="Tablaconcuadrcula"/>
        <w:tblW w:w="43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19"/>
        <w:gridCol w:w="2261"/>
      </w:tblGrid>
      <w:tr w:rsidR="00443882" w:rsidRPr="00401BFE" w14:paraId="60AEE478" w14:textId="77777777" w:rsidTr="000D34EF">
        <w:tc>
          <w:tcPr>
            <w:tcW w:w="2119" w:type="dxa"/>
            <w:shd w:val="clear" w:color="auto" w:fill="EEECE1" w:themeFill="background2"/>
          </w:tcPr>
          <w:p w14:paraId="56B76614" w14:textId="77777777" w:rsidR="00443882" w:rsidRPr="00401BFE" w:rsidRDefault="00443882" w:rsidP="001E4CB4">
            <w:pPr>
              <w:jc w:val="both"/>
              <w:rPr>
                <w:rFonts w:ascii="Abadi" w:hAnsi="Abadi"/>
                <w:b/>
                <w:bCs/>
                <w:sz w:val="21"/>
                <w:szCs w:val="21"/>
              </w:rPr>
            </w:pPr>
            <w:r w:rsidRPr="00401BFE">
              <w:rPr>
                <w:rFonts w:ascii="Abadi" w:hAnsi="Abadi"/>
                <w:b/>
                <w:bCs/>
                <w:sz w:val="21"/>
                <w:szCs w:val="21"/>
              </w:rPr>
              <w:t>A S U N T O</w:t>
            </w:r>
          </w:p>
        </w:tc>
        <w:tc>
          <w:tcPr>
            <w:tcW w:w="2261" w:type="dxa"/>
            <w:shd w:val="clear" w:color="auto" w:fill="EEECE1" w:themeFill="background2"/>
          </w:tcPr>
          <w:p w14:paraId="54D3E96D" w14:textId="77777777" w:rsidR="00443882" w:rsidRPr="00401BFE" w:rsidRDefault="00443882" w:rsidP="001E4CB4">
            <w:pPr>
              <w:jc w:val="both"/>
              <w:rPr>
                <w:rFonts w:ascii="Abadi" w:hAnsi="Abadi"/>
                <w:b/>
                <w:bCs/>
                <w:sz w:val="21"/>
                <w:szCs w:val="21"/>
              </w:rPr>
            </w:pPr>
            <w:r w:rsidRPr="00401BFE">
              <w:rPr>
                <w:rFonts w:ascii="Abadi" w:hAnsi="Abadi"/>
                <w:b/>
                <w:bCs/>
                <w:sz w:val="21"/>
                <w:szCs w:val="21"/>
              </w:rPr>
              <w:t>A C U E R D O</w:t>
            </w:r>
          </w:p>
        </w:tc>
      </w:tr>
      <w:tr w:rsidR="00443882" w:rsidRPr="00401BFE" w14:paraId="305C8D6A" w14:textId="77777777" w:rsidTr="00883178">
        <w:tc>
          <w:tcPr>
            <w:tcW w:w="4380" w:type="dxa"/>
            <w:gridSpan w:val="2"/>
            <w:shd w:val="clear" w:color="auto" w:fill="EEECE1" w:themeFill="background2"/>
          </w:tcPr>
          <w:p w14:paraId="307FC2AF" w14:textId="5187463D" w:rsidR="00443882" w:rsidRPr="00401BFE" w:rsidRDefault="00C529C5" w:rsidP="001E4CB4">
            <w:pPr>
              <w:jc w:val="both"/>
              <w:rPr>
                <w:rFonts w:ascii="Abadi" w:hAnsi="Abadi"/>
                <w:b/>
                <w:bCs/>
                <w:sz w:val="21"/>
                <w:szCs w:val="21"/>
              </w:rPr>
            </w:pPr>
            <w:r w:rsidRPr="00401BFE">
              <w:rPr>
                <w:rFonts w:ascii="Abadi" w:hAnsi="Abadi"/>
                <w:b/>
                <w:bCs/>
                <w:sz w:val="21"/>
                <w:szCs w:val="21"/>
              </w:rPr>
              <w:t>I. Comunicados provenientes de los poderes de la Unión y Organismos Autónomos.</w:t>
            </w:r>
          </w:p>
        </w:tc>
      </w:tr>
      <w:tr w:rsidR="00443882" w:rsidRPr="00401BFE" w14:paraId="1CD4CEAC" w14:textId="77777777" w:rsidTr="000D34EF">
        <w:tc>
          <w:tcPr>
            <w:tcW w:w="2119" w:type="dxa"/>
          </w:tcPr>
          <w:p w14:paraId="69A9ED2D" w14:textId="1B3CFA9E" w:rsidR="00EA63B7" w:rsidRPr="00401BFE" w:rsidRDefault="002D5874" w:rsidP="00980579">
            <w:pPr>
              <w:autoSpaceDE w:val="0"/>
              <w:autoSpaceDN w:val="0"/>
              <w:adjustRightInd w:val="0"/>
              <w:jc w:val="both"/>
              <w:rPr>
                <w:rFonts w:ascii="Abadi" w:eastAsia="Calibri" w:hAnsi="Abadi" w:cs="Arial"/>
                <w:color w:val="000000"/>
                <w:sz w:val="21"/>
                <w:szCs w:val="21"/>
                <w:lang w:eastAsia="en-US"/>
              </w:rPr>
            </w:pPr>
            <w:r w:rsidRPr="00401BFE">
              <w:rPr>
                <w:rFonts w:ascii="Abadi" w:hAnsi="Abadi"/>
                <w:color w:val="333333"/>
                <w:sz w:val="21"/>
                <w:szCs w:val="21"/>
                <w:shd w:val="clear" w:color="auto" w:fill="F9F9F9"/>
              </w:rPr>
              <w:lastRenderedPageBreak/>
              <w:t>El titular del Órgano de Operación Administrativa Desconcentrada Estatal del IMSS en Guanajuato remite respuesta a la solicitud de información referente al estatus que guarda el proyecto de construcción de la clínica del Instituto Mexicano del Seguro Social en la ciudad de Guanajuato, así como los requisitos que deben cubrirse para la construcción de unidades médicas de primer, segundo y tercer nivel de atención.</w:t>
            </w:r>
          </w:p>
        </w:tc>
        <w:tc>
          <w:tcPr>
            <w:tcW w:w="2261" w:type="dxa"/>
          </w:tcPr>
          <w:p w14:paraId="36FCD71A" w14:textId="623D3149" w:rsidR="00443882" w:rsidRPr="00401BFE" w:rsidRDefault="002D5874" w:rsidP="004C5149">
            <w:pPr>
              <w:jc w:val="both"/>
              <w:rPr>
                <w:rFonts w:ascii="Abadi" w:hAnsi="Abadi"/>
                <w:b/>
                <w:bCs/>
                <w:sz w:val="21"/>
                <w:szCs w:val="21"/>
              </w:rPr>
            </w:pPr>
            <w:r w:rsidRPr="00401BFE">
              <w:rPr>
                <w:rFonts w:ascii="Abadi" w:hAnsi="Abadi"/>
                <w:b/>
                <w:bCs/>
                <w:color w:val="333333"/>
                <w:sz w:val="21"/>
                <w:szCs w:val="21"/>
                <w:shd w:val="clear" w:color="auto" w:fill="F9F9F9"/>
              </w:rPr>
              <w:t>Enterados y se informa que se turnó a la Comisión de Salud Pública.</w:t>
            </w:r>
          </w:p>
        </w:tc>
      </w:tr>
      <w:tr w:rsidR="00EA63B7" w:rsidRPr="00401BFE" w14:paraId="62B891E7" w14:textId="77777777" w:rsidTr="000D34EF">
        <w:tc>
          <w:tcPr>
            <w:tcW w:w="2119" w:type="dxa"/>
          </w:tcPr>
          <w:p w14:paraId="30489406" w14:textId="3E32566C" w:rsidR="00EA63B7" w:rsidRPr="00401BFE" w:rsidRDefault="002D5874" w:rsidP="009912FA">
            <w:pPr>
              <w:autoSpaceDE w:val="0"/>
              <w:autoSpaceDN w:val="0"/>
              <w:adjustRightInd w:val="0"/>
              <w:jc w:val="both"/>
              <w:rPr>
                <w:rFonts w:ascii="Abadi" w:hAnsi="Abadi"/>
                <w:sz w:val="21"/>
                <w:szCs w:val="21"/>
              </w:rPr>
            </w:pPr>
            <w:r w:rsidRPr="00401BFE">
              <w:rPr>
                <w:rFonts w:ascii="Abadi" w:hAnsi="Abadi"/>
                <w:color w:val="333333"/>
                <w:sz w:val="21"/>
                <w:szCs w:val="21"/>
                <w:shd w:val="clear" w:color="auto" w:fill="FFFFFF"/>
              </w:rPr>
              <w:t>Acuerdo emitido por la Jueza Décimo Primero de Distrito en el Estado de cumplimiento de la sentencia del juicio de amparo tramitado bajo el expediente número 328/2021.</w:t>
            </w:r>
          </w:p>
        </w:tc>
        <w:tc>
          <w:tcPr>
            <w:tcW w:w="2261" w:type="dxa"/>
          </w:tcPr>
          <w:p w14:paraId="6B637CD3" w14:textId="7A9AD18E" w:rsidR="00EA63B7" w:rsidRPr="00401BFE" w:rsidRDefault="002D5874" w:rsidP="009912FA">
            <w:pPr>
              <w:autoSpaceDE w:val="0"/>
              <w:autoSpaceDN w:val="0"/>
              <w:adjustRightInd w:val="0"/>
              <w:jc w:val="both"/>
              <w:rPr>
                <w:rFonts w:ascii="Abadi" w:hAnsi="Abadi"/>
                <w:b/>
                <w:bCs/>
                <w:sz w:val="21"/>
                <w:szCs w:val="21"/>
              </w:rPr>
            </w:pPr>
            <w:r w:rsidRPr="00401BFE">
              <w:rPr>
                <w:rFonts w:ascii="Abadi" w:hAnsi="Abadi"/>
                <w:b/>
                <w:bCs/>
                <w:color w:val="333333"/>
                <w:sz w:val="21"/>
                <w:szCs w:val="21"/>
                <w:shd w:val="clear" w:color="auto" w:fill="FFFFFF"/>
              </w:rPr>
              <w:t>Enterados y se turna a la Comisión de Hacienda y Fiscalización.</w:t>
            </w:r>
          </w:p>
        </w:tc>
      </w:tr>
      <w:tr w:rsidR="00EA63B7" w:rsidRPr="00401BFE" w14:paraId="796E5EE9" w14:textId="77777777" w:rsidTr="000D34EF">
        <w:tc>
          <w:tcPr>
            <w:tcW w:w="2119" w:type="dxa"/>
          </w:tcPr>
          <w:p w14:paraId="29D99342" w14:textId="4D2C1878" w:rsidR="00EA63B7" w:rsidRPr="00401BFE" w:rsidRDefault="002D5874" w:rsidP="00883178">
            <w:pPr>
              <w:autoSpaceDE w:val="0"/>
              <w:autoSpaceDN w:val="0"/>
              <w:adjustRightInd w:val="0"/>
              <w:jc w:val="both"/>
              <w:rPr>
                <w:rFonts w:ascii="Abadi" w:hAnsi="Abadi"/>
                <w:sz w:val="21"/>
                <w:szCs w:val="21"/>
              </w:rPr>
            </w:pPr>
            <w:r w:rsidRPr="00401BFE">
              <w:rPr>
                <w:rFonts w:ascii="Abadi" w:hAnsi="Abadi"/>
                <w:color w:val="333333"/>
                <w:sz w:val="21"/>
                <w:szCs w:val="21"/>
                <w:shd w:val="clear" w:color="auto" w:fill="F9F9F9"/>
              </w:rPr>
              <w:t>El subsecretario de Finanzas e Inversión de la Secretaría de Finanzas, Inversión y Administración remite copia del convenio modificatorio al contrato de apertura de crédito simple celebrado con fecha 9 de marzo de 2018, entre el estado de Guanajuato y BBVA México, Sociedad Anónima, Institución de Banca Múltiple, Grupo Financiero BBVA México.</w:t>
            </w:r>
          </w:p>
        </w:tc>
        <w:tc>
          <w:tcPr>
            <w:tcW w:w="2261" w:type="dxa"/>
          </w:tcPr>
          <w:p w14:paraId="1AF30E0A" w14:textId="3D2073F0" w:rsidR="00EA63B7" w:rsidRPr="00401BFE" w:rsidRDefault="00CF5C32" w:rsidP="00883178">
            <w:pPr>
              <w:jc w:val="both"/>
              <w:rPr>
                <w:rFonts w:ascii="Abadi" w:hAnsi="Abadi"/>
                <w:b/>
                <w:bCs/>
                <w:sz w:val="21"/>
                <w:szCs w:val="21"/>
              </w:rPr>
            </w:pPr>
            <w:r w:rsidRPr="00401BFE">
              <w:rPr>
                <w:rFonts w:ascii="Abadi" w:hAnsi="Abadi"/>
                <w:b/>
                <w:bCs/>
                <w:color w:val="333333"/>
                <w:sz w:val="21"/>
                <w:szCs w:val="21"/>
                <w:shd w:val="clear" w:color="auto" w:fill="F9F9F9"/>
              </w:rPr>
              <w:t>Enterados, se remite a la Auditoría Superior del Estado de Guanajuato y a la Unidad de Estudio de la Finanzas Públicas, y se informa que se turnó a la Comisión de Hacienda y Fiscalización.</w:t>
            </w:r>
          </w:p>
        </w:tc>
      </w:tr>
      <w:tr w:rsidR="00EA63B7" w:rsidRPr="00401BFE" w14:paraId="0A03A92D" w14:textId="77777777" w:rsidTr="000D34EF">
        <w:tc>
          <w:tcPr>
            <w:tcW w:w="2119" w:type="dxa"/>
          </w:tcPr>
          <w:p w14:paraId="34112772" w14:textId="482C566C" w:rsidR="00EA63B7" w:rsidRPr="00401BFE" w:rsidRDefault="00CF5C32" w:rsidP="0014756F">
            <w:pPr>
              <w:autoSpaceDE w:val="0"/>
              <w:autoSpaceDN w:val="0"/>
              <w:adjustRightInd w:val="0"/>
              <w:jc w:val="both"/>
              <w:rPr>
                <w:rFonts w:ascii="Abadi" w:hAnsi="Abadi"/>
                <w:sz w:val="21"/>
                <w:szCs w:val="21"/>
              </w:rPr>
            </w:pPr>
            <w:r w:rsidRPr="00401BFE">
              <w:rPr>
                <w:rFonts w:ascii="Abadi" w:hAnsi="Abadi"/>
                <w:color w:val="333333"/>
                <w:sz w:val="21"/>
                <w:szCs w:val="21"/>
                <w:shd w:val="clear" w:color="auto" w:fill="FFFFFF"/>
              </w:rPr>
              <w:t xml:space="preserve">El subsecretario de Finanzas e Inversión de la Secretaría de Finanzas, Inversión y </w:t>
            </w:r>
            <w:r w:rsidRPr="00401BFE">
              <w:rPr>
                <w:rFonts w:ascii="Abadi" w:hAnsi="Abadi"/>
                <w:color w:val="333333"/>
                <w:sz w:val="21"/>
                <w:szCs w:val="21"/>
                <w:shd w:val="clear" w:color="auto" w:fill="FFFFFF"/>
              </w:rPr>
              <w:t>Administración remite copia del convenio modificatorio al contrato de apertura de crédito simple celebrado con fecha 22 de octubre de 2020, entre el estado de Guanajuato y BBVA México, Sociedad Anónima, Institución de Banca Múltiple, Grupo Financiero BBVA México. Enterados, se remite a la Auditoría Superior del Estado de Guanajuato y a la Unidad de Estudio de la Finanzas Públicas, y se informa que se turnó a la Comisión de Hacienda y Fiscalización.</w:t>
            </w:r>
          </w:p>
        </w:tc>
        <w:tc>
          <w:tcPr>
            <w:tcW w:w="2261" w:type="dxa"/>
          </w:tcPr>
          <w:p w14:paraId="112315B0" w14:textId="552EF15A" w:rsidR="00EA63B7" w:rsidRPr="00401BFE" w:rsidRDefault="00CF5C32" w:rsidP="002C5131">
            <w:pPr>
              <w:autoSpaceDE w:val="0"/>
              <w:autoSpaceDN w:val="0"/>
              <w:adjustRightInd w:val="0"/>
              <w:jc w:val="both"/>
              <w:rPr>
                <w:rFonts w:ascii="Abadi" w:hAnsi="Abadi"/>
                <w:b/>
                <w:bCs/>
                <w:sz w:val="21"/>
                <w:szCs w:val="21"/>
              </w:rPr>
            </w:pPr>
            <w:r w:rsidRPr="00401BFE">
              <w:rPr>
                <w:rFonts w:ascii="Abadi" w:hAnsi="Abadi"/>
                <w:b/>
                <w:bCs/>
                <w:color w:val="333333"/>
                <w:sz w:val="21"/>
                <w:szCs w:val="21"/>
                <w:shd w:val="clear" w:color="auto" w:fill="FFFFFF"/>
              </w:rPr>
              <w:t>Enterados, se remite a la Auditoría Superior del Estado de Guanajuato y a la Unidad de Estudio de la Finanzas Públicas, y se informa que se turnó a la Comisión de Hacienda y Fiscalización.</w:t>
            </w:r>
          </w:p>
        </w:tc>
      </w:tr>
      <w:tr w:rsidR="00EA63B7" w:rsidRPr="00401BFE" w14:paraId="58F68360" w14:textId="77777777" w:rsidTr="000D34EF">
        <w:tc>
          <w:tcPr>
            <w:tcW w:w="2119" w:type="dxa"/>
          </w:tcPr>
          <w:p w14:paraId="55F52DAF" w14:textId="1ECB9AA7" w:rsidR="00EA63B7" w:rsidRPr="00401BFE" w:rsidRDefault="00994AF6" w:rsidP="00883178">
            <w:pPr>
              <w:autoSpaceDE w:val="0"/>
              <w:autoSpaceDN w:val="0"/>
              <w:adjustRightInd w:val="0"/>
              <w:jc w:val="both"/>
              <w:rPr>
                <w:rFonts w:ascii="Abadi" w:hAnsi="Abadi"/>
                <w:sz w:val="21"/>
                <w:szCs w:val="21"/>
              </w:rPr>
            </w:pPr>
            <w:r w:rsidRPr="00401BFE">
              <w:rPr>
                <w:rFonts w:ascii="Abadi" w:hAnsi="Abadi"/>
                <w:color w:val="333333"/>
                <w:sz w:val="21"/>
                <w:szCs w:val="21"/>
                <w:shd w:val="clear" w:color="auto" w:fill="FFFFFF"/>
              </w:rPr>
              <w:t>El subsecretario de Finanzas e Inversión de la Secretaría de Finanzas, Inversión y Administración remite copia del segundo convenio modificatorio y de reestructura al contrato de apertura de crédito simple, celebrado con fecha 8 de abril de 2016, entre el estado de Guanajuato y Banco Nacional de México, S. A., Integrante del Grupo Financiero Banamex.</w:t>
            </w:r>
          </w:p>
        </w:tc>
        <w:tc>
          <w:tcPr>
            <w:tcW w:w="2261" w:type="dxa"/>
          </w:tcPr>
          <w:p w14:paraId="39E673D5" w14:textId="288ED78E" w:rsidR="00EA63B7" w:rsidRPr="00401BFE" w:rsidRDefault="00994AF6" w:rsidP="002C5131">
            <w:pPr>
              <w:autoSpaceDE w:val="0"/>
              <w:autoSpaceDN w:val="0"/>
              <w:adjustRightInd w:val="0"/>
              <w:jc w:val="both"/>
              <w:rPr>
                <w:rFonts w:ascii="Abadi" w:hAnsi="Abadi"/>
                <w:b/>
                <w:bCs/>
                <w:sz w:val="21"/>
                <w:szCs w:val="21"/>
              </w:rPr>
            </w:pPr>
            <w:r w:rsidRPr="00401BFE">
              <w:rPr>
                <w:rFonts w:ascii="Abadi" w:hAnsi="Abadi"/>
                <w:b/>
                <w:bCs/>
                <w:color w:val="333333"/>
                <w:sz w:val="21"/>
                <w:szCs w:val="21"/>
                <w:shd w:val="clear" w:color="auto" w:fill="FFFFFF"/>
              </w:rPr>
              <w:t>Enterados, se remite a la Auditoría Superior del Estado de Guanajuato y a la Unidad de Estudio de la Finanzas Públicas, y se informa que se turnó a la Comisión de Hacienda y Fiscalización.</w:t>
            </w:r>
          </w:p>
        </w:tc>
      </w:tr>
      <w:tr w:rsidR="00B86689" w:rsidRPr="00401BFE" w14:paraId="3AE1626C" w14:textId="77777777" w:rsidTr="000D34EF">
        <w:tc>
          <w:tcPr>
            <w:tcW w:w="2119" w:type="dxa"/>
          </w:tcPr>
          <w:p w14:paraId="65A5DCF4" w14:textId="25A6510C" w:rsidR="005A1EF2" w:rsidRPr="00401BFE" w:rsidRDefault="00CA693B" w:rsidP="009912FA">
            <w:pPr>
              <w:autoSpaceDE w:val="0"/>
              <w:autoSpaceDN w:val="0"/>
              <w:adjustRightInd w:val="0"/>
              <w:jc w:val="both"/>
              <w:rPr>
                <w:rFonts w:ascii="Abadi" w:hAnsi="Abadi"/>
                <w:sz w:val="21"/>
                <w:szCs w:val="21"/>
              </w:rPr>
            </w:pPr>
            <w:r w:rsidRPr="00401BFE">
              <w:rPr>
                <w:rFonts w:ascii="Abadi" w:hAnsi="Abadi"/>
                <w:color w:val="333333"/>
                <w:sz w:val="21"/>
                <w:szCs w:val="21"/>
                <w:shd w:val="clear" w:color="auto" w:fill="F9F9F9"/>
              </w:rPr>
              <w:t xml:space="preserve">El subsecretario de Finanzas e Inversión de la Secretaría de Finanzas, Inversión y Administración remite copia del convenio modificatorio y de reestructura al contrato de apertura </w:t>
            </w:r>
            <w:r w:rsidRPr="00401BFE">
              <w:rPr>
                <w:rFonts w:ascii="Abadi" w:hAnsi="Abadi"/>
                <w:color w:val="333333"/>
                <w:sz w:val="21"/>
                <w:szCs w:val="21"/>
                <w:shd w:val="clear" w:color="auto" w:fill="F9F9F9"/>
              </w:rPr>
              <w:lastRenderedPageBreak/>
              <w:t>de crédito simple, celebrado con fecha 4 de septiembre de 2020, entre el estado de Guanajuato y Banco Nacional de México, S. A., Integrante del Grupo Financiero Banamex.</w:t>
            </w:r>
          </w:p>
        </w:tc>
        <w:tc>
          <w:tcPr>
            <w:tcW w:w="2261" w:type="dxa"/>
          </w:tcPr>
          <w:p w14:paraId="271A66AA" w14:textId="6AA8CE0E" w:rsidR="00B86689" w:rsidRPr="00401BFE" w:rsidRDefault="00CA693B" w:rsidP="006F2A08">
            <w:pPr>
              <w:autoSpaceDE w:val="0"/>
              <w:autoSpaceDN w:val="0"/>
              <w:adjustRightInd w:val="0"/>
              <w:jc w:val="both"/>
              <w:rPr>
                <w:rFonts w:ascii="Abadi" w:hAnsi="Abadi"/>
                <w:b/>
                <w:bCs/>
                <w:sz w:val="21"/>
                <w:szCs w:val="21"/>
              </w:rPr>
            </w:pPr>
            <w:r w:rsidRPr="00401BFE">
              <w:rPr>
                <w:rFonts w:ascii="Abadi" w:hAnsi="Abadi"/>
                <w:b/>
                <w:bCs/>
                <w:color w:val="333333"/>
                <w:sz w:val="21"/>
                <w:szCs w:val="21"/>
                <w:shd w:val="clear" w:color="auto" w:fill="F9F9F9"/>
              </w:rPr>
              <w:lastRenderedPageBreak/>
              <w:t>Enterados, se remite a la Auditoría Superior del Estado de Guanajuato y a la Unidad de Estudio de la Finanzas Públicas, y se informa que se turnó a la Comisión de Hacienda y Fiscalización.</w:t>
            </w:r>
          </w:p>
        </w:tc>
      </w:tr>
      <w:tr w:rsidR="00B86689" w:rsidRPr="00401BFE" w14:paraId="4EEBC097" w14:textId="77777777" w:rsidTr="000D34EF">
        <w:tc>
          <w:tcPr>
            <w:tcW w:w="2119" w:type="dxa"/>
          </w:tcPr>
          <w:p w14:paraId="6A8F6894" w14:textId="26CDD492" w:rsidR="00B86689" w:rsidRPr="00401BFE" w:rsidRDefault="00CA693B" w:rsidP="009912FA">
            <w:pPr>
              <w:autoSpaceDE w:val="0"/>
              <w:autoSpaceDN w:val="0"/>
              <w:adjustRightInd w:val="0"/>
              <w:jc w:val="both"/>
              <w:rPr>
                <w:rFonts w:ascii="Abadi" w:hAnsi="Abadi"/>
                <w:sz w:val="21"/>
                <w:szCs w:val="21"/>
              </w:rPr>
            </w:pPr>
            <w:r w:rsidRPr="00401BFE">
              <w:rPr>
                <w:rFonts w:ascii="Abadi" w:hAnsi="Abadi"/>
                <w:color w:val="333333"/>
                <w:sz w:val="21"/>
                <w:szCs w:val="21"/>
                <w:shd w:val="clear" w:color="auto" w:fill="FFFFFF"/>
              </w:rPr>
              <w:t>El secretario del Migrante y Enlace Internacional remite respuesta a la solicitud de información referente a las principales acciones, programas y proyectos que se trabajan durante el año enero-diciembre 2022 en beneficio de los migrantes de origen, tránsito, destino y retorno.</w:t>
            </w:r>
          </w:p>
        </w:tc>
        <w:tc>
          <w:tcPr>
            <w:tcW w:w="2261" w:type="dxa"/>
          </w:tcPr>
          <w:p w14:paraId="1AABE137" w14:textId="572D4BCB" w:rsidR="00B86689" w:rsidRPr="00401BFE" w:rsidRDefault="00CA693B" w:rsidP="00CC64DD">
            <w:pPr>
              <w:autoSpaceDE w:val="0"/>
              <w:autoSpaceDN w:val="0"/>
              <w:adjustRightInd w:val="0"/>
              <w:jc w:val="both"/>
              <w:rPr>
                <w:rFonts w:ascii="Abadi" w:hAnsi="Abadi"/>
                <w:b/>
                <w:bCs/>
                <w:sz w:val="21"/>
                <w:szCs w:val="21"/>
              </w:rPr>
            </w:pPr>
            <w:r w:rsidRPr="00401BFE">
              <w:rPr>
                <w:rFonts w:ascii="Abadi" w:hAnsi="Abadi"/>
                <w:b/>
                <w:bCs/>
                <w:color w:val="333333"/>
                <w:sz w:val="21"/>
                <w:szCs w:val="21"/>
                <w:shd w:val="clear" w:color="auto" w:fill="FFFFFF"/>
              </w:rPr>
              <w:t>Enterados y se informa que se turnó a la Comisión de Atención al Migrante.</w:t>
            </w:r>
          </w:p>
        </w:tc>
      </w:tr>
      <w:tr w:rsidR="002E4A9B" w:rsidRPr="00401BFE" w14:paraId="602E00D9" w14:textId="77777777" w:rsidTr="000D34EF">
        <w:tc>
          <w:tcPr>
            <w:tcW w:w="2119" w:type="dxa"/>
          </w:tcPr>
          <w:p w14:paraId="69D02498" w14:textId="661F1261" w:rsidR="002E4A9B" w:rsidRPr="00401BFE" w:rsidRDefault="00CA693B" w:rsidP="009912FA">
            <w:pPr>
              <w:autoSpaceDE w:val="0"/>
              <w:autoSpaceDN w:val="0"/>
              <w:adjustRightInd w:val="0"/>
              <w:jc w:val="both"/>
              <w:rPr>
                <w:rFonts w:ascii="Abadi" w:hAnsi="Abadi"/>
                <w:sz w:val="21"/>
                <w:szCs w:val="21"/>
              </w:rPr>
            </w:pPr>
            <w:r w:rsidRPr="00401BFE">
              <w:rPr>
                <w:rFonts w:ascii="Abadi" w:hAnsi="Abadi"/>
                <w:color w:val="333333"/>
                <w:sz w:val="21"/>
                <w:szCs w:val="21"/>
                <w:shd w:val="clear" w:color="auto" w:fill="F9F9F9"/>
              </w:rPr>
              <w:t>La coordinadora general Jurídica del Gobierno del Estado remite opinión consolidada que emiten la Secretaría de Salud y la Coordinación General Jurídica sobre la iniciativa que adiciona al Título Décimo, un capítulo IV denominado Tratamiento de las Adicciones, comprendiendo los artículos 162 Bis, 162 Ter, 162 Quater, 162 Quinquies y 162 Sexies, de la Ley de Salud del Estado de Guanajuato.</w:t>
            </w:r>
          </w:p>
        </w:tc>
        <w:tc>
          <w:tcPr>
            <w:tcW w:w="2261" w:type="dxa"/>
          </w:tcPr>
          <w:p w14:paraId="7118D19A" w14:textId="4166189C" w:rsidR="002E4A9B" w:rsidRPr="00401BFE" w:rsidRDefault="003A0E62" w:rsidP="0014756F">
            <w:pPr>
              <w:autoSpaceDE w:val="0"/>
              <w:autoSpaceDN w:val="0"/>
              <w:adjustRightInd w:val="0"/>
              <w:jc w:val="both"/>
              <w:rPr>
                <w:rFonts w:ascii="Abadi" w:hAnsi="Abadi"/>
                <w:b/>
                <w:bCs/>
                <w:sz w:val="21"/>
                <w:szCs w:val="21"/>
              </w:rPr>
            </w:pPr>
            <w:r w:rsidRPr="00401BFE">
              <w:rPr>
                <w:rFonts w:ascii="Abadi" w:hAnsi="Abadi"/>
                <w:b/>
                <w:bCs/>
                <w:color w:val="333333"/>
                <w:sz w:val="21"/>
                <w:szCs w:val="21"/>
                <w:shd w:val="clear" w:color="auto" w:fill="F9F9F9"/>
              </w:rPr>
              <w:t>Enterados y se informa que se turnó a la Comisión de Salud Pública.</w:t>
            </w:r>
          </w:p>
        </w:tc>
      </w:tr>
      <w:tr w:rsidR="00B86689" w:rsidRPr="00401BFE" w14:paraId="54FFC249" w14:textId="77777777" w:rsidTr="000D34EF">
        <w:tc>
          <w:tcPr>
            <w:tcW w:w="2119" w:type="dxa"/>
          </w:tcPr>
          <w:p w14:paraId="168B3DC8" w14:textId="2C99C0FA" w:rsidR="00B86689" w:rsidRPr="00401BFE" w:rsidRDefault="003A0E62" w:rsidP="009912FA">
            <w:pPr>
              <w:autoSpaceDE w:val="0"/>
              <w:autoSpaceDN w:val="0"/>
              <w:adjustRightInd w:val="0"/>
              <w:jc w:val="both"/>
              <w:rPr>
                <w:rFonts w:ascii="Abadi" w:hAnsi="Abadi"/>
                <w:sz w:val="21"/>
                <w:szCs w:val="21"/>
              </w:rPr>
            </w:pPr>
            <w:r w:rsidRPr="00401BFE">
              <w:rPr>
                <w:rFonts w:ascii="Abadi" w:hAnsi="Abadi"/>
                <w:color w:val="333333"/>
                <w:sz w:val="21"/>
                <w:szCs w:val="21"/>
                <w:shd w:val="clear" w:color="auto" w:fill="FFFFFF"/>
              </w:rPr>
              <w:t xml:space="preserve">La coordinadora general Jurídica del Gobierno del Estado remite opinión consolidada con la Secretaría de Gobierno, la Secretaría de Salud y </w:t>
            </w:r>
            <w:r w:rsidRPr="00401BFE">
              <w:rPr>
                <w:rFonts w:ascii="Abadi" w:hAnsi="Abadi"/>
                <w:color w:val="333333"/>
                <w:sz w:val="21"/>
                <w:szCs w:val="21"/>
                <w:shd w:val="clear" w:color="auto" w:fill="FFFFFF"/>
              </w:rPr>
              <w:t>la Secretaría de Educación a la consulta de la iniciativa a efecto de expedir la Ley para la Atención y Tratamiento Integral de las Adicciones para el Estado y los Municipios de Guanajuato y derogar diversos artículos de la Ley de Salud del Estado de Guanajuato.</w:t>
            </w:r>
          </w:p>
        </w:tc>
        <w:tc>
          <w:tcPr>
            <w:tcW w:w="2261" w:type="dxa"/>
          </w:tcPr>
          <w:p w14:paraId="76CDECBB" w14:textId="629DD71B" w:rsidR="00B86689" w:rsidRPr="00401BFE" w:rsidRDefault="003A0E62" w:rsidP="009826CC">
            <w:pPr>
              <w:jc w:val="both"/>
              <w:rPr>
                <w:rFonts w:ascii="Abadi" w:hAnsi="Abadi"/>
                <w:b/>
                <w:bCs/>
                <w:sz w:val="21"/>
                <w:szCs w:val="21"/>
              </w:rPr>
            </w:pPr>
            <w:r w:rsidRPr="00401BFE">
              <w:rPr>
                <w:rFonts w:ascii="Abadi" w:hAnsi="Abadi"/>
                <w:b/>
                <w:bCs/>
                <w:color w:val="333333"/>
                <w:sz w:val="21"/>
                <w:szCs w:val="21"/>
                <w:shd w:val="clear" w:color="auto" w:fill="FFFFFF"/>
              </w:rPr>
              <w:t>Enterados y se informa que se turnó a la Comisión de Salud Pública.</w:t>
            </w:r>
          </w:p>
        </w:tc>
      </w:tr>
      <w:tr w:rsidR="004E7DE6" w:rsidRPr="00401BFE" w14:paraId="6767C5B3" w14:textId="77777777" w:rsidTr="000D34EF">
        <w:tc>
          <w:tcPr>
            <w:tcW w:w="2119" w:type="dxa"/>
          </w:tcPr>
          <w:p w14:paraId="5ACEC8F0" w14:textId="77777777" w:rsidR="004E7DE6" w:rsidRDefault="001A43ED" w:rsidP="009826CC">
            <w:pPr>
              <w:autoSpaceDE w:val="0"/>
              <w:autoSpaceDN w:val="0"/>
              <w:adjustRightInd w:val="0"/>
              <w:jc w:val="both"/>
              <w:rPr>
                <w:rFonts w:ascii="Abadi" w:hAnsi="Abadi"/>
                <w:color w:val="333333"/>
                <w:sz w:val="21"/>
                <w:szCs w:val="21"/>
                <w:shd w:val="clear" w:color="auto" w:fill="F9F9F9"/>
              </w:rPr>
            </w:pPr>
            <w:r w:rsidRPr="00401BFE">
              <w:rPr>
                <w:rFonts w:ascii="Abadi" w:hAnsi="Abadi"/>
                <w:color w:val="333333"/>
                <w:sz w:val="21"/>
                <w:szCs w:val="21"/>
                <w:shd w:val="clear" w:color="auto" w:fill="F9F9F9"/>
              </w:rPr>
              <w:t>La coordinadora general Jurídica del Gobierno del Estado remite opinión consolidada con las secretarías de Desarrollo Social y Humano y de Finanzas, Inversión y Administración a la consulta de la iniciativa a fin de reforma y adicionar diversas disposiciones de la Ley de Desarrollo Social y Humano para el Estado y los Municipios de Guanajuato.</w:t>
            </w:r>
          </w:p>
          <w:p w14:paraId="19D621CC" w14:textId="436A29B4" w:rsidR="00401BFE" w:rsidRPr="00401BFE" w:rsidRDefault="00401BFE" w:rsidP="009826CC">
            <w:pPr>
              <w:autoSpaceDE w:val="0"/>
              <w:autoSpaceDN w:val="0"/>
              <w:adjustRightInd w:val="0"/>
              <w:jc w:val="both"/>
              <w:rPr>
                <w:rFonts w:ascii="Abadi" w:hAnsi="Abadi"/>
                <w:sz w:val="21"/>
                <w:szCs w:val="21"/>
              </w:rPr>
            </w:pPr>
          </w:p>
        </w:tc>
        <w:tc>
          <w:tcPr>
            <w:tcW w:w="2261" w:type="dxa"/>
          </w:tcPr>
          <w:p w14:paraId="46DB5564" w14:textId="4953B86A" w:rsidR="002C5131" w:rsidRPr="00401BFE" w:rsidRDefault="001A43ED" w:rsidP="0014756F">
            <w:pPr>
              <w:jc w:val="both"/>
              <w:rPr>
                <w:rFonts w:ascii="Abadi" w:hAnsi="Abadi"/>
                <w:b/>
                <w:bCs/>
                <w:sz w:val="21"/>
                <w:szCs w:val="21"/>
              </w:rPr>
            </w:pPr>
            <w:r w:rsidRPr="00401BFE">
              <w:rPr>
                <w:rFonts w:ascii="Abadi" w:hAnsi="Abadi"/>
                <w:b/>
                <w:bCs/>
                <w:color w:val="333333"/>
                <w:sz w:val="21"/>
                <w:szCs w:val="21"/>
                <w:shd w:val="clear" w:color="auto" w:fill="F9F9F9"/>
              </w:rPr>
              <w:t>Enterados y se informa que se turnó a la Comisión de Desarrollo Económico y Social.</w:t>
            </w:r>
          </w:p>
        </w:tc>
      </w:tr>
      <w:tr w:rsidR="003A0E62" w:rsidRPr="00401BFE" w14:paraId="44C0EC95" w14:textId="77777777" w:rsidTr="000D34EF">
        <w:tc>
          <w:tcPr>
            <w:tcW w:w="2119" w:type="dxa"/>
          </w:tcPr>
          <w:p w14:paraId="7A554B40" w14:textId="51A6096B" w:rsidR="003A0E62" w:rsidRPr="00401BFE" w:rsidRDefault="001A43ED" w:rsidP="009826CC">
            <w:pPr>
              <w:autoSpaceDE w:val="0"/>
              <w:autoSpaceDN w:val="0"/>
              <w:adjustRightInd w:val="0"/>
              <w:jc w:val="both"/>
              <w:rPr>
                <w:rFonts w:ascii="Abadi" w:hAnsi="Abadi"/>
                <w:sz w:val="21"/>
                <w:szCs w:val="21"/>
              </w:rPr>
            </w:pPr>
            <w:r w:rsidRPr="00401BFE">
              <w:rPr>
                <w:rFonts w:ascii="Abadi" w:hAnsi="Abadi"/>
                <w:color w:val="333333"/>
                <w:sz w:val="21"/>
                <w:szCs w:val="21"/>
                <w:shd w:val="clear" w:color="auto" w:fill="FFFFFF"/>
              </w:rPr>
              <w:t>La coordinadora general Jurídica del Gobierno del Estado remite opinión consolidada con las secretarías de Desarrollo Social y Humano y de Finanzas, Inversión y Administración a la consulta de la iniciativa a efecto de expedir la Ley del Primer Empleo y Primera Empresa para Jóvenes del Estado y los Municipios de Guanajuato.</w:t>
            </w:r>
          </w:p>
        </w:tc>
        <w:tc>
          <w:tcPr>
            <w:tcW w:w="2261" w:type="dxa"/>
          </w:tcPr>
          <w:p w14:paraId="3534C6F1" w14:textId="5EA06DA1" w:rsidR="003A0E62" w:rsidRPr="00401BFE" w:rsidRDefault="001A43ED" w:rsidP="0014756F">
            <w:pPr>
              <w:jc w:val="both"/>
              <w:rPr>
                <w:rFonts w:ascii="Abadi" w:hAnsi="Abadi"/>
                <w:b/>
                <w:bCs/>
                <w:sz w:val="21"/>
                <w:szCs w:val="21"/>
              </w:rPr>
            </w:pPr>
            <w:r w:rsidRPr="00401BFE">
              <w:rPr>
                <w:rFonts w:ascii="Abadi" w:hAnsi="Abadi"/>
                <w:b/>
                <w:bCs/>
                <w:color w:val="333333"/>
                <w:sz w:val="21"/>
                <w:szCs w:val="21"/>
                <w:shd w:val="clear" w:color="auto" w:fill="FFFFFF"/>
              </w:rPr>
              <w:t>Enterados y se informa que se turnó a la Comisión de Desarrollo Económico y Social.</w:t>
            </w:r>
          </w:p>
        </w:tc>
      </w:tr>
      <w:tr w:rsidR="003A0E62" w:rsidRPr="00401BFE" w14:paraId="44CAF3ED" w14:textId="77777777" w:rsidTr="000D34EF">
        <w:tc>
          <w:tcPr>
            <w:tcW w:w="2119" w:type="dxa"/>
          </w:tcPr>
          <w:p w14:paraId="33D62E39" w14:textId="002F8B92" w:rsidR="003A0E62" w:rsidRPr="00401BFE" w:rsidRDefault="001A43ED" w:rsidP="009826CC">
            <w:pPr>
              <w:autoSpaceDE w:val="0"/>
              <w:autoSpaceDN w:val="0"/>
              <w:adjustRightInd w:val="0"/>
              <w:jc w:val="both"/>
              <w:rPr>
                <w:rFonts w:ascii="Abadi" w:hAnsi="Abadi"/>
                <w:sz w:val="21"/>
                <w:szCs w:val="21"/>
              </w:rPr>
            </w:pPr>
            <w:r w:rsidRPr="00401BFE">
              <w:rPr>
                <w:rFonts w:ascii="Abadi" w:hAnsi="Abadi"/>
                <w:color w:val="333333"/>
                <w:sz w:val="21"/>
                <w:szCs w:val="21"/>
                <w:shd w:val="clear" w:color="auto" w:fill="F9F9F9"/>
              </w:rPr>
              <w:lastRenderedPageBreak/>
              <w:t>La coordinadora general Jurídica del Gobierno del Estado remite respuesta a la consulta de la iniciativa a efecto de reformar el artículo 139 del Código Penal del Estado de Guanajuato.</w:t>
            </w:r>
          </w:p>
        </w:tc>
        <w:tc>
          <w:tcPr>
            <w:tcW w:w="2261" w:type="dxa"/>
          </w:tcPr>
          <w:p w14:paraId="3AB820B1" w14:textId="05297FD4" w:rsidR="003A0E62" w:rsidRPr="00401BFE" w:rsidRDefault="004B0300" w:rsidP="0014756F">
            <w:pPr>
              <w:jc w:val="both"/>
              <w:rPr>
                <w:rFonts w:ascii="Abadi" w:hAnsi="Abadi"/>
                <w:b/>
                <w:bCs/>
                <w:sz w:val="21"/>
                <w:szCs w:val="21"/>
              </w:rPr>
            </w:pPr>
            <w:r w:rsidRPr="00401BFE">
              <w:rPr>
                <w:rFonts w:ascii="Abadi" w:hAnsi="Abadi"/>
                <w:b/>
                <w:bCs/>
                <w:color w:val="333333"/>
                <w:sz w:val="21"/>
                <w:szCs w:val="21"/>
                <w:shd w:val="clear" w:color="auto" w:fill="F9F9F9"/>
              </w:rPr>
              <w:t>Enterados y se informa que se turnó a la Comisión de Justicia.</w:t>
            </w:r>
          </w:p>
        </w:tc>
      </w:tr>
      <w:tr w:rsidR="003A0E62" w:rsidRPr="00401BFE" w14:paraId="6991B41A" w14:textId="77777777" w:rsidTr="000D34EF">
        <w:tc>
          <w:tcPr>
            <w:tcW w:w="2119" w:type="dxa"/>
          </w:tcPr>
          <w:p w14:paraId="71494023" w14:textId="2C9CD5AB" w:rsidR="003A0E62" w:rsidRPr="00401BFE" w:rsidRDefault="004B0300" w:rsidP="009826CC">
            <w:pPr>
              <w:autoSpaceDE w:val="0"/>
              <w:autoSpaceDN w:val="0"/>
              <w:adjustRightInd w:val="0"/>
              <w:jc w:val="both"/>
              <w:rPr>
                <w:rFonts w:ascii="Abadi" w:hAnsi="Abadi"/>
                <w:sz w:val="21"/>
                <w:szCs w:val="21"/>
              </w:rPr>
            </w:pPr>
            <w:r w:rsidRPr="00401BFE">
              <w:rPr>
                <w:rFonts w:ascii="Abadi" w:hAnsi="Abadi"/>
                <w:color w:val="333333"/>
                <w:sz w:val="21"/>
                <w:szCs w:val="21"/>
                <w:shd w:val="clear" w:color="auto" w:fill="FFFFFF"/>
              </w:rPr>
              <w:t>La coordinadora general Jurídica del Gobierno del Estado remite respuesta a la consulta de la iniciativa a efecto de reformar la fracción IV del artículo 95 de la Constitución Política para el Estado de Guanajuato.</w:t>
            </w:r>
          </w:p>
        </w:tc>
        <w:tc>
          <w:tcPr>
            <w:tcW w:w="2261" w:type="dxa"/>
          </w:tcPr>
          <w:p w14:paraId="222E697D" w14:textId="3A077C59" w:rsidR="003A0E62" w:rsidRPr="00401BFE" w:rsidRDefault="004B0300" w:rsidP="0014756F">
            <w:pPr>
              <w:jc w:val="both"/>
              <w:rPr>
                <w:rFonts w:ascii="Abadi" w:hAnsi="Abadi"/>
                <w:b/>
                <w:bCs/>
                <w:sz w:val="21"/>
                <w:szCs w:val="21"/>
              </w:rPr>
            </w:pPr>
            <w:r w:rsidRPr="00401BFE">
              <w:rPr>
                <w:rFonts w:ascii="Abadi" w:hAnsi="Abadi"/>
                <w:b/>
                <w:bCs/>
                <w:color w:val="333333"/>
                <w:sz w:val="21"/>
                <w:szCs w:val="21"/>
                <w:shd w:val="clear" w:color="auto" w:fill="FFFFFF"/>
              </w:rPr>
              <w:t>Enterados y se informa que se turnó a la Comisión de Gobernación y Puntos Constitucionales.</w:t>
            </w:r>
          </w:p>
        </w:tc>
      </w:tr>
      <w:tr w:rsidR="003A0E62" w:rsidRPr="00401BFE" w14:paraId="6C76D1F8" w14:textId="77777777" w:rsidTr="000D34EF">
        <w:tc>
          <w:tcPr>
            <w:tcW w:w="2119" w:type="dxa"/>
          </w:tcPr>
          <w:p w14:paraId="18EFDDE1" w14:textId="69E4FA68" w:rsidR="003A0E62" w:rsidRPr="00401BFE" w:rsidRDefault="00761260" w:rsidP="009826CC">
            <w:pPr>
              <w:autoSpaceDE w:val="0"/>
              <w:autoSpaceDN w:val="0"/>
              <w:adjustRightInd w:val="0"/>
              <w:jc w:val="both"/>
              <w:rPr>
                <w:rFonts w:ascii="Abadi" w:hAnsi="Abadi"/>
                <w:sz w:val="21"/>
                <w:szCs w:val="21"/>
              </w:rPr>
            </w:pPr>
            <w:r w:rsidRPr="00401BFE">
              <w:rPr>
                <w:rFonts w:ascii="Abadi" w:hAnsi="Abadi"/>
                <w:color w:val="333333"/>
                <w:sz w:val="21"/>
                <w:szCs w:val="21"/>
                <w:shd w:val="clear" w:color="auto" w:fill="F9F9F9"/>
              </w:rPr>
              <w:t>La coordinadora general Jurídica del Gobierno del Estado remite respuesta a la consulta de la iniciativa a efecto de reformar el artículo 95 de la Constitución Política para el Estado de Guanajuato y diversos numerales de la Ley Orgánica del Poder Legislativo del Estado de Guanajuato.</w:t>
            </w:r>
          </w:p>
        </w:tc>
        <w:tc>
          <w:tcPr>
            <w:tcW w:w="2261" w:type="dxa"/>
          </w:tcPr>
          <w:p w14:paraId="451FB530" w14:textId="2C58D682" w:rsidR="003A0E62" w:rsidRPr="00401BFE" w:rsidRDefault="00761260" w:rsidP="0014756F">
            <w:pPr>
              <w:jc w:val="both"/>
              <w:rPr>
                <w:rFonts w:ascii="Abadi" w:hAnsi="Abadi"/>
                <w:b/>
                <w:bCs/>
                <w:sz w:val="21"/>
                <w:szCs w:val="21"/>
              </w:rPr>
            </w:pPr>
            <w:r w:rsidRPr="00401BFE">
              <w:rPr>
                <w:rFonts w:ascii="Abadi" w:hAnsi="Abadi"/>
                <w:b/>
                <w:bCs/>
                <w:color w:val="333333"/>
                <w:sz w:val="21"/>
                <w:szCs w:val="21"/>
                <w:shd w:val="clear" w:color="auto" w:fill="F9F9F9"/>
              </w:rPr>
              <w:t>Enterados y se informa que se turnó a la Comisión de</w:t>
            </w:r>
            <w:r w:rsidRPr="00401BFE">
              <w:rPr>
                <w:rFonts w:ascii="Abadi" w:hAnsi="Abadi"/>
                <w:color w:val="333333"/>
                <w:sz w:val="21"/>
                <w:szCs w:val="21"/>
                <w:shd w:val="clear" w:color="auto" w:fill="F9F9F9"/>
              </w:rPr>
              <w:t xml:space="preserve"> </w:t>
            </w:r>
            <w:r w:rsidRPr="00401BFE">
              <w:rPr>
                <w:rFonts w:ascii="Abadi" w:hAnsi="Abadi"/>
                <w:b/>
                <w:bCs/>
                <w:color w:val="333333"/>
                <w:sz w:val="21"/>
                <w:szCs w:val="21"/>
                <w:shd w:val="clear" w:color="auto" w:fill="F9F9F9"/>
              </w:rPr>
              <w:t>Gobernación y Puntos Constitucionales.</w:t>
            </w:r>
          </w:p>
        </w:tc>
      </w:tr>
      <w:tr w:rsidR="003A0E62" w:rsidRPr="00401BFE" w14:paraId="1D73CE5B" w14:textId="77777777" w:rsidTr="000D34EF">
        <w:tc>
          <w:tcPr>
            <w:tcW w:w="2119" w:type="dxa"/>
          </w:tcPr>
          <w:p w14:paraId="59225B2E" w14:textId="51BB2F17" w:rsidR="003A0E62" w:rsidRPr="00401BFE" w:rsidRDefault="00761260" w:rsidP="009826CC">
            <w:pPr>
              <w:autoSpaceDE w:val="0"/>
              <w:autoSpaceDN w:val="0"/>
              <w:adjustRightInd w:val="0"/>
              <w:jc w:val="both"/>
              <w:rPr>
                <w:rFonts w:ascii="Abadi" w:hAnsi="Abadi"/>
                <w:sz w:val="21"/>
                <w:szCs w:val="21"/>
              </w:rPr>
            </w:pPr>
            <w:r w:rsidRPr="00401BFE">
              <w:rPr>
                <w:rFonts w:ascii="Abadi" w:hAnsi="Abadi"/>
                <w:color w:val="333333"/>
                <w:sz w:val="21"/>
                <w:szCs w:val="21"/>
                <w:shd w:val="clear" w:color="auto" w:fill="FFFFFF"/>
              </w:rPr>
              <w:t>La coordinadora general Jurídica del Gobierno del Estado remite respuesta a la consulta de la iniciativa a fin de reformar el artículo 95 de la Constitución Política para el Estado de Guanajuato, en materia del informe de actividades de la Fiscalía General del Estado.</w:t>
            </w:r>
          </w:p>
        </w:tc>
        <w:tc>
          <w:tcPr>
            <w:tcW w:w="2261" w:type="dxa"/>
          </w:tcPr>
          <w:p w14:paraId="1610CC21" w14:textId="1065C65A" w:rsidR="003A0E62" w:rsidRPr="00401BFE" w:rsidRDefault="00761260" w:rsidP="0014756F">
            <w:pPr>
              <w:jc w:val="both"/>
              <w:rPr>
                <w:rFonts w:ascii="Abadi" w:hAnsi="Abadi"/>
                <w:b/>
                <w:bCs/>
                <w:sz w:val="21"/>
                <w:szCs w:val="21"/>
              </w:rPr>
            </w:pPr>
            <w:r w:rsidRPr="00401BFE">
              <w:rPr>
                <w:rFonts w:ascii="Abadi" w:hAnsi="Abadi"/>
                <w:b/>
                <w:bCs/>
                <w:color w:val="333333"/>
                <w:sz w:val="21"/>
                <w:szCs w:val="21"/>
                <w:shd w:val="clear" w:color="auto" w:fill="FFFFFF"/>
              </w:rPr>
              <w:t>Enterados y se informa que se turnó a la Comisión de Gobernación y Puntos Constitucionales.</w:t>
            </w:r>
          </w:p>
        </w:tc>
      </w:tr>
      <w:tr w:rsidR="00C7342E" w:rsidRPr="00401BFE" w14:paraId="0791E470" w14:textId="77777777" w:rsidTr="000D34EF">
        <w:tc>
          <w:tcPr>
            <w:tcW w:w="2119" w:type="dxa"/>
          </w:tcPr>
          <w:p w14:paraId="0D109102" w14:textId="02B5BEB4" w:rsidR="00C7342E" w:rsidRPr="00401BFE" w:rsidRDefault="00761260" w:rsidP="009912FA">
            <w:pPr>
              <w:autoSpaceDE w:val="0"/>
              <w:autoSpaceDN w:val="0"/>
              <w:adjustRightInd w:val="0"/>
              <w:jc w:val="both"/>
              <w:rPr>
                <w:rFonts w:ascii="Abadi" w:hAnsi="Abadi"/>
                <w:color w:val="333333"/>
                <w:sz w:val="21"/>
                <w:szCs w:val="21"/>
                <w:shd w:val="clear" w:color="auto" w:fill="FFFFFF"/>
              </w:rPr>
            </w:pPr>
            <w:r w:rsidRPr="00401BFE">
              <w:rPr>
                <w:rFonts w:ascii="Abadi" w:hAnsi="Abadi"/>
                <w:color w:val="333333"/>
                <w:sz w:val="21"/>
                <w:szCs w:val="21"/>
                <w:shd w:val="clear" w:color="auto" w:fill="F9F9F9"/>
              </w:rPr>
              <w:t xml:space="preserve">La coordinadora general Jurídica del </w:t>
            </w:r>
            <w:r w:rsidRPr="00401BFE">
              <w:rPr>
                <w:rFonts w:ascii="Abadi" w:hAnsi="Abadi"/>
                <w:color w:val="333333"/>
                <w:sz w:val="21"/>
                <w:szCs w:val="21"/>
                <w:shd w:val="clear" w:color="auto" w:fill="F9F9F9"/>
              </w:rPr>
              <w:t>Gobierno del Estado remite respuesta a la consulta de la iniciativa a efecto de reformar los artículos 78 y 95 de la Constitución Política para el Estado de Guanajuato.</w:t>
            </w:r>
          </w:p>
        </w:tc>
        <w:tc>
          <w:tcPr>
            <w:tcW w:w="2261" w:type="dxa"/>
          </w:tcPr>
          <w:p w14:paraId="4F97A496" w14:textId="1D5A1163" w:rsidR="00C7342E" w:rsidRPr="00401BFE" w:rsidRDefault="009A0610" w:rsidP="009912FA">
            <w:pPr>
              <w:jc w:val="both"/>
              <w:rPr>
                <w:rFonts w:ascii="Abadi" w:hAnsi="Abadi"/>
                <w:b/>
                <w:bCs/>
                <w:color w:val="333333"/>
                <w:sz w:val="21"/>
                <w:szCs w:val="21"/>
                <w:shd w:val="clear" w:color="auto" w:fill="FFFFFF"/>
              </w:rPr>
            </w:pPr>
            <w:r w:rsidRPr="00401BFE">
              <w:rPr>
                <w:rFonts w:ascii="Abadi" w:hAnsi="Abadi"/>
                <w:b/>
                <w:bCs/>
                <w:color w:val="333333"/>
                <w:sz w:val="21"/>
                <w:szCs w:val="21"/>
                <w:shd w:val="clear" w:color="auto" w:fill="F9F9F9"/>
              </w:rPr>
              <w:t>Enterados y se informa que se turnó a la Comisión de Gobernación y Puntos Constitucionales.</w:t>
            </w:r>
          </w:p>
        </w:tc>
      </w:tr>
      <w:tr w:rsidR="00C7342E" w:rsidRPr="00401BFE" w14:paraId="550EDB6D" w14:textId="77777777" w:rsidTr="000D34EF">
        <w:tc>
          <w:tcPr>
            <w:tcW w:w="2119" w:type="dxa"/>
          </w:tcPr>
          <w:p w14:paraId="5B038D62" w14:textId="78F912BD" w:rsidR="00C7342E" w:rsidRPr="00401BFE" w:rsidRDefault="009A0610" w:rsidP="009912FA">
            <w:pPr>
              <w:autoSpaceDE w:val="0"/>
              <w:autoSpaceDN w:val="0"/>
              <w:adjustRightInd w:val="0"/>
              <w:jc w:val="both"/>
              <w:rPr>
                <w:rFonts w:ascii="Abadi" w:hAnsi="Abadi"/>
                <w:color w:val="333333"/>
                <w:sz w:val="21"/>
                <w:szCs w:val="21"/>
                <w:shd w:val="clear" w:color="auto" w:fill="FFFFFF"/>
              </w:rPr>
            </w:pPr>
            <w:r w:rsidRPr="00401BFE">
              <w:rPr>
                <w:rFonts w:ascii="Abadi" w:hAnsi="Abadi"/>
                <w:color w:val="333333"/>
                <w:sz w:val="21"/>
                <w:szCs w:val="21"/>
                <w:shd w:val="clear" w:color="auto" w:fill="FFFFFF"/>
              </w:rPr>
              <w:t>Copia marcada a la Comisión de Hacienda y Fiscalización de este Congreso del Estado, del oficio signado por el director general de Asuntos Jurídicos de la Auditoría Superior del Estado de Guanajuato, a través del cual solicita a la síndico del ayuntamiento de Dolores Hidalgo Cuna de la Independencia Nacional, Gto., información sobre las acciones legales implementadas y, en su caso, el estado en que se encuentran, respecto a cada una de las observaciones con responsabilidad civil sancionadas en los respectivos informes de resultados.</w:t>
            </w:r>
          </w:p>
        </w:tc>
        <w:tc>
          <w:tcPr>
            <w:tcW w:w="2261" w:type="dxa"/>
          </w:tcPr>
          <w:p w14:paraId="3253D493" w14:textId="4B218115" w:rsidR="00C7342E" w:rsidRPr="00401BFE" w:rsidRDefault="009A0610" w:rsidP="009912FA">
            <w:pPr>
              <w:jc w:val="both"/>
              <w:rPr>
                <w:rFonts w:ascii="Abadi" w:hAnsi="Abadi"/>
                <w:b/>
                <w:bCs/>
                <w:color w:val="333333"/>
                <w:sz w:val="21"/>
                <w:szCs w:val="21"/>
                <w:shd w:val="clear" w:color="auto" w:fill="FFFFFF"/>
              </w:rPr>
            </w:pPr>
            <w:r w:rsidRPr="00401BFE">
              <w:rPr>
                <w:rFonts w:ascii="Abadi" w:hAnsi="Abadi"/>
                <w:b/>
                <w:bCs/>
                <w:color w:val="333333"/>
                <w:sz w:val="21"/>
                <w:szCs w:val="21"/>
                <w:shd w:val="clear" w:color="auto" w:fill="FFFFFF"/>
              </w:rPr>
              <w:t>Enterados.</w:t>
            </w:r>
          </w:p>
        </w:tc>
      </w:tr>
      <w:tr w:rsidR="003D4F7F" w:rsidRPr="00401BFE" w14:paraId="1FFFD971" w14:textId="77777777" w:rsidTr="000D34EF">
        <w:tc>
          <w:tcPr>
            <w:tcW w:w="2119" w:type="dxa"/>
          </w:tcPr>
          <w:p w14:paraId="4300E107" w14:textId="6C8D0B48" w:rsidR="003D4F7F" w:rsidRPr="00401BFE" w:rsidRDefault="009A0610" w:rsidP="009912FA">
            <w:pPr>
              <w:autoSpaceDE w:val="0"/>
              <w:autoSpaceDN w:val="0"/>
              <w:adjustRightInd w:val="0"/>
              <w:jc w:val="both"/>
              <w:rPr>
                <w:rFonts w:ascii="Abadi" w:hAnsi="Abadi"/>
                <w:color w:val="333333"/>
                <w:sz w:val="21"/>
                <w:szCs w:val="21"/>
                <w:shd w:val="clear" w:color="auto" w:fill="FFFFFF"/>
              </w:rPr>
            </w:pPr>
            <w:r w:rsidRPr="00401BFE">
              <w:rPr>
                <w:rFonts w:ascii="Abadi" w:hAnsi="Abadi"/>
                <w:color w:val="333333"/>
                <w:sz w:val="21"/>
                <w:szCs w:val="21"/>
                <w:shd w:val="clear" w:color="auto" w:fill="F9F9F9"/>
              </w:rPr>
              <w:t xml:space="preserve">Copia marcada a la Comisión de Hacienda y Fiscalización de este Congreso del Estado, del oficio signado por el director general de Asuntos Jurídicos de la Auditoría Superior del Estado de Guanajuato, a través del cual solicita a la síndico del ayuntamiento de </w:t>
            </w:r>
            <w:r w:rsidRPr="00401BFE">
              <w:rPr>
                <w:rFonts w:ascii="Abadi" w:hAnsi="Abadi"/>
                <w:color w:val="333333"/>
                <w:sz w:val="21"/>
                <w:szCs w:val="21"/>
                <w:shd w:val="clear" w:color="auto" w:fill="F9F9F9"/>
              </w:rPr>
              <w:lastRenderedPageBreak/>
              <w:t>Guanajuato, Gto., información sobre las acciones legales implementadas y, en su caso, el estado en que se encuentran, respecto a cada una de las observaciones con responsabilidad civil sancionadas en los respectivos informes de resultados.</w:t>
            </w:r>
          </w:p>
        </w:tc>
        <w:tc>
          <w:tcPr>
            <w:tcW w:w="2261" w:type="dxa"/>
          </w:tcPr>
          <w:p w14:paraId="13C5A2B6" w14:textId="3C80B2B7" w:rsidR="003D4F7F" w:rsidRPr="00401BFE" w:rsidRDefault="009A0610" w:rsidP="009912FA">
            <w:pPr>
              <w:autoSpaceDE w:val="0"/>
              <w:autoSpaceDN w:val="0"/>
              <w:adjustRightInd w:val="0"/>
              <w:jc w:val="both"/>
              <w:rPr>
                <w:rFonts w:ascii="Abadi" w:hAnsi="Abadi"/>
                <w:b/>
                <w:bCs/>
                <w:color w:val="333333"/>
                <w:sz w:val="21"/>
                <w:szCs w:val="21"/>
                <w:shd w:val="clear" w:color="auto" w:fill="FFFFFF"/>
              </w:rPr>
            </w:pPr>
            <w:r w:rsidRPr="00401BFE">
              <w:rPr>
                <w:rFonts w:ascii="Abadi" w:hAnsi="Abadi"/>
                <w:b/>
                <w:bCs/>
                <w:color w:val="333333"/>
                <w:sz w:val="21"/>
                <w:szCs w:val="21"/>
                <w:shd w:val="clear" w:color="auto" w:fill="F9F9F9"/>
              </w:rPr>
              <w:lastRenderedPageBreak/>
              <w:t>Enterados.</w:t>
            </w:r>
          </w:p>
        </w:tc>
      </w:tr>
      <w:tr w:rsidR="00B60056" w:rsidRPr="00401BFE" w14:paraId="713635EC" w14:textId="77777777" w:rsidTr="000D34EF">
        <w:tc>
          <w:tcPr>
            <w:tcW w:w="2119" w:type="dxa"/>
          </w:tcPr>
          <w:p w14:paraId="2B7E2215" w14:textId="48680CE9" w:rsidR="00B60056" w:rsidRPr="00401BFE" w:rsidRDefault="002E3BE9" w:rsidP="009912FA">
            <w:pPr>
              <w:autoSpaceDE w:val="0"/>
              <w:autoSpaceDN w:val="0"/>
              <w:adjustRightInd w:val="0"/>
              <w:jc w:val="both"/>
              <w:rPr>
                <w:rFonts w:ascii="Abadi" w:hAnsi="Abadi"/>
                <w:color w:val="333333"/>
                <w:sz w:val="21"/>
                <w:szCs w:val="21"/>
                <w:shd w:val="clear" w:color="auto" w:fill="FFFFFF"/>
              </w:rPr>
            </w:pPr>
            <w:r w:rsidRPr="00401BFE">
              <w:rPr>
                <w:rFonts w:ascii="Abadi" w:hAnsi="Abadi"/>
                <w:color w:val="333333"/>
                <w:sz w:val="21"/>
                <w:szCs w:val="21"/>
                <w:shd w:val="clear" w:color="auto" w:fill="FFFFFF"/>
              </w:rPr>
              <w:t>Copia marcada a la Comisión de Hacienda y Fiscalización de este Congreso del Estado, del oficio signado por el director general de Asuntos Jurídicos de la Auditoría Superior del Estado de Guanajuato, a través del cual solicita a la síndico del ayuntamiento de San Diego de la Unión, Gto., información sobre las acciones legales implementadas y, en su caso, el estado en que se encuentran, respecto a cada una de las observaciones con responsabilidad civil sancionadas en los respectivos informes de resultados.</w:t>
            </w:r>
          </w:p>
        </w:tc>
        <w:tc>
          <w:tcPr>
            <w:tcW w:w="2261" w:type="dxa"/>
          </w:tcPr>
          <w:p w14:paraId="20EE4E15" w14:textId="04979884" w:rsidR="00B60056" w:rsidRPr="00401BFE" w:rsidRDefault="002E3BE9" w:rsidP="009912FA">
            <w:pPr>
              <w:autoSpaceDE w:val="0"/>
              <w:autoSpaceDN w:val="0"/>
              <w:adjustRightInd w:val="0"/>
              <w:jc w:val="both"/>
              <w:rPr>
                <w:rFonts w:ascii="Abadi" w:hAnsi="Abadi"/>
                <w:b/>
                <w:bCs/>
                <w:color w:val="333333"/>
                <w:sz w:val="21"/>
                <w:szCs w:val="21"/>
                <w:shd w:val="clear" w:color="auto" w:fill="FFFFFF"/>
              </w:rPr>
            </w:pPr>
            <w:r w:rsidRPr="00401BFE">
              <w:rPr>
                <w:rFonts w:ascii="Abadi" w:hAnsi="Abadi"/>
                <w:b/>
                <w:bCs/>
                <w:color w:val="333333"/>
                <w:sz w:val="21"/>
                <w:szCs w:val="21"/>
                <w:shd w:val="clear" w:color="auto" w:fill="FFFFFF"/>
              </w:rPr>
              <w:t>Enterados.</w:t>
            </w:r>
          </w:p>
        </w:tc>
      </w:tr>
      <w:tr w:rsidR="00B60056" w:rsidRPr="00401BFE" w14:paraId="6EC638B2" w14:textId="77777777" w:rsidTr="000D34EF">
        <w:tc>
          <w:tcPr>
            <w:tcW w:w="2119" w:type="dxa"/>
          </w:tcPr>
          <w:p w14:paraId="2A80E4B0" w14:textId="6EE8816A" w:rsidR="00B60056" w:rsidRPr="00401BFE" w:rsidRDefault="002E3BE9" w:rsidP="009912FA">
            <w:pPr>
              <w:autoSpaceDE w:val="0"/>
              <w:autoSpaceDN w:val="0"/>
              <w:adjustRightInd w:val="0"/>
              <w:jc w:val="both"/>
              <w:rPr>
                <w:rFonts w:ascii="Abadi" w:hAnsi="Abadi"/>
                <w:color w:val="333333"/>
                <w:sz w:val="21"/>
                <w:szCs w:val="21"/>
                <w:shd w:val="clear" w:color="auto" w:fill="FFFFFF"/>
              </w:rPr>
            </w:pPr>
            <w:r w:rsidRPr="00401BFE">
              <w:rPr>
                <w:rFonts w:ascii="Abadi" w:hAnsi="Abadi"/>
                <w:color w:val="333333"/>
                <w:sz w:val="21"/>
                <w:szCs w:val="21"/>
                <w:shd w:val="clear" w:color="auto" w:fill="F9F9F9"/>
              </w:rPr>
              <w:t xml:space="preserve">Copia marcada a la Comisión de Hacienda y Fiscalización de este Congreso del Estado, del oficio signado por el director general de Asuntos Jurídicos de la Auditoría Superior del Estado de Guanajuato, a través del cual solicita al </w:t>
            </w:r>
            <w:r w:rsidRPr="00401BFE">
              <w:rPr>
                <w:rFonts w:ascii="Abadi" w:hAnsi="Abadi"/>
                <w:color w:val="333333"/>
                <w:sz w:val="21"/>
                <w:szCs w:val="21"/>
                <w:shd w:val="clear" w:color="auto" w:fill="F9F9F9"/>
              </w:rPr>
              <w:t>síndico del ayuntamiento de Santa Catarina, Gto., información sobre las acciones legales implementadas y, en su caso, el estado en que se encuentran, respecto a cada una de las observaciones con responsabilidad civil sancionadas en los respectivos informes de resultados.</w:t>
            </w:r>
          </w:p>
        </w:tc>
        <w:tc>
          <w:tcPr>
            <w:tcW w:w="2261" w:type="dxa"/>
          </w:tcPr>
          <w:p w14:paraId="2DD21040" w14:textId="24454B1D" w:rsidR="00B60056" w:rsidRPr="00401BFE" w:rsidRDefault="002E3BE9" w:rsidP="009912FA">
            <w:pPr>
              <w:autoSpaceDE w:val="0"/>
              <w:autoSpaceDN w:val="0"/>
              <w:adjustRightInd w:val="0"/>
              <w:jc w:val="both"/>
              <w:rPr>
                <w:rFonts w:ascii="Abadi" w:hAnsi="Abadi"/>
                <w:b/>
                <w:bCs/>
                <w:color w:val="333333"/>
                <w:sz w:val="21"/>
                <w:szCs w:val="21"/>
                <w:shd w:val="clear" w:color="auto" w:fill="FFFFFF"/>
              </w:rPr>
            </w:pPr>
            <w:r w:rsidRPr="00401BFE">
              <w:rPr>
                <w:rFonts w:ascii="Abadi" w:hAnsi="Abadi"/>
                <w:b/>
                <w:bCs/>
                <w:color w:val="333333"/>
                <w:sz w:val="21"/>
                <w:szCs w:val="21"/>
                <w:shd w:val="clear" w:color="auto" w:fill="F9F9F9"/>
              </w:rPr>
              <w:t>Enterados.</w:t>
            </w:r>
          </w:p>
        </w:tc>
      </w:tr>
      <w:tr w:rsidR="002E3BE9" w:rsidRPr="00401BFE" w14:paraId="5B63183F" w14:textId="77777777" w:rsidTr="000D34EF">
        <w:tc>
          <w:tcPr>
            <w:tcW w:w="2119" w:type="dxa"/>
          </w:tcPr>
          <w:p w14:paraId="42AB414E" w14:textId="4B2411F9" w:rsidR="002E3BE9" w:rsidRPr="00401BFE" w:rsidRDefault="0043580C" w:rsidP="009912FA">
            <w:pPr>
              <w:autoSpaceDE w:val="0"/>
              <w:autoSpaceDN w:val="0"/>
              <w:adjustRightInd w:val="0"/>
              <w:jc w:val="both"/>
              <w:rPr>
                <w:rFonts w:ascii="Abadi" w:hAnsi="Abadi"/>
                <w:color w:val="333333"/>
                <w:sz w:val="21"/>
                <w:szCs w:val="21"/>
                <w:shd w:val="clear" w:color="auto" w:fill="FFFFFF"/>
              </w:rPr>
            </w:pPr>
            <w:r w:rsidRPr="00401BFE">
              <w:rPr>
                <w:rFonts w:ascii="Abadi" w:hAnsi="Abadi"/>
                <w:color w:val="333333"/>
                <w:sz w:val="21"/>
                <w:szCs w:val="21"/>
                <w:shd w:val="clear" w:color="auto" w:fill="FFFFFF"/>
              </w:rPr>
              <w:t>Copia marcada a la Comisión de Hacienda y Fiscalización de este Congreso del Estado, del oficio signado por el director general de Asuntos Jurídicos de la Auditoría Superior del Estado de Guanajuato, a través del cual solicita a la síndico del ayuntamiento de Uriangato, Gto., información sobre las acciones legales implementadas y, en su caso, el estado en que se encuentran, respecto a cada una de las observaciones con responsabilidad civil sancionadas en los respectivos informes de resultados.</w:t>
            </w:r>
          </w:p>
        </w:tc>
        <w:tc>
          <w:tcPr>
            <w:tcW w:w="2261" w:type="dxa"/>
          </w:tcPr>
          <w:p w14:paraId="3EF5163E" w14:textId="300B4FAE" w:rsidR="002E3BE9" w:rsidRPr="00401BFE" w:rsidRDefault="0043580C" w:rsidP="009912FA">
            <w:pPr>
              <w:autoSpaceDE w:val="0"/>
              <w:autoSpaceDN w:val="0"/>
              <w:adjustRightInd w:val="0"/>
              <w:jc w:val="both"/>
              <w:rPr>
                <w:rFonts w:ascii="Abadi" w:hAnsi="Abadi"/>
                <w:b/>
                <w:bCs/>
                <w:color w:val="333333"/>
                <w:sz w:val="21"/>
                <w:szCs w:val="21"/>
                <w:shd w:val="clear" w:color="auto" w:fill="FFFFFF"/>
              </w:rPr>
            </w:pPr>
            <w:r w:rsidRPr="00401BFE">
              <w:rPr>
                <w:rFonts w:ascii="Abadi" w:hAnsi="Abadi"/>
                <w:b/>
                <w:bCs/>
                <w:color w:val="333333"/>
                <w:sz w:val="21"/>
                <w:szCs w:val="21"/>
                <w:shd w:val="clear" w:color="auto" w:fill="FFFFFF"/>
              </w:rPr>
              <w:t>Enterados.</w:t>
            </w:r>
          </w:p>
        </w:tc>
      </w:tr>
      <w:tr w:rsidR="002E3BE9" w:rsidRPr="00401BFE" w14:paraId="50B55EA6" w14:textId="77777777" w:rsidTr="000D34EF">
        <w:tc>
          <w:tcPr>
            <w:tcW w:w="2119" w:type="dxa"/>
          </w:tcPr>
          <w:p w14:paraId="3440F5D1" w14:textId="35810A27" w:rsidR="002E3BE9" w:rsidRPr="00401BFE" w:rsidRDefault="0043580C" w:rsidP="009912FA">
            <w:pPr>
              <w:autoSpaceDE w:val="0"/>
              <w:autoSpaceDN w:val="0"/>
              <w:adjustRightInd w:val="0"/>
              <w:jc w:val="both"/>
              <w:rPr>
                <w:rFonts w:ascii="Abadi" w:hAnsi="Abadi"/>
                <w:color w:val="333333"/>
                <w:sz w:val="21"/>
                <w:szCs w:val="21"/>
                <w:shd w:val="clear" w:color="auto" w:fill="FFFFFF"/>
              </w:rPr>
            </w:pPr>
            <w:r w:rsidRPr="00401BFE">
              <w:rPr>
                <w:rFonts w:ascii="Abadi" w:hAnsi="Abadi"/>
                <w:color w:val="333333"/>
                <w:sz w:val="21"/>
                <w:szCs w:val="21"/>
                <w:shd w:val="clear" w:color="auto" w:fill="F9F9F9"/>
              </w:rPr>
              <w:t xml:space="preserve">Copia marcada a la Comisión de Hacienda y Fiscalización de este Congreso del Estado, del oficio signado por el director general de Asuntos Jurídicos de la Auditoría Superior del Estado de Guanajuato, a través </w:t>
            </w:r>
            <w:r w:rsidRPr="00401BFE">
              <w:rPr>
                <w:rFonts w:ascii="Abadi" w:hAnsi="Abadi"/>
                <w:color w:val="333333"/>
                <w:sz w:val="21"/>
                <w:szCs w:val="21"/>
                <w:shd w:val="clear" w:color="auto" w:fill="F9F9F9"/>
              </w:rPr>
              <w:lastRenderedPageBreak/>
              <w:t>del cual solicita a la síndico del ayuntamiento de Victoria, Gto., información sobre las acciones legales implementadas y, en su caso, el estado en que se encuentran, respecto a cada una de las observaciones con responsabilidad civil sancionadas en los respectivos informes de resultados.</w:t>
            </w:r>
          </w:p>
        </w:tc>
        <w:tc>
          <w:tcPr>
            <w:tcW w:w="2261" w:type="dxa"/>
          </w:tcPr>
          <w:p w14:paraId="3B233502" w14:textId="6E45C606" w:rsidR="002E3BE9" w:rsidRPr="00401BFE" w:rsidRDefault="0043580C" w:rsidP="009912FA">
            <w:pPr>
              <w:autoSpaceDE w:val="0"/>
              <w:autoSpaceDN w:val="0"/>
              <w:adjustRightInd w:val="0"/>
              <w:jc w:val="both"/>
              <w:rPr>
                <w:rFonts w:ascii="Abadi" w:hAnsi="Abadi"/>
                <w:b/>
                <w:bCs/>
                <w:color w:val="333333"/>
                <w:sz w:val="21"/>
                <w:szCs w:val="21"/>
                <w:shd w:val="clear" w:color="auto" w:fill="FFFFFF"/>
              </w:rPr>
            </w:pPr>
            <w:r w:rsidRPr="00401BFE">
              <w:rPr>
                <w:rFonts w:ascii="Abadi" w:hAnsi="Abadi"/>
                <w:b/>
                <w:bCs/>
                <w:color w:val="333333"/>
                <w:sz w:val="21"/>
                <w:szCs w:val="21"/>
                <w:shd w:val="clear" w:color="auto" w:fill="F9F9F9"/>
              </w:rPr>
              <w:lastRenderedPageBreak/>
              <w:t>Enterados.</w:t>
            </w:r>
          </w:p>
        </w:tc>
      </w:tr>
      <w:tr w:rsidR="002E3BE9" w:rsidRPr="00401BFE" w14:paraId="13878197" w14:textId="77777777" w:rsidTr="000D34EF">
        <w:tc>
          <w:tcPr>
            <w:tcW w:w="2119" w:type="dxa"/>
          </w:tcPr>
          <w:p w14:paraId="488C6217" w14:textId="3492F5E8" w:rsidR="002E3BE9" w:rsidRPr="00401BFE" w:rsidRDefault="0043580C" w:rsidP="009912FA">
            <w:pPr>
              <w:autoSpaceDE w:val="0"/>
              <w:autoSpaceDN w:val="0"/>
              <w:adjustRightInd w:val="0"/>
              <w:jc w:val="both"/>
              <w:rPr>
                <w:rFonts w:ascii="Abadi" w:hAnsi="Abadi"/>
                <w:color w:val="333333"/>
                <w:sz w:val="21"/>
                <w:szCs w:val="21"/>
                <w:shd w:val="clear" w:color="auto" w:fill="FFFFFF"/>
              </w:rPr>
            </w:pPr>
            <w:r w:rsidRPr="00401BFE">
              <w:rPr>
                <w:rFonts w:ascii="Abadi" w:hAnsi="Abadi"/>
                <w:color w:val="333333"/>
                <w:sz w:val="21"/>
                <w:szCs w:val="21"/>
                <w:shd w:val="clear" w:color="auto" w:fill="FFFFFF"/>
              </w:rPr>
              <w:t>Copia marcada a la Comisión de Hacienda y Fiscalización de este Congreso del Estado, del oficio signado por el director general de Asuntos Jurídicos de la Auditoría Superior del Estado de Guanajuato, a través del cual solicita al síndico del ayuntamiento de Yuriria, Gto., información sobre las acciones legales implementadas y, en su caso, el estado en que se encuentran, respecto a cada una de las observaciones con responsabilidad civil sancionadas en los respectivos informes de resultados.</w:t>
            </w:r>
          </w:p>
        </w:tc>
        <w:tc>
          <w:tcPr>
            <w:tcW w:w="2261" w:type="dxa"/>
          </w:tcPr>
          <w:p w14:paraId="4C9BE405" w14:textId="2F9C5130" w:rsidR="002E3BE9" w:rsidRPr="00401BFE" w:rsidRDefault="00853EAF" w:rsidP="009912FA">
            <w:pPr>
              <w:autoSpaceDE w:val="0"/>
              <w:autoSpaceDN w:val="0"/>
              <w:adjustRightInd w:val="0"/>
              <w:jc w:val="both"/>
              <w:rPr>
                <w:rFonts w:ascii="Abadi" w:hAnsi="Abadi"/>
                <w:b/>
                <w:bCs/>
                <w:color w:val="333333"/>
                <w:sz w:val="21"/>
                <w:szCs w:val="21"/>
                <w:shd w:val="clear" w:color="auto" w:fill="FFFFFF"/>
              </w:rPr>
            </w:pPr>
            <w:r w:rsidRPr="00401BFE">
              <w:rPr>
                <w:rFonts w:ascii="Abadi" w:hAnsi="Abadi"/>
                <w:b/>
                <w:bCs/>
                <w:color w:val="333333"/>
                <w:sz w:val="21"/>
                <w:szCs w:val="21"/>
                <w:shd w:val="clear" w:color="auto" w:fill="FFFFFF"/>
              </w:rPr>
              <w:t>Enterados.</w:t>
            </w:r>
          </w:p>
        </w:tc>
      </w:tr>
      <w:tr w:rsidR="002E3BE9" w:rsidRPr="00401BFE" w14:paraId="3FE96540" w14:textId="77777777" w:rsidTr="000D34EF">
        <w:tc>
          <w:tcPr>
            <w:tcW w:w="2119" w:type="dxa"/>
          </w:tcPr>
          <w:p w14:paraId="1BBCA74F" w14:textId="46DF3FA1" w:rsidR="002E3BE9" w:rsidRPr="00401BFE" w:rsidRDefault="00853EAF" w:rsidP="009912FA">
            <w:pPr>
              <w:autoSpaceDE w:val="0"/>
              <w:autoSpaceDN w:val="0"/>
              <w:adjustRightInd w:val="0"/>
              <w:jc w:val="both"/>
              <w:rPr>
                <w:rFonts w:ascii="Abadi" w:hAnsi="Abadi"/>
                <w:color w:val="333333"/>
                <w:sz w:val="21"/>
                <w:szCs w:val="21"/>
                <w:shd w:val="clear" w:color="auto" w:fill="FFFFFF"/>
              </w:rPr>
            </w:pPr>
            <w:r w:rsidRPr="00401BFE">
              <w:rPr>
                <w:rFonts w:ascii="Abadi" w:hAnsi="Abadi"/>
                <w:color w:val="333333"/>
                <w:sz w:val="21"/>
                <w:szCs w:val="21"/>
                <w:shd w:val="clear" w:color="auto" w:fill="F9F9F9"/>
              </w:rPr>
              <w:t xml:space="preserve">Copia marcada a la Comisión de Hacienda y Fiscalización de este Congreso del Estado, del oficio signado por el director general de Asuntos Jurídicos de la Auditoría Superior del Estado de </w:t>
            </w:r>
            <w:r w:rsidRPr="00401BFE">
              <w:rPr>
                <w:rFonts w:ascii="Abadi" w:hAnsi="Abadi"/>
                <w:color w:val="333333"/>
                <w:sz w:val="21"/>
                <w:szCs w:val="21"/>
                <w:shd w:val="clear" w:color="auto" w:fill="F9F9F9"/>
              </w:rPr>
              <w:t>Guanajuato, a través del cual solicita información a la contralora municipal de Dolores Hidalgo Cuna de la Independencia Nacional, Gto., del estado en que se encuentran cada una de las observaciones que determinaron presuntas responsabilidades administrativas, con motivo de la revisión practicada a dicho municipio.</w:t>
            </w:r>
          </w:p>
        </w:tc>
        <w:tc>
          <w:tcPr>
            <w:tcW w:w="2261" w:type="dxa"/>
          </w:tcPr>
          <w:p w14:paraId="2F6B3BFF" w14:textId="5FF8A900" w:rsidR="002E3BE9" w:rsidRPr="00401BFE" w:rsidRDefault="00853EAF" w:rsidP="009912FA">
            <w:pPr>
              <w:autoSpaceDE w:val="0"/>
              <w:autoSpaceDN w:val="0"/>
              <w:adjustRightInd w:val="0"/>
              <w:jc w:val="both"/>
              <w:rPr>
                <w:rFonts w:ascii="Abadi" w:hAnsi="Abadi"/>
                <w:b/>
                <w:bCs/>
                <w:color w:val="333333"/>
                <w:sz w:val="21"/>
                <w:szCs w:val="21"/>
                <w:shd w:val="clear" w:color="auto" w:fill="FFFFFF"/>
              </w:rPr>
            </w:pPr>
            <w:r w:rsidRPr="00401BFE">
              <w:rPr>
                <w:rFonts w:ascii="Abadi" w:hAnsi="Abadi"/>
                <w:b/>
                <w:bCs/>
                <w:color w:val="333333"/>
                <w:sz w:val="21"/>
                <w:szCs w:val="21"/>
                <w:shd w:val="clear" w:color="auto" w:fill="F9F9F9"/>
              </w:rPr>
              <w:t>Enterados.</w:t>
            </w:r>
          </w:p>
        </w:tc>
      </w:tr>
      <w:tr w:rsidR="002E3BE9" w:rsidRPr="00401BFE" w14:paraId="4988E5E1" w14:textId="77777777" w:rsidTr="000D34EF">
        <w:tc>
          <w:tcPr>
            <w:tcW w:w="2119" w:type="dxa"/>
          </w:tcPr>
          <w:p w14:paraId="3A71FF60" w14:textId="72E536D2" w:rsidR="002E3BE9" w:rsidRPr="00401BFE" w:rsidRDefault="00853EAF"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FFFFF"/>
              </w:rPr>
              <w:t>Copia marcada a la Comisión de Hacienda y Fiscalización de este Congreso del Estado, del oficio signado por el director general de Asuntos Jurídicos de la Auditoría Superior del Estado de Guanajuato, a través del cual solicita información al contralor municipal de Guanajuato, Gto., del estado en que se encuentran cada una de las observaciones que determinaron presuntas responsabilidades administrativas, con motivo de la revisión practicada a dicho municipio.</w:t>
            </w:r>
          </w:p>
        </w:tc>
        <w:tc>
          <w:tcPr>
            <w:tcW w:w="2261" w:type="dxa"/>
          </w:tcPr>
          <w:p w14:paraId="425ECA6F" w14:textId="738720E7" w:rsidR="002E3BE9" w:rsidRPr="00401BFE" w:rsidRDefault="00E70A05"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FFFFF"/>
              </w:rPr>
              <w:t>Enterados.</w:t>
            </w:r>
          </w:p>
        </w:tc>
      </w:tr>
      <w:tr w:rsidR="002E3BE9" w:rsidRPr="00401BFE" w14:paraId="71C417B8" w14:textId="77777777" w:rsidTr="000D34EF">
        <w:tc>
          <w:tcPr>
            <w:tcW w:w="2119" w:type="dxa"/>
          </w:tcPr>
          <w:p w14:paraId="692D4D9A" w14:textId="77777777" w:rsidR="00E70A05" w:rsidRPr="00401BFE" w:rsidRDefault="00E70A05" w:rsidP="00E70A05">
            <w:pPr>
              <w:spacing w:before="90" w:after="90"/>
              <w:jc w:val="both"/>
              <w:rPr>
                <w:rFonts w:ascii="Helvetica" w:hAnsi="Helvetica"/>
                <w:color w:val="333333"/>
                <w:sz w:val="21"/>
                <w:szCs w:val="21"/>
                <w:lang w:val="es-MX" w:eastAsia="es-MX"/>
              </w:rPr>
            </w:pPr>
            <w:r w:rsidRPr="00401BFE">
              <w:rPr>
                <w:rFonts w:ascii="Helvetica" w:hAnsi="Helvetica"/>
                <w:color w:val="333333"/>
                <w:sz w:val="21"/>
                <w:szCs w:val="21"/>
              </w:rPr>
              <w:t xml:space="preserve">Copia marcada a la Comisión de Hacienda y Fiscalización de este Congreso del Estado, del oficio signado por el director general de </w:t>
            </w:r>
            <w:r w:rsidRPr="00401BFE">
              <w:rPr>
                <w:rFonts w:ascii="Helvetica" w:hAnsi="Helvetica"/>
                <w:color w:val="333333"/>
                <w:sz w:val="21"/>
                <w:szCs w:val="21"/>
              </w:rPr>
              <w:lastRenderedPageBreak/>
              <w:t>Asuntos Jurídicos de la Auditoría Superior del Estado de Guanajuato, a través del cual solicita información al encargado del despacho de la Contraloría Municipal de San Diego de la Unión, Gto., del estado en que se encuentran cada una de las observaciones que determinaron presuntas responsabilidades administrativas, con motivo de la revisión practicada a dicho municipio.</w:t>
            </w:r>
          </w:p>
          <w:p w14:paraId="6851646F" w14:textId="77777777" w:rsidR="002E3BE9" w:rsidRPr="00401BFE" w:rsidRDefault="002E3BE9" w:rsidP="009912FA">
            <w:pPr>
              <w:autoSpaceDE w:val="0"/>
              <w:autoSpaceDN w:val="0"/>
              <w:adjustRightInd w:val="0"/>
              <w:jc w:val="both"/>
              <w:rPr>
                <w:rFonts w:ascii="Abadi" w:hAnsi="Abadi"/>
                <w:color w:val="333333"/>
                <w:sz w:val="21"/>
                <w:szCs w:val="21"/>
                <w:shd w:val="clear" w:color="auto" w:fill="FFFFFF"/>
              </w:rPr>
            </w:pPr>
          </w:p>
        </w:tc>
        <w:tc>
          <w:tcPr>
            <w:tcW w:w="2261" w:type="dxa"/>
          </w:tcPr>
          <w:p w14:paraId="1586DC74" w14:textId="71D222E1" w:rsidR="002E3BE9" w:rsidRPr="00401BFE" w:rsidRDefault="00E70A05"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9F9F9"/>
              </w:rPr>
              <w:lastRenderedPageBreak/>
              <w:t>Enterados</w:t>
            </w:r>
          </w:p>
        </w:tc>
      </w:tr>
      <w:tr w:rsidR="002E3BE9" w:rsidRPr="00401BFE" w14:paraId="088C14CB" w14:textId="77777777" w:rsidTr="000D34EF">
        <w:tc>
          <w:tcPr>
            <w:tcW w:w="2119" w:type="dxa"/>
          </w:tcPr>
          <w:p w14:paraId="4D5F8495" w14:textId="77777777" w:rsidR="00B139B1" w:rsidRPr="00401BFE" w:rsidRDefault="00B139B1" w:rsidP="00B139B1">
            <w:pPr>
              <w:spacing w:before="90" w:after="90"/>
              <w:jc w:val="both"/>
              <w:rPr>
                <w:rFonts w:ascii="Helvetica" w:hAnsi="Helvetica"/>
                <w:color w:val="333333"/>
                <w:sz w:val="21"/>
                <w:szCs w:val="21"/>
                <w:lang w:val="es-MX" w:eastAsia="es-MX"/>
              </w:rPr>
            </w:pPr>
            <w:r w:rsidRPr="00401BFE">
              <w:rPr>
                <w:rFonts w:ascii="Helvetica" w:hAnsi="Helvetica"/>
                <w:color w:val="333333"/>
                <w:sz w:val="21"/>
                <w:szCs w:val="21"/>
              </w:rPr>
              <w:t>Copia marcada a la Comisión de Hacienda y Fiscalización de este Congreso del Estado, del oficio signado por el director general de Asuntos Jurídicos de la Auditoría Superior del Estado de Guanajuato, a través del cual solicita información a la contralora municipal de Santa Catarina, Gto., del estado en que se encuentran cada una de las observaciones que determinaron presuntas responsabilidades administrativas, con motivo de la revisión practicada a dicho municipio.</w:t>
            </w:r>
          </w:p>
          <w:p w14:paraId="26CF034A" w14:textId="77777777" w:rsidR="002E3BE9" w:rsidRPr="00401BFE" w:rsidRDefault="002E3BE9" w:rsidP="009912FA">
            <w:pPr>
              <w:autoSpaceDE w:val="0"/>
              <w:autoSpaceDN w:val="0"/>
              <w:adjustRightInd w:val="0"/>
              <w:jc w:val="both"/>
              <w:rPr>
                <w:rFonts w:ascii="Abadi" w:hAnsi="Abadi"/>
                <w:color w:val="333333"/>
                <w:sz w:val="21"/>
                <w:szCs w:val="21"/>
                <w:shd w:val="clear" w:color="auto" w:fill="FFFFFF"/>
              </w:rPr>
            </w:pPr>
          </w:p>
        </w:tc>
        <w:tc>
          <w:tcPr>
            <w:tcW w:w="2261" w:type="dxa"/>
          </w:tcPr>
          <w:p w14:paraId="6EBDF5D0" w14:textId="6D9CFC0D" w:rsidR="002E3BE9" w:rsidRPr="00401BFE" w:rsidRDefault="00B139B1"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color w:val="333333"/>
                <w:sz w:val="21"/>
                <w:szCs w:val="21"/>
                <w:shd w:val="clear" w:color="auto" w:fill="FFFFFF"/>
              </w:rPr>
              <w:t>Enterados.</w:t>
            </w:r>
          </w:p>
        </w:tc>
      </w:tr>
      <w:tr w:rsidR="002E3BE9" w:rsidRPr="00401BFE" w14:paraId="334B8D5F" w14:textId="77777777" w:rsidTr="000D34EF">
        <w:tc>
          <w:tcPr>
            <w:tcW w:w="2119" w:type="dxa"/>
          </w:tcPr>
          <w:p w14:paraId="4DEEFC8F" w14:textId="3135D32E" w:rsidR="002E3BE9" w:rsidRPr="00401BFE" w:rsidRDefault="00B139B1"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9F9F9"/>
              </w:rPr>
              <w:t>Copia marcada a la Comisión de Hacienda y Fiscalización de este Congreso del Estado, del oficio signado por el director general de Asuntos Jurídicos de la Auditoría Superior del Estado de Guanajuato, a través del cual solicita información al contralor municipal de Uriangato, Gto., del estado en que se encuentran cada una de las observaciones que determinaron presuntas responsabilidades administrativas, con motivo de la revisión practicada a dicho municipio.</w:t>
            </w:r>
          </w:p>
        </w:tc>
        <w:tc>
          <w:tcPr>
            <w:tcW w:w="2261" w:type="dxa"/>
          </w:tcPr>
          <w:p w14:paraId="645BDD74" w14:textId="323DC5AF" w:rsidR="002E3BE9" w:rsidRPr="00401BFE" w:rsidRDefault="00B139B1"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9F9F9"/>
              </w:rPr>
              <w:t>Enterados.</w:t>
            </w:r>
          </w:p>
        </w:tc>
      </w:tr>
      <w:tr w:rsidR="00B60056" w:rsidRPr="00401BFE" w14:paraId="219BA211" w14:textId="77777777" w:rsidTr="000D34EF">
        <w:tc>
          <w:tcPr>
            <w:tcW w:w="2119" w:type="dxa"/>
          </w:tcPr>
          <w:p w14:paraId="49A697E2" w14:textId="77777777" w:rsidR="00B139B1" w:rsidRPr="00401BFE" w:rsidRDefault="00B139B1" w:rsidP="00B139B1">
            <w:pPr>
              <w:spacing w:before="90" w:after="90"/>
              <w:jc w:val="both"/>
              <w:rPr>
                <w:rFonts w:ascii="Helvetica" w:hAnsi="Helvetica"/>
                <w:color w:val="333333"/>
                <w:sz w:val="21"/>
                <w:szCs w:val="21"/>
                <w:lang w:val="es-MX" w:eastAsia="es-MX"/>
              </w:rPr>
            </w:pPr>
            <w:r w:rsidRPr="00401BFE">
              <w:rPr>
                <w:rFonts w:ascii="Helvetica" w:hAnsi="Helvetica"/>
                <w:color w:val="333333"/>
                <w:sz w:val="21"/>
                <w:szCs w:val="21"/>
              </w:rPr>
              <w:t xml:space="preserve">Copia marcada a la Comisión de Hacienda y Fiscalización de este Congreso del Estado, del oficio signado por el director general de Asuntos Jurídicos de la Auditoría Superior del Estado de Guanajuato, a través del cual solicita información a la encargada del despacho de la Contraloría Municipal de Victoria, Gto., del estado en que se encuentran cada una de las observaciones que determinaron presuntas responsabilidades </w:t>
            </w:r>
            <w:r w:rsidRPr="00401BFE">
              <w:rPr>
                <w:rFonts w:ascii="Helvetica" w:hAnsi="Helvetica"/>
                <w:color w:val="333333"/>
                <w:sz w:val="21"/>
                <w:szCs w:val="21"/>
              </w:rPr>
              <w:lastRenderedPageBreak/>
              <w:t>administrativas, con motivo de la revisión practicada a dicho municipio.</w:t>
            </w:r>
          </w:p>
          <w:p w14:paraId="6A3946EF" w14:textId="6598F1C4" w:rsidR="00B60056" w:rsidRPr="00401BFE" w:rsidRDefault="00B60056" w:rsidP="009912FA">
            <w:pPr>
              <w:autoSpaceDE w:val="0"/>
              <w:autoSpaceDN w:val="0"/>
              <w:adjustRightInd w:val="0"/>
              <w:jc w:val="both"/>
              <w:rPr>
                <w:rFonts w:ascii="Abadi" w:hAnsi="Abadi"/>
                <w:color w:val="333333"/>
                <w:sz w:val="21"/>
                <w:szCs w:val="21"/>
                <w:shd w:val="clear" w:color="auto" w:fill="FFFFFF"/>
              </w:rPr>
            </w:pPr>
          </w:p>
        </w:tc>
        <w:tc>
          <w:tcPr>
            <w:tcW w:w="2261" w:type="dxa"/>
          </w:tcPr>
          <w:p w14:paraId="32632BFF" w14:textId="3C8B966B" w:rsidR="00B60056" w:rsidRPr="00401BFE" w:rsidRDefault="00D45781"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FFFFF"/>
              </w:rPr>
              <w:lastRenderedPageBreak/>
              <w:t>Enterados</w:t>
            </w:r>
          </w:p>
        </w:tc>
      </w:tr>
      <w:tr w:rsidR="00B60056" w:rsidRPr="00401BFE" w14:paraId="749A8090" w14:textId="77777777" w:rsidTr="000D34EF">
        <w:tc>
          <w:tcPr>
            <w:tcW w:w="2119" w:type="dxa"/>
          </w:tcPr>
          <w:p w14:paraId="0895634E" w14:textId="7DA9A2DC" w:rsidR="00B60056" w:rsidRPr="00401BFE" w:rsidRDefault="00FE228F"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9F9F9"/>
              </w:rPr>
              <w:t>Copia marcada a la Comisión de Hacienda y Fiscalización de este Congreso del Estado, del oficio signado por el director general de Asuntos Jurídicos de la Auditoría Superior del Estado de Guanajuato, a través del cual solicita información al contralor municipal de Yuriria, Gto., del estado en que se encuentran cada una de las observaciones que determinaron presuntas responsabilidades administrativas, con motivo de la revisión practicada a dicho municipio.</w:t>
            </w:r>
          </w:p>
        </w:tc>
        <w:tc>
          <w:tcPr>
            <w:tcW w:w="2261" w:type="dxa"/>
          </w:tcPr>
          <w:p w14:paraId="660F50C5" w14:textId="15F8EBDA" w:rsidR="00B60056" w:rsidRPr="00401BFE" w:rsidRDefault="00FE228F"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9F9F9"/>
              </w:rPr>
              <w:t>Enterados.</w:t>
            </w:r>
          </w:p>
        </w:tc>
      </w:tr>
      <w:tr w:rsidR="00D45781" w:rsidRPr="00401BFE" w14:paraId="2ECACA7B" w14:textId="77777777" w:rsidTr="000D34EF">
        <w:tc>
          <w:tcPr>
            <w:tcW w:w="2119" w:type="dxa"/>
          </w:tcPr>
          <w:p w14:paraId="39E53CEF" w14:textId="77777777" w:rsidR="00D45781" w:rsidRPr="00401BFE" w:rsidRDefault="00D45781" w:rsidP="009912FA">
            <w:pPr>
              <w:autoSpaceDE w:val="0"/>
              <w:autoSpaceDN w:val="0"/>
              <w:adjustRightInd w:val="0"/>
              <w:jc w:val="both"/>
              <w:rPr>
                <w:rFonts w:ascii="Abadi" w:hAnsi="Abadi"/>
                <w:color w:val="333333"/>
                <w:sz w:val="21"/>
                <w:szCs w:val="21"/>
                <w:shd w:val="clear" w:color="auto" w:fill="FFFFFF"/>
              </w:rPr>
            </w:pPr>
          </w:p>
          <w:p w14:paraId="50A5695C" w14:textId="5DCCCF32" w:rsidR="00FE228F" w:rsidRPr="00401BFE" w:rsidRDefault="00FE228F"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FFFFF"/>
              </w:rPr>
              <w:t xml:space="preserve">Copia marcada a la Comisión de Hacienda y Fiscalización de este Congreso del Estado, del oficio signado por el director general de Asuntos Jurídicos de la Auditoría Superior del Estado de Guanajuato, a través del cual solicita información al contralor municipal de Tierra Blanca, Gto., del estado en que se encuentran cada una de las observaciones que </w:t>
            </w:r>
            <w:r w:rsidRPr="00401BFE">
              <w:rPr>
                <w:rFonts w:ascii="Helvetica" w:hAnsi="Helvetica"/>
                <w:color w:val="333333"/>
                <w:sz w:val="21"/>
                <w:szCs w:val="21"/>
                <w:shd w:val="clear" w:color="auto" w:fill="FFFFFF"/>
              </w:rPr>
              <w:t>determinaron presuntas responsabilidades administrativas, con motivo de la revisión practicada a dicho municipio</w:t>
            </w:r>
          </w:p>
        </w:tc>
        <w:tc>
          <w:tcPr>
            <w:tcW w:w="2261" w:type="dxa"/>
          </w:tcPr>
          <w:p w14:paraId="74C7C483" w14:textId="4F835A7D" w:rsidR="00D45781" w:rsidRPr="00401BFE" w:rsidRDefault="00CC708C"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FFFFF"/>
              </w:rPr>
              <w:t>Enterados.</w:t>
            </w:r>
          </w:p>
        </w:tc>
      </w:tr>
      <w:tr w:rsidR="00D45781" w:rsidRPr="00401BFE" w14:paraId="4DE4E665" w14:textId="77777777" w:rsidTr="000D34EF">
        <w:tc>
          <w:tcPr>
            <w:tcW w:w="2119" w:type="dxa"/>
          </w:tcPr>
          <w:p w14:paraId="11342D27" w14:textId="323F385F" w:rsidR="00D45781" w:rsidRPr="00401BFE" w:rsidRDefault="00CC708C"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9F9F9"/>
              </w:rPr>
              <w:t>Copia marcada a la Comisión de Hacienda y Fiscalización de este Congreso del Estado, del oficio signado por el director general de Asuntos Jurídicos de la Auditoría Superior del Estado de Guanajuato, a través del cual solicita a la síndico del ayuntamiento de Tierra Blanca, Gto., información sobre las acciones legales implementadas y, en su caso, el estado en que se encuentran, respecto a cada una de las observaciones con responsabilidad civil sancionadas en los respectivos informes de resultados.</w:t>
            </w:r>
          </w:p>
        </w:tc>
        <w:tc>
          <w:tcPr>
            <w:tcW w:w="2261" w:type="dxa"/>
          </w:tcPr>
          <w:p w14:paraId="19B4F342" w14:textId="1DBAA065" w:rsidR="00D45781" w:rsidRPr="00401BFE" w:rsidRDefault="00CC708C"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9F9F9"/>
              </w:rPr>
              <w:t>Enterados.</w:t>
            </w:r>
          </w:p>
        </w:tc>
      </w:tr>
      <w:tr w:rsidR="00D45781" w:rsidRPr="00401BFE" w14:paraId="214DCFD4" w14:textId="77777777" w:rsidTr="000D34EF">
        <w:tc>
          <w:tcPr>
            <w:tcW w:w="2119" w:type="dxa"/>
          </w:tcPr>
          <w:p w14:paraId="1735FDC7" w14:textId="025917CC" w:rsidR="00D45781" w:rsidRPr="00401BFE" w:rsidRDefault="00CC708C"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FFFFF"/>
              </w:rPr>
              <w:t xml:space="preserve">Copia marcada a la Comisión de Hacienda y Fiscalización de este Congreso del Estado, del oficio signado por el director general de Asuntos Jurídicos de la Auditoría Superior del Estado de Guanajuato, a través del cual solicita al síndico del ayuntamiento de Acámbaro, Gto., información sobre </w:t>
            </w:r>
            <w:r w:rsidRPr="00401BFE">
              <w:rPr>
                <w:rFonts w:ascii="Helvetica" w:hAnsi="Helvetica"/>
                <w:color w:val="333333"/>
                <w:sz w:val="21"/>
                <w:szCs w:val="21"/>
                <w:shd w:val="clear" w:color="auto" w:fill="FFFFFF"/>
              </w:rPr>
              <w:lastRenderedPageBreak/>
              <w:t>las acciones legales implementadas y, en su caso, el estado en que se encuentran, respecto a cada una de las observaciones con responsabilidad civil sancionadas en los respectivos informes de resultados.</w:t>
            </w:r>
          </w:p>
        </w:tc>
        <w:tc>
          <w:tcPr>
            <w:tcW w:w="2261" w:type="dxa"/>
          </w:tcPr>
          <w:p w14:paraId="0D556D46" w14:textId="2B8B826C" w:rsidR="00D45781" w:rsidRPr="00401BFE" w:rsidRDefault="00CC708C"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FFFFF"/>
              </w:rPr>
              <w:lastRenderedPageBreak/>
              <w:t>Enterados.</w:t>
            </w:r>
          </w:p>
        </w:tc>
      </w:tr>
      <w:tr w:rsidR="00D45781" w:rsidRPr="00401BFE" w14:paraId="0A1EC1D0" w14:textId="77777777" w:rsidTr="000D34EF">
        <w:tc>
          <w:tcPr>
            <w:tcW w:w="2119" w:type="dxa"/>
          </w:tcPr>
          <w:p w14:paraId="1FEBEB06" w14:textId="3425CDEE" w:rsidR="00D45781" w:rsidRPr="00401BFE" w:rsidRDefault="00B21042"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9F9F9"/>
              </w:rPr>
              <w:t>Copia marcada a la Comisión de Hacienda y Fiscalización de este Congreso del Estado, del oficio signado por el director general de Asuntos Jurídicos de la Auditoría Superior del Estado de Guanajuato, a través del cual solicita al síndico del ayuntamiento de Coroneo, Gto., información sobre las acciones legales implementadas y, en su caso, el estado en que se encuentran, respecto a cada una de las observaciones con responsabilidad civil sancionadas en los respectivos informes de resultados.</w:t>
            </w:r>
          </w:p>
        </w:tc>
        <w:tc>
          <w:tcPr>
            <w:tcW w:w="2261" w:type="dxa"/>
          </w:tcPr>
          <w:p w14:paraId="38A4174D" w14:textId="6B7B7136" w:rsidR="00D45781" w:rsidRPr="00401BFE" w:rsidRDefault="00B21042"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9F9F9"/>
              </w:rPr>
              <w:t>Enterados.</w:t>
            </w:r>
          </w:p>
        </w:tc>
      </w:tr>
      <w:tr w:rsidR="00D45781" w:rsidRPr="00401BFE" w14:paraId="1E1A8732" w14:textId="77777777" w:rsidTr="000D34EF">
        <w:tc>
          <w:tcPr>
            <w:tcW w:w="2119" w:type="dxa"/>
          </w:tcPr>
          <w:p w14:paraId="4F9CDBF8" w14:textId="694B4A8C" w:rsidR="00D45781" w:rsidRPr="00401BFE" w:rsidRDefault="00B21042"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FFFFF"/>
              </w:rPr>
              <w:t xml:space="preserve">Copia marcada a la Comisión de Hacienda y Fiscalización de este Congreso del Estado, del oficio signado por el director general de Asuntos Jurídicos de la Auditoría Superior del Estado </w:t>
            </w:r>
            <w:r w:rsidRPr="00401BFE">
              <w:rPr>
                <w:rFonts w:ascii="Helvetica" w:hAnsi="Helvetica"/>
                <w:color w:val="333333"/>
                <w:sz w:val="21"/>
                <w:szCs w:val="21"/>
                <w:shd w:val="clear" w:color="auto" w:fill="FFFFFF"/>
              </w:rPr>
              <w:t>de Guanajuato, a través del cual solicita a la síndico del ayuntamiento de Cortazar, Gto., información sobre las acciones legales implementadas y, en su caso, el estado en que se encuentran, respecto a cada una de las observaciones con responsabilidad civil sancionadas en los respectivos informes de resultados.</w:t>
            </w:r>
          </w:p>
        </w:tc>
        <w:tc>
          <w:tcPr>
            <w:tcW w:w="2261" w:type="dxa"/>
          </w:tcPr>
          <w:p w14:paraId="4FAF9601" w14:textId="4DA0FC48" w:rsidR="00D45781" w:rsidRPr="00401BFE" w:rsidRDefault="00B21042"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FFFFF"/>
              </w:rPr>
              <w:t>Enterados.</w:t>
            </w:r>
          </w:p>
        </w:tc>
      </w:tr>
      <w:tr w:rsidR="00D45781" w:rsidRPr="00401BFE" w14:paraId="5B0CCDCB" w14:textId="77777777" w:rsidTr="000D34EF">
        <w:tc>
          <w:tcPr>
            <w:tcW w:w="2119" w:type="dxa"/>
          </w:tcPr>
          <w:p w14:paraId="1B76CE5C" w14:textId="56B3492B" w:rsidR="00D45781" w:rsidRPr="00401BFE" w:rsidRDefault="005151DA"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9F9F9"/>
              </w:rPr>
              <w:t>Copia marcada a la Comisión de Hacienda y Fiscalización de este Congreso del Estado, del oficio signado por el director general de Asuntos Jurídicos de la Auditoría Superior del Estado de Guanajuato, a través del cual solicita a la síndico del ayuntamiento de Jerécuaro, Gto., información sobre las acciones legales implementadas y, en su caso, el estado en que se encuentran, respecto a cada una de las observaciones con responsabilidad civil sancionadas en los respectivos informes de resultados.</w:t>
            </w:r>
          </w:p>
        </w:tc>
        <w:tc>
          <w:tcPr>
            <w:tcW w:w="2261" w:type="dxa"/>
          </w:tcPr>
          <w:p w14:paraId="37D7560C" w14:textId="1B10DD40" w:rsidR="00D45781" w:rsidRPr="00401BFE" w:rsidRDefault="005151DA"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9F9F9"/>
              </w:rPr>
              <w:t>Enterados.</w:t>
            </w:r>
          </w:p>
        </w:tc>
      </w:tr>
      <w:tr w:rsidR="00D45781" w:rsidRPr="00401BFE" w14:paraId="700EE305" w14:textId="77777777" w:rsidTr="000D34EF">
        <w:tc>
          <w:tcPr>
            <w:tcW w:w="2119" w:type="dxa"/>
          </w:tcPr>
          <w:p w14:paraId="46E7AA88" w14:textId="3FB2D600" w:rsidR="00D45781" w:rsidRPr="00401BFE" w:rsidRDefault="005151DA"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FFFFF"/>
              </w:rPr>
              <w:t xml:space="preserve">Copia marcada a la Comisión de Hacienda y Fiscalización de este Congreso del </w:t>
            </w:r>
            <w:r w:rsidRPr="00401BFE">
              <w:rPr>
                <w:rFonts w:ascii="Helvetica" w:hAnsi="Helvetica"/>
                <w:color w:val="333333"/>
                <w:sz w:val="21"/>
                <w:szCs w:val="21"/>
                <w:shd w:val="clear" w:color="auto" w:fill="FFFFFF"/>
              </w:rPr>
              <w:lastRenderedPageBreak/>
              <w:t>Estado, del oficio signado por el director general de Asuntos Jurídicos de la Auditoría Superior del Estado de Guanajuato, a través del cual solicita al síndico del ayuntamiento de Tarandacuao, Gto., información sobre las acciones legales implementadas y, en su caso, el estado en que se encuentran, respecto a cada una de las observaciones con responsabilidad civil sancionadas en los respectivos informes de resultados.</w:t>
            </w:r>
          </w:p>
        </w:tc>
        <w:tc>
          <w:tcPr>
            <w:tcW w:w="2261" w:type="dxa"/>
          </w:tcPr>
          <w:p w14:paraId="40860231" w14:textId="60A12449" w:rsidR="00D45781" w:rsidRPr="00401BFE" w:rsidRDefault="005151DA"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FFFFF"/>
              </w:rPr>
              <w:lastRenderedPageBreak/>
              <w:t>Enterados.</w:t>
            </w:r>
          </w:p>
        </w:tc>
      </w:tr>
      <w:tr w:rsidR="00B60056" w:rsidRPr="00401BFE" w14:paraId="7150D529" w14:textId="77777777" w:rsidTr="000D34EF">
        <w:tc>
          <w:tcPr>
            <w:tcW w:w="2119" w:type="dxa"/>
          </w:tcPr>
          <w:p w14:paraId="609FAEB3" w14:textId="2008E570" w:rsidR="00B60056" w:rsidRPr="00401BFE" w:rsidRDefault="00565A56"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9F9F9"/>
              </w:rPr>
              <w:t xml:space="preserve">Copia marcada a la Comisión de Hacienda y Fiscalización de este Congreso del Estado, del oficio signado por el director general de Asuntos Jurídicos de la Auditoría Superior del Estado de Guanajuato, a través del cual solicita a la síndico del ayuntamiento de Villagrán, Gto., información sobre las acciones legales implementadas y, en su caso, el estado en que se encuentran, respecto a cada una de las observaciones con responsabilidad civil sancionadas en los respectivos </w:t>
            </w:r>
            <w:r w:rsidRPr="00401BFE">
              <w:rPr>
                <w:rFonts w:ascii="Helvetica" w:hAnsi="Helvetica"/>
                <w:color w:val="333333"/>
                <w:sz w:val="21"/>
                <w:szCs w:val="21"/>
                <w:shd w:val="clear" w:color="auto" w:fill="F9F9F9"/>
              </w:rPr>
              <w:t>informes de resultados.</w:t>
            </w:r>
          </w:p>
        </w:tc>
        <w:tc>
          <w:tcPr>
            <w:tcW w:w="2261" w:type="dxa"/>
          </w:tcPr>
          <w:p w14:paraId="68FDF299" w14:textId="0BF26472" w:rsidR="00B60056" w:rsidRPr="00401BFE" w:rsidRDefault="00565A56"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9F9F9"/>
              </w:rPr>
              <w:t>Enterados.</w:t>
            </w:r>
          </w:p>
        </w:tc>
      </w:tr>
      <w:tr w:rsidR="00B60056" w:rsidRPr="00401BFE" w14:paraId="7B556EFF" w14:textId="77777777" w:rsidTr="000D34EF">
        <w:tc>
          <w:tcPr>
            <w:tcW w:w="2119" w:type="dxa"/>
          </w:tcPr>
          <w:p w14:paraId="5D9D5A10" w14:textId="77777777" w:rsidR="00565A56" w:rsidRPr="00401BFE" w:rsidRDefault="00565A56" w:rsidP="00565A56">
            <w:pPr>
              <w:spacing w:before="90" w:after="90"/>
              <w:jc w:val="both"/>
              <w:rPr>
                <w:rFonts w:ascii="Helvetica" w:hAnsi="Helvetica"/>
                <w:color w:val="333333"/>
                <w:sz w:val="21"/>
                <w:szCs w:val="21"/>
                <w:lang w:val="es-MX" w:eastAsia="es-MX"/>
              </w:rPr>
            </w:pPr>
            <w:r w:rsidRPr="00401BFE">
              <w:rPr>
                <w:rFonts w:ascii="Helvetica" w:hAnsi="Helvetica"/>
                <w:color w:val="333333"/>
                <w:sz w:val="21"/>
                <w:szCs w:val="21"/>
              </w:rPr>
              <w:t>Copia marcada a la Comisión de Hacienda y Fiscalización de este Congreso del Estado, del oficio signado por el director general de Asuntos Jurídicos de la Auditoría Superior del Estado de Guanajuato, a través del cual solicita información a la encargada del despacho de la Contraloría Municipal de Acámbaro, Gto., del estado en que se encuentran cada una de las observaciones que determinaron presuntas responsabilidades administrativas, con motivo de la revisión practicada a dicho municipio.</w:t>
            </w:r>
          </w:p>
          <w:p w14:paraId="1A4A5E6E" w14:textId="7E481C64" w:rsidR="00B60056" w:rsidRPr="00401BFE" w:rsidRDefault="00B60056" w:rsidP="009912FA">
            <w:pPr>
              <w:autoSpaceDE w:val="0"/>
              <w:autoSpaceDN w:val="0"/>
              <w:adjustRightInd w:val="0"/>
              <w:jc w:val="both"/>
              <w:rPr>
                <w:rFonts w:ascii="Abadi" w:hAnsi="Abadi"/>
                <w:color w:val="333333"/>
                <w:sz w:val="21"/>
                <w:szCs w:val="21"/>
                <w:shd w:val="clear" w:color="auto" w:fill="FFFFFF"/>
              </w:rPr>
            </w:pPr>
          </w:p>
        </w:tc>
        <w:tc>
          <w:tcPr>
            <w:tcW w:w="2261" w:type="dxa"/>
          </w:tcPr>
          <w:p w14:paraId="32156F23" w14:textId="04A477AF" w:rsidR="00B60056" w:rsidRPr="00401BFE" w:rsidRDefault="00565A56"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FFFFF"/>
              </w:rPr>
              <w:t>Enterados.</w:t>
            </w:r>
          </w:p>
        </w:tc>
      </w:tr>
      <w:tr w:rsidR="005151DA" w:rsidRPr="00401BFE" w14:paraId="1637CC13" w14:textId="77777777" w:rsidTr="000D34EF">
        <w:tc>
          <w:tcPr>
            <w:tcW w:w="2119" w:type="dxa"/>
          </w:tcPr>
          <w:p w14:paraId="63F6B572" w14:textId="7EDFD291" w:rsidR="005151DA" w:rsidRPr="00401BFE" w:rsidRDefault="00A24852"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9F9F9"/>
              </w:rPr>
              <w:t xml:space="preserve">Copia marcada a la Comisión de Hacienda y Fiscalización de este Congreso del Estado, del oficio signado por el director general de Asuntos Jurídicos de la Auditoría Superior del Estado de Guanajuato, a través del cual solicita información al encargado del despacho de la Contraloría Municipal de Coroneo, Gto., del estado en que se </w:t>
            </w:r>
            <w:r w:rsidRPr="00401BFE">
              <w:rPr>
                <w:rFonts w:ascii="Helvetica" w:hAnsi="Helvetica"/>
                <w:color w:val="333333"/>
                <w:sz w:val="21"/>
                <w:szCs w:val="21"/>
                <w:shd w:val="clear" w:color="auto" w:fill="F9F9F9"/>
              </w:rPr>
              <w:lastRenderedPageBreak/>
              <w:t>encuentran cada una de las observaciones que determinaron presuntas responsabilidades administrativas, con motivo de la revisión practicada a dicho municipio.</w:t>
            </w:r>
          </w:p>
        </w:tc>
        <w:tc>
          <w:tcPr>
            <w:tcW w:w="2261" w:type="dxa"/>
          </w:tcPr>
          <w:p w14:paraId="0A9BCDEE" w14:textId="16BA7410" w:rsidR="005151DA" w:rsidRPr="00401BFE" w:rsidRDefault="00A24852"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9F9F9"/>
              </w:rPr>
              <w:lastRenderedPageBreak/>
              <w:t>Enterados.</w:t>
            </w:r>
          </w:p>
        </w:tc>
      </w:tr>
      <w:tr w:rsidR="005151DA" w:rsidRPr="00401BFE" w14:paraId="6EC680E2" w14:textId="77777777" w:rsidTr="000D34EF">
        <w:tc>
          <w:tcPr>
            <w:tcW w:w="2119" w:type="dxa"/>
          </w:tcPr>
          <w:p w14:paraId="44A65C58" w14:textId="77777777" w:rsidR="001C07DC" w:rsidRPr="00401BFE" w:rsidRDefault="001C07DC" w:rsidP="001C07DC">
            <w:pPr>
              <w:spacing w:before="90" w:after="90"/>
              <w:jc w:val="both"/>
              <w:rPr>
                <w:rFonts w:ascii="Helvetica" w:hAnsi="Helvetica"/>
                <w:color w:val="333333"/>
                <w:sz w:val="21"/>
                <w:szCs w:val="21"/>
                <w:lang w:val="es-MX" w:eastAsia="es-MX"/>
              </w:rPr>
            </w:pPr>
            <w:r w:rsidRPr="00401BFE">
              <w:rPr>
                <w:rFonts w:ascii="Helvetica" w:hAnsi="Helvetica"/>
                <w:color w:val="333333"/>
                <w:sz w:val="21"/>
                <w:szCs w:val="21"/>
              </w:rPr>
              <w:t>Copia marcada a la Comisión de Hacienda y Fiscalización de este Congreso del Estado, del oficio signado por el director general de Asuntos Jurídicos de la Auditoría Superior del Estado de Guanajuato, a través del cual solicita información a la encargada del despacho de la Contraloría Municipal de Cortazar, Gto., del estado en que se encuentran cada una de las observaciones que determinaron presuntas responsabilidades administrativas, con motivo de la revisión practicada a dicho municipio.</w:t>
            </w:r>
          </w:p>
          <w:p w14:paraId="759CB99C" w14:textId="77777777" w:rsidR="005151DA" w:rsidRPr="00401BFE" w:rsidRDefault="005151DA" w:rsidP="009912FA">
            <w:pPr>
              <w:autoSpaceDE w:val="0"/>
              <w:autoSpaceDN w:val="0"/>
              <w:adjustRightInd w:val="0"/>
              <w:jc w:val="both"/>
              <w:rPr>
                <w:rFonts w:ascii="Abadi" w:hAnsi="Abadi"/>
                <w:color w:val="333333"/>
                <w:sz w:val="21"/>
                <w:szCs w:val="21"/>
                <w:shd w:val="clear" w:color="auto" w:fill="FFFFFF"/>
              </w:rPr>
            </w:pPr>
          </w:p>
        </w:tc>
        <w:tc>
          <w:tcPr>
            <w:tcW w:w="2261" w:type="dxa"/>
          </w:tcPr>
          <w:p w14:paraId="1889852B" w14:textId="7346A495" w:rsidR="005151DA" w:rsidRPr="00401BFE" w:rsidRDefault="001C07DC"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FFFFF"/>
              </w:rPr>
              <w:t>Enterados.</w:t>
            </w:r>
          </w:p>
        </w:tc>
      </w:tr>
      <w:tr w:rsidR="005151DA" w:rsidRPr="00401BFE" w14:paraId="07F3A8D4" w14:textId="77777777" w:rsidTr="000D34EF">
        <w:tc>
          <w:tcPr>
            <w:tcW w:w="2119" w:type="dxa"/>
          </w:tcPr>
          <w:p w14:paraId="69DEEF07" w14:textId="401BCC36" w:rsidR="005151DA" w:rsidRPr="00401BFE" w:rsidRDefault="001C07DC" w:rsidP="000A1A9F">
            <w:pPr>
              <w:spacing w:before="90" w:after="90"/>
              <w:jc w:val="both"/>
              <w:rPr>
                <w:rFonts w:ascii="Abadi" w:hAnsi="Abadi"/>
                <w:color w:val="333333"/>
                <w:sz w:val="21"/>
                <w:szCs w:val="21"/>
                <w:shd w:val="clear" w:color="auto" w:fill="FFFFFF"/>
              </w:rPr>
            </w:pPr>
            <w:r w:rsidRPr="00401BFE">
              <w:rPr>
                <w:rFonts w:ascii="Helvetica" w:hAnsi="Helvetica"/>
                <w:color w:val="333333"/>
                <w:sz w:val="21"/>
                <w:szCs w:val="21"/>
              </w:rPr>
              <w:t xml:space="preserve">Copia marcada a la Comisión de Hacienda y Fiscalización de este Congreso del Estado, del oficio signado por el director general de Asuntos Jurídicos de la Auditoría Superior del Estado de Guanajuato, a </w:t>
            </w:r>
            <w:r w:rsidRPr="00401BFE">
              <w:rPr>
                <w:rFonts w:ascii="Helvetica" w:hAnsi="Helvetica"/>
                <w:color w:val="333333"/>
                <w:sz w:val="21"/>
                <w:szCs w:val="21"/>
              </w:rPr>
              <w:t>través del cual solicita información al contralor municipal de Jerécuaro, Gto., del estado en que se encuentran cada una de las observaciones que determinaron presuntas responsabilidades administrativas, con motivo de la revisión practicada a dicho municipio.</w:t>
            </w:r>
          </w:p>
        </w:tc>
        <w:tc>
          <w:tcPr>
            <w:tcW w:w="2261" w:type="dxa"/>
          </w:tcPr>
          <w:p w14:paraId="2884C12D" w14:textId="5D633DBE" w:rsidR="005151DA" w:rsidRPr="00401BFE" w:rsidRDefault="001C07DC"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9F9F9"/>
              </w:rPr>
              <w:t>Enterados.</w:t>
            </w:r>
          </w:p>
        </w:tc>
      </w:tr>
      <w:tr w:rsidR="005151DA" w:rsidRPr="00401BFE" w14:paraId="59DD9414" w14:textId="77777777" w:rsidTr="000D34EF">
        <w:tc>
          <w:tcPr>
            <w:tcW w:w="2119" w:type="dxa"/>
          </w:tcPr>
          <w:p w14:paraId="29A07973" w14:textId="108D1FF1" w:rsidR="005151DA" w:rsidRPr="00401BFE" w:rsidRDefault="00E22A05"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FFFFF"/>
              </w:rPr>
              <w:t>Copia marcada a la Comisión de Hacienda y Fiscalización de este Congreso del Estado, del oficio signado por el director general de Asuntos Jurídicos de la Auditoría Superior del Estado de Guanajuato, a través del cual solicita información a la contralora municipal de Tarandacuao, Gto., del estado en que se encuentran cada una de las observaciones que determinaron presuntas responsabilidades administrativas, con motivo de la revisión practicada a dicho municipio</w:t>
            </w:r>
          </w:p>
        </w:tc>
        <w:tc>
          <w:tcPr>
            <w:tcW w:w="2261" w:type="dxa"/>
          </w:tcPr>
          <w:p w14:paraId="0C5FFF9B" w14:textId="0E41D81B" w:rsidR="005151DA" w:rsidRPr="00401BFE" w:rsidRDefault="00E22A05"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FFFFF"/>
              </w:rPr>
              <w:t>Enterados.</w:t>
            </w:r>
          </w:p>
        </w:tc>
      </w:tr>
      <w:tr w:rsidR="005151DA" w:rsidRPr="00401BFE" w14:paraId="0366E074" w14:textId="77777777" w:rsidTr="000D34EF">
        <w:tc>
          <w:tcPr>
            <w:tcW w:w="2119" w:type="dxa"/>
          </w:tcPr>
          <w:p w14:paraId="2486BB01" w14:textId="5EA11C80" w:rsidR="005151DA" w:rsidRPr="00401BFE" w:rsidRDefault="00E22A05"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9F9F9"/>
              </w:rPr>
              <w:t xml:space="preserve">Copia marcada a la Comisión de Hacienda y Fiscalización de este Congreso del Estado, del oficio signado por el director general de Asuntos Jurídicos de la Auditoría </w:t>
            </w:r>
            <w:r w:rsidRPr="00401BFE">
              <w:rPr>
                <w:rFonts w:ascii="Helvetica" w:hAnsi="Helvetica"/>
                <w:color w:val="333333"/>
                <w:sz w:val="21"/>
                <w:szCs w:val="21"/>
                <w:shd w:val="clear" w:color="auto" w:fill="F9F9F9"/>
              </w:rPr>
              <w:lastRenderedPageBreak/>
              <w:t>Superior del Estado de Guanajuato, a través del cual solicita información al contralor municipal de Tarimoro, Gto., del estado en que se encuentran cada una de las observaciones que determinaron presuntas responsabilidades administrativas, con motivo de la revisión practicada a dicho municipio.</w:t>
            </w:r>
          </w:p>
        </w:tc>
        <w:tc>
          <w:tcPr>
            <w:tcW w:w="2261" w:type="dxa"/>
          </w:tcPr>
          <w:p w14:paraId="5FC0D2E1" w14:textId="30247AC5" w:rsidR="005151DA" w:rsidRPr="00401BFE" w:rsidRDefault="00E22A05"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9F9F9"/>
              </w:rPr>
              <w:lastRenderedPageBreak/>
              <w:t>Enterados</w:t>
            </w:r>
            <w:r w:rsidRPr="00401BFE">
              <w:rPr>
                <w:rFonts w:ascii="Helvetica" w:hAnsi="Helvetica"/>
                <w:color w:val="333333"/>
                <w:sz w:val="21"/>
                <w:szCs w:val="21"/>
                <w:shd w:val="clear" w:color="auto" w:fill="F9F9F9"/>
              </w:rPr>
              <w:t>.</w:t>
            </w:r>
          </w:p>
        </w:tc>
      </w:tr>
      <w:tr w:rsidR="005151DA" w:rsidRPr="00401BFE" w14:paraId="4D0A155C" w14:textId="77777777" w:rsidTr="000D34EF">
        <w:tc>
          <w:tcPr>
            <w:tcW w:w="2119" w:type="dxa"/>
          </w:tcPr>
          <w:p w14:paraId="576F83BD" w14:textId="3F1C8663" w:rsidR="005151DA" w:rsidRPr="00401BFE" w:rsidRDefault="00B342A8"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FFFFF"/>
              </w:rPr>
              <w:t>Copia marcada a la Comisión de Hacienda y Fiscalización de este Congreso del Estado, del oficio signado por el director general de Asuntos Jurídicos de la Auditoría Superior del Estado de Guanajuato, a través del cual solicita información al contralor municipal de Villagrán, Gto., del estado en que se encuentran cada una de las observaciones que determinaron presuntas responsabilidades administrativas, con motivo de la revisión practicada a dicho municipio.</w:t>
            </w:r>
          </w:p>
        </w:tc>
        <w:tc>
          <w:tcPr>
            <w:tcW w:w="2261" w:type="dxa"/>
          </w:tcPr>
          <w:p w14:paraId="6C1DC48C" w14:textId="1B0634A7" w:rsidR="005151DA" w:rsidRPr="00401BFE" w:rsidRDefault="00B342A8"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FFFFF"/>
              </w:rPr>
              <w:t>Enterados.</w:t>
            </w:r>
          </w:p>
        </w:tc>
      </w:tr>
      <w:tr w:rsidR="005151DA" w:rsidRPr="00401BFE" w14:paraId="6B15315D" w14:textId="77777777" w:rsidTr="000D34EF">
        <w:tc>
          <w:tcPr>
            <w:tcW w:w="2119" w:type="dxa"/>
          </w:tcPr>
          <w:p w14:paraId="16E256D9" w14:textId="23E052F9" w:rsidR="005151DA" w:rsidRPr="00401BFE" w:rsidRDefault="00B342A8"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9F9F9"/>
              </w:rPr>
              <w:t xml:space="preserve">El director de Asuntos Jurídicos de este Congreso del Estado comunica resolución recaída en el Juicio para la Protección de Derechos </w:t>
            </w:r>
            <w:r w:rsidRPr="00401BFE">
              <w:rPr>
                <w:rFonts w:ascii="Helvetica" w:hAnsi="Helvetica"/>
                <w:color w:val="333333"/>
                <w:sz w:val="21"/>
                <w:szCs w:val="21"/>
                <w:shd w:val="clear" w:color="auto" w:fill="F9F9F9"/>
              </w:rPr>
              <w:t>Político-Electorales, identificado bajo el número TEEG-JPDC-55/2020 y su acumulado TEEG-JPDC-56/2020.</w:t>
            </w:r>
          </w:p>
        </w:tc>
        <w:tc>
          <w:tcPr>
            <w:tcW w:w="2261" w:type="dxa"/>
          </w:tcPr>
          <w:p w14:paraId="042A6FF1" w14:textId="7ECBF118" w:rsidR="005151DA" w:rsidRPr="00401BFE" w:rsidRDefault="00B342A8"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9F9F9"/>
              </w:rPr>
              <w:t>Enterados y se turna a la Comisión de Asuntos Electorales.</w:t>
            </w:r>
          </w:p>
        </w:tc>
      </w:tr>
      <w:tr w:rsidR="005151DA" w:rsidRPr="00401BFE" w14:paraId="42912BD4" w14:textId="77777777" w:rsidTr="000D34EF">
        <w:tc>
          <w:tcPr>
            <w:tcW w:w="2119" w:type="dxa"/>
          </w:tcPr>
          <w:p w14:paraId="27139B32" w14:textId="4D82F59B" w:rsidR="005151DA" w:rsidRPr="00401BFE" w:rsidRDefault="00605ABC"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FFFFF"/>
              </w:rPr>
              <w:t>Copia marcada a la Comisión de Hacienda y Fiscalización de este Congreso del Estado, del oficio signado por el director general de Asuntos Jurídicos de la Auditoría Superior del Estado de Guanajuato, a través del cual solicita a la síndico del ayuntamiento de Tarimoro, Gto., información sobre las acciones legales implementadas y, en su caso, el estado en que se encuentran, respecto a cada una de las observaciones con responsabilidad civil sancionadas en los respectivos informes de resultados.</w:t>
            </w:r>
          </w:p>
        </w:tc>
        <w:tc>
          <w:tcPr>
            <w:tcW w:w="2261" w:type="dxa"/>
          </w:tcPr>
          <w:p w14:paraId="3635A1E9" w14:textId="2BC706C1" w:rsidR="005151DA" w:rsidRPr="00401BFE" w:rsidRDefault="00605ABC"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FFFFF"/>
              </w:rPr>
              <w:t>Enterados.</w:t>
            </w:r>
          </w:p>
        </w:tc>
      </w:tr>
      <w:tr w:rsidR="005151DA" w:rsidRPr="00401BFE" w14:paraId="2E39D86D" w14:textId="77777777" w:rsidTr="000D34EF">
        <w:tc>
          <w:tcPr>
            <w:tcW w:w="2119" w:type="dxa"/>
          </w:tcPr>
          <w:p w14:paraId="564B4918" w14:textId="2C00FF91" w:rsidR="005151DA" w:rsidRPr="00401BFE" w:rsidRDefault="00605ABC"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9F9F9"/>
              </w:rPr>
              <w:t>El procurador de los Derechos Humanos del Estado de Guanajuato remite respuesta a la consulta de la iniciativa que adiciona el artículo 22 bis a la Ley del Trabajo de los Servidores Públicos al Servicio del Estado y de los Municipios.</w:t>
            </w:r>
          </w:p>
        </w:tc>
        <w:tc>
          <w:tcPr>
            <w:tcW w:w="2261" w:type="dxa"/>
          </w:tcPr>
          <w:p w14:paraId="213FF8D5" w14:textId="537A3220" w:rsidR="005151DA" w:rsidRPr="00401BFE" w:rsidRDefault="00605ABC"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9F9F9"/>
              </w:rPr>
              <w:t>Enterados y se informa que se turnó a la Comisión de Gobernación y Puntos Constitucionales.</w:t>
            </w:r>
          </w:p>
        </w:tc>
      </w:tr>
      <w:tr w:rsidR="005151DA" w:rsidRPr="00401BFE" w14:paraId="143640CB" w14:textId="77777777" w:rsidTr="000D34EF">
        <w:tc>
          <w:tcPr>
            <w:tcW w:w="2119" w:type="dxa"/>
          </w:tcPr>
          <w:p w14:paraId="7C30874A" w14:textId="60C9FFB6" w:rsidR="005151DA" w:rsidRPr="00401BFE" w:rsidRDefault="009D1A81"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FFFFF"/>
              </w:rPr>
              <w:t xml:space="preserve">La magistrada presidenta del Supremo Tribunal de Justicia y del </w:t>
            </w:r>
            <w:r w:rsidRPr="00401BFE">
              <w:rPr>
                <w:rFonts w:ascii="Helvetica" w:hAnsi="Helvetica"/>
                <w:color w:val="333333"/>
                <w:sz w:val="21"/>
                <w:szCs w:val="21"/>
                <w:shd w:val="clear" w:color="auto" w:fill="FFFFFF"/>
              </w:rPr>
              <w:lastRenderedPageBreak/>
              <w:t>Consejo del Poder Judicial del Estado de Guanajuato remite respuesta a la consulta de la iniciativa por la que se adiciona un párrafo al artículo 1 de la Constitución Política para el Estado de Guanajuato.</w:t>
            </w:r>
          </w:p>
        </w:tc>
        <w:tc>
          <w:tcPr>
            <w:tcW w:w="2261" w:type="dxa"/>
          </w:tcPr>
          <w:p w14:paraId="6CC31CD6" w14:textId="2A977F2D" w:rsidR="005151DA" w:rsidRPr="00401BFE" w:rsidRDefault="009D1A81"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FFFFF"/>
              </w:rPr>
              <w:lastRenderedPageBreak/>
              <w:t xml:space="preserve">Enterados y se informa que se turnó a la Comisión de Gobernación y </w:t>
            </w:r>
            <w:r w:rsidRPr="00401BFE">
              <w:rPr>
                <w:rFonts w:ascii="Helvetica" w:hAnsi="Helvetica"/>
                <w:b/>
                <w:bCs/>
                <w:color w:val="333333"/>
                <w:sz w:val="21"/>
                <w:szCs w:val="21"/>
                <w:shd w:val="clear" w:color="auto" w:fill="FFFFFF"/>
              </w:rPr>
              <w:lastRenderedPageBreak/>
              <w:t>Puntos Constitucionales.</w:t>
            </w:r>
          </w:p>
        </w:tc>
      </w:tr>
      <w:tr w:rsidR="005151DA" w:rsidRPr="00401BFE" w14:paraId="6DB1D2EC" w14:textId="77777777" w:rsidTr="000D34EF">
        <w:tc>
          <w:tcPr>
            <w:tcW w:w="2119" w:type="dxa"/>
          </w:tcPr>
          <w:p w14:paraId="006079C0" w14:textId="6FC607FF" w:rsidR="005151DA" w:rsidRPr="00401BFE" w:rsidRDefault="0091187A" w:rsidP="009912FA">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9F9F9"/>
              </w:rPr>
              <w:lastRenderedPageBreak/>
              <w:t>La magistrada presidenta del Supremo Tribunal de Justicia y del Consejo del Poder Judicial del Estado de Guanajuato remite respuesta a la consulta de la iniciativa por la que se adiciona el artículo 22 bis a la Ley del Trabajo de los Servidores Públicos al Servicio del Estado y de los Municipios.</w:t>
            </w:r>
          </w:p>
        </w:tc>
        <w:tc>
          <w:tcPr>
            <w:tcW w:w="2261" w:type="dxa"/>
          </w:tcPr>
          <w:p w14:paraId="102B719A" w14:textId="626FC51F" w:rsidR="005151DA" w:rsidRPr="00401BFE" w:rsidRDefault="0091187A" w:rsidP="009912FA">
            <w:pPr>
              <w:autoSpaceDE w:val="0"/>
              <w:autoSpaceDN w:val="0"/>
              <w:adjustRightInd w:val="0"/>
              <w:jc w:val="both"/>
              <w:rPr>
                <w:rFonts w:ascii="Abadi" w:hAnsi="Abadi"/>
                <w:b/>
                <w:bCs/>
                <w:color w:val="333333"/>
                <w:sz w:val="21"/>
                <w:szCs w:val="21"/>
                <w:shd w:val="clear" w:color="auto" w:fill="FFFFFF"/>
              </w:rPr>
            </w:pPr>
            <w:r w:rsidRPr="00401BFE">
              <w:rPr>
                <w:rFonts w:ascii="Helvetica" w:hAnsi="Helvetica"/>
                <w:b/>
                <w:bCs/>
                <w:color w:val="333333"/>
                <w:sz w:val="21"/>
                <w:szCs w:val="21"/>
                <w:shd w:val="clear" w:color="auto" w:fill="F9F9F9"/>
              </w:rPr>
              <w:t>Enterados y se informa que se turnó a la Comisión de Gobernación y Puntos Constitucionales.</w:t>
            </w:r>
          </w:p>
        </w:tc>
      </w:tr>
      <w:tr w:rsidR="003B0CB3" w:rsidRPr="00401BFE" w14:paraId="0EBB4831" w14:textId="77777777" w:rsidTr="00D7119F">
        <w:tc>
          <w:tcPr>
            <w:tcW w:w="4380" w:type="dxa"/>
            <w:gridSpan w:val="2"/>
            <w:shd w:val="clear" w:color="auto" w:fill="DDD9C3" w:themeFill="background2" w:themeFillShade="E6"/>
          </w:tcPr>
          <w:p w14:paraId="2C2E7E98" w14:textId="09B0F9BF" w:rsidR="003B0CB3" w:rsidRPr="00401BFE" w:rsidRDefault="003B0CB3" w:rsidP="003B0CB3">
            <w:pPr>
              <w:autoSpaceDE w:val="0"/>
              <w:autoSpaceDN w:val="0"/>
              <w:adjustRightInd w:val="0"/>
              <w:jc w:val="both"/>
              <w:rPr>
                <w:rFonts w:ascii="Abadi" w:hAnsi="Abadi"/>
                <w:color w:val="333333"/>
                <w:sz w:val="21"/>
                <w:szCs w:val="21"/>
                <w:shd w:val="clear" w:color="auto" w:fill="F9F9F9"/>
              </w:rPr>
            </w:pPr>
            <w:r w:rsidRPr="00401BFE">
              <w:rPr>
                <w:rFonts w:ascii="Abadi" w:hAnsi="Abadi"/>
                <w:b/>
                <w:bCs/>
                <w:sz w:val="21"/>
                <w:szCs w:val="21"/>
              </w:rPr>
              <w:t xml:space="preserve">II. Comunicados provenientes de los </w:t>
            </w:r>
            <w:r w:rsidR="002A494A" w:rsidRPr="00401BFE">
              <w:rPr>
                <w:rFonts w:ascii="Abadi" w:hAnsi="Abadi"/>
                <w:b/>
                <w:bCs/>
                <w:sz w:val="21"/>
                <w:szCs w:val="21"/>
              </w:rPr>
              <w:t>Ayuntamientos del Estado.</w:t>
            </w:r>
          </w:p>
        </w:tc>
      </w:tr>
      <w:tr w:rsidR="003B0CB3" w:rsidRPr="00401BFE" w14:paraId="3A7FA492" w14:textId="77777777" w:rsidTr="000D34EF">
        <w:tc>
          <w:tcPr>
            <w:tcW w:w="2119" w:type="dxa"/>
          </w:tcPr>
          <w:p w14:paraId="5083A48B" w14:textId="24232B31" w:rsidR="003B0CB3" w:rsidRPr="007373BF" w:rsidRDefault="005048A5"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FFFFF"/>
              </w:rPr>
              <w:t>El presidente municipal y el secretario del ayuntamiento de Valle de Santiago, Gto., remite copia certificada del acuerdo de ayuntamiento, relativo a la segunda modificación al presupuesto general para el ejercicio fiscal 2022.</w:t>
            </w:r>
          </w:p>
        </w:tc>
        <w:tc>
          <w:tcPr>
            <w:tcW w:w="2261" w:type="dxa"/>
          </w:tcPr>
          <w:p w14:paraId="654C4854" w14:textId="2D0E0231" w:rsidR="00D7119F" w:rsidRPr="007373BF" w:rsidRDefault="005048A5"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FFFFF"/>
              </w:rPr>
              <w:t>Enterados y se remite a la Auditoría Superior del Estado de Guanajuato.</w:t>
            </w:r>
          </w:p>
        </w:tc>
      </w:tr>
      <w:tr w:rsidR="003B0CB3" w:rsidRPr="00401BFE" w14:paraId="5D076E29" w14:textId="77777777" w:rsidTr="000D34EF">
        <w:tc>
          <w:tcPr>
            <w:tcW w:w="2119" w:type="dxa"/>
          </w:tcPr>
          <w:p w14:paraId="3C2455F8" w14:textId="7219D1E1" w:rsidR="003B0CB3" w:rsidRPr="007373BF" w:rsidRDefault="005048A5"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9F9F9"/>
              </w:rPr>
              <w:t xml:space="preserve">El presidente municipal de San Diego de la Unión, Gto., remite información adicional en alcance al oficio PMSDU/0242/21, relativo a la solicitud de contratación de </w:t>
            </w:r>
            <w:r w:rsidRPr="007373BF">
              <w:rPr>
                <w:rFonts w:ascii="Abadi" w:hAnsi="Abadi"/>
                <w:color w:val="333333"/>
                <w:sz w:val="21"/>
                <w:szCs w:val="21"/>
                <w:shd w:val="clear" w:color="auto" w:fill="F9F9F9"/>
              </w:rPr>
              <w:t>un financiamiento formulada por dicho ayuntamiento.</w:t>
            </w:r>
          </w:p>
        </w:tc>
        <w:tc>
          <w:tcPr>
            <w:tcW w:w="2261" w:type="dxa"/>
          </w:tcPr>
          <w:p w14:paraId="5902D738" w14:textId="5D747741" w:rsidR="003B0CB3" w:rsidRPr="007373BF" w:rsidRDefault="005048A5"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9F9F9"/>
              </w:rPr>
              <w:t>Enterados y se informa que se turnó a la Comisión de Hacienda y Fiscalización.</w:t>
            </w:r>
          </w:p>
        </w:tc>
      </w:tr>
      <w:tr w:rsidR="003B0CB3" w:rsidRPr="00401BFE" w14:paraId="4694B9B2" w14:textId="77777777" w:rsidTr="000D34EF">
        <w:tc>
          <w:tcPr>
            <w:tcW w:w="2119" w:type="dxa"/>
          </w:tcPr>
          <w:p w14:paraId="39C1BFF7" w14:textId="62E3C329" w:rsidR="003B0CB3" w:rsidRPr="007373BF" w:rsidRDefault="005048A5"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FFFFF"/>
              </w:rPr>
              <w:t>El presidente municipal y el secretario del ayuntamiento de Jaral del Progreso, Gto., remiten aclaración respecto al oficio 0020/2021OFPMJP, y solicitan se retire del expediente de solicitud de la deuda, remitido mediante oficio 0019/2021OFPMJP el día 25 de enero del presente año.</w:t>
            </w:r>
          </w:p>
        </w:tc>
        <w:tc>
          <w:tcPr>
            <w:tcW w:w="2261" w:type="dxa"/>
          </w:tcPr>
          <w:p w14:paraId="58EE3C86" w14:textId="1FF79B53" w:rsidR="003B0CB3" w:rsidRPr="007373BF" w:rsidRDefault="00C10483"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FFFFF"/>
              </w:rPr>
              <w:t>Enterados y se informa que se turnó a la Comisión de Hacienda y Fiscalización.</w:t>
            </w:r>
          </w:p>
        </w:tc>
      </w:tr>
      <w:tr w:rsidR="003B0CB3" w:rsidRPr="00401BFE" w14:paraId="658768FA" w14:textId="77777777" w:rsidTr="000D34EF">
        <w:tc>
          <w:tcPr>
            <w:tcW w:w="2119" w:type="dxa"/>
          </w:tcPr>
          <w:p w14:paraId="12DBFBCC" w14:textId="24217F7F" w:rsidR="003B0CB3" w:rsidRPr="007373BF" w:rsidRDefault="00C10483"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9F9F9"/>
              </w:rPr>
              <w:t>La presidenta municipal y el secretario del ayuntamiento de Moroleón, Gto., remiten información adicional en alcance al oficio PMM/118/2022 de fecha 27 de abril de 2022; referente a la solicitud de autorización de endeudamiento realizada por dicho ayuntamiento.</w:t>
            </w:r>
          </w:p>
        </w:tc>
        <w:tc>
          <w:tcPr>
            <w:tcW w:w="2261" w:type="dxa"/>
          </w:tcPr>
          <w:p w14:paraId="1C578B4A" w14:textId="00727B67" w:rsidR="003B0CB3" w:rsidRPr="007373BF" w:rsidRDefault="00C10483"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9F9F9"/>
              </w:rPr>
              <w:t>Enterados y se informa que se turnó a la Comisión de Hacienda y Fiscalización.</w:t>
            </w:r>
          </w:p>
        </w:tc>
      </w:tr>
      <w:tr w:rsidR="003B0CB3" w:rsidRPr="00401BFE" w14:paraId="2278628B" w14:textId="77777777" w:rsidTr="000D34EF">
        <w:tc>
          <w:tcPr>
            <w:tcW w:w="2119" w:type="dxa"/>
          </w:tcPr>
          <w:p w14:paraId="00E43695" w14:textId="200984EC" w:rsidR="003B0CB3" w:rsidRPr="007373BF" w:rsidRDefault="00C10483"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FFFFF"/>
              </w:rPr>
              <w:t xml:space="preserve">La secretaria del ayuntamiento de Abasolo, Gto., remite respuesta a la consulta de la iniciativa que adiciona diversas disposiciones a la Ley de Protección Civil para el Estado de Guanajuato, a la Ley de Salud del Estado de Guanajuato, a la Ley para la Protección y Preservación del Ambiente del Estado de Guanajuato, y al Código Territorial </w:t>
            </w:r>
            <w:r w:rsidRPr="007373BF">
              <w:rPr>
                <w:rFonts w:ascii="Abadi" w:hAnsi="Abadi"/>
                <w:color w:val="333333"/>
                <w:sz w:val="21"/>
                <w:szCs w:val="21"/>
                <w:shd w:val="clear" w:color="auto" w:fill="FFFFFF"/>
              </w:rPr>
              <w:lastRenderedPageBreak/>
              <w:t>para el Estado y los Municipios de Guanajuato, en lo que corresponde al primero de los ordenamientos.</w:t>
            </w:r>
          </w:p>
        </w:tc>
        <w:tc>
          <w:tcPr>
            <w:tcW w:w="2261" w:type="dxa"/>
          </w:tcPr>
          <w:p w14:paraId="4E0EA262" w14:textId="375E239B" w:rsidR="003B0CB3" w:rsidRPr="007373BF" w:rsidRDefault="00C10483"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FFFFF"/>
              </w:rPr>
              <w:lastRenderedPageBreak/>
              <w:t>Enterados y se informa que se turnó a la Comisión de Seguridad Pública y Comunicaciones.</w:t>
            </w:r>
          </w:p>
        </w:tc>
      </w:tr>
      <w:tr w:rsidR="003B0CB3" w:rsidRPr="00401BFE" w14:paraId="3605FA00" w14:textId="77777777" w:rsidTr="000D34EF">
        <w:tc>
          <w:tcPr>
            <w:tcW w:w="2119" w:type="dxa"/>
          </w:tcPr>
          <w:p w14:paraId="3BC3B36C" w14:textId="5DE0317D" w:rsidR="003B0CB3" w:rsidRPr="007373BF" w:rsidRDefault="006C303B"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9F9F9"/>
              </w:rPr>
              <w:t>La secretaria del ayuntamiento de Abasolo, Gto., remite respuesta a la consulta de la iniciativa que reforma el artículo 153 y adiciona el artículo 152 bis a la Ley de Movilidad del Estado de Guanajuato y sus Municipios.</w:t>
            </w:r>
          </w:p>
        </w:tc>
        <w:tc>
          <w:tcPr>
            <w:tcW w:w="2261" w:type="dxa"/>
          </w:tcPr>
          <w:p w14:paraId="5DC6FDDD" w14:textId="4D8FA9EB" w:rsidR="003B0CB3" w:rsidRPr="007373BF" w:rsidRDefault="006C303B"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9F9F9"/>
              </w:rPr>
              <w:t>Enterados y se informa que se turnó a la Comisión de Seguridad Pública y Comunicaciones.</w:t>
            </w:r>
          </w:p>
        </w:tc>
      </w:tr>
      <w:tr w:rsidR="003B0CB3" w:rsidRPr="00401BFE" w14:paraId="78C1F868" w14:textId="77777777" w:rsidTr="000D34EF">
        <w:tc>
          <w:tcPr>
            <w:tcW w:w="2119" w:type="dxa"/>
          </w:tcPr>
          <w:p w14:paraId="7F365614" w14:textId="3F9832B5" w:rsidR="003B0CB3" w:rsidRPr="007373BF" w:rsidRDefault="006C303B"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FFFFF"/>
              </w:rPr>
              <w:t>La secretaria del ayuntamiento de Abasolo, Gto., remite respuesta a la consulta de la iniciativa que adiciona la fracción VIII, recorriéndose en su orden la subsecuente, al artículo 64, de la Ley de Movilidad del Estado de Guanajuato y sus Municipios.</w:t>
            </w:r>
          </w:p>
        </w:tc>
        <w:tc>
          <w:tcPr>
            <w:tcW w:w="2261" w:type="dxa"/>
          </w:tcPr>
          <w:p w14:paraId="62913C44" w14:textId="2194658F" w:rsidR="003B0CB3" w:rsidRPr="007373BF" w:rsidRDefault="006C303B"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FFFFF"/>
              </w:rPr>
              <w:t>Enterados y se informa que se turnó a la Comisión de Seguridad Pública y Comunicaciones</w:t>
            </w:r>
            <w:r w:rsidRPr="007373BF">
              <w:rPr>
                <w:rFonts w:ascii="Abadi" w:hAnsi="Abadi"/>
                <w:color w:val="333333"/>
                <w:sz w:val="21"/>
                <w:szCs w:val="21"/>
                <w:shd w:val="clear" w:color="auto" w:fill="FFFFFF"/>
              </w:rPr>
              <w:t>.</w:t>
            </w:r>
          </w:p>
        </w:tc>
      </w:tr>
      <w:tr w:rsidR="003B0CB3" w:rsidRPr="00401BFE" w14:paraId="5DC9789B" w14:textId="77777777" w:rsidTr="000D34EF">
        <w:tc>
          <w:tcPr>
            <w:tcW w:w="2119" w:type="dxa"/>
          </w:tcPr>
          <w:p w14:paraId="089E93B4" w14:textId="708F49B0" w:rsidR="003B0CB3" w:rsidRPr="007373BF" w:rsidRDefault="00314B83"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9F9F9"/>
              </w:rPr>
              <w:t xml:space="preserve">La secretaria del ayuntamiento de Abasolo, Gto., remite respuesta a la consulta de la iniciativa que adiciona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lo </w:t>
            </w:r>
            <w:r w:rsidRPr="007373BF">
              <w:rPr>
                <w:rFonts w:ascii="Abadi" w:hAnsi="Abadi"/>
                <w:color w:val="333333"/>
                <w:sz w:val="21"/>
                <w:szCs w:val="21"/>
                <w:shd w:val="clear" w:color="auto" w:fill="F9F9F9"/>
              </w:rPr>
              <w:t>que corresponde al tercero de los ordenamientos.</w:t>
            </w:r>
          </w:p>
        </w:tc>
        <w:tc>
          <w:tcPr>
            <w:tcW w:w="2261" w:type="dxa"/>
          </w:tcPr>
          <w:p w14:paraId="4695040E" w14:textId="37F20950" w:rsidR="003B0CB3" w:rsidRPr="007373BF" w:rsidRDefault="00314B83"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9F9F9"/>
              </w:rPr>
              <w:t>Enterados y se informa que se turnó a la Comisión de Medio Ambiente.</w:t>
            </w:r>
          </w:p>
        </w:tc>
      </w:tr>
      <w:tr w:rsidR="003B0CB3" w:rsidRPr="00401BFE" w14:paraId="1DC72E38" w14:textId="77777777" w:rsidTr="000D34EF">
        <w:tc>
          <w:tcPr>
            <w:tcW w:w="2119" w:type="dxa"/>
          </w:tcPr>
          <w:p w14:paraId="7F6ADF99" w14:textId="0BCC8557" w:rsidR="003B0CB3" w:rsidRPr="007373BF" w:rsidRDefault="00314B83"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FFFFF"/>
              </w:rPr>
              <w:t>La secretaria del ayuntamiento de San Diego de la Unión, Gto., remite respuesta a la consulta de la iniciativa que adiciona el artículo 22 bis a la Ley del Trabajo de los Servidores Públicos al Servicio del Estado y de los Municipios.</w:t>
            </w:r>
          </w:p>
        </w:tc>
        <w:tc>
          <w:tcPr>
            <w:tcW w:w="2261" w:type="dxa"/>
          </w:tcPr>
          <w:p w14:paraId="4210E8FE" w14:textId="6677170B" w:rsidR="003B0CB3" w:rsidRPr="007373BF" w:rsidRDefault="00314B83"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FFFFF"/>
              </w:rPr>
              <w:t>Enterados y se informa que se turnó a la Comisión de Gobernación y Puntos Constitucionales.</w:t>
            </w:r>
          </w:p>
        </w:tc>
      </w:tr>
      <w:tr w:rsidR="003B0CB3" w:rsidRPr="00401BFE" w14:paraId="6BDEFAA6" w14:textId="77777777" w:rsidTr="000D34EF">
        <w:tc>
          <w:tcPr>
            <w:tcW w:w="2119" w:type="dxa"/>
          </w:tcPr>
          <w:p w14:paraId="285764BF" w14:textId="491FC060" w:rsidR="003B0CB3" w:rsidRPr="007373BF" w:rsidRDefault="00314B83"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9F9F9"/>
              </w:rPr>
              <w:t>Los integrantes de la Comisión de Gobierno y Asuntos Legislativos del ayuntamiento de Victoria, Gto., remiten respuesta a la consulta de la iniciativa que adiciona el artículo 22 bis a la Ley del Trabajo de los Servidores Públicos al Servicio del Estado y de los Municipios.</w:t>
            </w:r>
          </w:p>
        </w:tc>
        <w:tc>
          <w:tcPr>
            <w:tcW w:w="2261" w:type="dxa"/>
          </w:tcPr>
          <w:p w14:paraId="3BC0BB52" w14:textId="3403EA40" w:rsidR="003B0CB3" w:rsidRPr="007373BF" w:rsidRDefault="00CE6B8B"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9F9F9"/>
              </w:rPr>
              <w:t>Enterados y se informa que se turnó a la Comisión de Gobernación y Puntos Constitucionales.</w:t>
            </w:r>
          </w:p>
        </w:tc>
      </w:tr>
      <w:tr w:rsidR="003B0CB3" w:rsidRPr="00401BFE" w14:paraId="3B37B987" w14:textId="77777777" w:rsidTr="000D34EF">
        <w:tc>
          <w:tcPr>
            <w:tcW w:w="2119" w:type="dxa"/>
          </w:tcPr>
          <w:p w14:paraId="1947ABE2" w14:textId="1A00F950" w:rsidR="003B0CB3" w:rsidRPr="007373BF" w:rsidRDefault="00CE6B8B"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FFFFF"/>
              </w:rPr>
              <w:t>La secretaria del ayuntamiento de San Diego de la Unión, Gto., remite respuesta a la consulta de la iniciativa a efecto de reformar los artículos 1, 226 y 227 de la Ley de Salud del Estado de Guanajuato y los artículos 5 y 149 de la Ley para la Protección y Preservación del Ambiente del Estado de Guanajuato.</w:t>
            </w:r>
          </w:p>
        </w:tc>
        <w:tc>
          <w:tcPr>
            <w:tcW w:w="2261" w:type="dxa"/>
          </w:tcPr>
          <w:p w14:paraId="6D99AABB" w14:textId="7F2CD839" w:rsidR="003B0CB3" w:rsidRPr="007373BF" w:rsidRDefault="00CE6B8B"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FFFFF"/>
              </w:rPr>
              <w:t>Enterados y se informa que se turnó a la Comisión de Salud Pública.</w:t>
            </w:r>
          </w:p>
        </w:tc>
      </w:tr>
      <w:tr w:rsidR="003B0CB3" w:rsidRPr="00401BFE" w14:paraId="1C7B6623" w14:textId="77777777" w:rsidTr="000D34EF">
        <w:tc>
          <w:tcPr>
            <w:tcW w:w="2119" w:type="dxa"/>
          </w:tcPr>
          <w:p w14:paraId="55660813" w14:textId="385FF3D3" w:rsidR="003B0CB3" w:rsidRPr="007373BF" w:rsidRDefault="0046254C"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9F9F9"/>
              </w:rPr>
              <w:t xml:space="preserve">La secretaria del ayuntamiento de San Diego de la Unión, Gto., remite el acuerdo recaído al informe de </w:t>
            </w:r>
            <w:r w:rsidRPr="007373BF">
              <w:rPr>
                <w:rFonts w:ascii="Abadi" w:hAnsi="Abadi"/>
                <w:color w:val="333333"/>
                <w:sz w:val="21"/>
                <w:szCs w:val="21"/>
                <w:shd w:val="clear" w:color="auto" w:fill="F9F9F9"/>
              </w:rPr>
              <w:lastRenderedPageBreak/>
              <w:t>resultados, dictamen y acuerdo aprobados por esta Legislatura, relativos a la auditoría de desempeño practicada a dicha administración municipal, con enfoque a resultados del servicio de alumbrado público, por el periodo comprendido del 1 de enero al 31 de diciembre del ejercicio fiscal del año 2020.</w:t>
            </w:r>
          </w:p>
        </w:tc>
        <w:tc>
          <w:tcPr>
            <w:tcW w:w="2261" w:type="dxa"/>
          </w:tcPr>
          <w:p w14:paraId="46509546" w14:textId="089EEF04" w:rsidR="003B0CB3" w:rsidRPr="007373BF" w:rsidRDefault="0046254C"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9F9F9"/>
              </w:rPr>
              <w:lastRenderedPageBreak/>
              <w:t>Enterados y se remite a la Auditoría Superior del Estado de Guanajuato.</w:t>
            </w:r>
          </w:p>
        </w:tc>
      </w:tr>
      <w:tr w:rsidR="003B0CB3" w:rsidRPr="00401BFE" w14:paraId="5D0B1D0B" w14:textId="77777777" w:rsidTr="000D34EF">
        <w:tc>
          <w:tcPr>
            <w:tcW w:w="2119" w:type="dxa"/>
          </w:tcPr>
          <w:p w14:paraId="577FF7E1" w14:textId="1BE40A65" w:rsidR="003B0CB3" w:rsidRPr="007373BF" w:rsidRDefault="0046254C"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FFFFF"/>
              </w:rPr>
              <w:t>La secretaria del ayuntamiento de San Diego de la Unión, Gto., remite el acuerdo recaído al informe de resultados, dictamen y acuerdo aprobados por esta Legislatura, relativos a la auditoría de desempeño practicada a dicha administración municipal, con enfoque a resultados del servicio de alumbrado público, por el periodo comprendido del 1 de enero al 31 de diciembre del ejercicio fiscal del año 2020.</w:t>
            </w:r>
          </w:p>
        </w:tc>
        <w:tc>
          <w:tcPr>
            <w:tcW w:w="2261" w:type="dxa"/>
          </w:tcPr>
          <w:p w14:paraId="63555E2F" w14:textId="7E8D2D6E" w:rsidR="003B0CB3" w:rsidRPr="007373BF" w:rsidRDefault="0046254C"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FFFFF"/>
              </w:rPr>
              <w:t>Enterados y se remite a la Auditoría Superior del Estado de Guanajuato.</w:t>
            </w:r>
          </w:p>
        </w:tc>
      </w:tr>
      <w:tr w:rsidR="003B0CB3" w:rsidRPr="00401BFE" w14:paraId="4DE676F2" w14:textId="77777777" w:rsidTr="000D34EF">
        <w:tc>
          <w:tcPr>
            <w:tcW w:w="2119" w:type="dxa"/>
          </w:tcPr>
          <w:p w14:paraId="3AAFFB1F" w14:textId="68ADC22F" w:rsidR="003B0CB3" w:rsidRPr="007373BF" w:rsidRDefault="003308E3"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9F9F9"/>
              </w:rPr>
              <w:t xml:space="preserve">La secretaria del ayuntamiento de San Diego de la Unión, Gto., remite copia certificada del cierre del presupuesto de ingresos y egresos de la administración pública municipal, del Sistema para el Desarrollo Integral de la Familia y de la Comisión Municipal </w:t>
            </w:r>
            <w:r w:rsidRPr="007373BF">
              <w:rPr>
                <w:rFonts w:ascii="Abadi" w:hAnsi="Abadi"/>
                <w:color w:val="333333"/>
                <w:sz w:val="21"/>
                <w:szCs w:val="21"/>
                <w:shd w:val="clear" w:color="auto" w:fill="F9F9F9"/>
              </w:rPr>
              <w:t>del Deporte, correspondiente al ejercicio fiscal 2021.</w:t>
            </w:r>
          </w:p>
        </w:tc>
        <w:tc>
          <w:tcPr>
            <w:tcW w:w="2261" w:type="dxa"/>
          </w:tcPr>
          <w:p w14:paraId="0C41A869" w14:textId="782CA5FF" w:rsidR="003B0CB3" w:rsidRPr="007373BF" w:rsidRDefault="003308E3"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9F9F9"/>
              </w:rPr>
              <w:t>Enterados y se remite a la Auditoría Superior del Estado de Guanajuato.</w:t>
            </w:r>
          </w:p>
        </w:tc>
      </w:tr>
      <w:tr w:rsidR="003B0CB3" w:rsidRPr="00401BFE" w14:paraId="791EA39E" w14:textId="77777777" w:rsidTr="000D34EF">
        <w:tc>
          <w:tcPr>
            <w:tcW w:w="2119" w:type="dxa"/>
          </w:tcPr>
          <w:p w14:paraId="12711EA8" w14:textId="07729387" w:rsidR="003B0CB3" w:rsidRPr="007373BF" w:rsidRDefault="003308E3"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FFFFF"/>
              </w:rPr>
              <w:t>La secretaria del ayuntamiento de San Diego de la Unión, Gto., remite copia certificada del periódico oficial, del pronóstico de ingresos, del presupuesto de egresos y de plantillas de personal del Sistema para el Desarrollo Integral de la Familia, de la Casa de la Cultura Profesor Antonio Llamas Álvarez y de la Comisión Municipal del Deporte, correspondientes al ejercicio fiscal 2022.</w:t>
            </w:r>
          </w:p>
        </w:tc>
        <w:tc>
          <w:tcPr>
            <w:tcW w:w="2261" w:type="dxa"/>
          </w:tcPr>
          <w:p w14:paraId="18B1D3FF" w14:textId="49608288" w:rsidR="003B0CB3" w:rsidRPr="007373BF" w:rsidRDefault="003308E3"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FFFFF"/>
              </w:rPr>
              <w:t>Enterados y se remite a la Auditoría Superior del Estado de Guanajuato.</w:t>
            </w:r>
          </w:p>
        </w:tc>
      </w:tr>
      <w:tr w:rsidR="003B0CB3" w:rsidRPr="00401BFE" w14:paraId="14CF0ADD" w14:textId="77777777" w:rsidTr="000D34EF">
        <w:tc>
          <w:tcPr>
            <w:tcW w:w="2119" w:type="dxa"/>
          </w:tcPr>
          <w:p w14:paraId="067688A5" w14:textId="448B0F14" w:rsidR="003B0CB3" w:rsidRPr="007373BF" w:rsidRDefault="00332AAE"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9F9F9"/>
              </w:rPr>
              <w:t>La secretaria del ayuntamiento de San Diego de la Unión, Gto., remite copia certificada del pronóstico de ingresos, presupuesto de egresos y plantilla de personal del comité Municipal de Agua Potable y Alcantarillado para el ejercicio fiscal 2022.</w:t>
            </w:r>
          </w:p>
        </w:tc>
        <w:tc>
          <w:tcPr>
            <w:tcW w:w="2261" w:type="dxa"/>
          </w:tcPr>
          <w:p w14:paraId="0C64DF16" w14:textId="7FC78955" w:rsidR="003B0CB3" w:rsidRPr="007373BF" w:rsidRDefault="00332AAE"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9F9F9"/>
              </w:rPr>
              <w:t>Enterados y se remite a la Auditoría Superior del Estado de Guanajuato.</w:t>
            </w:r>
          </w:p>
        </w:tc>
      </w:tr>
      <w:tr w:rsidR="003B0CB3" w:rsidRPr="00401BFE" w14:paraId="6117115A" w14:textId="77777777" w:rsidTr="000D34EF">
        <w:tc>
          <w:tcPr>
            <w:tcW w:w="2119" w:type="dxa"/>
          </w:tcPr>
          <w:p w14:paraId="60C8E05E" w14:textId="6E9EA658" w:rsidR="003B0CB3" w:rsidRPr="007373BF" w:rsidRDefault="00332AAE"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FFFFF"/>
              </w:rPr>
              <w:t xml:space="preserve">El presidente municipal y el secretario del ayuntamiento de Cortazar, Gto., remiten información complementaria en alcance al oficio P.M./289/2022, de fecha 11 de mayo del presente año, referente a la solicitud de autorización de endeudamiento </w:t>
            </w:r>
            <w:r w:rsidRPr="007373BF">
              <w:rPr>
                <w:rFonts w:ascii="Abadi" w:hAnsi="Abadi"/>
                <w:color w:val="333333"/>
                <w:sz w:val="21"/>
                <w:szCs w:val="21"/>
                <w:shd w:val="clear" w:color="auto" w:fill="FFFFFF"/>
              </w:rPr>
              <w:lastRenderedPageBreak/>
              <w:t>realizada por dicho ayuntamiento.</w:t>
            </w:r>
          </w:p>
        </w:tc>
        <w:tc>
          <w:tcPr>
            <w:tcW w:w="2261" w:type="dxa"/>
          </w:tcPr>
          <w:p w14:paraId="155460ED" w14:textId="7DFAA46D" w:rsidR="003B0CB3" w:rsidRPr="007373BF" w:rsidRDefault="00332AAE"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FFFFF"/>
              </w:rPr>
              <w:lastRenderedPageBreak/>
              <w:t>Enterados y se informa que se turnó a la Comisión de Hacienda y Fiscalización.</w:t>
            </w:r>
          </w:p>
        </w:tc>
      </w:tr>
      <w:tr w:rsidR="003B0CB3" w:rsidRPr="00401BFE" w14:paraId="782957D9" w14:textId="77777777" w:rsidTr="000D34EF">
        <w:tc>
          <w:tcPr>
            <w:tcW w:w="2119" w:type="dxa"/>
          </w:tcPr>
          <w:p w14:paraId="28F98823" w14:textId="6B21528E" w:rsidR="003B0CB3" w:rsidRPr="007373BF" w:rsidRDefault="009F28A4"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9F9F9"/>
              </w:rPr>
              <w:t>El presidente municipal y el secretario del ayuntamiento de Silao de la Victoria, Gto., remiten solicitud de autorización de endeudamiento, acordado por dicho ayuntamiento.</w:t>
            </w:r>
          </w:p>
        </w:tc>
        <w:tc>
          <w:tcPr>
            <w:tcW w:w="2261" w:type="dxa"/>
          </w:tcPr>
          <w:p w14:paraId="07E85C4B" w14:textId="175C76B5" w:rsidR="003B0CB3" w:rsidRPr="007373BF" w:rsidRDefault="009F28A4"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9F9F9"/>
              </w:rPr>
              <w:t>Enterados y se turna a la Comisión de Hacienda y Fiscalización.</w:t>
            </w:r>
          </w:p>
        </w:tc>
      </w:tr>
      <w:tr w:rsidR="003B0CB3" w:rsidRPr="00401BFE" w14:paraId="1BD21290" w14:textId="77777777" w:rsidTr="000D34EF">
        <w:tc>
          <w:tcPr>
            <w:tcW w:w="2119" w:type="dxa"/>
          </w:tcPr>
          <w:p w14:paraId="418A15E8" w14:textId="414D5708" w:rsidR="003B0CB3" w:rsidRPr="007373BF" w:rsidRDefault="009F28A4" w:rsidP="003B0CB3">
            <w:pPr>
              <w:autoSpaceDE w:val="0"/>
              <w:autoSpaceDN w:val="0"/>
              <w:adjustRightInd w:val="0"/>
              <w:jc w:val="both"/>
              <w:rPr>
                <w:rFonts w:ascii="Abadi" w:hAnsi="Abadi"/>
                <w:color w:val="333333"/>
                <w:sz w:val="21"/>
                <w:szCs w:val="21"/>
                <w:shd w:val="clear" w:color="auto" w:fill="FFFFFF"/>
              </w:rPr>
            </w:pPr>
            <w:r w:rsidRPr="007373BF">
              <w:rPr>
                <w:rFonts w:ascii="Abadi" w:hAnsi="Abadi"/>
                <w:color w:val="333333"/>
                <w:sz w:val="21"/>
                <w:szCs w:val="21"/>
                <w:shd w:val="clear" w:color="auto" w:fill="FFFFFF"/>
              </w:rPr>
              <w:t>La tesorera municipal de Guanajuato, Gto., remite copia del convenio modificatorio al contrato de apertura de crédito simple celebrado el 16 de mayo de 2011, entre el Poder Ejecutivo del Estado de Guanajuato y el Banco del Bajío, S.A., Institución de Banca Múltiple.</w:t>
            </w:r>
          </w:p>
        </w:tc>
        <w:tc>
          <w:tcPr>
            <w:tcW w:w="2261" w:type="dxa"/>
          </w:tcPr>
          <w:p w14:paraId="69772BA4" w14:textId="1CACC861" w:rsidR="003B0CB3" w:rsidRPr="007373BF" w:rsidRDefault="009F28A4" w:rsidP="003B0CB3">
            <w:pPr>
              <w:autoSpaceDE w:val="0"/>
              <w:autoSpaceDN w:val="0"/>
              <w:adjustRightInd w:val="0"/>
              <w:jc w:val="both"/>
              <w:rPr>
                <w:rFonts w:ascii="Abadi" w:hAnsi="Abadi"/>
                <w:b/>
                <w:bCs/>
                <w:color w:val="333333"/>
                <w:sz w:val="21"/>
                <w:szCs w:val="21"/>
                <w:shd w:val="clear" w:color="auto" w:fill="FFFFFF"/>
              </w:rPr>
            </w:pPr>
            <w:r w:rsidRPr="007373BF">
              <w:rPr>
                <w:rFonts w:ascii="Abadi" w:hAnsi="Abadi"/>
                <w:b/>
                <w:bCs/>
                <w:color w:val="333333"/>
                <w:sz w:val="21"/>
                <w:szCs w:val="21"/>
                <w:shd w:val="clear" w:color="auto" w:fill="FFFFFF"/>
              </w:rPr>
              <w:t>Enterados, se remite a la Auditoría Superior del Estado de Guanajuato y a la Unidad de Estudio de la Finanzas Públicas, y se informa que se turnó a la Comisión de Hacienda y Fiscalización.</w:t>
            </w:r>
          </w:p>
        </w:tc>
      </w:tr>
      <w:tr w:rsidR="003B0CB3" w:rsidRPr="00401BFE" w14:paraId="499DC251" w14:textId="77777777" w:rsidTr="000D34EF">
        <w:tc>
          <w:tcPr>
            <w:tcW w:w="2119" w:type="dxa"/>
          </w:tcPr>
          <w:p w14:paraId="651EEBF0" w14:textId="3EDAA535" w:rsidR="003B0CB3" w:rsidRPr="00F84E90" w:rsidRDefault="009F28A4" w:rsidP="003B0CB3">
            <w:pPr>
              <w:autoSpaceDE w:val="0"/>
              <w:autoSpaceDN w:val="0"/>
              <w:adjustRightInd w:val="0"/>
              <w:jc w:val="both"/>
              <w:rPr>
                <w:rFonts w:ascii="Abadi" w:hAnsi="Abadi"/>
                <w:color w:val="333333"/>
                <w:sz w:val="21"/>
                <w:szCs w:val="21"/>
                <w:shd w:val="clear" w:color="auto" w:fill="FFFFFF"/>
              </w:rPr>
            </w:pPr>
            <w:r w:rsidRPr="00F84E90">
              <w:rPr>
                <w:rFonts w:ascii="Abadi" w:hAnsi="Abadi"/>
                <w:color w:val="333333"/>
                <w:sz w:val="21"/>
                <w:szCs w:val="21"/>
                <w:shd w:val="clear" w:color="auto" w:fill="F9F9F9"/>
              </w:rPr>
              <w:t xml:space="preserve">El secretario del ayuntamiento de Cortazar, Gto., remite respuesta a la consulta de la propuesta de punto de acuerdo en el que se exhorta a los 46 ayuntamientos que conforman el estado de Guanajuato para que coadyuven en las tareas para garantizar el libre acceso a los espacios públicos con fines recreativos mediante la promoción de nuevos proyectos, el mantenimiento de los ya existentes, y un mejor manejo de los recursos para evitar el cobro de cuotas de mantenimiento que restrinjan el acceso a </w:t>
            </w:r>
            <w:r w:rsidRPr="00F84E90">
              <w:rPr>
                <w:rFonts w:ascii="Abadi" w:hAnsi="Abadi"/>
                <w:color w:val="333333"/>
                <w:sz w:val="21"/>
                <w:szCs w:val="21"/>
                <w:shd w:val="clear" w:color="auto" w:fill="F9F9F9"/>
              </w:rPr>
              <w:t>estos espacios públicos.</w:t>
            </w:r>
          </w:p>
        </w:tc>
        <w:tc>
          <w:tcPr>
            <w:tcW w:w="2261" w:type="dxa"/>
          </w:tcPr>
          <w:p w14:paraId="6E4E36EB" w14:textId="7092E7AE" w:rsidR="003B0CB3" w:rsidRPr="00F84E90" w:rsidRDefault="0022315E" w:rsidP="003B0CB3">
            <w:pPr>
              <w:autoSpaceDE w:val="0"/>
              <w:autoSpaceDN w:val="0"/>
              <w:adjustRightInd w:val="0"/>
              <w:jc w:val="both"/>
              <w:rPr>
                <w:rFonts w:ascii="Abadi" w:hAnsi="Abadi"/>
                <w:b/>
                <w:bCs/>
                <w:color w:val="333333"/>
                <w:sz w:val="21"/>
                <w:szCs w:val="21"/>
                <w:shd w:val="clear" w:color="auto" w:fill="FFFFFF"/>
              </w:rPr>
            </w:pPr>
            <w:r w:rsidRPr="00F84E90">
              <w:rPr>
                <w:rFonts w:ascii="Abadi" w:hAnsi="Abadi"/>
                <w:b/>
                <w:bCs/>
                <w:color w:val="333333"/>
                <w:sz w:val="21"/>
                <w:szCs w:val="21"/>
                <w:shd w:val="clear" w:color="auto" w:fill="F9F9F9"/>
              </w:rPr>
              <w:t>Enterados y se informa que se turnó a la Comisión de Asuntos Municipales.</w:t>
            </w:r>
          </w:p>
        </w:tc>
      </w:tr>
      <w:tr w:rsidR="003B0CB3" w:rsidRPr="00401BFE" w14:paraId="48D525E1" w14:textId="77777777" w:rsidTr="000D34EF">
        <w:tc>
          <w:tcPr>
            <w:tcW w:w="2119" w:type="dxa"/>
          </w:tcPr>
          <w:p w14:paraId="0E368F25" w14:textId="50A289E1" w:rsidR="003B0CB3" w:rsidRPr="00F84E90" w:rsidRDefault="003B6588" w:rsidP="003B0CB3">
            <w:pPr>
              <w:autoSpaceDE w:val="0"/>
              <w:autoSpaceDN w:val="0"/>
              <w:adjustRightInd w:val="0"/>
              <w:jc w:val="both"/>
              <w:rPr>
                <w:rFonts w:ascii="Abadi" w:hAnsi="Abadi"/>
                <w:color w:val="333333"/>
                <w:sz w:val="21"/>
                <w:szCs w:val="21"/>
                <w:shd w:val="clear" w:color="auto" w:fill="FFFFFF"/>
              </w:rPr>
            </w:pPr>
            <w:r w:rsidRPr="00F84E90">
              <w:rPr>
                <w:rFonts w:ascii="Abadi" w:hAnsi="Abadi"/>
                <w:color w:val="333333"/>
                <w:sz w:val="21"/>
                <w:szCs w:val="21"/>
                <w:shd w:val="clear" w:color="auto" w:fill="FFFFFF"/>
              </w:rPr>
              <w:t>El secretario del ayuntamiento de Cortazar, Gto., comunica el acuerdo recaído al punto de acuerdo aprobado por esta Legislatura en el que se exhorta a que den seguimiento a la instalación del Consejo Municipal de Adultos Mayores y se expida el reglamento correspondiente.</w:t>
            </w:r>
          </w:p>
        </w:tc>
        <w:tc>
          <w:tcPr>
            <w:tcW w:w="2261" w:type="dxa"/>
          </w:tcPr>
          <w:p w14:paraId="5E1E3B48" w14:textId="2D5069CC" w:rsidR="003B0CB3" w:rsidRPr="00F84E90" w:rsidRDefault="00321084" w:rsidP="003B0CB3">
            <w:pPr>
              <w:autoSpaceDE w:val="0"/>
              <w:autoSpaceDN w:val="0"/>
              <w:adjustRightInd w:val="0"/>
              <w:jc w:val="both"/>
              <w:rPr>
                <w:rFonts w:ascii="Abadi" w:hAnsi="Abadi"/>
                <w:b/>
                <w:bCs/>
                <w:color w:val="333333"/>
                <w:sz w:val="21"/>
                <w:szCs w:val="21"/>
                <w:shd w:val="clear" w:color="auto" w:fill="FFFFFF"/>
              </w:rPr>
            </w:pPr>
            <w:r w:rsidRPr="00F84E90">
              <w:rPr>
                <w:rFonts w:ascii="Abadi" w:hAnsi="Abadi"/>
                <w:b/>
                <w:bCs/>
                <w:color w:val="333333"/>
                <w:sz w:val="21"/>
                <w:szCs w:val="21"/>
                <w:shd w:val="clear" w:color="auto" w:fill="FFFFFF"/>
              </w:rPr>
              <w:t>Enterados y se informa que se turnó a la Comisión de Asuntos Municipales</w:t>
            </w:r>
          </w:p>
        </w:tc>
      </w:tr>
      <w:tr w:rsidR="003B0CB3" w:rsidRPr="00401BFE" w14:paraId="1479C5AE" w14:textId="77777777" w:rsidTr="000D34EF">
        <w:tc>
          <w:tcPr>
            <w:tcW w:w="2119" w:type="dxa"/>
          </w:tcPr>
          <w:p w14:paraId="341AF1B8" w14:textId="6CEDB81E" w:rsidR="003B0CB3" w:rsidRPr="00401BFE" w:rsidRDefault="00321084" w:rsidP="003B0CB3">
            <w:pPr>
              <w:autoSpaceDE w:val="0"/>
              <w:autoSpaceDN w:val="0"/>
              <w:adjustRightInd w:val="0"/>
              <w:jc w:val="both"/>
              <w:rPr>
                <w:rFonts w:ascii="Abadi" w:hAnsi="Abadi"/>
                <w:color w:val="333333"/>
                <w:sz w:val="21"/>
                <w:szCs w:val="21"/>
                <w:shd w:val="clear" w:color="auto" w:fill="FFFFFF"/>
              </w:rPr>
            </w:pPr>
            <w:r w:rsidRPr="00F84E90">
              <w:rPr>
                <w:rFonts w:ascii="Abadi" w:hAnsi="Abadi"/>
                <w:color w:val="333333"/>
                <w:sz w:val="21"/>
                <w:szCs w:val="21"/>
                <w:shd w:val="clear" w:color="auto" w:fill="FFFFFF"/>
              </w:rPr>
              <w:t>La secretaria del ayuntamiento de Coroneo, Gto., remite respuesta a la consulta de la iniciativa que adiciona el artículo 22 bis a la Ley del Trabajo de los Servidores Públicos al Servicio del Estado y de los Municipios.</w:t>
            </w:r>
          </w:p>
        </w:tc>
        <w:tc>
          <w:tcPr>
            <w:tcW w:w="2261" w:type="dxa"/>
          </w:tcPr>
          <w:p w14:paraId="08B7F68A" w14:textId="0EC63F53" w:rsidR="003B0CB3" w:rsidRPr="00F84E90" w:rsidRDefault="00321084" w:rsidP="003B0CB3">
            <w:pPr>
              <w:autoSpaceDE w:val="0"/>
              <w:autoSpaceDN w:val="0"/>
              <w:adjustRightInd w:val="0"/>
              <w:jc w:val="both"/>
              <w:rPr>
                <w:rFonts w:ascii="Abadi" w:hAnsi="Abadi"/>
                <w:b/>
                <w:bCs/>
                <w:color w:val="333333"/>
                <w:sz w:val="21"/>
                <w:szCs w:val="21"/>
                <w:shd w:val="clear" w:color="auto" w:fill="FFFFFF"/>
              </w:rPr>
            </w:pPr>
            <w:r w:rsidRPr="00F84E90">
              <w:rPr>
                <w:rFonts w:ascii="Abadi" w:hAnsi="Abadi"/>
                <w:b/>
                <w:bCs/>
                <w:color w:val="333333"/>
                <w:sz w:val="21"/>
                <w:szCs w:val="21"/>
                <w:shd w:val="clear" w:color="auto" w:fill="FFFFFF"/>
              </w:rPr>
              <w:t>Enterados y se informa que se turnó a la Comisión de Gobernación y Puntos Constitucionales.</w:t>
            </w:r>
          </w:p>
        </w:tc>
      </w:tr>
      <w:tr w:rsidR="003B0CB3" w:rsidRPr="00401BFE" w14:paraId="65024AFD" w14:textId="77777777" w:rsidTr="000D34EF">
        <w:tc>
          <w:tcPr>
            <w:tcW w:w="2119" w:type="dxa"/>
          </w:tcPr>
          <w:p w14:paraId="4E35A5F2" w14:textId="6A6D7270" w:rsidR="003B0CB3" w:rsidRPr="00401BFE" w:rsidRDefault="005B71C1" w:rsidP="003B0CB3">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FFFFF"/>
              </w:rPr>
              <w:t>El secretario del ayuntamiento de Coroneo, Gto., remite respuesta a la consulta de la iniciativa de adiciones al Código Territorial para el Estado y los Municipios de Guanajuato y de reforma a los artículos 99-b y 262 del Código Penal del Estado de Guanajuato, en su parte correspondiente al primero de los ordenamientos.</w:t>
            </w:r>
          </w:p>
        </w:tc>
        <w:tc>
          <w:tcPr>
            <w:tcW w:w="2261" w:type="dxa"/>
          </w:tcPr>
          <w:p w14:paraId="7B2C13D8" w14:textId="7A347741" w:rsidR="003B0CB3" w:rsidRPr="00401BFE" w:rsidRDefault="005B71C1" w:rsidP="003B0CB3">
            <w:pPr>
              <w:autoSpaceDE w:val="0"/>
              <w:autoSpaceDN w:val="0"/>
              <w:adjustRightInd w:val="0"/>
              <w:jc w:val="both"/>
              <w:rPr>
                <w:rFonts w:ascii="Abadi" w:hAnsi="Abadi"/>
                <w:b/>
                <w:bCs/>
                <w:color w:val="333333"/>
                <w:sz w:val="21"/>
                <w:szCs w:val="21"/>
                <w:shd w:val="clear" w:color="auto" w:fill="FFFFFF"/>
              </w:rPr>
            </w:pPr>
            <w:r w:rsidRPr="00272727">
              <w:rPr>
                <w:rFonts w:ascii="Abadi" w:hAnsi="Abadi"/>
                <w:b/>
                <w:bCs/>
                <w:color w:val="333333"/>
                <w:sz w:val="21"/>
                <w:szCs w:val="21"/>
                <w:shd w:val="clear" w:color="auto" w:fill="FFFFFF"/>
              </w:rPr>
              <w:t>Enterados y se informa que se turnó a las Comisiones Unidas de Desarrollo Económico y Social y de Desarrollo Urbano y Obra Pública.</w:t>
            </w:r>
          </w:p>
        </w:tc>
      </w:tr>
      <w:tr w:rsidR="003B0CB3" w:rsidRPr="00401BFE" w14:paraId="34270256" w14:textId="77777777" w:rsidTr="000D34EF">
        <w:tc>
          <w:tcPr>
            <w:tcW w:w="2119" w:type="dxa"/>
          </w:tcPr>
          <w:p w14:paraId="59220A23" w14:textId="6BFD82DC" w:rsidR="003B0CB3" w:rsidRPr="00401BFE" w:rsidRDefault="005B71C1" w:rsidP="003B0CB3">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9F9F9"/>
              </w:rPr>
              <w:t xml:space="preserve">El secretario del Ayuntamiento de Coroneo, Gto., remite respuesta a la consulta de la </w:t>
            </w:r>
            <w:r w:rsidRPr="00401BFE">
              <w:rPr>
                <w:rFonts w:ascii="Helvetica" w:hAnsi="Helvetica"/>
                <w:color w:val="333333"/>
                <w:sz w:val="21"/>
                <w:szCs w:val="21"/>
                <w:shd w:val="clear" w:color="auto" w:fill="F9F9F9"/>
              </w:rPr>
              <w:lastRenderedPageBreak/>
              <w:t>iniciativa de Ley de Educación Superior para el Estado de Guanajuato.</w:t>
            </w:r>
          </w:p>
        </w:tc>
        <w:tc>
          <w:tcPr>
            <w:tcW w:w="2261" w:type="dxa"/>
          </w:tcPr>
          <w:p w14:paraId="09EBBFBA" w14:textId="500FA6AD" w:rsidR="003B0CB3" w:rsidRPr="00401BFE" w:rsidRDefault="005B71C1" w:rsidP="003B0CB3">
            <w:pPr>
              <w:autoSpaceDE w:val="0"/>
              <w:autoSpaceDN w:val="0"/>
              <w:adjustRightInd w:val="0"/>
              <w:jc w:val="both"/>
              <w:rPr>
                <w:rFonts w:ascii="Abadi" w:hAnsi="Abadi"/>
                <w:b/>
                <w:bCs/>
                <w:color w:val="333333"/>
                <w:sz w:val="21"/>
                <w:szCs w:val="21"/>
                <w:shd w:val="clear" w:color="auto" w:fill="FFFFFF"/>
              </w:rPr>
            </w:pPr>
            <w:r w:rsidRPr="00272727">
              <w:rPr>
                <w:rFonts w:ascii="Abadi" w:hAnsi="Abadi"/>
                <w:b/>
                <w:bCs/>
                <w:color w:val="333333"/>
                <w:sz w:val="21"/>
                <w:szCs w:val="21"/>
                <w:shd w:val="clear" w:color="auto" w:fill="FFFFFF"/>
              </w:rPr>
              <w:lastRenderedPageBreak/>
              <w:t>Enterados y se informa que se turnó a la Comisión de Educación, Ciencia y Tecnología y Cultura.</w:t>
            </w:r>
          </w:p>
        </w:tc>
      </w:tr>
      <w:tr w:rsidR="003B0CB3" w:rsidRPr="00401BFE" w14:paraId="43F0CB17" w14:textId="77777777" w:rsidTr="000D34EF">
        <w:tc>
          <w:tcPr>
            <w:tcW w:w="2119" w:type="dxa"/>
          </w:tcPr>
          <w:p w14:paraId="579166D2" w14:textId="062F36BF" w:rsidR="003B0CB3" w:rsidRPr="00401BFE" w:rsidRDefault="00F026F1" w:rsidP="003B0CB3">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FFFFF"/>
              </w:rPr>
              <w:t>El secretario del ayuntamiento de Coroneo, Gto., remite copia certificada del acuerdo recaído al informe de resultados, dictamen y acuerdo aprobados por esta Legislatura, relativos a la auditoría de desempeño practicada a dicha administración municipal, con enfoque a resultados del servicio de alumbrado público, por el periodo comprendido del 1 de enero al 31 de diciembre del ejercicio fiscal del año 2020.</w:t>
            </w:r>
          </w:p>
        </w:tc>
        <w:tc>
          <w:tcPr>
            <w:tcW w:w="2261" w:type="dxa"/>
          </w:tcPr>
          <w:p w14:paraId="00226E5E" w14:textId="63D72600" w:rsidR="003B0CB3" w:rsidRPr="00401BFE" w:rsidRDefault="00F026F1" w:rsidP="003B0CB3">
            <w:pPr>
              <w:autoSpaceDE w:val="0"/>
              <w:autoSpaceDN w:val="0"/>
              <w:adjustRightInd w:val="0"/>
              <w:jc w:val="both"/>
              <w:rPr>
                <w:rFonts w:ascii="Abadi" w:hAnsi="Abadi"/>
                <w:b/>
                <w:bCs/>
                <w:color w:val="333333"/>
                <w:sz w:val="21"/>
                <w:szCs w:val="21"/>
                <w:shd w:val="clear" w:color="auto" w:fill="FFFFFF"/>
              </w:rPr>
            </w:pPr>
            <w:r w:rsidRPr="00272727">
              <w:rPr>
                <w:rFonts w:ascii="Abadi" w:hAnsi="Abadi"/>
                <w:b/>
                <w:bCs/>
                <w:color w:val="333333"/>
                <w:sz w:val="21"/>
                <w:szCs w:val="21"/>
                <w:shd w:val="clear" w:color="auto" w:fill="FFFFFF"/>
              </w:rPr>
              <w:t>Enterados y se remite a la Auditoría Superior del Estado de Guanajuato.</w:t>
            </w:r>
          </w:p>
        </w:tc>
      </w:tr>
      <w:tr w:rsidR="003B0CB3" w:rsidRPr="00401BFE" w14:paraId="2B39CFEB" w14:textId="77777777" w:rsidTr="000D34EF">
        <w:tc>
          <w:tcPr>
            <w:tcW w:w="2119" w:type="dxa"/>
          </w:tcPr>
          <w:p w14:paraId="07ABFB04" w14:textId="0F2FE1C4" w:rsidR="003B0CB3" w:rsidRPr="00401BFE" w:rsidRDefault="00F026F1" w:rsidP="003B0CB3">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9F9F9"/>
              </w:rPr>
              <w:t>El secretario del ayuntamiento de Doctor Mora, Gto., remite respuesta a la consulta de la iniciativa de adiciones al Código Territorial para el Estado y los Municipios de Guanajuato y de reforma a los artículos 99-b y 262 del Código Penal del Estado de Guanajuato, en su parte correspondiente al primero de los ordenamientos.</w:t>
            </w:r>
          </w:p>
        </w:tc>
        <w:tc>
          <w:tcPr>
            <w:tcW w:w="2261" w:type="dxa"/>
          </w:tcPr>
          <w:p w14:paraId="6BC97927" w14:textId="2D4089D0" w:rsidR="003B0CB3" w:rsidRPr="00401BFE" w:rsidRDefault="00F026F1" w:rsidP="003B0CB3">
            <w:pPr>
              <w:autoSpaceDE w:val="0"/>
              <w:autoSpaceDN w:val="0"/>
              <w:adjustRightInd w:val="0"/>
              <w:jc w:val="both"/>
              <w:rPr>
                <w:rFonts w:ascii="Abadi" w:hAnsi="Abadi"/>
                <w:b/>
                <w:bCs/>
                <w:color w:val="333333"/>
                <w:sz w:val="21"/>
                <w:szCs w:val="21"/>
                <w:shd w:val="clear" w:color="auto" w:fill="FFFFFF"/>
              </w:rPr>
            </w:pPr>
            <w:r w:rsidRPr="00272727">
              <w:rPr>
                <w:rFonts w:ascii="Abadi" w:hAnsi="Abadi"/>
                <w:b/>
                <w:bCs/>
                <w:color w:val="333333"/>
                <w:sz w:val="21"/>
                <w:szCs w:val="21"/>
                <w:shd w:val="clear" w:color="auto" w:fill="FFFFFF"/>
              </w:rPr>
              <w:t>Enterados y se informa que se turnó a las Comisiones Unidas de Desarrollo Económico y Social y de Desarrollo Urbano y Obra Pública.</w:t>
            </w:r>
          </w:p>
        </w:tc>
      </w:tr>
      <w:tr w:rsidR="003B0CB3" w:rsidRPr="00401BFE" w14:paraId="6E76873D" w14:textId="77777777" w:rsidTr="000D34EF">
        <w:tc>
          <w:tcPr>
            <w:tcW w:w="2119" w:type="dxa"/>
          </w:tcPr>
          <w:p w14:paraId="63EA42DC" w14:textId="614C3879" w:rsidR="003B0CB3" w:rsidRPr="00401BFE" w:rsidRDefault="00DD6E4A" w:rsidP="003B0CB3">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FFFFF"/>
              </w:rPr>
              <w:t xml:space="preserve">El secretario del ayuntamiento de Doctor Mora, Gto., </w:t>
            </w:r>
            <w:r w:rsidRPr="00401BFE">
              <w:rPr>
                <w:rFonts w:ascii="Helvetica" w:hAnsi="Helvetica"/>
                <w:color w:val="333333"/>
                <w:sz w:val="21"/>
                <w:szCs w:val="21"/>
                <w:shd w:val="clear" w:color="auto" w:fill="FFFFFF"/>
              </w:rPr>
              <w:t>remite respuesta a la consulta de la iniciativa que adiciona el artículo 22 bis a la Ley del Trabajo de los Servidores Públicos al Servicio del Estado y de los Municipios.</w:t>
            </w:r>
          </w:p>
        </w:tc>
        <w:tc>
          <w:tcPr>
            <w:tcW w:w="2261" w:type="dxa"/>
          </w:tcPr>
          <w:p w14:paraId="2D13DF9E" w14:textId="2D960F69" w:rsidR="003B0CB3" w:rsidRPr="00401BFE" w:rsidRDefault="00DD6E4A" w:rsidP="003B0CB3">
            <w:pPr>
              <w:autoSpaceDE w:val="0"/>
              <w:autoSpaceDN w:val="0"/>
              <w:adjustRightInd w:val="0"/>
              <w:jc w:val="both"/>
              <w:rPr>
                <w:rFonts w:ascii="Abadi" w:hAnsi="Abadi"/>
                <w:b/>
                <w:bCs/>
                <w:color w:val="333333"/>
                <w:sz w:val="21"/>
                <w:szCs w:val="21"/>
                <w:shd w:val="clear" w:color="auto" w:fill="FFFFFF"/>
              </w:rPr>
            </w:pPr>
            <w:r w:rsidRPr="00272727">
              <w:rPr>
                <w:rFonts w:ascii="Abadi" w:hAnsi="Abadi"/>
                <w:b/>
                <w:bCs/>
                <w:color w:val="333333"/>
                <w:sz w:val="21"/>
                <w:szCs w:val="21"/>
                <w:shd w:val="clear" w:color="auto" w:fill="FFFFFF"/>
              </w:rPr>
              <w:t>Enterados y se informa que se turnó a la Comisión de Gobernación y Puntos Constitucionales.</w:t>
            </w:r>
          </w:p>
        </w:tc>
      </w:tr>
      <w:tr w:rsidR="003B0CB3" w:rsidRPr="00401BFE" w14:paraId="62DDCE6C" w14:textId="77777777" w:rsidTr="000D34EF">
        <w:tc>
          <w:tcPr>
            <w:tcW w:w="2119" w:type="dxa"/>
          </w:tcPr>
          <w:p w14:paraId="542F1D01" w14:textId="78720FC1" w:rsidR="003B0CB3" w:rsidRPr="00401BFE" w:rsidRDefault="00DD6E4A" w:rsidP="003B0CB3">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9F9F9"/>
              </w:rPr>
              <w:t>El secretario del ayuntamiento de Doctor Mora, Gto., remite respuesta a la consulta de la iniciativa de Ley de Educación Superior para el Estado de Guanajuato.</w:t>
            </w:r>
          </w:p>
        </w:tc>
        <w:tc>
          <w:tcPr>
            <w:tcW w:w="2261" w:type="dxa"/>
          </w:tcPr>
          <w:p w14:paraId="2E78944B" w14:textId="197CB5B9" w:rsidR="003B0CB3" w:rsidRPr="00401BFE" w:rsidRDefault="007861F3" w:rsidP="003B0CB3">
            <w:pPr>
              <w:autoSpaceDE w:val="0"/>
              <w:autoSpaceDN w:val="0"/>
              <w:adjustRightInd w:val="0"/>
              <w:jc w:val="both"/>
              <w:rPr>
                <w:rFonts w:ascii="Abadi" w:hAnsi="Abadi"/>
                <w:b/>
                <w:bCs/>
                <w:color w:val="333333"/>
                <w:sz w:val="21"/>
                <w:szCs w:val="21"/>
                <w:shd w:val="clear" w:color="auto" w:fill="FFFFFF"/>
              </w:rPr>
            </w:pPr>
            <w:r w:rsidRPr="00272727">
              <w:rPr>
                <w:rFonts w:ascii="Abadi" w:hAnsi="Abadi"/>
                <w:b/>
                <w:bCs/>
                <w:color w:val="333333"/>
                <w:sz w:val="21"/>
                <w:szCs w:val="21"/>
                <w:shd w:val="clear" w:color="auto" w:fill="FFFFFF"/>
              </w:rPr>
              <w:t>Enterados y se informa que se turnó a la Comisión de Educación, Ciencia y Tecnología y Cultura.</w:t>
            </w:r>
          </w:p>
        </w:tc>
      </w:tr>
      <w:tr w:rsidR="003B0CB3" w:rsidRPr="00272727" w14:paraId="056CC0C4" w14:textId="77777777" w:rsidTr="000D34EF">
        <w:tc>
          <w:tcPr>
            <w:tcW w:w="2119" w:type="dxa"/>
          </w:tcPr>
          <w:p w14:paraId="7244E284" w14:textId="63AF467A" w:rsidR="003B0CB3" w:rsidRPr="00401BFE" w:rsidRDefault="007861F3" w:rsidP="003B0CB3">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FFFFF"/>
              </w:rPr>
              <w:t>El secretario del ayuntamiento de San Francisco del Rincón, Gto., comunica el acuerdo recaído al punto de acuerdo aprobado por esta Legislatura en el que se exhorta a que den seguimiento a la instalación del Consejo Municipal de Adultos Mayores y se expida el reglamento correspondiente.</w:t>
            </w:r>
          </w:p>
        </w:tc>
        <w:tc>
          <w:tcPr>
            <w:tcW w:w="2261" w:type="dxa"/>
          </w:tcPr>
          <w:p w14:paraId="57B2E7A0" w14:textId="3D73FB99" w:rsidR="003B0CB3" w:rsidRPr="00401BFE" w:rsidRDefault="007861F3" w:rsidP="003B0CB3">
            <w:pPr>
              <w:autoSpaceDE w:val="0"/>
              <w:autoSpaceDN w:val="0"/>
              <w:adjustRightInd w:val="0"/>
              <w:jc w:val="both"/>
              <w:rPr>
                <w:rFonts w:ascii="Abadi" w:hAnsi="Abadi"/>
                <w:b/>
                <w:bCs/>
                <w:color w:val="333333"/>
                <w:sz w:val="21"/>
                <w:szCs w:val="21"/>
                <w:shd w:val="clear" w:color="auto" w:fill="FFFFFF"/>
              </w:rPr>
            </w:pPr>
            <w:r w:rsidRPr="00272727">
              <w:rPr>
                <w:rFonts w:ascii="Abadi" w:hAnsi="Abadi"/>
                <w:b/>
                <w:bCs/>
                <w:color w:val="333333"/>
                <w:sz w:val="21"/>
                <w:szCs w:val="21"/>
                <w:shd w:val="clear" w:color="auto" w:fill="FFFFFF"/>
              </w:rPr>
              <w:t>Enterados y se informa que se turnó a la Comisión de Asuntos Municipales.</w:t>
            </w:r>
          </w:p>
        </w:tc>
      </w:tr>
      <w:tr w:rsidR="003B0CB3" w:rsidRPr="00401BFE" w14:paraId="2F3A734B" w14:textId="77777777" w:rsidTr="000D34EF">
        <w:tc>
          <w:tcPr>
            <w:tcW w:w="2119" w:type="dxa"/>
          </w:tcPr>
          <w:p w14:paraId="382BD84D" w14:textId="44E630D1" w:rsidR="003B0CB3" w:rsidRPr="00401BFE" w:rsidRDefault="000D2030" w:rsidP="003B0CB3">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9F9F9"/>
              </w:rPr>
              <w:t xml:space="preserve">El secretario del ayuntamiento de San Francisco del Rincón, Gto., remite respuesta al punto de acuerdo aprobado por esta Legislatura en el que se exhorta a los 46 ayuntamientos para que revisen y actualicen los protocolos, reglamentos y manuales de Protección Civil y Bomberos en donde </w:t>
            </w:r>
            <w:r w:rsidRPr="00401BFE">
              <w:rPr>
                <w:rFonts w:ascii="Helvetica" w:hAnsi="Helvetica"/>
                <w:color w:val="333333"/>
                <w:sz w:val="21"/>
                <w:szCs w:val="21"/>
                <w:shd w:val="clear" w:color="auto" w:fill="F9F9F9"/>
              </w:rPr>
              <w:lastRenderedPageBreak/>
              <w:t>incluyan apartados de análisis de riesgos preventivos, de la misma forma, reexaminar las disposiciones administrativas en la realización de espectáculos públicos masivos; a la Secretaría de Seguridad Pública para que revise los permisos y certificaciones de las empresas y personal que prestan sus servicios como seguridad privada en el Estado de Guanajuato; y a la Comisión de Deporte del Estado de Guanajuato, para que informe detalladamente las medidas encaminadas a prevenir la violencia en eventos deportivos, así como las acciones para garantizar el desarrollo pacífico en los recintos donde se celebran eventos públicos masivos.</w:t>
            </w:r>
          </w:p>
        </w:tc>
        <w:tc>
          <w:tcPr>
            <w:tcW w:w="2261" w:type="dxa"/>
          </w:tcPr>
          <w:p w14:paraId="0515C530" w14:textId="3DF2C489" w:rsidR="003B0CB3" w:rsidRPr="00401BFE" w:rsidRDefault="000D2030" w:rsidP="003B0CB3">
            <w:pPr>
              <w:autoSpaceDE w:val="0"/>
              <w:autoSpaceDN w:val="0"/>
              <w:adjustRightInd w:val="0"/>
              <w:jc w:val="both"/>
              <w:rPr>
                <w:rFonts w:ascii="Abadi" w:hAnsi="Abadi"/>
                <w:b/>
                <w:bCs/>
                <w:color w:val="333333"/>
                <w:sz w:val="21"/>
                <w:szCs w:val="21"/>
                <w:shd w:val="clear" w:color="auto" w:fill="FFFFFF"/>
              </w:rPr>
            </w:pPr>
            <w:r w:rsidRPr="00272727">
              <w:rPr>
                <w:rFonts w:ascii="Abadi" w:hAnsi="Abadi"/>
                <w:b/>
                <w:bCs/>
                <w:color w:val="333333"/>
                <w:sz w:val="21"/>
                <w:szCs w:val="21"/>
                <w:shd w:val="clear" w:color="auto" w:fill="FFFFFF"/>
              </w:rPr>
              <w:lastRenderedPageBreak/>
              <w:t>Enterados y se informa que se turnó a la Comisión de Seguridad Pública y Comunicaciones.</w:t>
            </w:r>
          </w:p>
        </w:tc>
      </w:tr>
      <w:tr w:rsidR="003B0CB3" w:rsidRPr="00401BFE" w14:paraId="22DF623A" w14:textId="77777777" w:rsidTr="000D34EF">
        <w:tc>
          <w:tcPr>
            <w:tcW w:w="2119" w:type="dxa"/>
          </w:tcPr>
          <w:p w14:paraId="7065C834" w14:textId="59B464BE" w:rsidR="003B0CB3" w:rsidRPr="00401BFE" w:rsidRDefault="00D91EA8" w:rsidP="003B0CB3">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FFFFF"/>
              </w:rPr>
              <w:t xml:space="preserve">El secretario del ayuntamiento de San Francisco del Rincón, Gto., remite respuesta a la consulta de la iniciativa que adiciona una fracción IX al artículo 19, un párrafo tercero al artículo 20 y una fracción VI al artículo 27 Ter de la Ley para la </w:t>
            </w:r>
            <w:r w:rsidRPr="00401BFE">
              <w:rPr>
                <w:rFonts w:ascii="Helvetica" w:hAnsi="Helvetica"/>
                <w:color w:val="333333"/>
                <w:sz w:val="21"/>
                <w:szCs w:val="21"/>
                <w:shd w:val="clear" w:color="auto" w:fill="FFFFFF"/>
              </w:rPr>
              <w:t>Protección y Atención del Migrante y sus Familias del Estado de Guanajuato.</w:t>
            </w:r>
          </w:p>
        </w:tc>
        <w:tc>
          <w:tcPr>
            <w:tcW w:w="2261" w:type="dxa"/>
          </w:tcPr>
          <w:p w14:paraId="0BBE696E" w14:textId="1ADE5020" w:rsidR="003B0CB3" w:rsidRPr="00401BFE" w:rsidRDefault="00371B73" w:rsidP="003B0CB3">
            <w:pPr>
              <w:autoSpaceDE w:val="0"/>
              <w:autoSpaceDN w:val="0"/>
              <w:adjustRightInd w:val="0"/>
              <w:jc w:val="both"/>
              <w:rPr>
                <w:rFonts w:ascii="Abadi" w:hAnsi="Abadi"/>
                <w:b/>
                <w:bCs/>
                <w:color w:val="333333"/>
                <w:sz w:val="21"/>
                <w:szCs w:val="21"/>
                <w:shd w:val="clear" w:color="auto" w:fill="FFFFFF"/>
              </w:rPr>
            </w:pPr>
            <w:r w:rsidRPr="00272727">
              <w:rPr>
                <w:rFonts w:ascii="Abadi" w:hAnsi="Abadi"/>
                <w:b/>
                <w:bCs/>
                <w:color w:val="333333"/>
                <w:sz w:val="21"/>
                <w:szCs w:val="21"/>
                <w:shd w:val="clear" w:color="auto" w:fill="FFFFFF"/>
              </w:rPr>
              <w:t>Enterados y se informa que se turnó a la Comisión de Atención al Migrante.</w:t>
            </w:r>
          </w:p>
        </w:tc>
      </w:tr>
      <w:tr w:rsidR="003B0CB3" w:rsidRPr="00401BFE" w14:paraId="7C4C3752" w14:textId="77777777" w:rsidTr="000D34EF">
        <w:tc>
          <w:tcPr>
            <w:tcW w:w="2119" w:type="dxa"/>
          </w:tcPr>
          <w:p w14:paraId="1CD10C64" w14:textId="3421F01C" w:rsidR="003B0CB3" w:rsidRPr="00401BFE" w:rsidRDefault="00371B73" w:rsidP="003B0CB3">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9F9F9"/>
              </w:rPr>
              <w:t>El secretario del ayuntamiento de San Francisco del Rincón, Gto., remite el acuerdo recaído al informe de resultados, dictamen y acuerdo aprobados por esta Legislatura, relativos a la auditoría de desempeño practicada a dicha administración municipal, con enfoque a resultados del servicio de alumbrado público, por el periodo comprendido del 1 de enero al 31 de diciembre del ejercicio fiscal del año 2020.</w:t>
            </w:r>
          </w:p>
        </w:tc>
        <w:tc>
          <w:tcPr>
            <w:tcW w:w="2261" w:type="dxa"/>
          </w:tcPr>
          <w:p w14:paraId="1AD519D1" w14:textId="1BD2C9E1" w:rsidR="003B0CB3" w:rsidRPr="00401BFE" w:rsidRDefault="00371B73" w:rsidP="003B0CB3">
            <w:pPr>
              <w:autoSpaceDE w:val="0"/>
              <w:autoSpaceDN w:val="0"/>
              <w:adjustRightInd w:val="0"/>
              <w:jc w:val="both"/>
              <w:rPr>
                <w:rFonts w:ascii="Abadi" w:hAnsi="Abadi"/>
                <w:b/>
                <w:bCs/>
                <w:color w:val="333333"/>
                <w:sz w:val="21"/>
                <w:szCs w:val="21"/>
                <w:shd w:val="clear" w:color="auto" w:fill="FFFFFF"/>
              </w:rPr>
            </w:pPr>
            <w:r w:rsidRPr="00272727">
              <w:rPr>
                <w:rFonts w:ascii="Abadi" w:hAnsi="Abadi"/>
                <w:b/>
                <w:bCs/>
                <w:color w:val="333333"/>
                <w:sz w:val="21"/>
                <w:szCs w:val="21"/>
                <w:shd w:val="clear" w:color="auto" w:fill="FFFFFF"/>
              </w:rPr>
              <w:t>Enterados y se remite a la Auditoría Superior del Estado de Guanajuato.</w:t>
            </w:r>
          </w:p>
        </w:tc>
      </w:tr>
      <w:tr w:rsidR="003B0CB3" w:rsidRPr="00401BFE" w14:paraId="188ACC81" w14:textId="77777777" w:rsidTr="00883178">
        <w:tc>
          <w:tcPr>
            <w:tcW w:w="4380" w:type="dxa"/>
            <w:gridSpan w:val="2"/>
            <w:shd w:val="clear" w:color="auto" w:fill="EEECE1" w:themeFill="background2"/>
          </w:tcPr>
          <w:p w14:paraId="24BD985C" w14:textId="67529BC1" w:rsidR="003B0CB3" w:rsidRPr="00401BFE" w:rsidRDefault="000D34EF" w:rsidP="003B0CB3">
            <w:pPr>
              <w:autoSpaceDE w:val="0"/>
              <w:autoSpaceDN w:val="0"/>
              <w:adjustRightInd w:val="0"/>
              <w:rPr>
                <w:rFonts w:ascii="Abadi" w:hAnsi="Abadi" w:cs="TimesNewRomanPSMT"/>
                <w:sz w:val="21"/>
                <w:szCs w:val="21"/>
                <w:lang w:val="es-MX" w:eastAsia="es-MX"/>
              </w:rPr>
            </w:pPr>
            <w:r w:rsidRPr="00401BFE">
              <w:rPr>
                <w:rFonts w:ascii="Abadi" w:hAnsi="Abadi"/>
                <w:b/>
                <w:bCs/>
                <w:sz w:val="21"/>
                <w:szCs w:val="21"/>
              </w:rPr>
              <w:t xml:space="preserve">III. </w:t>
            </w:r>
            <w:r w:rsidRPr="00401BFE">
              <w:rPr>
                <w:rFonts w:ascii="Abadi" w:hAnsi="Abadi" w:cs="TimesNewRomanPSMT"/>
                <w:b/>
                <w:bCs/>
                <w:sz w:val="21"/>
                <w:szCs w:val="21"/>
                <w:lang w:val="es-MX" w:eastAsia="es-MX"/>
              </w:rPr>
              <w:t>Comunicados provenientes de los poderes de otros Estados.</w:t>
            </w:r>
          </w:p>
        </w:tc>
      </w:tr>
      <w:tr w:rsidR="003B0CB3" w:rsidRPr="00401BFE" w14:paraId="3989CFAA" w14:textId="77777777" w:rsidTr="000D34EF">
        <w:tc>
          <w:tcPr>
            <w:tcW w:w="2119" w:type="dxa"/>
          </w:tcPr>
          <w:p w14:paraId="09ED045F" w14:textId="6369F858" w:rsidR="003B0CB3" w:rsidRPr="00401BFE" w:rsidRDefault="000D34EF" w:rsidP="003B0CB3">
            <w:pPr>
              <w:autoSpaceDE w:val="0"/>
              <w:autoSpaceDN w:val="0"/>
              <w:adjustRightInd w:val="0"/>
              <w:jc w:val="both"/>
              <w:rPr>
                <w:rFonts w:ascii="Abadi" w:hAnsi="Abadi"/>
                <w:color w:val="333333"/>
                <w:sz w:val="21"/>
                <w:szCs w:val="21"/>
                <w:shd w:val="clear" w:color="auto" w:fill="FFFFFF"/>
              </w:rPr>
            </w:pPr>
            <w:r w:rsidRPr="00401BFE">
              <w:rPr>
                <w:rFonts w:ascii="Helvetica" w:hAnsi="Helvetica"/>
                <w:color w:val="333333"/>
                <w:sz w:val="21"/>
                <w:szCs w:val="21"/>
                <w:shd w:val="clear" w:color="auto" w:fill="FFFFFF"/>
              </w:rPr>
              <w:t>La Sexagésima Legislatura del Congreso del Estado de Colima comunica la elección del Presidente y Vicepresidente que fungirán durante el mes de junio del segundo periodo ordinario de sesiones, correspondiente al primer año de ejercicio constitucional.</w:t>
            </w:r>
          </w:p>
        </w:tc>
        <w:tc>
          <w:tcPr>
            <w:tcW w:w="2261" w:type="dxa"/>
          </w:tcPr>
          <w:p w14:paraId="64CD7837" w14:textId="7571BD34" w:rsidR="003B0CB3" w:rsidRPr="00401BFE" w:rsidRDefault="000D34EF" w:rsidP="003B0CB3">
            <w:pPr>
              <w:jc w:val="both"/>
              <w:rPr>
                <w:rFonts w:ascii="Abadi" w:hAnsi="Abadi"/>
                <w:b/>
                <w:bCs/>
                <w:color w:val="333333"/>
                <w:sz w:val="21"/>
                <w:szCs w:val="21"/>
                <w:shd w:val="clear" w:color="auto" w:fill="FFFFFF"/>
              </w:rPr>
            </w:pPr>
            <w:r w:rsidRPr="00272727">
              <w:rPr>
                <w:rFonts w:ascii="Abadi" w:hAnsi="Abadi" w:cs="TimesNewRomanPSMT"/>
                <w:b/>
                <w:bCs/>
                <w:sz w:val="21"/>
                <w:szCs w:val="21"/>
                <w:lang w:val="es-MX" w:eastAsia="es-MX"/>
              </w:rPr>
              <w:t>Enterados.</w:t>
            </w:r>
          </w:p>
        </w:tc>
      </w:tr>
    </w:tbl>
    <w:p w14:paraId="46FCDAAD" w14:textId="701B6CD5" w:rsidR="009C4506" w:rsidRDefault="009C4506" w:rsidP="003E2418">
      <w:pPr>
        <w:pStyle w:val="Prrafodelista"/>
        <w:ind w:left="0"/>
        <w:jc w:val="both"/>
        <w:rPr>
          <w:rFonts w:ascii="Abadi" w:hAnsi="Abadi"/>
          <w:b/>
          <w:bCs/>
          <w:sz w:val="21"/>
          <w:szCs w:val="21"/>
        </w:rPr>
      </w:pPr>
    </w:p>
    <w:p w14:paraId="4A47B040" w14:textId="520E2D3B" w:rsidR="00297B0D" w:rsidRDefault="00297B0D" w:rsidP="00297B0D">
      <w:pPr>
        <w:jc w:val="both"/>
        <w:rPr>
          <w:rFonts w:ascii="Abadi" w:hAnsi="Abadi"/>
          <w:b/>
          <w:bCs/>
          <w:sz w:val="18"/>
          <w:szCs w:val="18"/>
        </w:rPr>
      </w:pPr>
    </w:p>
    <w:p w14:paraId="04EA0E53" w14:textId="389109EB" w:rsidR="00507CD2" w:rsidRDefault="00507CD2" w:rsidP="00297B0D">
      <w:pPr>
        <w:jc w:val="both"/>
        <w:rPr>
          <w:rFonts w:ascii="Abadi" w:hAnsi="Abadi"/>
          <w:b/>
          <w:bCs/>
          <w:sz w:val="18"/>
          <w:szCs w:val="18"/>
        </w:rPr>
      </w:pPr>
    </w:p>
    <w:p w14:paraId="71FAC1AB" w14:textId="4333EDB5" w:rsidR="00192AB3" w:rsidRPr="00E65F9A" w:rsidRDefault="005C1E2B" w:rsidP="005433FA">
      <w:pPr>
        <w:pStyle w:val="Prrafodelista"/>
        <w:numPr>
          <w:ilvl w:val="0"/>
          <w:numId w:val="9"/>
        </w:numPr>
        <w:tabs>
          <w:tab w:val="left" w:pos="845"/>
        </w:tabs>
        <w:kinsoku w:val="0"/>
        <w:overflowPunct w:val="0"/>
        <w:autoSpaceDE w:val="0"/>
        <w:autoSpaceDN w:val="0"/>
        <w:adjustRightInd w:val="0"/>
        <w:spacing w:before="130"/>
        <w:ind w:right="17"/>
        <w:jc w:val="both"/>
        <w:rPr>
          <w:rFonts w:ascii="Abadi" w:hAnsi="Abadi"/>
          <w:b/>
          <w:bCs/>
          <w:sz w:val="20"/>
          <w:szCs w:val="20"/>
        </w:rPr>
      </w:pPr>
      <w:r w:rsidRPr="00531B12">
        <w:rPr>
          <w:rFonts w:ascii="Abadi" w:hAnsi="Abadi"/>
          <w:b/>
          <w:bCs/>
          <w:sz w:val="20"/>
          <w:szCs w:val="20"/>
        </w:rPr>
        <w:lastRenderedPageBreak/>
        <w:t>PROTESTA DE LA CIUDADANA BRENDA PAULINA HERNÁNDEZ GONZÁLEZ COMO TITULAR DEL</w:t>
      </w:r>
      <w:r w:rsidRPr="00531B12">
        <w:rPr>
          <w:rFonts w:ascii="Abadi" w:hAnsi="Abadi"/>
          <w:b/>
          <w:bCs/>
          <w:spacing w:val="75"/>
          <w:w w:val="150"/>
          <w:sz w:val="20"/>
          <w:szCs w:val="20"/>
        </w:rPr>
        <w:t xml:space="preserve"> </w:t>
      </w:r>
      <w:r w:rsidRPr="00531B12">
        <w:rPr>
          <w:rFonts w:ascii="Abadi" w:hAnsi="Abadi"/>
          <w:b/>
          <w:bCs/>
          <w:sz w:val="20"/>
          <w:szCs w:val="20"/>
        </w:rPr>
        <w:t>ÓRGANO</w:t>
      </w:r>
      <w:r w:rsidRPr="00531B12">
        <w:rPr>
          <w:rFonts w:ascii="Abadi" w:hAnsi="Abadi"/>
          <w:b/>
          <w:bCs/>
          <w:spacing w:val="76"/>
          <w:w w:val="150"/>
          <w:sz w:val="20"/>
          <w:szCs w:val="20"/>
        </w:rPr>
        <w:t xml:space="preserve"> </w:t>
      </w:r>
      <w:r w:rsidRPr="00531B12">
        <w:rPr>
          <w:rFonts w:ascii="Abadi" w:hAnsi="Abadi"/>
          <w:b/>
          <w:bCs/>
          <w:sz w:val="20"/>
          <w:szCs w:val="20"/>
        </w:rPr>
        <w:t>INTERNO</w:t>
      </w:r>
      <w:r w:rsidRPr="00531B12">
        <w:rPr>
          <w:rFonts w:ascii="Abadi" w:hAnsi="Abadi"/>
          <w:b/>
          <w:bCs/>
          <w:spacing w:val="76"/>
          <w:w w:val="150"/>
          <w:sz w:val="20"/>
          <w:szCs w:val="20"/>
        </w:rPr>
        <w:t xml:space="preserve"> </w:t>
      </w:r>
      <w:r w:rsidRPr="00531B12">
        <w:rPr>
          <w:rFonts w:ascii="Abadi" w:hAnsi="Abadi"/>
          <w:b/>
          <w:bCs/>
          <w:sz w:val="20"/>
          <w:szCs w:val="20"/>
        </w:rPr>
        <w:t>DE</w:t>
      </w:r>
      <w:r w:rsidRPr="00531B12">
        <w:rPr>
          <w:rFonts w:ascii="Abadi" w:hAnsi="Abadi"/>
          <w:b/>
          <w:bCs/>
          <w:spacing w:val="76"/>
          <w:w w:val="150"/>
          <w:sz w:val="20"/>
          <w:szCs w:val="20"/>
        </w:rPr>
        <w:t xml:space="preserve"> </w:t>
      </w:r>
      <w:r w:rsidRPr="00531B12">
        <w:rPr>
          <w:rFonts w:ascii="Abadi" w:hAnsi="Abadi"/>
          <w:b/>
          <w:bCs/>
          <w:sz w:val="20"/>
          <w:szCs w:val="20"/>
        </w:rPr>
        <w:t>CONTROL</w:t>
      </w:r>
      <w:r w:rsidRPr="00531B12">
        <w:rPr>
          <w:rFonts w:ascii="Abadi" w:hAnsi="Abadi"/>
          <w:b/>
          <w:bCs/>
          <w:spacing w:val="75"/>
          <w:w w:val="150"/>
          <w:sz w:val="20"/>
          <w:szCs w:val="20"/>
        </w:rPr>
        <w:t xml:space="preserve"> </w:t>
      </w:r>
      <w:r w:rsidRPr="00531B12">
        <w:rPr>
          <w:rFonts w:ascii="Abadi" w:hAnsi="Abadi"/>
          <w:b/>
          <w:bCs/>
          <w:sz w:val="20"/>
          <w:szCs w:val="20"/>
        </w:rPr>
        <w:t>DEL</w:t>
      </w:r>
      <w:r w:rsidRPr="00531B12">
        <w:rPr>
          <w:rFonts w:ascii="Abadi" w:hAnsi="Abadi"/>
          <w:b/>
          <w:bCs/>
          <w:spacing w:val="76"/>
          <w:w w:val="150"/>
          <w:sz w:val="20"/>
          <w:szCs w:val="20"/>
        </w:rPr>
        <w:t xml:space="preserve"> </w:t>
      </w:r>
      <w:r w:rsidRPr="00531B12">
        <w:rPr>
          <w:rFonts w:ascii="Abadi" w:hAnsi="Abadi"/>
          <w:b/>
          <w:bCs/>
          <w:sz w:val="20"/>
          <w:szCs w:val="20"/>
        </w:rPr>
        <w:t>INSTITUTO</w:t>
      </w:r>
      <w:r w:rsidRPr="00531B12">
        <w:rPr>
          <w:rFonts w:ascii="Abadi" w:hAnsi="Abadi"/>
          <w:b/>
          <w:bCs/>
          <w:spacing w:val="76"/>
          <w:w w:val="150"/>
          <w:sz w:val="20"/>
          <w:szCs w:val="20"/>
        </w:rPr>
        <w:t xml:space="preserve"> </w:t>
      </w:r>
      <w:r w:rsidRPr="00531B12">
        <w:rPr>
          <w:rFonts w:ascii="Abadi" w:hAnsi="Abadi"/>
          <w:b/>
          <w:bCs/>
          <w:sz w:val="20"/>
          <w:szCs w:val="20"/>
        </w:rPr>
        <w:t>ELECTORAL</w:t>
      </w:r>
      <w:r w:rsidRPr="00531B12">
        <w:rPr>
          <w:rFonts w:ascii="Abadi" w:hAnsi="Abadi"/>
          <w:b/>
          <w:bCs/>
          <w:spacing w:val="76"/>
          <w:w w:val="150"/>
          <w:sz w:val="20"/>
          <w:szCs w:val="20"/>
        </w:rPr>
        <w:t xml:space="preserve"> </w:t>
      </w:r>
      <w:r w:rsidRPr="00531B12">
        <w:rPr>
          <w:rFonts w:ascii="Abadi" w:hAnsi="Abadi"/>
          <w:b/>
          <w:bCs/>
          <w:sz w:val="20"/>
          <w:szCs w:val="20"/>
        </w:rPr>
        <w:t>DEL</w:t>
      </w:r>
      <w:r w:rsidRPr="00531B12">
        <w:rPr>
          <w:rFonts w:ascii="Abadi" w:hAnsi="Abadi"/>
          <w:b/>
          <w:bCs/>
          <w:spacing w:val="75"/>
          <w:w w:val="150"/>
          <w:sz w:val="20"/>
          <w:szCs w:val="20"/>
        </w:rPr>
        <w:t xml:space="preserve"> </w:t>
      </w:r>
      <w:r w:rsidRPr="00531B12">
        <w:rPr>
          <w:rFonts w:ascii="Abadi" w:hAnsi="Abadi"/>
          <w:b/>
          <w:bCs/>
          <w:sz w:val="20"/>
          <w:szCs w:val="20"/>
        </w:rPr>
        <w:t>ESTADO</w:t>
      </w:r>
      <w:r w:rsidRPr="00531B12">
        <w:rPr>
          <w:rFonts w:ascii="Abadi" w:hAnsi="Abadi"/>
          <w:b/>
          <w:bCs/>
          <w:spacing w:val="76"/>
          <w:w w:val="150"/>
          <w:sz w:val="20"/>
          <w:szCs w:val="20"/>
        </w:rPr>
        <w:t xml:space="preserve"> </w:t>
      </w:r>
      <w:r w:rsidRPr="00531B12">
        <w:rPr>
          <w:rFonts w:ascii="Abadi" w:hAnsi="Abadi"/>
          <w:b/>
          <w:bCs/>
          <w:sz w:val="20"/>
          <w:szCs w:val="20"/>
        </w:rPr>
        <w:t>DE GUANAJUATO</w:t>
      </w:r>
      <w:r w:rsidRPr="00531B12">
        <w:rPr>
          <w:rFonts w:ascii="Abadi" w:hAnsi="Abadi"/>
          <w:b/>
          <w:bCs/>
          <w:spacing w:val="9"/>
          <w:sz w:val="20"/>
          <w:szCs w:val="20"/>
        </w:rPr>
        <w:t xml:space="preserve"> </w:t>
      </w:r>
      <w:r w:rsidRPr="00531B12">
        <w:rPr>
          <w:rFonts w:ascii="Abadi" w:hAnsi="Abadi"/>
          <w:b/>
          <w:bCs/>
          <w:sz w:val="20"/>
          <w:szCs w:val="20"/>
        </w:rPr>
        <w:t>Y</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CIUDADANA</w:t>
      </w:r>
      <w:r w:rsidRPr="00531B12">
        <w:rPr>
          <w:rFonts w:ascii="Abadi" w:hAnsi="Abadi"/>
          <w:b/>
          <w:bCs/>
          <w:spacing w:val="10"/>
          <w:sz w:val="20"/>
          <w:szCs w:val="20"/>
        </w:rPr>
        <w:t xml:space="preserve"> </w:t>
      </w:r>
      <w:r w:rsidRPr="00531B12">
        <w:rPr>
          <w:rFonts w:ascii="Abadi" w:hAnsi="Abadi"/>
          <w:b/>
          <w:bCs/>
          <w:sz w:val="20"/>
          <w:szCs w:val="20"/>
        </w:rPr>
        <w:t>MA</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LOURDES</w:t>
      </w:r>
      <w:r w:rsidRPr="00531B12">
        <w:rPr>
          <w:rFonts w:ascii="Abadi" w:hAnsi="Abadi"/>
          <w:b/>
          <w:bCs/>
          <w:spacing w:val="10"/>
          <w:sz w:val="20"/>
          <w:szCs w:val="20"/>
        </w:rPr>
        <w:t xml:space="preserve"> </w:t>
      </w:r>
      <w:r w:rsidRPr="00531B12">
        <w:rPr>
          <w:rFonts w:ascii="Abadi" w:hAnsi="Abadi"/>
          <w:b/>
          <w:bCs/>
          <w:sz w:val="20"/>
          <w:szCs w:val="20"/>
        </w:rPr>
        <w:t>LÓPEZ</w:t>
      </w:r>
      <w:r w:rsidRPr="00531B12">
        <w:rPr>
          <w:rFonts w:ascii="Abadi" w:hAnsi="Abadi"/>
          <w:b/>
          <w:bCs/>
          <w:spacing w:val="10"/>
          <w:sz w:val="20"/>
          <w:szCs w:val="20"/>
        </w:rPr>
        <w:t xml:space="preserve"> </w:t>
      </w:r>
      <w:r w:rsidRPr="00531B12">
        <w:rPr>
          <w:rFonts w:ascii="Abadi" w:hAnsi="Abadi"/>
          <w:b/>
          <w:bCs/>
          <w:sz w:val="20"/>
          <w:szCs w:val="20"/>
        </w:rPr>
        <w:t>RAMÍREZ,</w:t>
      </w:r>
      <w:r w:rsidRPr="00531B12">
        <w:rPr>
          <w:rFonts w:ascii="Abadi" w:hAnsi="Abadi"/>
          <w:b/>
          <w:bCs/>
          <w:spacing w:val="9"/>
          <w:sz w:val="20"/>
          <w:szCs w:val="20"/>
        </w:rPr>
        <w:t xml:space="preserve"> </w:t>
      </w:r>
      <w:r w:rsidRPr="00531B12">
        <w:rPr>
          <w:rFonts w:ascii="Abadi" w:hAnsi="Abadi"/>
          <w:b/>
          <w:bCs/>
          <w:sz w:val="20"/>
          <w:szCs w:val="20"/>
        </w:rPr>
        <w:t>COMO</w:t>
      </w:r>
      <w:r w:rsidRPr="00531B12">
        <w:rPr>
          <w:rFonts w:ascii="Abadi" w:hAnsi="Abadi"/>
          <w:b/>
          <w:bCs/>
          <w:spacing w:val="10"/>
          <w:sz w:val="20"/>
          <w:szCs w:val="20"/>
        </w:rPr>
        <w:t xml:space="preserve"> </w:t>
      </w:r>
      <w:r w:rsidRPr="00531B12">
        <w:rPr>
          <w:rFonts w:ascii="Abadi" w:hAnsi="Abadi"/>
          <w:b/>
          <w:bCs/>
          <w:sz w:val="20"/>
          <w:szCs w:val="20"/>
        </w:rPr>
        <w:t>TITULAR DEL</w:t>
      </w:r>
      <w:r w:rsidRPr="00531B12">
        <w:rPr>
          <w:rFonts w:ascii="Abadi" w:hAnsi="Abadi"/>
          <w:b/>
          <w:bCs/>
          <w:spacing w:val="59"/>
          <w:sz w:val="20"/>
          <w:szCs w:val="20"/>
        </w:rPr>
        <w:t xml:space="preserve"> </w:t>
      </w:r>
      <w:r w:rsidRPr="00531B12">
        <w:rPr>
          <w:rFonts w:ascii="Abadi" w:hAnsi="Abadi"/>
          <w:b/>
          <w:bCs/>
          <w:sz w:val="20"/>
          <w:szCs w:val="20"/>
        </w:rPr>
        <w:t>ÓRGANO</w:t>
      </w:r>
      <w:r w:rsidRPr="00531B12">
        <w:rPr>
          <w:rFonts w:ascii="Abadi" w:hAnsi="Abadi"/>
          <w:b/>
          <w:bCs/>
          <w:spacing w:val="59"/>
          <w:sz w:val="20"/>
          <w:szCs w:val="20"/>
        </w:rPr>
        <w:t xml:space="preserve"> </w:t>
      </w:r>
      <w:r w:rsidRPr="00531B12">
        <w:rPr>
          <w:rFonts w:ascii="Abadi" w:hAnsi="Abadi"/>
          <w:b/>
          <w:bCs/>
          <w:sz w:val="20"/>
          <w:szCs w:val="20"/>
        </w:rPr>
        <w:t>INTERNO</w:t>
      </w:r>
      <w:r w:rsidRPr="00531B12">
        <w:rPr>
          <w:rFonts w:ascii="Abadi" w:hAnsi="Abadi"/>
          <w:b/>
          <w:bCs/>
          <w:spacing w:val="59"/>
          <w:sz w:val="20"/>
          <w:szCs w:val="20"/>
        </w:rPr>
        <w:t xml:space="preserve"> </w:t>
      </w:r>
      <w:r w:rsidRPr="00531B12">
        <w:rPr>
          <w:rFonts w:ascii="Abadi" w:hAnsi="Abadi"/>
          <w:b/>
          <w:bCs/>
          <w:sz w:val="20"/>
          <w:szCs w:val="20"/>
        </w:rPr>
        <w:t>DE</w:t>
      </w:r>
      <w:r w:rsidRPr="00531B12">
        <w:rPr>
          <w:rFonts w:ascii="Abadi" w:hAnsi="Abadi"/>
          <w:b/>
          <w:bCs/>
          <w:spacing w:val="59"/>
          <w:sz w:val="20"/>
          <w:szCs w:val="20"/>
        </w:rPr>
        <w:t xml:space="preserve"> </w:t>
      </w:r>
      <w:r w:rsidRPr="00531B12">
        <w:rPr>
          <w:rFonts w:ascii="Abadi" w:hAnsi="Abadi"/>
          <w:b/>
          <w:bCs/>
          <w:sz w:val="20"/>
          <w:szCs w:val="20"/>
        </w:rPr>
        <w:t>CONTROL</w:t>
      </w:r>
      <w:r w:rsidRPr="00531B12">
        <w:rPr>
          <w:rFonts w:ascii="Abadi" w:hAnsi="Abadi"/>
          <w:b/>
          <w:bCs/>
          <w:spacing w:val="58"/>
          <w:sz w:val="20"/>
          <w:szCs w:val="20"/>
        </w:rPr>
        <w:t xml:space="preserve"> </w:t>
      </w:r>
      <w:r w:rsidRPr="00531B12">
        <w:rPr>
          <w:rFonts w:ascii="Abadi" w:hAnsi="Abadi"/>
          <w:b/>
          <w:bCs/>
          <w:sz w:val="20"/>
          <w:szCs w:val="20"/>
        </w:rPr>
        <w:t>DEL</w:t>
      </w:r>
      <w:r w:rsidRPr="00531B12">
        <w:rPr>
          <w:rFonts w:ascii="Abadi" w:hAnsi="Abadi"/>
          <w:b/>
          <w:bCs/>
          <w:spacing w:val="59"/>
          <w:sz w:val="20"/>
          <w:szCs w:val="20"/>
        </w:rPr>
        <w:t xml:space="preserve"> </w:t>
      </w:r>
      <w:r w:rsidRPr="00531B12">
        <w:rPr>
          <w:rFonts w:ascii="Abadi" w:hAnsi="Abadi"/>
          <w:b/>
          <w:bCs/>
          <w:sz w:val="20"/>
          <w:szCs w:val="20"/>
        </w:rPr>
        <w:t>INSTITUTO</w:t>
      </w:r>
      <w:r w:rsidRPr="00531B12">
        <w:rPr>
          <w:rFonts w:ascii="Abadi" w:hAnsi="Abadi"/>
          <w:b/>
          <w:bCs/>
          <w:spacing w:val="59"/>
          <w:sz w:val="20"/>
          <w:szCs w:val="20"/>
        </w:rPr>
        <w:t xml:space="preserve"> </w:t>
      </w:r>
      <w:r w:rsidRPr="00531B12">
        <w:rPr>
          <w:rFonts w:ascii="Abadi" w:hAnsi="Abadi"/>
          <w:b/>
          <w:bCs/>
          <w:sz w:val="20"/>
          <w:szCs w:val="20"/>
        </w:rPr>
        <w:t>DE</w:t>
      </w:r>
      <w:r w:rsidRPr="00531B12">
        <w:rPr>
          <w:rFonts w:ascii="Abadi" w:hAnsi="Abadi"/>
          <w:b/>
          <w:bCs/>
          <w:spacing w:val="59"/>
          <w:sz w:val="20"/>
          <w:szCs w:val="20"/>
        </w:rPr>
        <w:t xml:space="preserve"> </w:t>
      </w:r>
      <w:r w:rsidRPr="00531B12">
        <w:rPr>
          <w:rFonts w:ascii="Abadi" w:hAnsi="Abadi"/>
          <w:b/>
          <w:bCs/>
          <w:sz w:val="20"/>
          <w:szCs w:val="20"/>
        </w:rPr>
        <w:t>ACCESO</w:t>
      </w:r>
      <w:r w:rsidRPr="00531B12">
        <w:rPr>
          <w:rFonts w:ascii="Abadi" w:hAnsi="Abadi"/>
          <w:b/>
          <w:bCs/>
          <w:spacing w:val="59"/>
          <w:sz w:val="20"/>
          <w:szCs w:val="20"/>
        </w:rPr>
        <w:t xml:space="preserve"> </w:t>
      </w:r>
      <w:r w:rsidRPr="00531B12">
        <w:rPr>
          <w:rFonts w:ascii="Abadi" w:hAnsi="Abadi"/>
          <w:b/>
          <w:bCs/>
          <w:sz w:val="20"/>
          <w:szCs w:val="20"/>
        </w:rPr>
        <w:t>A</w:t>
      </w:r>
      <w:r w:rsidRPr="00531B12">
        <w:rPr>
          <w:rFonts w:ascii="Abadi" w:hAnsi="Abadi"/>
          <w:b/>
          <w:bCs/>
          <w:spacing w:val="59"/>
          <w:sz w:val="20"/>
          <w:szCs w:val="20"/>
        </w:rPr>
        <w:t xml:space="preserve"> </w:t>
      </w:r>
      <w:r w:rsidRPr="00531B12">
        <w:rPr>
          <w:rFonts w:ascii="Abadi" w:hAnsi="Abadi"/>
          <w:b/>
          <w:bCs/>
          <w:sz w:val="20"/>
          <w:szCs w:val="20"/>
        </w:rPr>
        <w:t>LA</w:t>
      </w:r>
      <w:r w:rsidRPr="00531B12">
        <w:rPr>
          <w:rFonts w:ascii="Abadi" w:hAnsi="Abadi"/>
          <w:b/>
          <w:bCs/>
          <w:spacing w:val="59"/>
          <w:sz w:val="20"/>
          <w:szCs w:val="20"/>
        </w:rPr>
        <w:t xml:space="preserve"> </w:t>
      </w:r>
      <w:r w:rsidRPr="00531B12">
        <w:rPr>
          <w:rFonts w:ascii="Abadi" w:hAnsi="Abadi"/>
          <w:b/>
          <w:bCs/>
          <w:sz w:val="20"/>
          <w:szCs w:val="20"/>
        </w:rPr>
        <w:t>INFORMACIÓN PÚBLICA PARA EL ESTADO DE GUANAJUATO.</w:t>
      </w:r>
    </w:p>
    <w:p w14:paraId="7F9E878E" w14:textId="77777777" w:rsidR="00192AB3" w:rsidRPr="00192AB3" w:rsidRDefault="00192AB3" w:rsidP="00E65F9A">
      <w:pPr>
        <w:tabs>
          <w:tab w:val="left" w:pos="845"/>
        </w:tabs>
        <w:kinsoku w:val="0"/>
        <w:overflowPunct w:val="0"/>
        <w:autoSpaceDE w:val="0"/>
        <w:autoSpaceDN w:val="0"/>
        <w:adjustRightInd w:val="0"/>
        <w:spacing w:before="130"/>
        <w:ind w:right="17"/>
        <w:jc w:val="both"/>
        <w:rPr>
          <w:rFonts w:ascii="Abadi" w:hAnsi="Abadi"/>
          <w:b/>
          <w:bCs/>
          <w:sz w:val="20"/>
          <w:szCs w:val="20"/>
        </w:rPr>
      </w:pPr>
    </w:p>
    <w:p w14:paraId="5D8D84D3" w14:textId="614C5D61" w:rsidR="00B13C87" w:rsidRDefault="00B13C87"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PRESENTACIÓN</w:t>
      </w:r>
      <w:r w:rsidRPr="00531B12">
        <w:rPr>
          <w:rFonts w:ascii="Abadi" w:hAnsi="Abadi"/>
          <w:b/>
          <w:bCs/>
          <w:spacing w:val="-5"/>
          <w:sz w:val="20"/>
          <w:szCs w:val="20"/>
        </w:rPr>
        <w:t xml:space="preserve"> </w:t>
      </w:r>
      <w:r w:rsidRPr="00531B12">
        <w:rPr>
          <w:rFonts w:ascii="Abadi" w:hAnsi="Abadi"/>
          <w:b/>
          <w:bCs/>
          <w:sz w:val="20"/>
          <w:szCs w:val="20"/>
        </w:rPr>
        <w:t>DE</w:t>
      </w:r>
      <w:r w:rsidRPr="00531B12">
        <w:rPr>
          <w:rFonts w:ascii="Abadi" w:hAnsi="Abadi"/>
          <w:b/>
          <w:bCs/>
          <w:spacing w:val="-5"/>
          <w:sz w:val="20"/>
          <w:szCs w:val="20"/>
        </w:rPr>
        <w:t xml:space="preserve"> </w:t>
      </w:r>
      <w:r w:rsidRPr="00531B12">
        <w:rPr>
          <w:rFonts w:ascii="Abadi" w:hAnsi="Abadi"/>
          <w:b/>
          <w:bCs/>
          <w:sz w:val="20"/>
          <w:szCs w:val="20"/>
        </w:rPr>
        <w:t>LA</w:t>
      </w:r>
      <w:r w:rsidRPr="00531B12">
        <w:rPr>
          <w:rFonts w:ascii="Abadi" w:hAnsi="Abadi"/>
          <w:b/>
          <w:bCs/>
          <w:spacing w:val="-5"/>
          <w:sz w:val="20"/>
          <w:szCs w:val="20"/>
        </w:rPr>
        <w:t xml:space="preserve"> </w:t>
      </w:r>
      <w:r w:rsidRPr="00531B12">
        <w:rPr>
          <w:rFonts w:ascii="Abadi" w:hAnsi="Abadi"/>
          <w:b/>
          <w:bCs/>
          <w:sz w:val="20"/>
          <w:szCs w:val="20"/>
        </w:rPr>
        <w:t>INICIATIVA</w:t>
      </w:r>
      <w:r w:rsidRPr="00531B12">
        <w:rPr>
          <w:rFonts w:ascii="Abadi" w:hAnsi="Abadi"/>
          <w:b/>
          <w:bCs/>
          <w:spacing w:val="-5"/>
          <w:sz w:val="20"/>
          <w:szCs w:val="20"/>
        </w:rPr>
        <w:t xml:space="preserve"> </w:t>
      </w:r>
      <w:r w:rsidRPr="00531B12">
        <w:rPr>
          <w:rFonts w:ascii="Abadi" w:hAnsi="Abadi"/>
          <w:b/>
          <w:bCs/>
          <w:sz w:val="20"/>
          <w:szCs w:val="20"/>
        </w:rPr>
        <w:t>FORMULADA</w:t>
      </w:r>
      <w:r w:rsidRPr="00531B12">
        <w:rPr>
          <w:rFonts w:ascii="Abadi" w:hAnsi="Abadi"/>
          <w:b/>
          <w:bCs/>
          <w:spacing w:val="-5"/>
          <w:sz w:val="20"/>
          <w:szCs w:val="20"/>
        </w:rPr>
        <w:t xml:space="preserve"> </w:t>
      </w:r>
      <w:r w:rsidRPr="00531B12">
        <w:rPr>
          <w:rFonts w:ascii="Abadi" w:hAnsi="Abadi"/>
          <w:b/>
          <w:bCs/>
          <w:sz w:val="20"/>
          <w:szCs w:val="20"/>
        </w:rPr>
        <w:t>POR</w:t>
      </w:r>
      <w:r w:rsidRPr="00531B12">
        <w:rPr>
          <w:rFonts w:ascii="Abadi" w:hAnsi="Abadi"/>
          <w:b/>
          <w:bCs/>
          <w:spacing w:val="-5"/>
          <w:sz w:val="20"/>
          <w:szCs w:val="20"/>
        </w:rPr>
        <w:t xml:space="preserve"> </w:t>
      </w:r>
      <w:r w:rsidRPr="00531B12">
        <w:rPr>
          <w:rFonts w:ascii="Abadi" w:hAnsi="Abadi"/>
          <w:b/>
          <w:bCs/>
          <w:sz w:val="20"/>
          <w:szCs w:val="20"/>
        </w:rPr>
        <w:t>DIPUTADA</w:t>
      </w:r>
      <w:r w:rsidRPr="00531B12">
        <w:rPr>
          <w:rFonts w:ascii="Abadi" w:hAnsi="Abadi"/>
          <w:b/>
          <w:bCs/>
          <w:spacing w:val="-5"/>
          <w:sz w:val="20"/>
          <w:szCs w:val="20"/>
        </w:rPr>
        <w:t xml:space="preserve"> </w:t>
      </w:r>
      <w:r w:rsidRPr="00531B12">
        <w:rPr>
          <w:rFonts w:ascii="Abadi" w:hAnsi="Abadi"/>
          <w:b/>
          <w:bCs/>
          <w:sz w:val="20"/>
          <w:szCs w:val="20"/>
        </w:rPr>
        <w:t>Y</w:t>
      </w:r>
      <w:r w:rsidRPr="00531B12">
        <w:rPr>
          <w:rFonts w:ascii="Abadi" w:hAnsi="Abadi"/>
          <w:b/>
          <w:bCs/>
          <w:spacing w:val="-5"/>
          <w:sz w:val="20"/>
          <w:szCs w:val="20"/>
        </w:rPr>
        <w:t xml:space="preserve"> </w:t>
      </w:r>
      <w:r w:rsidRPr="00531B12">
        <w:rPr>
          <w:rFonts w:ascii="Abadi" w:hAnsi="Abadi"/>
          <w:b/>
          <w:bCs/>
          <w:sz w:val="20"/>
          <w:szCs w:val="20"/>
        </w:rPr>
        <w:t>DIPUTADOS</w:t>
      </w:r>
      <w:r w:rsidRPr="00531B12">
        <w:rPr>
          <w:rFonts w:ascii="Abadi" w:hAnsi="Abadi"/>
          <w:b/>
          <w:bCs/>
          <w:spacing w:val="-5"/>
          <w:sz w:val="20"/>
          <w:szCs w:val="20"/>
        </w:rPr>
        <w:t xml:space="preserve"> </w:t>
      </w:r>
      <w:r w:rsidRPr="00531B12">
        <w:rPr>
          <w:rFonts w:ascii="Abadi" w:hAnsi="Abadi"/>
          <w:b/>
          <w:bCs/>
          <w:sz w:val="20"/>
          <w:szCs w:val="20"/>
        </w:rPr>
        <w:t>INTEGRANTES DEL</w:t>
      </w:r>
      <w:r w:rsidRPr="00531B12">
        <w:rPr>
          <w:rFonts w:ascii="Abadi" w:hAnsi="Abadi"/>
          <w:b/>
          <w:bCs/>
          <w:spacing w:val="-6"/>
          <w:sz w:val="20"/>
          <w:szCs w:val="20"/>
        </w:rPr>
        <w:t xml:space="preserve"> </w:t>
      </w:r>
      <w:r w:rsidRPr="00531B12">
        <w:rPr>
          <w:rFonts w:ascii="Abadi" w:hAnsi="Abadi"/>
          <w:b/>
          <w:bCs/>
          <w:sz w:val="20"/>
          <w:szCs w:val="20"/>
        </w:rPr>
        <w:t>GRUPO</w:t>
      </w:r>
      <w:r w:rsidRPr="00531B12">
        <w:rPr>
          <w:rFonts w:ascii="Abadi" w:hAnsi="Abadi"/>
          <w:b/>
          <w:bCs/>
          <w:spacing w:val="-6"/>
          <w:sz w:val="20"/>
          <w:szCs w:val="20"/>
        </w:rPr>
        <w:t xml:space="preserve"> </w:t>
      </w:r>
      <w:r w:rsidRPr="00531B12">
        <w:rPr>
          <w:rFonts w:ascii="Abadi" w:hAnsi="Abadi"/>
          <w:b/>
          <w:bCs/>
          <w:sz w:val="20"/>
          <w:szCs w:val="20"/>
        </w:rPr>
        <w:t>PARLAMENTARIO</w:t>
      </w:r>
      <w:r w:rsidRPr="00531B12">
        <w:rPr>
          <w:rFonts w:ascii="Abadi" w:hAnsi="Abadi"/>
          <w:b/>
          <w:bCs/>
          <w:spacing w:val="-6"/>
          <w:sz w:val="20"/>
          <w:szCs w:val="20"/>
        </w:rPr>
        <w:t xml:space="preserve"> </w:t>
      </w:r>
      <w:r w:rsidRPr="00531B12">
        <w:rPr>
          <w:rFonts w:ascii="Abadi" w:hAnsi="Abadi"/>
          <w:b/>
          <w:bCs/>
          <w:sz w:val="20"/>
          <w:szCs w:val="20"/>
        </w:rPr>
        <w:t>DEL</w:t>
      </w:r>
      <w:r w:rsidRPr="00531B12">
        <w:rPr>
          <w:rFonts w:ascii="Abadi" w:hAnsi="Abadi"/>
          <w:b/>
          <w:bCs/>
          <w:spacing w:val="-6"/>
          <w:sz w:val="20"/>
          <w:szCs w:val="20"/>
        </w:rPr>
        <w:t xml:space="preserve"> </w:t>
      </w:r>
      <w:r w:rsidRPr="00531B12">
        <w:rPr>
          <w:rFonts w:ascii="Abadi" w:hAnsi="Abadi"/>
          <w:b/>
          <w:bCs/>
          <w:sz w:val="20"/>
          <w:szCs w:val="20"/>
        </w:rPr>
        <w:t>PARTIDO</w:t>
      </w:r>
      <w:r w:rsidRPr="00531B12">
        <w:rPr>
          <w:rFonts w:ascii="Abadi" w:hAnsi="Abadi"/>
          <w:b/>
          <w:bCs/>
          <w:spacing w:val="-6"/>
          <w:sz w:val="20"/>
          <w:szCs w:val="20"/>
        </w:rPr>
        <w:t xml:space="preserve"> </w:t>
      </w:r>
      <w:r w:rsidRPr="00531B12">
        <w:rPr>
          <w:rFonts w:ascii="Abadi" w:hAnsi="Abadi"/>
          <w:b/>
          <w:bCs/>
          <w:sz w:val="20"/>
          <w:szCs w:val="20"/>
        </w:rPr>
        <w:t>REVOLUCIONARIO</w:t>
      </w:r>
      <w:r w:rsidRPr="00531B12">
        <w:rPr>
          <w:rFonts w:ascii="Abadi" w:hAnsi="Abadi"/>
          <w:b/>
          <w:bCs/>
          <w:spacing w:val="-6"/>
          <w:sz w:val="20"/>
          <w:szCs w:val="20"/>
        </w:rPr>
        <w:t xml:space="preserve"> </w:t>
      </w:r>
      <w:r w:rsidRPr="00531B12">
        <w:rPr>
          <w:rFonts w:ascii="Abadi" w:hAnsi="Abadi"/>
          <w:b/>
          <w:bCs/>
          <w:sz w:val="20"/>
          <w:szCs w:val="20"/>
        </w:rPr>
        <w:t>INSTITUCIONAL</w:t>
      </w:r>
      <w:r w:rsidRPr="00531B12">
        <w:rPr>
          <w:rFonts w:ascii="Abadi" w:hAnsi="Abadi"/>
          <w:b/>
          <w:bCs/>
          <w:spacing w:val="-7"/>
          <w:sz w:val="20"/>
          <w:szCs w:val="20"/>
        </w:rPr>
        <w:t xml:space="preserve"> </w:t>
      </w:r>
      <w:r w:rsidRPr="00531B12">
        <w:rPr>
          <w:rFonts w:ascii="Abadi" w:hAnsi="Abadi"/>
          <w:b/>
          <w:bCs/>
          <w:sz w:val="20"/>
          <w:szCs w:val="20"/>
        </w:rPr>
        <w:t>A</w:t>
      </w:r>
      <w:r w:rsidRPr="00531B12">
        <w:rPr>
          <w:rFonts w:ascii="Abadi" w:hAnsi="Abadi"/>
          <w:b/>
          <w:bCs/>
          <w:spacing w:val="-6"/>
          <w:sz w:val="20"/>
          <w:szCs w:val="20"/>
        </w:rPr>
        <w:t xml:space="preserve"> </w:t>
      </w:r>
      <w:r w:rsidRPr="00531B12">
        <w:rPr>
          <w:rFonts w:ascii="Abadi" w:hAnsi="Abadi"/>
          <w:b/>
          <w:bCs/>
          <w:sz w:val="20"/>
          <w:szCs w:val="20"/>
        </w:rPr>
        <w:t>EFECTO</w:t>
      </w:r>
      <w:r w:rsidRPr="00531B12">
        <w:rPr>
          <w:rFonts w:ascii="Abadi" w:hAnsi="Abadi"/>
          <w:b/>
          <w:bCs/>
          <w:spacing w:val="-6"/>
          <w:sz w:val="20"/>
          <w:szCs w:val="20"/>
        </w:rPr>
        <w:t xml:space="preserve"> </w:t>
      </w:r>
      <w:r w:rsidRPr="00531B12">
        <w:rPr>
          <w:rFonts w:ascii="Abadi" w:hAnsi="Abadi"/>
          <w:b/>
          <w:bCs/>
          <w:sz w:val="20"/>
          <w:szCs w:val="20"/>
        </w:rPr>
        <w:t>DE REFORMAR</w:t>
      </w:r>
      <w:r w:rsidRPr="00531B12">
        <w:rPr>
          <w:rFonts w:ascii="Abadi" w:hAnsi="Abadi"/>
          <w:b/>
          <w:bCs/>
          <w:spacing w:val="40"/>
          <w:sz w:val="20"/>
          <w:szCs w:val="20"/>
        </w:rPr>
        <w:t xml:space="preserve"> </w:t>
      </w:r>
      <w:r w:rsidRPr="00531B12">
        <w:rPr>
          <w:rFonts w:ascii="Abadi" w:hAnsi="Abadi"/>
          <w:b/>
          <w:bCs/>
          <w:sz w:val="20"/>
          <w:szCs w:val="20"/>
        </w:rPr>
        <w:t>Y</w:t>
      </w:r>
      <w:r w:rsidRPr="00531B12">
        <w:rPr>
          <w:rFonts w:ascii="Abadi" w:hAnsi="Abadi"/>
          <w:b/>
          <w:bCs/>
          <w:spacing w:val="40"/>
          <w:sz w:val="20"/>
          <w:szCs w:val="20"/>
        </w:rPr>
        <w:t xml:space="preserve"> </w:t>
      </w:r>
      <w:r w:rsidRPr="00531B12">
        <w:rPr>
          <w:rFonts w:ascii="Abadi" w:hAnsi="Abadi"/>
          <w:b/>
          <w:bCs/>
          <w:sz w:val="20"/>
          <w:szCs w:val="20"/>
        </w:rPr>
        <w:t>ADICIONAR</w:t>
      </w:r>
      <w:r w:rsidRPr="00531B12">
        <w:rPr>
          <w:rFonts w:ascii="Abadi" w:hAnsi="Abadi"/>
          <w:b/>
          <w:bCs/>
          <w:spacing w:val="40"/>
          <w:sz w:val="20"/>
          <w:szCs w:val="20"/>
        </w:rPr>
        <w:t xml:space="preserve"> </w:t>
      </w:r>
      <w:r w:rsidRPr="00531B12">
        <w:rPr>
          <w:rFonts w:ascii="Abadi" w:hAnsi="Abadi"/>
          <w:b/>
          <w:bCs/>
          <w:sz w:val="20"/>
          <w:szCs w:val="20"/>
        </w:rPr>
        <w:t>DIVERSAS</w:t>
      </w:r>
      <w:r w:rsidRPr="00531B12">
        <w:rPr>
          <w:rFonts w:ascii="Abadi" w:hAnsi="Abadi"/>
          <w:b/>
          <w:bCs/>
          <w:spacing w:val="40"/>
          <w:sz w:val="20"/>
          <w:szCs w:val="20"/>
        </w:rPr>
        <w:t xml:space="preserve"> </w:t>
      </w:r>
      <w:r w:rsidRPr="00531B12">
        <w:rPr>
          <w:rFonts w:ascii="Abadi" w:hAnsi="Abadi"/>
          <w:b/>
          <w:bCs/>
          <w:sz w:val="20"/>
          <w:szCs w:val="20"/>
        </w:rPr>
        <w:t>DISPOSICIONES</w:t>
      </w:r>
      <w:r w:rsidRPr="00531B12">
        <w:rPr>
          <w:rFonts w:ascii="Abadi" w:hAnsi="Abadi"/>
          <w:b/>
          <w:bCs/>
          <w:spacing w:val="40"/>
          <w:sz w:val="20"/>
          <w:szCs w:val="20"/>
        </w:rPr>
        <w:t xml:space="preserve"> </w:t>
      </w:r>
      <w:r w:rsidRPr="00531B12">
        <w:rPr>
          <w:rFonts w:ascii="Abadi" w:hAnsi="Abadi"/>
          <w:b/>
          <w:bCs/>
          <w:sz w:val="20"/>
          <w:szCs w:val="20"/>
        </w:rPr>
        <w:t>A</w:t>
      </w:r>
      <w:r w:rsidRPr="00531B12">
        <w:rPr>
          <w:rFonts w:ascii="Abadi" w:hAnsi="Abadi"/>
          <w:b/>
          <w:bCs/>
          <w:spacing w:val="40"/>
          <w:sz w:val="20"/>
          <w:szCs w:val="20"/>
        </w:rPr>
        <w:t xml:space="preserve"> </w:t>
      </w:r>
      <w:r w:rsidRPr="00531B12">
        <w:rPr>
          <w:rFonts w:ascii="Abadi" w:hAnsi="Abadi"/>
          <w:b/>
          <w:bCs/>
          <w:sz w:val="20"/>
          <w:szCs w:val="20"/>
        </w:rPr>
        <w:t>LA</w:t>
      </w:r>
      <w:r w:rsidRPr="00531B12">
        <w:rPr>
          <w:rFonts w:ascii="Abadi" w:hAnsi="Abadi"/>
          <w:b/>
          <w:bCs/>
          <w:spacing w:val="40"/>
          <w:sz w:val="20"/>
          <w:szCs w:val="20"/>
        </w:rPr>
        <w:t xml:space="preserve"> </w:t>
      </w:r>
      <w:r w:rsidRPr="00531B12">
        <w:rPr>
          <w:rFonts w:ascii="Abadi" w:hAnsi="Abadi"/>
          <w:b/>
          <w:bCs/>
          <w:sz w:val="20"/>
          <w:szCs w:val="20"/>
        </w:rPr>
        <w:t>LEY</w:t>
      </w:r>
      <w:r w:rsidRPr="00531B12">
        <w:rPr>
          <w:rFonts w:ascii="Abadi" w:hAnsi="Abadi"/>
          <w:b/>
          <w:bCs/>
          <w:spacing w:val="40"/>
          <w:sz w:val="20"/>
          <w:szCs w:val="20"/>
        </w:rPr>
        <w:t xml:space="preserve"> </w:t>
      </w:r>
      <w:r w:rsidRPr="00531B12">
        <w:rPr>
          <w:rFonts w:ascii="Abadi" w:hAnsi="Abadi"/>
          <w:b/>
          <w:bCs/>
          <w:sz w:val="20"/>
          <w:szCs w:val="20"/>
        </w:rPr>
        <w:t>ORGÁNICA</w:t>
      </w:r>
      <w:r w:rsidRPr="00531B12">
        <w:rPr>
          <w:rFonts w:ascii="Abadi" w:hAnsi="Abadi"/>
          <w:b/>
          <w:bCs/>
          <w:spacing w:val="40"/>
          <w:sz w:val="20"/>
          <w:szCs w:val="20"/>
        </w:rPr>
        <w:t xml:space="preserve"> </w:t>
      </w:r>
      <w:r w:rsidRPr="00531B12">
        <w:rPr>
          <w:rFonts w:ascii="Abadi" w:hAnsi="Abadi"/>
          <w:b/>
          <w:bCs/>
          <w:sz w:val="20"/>
          <w:szCs w:val="20"/>
        </w:rPr>
        <w:t>DEL</w:t>
      </w:r>
      <w:r w:rsidRPr="00531B12">
        <w:rPr>
          <w:rFonts w:ascii="Abadi" w:hAnsi="Abadi"/>
          <w:b/>
          <w:bCs/>
          <w:spacing w:val="40"/>
          <w:sz w:val="20"/>
          <w:szCs w:val="20"/>
        </w:rPr>
        <w:t xml:space="preserve"> </w:t>
      </w:r>
      <w:r w:rsidRPr="00531B12">
        <w:rPr>
          <w:rFonts w:ascii="Abadi" w:hAnsi="Abadi"/>
          <w:b/>
          <w:bCs/>
          <w:sz w:val="20"/>
          <w:szCs w:val="20"/>
        </w:rPr>
        <w:t>PODER LEGISLATIVO DEL ESTADO DE GUANAJUATO.</w:t>
      </w:r>
    </w:p>
    <w:p w14:paraId="327FF152" w14:textId="77777777" w:rsidR="00F20686" w:rsidRPr="00F20686" w:rsidRDefault="00F20686" w:rsidP="00F20686">
      <w:pPr>
        <w:pStyle w:val="Prrafodelista"/>
        <w:rPr>
          <w:rFonts w:ascii="Abadi" w:hAnsi="Abadi"/>
          <w:b/>
          <w:bCs/>
          <w:sz w:val="20"/>
          <w:szCs w:val="20"/>
        </w:rPr>
      </w:pPr>
    </w:p>
    <w:p w14:paraId="66F22429" w14:textId="77777777" w:rsidR="003165BD" w:rsidRPr="00D930C2" w:rsidRDefault="003165BD" w:rsidP="003165BD">
      <w:pPr>
        <w:jc w:val="both"/>
        <w:rPr>
          <w:rFonts w:ascii="Abadi" w:hAnsi="Abadi"/>
          <w:b/>
          <w:bCs/>
          <w:sz w:val="21"/>
          <w:szCs w:val="21"/>
        </w:rPr>
      </w:pPr>
      <w:r w:rsidRPr="00D930C2">
        <w:rPr>
          <w:rFonts w:ascii="Abadi" w:hAnsi="Abadi"/>
          <w:b/>
          <w:bCs/>
          <w:sz w:val="21"/>
          <w:szCs w:val="21"/>
        </w:rPr>
        <w:t xml:space="preserve">INICIATIVA CON PROYECTO DE DECRETO POR EL QUE SE REFORMAN LOS ARTÍCULOS 75, 79, 84, 168, 170, 172 Y 186 DE LA LEY ORGÁNICA DEL PODER LEGISLATIVO DEL ESTADO DE GUANAJUATO. </w:t>
      </w:r>
    </w:p>
    <w:p w14:paraId="72623160" w14:textId="77777777" w:rsidR="003165BD" w:rsidRPr="00D930C2" w:rsidRDefault="003165BD" w:rsidP="003165BD">
      <w:pPr>
        <w:jc w:val="both"/>
        <w:rPr>
          <w:rFonts w:ascii="Abadi" w:hAnsi="Abadi"/>
          <w:b/>
          <w:bCs/>
          <w:sz w:val="21"/>
          <w:szCs w:val="21"/>
        </w:rPr>
      </w:pPr>
    </w:p>
    <w:p w14:paraId="3C0D3313" w14:textId="77777777" w:rsidR="003165BD" w:rsidRPr="00D930C2" w:rsidRDefault="003165BD" w:rsidP="003165BD">
      <w:pPr>
        <w:jc w:val="both"/>
        <w:rPr>
          <w:rFonts w:ascii="Abadi" w:hAnsi="Abadi"/>
          <w:b/>
          <w:bCs/>
          <w:sz w:val="21"/>
          <w:szCs w:val="21"/>
        </w:rPr>
      </w:pPr>
      <w:r w:rsidRPr="00D930C2">
        <w:rPr>
          <w:rFonts w:ascii="Abadi" w:hAnsi="Abadi"/>
          <w:b/>
          <w:bCs/>
          <w:sz w:val="21"/>
          <w:szCs w:val="21"/>
        </w:rPr>
        <w:t xml:space="preserve">DIPUTADA IRMA LETICIA GONZÁLEZ SÁNCHEZ </w:t>
      </w:r>
    </w:p>
    <w:p w14:paraId="369D7C13" w14:textId="08BFDB98" w:rsidR="003165BD" w:rsidRPr="00D930C2" w:rsidRDefault="003165BD" w:rsidP="003165BD">
      <w:pPr>
        <w:jc w:val="both"/>
        <w:rPr>
          <w:rFonts w:ascii="Abadi" w:hAnsi="Abadi"/>
          <w:b/>
          <w:bCs/>
          <w:sz w:val="21"/>
          <w:szCs w:val="21"/>
        </w:rPr>
      </w:pPr>
      <w:r w:rsidRPr="00D930C2">
        <w:rPr>
          <w:rFonts w:ascii="Abadi" w:hAnsi="Abadi"/>
          <w:b/>
          <w:bCs/>
          <w:sz w:val="21"/>
          <w:szCs w:val="21"/>
        </w:rPr>
        <w:t xml:space="preserve">PRESIDENTA DEL CONGRESO DEL ESTADO LIBRE Y </w:t>
      </w:r>
      <w:r>
        <w:rPr>
          <w:rFonts w:ascii="Abadi" w:hAnsi="Abadi"/>
          <w:b/>
          <w:bCs/>
          <w:sz w:val="21"/>
          <w:szCs w:val="21"/>
        </w:rPr>
        <w:t xml:space="preserve"> </w:t>
      </w:r>
      <w:r w:rsidRPr="00D930C2">
        <w:rPr>
          <w:rFonts w:ascii="Abadi" w:hAnsi="Abadi"/>
          <w:b/>
          <w:bCs/>
          <w:sz w:val="21"/>
          <w:szCs w:val="21"/>
        </w:rPr>
        <w:t xml:space="preserve">SOBERANO DE GUANAJUATO. </w:t>
      </w:r>
    </w:p>
    <w:p w14:paraId="52ADBDFE" w14:textId="77777777" w:rsidR="003165BD" w:rsidRPr="00D930C2" w:rsidRDefault="003165BD" w:rsidP="003165BD">
      <w:pPr>
        <w:jc w:val="both"/>
        <w:rPr>
          <w:rFonts w:ascii="Abadi" w:hAnsi="Abadi"/>
          <w:b/>
          <w:bCs/>
          <w:sz w:val="21"/>
          <w:szCs w:val="21"/>
        </w:rPr>
      </w:pPr>
      <w:r w:rsidRPr="00D930C2">
        <w:rPr>
          <w:rFonts w:ascii="Abadi" w:hAnsi="Abadi"/>
          <w:b/>
          <w:bCs/>
          <w:sz w:val="21"/>
          <w:szCs w:val="21"/>
        </w:rPr>
        <w:t xml:space="preserve">SEXAGÉSIMA QUINTA LEGISLATURA </w:t>
      </w:r>
    </w:p>
    <w:p w14:paraId="6E5E91FC" w14:textId="77777777" w:rsidR="003165BD" w:rsidRPr="00D930C2" w:rsidRDefault="003165BD" w:rsidP="003165BD">
      <w:pPr>
        <w:jc w:val="both"/>
        <w:rPr>
          <w:rFonts w:ascii="Abadi" w:hAnsi="Abadi"/>
          <w:b/>
          <w:bCs/>
          <w:sz w:val="21"/>
          <w:szCs w:val="21"/>
        </w:rPr>
      </w:pPr>
      <w:r w:rsidRPr="00D930C2">
        <w:rPr>
          <w:rFonts w:ascii="Abadi" w:hAnsi="Abadi"/>
          <w:b/>
          <w:bCs/>
          <w:sz w:val="21"/>
          <w:szCs w:val="21"/>
        </w:rPr>
        <w:t xml:space="preserve">PRESENTE. </w:t>
      </w:r>
    </w:p>
    <w:p w14:paraId="3D137326" w14:textId="77777777" w:rsidR="003165BD" w:rsidRPr="00D930C2" w:rsidRDefault="003165BD" w:rsidP="003165BD">
      <w:pPr>
        <w:jc w:val="both"/>
        <w:rPr>
          <w:rFonts w:ascii="Abadi" w:hAnsi="Abadi"/>
          <w:sz w:val="21"/>
          <w:szCs w:val="21"/>
        </w:rPr>
      </w:pPr>
    </w:p>
    <w:p w14:paraId="2E35435C" w14:textId="43581BAD" w:rsidR="003165BD" w:rsidRDefault="003165BD" w:rsidP="003165BD">
      <w:pPr>
        <w:jc w:val="both"/>
        <w:rPr>
          <w:rFonts w:ascii="Abadi" w:hAnsi="Abadi"/>
          <w:sz w:val="21"/>
          <w:szCs w:val="21"/>
        </w:rPr>
      </w:pPr>
      <w:r w:rsidRPr="00D930C2">
        <w:rPr>
          <w:rFonts w:ascii="Abadi" w:hAnsi="Abadi"/>
          <w:b/>
          <w:bCs/>
          <w:sz w:val="21"/>
          <w:szCs w:val="21"/>
        </w:rPr>
        <w:t>Diputado Alejandro Arias Ávila,</w:t>
      </w:r>
      <w:r w:rsidRPr="00D930C2">
        <w:rPr>
          <w:rFonts w:ascii="Abadi" w:hAnsi="Abadi"/>
          <w:sz w:val="21"/>
          <w:szCs w:val="21"/>
        </w:rPr>
        <w:t xml:space="preserve"> proponente y quienes suscriben, Diputada y Diputado integrantes de la LXV Legislatura del H. Congreso del Estado de Guanajuato y del Grupo Parlamentario del Partido Revolucionario Institucional l, con fundamento en lo dispuesto en la fracción II del artículo 56 de la Constitución Política para el Estado de Guanajuato, así como en el artículo 167, fracción II de la Ley Orgánica del Poder Legislativo del Estado de Guanajuato, someto a consideración del Pleno para su aprobación, la presente iniciativa con proyecto de </w:t>
      </w:r>
      <w:r w:rsidRPr="00D930C2">
        <w:rPr>
          <w:rFonts w:ascii="Abadi" w:hAnsi="Abadi"/>
          <w:b/>
          <w:bCs/>
          <w:sz w:val="21"/>
          <w:szCs w:val="21"/>
        </w:rPr>
        <w:t xml:space="preserve">Decreto que reforma y adiciona los artículos 75, 79, 84, 168, 170, 172 y 186 de la Ley Orgánica del Poder Legislativo del Estado de Guanajuato, </w:t>
      </w:r>
      <w:r w:rsidRPr="00D930C2">
        <w:rPr>
          <w:rFonts w:ascii="Abadi" w:hAnsi="Abadi"/>
          <w:sz w:val="21"/>
          <w:szCs w:val="21"/>
        </w:rPr>
        <w:t xml:space="preserve">conforme a la siguiente: </w:t>
      </w:r>
    </w:p>
    <w:p w14:paraId="262AA44D" w14:textId="77777777" w:rsidR="003165BD" w:rsidRPr="00D930C2" w:rsidRDefault="003165BD" w:rsidP="003165BD">
      <w:pPr>
        <w:jc w:val="both"/>
        <w:rPr>
          <w:rFonts w:ascii="Abadi" w:hAnsi="Abadi"/>
          <w:sz w:val="21"/>
          <w:szCs w:val="21"/>
        </w:rPr>
      </w:pPr>
    </w:p>
    <w:p w14:paraId="4C65EFFF" w14:textId="77777777" w:rsidR="003165BD" w:rsidRPr="00D930C2" w:rsidRDefault="003165BD" w:rsidP="003165BD">
      <w:pPr>
        <w:jc w:val="center"/>
        <w:rPr>
          <w:rFonts w:ascii="Abadi" w:hAnsi="Abadi"/>
          <w:b/>
          <w:bCs/>
          <w:sz w:val="21"/>
          <w:szCs w:val="21"/>
        </w:rPr>
      </w:pPr>
      <w:r w:rsidRPr="00D930C2">
        <w:rPr>
          <w:rFonts w:ascii="Abadi" w:hAnsi="Abadi"/>
          <w:b/>
          <w:bCs/>
          <w:sz w:val="21"/>
          <w:szCs w:val="21"/>
        </w:rPr>
        <w:t>EXPOSICION DE MOTIVOS</w:t>
      </w:r>
    </w:p>
    <w:p w14:paraId="7DB4DFBA" w14:textId="77777777" w:rsidR="003165BD" w:rsidRPr="00D930C2" w:rsidRDefault="003165BD" w:rsidP="003165BD">
      <w:pPr>
        <w:jc w:val="both"/>
        <w:rPr>
          <w:rFonts w:ascii="Abadi" w:hAnsi="Abadi"/>
          <w:sz w:val="21"/>
          <w:szCs w:val="21"/>
        </w:rPr>
      </w:pPr>
    </w:p>
    <w:p w14:paraId="1EF7D776" w14:textId="791B205E" w:rsidR="003165BD" w:rsidRPr="00D930C2" w:rsidRDefault="003165BD" w:rsidP="003165BD">
      <w:pPr>
        <w:jc w:val="both"/>
        <w:rPr>
          <w:rFonts w:ascii="Abadi" w:hAnsi="Abadi"/>
          <w:sz w:val="21"/>
          <w:szCs w:val="21"/>
        </w:rPr>
      </w:pPr>
      <w:r w:rsidRPr="00D930C2">
        <w:rPr>
          <w:rFonts w:ascii="Abadi" w:hAnsi="Abadi"/>
          <w:sz w:val="21"/>
          <w:szCs w:val="21"/>
        </w:rPr>
        <w:t>El principio de división de poderes, que ya planteaba John Locke y que luego siguió Charles Louis de Secondant Barón Montesquieu, surge sin duda para hacer contrapeso al ejecutivo monárquico en Inglaterra, y para, precisamente preservar la libertad y evitar el abuso del poder. Este principio sostiene Berlín Valenzuela, es un instrumento de los gobernantes que tiene como garantía las libertades individuales.</w:t>
      </w:r>
      <w:r w:rsidR="00036E03">
        <w:rPr>
          <w:rStyle w:val="Refdenotaalpie"/>
          <w:rFonts w:ascii="Abadi" w:hAnsi="Abadi"/>
          <w:sz w:val="21"/>
          <w:szCs w:val="21"/>
        </w:rPr>
        <w:footnoteReference w:id="3"/>
      </w:r>
    </w:p>
    <w:p w14:paraId="25118B22" w14:textId="77777777" w:rsidR="003165BD" w:rsidRPr="00D930C2" w:rsidRDefault="003165BD" w:rsidP="003165BD">
      <w:pPr>
        <w:jc w:val="both"/>
        <w:rPr>
          <w:rFonts w:ascii="Abadi" w:hAnsi="Abadi"/>
          <w:sz w:val="21"/>
          <w:szCs w:val="21"/>
        </w:rPr>
      </w:pPr>
    </w:p>
    <w:p w14:paraId="2D1352D9" w14:textId="59A2BD91" w:rsidR="003165BD" w:rsidRDefault="003165BD" w:rsidP="003165BD">
      <w:pPr>
        <w:jc w:val="both"/>
        <w:rPr>
          <w:rFonts w:ascii="Abadi" w:hAnsi="Abadi"/>
          <w:sz w:val="21"/>
          <w:szCs w:val="21"/>
        </w:rPr>
      </w:pPr>
      <w:r w:rsidRPr="00D930C2">
        <w:rPr>
          <w:rFonts w:ascii="Abadi" w:hAnsi="Abadi"/>
          <w:sz w:val="21"/>
          <w:szCs w:val="21"/>
        </w:rPr>
        <w:t xml:space="preserve">Jeremy Bentham, sostenía que la mayor felicidad es el fundamento de la moral y la legislación. Planteó la teoría de la racionalidad de las leyes y la nomografía como el arte y ciencia mediante las cuales se puede dar expresión al contenido de la ley, de tal forma que conduzca en el máximo grado posible a la obtención de los fines, pueda tener en mente, cualesquiera que fueren, que el legislador, quien quiera que fuere pueda tener en mente. </w:t>
      </w:r>
      <w:r w:rsidR="00895E40">
        <w:rPr>
          <w:rStyle w:val="Refdenotaalpie"/>
          <w:rFonts w:ascii="Abadi" w:hAnsi="Abadi"/>
          <w:sz w:val="21"/>
          <w:szCs w:val="21"/>
        </w:rPr>
        <w:footnoteReference w:id="4"/>
      </w:r>
    </w:p>
    <w:p w14:paraId="388B7814" w14:textId="77777777" w:rsidR="00BA6F56" w:rsidRPr="00D930C2" w:rsidRDefault="00BA6F56" w:rsidP="003165BD">
      <w:pPr>
        <w:jc w:val="both"/>
        <w:rPr>
          <w:rFonts w:ascii="Abadi" w:hAnsi="Abadi"/>
          <w:sz w:val="21"/>
          <w:szCs w:val="21"/>
        </w:rPr>
      </w:pPr>
    </w:p>
    <w:p w14:paraId="595E0AD9" w14:textId="62FF813A" w:rsidR="003165BD" w:rsidRPr="00D930C2" w:rsidRDefault="003165BD" w:rsidP="003165BD">
      <w:pPr>
        <w:jc w:val="both"/>
        <w:rPr>
          <w:rFonts w:ascii="Abadi" w:hAnsi="Abadi"/>
          <w:sz w:val="21"/>
          <w:szCs w:val="21"/>
        </w:rPr>
      </w:pPr>
      <w:r w:rsidRPr="00D930C2">
        <w:rPr>
          <w:rFonts w:ascii="Abadi" w:hAnsi="Abadi"/>
          <w:sz w:val="21"/>
          <w:szCs w:val="21"/>
        </w:rPr>
        <w:t xml:space="preserve"> En el estado de Guanajuato, como una entidad federativa que forma parte del pacto de la Unión, se encuentra vigente la división de funciones del poder público, pues como bien se afirma en la obra Tópicos del Derecho Parlamentario, el control del poder se asume como una de las premisas en fundamentales del estado constitucional,</w:t>
      </w:r>
      <w:r w:rsidR="00895E40">
        <w:rPr>
          <w:rStyle w:val="Refdenotaalpie"/>
          <w:rFonts w:ascii="Abadi" w:hAnsi="Abadi"/>
          <w:sz w:val="21"/>
          <w:szCs w:val="21"/>
        </w:rPr>
        <w:footnoteReference w:id="5"/>
      </w:r>
      <w:r w:rsidRPr="00D930C2">
        <w:rPr>
          <w:rFonts w:ascii="Abadi" w:hAnsi="Abadi"/>
          <w:sz w:val="21"/>
          <w:szCs w:val="21"/>
        </w:rPr>
        <w:t xml:space="preserve"> El Poder Legislativo enmarcado en la función del equilibrio del poder, cumple con una tarea relevante en el quehacer social y dentro del estado de derecho. Se contribuye a la estabilidad política y a la paz social. En otras palabras, genera las condiciones normativas que permiten al núcleo social, desarrollar una adecuada vida en común, gregaria y ordenada.</w:t>
      </w:r>
    </w:p>
    <w:p w14:paraId="07D313A2" w14:textId="77777777" w:rsidR="003165BD" w:rsidRPr="00D930C2" w:rsidRDefault="003165BD" w:rsidP="003165BD">
      <w:pPr>
        <w:jc w:val="both"/>
        <w:rPr>
          <w:rFonts w:ascii="Abadi" w:hAnsi="Abadi"/>
          <w:sz w:val="21"/>
          <w:szCs w:val="21"/>
        </w:rPr>
      </w:pPr>
    </w:p>
    <w:p w14:paraId="47A4D770" w14:textId="38550B4E" w:rsidR="003165BD" w:rsidRPr="00D930C2" w:rsidRDefault="003165BD" w:rsidP="003165BD">
      <w:pPr>
        <w:jc w:val="both"/>
        <w:rPr>
          <w:rFonts w:ascii="Abadi" w:hAnsi="Abadi"/>
          <w:sz w:val="21"/>
          <w:szCs w:val="21"/>
        </w:rPr>
      </w:pPr>
      <w:r w:rsidRPr="00D930C2">
        <w:rPr>
          <w:rFonts w:ascii="Abadi" w:hAnsi="Abadi"/>
          <w:sz w:val="21"/>
          <w:szCs w:val="21"/>
        </w:rPr>
        <w:t xml:space="preserve"> Bajo ese supuesto es que el poder constructor y editor de la norma jurídica no puede permanecer estático e inamovible en una sociedad que es también cambiante y demandante, es menester acudir a las fuentes del derecho, las que, siguiendo al Tratadista de derecho parlamentario Berlín Valenzuela, se manifiestan a través de realidades sociales, antecedentes históricos e ideologías, consecuentemente, son, en no pocas ocasiones, la base para la creación del cuerpo normativo, es decir, esas fuentes son medios, formas y elementos de los cuales surgen las normas jurídicas. </w:t>
      </w:r>
      <w:r w:rsidR="00CE281B">
        <w:rPr>
          <w:rStyle w:val="Refdenotaalpie"/>
          <w:rFonts w:ascii="Abadi" w:hAnsi="Abadi"/>
          <w:sz w:val="21"/>
          <w:szCs w:val="21"/>
        </w:rPr>
        <w:footnoteReference w:id="6"/>
      </w:r>
      <w:r w:rsidRPr="00D930C2">
        <w:rPr>
          <w:rFonts w:ascii="Abadi" w:hAnsi="Abadi"/>
          <w:sz w:val="21"/>
          <w:szCs w:val="21"/>
        </w:rPr>
        <w:t xml:space="preserve"> </w:t>
      </w:r>
    </w:p>
    <w:p w14:paraId="19E9B643" w14:textId="77777777" w:rsidR="003165BD" w:rsidRPr="00D930C2" w:rsidRDefault="003165BD" w:rsidP="003165BD">
      <w:pPr>
        <w:jc w:val="both"/>
        <w:rPr>
          <w:rFonts w:ascii="Abadi" w:hAnsi="Abadi"/>
          <w:sz w:val="21"/>
          <w:szCs w:val="21"/>
        </w:rPr>
      </w:pPr>
    </w:p>
    <w:p w14:paraId="3601E243" w14:textId="1B95CE57" w:rsidR="003165BD" w:rsidRDefault="003165BD" w:rsidP="003165BD">
      <w:pPr>
        <w:jc w:val="both"/>
        <w:rPr>
          <w:rFonts w:ascii="Abadi" w:hAnsi="Abadi"/>
          <w:sz w:val="21"/>
          <w:szCs w:val="21"/>
        </w:rPr>
      </w:pPr>
      <w:r w:rsidRPr="00D930C2">
        <w:rPr>
          <w:rFonts w:ascii="Abadi" w:hAnsi="Abadi"/>
          <w:sz w:val="21"/>
          <w:szCs w:val="21"/>
        </w:rPr>
        <w:lastRenderedPageBreak/>
        <w:t xml:space="preserve">En el quehacer legislativo, no se debe pasar por alto, que lo funcional en un tiempo, puede estar superado por nuevas formas de interpretación o supuestos que se apoyan en criterios o teorías que los estudiosos del derecho han explorado y que, como fuentes de derecho se llegan a adoptar en un ejercicio dentro del proceso legislativo. La doctora Luisa Béjar, afirma, en ese sentido, que la elaboración de la ley en cada campo de política pública muestra dinámica distinta al responder a las características propias de cada sector. </w:t>
      </w:r>
      <w:r w:rsidR="0033352F">
        <w:rPr>
          <w:rStyle w:val="Refdenotaalpie"/>
          <w:rFonts w:ascii="Abadi" w:hAnsi="Abadi"/>
          <w:sz w:val="21"/>
          <w:szCs w:val="21"/>
        </w:rPr>
        <w:footnoteReference w:id="7"/>
      </w:r>
    </w:p>
    <w:p w14:paraId="2F6F86FD" w14:textId="77777777" w:rsidR="00BA6F56" w:rsidRPr="00D930C2" w:rsidRDefault="00BA6F56" w:rsidP="003165BD">
      <w:pPr>
        <w:jc w:val="both"/>
        <w:rPr>
          <w:rFonts w:ascii="Abadi" w:hAnsi="Abadi"/>
          <w:sz w:val="21"/>
          <w:szCs w:val="21"/>
        </w:rPr>
      </w:pPr>
    </w:p>
    <w:p w14:paraId="0151E77B" w14:textId="77777777" w:rsidR="003165BD" w:rsidRPr="00D930C2" w:rsidRDefault="003165BD" w:rsidP="003165BD">
      <w:pPr>
        <w:jc w:val="both"/>
        <w:rPr>
          <w:rFonts w:ascii="Abadi" w:hAnsi="Abadi"/>
          <w:sz w:val="21"/>
          <w:szCs w:val="21"/>
        </w:rPr>
      </w:pPr>
      <w:r w:rsidRPr="00D930C2">
        <w:rPr>
          <w:rFonts w:ascii="Abadi" w:hAnsi="Abadi"/>
          <w:sz w:val="21"/>
          <w:szCs w:val="21"/>
        </w:rPr>
        <w:t>Es por ello que quienes asumimos la responsabilidad constitucional, de generar, de forma colegiada, las condiciones legales y jurídicas que sirven al marco de derecho y social, no podemos permanecer abstraídos de las nuevas exigencias que se presentan en los momentos de trabajar en el proceso esencial, para crear una disposición normativa.</w:t>
      </w:r>
    </w:p>
    <w:p w14:paraId="3E2A0392" w14:textId="77777777" w:rsidR="003165BD" w:rsidRPr="00D930C2" w:rsidRDefault="003165BD" w:rsidP="003165BD">
      <w:pPr>
        <w:jc w:val="both"/>
        <w:rPr>
          <w:rFonts w:ascii="Abadi" w:hAnsi="Abadi"/>
          <w:sz w:val="21"/>
          <w:szCs w:val="21"/>
        </w:rPr>
      </w:pPr>
    </w:p>
    <w:p w14:paraId="6CD7C01E" w14:textId="649A751E" w:rsidR="003165BD" w:rsidRDefault="003165BD" w:rsidP="003165BD">
      <w:pPr>
        <w:jc w:val="both"/>
        <w:rPr>
          <w:rFonts w:ascii="Abadi" w:hAnsi="Abadi"/>
          <w:sz w:val="21"/>
          <w:szCs w:val="21"/>
        </w:rPr>
      </w:pPr>
      <w:r w:rsidRPr="00D930C2">
        <w:rPr>
          <w:rFonts w:ascii="Abadi" w:hAnsi="Abadi"/>
          <w:sz w:val="21"/>
          <w:szCs w:val="21"/>
        </w:rPr>
        <w:t xml:space="preserve"> El devenir diario de nuestro trabajo, nos llama a la revisión de los instrumentos que se requieren para completar, a través del mecanismo que nuestra ley orgánica establece, un producto imperativo que rige la forma y modo de conducción para llegar al punto final, que es la ley.</w:t>
      </w:r>
    </w:p>
    <w:p w14:paraId="148BFE9B" w14:textId="77777777" w:rsidR="00BA6F56" w:rsidRPr="00D930C2" w:rsidRDefault="00BA6F56" w:rsidP="003165BD">
      <w:pPr>
        <w:jc w:val="both"/>
        <w:rPr>
          <w:rFonts w:ascii="Abadi" w:hAnsi="Abadi"/>
          <w:sz w:val="21"/>
          <w:szCs w:val="21"/>
        </w:rPr>
      </w:pPr>
    </w:p>
    <w:p w14:paraId="2BF24087"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 En efecto, además de la Constitución, la Ley Orgánica del Poder Legislativo, es para nosotros, quien duda, el instrumento por excelencia en la función de legislar. Por ello debemos estar atentos a la funcionalidad de ésta, es decir que se vaya ajustando de forma ordenada, a perfeccionar las distintas instituciones que se desdoblan en su contenido y que permiten el desarrollo de nuestra función legislativa. </w:t>
      </w:r>
    </w:p>
    <w:p w14:paraId="07A237D0" w14:textId="6ED277B1" w:rsidR="003165BD" w:rsidRDefault="003165BD" w:rsidP="003165BD">
      <w:pPr>
        <w:jc w:val="both"/>
        <w:rPr>
          <w:rFonts w:ascii="Abadi" w:hAnsi="Abadi"/>
          <w:sz w:val="21"/>
          <w:szCs w:val="21"/>
        </w:rPr>
      </w:pPr>
      <w:r w:rsidRPr="00D930C2">
        <w:rPr>
          <w:rFonts w:ascii="Abadi" w:hAnsi="Abadi"/>
          <w:sz w:val="21"/>
          <w:szCs w:val="21"/>
        </w:rPr>
        <w:t>Es por ello que el propósito de la presente iniciativa va encaminado a buscar que la norma legislativa, se vaya adaptando a nuestro diario quehacer, haciéndolo más eficiente y sencillo.</w:t>
      </w:r>
    </w:p>
    <w:p w14:paraId="1B46B48B" w14:textId="77777777" w:rsidR="00982E79" w:rsidRPr="00D930C2" w:rsidRDefault="00982E79" w:rsidP="003165BD">
      <w:pPr>
        <w:jc w:val="both"/>
        <w:rPr>
          <w:rFonts w:ascii="Abadi" w:hAnsi="Abadi"/>
          <w:sz w:val="21"/>
          <w:szCs w:val="21"/>
        </w:rPr>
      </w:pPr>
    </w:p>
    <w:p w14:paraId="66AC910C" w14:textId="7E7DC113" w:rsidR="00982E79" w:rsidRDefault="003165BD" w:rsidP="003165BD">
      <w:pPr>
        <w:jc w:val="both"/>
        <w:rPr>
          <w:rFonts w:ascii="Abadi" w:hAnsi="Abadi"/>
          <w:sz w:val="21"/>
          <w:szCs w:val="21"/>
        </w:rPr>
      </w:pPr>
      <w:r w:rsidRPr="00D930C2">
        <w:rPr>
          <w:rFonts w:ascii="Abadi" w:hAnsi="Abadi"/>
          <w:sz w:val="21"/>
          <w:szCs w:val="21"/>
        </w:rPr>
        <w:t xml:space="preserve"> Y es que como se predica en ese mensaje que se envía a la ciudadanía, en este Congreso se dialoga, se llega a acuerdos.</w:t>
      </w:r>
    </w:p>
    <w:p w14:paraId="3964E5D9" w14:textId="77777777" w:rsidR="00982E79" w:rsidRDefault="00982E79" w:rsidP="003165BD">
      <w:pPr>
        <w:jc w:val="both"/>
        <w:rPr>
          <w:rFonts w:ascii="Abadi" w:hAnsi="Abadi"/>
          <w:sz w:val="21"/>
          <w:szCs w:val="21"/>
        </w:rPr>
      </w:pPr>
    </w:p>
    <w:p w14:paraId="48D98EBE" w14:textId="054559F2" w:rsidR="003165BD" w:rsidRDefault="003165BD" w:rsidP="003165BD">
      <w:pPr>
        <w:jc w:val="both"/>
        <w:rPr>
          <w:rFonts w:ascii="Abadi" w:hAnsi="Abadi"/>
          <w:sz w:val="21"/>
          <w:szCs w:val="21"/>
        </w:rPr>
      </w:pPr>
      <w:r w:rsidRPr="00D930C2">
        <w:rPr>
          <w:rFonts w:ascii="Abadi" w:hAnsi="Abadi"/>
          <w:sz w:val="21"/>
          <w:szCs w:val="21"/>
        </w:rPr>
        <w:t xml:space="preserve"> Y es verdad, por lo tanto, para materializarlo, fieles a esas consignas, debemos hacer adecuaciones a la ley que nos rige.</w:t>
      </w:r>
    </w:p>
    <w:p w14:paraId="5098518F" w14:textId="77777777" w:rsidR="00982E79" w:rsidRPr="00D930C2" w:rsidRDefault="00982E79" w:rsidP="003165BD">
      <w:pPr>
        <w:jc w:val="both"/>
        <w:rPr>
          <w:rFonts w:ascii="Abadi" w:hAnsi="Abadi"/>
          <w:sz w:val="21"/>
          <w:szCs w:val="21"/>
        </w:rPr>
      </w:pPr>
    </w:p>
    <w:p w14:paraId="5D7EFDE8" w14:textId="10622235" w:rsidR="003165BD" w:rsidRDefault="003165BD" w:rsidP="003165BD">
      <w:pPr>
        <w:jc w:val="both"/>
        <w:rPr>
          <w:rFonts w:ascii="Abadi" w:hAnsi="Abadi"/>
          <w:sz w:val="21"/>
          <w:szCs w:val="21"/>
        </w:rPr>
      </w:pPr>
      <w:r w:rsidRPr="00D930C2">
        <w:rPr>
          <w:rFonts w:ascii="Abadi" w:hAnsi="Abadi"/>
          <w:sz w:val="21"/>
          <w:szCs w:val="21"/>
        </w:rPr>
        <w:t xml:space="preserve"> No </w:t>
      </w:r>
      <w:r w:rsidR="00FF6CD5" w:rsidRPr="00D930C2">
        <w:rPr>
          <w:rFonts w:ascii="Abadi" w:hAnsi="Abadi"/>
          <w:sz w:val="21"/>
          <w:szCs w:val="21"/>
        </w:rPr>
        <w:t>hay</w:t>
      </w:r>
      <w:r w:rsidRPr="00D930C2">
        <w:rPr>
          <w:rFonts w:ascii="Abadi" w:hAnsi="Abadi"/>
          <w:sz w:val="21"/>
          <w:szCs w:val="21"/>
        </w:rPr>
        <w:t xml:space="preserve"> mucho tiempo, en el diario recorrer legislativo, nos encontramos con obstáculos </w:t>
      </w:r>
      <w:r w:rsidRPr="00D930C2">
        <w:rPr>
          <w:rFonts w:ascii="Abadi" w:hAnsi="Abadi"/>
          <w:sz w:val="21"/>
          <w:szCs w:val="21"/>
        </w:rPr>
        <w:t xml:space="preserve">procesales parlamentarios, para poder materializar un </w:t>
      </w:r>
      <w:r w:rsidR="00982E79">
        <w:rPr>
          <w:rFonts w:ascii="Abadi" w:hAnsi="Abadi"/>
          <w:sz w:val="21"/>
          <w:szCs w:val="21"/>
        </w:rPr>
        <w:t xml:space="preserve"> </w:t>
      </w:r>
      <w:r w:rsidRPr="00D930C2">
        <w:rPr>
          <w:rFonts w:ascii="Abadi" w:hAnsi="Abadi"/>
          <w:sz w:val="21"/>
          <w:szCs w:val="21"/>
        </w:rPr>
        <w:t xml:space="preserve">avenimiento político, en aras de realizar una conducción parlamentaria atinente a proporcionar gobernabilidad entre fracciones diversas. </w:t>
      </w:r>
    </w:p>
    <w:p w14:paraId="365A068C" w14:textId="77777777" w:rsidR="00BA6F56" w:rsidRPr="00D930C2" w:rsidRDefault="00BA6F56" w:rsidP="003165BD">
      <w:pPr>
        <w:jc w:val="both"/>
        <w:rPr>
          <w:rFonts w:ascii="Abadi" w:hAnsi="Abadi"/>
          <w:sz w:val="21"/>
          <w:szCs w:val="21"/>
        </w:rPr>
      </w:pPr>
    </w:p>
    <w:p w14:paraId="6BDF846C" w14:textId="59B339B4" w:rsidR="003165BD" w:rsidRDefault="003165BD" w:rsidP="003165BD">
      <w:pPr>
        <w:jc w:val="both"/>
        <w:rPr>
          <w:rFonts w:ascii="Abadi" w:hAnsi="Abadi"/>
          <w:sz w:val="21"/>
          <w:szCs w:val="21"/>
        </w:rPr>
      </w:pPr>
      <w:r w:rsidRPr="00D930C2">
        <w:rPr>
          <w:rFonts w:ascii="Abadi" w:hAnsi="Abadi"/>
          <w:sz w:val="21"/>
          <w:szCs w:val="21"/>
        </w:rPr>
        <w:t xml:space="preserve">Por ello, para saltar esos obstáculos, estamos proponiendo reformas a nuestra Ley de la materia, es decir la Ley Orgánica del Poder Legislativo del Estado de Guanajuato. </w:t>
      </w:r>
    </w:p>
    <w:p w14:paraId="4BB98D79" w14:textId="77777777" w:rsidR="00BA6F56" w:rsidRPr="00D930C2" w:rsidRDefault="00BA6F56" w:rsidP="003165BD">
      <w:pPr>
        <w:jc w:val="both"/>
        <w:rPr>
          <w:rFonts w:ascii="Abadi" w:hAnsi="Abadi"/>
          <w:sz w:val="21"/>
          <w:szCs w:val="21"/>
        </w:rPr>
      </w:pPr>
    </w:p>
    <w:p w14:paraId="78E80696" w14:textId="77777777" w:rsidR="003165BD" w:rsidRPr="00D930C2" w:rsidRDefault="003165BD" w:rsidP="003165BD">
      <w:pPr>
        <w:jc w:val="both"/>
        <w:rPr>
          <w:rFonts w:ascii="Abadi" w:hAnsi="Abadi"/>
          <w:sz w:val="21"/>
          <w:szCs w:val="21"/>
        </w:rPr>
      </w:pPr>
      <w:r w:rsidRPr="00D930C2">
        <w:rPr>
          <w:rFonts w:ascii="Abadi" w:hAnsi="Abadi"/>
          <w:sz w:val="21"/>
          <w:szCs w:val="21"/>
        </w:rPr>
        <w:t>Fundamentalmente las reformas y adiciones atienden a tocar algunos artículos de los Títulos Cuarto y Séptimo, que regulan el funcionamiento del Congreso y el Proceso legislativo, a saber:</w:t>
      </w:r>
    </w:p>
    <w:p w14:paraId="7851A34C" w14:textId="77777777" w:rsidR="003165BD" w:rsidRPr="00D930C2" w:rsidRDefault="003165BD" w:rsidP="003165BD">
      <w:pPr>
        <w:jc w:val="both"/>
        <w:rPr>
          <w:rFonts w:ascii="Abadi" w:hAnsi="Abadi"/>
          <w:sz w:val="21"/>
          <w:szCs w:val="21"/>
        </w:rPr>
      </w:pPr>
    </w:p>
    <w:p w14:paraId="6EF28FB8" w14:textId="77777777" w:rsidR="003165BD" w:rsidRPr="00D930C2" w:rsidRDefault="003165BD" w:rsidP="003165BD">
      <w:pPr>
        <w:jc w:val="both"/>
        <w:rPr>
          <w:rFonts w:ascii="Abadi" w:hAnsi="Abadi"/>
          <w:sz w:val="21"/>
          <w:szCs w:val="21"/>
        </w:rPr>
      </w:pPr>
      <w:r w:rsidRPr="00D930C2">
        <w:rPr>
          <w:rFonts w:ascii="Abadi" w:hAnsi="Abadi"/>
          <w:b/>
          <w:bCs/>
          <w:sz w:val="21"/>
          <w:szCs w:val="21"/>
        </w:rPr>
        <w:t>1.-</w:t>
      </w:r>
      <w:r w:rsidRPr="00D930C2">
        <w:rPr>
          <w:rFonts w:ascii="Abadi" w:hAnsi="Abadi"/>
          <w:sz w:val="21"/>
          <w:szCs w:val="21"/>
        </w:rPr>
        <w:t xml:space="preserve"> El artículo 75 del cuerpo legal que es propósito de la reforma, establece: Las Comisiones Legislativas tienen como objeto la elaboración de dictámenes, opiniones o resoluciones de los asuntos que son competencia del Congreso del Estado. Éstas serán legislativas permanentes, unidas y especiales. </w:t>
      </w:r>
    </w:p>
    <w:p w14:paraId="6A808272" w14:textId="77777777" w:rsidR="003165BD" w:rsidRPr="00D930C2" w:rsidRDefault="003165BD" w:rsidP="003165BD">
      <w:pPr>
        <w:jc w:val="both"/>
        <w:rPr>
          <w:rFonts w:ascii="Abadi" w:hAnsi="Abadi"/>
          <w:sz w:val="21"/>
          <w:szCs w:val="21"/>
        </w:rPr>
      </w:pPr>
    </w:p>
    <w:p w14:paraId="5F195250"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Atendiendo a la naturaleza y espíritu de la función de legislar y crear leyes, nos pronunciamos porque no se acote el estudio, tan sólo a la propuesta de motivos y argumentaciones, y datos de los que disponga una iniciativa, sino que precisamente durante la etapa de estudio y como resultado del mismo, atendiendo a la propuesta, la comisión pueda reconducir la misma, complementarla o adicionarla. Que esta forma de atender una iniciativa, en ocasiones en los hechos se realiza, baste con recordar por ejemplo la iniciativa que durante este periodo el Ejecutivo envió a efecto de reformar la ley de movilidad; y que como resultado de las consultas efectuadas y de las opiniones que se vertieron, al final resultó la iniciativa modificada sustancialmente. </w:t>
      </w:r>
    </w:p>
    <w:p w14:paraId="6977AD6A" w14:textId="77777777" w:rsidR="003165BD" w:rsidRPr="00D930C2" w:rsidRDefault="003165BD" w:rsidP="003165BD">
      <w:pPr>
        <w:jc w:val="both"/>
        <w:rPr>
          <w:rFonts w:ascii="Abadi" w:hAnsi="Abadi"/>
          <w:sz w:val="21"/>
          <w:szCs w:val="21"/>
        </w:rPr>
      </w:pPr>
    </w:p>
    <w:p w14:paraId="2F4499FE" w14:textId="191EC0D2" w:rsidR="003165BD" w:rsidRDefault="003165BD" w:rsidP="003165BD">
      <w:pPr>
        <w:jc w:val="both"/>
        <w:rPr>
          <w:rFonts w:ascii="Abadi" w:hAnsi="Abadi"/>
          <w:sz w:val="21"/>
          <w:szCs w:val="21"/>
        </w:rPr>
      </w:pPr>
      <w:r w:rsidRPr="00D930C2">
        <w:rPr>
          <w:rFonts w:ascii="Abadi" w:hAnsi="Abadi"/>
          <w:sz w:val="21"/>
          <w:szCs w:val="21"/>
        </w:rPr>
        <w:t>Esta facultad y práctica no es en desdoro de nadie, es simplemente actuar en el ámbito de la ley que permite, realizar un estudio y análisis de una iniciativa. El Constitucionalista Miguel Carbonell, sostiene que: una correcta técnica legislativa puede contribuir a reforzar el peso político del Poder Legislativo dentro del Estado, pues si las Cámaras del Congreso estuvieran en condiciones reales de mejorar con argumentos técnicos los proyectos contribuirían de forma importante al diseño y puesta en práctica de las políticas públicas estatales.</w:t>
      </w:r>
      <w:r w:rsidR="00982E79">
        <w:rPr>
          <w:rFonts w:ascii="Abadi" w:hAnsi="Abadi"/>
          <w:sz w:val="21"/>
          <w:szCs w:val="21"/>
        </w:rPr>
        <w:t xml:space="preserve"> </w:t>
      </w:r>
      <w:r w:rsidR="00982E79">
        <w:rPr>
          <w:rStyle w:val="Refdenotaalpie"/>
          <w:rFonts w:ascii="Abadi" w:hAnsi="Abadi"/>
          <w:sz w:val="21"/>
          <w:szCs w:val="21"/>
        </w:rPr>
        <w:footnoteReference w:id="8"/>
      </w:r>
    </w:p>
    <w:p w14:paraId="157727B3" w14:textId="77777777" w:rsidR="00BA6F56" w:rsidRPr="00D930C2" w:rsidRDefault="00BA6F56" w:rsidP="003165BD">
      <w:pPr>
        <w:jc w:val="both"/>
        <w:rPr>
          <w:rFonts w:ascii="Abadi" w:hAnsi="Abadi"/>
          <w:sz w:val="21"/>
          <w:szCs w:val="21"/>
        </w:rPr>
      </w:pPr>
    </w:p>
    <w:p w14:paraId="75D480FC"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Por tanto, proponemos adicionar un párrafo que establezca la posibilidad de reconducir, adicionar o complementar una propuesta. Estimamos que plasmado de manera expresa se materializa una facultad y práctica que ya se aplica en el trabajo de comisiones en el iter del proceso legislativo. </w:t>
      </w:r>
    </w:p>
    <w:p w14:paraId="746529F9" w14:textId="77777777" w:rsidR="003165BD" w:rsidRPr="00D930C2" w:rsidRDefault="003165BD" w:rsidP="003165BD">
      <w:pPr>
        <w:jc w:val="both"/>
        <w:rPr>
          <w:rFonts w:ascii="Abadi" w:hAnsi="Abadi"/>
          <w:sz w:val="21"/>
          <w:szCs w:val="21"/>
        </w:rPr>
      </w:pPr>
    </w:p>
    <w:p w14:paraId="68081AFC" w14:textId="77777777" w:rsidR="003165BD" w:rsidRPr="00D930C2" w:rsidRDefault="003165BD" w:rsidP="003165BD">
      <w:pPr>
        <w:jc w:val="both"/>
        <w:rPr>
          <w:rFonts w:ascii="Abadi" w:hAnsi="Abadi"/>
          <w:sz w:val="21"/>
          <w:szCs w:val="21"/>
        </w:rPr>
      </w:pPr>
      <w:r w:rsidRPr="00D930C2">
        <w:rPr>
          <w:rFonts w:ascii="Abadi" w:hAnsi="Abadi"/>
          <w:b/>
          <w:bCs/>
          <w:sz w:val="21"/>
          <w:szCs w:val="21"/>
        </w:rPr>
        <w:t>2.-</w:t>
      </w:r>
      <w:r w:rsidRPr="00D930C2">
        <w:rPr>
          <w:rFonts w:ascii="Abadi" w:hAnsi="Abadi"/>
          <w:sz w:val="21"/>
          <w:szCs w:val="21"/>
        </w:rPr>
        <w:t xml:space="preserve"> Por su lado el artículo 79 del cuerpo legislativo, faculta a la Presidencia de la comisión a la convocatoria a las sesiones respectivas. Hasta ahora, sabemos que esa convocatoria, se debe realizar con al menos veinticuatro horas de anticipación.</w:t>
      </w:r>
    </w:p>
    <w:p w14:paraId="1A00142F" w14:textId="77777777" w:rsidR="003165BD" w:rsidRPr="00D930C2" w:rsidRDefault="003165BD" w:rsidP="003165BD">
      <w:pPr>
        <w:jc w:val="both"/>
        <w:rPr>
          <w:rFonts w:ascii="Abadi" w:hAnsi="Abadi"/>
          <w:sz w:val="21"/>
          <w:szCs w:val="21"/>
        </w:rPr>
      </w:pPr>
    </w:p>
    <w:p w14:paraId="5BD6013B" w14:textId="77777777" w:rsidR="00BB2154" w:rsidRDefault="003165BD" w:rsidP="003165BD">
      <w:pPr>
        <w:jc w:val="both"/>
        <w:rPr>
          <w:rFonts w:ascii="Abadi" w:hAnsi="Abadi"/>
          <w:sz w:val="21"/>
          <w:szCs w:val="21"/>
        </w:rPr>
      </w:pPr>
      <w:r w:rsidRPr="00D930C2">
        <w:rPr>
          <w:rFonts w:ascii="Abadi" w:hAnsi="Abadi"/>
          <w:sz w:val="21"/>
          <w:szCs w:val="21"/>
        </w:rPr>
        <w:t xml:space="preserve">Nos pronunciamos, por ampliar el marco temporal en cuanto a las horas, habida cuenta que dado el trabajo legislativo que se presenta, de acuerdo con los nuevos parámetros y formas de evaluación que se presentan por los organismos que esta misma ley ha creado, se hace necesario tener una preparación adecuada y suficiente de la sesión de comisión respectiva, lo que implica contar con mayor tiempo para ello. Es así que estamos proponiendo que la convocatoria se realice con al menos treinta y seis horas. Implicará sin duda una reorganización del trabajo de las comisiones. </w:t>
      </w:r>
    </w:p>
    <w:p w14:paraId="06947BFB" w14:textId="77777777" w:rsidR="00BB2154" w:rsidRDefault="00BB2154" w:rsidP="003165BD">
      <w:pPr>
        <w:jc w:val="both"/>
        <w:rPr>
          <w:rFonts w:ascii="Abadi" w:hAnsi="Abadi"/>
          <w:sz w:val="21"/>
          <w:szCs w:val="21"/>
        </w:rPr>
      </w:pPr>
    </w:p>
    <w:p w14:paraId="46B4319B" w14:textId="5A9C5D0D" w:rsidR="003165BD" w:rsidRDefault="003165BD" w:rsidP="003165BD">
      <w:pPr>
        <w:jc w:val="both"/>
        <w:rPr>
          <w:rFonts w:ascii="Abadi" w:hAnsi="Abadi"/>
          <w:sz w:val="21"/>
          <w:szCs w:val="21"/>
        </w:rPr>
      </w:pPr>
      <w:r w:rsidRPr="00BB2154">
        <w:rPr>
          <w:rFonts w:ascii="Abadi" w:hAnsi="Abadi"/>
          <w:b/>
          <w:bCs/>
          <w:sz w:val="21"/>
          <w:szCs w:val="21"/>
        </w:rPr>
        <w:t>3.-</w:t>
      </w:r>
      <w:r w:rsidRPr="00D930C2">
        <w:rPr>
          <w:rFonts w:ascii="Abadi" w:hAnsi="Abadi"/>
          <w:sz w:val="21"/>
          <w:szCs w:val="21"/>
        </w:rPr>
        <w:t xml:space="preserve"> Consideramos pertinente enmarcar la facultad constitucional de los representantes populares, en cuanto a la participación material en la formulación de la norma que se pretende crear, por ello proponemos incorporar un apartado al artículo 84 de la Ley en Reforma. </w:t>
      </w:r>
    </w:p>
    <w:p w14:paraId="4A7E5EA6" w14:textId="77777777" w:rsidR="00BA6F56" w:rsidRPr="00D930C2" w:rsidRDefault="00BA6F56" w:rsidP="003165BD">
      <w:pPr>
        <w:jc w:val="both"/>
        <w:rPr>
          <w:rFonts w:ascii="Abadi" w:hAnsi="Abadi"/>
          <w:sz w:val="21"/>
          <w:szCs w:val="21"/>
        </w:rPr>
      </w:pPr>
    </w:p>
    <w:p w14:paraId="09DFED84" w14:textId="001B785A" w:rsidR="003165BD" w:rsidRDefault="003165BD" w:rsidP="003165BD">
      <w:pPr>
        <w:jc w:val="both"/>
        <w:rPr>
          <w:rFonts w:ascii="Abadi" w:hAnsi="Abadi"/>
          <w:sz w:val="21"/>
          <w:szCs w:val="21"/>
        </w:rPr>
      </w:pPr>
      <w:r w:rsidRPr="00D930C2">
        <w:rPr>
          <w:rFonts w:ascii="Abadi" w:hAnsi="Abadi"/>
          <w:sz w:val="21"/>
          <w:szCs w:val="21"/>
        </w:rPr>
        <w:t>Dentro del iter legislativo o etapa legislativa, las comisiones que se previenen en la Ley, resultan de singular relevancia para el trabajo de los editores o autores de la ley. Conforme a la teoría de la legislación, es en esta etapa en la que se debe analizar la institución con respecto a sus alcances extensión y nivel de detalle, afectaciones al nivel institucional, los efectos concretos sobre los ciudadanos, sobre la administración pública, etc., según apunta Reyes Rodríguez.</w:t>
      </w:r>
      <w:r w:rsidR="00962846">
        <w:rPr>
          <w:rStyle w:val="Refdenotaalpie"/>
          <w:rFonts w:ascii="Abadi" w:hAnsi="Abadi"/>
          <w:sz w:val="21"/>
          <w:szCs w:val="21"/>
        </w:rPr>
        <w:footnoteReference w:id="9"/>
      </w:r>
    </w:p>
    <w:p w14:paraId="7AE9E9A8" w14:textId="77777777" w:rsidR="00BA6F56" w:rsidRPr="00D930C2" w:rsidRDefault="00BA6F56" w:rsidP="003165BD">
      <w:pPr>
        <w:jc w:val="both"/>
        <w:rPr>
          <w:rFonts w:ascii="Abadi" w:hAnsi="Abadi"/>
          <w:sz w:val="21"/>
          <w:szCs w:val="21"/>
        </w:rPr>
      </w:pPr>
    </w:p>
    <w:p w14:paraId="6EA78B23" w14:textId="1BAFBE57" w:rsidR="003165BD" w:rsidRDefault="003165BD" w:rsidP="003165BD">
      <w:pPr>
        <w:jc w:val="both"/>
        <w:rPr>
          <w:rFonts w:ascii="Abadi" w:hAnsi="Abadi"/>
          <w:sz w:val="21"/>
          <w:szCs w:val="21"/>
        </w:rPr>
      </w:pPr>
      <w:r w:rsidRPr="00D930C2">
        <w:rPr>
          <w:rFonts w:ascii="Abadi" w:hAnsi="Abadi"/>
          <w:sz w:val="21"/>
          <w:szCs w:val="21"/>
        </w:rPr>
        <w:t xml:space="preserve">En esa lógica, el ámbito de los comisionados, diputados es y debe ser exclusivo en su praxis, esto es, deben ser únicamente los editores quienes participen en la discusión de la construcción de la norma. No se puede abdicar de su facultad por ello es que estimamos de </w:t>
      </w:r>
      <w:r w:rsidRPr="00D930C2">
        <w:rPr>
          <w:rFonts w:ascii="Abadi" w:hAnsi="Abadi"/>
          <w:sz w:val="21"/>
          <w:szCs w:val="21"/>
        </w:rPr>
        <w:t xml:space="preserve">manera expresa determinar que serán los diputados integrantes de la comisión quienes de manera particular y exclusiva quienes participen en ese iter del proceso. </w:t>
      </w:r>
    </w:p>
    <w:p w14:paraId="4025E061" w14:textId="77777777" w:rsidR="00BA6F56" w:rsidRPr="00D930C2" w:rsidRDefault="00BA6F56" w:rsidP="003165BD">
      <w:pPr>
        <w:jc w:val="both"/>
        <w:rPr>
          <w:rFonts w:ascii="Abadi" w:hAnsi="Abadi"/>
          <w:sz w:val="21"/>
          <w:szCs w:val="21"/>
        </w:rPr>
      </w:pPr>
    </w:p>
    <w:p w14:paraId="2C91A1AC" w14:textId="77777777" w:rsidR="003165BD" w:rsidRPr="00D930C2" w:rsidRDefault="003165BD" w:rsidP="003165BD">
      <w:pPr>
        <w:jc w:val="both"/>
        <w:rPr>
          <w:rFonts w:ascii="Abadi" w:hAnsi="Abadi"/>
          <w:sz w:val="21"/>
          <w:szCs w:val="21"/>
        </w:rPr>
      </w:pPr>
      <w:r w:rsidRPr="00D930C2">
        <w:rPr>
          <w:rFonts w:ascii="Abadi" w:hAnsi="Abadi"/>
          <w:sz w:val="21"/>
          <w:szCs w:val="21"/>
        </w:rPr>
        <w:t>Proponemos que, en el estudio y análisis en las comisiones legislativas, únicamente podrán participar sus integrantes y previo acuerdo de los mismos, por conducto de su Presidencia, podrán solicitar información o documentación a los poderes públicos, a los gobiernos municipales, organismos autónomos y demás dependencias, cuando se trate de un asunto de su ramo o competencia, o se discuta una iniciativa relativa a las materias que les competan.</w:t>
      </w:r>
    </w:p>
    <w:p w14:paraId="69F402F2" w14:textId="77777777" w:rsidR="003165BD" w:rsidRPr="00D930C2" w:rsidRDefault="003165BD" w:rsidP="003165BD">
      <w:pPr>
        <w:jc w:val="both"/>
        <w:rPr>
          <w:rFonts w:ascii="Abadi" w:hAnsi="Abadi"/>
          <w:sz w:val="21"/>
          <w:szCs w:val="21"/>
        </w:rPr>
      </w:pPr>
    </w:p>
    <w:p w14:paraId="5121F859" w14:textId="173AB314" w:rsidR="003165BD" w:rsidRDefault="003165BD" w:rsidP="003165BD">
      <w:pPr>
        <w:jc w:val="both"/>
        <w:rPr>
          <w:rFonts w:ascii="Abadi" w:hAnsi="Abadi"/>
          <w:sz w:val="21"/>
          <w:szCs w:val="21"/>
        </w:rPr>
      </w:pPr>
      <w:r w:rsidRPr="00D930C2">
        <w:rPr>
          <w:rFonts w:ascii="Abadi" w:hAnsi="Abadi"/>
          <w:sz w:val="21"/>
          <w:szCs w:val="21"/>
        </w:rPr>
        <w:t xml:space="preserve">También en consonancia con lo antes ya dicho, en ningún caso la información u opiniones serán vinculantes para la Comisión. </w:t>
      </w:r>
    </w:p>
    <w:p w14:paraId="41F4D0D2" w14:textId="77777777" w:rsidR="00BA6F56" w:rsidRPr="00D930C2" w:rsidRDefault="00BA6F56" w:rsidP="003165BD">
      <w:pPr>
        <w:jc w:val="both"/>
        <w:rPr>
          <w:rFonts w:ascii="Abadi" w:hAnsi="Abadi"/>
          <w:sz w:val="21"/>
          <w:szCs w:val="21"/>
        </w:rPr>
      </w:pPr>
    </w:p>
    <w:p w14:paraId="1F414088" w14:textId="67FBD7DC" w:rsidR="003165BD" w:rsidRDefault="003165BD" w:rsidP="003165BD">
      <w:pPr>
        <w:jc w:val="both"/>
        <w:rPr>
          <w:rFonts w:ascii="Abadi" w:hAnsi="Abadi"/>
          <w:sz w:val="21"/>
          <w:szCs w:val="21"/>
        </w:rPr>
      </w:pPr>
      <w:r w:rsidRPr="00D930C2">
        <w:rPr>
          <w:rFonts w:ascii="Abadi" w:hAnsi="Abadi"/>
          <w:b/>
          <w:bCs/>
          <w:sz w:val="21"/>
          <w:szCs w:val="21"/>
        </w:rPr>
        <w:t>4.-</w:t>
      </w:r>
      <w:r w:rsidRPr="00D930C2">
        <w:rPr>
          <w:rFonts w:ascii="Abadi" w:hAnsi="Abadi"/>
          <w:sz w:val="21"/>
          <w:szCs w:val="21"/>
        </w:rPr>
        <w:t xml:space="preserve"> El artículo 168 de la ley en comento, señalan los aspectos que debe contener una iniciativa. En particular, en la fracción VII, se establece: Acompañar el dictamen de impacto presupuestal, cuando corresponda; y. </w:t>
      </w:r>
    </w:p>
    <w:p w14:paraId="43950F61" w14:textId="77777777" w:rsidR="00BA6F56" w:rsidRPr="00D930C2" w:rsidRDefault="00BA6F56" w:rsidP="003165BD">
      <w:pPr>
        <w:jc w:val="both"/>
        <w:rPr>
          <w:rFonts w:ascii="Abadi" w:hAnsi="Abadi"/>
          <w:sz w:val="21"/>
          <w:szCs w:val="21"/>
        </w:rPr>
      </w:pPr>
    </w:p>
    <w:p w14:paraId="25555ED9" w14:textId="487BCAC3" w:rsidR="003165BD" w:rsidRDefault="003165BD" w:rsidP="003165BD">
      <w:pPr>
        <w:jc w:val="both"/>
        <w:rPr>
          <w:rFonts w:ascii="Abadi" w:hAnsi="Abadi"/>
          <w:sz w:val="21"/>
          <w:szCs w:val="21"/>
        </w:rPr>
      </w:pPr>
      <w:r w:rsidRPr="00D930C2">
        <w:rPr>
          <w:rFonts w:ascii="Abadi" w:hAnsi="Abadi"/>
          <w:sz w:val="21"/>
          <w:szCs w:val="21"/>
        </w:rPr>
        <w:t xml:space="preserve">En los términos de esta disposición, sostenemos que tal condición puede, resultar inequitativa para la, el, las, o los diputados, Representaciones o Grupos Parlamentarios, y de las minorías, al imponerles cargas formales que implican la erogación de recursos para estar en condiciones de realizar, estudios, dictámenes o ensayos a efecto de anexar el dictamen de impacto presupuestal. Un supuesto así, hace nugatorio el derecho de los representantes populares a iniciar leyes. </w:t>
      </w:r>
    </w:p>
    <w:p w14:paraId="501E8277" w14:textId="77777777" w:rsidR="00BA6F56" w:rsidRPr="00D930C2" w:rsidRDefault="00BA6F56" w:rsidP="003165BD">
      <w:pPr>
        <w:jc w:val="both"/>
        <w:rPr>
          <w:rFonts w:ascii="Abadi" w:hAnsi="Abadi"/>
          <w:sz w:val="21"/>
          <w:szCs w:val="21"/>
        </w:rPr>
      </w:pPr>
    </w:p>
    <w:p w14:paraId="57248292"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Voces se expresan incluso para introducir otros requisitos para efecto de que una iniciativa se pueda presentar. Desde ahora se afirma qué condicionantes que pretendan coartar el derecho de iniciativa, son contrarias a la constitución. </w:t>
      </w:r>
    </w:p>
    <w:p w14:paraId="2EB20FC7" w14:textId="7AB5BB9A" w:rsidR="003165BD" w:rsidRDefault="003165BD" w:rsidP="003165BD">
      <w:pPr>
        <w:jc w:val="both"/>
        <w:rPr>
          <w:rFonts w:ascii="Abadi" w:hAnsi="Abadi"/>
          <w:sz w:val="21"/>
          <w:szCs w:val="21"/>
        </w:rPr>
      </w:pPr>
      <w:r w:rsidRPr="00D930C2">
        <w:rPr>
          <w:rFonts w:ascii="Abadi" w:hAnsi="Abadi"/>
          <w:sz w:val="21"/>
          <w:szCs w:val="21"/>
        </w:rPr>
        <w:t xml:space="preserve">Sobre todo, cuando este Congreso, cuenta con áreas institucionales ad-hoc que cuentan con los elementos materiales, técnico-profesionales para que realicen ese tipo de trabajos de carácter técnico. </w:t>
      </w:r>
    </w:p>
    <w:p w14:paraId="28EB009A" w14:textId="77777777" w:rsidR="00BA6F56" w:rsidRPr="00D930C2" w:rsidRDefault="00BA6F56" w:rsidP="003165BD">
      <w:pPr>
        <w:jc w:val="both"/>
        <w:rPr>
          <w:rFonts w:ascii="Abadi" w:hAnsi="Abadi"/>
          <w:sz w:val="21"/>
          <w:szCs w:val="21"/>
        </w:rPr>
      </w:pPr>
    </w:p>
    <w:p w14:paraId="00141EFD"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Lo procedente en su caso sería que se cumpliera el requisito, con la solicitud en la iniciativa de que se obtenga dicho dictamen de orden </w:t>
      </w:r>
      <w:r w:rsidRPr="00D930C2">
        <w:rPr>
          <w:rFonts w:ascii="Abadi" w:hAnsi="Abadi"/>
          <w:sz w:val="21"/>
          <w:szCs w:val="21"/>
        </w:rPr>
        <w:lastRenderedPageBreak/>
        <w:t xml:space="preserve">presupuestal para sin ningún tipo de obvice, se realice y siga su curso el trámite parlamentario. </w:t>
      </w:r>
    </w:p>
    <w:p w14:paraId="1EF56D49" w14:textId="5A82DEF2" w:rsidR="003165BD" w:rsidRDefault="003165BD" w:rsidP="003165BD">
      <w:pPr>
        <w:jc w:val="both"/>
        <w:rPr>
          <w:rFonts w:ascii="Abadi" w:hAnsi="Abadi"/>
          <w:sz w:val="21"/>
          <w:szCs w:val="21"/>
        </w:rPr>
      </w:pPr>
      <w:r w:rsidRPr="00D930C2">
        <w:rPr>
          <w:rFonts w:ascii="Abadi" w:hAnsi="Abadi"/>
          <w:sz w:val="21"/>
          <w:szCs w:val="21"/>
        </w:rPr>
        <w:t>Consecuentemente, proponemos a los efectos de establecer el acompañamiento del impacto presupuestal, se indique que en caso de presentarse, se solicite a las dependencias del propio Congreso realice esa condición, para lo cual se le dará vista de la iniciativa respectiva.</w:t>
      </w:r>
    </w:p>
    <w:p w14:paraId="69AFE34C" w14:textId="77777777" w:rsidR="00BA6F56" w:rsidRPr="00D930C2" w:rsidRDefault="00BA6F56" w:rsidP="003165BD">
      <w:pPr>
        <w:jc w:val="both"/>
        <w:rPr>
          <w:rFonts w:ascii="Abadi" w:hAnsi="Abadi"/>
          <w:sz w:val="21"/>
          <w:szCs w:val="21"/>
        </w:rPr>
      </w:pPr>
    </w:p>
    <w:p w14:paraId="486E44CA"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 5.- En el Grupo Parlamentario del PRI, estimamos que el artículo 170 de la Ley Orgánica del Poder legislativo del Estado de Guanajuato, debe ser objeto de modificación a fin de ajustarlo a la naturaleza y esencia del derecho que se otorga a los representantes populares, tanto en la Constitución Política de los Estados Unidos Mexicanos, como en la Constitución para el Estado de Guanajuato. </w:t>
      </w:r>
    </w:p>
    <w:p w14:paraId="4951D47F" w14:textId="77777777" w:rsidR="003165BD" w:rsidRPr="00D930C2" w:rsidRDefault="003165BD" w:rsidP="003165BD">
      <w:pPr>
        <w:jc w:val="both"/>
        <w:rPr>
          <w:rFonts w:ascii="Abadi" w:hAnsi="Abadi"/>
          <w:sz w:val="21"/>
          <w:szCs w:val="21"/>
        </w:rPr>
      </w:pPr>
    </w:p>
    <w:p w14:paraId="6351E12E" w14:textId="081DBBBD" w:rsidR="003165BD" w:rsidRDefault="003165BD" w:rsidP="003165BD">
      <w:pPr>
        <w:jc w:val="both"/>
        <w:rPr>
          <w:rFonts w:ascii="Abadi" w:hAnsi="Abadi"/>
          <w:sz w:val="21"/>
          <w:szCs w:val="21"/>
        </w:rPr>
      </w:pPr>
      <w:r w:rsidRPr="00D930C2">
        <w:rPr>
          <w:rFonts w:ascii="Abadi" w:hAnsi="Abadi"/>
          <w:sz w:val="21"/>
          <w:szCs w:val="21"/>
        </w:rPr>
        <w:t xml:space="preserve">Dispone el artículo 71, fracción II de nuestra Carta Magna, que el derecho de iniciar leyes o decretos corresponde, a los Diputados y Senadores al Congreso de la Unión. Asimismo, el parágrafo 56 en su fracción II, de la Constitución Política para el Estado de Guanajuato, establece la facultad de los diputados al Congreso del Estado, de iniciar leyes o decretos. </w:t>
      </w:r>
    </w:p>
    <w:p w14:paraId="77B7F49C" w14:textId="77777777" w:rsidR="00BA6F56" w:rsidRPr="00D930C2" w:rsidRDefault="00BA6F56" w:rsidP="003165BD">
      <w:pPr>
        <w:jc w:val="both"/>
        <w:rPr>
          <w:rFonts w:ascii="Abadi" w:hAnsi="Abadi"/>
          <w:sz w:val="21"/>
          <w:szCs w:val="21"/>
        </w:rPr>
      </w:pPr>
    </w:p>
    <w:p w14:paraId="573881C5" w14:textId="672FF24A" w:rsidR="003165BD" w:rsidRDefault="003165BD" w:rsidP="003165BD">
      <w:pPr>
        <w:jc w:val="both"/>
        <w:rPr>
          <w:rFonts w:ascii="Abadi" w:hAnsi="Abadi"/>
          <w:sz w:val="21"/>
          <w:szCs w:val="21"/>
        </w:rPr>
      </w:pPr>
      <w:r w:rsidRPr="00D930C2">
        <w:rPr>
          <w:rFonts w:ascii="Abadi" w:hAnsi="Abadi"/>
          <w:sz w:val="21"/>
          <w:szCs w:val="21"/>
        </w:rPr>
        <w:t xml:space="preserve">Como se puede apreciar, es incontestable que el derecho de iniciativa corresponde a los diputados, para el supuesto de sistema unicameral como es el caso de nuestra Entidad Federativa y Legislatura. Ahora bien, el primer párrafo del artículo 170 de la Ley Orgánica del Poder Legislativo, que nos ocupa, en correlación con el derecho a iniciar, permite el derecho a retirar una iniciativa que hubiese sido presentada ante el órgano administrativo competente. Dice la disposición: </w:t>
      </w:r>
      <w:r w:rsidRPr="00D930C2">
        <w:rPr>
          <w:rFonts w:ascii="Abadi" w:hAnsi="Abadi"/>
          <w:b/>
          <w:bCs/>
          <w:sz w:val="21"/>
          <w:szCs w:val="21"/>
        </w:rPr>
        <w:t>Presentada una iniciativa o proposición de acuerdo en la Secretaría General, el iniciante tendrá la facultad de retirarla, antes de que se enliste en el orden del día de la sesión correspondiente.</w:t>
      </w:r>
      <w:r w:rsidRPr="00D930C2">
        <w:rPr>
          <w:rFonts w:ascii="Abadi" w:hAnsi="Abadi"/>
          <w:sz w:val="21"/>
          <w:szCs w:val="21"/>
        </w:rPr>
        <w:t xml:space="preserve"> </w:t>
      </w:r>
    </w:p>
    <w:p w14:paraId="356EF732" w14:textId="77777777" w:rsidR="00BA6F56" w:rsidRPr="00D930C2" w:rsidRDefault="00BA6F56" w:rsidP="003165BD">
      <w:pPr>
        <w:jc w:val="both"/>
        <w:rPr>
          <w:rFonts w:ascii="Abadi" w:hAnsi="Abadi"/>
          <w:sz w:val="21"/>
          <w:szCs w:val="21"/>
        </w:rPr>
      </w:pPr>
    </w:p>
    <w:p w14:paraId="2DD73729" w14:textId="466C089D" w:rsidR="003165BD" w:rsidRDefault="003165BD" w:rsidP="003165BD">
      <w:pPr>
        <w:jc w:val="both"/>
        <w:rPr>
          <w:rFonts w:ascii="Abadi" w:hAnsi="Abadi"/>
          <w:sz w:val="21"/>
          <w:szCs w:val="21"/>
        </w:rPr>
      </w:pPr>
      <w:r w:rsidRPr="00D930C2">
        <w:rPr>
          <w:rFonts w:ascii="Abadi" w:hAnsi="Abadi"/>
          <w:sz w:val="21"/>
          <w:szCs w:val="21"/>
        </w:rPr>
        <w:t xml:space="preserve">Este supuesto acota la facultad del iniciante de poder retirar la iniciativa cuando advierta que las condiciones de cualquier índole hayan cambiado, de suerte que ya no sea conveniente, o que por informaciones posteriores el tema haya sido resuelto por otras vías. Se surte así la especie de que, quien puede presentar, puede retirar. </w:t>
      </w:r>
    </w:p>
    <w:p w14:paraId="39933F36" w14:textId="77777777" w:rsidR="00BA6F56" w:rsidRPr="00D930C2" w:rsidRDefault="00BA6F56" w:rsidP="003165BD">
      <w:pPr>
        <w:jc w:val="both"/>
        <w:rPr>
          <w:rFonts w:ascii="Abadi" w:hAnsi="Abadi"/>
          <w:sz w:val="21"/>
          <w:szCs w:val="21"/>
        </w:rPr>
      </w:pPr>
    </w:p>
    <w:p w14:paraId="346BFC82"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Bajo la anterior premisa, se propone se amplíe el marco temporal para hacer efectivo el derecho de retirar iniciativas, y que en su caso la misma se </w:t>
      </w:r>
      <w:r w:rsidRPr="00D930C2">
        <w:rPr>
          <w:rFonts w:ascii="Abadi" w:hAnsi="Abadi"/>
          <w:sz w:val="21"/>
          <w:szCs w:val="21"/>
        </w:rPr>
        <w:t xml:space="preserve">pueda retirar hasta antes de que la comisión dictaminadora emita su respectivo dictamen. </w:t>
      </w:r>
    </w:p>
    <w:p w14:paraId="2DC2CE2F" w14:textId="60ECBBBA" w:rsidR="003165BD" w:rsidRDefault="003165BD" w:rsidP="003165BD">
      <w:pPr>
        <w:jc w:val="both"/>
        <w:rPr>
          <w:rFonts w:ascii="Abadi" w:hAnsi="Abadi"/>
          <w:sz w:val="21"/>
          <w:szCs w:val="21"/>
        </w:rPr>
      </w:pPr>
      <w:r w:rsidRPr="00D930C2">
        <w:rPr>
          <w:rFonts w:ascii="Abadi" w:hAnsi="Abadi"/>
          <w:sz w:val="21"/>
          <w:szCs w:val="21"/>
        </w:rPr>
        <w:t xml:space="preserve">Los subsecuentes párrafos quedarían intocados, como se determinará al momento de proponer la manera en que quedaría la propuesta. </w:t>
      </w:r>
    </w:p>
    <w:p w14:paraId="74EAC8DA" w14:textId="77777777" w:rsidR="00BA6F56" w:rsidRPr="00D930C2" w:rsidRDefault="00BA6F56" w:rsidP="003165BD">
      <w:pPr>
        <w:jc w:val="both"/>
        <w:rPr>
          <w:rFonts w:ascii="Abadi" w:hAnsi="Abadi"/>
          <w:sz w:val="21"/>
          <w:szCs w:val="21"/>
        </w:rPr>
      </w:pPr>
    </w:p>
    <w:p w14:paraId="256CBB71" w14:textId="77777777" w:rsidR="003165BD" w:rsidRPr="00D930C2" w:rsidRDefault="003165BD" w:rsidP="003165BD">
      <w:pPr>
        <w:jc w:val="both"/>
        <w:rPr>
          <w:rFonts w:ascii="Abadi" w:hAnsi="Abadi"/>
          <w:sz w:val="21"/>
          <w:szCs w:val="21"/>
        </w:rPr>
      </w:pPr>
      <w:r w:rsidRPr="00D930C2">
        <w:rPr>
          <w:rFonts w:ascii="Abadi" w:hAnsi="Abadi"/>
          <w:b/>
          <w:bCs/>
          <w:sz w:val="21"/>
          <w:szCs w:val="21"/>
        </w:rPr>
        <w:t>6.-</w:t>
      </w:r>
      <w:r w:rsidRPr="00D930C2">
        <w:rPr>
          <w:rFonts w:ascii="Abadi" w:hAnsi="Abadi"/>
          <w:sz w:val="21"/>
          <w:szCs w:val="21"/>
        </w:rPr>
        <w:t xml:space="preserve"> En el mismo Título, Capítulo II de los Dictámenes, de la Ley Orgánica objeto de nuestro planteamiento, estimamos en el Grupo Parlamentario, se debe modificar el artículo 172. Esta disposición establece: </w:t>
      </w:r>
      <w:r w:rsidRPr="00D930C2">
        <w:rPr>
          <w:rFonts w:ascii="Abadi" w:hAnsi="Abadi"/>
          <w:b/>
          <w:bCs/>
          <w:sz w:val="21"/>
          <w:szCs w:val="21"/>
        </w:rPr>
        <w:t>Las Comisiones Legislativas podrán recabar de todas las oficinas públicas estatales la información que se estime necesaria, previa solicitud. Ésta deberá ser por escrito mediante la presencia de sus titulares, con autorización del 8 titular del Poder Ejecutivo del Estado, en el recinto Oficial del Congreso del Estado, ante las Comisiones legislativas o la Asamblea.</w:t>
      </w:r>
      <w:r w:rsidRPr="00D930C2">
        <w:rPr>
          <w:rFonts w:ascii="Abadi" w:hAnsi="Abadi"/>
          <w:sz w:val="21"/>
          <w:szCs w:val="21"/>
        </w:rPr>
        <w:t xml:space="preserve"> </w:t>
      </w:r>
    </w:p>
    <w:p w14:paraId="575F93C6" w14:textId="77777777" w:rsidR="003165BD" w:rsidRPr="00D930C2" w:rsidRDefault="003165BD" w:rsidP="003165BD">
      <w:pPr>
        <w:jc w:val="both"/>
        <w:rPr>
          <w:rFonts w:ascii="Abadi" w:hAnsi="Abadi"/>
          <w:sz w:val="21"/>
          <w:szCs w:val="21"/>
        </w:rPr>
      </w:pPr>
    </w:p>
    <w:p w14:paraId="08B4F5D7"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En esta disposición, dado que frecuentemente, se solicita la participación presencial del Poder Judicial, se hace necesario que si para que acudan servidores públicos del Poder Ejecutivo, lo hagan con su autorización; también se debe contar con la autorización del titular del Poder Judicial, para el caso de que acudan representantes ante las de mesas de trabajo de las comisiones legislativas. Precisa, además, a este numeral, incorporar un segundo párrafo a efecto de establecer el alcance de la información que las comisiones legislativas puedan acopiar a efecto de llevar a cabo la función legislativa. </w:t>
      </w:r>
    </w:p>
    <w:p w14:paraId="2147E398" w14:textId="77777777" w:rsidR="003165BD" w:rsidRPr="00D930C2" w:rsidRDefault="003165BD" w:rsidP="003165BD">
      <w:pPr>
        <w:jc w:val="both"/>
        <w:rPr>
          <w:rFonts w:ascii="Abadi" w:hAnsi="Abadi"/>
          <w:sz w:val="21"/>
          <w:szCs w:val="21"/>
        </w:rPr>
      </w:pPr>
    </w:p>
    <w:p w14:paraId="5DF2F151"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En efecto, si bien resultará relevante contar con información que permita la toma de decisiones, a fin de no abdicar en el derecho de las o los diputados a decidir, para salvaguardar ese derecho, menester consideramos, establecer, que las informaciones recibidas o las que se desprendan de las participaciones, no serán en ningún caso vinculatorias. </w:t>
      </w:r>
    </w:p>
    <w:p w14:paraId="4C20ABFB" w14:textId="77777777" w:rsidR="003165BD" w:rsidRPr="00D930C2" w:rsidRDefault="003165BD" w:rsidP="003165BD">
      <w:pPr>
        <w:jc w:val="both"/>
        <w:rPr>
          <w:rFonts w:ascii="Abadi" w:hAnsi="Abadi"/>
          <w:sz w:val="21"/>
          <w:szCs w:val="21"/>
        </w:rPr>
      </w:pPr>
    </w:p>
    <w:p w14:paraId="1C72AA2E" w14:textId="7D0E0BBB" w:rsidR="003165BD" w:rsidRDefault="003165BD" w:rsidP="003165BD">
      <w:pPr>
        <w:jc w:val="both"/>
        <w:rPr>
          <w:rFonts w:ascii="Abadi" w:hAnsi="Abadi"/>
          <w:sz w:val="21"/>
          <w:szCs w:val="21"/>
        </w:rPr>
      </w:pPr>
      <w:r w:rsidRPr="00D930C2">
        <w:rPr>
          <w:rFonts w:ascii="Abadi" w:hAnsi="Abadi"/>
          <w:sz w:val="21"/>
          <w:szCs w:val="21"/>
        </w:rPr>
        <w:t xml:space="preserve">7.- También el artículo 186, requiere de adición de un segundo párrafo. </w:t>
      </w:r>
    </w:p>
    <w:p w14:paraId="1EE50B95" w14:textId="77777777" w:rsidR="00BA6F56" w:rsidRPr="00D930C2" w:rsidRDefault="00BA6F56" w:rsidP="003165BD">
      <w:pPr>
        <w:jc w:val="both"/>
        <w:rPr>
          <w:rFonts w:ascii="Abadi" w:hAnsi="Abadi"/>
          <w:sz w:val="21"/>
          <w:szCs w:val="21"/>
        </w:rPr>
      </w:pPr>
    </w:p>
    <w:p w14:paraId="75F7730F" w14:textId="53FA1657" w:rsidR="003165BD" w:rsidRDefault="003165BD" w:rsidP="003165BD">
      <w:pPr>
        <w:jc w:val="both"/>
        <w:rPr>
          <w:rFonts w:ascii="Abadi" w:hAnsi="Abadi"/>
          <w:sz w:val="21"/>
          <w:szCs w:val="21"/>
        </w:rPr>
      </w:pPr>
      <w:r w:rsidRPr="00D930C2">
        <w:rPr>
          <w:rFonts w:ascii="Abadi" w:hAnsi="Abadi"/>
          <w:sz w:val="21"/>
          <w:szCs w:val="21"/>
        </w:rPr>
        <w:t xml:space="preserve">Hemos sostenido antes que para un mejor ejercicio de la función, se requiere de instrumentos que favorezcan el dialogo y la posibilidad de los acuerdos, todo en aras de una gobernabilidad que deje satisfechos a los Grupos y Representaciones. </w:t>
      </w:r>
    </w:p>
    <w:p w14:paraId="3C37DED3" w14:textId="77777777" w:rsidR="00BA6F56" w:rsidRPr="00D930C2" w:rsidRDefault="00BA6F56" w:rsidP="003165BD">
      <w:pPr>
        <w:jc w:val="both"/>
        <w:rPr>
          <w:rFonts w:ascii="Abadi" w:hAnsi="Abadi"/>
          <w:sz w:val="21"/>
          <w:szCs w:val="21"/>
        </w:rPr>
      </w:pPr>
    </w:p>
    <w:p w14:paraId="31060A2D" w14:textId="6E283DD1" w:rsidR="003165BD" w:rsidRDefault="003165BD" w:rsidP="003165BD">
      <w:pPr>
        <w:jc w:val="both"/>
        <w:rPr>
          <w:rFonts w:ascii="Abadi" w:hAnsi="Abadi"/>
          <w:sz w:val="21"/>
          <w:szCs w:val="21"/>
        </w:rPr>
      </w:pPr>
      <w:r w:rsidRPr="00D930C2">
        <w:rPr>
          <w:rFonts w:ascii="Abadi" w:hAnsi="Abadi"/>
          <w:sz w:val="21"/>
          <w:szCs w:val="21"/>
        </w:rPr>
        <w:t xml:space="preserve">En ocasiones, es menester, realizar la contrapartida del derecho de iniciativa, es decir el derecho al retiro, solo que ahora ya a los </w:t>
      </w:r>
      <w:r w:rsidRPr="00D930C2">
        <w:rPr>
          <w:rFonts w:ascii="Abadi" w:hAnsi="Abadi"/>
          <w:sz w:val="21"/>
          <w:szCs w:val="21"/>
        </w:rPr>
        <w:lastRenderedPageBreak/>
        <w:t xml:space="preserve">integrantes de las comisiones, bajo el principio de que, si se contó con la facultad de presentar un dictamen, asimismo se pueda retirar el mismo porque así se permitan la realización de acuerdos parlamentarios. </w:t>
      </w:r>
    </w:p>
    <w:p w14:paraId="18D8670D" w14:textId="77777777" w:rsidR="00BA6F56" w:rsidRPr="00D930C2" w:rsidRDefault="00BA6F56" w:rsidP="003165BD">
      <w:pPr>
        <w:jc w:val="both"/>
        <w:rPr>
          <w:rFonts w:ascii="Abadi" w:hAnsi="Abadi"/>
          <w:sz w:val="21"/>
          <w:szCs w:val="21"/>
        </w:rPr>
      </w:pPr>
    </w:p>
    <w:p w14:paraId="4FC12069" w14:textId="40F61565" w:rsidR="003165BD" w:rsidRDefault="003165BD" w:rsidP="003165BD">
      <w:pPr>
        <w:jc w:val="both"/>
        <w:rPr>
          <w:rFonts w:ascii="Abadi" w:hAnsi="Abadi"/>
          <w:sz w:val="21"/>
          <w:szCs w:val="21"/>
        </w:rPr>
      </w:pPr>
      <w:r w:rsidRPr="00D930C2">
        <w:rPr>
          <w:rFonts w:ascii="Abadi" w:hAnsi="Abadi"/>
          <w:sz w:val="21"/>
          <w:szCs w:val="21"/>
        </w:rPr>
        <w:t>En esta tesitura, proponemos adicionar un párrafo al artículo 186 de la Ley en reforma, en el que se exprese la posibilidad de que la Presidenta o Presidente de la Comisión legislativa pueda retirar un dictamen, si se hace hasta antes de que se discuta. 9 De ser aprobada la presente iniciativa, tendrá los siguientes impactos, de conformidad con el artículo 209 de la Ley Orgánica del Poder Legislativo del Estado de Guanajuato:</w:t>
      </w:r>
    </w:p>
    <w:p w14:paraId="3B9F9BF5" w14:textId="77777777" w:rsidR="00BA6F56" w:rsidRPr="00D930C2" w:rsidRDefault="00BA6F56" w:rsidP="003165BD">
      <w:pPr>
        <w:jc w:val="both"/>
        <w:rPr>
          <w:rFonts w:ascii="Abadi" w:hAnsi="Abadi"/>
          <w:sz w:val="21"/>
          <w:szCs w:val="21"/>
        </w:rPr>
      </w:pPr>
    </w:p>
    <w:p w14:paraId="3F054199" w14:textId="3FD1321E" w:rsidR="003165BD" w:rsidRDefault="003165BD" w:rsidP="003165BD">
      <w:pPr>
        <w:jc w:val="both"/>
        <w:rPr>
          <w:rFonts w:ascii="Abadi" w:hAnsi="Abadi"/>
          <w:sz w:val="21"/>
          <w:szCs w:val="21"/>
        </w:rPr>
      </w:pPr>
      <w:r w:rsidRPr="00D930C2">
        <w:rPr>
          <w:rFonts w:ascii="Abadi" w:hAnsi="Abadi"/>
          <w:sz w:val="21"/>
          <w:szCs w:val="21"/>
        </w:rPr>
        <w:t xml:space="preserve"> </w:t>
      </w:r>
      <w:r w:rsidRPr="00D930C2">
        <w:rPr>
          <w:rFonts w:ascii="Abadi" w:hAnsi="Abadi"/>
          <w:b/>
          <w:bCs/>
          <w:sz w:val="21"/>
          <w:szCs w:val="21"/>
        </w:rPr>
        <w:t>1. Impacto Jurídico.</w:t>
      </w:r>
      <w:r w:rsidRPr="00D930C2">
        <w:rPr>
          <w:rFonts w:ascii="Abadi" w:hAnsi="Abadi"/>
          <w:sz w:val="21"/>
          <w:szCs w:val="21"/>
        </w:rPr>
        <w:t xml:space="preserve"> Con la propuesta se permite crear mejores condiciones para la </w:t>
      </w:r>
      <w:r w:rsidR="008616B8" w:rsidRPr="00D930C2">
        <w:rPr>
          <w:rFonts w:ascii="Abadi" w:hAnsi="Abadi"/>
          <w:sz w:val="21"/>
          <w:szCs w:val="21"/>
        </w:rPr>
        <w:t>práctica</w:t>
      </w:r>
      <w:r w:rsidRPr="00D930C2">
        <w:rPr>
          <w:rFonts w:ascii="Abadi" w:hAnsi="Abadi"/>
          <w:sz w:val="21"/>
          <w:szCs w:val="21"/>
        </w:rPr>
        <w:t xml:space="preserve"> parlamentaria, y hacer el marco jurídico </w:t>
      </w:r>
      <w:r w:rsidR="008616B8" w:rsidRPr="00D930C2">
        <w:rPr>
          <w:rFonts w:ascii="Abadi" w:hAnsi="Abadi"/>
          <w:sz w:val="21"/>
          <w:szCs w:val="21"/>
        </w:rPr>
        <w:t>más</w:t>
      </w:r>
      <w:r w:rsidRPr="00D930C2">
        <w:rPr>
          <w:rFonts w:ascii="Abadi" w:hAnsi="Abadi"/>
          <w:sz w:val="21"/>
          <w:szCs w:val="21"/>
        </w:rPr>
        <w:t xml:space="preserve"> flexible, de suerte que permitirá a las y los diputados contar con herramientas jurídicas de mayor amplitud para cumplir con la función primordial, que es legislar en favor de la sociedad Guanajuatense. </w:t>
      </w:r>
    </w:p>
    <w:p w14:paraId="2225F4F4" w14:textId="77777777" w:rsidR="00BA6F56" w:rsidRPr="00D930C2" w:rsidRDefault="00BA6F56" w:rsidP="003165BD">
      <w:pPr>
        <w:jc w:val="both"/>
        <w:rPr>
          <w:rFonts w:ascii="Abadi" w:hAnsi="Abadi"/>
          <w:sz w:val="21"/>
          <w:szCs w:val="21"/>
        </w:rPr>
      </w:pPr>
    </w:p>
    <w:p w14:paraId="47B2622C" w14:textId="3308E6CD" w:rsidR="003165BD" w:rsidRDefault="003165BD" w:rsidP="003165BD">
      <w:pPr>
        <w:jc w:val="both"/>
        <w:rPr>
          <w:rFonts w:ascii="Abadi" w:hAnsi="Abadi"/>
          <w:sz w:val="21"/>
          <w:szCs w:val="21"/>
        </w:rPr>
      </w:pPr>
      <w:r w:rsidRPr="00D930C2">
        <w:rPr>
          <w:rFonts w:ascii="Abadi" w:hAnsi="Abadi"/>
          <w:b/>
          <w:bCs/>
          <w:sz w:val="21"/>
          <w:szCs w:val="21"/>
        </w:rPr>
        <w:t>2. Impacto administrativo.</w:t>
      </w:r>
      <w:r w:rsidRPr="00D930C2">
        <w:rPr>
          <w:rFonts w:ascii="Abadi" w:hAnsi="Abadi"/>
          <w:sz w:val="21"/>
          <w:szCs w:val="21"/>
        </w:rPr>
        <w:t xml:space="preserve"> No se advierte impacto administrativo alguno. </w:t>
      </w:r>
    </w:p>
    <w:p w14:paraId="778B1E6F" w14:textId="77777777" w:rsidR="00BA6F56" w:rsidRPr="00D930C2" w:rsidRDefault="00BA6F56" w:rsidP="003165BD">
      <w:pPr>
        <w:jc w:val="both"/>
        <w:rPr>
          <w:rFonts w:ascii="Abadi" w:hAnsi="Abadi"/>
          <w:sz w:val="21"/>
          <w:szCs w:val="21"/>
        </w:rPr>
      </w:pPr>
    </w:p>
    <w:p w14:paraId="216D18CA" w14:textId="2F1B91F8" w:rsidR="003165BD" w:rsidRDefault="003165BD" w:rsidP="003165BD">
      <w:pPr>
        <w:jc w:val="both"/>
        <w:rPr>
          <w:rFonts w:ascii="Abadi" w:hAnsi="Abadi"/>
          <w:sz w:val="21"/>
          <w:szCs w:val="21"/>
        </w:rPr>
      </w:pPr>
      <w:r w:rsidRPr="00D930C2">
        <w:rPr>
          <w:rFonts w:ascii="Abadi" w:hAnsi="Abadi"/>
          <w:b/>
          <w:bCs/>
          <w:sz w:val="21"/>
          <w:szCs w:val="21"/>
        </w:rPr>
        <w:t>3. Impacto presupuestario.</w:t>
      </w:r>
      <w:r w:rsidRPr="00D930C2">
        <w:rPr>
          <w:rFonts w:ascii="Abadi" w:hAnsi="Abadi"/>
          <w:sz w:val="21"/>
          <w:szCs w:val="21"/>
        </w:rPr>
        <w:t xml:space="preserve"> No impacta de ninguna manera. </w:t>
      </w:r>
    </w:p>
    <w:p w14:paraId="4FBBA47E" w14:textId="77777777" w:rsidR="00BA6F56" w:rsidRPr="00D930C2" w:rsidRDefault="00BA6F56" w:rsidP="003165BD">
      <w:pPr>
        <w:jc w:val="both"/>
        <w:rPr>
          <w:rFonts w:ascii="Abadi" w:hAnsi="Abadi"/>
          <w:sz w:val="21"/>
          <w:szCs w:val="21"/>
        </w:rPr>
      </w:pPr>
    </w:p>
    <w:p w14:paraId="715CB8F3" w14:textId="6CA267F6" w:rsidR="003165BD" w:rsidRDefault="003165BD" w:rsidP="003165BD">
      <w:pPr>
        <w:jc w:val="both"/>
        <w:rPr>
          <w:rFonts w:ascii="Abadi" w:hAnsi="Abadi"/>
          <w:sz w:val="21"/>
          <w:szCs w:val="21"/>
        </w:rPr>
      </w:pPr>
      <w:r w:rsidRPr="00D930C2">
        <w:rPr>
          <w:rFonts w:ascii="Abadi" w:hAnsi="Abadi"/>
          <w:b/>
          <w:bCs/>
          <w:sz w:val="21"/>
          <w:szCs w:val="21"/>
        </w:rPr>
        <w:t>4. Impacto social.</w:t>
      </w:r>
      <w:r w:rsidRPr="00D930C2">
        <w:rPr>
          <w:rFonts w:ascii="Abadi" w:hAnsi="Abadi"/>
          <w:sz w:val="21"/>
          <w:szCs w:val="21"/>
        </w:rPr>
        <w:t xml:space="preserve"> Sin duda que mejorar las leyes, en este caso la organiza al poder legislativo, traerá como beneficio social mejor resultado legislativo. </w:t>
      </w:r>
    </w:p>
    <w:p w14:paraId="2D7B41AD" w14:textId="77777777" w:rsidR="00BA6F56" w:rsidRPr="00D930C2" w:rsidRDefault="00BA6F56" w:rsidP="003165BD">
      <w:pPr>
        <w:jc w:val="both"/>
        <w:rPr>
          <w:rFonts w:ascii="Abadi" w:hAnsi="Abadi"/>
          <w:sz w:val="21"/>
          <w:szCs w:val="21"/>
        </w:rPr>
      </w:pPr>
    </w:p>
    <w:p w14:paraId="0D302BA1"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Por lo anteriormente expuesto, someto a la consideración de este H. Congreso del Estado de Guanajuato el siguiente: </w:t>
      </w:r>
    </w:p>
    <w:p w14:paraId="6DD7236F" w14:textId="77777777" w:rsidR="00BA6F56" w:rsidRDefault="00BA6F56" w:rsidP="003165BD">
      <w:pPr>
        <w:jc w:val="both"/>
        <w:rPr>
          <w:rFonts w:ascii="Abadi" w:hAnsi="Abadi"/>
          <w:b/>
          <w:bCs/>
          <w:sz w:val="21"/>
          <w:szCs w:val="21"/>
        </w:rPr>
      </w:pPr>
    </w:p>
    <w:p w14:paraId="0C0681F4" w14:textId="6C9366AE" w:rsidR="003165BD" w:rsidRPr="00D930C2" w:rsidRDefault="003165BD" w:rsidP="00BA6F56">
      <w:pPr>
        <w:jc w:val="center"/>
        <w:rPr>
          <w:rFonts w:ascii="Abadi" w:hAnsi="Abadi"/>
          <w:b/>
          <w:bCs/>
          <w:sz w:val="21"/>
          <w:szCs w:val="21"/>
        </w:rPr>
      </w:pPr>
      <w:r w:rsidRPr="00D930C2">
        <w:rPr>
          <w:rFonts w:ascii="Abadi" w:hAnsi="Abadi"/>
          <w:b/>
          <w:bCs/>
          <w:sz w:val="21"/>
          <w:szCs w:val="21"/>
        </w:rPr>
        <w:t>DECRETO.</w:t>
      </w:r>
    </w:p>
    <w:p w14:paraId="08F1F5F8" w14:textId="77777777" w:rsidR="00BA6F56" w:rsidRDefault="00BA6F56" w:rsidP="003165BD">
      <w:pPr>
        <w:jc w:val="both"/>
        <w:rPr>
          <w:rFonts w:ascii="Abadi" w:hAnsi="Abadi"/>
          <w:sz w:val="21"/>
          <w:szCs w:val="21"/>
        </w:rPr>
      </w:pPr>
    </w:p>
    <w:p w14:paraId="70B42589" w14:textId="4575DBDF" w:rsidR="003165BD" w:rsidRDefault="003165BD" w:rsidP="003165BD">
      <w:pPr>
        <w:jc w:val="both"/>
        <w:rPr>
          <w:rFonts w:ascii="Abadi" w:hAnsi="Abadi"/>
          <w:b/>
          <w:bCs/>
          <w:sz w:val="21"/>
          <w:szCs w:val="21"/>
        </w:rPr>
      </w:pPr>
      <w:r w:rsidRPr="00D930C2">
        <w:rPr>
          <w:rFonts w:ascii="Abadi" w:hAnsi="Abadi"/>
          <w:sz w:val="21"/>
          <w:szCs w:val="21"/>
        </w:rPr>
        <w:t xml:space="preserve">Único. </w:t>
      </w:r>
      <w:r w:rsidRPr="00D930C2">
        <w:rPr>
          <w:rFonts w:ascii="Abadi" w:hAnsi="Abadi"/>
          <w:b/>
          <w:bCs/>
          <w:sz w:val="21"/>
          <w:szCs w:val="21"/>
        </w:rPr>
        <w:t xml:space="preserve">Se reforman los artículos 75, 79, 84, 168, 170, 172, 186 de la Ley Orgánica del Poder Legislativo del Estado de Guanajuato, para quedar como sigue: </w:t>
      </w:r>
    </w:p>
    <w:p w14:paraId="5580DD5E" w14:textId="77777777" w:rsidR="00BA6F56" w:rsidRPr="00D930C2" w:rsidRDefault="00BA6F56" w:rsidP="003165BD">
      <w:pPr>
        <w:jc w:val="both"/>
        <w:rPr>
          <w:rFonts w:ascii="Abadi" w:hAnsi="Abadi"/>
          <w:b/>
          <w:bCs/>
          <w:sz w:val="21"/>
          <w:szCs w:val="21"/>
        </w:rPr>
      </w:pPr>
    </w:p>
    <w:p w14:paraId="4A10E5F1" w14:textId="77777777" w:rsidR="003165BD" w:rsidRPr="00D930C2" w:rsidRDefault="003165BD" w:rsidP="003165BD">
      <w:pPr>
        <w:jc w:val="both"/>
        <w:rPr>
          <w:rFonts w:ascii="Abadi" w:hAnsi="Abadi"/>
          <w:b/>
          <w:bCs/>
          <w:sz w:val="21"/>
          <w:szCs w:val="21"/>
        </w:rPr>
      </w:pPr>
      <w:r w:rsidRPr="00D930C2">
        <w:rPr>
          <w:rFonts w:ascii="Abadi" w:hAnsi="Abadi"/>
          <w:b/>
          <w:bCs/>
          <w:sz w:val="21"/>
          <w:szCs w:val="21"/>
        </w:rPr>
        <w:t xml:space="preserve">Artículo 75. </w:t>
      </w:r>
      <w:r w:rsidRPr="00D930C2">
        <w:rPr>
          <w:rFonts w:ascii="Abadi" w:hAnsi="Abadi"/>
          <w:sz w:val="21"/>
          <w:szCs w:val="21"/>
        </w:rPr>
        <w:t>Las Comisiones Legislativas…</w:t>
      </w:r>
      <w:r w:rsidRPr="00D930C2">
        <w:rPr>
          <w:rFonts w:ascii="Abadi" w:hAnsi="Abadi"/>
          <w:b/>
          <w:bCs/>
          <w:sz w:val="21"/>
          <w:szCs w:val="21"/>
        </w:rPr>
        <w:t xml:space="preserve"> </w:t>
      </w:r>
    </w:p>
    <w:p w14:paraId="05521B0E" w14:textId="4BB93371" w:rsidR="003165BD" w:rsidRDefault="003165BD" w:rsidP="003165BD">
      <w:pPr>
        <w:jc w:val="both"/>
        <w:rPr>
          <w:rFonts w:ascii="Abadi" w:hAnsi="Abadi"/>
          <w:b/>
          <w:bCs/>
          <w:sz w:val="21"/>
          <w:szCs w:val="21"/>
        </w:rPr>
      </w:pPr>
      <w:r w:rsidRPr="00D930C2">
        <w:rPr>
          <w:rFonts w:ascii="Abadi" w:hAnsi="Abadi"/>
          <w:b/>
          <w:bCs/>
          <w:sz w:val="21"/>
          <w:szCs w:val="21"/>
        </w:rPr>
        <w:t xml:space="preserve">Las Comisiones Legislativas podrán, durante el estudio y análisis de una iniciativa o proposición, reconducir, adicionar o complementar la iniciativa puesta a su discusión. </w:t>
      </w:r>
    </w:p>
    <w:p w14:paraId="1AF75D28" w14:textId="77777777" w:rsidR="00BA6F56" w:rsidRPr="00D930C2" w:rsidRDefault="00BA6F56" w:rsidP="003165BD">
      <w:pPr>
        <w:jc w:val="both"/>
        <w:rPr>
          <w:rFonts w:ascii="Abadi" w:hAnsi="Abadi"/>
          <w:b/>
          <w:bCs/>
          <w:sz w:val="21"/>
          <w:szCs w:val="21"/>
        </w:rPr>
      </w:pPr>
    </w:p>
    <w:p w14:paraId="39E4AD05" w14:textId="1EBD789D" w:rsidR="003165BD" w:rsidRDefault="003165BD" w:rsidP="003165BD">
      <w:pPr>
        <w:jc w:val="both"/>
        <w:rPr>
          <w:rFonts w:ascii="Abadi" w:hAnsi="Abadi"/>
          <w:sz w:val="21"/>
          <w:szCs w:val="21"/>
        </w:rPr>
      </w:pPr>
      <w:r w:rsidRPr="00D930C2">
        <w:rPr>
          <w:rFonts w:ascii="Abadi" w:hAnsi="Abadi"/>
          <w:b/>
          <w:bCs/>
          <w:sz w:val="21"/>
          <w:szCs w:val="21"/>
        </w:rPr>
        <w:t>Artículo 79.</w:t>
      </w:r>
      <w:r w:rsidRPr="00D930C2">
        <w:rPr>
          <w:rFonts w:ascii="Abadi" w:hAnsi="Abadi"/>
          <w:sz w:val="21"/>
          <w:szCs w:val="21"/>
        </w:rPr>
        <w:t xml:space="preserve"> La Presidencia de la Comisión legislativa convocará con al menos treinta y seis </w:t>
      </w:r>
      <w:r w:rsidRPr="00D930C2">
        <w:rPr>
          <w:rFonts w:ascii="Abadi" w:hAnsi="Abadi"/>
          <w:sz w:val="21"/>
          <w:szCs w:val="21"/>
        </w:rPr>
        <w:t xml:space="preserve">horas de anticipación, informando y acompañando las documentales de los asuntos a tratar, así como lugar, día y hora. </w:t>
      </w:r>
    </w:p>
    <w:p w14:paraId="65C8D189" w14:textId="77777777" w:rsidR="00BA6F56" w:rsidRPr="00D930C2" w:rsidRDefault="00BA6F56" w:rsidP="003165BD">
      <w:pPr>
        <w:jc w:val="both"/>
        <w:rPr>
          <w:rFonts w:ascii="Abadi" w:hAnsi="Abadi"/>
          <w:sz w:val="21"/>
          <w:szCs w:val="21"/>
        </w:rPr>
      </w:pPr>
    </w:p>
    <w:p w14:paraId="14CE76DB" w14:textId="77777777" w:rsidR="003165BD" w:rsidRPr="00D930C2" w:rsidRDefault="003165BD" w:rsidP="003165BD">
      <w:pPr>
        <w:jc w:val="both"/>
        <w:rPr>
          <w:rFonts w:ascii="Abadi" w:hAnsi="Abadi"/>
          <w:sz w:val="21"/>
          <w:szCs w:val="21"/>
        </w:rPr>
      </w:pPr>
      <w:r w:rsidRPr="00D930C2">
        <w:rPr>
          <w:rFonts w:ascii="Abadi" w:hAnsi="Abadi"/>
          <w:b/>
          <w:bCs/>
          <w:sz w:val="21"/>
          <w:szCs w:val="21"/>
        </w:rPr>
        <w:t>Artículo 84.</w:t>
      </w:r>
      <w:r w:rsidRPr="00D930C2">
        <w:rPr>
          <w:rFonts w:ascii="Abadi" w:hAnsi="Abadi"/>
          <w:sz w:val="21"/>
          <w:szCs w:val="21"/>
        </w:rPr>
        <w:t xml:space="preserve"> En el estudio, análisis y discusión, en las comisiones legislativas, únicamente podrán participar sus integrantes y previo acuerdo de los mismos, por conducto de su Presidencia, podrán solicitar información o documentación a los poderes públicos, a los gobiernos municipales, organismos autónomos y demás dependencias, cuando se trate </w:t>
      </w:r>
    </w:p>
    <w:p w14:paraId="4FB26176" w14:textId="641B5EF1" w:rsidR="003165BD" w:rsidRDefault="003165BD" w:rsidP="003165BD">
      <w:pPr>
        <w:jc w:val="both"/>
        <w:rPr>
          <w:rFonts w:ascii="Abadi" w:hAnsi="Abadi"/>
          <w:sz w:val="21"/>
          <w:szCs w:val="21"/>
        </w:rPr>
      </w:pPr>
      <w:r w:rsidRPr="00D930C2">
        <w:rPr>
          <w:rFonts w:ascii="Abadi" w:hAnsi="Abadi"/>
          <w:sz w:val="21"/>
          <w:szCs w:val="21"/>
        </w:rPr>
        <w:t xml:space="preserve">de un asunto de su ramo o competencia, o se discuta una iniciativa relativa a las materias que les competan. </w:t>
      </w:r>
    </w:p>
    <w:p w14:paraId="09162C28" w14:textId="77777777" w:rsidR="00BA6F56" w:rsidRPr="00D930C2" w:rsidRDefault="00BA6F56" w:rsidP="003165BD">
      <w:pPr>
        <w:jc w:val="both"/>
        <w:rPr>
          <w:rFonts w:ascii="Abadi" w:hAnsi="Abadi"/>
          <w:sz w:val="21"/>
          <w:szCs w:val="21"/>
        </w:rPr>
      </w:pPr>
    </w:p>
    <w:p w14:paraId="0951C4A9" w14:textId="77777777" w:rsidR="003165BD" w:rsidRPr="00D930C2" w:rsidRDefault="003165BD" w:rsidP="003165BD">
      <w:pPr>
        <w:jc w:val="both"/>
        <w:rPr>
          <w:rFonts w:ascii="Abadi" w:hAnsi="Abadi"/>
          <w:b/>
          <w:bCs/>
          <w:sz w:val="21"/>
          <w:szCs w:val="21"/>
        </w:rPr>
      </w:pPr>
      <w:r w:rsidRPr="00D930C2">
        <w:rPr>
          <w:rFonts w:ascii="Abadi" w:hAnsi="Abadi"/>
          <w:b/>
          <w:bCs/>
          <w:sz w:val="21"/>
          <w:szCs w:val="21"/>
        </w:rPr>
        <w:t xml:space="preserve">En ningún caso la información u opiniones serán vinculantes para la Comisión. </w:t>
      </w:r>
    </w:p>
    <w:p w14:paraId="20F2443D" w14:textId="77777777" w:rsidR="003165BD" w:rsidRPr="00D930C2" w:rsidRDefault="003165BD" w:rsidP="003165BD">
      <w:pPr>
        <w:jc w:val="both"/>
        <w:rPr>
          <w:rFonts w:ascii="Abadi" w:hAnsi="Abadi"/>
          <w:sz w:val="21"/>
          <w:szCs w:val="21"/>
        </w:rPr>
      </w:pPr>
      <w:r w:rsidRPr="00D930C2">
        <w:rPr>
          <w:rFonts w:ascii="Abadi" w:hAnsi="Abadi"/>
          <w:b/>
          <w:bCs/>
          <w:sz w:val="21"/>
          <w:szCs w:val="21"/>
        </w:rPr>
        <w:t>Artículo 168.</w:t>
      </w:r>
      <w:r w:rsidRPr="00D930C2">
        <w:rPr>
          <w:rFonts w:ascii="Abadi" w:hAnsi="Abadi"/>
          <w:sz w:val="21"/>
          <w:szCs w:val="21"/>
        </w:rPr>
        <w:t xml:space="preserve"> Las Iniciativas… </w:t>
      </w:r>
    </w:p>
    <w:p w14:paraId="09309E86"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Las iniciativas... </w:t>
      </w:r>
    </w:p>
    <w:p w14:paraId="293E1D4C"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I. Proemio… </w:t>
      </w:r>
    </w:p>
    <w:p w14:paraId="4EF6C34D"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II. Exposición… </w:t>
      </w:r>
    </w:p>
    <w:p w14:paraId="6BAF40E1" w14:textId="77777777" w:rsidR="003165BD" w:rsidRPr="00D930C2" w:rsidRDefault="003165BD" w:rsidP="003165BD">
      <w:pPr>
        <w:jc w:val="both"/>
        <w:rPr>
          <w:rFonts w:ascii="Abadi" w:hAnsi="Abadi"/>
          <w:sz w:val="21"/>
          <w:szCs w:val="21"/>
        </w:rPr>
      </w:pPr>
      <w:r w:rsidRPr="00D930C2">
        <w:rPr>
          <w:rFonts w:ascii="Abadi" w:hAnsi="Abadi"/>
          <w:sz w:val="21"/>
          <w:szCs w:val="21"/>
        </w:rPr>
        <w:t>III. El texto…</w:t>
      </w:r>
    </w:p>
    <w:p w14:paraId="3D58E4C2"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IV. El régimen… </w:t>
      </w:r>
    </w:p>
    <w:p w14:paraId="164CCB68"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V. Fecha… </w:t>
      </w:r>
    </w:p>
    <w:p w14:paraId="1B2421F6"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VI. En caso de … </w:t>
      </w:r>
    </w:p>
    <w:p w14:paraId="5437914A" w14:textId="32A89D86" w:rsidR="003165BD" w:rsidRDefault="003165BD" w:rsidP="003165BD">
      <w:pPr>
        <w:jc w:val="both"/>
        <w:rPr>
          <w:rFonts w:ascii="Abadi" w:hAnsi="Abadi"/>
          <w:b/>
          <w:bCs/>
          <w:sz w:val="21"/>
          <w:szCs w:val="21"/>
        </w:rPr>
      </w:pPr>
      <w:r w:rsidRPr="00D930C2">
        <w:rPr>
          <w:rFonts w:ascii="Abadi" w:hAnsi="Abadi"/>
          <w:b/>
          <w:bCs/>
          <w:sz w:val="21"/>
          <w:szCs w:val="21"/>
        </w:rPr>
        <w:t xml:space="preserve">VII. Solicitud del iniciante para que las áreas técnicas del congreso, con vista de la iniciativa, emitan dictamen presupuestal cuando corresponda. </w:t>
      </w:r>
    </w:p>
    <w:p w14:paraId="09AFF0DB" w14:textId="77777777" w:rsidR="00BA6F56" w:rsidRPr="00D930C2" w:rsidRDefault="00BA6F56" w:rsidP="003165BD">
      <w:pPr>
        <w:jc w:val="both"/>
        <w:rPr>
          <w:rFonts w:ascii="Abadi" w:hAnsi="Abadi"/>
          <w:b/>
          <w:bCs/>
          <w:sz w:val="21"/>
          <w:szCs w:val="21"/>
        </w:rPr>
      </w:pPr>
    </w:p>
    <w:p w14:paraId="72CDA330" w14:textId="77777777" w:rsidR="003165BD" w:rsidRPr="00D930C2" w:rsidRDefault="003165BD" w:rsidP="003165BD">
      <w:pPr>
        <w:jc w:val="both"/>
        <w:rPr>
          <w:rFonts w:ascii="Abadi" w:hAnsi="Abadi"/>
          <w:sz w:val="21"/>
          <w:szCs w:val="21"/>
        </w:rPr>
      </w:pPr>
      <w:r w:rsidRPr="00D930C2">
        <w:rPr>
          <w:rFonts w:ascii="Abadi" w:hAnsi="Abadi"/>
          <w:b/>
          <w:bCs/>
          <w:sz w:val="21"/>
          <w:szCs w:val="21"/>
        </w:rPr>
        <w:t>Artículo 170.</w:t>
      </w:r>
      <w:r w:rsidRPr="00D930C2">
        <w:rPr>
          <w:rFonts w:ascii="Abadi" w:hAnsi="Abadi"/>
          <w:sz w:val="21"/>
          <w:szCs w:val="21"/>
        </w:rPr>
        <w:t xml:space="preserve"> Presentada una iniciativa o proposición de punto acuerdo en la Secretaría General, </w:t>
      </w:r>
      <w:r w:rsidRPr="00D930C2">
        <w:rPr>
          <w:rFonts w:ascii="Abadi" w:hAnsi="Abadi"/>
          <w:b/>
          <w:bCs/>
          <w:sz w:val="21"/>
          <w:szCs w:val="21"/>
        </w:rPr>
        <w:t>el iniciante tendrá la facultad de retirarla, hasta antes de que la Comisión Dictaminadora emita el respectivo dictamen.</w:t>
      </w:r>
      <w:r w:rsidRPr="00D930C2">
        <w:rPr>
          <w:rFonts w:ascii="Abadi" w:hAnsi="Abadi"/>
          <w:sz w:val="21"/>
          <w:szCs w:val="21"/>
        </w:rPr>
        <w:t xml:space="preserve"> </w:t>
      </w:r>
    </w:p>
    <w:p w14:paraId="55FA6A70"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A fin de… </w:t>
      </w:r>
    </w:p>
    <w:p w14:paraId="02D22A3A" w14:textId="77777777" w:rsidR="003165BD" w:rsidRPr="00D930C2" w:rsidRDefault="003165BD" w:rsidP="003165BD">
      <w:pPr>
        <w:jc w:val="both"/>
        <w:rPr>
          <w:rFonts w:ascii="Abadi" w:hAnsi="Abadi"/>
          <w:sz w:val="21"/>
          <w:szCs w:val="21"/>
        </w:rPr>
      </w:pPr>
      <w:r w:rsidRPr="00D930C2">
        <w:rPr>
          <w:rFonts w:ascii="Abadi" w:hAnsi="Abadi"/>
          <w:sz w:val="21"/>
          <w:szCs w:val="21"/>
        </w:rPr>
        <w:t xml:space="preserve">En caso de… </w:t>
      </w:r>
    </w:p>
    <w:p w14:paraId="497B4508" w14:textId="77777777" w:rsidR="00BA6F56" w:rsidRDefault="00BA6F56" w:rsidP="003165BD">
      <w:pPr>
        <w:jc w:val="both"/>
        <w:rPr>
          <w:rFonts w:ascii="Abadi" w:hAnsi="Abadi"/>
          <w:b/>
          <w:bCs/>
          <w:sz w:val="21"/>
          <w:szCs w:val="21"/>
        </w:rPr>
      </w:pPr>
    </w:p>
    <w:p w14:paraId="53AA96E3" w14:textId="19141727" w:rsidR="003165BD" w:rsidRDefault="003165BD" w:rsidP="003165BD">
      <w:pPr>
        <w:jc w:val="both"/>
        <w:rPr>
          <w:rFonts w:ascii="Abadi" w:hAnsi="Abadi"/>
          <w:sz w:val="21"/>
          <w:szCs w:val="21"/>
        </w:rPr>
      </w:pPr>
      <w:r w:rsidRPr="00D930C2">
        <w:rPr>
          <w:rFonts w:ascii="Abadi" w:hAnsi="Abadi"/>
          <w:b/>
          <w:bCs/>
          <w:sz w:val="21"/>
          <w:szCs w:val="21"/>
        </w:rPr>
        <w:t>Artículo. 172.</w:t>
      </w:r>
      <w:r w:rsidRPr="00D930C2">
        <w:rPr>
          <w:rFonts w:ascii="Abadi" w:hAnsi="Abadi"/>
          <w:sz w:val="21"/>
          <w:szCs w:val="21"/>
        </w:rPr>
        <w:t xml:space="preserve"> Las Comisiones Legislativas podrán recabar de todas las oficinas públicas estatales la información que se estime necesaria, previa solicitud. Ésta deberá ser por escrito mediante la presencia de sus titulares, con autorización del titular del Poder Ejecutivo del Estado, </w:t>
      </w:r>
      <w:r w:rsidRPr="00D930C2">
        <w:rPr>
          <w:rFonts w:ascii="Abadi" w:hAnsi="Abadi"/>
          <w:b/>
          <w:bCs/>
          <w:sz w:val="21"/>
          <w:szCs w:val="21"/>
        </w:rPr>
        <w:t>y del Poder Judicial, en su caso</w:t>
      </w:r>
      <w:r w:rsidRPr="00D930C2">
        <w:rPr>
          <w:rFonts w:ascii="Abadi" w:hAnsi="Abadi"/>
          <w:sz w:val="21"/>
          <w:szCs w:val="21"/>
        </w:rPr>
        <w:t xml:space="preserve">, en el recinto Oficial del Congreso del Estado, ante las Comisiones legislativas o la Asamblea. </w:t>
      </w:r>
    </w:p>
    <w:p w14:paraId="32C90571" w14:textId="77777777" w:rsidR="00BA6F56" w:rsidRPr="00D930C2" w:rsidRDefault="00BA6F56" w:rsidP="003165BD">
      <w:pPr>
        <w:jc w:val="both"/>
        <w:rPr>
          <w:rFonts w:ascii="Abadi" w:hAnsi="Abadi"/>
          <w:sz w:val="21"/>
          <w:szCs w:val="21"/>
        </w:rPr>
      </w:pPr>
    </w:p>
    <w:p w14:paraId="526B5590" w14:textId="64E28475" w:rsidR="003165BD" w:rsidRDefault="003165BD" w:rsidP="003165BD">
      <w:pPr>
        <w:jc w:val="both"/>
        <w:rPr>
          <w:rFonts w:ascii="Abadi" w:hAnsi="Abadi"/>
          <w:sz w:val="21"/>
          <w:szCs w:val="21"/>
        </w:rPr>
      </w:pPr>
      <w:r w:rsidRPr="00D930C2">
        <w:rPr>
          <w:rFonts w:ascii="Abadi" w:hAnsi="Abadi"/>
          <w:b/>
          <w:bCs/>
          <w:sz w:val="21"/>
          <w:szCs w:val="21"/>
        </w:rPr>
        <w:t>Las opiniones e información obtenidas, ya sea por escrito o presencial, en ningún caso serán vinculatorias.</w:t>
      </w:r>
      <w:r w:rsidRPr="00D930C2">
        <w:rPr>
          <w:rFonts w:ascii="Abadi" w:hAnsi="Abadi"/>
          <w:sz w:val="21"/>
          <w:szCs w:val="21"/>
        </w:rPr>
        <w:t xml:space="preserve"> </w:t>
      </w:r>
    </w:p>
    <w:p w14:paraId="6100767C" w14:textId="77777777" w:rsidR="00BA6F56" w:rsidRPr="00D930C2" w:rsidRDefault="00BA6F56" w:rsidP="003165BD">
      <w:pPr>
        <w:jc w:val="both"/>
        <w:rPr>
          <w:rFonts w:ascii="Abadi" w:hAnsi="Abadi"/>
          <w:sz w:val="21"/>
          <w:szCs w:val="21"/>
        </w:rPr>
      </w:pPr>
    </w:p>
    <w:p w14:paraId="7ABE50A6" w14:textId="77777777" w:rsidR="003165BD" w:rsidRPr="00D930C2" w:rsidRDefault="003165BD" w:rsidP="003165BD">
      <w:pPr>
        <w:jc w:val="both"/>
        <w:rPr>
          <w:rFonts w:ascii="Abadi" w:hAnsi="Abadi"/>
          <w:sz w:val="21"/>
          <w:szCs w:val="21"/>
        </w:rPr>
      </w:pPr>
      <w:r w:rsidRPr="00D930C2">
        <w:rPr>
          <w:rFonts w:ascii="Abadi" w:hAnsi="Abadi"/>
          <w:b/>
          <w:bCs/>
          <w:sz w:val="21"/>
          <w:szCs w:val="21"/>
        </w:rPr>
        <w:t>Artículo 186.</w:t>
      </w:r>
      <w:r w:rsidRPr="00D930C2">
        <w:rPr>
          <w:rFonts w:ascii="Abadi" w:hAnsi="Abadi"/>
          <w:sz w:val="21"/>
          <w:szCs w:val="21"/>
        </w:rPr>
        <w:t xml:space="preserve"> Puesto a debate … </w:t>
      </w:r>
    </w:p>
    <w:p w14:paraId="2E7EC310" w14:textId="77777777" w:rsidR="00BA6F56" w:rsidRDefault="00BA6F56" w:rsidP="003165BD">
      <w:pPr>
        <w:jc w:val="both"/>
        <w:rPr>
          <w:rFonts w:ascii="Abadi" w:hAnsi="Abadi"/>
          <w:b/>
          <w:bCs/>
          <w:sz w:val="21"/>
          <w:szCs w:val="21"/>
        </w:rPr>
      </w:pPr>
    </w:p>
    <w:p w14:paraId="7228DA40" w14:textId="69CE6828" w:rsidR="003165BD" w:rsidRPr="00D930C2" w:rsidRDefault="003165BD" w:rsidP="003165BD">
      <w:pPr>
        <w:jc w:val="both"/>
        <w:rPr>
          <w:rFonts w:ascii="Abadi" w:hAnsi="Abadi"/>
          <w:sz w:val="21"/>
          <w:szCs w:val="21"/>
        </w:rPr>
      </w:pPr>
      <w:r w:rsidRPr="00D930C2">
        <w:rPr>
          <w:rFonts w:ascii="Abadi" w:hAnsi="Abadi"/>
          <w:b/>
          <w:bCs/>
          <w:sz w:val="21"/>
          <w:szCs w:val="21"/>
        </w:rPr>
        <w:lastRenderedPageBreak/>
        <w:t xml:space="preserve">Mientras el dictamen no este en fase de debate, la Presidencia de la Comisión, podrá retirar el dictamen o proposición. </w:t>
      </w:r>
    </w:p>
    <w:p w14:paraId="2880F91A" w14:textId="77777777" w:rsidR="00BA6F56" w:rsidRDefault="00BA6F56" w:rsidP="00BA6F56">
      <w:pPr>
        <w:jc w:val="center"/>
        <w:rPr>
          <w:rFonts w:ascii="Abadi" w:hAnsi="Abadi"/>
          <w:b/>
          <w:bCs/>
          <w:sz w:val="21"/>
          <w:szCs w:val="21"/>
        </w:rPr>
      </w:pPr>
    </w:p>
    <w:p w14:paraId="2449C376" w14:textId="4542A356" w:rsidR="003165BD" w:rsidRDefault="003165BD" w:rsidP="00BA6F56">
      <w:pPr>
        <w:jc w:val="center"/>
        <w:rPr>
          <w:rFonts w:ascii="Abadi" w:hAnsi="Abadi"/>
          <w:b/>
          <w:bCs/>
          <w:sz w:val="21"/>
          <w:szCs w:val="21"/>
        </w:rPr>
      </w:pPr>
      <w:r w:rsidRPr="00D930C2">
        <w:rPr>
          <w:rFonts w:ascii="Abadi" w:hAnsi="Abadi"/>
          <w:b/>
          <w:bCs/>
          <w:sz w:val="21"/>
          <w:szCs w:val="21"/>
        </w:rPr>
        <w:t>TRANSITORIOS.</w:t>
      </w:r>
    </w:p>
    <w:p w14:paraId="46E11DD7" w14:textId="77777777" w:rsidR="00BA6F56" w:rsidRPr="00D930C2" w:rsidRDefault="00BA6F56" w:rsidP="003165BD">
      <w:pPr>
        <w:jc w:val="both"/>
        <w:rPr>
          <w:rFonts w:ascii="Abadi" w:hAnsi="Abadi"/>
          <w:b/>
          <w:bCs/>
          <w:sz w:val="21"/>
          <w:szCs w:val="21"/>
        </w:rPr>
      </w:pPr>
    </w:p>
    <w:p w14:paraId="3CDC433C" w14:textId="76E132A2" w:rsidR="003165BD" w:rsidRDefault="003165BD" w:rsidP="003165BD">
      <w:pPr>
        <w:jc w:val="both"/>
        <w:rPr>
          <w:rFonts w:ascii="Abadi" w:hAnsi="Abadi"/>
          <w:sz w:val="21"/>
          <w:szCs w:val="21"/>
        </w:rPr>
      </w:pPr>
      <w:r w:rsidRPr="00D930C2">
        <w:rPr>
          <w:rFonts w:ascii="Abadi" w:hAnsi="Abadi"/>
          <w:b/>
          <w:bCs/>
          <w:sz w:val="21"/>
          <w:szCs w:val="21"/>
        </w:rPr>
        <w:t>Único.</w:t>
      </w:r>
      <w:r w:rsidRPr="00D930C2">
        <w:rPr>
          <w:rFonts w:ascii="Abadi" w:hAnsi="Abadi"/>
          <w:sz w:val="21"/>
          <w:szCs w:val="21"/>
        </w:rPr>
        <w:t xml:space="preserve"> El presente decreto entrará en vigor al día siguiente de su publicación en el Periódico Oficial del Estado de Guanajuato. </w:t>
      </w:r>
    </w:p>
    <w:p w14:paraId="3860690A" w14:textId="77777777" w:rsidR="00BA6F56" w:rsidRPr="00D930C2" w:rsidRDefault="00BA6F56" w:rsidP="003165BD">
      <w:pPr>
        <w:jc w:val="both"/>
        <w:rPr>
          <w:rFonts w:ascii="Abadi" w:hAnsi="Abadi"/>
          <w:sz w:val="21"/>
          <w:szCs w:val="21"/>
        </w:rPr>
      </w:pPr>
    </w:p>
    <w:p w14:paraId="690C2591" w14:textId="3C2D1687" w:rsidR="003165BD" w:rsidRDefault="003165BD" w:rsidP="003165BD">
      <w:pPr>
        <w:jc w:val="both"/>
        <w:rPr>
          <w:rFonts w:ascii="Abadi" w:hAnsi="Abadi"/>
          <w:sz w:val="21"/>
          <w:szCs w:val="21"/>
        </w:rPr>
      </w:pPr>
      <w:r w:rsidRPr="00D930C2">
        <w:rPr>
          <w:rFonts w:ascii="Abadi" w:hAnsi="Abadi"/>
          <w:sz w:val="21"/>
          <w:szCs w:val="21"/>
        </w:rPr>
        <w:t xml:space="preserve">Dado en el Palacio Legislativo del Estado de Guanajuato a los 20 días del mes de junio de 2022. </w:t>
      </w:r>
    </w:p>
    <w:p w14:paraId="28C6094B" w14:textId="77777777" w:rsidR="008616B8" w:rsidRPr="00D930C2" w:rsidRDefault="008616B8" w:rsidP="003165BD">
      <w:pPr>
        <w:jc w:val="both"/>
        <w:rPr>
          <w:rFonts w:ascii="Abadi" w:hAnsi="Abadi"/>
          <w:sz w:val="21"/>
          <w:szCs w:val="21"/>
        </w:rPr>
      </w:pPr>
    </w:p>
    <w:p w14:paraId="120A248A" w14:textId="577C78D9" w:rsidR="003165BD" w:rsidRPr="00D930C2" w:rsidRDefault="003165BD" w:rsidP="008616B8">
      <w:pPr>
        <w:jc w:val="center"/>
        <w:rPr>
          <w:rFonts w:ascii="Abadi" w:hAnsi="Abadi"/>
          <w:b/>
          <w:bCs/>
          <w:sz w:val="21"/>
          <w:szCs w:val="21"/>
        </w:rPr>
      </w:pPr>
      <w:r w:rsidRPr="00D930C2">
        <w:rPr>
          <w:rFonts w:ascii="Abadi" w:hAnsi="Abadi"/>
          <w:b/>
          <w:bCs/>
          <w:sz w:val="21"/>
          <w:szCs w:val="21"/>
        </w:rPr>
        <w:t>Guanajuato, Gto., a 23 de junio de 2022</w:t>
      </w:r>
    </w:p>
    <w:p w14:paraId="2A287516" w14:textId="5D34EF67" w:rsidR="003165BD" w:rsidRPr="00D930C2" w:rsidRDefault="003165BD" w:rsidP="008616B8">
      <w:pPr>
        <w:jc w:val="center"/>
        <w:rPr>
          <w:rFonts w:ascii="Abadi" w:hAnsi="Abadi"/>
          <w:b/>
          <w:bCs/>
          <w:sz w:val="21"/>
          <w:szCs w:val="21"/>
        </w:rPr>
      </w:pPr>
      <w:r w:rsidRPr="00D930C2">
        <w:rPr>
          <w:rFonts w:ascii="Abadi" w:hAnsi="Abadi"/>
          <w:b/>
          <w:bCs/>
          <w:sz w:val="21"/>
          <w:szCs w:val="21"/>
        </w:rPr>
        <w:t>Diputadas y Diputados integrantes del Grupo</w:t>
      </w:r>
    </w:p>
    <w:p w14:paraId="6D20943F" w14:textId="52D122B3" w:rsidR="003165BD" w:rsidRDefault="003165BD" w:rsidP="008616B8">
      <w:pPr>
        <w:jc w:val="center"/>
        <w:rPr>
          <w:rFonts w:ascii="Abadi" w:hAnsi="Abadi"/>
          <w:b/>
          <w:bCs/>
          <w:sz w:val="21"/>
          <w:szCs w:val="21"/>
        </w:rPr>
      </w:pPr>
      <w:r w:rsidRPr="00D930C2">
        <w:rPr>
          <w:rFonts w:ascii="Abadi" w:hAnsi="Abadi"/>
          <w:b/>
          <w:bCs/>
          <w:sz w:val="21"/>
          <w:szCs w:val="21"/>
        </w:rPr>
        <w:t>Parlamentario del Partido Revolucionario Institucional.</w:t>
      </w:r>
    </w:p>
    <w:p w14:paraId="55086490" w14:textId="77777777" w:rsidR="00BA6F56" w:rsidRPr="00D930C2" w:rsidRDefault="00BA6F56" w:rsidP="003165BD">
      <w:pPr>
        <w:jc w:val="both"/>
        <w:rPr>
          <w:rFonts w:ascii="Abadi" w:hAnsi="Abadi"/>
          <w:b/>
          <w:bCs/>
          <w:sz w:val="21"/>
          <w:szCs w:val="21"/>
        </w:rPr>
      </w:pPr>
    </w:p>
    <w:p w14:paraId="15E42B20" w14:textId="77777777" w:rsidR="003165BD" w:rsidRPr="00D930C2" w:rsidRDefault="003165BD" w:rsidP="003165BD">
      <w:pPr>
        <w:jc w:val="both"/>
        <w:rPr>
          <w:rFonts w:ascii="Abadi" w:hAnsi="Abadi"/>
          <w:b/>
          <w:bCs/>
          <w:sz w:val="21"/>
          <w:szCs w:val="21"/>
        </w:rPr>
      </w:pPr>
      <w:r w:rsidRPr="00D930C2">
        <w:rPr>
          <w:rFonts w:ascii="Abadi" w:hAnsi="Abadi"/>
          <w:b/>
          <w:bCs/>
          <w:sz w:val="21"/>
          <w:szCs w:val="21"/>
        </w:rPr>
        <w:t>DIP. ALEJANDRO ARIAS ÁVILA</w:t>
      </w:r>
    </w:p>
    <w:p w14:paraId="6D573660" w14:textId="77777777" w:rsidR="003165BD" w:rsidRPr="00D930C2" w:rsidRDefault="003165BD" w:rsidP="003165BD">
      <w:pPr>
        <w:jc w:val="both"/>
        <w:rPr>
          <w:rFonts w:ascii="Abadi" w:hAnsi="Abadi"/>
          <w:b/>
          <w:bCs/>
          <w:sz w:val="21"/>
          <w:szCs w:val="21"/>
        </w:rPr>
      </w:pPr>
      <w:r w:rsidRPr="00D930C2">
        <w:rPr>
          <w:rFonts w:ascii="Abadi" w:hAnsi="Abadi"/>
          <w:b/>
          <w:bCs/>
          <w:sz w:val="21"/>
          <w:szCs w:val="21"/>
        </w:rPr>
        <w:t xml:space="preserve">DIP. RUTH NOEMÍ TISCAREÑO AGOITIA </w:t>
      </w:r>
    </w:p>
    <w:p w14:paraId="45CDF337" w14:textId="77777777" w:rsidR="003165BD" w:rsidRPr="00D930C2" w:rsidRDefault="003165BD" w:rsidP="003165BD">
      <w:pPr>
        <w:jc w:val="both"/>
        <w:rPr>
          <w:rFonts w:ascii="Abadi" w:hAnsi="Abadi"/>
          <w:b/>
          <w:bCs/>
          <w:sz w:val="21"/>
          <w:szCs w:val="21"/>
        </w:rPr>
      </w:pPr>
      <w:r w:rsidRPr="00D930C2">
        <w:rPr>
          <w:rFonts w:ascii="Abadi" w:hAnsi="Abadi"/>
          <w:b/>
          <w:bCs/>
          <w:sz w:val="21"/>
          <w:szCs w:val="21"/>
        </w:rPr>
        <w:t>DIP. GUSTAVO ADOLFO ALFARO REYES</w:t>
      </w:r>
    </w:p>
    <w:p w14:paraId="49A74E9E" w14:textId="3538E5B3" w:rsidR="00F20686" w:rsidRDefault="00F20686" w:rsidP="00F20686">
      <w:pPr>
        <w:tabs>
          <w:tab w:val="left" w:pos="856"/>
        </w:tabs>
        <w:kinsoku w:val="0"/>
        <w:overflowPunct w:val="0"/>
        <w:autoSpaceDE w:val="0"/>
        <w:autoSpaceDN w:val="0"/>
        <w:adjustRightInd w:val="0"/>
        <w:ind w:right="17"/>
        <w:jc w:val="both"/>
        <w:rPr>
          <w:rFonts w:ascii="Abadi" w:hAnsi="Abadi"/>
          <w:b/>
          <w:bCs/>
          <w:sz w:val="20"/>
          <w:szCs w:val="20"/>
        </w:rPr>
      </w:pPr>
    </w:p>
    <w:p w14:paraId="62D0E715" w14:textId="77777777" w:rsidR="004A6650" w:rsidRPr="00F20686" w:rsidRDefault="004A6650" w:rsidP="00F20686">
      <w:pPr>
        <w:tabs>
          <w:tab w:val="left" w:pos="856"/>
        </w:tabs>
        <w:kinsoku w:val="0"/>
        <w:overflowPunct w:val="0"/>
        <w:autoSpaceDE w:val="0"/>
        <w:autoSpaceDN w:val="0"/>
        <w:adjustRightInd w:val="0"/>
        <w:ind w:right="17"/>
        <w:jc w:val="both"/>
        <w:rPr>
          <w:rFonts w:ascii="Abadi" w:hAnsi="Abadi"/>
          <w:b/>
          <w:bCs/>
          <w:sz w:val="20"/>
          <w:szCs w:val="20"/>
        </w:rPr>
      </w:pPr>
    </w:p>
    <w:p w14:paraId="313B0868" w14:textId="77777777" w:rsidR="00333EF7" w:rsidRPr="00333EF7" w:rsidRDefault="00333EF7" w:rsidP="00333EF7">
      <w:pPr>
        <w:pStyle w:val="Prrafodelista"/>
        <w:rPr>
          <w:rFonts w:ascii="Abadi" w:hAnsi="Abadi"/>
          <w:b/>
          <w:bCs/>
          <w:sz w:val="20"/>
          <w:szCs w:val="20"/>
        </w:rPr>
      </w:pPr>
    </w:p>
    <w:p w14:paraId="53D1C47C" w14:textId="19D509A9" w:rsidR="00333EF7" w:rsidRDefault="00333EF7" w:rsidP="005433FA">
      <w:pPr>
        <w:pStyle w:val="Prrafodelista"/>
        <w:numPr>
          <w:ilvl w:val="0"/>
          <w:numId w:val="9"/>
        </w:numPr>
        <w:tabs>
          <w:tab w:val="left" w:pos="856"/>
        </w:tabs>
        <w:kinsoku w:val="0"/>
        <w:overflowPunct w:val="0"/>
        <w:autoSpaceDE w:val="0"/>
        <w:autoSpaceDN w:val="0"/>
        <w:adjustRightInd w:val="0"/>
        <w:spacing w:before="1"/>
        <w:ind w:right="17"/>
        <w:jc w:val="both"/>
        <w:rPr>
          <w:rFonts w:ascii="Abadi" w:hAnsi="Abadi"/>
          <w:b/>
          <w:bCs/>
          <w:sz w:val="20"/>
          <w:szCs w:val="20"/>
        </w:rPr>
      </w:pPr>
      <w:r w:rsidRPr="00531B12">
        <w:rPr>
          <w:rFonts w:ascii="Abadi" w:hAnsi="Abadi"/>
          <w:b/>
          <w:bCs/>
          <w:sz w:val="20"/>
          <w:szCs w:val="20"/>
        </w:rPr>
        <w:t>PRESENTACIÓN</w:t>
      </w:r>
      <w:r w:rsidRPr="00531B12">
        <w:rPr>
          <w:rFonts w:ascii="Abadi" w:hAnsi="Abadi"/>
          <w:b/>
          <w:bCs/>
          <w:spacing w:val="33"/>
          <w:sz w:val="20"/>
          <w:szCs w:val="20"/>
        </w:rPr>
        <w:t xml:space="preserve"> </w:t>
      </w:r>
      <w:r w:rsidRPr="00531B12">
        <w:rPr>
          <w:rFonts w:ascii="Abadi" w:hAnsi="Abadi"/>
          <w:b/>
          <w:bCs/>
          <w:sz w:val="20"/>
          <w:szCs w:val="20"/>
        </w:rPr>
        <w:t>DE</w:t>
      </w:r>
      <w:r w:rsidRPr="00531B12">
        <w:rPr>
          <w:rFonts w:ascii="Abadi" w:hAnsi="Abadi"/>
          <w:b/>
          <w:bCs/>
          <w:spacing w:val="33"/>
          <w:sz w:val="20"/>
          <w:szCs w:val="20"/>
        </w:rPr>
        <w:t xml:space="preserve"> </w:t>
      </w:r>
      <w:r w:rsidRPr="00531B12">
        <w:rPr>
          <w:rFonts w:ascii="Abadi" w:hAnsi="Abadi"/>
          <w:b/>
          <w:bCs/>
          <w:sz w:val="20"/>
          <w:szCs w:val="20"/>
        </w:rPr>
        <w:t>LA</w:t>
      </w:r>
      <w:r w:rsidRPr="00531B12">
        <w:rPr>
          <w:rFonts w:ascii="Abadi" w:hAnsi="Abadi"/>
          <w:b/>
          <w:bCs/>
          <w:spacing w:val="33"/>
          <w:sz w:val="20"/>
          <w:szCs w:val="20"/>
        </w:rPr>
        <w:t xml:space="preserve"> </w:t>
      </w:r>
      <w:r w:rsidRPr="00531B12">
        <w:rPr>
          <w:rFonts w:ascii="Abadi" w:hAnsi="Abadi"/>
          <w:b/>
          <w:bCs/>
          <w:sz w:val="20"/>
          <w:szCs w:val="20"/>
        </w:rPr>
        <w:t>INICIATIVA</w:t>
      </w:r>
      <w:r w:rsidRPr="00531B12">
        <w:rPr>
          <w:rFonts w:ascii="Abadi" w:hAnsi="Abadi"/>
          <w:b/>
          <w:bCs/>
          <w:spacing w:val="33"/>
          <w:sz w:val="20"/>
          <w:szCs w:val="20"/>
        </w:rPr>
        <w:t xml:space="preserve"> </w:t>
      </w:r>
      <w:r w:rsidRPr="00531B12">
        <w:rPr>
          <w:rFonts w:ascii="Abadi" w:hAnsi="Abadi"/>
          <w:b/>
          <w:bCs/>
          <w:sz w:val="20"/>
          <w:szCs w:val="20"/>
        </w:rPr>
        <w:t>DE</w:t>
      </w:r>
      <w:r w:rsidRPr="00531B12">
        <w:rPr>
          <w:rFonts w:ascii="Abadi" w:hAnsi="Abadi"/>
          <w:b/>
          <w:bCs/>
          <w:spacing w:val="33"/>
          <w:sz w:val="20"/>
          <w:szCs w:val="20"/>
        </w:rPr>
        <w:t xml:space="preserve"> </w:t>
      </w:r>
      <w:r w:rsidRPr="00531B12">
        <w:rPr>
          <w:rFonts w:ascii="Abadi" w:hAnsi="Abadi"/>
          <w:b/>
          <w:bCs/>
          <w:sz w:val="20"/>
          <w:szCs w:val="20"/>
        </w:rPr>
        <w:t>LEY</w:t>
      </w:r>
      <w:r w:rsidRPr="00531B12">
        <w:rPr>
          <w:rFonts w:ascii="Abadi" w:hAnsi="Abadi"/>
          <w:b/>
          <w:bCs/>
          <w:spacing w:val="33"/>
          <w:sz w:val="20"/>
          <w:szCs w:val="20"/>
        </w:rPr>
        <w:t xml:space="preserve"> </w:t>
      </w:r>
      <w:r w:rsidRPr="00531B12">
        <w:rPr>
          <w:rFonts w:ascii="Abadi" w:hAnsi="Abadi"/>
          <w:b/>
          <w:bCs/>
          <w:sz w:val="20"/>
          <w:szCs w:val="20"/>
        </w:rPr>
        <w:t>PARA</w:t>
      </w:r>
      <w:r w:rsidRPr="00531B12">
        <w:rPr>
          <w:rFonts w:ascii="Abadi" w:hAnsi="Abadi"/>
          <w:b/>
          <w:bCs/>
          <w:spacing w:val="33"/>
          <w:sz w:val="20"/>
          <w:szCs w:val="20"/>
        </w:rPr>
        <w:t xml:space="preserve"> </w:t>
      </w:r>
      <w:r w:rsidRPr="00531B12">
        <w:rPr>
          <w:rFonts w:ascii="Abadi" w:hAnsi="Abadi"/>
          <w:b/>
          <w:bCs/>
          <w:sz w:val="20"/>
          <w:szCs w:val="20"/>
        </w:rPr>
        <w:t>FOMENTAR</w:t>
      </w:r>
      <w:r w:rsidRPr="00531B12">
        <w:rPr>
          <w:rFonts w:ascii="Abadi" w:hAnsi="Abadi"/>
          <w:b/>
          <w:bCs/>
          <w:spacing w:val="33"/>
          <w:sz w:val="20"/>
          <w:szCs w:val="20"/>
        </w:rPr>
        <w:t xml:space="preserve"> </w:t>
      </w:r>
      <w:r w:rsidRPr="00531B12">
        <w:rPr>
          <w:rFonts w:ascii="Abadi" w:hAnsi="Abadi"/>
          <w:b/>
          <w:bCs/>
          <w:sz w:val="20"/>
          <w:szCs w:val="20"/>
        </w:rPr>
        <w:t>EL</w:t>
      </w:r>
      <w:r w:rsidRPr="00531B12">
        <w:rPr>
          <w:rFonts w:ascii="Abadi" w:hAnsi="Abadi"/>
          <w:b/>
          <w:bCs/>
          <w:spacing w:val="33"/>
          <w:sz w:val="20"/>
          <w:szCs w:val="20"/>
        </w:rPr>
        <w:t xml:space="preserve"> </w:t>
      </w:r>
      <w:r w:rsidRPr="00531B12">
        <w:rPr>
          <w:rFonts w:ascii="Abadi" w:hAnsi="Abadi"/>
          <w:b/>
          <w:bCs/>
          <w:sz w:val="20"/>
          <w:szCs w:val="20"/>
        </w:rPr>
        <w:t>ACCESO</w:t>
      </w:r>
      <w:r w:rsidRPr="00531B12">
        <w:rPr>
          <w:rFonts w:ascii="Abadi" w:hAnsi="Abadi"/>
          <w:b/>
          <w:bCs/>
          <w:spacing w:val="33"/>
          <w:sz w:val="20"/>
          <w:szCs w:val="20"/>
        </w:rPr>
        <w:t xml:space="preserve"> </w:t>
      </w:r>
      <w:r w:rsidRPr="00531B12">
        <w:rPr>
          <w:rFonts w:ascii="Abadi" w:hAnsi="Abadi"/>
          <w:b/>
          <w:bCs/>
          <w:sz w:val="20"/>
          <w:szCs w:val="20"/>
        </w:rPr>
        <w:t>AL FINANCIAMIENTO</w:t>
      </w:r>
      <w:r w:rsidRPr="00531B12">
        <w:rPr>
          <w:rFonts w:ascii="Abadi" w:hAnsi="Abadi"/>
          <w:b/>
          <w:bCs/>
          <w:spacing w:val="55"/>
          <w:sz w:val="20"/>
          <w:szCs w:val="20"/>
        </w:rPr>
        <w:t xml:space="preserve"> </w:t>
      </w:r>
      <w:r w:rsidRPr="00531B12">
        <w:rPr>
          <w:rFonts w:ascii="Abadi" w:hAnsi="Abadi"/>
          <w:b/>
          <w:bCs/>
          <w:sz w:val="20"/>
          <w:szCs w:val="20"/>
        </w:rPr>
        <w:t>A</w:t>
      </w:r>
      <w:r w:rsidRPr="00531B12">
        <w:rPr>
          <w:rFonts w:ascii="Abadi" w:hAnsi="Abadi"/>
          <w:b/>
          <w:bCs/>
          <w:spacing w:val="55"/>
          <w:sz w:val="20"/>
          <w:szCs w:val="20"/>
        </w:rPr>
        <w:t xml:space="preserve"> </w:t>
      </w:r>
      <w:r w:rsidRPr="00531B12">
        <w:rPr>
          <w:rFonts w:ascii="Abadi" w:hAnsi="Abadi"/>
          <w:b/>
          <w:bCs/>
          <w:sz w:val="20"/>
          <w:szCs w:val="20"/>
        </w:rPr>
        <w:t>LAS</w:t>
      </w:r>
      <w:r w:rsidRPr="00531B12">
        <w:rPr>
          <w:rFonts w:ascii="Abadi" w:hAnsi="Abadi"/>
          <w:b/>
          <w:bCs/>
          <w:spacing w:val="55"/>
          <w:sz w:val="20"/>
          <w:szCs w:val="20"/>
        </w:rPr>
        <w:t xml:space="preserve"> </w:t>
      </w:r>
      <w:r w:rsidRPr="00531B12">
        <w:rPr>
          <w:rFonts w:ascii="Abadi" w:hAnsi="Abadi"/>
          <w:b/>
          <w:bCs/>
          <w:sz w:val="20"/>
          <w:szCs w:val="20"/>
        </w:rPr>
        <w:t>PEQUEÑAS</w:t>
      </w:r>
      <w:r w:rsidRPr="00531B12">
        <w:rPr>
          <w:rFonts w:ascii="Abadi" w:hAnsi="Abadi"/>
          <w:b/>
          <w:bCs/>
          <w:spacing w:val="55"/>
          <w:sz w:val="20"/>
          <w:szCs w:val="20"/>
        </w:rPr>
        <w:t xml:space="preserve"> </w:t>
      </w:r>
      <w:r w:rsidRPr="00531B12">
        <w:rPr>
          <w:rFonts w:ascii="Abadi" w:hAnsi="Abadi"/>
          <w:b/>
          <w:bCs/>
          <w:sz w:val="20"/>
          <w:szCs w:val="20"/>
        </w:rPr>
        <w:t>Y</w:t>
      </w:r>
      <w:r w:rsidRPr="00531B12">
        <w:rPr>
          <w:rFonts w:ascii="Abadi" w:hAnsi="Abadi"/>
          <w:b/>
          <w:bCs/>
          <w:spacing w:val="55"/>
          <w:sz w:val="20"/>
          <w:szCs w:val="20"/>
        </w:rPr>
        <w:t xml:space="preserve"> </w:t>
      </w:r>
      <w:r w:rsidRPr="00531B12">
        <w:rPr>
          <w:rFonts w:ascii="Abadi" w:hAnsi="Abadi"/>
          <w:b/>
          <w:bCs/>
          <w:sz w:val="20"/>
          <w:szCs w:val="20"/>
        </w:rPr>
        <w:t>MEDIANAS</w:t>
      </w:r>
      <w:r w:rsidRPr="00531B12">
        <w:rPr>
          <w:rFonts w:ascii="Abadi" w:hAnsi="Abadi"/>
          <w:b/>
          <w:bCs/>
          <w:spacing w:val="55"/>
          <w:sz w:val="20"/>
          <w:szCs w:val="20"/>
        </w:rPr>
        <w:t xml:space="preserve"> </w:t>
      </w:r>
      <w:r w:rsidRPr="00531B12">
        <w:rPr>
          <w:rFonts w:ascii="Abadi" w:hAnsi="Abadi"/>
          <w:b/>
          <w:bCs/>
          <w:sz w:val="20"/>
          <w:szCs w:val="20"/>
        </w:rPr>
        <w:t>EMPRESAS</w:t>
      </w:r>
      <w:r w:rsidRPr="00531B12">
        <w:rPr>
          <w:rFonts w:ascii="Abadi" w:hAnsi="Abadi"/>
          <w:b/>
          <w:bCs/>
          <w:spacing w:val="54"/>
          <w:sz w:val="20"/>
          <w:szCs w:val="20"/>
        </w:rPr>
        <w:t xml:space="preserve"> </w:t>
      </w:r>
      <w:r w:rsidRPr="00531B12">
        <w:rPr>
          <w:rFonts w:ascii="Abadi" w:hAnsi="Abadi"/>
          <w:b/>
          <w:bCs/>
          <w:sz w:val="20"/>
          <w:szCs w:val="20"/>
        </w:rPr>
        <w:t>EN</w:t>
      </w:r>
      <w:r w:rsidRPr="00531B12">
        <w:rPr>
          <w:rFonts w:ascii="Abadi" w:hAnsi="Abadi"/>
          <w:b/>
          <w:bCs/>
          <w:spacing w:val="54"/>
          <w:sz w:val="20"/>
          <w:szCs w:val="20"/>
        </w:rPr>
        <w:t xml:space="preserve"> </w:t>
      </w:r>
      <w:r w:rsidRPr="00531B12">
        <w:rPr>
          <w:rFonts w:ascii="Abadi" w:hAnsi="Abadi"/>
          <w:b/>
          <w:bCs/>
          <w:sz w:val="20"/>
          <w:szCs w:val="20"/>
        </w:rPr>
        <w:t>EL</w:t>
      </w:r>
      <w:r w:rsidRPr="00531B12">
        <w:rPr>
          <w:rFonts w:ascii="Abadi" w:hAnsi="Abadi"/>
          <w:b/>
          <w:bCs/>
          <w:spacing w:val="54"/>
          <w:sz w:val="20"/>
          <w:szCs w:val="20"/>
        </w:rPr>
        <w:t xml:space="preserve"> </w:t>
      </w:r>
      <w:r w:rsidRPr="00531B12">
        <w:rPr>
          <w:rFonts w:ascii="Abadi" w:hAnsi="Abadi"/>
          <w:b/>
          <w:bCs/>
          <w:sz w:val="20"/>
          <w:szCs w:val="20"/>
        </w:rPr>
        <w:t>ESTADO</w:t>
      </w:r>
      <w:r w:rsidRPr="00531B12">
        <w:rPr>
          <w:rFonts w:ascii="Abadi" w:hAnsi="Abadi"/>
          <w:b/>
          <w:bCs/>
          <w:spacing w:val="54"/>
          <w:sz w:val="20"/>
          <w:szCs w:val="20"/>
        </w:rPr>
        <w:t xml:space="preserve"> </w:t>
      </w:r>
      <w:r w:rsidRPr="00531B12">
        <w:rPr>
          <w:rFonts w:ascii="Abadi" w:hAnsi="Abadi"/>
          <w:b/>
          <w:bCs/>
          <w:sz w:val="20"/>
          <w:szCs w:val="20"/>
        </w:rPr>
        <w:t>DE GUANAJUATO,</w:t>
      </w:r>
      <w:r w:rsidRPr="00531B12">
        <w:rPr>
          <w:rFonts w:ascii="Abadi" w:hAnsi="Abadi"/>
          <w:b/>
          <w:bCs/>
          <w:spacing w:val="80"/>
          <w:sz w:val="20"/>
          <w:szCs w:val="20"/>
        </w:rPr>
        <w:t xml:space="preserve"> </w:t>
      </w:r>
      <w:r w:rsidRPr="00531B12">
        <w:rPr>
          <w:rFonts w:ascii="Abadi" w:hAnsi="Abadi"/>
          <w:b/>
          <w:bCs/>
          <w:sz w:val="20"/>
          <w:szCs w:val="20"/>
        </w:rPr>
        <w:t>SUSCRITA</w:t>
      </w:r>
      <w:r w:rsidRPr="00531B12">
        <w:rPr>
          <w:rFonts w:ascii="Abadi" w:hAnsi="Abadi"/>
          <w:b/>
          <w:bCs/>
          <w:spacing w:val="80"/>
          <w:sz w:val="20"/>
          <w:szCs w:val="20"/>
        </w:rPr>
        <w:t xml:space="preserve"> </w:t>
      </w:r>
      <w:r w:rsidRPr="00531B12">
        <w:rPr>
          <w:rFonts w:ascii="Abadi" w:hAnsi="Abadi"/>
          <w:b/>
          <w:bCs/>
          <w:sz w:val="20"/>
          <w:szCs w:val="20"/>
        </w:rPr>
        <w:t>POR</w:t>
      </w:r>
      <w:r w:rsidRPr="00531B12">
        <w:rPr>
          <w:rFonts w:ascii="Abadi" w:hAnsi="Abadi"/>
          <w:b/>
          <w:bCs/>
          <w:spacing w:val="80"/>
          <w:sz w:val="20"/>
          <w:szCs w:val="20"/>
        </w:rPr>
        <w:t xml:space="preserve"> </w:t>
      </w:r>
      <w:r w:rsidRPr="00531B12">
        <w:rPr>
          <w:rFonts w:ascii="Abadi" w:hAnsi="Abadi"/>
          <w:b/>
          <w:bCs/>
          <w:sz w:val="20"/>
          <w:szCs w:val="20"/>
        </w:rPr>
        <w:t>DIPUTADAS</w:t>
      </w:r>
      <w:r w:rsidRPr="00531B12">
        <w:rPr>
          <w:rFonts w:ascii="Abadi" w:hAnsi="Abadi"/>
          <w:b/>
          <w:bCs/>
          <w:spacing w:val="80"/>
          <w:sz w:val="20"/>
          <w:szCs w:val="20"/>
        </w:rPr>
        <w:t xml:space="preserve"> </w:t>
      </w:r>
      <w:r w:rsidRPr="00531B12">
        <w:rPr>
          <w:rFonts w:ascii="Abadi" w:hAnsi="Abadi"/>
          <w:b/>
          <w:bCs/>
          <w:sz w:val="20"/>
          <w:szCs w:val="20"/>
        </w:rPr>
        <w:t>Y</w:t>
      </w:r>
      <w:r w:rsidRPr="00531B12">
        <w:rPr>
          <w:rFonts w:ascii="Abadi" w:hAnsi="Abadi"/>
          <w:b/>
          <w:bCs/>
          <w:spacing w:val="80"/>
          <w:sz w:val="20"/>
          <w:szCs w:val="20"/>
        </w:rPr>
        <w:t xml:space="preserve"> </w:t>
      </w:r>
      <w:r w:rsidRPr="00531B12">
        <w:rPr>
          <w:rFonts w:ascii="Abadi" w:hAnsi="Abadi"/>
          <w:b/>
          <w:bCs/>
          <w:sz w:val="20"/>
          <w:szCs w:val="20"/>
        </w:rPr>
        <w:t>DIPUTADOS</w:t>
      </w:r>
      <w:r w:rsidRPr="00531B12">
        <w:rPr>
          <w:rFonts w:ascii="Abadi" w:hAnsi="Abadi"/>
          <w:b/>
          <w:bCs/>
          <w:spacing w:val="80"/>
          <w:sz w:val="20"/>
          <w:szCs w:val="20"/>
        </w:rPr>
        <w:t xml:space="preserve"> </w:t>
      </w:r>
      <w:r w:rsidRPr="00531B12">
        <w:rPr>
          <w:rFonts w:ascii="Abadi" w:hAnsi="Abadi"/>
          <w:b/>
          <w:bCs/>
          <w:sz w:val="20"/>
          <w:szCs w:val="20"/>
        </w:rPr>
        <w:t>INTEGRANTES</w:t>
      </w:r>
      <w:r w:rsidRPr="00531B12">
        <w:rPr>
          <w:rFonts w:ascii="Abadi" w:hAnsi="Abadi"/>
          <w:b/>
          <w:bCs/>
          <w:spacing w:val="80"/>
          <w:sz w:val="20"/>
          <w:szCs w:val="20"/>
        </w:rPr>
        <w:t xml:space="preserve"> </w:t>
      </w:r>
      <w:r w:rsidRPr="00531B12">
        <w:rPr>
          <w:rFonts w:ascii="Abadi" w:hAnsi="Abadi"/>
          <w:b/>
          <w:bCs/>
          <w:sz w:val="20"/>
          <w:szCs w:val="20"/>
        </w:rPr>
        <w:t>DEL</w:t>
      </w:r>
      <w:r w:rsidRPr="00531B12">
        <w:rPr>
          <w:rFonts w:ascii="Abadi" w:hAnsi="Abadi"/>
          <w:b/>
          <w:bCs/>
          <w:spacing w:val="80"/>
          <w:sz w:val="20"/>
          <w:szCs w:val="20"/>
        </w:rPr>
        <w:t xml:space="preserve"> </w:t>
      </w:r>
      <w:r w:rsidRPr="00531B12">
        <w:rPr>
          <w:rFonts w:ascii="Abadi" w:hAnsi="Abadi"/>
          <w:b/>
          <w:bCs/>
          <w:sz w:val="20"/>
          <w:szCs w:val="20"/>
        </w:rPr>
        <w:t>GRUPO PARLAMENTARIO DEL PARTIDO ACCIÓN NACIONAL.</w:t>
      </w:r>
    </w:p>
    <w:p w14:paraId="1CE068B8" w14:textId="723654A0" w:rsidR="00EC4912" w:rsidRDefault="00EC4912" w:rsidP="00EC4912">
      <w:pPr>
        <w:tabs>
          <w:tab w:val="left" w:pos="856"/>
        </w:tabs>
        <w:kinsoku w:val="0"/>
        <w:overflowPunct w:val="0"/>
        <w:autoSpaceDE w:val="0"/>
        <w:autoSpaceDN w:val="0"/>
        <w:adjustRightInd w:val="0"/>
        <w:spacing w:before="1"/>
        <w:ind w:right="17"/>
        <w:jc w:val="both"/>
        <w:rPr>
          <w:rFonts w:ascii="Abadi" w:hAnsi="Abadi"/>
          <w:b/>
          <w:bCs/>
          <w:sz w:val="20"/>
          <w:szCs w:val="20"/>
        </w:rPr>
      </w:pPr>
    </w:p>
    <w:p w14:paraId="6A4D22E1" w14:textId="77777777" w:rsidR="00D0323E" w:rsidRPr="00FA7CEF" w:rsidRDefault="00D0323E" w:rsidP="00D0323E">
      <w:pPr>
        <w:autoSpaceDE w:val="0"/>
        <w:autoSpaceDN w:val="0"/>
        <w:adjustRightInd w:val="0"/>
        <w:jc w:val="both"/>
        <w:rPr>
          <w:rFonts w:ascii="Abadi" w:hAnsi="Abadi" w:cs="*Courier New-Bold-10109-Identit"/>
          <w:b/>
          <w:bCs/>
          <w:color w:val="131313"/>
          <w:sz w:val="21"/>
          <w:szCs w:val="21"/>
        </w:rPr>
      </w:pPr>
      <w:r w:rsidRPr="00FA7CEF">
        <w:rPr>
          <w:rFonts w:ascii="Abadi" w:hAnsi="Abadi" w:cs="*Arial-Bold-10104-Identity-H"/>
          <w:b/>
          <w:bCs/>
          <w:color w:val="131313"/>
          <w:sz w:val="21"/>
          <w:szCs w:val="21"/>
        </w:rPr>
        <w:t>DIPUTADA IRMA LETICIA GONZÁLEZ SÁNCHEZ</w:t>
      </w:r>
    </w:p>
    <w:p w14:paraId="2C400714" w14:textId="77777777" w:rsidR="00D0323E" w:rsidRPr="00FA7CEF" w:rsidRDefault="00D0323E" w:rsidP="00D0323E">
      <w:pPr>
        <w:autoSpaceDE w:val="0"/>
        <w:autoSpaceDN w:val="0"/>
        <w:adjustRightInd w:val="0"/>
        <w:jc w:val="both"/>
        <w:rPr>
          <w:rFonts w:ascii="Abadi" w:hAnsi="Abadi" w:cs="*Arial-Bold-10104-Identity-H"/>
          <w:b/>
          <w:bCs/>
          <w:color w:val="111111"/>
          <w:sz w:val="21"/>
          <w:szCs w:val="21"/>
        </w:rPr>
      </w:pPr>
      <w:r w:rsidRPr="00FA7CEF">
        <w:rPr>
          <w:rFonts w:ascii="Abadi" w:hAnsi="Abadi" w:cs="*Arial-Bold-10104-Identity-H"/>
          <w:b/>
          <w:bCs/>
          <w:color w:val="111111"/>
          <w:sz w:val="21"/>
          <w:szCs w:val="21"/>
        </w:rPr>
        <w:t>PRESIDENTA DEL CONGRESO DEL ESTADO LIBRE Y SOBERANO</w:t>
      </w:r>
    </w:p>
    <w:p w14:paraId="2F5C4EFA" w14:textId="77777777" w:rsidR="00D0323E" w:rsidRPr="00FA7CEF" w:rsidRDefault="00D0323E" w:rsidP="00D0323E">
      <w:pPr>
        <w:autoSpaceDE w:val="0"/>
        <w:autoSpaceDN w:val="0"/>
        <w:adjustRightInd w:val="0"/>
        <w:jc w:val="both"/>
        <w:rPr>
          <w:rFonts w:ascii="Abadi" w:hAnsi="Abadi" w:cs="*Arial-Bold-10104-Identity-H"/>
          <w:b/>
          <w:bCs/>
          <w:color w:val="101010"/>
          <w:sz w:val="21"/>
          <w:szCs w:val="21"/>
        </w:rPr>
      </w:pPr>
      <w:r w:rsidRPr="00FA7CEF">
        <w:rPr>
          <w:rFonts w:ascii="Abadi" w:hAnsi="Abadi" w:cs="*Arial-Bold-10104-Identity-H"/>
          <w:b/>
          <w:bCs/>
          <w:color w:val="101010"/>
          <w:sz w:val="21"/>
          <w:szCs w:val="21"/>
        </w:rPr>
        <w:t>DE GUANAJUATO</w:t>
      </w:r>
    </w:p>
    <w:p w14:paraId="034E95F4" w14:textId="77777777" w:rsidR="00D0323E" w:rsidRPr="00FA7CEF" w:rsidRDefault="00D0323E" w:rsidP="00D0323E">
      <w:pPr>
        <w:autoSpaceDE w:val="0"/>
        <w:autoSpaceDN w:val="0"/>
        <w:adjustRightInd w:val="0"/>
        <w:jc w:val="both"/>
        <w:rPr>
          <w:rFonts w:ascii="Abadi" w:hAnsi="Abadi" w:cs="*Arial-Bold-10104-Identity-H"/>
          <w:b/>
          <w:bCs/>
          <w:color w:val="0F0F0F"/>
          <w:sz w:val="21"/>
          <w:szCs w:val="21"/>
        </w:rPr>
      </w:pPr>
      <w:r w:rsidRPr="00FA7CEF">
        <w:rPr>
          <w:rFonts w:ascii="Abadi" w:hAnsi="Abadi" w:cs="*Arial-Bold-10104-Identity-H"/>
          <w:b/>
          <w:bCs/>
          <w:color w:val="0F0F0F"/>
          <w:sz w:val="21"/>
          <w:szCs w:val="21"/>
        </w:rPr>
        <w:t>SEXAGÉSIMA QUINTA LEGISLATURA</w:t>
      </w:r>
    </w:p>
    <w:p w14:paraId="78DB6FE7" w14:textId="77777777" w:rsidR="00D0323E" w:rsidRPr="00FA7CEF" w:rsidRDefault="00D0323E" w:rsidP="00D0323E">
      <w:pPr>
        <w:autoSpaceDE w:val="0"/>
        <w:autoSpaceDN w:val="0"/>
        <w:adjustRightInd w:val="0"/>
        <w:jc w:val="both"/>
        <w:rPr>
          <w:rFonts w:ascii="Abadi" w:hAnsi="Abadi" w:cs="*Arial-Bold-10104-Identity-H"/>
          <w:b/>
          <w:bCs/>
          <w:color w:val="0F0F0F"/>
          <w:sz w:val="21"/>
          <w:szCs w:val="21"/>
        </w:rPr>
      </w:pPr>
      <w:r w:rsidRPr="00FA7CEF">
        <w:rPr>
          <w:rFonts w:ascii="Abadi" w:hAnsi="Abadi" w:cs="*Arial-Bold-10104-Identity-H"/>
          <w:b/>
          <w:bCs/>
          <w:color w:val="0F0F0F"/>
          <w:sz w:val="21"/>
          <w:szCs w:val="21"/>
        </w:rPr>
        <w:t>PRESENTE</w:t>
      </w:r>
    </w:p>
    <w:p w14:paraId="1560EEF4" w14:textId="77777777" w:rsidR="00D0323E" w:rsidRPr="00FA7CEF" w:rsidRDefault="00D0323E" w:rsidP="00D0323E">
      <w:pPr>
        <w:autoSpaceDE w:val="0"/>
        <w:autoSpaceDN w:val="0"/>
        <w:adjustRightInd w:val="0"/>
        <w:jc w:val="both"/>
        <w:rPr>
          <w:rFonts w:ascii="Abadi" w:hAnsi="Abadi" w:cs="*Arial-Bold-10104-Identity-H"/>
          <w:b/>
          <w:bCs/>
          <w:color w:val="0F0F0F"/>
          <w:sz w:val="21"/>
          <w:szCs w:val="21"/>
        </w:rPr>
      </w:pPr>
    </w:p>
    <w:p w14:paraId="42BBBEC3" w14:textId="77777777" w:rsidR="00D0323E" w:rsidRPr="00FA7CEF" w:rsidRDefault="00D0323E" w:rsidP="00D0323E">
      <w:pPr>
        <w:autoSpaceDE w:val="0"/>
        <w:autoSpaceDN w:val="0"/>
        <w:adjustRightInd w:val="0"/>
        <w:ind w:firstLine="708"/>
        <w:jc w:val="both"/>
        <w:rPr>
          <w:rFonts w:ascii="Abadi" w:hAnsi="Abadi" w:cs="*Arial-10103-Identity-H"/>
          <w:color w:val="0B0B0B"/>
          <w:sz w:val="21"/>
          <w:szCs w:val="21"/>
        </w:rPr>
      </w:pPr>
      <w:r w:rsidRPr="00FA7CEF">
        <w:rPr>
          <w:rFonts w:ascii="Abadi" w:hAnsi="Abadi" w:cs="*Arial-10103-Identity-H"/>
          <w:color w:val="0B0B0B"/>
          <w:sz w:val="21"/>
          <w:szCs w:val="21"/>
        </w:rPr>
        <w:t>Quienes integramos el Grupo Parlamentario del Partido Acción</w:t>
      </w:r>
      <w:r>
        <w:rPr>
          <w:rFonts w:ascii="Abadi" w:hAnsi="Abadi" w:cs="*Arial-10103-Identity-H"/>
          <w:color w:val="0B0B0B"/>
          <w:sz w:val="21"/>
          <w:szCs w:val="21"/>
        </w:rPr>
        <w:t xml:space="preserve"> </w:t>
      </w:r>
      <w:r w:rsidRPr="00FA7CEF">
        <w:rPr>
          <w:rFonts w:ascii="Abadi" w:hAnsi="Abadi" w:cs="*Arial-10103-Identity-H"/>
          <w:color w:val="0B0B0B"/>
          <w:sz w:val="21"/>
          <w:szCs w:val="21"/>
        </w:rPr>
        <w:t>Nacional ante la Sexagésima Quinta Legislatura del Congreso del</w:t>
      </w:r>
      <w:r>
        <w:rPr>
          <w:rFonts w:ascii="Abadi" w:hAnsi="Abadi" w:cs="*Arial-10103-Identity-H"/>
          <w:color w:val="0B0B0B"/>
          <w:sz w:val="21"/>
          <w:szCs w:val="21"/>
        </w:rPr>
        <w:t xml:space="preserve"> </w:t>
      </w:r>
      <w:r w:rsidRPr="00FA7CEF">
        <w:rPr>
          <w:rFonts w:ascii="Abadi" w:hAnsi="Abadi" w:cs="*Arial-10103-Identity-H"/>
          <w:color w:val="0B0B0B"/>
          <w:sz w:val="21"/>
          <w:szCs w:val="21"/>
        </w:rPr>
        <w:t>Estado Libre y Soberano de Guanajuato</w:t>
      </w:r>
      <w:r>
        <w:rPr>
          <w:rFonts w:ascii="Abadi" w:hAnsi="Abadi" w:cs="*Arial-10103-Identity-H"/>
          <w:color w:val="0B0B0B"/>
          <w:sz w:val="21"/>
          <w:szCs w:val="21"/>
        </w:rPr>
        <w:t>,</w:t>
      </w:r>
      <w:r w:rsidRPr="00FA7CEF">
        <w:rPr>
          <w:rFonts w:ascii="Abadi" w:hAnsi="Abadi" w:cs="*Minion Pro-Bold-10112-Identity"/>
          <w:b/>
          <w:bCs/>
          <w:color w:val="0B0B0B"/>
          <w:sz w:val="21"/>
          <w:szCs w:val="21"/>
        </w:rPr>
        <w:t xml:space="preserve"> </w:t>
      </w:r>
      <w:r w:rsidRPr="00FA7CEF">
        <w:rPr>
          <w:rFonts w:ascii="Abadi" w:hAnsi="Abadi" w:cs="*Arial-10103-Identity-H"/>
          <w:color w:val="0B0B0B"/>
          <w:sz w:val="21"/>
          <w:szCs w:val="21"/>
        </w:rPr>
        <w:t>con fundamento en lo</w:t>
      </w:r>
      <w:r>
        <w:rPr>
          <w:rFonts w:ascii="Abadi" w:hAnsi="Abadi" w:cs="*Arial-10103-Identity-H"/>
          <w:color w:val="0B0B0B"/>
          <w:sz w:val="21"/>
          <w:szCs w:val="21"/>
        </w:rPr>
        <w:t xml:space="preserve"> </w:t>
      </w:r>
      <w:r w:rsidRPr="00FA7CEF">
        <w:rPr>
          <w:rFonts w:ascii="Abadi" w:hAnsi="Abadi" w:cs="*Arial-10103-Identity-H"/>
          <w:color w:val="0B0B0B"/>
          <w:sz w:val="21"/>
          <w:szCs w:val="21"/>
        </w:rPr>
        <w:t>dispuesto por los Artículos 56, fracción 11, de la Constitución Política</w:t>
      </w:r>
      <w:r>
        <w:rPr>
          <w:rFonts w:ascii="Abadi" w:hAnsi="Abadi" w:cs="*Arial-10103-Identity-H"/>
          <w:color w:val="0B0B0B"/>
          <w:sz w:val="21"/>
          <w:szCs w:val="21"/>
        </w:rPr>
        <w:t xml:space="preserve"> </w:t>
      </w:r>
      <w:r w:rsidRPr="00FA7CEF">
        <w:rPr>
          <w:rFonts w:ascii="Abadi" w:hAnsi="Abadi" w:cs="*Arial-10103-Identity-H"/>
          <w:color w:val="0B0B0B"/>
          <w:sz w:val="21"/>
          <w:szCs w:val="21"/>
        </w:rPr>
        <w:t xml:space="preserve">para el Estado de Guanajuato; y 167, fracción </w:t>
      </w:r>
      <w:r>
        <w:rPr>
          <w:rFonts w:ascii="Abadi" w:hAnsi="Abadi" w:cs="*Arial-10103-Identity-H"/>
          <w:color w:val="0B0B0B"/>
          <w:sz w:val="21"/>
          <w:szCs w:val="21"/>
        </w:rPr>
        <w:t>II</w:t>
      </w:r>
      <w:r w:rsidRPr="00FA7CEF">
        <w:rPr>
          <w:rFonts w:ascii="Abadi" w:hAnsi="Abadi" w:cs="*Arial-10103-Identity-H"/>
          <w:color w:val="0B0B0B"/>
          <w:sz w:val="21"/>
          <w:szCs w:val="21"/>
        </w:rPr>
        <w:t xml:space="preserve"> y 168 de la Ley</w:t>
      </w:r>
      <w:r>
        <w:rPr>
          <w:rFonts w:ascii="Abadi" w:hAnsi="Abadi" w:cs="*Arial-10103-Identity-H"/>
          <w:color w:val="0B0B0B"/>
          <w:sz w:val="21"/>
          <w:szCs w:val="21"/>
        </w:rPr>
        <w:t xml:space="preserve"> </w:t>
      </w:r>
      <w:r w:rsidRPr="00FA7CEF">
        <w:rPr>
          <w:rFonts w:ascii="Abadi" w:hAnsi="Abadi" w:cs="*Arial-10103-Identity-H"/>
          <w:color w:val="0B0B0B"/>
          <w:sz w:val="21"/>
          <w:szCs w:val="21"/>
        </w:rPr>
        <w:t>Orgánica del Poder Legislativo del Estado de Guanajuato, nos</w:t>
      </w:r>
      <w:r>
        <w:rPr>
          <w:rFonts w:ascii="Abadi" w:hAnsi="Abadi" w:cs="*Arial-10103-Identity-H"/>
          <w:color w:val="0B0B0B"/>
          <w:sz w:val="21"/>
          <w:szCs w:val="21"/>
        </w:rPr>
        <w:t xml:space="preserve"> </w:t>
      </w:r>
      <w:r w:rsidRPr="00FA7CEF">
        <w:rPr>
          <w:rFonts w:ascii="Abadi" w:hAnsi="Abadi" w:cs="*Arial-10103-Identity-H"/>
          <w:color w:val="0B0B0B"/>
          <w:sz w:val="21"/>
          <w:szCs w:val="21"/>
        </w:rPr>
        <w:t>permitimos somete</w:t>
      </w:r>
      <w:r>
        <w:rPr>
          <w:rFonts w:ascii="Abadi" w:hAnsi="Abadi" w:cs="*Arial-10103-Identity-H"/>
          <w:color w:val="0B0B0B"/>
          <w:sz w:val="21"/>
          <w:szCs w:val="21"/>
        </w:rPr>
        <w:t>r</w:t>
      </w:r>
      <w:r w:rsidRPr="00FA7CEF">
        <w:rPr>
          <w:rFonts w:ascii="Abadi" w:hAnsi="Abadi" w:cs="*Arial-10107-Identity-H"/>
          <w:color w:val="0B0B0B"/>
          <w:sz w:val="21"/>
          <w:szCs w:val="21"/>
        </w:rPr>
        <w:t xml:space="preserve"> </w:t>
      </w:r>
      <w:r w:rsidRPr="00FA7CEF">
        <w:rPr>
          <w:rFonts w:ascii="Abadi" w:hAnsi="Abadi" w:cs="*Arial-10103-Identity-H"/>
          <w:color w:val="0B0B0B"/>
          <w:sz w:val="21"/>
          <w:szCs w:val="21"/>
        </w:rPr>
        <w:t>por su digno conducto, a la consideración de esta</w:t>
      </w:r>
      <w:r>
        <w:rPr>
          <w:rFonts w:ascii="Abadi" w:hAnsi="Abadi" w:cs="*Arial-10103-Identity-H"/>
          <w:color w:val="0B0B0B"/>
          <w:sz w:val="21"/>
          <w:szCs w:val="21"/>
        </w:rPr>
        <w:t xml:space="preserve"> </w:t>
      </w:r>
      <w:r w:rsidRPr="00FA7CEF">
        <w:rPr>
          <w:rFonts w:ascii="Abadi" w:hAnsi="Abadi" w:cs="*Arial-10103-Identity-H"/>
          <w:color w:val="0B0B0B"/>
          <w:sz w:val="21"/>
          <w:szCs w:val="21"/>
        </w:rPr>
        <w:t xml:space="preserve">Honorable Asamblea </w:t>
      </w:r>
      <w:r w:rsidRPr="00FA7CEF">
        <w:rPr>
          <w:rFonts w:ascii="Abadi" w:hAnsi="Abadi" w:cs="*Minion Pro-Bold-10112-Identity"/>
          <w:b/>
          <w:bCs/>
          <w:color w:val="0B0B0B"/>
          <w:sz w:val="21"/>
          <w:szCs w:val="21"/>
        </w:rPr>
        <w:t xml:space="preserve">1 </w:t>
      </w:r>
      <w:r w:rsidRPr="00FA7CEF">
        <w:rPr>
          <w:rFonts w:ascii="Abadi" w:hAnsi="Abadi" w:cs="*Arial-10103-Identity-H"/>
          <w:color w:val="0B0B0B"/>
          <w:sz w:val="21"/>
          <w:szCs w:val="21"/>
        </w:rPr>
        <w:t xml:space="preserve">la presente iniciativa para la creación de la </w:t>
      </w:r>
      <w:r w:rsidRPr="00FA7CEF">
        <w:rPr>
          <w:rFonts w:ascii="Abadi" w:hAnsi="Abadi" w:cs="*Arial-BoldItalic-10106-Identit"/>
          <w:b/>
          <w:bCs/>
          <w:i/>
          <w:iCs/>
          <w:color w:val="0B0B0B"/>
          <w:sz w:val="21"/>
          <w:szCs w:val="21"/>
        </w:rPr>
        <w:t>Ley</w:t>
      </w:r>
      <w:r>
        <w:rPr>
          <w:rFonts w:ascii="Abadi" w:hAnsi="Abadi" w:cs="*Arial-BoldItalic-10106-Identit"/>
          <w:b/>
          <w:bCs/>
          <w:i/>
          <w:iCs/>
          <w:color w:val="0B0B0B"/>
          <w:sz w:val="21"/>
          <w:szCs w:val="21"/>
        </w:rPr>
        <w:t xml:space="preserve"> </w:t>
      </w:r>
      <w:r w:rsidRPr="00FA7CEF">
        <w:rPr>
          <w:rFonts w:ascii="Abadi" w:hAnsi="Abadi" w:cs="*Arial-BoldItalic-10105-Identit"/>
          <w:b/>
          <w:bCs/>
          <w:i/>
          <w:iCs/>
          <w:color w:val="0B0B0B"/>
          <w:sz w:val="21"/>
          <w:szCs w:val="21"/>
        </w:rPr>
        <w:t xml:space="preserve">para Fomentar el Acceso al </w:t>
      </w:r>
      <w:r w:rsidRPr="00FA7CEF">
        <w:rPr>
          <w:rFonts w:ascii="Abadi" w:hAnsi="Abadi" w:cs="*Arial-BoldItalic-10105-Identit"/>
          <w:b/>
          <w:bCs/>
          <w:i/>
          <w:iCs/>
          <w:color w:val="0B0B0B"/>
          <w:sz w:val="21"/>
          <w:szCs w:val="21"/>
        </w:rPr>
        <w:t xml:space="preserve">Financiamiento </w:t>
      </w:r>
      <w:r w:rsidRPr="00FA7CEF">
        <w:rPr>
          <w:rFonts w:ascii="Abadi" w:hAnsi="Abadi" w:cs="*Arial-10103-Identity-H"/>
          <w:color w:val="0B0B0B"/>
          <w:sz w:val="21"/>
          <w:szCs w:val="21"/>
        </w:rPr>
        <w:t xml:space="preserve">a </w:t>
      </w:r>
      <w:r w:rsidRPr="00FA7CEF">
        <w:rPr>
          <w:rFonts w:ascii="Abadi" w:hAnsi="Abadi" w:cs="*Arial-BoldItalic-10105-Identit"/>
          <w:b/>
          <w:bCs/>
          <w:i/>
          <w:iCs/>
          <w:color w:val="0B0B0B"/>
          <w:sz w:val="21"/>
          <w:szCs w:val="21"/>
        </w:rPr>
        <w:t>las Pequeñas y</w:t>
      </w:r>
      <w:r>
        <w:rPr>
          <w:rFonts w:ascii="Abadi" w:hAnsi="Abadi" w:cs="*Arial-BoldItalic-10105-Identit"/>
          <w:b/>
          <w:bCs/>
          <w:i/>
          <w:iCs/>
          <w:color w:val="0B0B0B"/>
          <w:sz w:val="21"/>
          <w:szCs w:val="21"/>
        </w:rPr>
        <w:t xml:space="preserve"> </w:t>
      </w:r>
      <w:r w:rsidRPr="00FA7CEF">
        <w:rPr>
          <w:rFonts w:ascii="Abadi" w:hAnsi="Abadi" w:cs="*Arial-BoldItalic-10105-Identit"/>
          <w:b/>
          <w:bCs/>
          <w:i/>
          <w:iCs/>
          <w:color w:val="0B0B0B"/>
          <w:sz w:val="21"/>
          <w:szCs w:val="21"/>
        </w:rPr>
        <w:t xml:space="preserve">Medianas Empresas en el Estado de Guanajuato, </w:t>
      </w:r>
      <w:r w:rsidRPr="00FA7CEF">
        <w:rPr>
          <w:rFonts w:ascii="Abadi" w:hAnsi="Abadi" w:cs="*Arial-10103-Identity-H"/>
          <w:color w:val="0B0B0B"/>
          <w:sz w:val="21"/>
          <w:szCs w:val="21"/>
        </w:rPr>
        <w:t>en atención a la</w:t>
      </w:r>
    </w:p>
    <w:p w14:paraId="37921A8E" w14:textId="77777777" w:rsidR="00D0323E" w:rsidRPr="00FA7CEF" w:rsidRDefault="00D0323E" w:rsidP="00D0323E">
      <w:pPr>
        <w:autoSpaceDE w:val="0"/>
        <w:autoSpaceDN w:val="0"/>
        <w:adjustRightInd w:val="0"/>
        <w:jc w:val="both"/>
        <w:rPr>
          <w:rFonts w:ascii="Abadi" w:hAnsi="Abadi" w:cs="*Arial-10103-Identity-H"/>
          <w:color w:val="0B0B0B"/>
          <w:sz w:val="21"/>
          <w:szCs w:val="21"/>
        </w:rPr>
      </w:pPr>
      <w:r w:rsidRPr="00FA7CEF">
        <w:rPr>
          <w:rFonts w:ascii="Abadi" w:hAnsi="Abadi" w:cs="*Arial-10103-Identity-H"/>
          <w:color w:val="0B0B0B"/>
          <w:sz w:val="21"/>
          <w:szCs w:val="21"/>
        </w:rPr>
        <w:t>siguiente:</w:t>
      </w:r>
    </w:p>
    <w:p w14:paraId="7B1179A5" w14:textId="77777777" w:rsidR="00D0323E" w:rsidRDefault="00D0323E" w:rsidP="00D0323E">
      <w:pPr>
        <w:autoSpaceDE w:val="0"/>
        <w:autoSpaceDN w:val="0"/>
        <w:adjustRightInd w:val="0"/>
        <w:jc w:val="both"/>
        <w:rPr>
          <w:rFonts w:ascii="Abadi" w:hAnsi="Abadi" w:cs="*Arial-Bold-10104-Identity-H"/>
          <w:b/>
          <w:bCs/>
          <w:color w:val="0E0E0E"/>
          <w:sz w:val="21"/>
          <w:szCs w:val="21"/>
        </w:rPr>
      </w:pPr>
    </w:p>
    <w:p w14:paraId="6874BAC1" w14:textId="77777777" w:rsidR="00D0323E" w:rsidRDefault="00D0323E" w:rsidP="00D0323E">
      <w:pPr>
        <w:autoSpaceDE w:val="0"/>
        <w:autoSpaceDN w:val="0"/>
        <w:adjustRightInd w:val="0"/>
        <w:jc w:val="center"/>
        <w:rPr>
          <w:rFonts w:ascii="Abadi" w:hAnsi="Abadi" w:cs="*Arial-Bold-10104-Identity-H"/>
          <w:b/>
          <w:bCs/>
          <w:color w:val="0E0E0E"/>
          <w:sz w:val="21"/>
          <w:szCs w:val="21"/>
        </w:rPr>
      </w:pPr>
      <w:r w:rsidRPr="00FA7CEF">
        <w:rPr>
          <w:rFonts w:ascii="Abadi" w:hAnsi="Abadi" w:cs="*Arial-Bold-10104-Identity-H"/>
          <w:b/>
          <w:bCs/>
          <w:color w:val="0E0E0E"/>
          <w:sz w:val="21"/>
          <w:szCs w:val="21"/>
        </w:rPr>
        <w:t>EXPOSICIÓN DE MOTIVOS</w:t>
      </w:r>
    </w:p>
    <w:p w14:paraId="612D7C37" w14:textId="77777777" w:rsidR="00D0323E" w:rsidRPr="00FA7CEF" w:rsidRDefault="00D0323E" w:rsidP="00D0323E">
      <w:pPr>
        <w:autoSpaceDE w:val="0"/>
        <w:autoSpaceDN w:val="0"/>
        <w:adjustRightInd w:val="0"/>
        <w:jc w:val="both"/>
        <w:rPr>
          <w:rFonts w:ascii="Abadi" w:hAnsi="Abadi" w:cs="*Arial-Bold-10104-Identity-H"/>
          <w:b/>
          <w:bCs/>
          <w:color w:val="0E0E0E"/>
          <w:sz w:val="21"/>
          <w:szCs w:val="21"/>
        </w:rPr>
      </w:pPr>
    </w:p>
    <w:p w14:paraId="29033EB8" w14:textId="77777777" w:rsidR="00D0323E" w:rsidRDefault="00D0323E" w:rsidP="00D0323E">
      <w:pPr>
        <w:autoSpaceDE w:val="0"/>
        <w:autoSpaceDN w:val="0"/>
        <w:adjustRightInd w:val="0"/>
        <w:jc w:val="both"/>
        <w:rPr>
          <w:rFonts w:ascii="Abadi" w:hAnsi="Abadi" w:cs="*Arial-10103-Identity-H"/>
          <w:color w:val="0A0A0A"/>
          <w:sz w:val="21"/>
          <w:szCs w:val="21"/>
        </w:rPr>
      </w:pPr>
      <w:r w:rsidRPr="00FA7CEF">
        <w:rPr>
          <w:rFonts w:ascii="Abadi" w:hAnsi="Abadi" w:cs="*Arial-10103-Identity-H"/>
          <w:color w:val="0A0A0A"/>
          <w:sz w:val="21"/>
          <w:szCs w:val="21"/>
        </w:rPr>
        <w:t>La falta de profundidad del mercado financiero mexicano ha sido una de</w:t>
      </w:r>
      <w:r>
        <w:rPr>
          <w:rFonts w:ascii="Abadi" w:hAnsi="Abadi" w:cs="*Arial-10103-Identity-H"/>
          <w:color w:val="0A0A0A"/>
          <w:sz w:val="21"/>
          <w:szCs w:val="21"/>
        </w:rPr>
        <w:t xml:space="preserve"> </w:t>
      </w:r>
      <w:r w:rsidRPr="00FA7CEF">
        <w:rPr>
          <w:rFonts w:ascii="Abadi" w:hAnsi="Abadi" w:cs="*Arial-10103-Identity-H"/>
          <w:color w:val="0A0A0A"/>
          <w:sz w:val="21"/>
          <w:szCs w:val="21"/>
        </w:rPr>
        <w:t>las conclusiones constantes en los diagnósticos sobre la condición que</w:t>
      </w:r>
      <w:r>
        <w:rPr>
          <w:rFonts w:ascii="Abadi" w:hAnsi="Abadi" w:cs="*Arial-10103-Identity-H"/>
          <w:color w:val="0A0A0A"/>
          <w:sz w:val="21"/>
          <w:szCs w:val="21"/>
        </w:rPr>
        <w:t xml:space="preserve"> </w:t>
      </w:r>
      <w:r w:rsidRPr="00FA7CEF">
        <w:rPr>
          <w:rFonts w:ascii="Abadi" w:hAnsi="Abadi" w:cs="*Arial-10103-Identity-H"/>
          <w:color w:val="0A0A0A"/>
          <w:sz w:val="21"/>
          <w:szCs w:val="21"/>
        </w:rPr>
        <w:t>guarda el sector.</w:t>
      </w:r>
    </w:p>
    <w:p w14:paraId="7C89F288" w14:textId="77777777" w:rsidR="00D0323E" w:rsidRPr="00FA7CEF" w:rsidRDefault="00D0323E" w:rsidP="00D0323E">
      <w:pPr>
        <w:autoSpaceDE w:val="0"/>
        <w:autoSpaceDN w:val="0"/>
        <w:adjustRightInd w:val="0"/>
        <w:jc w:val="both"/>
        <w:rPr>
          <w:rFonts w:ascii="Abadi" w:hAnsi="Abadi" w:cs="*Arial-10103-Identity-H"/>
          <w:color w:val="0A0A0A"/>
          <w:sz w:val="21"/>
          <w:szCs w:val="21"/>
        </w:rPr>
      </w:pPr>
    </w:p>
    <w:p w14:paraId="532A3581" w14:textId="77777777" w:rsidR="00D0323E" w:rsidRPr="00FA7CEF" w:rsidRDefault="00D0323E" w:rsidP="00D0323E">
      <w:pPr>
        <w:autoSpaceDE w:val="0"/>
        <w:autoSpaceDN w:val="0"/>
        <w:adjustRightInd w:val="0"/>
        <w:jc w:val="both"/>
        <w:rPr>
          <w:rFonts w:ascii="Abadi" w:hAnsi="Abadi" w:cs="*Arial-10103-Identity-H"/>
          <w:color w:val="0A0A0A"/>
          <w:sz w:val="21"/>
          <w:szCs w:val="21"/>
        </w:rPr>
      </w:pPr>
      <w:r w:rsidRPr="00FA7CEF">
        <w:rPr>
          <w:rFonts w:ascii="Abadi" w:hAnsi="Abadi" w:cs="*Arial-10103-Identity-H"/>
          <w:color w:val="0A0A0A"/>
          <w:sz w:val="21"/>
          <w:szCs w:val="21"/>
        </w:rPr>
        <w:t>Esa problemática que se observa en el sector financiero con indicadores</w:t>
      </w:r>
      <w:r>
        <w:rPr>
          <w:rFonts w:ascii="Abadi" w:hAnsi="Abadi" w:cs="*Arial-10103-Identity-H"/>
          <w:color w:val="0A0A0A"/>
          <w:sz w:val="21"/>
          <w:szCs w:val="21"/>
        </w:rPr>
        <w:t xml:space="preserve"> </w:t>
      </w:r>
      <w:r w:rsidRPr="00FA7CEF">
        <w:rPr>
          <w:rFonts w:ascii="Abadi" w:hAnsi="Abadi" w:cs="*Arial-10103-Identity-H"/>
          <w:color w:val="0A0A0A"/>
          <w:sz w:val="21"/>
          <w:szCs w:val="21"/>
        </w:rPr>
        <w:t>que reflejan los bajos índices de penetración</w:t>
      </w:r>
      <w:r w:rsidRPr="00FA7CEF">
        <w:rPr>
          <w:rFonts w:ascii="Abadi" w:hAnsi="Abadi" w:cs="*Minion Pro-Bold-10112-Identity"/>
          <w:b/>
          <w:bCs/>
          <w:color w:val="0A0A0A"/>
          <w:sz w:val="21"/>
          <w:szCs w:val="21"/>
        </w:rPr>
        <w:t xml:space="preserve"> </w:t>
      </w:r>
      <w:r w:rsidRPr="00FA7CEF">
        <w:rPr>
          <w:rFonts w:ascii="Abadi" w:hAnsi="Abadi" w:cs="*Arial-10103-Identity-H"/>
          <w:color w:val="0A0A0A"/>
          <w:sz w:val="21"/>
          <w:szCs w:val="21"/>
        </w:rPr>
        <w:t>en el caso específico de</w:t>
      </w:r>
      <w:r>
        <w:rPr>
          <w:rFonts w:ascii="Abadi" w:hAnsi="Abadi" w:cs="*Arial-10103-Identity-H"/>
          <w:color w:val="0A0A0A"/>
          <w:sz w:val="21"/>
          <w:szCs w:val="21"/>
        </w:rPr>
        <w:t xml:space="preserve"> </w:t>
      </w:r>
      <w:r w:rsidRPr="00FA7CEF">
        <w:rPr>
          <w:rFonts w:ascii="Abadi" w:hAnsi="Abadi" w:cs="*Arial-10103-Identity-H"/>
          <w:color w:val="0A0A0A"/>
          <w:sz w:val="21"/>
          <w:szCs w:val="21"/>
        </w:rPr>
        <w:t>las pequeñas y medianas empresas, es particularmente pronunciada.</w:t>
      </w:r>
    </w:p>
    <w:p w14:paraId="1553777F" w14:textId="77777777" w:rsidR="00D0323E" w:rsidRDefault="00D0323E" w:rsidP="00D0323E">
      <w:pPr>
        <w:autoSpaceDE w:val="0"/>
        <w:autoSpaceDN w:val="0"/>
        <w:adjustRightInd w:val="0"/>
        <w:jc w:val="both"/>
        <w:rPr>
          <w:rFonts w:ascii="Abadi" w:hAnsi="Abadi" w:cs="*Arial-8158-Identity-H"/>
          <w:color w:val="0B0B0B"/>
          <w:sz w:val="21"/>
          <w:szCs w:val="21"/>
        </w:rPr>
      </w:pPr>
    </w:p>
    <w:p w14:paraId="3E1C109D" w14:textId="77777777" w:rsidR="00D0323E" w:rsidRDefault="00D0323E" w:rsidP="00D0323E">
      <w:pPr>
        <w:autoSpaceDE w:val="0"/>
        <w:autoSpaceDN w:val="0"/>
        <w:adjustRightInd w:val="0"/>
        <w:jc w:val="both"/>
        <w:rPr>
          <w:rFonts w:ascii="Abadi" w:hAnsi="Abadi" w:cs="*Arial-8158-Identity-H"/>
          <w:color w:val="0B0B0B"/>
          <w:sz w:val="21"/>
          <w:szCs w:val="21"/>
        </w:rPr>
      </w:pPr>
      <w:r w:rsidRPr="00FA7CEF">
        <w:rPr>
          <w:rFonts w:ascii="Abadi" w:hAnsi="Abadi" w:cs="*Arial-8158-Identity-H"/>
          <w:color w:val="0B0B0B"/>
          <w:sz w:val="21"/>
          <w:szCs w:val="21"/>
        </w:rPr>
        <w:t>Los análisis respecto de las opciones de financiamiento para pequeñas</w:t>
      </w:r>
      <w:r>
        <w:rPr>
          <w:rFonts w:ascii="Abadi" w:hAnsi="Abadi" w:cs="*Arial-8158-Identity-H"/>
          <w:color w:val="0B0B0B"/>
          <w:sz w:val="21"/>
          <w:szCs w:val="21"/>
        </w:rPr>
        <w:t xml:space="preserve"> </w:t>
      </w:r>
      <w:r w:rsidRPr="00FA7CEF">
        <w:rPr>
          <w:rFonts w:ascii="Abadi" w:hAnsi="Abadi" w:cs="*Arial-8158-Identity-H"/>
          <w:color w:val="0B0B0B"/>
          <w:sz w:val="21"/>
          <w:szCs w:val="21"/>
        </w:rPr>
        <w:t>y medianas empresas han señalado diversos limitantes del mercado</w:t>
      </w:r>
      <w:r>
        <w:rPr>
          <w:rFonts w:ascii="Abadi" w:hAnsi="Abadi" w:cs="*Arial-8158-Identity-H"/>
          <w:color w:val="0B0B0B"/>
          <w:sz w:val="21"/>
          <w:szCs w:val="21"/>
        </w:rPr>
        <w:t xml:space="preserve"> </w:t>
      </w:r>
      <w:r w:rsidRPr="00FA7CEF">
        <w:rPr>
          <w:rFonts w:ascii="Abadi" w:hAnsi="Abadi" w:cs="*Arial-8158-Identity-H"/>
          <w:color w:val="0B0B0B"/>
          <w:sz w:val="21"/>
          <w:szCs w:val="21"/>
        </w:rPr>
        <w:t>para crear alternativas que permitan incrementar la viabilidad</w:t>
      </w:r>
      <w:r>
        <w:rPr>
          <w:rFonts w:ascii="Abadi" w:hAnsi="Abadi" w:cs="*Arial-8158-Identity-H"/>
          <w:color w:val="0B0B0B"/>
          <w:sz w:val="21"/>
          <w:szCs w:val="21"/>
        </w:rPr>
        <w:t xml:space="preserve"> </w:t>
      </w:r>
      <w:r w:rsidRPr="00FA7CEF">
        <w:rPr>
          <w:rFonts w:ascii="Abadi" w:hAnsi="Abadi" w:cs="*Arial-8158-Identity-H"/>
          <w:color w:val="0B0B0B"/>
          <w:sz w:val="21"/>
          <w:szCs w:val="21"/>
        </w:rPr>
        <w:t>económica de empresas en este segmento.</w:t>
      </w:r>
    </w:p>
    <w:p w14:paraId="55B629D4" w14:textId="77777777" w:rsidR="00D0323E" w:rsidRPr="00FA7CEF" w:rsidRDefault="00D0323E" w:rsidP="00D0323E">
      <w:pPr>
        <w:autoSpaceDE w:val="0"/>
        <w:autoSpaceDN w:val="0"/>
        <w:adjustRightInd w:val="0"/>
        <w:jc w:val="both"/>
        <w:rPr>
          <w:rFonts w:ascii="Abadi" w:hAnsi="Abadi" w:cs="*Arial-8158-Identity-H"/>
          <w:color w:val="0B0B0B"/>
          <w:sz w:val="21"/>
          <w:szCs w:val="21"/>
        </w:rPr>
      </w:pPr>
    </w:p>
    <w:p w14:paraId="486F9F34" w14:textId="77777777" w:rsidR="00D0323E" w:rsidRDefault="00D0323E" w:rsidP="00D0323E">
      <w:pPr>
        <w:autoSpaceDE w:val="0"/>
        <w:autoSpaceDN w:val="0"/>
        <w:adjustRightInd w:val="0"/>
        <w:jc w:val="both"/>
        <w:rPr>
          <w:rFonts w:ascii="Abadi" w:hAnsi="Abadi" w:cs="*Arial-8158-Identity-H"/>
          <w:color w:val="0A0A0A"/>
          <w:sz w:val="21"/>
          <w:szCs w:val="21"/>
        </w:rPr>
      </w:pPr>
      <w:r w:rsidRPr="00FA7CEF">
        <w:rPr>
          <w:rFonts w:ascii="Abadi" w:hAnsi="Abadi" w:cs="*Arial-8158-Identity-H"/>
          <w:color w:val="0A0A0A"/>
          <w:sz w:val="21"/>
          <w:szCs w:val="21"/>
        </w:rPr>
        <w:t>Problemas de información asimétrica en la presentación de</w:t>
      </w:r>
      <w:r>
        <w:rPr>
          <w:rFonts w:ascii="Abadi" w:hAnsi="Abadi" w:cs="*Arial-8158-Identity-H"/>
          <w:color w:val="0A0A0A"/>
          <w:sz w:val="21"/>
          <w:szCs w:val="21"/>
        </w:rPr>
        <w:t xml:space="preserve"> </w:t>
      </w:r>
      <w:r w:rsidRPr="00FA7CEF">
        <w:rPr>
          <w:rFonts w:ascii="Abadi" w:hAnsi="Abadi" w:cs="*Arial-8158-Identity-H"/>
          <w:color w:val="0A0A0A"/>
          <w:sz w:val="21"/>
          <w:szCs w:val="21"/>
        </w:rPr>
        <w:t>documentación que se evalúa por las instituciones financieras; elevado</w:t>
      </w:r>
      <w:r>
        <w:rPr>
          <w:rFonts w:ascii="Abadi" w:hAnsi="Abadi" w:cs="*Arial-8158-Identity-H"/>
          <w:color w:val="0A0A0A"/>
          <w:sz w:val="21"/>
          <w:szCs w:val="21"/>
        </w:rPr>
        <w:t xml:space="preserve"> </w:t>
      </w:r>
      <w:r w:rsidRPr="00FA7CEF">
        <w:rPr>
          <w:rFonts w:ascii="Abadi" w:hAnsi="Abadi" w:cs="*Arial-8158-Identity-H"/>
          <w:color w:val="0A0A0A"/>
          <w:sz w:val="21"/>
          <w:szCs w:val="21"/>
        </w:rPr>
        <w:t>nivel de riesgo bajo los parámetros de revisión para el otorgamiento de</w:t>
      </w:r>
      <w:r>
        <w:rPr>
          <w:rFonts w:ascii="Abadi" w:hAnsi="Abadi" w:cs="*Arial-8158-Identity-H"/>
          <w:color w:val="0A0A0A"/>
          <w:sz w:val="21"/>
          <w:szCs w:val="21"/>
        </w:rPr>
        <w:t xml:space="preserve"> </w:t>
      </w:r>
      <w:r w:rsidRPr="00FA7CEF">
        <w:rPr>
          <w:rFonts w:ascii="Abadi" w:hAnsi="Abadi" w:cs="*Arial-8158-Identity-H"/>
          <w:color w:val="0A0A0A"/>
          <w:sz w:val="21"/>
          <w:szCs w:val="21"/>
        </w:rPr>
        <w:t>financiamientos; falta de cobertura de productos crediticios en iniciativas</w:t>
      </w:r>
      <w:r>
        <w:rPr>
          <w:rFonts w:ascii="Abadi" w:hAnsi="Abadi" w:cs="*Arial-8158-Identity-H"/>
          <w:color w:val="0A0A0A"/>
          <w:sz w:val="21"/>
          <w:szCs w:val="21"/>
        </w:rPr>
        <w:t xml:space="preserve"> </w:t>
      </w:r>
      <w:r w:rsidRPr="00FA7CEF">
        <w:rPr>
          <w:rFonts w:ascii="Abadi" w:hAnsi="Abadi" w:cs="*Arial-8158-Identity-H"/>
          <w:color w:val="0A0A0A"/>
          <w:sz w:val="21"/>
          <w:szCs w:val="21"/>
        </w:rPr>
        <w:t>en sectores innovadores; ausencia de historial crediticio en empresas</w:t>
      </w:r>
      <w:r>
        <w:rPr>
          <w:rFonts w:ascii="Abadi" w:hAnsi="Abadi" w:cs="*Arial-8158-Identity-H"/>
          <w:color w:val="0A0A0A"/>
          <w:sz w:val="21"/>
          <w:szCs w:val="21"/>
        </w:rPr>
        <w:t xml:space="preserve"> </w:t>
      </w:r>
      <w:r w:rsidRPr="00FA7CEF">
        <w:rPr>
          <w:rFonts w:ascii="Abadi" w:hAnsi="Abadi" w:cs="*Arial-8158-Identity-H"/>
          <w:color w:val="0A0A0A"/>
          <w:sz w:val="21"/>
          <w:szCs w:val="21"/>
        </w:rPr>
        <w:t>de reciente creación; limitaciones en la identificación de clientes</w:t>
      </w:r>
      <w:r>
        <w:rPr>
          <w:rFonts w:ascii="Abadi" w:hAnsi="Abadi" w:cs="*Arial-8158-Identity-H"/>
          <w:color w:val="0A0A0A"/>
          <w:sz w:val="21"/>
          <w:szCs w:val="21"/>
        </w:rPr>
        <w:t xml:space="preserve"> </w:t>
      </w:r>
      <w:r w:rsidRPr="00FA7CEF">
        <w:rPr>
          <w:rFonts w:ascii="Abadi" w:hAnsi="Abadi" w:cs="*Arial-8158-Identity-H"/>
          <w:color w:val="0A0A0A"/>
          <w:sz w:val="21"/>
          <w:szCs w:val="21"/>
        </w:rPr>
        <w:t>potenciales; e incluso restricciones internas en políticas de</w:t>
      </w:r>
      <w:r>
        <w:rPr>
          <w:rFonts w:ascii="Abadi" w:hAnsi="Abadi" w:cs="*Arial-8158-Identity-H"/>
          <w:color w:val="0A0A0A"/>
          <w:sz w:val="21"/>
          <w:szCs w:val="21"/>
        </w:rPr>
        <w:t xml:space="preserve"> </w:t>
      </w:r>
      <w:r w:rsidRPr="00FA7CEF">
        <w:rPr>
          <w:rFonts w:ascii="Abadi" w:hAnsi="Abadi" w:cs="*Arial-8158-Identity-H"/>
          <w:color w:val="0A0A0A"/>
          <w:sz w:val="21"/>
          <w:szCs w:val="21"/>
        </w:rPr>
        <w:t>intermediarios financiero</w:t>
      </w:r>
      <w:r>
        <w:rPr>
          <w:rFonts w:ascii="Abadi" w:hAnsi="Abadi" w:cs="*Arial-8158-Identity-H"/>
          <w:color w:val="0A0A0A"/>
          <w:sz w:val="21"/>
          <w:szCs w:val="21"/>
        </w:rPr>
        <w:t>s</w:t>
      </w:r>
      <w:r w:rsidRPr="00FA7CEF">
        <w:rPr>
          <w:rFonts w:ascii="Abadi" w:hAnsi="Abadi" w:cs="*Arial-8158-Identity-H"/>
          <w:color w:val="0A0A0A"/>
          <w:sz w:val="21"/>
          <w:szCs w:val="21"/>
        </w:rPr>
        <w:t xml:space="preserve"> han sido elementos constantes que se</w:t>
      </w:r>
      <w:r>
        <w:rPr>
          <w:rFonts w:ascii="Abadi" w:hAnsi="Abadi" w:cs="*Arial-8158-Identity-H"/>
          <w:color w:val="0A0A0A"/>
          <w:sz w:val="21"/>
          <w:szCs w:val="21"/>
        </w:rPr>
        <w:t xml:space="preserve"> </w:t>
      </w:r>
      <w:r w:rsidRPr="00FA7CEF">
        <w:rPr>
          <w:rFonts w:ascii="Abadi" w:hAnsi="Abadi" w:cs="*Arial-8158-Identity-H"/>
          <w:color w:val="0A0A0A"/>
          <w:sz w:val="21"/>
          <w:szCs w:val="21"/>
        </w:rPr>
        <w:t>reflejan en evaluaciones sobre las condiciones que guarda el</w:t>
      </w:r>
      <w:r>
        <w:rPr>
          <w:rFonts w:ascii="Abadi" w:hAnsi="Abadi" w:cs="*Arial-8158-Identity-H"/>
          <w:color w:val="0A0A0A"/>
          <w:sz w:val="21"/>
          <w:szCs w:val="21"/>
        </w:rPr>
        <w:t xml:space="preserve"> </w:t>
      </w:r>
      <w:r w:rsidRPr="00FA7CEF">
        <w:rPr>
          <w:rFonts w:ascii="Abadi" w:hAnsi="Abadi" w:cs="*Arial-8158-Identity-H"/>
          <w:color w:val="0A0A0A"/>
          <w:sz w:val="21"/>
          <w:szCs w:val="21"/>
        </w:rPr>
        <w:t>financiamiento a pequeñas y medianas empresas en México.</w:t>
      </w:r>
    </w:p>
    <w:p w14:paraId="7D3B6B06" w14:textId="77777777" w:rsidR="00D0323E" w:rsidRPr="00FA7CEF" w:rsidRDefault="00D0323E" w:rsidP="00D0323E">
      <w:pPr>
        <w:autoSpaceDE w:val="0"/>
        <w:autoSpaceDN w:val="0"/>
        <w:adjustRightInd w:val="0"/>
        <w:jc w:val="both"/>
        <w:rPr>
          <w:rFonts w:ascii="Abadi" w:hAnsi="Abadi" w:cs="*Arial-8158-Identity-H"/>
          <w:color w:val="0A0A0A"/>
          <w:sz w:val="21"/>
          <w:szCs w:val="21"/>
        </w:rPr>
      </w:pPr>
    </w:p>
    <w:p w14:paraId="6B85BCEA" w14:textId="55761F60" w:rsidR="00D0323E" w:rsidRDefault="00D0323E" w:rsidP="00D0323E">
      <w:pPr>
        <w:autoSpaceDE w:val="0"/>
        <w:autoSpaceDN w:val="0"/>
        <w:adjustRightInd w:val="0"/>
        <w:jc w:val="both"/>
        <w:rPr>
          <w:rFonts w:ascii="Abadi" w:hAnsi="Abadi" w:cs="*Arial-10373-Identity-H"/>
          <w:color w:val="0A0A0A"/>
          <w:sz w:val="21"/>
          <w:szCs w:val="21"/>
        </w:rPr>
      </w:pPr>
      <w:r w:rsidRPr="00FA7CEF">
        <w:rPr>
          <w:rFonts w:ascii="Abadi" w:hAnsi="Abadi" w:cs="*Arial-8158-Identity-H"/>
          <w:color w:val="0A0A0A"/>
          <w:sz w:val="21"/>
          <w:szCs w:val="21"/>
        </w:rPr>
        <w:t>De acuerdo con el Banco Interamericano de Desarrollo, la falta de una</w:t>
      </w:r>
      <w:r>
        <w:rPr>
          <w:rFonts w:ascii="Abadi" w:hAnsi="Abadi" w:cs="*Arial-8158-Identity-H"/>
          <w:color w:val="0A0A0A"/>
          <w:sz w:val="21"/>
          <w:szCs w:val="21"/>
        </w:rPr>
        <w:t xml:space="preserve"> </w:t>
      </w:r>
      <w:r w:rsidRPr="00FA7CEF">
        <w:rPr>
          <w:rFonts w:ascii="Abadi" w:hAnsi="Abadi" w:cs="*Arial-8158-Identity-H"/>
          <w:color w:val="0A0A0A"/>
          <w:sz w:val="21"/>
          <w:szCs w:val="21"/>
        </w:rPr>
        <w:t>garantía de compromiso, la ausencia de una empresa solidaria o</w:t>
      </w:r>
      <w:r>
        <w:rPr>
          <w:rFonts w:ascii="Abadi" w:hAnsi="Abadi" w:cs="*Arial-8158-Identity-H"/>
          <w:color w:val="0A0A0A"/>
          <w:sz w:val="21"/>
          <w:szCs w:val="21"/>
        </w:rPr>
        <w:t xml:space="preserve"> </w:t>
      </w:r>
      <w:r w:rsidRPr="00FA7CEF">
        <w:rPr>
          <w:rFonts w:ascii="Abadi" w:hAnsi="Abadi" w:cs="*Arial-8158-Identity-H"/>
          <w:color w:val="0A0A0A"/>
          <w:sz w:val="21"/>
          <w:szCs w:val="21"/>
        </w:rPr>
        <w:t>garante, la baja formalización de la empresa y las bajas calificaciones</w:t>
      </w:r>
      <w:r>
        <w:rPr>
          <w:rFonts w:ascii="Abadi" w:hAnsi="Abadi" w:cs="*Arial-8158-Identity-H"/>
          <w:color w:val="0A0A0A"/>
          <w:sz w:val="21"/>
          <w:szCs w:val="21"/>
        </w:rPr>
        <w:t xml:space="preserve"> </w:t>
      </w:r>
      <w:r w:rsidRPr="00FA7CEF">
        <w:rPr>
          <w:rFonts w:ascii="Abadi" w:hAnsi="Abadi" w:cs="*Arial-8158-Identity-H"/>
          <w:color w:val="0A0A0A"/>
          <w:sz w:val="21"/>
          <w:szCs w:val="21"/>
        </w:rPr>
        <w:t>crediticias han sido barreras constantes para el acceso al</w:t>
      </w:r>
      <w:r>
        <w:rPr>
          <w:rFonts w:ascii="Abadi" w:hAnsi="Abadi" w:cs="*Arial-8158-Identity-H"/>
          <w:color w:val="0A0A0A"/>
          <w:sz w:val="21"/>
          <w:szCs w:val="21"/>
        </w:rPr>
        <w:t xml:space="preserve"> </w:t>
      </w:r>
      <w:r w:rsidRPr="00FA7CEF">
        <w:rPr>
          <w:rFonts w:ascii="Abadi" w:hAnsi="Abadi" w:cs="*Arial-8158-Identity-H"/>
          <w:color w:val="0A0A0A"/>
          <w:sz w:val="21"/>
          <w:szCs w:val="21"/>
        </w:rPr>
        <w:t>financiamiento. Asimismo, indica el organismo, estas barreras se ven</w:t>
      </w:r>
      <w:r>
        <w:rPr>
          <w:rFonts w:ascii="Abadi" w:hAnsi="Abadi" w:cs="*Arial-8158-Identity-H"/>
          <w:color w:val="0A0A0A"/>
          <w:sz w:val="21"/>
          <w:szCs w:val="21"/>
        </w:rPr>
        <w:t xml:space="preserve"> </w:t>
      </w:r>
      <w:r w:rsidRPr="00FA7CEF">
        <w:rPr>
          <w:rFonts w:ascii="Abadi" w:hAnsi="Abadi" w:cs="*Arial-10371-Identity-H"/>
          <w:color w:val="0A0A0A"/>
          <w:sz w:val="21"/>
          <w:szCs w:val="21"/>
        </w:rPr>
        <w:t>exacerbadas por la inexistencia de leyes sobre garantías móviles, la</w:t>
      </w:r>
      <w:r>
        <w:rPr>
          <w:rFonts w:ascii="Abadi" w:hAnsi="Abadi" w:cs="*Arial-10371-Identity-H"/>
          <w:color w:val="0A0A0A"/>
          <w:sz w:val="21"/>
          <w:szCs w:val="21"/>
        </w:rPr>
        <w:t xml:space="preserve"> </w:t>
      </w:r>
      <w:r w:rsidRPr="00FA7CEF">
        <w:rPr>
          <w:rFonts w:ascii="Abadi" w:hAnsi="Abadi" w:cs="*Arial-10371-Identity-H"/>
          <w:color w:val="0A0A0A"/>
          <w:sz w:val="21"/>
          <w:szCs w:val="21"/>
        </w:rPr>
        <w:t xml:space="preserve">falta de un registro de garantías y la ausencia de fondos de garantía. </w:t>
      </w:r>
      <w:r w:rsidR="008A27BF">
        <w:rPr>
          <w:rStyle w:val="Refdenotaalpie"/>
          <w:rFonts w:ascii="Abadi" w:hAnsi="Abadi" w:cs="*Arial-10371-Identity-H"/>
          <w:color w:val="0A0A0A"/>
          <w:sz w:val="21"/>
          <w:szCs w:val="21"/>
        </w:rPr>
        <w:footnoteReference w:id="10"/>
      </w:r>
    </w:p>
    <w:p w14:paraId="04AD410B" w14:textId="77777777" w:rsidR="00D0323E" w:rsidRPr="00FA7CEF" w:rsidRDefault="00D0323E" w:rsidP="00D0323E">
      <w:pPr>
        <w:autoSpaceDE w:val="0"/>
        <w:autoSpaceDN w:val="0"/>
        <w:adjustRightInd w:val="0"/>
        <w:jc w:val="both"/>
        <w:rPr>
          <w:rFonts w:ascii="Abadi" w:hAnsi="Abadi" w:cs="*Arial-10373-Identity-H"/>
          <w:color w:val="0A0A0A"/>
          <w:sz w:val="21"/>
          <w:szCs w:val="21"/>
        </w:rPr>
      </w:pPr>
    </w:p>
    <w:p w14:paraId="05A4E2FF" w14:textId="77777777" w:rsidR="00D0323E" w:rsidRDefault="00D0323E" w:rsidP="00D0323E">
      <w:pPr>
        <w:autoSpaceDE w:val="0"/>
        <w:autoSpaceDN w:val="0"/>
        <w:adjustRightInd w:val="0"/>
        <w:jc w:val="both"/>
        <w:rPr>
          <w:rFonts w:ascii="Abadi" w:hAnsi="Abadi" w:cs="*Arial-10371-Identity-H"/>
          <w:color w:val="0A0A0A"/>
          <w:sz w:val="21"/>
          <w:szCs w:val="21"/>
        </w:rPr>
      </w:pPr>
      <w:r w:rsidRPr="00FA7CEF">
        <w:rPr>
          <w:rFonts w:ascii="Abadi" w:hAnsi="Abadi" w:cs="*Arial-10371-Identity-H"/>
          <w:color w:val="0A0A0A"/>
          <w:sz w:val="21"/>
          <w:szCs w:val="21"/>
        </w:rPr>
        <w:lastRenderedPageBreak/>
        <w:t>La Organización para la Cooperación y Desarrollo Económico señaló en</w:t>
      </w:r>
      <w:r>
        <w:rPr>
          <w:rFonts w:ascii="Abadi" w:hAnsi="Abadi" w:cs="*Arial-10371-Identity-H"/>
          <w:color w:val="0A0A0A"/>
          <w:sz w:val="21"/>
          <w:szCs w:val="21"/>
        </w:rPr>
        <w:t xml:space="preserve"> </w:t>
      </w:r>
      <w:r w:rsidRPr="00FA7CEF">
        <w:rPr>
          <w:rFonts w:ascii="Abadi" w:hAnsi="Abadi" w:cs="*Arial-10371-Identity-H"/>
          <w:color w:val="0A0A0A"/>
          <w:sz w:val="21"/>
          <w:szCs w:val="21"/>
        </w:rPr>
        <w:t xml:space="preserve">su análisis </w:t>
      </w:r>
      <w:r w:rsidRPr="00FA7CEF">
        <w:rPr>
          <w:rFonts w:ascii="Abadi" w:hAnsi="Abadi" w:cs="*Arial-Italic-10372-Identity-H"/>
          <w:i/>
          <w:iCs/>
          <w:color w:val="0A0A0A"/>
          <w:sz w:val="21"/>
          <w:szCs w:val="21"/>
        </w:rPr>
        <w:t xml:space="preserve">Financing SMEs and Entrepreneurs 2020: An Scoreboard </w:t>
      </w:r>
      <w:r w:rsidRPr="00FA7CEF">
        <w:rPr>
          <w:rFonts w:ascii="Abadi" w:hAnsi="Abadi" w:cs="*Arial-10371-Identity-H"/>
          <w:color w:val="0A0A0A"/>
          <w:sz w:val="21"/>
          <w:szCs w:val="21"/>
        </w:rPr>
        <w:t>las</w:t>
      </w:r>
      <w:r>
        <w:rPr>
          <w:rFonts w:ascii="Abadi" w:hAnsi="Abadi" w:cs="*Arial-10371-Identity-H"/>
          <w:color w:val="0A0A0A"/>
          <w:sz w:val="21"/>
          <w:szCs w:val="21"/>
        </w:rPr>
        <w:t xml:space="preserve"> </w:t>
      </w:r>
      <w:r w:rsidRPr="00FA7CEF">
        <w:rPr>
          <w:rFonts w:ascii="Abadi" w:hAnsi="Abadi" w:cs="*Arial-10371-Identity-H"/>
          <w:color w:val="0A0A0A"/>
          <w:sz w:val="21"/>
          <w:szCs w:val="21"/>
        </w:rPr>
        <w:t>condiciones que distinguen, en específico, la oferta cred iticia para</w:t>
      </w:r>
      <w:r>
        <w:rPr>
          <w:rFonts w:ascii="Abadi" w:hAnsi="Abadi" w:cs="*Arial-10371-Identity-H"/>
          <w:color w:val="0A0A0A"/>
          <w:sz w:val="21"/>
          <w:szCs w:val="21"/>
        </w:rPr>
        <w:t xml:space="preserve"> </w:t>
      </w:r>
      <w:r w:rsidRPr="00FA7CEF">
        <w:rPr>
          <w:rFonts w:ascii="Abadi" w:hAnsi="Abadi" w:cs="*Arial-10371-Identity-H"/>
          <w:color w:val="0A0A0A"/>
          <w:sz w:val="21"/>
          <w:szCs w:val="21"/>
        </w:rPr>
        <w:t>pequeñas y medianas empresas en el país indicando que, si bien la</w:t>
      </w:r>
      <w:r>
        <w:rPr>
          <w:rFonts w:ascii="Abadi" w:hAnsi="Abadi" w:cs="*Arial-10371-Identity-H"/>
          <w:color w:val="0A0A0A"/>
          <w:sz w:val="21"/>
          <w:szCs w:val="21"/>
        </w:rPr>
        <w:t xml:space="preserve"> </w:t>
      </w:r>
      <w:r w:rsidRPr="00FA7CEF">
        <w:rPr>
          <w:rFonts w:ascii="Abadi" w:hAnsi="Abadi" w:cs="*Arial-10371-Identity-H"/>
          <w:color w:val="0A0A0A"/>
          <w:sz w:val="21"/>
          <w:szCs w:val="21"/>
        </w:rPr>
        <w:t>oferta crediticia a ese sector ha aumentado, existen segmentos que no</w:t>
      </w:r>
      <w:r>
        <w:rPr>
          <w:rFonts w:ascii="Abadi" w:hAnsi="Abadi" w:cs="*Arial-10371-Identity-H"/>
          <w:color w:val="0A0A0A"/>
          <w:sz w:val="21"/>
          <w:szCs w:val="21"/>
        </w:rPr>
        <w:t xml:space="preserve"> </w:t>
      </w:r>
      <w:r w:rsidRPr="00FA7CEF">
        <w:rPr>
          <w:rFonts w:ascii="Abadi" w:hAnsi="Abadi" w:cs="*Arial-10371-Identity-H"/>
          <w:color w:val="0A0A0A"/>
          <w:sz w:val="21"/>
          <w:szCs w:val="21"/>
        </w:rPr>
        <w:t>se encuentran atendidos.</w:t>
      </w:r>
    </w:p>
    <w:p w14:paraId="21A4F341" w14:textId="77777777" w:rsidR="00D0323E" w:rsidRPr="00FA7CEF" w:rsidRDefault="00D0323E" w:rsidP="00D0323E">
      <w:pPr>
        <w:autoSpaceDE w:val="0"/>
        <w:autoSpaceDN w:val="0"/>
        <w:adjustRightInd w:val="0"/>
        <w:jc w:val="both"/>
        <w:rPr>
          <w:rFonts w:ascii="Abadi" w:hAnsi="Abadi" w:cs="*Arial-10371-Identity-H"/>
          <w:color w:val="0A0A0A"/>
          <w:sz w:val="21"/>
          <w:szCs w:val="21"/>
        </w:rPr>
      </w:pPr>
    </w:p>
    <w:p w14:paraId="5014DB4E" w14:textId="2A149FA4" w:rsidR="00D0323E" w:rsidRDefault="00D0323E" w:rsidP="00D0323E">
      <w:pPr>
        <w:autoSpaceDE w:val="0"/>
        <w:autoSpaceDN w:val="0"/>
        <w:adjustRightInd w:val="0"/>
        <w:jc w:val="both"/>
        <w:rPr>
          <w:rFonts w:ascii="Abadi" w:hAnsi="Abadi" w:cs="*Calibri-10366-Identity-H"/>
          <w:color w:val="0A0A0A"/>
          <w:sz w:val="21"/>
          <w:szCs w:val="21"/>
        </w:rPr>
      </w:pPr>
      <w:r w:rsidRPr="00FA7CEF">
        <w:rPr>
          <w:rFonts w:ascii="Abadi" w:hAnsi="Abadi" w:cs="*Arial-10371-Identity-H"/>
          <w:color w:val="0A0A0A"/>
          <w:sz w:val="21"/>
          <w:szCs w:val="21"/>
        </w:rPr>
        <w:t>La Comisión Económica para América Latina advierte los problemas en</w:t>
      </w:r>
      <w:r>
        <w:rPr>
          <w:rFonts w:ascii="Abadi" w:hAnsi="Abadi" w:cs="*Arial-10371-Identity-H"/>
          <w:color w:val="0A0A0A"/>
          <w:sz w:val="21"/>
          <w:szCs w:val="21"/>
        </w:rPr>
        <w:t xml:space="preserve"> </w:t>
      </w:r>
      <w:r w:rsidRPr="00FA7CEF">
        <w:rPr>
          <w:rFonts w:ascii="Abadi" w:hAnsi="Abadi" w:cs="*Arial-10371-Identity-H"/>
          <w:color w:val="0A0A0A"/>
          <w:sz w:val="21"/>
          <w:szCs w:val="21"/>
        </w:rPr>
        <w:t>el funcionamiento del mercado de crédito e indica que estos</w:t>
      </w:r>
      <w:r>
        <w:rPr>
          <w:rFonts w:ascii="Abadi" w:hAnsi="Abadi" w:cs="*Arial-10371-Identity-H"/>
          <w:color w:val="0A0A0A"/>
          <w:sz w:val="21"/>
          <w:szCs w:val="21"/>
        </w:rPr>
        <w:t xml:space="preserve"> </w:t>
      </w:r>
      <w:r w:rsidRPr="00FA7CEF">
        <w:rPr>
          <w:rFonts w:ascii="Abadi" w:hAnsi="Abadi" w:cs="*Arial-10371-Identity-H"/>
          <w:color w:val="0A0A0A"/>
          <w:sz w:val="21"/>
          <w:szCs w:val="21"/>
        </w:rPr>
        <w:t xml:space="preserve">obstaculizan el crecimiento económico de diversos países. </w:t>
      </w:r>
      <w:r w:rsidR="000051E0">
        <w:rPr>
          <w:rStyle w:val="Refdenotaalpie"/>
          <w:rFonts w:ascii="Abadi" w:hAnsi="Abadi" w:cs="*Arial-10371-Identity-H"/>
          <w:color w:val="0A0A0A"/>
          <w:sz w:val="21"/>
          <w:szCs w:val="21"/>
        </w:rPr>
        <w:footnoteReference w:id="11"/>
      </w:r>
    </w:p>
    <w:p w14:paraId="4B2E1F3E" w14:textId="77777777" w:rsidR="00D0323E" w:rsidRPr="00FA7CEF" w:rsidRDefault="00D0323E" w:rsidP="00D0323E">
      <w:pPr>
        <w:autoSpaceDE w:val="0"/>
        <w:autoSpaceDN w:val="0"/>
        <w:adjustRightInd w:val="0"/>
        <w:jc w:val="both"/>
        <w:rPr>
          <w:rFonts w:ascii="Abadi" w:hAnsi="Abadi" w:cs="*Calibri-10366-Identity-H"/>
          <w:color w:val="0A0A0A"/>
          <w:sz w:val="21"/>
          <w:szCs w:val="21"/>
        </w:rPr>
      </w:pPr>
    </w:p>
    <w:p w14:paraId="43717A8B" w14:textId="77777777" w:rsidR="00D0323E" w:rsidRPr="00FA7CEF" w:rsidRDefault="00D0323E" w:rsidP="00D0323E">
      <w:pPr>
        <w:autoSpaceDE w:val="0"/>
        <w:autoSpaceDN w:val="0"/>
        <w:adjustRightInd w:val="0"/>
        <w:jc w:val="both"/>
        <w:rPr>
          <w:rFonts w:ascii="Abadi" w:hAnsi="Abadi" w:cs="*Arial-10371-Identity-H"/>
          <w:color w:val="0A0A0A"/>
          <w:sz w:val="21"/>
          <w:szCs w:val="21"/>
        </w:rPr>
      </w:pPr>
      <w:r w:rsidRPr="00FA7CEF">
        <w:rPr>
          <w:rFonts w:ascii="Abadi" w:hAnsi="Abadi" w:cs="*Arial-10371-Identity-H"/>
          <w:color w:val="0A0A0A"/>
          <w:sz w:val="21"/>
          <w:szCs w:val="21"/>
        </w:rPr>
        <w:t>Banco de México en un análisis específico del sector indica que, en</w:t>
      </w:r>
      <w:r>
        <w:rPr>
          <w:rFonts w:ascii="Abadi" w:hAnsi="Abadi" w:cs="*Arial-10371-Identity-H"/>
          <w:color w:val="0A0A0A"/>
          <w:sz w:val="21"/>
          <w:szCs w:val="21"/>
        </w:rPr>
        <w:t xml:space="preserve"> </w:t>
      </w:r>
      <w:r w:rsidRPr="00FA7CEF">
        <w:rPr>
          <w:rFonts w:ascii="Abadi" w:hAnsi="Abadi" w:cs="*Arial-10371-Identity-H"/>
          <w:color w:val="0A0A0A"/>
          <w:sz w:val="21"/>
          <w:szCs w:val="21"/>
        </w:rPr>
        <w:t>particular, las pequeñas y medianas empresas tienen pocas opciones</w:t>
      </w:r>
      <w:r>
        <w:rPr>
          <w:rFonts w:ascii="Abadi" w:hAnsi="Abadi" w:cs="*Arial-10371-Identity-H"/>
          <w:color w:val="0A0A0A"/>
          <w:sz w:val="21"/>
          <w:szCs w:val="21"/>
        </w:rPr>
        <w:t xml:space="preserve"> </w:t>
      </w:r>
      <w:r w:rsidRPr="00FA7CEF">
        <w:rPr>
          <w:rFonts w:ascii="Abadi" w:hAnsi="Abadi" w:cs="*Arial-10371-Identity-H"/>
          <w:color w:val="0A0A0A"/>
          <w:sz w:val="21"/>
          <w:szCs w:val="21"/>
        </w:rPr>
        <w:t>de crédito y baja capacidad de negociación, por lo que son las que</w:t>
      </w:r>
      <w:r>
        <w:rPr>
          <w:rFonts w:ascii="Abadi" w:hAnsi="Abadi" w:cs="*Arial-10371-Identity-H"/>
          <w:color w:val="0A0A0A"/>
          <w:sz w:val="21"/>
          <w:szCs w:val="21"/>
        </w:rPr>
        <w:t xml:space="preserve"> </w:t>
      </w:r>
      <w:r w:rsidRPr="00FA7CEF">
        <w:rPr>
          <w:rFonts w:ascii="Abadi" w:hAnsi="Abadi" w:cs="*Arial-10371-Identity-H"/>
          <w:color w:val="0A0A0A"/>
          <w:sz w:val="21"/>
          <w:szCs w:val="21"/>
        </w:rPr>
        <w:t>enfrentan condiciones de crédito menos favorables. La etapa de</w:t>
      </w:r>
      <w:r>
        <w:rPr>
          <w:rFonts w:ascii="Abadi" w:hAnsi="Abadi" w:cs="*Arial-10371-Identity-H"/>
          <w:color w:val="0A0A0A"/>
          <w:sz w:val="21"/>
          <w:szCs w:val="21"/>
        </w:rPr>
        <w:t xml:space="preserve"> </w:t>
      </w:r>
      <w:r w:rsidRPr="00FA7CEF">
        <w:rPr>
          <w:rFonts w:ascii="Abadi" w:hAnsi="Abadi" w:cs="*Arial-10371-Identity-H"/>
          <w:color w:val="0A0A0A"/>
          <w:sz w:val="21"/>
          <w:szCs w:val="21"/>
        </w:rPr>
        <w:t>desarrollo es uno de los elementos adicionales que sobresalen en el</w:t>
      </w:r>
      <w:r>
        <w:rPr>
          <w:rFonts w:ascii="Abadi" w:hAnsi="Abadi" w:cs="*Arial-10371-Identity-H"/>
          <w:color w:val="0A0A0A"/>
          <w:sz w:val="21"/>
          <w:szCs w:val="21"/>
        </w:rPr>
        <w:t xml:space="preserve"> </w:t>
      </w:r>
      <w:r w:rsidRPr="00FA7CEF">
        <w:rPr>
          <w:rFonts w:ascii="Abadi" w:hAnsi="Abadi" w:cs="*Arial-10371-Identity-H"/>
          <w:color w:val="0A0A0A"/>
          <w:sz w:val="21"/>
          <w:szCs w:val="21"/>
        </w:rPr>
        <w:t>análisis. La capacidad de apalancamiento inicial está</w:t>
      </w:r>
    </w:p>
    <w:p w14:paraId="73770B59" w14:textId="77777777" w:rsidR="00D0323E" w:rsidRPr="00FA7CEF" w:rsidRDefault="00D0323E" w:rsidP="00D0323E">
      <w:pPr>
        <w:jc w:val="both"/>
        <w:rPr>
          <w:rFonts w:ascii="Abadi" w:hAnsi="Abadi" w:cs="*Arial-10371-Identity-H"/>
          <w:color w:val="0A0A0A"/>
          <w:sz w:val="21"/>
          <w:szCs w:val="21"/>
        </w:rPr>
      </w:pPr>
    </w:p>
    <w:p w14:paraId="38FB41E7" w14:textId="77777777" w:rsidR="00D0323E" w:rsidRDefault="00D0323E" w:rsidP="00D0323E">
      <w:pPr>
        <w:autoSpaceDE w:val="0"/>
        <w:autoSpaceDN w:val="0"/>
        <w:adjustRightInd w:val="0"/>
        <w:jc w:val="both"/>
        <w:rPr>
          <w:rFonts w:ascii="Abadi" w:hAnsi="Abadi" w:cs="*Arial-9124-Identity-H"/>
          <w:color w:val="090909"/>
          <w:sz w:val="21"/>
          <w:szCs w:val="21"/>
        </w:rPr>
      </w:pPr>
      <w:r w:rsidRPr="00FA7CEF">
        <w:rPr>
          <w:rFonts w:ascii="Abadi" w:hAnsi="Abadi" w:cs="*Arial-9124-Identity-H"/>
          <w:color w:val="090909"/>
          <w:sz w:val="21"/>
          <w:szCs w:val="21"/>
        </w:rPr>
        <w:t>extraordinariamente limitada por lo que empresas de reciente creación</w:t>
      </w:r>
      <w:r>
        <w:rPr>
          <w:rFonts w:ascii="Abadi" w:hAnsi="Abadi" w:cs="*Arial-9124-Identity-H"/>
          <w:color w:val="090909"/>
          <w:sz w:val="21"/>
          <w:szCs w:val="21"/>
        </w:rPr>
        <w:t xml:space="preserve"> </w:t>
      </w:r>
      <w:r w:rsidRPr="00FA7CEF">
        <w:rPr>
          <w:rFonts w:ascii="Abadi" w:hAnsi="Abadi" w:cs="*Arial-9124-Identity-H"/>
          <w:color w:val="090909"/>
          <w:sz w:val="21"/>
          <w:szCs w:val="21"/>
        </w:rPr>
        <w:t>enfrentan barreras que impiden su maduración en el mercado.</w:t>
      </w:r>
      <w:r>
        <w:rPr>
          <w:rFonts w:ascii="Abadi" w:hAnsi="Abadi" w:cs="*Arial-9124-Identity-H"/>
          <w:color w:val="090909"/>
          <w:sz w:val="21"/>
          <w:szCs w:val="21"/>
        </w:rPr>
        <w:t xml:space="preserve"> </w:t>
      </w:r>
    </w:p>
    <w:p w14:paraId="1A1C1C67" w14:textId="77777777" w:rsidR="00D0323E" w:rsidRDefault="00D0323E" w:rsidP="00D0323E">
      <w:pPr>
        <w:autoSpaceDE w:val="0"/>
        <w:autoSpaceDN w:val="0"/>
        <w:adjustRightInd w:val="0"/>
        <w:jc w:val="both"/>
        <w:rPr>
          <w:rFonts w:ascii="Abadi" w:hAnsi="Abadi" w:cs="*Arial-9124-Identity-H"/>
          <w:color w:val="090909"/>
          <w:sz w:val="21"/>
          <w:szCs w:val="21"/>
        </w:rPr>
      </w:pPr>
    </w:p>
    <w:p w14:paraId="437A5AF5" w14:textId="150C95D1" w:rsidR="00D0323E" w:rsidRDefault="00D0323E" w:rsidP="00D0323E">
      <w:pPr>
        <w:autoSpaceDE w:val="0"/>
        <w:autoSpaceDN w:val="0"/>
        <w:adjustRightInd w:val="0"/>
        <w:jc w:val="both"/>
        <w:rPr>
          <w:rFonts w:ascii="Abadi" w:hAnsi="Abadi" w:cs="*Arial-9125-Identity-H"/>
          <w:color w:val="0B0B0B"/>
          <w:sz w:val="21"/>
          <w:szCs w:val="21"/>
        </w:rPr>
      </w:pPr>
      <w:r w:rsidRPr="00FA7CEF">
        <w:rPr>
          <w:rFonts w:ascii="Abadi" w:hAnsi="Abadi" w:cs="*Arial-9124-Identity-H"/>
          <w:color w:val="0B0B0B"/>
          <w:sz w:val="21"/>
          <w:szCs w:val="21"/>
        </w:rPr>
        <w:t>Las estadísticas recientes en el sector muestran los retos de política</w:t>
      </w:r>
      <w:r>
        <w:rPr>
          <w:rFonts w:ascii="Abadi" w:hAnsi="Abadi" w:cs="*Arial-9124-Identity-H"/>
          <w:color w:val="0B0B0B"/>
          <w:sz w:val="21"/>
          <w:szCs w:val="21"/>
        </w:rPr>
        <w:t xml:space="preserve"> </w:t>
      </w:r>
      <w:r w:rsidRPr="00FA7CEF">
        <w:rPr>
          <w:rFonts w:ascii="Abadi" w:hAnsi="Abadi" w:cs="*Arial-9124-Identity-H"/>
          <w:color w:val="0B0B0B"/>
          <w:sz w:val="21"/>
          <w:szCs w:val="21"/>
        </w:rPr>
        <w:t xml:space="preserve">pública que deben enfrentarse. Las encuestas de la </w:t>
      </w:r>
      <w:r w:rsidRPr="00FA7CEF">
        <w:rPr>
          <w:rFonts w:ascii="Abadi" w:hAnsi="Abadi" w:cs="*Arial-Italic-9126-Identity-H"/>
          <w:i/>
          <w:iCs/>
          <w:color w:val="0B0B0B"/>
          <w:sz w:val="21"/>
          <w:szCs w:val="21"/>
        </w:rPr>
        <w:t>Evolución trimestral</w:t>
      </w:r>
      <w:r>
        <w:rPr>
          <w:rFonts w:ascii="Abadi" w:hAnsi="Abadi" w:cs="*Arial-Italic-9126-Identity-H"/>
          <w:i/>
          <w:iCs/>
          <w:color w:val="0B0B0B"/>
          <w:sz w:val="21"/>
          <w:szCs w:val="21"/>
        </w:rPr>
        <w:t xml:space="preserve"> </w:t>
      </w:r>
      <w:r w:rsidRPr="00FA7CEF">
        <w:rPr>
          <w:rFonts w:ascii="Abadi" w:hAnsi="Abadi" w:cs="*Arial-Italic-9126-Identity-H"/>
          <w:i/>
          <w:iCs/>
          <w:color w:val="0B0B0B"/>
          <w:sz w:val="21"/>
          <w:szCs w:val="21"/>
        </w:rPr>
        <w:t xml:space="preserve">del financiamiento a las empresas </w:t>
      </w:r>
      <w:r w:rsidRPr="00FA7CEF">
        <w:rPr>
          <w:rFonts w:ascii="Abadi" w:hAnsi="Abadi" w:cs="*Arial-9124-Identity-H"/>
          <w:color w:val="0B0B0B"/>
          <w:sz w:val="21"/>
          <w:szCs w:val="21"/>
        </w:rPr>
        <w:t>presentan una imagen transparente</w:t>
      </w:r>
      <w:r>
        <w:rPr>
          <w:rFonts w:ascii="Abadi" w:hAnsi="Abadi" w:cs="*Arial-9124-Identity-H"/>
          <w:color w:val="0B0B0B"/>
          <w:sz w:val="21"/>
          <w:szCs w:val="21"/>
        </w:rPr>
        <w:t xml:space="preserve"> </w:t>
      </w:r>
      <w:r w:rsidRPr="00FA7CEF">
        <w:rPr>
          <w:rFonts w:ascii="Abadi" w:hAnsi="Abadi" w:cs="*Arial-9124-Identity-H"/>
          <w:color w:val="0B0B0B"/>
          <w:sz w:val="21"/>
          <w:szCs w:val="21"/>
        </w:rPr>
        <w:t xml:space="preserve">sobre los retos que se enfrentan en el sector: </w:t>
      </w:r>
      <w:r w:rsidR="00C7255F">
        <w:rPr>
          <w:rStyle w:val="Refdenotaalpie"/>
          <w:rFonts w:ascii="Abadi" w:hAnsi="Abadi" w:cs="*Arial-9124-Identity-H"/>
          <w:color w:val="0B0B0B"/>
          <w:sz w:val="21"/>
          <w:szCs w:val="21"/>
        </w:rPr>
        <w:footnoteReference w:id="12"/>
      </w:r>
    </w:p>
    <w:p w14:paraId="4800440B" w14:textId="77777777" w:rsidR="00D0323E" w:rsidRPr="00FA7CEF" w:rsidRDefault="00D0323E" w:rsidP="00D0323E">
      <w:pPr>
        <w:autoSpaceDE w:val="0"/>
        <w:autoSpaceDN w:val="0"/>
        <w:adjustRightInd w:val="0"/>
        <w:jc w:val="both"/>
        <w:rPr>
          <w:rFonts w:ascii="Abadi" w:hAnsi="Abadi" w:cs="*Arial-9125-Identity-H"/>
          <w:color w:val="0B0B0B"/>
          <w:sz w:val="21"/>
          <w:szCs w:val="21"/>
        </w:rPr>
      </w:pPr>
    </w:p>
    <w:p w14:paraId="4D3F2812" w14:textId="77777777" w:rsidR="00D0323E" w:rsidRPr="00A12A73" w:rsidRDefault="00D0323E" w:rsidP="005433FA">
      <w:pPr>
        <w:pStyle w:val="Prrafodelista"/>
        <w:numPr>
          <w:ilvl w:val="0"/>
          <w:numId w:val="10"/>
        </w:numPr>
        <w:autoSpaceDE w:val="0"/>
        <w:autoSpaceDN w:val="0"/>
        <w:adjustRightInd w:val="0"/>
        <w:contextualSpacing/>
        <w:jc w:val="both"/>
        <w:rPr>
          <w:rFonts w:ascii="Abadi" w:hAnsi="Abadi" w:cs="*Arial-9124-Identity-H"/>
          <w:color w:val="0A0A0A"/>
          <w:sz w:val="21"/>
          <w:szCs w:val="21"/>
        </w:rPr>
      </w:pPr>
      <w:r w:rsidRPr="00A12A73">
        <w:rPr>
          <w:rFonts w:ascii="Abadi" w:hAnsi="Abadi" w:cs="*Arial-9124-Identity-H"/>
          <w:color w:val="0A0A0A"/>
          <w:sz w:val="21"/>
          <w:szCs w:val="21"/>
        </w:rPr>
        <w:t>El medio más utilizado de financiamiento ocurre a través de los propios proveedores. El porcentaje de empresas que utilizan esta vía de financiamiento supera el 70%. Si bien es una vía que abre opciones de financiamiento, en términos de las ventajas competitivas para estimular las cadenas de suministro sus atractivos son limitados, además de las restricciones para madurar un historial crediticio el cual es determinante para alcanzar posibilidades de crecimiento en el mediano y largo plazos.</w:t>
      </w:r>
    </w:p>
    <w:p w14:paraId="0AF11EB9" w14:textId="77777777" w:rsidR="00D0323E" w:rsidRPr="00FA7CEF" w:rsidRDefault="00D0323E" w:rsidP="00D0323E">
      <w:pPr>
        <w:autoSpaceDE w:val="0"/>
        <w:autoSpaceDN w:val="0"/>
        <w:adjustRightInd w:val="0"/>
        <w:jc w:val="both"/>
        <w:rPr>
          <w:rFonts w:ascii="Abadi" w:hAnsi="Abadi" w:cs="*Arial-9124-Identity-H"/>
          <w:color w:val="0A0A0A"/>
          <w:sz w:val="21"/>
          <w:szCs w:val="21"/>
        </w:rPr>
      </w:pPr>
    </w:p>
    <w:p w14:paraId="5F344D10" w14:textId="77777777" w:rsidR="00D0323E" w:rsidRPr="00A12A73" w:rsidRDefault="00D0323E" w:rsidP="005433FA">
      <w:pPr>
        <w:pStyle w:val="Prrafodelista"/>
        <w:numPr>
          <w:ilvl w:val="0"/>
          <w:numId w:val="10"/>
        </w:numPr>
        <w:autoSpaceDE w:val="0"/>
        <w:autoSpaceDN w:val="0"/>
        <w:adjustRightInd w:val="0"/>
        <w:contextualSpacing/>
        <w:jc w:val="both"/>
        <w:rPr>
          <w:rFonts w:ascii="Abadi" w:hAnsi="Abadi" w:cs="*Arial-5502-Identity-H"/>
          <w:color w:val="0A0A0A"/>
          <w:sz w:val="21"/>
          <w:szCs w:val="21"/>
        </w:rPr>
      </w:pPr>
      <w:r w:rsidRPr="00A12A73">
        <w:rPr>
          <w:rFonts w:ascii="Abadi" w:hAnsi="Abadi" w:cs="*Arial-9124-Identity-H"/>
          <w:color w:val="0A0A0A"/>
          <w:sz w:val="21"/>
          <w:szCs w:val="21"/>
        </w:rPr>
        <w:t xml:space="preserve">Es indicativa la cobertura de financiamiento por tamaño de la </w:t>
      </w:r>
      <w:r w:rsidRPr="00A12A73">
        <w:rPr>
          <w:rFonts w:ascii="Abadi" w:hAnsi="Abadi" w:cs="*Arial-9124-Identity-H"/>
          <w:color w:val="0A0A0A"/>
          <w:sz w:val="21"/>
          <w:szCs w:val="21"/>
        </w:rPr>
        <w:t xml:space="preserve">empresa. En empresas de más de 100 empleados, el 42% </w:t>
      </w:r>
      <w:r w:rsidRPr="00A12A73">
        <w:rPr>
          <w:rFonts w:ascii="Abadi" w:hAnsi="Abadi" w:cs="*Arial-5502-Identity-H"/>
          <w:color w:val="0A0A0A"/>
          <w:sz w:val="21"/>
          <w:szCs w:val="21"/>
        </w:rPr>
        <w:t xml:space="preserve">utiliza créditos de la banca comercial. Ese porcentaje baja hasta el 26% en empresas de menos de 100 empleados. </w:t>
      </w:r>
    </w:p>
    <w:p w14:paraId="747D3EF1" w14:textId="77777777" w:rsidR="00D0323E" w:rsidRPr="00FA7CEF" w:rsidRDefault="00D0323E" w:rsidP="00D0323E">
      <w:pPr>
        <w:autoSpaceDE w:val="0"/>
        <w:autoSpaceDN w:val="0"/>
        <w:adjustRightInd w:val="0"/>
        <w:jc w:val="both"/>
        <w:rPr>
          <w:rFonts w:ascii="Abadi" w:hAnsi="Abadi" w:cs="*Arial-5502-Identity-H"/>
          <w:color w:val="0A0A0A"/>
          <w:sz w:val="21"/>
          <w:szCs w:val="21"/>
        </w:rPr>
      </w:pPr>
    </w:p>
    <w:p w14:paraId="03E4A57B" w14:textId="77777777" w:rsidR="00D0323E" w:rsidRPr="00A12A73" w:rsidRDefault="00D0323E" w:rsidP="005433FA">
      <w:pPr>
        <w:pStyle w:val="Prrafodelista"/>
        <w:numPr>
          <w:ilvl w:val="0"/>
          <w:numId w:val="10"/>
        </w:numPr>
        <w:autoSpaceDE w:val="0"/>
        <w:autoSpaceDN w:val="0"/>
        <w:adjustRightInd w:val="0"/>
        <w:contextualSpacing/>
        <w:jc w:val="both"/>
        <w:rPr>
          <w:rFonts w:ascii="Abadi" w:hAnsi="Abadi" w:cs="*Arial-5502-Identity-H"/>
          <w:color w:val="0A0A0A"/>
          <w:sz w:val="21"/>
          <w:szCs w:val="21"/>
        </w:rPr>
      </w:pPr>
      <w:r w:rsidRPr="00A12A73">
        <w:rPr>
          <w:rFonts w:ascii="Abadi" w:hAnsi="Abadi" w:cs="*Arial-5502-Identity-H"/>
          <w:color w:val="0A0A0A"/>
          <w:sz w:val="21"/>
          <w:szCs w:val="21"/>
        </w:rPr>
        <w:t>La estructura de la tasa es reveladora: en empresas de más de 100 empleados, la tasa promedio es de 33% y para empresas de menos de 100 empleados la tasa llega a 37%. Los gastos por comisiones, asimismo, hacen distinción por el tamaño de la empresa con una afectación mayor a las de menos de 100 empleados.</w:t>
      </w:r>
    </w:p>
    <w:p w14:paraId="75AD11F5" w14:textId="77777777" w:rsidR="00D0323E" w:rsidRPr="00FA7CEF" w:rsidRDefault="00D0323E" w:rsidP="00D0323E">
      <w:pPr>
        <w:autoSpaceDE w:val="0"/>
        <w:autoSpaceDN w:val="0"/>
        <w:adjustRightInd w:val="0"/>
        <w:jc w:val="both"/>
        <w:rPr>
          <w:rFonts w:ascii="Abadi" w:hAnsi="Abadi" w:cs="*Arial-5502-Identity-H"/>
          <w:color w:val="0A0A0A"/>
          <w:sz w:val="21"/>
          <w:szCs w:val="21"/>
        </w:rPr>
      </w:pPr>
    </w:p>
    <w:p w14:paraId="0B96DFA4" w14:textId="77777777" w:rsidR="00D0323E" w:rsidRPr="00A12A73" w:rsidRDefault="00D0323E" w:rsidP="005433FA">
      <w:pPr>
        <w:pStyle w:val="Prrafodelista"/>
        <w:numPr>
          <w:ilvl w:val="0"/>
          <w:numId w:val="10"/>
        </w:numPr>
        <w:autoSpaceDE w:val="0"/>
        <w:autoSpaceDN w:val="0"/>
        <w:adjustRightInd w:val="0"/>
        <w:contextualSpacing/>
        <w:jc w:val="both"/>
        <w:rPr>
          <w:rFonts w:ascii="Abadi" w:hAnsi="Abadi" w:cs="*Arial-5502-Identity-H"/>
          <w:color w:val="0B0B0B"/>
          <w:sz w:val="21"/>
          <w:szCs w:val="21"/>
        </w:rPr>
      </w:pPr>
      <w:r w:rsidRPr="00A12A73">
        <w:rPr>
          <w:rFonts w:ascii="Abadi" w:hAnsi="Abadi" w:cs="*Arial-5502-Identity-H"/>
          <w:color w:val="0B0B0B"/>
          <w:sz w:val="21"/>
          <w:szCs w:val="21"/>
        </w:rPr>
        <w:t>La complejidad para la obtención de crédito también revela diferenciaciones que el mercado realiza y que afectan a las pequeñas y medianas empresas. En el rubro respecto a la percepción sobre las condiciones de acceso al crédito bancario los obstáculos son mayores para empresas de menos de 100 empleados.</w:t>
      </w:r>
    </w:p>
    <w:p w14:paraId="360E3EF7" w14:textId="77777777" w:rsidR="00D0323E" w:rsidRPr="00FA7CEF" w:rsidRDefault="00D0323E" w:rsidP="00D0323E">
      <w:pPr>
        <w:autoSpaceDE w:val="0"/>
        <w:autoSpaceDN w:val="0"/>
        <w:adjustRightInd w:val="0"/>
        <w:jc w:val="both"/>
        <w:rPr>
          <w:rFonts w:ascii="Abadi" w:hAnsi="Abadi" w:cs="*Arial-5502-Identity-H"/>
          <w:color w:val="0B0B0B"/>
          <w:sz w:val="21"/>
          <w:szCs w:val="21"/>
        </w:rPr>
      </w:pPr>
    </w:p>
    <w:p w14:paraId="5B925FE6" w14:textId="77777777" w:rsidR="00D0323E" w:rsidRPr="00A12A73" w:rsidRDefault="00D0323E" w:rsidP="005433FA">
      <w:pPr>
        <w:pStyle w:val="Prrafodelista"/>
        <w:numPr>
          <w:ilvl w:val="0"/>
          <w:numId w:val="10"/>
        </w:numPr>
        <w:autoSpaceDE w:val="0"/>
        <w:autoSpaceDN w:val="0"/>
        <w:adjustRightInd w:val="0"/>
        <w:contextualSpacing/>
        <w:jc w:val="both"/>
        <w:rPr>
          <w:rFonts w:ascii="Abadi" w:hAnsi="Abadi" w:cs="*Arial-5502-Identity-H"/>
          <w:color w:val="090909"/>
          <w:sz w:val="21"/>
          <w:szCs w:val="21"/>
        </w:rPr>
      </w:pPr>
      <w:r w:rsidRPr="00A12A73">
        <w:rPr>
          <w:rFonts w:ascii="Abadi" w:hAnsi="Abadi" w:cs="*Arial-5502-Identity-H"/>
          <w:color w:val="090909"/>
          <w:sz w:val="21"/>
          <w:szCs w:val="21"/>
        </w:rPr>
        <w:t>Uno de los rubros más indicativos sobre los factores limitantes para solicitar o utilizar nuevos créditos se vincula con el historial crediticio. Más del 35 % de pequeñas y medianas empresas identifican esta problemática como obstáculo para la obtención de financiamientos.</w:t>
      </w:r>
    </w:p>
    <w:p w14:paraId="1975D00D" w14:textId="77777777" w:rsidR="00D0323E" w:rsidRPr="00FA7CEF" w:rsidRDefault="00D0323E" w:rsidP="00D0323E">
      <w:pPr>
        <w:jc w:val="both"/>
        <w:rPr>
          <w:rFonts w:ascii="Abadi" w:hAnsi="Abadi" w:cs="*Arial-5502-Identity-H"/>
          <w:color w:val="090909"/>
          <w:sz w:val="21"/>
          <w:szCs w:val="21"/>
        </w:rPr>
      </w:pPr>
    </w:p>
    <w:p w14:paraId="57BB3FDD" w14:textId="77777777" w:rsidR="00D0323E" w:rsidRPr="00A92DDA" w:rsidRDefault="00D0323E" w:rsidP="005433FA">
      <w:pPr>
        <w:pStyle w:val="Prrafodelista"/>
        <w:numPr>
          <w:ilvl w:val="0"/>
          <w:numId w:val="10"/>
        </w:numPr>
        <w:autoSpaceDE w:val="0"/>
        <w:autoSpaceDN w:val="0"/>
        <w:adjustRightInd w:val="0"/>
        <w:contextualSpacing/>
        <w:jc w:val="both"/>
        <w:rPr>
          <w:rFonts w:ascii="Abadi" w:hAnsi="Abadi" w:cs="*Arial-6379-Identity-H"/>
          <w:color w:val="0A0A0A"/>
          <w:sz w:val="21"/>
          <w:szCs w:val="21"/>
        </w:rPr>
      </w:pPr>
      <w:r w:rsidRPr="00A92DDA">
        <w:rPr>
          <w:rFonts w:ascii="Abadi" w:hAnsi="Abadi" w:cs="*Arial-6379-Identity-H"/>
          <w:color w:val="0A0A0A"/>
          <w:sz w:val="21"/>
          <w:szCs w:val="21"/>
        </w:rPr>
        <w:t>La participación de la banca de desarrollo sigue siendo baja, en niveles entre el 2.6% y el 5.7%, dependiendo del tamaño de la empresa.</w:t>
      </w:r>
    </w:p>
    <w:p w14:paraId="458DE384" w14:textId="77777777" w:rsidR="00D0323E" w:rsidRPr="00FA7CEF" w:rsidRDefault="00D0323E" w:rsidP="00D0323E">
      <w:pPr>
        <w:autoSpaceDE w:val="0"/>
        <w:autoSpaceDN w:val="0"/>
        <w:adjustRightInd w:val="0"/>
        <w:jc w:val="both"/>
        <w:rPr>
          <w:rFonts w:ascii="Abadi" w:hAnsi="Abadi" w:cs="*Arial-6379-Identity-H"/>
          <w:color w:val="0A0A0A"/>
          <w:sz w:val="21"/>
          <w:szCs w:val="21"/>
        </w:rPr>
      </w:pPr>
    </w:p>
    <w:p w14:paraId="6F5E1DCF" w14:textId="77777777" w:rsidR="00D0323E" w:rsidRDefault="00D0323E" w:rsidP="00D0323E">
      <w:pPr>
        <w:autoSpaceDE w:val="0"/>
        <w:autoSpaceDN w:val="0"/>
        <w:adjustRightInd w:val="0"/>
        <w:jc w:val="both"/>
        <w:rPr>
          <w:rFonts w:ascii="Abadi" w:hAnsi="Abadi" w:cs="*Arial-6379-Identity-H"/>
          <w:color w:val="090909"/>
          <w:sz w:val="21"/>
          <w:szCs w:val="21"/>
        </w:rPr>
      </w:pPr>
      <w:r w:rsidRPr="00FA7CEF">
        <w:rPr>
          <w:rFonts w:ascii="Abadi" w:hAnsi="Abadi" w:cs="*Arial-6379-Identity-H"/>
          <w:color w:val="090909"/>
          <w:sz w:val="21"/>
          <w:szCs w:val="21"/>
        </w:rPr>
        <w:t>Frente a esta problemática que identifica una falla de mercado que exige</w:t>
      </w:r>
      <w:r>
        <w:rPr>
          <w:rFonts w:ascii="Abadi" w:hAnsi="Abadi" w:cs="*Arial-6379-Identity-H"/>
          <w:color w:val="090909"/>
          <w:sz w:val="21"/>
          <w:szCs w:val="21"/>
        </w:rPr>
        <w:t xml:space="preserve"> </w:t>
      </w:r>
      <w:r w:rsidRPr="00FA7CEF">
        <w:rPr>
          <w:rFonts w:ascii="Abadi" w:hAnsi="Abadi" w:cs="*Arial-6379-Identity-H"/>
          <w:color w:val="090909"/>
          <w:sz w:val="21"/>
          <w:szCs w:val="21"/>
        </w:rPr>
        <w:t>atención e intervención del sector público por las limitaciones que se</w:t>
      </w:r>
      <w:r>
        <w:rPr>
          <w:rFonts w:ascii="Abadi" w:hAnsi="Abadi" w:cs="*Arial-6379-Identity-H"/>
          <w:color w:val="090909"/>
          <w:sz w:val="21"/>
          <w:szCs w:val="21"/>
        </w:rPr>
        <w:t xml:space="preserve"> </w:t>
      </w:r>
      <w:r w:rsidRPr="00FA7CEF">
        <w:rPr>
          <w:rFonts w:ascii="Abadi" w:hAnsi="Abadi" w:cs="*Arial-6379-Identity-H"/>
          <w:color w:val="090909"/>
          <w:sz w:val="21"/>
          <w:szCs w:val="21"/>
        </w:rPr>
        <w:t>observan en el sector financiero, es preciso señalar la relevancia que</w:t>
      </w:r>
      <w:r>
        <w:rPr>
          <w:rFonts w:ascii="Abadi" w:hAnsi="Abadi" w:cs="*Arial-6379-Identity-H"/>
          <w:color w:val="090909"/>
          <w:sz w:val="21"/>
          <w:szCs w:val="21"/>
        </w:rPr>
        <w:t xml:space="preserve"> </w:t>
      </w:r>
      <w:r w:rsidRPr="00FA7CEF">
        <w:rPr>
          <w:rFonts w:ascii="Abadi" w:hAnsi="Abadi" w:cs="*Arial-6379-Identity-H"/>
          <w:color w:val="090909"/>
          <w:sz w:val="21"/>
          <w:szCs w:val="21"/>
        </w:rPr>
        <w:t>las pequeñas y medianas empresas tienen en la economía.</w:t>
      </w:r>
    </w:p>
    <w:p w14:paraId="08AA8CC2" w14:textId="77777777" w:rsidR="00D0323E" w:rsidRPr="00FA7CEF" w:rsidRDefault="00D0323E" w:rsidP="00D0323E">
      <w:pPr>
        <w:autoSpaceDE w:val="0"/>
        <w:autoSpaceDN w:val="0"/>
        <w:adjustRightInd w:val="0"/>
        <w:jc w:val="both"/>
        <w:rPr>
          <w:rFonts w:ascii="Abadi" w:hAnsi="Abadi" w:cs="*Arial-6379-Identity-H"/>
          <w:color w:val="090909"/>
          <w:sz w:val="21"/>
          <w:szCs w:val="21"/>
        </w:rPr>
      </w:pPr>
    </w:p>
    <w:p w14:paraId="11E69A03" w14:textId="77777777" w:rsidR="00D0323E" w:rsidRDefault="00D0323E" w:rsidP="00D0323E">
      <w:pPr>
        <w:autoSpaceDE w:val="0"/>
        <w:autoSpaceDN w:val="0"/>
        <w:adjustRightInd w:val="0"/>
        <w:jc w:val="both"/>
        <w:rPr>
          <w:rFonts w:ascii="Abadi" w:hAnsi="Abadi" w:cs="*Arial-6379-Identity-H"/>
          <w:color w:val="0A0A0A"/>
          <w:sz w:val="21"/>
          <w:szCs w:val="21"/>
        </w:rPr>
      </w:pPr>
      <w:r w:rsidRPr="00FA7CEF">
        <w:rPr>
          <w:rFonts w:ascii="Abadi" w:hAnsi="Abadi" w:cs="*Arial-6379-Identity-H"/>
          <w:color w:val="0A0A0A"/>
          <w:sz w:val="21"/>
          <w:szCs w:val="21"/>
        </w:rPr>
        <w:t>Los Censos Económicos han reconocido que las MIPyMES representan</w:t>
      </w:r>
      <w:r>
        <w:rPr>
          <w:rFonts w:ascii="Abadi" w:hAnsi="Abadi" w:cs="*Arial-6379-Identity-H"/>
          <w:color w:val="0A0A0A"/>
          <w:sz w:val="21"/>
          <w:szCs w:val="21"/>
        </w:rPr>
        <w:t xml:space="preserve"> </w:t>
      </w:r>
      <w:r w:rsidRPr="00FA7CEF">
        <w:rPr>
          <w:rFonts w:ascii="Abadi" w:hAnsi="Abadi" w:cs="*Arial-6379-Identity-H"/>
          <w:color w:val="0A0A0A"/>
          <w:sz w:val="21"/>
          <w:szCs w:val="21"/>
        </w:rPr>
        <w:t>el segmento de la economía que aporta el mayor número de unidades</w:t>
      </w:r>
      <w:r>
        <w:rPr>
          <w:rFonts w:ascii="Abadi" w:hAnsi="Abadi" w:cs="*Arial-6379-Identity-H"/>
          <w:color w:val="0A0A0A"/>
          <w:sz w:val="21"/>
          <w:szCs w:val="21"/>
        </w:rPr>
        <w:t xml:space="preserve"> </w:t>
      </w:r>
      <w:r w:rsidRPr="00FA7CEF">
        <w:rPr>
          <w:rFonts w:ascii="Abadi" w:hAnsi="Abadi" w:cs="*Arial-6379-Identity-H"/>
          <w:color w:val="0A0A0A"/>
          <w:sz w:val="21"/>
          <w:szCs w:val="21"/>
        </w:rPr>
        <w:t>económicas y personal ocupado. El Estudio sobre la Demografía de los</w:t>
      </w:r>
      <w:r>
        <w:rPr>
          <w:rFonts w:ascii="Abadi" w:hAnsi="Abadi" w:cs="*Arial-6379-Identity-H"/>
          <w:color w:val="0A0A0A"/>
          <w:sz w:val="21"/>
          <w:szCs w:val="21"/>
        </w:rPr>
        <w:t xml:space="preserve"> </w:t>
      </w:r>
      <w:r w:rsidRPr="00FA7CEF">
        <w:rPr>
          <w:rFonts w:ascii="Abadi" w:hAnsi="Abadi" w:cs="*Arial-6379-Identity-H"/>
          <w:color w:val="0A0A0A"/>
          <w:sz w:val="21"/>
          <w:szCs w:val="21"/>
        </w:rPr>
        <w:t xml:space="preserve">Negocios del INEGI publicado en diciembre de 2021 refiere </w:t>
      </w:r>
      <w:r w:rsidRPr="00FA7CEF">
        <w:rPr>
          <w:rFonts w:ascii="Abadi" w:hAnsi="Abadi" w:cs="*Arial-6379-Identity-H"/>
          <w:color w:val="0A0A0A"/>
          <w:sz w:val="21"/>
          <w:szCs w:val="21"/>
        </w:rPr>
        <w:lastRenderedPageBreak/>
        <w:t>que más del</w:t>
      </w:r>
      <w:r>
        <w:rPr>
          <w:rFonts w:ascii="Abadi" w:hAnsi="Abadi" w:cs="*Arial-6379-Identity-H"/>
          <w:color w:val="0A0A0A"/>
          <w:sz w:val="21"/>
          <w:szCs w:val="21"/>
        </w:rPr>
        <w:t xml:space="preserve"> </w:t>
      </w:r>
      <w:r w:rsidRPr="00FA7CEF">
        <w:rPr>
          <w:rFonts w:ascii="Abadi" w:hAnsi="Abadi" w:cs="*Arial-6379-Identity-H"/>
          <w:color w:val="0A0A0A"/>
          <w:sz w:val="21"/>
          <w:szCs w:val="21"/>
        </w:rPr>
        <w:t>99% de los establecimientos del país son micro, pequeños o medianos.</w:t>
      </w:r>
    </w:p>
    <w:p w14:paraId="56AF2D05" w14:textId="77777777" w:rsidR="00D0323E" w:rsidRPr="00FA7CEF" w:rsidRDefault="00D0323E" w:rsidP="00D0323E">
      <w:pPr>
        <w:autoSpaceDE w:val="0"/>
        <w:autoSpaceDN w:val="0"/>
        <w:adjustRightInd w:val="0"/>
        <w:jc w:val="both"/>
        <w:rPr>
          <w:rFonts w:ascii="Abadi" w:hAnsi="Abadi" w:cs="*Arial-6379-Identity-H"/>
          <w:color w:val="0A0A0A"/>
          <w:sz w:val="21"/>
          <w:szCs w:val="21"/>
        </w:rPr>
      </w:pPr>
    </w:p>
    <w:p w14:paraId="195F010B" w14:textId="77777777" w:rsidR="00D0323E" w:rsidRDefault="00D0323E" w:rsidP="00D0323E">
      <w:pPr>
        <w:autoSpaceDE w:val="0"/>
        <w:autoSpaceDN w:val="0"/>
        <w:adjustRightInd w:val="0"/>
        <w:jc w:val="both"/>
        <w:rPr>
          <w:rFonts w:ascii="Abadi" w:hAnsi="Abadi" w:cs="*Arial-6379-Identity-H"/>
          <w:color w:val="0A0A0A"/>
          <w:sz w:val="21"/>
          <w:szCs w:val="21"/>
        </w:rPr>
      </w:pPr>
      <w:r w:rsidRPr="00FA7CEF">
        <w:rPr>
          <w:rFonts w:ascii="Abadi" w:hAnsi="Abadi" w:cs="*Arial-6379-Identity-H"/>
          <w:color w:val="0A0A0A"/>
          <w:sz w:val="21"/>
          <w:szCs w:val="21"/>
        </w:rPr>
        <w:t>La relevancia de las MIPyMES se sustenta tanto por factores por oferta</w:t>
      </w:r>
      <w:r>
        <w:rPr>
          <w:rFonts w:ascii="Abadi" w:hAnsi="Abadi" w:cs="*Arial-6379-Identity-H"/>
          <w:color w:val="0A0A0A"/>
          <w:sz w:val="21"/>
          <w:szCs w:val="21"/>
        </w:rPr>
        <w:t xml:space="preserve"> </w:t>
      </w:r>
      <w:r w:rsidRPr="00FA7CEF">
        <w:rPr>
          <w:rFonts w:ascii="Abadi" w:hAnsi="Abadi" w:cs="*Arial-6379-Identity-H"/>
          <w:color w:val="0A0A0A"/>
          <w:sz w:val="21"/>
          <w:szCs w:val="21"/>
        </w:rPr>
        <w:t>como de demanda. Además de absorber un gran número de la oferta</w:t>
      </w:r>
      <w:r>
        <w:rPr>
          <w:rFonts w:ascii="Abadi" w:hAnsi="Abadi" w:cs="*Arial-6379-Identity-H"/>
          <w:color w:val="0A0A0A"/>
          <w:sz w:val="21"/>
          <w:szCs w:val="21"/>
        </w:rPr>
        <w:t xml:space="preserve"> </w:t>
      </w:r>
      <w:r w:rsidRPr="00FA7CEF">
        <w:rPr>
          <w:rFonts w:ascii="Abadi" w:hAnsi="Abadi" w:cs="*Arial-6379-Identity-H"/>
          <w:color w:val="0A0A0A"/>
          <w:sz w:val="21"/>
          <w:szCs w:val="21"/>
        </w:rPr>
        <w:t>laboral, también son proveedoras de bienes y servicios por lo que son</w:t>
      </w:r>
      <w:r>
        <w:rPr>
          <w:rFonts w:ascii="Abadi" w:hAnsi="Abadi" w:cs="*Arial-6379-Identity-H"/>
          <w:color w:val="0A0A0A"/>
          <w:sz w:val="21"/>
          <w:szCs w:val="21"/>
        </w:rPr>
        <w:t xml:space="preserve"> </w:t>
      </w:r>
      <w:r w:rsidRPr="00FA7CEF">
        <w:rPr>
          <w:rFonts w:ascii="Abadi" w:hAnsi="Abadi" w:cs="*Arial-6379-Identity-H"/>
          <w:color w:val="0A0A0A"/>
          <w:sz w:val="21"/>
          <w:szCs w:val="21"/>
        </w:rPr>
        <w:t>una pieza determinante en las cadenas de suministro.</w:t>
      </w:r>
    </w:p>
    <w:p w14:paraId="6CB7CFDF" w14:textId="77777777" w:rsidR="00D0323E" w:rsidRPr="00FA7CEF" w:rsidRDefault="00D0323E" w:rsidP="00D0323E">
      <w:pPr>
        <w:autoSpaceDE w:val="0"/>
        <w:autoSpaceDN w:val="0"/>
        <w:adjustRightInd w:val="0"/>
        <w:jc w:val="both"/>
        <w:rPr>
          <w:rFonts w:ascii="Abadi" w:hAnsi="Abadi" w:cs="*Arial-6379-Identity-H"/>
          <w:color w:val="0A0A0A"/>
          <w:sz w:val="21"/>
          <w:szCs w:val="21"/>
        </w:rPr>
      </w:pPr>
    </w:p>
    <w:p w14:paraId="5C4F5FE3" w14:textId="5CC745E4" w:rsidR="00D0323E" w:rsidRDefault="00D0323E" w:rsidP="00D0323E">
      <w:pPr>
        <w:autoSpaceDE w:val="0"/>
        <w:autoSpaceDN w:val="0"/>
        <w:adjustRightInd w:val="0"/>
        <w:jc w:val="both"/>
        <w:rPr>
          <w:rFonts w:ascii="Abadi" w:hAnsi="Abadi" w:cs="*Arial-7104-Identity-H"/>
          <w:color w:val="0A0A0A"/>
          <w:sz w:val="21"/>
          <w:szCs w:val="21"/>
        </w:rPr>
      </w:pPr>
      <w:r w:rsidRPr="00FA7CEF">
        <w:rPr>
          <w:rFonts w:ascii="Abadi" w:hAnsi="Abadi" w:cs="*Arial-6379-Identity-H"/>
          <w:color w:val="090909"/>
          <w:sz w:val="21"/>
          <w:szCs w:val="21"/>
        </w:rPr>
        <w:t>Las estrategias de política pública impulsadas a través de programas</w:t>
      </w:r>
      <w:r>
        <w:rPr>
          <w:rFonts w:ascii="Abadi" w:hAnsi="Abadi" w:cs="*Arial-6379-Identity-H"/>
          <w:color w:val="090909"/>
          <w:sz w:val="21"/>
          <w:szCs w:val="21"/>
        </w:rPr>
        <w:t xml:space="preserve"> </w:t>
      </w:r>
      <w:r w:rsidRPr="00FA7CEF">
        <w:rPr>
          <w:rFonts w:ascii="Abadi" w:hAnsi="Abadi" w:cs="*Arial-6379-Identity-H"/>
          <w:color w:val="090909"/>
          <w:sz w:val="21"/>
          <w:szCs w:val="21"/>
        </w:rPr>
        <w:t>sectoriales específicos han reconocido la relevancia de estas unidades</w:t>
      </w:r>
      <w:r>
        <w:rPr>
          <w:rFonts w:ascii="Abadi" w:hAnsi="Abadi" w:cs="*Arial-6379-Identity-H"/>
          <w:color w:val="090909"/>
          <w:sz w:val="21"/>
          <w:szCs w:val="21"/>
        </w:rPr>
        <w:t xml:space="preserve"> </w:t>
      </w:r>
      <w:r w:rsidRPr="00FA7CEF">
        <w:rPr>
          <w:rFonts w:ascii="Abadi" w:hAnsi="Abadi" w:cs="*Arial-6379-Identity-H"/>
          <w:color w:val="090909"/>
          <w:sz w:val="21"/>
          <w:szCs w:val="21"/>
        </w:rPr>
        <w:t>económicas. Conforme a la información del Instituto Nacional de</w:t>
      </w:r>
      <w:r>
        <w:rPr>
          <w:rFonts w:ascii="Abadi" w:hAnsi="Abadi" w:cs="*Arial-6379-Identity-H"/>
          <w:color w:val="090909"/>
          <w:sz w:val="21"/>
          <w:szCs w:val="21"/>
        </w:rPr>
        <w:t xml:space="preserve"> Estadística</w:t>
      </w:r>
      <w:r w:rsidRPr="00FA7CEF">
        <w:rPr>
          <w:rFonts w:ascii="Abadi" w:hAnsi="Abadi" w:cs="*Arial-7104-Identity-H"/>
          <w:color w:val="0A0A0A"/>
          <w:sz w:val="21"/>
          <w:szCs w:val="21"/>
        </w:rPr>
        <w:t xml:space="preserve"> y Geografía, se estima que las MIPyMES generan más del</w:t>
      </w:r>
      <w:r>
        <w:rPr>
          <w:rFonts w:ascii="Abadi" w:hAnsi="Abadi" w:cs="*Arial-7104-Identity-H"/>
          <w:color w:val="0A0A0A"/>
          <w:sz w:val="21"/>
          <w:szCs w:val="21"/>
        </w:rPr>
        <w:t xml:space="preserve"> </w:t>
      </w:r>
      <w:r w:rsidRPr="00FA7CEF">
        <w:rPr>
          <w:rFonts w:ascii="Abadi" w:hAnsi="Abadi" w:cs="*Arial-7104-Identity-H"/>
          <w:color w:val="0A0A0A"/>
          <w:sz w:val="21"/>
          <w:szCs w:val="21"/>
        </w:rPr>
        <w:t>50% del PIB y contribuyen con 7 de cada 10 de los empleos formales</w:t>
      </w:r>
      <w:r>
        <w:rPr>
          <w:rFonts w:ascii="Abadi" w:hAnsi="Abadi" w:cs="*Arial-7104-Identity-H"/>
          <w:color w:val="0A0A0A"/>
          <w:sz w:val="21"/>
          <w:szCs w:val="21"/>
        </w:rPr>
        <w:t xml:space="preserve"> </w:t>
      </w:r>
      <w:r w:rsidRPr="00FA7CEF">
        <w:rPr>
          <w:rFonts w:ascii="Abadi" w:hAnsi="Abadi" w:cs="*Arial-7104-Identity-H"/>
          <w:color w:val="0A0A0A"/>
          <w:sz w:val="21"/>
          <w:szCs w:val="21"/>
        </w:rPr>
        <w:t>que se crean en México, por lo que son un elemento fundamental en el</w:t>
      </w:r>
      <w:r>
        <w:rPr>
          <w:rFonts w:ascii="Abadi" w:hAnsi="Abadi" w:cs="*Arial-7104-Identity-H"/>
          <w:color w:val="0A0A0A"/>
          <w:sz w:val="21"/>
          <w:szCs w:val="21"/>
        </w:rPr>
        <w:t xml:space="preserve"> </w:t>
      </w:r>
      <w:r w:rsidRPr="00FA7CEF">
        <w:rPr>
          <w:rFonts w:ascii="Abadi" w:hAnsi="Abadi" w:cs="*Arial-7104-Identity-H"/>
          <w:color w:val="0A0A0A"/>
          <w:sz w:val="21"/>
          <w:szCs w:val="21"/>
        </w:rPr>
        <w:t>desarrollo económico del país al constituir la columna vertebral de la</w:t>
      </w:r>
      <w:r w:rsidR="00143640">
        <w:rPr>
          <w:rFonts w:ascii="Abadi" w:hAnsi="Abadi" w:cs="*Arial-7104-Identity-H"/>
          <w:color w:val="0A0A0A"/>
          <w:sz w:val="21"/>
          <w:szCs w:val="21"/>
        </w:rPr>
        <w:t xml:space="preserve"> </w:t>
      </w:r>
      <w:r w:rsidRPr="00FA7CEF">
        <w:rPr>
          <w:rFonts w:ascii="Abadi" w:hAnsi="Abadi" w:cs="*Arial-7104-Identity-H"/>
          <w:color w:val="0A0A0A"/>
          <w:sz w:val="21"/>
          <w:szCs w:val="21"/>
        </w:rPr>
        <w:t>economía nacional por su alto impacto en la generación de empleos;</w:t>
      </w:r>
      <w:r>
        <w:rPr>
          <w:rFonts w:ascii="Abadi" w:hAnsi="Abadi" w:cs="*Arial-7104-Identity-H"/>
          <w:color w:val="0A0A0A"/>
          <w:sz w:val="21"/>
          <w:szCs w:val="21"/>
        </w:rPr>
        <w:t xml:space="preserve"> </w:t>
      </w:r>
    </w:p>
    <w:p w14:paraId="6C1E6892" w14:textId="77777777" w:rsidR="00D0323E" w:rsidRPr="00FA7CEF" w:rsidRDefault="00D0323E" w:rsidP="00D0323E">
      <w:pPr>
        <w:autoSpaceDE w:val="0"/>
        <w:autoSpaceDN w:val="0"/>
        <w:adjustRightInd w:val="0"/>
        <w:jc w:val="both"/>
        <w:rPr>
          <w:rFonts w:ascii="Abadi" w:hAnsi="Abadi" w:cs="*Arial-7104-Identity-H"/>
          <w:color w:val="0A0A0A"/>
          <w:sz w:val="21"/>
          <w:szCs w:val="21"/>
        </w:rPr>
      </w:pPr>
    </w:p>
    <w:p w14:paraId="659E9276" w14:textId="77777777" w:rsidR="00D0323E" w:rsidRDefault="00D0323E" w:rsidP="00D0323E">
      <w:pPr>
        <w:autoSpaceDE w:val="0"/>
        <w:autoSpaceDN w:val="0"/>
        <w:adjustRightInd w:val="0"/>
        <w:jc w:val="both"/>
        <w:rPr>
          <w:rFonts w:ascii="Abadi" w:hAnsi="Abadi" w:cs="*Arial-7104-Identity-H"/>
          <w:color w:val="090909"/>
          <w:sz w:val="21"/>
          <w:szCs w:val="21"/>
        </w:rPr>
      </w:pPr>
      <w:r w:rsidRPr="00FA7CEF">
        <w:rPr>
          <w:rFonts w:ascii="Abadi" w:hAnsi="Abadi" w:cs="*Arial-7104-Identity-H"/>
          <w:color w:val="090909"/>
          <w:sz w:val="21"/>
          <w:szCs w:val="21"/>
        </w:rPr>
        <w:t>De acuerdo con análisis realizados al Directorio Estadístico de Unidades</w:t>
      </w:r>
      <w:r>
        <w:rPr>
          <w:rFonts w:ascii="Abadi" w:hAnsi="Abadi" w:cs="*Arial-7104-Identity-H"/>
          <w:color w:val="090909"/>
          <w:sz w:val="21"/>
          <w:szCs w:val="21"/>
        </w:rPr>
        <w:t xml:space="preserve"> </w:t>
      </w:r>
      <w:r w:rsidRPr="00FA7CEF">
        <w:rPr>
          <w:rFonts w:ascii="Abadi" w:hAnsi="Abadi" w:cs="*Arial-7104-Identity-H"/>
          <w:color w:val="090909"/>
          <w:sz w:val="21"/>
          <w:szCs w:val="21"/>
        </w:rPr>
        <w:t>Económicas, en la región en la región Bajío-Centro-Occidente operan</w:t>
      </w:r>
      <w:r>
        <w:rPr>
          <w:rFonts w:ascii="Abadi" w:hAnsi="Abadi" w:cs="*Arial-7104-Identity-H"/>
          <w:color w:val="090909"/>
          <w:sz w:val="21"/>
          <w:szCs w:val="21"/>
        </w:rPr>
        <w:t xml:space="preserve"> </w:t>
      </w:r>
      <w:r w:rsidRPr="00FA7CEF">
        <w:rPr>
          <w:rFonts w:ascii="Abadi" w:hAnsi="Abadi" w:cs="*Arial-7104-Identity-H"/>
          <w:color w:val="090909"/>
          <w:sz w:val="21"/>
          <w:szCs w:val="21"/>
        </w:rPr>
        <w:t>991 mil 427 empresas: 92.9% se tratan de microempresas, 5.7% tienen</w:t>
      </w:r>
      <w:r>
        <w:rPr>
          <w:rFonts w:ascii="Abadi" w:hAnsi="Abadi" w:cs="*Arial-7104-Identity-H"/>
          <w:color w:val="090909"/>
          <w:sz w:val="21"/>
          <w:szCs w:val="21"/>
        </w:rPr>
        <w:t xml:space="preserve"> </w:t>
      </w:r>
      <w:r w:rsidRPr="00FA7CEF">
        <w:rPr>
          <w:rFonts w:ascii="Abadi" w:hAnsi="Abadi" w:cs="*Arial-7104-Identity-H"/>
          <w:color w:val="090909"/>
          <w:sz w:val="21"/>
          <w:szCs w:val="21"/>
        </w:rPr>
        <w:t>una plantilla de 11 a 50 empleados; 1.1 o/o registra de 21 a 250</w:t>
      </w:r>
      <w:r>
        <w:rPr>
          <w:rFonts w:ascii="Abadi" w:hAnsi="Abadi" w:cs="*Arial-7104-Identity-H"/>
          <w:color w:val="090909"/>
          <w:sz w:val="21"/>
          <w:szCs w:val="21"/>
        </w:rPr>
        <w:t xml:space="preserve"> </w:t>
      </w:r>
      <w:r w:rsidRPr="00FA7CEF">
        <w:rPr>
          <w:rFonts w:ascii="Abadi" w:hAnsi="Abadi" w:cs="*Arial-7104-Identity-H"/>
          <w:color w:val="090909"/>
          <w:sz w:val="21"/>
          <w:szCs w:val="21"/>
        </w:rPr>
        <w:t>trabajadores y 0.27% superan las 250 personas.</w:t>
      </w:r>
    </w:p>
    <w:p w14:paraId="0F65A897" w14:textId="77777777" w:rsidR="00D0323E" w:rsidRPr="00FA7CEF" w:rsidRDefault="00D0323E" w:rsidP="00D0323E">
      <w:pPr>
        <w:autoSpaceDE w:val="0"/>
        <w:autoSpaceDN w:val="0"/>
        <w:adjustRightInd w:val="0"/>
        <w:jc w:val="both"/>
        <w:rPr>
          <w:rFonts w:ascii="Abadi" w:hAnsi="Abadi" w:cs="*Arial-7104-Identity-H"/>
          <w:color w:val="090909"/>
          <w:sz w:val="21"/>
          <w:szCs w:val="21"/>
        </w:rPr>
      </w:pPr>
    </w:p>
    <w:p w14:paraId="4A0155AA" w14:textId="77777777" w:rsidR="00D0323E" w:rsidRDefault="00D0323E" w:rsidP="00D0323E">
      <w:pPr>
        <w:autoSpaceDE w:val="0"/>
        <w:autoSpaceDN w:val="0"/>
        <w:adjustRightInd w:val="0"/>
        <w:jc w:val="both"/>
        <w:rPr>
          <w:rFonts w:ascii="Abadi" w:hAnsi="Abadi" w:cs="*Arial-7104-Identity-H"/>
          <w:color w:val="0A0A0A"/>
          <w:sz w:val="21"/>
          <w:szCs w:val="21"/>
        </w:rPr>
      </w:pPr>
      <w:r w:rsidRPr="00FA7CEF">
        <w:rPr>
          <w:rFonts w:ascii="Abadi" w:hAnsi="Abadi" w:cs="*Arial-7104-Identity-H"/>
          <w:color w:val="0A0A0A"/>
          <w:sz w:val="21"/>
          <w:szCs w:val="21"/>
        </w:rPr>
        <w:t>De acuerdo c</w:t>
      </w:r>
      <w:r>
        <w:rPr>
          <w:rFonts w:ascii="Abadi" w:eastAsia="Abadi" w:hAnsi="Abadi" w:cs="Abadi"/>
          <w:color w:val="0A0A0A"/>
          <w:sz w:val="21"/>
          <w:szCs w:val="21"/>
        </w:rPr>
        <w:t>o</w:t>
      </w:r>
      <w:r w:rsidRPr="00FA7CEF">
        <w:rPr>
          <w:rFonts w:ascii="Abadi" w:hAnsi="Abadi" w:cs="*Arial-7104-Identity-H"/>
          <w:color w:val="0A0A0A"/>
          <w:sz w:val="21"/>
          <w:szCs w:val="21"/>
        </w:rPr>
        <w:t>n el Reporte de Crédito de las Micro, Pequeñas y</w:t>
      </w:r>
      <w:r>
        <w:rPr>
          <w:rFonts w:ascii="Abadi" w:hAnsi="Abadi" w:cs="*Arial-7104-Identity-H"/>
          <w:color w:val="0A0A0A"/>
          <w:sz w:val="21"/>
          <w:szCs w:val="21"/>
        </w:rPr>
        <w:t xml:space="preserve"> </w:t>
      </w:r>
      <w:r w:rsidRPr="00FA7CEF">
        <w:rPr>
          <w:rFonts w:ascii="Abadi" w:hAnsi="Abadi" w:cs="*Arial-7104-Identity-H"/>
          <w:color w:val="0A0A0A"/>
          <w:sz w:val="21"/>
          <w:szCs w:val="21"/>
        </w:rPr>
        <w:t>Medianas Empresas en México elaborado por KONFIO, siete de cada</w:t>
      </w:r>
      <w:r>
        <w:rPr>
          <w:rFonts w:ascii="Abadi" w:hAnsi="Abadi" w:cs="*Arial-7104-Identity-H"/>
          <w:color w:val="0A0A0A"/>
          <w:sz w:val="21"/>
          <w:szCs w:val="21"/>
        </w:rPr>
        <w:t xml:space="preserve"> </w:t>
      </w:r>
      <w:r w:rsidRPr="00FA7CEF">
        <w:rPr>
          <w:rFonts w:ascii="Abadi" w:hAnsi="Abadi" w:cs="*Arial-7104-Identity-H"/>
          <w:color w:val="0A0A0A"/>
          <w:sz w:val="21"/>
          <w:szCs w:val="21"/>
        </w:rPr>
        <w:t>diez empresarios indican que la falta de financiamiento a las empresas</w:t>
      </w:r>
      <w:r>
        <w:rPr>
          <w:rFonts w:ascii="Abadi" w:hAnsi="Abadi" w:cs="*Arial-7104-Identity-H"/>
          <w:color w:val="0A0A0A"/>
          <w:sz w:val="21"/>
          <w:szCs w:val="21"/>
        </w:rPr>
        <w:t xml:space="preserve"> </w:t>
      </w:r>
      <w:r w:rsidRPr="00FA7CEF">
        <w:rPr>
          <w:rFonts w:ascii="Abadi" w:hAnsi="Abadi" w:cs="*Arial-7104-Identity-H"/>
          <w:color w:val="0A0A0A"/>
          <w:sz w:val="21"/>
          <w:szCs w:val="21"/>
        </w:rPr>
        <w:t>del sector es una de las principales limitantes de crecimiento.</w:t>
      </w:r>
    </w:p>
    <w:p w14:paraId="30402610" w14:textId="77777777" w:rsidR="00D0323E" w:rsidRPr="00FA7CEF" w:rsidRDefault="00D0323E" w:rsidP="00D0323E">
      <w:pPr>
        <w:autoSpaceDE w:val="0"/>
        <w:autoSpaceDN w:val="0"/>
        <w:adjustRightInd w:val="0"/>
        <w:jc w:val="both"/>
        <w:rPr>
          <w:rFonts w:ascii="Abadi" w:hAnsi="Abadi" w:cs="*Arial-7104-Identity-H"/>
          <w:color w:val="0A0A0A"/>
          <w:sz w:val="21"/>
          <w:szCs w:val="21"/>
        </w:rPr>
      </w:pPr>
    </w:p>
    <w:p w14:paraId="2800FC58" w14:textId="77777777" w:rsidR="00D0323E" w:rsidRDefault="00D0323E" w:rsidP="00D0323E">
      <w:pPr>
        <w:autoSpaceDE w:val="0"/>
        <w:autoSpaceDN w:val="0"/>
        <w:adjustRightInd w:val="0"/>
        <w:jc w:val="both"/>
        <w:rPr>
          <w:rFonts w:ascii="Abadi" w:hAnsi="Abadi" w:cs="*Arial-7104-Identity-H"/>
          <w:color w:val="090909"/>
          <w:sz w:val="21"/>
          <w:szCs w:val="21"/>
        </w:rPr>
      </w:pPr>
      <w:r w:rsidRPr="00FA7CEF">
        <w:rPr>
          <w:rFonts w:ascii="Abadi" w:hAnsi="Abadi" w:cs="*Arial-7104-Identity-H"/>
          <w:color w:val="090909"/>
          <w:sz w:val="21"/>
          <w:szCs w:val="21"/>
        </w:rPr>
        <w:t>El programa sectorial derivado del Plan Nacional de Desarrollo 2019 -</w:t>
      </w:r>
      <w:r>
        <w:rPr>
          <w:rFonts w:ascii="Abadi" w:hAnsi="Abadi" w:cs="*Arial-7104-Identity-H"/>
          <w:color w:val="090909"/>
          <w:sz w:val="21"/>
          <w:szCs w:val="21"/>
        </w:rPr>
        <w:t xml:space="preserve"> </w:t>
      </w:r>
      <w:r w:rsidRPr="00FA7CEF">
        <w:rPr>
          <w:rFonts w:ascii="Abadi" w:hAnsi="Abadi" w:cs="*Arial-7104-Identity-H"/>
          <w:color w:val="090909"/>
          <w:sz w:val="21"/>
          <w:szCs w:val="21"/>
        </w:rPr>
        <w:t>2021, señala que la falta de financiamiento es uno de los elementos que</w:t>
      </w:r>
      <w:r>
        <w:rPr>
          <w:rFonts w:ascii="Abadi" w:hAnsi="Abadi" w:cs="*Arial-7104-Identity-H"/>
          <w:color w:val="090909"/>
          <w:sz w:val="21"/>
          <w:szCs w:val="21"/>
        </w:rPr>
        <w:t xml:space="preserve"> </w:t>
      </w:r>
      <w:r w:rsidRPr="00FA7CEF">
        <w:rPr>
          <w:rFonts w:ascii="Abadi" w:hAnsi="Abadi" w:cs="*Arial-7104-Identity-H"/>
          <w:color w:val="090909"/>
          <w:sz w:val="21"/>
          <w:szCs w:val="21"/>
        </w:rPr>
        <w:t>explica la baja productividad y consolidación de MIPyMES nuevas.</w:t>
      </w:r>
    </w:p>
    <w:p w14:paraId="48DD8F37" w14:textId="77777777" w:rsidR="00D0323E" w:rsidRPr="00FA7CEF" w:rsidRDefault="00D0323E" w:rsidP="00D0323E">
      <w:pPr>
        <w:autoSpaceDE w:val="0"/>
        <w:autoSpaceDN w:val="0"/>
        <w:adjustRightInd w:val="0"/>
        <w:jc w:val="both"/>
        <w:rPr>
          <w:rFonts w:ascii="Abadi" w:hAnsi="Abadi" w:cs="*Arial-7104-Identity-H"/>
          <w:color w:val="090909"/>
          <w:sz w:val="21"/>
          <w:szCs w:val="21"/>
        </w:rPr>
      </w:pPr>
    </w:p>
    <w:p w14:paraId="76CC0340" w14:textId="77777777" w:rsidR="00D0323E" w:rsidRDefault="00D0323E" w:rsidP="00D0323E">
      <w:pPr>
        <w:autoSpaceDE w:val="0"/>
        <w:autoSpaceDN w:val="0"/>
        <w:adjustRightInd w:val="0"/>
        <w:jc w:val="both"/>
        <w:rPr>
          <w:rFonts w:ascii="Abadi" w:hAnsi="Abadi" w:cs="*Arial-7668-Identity-H"/>
          <w:color w:val="0B0B0B"/>
          <w:sz w:val="21"/>
          <w:szCs w:val="21"/>
        </w:rPr>
      </w:pPr>
      <w:r w:rsidRPr="00FA7CEF">
        <w:rPr>
          <w:rFonts w:ascii="Abadi" w:hAnsi="Abadi" w:cs="*Arial-7104-Identity-H"/>
          <w:color w:val="090909"/>
          <w:sz w:val="21"/>
          <w:szCs w:val="21"/>
        </w:rPr>
        <w:t>Las cifras de la Encuesta Nacional sobre Productividad y Competitividad</w:t>
      </w:r>
      <w:r>
        <w:rPr>
          <w:rFonts w:ascii="Abadi" w:hAnsi="Abadi" w:cs="*Arial-7104-Identity-H"/>
          <w:color w:val="090909"/>
          <w:sz w:val="21"/>
          <w:szCs w:val="21"/>
        </w:rPr>
        <w:t xml:space="preserve"> </w:t>
      </w:r>
      <w:r w:rsidRPr="00FA7CEF">
        <w:rPr>
          <w:rFonts w:ascii="Abadi" w:hAnsi="Abadi" w:cs="*Arial-7104-Identity-H"/>
          <w:color w:val="090909"/>
          <w:sz w:val="21"/>
          <w:szCs w:val="21"/>
        </w:rPr>
        <w:t>de las Micro, Pequeñas y Medianas Empresas 2018, indican que 76.8%</w:t>
      </w:r>
      <w:r>
        <w:rPr>
          <w:rFonts w:ascii="Abadi" w:hAnsi="Abadi" w:cs="*Arial-7104-Identity-H"/>
          <w:color w:val="090909"/>
          <w:sz w:val="21"/>
          <w:szCs w:val="21"/>
        </w:rPr>
        <w:t xml:space="preserve"> </w:t>
      </w:r>
      <w:r w:rsidRPr="00FA7CEF">
        <w:rPr>
          <w:rFonts w:ascii="Abadi" w:hAnsi="Abadi" w:cs="*Arial-7668-Identity-H"/>
          <w:color w:val="0B0B0B"/>
          <w:sz w:val="21"/>
          <w:szCs w:val="21"/>
        </w:rPr>
        <w:t>de las PYMES y 92.4% de las micro empresas no tienen acceso a</w:t>
      </w:r>
      <w:r>
        <w:rPr>
          <w:rFonts w:ascii="Abadi" w:hAnsi="Abadi" w:cs="*Arial-7668-Identity-H"/>
          <w:color w:val="0B0B0B"/>
          <w:sz w:val="21"/>
          <w:szCs w:val="21"/>
        </w:rPr>
        <w:t xml:space="preserve"> </w:t>
      </w:r>
      <w:r w:rsidRPr="00FA7CEF">
        <w:rPr>
          <w:rFonts w:ascii="Abadi" w:hAnsi="Abadi" w:cs="*Arial-7668-Identity-H"/>
          <w:color w:val="0B0B0B"/>
          <w:sz w:val="21"/>
          <w:szCs w:val="21"/>
        </w:rPr>
        <w:t>alguna fuente de financiamiento.</w:t>
      </w:r>
    </w:p>
    <w:p w14:paraId="0BA59907" w14:textId="77777777" w:rsidR="00D0323E" w:rsidRPr="00FA7CEF" w:rsidRDefault="00D0323E" w:rsidP="00D0323E">
      <w:pPr>
        <w:autoSpaceDE w:val="0"/>
        <w:autoSpaceDN w:val="0"/>
        <w:adjustRightInd w:val="0"/>
        <w:jc w:val="both"/>
        <w:rPr>
          <w:rFonts w:ascii="Abadi" w:hAnsi="Abadi" w:cs="*Arial-7668-Identity-H"/>
          <w:color w:val="0B0B0B"/>
          <w:sz w:val="21"/>
          <w:szCs w:val="21"/>
        </w:rPr>
      </w:pPr>
    </w:p>
    <w:p w14:paraId="6AEC4EDF" w14:textId="77777777" w:rsidR="00D0323E" w:rsidRDefault="00D0323E" w:rsidP="00D0323E">
      <w:pPr>
        <w:autoSpaceDE w:val="0"/>
        <w:autoSpaceDN w:val="0"/>
        <w:adjustRightInd w:val="0"/>
        <w:jc w:val="both"/>
        <w:rPr>
          <w:rFonts w:ascii="Abadi" w:hAnsi="Abadi" w:cs="*Arial-7668-Identity-H"/>
          <w:color w:val="0A0A0A"/>
          <w:sz w:val="21"/>
          <w:szCs w:val="21"/>
        </w:rPr>
      </w:pPr>
      <w:r w:rsidRPr="00FA7CEF">
        <w:rPr>
          <w:rFonts w:ascii="Abadi" w:hAnsi="Abadi" w:cs="*Arial-7668-Identity-H"/>
          <w:color w:val="0A0A0A"/>
          <w:sz w:val="21"/>
          <w:szCs w:val="21"/>
        </w:rPr>
        <w:t>Por otro lado, respecto de las MIPyMES que sí cuentan</w:t>
      </w:r>
      <w:r>
        <w:rPr>
          <w:rFonts w:ascii="Abadi" w:hAnsi="Abadi" w:cs="*Arial-7668-Identity-H"/>
          <w:color w:val="0A0A0A"/>
          <w:sz w:val="21"/>
          <w:szCs w:val="21"/>
        </w:rPr>
        <w:t xml:space="preserve"> </w:t>
      </w:r>
      <w:r w:rsidRPr="00FA7CEF">
        <w:rPr>
          <w:rFonts w:ascii="Abadi" w:hAnsi="Abadi" w:cs="*Arial-7668-Identity-H"/>
          <w:color w:val="0A0A0A"/>
          <w:sz w:val="21"/>
          <w:szCs w:val="21"/>
        </w:rPr>
        <w:t>con financiamiento, 84.8% de las MIPYMES tienen financiamiento con</w:t>
      </w:r>
      <w:r>
        <w:rPr>
          <w:rFonts w:ascii="Abadi" w:hAnsi="Abadi" w:cs="*Arial-7668-Identity-H"/>
          <w:color w:val="0A0A0A"/>
          <w:sz w:val="21"/>
          <w:szCs w:val="21"/>
        </w:rPr>
        <w:t xml:space="preserve"> </w:t>
      </w:r>
      <w:r w:rsidRPr="00FA7CEF">
        <w:rPr>
          <w:rFonts w:ascii="Abadi" w:hAnsi="Abadi" w:cs="*Arial-7668-Identity-H"/>
          <w:color w:val="0A0A0A"/>
          <w:sz w:val="21"/>
          <w:szCs w:val="21"/>
        </w:rPr>
        <w:t xml:space="preserve">recursos </w:t>
      </w:r>
      <w:r w:rsidRPr="00FA7CEF">
        <w:rPr>
          <w:rFonts w:ascii="Abadi" w:hAnsi="Abadi" w:cs="*Arial-7668-Identity-H"/>
          <w:color w:val="0A0A0A"/>
          <w:sz w:val="21"/>
          <w:szCs w:val="21"/>
        </w:rPr>
        <w:t>propios o utilidades reinvertidas, 85.1 % de las MIPyMES</w:t>
      </w:r>
      <w:r>
        <w:rPr>
          <w:rFonts w:ascii="Abadi" w:hAnsi="Abadi" w:cs="*Arial-7668-Identity-H"/>
          <w:color w:val="0A0A0A"/>
          <w:sz w:val="21"/>
          <w:szCs w:val="21"/>
        </w:rPr>
        <w:t xml:space="preserve"> </w:t>
      </w:r>
      <w:r w:rsidRPr="00FA7CEF">
        <w:rPr>
          <w:rFonts w:ascii="Abadi" w:hAnsi="Abadi" w:cs="*Arial-7668-Identity-H"/>
          <w:color w:val="0A0A0A"/>
          <w:sz w:val="21"/>
          <w:szCs w:val="21"/>
        </w:rPr>
        <w:t>tienen financiamiento del sistema financiero formal proveniente de la</w:t>
      </w:r>
      <w:r>
        <w:rPr>
          <w:rFonts w:ascii="Abadi" w:hAnsi="Abadi" w:cs="*Arial-7668-Identity-H"/>
          <w:color w:val="0A0A0A"/>
          <w:sz w:val="21"/>
          <w:szCs w:val="21"/>
        </w:rPr>
        <w:t xml:space="preserve">  </w:t>
      </w:r>
      <w:r w:rsidRPr="00FA7CEF">
        <w:rPr>
          <w:rFonts w:ascii="Abadi" w:hAnsi="Abadi" w:cs="*Arial-7668-Identity-H"/>
          <w:color w:val="0A0A0A"/>
          <w:sz w:val="21"/>
          <w:szCs w:val="21"/>
        </w:rPr>
        <w:t>banca comercial, 12.5% de MIPyMES tienen financiamiento del sistema</w:t>
      </w:r>
      <w:r>
        <w:rPr>
          <w:rFonts w:ascii="Abadi" w:hAnsi="Abadi" w:cs="*Arial-7668-Identity-H"/>
          <w:color w:val="0A0A0A"/>
          <w:sz w:val="21"/>
          <w:szCs w:val="21"/>
        </w:rPr>
        <w:t xml:space="preserve"> </w:t>
      </w:r>
      <w:r w:rsidRPr="00FA7CEF">
        <w:rPr>
          <w:rFonts w:ascii="Abadi" w:hAnsi="Abadi" w:cs="*Arial-7668-Identity-H"/>
          <w:color w:val="0A0A0A"/>
          <w:sz w:val="21"/>
          <w:szCs w:val="21"/>
        </w:rPr>
        <w:t>financiero formal proveniente de sociedades financieras y cooperativas,</w:t>
      </w:r>
      <w:r>
        <w:rPr>
          <w:rFonts w:ascii="Abadi" w:hAnsi="Abadi" w:cs="*Arial-7668-Identity-H"/>
          <w:color w:val="0A0A0A"/>
          <w:sz w:val="21"/>
          <w:szCs w:val="21"/>
        </w:rPr>
        <w:t xml:space="preserve"> </w:t>
      </w:r>
      <w:r w:rsidRPr="00FA7CEF">
        <w:rPr>
          <w:rFonts w:ascii="Abadi" w:hAnsi="Abadi" w:cs="*Arial-7668-Identity-H"/>
          <w:color w:val="0A0A0A"/>
          <w:sz w:val="21"/>
          <w:szCs w:val="21"/>
        </w:rPr>
        <w:t>Cajas de ahorro popular, Casas de empeño, Compañías de</w:t>
      </w:r>
      <w:r>
        <w:rPr>
          <w:rFonts w:ascii="Abadi" w:hAnsi="Abadi" w:cs="*Arial-7668-Identity-H"/>
          <w:color w:val="0A0A0A"/>
          <w:sz w:val="21"/>
          <w:szCs w:val="21"/>
        </w:rPr>
        <w:t xml:space="preserve"> </w:t>
      </w:r>
      <w:r w:rsidRPr="00FA7CEF">
        <w:rPr>
          <w:rFonts w:ascii="Abadi" w:hAnsi="Abadi" w:cs="*Arial-7668-Identity-H"/>
          <w:color w:val="0A0A0A"/>
          <w:sz w:val="21"/>
          <w:szCs w:val="21"/>
        </w:rPr>
        <w:t>financiamiento, Microfinancieras y sólo 2.3% de MIPYMES tienen</w:t>
      </w:r>
      <w:r>
        <w:rPr>
          <w:rFonts w:ascii="Abadi" w:hAnsi="Abadi" w:cs="*Arial-7668-Identity-H"/>
          <w:color w:val="0A0A0A"/>
          <w:sz w:val="21"/>
          <w:szCs w:val="21"/>
        </w:rPr>
        <w:t xml:space="preserve"> </w:t>
      </w:r>
      <w:r w:rsidRPr="00FA7CEF">
        <w:rPr>
          <w:rFonts w:ascii="Abadi" w:hAnsi="Abadi" w:cs="*Arial-7668-Identity-H"/>
          <w:color w:val="0A0A0A"/>
          <w:sz w:val="21"/>
          <w:szCs w:val="21"/>
        </w:rPr>
        <w:t>financiamiento del sistema financiero formal proveniente de la banca de</w:t>
      </w:r>
      <w:r>
        <w:rPr>
          <w:rFonts w:ascii="Abadi" w:hAnsi="Abadi" w:cs="*Arial-7668-Identity-H"/>
          <w:color w:val="0A0A0A"/>
          <w:sz w:val="21"/>
          <w:szCs w:val="21"/>
        </w:rPr>
        <w:t xml:space="preserve"> </w:t>
      </w:r>
      <w:r w:rsidRPr="00FA7CEF">
        <w:rPr>
          <w:rFonts w:ascii="Abadi" w:hAnsi="Abadi" w:cs="*Arial-7668-Identity-H"/>
          <w:color w:val="0A0A0A"/>
          <w:sz w:val="21"/>
          <w:szCs w:val="21"/>
        </w:rPr>
        <w:t>desarrollo.</w:t>
      </w:r>
    </w:p>
    <w:p w14:paraId="069ABD19" w14:textId="77777777" w:rsidR="00D0323E" w:rsidRPr="00FA7CEF" w:rsidRDefault="00D0323E" w:rsidP="00D0323E">
      <w:pPr>
        <w:autoSpaceDE w:val="0"/>
        <w:autoSpaceDN w:val="0"/>
        <w:adjustRightInd w:val="0"/>
        <w:jc w:val="both"/>
        <w:rPr>
          <w:rFonts w:ascii="Abadi" w:hAnsi="Abadi" w:cs="*Arial-7668-Identity-H"/>
          <w:color w:val="0A0A0A"/>
          <w:sz w:val="21"/>
          <w:szCs w:val="21"/>
        </w:rPr>
      </w:pPr>
    </w:p>
    <w:p w14:paraId="795513C3" w14:textId="77777777" w:rsidR="00D0323E" w:rsidRDefault="00D0323E" w:rsidP="00D0323E">
      <w:pPr>
        <w:autoSpaceDE w:val="0"/>
        <w:autoSpaceDN w:val="0"/>
        <w:adjustRightInd w:val="0"/>
        <w:jc w:val="both"/>
        <w:rPr>
          <w:rFonts w:ascii="Abadi" w:hAnsi="Abadi" w:cs="*Arial-7668-Identity-H"/>
          <w:color w:val="0A0A0A"/>
          <w:sz w:val="21"/>
          <w:szCs w:val="21"/>
        </w:rPr>
      </w:pPr>
      <w:r w:rsidRPr="00FA7CEF">
        <w:rPr>
          <w:rFonts w:ascii="Abadi" w:hAnsi="Abadi" w:cs="*Arial-7668-Identity-H"/>
          <w:color w:val="0A0A0A"/>
          <w:sz w:val="21"/>
          <w:szCs w:val="21"/>
        </w:rPr>
        <w:t>El Programa Institucional 2020-2024 de la Secretaría de Desarrollo</w:t>
      </w:r>
      <w:r>
        <w:rPr>
          <w:rFonts w:ascii="Abadi" w:hAnsi="Abadi" w:cs="*Arial-7668-Identity-H"/>
          <w:color w:val="0A0A0A"/>
          <w:sz w:val="21"/>
          <w:szCs w:val="21"/>
        </w:rPr>
        <w:t xml:space="preserve"> </w:t>
      </w:r>
      <w:r w:rsidRPr="00FA7CEF">
        <w:rPr>
          <w:rFonts w:ascii="Abadi" w:hAnsi="Abadi" w:cs="*Arial-7668-Identity-H"/>
          <w:color w:val="0A0A0A"/>
          <w:sz w:val="21"/>
          <w:szCs w:val="21"/>
        </w:rPr>
        <w:t>Económico y Sustentable identifica una de las principales condiciones</w:t>
      </w:r>
      <w:r>
        <w:rPr>
          <w:rFonts w:ascii="Abadi" w:hAnsi="Abadi" w:cs="*Arial-7668-Identity-H"/>
          <w:color w:val="0A0A0A"/>
          <w:sz w:val="21"/>
          <w:szCs w:val="21"/>
        </w:rPr>
        <w:t xml:space="preserve"> </w:t>
      </w:r>
      <w:r w:rsidRPr="00FA7CEF">
        <w:rPr>
          <w:rFonts w:ascii="Abadi" w:hAnsi="Abadi" w:cs="*Arial-7668-Identity-H"/>
          <w:color w:val="0A0A0A"/>
          <w:sz w:val="21"/>
          <w:szCs w:val="21"/>
        </w:rPr>
        <w:t>que se viven en el sector:</w:t>
      </w:r>
    </w:p>
    <w:p w14:paraId="4FE41C12" w14:textId="77777777" w:rsidR="00D0323E" w:rsidRPr="00FA7CEF" w:rsidRDefault="00D0323E" w:rsidP="00D0323E">
      <w:pPr>
        <w:autoSpaceDE w:val="0"/>
        <w:autoSpaceDN w:val="0"/>
        <w:adjustRightInd w:val="0"/>
        <w:jc w:val="both"/>
        <w:rPr>
          <w:rFonts w:ascii="Abadi" w:hAnsi="Abadi" w:cs="*Arial-7668-Identity-H"/>
          <w:color w:val="0A0A0A"/>
          <w:sz w:val="21"/>
          <w:szCs w:val="21"/>
        </w:rPr>
      </w:pPr>
    </w:p>
    <w:p w14:paraId="7D15BEAB" w14:textId="77777777" w:rsidR="00D0323E" w:rsidRPr="00FA7CEF" w:rsidRDefault="00D0323E" w:rsidP="00D0323E">
      <w:pPr>
        <w:autoSpaceDE w:val="0"/>
        <w:autoSpaceDN w:val="0"/>
        <w:adjustRightInd w:val="0"/>
        <w:ind w:left="567"/>
        <w:jc w:val="both"/>
        <w:rPr>
          <w:rFonts w:ascii="Abadi" w:hAnsi="Abadi" w:cs="*Arial-Italic-7667-Identity-H"/>
          <w:i/>
          <w:iCs/>
          <w:color w:val="090909"/>
          <w:sz w:val="21"/>
          <w:szCs w:val="21"/>
        </w:rPr>
      </w:pPr>
      <w:r w:rsidRPr="00FA7CEF">
        <w:rPr>
          <w:rFonts w:ascii="Abadi" w:hAnsi="Abadi" w:cs="*Arial-Italic-7667-Identity-H"/>
          <w:i/>
          <w:iCs/>
          <w:color w:val="090909"/>
          <w:sz w:val="21"/>
          <w:szCs w:val="21"/>
        </w:rPr>
        <w:t>"Las unidades económicas micro, pequeñas y medianas</w:t>
      </w:r>
      <w:r>
        <w:rPr>
          <w:rFonts w:ascii="Abadi" w:hAnsi="Abadi" w:cs="*Arial-Italic-7667-Identity-H"/>
          <w:i/>
          <w:iCs/>
          <w:color w:val="090909"/>
          <w:sz w:val="21"/>
          <w:szCs w:val="21"/>
        </w:rPr>
        <w:t xml:space="preserve"> </w:t>
      </w:r>
      <w:r w:rsidRPr="00FA7CEF">
        <w:rPr>
          <w:rFonts w:ascii="Abadi" w:hAnsi="Abadi" w:cs="*Arial-Italic-7667-Identity-H"/>
          <w:i/>
          <w:iCs/>
          <w:color w:val="090909"/>
          <w:sz w:val="21"/>
          <w:szCs w:val="21"/>
        </w:rPr>
        <w:t>empresas viven en el día a día múltiples problemáticas que se</w:t>
      </w:r>
      <w:r>
        <w:rPr>
          <w:rFonts w:ascii="Abadi" w:hAnsi="Abadi" w:cs="*Arial-Italic-7667-Identity-H"/>
          <w:i/>
          <w:iCs/>
          <w:color w:val="090909"/>
          <w:sz w:val="21"/>
          <w:szCs w:val="21"/>
        </w:rPr>
        <w:t xml:space="preserve"> </w:t>
      </w:r>
      <w:r w:rsidRPr="00FA7CEF">
        <w:rPr>
          <w:rFonts w:ascii="Abadi" w:hAnsi="Abadi" w:cs="*Arial-Italic-7667-Identity-H"/>
          <w:i/>
          <w:iCs/>
          <w:color w:val="090909"/>
          <w:sz w:val="21"/>
          <w:szCs w:val="21"/>
        </w:rPr>
        <w:t>pueden resumir en la falta de productividad y competitividad</w:t>
      </w:r>
      <w:r>
        <w:rPr>
          <w:rFonts w:ascii="Abadi" w:hAnsi="Abadi" w:cs="*Arial-Italic-7667-Identity-H"/>
          <w:i/>
          <w:iCs/>
          <w:color w:val="090909"/>
          <w:sz w:val="21"/>
          <w:szCs w:val="21"/>
        </w:rPr>
        <w:t xml:space="preserve"> </w:t>
      </w:r>
      <w:r w:rsidRPr="00FA7CEF">
        <w:rPr>
          <w:rFonts w:ascii="Abadi" w:hAnsi="Abadi" w:cs="*Arial-Italic-7667-Identity-H"/>
          <w:i/>
          <w:iCs/>
          <w:color w:val="090909"/>
          <w:sz w:val="21"/>
          <w:szCs w:val="21"/>
        </w:rPr>
        <w:t>(estrategias y herramientas de apoyo) para incursionar en los</w:t>
      </w:r>
      <w:r>
        <w:rPr>
          <w:rFonts w:ascii="Abadi" w:hAnsi="Abadi" w:cs="*Arial-Italic-7667-Identity-H"/>
          <w:i/>
          <w:iCs/>
          <w:color w:val="090909"/>
          <w:sz w:val="21"/>
          <w:szCs w:val="21"/>
        </w:rPr>
        <w:t xml:space="preserve"> </w:t>
      </w:r>
      <w:r w:rsidRPr="00FA7CEF">
        <w:rPr>
          <w:rFonts w:ascii="Abadi" w:hAnsi="Abadi" w:cs="*Arial-Italic-7667-Identity-H"/>
          <w:i/>
          <w:iCs/>
          <w:color w:val="090909"/>
          <w:sz w:val="21"/>
          <w:szCs w:val="21"/>
        </w:rPr>
        <w:t>mercados local, regional, nacional y extranjero".</w:t>
      </w:r>
    </w:p>
    <w:p w14:paraId="4640A80C" w14:textId="77777777" w:rsidR="00D0323E" w:rsidRPr="00FA7CEF" w:rsidRDefault="00D0323E" w:rsidP="00D0323E">
      <w:pPr>
        <w:ind w:left="567"/>
        <w:jc w:val="both"/>
        <w:rPr>
          <w:rFonts w:ascii="Abadi" w:hAnsi="Abadi" w:cs="*Arial-Italic-7667-Identity-H"/>
          <w:i/>
          <w:iCs/>
          <w:color w:val="090909"/>
          <w:sz w:val="21"/>
          <w:szCs w:val="21"/>
        </w:rPr>
      </w:pPr>
    </w:p>
    <w:p w14:paraId="397BAD00" w14:textId="77777777" w:rsidR="00D0323E" w:rsidRPr="00FA7CEF" w:rsidRDefault="00D0323E" w:rsidP="00D0323E">
      <w:pPr>
        <w:autoSpaceDE w:val="0"/>
        <w:autoSpaceDN w:val="0"/>
        <w:adjustRightInd w:val="0"/>
        <w:ind w:left="567"/>
        <w:jc w:val="both"/>
        <w:rPr>
          <w:rFonts w:ascii="Abadi" w:hAnsi="Abadi" w:cs="*Calibri-Italic-7369-Identity-H"/>
          <w:i/>
          <w:iCs/>
          <w:color w:val="0D0D0D"/>
          <w:sz w:val="21"/>
          <w:szCs w:val="21"/>
        </w:rPr>
      </w:pPr>
      <w:r w:rsidRPr="00FA7CEF">
        <w:rPr>
          <w:rFonts w:ascii="Abadi" w:hAnsi="Abadi" w:cs="*Calibri-Italic-7369-Identity-H"/>
          <w:i/>
          <w:iCs/>
          <w:color w:val="0D0D0D"/>
          <w:sz w:val="21"/>
          <w:szCs w:val="21"/>
        </w:rPr>
        <w:t xml:space="preserve">( </w:t>
      </w:r>
      <w:r w:rsidRPr="00FA7CEF">
        <w:rPr>
          <w:rFonts w:ascii="Abadi" w:hAnsi="Abadi" w:cs="*Times New Roman-Italic-7367-Id"/>
          <w:i/>
          <w:iCs/>
          <w:color w:val="0D0D0D"/>
          <w:sz w:val="21"/>
          <w:szCs w:val="21"/>
        </w:rPr>
        <w:t xml:space="preserve">.. </w:t>
      </w:r>
      <w:r w:rsidRPr="00FA7CEF">
        <w:rPr>
          <w:rFonts w:ascii="Abadi" w:hAnsi="Abadi" w:cs="*Calibri-Italic-7369-Identity-H"/>
          <w:i/>
          <w:iCs/>
          <w:color w:val="0D0D0D"/>
          <w:sz w:val="21"/>
          <w:szCs w:val="21"/>
        </w:rPr>
        <w:t>.)</w:t>
      </w:r>
    </w:p>
    <w:p w14:paraId="5A325BAA" w14:textId="06844D88" w:rsidR="00D0323E" w:rsidRDefault="00D0323E" w:rsidP="00D0323E">
      <w:pPr>
        <w:autoSpaceDE w:val="0"/>
        <w:autoSpaceDN w:val="0"/>
        <w:adjustRightInd w:val="0"/>
        <w:ind w:left="567"/>
        <w:jc w:val="both"/>
        <w:rPr>
          <w:rFonts w:ascii="Abadi" w:hAnsi="Abadi" w:cs="*Arial-Italic-7373-Identity-H"/>
          <w:i/>
          <w:iCs/>
          <w:color w:val="0A0A0A"/>
          <w:sz w:val="21"/>
          <w:szCs w:val="21"/>
        </w:rPr>
      </w:pPr>
      <w:r w:rsidRPr="00FA7CEF">
        <w:rPr>
          <w:rFonts w:ascii="Abadi" w:hAnsi="Abadi" w:cs="*Arial-Italic-7374-Identity-H"/>
          <w:i/>
          <w:iCs/>
          <w:color w:val="0A0A0A"/>
          <w:sz w:val="21"/>
          <w:szCs w:val="21"/>
        </w:rPr>
        <w:t>Se encuentran limitados esquemas de crédito (financiamiento) a</w:t>
      </w:r>
      <w:r>
        <w:rPr>
          <w:rFonts w:ascii="Abadi" w:hAnsi="Abadi" w:cs="*Arial-Italic-7374-Identity-H"/>
          <w:i/>
          <w:iCs/>
          <w:color w:val="0A0A0A"/>
          <w:sz w:val="21"/>
          <w:szCs w:val="21"/>
        </w:rPr>
        <w:t xml:space="preserve"> </w:t>
      </w:r>
      <w:r w:rsidRPr="00FA7CEF">
        <w:rPr>
          <w:rFonts w:ascii="Abadi" w:hAnsi="Abadi" w:cs="*Arial-Italic-7374-Identity-H"/>
          <w:i/>
          <w:iCs/>
          <w:color w:val="0A0A0A"/>
          <w:sz w:val="21"/>
          <w:szCs w:val="21"/>
        </w:rPr>
        <w:t>estas unidades económicas por el factor de riesgo que conllevan,</w:t>
      </w:r>
      <w:r>
        <w:rPr>
          <w:rFonts w:ascii="Abadi" w:hAnsi="Abadi" w:cs="*Arial-Italic-7374-Identity-H"/>
          <w:i/>
          <w:iCs/>
          <w:color w:val="0A0A0A"/>
          <w:sz w:val="21"/>
          <w:szCs w:val="21"/>
        </w:rPr>
        <w:t xml:space="preserve"> </w:t>
      </w:r>
      <w:r w:rsidRPr="00FA7CEF">
        <w:rPr>
          <w:rFonts w:ascii="Abadi" w:hAnsi="Abadi" w:cs="*Arial-Italic-7374-Identity-H"/>
          <w:i/>
          <w:iCs/>
          <w:color w:val="0A0A0A"/>
          <w:sz w:val="21"/>
          <w:szCs w:val="21"/>
        </w:rPr>
        <w:t xml:space="preserve">esta falta de capitalización propicia que no puedan </w:t>
      </w:r>
      <w:r w:rsidRPr="00FA7CEF">
        <w:rPr>
          <w:rFonts w:ascii="Abadi" w:hAnsi="Abadi" w:cs="*Tahoma-7378-Identity-H"/>
          <w:color w:val="0A0A0A"/>
          <w:sz w:val="21"/>
          <w:szCs w:val="21"/>
        </w:rPr>
        <w:t xml:space="preserve">o </w:t>
      </w:r>
      <w:r w:rsidRPr="00FA7CEF">
        <w:rPr>
          <w:rFonts w:ascii="Abadi" w:hAnsi="Abadi" w:cs="*Arial-Italic-7374-Identity-H"/>
          <w:i/>
          <w:iCs/>
          <w:color w:val="0A0A0A"/>
          <w:sz w:val="21"/>
          <w:szCs w:val="21"/>
        </w:rPr>
        <w:t>estén en</w:t>
      </w:r>
      <w:r w:rsidR="00A34DC6">
        <w:rPr>
          <w:rFonts w:ascii="Abadi" w:hAnsi="Abadi" w:cs="*Arial-Italic-7374-Identity-H"/>
          <w:i/>
          <w:iCs/>
          <w:color w:val="0A0A0A"/>
          <w:sz w:val="21"/>
          <w:szCs w:val="21"/>
        </w:rPr>
        <w:t xml:space="preserve"> </w:t>
      </w:r>
      <w:r w:rsidRPr="00FA7CEF">
        <w:rPr>
          <w:rFonts w:ascii="Abadi" w:hAnsi="Abadi" w:cs="*Arial-Italic-7374-Identity-H"/>
          <w:i/>
          <w:iCs/>
          <w:color w:val="0A0A0A"/>
          <w:sz w:val="21"/>
          <w:szCs w:val="21"/>
        </w:rPr>
        <w:t>capacidad de optar a ser proveedores de empresas grandes, tener</w:t>
      </w:r>
      <w:r>
        <w:rPr>
          <w:rFonts w:ascii="Abadi" w:hAnsi="Abadi" w:cs="*Arial-Italic-7374-Identity-H"/>
          <w:i/>
          <w:iCs/>
          <w:color w:val="0A0A0A"/>
          <w:sz w:val="21"/>
          <w:szCs w:val="21"/>
        </w:rPr>
        <w:t xml:space="preserve"> </w:t>
      </w:r>
      <w:r w:rsidRPr="00FA7CEF">
        <w:rPr>
          <w:rFonts w:ascii="Abadi" w:hAnsi="Abadi" w:cs="*Arial-Italic-7374-Identity-H"/>
          <w:i/>
          <w:iCs/>
          <w:color w:val="0A0A0A"/>
          <w:sz w:val="21"/>
          <w:szCs w:val="21"/>
        </w:rPr>
        <w:t>mayores oportunidades de negocios, modernizarse, reconvertirse</w:t>
      </w:r>
      <w:r>
        <w:rPr>
          <w:rFonts w:ascii="Abadi" w:hAnsi="Abadi" w:cs="*Arial-Italic-7374-Identity-H"/>
          <w:i/>
          <w:iCs/>
          <w:color w:val="0A0A0A"/>
          <w:sz w:val="21"/>
          <w:szCs w:val="21"/>
        </w:rPr>
        <w:t xml:space="preserve"> </w:t>
      </w:r>
      <w:r w:rsidRPr="00FA7CEF">
        <w:rPr>
          <w:rFonts w:ascii="Abadi" w:hAnsi="Abadi" w:cs="*Arial-Italic-7374-Identity-H"/>
          <w:i/>
          <w:iCs/>
          <w:color w:val="0A0A0A"/>
          <w:sz w:val="21"/>
          <w:szCs w:val="21"/>
        </w:rPr>
        <w:t xml:space="preserve">y comprar tecnología. </w:t>
      </w:r>
      <w:r w:rsidR="00143640">
        <w:rPr>
          <w:rStyle w:val="Refdenotaalpie"/>
          <w:rFonts w:ascii="Abadi" w:hAnsi="Abadi" w:cs="*Arial-Italic-7374-Identity-H"/>
          <w:i/>
          <w:iCs/>
          <w:color w:val="0A0A0A"/>
          <w:sz w:val="21"/>
          <w:szCs w:val="21"/>
        </w:rPr>
        <w:footnoteReference w:id="13"/>
      </w:r>
    </w:p>
    <w:p w14:paraId="58F3775A" w14:textId="77777777" w:rsidR="00D0323E" w:rsidRPr="00FA7CEF" w:rsidRDefault="00D0323E" w:rsidP="00D0323E">
      <w:pPr>
        <w:autoSpaceDE w:val="0"/>
        <w:autoSpaceDN w:val="0"/>
        <w:adjustRightInd w:val="0"/>
        <w:jc w:val="both"/>
        <w:rPr>
          <w:rFonts w:ascii="Abadi" w:hAnsi="Abadi" w:cs="*Arial-Italic-7373-Identity-H"/>
          <w:i/>
          <w:iCs/>
          <w:color w:val="0A0A0A"/>
          <w:sz w:val="21"/>
          <w:szCs w:val="21"/>
        </w:rPr>
      </w:pPr>
    </w:p>
    <w:p w14:paraId="0F36956F" w14:textId="77777777" w:rsidR="00D0323E" w:rsidRDefault="00D0323E" w:rsidP="00D0323E">
      <w:pPr>
        <w:autoSpaceDE w:val="0"/>
        <w:autoSpaceDN w:val="0"/>
        <w:adjustRightInd w:val="0"/>
        <w:jc w:val="both"/>
        <w:rPr>
          <w:rFonts w:ascii="Abadi" w:hAnsi="Abadi" w:cs="*Arial-7372-Identity-H"/>
          <w:color w:val="0A0A0A"/>
          <w:sz w:val="21"/>
          <w:szCs w:val="21"/>
        </w:rPr>
      </w:pPr>
      <w:r w:rsidRPr="00FA7CEF">
        <w:rPr>
          <w:rFonts w:ascii="Abadi" w:hAnsi="Abadi" w:cs="*Arial-7372-Identity-H"/>
          <w:color w:val="0A0A0A"/>
          <w:sz w:val="21"/>
          <w:szCs w:val="21"/>
        </w:rPr>
        <w:t>La presente iniciativa tiene por objeto crear un cuerpo normativo que</w:t>
      </w:r>
      <w:r>
        <w:rPr>
          <w:rFonts w:ascii="Abadi" w:hAnsi="Abadi" w:cs="*Arial-7372-Identity-H"/>
          <w:color w:val="0A0A0A"/>
          <w:sz w:val="21"/>
          <w:szCs w:val="21"/>
        </w:rPr>
        <w:t xml:space="preserve"> </w:t>
      </w:r>
      <w:r w:rsidRPr="00FA7CEF">
        <w:rPr>
          <w:rFonts w:ascii="Abadi" w:hAnsi="Abadi" w:cs="*Arial-7372-Identity-H"/>
          <w:color w:val="0A0A0A"/>
          <w:sz w:val="21"/>
          <w:szCs w:val="21"/>
        </w:rPr>
        <w:t>asegure que en Guanajuato existan instrumentos de financiamiento</w:t>
      </w:r>
      <w:r>
        <w:rPr>
          <w:rFonts w:ascii="Abadi" w:hAnsi="Abadi" w:cs="*Arial-7372-Identity-H"/>
          <w:color w:val="0A0A0A"/>
          <w:sz w:val="21"/>
          <w:szCs w:val="21"/>
        </w:rPr>
        <w:t xml:space="preserve"> </w:t>
      </w:r>
      <w:r w:rsidRPr="00FA7CEF">
        <w:rPr>
          <w:rFonts w:ascii="Abadi" w:hAnsi="Abadi" w:cs="*Arial-7372-Identity-H"/>
          <w:color w:val="0A0A0A"/>
          <w:sz w:val="21"/>
          <w:szCs w:val="21"/>
        </w:rPr>
        <w:t>para este segmento de empresas en la entidad. El propósito es contar</w:t>
      </w:r>
      <w:r>
        <w:rPr>
          <w:rFonts w:ascii="Abadi" w:hAnsi="Abadi" w:cs="*Arial-7372-Identity-H"/>
          <w:color w:val="0A0A0A"/>
          <w:sz w:val="21"/>
          <w:szCs w:val="21"/>
        </w:rPr>
        <w:t xml:space="preserve"> </w:t>
      </w:r>
      <w:r w:rsidRPr="00FA7CEF">
        <w:rPr>
          <w:rFonts w:ascii="Abadi" w:hAnsi="Abadi" w:cs="*Arial-7372-Identity-H"/>
          <w:color w:val="0A0A0A"/>
          <w:sz w:val="21"/>
          <w:szCs w:val="21"/>
        </w:rPr>
        <w:t>con vehículos de financiamiento que fomenten el acceso al crédito de</w:t>
      </w:r>
      <w:r>
        <w:rPr>
          <w:rFonts w:ascii="Abadi" w:hAnsi="Abadi" w:cs="*Arial-7372-Identity-H"/>
          <w:color w:val="0A0A0A"/>
          <w:sz w:val="21"/>
          <w:szCs w:val="21"/>
        </w:rPr>
        <w:t xml:space="preserve"> </w:t>
      </w:r>
      <w:r w:rsidRPr="00FA7CEF">
        <w:rPr>
          <w:rFonts w:ascii="Abadi" w:hAnsi="Abadi" w:cs="*Arial-7372-Identity-H"/>
          <w:color w:val="0A0A0A"/>
          <w:sz w:val="21"/>
          <w:szCs w:val="21"/>
        </w:rPr>
        <w:t>las micro, pequeñas y medianas empresas.</w:t>
      </w:r>
    </w:p>
    <w:p w14:paraId="3C0F7FB8" w14:textId="77777777" w:rsidR="00D0323E" w:rsidRPr="00FA7CEF" w:rsidRDefault="00D0323E" w:rsidP="00D0323E">
      <w:pPr>
        <w:autoSpaceDE w:val="0"/>
        <w:autoSpaceDN w:val="0"/>
        <w:adjustRightInd w:val="0"/>
        <w:jc w:val="both"/>
        <w:rPr>
          <w:rFonts w:ascii="Abadi" w:hAnsi="Abadi" w:cs="*Arial-7372-Identity-H"/>
          <w:color w:val="0A0A0A"/>
          <w:sz w:val="21"/>
          <w:szCs w:val="21"/>
        </w:rPr>
      </w:pPr>
    </w:p>
    <w:p w14:paraId="39A378C1" w14:textId="77777777" w:rsidR="00D0323E" w:rsidRDefault="00D0323E" w:rsidP="00D0323E">
      <w:pPr>
        <w:autoSpaceDE w:val="0"/>
        <w:autoSpaceDN w:val="0"/>
        <w:adjustRightInd w:val="0"/>
        <w:jc w:val="both"/>
        <w:rPr>
          <w:rFonts w:ascii="Abadi" w:hAnsi="Abadi" w:cs="*Arial-7372-Identity-H"/>
          <w:color w:val="0A0A0A"/>
          <w:sz w:val="21"/>
          <w:szCs w:val="21"/>
        </w:rPr>
      </w:pPr>
      <w:r w:rsidRPr="00FA7CEF">
        <w:rPr>
          <w:rFonts w:ascii="Abadi" w:hAnsi="Abadi" w:cs="*Arial-7372-Identity-H"/>
          <w:color w:val="0A0A0A"/>
          <w:sz w:val="21"/>
          <w:szCs w:val="21"/>
        </w:rPr>
        <w:t>Sujeto a criterios prudenciales, el crédito ofrece herramientas efectivas</w:t>
      </w:r>
      <w:r>
        <w:rPr>
          <w:rFonts w:ascii="Abadi" w:hAnsi="Abadi" w:cs="*Arial-7372-Identity-H"/>
          <w:color w:val="0A0A0A"/>
          <w:sz w:val="21"/>
          <w:szCs w:val="21"/>
        </w:rPr>
        <w:t xml:space="preserve"> </w:t>
      </w:r>
      <w:r w:rsidRPr="00FA7CEF">
        <w:rPr>
          <w:rFonts w:ascii="Abadi" w:hAnsi="Abadi" w:cs="*Arial-7372-Identity-H"/>
          <w:color w:val="0A0A0A"/>
          <w:sz w:val="21"/>
          <w:szCs w:val="21"/>
        </w:rPr>
        <w:t>para fomentar la creación, consolidación y competitividad de unidades</w:t>
      </w:r>
      <w:r>
        <w:rPr>
          <w:rFonts w:ascii="Abadi" w:hAnsi="Abadi" w:cs="*Arial-7372-Identity-H"/>
          <w:color w:val="0A0A0A"/>
          <w:sz w:val="21"/>
          <w:szCs w:val="21"/>
        </w:rPr>
        <w:t xml:space="preserve"> </w:t>
      </w:r>
      <w:r w:rsidRPr="00FA7CEF">
        <w:rPr>
          <w:rFonts w:ascii="Abadi" w:hAnsi="Abadi" w:cs="*Arial-7372-Identity-H"/>
          <w:color w:val="0A0A0A"/>
          <w:sz w:val="21"/>
          <w:szCs w:val="21"/>
        </w:rPr>
        <w:t>económicas ubicadas en este segmento.</w:t>
      </w:r>
    </w:p>
    <w:p w14:paraId="4F5C65D2" w14:textId="77777777" w:rsidR="00D0323E" w:rsidRPr="00FA7CEF" w:rsidRDefault="00D0323E" w:rsidP="00D0323E">
      <w:pPr>
        <w:autoSpaceDE w:val="0"/>
        <w:autoSpaceDN w:val="0"/>
        <w:adjustRightInd w:val="0"/>
        <w:jc w:val="both"/>
        <w:rPr>
          <w:rFonts w:ascii="Abadi" w:hAnsi="Abadi" w:cs="*Arial-7372-Identity-H"/>
          <w:color w:val="0A0A0A"/>
          <w:sz w:val="21"/>
          <w:szCs w:val="21"/>
        </w:rPr>
      </w:pPr>
    </w:p>
    <w:p w14:paraId="6EA4E3F8" w14:textId="6C81A30B" w:rsidR="00D0323E" w:rsidRDefault="00D0323E" w:rsidP="00D0323E">
      <w:pPr>
        <w:autoSpaceDE w:val="0"/>
        <w:autoSpaceDN w:val="0"/>
        <w:adjustRightInd w:val="0"/>
        <w:jc w:val="both"/>
        <w:rPr>
          <w:rFonts w:ascii="Abadi" w:hAnsi="Abadi" w:cs="*Arial-6740-Identity-H"/>
          <w:color w:val="0A0A0A"/>
          <w:sz w:val="21"/>
          <w:szCs w:val="21"/>
        </w:rPr>
      </w:pPr>
      <w:r w:rsidRPr="00FA7CEF">
        <w:rPr>
          <w:rFonts w:ascii="Abadi" w:hAnsi="Abadi" w:cs="*Arial-7372-Identity-H"/>
          <w:color w:val="0A0A0A"/>
          <w:sz w:val="21"/>
          <w:szCs w:val="21"/>
        </w:rPr>
        <w:t>El propósito del cuerpo legal que se presenta es contar con</w:t>
      </w:r>
      <w:r>
        <w:rPr>
          <w:rFonts w:ascii="Abadi" w:hAnsi="Abadi" w:cs="*Arial-7372-Identity-H"/>
          <w:color w:val="0A0A0A"/>
          <w:sz w:val="21"/>
          <w:szCs w:val="21"/>
        </w:rPr>
        <w:t xml:space="preserve"> </w:t>
      </w:r>
      <w:r w:rsidRPr="00FA7CEF">
        <w:rPr>
          <w:rFonts w:ascii="Abadi" w:hAnsi="Abadi" w:cs="*Arial-7372-Identity-H"/>
          <w:color w:val="0A0A0A"/>
          <w:sz w:val="21"/>
          <w:szCs w:val="21"/>
        </w:rPr>
        <w:t>herramientas jurídicas que garanticen la existencia de canales de</w:t>
      </w:r>
      <w:r>
        <w:rPr>
          <w:rFonts w:ascii="Abadi" w:hAnsi="Abadi" w:cs="*Arial-7372-Identity-H"/>
          <w:color w:val="0A0A0A"/>
          <w:sz w:val="21"/>
          <w:szCs w:val="21"/>
        </w:rPr>
        <w:t xml:space="preserve"> financiamiento</w:t>
      </w:r>
      <w:r w:rsidRPr="00FA7CEF">
        <w:rPr>
          <w:rFonts w:ascii="Abadi" w:hAnsi="Abadi" w:cs="*Arial-6740-Identity-H"/>
          <w:color w:val="0A0A0A"/>
          <w:sz w:val="21"/>
          <w:szCs w:val="21"/>
        </w:rPr>
        <w:t xml:space="preserve"> que </w:t>
      </w:r>
      <w:r w:rsidRPr="00FA7CEF">
        <w:rPr>
          <w:rFonts w:ascii="Abadi" w:hAnsi="Abadi" w:cs="*Arial-6740-Identity-H"/>
          <w:color w:val="0A0A0A"/>
          <w:sz w:val="21"/>
          <w:szCs w:val="21"/>
        </w:rPr>
        <w:lastRenderedPageBreak/>
        <w:t>son indispensables para el desarrollo de empresas</w:t>
      </w:r>
      <w:r w:rsidR="000651CF">
        <w:rPr>
          <w:rFonts w:ascii="Abadi" w:hAnsi="Abadi" w:cs="*Arial-6740-Identity-H"/>
          <w:color w:val="0A0A0A"/>
          <w:sz w:val="21"/>
          <w:szCs w:val="21"/>
        </w:rPr>
        <w:t xml:space="preserve"> </w:t>
      </w:r>
      <w:r w:rsidRPr="00FA7CEF">
        <w:rPr>
          <w:rFonts w:ascii="Abadi" w:hAnsi="Abadi" w:cs="*Arial-6740-Identity-H"/>
          <w:color w:val="0A0A0A"/>
          <w:sz w:val="21"/>
          <w:szCs w:val="21"/>
        </w:rPr>
        <w:t>en la entidad. El objeto es contribuir con decisiones de política pública</w:t>
      </w:r>
      <w:r>
        <w:rPr>
          <w:rFonts w:ascii="Abadi" w:hAnsi="Abadi" w:cs="*Arial-6740-Identity-H"/>
          <w:color w:val="0A0A0A"/>
          <w:sz w:val="21"/>
          <w:szCs w:val="21"/>
        </w:rPr>
        <w:t xml:space="preserve"> </w:t>
      </w:r>
      <w:r w:rsidRPr="00FA7CEF">
        <w:rPr>
          <w:rFonts w:ascii="Abadi" w:hAnsi="Abadi" w:cs="*Arial-6740-Identity-H"/>
          <w:color w:val="0A0A0A"/>
          <w:sz w:val="21"/>
          <w:szCs w:val="21"/>
        </w:rPr>
        <w:t>para cerrar la brecha en las exigencias de la demanda y las condiciones</w:t>
      </w:r>
      <w:r>
        <w:rPr>
          <w:rFonts w:ascii="Abadi" w:hAnsi="Abadi" w:cs="*Arial-6740-Identity-H"/>
          <w:color w:val="0A0A0A"/>
          <w:sz w:val="21"/>
          <w:szCs w:val="21"/>
        </w:rPr>
        <w:t xml:space="preserve"> </w:t>
      </w:r>
      <w:r w:rsidRPr="00FA7CEF">
        <w:rPr>
          <w:rFonts w:ascii="Abadi" w:hAnsi="Abadi" w:cs="*Arial-6740-Identity-H"/>
          <w:color w:val="0A0A0A"/>
          <w:sz w:val="21"/>
          <w:szCs w:val="21"/>
        </w:rPr>
        <w:t>de oferta de recursos crediticios.</w:t>
      </w:r>
    </w:p>
    <w:p w14:paraId="46CA96A8" w14:textId="77777777" w:rsidR="00D0323E" w:rsidRPr="00FA7CEF" w:rsidRDefault="00D0323E" w:rsidP="00D0323E">
      <w:pPr>
        <w:autoSpaceDE w:val="0"/>
        <w:autoSpaceDN w:val="0"/>
        <w:adjustRightInd w:val="0"/>
        <w:jc w:val="both"/>
        <w:rPr>
          <w:rFonts w:ascii="Abadi" w:hAnsi="Abadi" w:cs="*Arial-6740-Identity-H"/>
          <w:color w:val="0A0A0A"/>
          <w:sz w:val="21"/>
          <w:szCs w:val="21"/>
        </w:rPr>
      </w:pPr>
    </w:p>
    <w:p w14:paraId="650284B8" w14:textId="77777777" w:rsidR="00D0323E" w:rsidRDefault="00D0323E" w:rsidP="00D0323E">
      <w:pPr>
        <w:autoSpaceDE w:val="0"/>
        <w:autoSpaceDN w:val="0"/>
        <w:adjustRightInd w:val="0"/>
        <w:jc w:val="both"/>
        <w:rPr>
          <w:rFonts w:ascii="Abadi" w:hAnsi="Abadi" w:cs="*Arial-6740-Identity-H"/>
          <w:color w:val="0A0A0A"/>
          <w:sz w:val="21"/>
          <w:szCs w:val="21"/>
        </w:rPr>
      </w:pPr>
      <w:r w:rsidRPr="00FA7CEF">
        <w:rPr>
          <w:rFonts w:ascii="Abadi" w:hAnsi="Abadi" w:cs="*Arial-6740-Identity-H"/>
          <w:color w:val="0A0A0A"/>
          <w:sz w:val="21"/>
          <w:szCs w:val="21"/>
        </w:rPr>
        <w:t>Como se ha señalado por organismos multilaterales, la baja</w:t>
      </w:r>
      <w:r>
        <w:rPr>
          <w:rFonts w:ascii="Abadi" w:hAnsi="Abadi" w:cs="*Arial-6740-Identity-H"/>
          <w:color w:val="0A0A0A"/>
          <w:sz w:val="21"/>
          <w:szCs w:val="21"/>
        </w:rPr>
        <w:t xml:space="preserve"> </w:t>
      </w:r>
      <w:r w:rsidRPr="00FA7CEF">
        <w:rPr>
          <w:rFonts w:ascii="Abadi" w:hAnsi="Abadi" w:cs="*Arial-6740-Identity-H"/>
          <w:color w:val="0A0A0A"/>
          <w:sz w:val="21"/>
          <w:szCs w:val="21"/>
        </w:rPr>
        <w:t>participación de las MIPyMEs en el sistema financiero justifica el</w:t>
      </w:r>
      <w:r>
        <w:rPr>
          <w:rFonts w:ascii="Abadi" w:hAnsi="Abadi" w:cs="*Arial-6740-Identity-H"/>
          <w:color w:val="0A0A0A"/>
          <w:sz w:val="21"/>
          <w:szCs w:val="21"/>
        </w:rPr>
        <w:t xml:space="preserve"> </w:t>
      </w:r>
      <w:r w:rsidRPr="00FA7CEF">
        <w:rPr>
          <w:rFonts w:ascii="Abadi" w:hAnsi="Abadi" w:cs="*Arial-6740-Identity-H"/>
          <w:color w:val="0A0A0A"/>
          <w:sz w:val="21"/>
          <w:szCs w:val="21"/>
        </w:rPr>
        <w:t>accionar de los gobiernos para facilitar medidas orientadas a mejorar el</w:t>
      </w:r>
      <w:r>
        <w:rPr>
          <w:rFonts w:ascii="Abadi" w:hAnsi="Abadi" w:cs="*Arial-6740-Identity-H"/>
          <w:color w:val="0A0A0A"/>
          <w:sz w:val="21"/>
          <w:szCs w:val="21"/>
        </w:rPr>
        <w:t xml:space="preserve"> </w:t>
      </w:r>
      <w:r w:rsidRPr="00FA7CEF">
        <w:rPr>
          <w:rFonts w:ascii="Abadi" w:hAnsi="Abadi" w:cs="*Arial-6740-Identity-H"/>
          <w:color w:val="0A0A0A"/>
          <w:sz w:val="21"/>
          <w:szCs w:val="21"/>
        </w:rPr>
        <w:t>acceso al crédito.</w:t>
      </w:r>
    </w:p>
    <w:p w14:paraId="2CAA70F2" w14:textId="77777777" w:rsidR="00D0323E" w:rsidRPr="00FA7CEF" w:rsidRDefault="00D0323E" w:rsidP="00D0323E">
      <w:pPr>
        <w:autoSpaceDE w:val="0"/>
        <w:autoSpaceDN w:val="0"/>
        <w:adjustRightInd w:val="0"/>
        <w:jc w:val="both"/>
        <w:rPr>
          <w:rFonts w:ascii="Abadi" w:hAnsi="Abadi" w:cs="*Arial-6740-Identity-H"/>
          <w:color w:val="0A0A0A"/>
          <w:sz w:val="21"/>
          <w:szCs w:val="21"/>
        </w:rPr>
      </w:pPr>
    </w:p>
    <w:p w14:paraId="21BBAF2F" w14:textId="4C5BCDE5" w:rsidR="00D0323E" w:rsidRDefault="00D0323E" w:rsidP="00D0323E">
      <w:pPr>
        <w:autoSpaceDE w:val="0"/>
        <w:autoSpaceDN w:val="0"/>
        <w:adjustRightInd w:val="0"/>
        <w:jc w:val="both"/>
        <w:rPr>
          <w:rFonts w:ascii="Abadi" w:hAnsi="Abadi" w:cs="*Arial-6740-Identity-H"/>
          <w:color w:val="0A0A0A"/>
          <w:sz w:val="21"/>
          <w:szCs w:val="21"/>
        </w:rPr>
      </w:pPr>
      <w:r w:rsidRPr="00FA7CEF">
        <w:rPr>
          <w:rFonts w:ascii="Abadi" w:hAnsi="Abadi" w:cs="*Arial-6740-Identity-H"/>
          <w:color w:val="0A0A0A"/>
          <w:sz w:val="21"/>
          <w:szCs w:val="21"/>
        </w:rPr>
        <w:t>Los instrumentos financieros en la experiencia internacional revelan la</w:t>
      </w:r>
      <w:r>
        <w:rPr>
          <w:rFonts w:ascii="Abadi" w:hAnsi="Abadi" w:cs="*Arial-6740-Identity-H"/>
          <w:color w:val="0A0A0A"/>
          <w:sz w:val="21"/>
          <w:szCs w:val="21"/>
        </w:rPr>
        <w:t xml:space="preserve"> </w:t>
      </w:r>
      <w:r w:rsidRPr="00FA7CEF">
        <w:rPr>
          <w:rFonts w:ascii="Abadi" w:hAnsi="Abadi" w:cs="*Arial-6740-Identity-H"/>
          <w:color w:val="0A0A0A"/>
          <w:sz w:val="21"/>
          <w:szCs w:val="21"/>
        </w:rPr>
        <w:t>diversidad de herramientas que se han utilizado a fin de incrementar la</w:t>
      </w:r>
      <w:r>
        <w:rPr>
          <w:rFonts w:ascii="Abadi" w:hAnsi="Abadi" w:cs="*Arial-6740-Identity-H"/>
          <w:color w:val="0A0A0A"/>
          <w:sz w:val="21"/>
          <w:szCs w:val="21"/>
        </w:rPr>
        <w:t xml:space="preserve"> </w:t>
      </w:r>
      <w:r w:rsidRPr="00FA7CEF">
        <w:rPr>
          <w:rFonts w:ascii="Abadi" w:hAnsi="Abadi" w:cs="*Arial-6740-Identity-H"/>
          <w:color w:val="0A0A0A"/>
          <w:sz w:val="21"/>
          <w:szCs w:val="21"/>
        </w:rPr>
        <w:t>profundidad de las políticas crediticias. Estrategias de acceso a crédito</w:t>
      </w:r>
      <w:r>
        <w:rPr>
          <w:rFonts w:ascii="Abadi" w:hAnsi="Abadi" w:cs="*Arial-6740-Identity-H"/>
          <w:color w:val="0A0A0A"/>
          <w:sz w:val="21"/>
          <w:szCs w:val="21"/>
        </w:rPr>
        <w:t xml:space="preserve"> </w:t>
      </w:r>
      <w:r w:rsidRPr="00FA7CEF">
        <w:rPr>
          <w:rFonts w:ascii="Abadi" w:hAnsi="Abadi" w:cs="*Arial-6740-Identity-H"/>
          <w:color w:val="0A0A0A"/>
          <w:sz w:val="21"/>
          <w:szCs w:val="21"/>
        </w:rPr>
        <w:t>con entidades públicas de primer y segundo piso, diversificación de</w:t>
      </w:r>
      <w:r>
        <w:rPr>
          <w:rFonts w:ascii="Abadi" w:hAnsi="Abadi" w:cs="*Arial-6740-Identity-H"/>
          <w:color w:val="0A0A0A"/>
          <w:sz w:val="21"/>
          <w:szCs w:val="21"/>
        </w:rPr>
        <w:t xml:space="preserve"> </w:t>
      </w:r>
      <w:r w:rsidRPr="00FA7CEF">
        <w:rPr>
          <w:rFonts w:ascii="Abadi" w:hAnsi="Abadi" w:cs="*Arial-6740-Identity-H"/>
          <w:color w:val="0A0A0A"/>
          <w:sz w:val="21"/>
          <w:szCs w:val="21"/>
        </w:rPr>
        <w:t>opciones con la inclusión de esquemas de garantías, subsidio a tasa,</w:t>
      </w:r>
      <w:r>
        <w:rPr>
          <w:rFonts w:ascii="Abadi" w:hAnsi="Abadi" w:cs="*Arial-6740-Identity-H"/>
          <w:color w:val="0A0A0A"/>
          <w:sz w:val="21"/>
          <w:szCs w:val="21"/>
        </w:rPr>
        <w:t xml:space="preserve"> </w:t>
      </w:r>
      <w:r w:rsidRPr="00FA7CEF">
        <w:rPr>
          <w:rFonts w:ascii="Abadi" w:hAnsi="Abadi" w:cs="*Arial-6740-Identity-H"/>
          <w:color w:val="0A0A0A"/>
          <w:sz w:val="21"/>
          <w:szCs w:val="21"/>
        </w:rPr>
        <w:t>factoraje e incluso oferta de recursos a través de opciones de</w:t>
      </w:r>
      <w:r>
        <w:rPr>
          <w:rFonts w:ascii="Abadi" w:hAnsi="Abadi" w:cs="*Arial-6740-Identity-H"/>
          <w:color w:val="0A0A0A"/>
          <w:sz w:val="21"/>
          <w:szCs w:val="21"/>
        </w:rPr>
        <w:t xml:space="preserve"> </w:t>
      </w:r>
      <w:r w:rsidRPr="00FA7CEF">
        <w:rPr>
          <w:rFonts w:ascii="Abadi" w:hAnsi="Abadi" w:cs="*Arial-6740-Identity-H"/>
          <w:color w:val="0A0A0A"/>
          <w:sz w:val="21"/>
          <w:szCs w:val="21"/>
        </w:rPr>
        <w:t>cuasicapital, han sido instrumentos que indican la diversidad de</w:t>
      </w:r>
      <w:r>
        <w:rPr>
          <w:rFonts w:ascii="Abadi" w:hAnsi="Abadi" w:cs="*Arial-6740-Identity-H"/>
          <w:color w:val="0A0A0A"/>
          <w:sz w:val="21"/>
          <w:szCs w:val="21"/>
        </w:rPr>
        <w:t xml:space="preserve"> </w:t>
      </w:r>
      <w:r w:rsidRPr="00FA7CEF">
        <w:rPr>
          <w:rFonts w:ascii="Abadi" w:hAnsi="Abadi" w:cs="*Arial-6740-Identity-H"/>
          <w:color w:val="0A0A0A"/>
          <w:sz w:val="21"/>
          <w:szCs w:val="21"/>
        </w:rPr>
        <w:t>opciones que se han impulsado desde el sector público para atender</w:t>
      </w:r>
      <w:r>
        <w:rPr>
          <w:rFonts w:ascii="Abadi" w:hAnsi="Abadi" w:cs="*Arial-6740-Identity-H"/>
          <w:color w:val="0A0A0A"/>
          <w:sz w:val="21"/>
          <w:szCs w:val="21"/>
        </w:rPr>
        <w:t xml:space="preserve"> </w:t>
      </w:r>
      <w:r w:rsidRPr="00FA7CEF">
        <w:rPr>
          <w:rFonts w:ascii="Abadi" w:hAnsi="Abadi" w:cs="*Arial-6740-Identity-H"/>
          <w:color w:val="0A0A0A"/>
          <w:sz w:val="21"/>
          <w:szCs w:val="21"/>
        </w:rPr>
        <w:t>esta falla de mercado que se presenta en el sector financiero.</w:t>
      </w:r>
      <w:r>
        <w:rPr>
          <w:rFonts w:ascii="Abadi" w:hAnsi="Abadi" w:cs="*Arial-6740-Identity-H"/>
          <w:color w:val="0A0A0A"/>
          <w:sz w:val="21"/>
          <w:szCs w:val="21"/>
        </w:rPr>
        <w:t xml:space="preserve"> </w:t>
      </w:r>
    </w:p>
    <w:p w14:paraId="383C6B8D" w14:textId="77777777" w:rsidR="00D0323E" w:rsidRDefault="00D0323E" w:rsidP="00D0323E">
      <w:pPr>
        <w:autoSpaceDE w:val="0"/>
        <w:autoSpaceDN w:val="0"/>
        <w:adjustRightInd w:val="0"/>
        <w:jc w:val="both"/>
        <w:rPr>
          <w:rFonts w:ascii="Abadi" w:hAnsi="Abadi" w:cs="*Arial-6740-Identity-H"/>
          <w:color w:val="0A0A0A"/>
          <w:sz w:val="21"/>
          <w:szCs w:val="21"/>
        </w:rPr>
      </w:pPr>
    </w:p>
    <w:p w14:paraId="00F6D306" w14:textId="77777777" w:rsidR="00D0323E" w:rsidRDefault="00D0323E" w:rsidP="00D0323E">
      <w:pPr>
        <w:autoSpaceDE w:val="0"/>
        <w:autoSpaceDN w:val="0"/>
        <w:adjustRightInd w:val="0"/>
        <w:jc w:val="both"/>
        <w:rPr>
          <w:rFonts w:ascii="Abadi" w:hAnsi="Abadi" w:cs="*Arial-9841-Identity-H"/>
          <w:color w:val="0A0A0A"/>
          <w:sz w:val="21"/>
          <w:szCs w:val="21"/>
        </w:rPr>
      </w:pPr>
      <w:r w:rsidRPr="00FA7CEF">
        <w:rPr>
          <w:rFonts w:ascii="Abadi" w:hAnsi="Abadi" w:cs="*Arial-6740-Identity-H"/>
          <w:color w:val="0A0A0A"/>
          <w:sz w:val="21"/>
          <w:szCs w:val="21"/>
        </w:rPr>
        <w:t>Eventos recientes como la crisis sanitaria han revelado la importancia</w:t>
      </w:r>
      <w:r>
        <w:rPr>
          <w:rFonts w:ascii="Abadi" w:hAnsi="Abadi" w:cs="*Arial-6740-Identity-H"/>
          <w:color w:val="0A0A0A"/>
          <w:sz w:val="21"/>
          <w:szCs w:val="21"/>
        </w:rPr>
        <w:t xml:space="preserve"> </w:t>
      </w:r>
      <w:r w:rsidRPr="00FA7CEF">
        <w:rPr>
          <w:rFonts w:ascii="Abadi" w:hAnsi="Abadi" w:cs="*Arial-6740-Identity-H"/>
          <w:color w:val="0A0A0A"/>
          <w:sz w:val="21"/>
          <w:szCs w:val="21"/>
        </w:rPr>
        <w:t>de contar con vías de financiamiento alternativas en momentos de caída</w:t>
      </w:r>
      <w:r>
        <w:rPr>
          <w:rFonts w:ascii="Abadi" w:hAnsi="Abadi" w:cs="*Arial-6740-Identity-H"/>
          <w:color w:val="0A0A0A"/>
          <w:sz w:val="21"/>
          <w:szCs w:val="21"/>
        </w:rPr>
        <w:t xml:space="preserve"> </w:t>
      </w:r>
      <w:r w:rsidRPr="00FA7CEF">
        <w:rPr>
          <w:rFonts w:ascii="Abadi" w:hAnsi="Abadi" w:cs="*Arial-6740-Identity-H"/>
          <w:color w:val="0A0A0A"/>
          <w:sz w:val="21"/>
          <w:szCs w:val="21"/>
        </w:rPr>
        <w:t>del ciclo económico. La literatura especializada ha subrayado el</w:t>
      </w:r>
      <w:r>
        <w:rPr>
          <w:rFonts w:ascii="Abadi" w:hAnsi="Abadi" w:cs="*Arial-6740-Identity-H"/>
          <w:color w:val="0A0A0A"/>
          <w:sz w:val="21"/>
          <w:szCs w:val="21"/>
        </w:rPr>
        <w:t xml:space="preserve"> </w:t>
      </w:r>
      <w:r w:rsidRPr="00FA7CEF">
        <w:rPr>
          <w:rFonts w:ascii="Abadi" w:hAnsi="Abadi" w:cs="*Arial-9841-Identity-H"/>
          <w:color w:val="0A0A0A"/>
          <w:sz w:val="21"/>
          <w:szCs w:val="21"/>
        </w:rPr>
        <w:t>problema de ciclicidad que se observa en los sistemas financieros. El</w:t>
      </w:r>
      <w:r>
        <w:rPr>
          <w:rFonts w:ascii="Abadi" w:hAnsi="Abadi" w:cs="*Arial-9841-Identity-H"/>
          <w:color w:val="0A0A0A"/>
          <w:sz w:val="21"/>
          <w:szCs w:val="21"/>
        </w:rPr>
        <w:t xml:space="preserve"> </w:t>
      </w:r>
      <w:r w:rsidRPr="00FA7CEF">
        <w:rPr>
          <w:rFonts w:ascii="Abadi" w:hAnsi="Abadi" w:cs="*Arial-9841-Identity-H"/>
          <w:color w:val="0A0A0A"/>
          <w:sz w:val="21"/>
          <w:szCs w:val="21"/>
        </w:rPr>
        <w:t>crédito se deteriora en momentos de recesión, precisamente cuando</w:t>
      </w:r>
      <w:r>
        <w:rPr>
          <w:rFonts w:ascii="Abadi" w:hAnsi="Abadi" w:cs="*Arial-9841-Identity-H"/>
          <w:color w:val="0A0A0A"/>
          <w:sz w:val="21"/>
          <w:szCs w:val="21"/>
        </w:rPr>
        <w:t xml:space="preserve"> </w:t>
      </w:r>
      <w:r w:rsidRPr="00FA7CEF">
        <w:rPr>
          <w:rFonts w:ascii="Abadi" w:hAnsi="Abadi" w:cs="*Arial-9841-Identity-H"/>
          <w:color w:val="0A0A0A"/>
          <w:sz w:val="21"/>
          <w:szCs w:val="21"/>
        </w:rPr>
        <w:t>resulta más relevante tener opciones contra cíclicas para amortiguar y</w:t>
      </w:r>
      <w:r>
        <w:rPr>
          <w:rFonts w:ascii="Abadi" w:hAnsi="Abadi" w:cs="*Arial-9841-Identity-H"/>
          <w:color w:val="0A0A0A"/>
          <w:sz w:val="21"/>
          <w:szCs w:val="21"/>
        </w:rPr>
        <w:t xml:space="preserve"> </w:t>
      </w:r>
      <w:r w:rsidRPr="00FA7CEF">
        <w:rPr>
          <w:rFonts w:ascii="Abadi" w:hAnsi="Abadi" w:cs="*Arial-9841-Identity-H"/>
          <w:color w:val="0A0A0A"/>
          <w:sz w:val="21"/>
          <w:szCs w:val="21"/>
        </w:rPr>
        <w:t>contrarrestar las afectaciones económicas. Este hecho ha sido</w:t>
      </w:r>
      <w:r>
        <w:rPr>
          <w:rFonts w:ascii="Abadi" w:hAnsi="Abadi" w:cs="*Arial-9841-Identity-H"/>
          <w:color w:val="0A0A0A"/>
          <w:sz w:val="21"/>
          <w:szCs w:val="21"/>
        </w:rPr>
        <w:t xml:space="preserve"> </w:t>
      </w:r>
      <w:r w:rsidRPr="00FA7CEF">
        <w:rPr>
          <w:rFonts w:ascii="Abadi" w:hAnsi="Abadi" w:cs="*Arial-9841-Identity-H"/>
          <w:color w:val="0A0A0A"/>
          <w:sz w:val="21"/>
          <w:szCs w:val="21"/>
        </w:rPr>
        <w:t>confirmado en los análisis de estrés que realiza la Comisión Nacional</w:t>
      </w:r>
      <w:r>
        <w:rPr>
          <w:rFonts w:ascii="Abadi" w:hAnsi="Abadi" w:cs="*Arial-9841-Identity-H"/>
          <w:color w:val="0A0A0A"/>
          <w:sz w:val="21"/>
          <w:szCs w:val="21"/>
        </w:rPr>
        <w:t xml:space="preserve"> </w:t>
      </w:r>
      <w:r w:rsidRPr="00FA7CEF">
        <w:rPr>
          <w:rFonts w:ascii="Abadi" w:hAnsi="Abadi" w:cs="*Arial-9841-Identity-H"/>
          <w:color w:val="0A0A0A"/>
          <w:sz w:val="21"/>
          <w:szCs w:val="21"/>
        </w:rPr>
        <w:t>Bancaria y de Valores cuyo propósito es verificar el margen que tienen</w:t>
      </w:r>
      <w:r>
        <w:rPr>
          <w:rFonts w:ascii="Abadi" w:hAnsi="Abadi" w:cs="*Arial-9841-Identity-H"/>
          <w:color w:val="0A0A0A"/>
          <w:sz w:val="21"/>
          <w:szCs w:val="21"/>
        </w:rPr>
        <w:t xml:space="preserve"> </w:t>
      </w:r>
      <w:r w:rsidRPr="00FA7CEF">
        <w:rPr>
          <w:rFonts w:ascii="Abadi" w:hAnsi="Abadi" w:cs="*Arial-9841-Identity-H"/>
          <w:color w:val="0A0A0A"/>
          <w:sz w:val="21"/>
          <w:szCs w:val="21"/>
        </w:rPr>
        <w:t>las instituciones financieras ante escenarios adversos. La conclusión</w:t>
      </w:r>
      <w:r>
        <w:rPr>
          <w:rFonts w:ascii="Abadi" w:hAnsi="Abadi" w:cs="*Arial-9841-Identity-H"/>
          <w:color w:val="0A0A0A"/>
          <w:sz w:val="21"/>
          <w:szCs w:val="21"/>
        </w:rPr>
        <w:t xml:space="preserve"> </w:t>
      </w:r>
      <w:r w:rsidRPr="00FA7CEF">
        <w:rPr>
          <w:rFonts w:ascii="Abadi" w:hAnsi="Abadi" w:cs="*Arial-9841-Identity-H"/>
          <w:color w:val="0A0A0A"/>
          <w:sz w:val="21"/>
          <w:szCs w:val="21"/>
        </w:rPr>
        <w:t>revela que las instituciones financieras consideran el crédito a empresas</w:t>
      </w:r>
      <w:r>
        <w:rPr>
          <w:rFonts w:ascii="Abadi" w:hAnsi="Abadi" w:cs="*Arial-9841-Identity-H"/>
          <w:color w:val="0A0A0A"/>
          <w:sz w:val="21"/>
          <w:szCs w:val="21"/>
        </w:rPr>
        <w:t xml:space="preserve"> </w:t>
      </w:r>
      <w:r w:rsidRPr="00FA7CEF">
        <w:rPr>
          <w:rFonts w:ascii="Abadi" w:hAnsi="Abadi" w:cs="*Arial-9841-Identity-H"/>
          <w:color w:val="0A0A0A"/>
          <w:sz w:val="21"/>
          <w:szCs w:val="21"/>
        </w:rPr>
        <w:t>del sector muy sensible al comportamiento de la actividad económica.</w:t>
      </w:r>
    </w:p>
    <w:p w14:paraId="180A35A5" w14:textId="77777777" w:rsidR="00D0323E" w:rsidRPr="00FA7CEF" w:rsidRDefault="00D0323E" w:rsidP="00D0323E">
      <w:pPr>
        <w:autoSpaceDE w:val="0"/>
        <w:autoSpaceDN w:val="0"/>
        <w:adjustRightInd w:val="0"/>
        <w:jc w:val="both"/>
        <w:rPr>
          <w:rFonts w:ascii="Abadi" w:hAnsi="Abadi" w:cs="*Arial-9841-Identity-H"/>
          <w:color w:val="0A0A0A"/>
          <w:sz w:val="21"/>
          <w:szCs w:val="21"/>
        </w:rPr>
      </w:pPr>
    </w:p>
    <w:p w14:paraId="5AB8B1B7" w14:textId="1E78D3B8" w:rsidR="00D0323E" w:rsidRDefault="00D0323E" w:rsidP="00D0323E">
      <w:pPr>
        <w:autoSpaceDE w:val="0"/>
        <w:autoSpaceDN w:val="0"/>
        <w:adjustRightInd w:val="0"/>
        <w:jc w:val="both"/>
        <w:rPr>
          <w:rFonts w:ascii="Abadi" w:hAnsi="Abadi" w:cs="*Arial-9842-Identity-H"/>
          <w:color w:val="0A0A0A"/>
          <w:sz w:val="21"/>
          <w:szCs w:val="21"/>
        </w:rPr>
      </w:pPr>
      <w:r w:rsidRPr="00FA7CEF">
        <w:rPr>
          <w:rFonts w:ascii="Abadi" w:hAnsi="Abadi" w:cs="*Arial-9841-Identity-H"/>
          <w:color w:val="0A0A0A"/>
          <w:sz w:val="21"/>
          <w:szCs w:val="21"/>
        </w:rPr>
        <w:t>Aún más, análisis académicos han subrayado la brecha financiera que</w:t>
      </w:r>
      <w:r>
        <w:rPr>
          <w:rFonts w:ascii="Abadi" w:hAnsi="Abadi" w:cs="*Arial-9841-Identity-H"/>
          <w:color w:val="0A0A0A"/>
          <w:sz w:val="21"/>
          <w:szCs w:val="21"/>
        </w:rPr>
        <w:t xml:space="preserve"> </w:t>
      </w:r>
      <w:r w:rsidRPr="00FA7CEF">
        <w:rPr>
          <w:rFonts w:ascii="Abadi" w:hAnsi="Abadi" w:cs="*Arial-9841-Identity-H"/>
          <w:color w:val="0A0A0A"/>
          <w:sz w:val="21"/>
          <w:szCs w:val="21"/>
        </w:rPr>
        <w:t>existe entre mujeres y hombres. En ese alcance, se ha indicado que los</w:t>
      </w:r>
      <w:r>
        <w:rPr>
          <w:rFonts w:ascii="Abadi" w:hAnsi="Abadi" w:cs="*Arial-9841-Identity-H"/>
          <w:color w:val="0A0A0A"/>
          <w:sz w:val="21"/>
          <w:szCs w:val="21"/>
        </w:rPr>
        <w:t xml:space="preserve"> </w:t>
      </w:r>
      <w:r w:rsidRPr="00FA7CEF">
        <w:rPr>
          <w:rFonts w:ascii="Abadi" w:hAnsi="Abadi" w:cs="*Arial-9841-Identity-H"/>
          <w:color w:val="0A0A0A"/>
          <w:sz w:val="21"/>
          <w:szCs w:val="21"/>
        </w:rPr>
        <w:t xml:space="preserve">requisitos de colaterales suelen ser mucho más </w:t>
      </w:r>
      <w:r w:rsidRPr="00FA7CEF">
        <w:rPr>
          <w:rFonts w:ascii="Abadi" w:hAnsi="Abadi" w:cs="*Arial-9841-Identity-H"/>
          <w:color w:val="0A0A0A"/>
          <w:sz w:val="21"/>
          <w:szCs w:val="21"/>
        </w:rPr>
        <w:t>estrictos para las</w:t>
      </w:r>
      <w:r>
        <w:rPr>
          <w:rFonts w:ascii="Abadi" w:hAnsi="Abadi" w:cs="*Arial-9841-Identity-H"/>
          <w:color w:val="0A0A0A"/>
          <w:sz w:val="21"/>
          <w:szCs w:val="21"/>
        </w:rPr>
        <w:t xml:space="preserve"> </w:t>
      </w:r>
      <w:r w:rsidRPr="00FA7CEF">
        <w:rPr>
          <w:rFonts w:ascii="Abadi" w:hAnsi="Abadi" w:cs="*Arial-9841-Identity-H"/>
          <w:color w:val="0A0A0A"/>
          <w:sz w:val="21"/>
          <w:szCs w:val="21"/>
        </w:rPr>
        <w:t>mujeres, y los requerimientos reglamentarios limitan su acceso al</w:t>
      </w:r>
      <w:r>
        <w:rPr>
          <w:rFonts w:ascii="Abadi" w:hAnsi="Abadi" w:cs="*Arial-9841-Identity-H"/>
          <w:color w:val="0A0A0A"/>
          <w:sz w:val="21"/>
          <w:szCs w:val="21"/>
        </w:rPr>
        <w:t xml:space="preserve"> </w:t>
      </w:r>
      <w:r w:rsidRPr="00FA7CEF">
        <w:rPr>
          <w:rFonts w:ascii="Abadi" w:hAnsi="Abadi" w:cs="*Arial-9841-Identity-H"/>
          <w:color w:val="0A0A0A"/>
          <w:sz w:val="21"/>
          <w:szCs w:val="21"/>
        </w:rPr>
        <w:t>financiamiento. Por ello, es preciso contar con vehículos de</w:t>
      </w:r>
      <w:r>
        <w:rPr>
          <w:rFonts w:ascii="Abadi" w:hAnsi="Abadi" w:cs="*Arial-9841-Identity-H"/>
          <w:color w:val="0A0A0A"/>
          <w:sz w:val="21"/>
          <w:szCs w:val="21"/>
        </w:rPr>
        <w:t xml:space="preserve"> </w:t>
      </w:r>
      <w:r w:rsidRPr="00FA7CEF">
        <w:rPr>
          <w:rFonts w:ascii="Abadi" w:hAnsi="Abadi" w:cs="*Arial-9841-Identity-H"/>
          <w:color w:val="0A0A0A"/>
          <w:sz w:val="21"/>
          <w:szCs w:val="21"/>
        </w:rPr>
        <w:t>financiamiento que tengan una perspectiva de género en sus políticas</w:t>
      </w:r>
      <w:r>
        <w:rPr>
          <w:rFonts w:ascii="Abadi" w:hAnsi="Abadi" w:cs="*Arial-9841-Identity-H"/>
          <w:color w:val="0A0A0A"/>
          <w:sz w:val="21"/>
          <w:szCs w:val="21"/>
        </w:rPr>
        <w:t xml:space="preserve"> </w:t>
      </w:r>
      <w:r w:rsidRPr="00FA7CEF">
        <w:rPr>
          <w:rFonts w:ascii="Abadi" w:hAnsi="Abadi" w:cs="*Arial-9841-Identity-H"/>
          <w:color w:val="0A0A0A"/>
          <w:sz w:val="21"/>
          <w:szCs w:val="21"/>
        </w:rPr>
        <w:t xml:space="preserve">de colocación a fin de atacar esa brecha. </w:t>
      </w:r>
      <w:r w:rsidR="001D68D3">
        <w:rPr>
          <w:rStyle w:val="Refdenotaalpie"/>
          <w:rFonts w:ascii="Abadi" w:hAnsi="Abadi" w:cs="*Arial-9841-Identity-H"/>
          <w:color w:val="0A0A0A"/>
          <w:sz w:val="21"/>
          <w:szCs w:val="21"/>
        </w:rPr>
        <w:footnoteReference w:id="14"/>
      </w:r>
    </w:p>
    <w:p w14:paraId="7A86965A" w14:textId="77777777" w:rsidR="00D0323E" w:rsidRPr="00FA7CEF" w:rsidRDefault="00D0323E" w:rsidP="00D0323E">
      <w:pPr>
        <w:autoSpaceDE w:val="0"/>
        <w:autoSpaceDN w:val="0"/>
        <w:adjustRightInd w:val="0"/>
        <w:jc w:val="both"/>
        <w:rPr>
          <w:rFonts w:ascii="Abadi" w:hAnsi="Abadi" w:cs="*Arial-9842-Identity-H"/>
          <w:color w:val="0A0A0A"/>
          <w:sz w:val="21"/>
          <w:szCs w:val="21"/>
        </w:rPr>
      </w:pPr>
    </w:p>
    <w:p w14:paraId="1842ED30" w14:textId="77777777" w:rsidR="00D0323E" w:rsidRDefault="00D0323E" w:rsidP="00D0323E">
      <w:pPr>
        <w:autoSpaceDE w:val="0"/>
        <w:autoSpaceDN w:val="0"/>
        <w:adjustRightInd w:val="0"/>
        <w:jc w:val="both"/>
        <w:rPr>
          <w:rFonts w:ascii="Abadi" w:hAnsi="Abadi" w:cs="*Arial-6419-Identity-H"/>
          <w:color w:val="0A0A0A"/>
          <w:sz w:val="21"/>
          <w:szCs w:val="21"/>
        </w:rPr>
      </w:pPr>
      <w:r w:rsidRPr="00FA7CEF">
        <w:rPr>
          <w:rFonts w:ascii="Abadi" w:hAnsi="Abadi" w:cs="*Arial-9841-Identity-H"/>
          <w:color w:val="0A0A0A"/>
          <w:sz w:val="21"/>
          <w:szCs w:val="21"/>
        </w:rPr>
        <w:t>Bajo esta propuesta, se ofrece a las pequeñas y medianas empresas</w:t>
      </w:r>
      <w:r>
        <w:rPr>
          <w:rFonts w:ascii="Abadi" w:hAnsi="Abadi" w:cs="*Arial-9841-Identity-H"/>
          <w:color w:val="0A0A0A"/>
          <w:sz w:val="21"/>
          <w:szCs w:val="21"/>
        </w:rPr>
        <w:t xml:space="preserve"> </w:t>
      </w:r>
      <w:r w:rsidRPr="00FA7CEF">
        <w:rPr>
          <w:rFonts w:ascii="Abadi" w:hAnsi="Abadi" w:cs="*Arial-9841-Identity-H"/>
          <w:color w:val="0A0A0A"/>
          <w:sz w:val="21"/>
          <w:szCs w:val="21"/>
        </w:rPr>
        <w:t xml:space="preserve">del estado el acceso a productos crediticios orientados a la </w:t>
      </w:r>
      <w:r w:rsidRPr="00FA7CEF">
        <w:rPr>
          <w:rFonts w:ascii="Abadi" w:hAnsi="Abadi" w:cs="*Arial-6419-Identity-H"/>
          <w:color w:val="0A0A0A"/>
          <w:sz w:val="21"/>
          <w:szCs w:val="21"/>
        </w:rPr>
        <w:t>conservación y generación de fuentes de empleo. Asimismo, se asegura</w:t>
      </w:r>
      <w:r>
        <w:rPr>
          <w:rFonts w:ascii="Abadi" w:hAnsi="Abadi" w:cs="*Arial-6419-Identity-H"/>
          <w:color w:val="0A0A0A"/>
          <w:sz w:val="21"/>
          <w:szCs w:val="21"/>
        </w:rPr>
        <w:t xml:space="preserve"> </w:t>
      </w:r>
      <w:r w:rsidRPr="00FA7CEF">
        <w:rPr>
          <w:rFonts w:ascii="Abadi" w:hAnsi="Abadi" w:cs="*Arial-6419-Identity-H"/>
          <w:color w:val="0A0A0A"/>
          <w:sz w:val="21"/>
          <w:szCs w:val="21"/>
        </w:rPr>
        <w:t>la existencia de vehículos de apoyo a empresas para favorecer su</w:t>
      </w:r>
      <w:r>
        <w:rPr>
          <w:rFonts w:ascii="Abadi" w:hAnsi="Abadi" w:cs="*Arial-6419-Identity-H"/>
          <w:color w:val="0A0A0A"/>
          <w:sz w:val="21"/>
          <w:szCs w:val="21"/>
        </w:rPr>
        <w:t xml:space="preserve"> </w:t>
      </w:r>
      <w:r w:rsidRPr="00FA7CEF">
        <w:rPr>
          <w:rFonts w:ascii="Abadi" w:hAnsi="Abadi" w:cs="*Arial-6419-Identity-H"/>
          <w:color w:val="0A0A0A"/>
          <w:sz w:val="21"/>
          <w:szCs w:val="21"/>
        </w:rPr>
        <w:t>consolidación y competitividad.</w:t>
      </w:r>
    </w:p>
    <w:p w14:paraId="5A9212E4" w14:textId="77777777" w:rsidR="00D0323E" w:rsidRPr="00FA7CEF" w:rsidRDefault="00D0323E" w:rsidP="00D0323E">
      <w:pPr>
        <w:autoSpaceDE w:val="0"/>
        <w:autoSpaceDN w:val="0"/>
        <w:adjustRightInd w:val="0"/>
        <w:jc w:val="both"/>
        <w:rPr>
          <w:rFonts w:ascii="Abadi" w:hAnsi="Abadi" w:cs="*Arial-6419-Identity-H"/>
          <w:color w:val="0A0A0A"/>
          <w:sz w:val="21"/>
          <w:szCs w:val="21"/>
        </w:rPr>
      </w:pPr>
    </w:p>
    <w:p w14:paraId="30EBA778" w14:textId="77777777" w:rsidR="00D0323E" w:rsidRDefault="00D0323E" w:rsidP="00D0323E">
      <w:pPr>
        <w:autoSpaceDE w:val="0"/>
        <w:autoSpaceDN w:val="0"/>
        <w:adjustRightInd w:val="0"/>
        <w:jc w:val="both"/>
        <w:rPr>
          <w:rFonts w:ascii="Abadi" w:hAnsi="Abadi" w:cs="*Arial-6419-Identity-H"/>
          <w:color w:val="0A0A0A"/>
          <w:sz w:val="21"/>
          <w:szCs w:val="21"/>
        </w:rPr>
      </w:pPr>
      <w:r w:rsidRPr="00FA7CEF">
        <w:rPr>
          <w:rFonts w:ascii="Abadi" w:hAnsi="Abadi" w:cs="*Arial-6419-Identity-H"/>
          <w:color w:val="0A0A0A"/>
          <w:sz w:val="21"/>
          <w:szCs w:val="21"/>
        </w:rPr>
        <w:t>La entidad cuenta con una experiencia relevante sobre la importancia</w:t>
      </w:r>
      <w:r>
        <w:rPr>
          <w:rFonts w:ascii="Abadi" w:hAnsi="Abadi" w:cs="*Arial-6419-Identity-H"/>
          <w:color w:val="0A0A0A"/>
          <w:sz w:val="21"/>
          <w:szCs w:val="21"/>
        </w:rPr>
        <w:t xml:space="preserve"> </w:t>
      </w:r>
      <w:r w:rsidRPr="00FA7CEF">
        <w:rPr>
          <w:rFonts w:ascii="Abadi" w:hAnsi="Abadi" w:cs="*Arial-6419-Identity-H"/>
          <w:color w:val="0A0A0A"/>
          <w:sz w:val="21"/>
          <w:szCs w:val="21"/>
        </w:rPr>
        <w:t>de políticas crediticias enfocadas en el sector. Fondos Guanajuato ha</w:t>
      </w:r>
      <w:r>
        <w:rPr>
          <w:rFonts w:ascii="Abadi" w:hAnsi="Abadi" w:cs="*Arial-6419-Identity-H"/>
          <w:color w:val="0A0A0A"/>
          <w:sz w:val="21"/>
          <w:szCs w:val="21"/>
        </w:rPr>
        <w:t xml:space="preserve"> </w:t>
      </w:r>
      <w:r w:rsidRPr="00FA7CEF">
        <w:rPr>
          <w:rFonts w:ascii="Abadi" w:hAnsi="Abadi" w:cs="*Arial-6419-Identity-H"/>
          <w:color w:val="0A0A0A"/>
          <w:sz w:val="21"/>
          <w:szCs w:val="21"/>
        </w:rPr>
        <w:t>sido una de las herramientas de mayor relevancia para acercar</w:t>
      </w:r>
      <w:r>
        <w:rPr>
          <w:rFonts w:ascii="Abadi" w:hAnsi="Abadi" w:cs="*Arial-6419-Identity-H"/>
          <w:color w:val="0A0A0A"/>
          <w:sz w:val="21"/>
          <w:szCs w:val="21"/>
        </w:rPr>
        <w:t xml:space="preserve"> </w:t>
      </w:r>
      <w:r w:rsidRPr="00FA7CEF">
        <w:rPr>
          <w:rFonts w:ascii="Abadi" w:hAnsi="Abadi" w:cs="*Arial-6419-Identity-H"/>
          <w:color w:val="0A0A0A"/>
          <w:sz w:val="21"/>
          <w:szCs w:val="21"/>
        </w:rPr>
        <w:t>financiamiento a MIPyMES, contar con programas emergentes de</w:t>
      </w:r>
      <w:r>
        <w:rPr>
          <w:rFonts w:ascii="Abadi" w:hAnsi="Abadi" w:cs="*Arial-6419-Identity-H"/>
          <w:color w:val="0A0A0A"/>
          <w:sz w:val="21"/>
          <w:szCs w:val="21"/>
        </w:rPr>
        <w:t xml:space="preserve"> </w:t>
      </w:r>
      <w:r w:rsidRPr="00FA7CEF">
        <w:rPr>
          <w:rFonts w:ascii="Abadi" w:hAnsi="Abadi" w:cs="*Arial-6419-Identity-H"/>
          <w:color w:val="0A0A0A"/>
          <w:sz w:val="21"/>
          <w:szCs w:val="21"/>
        </w:rPr>
        <w:t>crédito en momentos de caídas del ciclo económico, así como la oferta</w:t>
      </w:r>
      <w:r>
        <w:rPr>
          <w:rFonts w:ascii="Abadi" w:hAnsi="Abadi" w:cs="*Arial-6419-Identity-H"/>
          <w:color w:val="0A0A0A"/>
          <w:sz w:val="21"/>
          <w:szCs w:val="21"/>
        </w:rPr>
        <w:t xml:space="preserve"> </w:t>
      </w:r>
      <w:r w:rsidRPr="00FA7CEF">
        <w:rPr>
          <w:rFonts w:ascii="Abadi" w:hAnsi="Abadi" w:cs="*Arial-6419-Identity-H"/>
          <w:color w:val="0A0A0A"/>
          <w:sz w:val="21"/>
          <w:szCs w:val="21"/>
        </w:rPr>
        <w:t>de productos para sectores vulnerables.</w:t>
      </w:r>
    </w:p>
    <w:p w14:paraId="5B847CFC" w14:textId="77777777" w:rsidR="00D0323E" w:rsidRPr="00FA7CEF" w:rsidRDefault="00D0323E" w:rsidP="00D0323E">
      <w:pPr>
        <w:autoSpaceDE w:val="0"/>
        <w:autoSpaceDN w:val="0"/>
        <w:adjustRightInd w:val="0"/>
        <w:jc w:val="both"/>
        <w:rPr>
          <w:rFonts w:ascii="Abadi" w:hAnsi="Abadi" w:cs="*Arial-6419-Identity-H"/>
          <w:color w:val="0A0A0A"/>
          <w:sz w:val="21"/>
          <w:szCs w:val="21"/>
        </w:rPr>
      </w:pPr>
    </w:p>
    <w:p w14:paraId="30D9500F" w14:textId="1F5FD40A" w:rsidR="00D0323E" w:rsidRDefault="00D0323E" w:rsidP="00D0323E">
      <w:pPr>
        <w:autoSpaceDE w:val="0"/>
        <w:autoSpaceDN w:val="0"/>
        <w:adjustRightInd w:val="0"/>
        <w:jc w:val="both"/>
        <w:rPr>
          <w:rFonts w:ascii="Abadi" w:hAnsi="Abadi" w:cs="*Arial-6419-Identity-H"/>
          <w:color w:val="0B0B0B"/>
          <w:sz w:val="21"/>
          <w:szCs w:val="21"/>
        </w:rPr>
      </w:pPr>
      <w:r w:rsidRPr="00FA7CEF">
        <w:rPr>
          <w:rFonts w:ascii="Abadi" w:hAnsi="Abadi" w:cs="*Arial-6419-Identity-H"/>
          <w:color w:val="0B0B0B"/>
          <w:sz w:val="21"/>
          <w:szCs w:val="21"/>
        </w:rPr>
        <w:t>Es relevante subrayar que, si bien la Ley para el Desarrollo y</w:t>
      </w:r>
      <w:r>
        <w:rPr>
          <w:rFonts w:ascii="Abadi" w:hAnsi="Abadi" w:cs="*Arial-6419-Identity-H"/>
          <w:color w:val="0B0B0B"/>
          <w:sz w:val="21"/>
          <w:szCs w:val="21"/>
        </w:rPr>
        <w:t xml:space="preserve"> </w:t>
      </w:r>
      <w:r w:rsidRPr="00FA7CEF">
        <w:rPr>
          <w:rFonts w:ascii="Abadi" w:hAnsi="Abadi" w:cs="*Arial-6419-Identity-H"/>
          <w:color w:val="0B0B0B"/>
          <w:sz w:val="21"/>
          <w:szCs w:val="21"/>
        </w:rPr>
        <w:t>Competitividad Económica prevé la promoción de acciones de</w:t>
      </w:r>
      <w:r>
        <w:rPr>
          <w:rFonts w:ascii="Abadi" w:hAnsi="Abadi" w:cs="*Arial-6419-Identity-H"/>
          <w:color w:val="0B0B0B"/>
          <w:sz w:val="21"/>
          <w:szCs w:val="21"/>
        </w:rPr>
        <w:t xml:space="preserve"> </w:t>
      </w:r>
      <w:r w:rsidRPr="00FA7CEF">
        <w:rPr>
          <w:rFonts w:ascii="Abadi" w:hAnsi="Abadi" w:cs="*Arial-6419-Identity-H"/>
          <w:color w:val="0B0B0B"/>
          <w:sz w:val="21"/>
          <w:szCs w:val="21"/>
        </w:rPr>
        <w:t>financiamiento para fortalecer la competitividad y productividad de las</w:t>
      </w:r>
      <w:r w:rsidR="001D68D3">
        <w:rPr>
          <w:rFonts w:ascii="Abadi" w:hAnsi="Abadi" w:cs="*Arial-6419-Identity-H"/>
          <w:color w:val="0B0B0B"/>
          <w:sz w:val="21"/>
          <w:szCs w:val="21"/>
        </w:rPr>
        <w:t xml:space="preserve"> </w:t>
      </w:r>
      <w:r w:rsidRPr="00FA7CEF">
        <w:rPr>
          <w:rFonts w:ascii="Abadi" w:hAnsi="Abadi" w:cs="*Arial-6419-Identity-H"/>
          <w:color w:val="0B0B0B"/>
          <w:sz w:val="21"/>
          <w:szCs w:val="21"/>
        </w:rPr>
        <w:t>empresas, es oportuno contar con un instrumento legislativo específico</w:t>
      </w:r>
      <w:r>
        <w:rPr>
          <w:rFonts w:ascii="Abadi" w:hAnsi="Abadi" w:cs="*Arial-6419-Identity-H"/>
          <w:color w:val="0B0B0B"/>
          <w:sz w:val="21"/>
          <w:szCs w:val="21"/>
        </w:rPr>
        <w:t xml:space="preserve"> </w:t>
      </w:r>
      <w:r w:rsidRPr="00FA7CEF">
        <w:rPr>
          <w:rFonts w:ascii="Abadi" w:hAnsi="Abadi" w:cs="*Arial-6419-Identity-H"/>
          <w:color w:val="0B0B0B"/>
          <w:sz w:val="21"/>
          <w:szCs w:val="21"/>
        </w:rPr>
        <w:t>en razón de la relevancia de políticas crediticias para el desarrollo de</w:t>
      </w:r>
      <w:r>
        <w:rPr>
          <w:rFonts w:ascii="Abadi" w:hAnsi="Abadi" w:cs="*Arial-6419-Identity-H"/>
          <w:color w:val="0B0B0B"/>
          <w:sz w:val="21"/>
          <w:szCs w:val="21"/>
        </w:rPr>
        <w:t xml:space="preserve"> </w:t>
      </w:r>
      <w:r w:rsidRPr="00FA7CEF">
        <w:rPr>
          <w:rFonts w:ascii="Abadi" w:hAnsi="Abadi" w:cs="*Arial-6419-Identity-H"/>
          <w:color w:val="0B0B0B"/>
          <w:sz w:val="21"/>
          <w:szCs w:val="21"/>
        </w:rPr>
        <w:t>empresas.</w:t>
      </w:r>
    </w:p>
    <w:p w14:paraId="1BE10C72" w14:textId="77777777" w:rsidR="00D0323E" w:rsidRPr="00FA7CEF" w:rsidRDefault="00D0323E" w:rsidP="00D0323E">
      <w:pPr>
        <w:autoSpaceDE w:val="0"/>
        <w:autoSpaceDN w:val="0"/>
        <w:adjustRightInd w:val="0"/>
        <w:jc w:val="both"/>
        <w:rPr>
          <w:rFonts w:ascii="Abadi" w:hAnsi="Abadi" w:cs="*Arial-6419-Identity-H"/>
          <w:color w:val="0B0B0B"/>
          <w:sz w:val="21"/>
          <w:szCs w:val="21"/>
        </w:rPr>
      </w:pPr>
    </w:p>
    <w:p w14:paraId="5D6A5A12" w14:textId="2F2497A1" w:rsidR="00D0323E" w:rsidRDefault="00D0323E" w:rsidP="00D0323E">
      <w:pPr>
        <w:autoSpaceDE w:val="0"/>
        <w:autoSpaceDN w:val="0"/>
        <w:adjustRightInd w:val="0"/>
        <w:jc w:val="both"/>
        <w:rPr>
          <w:rFonts w:ascii="Abadi" w:hAnsi="Abadi" w:cs="*Times New Roman-8210-Identity-"/>
          <w:color w:val="0B0B0B"/>
          <w:sz w:val="21"/>
          <w:szCs w:val="21"/>
        </w:rPr>
      </w:pPr>
      <w:r w:rsidRPr="00FA7CEF">
        <w:rPr>
          <w:rFonts w:ascii="Abadi" w:hAnsi="Abadi" w:cs="*Arial-6419-Identity-H"/>
          <w:color w:val="090909"/>
          <w:sz w:val="21"/>
          <w:szCs w:val="21"/>
        </w:rPr>
        <w:t>En ese alcance, la formalización de una legislación específica en esta</w:t>
      </w:r>
      <w:r>
        <w:rPr>
          <w:rFonts w:ascii="Abadi" w:hAnsi="Abadi" w:cs="*Arial-6419-Identity-H"/>
          <w:color w:val="090909"/>
          <w:sz w:val="21"/>
          <w:szCs w:val="21"/>
        </w:rPr>
        <w:t xml:space="preserve"> </w:t>
      </w:r>
      <w:r w:rsidRPr="00FA7CEF">
        <w:rPr>
          <w:rFonts w:ascii="Abadi" w:hAnsi="Abadi" w:cs="*Arial-6419-Identity-H"/>
          <w:color w:val="090909"/>
          <w:sz w:val="21"/>
          <w:szCs w:val="21"/>
        </w:rPr>
        <w:t>materia subraya la importancia de contar con herramientas de política</w:t>
      </w:r>
      <w:r>
        <w:rPr>
          <w:rFonts w:ascii="Abadi" w:hAnsi="Abadi" w:cs="*Arial-6419-Identity-H"/>
          <w:color w:val="090909"/>
          <w:sz w:val="21"/>
          <w:szCs w:val="21"/>
        </w:rPr>
        <w:t xml:space="preserve"> </w:t>
      </w:r>
      <w:r w:rsidRPr="00FA7CEF">
        <w:rPr>
          <w:rFonts w:ascii="Abadi" w:hAnsi="Abadi" w:cs="*Arial-6419-Identity-H"/>
          <w:color w:val="090909"/>
          <w:sz w:val="21"/>
          <w:szCs w:val="21"/>
        </w:rPr>
        <w:t>crediticia desde el sector público. Ello garantiza la existencia de vías de</w:t>
      </w:r>
      <w:r>
        <w:rPr>
          <w:rFonts w:ascii="Abadi" w:hAnsi="Abadi" w:cs="*Arial-6419-Identity-H"/>
          <w:color w:val="090909"/>
          <w:sz w:val="21"/>
          <w:szCs w:val="21"/>
        </w:rPr>
        <w:t xml:space="preserve"> </w:t>
      </w:r>
      <w:r w:rsidRPr="00FA7CEF">
        <w:rPr>
          <w:rFonts w:ascii="Abadi" w:hAnsi="Abadi" w:cs="*Arial-6419-Identity-H"/>
          <w:color w:val="090909"/>
          <w:sz w:val="21"/>
          <w:szCs w:val="21"/>
        </w:rPr>
        <w:t>financiamiento para un sector determinante en la economía del Estado,</w:t>
      </w:r>
      <w:r>
        <w:rPr>
          <w:rFonts w:ascii="Abadi" w:hAnsi="Abadi" w:cs="*Arial-6419-Identity-H"/>
          <w:color w:val="090909"/>
          <w:sz w:val="21"/>
          <w:szCs w:val="21"/>
        </w:rPr>
        <w:t xml:space="preserve"> </w:t>
      </w:r>
      <w:r w:rsidRPr="00FA7CEF">
        <w:rPr>
          <w:rFonts w:ascii="Abadi" w:hAnsi="Abadi" w:cs="*Arial-8216-Identity-H"/>
          <w:color w:val="0B0B0B"/>
          <w:sz w:val="21"/>
          <w:szCs w:val="21"/>
        </w:rPr>
        <w:t xml:space="preserve">provee un </w:t>
      </w:r>
      <w:r>
        <w:rPr>
          <w:rFonts w:ascii="Abadi" w:hAnsi="Abadi" w:cs="*Arial-8216-Identity-H"/>
          <w:color w:val="0B0B0B"/>
          <w:sz w:val="21"/>
          <w:szCs w:val="21"/>
        </w:rPr>
        <w:t>i</w:t>
      </w:r>
      <w:r w:rsidRPr="00FA7CEF">
        <w:rPr>
          <w:rFonts w:ascii="Abadi" w:hAnsi="Abadi" w:cs="*Arial-8216-Identity-H"/>
          <w:color w:val="0B0B0B"/>
          <w:sz w:val="21"/>
          <w:szCs w:val="21"/>
        </w:rPr>
        <w:t>nstrumento efectivo de inclusión financiera, además de que</w:t>
      </w:r>
      <w:r>
        <w:rPr>
          <w:rFonts w:ascii="Abadi" w:hAnsi="Abadi" w:cs="*Arial-8216-Identity-H"/>
          <w:color w:val="0B0B0B"/>
          <w:sz w:val="21"/>
          <w:szCs w:val="21"/>
        </w:rPr>
        <w:t xml:space="preserve"> </w:t>
      </w:r>
      <w:r w:rsidRPr="00FA7CEF">
        <w:rPr>
          <w:rFonts w:ascii="Abadi" w:hAnsi="Abadi" w:cs="*Arial-8216-Identity-H"/>
          <w:color w:val="0B0B0B"/>
          <w:sz w:val="21"/>
          <w:szCs w:val="21"/>
        </w:rPr>
        <w:t>permite definir reglas e indicadores a fin de evaluar permanentemente</w:t>
      </w:r>
      <w:r>
        <w:rPr>
          <w:rFonts w:ascii="Abadi" w:hAnsi="Abadi" w:cs="*Arial-8216-Identity-H"/>
          <w:color w:val="0B0B0B"/>
          <w:sz w:val="21"/>
          <w:szCs w:val="21"/>
        </w:rPr>
        <w:t xml:space="preserve"> </w:t>
      </w:r>
      <w:r w:rsidRPr="00FA7CEF">
        <w:rPr>
          <w:rFonts w:ascii="Abadi" w:hAnsi="Abadi" w:cs="*Arial-8216-Identity-H"/>
          <w:color w:val="0B0B0B"/>
          <w:sz w:val="21"/>
          <w:szCs w:val="21"/>
        </w:rPr>
        <w:t>la sostenibilidad financiera de la estructura administrativa, así como</w:t>
      </w:r>
      <w:r w:rsidR="001D68D3">
        <w:rPr>
          <w:rFonts w:ascii="Abadi" w:hAnsi="Abadi" w:cs="*Arial-8216-Identity-H"/>
          <w:color w:val="0B0B0B"/>
          <w:sz w:val="21"/>
          <w:szCs w:val="21"/>
        </w:rPr>
        <w:t xml:space="preserve"> </w:t>
      </w:r>
      <w:r w:rsidRPr="00FA7CEF">
        <w:rPr>
          <w:rFonts w:ascii="Abadi" w:hAnsi="Abadi" w:cs="*Arial-8216-Identity-H"/>
          <w:color w:val="0B0B0B"/>
          <w:sz w:val="21"/>
          <w:szCs w:val="21"/>
        </w:rPr>
        <w:t>asegurar exista un marco de referencia que permita evaluar los riesgos</w:t>
      </w:r>
      <w:r>
        <w:rPr>
          <w:rFonts w:ascii="Abadi" w:hAnsi="Abadi" w:cs="*Arial-8216-Identity-H"/>
          <w:color w:val="0B0B0B"/>
          <w:sz w:val="21"/>
          <w:szCs w:val="21"/>
        </w:rPr>
        <w:t xml:space="preserve"> </w:t>
      </w:r>
      <w:r w:rsidRPr="00FA7CEF">
        <w:rPr>
          <w:rFonts w:ascii="Abadi" w:hAnsi="Abadi" w:cs="*Arial-8216-Identity-H"/>
          <w:color w:val="0B0B0B"/>
          <w:sz w:val="21"/>
          <w:szCs w:val="21"/>
        </w:rPr>
        <w:t xml:space="preserve">a los que se encuentra expuesta la administración. </w:t>
      </w:r>
      <w:r w:rsidR="000651CF">
        <w:rPr>
          <w:rStyle w:val="Refdenotaalpie"/>
          <w:rFonts w:ascii="Abadi" w:hAnsi="Abadi" w:cs="*Arial-8216-Identity-H"/>
          <w:color w:val="0B0B0B"/>
          <w:sz w:val="21"/>
          <w:szCs w:val="21"/>
        </w:rPr>
        <w:footnoteReference w:id="15"/>
      </w:r>
    </w:p>
    <w:p w14:paraId="540E3BFB" w14:textId="77777777" w:rsidR="00D0323E" w:rsidRPr="00FA7CEF" w:rsidRDefault="00D0323E" w:rsidP="00D0323E">
      <w:pPr>
        <w:autoSpaceDE w:val="0"/>
        <w:autoSpaceDN w:val="0"/>
        <w:adjustRightInd w:val="0"/>
        <w:jc w:val="both"/>
        <w:rPr>
          <w:rFonts w:ascii="Abadi" w:hAnsi="Abadi" w:cs="*Times New Roman-8210-Identity-"/>
          <w:color w:val="0B0B0B"/>
          <w:sz w:val="21"/>
          <w:szCs w:val="21"/>
        </w:rPr>
      </w:pPr>
    </w:p>
    <w:p w14:paraId="411FE50C" w14:textId="77777777" w:rsidR="00D0323E" w:rsidRDefault="00D0323E" w:rsidP="00D0323E">
      <w:pPr>
        <w:autoSpaceDE w:val="0"/>
        <w:autoSpaceDN w:val="0"/>
        <w:adjustRightInd w:val="0"/>
        <w:jc w:val="both"/>
        <w:rPr>
          <w:rFonts w:ascii="Abadi" w:hAnsi="Abadi" w:cs="*Arial-8216-Identity-H"/>
          <w:color w:val="090909"/>
          <w:sz w:val="21"/>
          <w:szCs w:val="21"/>
        </w:rPr>
      </w:pPr>
      <w:r w:rsidRPr="00FA7CEF">
        <w:rPr>
          <w:rFonts w:ascii="Abadi" w:hAnsi="Abadi" w:cs="*Arial-8216-Identity-H"/>
          <w:color w:val="090909"/>
          <w:sz w:val="21"/>
          <w:szCs w:val="21"/>
        </w:rPr>
        <w:t>En ese alcance, la presente iniciativa busca fortalecer el diseño</w:t>
      </w:r>
      <w:r>
        <w:rPr>
          <w:rFonts w:ascii="Abadi" w:hAnsi="Abadi" w:cs="*Arial-8216-Identity-H"/>
          <w:color w:val="090909"/>
          <w:sz w:val="21"/>
          <w:szCs w:val="21"/>
        </w:rPr>
        <w:t xml:space="preserve"> </w:t>
      </w:r>
      <w:r w:rsidRPr="00FA7CEF">
        <w:rPr>
          <w:rFonts w:ascii="Abadi" w:hAnsi="Abadi" w:cs="*Arial-8216-Identity-H"/>
          <w:color w:val="090909"/>
          <w:sz w:val="21"/>
          <w:szCs w:val="21"/>
        </w:rPr>
        <w:t xml:space="preserve">institucional a fin de respaldar </w:t>
      </w:r>
      <w:r w:rsidRPr="00FA7CEF">
        <w:rPr>
          <w:rFonts w:ascii="Abadi" w:hAnsi="Abadi" w:cs="*Arial-8216-Identity-H"/>
          <w:color w:val="090909"/>
          <w:sz w:val="21"/>
          <w:szCs w:val="21"/>
        </w:rPr>
        <w:lastRenderedPageBreak/>
        <w:t>el arreglo institucional actual con un</w:t>
      </w:r>
      <w:r>
        <w:rPr>
          <w:rFonts w:ascii="Abadi" w:hAnsi="Abadi" w:cs="*Arial-8216-Identity-H"/>
          <w:color w:val="090909"/>
          <w:sz w:val="21"/>
          <w:szCs w:val="21"/>
        </w:rPr>
        <w:t xml:space="preserve"> </w:t>
      </w:r>
      <w:r w:rsidRPr="00FA7CEF">
        <w:rPr>
          <w:rFonts w:ascii="Abadi" w:hAnsi="Abadi" w:cs="*Arial-8216-Identity-H"/>
          <w:color w:val="090909"/>
          <w:sz w:val="21"/>
          <w:szCs w:val="21"/>
        </w:rPr>
        <w:t>soporte legislativo con diversos propósitos:</w:t>
      </w:r>
    </w:p>
    <w:p w14:paraId="7FA2E787" w14:textId="77777777" w:rsidR="00D0323E" w:rsidRPr="00FA7CEF" w:rsidRDefault="00D0323E" w:rsidP="00D0323E">
      <w:pPr>
        <w:autoSpaceDE w:val="0"/>
        <w:autoSpaceDN w:val="0"/>
        <w:adjustRightInd w:val="0"/>
        <w:jc w:val="both"/>
        <w:rPr>
          <w:rFonts w:ascii="Abadi" w:hAnsi="Abadi" w:cs="*Arial-8216-Identity-H"/>
          <w:color w:val="090909"/>
          <w:sz w:val="21"/>
          <w:szCs w:val="21"/>
        </w:rPr>
      </w:pPr>
    </w:p>
    <w:p w14:paraId="27993502" w14:textId="77777777" w:rsidR="00D0323E" w:rsidRPr="0059292B" w:rsidRDefault="00D0323E" w:rsidP="005433FA">
      <w:pPr>
        <w:pStyle w:val="Prrafodelista"/>
        <w:numPr>
          <w:ilvl w:val="0"/>
          <w:numId w:val="11"/>
        </w:numPr>
        <w:autoSpaceDE w:val="0"/>
        <w:autoSpaceDN w:val="0"/>
        <w:adjustRightInd w:val="0"/>
        <w:contextualSpacing/>
        <w:jc w:val="both"/>
        <w:rPr>
          <w:rFonts w:ascii="Abadi" w:hAnsi="Abadi" w:cs="*Arial-8216-Identity-H"/>
          <w:color w:val="0B0B0B"/>
          <w:sz w:val="21"/>
          <w:szCs w:val="21"/>
        </w:rPr>
      </w:pPr>
      <w:r w:rsidRPr="0059292B">
        <w:rPr>
          <w:rFonts w:ascii="Abadi" w:hAnsi="Abadi" w:cs="*Arial-8216-Identity-H"/>
          <w:color w:val="0B0B0B"/>
          <w:sz w:val="21"/>
          <w:szCs w:val="21"/>
        </w:rPr>
        <w:t>La existencia de vehículos legales pretende asegurar el mantenimiento de programas de gobierno determinantes para el desarrollo económico local bajo una óptica de mediano y largo plazo;</w:t>
      </w:r>
    </w:p>
    <w:p w14:paraId="3B935715" w14:textId="77777777" w:rsidR="00D0323E" w:rsidRPr="00FA7CEF" w:rsidRDefault="00D0323E" w:rsidP="00D0323E">
      <w:pPr>
        <w:autoSpaceDE w:val="0"/>
        <w:autoSpaceDN w:val="0"/>
        <w:adjustRightInd w:val="0"/>
        <w:jc w:val="both"/>
        <w:rPr>
          <w:rFonts w:ascii="Abadi" w:hAnsi="Abadi" w:cs="*Arial-8216-Identity-H"/>
          <w:color w:val="0B0B0B"/>
          <w:sz w:val="21"/>
          <w:szCs w:val="21"/>
        </w:rPr>
      </w:pPr>
    </w:p>
    <w:p w14:paraId="1E8093CD" w14:textId="77777777" w:rsidR="00D0323E" w:rsidRPr="0059292B" w:rsidRDefault="00D0323E" w:rsidP="005433FA">
      <w:pPr>
        <w:pStyle w:val="Prrafodelista"/>
        <w:numPr>
          <w:ilvl w:val="0"/>
          <w:numId w:val="11"/>
        </w:numPr>
        <w:autoSpaceDE w:val="0"/>
        <w:autoSpaceDN w:val="0"/>
        <w:adjustRightInd w:val="0"/>
        <w:contextualSpacing/>
        <w:jc w:val="both"/>
        <w:rPr>
          <w:rFonts w:ascii="Abadi" w:hAnsi="Abadi" w:cs="*Arial-8216-Identity-H"/>
          <w:color w:val="090909"/>
          <w:sz w:val="21"/>
          <w:szCs w:val="21"/>
        </w:rPr>
      </w:pPr>
      <w:r w:rsidRPr="0059292B">
        <w:rPr>
          <w:rFonts w:ascii="Abadi" w:hAnsi="Abadi" w:cs="*Arial-8216-Identity-H"/>
          <w:color w:val="090909"/>
          <w:sz w:val="21"/>
          <w:szCs w:val="21"/>
        </w:rPr>
        <w:t>El Poder Legislativo respalda las funciones de gobierno al dar sanción legislativa a una estrategia enfocada en apoyar a sectores económicos determinantes para el desarrollo económico local;</w:t>
      </w:r>
    </w:p>
    <w:p w14:paraId="45B2EAC7" w14:textId="77777777" w:rsidR="00D0323E" w:rsidRPr="00FA7CEF" w:rsidRDefault="00D0323E" w:rsidP="00D0323E">
      <w:pPr>
        <w:jc w:val="both"/>
        <w:rPr>
          <w:rFonts w:ascii="Abadi" w:hAnsi="Abadi" w:cs="*Arial-8216-Identity-H"/>
          <w:color w:val="090909"/>
          <w:sz w:val="21"/>
          <w:szCs w:val="21"/>
        </w:rPr>
      </w:pPr>
    </w:p>
    <w:p w14:paraId="7BE59CD2" w14:textId="77777777" w:rsidR="00D0323E" w:rsidRPr="0059292B" w:rsidRDefault="00D0323E" w:rsidP="005433FA">
      <w:pPr>
        <w:pStyle w:val="Prrafodelista"/>
        <w:numPr>
          <w:ilvl w:val="0"/>
          <w:numId w:val="11"/>
        </w:numPr>
        <w:autoSpaceDE w:val="0"/>
        <w:autoSpaceDN w:val="0"/>
        <w:adjustRightInd w:val="0"/>
        <w:contextualSpacing/>
        <w:jc w:val="both"/>
        <w:rPr>
          <w:rFonts w:ascii="Abadi" w:hAnsi="Abadi" w:cs="*Arial-7868-Identity-H"/>
          <w:color w:val="0A0A0A"/>
          <w:sz w:val="21"/>
          <w:szCs w:val="21"/>
        </w:rPr>
      </w:pPr>
      <w:r w:rsidRPr="0059292B">
        <w:rPr>
          <w:rFonts w:ascii="Abadi" w:hAnsi="Abadi" w:cs="*Arial-7868-Identity-H"/>
          <w:color w:val="0A0A0A"/>
          <w:sz w:val="21"/>
          <w:szCs w:val="21"/>
        </w:rPr>
        <w:t>Un cuerpo legal establece exigencias para la implementación de la política de crecimiento; en ese alcance, la presente iniciativa establece diversos parámetros para procurar la autosostenibilidad, la exigencia por la implantación de un gobierno corporativo y la existencia de indicadores para la evaluación de las políticas en la materia.</w:t>
      </w:r>
    </w:p>
    <w:p w14:paraId="32BE1DE6" w14:textId="77777777" w:rsidR="00D0323E" w:rsidRPr="00FA7CEF" w:rsidRDefault="00D0323E" w:rsidP="00D0323E">
      <w:pPr>
        <w:autoSpaceDE w:val="0"/>
        <w:autoSpaceDN w:val="0"/>
        <w:adjustRightInd w:val="0"/>
        <w:jc w:val="both"/>
        <w:rPr>
          <w:rFonts w:ascii="Abadi" w:hAnsi="Abadi" w:cs="*Arial-7868-Identity-H"/>
          <w:color w:val="0A0A0A"/>
          <w:sz w:val="21"/>
          <w:szCs w:val="21"/>
        </w:rPr>
      </w:pPr>
    </w:p>
    <w:p w14:paraId="428DD2E7" w14:textId="77777777" w:rsidR="00D0323E" w:rsidRDefault="00D0323E" w:rsidP="00D0323E">
      <w:pPr>
        <w:autoSpaceDE w:val="0"/>
        <w:autoSpaceDN w:val="0"/>
        <w:adjustRightInd w:val="0"/>
        <w:jc w:val="both"/>
        <w:rPr>
          <w:rFonts w:ascii="Abadi" w:hAnsi="Abadi" w:cs="*Arial-7868-Identity-H"/>
          <w:color w:val="0A0A0A"/>
          <w:sz w:val="21"/>
          <w:szCs w:val="21"/>
        </w:rPr>
      </w:pPr>
      <w:r w:rsidRPr="00FA7CEF">
        <w:rPr>
          <w:rFonts w:ascii="Abadi" w:hAnsi="Abadi" w:cs="*Arial-7868-Identity-H"/>
          <w:color w:val="0A0A0A"/>
          <w:sz w:val="21"/>
          <w:szCs w:val="21"/>
        </w:rPr>
        <w:t>La iniciativa se encuentra alineada al Programa de Acción Legislativa</w:t>
      </w:r>
      <w:r>
        <w:rPr>
          <w:rFonts w:ascii="Abadi" w:hAnsi="Abadi" w:cs="*Arial-7868-Identity-H"/>
          <w:color w:val="0A0A0A"/>
          <w:sz w:val="21"/>
          <w:szCs w:val="21"/>
        </w:rPr>
        <w:t xml:space="preserve"> </w:t>
      </w:r>
      <w:r w:rsidRPr="00FA7CEF">
        <w:rPr>
          <w:rFonts w:ascii="Abadi" w:hAnsi="Abadi" w:cs="*Arial-7868-Identity-H"/>
          <w:color w:val="0A0A0A"/>
          <w:sz w:val="21"/>
          <w:szCs w:val="21"/>
        </w:rPr>
        <w:t>de Acción Nacional, el cual establece:</w:t>
      </w:r>
    </w:p>
    <w:p w14:paraId="55E0B34B" w14:textId="77777777" w:rsidR="00D0323E" w:rsidRPr="00FA7CEF" w:rsidRDefault="00D0323E" w:rsidP="00D0323E">
      <w:pPr>
        <w:autoSpaceDE w:val="0"/>
        <w:autoSpaceDN w:val="0"/>
        <w:adjustRightInd w:val="0"/>
        <w:jc w:val="both"/>
        <w:rPr>
          <w:rFonts w:ascii="Abadi" w:hAnsi="Abadi" w:cs="*Arial-7868-Identity-H"/>
          <w:color w:val="0A0A0A"/>
          <w:sz w:val="21"/>
          <w:szCs w:val="21"/>
        </w:rPr>
      </w:pPr>
    </w:p>
    <w:p w14:paraId="284B3A1C" w14:textId="77777777" w:rsidR="00D0323E" w:rsidRDefault="00D0323E" w:rsidP="00D0323E">
      <w:pPr>
        <w:autoSpaceDE w:val="0"/>
        <w:autoSpaceDN w:val="0"/>
        <w:adjustRightInd w:val="0"/>
        <w:ind w:left="851"/>
        <w:jc w:val="both"/>
        <w:rPr>
          <w:rFonts w:ascii="Abadi" w:hAnsi="Abadi" w:cs="*Arial-Italic-7869-Identity-H"/>
          <w:i/>
          <w:iCs/>
          <w:color w:val="111111"/>
          <w:sz w:val="21"/>
          <w:szCs w:val="21"/>
        </w:rPr>
      </w:pPr>
      <w:r w:rsidRPr="00FA7CEF">
        <w:rPr>
          <w:rFonts w:ascii="Abadi" w:hAnsi="Abadi" w:cs="*Arial-Italic-7869-Identity-H"/>
          <w:i/>
          <w:iCs/>
          <w:color w:val="111111"/>
          <w:sz w:val="21"/>
          <w:szCs w:val="21"/>
        </w:rPr>
        <w:t>Debemos reconocer la contribución de las peque</w:t>
      </w:r>
      <w:r>
        <w:rPr>
          <w:rFonts w:ascii="Abadi" w:hAnsi="Abadi" w:cs="*Arial-Italic-7869-Identity-H"/>
          <w:i/>
          <w:iCs/>
          <w:color w:val="111111"/>
          <w:sz w:val="21"/>
          <w:szCs w:val="21"/>
        </w:rPr>
        <w:t>ñas</w:t>
      </w:r>
      <w:r w:rsidRPr="00FA7CEF">
        <w:rPr>
          <w:rFonts w:ascii="Abadi" w:hAnsi="Abadi" w:cs="*Arial-Italic-7869-Identity-H"/>
          <w:i/>
          <w:iCs/>
          <w:color w:val="111111"/>
          <w:sz w:val="21"/>
          <w:szCs w:val="21"/>
        </w:rPr>
        <w:t xml:space="preserve"> y medianas empresas</w:t>
      </w:r>
      <w:r>
        <w:rPr>
          <w:rFonts w:ascii="Abadi" w:hAnsi="Abadi" w:cs="*Arial-Italic-7869-Identity-H"/>
          <w:i/>
          <w:iCs/>
          <w:color w:val="111111"/>
          <w:sz w:val="21"/>
          <w:szCs w:val="21"/>
        </w:rPr>
        <w:t xml:space="preserve"> </w:t>
      </w:r>
      <w:r w:rsidRPr="00FA7CEF">
        <w:rPr>
          <w:rFonts w:ascii="Abadi" w:hAnsi="Abadi" w:cs="*Arial-Italic-7869-Identity-H"/>
          <w:i/>
          <w:iCs/>
          <w:color w:val="111111"/>
          <w:sz w:val="21"/>
          <w:szCs w:val="21"/>
        </w:rPr>
        <w:t xml:space="preserve">y de las microempresas </w:t>
      </w:r>
      <w:r w:rsidRPr="00FA7CEF">
        <w:rPr>
          <w:rFonts w:ascii="Abadi" w:hAnsi="Abadi" w:cs="*Times New Roman-7864-Identity-"/>
          <w:color w:val="111111"/>
          <w:sz w:val="21"/>
          <w:szCs w:val="21"/>
        </w:rPr>
        <w:t xml:space="preserve">a </w:t>
      </w:r>
      <w:r w:rsidRPr="00FA7CEF">
        <w:rPr>
          <w:rFonts w:ascii="Abadi" w:hAnsi="Abadi" w:cs="*Arial-Italic-7869-Identity-H"/>
          <w:i/>
          <w:iCs/>
          <w:color w:val="111111"/>
          <w:sz w:val="21"/>
          <w:szCs w:val="21"/>
        </w:rPr>
        <w:t>la creación de empleo y la postura del gobierno</w:t>
      </w:r>
      <w:r>
        <w:rPr>
          <w:rFonts w:ascii="Abadi" w:hAnsi="Abadi" w:cs="*Arial-Italic-7869-Identity-H"/>
          <w:i/>
          <w:iCs/>
          <w:color w:val="111111"/>
          <w:sz w:val="21"/>
          <w:szCs w:val="21"/>
        </w:rPr>
        <w:t xml:space="preserve"> </w:t>
      </w:r>
      <w:r w:rsidRPr="00FA7CEF">
        <w:rPr>
          <w:rFonts w:ascii="Abadi" w:hAnsi="Abadi" w:cs="*Arial-Italic-7869-Identity-H"/>
          <w:i/>
          <w:iCs/>
          <w:color w:val="111111"/>
          <w:sz w:val="21"/>
          <w:szCs w:val="21"/>
        </w:rPr>
        <w:t xml:space="preserve">del Estado para mitigar </w:t>
      </w:r>
      <w:r w:rsidRPr="00FA7CEF">
        <w:rPr>
          <w:rFonts w:ascii="Abadi" w:hAnsi="Abadi" w:cs="*Comic Sans MS-7871-Identity-H"/>
          <w:color w:val="111111"/>
          <w:sz w:val="21"/>
          <w:szCs w:val="21"/>
        </w:rPr>
        <w:t xml:space="preserve">los </w:t>
      </w:r>
      <w:r w:rsidRPr="00FA7CEF">
        <w:rPr>
          <w:rFonts w:ascii="Abadi" w:hAnsi="Abadi" w:cs="*Arial-Italic-7869-Identity-H"/>
          <w:i/>
          <w:iCs/>
          <w:color w:val="111111"/>
          <w:sz w:val="21"/>
          <w:szCs w:val="21"/>
        </w:rPr>
        <w:t>efectos de la pandemia, en contrapuesta de la</w:t>
      </w:r>
      <w:r>
        <w:rPr>
          <w:rFonts w:ascii="Abadi" w:hAnsi="Abadi" w:cs="*Arial-Italic-7869-Identity-H"/>
          <w:i/>
          <w:iCs/>
          <w:color w:val="111111"/>
          <w:sz w:val="21"/>
          <w:szCs w:val="21"/>
        </w:rPr>
        <w:t xml:space="preserve"> </w:t>
      </w:r>
      <w:r w:rsidRPr="00FA7CEF">
        <w:rPr>
          <w:rFonts w:ascii="Abadi" w:hAnsi="Abadi" w:cs="*Arial-Italic-7869-Identity-H"/>
          <w:i/>
          <w:iCs/>
          <w:color w:val="111111"/>
          <w:sz w:val="21"/>
          <w:szCs w:val="21"/>
        </w:rPr>
        <w:t>indiferencia y omisión por parte del gobierno federal.</w:t>
      </w:r>
    </w:p>
    <w:p w14:paraId="6901134B" w14:textId="77777777" w:rsidR="00D0323E" w:rsidRPr="00FA7CEF" w:rsidRDefault="00D0323E" w:rsidP="00D0323E">
      <w:pPr>
        <w:autoSpaceDE w:val="0"/>
        <w:autoSpaceDN w:val="0"/>
        <w:adjustRightInd w:val="0"/>
        <w:ind w:left="851"/>
        <w:jc w:val="both"/>
        <w:rPr>
          <w:rFonts w:ascii="Abadi" w:hAnsi="Abadi" w:cs="*Arial-Italic-7869-Identity-H"/>
          <w:i/>
          <w:iCs/>
          <w:color w:val="111111"/>
          <w:sz w:val="21"/>
          <w:szCs w:val="21"/>
        </w:rPr>
      </w:pPr>
    </w:p>
    <w:p w14:paraId="694E1D41" w14:textId="77777777" w:rsidR="00D0323E" w:rsidRDefault="00D0323E" w:rsidP="00D0323E">
      <w:pPr>
        <w:autoSpaceDE w:val="0"/>
        <w:autoSpaceDN w:val="0"/>
        <w:adjustRightInd w:val="0"/>
        <w:ind w:left="851"/>
        <w:jc w:val="both"/>
        <w:rPr>
          <w:rFonts w:ascii="Abadi" w:hAnsi="Abadi" w:cs="*Arial-Italic-7869-Identity-H"/>
          <w:i/>
          <w:iCs/>
          <w:color w:val="111111"/>
          <w:sz w:val="21"/>
          <w:szCs w:val="21"/>
        </w:rPr>
      </w:pPr>
      <w:r w:rsidRPr="00FA7CEF">
        <w:rPr>
          <w:rFonts w:ascii="Abadi" w:hAnsi="Abadi" w:cs="*Arial-Italic-7869-Identity-H"/>
          <w:i/>
          <w:iCs/>
          <w:color w:val="111111"/>
          <w:sz w:val="21"/>
          <w:szCs w:val="21"/>
        </w:rPr>
        <w:t>Nuestro Programa de Acción se encuentra enfocado en el impulso de las</w:t>
      </w:r>
      <w:r>
        <w:rPr>
          <w:rFonts w:ascii="Abadi" w:hAnsi="Abadi" w:cs="*Arial-Italic-7869-Identity-H"/>
          <w:i/>
          <w:iCs/>
          <w:color w:val="111111"/>
          <w:sz w:val="21"/>
          <w:szCs w:val="21"/>
        </w:rPr>
        <w:t xml:space="preserve"> </w:t>
      </w:r>
      <w:r w:rsidRPr="00FA7CEF">
        <w:rPr>
          <w:rFonts w:ascii="Abadi" w:hAnsi="Abadi" w:cs="*Arial-Italic-7869-Identity-H"/>
          <w:i/>
          <w:iCs/>
          <w:color w:val="111111"/>
          <w:sz w:val="21"/>
          <w:szCs w:val="21"/>
        </w:rPr>
        <w:t xml:space="preserve">pequeñas empresas, y el emprendimiento de los jóvenes y de </w:t>
      </w:r>
      <w:r w:rsidRPr="00FA7CEF">
        <w:rPr>
          <w:rFonts w:ascii="Abadi" w:hAnsi="Abadi" w:cs="*Comic Sans MS-7871-Identity-H"/>
          <w:color w:val="111111"/>
          <w:sz w:val="21"/>
          <w:szCs w:val="21"/>
        </w:rPr>
        <w:t xml:space="preserve">las </w:t>
      </w:r>
      <w:r w:rsidRPr="00FA7CEF">
        <w:rPr>
          <w:rFonts w:ascii="Abadi" w:hAnsi="Abadi" w:cs="*Arial-Italic-7869-Identity-H"/>
          <w:i/>
          <w:iCs/>
          <w:color w:val="111111"/>
          <w:sz w:val="21"/>
          <w:szCs w:val="21"/>
        </w:rPr>
        <w:t>mujeres;</w:t>
      </w:r>
      <w:r>
        <w:rPr>
          <w:rFonts w:ascii="Abadi" w:hAnsi="Abadi" w:cs="*Arial-Italic-7869-Identity-H"/>
          <w:i/>
          <w:iCs/>
          <w:color w:val="111111"/>
          <w:sz w:val="21"/>
          <w:szCs w:val="21"/>
        </w:rPr>
        <w:t xml:space="preserve"> </w:t>
      </w:r>
      <w:r w:rsidRPr="00FA7CEF">
        <w:rPr>
          <w:rFonts w:ascii="Abadi" w:hAnsi="Abadi" w:cs="*Arial-Italic-7869-Identity-H"/>
          <w:i/>
          <w:iCs/>
          <w:color w:val="111111"/>
          <w:sz w:val="21"/>
          <w:szCs w:val="21"/>
        </w:rPr>
        <w:t>también le apostamos a la mentefactura como una transformación de lo</w:t>
      </w:r>
      <w:r>
        <w:rPr>
          <w:rFonts w:ascii="Abadi" w:hAnsi="Abadi" w:cs="*Arial-Italic-7869-Identity-H"/>
          <w:i/>
          <w:iCs/>
          <w:color w:val="111111"/>
          <w:sz w:val="21"/>
          <w:szCs w:val="21"/>
        </w:rPr>
        <w:t xml:space="preserve"> </w:t>
      </w:r>
      <w:r w:rsidRPr="00FA7CEF">
        <w:rPr>
          <w:rFonts w:ascii="Abadi" w:hAnsi="Abadi" w:cs="*Arial-Italic-7869-Identity-H"/>
          <w:i/>
          <w:iCs/>
          <w:color w:val="111111"/>
          <w:sz w:val="21"/>
          <w:szCs w:val="21"/>
        </w:rPr>
        <w:t>intelectual y del conocimiento.</w:t>
      </w:r>
    </w:p>
    <w:p w14:paraId="74C52DDD" w14:textId="77777777" w:rsidR="00D0323E" w:rsidRPr="00FA7CEF" w:rsidRDefault="00D0323E" w:rsidP="00D0323E">
      <w:pPr>
        <w:autoSpaceDE w:val="0"/>
        <w:autoSpaceDN w:val="0"/>
        <w:adjustRightInd w:val="0"/>
        <w:jc w:val="both"/>
        <w:rPr>
          <w:rFonts w:ascii="Abadi" w:hAnsi="Abadi" w:cs="*Arial-Italic-7869-Identity-H"/>
          <w:i/>
          <w:iCs/>
          <w:color w:val="111111"/>
          <w:sz w:val="21"/>
          <w:szCs w:val="21"/>
        </w:rPr>
      </w:pPr>
    </w:p>
    <w:p w14:paraId="2358B675" w14:textId="3B771B1A" w:rsidR="00D0323E" w:rsidRPr="00FA7CEF" w:rsidRDefault="00D0323E" w:rsidP="00D0323E">
      <w:pPr>
        <w:autoSpaceDE w:val="0"/>
        <w:autoSpaceDN w:val="0"/>
        <w:adjustRightInd w:val="0"/>
        <w:jc w:val="both"/>
        <w:rPr>
          <w:rFonts w:ascii="Abadi" w:hAnsi="Abadi" w:cs="*Arial-7868-Identity-H"/>
          <w:color w:val="090909"/>
          <w:sz w:val="21"/>
          <w:szCs w:val="21"/>
        </w:rPr>
      </w:pPr>
      <w:r w:rsidRPr="00FA7CEF">
        <w:rPr>
          <w:rFonts w:ascii="Abadi" w:hAnsi="Abadi" w:cs="*Arial-7868-Identity-H"/>
          <w:color w:val="090909"/>
          <w:sz w:val="21"/>
          <w:szCs w:val="21"/>
        </w:rPr>
        <w:t>La iniciativa contempla la existencia de un vehículo legal y</w:t>
      </w:r>
      <w:r>
        <w:rPr>
          <w:rFonts w:ascii="Abadi" w:hAnsi="Abadi" w:cs="*Arial-7868-Identity-H"/>
          <w:color w:val="090909"/>
          <w:sz w:val="21"/>
          <w:szCs w:val="21"/>
        </w:rPr>
        <w:t xml:space="preserve"> </w:t>
      </w:r>
      <w:r w:rsidRPr="00FA7CEF">
        <w:rPr>
          <w:rFonts w:ascii="Abadi" w:hAnsi="Abadi" w:cs="*Arial-7868-Identity-H"/>
          <w:color w:val="090909"/>
          <w:sz w:val="21"/>
          <w:szCs w:val="21"/>
        </w:rPr>
        <w:t>administrativo a fin de garantizar la celeridad en la administración de</w:t>
      </w:r>
      <w:r>
        <w:rPr>
          <w:rFonts w:ascii="Abadi" w:hAnsi="Abadi" w:cs="*Arial-7868-Identity-H"/>
          <w:color w:val="090909"/>
          <w:sz w:val="21"/>
          <w:szCs w:val="21"/>
        </w:rPr>
        <w:t xml:space="preserve"> </w:t>
      </w:r>
      <w:r w:rsidRPr="00FA7CEF">
        <w:rPr>
          <w:rFonts w:ascii="Abadi" w:hAnsi="Abadi" w:cs="*Arial-7868-Identity-H"/>
          <w:color w:val="090909"/>
          <w:sz w:val="21"/>
          <w:szCs w:val="21"/>
        </w:rPr>
        <w:t>recursos para colocaciones de crédito, identifica los productos en</w:t>
      </w:r>
      <w:r w:rsidR="001D68D3">
        <w:rPr>
          <w:rFonts w:ascii="Abadi" w:hAnsi="Abadi" w:cs="*Arial-7868-Identity-H"/>
          <w:color w:val="090909"/>
          <w:sz w:val="21"/>
          <w:szCs w:val="21"/>
        </w:rPr>
        <w:t xml:space="preserve"> </w:t>
      </w:r>
      <w:r w:rsidRPr="00FA7CEF">
        <w:rPr>
          <w:rFonts w:ascii="Abadi" w:hAnsi="Abadi" w:cs="*Arial-7868-Identity-H"/>
          <w:color w:val="090909"/>
          <w:sz w:val="21"/>
          <w:szCs w:val="21"/>
        </w:rPr>
        <w:t>atención a la demanda y exige la existencia de indicadores que permitan</w:t>
      </w:r>
      <w:r>
        <w:rPr>
          <w:rFonts w:ascii="Abadi" w:hAnsi="Abadi" w:cs="*Arial-7868-Identity-H"/>
          <w:color w:val="090909"/>
          <w:sz w:val="21"/>
          <w:szCs w:val="21"/>
        </w:rPr>
        <w:t xml:space="preserve"> </w:t>
      </w:r>
      <w:r w:rsidRPr="00FA7CEF">
        <w:rPr>
          <w:rFonts w:ascii="Abadi" w:hAnsi="Abadi" w:cs="*Arial-7868-Identity-H"/>
          <w:color w:val="090909"/>
          <w:sz w:val="21"/>
          <w:szCs w:val="21"/>
        </w:rPr>
        <w:t>el monitoreo de la salud financiera de la estrategia.</w:t>
      </w:r>
    </w:p>
    <w:p w14:paraId="1D5C7209" w14:textId="77777777" w:rsidR="00D0323E" w:rsidRPr="00FA7CEF" w:rsidRDefault="00D0323E" w:rsidP="00D0323E">
      <w:pPr>
        <w:jc w:val="both"/>
        <w:rPr>
          <w:rFonts w:ascii="Abadi" w:hAnsi="Abadi" w:cs="*Arial-7868-Identity-H"/>
          <w:color w:val="090909"/>
          <w:sz w:val="21"/>
          <w:szCs w:val="21"/>
        </w:rPr>
      </w:pPr>
    </w:p>
    <w:p w14:paraId="7E8F7A57" w14:textId="77777777" w:rsidR="00D0323E" w:rsidRPr="00FA7CEF" w:rsidRDefault="00D0323E" w:rsidP="00D0323E">
      <w:pPr>
        <w:autoSpaceDE w:val="0"/>
        <w:autoSpaceDN w:val="0"/>
        <w:adjustRightInd w:val="0"/>
        <w:jc w:val="both"/>
        <w:rPr>
          <w:rFonts w:ascii="Abadi" w:hAnsi="Abadi" w:cs="*Arial-6873-Identity-H"/>
          <w:color w:val="0C0C0C"/>
          <w:sz w:val="21"/>
          <w:szCs w:val="21"/>
        </w:rPr>
      </w:pPr>
      <w:r w:rsidRPr="00FA7CEF">
        <w:rPr>
          <w:rFonts w:ascii="Abadi" w:hAnsi="Abadi" w:cs="*Arial-6873-Identity-H"/>
          <w:color w:val="0C0C0C"/>
          <w:sz w:val="21"/>
          <w:szCs w:val="21"/>
        </w:rPr>
        <w:t xml:space="preserve">En atención a lo dispuesto en el </w:t>
      </w:r>
      <w:r w:rsidRPr="00FA7CEF">
        <w:rPr>
          <w:rFonts w:ascii="Abadi" w:hAnsi="Abadi" w:cs="*Arial-6874-Identity-H"/>
          <w:color w:val="0C0C0C"/>
          <w:sz w:val="21"/>
          <w:szCs w:val="21"/>
        </w:rPr>
        <w:t xml:space="preserve">ARTÍCULO </w:t>
      </w:r>
      <w:r w:rsidRPr="00FA7CEF">
        <w:rPr>
          <w:rFonts w:ascii="Abadi" w:hAnsi="Abadi" w:cs="*Arial-6873-Identity-H"/>
          <w:color w:val="0C0C0C"/>
          <w:sz w:val="21"/>
          <w:szCs w:val="21"/>
        </w:rPr>
        <w:t>209 de la Ley Orgánica del</w:t>
      </w:r>
      <w:r>
        <w:rPr>
          <w:rFonts w:ascii="Abadi" w:hAnsi="Abadi" w:cs="*Arial-6873-Identity-H"/>
          <w:color w:val="0C0C0C"/>
          <w:sz w:val="21"/>
          <w:szCs w:val="21"/>
        </w:rPr>
        <w:t xml:space="preserve"> </w:t>
      </w:r>
      <w:r w:rsidRPr="00FA7CEF">
        <w:rPr>
          <w:rFonts w:ascii="Abadi" w:hAnsi="Abadi" w:cs="*Arial-6873-Identity-H"/>
          <w:color w:val="0C0C0C"/>
          <w:sz w:val="21"/>
          <w:szCs w:val="21"/>
        </w:rPr>
        <w:t>Poder Legislativo del Estado de Guanajuato, se indica que la iniciativa</w:t>
      </w:r>
      <w:r>
        <w:rPr>
          <w:rFonts w:ascii="Abadi" w:hAnsi="Abadi" w:cs="*Arial-6873-Identity-H"/>
          <w:color w:val="0C0C0C"/>
          <w:sz w:val="21"/>
          <w:szCs w:val="21"/>
        </w:rPr>
        <w:t xml:space="preserve"> </w:t>
      </w:r>
      <w:r w:rsidRPr="00FA7CEF">
        <w:rPr>
          <w:rFonts w:ascii="Abadi" w:hAnsi="Abadi" w:cs="*Arial-6873-Identity-H"/>
          <w:color w:val="0C0C0C"/>
          <w:sz w:val="21"/>
          <w:szCs w:val="21"/>
        </w:rPr>
        <w:t>tendría el siguiente:</w:t>
      </w:r>
    </w:p>
    <w:p w14:paraId="615548D9" w14:textId="77777777" w:rsidR="00D0323E" w:rsidRDefault="00D0323E" w:rsidP="00D0323E">
      <w:pPr>
        <w:autoSpaceDE w:val="0"/>
        <w:autoSpaceDN w:val="0"/>
        <w:adjustRightInd w:val="0"/>
        <w:jc w:val="both"/>
        <w:rPr>
          <w:rFonts w:ascii="Abadi" w:hAnsi="Abadi" w:cs="*Calibri-6869-Identity-H"/>
          <w:color w:val="050505"/>
          <w:sz w:val="21"/>
          <w:szCs w:val="21"/>
        </w:rPr>
      </w:pPr>
    </w:p>
    <w:p w14:paraId="1FD8A6BE" w14:textId="77777777" w:rsidR="00D0323E" w:rsidRPr="0097128B" w:rsidRDefault="00D0323E" w:rsidP="005433FA">
      <w:pPr>
        <w:pStyle w:val="Prrafodelista"/>
        <w:numPr>
          <w:ilvl w:val="0"/>
          <w:numId w:val="12"/>
        </w:numPr>
        <w:autoSpaceDE w:val="0"/>
        <w:autoSpaceDN w:val="0"/>
        <w:adjustRightInd w:val="0"/>
        <w:contextualSpacing/>
        <w:jc w:val="both"/>
        <w:rPr>
          <w:rFonts w:ascii="Abadi" w:hAnsi="Abadi" w:cs="*Arial-6873-Identity-H"/>
          <w:color w:val="0B0B0B"/>
          <w:sz w:val="21"/>
          <w:szCs w:val="21"/>
        </w:rPr>
      </w:pPr>
      <w:r w:rsidRPr="0097128B">
        <w:rPr>
          <w:rFonts w:ascii="Abadi" w:hAnsi="Abadi" w:cs="*Microsoft Sans Serif-BoldItali"/>
          <w:b/>
          <w:bCs/>
          <w:i/>
          <w:iCs/>
          <w:color w:val="0B0B0B"/>
          <w:sz w:val="21"/>
          <w:szCs w:val="21"/>
          <w:u w:val="single"/>
        </w:rPr>
        <w:t>Impacto jurídico.</w:t>
      </w:r>
      <w:r w:rsidRPr="0097128B">
        <w:rPr>
          <w:rFonts w:ascii="Abadi" w:hAnsi="Abadi" w:cs="*Microsoft Sans Serif-BoldItali"/>
          <w:b/>
          <w:bCs/>
          <w:i/>
          <w:iCs/>
          <w:color w:val="0B0B0B"/>
          <w:sz w:val="21"/>
          <w:szCs w:val="21"/>
        </w:rPr>
        <w:t xml:space="preserve"> </w:t>
      </w:r>
      <w:r w:rsidRPr="0097128B">
        <w:rPr>
          <w:rFonts w:ascii="Abadi" w:hAnsi="Abadi" w:cs="*Arial-6873-Identity-H"/>
          <w:color w:val="0B0B0B"/>
          <w:sz w:val="21"/>
          <w:szCs w:val="21"/>
        </w:rPr>
        <w:t>Esta Soberanía cuenta con las facultades para la creación del presente cuerpo normativo. La nueva legislación no afecta otros cuerpos normativos.</w:t>
      </w:r>
    </w:p>
    <w:p w14:paraId="55818ECE" w14:textId="77777777" w:rsidR="00D0323E" w:rsidRPr="00FA7CEF" w:rsidRDefault="00D0323E" w:rsidP="00D0323E">
      <w:pPr>
        <w:autoSpaceDE w:val="0"/>
        <w:autoSpaceDN w:val="0"/>
        <w:adjustRightInd w:val="0"/>
        <w:jc w:val="both"/>
        <w:rPr>
          <w:rFonts w:ascii="Abadi" w:hAnsi="Abadi" w:cs="*Arial-6873-Identity-H"/>
          <w:color w:val="0B0B0B"/>
          <w:sz w:val="21"/>
          <w:szCs w:val="21"/>
        </w:rPr>
      </w:pPr>
    </w:p>
    <w:p w14:paraId="66504F1F" w14:textId="77777777" w:rsidR="00D0323E" w:rsidRPr="0097128B" w:rsidRDefault="00D0323E" w:rsidP="005433FA">
      <w:pPr>
        <w:pStyle w:val="Prrafodelista"/>
        <w:numPr>
          <w:ilvl w:val="0"/>
          <w:numId w:val="12"/>
        </w:numPr>
        <w:autoSpaceDE w:val="0"/>
        <w:autoSpaceDN w:val="0"/>
        <w:adjustRightInd w:val="0"/>
        <w:contextualSpacing/>
        <w:jc w:val="both"/>
        <w:rPr>
          <w:rFonts w:ascii="Abadi" w:hAnsi="Abadi" w:cs="*Arial-6873-Identity-H"/>
          <w:color w:val="0B0B0B"/>
          <w:sz w:val="21"/>
          <w:szCs w:val="21"/>
        </w:rPr>
      </w:pPr>
      <w:r w:rsidRPr="0097128B">
        <w:rPr>
          <w:rFonts w:ascii="Abadi" w:hAnsi="Abadi" w:cs="*Microsoft Sans Serif-BoldItali"/>
          <w:b/>
          <w:bCs/>
          <w:i/>
          <w:iCs/>
          <w:color w:val="0B0B0B"/>
          <w:sz w:val="21"/>
          <w:szCs w:val="21"/>
          <w:u w:val="single"/>
        </w:rPr>
        <w:t>Impacto administrativo.</w:t>
      </w:r>
      <w:r w:rsidRPr="0097128B">
        <w:rPr>
          <w:rFonts w:ascii="Abadi" w:hAnsi="Abadi" w:cs="*Microsoft Sans Serif-BoldItali"/>
          <w:b/>
          <w:bCs/>
          <w:i/>
          <w:iCs/>
          <w:color w:val="0B0B0B"/>
          <w:sz w:val="21"/>
          <w:szCs w:val="21"/>
        </w:rPr>
        <w:t xml:space="preserve"> </w:t>
      </w:r>
      <w:r w:rsidRPr="0097128B">
        <w:rPr>
          <w:rFonts w:ascii="Abadi" w:hAnsi="Abadi" w:cs="*Arial-6873-Identity-H"/>
          <w:color w:val="0B0B0B"/>
          <w:sz w:val="21"/>
          <w:szCs w:val="21"/>
        </w:rPr>
        <w:t>La iniciativa contempla la creación de un vehículo responsable del proceso de administración de la estrategia de financiamiento para MIPyMES.</w:t>
      </w:r>
    </w:p>
    <w:p w14:paraId="31F853BF" w14:textId="77777777" w:rsidR="00D0323E" w:rsidRDefault="00D0323E" w:rsidP="00D0323E">
      <w:pPr>
        <w:autoSpaceDE w:val="0"/>
        <w:autoSpaceDN w:val="0"/>
        <w:adjustRightInd w:val="0"/>
        <w:jc w:val="both"/>
        <w:rPr>
          <w:rFonts w:ascii="Abadi" w:hAnsi="Abadi" w:cs="*Arial-6873-Identity-H"/>
          <w:color w:val="0B0B0B"/>
          <w:sz w:val="21"/>
          <w:szCs w:val="21"/>
        </w:rPr>
      </w:pPr>
    </w:p>
    <w:p w14:paraId="1EB1870D" w14:textId="77777777" w:rsidR="00D0323E" w:rsidRPr="0097128B" w:rsidRDefault="00D0323E" w:rsidP="00D0323E">
      <w:pPr>
        <w:pStyle w:val="Prrafodelista"/>
        <w:autoSpaceDE w:val="0"/>
        <w:autoSpaceDN w:val="0"/>
        <w:adjustRightInd w:val="0"/>
        <w:jc w:val="both"/>
        <w:rPr>
          <w:rFonts w:ascii="Abadi" w:hAnsi="Abadi" w:cs="*Arial-6873-Identity-H"/>
          <w:color w:val="0B0B0B"/>
          <w:sz w:val="21"/>
          <w:szCs w:val="21"/>
        </w:rPr>
      </w:pPr>
      <w:r w:rsidRPr="0097128B">
        <w:rPr>
          <w:rFonts w:ascii="Abadi" w:hAnsi="Abadi" w:cs="*Arial-6873-Identity-H"/>
          <w:color w:val="0B0B0B"/>
          <w:sz w:val="21"/>
          <w:szCs w:val="21"/>
        </w:rPr>
        <w:t>El Ejecutivo en el uso de facultades emitirá las disposiciones aplicables.</w:t>
      </w:r>
    </w:p>
    <w:p w14:paraId="1B96CE33" w14:textId="77777777" w:rsidR="00D0323E" w:rsidRPr="00FA7CEF" w:rsidRDefault="00D0323E" w:rsidP="00D0323E">
      <w:pPr>
        <w:autoSpaceDE w:val="0"/>
        <w:autoSpaceDN w:val="0"/>
        <w:adjustRightInd w:val="0"/>
        <w:jc w:val="both"/>
        <w:rPr>
          <w:rFonts w:ascii="Abadi" w:hAnsi="Abadi" w:cs="*Arial-6873-Identity-H"/>
          <w:color w:val="0B0B0B"/>
          <w:sz w:val="21"/>
          <w:szCs w:val="21"/>
        </w:rPr>
      </w:pPr>
    </w:p>
    <w:p w14:paraId="03713127" w14:textId="77777777" w:rsidR="00D0323E" w:rsidRPr="0097128B" w:rsidRDefault="00D0323E" w:rsidP="00D0323E">
      <w:pPr>
        <w:pStyle w:val="Prrafodelista"/>
        <w:autoSpaceDE w:val="0"/>
        <w:autoSpaceDN w:val="0"/>
        <w:adjustRightInd w:val="0"/>
        <w:jc w:val="both"/>
        <w:rPr>
          <w:rFonts w:ascii="Abadi" w:hAnsi="Abadi" w:cs="*Arial-6873-Identity-H"/>
          <w:color w:val="0A0A0A"/>
          <w:sz w:val="21"/>
          <w:szCs w:val="21"/>
        </w:rPr>
      </w:pPr>
      <w:r w:rsidRPr="0097128B">
        <w:rPr>
          <w:rFonts w:ascii="Abadi" w:hAnsi="Abadi" w:cs="*Arial-6873-Identity-H"/>
          <w:color w:val="0A0A0A"/>
          <w:sz w:val="21"/>
          <w:szCs w:val="21"/>
        </w:rPr>
        <w:t>En razón de la existencia de Fideicomisos para la promoción de políticas crediticias, la actual propuesta normativa permitirá la transición de este arreglo legal a una sociedad de capital estatal mayoritario. La Ley Orgánica del Poder Ejecutivo del Estado prevé los supuestos aplicables para primero, la liquidación del fideicomiso y, segundo, la constitución de empresa de participación estatal mayoritaria.</w:t>
      </w:r>
    </w:p>
    <w:p w14:paraId="2877689B" w14:textId="77777777" w:rsidR="00D0323E" w:rsidRPr="00FA7CEF" w:rsidRDefault="00D0323E" w:rsidP="00D0323E">
      <w:pPr>
        <w:jc w:val="both"/>
        <w:rPr>
          <w:rFonts w:ascii="Abadi" w:hAnsi="Abadi" w:cs="*Arial-6873-Identity-H"/>
          <w:color w:val="0A0A0A"/>
          <w:sz w:val="21"/>
          <w:szCs w:val="21"/>
        </w:rPr>
      </w:pPr>
    </w:p>
    <w:p w14:paraId="07F4C812" w14:textId="77777777" w:rsidR="00D0323E" w:rsidRDefault="00D0323E" w:rsidP="00D0323E">
      <w:pPr>
        <w:autoSpaceDE w:val="0"/>
        <w:autoSpaceDN w:val="0"/>
        <w:adjustRightInd w:val="0"/>
        <w:jc w:val="both"/>
        <w:rPr>
          <w:rFonts w:ascii="Abadi" w:hAnsi="Abadi" w:cs="*Arial-BoldItalic-6432-Identity"/>
          <w:b/>
          <w:bCs/>
          <w:i/>
          <w:iCs/>
          <w:color w:val="0B0B0B"/>
          <w:sz w:val="21"/>
          <w:szCs w:val="21"/>
        </w:rPr>
      </w:pPr>
    </w:p>
    <w:p w14:paraId="54AC1223" w14:textId="77777777" w:rsidR="00D0323E" w:rsidRPr="0097128B" w:rsidRDefault="00D0323E" w:rsidP="005433FA">
      <w:pPr>
        <w:pStyle w:val="Prrafodelista"/>
        <w:numPr>
          <w:ilvl w:val="0"/>
          <w:numId w:val="12"/>
        </w:numPr>
        <w:autoSpaceDE w:val="0"/>
        <w:autoSpaceDN w:val="0"/>
        <w:adjustRightInd w:val="0"/>
        <w:contextualSpacing/>
        <w:jc w:val="both"/>
        <w:rPr>
          <w:rFonts w:ascii="Abadi" w:hAnsi="Abadi" w:cs="*Arial-6434-Identity-H"/>
          <w:color w:val="0B0B0B"/>
          <w:sz w:val="21"/>
          <w:szCs w:val="21"/>
        </w:rPr>
      </w:pPr>
      <w:r w:rsidRPr="0097128B">
        <w:rPr>
          <w:rFonts w:ascii="Abadi" w:hAnsi="Abadi" w:cs="*Arial-BoldItalic-6432-Identity"/>
          <w:b/>
          <w:bCs/>
          <w:i/>
          <w:iCs/>
          <w:color w:val="0B0B0B"/>
          <w:sz w:val="21"/>
          <w:szCs w:val="21"/>
          <w:u w:val="single"/>
        </w:rPr>
        <w:t>Impacto presupuestario.</w:t>
      </w:r>
      <w:r w:rsidRPr="0097128B">
        <w:rPr>
          <w:rFonts w:ascii="Abadi" w:hAnsi="Abadi" w:cs="*Arial-BoldItalic-6432-Identity"/>
          <w:b/>
          <w:bCs/>
          <w:i/>
          <w:iCs/>
          <w:color w:val="0B0B0B"/>
          <w:sz w:val="21"/>
          <w:szCs w:val="21"/>
        </w:rPr>
        <w:t xml:space="preserve"> </w:t>
      </w:r>
      <w:r w:rsidRPr="0097128B">
        <w:rPr>
          <w:rFonts w:ascii="Abadi" w:hAnsi="Abadi" w:cs="*Arial-6434-Identity-H"/>
          <w:color w:val="0B0B0B"/>
          <w:sz w:val="21"/>
          <w:szCs w:val="21"/>
        </w:rPr>
        <w:t>Aquellos relacionados con la constitución del vehículo legal y administrativo que habrá de ser la instancia para la implementación de las políticas objeto</w:t>
      </w:r>
    </w:p>
    <w:p w14:paraId="68409A03" w14:textId="77777777" w:rsidR="00D0323E" w:rsidRPr="0097128B" w:rsidRDefault="00D0323E" w:rsidP="00D0323E">
      <w:pPr>
        <w:autoSpaceDE w:val="0"/>
        <w:autoSpaceDN w:val="0"/>
        <w:adjustRightInd w:val="0"/>
        <w:ind w:left="360" w:firstLine="348"/>
        <w:jc w:val="both"/>
        <w:rPr>
          <w:rFonts w:ascii="Abadi" w:hAnsi="Abadi" w:cs="*Arial-6434-Identity-H"/>
          <w:color w:val="0B0B0B"/>
          <w:sz w:val="21"/>
          <w:szCs w:val="21"/>
        </w:rPr>
      </w:pPr>
      <w:r w:rsidRPr="0097128B">
        <w:rPr>
          <w:rFonts w:ascii="Abadi" w:hAnsi="Abadi" w:cs="*Arial-6434-Identity-H"/>
          <w:color w:val="0B0B0B"/>
          <w:sz w:val="21"/>
          <w:szCs w:val="21"/>
        </w:rPr>
        <w:t xml:space="preserve">de la iniciativa. </w:t>
      </w:r>
    </w:p>
    <w:p w14:paraId="11614201" w14:textId="77777777" w:rsidR="00D0323E" w:rsidRDefault="00D0323E" w:rsidP="00D0323E">
      <w:pPr>
        <w:autoSpaceDE w:val="0"/>
        <w:autoSpaceDN w:val="0"/>
        <w:adjustRightInd w:val="0"/>
        <w:jc w:val="both"/>
        <w:rPr>
          <w:rFonts w:ascii="Abadi" w:hAnsi="Abadi" w:cs="*Arial-6434-Identity-H"/>
          <w:color w:val="0A0A0A"/>
          <w:sz w:val="21"/>
          <w:szCs w:val="21"/>
        </w:rPr>
      </w:pPr>
    </w:p>
    <w:p w14:paraId="5B2DDCD4" w14:textId="77777777" w:rsidR="00D0323E" w:rsidRPr="0097128B" w:rsidRDefault="00D0323E" w:rsidP="005433FA">
      <w:pPr>
        <w:pStyle w:val="Prrafodelista"/>
        <w:numPr>
          <w:ilvl w:val="0"/>
          <w:numId w:val="12"/>
        </w:numPr>
        <w:autoSpaceDE w:val="0"/>
        <w:autoSpaceDN w:val="0"/>
        <w:adjustRightInd w:val="0"/>
        <w:contextualSpacing/>
        <w:jc w:val="both"/>
        <w:rPr>
          <w:rFonts w:ascii="Abadi" w:hAnsi="Abadi" w:cs="*Arial-6434-Identity-H"/>
          <w:color w:val="0A0A0A"/>
          <w:sz w:val="21"/>
          <w:szCs w:val="21"/>
        </w:rPr>
      </w:pPr>
      <w:r w:rsidRPr="0097128B">
        <w:rPr>
          <w:rFonts w:ascii="Abadi" w:hAnsi="Abadi" w:cs="*Arial-BoldItalic-6432-Identity"/>
          <w:b/>
          <w:bCs/>
          <w:i/>
          <w:iCs/>
          <w:color w:val="0A0A0A"/>
          <w:sz w:val="21"/>
          <w:szCs w:val="21"/>
          <w:u w:val="single"/>
        </w:rPr>
        <w:t>Impacto social.</w:t>
      </w:r>
      <w:r w:rsidRPr="0097128B">
        <w:rPr>
          <w:rFonts w:ascii="Abadi" w:hAnsi="Abadi" w:cs="*Arial-BoldItalic-6432-Identity"/>
          <w:b/>
          <w:bCs/>
          <w:i/>
          <w:iCs/>
          <w:color w:val="0A0A0A"/>
          <w:sz w:val="21"/>
          <w:szCs w:val="21"/>
        </w:rPr>
        <w:t xml:space="preserve"> </w:t>
      </w:r>
      <w:r w:rsidRPr="0097128B">
        <w:rPr>
          <w:rFonts w:ascii="Abadi" w:hAnsi="Abadi" w:cs="*Arial-6434-Identity-H"/>
          <w:color w:val="0A0A0A"/>
          <w:sz w:val="21"/>
          <w:szCs w:val="21"/>
        </w:rPr>
        <w:t>Como ha sido expuesto en la presente Exposición de Motivos, dada la relevancia del sector en el que está orientada la reforma destaca su relevancia para fortalecer MIPyMES determinantes en la absorción de oferta laboral y en la cadena de suministro en la entidad.</w:t>
      </w:r>
    </w:p>
    <w:p w14:paraId="097DA143" w14:textId="77777777" w:rsidR="00D0323E" w:rsidRPr="00FA7CEF" w:rsidRDefault="00D0323E" w:rsidP="00D0323E">
      <w:pPr>
        <w:autoSpaceDE w:val="0"/>
        <w:autoSpaceDN w:val="0"/>
        <w:adjustRightInd w:val="0"/>
        <w:jc w:val="both"/>
        <w:rPr>
          <w:rFonts w:ascii="Abadi" w:hAnsi="Abadi" w:cs="*Arial-6434-Identity-H"/>
          <w:color w:val="0A0A0A"/>
          <w:sz w:val="21"/>
          <w:szCs w:val="21"/>
        </w:rPr>
      </w:pPr>
    </w:p>
    <w:p w14:paraId="33A03E90" w14:textId="77777777" w:rsidR="00D0323E" w:rsidRPr="00FA7CEF" w:rsidRDefault="00D0323E" w:rsidP="00D0323E">
      <w:pPr>
        <w:autoSpaceDE w:val="0"/>
        <w:autoSpaceDN w:val="0"/>
        <w:adjustRightInd w:val="0"/>
        <w:jc w:val="both"/>
        <w:rPr>
          <w:rFonts w:ascii="Abadi" w:hAnsi="Abadi" w:cs="*Arial-6434-Identity-H"/>
          <w:color w:val="0A0A0A"/>
          <w:sz w:val="21"/>
          <w:szCs w:val="21"/>
        </w:rPr>
      </w:pPr>
      <w:r w:rsidRPr="00FA7CEF">
        <w:rPr>
          <w:rFonts w:ascii="Abadi" w:hAnsi="Abadi" w:cs="*Arial-6434-Identity-H"/>
          <w:color w:val="0A0A0A"/>
          <w:sz w:val="21"/>
          <w:szCs w:val="21"/>
        </w:rPr>
        <w:t>Por los anteriores considerandos, se somete a esta Honorable</w:t>
      </w:r>
      <w:r>
        <w:rPr>
          <w:rFonts w:ascii="Abadi" w:hAnsi="Abadi" w:cs="*Arial-6434-Identity-H"/>
          <w:color w:val="0A0A0A"/>
          <w:sz w:val="21"/>
          <w:szCs w:val="21"/>
        </w:rPr>
        <w:t xml:space="preserve"> </w:t>
      </w:r>
      <w:r w:rsidRPr="00FA7CEF">
        <w:rPr>
          <w:rFonts w:ascii="Abadi" w:hAnsi="Abadi" w:cs="*Arial-6434-Identity-H"/>
          <w:color w:val="0A0A0A"/>
          <w:sz w:val="21"/>
          <w:szCs w:val="21"/>
        </w:rPr>
        <w:t>Asamblea el siguiente proyecto de:</w:t>
      </w:r>
    </w:p>
    <w:p w14:paraId="258CEF22" w14:textId="77777777" w:rsidR="00D0323E" w:rsidRDefault="00D0323E" w:rsidP="00D0323E">
      <w:pPr>
        <w:autoSpaceDE w:val="0"/>
        <w:autoSpaceDN w:val="0"/>
        <w:adjustRightInd w:val="0"/>
        <w:jc w:val="both"/>
        <w:rPr>
          <w:rFonts w:ascii="Abadi" w:hAnsi="Abadi" w:cs="*Arial-BoldItalic-6432-Identity"/>
          <w:b/>
          <w:bCs/>
          <w:i/>
          <w:iCs/>
          <w:color w:val="0A0A0A"/>
          <w:sz w:val="21"/>
          <w:szCs w:val="21"/>
        </w:rPr>
      </w:pPr>
    </w:p>
    <w:p w14:paraId="2ABEB682" w14:textId="77777777" w:rsidR="00D0323E" w:rsidRPr="00FA7CEF" w:rsidRDefault="00D0323E" w:rsidP="00D0323E">
      <w:pPr>
        <w:autoSpaceDE w:val="0"/>
        <w:autoSpaceDN w:val="0"/>
        <w:adjustRightInd w:val="0"/>
        <w:jc w:val="center"/>
        <w:rPr>
          <w:rFonts w:ascii="Abadi" w:hAnsi="Abadi" w:cs="*Arial-BoldItalic-6432-Identity"/>
          <w:b/>
          <w:bCs/>
          <w:i/>
          <w:iCs/>
          <w:color w:val="0A0A0A"/>
          <w:sz w:val="21"/>
          <w:szCs w:val="21"/>
        </w:rPr>
      </w:pPr>
      <w:r w:rsidRPr="00FA7CEF">
        <w:rPr>
          <w:rFonts w:ascii="Abadi" w:hAnsi="Abadi" w:cs="*Arial-BoldItalic-6432-Identity"/>
          <w:b/>
          <w:bCs/>
          <w:i/>
          <w:iCs/>
          <w:color w:val="0A0A0A"/>
          <w:sz w:val="21"/>
          <w:szCs w:val="21"/>
        </w:rPr>
        <w:t>DECRETO</w:t>
      </w:r>
    </w:p>
    <w:p w14:paraId="716C53D1" w14:textId="77777777" w:rsidR="00D0323E" w:rsidRDefault="00D0323E" w:rsidP="00D0323E">
      <w:pPr>
        <w:autoSpaceDE w:val="0"/>
        <w:autoSpaceDN w:val="0"/>
        <w:adjustRightInd w:val="0"/>
        <w:jc w:val="both"/>
        <w:rPr>
          <w:rFonts w:ascii="Abadi" w:hAnsi="Abadi" w:cs="*Arial-BoldItalic-6432-Identity"/>
          <w:b/>
          <w:bCs/>
          <w:i/>
          <w:iCs/>
          <w:color w:val="0D0D0D"/>
          <w:sz w:val="21"/>
          <w:szCs w:val="21"/>
        </w:rPr>
      </w:pPr>
    </w:p>
    <w:p w14:paraId="63D87AC6" w14:textId="77777777" w:rsidR="00D0323E" w:rsidRDefault="00D0323E" w:rsidP="00D0323E">
      <w:pPr>
        <w:autoSpaceDE w:val="0"/>
        <w:autoSpaceDN w:val="0"/>
        <w:adjustRightInd w:val="0"/>
        <w:jc w:val="both"/>
        <w:rPr>
          <w:rFonts w:ascii="Abadi" w:hAnsi="Abadi" w:cs="*Arial-BoldItalic-6432-Identity"/>
          <w:b/>
          <w:bCs/>
          <w:i/>
          <w:iCs/>
          <w:color w:val="0D0D0D"/>
          <w:sz w:val="21"/>
          <w:szCs w:val="21"/>
        </w:rPr>
      </w:pPr>
      <w:r w:rsidRPr="00FA7CEF">
        <w:rPr>
          <w:rFonts w:ascii="Abadi" w:hAnsi="Abadi" w:cs="*Arial-BoldItalic-6432-Identity"/>
          <w:b/>
          <w:bCs/>
          <w:i/>
          <w:iCs/>
          <w:color w:val="0D0D0D"/>
          <w:sz w:val="21"/>
          <w:szCs w:val="21"/>
        </w:rPr>
        <w:lastRenderedPageBreak/>
        <w:t xml:space="preserve">ÚNICO. </w:t>
      </w:r>
      <w:r w:rsidRPr="00FA7CEF">
        <w:rPr>
          <w:rFonts w:ascii="Abadi" w:hAnsi="Abadi" w:cs="*Arial-Italic-6433-Identity-H"/>
          <w:i/>
          <w:iCs/>
          <w:color w:val="0D0D0D"/>
          <w:sz w:val="21"/>
          <w:szCs w:val="21"/>
        </w:rPr>
        <w:t xml:space="preserve">Se crea </w:t>
      </w:r>
      <w:r w:rsidRPr="00FA7CEF">
        <w:rPr>
          <w:rFonts w:ascii="Abadi" w:hAnsi="Abadi" w:cs="*Arial-BoldItalic-6432-Identity"/>
          <w:b/>
          <w:bCs/>
          <w:i/>
          <w:iCs/>
          <w:color w:val="0D0D0D"/>
          <w:sz w:val="21"/>
          <w:szCs w:val="21"/>
        </w:rPr>
        <w:t>la Ley para Fomentar el Acceso al Financiamiento</w:t>
      </w:r>
      <w:r>
        <w:rPr>
          <w:rFonts w:ascii="Abadi" w:hAnsi="Abadi" w:cs="*Arial-BoldItalic-6432-Identity"/>
          <w:b/>
          <w:bCs/>
          <w:i/>
          <w:iCs/>
          <w:color w:val="0D0D0D"/>
          <w:sz w:val="21"/>
          <w:szCs w:val="21"/>
        </w:rPr>
        <w:t xml:space="preserve"> </w:t>
      </w:r>
      <w:r w:rsidRPr="00FA7CEF">
        <w:rPr>
          <w:rFonts w:ascii="Abadi" w:hAnsi="Abadi" w:cs="*Tahoma-Bold-6436-Identity-H"/>
          <w:b/>
          <w:bCs/>
          <w:color w:val="0D0D0D"/>
          <w:sz w:val="21"/>
          <w:szCs w:val="21"/>
        </w:rPr>
        <w:t xml:space="preserve">a </w:t>
      </w:r>
      <w:r w:rsidRPr="00FA7CEF">
        <w:rPr>
          <w:rFonts w:ascii="Abadi" w:hAnsi="Abadi" w:cs="*Arial-BoldItalic-6432-Identity"/>
          <w:b/>
          <w:bCs/>
          <w:i/>
          <w:iCs/>
          <w:color w:val="0D0D0D"/>
          <w:sz w:val="21"/>
          <w:szCs w:val="21"/>
        </w:rPr>
        <w:t>las Pequeñas y Medianas Empresas en el Estado de Guanajuato,</w:t>
      </w:r>
      <w:r>
        <w:rPr>
          <w:rFonts w:ascii="Abadi" w:hAnsi="Abadi" w:cs="*Arial-BoldItalic-6432-Identity"/>
          <w:b/>
          <w:bCs/>
          <w:i/>
          <w:iCs/>
          <w:color w:val="0D0D0D"/>
          <w:sz w:val="21"/>
          <w:szCs w:val="21"/>
        </w:rPr>
        <w:t xml:space="preserve"> </w:t>
      </w:r>
      <w:r w:rsidRPr="00FA7CEF">
        <w:rPr>
          <w:rFonts w:ascii="Abadi" w:hAnsi="Abadi" w:cs="*Arial-BoldItalic-6432-Identity"/>
          <w:b/>
          <w:bCs/>
          <w:i/>
          <w:iCs/>
          <w:color w:val="0D0D0D"/>
          <w:sz w:val="21"/>
          <w:szCs w:val="21"/>
        </w:rPr>
        <w:t xml:space="preserve">para quedar </w:t>
      </w:r>
      <w:r w:rsidRPr="00FA7CEF">
        <w:rPr>
          <w:rFonts w:ascii="Abadi" w:hAnsi="Abadi" w:cs="*Calibri-Bold-6429-Identity-H"/>
          <w:b/>
          <w:bCs/>
          <w:color w:val="0D0D0D"/>
          <w:sz w:val="21"/>
          <w:szCs w:val="21"/>
        </w:rPr>
        <w:t xml:space="preserve">como </w:t>
      </w:r>
      <w:r w:rsidRPr="00FA7CEF">
        <w:rPr>
          <w:rFonts w:ascii="Abadi" w:hAnsi="Abadi" w:cs="*Arial-BoldItalic-6432-Identity"/>
          <w:b/>
          <w:bCs/>
          <w:i/>
          <w:iCs/>
          <w:color w:val="0D0D0D"/>
          <w:sz w:val="21"/>
          <w:szCs w:val="21"/>
        </w:rPr>
        <w:t>sigue:</w:t>
      </w:r>
    </w:p>
    <w:p w14:paraId="02EAF5E5" w14:textId="77777777" w:rsidR="00D0323E" w:rsidRDefault="00D0323E" w:rsidP="00D0323E">
      <w:pPr>
        <w:autoSpaceDE w:val="0"/>
        <w:autoSpaceDN w:val="0"/>
        <w:adjustRightInd w:val="0"/>
        <w:jc w:val="both"/>
        <w:rPr>
          <w:rFonts w:ascii="Abadi" w:hAnsi="Abadi" w:cs="*Arial-BoldItalic-6432-Identity"/>
          <w:b/>
          <w:bCs/>
          <w:i/>
          <w:iCs/>
          <w:color w:val="0D0D0D"/>
          <w:sz w:val="21"/>
          <w:szCs w:val="21"/>
        </w:rPr>
      </w:pPr>
    </w:p>
    <w:p w14:paraId="0AE7FE41" w14:textId="77777777" w:rsidR="00D0323E" w:rsidRPr="00FA7CEF" w:rsidRDefault="00D0323E" w:rsidP="00D0323E">
      <w:pPr>
        <w:autoSpaceDE w:val="0"/>
        <w:autoSpaceDN w:val="0"/>
        <w:adjustRightInd w:val="0"/>
        <w:jc w:val="both"/>
        <w:rPr>
          <w:rFonts w:ascii="Abadi" w:hAnsi="Abadi" w:cs="*Arial-BoldItalic-6432-Identity"/>
          <w:b/>
          <w:bCs/>
          <w:i/>
          <w:iCs/>
          <w:color w:val="0D0D0D"/>
          <w:sz w:val="21"/>
          <w:szCs w:val="21"/>
        </w:rPr>
      </w:pPr>
    </w:p>
    <w:p w14:paraId="0111AF9A" w14:textId="77777777" w:rsidR="00D0323E" w:rsidRDefault="00D0323E" w:rsidP="00D0323E">
      <w:pPr>
        <w:autoSpaceDE w:val="0"/>
        <w:autoSpaceDN w:val="0"/>
        <w:adjustRightInd w:val="0"/>
        <w:jc w:val="center"/>
        <w:rPr>
          <w:rFonts w:ascii="Abadi" w:hAnsi="Abadi" w:cs="*Arial-BoldItalic-6432-Identity"/>
          <w:b/>
          <w:bCs/>
          <w:i/>
          <w:iCs/>
          <w:color w:val="0E0E0E"/>
          <w:sz w:val="21"/>
          <w:szCs w:val="21"/>
        </w:rPr>
      </w:pPr>
      <w:r w:rsidRPr="00FA7CEF">
        <w:rPr>
          <w:rFonts w:ascii="Abadi" w:hAnsi="Abadi" w:cs="*Arial-BoldItalic-6432-Identity"/>
          <w:b/>
          <w:bCs/>
          <w:i/>
          <w:iCs/>
          <w:color w:val="0E0E0E"/>
          <w:sz w:val="21"/>
          <w:szCs w:val="21"/>
        </w:rPr>
        <w:t xml:space="preserve">Ley para Fomentar el Acceso al Financiamiento a las Pequeñas </w:t>
      </w:r>
    </w:p>
    <w:p w14:paraId="1E8A62F5" w14:textId="77777777" w:rsidR="00D0323E" w:rsidRPr="00FA7CEF" w:rsidRDefault="00D0323E" w:rsidP="00D0323E">
      <w:pPr>
        <w:autoSpaceDE w:val="0"/>
        <w:autoSpaceDN w:val="0"/>
        <w:adjustRightInd w:val="0"/>
        <w:jc w:val="center"/>
        <w:rPr>
          <w:rFonts w:ascii="Abadi" w:hAnsi="Abadi" w:cs="*Arial-BoldItalic-6432-Identity"/>
          <w:b/>
          <w:bCs/>
          <w:i/>
          <w:iCs/>
          <w:color w:val="0E0E0E"/>
          <w:sz w:val="21"/>
          <w:szCs w:val="21"/>
        </w:rPr>
      </w:pPr>
      <w:r w:rsidRPr="00FA7CEF">
        <w:rPr>
          <w:rFonts w:ascii="Abadi" w:hAnsi="Abadi" w:cs="*Arial-BoldItalic-6432-Identity"/>
          <w:b/>
          <w:bCs/>
          <w:i/>
          <w:iCs/>
          <w:color w:val="0E0E0E"/>
          <w:sz w:val="21"/>
          <w:szCs w:val="21"/>
        </w:rPr>
        <w:t>y</w:t>
      </w:r>
      <w:r>
        <w:rPr>
          <w:rFonts w:ascii="Abadi" w:hAnsi="Abadi" w:cs="*Arial-BoldItalic-6432-Identity"/>
          <w:b/>
          <w:bCs/>
          <w:i/>
          <w:iCs/>
          <w:color w:val="0E0E0E"/>
          <w:sz w:val="21"/>
          <w:szCs w:val="21"/>
        </w:rPr>
        <w:t xml:space="preserve"> </w:t>
      </w:r>
      <w:r w:rsidRPr="00FA7CEF">
        <w:rPr>
          <w:rFonts w:ascii="Abadi" w:hAnsi="Abadi" w:cs="*Arial-BoldItalic-6432-Identity"/>
          <w:b/>
          <w:bCs/>
          <w:i/>
          <w:iCs/>
          <w:color w:val="0E0E0E"/>
          <w:sz w:val="21"/>
          <w:szCs w:val="21"/>
        </w:rPr>
        <w:t>Medianas Empresas en el Estado de Guanajuato</w:t>
      </w:r>
    </w:p>
    <w:p w14:paraId="3E03082E" w14:textId="77777777" w:rsidR="00D0323E" w:rsidRPr="00FA7CEF" w:rsidRDefault="00D0323E" w:rsidP="00D0323E">
      <w:pPr>
        <w:jc w:val="both"/>
        <w:rPr>
          <w:rFonts w:ascii="Abadi" w:hAnsi="Abadi" w:cs="*Arial-BoldItalic-6432-Identity"/>
          <w:b/>
          <w:bCs/>
          <w:i/>
          <w:iCs/>
          <w:color w:val="0E0E0E"/>
          <w:sz w:val="21"/>
          <w:szCs w:val="21"/>
        </w:rPr>
      </w:pPr>
    </w:p>
    <w:p w14:paraId="155DAD7C" w14:textId="77777777" w:rsidR="00D0323E" w:rsidRPr="00FA7CEF" w:rsidRDefault="00D0323E" w:rsidP="00D0323E">
      <w:pPr>
        <w:autoSpaceDE w:val="0"/>
        <w:autoSpaceDN w:val="0"/>
        <w:adjustRightInd w:val="0"/>
        <w:jc w:val="center"/>
        <w:rPr>
          <w:rFonts w:ascii="Abadi" w:hAnsi="Abadi" w:cs="*Arial-Bold-6080-Identity-H"/>
          <w:b/>
          <w:bCs/>
          <w:color w:val="101010"/>
          <w:sz w:val="21"/>
          <w:szCs w:val="21"/>
        </w:rPr>
      </w:pPr>
      <w:r w:rsidRPr="00FA7CEF">
        <w:rPr>
          <w:rFonts w:ascii="Abadi" w:hAnsi="Abadi" w:cs="*Arial-Bold-6080-Identity-H"/>
          <w:b/>
          <w:bCs/>
          <w:color w:val="101010"/>
          <w:sz w:val="21"/>
          <w:szCs w:val="21"/>
        </w:rPr>
        <w:t xml:space="preserve">Capítulo </w:t>
      </w:r>
      <w:r>
        <w:rPr>
          <w:rFonts w:ascii="Abadi" w:hAnsi="Abadi" w:cs="*Arial-Bold-6080-Identity-H"/>
          <w:b/>
          <w:bCs/>
          <w:color w:val="101010"/>
          <w:sz w:val="21"/>
          <w:szCs w:val="21"/>
        </w:rPr>
        <w:t>I</w:t>
      </w:r>
    </w:p>
    <w:p w14:paraId="45D524E5" w14:textId="77777777" w:rsidR="00D0323E" w:rsidRPr="00FA7CEF" w:rsidRDefault="00D0323E" w:rsidP="00D0323E">
      <w:pPr>
        <w:autoSpaceDE w:val="0"/>
        <w:autoSpaceDN w:val="0"/>
        <w:adjustRightInd w:val="0"/>
        <w:jc w:val="center"/>
        <w:rPr>
          <w:rFonts w:ascii="Abadi" w:hAnsi="Abadi" w:cs="*Arial-Bold-6080-Identity-H"/>
          <w:b/>
          <w:bCs/>
          <w:color w:val="111111"/>
          <w:sz w:val="21"/>
          <w:szCs w:val="21"/>
        </w:rPr>
      </w:pPr>
      <w:r w:rsidRPr="00FA7CEF">
        <w:rPr>
          <w:rFonts w:ascii="Abadi" w:hAnsi="Abadi" w:cs="*Arial-Bold-6080-Identity-H"/>
          <w:b/>
          <w:bCs/>
          <w:color w:val="111111"/>
          <w:sz w:val="21"/>
          <w:szCs w:val="21"/>
        </w:rPr>
        <w:t>Del Ámbito de Aplicación y Objeto de la Ley</w:t>
      </w:r>
    </w:p>
    <w:p w14:paraId="1CF53D89" w14:textId="77777777" w:rsidR="00D0323E" w:rsidRDefault="00D0323E" w:rsidP="00D0323E">
      <w:pPr>
        <w:autoSpaceDE w:val="0"/>
        <w:autoSpaceDN w:val="0"/>
        <w:adjustRightInd w:val="0"/>
        <w:ind w:left="6372" w:firstLine="708"/>
        <w:jc w:val="center"/>
        <w:rPr>
          <w:rFonts w:ascii="Abadi" w:hAnsi="Abadi" w:cs="*Arial-BoldItalic-6078-Identity"/>
          <w:b/>
          <w:bCs/>
          <w:i/>
          <w:iCs/>
          <w:color w:val="0A0A0A"/>
          <w:sz w:val="21"/>
          <w:szCs w:val="21"/>
        </w:rPr>
      </w:pPr>
    </w:p>
    <w:p w14:paraId="07466A2B" w14:textId="77777777" w:rsidR="00D0323E" w:rsidRDefault="00D0323E" w:rsidP="00D0323E">
      <w:pPr>
        <w:autoSpaceDE w:val="0"/>
        <w:autoSpaceDN w:val="0"/>
        <w:adjustRightInd w:val="0"/>
        <w:ind w:left="6372" w:firstLine="708"/>
        <w:jc w:val="center"/>
        <w:rPr>
          <w:rFonts w:ascii="Abadi" w:hAnsi="Abadi" w:cs="*Arial-BoldItalic-6078-Identity"/>
          <w:b/>
          <w:bCs/>
          <w:i/>
          <w:iCs/>
          <w:color w:val="0A0A0A"/>
          <w:sz w:val="21"/>
          <w:szCs w:val="21"/>
        </w:rPr>
      </w:pPr>
    </w:p>
    <w:p w14:paraId="3363AC58" w14:textId="77777777" w:rsidR="00D0323E" w:rsidRPr="00FA7CEF" w:rsidRDefault="00D0323E" w:rsidP="00D0323E">
      <w:pPr>
        <w:autoSpaceDE w:val="0"/>
        <w:autoSpaceDN w:val="0"/>
        <w:adjustRightInd w:val="0"/>
        <w:jc w:val="both"/>
        <w:rPr>
          <w:rFonts w:ascii="Abadi" w:hAnsi="Abadi" w:cs="*Arial-BoldItalic-6078-Identity"/>
          <w:b/>
          <w:bCs/>
          <w:i/>
          <w:iCs/>
          <w:color w:val="0A0A0A"/>
          <w:sz w:val="21"/>
          <w:szCs w:val="21"/>
        </w:rPr>
      </w:pPr>
      <w:r w:rsidRPr="00FA7CEF">
        <w:rPr>
          <w:rFonts w:ascii="Abadi" w:hAnsi="Abadi" w:cs="*Arial-BoldItalic-6078-Identity"/>
          <w:b/>
          <w:bCs/>
          <w:i/>
          <w:iCs/>
          <w:color w:val="0A0A0A"/>
          <w:sz w:val="21"/>
          <w:szCs w:val="21"/>
        </w:rPr>
        <w:t>Objeto de la Ley</w:t>
      </w:r>
    </w:p>
    <w:p w14:paraId="11D772B4" w14:textId="77777777" w:rsidR="00D0323E" w:rsidRDefault="00D0323E" w:rsidP="00D0323E">
      <w:pPr>
        <w:autoSpaceDE w:val="0"/>
        <w:autoSpaceDN w:val="0"/>
        <w:adjustRightInd w:val="0"/>
        <w:jc w:val="center"/>
        <w:rPr>
          <w:rFonts w:ascii="Abadi" w:hAnsi="Abadi" w:cs="*Arial-Bold-6081-Identity-H"/>
          <w:b/>
          <w:bCs/>
          <w:color w:val="0A0A0A"/>
          <w:sz w:val="21"/>
          <w:szCs w:val="21"/>
        </w:rPr>
      </w:pPr>
    </w:p>
    <w:p w14:paraId="115828DA" w14:textId="77777777" w:rsidR="00D0323E" w:rsidRDefault="00D0323E" w:rsidP="00D0323E">
      <w:pPr>
        <w:autoSpaceDE w:val="0"/>
        <w:autoSpaceDN w:val="0"/>
        <w:adjustRightInd w:val="0"/>
        <w:jc w:val="both"/>
        <w:rPr>
          <w:rFonts w:ascii="Abadi" w:hAnsi="Abadi" w:cs="*Arial-6079-Identity-H"/>
          <w:color w:val="0A0A0A"/>
          <w:sz w:val="21"/>
          <w:szCs w:val="21"/>
        </w:rPr>
      </w:pPr>
      <w:r w:rsidRPr="00FA7CEF">
        <w:rPr>
          <w:rFonts w:ascii="Abadi" w:hAnsi="Abadi" w:cs="*Arial-Bold-6081-Identity-H"/>
          <w:b/>
          <w:bCs/>
          <w:color w:val="0A0A0A"/>
          <w:sz w:val="21"/>
          <w:szCs w:val="21"/>
        </w:rPr>
        <w:t xml:space="preserve">ARTÍCULO </w:t>
      </w:r>
      <w:r w:rsidRPr="0097128B">
        <w:rPr>
          <w:rFonts w:ascii="Abadi" w:hAnsi="Abadi" w:cs="*Arial-6079-Identity-H"/>
          <w:b/>
          <w:bCs/>
          <w:color w:val="0A0A0A"/>
          <w:sz w:val="21"/>
          <w:szCs w:val="21"/>
        </w:rPr>
        <w:t>1.</w:t>
      </w:r>
      <w:r w:rsidRPr="00FA7CEF">
        <w:rPr>
          <w:rFonts w:ascii="Abadi" w:hAnsi="Abadi" w:cs="*Arial-6079-Identity-H"/>
          <w:color w:val="0A0A0A"/>
          <w:sz w:val="21"/>
          <w:szCs w:val="21"/>
        </w:rPr>
        <w:t xml:space="preserve"> La presente Ley tiene por objeto promover el desarrollo</w:t>
      </w:r>
      <w:r>
        <w:rPr>
          <w:rFonts w:ascii="Abadi" w:hAnsi="Abadi" w:cs="*Arial-6079-Identity-H"/>
          <w:color w:val="0A0A0A"/>
          <w:sz w:val="21"/>
          <w:szCs w:val="21"/>
        </w:rPr>
        <w:t xml:space="preserve"> </w:t>
      </w:r>
      <w:r w:rsidRPr="00FA7CEF">
        <w:rPr>
          <w:rFonts w:ascii="Abadi" w:hAnsi="Abadi" w:cs="*Arial-6079-Identity-H"/>
          <w:color w:val="0A0A0A"/>
          <w:sz w:val="21"/>
          <w:szCs w:val="21"/>
        </w:rPr>
        <w:t>económico del Estado a través de facilitar y promover el acceso al</w:t>
      </w:r>
      <w:r>
        <w:rPr>
          <w:rFonts w:ascii="Abadi" w:hAnsi="Abadi" w:cs="*Arial-6079-Identity-H"/>
          <w:color w:val="0A0A0A"/>
          <w:sz w:val="21"/>
          <w:szCs w:val="21"/>
        </w:rPr>
        <w:t xml:space="preserve"> </w:t>
      </w:r>
      <w:r w:rsidRPr="00FA7CEF">
        <w:rPr>
          <w:rFonts w:ascii="Abadi" w:hAnsi="Abadi" w:cs="*Arial-6079-Identity-H"/>
          <w:color w:val="0A0A0A"/>
          <w:sz w:val="21"/>
          <w:szCs w:val="21"/>
        </w:rPr>
        <w:t>financiamiento para micro, pequeñas y medianas empresas a fin de</w:t>
      </w:r>
      <w:r>
        <w:rPr>
          <w:rFonts w:ascii="Abadi" w:hAnsi="Abadi" w:cs="*Arial-6079-Identity-H"/>
          <w:color w:val="0A0A0A"/>
          <w:sz w:val="21"/>
          <w:szCs w:val="21"/>
        </w:rPr>
        <w:t xml:space="preserve"> </w:t>
      </w:r>
      <w:r w:rsidRPr="00FA7CEF">
        <w:rPr>
          <w:rFonts w:ascii="Abadi" w:hAnsi="Abadi" w:cs="*Arial-6079-Identity-H"/>
          <w:color w:val="0A0A0A"/>
          <w:sz w:val="21"/>
          <w:szCs w:val="21"/>
        </w:rPr>
        <w:t>apoyar su viabilidad, productividad, competitividad y sustentabilidad.</w:t>
      </w:r>
    </w:p>
    <w:p w14:paraId="7E23F547" w14:textId="77777777" w:rsidR="00D0323E" w:rsidRPr="00FA7CEF" w:rsidRDefault="00D0323E" w:rsidP="00D0323E">
      <w:pPr>
        <w:autoSpaceDE w:val="0"/>
        <w:autoSpaceDN w:val="0"/>
        <w:adjustRightInd w:val="0"/>
        <w:jc w:val="both"/>
        <w:rPr>
          <w:rFonts w:ascii="Abadi" w:hAnsi="Abadi" w:cs="*Arial-6079-Identity-H"/>
          <w:color w:val="0A0A0A"/>
          <w:sz w:val="21"/>
          <w:szCs w:val="21"/>
        </w:rPr>
      </w:pPr>
    </w:p>
    <w:p w14:paraId="4485ACF0" w14:textId="77777777" w:rsidR="00D0323E" w:rsidRDefault="00D0323E" w:rsidP="00D0323E">
      <w:pPr>
        <w:autoSpaceDE w:val="0"/>
        <w:autoSpaceDN w:val="0"/>
        <w:adjustRightInd w:val="0"/>
        <w:jc w:val="both"/>
        <w:rPr>
          <w:rFonts w:ascii="Abadi" w:hAnsi="Abadi" w:cs="*Arial-6079-Identity-H"/>
          <w:color w:val="0A0A0A"/>
          <w:sz w:val="21"/>
          <w:szCs w:val="21"/>
        </w:rPr>
      </w:pPr>
      <w:r w:rsidRPr="00FA7CEF">
        <w:rPr>
          <w:rFonts w:ascii="Abadi" w:hAnsi="Abadi" w:cs="*Arial-6079-Identity-H"/>
          <w:color w:val="0A0A0A"/>
          <w:sz w:val="21"/>
          <w:szCs w:val="21"/>
        </w:rPr>
        <w:t>La Ley es de observancia general en todo el Estado de Guanajuato y</w:t>
      </w:r>
      <w:r>
        <w:rPr>
          <w:rFonts w:ascii="Abadi" w:hAnsi="Abadi" w:cs="*Arial-6079-Identity-H"/>
          <w:color w:val="0A0A0A"/>
          <w:sz w:val="21"/>
          <w:szCs w:val="21"/>
        </w:rPr>
        <w:t xml:space="preserve"> </w:t>
      </w:r>
      <w:r w:rsidRPr="00FA7CEF">
        <w:rPr>
          <w:rFonts w:ascii="Abadi" w:hAnsi="Abadi" w:cs="*Arial-6079-Identity-H"/>
          <w:color w:val="0A0A0A"/>
          <w:sz w:val="21"/>
          <w:szCs w:val="21"/>
        </w:rPr>
        <w:t>sus disposiciones son de orden público e interés social.</w:t>
      </w:r>
      <w:r>
        <w:rPr>
          <w:rFonts w:ascii="Abadi" w:hAnsi="Abadi" w:cs="*Arial-6079-Identity-H"/>
          <w:color w:val="0A0A0A"/>
          <w:sz w:val="21"/>
          <w:szCs w:val="21"/>
        </w:rPr>
        <w:t xml:space="preserve"> </w:t>
      </w:r>
    </w:p>
    <w:p w14:paraId="57484EAD" w14:textId="77777777" w:rsidR="00D0323E" w:rsidRDefault="00D0323E" w:rsidP="00D0323E">
      <w:pPr>
        <w:autoSpaceDE w:val="0"/>
        <w:autoSpaceDN w:val="0"/>
        <w:adjustRightInd w:val="0"/>
        <w:jc w:val="both"/>
        <w:rPr>
          <w:rFonts w:ascii="Abadi" w:hAnsi="Abadi" w:cs="*Arial-6079-Identity-H"/>
          <w:color w:val="0A0A0A"/>
          <w:sz w:val="21"/>
          <w:szCs w:val="21"/>
        </w:rPr>
      </w:pPr>
    </w:p>
    <w:p w14:paraId="0BFF1460" w14:textId="77777777" w:rsidR="00D0323E" w:rsidRPr="00FA7CEF" w:rsidRDefault="00D0323E" w:rsidP="00D0323E">
      <w:pPr>
        <w:autoSpaceDE w:val="0"/>
        <w:autoSpaceDN w:val="0"/>
        <w:adjustRightInd w:val="0"/>
        <w:jc w:val="both"/>
        <w:rPr>
          <w:rFonts w:ascii="Abadi" w:hAnsi="Abadi" w:cs="*Arial-BoldItalic-6082-Identity"/>
          <w:b/>
          <w:bCs/>
          <w:i/>
          <w:iCs/>
          <w:color w:val="0A0A0A"/>
          <w:sz w:val="21"/>
          <w:szCs w:val="21"/>
        </w:rPr>
      </w:pPr>
      <w:r w:rsidRPr="00FA7CEF">
        <w:rPr>
          <w:rFonts w:ascii="Abadi" w:hAnsi="Abadi" w:cs="*Arial-BoldItalic-6082-Identity"/>
          <w:b/>
          <w:bCs/>
          <w:i/>
          <w:iCs/>
          <w:color w:val="0A0A0A"/>
          <w:sz w:val="21"/>
          <w:szCs w:val="21"/>
        </w:rPr>
        <w:t>Definiciones</w:t>
      </w:r>
    </w:p>
    <w:p w14:paraId="53BD4BF7" w14:textId="77777777" w:rsidR="00D0323E" w:rsidRDefault="00D0323E" w:rsidP="00D0323E">
      <w:pPr>
        <w:autoSpaceDE w:val="0"/>
        <w:autoSpaceDN w:val="0"/>
        <w:adjustRightInd w:val="0"/>
        <w:jc w:val="both"/>
        <w:rPr>
          <w:rFonts w:ascii="Abadi" w:hAnsi="Abadi" w:cs="*Arial-Bold-6081-Identity-H"/>
          <w:b/>
          <w:bCs/>
          <w:color w:val="0C0C0C"/>
          <w:sz w:val="21"/>
          <w:szCs w:val="21"/>
        </w:rPr>
      </w:pPr>
    </w:p>
    <w:p w14:paraId="20181933" w14:textId="77777777" w:rsidR="00D0323E" w:rsidRDefault="00D0323E" w:rsidP="00D0323E">
      <w:pPr>
        <w:autoSpaceDE w:val="0"/>
        <w:autoSpaceDN w:val="0"/>
        <w:adjustRightInd w:val="0"/>
        <w:jc w:val="both"/>
        <w:rPr>
          <w:rFonts w:ascii="Abadi" w:hAnsi="Abadi" w:cs="*Arial-6079-Identity-H"/>
          <w:color w:val="0C0C0C"/>
          <w:sz w:val="21"/>
          <w:szCs w:val="21"/>
        </w:rPr>
      </w:pPr>
      <w:r w:rsidRPr="00FA7CEF">
        <w:rPr>
          <w:rFonts w:ascii="Abadi" w:hAnsi="Abadi" w:cs="*Arial-Bold-6081-Identity-H"/>
          <w:b/>
          <w:bCs/>
          <w:color w:val="0C0C0C"/>
          <w:sz w:val="21"/>
          <w:szCs w:val="21"/>
        </w:rPr>
        <w:t xml:space="preserve">ARTÍCULO </w:t>
      </w:r>
      <w:r w:rsidRPr="00FA7CEF">
        <w:rPr>
          <w:rFonts w:ascii="Abadi" w:hAnsi="Abadi" w:cs="*Arial-6079-Identity-H"/>
          <w:color w:val="0C0C0C"/>
          <w:sz w:val="21"/>
          <w:szCs w:val="21"/>
        </w:rPr>
        <w:t>2. Para los efectos de esta Ley, se entiende por:</w:t>
      </w:r>
    </w:p>
    <w:p w14:paraId="578B8488" w14:textId="77777777" w:rsidR="00D0323E" w:rsidRPr="00FA7CEF" w:rsidRDefault="00D0323E" w:rsidP="00D0323E">
      <w:pPr>
        <w:autoSpaceDE w:val="0"/>
        <w:autoSpaceDN w:val="0"/>
        <w:adjustRightInd w:val="0"/>
        <w:jc w:val="both"/>
        <w:rPr>
          <w:rFonts w:ascii="Abadi" w:hAnsi="Abadi" w:cs="*Arial-6079-Identity-H"/>
          <w:color w:val="0C0C0C"/>
          <w:sz w:val="21"/>
          <w:szCs w:val="21"/>
        </w:rPr>
      </w:pPr>
    </w:p>
    <w:p w14:paraId="1E68286E" w14:textId="77777777" w:rsidR="00D0323E" w:rsidRPr="0097128B" w:rsidRDefault="00D0323E" w:rsidP="005433FA">
      <w:pPr>
        <w:pStyle w:val="Prrafodelista"/>
        <w:numPr>
          <w:ilvl w:val="0"/>
          <w:numId w:val="13"/>
        </w:numPr>
        <w:autoSpaceDE w:val="0"/>
        <w:autoSpaceDN w:val="0"/>
        <w:adjustRightInd w:val="0"/>
        <w:contextualSpacing/>
        <w:jc w:val="both"/>
        <w:rPr>
          <w:rFonts w:ascii="Abadi" w:hAnsi="Abadi" w:cs="*Arial-6079-Identity-H"/>
          <w:color w:val="0A0A0A"/>
          <w:sz w:val="21"/>
          <w:szCs w:val="21"/>
        </w:rPr>
      </w:pPr>
      <w:r w:rsidRPr="0097128B">
        <w:rPr>
          <w:rFonts w:ascii="Abadi" w:hAnsi="Abadi" w:cs="*Arial-Bold-6080-Identity-H"/>
          <w:b/>
          <w:bCs/>
          <w:color w:val="0A0A0A"/>
          <w:sz w:val="21"/>
          <w:szCs w:val="21"/>
        </w:rPr>
        <w:t xml:space="preserve">Financiamiento (s): </w:t>
      </w:r>
      <w:r w:rsidRPr="0097128B">
        <w:rPr>
          <w:rFonts w:ascii="Abadi" w:hAnsi="Abadi" w:cs="*Arial-6079-Identity-H"/>
          <w:color w:val="0A0A0A"/>
          <w:sz w:val="21"/>
          <w:szCs w:val="21"/>
        </w:rPr>
        <w:t xml:space="preserve">Cantidad de recursos líquidos que se aprueba entregar a la Persona Acreditada, conforme los parámetros, criterios y condiciones que al efecto se fijen en las Reglas de Operación. </w:t>
      </w:r>
    </w:p>
    <w:p w14:paraId="1CE3C154" w14:textId="77777777" w:rsidR="00D0323E" w:rsidRPr="00FA7CEF" w:rsidRDefault="00D0323E" w:rsidP="00D0323E">
      <w:pPr>
        <w:autoSpaceDE w:val="0"/>
        <w:autoSpaceDN w:val="0"/>
        <w:adjustRightInd w:val="0"/>
        <w:jc w:val="both"/>
        <w:rPr>
          <w:rFonts w:ascii="Abadi" w:hAnsi="Abadi" w:cs="*Arial-6079-Identity-H"/>
          <w:color w:val="0A0A0A"/>
          <w:sz w:val="21"/>
          <w:szCs w:val="21"/>
        </w:rPr>
      </w:pPr>
    </w:p>
    <w:p w14:paraId="687C8449" w14:textId="77777777" w:rsidR="00D0323E" w:rsidRPr="0097128B" w:rsidRDefault="00D0323E" w:rsidP="005433FA">
      <w:pPr>
        <w:pStyle w:val="Prrafodelista"/>
        <w:numPr>
          <w:ilvl w:val="0"/>
          <w:numId w:val="13"/>
        </w:numPr>
        <w:autoSpaceDE w:val="0"/>
        <w:autoSpaceDN w:val="0"/>
        <w:adjustRightInd w:val="0"/>
        <w:contextualSpacing/>
        <w:jc w:val="both"/>
        <w:rPr>
          <w:rFonts w:ascii="Abadi" w:hAnsi="Abadi" w:cs="*Arial-6302-Identity-H"/>
          <w:color w:val="0A0A0A"/>
          <w:sz w:val="21"/>
          <w:szCs w:val="21"/>
        </w:rPr>
      </w:pPr>
      <w:r w:rsidRPr="0097128B">
        <w:rPr>
          <w:rFonts w:ascii="Abadi" w:hAnsi="Abadi" w:cs="*Arial-Bold-6303-Identity-H"/>
          <w:b/>
          <w:bCs/>
          <w:color w:val="0A0A0A"/>
          <w:sz w:val="21"/>
          <w:szCs w:val="21"/>
        </w:rPr>
        <w:t xml:space="preserve">Joven Emprendedor. </w:t>
      </w:r>
      <w:r w:rsidRPr="0097128B">
        <w:rPr>
          <w:rFonts w:ascii="Abadi" w:hAnsi="Abadi" w:cs="*Arial-6302-Identity-H"/>
          <w:color w:val="0A0A0A"/>
          <w:sz w:val="21"/>
          <w:szCs w:val="21"/>
        </w:rPr>
        <w:t>Persona de los 12 hasta los 29 años de edad, que identifica una oportunidad de negocio o necesidad de un producto o servicio y organiza los recursos necesarios para ponerla en marcha, es decir, convertir una idea en un proyecto concreto, ya sea una empresa o una organización social, que genere algún tipo de innovación y empleos;</w:t>
      </w:r>
    </w:p>
    <w:p w14:paraId="0BEBDD62" w14:textId="77777777" w:rsidR="00D0323E" w:rsidRDefault="00D0323E" w:rsidP="00D0323E">
      <w:pPr>
        <w:autoSpaceDE w:val="0"/>
        <w:autoSpaceDN w:val="0"/>
        <w:adjustRightInd w:val="0"/>
        <w:jc w:val="both"/>
        <w:rPr>
          <w:rFonts w:ascii="Abadi" w:hAnsi="Abadi" w:cs="*Arial-6302-Identity-H"/>
          <w:color w:val="0A0A0A"/>
          <w:sz w:val="21"/>
          <w:szCs w:val="21"/>
        </w:rPr>
      </w:pPr>
    </w:p>
    <w:p w14:paraId="7298AB8D" w14:textId="77777777" w:rsidR="00D0323E" w:rsidRPr="0097128B" w:rsidRDefault="00D0323E" w:rsidP="005433FA">
      <w:pPr>
        <w:pStyle w:val="Prrafodelista"/>
        <w:numPr>
          <w:ilvl w:val="0"/>
          <w:numId w:val="13"/>
        </w:numPr>
        <w:autoSpaceDE w:val="0"/>
        <w:autoSpaceDN w:val="0"/>
        <w:adjustRightInd w:val="0"/>
        <w:contextualSpacing/>
        <w:jc w:val="both"/>
        <w:rPr>
          <w:rFonts w:ascii="Abadi" w:hAnsi="Abadi" w:cs="*Arial-6302-Identity-H"/>
          <w:color w:val="0A0A0A"/>
          <w:sz w:val="21"/>
          <w:szCs w:val="21"/>
        </w:rPr>
      </w:pPr>
      <w:r w:rsidRPr="0097128B">
        <w:rPr>
          <w:rFonts w:ascii="Abadi" w:hAnsi="Abadi" w:cs="*Arial-Bold-6303-Identity-H"/>
          <w:b/>
          <w:bCs/>
          <w:color w:val="0A0A0A"/>
          <w:sz w:val="21"/>
          <w:szCs w:val="21"/>
        </w:rPr>
        <w:t xml:space="preserve">Ley: </w:t>
      </w:r>
      <w:r w:rsidRPr="0097128B">
        <w:rPr>
          <w:rFonts w:ascii="Abadi" w:hAnsi="Abadi" w:cs="*Arial-6302-Identity-H"/>
          <w:color w:val="0A0A0A"/>
          <w:sz w:val="21"/>
          <w:szCs w:val="21"/>
        </w:rPr>
        <w:t xml:space="preserve">la Ley para Fomentar el Acceso al Financiamiento de Pequeñas y Medianas Empresas en el Estado de Guanajuato. </w:t>
      </w:r>
    </w:p>
    <w:p w14:paraId="65FA2DD7" w14:textId="77777777" w:rsidR="00D0323E" w:rsidRDefault="00D0323E" w:rsidP="00D0323E">
      <w:pPr>
        <w:autoSpaceDE w:val="0"/>
        <w:autoSpaceDN w:val="0"/>
        <w:adjustRightInd w:val="0"/>
        <w:jc w:val="both"/>
        <w:rPr>
          <w:rFonts w:ascii="Abadi" w:hAnsi="Abadi" w:cs="*Arial-6302-Identity-H"/>
          <w:color w:val="0A0A0A"/>
          <w:sz w:val="21"/>
          <w:szCs w:val="21"/>
        </w:rPr>
      </w:pPr>
    </w:p>
    <w:p w14:paraId="49BD876B" w14:textId="77777777" w:rsidR="00D0323E" w:rsidRPr="0097128B" w:rsidRDefault="00D0323E" w:rsidP="005433FA">
      <w:pPr>
        <w:pStyle w:val="Prrafodelista"/>
        <w:numPr>
          <w:ilvl w:val="0"/>
          <w:numId w:val="13"/>
        </w:numPr>
        <w:autoSpaceDE w:val="0"/>
        <w:autoSpaceDN w:val="0"/>
        <w:adjustRightInd w:val="0"/>
        <w:contextualSpacing/>
        <w:jc w:val="both"/>
        <w:rPr>
          <w:rFonts w:ascii="Abadi" w:hAnsi="Abadi" w:cs="*Arial-6302-Identity-H"/>
          <w:color w:val="0A0A0A"/>
          <w:sz w:val="21"/>
          <w:szCs w:val="21"/>
        </w:rPr>
      </w:pPr>
      <w:r w:rsidRPr="0097128B">
        <w:rPr>
          <w:rFonts w:ascii="Abadi" w:hAnsi="Abadi" w:cs="*Arial-Bold-6303-Identity-H"/>
          <w:b/>
          <w:bCs/>
          <w:color w:val="0A0A0A"/>
          <w:sz w:val="21"/>
          <w:szCs w:val="21"/>
        </w:rPr>
        <w:t xml:space="preserve">MIPyMES: </w:t>
      </w:r>
      <w:r w:rsidRPr="0097128B">
        <w:rPr>
          <w:rFonts w:ascii="Abadi" w:hAnsi="Abadi" w:cs="*Arial-6302-Identity-H"/>
          <w:color w:val="0A0A0A"/>
          <w:sz w:val="21"/>
          <w:szCs w:val="21"/>
        </w:rPr>
        <w:t xml:space="preserve">Micro, pequeñas y medianas empresas, legalmente constituidas, con </w:t>
      </w:r>
      <w:r w:rsidRPr="0097128B">
        <w:rPr>
          <w:rFonts w:ascii="Abadi" w:hAnsi="Abadi" w:cs="*Arial-6302-Identity-H"/>
          <w:color w:val="0A0A0A"/>
          <w:sz w:val="21"/>
          <w:szCs w:val="21"/>
        </w:rPr>
        <w:t>base en la estratificación establecida en la Ley para el Desarrollo de la Competitividad de la Micro, Pequeña y Mediana Empresa, partiendo de la siguiente:</w:t>
      </w:r>
    </w:p>
    <w:p w14:paraId="0700E672" w14:textId="77777777" w:rsidR="00D0323E" w:rsidRPr="00FA7CEF" w:rsidRDefault="00D0323E" w:rsidP="00D0323E">
      <w:pPr>
        <w:jc w:val="both"/>
        <w:rPr>
          <w:rFonts w:ascii="Abadi" w:hAnsi="Abadi" w:cs="*Arial-6302-Identity-H"/>
          <w:color w:val="0A0A0A"/>
          <w:sz w:val="21"/>
          <w:szCs w:val="21"/>
        </w:rPr>
      </w:pPr>
    </w:p>
    <w:p w14:paraId="48955D55" w14:textId="4A807785" w:rsidR="00D0323E" w:rsidRPr="0097128B" w:rsidRDefault="00277EBF" w:rsidP="00D0323E">
      <w:pPr>
        <w:pStyle w:val="Prrafodelista"/>
        <w:jc w:val="both"/>
        <w:rPr>
          <w:rFonts w:ascii="Abadi" w:hAnsi="Abadi" w:cs="*Arial-6302-Identity-H"/>
          <w:color w:val="0A0A0A"/>
          <w:sz w:val="21"/>
          <w:szCs w:val="21"/>
        </w:rPr>
      </w:pPr>
      <w:r w:rsidRPr="00277EBF">
        <w:rPr>
          <w:rFonts w:ascii="Abadi" w:hAnsi="Abadi" w:cs="*Arial-6302-Identity-H"/>
          <w:noProof/>
          <w:color w:val="0A0A0A"/>
          <w:sz w:val="21"/>
          <w:szCs w:val="21"/>
        </w:rPr>
        <w:drawing>
          <wp:inline distT="0" distB="0" distL="0" distR="0" wp14:anchorId="3D760FBE" wp14:editId="3B75C637">
            <wp:extent cx="2323652" cy="834484"/>
            <wp:effectExtent l="0" t="0" r="635" b="3810"/>
            <wp:docPr id="5" name="Imagen 4">
              <a:extLst xmlns:a="http://schemas.openxmlformats.org/drawingml/2006/main">
                <a:ext uri="{FF2B5EF4-FFF2-40B4-BE49-F238E27FC236}">
                  <a16:creationId xmlns:a16="http://schemas.microsoft.com/office/drawing/2014/main" id="{73F2D1BF-F0D9-B5AD-36E9-FB85C49F6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3F2D1BF-F0D9-B5AD-36E9-FB85C49F68AC}"/>
                        </a:ext>
                      </a:extLst>
                    </pic:cNvPr>
                    <pic:cNvPicPr>
                      <a:picLocks noChangeAspect="1"/>
                    </pic:cNvPicPr>
                  </pic:nvPicPr>
                  <pic:blipFill rotWithShape="1">
                    <a:blip r:embed="rId17"/>
                    <a:srcRect l="15919" t="42041" r="24235" b="19728"/>
                    <a:stretch/>
                  </pic:blipFill>
                  <pic:spPr>
                    <a:xfrm>
                      <a:off x="0" y="0"/>
                      <a:ext cx="2334945" cy="838539"/>
                    </a:xfrm>
                    <a:prstGeom prst="rect">
                      <a:avLst/>
                    </a:prstGeom>
                  </pic:spPr>
                </pic:pic>
              </a:graphicData>
            </a:graphic>
          </wp:inline>
        </w:drawing>
      </w:r>
    </w:p>
    <w:p w14:paraId="252A6F61" w14:textId="77777777" w:rsidR="00D0323E" w:rsidRPr="00FA7CEF" w:rsidRDefault="00D0323E" w:rsidP="00D0323E">
      <w:pPr>
        <w:jc w:val="both"/>
        <w:rPr>
          <w:rFonts w:ascii="Abadi" w:hAnsi="Abadi" w:cs="*Arial-6302-Identity-H"/>
          <w:color w:val="0A0A0A"/>
          <w:sz w:val="21"/>
          <w:szCs w:val="21"/>
        </w:rPr>
      </w:pPr>
    </w:p>
    <w:p w14:paraId="67FFAC7C" w14:textId="77777777" w:rsidR="00D0323E" w:rsidRPr="0097128B" w:rsidRDefault="00D0323E" w:rsidP="005433FA">
      <w:pPr>
        <w:pStyle w:val="Prrafodelista"/>
        <w:numPr>
          <w:ilvl w:val="0"/>
          <w:numId w:val="13"/>
        </w:numPr>
        <w:autoSpaceDE w:val="0"/>
        <w:autoSpaceDN w:val="0"/>
        <w:adjustRightInd w:val="0"/>
        <w:contextualSpacing/>
        <w:jc w:val="both"/>
        <w:rPr>
          <w:rFonts w:ascii="Abadi" w:hAnsi="Abadi" w:cs="*Arial-6800-Identity-H"/>
          <w:color w:val="0B0B0B"/>
          <w:sz w:val="21"/>
          <w:szCs w:val="21"/>
        </w:rPr>
      </w:pPr>
      <w:r w:rsidRPr="0097128B">
        <w:rPr>
          <w:rFonts w:ascii="Abadi" w:hAnsi="Abadi" w:cs="*Arial-Bold-6801-Identity-H"/>
          <w:b/>
          <w:bCs/>
          <w:color w:val="0B0B0B"/>
          <w:sz w:val="21"/>
          <w:szCs w:val="21"/>
        </w:rPr>
        <w:t xml:space="preserve">Perspectiva de Género: </w:t>
      </w:r>
      <w:r w:rsidRPr="0097128B">
        <w:rPr>
          <w:rFonts w:ascii="Abadi" w:hAnsi="Abadi" w:cs="*Arial-6800-Identity-H"/>
          <w:color w:val="0B0B0B"/>
          <w:sz w:val="21"/>
          <w:szCs w:val="21"/>
        </w:rPr>
        <w:t>visión científica, analítica y política sobre las mujeres y los hombres, que propone eliminar las causas de la opresión de género como la desigualdad, la injusticia y la jerarquización de las personas basada en el género. Promueve la igualdad, la equidad, el adelanto y el bienestar de las mujeres; contribuye a construir una sociedad en donde las mujeres y los hombres tengan el mismo valor, la igualdad de derechos y oportunidades, para acceder al desarrollo social y la representación en los ámbitos de toma de decisiones.</w:t>
      </w:r>
    </w:p>
    <w:p w14:paraId="5688FF7D" w14:textId="77777777" w:rsidR="00D0323E" w:rsidRPr="00FA7CEF" w:rsidRDefault="00D0323E" w:rsidP="00D0323E">
      <w:pPr>
        <w:autoSpaceDE w:val="0"/>
        <w:autoSpaceDN w:val="0"/>
        <w:adjustRightInd w:val="0"/>
        <w:jc w:val="both"/>
        <w:rPr>
          <w:rFonts w:ascii="Abadi" w:hAnsi="Abadi" w:cs="*Arial-6800-Identity-H"/>
          <w:color w:val="0B0B0B"/>
          <w:sz w:val="21"/>
          <w:szCs w:val="21"/>
        </w:rPr>
      </w:pPr>
    </w:p>
    <w:p w14:paraId="60BE5492" w14:textId="77777777" w:rsidR="00D0323E" w:rsidRPr="0097128B" w:rsidRDefault="00D0323E" w:rsidP="005433FA">
      <w:pPr>
        <w:pStyle w:val="Prrafodelista"/>
        <w:numPr>
          <w:ilvl w:val="0"/>
          <w:numId w:val="13"/>
        </w:numPr>
        <w:autoSpaceDE w:val="0"/>
        <w:autoSpaceDN w:val="0"/>
        <w:adjustRightInd w:val="0"/>
        <w:contextualSpacing/>
        <w:jc w:val="both"/>
        <w:rPr>
          <w:rFonts w:ascii="Abadi" w:hAnsi="Abadi" w:cs="*Arial-6800-Identity-H"/>
          <w:color w:val="090909"/>
          <w:sz w:val="21"/>
          <w:szCs w:val="21"/>
        </w:rPr>
      </w:pPr>
      <w:r w:rsidRPr="0097128B">
        <w:rPr>
          <w:rFonts w:ascii="Abadi" w:hAnsi="Abadi" w:cs="*Arial-Bold-6801-Identity-H"/>
          <w:b/>
          <w:bCs/>
          <w:color w:val="090909"/>
          <w:sz w:val="21"/>
          <w:szCs w:val="21"/>
        </w:rPr>
        <w:t xml:space="preserve">Programa: </w:t>
      </w:r>
      <w:r w:rsidRPr="0097128B">
        <w:rPr>
          <w:rFonts w:ascii="Abadi" w:hAnsi="Abadi" w:cs="*Arial-6800-Identity-H"/>
          <w:color w:val="090909"/>
          <w:sz w:val="21"/>
          <w:szCs w:val="21"/>
        </w:rPr>
        <w:t>la identificación de los productos y servicios crediticios.</w:t>
      </w:r>
    </w:p>
    <w:p w14:paraId="00BF500A" w14:textId="77777777" w:rsidR="00D0323E" w:rsidRPr="00FA7CEF" w:rsidRDefault="00D0323E" w:rsidP="00D0323E">
      <w:pPr>
        <w:autoSpaceDE w:val="0"/>
        <w:autoSpaceDN w:val="0"/>
        <w:adjustRightInd w:val="0"/>
        <w:jc w:val="both"/>
        <w:rPr>
          <w:rFonts w:ascii="Abadi" w:hAnsi="Abadi" w:cs="*Arial-6800-Identity-H"/>
          <w:color w:val="090909"/>
          <w:sz w:val="21"/>
          <w:szCs w:val="21"/>
        </w:rPr>
      </w:pPr>
    </w:p>
    <w:p w14:paraId="466E51CB" w14:textId="77777777" w:rsidR="00D0323E" w:rsidRPr="0097128B" w:rsidRDefault="00D0323E" w:rsidP="005433FA">
      <w:pPr>
        <w:pStyle w:val="Prrafodelista"/>
        <w:numPr>
          <w:ilvl w:val="0"/>
          <w:numId w:val="13"/>
        </w:numPr>
        <w:autoSpaceDE w:val="0"/>
        <w:autoSpaceDN w:val="0"/>
        <w:adjustRightInd w:val="0"/>
        <w:contextualSpacing/>
        <w:jc w:val="both"/>
        <w:rPr>
          <w:rFonts w:ascii="Abadi" w:hAnsi="Abadi" w:cs="*Arial-6800-Identity-H"/>
          <w:color w:val="0A0A0A"/>
          <w:sz w:val="21"/>
          <w:szCs w:val="21"/>
        </w:rPr>
      </w:pPr>
      <w:r w:rsidRPr="0097128B">
        <w:rPr>
          <w:rFonts w:ascii="Abadi" w:hAnsi="Abadi" w:cs="*Arial-Bold-6801-Identity-H"/>
          <w:b/>
          <w:bCs/>
          <w:color w:val="0A0A0A"/>
          <w:sz w:val="21"/>
          <w:szCs w:val="21"/>
        </w:rPr>
        <w:t xml:space="preserve">Reglas de Operación: </w:t>
      </w:r>
      <w:r w:rsidRPr="0097128B">
        <w:rPr>
          <w:rFonts w:ascii="Abadi" w:hAnsi="Abadi" w:cs="*Arial-6800-Identity-H"/>
          <w:color w:val="0A0A0A"/>
          <w:sz w:val="21"/>
          <w:szCs w:val="21"/>
        </w:rPr>
        <w:t>instrumentos normativos que tienen por objeto normar la ejecución eficiente, eficaz, equitativa y trasparente de los Programas de financiamiento y definen las características y condiciones aplicables para acceder a ellos. Dicho instrumento se emite por la Secretaría.</w:t>
      </w:r>
    </w:p>
    <w:p w14:paraId="1144C180" w14:textId="77777777" w:rsidR="00D0323E" w:rsidRPr="00FA7CEF" w:rsidRDefault="00D0323E" w:rsidP="00D0323E">
      <w:pPr>
        <w:autoSpaceDE w:val="0"/>
        <w:autoSpaceDN w:val="0"/>
        <w:adjustRightInd w:val="0"/>
        <w:jc w:val="both"/>
        <w:rPr>
          <w:rFonts w:ascii="Abadi" w:hAnsi="Abadi" w:cs="*Arial-6800-Identity-H"/>
          <w:color w:val="0A0A0A"/>
          <w:sz w:val="21"/>
          <w:szCs w:val="21"/>
        </w:rPr>
      </w:pPr>
    </w:p>
    <w:p w14:paraId="15C007E5" w14:textId="77777777" w:rsidR="00D0323E" w:rsidRPr="0097128B" w:rsidRDefault="00D0323E" w:rsidP="005433FA">
      <w:pPr>
        <w:pStyle w:val="Prrafodelista"/>
        <w:numPr>
          <w:ilvl w:val="0"/>
          <w:numId w:val="13"/>
        </w:numPr>
        <w:autoSpaceDE w:val="0"/>
        <w:autoSpaceDN w:val="0"/>
        <w:adjustRightInd w:val="0"/>
        <w:contextualSpacing/>
        <w:jc w:val="both"/>
        <w:rPr>
          <w:rFonts w:ascii="Abadi" w:hAnsi="Abadi" w:cs="*Arial-6800-Identity-H"/>
          <w:color w:val="0B0B0B"/>
          <w:sz w:val="21"/>
          <w:szCs w:val="21"/>
        </w:rPr>
      </w:pPr>
      <w:r w:rsidRPr="0097128B">
        <w:rPr>
          <w:rFonts w:ascii="Abadi" w:hAnsi="Abadi" w:cs="*Arial-Bold-6801-Identity-H"/>
          <w:b/>
          <w:bCs/>
          <w:color w:val="0B0B0B"/>
          <w:sz w:val="21"/>
          <w:szCs w:val="21"/>
        </w:rPr>
        <w:t xml:space="preserve">Secretaría: </w:t>
      </w:r>
      <w:r w:rsidRPr="0097128B">
        <w:rPr>
          <w:rFonts w:ascii="Abadi" w:hAnsi="Abadi" w:cs="*Arial-6800-Identity-H"/>
          <w:color w:val="0B0B0B"/>
          <w:sz w:val="21"/>
          <w:szCs w:val="21"/>
        </w:rPr>
        <w:t>la Secretaría de Desarrollo Económico Sustentable</w:t>
      </w:r>
    </w:p>
    <w:p w14:paraId="02FB9F1B" w14:textId="77777777" w:rsidR="00D0323E" w:rsidRDefault="00D0323E" w:rsidP="00D0323E">
      <w:pPr>
        <w:ind w:left="360"/>
        <w:jc w:val="both"/>
        <w:rPr>
          <w:rFonts w:ascii="Abadi" w:hAnsi="Abadi" w:cs="*Arial-BoldItalic-6799-Identity"/>
          <w:b/>
          <w:bCs/>
          <w:i/>
          <w:iCs/>
          <w:color w:val="0A0A0A"/>
          <w:sz w:val="21"/>
          <w:szCs w:val="21"/>
        </w:rPr>
      </w:pPr>
    </w:p>
    <w:p w14:paraId="0A138A28" w14:textId="77777777" w:rsidR="00D0323E" w:rsidRPr="0072456C" w:rsidRDefault="00D0323E" w:rsidP="00FB474C">
      <w:pPr>
        <w:jc w:val="right"/>
        <w:rPr>
          <w:rFonts w:ascii="Abadi" w:hAnsi="Abadi" w:cs="*Arial-BoldItalic-6799-Identity"/>
          <w:b/>
          <w:bCs/>
          <w:i/>
          <w:iCs/>
          <w:color w:val="0A0A0A"/>
          <w:sz w:val="21"/>
          <w:szCs w:val="21"/>
        </w:rPr>
      </w:pPr>
      <w:r w:rsidRPr="0072456C">
        <w:rPr>
          <w:rFonts w:ascii="Abadi" w:hAnsi="Abadi" w:cs="*Arial-BoldItalic-6799-Identity"/>
          <w:b/>
          <w:bCs/>
          <w:i/>
          <w:iCs/>
          <w:color w:val="0A0A0A"/>
          <w:sz w:val="21"/>
          <w:szCs w:val="21"/>
        </w:rPr>
        <w:t>Objetivos</w:t>
      </w:r>
    </w:p>
    <w:p w14:paraId="2AA7CE9E" w14:textId="77777777" w:rsidR="00D0323E" w:rsidRDefault="00D0323E" w:rsidP="00D0323E">
      <w:pPr>
        <w:autoSpaceDE w:val="0"/>
        <w:autoSpaceDN w:val="0"/>
        <w:adjustRightInd w:val="0"/>
        <w:jc w:val="both"/>
        <w:rPr>
          <w:rFonts w:ascii="Abadi" w:hAnsi="Abadi" w:cs="*Arial-5814-Identity-H"/>
          <w:color w:val="0C0C0C"/>
          <w:sz w:val="21"/>
          <w:szCs w:val="21"/>
        </w:rPr>
      </w:pPr>
      <w:r w:rsidRPr="00FA7CEF">
        <w:rPr>
          <w:rFonts w:ascii="Abadi" w:hAnsi="Abadi" w:cs="*Arial-Bold-5815-Identity-H"/>
          <w:b/>
          <w:bCs/>
          <w:color w:val="0C0C0C"/>
          <w:sz w:val="21"/>
          <w:szCs w:val="21"/>
        </w:rPr>
        <w:t xml:space="preserve">ARTÍCULO </w:t>
      </w:r>
      <w:r w:rsidRPr="00FA7CEF">
        <w:rPr>
          <w:rFonts w:ascii="Abadi" w:hAnsi="Abadi" w:cs="*Arial-5814-Identity-H"/>
          <w:color w:val="0C0C0C"/>
          <w:sz w:val="21"/>
          <w:szCs w:val="21"/>
        </w:rPr>
        <w:t>3. Son objetivos de esta Ley:</w:t>
      </w:r>
    </w:p>
    <w:p w14:paraId="02AE42B5" w14:textId="77777777" w:rsidR="00D0323E" w:rsidRPr="00FA7CEF" w:rsidRDefault="00D0323E" w:rsidP="00D0323E">
      <w:pPr>
        <w:autoSpaceDE w:val="0"/>
        <w:autoSpaceDN w:val="0"/>
        <w:adjustRightInd w:val="0"/>
        <w:jc w:val="both"/>
        <w:rPr>
          <w:rFonts w:ascii="Abadi" w:hAnsi="Abadi" w:cs="*Arial-5814-Identity-H"/>
          <w:color w:val="0C0C0C"/>
          <w:sz w:val="21"/>
          <w:szCs w:val="21"/>
        </w:rPr>
      </w:pPr>
    </w:p>
    <w:p w14:paraId="7241D0A3" w14:textId="77777777" w:rsidR="00D0323E" w:rsidRPr="007625AB" w:rsidRDefault="00D0323E" w:rsidP="005433FA">
      <w:pPr>
        <w:pStyle w:val="Prrafodelista"/>
        <w:numPr>
          <w:ilvl w:val="0"/>
          <w:numId w:val="14"/>
        </w:numPr>
        <w:autoSpaceDE w:val="0"/>
        <w:autoSpaceDN w:val="0"/>
        <w:adjustRightInd w:val="0"/>
        <w:contextualSpacing/>
        <w:jc w:val="both"/>
        <w:rPr>
          <w:rFonts w:ascii="Abadi" w:hAnsi="Abadi" w:cs="*Arial-5814-Identity-H"/>
          <w:color w:val="0A0A0A"/>
          <w:sz w:val="21"/>
          <w:szCs w:val="21"/>
        </w:rPr>
      </w:pPr>
      <w:r w:rsidRPr="007625AB">
        <w:rPr>
          <w:rFonts w:ascii="Abadi" w:hAnsi="Abadi" w:cs="*Arial-5814-Identity-H"/>
          <w:color w:val="0A0A0A"/>
          <w:sz w:val="21"/>
          <w:szCs w:val="21"/>
        </w:rPr>
        <w:t>Crear un marco normativo para desarrollar acciones a fin de fomentar, promover y proteger el desarrollo económico sustentable, así como el establecimiento, consolidación, crecimiento y mejora de empresas, empresarios y emprendedores, establecidos o por establecerse en el Estado de Guanajuato;</w:t>
      </w:r>
    </w:p>
    <w:p w14:paraId="61EDEC39" w14:textId="77777777" w:rsidR="00D0323E" w:rsidRDefault="00D0323E" w:rsidP="00D0323E">
      <w:pPr>
        <w:autoSpaceDE w:val="0"/>
        <w:autoSpaceDN w:val="0"/>
        <w:adjustRightInd w:val="0"/>
        <w:jc w:val="both"/>
        <w:rPr>
          <w:rFonts w:ascii="Abadi" w:hAnsi="Abadi" w:cs="*Arial-5814-Identity-H"/>
          <w:color w:val="0A0A0A"/>
          <w:sz w:val="21"/>
          <w:szCs w:val="21"/>
        </w:rPr>
      </w:pPr>
    </w:p>
    <w:p w14:paraId="7F8C2856" w14:textId="77777777" w:rsidR="00D0323E" w:rsidRPr="007625AB" w:rsidRDefault="00D0323E" w:rsidP="005433FA">
      <w:pPr>
        <w:pStyle w:val="Prrafodelista"/>
        <w:numPr>
          <w:ilvl w:val="0"/>
          <w:numId w:val="14"/>
        </w:numPr>
        <w:autoSpaceDE w:val="0"/>
        <w:autoSpaceDN w:val="0"/>
        <w:adjustRightInd w:val="0"/>
        <w:contextualSpacing/>
        <w:jc w:val="both"/>
        <w:rPr>
          <w:rFonts w:ascii="Abadi" w:hAnsi="Abadi" w:cs="*Arial-5814-Identity-H"/>
          <w:color w:val="0A0A0A"/>
          <w:sz w:val="21"/>
          <w:szCs w:val="21"/>
        </w:rPr>
      </w:pPr>
      <w:r w:rsidRPr="007625AB">
        <w:rPr>
          <w:rFonts w:ascii="Abadi" w:hAnsi="Abadi" w:cs="*Arial-5814-Identity-H"/>
          <w:color w:val="0A0A0A"/>
          <w:sz w:val="21"/>
          <w:szCs w:val="21"/>
        </w:rPr>
        <w:t>Establecer una política integral de apoyo a MIPyMES a través de estrategias de acceso a vías crediticias.</w:t>
      </w:r>
    </w:p>
    <w:p w14:paraId="3EF45F15" w14:textId="77777777" w:rsidR="00D0323E" w:rsidRDefault="00D0323E" w:rsidP="00D0323E">
      <w:pPr>
        <w:autoSpaceDE w:val="0"/>
        <w:autoSpaceDN w:val="0"/>
        <w:adjustRightInd w:val="0"/>
        <w:jc w:val="both"/>
        <w:rPr>
          <w:rFonts w:ascii="Abadi" w:hAnsi="Abadi" w:cs="*Arial-5814-Identity-H"/>
          <w:color w:val="0B0B0B"/>
          <w:sz w:val="21"/>
          <w:szCs w:val="21"/>
        </w:rPr>
      </w:pPr>
    </w:p>
    <w:p w14:paraId="3FF07B93" w14:textId="77777777" w:rsidR="00D0323E" w:rsidRPr="007625AB" w:rsidRDefault="00D0323E" w:rsidP="005433FA">
      <w:pPr>
        <w:pStyle w:val="Prrafodelista"/>
        <w:numPr>
          <w:ilvl w:val="0"/>
          <w:numId w:val="14"/>
        </w:numPr>
        <w:autoSpaceDE w:val="0"/>
        <w:autoSpaceDN w:val="0"/>
        <w:adjustRightInd w:val="0"/>
        <w:contextualSpacing/>
        <w:jc w:val="both"/>
        <w:rPr>
          <w:rFonts w:ascii="Abadi" w:hAnsi="Abadi" w:cs="*Arial-5814-Identity-H"/>
          <w:color w:val="0B0B0B"/>
          <w:sz w:val="21"/>
          <w:szCs w:val="21"/>
        </w:rPr>
      </w:pPr>
      <w:r w:rsidRPr="007625AB">
        <w:rPr>
          <w:rFonts w:ascii="Abadi" w:hAnsi="Abadi" w:cs="*Arial-5814-Identity-H"/>
          <w:color w:val="0B0B0B"/>
          <w:sz w:val="21"/>
          <w:szCs w:val="21"/>
        </w:rPr>
        <w:t>Contribuir al desarrollo económico del estado a través del otorgamiento de financiamientos que fomenten la creación, consolidación y competitividad de las MIPyMES.</w:t>
      </w:r>
    </w:p>
    <w:p w14:paraId="07C1932B" w14:textId="77777777" w:rsidR="00D0323E" w:rsidRPr="00FA7CEF" w:rsidRDefault="00D0323E" w:rsidP="00D0323E">
      <w:pPr>
        <w:autoSpaceDE w:val="0"/>
        <w:autoSpaceDN w:val="0"/>
        <w:adjustRightInd w:val="0"/>
        <w:jc w:val="both"/>
        <w:rPr>
          <w:rFonts w:ascii="Abadi" w:hAnsi="Abadi" w:cs="*Arial-5814-Identity-H"/>
          <w:color w:val="0B0B0B"/>
          <w:sz w:val="21"/>
          <w:szCs w:val="21"/>
        </w:rPr>
      </w:pPr>
    </w:p>
    <w:p w14:paraId="28378727" w14:textId="77777777" w:rsidR="00D0323E" w:rsidRPr="007625AB" w:rsidRDefault="00D0323E" w:rsidP="005433FA">
      <w:pPr>
        <w:pStyle w:val="Prrafodelista"/>
        <w:numPr>
          <w:ilvl w:val="0"/>
          <w:numId w:val="14"/>
        </w:numPr>
        <w:autoSpaceDE w:val="0"/>
        <w:autoSpaceDN w:val="0"/>
        <w:adjustRightInd w:val="0"/>
        <w:contextualSpacing/>
        <w:jc w:val="both"/>
        <w:rPr>
          <w:rFonts w:ascii="Abadi" w:hAnsi="Abadi" w:cs="*Arial-5814-Identity-H"/>
          <w:color w:val="0A0A0A"/>
          <w:sz w:val="21"/>
          <w:szCs w:val="21"/>
        </w:rPr>
      </w:pPr>
      <w:r w:rsidRPr="007625AB">
        <w:rPr>
          <w:rFonts w:ascii="Abadi" w:hAnsi="Abadi" w:cs="*Arial-5814-Identity-H"/>
          <w:color w:val="0A0A0A"/>
          <w:sz w:val="21"/>
          <w:szCs w:val="21"/>
        </w:rPr>
        <w:t>Fomentar el acceso al crédito, en particular a las MIPyMES para el desarrollo de proyectos que promuevan la inversión productiva, que permitan generar más y mejores empleos, más y mejores micro, pequeñas y medianas empresas, y más y mejores emprendedores.</w:t>
      </w:r>
    </w:p>
    <w:p w14:paraId="7548B549" w14:textId="77777777" w:rsidR="00D0323E" w:rsidRPr="00FA7CEF" w:rsidRDefault="00D0323E" w:rsidP="00D0323E">
      <w:pPr>
        <w:jc w:val="both"/>
        <w:rPr>
          <w:rFonts w:ascii="Abadi" w:hAnsi="Abadi" w:cs="*Arial-5814-Identity-H"/>
          <w:color w:val="0A0A0A"/>
          <w:sz w:val="21"/>
          <w:szCs w:val="21"/>
        </w:rPr>
      </w:pPr>
    </w:p>
    <w:p w14:paraId="015FB4B9" w14:textId="77777777" w:rsidR="00D0323E" w:rsidRPr="007625AB" w:rsidRDefault="00D0323E" w:rsidP="005433FA">
      <w:pPr>
        <w:pStyle w:val="Prrafodelista"/>
        <w:numPr>
          <w:ilvl w:val="0"/>
          <w:numId w:val="14"/>
        </w:numPr>
        <w:autoSpaceDE w:val="0"/>
        <w:autoSpaceDN w:val="0"/>
        <w:adjustRightInd w:val="0"/>
        <w:contextualSpacing/>
        <w:jc w:val="both"/>
        <w:rPr>
          <w:rFonts w:ascii="Abadi" w:hAnsi="Abadi" w:cs="*Arial-5404-Identity-H"/>
          <w:color w:val="0B0B0B"/>
          <w:sz w:val="21"/>
          <w:szCs w:val="21"/>
        </w:rPr>
      </w:pPr>
      <w:r w:rsidRPr="007625AB">
        <w:rPr>
          <w:rFonts w:ascii="Abadi" w:hAnsi="Abadi" w:cs="*Arial-5404-Identity-H"/>
          <w:color w:val="0B0B0B"/>
          <w:sz w:val="21"/>
          <w:szCs w:val="21"/>
        </w:rPr>
        <w:t xml:space="preserve">Facilitar el acceso al financiamiento a través de estrategias de coordinación con la banca de desarrollo. </w:t>
      </w:r>
    </w:p>
    <w:p w14:paraId="4FA4D2C8" w14:textId="77777777" w:rsidR="00D0323E" w:rsidRDefault="00D0323E" w:rsidP="00D0323E">
      <w:pPr>
        <w:autoSpaceDE w:val="0"/>
        <w:autoSpaceDN w:val="0"/>
        <w:adjustRightInd w:val="0"/>
        <w:jc w:val="both"/>
        <w:rPr>
          <w:rFonts w:ascii="Abadi" w:hAnsi="Abadi" w:cs="*Arial-5404-Identity-H"/>
          <w:color w:val="0B0B0B"/>
          <w:sz w:val="21"/>
          <w:szCs w:val="21"/>
        </w:rPr>
      </w:pPr>
    </w:p>
    <w:p w14:paraId="013717A1" w14:textId="77777777" w:rsidR="00D0323E" w:rsidRPr="007625AB" w:rsidRDefault="00D0323E" w:rsidP="005433FA">
      <w:pPr>
        <w:pStyle w:val="Prrafodelista"/>
        <w:numPr>
          <w:ilvl w:val="0"/>
          <w:numId w:val="14"/>
        </w:numPr>
        <w:autoSpaceDE w:val="0"/>
        <w:autoSpaceDN w:val="0"/>
        <w:adjustRightInd w:val="0"/>
        <w:contextualSpacing/>
        <w:jc w:val="both"/>
        <w:rPr>
          <w:rFonts w:ascii="Abadi" w:hAnsi="Abadi" w:cs="*Arial-5404-Identity-H"/>
          <w:color w:val="090909"/>
          <w:sz w:val="21"/>
          <w:szCs w:val="21"/>
        </w:rPr>
      </w:pPr>
      <w:r w:rsidRPr="007625AB">
        <w:rPr>
          <w:rFonts w:ascii="Abadi" w:hAnsi="Abadi" w:cs="*Arial-5404-Identity-H"/>
          <w:color w:val="090909"/>
          <w:sz w:val="21"/>
          <w:szCs w:val="21"/>
        </w:rPr>
        <w:t>Promover el acceso a alternativas de financiamiento competitivas con la finalidad de fomentar el empleo y el bienestar social y económico de todos los participantes en la micro, pequeña y mediana empresa.</w:t>
      </w:r>
    </w:p>
    <w:p w14:paraId="399239AE" w14:textId="77777777" w:rsidR="00D0323E" w:rsidRDefault="00D0323E" w:rsidP="00D0323E">
      <w:pPr>
        <w:autoSpaceDE w:val="0"/>
        <w:autoSpaceDN w:val="0"/>
        <w:adjustRightInd w:val="0"/>
        <w:jc w:val="both"/>
        <w:rPr>
          <w:rFonts w:ascii="Abadi" w:hAnsi="Abadi" w:cs="*Arial-5404-Identity-H"/>
          <w:color w:val="090909"/>
          <w:sz w:val="21"/>
          <w:szCs w:val="21"/>
        </w:rPr>
      </w:pPr>
    </w:p>
    <w:p w14:paraId="39BB98E9" w14:textId="77777777" w:rsidR="00D0323E" w:rsidRPr="007625AB" w:rsidRDefault="00D0323E" w:rsidP="005433FA">
      <w:pPr>
        <w:pStyle w:val="Prrafodelista"/>
        <w:numPr>
          <w:ilvl w:val="0"/>
          <w:numId w:val="14"/>
        </w:numPr>
        <w:autoSpaceDE w:val="0"/>
        <w:autoSpaceDN w:val="0"/>
        <w:adjustRightInd w:val="0"/>
        <w:contextualSpacing/>
        <w:jc w:val="both"/>
        <w:rPr>
          <w:rFonts w:ascii="Abadi" w:hAnsi="Abadi" w:cs="*Arial-5404-Identity-H"/>
          <w:color w:val="090909"/>
          <w:sz w:val="21"/>
          <w:szCs w:val="21"/>
        </w:rPr>
      </w:pPr>
      <w:r w:rsidRPr="007625AB">
        <w:rPr>
          <w:rFonts w:ascii="Abadi" w:hAnsi="Abadi" w:cs="*Arial-5404-Identity-H"/>
          <w:color w:val="090909"/>
          <w:sz w:val="21"/>
          <w:szCs w:val="21"/>
        </w:rPr>
        <w:t>Fomentar el desarrollo de programas de financiamiento que apoyen el diseño y ejecución de proyectos productivos en el estado.</w:t>
      </w:r>
    </w:p>
    <w:p w14:paraId="6CE5F9A2" w14:textId="77777777" w:rsidR="00D0323E" w:rsidRDefault="00D0323E" w:rsidP="00D0323E">
      <w:pPr>
        <w:autoSpaceDE w:val="0"/>
        <w:autoSpaceDN w:val="0"/>
        <w:adjustRightInd w:val="0"/>
        <w:jc w:val="both"/>
        <w:rPr>
          <w:rFonts w:ascii="Abadi" w:hAnsi="Abadi" w:cs="*Arial-5404-Identity-H"/>
          <w:color w:val="090909"/>
          <w:sz w:val="21"/>
          <w:szCs w:val="21"/>
        </w:rPr>
      </w:pPr>
    </w:p>
    <w:p w14:paraId="4DA6B7A2" w14:textId="77777777" w:rsidR="00D0323E" w:rsidRPr="007625AB" w:rsidRDefault="00D0323E" w:rsidP="005433FA">
      <w:pPr>
        <w:pStyle w:val="Prrafodelista"/>
        <w:numPr>
          <w:ilvl w:val="0"/>
          <w:numId w:val="14"/>
        </w:numPr>
        <w:autoSpaceDE w:val="0"/>
        <w:autoSpaceDN w:val="0"/>
        <w:adjustRightInd w:val="0"/>
        <w:contextualSpacing/>
        <w:jc w:val="both"/>
        <w:rPr>
          <w:rFonts w:ascii="Abadi" w:hAnsi="Abadi" w:cs="*Arial-5404-Identity-H"/>
          <w:color w:val="090909"/>
          <w:sz w:val="21"/>
          <w:szCs w:val="21"/>
        </w:rPr>
      </w:pPr>
      <w:r w:rsidRPr="007625AB">
        <w:rPr>
          <w:rFonts w:ascii="Abadi" w:hAnsi="Abadi" w:cs="*Arial-5404-Identity-H"/>
          <w:color w:val="090909"/>
          <w:sz w:val="21"/>
          <w:szCs w:val="21"/>
        </w:rPr>
        <w:t>Impulsar el aumento de la productividad de las MIPyMES y promover el crecimiento, desarrollo y consolidación de sus servicios a través de productos crediticios.</w:t>
      </w:r>
    </w:p>
    <w:p w14:paraId="0FDF9E64" w14:textId="77777777" w:rsidR="00D0323E" w:rsidRDefault="00D0323E" w:rsidP="00D0323E">
      <w:pPr>
        <w:autoSpaceDE w:val="0"/>
        <w:autoSpaceDN w:val="0"/>
        <w:adjustRightInd w:val="0"/>
        <w:jc w:val="both"/>
        <w:rPr>
          <w:rFonts w:ascii="Abadi" w:hAnsi="Abadi" w:cs="*Arial-5404-Identity-H"/>
          <w:color w:val="090909"/>
          <w:sz w:val="21"/>
          <w:szCs w:val="21"/>
        </w:rPr>
      </w:pPr>
    </w:p>
    <w:p w14:paraId="10CC2252" w14:textId="77777777" w:rsidR="00D0323E" w:rsidRPr="007625AB" w:rsidRDefault="00D0323E" w:rsidP="005433FA">
      <w:pPr>
        <w:pStyle w:val="Prrafodelista"/>
        <w:numPr>
          <w:ilvl w:val="0"/>
          <w:numId w:val="14"/>
        </w:numPr>
        <w:autoSpaceDE w:val="0"/>
        <w:autoSpaceDN w:val="0"/>
        <w:adjustRightInd w:val="0"/>
        <w:contextualSpacing/>
        <w:jc w:val="both"/>
        <w:rPr>
          <w:rFonts w:ascii="Abadi" w:hAnsi="Abadi" w:cs="*Arial-5404-Identity-H"/>
          <w:color w:val="090909"/>
          <w:sz w:val="21"/>
          <w:szCs w:val="21"/>
        </w:rPr>
      </w:pPr>
      <w:r w:rsidRPr="007625AB">
        <w:rPr>
          <w:rFonts w:ascii="Abadi" w:hAnsi="Abadi" w:cs="*Arial-5404-Identity-H"/>
          <w:color w:val="090909"/>
          <w:sz w:val="21"/>
          <w:szCs w:val="21"/>
        </w:rPr>
        <w:t>Fomentar la capacidad productiva, competitiva y desarrollo económico a través de programas de asesoría y capacitación.</w:t>
      </w:r>
    </w:p>
    <w:p w14:paraId="024D5BEA" w14:textId="77777777" w:rsidR="00D0323E" w:rsidRPr="00FA7CEF" w:rsidRDefault="00D0323E" w:rsidP="00D0323E">
      <w:pPr>
        <w:jc w:val="both"/>
        <w:rPr>
          <w:rFonts w:ascii="Abadi" w:hAnsi="Abadi" w:cs="*Arial-5404-Identity-H"/>
          <w:color w:val="090909"/>
          <w:sz w:val="21"/>
          <w:szCs w:val="21"/>
        </w:rPr>
      </w:pPr>
    </w:p>
    <w:p w14:paraId="6CCBD55B" w14:textId="77777777" w:rsidR="00D0323E" w:rsidRPr="007625AB" w:rsidRDefault="00D0323E" w:rsidP="005433FA">
      <w:pPr>
        <w:pStyle w:val="Prrafodelista"/>
        <w:numPr>
          <w:ilvl w:val="0"/>
          <w:numId w:val="14"/>
        </w:numPr>
        <w:autoSpaceDE w:val="0"/>
        <w:autoSpaceDN w:val="0"/>
        <w:adjustRightInd w:val="0"/>
        <w:contextualSpacing/>
        <w:jc w:val="both"/>
        <w:rPr>
          <w:rFonts w:ascii="Abadi" w:hAnsi="Abadi" w:cs="*Arial-6076-Identity-H"/>
          <w:color w:val="090909"/>
          <w:sz w:val="21"/>
          <w:szCs w:val="21"/>
        </w:rPr>
      </w:pPr>
      <w:r w:rsidRPr="007625AB">
        <w:rPr>
          <w:rFonts w:ascii="Abadi" w:hAnsi="Abadi" w:cs="*Arial-6076-Identity-H"/>
          <w:color w:val="090909"/>
          <w:sz w:val="21"/>
          <w:szCs w:val="21"/>
        </w:rPr>
        <w:t>Promover la inclusión financiera y el acceso a productos crediticios bajo una perspectiva de género a fin de contribuir a construir una sociedad en donde las mujeres y los hombres tengan el mismo valor así como la igualdad de derechos y oportunidades para acceder al desarrollo social.</w:t>
      </w:r>
    </w:p>
    <w:p w14:paraId="62C4EA7C" w14:textId="77777777" w:rsidR="00D0323E" w:rsidRPr="00FA7CEF" w:rsidRDefault="00D0323E" w:rsidP="00D0323E">
      <w:pPr>
        <w:autoSpaceDE w:val="0"/>
        <w:autoSpaceDN w:val="0"/>
        <w:adjustRightInd w:val="0"/>
        <w:jc w:val="both"/>
        <w:rPr>
          <w:rFonts w:ascii="Abadi" w:hAnsi="Abadi" w:cs="*Arial-6076-Identity-H"/>
          <w:color w:val="090909"/>
          <w:sz w:val="21"/>
          <w:szCs w:val="21"/>
        </w:rPr>
      </w:pPr>
    </w:p>
    <w:p w14:paraId="37649381" w14:textId="77777777" w:rsidR="00D0323E" w:rsidRPr="007625AB" w:rsidRDefault="00D0323E" w:rsidP="005433FA">
      <w:pPr>
        <w:pStyle w:val="Prrafodelista"/>
        <w:numPr>
          <w:ilvl w:val="0"/>
          <w:numId w:val="14"/>
        </w:numPr>
        <w:autoSpaceDE w:val="0"/>
        <w:autoSpaceDN w:val="0"/>
        <w:adjustRightInd w:val="0"/>
        <w:contextualSpacing/>
        <w:jc w:val="both"/>
        <w:rPr>
          <w:rFonts w:ascii="Abadi" w:hAnsi="Abadi" w:cs="*Arial-6076-Identity-H"/>
          <w:color w:val="0A0A0A"/>
          <w:sz w:val="21"/>
          <w:szCs w:val="21"/>
        </w:rPr>
      </w:pPr>
      <w:r w:rsidRPr="007625AB">
        <w:rPr>
          <w:rFonts w:ascii="Abadi" w:hAnsi="Abadi" w:cs="*Arial-6076-Identity-H"/>
          <w:color w:val="0A0A0A"/>
          <w:sz w:val="21"/>
          <w:szCs w:val="21"/>
        </w:rPr>
        <w:t>Promover productos financieros desde lo local.</w:t>
      </w:r>
    </w:p>
    <w:p w14:paraId="287B8A64" w14:textId="77777777" w:rsidR="00D0323E" w:rsidRPr="00FA7CEF" w:rsidRDefault="00D0323E" w:rsidP="00D0323E">
      <w:pPr>
        <w:autoSpaceDE w:val="0"/>
        <w:autoSpaceDN w:val="0"/>
        <w:adjustRightInd w:val="0"/>
        <w:jc w:val="both"/>
        <w:rPr>
          <w:rFonts w:ascii="Abadi" w:hAnsi="Abadi" w:cs="*Arial-6076-Identity-H"/>
          <w:color w:val="0A0A0A"/>
          <w:sz w:val="21"/>
          <w:szCs w:val="21"/>
        </w:rPr>
      </w:pPr>
    </w:p>
    <w:p w14:paraId="2678DF98" w14:textId="77777777" w:rsidR="00D0323E" w:rsidRPr="007625AB" w:rsidRDefault="00D0323E" w:rsidP="005433FA">
      <w:pPr>
        <w:pStyle w:val="Prrafodelista"/>
        <w:numPr>
          <w:ilvl w:val="0"/>
          <w:numId w:val="14"/>
        </w:numPr>
        <w:autoSpaceDE w:val="0"/>
        <w:autoSpaceDN w:val="0"/>
        <w:adjustRightInd w:val="0"/>
        <w:contextualSpacing/>
        <w:jc w:val="both"/>
        <w:rPr>
          <w:rFonts w:ascii="Abadi" w:hAnsi="Abadi" w:cs="*Arial-6076-Identity-H"/>
          <w:color w:val="090909"/>
          <w:sz w:val="21"/>
          <w:szCs w:val="21"/>
        </w:rPr>
      </w:pPr>
      <w:r w:rsidRPr="007625AB">
        <w:rPr>
          <w:rFonts w:ascii="Abadi" w:hAnsi="Abadi" w:cs="*Arial-6076-Identity-H"/>
          <w:color w:val="090909"/>
          <w:sz w:val="21"/>
          <w:szCs w:val="21"/>
        </w:rPr>
        <w:t>Fomentar la vinculación con políticas impulsadas por la Banca de Desarrollo, así como con entidades y organismos del sector privado en el cumplimiento del objeto de la presente Ley,</w:t>
      </w:r>
    </w:p>
    <w:p w14:paraId="062685B7" w14:textId="77777777" w:rsidR="00D0323E" w:rsidRDefault="00D0323E" w:rsidP="00D0323E">
      <w:pPr>
        <w:autoSpaceDE w:val="0"/>
        <w:autoSpaceDN w:val="0"/>
        <w:adjustRightInd w:val="0"/>
        <w:jc w:val="both"/>
        <w:rPr>
          <w:rFonts w:ascii="Abadi" w:hAnsi="Abadi" w:cs="*Arial-6076-Identity-H"/>
          <w:color w:val="0A0A0A"/>
          <w:sz w:val="21"/>
          <w:szCs w:val="21"/>
        </w:rPr>
      </w:pPr>
    </w:p>
    <w:p w14:paraId="0EE47980" w14:textId="77777777" w:rsidR="00D0323E" w:rsidRPr="007625AB" w:rsidRDefault="00D0323E" w:rsidP="005433FA">
      <w:pPr>
        <w:pStyle w:val="Prrafodelista"/>
        <w:numPr>
          <w:ilvl w:val="0"/>
          <w:numId w:val="14"/>
        </w:numPr>
        <w:autoSpaceDE w:val="0"/>
        <w:autoSpaceDN w:val="0"/>
        <w:adjustRightInd w:val="0"/>
        <w:contextualSpacing/>
        <w:jc w:val="both"/>
        <w:rPr>
          <w:rFonts w:ascii="Abadi" w:hAnsi="Abadi" w:cs="*Arial-6076-Identity-H"/>
          <w:color w:val="0A0A0A"/>
          <w:sz w:val="21"/>
          <w:szCs w:val="21"/>
        </w:rPr>
      </w:pPr>
      <w:r w:rsidRPr="007625AB">
        <w:rPr>
          <w:rFonts w:ascii="Abadi" w:hAnsi="Abadi" w:cs="*Arial-6076-Identity-H"/>
          <w:color w:val="0A0A0A"/>
          <w:sz w:val="21"/>
          <w:szCs w:val="21"/>
        </w:rPr>
        <w:t xml:space="preserve">Impulsar el capital emprendedor en la entidad, con particular enfoque de apoyos a la juventud de la entidad. </w:t>
      </w:r>
    </w:p>
    <w:p w14:paraId="6E15E9EE" w14:textId="77777777" w:rsidR="00D0323E" w:rsidRDefault="00D0323E" w:rsidP="00D0323E">
      <w:pPr>
        <w:autoSpaceDE w:val="0"/>
        <w:autoSpaceDN w:val="0"/>
        <w:adjustRightInd w:val="0"/>
        <w:jc w:val="both"/>
        <w:rPr>
          <w:rFonts w:ascii="Abadi" w:hAnsi="Abadi" w:cs="*Arial-6076-Identity-H"/>
          <w:color w:val="090909"/>
          <w:sz w:val="21"/>
          <w:szCs w:val="21"/>
        </w:rPr>
      </w:pPr>
    </w:p>
    <w:p w14:paraId="59BC45C5" w14:textId="77777777" w:rsidR="00D0323E" w:rsidRPr="007625AB" w:rsidRDefault="00D0323E" w:rsidP="005433FA">
      <w:pPr>
        <w:pStyle w:val="Prrafodelista"/>
        <w:numPr>
          <w:ilvl w:val="0"/>
          <w:numId w:val="14"/>
        </w:numPr>
        <w:autoSpaceDE w:val="0"/>
        <w:autoSpaceDN w:val="0"/>
        <w:adjustRightInd w:val="0"/>
        <w:contextualSpacing/>
        <w:jc w:val="both"/>
        <w:rPr>
          <w:rFonts w:ascii="Abadi" w:hAnsi="Abadi" w:cs="*Arial-6076-Identity-H"/>
          <w:color w:val="090909"/>
          <w:sz w:val="21"/>
          <w:szCs w:val="21"/>
        </w:rPr>
      </w:pPr>
      <w:r w:rsidRPr="007625AB">
        <w:rPr>
          <w:rFonts w:ascii="Abadi" w:hAnsi="Abadi" w:cs="*Arial-6076-Identity-H"/>
          <w:color w:val="090909"/>
          <w:sz w:val="21"/>
          <w:szCs w:val="21"/>
        </w:rPr>
        <w:t>Garantizar la existencia de indicadores que permitan evaluar las políticas crediticias orientadas a las MIPyMES, así como su procurar la sostenibilidad financiera en el mediano y largo plazos.</w:t>
      </w:r>
    </w:p>
    <w:p w14:paraId="26CD8F94" w14:textId="77777777" w:rsidR="00D0323E" w:rsidRDefault="00D0323E" w:rsidP="00D0323E">
      <w:pPr>
        <w:jc w:val="both"/>
        <w:rPr>
          <w:rFonts w:ascii="Abadi" w:hAnsi="Abadi" w:cs="*Arial-Bold-6075-Identity-H"/>
          <w:b/>
          <w:bCs/>
          <w:color w:val="0C0C0C"/>
          <w:sz w:val="21"/>
          <w:szCs w:val="21"/>
        </w:rPr>
      </w:pPr>
    </w:p>
    <w:p w14:paraId="3709E1A8" w14:textId="77777777" w:rsidR="00D0323E" w:rsidRPr="00FA7CEF" w:rsidRDefault="00D0323E" w:rsidP="00D0323E">
      <w:pPr>
        <w:jc w:val="center"/>
        <w:rPr>
          <w:rFonts w:ascii="Abadi" w:hAnsi="Abadi" w:cs="*Arial-Bold-6075-Identity-H"/>
          <w:b/>
          <w:bCs/>
          <w:color w:val="0C0C0C"/>
          <w:sz w:val="21"/>
          <w:szCs w:val="21"/>
        </w:rPr>
      </w:pPr>
      <w:r w:rsidRPr="00FA7CEF">
        <w:rPr>
          <w:rFonts w:ascii="Abadi" w:hAnsi="Abadi" w:cs="*Arial-Bold-6075-Identity-H"/>
          <w:b/>
          <w:bCs/>
          <w:color w:val="0C0C0C"/>
          <w:sz w:val="21"/>
          <w:szCs w:val="21"/>
        </w:rPr>
        <w:t xml:space="preserve">Capítulo </w:t>
      </w:r>
      <w:r>
        <w:rPr>
          <w:rFonts w:ascii="Abadi" w:hAnsi="Abadi" w:cs="*Arial-Bold-6075-Identity-H"/>
          <w:b/>
          <w:bCs/>
          <w:color w:val="0C0C0C"/>
          <w:sz w:val="21"/>
          <w:szCs w:val="21"/>
        </w:rPr>
        <w:t>II</w:t>
      </w:r>
    </w:p>
    <w:p w14:paraId="1122A90D" w14:textId="77777777" w:rsidR="00D0323E" w:rsidRDefault="00D0323E" w:rsidP="00D0323E">
      <w:pPr>
        <w:autoSpaceDE w:val="0"/>
        <w:autoSpaceDN w:val="0"/>
        <w:adjustRightInd w:val="0"/>
        <w:jc w:val="center"/>
        <w:rPr>
          <w:rFonts w:ascii="Abadi" w:hAnsi="Abadi" w:cs="*Arial-Bold-7305-Identity-H"/>
          <w:b/>
          <w:bCs/>
          <w:color w:val="101010"/>
          <w:sz w:val="21"/>
          <w:szCs w:val="21"/>
        </w:rPr>
      </w:pPr>
      <w:r w:rsidRPr="00FA7CEF">
        <w:rPr>
          <w:rFonts w:ascii="Abadi" w:hAnsi="Abadi" w:cs="*Arial-Bold-7305-Identity-H"/>
          <w:b/>
          <w:bCs/>
          <w:color w:val="101010"/>
          <w:sz w:val="21"/>
          <w:szCs w:val="21"/>
        </w:rPr>
        <w:t>Del vehículo para promover el acceso al financiamiento de las</w:t>
      </w:r>
      <w:r>
        <w:rPr>
          <w:rFonts w:ascii="Abadi" w:hAnsi="Abadi" w:cs="*Arial-Bold-7305-Identity-H"/>
          <w:b/>
          <w:bCs/>
          <w:color w:val="101010"/>
          <w:sz w:val="21"/>
          <w:szCs w:val="21"/>
        </w:rPr>
        <w:t xml:space="preserve"> </w:t>
      </w:r>
      <w:r w:rsidRPr="00FA7CEF">
        <w:rPr>
          <w:rFonts w:ascii="Abadi" w:hAnsi="Abadi" w:cs="*Arial-Bold-7305-Identity-H"/>
          <w:b/>
          <w:bCs/>
          <w:color w:val="101010"/>
          <w:sz w:val="21"/>
          <w:szCs w:val="21"/>
        </w:rPr>
        <w:t>MIPyMES</w:t>
      </w:r>
    </w:p>
    <w:p w14:paraId="79BC01FB" w14:textId="77777777" w:rsidR="00D0323E" w:rsidRDefault="00D0323E" w:rsidP="00D0323E">
      <w:pPr>
        <w:autoSpaceDE w:val="0"/>
        <w:autoSpaceDN w:val="0"/>
        <w:adjustRightInd w:val="0"/>
        <w:ind w:left="7080"/>
        <w:rPr>
          <w:rFonts w:ascii="Abadi" w:hAnsi="Abadi" w:cs="*Arial-Bold-7305-Identity-H"/>
          <w:b/>
          <w:bCs/>
          <w:color w:val="101010"/>
          <w:sz w:val="21"/>
          <w:szCs w:val="21"/>
        </w:rPr>
      </w:pPr>
    </w:p>
    <w:p w14:paraId="3CA4E51B" w14:textId="77777777" w:rsidR="00D0323E" w:rsidRPr="00FA7CEF" w:rsidRDefault="00D0323E" w:rsidP="00D0323E">
      <w:pPr>
        <w:autoSpaceDE w:val="0"/>
        <w:autoSpaceDN w:val="0"/>
        <w:adjustRightInd w:val="0"/>
        <w:rPr>
          <w:rFonts w:ascii="Abadi" w:hAnsi="Abadi" w:cs="*Arial-BoldItalic-7304-Identity"/>
          <w:b/>
          <w:bCs/>
          <w:i/>
          <w:iCs/>
          <w:color w:val="0B0B0B"/>
          <w:sz w:val="21"/>
          <w:szCs w:val="21"/>
        </w:rPr>
      </w:pPr>
      <w:r w:rsidRPr="00FA7CEF">
        <w:rPr>
          <w:rFonts w:ascii="Abadi" w:hAnsi="Abadi" w:cs="*Arial-BoldItalic-7304-Identity"/>
          <w:b/>
          <w:bCs/>
          <w:i/>
          <w:iCs/>
          <w:color w:val="0B0B0B"/>
          <w:sz w:val="21"/>
          <w:szCs w:val="21"/>
        </w:rPr>
        <w:t>Vehículo legal</w:t>
      </w:r>
      <w:r>
        <w:rPr>
          <w:rFonts w:ascii="Abadi" w:hAnsi="Abadi" w:cs="*Arial-BoldItalic-7304-Identity"/>
          <w:b/>
          <w:bCs/>
          <w:i/>
          <w:iCs/>
          <w:color w:val="0B0B0B"/>
          <w:sz w:val="21"/>
          <w:szCs w:val="21"/>
        </w:rPr>
        <w:tab/>
      </w:r>
    </w:p>
    <w:p w14:paraId="1CF61E71" w14:textId="77777777" w:rsidR="00D0323E" w:rsidRPr="00FA7CEF" w:rsidRDefault="00D0323E" w:rsidP="00D0323E">
      <w:pPr>
        <w:autoSpaceDE w:val="0"/>
        <w:autoSpaceDN w:val="0"/>
        <w:adjustRightInd w:val="0"/>
        <w:jc w:val="both"/>
        <w:rPr>
          <w:rFonts w:ascii="Abadi" w:hAnsi="Abadi" w:cs="*Arial-7302-Identity-H"/>
          <w:color w:val="0A0A0A"/>
          <w:sz w:val="21"/>
          <w:szCs w:val="21"/>
        </w:rPr>
      </w:pPr>
      <w:r w:rsidRPr="00FA7CEF">
        <w:rPr>
          <w:rFonts w:ascii="Abadi" w:hAnsi="Abadi" w:cs="*Arial-Bold-7303-Identity-H"/>
          <w:b/>
          <w:bCs/>
          <w:color w:val="0A0A0A"/>
          <w:sz w:val="21"/>
          <w:szCs w:val="21"/>
        </w:rPr>
        <w:t xml:space="preserve">ARTÍCULO </w:t>
      </w:r>
      <w:r w:rsidRPr="000616BB">
        <w:rPr>
          <w:rFonts w:ascii="Abadi" w:hAnsi="Abadi" w:cs="*Arial-7302-Identity-H"/>
          <w:b/>
          <w:bCs/>
          <w:color w:val="0A0A0A"/>
          <w:sz w:val="21"/>
          <w:szCs w:val="21"/>
        </w:rPr>
        <w:t>4.</w:t>
      </w:r>
      <w:r w:rsidRPr="00FA7CEF">
        <w:rPr>
          <w:rFonts w:ascii="Abadi" w:hAnsi="Abadi" w:cs="*Arial-7302-Identity-H"/>
          <w:color w:val="0A0A0A"/>
          <w:sz w:val="21"/>
          <w:szCs w:val="21"/>
        </w:rPr>
        <w:t xml:space="preserve"> El Poder Ejecutivo contará con un vehículo legal y</w:t>
      </w:r>
      <w:r>
        <w:rPr>
          <w:rFonts w:ascii="Abadi" w:hAnsi="Abadi" w:cs="*Arial-7302-Identity-H"/>
          <w:color w:val="0A0A0A"/>
          <w:sz w:val="21"/>
          <w:szCs w:val="21"/>
        </w:rPr>
        <w:t xml:space="preserve"> </w:t>
      </w:r>
      <w:r w:rsidRPr="00FA7CEF">
        <w:rPr>
          <w:rFonts w:ascii="Abadi" w:hAnsi="Abadi" w:cs="*Arial-7302-Identity-H"/>
          <w:color w:val="0A0A0A"/>
          <w:sz w:val="21"/>
          <w:szCs w:val="21"/>
        </w:rPr>
        <w:t>administrativo responsable del cumplimiento del objeto de la presente</w:t>
      </w:r>
      <w:r>
        <w:rPr>
          <w:rFonts w:ascii="Abadi" w:hAnsi="Abadi" w:cs="*Arial-7302-Identity-H"/>
          <w:color w:val="0A0A0A"/>
          <w:sz w:val="21"/>
          <w:szCs w:val="21"/>
        </w:rPr>
        <w:t xml:space="preserve"> </w:t>
      </w:r>
      <w:r w:rsidRPr="00FA7CEF">
        <w:rPr>
          <w:rFonts w:ascii="Abadi" w:hAnsi="Abadi" w:cs="*Arial-7302-Identity-H"/>
          <w:color w:val="0A0A0A"/>
          <w:sz w:val="21"/>
          <w:szCs w:val="21"/>
        </w:rPr>
        <w:t>Ley. En el ejercicio de sus facultades, se emitirán las disposiciones</w:t>
      </w:r>
      <w:r>
        <w:rPr>
          <w:rFonts w:ascii="Abadi" w:hAnsi="Abadi" w:cs="*Arial-7302-Identity-H"/>
          <w:color w:val="0A0A0A"/>
          <w:sz w:val="21"/>
          <w:szCs w:val="21"/>
        </w:rPr>
        <w:t xml:space="preserve"> </w:t>
      </w:r>
      <w:r w:rsidRPr="00FA7CEF">
        <w:rPr>
          <w:rFonts w:ascii="Abadi" w:hAnsi="Abadi" w:cs="*Arial-7302-Identity-H"/>
          <w:color w:val="0A0A0A"/>
          <w:sz w:val="21"/>
          <w:szCs w:val="21"/>
        </w:rPr>
        <w:t>aplicables para establecer las facultades, funciones y organización</w:t>
      </w:r>
      <w:r>
        <w:rPr>
          <w:rFonts w:ascii="Abadi" w:hAnsi="Abadi" w:cs="*Arial-7302-Identity-H"/>
          <w:color w:val="0A0A0A"/>
          <w:sz w:val="21"/>
          <w:szCs w:val="21"/>
        </w:rPr>
        <w:t xml:space="preserve"> </w:t>
      </w:r>
      <w:r w:rsidRPr="00FA7CEF">
        <w:rPr>
          <w:rFonts w:ascii="Abadi" w:hAnsi="Abadi" w:cs="*Arial-7302-Identity-H"/>
          <w:color w:val="0A0A0A"/>
          <w:sz w:val="21"/>
          <w:szCs w:val="21"/>
        </w:rPr>
        <w:t>correspondiente.</w:t>
      </w:r>
    </w:p>
    <w:p w14:paraId="28FAA287" w14:textId="77777777" w:rsidR="00D0323E" w:rsidRDefault="00D0323E" w:rsidP="00D0323E">
      <w:pPr>
        <w:autoSpaceDE w:val="0"/>
        <w:autoSpaceDN w:val="0"/>
        <w:adjustRightInd w:val="0"/>
        <w:jc w:val="both"/>
        <w:rPr>
          <w:rFonts w:ascii="Abadi" w:hAnsi="Abadi" w:cs="*Arial-BoldItalic-7301-Identity"/>
          <w:b/>
          <w:bCs/>
          <w:i/>
          <w:iCs/>
          <w:color w:val="0C0C0C"/>
          <w:sz w:val="21"/>
          <w:szCs w:val="21"/>
        </w:rPr>
      </w:pPr>
    </w:p>
    <w:p w14:paraId="3239E7D7" w14:textId="77777777" w:rsidR="00D0323E" w:rsidRPr="00FA7CEF" w:rsidRDefault="00D0323E" w:rsidP="00D0323E">
      <w:pPr>
        <w:autoSpaceDE w:val="0"/>
        <w:autoSpaceDN w:val="0"/>
        <w:adjustRightInd w:val="0"/>
        <w:jc w:val="both"/>
        <w:rPr>
          <w:rFonts w:ascii="Abadi" w:hAnsi="Abadi" w:cs="*Arial-BoldItalic-7301-Identity"/>
          <w:b/>
          <w:bCs/>
          <w:i/>
          <w:iCs/>
          <w:color w:val="0C0C0C"/>
          <w:sz w:val="21"/>
          <w:szCs w:val="21"/>
        </w:rPr>
      </w:pPr>
      <w:r w:rsidRPr="00FA7CEF">
        <w:rPr>
          <w:rFonts w:ascii="Abadi" w:hAnsi="Abadi" w:cs="*Arial-BoldItalic-7301-Identity"/>
          <w:b/>
          <w:bCs/>
          <w:i/>
          <w:iCs/>
          <w:color w:val="0C0C0C"/>
          <w:sz w:val="21"/>
          <w:szCs w:val="21"/>
        </w:rPr>
        <w:t>Sectorización</w:t>
      </w:r>
    </w:p>
    <w:p w14:paraId="727FF1ED" w14:textId="77777777" w:rsidR="00D0323E" w:rsidRPr="00FA7CEF" w:rsidRDefault="00D0323E" w:rsidP="00D0323E">
      <w:pPr>
        <w:autoSpaceDE w:val="0"/>
        <w:autoSpaceDN w:val="0"/>
        <w:adjustRightInd w:val="0"/>
        <w:jc w:val="both"/>
        <w:rPr>
          <w:rFonts w:ascii="Abadi" w:hAnsi="Abadi" w:cs="*Arial-7302-Identity-H"/>
          <w:color w:val="0A0A0A"/>
          <w:sz w:val="21"/>
          <w:szCs w:val="21"/>
        </w:rPr>
      </w:pPr>
      <w:r w:rsidRPr="00FA7CEF">
        <w:rPr>
          <w:rFonts w:ascii="Abadi" w:hAnsi="Abadi" w:cs="*Arial-Bold-7303-Identity-H"/>
          <w:b/>
          <w:bCs/>
          <w:color w:val="0C0C0C"/>
          <w:sz w:val="21"/>
          <w:szCs w:val="21"/>
        </w:rPr>
        <w:t xml:space="preserve">ARTÍCULO </w:t>
      </w:r>
      <w:r w:rsidRPr="00FA7CEF">
        <w:rPr>
          <w:rFonts w:ascii="Abadi" w:hAnsi="Abadi" w:cs="*Arial-7302-Identity-H"/>
          <w:color w:val="0C0C0C"/>
          <w:sz w:val="21"/>
          <w:szCs w:val="21"/>
        </w:rPr>
        <w:t>5. La Secretaría coordinará sectorialmente las políticas</w:t>
      </w:r>
      <w:r>
        <w:rPr>
          <w:rFonts w:ascii="Abadi" w:hAnsi="Abadi" w:cs="*Arial-7302-Identity-H"/>
          <w:color w:val="0C0C0C"/>
          <w:sz w:val="21"/>
          <w:szCs w:val="21"/>
        </w:rPr>
        <w:t xml:space="preserve"> </w:t>
      </w:r>
      <w:r w:rsidRPr="00FA7CEF">
        <w:rPr>
          <w:rFonts w:ascii="Abadi" w:hAnsi="Abadi" w:cs="*Arial-7302-Identity-H"/>
          <w:color w:val="0A0A0A"/>
          <w:sz w:val="21"/>
          <w:szCs w:val="21"/>
        </w:rPr>
        <w:t>derivadas de la presente Ley a efecto de armonizar y coordinar las</w:t>
      </w:r>
      <w:r>
        <w:rPr>
          <w:rFonts w:ascii="Abadi" w:hAnsi="Abadi" w:cs="*Arial-7302-Identity-H"/>
          <w:color w:val="0A0A0A"/>
          <w:sz w:val="21"/>
          <w:szCs w:val="21"/>
        </w:rPr>
        <w:t xml:space="preserve"> </w:t>
      </w:r>
      <w:r w:rsidRPr="00FA7CEF">
        <w:rPr>
          <w:rFonts w:ascii="Abadi" w:hAnsi="Abadi" w:cs="*Arial-7302-Identity-H"/>
          <w:color w:val="0A0A0A"/>
          <w:sz w:val="21"/>
          <w:szCs w:val="21"/>
        </w:rPr>
        <w:t>estrategias de financiamiento en el marco de la política de crecimiento</w:t>
      </w:r>
      <w:r>
        <w:rPr>
          <w:rFonts w:ascii="Abadi" w:hAnsi="Abadi" w:cs="*Arial-7302-Identity-H"/>
          <w:color w:val="0A0A0A"/>
          <w:sz w:val="21"/>
          <w:szCs w:val="21"/>
        </w:rPr>
        <w:t xml:space="preserve"> </w:t>
      </w:r>
      <w:r w:rsidRPr="00FA7CEF">
        <w:rPr>
          <w:rFonts w:ascii="Abadi" w:hAnsi="Abadi" w:cs="*Arial-7302-Identity-H"/>
          <w:color w:val="0A0A0A"/>
          <w:sz w:val="21"/>
          <w:szCs w:val="21"/>
        </w:rPr>
        <w:t>económico y atención de sectores prioritarios en el estado de</w:t>
      </w:r>
      <w:r>
        <w:rPr>
          <w:rFonts w:ascii="Abadi" w:hAnsi="Abadi" w:cs="*Arial-7302-Identity-H"/>
          <w:color w:val="0A0A0A"/>
          <w:sz w:val="21"/>
          <w:szCs w:val="21"/>
        </w:rPr>
        <w:t xml:space="preserve"> </w:t>
      </w:r>
      <w:r w:rsidRPr="00FA7CEF">
        <w:rPr>
          <w:rFonts w:ascii="Abadi" w:hAnsi="Abadi" w:cs="*Arial-7302-Identity-H"/>
          <w:color w:val="0A0A0A"/>
          <w:sz w:val="21"/>
          <w:szCs w:val="21"/>
        </w:rPr>
        <w:t>Guanajuato.</w:t>
      </w:r>
    </w:p>
    <w:p w14:paraId="31711499" w14:textId="77777777" w:rsidR="00D0323E" w:rsidRDefault="00D0323E" w:rsidP="00D0323E">
      <w:pPr>
        <w:autoSpaceDE w:val="0"/>
        <w:autoSpaceDN w:val="0"/>
        <w:adjustRightInd w:val="0"/>
        <w:jc w:val="both"/>
        <w:rPr>
          <w:rFonts w:ascii="Abadi" w:hAnsi="Abadi" w:cs="*Arial-BoldItalic-7301-Identity"/>
          <w:b/>
          <w:bCs/>
          <w:i/>
          <w:iCs/>
          <w:color w:val="0B0B0B"/>
          <w:sz w:val="21"/>
          <w:szCs w:val="21"/>
        </w:rPr>
      </w:pPr>
    </w:p>
    <w:p w14:paraId="5A300307" w14:textId="77777777" w:rsidR="00D0323E" w:rsidRPr="00FA7CEF" w:rsidRDefault="00D0323E" w:rsidP="00D0323E">
      <w:pPr>
        <w:autoSpaceDE w:val="0"/>
        <w:autoSpaceDN w:val="0"/>
        <w:adjustRightInd w:val="0"/>
        <w:jc w:val="both"/>
        <w:rPr>
          <w:rFonts w:ascii="Abadi" w:hAnsi="Abadi" w:cs="*Arial-BoldItalic-7301-Identity"/>
          <w:b/>
          <w:bCs/>
          <w:i/>
          <w:iCs/>
          <w:color w:val="0B0B0B"/>
          <w:sz w:val="21"/>
          <w:szCs w:val="21"/>
        </w:rPr>
      </w:pPr>
      <w:r w:rsidRPr="00FA7CEF">
        <w:rPr>
          <w:rFonts w:ascii="Abadi" w:hAnsi="Abadi" w:cs="*Arial-BoldItalic-7301-Identity"/>
          <w:b/>
          <w:bCs/>
          <w:i/>
          <w:iCs/>
          <w:color w:val="0B0B0B"/>
          <w:sz w:val="21"/>
          <w:szCs w:val="21"/>
        </w:rPr>
        <w:t>Gobierno corporativo</w:t>
      </w:r>
    </w:p>
    <w:p w14:paraId="7EF10E63" w14:textId="77777777" w:rsidR="00D0323E" w:rsidRPr="00FA7CEF" w:rsidRDefault="00D0323E" w:rsidP="00D0323E">
      <w:pPr>
        <w:autoSpaceDE w:val="0"/>
        <w:autoSpaceDN w:val="0"/>
        <w:adjustRightInd w:val="0"/>
        <w:jc w:val="both"/>
        <w:rPr>
          <w:rFonts w:ascii="Abadi" w:hAnsi="Abadi" w:cs="*Arial-7302-Identity-H"/>
          <w:color w:val="0A0A0A"/>
          <w:sz w:val="21"/>
          <w:szCs w:val="21"/>
        </w:rPr>
      </w:pPr>
      <w:r w:rsidRPr="00FA7CEF">
        <w:rPr>
          <w:rFonts w:ascii="Abadi" w:hAnsi="Abadi" w:cs="*Arial-Bold-7303-Identity-H"/>
          <w:b/>
          <w:bCs/>
          <w:color w:val="0B0B0B"/>
          <w:sz w:val="21"/>
          <w:szCs w:val="21"/>
        </w:rPr>
        <w:t xml:space="preserve">ARTÍCULO </w:t>
      </w:r>
      <w:r w:rsidRPr="00FA7CEF">
        <w:rPr>
          <w:rFonts w:ascii="Abadi" w:hAnsi="Abadi" w:cs="*Arial-7302-Identity-H"/>
          <w:color w:val="0B0B0B"/>
          <w:sz w:val="21"/>
          <w:szCs w:val="21"/>
        </w:rPr>
        <w:t>6. La administración deberá procurar una política de gobierno</w:t>
      </w:r>
      <w:r>
        <w:rPr>
          <w:rFonts w:ascii="Abadi" w:hAnsi="Abadi" w:cs="*Arial-7302-Identity-H"/>
          <w:color w:val="0B0B0B"/>
          <w:sz w:val="21"/>
          <w:szCs w:val="21"/>
        </w:rPr>
        <w:t xml:space="preserve"> </w:t>
      </w:r>
      <w:r w:rsidRPr="00FA7CEF">
        <w:rPr>
          <w:rFonts w:ascii="Abadi" w:hAnsi="Abadi" w:cs="*Arial-7302-Identity-H"/>
          <w:color w:val="0A0A0A"/>
          <w:sz w:val="21"/>
          <w:szCs w:val="21"/>
        </w:rPr>
        <w:t>corporativo con la adopción de las mejores prácticas en la industria y</w:t>
      </w:r>
      <w:r>
        <w:rPr>
          <w:rFonts w:ascii="Abadi" w:hAnsi="Abadi" w:cs="*Arial-7302-Identity-H"/>
          <w:color w:val="0A0A0A"/>
          <w:sz w:val="21"/>
          <w:szCs w:val="21"/>
        </w:rPr>
        <w:t xml:space="preserve"> </w:t>
      </w:r>
      <w:r w:rsidRPr="00FA7CEF">
        <w:rPr>
          <w:rFonts w:ascii="Abadi" w:hAnsi="Abadi" w:cs="*Arial-7302-Identity-H"/>
          <w:color w:val="0A0A0A"/>
          <w:sz w:val="21"/>
          <w:szCs w:val="21"/>
        </w:rPr>
        <w:t>los procedimientos para el otorgamiento de créditos estarán sujetos a</w:t>
      </w:r>
      <w:r>
        <w:rPr>
          <w:rFonts w:ascii="Abadi" w:hAnsi="Abadi" w:cs="*Arial-7302-Identity-H"/>
          <w:color w:val="0A0A0A"/>
          <w:sz w:val="21"/>
          <w:szCs w:val="21"/>
        </w:rPr>
        <w:t xml:space="preserve"> </w:t>
      </w:r>
      <w:r w:rsidRPr="00FA7CEF">
        <w:rPr>
          <w:rFonts w:ascii="Abadi" w:hAnsi="Abadi" w:cs="*Arial-7302-Identity-H"/>
          <w:color w:val="0A0A0A"/>
          <w:sz w:val="21"/>
          <w:szCs w:val="21"/>
        </w:rPr>
        <w:t>los principios de máxima difusión.</w:t>
      </w:r>
    </w:p>
    <w:p w14:paraId="00C1ECEC" w14:textId="77777777" w:rsidR="00D0323E" w:rsidRPr="00FA7CEF" w:rsidRDefault="00D0323E" w:rsidP="00D0323E">
      <w:pPr>
        <w:jc w:val="both"/>
        <w:rPr>
          <w:rFonts w:ascii="Abadi" w:hAnsi="Abadi" w:cs="*Arial-7302-Identity-H"/>
          <w:color w:val="0A0A0A"/>
          <w:sz w:val="21"/>
          <w:szCs w:val="21"/>
        </w:rPr>
      </w:pPr>
    </w:p>
    <w:p w14:paraId="2AAABE14" w14:textId="77777777" w:rsidR="00D0323E" w:rsidRPr="00FA7CEF" w:rsidRDefault="00D0323E" w:rsidP="00D0323E">
      <w:pPr>
        <w:autoSpaceDE w:val="0"/>
        <w:autoSpaceDN w:val="0"/>
        <w:adjustRightInd w:val="0"/>
        <w:jc w:val="both"/>
        <w:rPr>
          <w:rFonts w:ascii="Abadi" w:hAnsi="Abadi" w:cs="*Arial-7122-Identity-H"/>
          <w:color w:val="090909"/>
          <w:sz w:val="21"/>
          <w:szCs w:val="21"/>
        </w:rPr>
      </w:pPr>
      <w:r w:rsidRPr="00FA7CEF">
        <w:rPr>
          <w:rFonts w:ascii="Abadi" w:hAnsi="Abadi" w:cs="*Arial-7122-Identity-H"/>
          <w:color w:val="090909"/>
          <w:sz w:val="21"/>
          <w:szCs w:val="21"/>
        </w:rPr>
        <w:t>La administración procurará el mantenimiento de cuerpos colegiados en</w:t>
      </w:r>
      <w:r>
        <w:rPr>
          <w:rFonts w:ascii="Abadi" w:hAnsi="Abadi" w:cs="*Arial-7122-Identity-H"/>
          <w:color w:val="090909"/>
          <w:sz w:val="21"/>
          <w:szCs w:val="21"/>
        </w:rPr>
        <w:t xml:space="preserve"> </w:t>
      </w:r>
      <w:r w:rsidRPr="00FA7CEF">
        <w:rPr>
          <w:rFonts w:ascii="Abadi" w:hAnsi="Abadi" w:cs="*Arial-7122-Identity-H"/>
          <w:color w:val="090909"/>
          <w:sz w:val="21"/>
          <w:szCs w:val="21"/>
        </w:rPr>
        <w:t>toma de decisiones y deberá expedir los manuales correspondientes</w:t>
      </w:r>
      <w:r>
        <w:rPr>
          <w:rFonts w:ascii="Abadi" w:hAnsi="Abadi" w:cs="*Arial-7122-Identity-H"/>
          <w:color w:val="090909"/>
          <w:sz w:val="21"/>
          <w:szCs w:val="21"/>
        </w:rPr>
        <w:t xml:space="preserve"> </w:t>
      </w:r>
      <w:r w:rsidRPr="00FA7CEF">
        <w:rPr>
          <w:rFonts w:ascii="Abadi" w:hAnsi="Abadi" w:cs="*Arial-7122-Identity-H"/>
          <w:color w:val="090909"/>
          <w:sz w:val="21"/>
          <w:szCs w:val="21"/>
        </w:rPr>
        <w:t>para la administración integral de riesgos y la prevención de</w:t>
      </w:r>
      <w:r>
        <w:rPr>
          <w:rFonts w:ascii="Abadi" w:hAnsi="Abadi" w:cs="*Arial-7122-Identity-H"/>
          <w:color w:val="090909"/>
          <w:sz w:val="21"/>
          <w:szCs w:val="21"/>
        </w:rPr>
        <w:t xml:space="preserve"> </w:t>
      </w:r>
      <w:r w:rsidRPr="00FA7CEF">
        <w:rPr>
          <w:rFonts w:ascii="Abadi" w:hAnsi="Abadi" w:cs="*Arial-7122-Identity-H"/>
          <w:color w:val="090909"/>
          <w:sz w:val="21"/>
          <w:szCs w:val="21"/>
        </w:rPr>
        <w:t>operaciones con recursos de procedencia ilícita, así como aquellos</w:t>
      </w:r>
      <w:r>
        <w:rPr>
          <w:rFonts w:ascii="Abadi" w:hAnsi="Abadi" w:cs="*Arial-7122-Identity-H"/>
          <w:color w:val="090909"/>
          <w:sz w:val="21"/>
          <w:szCs w:val="21"/>
        </w:rPr>
        <w:t xml:space="preserve"> </w:t>
      </w:r>
      <w:r w:rsidRPr="00FA7CEF">
        <w:rPr>
          <w:rFonts w:ascii="Abadi" w:hAnsi="Abadi" w:cs="*Arial-7122-Identity-H"/>
          <w:color w:val="090909"/>
          <w:sz w:val="21"/>
          <w:szCs w:val="21"/>
        </w:rPr>
        <w:t xml:space="preserve">instrumentos administrativos a efecto de procurar </w:t>
      </w:r>
      <w:r w:rsidRPr="00FA7CEF">
        <w:rPr>
          <w:rFonts w:ascii="Abadi" w:hAnsi="Abadi" w:cs="*Arial-7122-Identity-H"/>
          <w:color w:val="090909"/>
          <w:sz w:val="21"/>
          <w:szCs w:val="21"/>
        </w:rPr>
        <w:lastRenderedPageBreak/>
        <w:t>la sostenibilidad</w:t>
      </w:r>
      <w:r>
        <w:rPr>
          <w:rFonts w:ascii="Abadi" w:hAnsi="Abadi" w:cs="*Arial-7122-Identity-H"/>
          <w:color w:val="090909"/>
          <w:sz w:val="21"/>
          <w:szCs w:val="21"/>
        </w:rPr>
        <w:t xml:space="preserve"> </w:t>
      </w:r>
      <w:r w:rsidRPr="00FA7CEF">
        <w:rPr>
          <w:rFonts w:ascii="Abadi" w:hAnsi="Abadi" w:cs="*Arial-7122-Identity-H"/>
          <w:color w:val="090909"/>
          <w:sz w:val="21"/>
          <w:szCs w:val="21"/>
        </w:rPr>
        <w:t>financiera de la estrategia de otorgamiento de créditos.</w:t>
      </w:r>
    </w:p>
    <w:p w14:paraId="734ABC69" w14:textId="77777777" w:rsidR="00D0323E" w:rsidRDefault="00D0323E" w:rsidP="00D0323E">
      <w:pPr>
        <w:autoSpaceDE w:val="0"/>
        <w:autoSpaceDN w:val="0"/>
        <w:adjustRightInd w:val="0"/>
        <w:jc w:val="both"/>
        <w:rPr>
          <w:rFonts w:ascii="Abadi" w:hAnsi="Abadi" w:cs="*Arial-Bold-7124-Identity-H"/>
          <w:b/>
          <w:bCs/>
          <w:color w:val="0F0F0F"/>
          <w:sz w:val="21"/>
          <w:szCs w:val="21"/>
        </w:rPr>
      </w:pPr>
    </w:p>
    <w:p w14:paraId="152B07DD" w14:textId="77777777" w:rsidR="00D0323E" w:rsidRPr="00FA7CEF" w:rsidRDefault="00D0323E" w:rsidP="00D0323E">
      <w:pPr>
        <w:autoSpaceDE w:val="0"/>
        <w:autoSpaceDN w:val="0"/>
        <w:adjustRightInd w:val="0"/>
        <w:jc w:val="center"/>
        <w:rPr>
          <w:rFonts w:ascii="Abadi" w:hAnsi="Abadi" w:cs="*Arial-Bold-7124-Identity-H"/>
          <w:b/>
          <w:bCs/>
          <w:color w:val="0F0F0F"/>
          <w:sz w:val="21"/>
          <w:szCs w:val="21"/>
        </w:rPr>
      </w:pPr>
      <w:r w:rsidRPr="00FA7CEF">
        <w:rPr>
          <w:rFonts w:ascii="Abadi" w:hAnsi="Abadi" w:cs="*Arial-Bold-7124-Identity-H"/>
          <w:b/>
          <w:bCs/>
          <w:color w:val="0F0F0F"/>
          <w:sz w:val="21"/>
          <w:szCs w:val="21"/>
        </w:rPr>
        <w:t xml:space="preserve">Capítulo </w:t>
      </w:r>
      <w:r>
        <w:rPr>
          <w:rFonts w:ascii="Abadi" w:hAnsi="Abadi" w:cs="*Arial-Bold-7124-Identity-H"/>
          <w:b/>
          <w:bCs/>
          <w:color w:val="0F0F0F"/>
          <w:sz w:val="21"/>
          <w:szCs w:val="21"/>
        </w:rPr>
        <w:t>III</w:t>
      </w:r>
    </w:p>
    <w:p w14:paraId="2ED960F5" w14:textId="77777777" w:rsidR="00D0323E" w:rsidRPr="00FA7CEF" w:rsidRDefault="00D0323E" w:rsidP="00D0323E">
      <w:pPr>
        <w:autoSpaceDE w:val="0"/>
        <w:autoSpaceDN w:val="0"/>
        <w:adjustRightInd w:val="0"/>
        <w:jc w:val="center"/>
        <w:rPr>
          <w:rFonts w:ascii="Abadi" w:hAnsi="Abadi" w:cs="*Arial-Bold-7124-Identity-H"/>
          <w:b/>
          <w:bCs/>
          <w:color w:val="0E0E0E"/>
          <w:sz w:val="21"/>
          <w:szCs w:val="21"/>
        </w:rPr>
      </w:pPr>
      <w:r w:rsidRPr="00FA7CEF">
        <w:rPr>
          <w:rFonts w:ascii="Abadi" w:hAnsi="Abadi" w:cs="*Arial-Bold-7124-Identity-H"/>
          <w:b/>
          <w:bCs/>
          <w:color w:val="0E0E0E"/>
          <w:sz w:val="21"/>
          <w:szCs w:val="21"/>
        </w:rPr>
        <w:t>De las estrategias, políticas, programas y reglas para el impulso</w:t>
      </w:r>
    </w:p>
    <w:p w14:paraId="64696F44" w14:textId="77777777" w:rsidR="00D0323E" w:rsidRPr="00FA7CEF" w:rsidRDefault="00D0323E" w:rsidP="00D0323E">
      <w:pPr>
        <w:autoSpaceDE w:val="0"/>
        <w:autoSpaceDN w:val="0"/>
        <w:adjustRightInd w:val="0"/>
        <w:jc w:val="center"/>
        <w:rPr>
          <w:rFonts w:ascii="Abadi" w:hAnsi="Abadi" w:cs="*Arial-Bold-7124-Identity-H"/>
          <w:b/>
          <w:bCs/>
          <w:color w:val="0E0E0E"/>
          <w:sz w:val="21"/>
          <w:szCs w:val="21"/>
        </w:rPr>
      </w:pPr>
      <w:r w:rsidRPr="00FA7CEF">
        <w:rPr>
          <w:rFonts w:ascii="Abadi" w:hAnsi="Abadi" w:cs="*Arial-Bold-7124-Identity-H"/>
          <w:b/>
          <w:bCs/>
          <w:color w:val="0E0E0E"/>
          <w:sz w:val="21"/>
          <w:szCs w:val="21"/>
        </w:rPr>
        <w:t>al financiamiento a MIPyMES</w:t>
      </w:r>
    </w:p>
    <w:p w14:paraId="3BDE82DB" w14:textId="77777777" w:rsidR="00D0323E" w:rsidRDefault="00D0323E" w:rsidP="00D0323E">
      <w:pPr>
        <w:autoSpaceDE w:val="0"/>
        <w:autoSpaceDN w:val="0"/>
        <w:adjustRightInd w:val="0"/>
        <w:jc w:val="both"/>
        <w:rPr>
          <w:rFonts w:ascii="Abadi" w:hAnsi="Abadi" w:cs="*Arial-BoldItalic-7121-Identity"/>
          <w:b/>
          <w:bCs/>
          <w:i/>
          <w:iCs/>
          <w:color w:val="0C0C0C"/>
          <w:sz w:val="21"/>
          <w:szCs w:val="21"/>
        </w:rPr>
      </w:pPr>
    </w:p>
    <w:p w14:paraId="624EEEC3" w14:textId="77777777" w:rsidR="00D0323E" w:rsidRDefault="00D0323E" w:rsidP="00D0323E">
      <w:pPr>
        <w:autoSpaceDE w:val="0"/>
        <w:autoSpaceDN w:val="0"/>
        <w:adjustRightInd w:val="0"/>
        <w:jc w:val="both"/>
        <w:rPr>
          <w:rFonts w:ascii="Abadi" w:hAnsi="Abadi" w:cs="*Arial-BoldItalic-7121-Identity"/>
          <w:b/>
          <w:bCs/>
          <w:i/>
          <w:iCs/>
          <w:color w:val="0C0C0C"/>
          <w:sz w:val="21"/>
          <w:szCs w:val="21"/>
        </w:rPr>
      </w:pPr>
    </w:p>
    <w:p w14:paraId="092A9B91" w14:textId="77777777" w:rsidR="00D0323E" w:rsidRDefault="00D0323E" w:rsidP="00D0323E">
      <w:pPr>
        <w:autoSpaceDE w:val="0"/>
        <w:autoSpaceDN w:val="0"/>
        <w:adjustRightInd w:val="0"/>
        <w:jc w:val="both"/>
        <w:rPr>
          <w:rFonts w:ascii="Abadi" w:hAnsi="Abadi" w:cs="*Arial-BoldItalic-7121-Identity"/>
          <w:b/>
          <w:bCs/>
          <w:i/>
          <w:iCs/>
          <w:color w:val="0C0C0C"/>
          <w:sz w:val="21"/>
          <w:szCs w:val="21"/>
        </w:rPr>
      </w:pPr>
    </w:p>
    <w:p w14:paraId="429EAC4B" w14:textId="77777777" w:rsidR="00D0323E" w:rsidRPr="00FA7CEF" w:rsidRDefault="00D0323E" w:rsidP="00D0323E">
      <w:pPr>
        <w:autoSpaceDE w:val="0"/>
        <w:autoSpaceDN w:val="0"/>
        <w:adjustRightInd w:val="0"/>
        <w:jc w:val="both"/>
        <w:rPr>
          <w:rFonts w:ascii="Abadi" w:hAnsi="Abadi" w:cs="*Arial-BoldItalic-7121-Identity"/>
          <w:b/>
          <w:bCs/>
          <w:i/>
          <w:iCs/>
          <w:color w:val="0C0C0C"/>
          <w:sz w:val="21"/>
          <w:szCs w:val="21"/>
        </w:rPr>
      </w:pPr>
      <w:r w:rsidRPr="00FA7CEF">
        <w:rPr>
          <w:rFonts w:ascii="Abadi" w:hAnsi="Abadi" w:cs="*Arial-BoldItalic-7121-Identity"/>
          <w:b/>
          <w:bCs/>
          <w:i/>
          <w:iCs/>
          <w:color w:val="0C0C0C"/>
          <w:sz w:val="21"/>
          <w:szCs w:val="21"/>
        </w:rPr>
        <w:t>Destinatar</w:t>
      </w:r>
      <w:r>
        <w:rPr>
          <w:rFonts w:ascii="Abadi" w:hAnsi="Abadi" w:cs="*Arial-BoldItalic-7121-Identity"/>
          <w:b/>
          <w:bCs/>
          <w:i/>
          <w:iCs/>
          <w:color w:val="0C0C0C"/>
          <w:sz w:val="21"/>
          <w:szCs w:val="21"/>
        </w:rPr>
        <w:t>i</w:t>
      </w:r>
      <w:r w:rsidRPr="00FA7CEF">
        <w:rPr>
          <w:rFonts w:ascii="Abadi" w:hAnsi="Abadi" w:cs="*Arial-BoldItalic-7121-Identity"/>
          <w:b/>
          <w:bCs/>
          <w:i/>
          <w:iCs/>
          <w:color w:val="0C0C0C"/>
          <w:sz w:val="21"/>
          <w:szCs w:val="21"/>
        </w:rPr>
        <w:t>os</w:t>
      </w:r>
    </w:p>
    <w:p w14:paraId="5C448FF0" w14:textId="77777777" w:rsidR="00D0323E" w:rsidRDefault="00D0323E" w:rsidP="00D0323E">
      <w:pPr>
        <w:autoSpaceDE w:val="0"/>
        <w:autoSpaceDN w:val="0"/>
        <w:adjustRightInd w:val="0"/>
        <w:jc w:val="both"/>
        <w:rPr>
          <w:rFonts w:ascii="Abadi" w:hAnsi="Abadi" w:cs="*Arial-Bold-7123-Identity-H"/>
          <w:b/>
          <w:bCs/>
          <w:color w:val="0A0A0A"/>
          <w:sz w:val="21"/>
          <w:szCs w:val="21"/>
        </w:rPr>
      </w:pPr>
    </w:p>
    <w:p w14:paraId="4D52CA18" w14:textId="77777777" w:rsidR="00D0323E" w:rsidRPr="00FA7CEF" w:rsidRDefault="00D0323E" w:rsidP="00D0323E">
      <w:pPr>
        <w:autoSpaceDE w:val="0"/>
        <w:autoSpaceDN w:val="0"/>
        <w:adjustRightInd w:val="0"/>
        <w:jc w:val="both"/>
        <w:rPr>
          <w:rFonts w:ascii="Abadi" w:hAnsi="Abadi" w:cs="*Arial-7122-Identity-H"/>
          <w:color w:val="0A0A0A"/>
          <w:sz w:val="21"/>
          <w:szCs w:val="21"/>
        </w:rPr>
      </w:pPr>
      <w:r w:rsidRPr="00FA7CEF">
        <w:rPr>
          <w:rFonts w:ascii="Abadi" w:hAnsi="Abadi" w:cs="*Arial-Bold-7123-Identity-H"/>
          <w:b/>
          <w:bCs/>
          <w:color w:val="0A0A0A"/>
          <w:sz w:val="21"/>
          <w:szCs w:val="21"/>
        </w:rPr>
        <w:t xml:space="preserve">ARTÍCULO </w:t>
      </w:r>
      <w:r w:rsidRPr="00FA7CEF">
        <w:rPr>
          <w:rFonts w:ascii="Abadi" w:hAnsi="Abadi" w:cs="*Arial-7122-Identity-H"/>
          <w:color w:val="0A0A0A"/>
          <w:sz w:val="21"/>
          <w:szCs w:val="21"/>
        </w:rPr>
        <w:t>7. Las políticas de acceso al financiamiento considerarán</w:t>
      </w:r>
      <w:r>
        <w:rPr>
          <w:rFonts w:ascii="Abadi" w:hAnsi="Abadi" w:cs="*Arial-7122-Identity-H"/>
          <w:color w:val="0A0A0A"/>
          <w:sz w:val="21"/>
          <w:szCs w:val="21"/>
        </w:rPr>
        <w:t xml:space="preserve"> </w:t>
      </w:r>
      <w:r w:rsidRPr="00FA7CEF">
        <w:rPr>
          <w:rFonts w:ascii="Abadi" w:hAnsi="Abadi" w:cs="*Arial-7122-Identity-H"/>
          <w:color w:val="0A0A0A"/>
          <w:sz w:val="21"/>
          <w:szCs w:val="21"/>
        </w:rPr>
        <w:t>alternativas crediticias para cualquier persona física o moral que cuente</w:t>
      </w:r>
      <w:r>
        <w:rPr>
          <w:rFonts w:ascii="Abadi" w:hAnsi="Abadi" w:cs="*Arial-7122-Identity-H"/>
          <w:color w:val="0A0A0A"/>
          <w:sz w:val="21"/>
          <w:szCs w:val="21"/>
        </w:rPr>
        <w:t xml:space="preserve"> </w:t>
      </w:r>
      <w:r w:rsidRPr="00FA7CEF">
        <w:rPr>
          <w:rFonts w:ascii="Abadi" w:hAnsi="Abadi" w:cs="*Arial-7122-Identity-H"/>
          <w:color w:val="0A0A0A"/>
          <w:sz w:val="21"/>
          <w:szCs w:val="21"/>
        </w:rPr>
        <w:t>con una unidad económica y que tenga su domicilio en el estado de</w:t>
      </w:r>
      <w:r>
        <w:rPr>
          <w:rFonts w:ascii="Abadi" w:hAnsi="Abadi" w:cs="*Arial-7122-Identity-H"/>
          <w:color w:val="0A0A0A"/>
          <w:sz w:val="21"/>
          <w:szCs w:val="21"/>
        </w:rPr>
        <w:t xml:space="preserve"> </w:t>
      </w:r>
      <w:r w:rsidRPr="00FA7CEF">
        <w:rPr>
          <w:rFonts w:ascii="Abadi" w:hAnsi="Abadi" w:cs="*Arial-7122-Identity-H"/>
          <w:color w:val="0A0A0A"/>
          <w:sz w:val="21"/>
          <w:szCs w:val="21"/>
        </w:rPr>
        <w:t>Guanajuato y que cumplan con los requisitos y criterios de elegibilidad</w:t>
      </w:r>
      <w:r>
        <w:rPr>
          <w:rFonts w:ascii="Abadi" w:hAnsi="Abadi" w:cs="*Arial-7122-Identity-H"/>
          <w:color w:val="0A0A0A"/>
          <w:sz w:val="21"/>
          <w:szCs w:val="21"/>
        </w:rPr>
        <w:t xml:space="preserve"> </w:t>
      </w:r>
      <w:r w:rsidRPr="00FA7CEF">
        <w:rPr>
          <w:rFonts w:ascii="Abadi" w:hAnsi="Abadi" w:cs="*Arial-7122-Identity-H"/>
          <w:color w:val="0A0A0A"/>
          <w:sz w:val="21"/>
          <w:szCs w:val="21"/>
        </w:rPr>
        <w:t>que se deberán señalar en Reglas de Operación.</w:t>
      </w:r>
    </w:p>
    <w:p w14:paraId="7C1FE7BC" w14:textId="77777777" w:rsidR="00D0323E" w:rsidRDefault="00D0323E" w:rsidP="00D0323E">
      <w:pPr>
        <w:autoSpaceDE w:val="0"/>
        <w:autoSpaceDN w:val="0"/>
        <w:adjustRightInd w:val="0"/>
        <w:jc w:val="both"/>
        <w:rPr>
          <w:rFonts w:ascii="Abadi" w:hAnsi="Abadi" w:cs="*Arial-Bold-7123-Identity-H"/>
          <w:b/>
          <w:bCs/>
          <w:color w:val="0A0A0A"/>
          <w:sz w:val="21"/>
          <w:szCs w:val="21"/>
        </w:rPr>
      </w:pPr>
    </w:p>
    <w:p w14:paraId="6F0A2283" w14:textId="77777777" w:rsidR="00D0323E" w:rsidRPr="00FA7CEF" w:rsidRDefault="00D0323E" w:rsidP="00D0323E">
      <w:pPr>
        <w:autoSpaceDE w:val="0"/>
        <w:autoSpaceDN w:val="0"/>
        <w:adjustRightInd w:val="0"/>
        <w:jc w:val="both"/>
        <w:rPr>
          <w:rFonts w:ascii="Abadi" w:hAnsi="Abadi" w:cs="*Arial-6971-Identity-H"/>
          <w:color w:val="0A0A0A"/>
          <w:sz w:val="21"/>
          <w:szCs w:val="21"/>
        </w:rPr>
      </w:pPr>
      <w:r w:rsidRPr="00FA7CEF">
        <w:rPr>
          <w:rFonts w:ascii="Abadi" w:hAnsi="Abadi" w:cs="*Arial-Bold-7123-Identity-H"/>
          <w:b/>
          <w:bCs/>
          <w:color w:val="0A0A0A"/>
          <w:sz w:val="21"/>
          <w:szCs w:val="21"/>
        </w:rPr>
        <w:t xml:space="preserve">ARTICULO </w:t>
      </w:r>
      <w:r w:rsidRPr="00FA7CEF">
        <w:rPr>
          <w:rFonts w:ascii="Abadi" w:hAnsi="Abadi" w:cs="*Arial-7122-Identity-H"/>
          <w:color w:val="0A0A0A"/>
          <w:sz w:val="21"/>
          <w:szCs w:val="21"/>
        </w:rPr>
        <w:t>8. Las políticas y estrategias crediticias considerarán</w:t>
      </w:r>
      <w:r>
        <w:rPr>
          <w:rFonts w:ascii="Abadi" w:hAnsi="Abadi" w:cs="*Arial-7122-Identity-H"/>
          <w:color w:val="0A0A0A"/>
          <w:sz w:val="21"/>
          <w:szCs w:val="21"/>
        </w:rPr>
        <w:t xml:space="preserve"> </w:t>
      </w:r>
      <w:r w:rsidRPr="00FA7CEF">
        <w:rPr>
          <w:rFonts w:ascii="Abadi" w:hAnsi="Abadi" w:cs="*Arial-7122-Identity-H"/>
          <w:color w:val="0A0A0A"/>
          <w:sz w:val="21"/>
          <w:szCs w:val="21"/>
        </w:rPr>
        <w:t>opciones de financiamiento para personas físicas o morales cuya</w:t>
      </w:r>
      <w:r>
        <w:rPr>
          <w:rFonts w:ascii="Abadi" w:hAnsi="Abadi" w:cs="*Arial-7122-Identity-H"/>
          <w:color w:val="0A0A0A"/>
          <w:sz w:val="21"/>
          <w:szCs w:val="21"/>
        </w:rPr>
        <w:t xml:space="preserve"> </w:t>
      </w:r>
      <w:r w:rsidRPr="00FA7CEF">
        <w:rPr>
          <w:rFonts w:ascii="Abadi" w:hAnsi="Abadi" w:cs="*Arial-7122-Identity-H"/>
          <w:color w:val="0A0A0A"/>
          <w:sz w:val="21"/>
          <w:szCs w:val="21"/>
        </w:rPr>
        <w:t>actividad empresarial sea artesanal, agroindustrial, industrial, comercial</w:t>
      </w:r>
      <w:r>
        <w:rPr>
          <w:rFonts w:ascii="Abadi" w:hAnsi="Abadi" w:cs="*Arial-7122-Identity-H"/>
          <w:color w:val="0A0A0A"/>
          <w:sz w:val="21"/>
          <w:szCs w:val="21"/>
        </w:rPr>
        <w:t xml:space="preserve">  </w:t>
      </w:r>
      <w:r w:rsidRPr="00FA7CEF">
        <w:rPr>
          <w:rFonts w:ascii="Abadi" w:hAnsi="Abadi" w:cs="*Arial-6971-Identity-H"/>
          <w:color w:val="0A0A0A"/>
          <w:sz w:val="21"/>
          <w:szCs w:val="21"/>
        </w:rPr>
        <w:t>y/o de servicios, incluyendo empresas del ramo de la construcción y de</w:t>
      </w:r>
      <w:r>
        <w:rPr>
          <w:rFonts w:ascii="Abadi" w:hAnsi="Abadi" w:cs="*Arial-6971-Identity-H"/>
          <w:color w:val="0A0A0A"/>
          <w:sz w:val="21"/>
          <w:szCs w:val="21"/>
        </w:rPr>
        <w:t xml:space="preserve"> </w:t>
      </w:r>
      <w:r w:rsidRPr="00FA7CEF">
        <w:rPr>
          <w:rFonts w:ascii="Abadi" w:hAnsi="Abadi" w:cs="*Arial-6971-Identity-H"/>
          <w:color w:val="0A0A0A"/>
          <w:sz w:val="21"/>
          <w:szCs w:val="21"/>
        </w:rPr>
        <w:t>los sectores secundario y terciario, en apego a las reglas que se emitan.</w:t>
      </w:r>
    </w:p>
    <w:p w14:paraId="72DAE84F" w14:textId="77777777" w:rsidR="00D0323E" w:rsidRDefault="00D0323E" w:rsidP="00D0323E">
      <w:pPr>
        <w:autoSpaceDE w:val="0"/>
        <w:autoSpaceDN w:val="0"/>
        <w:adjustRightInd w:val="0"/>
        <w:jc w:val="both"/>
        <w:rPr>
          <w:rFonts w:ascii="Abadi" w:hAnsi="Abadi" w:cs="*Arial-Bold-6972-Identity-H"/>
          <w:b/>
          <w:bCs/>
          <w:color w:val="0A0A0A"/>
          <w:sz w:val="21"/>
          <w:szCs w:val="21"/>
        </w:rPr>
      </w:pPr>
    </w:p>
    <w:p w14:paraId="530F0E1E" w14:textId="77777777" w:rsidR="00D0323E" w:rsidRPr="00FA7CEF" w:rsidRDefault="00D0323E" w:rsidP="00D0323E">
      <w:pPr>
        <w:autoSpaceDE w:val="0"/>
        <w:autoSpaceDN w:val="0"/>
        <w:adjustRightInd w:val="0"/>
        <w:jc w:val="both"/>
        <w:rPr>
          <w:rFonts w:ascii="Abadi" w:hAnsi="Abadi" w:cs="*Arial-6971-Identity-H"/>
          <w:color w:val="0A0A0A"/>
          <w:sz w:val="21"/>
          <w:szCs w:val="21"/>
        </w:rPr>
      </w:pPr>
      <w:r w:rsidRPr="00FA7CEF">
        <w:rPr>
          <w:rFonts w:ascii="Abadi" w:hAnsi="Abadi" w:cs="*Arial-Bold-6972-Identity-H"/>
          <w:b/>
          <w:bCs/>
          <w:color w:val="0A0A0A"/>
          <w:sz w:val="21"/>
          <w:szCs w:val="21"/>
        </w:rPr>
        <w:t xml:space="preserve">ARTÍCULO </w:t>
      </w:r>
      <w:r w:rsidRPr="00FA7CEF">
        <w:rPr>
          <w:rFonts w:ascii="Abadi" w:hAnsi="Abadi" w:cs="*Arial-6971-Identity-H"/>
          <w:color w:val="0A0A0A"/>
          <w:sz w:val="21"/>
          <w:szCs w:val="21"/>
        </w:rPr>
        <w:t>9. Las políticas y estrategias se enfocarán en MIPyMES en</w:t>
      </w:r>
      <w:r>
        <w:rPr>
          <w:rFonts w:ascii="Abadi" w:hAnsi="Abadi" w:cs="*Arial-6971-Identity-H"/>
          <w:color w:val="0A0A0A"/>
          <w:sz w:val="21"/>
          <w:szCs w:val="21"/>
        </w:rPr>
        <w:t xml:space="preserve"> </w:t>
      </w:r>
      <w:r w:rsidRPr="00FA7CEF">
        <w:rPr>
          <w:rFonts w:ascii="Abadi" w:hAnsi="Abadi" w:cs="*Arial-6971-Identity-H"/>
          <w:color w:val="0A0A0A"/>
          <w:sz w:val="21"/>
          <w:szCs w:val="21"/>
        </w:rPr>
        <w:t>los términos establecidos por la Ley a través de programas que</w:t>
      </w:r>
      <w:r>
        <w:rPr>
          <w:rFonts w:ascii="Abadi" w:hAnsi="Abadi" w:cs="*Arial-6971-Identity-H"/>
          <w:color w:val="0A0A0A"/>
          <w:sz w:val="21"/>
          <w:szCs w:val="21"/>
        </w:rPr>
        <w:t xml:space="preserve"> </w:t>
      </w:r>
      <w:r w:rsidRPr="00FA7CEF">
        <w:rPr>
          <w:rFonts w:ascii="Abadi" w:hAnsi="Abadi" w:cs="*Arial-6971-Identity-H"/>
          <w:color w:val="0A0A0A"/>
          <w:sz w:val="21"/>
          <w:szCs w:val="21"/>
        </w:rPr>
        <w:t>consideren su diversidad de características y condiciones.</w:t>
      </w:r>
    </w:p>
    <w:p w14:paraId="039D72A3" w14:textId="77777777" w:rsidR="00D0323E" w:rsidRDefault="00D0323E" w:rsidP="00D0323E">
      <w:pPr>
        <w:autoSpaceDE w:val="0"/>
        <w:autoSpaceDN w:val="0"/>
        <w:adjustRightInd w:val="0"/>
        <w:jc w:val="both"/>
        <w:rPr>
          <w:rFonts w:ascii="Abadi" w:hAnsi="Abadi" w:cs="*Arial-BoldItalic-6970-Identity"/>
          <w:b/>
          <w:bCs/>
          <w:i/>
          <w:iCs/>
          <w:color w:val="0C0C0C"/>
          <w:sz w:val="21"/>
          <w:szCs w:val="21"/>
        </w:rPr>
      </w:pPr>
    </w:p>
    <w:p w14:paraId="4A43939B" w14:textId="77777777" w:rsidR="00D0323E" w:rsidRPr="00FA7CEF" w:rsidRDefault="00D0323E" w:rsidP="00D0323E">
      <w:pPr>
        <w:autoSpaceDE w:val="0"/>
        <w:autoSpaceDN w:val="0"/>
        <w:adjustRightInd w:val="0"/>
        <w:jc w:val="both"/>
        <w:rPr>
          <w:rFonts w:ascii="Abadi" w:hAnsi="Abadi" w:cs="*Arial-BoldItalic-6970-Identity"/>
          <w:b/>
          <w:bCs/>
          <w:i/>
          <w:iCs/>
          <w:color w:val="0C0C0C"/>
          <w:sz w:val="21"/>
          <w:szCs w:val="21"/>
        </w:rPr>
      </w:pPr>
      <w:r w:rsidRPr="00FA7CEF">
        <w:rPr>
          <w:rFonts w:ascii="Abadi" w:hAnsi="Abadi" w:cs="*Arial-BoldItalic-6970-Identity"/>
          <w:b/>
          <w:bCs/>
          <w:i/>
          <w:iCs/>
          <w:color w:val="0C0C0C"/>
          <w:sz w:val="21"/>
          <w:szCs w:val="21"/>
        </w:rPr>
        <w:t>Oferta de Productos Crediticios</w:t>
      </w:r>
    </w:p>
    <w:p w14:paraId="1D828A96" w14:textId="77777777" w:rsidR="00D0323E" w:rsidRDefault="00D0323E" w:rsidP="00D0323E">
      <w:pPr>
        <w:autoSpaceDE w:val="0"/>
        <w:autoSpaceDN w:val="0"/>
        <w:adjustRightInd w:val="0"/>
        <w:jc w:val="both"/>
        <w:rPr>
          <w:rFonts w:ascii="Abadi" w:hAnsi="Abadi" w:cs="*Arial-6971-Identity-H"/>
          <w:color w:val="090909"/>
          <w:sz w:val="21"/>
          <w:szCs w:val="21"/>
        </w:rPr>
      </w:pPr>
      <w:r w:rsidRPr="00FA7CEF">
        <w:rPr>
          <w:rFonts w:ascii="Abadi" w:hAnsi="Abadi" w:cs="*Arial-Bold-6972-Identity-H"/>
          <w:b/>
          <w:bCs/>
          <w:color w:val="090909"/>
          <w:sz w:val="21"/>
          <w:szCs w:val="21"/>
        </w:rPr>
        <w:t xml:space="preserve">ARTÍCULO </w:t>
      </w:r>
      <w:r>
        <w:rPr>
          <w:rFonts w:ascii="Abadi" w:hAnsi="Abadi" w:cs="*Arial-6971-Identity-H"/>
          <w:color w:val="090909"/>
          <w:sz w:val="21"/>
          <w:szCs w:val="21"/>
        </w:rPr>
        <w:t>10</w:t>
      </w:r>
      <w:r w:rsidRPr="00FA7CEF">
        <w:rPr>
          <w:rFonts w:ascii="Abadi" w:hAnsi="Abadi" w:cs="*Arial-6971-Identity-H"/>
          <w:color w:val="090909"/>
          <w:sz w:val="21"/>
          <w:szCs w:val="21"/>
        </w:rPr>
        <w:t>. La oferta de productos crediticios materia de la presente</w:t>
      </w:r>
      <w:r>
        <w:rPr>
          <w:rFonts w:ascii="Abadi" w:hAnsi="Abadi" w:cs="*Arial-6971-Identity-H"/>
          <w:color w:val="090909"/>
          <w:sz w:val="21"/>
          <w:szCs w:val="21"/>
        </w:rPr>
        <w:t xml:space="preserve"> </w:t>
      </w:r>
      <w:r w:rsidRPr="00FA7CEF">
        <w:rPr>
          <w:rFonts w:ascii="Abadi" w:hAnsi="Abadi" w:cs="*Arial-6971-Identity-H"/>
          <w:color w:val="090909"/>
          <w:sz w:val="21"/>
          <w:szCs w:val="21"/>
        </w:rPr>
        <w:t>Ley deberá incluir:</w:t>
      </w:r>
    </w:p>
    <w:p w14:paraId="340B57D6" w14:textId="77777777" w:rsidR="00D0323E" w:rsidRPr="00FA7CEF" w:rsidRDefault="00D0323E" w:rsidP="00D0323E">
      <w:pPr>
        <w:autoSpaceDE w:val="0"/>
        <w:autoSpaceDN w:val="0"/>
        <w:adjustRightInd w:val="0"/>
        <w:jc w:val="both"/>
        <w:rPr>
          <w:rFonts w:ascii="Abadi" w:hAnsi="Abadi" w:cs="*Arial-6971-Identity-H"/>
          <w:color w:val="090909"/>
          <w:sz w:val="21"/>
          <w:szCs w:val="21"/>
        </w:rPr>
      </w:pPr>
    </w:p>
    <w:p w14:paraId="32358130" w14:textId="77777777" w:rsidR="00D0323E" w:rsidRPr="002B0CD9" w:rsidRDefault="00D0323E" w:rsidP="005433FA">
      <w:pPr>
        <w:pStyle w:val="Prrafodelista"/>
        <w:numPr>
          <w:ilvl w:val="0"/>
          <w:numId w:val="15"/>
        </w:numPr>
        <w:autoSpaceDE w:val="0"/>
        <w:autoSpaceDN w:val="0"/>
        <w:adjustRightInd w:val="0"/>
        <w:contextualSpacing/>
        <w:jc w:val="both"/>
        <w:rPr>
          <w:rFonts w:ascii="Abadi" w:hAnsi="Abadi" w:cs="*Arial-6971-Identity-H"/>
          <w:color w:val="0A0A0A"/>
          <w:sz w:val="21"/>
          <w:szCs w:val="21"/>
        </w:rPr>
      </w:pPr>
      <w:r w:rsidRPr="002B0CD9">
        <w:rPr>
          <w:rFonts w:ascii="Abadi" w:hAnsi="Abadi" w:cs="*Arial-6971-Identity-H"/>
          <w:color w:val="0A0A0A"/>
          <w:sz w:val="21"/>
          <w:szCs w:val="21"/>
        </w:rPr>
        <w:t xml:space="preserve">Alcance geográfico: servicios que cubran a los 46 municipios de la entidad tanto en la zona rural como en la urbana. </w:t>
      </w:r>
    </w:p>
    <w:p w14:paraId="49A9DD1D" w14:textId="77777777" w:rsidR="00D0323E" w:rsidRDefault="00D0323E" w:rsidP="00D0323E">
      <w:pPr>
        <w:autoSpaceDE w:val="0"/>
        <w:autoSpaceDN w:val="0"/>
        <w:adjustRightInd w:val="0"/>
        <w:jc w:val="both"/>
        <w:rPr>
          <w:rFonts w:ascii="Abadi" w:hAnsi="Abadi" w:cs="*Arial-6971-Identity-H"/>
          <w:color w:val="0A0A0A"/>
          <w:sz w:val="21"/>
          <w:szCs w:val="21"/>
        </w:rPr>
      </w:pPr>
    </w:p>
    <w:p w14:paraId="149470BD" w14:textId="77777777" w:rsidR="00D0323E" w:rsidRPr="002B0CD9" w:rsidRDefault="00D0323E" w:rsidP="005433FA">
      <w:pPr>
        <w:pStyle w:val="Prrafodelista"/>
        <w:numPr>
          <w:ilvl w:val="0"/>
          <w:numId w:val="15"/>
        </w:numPr>
        <w:autoSpaceDE w:val="0"/>
        <w:autoSpaceDN w:val="0"/>
        <w:adjustRightInd w:val="0"/>
        <w:contextualSpacing/>
        <w:jc w:val="both"/>
        <w:rPr>
          <w:rFonts w:ascii="Abadi" w:hAnsi="Abadi" w:cs="*Arial-6971-Identity-H"/>
          <w:color w:val="090909"/>
          <w:sz w:val="21"/>
          <w:szCs w:val="21"/>
        </w:rPr>
      </w:pPr>
      <w:r w:rsidRPr="002B0CD9">
        <w:rPr>
          <w:rFonts w:ascii="Abadi" w:hAnsi="Abadi" w:cs="*Arial-6971-Identity-H"/>
          <w:color w:val="090909"/>
          <w:sz w:val="21"/>
          <w:szCs w:val="21"/>
        </w:rPr>
        <w:t>Productos financieros diversificados en función de la naturaleza diferenciada de las MIPyMES y en atención a la estratificación que se indica en el ARTICULO 2 de la presente</w:t>
      </w:r>
    </w:p>
    <w:p w14:paraId="1DB5B5EA" w14:textId="77777777" w:rsidR="00D0323E" w:rsidRPr="002B0CD9" w:rsidRDefault="00D0323E" w:rsidP="00D0323E">
      <w:pPr>
        <w:autoSpaceDE w:val="0"/>
        <w:autoSpaceDN w:val="0"/>
        <w:adjustRightInd w:val="0"/>
        <w:ind w:left="360" w:firstLine="348"/>
        <w:jc w:val="both"/>
        <w:rPr>
          <w:rFonts w:ascii="Abadi" w:hAnsi="Abadi" w:cs="*Arial-6971-Identity-H"/>
          <w:color w:val="090909"/>
          <w:sz w:val="21"/>
          <w:szCs w:val="21"/>
        </w:rPr>
      </w:pPr>
      <w:r w:rsidRPr="002B0CD9">
        <w:rPr>
          <w:rFonts w:ascii="Abadi" w:hAnsi="Abadi" w:cs="*Arial-6971-Identity-H"/>
          <w:color w:val="090909"/>
          <w:sz w:val="21"/>
          <w:szCs w:val="21"/>
        </w:rPr>
        <w:t xml:space="preserve">Ley. </w:t>
      </w:r>
    </w:p>
    <w:p w14:paraId="5F108EC6" w14:textId="77777777" w:rsidR="00D0323E" w:rsidRDefault="00D0323E" w:rsidP="00D0323E">
      <w:pPr>
        <w:autoSpaceDE w:val="0"/>
        <w:autoSpaceDN w:val="0"/>
        <w:adjustRightInd w:val="0"/>
        <w:jc w:val="both"/>
        <w:rPr>
          <w:rFonts w:ascii="Abadi" w:hAnsi="Abadi" w:cs="*Arial-6971-Identity-H"/>
          <w:color w:val="090909"/>
          <w:sz w:val="21"/>
          <w:szCs w:val="21"/>
        </w:rPr>
      </w:pPr>
    </w:p>
    <w:p w14:paraId="194227AF" w14:textId="77777777" w:rsidR="00D0323E" w:rsidRPr="002B0CD9" w:rsidRDefault="00D0323E" w:rsidP="005433FA">
      <w:pPr>
        <w:pStyle w:val="Prrafodelista"/>
        <w:numPr>
          <w:ilvl w:val="0"/>
          <w:numId w:val="15"/>
        </w:numPr>
        <w:autoSpaceDE w:val="0"/>
        <w:autoSpaceDN w:val="0"/>
        <w:adjustRightInd w:val="0"/>
        <w:contextualSpacing/>
        <w:jc w:val="both"/>
        <w:rPr>
          <w:rFonts w:ascii="Abadi" w:hAnsi="Abadi" w:cs="*Arial-6971-Identity-H"/>
          <w:color w:val="090909"/>
          <w:sz w:val="21"/>
          <w:szCs w:val="21"/>
        </w:rPr>
      </w:pPr>
      <w:r w:rsidRPr="002B0CD9">
        <w:rPr>
          <w:rFonts w:ascii="Abadi" w:hAnsi="Abadi" w:cs="*Arial-6971-Identity-H"/>
          <w:color w:val="090909"/>
          <w:sz w:val="21"/>
          <w:szCs w:val="21"/>
        </w:rPr>
        <w:t>Productos financieros para la adquisición y adecuaciones físicas en bodegas, naves industriales y locales comerciales.</w:t>
      </w:r>
    </w:p>
    <w:p w14:paraId="19F931AE" w14:textId="77777777" w:rsidR="00D0323E" w:rsidRPr="00FA7CEF" w:rsidRDefault="00D0323E" w:rsidP="00D0323E">
      <w:pPr>
        <w:jc w:val="both"/>
        <w:rPr>
          <w:rFonts w:ascii="Abadi" w:hAnsi="Abadi" w:cs="*Arial-6971-Identity-H"/>
          <w:color w:val="090909"/>
          <w:sz w:val="21"/>
          <w:szCs w:val="21"/>
        </w:rPr>
      </w:pPr>
    </w:p>
    <w:p w14:paraId="07F3902B" w14:textId="77777777" w:rsidR="00D0323E" w:rsidRPr="002B0CD9" w:rsidRDefault="00D0323E" w:rsidP="005433FA">
      <w:pPr>
        <w:pStyle w:val="Prrafodelista"/>
        <w:numPr>
          <w:ilvl w:val="0"/>
          <w:numId w:val="15"/>
        </w:numPr>
        <w:autoSpaceDE w:val="0"/>
        <w:autoSpaceDN w:val="0"/>
        <w:adjustRightInd w:val="0"/>
        <w:contextualSpacing/>
        <w:jc w:val="both"/>
        <w:rPr>
          <w:rFonts w:ascii="Abadi" w:hAnsi="Abadi" w:cs="*Arial-5945-Identity-H"/>
          <w:color w:val="0A0A0A"/>
          <w:sz w:val="21"/>
          <w:szCs w:val="21"/>
        </w:rPr>
      </w:pPr>
      <w:r w:rsidRPr="002B0CD9">
        <w:rPr>
          <w:rFonts w:ascii="Abadi" w:hAnsi="Abadi" w:cs="*Arial-5945-Identity-H"/>
          <w:color w:val="0A0A0A"/>
          <w:sz w:val="21"/>
          <w:szCs w:val="21"/>
        </w:rPr>
        <w:t>Productos que provean financiamiento para capital de trabajo incluyendo la compra de materia prima, mercancía, maquinaria, adecuaciones físicas, mobiliario y equipo.</w:t>
      </w:r>
    </w:p>
    <w:p w14:paraId="25EE7EB1" w14:textId="77777777" w:rsidR="00D0323E" w:rsidRDefault="00D0323E" w:rsidP="00D0323E">
      <w:pPr>
        <w:autoSpaceDE w:val="0"/>
        <w:autoSpaceDN w:val="0"/>
        <w:adjustRightInd w:val="0"/>
        <w:jc w:val="both"/>
        <w:rPr>
          <w:rFonts w:ascii="Abadi" w:hAnsi="Abadi" w:cs="*Arial-5945-Identity-H"/>
          <w:color w:val="0A0A0A"/>
          <w:sz w:val="21"/>
          <w:szCs w:val="21"/>
        </w:rPr>
      </w:pPr>
    </w:p>
    <w:p w14:paraId="497F0133" w14:textId="77777777" w:rsidR="00D0323E" w:rsidRPr="00FA7CEF" w:rsidRDefault="00D0323E" w:rsidP="00D0323E">
      <w:pPr>
        <w:autoSpaceDE w:val="0"/>
        <w:autoSpaceDN w:val="0"/>
        <w:adjustRightInd w:val="0"/>
        <w:jc w:val="both"/>
        <w:rPr>
          <w:rFonts w:ascii="Abadi" w:hAnsi="Abadi" w:cs="*Arial-5945-Identity-H"/>
          <w:color w:val="0A0A0A"/>
          <w:sz w:val="21"/>
          <w:szCs w:val="21"/>
        </w:rPr>
      </w:pPr>
    </w:p>
    <w:p w14:paraId="285DE482" w14:textId="77777777" w:rsidR="00D0323E" w:rsidRPr="002B0CD9" w:rsidRDefault="00D0323E" w:rsidP="005433FA">
      <w:pPr>
        <w:pStyle w:val="Prrafodelista"/>
        <w:numPr>
          <w:ilvl w:val="0"/>
          <w:numId w:val="15"/>
        </w:numPr>
        <w:autoSpaceDE w:val="0"/>
        <w:autoSpaceDN w:val="0"/>
        <w:adjustRightInd w:val="0"/>
        <w:contextualSpacing/>
        <w:jc w:val="both"/>
        <w:rPr>
          <w:rFonts w:ascii="Abadi" w:hAnsi="Abadi" w:cs="*Arial-5945-Identity-H"/>
          <w:color w:val="090909"/>
          <w:sz w:val="21"/>
          <w:szCs w:val="21"/>
        </w:rPr>
      </w:pPr>
      <w:r w:rsidRPr="002B0CD9">
        <w:rPr>
          <w:rFonts w:ascii="Abadi" w:hAnsi="Abadi" w:cs="*Arial-5945-Identity-H"/>
          <w:color w:val="090909"/>
          <w:sz w:val="21"/>
          <w:szCs w:val="21"/>
        </w:rPr>
        <w:t>Productos que permitan disminuir e</w:t>
      </w:r>
      <w:r>
        <w:rPr>
          <w:rFonts w:ascii="Abadi" w:hAnsi="Abadi" w:cs="*Arial-5945-Identity-H"/>
          <w:color w:val="090909"/>
          <w:sz w:val="21"/>
          <w:szCs w:val="21"/>
        </w:rPr>
        <w:t xml:space="preserve">l </w:t>
      </w:r>
      <w:r w:rsidRPr="002B0CD9">
        <w:rPr>
          <w:rFonts w:ascii="Abadi" w:hAnsi="Abadi" w:cs="*Arial-5945-Identity-H"/>
          <w:color w:val="090909"/>
          <w:sz w:val="21"/>
          <w:szCs w:val="21"/>
        </w:rPr>
        <w:t>costo financiero de obligaciones previamente contraídas, incluyendo la consolidación de pasivos y reestructuras a fin de disminuir cargas financieras, mejorar plazos y otorgar certeza para el cumplimiento de obligaciones.</w:t>
      </w:r>
    </w:p>
    <w:p w14:paraId="3514270B" w14:textId="77777777" w:rsidR="00D0323E" w:rsidRDefault="00D0323E" w:rsidP="00D0323E">
      <w:pPr>
        <w:autoSpaceDE w:val="0"/>
        <w:autoSpaceDN w:val="0"/>
        <w:adjustRightInd w:val="0"/>
        <w:jc w:val="both"/>
        <w:rPr>
          <w:rFonts w:ascii="Abadi" w:hAnsi="Abadi" w:cs="*Arial-5945-Identity-H"/>
          <w:color w:val="0A0A0A"/>
          <w:sz w:val="21"/>
          <w:szCs w:val="21"/>
        </w:rPr>
      </w:pPr>
    </w:p>
    <w:p w14:paraId="612AA656" w14:textId="77777777" w:rsidR="00D0323E" w:rsidRPr="002B0CD9" w:rsidRDefault="00D0323E" w:rsidP="005433FA">
      <w:pPr>
        <w:pStyle w:val="Prrafodelista"/>
        <w:numPr>
          <w:ilvl w:val="0"/>
          <w:numId w:val="15"/>
        </w:numPr>
        <w:autoSpaceDE w:val="0"/>
        <w:autoSpaceDN w:val="0"/>
        <w:adjustRightInd w:val="0"/>
        <w:contextualSpacing/>
        <w:jc w:val="both"/>
        <w:rPr>
          <w:rFonts w:ascii="Abadi" w:hAnsi="Abadi" w:cs="*Arial-5945-Identity-H"/>
          <w:color w:val="0A0A0A"/>
          <w:sz w:val="21"/>
          <w:szCs w:val="21"/>
        </w:rPr>
      </w:pPr>
      <w:r w:rsidRPr="002B0CD9">
        <w:rPr>
          <w:rFonts w:ascii="Abadi" w:hAnsi="Abadi" w:cs="*Arial-5945-Identity-H"/>
          <w:color w:val="0A0A0A"/>
          <w:sz w:val="21"/>
          <w:szCs w:val="21"/>
        </w:rPr>
        <w:t>Productos financieros orientados bajo una perspectiva de género a fin de contrarrestar las brechas existentes en el mercado.</w:t>
      </w:r>
    </w:p>
    <w:p w14:paraId="3C3C2D2D" w14:textId="77777777" w:rsidR="00D0323E" w:rsidRDefault="00D0323E" w:rsidP="00D0323E">
      <w:pPr>
        <w:autoSpaceDE w:val="0"/>
        <w:autoSpaceDN w:val="0"/>
        <w:adjustRightInd w:val="0"/>
        <w:jc w:val="both"/>
        <w:rPr>
          <w:rFonts w:ascii="Abadi" w:hAnsi="Abadi" w:cs="*Arial-5945-Identity-H"/>
          <w:color w:val="0B0B0B"/>
          <w:sz w:val="21"/>
          <w:szCs w:val="21"/>
        </w:rPr>
      </w:pPr>
    </w:p>
    <w:p w14:paraId="6B9DDB75" w14:textId="77777777" w:rsidR="00D0323E" w:rsidRPr="002B0CD9" w:rsidRDefault="00D0323E" w:rsidP="005433FA">
      <w:pPr>
        <w:pStyle w:val="Prrafodelista"/>
        <w:numPr>
          <w:ilvl w:val="0"/>
          <w:numId w:val="15"/>
        </w:numPr>
        <w:autoSpaceDE w:val="0"/>
        <w:autoSpaceDN w:val="0"/>
        <w:adjustRightInd w:val="0"/>
        <w:contextualSpacing/>
        <w:jc w:val="both"/>
        <w:rPr>
          <w:rFonts w:ascii="Abadi" w:hAnsi="Abadi" w:cs="*Arial-5945-Identity-H"/>
          <w:color w:val="0B0B0B"/>
          <w:sz w:val="21"/>
          <w:szCs w:val="21"/>
        </w:rPr>
      </w:pPr>
      <w:r w:rsidRPr="002B0CD9">
        <w:rPr>
          <w:rFonts w:ascii="Abadi" w:hAnsi="Abadi" w:cs="*Arial-5945-Identity-H"/>
          <w:color w:val="0B0B0B"/>
          <w:sz w:val="21"/>
          <w:szCs w:val="21"/>
        </w:rPr>
        <w:t xml:space="preserve">Productos financieros orientados a promover el desarrollo de proveedores en la entidad a través de operaciones de factoraje financiero, considerando las autorizaciones necesarias para tal efecto. </w:t>
      </w:r>
    </w:p>
    <w:p w14:paraId="21F8F59E" w14:textId="77777777" w:rsidR="00D0323E" w:rsidRPr="00FA7CEF" w:rsidRDefault="00D0323E" w:rsidP="00D0323E">
      <w:pPr>
        <w:autoSpaceDE w:val="0"/>
        <w:autoSpaceDN w:val="0"/>
        <w:adjustRightInd w:val="0"/>
        <w:jc w:val="both"/>
        <w:rPr>
          <w:rFonts w:ascii="Abadi" w:hAnsi="Abadi" w:cs="*Arial-5945-Identity-H"/>
          <w:color w:val="0B0B0B"/>
          <w:sz w:val="21"/>
          <w:szCs w:val="21"/>
        </w:rPr>
      </w:pPr>
    </w:p>
    <w:p w14:paraId="66F36744" w14:textId="77777777" w:rsidR="00D0323E" w:rsidRPr="002B0CD9" w:rsidRDefault="00D0323E" w:rsidP="005433FA">
      <w:pPr>
        <w:pStyle w:val="Prrafodelista"/>
        <w:numPr>
          <w:ilvl w:val="0"/>
          <w:numId w:val="15"/>
        </w:numPr>
        <w:autoSpaceDE w:val="0"/>
        <w:autoSpaceDN w:val="0"/>
        <w:adjustRightInd w:val="0"/>
        <w:contextualSpacing/>
        <w:jc w:val="both"/>
        <w:rPr>
          <w:rFonts w:ascii="Abadi" w:hAnsi="Abadi" w:cs="*Arial-5945-Identity-H"/>
          <w:color w:val="0B0B0B"/>
          <w:sz w:val="21"/>
          <w:szCs w:val="21"/>
        </w:rPr>
      </w:pPr>
      <w:r w:rsidRPr="002B0CD9">
        <w:rPr>
          <w:rFonts w:ascii="Abadi" w:hAnsi="Abadi" w:cs="*Arial-5945-Identity-H"/>
          <w:color w:val="0B0B0B"/>
          <w:sz w:val="21"/>
          <w:szCs w:val="21"/>
        </w:rPr>
        <w:t>Productos financieros que permitan el acceso a financiamientos con tasas de interés preferenciales.</w:t>
      </w:r>
    </w:p>
    <w:p w14:paraId="22CD96BD" w14:textId="77777777" w:rsidR="00D0323E" w:rsidRPr="00FA7CEF" w:rsidRDefault="00D0323E" w:rsidP="00D0323E">
      <w:pPr>
        <w:jc w:val="both"/>
        <w:rPr>
          <w:rFonts w:ascii="Abadi" w:hAnsi="Abadi" w:cs="*Arial-5945-Identity-H"/>
          <w:color w:val="0B0B0B"/>
          <w:sz w:val="21"/>
          <w:szCs w:val="21"/>
        </w:rPr>
      </w:pPr>
    </w:p>
    <w:p w14:paraId="441C8DE0" w14:textId="77777777" w:rsidR="00D0323E" w:rsidRDefault="00D0323E" w:rsidP="005433FA">
      <w:pPr>
        <w:pStyle w:val="Prrafodelista"/>
        <w:numPr>
          <w:ilvl w:val="0"/>
          <w:numId w:val="15"/>
        </w:numPr>
        <w:autoSpaceDE w:val="0"/>
        <w:autoSpaceDN w:val="0"/>
        <w:adjustRightInd w:val="0"/>
        <w:contextualSpacing/>
        <w:jc w:val="both"/>
        <w:rPr>
          <w:rFonts w:ascii="Abadi" w:hAnsi="Abadi" w:cs="*Arial-5497-Identity-H"/>
          <w:color w:val="0B0B0B"/>
          <w:sz w:val="21"/>
          <w:szCs w:val="21"/>
        </w:rPr>
      </w:pPr>
      <w:r w:rsidRPr="002B0CD9">
        <w:rPr>
          <w:rFonts w:ascii="Abadi" w:hAnsi="Abadi" w:cs="*Arial-5497-Identity-H"/>
          <w:color w:val="0B0B0B"/>
          <w:sz w:val="21"/>
          <w:szCs w:val="21"/>
        </w:rPr>
        <w:t>Productos enfocados en emprendedores a fin de promover la creación de nuevas empresas, consolidar las de reciente creación y fomentar la generación y conservación de empleo.</w:t>
      </w:r>
    </w:p>
    <w:p w14:paraId="167BB394" w14:textId="77777777" w:rsidR="00D0323E" w:rsidRPr="00F42E54" w:rsidRDefault="00D0323E" w:rsidP="00D0323E">
      <w:pPr>
        <w:pStyle w:val="Prrafodelista"/>
        <w:rPr>
          <w:rFonts w:ascii="Abadi" w:hAnsi="Abadi" w:cs="*Arial-5497-Identity-H"/>
          <w:color w:val="0B0B0B"/>
          <w:sz w:val="21"/>
          <w:szCs w:val="21"/>
        </w:rPr>
      </w:pPr>
    </w:p>
    <w:p w14:paraId="5383F73E" w14:textId="77777777" w:rsidR="00D0323E" w:rsidRDefault="00D0323E" w:rsidP="00D0323E">
      <w:pPr>
        <w:autoSpaceDE w:val="0"/>
        <w:autoSpaceDN w:val="0"/>
        <w:adjustRightInd w:val="0"/>
        <w:jc w:val="both"/>
        <w:rPr>
          <w:rFonts w:ascii="Abadi" w:hAnsi="Abadi" w:cs="*Arial-5497-Identity-H"/>
          <w:color w:val="0A0A0A"/>
          <w:sz w:val="21"/>
          <w:szCs w:val="21"/>
        </w:rPr>
      </w:pPr>
    </w:p>
    <w:p w14:paraId="08B0F3BF" w14:textId="77777777" w:rsidR="00D0323E" w:rsidRPr="002B0CD9" w:rsidRDefault="00D0323E" w:rsidP="005433FA">
      <w:pPr>
        <w:pStyle w:val="Prrafodelista"/>
        <w:numPr>
          <w:ilvl w:val="0"/>
          <w:numId w:val="15"/>
        </w:numPr>
        <w:autoSpaceDE w:val="0"/>
        <w:autoSpaceDN w:val="0"/>
        <w:adjustRightInd w:val="0"/>
        <w:contextualSpacing/>
        <w:jc w:val="both"/>
        <w:rPr>
          <w:rFonts w:ascii="Abadi" w:hAnsi="Abadi" w:cs="*Arial-5497-Identity-H"/>
          <w:color w:val="0A0A0A"/>
          <w:sz w:val="21"/>
          <w:szCs w:val="21"/>
        </w:rPr>
      </w:pPr>
      <w:r w:rsidRPr="002B0CD9">
        <w:rPr>
          <w:rFonts w:ascii="Abadi" w:hAnsi="Abadi" w:cs="*Arial-5497-Identity-H"/>
          <w:color w:val="0A0A0A"/>
          <w:sz w:val="21"/>
          <w:szCs w:val="21"/>
        </w:rPr>
        <w:t>Programas crediticios sectoriales para apoyo de empresas a fin de fortalecer su competitividad, así como por su relevancia económica en la entidad.</w:t>
      </w:r>
    </w:p>
    <w:p w14:paraId="0783A149" w14:textId="77777777" w:rsidR="00D0323E" w:rsidRDefault="00D0323E" w:rsidP="00D0323E">
      <w:pPr>
        <w:autoSpaceDE w:val="0"/>
        <w:autoSpaceDN w:val="0"/>
        <w:adjustRightInd w:val="0"/>
        <w:jc w:val="both"/>
        <w:rPr>
          <w:rFonts w:ascii="Abadi" w:hAnsi="Abadi" w:cs="*Arial-5497-Identity-H"/>
          <w:color w:val="090909"/>
          <w:sz w:val="21"/>
          <w:szCs w:val="21"/>
        </w:rPr>
      </w:pPr>
    </w:p>
    <w:p w14:paraId="5FCF1827" w14:textId="77777777" w:rsidR="00D0323E" w:rsidRPr="002B0CD9" w:rsidRDefault="00D0323E" w:rsidP="005433FA">
      <w:pPr>
        <w:pStyle w:val="Prrafodelista"/>
        <w:numPr>
          <w:ilvl w:val="0"/>
          <w:numId w:val="15"/>
        </w:numPr>
        <w:autoSpaceDE w:val="0"/>
        <w:autoSpaceDN w:val="0"/>
        <w:adjustRightInd w:val="0"/>
        <w:contextualSpacing/>
        <w:jc w:val="both"/>
        <w:rPr>
          <w:rFonts w:ascii="Abadi" w:hAnsi="Abadi" w:cs="*Arial-5497-Identity-H"/>
          <w:color w:val="090909"/>
          <w:sz w:val="21"/>
          <w:szCs w:val="21"/>
        </w:rPr>
      </w:pPr>
      <w:r w:rsidRPr="002B0CD9">
        <w:rPr>
          <w:rFonts w:ascii="Abadi" w:hAnsi="Abadi" w:cs="*Arial-5497-Identity-H"/>
          <w:color w:val="090909"/>
          <w:sz w:val="21"/>
          <w:szCs w:val="21"/>
        </w:rPr>
        <w:t>Programas emergentes de apoyo crediticio para contrarrestar y mitigar caídas del ciclo económico.</w:t>
      </w:r>
    </w:p>
    <w:p w14:paraId="26DE7792" w14:textId="77777777" w:rsidR="00D0323E" w:rsidRPr="00FA7CEF" w:rsidRDefault="00D0323E" w:rsidP="00D0323E">
      <w:pPr>
        <w:autoSpaceDE w:val="0"/>
        <w:autoSpaceDN w:val="0"/>
        <w:adjustRightInd w:val="0"/>
        <w:jc w:val="both"/>
        <w:rPr>
          <w:rFonts w:ascii="Abadi" w:hAnsi="Abadi" w:cs="*Arial-5497-Identity-H"/>
          <w:color w:val="090909"/>
          <w:sz w:val="21"/>
          <w:szCs w:val="21"/>
        </w:rPr>
      </w:pPr>
    </w:p>
    <w:p w14:paraId="3F9DE8FE" w14:textId="77777777" w:rsidR="00D0323E" w:rsidRDefault="00D0323E" w:rsidP="005433FA">
      <w:pPr>
        <w:pStyle w:val="Prrafodelista"/>
        <w:numPr>
          <w:ilvl w:val="0"/>
          <w:numId w:val="15"/>
        </w:numPr>
        <w:autoSpaceDE w:val="0"/>
        <w:autoSpaceDN w:val="0"/>
        <w:adjustRightInd w:val="0"/>
        <w:contextualSpacing/>
        <w:jc w:val="both"/>
        <w:rPr>
          <w:rFonts w:ascii="Abadi" w:hAnsi="Abadi" w:cs="*Arial-5497-Identity-H"/>
          <w:color w:val="0C0C0C"/>
          <w:sz w:val="21"/>
          <w:szCs w:val="21"/>
        </w:rPr>
      </w:pPr>
      <w:r w:rsidRPr="002B0CD9">
        <w:rPr>
          <w:rFonts w:ascii="Abadi" w:hAnsi="Abadi" w:cs="*Arial-5497-Identity-H"/>
          <w:color w:val="0C0C0C"/>
          <w:sz w:val="21"/>
          <w:szCs w:val="21"/>
        </w:rPr>
        <w:t>Programas de financiamiento para promover la expansión económica en el Estado.</w:t>
      </w:r>
    </w:p>
    <w:p w14:paraId="280020A8" w14:textId="77777777" w:rsidR="00D0323E" w:rsidRPr="002B0CD9" w:rsidRDefault="00D0323E" w:rsidP="00D0323E">
      <w:pPr>
        <w:pStyle w:val="Prrafodelista"/>
        <w:rPr>
          <w:rFonts w:ascii="Abadi" w:hAnsi="Abadi" w:cs="*Arial-5497-Identity-H"/>
          <w:color w:val="0C0C0C"/>
          <w:sz w:val="21"/>
          <w:szCs w:val="21"/>
        </w:rPr>
      </w:pPr>
    </w:p>
    <w:p w14:paraId="27F19257" w14:textId="77777777" w:rsidR="00D0323E" w:rsidRPr="002B0CD9" w:rsidRDefault="00D0323E" w:rsidP="00D0323E">
      <w:pPr>
        <w:pStyle w:val="Prrafodelista"/>
        <w:autoSpaceDE w:val="0"/>
        <w:autoSpaceDN w:val="0"/>
        <w:adjustRightInd w:val="0"/>
        <w:jc w:val="both"/>
        <w:rPr>
          <w:rFonts w:ascii="Abadi" w:hAnsi="Abadi" w:cs="*Arial-5497-Identity-H"/>
          <w:color w:val="0C0C0C"/>
          <w:sz w:val="21"/>
          <w:szCs w:val="21"/>
        </w:rPr>
      </w:pPr>
    </w:p>
    <w:p w14:paraId="7987EE1E" w14:textId="77777777" w:rsidR="00D0323E" w:rsidRPr="002B0CD9" w:rsidRDefault="00D0323E" w:rsidP="005433FA">
      <w:pPr>
        <w:pStyle w:val="Prrafodelista"/>
        <w:numPr>
          <w:ilvl w:val="0"/>
          <w:numId w:val="15"/>
        </w:numPr>
        <w:autoSpaceDE w:val="0"/>
        <w:autoSpaceDN w:val="0"/>
        <w:adjustRightInd w:val="0"/>
        <w:contextualSpacing/>
        <w:jc w:val="both"/>
        <w:rPr>
          <w:rFonts w:ascii="Abadi" w:hAnsi="Abadi" w:cs="*Arial-5497-Identity-H"/>
          <w:color w:val="0A0A0A"/>
          <w:sz w:val="21"/>
          <w:szCs w:val="21"/>
        </w:rPr>
      </w:pPr>
      <w:r w:rsidRPr="002B0CD9">
        <w:rPr>
          <w:rFonts w:ascii="Abadi" w:hAnsi="Abadi" w:cs="*Arial-5497-Identity-H"/>
          <w:color w:val="0A0A0A"/>
          <w:sz w:val="21"/>
          <w:szCs w:val="21"/>
        </w:rPr>
        <w:t>Productos y servicios en materia crediticia que permitan el cumplimiento del objeto de la presente Ley.</w:t>
      </w:r>
    </w:p>
    <w:p w14:paraId="6EC6DEEB" w14:textId="77777777" w:rsidR="00D0323E" w:rsidRPr="00FA7CEF" w:rsidRDefault="00D0323E" w:rsidP="00D0323E">
      <w:pPr>
        <w:autoSpaceDE w:val="0"/>
        <w:autoSpaceDN w:val="0"/>
        <w:adjustRightInd w:val="0"/>
        <w:jc w:val="both"/>
        <w:rPr>
          <w:rFonts w:ascii="Abadi" w:hAnsi="Abadi" w:cs="*Arial-5497-Identity-H"/>
          <w:color w:val="0A0A0A"/>
          <w:sz w:val="21"/>
          <w:szCs w:val="21"/>
        </w:rPr>
      </w:pPr>
    </w:p>
    <w:p w14:paraId="5E62DE79" w14:textId="77777777" w:rsidR="00D0323E" w:rsidRPr="00FA7CEF" w:rsidRDefault="00D0323E" w:rsidP="00D0323E">
      <w:pPr>
        <w:autoSpaceDE w:val="0"/>
        <w:autoSpaceDN w:val="0"/>
        <w:adjustRightInd w:val="0"/>
        <w:jc w:val="both"/>
        <w:rPr>
          <w:rFonts w:ascii="Abadi" w:hAnsi="Abadi" w:cs="*Arial-BoldItalic-5495-Identity"/>
          <w:b/>
          <w:bCs/>
          <w:i/>
          <w:iCs/>
          <w:color w:val="0D0D0D"/>
          <w:sz w:val="21"/>
          <w:szCs w:val="21"/>
        </w:rPr>
      </w:pPr>
      <w:r w:rsidRPr="00FA7CEF">
        <w:rPr>
          <w:rFonts w:ascii="Abadi" w:hAnsi="Abadi" w:cs="*Arial-BoldItalic-5495-Identity"/>
          <w:b/>
          <w:bCs/>
          <w:i/>
          <w:iCs/>
          <w:color w:val="0D0D0D"/>
          <w:sz w:val="21"/>
          <w:szCs w:val="21"/>
        </w:rPr>
        <w:t>Instrumentación a través de Programas</w:t>
      </w:r>
    </w:p>
    <w:p w14:paraId="11FDA09A" w14:textId="77777777" w:rsidR="00D0323E" w:rsidRPr="00FA7CEF" w:rsidRDefault="00D0323E" w:rsidP="00D0323E">
      <w:pPr>
        <w:autoSpaceDE w:val="0"/>
        <w:autoSpaceDN w:val="0"/>
        <w:adjustRightInd w:val="0"/>
        <w:jc w:val="both"/>
        <w:rPr>
          <w:rFonts w:ascii="Abadi" w:hAnsi="Abadi" w:cs="*Arial-5497-Identity-H"/>
          <w:color w:val="0A0A0A"/>
          <w:sz w:val="21"/>
          <w:szCs w:val="21"/>
        </w:rPr>
      </w:pPr>
      <w:r w:rsidRPr="00FA7CEF">
        <w:rPr>
          <w:rFonts w:ascii="Abadi" w:hAnsi="Abadi" w:cs="*Arial-Bold-5498-Identity-H"/>
          <w:b/>
          <w:bCs/>
          <w:color w:val="0A0A0A"/>
          <w:sz w:val="21"/>
          <w:szCs w:val="21"/>
        </w:rPr>
        <w:lastRenderedPageBreak/>
        <w:t xml:space="preserve">ARTÍCULO </w:t>
      </w:r>
      <w:r w:rsidRPr="00F42E54">
        <w:rPr>
          <w:rFonts w:ascii="Abadi" w:hAnsi="Abadi" w:cs="*Arial-5497-Identity-H"/>
          <w:b/>
          <w:bCs/>
          <w:color w:val="0A0A0A"/>
          <w:sz w:val="21"/>
          <w:szCs w:val="21"/>
        </w:rPr>
        <w:t>11.</w:t>
      </w:r>
      <w:r w:rsidRPr="00FA7CEF">
        <w:rPr>
          <w:rFonts w:ascii="Abadi" w:hAnsi="Abadi" w:cs="*Arial-5497-Identity-H"/>
          <w:color w:val="0A0A0A"/>
          <w:sz w:val="21"/>
          <w:szCs w:val="21"/>
        </w:rPr>
        <w:t xml:space="preserve"> La oferta de los productos y servicios al amparo de la Ley</w:t>
      </w:r>
      <w:r>
        <w:rPr>
          <w:rFonts w:ascii="Abadi" w:hAnsi="Abadi" w:cs="*Arial-5497-Identity-H"/>
          <w:color w:val="0A0A0A"/>
          <w:sz w:val="21"/>
          <w:szCs w:val="21"/>
        </w:rPr>
        <w:t xml:space="preserve"> </w:t>
      </w:r>
      <w:r w:rsidRPr="00FA7CEF">
        <w:rPr>
          <w:rFonts w:ascii="Abadi" w:hAnsi="Abadi" w:cs="*Arial-5497-Identity-H"/>
          <w:color w:val="0A0A0A"/>
          <w:sz w:val="21"/>
          <w:szCs w:val="21"/>
        </w:rPr>
        <w:t>se realizará a través de Programas que permitan su identificación,</w:t>
      </w:r>
      <w:r>
        <w:rPr>
          <w:rFonts w:ascii="Abadi" w:hAnsi="Abadi" w:cs="*Arial-5497-Identity-H"/>
          <w:color w:val="0A0A0A"/>
          <w:sz w:val="21"/>
          <w:szCs w:val="21"/>
        </w:rPr>
        <w:t xml:space="preserve"> </w:t>
      </w:r>
      <w:r w:rsidRPr="00FA7CEF">
        <w:rPr>
          <w:rFonts w:ascii="Abadi" w:hAnsi="Abadi" w:cs="*Arial-5497-Identity-H"/>
          <w:color w:val="0A0A0A"/>
          <w:sz w:val="21"/>
          <w:szCs w:val="21"/>
        </w:rPr>
        <w:t>objeto, población objetivo, diferenciación y seguimiento.</w:t>
      </w:r>
    </w:p>
    <w:p w14:paraId="4A06E2DA" w14:textId="77777777" w:rsidR="00D0323E" w:rsidRPr="00FA7CEF" w:rsidRDefault="00D0323E" w:rsidP="00D0323E">
      <w:pPr>
        <w:jc w:val="both"/>
        <w:rPr>
          <w:rFonts w:ascii="Abadi" w:hAnsi="Abadi" w:cs="*Arial-5497-Identity-H"/>
          <w:color w:val="0A0A0A"/>
          <w:sz w:val="21"/>
          <w:szCs w:val="21"/>
        </w:rPr>
      </w:pPr>
    </w:p>
    <w:p w14:paraId="053993CD" w14:textId="77777777" w:rsidR="00D0323E" w:rsidRPr="00FA7CEF" w:rsidRDefault="00D0323E" w:rsidP="00D0323E">
      <w:pPr>
        <w:autoSpaceDE w:val="0"/>
        <w:autoSpaceDN w:val="0"/>
        <w:adjustRightInd w:val="0"/>
        <w:jc w:val="both"/>
        <w:rPr>
          <w:rFonts w:ascii="Abadi" w:hAnsi="Abadi" w:cs="*Arial-BoldItalic-6667-Identity"/>
          <w:b/>
          <w:bCs/>
          <w:i/>
          <w:iCs/>
          <w:color w:val="0C0C0C"/>
          <w:sz w:val="21"/>
          <w:szCs w:val="21"/>
        </w:rPr>
      </w:pPr>
      <w:r w:rsidRPr="00FA7CEF">
        <w:rPr>
          <w:rFonts w:ascii="Abadi" w:hAnsi="Abadi" w:cs="*Arial-BoldItalic-6667-Identity"/>
          <w:b/>
          <w:bCs/>
          <w:i/>
          <w:iCs/>
          <w:color w:val="0C0C0C"/>
          <w:sz w:val="21"/>
          <w:szCs w:val="21"/>
        </w:rPr>
        <w:t>Reglas de Operación</w:t>
      </w:r>
    </w:p>
    <w:p w14:paraId="0CE7C158" w14:textId="77777777" w:rsidR="00D0323E" w:rsidRDefault="00D0323E" w:rsidP="00D0323E">
      <w:pPr>
        <w:autoSpaceDE w:val="0"/>
        <w:autoSpaceDN w:val="0"/>
        <w:adjustRightInd w:val="0"/>
        <w:jc w:val="both"/>
        <w:rPr>
          <w:rFonts w:ascii="Abadi" w:hAnsi="Abadi" w:cs="*Arial-6668-Identity-H"/>
          <w:color w:val="0A0A0A"/>
          <w:sz w:val="21"/>
          <w:szCs w:val="21"/>
        </w:rPr>
      </w:pPr>
      <w:r w:rsidRPr="00F42E54">
        <w:rPr>
          <w:rFonts w:ascii="Abadi" w:hAnsi="Abadi" w:cs="*Calibri-6665-Identity-H"/>
          <w:b/>
          <w:bCs/>
          <w:color w:val="0A0A0A"/>
          <w:sz w:val="21"/>
          <w:szCs w:val="21"/>
        </w:rPr>
        <w:t xml:space="preserve">ARTÍCULO </w:t>
      </w:r>
      <w:r w:rsidRPr="00F42E54">
        <w:rPr>
          <w:rFonts w:ascii="Abadi" w:hAnsi="Abadi" w:cs="*Arial-6668-Identity-H"/>
          <w:b/>
          <w:bCs/>
          <w:color w:val="0A0A0A"/>
          <w:sz w:val="21"/>
          <w:szCs w:val="21"/>
        </w:rPr>
        <w:t>12.</w:t>
      </w:r>
      <w:r w:rsidRPr="00FA7CEF">
        <w:rPr>
          <w:rFonts w:ascii="Abadi" w:hAnsi="Abadi" w:cs="*Arial-6668-Identity-H"/>
          <w:color w:val="0A0A0A"/>
          <w:sz w:val="21"/>
          <w:szCs w:val="21"/>
        </w:rPr>
        <w:t xml:space="preserve"> Los Programas estarán sujetos a Reglas de Operación,</w:t>
      </w:r>
      <w:r>
        <w:rPr>
          <w:rFonts w:ascii="Abadi" w:hAnsi="Abadi" w:cs="*Arial-6668-Identity-H"/>
          <w:color w:val="0A0A0A"/>
          <w:sz w:val="21"/>
          <w:szCs w:val="21"/>
        </w:rPr>
        <w:t xml:space="preserve"> </w:t>
      </w:r>
      <w:r w:rsidRPr="00FA7CEF">
        <w:rPr>
          <w:rFonts w:ascii="Abadi" w:hAnsi="Abadi" w:cs="*Arial-6668-Identity-H"/>
          <w:color w:val="0A0A0A"/>
          <w:sz w:val="21"/>
          <w:szCs w:val="21"/>
        </w:rPr>
        <w:t>las cuales establecerán las condiciones aplicables en cada caso y los</w:t>
      </w:r>
      <w:r>
        <w:rPr>
          <w:rFonts w:ascii="Abadi" w:hAnsi="Abadi" w:cs="*Arial-6668-Identity-H"/>
          <w:color w:val="0A0A0A"/>
          <w:sz w:val="21"/>
          <w:szCs w:val="21"/>
        </w:rPr>
        <w:t xml:space="preserve"> </w:t>
      </w:r>
      <w:r w:rsidRPr="00FA7CEF">
        <w:rPr>
          <w:rFonts w:ascii="Abadi" w:hAnsi="Abadi" w:cs="*Arial-6668-Identity-H"/>
          <w:color w:val="0A0A0A"/>
          <w:sz w:val="21"/>
          <w:szCs w:val="21"/>
        </w:rPr>
        <w:t>requerimientos que deberán cubrir los solicitantes.</w:t>
      </w:r>
    </w:p>
    <w:p w14:paraId="31F10458" w14:textId="77777777" w:rsidR="00D0323E" w:rsidRPr="00FA7CEF" w:rsidRDefault="00D0323E" w:rsidP="00D0323E">
      <w:pPr>
        <w:autoSpaceDE w:val="0"/>
        <w:autoSpaceDN w:val="0"/>
        <w:adjustRightInd w:val="0"/>
        <w:jc w:val="both"/>
        <w:rPr>
          <w:rFonts w:ascii="Abadi" w:hAnsi="Abadi" w:cs="*Arial-6668-Identity-H"/>
          <w:color w:val="0A0A0A"/>
          <w:sz w:val="21"/>
          <w:szCs w:val="21"/>
        </w:rPr>
      </w:pPr>
    </w:p>
    <w:p w14:paraId="0640605D" w14:textId="77777777" w:rsidR="00D0323E" w:rsidRDefault="00D0323E" w:rsidP="00D0323E">
      <w:pPr>
        <w:autoSpaceDE w:val="0"/>
        <w:autoSpaceDN w:val="0"/>
        <w:adjustRightInd w:val="0"/>
        <w:jc w:val="both"/>
        <w:rPr>
          <w:rFonts w:ascii="Abadi" w:hAnsi="Abadi" w:cs="*Arial-6668-Identity-H"/>
          <w:color w:val="090909"/>
          <w:sz w:val="21"/>
          <w:szCs w:val="21"/>
        </w:rPr>
      </w:pPr>
      <w:r w:rsidRPr="00FA7CEF">
        <w:rPr>
          <w:rFonts w:ascii="Abadi" w:hAnsi="Abadi" w:cs="*Arial-6668-Identity-H"/>
          <w:color w:val="090909"/>
          <w:sz w:val="21"/>
          <w:szCs w:val="21"/>
        </w:rPr>
        <w:t>Dichos instrumentos tendrán por objeto asegurar que la aplicación de</w:t>
      </w:r>
      <w:r>
        <w:rPr>
          <w:rFonts w:ascii="Abadi" w:hAnsi="Abadi" w:cs="*Arial-6668-Identity-H"/>
          <w:color w:val="090909"/>
          <w:sz w:val="21"/>
          <w:szCs w:val="21"/>
        </w:rPr>
        <w:t xml:space="preserve"> </w:t>
      </w:r>
      <w:r w:rsidRPr="00FA7CEF">
        <w:rPr>
          <w:rFonts w:ascii="Abadi" w:hAnsi="Abadi" w:cs="*Arial-6668-Identity-H"/>
          <w:color w:val="090909"/>
          <w:sz w:val="21"/>
          <w:szCs w:val="21"/>
        </w:rPr>
        <w:t>los recursos públicos se realice con eficiencia, eficacia, economía,</w:t>
      </w:r>
      <w:r>
        <w:rPr>
          <w:rFonts w:ascii="Abadi" w:hAnsi="Abadi" w:cs="*Arial-6668-Identity-H"/>
          <w:color w:val="090909"/>
          <w:sz w:val="21"/>
          <w:szCs w:val="21"/>
        </w:rPr>
        <w:t xml:space="preserve"> </w:t>
      </w:r>
      <w:r w:rsidRPr="00FA7CEF">
        <w:rPr>
          <w:rFonts w:ascii="Abadi" w:hAnsi="Abadi" w:cs="*Arial-6668-Identity-H"/>
          <w:color w:val="090909"/>
          <w:sz w:val="21"/>
          <w:szCs w:val="21"/>
        </w:rPr>
        <w:t>honradez y transparencia.</w:t>
      </w:r>
    </w:p>
    <w:p w14:paraId="6EBD92B2" w14:textId="77777777" w:rsidR="00D0323E" w:rsidRPr="00FA7CEF" w:rsidRDefault="00D0323E" w:rsidP="00D0323E">
      <w:pPr>
        <w:autoSpaceDE w:val="0"/>
        <w:autoSpaceDN w:val="0"/>
        <w:adjustRightInd w:val="0"/>
        <w:jc w:val="both"/>
        <w:rPr>
          <w:rFonts w:ascii="Abadi" w:hAnsi="Abadi" w:cs="*Arial-6668-Identity-H"/>
          <w:color w:val="090909"/>
          <w:sz w:val="21"/>
          <w:szCs w:val="21"/>
        </w:rPr>
      </w:pPr>
    </w:p>
    <w:p w14:paraId="79B1985E" w14:textId="77777777" w:rsidR="00D0323E" w:rsidRDefault="00D0323E" w:rsidP="00D0323E">
      <w:pPr>
        <w:autoSpaceDE w:val="0"/>
        <w:autoSpaceDN w:val="0"/>
        <w:adjustRightInd w:val="0"/>
        <w:jc w:val="both"/>
        <w:rPr>
          <w:rFonts w:ascii="Abadi" w:hAnsi="Abadi" w:cs="*Arial-6668-Identity-H"/>
          <w:color w:val="0B0B0B"/>
          <w:sz w:val="21"/>
          <w:szCs w:val="21"/>
        </w:rPr>
      </w:pPr>
      <w:r w:rsidRPr="00F42E54">
        <w:rPr>
          <w:rFonts w:ascii="Abadi" w:hAnsi="Abadi" w:cs="*Calibri-6665-Identity-H"/>
          <w:b/>
          <w:bCs/>
          <w:color w:val="0B0B0B"/>
          <w:sz w:val="21"/>
          <w:szCs w:val="21"/>
        </w:rPr>
        <w:t xml:space="preserve">ARTÍCULO </w:t>
      </w:r>
      <w:r w:rsidRPr="00F42E54">
        <w:rPr>
          <w:rFonts w:ascii="Abadi" w:hAnsi="Abadi" w:cs="*Arial-6668-Identity-H"/>
          <w:b/>
          <w:bCs/>
          <w:color w:val="0B0B0B"/>
          <w:sz w:val="21"/>
          <w:szCs w:val="21"/>
        </w:rPr>
        <w:t>13.</w:t>
      </w:r>
      <w:r w:rsidRPr="00FA7CEF">
        <w:rPr>
          <w:rFonts w:ascii="Abadi" w:hAnsi="Abadi" w:cs="*Arial-6668-Identity-H"/>
          <w:color w:val="0B0B0B"/>
          <w:sz w:val="21"/>
          <w:szCs w:val="21"/>
        </w:rPr>
        <w:t xml:space="preserve"> La emisión de Reglas de Operación tendrá como objeto</w:t>
      </w:r>
      <w:r>
        <w:rPr>
          <w:rFonts w:ascii="Abadi" w:hAnsi="Abadi" w:cs="*Arial-6668-Identity-H"/>
          <w:color w:val="0B0B0B"/>
          <w:sz w:val="21"/>
          <w:szCs w:val="21"/>
        </w:rPr>
        <w:t xml:space="preserve"> </w:t>
      </w:r>
      <w:r w:rsidRPr="00FA7CEF">
        <w:rPr>
          <w:rFonts w:ascii="Abadi" w:hAnsi="Abadi" w:cs="*Arial-6668-Identity-H"/>
          <w:color w:val="0B0B0B"/>
          <w:sz w:val="21"/>
          <w:szCs w:val="21"/>
        </w:rPr>
        <w:t>normar la ejecución eficiente, eficaz, equitativa y trasparente de los</w:t>
      </w:r>
      <w:r>
        <w:rPr>
          <w:rFonts w:ascii="Abadi" w:hAnsi="Abadi" w:cs="*Arial-6668-Identity-H"/>
          <w:color w:val="0B0B0B"/>
          <w:sz w:val="21"/>
          <w:szCs w:val="21"/>
        </w:rPr>
        <w:t xml:space="preserve"> </w:t>
      </w:r>
      <w:r w:rsidRPr="00FA7CEF">
        <w:rPr>
          <w:rFonts w:ascii="Abadi" w:hAnsi="Abadi" w:cs="*Arial-6668-Identity-H"/>
          <w:color w:val="0B0B0B"/>
          <w:sz w:val="21"/>
          <w:szCs w:val="21"/>
        </w:rPr>
        <w:t>programas de financiamiento, así como establecer el procedimiento</w:t>
      </w:r>
      <w:r>
        <w:rPr>
          <w:rFonts w:ascii="Abadi" w:hAnsi="Abadi" w:cs="*Arial-6668-Identity-H"/>
          <w:color w:val="0B0B0B"/>
          <w:sz w:val="21"/>
          <w:szCs w:val="21"/>
        </w:rPr>
        <w:t xml:space="preserve"> </w:t>
      </w:r>
      <w:r w:rsidRPr="00FA7CEF">
        <w:rPr>
          <w:rFonts w:ascii="Abadi" w:hAnsi="Abadi" w:cs="*Arial-6668-Identity-H"/>
          <w:color w:val="0B0B0B"/>
          <w:sz w:val="21"/>
          <w:szCs w:val="21"/>
        </w:rPr>
        <w:t>para su solicitud y otorgamiento.</w:t>
      </w:r>
    </w:p>
    <w:p w14:paraId="2D2F48F5" w14:textId="77777777" w:rsidR="00D0323E" w:rsidRPr="00FA7CEF" w:rsidRDefault="00D0323E" w:rsidP="00D0323E">
      <w:pPr>
        <w:autoSpaceDE w:val="0"/>
        <w:autoSpaceDN w:val="0"/>
        <w:adjustRightInd w:val="0"/>
        <w:jc w:val="both"/>
        <w:rPr>
          <w:rFonts w:ascii="Abadi" w:hAnsi="Abadi" w:cs="*Arial-6668-Identity-H"/>
          <w:color w:val="0B0B0B"/>
          <w:sz w:val="21"/>
          <w:szCs w:val="21"/>
        </w:rPr>
      </w:pPr>
    </w:p>
    <w:p w14:paraId="0A0EADC2" w14:textId="77777777" w:rsidR="00D0323E" w:rsidRDefault="00D0323E" w:rsidP="00D0323E">
      <w:pPr>
        <w:autoSpaceDE w:val="0"/>
        <w:autoSpaceDN w:val="0"/>
        <w:adjustRightInd w:val="0"/>
        <w:jc w:val="both"/>
        <w:rPr>
          <w:rFonts w:ascii="Abadi" w:hAnsi="Abadi" w:cs="*Arial-6668-Identity-H"/>
          <w:color w:val="090909"/>
          <w:sz w:val="21"/>
          <w:szCs w:val="21"/>
        </w:rPr>
      </w:pPr>
      <w:r w:rsidRPr="00FA7CEF">
        <w:rPr>
          <w:rFonts w:ascii="Abadi" w:hAnsi="Abadi" w:cs="*Arial-6668-Identity-H"/>
          <w:color w:val="090909"/>
          <w:sz w:val="21"/>
          <w:szCs w:val="21"/>
        </w:rPr>
        <w:t>Se deberá asegurar su difusión a través de medios que faciliten su</w:t>
      </w:r>
      <w:r>
        <w:rPr>
          <w:rFonts w:ascii="Abadi" w:hAnsi="Abadi" w:cs="*Arial-6668-Identity-H"/>
          <w:color w:val="090909"/>
          <w:sz w:val="21"/>
          <w:szCs w:val="21"/>
        </w:rPr>
        <w:t xml:space="preserve"> </w:t>
      </w:r>
      <w:r w:rsidRPr="00FA7CEF">
        <w:rPr>
          <w:rFonts w:ascii="Abadi" w:hAnsi="Abadi" w:cs="*Arial-6668-Identity-H"/>
          <w:color w:val="090909"/>
          <w:sz w:val="21"/>
          <w:szCs w:val="21"/>
        </w:rPr>
        <w:t>acceso todo público.</w:t>
      </w:r>
    </w:p>
    <w:p w14:paraId="702C9B47" w14:textId="77777777" w:rsidR="00D0323E" w:rsidRPr="00FA7CEF" w:rsidRDefault="00D0323E" w:rsidP="00D0323E">
      <w:pPr>
        <w:autoSpaceDE w:val="0"/>
        <w:autoSpaceDN w:val="0"/>
        <w:adjustRightInd w:val="0"/>
        <w:jc w:val="both"/>
        <w:rPr>
          <w:rFonts w:ascii="Abadi" w:hAnsi="Abadi" w:cs="*Arial-6668-Identity-H"/>
          <w:color w:val="090909"/>
          <w:sz w:val="21"/>
          <w:szCs w:val="21"/>
        </w:rPr>
      </w:pPr>
    </w:p>
    <w:p w14:paraId="7A4DEEA5" w14:textId="1E8ED197" w:rsidR="00D0323E" w:rsidRDefault="00D0323E" w:rsidP="00D0323E">
      <w:pPr>
        <w:autoSpaceDE w:val="0"/>
        <w:autoSpaceDN w:val="0"/>
        <w:adjustRightInd w:val="0"/>
        <w:jc w:val="both"/>
        <w:rPr>
          <w:rFonts w:ascii="Abadi" w:hAnsi="Abadi" w:cs="*Arial-BoldItalic-6667-Identity"/>
          <w:b/>
          <w:bCs/>
          <w:i/>
          <w:iCs/>
          <w:color w:val="0B0B0B"/>
          <w:sz w:val="21"/>
          <w:szCs w:val="21"/>
        </w:rPr>
      </w:pPr>
      <w:r w:rsidRPr="00FA7CEF">
        <w:rPr>
          <w:rFonts w:ascii="Abadi" w:hAnsi="Abadi" w:cs="*Arial-BoldItalic-6667-Identity"/>
          <w:b/>
          <w:bCs/>
          <w:i/>
          <w:iCs/>
          <w:color w:val="0B0B0B"/>
          <w:sz w:val="21"/>
          <w:szCs w:val="21"/>
        </w:rPr>
        <w:t>Convenios con fa Banca de Desarrollo y el sector privado</w:t>
      </w:r>
    </w:p>
    <w:p w14:paraId="680B4E84" w14:textId="77777777" w:rsidR="00965FD1" w:rsidRPr="00FA7CEF" w:rsidRDefault="00965FD1" w:rsidP="00D0323E">
      <w:pPr>
        <w:autoSpaceDE w:val="0"/>
        <w:autoSpaceDN w:val="0"/>
        <w:adjustRightInd w:val="0"/>
        <w:jc w:val="both"/>
        <w:rPr>
          <w:rFonts w:ascii="Abadi" w:hAnsi="Abadi" w:cs="*Arial-BoldItalic-6667-Identity"/>
          <w:b/>
          <w:bCs/>
          <w:i/>
          <w:iCs/>
          <w:color w:val="0B0B0B"/>
          <w:sz w:val="21"/>
          <w:szCs w:val="21"/>
        </w:rPr>
      </w:pPr>
    </w:p>
    <w:p w14:paraId="1AC939E3" w14:textId="77777777" w:rsidR="00D0323E" w:rsidRPr="00FA7CEF" w:rsidRDefault="00D0323E" w:rsidP="00D0323E">
      <w:pPr>
        <w:autoSpaceDE w:val="0"/>
        <w:autoSpaceDN w:val="0"/>
        <w:adjustRightInd w:val="0"/>
        <w:jc w:val="both"/>
        <w:rPr>
          <w:rFonts w:ascii="Abadi" w:hAnsi="Abadi" w:cs="*Arial-6668-Identity-H"/>
          <w:color w:val="0A0A0A"/>
          <w:sz w:val="21"/>
          <w:szCs w:val="21"/>
        </w:rPr>
      </w:pPr>
      <w:r w:rsidRPr="00FA7CEF">
        <w:rPr>
          <w:rFonts w:ascii="Abadi" w:hAnsi="Abadi" w:cs="*Arial-Bold-6669-Identity-H"/>
          <w:b/>
          <w:bCs/>
          <w:color w:val="0A0A0A"/>
          <w:sz w:val="21"/>
          <w:szCs w:val="21"/>
        </w:rPr>
        <w:t xml:space="preserve">ARTÍCULO </w:t>
      </w:r>
      <w:r w:rsidRPr="00FA7CEF">
        <w:rPr>
          <w:rFonts w:ascii="Abadi" w:hAnsi="Abadi" w:cs="*Arial-6668-Identity-H"/>
          <w:color w:val="0A0A0A"/>
          <w:sz w:val="21"/>
          <w:szCs w:val="21"/>
        </w:rPr>
        <w:t>14. Para el cumplimiento del objeto de la presente Ley, se</w:t>
      </w:r>
      <w:r>
        <w:rPr>
          <w:rFonts w:ascii="Abadi" w:hAnsi="Abadi" w:cs="*Arial-6668-Identity-H"/>
          <w:color w:val="0A0A0A"/>
          <w:sz w:val="21"/>
          <w:szCs w:val="21"/>
        </w:rPr>
        <w:t xml:space="preserve"> </w:t>
      </w:r>
      <w:r w:rsidRPr="00FA7CEF">
        <w:rPr>
          <w:rFonts w:ascii="Abadi" w:hAnsi="Abadi" w:cs="*Arial-6668-Identity-H"/>
          <w:color w:val="0A0A0A"/>
          <w:sz w:val="21"/>
          <w:szCs w:val="21"/>
        </w:rPr>
        <w:t>podrán formalizar acuerdos, convenios, así como ejecutar estrategias</w:t>
      </w:r>
      <w:r>
        <w:rPr>
          <w:rFonts w:ascii="Abadi" w:hAnsi="Abadi" w:cs="*Arial-6668-Identity-H"/>
          <w:color w:val="0A0A0A"/>
          <w:sz w:val="21"/>
          <w:szCs w:val="21"/>
        </w:rPr>
        <w:t xml:space="preserve"> </w:t>
      </w:r>
      <w:r w:rsidRPr="00FA7CEF">
        <w:rPr>
          <w:rFonts w:ascii="Abadi" w:hAnsi="Abadi" w:cs="*Arial-6668-Identity-H"/>
          <w:color w:val="0A0A0A"/>
          <w:sz w:val="21"/>
          <w:szCs w:val="21"/>
        </w:rPr>
        <w:t>de coordinación con instituciones de la banca de desarrollo a fin de</w:t>
      </w:r>
      <w:r>
        <w:rPr>
          <w:rFonts w:ascii="Abadi" w:hAnsi="Abadi" w:cs="*Arial-6668-Identity-H"/>
          <w:color w:val="0A0A0A"/>
          <w:sz w:val="21"/>
          <w:szCs w:val="21"/>
        </w:rPr>
        <w:t xml:space="preserve"> </w:t>
      </w:r>
      <w:r w:rsidRPr="00FA7CEF">
        <w:rPr>
          <w:rFonts w:ascii="Abadi" w:hAnsi="Abadi" w:cs="*Arial-6668-Identity-H"/>
          <w:color w:val="0A0A0A"/>
          <w:sz w:val="21"/>
          <w:szCs w:val="21"/>
        </w:rPr>
        <w:t>potenciar los recursos disponibles para el financiamiento de MIPyMES.</w:t>
      </w:r>
    </w:p>
    <w:p w14:paraId="34BE7C60" w14:textId="77777777" w:rsidR="00D0323E" w:rsidRPr="00FA7CEF" w:rsidRDefault="00D0323E" w:rsidP="00D0323E">
      <w:pPr>
        <w:jc w:val="both"/>
        <w:rPr>
          <w:rFonts w:ascii="Abadi" w:hAnsi="Abadi" w:cs="*Arial-6668-Identity-H"/>
          <w:color w:val="0A0A0A"/>
          <w:sz w:val="21"/>
          <w:szCs w:val="21"/>
        </w:rPr>
      </w:pPr>
    </w:p>
    <w:p w14:paraId="0AB65096" w14:textId="77777777" w:rsidR="00D0323E" w:rsidRDefault="00D0323E" w:rsidP="00D0323E">
      <w:pPr>
        <w:autoSpaceDE w:val="0"/>
        <w:autoSpaceDN w:val="0"/>
        <w:adjustRightInd w:val="0"/>
        <w:jc w:val="both"/>
        <w:rPr>
          <w:rFonts w:ascii="Abadi" w:hAnsi="Abadi" w:cs="*Arial-7149-Identity-H"/>
          <w:color w:val="0A0A0A"/>
          <w:sz w:val="21"/>
          <w:szCs w:val="21"/>
        </w:rPr>
      </w:pPr>
      <w:r w:rsidRPr="00FA7CEF">
        <w:rPr>
          <w:rFonts w:ascii="Abadi" w:hAnsi="Abadi" w:cs="*Arial-7149-Identity-H"/>
          <w:color w:val="0A0A0A"/>
          <w:sz w:val="21"/>
          <w:szCs w:val="21"/>
        </w:rPr>
        <w:t>Asimismo, al amparo de la presente Ley, podrán realizarse estrategias</w:t>
      </w:r>
      <w:r>
        <w:rPr>
          <w:rFonts w:ascii="Abadi" w:hAnsi="Abadi" w:cs="*Arial-7149-Identity-H"/>
          <w:color w:val="0A0A0A"/>
          <w:sz w:val="21"/>
          <w:szCs w:val="21"/>
        </w:rPr>
        <w:t xml:space="preserve"> </w:t>
      </w:r>
      <w:r w:rsidRPr="00FA7CEF">
        <w:rPr>
          <w:rFonts w:ascii="Abadi" w:hAnsi="Abadi" w:cs="*Arial-7149-Identity-H"/>
          <w:color w:val="0A0A0A"/>
          <w:sz w:val="21"/>
          <w:szCs w:val="21"/>
        </w:rPr>
        <w:t>conjuntas entre el sector público y el sector privado para ampliar</w:t>
      </w:r>
      <w:r>
        <w:rPr>
          <w:rFonts w:ascii="Abadi" w:hAnsi="Abadi" w:cs="*Arial-7149-Identity-H"/>
          <w:color w:val="0A0A0A"/>
          <w:sz w:val="21"/>
          <w:szCs w:val="21"/>
        </w:rPr>
        <w:t xml:space="preserve"> </w:t>
      </w:r>
      <w:r w:rsidRPr="00FA7CEF">
        <w:rPr>
          <w:rFonts w:ascii="Abadi" w:hAnsi="Abadi" w:cs="*Arial-7149-Identity-H"/>
          <w:color w:val="0A0A0A"/>
          <w:sz w:val="21"/>
          <w:szCs w:val="21"/>
        </w:rPr>
        <w:t>alcances, objetivos y metas en el cumplimiento del propósito de la</w:t>
      </w:r>
      <w:r>
        <w:rPr>
          <w:rFonts w:ascii="Abadi" w:hAnsi="Abadi" w:cs="*Arial-7149-Identity-H"/>
          <w:color w:val="0A0A0A"/>
          <w:sz w:val="21"/>
          <w:szCs w:val="21"/>
        </w:rPr>
        <w:t xml:space="preserve"> </w:t>
      </w:r>
      <w:r w:rsidRPr="00FA7CEF">
        <w:rPr>
          <w:rFonts w:ascii="Abadi" w:hAnsi="Abadi" w:cs="*Arial-7149-Identity-H"/>
          <w:color w:val="0A0A0A"/>
          <w:sz w:val="21"/>
          <w:szCs w:val="21"/>
        </w:rPr>
        <w:t>presente Ley.</w:t>
      </w:r>
    </w:p>
    <w:p w14:paraId="0F3E3894" w14:textId="77777777" w:rsidR="00D0323E" w:rsidRPr="00FA7CEF" w:rsidRDefault="00D0323E" w:rsidP="00D0323E">
      <w:pPr>
        <w:autoSpaceDE w:val="0"/>
        <w:autoSpaceDN w:val="0"/>
        <w:adjustRightInd w:val="0"/>
        <w:jc w:val="both"/>
        <w:rPr>
          <w:rFonts w:ascii="Abadi" w:hAnsi="Abadi" w:cs="*Arial-7149-Identity-H"/>
          <w:color w:val="0A0A0A"/>
          <w:sz w:val="21"/>
          <w:szCs w:val="21"/>
        </w:rPr>
      </w:pPr>
    </w:p>
    <w:p w14:paraId="610D2E13" w14:textId="77777777" w:rsidR="00D0323E" w:rsidRPr="00FA7CEF" w:rsidRDefault="00D0323E" w:rsidP="00D0323E">
      <w:pPr>
        <w:autoSpaceDE w:val="0"/>
        <w:autoSpaceDN w:val="0"/>
        <w:adjustRightInd w:val="0"/>
        <w:jc w:val="both"/>
        <w:rPr>
          <w:rFonts w:ascii="Abadi" w:hAnsi="Abadi" w:cs="*Arial-BoldItalic-7148-Identity"/>
          <w:b/>
          <w:bCs/>
          <w:i/>
          <w:iCs/>
          <w:color w:val="0A0A0A"/>
          <w:sz w:val="21"/>
          <w:szCs w:val="21"/>
        </w:rPr>
      </w:pPr>
      <w:r w:rsidRPr="00FA7CEF">
        <w:rPr>
          <w:rFonts w:ascii="Abadi" w:hAnsi="Abadi" w:cs="*Arial-BoldItalic-7148-Identity"/>
          <w:b/>
          <w:bCs/>
          <w:i/>
          <w:iCs/>
          <w:color w:val="0A0A0A"/>
          <w:sz w:val="21"/>
          <w:szCs w:val="21"/>
        </w:rPr>
        <w:t>Autosostenibilidad</w:t>
      </w:r>
    </w:p>
    <w:p w14:paraId="51AD8477" w14:textId="77777777" w:rsidR="00D0323E" w:rsidRPr="00FA7CEF" w:rsidRDefault="00D0323E" w:rsidP="00D0323E">
      <w:pPr>
        <w:autoSpaceDE w:val="0"/>
        <w:autoSpaceDN w:val="0"/>
        <w:adjustRightInd w:val="0"/>
        <w:jc w:val="both"/>
        <w:rPr>
          <w:rFonts w:ascii="Abadi" w:hAnsi="Abadi" w:cs="*Arial-7149-Identity-H"/>
          <w:color w:val="0A0A0A"/>
          <w:sz w:val="21"/>
          <w:szCs w:val="21"/>
        </w:rPr>
      </w:pPr>
      <w:r w:rsidRPr="00FA7CEF">
        <w:rPr>
          <w:rFonts w:ascii="Abadi" w:hAnsi="Abadi" w:cs="*Arial-Bold-7150-Identity-H"/>
          <w:b/>
          <w:bCs/>
          <w:color w:val="0A0A0A"/>
          <w:sz w:val="21"/>
          <w:szCs w:val="21"/>
        </w:rPr>
        <w:t xml:space="preserve">ARTÍCULO </w:t>
      </w:r>
      <w:r w:rsidRPr="00FA7CEF">
        <w:rPr>
          <w:rFonts w:ascii="Abadi" w:hAnsi="Abadi" w:cs="*Arial-7149-Identity-H"/>
          <w:color w:val="0A0A0A"/>
          <w:sz w:val="21"/>
          <w:szCs w:val="21"/>
        </w:rPr>
        <w:t>15. La oferta de productos crediticios, su administración y</w:t>
      </w:r>
      <w:r>
        <w:rPr>
          <w:rFonts w:ascii="Abadi" w:hAnsi="Abadi" w:cs="*Arial-7149-Identity-H"/>
          <w:color w:val="0A0A0A"/>
          <w:sz w:val="21"/>
          <w:szCs w:val="21"/>
        </w:rPr>
        <w:t xml:space="preserve"> </w:t>
      </w:r>
      <w:r w:rsidRPr="00FA7CEF">
        <w:rPr>
          <w:rFonts w:ascii="Abadi" w:hAnsi="Abadi" w:cs="*Arial-7149-Identity-H"/>
          <w:color w:val="0A0A0A"/>
          <w:sz w:val="21"/>
          <w:szCs w:val="21"/>
        </w:rPr>
        <w:t>evaluación, así como las políticas crediticias procurarán la</w:t>
      </w:r>
      <w:r>
        <w:rPr>
          <w:rFonts w:ascii="Abadi" w:hAnsi="Abadi" w:cs="*Arial-7149-Identity-H"/>
          <w:color w:val="0A0A0A"/>
          <w:sz w:val="21"/>
          <w:szCs w:val="21"/>
        </w:rPr>
        <w:t xml:space="preserve"> </w:t>
      </w:r>
      <w:r w:rsidRPr="00FA7CEF">
        <w:rPr>
          <w:rFonts w:ascii="Abadi" w:hAnsi="Abadi" w:cs="*Arial-7149-Identity-H"/>
          <w:color w:val="0A0A0A"/>
          <w:sz w:val="21"/>
          <w:szCs w:val="21"/>
        </w:rPr>
        <w:t>autosostenibilidad del organismo.</w:t>
      </w:r>
    </w:p>
    <w:p w14:paraId="08BFA2D9" w14:textId="77777777" w:rsidR="00D0323E" w:rsidRDefault="00D0323E" w:rsidP="00D0323E">
      <w:pPr>
        <w:autoSpaceDE w:val="0"/>
        <w:autoSpaceDN w:val="0"/>
        <w:adjustRightInd w:val="0"/>
        <w:jc w:val="both"/>
        <w:rPr>
          <w:rFonts w:ascii="Abadi" w:hAnsi="Abadi" w:cs="*Arial-Bold-7151-Identity-H"/>
          <w:b/>
          <w:bCs/>
          <w:color w:val="101010"/>
          <w:sz w:val="21"/>
          <w:szCs w:val="21"/>
        </w:rPr>
      </w:pPr>
    </w:p>
    <w:p w14:paraId="3AD71B99" w14:textId="77777777" w:rsidR="00D0323E" w:rsidRPr="00FA7CEF" w:rsidRDefault="00D0323E" w:rsidP="00D0323E">
      <w:pPr>
        <w:autoSpaceDE w:val="0"/>
        <w:autoSpaceDN w:val="0"/>
        <w:adjustRightInd w:val="0"/>
        <w:jc w:val="center"/>
        <w:rPr>
          <w:rFonts w:ascii="Abadi" w:hAnsi="Abadi" w:cs="*Arial-Bold-7151-Identity-H"/>
          <w:b/>
          <w:bCs/>
          <w:color w:val="101010"/>
          <w:sz w:val="21"/>
          <w:szCs w:val="21"/>
        </w:rPr>
      </w:pPr>
      <w:r w:rsidRPr="00FA7CEF">
        <w:rPr>
          <w:rFonts w:ascii="Abadi" w:hAnsi="Abadi" w:cs="*Arial-Bold-7151-Identity-H"/>
          <w:b/>
          <w:bCs/>
          <w:color w:val="101010"/>
          <w:sz w:val="21"/>
          <w:szCs w:val="21"/>
        </w:rPr>
        <w:t>Capítulo IV</w:t>
      </w:r>
    </w:p>
    <w:p w14:paraId="694AA255" w14:textId="77777777" w:rsidR="00D0323E" w:rsidRPr="00FA7CEF" w:rsidRDefault="00D0323E" w:rsidP="00D0323E">
      <w:pPr>
        <w:autoSpaceDE w:val="0"/>
        <w:autoSpaceDN w:val="0"/>
        <w:adjustRightInd w:val="0"/>
        <w:jc w:val="center"/>
        <w:rPr>
          <w:rFonts w:ascii="Abadi" w:hAnsi="Abadi" w:cs="*Arial-Bold-7151-Identity-H"/>
          <w:b/>
          <w:bCs/>
          <w:color w:val="0E0E0E"/>
          <w:sz w:val="21"/>
          <w:szCs w:val="21"/>
        </w:rPr>
      </w:pPr>
      <w:r w:rsidRPr="00FA7CEF">
        <w:rPr>
          <w:rFonts w:ascii="Abadi" w:hAnsi="Abadi" w:cs="*Arial-Bold-7151-Identity-H"/>
          <w:b/>
          <w:bCs/>
          <w:color w:val="0E0E0E"/>
          <w:sz w:val="21"/>
          <w:szCs w:val="21"/>
        </w:rPr>
        <w:t>De la promoción a emprendedores en la entidad</w:t>
      </w:r>
    </w:p>
    <w:p w14:paraId="6F428A57" w14:textId="77777777" w:rsidR="00D0323E" w:rsidRDefault="00D0323E" w:rsidP="00D0323E">
      <w:pPr>
        <w:autoSpaceDE w:val="0"/>
        <w:autoSpaceDN w:val="0"/>
        <w:adjustRightInd w:val="0"/>
        <w:jc w:val="center"/>
        <w:rPr>
          <w:rFonts w:ascii="Abadi" w:hAnsi="Abadi" w:cs="*Arial-BoldItalic-7148-Identity"/>
          <w:b/>
          <w:bCs/>
          <w:i/>
          <w:iCs/>
          <w:color w:val="0B0B0B"/>
          <w:sz w:val="21"/>
          <w:szCs w:val="21"/>
        </w:rPr>
      </w:pPr>
    </w:p>
    <w:p w14:paraId="66C22849" w14:textId="77777777" w:rsidR="00D0323E" w:rsidRPr="00FA7CEF" w:rsidRDefault="00D0323E" w:rsidP="00D0323E">
      <w:pPr>
        <w:autoSpaceDE w:val="0"/>
        <w:autoSpaceDN w:val="0"/>
        <w:adjustRightInd w:val="0"/>
        <w:jc w:val="center"/>
        <w:rPr>
          <w:rFonts w:ascii="Abadi" w:hAnsi="Abadi" w:cs="*Arial-BoldItalic-7148-Identity"/>
          <w:b/>
          <w:bCs/>
          <w:i/>
          <w:iCs/>
          <w:color w:val="0B0B0B"/>
          <w:sz w:val="21"/>
          <w:szCs w:val="21"/>
        </w:rPr>
      </w:pPr>
      <w:r w:rsidRPr="00FA7CEF">
        <w:rPr>
          <w:rFonts w:ascii="Abadi" w:hAnsi="Abadi" w:cs="*Arial-BoldItalic-7148-Identity"/>
          <w:b/>
          <w:bCs/>
          <w:i/>
          <w:iCs/>
          <w:color w:val="0B0B0B"/>
          <w:sz w:val="21"/>
          <w:szCs w:val="21"/>
        </w:rPr>
        <w:t>Impulso a emprendedores</w:t>
      </w:r>
    </w:p>
    <w:p w14:paraId="41905BF3" w14:textId="77777777" w:rsidR="00D0323E" w:rsidRDefault="00D0323E" w:rsidP="00D0323E">
      <w:pPr>
        <w:autoSpaceDE w:val="0"/>
        <w:autoSpaceDN w:val="0"/>
        <w:adjustRightInd w:val="0"/>
        <w:jc w:val="both"/>
        <w:rPr>
          <w:rFonts w:ascii="Abadi" w:hAnsi="Abadi" w:cs="*Arial-Bold-7150-Identity-H"/>
          <w:b/>
          <w:bCs/>
          <w:color w:val="090909"/>
          <w:sz w:val="21"/>
          <w:szCs w:val="21"/>
        </w:rPr>
      </w:pPr>
    </w:p>
    <w:p w14:paraId="5A24548A" w14:textId="77777777" w:rsidR="00D0323E" w:rsidRDefault="00D0323E" w:rsidP="00D0323E">
      <w:pPr>
        <w:autoSpaceDE w:val="0"/>
        <w:autoSpaceDN w:val="0"/>
        <w:adjustRightInd w:val="0"/>
        <w:jc w:val="both"/>
        <w:rPr>
          <w:rFonts w:ascii="Abadi" w:hAnsi="Abadi" w:cs="*Arial-7149-Identity-H"/>
          <w:color w:val="090909"/>
          <w:sz w:val="21"/>
          <w:szCs w:val="21"/>
        </w:rPr>
      </w:pPr>
      <w:r w:rsidRPr="00FA7CEF">
        <w:rPr>
          <w:rFonts w:ascii="Abadi" w:hAnsi="Abadi" w:cs="*Arial-Bold-7150-Identity-H"/>
          <w:b/>
          <w:bCs/>
          <w:color w:val="090909"/>
          <w:sz w:val="21"/>
          <w:szCs w:val="21"/>
        </w:rPr>
        <w:t xml:space="preserve">ARTÍCULO </w:t>
      </w:r>
      <w:r w:rsidRPr="00FA7CEF">
        <w:rPr>
          <w:rFonts w:ascii="Abadi" w:hAnsi="Abadi" w:cs="*Arial-7149-Identity-H"/>
          <w:color w:val="090909"/>
          <w:sz w:val="21"/>
          <w:szCs w:val="21"/>
        </w:rPr>
        <w:t>16. Se deberá tener un programa de financiamiento específico</w:t>
      </w:r>
      <w:r>
        <w:rPr>
          <w:rFonts w:ascii="Abadi" w:hAnsi="Abadi" w:cs="*Arial-7149-Identity-H"/>
          <w:color w:val="090909"/>
          <w:sz w:val="21"/>
          <w:szCs w:val="21"/>
        </w:rPr>
        <w:t xml:space="preserve"> </w:t>
      </w:r>
      <w:r w:rsidRPr="00FA7CEF">
        <w:rPr>
          <w:rFonts w:ascii="Abadi" w:hAnsi="Abadi" w:cs="*Arial-7149-Identity-H"/>
          <w:color w:val="090909"/>
          <w:sz w:val="21"/>
          <w:szCs w:val="21"/>
        </w:rPr>
        <w:t xml:space="preserve">para impulsar iniciativas </w:t>
      </w:r>
      <w:r w:rsidRPr="00FA7CEF">
        <w:rPr>
          <w:rFonts w:ascii="Abadi" w:hAnsi="Abadi" w:cs="*Arial-7149-Identity-H"/>
          <w:color w:val="090909"/>
          <w:sz w:val="21"/>
          <w:szCs w:val="21"/>
        </w:rPr>
        <w:t>productivas de la juventud en la entidad. Para</w:t>
      </w:r>
      <w:r>
        <w:rPr>
          <w:rFonts w:ascii="Abadi" w:hAnsi="Abadi" w:cs="*Arial-7149-Identity-H"/>
          <w:color w:val="090909"/>
          <w:sz w:val="21"/>
          <w:szCs w:val="21"/>
        </w:rPr>
        <w:t xml:space="preserve"> </w:t>
      </w:r>
      <w:r w:rsidRPr="00FA7CEF">
        <w:rPr>
          <w:rFonts w:ascii="Abadi" w:hAnsi="Abadi" w:cs="*Arial-7149-Identity-H"/>
          <w:color w:val="090909"/>
          <w:sz w:val="21"/>
          <w:szCs w:val="21"/>
        </w:rPr>
        <w:t>tal efecto, se deberán promover políticas y estrategias enfocadas en la</w:t>
      </w:r>
      <w:r>
        <w:rPr>
          <w:rFonts w:ascii="Abadi" w:hAnsi="Abadi" w:cs="*Arial-7149-Identity-H"/>
          <w:color w:val="090909"/>
          <w:sz w:val="21"/>
          <w:szCs w:val="21"/>
        </w:rPr>
        <w:t xml:space="preserve"> </w:t>
      </w:r>
      <w:r w:rsidRPr="00FA7CEF">
        <w:rPr>
          <w:rFonts w:ascii="Abadi" w:hAnsi="Abadi" w:cs="*Arial-7149-Identity-H"/>
          <w:color w:val="090909"/>
          <w:sz w:val="21"/>
          <w:szCs w:val="21"/>
        </w:rPr>
        <w:t>cultura emprendedora de los jóvenes guanajuatenses a fin de fomentar</w:t>
      </w:r>
      <w:r>
        <w:rPr>
          <w:rFonts w:ascii="Abadi" w:hAnsi="Abadi" w:cs="*Arial-7149-Identity-H"/>
          <w:color w:val="090909"/>
          <w:sz w:val="21"/>
          <w:szCs w:val="21"/>
        </w:rPr>
        <w:t xml:space="preserve"> </w:t>
      </w:r>
      <w:r w:rsidRPr="00FA7CEF">
        <w:rPr>
          <w:rFonts w:ascii="Abadi" w:hAnsi="Abadi" w:cs="*Arial-7149-Identity-H"/>
          <w:color w:val="090909"/>
          <w:sz w:val="21"/>
          <w:szCs w:val="21"/>
        </w:rPr>
        <w:t>la inclusión de los jóvenes en el sector empresarial.</w:t>
      </w:r>
      <w:r>
        <w:rPr>
          <w:rFonts w:ascii="Abadi" w:hAnsi="Abadi" w:cs="*Arial-7149-Identity-H"/>
          <w:color w:val="090909"/>
          <w:sz w:val="21"/>
          <w:szCs w:val="21"/>
        </w:rPr>
        <w:t xml:space="preserve"> </w:t>
      </w:r>
    </w:p>
    <w:p w14:paraId="3ECC151D" w14:textId="77777777" w:rsidR="00D0323E" w:rsidRDefault="00D0323E" w:rsidP="00D0323E">
      <w:pPr>
        <w:autoSpaceDE w:val="0"/>
        <w:autoSpaceDN w:val="0"/>
        <w:adjustRightInd w:val="0"/>
        <w:jc w:val="both"/>
        <w:rPr>
          <w:rFonts w:ascii="Abadi" w:hAnsi="Abadi" w:cs="*Arial-7149-Identity-H"/>
          <w:color w:val="090909"/>
          <w:sz w:val="21"/>
          <w:szCs w:val="21"/>
        </w:rPr>
      </w:pPr>
    </w:p>
    <w:p w14:paraId="3652D15A" w14:textId="77777777" w:rsidR="00D0323E" w:rsidRDefault="00D0323E" w:rsidP="00D0323E">
      <w:pPr>
        <w:autoSpaceDE w:val="0"/>
        <w:autoSpaceDN w:val="0"/>
        <w:adjustRightInd w:val="0"/>
        <w:jc w:val="both"/>
        <w:rPr>
          <w:rFonts w:ascii="Abadi" w:hAnsi="Abadi" w:cs="*Arial-Bold-7150-Identity-H"/>
          <w:b/>
          <w:bCs/>
          <w:color w:val="0B0B0B"/>
          <w:sz w:val="21"/>
          <w:szCs w:val="21"/>
        </w:rPr>
      </w:pPr>
    </w:p>
    <w:p w14:paraId="22363F0A" w14:textId="77777777" w:rsidR="00D0323E" w:rsidRPr="00FA7CEF" w:rsidRDefault="00D0323E" w:rsidP="00D0323E">
      <w:pPr>
        <w:autoSpaceDE w:val="0"/>
        <w:autoSpaceDN w:val="0"/>
        <w:adjustRightInd w:val="0"/>
        <w:jc w:val="both"/>
        <w:rPr>
          <w:rFonts w:ascii="Abadi" w:hAnsi="Abadi" w:cs="*Arial-6117-Identity-H"/>
          <w:color w:val="0C0C0C"/>
          <w:sz w:val="21"/>
          <w:szCs w:val="21"/>
        </w:rPr>
      </w:pPr>
      <w:r w:rsidRPr="00FA7CEF">
        <w:rPr>
          <w:rFonts w:ascii="Abadi" w:hAnsi="Abadi" w:cs="*Arial-Bold-7150-Identity-H"/>
          <w:b/>
          <w:bCs/>
          <w:color w:val="0B0B0B"/>
          <w:sz w:val="21"/>
          <w:szCs w:val="21"/>
        </w:rPr>
        <w:t xml:space="preserve">ARTÍCULO </w:t>
      </w:r>
      <w:r w:rsidRPr="00FA7CEF">
        <w:rPr>
          <w:rFonts w:ascii="Abadi" w:hAnsi="Abadi" w:cs="*Arial-7149-Identity-H"/>
          <w:color w:val="0B0B0B"/>
          <w:sz w:val="21"/>
          <w:szCs w:val="21"/>
        </w:rPr>
        <w:t>17. Serán sujetos de crédito para emprendedores en la</w:t>
      </w:r>
      <w:r>
        <w:rPr>
          <w:rFonts w:ascii="Abadi" w:hAnsi="Abadi" w:cs="*Arial-7149-Identity-H"/>
          <w:color w:val="0B0B0B"/>
          <w:sz w:val="21"/>
          <w:szCs w:val="21"/>
        </w:rPr>
        <w:t xml:space="preserve"> </w:t>
      </w:r>
      <w:r w:rsidRPr="00FA7CEF">
        <w:rPr>
          <w:rFonts w:ascii="Abadi" w:hAnsi="Abadi" w:cs="*Arial-7149-Identity-H"/>
          <w:color w:val="0B0B0B"/>
          <w:sz w:val="21"/>
          <w:szCs w:val="21"/>
        </w:rPr>
        <w:t>entidad todas las personas físicas entre los 18 y los 29 años de edad,</w:t>
      </w:r>
      <w:r>
        <w:rPr>
          <w:rFonts w:ascii="Abadi" w:hAnsi="Abadi" w:cs="*Arial-7149-Identity-H"/>
          <w:color w:val="0B0B0B"/>
          <w:sz w:val="21"/>
          <w:szCs w:val="21"/>
        </w:rPr>
        <w:t xml:space="preserve"> </w:t>
      </w:r>
      <w:r w:rsidRPr="00FA7CEF">
        <w:rPr>
          <w:rFonts w:ascii="Abadi" w:hAnsi="Abadi" w:cs="*Arial-6117-Identity-H"/>
          <w:color w:val="0C0C0C"/>
          <w:sz w:val="21"/>
          <w:szCs w:val="21"/>
        </w:rPr>
        <w:t>residentes del Estado de Guanajuato, que presenten proyectos</w:t>
      </w:r>
    </w:p>
    <w:p w14:paraId="161D3834" w14:textId="77777777" w:rsidR="00D0323E" w:rsidRDefault="00D0323E" w:rsidP="00D0323E">
      <w:pPr>
        <w:autoSpaceDE w:val="0"/>
        <w:autoSpaceDN w:val="0"/>
        <w:adjustRightInd w:val="0"/>
        <w:jc w:val="both"/>
        <w:rPr>
          <w:rFonts w:ascii="Abadi" w:hAnsi="Abadi" w:cs="*Arial-6117-Identity-H"/>
          <w:color w:val="0C0C0C"/>
          <w:sz w:val="21"/>
          <w:szCs w:val="21"/>
        </w:rPr>
      </w:pPr>
      <w:r w:rsidRPr="00FA7CEF">
        <w:rPr>
          <w:rFonts w:ascii="Abadi" w:hAnsi="Abadi" w:cs="*Arial-6117-Identity-H"/>
          <w:color w:val="0C0C0C"/>
          <w:sz w:val="21"/>
          <w:szCs w:val="21"/>
        </w:rPr>
        <w:t>productivos, propuestas de creación de empresas, o iniciativas que</w:t>
      </w:r>
      <w:r>
        <w:rPr>
          <w:rFonts w:ascii="Abadi" w:hAnsi="Abadi" w:cs="*Arial-6117-Identity-H"/>
          <w:color w:val="0C0C0C"/>
          <w:sz w:val="21"/>
          <w:szCs w:val="21"/>
        </w:rPr>
        <w:t xml:space="preserve"> </w:t>
      </w:r>
      <w:r w:rsidRPr="00FA7CEF">
        <w:rPr>
          <w:rFonts w:ascii="Abadi" w:hAnsi="Abadi" w:cs="*Arial-6117-Identity-H"/>
          <w:color w:val="0C0C0C"/>
          <w:sz w:val="21"/>
          <w:szCs w:val="21"/>
        </w:rPr>
        <w:t>generen y conserven fuentes de empleo.</w:t>
      </w:r>
    </w:p>
    <w:p w14:paraId="7A01E6FF" w14:textId="77777777" w:rsidR="00D0323E" w:rsidRPr="00FA7CEF" w:rsidRDefault="00D0323E" w:rsidP="00D0323E">
      <w:pPr>
        <w:autoSpaceDE w:val="0"/>
        <w:autoSpaceDN w:val="0"/>
        <w:adjustRightInd w:val="0"/>
        <w:jc w:val="both"/>
        <w:rPr>
          <w:rFonts w:ascii="Abadi" w:hAnsi="Abadi" w:cs="*Arial-6117-Identity-H"/>
          <w:color w:val="0C0C0C"/>
          <w:sz w:val="21"/>
          <w:szCs w:val="21"/>
        </w:rPr>
      </w:pPr>
    </w:p>
    <w:p w14:paraId="3607C91C" w14:textId="77777777" w:rsidR="00D0323E" w:rsidRDefault="00D0323E" w:rsidP="00D0323E">
      <w:pPr>
        <w:autoSpaceDE w:val="0"/>
        <w:autoSpaceDN w:val="0"/>
        <w:adjustRightInd w:val="0"/>
        <w:jc w:val="both"/>
        <w:rPr>
          <w:rFonts w:ascii="Abadi" w:hAnsi="Abadi" w:cs="*Arial-6117-Identity-H"/>
          <w:color w:val="0B0B0B"/>
          <w:sz w:val="21"/>
          <w:szCs w:val="21"/>
        </w:rPr>
      </w:pPr>
      <w:r w:rsidRPr="00FA7CEF">
        <w:rPr>
          <w:rFonts w:ascii="Abadi" w:hAnsi="Abadi" w:cs="*Arial-Bold-6118-Identity-H"/>
          <w:b/>
          <w:bCs/>
          <w:color w:val="0B0B0B"/>
          <w:sz w:val="21"/>
          <w:szCs w:val="21"/>
        </w:rPr>
        <w:t xml:space="preserve">ARTÍCULO </w:t>
      </w:r>
      <w:r w:rsidRPr="00FA7CEF">
        <w:rPr>
          <w:rFonts w:ascii="Abadi" w:hAnsi="Abadi" w:cs="*Arial-6117-Identity-H"/>
          <w:color w:val="0B0B0B"/>
          <w:sz w:val="21"/>
          <w:szCs w:val="21"/>
        </w:rPr>
        <w:t>18. En el otorgamiento de créditos a jóvenes emprendedores</w:t>
      </w:r>
      <w:r>
        <w:rPr>
          <w:rFonts w:ascii="Abadi" w:hAnsi="Abadi" w:cs="*Arial-6117-Identity-H"/>
          <w:color w:val="0B0B0B"/>
          <w:sz w:val="21"/>
          <w:szCs w:val="21"/>
        </w:rPr>
        <w:t xml:space="preserve"> </w:t>
      </w:r>
      <w:r w:rsidRPr="00FA7CEF">
        <w:rPr>
          <w:rFonts w:ascii="Abadi" w:hAnsi="Abadi" w:cs="*Arial-6117-Identity-H"/>
          <w:color w:val="0B0B0B"/>
          <w:sz w:val="21"/>
          <w:szCs w:val="21"/>
        </w:rPr>
        <w:t>se considerarán y privilegiarán los siguientes criterios:</w:t>
      </w:r>
      <w:r>
        <w:rPr>
          <w:rFonts w:ascii="Abadi" w:hAnsi="Abadi" w:cs="*Arial-6117-Identity-H"/>
          <w:color w:val="0B0B0B"/>
          <w:sz w:val="21"/>
          <w:szCs w:val="21"/>
        </w:rPr>
        <w:t xml:space="preserve"> </w:t>
      </w:r>
    </w:p>
    <w:p w14:paraId="63BB1667" w14:textId="77777777" w:rsidR="00D0323E" w:rsidRDefault="00D0323E" w:rsidP="00D0323E">
      <w:pPr>
        <w:autoSpaceDE w:val="0"/>
        <w:autoSpaceDN w:val="0"/>
        <w:adjustRightInd w:val="0"/>
        <w:jc w:val="both"/>
        <w:rPr>
          <w:rFonts w:ascii="Abadi" w:hAnsi="Abadi" w:cs="*Arial-6117-Identity-H"/>
          <w:color w:val="0B0B0B"/>
          <w:sz w:val="21"/>
          <w:szCs w:val="21"/>
        </w:rPr>
      </w:pPr>
    </w:p>
    <w:p w14:paraId="1B576874" w14:textId="77777777" w:rsidR="00D0323E" w:rsidRDefault="00D0323E" w:rsidP="00D0323E">
      <w:pPr>
        <w:autoSpaceDE w:val="0"/>
        <w:autoSpaceDN w:val="0"/>
        <w:adjustRightInd w:val="0"/>
        <w:jc w:val="both"/>
        <w:rPr>
          <w:rFonts w:ascii="Abadi" w:hAnsi="Abadi" w:cs="*Arial-6117-Identity-H"/>
          <w:color w:val="0B0B0B"/>
          <w:sz w:val="21"/>
          <w:szCs w:val="21"/>
        </w:rPr>
      </w:pPr>
    </w:p>
    <w:p w14:paraId="034EE75C" w14:textId="77777777" w:rsidR="00D0323E" w:rsidRDefault="00D0323E" w:rsidP="00D0323E">
      <w:pPr>
        <w:autoSpaceDE w:val="0"/>
        <w:autoSpaceDN w:val="0"/>
        <w:adjustRightInd w:val="0"/>
        <w:jc w:val="both"/>
        <w:rPr>
          <w:rFonts w:ascii="Abadi" w:hAnsi="Abadi" w:cs="*Arial-6117-Identity-H"/>
          <w:color w:val="0B0B0B"/>
          <w:sz w:val="21"/>
          <w:szCs w:val="21"/>
        </w:rPr>
      </w:pPr>
    </w:p>
    <w:p w14:paraId="050E7743" w14:textId="77777777" w:rsidR="00D0323E" w:rsidRPr="000618FE" w:rsidRDefault="00D0323E" w:rsidP="005433FA">
      <w:pPr>
        <w:pStyle w:val="Prrafodelista"/>
        <w:numPr>
          <w:ilvl w:val="0"/>
          <w:numId w:val="16"/>
        </w:numPr>
        <w:autoSpaceDE w:val="0"/>
        <w:autoSpaceDN w:val="0"/>
        <w:adjustRightInd w:val="0"/>
        <w:contextualSpacing/>
        <w:jc w:val="both"/>
        <w:rPr>
          <w:rFonts w:ascii="Abadi" w:hAnsi="Abadi" w:cs="*Arial-6117-Identity-H"/>
          <w:color w:val="090909"/>
          <w:sz w:val="21"/>
          <w:szCs w:val="21"/>
        </w:rPr>
      </w:pPr>
      <w:r w:rsidRPr="000618FE">
        <w:rPr>
          <w:rFonts w:ascii="Abadi" w:hAnsi="Abadi" w:cs="*Arial-6117-Identity-H"/>
          <w:color w:val="090909"/>
          <w:sz w:val="21"/>
          <w:szCs w:val="21"/>
        </w:rPr>
        <w:t>Creación y conservación de fuentes de empleo para jóvenes.</w:t>
      </w:r>
    </w:p>
    <w:p w14:paraId="1701F9B8" w14:textId="77777777" w:rsidR="00D0323E" w:rsidRPr="00FA7CEF" w:rsidRDefault="00D0323E" w:rsidP="00D0323E">
      <w:pPr>
        <w:autoSpaceDE w:val="0"/>
        <w:autoSpaceDN w:val="0"/>
        <w:adjustRightInd w:val="0"/>
        <w:jc w:val="both"/>
        <w:rPr>
          <w:rFonts w:ascii="Abadi" w:hAnsi="Abadi" w:cs="*Arial-6117-Identity-H"/>
          <w:color w:val="090909"/>
          <w:sz w:val="21"/>
          <w:szCs w:val="21"/>
        </w:rPr>
      </w:pPr>
    </w:p>
    <w:p w14:paraId="41D5D10A" w14:textId="77777777" w:rsidR="00D0323E" w:rsidRPr="000618FE" w:rsidRDefault="00D0323E" w:rsidP="005433FA">
      <w:pPr>
        <w:pStyle w:val="Prrafodelista"/>
        <w:numPr>
          <w:ilvl w:val="0"/>
          <w:numId w:val="16"/>
        </w:numPr>
        <w:autoSpaceDE w:val="0"/>
        <w:autoSpaceDN w:val="0"/>
        <w:adjustRightInd w:val="0"/>
        <w:contextualSpacing/>
        <w:jc w:val="both"/>
        <w:rPr>
          <w:rFonts w:ascii="Abadi" w:hAnsi="Abadi" w:cs="*Arial-6117-Identity-H"/>
          <w:color w:val="0A0A0A"/>
          <w:sz w:val="21"/>
          <w:szCs w:val="21"/>
        </w:rPr>
      </w:pPr>
      <w:r w:rsidRPr="000618FE">
        <w:rPr>
          <w:rFonts w:ascii="Abadi" w:hAnsi="Abadi" w:cs="*Arial-6117-Identity-H"/>
          <w:color w:val="0A0A0A"/>
          <w:sz w:val="21"/>
          <w:szCs w:val="21"/>
        </w:rPr>
        <w:t>Proyectos que tengan un enfoque de género y que promuevan la igualdad, la equidad, el adelanto y el bienestar de las mujeres jóvenes.</w:t>
      </w:r>
    </w:p>
    <w:p w14:paraId="42C148FB" w14:textId="77777777" w:rsidR="00D0323E" w:rsidRPr="00FA7CEF" w:rsidRDefault="00D0323E" w:rsidP="00D0323E">
      <w:pPr>
        <w:autoSpaceDE w:val="0"/>
        <w:autoSpaceDN w:val="0"/>
        <w:adjustRightInd w:val="0"/>
        <w:jc w:val="both"/>
        <w:rPr>
          <w:rFonts w:ascii="Abadi" w:hAnsi="Abadi" w:cs="*Arial-6117-Identity-H"/>
          <w:color w:val="0A0A0A"/>
          <w:sz w:val="21"/>
          <w:szCs w:val="21"/>
        </w:rPr>
      </w:pPr>
    </w:p>
    <w:p w14:paraId="0C19AD56" w14:textId="77777777" w:rsidR="00D0323E" w:rsidRPr="000618FE" w:rsidRDefault="00D0323E" w:rsidP="005433FA">
      <w:pPr>
        <w:pStyle w:val="Prrafodelista"/>
        <w:numPr>
          <w:ilvl w:val="0"/>
          <w:numId w:val="16"/>
        </w:numPr>
        <w:autoSpaceDE w:val="0"/>
        <w:autoSpaceDN w:val="0"/>
        <w:adjustRightInd w:val="0"/>
        <w:contextualSpacing/>
        <w:jc w:val="both"/>
        <w:rPr>
          <w:rFonts w:ascii="Abadi" w:hAnsi="Abadi" w:cs="*Arial-6117-Identity-H"/>
          <w:color w:val="0A0A0A"/>
          <w:sz w:val="21"/>
          <w:szCs w:val="21"/>
        </w:rPr>
      </w:pPr>
      <w:r w:rsidRPr="000618FE">
        <w:rPr>
          <w:rFonts w:ascii="Abadi" w:hAnsi="Abadi" w:cs="*Arial-6117-Identity-H"/>
          <w:color w:val="0A0A0A"/>
          <w:sz w:val="21"/>
          <w:szCs w:val="21"/>
        </w:rPr>
        <w:t>Generación de valor económico en los sectores económicos prioritarios de regiones y municipios de la entidad a fin de fomentar el desarrollo local de comunidades.</w:t>
      </w:r>
    </w:p>
    <w:p w14:paraId="501B8226" w14:textId="77777777" w:rsidR="00D0323E" w:rsidRPr="00FA7CEF" w:rsidRDefault="00D0323E" w:rsidP="00D0323E">
      <w:pPr>
        <w:autoSpaceDE w:val="0"/>
        <w:autoSpaceDN w:val="0"/>
        <w:adjustRightInd w:val="0"/>
        <w:jc w:val="both"/>
        <w:rPr>
          <w:rFonts w:ascii="Abadi" w:hAnsi="Abadi" w:cs="*Arial-6117-Identity-H"/>
          <w:color w:val="0A0A0A"/>
          <w:sz w:val="21"/>
          <w:szCs w:val="21"/>
        </w:rPr>
      </w:pPr>
    </w:p>
    <w:p w14:paraId="4A5CD7B3" w14:textId="77777777" w:rsidR="00D0323E" w:rsidRPr="000618FE" w:rsidRDefault="00D0323E" w:rsidP="005433FA">
      <w:pPr>
        <w:pStyle w:val="Prrafodelista"/>
        <w:numPr>
          <w:ilvl w:val="0"/>
          <w:numId w:val="16"/>
        </w:numPr>
        <w:autoSpaceDE w:val="0"/>
        <w:autoSpaceDN w:val="0"/>
        <w:adjustRightInd w:val="0"/>
        <w:contextualSpacing/>
        <w:jc w:val="both"/>
        <w:rPr>
          <w:rFonts w:ascii="Abadi" w:hAnsi="Abadi" w:cs="*Arial-6117-Identity-H"/>
          <w:color w:val="080808"/>
          <w:sz w:val="21"/>
          <w:szCs w:val="21"/>
        </w:rPr>
      </w:pPr>
      <w:r w:rsidRPr="000618FE">
        <w:rPr>
          <w:rFonts w:ascii="Abadi" w:hAnsi="Abadi" w:cs="*Arial-6117-Identity-H"/>
          <w:color w:val="080808"/>
          <w:sz w:val="21"/>
          <w:szCs w:val="21"/>
        </w:rPr>
        <w:t>Uso racional de los recursos naturales a fin de fomentar la protección y cuidado del medio ambiente;</w:t>
      </w:r>
    </w:p>
    <w:p w14:paraId="66CBDD72" w14:textId="77777777" w:rsidR="00D0323E" w:rsidRPr="00FA7CEF" w:rsidRDefault="00D0323E" w:rsidP="00D0323E">
      <w:pPr>
        <w:autoSpaceDE w:val="0"/>
        <w:autoSpaceDN w:val="0"/>
        <w:adjustRightInd w:val="0"/>
        <w:jc w:val="both"/>
        <w:rPr>
          <w:rFonts w:ascii="Abadi" w:hAnsi="Abadi" w:cs="*Arial-6117-Identity-H"/>
          <w:color w:val="080808"/>
          <w:sz w:val="21"/>
          <w:szCs w:val="21"/>
        </w:rPr>
      </w:pPr>
    </w:p>
    <w:p w14:paraId="35FB3C13" w14:textId="77777777" w:rsidR="00D0323E" w:rsidRDefault="00D0323E" w:rsidP="005433FA">
      <w:pPr>
        <w:pStyle w:val="Prrafodelista"/>
        <w:numPr>
          <w:ilvl w:val="0"/>
          <w:numId w:val="16"/>
        </w:numPr>
        <w:spacing w:after="160" w:line="259" w:lineRule="auto"/>
        <w:contextualSpacing/>
        <w:jc w:val="both"/>
        <w:rPr>
          <w:rFonts w:ascii="Abadi" w:hAnsi="Abadi" w:cs="*Arial-6117-Identity-H"/>
          <w:color w:val="090909"/>
          <w:sz w:val="21"/>
          <w:szCs w:val="21"/>
        </w:rPr>
      </w:pPr>
      <w:r w:rsidRPr="000618FE">
        <w:rPr>
          <w:rFonts w:ascii="Abadi" w:hAnsi="Abadi" w:cs="*Arial-6117-Identity-H"/>
          <w:color w:val="090909"/>
          <w:sz w:val="21"/>
          <w:szCs w:val="21"/>
        </w:rPr>
        <w:t>Uso y fomento de fuentes de energía renovable y limpia;</w:t>
      </w:r>
    </w:p>
    <w:p w14:paraId="023C80B2" w14:textId="77777777" w:rsidR="00D0323E" w:rsidRPr="000618FE" w:rsidRDefault="00D0323E" w:rsidP="00D0323E">
      <w:pPr>
        <w:pStyle w:val="Prrafodelista"/>
        <w:rPr>
          <w:rFonts w:ascii="Abadi" w:hAnsi="Abadi" w:cs="*Arial-6117-Identity-H"/>
          <w:color w:val="090909"/>
          <w:sz w:val="21"/>
          <w:szCs w:val="21"/>
        </w:rPr>
      </w:pPr>
    </w:p>
    <w:p w14:paraId="6621CD55" w14:textId="77777777" w:rsidR="00D0323E" w:rsidRPr="000618FE" w:rsidRDefault="00D0323E" w:rsidP="00D0323E">
      <w:pPr>
        <w:pStyle w:val="Prrafodelista"/>
        <w:jc w:val="both"/>
        <w:rPr>
          <w:rFonts w:ascii="Abadi" w:hAnsi="Abadi" w:cs="*Arial-6117-Identity-H"/>
          <w:color w:val="090909"/>
          <w:sz w:val="21"/>
          <w:szCs w:val="21"/>
        </w:rPr>
      </w:pPr>
    </w:p>
    <w:p w14:paraId="39CF1737" w14:textId="77777777" w:rsidR="00D0323E" w:rsidRPr="000618FE" w:rsidRDefault="00D0323E" w:rsidP="005433FA">
      <w:pPr>
        <w:pStyle w:val="Prrafodelista"/>
        <w:numPr>
          <w:ilvl w:val="0"/>
          <w:numId w:val="16"/>
        </w:numPr>
        <w:autoSpaceDE w:val="0"/>
        <w:autoSpaceDN w:val="0"/>
        <w:adjustRightInd w:val="0"/>
        <w:contextualSpacing/>
        <w:jc w:val="both"/>
        <w:rPr>
          <w:rFonts w:ascii="Abadi" w:hAnsi="Abadi" w:cs="*Arial-6776-Identity-H"/>
          <w:color w:val="0A0A0A"/>
          <w:sz w:val="21"/>
          <w:szCs w:val="21"/>
        </w:rPr>
      </w:pPr>
      <w:r w:rsidRPr="000618FE">
        <w:rPr>
          <w:rFonts w:ascii="Abadi" w:hAnsi="Abadi" w:cs="*Arial-6776-Identity-H"/>
          <w:color w:val="0A0A0A"/>
          <w:sz w:val="21"/>
          <w:szCs w:val="21"/>
        </w:rPr>
        <w:t>Aplicación de tecnologías de vanguardia en el desarrollo de procesos productivos.</w:t>
      </w:r>
    </w:p>
    <w:p w14:paraId="58BA6196" w14:textId="77777777" w:rsidR="00D0323E" w:rsidRPr="00FA7CEF" w:rsidRDefault="00D0323E" w:rsidP="00D0323E">
      <w:pPr>
        <w:autoSpaceDE w:val="0"/>
        <w:autoSpaceDN w:val="0"/>
        <w:adjustRightInd w:val="0"/>
        <w:jc w:val="both"/>
        <w:rPr>
          <w:rFonts w:ascii="Abadi" w:hAnsi="Abadi" w:cs="*Arial-6776-Identity-H"/>
          <w:color w:val="0A0A0A"/>
          <w:sz w:val="21"/>
          <w:szCs w:val="21"/>
        </w:rPr>
      </w:pPr>
    </w:p>
    <w:p w14:paraId="013E91B6" w14:textId="77777777" w:rsidR="00D0323E" w:rsidRPr="000618FE" w:rsidRDefault="00D0323E" w:rsidP="005433FA">
      <w:pPr>
        <w:pStyle w:val="Prrafodelista"/>
        <w:numPr>
          <w:ilvl w:val="0"/>
          <w:numId w:val="16"/>
        </w:numPr>
        <w:autoSpaceDE w:val="0"/>
        <w:autoSpaceDN w:val="0"/>
        <w:adjustRightInd w:val="0"/>
        <w:contextualSpacing/>
        <w:jc w:val="both"/>
        <w:rPr>
          <w:rFonts w:ascii="Abadi" w:hAnsi="Abadi" w:cs="*Arial-6776-Identity-H"/>
          <w:color w:val="0A0A0A"/>
          <w:sz w:val="21"/>
          <w:szCs w:val="21"/>
        </w:rPr>
      </w:pPr>
      <w:r w:rsidRPr="000618FE">
        <w:rPr>
          <w:rFonts w:ascii="Abadi" w:hAnsi="Abadi" w:cs="*Arial-6776-Identity-H"/>
          <w:color w:val="0A0A0A"/>
          <w:sz w:val="21"/>
          <w:szCs w:val="21"/>
        </w:rPr>
        <w:t>Proyectos que tengan enfoque a partir de la mentefactura.</w:t>
      </w:r>
    </w:p>
    <w:p w14:paraId="58689AE7" w14:textId="77777777" w:rsidR="00D0323E" w:rsidRDefault="00D0323E" w:rsidP="00D0323E">
      <w:pPr>
        <w:autoSpaceDE w:val="0"/>
        <w:autoSpaceDN w:val="0"/>
        <w:adjustRightInd w:val="0"/>
        <w:jc w:val="both"/>
        <w:rPr>
          <w:rFonts w:ascii="Abadi" w:hAnsi="Abadi" w:cs="*Arial-Bold-6778-Identity-H"/>
          <w:b/>
          <w:bCs/>
          <w:color w:val="090909"/>
          <w:sz w:val="21"/>
          <w:szCs w:val="21"/>
        </w:rPr>
      </w:pPr>
    </w:p>
    <w:p w14:paraId="400B7B11" w14:textId="77777777" w:rsidR="00D0323E" w:rsidRPr="00FA7CEF" w:rsidRDefault="00D0323E" w:rsidP="00D0323E">
      <w:pPr>
        <w:autoSpaceDE w:val="0"/>
        <w:autoSpaceDN w:val="0"/>
        <w:adjustRightInd w:val="0"/>
        <w:jc w:val="both"/>
        <w:rPr>
          <w:rFonts w:ascii="Abadi" w:hAnsi="Abadi" w:cs="*Arial-6776-Identity-H"/>
          <w:color w:val="090909"/>
          <w:sz w:val="21"/>
          <w:szCs w:val="21"/>
        </w:rPr>
      </w:pPr>
      <w:r w:rsidRPr="00FA7CEF">
        <w:rPr>
          <w:rFonts w:ascii="Abadi" w:hAnsi="Abadi" w:cs="*Arial-Bold-6778-Identity-H"/>
          <w:b/>
          <w:bCs/>
          <w:color w:val="090909"/>
          <w:sz w:val="21"/>
          <w:szCs w:val="21"/>
        </w:rPr>
        <w:t xml:space="preserve">ARTÍCULO </w:t>
      </w:r>
      <w:r w:rsidRPr="00FA7CEF">
        <w:rPr>
          <w:rFonts w:ascii="Abadi" w:hAnsi="Abadi" w:cs="*Arial-6776-Identity-H"/>
          <w:color w:val="090909"/>
          <w:sz w:val="21"/>
          <w:szCs w:val="21"/>
        </w:rPr>
        <w:t>19. Para la promoción de emprendedores en la entidad, al</w:t>
      </w:r>
      <w:r>
        <w:rPr>
          <w:rFonts w:ascii="Abadi" w:hAnsi="Abadi" w:cs="*Arial-6776-Identity-H"/>
          <w:color w:val="090909"/>
          <w:sz w:val="21"/>
          <w:szCs w:val="21"/>
        </w:rPr>
        <w:t xml:space="preserve"> </w:t>
      </w:r>
      <w:r w:rsidRPr="00FA7CEF">
        <w:rPr>
          <w:rFonts w:ascii="Abadi" w:hAnsi="Abadi" w:cs="*Arial-6776-Identity-H"/>
          <w:color w:val="090909"/>
          <w:sz w:val="21"/>
          <w:szCs w:val="21"/>
        </w:rPr>
        <w:t>amparo de la presente Ley se podrán establecer convenios con</w:t>
      </w:r>
      <w:r>
        <w:rPr>
          <w:rFonts w:ascii="Abadi" w:hAnsi="Abadi" w:cs="*Arial-6776-Identity-H"/>
          <w:color w:val="090909"/>
          <w:sz w:val="21"/>
          <w:szCs w:val="21"/>
        </w:rPr>
        <w:t xml:space="preserve"> </w:t>
      </w:r>
      <w:r w:rsidRPr="00FA7CEF">
        <w:rPr>
          <w:rFonts w:ascii="Abadi" w:hAnsi="Abadi" w:cs="*Arial-6776-Identity-H"/>
          <w:color w:val="090909"/>
          <w:sz w:val="21"/>
          <w:szCs w:val="21"/>
        </w:rPr>
        <w:t xml:space="preserve">instituciones académicas, organismos </w:t>
      </w:r>
      <w:r w:rsidRPr="00FA7CEF">
        <w:rPr>
          <w:rFonts w:ascii="Abadi" w:hAnsi="Abadi" w:cs="*Arial-6776-Identity-H"/>
          <w:color w:val="090909"/>
          <w:sz w:val="21"/>
          <w:szCs w:val="21"/>
        </w:rPr>
        <w:lastRenderedPageBreak/>
        <w:t>empresariales y asociaciones</w:t>
      </w:r>
      <w:r>
        <w:rPr>
          <w:rFonts w:ascii="Abadi" w:hAnsi="Abadi" w:cs="*Arial-6776-Identity-H"/>
          <w:color w:val="090909"/>
          <w:sz w:val="21"/>
          <w:szCs w:val="21"/>
        </w:rPr>
        <w:t xml:space="preserve"> </w:t>
      </w:r>
      <w:r w:rsidRPr="00FA7CEF">
        <w:rPr>
          <w:rFonts w:ascii="Abadi" w:hAnsi="Abadi" w:cs="*Arial-6776-Identity-H"/>
          <w:color w:val="090909"/>
          <w:sz w:val="21"/>
          <w:szCs w:val="21"/>
        </w:rPr>
        <w:t>que impulsan estrategias de capital privado a efecto de identificar</w:t>
      </w:r>
      <w:r>
        <w:rPr>
          <w:rFonts w:ascii="Abadi" w:hAnsi="Abadi" w:cs="*Arial-6776-Identity-H"/>
          <w:color w:val="090909"/>
          <w:sz w:val="21"/>
          <w:szCs w:val="21"/>
        </w:rPr>
        <w:t xml:space="preserve"> </w:t>
      </w:r>
      <w:r w:rsidRPr="00FA7CEF">
        <w:rPr>
          <w:rFonts w:ascii="Abadi" w:hAnsi="Abadi" w:cs="*Arial-6776-Identity-H"/>
          <w:color w:val="090909"/>
          <w:sz w:val="21"/>
          <w:szCs w:val="21"/>
        </w:rPr>
        <w:t>proyectos innovadores y promover iniciativas de coparticipación de</w:t>
      </w:r>
      <w:r>
        <w:rPr>
          <w:rFonts w:ascii="Abadi" w:hAnsi="Abadi" w:cs="*Arial-6776-Identity-H"/>
          <w:color w:val="090909"/>
          <w:sz w:val="21"/>
          <w:szCs w:val="21"/>
        </w:rPr>
        <w:t xml:space="preserve"> </w:t>
      </w:r>
      <w:r w:rsidRPr="00FA7CEF">
        <w:rPr>
          <w:rFonts w:ascii="Abadi" w:hAnsi="Abadi" w:cs="*Arial-6776-Identity-H"/>
          <w:color w:val="090909"/>
          <w:sz w:val="21"/>
          <w:szCs w:val="21"/>
        </w:rPr>
        <w:t>recursos para potenciar el capital emprendedor.</w:t>
      </w:r>
    </w:p>
    <w:p w14:paraId="137D16BE" w14:textId="77777777" w:rsidR="00D0323E" w:rsidRDefault="00D0323E" w:rsidP="00D0323E">
      <w:pPr>
        <w:autoSpaceDE w:val="0"/>
        <w:autoSpaceDN w:val="0"/>
        <w:adjustRightInd w:val="0"/>
        <w:jc w:val="both"/>
        <w:rPr>
          <w:rFonts w:ascii="Abadi" w:hAnsi="Abadi" w:cs="*Arial-Bold-6778-Identity-H"/>
          <w:b/>
          <w:bCs/>
          <w:color w:val="0C0C0C"/>
          <w:sz w:val="21"/>
          <w:szCs w:val="21"/>
        </w:rPr>
      </w:pPr>
    </w:p>
    <w:p w14:paraId="40DE2927" w14:textId="77777777" w:rsidR="00D0323E" w:rsidRPr="00FA7CEF" w:rsidRDefault="00D0323E" w:rsidP="00D0323E">
      <w:pPr>
        <w:autoSpaceDE w:val="0"/>
        <w:autoSpaceDN w:val="0"/>
        <w:adjustRightInd w:val="0"/>
        <w:jc w:val="both"/>
        <w:rPr>
          <w:rFonts w:ascii="Abadi" w:hAnsi="Abadi" w:cs="*Arial-6776-Identity-H"/>
          <w:color w:val="0C0C0C"/>
          <w:sz w:val="21"/>
          <w:szCs w:val="21"/>
        </w:rPr>
      </w:pPr>
      <w:r w:rsidRPr="00FA7CEF">
        <w:rPr>
          <w:rFonts w:ascii="Abadi" w:hAnsi="Abadi" w:cs="*Arial-Bold-6778-Identity-H"/>
          <w:b/>
          <w:bCs/>
          <w:color w:val="0C0C0C"/>
          <w:sz w:val="21"/>
          <w:szCs w:val="21"/>
        </w:rPr>
        <w:t xml:space="preserve">ARTÍCULO </w:t>
      </w:r>
      <w:r w:rsidRPr="00FA7CEF">
        <w:rPr>
          <w:rFonts w:ascii="Abadi" w:hAnsi="Abadi" w:cs="*Arial-6776-Identity-H"/>
          <w:color w:val="0C0C0C"/>
          <w:sz w:val="21"/>
          <w:szCs w:val="21"/>
        </w:rPr>
        <w:t>20. Las políticas de emprendimiento de la juventud deberán</w:t>
      </w:r>
      <w:r>
        <w:rPr>
          <w:rFonts w:ascii="Abadi" w:hAnsi="Abadi" w:cs="*Arial-6776-Identity-H"/>
          <w:color w:val="0C0C0C"/>
          <w:sz w:val="21"/>
          <w:szCs w:val="21"/>
        </w:rPr>
        <w:t xml:space="preserve"> </w:t>
      </w:r>
      <w:r w:rsidRPr="00FA7CEF">
        <w:rPr>
          <w:rFonts w:ascii="Abadi" w:hAnsi="Abadi" w:cs="*Arial-6776-Identity-H"/>
          <w:color w:val="0C0C0C"/>
          <w:sz w:val="21"/>
          <w:szCs w:val="21"/>
        </w:rPr>
        <w:t>diseñarse, ejecutarse y evaluarse bajo una perspectiva de género.</w:t>
      </w:r>
    </w:p>
    <w:p w14:paraId="25DD8480" w14:textId="77777777" w:rsidR="00D0323E" w:rsidRDefault="00D0323E" w:rsidP="00D0323E">
      <w:pPr>
        <w:autoSpaceDE w:val="0"/>
        <w:autoSpaceDN w:val="0"/>
        <w:adjustRightInd w:val="0"/>
        <w:jc w:val="both"/>
        <w:rPr>
          <w:rFonts w:ascii="Abadi" w:hAnsi="Abadi" w:cs="*Arial-Bold-6777-Identity-H"/>
          <w:b/>
          <w:bCs/>
          <w:color w:val="0C0C0C"/>
          <w:sz w:val="21"/>
          <w:szCs w:val="21"/>
        </w:rPr>
      </w:pPr>
    </w:p>
    <w:p w14:paraId="3E30F958" w14:textId="77777777" w:rsidR="00D0323E" w:rsidRPr="00FA7CEF" w:rsidRDefault="00D0323E" w:rsidP="00D0323E">
      <w:pPr>
        <w:autoSpaceDE w:val="0"/>
        <w:autoSpaceDN w:val="0"/>
        <w:adjustRightInd w:val="0"/>
        <w:jc w:val="center"/>
        <w:rPr>
          <w:rFonts w:ascii="Abadi" w:hAnsi="Abadi" w:cs="*Arial-Bold-6777-Identity-H"/>
          <w:b/>
          <w:bCs/>
          <w:color w:val="0C0C0C"/>
          <w:sz w:val="21"/>
          <w:szCs w:val="21"/>
        </w:rPr>
      </w:pPr>
      <w:r w:rsidRPr="00FA7CEF">
        <w:rPr>
          <w:rFonts w:ascii="Abadi" w:hAnsi="Abadi" w:cs="*Arial-Bold-6777-Identity-H"/>
          <w:b/>
          <w:bCs/>
          <w:color w:val="0C0C0C"/>
          <w:sz w:val="21"/>
          <w:szCs w:val="21"/>
        </w:rPr>
        <w:t>Capítulo V</w:t>
      </w:r>
    </w:p>
    <w:p w14:paraId="77DA6C72" w14:textId="77777777" w:rsidR="00D0323E" w:rsidRPr="00FA7CEF" w:rsidRDefault="00D0323E" w:rsidP="00D0323E">
      <w:pPr>
        <w:autoSpaceDE w:val="0"/>
        <w:autoSpaceDN w:val="0"/>
        <w:adjustRightInd w:val="0"/>
        <w:jc w:val="center"/>
        <w:rPr>
          <w:rFonts w:ascii="Abadi" w:hAnsi="Abadi" w:cs="*Arial-Bold-6777-Identity-H"/>
          <w:b/>
          <w:bCs/>
          <w:color w:val="0E0E0E"/>
          <w:sz w:val="21"/>
          <w:szCs w:val="21"/>
        </w:rPr>
      </w:pPr>
      <w:r w:rsidRPr="00FA7CEF">
        <w:rPr>
          <w:rFonts w:ascii="Abadi" w:hAnsi="Abadi" w:cs="*Arial-Bold-6777-Identity-H"/>
          <w:b/>
          <w:bCs/>
          <w:color w:val="0E0E0E"/>
          <w:sz w:val="21"/>
          <w:szCs w:val="21"/>
        </w:rPr>
        <w:t>De los indicadores de medición</w:t>
      </w:r>
    </w:p>
    <w:p w14:paraId="117F5C8F" w14:textId="77777777" w:rsidR="00D0323E" w:rsidRDefault="00D0323E" w:rsidP="00D0323E">
      <w:pPr>
        <w:autoSpaceDE w:val="0"/>
        <w:autoSpaceDN w:val="0"/>
        <w:adjustRightInd w:val="0"/>
        <w:jc w:val="center"/>
        <w:rPr>
          <w:rFonts w:ascii="Abadi" w:hAnsi="Abadi" w:cs="*Arial-BoldItalic-6774-Identity"/>
          <w:b/>
          <w:bCs/>
          <w:i/>
          <w:iCs/>
          <w:color w:val="0B0B0B"/>
          <w:sz w:val="21"/>
          <w:szCs w:val="21"/>
        </w:rPr>
      </w:pPr>
    </w:p>
    <w:p w14:paraId="5E0E9943" w14:textId="77777777" w:rsidR="00D0323E" w:rsidRPr="00FA7CEF" w:rsidRDefault="00D0323E" w:rsidP="00D0323E">
      <w:pPr>
        <w:autoSpaceDE w:val="0"/>
        <w:autoSpaceDN w:val="0"/>
        <w:adjustRightInd w:val="0"/>
        <w:jc w:val="center"/>
        <w:rPr>
          <w:rFonts w:ascii="Abadi" w:hAnsi="Abadi" w:cs="*Arial-BoldItalic-6774-Identity"/>
          <w:b/>
          <w:bCs/>
          <w:i/>
          <w:iCs/>
          <w:color w:val="0B0B0B"/>
          <w:sz w:val="21"/>
          <w:szCs w:val="21"/>
        </w:rPr>
      </w:pPr>
      <w:r w:rsidRPr="00FA7CEF">
        <w:rPr>
          <w:rFonts w:ascii="Abadi" w:hAnsi="Abadi" w:cs="*Arial-BoldItalic-6774-Identity"/>
          <w:b/>
          <w:bCs/>
          <w:i/>
          <w:iCs/>
          <w:color w:val="0B0B0B"/>
          <w:sz w:val="21"/>
          <w:szCs w:val="21"/>
        </w:rPr>
        <w:t>Indicadores</w:t>
      </w:r>
    </w:p>
    <w:p w14:paraId="711A8BD5" w14:textId="77777777" w:rsidR="00D0323E" w:rsidRDefault="00D0323E" w:rsidP="00D0323E">
      <w:pPr>
        <w:autoSpaceDE w:val="0"/>
        <w:autoSpaceDN w:val="0"/>
        <w:adjustRightInd w:val="0"/>
        <w:jc w:val="both"/>
        <w:rPr>
          <w:rFonts w:ascii="Abadi" w:hAnsi="Abadi" w:cs="*Arial-Bold-6778-Identity-H"/>
          <w:b/>
          <w:bCs/>
          <w:color w:val="0B0B0B"/>
          <w:sz w:val="21"/>
          <w:szCs w:val="21"/>
        </w:rPr>
      </w:pPr>
    </w:p>
    <w:p w14:paraId="22736B2F" w14:textId="77777777" w:rsidR="00D0323E" w:rsidRDefault="00D0323E" w:rsidP="00D0323E">
      <w:pPr>
        <w:autoSpaceDE w:val="0"/>
        <w:autoSpaceDN w:val="0"/>
        <w:adjustRightInd w:val="0"/>
        <w:jc w:val="both"/>
        <w:rPr>
          <w:rFonts w:ascii="Abadi" w:hAnsi="Abadi" w:cs="*Arial-6420-Identity-H"/>
          <w:color w:val="0A0A0A"/>
          <w:sz w:val="21"/>
          <w:szCs w:val="21"/>
        </w:rPr>
      </w:pPr>
      <w:r w:rsidRPr="00FA7CEF">
        <w:rPr>
          <w:rFonts w:ascii="Abadi" w:hAnsi="Abadi" w:cs="*Arial-Bold-6778-Identity-H"/>
          <w:b/>
          <w:bCs/>
          <w:color w:val="0B0B0B"/>
          <w:sz w:val="21"/>
          <w:szCs w:val="21"/>
        </w:rPr>
        <w:t xml:space="preserve">ARTÍCULO </w:t>
      </w:r>
      <w:r w:rsidRPr="00FA7CEF">
        <w:rPr>
          <w:rFonts w:ascii="Abadi" w:hAnsi="Abadi" w:cs="*Arial-Bold-6777-Identity-H"/>
          <w:b/>
          <w:bCs/>
          <w:color w:val="0B0B0B"/>
          <w:sz w:val="21"/>
          <w:szCs w:val="21"/>
        </w:rPr>
        <w:t xml:space="preserve">21. </w:t>
      </w:r>
      <w:r w:rsidRPr="00FA7CEF">
        <w:rPr>
          <w:rFonts w:ascii="Abadi" w:hAnsi="Abadi" w:cs="*Arial-6776-Identity-H"/>
          <w:color w:val="0B0B0B"/>
          <w:sz w:val="21"/>
          <w:szCs w:val="21"/>
        </w:rPr>
        <w:t>La administración deberá generar y mantener</w:t>
      </w:r>
      <w:r>
        <w:rPr>
          <w:rFonts w:ascii="Abadi" w:hAnsi="Abadi" w:cs="*Arial-6776-Identity-H"/>
          <w:color w:val="0B0B0B"/>
          <w:sz w:val="21"/>
          <w:szCs w:val="21"/>
        </w:rPr>
        <w:t xml:space="preserve"> </w:t>
      </w:r>
      <w:r w:rsidRPr="00FA7CEF">
        <w:rPr>
          <w:rFonts w:ascii="Abadi" w:hAnsi="Abadi" w:cs="*Arial-6776-Identity-H"/>
          <w:color w:val="0B0B0B"/>
          <w:sz w:val="21"/>
          <w:szCs w:val="21"/>
        </w:rPr>
        <w:t>actualizados indicadores de medición sobre el desempeño en el</w:t>
      </w:r>
      <w:r>
        <w:rPr>
          <w:rFonts w:ascii="Abadi" w:hAnsi="Abadi" w:cs="*Arial-6776-Identity-H"/>
          <w:color w:val="0B0B0B"/>
          <w:sz w:val="21"/>
          <w:szCs w:val="21"/>
        </w:rPr>
        <w:t xml:space="preserve"> </w:t>
      </w:r>
      <w:r w:rsidRPr="00FA7CEF">
        <w:rPr>
          <w:rFonts w:ascii="Abadi" w:hAnsi="Abadi" w:cs="*Arial-6776-Identity-H"/>
          <w:color w:val="0B0B0B"/>
          <w:sz w:val="21"/>
          <w:szCs w:val="21"/>
        </w:rPr>
        <w:t>otorgamiento de créditos; la solidez financiera de sus políticas; las</w:t>
      </w:r>
      <w:r>
        <w:rPr>
          <w:rFonts w:ascii="Abadi" w:hAnsi="Abadi" w:cs="*Arial-6776-Identity-H"/>
          <w:color w:val="0B0B0B"/>
          <w:sz w:val="21"/>
          <w:szCs w:val="21"/>
        </w:rPr>
        <w:t xml:space="preserve"> </w:t>
      </w:r>
      <w:r w:rsidRPr="00FA7CEF">
        <w:rPr>
          <w:rFonts w:ascii="Abadi" w:hAnsi="Abadi" w:cs="*Arial-6776-Identity-H"/>
          <w:color w:val="0B0B0B"/>
          <w:sz w:val="21"/>
          <w:szCs w:val="21"/>
        </w:rPr>
        <w:t>condiciones y características de su portafolio; la condición de su cartera,</w:t>
      </w:r>
      <w:r>
        <w:rPr>
          <w:rFonts w:ascii="Abadi" w:hAnsi="Abadi" w:cs="*Arial-6776-Identity-H"/>
          <w:color w:val="0B0B0B"/>
          <w:sz w:val="21"/>
          <w:szCs w:val="21"/>
        </w:rPr>
        <w:t xml:space="preserve"> </w:t>
      </w:r>
      <w:r w:rsidRPr="00FA7CEF">
        <w:rPr>
          <w:rFonts w:ascii="Abadi" w:hAnsi="Abadi" w:cs="*Arial-6420-Identity-H"/>
          <w:color w:val="0A0A0A"/>
          <w:sz w:val="21"/>
          <w:szCs w:val="21"/>
        </w:rPr>
        <w:t>incluyendo la cartera vencida; el nivel de concentración de cartera, la</w:t>
      </w:r>
      <w:r>
        <w:rPr>
          <w:rFonts w:ascii="Abadi" w:hAnsi="Abadi" w:cs="*Arial-6420-Identity-H"/>
          <w:color w:val="0A0A0A"/>
          <w:sz w:val="21"/>
          <w:szCs w:val="21"/>
        </w:rPr>
        <w:t xml:space="preserve"> </w:t>
      </w:r>
      <w:r w:rsidRPr="00FA7CEF">
        <w:rPr>
          <w:rFonts w:ascii="Abadi" w:hAnsi="Abadi" w:cs="*Arial-6420-Identity-H"/>
          <w:color w:val="0A0A0A"/>
          <w:sz w:val="21"/>
          <w:szCs w:val="21"/>
        </w:rPr>
        <w:t>evolución, integración de sus activos y el nivel de morosidad; los</w:t>
      </w:r>
      <w:r>
        <w:rPr>
          <w:rFonts w:ascii="Abadi" w:hAnsi="Abadi" w:cs="*Arial-6420-Identity-H"/>
          <w:color w:val="0A0A0A"/>
          <w:sz w:val="21"/>
          <w:szCs w:val="21"/>
        </w:rPr>
        <w:t xml:space="preserve"> </w:t>
      </w:r>
      <w:r w:rsidRPr="00FA7CEF">
        <w:rPr>
          <w:rFonts w:ascii="Abadi" w:hAnsi="Abadi" w:cs="*Arial-6420-Identity-H"/>
          <w:color w:val="0A0A0A"/>
          <w:sz w:val="21"/>
          <w:szCs w:val="21"/>
        </w:rPr>
        <w:t>volúmenes de operación por sector, región y municipio; los volúmenes</w:t>
      </w:r>
      <w:r>
        <w:rPr>
          <w:rFonts w:ascii="Abadi" w:hAnsi="Abadi" w:cs="*Arial-6420-Identity-H"/>
          <w:color w:val="0A0A0A"/>
          <w:sz w:val="21"/>
          <w:szCs w:val="21"/>
        </w:rPr>
        <w:t xml:space="preserve"> </w:t>
      </w:r>
      <w:r w:rsidRPr="00FA7CEF">
        <w:rPr>
          <w:rFonts w:ascii="Abadi" w:hAnsi="Abadi" w:cs="*Arial-6420-Identity-H"/>
          <w:color w:val="0A0A0A"/>
          <w:sz w:val="21"/>
          <w:szCs w:val="21"/>
        </w:rPr>
        <w:t>de colocación; el impacto de las políticas crediticias a las MIPyMES; el</w:t>
      </w:r>
      <w:r>
        <w:rPr>
          <w:rFonts w:ascii="Abadi" w:hAnsi="Abadi" w:cs="*Arial-6420-Identity-H"/>
          <w:color w:val="0A0A0A"/>
          <w:sz w:val="21"/>
          <w:szCs w:val="21"/>
        </w:rPr>
        <w:t xml:space="preserve"> </w:t>
      </w:r>
      <w:r w:rsidRPr="00FA7CEF">
        <w:rPr>
          <w:rFonts w:ascii="Abadi" w:hAnsi="Abadi" w:cs="*Arial-6420-Identity-H"/>
          <w:color w:val="0A0A0A"/>
          <w:sz w:val="21"/>
          <w:szCs w:val="21"/>
        </w:rPr>
        <w:t>enfoque de género en sus estrategias de colocación; la comparación de</w:t>
      </w:r>
      <w:r>
        <w:rPr>
          <w:rFonts w:ascii="Abadi" w:hAnsi="Abadi" w:cs="*Arial-6420-Identity-H"/>
          <w:color w:val="0A0A0A"/>
          <w:sz w:val="21"/>
          <w:szCs w:val="21"/>
        </w:rPr>
        <w:t xml:space="preserve"> </w:t>
      </w:r>
      <w:r w:rsidRPr="00FA7CEF">
        <w:rPr>
          <w:rFonts w:ascii="Abadi" w:hAnsi="Abadi" w:cs="*Arial-6420-Identity-H"/>
          <w:color w:val="0A0A0A"/>
          <w:sz w:val="21"/>
          <w:szCs w:val="21"/>
        </w:rPr>
        <w:t>tasas aplicables frente a las existentes en el mercado; el impulso a</w:t>
      </w:r>
      <w:r>
        <w:rPr>
          <w:rFonts w:ascii="Abadi" w:hAnsi="Abadi" w:cs="*Arial-6420-Identity-H"/>
          <w:color w:val="0A0A0A"/>
          <w:sz w:val="21"/>
          <w:szCs w:val="21"/>
        </w:rPr>
        <w:t xml:space="preserve"> </w:t>
      </w:r>
      <w:r w:rsidRPr="00FA7CEF">
        <w:rPr>
          <w:rFonts w:ascii="Abadi" w:hAnsi="Abadi" w:cs="*Arial-6420-Identity-H"/>
          <w:color w:val="0A0A0A"/>
          <w:sz w:val="21"/>
          <w:szCs w:val="21"/>
        </w:rPr>
        <w:t>emprendedores en la entidad y aquellos indicadores que permitan</w:t>
      </w:r>
      <w:r>
        <w:rPr>
          <w:rFonts w:ascii="Abadi" w:hAnsi="Abadi" w:cs="*Arial-6420-Identity-H"/>
          <w:color w:val="0A0A0A"/>
          <w:sz w:val="21"/>
          <w:szCs w:val="21"/>
        </w:rPr>
        <w:t xml:space="preserve"> e</w:t>
      </w:r>
      <w:r w:rsidRPr="00FA7CEF">
        <w:rPr>
          <w:rFonts w:ascii="Abadi" w:hAnsi="Abadi" w:cs="*Arial-6420-Identity-H"/>
          <w:color w:val="0A0A0A"/>
          <w:sz w:val="21"/>
          <w:szCs w:val="21"/>
        </w:rPr>
        <w:t>valuar el desempeño de su gestión.</w:t>
      </w:r>
    </w:p>
    <w:p w14:paraId="40E3A6D7" w14:textId="77777777" w:rsidR="00D0323E" w:rsidRPr="00FA7CEF" w:rsidRDefault="00D0323E" w:rsidP="00D0323E">
      <w:pPr>
        <w:autoSpaceDE w:val="0"/>
        <w:autoSpaceDN w:val="0"/>
        <w:adjustRightInd w:val="0"/>
        <w:jc w:val="both"/>
        <w:rPr>
          <w:rFonts w:ascii="Abadi" w:hAnsi="Abadi" w:cs="*Arial-6420-Identity-H"/>
          <w:color w:val="0A0A0A"/>
          <w:sz w:val="21"/>
          <w:szCs w:val="21"/>
        </w:rPr>
      </w:pPr>
    </w:p>
    <w:p w14:paraId="78846BDB" w14:textId="77777777" w:rsidR="00D0323E" w:rsidRDefault="00D0323E" w:rsidP="00D0323E">
      <w:pPr>
        <w:autoSpaceDE w:val="0"/>
        <w:autoSpaceDN w:val="0"/>
        <w:adjustRightInd w:val="0"/>
        <w:jc w:val="both"/>
        <w:rPr>
          <w:rFonts w:ascii="Abadi" w:hAnsi="Abadi" w:cs="*Verdana-6422-Identity-H"/>
          <w:color w:val="090909"/>
          <w:sz w:val="21"/>
          <w:szCs w:val="21"/>
        </w:rPr>
      </w:pPr>
      <w:r w:rsidRPr="00FA7CEF">
        <w:rPr>
          <w:rFonts w:ascii="Abadi" w:hAnsi="Abadi" w:cs="*Arial-6420-Identity-H"/>
          <w:color w:val="090909"/>
          <w:sz w:val="21"/>
          <w:szCs w:val="21"/>
        </w:rPr>
        <w:t>Los indicadores se desarrollarán bajo la metodología del Marco Lógico</w:t>
      </w:r>
      <w:r>
        <w:rPr>
          <w:rFonts w:ascii="Abadi" w:hAnsi="Abadi" w:cs="*Arial-6420-Identity-H"/>
          <w:color w:val="090909"/>
          <w:sz w:val="21"/>
          <w:szCs w:val="21"/>
        </w:rPr>
        <w:t xml:space="preserve"> </w:t>
      </w:r>
      <w:r w:rsidRPr="00FA7CEF">
        <w:rPr>
          <w:rFonts w:ascii="Abadi" w:hAnsi="Abadi" w:cs="*Arial-6420-Identity-H"/>
          <w:color w:val="090909"/>
          <w:sz w:val="21"/>
          <w:szCs w:val="21"/>
        </w:rPr>
        <w:t>y deberán estar alienados con el Plan Estatal de Desarrollo Guanajuato</w:t>
      </w:r>
      <w:r>
        <w:rPr>
          <w:rFonts w:ascii="Abadi" w:hAnsi="Abadi" w:cs="*Arial-6420-Identity-H"/>
          <w:color w:val="090909"/>
          <w:sz w:val="21"/>
          <w:szCs w:val="21"/>
        </w:rPr>
        <w:t xml:space="preserve"> </w:t>
      </w:r>
      <w:r w:rsidRPr="00FA7CEF">
        <w:rPr>
          <w:rFonts w:ascii="Abadi" w:hAnsi="Abadi" w:cs="*Verdana-6422-Identity-H"/>
          <w:color w:val="090909"/>
          <w:sz w:val="21"/>
          <w:szCs w:val="21"/>
        </w:rPr>
        <w:t>2040.</w:t>
      </w:r>
    </w:p>
    <w:p w14:paraId="0B2AA407" w14:textId="77777777" w:rsidR="00D0323E" w:rsidRPr="00FA7CEF" w:rsidRDefault="00D0323E" w:rsidP="00D0323E">
      <w:pPr>
        <w:autoSpaceDE w:val="0"/>
        <w:autoSpaceDN w:val="0"/>
        <w:adjustRightInd w:val="0"/>
        <w:jc w:val="both"/>
        <w:rPr>
          <w:rFonts w:ascii="Abadi" w:hAnsi="Abadi" w:cs="*Verdana-6422-Identity-H"/>
          <w:color w:val="090909"/>
          <w:sz w:val="21"/>
          <w:szCs w:val="21"/>
        </w:rPr>
      </w:pPr>
    </w:p>
    <w:p w14:paraId="7DE35092" w14:textId="77777777" w:rsidR="00D0323E" w:rsidRDefault="00D0323E" w:rsidP="00D0323E">
      <w:pPr>
        <w:autoSpaceDE w:val="0"/>
        <w:autoSpaceDN w:val="0"/>
        <w:adjustRightInd w:val="0"/>
        <w:jc w:val="both"/>
        <w:rPr>
          <w:rFonts w:ascii="Abadi" w:hAnsi="Abadi" w:cs="*Arial-6420-Identity-H"/>
          <w:color w:val="0B0B0B"/>
          <w:sz w:val="21"/>
          <w:szCs w:val="21"/>
        </w:rPr>
      </w:pPr>
      <w:r w:rsidRPr="00FA7CEF">
        <w:rPr>
          <w:rFonts w:ascii="Abadi" w:hAnsi="Abadi" w:cs="*Arial-6420-Identity-H"/>
          <w:color w:val="0B0B0B"/>
          <w:sz w:val="21"/>
          <w:szCs w:val="21"/>
        </w:rPr>
        <w:t>Los indicadores deberán permitir evaluar la sostenibilidad financiera y,</w:t>
      </w:r>
      <w:r>
        <w:rPr>
          <w:rFonts w:ascii="Abadi" w:hAnsi="Abadi" w:cs="*Arial-6420-Identity-H"/>
          <w:color w:val="0B0B0B"/>
          <w:sz w:val="21"/>
          <w:szCs w:val="21"/>
        </w:rPr>
        <w:t xml:space="preserve"> </w:t>
      </w:r>
      <w:r w:rsidRPr="00FA7CEF">
        <w:rPr>
          <w:rFonts w:ascii="Abadi" w:hAnsi="Abadi" w:cs="*Arial-6420-Identity-H"/>
          <w:color w:val="0B0B0B"/>
          <w:sz w:val="21"/>
          <w:szCs w:val="21"/>
        </w:rPr>
        <w:t>en su caso, hacer los ajustes necesarios para atender posibles</w:t>
      </w:r>
      <w:r>
        <w:rPr>
          <w:rFonts w:ascii="Abadi" w:hAnsi="Abadi" w:cs="*Arial-6420-Identity-H"/>
          <w:color w:val="0B0B0B"/>
          <w:sz w:val="21"/>
          <w:szCs w:val="21"/>
        </w:rPr>
        <w:t xml:space="preserve"> </w:t>
      </w:r>
      <w:r w:rsidRPr="00FA7CEF">
        <w:rPr>
          <w:rFonts w:ascii="Abadi" w:hAnsi="Abadi" w:cs="*Arial-6420-Identity-H"/>
          <w:color w:val="0B0B0B"/>
          <w:sz w:val="21"/>
          <w:szCs w:val="21"/>
        </w:rPr>
        <w:t>contingencias.</w:t>
      </w:r>
    </w:p>
    <w:p w14:paraId="1496DB71" w14:textId="77777777" w:rsidR="00D0323E" w:rsidRPr="00FA7CEF" w:rsidRDefault="00D0323E" w:rsidP="00D0323E">
      <w:pPr>
        <w:autoSpaceDE w:val="0"/>
        <w:autoSpaceDN w:val="0"/>
        <w:adjustRightInd w:val="0"/>
        <w:jc w:val="both"/>
        <w:rPr>
          <w:rFonts w:ascii="Abadi" w:hAnsi="Abadi" w:cs="*Arial-6420-Identity-H"/>
          <w:color w:val="0B0B0B"/>
          <w:sz w:val="21"/>
          <w:szCs w:val="21"/>
        </w:rPr>
      </w:pPr>
    </w:p>
    <w:p w14:paraId="7A6D2ED3" w14:textId="77777777" w:rsidR="00D0323E" w:rsidRPr="00FA7CEF" w:rsidRDefault="00D0323E" w:rsidP="00D0323E">
      <w:pPr>
        <w:autoSpaceDE w:val="0"/>
        <w:autoSpaceDN w:val="0"/>
        <w:adjustRightInd w:val="0"/>
        <w:jc w:val="both"/>
        <w:rPr>
          <w:rFonts w:ascii="Abadi" w:hAnsi="Abadi" w:cs="*Arial-6420-Identity-H"/>
          <w:color w:val="080808"/>
          <w:sz w:val="21"/>
          <w:szCs w:val="21"/>
        </w:rPr>
      </w:pPr>
      <w:r w:rsidRPr="00FA7CEF">
        <w:rPr>
          <w:rFonts w:ascii="Abadi" w:hAnsi="Abadi" w:cs="*Arial-6420-Identity-H"/>
          <w:color w:val="080808"/>
          <w:sz w:val="21"/>
          <w:szCs w:val="21"/>
        </w:rPr>
        <w:t>Se incluirá el detalle de indicadores como parte de la información</w:t>
      </w:r>
      <w:r>
        <w:rPr>
          <w:rFonts w:ascii="Abadi" w:hAnsi="Abadi" w:cs="*Arial-6420-Identity-H"/>
          <w:color w:val="080808"/>
          <w:sz w:val="21"/>
          <w:szCs w:val="21"/>
        </w:rPr>
        <w:t xml:space="preserve"> </w:t>
      </w:r>
      <w:r w:rsidRPr="00FA7CEF">
        <w:rPr>
          <w:rFonts w:ascii="Abadi" w:hAnsi="Abadi" w:cs="*Arial-6420-Identity-H"/>
          <w:color w:val="080808"/>
          <w:sz w:val="21"/>
          <w:szCs w:val="21"/>
        </w:rPr>
        <w:t>integrada en la Cuenta Pública.</w:t>
      </w:r>
    </w:p>
    <w:p w14:paraId="49AA5E5F" w14:textId="77777777" w:rsidR="00D0323E" w:rsidRDefault="00D0323E" w:rsidP="00D0323E">
      <w:pPr>
        <w:autoSpaceDE w:val="0"/>
        <w:autoSpaceDN w:val="0"/>
        <w:adjustRightInd w:val="0"/>
        <w:jc w:val="both"/>
        <w:rPr>
          <w:rFonts w:ascii="Abadi" w:hAnsi="Abadi" w:cs="*Arial-Bold-6656-Identity-H"/>
          <w:b/>
          <w:bCs/>
          <w:color w:val="111111"/>
          <w:sz w:val="21"/>
          <w:szCs w:val="21"/>
        </w:rPr>
      </w:pPr>
    </w:p>
    <w:p w14:paraId="27F336F5" w14:textId="77777777" w:rsidR="00D0323E" w:rsidRDefault="00D0323E" w:rsidP="00D0323E">
      <w:pPr>
        <w:autoSpaceDE w:val="0"/>
        <w:autoSpaceDN w:val="0"/>
        <w:adjustRightInd w:val="0"/>
        <w:jc w:val="both"/>
        <w:rPr>
          <w:rFonts w:ascii="Abadi" w:hAnsi="Abadi" w:cs="*Arial-Bold-6656-Identity-H"/>
          <w:b/>
          <w:bCs/>
          <w:color w:val="111111"/>
          <w:sz w:val="21"/>
          <w:szCs w:val="21"/>
        </w:rPr>
      </w:pPr>
    </w:p>
    <w:p w14:paraId="389023AE" w14:textId="77777777" w:rsidR="00D0323E" w:rsidRPr="00FA7CEF" w:rsidRDefault="00D0323E" w:rsidP="00D0323E">
      <w:pPr>
        <w:autoSpaceDE w:val="0"/>
        <w:autoSpaceDN w:val="0"/>
        <w:adjustRightInd w:val="0"/>
        <w:jc w:val="center"/>
        <w:rPr>
          <w:rFonts w:ascii="Abadi" w:hAnsi="Abadi" w:cs="*Arial-Bold-6656-Identity-H"/>
          <w:b/>
          <w:bCs/>
          <w:color w:val="111111"/>
          <w:sz w:val="21"/>
          <w:szCs w:val="21"/>
        </w:rPr>
      </w:pPr>
      <w:r w:rsidRPr="00FA7CEF">
        <w:rPr>
          <w:rFonts w:ascii="Abadi" w:hAnsi="Abadi" w:cs="*Arial-Bold-6656-Identity-H"/>
          <w:b/>
          <w:bCs/>
          <w:color w:val="111111"/>
          <w:sz w:val="21"/>
          <w:szCs w:val="21"/>
        </w:rPr>
        <w:t>Capítulo VI</w:t>
      </w:r>
    </w:p>
    <w:p w14:paraId="0CB5996A" w14:textId="77777777" w:rsidR="00D0323E" w:rsidRPr="00FA7CEF" w:rsidRDefault="00D0323E" w:rsidP="00D0323E">
      <w:pPr>
        <w:autoSpaceDE w:val="0"/>
        <w:autoSpaceDN w:val="0"/>
        <w:adjustRightInd w:val="0"/>
        <w:jc w:val="center"/>
        <w:rPr>
          <w:rFonts w:ascii="Abadi" w:hAnsi="Abadi" w:cs="*Arial-Bold-6656-Identity-H"/>
          <w:b/>
          <w:bCs/>
          <w:color w:val="101010"/>
          <w:sz w:val="21"/>
          <w:szCs w:val="21"/>
        </w:rPr>
      </w:pPr>
      <w:r w:rsidRPr="00FA7CEF">
        <w:rPr>
          <w:rFonts w:ascii="Abadi" w:hAnsi="Abadi" w:cs="*Arial-BoldItalic-6658-Identity"/>
          <w:b/>
          <w:bCs/>
          <w:i/>
          <w:iCs/>
          <w:color w:val="101010"/>
          <w:sz w:val="21"/>
          <w:szCs w:val="21"/>
        </w:rPr>
        <w:t xml:space="preserve">De </w:t>
      </w:r>
      <w:r w:rsidRPr="00FA7CEF">
        <w:rPr>
          <w:rFonts w:ascii="Abadi" w:hAnsi="Abadi" w:cs="*Arial-Bold-6656-Identity-H"/>
          <w:b/>
          <w:bCs/>
          <w:color w:val="101010"/>
          <w:sz w:val="21"/>
          <w:szCs w:val="21"/>
        </w:rPr>
        <w:t>la auditoría y evaluación</w:t>
      </w:r>
    </w:p>
    <w:p w14:paraId="2DCB2AC3" w14:textId="77777777" w:rsidR="00D0323E" w:rsidRDefault="00D0323E" w:rsidP="00D0323E">
      <w:pPr>
        <w:autoSpaceDE w:val="0"/>
        <w:autoSpaceDN w:val="0"/>
        <w:adjustRightInd w:val="0"/>
        <w:jc w:val="center"/>
        <w:rPr>
          <w:rFonts w:ascii="Abadi" w:hAnsi="Abadi" w:cs="*Arial-BoldItalic-6657-Identity"/>
          <w:b/>
          <w:bCs/>
          <w:i/>
          <w:iCs/>
          <w:color w:val="0B0B0B"/>
          <w:sz w:val="21"/>
          <w:szCs w:val="21"/>
        </w:rPr>
      </w:pPr>
    </w:p>
    <w:p w14:paraId="6634379B" w14:textId="77777777" w:rsidR="00D0323E" w:rsidRPr="00FA7CEF" w:rsidRDefault="00D0323E" w:rsidP="00D0323E">
      <w:pPr>
        <w:autoSpaceDE w:val="0"/>
        <w:autoSpaceDN w:val="0"/>
        <w:adjustRightInd w:val="0"/>
        <w:jc w:val="center"/>
        <w:rPr>
          <w:rFonts w:ascii="Abadi" w:hAnsi="Abadi" w:cs="*Arial-BoldItalic-6657-Identity"/>
          <w:b/>
          <w:bCs/>
          <w:i/>
          <w:iCs/>
          <w:color w:val="0B0B0B"/>
          <w:sz w:val="21"/>
          <w:szCs w:val="21"/>
        </w:rPr>
      </w:pPr>
      <w:r w:rsidRPr="00FA7CEF">
        <w:rPr>
          <w:rFonts w:ascii="Abadi" w:hAnsi="Abadi" w:cs="*Arial-BoldItalic-6657-Identity"/>
          <w:b/>
          <w:bCs/>
          <w:i/>
          <w:iCs/>
          <w:color w:val="0B0B0B"/>
          <w:sz w:val="21"/>
          <w:szCs w:val="21"/>
        </w:rPr>
        <w:t>Auditoria y evaluación</w:t>
      </w:r>
    </w:p>
    <w:p w14:paraId="7C461B0F" w14:textId="77777777" w:rsidR="00D0323E" w:rsidRDefault="00D0323E" w:rsidP="00D0323E">
      <w:pPr>
        <w:autoSpaceDE w:val="0"/>
        <w:autoSpaceDN w:val="0"/>
        <w:adjustRightInd w:val="0"/>
        <w:jc w:val="both"/>
        <w:rPr>
          <w:rFonts w:ascii="Abadi" w:hAnsi="Abadi" w:cs="*Arial-Bold-6655-Identity-H"/>
          <w:b/>
          <w:bCs/>
          <w:color w:val="0A0A0A"/>
          <w:sz w:val="21"/>
          <w:szCs w:val="21"/>
        </w:rPr>
      </w:pPr>
    </w:p>
    <w:p w14:paraId="288901EA" w14:textId="77777777" w:rsidR="00D0323E" w:rsidRDefault="00D0323E" w:rsidP="00D0323E">
      <w:pPr>
        <w:autoSpaceDE w:val="0"/>
        <w:autoSpaceDN w:val="0"/>
        <w:adjustRightInd w:val="0"/>
        <w:jc w:val="both"/>
        <w:rPr>
          <w:rFonts w:ascii="Abadi" w:hAnsi="Abadi" w:cs="*Arial-6654-Identity-H"/>
          <w:color w:val="0A0A0A"/>
          <w:sz w:val="21"/>
          <w:szCs w:val="21"/>
        </w:rPr>
      </w:pPr>
      <w:r w:rsidRPr="00FA7CEF">
        <w:rPr>
          <w:rFonts w:ascii="Abadi" w:hAnsi="Abadi" w:cs="*Arial-Bold-6655-Identity-H"/>
          <w:b/>
          <w:bCs/>
          <w:color w:val="0A0A0A"/>
          <w:sz w:val="21"/>
          <w:szCs w:val="21"/>
        </w:rPr>
        <w:t xml:space="preserve">ARTÍCULO </w:t>
      </w:r>
      <w:r w:rsidRPr="00FA7CEF">
        <w:rPr>
          <w:rFonts w:ascii="Abadi" w:hAnsi="Abadi" w:cs="*Arial-6654-Identity-H"/>
          <w:color w:val="0A0A0A"/>
          <w:sz w:val="21"/>
          <w:szCs w:val="21"/>
        </w:rPr>
        <w:t>22. Los recursos estatales y su aplicación en el cumplimiento</w:t>
      </w:r>
      <w:r>
        <w:rPr>
          <w:rFonts w:ascii="Abadi" w:hAnsi="Abadi" w:cs="*Arial-6654-Identity-H"/>
          <w:color w:val="0A0A0A"/>
          <w:sz w:val="21"/>
          <w:szCs w:val="21"/>
        </w:rPr>
        <w:t xml:space="preserve"> </w:t>
      </w:r>
      <w:r w:rsidRPr="00FA7CEF">
        <w:rPr>
          <w:rFonts w:ascii="Abadi" w:hAnsi="Abadi" w:cs="*Arial-6654-Identity-H"/>
          <w:color w:val="0A0A0A"/>
          <w:sz w:val="21"/>
          <w:szCs w:val="21"/>
        </w:rPr>
        <w:t>de los fines de esta Ley podrán ser auditados y evaluados por la</w:t>
      </w:r>
      <w:r>
        <w:rPr>
          <w:rFonts w:ascii="Abadi" w:hAnsi="Abadi" w:cs="*Arial-6654-Identity-H"/>
          <w:color w:val="0A0A0A"/>
          <w:sz w:val="21"/>
          <w:szCs w:val="21"/>
        </w:rPr>
        <w:t xml:space="preserve"> </w:t>
      </w:r>
      <w:r w:rsidRPr="00FA7CEF">
        <w:rPr>
          <w:rFonts w:ascii="Abadi" w:hAnsi="Abadi" w:cs="*Arial-6654-Identity-H"/>
          <w:color w:val="0A0A0A"/>
          <w:sz w:val="21"/>
          <w:szCs w:val="21"/>
        </w:rPr>
        <w:t xml:space="preserve">Secretaría de la Transparencia y Rendición de </w:t>
      </w:r>
      <w:r w:rsidRPr="00FA7CEF">
        <w:rPr>
          <w:rFonts w:ascii="Abadi" w:hAnsi="Abadi" w:cs="*Arial-6654-Identity-H"/>
          <w:color w:val="0A0A0A"/>
          <w:sz w:val="21"/>
          <w:szCs w:val="21"/>
        </w:rPr>
        <w:t>Cuentas, la Auditoría</w:t>
      </w:r>
      <w:r>
        <w:rPr>
          <w:rFonts w:ascii="Abadi" w:hAnsi="Abadi" w:cs="*Arial-6654-Identity-H"/>
          <w:color w:val="0A0A0A"/>
          <w:sz w:val="21"/>
          <w:szCs w:val="21"/>
        </w:rPr>
        <w:t xml:space="preserve"> </w:t>
      </w:r>
      <w:r w:rsidRPr="00FA7CEF">
        <w:rPr>
          <w:rFonts w:ascii="Abadi" w:hAnsi="Abadi" w:cs="*Arial-6654-Identity-H"/>
          <w:color w:val="0A0A0A"/>
          <w:sz w:val="21"/>
          <w:szCs w:val="21"/>
        </w:rPr>
        <w:t>Superior del Estado de Guanajuato o las instancias correspondientes</w:t>
      </w:r>
      <w:r>
        <w:rPr>
          <w:rFonts w:ascii="Abadi" w:hAnsi="Abadi" w:cs="*Arial-6654-Identity-H"/>
          <w:color w:val="0A0A0A"/>
          <w:sz w:val="21"/>
          <w:szCs w:val="21"/>
        </w:rPr>
        <w:t xml:space="preserve"> </w:t>
      </w:r>
      <w:r w:rsidRPr="00FA7CEF">
        <w:rPr>
          <w:rFonts w:ascii="Abadi" w:hAnsi="Abadi" w:cs="*Arial-6654-Identity-H"/>
          <w:color w:val="0A0A0A"/>
          <w:sz w:val="21"/>
          <w:szCs w:val="21"/>
        </w:rPr>
        <w:t>en cuanto los faculten sus atribuciones.</w:t>
      </w:r>
    </w:p>
    <w:p w14:paraId="2B1B4467" w14:textId="77777777" w:rsidR="00D0323E" w:rsidRPr="00FA7CEF" w:rsidRDefault="00D0323E" w:rsidP="00D0323E">
      <w:pPr>
        <w:autoSpaceDE w:val="0"/>
        <w:autoSpaceDN w:val="0"/>
        <w:adjustRightInd w:val="0"/>
        <w:jc w:val="both"/>
        <w:rPr>
          <w:rFonts w:ascii="Abadi" w:hAnsi="Abadi" w:cs="*Arial-6654-Identity-H"/>
          <w:color w:val="0A0A0A"/>
          <w:sz w:val="21"/>
          <w:szCs w:val="21"/>
        </w:rPr>
      </w:pPr>
    </w:p>
    <w:p w14:paraId="501BE774" w14:textId="77777777" w:rsidR="00D0323E" w:rsidRPr="00FA7CEF" w:rsidRDefault="00D0323E" w:rsidP="00D0323E">
      <w:pPr>
        <w:autoSpaceDE w:val="0"/>
        <w:autoSpaceDN w:val="0"/>
        <w:adjustRightInd w:val="0"/>
        <w:jc w:val="center"/>
        <w:rPr>
          <w:rFonts w:ascii="Abadi" w:hAnsi="Abadi" w:cs="*Arial-Bold-6656-Identity-H"/>
          <w:b/>
          <w:bCs/>
          <w:color w:val="0F0F0F"/>
          <w:sz w:val="21"/>
          <w:szCs w:val="21"/>
        </w:rPr>
      </w:pPr>
      <w:r w:rsidRPr="00FA7CEF">
        <w:rPr>
          <w:rFonts w:ascii="Abadi" w:hAnsi="Abadi" w:cs="*Arial-Bold-6656-Identity-H"/>
          <w:b/>
          <w:bCs/>
          <w:color w:val="0F0F0F"/>
          <w:sz w:val="21"/>
          <w:szCs w:val="21"/>
        </w:rPr>
        <w:t>Transitorios</w:t>
      </w:r>
    </w:p>
    <w:p w14:paraId="598B2448" w14:textId="77777777" w:rsidR="00D0323E" w:rsidRDefault="00D0323E" w:rsidP="00D0323E">
      <w:pPr>
        <w:autoSpaceDE w:val="0"/>
        <w:autoSpaceDN w:val="0"/>
        <w:adjustRightInd w:val="0"/>
        <w:jc w:val="both"/>
        <w:rPr>
          <w:rFonts w:ascii="Abadi" w:hAnsi="Abadi" w:cs="*Arial-Bold-6655-Identity-H"/>
          <w:b/>
          <w:bCs/>
          <w:color w:val="0E0E0E"/>
          <w:sz w:val="21"/>
          <w:szCs w:val="21"/>
        </w:rPr>
      </w:pPr>
    </w:p>
    <w:p w14:paraId="49FBC183" w14:textId="77777777" w:rsidR="00D0323E" w:rsidRPr="00FA7CEF" w:rsidRDefault="00D0323E" w:rsidP="00D0323E">
      <w:pPr>
        <w:autoSpaceDE w:val="0"/>
        <w:autoSpaceDN w:val="0"/>
        <w:adjustRightInd w:val="0"/>
        <w:jc w:val="both"/>
        <w:rPr>
          <w:rFonts w:ascii="Abadi" w:hAnsi="Abadi" w:cs="*Arial-6652-Identity-H"/>
          <w:color w:val="101010"/>
          <w:sz w:val="21"/>
          <w:szCs w:val="21"/>
        </w:rPr>
      </w:pPr>
      <w:r w:rsidRPr="00FA7CEF">
        <w:rPr>
          <w:rFonts w:ascii="Abadi" w:hAnsi="Abadi" w:cs="*Arial-Bold-6655-Identity-H"/>
          <w:b/>
          <w:bCs/>
          <w:color w:val="0E0E0E"/>
          <w:sz w:val="21"/>
          <w:szCs w:val="21"/>
        </w:rPr>
        <w:t xml:space="preserve">ARTÍCULO </w:t>
      </w:r>
      <w:r w:rsidRPr="00FA7CEF">
        <w:rPr>
          <w:rFonts w:ascii="Abadi" w:hAnsi="Abadi" w:cs="*Arial-6654-Identity-H"/>
          <w:color w:val="0E0E0E"/>
          <w:sz w:val="21"/>
          <w:szCs w:val="21"/>
        </w:rPr>
        <w:t>Primero. El presente Decreto entrará en vigor al día</w:t>
      </w:r>
      <w:r>
        <w:rPr>
          <w:rFonts w:ascii="Abadi" w:hAnsi="Abadi" w:cs="*Arial-6654-Identity-H"/>
          <w:color w:val="0E0E0E"/>
          <w:sz w:val="21"/>
          <w:szCs w:val="21"/>
        </w:rPr>
        <w:t xml:space="preserve"> </w:t>
      </w:r>
      <w:r w:rsidRPr="00FA7CEF">
        <w:rPr>
          <w:rFonts w:ascii="Abadi" w:hAnsi="Abadi" w:cs="*Arial-6654-Identity-H"/>
          <w:color w:val="0E0E0E"/>
          <w:sz w:val="21"/>
          <w:szCs w:val="21"/>
        </w:rPr>
        <w:t>siguiente a su publicación en el Periódico Oficial del Estado de</w:t>
      </w:r>
      <w:r>
        <w:rPr>
          <w:rFonts w:ascii="Abadi" w:hAnsi="Abadi" w:cs="*Arial-6654-Identity-H"/>
          <w:color w:val="0E0E0E"/>
          <w:sz w:val="21"/>
          <w:szCs w:val="21"/>
        </w:rPr>
        <w:t xml:space="preserve"> </w:t>
      </w:r>
      <w:r w:rsidRPr="00FA7CEF">
        <w:rPr>
          <w:rFonts w:ascii="Abadi" w:hAnsi="Abadi" w:cs="*Arial-6654-Identity-H"/>
          <w:color w:val="0E0E0E"/>
          <w:sz w:val="21"/>
          <w:szCs w:val="21"/>
        </w:rPr>
        <w:t>Guanajuato.</w:t>
      </w:r>
      <w:r>
        <w:rPr>
          <w:rFonts w:ascii="Abadi" w:hAnsi="Abadi" w:cs="*Arial-6654-Identity-H"/>
          <w:color w:val="0E0E0E"/>
          <w:sz w:val="21"/>
          <w:szCs w:val="21"/>
        </w:rPr>
        <w:t xml:space="preserve"> </w:t>
      </w:r>
    </w:p>
    <w:p w14:paraId="5A3B92E2" w14:textId="77777777" w:rsidR="00D0323E" w:rsidRPr="00FA7CEF" w:rsidRDefault="00D0323E" w:rsidP="00D0323E">
      <w:pPr>
        <w:jc w:val="both"/>
        <w:rPr>
          <w:rFonts w:ascii="Abadi" w:hAnsi="Abadi" w:cs="*Arial-6652-Identity-H"/>
          <w:color w:val="101010"/>
          <w:sz w:val="21"/>
          <w:szCs w:val="21"/>
        </w:rPr>
      </w:pPr>
    </w:p>
    <w:p w14:paraId="3A7ECF34" w14:textId="77777777" w:rsidR="00D0323E" w:rsidRPr="00FA7CEF" w:rsidRDefault="00D0323E" w:rsidP="00D0323E">
      <w:pPr>
        <w:autoSpaceDE w:val="0"/>
        <w:autoSpaceDN w:val="0"/>
        <w:adjustRightInd w:val="0"/>
        <w:jc w:val="center"/>
        <w:rPr>
          <w:rFonts w:ascii="Abadi" w:hAnsi="Abadi" w:cs="*Arial-Bold-4116-Identity-H"/>
          <w:b/>
          <w:bCs/>
          <w:color w:val="101010"/>
          <w:sz w:val="21"/>
          <w:szCs w:val="21"/>
        </w:rPr>
      </w:pPr>
      <w:r w:rsidRPr="00FA7CEF">
        <w:rPr>
          <w:rFonts w:ascii="Abadi" w:hAnsi="Abadi" w:cs="*Arial-Bold-4116-Identity-H"/>
          <w:b/>
          <w:bCs/>
          <w:color w:val="101010"/>
          <w:sz w:val="21"/>
          <w:szCs w:val="21"/>
        </w:rPr>
        <w:t>Guanajuato, Gto., a 21 de junio de 2022</w:t>
      </w:r>
    </w:p>
    <w:p w14:paraId="2DDFD555" w14:textId="77777777" w:rsidR="00D0323E" w:rsidRDefault="00D0323E" w:rsidP="00D0323E">
      <w:pPr>
        <w:autoSpaceDE w:val="0"/>
        <w:autoSpaceDN w:val="0"/>
        <w:adjustRightInd w:val="0"/>
        <w:jc w:val="center"/>
        <w:rPr>
          <w:rFonts w:ascii="Abadi" w:hAnsi="Abadi" w:cs="*Arial-Bold-4116-Identity-H"/>
          <w:b/>
          <w:bCs/>
          <w:color w:val="101010"/>
          <w:sz w:val="21"/>
          <w:szCs w:val="21"/>
        </w:rPr>
      </w:pPr>
    </w:p>
    <w:p w14:paraId="7F07F6BE" w14:textId="77777777" w:rsidR="00D0323E" w:rsidRPr="00FA7CEF" w:rsidRDefault="00D0323E" w:rsidP="00D0323E">
      <w:pPr>
        <w:autoSpaceDE w:val="0"/>
        <w:autoSpaceDN w:val="0"/>
        <w:adjustRightInd w:val="0"/>
        <w:jc w:val="center"/>
        <w:rPr>
          <w:rFonts w:ascii="Abadi" w:hAnsi="Abadi" w:cs="*Arial-Bold-4116-Identity-H"/>
          <w:b/>
          <w:bCs/>
          <w:color w:val="101010"/>
          <w:sz w:val="21"/>
          <w:szCs w:val="21"/>
        </w:rPr>
      </w:pPr>
      <w:r w:rsidRPr="00FA7CEF">
        <w:rPr>
          <w:rFonts w:ascii="Abadi" w:hAnsi="Abadi" w:cs="*Arial-Bold-4116-Identity-H"/>
          <w:b/>
          <w:bCs/>
          <w:color w:val="101010"/>
          <w:sz w:val="21"/>
          <w:szCs w:val="21"/>
        </w:rPr>
        <w:t>Diputadas y Diputados integrantes del</w:t>
      </w:r>
    </w:p>
    <w:p w14:paraId="6F91C132" w14:textId="77777777" w:rsidR="00D0323E" w:rsidRDefault="00D0323E" w:rsidP="00D0323E">
      <w:pPr>
        <w:jc w:val="center"/>
        <w:rPr>
          <w:rFonts w:ascii="Abadi" w:hAnsi="Abadi" w:cs="*Arial-Bold-4116-Identity-H"/>
          <w:b/>
          <w:bCs/>
          <w:color w:val="101010"/>
          <w:sz w:val="21"/>
          <w:szCs w:val="21"/>
        </w:rPr>
      </w:pPr>
      <w:r w:rsidRPr="00FA7CEF">
        <w:rPr>
          <w:rFonts w:ascii="Abadi" w:hAnsi="Abadi" w:cs="*Arial-Bold-4116-Identity-H"/>
          <w:b/>
          <w:bCs/>
          <w:color w:val="101010"/>
          <w:sz w:val="21"/>
          <w:szCs w:val="21"/>
        </w:rPr>
        <w:t>Grupo Parlamentario del Partido Acción Nacional</w:t>
      </w:r>
    </w:p>
    <w:p w14:paraId="45AD83D7" w14:textId="77777777" w:rsidR="00D0323E" w:rsidRDefault="00D0323E" w:rsidP="00D0323E">
      <w:pPr>
        <w:jc w:val="center"/>
        <w:rPr>
          <w:rFonts w:ascii="Abadi" w:hAnsi="Abadi" w:cs="*Arial-Bold-4116-Identity-H"/>
          <w:b/>
          <w:bCs/>
          <w:color w:val="101010"/>
          <w:sz w:val="21"/>
          <w:szCs w:val="21"/>
        </w:rPr>
      </w:pPr>
    </w:p>
    <w:p w14:paraId="2CA79F81" w14:textId="77777777" w:rsidR="00D0323E" w:rsidRPr="0020747F" w:rsidRDefault="00D0323E" w:rsidP="009C3CFC">
      <w:pPr>
        <w:autoSpaceDE w:val="0"/>
        <w:autoSpaceDN w:val="0"/>
        <w:adjustRightInd w:val="0"/>
        <w:jc w:val="center"/>
        <w:rPr>
          <w:rFonts w:ascii="Abadi" w:eastAsiaTheme="minorHAnsi" w:hAnsi="Abadi" w:cs="*Arial-Bold-4116-Identity-H"/>
          <w:b/>
          <w:bCs/>
          <w:color w:val="101010"/>
          <w:sz w:val="21"/>
          <w:szCs w:val="21"/>
        </w:rPr>
      </w:pPr>
      <w:r w:rsidRPr="0020747F">
        <w:rPr>
          <w:rFonts w:ascii="Abadi" w:eastAsiaTheme="minorHAnsi" w:hAnsi="Abadi" w:cs="*Arial-Bold-4116-Identity-H"/>
          <w:b/>
          <w:bCs/>
          <w:color w:val="101010"/>
          <w:sz w:val="21"/>
          <w:szCs w:val="21"/>
        </w:rPr>
        <w:t>Dip. Luis Ernesto Ayala Torres.</w:t>
      </w:r>
    </w:p>
    <w:p w14:paraId="359EEDE2" w14:textId="15CADC90" w:rsidR="00D0323E" w:rsidRDefault="00D0323E" w:rsidP="009C3CFC">
      <w:pPr>
        <w:autoSpaceDE w:val="0"/>
        <w:autoSpaceDN w:val="0"/>
        <w:adjustRightInd w:val="0"/>
        <w:jc w:val="center"/>
        <w:rPr>
          <w:rFonts w:ascii="Abadi" w:eastAsiaTheme="minorHAnsi" w:hAnsi="Abadi" w:cs="*Arial-Bold-4116-Identity-H"/>
          <w:b/>
          <w:bCs/>
          <w:color w:val="101010"/>
          <w:sz w:val="21"/>
          <w:szCs w:val="21"/>
        </w:rPr>
      </w:pPr>
      <w:r w:rsidRPr="0020747F">
        <w:rPr>
          <w:rFonts w:ascii="Abadi" w:eastAsiaTheme="minorHAnsi" w:hAnsi="Abadi" w:cs="*Arial-Bold-4116-Identity-H"/>
          <w:b/>
          <w:bCs/>
          <w:color w:val="101010"/>
          <w:sz w:val="21"/>
          <w:szCs w:val="21"/>
        </w:rPr>
        <w:t>Coordinador</w:t>
      </w:r>
    </w:p>
    <w:p w14:paraId="227C4852" w14:textId="14EF3A9F" w:rsidR="009C3CFC" w:rsidRDefault="009C3CFC" w:rsidP="009C3CFC">
      <w:pPr>
        <w:autoSpaceDE w:val="0"/>
        <w:autoSpaceDN w:val="0"/>
        <w:adjustRightInd w:val="0"/>
        <w:jc w:val="center"/>
        <w:rPr>
          <w:rFonts w:ascii="Abadi" w:eastAsiaTheme="minorHAnsi" w:hAnsi="Abadi" w:cs="*Arial-Bold-4116-Identity-H"/>
          <w:b/>
          <w:bCs/>
          <w:color w:val="101010"/>
          <w:sz w:val="21"/>
          <w:szCs w:val="21"/>
        </w:rPr>
      </w:pPr>
    </w:p>
    <w:p w14:paraId="38A8AE85" w14:textId="77777777" w:rsidR="009C3CFC" w:rsidRPr="0020747F" w:rsidRDefault="009C3CFC" w:rsidP="009C3CFC">
      <w:pPr>
        <w:autoSpaceDE w:val="0"/>
        <w:autoSpaceDN w:val="0"/>
        <w:adjustRightInd w:val="0"/>
        <w:jc w:val="center"/>
        <w:rPr>
          <w:rFonts w:ascii="Abadi" w:eastAsiaTheme="minorHAnsi" w:hAnsi="Abadi" w:cs="*Arial-Bold-4116-Identity-H"/>
          <w:b/>
          <w:bCs/>
          <w:color w:val="101010"/>
          <w:sz w:val="21"/>
          <w:szCs w:val="21"/>
        </w:rPr>
      </w:pPr>
    </w:p>
    <w:p w14:paraId="2D18BEA9" w14:textId="77777777" w:rsidR="00D0323E" w:rsidRPr="0020747F" w:rsidRDefault="00D0323E" w:rsidP="00D0323E">
      <w:pPr>
        <w:autoSpaceDE w:val="0"/>
        <w:autoSpaceDN w:val="0"/>
        <w:adjustRightInd w:val="0"/>
        <w:rPr>
          <w:rFonts w:ascii="Abadi" w:eastAsiaTheme="minorHAnsi" w:hAnsi="Abadi" w:cs="*Arial-Bold-4116-Identity-H"/>
          <w:b/>
          <w:bCs/>
          <w:color w:val="101010"/>
          <w:sz w:val="21"/>
          <w:szCs w:val="21"/>
        </w:rPr>
      </w:pPr>
      <w:r w:rsidRPr="0020747F">
        <w:rPr>
          <w:rFonts w:ascii="Abadi" w:eastAsiaTheme="minorHAnsi" w:hAnsi="Abadi" w:cs="*Arial-Bold-4116-Identity-H"/>
          <w:b/>
          <w:bCs/>
          <w:color w:val="101010"/>
          <w:sz w:val="21"/>
          <w:szCs w:val="21"/>
        </w:rPr>
        <w:t xml:space="preserve">Dip. Rolando Fortino Alcántar Rojas </w:t>
      </w:r>
    </w:p>
    <w:p w14:paraId="29571EC8" w14:textId="77777777" w:rsidR="00D0323E" w:rsidRPr="0020747F" w:rsidRDefault="00D0323E" w:rsidP="00D0323E">
      <w:pPr>
        <w:autoSpaceDE w:val="0"/>
        <w:autoSpaceDN w:val="0"/>
        <w:adjustRightInd w:val="0"/>
        <w:rPr>
          <w:rFonts w:ascii="Abadi" w:eastAsiaTheme="minorHAnsi" w:hAnsi="Abadi" w:cs="*Arial-Bold-4116-Identity-H"/>
          <w:b/>
          <w:bCs/>
          <w:color w:val="101010"/>
          <w:sz w:val="21"/>
          <w:szCs w:val="21"/>
        </w:rPr>
      </w:pPr>
      <w:r w:rsidRPr="0020747F">
        <w:rPr>
          <w:rFonts w:ascii="Abadi" w:eastAsiaTheme="minorHAnsi" w:hAnsi="Abadi" w:cs="*Arial-Bold-4116-Identity-H"/>
          <w:b/>
          <w:bCs/>
          <w:color w:val="101010"/>
          <w:sz w:val="21"/>
          <w:szCs w:val="21"/>
        </w:rPr>
        <w:t xml:space="preserve">Dip. Bricio Balderas Álvarez </w:t>
      </w:r>
    </w:p>
    <w:p w14:paraId="0E4499C7" w14:textId="77777777"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Dip. Susana Bermúdez Cano </w:t>
      </w:r>
    </w:p>
    <w:p w14:paraId="78CC26D4" w14:textId="77777777"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Dip. José Alfonso Borja Pimentel </w:t>
      </w:r>
    </w:p>
    <w:p w14:paraId="4AFA946B" w14:textId="77777777"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Dip. Angélica Casilla Martínez </w:t>
      </w:r>
    </w:p>
    <w:p w14:paraId="0A1C9B06" w14:textId="77777777"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Dip. Martha Guadalupe Hernández Camarena </w:t>
      </w:r>
    </w:p>
    <w:p w14:paraId="0673F9F8" w14:textId="77777777"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Dip. María de la Luz Hernández Martínez </w:t>
      </w:r>
    </w:p>
    <w:p w14:paraId="2A4948D5" w14:textId="77777777"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Dip. César Larrondo Díaz </w:t>
      </w:r>
    </w:p>
    <w:p w14:paraId="587BCD86" w14:textId="77777777"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Dip. Martín López Camacho </w:t>
      </w:r>
    </w:p>
    <w:p w14:paraId="208865B9" w14:textId="77777777"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Dip. Briseida Anabel Magdaleno González </w:t>
      </w:r>
    </w:p>
    <w:p w14:paraId="2BB32E18" w14:textId="77777777"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Dip. Laura Cristina Márquez Alcalá </w:t>
      </w:r>
    </w:p>
    <w:p w14:paraId="13FC17ED" w14:textId="77777777"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Dp. Aldo Iván Márquez Becerra </w:t>
      </w:r>
    </w:p>
    <w:p w14:paraId="492EA455" w14:textId="77777777"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Dip Noemí Márquez Márquez </w:t>
      </w:r>
    </w:p>
    <w:p w14:paraId="1D63246D" w14:textId="77777777"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Dip. Janet Melanie Murillo Chávez </w:t>
      </w:r>
    </w:p>
    <w:p w14:paraId="7F793160" w14:textId="77777777"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Dip. Jorge Ortiz Ortega </w:t>
      </w:r>
    </w:p>
    <w:p w14:paraId="67683086" w14:textId="77777777"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Dip. Armando Daniel Hernández </w:t>
      </w:r>
    </w:p>
    <w:p w14:paraId="231A803D" w14:textId="75A05F10"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Dip. Lilia </w:t>
      </w:r>
      <w:r w:rsidR="009025D7" w:rsidRPr="0020747F">
        <w:rPr>
          <w:rFonts w:ascii="Abadi" w:hAnsi="Abadi" w:cs="*Arial-Bold-4116-Identity-H"/>
          <w:b/>
          <w:bCs/>
          <w:color w:val="101010"/>
          <w:sz w:val="21"/>
          <w:szCs w:val="21"/>
        </w:rPr>
        <w:t>Margarita Rionda</w:t>
      </w:r>
      <w:r w:rsidRPr="0020747F">
        <w:rPr>
          <w:rFonts w:ascii="Abadi" w:hAnsi="Abadi" w:cs="*Arial-Bold-4116-Identity-H"/>
          <w:b/>
          <w:bCs/>
          <w:color w:val="101010"/>
          <w:sz w:val="21"/>
          <w:szCs w:val="21"/>
        </w:rPr>
        <w:t xml:space="preserve"> Salas </w:t>
      </w:r>
    </w:p>
    <w:p w14:paraId="4AB66BCB" w14:textId="6DE2D732"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Dip. Miguel </w:t>
      </w:r>
      <w:r w:rsidR="009025D7" w:rsidRPr="0020747F">
        <w:rPr>
          <w:rFonts w:ascii="Abadi" w:hAnsi="Abadi" w:cs="*Arial-Bold-4116-Identity-H"/>
          <w:b/>
          <w:bCs/>
          <w:color w:val="101010"/>
          <w:sz w:val="21"/>
          <w:szCs w:val="21"/>
        </w:rPr>
        <w:t>Ángel Salim</w:t>
      </w:r>
      <w:r w:rsidRPr="0020747F">
        <w:rPr>
          <w:rFonts w:ascii="Abadi" w:hAnsi="Abadi" w:cs="*Arial-Bold-4116-Identity-H"/>
          <w:b/>
          <w:bCs/>
          <w:color w:val="101010"/>
          <w:sz w:val="21"/>
          <w:szCs w:val="21"/>
        </w:rPr>
        <w:t xml:space="preserve"> Alle </w:t>
      </w:r>
    </w:p>
    <w:p w14:paraId="53521719" w14:textId="77777777"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Dip. Cristina    Soto Escamilla                                 </w:t>
      </w:r>
    </w:p>
    <w:p w14:paraId="0F4CF772" w14:textId="77777777" w:rsidR="00D0323E" w:rsidRPr="0020747F" w:rsidRDefault="00D0323E" w:rsidP="00D0323E">
      <w:pPr>
        <w:autoSpaceDE w:val="0"/>
        <w:autoSpaceDN w:val="0"/>
        <w:adjustRightInd w:val="0"/>
        <w:rPr>
          <w:rFonts w:ascii="Abadi" w:hAnsi="Abadi" w:cs="*Arial-Bold-4116-Identity-H"/>
          <w:b/>
          <w:bCs/>
          <w:color w:val="101010"/>
          <w:sz w:val="21"/>
          <w:szCs w:val="21"/>
        </w:rPr>
      </w:pPr>
      <w:r w:rsidRPr="0020747F">
        <w:rPr>
          <w:rFonts w:ascii="Abadi" w:hAnsi="Abadi" w:cs="*Arial-Bold-4116-Identity-H"/>
          <w:b/>
          <w:bCs/>
          <w:color w:val="101010"/>
          <w:sz w:val="21"/>
          <w:szCs w:val="21"/>
        </w:rPr>
        <w:t xml:space="preserve">Dip. Víctor Manuel Zanella Huerta </w:t>
      </w:r>
    </w:p>
    <w:p w14:paraId="16BD9055" w14:textId="77777777" w:rsidR="00D0323E" w:rsidRPr="00FA7CEF" w:rsidRDefault="00D0323E" w:rsidP="00D0323E">
      <w:pPr>
        <w:jc w:val="center"/>
        <w:rPr>
          <w:rFonts w:ascii="Abadi" w:hAnsi="Abadi"/>
          <w:sz w:val="21"/>
          <w:szCs w:val="21"/>
        </w:rPr>
      </w:pPr>
    </w:p>
    <w:p w14:paraId="295984EC" w14:textId="77777777" w:rsidR="00D0323E" w:rsidRPr="00EC4912" w:rsidRDefault="00D0323E" w:rsidP="00EC4912">
      <w:pPr>
        <w:tabs>
          <w:tab w:val="left" w:pos="856"/>
        </w:tabs>
        <w:kinsoku w:val="0"/>
        <w:overflowPunct w:val="0"/>
        <w:autoSpaceDE w:val="0"/>
        <w:autoSpaceDN w:val="0"/>
        <w:adjustRightInd w:val="0"/>
        <w:spacing w:before="1"/>
        <w:ind w:right="17"/>
        <w:jc w:val="both"/>
        <w:rPr>
          <w:rFonts w:ascii="Abadi" w:hAnsi="Abadi"/>
          <w:b/>
          <w:bCs/>
          <w:sz w:val="20"/>
          <w:szCs w:val="20"/>
        </w:rPr>
      </w:pPr>
    </w:p>
    <w:p w14:paraId="1FAA42CC" w14:textId="77777777" w:rsidR="00C97D69" w:rsidRPr="00C97D69" w:rsidRDefault="00C97D69" w:rsidP="00C97D69">
      <w:pPr>
        <w:pStyle w:val="Prrafodelista"/>
        <w:rPr>
          <w:rFonts w:ascii="Abadi" w:hAnsi="Abadi"/>
          <w:b/>
          <w:bCs/>
          <w:sz w:val="20"/>
          <w:szCs w:val="20"/>
        </w:rPr>
      </w:pPr>
    </w:p>
    <w:p w14:paraId="31247473" w14:textId="29D4A618" w:rsidR="00C97D69" w:rsidRDefault="00C97D69"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PRESENTACIÓN DE LA INICIATIVA A EFECTO DE ADICIONAR LA FRACCIÓN XXI AL ARTÍCULO 28</w:t>
      </w:r>
      <w:r w:rsidRPr="00531B12">
        <w:rPr>
          <w:rFonts w:ascii="Abadi" w:hAnsi="Abadi"/>
          <w:b/>
          <w:bCs/>
          <w:spacing w:val="-6"/>
          <w:sz w:val="20"/>
          <w:szCs w:val="20"/>
        </w:rPr>
        <w:t xml:space="preserve"> </w:t>
      </w:r>
      <w:r w:rsidRPr="00531B12">
        <w:rPr>
          <w:rFonts w:ascii="Abadi" w:hAnsi="Abadi"/>
          <w:b/>
          <w:bCs/>
          <w:sz w:val="20"/>
          <w:szCs w:val="20"/>
        </w:rPr>
        <w:t>DE</w:t>
      </w:r>
      <w:r w:rsidRPr="00531B12">
        <w:rPr>
          <w:rFonts w:ascii="Abadi" w:hAnsi="Abadi"/>
          <w:b/>
          <w:bCs/>
          <w:spacing w:val="-6"/>
          <w:sz w:val="20"/>
          <w:szCs w:val="20"/>
        </w:rPr>
        <w:t xml:space="preserve"> </w:t>
      </w:r>
      <w:r w:rsidRPr="00531B12">
        <w:rPr>
          <w:rFonts w:ascii="Abadi" w:hAnsi="Abadi"/>
          <w:b/>
          <w:bCs/>
          <w:sz w:val="20"/>
          <w:szCs w:val="20"/>
        </w:rPr>
        <w:t>LA</w:t>
      </w:r>
      <w:r w:rsidRPr="00531B12">
        <w:rPr>
          <w:rFonts w:ascii="Abadi" w:hAnsi="Abadi"/>
          <w:b/>
          <w:bCs/>
          <w:spacing w:val="-6"/>
          <w:sz w:val="20"/>
          <w:szCs w:val="20"/>
        </w:rPr>
        <w:t xml:space="preserve"> </w:t>
      </w:r>
      <w:r w:rsidRPr="00531B12">
        <w:rPr>
          <w:rFonts w:ascii="Abadi" w:hAnsi="Abadi"/>
          <w:b/>
          <w:bCs/>
          <w:sz w:val="20"/>
          <w:szCs w:val="20"/>
        </w:rPr>
        <w:t>LEY</w:t>
      </w:r>
      <w:r w:rsidRPr="00531B12">
        <w:rPr>
          <w:rFonts w:ascii="Abadi" w:hAnsi="Abadi"/>
          <w:b/>
          <w:bCs/>
          <w:spacing w:val="-6"/>
          <w:sz w:val="20"/>
          <w:szCs w:val="20"/>
        </w:rPr>
        <w:t xml:space="preserve"> </w:t>
      </w:r>
      <w:r w:rsidRPr="00531B12">
        <w:rPr>
          <w:rFonts w:ascii="Abadi" w:hAnsi="Abadi"/>
          <w:b/>
          <w:bCs/>
          <w:sz w:val="20"/>
          <w:szCs w:val="20"/>
        </w:rPr>
        <w:t>DE</w:t>
      </w:r>
      <w:r w:rsidRPr="00531B12">
        <w:rPr>
          <w:rFonts w:ascii="Abadi" w:hAnsi="Abadi"/>
          <w:b/>
          <w:bCs/>
          <w:spacing w:val="-6"/>
          <w:sz w:val="20"/>
          <w:szCs w:val="20"/>
        </w:rPr>
        <w:t xml:space="preserve"> </w:t>
      </w:r>
      <w:r w:rsidRPr="00531B12">
        <w:rPr>
          <w:rFonts w:ascii="Abadi" w:hAnsi="Abadi"/>
          <w:b/>
          <w:bCs/>
          <w:sz w:val="20"/>
          <w:szCs w:val="20"/>
        </w:rPr>
        <w:t>LOS</w:t>
      </w:r>
      <w:r w:rsidRPr="00531B12">
        <w:rPr>
          <w:rFonts w:ascii="Abadi" w:hAnsi="Abadi"/>
          <w:b/>
          <w:bCs/>
          <w:spacing w:val="-6"/>
          <w:sz w:val="20"/>
          <w:szCs w:val="20"/>
        </w:rPr>
        <w:t xml:space="preserve"> </w:t>
      </w:r>
      <w:r w:rsidRPr="00531B12">
        <w:rPr>
          <w:rFonts w:ascii="Abadi" w:hAnsi="Abadi"/>
          <w:b/>
          <w:bCs/>
          <w:sz w:val="20"/>
          <w:szCs w:val="20"/>
        </w:rPr>
        <w:t>DERECHOS</w:t>
      </w:r>
      <w:r w:rsidRPr="00531B12">
        <w:rPr>
          <w:rFonts w:ascii="Abadi" w:hAnsi="Abadi"/>
          <w:b/>
          <w:bCs/>
          <w:spacing w:val="-6"/>
          <w:sz w:val="20"/>
          <w:szCs w:val="20"/>
        </w:rPr>
        <w:t xml:space="preserve"> </w:t>
      </w:r>
      <w:r w:rsidRPr="00531B12">
        <w:rPr>
          <w:rFonts w:ascii="Abadi" w:hAnsi="Abadi"/>
          <w:b/>
          <w:bCs/>
          <w:sz w:val="20"/>
          <w:szCs w:val="20"/>
        </w:rPr>
        <w:t>DE</w:t>
      </w:r>
      <w:r w:rsidRPr="00531B12">
        <w:rPr>
          <w:rFonts w:ascii="Abadi" w:hAnsi="Abadi"/>
          <w:b/>
          <w:bCs/>
          <w:spacing w:val="-6"/>
          <w:sz w:val="20"/>
          <w:szCs w:val="20"/>
        </w:rPr>
        <w:t xml:space="preserve"> </w:t>
      </w:r>
      <w:r w:rsidRPr="00531B12">
        <w:rPr>
          <w:rFonts w:ascii="Abadi" w:hAnsi="Abadi"/>
          <w:b/>
          <w:bCs/>
          <w:sz w:val="20"/>
          <w:szCs w:val="20"/>
        </w:rPr>
        <w:t>NIÑAS,</w:t>
      </w:r>
      <w:r w:rsidRPr="00531B12">
        <w:rPr>
          <w:rFonts w:ascii="Abadi" w:hAnsi="Abadi"/>
          <w:b/>
          <w:bCs/>
          <w:spacing w:val="-6"/>
          <w:sz w:val="20"/>
          <w:szCs w:val="20"/>
        </w:rPr>
        <w:t xml:space="preserve"> </w:t>
      </w:r>
      <w:r w:rsidRPr="00531B12">
        <w:rPr>
          <w:rFonts w:ascii="Abadi" w:hAnsi="Abadi"/>
          <w:b/>
          <w:bCs/>
          <w:sz w:val="20"/>
          <w:szCs w:val="20"/>
        </w:rPr>
        <w:t>NIÑOS</w:t>
      </w:r>
      <w:r w:rsidRPr="00531B12">
        <w:rPr>
          <w:rFonts w:ascii="Abadi" w:hAnsi="Abadi"/>
          <w:b/>
          <w:bCs/>
          <w:spacing w:val="-6"/>
          <w:sz w:val="20"/>
          <w:szCs w:val="20"/>
        </w:rPr>
        <w:t xml:space="preserve"> </w:t>
      </w:r>
      <w:r w:rsidRPr="00531B12">
        <w:rPr>
          <w:rFonts w:ascii="Abadi" w:hAnsi="Abadi"/>
          <w:b/>
          <w:bCs/>
          <w:sz w:val="20"/>
          <w:szCs w:val="20"/>
        </w:rPr>
        <w:t>Y</w:t>
      </w:r>
      <w:r w:rsidRPr="00531B12">
        <w:rPr>
          <w:rFonts w:ascii="Abadi" w:hAnsi="Abadi"/>
          <w:b/>
          <w:bCs/>
          <w:spacing w:val="-6"/>
          <w:sz w:val="20"/>
          <w:szCs w:val="20"/>
        </w:rPr>
        <w:t xml:space="preserve"> </w:t>
      </w:r>
      <w:r w:rsidRPr="00531B12">
        <w:rPr>
          <w:rFonts w:ascii="Abadi" w:hAnsi="Abadi"/>
          <w:b/>
          <w:bCs/>
          <w:sz w:val="20"/>
          <w:szCs w:val="20"/>
        </w:rPr>
        <w:t>ADOLESCENTES</w:t>
      </w:r>
      <w:r w:rsidRPr="00531B12">
        <w:rPr>
          <w:rFonts w:ascii="Abadi" w:hAnsi="Abadi"/>
          <w:b/>
          <w:bCs/>
          <w:spacing w:val="-6"/>
          <w:sz w:val="20"/>
          <w:szCs w:val="20"/>
        </w:rPr>
        <w:t xml:space="preserve"> </w:t>
      </w:r>
      <w:r w:rsidRPr="00531B12">
        <w:rPr>
          <w:rFonts w:ascii="Abadi" w:hAnsi="Abadi"/>
          <w:b/>
          <w:bCs/>
          <w:sz w:val="20"/>
          <w:szCs w:val="20"/>
        </w:rPr>
        <w:t>DEL</w:t>
      </w:r>
      <w:r w:rsidRPr="00531B12">
        <w:rPr>
          <w:rFonts w:ascii="Abadi" w:hAnsi="Abadi"/>
          <w:b/>
          <w:bCs/>
          <w:spacing w:val="-6"/>
          <w:sz w:val="20"/>
          <w:szCs w:val="20"/>
        </w:rPr>
        <w:t xml:space="preserve"> </w:t>
      </w:r>
      <w:r w:rsidRPr="00531B12">
        <w:rPr>
          <w:rFonts w:ascii="Abadi" w:hAnsi="Abadi"/>
          <w:b/>
          <w:bCs/>
          <w:sz w:val="20"/>
          <w:szCs w:val="20"/>
        </w:rPr>
        <w:t>ESTADO</w:t>
      </w:r>
      <w:r w:rsidRPr="00531B12">
        <w:rPr>
          <w:rFonts w:ascii="Abadi" w:hAnsi="Abadi"/>
          <w:b/>
          <w:bCs/>
          <w:spacing w:val="-6"/>
          <w:sz w:val="20"/>
          <w:szCs w:val="20"/>
        </w:rPr>
        <w:t xml:space="preserve"> </w:t>
      </w:r>
      <w:r w:rsidRPr="00531B12">
        <w:rPr>
          <w:rFonts w:ascii="Abadi" w:hAnsi="Abadi"/>
          <w:b/>
          <w:bCs/>
          <w:sz w:val="20"/>
          <w:szCs w:val="20"/>
        </w:rPr>
        <w:t>DE GUANAJUATO,</w:t>
      </w:r>
      <w:r w:rsidRPr="00531B12">
        <w:rPr>
          <w:rFonts w:ascii="Abadi" w:hAnsi="Abadi"/>
          <w:b/>
          <w:bCs/>
          <w:spacing w:val="69"/>
          <w:sz w:val="20"/>
          <w:szCs w:val="20"/>
        </w:rPr>
        <w:t xml:space="preserve"> </w:t>
      </w:r>
      <w:r w:rsidRPr="00531B12">
        <w:rPr>
          <w:rFonts w:ascii="Abadi" w:hAnsi="Abadi"/>
          <w:b/>
          <w:bCs/>
          <w:sz w:val="20"/>
          <w:szCs w:val="20"/>
        </w:rPr>
        <w:t>FORMULADA</w:t>
      </w:r>
      <w:r w:rsidRPr="00531B12">
        <w:rPr>
          <w:rFonts w:ascii="Abadi" w:hAnsi="Abadi"/>
          <w:b/>
          <w:bCs/>
          <w:spacing w:val="70"/>
          <w:sz w:val="20"/>
          <w:szCs w:val="20"/>
        </w:rPr>
        <w:t xml:space="preserve"> </w:t>
      </w:r>
      <w:r w:rsidRPr="00531B12">
        <w:rPr>
          <w:rFonts w:ascii="Abadi" w:hAnsi="Abadi"/>
          <w:b/>
          <w:bCs/>
          <w:sz w:val="20"/>
          <w:szCs w:val="20"/>
        </w:rPr>
        <w:t>POR</w:t>
      </w:r>
      <w:r w:rsidRPr="00531B12">
        <w:rPr>
          <w:rFonts w:ascii="Abadi" w:hAnsi="Abadi"/>
          <w:b/>
          <w:bCs/>
          <w:spacing w:val="69"/>
          <w:sz w:val="20"/>
          <w:szCs w:val="20"/>
        </w:rPr>
        <w:t xml:space="preserve"> </w:t>
      </w:r>
      <w:r w:rsidRPr="00531B12">
        <w:rPr>
          <w:rFonts w:ascii="Abadi" w:hAnsi="Abadi"/>
          <w:b/>
          <w:bCs/>
          <w:sz w:val="20"/>
          <w:szCs w:val="20"/>
        </w:rPr>
        <w:t>DIPUTADA</w:t>
      </w:r>
      <w:r w:rsidRPr="00531B12">
        <w:rPr>
          <w:rFonts w:ascii="Abadi" w:hAnsi="Abadi"/>
          <w:b/>
          <w:bCs/>
          <w:spacing w:val="69"/>
          <w:sz w:val="20"/>
          <w:szCs w:val="20"/>
        </w:rPr>
        <w:t xml:space="preserve"> </w:t>
      </w:r>
      <w:r w:rsidRPr="00531B12">
        <w:rPr>
          <w:rFonts w:ascii="Abadi" w:hAnsi="Abadi"/>
          <w:b/>
          <w:bCs/>
          <w:sz w:val="20"/>
          <w:szCs w:val="20"/>
        </w:rPr>
        <w:t>Y</w:t>
      </w:r>
      <w:r w:rsidRPr="00531B12">
        <w:rPr>
          <w:rFonts w:ascii="Abadi" w:hAnsi="Abadi"/>
          <w:b/>
          <w:bCs/>
          <w:spacing w:val="70"/>
          <w:sz w:val="20"/>
          <w:szCs w:val="20"/>
        </w:rPr>
        <w:t xml:space="preserve"> </w:t>
      </w:r>
      <w:r w:rsidRPr="00531B12">
        <w:rPr>
          <w:rFonts w:ascii="Abadi" w:hAnsi="Abadi"/>
          <w:b/>
          <w:bCs/>
          <w:sz w:val="20"/>
          <w:szCs w:val="20"/>
        </w:rPr>
        <w:t>DIPUTADOS</w:t>
      </w:r>
      <w:r w:rsidRPr="00531B12">
        <w:rPr>
          <w:rFonts w:ascii="Abadi" w:hAnsi="Abadi"/>
          <w:b/>
          <w:bCs/>
          <w:spacing w:val="70"/>
          <w:sz w:val="20"/>
          <w:szCs w:val="20"/>
        </w:rPr>
        <w:t xml:space="preserve"> </w:t>
      </w:r>
      <w:r w:rsidRPr="00531B12">
        <w:rPr>
          <w:rFonts w:ascii="Abadi" w:hAnsi="Abadi"/>
          <w:b/>
          <w:bCs/>
          <w:sz w:val="20"/>
          <w:szCs w:val="20"/>
        </w:rPr>
        <w:t>INTEGRANTES</w:t>
      </w:r>
      <w:r w:rsidRPr="00531B12">
        <w:rPr>
          <w:rFonts w:ascii="Abadi" w:hAnsi="Abadi"/>
          <w:b/>
          <w:bCs/>
          <w:spacing w:val="69"/>
          <w:sz w:val="20"/>
          <w:szCs w:val="20"/>
        </w:rPr>
        <w:t xml:space="preserve"> </w:t>
      </w:r>
      <w:r w:rsidRPr="00531B12">
        <w:rPr>
          <w:rFonts w:ascii="Abadi" w:hAnsi="Abadi"/>
          <w:b/>
          <w:bCs/>
          <w:sz w:val="20"/>
          <w:szCs w:val="20"/>
        </w:rPr>
        <w:t>DEL</w:t>
      </w:r>
      <w:r w:rsidRPr="00531B12">
        <w:rPr>
          <w:rFonts w:ascii="Abadi" w:hAnsi="Abadi"/>
          <w:b/>
          <w:bCs/>
          <w:spacing w:val="69"/>
          <w:sz w:val="20"/>
          <w:szCs w:val="20"/>
        </w:rPr>
        <w:t xml:space="preserve"> </w:t>
      </w:r>
      <w:r w:rsidRPr="00531B12">
        <w:rPr>
          <w:rFonts w:ascii="Abadi" w:hAnsi="Abadi"/>
          <w:b/>
          <w:bCs/>
          <w:sz w:val="20"/>
          <w:szCs w:val="20"/>
        </w:rPr>
        <w:t>GRUPO PARLAMENTARIO DEL PARTIDO REVOLUCIONARIO INSTITUCIONAL.</w:t>
      </w:r>
    </w:p>
    <w:p w14:paraId="5DF4BDEF" w14:textId="5FA2C0CE" w:rsidR="00253C44" w:rsidRDefault="00253C44" w:rsidP="00253C44">
      <w:pPr>
        <w:tabs>
          <w:tab w:val="left" w:pos="856"/>
        </w:tabs>
        <w:kinsoku w:val="0"/>
        <w:overflowPunct w:val="0"/>
        <w:autoSpaceDE w:val="0"/>
        <w:autoSpaceDN w:val="0"/>
        <w:adjustRightInd w:val="0"/>
        <w:ind w:right="17"/>
        <w:jc w:val="both"/>
        <w:rPr>
          <w:rFonts w:ascii="Abadi" w:hAnsi="Abadi"/>
          <w:b/>
          <w:bCs/>
          <w:sz w:val="20"/>
          <w:szCs w:val="20"/>
        </w:rPr>
      </w:pPr>
    </w:p>
    <w:p w14:paraId="75741B6E"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NICIATIVA CON PROYECTO DE DECRETO POR EL QUE SE ADICIONA LA FRACCION XXI</w:t>
      </w:r>
    </w:p>
    <w:p w14:paraId="024D4DDE"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lastRenderedPageBreak/>
        <w:t>DEL ARTICULO 28 DE LA LEY DE LOS DERECHOS DE NIÑAS, NIÑOS Y ADOLESCENTES</w:t>
      </w:r>
    </w:p>
    <w:p w14:paraId="6AB0EE46"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DEL ESTADO DE GUANAJUATO.</w:t>
      </w:r>
    </w:p>
    <w:p w14:paraId="20B1EF37" w14:textId="77777777" w:rsidR="00253C44" w:rsidRPr="009A0883" w:rsidRDefault="00253C44" w:rsidP="00253C44">
      <w:pPr>
        <w:autoSpaceDE w:val="0"/>
        <w:autoSpaceDN w:val="0"/>
        <w:adjustRightInd w:val="0"/>
        <w:jc w:val="both"/>
        <w:rPr>
          <w:rFonts w:ascii="Abadi" w:hAnsi="Abadi" w:cs="TrebuchetMS-Bold"/>
          <w:b/>
          <w:bCs/>
          <w:sz w:val="21"/>
          <w:szCs w:val="21"/>
        </w:rPr>
      </w:pPr>
    </w:p>
    <w:p w14:paraId="6532DE28"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DIPUTADA IRMA LETICIA GONZÁLEZ SÁNCHEZ</w:t>
      </w:r>
    </w:p>
    <w:p w14:paraId="6B8181D1"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PRESIDENTA DE LA MESA DIRECTIVA DE LA</w:t>
      </w:r>
    </w:p>
    <w:p w14:paraId="625E0E3C"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LXV LEGISLATURA DEL ESTADO DE GUANAJUATO</w:t>
      </w:r>
    </w:p>
    <w:p w14:paraId="4D54EF6F"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P R E S E N T E.</w:t>
      </w:r>
    </w:p>
    <w:p w14:paraId="4E7254C8" w14:textId="77777777" w:rsidR="00253C44" w:rsidRPr="009A0883" w:rsidRDefault="00253C44" w:rsidP="00253C44">
      <w:pPr>
        <w:autoSpaceDE w:val="0"/>
        <w:autoSpaceDN w:val="0"/>
        <w:adjustRightInd w:val="0"/>
        <w:jc w:val="both"/>
        <w:rPr>
          <w:rFonts w:ascii="Abadi" w:hAnsi="Abadi" w:cs="TrebuchetMS-Bold"/>
          <w:b/>
          <w:bCs/>
          <w:sz w:val="21"/>
          <w:szCs w:val="21"/>
        </w:rPr>
      </w:pPr>
    </w:p>
    <w:p w14:paraId="132B663C" w14:textId="77777777"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
          <w:sz w:val="21"/>
          <w:szCs w:val="21"/>
        </w:rPr>
        <w:t xml:space="preserve">La suscrita proponente Ruth Noemí Tiscareño Agoitia, Diputada Local de la LXV Legislatura del Estado de Guanajuato y quienes con ella suscriben acompañando la presente, Diputados integrantes del Grupo Parlamentario del Partido Revolucionario Institucional en este Congreso Local, con fundamento en lo dispuesto por la fracción II del artículo 56 de la Constitución Política para el Estado de Guanajuato, así como en el artículo 167, fracción II de la Ley Orgánica del Poder Legislativo del Estado de Guanajuato, someto a su consideración la </w:t>
      </w:r>
      <w:r w:rsidRPr="009A0883">
        <w:rPr>
          <w:rFonts w:ascii="Abadi" w:hAnsi="Abadi" w:cs="Trebuchet-BoldItalic"/>
          <w:b/>
          <w:bCs/>
          <w:i/>
          <w:iCs/>
          <w:sz w:val="21"/>
          <w:szCs w:val="21"/>
        </w:rPr>
        <w:t>iniciativa de reforma que adiciona la fracción XXI del artículo 28 de la Ley de los Derechos de Niñas, Niños y Adolescentes del Estado de Guanajuato</w:t>
      </w:r>
      <w:r w:rsidRPr="009A0883">
        <w:rPr>
          <w:rFonts w:ascii="Abadi" w:hAnsi="Abadi" w:cs="TrebuchetMS"/>
          <w:sz w:val="21"/>
          <w:szCs w:val="21"/>
        </w:rPr>
        <w:t xml:space="preserve">, conforme a la siguiente: </w:t>
      </w:r>
    </w:p>
    <w:p w14:paraId="02FDBCA7" w14:textId="77777777" w:rsidR="00253C44" w:rsidRPr="009A0883" w:rsidRDefault="00253C44" w:rsidP="00253C44">
      <w:pPr>
        <w:autoSpaceDE w:val="0"/>
        <w:autoSpaceDN w:val="0"/>
        <w:adjustRightInd w:val="0"/>
        <w:jc w:val="both"/>
        <w:rPr>
          <w:rFonts w:ascii="Abadi" w:hAnsi="Abadi" w:cs="TrebuchetMS"/>
          <w:sz w:val="21"/>
          <w:szCs w:val="21"/>
        </w:rPr>
      </w:pPr>
    </w:p>
    <w:p w14:paraId="5B3B16A0" w14:textId="77777777" w:rsidR="00253C44" w:rsidRPr="009A0883" w:rsidRDefault="00253C44" w:rsidP="00253C44">
      <w:pPr>
        <w:autoSpaceDE w:val="0"/>
        <w:autoSpaceDN w:val="0"/>
        <w:adjustRightInd w:val="0"/>
        <w:jc w:val="center"/>
        <w:rPr>
          <w:rFonts w:ascii="Abadi" w:hAnsi="Abadi" w:cs="TrebuchetMS-Bold"/>
          <w:b/>
          <w:bCs/>
          <w:sz w:val="21"/>
          <w:szCs w:val="21"/>
        </w:rPr>
      </w:pPr>
      <w:r w:rsidRPr="009A0883">
        <w:rPr>
          <w:rFonts w:ascii="Abadi" w:hAnsi="Abadi" w:cs="TrebuchetMS-Bold"/>
          <w:b/>
          <w:bCs/>
          <w:sz w:val="21"/>
          <w:szCs w:val="21"/>
        </w:rPr>
        <w:t>EXPOSICION DE MOTIVOS.</w:t>
      </w:r>
    </w:p>
    <w:p w14:paraId="04DFEEAB" w14:textId="77777777" w:rsidR="00253C44" w:rsidRPr="009A0883" w:rsidRDefault="00253C44" w:rsidP="00253C44">
      <w:pPr>
        <w:autoSpaceDE w:val="0"/>
        <w:autoSpaceDN w:val="0"/>
        <w:adjustRightInd w:val="0"/>
        <w:jc w:val="both"/>
        <w:rPr>
          <w:rFonts w:ascii="Abadi" w:hAnsi="Abadi" w:cs="TrebuchetMS-Bold"/>
          <w:b/>
          <w:bCs/>
          <w:sz w:val="21"/>
          <w:szCs w:val="21"/>
        </w:rPr>
      </w:pPr>
    </w:p>
    <w:p w14:paraId="1DD3C7E0" w14:textId="77777777"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
          <w:sz w:val="21"/>
          <w:szCs w:val="21"/>
        </w:rPr>
        <w:t xml:space="preserve">De acuerdo con la Organización Internacional del Trabajo, el término “trabajo infantil” suele definirse como todo trabajo que priva a los niños de su niñez, su potencial y su dignidad, y que es perjudicial para su desarrollo físico y psicológico. </w:t>
      </w:r>
    </w:p>
    <w:p w14:paraId="60A7A73A" w14:textId="77777777" w:rsidR="00253C44" w:rsidRPr="009A0883" w:rsidRDefault="00253C44" w:rsidP="00253C44">
      <w:pPr>
        <w:autoSpaceDE w:val="0"/>
        <w:autoSpaceDN w:val="0"/>
        <w:adjustRightInd w:val="0"/>
        <w:jc w:val="both"/>
        <w:rPr>
          <w:rFonts w:ascii="Abadi" w:hAnsi="Abadi" w:cs="TrebuchetMS"/>
          <w:sz w:val="21"/>
          <w:szCs w:val="21"/>
        </w:rPr>
      </w:pPr>
    </w:p>
    <w:p w14:paraId="1AC74785" w14:textId="7979C0D6"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
          <w:sz w:val="21"/>
          <w:szCs w:val="21"/>
        </w:rPr>
        <w:t>Así, se caracteriza por ser un trabajo que es peligroso y perjudicial para el bienestar físico, mental o moral del niño; y/o interfiere con su escolarización puesto que: les priva de la posibilidad de asistir a clases; les obliga a abandonar la escuela de forma prematura, o les exige combinar el estudio con un trabajo pesado y que insume mucho tiempo.</w:t>
      </w:r>
      <w:r w:rsidR="00FB474C">
        <w:rPr>
          <w:rStyle w:val="Refdenotaalpie"/>
          <w:rFonts w:ascii="Abadi" w:hAnsi="Abadi" w:cs="TrebuchetMS"/>
          <w:sz w:val="21"/>
          <w:szCs w:val="21"/>
        </w:rPr>
        <w:footnoteReference w:id="16"/>
      </w:r>
    </w:p>
    <w:p w14:paraId="6A0F7EEC" w14:textId="77777777" w:rsidR="00253C44" w:rsidRPr="009A0883" w:rsidRDefault="00253C44" w:rsidP="00253C44">
      <w:pPr>
        <w:autoSpaceDE w:val="0"/>
        <w:autoSpaceDN w:val="0"/>
        <w:adjustRightInd w:val="0"/>
        <w:jc w:val="both"/>
        <w:rPr>
          <w:rFonts w:ascii="Abadi" w:hAnsi="Abadi" w:cs="TrebuchetMS"/>
          <w:sz w:val="21"/>
          <w:szCs w:val="21"/>
        </w:rPr>
      </w:pPr>
    </w:p>
    <w:p w14:paraId="6F851A1E" w14:textId="3829F906"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
          <w:sz w:val="21"/>
          <w:szCs w:val="21"/>
        </w:rPr>
        <w:t xml:space="preserve">De esta manera, una actividad especifica se podrá calificar o no como trabajo infantil dependiendo de la edad del niño o la niña, el tipo de trabajo en cuestión y la cantidad de horas que le dedica, </w:t>
      </w:r>
      <w:r w:rsidRPr="009A0883">
        <w:rPr>
          <w:rFonts w:ascii="Abadi" w:hAnsi="Abadi" w:cs="TrebuchetMS"/>
          <w:sz w:val="21"/>
          <w:szCs w:val="21"/>
        </w:rPr>
        <w:t>las condiciones en que lo realiza, y los objetivos que persigue cada país.</w:t>
      </w:r>
      <w:r w:rsidR="00AA7CE3">
        <w:rPr>
          <w:rStyle w:val="Refdenotaalpie"/>
          <w:rFonts w:ascii="Abadi" w:hAnsi="Abadi" w:cs="TrebuchetMS"/>
          <w:sz w:val="21"/>
          <w:szCs w:val="21"/>
        </w:rPr>
        <w:footnoteReference w:id="17"/>
      </w:r>
    </w:p>
    <w:p w14:paraId="6047F0CD" w14:textId="77777777" w:rsidR="00253C44" w:rsidRPr="009A0883" w:rsidRDefault="00253C44" w:rsidP="00253C44">
      <w:pPr>
        <w:autoSpaceDE w:val="0"/>
        <w:autoSpaceDN w:val="0"/>
        <w:adjustRightInd w:val="0"/>
        <w:jc w:val="both"/>
        <w:rPr>
          <w:rFonts w:ascii="Abadi" w:hAnsi="Abadi" w:cs="TrebuchetMS"/>
          <w:sz w:val="21"/>
          <w:szCs w:val="21"/>
        </w:rPr>
      </w:pPr>
    </w:p>
    <w:p w14:paraId="42EDC4B6" w14:textId="77777777"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
          <w:sz w:val="21"/>
          <w:szCs w:val="21"/>
        </w:rPr>
        <w:t>De acuerdo con la OIT, de las peores formas de trabajo infantil, tenemos la esclavitud y prácticas análogas como la trata infantil, la servidumbre por deudas, la condición de siervo, los niños en conflictos armados, de lo que deriva lo siguiente:</w:t>
      </w:r>
    </w:p>
    <w:p w14:paraId="36A04499" w14:textId="77777777" w:rsidR="00253C44" w:rsidRPr="009A0883" w:rsidRDefault="00253C44" w:rsidP="00253C44">
      <w:pPr>
        <w:autoSpaceDE w:val="0"/>
        <w:autoSpaceDN w:val="0"/>
        <w:adjustRightInd w:val="0"/>
        <w:jc w:val="both"/>
        <w:rPr>
          <w:rFonts w:ascii="Abadi" w:hAnsi="Abadi" w:cs="TrebuchetMS"/>
          <w:sz w:val="21"/>
          <w:szCs w:val="21"/>
        </w:rPr>
      </w:pPr>
    </w:p>
    <w:p w14:paraId="3D746A30" w14:textId="77777777" w:rsidR="00253C44" w:rsidRPr="009A0883" w:rsidRDefault="00253C44" w:rsidP="00253C44">
      <w:pPr>
        <w:autoSpaceDE w:val="0"/>
        <w:autoSpaceDN w:val="0"/>
        <w:adjustRightInd w:val="0"/>
        <w:ind w:left="709"/>
        <w:jc w:val="both"/>
        <w:rPr>
          <w:rFonts w:ascii="Abadi" w:hAnsi="Abadi" w:cs="TrebuchetMS"/>
          <w:sz w:val="21"/>
          <w:szCs w:val="21"/>
        </w:rPr>
      </w:pPr>
      <w:r w:rsidRPr="009A0883">
        <w:rPr>
          <w:rFonts w:ascii="Abadi" w:hAnsi="Abadi" w:cs="TrebuchetMS"/>
          <w:sz w:val="21"/>
          <w:szCs w:val="21"/>
        </w:rPr>
        <w:t xml:space="preserve">“La </w:t>
      </w:r>
      <w:r w:rsidRPr="009A0883">
        <w:rPr>
          <w:rFonts w:ascii="Abadi" w:hAnsi="Abadi" w:cs="TrebuchetMS-Bold"/>
          <w:b/>
          <w:bCs/>
          <w:sz w:val="21"/>
          <w:szCs w:val="21"/>
        </w:rPr>
        <w:t xml:space="preserve">esclavitud </w:t>
      </w:r>
      <w:r w:rsidRPr="009A0883">
        <w:rPr>
          <w:rFonts w:ascii="Abadi" w:hAnsi="Abadi" w:cs="TrebuchetMS"/>
          <w:sz w:val="21"/>
          <w:szCs w:val="21"/>
        </w:rPr>
        <w:t>se da cuando una persona es propiedad de otra, para quien está obligada a trabajar, sin voz alguna en lo que le sucede. A los esclavos se les retiene contra su voluntad desde el momento de su captura, compra o nacimiento, y no se les permite abandonar ni rechazar el trabajo.</w:t>
      </w:r>
    </w:p>
    <w:p w14:paraId="361A8DA7" w14:textId="77777777" w:rsidR="00253C44" w:rsidRPr="009A0883" w:rsidRDefault="00253C44" w:rsidP="00253C44">
      <w:pPr>
        <w:autoSpaceDE w:val="0"/>
        <w:autoSpaceDN w:val="0"/>
        <w:adjustRightInd w:val="0"/>
        <w:ind w:left="709"/>
        <w:jc w:val="both"/>
        <w:rPr>
          <w:rFonts w:ascii="Abadi" w:hAnsi="Abadi" w:cs="TrebuchetMS"/>
          <w:sz w:val="21"/>
          <w:szCs w:val="21"/>
        </w:rPr>
      </w:pPr>
    </w:p>
    <w:p w14:paraId="33B90DD2" w14:textId="77777777" w:rsidR="00253C44" w:rsidRPr="009A0883" w:rsidRDefault="00253C44" w:rsidP="00253C44">
      <w:pPr>
        <w:autoSpaceDE w:val="0"/>
        <w:autoSpaceDN w:val="0"/>
        <w:adjustRightInd w:val="0"/>
        <w:ind w:left="709"/>
        <w:jc w:val="both"/>
        <w:rPr>
          <w:rFonts w:ascii="Abadi" w:hAnsi="Abadi" w:cs="TrebuchetMS"/>
          <w:sz w:val="21"/>
          <w:szCs w:val="21"/>
        </w:rPr>
      </w:pPr>
      <w:r w:rsidRPr="009A0883">
        <w:rPr>
          <w:rFonts w:ascii="Abadi" w:hAnsi="Abadi" w:cs="TrebuchetMS"/>
          <w:sz w:val="21"/>
          <w:szCs w:val="21"/>
        </w:rPr>
        <w:t xml:space="preserve">La </w:t>
      </w:r>
      <w:r w:rsidRPr="009A0883">
        <w:rPr>
          <w:rFonts w:ascii="Abadi" w:hAnsi="Abadi" w:cs="TrebuchetMS-Bold"/>
          <w:b/>
          <w:bCs/>
          <w:sz w:val="21"/>
          <w:szCs w:val="21"/>
        </w:rPr>
        <w:t xml:space="preserve">trata infantil </w:t>
      </w:r>
      <w:r w:rsidRPr="009A0883">
        <w:rPr>
          <w:rFonts w:ascii="Abadi" w:hAnsi="Abadi" w:cs="TrebuchetMS"/>
          <w:sz w:val="21"/>
          <w:szCs w:val="21"/>
        </w:rPr>
        <w:t>es el comercio ilegal, compra, venta, traslado, de niños para su explotación laboral o sexual. Se trafica con niños por muchas razones, incluso el trabajo forzoso, la prostitución y el reclutamiento de niños soldados y mendigos.</w:t>
      </w:r>
    </w:p>
    <w:p w14:paraId="5D53F612" w14:textId="77777777" w:rsidR="00253C44" w:rsidRPr="009A0883" w:rsidRDefault="00253C44" w:rsidP="00253C44">
      <w:pPr>
        <w:autoSpaceDE w:val="0"/>
        <w:autoSpaceDN w:val="0"/>
        <w:adjustRightInd w:val="0"/>
        <w:ind w:left="709"/>
        <w:jc w:val="both"/>
        <w:rPr>
          <w:rFonts w:ascii="Abadi" w:hAnsi="Abadi" w:cs="TrebuchetMS"/>
          <w:sz w:val="21"/>
          <w:szCs w:val="21"/>
        </w:rPr>
      </w:pPr>
    </w:p>
    <w:p w14:paraId="791406FF" w14:textId="77777777" w:rsidR="00253C44" w:rsidRPr="009A0883" w:rsidRDefault="00253C44" w:rsidP="00253C44">
      <w:pPr>
        <w:autoSpaceDE w:val="0"/>
        <w:autoSpaceDN w:val="0"/>
        <w:adjustRightInd w:val="0"/>
        <w:ind w:left="709"/>
        <w:jc w:val="both"/>
        <w:rPr>
          <w:rFonts w:ascii="Abadi" w:hAnsi="Abadi" w:cs="TrebuchetMS"/>
          <w:sz w:val="21"/>
          <w:szCs w:val="21"/>
        </w:rPr>
      </w:pPr>
      <w:r w:rsidRPr="009A0883">
        <w:rPr>
          <w:rFonts w:ascii="Abadi" w:hAnsi="Abadi" w:cs="TrebuchetMS"/>
          <w:sz w:val="21"/>
          <w:szCs w:val="21"/>
        </w:rPr>
        <w:t xml:space="preserve">La </w:t>
      </w:r>
      <w:r w:rsidRPr="009A0883">
        <w:rPr>
          <w:rFonts w:ascii="Abadi" w:hAnsi="Abadi" w:cs="TrebuchetMS-Bold"/>
          <w:b/>
          <w:bCs/>
          <w:sz w:val="21"/>
          <w:szCs w:val="21"/>
        </w:rPr>
        <w:t xml:space="preserve">servidumbre por deudas </w:t>
      </w:r>
      <w:r w:rsidRPr="009A0883">
        <w:rPr>
          <w:rFonts w:ascii="Abadi" w:hAnsi="Abadi" w:cs="TrebuchetMS"/>
          <w:sz w:val="21"/>
          <w:szCs w:val="21"/>
        </w:rPr>
        <w:t>equivale al trabajo forzoso, cuando se ofrece mano de obra a modo de reembolso de un préstamo que no se consigue restituir en efectivo o en especie.</w:t>
      </w:r>
    </w:p>
    <w:p w14:paraId="105D6B83" w14:textId="77777777" w:rsidR="00253C44" w:rsidRPr="009A0883" w:rsidRDefault="00253C44" w:rsidP="00253C44">
      <w:pPr>
        <w:autoSpaceDE w:val="0"/>
        <w:autoSpaceDN w:val="0"/>
        <w:adjustRightInd w:val="0"/>
        <w:ind w:left="709"/>
        <w:jc w:val="both"/>
        <w:rPr>
          <w:rFonts w:ascii="Abadi" w:hAnsi="Abadi" w:cs="TrebuchetMS"/>
          <w:sz w:val="21"/>
          <w:szCs w:val="21"/>
        </w:rPr>
      </w:pPr>
    </w:p>
    <w:p w14:paraId="6AF23244" w14:textId="77777777" w:rsidR="00253C44" w:rsidRPr="009A0883" w:rsidRDefault="00253C44" w:rsidP="00253C44">
      <w:pPr>
        <w:autoSpaceDE w:val="0"/>
        <w:autoSpaceDN w:val="0"/>
        <w:adjustRightInd w:val="0"/>
        <w:ind w:left="709"/>
        <w:jc w:val="both"/>
        <w:rPr>
          <w:rFonts w:ascii="Abadi" w:hAnsi="Abadi" w:cs="TrebuchetMS"/>
          <w:sz w:val="21"/>
          <w:szCs w:val="21"/>
        </w:rPr>
      </w:pPr>
      <w:r w:rsidRPr="009A0883">
        <w:rPr>
          <w:rFonts w:ascii="Abadi" w:hAnsi="Abadi" w:cs="TrebuchetMS"/>
          <w:sz w:val="21"/>
          <w:szCs w:val="21"/>
        </w:rPr>
        <w:t xml:space="preserve">La </w:t>
      </w:r>
      <w:r w:rsidRPr="009A0883">
        <w:rPr>
          <w:rFonts w:ascii="Abadi" w:hAnsi="Abadi" w:cs="TrebuchetMS-Bold"/>
          <w:b/>
          <w:bCs/>
          <w:sz w:val="21"/>
          <w:szCs w:val="21"/>
        </w:rPr>
        <w:t xml:space="preserve">condición de siervo </w:t>
      </w:r>
      <w:r w:rsidRPr="009A0883">
        <w:rPr>
          <w:rFonts w:ascii="Abadi" w:hAnsi="Abadi" w:cs="TrebuchetMS"/>
          <w:sz w:val="21"/>
          <w:szCs w:val="21"/>
        </w:rPr>
        <w:t xml:space="preserve">ocurre cuando se obliga a una persona a vivir y trabajar en tierras que pertenecen a otra persona, contra remuneración mínima o nula. </w:t>
      </w:r>
    </w:p>
    <w:p w14:paraId="687F44F3" w14:textId="77777777" w:rsidR="00253C44" w:rsidRPr="009A0883" w:rsidRDefault="00253C44" w:rsidP="00253C44">
      <w:pPr>
        <w:autoSpaceDE w:val="0"/>
        <w:autoSpaceDN w:val="0"/>
        <w:adjustRightInd w:val="0"/>
        <w:ind w:left="709"/>
        <w:jc w:val="both"/>
        <w:rPr>
          <w:rFonts w:ascii="Abadi" w:hAnsi="Abadi" w:cs="TrebuchetMS"/>
          <w:sz w:val="21"/>
          <w:szCs w:val="21"/>
        </w:rPr>
      </w:pPr>
    </w:p>
    <w:p w14:paraId="75850DFE" w14:textId="2AE2EE3A" w:rsidR="00253C44" w:rsidRPr="009A0883" w:rsidRDefault="00253C44" w:rsidP="00253C44">
      <w:pPr>
        <w:autoSpaceDE w:val="0"/>
        <w:autoSpaceDN w:val="0"/>
        <w:adjustRightInd w:val="0"/>
        <w:ind w:left="709"/>
        <w:jc w:val="both"/>
        <w:rPr>
          <w:rFonts w:ascii="Abadi" w:hAnsi="Abadi" w:cs="TrebuchetMS-Bold"/>
          <w:b/>
          <w:bCs/>
          <w:sz w:val="21"/>
          <w:szCs w:val="21"/>
        </w:rPr>
      </w:pPr>
      <w:r w:rsidRPr="009A0883">
        <w:rPr>
          <w:rFonts w:ascii="Abadi" w:hAnsi="Abadi" w:cs="TrebuchetMS"/>
          <w:sz w:val="21"/>
          <w:szCs w:val="21"/>
        </w:rPr>
        <w:t xml:space="preserve">El </w:t>
      </w:r>
      <w:r w:rsidRPr="009A0883">
        <w:rPr>
          <w:rFonts w:ascii="Abadi" w:hAnsi="Abadi" w:cs="TrebuchetMS-Bold"/>
          <w:b/>
          <w:bCs/>
          <w:sz w:val="21"/>
          <w:szCs w:val="21"/>
        </w:rPr>
        <w:t xml:space="preserve">trabajo forzoso </w:t>
      </w:r>
      <w:r w:rsidRPr="009A0883">
        <w:rPr>
          <w:rFonts w:ascii="Abadi" w:hAnsi="Abadi" w:cs="TrebuchetMS"/>
          <w:sz w:val="21"/>
          <w:szCs w:val="21"/>
        </w:rPr>
        <w:t>es el que se obliga a realizar a alguien contra su voluntad. Por ejemplo, se compele a los niños en conflictos armados a combatir y a servir de cocineros, cargadores y mensajeros. Son objeto de malos tratos y de explotación, y se les exige que maten o mutilen a otros seres humanos.</w:t>
      </w:r>
      <w:r w:rsidRPr="009A0883">
        <w:rPr>
          <w:rFonts w:ascii="Abadi" w:hAnsi="Abadi" w:cs="TrebuchetMS-Bold"/>
          <w:b/>
          <w:bCs/>
          <w:sz w:val="21"/>
          <w:szCs w:val="21"/>
        </w:rPr>
        <w:t>”</w:t>
      </w:r>
      <w:r w:rsidR="001C4F8B">
        <w:rPr>
          <w:rStyle w:val="Refdenotaalpie"/>
          <w:rFonts w:ascii="Abadi" w:hAnsi="Abadi" w:cs="TrebuchetMS-Bold"/>
          <w:b/>
          <w:bCs/>
          <w:sz w:val="21"/>
          <w:szCs w:val="21"/>
        </w:rPr>
        <w:footnoteReference w:id="18"/>
      </w:r>
    </w:p>
    <w:p w14:paraId="0C76C2D0" w14:textId="77777777" w:rsidR="00253C44" w:rsidRPr="009A0883" w:rsidRDefault="00253C44" w:rsidP="00253C44">
      <w:pPr>
        <w:autoSpaceDE w:val="0"/>
        <w:autoSpaceDN w:val="0"/>
        <w:adjustRightInd w:val="0"/>
        <w:jc w:val="both"/>
        <w:rPr>
          <w:rFonts w:ascii="Abadi" w:hAnsi="Abadi" w:cs="TrebuchetMS-Bold"/>
          <w:b/>
          <w:bCs/>
          <w:sz w:val="21"/>
          <w:szCs w:val="21"/>
        </w:rPr>
      </w:pPr>
    </w:p>
    <w:p w14:paraId="431C4AA7" w14:textId="2D3A55A3"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
          <w:sz w:val="21"/>
          <w:szCs w:val="21"/>
        </w:rPr>
        <w:t>De acuerdo con los Tratados Internacionales</w:t>
      </w:r>
      <w:r w:rsidR="00D41F57">
        <w:rPr>
          <w:rStyle w:val="Refdenotaalpie"/>
          <w:rFonts w:ascii="Abadi" w:hAnsi="Abadi" w:cs="TrebuchetMS"/>
          <w:sz w:val="21"/>
          <w:szCs w:val="21"/>
        </w:rPr>
        <w:footnoteReference w:id="19"/>
      </w:r>
      <w:r w:rsidRPr="009A0883">
        <w:rPr>
          <w:rFonts w:ascii="Abadi" w:hAnsi="Abadi" w:cs="TrebuchetMS"/>
          <w:sz w:val="21"/>
          <w:szCs w:val="21"/>
        </w:rPr>
        <w:t xml:space="preserve">, el artículo 4° de nuestra Ley Fundamental, así como </w:t>
      </w:r>
      <w:r w:rsidRPr="009A0883">
        <w:rPr>
          <w:rFonts w:ascii="Abadi" w:hAnsi="Abadi" w:cs="TrebuchetMS"/>
          <w:sz w:val="21"/>
          <w:szCs w:val="21"/>
        </w:rPr>
        <w:lastRenderedPageBreak/>
        <w:t>lo establecido en los criterios jurisprudenciales que ha emitido la Suprema Corte de Justicia de la Nación, todas las autoridades en el ámbito de sus competencias se encuentran obligados a respetar, promover, proteger y garantizar los derechos de las personas, y respecto de las niñas, niños y adolescentes, su interés superior implica:</w:t>
      </w:r>
    </w:p>
    <w:p w14:paraId="2F68BF23" w14:textId="77777777" w:rsidR="00253C44" w:rsidRPr="009A0883" w:rsidRDefault="00253C44" w:rsidP="00253C44">
      <w:pPr>
        <w:autoSpaceDE w:val="0"/>
        <w:autoSpaceDN w:val="0"/>
        <w:adjustRightInd w:val="0"/>
        <w:jc w:val="both"/>
        <w:rPr>
          <w:rFonts w:ascii="Abadi" w:hAnsi="Abadi" w:cs="TrebuchetMS"/>
          <w:sz w:val="21"/>
          <w:szCs w:val="21"/>
        </w:rPr>
      </w:pPr>
    </w:p>
    <w:p w14:paraId="60796CB7" w14:textId="77777777" w:rsidR="00253C44" w:rsidRPr="009A0883" w:rsidRDefault="00253C44" w:rsidP="00253C44">
      <w:pPr>
        <w:autoSpaceDE w:val="0"/>
        <w:autoSpaceDN w:val="0"/>
        <w:adjustRightInd w:val="0"/>
        <w:jc w:val="both"/>
        <w:rPr>
          <w:rFonts w:ascii="Abadi" w:hAnsi="Abadi" w:cs="Calibri"/>
          <w:sz w:val="21"/>
          <w:szCs w:val="21"/>
        </w:rPr>
      </w:pPr>
    </w:p>
    <w:p w14:paraId="2D4CA1DE" w14:textId="0D8C302D" w:rsidR="00253C44" w:rsidRPr="009A0883" w:rsidRDefault="00253C44" w:rsidP="00253C44">
      <w:pPr>
        <w:autoSpaceDE w:val="0"/>
        <w:autoSpaceDN w:val="0"/>
        <w:adjustRightInd w:val="0"/>
        <w:ind w:left="709"/>
        <w:jc w:val="both"/>
        <w:rPr>
          <w:rFonts w:ascii="Abadi" w:hAnsi="Abadi" w:cs="TrebuchetMS"/>
          <w:sz w:val="21"/>
          <w:szCs w:val="21"/>
        </w:rPr>
      </w:pPr>
      <w:r w:rsidRPr="009A0883">
        <w:rPr>
          <w:rFonts w:ascii="Abadi" w:hAnsi="Abadi" w:cs="TrebuchetMS"/>
          <w:sz w:val="21"/>
          <w:szCs w:val="21"/>
        </w:rPr>
        <w:t>“…que el desarrollo de éstos y el ejercicio pleno de sus derechos deben ser considerados como criterios rectores para la elaboración de normas y la aplicación de éstas en todos los órdenes relativos a su vida. sí, todas las autoridades deben asegurar y garantizar que en todos los asuntos, decisiones y políticas públicas en las que se les involucre, todos los niños, niñas y adolescentes tengan el disfrute y goce de todos sus derechos humanos, especialmente de aquellos que permiten su óptimo desarrollo, esto es, los que aseguran la satisfacción de sus necesidades básicas como alimentación, vivienda, salud física y emocional, el vivir en familia con lazos afectivos, la educación y el sano esparcimiento, elementos -todos- esenciales para su desarrollo integral. En ese sentido, el principio del interés superior del menor de edad implica que la protección de sus derechos debe realizarse por parte de las autoridades a través de medidas reforzadas o agravadas en todos los ámbitos que estén relacionados directa o indirectamente con los niños, niñas y adolescentes, ya que sus intereses deben protegerse siempre con una mayor intensidad.”</w:t>
      </w:r>
      <w:r w:rsidR="009176D3">
        <w:rPr>
          <w:rStyle w:val="Refdenotaalpie"/>
          <w:rFonts w:ascii="Abadi" w:hAnsi="Abadi" w:cs="TrebuchetMS"/>
          <w:sz w:val="21"/>
          <w:szCs w:val="21"/>
        </w:rPr>
        <w:footnoteReference w:id="20"/>
      </w:r>
    </w:p>
    <w:p w14:paraId="6FEA7F03" w14:textId="77777777" w:rsidR="00253C44" w:rsidRPr="009A0883" w:rsidRDefault="00253C44" w:rsidP="00253C44">
      <w:pPr>
        <w:autoSpaceDE w:val="0"/>
        <w:autoSpaceDN w:val="0"/>
        <w:adjustRightInd w:val="0"/>
        <w:ind w:left="709"/>
        <w:jc w:val="both"/>
        <w:rPr>
          <w:rFonts w:ascii="Abadi" w:hAnsi="Abadi" w:cs="TrebuchetMS"/>
          <w:sz w:val="21"/>
          <w:szCs w:val="21"/>
        </w:rPr>
      </w:pPr>
    </w:p>
    <w:p w14:paraId="12178D3B" w14:textId="06D14F5B"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
          <w:sz w:val="21"/>
          <w:szCs w:val="21"/>
        </w:rPr>
        <w:t xml:space="preserve">En el ámbito de las competencias y obligaciones legales de este Poder Legislativo, la fracción IV del artículo 22 de la Ley de los Derechos de Niñas, Niños y Adolescentes del      Estado de </w:t>
      </w:r>
      <w:r w:rsidRPr="009A0883">
        <w:rPr>
          <w:rFonts w:ascii="Abadi" w:hAnsi="Abadi" w:cs="TrebuchetMS"/>
          <w:sz w:val="21"/>
          <w:szCs w:val="21"/>
        </w:rPr>
        <w:t>Guanajuato establece que el Poder Legislativo deberá favorecer el trabajo legislativo con un enfoque que garantice los derechos de aquellos.</w:t>
      </w:r>
      <w:r w:rsidR="00316BED">
        <w:rPr>
          <w:rStyle w:val="Refdenotaalpie"/>
          <w:rFonts w:ascii="Abadi" w:hAnsi="Abadi" w:cs="TrebuchetMS"/>
          <w:sz w:val="21"/>
          <w:szCs w:val="21"/>
        </w:rPr>
        <w:footnoteReference w:id="21"/>
      </w:r>
    </w:p>
    <w:p w14:paraId="2C91BCB8" w14:textId="77777777" w:rsidR="00253C44" w:rsidRPr="009A0883" w:rsidRDefault="00253C44" w:rsidP="00253C44">
      <w:pPr>
        <w:autoSpaceDE w:val="0"/>
        <w:autoSpaceDN w:val="0"/>
        <w:adjustRightInd w:val="0"/>
        <w:jc w:val="both"/>
        <w:rPr>
          <w:rFonts w:ascii="Abadi" w:hAnsi="Abadi" w:cs="Calibri-BoldItalic"/>
          <w:b/>
          <w:bCs/>
          <w:i/>
          <w:iCs/>
          <w:sz w:val="21"/>
          <w:szCs w:val="21"/>
        </w:rPr>
      </w:pPr>
    </w:p>
    <w:p w14:paraId="6E019FBB" w14:textId="77777777" w:rsidR="00253C44" w:rsidRPr="009A0883" w:rsidRDefault="00253C44" w:rsidP="00253C44">
      <w:pPr>
        <w:autoSpaceDE w:val="0"/>
        <w:autoSpaceDN w:val="0"/>
        <w:adjustRightInd w:val="0"/>
        <w:jc w:val="both"/>
        <w:rPr>
          <w:rFonts w:ascii="Abadi" w:hAnsi="Abadi" w:cs="Calibri-BoldItalic"/>
          <w:b/>
          <w:bCs/>
          <w:i/>
          <w:iCs/>
          <w:sz w:val="21"/>
          <w:szCs w:val="21"/>
        </w:rPr>
      </w:pPr>
    </w:p>
    <w:p w14:paraId="4F59AE50" w14:textId="77777777"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
          <w:sz w:val="21"/>
          <w:szCs w:val="21"/>
        </w:rPr>
        <w:t>La presente iniciativa tiene como objetivo adicionar la fracción XXI al artículo 28 de la Ley de los Derechos de Niñas, Niños y Adolescentes, por ser este artículo donde de manera enunciativa, más no limitativa, se establecen los derechos de niñas, niños y adolescentes.</w:t>
      </w:r>
    </w:p>
    <w:p w14:paraId="3E8103C3" w14:textId="77777777" w:rsidR="00253C44" w:rsidRPr="009A0883" w:rsidRDefault="00253C44" w:rsidP="00253C44">
      <w:pPr>
        <w:autoSpaceDE w:val="0"/>
        <w:autoSpaceDN w:val="0"/>
        <w:adjustRightInd w:val="0"/>
        <w:jc w:val="both"/>
        <w:rPr>
          <w:rFonts w:ascii="Abadi" w:hAnsi="Abadi" w:cs="TrebuchetMS"/>
          <w:sz w:val="21"/>
          <w:szCs w:val="21"/>
        </w:rPr>
      </w:pPr>
    </w:p>
    <w:p w14:paraId="767A1B5D"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
          <w:sz w:val="21"/>
          <w:szCs w:val="21"/>
        </w:rPr>
        <w:t xml:space="preserve">De esta manera, la necesidad de que se establezca en la fracción que se adiciona que las niñas, niños y adolescentes estriba en reconocer el derecho de la niñez a ser </w:t>
      </w:r>
      <w:r w:rsidRPr="009A0883">
        <w:rPr>
          <w:rFonts w:ascii="Abadi" w:hAnsi="Abadi" w:cs="TrebuchetMS-Bold"/>
          <w:b/>
          <w:bCs/>
          <w:sz w:val="21"/>
          <w:szCs w:val="21"/>
        </w:rPr>
        <w:t xml:space="preserve">protegidos contra la explotación económica y contra el desempeño de cualquier trabajo que pueda ser peligroso o entorpecer su educación, o que sea nocivo para su salud o para su desarrollo físico, mental, espiritual, moral o social. </w:t>
      </w:r>
    </w:p>
    <w:p w14:paraId="4578C296" w14:textId="77777777" w:rsidR="00253C44" w:rsidRPr="009A0883" w:rsidRDefault="00253C44" w:rsidP="00253C44">
      <w:pPr>
        <w:autoSpaceDE w:val="0"/>
        <w:autoSpaceDN w:val="0"/>
        <w:adjustRightInd w:val="0"/>
        <w:jc w:val="both"/>
        <w:rPr>
          <w:rFonts w:ascii="Abadi" w:hAnsi="Abadi" w:cs="TrebuchetMS-Bold"/>
          <w:b/>
          <w:bCs/>
          <w:sz w:val="21"/>
          <w:szCs w:val="21"/>
        </w:rPr>
      </w:pPr>
    </w:p>
    <w:p w14:paraId="44CDBB73" w14:textId="4E45543E"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
          <w:sz w:val="21"/>
          <w:szCs w:val="21"/>
        </w:rPr>
        <w:t>Ello como una primera medida afirmativa</w:t>
      </w:r>
      <w:r w:rsidR="00A95DC0">
        <w:rPr>
          <w:rStyle w:val="Refdenotaalpie"/>
          <w:rFonts w:ascii="Abadi" w:hAnsi="Abadi" w:cs="TrebuchetMS"/>
          <w:sz w:val="21"/>
          <w:szCs w:val="21"/>
        </w:rPr>
        <w:footnoteReference w:id="22"/>
      </w:r>
      <w:r w:rsidRPr="009A0883">
        <w:rPr>
          <w:rFonts w:ascii="Abadi" w:hAnsi="Abadi" w:cs="TrebuchetMS"/>
          <w:sz w:val="21"/>
          <w:szCs w:val="21"/>
        </w:rPr>
        <w:t xml:space="preserve"> que corrija situaciones patentes de desigualdad en el disfrute y/ ejercicio de los derechos de la niñez. Lo anterior, dado que, recientemente, se ha destacado que nuestro Estado ocupa el sexto lugar a nivel nacional de menores trabajando, lo anterior, de acuerdo con datos que, hasta el año 2019, la Procuraduría de Protección de los niños, niñas y adolescentes en el Estado de Guanajuato ha proporcionado.</w:t>
      </w:r>
    </w:p>
    <w:p w14:paraId="239D0525" w14:textId="77777777" w:rsidR="00253C44" w:rsidRPr="009A0883" w:rsidRDefault="00253C44" w:rsidP="00253C44">
      <w:pPr>
        <w:autoSpaceDE w:val="0"/>
        <w:autoSpaceDN w:val="0"/>
        <w:adjustRightInd w:val="0"/>
        <w:jc w:val="both"/>
        <w:rPr>
          <w:rFonts w:ascii="Abadi" w:hAnsi="Abadi" w:cs="TrebuchetMS"/>
          <w:sz w:val="21"/>
          <w:szCs w:val="21"/>
        </w:rPr>
      </w:pPr>
    </w:p>
    <w:p w14:paraId="4454B82A" w14:textId="6104CFFE"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
          <w:sz w:val="21"/>
          <w:szCs w:val="21"/>
        </w:rPr>
        <w:t>A manera de ejemplo, y con el fin de evidenciar la necesidad de protección de la niñez contra el trabajo infantil, en el mes de abril de este año, se documentó un hecho que generó gran indignación en Guanajuato y a nivel nacional: quedó descubierto un grupo de padres de familia que ofrecían la renta de sus hijos por 100 pesos para que trabajaran</w:t>
      </w:r>
      <w:r w:rsidR="00316BED">
        <w:rPr>
          <w:rFonts w:ascii="Abadi" w:hAnsi="Abadi" w:cs="TrebuchetMS"/>
          <w:sz w:val="21"/>
          <w:szCs w:val="21"/>
        </w:rPr>
        <w:t xml:space="preserve"> </w:t>
      </w:r>
      <w:r w:rsidRPr="009A0883">
        <w:rPr>
          <w:rFonts w:ascii="Abadi" w:hAnsi="Abadi" w:cs="TrebuchetMS"/>
          <w:sz w:val="21"/>
          <w:szCs w:val="21"/>
        </w:rPr>
        <w:t>pidiendo limosna en San Miguel de Allende.</w:t>
      </w:r>
      <w:r w:rsidR="00A71897">
        <w:rPr>
          <w:rStyle w:val="Refdenotaalpie"/>
          <w:rFonts w:ascii="Abadi" w:hAnsi="Abadi" w:cs="TrebuchetMS"/>
          <w:sz w:val="21"/>
          <w:szCs w:val="21"/>
        </w:rPr>
        <w:footnoteReference w:id="23"/>
      </w:r>
    </w:p>
    <w:p w14:paraId="0129F41C" w14:textId="77777777" w:rsidR="00253C44" w:rsidRPr="009A0883" w:rsidRDefault="00253C44" w:rsidP="00253C44">
      <w:pPr>
        <w:autoSpaceDE w:val="0"/>
        <w:autoSpaceDN w:val="0"/>
        <w:adjustRightInd w:val="0"/>
        <w:jc w:val="both"/>
        <w:rPr>
          <w:rFonts w:ascii="Abadi" w:hAnsi="Abadi" w:cs="TrebuchetMS"/>
          <w:sz w:val="21"/>
          <w:szCs w:val="21"/>
        </w:rPr>
      </w:pPr>
    </w:p>
    <w:p w14:paraId="41868946" w14:textId="77777777"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
          <w:sz w:val="21"/>
          <w:szCs w:val="21"/>
        </w:rPr>
        <w:lastRenderedPageBreak/>
        <w:t>Inclusive, el Presidente Municipal, dio a conocer la denuncia. Refirió otorgar apoyos económicos a las madres para que no tuvieran que “prestar a sus hijos”. Sin embargo, ese lamentable hecho solo retrata el grave problema de trabajo infantil que se vive en nuestro Estado.</w:t>
      </w:r>
    </w:p>
    <w:p w14:paraId="614D179F" w14:textId="77777777" w:rsidR="00253C44" w:rsidRPr="009A0883" w:rsidRDefault="00253C44" w:rsidP="00253C44">
      <w:pPr>
        <w:autoSpaceDE w:val="0"/>
        <w:autoSpaceDN w:val="0"/>
        <w:adjustRightInd w:val="0"/>
        <w:jc w:val="both"/>
        <w:rPr>
          <w:rFonts w:ascii="Abadi" w:hAnsi="Abadi" w:cs="TrebuchetMS"/>
          <w:sz w:val="21"/>
          <w:szCs w:val="21"/>
        </w:rPr>
      </w:pPr>
    </w:p>
    <w:p w14:paraId="65902838" w14:textId="77777777"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
          <w:sz w:val="21"/>
          <w:szCs w:val="21"/>
        </w:rPr>
        <w:t>De esta manera, es necesario que, la situación de calle, explotación y de trabajo de nuestras niñas, niños y adolescentes en nuestro Estado cambie, por ello, en aras de garantizar sus derechos humanos es necesario como, una primera medida afirmativa, impactar en la ley el reconocimiento de este derecho.</w:t>
      </w:r>
    </w:p>
    <w:p w14:paraId="6663D70A" w14:textId="77777777" w:rsidR="00253C44" w:rsidRPr="009A0883" w:rsidRDefault="00253C44" w:rsidP="00253C44">
      <w:pPr>
        <w:autoSpaceDE w:val="0"/>
        <w:autoSpaceDN w:val="0"/>
        <w:adjustRightInd w:val="0"/>
        <w:jc w:val="both"/>
        <w:rPr>
          <w:rFonts w:ascii="Abadi" w:hAnsi="Abadi" w:cs="TrebuchetMS"/>
          <w:sz w:val="21"/>
          <w:szCs w:val="21"/>
        </w:rPr>
      </w:pPr>
    </w:p>
    <w:p w14:paraId="1F3D8DA6" w14:textId="77777777" w:rsidR="00253C44" w:rsidRPr="009A0883" w:rsidRDefault="00253C44" w:rsidP="00253C44">
      <w:pPr>
        <w:jc w:val="both"/>
        <w:rPr>
          <w:rFonts w:ascii="Abadi" w:hAnsi="Abadi" w:cs="TrebuchetMS"/>
          <w:sz w:val="21"/>
          <w:szCs w:val="21"/>
        </w:rPr>
      </w:pPr>
      <w:r w:rsidRPr="009A0883">
        <w:rPr>
          <w:rFonts w:ascii="Abadi" w:hAnsi="Abadi" w:cs="TrebuchetMS"/>
          <w:sz w:val="21"/>
          <w:szCs w:val="21"/>
        </w:rPr>
        <w:t>Para mayor claridad véase el siguiente cuadro:</w:t>
      </w:r>
    </w:p>
    <w:p w14:paraId="176FEC2E" w14:textId="77777777" w:rsidR="00253C44" w:rsidRPr="009A0883" w:rsidRDefault="00253C44" w:rsidP="00253C44">
      <w:pPr>
        <w:jc w:val="both"/>
        <w:rPr>
          <w:rFonts w:ascii="Abadi" w:hAnsi="Abadi" w:cs="TrebuchetMS"/>
          <w:sz w:val="21"/>
          <w:szCs w:val="21"/>
        </w:rPr>
      </w:pPr>
    </w:p>
    <w:tbl>
      <w:tblPr>
        <w:tblStyle w:val="Tablaconcuadrcula"/>
        <w:tblW w:w="0" w:type="auto"/>
        <w:tblLook w:val="04A0" w:firstRow="1" w:lastRow="0" w:firstColumn="1" w:lastColumn="0" w:noHBand="0" w:noVBand="1"/>
      </w:tblPr>
      <w:tblGrid>
        <w:gridCol w:w="2192"/>
        <w:gridCol w:w="2192"/>
      </w:tblGrid>
      <w:tr w:rsidR="00253C44" w:rsidRPr="009A0883" w14:paraId="3217C077" w14:textId="77777777" w:rsidTr="00BA2905">
        <w:tc>
          <w:tcPr>
            <w:tcW w:w="4414" w:type="dxa"/>
          </w:tcPr>
          <w:p w14:paraId="3BC45024" w14:textId="77777777" w:rsidR="00253C44" w:rsidRPr="009A0883" w:rsidRDefault="00253C44" w:rsidP="00BA2905">
            <w:pPr>
              <w:jc w:val="center"/>
              <w:rPr>
                <w:rFonts w:ascii="Abadi" w:hAnsi="Abadi"/>
                <w:sz w:val="21"/>
                <w:szCs w:val="21"/>
              </w:rPr>
            </w:pPr>
            <w:r w:rsidRPr="009A0883">
              <w:rPr>
                <w:rFonts w:ascii="Abadi" w:hAnsi="Abadi" w:cs="TrebuchetMS-Bold"/>
                <w:b/>
                <w:bCs/>
                <w:sz w:val="21"/>
                <w:szCs w:val="21"/>
              </w:rPr>
              <w:t>TEXTO VIGENTE.</w:t>
            </w:r>
          </w:p>
        </w:tc>
        <w:tc>
          <w:tcPr>
            <w:tcW w:w="4414" w:type="dxa"/>
          </w:tcPr>
          <w:p w14:paraId="75434E17" w14:textId="77777777" w:rsidR="00253C44" w:rsidRPr="009A0883" w:rsidRDefault="00253C44" w:rsidP="00BA2905">
            <w:pPr>
              <w:jc w:val="center"/>
              <w:rPr>
                <w:rFonts w:ascii="Abadi" w:hAnsi="Abadi"/>
                <w:sz w:val="21"/>
                <w:szCs w:val="21"/>
              </w:rPr>
            </w:pPr>
            <w:r w:rsidRPr="009A0883">
              <w:rPr>
                <w:rFonts w:ascii="Abadi" w:hAnsi="Abadi" w:cs="TrebuchetMS-Bold"/>
                <w:b/>
                <w:bCs/>
                <w:sz w:val="21"/>
                <w:szCs w:val="21"/>
              </w:rPr>
              <w:t>PROPUESTA LEGISLATIVA.</w:t>
            </w:r>
          </w:p>
        </w:tc>
      </w:tr>
      <w:tr w:rsidR="00253C44" w:rsidRPr="009A0883" w14:paraId="6A84AAB6" w14:textId="77777777" w:rsidTr="00BA2905">
        <w:tc>
          <w:tcPr>
            <w:tcW w:w="4414" w:type="dxa"/>
          </w:tcPr>
          <w:p w14:paraId="543F75AA" w14:textId="77777777" w:rsidR="00253C44" w:rsidRPr="009A0883" w:rsidRDefault="00253C44" w:rsidP="00BA2905">
            <w:pPr>
              <w:autoSpaceDE w:val="0"/>
              <w:autoSpaceDN w:val="0"/>
              <w:adjustRightInd w:val="0"/>
              <w:jc w:val="both"/>
              <w:rPr>
                <w:rFonts w:ascii="Abadi" w:hAnsi="Abadi" w:cs="TrebuchetMS"/>
                <w:sz w:val="21"/>
                <w:szCs w:val="21"/>
              </w:rPr>
            </w:pPr>
            <w:r w:rsidRPr="009A0883">
              <w:rPr>
                <w:rFonts w:ascii="Abadi" w:hAnsi="Abadi" w:cs="TrebuchetMS-Bold"/>
                <w:b/>
                <w:bCs/>
                <w:sz w:val="21"/>
                <w:szCs w:val="21"/>
              </w:rPr>
              <w:t xml:space="preserve">Artículo 28. </w:t>
            </w:r>
            <w:r w:rsidRPr="009A0883">
              <w:rPr>
                <w:rFonts w:ascii="Abadi" w:hAnsi="Abadi" w:cs="TrebuchetMS"/>
                <w:sz w:val="21"/>
                <w:szCs w:val="21"/>
              </w:rPr>
              <w:t>Para efectos de la presente Ley</w:t>
            </w:r>
          </w:p>
          <w:p w14:paraId="2191CBD5" w14:textId="77777777" w:rsidR="00253C44" w:rsidRPr="009A0883" w:rsidRDefault="00253C44" w:rsidP="00BA2905">
            <w:pPr>
              <w:autoSpaceDE w:val="0"/>
              <w:autoSpaceDN w:val="0"/>
              <w:adjustRightInd w:val="0"/>
              <w:jc w:val="both"/>
              <w:rPr>
                <w:rFonts w:ascii="Abadi" w:hAnsi="Abadi" w:cs="TrebuchetMS"/>
                <w:sz w:val="21"/>
                <w:szCs w:val="21"/>
              </w:rPr>
            </w:pPr>
            <w:r w:rsidRPr="009A0883">
              <w:rPr>
                <w:rFonts w:ascii="Abadi" w:hAnsi="Abadi" w:cs="TrebuchetMS"/>
                <w:sz w:val="21"/>
                <w:szCs w:val="21"/>
              </w:rPr>
              <w:t>son derechos de niñas, niños y adolescentes,</w:t>
            </w:r>
          </w:p>
          <w:p w14:paraId="71457262" w14:textId="77777777" w:rsidR="00253C44" w:rsidRPr="009A0883" w:rsidRDefault="00253C44" w:rsidP="00BA2905">
            <w:pPr>
              <w:autoSpaceDE w:val="0"/>
              <w:autoSpaceDN w:val="0"/>
              <w:adjustRightInd w:val="0"/>
              <w:jc w:val="both"/>
              <w:rPr>
                <w:rFonts w:ascii="Abadi" w:hAnsi="Abadi" w:cs="TrebuchetMS"/>
                <w:sz w:val="21"/>
                <w:szCs w:val="21"/>
              </w:rPr>
            </w:pPr>
            <w:r w:rsidRPr="009A0883">
              <w:rPr>
                <w:rFonts w:ascii="Abadi" w:hAnsi="Abadi" w:cs="TrebuchetMS"/>
                <w:sz w:val="21"/>
                <w:szCs w:val="21"/>
              </w:rPr>
              <w:t>de manera enunciativa más no limitativa, los</w:t>
            </w:r>
          </w:p>
          <w:p w14:paraId="104208CC" w14:textId="77777777" w:rsidR="00253C44" w:rsidRPr="009A0883" w:rsidRDefault="00253C44" w:rsidP="00BA2905">
            <w:pPr>
              <w:autoSpaceDE w:val="0"/>
              <w:autoSpaceDN w:val="0"/>
              <w:adjustRightInd w:val="0"/>
              <w:jc w:val="both"/>
              <w:rPr>
                <w:rFonts w:ascii="Abadi" w:hAnsi="Abadi" w:cs="TrebuchetMS"/>
                <w:sz w:val="21"/>
                <w:szCs w:val="21"/>
              </w:rPr>
            </w:pPr>
            <w:r w:rsidRPr="009A0883">
              <w:rPr>
                <w:rFonts w:ascii="Abadi" w:hAnsi="Abadi" w:cs="TrebuchetMS"/>
                <w:sz w:val="21"/>
                <w:szCs w:val="21"/>
              </w:rPr>
              <w:t>siguientes:</w:t>
            </w:r>
          </w:p>
          <w:p w14:paraId="505842DD" w14:textId="77777777" w:rsidR="00253C44" w:rsidRPr="009A0883" w:rsidRDefault="00253C44" w:rsidP="00BA2905">
            <w:pPr>
              <w:autoSpaceDE w:val="0"/>
              <w:autoSpaceDN w:val="0"/>
              <w:adjustRightInd w:val="0"/>
              <w:jc w:val="both"/>
              <w:rPr>
                <w:rFonts w:ascii="Abadi" w:hAnsi="Abadi" w:cs="TrebuchetMS"/>
                <w:sz w:val="21"/>
                <w:szCs w:val="21"/>
              </w:rPr>
            </w:pPr>
            <w:r w:rsidRPr="009A0883">
              <w:rPr>
                <w:rFonts w:ascii="Abadi" w:hAnsi="Abadi" w:cs="TrebuchetMS-Bold"/>
                <w:b/>
                <w:bCs/>
                <w:sz w:val="21"/>
                <w:szCs w:val="21"/>
              </w:rPr>
              <w:t xml:space="preserve">I. </w:t>
            </w:r>
            <w:r w:rsidRPr="009A0883">
              <w:rPr>
                <w:rFonts w:ascii="Abadi" w:hAnsi="Abadi" w:cs="TrebuchetMS"/>
                <w:sz w:val="21"/>
                <w:szCs w:val="21"/>
              </w:rPr>
              <w:t>Derecho a la vida, a la</w:t>
            </w:r>
          </w:p>
          <w:p w14:paraId="650A006F" w14:textId="77777777" w:rsidR="00253C44" w:rsidRPr="009A0883" w:rsidRDefault="00253C44" w:rsidP="00BA2905">
            <w:pPr>
              <w:autoSpaceDE w:val="0"/>
              <w:autoSpaceDN w:val="0"/>
              <w:adjustRightInd w:val="0"/>
              <w:jc w:val="both"/>
              <w:rPr>
                <w:rFonts w:ascii="Abadi" w:hAnsi="Abadi" w:cs="TrebuchetMS"/>
                <w:sz w:val="21"/>
                <w:szCs w:val="21"/>
              </w:rPr>
            </w:pPr>
            <w:r w:rsidRPr="009A0883">
              <w:rPr>
                <w:rFonts w:ascii="Abadi" w:hAnsi="Abadi" w:cs="TrebuchetMS"/>
                <w:sz w:val="21"/>
                <w:szCs w:val="21"/>
              </w:rPr>
              <w:t>supervivencia y al desarrollo;</w:t>
            </w:r>
          </w:p>
          <w:p w14:paraId="4BBF8E98"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TrebuchetMS-Bold"/>
                <w:b/>
                <w:bCs/>
                <w:sz w:val="21"/>
                <w:szCs w:val="21"/>
              </w:rPr>
              <w:t xml:space="preserve">II. </w:t>
            </w:r>
            <w:r w:rsidRPr="009A0883">
              <w:rPr>
                <w:rFonts w:ascii="Abadi" w:hAnsi="Abadi" w:cs="Arial"/>
                <w:sz w:val="21"/>
                <w:szCs w:val="21"/>
              </w:rPr>
              <w:t>Derecho de prioridad;</w:t>
            </w:r>
          </w:p>
          <w:p w14:paraId="0ECE491E"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TrebuchetMS-Bold"/>
                <w:b/>
                <w:bCs/>
                <w:sz w:val="21"/>
                <w:szCs w:val="21"/>
              </w:rPr>
              <w:t xml:space="preserve">III. </w:t>
            </w:r>
            <w:r w:rsidRPr="009A0883">
              <w:rPr>
                <w:rFonts w:ascii="Abadi" w:hAnsi="Abadi" w:cs="Arial"/>
                <w:sz w:val="21"/>
                <w:szCs w:val="21"/>
              </w:rPr>
              <w:t>Derecho a la identidad;</w:t>
            </w:r>
          </w:p>
          <w:p w14:paraId="1AD7CCF5"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TrebuchetMS-Bold"/>
                <w:b/>
                <w:bCs/>
                <w:sz w:val="21"/>
                <w:szCs w:val="21"/>
              </w:rPr>
              <w:t xml:space="preserve">IV. </w:t>
            </w:r>
            <w:r w:rsidRPr="009A0883">
              <w:rPr>
                <w:rFonts w:ascii="Abadi" w:hAnsi="Abadi" w:cs="Arial"/>
                <w:sz w:val="21"/>
                <w:szCs w:val="21"/>
              </w:rPr>
              <w:t>Derecho a vivir en familia;</w:t>
            </w:r>
          </w:p>
          <w:p w14:paraId="63DE8A4D"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TrebuchetMS-Bold"/>
                <w:b/>
                <w:bCs/>
                <w:sz w:val="21"/>
                <w:szCs w:val="21"/>
              </w:rPr>
              <w:t xml:space="preserve">V. </w:t>
            </w:r>
            <w:r w:rsidRPr="009A0883">
              <w:rPr>
                <w:rFonts w:ascii="Abadi" w:hAnsi="Abadi" w:cs="Arial"/>
                <w:sz w:val="21"/>
                <w:szCs w:val="21"/>
              </w:rPr>
              <w:t>Derecho a la igualdad;</w:t>
            </w:r>
          </w:p>
          <w:p w14:paraId="6B6C87C2"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TrebuchetMS-Bold"/>
                <w:b/>
                <w:bCs/>
                <w:sz w:val="21"/>
                <w:szCs w:val="21"/>
              </w:rPr>
              <w:t xml:space="preserve">VI. </w:t>
            </w:r>
            <w:r w:rsidRPr="009A0883">
              <w:rPr>
                <w:rFonts w:ascii="Abadi" w:hAnsi="Abadi" w:cs="Arial"/>
                <w:sz w:val="21"/>
                <w:szCs w:val="21"/>
              </w:rPr>
              <w:t>Derecho a no ser discriminado;</w:t>
            </w:r>
          </w:p>
          <w:p w14:paraId="3DA10ADF"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TrebuchetMS-Bold"/>
                <w:b/>
                <w:bCs/>
                <w:sz w:val="21"/>
                <w:szCs w:val="21"/>
              </w:rPr>
              <w:t xml:space="preserve">VII. </w:t>
            </w:r>
            <w:r w:rsidRPr="009A0883">
              <w:rPr>
                <w:rFonts w:ascii="Abadi" w:hAnsi="Abadi" w:cs="Arial"/>
                <w:sz w:val="21"/>
                <w:szCs w:val="21"/>
              </w:rPr>
              <w:t>Derecho a vivir en condiciones de bienestar y a un sano desarrollo integral;</w:t>
            </w:r>
          </w:p>
          <w:p w14:paraId="662AEE57"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TrebuchetMS-Bold"/>
                <w:b/>
                <w:bCs/>
                <w:sz w:val="21"/>
                <w:szCs w:val="21"/>
              </w:rPr>
              <w:t xml:space="preserve">VIII. </w:t>
            </w:r>
            <w:r w:rsidRPr="009A0883">
              <w:rPr>
                <w:rFonts w:ascii="Abadi" w:hAnsi="Abadi" w:cs="Arial"/>
                <w:sz w:val="21"/>
                <w:szCs w:val="21"/>
              </w:rPr>
              <w:t>Derecho a una vida libre de</w:t>
            </w:r>
          </w:p>
          <w:p w14:paraId="18067DF0"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Arial"/>
                <w:sz w:val="21"/>
                <w:szCs w:val="21"/>
              </w:rPr>
              <w:t>violencia y a la integridad personal;</w:t>
            </w:r>
          </w:p>
          <w:p w14:paraId="4C1A1D1B"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TrebuchetMS-Bold"/>
                <w:b/>
                <w:bCs/>
                <w:sz w:val="21"/>
                <w:szCs w:val="21"/>
              </w:rPr>
              <w:t xml:space="preserve">IX. </w:t>
            </w:r>
            <w:r w:rsidRPr="009A0883">
              <w:rPr>
                <w:rFonts w:ascii="Abadi" w:hAnsi="Abadi" w:cs="Arial"/>
                <w:sz w:val="21"/>
                <w:szCs w:val="21"/>
              </w:rPr>
              <w:t xml:space="preserve">Derecho a la protección de Derecho a la inclusión plena de niñas, niños </w:t>
            </w:r>
            <w:r w:rsidRPr="009A0883">
              <w:rPr>
                <w:rFonts w:ascii="Abadi" w:hAnsi="Abadi" w:cs="Arial"/>
                <w:sz w:val="21"/>
                <w:szCs w:val="21"/>
              </w:rPr>
              <w:t>y adolescentes con discapacidad;</w:t>
            </w:r>
          </w:p>
          <w:p w14:paraId="20DB6223"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TrebuchetMS-Bold"/>
                <w:b/>
                <w:bCs/>
                <w:sz w:val="21"/>
                <w:szCs w:val="21"/>
              </w:rPr>
              <w:t xml:space="preserve">XI. </w:t>
            </w:r>
            <w:r w:rsidRPr="009A0883">
              <w:rPr>
                <w:rFonts w:ascii="Abadi" w:hAnsi="Abadi" w:cs="Arial"/>
                <w:sz w:val="21"/>
                <w:szCs w:val="21"/>
              </w:rPr>
              <w:t>Derecho a la educación;</w:t>
            </w:r>
          </w:p>
          <w:p w14:paraId="1B509D94"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TrebuchetMS-Bold"/>
                <w:b/>
                <w:bCs/>
                <w:sz w:val="21"/>
                <w:szCs w:val="21"/>
              </w:rPr>
              <w:t xml:space="preserve">XII. </w:t>
            </w:r>
            <w:r w:rsidRPr="009A0883">
              <w:rPr>
                <w:rFonts w:ascii="Abadi" w:hAnsi="Abadi" w:cs="Arial"/>
                <w:sz w:val="21"/>
                <w:szCs w:val="21"/>
              </w:rPr>
              <w:t>Derecho al descanso y al esparcimiento;</w:t>
            </w:r>
          </w:p>
          <w:p w14:paraId="7EB9E777"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TrebuchetMS-Bold"/>
                <w:b/>
                <w:bCs/>
                <w:sz w:val="21"/>
                <w:szCs w:val="21"/>
              </w:rPr>
              <w:t xml:space="preserve">XIII. </w:t>
            </w:r>
            <w:r w:rsidRPr="009A0883">
              <w:rPr>
                <w:rFonts w:ascii="Abadi" w:hAnsi="Abadi" w:cs="Arial"/>
                <w:sz w:val="21"/>
                <w:szCs w:val="21"/>
              </w:rPr>
              <w:t>Derecho al ejercicio de sus libertades de pensamiento, conciencia, religión y cultura;</w:t>
            </w:r>
          </w:p>
          <w:p w14:paraId="3CF1C2FB"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TrebuchetMS-Bold"/>
                <w:b/>
                <w:bCs/>
                <w:sz w:val="21"/>
                <w:szCs w:val="21"/>
              </w:rPr>
              <w:t xml:space="preserve">XIV. </w:t>
            </w:r>
            <w:r w:rsidRPr="009A0883">
              <w:rPr>
                <w:rFonts w:ascii="Abadi" w:hAnsi="Abadi" w:cs="Arial"/>
                <w:sz w:val="21"/>
                <w:szCs w:val="21"/>
              </w:rPr>
              <w:t>Derecho a la libertad de expresión y de acceso a la información;</w:t>
            </w:r>
          </w:p>
          <w:p w14:paraId="21D1EFAD"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TrebuchetMS-Bold"/>
                <w:b/>
                <w:bCs/>
                <w:sz w:val="21"/>
                <w:szCs w:val="21"/>
              </w:rPr>
              <w:t xml:space="preserve">XV. </w:t>
            </w:r>
            <w:r w:rsidRPr="009A0883">
              <w:rPr>
                <w:rFonts w:ascii="Abadi" w:hAnsi="Abadi" w:cs="Arial"/>
                <w:sz w:val="21"/>
                <w:szCs w:val="21"/>
              </w:rPr>
              <w:t>Derecho de participación;</w:t>
            </w:r>
          </w:p>
          <w:p w14:paraId="0DE4872F"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TrebuchetMS-Bold"/>
                <w:b/>
                <w:bCs/>
                <w:sz w:val="21"/>
                <w:szCs w:val="21"/>
              </w:rPr>
              <w:t xml:space="preserve">XVI. </w:t>
            </w:r>
            <w:r w:rsidRPr="009A0883">
              <w:rPr>
                <w:rFonts w:ascii="Abadi" w:hAnsi="Abadi" w:cs="Arial"/>
                <w:sz w:val="21"/>
                <w:szCs w:val="21"/>
              </w:rPr>
              <w:t>Derecho de asociación y reunión;</w:t>
            </w:r>
          </w:p>
          <w:p w14:paraId="1322C68E"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TrebuchetMS-Bold"/>
                <w:b/>
                <w:bCs/>
                <w:sz w:val="21"/>
                <w:szCs w:val="21"/>
              </w:rPr>
              <w:t xml:space="preserve">XVII. </w:t>
            </w:r>
            <w:r w:rsidRPr="009A0883">
              <w:rPr>
                <w:rFonts w:ascii="Abadi" w:hAnsi="Abadi" w:cs="Arial"/>
                <w:sz w:val="21"/>
                <w:szCs w:val="21"/>
              </w:rPr>
              <w:t>Derecho a la protección de la intimidad;</w:t>
            </w:r>
          </w:p>
          <w:p w14:paraId="3827FD11"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TrebuchetMS-Bold"/>
                <w:b/>
                <w:bCs/>
                <w:sz w:val="21"/>
                <w:szCs w:val="21"/>
              </w:rPr>
              <w:t xml:space="preserve">XVIII. </w:t>
            </w:r>
            <w:r w:rsidRPr="009A0883">
              <w:rPr>
                <w:rFonts w:ascii="Abadi" w:hAnsi="Abadi" w:cs="Arial"/>
                <w:sz w:val="21"/>
                <w:szCs w:val="21"/>
              </w:rPr>
              <w:t>Derecho a la seguridad jurídica y al</w:t>
            </w:r>
          </w:p>
          <w:p w14:paraId="712459F4"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Arial"/>
                <w:sz w:val="21"/>
                <w:szCs w:val="21"/>
              </w:rPr>
              <w:t>debido proceso;</w:t>
            </w:r>
          </w:p>
          <w:p w14:paraId="1A9BCB3F" w14:textId="77777777" w:rsidR="00253C44" w:rsidRPr="009A0883" w:rsidRDefault="00253C44" w:rsidP="00BA2905">
            <w:pPr>
              <w:autoSpaceDE w:val="0"/>
              <w:autoSpaceDN w:val="0"/>
              <w:adjustRightInd w:val="0"/>
              <w:jc w:val="both"/>
              <w:rPr>
                <w:rFonts w:ascii="Abadi" w:hAnsi="Abadi" w:cs="Arial"/>
                <w:sz w:val="21"/>
                <w:szCs w:val="21"/>
              </w:rPr>
            </w:pPr>
            <w:r w:rsidRPr="009A0883">
              <w:rPr>
                <w:rFonts w:ascii="Abadi" w:hAnsi="Abadi" w:cs="TrebuchetMS-Bold"/>
                <w:b/>
                <w:bCs/>
                <w:sz w:val="21"/>
                <w:szCs w:val="21"/>
              </w:rPr>
              <w:t xml:space="preserve">XIX. </w:t>
            </w:r>
            <w:r w:rsidRPr="009A0883">
              <w:rPr>
                <w:rFonts w:ascii="Abadi" w:hAnsi="Abadi" w:cs="Arial"/>
                <w:sz w:val="21"/>
                <w:szCs w:val="21"/>
              </w:rPr>
              <w:t>Derechos de niñas, niños y adolescentes migrantes; y</w:t>
            </w:r>
          </w:p>
          <w:p w14:paraId="65D0EF0D" w14:textId="77777777" w:rsidR="00253C44" w:rsidRPr="009A0883" w:rsidRDefault="00253C44" w:rsidP="00BA2905">
            <w:pPr>
              <w:autoSpaceDE w:val="0"/>
              <w:autoSpaceDN w:val="0"/>
              <w:adjustRightInd w:val="0"/>
              <w:jc w:val="both"/>
              <w:rPr>
                <w:rFonts w:ascii="Abadi" w:hAnsi="Abadi" w:cs="TrebuchetMS"/>
                <w:sz w:val="21"/>
                <w:szCs w:val="21"/>
              </w:rPr>
            </w:pPr>
            <w:r w:rsidRPr="009A0883">
              <w:rPr>
                <w:rFonts w:ascii="Abadi" w:hAnsi="Abadi" w:cs="TrebuchetMS-Bold"/>
                <w:b/>
                <w:bCs/>
                <w:sz w:val="21"/>
                <w:szCs w:val="21"/>
              </w:rPr>
              <w:t xml:space="preserve">XX. </w:t>
            </w:r>
            <w:r w:rsidRPr="009A0883">
              <w:rPr>
                <w:rFonts w:ascii="Abadi" w:hAnsi="Abadi" w:cs="TrebuchetMS"/>
                <w:sz w:val="21"/>
                <w:szCs w:val="21"/>
              </w:rPr>
              <w:t>Derecho de acceso a las tecnologías de la información y de la comunicación, así como a los servicios de radiodifusión y telecomunicaciones, incluido el de banda ancha e internet, en términos de lo previsto en la Ley</w:t>
            </w:r>
          </w:p>
          <w:p w14:paraId="1B6FA449" w14:textId="77777777" w:rsidR="00253C44" w:rsidRPr="009A0883" w:rsidRDefault="00253C44" w:rsidP="00BA2905">
            <w:pPr>
              <w:autoSpaceDE w:val="0"/>
              <w:autoSpaceDN w:val="0"/>
              <w:adjustRightInd w:val="0"/>
              <w:jc w:val="both"/>
              <w:rPr>
                <w:rFonts w:ascii="Abadi" w:hAnsi="Abadi" w:cs="TrebuchetMS"/>
                <w:sz w:val="21"/>
                <w:szCs w:val="21"/>
              </w:rPr>
            </w:pPr>
            <w:r w:rsidRPr="009A0883">
              <w:rPr>
                <w:rFonts w:ascii="Abadi" w:hAnsi="Abadi" w:cs="TrebuchetMS"/>
                <w:sz w:val="21"/>
                <w:szCs w:val="21"/>
              </w:rPr>
              <w:t>Federal de Telecomunicaciones y Radiodifusión.</w:t>
            </w:r>
          </w:p>
          <w:p w14:paraId="24FE40D7" w14:textId="77777777" w:rsidR="00253C44" w:rsidRPr="009A0883" w:rsidRDefault="00253C44" w:rsidP="00BA2905">
            <w:pPr>
              <w:autoSpaceDE w:val="0"/>
              <w:autoSpaceDN w:val="0"/>
              <w:adjustRightInd w:val="0"/>
              <w:jc w:val="both"/>
              <w:rPr>
                <w:rFonts w:ascii="Abadi" w:hAnsi="Abadi" w:cs="TrebuchetMS"/>
                <w:sz w:val="21"/>
                <w:szCs w:val="21"/>
              </w:rPr>
            </w:pPr>
          </w:p>
          <w:p w14:paraId="490A340C" w14:textId="77777777" w:rsidR="00253C44" w:rsidRPr="009A0883" w:rsidRDefault="00253C44" w:rsidP="00BA2905">
            <w:pPr>
              <w:autoSpaceDE w:val="0"/>
              <w:autoSpaceDN w:val="0"/>
              <w:adjustRightInd w:val="0"/>
              <w:jc w:val="both"/>
              <w:rPr>
                <w:rFonts w:ascii="Abadi" w:hAnsi="Abadi" w:cs="TrebuchetMS"/>
                <w:sz w:val="21"/>
                <w:szCs w:val="21"/>
              </w:rPr>
            </w:pPr>
            <w:r w:rsidRPr="009A0883">
              <w:rPr>
                <w:rFonts w:ascii="Abadi" w:hAnsi="Abadi" w:cs="TrebuchetMS"/>
                <w:sz w:val="21"/>
                <w:szCs w:val="21"/>
              </w:rPr>
              <w:t xml:space="preserve">Quienes ejercen la patria potestad, tutela, guarda o custodia tienen la obligación de preservar y exigir el cumplimiento de estos derechos. </w:t>
            </w:r>
          </w:p>
          <w:p w14:paraId="277B9630" w14:textId="77777777" w:rsidR="00253C44" w:rsidRPr="009A0883" w:rsidRDefault="00253C44" w:rsidP="00BA2905">
            <w:pPr>
              <w:autoSpaceDE w:val="0"/>
              <w:autoSpaceDN w:val="0"/>
              <w:adjustRightInd w:val="0"/>
              <w:jc w:val="both"/>
              <w:rPr>
                <w:rFonts w:ascii="Abadi" w:hAnsi="Abadi" w:cs="TrebuchetMS"/>
                <w:sz w:val="21"/>
                <w:szCs w:val="21"/>
              </w:rPr>
            </w:pPr>
          </w:p>
          <w:p w14:paraId="4B3D8382" w14:textId="77777777" w:rsidR="00253C44" w:rsidRPr="009A0883" w:rsidRDefault="00253C44" w:rsidP="00BA2905">
            <w:pPr>
              <w:autoSpaceDE w:val="0"/>
              <w:autoSpaceDN w:val="0"/>
              <w:adjustRightInd w:val="0"/>
              <w:jc w:val="both"/>
              <w:rPr>
                <w:rFonts w:ascii="Abadi" w:hAnsi="Abadi" w:cs="TrebuchetMS"/>
                <w:sz w:val="21"/>
                <w:szCs w:val="21"/>
              </w:rPr>
            </w:pPr>
            <w:r w:rsidRPr="009A0883">
              <w:rPr>
                <w:rFonts w:ascii="Abadi" w:hAnsi="Abadi" w:cs="TrebuchetMS"/>
                <w:sz w:val="21"/>
                <w:szCs w:val="21"/>
              </w:rPr>
              <w:t>Los derechos de niñas, niños y adolescentes se ejercerán conforme a su edad, el desarrollo evolutivo, cognoscitivo y madurez, y su derecho a vivir en familia, y sin menoscabo de las responsabilidades de quienes ejercen su representación.</w:t>
            </w:r>
          </w:p>
          <w:p w14:paraId="11EAE46D" w14:textId="77777777" w:rsidR="00253C44" w:rsidRPr="009A0883" w:rsidRDefault="00253C44" w:rsidP="00BA2905">
            <w:pPr>
              <w:autoSpaceDE w:val="0"/>
              <w:autoSpaceDN w:val="0"/>
              <w:adjustRightInd w:val="0"/>
              <w:jc w:val="both"/>
              <w:rPr>
                <w:rFonts w:ascii="Abadi" w:hAnsi="Abadi" w:cs="TrebuchetMS"/>
                <w:sz w:val="21"/>
                <w:szCs w:val="21"/>
              </w:rPr>
            </w:pPr>
          </w:p>
          <w:p w14:paraId="7B49E709" w14:textId="77777777" w:rsidR="00253C44" w:rsidRPr="009A0883" w:rsidRDefault="00253C44" w:rsidP="00BA2905">
            <w:pPr>
              <w:autoSpaceDE w:val="0"/>
              <w:autoSpaceDN w:val="0"/>
              <w:adjustRightInd w:val="0"/>
              <w:jc w:val="both"/>
              <w:rPr>
                <w:rFonts w:ascii="Abadi" w:hAnsi="Abadi"/>
                <w:sz w:val="21"/>
                <w:szCs w:val="21"/>
              </w:rPr>
            </w:pPr>
            <w:r w:rsidRPr="009A0883">
              <w:rPr>
                <w:rFonts w:ascii="Abadi" w:hAnsi="Abadi" w:cs="TrebuchetMS"/>
                <w:sz w:val="21"/>
                <w:szCs w:val="21"/>
              </w:rPr>
              <w:t>Las autoridades estatales y municipales, en el ámbito de sus respectivas competencias, adoptarán las medidas necesarias para garantizar estos derechos a todas las niñas, niños y adolescentes sin menoscabo de ningún tipo o condición; en aquellos de competencia federal, se coordinará con el ámbito que señalen las disposiciones aplicables.</w:t>
            </w:r>
          </w:p>
        </w:tc>
        <w:tc>
          <w:tcPr>
            <w:tcW w:w="4414" w:type="dxa"/>
          </w:tcPr>
          <w:p w14:paraId="5D31425F"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lastRenderedPageBreak/>
              <w:t>Artículo 28. …</w:t>
            </w:r>
          </w:p>
          <w:p w14:paraId="45CC2B53"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I. …</w:t>
            </w:r>
          </w:p>
          <w:p w14:paraId="44A6EFCF"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II. …</w:t>
            </w:r>
          </w:p>
          <w:p w14:paraId="534ABE2D"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III. …</w:t>
            </w:r>
          </w:p>
          <w:p w14:paraId="756EA65A"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IV. …</w:t>
            </w:r>
          </w:p>
          <w:p w14:paraId="30F0BB04"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V. …</w:t>
            </w:r>
          </w:p>
          <w:p w14:paraId="1E4346B9"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VI. …</w:t>
            </w:r>
          </w:p>
          <w:p w14:paraId="15FCD883"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VII. …</w:t>
            </w:r>
          </w:p>
          <w:p w14:paraId="200AE100"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VIII. …</w:t>
            </w:r>
          </w:p>
          <w:p w14:paraId="5C667472"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IX. …</w:t>
            </w:r>
          </w:p>
          <w:p w14:paraId="618E2323"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 …</w:t>
            </w:r>
          </w:p>
          <w:p w14:paraId="24E6DADF"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XI. …</w:t>
            </w:r>
          </w:p>
          <w:p w14:paraId="476758BB"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XII. …</w:t>
            </w:r>
          </w:p>
          <w:p w14:paraId="62C3CEDB" w14:textId="77777777" w:rsidR="00253C44" w:rsidRPr="009A0883" w:rsidRDefault="00253C44" w:rsidP="00BA2905">
            <w:pPr>
              <w:jc w:val="both"/>
              <w:rPr>
                <w:rFonts w:ascii="Abadi" w:hAnsi="Abadi" w:cs="TrebuchetMS-Bold"/>
                <w:b/>
                <w:bCs/>
                <w:sz w:val="21"/>
                <w:szCs w:val="21"/>
              </w:rPr>
            </w:pPr>
            <w:r w:rsidRPr="009A0883">
              <w:rPr>
                <w:rFonts w:ascii="Abadi" w:hAnsi="Abadi" w:cs="TrebuchetMS-Bold"/>
                <w:b/>
                <w:bCs/>
                <w:sz w:val="21"/>
                <w:szCs w:val="21"/>
              </w:rPr>
              <w:t>XIII. …</w:t>
            </w:r>
          </w:p>
          <w:p w14:paraId="0CE387FF"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XIV. …</w:t>
            </w:r>
          </w:p>
          <w:p w14:paraId="0FE4EC59"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XV. …</w:t>
            </w:r>
          </w:p>
          <w:p w14:paraId="5C4BDA56"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XVI. …</w:t>
            </w:r>
          </w:p>
          <w:p w14:paraId="6504046F"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XVII. …</w:t>
            </w:r>
          </w:p>
          <w:p w14:paraId="662B0571"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XVIII. …</w:t>
            </w:r>
          </w:p>
          <w:p w14:paraId="1B7CA834" w14:textId="77777777" w:rsidR="00253C44" w:rsidRPr="009A0883" w:rsidRDefault="00253C44" w:rsidP="00BA2905">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XIX. …</w:t>
            </w:r>
          </w:p>
          <w:p w14:paraId="184D98CD" w14:textId="77777777" w:rsidR="00253C44" w:rsidRPr="009A0883" w:rsidRDefault="00253C44" w:rsidP="00BA2905">
            <w:pPr>
              <w:autoSpaceDE w:val="0"/>
              <w:autoSpaceDN w:val="0"/>
              <w:adjustRightInd w:val="0"/>
              <w:jc w:val="both"/>
              <w:rPr>
                <w:rFonts w:ascii="Abadi" w:hAnsi="Abadi" w:cs="TrebuchetMS"/>
                <w:sz w:val="21"/>
                <w:szCs w:val="21"/>
              </w:rPr>
            </w:pPr>
            <w:r w:rsidRPr="009A0883">
              <w:rPr>
                <w:rFonts w:ascii="Abadi" w:hAnsi="Abadi" w:cs="TrebuchetMS-Bold"/>
                <w:b/>
                <w:bCs/>
                <w:sz w:val="21"/>
                <w:szCs w:val="21"/>
              </w:rPr>
              <w:t xml:space="preserve">XX. </w:t>
            </w:r>
            <w:r w:rsidRPr="009A0883">
              <w:rPr>
                <w:rFonts w:ascii="Abadi" w:hAnsi="Abadi" w:cs="TrebuchetMS"/>
                <w:sz w:val="21"/>
                <w:szCs w:val="21"/>
              </w:rPr>
              <w:t>Derecho de acceso a las tecnologías de la información y de la comunicación, así como a</w:t>
            </w:r>
          </w:p>
          <w:p w14:paraId="73EBB601" w14:textId="77777777" w:rsidR="00253C44" w:rsidRPr="009A0883" w:rsidRDefault="00253C44" w:rsidP="00BA2905">
            <w:pPr>
              <w:autoSpaceDE w:val="0"/>
              <w:autoSpaceDN w:val="0"/>
              <w:adjustRightInd w:val="0"/>
              <w:jc w:val="both"/>
              <w:rPr>
                <w:rFonts w:ascii="Abadi" w:hAnsi="Abadi" w:cs="TrebuchetMS"/>
                <w:sz w:val="21"/>
                <w:szCs w:val="21"/>
              </w:rPr>
            </w:pPr>
            <w:r w:rsidRPr="009A0883">
              <w:rPr>
                <w:rFonts w:ascii="Abadi" w:hAnsi="Abadi" w:cs="TrebuchetMS"/>
                <w:sz w:val="21"/>
                <w:szCs w:val="21"/>
              </w:rPr>
              <w:t>los servicios de radiodifusión y telecomunicaciones, incluido el de banda ancha e internet, en términos de lo previsto en la Ley Federal de Telecomunicaciones y Radiodifusión.</w:t>
            </w:r>
          </w:p>
          <w:p w14:paraId="34B233C8" w14:textId="77777777" w:rsidR="00253C44" w:rsidRPr="009A0883" w:rsidRDefault="00253C44" w:rsidP="00BA2905">
            <w:pPr>
              <w:autoSpaceDE w:val="0"/>
              <w:autoSpaceDN w:val="0"/>
              <w:adjustRightInd w:val="0"/>
              <w:jc w:val="both"/>
              <w:rPr>
                <w:rFonts w:ascii="Abadi" w:hAnsi="Abadi" w:cs="TrebuchetMS"/>
                <w:sz w:val="21"/>
                <w:szCs w:val="21"/>
              </w:rPr>
            </w:pPr>
          </w:p>
          <w:p w14:paraId="33795D65" w14:textId="77777777" w:rsidR="00253C44" w:rsidRPr="009A0883" w:rsidRDefault="00253C44" w:rsidP="00BA2905">
            <w:pPr>
              <w:autoSpaceDE w:val="0"/>
              <w:autoSpaceDN w:val="0"/>
              <w:adjustRightInd w:val="0"/>
              <w:jc w:val="both"/>
              <w:rPr>
                <w:rFonts w:ascii="Abadi" w:hAnsi="Abadi" w:cs="Trebuchet-BoldItalic"/>
                <w:b/>
                <w:bCs/>
                <w:i/>
                <w:iCs/>
                <w:sz w:val="21"/>
                <w:szCs w:val="21"/>
              </w:rPr>
            </w:pPr>
            <w:r w:rsidRPr="009A0883">
              <w:rPr>
                <w:rFonts w:ascii="Abadi" w:hAnsi="Abadi" w:cs="Trebuchet-BoldItalic"/>
                <w:b/>
                <w:bCs/>
                <w:i/>
                <w:iCs/>
                <w:sz w:val="21"/>
                <w:szCs w:val="21"/>
              </w:rPr>
              <w:t>XXI. Derecho a estar protegidos contra la explotación económica y contra el desempeño de cualquier trabajo que pueda ser peligroso o entorpecer su educación, o que sea nocivo para su salud o para su desarrollo físico, mental, espiritual, moral o social.</w:t>
            </w:r>
          </w:p>
          <w:p w14:paraId="5200A815" w14:textId="77777777" w:rsidR="00253C44" w:rsidRPr="009A0883" w:rsidRDefault="00253C44" w:rsidP="00BA2905">
            <w:pPr>
              <w:autoSpaceDE w:val="0"/>
              <w:autoSpaceDN w:val="0"/>
              <w:adjustRightInd w:val="0"/>
              <w:jc w:val="both"/>
              <w:rPr>
                <w:rFonts w:ascii="Abadi" w:hAnsi="Abadi" w:cs="Trebuchet-BoldItalic"/>
                <w:b/>
                <w:bCs/>
                <w:i/>
                <w:iCs/>
                <w:sz w:val="21"/>
                <w:szCs w:val="21"/>
              </w:rPr>
            </w:pPr>
          </w:p>
          <w:p w14:paraId="7E3D16E6" w14:textId="77777777" w:rsidR="00253C44" w:rsidRPr="009A0883" w:rsidRDefault="00253C44" w:rsidP="00BA2905">
            <w:pPr>
              <w:autoSpaceDE w:val="0"/>
              <w:autoSpaceDN w:val="0"/>
              <w:adjustRightInd w:val="0"/>
              <w:jc w:val="both"/>
              <w:rPr>
                <w:rFonts w:ascii="Abadi" w:hAnsi="Abadi" w:cs="TrebuchetMS"/>
                <w:sz w:val="21"/>
                <w:szCs w:val="21"/>
              </w:rPr>
            </w:pPr>
            <w:r w:rsidRPr="009A0883">
              <w:rPr>
                <w:rFonts w:ascii="Abadi" w:hAnsi="Abadi" w:cs="TrebuchetMS"/>
                <w:sz w:val="21"/>
                <w:szCs w:val="21"/>
              </w:rPr>
              <w:t>Quienes ejercen la patria potestad, tutela, guarda o custodia tienen la obligación de preservar y exigir el cumplimiento de estos derechos.</w:t>
            </w:r>
          </w:p>
          <w:p w14:paraId="08A47DA1" w14:textId="77777777" w:rsidR="00253C44" w:rsidRPr="009A0883" w:rsidRDefault="00253C44" w:rsidP="00BA2905">
            <w:pPr>
              <w:autoSpaceDE w:val="0"/>
              <w:autoSpaceDN w:val="0"/>
              <w:adjustRightInd w:val="0"/>
              <w:jc w:val="both"/>
              <w:rPr>
                <w:rFonts w:ascii="Abadi" w:hAnsi="Abadi" w:cs="TrebuchetMS"/>
                <w:sz w:val="21"/>
                <w:szCs w:val="21"/>
              </w:rPr>
            </w:pPr>
            <w:r w:rsidRPr="009A0883">
              <w:rPr>
                <w:rFonts w:ascii="Abadi" w:hAnsi="Abadi" w:cs="TrebuchetMS"/>
                <w:sz w:val="21"/>
                <w:szCs w:val="21"/>
              </w:rPr>
              <w:t>…</w:t>
            </w:r>
          </w:p>
          <w:p w14:paraId="29743792" w14:textId="77777777" w:rsidR="00253C44" w:rsidRPr="009A0883" w:rsidRDefault="00253C44" w:rsidP="00BA2905">
            <w:pPr>
              <w:jc w:val="both"/>
              <w:rPr>
                <w:rFonts w:ascii="Abadi" w:hAnsi="Abadi"/>
                <w:sz w:val="21"/>
                <w:szCs w:val="21"/>
              </w:rPr>
            </w:pPr>
            <w:r w:rsidRPr="009A0883">
              <w:rPr>
                <w:rFonts w:ascii="Abadi" w:hAnsi="Abadi" w:cs="TrebuchetMS-Bold"/>
                <w:b/>
                <w:bCs/>
                <w:sz w:val="21"/>
                <w:szCs w:val="21"/>
              </w:rPr>
              <w:t>…</w:t>
            </w:r>
          </w:p>
        </w:tc>
      </w:tr>
    </w:tbl>
    <w:p w14:paraId="7E95FDAD" w14:textId="77777777" w:rsidR="00253C44" w:rsidRPr="009A0883" w:rsidRDefault="00253C44" w:rsidP="00253C44">
      <w:pPr>
        <w:jc w:val="both"/>
        <w:rPr>
          <w:rFonts w:ascii="Abadi" w:hAnsi="Abadi"/>
          <w:sz w:val="21"/>
          <w:szCs w:val="21"/>
        </w:rPr>
      </w:pPr>
    </w:p>
    <w:p w14:paraId="5B31D5D3" w14:textId="77777777"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
          <w:sz w:val="21"/>
          <w:szCs w:val="21"/>
        </w:rPr>
        <w:t>Conforme a todo lo anterior, se puede afirmar que a merced de los argumentos aquí expuestos, resulta incontestable la pertinencia de la propuesta de reforma que se presenta, a efecto de establecer como un derecho de las niñas, niños y adolescentes estar protegidos contra al trabajo infantil.</w:t>
      </w:r>
    </w:p>
    <w:p w14:paraId="21E4E2C9" w14:textId="77777777" w:rsidR="00253C44" w:rsidRPr="009A0883" w:rsidRDefault="00253C44" w:rsidP="00253C44">
      <w:pPr>
        <w:autoSpaceDE w:val="0"/>
        <w:autoSpaceDN w:val="0"/>
        <w:adjustRightInd w:val="0"/>
        <w:jc w:val="both"/>
        <w:rPr>
          <w:rFonts w:ascii="Abadi" w:hAnsi="Abadi" w:cs="TrebuchetMS"/>
          <w:sz w:val="21"/>
          <w:szCs w:val="21"/>
        </w:rPr>
      </w:pPr>
    </w:p>
    <w:p w14:paraId="64DCF868" w14:textId="77777777"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
          <w:sz w:val="21"/>
          <w:szCs w:val="21"/>
        </w:rPr>
        <w:t>De ser aprobada, la presente iniciativa tendrá los siguientes impactos de conformidad con el artículo 209 de la Ley Orgánica del Poder Legislativo del Estado de Guanajuato:</w:t>
      </w:r>
    </w:p>
    <w:p w14:paraId="0C32A140" w14:textId="77777777" w:rsidR="00253C44" w:rsidRPr="009A0883" w:rsidRDefault="00253C44" w:rsidP="00253C44">
      <w:pPr>
        <w:autoSpaceDE w:val="0"/>
        <w:autoSpaceDN w:val="0"/>
        <w:adjustRightInd w:val="0"/>
        <w:jc w:val="both"/>
        <w:rPr>
          <w:rFonts w:ascii="Abadi" w:hAnsi="Abadi" w:cs="TrebuchetMS"/>
          <w:sz w:val="21"/>
          <w:szCs w:val="21"/>
        </w:rPr>
      </w:pPr>
    </w:p>
    <w:p w14:paraId="0D60C435" w14:textId="77777777" w:rsidR="00253C44" w:rsidRPr="009A0883" w:rsidRDefault="00253C44" w:rsidP="005433FA">
      <w:pPr>
        <w:pStyle w:val="Prrafodelista"/>
        <w:numPr>
          <w:ilvl w:val="0"/>
          <w:numId w:val="17"/>
        </w:numPr>
        <w:autoSpaceDE w:val="0"/>
        <w:autoSpaceDN w:val="0"/>
        <w:adjustRightInd w:val="0"/>
        <w:contextualSpacing/>
        <w:jc w:val="both"/>
        <w:rPr>
          <w:rFonts w:ascii="Abadi" w:hAnsi="Abadi" w:cs="TrebuchetMS"/>
          <w:sz w:val="21"/>
          <w:szCs w:val="21"/>
        </w:rPr>
      </w:pPr>
      <w:r w:rsidRPr="009A0883">
        <w:rPr>
          <w:rFonts w:ascii="Abadi" w:hAnsi="Abadi" w:cs="TrebuchetMS-Bold"/>
          <w:b/>
          <w:bCs/>
          <w:sz w:val="21"/>
          <w:szCs w:val="21"/>
        </w:rPr>
        <w:t xml:space="preserve">Impacto jurídico: </w:t>
      </w:r>
      <w:r w:rsidRPr="009A0883">
        <w:rPr>
          <w:rFonts w:ascii="Abadi" w:hAnsi="Abadi" w:cs="TrebuchetMS"/>
          <w:sz w:val="21"/>
          <w:szCs w:val="21"/>
        </w:rPr>
        <w:t>Se adiciona la fracción XXI del artículo 28 de la Ley de los Derechos de Niñas, Niños y Adolescentes del Estado de Guanajuato.</w:t>
      </w:r>
    </w:p>
    <w:p w14:paraId="5453E252" w14:textId="77777777" w:rsidR="00253C44" w:rsidRPr="009A0883" w:rsidRDefault="00253C44" w:rsidP="00253C44">
      <w:pPr>
        <w:autoSpaceDE w:val="0"/>
        <w:autoSpaceDN w:val="0"/>
        <w:adjustRightInd w:val="0"/>
        <w:jc w:val="both"/>
        <w:rPr>
          <w:rFonts w:ascii="Abadi" w:hAnsi="Abadi" w:cs="TrebuchetMS"/>
          <w:sz w:val="21"/>
          <w:szCs w:val="21"/>
        </w:rPr>
      </w:pPr>
    </w:p>
    <w:p w14:paraId="311E3F0E" w14:textId="77777777" w:rsidR="00253C44" w:rsidRPr="009A0883" w:rsidRDefault="00253C44" w:rsidP="005433FA">
      <w:pPr>
        <w:pStyle w:val="Prrafodelista"/>
        <w:numPr>
          <w:ilvl w:val="0"/>
          <w:numId w:val="17"/>
        </w:numPr>
        <w:autoSpaceDE w:val="0"/>
        <w:autoSpaceDN w:val="0"/>
        <w:adjustRightInd w:val="0"/>
        <w:contextualSpacing/>
        <w:jc w:val="both"/>
        <w:rPr>
          <w:rFonts w:ascii="Abadi" w:hAnsi="Abadi" w:cs="TrebuchetMS"/>
          <w:sz w:val="21"/>
          <w:szCs w:val="21"/>
        </w:rPr>
      </w:pPr>
      <w:r w:rsidRPr="009A0883">
        <w:rPr>
          <w:rFonts w:ascii="Abadi" w:hAnsi="Abadi" w:cs="TrebuchetMS-Bold"/>
          <w:b/>
          <w:bCs/>
          <w:sz w:val="21"/>
          <w:szCs w:val="21"/>
        </w:rPr>
        <w:t xml:space="preserve">Impacto administrativo: </w:t>
      </w:r>
      <w:r w:rsidRPr="009A0883">
        <w:rPr>
          <w:rFonts w:ascii="Abadi" w:hAnsi="Abadi" w:cs="TrebuchetMS"/>
          <w:sz w:val="21"/>
          <w:szCs w:val="21"/>
        </w:rPr>
        <w:t>Tocante a este aspecto, el impacto administrativo que se  observa, se traduce en el cumplimiento de las obligaciones constitucionales de todas las autoridades en llevar a cabo la promoción, reconocimiento, respeto  y garantía de los derechos fundamentales de la niñez.</w:t>
      </w:r>
    </w:p>
    <w:p w14:paraId="7065B8B3" w14:textId="77777777" w:rsidR="00253C44" w:rsidRPr="009A0883" w:rsidRDefault="00253C44" w:rsidP="00253C44">
      <w:pPr>
        <w:autoSpaceDE w:val="0"/>
        <w:autoSpaceDN w:val="0"/>
        <w:adjustRightInd w:val="0"/>
        <w:jc w:val="both"/>
        <w:rPr>
          <w:rFonts w:ascii="Abadi" w:hAnsi="Abadi" w:cs="TrebuchetMS"/>
          <w:sz w:val="21"/>
          <w:szCs w:val="21"/>
        </w:rPr>
      </w:pPr>
    </w:p>
    <w:p w14:paraId="096BA936" w14:textId="77777777" w:rsidR="00253C44" w:rsidRPr="009A0883" w:rsidRDefault="00253C44" w:rsidP="005433FA">
      <w:pPr>
        <w:pStyle w:val="Prrafodelista"/>
        <w:numPr>
          <w:ilvl w:val="0"/>
          <w:numId w:val="17"/>
        </w:numPr>
        <w:autoSpaceDE w:val="0"/>
        <w:autoSpaceDN w:val="0"/>
        <w:adjustRightInd w:val="0"/>
        <w:contextualSpacing/>
        <w:jc w:val="both"/>
        <w:rPr>
          <w:rFonts w:ascii="Abadi" w:hAnsi="Abadi" w:cs="TrebuchetMS"/>
          <w:sz w:val="21"/>
          <w:szCs w:val="21"/>
        </w:rPr>
      </w:pPr>
      <w:r w:rsidRPr="009A0883">
        <w:rPr>
          <w:rFonts w:ascii="Abadi" w:hAnsi="Abadi" w:cs="TrebuchetMS-Bold"/>
          <w:b/>
          <w:bCs/>
          <w:sz w:val="21"/>
          <w:szCs w:val="21"/>
        </w:rPr>
        <w:t xml:space="preserve">Impacto presupuestario: </w:t>
      </w:r>
      <w:r w:rsidRPr="009A0883">
        <w:rPr>
          <w:rFonts w:ascii="Abadi" w:hAnsi="Abadi" w:cs="TrebuchetMS"/>
          <w:sz w:val="21"/>
          <w:szCs w:val="21"/>
        </w:rPr>
        <w:t>No tiene un impacto presupuestario.</w:t>
      </w:r>
    </w:p>
    <w:p w14:paraId="02472B9A" w14:textId="77777777" w:rsidR="00253C44" w:rsidRPr="009A0883" w:rsidRDefault="00253C44" w:rsidP="00253C44">
      <w:pPr>
        <w:autoSpaceDE w:val="0"/>
        <w:autoSpaceDN w:val="0"/>
        <w:adjustRightInd w:val="0"/>
        <w:jc w:val="both"/>
        <w:rPr>
          <w:rFonts w:ascii="Abadi" w:hAnsi="Abadi" w:cs="TrebuchetMS"/>
          <w:sz w:val="21"/>
          <w:szCs w:val="21"/>
        </w:rPr>
      </w:pPr>
    </w:p>
    <w:p w14:paraId="7F606226" w14:textId="77777777" w:rsidR="00253C44" w:rsidRPr="009A0883" w:rsidRDefault="00253C44" w:rsidP="005433FA">
      <w:pPr>
        <w:pStyle w:val="Prrafodelista"/>
        <w:numPr>
          <w:ilvl w:val="0"/>
          <w:numId w:val="17"/>
        </w:numPr>
        <w:autoSpaceDE w:val="0"/>
        <w:autoSpaceDN w:val="0"/>
        <w:adjustRightInd w:val="0"/>
        <w:contextualSpacing/>
        <w:jc w:val="both"/>
        <w:rPr>
          <w:rFonts w:ascii="Abadi" w:hAnsi="Abadi" w:cs="TrebuchetMS"/>
          <w:sz w:val="21"/>
          <w:szCs w:val="21"/>
        </w:rPr>
      </w:pPr>
      <w:r w:rsidRPr="009A0883">
        <w:rPr>
          <w:rFonts w:ascii="Abadi" w:hAnsi="Abadi" w:cs="TrebuchetMS-Bold"/>
          <w:b/>
          <w:bCs/>
          <w:sz w:val="21"/>
          <w:szCs w:val="21"/>
        </w:rPr>
        <w:t xml:space="preserve">Impacto social: </w:t>
      </w:r>
      <w:r w:rsidRPr="009A0883">
        <w:rPr>
          <w:rFonts w:ascii="Abadi" w:hAnsi="Abadi" w:cs="TrebuchetMS"/>
          <w:sz w:val="21"/>
          <w:szCs w:val="21"/>
        </w:rPr>
        <w:t>Se contribuye a llevar a cabo la promoción, reconocimiento, respeto y garantía de los derechos fundamentales de la niñez.</w:t>
      </w:r>
    </w:p>
    <w:p w14:paraId="2FA23648" w14:textId="77777777" w:rsidR="00253C44" w:rsidRPr="009A0883" w:rsidRDefault="00253C44" w:rsidP="00253C44">
      <w:pPr>
        <w:autoSpaceDE w:val="0"/>
        <w:autoSpaceDN w:val="0"/>
        <w:adjustRightInd w:val="0"/>
        <w:jc w:val="both"/>
        <w:rPr>
          <w:rFonts w:ascii="Abadi" w:hAnsi="Abadi" w:cs="TrebuchetMS"/>
          <w:sz w:val="21"/>
          <w:szCs w:val="21"/>
        </w:rPr>
      </w:pPr>
    </w:p>
    <w:p w14:paraId="7D0936E7" w14:textId="77777777"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
          <w:sz w:val="21"/>
          <w:szCs w:val="21"/>
        </w:rPr>
        <w:t>Por lo anteriormente expuesto, someto a la consideración de este H. Congreso del Estado de Guanajuato el siguiente:</w:t>
      </w:r>
    </w:p>
    <w:p w14:paraId="658C3872" w14:textId="77777777" w:rsidR="00253C44" w:rsidRPr="009A0883" w:rsidRDefault="00253C44" w:rsidP="00253C44">
      <w:pPr>
        <w:autoSpaceDE w:val="0"/>
        <w:autoSpaceDN w:val="0"/>
        <w:adjustRightInd w:val="0"/>
        <w:jc w:val="both"/>
        <w:rPr>
          <w:rFonts w:ascii="Abadi" w:hAnsi="Abadi" w:cs="TrebuchetMS-Bold"/>
          <w:b/>
          <w:bCs/>
          <w:sz w:val="21"/>
          <w:szCs w:val="21"/>
        </w:rPr>
      </w:pPr>
    </w:p>
    <w:p w14:paraId="4F5E696B" w14:textId="77777777" w:rsidR="00253C44" w:rsidRPr="009A0883" w:rsidRDefault="00253C44" w:rsidP="00253C44">
      <w:pPr>
        <w:autoSpaceDE w:val="0"/>
        <w:autoSpaceDN w:val="0"/>
        <w:adjustRightInd w:val="0"/>
        <w:jc w:val="center"/>
        <w:rPr>
          <w:rFonts w:ascii="Abadi" w:hAnsi="Abadi" w:cs="TrebuchetMS-Bold"/>
          <w:b/>
          <w:bCs/>
          <w:sz w:val="21"/>
          <w:szCs w:val="21"/>
        </w:rPr>
      </w:pPr>
      <w:r w:rsidRPr="009A0883">
        <w:rPr>
          <w:rFonts w:ascii="Abadi" w:hAnsi="Abadi" w:cs="TrebuchetMS-Bold"/>
          <w:b/>
          <w:bCs/>
          <w:sz w:val="21"/>
          <w:szCs w:val="21"/>
        </w:rPr>
        <w:t>DECRETO.</w:t>
      </w:r>
    </w:p>
    <w:p w14:paraId="73FF1F4F" w14:textId="77777777" w:rsidR="00253C44" w:rsidRPr="009A0883" w:rsidRDefault="00253C44" w:rsidP="00253C44">
      <w:pPr>
        <w:autoSpaceDE w:val="0"/>
        <w:autoSpaceDN w:val="0"/>
        <w:adjustRightInd w:val="0"/>
        <w:jc w:val="both"/>
        <w:rPr>
          <w:rFonts w:ascii="Abadi" w:hAnsi="Abadi" w:cs="TrebuchetMS-Bold"/>
          <w:b/>
          <w:bCs/>
          <w:sz w:val="21"/>
          <w:szCs w:val="21"/>
        </w:rPr>
      </w:pPr>
    </w:p>
    <w:p w14:paraId="1D611A0E" w14:textId="77777777"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Bold"/>
          <w:b/>
          <w:bCs/>
          <w:sz w:val="21"/>
          <w:szCs w:val="21"/>
        </w:rPr>
        <w:t xml:space="preserve">ARTÍCULO ÚNICO. </w:t>
      </w:r>
      <w:r w:rsidRPr="009A0883">
        <w:rPr>
          <w:rFonts w:ascii="Abadi" w:hAnsi="Abadi" w:cs="TrebuchetMS"/>
          <w:sz w:val="21"/>
          <w:szCs w:val="21"/>
        </w:rPr>
        <w:t>- Se adiciona la fracción XXI del artículo 28 de la Ley de los Derechos de Niñas, Niños y Adolescentes del Estado de Guanajuato, para quedar de la siguiente manera:</w:t>
      </w:r>
    </w:p>
    <w:p w14:paraId="31314468" w14:textId="77777777"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Bold"/>
          <w:b/>
          <w:bCs/>
          <w:sz w:val="21"/>
          <w:szCs w:val="21"/>
        </w:rPr>
        <w:t xml:space="preserve">Artículo 28. </w:t>
      </w:r>
      <w:r w:rsidRPr="009A0883">
        <w:rPr>
          <w:rFonts w:ascii="Abadi" w:hAnsi="Abadi" w:cs="TrebuchetMS"/>
          <w:sz w:val="21"/>
          <w:szCs w:val="21"/>
        </w:rPr>
        <w:t>Para efectos de la presente Ley son derechos de niñas, niños y adolescentes, de manera enunciativa más no limitativa, los siguientes:</w:t>
      </w:r>
    </w:p>
    <w:p w14:paraId="4A1A21E6"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I. …</w:t>
      </w:r>
    </w:p>
    <w:p w14:paraId="67933F68"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II. …</w:t>
      </w:r>
    </w:p>
    <w:p w14:paraId="16F4643B"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III. …</w:t>
      </w:r>
    </w:p>
    <w:p w14:paraId="38B5F10B"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IV. …</w:t>
      </w:r>
    </w:p>
    <w:p w14:paraId="36ED0305"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V. …</w:t>
      </w:r>
    </w:p>
    <w:p w14:paraId="3D99B05B"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VI. …</w:t>
      </w:r>
    </w:p>
    <w:p w14:paraId="4C0F6F38"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VII. …</w:t>
      </w:r>
    </w:p>
    <w:p w14:paraId="072AA139"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VIII. …</w:t>
      </w:r>
    </w:p>
    <w:p w14:paraId="0977AE13"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IX. …</w:t>
      </w:r>
    </w:p>
    <w:p w14:paraId="4F5DC261"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 …</w:t>
      </w:r>
    </w:p>
    <w:p w14:paraId="5AF6D4E9"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XI. …</w:t>
      </w:r>
    </w:p>
    <w:p w14:paraId="4A52C809"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XII. …</w:t>
      </w:r>
    </w:p>
    <w:p w14:paraId="64D0CF7E"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XIII. …</w:t>
      </w:r>
    </w:p>
    <w:p w14:paraId="39B506E4"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XIV. …</w:t>
      </w:r>
    </w:p>
    <w:p w14:paraId="70D624CE"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XV. …</w:t>
      </w:r>
    </w:p>
    <w:p w14:paraId="624ED3B7"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XVI. …</w:t>
      </w:r>
    </w:p>
    <w:p w14:paraId="051D0E71"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XVII. …</w:t>
      </w:r>
    </w:p>
    <w:p w14:paraId="46BFBB4C"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XVIII. …</w:t>
      </w:r>
    </w:p>
    <w:p w14:paraId="44813FEE"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XIX. …</w:t>
      </w:r>
    </w:p>
    <w:p w14:paraId="2D7E67D3" w14:textId="77777777"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Bold"/>
          <w:b/>
          <w:bCs/>
          <w:sz w:val="21"/>
          <w:szCs w:val="21"/>
        </w:rPr>
        <w:t xml:space="preserve">XX. </w:t>
      </w:r>
      <w:r w:rsidRPr="009A0883">
        <w:rPr>
          <w:rFonts w:ascii="Abadi" w:hAnsi="Abadi" w:cs="TrebuchetMS"/>
          <w:sz w:val="21"/>
          <w:szCs w:val="21"/>
        </w:rPr>
        <w:t>…</w:t>
      </w:r>
    </w:p>
    <w:p w14:paraId="6561E5BD"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BoldItalic"/>
          <w:b/>
          <w:bCs/>
          <w:i/>
          <w:iCs/>
          <w:sz w:val="21"/>
          <w:szCs w:val="21"/>
        </w:rPr>
        <w:t xml:space="preserve">XXI. Derecho a estar protegidos contra la explotación económica y contra el desempeño de cualquier trabajo que pueda ser peligroso o entorpecer su educación, o que sea nocivo para </w:t>
      </w:r>
      <w:r w:rsidRPr="009A0883">
        <w:rPr>
          <w:rFonts w:ascii="Abadi" w:hAnsi="Abadi" w:cs="Trebuchet-BoldItalic"/>
          <w:b/>
          <w:bCs/>
          <w:i/>
          <w:iCs/>
          <w:sz w:val="21"/>
          <w:szCs w:val="21"/>
        </w:rPr>
        <w:lastRenderedPageBreak/>
        <w:t>su salud o para su desarrollo físico, mental, espiritual, moral o social.</w:t>
      </w:r>
    </w:p>
    <w:p w14:paraId="77B76690" w14:textId="77777777" w:rsidR="00253C44" w:rsidRPr="009A0883" w:rsidRDefault="00253C44" w:rsidP="00253C44">
      <w:pPr>
        <w:autoSpaceDE w:val="0"/>
        <w:autoSpaceDN w:val="0"/>
        <w:adjustRightInd w:val="0"/>
        <w:jc w:val="both"/>
        <w:rPr>
          <w:rFonts w:ascii="Abadi" w:hAnsi="Abadi" w:cs="TrebuchetMS-Bold"/>
          <w:b/>
          <w:bCs/>
          <w:sz w:val="21"/>
          <w:szCs w:val="21"/>
        </w:rPr>
      </w:pPr>
    </w:p>
    <w:p w14:paraId="51E69986" w14:textId="77777777" w:rsidR="00253C44" w:rsidRPr="009A0883" w:rsidRDefault="00253C44" w:rsidP="00253C44">
      <w:pPr>
        <w:autoSpaceDE w:val="0"/>
        <w:autoSpaceDN w:val="0"/>
        <w:adjustRightInd w:val="0"/>
        <w:jc w:val="both"/>
        <w:rPr>
          <w:rFonts w:ascii="Abadi" w:hAnsi="Abadi" w:cs="Trebuchet-BoldItalic"/>
          <w:b/>
          <w:bCs/>
          <w:i/>
          <w:iCs/>
          <w:sz w:val="21"/>
          <w:szCs w:val="21"/>
        </w:rPr>
      </w:pPr>
    </w:p>
    <w:p w14:paraId="169C8339" w14:textId="77777777"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
          <w:sz w:val="21"/>
          <w:szCs w:val="21"/>
        </w:rPr>
        <w:t>Quienes ejercen la patria potestad, tutela, guarda o custodia tienen la obligación de preservar y exigir el cumplimiento de estos derechos.</w:t>
      </w:r>
    </w:p>
    <w:p w14:paraId="0D62D782" w14:textId="77777777"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
          <w:sz w:val="21"/>
          <w:szCs w:val="21"/>
        </w:rPr>
        <w:t>…</w:t>
      </w:r>
    </w:p>
    <w:p w14:paraId="23F259BD" w14:textId="77777777" w:rsidR="00253C44" w:rsidRPr="009A0883" w:rsidRDefault="00253C44" w:rsidP="00253C44">
      <w:pPr>
        <w:autoSpaceDE w:val="0"/>
        <w:autoSpaceDN w:val="0"/>
        <w:adjustRightInd w:val="0"/>
        <w:jc w:val="both"/>
        <w:rPr>
          <w:rFonts w:ascii="Abadi" w:hAnsi="Abadi" w:cs="TrebuchetMS-Bold"/>
          <w:b/>
          <w:bCs/>
          <w:sz w:val="21"/>
          <w:szCs w:val="21"/>
        </w:rPr>
      </w:pPr>
      <w:r w:rsidRPr="009A0883">
        <w:rPr>
          <w:rFonts w:ascii="Abadi" w:hAnsi="Abadi" w:cs="TrebuchetMS-Bold"/>
          <w:b/>
          <w:bCs/>
          <w:sz w:val="21"/>
          <w:szCs w:val="21"/>
        </w:rPr>
        <w:t>…</w:t>
      </w:r>
    </w:p>
    <w:p w14:paraId="23697464" w14:textId="77777777" w:rsidR="00253C44" w:rsidRPr="009A0883" w:rsidRDefault="00253C44" w:rsidP="00253C44">
      <w:pPr>
        <w:autoSpaceDE w:val="0"/>
        <w:autoSpaceDN w:val="0"/>
        <w:adjustRightInd w:val="0"/>
        <w:jc w:val="center"/>
        <w:rPr>
          <w:rFonts w:ascii="Abadi" w:hAnsi="Abadi" w:cs="TrebuchetMS-Bold"/>
          <w:b/>
          <w:bCs/>
          <w:sz w:val="21"/>
          <w:szCs w:val="21"/>
        </w:rPr>
      </w:pPr>
      <w:r w:rsidRPr="009A0883">
        <w:rPr>
          <w:rFonts w:ascii="Abadi" w:hAnsi="Abadi" w:cs="TrebuchetMS-Bold"/>
          <w:b/>
          <w:bCs/>
          <w:sz w:val="21"/>
          <w:szCs w:val="21"/>
        </w:rPr>
        <w:t>TRANSITORIOS</w:t>
      </w:r>
    </w:p>
    <w:p w14:paraId="1FA2D3CE" w14:textId="77777777" w:rsidR="00253C44" w:rsidRPr="009A0883" w:rsidRDefault="00253C44" w:rsidP="00253C44">
      <w:pPr>
        <w:autoSpaceDE w:val="0"/>
        <w:autoSpaceDN w:val="0"/>
        <w:adjustRightInd w:val="0"/>
        <w:jc w:val="both"/>
        <w:rPr>
          <w:rFonts w:ascii="Abadi" w:hAnsi="Abadi" w:cs="TrebuchetMS-Bold"/>
          <w:b/>
          <w:bCs/>
          <w:sz w:val="21"/>
          <w:szCs w:val="21"/>
        </w:rPr>
      </w:pPr>
    </w:p>
    <w:p w14:paraId="44A45782" w14:textId="77777777" w:rsidR="00253C44" w:rsidRPr="009A0883" w:rsidRDefault="00253C44" w:rsidP="00253C44">
      <w:pPr>
        <w:autoSpaceDE w:val="0"/>
        <w:autoSpaceDN w:val="0"/>
        <w:adjustRightInd w:val="0"/>
        <w:jc w:val="both"/>
        <w:rPr>
          <w:rFonts w:ascii="Abadi" w:hAnsi="Abadi" w:cs="TrebuchetMS"/>
          <w:sz w:val="21"/>
          <w:szCs w:val="21"/>
        </w:rPr>
      </w:pPr>
      <w:r w:rsidRPr="009A0883">
        <w:rPr>
          <w:rFonts w:ascii="Abadi" w:hAnsi="Abadi" w:cs="TrebuchetMS-Bold"/>
          <w:b/>
          <w:bCs/>
          <w:sz w:val="21"/>
          <w:szCs w:val="21"/>
        </w:rPr>
        <w:t>ÚNICO.-</w:t>
      </w:r>
      <w:r w:rsidRPr="009A0883">
        <w:rPr>
          <w:rFonts w:ascii="Abadi" w:hAnsi="Abadi" w:cs="TrebuchetMS"/>
          <w:sz w:val="21"/>
          <w:szCs w:val="21"/>
        </w:rPr>
        <w:t>El presente Decreto entrará en vigor al día siguiente, al de su publicación en el periódico oficial del Gobierno del Estado.</w:t>
      </w:r>
    </w:p>
    <w:p w14:paraId="6FBDEF9D" w14:textId="77777777" w:rsidR="00253C44" w:rsidRPr="009A0883" w:rsidRDefault="00253C44" w:rsidP="00253C44">
      <w:pPr>
        <w:autoSpaceDE w:val="0"/>
        <w:autoSpaceDN w:val="0"/>
        <w:adjustRightInd w:val="0"/>
        <w:jc w:val="both"/>
        <w:rPr>
          <w:rFonts w:ascii="Abadi" w:hAnsi="Abadi" w:cs="TrebuchetMS-Bold"/>
          <w:b/>
          <w:bCs/>
          <w:sz w:val="21"/>
          <w:szCs w:val="21"/>
        </w:rPr>
      </w:pPr>
    </w:p>
    <w:p w14:paraId="649E4E9F" w14:textId="77777777" w:rsidR="00253C44" w:rsidRPr="009A0883" w:rsidRDefault="00253C44" w:rsidP="00253C44">
      <w:pPr>
        <w:autoSpaceDE w:val="0"/>
        <w:autoSpaceDN w:val="0"/>
        <w:adjustRightInd w:val="0"/>
        <w:jc w:val="center"/>
        <w:rPr>
          <w:rFonts w:ascii="Abadi" w:hAnsi="Abadi" w:cs="TrebuchetMS-Bold"/>
          <w:b/>
          <w:bCs/>
          <w:sz w:val="21"/>
          <w:szCs w:val="21"/>
        </w:rPr>
      </w:pPr>
      <w:r w:rsidRPr="009A0883">
        <w:rPr>
          <w:rFonts w:ascii="Abadi" w:hAnsi="Abadi" w:cs="TrebuchetMS-Bold"/>
          <w:b/>
          <w:bCs/>
          <w:sz w:val="21"/>
          <w:szCs w:val="21"/>
        </w:rPr>
        <w:t>GUANAJUATO, GTO., A 23 DE JUNIO DE 2022.</w:t>
      </w:r>
    </w:p>
    <w:p w14:paraId="283B1BE1" w14:textId="77777777" w:rsidR="00253C44" w:rsidRPr="009A0883" w:rsidRDefault="00253C44" w:rsidP="00253C44">
      <w:pPr>
        <w:autoSpaceDE w:val="0"/>
        <w:autoSpaceDN w:val="0"/>
        <w:adjustRightInd w:val="0"/>
        <w:jc w:val="center"/>
        <w:rPr>
          <w:rFonts w:ascii="Abadi" w:hAnsi="Abadi" w:cs="TrebuchetMS-Bold"/>
          <w:b/>
          <w:bCs/>
          <w:sz w:val="21"/>
          <w:szCs w:val="21"/>
        </w:rPr>
      </w:pPr>
      <w:r w:rsidRPr="009A0883">
        <w:rPr>
          <w:rFonts w:ascii="Abadi" w:hAnsi="Abadi" w:cs="TrebuchetMS-Bold"/>
          <w:b/>
          <w:bCs/>
          <w:sz w:val="21"/>
          <w:szCs w:val="21"/>
        </w:rPr>
        <w:t>ATENTAMENTE.</w:t>
      </w:r>
    </w:p>
    <w:p w14:paraId="7EA952B6" w14:textId="77777777" w:rsidR="00253C44" w:rsidRPr="009A0883" w:rsidRDefault="00253C44" w:rsidP="00253C44">
      <w:pPr>
        <w:autoSpaceDE w:val="0"/>
        <w:autoSpaceDN w:val="0"/>
        <w:adjustRightInd w:val="0"/>
        <w:jc w:val="center"/>
        <w:rPr>
          <w:rFonts w:ascii="Abadi" w:hAnsi="Abadi" w:cs="TrebuchetMS-Bold"/>
          <w:b/>
          <w:bCs/>
          <w:sz w:val="21"/>
          <w:szCs w:val="21"/>
        </w:rPr>
      </w:pPr>
    </w:p>
    <w:p w14:paraId="40D7175D" w14:textId="77777777" w:rsidR="00253C44" w:rsidRPr="009A0883" w:rsidRDefault="00253C44" w:rsidP="00253C44">
      <w:pPr>
        <w:autoSpaceDE w:val="0"/>
        <w:autoSpaceDN w:val="0"/>
        <w:adjustRightInd w:val="0"/>
        <w:jc w:val="center"/>
        <w:rPr>
          <w:rFonts w:ascii="Abadi" w:hAnsi="Abadi" w:cs="TrebuchetMS-Bold"/>
          <w:b/>
          <w:bCs/>
          <w:sz w:val="21"/>
          <w:szCs w:val="21"/>
        </w:rPr>
      </w:pPr>
      <w:r w:rsidRPr="009A0883">
        <w:rPr>
          <w:rFonts w:ascii="Abadi" w:hAnsi="Abadi" w:cs="TrebuchetMS-Bold"/>
          <w:b/>
          <w:bCs/>
          <w:sz w:val="21"/>
          <w:szCs w:val="21"/>
        </w:rPr>
        <w:t>RUTH NOEMI TISCAREÑO AGOITIA.</w:t>
      </w:r>
    </w:p>
    <w:p w14:paraId="16A81F62" w14:textId="77777777" w:rsidR="00253C44" w:rsidRPr="009A0883" w:rsidRDefault="00253C44" w:rsidP="00253C44">
      <w:pPr>
        <w:autoSpaceDE w:val="0"/>
        <w:autoSpaceDN w:val="0"/>
        <w:adjustRightInd w:val="0"/>
        <w:jc w:val="center"/>
        <w:rPr>
          <w:rFonts w:ascii="Abadi" w:hAnsi="Abadi" w:cs="TrebuchetMS-Bold"/>
          <w:b/>
          <w:bCs/>
          <w:sz w:val="21"/>
          <w:szCs w:val="21"/>
        </w:rPr>
      </w:pPr>
      <w:r w:rsidRPr="009A0883">
        <w:rPr>
          <w:rFonts w:ascii="Abadi" w:hAnsi="Abadi" w:cs="TrebuchetMS-Bold"/>
          <w:b/>
          <w:bCs/>
          <w:sz w:val="21"/>
          <w:szCs w:val="21"/>
        </w:rPr>
        <w:t>DIPUTADA DE LA LXV LEGISLATURA DEL ESTADO DE GUANAJUATO.</w:t>
      </w:r>
    </w:p>
    <w:p w14:paraId="4AC8A8D9" w14:textId="77777777" w:rsidR="00253C44" w:rsidRPr="009A0883" w:rsidRDefault="00253C44" w:rsidP="00253C44">
      <w:pPr>
        <w:autoSpaceDE w:val="0"/>
        <w:autoSpaceDN w:val="0"/>
        <w:adjustRightInd w:val="0"/>
        <w:jc w:val="center"/>
        <w:rPr>
          <w:rFonts w:ascii="Abadi" w:hAnsi="Abadi" w:cs="TrebuchetMS-Bold"/>
          <w:b/>
          <w:bCs/>
          <w:sz w:val="21"/>
          <w:szCs w:val="21"/>
        </w:rPr>
      </w:pPr>
      <w:r w:rsidRPr="009A0883">
        <w:rPr>
          <w:rFonts w:ascii="Abadi" w:hAnsi="Abadi" w:cs="TrebuchetMS-Bold"/>
          <w:b/>
          <w:bCs/>
          <w:sz w:val="21"/>
          <w:szCs w:val="21"/>
        </w:rPr>
        <w:t>ALEJANDRO ARIAS AVILA.</w:t>
      </w:r>
    </w:p>
    <w:p w14:paraId="0F027A28" w14:textId="77777777" w:rsidR="00253C44" w:rsidRPr="009A0883" w:rsidRDefault="00253C44" w:rsidP="00253C44">
      <w:pPr>
        <w:autoSpaceDE w:val="0"/>
        <w:autoSpaceDN w:val="0"/>
        <w:adjustRightInd w:val="0"/>
        <w:jc w:val="center"/>
        <w:rPr>
          <w:rFonts w:ascii="Abadi" w:hAnsi="Abadi" w:cs="TrebuchetMS-Bold"/>
          <w:b/>
          <w:bCs/>
          <w:sz w:val="21"/>
          <w:szCs w:val="21"/>
        </w:rPr>
      </w:pPr>
      <w:r w:rsidRPr="009A0883">
        <w:rPr>
          <w:rFonts w:ascii="Abadi" w:hAnsi="Abadi" w:cs="TrebuchetMS-Bold"/>
          <w:b/>
          <w:bCs/>
          <w:sz w:val="21"/>
          <w:szCs w:val="21"/>
        </w:rPr>
        <w:t>DIPUTADO DE LA LXV LEGISLATURA DEL ESTADO DE GUANAJUATO.</w:t>
      </w:r>
    </w:p>
    <w:p w14:paraId="6D150487" w14:textId="77777777" w:rsidR="00253C44" w:rsidRPr="009A0883" w:rsidRDefault="00253C44" w:rsidP="00253C44">
      <w:pPr>
        <w:autoSpaceDE w:val="0"/>
        <w:autoSpaceDN w:val="0"/>
        <w:adjustRightInd w:val="0"/>
        <w:jc w:val="center"/>
        <w:rPr>
          <w:rFonts w:ascii="Abadi" w:hAnsi="Abadi" w:cs="TrebuchetMS-Bold"/>
          <w:b/>
          <w:bCs/>
          <w:sz w:val="21"/>
          <w:szCs w:val="21"/>
        </w:rPr>
      </w:pPr>
      <w:r w:rsidRPr="009A0883">
        <w:rPr>
          <w:rFonts w:ascii="Abadi" w:hAnsi="Abadi" w:cs="TrebuchetMS-Bold"/>
          <w:b/>
          <w:bCs/>
          <w:sz w:val="21"/>
          <w:szCs w:val="21"/>
        </w:rPr>
        <w:t>GUSTAVO ADOLFO ALFARO REYES.</w:t>
      </w:r>
    </w:p>
    <w:p w14:paraId="5A5BB17E" w14:textId="77777777" w:rsidR="00253C44" w:rsidRPr="009A0883" w:rsidRDefault="00253C44" w:rsidP="00253C44">
      <w:pPr>
        <w:autoSpaceDE w:val="0"/>
        <w:autoSpaceDN w:val="0"/>
        <w:adjustRightInd w:val="0"/>
        <w:jc w:val="center"/>
        <w:rPr>
          <w:rFonts w:ascii="Abadi" w:hAnsi="Abadi" w:cs="TrebuchetMS"/>
          <w:sz w:val="21"/>
          <w:szCs w:val="21"/>
        </w:rPr>
      </w:pPr>
      <w:r w:rsidRPr="009A0883">
        <w:rPr>
          <w:rFonts w:ascii="Abadi" w:hAnsi="Abadi" w:cs="TrebuchetMS-Bold"/>
          <w:b/>
          <w:bCs/>
          <w:sz w:val="21"/>
          <w:szCs w:val="21"/>
        </w:rPr>
        <w:t>DIPUTADO DE LA LXV LEGISLATURA DEL ESTADO DE GUANAJUATO.</w:t>
      </w:r>
    </w:p>
    <w:p w14:paraId="0AB511C2" w14:textId="77777777" w:rsidR="00253C44" w:rsidRPr="009A0883" w:rsidRDefault="00253C44" w:rsidP="00253C44">
      <w:pPr>
        <w:autoSpaceDE w:val="0"/>
        <w:autoSpaceDN w:val="0"/>
        <w:adjustRightInd w:val="0"/>
        <w:jc w:val="center"/>
        <w:rPr>
          <w:rFonts w:ascii="Abadi" w:hAnsi="Abadi" w:cs="TrebuchetMS-Bold"/>
          <w:b/>
          <w:bCs/>
          <w:sz w:val="21"/>
          <w:szCs w:val="21"/>
        </w:rPr>
      </w:pPr>
    </w:p>
    <w:p w14:paraId="796207F0" w14:textId="77777777" w:rsidR="00B26DC2" w:rsidRPr="00B26DC2" w:rsidRDefault="00B26DC2" w:rsidP="00B26DC2">
      <w:pPr>
        <w:pStyle w:val="Prrafodelista"/>
        <w:rPr>
          <w:rFonts w:ascii="Abadi" w:hAnsi="Abadi"/>
          <w:b/>
          <w:bCs/>
          <w:sz w:val="20"/>
          <w:szCs w:val="20"/>
        </w:rPr>
      </w:pPr>
    </w:p>
    <w:p w14:paraId="2FF1ACBB" w14:textId="4CD8EA5D" w:rsidR="00B26DC2" w:rsidRDefault="00B26DC2" w:rsidP="005433FA">
      <w:pPr>
        <w:pStyle w:val="Prrafodelista"/>
        <w:numPr>
          <w:ilvl w:val="0"/>
          <w:numId w:val="9"/>
        </w:numPr>
        <w:tabs>
          <w:tab w:val="left" w:pos="845"/>
        </w:tabs>
        <w:kinsoku w:val="0"/>
        <w:overflowPunct w:val="0"/>
        <w:autoSpaceDE w:val="0"/>
        <w:autoSpaceDN w:val="0"/>
        <w:adjustRightInd w:val="0"/>
        <w:spacing w:before="220"/>
        <w:ind w:right="17"/>
        <w:jc w:val="both"/>
        <w:rPr>
          <w:rFonts w:ascii="Abadi" w:hAnsi="Abadi"/>
          <w:b/>
          <w:bCs/>
          <w:sz w:val="20"/>
          <w:szCs w:val="20"/>
        </w:rPr>
      </w:pPr>
      <w:r w:rsidRPr="00531B12">
        <w:rPr>
          <w:rFonts w:ascii="Abadi" w:hAnsi="Abadi"/>
          <w:b/>
          <w:bCs/>
          <w:sz w:val="20"/>
          <w:szCs w:val="20"/>
        </w:rPr>
        <w:t>PRESENTACIÓN</w:t>
      </w:r>
      <w:r w:rsidRPr="00531B12">
        <w:rPr>
          <w:rFonts w:ascii="Abadi" w:hAnsi="Abadi"/>
          <w:b/>
          <w:bCs/>
          <w:spacing w:val="21"/>
          <w:sz w:val="20"/>
          <w:szCs w:val="20"/>
        </w:rPr>
        <w:t xml:space="preserve"> </w:t>
      </w:r>
      <w:r w:rsidRPr="00531B12">
        <w:rPr>
          <w:rFonts w:ascii="Abadi" w:hAnsi="Abadi"/>
          <w:b/>
          <w:bCs/>
          <w:sz w:val="20"/>
          <w:szCs w:val="20"/>
        </w:rPr>
        <w:t>DE</w:t>
      </w:r>
      <w:r w:rsidRPr="00531B12">
        <w:rPr>
          <w:rFonts w:ascii="Abadi" w:hAnsi="Abadi"/>
          <w:b/>
          <w:bCs/>
          <w:spacing w:val="21"/>
          <w:sz w:val="20"/>
          <w:szCs w:val="20"/>
        </w:rPr>
        <w:t xml:space="preserve"> </w:t>
      </w:r>
      <w:r w:rsidRPr="00531B12">
        <w:rPr>
          <w:rFonts w:ascii="Abadi" w:hAnsi="Abadi"/>
          <w:b/>
          <w:bCs/>
          <w:sz w:val="20"/>
          <w:szCs w:val="20"/>
        </w:rPr>
        <w:t>LA</w:t>
      </w:r>
      <w:r w:rsidRPr="00531B12">
        <w:rPr>
          <w:rFonts w:ascii="Abadi" w:hAnsi="Abadi"/>
          <w:b/>
          <w:bCs/>
          <w:spacing w:val="21"/>
          <w:sz w:val="20"/>
          <w:szCs w:val="20"/>
        </w:rPr>
        <w:t xml:space="preserve"> </w:t>
      </w:r>
      <w:r w:rsidRPr="00531B12">
        <w:rPr>
          <w:rFonts w:ascii="Abadi" w:hAnsi="Abadi"/>
          <w:b/>
          <w:bCs/>
          <w:sz w:val="20"/>
          <w:szCs w:val="20"/>
        </w:rPr>
        <w:t>INICIATIVA</w:t>
      </w:r>
      <w:r w:rsidRPr="00531B12">
        <w:rPr>
          <w:rFonts w:ascii="Abadi" w:hAnsi="Abadi"/>
          <w:b/>
          <w:bCs/>
          <w:spacing w:val="21"/>
          <w:sz w:val="20"/>
          <w:szCs w:val="20"/>
        </w:rPr>
        <w:t xml:space="preserve"> </w:t>
      </w:r>
      <w:r w:rsidRPr="00531B12">
        <w:rPr>
          <w:rFonts w:ascii="Abadi" w:hAnsi="Abadi"/>
          <w:b/>
          <w:bCs/>
          <w:sz w:val="20"/>
          <w:szCs w:val="20"/>
        </w:rPr>
        <w:t>SUSCRITA</w:t>
      </w:r>
      <w:r w:rsidRPr="00531B12">
        <w:rPr>
          <w:rFonts w:ascii="Abadi" w:hAnsi="Abadi"/>
          <w:b/>
          <w:bCs/>
          <w:spacing w:val="21"/>
          <w:sz w:val="20"/>
          <w:szCs w:val="20"/>
        </w:rPr>
        <w:t xml:space="preserve"> </w:t>
      </w:r>
      <w:r w:rsidRPr="00531B12">
        <w:rPr>
          <w:rFonts w:ascii="Abadi" w:hAnsi="Abadi"/>
          <w:b/>
          <w:bCs/>
          <w:sz w:val="20"/>
          <w:szCs w:val="20"/>
        </w:rPr>
        <w:t>POR</w:t>
      </w:r>
      <w:r w:rsidRPr="00531B12">
        <w:rPr>
          <w:rFonts w:ascii="Abadi" w:hAnsi="Abadi"/>
          <w:b/>
          <w:bCs/>
          <w:spacing w:val="20"/>
          <w:sz w:val="20"/>
          <w:szCs w:val="20"/>
        </w:rPr>
        <w:t xml:space="preserve"> </w:t>
      </w:r>
      <w:r w:rsidRPr="00531B12">
        <w:rPr>
          <w:rFonts w:ascii="Abadi" w:hAnsi="Abadi"/>
          <w:b/>
          <w:bCs/>
          <w:sz w:val="20"/>
          <w:szCs w:val="20"/>
        </w:rPr>
        <w:t>LA</w:t>
      </w:r>
      <w:r w:rsidRPr="00531B12">
        <w:rPr>
          <w:rFonts w:ascii="Abadi" w:hAnsi="Abadi"/>
          <w:b/>
          <w:bCs/>
          <w:spacing w:val="21"/>
          <w:sz w:val="20"/>
          <w:szCs w:val="20"/>
        </w:rPr>
        <w:t xml:space="preserve"> </w:t>
      </w:r>
      <w:r w:rsidRPr="00531B12">
        <w:rPr>
          <w:rFonts w:ascii="Abadi" w:hAnsi="Abadi"/>
          <w:b/>
          <w:bCs/>
          <w:sz w:val="20"/>
          <w:szCs w:val="20"/>
        </w:rPr>
        <w:t>DIPUTADA</w:t>
      </w:r>
      <w:r w:rsidRPr="00531B12">
        <w:rPr>
          <w:rFonts w:ascii="Abadi" w:hAnsi="Abadi"/>
          <w:b/>
          <w:bCs/>
          <w:spacing w:val="21"/>
          <w:sz w:val="20"/>
          <w:szCs w:val="20"/>
        </w:rPr>
        <w:t xml:space="preserve"> </w:t>
      </w:r>
      <w:r w:rsidRPr="00531B12">
        <w:rPr>
          <w:rFonts w:ascii="Abadi" w:hAnsi="Abadi"/>
          <w:b/>
          <w:bCs/>
          <w:sz w:val="20"/>
          <w:szCs w:val="20"/>
        </w:rPr>
        <w:t>MARTHA</w:t>
      </w:r>
      <w:r w:rsidRPr="00531B12">
        <w:rPr>
          <w:rFonts w:ascii="Abadi" w:hAnsi="Abadi"/>
          <w:b/>
          <w:bCs/>
          <w:spacing w:val="21"/>
          <w:sz w:val="20"/>
          <w:szCs w:val="20"/>
        </w:rPr>
        <w:t xml:space="preserve"> </w:t>
      </w:r>
      <w:r w:rsidRPr="00531B12">
        <w:rPr>
          <w:rFonts w:ascii="Abadi" w:hAnsi="Abadi"/>
          <w:b/>
          <w:bCs/>
          <w:sz w:val="20"/>
          <w:szCs w:val="20"/>
        </w:rPr>
        <w:t>EDITH</w:t>
      </w:r>
      <w:r w:rsidRPr="00531B12">
        <w:rPr>
          <w:rFonts w:ascii="Abadi" w:hAnsi="Abadi"/>
          <w:b/>
          <w:bCs/>
          <w:spacing w:val="21"/>
          <w:sz w:val="20"/>
          <w:szCs w:val="20"/>
        </w:rPr>
        <w:t xml:space="preserve"> </w:t>
      </w:r>
      <w:r w:rsidRPr="00531B12">
        <w:rPr>
          <w:rFonts w:ascii="Abadi" w:hAnsi="Abadi"/>
          <w:b/>
          <w:bCs/>
          <w:sz w:val="20"/>
          <w:szCs w:val="20"/>
        </w:rPr>
        <w:t>MORENO</w:t>
      </w:r>
      <w:r w:rsidRPr="00531B12">
        <w:rPr>
          <w:rFonts w:ascii="Abadi" w:hAnsi="Abadi"/>
          <w:b/>
          <w:bCs/>
          <w:spacing w:val="-1"/>
          <w:sz w:val="20"/>
          <w:szCs w:val="20"/>
        </w:rPr>
        <w:t xml:space="preserve"> </w:t>
      </w:r>
      <w:r w:rsidRPr="00531B12">
        <w:rPr>
          <w:rFonts w:ascii="Abadi" w:hAnsi="Abadi"/>
          <w:b/>
          <w:bCs/>
          <w:sz w:val="20"/>
          <w:szCs w:val="20"/>
        </w:rPr>
        <w:t>VALENCIA</w:t>
      </w:r>
      <w:r w:rsidRPr="00531B12">
        <w:rPr>
          <w:rFonts w:ascii="Abadi" w:hAnsi="Abadi"/>
          <w:b/>
          <w:bCs/>
          <w:spacing w:val="26"/>
          <w:sz w:val="20"/>
          <w:szCs w:val="20"/>
        </w:rPr>
        <w:t xml:space="preserve"> </w:t>
      </w:r>
      <w:r w:rsidRPr="00531B12">
        <w:rPr>
          <w:rFonts w:ascii="Abadi" w:hAnsi="Abadi"/>
          <w:b/>
          <w:bCs/>
          <w:sz w:val="20"/>
          <w:szCs w:val="20"/>
        </w:rPr>
        <w:t>INTEGRANTE</w:t>
      </w:r>
      <w:r w:rsidRPr="00531B12">
        <w:rPr>
          <w:rFonts w:ascii="Abadi" w:hAnsi="Abadi"/>
          <w:b/>
          <w:bCs/>
          <w:spacing w:val="26"/>
          <w:sz w:val="20"/>
          <w:szCs w:val="20"/>
        </w:rPr>
        <w:t xml:space="preserve"> </w:t>
      </w:r>
      <w:r w:rsidRPr="00531B12">
        <w:rPr>
          <w:rFonts w:ascii="Abadi" w:hAnsi="Abadi"/>
          <w:b/>
          <w:bCs/>
          <w:sz w:val="20"/>
          <w:szCs w:val="20"/>
        </w:rPr>
        <w:t>DEL</w:t>
      </w:r>
      <w:r w:rsidRPr="00531B12">
        <w:rPr>
          <w:rFonts w:ascii="Abadi" w:hAnsi="Abadi"/>
          <w:b/>
          <w:bCs/>
          <w:spacing w:val="26"/>
          <w:sz w:val="20"/>
          <w:szCs w:val="20"/>
        </w:rPr>
        <w:t xml:space="preserve"> </w:t>
      </w:r>
      <w:r w:rsidRPr="00531B12">
        <w:rPr>
          <w:rFonts w:ascii="Abadi" w:hAnsi="Abadi"/>
          <w:b/>
          <w:bCs/>
          <w:sz w:val="20"/>
          <w:szCs w:val="20"/>
        </w:rPr>
        <w:t>GRUPO</w:t>
      </w:r>
      <w:r w:rsidRPr="00531B12">
        <w:rPr>
          <w:rFonts w:ascii="Abadi" w:hAnsi="Abadi"/>
          <w:b/>
          <w:bCs/>
          <w:spacing w:val="26"/>
          <w:sz w:val="20"/>
          <w:szCs w:val="20"/>
        </w:rPr>
        <w:t xml:space="preserve"> </w:t>
      </w:r>
      <w:r w:rsidRPr="00531B12">
        <w:rPr>
          <w:rFonts w:ascii="Abadi" w:hAnsi="Abadi"/>
          <w:b/>
          <w:bCs/>
          <w:sz w:val="20"/>
          <w:szCs w:val="20"/>
        </w:rPr>
        <w:t>PARLAMENTARIO</w:t>
      </w:r>
      <w:r w:rsidRPr="00531B12">
        <w:rPr>
          <w:rFonts w:ascii="Abadi" w:hAnsi="Abadi"/>
          <w:b/>
          <w:bCs/>
          <w:spacing w:val="26"/>
          <w:sz w:val="20"/>
          <w:szCs w:val="20"/>
        </w:rPr>
        <w:t xml:space="preserve"> </w:t>
      </w:r>
      <w:r w:rsidRPr="00531B12">
        <w:rPr>
          <w:rFonts w:ascii="Abadi" w:hAnsi="Abadi"/>
          <w:b/>
          <w:bCs/>
          <w:sz w:val="20"/>
          <w:szCs w:val="20"/>
        </w:rPr>
        <w:t>DEL</w:t>
      </w:r>
      <w:r w:rsidRPr="00531B12">
        <w:rPr>
          <w:rFonts w:ascii="Abadi" w:hAnsi="Abadi"/>
          <w:b/>
          <w:bCs/>
          <w:spacing w:val="26"/>
          <w:sz w:val="20"/>
          <w:szCs w:val="20"/>
        </w:rPr>
        <w:t xml:space="preserve"> </w:t>
      </w:r>
      <w:r w:rsidRPr="00531B12">
        <w:rPr>
          <w:rFonts w:ascii="Abadi" w:hAnsi="Abadi"/>
          <w:b/>
          <w:bCs/>
          <w:sz w:val="20"/>
          <w:szCs w:val="20"/>
        </w:rPr>
        <w:t>PARTIDO</w:t>
      </w:r>
      <w:r w:rsidRPr="00531B12">
        <w:rPr>
          <w:rFonts w:ascii="Abadi" w:hAnsi="Abadi"/>
          <w:b/>
          <w:bCs/>
          <w:spacing w:val="26"/>
          <w:sz w:val="20"/>
          <w:szCs w:val="20"/>
        </w:rPr>
        <w:t xml:space="preserve"> </w:t>
      </w:r>
      <w:r w:rsidRPr="00531B12">
        <w:rPr>
          <w:rFonts w:ascii="Abadi" w:hAnsi="Abadi"/>
          <w:b/>
          <w:bCs/>
          <w:sz w:val="20"/>
          <w:szCs w:val="20"/>
        </w:rPr>
        <w:t>MORENA,</w:t>
      </w:r>
      <w:r w:rsidRPr="00531B12">
        <w:rPr>
          <w:rFonts w:ascii="Abadi" w:hAnsi="Abadi"/>
          <w:b/>
          <w:bCs/>
          <w:spacing w:val="26"/>
          <w:sz w:val="20"/>
          <w:szCs w:val="20"/>
        </w:rPr>
        <w:t xml:space="preserve"> </w:t>
      </w:r>
      <w:r w:rsidRPr="00531B12">
        <w:rPr>
          <w:rFonts w:ascii="Abadi" w:hAnsi="Abadi"/>
          <w:b/>
          <w:bCs/>
          <w:sz w:val="20"/>
          <w:szCs w:val="20"/>
        </w:rPr>
        <w:t>POR</w:t>
      </w:r>
      <w:r w:rsidRPr="00531B12">
        <w:rPr>
          <w:rFonts w:ascii="Abadi" w:hAnsi="Abadi"/>
          <w:b/>
          <w:bCs/>
          <w:spacing w:val="26"/>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QUE</w:t>
      </w:r>
      <w:r w:rsidRPr="00531B12">
        <w:rPr>
          <w:rFonts w:ascii="Abadi" w:hAnsi="Abadi"/>
          <w:b/>
          <w:bCs/>
          <w:spacing w:val="15"/>
          <w:sz w:val="20"/>
          <w:szCs w:val="20"/>
        </w:rPr>
        <w:t xml:space="preserve"> </w:t>
      </w:r>
      <w:r w:rsidRPr="00531B12">
        <w:rPr>
          <w:rFonts w:ascii="Abadi" w:hAnsi="Abadi"/>
          <w:b/>
          <w:bCs/>
          <w:sz w:val="20"/>
          <w:szCs w:val="20"/>
        </w:rPr>
        <w:t>SE</w:t>
      </w:r>
      <w:r w:rsidRPr="00531B12">
        <w:rPr>
          <w:rFonts w:ascii="Abadi" w:hAnsi="Abadi"/>
          <w:b/>
          <w:bCs/>
          <w:spacing w:val="15"/>
          <w:sz w:val="20"/>
          <w:szCs w:val="20"/>
        </w:rPr>
        <w:t xml:space="preserve"> </w:t>
      </w:r>
      <w:r w:rsidRPr="00531B12">
        <w:rPr>
          <w:rFonts w:ascii="Abadi" w:hAnsi="Abadi"/>
          <w:b/>
          <w:bCs/>
          <w:sz w:val="20"/>
          <w:szCs w:val="20"/>
        </w:rPr>
        <w:t>REFORMA</w:t>
      </w:r>
      <w:r w:rsidRPr="00531B12">
        <w:rPr>
          <w:rFonts w:ascii="Abadi" w:hAnsi="Abadi"/>
          <w:b/>
          <w:bCs/>
          <w:spacing w:val="15"/>
          <w:sz w:val="20"/>
          <w:szCs w:val="20"/>
        </w:rPr>
        <w:t xml:space="preserve"> </w:t>
      </w:r>
      <w:r w:rsidRPr="00531B12">
        <w:rPr>
          <w:rFonts w:ascii="Abadi" w:hAnsi="Abadi"/>
          <w:b/>
          <w:bCs/>
          <w:sz w:val="20"/>
          <w:szCs w:val="20"/>
        </w:rPr>
        <w:t>EL</w:t>
      </w:r>
      <w:r w:rsidRPr="00531B12">
        <w:rPr>
          <w:rFonts w:ascii="Abadi" w:hAnsi="Abadi"/>
          <w:b/>
          <w:bCs/>
          <w:spacing w:val="15"/>
          <w:sz w:val="20"/>
          <w:szCs w:val="20"/>
        </w:rPr>
        <w:t xml:space="preserve"> </w:t>
      </w:r>
      <w:r w:rsidRPr="00531B12">
        <w:rPr>
          <w:rFonts w:ascii="Abadi" w:hAnsi="Abadi"/>
          <w:b/>
          <w:bCs/>
          <w:sz w:val="20"/>
          <w:szCs w:val="20"/>
        </w:rPr>
        <w:t>ÚLTIMO</w:t>
      </w:r>
      <w:r w:rsidRPr="00531B12">
        <w:rPr>
          <w:rFonts w:ascii="Abadi" w:hAnsi="Abadi"/>
          <w:b/>
          <w:bCs/>
          <w:spacing w:val="15"/>
          <w:sz w:val="20"/>
          <w:szCs w:val="20"/>
        </w:rPr>
        <w:t xml:space="preserve"> </w:t>
      </w:r>
      <w:r w:rsidRPr="00531B12">
        <w:rPr>
          <w:rFonts w:ascii="Abadi" w:hAnsi="Abadi"/>
          <w:b/>
          <w:bCs/>
          <w:sz w:val="20"/>
          <w:szCs w:val="20"/>
        </w:rPr>
        <w:t>PÁRRAFO</w:t>
      </w:r>
      <w:r w:rsidRPr="00531B12">
        <w:rPr>
          <w:rFonts w:ascii="Abadi" w:hAnsi="Abadi"/>
          <w:b/>
          <w:bCs/>
          <w:spacing w:val="15"/>
          <w:sz w:val="20"/>
          <w:szCs w:val="20"/>
        </w:rPr>
        <w:t xml:space="preserve"> </w:t>
      </w:r>
      <w:r w:rsidRPr="00531B12">
        <w:rPr>
          <w:rFonts w:ascii="Abadi" w:hAnsi="Abadi"/>
          <w:b/>
          <w:bCs/>
          <w:sz w:val="20"/>
          <w:szCs w:val="20"/>
        </w:rPr>
        <w:t>Y</w:t>
      </w:r>
      <w:r w:rsidRPr="00531B12">
        <w:rPr>
          <w:rFonts w:ascii="Abadi" w:hAnsi="Abadi"/>
          <w:b/>
          <w:bCs/>
          <w:spacing w:val="15"/>
          <w:sz w:val="20"/>
          <w:szCs w:val="20"/>
        </w:rPr>
        <w:t xml:space="preserve"> </w:t>
      </w:r>
      <w:r w:rsidRPr="00531B12">
        <w:rPr>
          <w:rFonts w:ascii="Abadi" w:hAnsi="Abadi"/>
          <w:b/>
          <w:bCs/>
          <w:sz w:val="20"/>
          <w:szCs w:val="20"/>
        </w:rPr>
        <w:t>SE</w:t>
      </w:r>
      <w:r w:rsidRPr="00531B12">
        <w:rPr>
          <w:rFonts w:ascii="Abadi" w:hAnsi="Abadi"/>
          <w:b/>
          <w:bCs/>
          <w:spacing w:val="15"/>
          <w:sz w:val="20"/>
          <w:szCs w:val="20"/>
        </w:rPr>
        <w:t xml:space="preserve"> </w:t>
      </w:r>
      <w:r w:rsidRPr="00531B12">
        <w:rPr>
          <w:rFonts w:ascii="Abadi" w:hAnsi="Abadi"/>
          <w:b/>
          <w:bCs/>
          <w:sz w:val="20"/>
          <w:szCs w:val="20"/>
        </w:rPr>
        <w:t>ADICIONA</w:t>
      </w:r>
      <w:r w:rsidRPr="00531B12">
        <w:rPr>
          <w:rFonts w:ascii="Abadi" w:hAnsi="Abadi"/>
          <w:b/>
          <w:bCs/>
          <w:spacing w:val="15"/>
          <w:sz w:val="20"/>
          <w:szCs w:val="20"/>
        </w:rPr>
        <w:t xml:space="preserve"> </w:t>
      </w:r>
      <w:r w:rsidRPr="00531B12">
        <w:rPr>
          <w:rFonts w:ascii="Abadi" w:hAnsi="Abadi"/>
          <w:b/>
          <w:bCs/>
          <w:sz w:val="20"/>
          <w:szCs w:val="20"/>
        </w:rPr>
        <w:t>LA</w:t>
      </w:r>
      <w:r w:rsidRPr="00531B12">
        <w:rPr>
          <w:rFonts w:ascii="Abadi" w:hAnsi="Abadi"/>
          <w:b/>
          <w:bCs/>
          <w:spacing w:val="15"/>
          <w:sz w:val="20"/>
          <w:szCs w:val="20"/>
        </w:rPr>
        <w:t xml:space="preserve"> </w:t>
      </w:r>
      <w:r w:rsidRPr="00531B12">
        <w:rPr>
          <w:rFonts w:ascii="Abadi" w:hAnsi="Abadi"/>
          <w:b/>
          <w:bCs/>
          <w:sz w:val="20"/>
          <w:szCs w:val="20"/>
        </w:rPr>
        <w:t>FRACCIÓN</w:t>
      </w:r>
      <w:r w:rsidRPr="00531B12">
        <w:rPr>
          <w:rFonts w:ascii="Abadi" w:hAnsi="Abadi"/>
          <w:b/>
          <w:bCs/>
          <w:spacing w:val="15"/>
          <w:sz w:val="20"/>
          <w:szCs w:val="20"/>
        </w:rPr>
        <w:t xml:space="preserve"> </w:t>
      </w:r>
      <w:r w:rsidRPr="00531B12">
        <w:rPr>
          <w:rFonts w:ascii="Abadi" w:hAnsi="Abadi"/>
          <w:b/>
          <w:bCs/>
          <w:sz w:val="20"/>
          <w:szCs w:val="20"/>
        </w:rPr>
        <w:t>XI</w:t>
      </w:r>
      <w:r w:rsidRPr="00531B12">
        <w:rPr>
          <w:rFonts w:ascii="Abadi" w:hAnsi="Abadi"/>
          <w:b/>
          <w:bCs/>
          <w:spacing w:val="15"/>
          <w:sz w:val="20"/>
          <w:szCs w:val="20"/>
        </w:rPr>
        <w:t xml:space="preserve"> </w:t>
      </w:r>
      <w:r w:rsidRPr="00531B12">
        <w:rPr>
          <w:rFonts w:ascii="Abadi" w:hAnsi="Abadi"/>
          <w:b/>
          <w:bCs/>
          <w:sz w:val="20"/>
          <w:szCs w:val="20"/>
        </w:rPr>
        <w:t>RECORRIÉNDOSE</w:t>
      </w:r>
      <w:r w:rsidRPr="00531B12">
        <w:rPr>
          <w:rFonts w:ascii="Abadi" w:hAnsi="Abadi"/>
          <w:b/>
          <w:bCs/>
          <w:spacing w:val="-1"/>
          <w:sz w:val="20"/>
          <w:szCs w:val="20"/>
        </w:rPr>
        <w:t xml:space="preserve"> </w:t>
      </w:r>
      <w:r w:rsidRPr="00531B12">
        <w:rPr>
          <w:rFonts w:ascii="Abadi" w:hAnsi="Abadi"/>
          <w:b/>
          <w:bCs/>
          <w:sz w:val="20"/>
          <w:szCs w:val="20"/>
        </w:rPr>
        <w:t>LAS</w:t>
      </w:r>
      <w:r w:rsidRPr="00531B12">
        <w:rPr>
          <w:rFonts w:ascii="Abadi" w:hAnsi="Abadi"/>
          <w:b/>
          <w:bCs/>
          <w:spacing w:val="-4"/>
          <w:sz w:val="20"/>
          <w:szCs w:val="20"/>
        </w:rPr>
        <w:t xml:space="preserve"> </w:t>
      </w:r>
      <w:r w:rsidRPr="00531B12">
        <w:rPr>
          <w:rFonts w:ascii="Abadi" w:hAnsi="Abadi"/>
          <w:b/>
          <w:bCs/>
          <w:sz w:val="20"/>
          <w:szCs w:val="20"/>
        </w:rPr>
        <w:t>SUBSECUENTES</w:t>
      </w:r>
      <w:r w:rsidRPr="00531B12">
        <w:rPr>
          <w:rFonts w:ascii="Abadi" w:hAnsi="Abadi"/>
          <w:b/>
          <w:bCs/>
          <w:spacing w:val="-4"/>
          <w:sz w:val="20"/>
          <w:szCs w:val="20"/>
        </w:rPr>
        <w:t xml:space="preserve"> </w:t>
      </w:r>
      <w:r w:rsidRPr="00531B12">
        <w:rPr>
          <w:rFonts w:ascii="Abadi" w:hAnsi="Abadi"/>
          <w:b/>
          <w:bCs/>
          <w:sz w:val="20"/>
          <w:szCs w:val="20"/>
        </w:rPr>
        <w:t>AL</w:t>
      </w:r>
      <w:r w:rsidRPr="00531B12">
        <w:rPr>
          <w:rFonts w:ascii="Abadi" w:hAnsi="Abadi"/>
          <w:b/>
          <w:bCs/>
          <w:spacing w:val="-4"/>
          <w:sz w:val="20"/>
          <w:szCs w:val="20"/>
        </w:rPr>
        <w:t xml:space="preserve"> </w:t>
      </w:r>
      <w:r w:rsidRPr="00531B12">
        <w:rPr>
          <w:rFonts w:ascii="Abadi" w:hAnsi="Abadi"/>
          <w:b/>
          <w:bCs/>
          <w:sz w:val="20"/>
          <w:szCs w:val="20"/>
        </w:rPr>
        <w:t>ARTÍCULO</w:t>
      </w:r>
      <w:r w:rsidRPr="00531B12">
        <w:rPr>
          <w:rFonts w:ascii="Abadi" w:hAnsi="Abadi"/>
          <w:b/>
          <w:bCs/>
          <w:spacing w:val="-4"/>
          <w:sz w:val="20"/>
          <w:szCs w:val="20"/>
        </w:rPr>
        <w:t xml:space="preserve"> </w:t>
      </w:r>
      <w:r w:rsidRPr="00531B12">
        <w:rPr>
          <w:rFonts w:ascii="Abadi" w:hAnsi="Abadi"/>
          <w:b/>
          <w:bCs/>
          <w:sz w:val="20"/>
          <w:szCs w:val="20"/>
        </w:rPr>
        <w:t>124</w:t>
      </w:r>
      <w:r w:rsidRPr="00531B12">
        <w:rPr>
          <w:rFonts w:ascii="Abadi" w:hAnsi="Abadi"/>
          <w:b/>
          <w:bCs/>
          <w:spacing w:val="-4"/>
          <w:sz w:val="20"/>
          <w:szCs w:val="20"/>
        </w:rPr>
        <w:t xml:space="preserve"> </w:t>
      </w:r>
      <w:r w:rsidRPr="00531B12">
        <w:rPr>
          <w:rFonts w:ascii="Abadi" w:hAnsi="Abadi"/>
          <w:b/>
          <w:bCs/>
          <w:sz w:val="20"/>
          <w:szCs w:val="20"/>
        </w:rPr>
        <w:t>Y</w:t>
      </w:r>
      <w:r w:rsidRPr="00531B12">
        <w:rPr>
          <w:rFonts w:ascii="Abadi" w:hAnsi="Abadi"/>
          <w:b/>
          <w:bCs/>
          <w:spacing w:val="-4"/>
          <w:sz w:val="20"/>
          <w:szCs w:val="20"/>
        </w:rPr>
        <w:t xml:space="preserve"> </w:t>
      </w:r>
      <w:r w:rsidRPr="00531B12">
        <w:rPr>
          <w:rFonts w:ascii="Abadi" w:hAnsi="Abadi"/>
          <w:b/>
          <w:bCs/>
          <w:sz w:val="20"/>
          <w:szCs w:val="20"/>
        </w:rPr>
        <w:t>SE</w:t>
      </w:r>
      <w:r w:rsidRPr="00531B12">
        <w:rPr>
          <w:rFonts w:ascii="Abadi" w:hAnsi="Abadi"/>
          <w:b/>
          <w:bCs/>
          <w:spacing w:val="-4"/>
          <w:sz w:val="20"/>
          <w:szCs w:val="20"/>
        </w:rPr>
        <w:t xml:space="preserve"> </w:t>
      </w:r>
      <w:r w:rsidRPr="00531B12">
        <w:rPr>
          <w:rFonts w:ascii="Abadi" w:hAnsi="Abadi"/>
          <w:b/>
          <w:bCs/>
          <w:sz w:val="20"/>
          <w:szCs w:val="20"/>
        </w:rPr>
        <w:t>ADICIONA</w:t>
      </w:r>
      <w:r w:rsidRPr="00531B12">
        <w:rPr>
          <w:rFonts w:ascii="Abadi" w:hAnsi="Abadi"/>
          <w:b/>
          <w:bCs/>
          <w:spacing w:val="-3"/>
          <w:sz w:val="20"/>
          <w:szCs w:val="20"/>
        </w:rPr>
        <w:t xml:space="preserve"> </w:t>
      </w:r>
      <w:r w:rsidRPr="00531B12">
        <w:rPr>
          <w:rFonts w:ascii="Abadi" w:hAnsi="Abadi"/>
          <w:b/>
          <w:bCs/>
          <w:sz w:val="20"/>
          <w:szCs w:val="20"/>
        </w:rPr>
        <w:t>EL</w:t>
      </w:r>
      <w:r w:rsidRPr="00531B12">
        <w:rPr>
          <w:rFonts w:ascii="Abadi" w:hAnsi="Abadi"/>
          <w:b/>
          <w:bCs/>
          <w:spacing w:val="-4"/>
          <w:sz w:val="20"/>
          <w:szCs w:val="20"/>
        </w:rPr>
        <w:t xml:space="preserve"> </w:t>
      </w:r>
      <w:r w:rsidRPr="00531B12">
        <w:rPr>
          <w:rFonts w:ascii="Abadi" w:hAnsi="Abadi"/>
          <w:b/>
          <w:bCs/>
          <w:sz w:val="20"/>
          <w:szCs w:val="20"/>
        </w:rPr>
        <w:t>INCISO</w:t>
      </w:r>
      <w:r w:rsidRPr="00531B12">
        <w:rPr>
          <w:rFonts w:ascii="Abadi" w:hAnsi="Abadi"/>
          <w:b/>
          <w:bCs/>
          <w:spacing w:val="-4"/>
          <w:sz w:val="20"/>
          <w:szCs w:val="20"/>
        </w:rPr>
        <w:t xml:space="preserve"> </w:t>
      </w:r>
      <w:r w:rsidRPr="00531B12">
        <w:rPr>
          <w:rFonts w:ascii="Abadi" w:hAnsi="Abadi"/>
          <w:b/>
          <w:bCs/>
          <w:sz w:val="20"/>
          <w:szCs w:val="20"/>
        </w:rPr>
        <w:t>O,</w:t>
      </w:r>
      <w:r w:rsidRPr="00531B12">
        <w:rPr>
          <w:rFonts w:ascii="Abadi" w:hAnsi="Abadi"/>
          <w:b/>
          <w:bCs/>
          <w:spacing w:val="-4"/>
          <w:sz w:val="20"/>
          <w:szCs w:val="20"/>
        </w:rPr>
        <w:t xml:space="preserve"> </w:t>
      </w:r>
      <w:r w:rsidRPr="00531B12">
        <w:rPr>
          <w:rFonts w:ascii="Abadi" w:hAnsi="Abadi"/>
          <w:b/>
          <w:bCs/>
          <w:sz w:val="20"/>
          <w:szCs w:val="20"/>
        </w:rPr>
        <w:t>A</w:t>
      </w:r>
      <w:r w:rsidRPr="00531B12">
        <w:rPr>
          <w:rFonts w:ascii="Abadi" w:hAnsi="Abadi"/>
          <w:b/>
          <w:bCs/>
          <w:spacing w:val="-4"/>
          <w:sz w:val="20"/>
          <w:szCs w:val="20"/>
        </w:rPr>
        <w:t xml:space="preserve"> </w:t>
      </w:r>
      <w:r w:rsidRPr="00531B12">
        <w:rPr>
          <w:rFonts w:ascii="Abadi" w:hAnsi="Abadi"/>
          <w:b/>
          <w:bCs/>
          <w:sz w:val="20"/>
          <w:szCs w:val="20"/>
        </w:rPr>
        <w:t>LA</w:t>
      </w:r>
      <w:r w:rsidRPr="00531B12">
        <w:rPr>
          <w:rFonts w:ascii="Abadi" w:hAnsi="Abadi"/>
          <w:b/>
          <w:bCs/>
          <w:spacing w:val="-4"/>
          <w:sz w:val="20"/>
          <w:szCs w:val="20"/>
        </w:rPr>
        <w:t xml:space="preserve"> </w:t>
      </w:r>
      <w:r w:rsidRPr="00531B12">
        <w:rPr>
          <w:rFonts w:ascii="Abadi" w:hAnsi="Abadi"/>
          <w:b/>
          <w:bCs/>
          <w:sz w:val="20"/>
          <w:szCs w:val="20"/>
        </w:rPr>
        <w:t>FRACCIÓN</w:t>
      </w:r>
      <w:r w:rsidRPr="00531B12">
        <w:rPr>
          <w:rFonts w:ascii="Abadi" w:hAnsi="Abadi"/>
          <w:b/>
          <w:bCs/>
          <w:spacing w:val="-4"/>
          <w:sz w:val="20"/>
          <w:szCs w:val="20"/>
        </w:rPr>
        <w:t xml:space="preserve"> </w:t>
      </w:r>
      <w:r w:rsidRPr="00531B12">
        <w:rPr>
          <w:rFonts w:ascii="Abadi" w:hAnsi="Abadi"/>
          <w:b/>
          <w:bCs/>
          <w:sz w:val="20"/>
          <w:szCs w:val="20"/>
        </w:rPr>
        <w:t>V</w:t>
      </w:r>
      <w:r w:rsidRPr="00531B12">
        <w:rPr>
          <w:rFonts w:ascii="Abadi" w:hAnsi="Abadi"/>
          <w:b/>
          <w:bCs/>
          <w:spacing w:val="-3"/>
          <w:sz w:val="20"/>
          <w:szCs w:val="20"/>
        </w:rPr>
        <w:t xml:space="preserve"> </w:t>
      </w:r>
      <w:r w:rsidRPr="00531B12">
        <w:rPr>
          <w:rFonts w:ascii="Abadi" w:hAnsi="Abadi"/>
          <w:b/>
          <w:bCs/>
          <w:sz w:val="20"/>
          <w:szCs w:val="20"/>
        </w:rPr>
        <w:t>DEL</w:t>
      </w:r>
      <w:r w:rsidRPr="00531B12">
        <w:rPr>
          <w:rFonts w:ascii="Abadi" w:hAnsi="Abadi"/>
          <w:b/>
          <w:bCs/>
          <w:spacing w:val="-1"/>
          <w:sz w:val="20"/>
          <w:szCs w:val="20"/>
        </w:rPr>
        <w:t xml:space="preserve"> </w:t>
      </w:r>
      <w:r w:rsidRPr="00531B12">
        <w:rPr>
          <w:rFonts w:ascii="Abadi" w:hAnsi="Abadi"/>
          <w:b/>
          <w:bCs/>
          <w:sz w:val="20"/>
          <w:szCs w:val="20"/>
        </w:rPr>
        <w:t>ARTÍCULO 76, DE LA LEY ORGÁNICA MUNICIPAL PARA EL ESTADO DE GUANAJUATO.</w:t>
      </w:r>
    </w:p>
    <w:p w14:paraId="38A3D212" w14:textId="0CC59DB3" w:rsidR="005D65F1" w:rsidRDefault="005D65F1" w:rsidP="005D65F1">
      <w:pPr>
        <w:tabs>
          <w:tab w:val="left" w:pos="845"/>
        </w:tabs>
        <w:kinsoku w:val="0"/>
        <w:overflowPunct w:val="0"/>
        <w:autoSpaceDE w:val="0"/>
        <w:autoSpaceDN w:val="0"/>
        <w:adjustRightInd w:val="0"/>
        <w:spacing w:before="220"/>
        <w:ind w:right="17"/>
        <w:jc w:val="both"/>
        <w:rPr>
          <w:rFonts w:ascii="Abadi" w:hAnsi="Abadi"/>
          <w:b/>
          <w:bCs/>
          <w:sz w:val="20"/>
          <w:szCs w:val="20"/>
        </w:rPr>
      </w:pPr>
    </w:p>
    <w:p w14:paraId="65C755A7" w14:textId="77777777" w:rsidR="00CA2D2F" w:rsidRPr="008C0402" w:rsidRDefault="00CA2D2F" w:rsidP="00CA2D2F">
      <w:pPr>
        <w:spacing w:line="276" w:lineRule="auto"/>
        <w:jc w:val="both"/>
        <w:rPr>
          <w:rFonts w:ascii="Abadi" w:hAnsi="Abadi"/>
          <w:b/>
          <w:bCs/>
          <w:sz w:val="21"/>
          <w:szCs w:val="21"/>
        </w:rPr>
      </w:pPr>
      <w:r w:rsidRPr="008C0402">
        <w:rPr>
          <w:rFonts w:ascii="Abadi" w:hAnsi="Abadi"/>
          <w:b/>
          <w:bCs/>
          <w:sz w:val="21"/>
          <w:szCs w:val="21"/>
        </w:rPr>
        <w:t xml:space="preserve">Diputada Irma Leticia González Sánchez </w:t>
      </w:r>
    </w:p>
    <w:p w14:paraId="2B2DDEE1" w14:textId="77777777" w:rsidR="00CA2D2F" w:rsidRPr="008C0402" w:rsidRDefault="00CA2D2F" w:rsidP="00CA2D2F">
      <w:pPr>
        <w:spacing w:line="276" w:lineRule="auto"/>
        <w:jc w:val="both"/>
        <w:rPr>
          <w:rFonts w:ascii="Abadi" w:hAnsi="Abadi"/>
          <w:b/>
          <w:bCs/>
          <w:sz w:val="21"/>
          <w:szCs w:val="21"/>
        </w:rPr>
      </w:pPr>
      <w:r w:rsidRPr="008C0402">
        <w:rPr>
          <w:rFonts w:ascii="Abadi" w:hAnsi="Abadi"/>
          <w:b/>
          <w:bCs/>
          <w:sz w:val="21"/>
          <w:szCs w:val="21"/>
        </w:rPr>
        <w:t>Presidenta de la Mesa Directiva</w:t>
      </w:r>
    </w:p>
    <w:p w14:paraId="19CC3735" w14:textId="77777777" w:rsidR="00CA2D2F" w:rsidRPr="008C0402" w:rsidRDefault="00CA2D2F" w:rsidP="00CA2D2F">
      <w:pPr>
        <w:spacing w:line="276" w:lineRule="auto"/>
        <w:jc w:val="both"/>
        <w:rPr>
          <w:rFonts w:ascii="Abadi" w:hAnsi="Abadi"/>
          <w:b/>
          <w:bCs/>
          <w:sz w:val="21"/>
          <w:szCs w:val="21"/>
        </w:rPr>
      </w:pPr>
      <w:r w:rsidRPr="008C0402">
        <w:rPr>
          <w:rFonts w:ascii="Abadi" w:hAnsi="Abadi"/>
          <w:b/>
          <w:bCs/>
          <w:sz w:val="21"/>
          <w:szCs w:val="21"/>
        </w:rPr>
        <w:t>Congreso del Estado de Guanajuato</w:t>
      </w:r>
    </w:p>
    <w:p w14:paraId="4A6E9B15" w14:textId="77777777" w:rsidR="00CA2D2F" w:rsidRDefault="00CA2D2F" w:rsidP="00CA2D2F">
      <w:pPr>
        <w:spacing w:line="276" w:lineRule="auto"/>
        <w:jc w:val="both"/>
        <w:rPr>
          <w:rFonts w:ascii="Abadi" w:hAnsi="Abadi"/>
          <w:b/>
          <w:bCs/>
          <w:sz w:val="21"/>
          <w:szCs w:val="21"/>
        </w:rPr>
      </w:pPr>
      <w:r w:rsidRPr="008C0402">
        <w:rPr>
          <w:rFonts w:ascii="Abadi" w:hAnsi="Abadi"/>
          <w:b/>
          <w:bCs/>
          <w:sz w:val="21"/>
          <w:szCs w:val="21"/>
        </w:rPr>
        <w:t xml:space="preserve">LXV Legislatura Presente. </w:t>
      </w:r>
    </w:p>
    <w:p w14:paraId="104062A0" w14:textId="77777777" w:rsidR="00CA2D2F" w:rsidRDefault="00CA2D2F" w:rsidP="00CA2D2F">
      <w:pPr>
        <w:spacing w:line="276" w:lineRule="auto"/>
        <w:jc w:val="both"/>
        <w:rPr>
          <w:rFonts w:ascii="Abadi" w:hAnsi="Abadi"/>
          <w:b/>
          <w:bCs/>
          <w:sz w:val="21"/>
          <w:szCs w:val="21"/>
        </w:rPr>
      </w:pPr>
    </w:p>
    <w:p w14:paraId="1114607B" w14:textId="77777777" w:rsidR="00CA2D2F" w:rsidRPr="008C0402" w:rsidRDefault="00CA2D2F" w:rsidP="00CA2D2F">
      <w:pPr>
        <w:spacing w:line="276" w:lineRule="auto"/>
        <w:jc w:val="both"/>
        <w:rPr>
          <w:rFonts w:ascii="Abadi" w:hAnsi="Abadi"/>
          <w:b/>
          <w:bCs/>
          <w:sz w:val="21"/>
          <w:szCs w:val="21"/>
        </w:rPr>
      </w:pPr>
    </w:p>
    <w:p w14:paraId="55C605AE" w14:textId="77777777" w:rsidR="00CA2D2F" w:rsidRDefault="00CA2D2F" w:rsidP="00CA2D2F">
      <w:pPr>
        <w:jc w:val="both"/>
        <w:rPr>
          <w:rFonts w:ascii="Abadi" w:hAnsi="Abadi"/>
          <w:sz w:val="21"/>
          <w:szCs w:val="21"/>
        </w:rPr>
      </w:pPr>
      <w:r w:rsidRPr="008C0402">
        <w:rPr>
          <w:rFonts w:ascii="Abadi" w:hAnsi="Abadi"/>
          <w:sz w:val="21"/>
          <w:szCs w:val="21"/>
        </w:rPr>
        <w:t xml:space="preserve">La que suscribe, </w:t>
      </w:r>
      <w:r w:rsidRPr="008C0402">
        <w:rPr>
          <w:rFonts w:ascii="Abadi" w:hAnsi="Abadi"/>
          <w:b/>
          <w:bCs/>
          <w:sz w:val="21"/>
          <w:szCs w:val="21"/>
        </w:rPr>
        <w:t>Diputada Martha Edith Moreno Valencia,</w:t>
      </w:r>
      <w:r w:rsidRPr="008C0402">
        <w:rPr>
          <w:rFonts w:ascii="Abadi" w:hAnsi="Abadi"/>
          <w:sz w:val="21"/>
          <w:szCs w:val="21"/>
        </w:rPr>
        <w:t xml:space="preserve"> integrante del Grupo Parlamentario de Morena en la Sexagésima Quinta Legislatura del Congreso del Estado de Guanajuato, con fundamento en lo dispuesto en los artículos 56, </w:t>
      </w:r>
      <w:r w:rsidRPr="008C0402">
        <w:rPr>
          <w:rFonts w:ascii="Abadi" w:hAnsi="Abadi"/>
          <w:sz w:val="21"/>
          <w:szCs w:val="21"/>
        </w:rPr>
        <w:t>fracción II de la Constitución Política para el Estado de Guanajuato; y en el artículo 167, fracción II de la Ley Orgánica del Poder Legislativo del Estado de Guanajuato, me permito someter a la consideración de esta Asamblea para su aprobación, la presente Iniciativa con proyecto de Decreto mediante el cual se adiciona el inciso “o” a la fracción V del articulo 76 y se adiciona la fracción XII, recorriéndose la subsecuente y se reforma el último párrafo al artículo 124 de la Ley Orgánica Municipal para el Estado de Guanajuato, en atención a la siguiente:</w:t>
      </w:r>
    </w:p>
    <w:p w14:paraId="28D4CA7D" w14:textId="77777777" w:rsidR="00CA2D2F" w:rsidRDefault="00CA2D2F" w:rsidP="00CA2D2F">
      <w:pPr>
        <w:jc w:val="both"/>
        <w:rPr>
          <w:rFonts w:ascii="Abadi" w:hAnsi="Abadi"/>
          <w:sz w:val="21"/>
          <w:szCs w:val="21"/>
        </w:rPr>
      </w:pPr>
    </w:p>
    <w:p w14:paraId="0668F4EE" w14:textId="77777777" w:rsidR="00CA2D2F" w:rsidRPr="008C0402" w:rsidRDefault="00CA2D2F" w:rsidP="00CA2D2F">
      <w:pPr>
        <w:jc w:val="center"/>
        <w:rPr>
          <w:rFonts w:ascii="Abadi" w:hAnsi="Abadi"/>
          <w:b/>
          <w:bCs/>
          <w:sz w:val="21"/>
          <w:szCs w:val="21"/>
        </w:rPr>
      </w:pPr>
      <w:r w:rsidRPr="008C0402">
        <w:rPr>
          <w:rFonts w:ascii="Abadi" w:hAnsi="Abadi"/>
          <w:b/>
          <w:bCs/>
          <w:sz w:val="21"/>
          <w:szCs w:val="21"/>
        </w:rPr>
        <w:t>EXPOSICIÓN DE MOTIVOS</w:t>
      </w:r>
    </w:p>
    <w:p w14:paraId="038907EF" w14:textId="77777777" w:rsidR="00CA2D2F" w:rsidRDefault="00CA2D2F" w:rsidP="00CA2D2F">
      <w:pPr>
        <w:jc w:val="both"/>
        <w:rPr>
          <w:rFonts w:ascii="Abadi" w:hAnsi="Abadi"/>
          <w:sz w:val="21"/>
          <w:szCs w:val="21"/>
        </w:rPr>
      </w:pPr>
    </w:p>
    <w:p w14:paraId="3B021B84" w14:textId="3A655873" w:rsidR="00CA2D2F" w:rsidRDefault="00CA2D2F" w:rsidP="00CA2D2F">
      <w:pPr>
        <w:jc w:val="both"/>
        <w:rPr>
          <w:rFonts w:ascii="Abadi" w:hAnsi="Abadi"/>
          <w:sz w:val="21"/>
          <w:szCs w:val="21"/>
        </w:rPr>
      </w:pPr>
      <w:r w:rsidRPr="008C0402">
        <w:rPr>
          <w:rFonts w:ascii="Abadi" w:hAnsi="Abadi"/>
          <w:sz w:val="21"/>
          <w:szCs w:val="21"/>
        </w:rPr>
        <w:t xml:space="preserve">El 24 de diciembre del 2020 fue publicado en el Diario Oficial de la Federación el Decreto por el cual se reforman los artículos 4 y 73 de la Constitución Política de los Estados Unidos Mexicanos, a través del cual se reconoce el derecho de las personas jóvenes a su desarrollo integral, a través de políticas públicas que propicien su inclusión en el ámbito político, social, económico y cultural del país. El decreto también otorga al Congreso de la Unión facultades para establecer la concurrencia de competencias en materia de formación y desarrollo integral de la juventud. Ambas modificaciones constituyen pasos decisivos hacia la garantía plena de derechos de las personas jóvenes. </w:t>
      </w:r>
    </w:p>
    <w:p w14:paraId="5CFF055F" w14:textId="77777777" w:rsidR="00CA2D2F" w:rsidRDefault="00CA2D2F" w:rsidP="00CA2D2F">
      <w:pPr>
        <w:jc w:val="both"/>
        <w:rPr>
          <w:rFonts w:ascii="Abadi" w:hAnsi="Abadi"/>
          <w:sz w:val="21"/>
          <w:szCs w:val="21"/>
        </w:rPr>
      </w:pPr>
    </w:p>
    <w:p w14:paraId="5AE65990" w14:textId="203B7962" w:rsidR="00CA2D2F" w:rsidRDefault="00CA2D2F" w:rsidP="00CA2D2F">
      <w:pPr>
        <w:jc w:val="both"/>
        <w:rPr>
          <w:rFonts w:ascii="Abadi" w:hAnsi="Abadi"/>
          <w:sz w:val="21"/>
          <w:szCs w:val="21"/>
        </w:rPr>
      </w:pPr>
      <w:r w:rsidRPr="008C0402">
        <w:rPr>
          <w:rFonts w:ascii="Abadi" w:hAnsi="Abadi"/>
          <w:sz w:val="21"/>
          <w:szCs w:val="21"/>
        </w:rPr>
        <w:t>Sumar esfuerzos para erradicar las condiciones de pobreza, discriminación, violencia y diversos rezagos sociales que afectan a los jóvenes es tarea de los tres poderes y de los tres niveles de gobierno. Generar un marco normativo que empodere a los jóvenes es atender un compromiso social necesario en nuestros municipios. Hoy la realidad que vivimos en Guanajuato nos obliga a ser críticos, objetivos e imparciales en la evaluación de los resultados</w:t>
      </w:r>
      <w:r>
        <w:rPr>
          <w:rFonts w:ascii="Abadi" w:hAnsi="Abadi"/>
          <w:sz w:val="21"/>
          <w:szCs w:val="21"/>
        </w:rPr>
        <w:t xml:space="preserve"> </w:t>
      </w:r>
      <w:r w:rsidRPr="008C0402">
        <w:rPr>
          <w:rFonts w:ascii="Abadi" w:hAnsi="Abadi"/>
          <w:sz w:val="21"/>
          <w:szCs w:val="21"/>
        </w:rPr>
        <w:t xml:space="preserve">de las políticas públicas con perspectiva de juventud, porque hasta el día de hoy los esfuerzos han sido insuficientes. </w:t>
      </w:r>
    </w:p>
    <w:p w14:paraId="24AC741A" w14:textId="77777777" w:rsidR="00CA2D2F" w:rsidRDefault="00CA2D2F" w:rsidP="00CA2D2F">
      <w:pPr>
        <w:jc w:val="both"/>
        <w:rPr>
          <w:rFonts w:ascii="Abadi" w:hAnsi="Abadi"/>
          <w:sz w:val="21"/>
          <w:szCs w:val="21"/>
        </w:rPr>
      </w:pPr>
    </w:p>
    <w:p w14:paraId="5206D582" w14:textId="06EED893" w:rsidR="00CA2D2F" w:rsidRDefault="00CA2D2F" w:rsidP="00CA2D2F">
      <w:pPr>
        <w:jc w:val="both"/>
        <w:rPr>
          <w:rFonts w:ascii="Abadi" w:hAnsi="Abadi"/>
          <w:sz w:val="21"/>
          <w:szCs w:val="21"/>
        </w:rPr>
      </w:pPr>
      <w:r w:rsidRPr="008C0402">
        <w:rPr>
          <w:rFonts w:ascii="Abadi" w:hAnsi="Abadi"/>
          <w:sz w:val="21"/>
          <w:szCs w:val="21"/>
        </w:rPr>
        <w:t xml:space="preserve">Los jóvenes somos uno de los sectores más activos en la exigencia de hacer posible un estado, un país y un mundo más justo y próspero. Somos la fuerza más activa y vital de la sociedad. Somos los más ansiosos de aprender, y los menos conservadores en su pensamiento. </w:t>
      </w:r>
    </w:p>
    <w:p w14:paraId="13F72BB0" w14:textId="77777777" w:rsidR="00CA2D2F" w:rsidRDefault="00CA2D2F" w:rsidP="00CA2D2F">
      <w:pPr>
        <w:jc w:val="both"/>
        <w:rPr>
          <w:rFonts w:ascii="Abadi" w:hAnsi="Abadi"/>
          <w:sz w:val="21"/>
          <w:szCs w:val="21"/>
        </w:rPr>
      </w:pPr>
    </w:p>
    <w:p w14:paraId="6B39C127" w14:textId="77777777" w:rsidR="00CA2D2F" w:rsidRDefault="00CA2D2F" w:rsidP="00CA2D2F">
      <w:pPr>
        <w:jc w:val="both"/>
        <w:rPr>
          <w:rFonts w:ascii="Abadi" w:hAnsi="Abadi"/>
          <w:sz w:val="21"/>
          <w:szCs w:val="21"/>
        </w:rPr>
      </w:pPr>
      <w:r w:rsidRPr="008C0402">
        <w:rPr>
          <w:rFonts w:ascii="Abadi" w:hAnsi="Abadi"/>
          <w:sz w:val="21"/>
          <w:szCs w:val="21"/>
        </w:rPr>
        <w:t xml:space="preserve">Actualmente cerca de 1,804 millones de personas en el mundo tienen entre 15 y 29 años, lo que representa casi una cuarta parte de la </w:t>
      </w:r>
      <w:r w:rsidRPr="008C0402">
        <w:rPr>
          <w:rFonts w:ascii="Abadi" w:hAnsi="Abadi"/>
          <w:sz w:val="21"/>
          <w:szCs w:val="21"/>
        </w:rPr>
        <w:lastRenderedPageBreak/>
        <w:t xml:space="preserve">población mundial. En México las y los jóvenes representamos un grupo poblacional dinámico y con un crecimiento significativo. Existen más de 31 millones de personas jóvenes en todo el país, representamos el 24.8% de la población total. En Guanajuato la edad promedio es de 28 años y somos 1 millón 925 mil 310 jóvenes, es decir, representamos el 32% de la población total del estado. </w:t>
      </w:r>
    </w:p>
    <w:p w14:paraId="21B3E8B6" w14:textId="77777777" w:rsidR="00CA2D2F" w:rsidRDefault="00CA2D2F" w:rsidP="00CA2D2F">
      <w:pPr>
        <w:jc w:val="both"/>
        <w:rPr>
          <w:rFonts w:ascii="Abadi" w:hAnsi="Abadi"/>
          <w:sz w:val="21"/>
          <w:szCs w:val="21"/>
        </w:rPr>
      </w:pPr>
    </w:p>
    <w:p w14:paraId="0DF34531" w14:textId="1989F053" w:rsidR="00CA2D2F" w:rsidRDefault="00CA2D2F" w:rsidP="00CA2D2F">
      <w:pPr>
        <w:jc w:val="both"/>
        <w:rPr>
          <w:rFonts w:ascii="Abadi" w:hAnsi="Abadi"/>
          <w:sz w:val="21"/>
          <w:szCs w:val="21"/>
        </w:rPr>
      </w:pPr>
      <w:r w:rsidRPr="008C0402">
        <w:rPr>
          <w:rFonts w:ascii="Abadi" w:hAnsi="Abadi"/>
          <w:sz w:val="21"/>
          <w:szCs w:val="21"/>
        </w:rPr>
        <w:t xml:space="preserve">El 72% de la población guanajuatense vive en zona urbana y el 28% en zona rural por ello es necesario generar políticas públicas con perspectiva de juventud que atiendan a las y los jóvenes en el campo y la ciudad, en especial a todas y todos aquellos que hoy viven en condiciones de pobreza, marginalidad, vulnerabilidad y falta de oportunidades Por otro lado, un 42.9% de los mexicanos entre 15 y 29 años tiene carencias en educación, salud, vivienda y alimentación y sus ingresos no les alcanzan para satisfacer sus necesidades básicas. </w:t>
      </w:r>
    </w:p>
    <w:p w14:paraId="5BD54F35" w14:textId="77777777" w:rsidR="00CA2D2F" w:rsidRDefault="00CA2D2F" w:rsidP="00CA2D2F">
      <w:pPr>
        <w:jc w:val="both"/>
        <w:rPr>
          <w:rFonts w:ascii="Abadi" w:hAnsi="Abadi"/>
          <w:sz w:val="21"/>
          <w:szCs w:val="21"/>
        </w:rPr>
      </w:pPr>
    </w:p>
    <w:p w14:paraId="48B22FAF" w14:textId="214C80CB" w:rsidR="00CA2D2F" w:rsidRDefault="00CA2D2F" w:rsidP="00CA2D2F">
      <w:pPr>
        <w:jc w:val="both"/>
        <w:rPr>
          <w:rFonts w:ascii="Abadi" w:hAnsi="Abadi"/>
          <w:sz w:val="21"/>
          <w:szCs w:val="21"/>
        </w:rPr>
      </w:pPr>
      <w:r w:rsidRPr="008C0402">
        <w:rPr>
          <w:rFonts w:ascii="Abadi" w:hAnsi="Abadi"/>
          <w:sz w:val="21"/>
          <w:szCs w:val="21"/>
        </w:rPr>
        <w:t>Durante la juventud las personas toman decisiones y enfrentan oportunidades que determinarán el rumbo del resto de su existencia: definen si comienzan su vida laboral o si siguen su trayectoria académica; comienzan a ver los frutos de muchos años de inversión en su capital humano; inician su vida sexual; tienen sus primeros acercamientos con el tabaco, el alcohol y otros tipos de drogas, legales e ilegales, y comienzan a ejercer de forma plena los derechos y obligaciones de la ciudadanía.</w:t>
      </w:r>
    </w:p>
    <w:p w14:paraId="0EF5ABBD" w14:textId="77777777" w:rsidR="00CA2D2F" w:rsidRDefault="00CA2D2F" w:rsidP="00CA2D2F">
      <w:pPr>
        <w:jc w:val="both"/>
        <w:rPr>
          <w:rFonts w:ascii="Abadi" w:hAnsi="Abadi"/>
          <w:sz w:val="21"/>
          <w:szCs w:val="21"/>
        </w:rPr>
      </w:pPr>
    </w:p>
    <w:p w14:paraId="76DC1FF7" w14:textId="0C53BFD4" w:rsidR="00CA2D2F" w:rsidRDefault="00CA2D2F" w:rsidP="00CA2D2F">
      <w:pPr>
        <w:jc w:val="both"/>
        <w:rPr>
          <w:rFonts w:ascii="Abadi" w:hAnsi="Abadi"/>
          <w:sz w:val="21"/>
          <w:szCs w:val="21"/>
        </w:rPr>
      </w:pPr>
      <w:r w:rsidRPr="008C0402">
        <w:rPr>
          <w:rFonts w:ascii="Abadi" w:hAnsi="Abadi"/>
          <w:sz w:val="21"/>
          <w:szCs w:val="21"/>
        </w:rPr>
        <w:t>La administración pública municipal es el órgano gubernamental que se encarga de convertir los objetivos, planes y programas en acciones y resultados concretos que tiendan a satisfacer las expectativas de bienestar de los habitantes. Como base demográfica del municipio, el</w:t>
      </w:r>
      <w:r>
        <w:rPr>
          <w:rFonts w:ascii="Abadi" w:hAnsi="Abadi"/>
          <w:sz w:val="21"/>
          <w:szCs w:val="21"/>
        </w:rPr>
        <w:t xml:space="preserve"> </w:t>
      </w:r>
      <w:r w:rsidRPr="008C0402">
        <w:rPr>
          <w:rFonts w:ascii="Abadi" w:hAnsi="Abadi"/>
          <w:sz w:val="21"/>
          <w:szCs w:val="21"/>
        </w:rPr>
        <w:t xml:space="preserve">sector juvenil se convierte en un foco de atención urgente para el gobierno que aspira a ofrecerles, además de los servicios básicos para su desarrollo, las posibilidades de apoyo económico, laboral o académico a fin de contar con jóvenes capaces de contribuir con su energía y dinamismo al desarrollo de la ciudad. </w:t>
      </w:r>
    </w:p>
    <w:p w14:paraId="03F2E709" w14:textId="77777777" w:rsidR="00CA2D2F" w:rsidRDefault="00CA2D2F" w:rsidP="00CA2D2F">
      <w:pPr>
        <w:jc w:val="both"/>
        <w:rPr>
          <w:rFonts w:ascii="Abadi" w:hAnsi="Abadi"/>
          <w:sz w:val="21"/>
          <w:szCs w:val="21"/>
        </w:rPr>
      </w:pPr>
    </w:p>
    <w:p w14:paraId="75C34D4C" w14:textId="1895EE88" w:rsidR="00CA2D2F" w:rsidRDefault="00CA2D2F" w:rsidP="00CA2D2F">
      <w:pPr>
        <w:jc w:val="both"/>
        <w:rPr>
          <w:rFonts w:ascii="Abadi" w:hAnsi="Abadi"/>
          <w:sz w:val="21"/>
          <w:szCs w:val="21"/>
        </w:rPr>
      </w:pPr>
      <w:r w:rsidRPr="008C0402">
        <w:rPr>
          <w:rFonts w:ascii="Abadi" w:hAnsi="Abadi"/>
          <w:sz w:val="21"/>
          <w:szCs w:val="21"/>
        </w:rPr>
        <w:t xml:space="preserve">La implementación de políticas de fomento, protección y desarrollo de actividades propias de la juventud debe guiarse por criterios de igualdad de oportunidades, equidad de género, atención a grupos vulnerables, prevención de adicciones e impulso de liderazgos y talentos. En este sentido, resulta de suma importancia que el Estado y los </w:t>
      </w:r>
      <w:r w:rsidRPr="008C0402">
        <w:rPr>
          <w:rFonts w:ascii="Abadi" w:hAnsi="Abadi"/>
          <w:sz w:val="21"/>
          <w:szCs w:val="21"/>
        </w:rPr>
        <w:t xml:space="preserve">Municipios establezcan disposiciones normativas, reglamentarias y legislativas para dar acciones afirmativas. </w:t>
      </w:r>
    </w:p>
    <w:p w14:paraId="4AEC9BF7" w14:textId="77777777" w:rsidR="00CA2D2F" w:rsidRDefault="00CA2D2F" w:rsidP="00CA2D2F">
      <w:pPr>
        <w:jc w:val="both"/>
        <w:rPr>
          <w:rFonts w:ascii="Abadi" w:hAnsi="Abadi"/>
          <w:sz w:val="21"/>
          <w:szCs w:val="21"/>
        </w:rPr>
      </w:pPr>
    </w:p>
    <w:p w14:paraId="60796580" w14:textId="72283449" w:rsidR="00CA2D2F" w:rsidRDefault="00CA2D2F" w:rsidP="00CA2D2F">
      <w:pPr>
        <w:jc w:val="both"/>
        <w:rPr>
          <w:rFonts w:ascii="Abadi" w:hAnsi="Abadi"/>
          <w:sz w:val="21"/>
          <w:szCs w:val="21"/>
        </w:rPr>
      </w:pPr>
      <w:r w:rsidRPr="008C0402">
        <w:rPr>
          <w:rFonts w:ascii="Abadi" w:hAnsi="Abadi"/>
          <w:sz w:val="21"/>
          <w:szCs w:val="21"/>
        </w:rPr>
        <w:t xml:space="preserve">Los jóvenes demandan más espacios de participación donde puedan ejercer plenamente sus derechos; aspiran a más oportunidades para su desarrollo. Demandan la creación en los municipios de unidades administrativas que apliquen programas focalizados a los jóvenes. Es por ello por lo que la actualización de nuestros cuerpos normativos en materia de atención a los jóvenes se hace indispensable dado el impacto que tiene actualmente ese grupo poblacional y su proyección a futuro. </w:t>
      </w:r>
    </w:p>
    <w:p w14:paraId="0B6AC165" w14:textId="77777777" w:rsidR="00CA2D2F" w:rsidRDefault="00CA2D2F" w:rsidP="00CA2D2F">
      <w:pPr>
        <w:jc w:val="both"/>
        <w:rPr>
          <w:rFonts w:ascii="Abadi" w:hAnsi="Abadi"/>
          <w:sz w:val="21"/>
          <w:szCs w:val="21"/>
        </w:rPr>
      </w:pPr>
    </w:p>
    <w:p w14:paraId="2C37DA4F" w14:textId="77777777" w:rsidR="00CA2D2F" w:rsidRDefault="00CA2D2F" w:rsidP="00CA2D2F">
      <w:pPr>
        <w:jc w:val="both"/>
        <w:rPr>
          <w:rFonts w:ascii="Abadi" w:hAnsi="Abadi"/>
          <w:sz w:val="21"/>
          <w:szCs w:val="21"/>
        </w:rPr>
      </w:pPr>
      <w:r w:rsidRPr="008C0402">
        <w:rPr>
          <w:rFonts w:ascii="Abadi" w:hAnsi="Abadi"/>
          <w:sz w:val="21"/>
          <w:szCs w:val="21"/>
        </w:rPr>
        <w:t>Por eso la importancia de que la iniciativa que hoy sometemos a su consideración, y que implica incrementar la atención de manera integral de los jóvenes en los 46 municipios para que todos los municipios cuenten con Dependencias para la Atención a la juventud, dichas dependencias buscarán promover políticas públicas con perspectiva de juventud que garanticen sus derechos, bajo principios de inclusión social y la igualdad de oportunidades, procurando en todo momento el empoderamiento de la juventud.</w:t>
      </w:r>
    </w:p>
    <w:p w14:paraId="3DEEAB98" w14:textId="77777777" w:rsidR="00CA2D2F" w:rsidRDefault="00CA2D2F" w:rsidP="00CA2D2F">
      <w:pPr>
        <w:jc w:val="both"/>
        <w:rPr>
          <w:rFonts w:ascii="Abadi" w:hAnsi="Abadi"/>
          <w:sz w:val="21"/>
          <w:szCs w:val="21"/>
        </w:rPr>
      </w:pPr>
    </w:p>
    <w:p w14:paraId="0839A9F5" w14:textId="77777777" w:rsidR="00CA2D2F" w:rsidRPr="008C0402" w:rsidRDefault="00CA2D2F" w:rsidP="00CA2D2F">
      <w:pPr>
        <w:jc w:val="both"/>
        <w:rPr>
          <w:rFonts w:ascii="Abadi" w:hAnsi="Abadi"/>
          <w:sz w:val="21"/>
          <w:szCs w:val="21"/>
        </w:rPr>
      </w:pPr>
      <w:r w:rsidRPr="008C0402">
        <w:rPr>
          <w:rFonts w:ascii="Abadi" w:hAnsi="Abadi"/>
          <w:sz w:val="21"/>
          <w:szCs w:val="21"/>
        </w:rPr>
        <w:t>Por ello, dichas dependencias deberán contar con presupuesto de manera progresiva, facultades y recursos necesarios para dicho fin. Debemos de ser congruentes y responsables con la realidad social de nuestro estado, tenemos el deber moral, social, jurídico y político de sumar esfuerzos, voluntades y capacidades para ofrecer leyes que den soporte al andamiaje jurídico de nuestro Guanajuato, de nuestra sociedad y de nuestros jóvenes.</w:t>
      </w:r>
    </w:p>
    <w:p w14:paraId="2739D746" w14:textId="07945673" w:rsidR="00CA2D2F" w:rsidRDefault="00CA2D2F" w:rsidP="00CA2D2F">
      <w:pPr>
        <w:jc w:val="both"/>
        <w:rPr>
          <w:rFonts w:ascii="Abadi" w:hAnsi="Abadi"/>
          <w:sz w:val="21"/>
          <w:szCs w:val="21"/>
        </w:rPr>
      </w:pPr>
      <w:r w:rsidRPr="008C0402">
        <w:rPr>
          <w:rFonts w:ascii="Abadi" w:hAnsi="Abadi"/>
          <w:sz w:val="21"/>
          <w:szCs w:val="21"/>
        </w:rPr>
        <w:t xml:space="preserve">No se trata de un tema nuevo, sino que forma parte de las estrategias que la federación y las distintas entidades federativas, han planteado para tratar de mitigar los efectos adversos contra los jóvenes, dada la concurrencia de distintos efectos negativos en su persona, familias y la probable comisión de delitos contra su integridad. En ese sentido, consideramos que la existencia de unidades municipales que brinden atención a nivel local, permite fortalecer la integridad de los jóvenes que habitan en sus territorios, sobre todo considerando, que en muchas ocasiones por falta de una adecuada orientación, se ven involucrados en temas de violencia y son vulnerables a las redes de delincuencia organizada quien advierte estas debilidades en el tejido social para impactar con la comisión de delitos. </w:t>
      </w:r>
    </w:p>
    <w:p w14:paraId="60C53B0A" w14:textId="77777777" w:rsidR="00CA2D2F" w:rsidRDefault="00CA2D2F" w:rsidP="00CA2D2F">
      <w:pPr>
        <w:jc w:val="both"/>
        <w:rPr>
          <w:rFonts w:ascii="Abadi" w:hAnsi="Abadi"/>
          <w:sz w:val="21"/>
          <w:szCs w:val="21"/>
        </w:rPr>
      </w:pPr>
    </w:p>
    <w:p w14:paraId="710465E7" w14:textId="0976D07E" w:rsidR="00CA2D2F" w:rsidRDefault="00CA2D2F" w:rsidP="00CA2D2F">
      <w:pPr>
        <w:jc w:val="both"/>
        <w:rPr>
          <w:rFonts w:ascii="Abadi" w:hAnsi="Abadi"/>
          <w:sz w:val="21"/>
          <w:szCs w:val="21"/>
        </w:rPr>
      </w:pPr>
      <w:r w:rsidRPr="008C0402">
        <w:rPr>
          <w:rFonts w:ascii="Abadi" w:hAnsi="Abadi"/>
          <w:sz w:val="21"/>
          <w:szCs w:val="21"/>
        </w:rPr>
        <w:t xml:space="preserve">En los pasados comicios el voto de las juventudes fue relevante porque elevó su participación. Hoy están exigiendo políticas públicas, reglamentación y se están involucrando en el acontecer político de nuestro estado. Tenemos que escucharlos. </w:t>
      </w:r>
    </w:p>
    <w:p w14:paraId="2E292DCB" w14:textId="77777777" w:rsidR="00CA2D2F" w:rsidRDefault="00CA2D2F" w:rsidP="00CA2D2F">
      <w:pPr>
        <w:jc w:val="both"/>
        <w:rPr>
          <w:rFonts w:ascii="Abadi" w:hAnsi="Abadi"/>
          <w:sz w:val="21"/>
          <w:szCs w:val="21"/>
        </w:rPr>
      </w:pPr>
    </w:p>
    <w:p w14:paraId="50C64814" w14:textId="7CCE8B2D" w:rsidR="00CA2D2F" w:rsidRDefault="00CA2D2F" w:rsidP="00CA2D2F">
      <w:pPr>
        <w:jc w:val="both"/>
        <w:rPr>
          <w:rFonts w:ascii="Abadi" w:hAnsi="Abadi"/>
          <w:sz w:val="21"/>
          <w:szCs w:val="21"/>
        </w:rPr>
      </w:pPr>
      <w:r w:rsidRPr="008C0402">
        <w:rPr>
          <w:rFonts w:ascii="Abadi" w:hAnsi="Abadi"/>
          <w:sz w:val="21"/>
          <w:szCs w:val="21"/>
        </w:rPr>
        <w:t xml:space="preserve">Hoy tenemos 19 municipios que NO cuentan con un Instituto de Juventud, si bien algunos municipios cuentan con un área de atención a la juventud, es de suma importancia que esta se pueda hacer un instituto para darles certeza jurídica y presupuestal. </w:t>
      </w:r>
    </w:p>
    <w:p w14:paraId="1ABE33A9" w14:textId="77777777" w:rsidR="00CA2D2F" w:rsidRDefault="00CA2D2F" w:rsidP="00CA2D2F">
      <w:pPr>
        <w:jc w:val="both"/>
        <w:rPr>
          <w:rFonts w:ascii="Abadi" w:hAnsi="Abadi"/>
          <w:sz w:val="21"/>
          <w:szCs w:val="21"/>
        </w:rPr>
      </w:pPr>
    </w:p>
    <w:p w14:paraId="61C7F62A" w14:textId="0DD0AD0B" w:rsidR="00CA2D2F" w:rsidRDefault="00CA2D2F" w:rsidP="00CA2D2F">
      <w:pPr>
        <w:jc w:val="both"/>
        <w:rPr>
          <w:rFonts w:ascii="Abadi" w:hAnsi="Abadi"/>
          <w:sz w:val="21"/>
          <w:szCs w:val="21"/>
        </w:rPr>
      </w:pPr>
      <w:r w:rsidRPr="008C0402">
        <w:rPr>
          <w:rFonts w:ascii="Abadi" w:hAnsi="Abadi"/>
          <w:sz w:val="21"/>
          <w:szCs w:val="21"/>
        </w:rPr>
        <w:t xml:space="preserve">La misión del Instituto es promover, generar y articular políticas públicas integrales de juventud, que surjan del reconocimiento de los jóvenes, como sujetos y autores de su propio destino, que responden a sus necesidades, expectativas y propuestas, proporcionando el mejoramiento de su calidad de vida y su participación plena en el desarrollo nacional. </w:t>
      </w:r>
    </w:p>
    <w:p w14:paraId="198B3FE3" w14:textId="77777777" w:rsidR="00CA2D2F" w:rsidRDefault="00CA2D2F" w:rsidP="00CA2D2F">
      <w:pPr>
        <w:jc w:val="both"/>
        <w:rPr>
          <w:rFonts w:ascii="Abadi" w:hAnsi="Abadi"/>
          <w:sz w:val="21"/>
          <w:szCs w:val="21"/>
        </w:rPr>
      </w:pPr>
    </w:p>
    <w:p w14:paraId="4F3B8D5D" w14:textId="0E1EA67C" w:rsidR="00CA2D2F" w:rsidRDefault="00CA2D2F" w:rsidP="00CA2D2F">
      <w:pPr>
        <w:jc w:val="both"/>
        <w:rPr>
          <w:rFonts w:ascii="Abadi" w:hAnsi="Abadi"/>
          <w:sz w:val="21"/>
          <w:szCs w:val="21"/>
        </w:rPr>
      </w:pPr>
      <w:r w:rsidRPr="008C0402">
        <w:rPr>
          <w:rFonts w:ascii="Abadi" w:hAnsi="Abadi"/>
          <w:sz w:val="21"/>
          <w:szCs w:val="21"/>
        </w:rPr>
        <w:t xml:space="preserve">Tiene la finalidad de garantizar a las y los jóvenes el acceso a servicios de salud, vivienda y educación, así como al empleo digno y a canales de participación, sienta las bases para que la juventud sea un grupo productivo que participe activamente en el aumento de los niveles de bienestar, inversión y desarrollo en el país. </w:t>
      </w:r>
    </w:p>
    <w:p w14:paraId="48E58D4E" w14:textId="77777777" w:rsidR="00CA2D2F" w:rsidRDefault="00CA2D2F" w:rsidP="00CA2D2F">
      <w:pPr>
        <w:jc w:val="both"/>
        <w:rPr>
          <w:rFonts w:ascii="Abadi" w:hAnsi="Abadi"/>
          <w:sz w:val="21"/>
          <w:szCs w:val="21"/>
        </w:rPr>
      </w:pPr>
    </w:p>
    <w:p w14:paraId="3AAAF609" w14:textId="77777777" w:rsidR="00CA2D2F" w:rsidRPr="008C0402" w:rsidRDefault="00CA2D2F" w:rsidP="00CA2D2F">
      <w:pPr>
        <w:jc w:val="both"/>
        <w:rPr>
          <w:rFonts w:ascii="Abadi" w:hAnsi="Abadi"/>
          <w:sz w:val="21"/>
          <w:szCs w:val="21"/>
        </w:rPr>
      </w:pPr>
      <w:r w:rsidRPr="008C0402">
        <w:rPr>
          <w:rFonts w:ascii="Abadi" w:hAnsi="Abadi"/>
          <w:sz w:val="21"/>
          <w:szCs w:val="21"/>
        </w:rPr>
        <w:t>Su óptimo funcionamiento depende en gran medida de dotarlas de capacidad de decisión, con recursos presupuestarios y personal profesionalizado, así como oportunidades para influir en la formulación de todas las políticas gubernamentales.</w:t>
      </w:r>
    </w:p>
    <w:p w14:paraId="4BAD9B86" w14:textId="296AD443" w:rsidR="00CA2D2F" w:rsidRDefault="00CA2D2F" w:rsidP="00CA2D2F">
      <w:pPr>
        <w:jc w:val="both"/>
        <w:rPr>
          <w:rFonts w:ascii="Abadi" w:hAnsi="Abadi"/>
          <w:sz w:val="21"/>
          <w:szCs w:val="21"/>
        </w:rPr>
      </w:pPr>
      <w:r w:rsidRPr="008C0402">
        <w:rPr>
          <w:rFonts w:ascii="Abadi" w:hAnsi="Abadi"/>
          <w:sz w:val="21"/>
          <w:szCs w:val="21"/>
        </w:rPr>
        <w:t xml:space="preserve">De acuerdo con el artículo 209 de la Ley Orgánica del Poder Legislativo del Estado de Guanajuato, manifestamos que la iniciativa que aquí presentamos tendrá, de ser aprobada, los siguientes impactos: </w:t>
      </w:r>
    </w:p>
    <w:p w14:paraId="025DC98A" w14:textId="77777777" w:rsidR="00CA2D2F" w:rsidRDefault="00CA2D2F" w:rsidP="00CA2D2F">
      <w:pPr>
        <w:jc w:val="both"/>
        <w:rPr>
          <w:rFonts w:ascii="Abadi" w:hAnsi="Abadi"/>
          <w:sz w:val="21"/>
          <w:szCs w:val="21"/>
        </w:rPr>
      </w:pPr>
    </w:p>
    <w:p w14:paraId="5E343EDE" w14:textId="63095346" w:rsidR="00CA2D2F" w:rsidRDefault="00CA2D2F" w:rsidP="00CA2D2F">
      <w:pPr>
        <w:jc w:val="both"/>
        <w:rPr>
          <w:rFonts w:ascii="Abadi" w:hAnsi="Abadi"/>
          <w:sz w:val="21"/>
          <w:szCs w:val="21"/>
        </w:rPr>
      </w:pPr>
      <w:r w:rsidRPr="00140C2A">
        <w:rPr>
          <w:rFonts w:ascii="Abadi" w:hAnsi="Abadi"/>
          <w:b/>
          <w:bCs/>
          <w:sz w:val="21"/>
          <w:szCs w:val="21"/>
        </w:rPr>
        <w:t>I. Impacto jurídico:</w:t>
      </w:r>
      <w:r w:rsidRPr="008C0402">
        <w:rPr>
          <w:rFonts w:ascii="Abadi" w:hAnsi="Abadi"/>
          <w:sz w:val="21"/>
          <w:szCs w:val="21"/>
        </w:rPr>
        <w:t xml:space="preserve"> Se adiciona el inciso “o” a la fracción V del articulo 76 y se adiciona la fracción XII, recorriéndose la subsecuente y se reforma el último párrafo al artículo 124 de la Ley Orgánica Municipal para el Estado de Guanajuato. </w:t>
      </w:r>
    </w:p>
    <w:p w14:paraId="77CCA1B6" w14:textId="77777777" w:rsidR="00CA2D2F" w:rsidRDefault="00CA2D2F" w:rsidP="00CA2D2F">
      <w:pPr>
        <w:jc w:val="both"/>
        <w:rPr>
          <w:rFonts w:ascii="Abadi" w:hAnsi="Abadi"/>
          <w:sz w:val="21"/>
          <w:szCs w:val="21"/>
        </w:rPr>
      </w:pPr>
    </w:p>
    <w:p w14:paraId="155CA6AA" w14:textId="77777777" w:rsidR="00CA2D2F" w:rsidRDefault="00CA2D2F" w:rsidP="00CA2D2F">
      <w:pPr>
        <w:jc w:val="both"/>
        <w:rPr>
          <w:rFonts w:ascii="Abadi" w:hAnsi="Abadi"/>
          <w:sz w:val="21"/>
          <w:szCs w:val="21"/>
        </w:rPr>
      </w:pPr>
      <w:r w:rsidRPr="00140C2A">
        <w:rPr>
          <w:rFonts w:ascii="Abadi" w:hAnsi="Abadi"/>
          <w:b/>
          <w:bCs/>
          <w:sz w:val="21"/>
          <w:szCs w:val="21"/>
        </w:rPr>
        <w:t>II. Impacto administrativo:</w:t>
      </w:r>
      <w:r w:rsidRPr="008C0402">
        <w:rPr>
          <w:rFonts w:ascii="Abadi" w:hAnsi="Abadi"/>
          <w:sz w:val="21"/>
          <w:szCs w:val="21"/>
        </w:rPr>
        <w:t xml:space="preserve"> Se tendrá una dependencia municipal de la Administración Pública para la atención a los Jóvenes. </w:t>
      </w:r>
    </w:p>
    <w:p w14:paraId="1E727D55" w14:textId="77777777" w:rsidR="00CA2D2F" w:rsidRDefault="00CA2D2F" w:rsidP="00CA2D2F">
      <w:pPr>
        <w:jc w:val="both"/>
        <w:rPr>
          <w:rFonts w:ascii="Abadi" w:hAnsi="Abadi"/>
          <w:sz w:val="21"/>
          <w:szCs w:val="21"/>
        </w:rPr>
      </w:pPr>
    </w:p>
    <w:p w14:paraId="293EFAD9" w14:textId="65E0ACF1" w:rsidR="00CA2D2F" w:rsidRDefault="00CA2D2F" w:rsidP="00CA2D2F">
      <w:pPr>
        <w:jc w:val="both"/>
        <w:rPr>
          <w:rFonts w:ascii="Abadi" w:hAnsi="Abadi"/>
          <w:sz w:val="21"/>
          <w:szCs w:val="21"/>
        </w:rPr>
      </w:pPr>
      <w:r w:rsidRPr="00CF5D44">
        <w:rPr>
          <w:rFonts w:ascii="Abadi" w:hAnsi="Abadi"/>
          <w:b/>
          <w:bCs/>
          <w:sz w:val="21"/>
          <w:szCs w:val="21"/>
        </w:rPr>
        <w:t xml:space="preserve">III. Impacto presupuestario: </w:t>
      </w:r>
      <w:r w:rsidRPr="008C0402">
        <w:rPr>
          <w:rFonts w:ascii="Abadi" w:hAnsi="Abadi"/>
          <w:sz w:val="21"/>
          <w:szCs w:val="21"/>
        </w:rPr>
        <w:t xml:space="preserve">La presente iniciativa supone un impacto presupuestario en los </w:t>
      </w:r>
      <w:r w:rsidRPr="008C0402">
        <w:rPr>
          <w:rFonts w:ascii="Abadi" w:hAnsi="Abadi"/>
          <w:sz w:val="21"/>
          <w:szCs w:val="21"/>
        </w:rPr>
        <w:t xml:space="preserve">municipios que deberá contemplarse a partir de sus leyes de Egresos para el Ejercicio Fiscal de 2023. </w:t>
      </w:r>
    </w:p>
    <w:p w14:paraId="77578BE3" w14:textId="77777777" w:rsidR="00CA2D2F" w:rsidRDefault="00CA2D2F" w:rsidP="00CA2D2F">
      <w:pPr>
        <w:jc w:val="both"/>
        <w:rPr>
          <w:rFonts w:ascii="Abadi" w:hAnsi="Abadi"/>
          <w:sz w:val="21"/>
          <w:szCs w:val="21"/>
        </w:rPr>
      </w:pPr>
    </w:p>
    <w:p w14:paraId="702A2FEB" w14:textId="77777777" w:rsidR="00CA2D2F" w:rsidRDefault="00CA2D2F" w:rsidP="00CA2D2F">
      <w:pPr>
        <w:jc w:val="both"/>
        <w:rPr>
          <w:rFonts w:ascii="Abadi" w:hAnsi="Abadi"/>
          <w:sz w:val="21"/>
          <w:szCs w:val="21"/>
        </w:rPr>
      </w:pPr>
      <w:r w:rsidRPr="00140C2A">
        <w:rPr>
          <w:rFonts w:ascii="Abadi" w:hAnsi="Abadi"/>
          <w:b/>
          <w:bCs/>
          <w:sz w:val="21"/>
          <w:szCs w:val="21"/>
        </w:rPr>
        <w:t>IV. Impacto social:</w:t>
      </w:r>
      <w:r w:rsidRPr="008C0402">
        <w:rPr>
          <w:rFonts w:ascii="Abadi" w:hAnsi="Abadi"/>
          <w:sz w:val="21"/>
          <w:szCs w:val="21"/>
        </w:rPr>
        <w:t xml:space="preserve"> Se beneficiará a más de 1,925,000 jóvenes que viven en los 46 municipios en el Estado, al tener una dependencia especializada en temas de políticas públicas para la juventud. Por lo anterior expuesto, nos permitimos someter a la consideración de esta Asamblea Legislativa, el siguiente proyecto de: </w:t>
      </w:r>
    </w:p>
    <w:p w14:paraId="1D7D4974" w14:textId="77777777" w:rsidR="00CA2D2F" w:rsidRDefault="00CA2D2F" w:rsidP="00CA2D2F">
      <w:pPr>
        <w:jc w:val="both"/>
        <w:rPr>
          <w:rFonts w:ascii="Abadi" w:hAnsi="Abadi"/>
          <w:sz w:val="21"/>
          <w:szCs w:val="21"/>
        </w:rPr>
      </w:pPr>
    </w:p>
    <w:p w14:paraId="6A779D03" w14:textId="77777777" w:rsidR="00CA2D2F" w:rsidRPr="00140C2A" w:rsidRDefault="00CA2D2F" w:rsidP="00CA2D2F">
      <w:pPr>
        <w:jc w:val="center"/>
        <w:rPr>
          <w:rFonts w:ascii="Abadi" w:hAnsi="Abadi"/>
          <w:b/>
          <w:bCs/>
          <w:sz w:val="21"/>
          <w:szCs w:val="21"/>
        </w:rPr>
      </w:pPr>
      <w:r w:rsidRPr="00140C2A">
        <w:rPr>
          <w:rFonts w:ascii="Abadi" w:hAnsi="Abadi"/>
          <w:b/>
          <w:bCs/>
          <w:sz w:val="21"/>
          <w:szCs w:val="21"/>
        </w:rPr>
        <w:t>DECRETO</w:t>
      </w:r>
    </w:p>
    <w:p w14:paraId="09CF6CEF" w14:textId="77777777" w:rsidR="00CA2D2F" w:rsidRDefault="00CA2D2F" w:rsidP="00CA2D2F">
      <w:pPr>
        <w:jc w:val="both"/>
        <w:rPr>
          <w:rFonts w:ascii="Abadi" w:hAnsi="Abadi"/>
          <w:sz w:val="21"/>
          <w:szCs w:val="21"/>
        </w:rPr>
      </w:pPr>
    </w:p>
    <w:p w14:paraId="7592D56D" w14:textId="77777777" w:rsidR="00CA2D2F" w:rsidRPr="008C0402" w:rsidRDefault="00CA2D2F" w:rsidP="00CA2D2F">
      <w:pPr>
        <w:jc w:val="both"/>
        <w:rPr>
          <w:rFonts w:ascii="Abadi" w:hAnsi="Abadi"/>
          <w:sz w:val="21"/>
          <w:szCs w:val="21"/>
        </w:rPr>
      </w:pPr>
      <w:r w:rsidRPr="00CF5D44">
        <w:rPr>
          <w:rFonts w:ascii="Abadi" w:hAnsi="Abadi"/>
          <w:b/>
          <w:bCs/>
          <w:sz w:val="21"/>
          <w:szCs w:val="21"/>
        </w:rPr>
        <w:t>ARTÍCULO ÚNICO. -</w:t>
      </w:r>
      <w:r w:rsidRPr="008C0402">
        <w:rPr>
          <w:rFonts w:ascii="Abadi" w:hAnsi="Abadi"/>
          <w:sz w:val="21"/>
          <w:szCs w:val="21"/>
        </w:rPr>
        <w:t xml:space="preserve"> Se adiciona el inciso “o” a la fracción V del articulo 76 y se adiciona la fracción XI, recorriéndose la subsecuente y se reforma el último párrafo al artículo 124 de la Ley Orgánica Municipal para el Estado de Guanajuato, para quedar en los siguientes términos:</w:t>
      </w:r>
    </w:p>
    <w:p w14:paraId="1D12B72D" w14:textId="77777777" w:rsidR="00CA2D2F" w:rsidRPr="008C0402" w:rsidRDefault="00CA2D2F" w:rsidP="00CA2D2F">
      <w:pPr>
        <w:jc w:val="both"/>
        <w:rPr>
          <w:rFonts w:ascii="Abadi" w:hAnsi="Abadi"/>
          <w:sz w:val="21"/>
          <w:szCs w:val="21"/>
        </w:rPr>
      </w:pPr>
    </w:p>
    <w:p w14:paraId="720A077F" w14:textId="77777777" w:rsidR="00CA2D2F" w:rsidRDefault="00CA2D2F" w:rsidP="00CA2D2F">
      <w:pPr>
        <w:jc w:val="both"/>
        <w:rPr>
          <w:rFonts w:ascii="Abadi" w:hAnsi="Abadi"/>
          <w:sz w:val="21"/>
          <w:szCs w:val="21"/>
        </w:rPr>
      </w:pPr>
      <w:r w:rsidRPr="00CF5D44">
        <w:rPr>
          <w:rFonts w:ascii="Abadi" w:hAnsi="Abadi"/>
          <w:b/>
          <w:bCs/>
          <w:sz w:val="21"/>
          <w:szCs w:val="21"/>
        </w:rPr>
        <w:t>Artículo 76.</w:t>
      </w:r>
      <w:r w:rsidRPr="008C0402">
        <w:rPr>
          <w:rFonts w:ascii="Abadi" w:hAnsi="Abadi"/>
          <w:sz w:val="21"/>
          <w:szCs w:val="21"/>
        </w:rPr>
        <w:t xml:space="preserve"> Los ayuntamientos tendrán las siguientes atribuciones: </w:t>
      </w:r>
    </w:p>
    <w:p w14:paraId="05CE7E4A" w14:textId="77777777" w:rsidR="00CA2D2F" w:rsidRDefault="00CA2D2F" w:rsidP="00CA2D2F">
      <w:pPr>
        <w:jc w:val="both"/>
        <w:rPr>
          <w:rFonts w:ascii="Abadi" w:hAnsi="Abadi"/>
          <w:sz w:val="21"/>
          <w:szCs w:val="21"/>
        </w:rPr>
      </w:pPr>
    </w:p>
    <w:p w14:paraId="5DCF86C4" w14:textId="749E8AB5" w:rsidR="00CA2D2F" w:rsidRDefault="00CA2D2F" w:rsidP="00CA2D2F">
      <w:pPr>
        <w:jc w:val="both"/>
        <w:rPr>
          <w:rFonts w:ascii="Abadi" w:hAnsi="Abadi"/>
          <w:sz w:val="21"/>
          <w:szCs w:val="21"/>
        </w:rPr>
      </w:pPr>
      <w:r w:rsidRPr="008C0402">
        <w:rPr>
          <w:rFonts w:ascii="Abadi" w:hAnsi="Abadi"/>
          <w:sz w:val="21"/>
          <w:szCs w:val="21"/>
        </w:rPr>
        <w:t xml:space="preserve">Fracciones I a IV ... </w:t>
      </w:r>
    </w:p>
    <w:p w14:paraId="013C3CB7" w14:textId="77777777" w:rsidR="00CA2D2F" w:rsidRDefault="00CA2D2F" w:rsidP="00CA2D2F">
      <w:pPr>
        <w:jc w:val="both"/>
        <w:rPr>
          <w:rFonts w:ascii="Abadi" w:hAnsi="Abadi"/>
          <w:sz w:val="21"/>
          <w:szCs w:val="21"/>
        </w:rPr>
      </w:pPr>
    </w:p>
    <w:p w14:paraId="7D71FBA5" w14:textId="77777777" w:rsidR="00CA2D2F" w:rsidRDefault="00CA2D2F" w:rsidP="00CA2D2F">
      <w:pPr>
        <w:jc w:val="both"/>
        <w:rPr>
          <w:rFonts w:ascii="Abadi" w:hAnsi="Abadi"/>
          <w:sz w:val="21"/>
          <w:szCs w:val="21"/>
        </w:rPr>
      </w:pPr>
      <w:r w:rsidRPr="00CF5D44">
        <w:rPr>
          <w:rFonts w:ascii="Abadi" w:hAnsi="Abadi"/>
          <w:b/>
          <w:bCs/>
          <w:sz w:val="21"/>
          <w:szCs w:val="21"/>
        </w:rPr>
        <w:t>V.</w:t>
      </w:r>
      <w:r w:rsidRPr="008C0402">
        <w:rPr>
          <w:rFonts w:ascii="Abadi" w:hAnsi="Abadi"/>
          <w:sz w:val="21"/>
          <w:szCs w:val="21"/>
        </w:rPr>
        <w:t xml:space="preserve"> En materia de participación social, desarrollo social, asistencial y económico, salud pública, educación y cultura, científico y tecnológico: </w:t>
      </w:r>
    </w:p>
    <w:p w14:paraId="18CFDF1B" w14:textId="7EF1EECD" w:rsidR="00CA2D2F" w:rsidRDefault="00CA2D2F" w:rsidP="00CA2D2F">
      <w:pPr>
        <w:jc w:val="both"/>
        <w:rPr>
          <w:rFonts w:ascii="Abadi" w:hAnsi="Abadi"/>
          <w:sz w:val="21"/>
          <w:szCs w:val="21"/>
        </w:rPr>
      </w:pPr>
      <w:r w:rsidRPr="008C0402">
        <w:rPr>
          <w:rFonts w:ascii="Abadi" w:hAnsi="Abadi"/>
          <w:sz w:val="21"/>
          <w:szCs w:val="21"/>
        </w:rPr>
        <w:t xml:space="preserve">Incisos “a” a “n” ... </w:t>
      </w:r>
    </w:p>
    <w:p w14:paraId="226322C4" w14:textId="77777777" w:rsidR="00CA2D2F" w:rsidRDefault="00CA2D2F" w:rsidP="00CA2D2F">
      <w:pPr>
        <w:jc w:val="both"/>
        <w:rPr>
          <w:rFonts w:ascii="Abadi" w:hAnsi="Abadi"/>
          <w:sz w:val="21"/>
          <w:szCs w:val="21"/>
        </w:rPr>
      </w:pPr>
    </w:p>
    <w:p w14:paraId="79AED384" w14:textId="77777777" w:rsidR="00CA2D2F" w:rsidRPr="00CF5D44" w:rsidRDefault="00CA2D2F" w:rsidP="00CA2D2F">
      <w:pPr>
        <w:jc w:val="both"/>
        <w:rPr>
          <w:rFonts w:ascii="Abadi" w:hAnsi="Abadi"/>
          <w:b/>
          <w:bCs/>
          <w:i/>
          <w:iCs/>
          <w:sz w:val="21"/>
          <w:szCs w:val="21"/>
        </w:rPr>
      </w:pPr>
      <w:r w:rsidRPr="00CF5D44">
        <w:rPr>
          <w:rFonts w:ascii="Abadi" w:hAnsi="Abadi"/>
          <w:b/>
          <w:bCs/>
          <w:i/>
          <w:iCs/>
          <w:sz w:val="21"/>
          <w:szCs w:val="21"/>
        </w:rPr>
        <w:t xml:space="preserve">o) Promover políticas públicas con perspectiva de juventud que garanticen los derechos de las y los jóvenes, acordes a la inclusión social y la igualdad de oportunidades, procurando en todo momento el empoderamiento de la juventud. </w:t>
      </w:r>
    </w:p>
    <w:p w14:paraId="42F55E72" w14:textId="77777777" w:rsidR="00CA2D2F" w:rsidRDefault="00CA2D2F" w:rsidP="00CA2D2F">
      <w:pPr>
        <w:jc w:val="both"/>
        <w:rPr>
          <w:rFonts w:ascii="Abadi" w:hAnsi="Abadi"/>
          <w:sz w:val="21"/>
          <w:szCs w:val="21"/>
        </w:rPr>
      </w:pPr>
    </w:p>
    <w:p w14:paraId="5A35200B" w14:textId="77777777" w:rsidR="00CA2D2F" w:rsidRPr="00CF5D44" w:rsidRDefault="00CA2D2F" w:rsidP="00CA2D2F">
      <w:pPr>
        <w:jc w:val="both"/>
        <w:rPr>
          <w:rFonts w:ascii="Abadi" w:hAnsi="Abadi"/>
          <w:b/>
          <w:bCs/>
          <w:sz w:val="21"/>
          <w:szCs w:val="21"/>
        </w:rPr>
      </w:pPr>
      <w:r w:rsidRPr="00CF5D44">
        <w:rPr>
          <w:rFonts w:ascii="Abadi" w:hAnsi="Abadi"/>
          <w:b/>
          <w:bCs/>
          <w:sz w:val="21"/>
          <w:szCs w:val="21"/>
        </w:rPr>
        <w:t xml:space="preserve">Dependencias municipales </w:t>
      </w:r>
    </w:p>
    <w:p w14:paraId="431B1DAA" w14:textId="77777777" w:rsidR="00CA2D2F" w:rsidRDefault="00CA2D2F" w:rsidP="00CA2D2F">
      <w:pPr>
        <w:jc w:val="both"/>
        <w:rPr>
          <w:rFonts w:ascii="Abadi" w:hAnsi="Abadi"/>
          <w:sz w:val="21"/>
          <w:szCs w:val="21"/>
        </w:rPr>
      </w:pPr>
    </w:p>
    <w:p w14:paraId="024DCA2B" w14:textId="77777777" w:rsidR="00CA2D2F" w:rsidRDefault="00CA2D2F" w:rsidP="00CA2D2F">
      <w:pPr>
        <w:jc w:val="both"/>
        <w:rPr>
          <w:rFonts w:ascii="Abadi" w:hAnsi="Abadi"/>
          <w:sz w:val="21"/>
          <w:szCs w:val="21"/>
        </w:rPr>
      </w:pPr>
      <w:r w:rsidRPr="00CF5D44">
        <w:rPr>
          <w:rFonts w:ascii="Abadi" w:hAnsi="Abadi"/>
          <w:b/>
          <w:bCs/>
          <w:sz w:val="21"/>
          <w:szCs w:val="21"/>
        </w:rPr>
        <w:t>Artículo 124.</w:t>
      </w:r>
      <w:r w:rsidRPr="008C0402">
        <w:rPr>
          <w:rFonts w:ascii="Abadi" w:hAnsi="Abadi"/>
          <w:sz w:val="21"/>
          <w:szCs w:val="21"/>
        </w:rPr>
        <w:t xml:space="preserve"> Para el estudio y despacho de los diversos ramos de la administración pública municipal, el Ayuntamiento establecerá́ las siguientes dependencias: </w:t>
      </w:r>
    </w:p>
    <w:p w14:paraId="7D518B11" w14:textId="77777777" w:rsidR="00CA2D2F" w:rsidRDefault="00CA2D2F" w:rsidP="00CA2D2F">
      <w:pPr>
        <w:jc w:val="both"/>
        <w:rPr>
          <w:rFonts w:ascii="Abadi" w:hAnsi="Abadi"/>
          <w:sz w:val="21"/>
          <w:szCs w:val="21"/>
        </w:rPr>
      </w:pPr>
      <w:r w:rsidRPr="008C0402">
        <w:rPr>
          <w:rFonts w:ascii="Abadi" w:hAnsi="Abadi"/>
          <w:sz w:val="21"/>
          <w:szCs w:val="21"/>
        </w:rPr>
        <w:t xml:space="preserve">Fracciones I a X ... </w:t>
      </w:r>
    </w:p>
    <w:p w14:paraId="473BD32D" w14:textId="77777777" w:rsidR="00CA2D2F" w:rsidRDefault="00CA2D2F" w:rsidP="00CA2D2F">
      <w:pPr>
        <w:jc w:val="both"/>
        <w:rPr>
          <w:rFonts w:ascii="Abadi" w:hAnsi="Abadi"/>
          <w:b/>
          <w:bCs/>
          <w:sz w:val="21"/>
          <w:szCs w:val="21"/>
        </w:rPr>
      </w:pPr>
    </w:p>
    <w:p w14:paraId="3C50F4E7" w14:textId="5039749F" w:rsidR="00CA2D2F" w:rsidRPr="00CF5D44" w:rsidRDefault="00CA2D2F" w:rsidP="00CA2D2F">
      <w:pPr>
        <w:jc w:val="both"/>
        <w:rPr>
          <w:rFonts w:ascii="Abadi" w:hAnsi="Abadi"/>
          <w:b/>
          <w:bCs/>
          <w:sz w:val="21"/>
          <w:szCs w:val="21"/>
        </w:rPr>
      </w:pPr>
      <w:r w:rsidRPr="00CF5D44">
        <w:rPr>
          <w:rFonts w:ascii="Abadi" w:hAnsi="Abadi"/>
          <w:b/>
          <w:bCs/>
          <w:sz w:val="21"/>
          <w:szCs w:val="21"/>
        </w:rPr>
        <w:t>XI. Atenci</w:t>
      </w:r>
      <w:r w:rsidRPr="00CF5D44">
        <w:rPr>
          <w:rFonts w:ascii="Abadi" w:hAnsi="Abadi" w:cs="Abadi"/>
          <w:b/>
          <w:bCs/>
          <w:sz w:val="21"/>
          <w:szCs w:val="21"/>
        </w:rPr>
        <w:t>ó</w:t>
      </w:r>
      <w:r w:rsidRPr="00CF5D44">
        <w:rPr>
          <w:rFonts w:ascii="Abadi" w:hAnsi="Abadi"/>
          <w:b/>
          <w:bCs/>
          <w:sz w:val="21"/>
          <w:szCs w:val="21"/>
        </w:rPr>
        <w:t>n a los J</w:t>
      </w:r>
      <w:r w:rsidRPr="00CF5D44">
        <w:rPr>
          <w:rFonts w:ascii="Abadi" w:hAnsi="Abadi" w:cs="Abadi"/>
          <w:b/>
          <w:bCs/>
          <w:sz w:val="21"/>
          <w:szCs w:val="21"/>
        </w:rPr>
        <w:t>ó</w:t>
      </w:r>
      <w:r w:rsidRPr="00CF5D44">
        <w:rPr>
          <w:rFonts w:ascii="Abadi" w:hAnsi="Abadi"/>
          <w:b/>
          <w:bCs/>
          <w:sz w:val="21"/>
          <w:szCs w:val="21"/>
        </w:rPr>
        <w:t>venes</w:t>
      </w:r>
    </w:p>
    <w:p w14:paraId="5D37807E" w14:textId="77777777" w:rsidR="00CA2D2F" w:rsidRDefault="00CA2D2F" w:rsidP="00CA2D2F">
      <w:pPr>
        <w:jc w:val="both"/>
        <w:rPr>
          <w:rFonts w:ascii="Abadi" w:hAnsi="Abadi"/>
          <w:sz w:val="21"/>
          <w:szCs w:val="21"/>
        </w:rPr>
      </w:pPr>
    </w:p>
    <w:p w14:paraId="08D017B7" w14:textId="5D212FE6" w:rsidR="00CA2D2F" w:rsidRDefault="00CA2D2F" w:rsidP="00CA2D2F">
      <w:pPr>
        <w:jc w:val="both"/>
        <w:rPr>
          <w:rFonts w:ascii="Abadi" w:hAnsi="Abadi"/>
          <w:sz w:val="21"/>
          <w:szCs w:val="21"/>
        </w:rPr>
      </w:pPr>
      <w:r w:rsidRPr="008C0402">
        <w:rPr>
          <w:rFonts w:ascii="Abadi" w:hAnsi="Abadi"/>
          <w:sz w:val="21"/>
          <w:szCs w:val="21"/>
        </w:rPr>
        <w:t xml:space="preserve"> Los ayuntamientos en el reglamento correspondiente deber</w:t>
      </w:r>
      <w:r w:rsidRPr="008C0402">
        <w:rPr>
          <w:rFonts w:ascii="Abadi" w:hAnsi="Abadi" w:cs="Abadi"/>
          <w:sz w:val="21"/>
          <w:szCs w:val="21"/>
        </w:rPr>
        <w:t>á</w:t>
      </w:r>
      <w:r w:rsidRPr="008C0402">
        <w:rPr>
          <w:rFonts w:ascii="Abadi" w:hAnsi="Abadi"/>
          <w:sz w:val="21"/>
          <w:szCs w:val="21"/>
        </w:rPr>
        <w:t>n se</w:t>
      </w:r>
      <w:r w:rsidRPr="008C0402">
        <w:rPr>
          <w:rFonts w:ascii="Abadi" w:hAnsi="Abadi" w:cs="Abadi"/>
          <w:sz w:val="21"/>
          <w:szCs w:val="21"/>
        </w:rPr>
        <w:t>ñ</w:t>
      </w:r>
      <w:r w:rsidRPr="008C0402">
        <w:rPr>
          <w:rFonts w:ascii="Abadi" w:hAnsi="Abadi"/>
          <w:sz w:val="21"/>
          <w:szCs w:val="21"/>
        </w:rPr>
        <w:t xml:space="preserve">alar las atribuciones que tendrán las dependencias señaladas en las fracciones IV a XI de este artículo; asimismo, podrán otorgarles la denominación que corresponda atendiendo a su organización administrativa. </w:t>
      </w:r>
    </w:p>
    <w:p w14:paraId="54F10E2C" w14:textId="77777777" w:rsidR="00CA2D2F" w:rsidRDefault="00CA2D2F" w:rsidP="00CA2D2F">
      <w:pPr>
        <w:jc w:val="center"/>
        <w:rPr>
          <w:rFonts w:ascii="Abadi" w:hAnsi="Abadi"/>
          <w:b/>
          <w:bCs/>
          <w:sz w:val="21"/>
          <w:szCs w:val="21"/>
        </w:rPr>
      </w:pPr>
    </w:p>
    <w:p w14:paraId="322A7A22" w14:textId="354937DE" w:rsidR="00CA2D2F" w:rsidRDefault="00CA2D2F" w:rsidP="00CA2D2F">
      <w:pPr>
        <w:jc w:val="center"/>
        <w:rPr>
          <w:rFonts w:ascii="Abadi" w:hAnsi="Abadi"/>
          <w:sz w:val="21"/>
          <w:szCs w:val="21"/>
        </w:rPr>
      </w:pPr>
      <w:r w:rsidRPr="00CF5D44">
        <w:rPr>
          <w:rFonts w:ascii="Abadi" w:hAnsi="Abadi"/>
          <w:b/>
          <w:bCs/>
          <w:sz w:val="21"/>
          <w:szCs w:val="21"/>
        </w:rPr>
        <w:t>TRANSITORIOS:</w:t>
      </w:r>
    </w:p>
    <w:p w14:paraId="70AD6387" w14:textId="77777777" w:rsidR="00CA2D2F" w:rsidRDefault="00CA2D2F" w:rsidP="00CA2D2F">
      <w:pPr>
        <w:jc w:val="both"/>
        <w:rPr>
          <w:rFonts w:ascii="Abadi" w:hAnsi="Abadi"/>
          <w:b/>
          <w:bCs/>
          <w:sz w:val="21"/>
          <w:szCs w:val="21"/>
        </w:rPr>
      </w:pPr>
    </w:p>
    <w:p w14:paraId="229C3C1A" w14:textId="3EB9959C" w:rsidR="00CA2D2F" w:rsidRDefault="00CA2D2F" w:rsidP="00CA2D2F">
      <w:pPr>
        <w:jc w:val="both"/>
        <w:rPr>
          <w:rFonts w:ascii="Abadi" w:hAnsi="Abadi"/>
          <w:sz w:val="21"/>
          <w:szCs w:val="21"/>
        </w:rPr>
      </w:pPr>
      <w:r w:rsidRPr="00CF5D44">
        <w:rPr>
          <w:rFonts w:ascii="Abadi" w:hAnsi="Abadi"/>
          <w:b/>
          <w:bCs/>
          <w:sz w:val="21"/>
          <w:szCs w:val="21"/>
        </w:rPr>
        <w:t>Primero. -</w:t>
      </w:r>
      <w:r w:rsidRPr="008C0402">
        <w:rPr>
          <w:rFonts w:ascii="Abadi" w:hAnsi="Abadi"/>
          <w:sz w:val="21"/>
          <w:szCs w:val="21"/>
        </w:rPr>
        <w:t xml:space="preserve"> El presente decreto entrará en vigor al día siguiente de su publicación en el Periódico Oficial del Estado. </w:t>
      </w:r>
    </w:p>
    <w:p w14:paraId="37AC601B" w14:textId="77777777" w:rsidR="00CA2D2F" w:rsidRDefault="00CA2D2F" w:rsidP="00CA2D2F">
      <w:pPr>
        <w:jc w:val="both"/>
        <w:rPr>
          <w:rFonts w:ascii="Abadi" w:hAnsi="Abadi"/>
          <w:b/>
          <w:bCs/>
          <w:sz w:val="21"/>
          <w:szCs w:val="21"/>
        </w:rPr>
      </w:pPr>
    </w:p>
    <w:p w14:paraId="5EBA6B70" w14:textId="46D0146C" w:rsidR="00CA2D2F" w:rsidRPr="008C0402" w:rsidRDefault="00CA2D2F" w:rsidP="00CA2D2F">
      <w:pPr>
        <w:jc w:val="both"/>
        <w:rPr>
          <w:rFonts w:ascii="Abadi" w:hAnsi="Abadi"/>
          <w:sz w:val="21"/>
          <w:szCs w:val="21"/>
        </w:rPr>
      </w:pPr>
      <w:r w:rsidRPr="00CF5D44">
        <w:rPr>
          <w:rFonts w:ascii="Abadi" w:hAnsi="Abadi"/>
          <w:b/>
          <w:bCs/>
          <w:sz w:val="21"/>
          <w:szCs w:val="21"/>
        </w:rPr>
        <w:t>Segundo. -</w:t>
      </w:r>
      <w:r w:rsidRPr="008C0402">
        <w:rPr>
          <w:rFonts w:ascii="Abadi" w:hAnsi="Abadi"/>
          <w:sz w:val="21"/>
          <w:szCs w:val="21"/>
        </w:rPr>
        <w:t xml:space="preserve"> Los ayuntamientos deberán actualizar los reglamentos correspondientes, a fin de señalar las atribuciones que tendrá la dependencia de Atención a los Jóvenes, en un lapso no mayor a 180 días a partir de la entrada en vigor del presente decreto.</w:t>
      </w:r>
    </w:p>
    <w:p w14:paraId="30B89828" w14:textId="77777777" w:rsidR="00CA2D2F" w:rsidRPr="008C0402" w:rsidRDefault="00CA2D2F" w:rsidP="00CA2D2F">
      <w:pPr>
        <w:jc w:val="both"/>
        <w:rPr>
          <w:rFonts w:ascii="Abadi" w:hAnsi="Abadi"/>
          <w:sz w:val="21"/>
          <w:szCs w:val="21"/>
        </w:rPr>
      </w:pPr>
    </w:p>
    <w:p w14:paraId="34B202A9" w14:textId="6AEFC2B9" w:rsidR="00CA2D2F" w:rsidRPr="00CF5D44" w:rsidRDefault="00CA2D2F" w:rsidP="00CA2D2F">
      <w:pPr>
        <w:jc w:val="center"/>
        <w:rPr>
          <w:rFonts w:ascii="Abadi" w:hAnsi="Abadi"/>
          <w:b/>
          <w:bCs/>
          <w:sz w:val="21"/>
          <w:szCs w:val="21"/>
        </w:rPr>
      </w:pPr>
      <w:r w:rsidRPr="00CF5D44">
        <w:rPr>
          <w:rFonts w:ascii="Abadi" w:hAnsi="Abadi"/>
          <w:b/>
          <w:bCs/>
          <w:sz w:val="21"/>
          <w:szCs w:val="21"/>
        </w:rPr>
        <w:t>Diputada Martha Edith Moreno Valencia</w:t>
      </w:r>
    </w:p>
    <w:p w14:paraId="2C1CD5DA" w14:textId="0B0E2806" w:rsidR="00CA2D2F" w:rsidRPr="00CF5D44" w:rsidRDefault="00CA2D2F" w:rsidP="00CA2D2F">
      <w:pPr>
        <w:jc w:val="center"/>
        <w:rPr>
          <w:rFonts w:ascii="Abadi" w:hAnsi="Abadi"/>
          <w:b/>
          <w:bCs/>
          <w:sz w:val="21"/>
          <w:szCs w:val="21"/>
        </w:rPr>
      </w:pPr>
      <w:r w:rsidRPr="00CF5D44">
        <w:rPr>
          <w:rFonts w:ascii="Abadi" w:hAnsi="Abadi"/>
          <w:b/>
          <w:bCs/>
          <w:sz w:val="21"/>
          <w:szCs w:val="21"/>
        </w:rPr>
        <w:t>Grupo Parlamentario de Morena</w:t>
      </w:r>
    </w:p>
    <w:p w14:paraId="6944D878" w14:textId="77777777" w:rsidR="00CA2D2F" w:rsidRPr="00CF5D44" w:rsidRDefault="00CA2D2F" w:rsidP="00CA2D2F">
      <w:pPr>
        <w:jc w:val="center"/>
        <w:rPr>
          <w:rFonts w:ascii="Abadi" w:hAnsi="Abadi"/>
          <w:b/>
          <w:bCs/>
          <w:sz w:val="21"/>
          <w:szCs w:val="21"/>
        </w:rPr>
      </w:pPr>
      <w:r w:rsidRPr="00CF5D44">
        <w:rPr>
          <w:rFonts w:ascii="Abadi" w:hAnsi="Abadi"/>
          <w:b/>
          <w:bCs/>
          <w:sz w:val="21"/>
          <w:szCs w:val="21"/>
        </w:rPr>
        <w:t>Guanajuato, Gto., 21 de junio de 2022.</w:t>
      </w:r>
    </w:p>
    <w:p w14:paraId="4E14F225" w14:textId="779DF187" w:rsidR="006654F7" w:rsidRDefault="006654F7" w:rsidP="005D65F1">
      <w:pPr>
        <w:tabs>
          <w:tab w:val="left" w:pos="845"/>
        </w:tabs>
        <w:kinsoku w:val="0"/>
        <w:overflowPunct w:val="0"/>
        <w:autoSpaceDE w:val="0"/>
        <w:autoSpaceDN w:val="0"/>
        <w:adjustRightInd w:val="0"/>
        <w:spacing w:before="220"/>
        <w:ind w:right="17"/>
        <w:jc w:val="both"/>
        <w:rPr>
          <w:rFonts w:ascii="Abadi" w:hAnsi="Abadi"/>
          <w:b/>
          <w:bCs/>
          <w:sz w:val="20"/>
          <w:szCs w:val="20"/>
        </w:rPr>
      </w:pPr>
    </w:p>
    <w:p w14:paraId="0147BFA2" w14:textId="77777777" w:rsidR="004E6308" w:rsidRDefault="004E6308" w:rsidP="005D65F1">
      <w:pPr>
        <w:tabs>
          <w:tab w:val="left" w:pos="845"/>
        </w:tabs>
        <w:kinsoku w:val="0"/>
        <w:overflowPunct w:val="0"/>
        <w:autoSpaceDE w:val="0"/>
        <w:autoSpaceDN w:val="0"/>
        <w:adjustRightInd w:val="0"/>
        <w:spacing w:before="220"/>
        <w:ind w:right="17"/>
        <w:jc w:val="both"/>
        <w:rPr>
          <w:rFonts w:ascii="Abadi" w:hAnsi="Abadi"/>
          <w:b/>
          <w:bCs/>
          <w:sz w:val="20"/>
          <w:szCs w:val="20"/>
        </w:rPr>
      </w:pPr>
    </w:p>
    <w:p w14:paraId="644DA796" w14:textId="7A0B3634" w:rsidR="009E2530" w:rsidRDefault="009E2530" w:rsidP="005433FA">
      <w:pPr>
        <w:pStyle w:val="Prrafodelista"/>
        <w:numPr>
          <w:ilvl w:val="0"/>
          <w:numId w:val="9"/>
        </w:numPr>
        <w:tabs>
          <w:tab w:val="left" w:pos="845"/>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PRESENTACIÓN</w:t>
      </w:r>
      <w:r w:rsidRPr="00531B12">
        <w:rPr>
          <w:rFonts w:ascii="Abadi" w:hAnsi="Abadi"/>
          <w:b/>
          <w:bCs/>
          <w:spacing w:val="68"/>
          <w:sz w:val="20"/>
          <w:szCs w:val="20"/>
        </w:rPr>
        <w:t xml:space="preserve"> </w:t>
      </w:r>
      <w:r w:rsidRPr="00531B12">
        <w:rPr>
          <w:rFonts w:ascii="Abadi" w:hAnsi="Abadi"/>
          <w:b/>
          <w:bCs/>
          <w:sz w:val="20"/>
          <w:szCs w:val="20"/>
        </w:rPr>
        <w:t>DE</w:t>
      </w:r>
      <w:r w:rsidRPr="00531B12">
        <w:rPr>
          <w:rFonts w:ascii="Abadi" w:hAnsi="Abadi"/>
          <w:b/>
          <w:bCs/>
          <w:spacing w:val="68"/>
          <w:sz w:val="20"/>
          <w:szCs w:val="20"/>
        </w:rPr>
        <w:t xml:space="preserve"> </w:t>
      </w:r>
      <w:r w:rsidRPr="00531B12">
        <w:rPr>
          <w:rFonts w:ascii="Abadi" w:hAnsi="Abadi"/>
          <w:b/>
          <w:bCs/>
          <w:sz w:val="20"/>
          <w:szCs w:val="20"/>
        </w:rPr>
        <w:t>LA</w:t>
      </w:r>
      <w:r w:rsidRPr="00531B12">
        <w:rPr>
          <w:rFonts w:ascii="Abadi" w:hAnsi="Abadi"/>
          <w:b/>
          <w:bCs/>
          <w:spacing w:val="68"/>
          <w:sz w:val="20"/>
          <w:szCs w:val="20"/>
        </w:rPr>
        <w:t xml:space="preserve"> </w:t>
      </w:r>
      <w:r w:rsidRPr="00531B12">
        <w:rPr>
          <w:rFonts w:ascii="Abadi" w:hAnsi="Abadi"/>
          <w:b/>
          <w:bCs/>
          <w:sz w:val="20"/>
          <w:szCs w:val="20"/>
        </w:rPr>
        <w:t>INICIATIVA</w:t>
      </w:r>
      <w:r w:rsidRPr="00531B12">
        <w:rPr>
          <w:rFonts w:ascii="Abadi" w:hAnsi="Abadi"/>
          <w:b/>
          <w:bCs/>
          <w:spacing w:val="68"/>
          <w:sz w:val="20"/>
          <w:szCs w:val="20"/>
        </w:rPr>
        <w:t xml:space="preserve"> </w:t>
      </w:r>
      <w:r w:rsidRPr="00531B12">
        <w:rPr>
          <w:rFonts w:ascii="Abadi" w:hAnsi="Abadi"/>
          <w:b/>
          <w:bCs/>
          <w:sz w:val="20"/>
          <w:szCs w:val="20"/>
        </w:rPr>
        <w:t>A</w:t>
      </w:r>
      <w:r w:rsidRPr="00531B12">
        <w:rPr>
          <w:rFonts w:ascii="Abadi" w:hAnsi="Abadi"/>
          <w:b/>
          <w:bCs/>
          <w:spacing w:val="68"/>
          <w:sz w:val="20"/>
          <w:szCs w:val="20"/>
        </w:rPr>
        <w:t xml:space="preserve"> </w:t>
      </w:r>
      <w:r w:rsidRPr="00531B12">
        <w:rPr>
          <w:rFonts w:ascii="Abadi" w:hAnsi="Abadi"/>
          <w:b/>
          <w:bCs/>
          <w:sz w:val="20"/>
          <w:szCs w:val="20"/>
        </w:rPr>
        <w:t>EFECTO</w:t>
      </w:r>
      <w:r w:rsidRPr="00531B12">
        <w:rPr>
          <w:rFonts w:ascii="Abadi" w:hAnsi="Abadi"/>
          <w:b/>
          <w:bCs/>
          <w:spacing w:val="68"/>
          <w:sz w:val="20"/>
          <w:szCs w:val="20"/>
        </w:rPr>
        <w:t xml:space="preserve"> </w:t>
      </w:r>
      <w:r w:rsidRPr="00531B12">
        <w:rPr>
          <w:rFonts w:ascii="Abadi" w:hAnsi="Abadi"/>
          <w:b/>
          <w:bCs/>
          <w:sz w:val="20"/>
          <w:szCs w:val="20"/>
        </w:rPr>
        <w:t>DE</w:t>
      </w:r>
      <w:r w:rsidRPr="00531B12">
        <w:rPr>
          <w:rFonts w:ascii="Abadi" w:hAnsi="Abadi"/>
          <w:b/>
          <w:bCs/>
          <w:spacing w:val="68"/>
          <w:sz w:val="20"/>
          <w:szCs w:val="20"/>
        </w:rPr>
        <w:t xml:space="preserve"> </w:t>
      </w:r>
      <w:r w:rsidRPr="00531B12">
        <w:rPr>
          <w:rFonts w:ascii="Abadi" w:hAnsi="Abadi"/>
          <w:b/>
          <w:bCs/>
          <w:sz w:val="20"/>
          <w:szCs w:val="20"/>
        </w:rPr>
        <w:t>REFORMAR</w:t>
      </w:r>
      <w:r w:rsidRPr="00531B12">
        <w:rPr>
          <w:rFonts w:ascii="Abadi" w:hAnsi="Abadi"/>
          <w:b/>
          <w:bCs/>
          <w:spacing w:val="68"/>
          <w:sz w:val="20"/>
          <w:szCs w:val="20"/>
        </w:rPr>
        <w:t xml:space="preserve"> </w:t>
      </w:r>
      <w:r w:rsidRPr="00531B12">
        <w:rPr>
          <w:rFonts w:ascii="Abadi" w:hAnsi="Abadi"/>
          <w:b/>
          <w:bCs/>
          <w:sz w:val="20"/>
          <w:szCs w:val="20"/>
        </w:rPr>
        <w:t>Y</w:t>
      </w:r>
      <w:r w:rsidRPr="00531B12">
        <w:rPr>
          <w:rFonts w:ascii="Abadi" w:hAnsi="Abadi"/>
          <w:b/>
          <w:bCs/>
          <w:spacing w:val="68"/>
          <w:sz w:val="20"/>
          <w:szCs w:val="20"/>
        </w:rPr>
        <w:t xml:space="preserve"> </w:t>
      </w:r>
      <w:r w:rsidRPr="00531B12">
        <w:rPr>
          <w:rFonts w:ascii="Abadi" w:hAnsi="Abadi"/>
          <w:b/>
          <w:bCs/>
          <w:sz w:val="20"/>
          <w:szCs w:val="20"/>
        </w:rPr>
        <w:t>ADICIONAR</w:t>
      </w:r>
      <w:r w:rsidRPr="00531B12">
        <w:rPr>
          <w:rFonts w:ascii="Abadi" w:hAnsi="Abadi"/>
          <w:b/>
          <w:bCs/>
          <w:spacing w:val="68"/>
          <w:sz w:val="20"/>
          <w:szCs w:val="20"/>
        </w:rPr>
        <w:t xml:space="preserve"> </w:t>
      </w:r>
      <w:r w:rsidRPr="00531B12">
        <w:rPr>
          <w:rFonts w:ascii="Abadi" w:hAnsi="Abadi"/>
          <w:b/>
          <w:bCs/>
          <w:sz w:val="20"/>
          <w:szCs w:val="20"/>
        </w:rPr>
        <w:t>DIVERSAS</w:t>
      </w:r>
      <w:r w:rsidRPr="00531B12">
        <w:rPr>
          <w:rFonts w:ascii="Abadi" w:hAnsi="Abadi"/>
          <w:b/>
          <w:bCs/>
          <w:spacing w:val="-1"/>
          <w:sz w:val="20"/>
          <w:szCs w:val="20"/>
        </w:rPr>
        <w:t xml:space="preserve"> </w:t>
      </w:r>
      <w:r w:rsidRPr="00531B12">
        <w:rPr>
          <w:rFonts w:ascii="Abadi" w:hAnsi="Abadi"/>
          <w:b/>
          <w:bCs/>
          <w:sz w:val="20"/>
          <w:szCs w:val="20"/>
        </w:rPr>
        <w:t>DISPOSICIONES</w:t>
      </w:r>
      <w:r w:rsidRPr="00531B12">
        <w:rPr>
          <w:rFonts w:ascii="Abadi" w:hAnsi="Abadi"/>
          <w:b/>
          <w:bCs/>
          <w:spacing w:val="11"/>
          <w:sz w:val="20"/>
          <w:szCs w:val="20"/>
        </w:rPr>
        <w:t xml:space="preserve"> </w:t>
      </w:r>
      <w:r w:rsidRPr="00531B12">
        <w:rPr>
          <w:rFonts w:ascii="Abadi" w:hAnsi="Abadi"/>
          <w:b/>
          <w:bCs/>
          <w:sz w:val="20"/>
          <w:szCs w:val="20"/>
        </w:rPr>
        <w:t>DE</w:t>
      </w:r>
      <w:r w:rsidRPr="00531B12">
        <w:rPr>
          <w:rFonts w:ascii="Abadi" w:hAnsi="Abadi"/>
          <w:b/>
          <w:bCs/>
          <w:spacing w:val="11"/>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CONSTITUCIÓN</w:t>
      </w:r>
      <w:r w:rsidRPr="00531B12">
        <w:rPr>
          <w:rFonts w:ascii="Abadi" w:hAnsi="Abadi"/>
          <w:b/>
          <w:bCs/>
          <w:spacing w:val="10"/>
          <w:sz w:val="20"/>
          <w:szCs w:val="20"/>
        </w:rPr>
        <w:t xml:space="preserve"> </w:t>
      </w:r>
      <w:r w:rsidRPr="00531B12">
        <w:rPr>
          <w:rFonts w:ascii="Abadi" w:hAnsi="Abadi"/>
          <w:b/>
          <w:bCs/>
          <w:sz w:val="20"/>
          <w:szCs w:val="20"/>
        </w:rPr>
        <w:t>POLÍTICA</w:t>
      </w:r>
      <w:r w:rsidRPr="00531B12">
        <w:rPr>
          <w:rFonts w:ascii="Abadi" w:hAnsi="Abadi"/>
          <w:b/>
          <w:bCs/>
          <w:spacing w:val="12"/>
          <w:sz w:val="20"/>
          <w:szCs w:val="20"/>
        </w:rPr>
        <w:t xml:space="preserve"> </w:t>
      </w:r>
      <w:r w:rsidRPr="00531B12">
        <w:rPr>
          <w:rFonts w:ascii="Abadi" w:hAnsi="Abadi"/>
          <w:b/>
          <w:bCs/>
          <w:sz w:val="20"/>
          <w:szCs w:val="20"/>
        </w:rPr>
        <w:t>PARA</w:t>
      </w:r>
      <w:r w:rsidRPr="00531B12">
        <w:rPr>
          <w:rFonts w:ascii="Abadi" w:hAnsi="Abadi"/>
          <w:b/>
          <w:bCs/>
          <w:spacing w:val="11"/>
          <w:sz w:val="20"/>
          <w:szCs w:val="20"/>
        </w:rPr>
        <w:t xml:space="preserve"> </w:t>
      </w:r>
      <w:r w:rsidRPr="00531B12">
        <w:rPr>
          <w:rFonts w:ascii="Abadi" w:hAnsi="Abadi"/>
          <w:b/>
          <w:bCs/>
          <w:sz w:val="20"/>
          <w:szCs w:val="20"/>
        </w:rPr>
        <w:t>EL</w:t>
      </w:r>
      <w:r w:rsidRPr="00531B12">
        <w:rPr>
          <w:rFonts w:ascii="Abadi" w:hAnsi="Abadi"/>
          <w:b/>
          <w:bCs/>
          <w:spacing w:val="10"/>
          <w:sz w:val="20"/>
          <w:szCs w:val="20"/>
        </w:rPr>
        <w:t xml:space="preserve"> </w:t>
      </w:r>
      <w:r w:rsidRPr="00531B12">
        <w:rPr>
          <w:rFonts w:ascii="Abadi" w:hAnsi="Abadi"/>
          <w:b/>
          <w:bCs/>
          <w:sz w:val="20"/>
          <w:szCs w:val="20"/>
        </w:rPr>
        <w:t>ESTADO</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1"/>
          <w:sz w:val="20"/>
          <w:szCs w:val="20"/>
        </w:rPr>
        <w:t xml:space="preserve"> </w:t>
      </w:r>
      <w:r w:rsidRPr="00531B12">
        <w:rPr>
          <w:rFonts w:ascii="Abadi" w:hAnsi="Abadi"/>
          <w:b/>
          <w:bCs/>
          <w:sz w:val="20"/>
          <w:szCs w:val="20"/>
        </w:rPr>
        <w:t>GUANAJUATO,</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LA</w:t>
      </w:r>
      <w:r w:rsidRPr="00531B12">
        <w:rPr>
          <w:rFonts w:ascii="Abadi" w:hAnsi="Abadi"/>
          <w:b/>
          <w:bCs/>
          <w:spacing w:val="30"/>
          <w:sz w:val="20"/>
          <w:szCs w:val="20"/>
        </w:rPr>
        <w:t xml:space="preserve"> </w:t>
      </w:r>
      <w:r w:rsidRPr="00531B12">
        <w:rPr>
          <w:rFonts w:ascii="Abadi" w:hAnsi="Abadi"/>
          <w:b/>
          <w:bCs/>
          <w:sz w:val="20"/>
          <w:szCs w:val="20"/>
        </w:rPr>
        <w:t>LEY</w:t>
      </w:r>
      <w:r w:rsidRPr="00531B12">
        <w:rPr>
          <w:rFonts w:ascii="Abadi" w:hAnsi="Abadi"/>
          <w:b/>
          <w:bCs/>
          <w:spacing w:val="30"/>
          <w:sz w:val="20"/>
          <w:szCs w:val="20"/>
        </w:rPr>
        <w:t xml:space="preserve"> </w:t>
      </w:r>
      <w:r w:rsidRPr="00531B12">
        <w:rPr>
          <w:rFonts w:ascii="Abadi" w:hAnsi="Abadi"/>
          <w:b/>
          <w:bCs/>
          <w:sz w:val="20"/>
          <w:szCs w:val="20"/>
        </w:rPr>
        <w:t>DE</w:t>
      </w:r>
      <w:r w:rsidRPr="00531B12">
        <w:rPr>
          <w:rFonts w:ascii="Abadi" w:hAnsi="Abadi"/>
          <w:b/>
          <w:bCs/>
          <w:spacing w:val="30"/>
          <w:sz w:val="20"/>
          <w:szCs w:val="20"/>
        </w:rPr>
        <w:t xml:space="preserve"> </w:t>
      </w:r>
      <w:r w:rsidRPr="00531B12">
        <w:rPr>
          <w:rFonts w:ascii="Abadi" w:hAnsi="Abadi"/>
          <w:b/>
          <w:bCs/>
          <w:sz w:val="20"/>
          <w:szCs w:val="20"/>
        </w:rPr>
        <w:t>INCLUSIÓN</w:t>
      </w:r>
      <w:r w:rsidRPr="00531B12">
        <w:rPr>
          <w:rFonts w:ascii="Abadi" w:hAnsi="Abadi"/>
          <w:b/>
          <w:bCs/>
          <w:spacing w:val="30"/>
          <w:sz w:val="20"/>
          <w:szCs w:val="20"/>
        </w:rPr>
        <w:t xml:space="preserve"> </w:t>
      </w:r>
      <w:r w:rsidRPr="00531B12">
        <w:rPr>
          <w:rFonts w:ascii="Abadi" w:hAnsi="Abadi"/>
          <w:b/>
          <w:bCs/>
          <w:sz w:val="20"/>
          <w:szCs w:val="20"/>
        </w:rPr>
        <w:t>PARA</w:t>
      </w:r>
      <w:r w:rsidRPr="00531B12">
        <w:rPr>
          <w:rFonts w:ascii="Abadi" w:hAnsi="Abadi"/>
          <w:b/>
          <w:bCs/>
          <w:spacing w:val="30"/>
          <w:sz w:val="20"/>
          <w:szCs w:val="20"/>
        </w:rPr>
        <w:t xml:space="preserve"> </w:t>
      </w:r>
      <w:r w:rsidRPr="00531B12">
        <w:rPr>
          <w:rFonts w:ascii="Abadi" w:hAnsi="Abadi"/>
          <w:b/>
          <w:bCs/>
          <w:sz w:val="20"/>
          <w:szCs w:val="20"/>
        </w:rPr>
        <w:t>LAS</w:t>
      </w:r>
      <w:r w:rsidRPr="00531B12">
        <w:rPr>
          <w:rFonts w:ascii="Abadi" w:hAnsi="Abadi"/>
          <w:b/>
          <w:bCs/>
          <w:spacing w:val="30"/>
          <w:sz w:val="20"/>
          <w:szCs w:val="20"/>
        </w:rPr>
        <w:t xml:space="preserve"> </w:t>
      </w:r>
      <w:r w:rsidRPr="00531B12">
        <w:rPr>
          <w:rFonts w:ascii="Abadi" w:hAnsi="Abadi"/>
          <w:b/>
          <w:bCs/>
          <w:sz w:val="20"/>
          <w:szCs w:val="20"/>
        </w:rPr>
        <w:t>PERSONAS</w:t>
      </w:r>
      <w:r w:rsidRPr="00531B12">
        <w:rPr>
          <w:rFonts w:ascii="Abadi" w:hAnsi="Abadi"/>
          <w:b/>
          <w:bCs/>
          <w:spacing w:val="30"/>
          <w:sz w:val="20"/>
          <w:szCs w:val="20"/>
        </w:rPr>
        <w:t xml:space="preserve"> </w:t>
      </w:r>
      <w:r w:rsidRPr="00531B12">
        <w:rPr>
          <w:rFonts w:ascii="Abadi" w:hAnsi="Abadi"/>
          <w:b/>
          <w:bCs/>
          <w:sz w:val="20"/>
          <w:szCs w:val="20"/>
        </w:rPr>
        <w:t>CON</w:t>
      </w:r>
      <w:r w:rsidRPr="00531B12">
        <w:rPr>
          <w:rFonts w:ascii="Abadi" w:hAnsi="Abadi"/>
          <w:b/>
          <w:bCs/>
          <w:spacing w:val="30"/>
          <w:sz w:val="20"/>
          <w:szCs w:val="20"/>
        </w:rPr>
        <w:t xml:space="preserve"> </w:t>
      </w:r>
      <w:r w:rsidRPr="00531B12">
        <w:rPr>
          <w:rFonts w:ascii="Abadi" w:hAnsi="Abadi"/>
          <w:b/>
          <w:bCs/>
          <w:sz w:val="20"/>
          <w:szCs w:val="20"/>
        </w:rPr>
        <w:t>DISCAPACIDAD</w:t>
      </w:r>
      <w:r w:rsidRPr="00531B12">
        <w:rPr>
          <w:rFonts w:ascii="Abadi" w:hAnsi="Abadi"/>
          <w:b/>
          <w:bCs/>
          <w:spacing w:val="30"/>
          <w:sz w:val="20"/>
          <w:szCs w:val="20"/>
        </w:rPr>
        <w:t xml:space="preserve"> </w:t>
      </w:r>
      <w:r w:rsidRPr="00531B12">
        <w:rPr>
          <w:rFonts w:ascii="Abadi" w:hAnsi="Abadi"/>
          <w:b/>
          <w:bCs/>
          <w:sz w:val="20"/>
          <w:szCs w:val="20"/>
        </w:rPr>
        <w:t>EN</w:t>
      </w:r>
      <w:r w:rsidRPr="00531B12">
        <w:rPr>
          <w:rFonts w:ascii="Abadi" w:hAnsi="Abadi"/>
          <w:b/>
          <w:bCs/>
          <w:spacing w:val="30"/>
          <w:sz w:val="20"/>
          <w:szCs w:val="20"/>
        </w:rPr>
        <w:t xml:space="preserve"> </w:t>
      </w:r>
      <w:r w:rsidRPr="00531B12">
        <w:rPr>
          <w:rFonts w:ascii="Abadi" w:hAnsi="Abadi"/>
          <w:b/>
          <w:bCs/>
          <w:sz w:val="20"/>
          <w:szCs w:val="20"/>
        </w:rPr>
        <w:t>EL</w:t>
      </w:r>
      <w:r w:rsidRPr="00531B12">
        <w:rPr>
          <w:rFonts w:ascii="Abadi" w:hAnsi="Abadi"/>
          <w:b/>
          <w:bCs/>
          <w:spacing w:val="30"/>
          <w:sz w:val="20"/>
          <w:szCs w:val="20"/>
        </w:rPr>
        <w:t xml:space="preserve"> </w:t>
      </w:r>
      <w:r w:rsidRPr="00531B12">
        <w:rPr>
          <w:rFonts w:ascii="Abadi" w:hAnsi="Abadi"/>
          <w:b/>
          <w:bCs/>
          <w:sz w:val="20"/>
          <w:szCs w:val="20"/>
        </w:rPr>
        <w:t>ESTADO</w:t>
      </w:r>
      <w:r w:rsidRPr="00531B12">
        <w:rPr>
          <w:rFonts w:ascii="Abadi" w:hAnsi="Abadi"/>
          <w:b/>
          <w:bCs/>
          <w:spacing w:val="30"/>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GUANAJUATO</w:t>
      </w:r>
      <w:r w:rsidRPr="00531B12">
        <w:rPr>
          <w:rFonts w:ascii="Abadi" w:hAnsi="Abadi"/>
          <w:b/>
          <w:bCs/>
          <w:spacing w:val="11"/>
          <w:sz w:val="20"/>
          <w:szCs w:val="20"/>
        </w:rPr>
        <w:t xml:space="preserve"> </w:t>
      </w:r>
      <w:r w:rsidRPr="00531B12">
        <w:rPr>
          <w:rFonts w:ascii="Abadi" w:hAnsi="Abadi"/>
          <w:b/>
          <w:bCs/>
          <w:sz w:val="20"/>
          <w:szCs w:val="20"/>
        </w:rPr>
        <w:t>Y</w:t>
      </w:r>
      <w:r w:rsidRPr="00531B12">
        <w:rPr>
          <w:rFonts w:ascii="Abadi" w:hAnsi="Abadi"/>
          <w:b/>
          <w:bCs/>
          <w:spacing w:val="11"/>
          <w:sz w:val="20"/>
          <w:szCs w:val="20"/>
        </w:rPr>
        <w:t xml:space="preserve"> </w:t>
      </w:r>
      <w:r w:rsidRPr="00531B12">
        <w:rPr>
          <w:rFonts w:ascii="Abadi" w:hAnsi="Abadi"/>
          <w:b/>
          <w:bCs/>
          <w:sz w:val="20"/>
          <w:szCs w:val="20"/>
        </w:rPr>
        <w:t>DE</w:t>
      </w:r>
      <w:r w:rsidRPr="00531B12">
        <w:rPr>
          <w:rFonts w:ascii="Abadi" w:hAnsi="Abadi"/>
          <w:b/>
          <w:bCs/>
          <w:spacing w:val="11"/>
          <w:sz w:val="20"/>
          <w:szCs w:val="20"/>
        </w:rPr>
        <w:t xml:space="preserve"> </w:t>
      </w:r>
      <w:r w:rsidRPr="00531B12">
        <w:rPr>
          <w:rFonts w:ascii="Abadi" w:hAnsi="Abadi"/>
          <w:b/>
          <w:bCs/>
          <w:sz w:val="20"/>
          <w:szCs w:val="20"/>
        </w:rPr>
        <w:t>LA</w:t>
      </w:r>
      <w:r w:rsidRPr="00531B12">
        <w:rPr>
          <w:rFonts w:ascii="Abadi" w:hAnsi="Abadi"/>
          <w:b/>
          <w:bCs/>
          <w:spacing w:val="11"/>
          <w:sz w:val="20"/>
          <w:szCs w:val="20"/>
        </w:rPr>
        <w:t xml:space="preserve"> </w:t>
      </w:r>
      <w:r w:rsidRPr="00531B12">
        <w:rPr>
          <w:rFonts w:ascii="Abadi" w:hAnsi="Abadi"/>
          <w:b/>
          <w:bCs/>
          <w:sz w:val="20"/>
          <w:szCs w:val="20"/>
        </w:rPr>
        <w:t>LEY</w:t>
      </w:r>
      <w:r w:rsidRPr="00531B12">
        <w:rPr>
          <w:rFonts w:ascii="Abadi" w:hAnsi="Abadi"/>
          <w:b/>
          <w:bCs/>
          <w:spacing w:val="11"/>
          <w:sz w:val="20"/>
          <w:szCs w:val="20"/>
        </w:rPr>
        <w:t xml:space="preserve"> </w:t>
      </w:r>
      <w:r w:rsidRPr="00531B12">
        <w:rPr>
          <w:rFonts w:ascii="Abadi" w:hAnsi="Abadi"/>
          <w:b/>
          <w:bCs/>
          <w:sz w:val="20"/>
          <w:szCs w:val="20"/>
        </w:rPr>
        <w:t>ORGÁNICA</w:t>
      </w:r>
      <w:r w:rsidRPr="00531B12">
        <w:rPr>
          <w:rFonts w:ascii="Abadi" w:hAnsi="Abadi"/>
          <w:b/>
          <w:bCs/>
          <w:spacing w:val="11"/>
          <w:sz w:val="20"/>
          <w:szCs w:val="20"/>
        </w:rPr>
        <w:t xml:space="preserve"> </w:t>
      </w:r>
      <w:r w:rsidRPr="00531B12">
        <w:rPr>
          <w:rFonts w:ascii="Abadi" w:hAnsi="Abadi"/>
          <w:b/>
          <w:bCs/>
          <w:sz w:val="20"/>
          <w:szCs w:val="20"/>
        </w:rPr>
        <w:t>MUNICIPAL</w:t>
      </w:r>
      <w:r w:rsidRPr="00531B12">
        <w:rPr>
          <w:rFonts w:ascii="Abadi" w:hAnsi="Abadi"/>
          <w:b/>
          <w:bCs/>
          <w:spacing w:val="11"/>
          <w:sz w:val="20"/>
          <w:szCs w:val="20"/>
        </w:rPr>
        <w:t xml:space="preserve"> </w:t>
      </w:r>
      <w:r w:rsidRPr="00531B12">
        <w:rPr>
          <w:rFonts w:ascii="Abadi" w:hAnsi="Abadi"/>
          <w:b/>
          <w:bCs/>
          <w:sz w:val="20"/>
          <w:szCs w:val="20"/>
        </w:rPr>
        <w:t>PARA</w:t>
      </w:r>
      <w:r w:rsidRPr="00531B12">
        <w:rPr>
          <w:rFonts w:ascii="Abadi" w:hAnsi="Abadi"/>
          <w:b/>
          <w:bCs/>
          <w:spacing w:val="11"/>
          <w:sz w:val="20"/>
          <w:szCs w:val="20"/>
        </w:rPr>
        <w:t xml:space="preserve"> </w:t>
      </w:r>
      <w:r w:rsidRPr="00531B12">
        <w:rPr>
          <w:rFonts w:ascii="Abadi" w:hAnsi="Abadi"/>
          <w:b/>
          <w:bCs/>
          <w:sz w:val="20"/>
          <w:szCs w:val="20"/>
        </w:rPr>
        <w:t>EL</w:t>
      </w:r>
      <w:r w:rsidRPr="00531B12">
        <w:rPr>
          <w:rFonts w:ascii="Abadi" w:hAnsi="Abadi"/>
          <w:b/>
          <w:bCs/>
          <w:spacing w:val="11"/>
          <w:sz w:val="20"/>
          <w:szCs w:val="20"/>
        </w:rPr>
        <w:t xml:space="preserve"> </w:t>
      </w:r>
      <w:r w:rsidRPr="00531B12">
        <w:rPr>
          <w:rFonts w:ascii="Abadi" w:hAnsi="Abadi"/>
          <w:b/>
          <w:bCs/>
          <w:sz w:val="20"/>
          <w:szCs w:val="20"/>
        </w:rPr>
        <w:t>ESTADO</w:t>
      </w:r>
      <w:r w:rsidRPr="00531B12">
        <w:rPr>
          <w:rFonts w:ascii="Abadi" w:hAnsi="Abadi"/>
          <w:b/>
          <w:bCs/>
          <w:spacing w:val="11"/>
          <w:sz w:val="20"/>
          <w:szCs w:val="20"/>
        </w:rPr>
        <w:t xml:space="preserve"> </w:t>
      </w:r>
      <w:r w:rsidRPr="00531B12">
        <w:rPr>
          <w:rFonts w:ascii="Abadi" w:hAnsi="Abadi"/>
          <w:b/>
          <w:bCs/>
          <w:sz w:val="20"/>
          <w:szCs w:val="20"/>
        </w:rPr>
        <w:t>DE</w:t>
      </w:r>
      <w:r w:rsidRPr="00531B12">
        <w:rPr>
          <w:rFonts w:ascii="Abadi" w:hAnsi="Abadi"/>
          <w:b/>
          <w:bCs/>
          <w:spacing w:val="11"/>
          <w:sz w:val="20"/>
          <w:szCs w:val="20"/>
        </w:rPr>
        <w:t xml:space="preserve"> </w:t>
      </w:r>
      <w:r w:rsidRPr="00531B12">
        <w:rPr>
          <w:rFonts w:ascii="Abadi" w:hAnsi="Abadi"/>
          <w:b/>
          <w:bCs/>
          <w:sz w:val="20"/>
          <w:szCs w:val="20"/>
        </w:rPr>
        <w:t>GUANAJUATO,</w:t>
      </w:r>
      <w:r w:rsidRPr="00531B12">
        <w:rPr>
          <w:rFonts w:ascii="Abadi" w:hAnsi="Abadi"/>
          <w:b/>
          <w:bCs/>
          <w:spacing w:val="-1"/>
          <w:sz w:val="20"/>
          <w:szCs w:val="20"/>
        </w:rPr>
        <w:t xml:space="preserve"> </w:t>
      </w:r>
      <w:r w:rsidRPr="00531B12">
        <w:rPr>
          <w:rFonts w:ascii="Abadi" w:hAnsi="Abadi"/>
          <w:b/>
          <w:bCs/>
          <w:sz w:val="20"/>
          <w:szCs w:val="20"/>
        </w:rPr>
        <w:t>SUSCRITA</w:t>
      </w:r>
      <w:r w:rsidRPr="00531B12">
        <w:rPr>
          <w:rFonts w:ascii="Abadi" w:hAnsi="Abadi"/>
          <w:b/>
          <w:bCs/>
          <w:spacing w:val="-11"/>
          <w:sz w:val="20"/>
          <w:szCs w:val="20"/>
        </w:rPr>
        <w:t xml:space="preserve"> </w:t>
      </w:r>
      <w:r w:rsidRPr="00531B12">
        <w:rPr>
          <w:rFonts w:ascii="Abadi" w:hAnsi="Abadi"/>
          <w:b/>
          <w:bCs/>
          <w:sz w:val="20"/>
          <w:szCs w:val="20"/>
        </w:rPr>
        <w:t>POR</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1"/>
          <w:sz w:val="20"/>
          <w:szCs w:val="20"/>
        </w:rPr>
        <w:t xml:space="preserve"> </w:t>
      </w:r>
      <w:r w:rsidRPr="00531B12">
        <w:rPr>
          <w:rFonts w:ascii="Abadi" w:hAnsi="Abadi"/>
          <w:b/>
          <w:bCs/>
          <w:sz w:val="20"/>
          <w:szCs w:val="20"/>
        </w:rPr>
        <w:t>DIPUTADA</w:t>
      </w:r>
      <w:r w:rsidRPr="00531B12">
        <w:rPr>
          <w:rFonts w:ascii="Abadi" w:hAnsi="Abadi"/>
          <w:b/>
          <w:bCs/>
          <w:spacing w:val="-11"/>
          <w:sz w:val="20"/>
          <w:szCs w:val="20"/>
        </w:rPr>
        <w:t xml:space="preserve"> </w:t>
      </w:r>
      <w:r w:rsidRPr="00531B12">
        <w:rPr>
          <w:rFonts w:ascii="Abadi" w:hAnsi="Abadi"/>
          <w:b/>
          <w:bCs/>
          <w:sz w:val="20"/>
          <w:szCs w:val="20"/>
        </w:rPr>
        <w:t>IRMA</w:t>
      </w:r>
      <w:r w:rsidRPr="00531B12">
        <w:rPr>
          <w:rFonts w:ascii="Abadi" w:hAnsi="Abadi"/>
          <w:b/>
          <w:bCs/>
          <w:spacing w:val="-11"/>
          <w:sz w:val="20"/>
          <w:szCs w:val="20"/>
        </w:rPr>
        <w:t xml:space="preserve"> </w:t>
      </w:r>
      <w:r w:rsidRPr="00531B12">
        <w:rPr>
          <w:rFonts w:ascii="Abadi" w:hAnsi="Abadi"/>
          <w:b/>
          <w:bCs/>
          <w:sz w:val="20"/>
          <w:szCs w:val="20"/>
        </w:rPr>
        <w:t>LETICIA</w:t>
      </w:r>
      <w:r w:rsidRPr="00531B12">
        <w:rPr>
          <w:rFonts w:ascii="Abadi" w:hAnsi="Abadi"/>
          <w:b/>
          <w:bCs/>
          <w:spacing w:val="-11"/>
          <w:sz w:val="20"/>
          <w:szCs w:val="20"/>
        </w:rPr>
        <w:t xml:space="preserve"> </w:t>
      </w:r>
      <w:r w:rsidRPr="00531B12">
        <w:rPr>
          <w:rFonts w:ascii="Abadi" w:hAnsi="Abadi"/>
          <w:b/>
          <w:bCs/>
          <w:sz w:val="20"/>
          <w:szCs w:val="20"/>
        </w:rPr>
        <w:t>GONZÁLEZ</w:t>
      </w:r>
      <w:r w:rsidRPr="00531B12">
        <w:rPr>
          <w:rFonts w:ascii="Abadi" w:hAnsi="Abadi"/>
          <w:b/>
          <w:bCs/>
          <w:spacing w:val="-11"/>
          <w:sz w:val="20"/>
          <w:szCs w:val="20"/>
        </w:rPr>
        <w:t xml:space="preserve"> </w:t>
      </w:r>
      <w:r w:rsidRPr="00531B12">
        <w:rPr>
          <w:rFonts w:ascii="Abadi" w:hAnsi="Abadi"/>
          <w:b/>
          <w:bCs/>
          <w:sz w:val="20"/>
          <w:szCs w:val="20"/>
        </w:rPr>
        <w:t>SÁNCHEZ</w:t>
      </w:r>
      <w:r w:rsidRPr="00531B12">
        <w:rPr>
          <w:rFonts w:ascii="Abadi" w:hAnsi="Abadi"/>
          <w:b/>
          <w:bCs/>
          <w:spacing w:val="-11"/>
          <w:sz w:val="20"/>
          <w:szCs w:val="20"/>
        </w:rPr>
        <w:t xml:space="preserve"> </w:t>
      </w:r>
      <w:r w:rsidRPr="00531B12">
        <w:rPr>
          <w:rFonts w:ascii="Abadi" w:hAnsi="Abadi"/>
          <w:b/>
          <w:bCs/>
          <w:sz w:val="20"/>
          <w:szCs w:val="20"/>
        </w:rPr>
        <w:t>INTEGRANTE</w:t>
      </w:r>
      <w:r w:rsidRPr="00531B12">
        <w:rPr>
          <w:rFonts w:ascii="Abadi" w:hAnsi="Abadi"/>
          <w:b/>
          <w:bCs/>
          <w:spacing w:val="-11"/>
          <w:sz w:val="20"/>
          <w:szCs w:val="20"/>
        </w:rPr>
        <w:t xml:space="preserve"> </w:t>
      </w:r>
      <w:r w:rsidRPr="00531B12">
        <w:rPr>
          <w:rFonts w:ascii="Abadi" w:hAnsi="Abadi"/>
          <w:b/>
          <w:bCs/>
          <w:sz w:val="20"/>
          <w:szCs w:val="20"/>
        </w:rPr>
        <w:t>DEL</w:t>
      </w:r>
      <w:r w:rsidRPr="00531B12">
        <w:rPr>
          <w:rFonts w:ascii="Abadi" w:hAnsi="Abadi"/>
          <w:b/>
          <w:bCs/>
          <w:spacing w:val="-11"/>
          <w:sz w:val="20"/>
          <w:szCs w:val="20"/>
        </w:rPr>
        <w:t xml:space="preserve"> </w:t>
      </w:r>
      <w:r w:rsidRPr="00531B12">
        <w:rPr>
          <w:rFonts w:ascii="Abadi" w:hAnsi="Abadi"/>
          <w:b/>
          <w:bCs/>
          <w:sz w:val="20"/>
          <w:szCs w:val="20"/>
        </w:rPr>
        <w:t>GRUPO</w:t>
      </w:r>
      <w:r w:rsidRPr="00531B12">
        <w:rPr>
          <w:rFonts w:ascii="Abadi" w:hAnsi="Abadi"/>
          <w:b/>
          <w:bCs/>
          <w:spacing w:val="-1"/>
          <w:sz w:val="20"/>
          <w:szCs w:val="20"/>
        </w:rPr>
        <w:t xml:space="preserve"> </w:t>
      </w:r>
      <w:r w:rsidRPr="00531B12">
        <w:rPr>
          <w:rFonts w:ascii="Abadi" w:hAnsi="Abadi"/>
          <w:b/>
          <w:bCs/>
          <w:sz w:val="20"/>
          <w:szCs w:val="20"/>
        </w:rPr>
        <w:t>PARLAMENTARIO DEL</w:t>
      </w:r>
      <w:r w:rsidRPr="00531B12">
        <w:rPr>
          <w:rFonts w:ascii="Abadi" w:hAnsi="Abadi"/>
          <w:b/>
          <w:bCs/>
          <w:spacing w:val="-1"/>
          <w:sz w:val="20"/>
          <w:szCs w:val="20"/>
        </w:rPr>
        <w:t xml:space="preserve"> </w:t>
      </w:r>
      <w:r w:rsidRPr="00531B12">
        <w:rPr>
          <w:rFonts w:ascii="Abadi" w:hAnsi="Abadi"/>
          <w:b/>
          <w:bCs/>
          <w:sz w:val="20"/>
          <w:szCs w:val="20"/>
        </w:rPr>
        <w:t>PARTIDO MORENA.</w:t>
      </w:r>
    </w:p>
    <w:p w14:paraId="1B2B55EA" w14:textId="00CEF24F" w:rsidR="004B76B3" w:rsidRDefault="004B76B3" w:rsidP="004B76B3">
      <w:pPr>
        <w:tabs>
          <w:tab w:val="left" w:pos="845"/>
        </w:tabs>
        <w:kinsoku w:val="0"/>
        <w:overflowPunct w:val="0"/>
        <w:autoSpaceDE w:val="0"/>
        <w:autoSpaceDN w:val="0"/>
        <w:adjustRightInd w:val="0"/>
        <w:ind w:right="17"/>
        <w:jc w:val="both"/>
        <w:rPr>
          <w:rFonts w:ascii="Abadi" w:hAnsi="Abadi"/>
          <w:b/>
          <w:bCs/>
          <w:sz w:val="20"/>
          <w:szCs w:val="20"/>
        </w:rPr>
      </w:pPr>
    </w:p>
    <w:p w14:paraId="1E32614C" w14:textId="0DCB549D" w:rsidR="004E6308" w:rsidRDefault="004E6308" w:rsidP="004B76B3">
      <w:pPr>
        <w:tabs>
          <w:tab w:val="left" w:pos="845"/>
        </w:tabs>
        <w:kinsoku w:val="0"/>
        <w:overflowPunct w:val="0"/>
        <w:autoSpaceDE w:val="0"/>
        <w:autoSpaceDN w:val="0"/>
        <w:adjustRightInd w:val="0"/>
        <w:ind w:right="17"/>
        <w:jc w:val="both"/>
        <w:rPr>
          <w:rFonts w:ascii="Abadi" w:hAnsi="Abadi"/>
          <w:b/>
          <w:bCs/>
          <w:sz w:val="20"/>
          <w:szCs w:val="20"/>
        </w:rPr>
      </w:pPr>
    </w:p>
    <w:p w14:paraId="4C79CC43" w14:textId="77777777" w:rsidR="004E6308" w:rsidRDefault="004E6308" w:rsidP="004B76B3">
      <w:pPr>
        <w:tabs>
          <w:tab w:val="left" w:pos="845"/>
        </w:tabs>
        <w:kinsoku w:val="0"/>
        <w:overflowPunct w:val="0"/>
        <w:autoSpaceDE w:val="0"/>
        <w:autoSpaceDN w:val="0"/>
        <w:adjustRightInd w:val="0"/>
        <w:ind w:right="17"/>
        <w:jc w:val="both"/>
        <w:rPr>
          <w:rFonts w:ascii="Abadi" w:hAnsi="Abadi"/>
          <w:b/>
          <w:bCs/>
          <w:sz w:val="20"/>
          <w:szCs w:val="20"/>
        </w:rPr>
      </w:pPr>
    </w:p>
    <w:p w14:paraId="34F5F896" w14:textId="77777777" w:rsidR="004B76B3" w:rsidRPr="00C168BF" w:rsidRDefault="004B76B3" w:rsidP="004B76B3">
      <w:pPr>
        <w:autoSpaceDE w:val="0"/>
        <w:autoSpaceDN w:val="0"/>
        <w:adjustRightInd w:val="0"/>
        <w:jc w:val="both"/>
        <w:rPr>
          <w:rFonts w:ascii="Abadi" w:hAnsi="Abadi" w:cs="Amasis MT Pro Light"/>
          <w:b/>
          <w:bCs/>
          <w:sz w:val="21"/>
          <w:szCs w:val="21"/>
        </w:rPr>
      </w:pPr>
      <w:r w:rsidRPr="00C168BF">
        <w:rPr>
          <w:rFonts w:ascii="Abadi" w:hAnsi="Abadi" w:cs="Amasis MT Pro Light"/>
          <w:b/>
          <w:bCs/>
          <w:sz w:val="21"/>
          <w:szCs w:val="21"/>
        </w:rPr>
        <w:t>Diputada Irma Leticia González Sánchez</w:t>
      </w:r>
    </w:p>
    <w:p w14:paraId="5B4E539B"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Presidenta de la Mesa Directiva</w:t>
      </w:r>
    </w:p>
    <w:p w14:paraId="66EA353A"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Congreso del Estado de Guanajuato</w:t>
      </w:r>
    </w:p>
    <w:p w14:paraId="4208DCB2"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LXV Legislatura</w:t>
      </w:r>
    </w:p>
    <w:p w14:paraId="69075E58"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P r e s e n t e</w:t>
      </w:r>
    </w:p>
    <w:p w14:paraId="5ABB5353" w14:textId="77777777" w:rsidR="004B76B3" w:rsidRPr="00582FD2" w:rsidRDefault="004B76B3" w:rsidP="004B76B3">
      <w:pPr>
        <w:autoSpaceDE w:val="0"/>
        <w:autoSpaceDN w:val="0"/>
        <w:adjustRightInd w:val="0"/>
        <w:jc w:val="both"/>
        <w:rPr>
          <w:rFonts w:ascii="Abadi" w:hAnsi="Abadi" w:cs="Amasis MT Pro Light"/>
          <w:sz w:val="21"/>
          <w:szCs w:val="21"/>
        </w:rPr>
      </w:pPr>
    </w:p>
    <w:p w14:paraId="5F786C92"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 xml:space="preserve">Diputadas y Diputados del </w:t>
      </w:r>
      <w:r w:rsidRPr="00C168BF">
        <w:rPr>
          <w:rFonts w:ascii="Abadi" w:hAnsi="Abadi" w:cs="Amasis MT Pro Light"/>
          <w:b/>
          <w:bCs/>
          <w:sz w:val="21"/>
          <w:szCs w:val="21"/>
        </w:rPr>
        <w:t>Grupo Parlamentario de Morena</w:t>
      </w:r>
      <w:r w:rsidRPr="00582FD2">
        <w:rPr>
          <w:rFonts w:ascii="Abadi" w:hAnsi="Abadi" w:cs="Amasis MT Pro Light"/>
          <w:sz w:val="21"/>
          <w:szCs w:val="21"/>
        </w:rPr>
        <w:t xml:space="preserve"> en la LXV Legislatura</w:t>
      </w:r>
      <w:r>
        <w:rPr>
          <w:rFonts w:ascii="Abadi" w:hAnsi="Abadi" w:cs="Amasis MT Pro Light"/>
          <w:sz w:val="21"/>
          <w:szCs w:val="21"/>
        </w:rPr>
        <w:t xml:space="preserve"> </w:t>
      </w:r>
      <w:r w:rsidRPr="00582FD2">
        <w:rPr>
          <w:rFonts w:ascii="Abadi" w:hAnsi="Abadi" w:cs="Amasis MT Pro Light"/>
          <w:sz w:val="21"/>
          <w:szCs w:val="21"/>
        </w:rPr>
        <w:t>del Congreso del Estado de Guanajuato, con fundamento en lo dispuesto en la</w:t>
      </w:r>
      <w:r>
        <w:rPr>
          <w:rFonts w:ascii="Abadi" w:hAnsi="Abadi" w:cs="Amasis MT Pro Light"/>
          <w:sz w:val="21"/>
          <w:szCs w:val="21"/>
        </w:rPr>
        <w:t xml:space="preserve"> </w:t>
      </w:r>
      <w:r w:rsidRPr="00582FD2">
        <w:rPr>
          <w:rFonts w:ascii="Abadi" w:hAnsi="Abadi" w:cs="Amasis MT Pro Light"/>
          <w:sz w:val="21"/>
          <w:szCs w:val="21"/>
        </w:rPr>
        <w:t>fracción II del artículo 56 de la Constitución Política para el Estado de Guanajuato;</w:t>
      </w:r>
      <w:r>
        <w:rPr>
          <w:rFonts w:ascii="Abadi" w:hAnsi="Abadi" w:cs="Amasis MT Pro Light"/>
          <w:sz w:val="21"/>
          <w:szCs w:val="21"/>
        </w:rPr>
        <w:t xml:space="preserve"> </w:t>
      </w:r>
      <w:r w:rsidRPr="00582FD2">
        <w:rPr>
          <w:rFonts w:ascii="Abadi" w:hAnsi="Abadi" w:cs="Amasis MT Pro Light"/>
          <w:sz w:val="21"/>
          <w:szCs w:val="21"/>
        </w:rPr>
        <w:t>la fracción II del artículo 167, así como el artículo 168 de la Ley Orgánica del Poder</w:t>
      </w:r>
      <w:r>
        <w:rPr>
          <w:rFonts w:ascii="Abadi" w:hAnsi="Abadi" w:cs="Amasis MT Pro Light"/>
          <w:sz w:val="21"/>
          <w:szCs w:val="21"/>
        </w:rPr>
        <w:t xml:space="preserve"> </w:t>
      </w:r>
      <w:r w:rsidRPr="00582FD2">
        <w:rPr>
          <w:rFonts w:ascii="Abadi" w:hAnsi="Abadi" w:cs="Amasis MT Pro Light"/>
          <w:sz w:val="21"/>
          <w:szCs w:val="21"/>
        </w:rPr>
        <w:t>Legislativo del Estado de Guanajuato, me permito poner a consideración de esta</w:t>
      </w:r>
      <w:r>
        <w:rPr>
          <w:rFonts w:ascii="Abadi" w:hAnsi="Abadi" w:cs="Amasis MT Pro Light"/>
          <w:sz w:val="21"/>
          <w:szCs w:val="21"/>
        </w:rPr>
        <w:t xml:space="preserve"> </w:t>
      </w:r>
      <w:r w:rsidRPr="00582FD2">
        <w:rPr>
          <w:rFonts w:ascii="Abadi" w:hAnsi="Abadi" w:cs="Amasis MT Pro Light"/>
          <w:sz w:val="21"/>
          <w:szCs w:val="21"/>
        </w:rPr>
        <w:t xml:space="preserve">Asamblea la siguiente iniciativa con proyecto de Decreto </w:t>
      </w:r>
      <w:r w:rsidRPr="00582FD2">
        <w:rPr>
          <w:rFonts w:ascii="Abadi" w:hAnsi="Abadi" w:cs="Amasis MT Pro Light"/>
          <w:sz w:val="21"/>
          <w:szCs w:val="21"/>
        </w:rPr>
        <w:t>por la que se reforman y</w:t>
      </w:r>
      <w:r>
        <w:rPr>
          <w:rFonts w:ascii="Abadi" w:hAnsi="Abadi" w:cs="Amasis MT Pro Light"/>
          <w:sz w:val="21"/>
          <w:szCs w:val="21"/>
        </w:rPr>
        <w:t xml:space="preserve"> </w:t>
      </w:r>
      <w:r w:rsidRPr="00582FD2">
        <w:rPr>
          <w:rFonts w:ascii="Abadi" w:hAnsi="Abadi" w:cs="Amasis MT Pro Light"/>
          <w:sz w:val="21"/>
          <w:szCs w:val="21"/>
        </w:rPr>
        <w:t xml:space="preserve">adicionan diversas disposiciones de la </w:t>
      </w:r>
      <w:r w:rsidRPr="00C168BF">
        <w:rPr>
          <w:rFonts w:ascii="Abadi" w:hAnsi="Abadi" w:cs="Amasis MT Pro Light"/>
          <w:b/>
          <w:bCs/>
          <w:sz w:val="21"/>
          <w:szCs w:val="21"/>
        </w:rPr>
        <w:t>Constitución Política del Estado Libre y Soberano de Guanajuato, la Ley de Inclusión para las Personas con Discapacidad en el Estado de Guanajuato, y la Ley Orgánica Municipal para el Estado de Guanajuato,</w:t>
      </w:r>
      <w:r>
        <w:rPr>
          <w:rFonts w:ascii="Abadi" w:hAnsi="Abadi" w:cs="Amasis MT Pro Light"/>
          <w:sz w:val="21"/>
          <w:szCs w:val="21"/>
        </w:rPr>
        <w:t xml:space="preserve"> </w:t>
      </w:r>
      <w:r w:rsidRPr="00582FD2">
        <w:rPr>
          <w:rFonts w:ascii="Abadi" w:hAnsi="Abadi" w:cs="Amasis MT Pro Light"/>
          <w:sz w:val="21"/>
          <w:szCs w:val="21"/>
        </w:rPr>
        <w:t>con fundamento en la siguiente:</w:t>
      </w:r>
    </w:p>
    <w:p w14:paraId="29E9F994" w14:textId="77777777" w:rsidR="004B76B3" w:rsidRDefault="004B76B3" w:rsidP="004B76B3">
      <w:pPr>
        <w:autoSpaceDE w:val="0"/>
        <w:autoSpaceDN w:val="0"/>
        <w:adjustRightInd w:val="0"/>
        <w:jc w:val="both"/>
        <w:rPr>
          <w:rFonts w:ascii="Abadi" w:hAnsi="Abadi" w:cs="Amasis MT Pro Light"/>
          <w:sz w:val="21"/>
          <w:szCs w:val="21"/>
        </w:rPr>
      </w:pPr>
    </w:p>
    <w:p w14:paraId="101862C2" w14:textId="77777777" w:rsidR="004B76B3" w:rsidRPr="00C168BF" w:rsidRDefault="004B76B3" w:rsidP="004B76B3">
      <w:pPr>
        <w:autoSpaceDE w:val="0"/>
        <w:autoSpaceDN w:val="0"/>
        <w:adjustRightInd w:val="0"/>
        <w:jc w:val="center"/>
        <w:rPr>
          <w:rFonts w:ascii="Abadi" w:hAnsi="Abadi" w:cs="Amasis MT Pro Light"/>
          <w:b/>
          <w:bCs/>
          <w:sz w:val="21"/>
          <w:szCs w:val="21"/>
        </w:rPr>
      </w:pPr>
      <w:r w:rsidRPr="00C168BF">
        <w:rPr>
          <w:rFonts w:ascii="Abadi" w:hAnsi="Abadi" w:cs="Amasis MT Pro Light"/>
          <w:b/>
          <w:bCs/>
          <w:sz w:val="21"/>
          <w:szCs w:val="21"/>
        </w:rPr>
        <w:t>EXPOSICIÓN DE MOTIVOS</w:t>
      </w:r>
    </w:p>
    <w:p w14:paraId="1291649A" w14:textId="77777777" w:rsidR="004B76B3" w:rsidRPr="00582FD2" w:rsidRDefault="004B76B3" w:rsidP="004B76B3">
      <w:pPr>
        <w:autoSpaceDE w:val="0"/>
        <w:autoSpaceDN w:val="0"/>
        <w:adjustRightInd w:val="0"/>
        <w:jc w:val="both"/>
        <w:rPr>
          <w:rFonts w:ascii="Abadi" w:hAnsi="Abadi" w:cs="Amasis MT Pro Light"/>
          <w:sz w:val="21"/>
          <w:szCs w:val="21"/>
        </w:rPr>
      </w:pPr>
    </w:p>
    <w:p w14:paraId="6ECD1D4B" w14:textId="6CFBEB90"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Las personas con discapacidad incluyen a quienes tienen alguna limitación o</w:t>
      </w:r>
      <w:r>
        <w:rPr>
          <w:rFonts w:ascii="Abadi" w:hAnsi="Abadi" w:cs="Amasis MT Pro Light"/>
          <w:sz w:val="21"/>
          <w:szCs w:val="21"/>
        </w:rPr>
        <w:t xml:space="preserve"> </w:t>
      </w:r>
      <w:r w:rsidRPr="00582FD2">
        <w:rPr>
          <w:rFonts w:ascii="Abadi" w:hAnsi="Abadi" w:cs="Amasis MT Pro Light"/>
          <w:sz w:val="21"/>
          <w:szCs w:val="21"/>
        </w:rPr>
        <w:t>deficiencia física, mental, intelectual o sensorial a largo plazo que, al interactuar con</w:t>
      </w:r>
      <w:r>
        <w:rPr>
          <w:rFonts w:ascii="Abadi" w:hAnsi="Abadi" w:cs="Amasis MT Pro Light"/>
          <w:sz w:val="21"/>
          <w:szCs w:val="21"/>
        </w:rPr>
        <w:t xml:space="preserve"> </w:t>
      </w:r>
      <w:r w:rsidRPr="00582FD2">
        <w:rPr>
          <w:rFonts w:ascii="Abadi" w:hAnsi="Abadi" w:cs="Amasis MT Pro Light"/>
          <w:sz w:val="21"/>
          <w:szCs w:val="21"/>
        </w:rPr>
        <w:t>diversas barreras, puedan impedir su participación plena y efectiva en la sociedad,</w:t>
      </w:r>
      <w:r>
        <w:rPr>
          <w:rFonts w:ascii="Abadi" w:hAnsi="Abadi" w:cs="Amasis MT Pro Light"/>
          <w:sz w:val="21"/>
          <w:szCs w:val="21"/>
        </w:rPr>
        <w:t xml:space="preserve"> </w:t>
      </w:r>
      <w:r w:rsidRPr="00582FD2">
        <w:rPr>
          <w:rFonts w:ascii="Abadi" w:hAnsi="Abadi" w:cs="Amasis MT Pro Light"/>
          <w:sz w:val="21"/>
          <w:szCs w:val="21"/>
        </w:rPr>
        <w:t>en igualdad de condiciones con las demás</w:t>
      </w:r>
      <w:r w:rsidR="003A09E5">
        <w:rPr>
          <w:rStyle w:val="Refdenotaalpie"/>
          <w:rFonts w:ascii="Abadi" w:hAnsi="Abadi" w:cs="Amasis MT Pro Light"/>
          <w:sz w:val="21"/>
          <w:szCs w:val="21"/>
        </w:rPr>
        <w:footnoteReference w:id="24"/>
      </w:r>
      <w:r w:rsidRPr="00582FD2">
        <w:rPr>
          <w:rFonts w:ascii="Abadi" w:hAnsi="Abadi" w:cs="Amasis MT Pro Light"/>
          <w:sz w:val="21"/>
          <w:szCs w:val="21"/>
        </w:rPr>
        <w:t>.</w:t>
      </w:r>
    </w:p>
    <w:p w14:paraId="4DE9ACAC" w14:textId="77777777" w:rsidR="004B76B3" w:rsidRPr="00582FD2" w:rsidRDefault="004B76B3" w:rsidP="004B76B3">
      <w:pPr>
        <w:autoSpaceDE w:val="0"/>
        <w:autoSpaceDN w:val="0"/>
        <w:adjustRightInd w:val="0"/>
        <w:jc w:val="both"/>
        <w:rPr>
          <w:rFonts w:ascii="Abadi" w:hAnsi="Abadi" w:cs="Amasis MT Pro Light"/>
          <w:sz w:val="21"/>
          <w:szCs w:val="21"/>
        </w:rPr>
      </w:pPr>
    </w:p>
    <w:p w14:paraId="18922804" w14:textId="6D39B922"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En este sentido, los derechos humanos de las personas con discapacidad se</w:t>
      </w:r>
      <w:r>
        <w:rPr>
          <w:rFonts w:ascii="Abadi" w:hAnsi="Abadi" w:cs="Amasis MT Pro Light"/>
          <w:sz w:val="21"/>
          <w:szCs w:val="21"/>
        </w:rPr>
        <w:t xml:space="preserve"> </w:t>
      </w:r>
      <w:r w:rsidRPr="00582FD2">
        <w:rPr>
          <w:rFonts w:ascii="Abadi" w:hAnsi="Abadi" w:cs="Amasis MT Pro Light"/>
          <w:sz w:val="21"/>
          <w:szCs w:val="21"/>
        </w:rPr>
        <w:t>enfrentan con múltiples barreras para su garantía y pleno ejercicio. Estas barreras</w:t>
      </w:r>
      <w:r>
        <w:rPr>
          <w:rFonts w:ascii="Abadi" w:hAnsi="Abadi" w:cs="Amasis MT Pro Light"/>
          <w:sz w:val="21"/>
          <w:szCs w:val="21"/>
        </w:rPr>
        <w:t xml:space="preserve"> </w:t>
      </w:r>
      <w:r w:rsidRPr="00582FD2">
        <w:rPr>
          <w:rFonts w:ascii="Abadi" w:hAnsi="Abadi" w:cs="Amasis MT Pro Light"/>
          <w:sz w:val="21"/>
          <w:szCs w:val="21"/>
        </w:rPr>
        <w:t xml:space="preserve">pueden acotarse de forma general, </w:t>
      </w:r>
      <w:r w:rsidRPr="00683449">
        <w:rPr>
          <w:rFonts w:ascii="Abadi" w:hAnsi="Abadi" w:cs="Amasis MT Pro Light"/>
          <w:b/>
          <w:bCs/>
          <w:sz w:val="21"/>
          <w:szCs w:val="21"/>
        </w:rPr>
        <w:t>a la inclusión efectiva de las personas con discapacidad,</w:t>
      </w:r>
      <w:r w:rsidRPr="00582FD2">
        <w:rPr>
          <w:rFonts w:ascii="Abadi" w:hAnsi="Abadi" w:cs="Amasis MT Pro Light"/>
          <w:sz w:val="21"/>
          <w:szCs w:val="21"/>
        </w:rPr>
        <w:t xml:space="preserve"> pues la perspectiva de derechos humanos supone la necesidad de</w:t>
      </w:r>
      <w:r>
        <w:rPr>
          <w:rFonts w:ascii="Abadi" w:hAnsi="Abadi" w:cs="Amasis MT Pro Light"/>
          <w:sz w:val="21"/>
          <w:szCs w:val="21"/>
        </w:rPr>
        <w:t xml:space="preserve"> </w:t>
      </w:r>
      <w:r w:rsidRPr="00582FD2">
        <w:rPr>
          <w:rFonts w:ascii="Abadi" w:hAnsi="Abadi" w:cs="Amasis MT Pro Light"/>
          <w:sz w:val="21"/>
          <w:szCs w:val="21"/>
        </w:rPr>
        <w:t>realizar ajustes específicos para que todas las personas con discapacidad puedan</w:t>
      </w:r>
      <w:r>
        <w:rPr>
          <w:rFonts w:ascii="Abadi" w:hAnsi="Abadi" w:cs="Amasis MT Pro Light"/>
          <w:sz w:val="21"/>
          <w:szCs w:val="21"/>
        </w:rPr>
        <w:t xml:space="preserve"> </w:t>
      </w:r>
      <w:r w:rsidRPr="00582FD2">
        <w:rPr>
          <w:rFonts w:ascii="Abadi" w:hAnsi="Abadi" w:cs="Amasis MT Pro Light"/>
          <w:sz w:val="21"/>
          <w:szCs w:val="21"/>
        </w:rPr>
        <w:t>disfrutar de todos los bienes y servicios: desde asistir a la escuela, hasta trabajar y</w:t>
      </w:r>
      <w:r>
        <w:rPr>
          <w:rFonts w:ascii="Abadi" w:hAnsi="Abadi" w:cs="Amasis MT Pro Light"/>
          <w:sz w:val="21"/>
          <w:szCs w:val="21"/>
        </w:rPr>
        <w:t xml:space="preserve"> </w:t>
      </w:r>
      <w:r w:rsidRPr="00582FD2">
        <w:rPr>
          <w:rFonts w:ascii="Abadi" w:hAnsi="Abadi" w:cs="Amasis MT Pro Light"/>
          <w:sz w:val="21"/>
          <w:szCs w:val="21"/>
        </w:rPr>
        <w:t>participar en la vida pública del país en igualdad de condiciones</w:t>
      </w:r>
      <w:r w:rsidR="00403024">
        <w:rPr>
          <w:rStyle w:val="Refdenotaalpie"/>
          <w:rFonts w:ascii="Abadi" w:hAnsi="Abadi" w:cs="Amasis MT Pro Light"/>
          <w:sz w:val="21"/>
          <w:szCs w:val="21"/>
        </w:rPr>
        <w:footnoteReference w:id="25"/>
      </w:r>
      <w:r w:rsidRPr="00582FD2">
        <w:rPr>
          <w:rFonts w:ascii="Abadi" w:hAnsi="Abadi" w:cs="Amasis MT Pro Light"/>
          <w:sz w:val="21"/>
          <w:szCs w:val="21"/>
        </w:rPr>
        <w:t>.</w:t>
      </w:r>
    </w:p>
    <w:p w14:paraId="3A15D9A6" w14:textId="77777777" w:rsidR="004B76B3" w:rsidRPr="00582FD2" w:rsidRDefault="004B76B3" w:rsidP="004B76B3">
      <w:pPr>
        <w:autoSpaceDE w:val="0"/>
        <w:autoSpaceDN w:val="0"/>
        <w:adjustRightInd w:val="0"/>
        <w:jc w:val="both"/>
        <w:rPr>
          <w:rFonts w:ascii="Abadi" w:hAnsi="Abadi" w:cs="Amasis MT Pro Light"/>
          <w:sz w:val="21"/>
          <w:szCs w:val="21"/>
        </w:rPr>
      </w:pPr>
    </w:p>
    <w:p w14:paraId="734B97FC" w14:textId="77777777"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Entre los principales obstáculos para la inclusión de las personas con discapacidad</w:t>
      </w:r>
      <w:r>
        <w:rPr>
          <w:rFonts w:ascii="Abadi" w:hAnsi="Abadi" w:cs="Amasis MT Pro Light"/>
          <w:sz w:val="21"/>
          <w:szCs w:val="21"/>
        </w:rPr>
        <w:t xml:space="preserve"> </w:t>
      </w:r>
      <w:r w:rsidRPr="00582FD2">
        <w:rPr>
          <w:rFonts w:ascii="Abadi" w:hAnsi="Abadi" w:cs="Amasis MT Pro Light"/>
          <w:sz w:val="21"/>
          <w:szCs w:val="21"/>
        </w:rPr>
        <w:t xml:space="preserve">están las </w:t>
      </w:r>
      <w:r w:rsidRPr="00683449">
        <w:rPr>
          <w:rFonts w:ascii="Abadi" w:hAnsi="Abadi" w:cs="Amasis MT Pro Light"/>
          <w:b/>
          <w:bCs/>
          <w:sz w:val="21"/>
          <w:szCs w:val="21"/>
        </w:rPr>
        <w:t>barreras de acceso a la participación económica,</w:t>
      </w:r>
      <w:r w:rsidRPr="00582FD2">
        <w:rPr>
          <w:rFonts w:ascii="Abadi" w:hAnsi="Abadi" w:cs="Amasis MT Pro Light"/>
          <w:sz w:val="21"/>
          <w:szCs w:val="21"/>
        </w:rPr>
        <w:t xml:space="preserve"> mismas que se traducen</w:t>
      </w:r>
      <w:r>
        <w:rPr>
          <w:rFonts w:ascii="Abadi" w:hAnsi="Abadi" w:cs="Amasis MT Pro Light"/>
          <w:sz w:val="21"/>
          <w:szCs w:val="21"/>
        </w:rPr>
        <w:t xml:space="preserve"> </w:t>
      </w:r>
      <w:r w:rsidRPr="00582FD2">
        <w:rPr>
          <w:rFonts w:ascii="Abadi" w:hAnsi="Abadi" w:cs="Amasis MT Pro Light"/>
          <w:sz w:val="21"/>
          <w:szCs w:val="21"/>
        </w:rPr>
        <w:t xml:space="preserve">en una </w:t>
      </w:r>
      <w:r w:rsidRPr="00683449">
        <w:rPr>
          <w:rFonts w:ascii="Abadi" w:hAnsi="Abadi" w:cs="Amasis MT Pro Light"/>
          <w:b/>
          <w:bCs/>
          <w:sz w:val="21"/>
          <w:szCs w:val="21"/>
        </w:rPr>
        <w:t>situación de vulnerabilidad por falta de ingresos.</w:t>
      </w:r>
      <w:r w:rsidRPr="00582FD2">
        <w:rPr>
          <w:rFonts w:ascii="Abadi" w:hAnsi="Abadi" w:cs="Amasis MT Pro Light"/>
          <w:sz w:val="21"/>
          <w:szCs w:val="21"/>
        </w:rPr>
        <w:t xml:space="preserve"> Según el último censo de</w:t>
      </w:r>
      <w:r>
        <w:rPr>
          <w:rFonts w:ascii="Abadi" w:hAnsi="Abadi" w:cs="Amasis MT Pro Light"/>
          <w:sz w:val="21"/>
          <w:szCs w:val="21"/>
        </w:rPr>
        <w:t xml:space="preserve"> </w:t>
      </w:r>
      <w:r w:rsidRPr="00582FD2">
        <w:rPr>
          <w:rFonts w:ascii="Abadi" w:hAnsi="Abadi" w:cs="Amasis MT Pro Light"/>
          <w:sz w:val="21"/>
          <w:szCs w:val="21"/>
        </w:rPr>
        <w:t>población y vivienda, sólo 4 de cada 10 personas con discapacidad mayores de 15</w:t>
      </w:r>
      <w:r>
        <w:rPr>
          <w:rFonts w:ascii="Abadi" w:hAnsi="Abadi" w:cs="Amasis MT Pro Light"/>
          <w:sz w:val="21"/>
          <w:szCs w:val="21"/>
        </w:rPr>
        <w:t xml:space="preserve"> </w:t>
      </w:r>
      <w:r w:rsidRPr="00582FD2">
        <w:rPr>
          <w:rFonts w:ascii="Abadi" w:hAnsi="Abadi" w:cs="Amasis MT Pro Light"/>
          <w:sz w:val="21"/>
          <w:szCs w:val="21"/>
        </w:rPr>
        <w:t>años tienen participación económica.</w:t>
      </w:r>
    </w:p>
    <w:p w14:paraId="361280DB" w14:textId="77777777" w:rsidR="004B76B3" w:rsidRPr="00582FD2" w:rsidRDefault="004B76B3" w:rsidP="004B76B3">
      <w:pPr>
        <w:autoSpaceDE w:val="0"/>
        <w:autoSpaceDN w:val="0"/>
        <w:adjustRightInd w:val="0"/>
        <w:jc w:val="both"/>
        <w:rPr>
          <w:rFonts w:ascii="Abadi" w:hAnsi="Abadi" w:cs="Amasis MT Pro Light"/>
          <w:sz w:val="21"/>
          <w:szCs w:val="21"/>
        </w:rPr>
      </w:pPr>
    </w:p>
    <w:p w14:paraId="7EE61105" w14:textId="554D128F"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 xml:space="preserve">En el estado de Guanajuato existen 285,615 </w:t>
      </w:r>
      <w:r w:rsidRPr="00683449">
        <w:rPr>
          <w:rFonts w:ascii="Abadi" w:hAnsi="Abadi" w:cs="Amasis MT Pro Light"/>
          <w:b/>
          <w:bCs/>
          <w:sz w:val="21"/>
          <w:szCs w:val="21"/>
        </w:rPr>
        <w:t>personas con discapacidad</w:t>
      </w:r>
      <w:r w:rsidRPr="00582FD2">
        <w:rPr>
          <w:rFonts w:ascii="Abadi" w:hAnsi="Abadi" w:cs="Amasis MT Pro Light"/>
          <w:sz w:val="21"/>
          <w:szCs w:val="21"/>
        </w:rPr>
        <w:t>, equivalentes</w:t>
      </w:r>
      <w:r>
        <w:rPr>
          <w:rFonts w:ascii="Abadi" w:hAnsi="Abadi" w:cs="Amasis MT Pro Light"/>
          <w:sz w:val="21"/>
          <w:szCs w:val="21"/>
        </w:rPr>
        <w:t xml:space="preserve"> </w:t>
      </w:r>
      <w:r w:rsidRPr="00582FD2">
        <w:rPr>
          <w:rFonts w:ascii="Abadi" w:hAnsi="Abadi" w:cs="Amasis MT Pro Light"/>
          <w:sz w:val="21"/>
          <w:szCs w:val="21"/>
        </w:rPr>
        <w:t>al 4.63% de la población del estado</w:t>
      </w:r>
      <w:r w:rsidR="00A82AE2">
        <w:rPr>
          <w:rStyle w:val="Refdenotaalpie"/>
          <w:rFonts w:ascii="Abadi" w:hAnsi="Abadi" w:cs="Amasis MT Pro Light"/>
          <w:sz w:val="21"/>
          <w:szCs w:val="21"/>
        </w:rPr>
        <w:footnoteReference w:id="26"/>
      </w:r>
      <w:r w:rsidRPr="00582FD2">
        <w:rPr>
          <w:rFonts w:ascii="Abadi" w:hAnsi="Abadi" w:cs="Amasis MT Pro Light"/>
          <w:sz w:val="21"/>
          <w:szCs w:val="21"/>
        </w:rPr>
        <w:t>. Adicionalmente, 18% de la población con</w:t>
      </w:r>
      <w:r>
        <w:rPr>
          <w:rFonts w:ascii="Abadi" w:hAnsi="Abadi" w:cs="Amasis MT Pro Light"/>
          <w:sz w:val="21"/>
          <w:szCs w:val="21"/>
        </w:rPr>
        <w:t xml:space="preserve"> </w:t>
      </w:r>
      <w:r w:rsidRPr="00582FD2">
        <w:rPr>
          <w:rFonts w:ascii="Abadi" w:hAnsi="Abadi" w:cs="Amasis MT Pro Light"/>
          <w:sz w:val="21"/>
          <w:szCs w:val="21"/>
        </w:rPr>
        <w:t>discapacidad en el estado de Guanajuato, equivalente a 51,694 personas, no cuenta</w:t>
      </w:r>
      <w:r>
        <w:rPr>
          <w:rFonts w:ascii="Abadi" w:hAnsi="Abadi" w:cs="Amasis MT Pro Light"/>
          <w:sz w:val="21"/>
          <w:szCs w:val="21"/>
        </w:rPr>
        <w:t xml:space="preserve"> </w:t>
      </w:r>
      <w:r w:rsidRPr="00582FD2">
        <w:rPr>
          <w:rFonts w:ascii="Abadi" w:hAnsi="Abadi" w:cs="Amasis MT Pro Light"/>
          <w:sz w:val="21"/>
          <w:szCs w:val="21"/>
        </w:rPr>
        <w:t>con afiliación a servicios de salud, lo cual también les coloca en una situación de</w:t>
      </w:r>
      <w:r>
        <w:rPr>
          <w:rFonts w:ascii="Abadi" w:hAnsi="Abadi" w:cs="Amasis MT Pro Light"/>
          <w:sz w:val="21"/>
          <w:szCs w:val="21"/>
        </w:rPr>
        <w:t xml:space="preserve"> </w:t>
      </w:r>
      <w:r w:rsidRPr="00582FD2">
        <w:rPr>
          <w:rFonts w:ascii="Abadi" w:hAnsi="Abadi" w:cs="Amasis MT Pro Light"/>
          <w:sz w:val="21"/>
          <w:szCs w:val="21"/>
        </w:rPr>
        <w:t>vulnerabilidad importante.</w:t>
      </w:r>
    </w:p>
    <w:p w14:paraId="5B27E73F" w14:textId="77777777" w:rsidR="004B76B3" w:rsidRPr="00582FD2" w:rsidRDefault="004B76B3" w:rsidP="004B76B3">
      <w:pPr>
        <w:autoSpaceDE w:val="0"/>
        <w:autoSpaceDN w:val="0"/>
        <w:adjustRightInd w:val="0"/>
        <w:jc w:val="both"/>
        <w:rPr>
          <w:rFonts w:ascii="Abadi" w:hAnsi="Abadi" w:cs="Amasis MT Pro Light"/>
          <w:sz w:val="21"/>
          <w:szCs w:val="21"/>
        </w:rPr>
      </w:pPr>
    </w:p>
    <w:p w14:paraId="24DF5499" w14:textId="77777777" w:rsidR="004B76B3" w:rsidRPr="00683449" w:rsidRDefault="004B76B3" w:rsidP="004B76B3">
      <w:pPr>
        <w:autoSpaceDE w:val="0"/>
        <w:autoSpaceDN w:val="0"/>
        <w:adjustRightInd w:val="0"/>
        <w:jc w:val="both"/>
        <w:rPr>
          <w:rFonts w:ascii="Abadi" w:hAnsi="Abadi" w:cs="Amasis MT Pro Light"/>
          <w:b/>
          <w:bCs/>
          <w:sz w:val="21"/>
          <w:szCs w:val="21"/>
        </w:rPr>
      </w:pPr>
      <w:r w:rsidRPr="00582FD2">
        <w:rPr>
          <w:rFonts w:ascii="Abadi" w:hAnsi="Abadi" w:cs="Amasis MT Pro Light"/>
          <w:sz w:val="21"/>
          <w:szCs w:val="21"/>
        </w:rPr>
        <w:t>Ante esta situación, la política de inclusión efectiva de las personas con discapacidad</w:t>
      </w:r>
      <w:r>
        <w:rPr>
          <w:rFonts w:ascii="Abadi" w:hAnsi="Abadi" w:cs="Amasis MT Pro Light"/>
          <w:sz w:val="21"/>
          <w:szCs w:val="21"/>
        </w:rPr>
        <w:t xml:space="preserve"> </w:t>
      </w:r>
      <w:r w:rsidRPr="00582FD2">
        <w:rPr>
          <w:rFonts w:ascii="Abadi" w:hAnsi="Abadi" w:cs="Amasis MT Pro Light"/>
          <w:sz w:val="21"/>
          <w:szCs w:val="21"/>
        </w:rPr>
        <w:t xml:space="preserve">del </w:t>
      </w:r>
      <w:r w:rsidRPr="00582FD2">
        <w:rPr>
          <w:rFonts w:ascii="Abadi" w:hAnsi="Abadi" w:cs="Amasis MT Pro Light"/>
          <w:sz w:val="21"/>
          <w:szCs w:val="21"/>
        </w:rPr>
        <w:lastRenderedPageBreak/>
        <w:t xml:space="preserve">Gobierno Federal ha contemplado, entre otras medidas, </w:t>
      </w:r>
      <w:r w:rsidRPr="00683449">
        <w:rPr>
          <w:rFonts w:ascii="Abadi" w:hAnsi="Abadi" w:cs="Amasis MT Pro Light"/>
          <w:b/>
          <w:bCs/>
          <w:sz w:val="21"/>
          <w:szCs w:val="21"/>
        </w:rPr>
        <w:t>el reconocimiento constitucional del derecho de las personas con discapacidad permanente a un apoyo económico.</w:t>
      </w:r>
    </w:p>
    <w:p w14:paraId="26BD3CF6" w14:textId="77777777" w:rsidR="004B76B3" w:rsidRPr="00582FD2" w:rsidRDefault="004B76B3" w:rsidP="004B76B3">
      <w:pPr>
        <w:autoSpaceDE w:val="0"/>
        <w:autoSpaceDN w:val="0"/>
        <w:adjustRightInd w:val="0"/>
        <w:jc w:val="both"/>
        <w:rPr>
          <w:rFonts w:ascii="Abadi" w:hAnsi="Abadi" w:cs="Amasis MT Pro Light"/>
          <w:sz w:val="21"/>
          <w:szCs w:val="21"/>
        </w:rPr>
      </w:pPr>
    </w:p>
    <w:p w14:paraId="44D878DE" w14:textId="77777777"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 xml:space="preserve">Dicha medida, aunque impulsada por la </w:t>
      </w:r>
      <w:r w:rsidRPr="00582FD2">
        <w:rPr>
          <w:rFonts w:ascii="Abadi" w:hAnsi="Abadi" w:cs="Amasis MT Pro Light,Italic"/>
          <w:i/>
          <w:iCs/>
          <w:sz w:val="21"/>
          <w:szCs w:val="21"/>
        </w:rPr>
        <w:t>Cuarta Transformación</w:t>
      </w:r>
      <w:r w:rsidRPr="00582FD2">
        <w:rPr>
          <w:rFonts w:ascii="Abadi" w:hAnsi="Abadi" w:cs="Amasis MT Pro Light"/>
          <w:sz w:val="21"/>
          <w:szCs w:val="21"/>
        </w:rPr>
        <w:t>, fue respaldada en</w:t>
      </w:r>
      <w:r>
        <w:rPr>
          <w:rFonts w:ascii="Abadi" w:hAnsi="Abadi" w:cs="Amasis MT Pro Light"/>
          <w:sz w:val="21"/>
          <w:szCs w:val="21"/>
        </w:rPr>
        <w:t xml:space="preserve"> </w:t>
      </w:r>
      <w:r w:rsidRPr="00582FD2">
        <w:rPr>
          <w:rFonts w:ascii="Abadi" w:hAnsi="Abadi" w:cs="Amasis MT Pro Light"/>
          <w:sz w:val="21"/>
          <w:szCs w:val="21"/>
        </w:rPr>
        <w:t>2020 por prácticamente todas las legislaturas locales, incluyendo a este Congreso</w:t>
      </w:r>
      <w:r>
        <w:rPr>
          <w:rFonts w:ascii="Abadi" w:hAnsi="Abadi" w:cs="Amasis MT Pro Light"/>
          <w:sz w:val="21"/>
          <w:szCs w:val="21"/>
        </w:rPr>
        <w:t xml:space="preserve"> </w:t>
      </w:r>
      <w:r w:rsidRPr="00582FD2">
        <w:rPr>
          <w:rFonts w:ascii="Abadi" w:hAnsi="Abadi" w:cs="Amasis MT Pro Light"/>
          <w:sz w:val="21"/>
          <w:szCs w:val="21"/>
        </w:rPr>
        <w:t>del Estado de Guanajuato, en donde se aprobó la minuta de reforma constitucional</w:t>
      </w:r>
      <w:r>
        <w:rPr>
          <w:rFonts w:ascii="Abadi" w:hAnsi="Abadi" w:cs="Amasis MT Pro Light"/>
          <w:sz w:val="21"/>
          <w:szCs w:val="21"/>
        </w:rPr>
        <w:t xml:space="preserve"> </w:t>
      </w:r>
      <w:r w:rsidRPr="00582FD2">
        <w:rPr>
          <w:rFonts w:ascii="Abadi" w:hAnsi="Abadi" w:cs="Amasis MT Pro Light"/>
          <w:sz w:val="21"/>
          <w:szCs w:val="21"/>
        </w:rPr>
        <w:t>por unanimidad.</w:t>
      </w:r>
    </w:p>
    <w:p w14:paraId="3FA1ABC6" w14:textId="77777777" w:rsidR="004B76B3" w:rsidRPr="00582FD2" w:rsidRDefault="004B76B3" w:rsidP="004B76B3">
      <w:pPr>
        <w:autoSpaceDE w:val="0"/>
        <w:autoSpaceDN w:val="0"/>
        <w:adjustRightInd w:val="0"/>
        <w:jc w:val="both"/>
        <w:rPr>
          <w:rFonts w:ascii="Abadi" w:hAnsi="Abadi" w:cs="Amasis MT Pro Light"/>
          <w:sz w:val="21"/>
          <w:szCs w:val="21"/>
        </w:rPr>
      </w:pPr>
    </w:p>
    <w:p w14:paraId="38479D94"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El derecho al apoyo económico en mención se incorporó al texto constitucional en</w:t>
      </w:r>
      <w:r>
        <w:rPr>
          <w:rFonts w:ascii="Abadi" w:hAnsi="Abadi" w:cs="Amasis MT Pro Light"/>
          <w:sz w:val="21"/>
          <w:szCs w:val="21"/>
        </w:rPr>
        <w:t xml:space="preserve"> </w:t>
      </w:r>
      <w:r w:rsidRPr="00582FD2">
        <w:rPr>
          <w:rFonts w:ascii="Abadi" w:hAnsi="Abadi" w:cs="Amasis MT Pro Light"/>
          <w:sz w:val="21"/>
          <w:szCs w:val="21"/>
        </w:rPr>
        <w:t>los siguientes términos:</w:t>
      </w:r>
    </w:p>
    <w:p w14:paraId="2E74F7A8" w14:textId="77777777" w:rsidR="004B76B3" w:rsidRPr="00582FD2" w:rsidRDefault="004B76B3" w:rsidP="004B76B3">
      <w:pPr>
        <w:jc w:val="both"/>
        <w:rPr>
          <w:rFonts w:ascii="Abadi" w:hAnsi="Abadi" w:cs="Amasis MT Pro Light"/>
          <w:sz w:val="21"/>
          <w:szCs w:val="21"/>
        </w:rPr>
      </w:pPr>
    </w:p>
    <w:p w14:paraId="584DA70B" w14:textId="28B223B1"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 xml:space="preserve">El Estado </w:t>
      </w:r>
      <w:r w:rsidRPr="00683449">
        <w:rPr>
          <w:rFonts w:ascii="Abadi" w:hAnsi="Abadi" w:cs="Amasis MT Pro Light"/>
          <w:b/>
          <w:bCs/>
          <w:sz w:val="21"/>
          <w:szCs w:val="21"/>
        </w:rPr>
        <w:t>garantizará la entrega de un apoyo económico a las personas que tengan discapacidad permanente</w:t>
      </w:r>
      <w:r w:rsidRPr="00582FD2">
        <w:rPr>
          <w:rFonts w:ascii="Abadi" w:hAnsi="Abadi" w:cs="Amasis MT Pro Light"/>
          <w:sz w:val="21"/>
          <w:szCs w:val="21"/>
        </w:rPr>
        <w:t xml:space="preserve"> en los términos que fije la Ley. Para recibir esta prestación</w:t>
      </w:r>
      <w:r>
        <w:rPr>
          <w:rFonts w:ascii="Abadi" w:hAnsi="Abadi" w:cs="Amasis MT Pro Light"/>
          <w:sz w:val="21"/>
          <w:szCs w:val="21"/>
        </w:rPr>
        <w:t xml:space="preserve"> </w:t>
      </w:r>
      <w:r w:rsidRPr="00582FD2">
        <w:rPr>
          <w:rFonts w:ascii="Abadi" w:hAnsi="Abadi" w:cs="Amasis MT Pro Light"/>
          <w:sz w:val="21"/>
          <w:szCs w:val="21"/>
        </w:rPr>
        <w:t>tendrán prioridad las y los menores de dieciocho años, las y los indígenas y las y los</w:t>
      </w:r>
      <w:r>
        <w:rPr>
          <w:rFonts w:ascii="Abadi" w:hAnsi="Abadi" w:cs="Amasis MT Pro Light"/>
          <w:sz w:val="21"/>
          <w:szCs w:val="21"/>
        </w:rPr>
        <w:t xml:space="preserve"> </w:t>
      </w:r>
      <w:r w:rsidRPr="00582FD2">
        <w:rPr>
          <w:rFonts w:ascii="Abadi" w:hAnsi="Abadi" w:cs="Amasis MT Pro Light"/>
          <w:sz w:val="21"/>
          <w:szCs w:val="21"/>
        </w:rPr>
        <w:t>afromexicanos hasta la edad de sesenta y cuatro años y las personas que se</w:t>
      </w:r>
      <w:r>
        <w:rPr>
          <w:rFonts w:ascii="Abadi" w:hAnsi="Abadi" w:cs="Amasis MT Pro Light"/>
          <w:sz w:val="21"/>
          <w:szCs w:val="21"/>
        </w:rPr>
        <w:t xml:space="preserve"> </w:t>
      </w:r>
      <w:r w:rsidRPr="00582FD2">
        <w:rPr>
          <w:rFonts w:ascii="Abadi" w:hAnsi="Abadi" w:cs="Amasis MT Pro Light"/>
          <w:sz w:val="21"/>
          <w:szCs w:val="21"/>
        </w:rPr>
        <w:t>encuentren en condición de pobreza</w:t>
      </w:r>
      <w:r w:rsidR="00A82AE2">
        <w:rPr>
          <w:rStyle w:val="Refdenotaalpie"/>
          <w:rFonts w:ascii="Abadi" w:hAnsi="Abadi" w:cs="Amasis MT Pro Light"/>
          <w:sz w:val="21"/>
          <w:szCs w:val="21"/>
        </w:rPr>
        <w:footnoteReference w:id="27"/>
      </w:r>
      <w:r w:rsidRPr="00582FD2">
        <w:rPr>
          <w:rFonts w:ascii="Abadi" w:hAnsi="Abadi" w:cs="Amasis MT Pro Light"/>
          <w:sz w:val="21"/>
          <w:szCs w:val="21"/>
        </w:rPr>
        <w:t>.</w:t>
      </w:r>
    </w:p>
    <w:p w14:paraId="0FF4B0C9" w14:textId="77777777" w:rsidR="00A82AE2" w:rsidRPr="00582FD2" w:rsidRDefault="00A82AE2" w:rsidP="004B76B3">
      <w:pPr>
        <w:autoSpaceDE w:val="0"/>
        <w:autoSpaceDN w:val="0"/>
        <w:adjustRightInd w:val="0"/>
        <w:jc w:val="both"/>
        <w:rPr>
          <w:rFonts w:ascii="Abadi" w:hAnsi="Abadi" w:cs="Amasis MT Pro Light"/>
          <w:sz w:val="21"/>
          <w:szCs w:val="21"/>
        </w:rPr>
      </w:pPr>
    </w:p>
    <w:p w14:paraId="360E47FC" w14:textId="77777777"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Este derecho, como parte del andamiaje institucional del nuevo régimen de bienestar</w:t>
      </w:r>
      <w:r>
        <w:rPr>
          <w:rFonts w:ascii="Abadi" w:hAnsi="Abadi" w:cs="Amasis MT Pro Light"/>
          <w:sz w:val="21"/>
          <w:szCs w:val="21"/>
        </w:rPr>
        <w:t xml:space="preserve"> </w:t>
      </w:r>
      <w:r w:rsidRPr="00582FD2">
        <w:rPr>
          <w:rFonts w:ascii="Abadi" w:hAnsi="Abadi" w:cs="Amasis MT Pro Light"/>
          <w:sz w:val="21"/>
          <w:szCs w:val="21"/>
        </w:rPr>
        <w:t>que se está construyendo desde hace 4 años en México, es un piso mínimo blindado</w:t>
      </w:r>
      <w:r>
        <w:rPr>
          <w:rFonts w:ascii="Abadi" w:hAnsi="Abadi" w:cs="Amasis MT Pro Light"/>
          <w:sz w:val="21"/>
          <w:szCs w:val="21"/>
        </w:rPr>
        <w:t xml:space="preserve"> </w:t>
      </w:r>
      <w:r w:rsidRPr="00582FD2">
        <w:rPr>
          <w:rFonts w:ascii="Abadi" w:hAnsi="Abadi" w:cs="Amasis MT Pro Light"/>
          <w:sz w:val="21"/>
          <w:szCs w:val="21"/>
        </w:rPr>
        <w:t>constitucionalmente para contribuir a la inclusión social de las personas con</w:t>
      </w:r>
      <w:r>
        <w:rPr>
          <w:rFonts w:ascii="Abadi" w:hAnsi="Abadi" w:cs="Amasis MT Pro Light"/>
          <w:sz w:val="21"/>
          <w:szCs w:val="21"/>
        </w:rPr>
        <w:t xml:space="preserve"> </w:t>
      </w:r>
      <w:r w:rsidRPr="00582FD2">
        <w:rPr>
          <w:rFonts w:ascii="Abadi" w:hAnsi="Abadi" w:cs="Amasis MT Pro Light"/>
          <w:sz w:val="21"/>
          <w:szCs w:val="21"/>
        </w:rPr>
        <w:t>discapacidad. Esta contribución, se da en la medida en que este derecho permite</w:t>
      </w:r>
      <w:r>
        <w:rPr>
          <w:rFonts w:ascii="Abadi" w:hAnsi="Abadi" w:cs="Amasis MT Pro Light"/>
          <w:sz w:val="21"/>
          <w:szCs w:val="21"/>
        </w:rPr>
        <w:t xml:space="preserve"> </w:t>
      </w:r>
      <w:r w:rsidRPr="00582FD2">
        <w:rPr>
          <w:rFonts w:ascii="Abadi" w:hAnsi="Abadi" w:cs="Amasis MT Pro Light"/>
          <w:sz w:val="21"/>
          <w:szCs w:val="21"/>
        </w:rPr>
        <w:t>romper barreras de acceso a los servicios sociales y al bienestar por parte de este</w:t>
      </w:r>
      <w:r>
        <w:rPr>
          <w:rFonts w:ascii="Abadi" w:hAnsi="Abadi" w:cs="Amasis MT Pro Light"/>
          <w:sz w:val="21"/>
          <w:szCs w:val="21"/>
        </w:rPr>
        <w:t xml:space="preserve"> </w:t>
      </w:r>
      <w:r w:rsidRPr="00582FD2">
        <w:rPr>
          <w:rFonts w:ascii="Abadi" w:hAnsi="Abadi" w:cs="Amasis MT Pro Light"/>
          <w:sz w:val="21"/>
          <w:szCs w:val="21"/>
        </w:rPr>
        <w:t>segmento poblacional.</w:t>
      </w:r>
    </w:p>
    <w:p w14:paraId="5CEC531B" w14:textId="77777777" w:rsidR="004B76B3" w:rsidRPr="00582FD2" w:rsidRDefault="004B76B3" w:rsidP="004B76B3">
      <w:pPr>
        <w:autoSpaceDE w:val="0"/>
        <w:autoSpaceDN w:val="0"/>
        <w:adjustRightInd w:val="0"/>
        <w:jc w:val="both"/>
        <w:rPr>
          <w:rFonts w:ascii="Abadi" w:hAnsi="Abadi" w:cs="Amasis MT Pro Light"/>
          <w:sz w:val="21"/>
          <w:szCs w:val="21"/>
        </w:rPr>
      </w:pPr>
    </w:p>
    <w:p w14:paraId="713D145D" w14:textId="77777777"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Por lo anterior, las y los iniciantes de esta propuesta consideramos necesario</w:t>
      </w:r>
      <w:r>
        <w:rPr>
          <w:rFonts w:ascii="Abadi" w:hAnsi="Abadi" w:cs="Amasis MT Pro Light"/>
          <w:sz w:val="21"/>
          <w:szCs w:val="21"/>
        </w:rPr>
        <w:t xml:space="preserve"> </w:t>
      </w:r>
      <w:r w:rsidRPr="00582FD2">
        <w:rPr>
          <w:rFonts w:ascii="Abadi" w:hAnsi="Abadi" w:cs="Amasis MT Pro Light"/>
          <w:sz w:val="21"/>
          <w:szCs w:val="21"/>
        </w:rPr>
        <w:t>incorporar en la Constitución Local el derecho de las personas con discapacidad</w:t>
      </w:r>
      <w:r>
        <w:rPr>
          <w:rFonts w:ascii="Abadi" w:hAnsi="Abadi" w:cs="Amasis MT Pro Light"/>
          <w:sz w:val="21"/>
          <w:szCs w:val="21"/>
        </w:rPr>
        <w:t xml:space="preserve"> </w:t>
      </w:r>
      <w:r w:rsidRPr="00582FD2">
        <w:rPr>
          <w:rFonts w:ascii="Abadi" w:hAnsi="Abadi" w:cs="Amasis MT Pro Light"/>
          <w:sz w:val="21"/>
          <w:szCs w:val="21"/>
        </w:rPr>
        <w:t>permanente a un apoyo económico. Dicha incorporación permitiría armonizar el</w:t>
      </w:r>
      <w:r>
        <w:rPr>
          <w:rFonts w:ascii="Abadi" w:hAnsi="Abadi" w:cs="Amasis MT Pro Light"/>
          <w:sz w:val="21"/>
          <w:szCs w:val="21"/>
        </w:rPr>
        <w:t xml:space="preserve"> </w:t>
      </w:r>
      <w:r w:rsidRPr="00582FD2">
        <w:rPr>
          <w:rFonts w:ascii="Abadi" w:hAnsi="Abadi" w:cs="Amasis MT Pro Light"/>
          <w:sz w:val="21"/>
          <w:szCs w:val="21"/>
        </w:rPr>
        <w:t>aparato jurídico fundamental de la entidad en materia de derechos humanos y</w:t>
      </w:r>
      <w:r>
        <w:rPr>
          <w:rFonts w:ascii="Abadi" w:hAnsi="Abadi" w:cs="Amasis MT Pro Light"/>
          <w:sz w:val="21"/>
          <w:szCs w:val="21"/>
        </w:rPr>
        <w:t xml:space="preserve"> </w:t>
      </w:r>
      <w:r w:rsidRPr="00582FD2">
        <w:rPr>
          <w:rFonts w:ascii="Abadi" w:hAnsi="Abadi" w:cs="Amasis MT Pro Light"/>
          <w:sz w:val="21"/>
          <w:szCs w:val="21"/>
        </w:rPr>
        <w:t>bienestar social de las personas con discapacidad.</w:t>
      </w:r>
    </w:p>
    <w:p w14:paraId="4F4320A8" w14:textId="77777777" w:rsidR="004B76B3" w:rsidRPr="00582FD2" w:rsidRDefault="004B76B3" w:rsidP="004B76B3">
      <w:pPr>
        <w:autoSpaceDE w:val="0"/>
        <w:autoSpaceDN w:val="0"/>
        <w:adjustRightInd w:val="0"/>
        <w:jc w:val="both"/>
        <w:rPr>
          <w:rFonts w:ascii="Abadi" w:hAnsi="Abadi" w:cs="Amasis MT Pro Light"/>
          <w:sz w:val="21"/>
          <w:szCs w:val="21"/>
        </w:rPr>
      </w:pPr>
    </w:p>
    <w:p w14:paraId="5D48A406" w14:textId="77777777"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Esto, además, permitiría vincular a las autoridades de nuestra entidad para contribuir</w:t>
      </w:r>
      <w:r>
        <w:rPr>
          <w:rFonts w:ascii="Abadi" w:hAnsi="Abadi" w:cs="Amasis MT Pro Light"/>
          <w:sz w:val="21"/>
          <w:szCs w:val="21"/>
        </w:rPr>
        <w:t xml:space="preserve"> </w:t>
      </w:r>
      <w:r w:rsidRPr="00582FD2">
        <w:rPr>
          <w:rFonts w:ascii="Abadi" w:hAnsi="Abadi" w:cs="Amasis MT Pro Light"/>
          <w:sz w:val="21"/>
          <w:szCs w:val="21"/>
        </w:rPr>
        <w:t>en la garantía de los derechos humanos de personas con discapacidad.</w:t>
      </w:r>
      <w:r>
        <w:rPr>
          <w:rFonts w:ascii="Abadi" w:hAnsi="Abadi" w:cs="Amasis MT Pro Light"/>
          <w:sz w:val="21"/>
          <w:szCs w:val="21"/>
        </w:rPr>
        <w:t xml:space="preserve"> </w:t>
      </w:r>
    </w:p>
    <w:p w14:paraId="46C94F99" w14:textId="77777777" w:rsidR="004B76B3" w:rsidRPr="00582FD2" w:rsidRDefault="004B76B3" w:rsidP="004B76B3">
      <w:pPr>
        <w:autoSpaceDE w:val="0"/>
        <w:autoSpaceDN w:val="0"/>
        <w:adjustRightInd w:val="0"/>
        <w:jc w:val="both"/>
        <w:rPr>
          <w:rFonts w:ascii="Abadi" w:hAnsi="Abadi" w:cs="Amasis MT Pro Light"/>
          <w:sz w:val="21"/>
          <w:szCs w:val="21"/>
        </w:rPr>
      </w:pPr>
    </w:p>
    <w:p w14:paraId="33FF7D1F" w14:textId="77777777"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Actualmente el derecho a un apoyo económico se garantiza con $2,800 bimestrales</w:t>
      </w:r>
      <w:r>
        <w:rPr>
          <w:rFonts w:ascii="Abadi" w:hAnsi="Abadi" w:cs="Amasis MT Pro Light"/>
          <w:sz w:val="21"/>
          <w:szCs w:val="21"/>
        </w:rPr>
        <w:t xml:space="preserve"> para</w:t>
      </w:r>
      <w:r w:rsidRPr="00582FD2">
        <w:rPr>
          <w:rFonts w:ascii="Abadi" w:hAnsi="Abadi" w:cs="Amasis MT Pro Light"/>
          <w:sz w:val="21"/>
          <w:szCs w:val="21"/>
        </w:rPr>
        <w:t xml:space="preserve"> más de 1 </w:t>
      </w:r>
      <w:r w:rsidRPr="00582FD2">
        <w:rPr>
          <w:rFonts w:ascii="Abadi" w:hAnsi="Abadi" w:cs="Amasis MT Pro Light"/>
          <w:sz w:val="21"/>
          <w:szCs w:val="21"/>
        </w:rPr>
        <w:t>millón de personas con discapacidad permanente en todo el país, de</w:t>
      </w:r>
      <w:r>
        <w:rPr>
          <w:rFonts w:ascii="Abadi" w:hAnsi="Abadi" w:cs="Amasis MT Pro Light"/>
          <w:sz w:val="21"/>
          <w:szCs w:val="21"/>
        </w:rPr>
        <w:t xml:space="preserve"> </w:t>
      </w:r>
      <w:r w:rsidRPr="00582FD2">
        <w:rPr>
          <w:rFonts w:ascii="Abadi" w:hAnsi="Abadi" w:cs="Amasis MT Pro Light"/>
          <w:sz w:val="21"/>
          <w:szCs w:val="21"/>
        </w:rPr>
        <w:t>las cuales 44,427 pertenecen al estado de Guanajuato.</w:t>
      </w:r>
    </w:p>
    <w:p w14:paraId="6B6FCE40" w14:textId="77777777" w:rsidR="004B76B3" w:rsidRPr="00582FD2" w:rsidRDefault="004B76B3" w:rsidP="004B76B3">
      <w:pPr>
        <w:autoSpaceDE w:val="0"/>
        <w:autoSpaceDN w:val="0"/>
        <w:adjustRightInd w:val="0"/>
        <w:jc w:val="both"/>
        <w:rPr>
          <w:rFonts w:ascii="Abadi" w:hAnsi="Abadi" w:cs="Amasis MT Pro Light"/>
          <w:sz w:val="21"/>
          <w:szCs w:val="21"/>
        </w:rPr>
      </w:pPr>
    </w:p>
    <w:p w14:paraId="3B484BBC" w14:textId="77777777"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Pese a la focalización inicial de este derecho, legislada como piso mínimo a nivel</w:t>
      </w:r>
      <w:r>
        <w:rPr>
          <w:rFonts w:ascii="Abadi" w:hAnsi="Abadi" w:cs="Amasis MT Pro Light"/>
          <w:sz w:val="21"/>
          <w:szCs w:val="21"/>
        </w:rPr>
        <w:t xml:space="preserve"> </w:t>
      </w:r>
      <w:r w:rsidRPr="00582FD2">
        <w:rPr>
          <w:rFonts w:ascii="Abadi" w:hAnsi="Abadi" w:cs="Amasis MT Pro Light"/>
          <w:sz w:val="21"/>
          <w:szCs w:val="21"/>
        </w:rPr>
        <w:t>federal, progresivamente se ha avanzado hacia la universalidad de este apoyo con la</w:t>
      </w:r>
      <w:r>
        <w:rPr>
          <w:rFonts w:ascii="Abadi" w:hAnsi="Abadi" w:cs="Amasis MT Pro Light"/>
          <w:sz w:val="21"/>
          <w:szCs w:val="21"/>
        </w:rPr>
        <w:t xml:space="preserve"> </w:t>
      </w:r>
      <w:r w:rsidRPr="00582FD2">
        <w:rPr>
          <w:rFonts w:ascii="Abadi" w:hAnsi="Abadi" w:cs="Amasis MT Pro Light"/>
          <w:sz w:val="21"/>
          <w:szCs w:val="21"/>
        </w:rPr>
        <w:t>concurrencia federal y estatal. Hoy en día, 20 de las 32 entidades federativas han</w:t>
      </w:r>
      <w:r>
        <w:rPr>
          <w:rFonts w:ascii="Abadi" w:hAnsi="Abadi" w:cs="Amasis MT Pro Light"/>
          <w:sz w:val="21"/>
          <w:szCs w:val="21"/>
        </w:rPr>
        <w:t xml:space="preserve"> </w:t>
      </w:r>
      <w:r w:rsidRPr="00582FD2">
        <w:rPr>
          <w:rFonts w:ascii="Abadi" w:hAnsi="Abadi" w:cs="Amasis MT Pro Light"/>
          <w:sz w:val="21"/>
          <w:szCs w:val="21"/>
        </w:rPr>
        <w:t>firmado convenios de colaboración con el Gobierno Federal para financiar de forma concurrente el acceso universal a este este derecho: mientras el gobierno federal lo</w:t>
      </w:r>
      <w:r>
        <w:rPr>
          <w:rFonts w:ascii="Abadi" w:hAnsi="Abadi" w:cs="Amasis MT Pro Light"/>
          <w:sz w:val="21"/>
          <w:szCs w:val="21"/>
        </w:rPr>
        <w:t xml:space="preserve"> </w:t>
      </w:r>
      <w:r w:rsidRPr="00582FD2">
        <w:rPr>
          <w:rFonts w:ascii="Abadi" w:hAnsi="Abadi" w:cs="Amasis MT Pro Light"/>
          <w:sz w:val="21"/>
          <w:szCs w:val="21"/>
        </w:rPr>
        <w:t>financia para personas de hasta 30 años, los gobiernos locales de morena lo hacen</w:t>
      </w:r>
      <w:r>
        <w:rPr>
          <w:rFonts w:ascii="Abadi" w:hAnsi="Abadi" w:cs="Amasis MT Pro Light"/>
          <w:sz w:val="21"/>
          <w:szCs w:val="21"/>
        </w:rPr>
        <w:t xml:space="preserve"> </w:t>
      </w:r>
      <w:r w:rsidRPr="00582FD2">
        <w:rPr>
          <w:rFonts w:ascii="Abadi" w:hAnsi="Abadi" w:cs="Amasis MT Pro Light"/>
          <w:sz w:val="21"/>
          <w:szCs w:val="21"/>
        </w:rPr>
        <w:t>para las personas de 31 hasta 64 años, luego de lo cual se convierten en beneficiarios</w:t>
      </w:r>
      <w:r>
        <w:rPr>
          <w:rFonts w:ascii="Abadi" w:hAnsi="Abadi" w:cs="Amasis MT Pro Light"/>
          <w:sz w:val="21"/>
          <w:szCs w:val="21"/>
        </w:rPr>
        <w:t xml:space="preserve"> </w:t>
      </w:r>
      <w:r w:rsidRPr="00582FD2">
        <w:rPr>
          <w:rFonts w:ascii="Abadi" w:hAnsi="Abadi" w:cs="Amasis MT Pro Light"/>
          <w:sz w:val="21"/>
          <w:szCs w:val="21"/>
        </w:rPr>
        <w:t>de la pensión para el bienestar de los adultos mayores, misma que también tiene</w:t>
      </w:r>
      <w:r>
        <w:rPr>
          <w:rFonts w:ascii="Abadi" w:hAnsi="Abadi" w:cs="Amasis MT Pro Light"/>
          <w:sz w:val="21"/>
          <w:szCs w:val="21"/>
        </w:rPr>
        <w:t xml:space="preserve"> </w:t>
      </w:r>
      <w:r w:rsidRPr="00582FD2">
        <w:rPr>
          <w:rFonts w:ascii="Abadi" w:hAnsi="Abadi" w:cs="Amasis MT Pro Light"/>
          <w:sz w:val="21"/>
          <w:szCs w:val="21"/>
        </w:rPr>
        <w:t>carácter universal.</w:t>
      </w:r>
    </w:p>
    <w:p w14:paraId="5F8E4715" w14:textId="77777777" w:rsidR="004B76B3" w:rsidRPr="00582FD2" w:rsidRDefault="004B76B3" w:rsidP="004B76B3">
      <w:pPr>
        <w:autoSpaceDE w:val="0"/>
        <w:autoSpaceDN w:val="0"/>
        <w:adjustRightInd w:val="0"/>
        <w:jc w:val="both"/>
        <w:rPr>
          <w:rFonts w:ascii="Abadi" w:hAnsi="Abadi" w:cs="Amasis MT Pro Light"/>
          <w:sz w:val="21"/>
          <w:szCs w:val="21"/>
        </w:rPr>
      </w:pPr>
    </w:p>
    <w:p w14:paraId="7049DE06" w14:textId="05897831"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De esta manera, el derecho de las personas con discapacidad permanente a un</w:t>
      </w:r>
      <w:r>
        <w:rPr>
          <w:rFonts w:ascii="Abadi" w:hAnsi="Abadi" w:cs="Amasis MT Pro Light"/>
          <w:sz w:val="21"/>
          <w:szCs w:val="21"/>
        </w:rPr>
        <w:t xml:space="preserve"> </w:t>
      </w:r>
      <w:r w:rsidRPr="00582FD2">
        <w:rPr>
          <w:rFonts w:ascii="Abadi" w:hAnsi="Abadi" w:cs="Amasis MT Pro Light"/>
          <w:sz w:val="21"/>
          <w:szCs w:val="21"/>
        </w:rPr>
        <w:t>apoyo económico forma parte de un andamiaje institucional que ha venido</w:t>
      </w:r>
      <w:r>
        <w:rPr>
          <w:rFonts w:ascii="Abadi" w:hAnsi="Abadi" w:cs="Amasis MT Pro Light"/>
          <w:sz w:val="21"/>
          <w:szCs w:val="21"/>
        </w:rPr>
        <w:t xml:space="preserve"> </w:t>
      </w:r>
      <w:r w:rsidRPr="00582FD2">
        <w:rPr>
          <w:rFonts w:ascii="Abadi" w:hAnsi="Abadi" w:cs="Amasis MT Pro Light"/>
          <w:sz w:val="21"/>
          <w:szCs w:val="21"/>
        </w:rPr>
        <w:t>construyendo las bases de un régimen de bienestar universalista</w:t>
      </w:r>
      <w:r w:rsidR="00EA6763">
        <w:rPr>
          <w:rStyle w:val="Refdenotaalpie"/>
          <w:rFonts w:ascii="Abadi" w:hAnsi="Abadi" w:cs="Amasis MT Pro Light"/>
          <w:sz w:val="21"/>
          <w:szCs w:val="21"/>
        </w:rPr>
        <w:footnoteReference w:id="28"/>
      </w:r>
      <w:r w:rsidRPr="00582FD2">
        <w:rPr>
          <w:rFonts w:ascii="Abadi" w:hAnsi="Abadi" w:cs="Amasis MT Pro Light"/>
          <w:sz w:val="21"/>
          <w:szCs w:val="21"/>
        </w:rPr>
        <w:t xml:space="preserve"> blindado</w:t>
      </w:r>
      <w:r>
        <w:rPr>
          <w:rFonts w:ascii="Abadi" w:hAnsi="Abadi" w:cs="Amasis MT Pro Light"/>
          <w:sz w:val="21"/>
          <w:szCs w:val="21"/>
        </w:rPr>
        <w:t xml:space="preserve"> </w:t>
      </w:r>
      <w:r w:rsidRPr="00582FD2">
        <w:rPr>
          <w:rFonts w:ascii="Abadi" w:hAnsi="Abadi" w:cs="Amasis MT Pro Light"/>
          <w:sz w:val="21"/>
          <w:szCs w:val="21"/>
        </w:rPr>
        <w:t>constitucionalmente, al cual nuestra entidad debe sumarse.</w:t>
      </w:r>
    </w:p>
    <w:p w14:paraId="5CD76D83" w14:textId="77777777" w:rsidR="004B76B3" w:rsidRPr="00582FD2" w:rsidRDefault="004B76B3" w:rsidP="004B76B3">
      <w:pPr>
        <w:autoSpaceDE w:val="0"/>
        <w:autoSpaceDN w:val="0"/>
        <w:adjustRightInd w:val="0"/>
        <w:jc w:val="both"/>
        <w:rPr>
          <w:rFonts w:ascii="Abadi" w:hAnsi="Abadi" w:cs="Amasis MT Pro Light"/>
          <w:sz w:val="21"/>
          <w:szCs w:val="21"/>
        </w:rPr>
      </w:pPr>
    </w:p>
    <w:p w14:paraId="4F9112A1" w14:textId="77777777"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En nuestra entidad hay aproximadamente 122,539 personas con discapacidad que</w:t>
      </w:r>
      <w:r>
        <w:rPr>
          <w:rFonts w:ascii="Abadi" w:hAnsi="Abadi" w:cs="Amasis MT Pro Light"/>
          <w:sz w:val="21"/>
          <w:szCs w:val="21"/>
        </w:rPr>
        <w:t xml:space="preserve"> </w:t>
      </w:r>
      <w:r w:rsidRPr="00582FD2">
        <w:rPr>
          <w:rFonts w:ascii="Abadi" w:hAnsi="Abadi" w:cs="Amasis MT Pro Light"/>
          <w:sz w:val="21"/>
          <w:szCs w:val="21"/>
        </w:rPr>
        <w:t>aún no reciben un apoyo económico; sin embargo, las y los iniciantes consideramos</w:t>
      </w:r>
      <w:r>
        <w:rPr>
          <w:rFonts w:ascii="Abadi" w:hAnsi="Abadi" w:cs="Amasis MT Pro Light"/>
          <w:sz w:val="21"/>
          <w:szCs w:val="21"/>
        </w:rPr>
        <w:t xml:space="preserve"> </w:t>
      </w:r>
      <w:r w:rsidRPr="00582FD2">
        <w:rPr>
          <w:rFonts w:ascii="Abadi" w:hAnsi="Abadi" w:cs="Amasis MT Pro Light"/>
          <w:sz w:val="21"/>
          <w:szCs w:val="21"/>
        </w:rPr>
        <w:t>que existen las condiciones de posibilidad suficientes para dar cobertura universal de</w:t>
      </w:r>
      <w:r>
        <w:rPr>
          <w:rFonts w:ascii="Abadi" w:hAnsi="Abadi" w:cs="Amasis MT Pro Light"/>
          <w:sz w:val="21"/>
          <w:szCs w:val="21"/>
        </w:rPr>
        <w:t xml:space="preserve"> </w:t>
      </w:r>
      <w:r w:rsidRPr="00582FD2">
        <w:rPr>
          <w:rFonts w:ascii="Abadi" w:hAnsi="Abadi" w:cs="Amasis MT Pro Light"/>
          <w:sz w:val="21"/>
          <w:szCs w:val="21"/>
        </w:rPr>
        <w:t>este derecho en nuestro estado de forma progresiva.</w:t>
      </w:r>
      <w:r>
        <w:rPr>
          <w:rFonts w:ascii="Abadi" w:hAnsi="Abadi" w:cs="Amasis MT Pro Light"/>
          <w:sz w:val="21"/>
          <w:szCs w:val="21"/>
        </w:rPr>
        <w:t xml:space="preserve"> </w:t>
      </w:r>
    </w:p>
    <w:p w14:paraId="0B8494BD" w14:textId="77777777" w:rsidR="004B76B3" w:rsidRPr="00582FD2" w:rsidRDefault="004B76B3" w:rsidP="004B76B3">
      <w:pPr>
        <w:autoSpaceDE w:val="0"/>
        <w:autoSpaceDN w:val="0"/>
        <w:adjustRightInd w:val="0"/>
        <w:jc w:val="both"/>
        <w:rPr>
          <w:rFonts w:ascii="Abadi" w:hAnsi="Abadi" w:cs="Amasis MT Pro Light"/>
          <w:sz w:val="21"/>
          <w:szCs w:val="21"/>
        </w:rPr>
      </w:pPr>
    </w:p>
    <w:p w14:paraId="676FA8C9" w14:textId="5A8DC67B" w:rsidR="00BF41FA" w:rsidRPr="00923823" w:rsidRDefault="00923823" w:rsidP="00923823">
      <w:pPr>
        <w:ind w:left="284" w:right="425"/>
        <w:jc w:val="both"/>
        <w:rPr>
          <w:rFonts w:ascii="Abadi" w:hAnsi="Abadi" w:cs="Amasis MT Pro Light"/>
          <w:sz w:val="18"/>
          <w:szCs w:val="18"/>
        </w:rPr>
      </w:pPr>
      <w:r w:rsidRPr="00923823">
        <w:rPr>
          <w:rFonts w:ascii="Abadi" w:hAnsi="Abadi" w:cs="Amasis MT Pro Light"/>
          <w:noProof/>
          <w:sz w:val="21"/>
          <w:szCs w:val="21"/>
        </w:rPr>
        <w:drawing>
          <wp:anchor distT="0" distB="0" distL="114300" distR="114300" simplePos="0" relativeHeight="251731968" behindDoc="1" locked="0" layoutInCell="1" allowOverlap="1" wp14:anchorId="1B3484A4" wp14:editId="5EAF2373">
            <wp:simplePos x="0" y="0"/>
            <wp:positionH relativeFrom="column">
              <wp:posOffset>173393</wp:posOffset>
            </wp:positionH>
            <wp:positionV relativeFrom="paragraph">
              <wp:posOffset>285040</wp:posOffset>
            </wp:positionV>
            <wp:extent cx="2334410" cy="1080076"/>
            <wp:effectExtent l="0" t="0" r="0" b="6350"/>
            <wp:wrapTight wrapText="bothSides">
              <wp:wrapPolygon edited="0">
                <wp:start x="0" y="0"/>
                <wp:lineTo x="0" y="21346"/>
                <wp:lineTo x="21330" y="21346"/>
                <wp:lineTo x="21330" y="0"/>
                <wp:lineTo x="0" y="0"/>
              </wp:wrapPolygon>
            </wp:wrapTight>
            <wp:docPr id="1" name="Imagen 4">
              <a:extLst xmlns:a="http://schemas.openxmlformats.org/drawingml/2006/main">
                <a:ext uri="{FF2B5EF4-FFF2-40B4-BE49-F238E27FC236}">
                  <a16:creationId xmlns:a16="http://schemas.microsoft.com/office/drawing/2014/main" id="{2A6A7B12-DB2B-CB3E-B23B-BC61A22F60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A6A7B12-DB2B-CB3E-B23B-BC61A22F6073}"/>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24413" t="35646" r="27296" b="24625"/>
                    <a:stretch/>
                  </pic:blipFill>
                  <pic:spPr>
                    <a:xfrm>
                      <a:off x="0" y="0"/>
                      <a:ext cx="2334410" cy="1080076"/>
                    </a:xfrm>
                    <a:prstGeom prst="rect">
                      <a:avLst/>
                    </a:prstGeom>
                  </pic:spPr>
                </pic:pic>
              </a:graphicData>
            </a:graphic>
          </wp:anchor>
        </w:drawing>
      </w:r>
      <w:r w:rsidR="004B76B3" w:rsidRPr="00923823">
        <w:rPr>
          <w:rFonts w:ascii="Abadi" w:hAnsi="Abadi" w:cs="Amasis MT Pro Light"/>
          <w:sz w:val="18"/>
          <w:szCs w:val="18"/>
        </w:rPr>
        <w:t>Apoyo económico a personas con discapacidad en Guanajuato</w:t>
      </w:r>
    </w:p>
    <w:p w14:paraId="6B7B0CE1" w14:textId="32F7A7C9" w:rsidR="004B76B3" w:rsidRPr="00923823" w:rsidRDefault="00923823" w:rsidP="00923823">
      <w:pPr>
        <w:ind w:left="284" w:right="283"/>
        <w:jc w:val="both"/>
        <w:rPr>
          <w:rFonts w:ascii="Abadi" w:hAnsi="Abadi" w:cs="Amasis MT Pro Light"/>
          <w:sz w:val="18"/>
          <w:szCs w:val="18"/>
        </w:rPr>
      </w:pPr>
      <w:r>
        <w:rPr>
          <w:rFonts w:ascii="Abadi" w:hAnsi="Abadi" w:cs="Amasis MT Pro Light"/>
          <w:b/>
          <w:bCs/>
          <w:sz w:val="18"/>
          <w:szCs w:val="18"/>
        </w:rPr>
        <w:t>F</w:t>
      </w:r>
      <w:r w:rsidRPr="00923823">
        <w:rPr>
          <w:rFonts w:ascii="Abadi" w:hAnsi="Abadi" w:cs="Amasis MT Pro Light"/>
          <w:b/>
          <w:bCs/>
          <w:sz w:val="18"/>
          <w:szCs w:val="18"/>
        </w:rPr>
        <w:t>uente:</w:t>
      </w:r>
      <w:r w:rsidRPr="00923823">
        <w:rPr>
          <w:rFonts w:ascii="Abadi" w:hAnsi="Abadi" w:cs="Amasis MT Pro Light"/>
          <w:sz w:val="18"/>
          <w:szCs w:val="18"/>
        </w:rPr>
        <w:t xml:space="preserve"> elaboración propia con datos del </w:t>
      </w:r>
      <w:r>
        <w:rPr>
          <w:rFonts w:ascii="Abadi" w:hAnsi="Abadi" w:cs="Amasis MT Pro Light"/>
          <w:sz w:val="18"/>
          <w:szCs w:val="18"/>
        </w:rPr>
        <w:t xml:space="preserve">INEG </w:t>
      </w:r>
      <w:r w:rsidRPr="00923823">
        <w:rPr>
          <w:rFonts w:ascii="Abadi" w:hAnsi="Abadi" w:cs="Amasis MT Pro Light"/>
          <w:sz w:val="18"/>
          <w:szCs w:val="18"/>
        </w:rPr>
        <w:t>y secretaría del bienestar.</w:t>
      </w:r>
    </w:p>
    <w:p w14:paraId="6AAA0DA5" w14:textId="77777777" w:rsidR="004B76B3" w:rsidRPr="00923823" w:rsidRDefault="004B76B3" w:rsidP="004B76B3">
      <w:pPr>
        <w:jc w:val="both"/>
        <w:rPr>
          <w:rFonts w:ascii="Abadi" w:hAnsi="Abadi" w:cs="Amasis MT Pro Light"/>
          <w:sz w:val="18"/>
          <w:szCs w:val="18"/>
        </w:rPr>
      </w:pPr>
    </w:p>
    <w:p w14:paraId="18DA612A" w14:textId="77777777"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Si bien es cierto que el impacto económico de dar cobertura universal a las 122,539</w:t>
      </w:r>
      <w:r>
        <w:rPr>
          <w:rFonts w:ascii="Abadi" w:hAnsi="Abadi" w:cs="Amasis MT Pro Light"/>
          <w:sz w:val="21"/>
          <w:szCs w:val="21"/>
        </w:rPr>
        <w:t xml:space="preserve"> </w:t>
      </w:r>
      <w:r w:rsidRPr="00582FD2">
        <w:rPr>
          <w:rFonts w:ascii="Abadi" w:hAnsi="Abadi" w:cs="Amasis MT Pro Light"/>
          <w:sz w:val="21"/>
          <w:szCs w:val="21"/>
        </w:rPr>
        <w:t>personas faltantes de apoyo económico supondría una erogación anual de</w:t>
      </w:r>
      <w:r>
        <w:rPr>
          <w:rFonts w:ascii="Abadi" w:hAnsi="Abadi" w:cs="Amasis MT Pro Light"/>
          <w:sz w:val="21"/>
          <w:szCs w:val="21"/>
        </w:rPr>
        <w:t xml:space="preserve"> </w:t>
      </w:r>
      <w:r w:rsidRPr="00582FD2">
        <w:rPr>
          <w:rFonts w:ascii="Abadi" w:hAnsi="Abadi" w:cs="Amasis MT Pro Light"/>
          <w:sz w:val="21"/>
          <w:szCs w:val="21"/>
        </w:rPr>
        <w:t xml:space="preserve">aproximadamente 2 mil 58 millones de pesos, también es cierto que la </w:t>
      </w:r>
      <w:r w:rsidRPr="00582FD2">
        <w:rPr>
          <w:rFonts w:ascii="Abadi" w:hAnsi="Abadi" w:cs="Amasis MT Pro Light"/>
          <w:sz w:val="21"/>
          <w:szCs w:val="21"/>
        </w:rPr>
        <w:lastRenderedPageBreak/>
        <w:t>cobertura</w:t>
      </w:r>
      <w:r>
        <w:rPr>
          <w:rFonts w:ascii="Abadi" w:hAnsi="Abadi" w:cs="Amasis MT Pro Light"/>
          <w:sz w:val="21"/>
          <w:szCs w:val="21"/>
        </w:rPr>
        <w:t xml:space="preserve"> universal</w:t>
      </w:r>
      <w:r w:rsidRPr="00582FD2">
        <w:rPr>
          <w:rFonts w:ascii="Abadi" w:hAnsi="Abadi" w:cs="Amasis MT Pro Light"/>
          <w:sz w:val="21"/>
          <w:szCs w:val="21"/>
        </w:rPr>
        <w:t xml:space="preserve"> debe darse de forma progresiva y con la con</w:t>
      </w:r>
      <w:r>
        <w:rPr>
          <w:rFonts w:ascii="Abadi" w:hAnsi="Abadi" w:cs="Amasis MT Pro Light"/>
          <w:sz w:val="21"/>
          <w:szCs w:val="21"/>
        </w:rPr>
        <w:t xml:space="preserve"> </w:t>
      </w:r>
      <w:r w:rsidRPr="00582FD2">
        <w:rPr>
          <w:rFonts w:ascii="Abadi" w:hAnsi="Abadi" w:cs="Amasis MT Pro Light"/>
          <w:sz w:val="21"/>
          <w:szCs w:val="21"/>
        </w:rPr>
        <w:t>currencia local y federal en su</w:t>
      </w:r>
      <w:r>
        <w:rPr>
          <w:rFonts w:ascii="Abadi" w:hAnsi="Abadi" w:cs="Amasis MT Pro Light"/>
          <w:sz w:val="21"/>
          <w:szCs w:val="21"/>
        </w:rPr>
        <w:t xml:space="preserve"> </w:t>
      </w:r>
      <w:r w:rsidRPr="00582FD2">
        <w:rPr>
          <w:rFonts w:ascii="Abadi" w:hAnsi="Abadi" w:cs="Amasis MT Pro Light"/>
          <w:sz w:val="21"/>
          <w:szCs w:val="21"/>
        </w:rPr>
        <w:t>financiamiento.</w:t>
      </w:r>
    </w:p>
    <w:p w14:paraId="0CCE4328" w14:textId="77777777" w:rsidR="004B76B3" w:rsidRPr="00582FD2" w:rsidRDefault="004B76B3" w:rsidP="004B76B3">
      <w:pPr>
        <w:autoSpaceDE w:val="0"/>
        <w:autoSpaceDN w:val="0"/>
        <w:adjustRightInd w:val="0"/>
        <w:jc w:val="both"/>
        <w:rPr>
          <w:rFonts w:ascii="Abadi" w:hAnsi="Abadi" w:cs="Amasis MT Pro Light"/>
          <w:sz w:val="21"/>
          <w:szCs w:val="21"/>
        </w:rPr>
      </w:pPr>
    </w:p>
    <w:p w14:paraId="5FF3002A" w14:textId="77777777"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En este sentido, la presente iniciativa también propone reformar la Ley de Inclusión</w:t>
      </w:r>
      <w:r>
        <w:rPr>
          <w:rFonts w:ascii="Abadi" w:hAnsi="Abadi" w:cs="Amasis MT Pro Light"/>
          <w:sz w:val="21"/>
          <w:szCs w:val="21"/>
        </w:rPr>
        <w:t xml:space="preserve"> </w:t>
      </w:r>
      <w:r w:rsidRPr="00582FD2">
        <w:rPr>
          <w:rFonts w:ascii="Abadi" w:hAnsi="Abadi" w:cs="Amasis MT Pro Light"/>
          <w:sz w:val="21"/>
          <w:szCs w:val="21"/>
        </w:rPr>
        <w:t>para las Personas con Discapacidad en el Estado de Guanajuato, con la finalidad de</w:t>
      </w:r>
      <w:r>
        <w:rPr>
          <w:rFonts w:ascii="Abadi" w:hAnsi="Abadi" w:cs="Amasis MT Pro Light"/>
          <w:sz w:val="21"/>
          <w:szCs w:val="21"/>
        </w:rPr>
        <w:t xml:space="preserve"> </w:t>
      </w:r>
      <w:r w:rsidRPr="00582FD2">
        <w:rPr>
          <w:rFonts w:ascii="Abadi" w:hAnsi="Abadi" w:cs="Amasis MT Pro Light"/>
          <w:sz w:val="21"/>
          <w:szCs w:val="21"/>
        </w:rPr>
        <w:t>establecer los criterios de selectividad incremental y las competencias de las</w:t>
      </w:r>
      <w:r>
        <w:rPr>
          <w:rFonts w:ascii="Abadi" w:hAnsi="Abadi" w:cs="Amasis MT Pro Light"/>
          <w:sz w:val="21"/>
          <w:szCs w:val="21"/>
        </w:rPr>
        <w:t xml:space="preserve"> </w:t>
      </w:r>
      <w:r w:rsidRPr="00582FD2">
        <w:rPr>
          <w:rFonts w:ascii="Abadi" w:hAnsi="Abadi" w:cs="Amasis MT Pro Light"/>
          <w:sz w:val="21"/>
          <w:szCs w:val="21"/>
        </w:rPr>
        <w:t>autoridades para garantizar este derecho.</w:t>
      </w:r>
    </w:p>
    <w:p w14:paraId="085A32AA" w14:textId="77777777" w:rsidR="004B76B3" w:rsidRPr="00582FD2" w:rsidRDefault="004B76B3" w:rsidP="004B76B3">
      <w:pPr>
        <w:autoSpaceDE w:val="0"/>
        <w:autoSpaceDN w:val="0"/>
        <w:adjustRightInd w:val="0"/>
        <w:jc w:val="both"/>
        <w:rPr>
          <w:rFonts w:ascii="Abadi" w:hAnsi="Abadi" w:cs="Amasis MT Pro Light"/>
          <w:sz w:val="21"/>
          <w:szCs w:val="21"/>
        </w:rPr>
      </w:pPr>
    </w:p>
    <w:p w14:paraId="07564A5A" w14:textId="77777777"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Entre estas propuestas se encuentra la incorporación del principio de progresividad</w:t>
      </w:r>
      <w:r>
        <w:rPr>
          <w:rFonts w:ascii="Abadi" w:hAnsi="Abadi" w:cs="Amasis MT Pro Light"/>
          <w:sz w:val="21"/>
          <w:szCs w:val="21"/>
        </w:rPr>
        <w:t xml:space="preserve"> </w:t>
      </w:r>
      <w:r w:rsidRPr="00582FD2">
        <w:rPr>
          <w:rFonts w:ascii="Abadi" w:hAnsi="Abadi" w:cs="Amasis MT Pro Light"/>
          <w:sz w:val="21"/>
          <w:szCs w:val="21"/>
        </w:rPr>
        <w:t>de los derechos para las personas con discapacidad como eje rector para la inclusión</w:t>
      </w:r>
      <w:r>
        <w:rPr>
          <w:rFonts w:ascii="Abadi" w:hAnsi="Abadi" w:cs="Amasis MT Pro Light"/>
          <w:sz w:val="21"/>
          <w:szCs w:val="21"/>
        </w:rPr>
        <w:t xml:space="preserve"> </w:t>
      </w:r>
      <w:r w:rsidRPr="00582FD2">
        <w:rPr>
          <w:rFonts w:ascii="Abadi" w:hAnsi="Abadi" w:cs="Amasis MT Pro Light"/>
          <w:sz w:val="21"/>
          <w:szCs w:val="21"/>
        </w:rPr>
        <w:t>social de las personas con discapacidad en el estado. Esto permitiría establecer el</w:t>
      </w:r>
      <w:r>
        <w:rPr>
          <w:rFonts w:ascii="Abadi" w:hAnsi="Abadi" w:cs="Amasis MT Pro Light"/>
          <w:sz w:val="21"/>
          <w:szCs w:val="21"/>
        </w:rPr>
        <w:t xml:space="preserve"> </w:t>
      </w:r>
      <w:r w:rsidRPr="00582FD2">
        <w:rPr>
          <w:rFonts w:ascii="Abadi" w:hAnsi="Abadi" w:cs="Amasis MT Pro Light"/>
          <w:sz w:val="21"/>
          <w:szCs w:val="21"/>
        </w:rPr>
        <w:t>cumplimiento gradual de derechos como el que se propone.</w:t>
      </w:r>
    </w:p>
    <w:p w14:paraId="146F00B7" w14:textId="77777777" w:rsidR="004B76B3" w:rsidRPr="00582FD2" w:rsidRDefault="004B76B3" w:rsidP="004B76B3">
      <w:pPr>
        <w:autoSpaceDE w:val="0"/>
        <w:autoSpaceDN w:val="0"/>
        <w:adjustRightInd w:val="0"/>
        <w:jc w:val="both"/>
        <w:rPr>
          <w:rFonts w:ascii="Abadi" w:hAnsi="Abadi" w:cs="Amasis MT Pro Light"/>
          <w:sz w:val="21"/>
          <w:szCs w:val="21"/>
        </w:rPr>
      </w:pPr>
    </w:p>
    <w:p w14:paraId="017B31CB" w14:textId="77777777"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De igual manera se propone establecer la facultad del Ejecutivo del Estado para</w:t>
      </w:r>
      <w:r>
        <w:rPr>
          <w:rFonts w:ascii="Abadi" w:hAnsi="Abadi" w:cs="Amasis MT Pro Light"/>
          <w:sz w:val="21"/>
          <w:szCs w:val="21"/>
        </w:rPr>
        <w:t xml:space="preserve"> </w:t>
      </w:r>
      <w:r w:rsidRPr="00582FD2">
        <w:rPr>
          <w:rFonts w:ascii="Abadi" w:hAnsi="Abadi" w:cs="Amasis MT Pro Light"/>
          <w:sz w:val="21"/>
          <w:szCs w:val="21"/>
        </w:rPr>
        <w:t>otorgar el apoyo económico a que tienen derecho las personas con discapacidad</w:t>
      </w:r>
      <w:r>
        <w:rPr>
          <w:rFonts w:ascii="Abadi" w:hAnsi="Abadi" w:cs="Amasis MT Pro Light"/>
          <w:sz w:val="21"/>
          <w:szCs w:val="21"/>
        </w:rPr>
        <w:t xml:space="preserve"> </w:t>
      </w:r>
      <w:r w:rsidRPr="00582FD2">
        <w:rPr>
          <w:rFonts w:ascii="Abadi" w:hAnsi="Abadi" w:cs="Amasis MT Pro Light"/>
          <w:sz w:val="21"/>
          <w:szCs w:val="21"/>
        </w:rPr>
        <w:t>permanente, al mismo tiempo que se establecen como criterios de selectividad</w:t>
      </w:r>
      <w:r>
        <w:rPr>
          <w:rFonts w:ascii="Abadi" w:hAnsi="Abadi" w:cs="Amasis MT Pro Light"/>
          <w:sz w:val="21"/>
          <w:szCs w:val="21"/>
        </w:rPr>
        <w:t xml:space="preserve"> </w:t>
      </w:r>
      <w:r w:rsidRPr="00582FD2">
        <w:rPr>
          <w:rFonts w:ascii="Abadi" w:hAnsi="Abadi" w:cs="Amasis MT Pro Light"/>
          <w:sz w:val="21"/>
          <w:szCs w:val="21"/>
        </w:rPr>
        <w:t>incremental la minoría de edad, la pertenencia a comunidades indígenas y</w:t>
      </w:r>
      <w:r>
        <w:rPr>
          <w:rFonts w:ascii="Abadi" w:hAnsi="Abadi" w:cs="Amasis MT Pro Light"/>
          <w:sz w:val="21"/>
          <w:szCs w:val="21"/>
        </w:rPr>
        <w:t xml:space="preserve"> </w:t>
      </w:r>
      <w:r w:rsidRPr="00582FD2">
        <w:rPr>
          <w:rFonts w:ascii="Abadi" w:hAnsi="Abadi" w:cs="Amasis MT Pro Light"/>
          <w:sz w:val="21"/>
          <w:szCs w:val="21"/>
        </w:rPr>
        <w:t>afromexicanas, así como la situación de pobreza.</w:t>
      </w:r>
    </w:p>
    <w:p w14:paraId="6E31ECE5" w14:textId="77777777" w:rsidR="004B76B3" w:rsidRPr="00582FD2" w:rsidRDefault="004B76B3" w:rsidP="004B76B3">
      <w:pPr>
        <w:autoSpaceDE w:val="0"/>
        <w:autoSpaceDN w:val="0"/>
        <w:adjustRightInd w:val="0"/>
        <w:jc w:val="both"/>
        <w:rPr>
          <w:rFonts w:ascii="Abadi" w:hAnsi="Abadi" w:cs="Amasis MT Pro Light"/>
          <w:sz w:val="21"/>
          <w:szCs w:val="21"/>
        </w:rPr>
      </w:pPr>
    </w:p>
    <w:p w14:paraId="0C59F738" w14:textId="77777777"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Además, se propone incorporar la facultad de establecer convenios de colaboración</w:t>
      </w:r>
      <w:r>
        <w:rPr>
          <w:rFonts w:ascii="Abadi" w:hAnsi="Abadi" w:cs="Amasis MT Pro Light"/>
          <w:sz w:val="21"/>
          <w:szCs w:val="21"/>
        </w:rPr>
        <w:t xml:space="preserve"> </w:t>
      </w:r>
      <w:r w:rsidRPr="00582FD2">
        <w:rPr>
          <w:rFonts w:ascii="Abadi" w:hAnsi="Abadi" w:cs="Amasis MT Pro Light"/>
          <w:sz w:val="21"/>
          <w:szCs w:val="21"/>
        </w:rPr>
        <w:t>y complementariedad con la finalidad de garantizar el derecho constitucional de las</w:t>
      </w:r>
      <w:r>
        <w:rPr>
          <w:rFonts w:ascii="Abadi" w:hAnsi="Abadi" w:cs="Amasis MT Pro Light"/>
          <w:sz w:val="21"/>
          <w:szCs w:val="21"/>
        </w:rPr>
        <w:t xml:space="preserve"> </w:t>
      </w:r>
      <w:r w:rsidRPr="00582FD2">
        <w:rPr>
          <w:rFonts w:ascii="Abadi" w:hAnsi="Abadi" w:cs="Amasis MT Pro Light"/>
          <w:sz w:val="21"/>
          <w:szCs w:val="21"/>
        </w:rPr>
        <w:t>personas con discapacidad permanente a recibir un apoyo económico. Esto se</w:t>
      </w:r>
      <w:r>
        <w:rPr>
          <w:rFonts w:ascii="Abadi" w:hAnsi="Abadi" w:cs="Amasis MT Pro Light"/>
          <w:sz w:val="21"/>
          <w:szCs w:val="21"/>
        </w:rPr>
        <w:t xml:space="preserve"> </w:t>
      </w:r>
      <w:r w:rsidRPr="00582FD2">
        <w:rPr>
          <w:rFonts w:ascii="Abadi" w:hAnsi="Abadi" w:cs="Amasis MT Pro Light"/>
          <w:sz w:val="21"/>
          <w:szCs w:val="21"/>
        </w:rPr>
        <w:t>propone en la medida en que las y los iniciantes consideramos que la colaboración</w:t>
      </w:r>
      <w:r>
        <w:rPr>
          <w:rFonts w:ascii="Abadi" w:hAnsi="Abadi" w:cs="Amasis MT Pro Light"/>
          <w:sz w:val="21"/>
          <w:szCs w:val="21"/>
        </w:rPr>
        <w:t xml:space="preserve"> </w:t>
      </w:r>
      <w:r w:rsidRPr="00582FD2">
        <w:rPr>
          <w:rFonts w:ascii="Abadi" w:hAnsi="Abadi" w:cs="Amasis MT Pro Light"/>
          <w:sz w:val="21"/>
          <w:szCs w:val="21"/>
        </w:rPr>
        <w:t>interinstitucional e intergubernamental son condiciones necesarias para garantizar</w:t>
      </w:r>
      <w:r>
        <w:rPr>
          <w:rFonts w:ascii="Abadi" w:hAnsi="Abadi" w:cs="Amasis MT Pro Light"/>
          <w:sz w:val="21"/>
          <w:szCs w:val="21"/>
        </w:rPr>
        <w:t xml:space="preserve"> </w:t>
      </w:r>
      <w:r w:rsidRPr="00582FD2">
        <w:rPr>
          <w:rFonts w:ascii="Abadi" w:hAnsi="Abadi" w:cs="Amasis MT Pro Light"/>
          <w:sz w:val="21"/>
          <w:szCs w:val="21"/>
        </w:rPr>
        <w:t>todos los derechos para todas las personas, sin que el derecho de las personas con</w:t>
      </w:r>
      <w:r>
        <w:rPr>
          <w:rFonts w:ascii="Abadi" w:hAnsi="Abadi" w:cs="Amasis MT Pro Light"/>
          <w:sz w:val="21"/>
          <w:szCs w:val="21"/>
        </w:rPr>
        <w:t xml:space="preserve"> </w:t>
      </w:r>
      <w:r w:rsidRPr="00582FD2">
        <w:rPr>
          <w:rFonts w:ascii="Abadi" w:hAnsi="Abadi" w:cs="Amasis MT Pro Light"/>
          <w:sz w:val="21"/>
          <w:szCs w:val="21"/>
        </w:rPr>
        <w:t>discapacidad permanente a un apoyo económico sea la excepción.</w:t>
      </w:r>
    </w:p>
    <w:p w14:paraId="726DDF41" w14:textId="77777777" w:rsidR="004B76B3" w:rsidRPr="00582FD2" w:rsidRDefault="004B76B3" w:rsidP="004B76B3">
      <w:pPr>
        <w:autoSpaceDE w:val="0"/>
        <w:autoSpaceDN w:val="0"/>
        <w:adjustRightInd w:val="0"/>
        <w:jc w:val="both"/>
        <w:rPr>
          <w:rFonts w:ascii="Abadi" w:hAnsi="Abadi" w:cs="Amasis MT Pro Light"/>
          <w:sz w:val="21"/>
          <w:szCs w:val="21"/>
        </w:rPr>
      </w:pPr>
    </w:p>
    <w:p w14:paraId="290AC79C" w14:textId="2317372E"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En el terreno de las competencias, quienes iniciamos la presente propuesta</w:t>
      </w:r>
      <w:r>
        <w:rPr>
          <w:rFonts w:ascii="Abadi" w:hAnsi="Abadi" w:cs="Amasis MT Pro Light"/>
          <w:sz w:val="21"/>
          <w:szCs w:val="21"/>
        </w:rPr>
        <w:t xml:space="preserve"> </w:t>
      </w:r>
      <w:r w:rsidRPr="00582FD2">
        <w:rPr>
          <w:rFonts w:ascii="Abadi" w:hAnsi="Abadi" w:cs="Amasis MT Pro Light"/>
          <w:sz w:val="21"/>
          <w:szCs w:val="21"/>
        </w:rPr>
        <w:t>consideramos que el Instituto Guanajuatense para las Personas con Discapacidad</w:t>
      </w:r>
      <w:r>
        <w:rPr>
          <w:rFonts w:ascii="Abadi" w:hAnsi="Abadi" w:cs="Amasis MT Pro Light"/>
          <w:sz w:val="21"/>
          <w:szCs w:val="21"/>
        </w:rPr>
        <w:t xml:space="preserve"> </w:t>
      </w:r>
      <w:r w:rsidRPr="00582FD2">
        <w:rPr>
          <w:rFonts w:ascii="Abadi" w:hAnsi="Abadi" w:cs="Amasis MT Pro Light"/>
          <w:sz w:val="21"/>
          <w:szCs w:val="21"/>
        </w:rPr>
        <w:t>(INGUDIS) es la instancia adecuada para proponer dentro del presupuesto de</w:t>
      </w:r>
      <w:r>
        <w:rPr>
          <w:rFonts w:ascii="Abadi" w:hAnsi="Abadi" w:cs="Amasis MT Pro Light"/>
          <w:sz w:val="21"/>
          <w:szCs w:val="21"/>
        </w:rPr>
        <w:t xml:space="preserve"> </w:t>
      </w:r>
      <w:r w:rsidRPr="00582FD2">
        <w:rPr>
          <w:rFonts w:ascii="Abadi" w:hAnsi="Abadi" w:cs="Amasis MT Pro Light"/>
          <w:sz w:val="21"/>
          <w:szCs w:val="21"/>
        </w:rPr>
        <w:t>egresos los recursos necesarios para garantizar el apoyo económico de forma</w:t>
      </w:r>
      <w:r>
        <w:rPr>
          <w:rFonts w:ascii="Abadi" w:hAnsi="Abadi" w:cs="Amasis MT Pro Light"/>
          <w:sz w:val="21"/>
          <w:szCs w:val="21"/>
        </w:rPr>
        <w:t xml:space="preserve"> </w:t>
      </w:r>
      <w:r w:rsidRPr="00582FD2">
        <w:rPr>
          <w:rFonts w:ascii="Abadi" w:hAnsi="Abadi" w:cs="Amasis MT Pro Light"/>
          <w:sz w:val="21"/>
          <w:szCs w:val="21"/>
        </w:rPr>
        <w:t>progresiva. Lo anterior en tanto que, al menos, dos de las atribuciones que</w:t>
      </w:r>
      <w:r w:rsidR="007A1E12">
        <w:rPr>
          <w:rFonts w:ascii="Abadi" w:hAnsi="Abadi" w:cs="Amasis MT Pro Light"/>
          <w:sz w:val="21"/>
          <w:szCs w:val="21"/>
        </w:rPr>
        <w:t xml:space="preserve"> </w:t>
      </w:r>
      <w:r w:rsidRPr="00582FD2">
        <w:rPr>
          <w:rFonts w:ascii="Abadi" w:hAnsi="Abadi" w:cs="Amasis MT Pro Light"/>
          <w:sz w:val="21"/>
          <w:szCs w:val="21"/>
        </w:rPr>
        <w:t xml:space="preserve">actualmente posee son de vital importancia para la implementación </w:t>
      </w:r>
      <w:r w:rsidRPr="00582FD2">
        <w:rPr>
          <w:rFonts w:ascii="Abadi" w:hAnsi="Abadi" w:cs="Amasis MT Pro Light"/>
          <w:sz w:val="21"/>
          <w:szCs w:val="21"/>
        </w:rPr>
        <w:t>estratégica del</w:t>
      </w:r>
      <w:r>
        <w:rPr>
          <w:rFonts w:ascii="Abadi" w:hAnsi="Abadi" w:cs="Amasis MT Pro Light"/>
          <w:sz w:val="21"/>
          <w:szCs w:val="21"/>
        </w:rPr>
        <w:t xml:space="preserve"> </w:t>
      </w:r>
      <w:r w:rsidRPr="00582FD2">
        <w:rPr>
          <w:rFonts w:ascii="Abadi" w:hAnsi="Abadi" w:cs="Amasis MT Pro Light"/>
          <w:sz w:val="21"/>
          <w:szCs w:val="21"/>
        </w:rPr>
        <w:t>apoyo, esto es, la elaboración de un diagnóstico anual sobre la situación de las</w:t>
      </w:r>
      <w:r>
        <w:rPr>
          <w:rFonts w:ascii="Abadi" w:hAnsi="Abadi" w:cs="Amasis MT Pro Light"/>
          <w:sz w:val="21"/>
          <w:szCs w:val="21"/>
        </w:rPr>
        <w:t xml:space="preserve"> </w:t>
      </w:r>
      <w:r w:rsidRPr="00582FD2">
        <w:rPr>
          <w:rFonts w:ascii="Abadi" w:hAnsi="Abadi" w:cs="Amasis MT Pro Light"/>
          <w:sz w:val="21"/>
          <w:szCs w:val="21"/>
        </w:rPr>
        <w:t>personas con discapacidad en el estado</w:t>
      </w:r>
      <w:r w:rsidR="007A1E12">
        <w:rPr>
          <w:rStyle w:val="Refdenotaalpie"/>
          <w:rFonts w:ascii="Abadi" w:hAnsi="Abadi" w:cs="Amasis MT Pro Light"/>
          <w:sz w:val="21"/>
          <w:szCs w:val="21"/>
        </w:rPr>
        <w:footnoteReference w:id="29"/>
      </w:r>
      <w:r w:rsidRPr="00582FD2">
        <w:rPr>
          <w:rFonts w:ascii="Abadi" w:hAnsi="Abadi" w:cs="Amasis MT Pro Light"/>
          <w:sz w:val="21"/>
          <w:szCs w:val="21"/>
        </w:rPr>
        <w:t>, y el registro de personas con discapacidad</w:t>
      </w:r>
      <w:r>
        <w:rPr>
          <w:rFonts w:ascii="Abadi" w:hAnsi="Abadi" w:cs="Amasis MT Pro Light"/>
          <w:sz w:val="21"/>
          <w:szCs w:val="21"/>
        </w:rPr>
        <w:t xml:space="preserve"> </w:t>
      </w:r>
      <w:r w:rsidRPr="00582FD2">
        <w:rPr>
          <w:rFonts w:ascii="Abadi" w:hAnsi="Abadi" w:cs="Amasis MT Pro Light"/>
          <w:sz w:val="21"/>
          <w:szCs w:val="21"/>
        </w:rPr>
        <w:t>en el estado</w:t>
      </w:r>
      <w:r w:rsidR="0059146A">
        <w:rPr>
          <w:rStyle w:val="Refdenotaalpie"/>
          <w:rFonts w:ascii="Abadi" w:hAnsi="Abadi" w:cs="Amasis MT Pro Light"/>
          <w:sz w:val="21"/>
          <w:szCs w:val="21"/>
        </w:rPr>
        <w:footnoteReference w:id="30"/>
      </w:r>
      <w:r w:rsidRPr="00582FD2">
        <w:rPr>
          <w:rFonts w:ascii="Abadi" w:hAnsi="Abadi" w:cs="Amasis MT Pro Light"/>
          <w:sz w:val="21"/>
          <w:szCs w:val="21"/>
        </w:rPr>
        <w:t>.</w:t>
      </w:r>
    </w:p>
    <w:p w14:paraId="1D986B70" w14:textId="77777777" w:rsidR="004B76B3" w:rsidRPr="00582FD2" w:rsidRDefault="004B76B3" w:rsidP="004B76B3">
      <w:pPr>
        <w:autoSpaceDE w:val="0"/>
        <w:autoSpaceDN w:val="0"/>
        <w:adjustRightInd w:val="0"/>
        <w:jc w:val="both"/>
        <w:rPr>
          <w:rFonts w:ascii="Abadi" w:hAnsi="Abadi" w:cs="Amasis MT Pro Light"/>
          <w:sz w:val="21"/>
          <w:szCs w:val="21"/>
        </w:rPr>
      </w:pPr>
    </w:p>
    <w:p w14:paraId="7B5E7144" w14:textId="77777777"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A fin de dar cumplimiento a lo establecido por el artículo 209 de la Ley Orgánica del</w:t>
      </w:r>
      <w:r>
        <w:rPr>
          <w:rFonts w:ascii="Abadi" w:hAnsi="Abadi" w:cs="Amasis MT Pro Light"/>
          <w:sz w:val="21"/>
          <w:szCs w:val="21"/>
        </w:rPr>
        <w:t xml:space="preserve"> </w:t>
      </w:r>
      <w:r w:rsidRPr="00582FD2">
        <w:rPr>
          <w:rFonts w:ascii="Abadi" w:hAnsi="Abadi" w:cs="Amasis MT Pro Light"/>
          <w:sz w:val="21"/>
          <w:szCs w:val="21"/>
        </w:rPr>
        <w:t>Poder Legislativo del Estado de Guanajuato, es necesario señalar que, de aprobarse</w:t>
      </w:r>
      <w:r>
        <w:rPr>
          <w:rFonts w:ascii="Abadi" w:hAnsi="Abadi" w:cs="Amasis MT Pro Light"/>
          <w:sz w:val="21"/>
          <w:szCs w:val="21"/>
        </w:rPr>
        <w:t xml:space="preserve"> </w:t>
      </w:r>
      <w:r w:rsidRPr="00582FD2">
        <w:rPr>
          <w:rFonts w:ascii="Abadi" w:hAnsi="Abadi" w:cs="Amasis MT Pro Light"/>
          <w:sz w:val="21"/>
          <w:szCs w:val="21"/>
        </w:rPr>
        <w:t>la presente iniciativa, se generarían los siguientes impactos:</w:t>
      </w:r>
    </w:p>
    <w:p w14:paraId="712C25C7" w14:textId="77777777" w:rsidR="004B76B3" w:rsidRPr="00582FD2" w:rsidRDefault="004B76B3" w:rsidP="004B76B3">
      <w:pPr>
        <w:autoSpaceDE w:val="0"/>
        <w:autoSpaceDN w:val="0"/>
        <w:adjustRightInd w:val="0"/>
        <w:jc w:val="both"/>
        <w:rPr>
          <w:rFonts w:ascii="Abadi" w:hAnsi="Abadi" w:cs="Amasis MT Pro Light"/>
          <w:sz w:val="21"/>
          <w:szCs w:val="21"/>
        </w:rPr>
      </w:pPr>
    </w:p>
    <w:p w14:paraId="45B228AC" w14:textId="77777777" w:rsidR="004B76B3" w:rsidRDefault="004B76B3" w:rsidP="004B76B3">
      <w:pPr>
        <w:autoSpaceDE w:val="0"/>
        <w:autoSpaceDN w:val="0"/>
        <w:adjustRightInd w:val="0"/>
        <w:jc w:val="both"/>
        <w:rPr>
          <w:rFonts w:ascii="Abadi" w:hAnsi="Abadi" w:cs="Amasis MT Pro Light"/>
          <w:sz w:val="21"/>
          <w:szCs w:val="21"/>
        </w:rPr>
      </w:pPr>
      <w:r w:rsidRPr="00683449">
        <w:rPr>
          <w:rFonts w:ascii="Abadi" w:hAnsi="Abadi" w:cs="Amasis MT Pro Light"/>
          <w:b/>
          <w:bCs/>
          <w:sz w:val="21"/>
          <w:szCs w:val="21"/>
        </w:rPr>
        <w:t xml:space="preserve">I. Jurídico. </w:t>
      </w:r>
      <w:r w:rsidRPr="00582FD2">
        <w:rPr>
          <w:rFonts w:ascii="Abadi" w:hAnsi="Abadi" w:cs="Amasis MT Pro Light"/>
          <w:sz w:val="21"/>
          <w:szCs w:val="21"/>
        </w:rPr>
        <w:t>Con la aprobación de la presente iniciativa se modificaría el</w:t>
      </w:r>
      <w:r>
        <w:rPr>
          <w:rFonts w:ascii="Abadi" w:hAnsi="Abadi" w:cs="Amasis MT Pro Light"/>
          <w:sz w:val="21"/>
          <w:szCs w:val="21"/>
        </w:rPr>
        <w:t xml:space="preserve"> </w:t>
      </w:r>
      <w:r w:rsidRPr="00582FD2">
        <w:rPr>
          <w:rFonts w:ascii="Abadi" w:hAnsi="Abadi" w:cs="Amasis MT Pro Light"/>
          <w:sz w:val="21"/>
          <w:szCs w:val="21"/>
        </w:rPr>
        <w:t>artículo 1 de la Constitución Política del Estado Libre y Soberano de</w:t>
      </w:r>
      <w:r>
        <w:rPr>
          <w:rFonts w:ascii="Abadi" w:hAnsi="Abadi" w:cs="Amasis MT Pro Light"/>
          <w:sz w:val="21"/>
          <w:szCs w:val="21"/>
        </w:rPr>
        <w:t xml:space="preserve"> </w:t>
      </w:r>
      <w:r w:rsidRPr="00582FD2">
        <w:rPr>
          <w:rFonts w:ascii="Abadi" w:hAnsi="Abadi" w:cs="Amasis MT Pro Light"/>
          <w:sz w:val="21"/>
          <w:szCs w:val="21"/>
        </w:rPr>
        <w:t>Guanajuato; asimismo, se modificarían los artículos 2, 3, 4, 6 y 11 de la Ley de</w:t>
      </w:r>
      <w:r>
        <w:rPr>
          <w:rFonts w:ascii="Abadi" w:hAnsi="Abadi" w:cs="Amasis MT Pro Light"/>
          <w:sz w:val="21"/>
          <w:szCs w:val="21"/>
        </w:rPr>
        <w:t xml:space="preserve"> </w:t>
      </w:r>
      <w:r w:rsidRPr="00582FD2">
        <w:rPr>
          <w:rFonts w:ascii="Abadi" w:hAnsi="Abadi" w:cs="Amasis MT Pro Light"/>
          <w:sz w:val="21"/>
          <w:szCs w:val="21"/>
        </w:rPr>
        <w:t>Inclusión para las Personas con Discapacidad en el Estado de Guanajuato;</w:t>
      </w:r>
      <w:r>
        <w:rPr>
          <w:rFonts w:ascii="Abadi" w:hAnsi="Abadi" w:cs="Amasis MT Pro Light"/>
          <w:sz w:val="21"/>
          <w:szCs w:val="21"/>
        </w:rPr>
        <w:t xml:space="preserve"> </w:t>
      </w:r>
      <w:r w:rsidRPr="00582FD2">
        <w:rPr>
          <w:rFonts w:ascii="Abadi" w:hAnsi="Abadi" w:cs="Amasis MT Pro Light"/>
          <w:sz w:val="21"/>
          <w:szCs w:val="21"/>
        </w:rPr>
        <w:t>por último, se reformaría el artículo 76 de la Ley Orgánica Municipal para el</w:t>
      </w:r>
      <w:r>
        <w:rPr>
          <w:rFonts w:ascii="Abadi" w:hAnsi="Abadi" w:cs="Amasis MT Pro Light"/>
          <w:sz w:val="21"/>
          <w:szCs w:val="21"/>
        </w:rPr>
        <w:t xml:space="preserve"> </w:t>
      </w:r>
      <w:r w:rsidRPr="00582FD2">
        <w:rPr>
          <w:rFonts w:ascii="Abadi" w:hAnsi="Abadi" w:cs="Amasis MT Pro Light"/>
          <w:sz w:val="21"/>
          <w:szCs w:val="21"/>
        </w:rPr>
        <w:t>Estado de Guanajuato.</w:t>
      </w:r>
    </w:p>
    <w:p w14:paraId="5ECF1F2E" w14:textId="77777777" w:rsidR="004B76B3" w:rsidRPr="00582FD2" w:rsidRDefault="004B76B3" w:rsidP="004B76B3">
      <w:pPr>
        <w:autoSpaceDE w:val="0"/>
        <w:autoSpaceDN w:val="0"/>
        <w:adjustRightInd w:val="0"/>
        <w:jc w:val="both"/>
        <w:rPr>
          <w:rFonts w:ascii="Abadi" w:hAnsi="Abadi" w:cs="Amasis MT Pro Light"/>
          <w:sz w:val="21"/>
          <w:szCs w:val="21"/>
        </w:rPr>
      </w:pPr>
    </w:p>
    <w:p w14:paraId="4AEC199A" w14:textId="77777777" w:rsidR="004B76B3" w:rsidRDefault="004B76B3" w:rsidP="004B76B3">
      <w:pPr>
        <w:autoSpaceDE w:val="0"/>
        <w:autoSpaceDN w:val="0"/>
        <w:adjustRightInd w:val="0"/>
        <w:jc w:val="both"/>
        <w:rPr>
          <w:rFonts w:ascii="Abadi" w:hAnsi="Abadi" w:cs="Amasis MT Pro Light"/>
          <w:sz w:val="21"/>
          <w:szCs w:val="21"/>
        </w:rPr>
      </w:pPr>
      <w:r w:rsidRPr="00683449">
        <w:rPr>
          <w:rFonts w:ascii="Abadi" w:hAnsi="Abadi" w:cs="Amasis MT Pro Light"/>
          <w:b/>
          <w:bCs/>
          <w:sz w:val="21"/>
          <w:szCs w:val="21"/>
        </w:rPr>
        <w:t>II. Administrativo.</w:t>
      </w:r>
      <w:r w:rsidRPr="00582FD2">
        <w:rPr>
          <w:rFonts w:ascii="Abadi" w:hAnsi="Abadi" w:cs="Amasis MT Pro Light"/>
          <w:sz w:val="21"/>
          <w:szCs w:val="21"/>
        </w:rPr>
        <w:t xml:space="preserve"> La aprobación de la presente iniciativa no contempla</w:t>
      </w:r>
      <w:r>
        <w:rPr>
          <w:rFonts w:ascii="Abadi" w:hAnsi="Abadi" w:cs="Amasis MT Pro Light"/>
          <w:sz w:val="21"/>
          <w:szCs w:val="21"/>
        </w:rPr>
        <w:t xml:space="preserve"> </w:t>
      </w:r>
      <w:r w:rsidRPr="00582FD2">
        <w:rPr>
          <w:rFonts w:ascii="Abadi" w:hAnsi="Abadi" w:cs="Amasis MT Pro Light"/>
          <w:sz w:val="21"/>
          <w:szCs w:val="21"/>
        </w:rPr>
        <w:t>nuevas estructuras administrativas.</w:t>
      </w:r>
    </w:p>
    <w:p w14:paraId="5E9F0661" w14:textId="77777777" w:rsidR="004B76B3" w:rsidRPr="00582FD2" w:rsidRDefault="004B76B3" w:rsidP="004B76B3">
      <w:pPr>
        <w:autoSpaceDE w:val="0"/>
        <w:autoSpaceDN w:val="0"/>
        <w:adjustRightInd w:val="0"/>
        <w:jc w:val="both"/>
        <w:rPr>
          <w:rFonts w:ascii="Abadi" w:hAnsi="Abadi" w:cs="Amasis MT Pro Light"/>
          <w:sz w:val="21"/>
          <w:szCs w:val="21"/>
        </w:rPr>
      </w:pPr>
    </w:p>
    <w:p w14:paraId="15C4A47D" w14:textId="77777777" w:rsidR="004B76B3" w:rsidRPr="00582FD2" w:rsidRDefault="004B76B3" w:rsidP="004B76B3">
      <w:pPr>
        <w:autoSpaceDE w:val="0"/>
        <w:autoSpaceDN w:val="0"/>
        <w:adjustRightInd w:val="0"/>
        <w:jc w:val="both"/>
        <w:rPr>
          <w:rFonts w:ascii="Abadi" w:hAnsi="Abadi" w:cs="Amasis MT Pro Light"/>
          <w:sz w:val="21"/>
          <w:szCs w:val="21"/>
        </w:rPr>
      </w:pPr>
      <w:r w:rsidRPr="00683449">
        <w:rPr>
          <w:rFonts w:ascii="Abadi" w:hAnsi="Abadi" w:cs="Amasis MT Pro Light"/>
          <w:b/>
          <w:bCs/>
          <w:sz w:val="21"/>
          <w:szCs w:val="21"/>
        </w:rPr>
        <w:t>III. Presupuestario.</w:t>
      </w:r>
      <w:r w:rsidRPr="00582FD2">
        <w:rPr>
          <w:rFonts w:ascii="Abadi" w:hAnsi="Abadi" w:cs="Amasis MT Pro Light"/>
          <w:sz w:val="21"/>
          <w:szCs w:val="21"/>
        </w:rPr>
        <w:t xml:space="preserve"> La aprobación de la presente iniciativa supondría un</w:t>
      </w:r>
      <w:r>
        <w:rPr>
          <w:rFonts w:ascii="Abadi" w:hAnsi="Abadi" w:cs="Amasis MT Pro Light"/>
          <w:sz w:val="21"/>
          <w:szCs w:val="21"/>
        </w:rPr>
        <w:t xml:space="preserve"> </w:t>
      </w:r>
      <w:r w:rsidRPr="00582FD2">
        <w:rPr>
          <w:rFonts w:ascii="Abadi" w:hAnsi="Abadi" w:cs="Amasis MT Pro Light"/>
          <w:sz w:val="21"/>
          <w:szCs w:val="21"/>
        </w:rPr>
        <w:t>impacto presupuestario que sería absorbido por el Gobierno Estatal y los</w:t>
      </w:r>
      <w:r>
        <w:rPr>
          <w:rFonts w:ascii="Abadi" w:hAnsi="Abadi" w:cs="Amasis MT Pro Light"/>
          <w:sz w:val="21"/>
          <w:szCs w:val="21"/>
        </w:rPr>
        <w:t xml:space="preserve"> </w:t>
      </w:r>
      <w:r w:rsidRPr="00582FD2">
        <w:rPr>
          <w:rFonts w:ascii="Abadi" w:hAnsi="Abadi" w:cs="Amasis MT Pro Light"/>
          <w:sz w:val="21"/>
          <w:szCs w:val="21"/>
        </w:rPr>
        <w:t>Gobiernos Municipales de forma progresiva, con la posibilidad de establecer</w:t>
      </w:r>
      <w:r>
        <w:rPr>
          <w:rFonts w:ascii="Abadi" w:hAnsi="Abadi" w:cs="Amasis MT Pro Light"/>
          <w:sz w:val="21"/>
          <w:szCs w:val="21"/>
        </w:rPr>
        <w:t xml:space="preserve"> </w:t>
      </w:r>
      <w:r w:rsidRPr="00582FD2">
        <w:rPr>
          <w:rFonts w:ascii="Abadi" w:hAnsi="Abadi" w:cs="Amasis MT Pro Light"/>
          <w:sz w:val="21"/>
          <w:szCs w:val="21"/>
        </w:rPr>
        <w:t>convenios con el Gobierno Federal.</w:t>
      </w:r>
    </w:p>
    <w:p w14:paraId="33E6FC71" w14:textId="77777777" w:rsidR="004B76B3" w:rsidRPr="00582FD2" w:rsidRDefault="004B76B3" w:rsidP="004B76B3">
      <w:pPr>
        <w:jc w:val="both"/>
        <w:rPr>
          <w:rFonts w:ascii="Abadi" w:hAnsi="Abadi" w:cs="Amasis MT Pro Light"/>
          <w:sz w:val="21"/>
          <w:szCs w:val="21"/>
        </w:rPr>
      </w:pPr>
    </w:p>
    <w:p w14:paraId="3F6F5B42" w14:textId="77777777" w:rsidR="004B76B3" w:rsidRDefault="004B76B3" w:rsidP="004B76B3">
      <w:pPr>
        <w:autoSpaceDE w:val="0"/>
        <w:autoSpaceDN w:val="0"/>
        <w:adjustRightInd w:val="0"/>
        <w:jc w:val="both"/>
        <w:rPr>
          <w:rFonts w:ascii="Abadi" w:hAnsi="Abadi" w:cs="Amasis MT Pro Light"/>
          <w:sz w:val="21"/>
          <w:szCs w:val="21"/>
        </w:rPr>
      </w:pPr>
      <w:r w:rsidRPr="00683449">
        <w:rPr>
          <w:rFonts w:ascii="Abadi" w:hAnsi="Abadi" w:cs="Amasis MT Pro Light"/>
          <w:b/>
          <w:bCs/>
          <w:sz w:val="21"/>
          <w:szCs w:val="21"/>
        </w:rPr>
        <w:t>IV. Social.</w:t>
      </w:r>
      <w:r w:rsidRPr="00582FD2">
        <w:rPr>
          <w:rFonts w:ascii="Abadi" w:hAnsi="Abadi" w:cs="Amasis MT Pro Light"/>
          <w:sz w:val="21"/>
          <w:szCs w:val="21"/>
        </w:rPr>
        <w:t xml:space="preserve"> La presente iniciativa reconoce y garantiza el derecho de las</w:t>
      </w:r>
      <w:r>
        <w:rPr>
          <w:rFonts w:ascii="Abadi" w:hAnsi="Abadi" w:cs="Amasis MT Pro Light"/>
          <w:sz w:val="21"/>
          <w:szCs w:val="21"/>
        </w:rPr>
        <w:t xml:space="preserve"> </w:t>
      </w:r>
      <w:r w:rsidRPr="00582FD2">
        <w:rPr>
          <w:rFonts w:ascii="Abadi" w:hAnsi="Abadi" w:cs="Amasis MT Pro Light"/>
          <w:sz w:val="21"/>
          <w:szCs w:val="21"/>
        </w:rPr>
        <w:t>personas con discapacidad permanente a un apoyo económico, con lo cual</w:t>
      </w:r>
      <w:r>
        <w:rPr>
          <w:rFonts w:ascii="Abadi" w:hAnsi="Abadi" w:cs="Amasis MT Pro Light"/>
          <w:sz w:val="21"/>
          <w:szCs w:val="21"/>
        </w:rPr>
        <w:t xml:space="preserve"> </w:t>
      </w:r>
      <w:r w:rsidRPr="00582FD2">
        <w:rPr>
          <w:rFonts w:ascii="Abadi" w:hAnsi="Abadi" w:cs="Amasis MT Pro Light"/>
          <w:sz w:val="21"/>
          <w:szCs w:val="21"/>
        </w:rPr>
        <w:t>se contribuye a garantizar su inclusión efectiva en condiciones de igualdad.</w:t>
      </w:r>
      <w:r>
        <w:rPr>
          <w:rFonts w:ascii="Abadi" w:hAnsi="Abadi" w:cs="Amasis MT Pro Light"/>
          <w:sz w:val="21"/>
          <w:szCs w:val="21"/>
        </w:rPr>
        <w:t xml:space="preserve"> </w:t>
      </w:r>
    </w:p>
    <w:p w14:paraId="2E0CD582" w14:textId="77777777" w:rsidR="004B76B3" w:rsidRDefault="004B76B3" w:rsidP="004B76B3">
      <w:pPr>
        <w:autoSpaceDE w:val="0"/>
        <w:autoSpaceDN w:val="0"/>
        <w:adjustRightInd w:val="0"/>
        <w:jc w:val="both"/>
        <w:rPr>
          <w:rFonts w:ascii="Abadi" w:hAnsi="Abadi" w:cs="Amasis MT Pro Light"/>
          <w:sz w:val="21"/>
          <w:szCs w:val="21"/>
        </w:rPr>
      </w:pPr>
    </w:p>
    <w:p w14:paraId="3D67B099" w14:textId="77777777"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En mérito de todo lo anteriormente expuesto, fundado y motivado, nos permitimos</w:t>
      </w:r>
      <w:r>
        <w:rPr>
          <w:rFonts w:ascii="Abadi" w:hAnsi="Abadi" w:cs="Amasis MT Pro Light"/>
          <w:sz w:val="21"/>
          <w:szCs w:val="21"/>
        </w:rPr>
        <w:t xml:space="preserve"> </w:t>
      </w:r>
      <w:r w:rsidRPr="00582FD2">
        <w:rPr>
          <w:rFonts w:ascii="Abadi" w:hAnsi="Abadi" w:cs="Amasis MT Pro Light"/>
          <w:sz w:val="21"/>
          <w:szCs w:val="21"/>
        </w:rPr>
        <w:t>someter a la consideración de esta Honorable Asamblea, el siguiente proyecto de:</w:t>
      </w:r>
    </w:p>
    <w:p w14:paraId="4DEEA54A" w14:textId="77777777" w:rsidR="004B76B3" w:rsidRPr="00582FD2" w:rsidRDefault="004B76B3" w:rsidP="004B76B3">
      <w:pPr>
        <w:autoSpaceDE w:val="0"/>
        <w:autoSpaceDN w:val="0"/>
        <w:adjustRightInd w:val="0"/>
        <w:jc w:val="both"/>
        <w:rPr>
          <w:rFonts w:ascii="Abadi" w:hAnsi="Abadi" w:cs="Amasis MT Pro Light"/>
          <w:sz w:val="21"/>
          <w:szCs w:val="21"/>
        </w:rPr>
      </w:pPr>
    </w:p>
    <w:p w14:paraId="5747DB34" w14:textId="77777777" w:rsidR="004B76B3" w:rsidRPr="00683449" w:rsidRDefault="004B76B3" w:rsidP="004B76B3">
      <w:pPr>
        <w:autoSpaceDE w:val="0"/>
        <w:autoSpaceDN w:val="0"/>
        <w:adjustRightInd w:val="0"/>
        <w:jc w:val="center"/>
        <w:rPr>
          <w:rFonts w:ascii="Abadi" w:hAnsi="Abadi" w:cs="Amasis MT Pro Light"/>
          <w:b/>
          <w:bCs/>
          <w:sz w:val="21"/>
          <w:szCs w:val="21"/>
        </w:rPr>
      </w:pPr>
      <w:r w:rsidRPr="00683449">
        <w:rPr>
          <w:rFonts w:ascii="Abadi" w:hAnsi="Abadi" w:cs="Amasis MT Pro Light"/>
          <w:b/>
          <w:bCs/>
          <w:sz w:val="21"/>
          <w:szCs w:val="21"/>
        </w:rPr>
        <w:t>D E C R E T O</w:t>
      </w:r>
    </w:p>
    <w:p w14:paraId="7AB13321" w14:textId="77777777" w:rsidR="004B76B3" w:rsidRPr="00582FD2" w:rsidRDefault="004B76B3" w:rsidP="004B76B3">
      <w:pPr>
        <w:autoSpaceDE w:val="0"/>
        <w:autoSpaceDN w:val="0"/>
        <w:adjustRightInd w:val="0"/>
        <w:jc w:val="both"/>
        <w:rPr>
          <w:rFonts w:ascii="Abadi" w:hAnsi="Abadi" w:cs="Amasis MT Pro Light"/>
          <w:sz w:val="21"/>
          <w:szCs w:val="21"/>
        </w:rPr>
      </w:pPr>
    </w:p>
    <w:p w14:paraId="7B035FA3" w14:textId="77777777" w:rsidR="004B76B3" w:rsidRPr="00582FD2" w:rsidRDefault="004B76B3" w:rsidP="004B76B3">
      <w:pPr>
        <w:autoSpaceDE w:val="0"/>
        <w:autoSpaceDN w:val="0"/>
        <w:adjustRightInd w:val="0"/>
        <w:jc w:val="both"/>
        <w:rPr>
          <w:rFonts w:ascii="Abadi" w:hAnsi="Abadi" w:cs="Amasis MT Pro Light"/>
          <w:sz w:val="21"/>
          <w:szCs w:val="21"/>
        </w:rPr>
      </w:pPr>
      <w:r w:rsidRPr="00683449">
        <w:rPr>
          <w:rFonts w:ascii="Abadi" w:hAnsi="Abadi" w:cs="Amasis MT Pro Light"/>
          <w:b/>
          <w:bCs/>
          <w:sz w:val="21"/>
          <w:szCs w:val="21"/>
        </w:rPr>
        <w:t>Primero</w:t>
      </w:r>
      <w:r w:rsidRPr="00582FD2">
        <w:rPr>
          <w:rFonts w:ascii="Abadi" w:hAnsi="Abadi" w:cs="Amasis MT Pro Light"/>
          <w:sz w:val="21"/>
          <w:szCs w:val="21"/>
        </w:rPr>
        <w:t>. Se adiciona un párrafo dieciséis al artículo 1 de la Constitución Política del</w:t>
      </w:r>
      <w:r>
        <w:rPr>
          <w:rFonts w:ascii="Abadi" w:hAnsi="Abadi" w:cs="Amasis MT Pro Light"/>
          <w:sz w:val="21"/>
          <w:szCs w:val="21"/>
        </w:rPr>
        <w:t xml:space="preserve"> </w:t>
      </w:r>
      <w:r w:rsidRPr="00582FD2">
        <w:rPr>
          <w:rFonts w:ascii="Abadi" w:hAnsi="Abadi" w:cs="Amasis MT Pro Light"/>
          <w:sz w:val="21"/>
          <w:szCs w:val="21"/>
        </w:rPr>
        <w:t>Estado Libre y Soberano de Guanajuato, para quedar como sigue:</w:t>
      </w:r>
    </w:p>
    <w:p w14:paraId="4B78EAB9" w14:textId="77777777" w:rsidR="004B76B3" w:rsidRDefault="004B76B3" w:rsidP="004B76B3">
      <w:pPr>
        <w:autoSpaceDE w:val="0"/>
        <w:autoSpaceDN w:val="0"/>
        <w:adjustRightInd w:val="0"/>
        <w:jc w:val="both"/>
        <w:rPr>
          <w:rFonts w:ascii="Abadi" w:hAnsi="Abadi" w:cs="Amasis MT Pro Light"/>
          <w:sz w:val="21"/>
          <w:szCs w:val="21"/>
        </w:rPr>
      </w:pPr>
    </w:p>
    <w:p w14:paraId="78D19472" w14:textId="77777777" w:rsidR="004B76B3" w:rsidRPr="00582FD2" w:rsidRDefault="004B76B3" w:rsidP="004B76B3">
      <w:pPr>
        <w:autoSpaceDE w:val="0"/>
        <w:autoSpaceDN w:val="0"/>
        <w:adjustRightInd w:val="0"/>
        <w:ind w:left="567"/>
        <w:jc w:val="both"/>
        <w:rPr>
          <w:rFonts w:ascii="Abadi" w:hAnsi="Abadi" w:cs="Amasis MT Pro Light"/>
          <w:sz w:val="21"/>
          <w:szCs w:val="21"/>
        </w:rPr>
      </w:pPr>
      <w:r w:rsidRPr="00683449">
        <w:rPr>
          <w:rFonts w:ascii="Abadi" w:hAnsi="Abadi" w:cs="Amasis MT Pro Light"/>
          <w:b/>
          <w:bCs/>
          <w:sz w:val="21"/>
          <w:szCs w:val="21"/>
        </w:rPr>
        <w:t>Artículo 1.</w:t>
      </w:r>
      <w:r w:rsidRPr="00582FD2">
        <w:rPr>
          <w:rFonts w:ascii="Abadi" w:hAnsi="Abadi" w:cs="Amasis MT Pro Light"/>
          <w:sz w:val="21"/>
          <w:szCs w:val="21"/>
        </w:rPr>
        <w:t xml:space="preserve"> En el Estado de Guanajuato…</w:t>
      </w:r>
    </w:p>
    <w:p w14:paraId="1B38C012" w14:textId="77777777" w:rsidR="004B76B3" w:rsidRPr="00582FD2" w:rsidRDefault="004B76B3" w:rsidP="004B76B3">
      <w:pPr>
        <w:autoSpaceDE w:val="0"/>
        <w:autoSpaceDN w:val="0"/>
        <w:adjustRightInd w:val="0"/>
        <w:ind w:left="567"/>
        <w:jc w:val="both"/>
        <w:rPr>
          <w:rFonts w:ascii="Abadi" w:hAnsi="Abadi" w:cs="Amasis MT Pro Light"/>
          <w:sz w:val="21"/>
          <w:szCs w:val="21"/>
        </w:rPr>
      </w:pPr>
      <w:r w:rsidRPr="00582FD2">
        <w:rPr>
          <w:rFonts w:ascii="Abadi" w:hAnsi="Abadi" w:cs="Amasis MT Pro Light"/>
          <w:sz w:val="21"/>
          <w:szCs w:val="21"/>
        </w:rPr>
        <w:t>Las normas relativas…</w:t>
      </w:r>
    </w:p>
    <w:p w14:paraId="6B2D2051" w14:textId="77777777" w:rsidR="004B76B3" w:rsidRPr="00582FD2" w:rsidRDefault="004B76B3" w:rsidP="004B76B3">
      <w:pPr>
        <w:autoSpaceDE w:val="0"/>
        <w:autoSpaceDN w:val="0"/>
        <w:adjustRightInd w:val="0"/>
        <w:ind w:left="567"/>
        <w:jc w:val="both"/>
        <w:rPr>
          <w:rFonts w:ascii="Abadi" w:hAnsi="Abadi" w:cs="Amasis MT Pro Light"/>
          <w:sz w:val="21"/>
          <w:szCs w:val="21"/>
        </w:rPr>
      </w:pPr>
      <w:r w:rsidRPr="00582FD2">
        <w:rPr>
          <w:rFonts w:ascii="Abadi" w:hAnsi="Abadi" w:cs="Amasis MT Pro Light"/>
          <w:sz w:val="21"/>
          <w:szCs w:val="21"/>
        </w:rPr>
        <w:lastRenderedPageBreak/>
        <w:t>Todas las autoridades…</w:t>
      </w:r>
    </w:p>
    <w:p w14:paraId="3D3DC2F4" w14:textId="77777777" w:rsidR="004B76B3" w:rsidRPr="00582FD2" w:rsidRDefault="004B76B3" w:rsidP="004B76B3">
      <w:pPr>
        <w:autoSpaceDE w:val="0"/>
        <w:autoSpaceDN w:val="0"/>
        <w:adjustRightInd w:val="0"/>
        <w:ind w:left="567"/>
        <w:jc w:val="both"/>
        <w:rPr>
          <w:rFonts w:ascii="Abadi" w:hAnsi="Abadi" w:cs="Amasis MT Pro Light"/>
          <w:sz w:val="21"/>
          <w:szCs w:val="21"/>
        </w:rPr>
      </w:pPr>
      <w:r w:rsidRPr="00582FD2">
        <w:rPr>
          <w:rFonts w:ascii="Abadi" w:hAnsi="Abadi" w:cs="Amasis MT Pro Light"/>
          <w:sz w:val="21"/>
          <w:szCs w:val="21"/>
        </w:rPr>
        <w:t>Para los efectos…</w:t>
      </w:r>
    </w:p>
    <w:p w14:paraId="056CEA7A" w14:textId="77777777" w:rsidR="004B76B3" w:rsidRPr="00582FD2" w:rsidRDefault="004B76B3" w:rsidP="004B76B3">
      <w:pPr>
        <w:autoSpaceDE w:val="0"/>
        <w:autoSpaceDN w:val="0"/>
        <w:adjustRightInd w:val="0"/>
        <w:ind w:left="567"/>
        <w:jc w:val="both"/>
        <w:rPr>
          <w:rFonts w:ascii="Abadi" w:hAnsi="Abadi" w:cs="Amasis MT Pro Light"/>
          <w:sz w:val="21"/>
          <w:szCs w:val="21"/>
        </w:rPr>
      </w:pPr>
      <w:r w:rsidRPr="00582FD2">
        <w:rPr>
          <w:rFonts w:ascii="Abadi" w:hAnsi="Abadi" w:cs="Amasis MT Pro Light"/>
          <w:sz w:val="21"/>
          <w:szCs w:val="21"/>
        </w:rPr>
        <w:t>Queda prohibida toda discriminación…</w:t>
      </w:r>
    </w:p>
    <w:p w14:paraId="3E6C0A03" w14:textId="77777777" w:rsidR="004B76B3" w:rsidRPr="00582FD2" w:rsidRDefault="004B76B3" w:rsidP="004B76B3">
      <w:pPr>
        <w:autoSpaceDE w:val="0"/>
        <w:autoSpaceDN w:val="0"/>
        <w:adjustRightInd w:val="0"/>
        <w:ind w:left="567"/>
        <w:jc w:val="both"/>
        <w:rPr>
          <w:rFonts w:ascii="Abadi" w:hAnsi="Abadi" w:cs="Amasis MT Pro Light"/>
          <w:sz w:val="21"/>
          <w:szCs w:val="21"/>
        </w:rPr>
      </w:pPr>
      <w:r w:rsidRPr="00582FD2">
        <w:rPr>
          <w:rFonts w:ascii="Abadi" w:hAnsi="Abadi" w:cs="Amasis MT Pro Light"/>
          <w:sz w:val="21"/>
          <w:szCs w:val="21"/>
        </w:rPr>
        <w:t>Esta Constitución reconoce y protege…</w:t>
      </w:r>
    </w:p>
    <w:p w14:paraId="51C8D7B3" w14:textId="77777777" w:rsidR="004B76B3" w:rsidRPr="00582FD2" w:rsidRDefault="004B76B3" w:rsidP="004B76B3">
      <w:pPr>
        <w:autoSpaceDE w:val="0"/>
        <w:autoSpaceDN w:val="0"/>
        <w:adjustRightInd w:val="0"/>
        <w:ind w:left="567"/>
        <w:jc w:val="both"/>
        <w:rPr>
          <w:rFonts w:ascii="Abadi" w:hAnsi="Abadi" w:cs="Amasis MT Pro Light"/>
          <w:sz w:val="21"/>
          <w:szCs w:val="21"/>
        </w:rPr>
      </w:pPr>
      <w:r w:rsidRPr="00582FD2">
        <w:rPr>
          <w:rFonts w:ascii="Abadi" w:hAnsi="Abadi" w:cs="Amasis MT Pro Light"/>
          <w:sz w:val="21"/>
          <w:szCs w:val="21"/>
        </w:rPr>
        <w:t>Son pueblos indígenas…</w:t>
      </w:r>
    </w:p>
    <w:p w14:paraId="2107DA3A" w14:textId="77777777" w:rsidR="004B76B3" w:rsidRPr="00582FD2" w:rsidRDefault="004B76B3" w:rsidP="004B76B3">
      <w:pPr>
        <w:autoSpaceDE w:val="0"/>
        <w:autoSpaceDN w:val="0"/>
        <w:adjustRightInd w:val="0"/>
        <w:ind w:left="567"/>
        <w:jc w:val="both"/>
        <w:rPr>
          <w:rFonts w:ascii="Abadi" w:hAnsi="Abadi" w:cs="Amasis MT Pro Light"/>
          <w:sz w:val="21"/>
          <w:szCs w:val="21"/>
        </w:rPr>
      </w:pPr>
      <w:r w:rsidRPr="00582FD2">
        <w:rPr>
          <w:rFonts w:ascii="Abadi" w:hAnsi="Abadi" w:cs="Amasis MT Pro Light"/>
          <w:sz w:val="21"/>
          <w:szCs w:val="21"/>
        </w:rPr>
        <w:t>Son comunidades integrantes…</w:t>
      </w:r>
    </w:p>
    <w:p w14:paraId="454BA1A3" w14:textId="77777777" w:rsidR="004B76B3" w:rsidRPr="00582FD2" w:rsidRDefault="004B76B3" w:rsidP="004B76B3">
      <w:pPr>
        <w:autoSpaceDE w:val="0"/>
        <w:autoSpaceDN w:val="0"/>
        <w:adjustRightInd w:val="0"/>
        <w:ind w:left="567"/>
        <w:jc w:val="both"/>
        <w:rPr>
          <w:rFonts w:ascii="Abadi" w:hAnsi="Abadi" w:cs="Amasis MT Pro Light"/>
          <w:sz w:val="21"/>
          <w:szCs w:val="21"/>
        </w:rPr>
      </w:pPr>
      <w:r w:rsidRPr="00582FD2">
        <w:rPr>
          <w:rFonts w:ascii="Abadi" w:hAnsi="Abadi" w:cs="Amasis MT Pro Light"/>
          <w:sz w:val="21"/>
          <w:szCs w:val="21"/>
        </w:rPr>
        <w:t>Esta Constitución reconoce y garantiza…</w:t>
      </w:r>
    </w:p>
    <w:p w14:paraId="0184B765" w14:textId="77777777" w:rsidR="004B76B3" w:rsidRPr="00582FD2" w:rsidRDefault="004B76B3" w:rsidP="004B76B3">
      <w:pPr>
        <w:autoSpaceDE w:val="0"/>
        <w:autoSpaceDN w:val="0"/>
        <w:adjustRightInd w:val="0"/>
        <w:ind w:left="567"/>
        <w:jc w:val="both"/>
        <w:rPr>
          <w:rFonts w:ascii="Abadi" w:hAnsi="Abadi" w:cs="Amasis MT Pro Light"/>
          <w:sz w:val="21"/>
          <w:szCs w:val="21"/>
        </w:rPr>
      </w:pPr>
      <w:r w:rsidRPr="00582FD2">
        <w:rPr>
          <w:rFonts w:ascii="Abadi" w:hAnsi="Abadi" w:cs="Amasis MT Pro Light"/>
          <w:sz w:val="21"/>
          <w:szCs w:val="21"/>
        </w:rPr>
        <w:t>La ley protegerá…</w:t>
      </w:r>
    </w:p>
    <w:p w14:paraId="5B7C549D" w14:textId="77777777" w:rsidR="004B76B3" w:rsidRPr="00582FD2" w:rsidRDefault="004B76B3" w:rsidP="004B76B3">
      <w:pPr>
        <w:autoSpaceDE w:val="0"/>
        <w:autoSpaceDN w:val="0"/>
        <w:adjustRightInd w:val="0"/>
        <w:ind w:left="567"/>
        <w:jc w:val="both"/>
        <w:rPr>
          <w:rFonts w:ascii="Abadi" w:hAnsi="Abadi" w:cs="Amasis MT Pro Light"/>
          <w:sz w:val="21"/>
          <w:szCs w:val="21"/>
        </w:rPr>
      </w:pPr>
      <w:r w:rsidRPr="00582FD2">
        <w:rPr>
          <w:rFonts w:ascii="Abadi" w:hAnsi="Abadi" w:cs="Amasis MT Pro Light"/>
          <w:sz w:val="21"/>
          <w:szCs w:val="21"/>
        </w:rPr>
        <w:t>Las niñas, niños y adolescentes…</w:t>
      </w:r>
    </w:p>
    <w:p w14:paraId="4BC6EA58" w14:textId="77777777" w:rsidR="004B76B3" w:rsidRPr="00582FD2" w:rsidRDefault="004B76B3" w:rsidP="004B76B3">
      <w:pPr>
        <w:ind w:left="567"/>
        <w:jc w:val="both"/>
        <w:rPr>
          <w:rFonts w:ascii="Abadi" w:hAnsi="Abadi" w:cs="Amasis MT Pro Light"/>
          <w:sz w:val="21"/>
          <w:szCs w:val="21"/>
        </w:rPr>
      </w:pPr>
      <w:r w:rsidRPr="00582FD2">
        <w:rPr>
          <w:rFonts w:ascii="Abadi" w:hAnsi="Abadi" w:cs="Amasis MT Pro Light"/>
          <w:sz w:val="21"/>
          <w:szCs w:val="21"/>
        </w:rPr>
        <w:t>Toda persona tiene derecho…</w:t>
      </w:r>
    </w:p>
    <w:p w14:paraId="29191912" w14:textId="77777777" w:rsidR="004B76B3" w:rsidRPr="00582FD2" w:rsidRDefault="004B76B3" w:rsidP="004B76B3">
      <w:pPr>
        <w:ind w:left="567"/>
        <w:jc w:val="both"/>
        <w:rPr>
          <w:rFonts w:ascii="Abadi" w:hAnsi="Abadi" w:cs="Amasis MT Pro Light"/>
          <w:sz w:val="21"/>
          <w:szCs w:val="21"/>
        </w:rPr>
      </w:pPr>
    </w:p>
    <w:p w14:paraId="42E39EFB" w14:textId="77777777" w:rsidR="004B76B3" w:rsidRPr="00582FD2" w:rsidRDefault="004B76B3" w:rsidP="004B76B3">
      <w:pPr>
        <w:autoSpaceDE w:val="0"/>
        <w:autoSpaceDN w:val="0"/>
        <w:adjustRightInd w:val="0"/>
        <w:ind w:left="567"/>
        <w:jc w:val="both"/>
        <w:rPr>
          <w:rFonts w:ascii="Abadi" w:hAnsi="Abadi" w:cs="Amasis MT Pro Light"/>
          <w:sz w:val="21"/>
          <w:szCs w:val="21"/>
        </w:rPr>
      </w:pPr>
      <w:r w:rsidRPr="00582FD2">
        <w:rPr>
          <w:rFonts w:ascii="Abadi" w:hAnsi="Abadi" w:cs="Amasis MT Pro Light"/>
          <w:sz w:val="21"/>
          <w:szCs w:val="21"/>
        </w:rPr>
        <w:t>Toda persona tiene derecho…</w:t>
      </w:r>
    </w:p>
    <w:p w14:paraId="3156DC0D" w14:textId="77777777" w:rsidR="004B76B3" w:rsidRPr="00582FD2" w:rsidRDefault="004B76B3" w:rsidP="004B76B3">
      <w:pPr>
        <w:autoSpaceDE w:val="0"/>
        <w:autoSpaceDN w:val="0"/>
        <w:adjustRightInd w:val="0"/>
        <w:ind w:left="567"/>
        <w:jc w:val="both"/>
        <w:rPr>
          <w:rFonts w:ascii="Abadi" w:hAnsi="Abadi" w:cs="Amasis MT Pro Light"/>
          <w:sz w:val="21"/>
          <w:szCs w:val="21"/>
        </w:rPr>
      </w:pPr>
      <w:r w:rsidRPr="00582FD2">
        <w:rPr>
          <w:rFonts w:ascii="Abadi" w:hAnsi="Abadi" w:cs="Amasis MT Pro Light"/>
          <w:sz w:val="21"/>
          <w:szCs w:val="21"/>
        </w:rPr>
        <w:t>Toda persona tiene derecho…</w:t>
      </w:r>
    </w:p>
    <w:p w14:paraId="6C44A288" w14:textId="77777777" w:rsidR="004B76B3" w:rsidRPr="00582FD2" w:rsidRDefault="004B76B3" w:rsidP="004B76B3">
      <w:pPr>
        <w:autoSpaceDE w:val="0"/>
        <w:autoSpaceDN w:val="0"/>
        <w:adjustRightInd w:val="0"/>
        <w:ind w:left="567"/>
        <w:jc w:val="both"/>
        <w:rPr>
          <w:rFonts w:ascii="Abadi" w:hAnsi="Abadi" w:cs="Amasis MT Pro Light"/>
          <w:sz w:val="21"/>
          <w:szCs w:val="21"/>
        </w:rPr>
      </w:pPr>
      <w:r w:rsidRPr="00582FD2">
        <w:rPr>
          <w:rFonts w:ascii="Abadi" w:hAnsi="Abadi" w:cs="Amasis MT Pro Light"/>
          <w:sz w:val="21"/>
          <w:szCs w:val="21"/>
        </w:rPr>
        <w:t>Toda persona tiene derecho…</w:t>
      </w:r>
    </w:p>
    <w:p w14:paraId="201C2402" w14:textId="77777777" w:rsidR="004B76B3" w:rsidRPr="00683449" w:rsidRDefault="004B76B3" w:rsidP="004B76B3">
      <w:pPr>
        <w:autoSpaceDE w:val="0"/>
        <w:autoSpaceDN w:val="0"/>
        <w:adjustRightInd w:val="0"/>
        <w:ind w:left="567"/>
        <w:jc w:val="both"/>
        <w:rPr>
          <w:rFonts w:ascii="Abadi" w:hAnsi="Abadi" w:cs="Amasis MT Pro Light"/>
          <w:b/>
          <w:bCs/>
          <w:sz w:val="21"/>
          <w:szCs w:val="21"/>
        </w:rPr>
      </w:pPr>
      <w:r w:rsidRPr="00683449">
        <w:rPr>
          <w:rFonts w:ascii="Abadi" w:hAnsi="Abadi" w:cs="Amasis MT Pro Light"/>
          <w:b/>
          <w:bCs/>
          <w:sz w:val="21"/>
          <w:szCs w:val="21"/>
        </w:rPr>
        <w:t>Todas las personas con discapacidad permanente hasta los 64 años de edad tienen derecho a un apoyo económico en los términos que fije la ley de la materia.</w:t>
      </w:r>
    </w:p>
    <w:p w14:paraId="729E2A14" w14:textId="77777777" w:rsidR="004B76B3" w:rsidRPr="00683449" w:rsidRDefault="004B76B3" w:rsidP="004B76B3">
      <w:pPr>
        <w:jc w:val="both"/>
        <w:rPr>
          <w:rFonts w:ascii="Abadi" w:hAnsi="Abadi" w:cs="Amasis MT Pro Light"/>
          <w:b/>
          <w:bCs/>
          <w:sz w:val="21"/>
          <w:szCs w:val="21"/>
        </w:rPr>
      </w:pPr>
    </w:p>
    <w:p w14:paraId="38C13ACD" w14:textId="77777777" w:rsidR="004B76B3" w:rsidRDefault="004B76B3" w:rsidP="004B76B3">
      <w:pPr>
        <w:autoSpaceDE w:val="0"/>
        <w:autoSpaceDN w:val="0"/>
        <w:adjustRightInd w:val="0"/>
        <w:jc w:val="both"/>
        <w:rPr>
          <w:rFonts w:ascii="Abadi" w:hAnsi="Abadi" w:cs="Amasis MT Pro Light"/>
          <w:sz w:val="21"/>
          <w:szCs w:val="21"/>
        </w:rPr>
      </w:pPr>
      <w:r w:rsidRPr="00683449">
        <w:rPr>
          <w:rFonts w:ascii="Abadi" w:hAnsi="Abadi" w:cs="Amasis MT Pro Light"/>
          <w:b/>
          <w:bCs/>
          <w:sz w:val="21"/>
          <w:szCs w:val="21"/>
        </w:rPr>
        <w:t>Segundo.</w:t>
      </w:r>
      <w:r w:rsidRPr="00582FD2">
        <w:rPr>
          <w:rFonts w:ascii="Abadi" w:hAnsi="Abadi" w:cs="Amasis MT Pro Light"/>
          <w:sz w:val="21"/>
          <w:szCs w:val="21"/>
        </w:rPr>
        <w:t xml:space="preserve"> Se adiciona una fracción III al artículo 2, recorriéndose en su orden los</w:t>
      </w:r>
      <w:r>
        <w:rPr>
          <w:rFonts w:ascii="Abadi" w:hAnsi="Abadi" w:cs="Amasis MT Pro Light"/>
          <w:sz w:val="21"/>
          <w:szCs w:val="21"/>
        </w:rPr>
        <w:t xml:space="preserve"> </w:t>
      </w:r>
      <w:r w:rsidRPr="00582FD2">
        <w:rPr>
          <w:rFonts w:ascii="Abadi" w:hAnsi="Abadi" w:cs="Amasis MT Pro Light"/>
          <w:sz w:val="21"/>
          <w:szCs w:val="21"/>
        </w:rPr>
        <w:t>subsiguientes; se adiciona una fracción VII al artículo 3; se adiciona una fracción</w:t>
      </w:r>
      <w:r>
        <w:rPr>
          <w:rFonts w:ascii="Abadi" w:hAnsi="Abadi" w:cs="Amasis MT Pro Light"/>
          <w:sz w:val="21"/>
          <w:szCs w:val="21"/>
        </w:rPr>
        <w:t xml:space="preserve"> </w:t>
      </w:r>
      <w:r w:rsidRPr="00582FD2">
        <w:rPr>
          <w:rFonts w:ascii="Abadi" w:hAnsi="Abadi" w:cs="Amasis MT Pro Light"/>
          <w:sz w:val="21"/>
          <w:szCs w:val="21"/>
        </w:rPr>
        <w:t>XVIII al artículo 4; se adicionan las fracciones XIII y XIV al artículo 6, recorriéndose</w:t>
      </w:r>
      <w:r>
        <w:rPr>
          <w:rFonts w:ascii="Abadi" w:hAnsi="Abadi" w:cs="Amasis MT Pro Light"/>
          <w:sz w:val="21"/>
          <w:szCs w:val="21"/>
        </w:rPr>
        <w:t xml:space="preserve"> </w:t>
      </w:r>
      <w:r w:rsidRPr="00582FD2">
        <w:rPr>
          <w:rFonts w:ascii="Abadi" w:hAnsi="Abadi" w:cs="Amasis MT Pro Light"/>
          <w:sz w:val="21"/>
          <w:szCs w:val="21"/>
        </w:rPr>
        <w:t>en su orden las subsiguientes; se reforman las fracciones VI y XXI del artículo 11,</w:t>
      </w:r>
      <w:r>
        <w:rPr>
          <w:rFonts w:ascii="Abadi" w:hAnsi="Abadi" w:cs="Amasis MT Pro Light"/>
          <w:sz w:val="21"/>
          <w:szCs w:val="21"/>
        </w:rPr>
        <w:t xml:space="preserve"> </w:t>
      </w:r>
      <w:r w:rsidRPr="00582FD2">
        <w:rPr>
          <w:rFonts w:ascii="Abadi" w:hAnsi="Abadi" w:cs="Amasis MT Pro Light"/>
          <w:sz w:val="21"/>
          <w:szCs w:val="21"/>
        </w:rPr>
        <w:t>todo de la Ley de Inclusión para las Personas con Discapacidad en el Estado de</w:t>
      </w:r>
      <w:r>
        <w:rPr>
          <w:rFonts w:ascii="Abadi" w:hAnsi="Abadi" w:cs="Amasis MT Pro Light"/>
          <w:sz w:val="21"/>
          <w:szCs w:val="21"/>
        </w:rPr>
        <w:t xml:space="preserve"> </w:t>
      </w:r>
      <w:r w:rsidRPr="00582FD2">
        <w:rPr>
          <w:rFonts w:ascii="Abadi" w:hAnsi="Abadi" w:cs="Amasis MT Pro Light"/>
          <w:sz w:val="21"/>
          <w:szCs w:val="21"/>
        </w:rPr>
        <w:t>Guanajuato, para quedar como sigue:</w:t>
      </w:r>
    </w:p>
    <w:p w14:paraId="67F995EC" w14:textId="77777777" w:rsidR="004B76B3" w:rsidRPr="00582FD2" w:rsidRDefault="004B76B3" w:rsidP="004B76B3">
      <w:pPr>
        <w:autoSpaceDE w:val="0"/>
        <w:autoSpaceDN w:val="0"/>
        <w:adjustRightInd w:val="0"/>
        <w:jc w:val="both"/>
        <w:rPr>
          <w:rFonts w:ascii="Abadi" w:hAnsi="Abadi" w:cs="Amasis MT Pro Light"/>
          <w:sz w:val="21"/>
          <w:szCs w:val="21"/>
        </w:rPr>
      </w:pPr>
    </w:p>
    <w:p w14:paraId="6CF97B90" w14:textId="77777777" w:rsidR="004B76B3" w:rsidRPr="00582FD2" w:rsidRDefault="004B76B3" w:rsidP="004B76B3">
      <w:pPr>
        <w:autoSpaceDE w:val="0"/>
        <w:autoSpaceDN w:val="0"/>
        <w:adjustRightInd w:val="0"/>
        <w:jc w:val="both"/>
        <w:rPr>
          <w:rFonts w:ascii="Abadi" w:hAnsi="Abadi" w:cs="Amasis MT Pro Light"/>
          <w:sz w:val="21"/>
          <w:szCs w:val="21"/>
        </w:rPr>
      </w:pPr>
      <w:r w:rsidRPr="00984204">
        <w:rPr>
          <w:rFonts w:ascii="Abadi" w:hAnsi="Abadi" w:cs="Amasis MT Pro Light"/>
          <w:b/>
          <w:bCs/>
          <w:sz w:val="21"/>
          <w:szCs w:val="21"/>
        </w:rPr>
        <w:t>Artículo 2.</w:t>
      </w:r>
      <w:r w:rsidRPr="00582FD2">
        <w:rPr>
          <w:rFonts w:ascii="Abadi" w:hAnsi="Abadi" w:cs="Amasis MT Pro Light"/>
          <w:sz w:val="21"/>
          <w:szCs w:val="21"/>
        </w:rPr>
        <w:t xml:space="preserve"> Para los efectos de esta Ley…</w:t>
      </w:r>
    </w:p>
    <w:p w14:paraId="3A0634AE" w14:textId="77777777" w:rsidR="004B76B3" w:rsidRDefault="004B76B3" w:rsidP="004B76B3">
      <w:pPr>
        <w:autoSpaceDE w:val="0"/>
        <w:autoSpaceDN w:val="0"/>
        <w:adjustRightInd w:val="0"/>
        <w:jc w:val="both"/>
        <w:rPr>
          <w:rFonts w:ascii="Abadi" w:hAnsi="Abadi" w:cs="Amasis MT Pro Light"/>
          <w:sz w:val="21"/>
          <w:szCs w:val="21"/>
        </w:rPr>
      </w:pPr>
    </w:p>
    <w:p w14:paraId="1B1FCA4F" w14:textId="77777777"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I a II…</w:t>
      </w:r>
    </w:p>
    <w:p w14:paraId="2DA0FD09" w14:textId="77777777" w:rsidR="004B76B3" w:rsidRPr="00582FD2" w:rsidRDefault="004B76B3" w:rsidP="004B76B3">
      <w:pPr>
        <w:autoSpaceDE w:val="0"/>
        <w:autoSpaceDN w:val="0"/>
        <w:adjustRightInd w:val="0"/>
        <w:jc w:val="both"/>
        <w:rPr>
          <w:rFonts w:ascii="Abadi" w:hAnsi="Abadi" w:cs="Amasis MT Pro Light"/>
          <w:sz w:val="21"/>
          <w:szCs w:val="21"/>
        </w:rPr>
      </w:pPr>
    </w:p>
    <w:p w14:paraId="14180EED" w14:textId="77777777" w:rsidR="004B76B3" w:rsidRPr="00984204" w:rsidRDefault="004B76B3" w:rsidP="004B76B3">
      <w:pPr>
        <w:autoSpaceDE w:val="0"/>
        <w:autoSpaceDN w:val="0"/>
        <w:adjustRightInd w:val="0"/>
        <w:jc w:val="both"/>
        <w:rPr>
          <w:rFonts w:ascii="Abadi" w:hAnsi="Abadi" w:cs="Amasis MT Pro Light"/>
          <w:b/>
          <w:bCs/>
          <w:sz w:val="21"/>
          <w:szCs w:val="21"/>
        </w:rPr>
      </w:pPr>
      <w:r w:rsidRPr="00984204">
        <w:rPr>
          <w:rFonts w:ascii="Abadi" w:hAnsi="Abadi" w:cs="Amasis MT Pro Light"/>
          <w:b/>
          <w:bCs/>
          <w:sz w:val="21"/>
          <w:szCs w:val="21"/>
        </w:rPr>
        <w:t>III. Apoyo económico: la prestación a la que tienen derecho las personas con discapacidad permanente en el marco del párrafo dieciséis del artículo primero de la Constitución Política del Estado Libre y Soberano de Guanajuato;</w:t>
      </w:r>
    </w:p>
    <w:p w14:paraId="7A01469A" w14:textId="77777777" w:rsidR="004B76B3" w:rsidRDefault="004B76B3" w:rsidP="004B76B3">
      <w:pPr>
        <w:autoSpaceDE w:val="0"/>
        <w:autoSpaceDN w:val="0"/>
        <w:adjustRightInd w:val="0"/>
        <w:jc w:val="both"/>
        <w:rPr>
          <w:rFonts w:ascii="Abadi" w:hAnsi="Abadi" w:cs="Amasis MT Pro Light"/>
          <w:sz w:val="21"/>
          <w:szCs w:val="21"/>
        </w:rPr>
      </w:pPr>
    </w:p>
    <w:p w14:paraId="1DFE7E1B"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IV. Ayudas técnicas…</w:t>
      </w:r>
    </w:p>
    <w:p w14:paraId="47388489" w14:textId="77777777" w:rsidR="004B76B3" w:rsidRDefault="004B76B3" w:rsidP="004B76B3">
      <w:pPr>
        <w:jc w:val="both"/>
        <w:rPr>
          <w:rFonts w:ascii="Abadi" w:hAnsi="Abadi" w:cs="Amasis MT Pro Light"/>
          <w:sz w:val="21"/>
          <w:szCs w:val="21"/>
        </w:rPr>
      </w:pPr>
    </w:p>
    <w:p w14:paraId="5E41547C" w14:textId="77777777" w:rsidR="004B76B3" w:rsidRPr="00984204" w:rsidRDefault="004B76B3" w:rsidP="004B76B3">
      <w:pPr>
        <w:jc w:val="both"/>
        <w:rPr>
          <w:rFonts w:ascii="Abadi" w:hAnsi="Abadi" w:cs="Amasis MT Pro Light"/>
          <w:b/>
          <w:bCs/>
          <w:sz w:val="21"/>
          <w:szCs w:val="21"/>
        </w:rPr>
      </w:pPr>
      <w:r w:rsidRPr="00984204">
        <w:rPr>
          <w:rFonts w:ascii="Abadi" w:hAnsi="Abadi" w:cs="Amasis MT Pro Light"/>
          <w:b/>
          <w:bCs/>
          <w:sz w:val="21"/>
          <w:szCs w:val="21"/>
        </w:rPr>
        <w:t>V a XIII…</w:t>
      </w:r>
    </w:p>
    <w:p w14:paraId="0B52F54A" w14:textId="77777777" w:rsidR="004B76B3" w:rsidRPr="00582FD2" w:rsidRDefault="004B76B3" w:rsidP="004B76B3">
      <w:pPr>
        <w:jc w:val="both"/>
        <w:rPr>
          <w:rFonts w:ascii="Abadi" w:hAnsi="Abadi" w:cs="Amasis MT Pro Light"/>
          <w:sz w:val="21"/>
          <w:szCs w:val="21"/>
        </w:rPr>
      </w:pPr>
    </w:p>
    <w:p w14:paraId="0898BC01" w14:textId="77777777" w:rsidR="004B76B3" w:rsidRPr="00582FD2" w:rsidRDefault="004B76B3" w:rsidP="004B76B3">
      <w:pPr>
        <w:autoSpaceDE w:val="0"/>
        <w:autoSpaceDN w:val="0"/>
        <w:adjustRightInd w:val="0"/>
        <w:jc w:val="both"/>
        <w:rPr>
          <w:rFonts w:ascii="Abadi" w:hAnsi="Abadi" w:cs="Amasis MT Pro Light"/>
          <w:sz w:val="21"/>
          <w:szCs w:val="21"/>
        </w:rPr>
      </w:pPr>
      <w:r w:rsidRPr="00984204">
        <w:rPr>
          <w:rFonts w:ascii="Abadi" w:hAnsi="Abadi" w:cs="Amasis MT Pro Light"/>
          <w:b/>
          <w:bCs/>
          <w:sz w:val="21"/>
          <w:szCs w:val="21"/>
        </w:rPr>
        <w:t>Artículo 3.</w:t>
      </w:r>
      <w:r w:rsidRPr="00582FD2">
        <w:rPr>
          <w:rFonts w:ascii="Abadi" w:hAnsi="Abadi" w:cs="Amasis MT Pro Light"/>
          <w:sz w:val="21"/>
          <w:szCs w:val="21"/>
        </w:rPr>
        <w:t xml:space="preserve"> Los principios rectores…</w:t>
      </w:r>
    </w:p>
    <w:p w14:paraId="6671149A" w14:textId="77777777" w:rsidR="004B76B3" w:rsidRDefault="004B76B3" w:rsidP="004B76B3">
      <w:pPr>
        <w:autoSpaceDE w:val="0"/>
        <w:autoSpaceDN w:val="0"/>
        <w:adjustRightInd w:val="0"/>
        <w:jc w:val="both"/>
        <w:rPr>
          <w:rFonts w:ascii="Abadi" w:hAnsi="Abadi" w:cs="Amasis MT Pro Light"/>
          <w:sz w:val="21"/>
          <w:szCs w:val="21"/>
        </w:rPr>
      </w:pPr>
    </w:p>
    <w:p w14:paraId="1B305886"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I a IV…</w:t>
      </w:r>
    </w:p>
    <w:p w14:paraId="28C0DAD5" w14:textId="77777777" w:rsidR="004B76B3" w:rsidRDefault="004B76B3" w:rsidP="004B76B3">
      <w:pPr>
        <w:autoSpaceDE w:val="0"/>
        <w:autoSpaceDN w:val="0"/>
        <w:adjustRightInd w:val="0"/>
        <w:jc w:val="both"/>
        <w:rPr>
          <w:rFonts w:ascii="Abadi" w:hAnsi="Abadi" w:cs="Amasis MT Pro Light"/>
          <w:sz w:val="21"/>
          <w:szCs w:val="21"/>
        </w:rPr>
      </w:pPr>
    </w:p>
    <w:p w14:paraId="0997E22B"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V. La participación e inclusión plenas y efectivas en la sociedad;</w:t>
      </w:r>
    </w:p>
    <w:p w14:paraId="22CC355C" w14:textId="77777777" w:rsidR="004B76B3" w:rsidRDefault="004B76B3" w:rsidP="004B76B3">
      <w:pPr>
        <w:autoSpaceDE w:val="0"/>
        <w:autoSpaceDN w:val="0"/>
        <w:adjustRightInd w:val="0"/>
        <w:jc w:val="both"/>
        <w:rPr>
          <w:rFonts w:ascii="Abadi" w:hAnsi="Abadi" w:cs="Amasis MT Pro Light"/>
          <w:sz w:val="21"/>
          <w:szCs w:val="21"/>
        </w:rPr>
      </w:pPr>
    </w:p>
    <w:p w14:paraId="0F27C492" w14:textId="77777777" w:rsidR="004B76B3"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VI. El respeto a la dignidad, la autonomía individual, incluida la libertad de</w:t>
      </w:r>
      <w:r>
        <w:rPr>
          <w:rFonts w:ascii="Abadi" w:hAnsi="Abadi" w:cs="Amasis MT Pro Light"/>
          <w:sz w:val="21"/>
          <w:szCs w:val="21"/>
        </w:rPr>
        <w:t xml:space="preserve"> </w:t>
      </w:r>
      <w:r w:rsidRPr="00582FD2">
        <w:rPr>
          <w:rFonts w:ascii="Abadi" w:hAnsi="Abadi" w:cs="Amasis MT Pro Light"/>
          <w:sz w:val="21"/>
          <w:szCs w:val="21"/>
        </w:rPr>
        <w:t>tomar las propias decisiones, y la independencia de las personas; y</w:t>
      </w:r>
      <w:r>
        <w:rPr>
          <w:rFonts w:ascii="Abadi" w:hAnsi="Abadi" w:cs="Amasis MT Pro Light"/>
          <w:sz w:val="21"/>
          <w:szCs w:val="21"/>
        </w:rPr>
        <w:t xml:space="preserve"> </w:t>
      </w:r>
    </w:p>
    <w:p w14:paraId="03ACC6B8" w14:textId="77777777" w:rsidR="004B76B3" w:rsidRDefault="004B76B3" w:rsidP="004B76B3">
      <w:pPr>
        <w:autoSpaceDE w:val="0"/>
        <w:autoSpaceDN w:val="0"/>
        <w:adjustRightInd w:val="0"/>
        <w:jc w:val="both"/>
        <w:rPr>
          <w:rFonts w:ascii="Abadi" w:hAnsi="Abadi" w:cs="Amasis MT Pro Light"/>
          <w:sz w:val="21"/>
          <w:szCs w:val="21"/>
        </w:rPr>
      </w:pPr>
    </w:p>
    <w:p w14:paraId="165044BB" w14:textId="77777777" w:rsidR="004B76B3" w:rsidRPr="00984204" w:rsidRDefault="004B76B3" w:rsidP="004B76B3">
      <w:pPr>
        <w:autoSpaceDE w:val="0"/>
        <w:autoSpaceDN w:val="0"/>
        <w:adjustRightInd w:val="0"/>
        <w:jc w:val="both"/>
        <w:rPr>
          <w:rFonts w:ascii="Abadi" w:hAnsi="Abadi" w:cs="Amasis MT Pro Light"/>
          <w:b/>
          <w:bCs/>
          <w:sz w:val="21"/>
          <w:szCs w:val="21"/>
        </w:rPr>
      </w:pPr>
      <w:r w:rsidRPr="00582FD2">
        <w:rPr>
          <w:rFonts w:ascii="Abadi" w:hAnsi="Abadi" w:cs="Amasis MT Pro Light"/>
          <w:sz w:val="21"/>
          <w:szCs w:val="21"/>
        </w:rPr>
        <w:t xml:space="preserve">VII. </w:t>
      </w:r>
      <w:r w:rsidRPr="00984204">
        <w:rPr>
          <w:rFonts w:ascii="Abadi" w:hAnsi="Abadi" w:cs="Amasis MT Pro Light"/>
          <w:b/>
          <w:bCs/>
          <w:sz w:val="21"/>
          <w:szCs w:val="21"/>
        </w:rPr>
        <w:t>La progresividad de los derechos para las personas con discapacidad.</w:t>
      </w:r>
    </w:p>
    <w:p w14:paraId="20698324" w14:textId="77777777" w:rsidR="004B76B3" w:rsidRDefault="004B76B3" w:rsidP="004B76B3">
      <w:pPr>
        <w:autoSpaceDE w:val="0"/>
        <w:autoSpaceDN w:val="0"/>
        <w:adjustRightInd w:val="0"/>
        <w:jc w:val="both"/>
        <w:rPr>
          <w:rFonts w:ascii="Abadi" w:hAnsi="Abadi" w:cs="Amasis MT Pro Light"/>
          <w:sz w:val="21"/>
          <w:szCs w:val="21"/>
        </w:rPr>
      </w:pPr>
    </w:p>
    <w:p w14:paraId="0AD8C151" w14:textId="77777777" w:rsidR="004B76B3" w:rsidRPr="00582FD2" w:rsidRDefault="004B76B3" w:rsidP="004B76B3">
      <w:pPr>
        <w:autoSpaceDE w:val="0"/>
        <w:autoSpaceDN w:val="0"/>
        <w:adjustRightInd w:val="0"/>
        <w:jc w:val="both"/>
        <w:rPr>
          <w:rFonts w:ascii="Abadi" w:hAnsi="Abadi" w:cs="Amasis MT Pro Light"/>
          <w:sz w:val="21"/>
          <w:szCs w:val="21"/>
        </w:rPr>
      </w:pPr>
      <w:r w:rsidRPr="00984204">
        <w:rPr>
          <w:rFonts w:ascii="Abadi" w:hAnsi="Abadi" w:cs="Amasis MT Pro Light"/>
          <w:b/>
          <w:bCs/>
          <w:sz w:val="21"/>
          <w:szCs w:val="21"/>
        </w:rPr>
        <w:t xml:space="preserve">Artículo 4. </w:t>
      </w:r>
      <w:r w:rsidRPr="00582FD2">
        <w:rPr>
          <w:rFonts w:ascii="Abadi" w:hAnsi="Abadi" w:cs="Amasis MT Pro Light"/>
          <w:sz w:val="21"/>
          <w:szCs w:val="21"/>
        </w:rPr>
        <w:t>Son derechos…</w:t>
      </w:r>
    </w:p>
    <w:p w14:paraId="387CED9C" w14:textId="77777777" w:rsidR="004B76B3" w:rsidRDefault="004B76B3" w:rsidP="004B76B3">
      <w:pPr>
        <w:autoSpaceDE w:val="0"/>
        <w:autoSpaceDN w:val="0"/>
        <w:adjustRightInd w:val="0"/>
        <w:jc w:val="both"/>
        <w:rPr>
          <w:rFonts w:ascii="Abadi" w:hAnsi="Abadi" w:cs="Amasis MT Pro Light"/>
          <w:sz w:val="21"/>
          <w:szCs w:val="21"/>
        </w:rPr>
      </w:pPr>
    </w:p>
    <w:p w14:paraId="2BB44174"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Sin perjuicio…</w:t>
      </w:r>
    </w:p>
    <w:p w14:paraId="3D3FD96E" w14:textId="77777777" w:rsidR="004B76B3" w:rsidRDefault="004B76B3" w:rsidP="004B76B3">
      <w:pPr>
        <w:autoSpaceDE w:val="0"/>
        <w:autoSpaceDN w:val="0"/>
        <w:adjustRightInd w:val="0"/>
        <w:jc w:val="both"/>
        <w:rPr>
          <w:rFonts w:ascii="Abadi" w:hAnsi="Abadi" w:cs="Amasis MT Pro Light"/>
          <w:sz w:val="21"/>
          <w:szCs w:val="21"/>
        </w:rPr>
      </w:pPr>
    </w:p>
    <w:p w14:paraId="55852614"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I a XVII…</w:t>
      </w:r>
    </w:p>
    <w:p w14:paraId="7012B44A" w14:textId="77777777" w:rsidR="004B76B3" w:rsidRDefault="004B76B3" w:rsidP="004B76B3">
      <w:pPr>
        <w:autoSpaceDE w:val="0"/>
        <w:autoSpaceDN w:val="0"/>
        <w:adjustRightInd w:val="0"/>
        <w:jc w:val="both"/>
        <w:rPr>
          <w:rFonts w:ascii="Abadi" w:hAnsi="Abadi" w:cs="Amasis MT Pro Light"/>
          <w:sz w:val="21"/>
          <w:szCs w:val="21"/>
        </w:rPr>
      </w:pPr>
    </w:p>
    <w:p w14:paraId="189B71B9"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XVIII. A un apoyo económico en los términos de la presente Ley.</w:t>
      </w:r>
    </w:p>
    <w:p w14:paraId="1E667CFB" w14:textId="77777777" w:rsidR="004B76B3" w:rsidRDefault="004B76B3" w:rsidP="004B76B3">
      <w:pPr>
        <w:autoSpaceDE w:val="0"/>
        <w:autoSpaceDN w:val="0"/>
        <w:adjustRightInd w:val="0"/>
        <w:jc w:val="both"/>
        <w:rPr>
          <w:rFonts w:ascii="Abadi" w:hAnsi="Abadi" w:cs="Amasis MT Pro Light"/>
          <w:sz w:val="21"/>
          <w:szCs w:val="21"/>
        </w:rPr>
      </w:pPr>
    </w:p>
    <w:p w14:paraId="5CD57A8E" w14:textId="77777777" w:rsidR="004B76B3" w:rsidRPr="00582FD2" w:rsidRDefault="004B76B3" w:rsidP="004B76B3">
      <w:pPr>
        <w:autoSpaceDE w:val="0"/>
        <w:autoSpaceDN w:val="0"/>
        <w:adjustRightInd w:val="0"/>
        <w:jc w:val="both"/>
        <w:rPr>
          <w:rFonts w:ascii="Abadi" w:hAnsi="Abadi" w:cs="Amasis MT Pro Light"/>
          <w:sz w:val="21"/>
          <w:szCs w:val="21"/>
        </w:rPr>
      </w:pPr>
      <w:r w:rsidRPr="00984204">
        <w:rPr>
          <w:rFonts w:ascii="Abadi" w:hAnsi="Abadi" w:cs="Amasis MT Pro Light"/>
          <w:b/>
          <w:bCs/>
          <w:sz w:val="21"/>
          <w:szCs w:val="21"/>
        </w:rPr>
        <w:t>Artículo 6.</w:t>
      </w:r>
      <w:r w:rsidRPr="00582FD2">
        <w:rPr>
          <w:rFonts w:ascii="Abadi" w:hAnsi="Abadi" w:cs="Amasis MT Pro Light"/>
          <w:sz w:val="21"/>
          <w:szCs w:val="21"/>
        </w:rPr>
        <w:t xml:space="preserve"> El Ejecutivo del Estado y los municipios…</w:t>
      </w:r>
    </w:p>
    <w:p w14:paraId="04CB7D78" w14:textId="77777777" w:rsidR="004B76B3" w:rsidRDefault="004B76B3" w:rsidP="004B76B3">
      <w:pPr>
        <w:autoSpaceDE w:val="0"/>
        <w:autoSpaceDN w:val="0"/>
        <w:adjustRightInd w:val="0"/>
        <w:jc w:val="both"/>
        <w:rPr>
          <w:rFonts w:ascii="Abadi" w:hAnsi="Abadi" w:cs="Amasis MT Pro Light"/>
          <w:sz w:val="21"/>
          <w:szCs w:val="21"/>
        </w:rPr>
      </w:pPr>
    </w:p>
    <w:p w14:paraId="0D991CF1"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I a XII…</w:t>
      </w:r>
    </w:p>
    <w:p w14:paraId="45F813CE" w14:textId="77777777" w:rsidR="004B76B3" w:rsidRDefault="004B76B3" w:rsidP="004B76B3">
      <w:pPr>
        <w:autoSpaceDE w:val="0"/>
        <w:autoSpaceDN w:val="0"/>
        <w:adjustRightInd w:val="0"/>
        <w:jc w:val="both"/>
        <w:rPr>
          <w:rFonts w:ascii="Abadi" w:hAnsi="Abadi" w:cs="Amasis MT Pro Light"/>
          <w:sz w:val="21"/>
          <w:szCs w:val="21"/>
        </w:rPr>
      </w:pPr>
    </w:p>
    <w:p w14:paraId="591C9FE6" w14:textId="77777777" w:rsidR="004B76B3" w:rsidRPr="00984204" w:rsidRDefault="004B76B3" w:rsidP="004B76B3">
      <w:pPr>
        <w:autoSpaceDE w:val="0"/>
        <w:autoSpaceDN w:val="0"/>
        <w:adjustRightInd w:val="0"/>
        <w:jc w:val="both"/>
        <w:rPr>
          <w:rFonts w:ascii="Abadi" w:hAnsi="Abadi" w:cs="Amasis MT Pro Light"/>
          <w:b/>
          <w:bCs/>
          <w:sz w:val="21"/>
          <w:szCs w:val="21"/>
        </w:rPr>
      </w:pPr>
      <w:r w:rsidRPr="00582FD2">
        <w:rPr>
          <w:rFonts w:ascii="Abadi" w:hAnsi="Abadi" w:cs="Amasis MT Pro Light"/>
          <w:sz w:val="21"/>
          <w:szCs w:val="21"/>
        </w:rPr>
        <w:t xml:space="preserve">XIII. </w:t>
      </w:r>
      <w:r w:rsidRPr="00984204">
        <w:rPr>
          <w:rFonts w:ascii="Abadi" w:hAnsi="Abadi" w:cs="Amasis MT Pro Light"/>
          <w:b/>
          <w:bCs/>
          <w:sz w:val="21"/>
          <w:szCs w:val="21"/>
        </w:rPr>
        <w:t>Otorgar la prestación del apoyo económico a las personas con discapacidad permanente, priorizando a las personas menores de dieciocho años, a las personas indígenas y afromexicanas, así como a las que se encuentren en situación de pobreza, hasta los 64 años de edad;</w:t>
      </w:r>
    </w:p>
    <w:p w14:paraId="3A2F2122" w14:textId="77777777" w:rsidR="004B76B3" w:rsidRDefault="004B76B3" w:rsidP="004B76B3">
      <w:pPr>
        <w:autoSpaceDE w:val="0"/>
        <w:autoSpaceDN w:val="0"/>
        <w:adjustRightInd w:val="0"/>
        <w:jc w:val="both"/>
        <w:rPr>
          <w:rFonts w:ascii="Abadi" w:hAnsi="Abadi" w:cs="Amasis MT Pro Light"/>
          <w:sz w:val="21"/>
          <w:szCs w:val="21"/>
        </w:rPr>
      </w:pPr>
    </w:p>
    <w:p w14:paraId="3D16E261" w14:textId="77777777" w:rsidR="004B76B3" w:rsidRPr="00984204" w:rsidRDefault="004B76B3" w:rsidP="004B76B3">
      <w:pPr>
        <w:autoSpaceDE w:val="0"/>
        <w:autoSpaceDN w:val="0"/>
        <w:adjustRightInd w:val="0"/>
        <w:jc w:val="both"/>
        <w:rPr>
          <w:rFonts w:ascii="Abadi" w:hAnsi="Abadi" w:cs="Amasis MT Pro Light"/>
          <w:b/>
          <w:bCs/>
          <w:sz w:val="21"/>
          <w:szCs w:val="21"/>
        </w:rPr>
      </w:pPr>
      <w:r w:rsidRPr="00582FD2">
        <w:rPr>
          <w:rFonts w:ascii="Abadi" w:hAnsi="Abadi" w:cs="Amasis MT Pro Light"/>
          <w:sz w:val="21"/>
          <w:szCs w:val="21"/>
        </w:rPr>
        <w:t xml:space="preserve">XIV. </w:t>
      </w:r>
      <w:r w:rsidRPr="00984204">
        <w:rPr>
          <w:rFonts w:ascii="Abadi" w:hAnsi="Abadi" w:cs="Amasis MT Pro Light"/>
          <w:b/>
          <w:bCs/>
          <w:sz w:val="21"/>
          <w:szCs w:val="21"/>
        </w:rPr>
        <w:t>Establecer convenios de colaboración y complementariedad con la finalidad de garantizar el derecho constitucional de las personas con discapacidad permanente a recibir un apoyo económico;</w:t>
      </w:r>
    </w:p>
    <w:p w14:paraId="31F77297" w14:textId="77777777" w:rsidR="004B76B3" w:rsidRPr="00582FD2" w:rsidRDefault="004B76B3" w:rsidP="004B76B3">
      <w:pPr>
        <w:jc w:val="both"/>
        <w:rPr>
          <w:rFonts w:ascii="Abadi" w:hAnsi="Abadi" w:cs="Amasis MT Pro Light"/>
          <w:sz w:val="21"/>
          <w:szCs w:val="21"/>
        </w:rPr>
      </w:pPr>
    </w:p>
    <w:p w14:paraId="7CF3CC0A"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XV. Promover medidas…</w:t>
      </w:r>
    </w:p>
    <w:p w14:paraId="2FE79CE3" w14:textId="77777777" w:rsidR="004B76B3" w:rsidRDefault="004B76B3" w:rsidP="004B76B3">
      <w:pPr>
        <w:autoSpaceDE w:val="0"/>
        <w:autoSpaceDN w:val="0"/>
        <w:adjustRightInd w:val="0"/>
        <w:jc w:val="both"/>
        <w:rPr>
          <w:rFonts w:ascii="Abadi" w:hAnsi="Abadi" w:cs="Amasis MT Pro Light"/>
          <w:sz w:val="21"/>
          <w:szCs w:val="21"/>
        </w:rPr>
      </w:pPr>
    </w:p>
    <w:p w14:paraId="637A70AD"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XVI a XIX…</w:t>
      </w:r>
    </w:p>
    <w:p w14:paraId="6B41903C" w14:textId="77777777" w:rsidR="004B76B3" w:rsidRDefault="004B76B3" w:rsidP="004B76B3">
      <w:pPr>
        <w:autoSpaceDE w:val="0"/>
        <w:autoSpaceDN w:val="0"/>
        <w:adjustRightInd w:val="0"/>
        <w:jc w:val="both"/>
        <w:rPr>
          <w:rFonts w:ascii="Abadi" w:hAnsi="Abadi" w:cs="Amasis MT Pro Light"/>
          <w:sz w:val="21"/>
          <w:szCs w:val="21"/>
        </w:rPr>
      </w:pPr>
    </w:p>
    <w:p w14:paraId="4D474382"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Artículo 11. El Instituto tendrá…</w:t>
      </w:r>
    </w:p>
    <w:p w14:paraId="41F5B9DA" w14:textId="77777777" w:rsidR="004B76B3" w:rsidRDefault="004B76B3" w:rsidP="004B76B3">
      <w:pPr>
        <w:autoSpaceDE w:val="0"/>
        <w:autoSpaceDN w:val="0"/>
        <w:adjustRightInd w:val="0"/>
        <w:jc w:val="both"/>
        <w:rPr>
          <w:rFonts w:ascii="Abadi" w:hAnsi="Abadi" w:cs="Amasis MT Pro Light"/>
          <w:sz w:val="21"/>
          <w:szCs w:val="21"/>
        </w:rPr>
      </w:pPr>
    </w:p>
    <w:p w14:paraId="0AE7C20E"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I a V…</w:t>
      </w:r>
    </w:p>
    <w:p w14:paraId="780C4F1A" w14:textId="77777777" w:rsidR="004B76B3" w:rsidRDefault="004B76B3" w:rsidP="004B76B3">
      <w:pPr>
        <w:autoSpaceDE w:val="0"/>
        <w:autoSpaceDN w:val="0"/>
        <w:adjustRightInd w:val="0"/>
        <w:jc w:val="both"/>
        <w:rPr>
          <w:rFonts w:ascii="Abadi" w:hAnsi="Abadi" w:cs="Amasis MT Pro Light"/>
          <w:sz w:val="21"/>
          <w:szCs w:val="21"/>
        </w:rPr>
      </w:pPr>
    </w:p>
    <w:p w14:paraId="0B43853F"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VI. Coadyuvar con las autoridades de la administración pública estatal y</w:t>
      </w:r>
      <w:r>
        <w:rPr>
          <w:rFonts w:ascii="Abadi" w:hAnsi="Abadi" w:cs="Amasis MT Pro Light"/>
          <w:sz w:val="21"/>
          <w:szCs w:val="21"/>
        </w:rPr>
        <w:t xml:space="preserve"> </w:t>
      </w:r>
      <w:r w:rsidRPr="00582FD2">
        <w:rPr>
          <w:rFonts w:ascii="Abadi" w:hAnsi="Abadi" w:cs="Amasis MT Pro Light"/>
          <w:sz w:val="21"/>
          <w:szCs w:val="21"/>
        </w:rPr>
        <w:t xml:space="preserve">municipal </w:t>
      </w:r>
      <w:r w:rsidRPr="00984204">
        <w:rPr>
          <w:rFonts w:ascii="Abadi" w:hAnsi="Abadi" w:cs="Amasis MT Pro Light"/>
          <w:b/>
          <w:bCs/>
          <w:sz w:val="21"/>
          <w:szCs w:val="21"/>
        </w:rPr>
        <w:t>para garantizar el apoyo económico para personas con discapacidad permanente, así como para la elaboración</w:t>
      </w:r>
      <w:r w:rsidRPr="00582FD2">
        <w:rPr>
          <w:rFonts w:ascii="Abadi" w:hAnsi="Abadi" w:cs="Amasis MT Pro Light"/>
          <w:sz w:val="21"/>
          <w:szCs w:val="21"/>
        </w:rPr>
        <w:t xml:space="preserve"> de políticas públicas</w:t>
      </w:r>
      <w:r>
        <w:rPr>
          <w:rFonts w:ascii="Abadi" w:hAnsi="Abadi" w:cs="Amasis MT Pro Light"/>
          <w:sz w:val="21"/>
          <w:szCs w:val="21"/>
        </w:rPr>
        <w:t xml:space="preserve"> </w:t>
      </w:r>
      <w:r w:rsidRPr="00582FD2">
        <w:rPr>
          <w:rFonts w:ascii="Abadi" w:hAnsi="Abadi" w:cs="Amasis MT Pro Light"/>
          <w:sz w:val="21"/>
          <w:szCs w:val="21"/>
        </w:rPr>
        <w:t>de atención a las personas con discapacidad;</w:t>
      </w:r>
    </w:p>
    <w:p w14:paraId="385B6B79" w14:textId="77777777" w:rsidR="004B76B3" w:rsidRDefault="004B76B3" w:rsidP="004B76B3">
      <w:pPr>
        <w:autoSpaceDE w:val="0"/>
        <w:autoSpaceDN w:val="0"/>
        <w:adjustRightInd w:val="0"/>
        <w:jc w:val="both"/>
        <w:rPr>
          <w:rFonts w:ascii="Abadi" w:hAnsi="Abadi" w:cs="Amasis MT Pro Light"/>
          <w:sz w:val="21"/>
          <w:szCs w:val="21"/>
        </w:rPr>
      </w:pPr>
    </w:p>
    <w:p w14:paraId="2636D388" w14:textId="77777777" w:rsidR="004B76B3" w:rsidRPr="00582FD2" w:rsidRDefault="004B76B3" w:rsidP="004B76B3">
      <w:pPr>
        <w:autoSpaceDE w:val="0"/>
        <w:autoSpaceDN w:val="0"/>
        <w:adjustRightInd w:val="0"/>
        <w:jc w:val="both"/>
        <w:rPr>
          <w:rFonts w:ascii="Abadi" w:hAnsi="Abadi" w:cs="Amasis MT Pro Light"/>
          <w:sz w:val="21"/>
          <w:szCs w:val="21"/>
        </w:rPr>
      </w:pPr>
      <w:r w:rsidRPr="00582FD2">
        <w:rPr>
          <w:rFonts w:ascii="Abadi" w:hAnsi="Abadi" w:cs="Amasis MT Pro Light"/>
          <w:sz w:val="21"/>
          <w:szCs w:val="21"/>
        </w:rPr>
        <w:t>VII a XX…</w:t>
      </w:r>
    </w:p>
    <w:p w14:paraId="205DC254" w14:textId="77777777" w:rsidR="004B76B3" w:rsidRDefault="004B76B3" w:rsidP="004B76B3">
      <w:pPr>
        <w:autoSpaceDE w:val="0"/>
        <w:autoSpaceDN w:val="0"/>
        <w:adjustRightInd w:val="0"/>
        <w:jc w:val="both"/>
        <w:rPr>
          <w:rFonts w:ascii="Abadi" w:hAnsi="Abadi" w:cs="Amasis MT Pro Light"/>
          <w:sz w:val="21"/>
          <w:szCs w:val="21"/>
        </w:rPr>
      </w:pPr>
    </w:p>
    <w:p w14:paraId="47F4D3A7" w14:textId="77777777" w:rsidR="004B76B3" w:rsidRPr="00984204" w:rsidRDefault="004B76B3" w:rsidP="004B76B3">
      <w:pPr>
        <w:autoSpaceDE w:val="0"/>
        <w:autoSpaceDN w:val="0"/>
        <w:adjustRightInd w:val="0"/>
        <w:jc w:val="both"/>
        <w:rPr>
          <w:rFonts w:ascii="Abadi" w:hAnsi="Abadi" w:cs="Amasis MT Pro Light"/>
          <w:b/>
          <w:bCs/>
          <w:sz w:val="21"/>
          <w:szCs w:val="21"/>
        </w:rPr>
      </w:pPr>
      <w:r w:rsidRPr="00582FD2">
        <w:rPr>
          <w:rFonts w:ascii="Abadi" w:hAnsi="Abadi" w:cs="Amasis MT Pro Light"/>
          <w:sz w:val="21"/>
          <w:szCs w:val="21"/>
        </w:rPr>
        <w:t>XXI. Proponer dentro de la elaboración del proyecto del presupuesto de</w:t>
      </w:r>
      <w:r>
        <w:rPr>
          <w:rFonts w:ascii="Abadi" w:hAnsi="Abadi" w:cs="Amasis MT Pro Light"/>
          <w:sz w:val="21"/>
          <w:szCs w:val="21"/>
        </w:rPr>
        <w:t xml:space="preserve"> </w:t>
      </w:r>
      <w:r w:rsidRPr="00582FD2">
        <w:rPr>
          <w:rFonts w:ascii="Abadi" w:hAnsi="Abadi" w:cs="Amasis MT Pro Light"/>
          <w:sz w:val="21"/>
          <w:szCs w:val="21"/>
        </w:rPr>
        <w:t>egresos los recursos necesarios para impulsar los programas de adquisición y</w:t>
      </w:r>
      <w:r>
        <w:rPr>
          <w:rFonts w:ascii="Abadi" w:hAnsi="Abadi" w:cs="Amasis MT Pro Light"/>
          <w:sz w:val="21"/>
          <w:szCs w:val="21"/>
        </w:rPr>
        <w:t xml:space="preserve"> </w:t>
      </w:r>
      <w:r w:rsidRPr="00582FD2">
        <w:rPr>
          <w:rFonts w:ascii="Abadi" w:hAnsi="Abadi" w:cs="Amasis MT Pro Light"/>
          <w:sz w:val="21"/>
          <w:szCs w:val="21"/>
        </w:rPr>
        <w:t>obtención de órtesis, prótesis, ayudas técnicas y medicamentos para la</w:t>
      </w:r>
      <w:r>
        <w:rPr>
          <w:rFonts w:ascii="Abadi" w:hAnsi="Abadi" w:cs="Amasis MT Pro Light"/>
          <w:sz w:val="21"/>
          <w:szCs w:val="21"/>
        </w:rPr>
        <w:t xml:space="preserve"> </w:t>
      </w:r>
      <w:r w:rsidRPr="00582FD2">
        <w:rPr>
          <w:rFonts w:ascii="Abadi" w:hAnsi="Abadi" w:cs="Amasis MT Pro Light"/>
          <w:sz w:val="21"/>
          <w:szCs w:val="21"/>
        </w:rPr>
        <w:t xml:space="preserve">rehabilitación de las personas con discapacidad, </w:t>
      </w:r>
      <w:r w:rsidRPr="00984204">
        <w:rPr>
          <w:rFonts w:ascii="Abadi" w:hAnsi="Abadi" w:cs="Amasis MT Pro Light"/>
          <w:b/>
          <w:bCs/>
          <w:sz w:val="21"/>
          <w:szCs w:val="21"/>
        </w:rPr>
        <w:t>así como para garantizar el apoyo económico para personas con discapacidad permanente de forma progresiva;</w:t>
      </w:r>
    </w:p>
    <w:p w14:paraId="16687DEB" w14:textId="77777777" w:rsidR="004B76B3" w:rsidRDefault="004B76B3" w:rsidP="004B76B3">
      <w:pPr>
        <w:jc w:val="both"/>
        <w:rPr>
          <w:rFonts w:ascii="Abadi" w:hAnsi="Abadi" w:cs="Amasis MT Pro Light"/>
          <w:sz w:val="21"/>
          <w:szCs w:val="21"/>
        </w:rPr>
      </w:pPr>
    </w:p>
    <w:p w14:paraId="41B36874" w14:textId="77777777" w:rsidR="004B76B3" w:rsidRPr="00582FD2" w:rsidRDefault="004B76B3" w:rsidP="004B76B3">
      <w:pPr>
        <w:jc w:val="both"/>
        <w:rPr>
          <w:rFonts w:ascii="Abadi" w:hAnsi="Abadi" w:cs="Amasis MT Pro Light"/>
          <w:sz w:val="21"/>
          <w:szCs w:val="21"/>
        </w:rPr>
      </w:pPr>
      <w:r w:rsidRPr="00582FD2">
        <w:rPr>
          <w:rFonts w:ascii="Abadi" w:hAnsi="Abadi" w:cs="Amasis MT Pro Light"/>
          <w:sz w:val="21"/>
          <w:szCs w:val="21"/>
        </w:rPr>
        <w:t>XXII a XXIII…</w:t>
      </w:r>
    </w:p>
    <w:p w14:paraId="1ABAF9F1" w14:textId="77777777" w:rsidR="004B76B3" w:rsidRPr="00582FD2" w:rsidRDefault="004B76B3" w:rsidP="004B76B3">
      <w:pPr>
        <w:jc w:val="both"/>
        <w:rPr>
          <w:rFonts w:ascii="Abadi" w:hAnsi="Abadi" w:cs="Amasis MT Pro Light"/>
          <w:sz w:val="21"/>
          <w:szCs w:val="21"/>
        </w:rPr>
      </w:pPr>
    </w:p>
    <w:p w14:paraId="12135730" w14:textId="77777777" w:rsidR="004B76B3" w:rsidRDefault="004B76B3" w:rsidP="004B76B3">
      <w:pPr>
        <w:autoSpaceDE w:val="0"/>
        <w:autoSpaceDN w:val="0"/>
        <w:adjustRightInd w:val="0"/>
        <w:jc w:val="both"/>
        <w:rPr>
          <w:rFonts w:ascii="Abadi" w:hAnsi="Abadi" w:cs="Amasis MT Pro Light"/>
          <w:sz w:val="21"/>
          <w:szCs w:val="21"/>
        </w:rPr>
      </w:pPr>
      <w:r w:rsidRPr="00984204">
        <w:rPr>
          <w:rFonts w:ascii="Abadi" w:hAnsi="Abadi" w:cs="Amasis MT Pro Light"/>
          <w:b/>
          <w:bCs/>
          <w:sz w:val="21"/>
          <w:szCs w:val="21"/>
        </w:rPr>
        <w:t>Tercero.</w:t>
      </w:r>
      <w:r w:rsidRPr="00582FD2">
        <w:rPr>
          <w:rFonts w:ascii="Abadi" w:hAnsi="Abadi" w:cs="Amasis MT Pro Light"/>
          <w:sz w:val="21"/>
          <w:szCs w:val="21"/>
        </w:rPr>
        <w:t xml:space="preserve"> Se adiciona un inciso ñ) a la fracción V del artículo 76 de la Ley Orgánica</w:t>
      </w:r>
      <w:r>
        <w:rPr>
          <w:rFonts w:ascii="Abadi" w:hAnsi="Abadi" w:cs="Amasis MT Pro Light"/>
          <w:sz w:val="21"/>
          <w:szCs w:val="21"/>
        </w:rPr>
        <w:t xml:space="preserve"> </w:t>
      </w:r>
      <w:r w:rsidRPr="00582FD2">
        <w:rPr>
          <w:rFonts w:ascii="Abadi" w:hAnsi="Abadi" w:cs="Amasis MT Pro Light"/>
          <w:sz w:val="21"/>
          <w:szCs w:val="21"/>
        </w:rPr>
        <w:t>Municipal para el Estado de Guanajuato, para quedar como sigue:</w:t>
      </w:r>
      <w:r>
        <w:rPr>
          <w:rFonts w:ascii="Abadi" w:hAnsi="Abadi" w:cs="Amasis MT Pro Light"/>
          <w:sz w:val="21"/>
          <w:szCs w:val="21"/>
        </w:rPr>
        <w:t xml:space="preserve"> </w:t>
      </w:r>
    </w:p>
    <w:p w14:paraId="0B048E9A" w14:textId="77777777" w:rsidR="004B76B3" w:rsidRDefault="004B76B3" w:rsidP="004B76B3">
      <w:pPr>
        <w:autoSpaceDE w:val="0"/>
        <w:autoSpaceDN w:val="0"/>
        <w:adjustRightInd w:val="0"/>
        <w:jc w:val="both"/>
        <w:rPr>
          <w:rFonts w:ascii="Abadi" w:hAnsi="Abadi" w:cs="Amasis MT Pro Light"/>
          <w:sz w:val="21"/>
          <w:szCs w:val="21"/>
        </w:rPr>
      </w:pPr>
    </w:p>
    <w:p w14:paraId="48DF6C55" w14:textId="77777777" w:rsidR="004B76B3" w:rsidRPr="00582FD2" w:rsidRDefault="004B76B3" w:rsidP="004B76B3">
      <w:pPr>
        <w:autoSpaceDE w:val="0"/>
        <w:autoSpaceDN w:val="0"/>
        <w:adjustRightInd w:val="0"/>
        <w:jc w:val="both"/>
        <w:rPr>
          <w:rFonts w:ascii="Abadi" w:hAnsi="Abadi" w:cs="Amasis MT Pro Light"/>
          <w:sz w:val="21"/>
          <w:szCs w:val="21"/>
        </w:rPr>
      </w:pPr>
      <w:r w:rsidRPr="00984204">
        <w:rPr>
          <w:rFonts w:ascii="Abadi" w:hAnsi="Abadi" w:cs="Amasis MT Pro Light"/>
          <w:b/>
          <w:bCs/>
          <w:sz w:val="21"/>
          <w:szCs w:val="21"/>
        </w:rPr>
        <w:t>Artículo 76.</w:t>
      </w:r>
      <w:r w:rsidRPr="00582FD2">
        <w:rPr>
          <w:rFonts w:ascii="Abadi" w:hAnsi="Abadi" w:cs="Amasis MT Pro Light"/>
          <w:sz w:val="21"/>
          <w:szCs w:val="21"/>
        </w:rPr>
        <w:t xml:space="preserve"> Los ayuntamientos…</w:t>
      </w:r>
    </w:p>
    <w:p w14:paraId="3E4BD02C" w14:textId="77777777" w:rsidR="004B76B3" w:rsidRDefault="004B76B3" w:rsidP="004B76B3">
      <w:pPr>
        <w:jc w:val="both"/>
        <w:rPr>
          <w:rFonts w:ascii="Abadi" w:hAnsi="Abadi" w:cs="Amasis MT Pro Light"/>
          <w:sz w:val="21"/>
          <w:szCs w:val="21"/>
        </w:rPr>
      </w:pPr>
    </w:p>
    <w:p w14:paraId="7D7DF2E9" w14:textId="77777777" w:rsidR="004B76B3" w:rsidRDefault="004B76B3" w:rsidP="004B76B3">
      <w:pPr>
        <w:jc w:val="both"/>
        <w:rPr>
          <w:rFonts w:ascii="Abadi" w:hAnsi="Abadi" w:cs="Amasis MT Pro Light"/>
          <w:sz w:val="21"/>
          <w:szCs w:val="21"/>
        </w:rPr>
      </w:pPr>
      <w:r w:rsidRPr="00582FD2">
        <w:rPr>
          <w:rFonts w:ascii="Abadi" w:hAnsi="Abadi" w:cs="Amasis MT Pro Light"/>
          <w:sz w:val="21"/>
          <w:szCs w:val="21"/>
        </w:rPr>
        <w:t>I a IV…</w:t>
      </w:r>
    </w:p>
    <w:p w14:paraId="63DCC70F" w14:textId="77777777" w:rsidR="004B76B3" w:rsidRDefault="004B76B3" w:rsidP="004B76B3">
      <w:pPr>
        <w:jc w:val="both"/>
        <w:rPr>
          <w:rFonts w:ascii="Abadi" w:hAnsi="Abadi" w:cs="Amasis MT Pro Light"/>
          <w:sz w:val="21"/>
          <w:szCs w:val="21"/>
        </w:rPr>
      </w:pPr>
    </w:p>
    <w:p w14:paraId="27CD7260" w14:textId="77777777" w:rsidR="004B76B3" w:rsidRPr="000A241C" w:rsidRDefault="004B76B3" w:rsidP="004B76B3">
      <w:pPr>
        <w:autoSpaceDE w:val="0"/>
        <w:autoSpaceDN w:val="0"/>
        <w:adjustRightInd w:val="0"/>
        <w:jc w:val="both"/>
        <w:rPr>
          <w:rFonts w:ascii="Abadi" w:hAnsi="Abadi" w:cs="Amasis MT Pro Light"/>
          <w:sz w:val="21"/>
          <w:szCs w:val="21"/>
        </w:rPr>
      </w:pPr>
      <w:r w:rsidRPr="000A241C">
        <w:rPr>
          <w:rFonts w:ascii="Abadi" w:hAnsi="Abadi" w:cs="Amasis MT Pro Light"/>
          <w:sz w:val="21"/>
          <w:szCs w:val="21"/>
        </w:rPr>
        <w:t>V. En materia de participación social, desarrollo social, asistencial y</w:t>
      </w:r>
      <w:r>
        <w:rPr>
          <w:rFonts w:ascii="Abadi" w:hAnsi="Abadi" w:cs="Amasis MT Pro Light"/>
          <w:sz w:val="21"/>
          <w:szCs w:val="21"/>
        </w:rPr>
        <w:t xml:space="preserve"> </w:t>
      </w:r>
      <w:r w:rsidRPr="000A241C">
        <w:rPr>
          <w:rFonts w:ascii="Abadi" w:hAnsi="Abadi" w:cs="Amasis MT Pro Light"/>
          <w:sz w:val="21"/>
          <w:szCs w:val="21"/>
        </w:rPr>
        <w:t>económico…</w:t>
      </w:r>
    </w:p>
    <w:p w14:paraId="0FA9A43F" w14:textId="77777777" w:rsidR="004B76B3" w:rsidRDefault="004B76B3" w:rsidP="004B76B3">
      <w:pPr>
        <w:autoSpaceDE w:val="0"/>
        <w:autoSpaceDN w:val="0"/>
        <w:adjustRightInd w:val="0"/>
        <w:jc w:val="both"/>
        <w:rPr>
          <w:rFonts w:ascii="Abadi" w:hAnsi="Abadi" w:cs="Amasis MT Pro Light"/>
          <w:sz w:val="21"/>
          <w:szCs w:val="21"/>
        </w:rPr>
      </w:pPr>
    </w:p>
    <w:p w14:paraId="7A0EB06B" w14:textId="77777777" w:rsidR="004B76B3" w:rsidRDefault="004B76B3" w:rsidP="004B76B3">
      <w:pPr>
        <w:autoSpaceDE w:val="0"/>
        <w:autoSpaceDN w:val="0"/>
        <w:adjustRightInd w:val="0"/>
        <w:jc w:val="both"/>
        <w:rPr>
          <w:rFonts w:ascii="Abadi" w:hAnsi="Abadi" w:cs="Amasis MT Pro Light"/>
          <w:sz w:val="21"/>
          <w:szCs w:val="21"/>
        </w:rPr>
      </w:pPr>
      <w:r w:rsidRPr="000A241C">
        <w:rPr>
          <w:rFonts w:ascii="Abadi" w:hAnsi="Abadi" w:cs="Amasis MT Pro Light"/>
          <w:sz w:val="21"/>
          <w:szCs w:val="21"/>
        </w:rPr>
        <w:t>a) a l)…</w:t>
      </w:r>
    </w:p>
    <w:p w14:paraId="2092E72B" w14:textId="77777777" w:rsidR="004B76B3" w:rsidRPr="000A241C" w:rsidRDefault="004B76B3" w:rsidP="004B76B3">
      <w:pPr>
        <w:autoSpaceDE w:val="0"/>
        <w:autoSpaceDN w:val="0"/>
        <w:adjustRightInd w:val="0"/>
        <w:jc w:val="both"/>
        <w:rPr>
          <w:rFonts w:ascii="Abadi" w:hAnsi="Abadi" w:cs="Amasis MT Pro Light"/>
          <w:sz w:val="21"/>
          <w:szCs w:val="21"/>
        </w:rPr>
      </w:pPr>
    </w:p>
    <w:p w14:paraId="3EBB1E7C" w14:textId="77777777" w:rsidR="004B76B3" w:rsidRPr="000A241C" w:rsidRDefault="004B76B3" w:rsidP="004B76B3">
      <w:pPr>
        <w:autoSpaceDE w:val="0"/>
        <w:autoSpaceDN w:val="0"/>
        <w:adjustRightInd w:val="0"/>
        <w:jc w:val="both"/>
        <w:rPr>
          <w:rFonts w:ascii="Abadi" w:hAnsi="Abadi" w:cs="Amasis MT Pro Light"/>
          <w:sz w:val="21"/>
          <w:szCs w:val="21"/>
        </w:rPr>
      </w:pPr>
      <w:r w:rsidRPr="000A241C">
        <w:rPr>
          <w:rFonts w:ascii="Abadi" w:hAnsi="Abadi" w:cs="Amasis MT Pro Light"/>
          <w:sz w:val="21"/>
          <w:szCs w:val="21"/>
        </w:rPr>
        <w:t>m) Establecer el Sistema Municipal de Protección de los Derechos de Niñas,</w:t>
      </w:r>
      <w:r>
        <w:rPr>
          <w:rFonts w:ascii="Abadi" w:hAnsi="Abadi" w:cs="Amasis MT Pro Light"/>
          <w:sz w:val="21"/>
          <w:szCs w:val="21"/>
        </w:rPr>
        <w:t xml:space="preserve"> </w:t>
      </w:r>
      <w:r w:rsidRPr="000A241C">
        <w:rPr>
          <w:rFonts w:ascii="Abadi" w:hAnsi="Abadi" w:cs="Amasis MT Pro Light"/>
          <w:sz w:val="21"/>
          <w:szCs w:val="21"/>
        </w:rPr>
        <w:t>Niños y Adolescentes, en los términos de lo dispuesto por la Ley General y</w:t>
      </w:r>
      <w:r>
        <w:rPr>
          <w:rFonts w:ascii="Abadi" w:hAnsi="Abadi" w:cs="Amasis MT Pro Light"/>
          <w:sz w:val="21"/>
          <w:szCs w:val="21"/>
        </w:rPr>
        <w:t xml:space="preserve"> </w:t>
      </w:r>
      <w:r w:rsidRPr="000A241C">
        <w:rPr>
          <w:rFonts w:ascii="Abadi" w:hAnsi="Abadi" w:cs="Amasis MT Pro Light"/>
          <w:sz w:val="21"/>
          <w:szCs w:val="21"/>
        </w:rPr>
        <w:t>Local de la materia;</w:t>
      </w:r>
    </w:p>
    <w:p w14:paraId="2B8D47ED" w14:textId="77777777" w:rsidR="004B76B3" w:rsidRDefault="004B76B3" w:rsidP="004B76B3">
      <w:pPr>
        <w:autoSpaceDE w:val="0"/>
        <w:autoSpaceDN w:val="0"/>
        <w:adjustRightInd w:val="0"/>
        <w:jc w:val="both"/>
        <w:rPr>
          <w:rFonts w:ascii="Abadi" w:hAnsi="Abadi" w:cs="Amasis MT Pro Light"/>
          <w:sz w:val="21"/>
          <w:szCs w:val="21"/>
        </w:rPr>
      </w:pPr>
      <w:r w:rsidRPr="000A241C">
        <w:rPr>
          <w:rFonts w:ascii="Abadi" w:hAnsi="Abadi" w:cs="Amasis MT Pro Light"/>
          <w:sz w:val="21"/>
          <w:szCs w:val="21"/>
        </w:rPr>
        <w:t>n) Elaborar y aprobar su programa municipal de protección de niñas, niños y</w:t>
      </w:r>
      <w:r>
        <w:rPr>
          <w:rFonts w:ascii="Abadi" w:hAnsi="Abadi" w:cs="Amasis MT Pro Light"/>
          <w:sz w:val="21"/>
          <w:szCs w:val="21"/>
        </w:rPr>
        <w:t xml:space="preserve"> </w:t>
      </w:r>
      <w:r w:rsidRPr="000A241C">
        <w:rPr>
          <w:rFonts w:ascii="Abadi" w:hAnsi="Abadi" w:cs="Amasis MT Pro Light"/>
          <w:sz w:val="21"/>
          <w:szCs w:val="21"/>
        </w:rPr>
        <w:t>adolescentes y participar en el diseño del Programa Local; y</w:t>
      </w:r>
    </w:p>
    <w:p w14:paraId="660D1082" w14:textId="77777777" w:rsidR="004B76B3" w:rsidRPr="000A241C" w:rsidRDefault="004B76B3" w:rsidP="004B76B3">
      <w:pPr>
        <w:autoSpaceDE w:val="0"/>
        <w:autoSpaceDN w:val="0"/>
        <w:adjustRightInd w:val="0"/>
        <w:jc w:val="both"/>
        <w:rPr>
          <w:rFonts w:ascii="Abadi" w:hAnsi="Abadi" w:cs="Amasis MT Pro Light"/>
          <w:sz w:val="21"/>
          <w:szCs w:val="21"/>
        </w:rPr>
      </w:pPr>
    </w:p>
    <w:p w14:paraId="1E3F3B06" w14:textId="77777777" w:rsidR="004B76B3" w:rsidRPr="000A241C" w:rsidRDefault="004B76B3" w:rsidP="004B76B3">
      <w:pPr>
        <w:autoSpaceDE w:val="0"/>
        <w:autoSpaceDN w:val="0"/>
        <w:adjustRightInd w:val="0"/>
        <w:jc w:val="both"/>
        <w:rPr>
          <w:rFonts w:ascii="Abadi" w:hAnsi="Abadi" w:cs="Amasis MT Pro Light"/>
          <w:sz w:val="21"/>
          <w:szCs w:val="21"/>
        </w:rPr>
      </w:pPr>
      <w:r w:rsidRPr="000A241C">
        <w:rPr>
          <w:rFonts w:ascii="Abadi" w:hAnsi="Abadi" w:cs="Amasis MT Pro Light"/>
          <w:sz w:val="21"/>
          <w:szCs w:val="21"/>
        </w:rPr>
        <w:t>ñ) Contribuir con las autoridades estatales para garantizar el derecho</w:t>
      </w:r>
      <w:r>
        <w:rPr>
          <w:rFonts w:ascii="Abadi" w:hAnsi="Abadi" w:cs="Amasis MT Pro Light"/>
          <w:sz w:val="21"/>
          <w:szCs w:val="21"/>
        </w:rPr>
        <w:t xml:space="preserve"> </w:t>
      </w:r>
      <w:r w:rsidRPr="000A241C">
        <w:rPr>
          <w:rFonts w:ascii="Abadi" w:hAnsi="Abadi" w:cs="Amasis MT Pro Light"/>
          <w:sz w:val="21"/>
          <w:szCs w:val="21"/>
        </w:rPr>
        <w:t>constitucional de las personas con discapacidad permanente a un apoyo</w:t>
      </w:r>
      <w:r>
        <w:rPr>
          <w:rFonts w:ascii="Abadi" w:hAnsi="Abadi" w:cs="Amasis MT Pro Light"/>
          <w:sz w:val="21"/>
          <w:szCs w:val="21"/>
        </w:rPr>
        <w:t xml:space="preserve"> </w:t>
      </w:r>
      <w:r w:rsidRPr="000A241C">
        <w:rPr>
          <w:rFonts w:ascii="Abadi" w:hAnsi="Abadi" w:cs="Amasis MT Pro Light"/>
          <w:sz w:val="21"/>
          <w:szCs w:val="21"/>
        </w:rPr>
        <w:t>económico.</w:t>
      </w:r>
    </w:p>
    <w:p w14:paraId="7AC808F4" w14:textId="77777777" w:rsidR="004B76B3" w:rsidRDefault="004B76B3" w:rsidP="004B76B3">
      <w:pPr>
        <w:autoSpaceDE w:val="0"/>
        <w:autoSpaceDN w:val="0"/>
        <w:adjustRightInd w:val="0"/>
        <w:jc w:val="both"/>
        <w:rPr>
          <w:rFonts w:ascii="Abadi" w:hAnsi="Abadi" w:cs="Amasis MT Pro Light"/>
          <w:sz w:val="21"/>
          <w:szCs w:val="21"/>
        </w:rPr>
      </w:pPr>
    </w:p>
    <w:p w14:paraId="670C662F" w14:textId="77777777" w:rsidR="004B76B3" w:rsidRPr="000A241C" w:rsidRDefault="004B76B3" w:rsidP="004B76B3">
      <w:pPr>
        <w:autoSpaceDE w:val="0"/>
        <w:autoSpaceDN w:val="0"/>
        <w:adjustRightInd w:val="0"/>
        <w:jc w:val="center"/>
        <w:rPr>
          <w:rFonts w:ascii="Abadi" w:hAnsi="Abadi" w:cs="Amasis MT Pro Light"/>
          <w:b/>
          <w:bCs/>
          <w:sz w:val="21"/>
          <w:szCs w:val="21"/>
        </w:rPr>
      </w:pPr>
      <w:r w:rsidRPr="000A241C">
        <w:rPr>
          <w:rFonts w:ascii="Abadi" w:hAnsi="Abadi" w:cs="Amasis MT Pro Light"/>
          <w:b/>
          <w:bCs/>
          <w:sz w:val="21"/>
          <w:szCs w:val="21"/>
        </w:rPr>
        <w:t>T R A N S I T O R I O S</w:t>
      </w:r>
    </w:p>
    <w:p w14:paraId="61B9087E" w14:textId="77777777" w:rsidR="004B76B3" w:rsidRPr="000A241C" w:rsidRDefault="004B76B3" w:rsidP="004B76B3">
      <w:pPr>
        <w:autoSpaceDE w:val="0"/>
        <w:autoSpaceDN w:val="0"/>
        <w:adjustRightInd w:val="0"/>
        <w:jc w:val="both"/>
        <w:rPr>
          <w:rFonts w:ascii="Abadi" w:hAnsi="Abadi" w:cs="Amasis MT Pro Light"/>
          <w:sz w:val="21"/>
          <w:szCs w:val="21"/>
        </w:rPr>
      </w:pPr>
    </w:p>
    <w:p w14:paraId="1287A770" w14:textId="77777777" w:rsidR="004B76B3" w:rsidRDefault="004B76B3" w:rsidP="004B76B3">
      <w:pPr>
        <w:autoSpaceDE w:val="0"/>
        <w:autoSpaceDN w:val="0"/>
        <w:adjustRightInd w:val="0"/>
        <w:jc w:val="both"/>
        <w:rPr>
          <w:rFonts w:ascii="Abadi" w:hAnsi="Abadi" w:cs="Amasis MT Pro Light"/>
          <w:sz w:val="21"/>
          <w:szCs w:val="21"/>
        </w:rPr>
      </w:pPr>
      <w:r w:rsidRPr="000A241C">
        <w:rPr>
          <w:rFonts w:ascii="Abadi" w:hAnsi="Abadi" w:cs="Amasis MT Pro Light"/>
          <w:b/>
          <w:bCs/>
          <w:sz w:val="21"/>
          <w:szCs w:val="21"/>
        </w:rPr>
        <w:t>PRIMERO.</w:t>
      </w:r>
      <w:r w:rsidRPr="000A241C">
        <w:rPr>
          <w:rFonts w:ascii="Abadi" w:hAnsi="Abadi" w:cs="Amasis MT Pro Light"/>
          <w:sz w:val="21"/>
          <w:szCs w:val="21"/>
        </w:rPr>
        <w:t xml:space="preserve"> El presente decreto entrará en vigor al día siguiente de su publicación en</w:t>
      </w:r>
      <w:r>
        <w:rPr>
          <w:rFonts w:ascii="Abadi" w:hAnsi="Abadi" w:cs="Amasis MT Pro Light"/>
          <w:sz w:val="21"/>
          <w:szCs w:val="21"/>
        </w:rPr>
        <w:t xml:space="preserve"> </w:t>
      </w:r>
      <w:r w:rsidRPr="000A241C">
        <w:rPr>
          <w:rFonts w:ascii="Abadi" w:hAnsi="Abadi" w:cs="Amasis MT Pro Light"/>
          <w:sz w:val="21"/>
          <w:szCs w:val="21"/>
        </w:rPr>
        <w:t>el Periódico Oficial del Estado.</w:t>
      </w:r>
    </w:p>
    <w:p w14:paraId="792F291C" w14:textId="77777777" w:rsidR="004B76B3" w:rsidRPr="000A241C" w:rsidRDefault="004B76B3" w:rsidP="004B76B3">
      <w:pPr>
        <w:autoSpaceDE w:val="0"/>
        <w:autoSpaceDN w:val="0"/>
        <w:adjustRightInd w:val="0"/>
        <w:jc w:val="both"/>
        <w:rPr>
          <w:rFonts w:ascii="Abadi" w:hAnsi="Abadi" w:cs="Amasis MT Pro Light"/>
          <w:sz w:val="21"/>
          <w:szCs w:val="21"/>
        </w:rPr>
      </w:pPr>
    </w:p>
    <w:p w14:paraId="21490492" w14:textId="77777777" w:rsidR="004B76B3" w:rsidRDefault="004B76B3" w:rsidP="004B76B3">
      <w:pPr>
        <w:autoSpaceDE w:val="0"/>
        <w:autoSpaceDN w:val="0"/>
        <w:adjustRightInd w:val="0"/>
        <w:jc w:val="both"/>
        <w:rPr>
          <w:rFonts w:ascii="Abadi" w:hAnsi="Abadi" w:cs="Amasis MT Pro Light"/>
          <w:sz w:val="21"/>
          <w:szCs w:val="21"/>
        </w:rPr>
      </w:pPr>
      <w:r w:rsidRPr="000A241C">
        <w:rPr>
          <w:rFonts w:ascii="Abadi" w:hAnsi="Abadi" w:cs="Amasis MT Pro Light"/>
          <w:b/>
          <w:bCs/>
          <w:sz w:val="21"/>
          <w:szCs w:val="21"/>
        </w:rPr>
        <w:t>SEGUNDO.</w:t>
      </w:r>
      <w:r w:rsidRPr="000A241C">
        <w:rPr>
          <w:rFonts w:ascii="Abadi" w:hAnsi="Abadi" w:cs="Amasis MT Pro Light"/>
          <w:sz w:val="21"/>
          <w:szCs w:val="21"/>
        </w:rPr>
        <w:t xml:space="preserve"> Con el objeto de dar cumplimiento a las disposiciones establecidas en</w:t>
      </w:r>
      <w:r>
        <w:rPr>
          <w:rFonts w:ascii="Abadi" w:hAnsi="Abadi" w:cs="Amasis MT Pro Light"/>
          <w:sz w:val="21"/>
          <w:szCs w:val="21"/>
        </w:rPr>
        <w:t xml:space="preserve"> </w:t>
      </w:r>
      <w:r w:rsidRPr="000A241C">
        <w:rPr>
          <w:rFonts w:ascii="Abadi" w:hAnsi="Abadi" w:cs="Amasis MT Pro Light"/>
          <w:sz w:val="21"/>
          <w:szCs w:val="21"/>
        </w:rPr>
        <w:t>el presente Decreto, se estará a lo siguiente:</w:t>
      </w:r>
    </w:p>
    <w:p w14:paraId="09411003" w14:textId="77777777" w:rsidR="004B76B3" w:rsidRPr="000A241C" w:rsidRDefault="004B76B3" w:rsidP="004B76B3">
      <w:pPr>
        <w:autoSpaceDE w:val="0"/>
        <w:autoSpaceDN w:val="0"/>
        <w:adjustRightInd w:val="0"/>
        <w:jc w:val="both"/>
        <w:rPr>
          <w:rFonts w:ascii="Abadi" w:hAnsi="Abadi" w:cs="Amasis MT Pro Light"/>
          <w:sz w:val="21"/>
          <w:szCs w:val="21"/>
        </w:rPr>
      </w:pPr>
    </w:p>
    <w:p w14:paraId="200FF4B2" w14:textId="77777777" w:rsidR="004B76B3" w:rsidRDefault="004B76B3" w:rsidP="004B76B3">
      <w:pPr>
        <w:autoSpaceDE w:val="0"/>
        <w:autoSpaceDN w:val="0"/>
        <w:adjustRightInd w:val="0"/>
        <w:ind w:left="709"/>
        <w:jc w:val="both"/>
        <w:rPr>
          <w:rFonts w:ascii="Abadi" w:hAnsi="Abadi" w:cs="Amasis MT Pro Light"/>
          <w:sz w:val="21"/>
          <w:szCs w:val="21"/>
        </w:rPr>
      </w:pPr>
      <w:r w:rsidRPr="000A241C">
        <w:rPr>
          <w:rFonts w:ascii="Abadi" w:hAnsi="Abadi" w:cs="Amasis MT Pro Light"/>
          <w:sz w:val="21"/>
          <w:szCs w:val="21"/>
        </w:rPr>
        <w:t>I. Los recursos para dar cumplimiento progresivo al derecho reconocido</w:t>
      </w:r>
      <w:r>
        <w:rPr>
          <w:rFonts w:ascii="Abadi" w:hAnsi="Abadi" w:cs="Amasis MT Pro Light"/>
          <w:sz w:val="21"/>
          <w:szCs w:val="21"/>
        </w:rPr>
        <w:t xml:space="preserve"> </w:t>
      </w:r>
      <w:r w:rsidRPr="000A241C">
        <w:rPr>
          <w:rFonts w:ascii="Abadi" w:hAnsi="Abadi" w:cs="Amasis MT Pro Light"/>
          <w:sz w:val="21"/>
          <w:szCs w:val="21"/>
        </w:rPr>
        <w:t>mediante el presente Decreto, deberán contemplarse en la Ley del</w:t>
      </w:r>
      <w:r>
        <w:rPr>
          <w:rFonts w:ascii="Abadi" w:hAnsi="Abadi" w:cs="Amasis MT Pro Light"/>
          <w:sz w:val="21"/>
          <w:szCs w:val="21"/>
        </w:rPr>
        <w:t xml:space="preserve"> </w:t>
      </w:r>
      <w:r w:rsidRPr="000A241C">
        <w:rPr>
          <w:rFonts w:ascii="Abadi" w:hAnsi="Abadi" w:cs="Amasis MT Pro Light"/>
          <w:sz w:val="21"/>
          <w:szCs w:val="21"/>
        </w:rPr>
        <w:t>Presupuesto General de Egresos del Estado de Guanajuato para el ejercicio</w:t>
      </w:r>
      <w:r>
        <w:rPr>
          <w:rFonts w:ascii="Abadi" w:hAnsi="Abadi" w:cs="Amasis MT Pro Light"/>
          <w:sz w:val="21"/>
          <w:szCs w:val="21"/>
        </w:rPr>
        <w:t xml:space="preserve"> </w:t>
      </w:r>
      <w:r w:rsidRPr="000A241C">
        <w:rPr>
          <w:rFonts w:ascii="Abadi" w:hAnsi="Abadi" w:cs="Amasis MT Pro Light"/>
          <w:sz w:val="21"/>
          <w:szCs w:val="21"/>
        </w:rPr>
        <w:t>fiscal de 2023 y subsecuentes;</w:t>
      </w:r>
    </w:p>
    <w:p w14:paraId="1F2B0D95" w14:textId="77777777" w:rsidR="004B76B3" w:rsidRPr="000A241C" w:rsidRDefault="004B76B3" w:rsidP="004B76B3">
      <w:pPr>
        <w:autoSpaceDE w:val="0"/>
        <w:autoSpaceDN w:val="0"/>
        <w:adjustRightInd w:val="0"/>
        <w:ind w:left="709"/>
        <w:jc w:val="both"/>
        <w:rPr>
          <w:rFonts w:ascii="Abadi" w:hAnsi="Abadi" w:cs="Amasis MT Pro Light"/>
          <w:sz w:val="21"/>
          <w:szCs w:val="21"/>
        </w:rPr>
      </w:pPr>
    </w:p>
    <w:p w14:paraId="51B4DA74" w14:textId="77777777" w:rsidR="004B76B3" w:rsidRDefault="004B76B3" w:rsidP="004B76B3">
      <w:pPr>
        <w:autoSpaceDE w:val="0"/>
        <w:autoSpaceDN w:val="0"/>
        <w:adjustRightInd w:val="0"/>
        <w:ind w:left="709"/>
        <w:jc w:val="both"/>
        <w:rPr>
          <w:rFonts w:ascii="Abadi" w:hAnsi="Abadi" w:cs="Amasis MT Pro Light"/>
          <w:sz w:val="21"/>
          <w:szCs w:val="21"/>
        </w:rPr>
      </w:pPr>
      <w:r w:rsidRPr="000A241C">
        <w:rPr>
          <w:rFonts w:ascii="Abadi" w:hAnsi="Abadi" w:cs="Amasis MT Pro Light"/>
          <w:sz w:val="21"/>
          <w:szCs w:val="21"/>
        </w:rPr>
        <w:t>II. La cobertura del apoyo económico reconocido mediante el presente</w:t>
      </w:r>
      <w:r>
        <w:rPr>
          <w:rFonts w:ascii="Abadi" w:hAnsi="Abadi" w:cs="Amasis MT Pro Light"/>
          <w:sz w:val="21"/>
          <w:szCs w:val="21"/>
        </w:rPr>
        <w:t xml:space="preserve"> </w:t>
      </w:r>
      <w:r w:rsidRPr="000A241C">
        <w:rPr>
          <w:rFonts w:ascii="Abadi" w:hAnsi="Abadi" w:cs="Amasis MT Pro Light"/>
          <w:sz w:val="21"/>
          <w:szCs w:val="21"/>
        </w:rPr>
        <w:t>decreto se implementará comenzando con las personas menores de</w:t>
      </w:r>
      <w:r>
        <w:rPr>
          <w:rFonts w:ascii="Abadi" w:hAnsi="Abadi" w:cs="Amasis MT Pro Light"/>
          <w:sz w:val="21"/>
          <w:szCs w:val="21"/>
        </w:rPr>
        <w:t xml:space="preserve"> </w:t>
      </w:r>
      <w:r w:rsidRPr="000A241C">
        <w:rPr>
          <w:rFonts w:ascii="Abadi" w:hAnsi="Abadi" w:cs="Amasis MT Pro Light"/>
          <w:sz w:val="21"/>
          <w:szCs w:val="21"/>
        </w:rPr>
        <w:t xml:space="preserve">dieciocho años, las personas indígenas, las personas </w:t>
      </w:r>
      <w:r w:rsidRPr="000A241C">
        <w:rPr>
          <w:rFonts w:ascii="Abadi" w:hAnsi="Abadi" w:cs="Amasis MT Pro Light"/>
          <w:sz w:val="21"/>
          <w:szCs w:val="21"/>
        </w:rPr>
        <w:t>afromexicanas, y las</w:t>
      </w:r>
      <w:r>
        <w:rPr>
          <w:rFonts w:ascii="Abadi" w:hAnsi="Abadi" w:cs="Amasis MT Pro Light"/>
          <w:sz w:val="21"/>
          <w:szCs w:val="21"/>
        </w:rPr>
        <w:t xml:space="preserve"> </w:t>
      </w:r>
      <w:r w:rsidRPr="000A241C">
        <w:rPr>
          <w:rFonts w:ascii="Abadi" w:hAnsi="Abadi" w:cs="Amasis MT Pro Light"/>
          <w:sz w:val="21"/>
          <w:szCs w:val="21"/>
        </w:rPr>
        <w:t>personas en situación de pobreza del estado de Guanajuato; y</w:t>
      </w:r>
    </w:p>
    <w:p w14:paraId="222D7F5D" w14:textId="77777777" w:rsidR="004B76B3" w:rsidRPr="000A241C" w:rsidRDefault="004B76B3" w:rsidP="004B76B3">
      <w:pPr>
        <w:autoSpaceDE w:val="0"/>
        <w:autoSpaceDN w:val="0"/>
        <w:adjustRightInd w:val="0"/>
        <w:ind w:left="709"/>
        <w:jc w:val="both"/>
        <w:rPr>
          <w:rFonts w:ascii="Abadi" w:hAnsi="Abadi" w:cs="Amasis MT Pro Light"/>
          <w:sz w:val="21"/>
          <w:szCs w:val="21"/>
        </w:rPr>
      </w:pPr>
    </w:p>
    <w:p w14:paraId="467BE9DA" w14:textId="77777777" w:rsidR="004B76B3" w:rsidRDefault="004B76B3" w:rsidP="004B76B3">
      <w:pPr>
        <w:autoSpaceDE w:val="0"/>
        <w:autoSpaceDN w:val="0"/>
        <w:adjustRightInd w:val="0"/>
        <w:ind w:left="709"/>
        <w:jc w:val="both"/>
        <w:rPr>
          <w:rFonts w:ascii="Abadi" w:hAnsi="Abadi" w:cs="Amasis MT Pro Light"/>
          <w:sz w:val="21"/>
          <w:szCs w:val="21"/>
        </w:rPr>
      </w:pPr>
      <w:r w:rsidRPr="000A241C">
        <w:rPr>
          <w:rFonts w:ascii="Abadi" w:hAnsi="Abadi" w:cs="Amasis MT Pro Light"/>
          <w:sz w:val="21"/>
          <w:szCs w:val="21"/>
        </w:rPr>
        <w:t>III. El Poder Ejecutivo del Estado contará con 90 días hábiles para desarrollar</w:t>
      </w:r>
      <w:r>
        <w:rPr>
          <w:rFonts w:ascii="Abadi" w:hAnsi="Abadi" w:cs="Amasis MT Pro Light"/>
          <w:sz w:val="21"/>
          <w:szCs w:val="21"/>
        </w:rPr>
        <w:t xml:space="preserve"> </w:t>
      </w:r>
      <w:r w:rsidRPr="000A241C">
        <w:rPr>
          <w:rFonts w:ascii="Abadi" w:hAnsi="Abadi" w:cs="Amasis MT Pro Light"/>
          <w:sz w:val="21"/>
          <w:szCs w:val="21"/>
        </w:rPr>
        <w:t>mecanismos de colaboración que permitan la concurrencia estatal y</w:t>
      </w:r>
      <w:r>
        <w:rPr>
          <w:rFonts w:ascii="Abadi" w:hAnsi="Abadi" w:cs="Amasis MT Pro Light"/>
          <w:sz w:val="21"/>
          <w:szCs w:val="21"/>
        </w:rPr>
        <w:t xml:space="preserve"> </w:t>
      </w:r>
      <w:r w:rsidRPr="000A241C">
        <w:rPr>
          <w:rFonts w:ascii="Abadi" w:hAnsi="Abadi" w:cs="Amasis MT Pro Light"/>
          <w:sz w:val="21"/>
          <w:szCs w:val="21"/>
        </w:rPr>
        <w:t>municipal en el financiamiento del apoyo económico al que tienen derecho</w:t>
      </w:r>
      <w:r>
        <w:rPr>
          <w:rFonts w:ascii="Abadi" w:hAnsi="Abadi" w:cs="Amasis MT Pro Light"/>
          <w:sz w:val="21"/>
          <w:szCs w:val="21"/>
        </w:rPr>
        <w:t xml:space="preserve"> </w:t>
      </w:r>
      <w:r w:rsidRPr="000A241C">
        <w:rPr>
          <w:rFonts w:ascii="Abadi" w:hAnsi="Abadi" w:cs="Amasis MT Pro Light"/>
          <w:sz w:val="21"/>
          <w:szCs w:val="21"/>
        </w:rPr>
        <w:t>las personas con discapacidad.</w:t>
      </w:r>
    </w:p>
    <w:p w14:paraId="1AC72C96" w14:textId="77777777" w:rsidR="004B76B3" w:rsidRPr="000A241C" w:rsidRDefault="004B76B3" w:rsidP="004B76B3">
      <w:pPr>
        <w:autoSpaceDE w:val="0"/>
        <w:autoSpaceDN w:val="0"/>
        <w:adjustRightInd w:val="0"/>
        <w:ind w:left="709"/>
        <w:jc w:val="both"/>
        <w:rPr>
          <w:rFonts w:ascii="Abadi" w:hAnsi="Abadi" w:cs="Amasis MT Pro Light"/>
          <w:sz w:val="21"/>
          <w:szCs w:val="21"/>
        </w:rPr>
      </w:pPr>
    </w:p>
    <w:p w14:paraId="6606288B" w14:textId="77777777" w:rsidR="004B76B3" w:rsidRDefault="004B76B3" w:rsidP="004B76B3">
      <w:pPr>
        <w:autoSpaceDE w:val="0"/>
        <w:autoSpaceDN w:val="0"/>
        <w:adjustRightInd w:val="0"/>
        <w:ind w:left="709"/>
        <w:jc w:val="both"/>
        <w:rPr>
          <w:rFonts w:ascii="Abadi" w:hAnsi="Abadi" w:cs="Amasis MT Pro Light"/>
          <w:sz w:val="21"/>
          <w:szCs w:val="21"/>
        </w:rPr>
      </w:pPr>
      <w:r w:rsidRPr="000A241C">
        <w:rPr>
          <w:rFonts w:ascii="Abadi" w:hAnsi="Abadi" w:cs="Amasis MT Pro Light"/>
          <w:sz w:val="21"/>
          <w:szCs w:val="21"/>
        </w:rPr>
        <w:t>IV. En ningún caso el presupuesto asignado podrá ser menor, en términos</w:t>
      </w:r>
      <w:r>
        <w:rPr>
          <w:rFonts w:ascii="Abadi" w:hAnsi="Abadi" w:cs="Amasis MT Pro Light"/>
          <w:sz w:val="21"/>
          <w:szCs w:val="21"/>
        </w:rPr>
        <w:t xml:space="preserve"> </w:t>
      </w:r>
      <w:r w:rsidRPr="000A241C">
        <w:rPr>
          <w:rFonts w:ascii="Abadi" w:hAnsi="Abadi" w:cs="Amasis MT Pro Light"/>
          <w:sz w:val="21"/>
          <w:szCs w:val="21"/>
        </w:rPr>
        <w:t>reales, al del ejercicio fiscal anterior.</w:t>
      </w:r>
    </w:p>
    <w:p w14:paraId="154E433A" w14:textId="77777777" w:rsidR="004B76B3" w:rsidRDefault="004B76B3" w:rsidP="004B76B3">
      <w:pPr>
        <w:autoSpaceDE w:val="0"/>
        <w:autoSpaceDN w:val="0"/>
        <w:adjustRightInd w:val="0"/>
        <w:jc w:val="both"/>
        <w:rPr>
          <w:rFonts w:ascii="Abadi" w:hAnsi="Abadi" w:cs="Amasis MT Pro Light"/>
          <w:sz w:val="21"/>
          <w:szCs w:val="21"/>
        </w:rPr>
      </w:pPr>
    </w:p>
    <w:p w14:paraId="7675BCAB" w14:textId="77777777" w:rsidR="004B76B3" w:rsidRPr="000A241C" w:rsidRDefault="004B76B3" w:rsidP="004B76B3">
      <w:pPr>
        <w:autoSpaceDE w:val="0"/>
        <w:autoSpaceDN w:val="0"/>
        <w:adjustRightInd w:val="0"/>
        <w:jc w:val="both"/>
        <w:rPr>
          <w:rFonts w:ascii="Abadi" w:hAnsi="Abadi" w:cs="Amasis MT Pro Light"/>
          <w:sz w:val="21"/>
          <w:szCs w:val="21"/>
        </w:rPr>
      </w:pPr>
    </w:p>
    <w:p w14:paraId="1DD3D998" w14:textId="77777777" w:rsidR="004B76B3" w:rsidRPr="000A241C" w:rsidRDefault="004B76B3" w:rsidP="004B76B3">
      <w:pPr>
        <w:autoSpaceDE w:val="0"/>
        <w:autoSpaceDN w:val="0"/>
        <w:adjustRightInd w:val="0"/>
        <w:jc w:val="center"/>
        <w:rPr>
          <w:rFonts w:ascii="Abadi" w:hAnsi="Abadi" w:cs="Amasis MT Pro Light"/>
          <w:sz w:val="21"/>
          <w:szCs w:val="21"/>
        </w:rPr>
      </w:pPr>
      <w:r w:rsidRPr="000A241C">
        <w:rPr>
          <w:rFonts w:ascii="Abadi" w:hAnsi="Abadi" w:cs="Amasis MT Pro Light"/>
          <w:sz w:val="21"/>
          <w:szCs w:val="21"/>
        </w:rPr>
        <w:t>Guanajuato, Guanajuato, 20 de junio de 2022.</w:t>
      </w:r>
    </w:p>
    <w:p w14:paraId="634F5E3B" w14:textId="77777777" w:rsidR="004B76B3" w:rsidRDefault="004B76B3" w:rsidP="004B76B3">
      <w:pPr>
        <w:jc w:val="center"/>
        <w:rPr>
          <w:rFonts w:ascii="Abadi" w:hAnsi="Abadi" w:cs="Amasis MT Pro Light"/>
          <w:sz w:val="21"/>
          <w:szCs w:val="21"/>
        </w:rPr>
      </w:pPr>
    </w:p>
    <w:p w14:paraId="5E1AC86B" w14:textId="77777777" w:rsidR="004B76B3" w:rsidRPr="000A241C" w:rsidRDefault="004B76B3" w:rsidP="004B76B3">
      <w:pPr>
        <w:jc w:val="center"/>
        <w:rPr>
          <w:rFonts w:ascii="Abadi" w:hAnsi="Abadi" w:cs="Amasis MT Pro Light"/>
          <w:sz w:val="21"/>
          <w:szCs w:val="21"/>
        </w:rPr>
      </w:pPr>
      <w:r w:rsidRPr="000A241C">
        <w:rPr>
          <w:rFonts w:ascii="Abadi" w:hAnsi="Abadi" w:cs="Amasis MT Pro Light"/>
          <w:sz w:val="21"/>
          <w:szCs w:val="21"/>
        </w:rPr>
        <w:t>Grupo Parlamentario de Morena</w:t>
      </w:r>
    </w:p>
    <w:p w14:paraId="4487A17D" w14:textId="77777777" w:rsidR="004B76B3" w:rsidRPr="000A241C" w:rsidRDefault="004B76B3" w:rsidP="004B76B3">
      <w:pPr>
        <w:jc w:val="both"/>
        <w:rPr>
          <w:rFonts w:ascii="Abadi" w:hAnsi="Abadi" w:cs="Amasis MT Pro Light"/>
          <w:sz w:val="21"/>
          <w:szCs w:val="21"/>
        </w:rPr>
      </w:pPr>
    </w:p>
    <w:p w14:paraId="12231E5B" w14:textId="1479A4FE" w:rsidR="009E2530" w:rsidRDefault="009E2530" w:rsidP="009E2530">
      <w:pPr>
        <w:kinsoku w:val="0"/>
        <w:overflowPunct w:val="0"/>
        <w:autoSpaceDE w:val="0"/>
        <w:autoSpaceDN w:val="0"/>
        <w:adjustRightInd w:val="0"/>
        <w:spacing w:before="11"/>
        <w:ind w:right="17"/>
        <w:jc w:val="both"/>
        <w:rPr>
          <w:rFonts w:ascii="Abadi" w:hAnsi="Abadi" w:cs="Arial"/>
          <w:b/>
          <w:bCs/>
          <w:sz w:val="20"/>
          <w:szCs w:val="20"/>
        </w:rPr>
      </w:pPr>
    </w:p>
    <w:p w14:paraId="19BB5727" w14:textId="430B3375" w:rsidR="00E1778C" w:rsidRDefault="00E1778C" w:rsidP="009E2530">
      <w:pPr>
        <w:kinsoku w:val="0"/>
        <w:overflowPunct w:val="0"/>
        <w:autoSpaceDE w:val="0"/>
        <w:autoSpaceDN w:val="0"/>
        <w:adjustRightInd w:val="0"/>
        <w:spacing w:before="11"/>
        <w:ind w:right="17"/>
        <w:jc w:val="both"/>
        <w:rPr>
          <w:rFonts w:ascii="Abadi" w:hAnsi="Abadi" w:cs="Arial"/>
          <w:b/>
          <w:bCs/>
          <w:sz w:val="20"/>
          <w:szCs w:val="20"/>
        </w:rPr>
      </w:pPr>
    </w:p>
    <w:p w14:paraId="1FC1E380" w14:textId="77777777" w:rsidR="00E1778C" w:rsidRPr="00637DC0" w:rsidRDefault="00E1778C" w:rsidP="009E2530">
      <w:pPr>
        <w:kinsoku w:val="0"/>
        <w:overflowPunct w:val="0"/>
        <w:autoSpaceDE w:val="0"/>
        <w:autoSpaceDN w:val="0"/>
        <w:adjustRightInd w:val="0"/>
        <w:spacing w:before="11"/>
        <w:ind w:right="17"/>
        <w:jc w:val="both"/>
        <w:rPr>
          <w:rFonts w:ascii="Abadi" w:hAnsi="Abadi" w:cs="Arial"/>
          <w:b/>
          <w:bCs/>
          <w:sz w:val="20"/>
          <w:szCs w:val="20"/>
        </w:rPr>
      </w:pPr>
    </w:p>
    <w:p w14:paraId="1A94F74E" w14:textId="725A2D38" w:rsidR="00D7599F" w:rsidRDefault="00D7599F" w:rsidP="005433FA">
      <w:pPr>
        <w:pStyle w:val="Prrafodelista"/>
        <w:numPr>
          <w:ilvl w:val="0"/>
          <w:numId w:val="9"/>
        </w:numPr>
        <w:tabs>
          <w:tab w:val="left" w:pos="845"/>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PRESENTACIÓN</w:t>
      </w:r>
      <w:r w:rsidRPr="00531B12">
        <w:rPr>
          <w:rFonts w:ascii="Abadi" w:hAnsi="Abadi"/>
          <w:b/>
          <w:bCs/>
          <w:spacing w:val="35"/>
          <w:sz w:val="20"/>
          <w:szCs w:val="20"/>
        </w:rPr>
        <w:t xml:space="preserve"> </w:t>
      </w:r>
      <w:r w:rsidRPr="00531B12">
        <w:rPr>
          <w:rFonts w:ascii="Abadi" w:hAnsi="Abadi"/>
          <w:b/>
          <w:bCs/>
          <w:sz w:val="20"/>
          <w:szCs w:val="20"/>
        </w:rPr>
        <w:t>DE</w:t>
      </w:r>
      <w:r w:rsidRPr="00531B12">
        <w:rPr>
          <w:rFonts w:ascii="Abadi" w:hAnsi="Abadi"/>
          <w:b/>
          <w:bCs/>
          <w:spacing w:val="35"/>
          <w:sz w:val="20"/>
          <w:szCs w:val="20"/>
        </w:rPr>
        <w:t xml:space="preserve"> </w:t>
      </w:r>
      <w:r w:rsidRPr="00531B12">
        <w:rPr>
          <w:rFonts w:ascii="Abadi" w:hAnsi="Abadi"/>
          <w:b/>
          <w:bCs/>
          <w:sz w:val="20"/>
          <w:szCs w:val="20"/>
        </w:rPr>
        <w:t>LA</w:t>
      </w:r>
      <w:r w:rsidRPr="00531B12">
        <w:rPr>
          <w:rFonts w:ascii="Abadi" w:hAnsi="Abadi"/>
          <w:b/>
          <w:bCs/>
          <w:spacing w:val="36"/>
          <w:sz w:val="20"/>
          <w:szCs w:val="20"/>
        </w:rPr>
        <w:t xml:space="preserve"> </w:t>
      </w:r>
      <w:r w:rsidRPr="00531B12">
        <w:rPr>
          <w:rFonts w:ascii="Abadi" w:hAnsi="Abadi"/>
          <w:b/>
          <w:bCs/>
          <w:sz w:val="20"/>
          <w:szCs w:val="20"/>
        </w:rPr>
        <w:t>INICIATIVA</w:t>
      </w:r>
      <w:r w:rsidRPr="00531B12">
        <w:rPr>
          <w:rFonts w:ascii="Abadi" w:hAnsi="Abadi"/>
          <w:b/>
          <w:bCs/>
          <w:spacing w:val="35"/>
          <w:sz w:val="20"/>
          <w:szCs w:val="20"/>
        </w:rPr>
        <w:t xml:space="preserve"> </w:t>
      </w:r>
      <w:r w:rsidRPr="00531B12">
        <w:rPr>
          <w:rFonts w:ascii="Abadi" w:hAnsi="Abadi"/>
          <w:b/>
          <w:bCs/>
          <w:sz w:val="20"/>
          <w:szCs w:val="20"/>
        </w:rPr>
        <w:t>A</w:t>
      </w:r>
      <w:r w:rsidRPr="00531B12">
        <w:rPr>
          <w:rFonts w:ascii="Abadi" w:hAnsi="Abadi"/>
          <w:b/>
          <w:bCs/>
          <w:spacing w:val="35"/>
          <w:sz w:val="20"/>
          <w:szCs w:val="20"/>
        </w:rPr>
        <w:t xml:space="preserve"> </w:t>
      </w:r>
      <w:r w:rsidRPr="00531B12">
        <w:rPr>
          <w:rFonts w:ascii="Abadi" w:hAnsi="Abadi"/>
          <w:b/>
          <w:bCs/>
          <w:sz w:val="20"/>
          <w:szCs w:val="20"/>
        </w:rPr>
        <w:t>EFECTO</w:t>
      </w:r>
      <w:r w:rsidRPr="00531B12">
        <w:rPr>
          <w:rFonts w:ascii="Abadi" w:hAnsi="Abadi"/>
          <w:b/>
          <w:bCs/>
          <w:spacing w:val="35"/>
          <w:sz w:val="20"/>
          <w:szCs w:val="20"/>
        </w:rPr>
        <w:t xml:space="preserve"> </w:t>
      </w:r>
      <w:r w:rsidRPr="00531B12">
        <w:rPr>
          <w:rFonts w:ascii="Abadi" w:hAnsi="Abadi"/>
          <w:b/>
          <w:bCs/>
          <w:sz w:val="20"/>
          <w:szCs w:val="20"/>
        </w:rPr>
        <w:t>DE</w:t>
      </w:r>
      <w:r w:rsidRPr="00531B12">
        <w:rPr>
          <w:rFonts w:ascii="Abadi" w:hAnsi="Abadi"/>
          <w:b/>
          <w:bCs/>
          <w:spacing w:val="36"/>
          <w:sz w:val="20"/>
          <w:szCs w:val="20"/>
        </w:rPr>
        <w:t xml:space="preserve"> </w:t>
      </w:r>
      <w:r w:rsidRPr="00531B12">
        <w:rPr>
          <w:rFonts w:ascii="Abadi" w:hAnsi="Abadi"/>
          <w:b/>
          <w:bCs/>
          <w:sz w:val="20"/>
          <w:szCs w:val="20"/>
        </w:rPr>
        <w:t>ADICIONAR</w:t>
      </w:r>
      <w:r w:rsidRPr="00531B12">
        <w:rPr>
          <w:rFonts w:ascii="Abadi" w:hAnsi="Abadi"/>
          <w:b/>
          <w:bCs/>
          <w:spacing w:val="35"/>
          <w:sz w:val="20"/>
          <w:szCs w:val="20"/>
        </w:rPr>
        <w:t xml:space="preserve"> </w:t>
      </w:r>
      <w:r w:rsidRPr="00531B12">
        <w:rPr>
          <w:rFonts w:ascii="Abadi" w:hAnsi="Abadi"/>
          <w:b/>
          <w:bCs/>
          <w:sz w:val="20"/>
          <w:szCs w:val="20"/>
        </w:rPr>
        <w:t>UN</w:t>
      </w:r>
      <w:r w:rsidRPr="00531B12">
        <w:rPr>
          <w:rFonts w:ascii="Abadi" w:hAnsi="Abadi"/>
          <w:b/>
          <w:bCs/>
          <w:spacing w:val="35"/>
          <w:sz w:val="20"/>
          <w:szCs w:val="20"/>
        </w:rPr>
        <w:t xml:space="preserve"> </w:t>
      </w:r>
      <w:r w:rsidRPr="00531B12">
        <w:rPr>
          <w:rFonts w:ascii="Abadi" w:hAnsi="Abadi"/>
          <w:b/>
          <w:bCs/>
          <w:sz w:val="20"/>
          <w:szCs w:val="20"/>
        </w:rPr>
        <w:t>SEGUNDO</w:t>
      </w:r>
      <w:r w:rsidRPr="00531B12">
        <w:rPr>
          <w:rFonts w:ascii="Abadi" w:hAnsi="Abadi"/>
          <w:b/>
          <w:bCs/>
          <w:spacing w:val="36"/>
          <w:sz w:val="20"/>
          <w:szCs w:val="20"/>
        </w:rPr>
        <w:t xml:space="preserve"> </w:t>
      </w:r>
      <w:r w:rsidRPr="00531B12">
        <w:rPr>
          <w:rFonts w:ascii="Abadi" w:hAnsi="Abadi"/>
          <w:b/>
          <w:bCs/>
          <w:sz w:val="20"/>
          <w:szCs w:val="20"/>
        </w:rPr>
        <w:t>PÁRRAFO</w:t>
      </w:r>
      <w:r w:rsidRPr="00531B12">
        <w:rPr>
          <w:rFonts w:ascii="Abadi" w:hAnsi="Abadi"/>
          <w:b/>
          <w:bCs/>
          <w:spacing w:val="35"/>
          <w:sz w:val="20"/>
          <w:szCs w:val="20"/>
        </w:rPr>
        <w:t xml:space="preserve"> </w:t>
      </w:r>
      <w:r w:rsidRPr="00531B12">
        <w:rPr>
          <w:rFonts w:ascii="Abadi" w:hAnsi="Abadi"/>
          <w:b/>
          <w:bCs/>
          <w:sz w:val="20"/>
          <w:szCs w:val="20"/>
        </w:rPr>
        <w:t>AL ARTÍCULO</w:t>
      </w:r>
      <w:r w:rsidRPr="00531B12">
        <w:rPr>
          <w:rFonts w:ascii="Abadi" w:hAnsi="Abadi"/>
          <w:b/>
          <w:bCs/>
          <w:spacing w:val="23"/>
          <w:sz w:val="20"/>
          <w:szCs w:val="20"/>
        </w:rPr>
        <w:t xml:space="preserve"> </w:t>
      </w:r>
      <w:r w:rsidRPr="00531B12">
        <w:rPr>
          <w:rFonts w:ascii="Abadi" w:hAnsi="Abadi"/>
          <w:b/>
          <w:bCs/>
          <w:sz w:val="20"/>
          <w:szCs w:val="20"/>
        </w:rPr>
        <w:t>35</w:t>
      </w:r>
      <w:r w:rsidRPr="00531B12">
        <w:rPr>
          <w:rFonts w:ascii="Abadi" w:hAnsi="Abadi"/>
          <w:b/>
          <w:bCs/>
          <w:spacing w:val="23"/>
          <w:sz w:val="20"/>
          <w:szCs w:val="20"/>
        </w:rPr>
        <w:t xml:space="preserve"> </w:t>
      </w:r>
      <w:r w:rsidRPr="00531B12">
        <w:rPr>
          <w:rFonts w:ascii="Abadi" w:hAnsi="Abadi"/>
          <w:b/>
          <w:bCs/>
          <w:sz w:val="20"/>
          <w:szCs w:val="20"/>
        </w:rPr>
        <w:t>DE</w:t>
      </w:r>
      <w:r w:rsidRPr="00531B12">
        <w:rPr>
          <w:rFonts w:ascii="Abadi" w:hAnsi="Abadi"/>
          <w:b/>
          <w:bCs/>
          <w:spacing w:val="23"/>
          <w:sz w:val="20"/>
          <w:szCs w:val="20"/>
        </w:rPr>
        <w:t xml:space="preserve"> </w:t>
      </w:r>
      <w:r w:rsidRPr="00531B12">
        <w:rPr>
          <w:rFonts w:ascii="Abadi" w:hAnsi="Abadi"/>
          <w:b/>
          <w:bCs/>
          <w:sz w:val="20"/>
          <w:szCs w:val="20"/>
        </w:rPr>
        <w:t>LA</w:t>
      </w:r>
      <w:r w:rsidRPr="00531B12">
        <w:rPr>
          <w:rFonts w:ascii="Abadi" w:hAnsi="Abadi"/>
          <w:b/>
          <w:bCs/>
          <w:spacing w:val="23"/>
          <w:sz w:val="20"/>
          <w:szCs w:val="20"/>
        </w:rPr>
        <w:t xml:space="preserve"> </w:t>
      </w:r>
      <w:r w:rsidRPr="00531B12">
        <w:rPr>
          <w:rFonts w:ascii="Abadi" w:hAnsi="Abadi"/>
          <w:b/>
          <w:bCs/>
          <w:sz w:val="20"/>
          <w:szCs w:val="20"/>
        </w:rPr>
        <w:t>LEY</w:t>
      </w:r>
      <w:r w:rsidRPr="00531B12">
        <w:rPr>
          <w:rFonts w:ascii="Abadi" w:hAnsi="Abadi"/>
          <w:b/>
          <w:bCs/>
          <w:spacing w:val="23"/>
          <w:sz w:val="20"/>
          <w:szCs w:val="20"/>
        </w:rPr>
        <w:t xml:space="preserve"> </w:t>
      </w:r>
      <w:r w:rsidRPr="00531B12">
        <w:rPr>
          <w:rFonts w:ascii="Abadi" w:hAnsi="Abadi"/>
          <w:b/>
          <w:bCs/>
          <w:sz w:val="20"/>
          <w:szCs w:val="20"/>
        </w:rPr>
        <w:t>PARA</w:t>
      </w:r>
      <w:r w:rsidRPr="00531B12">
        <w:rPr>
          <w:rFonts w:ascii="Abadi" w:hAnsi="Abadi"/>
          <w:b/>
          <w:bCs/>
          <w:spacing w:val="23"/>
          <w:sz w:val="20"/>
          <w:szCs w:val="20"/>
        </w:rPr>
        <w:t xml:space="preserve"> </w:t>
      </w:r>
      <w:r w:rsidRPr="00531B12">
        <w:rPr>
          <w:rFonts w:ascii="Abadi" w:hAnsi="Abadi"/>
          <w:b/>
          <w:bCs/>
          <w:sz w:val="20"/>
          <w:szCs w:val="20"/>
        </w:rPr>
        <w:t>LA</w:t>
      </w:r>
      <w:r w:rsidRPr="00531B12">
        <w:rPr>
          <w:rFonts w:ascii="Abadi" w:hAnsi="Abadi"/>
          <w:b/>
          <w:bCs/>
          <w:spacing w:val="23"/>
          <w:sz w:val="20"/>
          <w:szCs w:val="20"/>
        </w:rPr>
        <w:t xml:space="preserve"> </w:t>
      </w:r>
      <w:r w:rsidRPr="00531B12">
        <w:rPr>
          <w:rFonts w:ascii="Abadi" w:hAnsi="Abadi"/>
          <w:b/>
          <w:bCs/>
          <w:sz w:val="20"/>
          <w:szCs w:val="20"/>
        </w:rPr>
        <w:t>BÚSQUEDA</w:t>
      </w:r>
      <w:r w:rsidRPr="00531B12">
        <w:rPr>
          <w:rFonts w:ascii="Abadi" w:hAnsi="Abadi"/>
          <w:b/>
          <w:bCs/>
          <w:spacing w:val="23"/>
          <w:sz w:val="20"/>
          <w:szCs w:val="20"/>
        </w:rPr>
        <w:t xml:space="preserve"> </w:t>
      </w:r>
      <w:r w:rsidRPr="00531B12">
        <w:rPr>
          <w:rFonts w:ascii="Abadi" w:hAnsi="Abadi"/>
          <w:b/>
          <w:bCs/>
          <w:sz w:val="20"/>
          <w:szCs w:val="20"/>
        </w:rPr>
        <w:t>DE</w:t>
      </w:r>
      <w:r w:rsidRPr="00531B12">
        <w:rPr>
          <w:rFonts w:ascii="Abadi" w:hAnsi="Abadi"/>
          <w:b/>
          <w:bCs/>
          <w:spacing w:val="23"/>
          <w:sz w:val="20"/>
          <w:szCs w:val="20"/>
        </w:rPr>
        <w:t xml:space="preserve"> </w:t>
      </w:r>
      <w:r w:rsidRPr="00531B12">
        <w:rPr>
          <w:rFonts w:ascii="Abadi" w:hAnsi="Abadi"/>
          <w:b/>
          <w:bCs/>
          <w:sz w:val="20"/>
          <w:szCs w:val="20"/>
        </w:rPr>
        <w:t>PERSONAS</w:t>
      </w:r>
      <w:r w:rsidRPr="00531B12">
        <w:rPr>
          <w:rFonts w:ascii="Abadi" w:hAnsi="Abadi"/>
          <w:b/>
          <w:bCs/>
          <w:spacing w:val="23"/>
          <w:sz w:val="20"/>
          <w:szCs w:val="20"/>
        </w:rPr>
        <w:t xml:space="preserve"> </w:t>
      </w:r>
      <w:r w:rsidRPr="00531B12">
        <w:rPr>
          <w:rFonts w:ascii="Abadi" w:hAnsi="Abadi"/>
          <w:b/>
          <w:bCs/>
          <w:sz w:val="20"/>
          <w:szCs w:val="20"/>
        </w:rPr>
        <w:t>DESAPARECIDAS</w:t>
      </w:r>
      <w:r w:rsidRPr="00531B12">
        <w:rPr>
          <w:rFonts w:ascii="Abadi" w:hAnsi="Abadi"/>
          <w:b/>
          <w:bCs/>
          <w:spacing w:val="23"/>
          <w:sz w:val="20"/>
          <w:szCs w:val="20"/>
        </w:rPr>
        <w:t xml:space="preserve"> </w:t>
      </w:r>
      <w:r w:rsidRPr="00531B12">
        <w:rPr>
          <w:rFonts w:ascii="Abadi" w:hAnsi="Abadi"/>
          <w:b/>
          <w:bCs/>
          <w:sz w:val="20"/>
          <w:szCs w:val="20"/>
        </w:rPr>
        <w:t>EN</w:t>
      </w:r>
      <w:r w:rsidRPr="00531B12">
        <w:rPr>
          <w:rFonts w:ascii="Abadi" w:hAnsi="Abadi"/>
          <w:b/>
          <w:bCs/>
          <w:spacing w:val="23"/>
          <w:sz w:val="20"/>
          <w:szCs w:val="20"/>
        </w:rPr>
        <w:t xml:space="preserve"> </w:t>
      </w:r>
      <w:r w:rsidRPr="00531B12">
        <w:rPr>
          <w:rFonts w:ascii="Abadi" w:hAnsi="Abadi"/>
          <w:b/>
          <w:bCs/>
          <w:sz w:val="20"/>
          <w:szCs w:val="20"/>
        </w:rPr>
        <w:t>EL ESTADO</w:t>
      </w:r>
      <w:r w:rsidRPr="00531B12">
        <w:rPr>
          <w:rFonts w:ascii="Abadi" w:hAnsi="Abadi"/>
          <w:b/>
          <w:bCs/>
          <w:spacing w:val="32"/>
          <w:sz w:val="20"/>
          <w:szCs w:val="20"/>
        </w:rPr>
        <w:t xml:space="preserve"> </w:t>
      </w:r>
      <w:r w:rsidRPr="00531B12">
        <w:rPr>
          <w:rFonts w:ascii="Abadi" w:hAnsi="Abadi"/>
          <w:b/>
          <w:bCs/>
          <w:sz w:val="20"/>
          <w:szCs w:val="20"/>
        </w:rPr>
        <w:t>DE</w:t>
      </w:r>
      <w:r w:rsidRPr="00531B12">
        <w:rPr>
          <w:rFonts w:ascii="Abadi" w:hAnsi="Abadi"/>
          <w:b/>
          <w:bCs/>
          <w:spacing w:val="32"/>
          <w:sz w:val="20"/>
          <w:szCs w:val="20"/>
        </w:rPr>
        <w:t xml:space="preserve"> </w:t>
      </w:r>
      <w:r w:rsidRPr="00531B12">
        <w:rPr>
          <w:rFonts w:ascii="Abadi" w:hAnsi="Abadi"/>
          <w:b/>
          <w:bCs/>
          <w:sz w:val="20"/>
          <w:szCs w:val="20"/>
        </w:rPr>
        <w:t>GUANAJUATO</w:t>
      </w:r>
      <w:r w:rsidRPr="00531B12">
        <w:rPr>
          <w:rFonts w:ascii="Abadi" w:hAnsi="Abadi"/>
          <w:b/>
          <w:bCs/>
          <w:spacing w:val="31"/>
          <w:sz w:val="20"/>
          <w:szCs w:val="20"/>
        </w:rPr>
        <w:t xml:space="preserve"> </w:t>
      </w:r>
      <w:r w:rsidRPr="00531B12">
        <w:rPr>
          <w:rFonts w:ascii="Abadi" w:hAnsi="Abadi"/>
          <w:b/>
          <w:bCs/>
          <w:sz w:val="20"/>
          <w:szCs w:val="20"/>
        </w:rPr>
        <w:t>FORMULADA</w:t>
      </w:r>
      <w:r w:rsidRPr="00531B12">
        <w:rPr>
          <w:rFonts w:ascii="Abadi" w:hAnsi="Abadi"/>
          <w:b/>
          <w:bCs/>
          <w:spacing w:val="32"/>
          <w:sz w:val="20"/>
          <w:szCs w:val="20"/>
        </w:rPr>
        <w:t xml:space="preserve"> </w:t>
      </w:r>
      <w:r w:rsidRPr="00531B12">
        <w:rPr>
          <w:rFonts w:ascii="Abadi" w:hAnsi="Abadi"/>
          <w:b/>
          <w:bCs/>
          <w:sz w:val="20"/>
          <w:szCs w:val="20"/>
        </w:rPr>
        <w:t>POR</w:t>
      </w:r>
      <w:r w:rsidRPr="00531B12">
        <w:rPr>
          <w:rFonts w:ascii="Abadi" w:hAnsi="Abadi"/>
          <w:b/>
          <w:bCs/>
          <w:spacing w:val="32"/>
          <w:sz w:val="20"/>
          <w:szCs w:val="20"/>
        </w:rPr>
        <w:t xml:space="preserve"> </w:t>
      </w:r>
      <w:r w:rsidRPr="00531B12">
        <w:rPr>
          <w:rFonts w:ascii="Abadi" w:hAnsi="Abadi"/>
          <w:b/>
          <w:bCs/>
          <w:sz w:val="20"/>
          <w:szCs w:val="20"/>
        </w:rPr>
        <w:t>LA</w:t>
      </w:r>
      <w:r w:rsidRPr="00531B12">
        <w:rPr>
          <w:rFonts w:ascii="Abadi" w:hAnsi="Abadi"/>
          <w:b/>
          <w:bCs/>
          <w:spacing w:val="32"/>
          <w:sz w:val="20"/>
          <w:szCs w:val="20"/>
        </w:rPr>
        <w:t xml:space="preserve"> </w:t>
      </w:r>
      <w:r w:rsidRPr="00531B12">
        <w:rPr>
          <w:rFonts w:ascii="Abadi" w:hAnsi="Abadi"/>
          <w:b/>
          <w:bCs/>
          <w:sz w:val="20"/>
          <w:szCs w:val="20"/>
        </w:rPr>
        <w:t>DIPUTADA</w:t>
      </w:r>
      <w:r w:rsidRPr="00531B12">
        <w:rPr>
          <w:rFonts w:ascii="Abadi" w:hAnsi="Abadi"/>
          <w:b/>
          <w:bCs/>
          <w:spacing w:val="32"/>
          <w:sz w:val="20"/>
          <w:szCs w:val="20"/>
        </w:rPr>
        <w:t xml:space="preserve"> </w:t>
      </w:r>
      <w:r w:rsidRPr="00531B12">
        <w:rPr>
          <w:rFonts w:ascii="Abadi" w:hAnsi="Abadi"/>
          <w:b/>
          <w:bCs/>
          <w:sz w:val="20"/>
          <w:szCs w:val="20"/>
        </w:rPr>
        <w:t>HADES</w:t>
      </w:r>
      <w:r w:rsidRPr="00531B12">
        <w:rPr>
          <w:rFonts w:ascii="Abadi" w:hAnsi="Abadi"/>
          <w:b/>
          <w:bCs/>
          <w:spacing w:val="32"/>
          <w:sz w:val="20"/>
          <w:szCs w:val="20"/>
        </w:rPr>
        <w:t xml:space="preserve"> </w:t>
      </w:r>
      <w:r w:rsidRPr="00531B12">
        <w:rPr>
          <w:rFonts w:ascii="Abadi" w:hAnsi="Abadi"/>
          <w:b/>
          <w:bCs/>
          <w:sz w:val="20"/>
          <w:szCs w:val="20"/>
        </w:rPr>
        <w:t>BERENICE</w:t>
      </w:r>
      <w:r w:rsidRPr="00531B12">
        <w:rPr>
          <w:rFonts w:ascii="Abadi" w:hAnsi="Abadi"/>
          <w:b/>
          <w:bCs/>
          <w:spacing w:val="32"/>
          <w:sz w:val="20"/>
          <w:szCs w:val="20"/>
        </w:rPr>
        <w:t xml:space="preserve"> </w:t>
      </w:r>
      <w:r w:rsidRPr="00531B12">
        <w:rPr>
          <w:rFonts w:ascii="Abadi" w:hAnsi="Abadi"/>
          <w:b/>
          <w:bCs/>
          <w:sz w:val="20"/>
          <w:szCs w:val="20"/>
        </w:rPr>
        <w:t>AGUILAR CASTILLO INTEGRANTE DEL GRUPO PARLAMENTARIO DEL PARTIDO MORENA.</w:t>
      </w:r>
      <w:r w:rsidR="00E65F9A" w:rsidRPr="00E65F9A">
        <w:rPr>
          <w:rStyle w:val="Refdenotaalpie"/>
          <w:rFonts w:ascii="Abadi" w:hAnsi="Abadi"/>
          <w:b/>
          <w:bCs/>
          <w:sz w:val="20"/>
          <w:szCs w:val="20"/>
        </w:rPr>
        <w:t xml:space="preserve"> </w:t>
      </w:r>
      <w:r w:rsidR="00E65F9A">
        <w:rPr>
          <w:rStyle w:val="Refdenotaalpie"/>
          <w:rFonts w:ascii="Abadi" w:hAnsi="Abadi"/>
          <w:b/>
          <w:bCs/>
          <w:sz w:val="20"/>
          <w:szCs w:val="20"/>
        </w:rPr>
        <w:footnoteReference w:id="31"/>
      </w:r>
    </w:p>
    <w:p w14:paraId="30F7FAF4" w14:textId="50AEB4B7" w:rsidR="00A063B4" w:rsidRDefault="00A063B4" w:rsidP="00A063B4">
      <w:pPr>
        <w:tabs>
          <w:tab w:val="left" w:pos="845"/>
        </w:tabs>
        <w:kinsoku w:val="0"/>
        <w:overflowPunct w:val="0"/>
        <w:autoSpaceDE w:val="0"/>
        <w:autoSpaceDN w:val="0"/>
        <w:adjustRightInd w:val="0"/>
        <w:ind w:right="17"/>
        <w:jc w:val="both"/>
        <w:rPr>
          <w:rFonts w:ascii="Abadi" w:hAnsi="Abadi"/>
          <w:b/>
          <w:bCs/>
          <w:sz w:val="20"/>
          <w:szCs w:val="20"/>
        </w:rPr>
      </w:pPr>
    </w:p>
    <w:p w14:paraId="5780E346" w14:textId="069BE1AE" w:rsidR="00E1778C" w:rsidRDefault="00E1778C" w:rsidP="00A063B4">
      <w:pPr>
        <w:tabs>
          <w:tab w:val="left" w:pos="845"/>
        </w:tabs>
        <w:kinsoku w:val="0"/>
        <w:overflowPunct w:val="0"/>
        <w:autoSpaceDE w:val="0"/>
        <w:autoSpaceDN w:val="0"/>
        <w:adjustRightInd w:val="0"/>
        <w:ind w:right="17"/>
        <w:jc w:val="both"/>
        <w:rPr>
          <w:rFonts w:ascii="Abadi" w:hAnsi="Abadi"/>
          <w:b/>
          <w:bCs/>
          <w:sz w:val="20"/>
          <w:szCs w:val="20"/>
        </w:rPr>
      </w:pPr>
    </w:p>
    <w:p w14:paraId="252D7D3F" w14:textId="5D2A93BB" w:rsidR="00E1778C" w:rsidRDefault="00E1778C" w:rsidP="00A063B4">
      <w:pPr>
        <w:tabs>
          <w:tab w:val="left" w:pos="845"/>
        </w:tabs>
        <w:kinsoku w:val="0"/>
        <w:overflowPunct w:val="0"/>
        <w:autoSpaceDE w:val="0"/>
        <w:autoSpaceDN w:val="0"/>
        <w:adjustRightInd w:val="0"/>
        <w:ind w:right="17"/>
        <w:jc w:val="both"/>
        <w:rPr>
          <w:rFonts w:ascii="Abadi" w:hAnsi="Abadi"/>
          <w:b/>
          <w:bCs/>
          <w:sz w:val="20"/>
          <w:szCs w:val="20"/>
        </w:rPr>
      </w:pPr>
    </w:p>
    <w:p w14:paraId="4EB41686" w14:textId="77777777" w:rsidR="00A063B4" w:rsidRPr="00DB3FFF" w:rsidRDefault="00A063B4" w:rsidP="00A063B4">
      <w:pPr>
        <w:autoSpaceDE w:val="0"/>
        <w:autoSpaceDN w:val="0"/>
        <w:adjustRightInd w:val="0"/>
        <w:jc w:val="both"/>
        <w:rPr>
          <w:rFonts w:ascii="Abadi" w:hAnsi="Abadi" w:cs="AmasisMTPro-Light"/>
          <w:b/>
          <w:bCs/>
          <w:sz w:val="21"/>
          <w:szCs w:val="21"/>
        </w:rPr>
      </w:pPr>
      <w:r w:rsidRPr="00DB3FFF">
        <w:rPr>
          <w:rFonts w:ascii="Abadi" w:hAnsi="Abadi" w:cs="AmasisMTPro-Light"/>
          <w:b/>
          <w:bCs/>
          <w:sz w:val="21"/>
          <w:szCs w:val="21"/>
        </w:rPr>
        <w:t>Diputada Irma Leticia González Sánchez</w:t>
      </w:r>
    </w:p>
    <w:p w14:paraId="6DD0E3AD" w14:textId="77777777" w:rsidR="00A063B4" w:rsidRPr="00DB3FFF" w:rsidRDefault="00A063B4" w:rsidP="00A063B4">
      <w:pPr>
        <w:autoSpaceDE w:val="0"/>
        <w:autoSpaceDN w:val="0"/>
        <w:adjustRightInd w:val="0"/>
        <w:jc w:val="both"/>
        <w:rPr>
          <w:rFonts w:ascii="Abadi" w:hAnsi="Abadi" w:cs="AmasisMTPro-Light"/>
          <w:sz w:val="21"/>
          <w:szCs w:val="21"/>
        </w:rPr>
      </w:pPr>
      <w:r w:rsidRPr="00DB3FFF">
        <w:rPr>
          <w:rFonts w:ascii="Abadi" w:hAnsi="Abadi" w:cs="AmasisMTPro-Light"/>
          <w:sz w:val="21"/>
          <w:szCs w:val="21"/>
        </w:rPr>
        <w:t>Presidenta de la Mesa Directiva</w:t>
      </w:r>
    </w:p>
    <w:p w14:paraId="01BB4B41" w14:textId="77777777" w:rsidR="00A063B4" w:rsidRPr="00DB3FFF" w:rsidRDefault="00A063B4" w:rsidP="00A063B4">
      <w:pPr>
        <w:autoSpaceDE w:val="0"/>
        <w:autoSpaceDN w:val="0"/>
        <w:adjustRightInd w:val="0"/>
        <w:jc w:val="both"/>
        <w:rPr>
          <w:rFonts w:ascii="Abadi" w:hAnsi="Abadi" w:cs="AmasisMTPro-Light"/>
          <w:sz w:val="21"/>
          <w:szCs w:val="21"/>
        </w:rPr>
      </w:pPr>
      <w:r w:rsidRPr="00DB3FFF">
        <w:rPr>
          <w:rFonts w:ascii="Abadi" w:hAnsi="Abadi" w:cs="AmasisMTPro-Light"/>
          <w:sz w:val="21"/>
          <w:szCs w:val="21"/>
        </w:rPr>
        <w:t>Congreso del Estado de Guanajuato</w:t>
      </w:r>
    </w:p>
    <w:p w14:paraId="0942A334" w14:textId="77777777" w:rsidR="00A063B4" w:rsidRPr="00DB3FFF" w:rsidRDefault="00A063B4" w:rsidP="00A063B4">
      <w:pPr>
        <w:autoSpaceDE w:val="0"/>
        <w:autoSpaceDN w:val="0"/>
        <w:adjustRightInd w:val="0"/>
        <w:jc w:val="both"/>
        <w:rPr>
          <w:rFonts w:ascii="Abadi" w:hAnsi="Abadi" w:cs="AmasisMTPro-Light"/>
          <w:sz w:val="21"/>
          <w:szCs w:val="21"/>
        </w:rPr>
      </w:pPr>
      <w:r w:rsidRPr="00DB3FFF">
        <w:rPr>
          <w:rFonts w:ascii="Abadi" w:hAnsi="Abadi" w:cs="AmasisMTPro-Light"/>
          <w:sz w:val="21"/>
          <w:szCs w:val="21"/>
        </w:rPr>
        <w:t>LXV Legislatura</w:t>
      </w:r>
    </w:p>
    <w:p w14:paraId="5C7BCA46" w14:textId="77777777" w:rsidR="00A063B4" w:rsidRPr="00DB3FFF" w:rsidRDefault="00A063B4" w:rsidP="00A063B4">
      <w:pPr>
        <w:autoSpaceDE w:val="0"/>
        <w:autoSpaceDN w:val="0"/>
        <w:adjustRightInd w:val="0"/>
        <w:jc w:val="both"/>
        <w:rPr>
          <w:rFonts w:ascii="Abadi" w:hAnsi="Abadi" w:cs="AmasisMTPro-Light"/>
          <w:sz w:val="21"/>
          <w:szCs w:val="21"/>
        </w:rPr>
      </w:pPr>
      <w:r w:rsidRPr="00DB3FFF">
        <w:rPr>
          <w:rFonts w:ascii="Abadi" w:hAnsi="Abadi" w:cs="AmasisMTPro-Light"/>
          <w:sz w:val="21"/>
          <w:szCs w:val="21"/>
        </w:rPr>
        <w:t>P r e s e n t e</w:t>
      </w:r>
    </w:p>
    <w:p w14:paraId="140BBBBC" w14:textId="77777777" w:rsidR="00A063B4" w:rsidRPr="00DB3FFF" w:rsidRDefault="00A063B4" w:rsidP="00A063B4">
      <w:pPr>
        <w:autoSpaceDE w:val="0"/>
        <w:autoSpaceDN w:val="0"/>
        <w:adjustRightInd w:val="0"/>
        <w:jc w:val="both"/>
        <w:rPr>
          <w:rFonts w:ascii="Abadi" w:hAnsi="Abadi" w:cs="AmasisMTPro-Light"/>
          <w:sz w:val="21"/>
          <w:szCs w:val="21"/>
        </w:rPr>
      </w:pPr>
    </w:p>
    <w:p w14:paraId="7795BA40" w14:textId="51CC6507" w:rsidR="00A063B4" w:rsidRDefault="00A063B4" w:rsidP="00A063B4">
      <w:pPr>
        <w:autoSpaceDE w:val="0"/>
        <w:autoSpaceDN w:val="0"/>
        <w:adjustRightInd w:val="0"/>
        <w:jc w:val="both"/>
        <w:rPr>
          <w:rFonts w:ascii="Abadi" w:hAnsi="Abadi" w:cs="AmasisMTPro-Light"/>
          <w:sz w:val="21"/>
          <w:szCs w:val="21"/>
        </w:rPr>
      </w:pPr>
      <w:r w:rsidRPr="00DB3FFF">
        <w:rPr>
          <w:rFonts w:ascii="Abadi" w:hAnsi="Abadi" w:cs="AmasisMTPro-Light"/>
          <w:sz w:val="21"/>
          <w:szCs w:val="21"/>
        </w:rPr>
        <w:t xml:space="preserve">Diputada </w:t>
      </w:r>
      <w:r w:rsidRPr="000D381D">
        <w:rPr>
          <w:rFonts w:ascii="Abadi" w:hAnsi="Abadi" w:cs="AmasisMTPro-Light"/>
          <w:b/>
          <w:bCs/>
          <w:sz w:val="21"/>
          <w:szCs w:val="21"/>
        </w:rPr>
        <w:t>Hades Berenice Aguilar Castillo</w:t>
      </w:r>
      <w:r w:rsidRPr="00DB3FFF">
        <w:rPr>
          <w:rFonts w:ascii="Abadi" w:hAnsi="Abadi" w:cs="AmasisMTPro-Light"/>
          <w:sz w:val="21"/>
          <w:szCs w:val="21"/>
        </w:rPr>
        <w:t>, del Grupo Parlamentario de</w:t>
      </w:r>
      <w:r>
        <w:rPr>
          <w:rFonts w:ascii="Abadi" w:hAnsi="Abadi" w:cs="AmasisMTPro-Light"/>
          <w:sz w:val="21"/>
          <w:szCs w:val="21"/>
        </w:rPr>
        <w:t xml:space="preserve"> </w:t>
      </w:r>
      <w:r w:rsidRPr="000D381D">
        <w:rPr>
          <w:rFonts w:ascii="Abadi" w:hAnsi="Abadi" w:cs="AmasisMTPro-Light"/>
          <w:b/>
          <w:bCs/>
          <w:sz w:val="21"/>
          <w:szCs w:val="21"/>
        </w:rPr>
        <w:t>Morena</w:t>
      </w:r>
      <w:r w:rsidRPr="00DB3FFF">
        <w:rPr>
          <w:rFonts w:ascii="Abadi" w:hAnsi="Abadi" w:cs="AmasisMTPro-Light"/>
          <w:sz w:val="21"/>
          <w:szCs w:val="21"/>
        </w:rPr>
        <w:t xml:space="preserve"> en la LXV Legislatura del Congreso del Estado de Guanajuato, con</w:t>
      </w:r>
      <w:r>
        <w:rPr>
          <w:rFonts w:ascii="Abadi" w:hAnsi="Abadi" w:cs="AmasisMTPro-Light"/>
          <w:sz w:val="21"/>
          <w:szCs w:val="21"/>
        </w:rPr>
        <w:t xml:space="preserve"> </w:t>
      </w:r>
      <w:r w:rsidRPr="00DB3FFF">
        <w:rPr>
          <w:rFonts w:ascii="Abadi" w:hAnsi="Abadi" w:cs="AmasisMTPro-Light"/>
          <w:sz w:val="21"/>
          <w:szCs w:val="21"/>
        </w:rPr>
        <w:t>fundamento en lo dispuesto en la fracción II del artículo 56 de la Constitución Política para el Estado de Guanajuato; la fracción II del artículo 167, así como</w:t>
      </w:r>
      <w:r>
        <w:rPr>
          <w:rFonts w:ascii="Abadi" w:hAnsi="Abadi" w:cs="AmasisMTPro-Light"/>
          <w:sz w:val="21"/>
          <w:szCs w:val="21"/>
        </w:rPr>
        <w:t xml:space="preserve"> </w:t>
      </w:r>
      <w:r w:rsidRPr="00DB3FFF">
        <w:rPr>
          <w:rFonts w:ascii="Abadi" w:hAnsi="Abadi" w:cs="AmasisMTPro-Light"/>
          <w:sz w:val="21"/>
          <w:szCs w:val="21"/>
        </w:rPr>
        <w:t>el artículo 168 de la Ley Orgánica del Poder Legislativo del Estado de</w:t>
      </w:r>
      <w:r>
        <w:rPr>
          <w:rFonts w:ascii="Abadi" w:hAnsi="Abadi" w:cs="AmasisMTPro-Light"/>
          <w:sz w:val="21"/>
          <w:szCs w:val="21"/>
        </w:rPr>
        <w:t xml:space="preserve"> </w:t>
      </w:r>
      <w:r w:rsidRPr="00DB3FFF">
        <w:rPr>
          <w:rFonts w:ascii="Abadi" w:hAnsi="Abadi" w:cs="AmasisMTPro-Light"/>
          <w:sz w:val="21"/>
          <w:szCs w:val="21"/>
        </w:rPr>
        <w:t>Guanajuato, me permito poner a consideración de esta Asamblea la siguiente</w:t>
      </w:r>
      <w:r>
        <w:rPr>
          <w:rFonts w:ascii="Abadi" w:hAnsi="Abadi" w:cs="AmasisMTPro-Light"/>
          <w:sz w:val="21"/>
          <w:szCs w:val="21"/>
        </w:rPr>
        <w:t xml:space="preserve"> </w:t>
      </w:r>
      <w:r w:rsidRPr="00DB3FFF">
        <w:rPr>
          <w:rFonts w:ascii="Abadi" w:hAnsi="Abadi" w:cs="AmasisMTPro-Light"/>
          <w:sz w:val="21"/>
          <w:szCs w:val="21"/>
        </w:rPr>
        <w:t xml:space="preserve">iniciativa con proyecto de Decreto por la que se reforma la </w:t>
      </w:r>
      <w:r w:rsidRPr="000D381D">
        <w:rPr>
          <w:rFonts w:ascii="Abadi" w:hAnsi="Abadi" w:cs="AmasisMTPro-Light"/>
          <w:b/>
          <w:bCs/>
          <w:sz w:val="21"/>
          <w:szCs w:val="21"/>
        </w:rPr>
        <w:t xml:space="preserve">Ley para la </w:t>
      </w:r>
      <w:r w:rsidRPr="000D381D">
        <w:rPr>
          <w:rFonts w:ascii="Abadi" w:hAnsi="Abadi" w:cs="AmasisMTPro-Light"/>
          <w:b/>
          <w:bCs/>
          <w:sz w:val="21"/>
          <w:szCs w:val="21"/>
        </w:rPr>
        <w:lastRenderedPageBreak/>
        <w:t>Búsqueda de Personas Desaparecidas en el Estado de Guanajuato,</w:t>
      </w:r>
      <w:r w:rsidRPr="00DB3FFF">
        <w:rPr>
          <w:rFonts w:ascii="Abadi" w:hAnsi="Abadi" w:cs="AmasisMTPro-Light"/>
          <w:sz w:val="21"/>
          <w:szCs w:val="21"/>
        </w:rPr>
        <w:t xml:space="preserve"> con</w:t>
      </w:r>
      <w:r>
        <w:rPr>
          <w:rFonts w:ascii="Abadi" w:hAnsi="Abadi" w:cs="AmasisMTPro-Light"/>
          <w:sz w:val="21"/>
          <w:szCs w:val="21"/>
        </w:rPr>
        <w:t xml:space="preserve"> </w:t>
      </w:r>
      <w:r w:rsidRPr="00DB3FFF">
        <w:rPr>
          <w:rFonts w:ascii="Abadi" w:hAnsi="Abadi" w:cs="AmasisMTPro-Light"/>
          <w:sz w:val="21"/>
          <w:szCs w:val="21"/>
        </w:rPr>
        <w:t>fundamento en la siguiente:</w:t>
      </w:r>
    </w:p>
    <w:p w14:paraId="461726E8" w14:textId="77777777" w:rsidR="00A063B4" w:rsidRPr="00DB3FFF" w:rsidRDefault="00A063B4" w:rsidP="00A063B4">
      <w:pPr>
        <w:autoSpaceDE w:val="0"/>
        <w:autoSpaceDN w:val="0"/>
        <w:adjustRightInd w:val="0"/>
        <w:jc w:val="both"/>
        <w:rPr>
          <w:rFonts w:ascii="Abadi" w:hAnsi="Abadi" w:cs="AmasisMTPro-Light"/>
          <w:sz w:val="21"/>
          <w:szCs w:val="21"/>
        </w:rPr>
      </w:pPr>
    </w:p>
    <w:p w14:paraId="5D7C047E" w14:textId="77777777" w:rsidR="00E1778C" w:rsidRDefault="00E1778C" w:rsidP="00A063B4">
      <w:pPr>
        <w:autoSpaceDE w:val="0"/>
        <w:autoSpaceDN w:val="0"/>
        <w:adjustRightInd w:val="0"/>
        <w:jc w:val="center"/>
        <w:rPr>
          <w:rFonts w:ascii="Abadi" w:hAnsi="Abadi" w:cs="AmasisMTPro-Light"/>
          <w:b/>
          <w:bCs/>
          <w:sz w:val="21"/>
          <w:szCs w:val="21"/>
        </w:rPr>
      </w:pPr>
    </w:p>
    <w:p w14:paraId="1D27E70E" w14:textId="77777777" w:rsidR="00E1778C" w:rsidRDefault="00E1778C" w:rsidP="00A063B4">
      <w:pPr>
        <w:autoSpaceDE w:val="0"/>
        <w:autoSpaceDN w:val="0"/>
        <w:adjustRightInd w:val="0"/>
        <w:jc w:val="center"/>
        <w:rPr>
          <w:rFonts w:ascii="Abadi" w:hAnsi="Abadi" w:cs="AmasisMTPro-Light"/>
          <w:b/>
          <w:bCs/>
          <w:sz w:val="21"/>
          <w:szCs w:val="21"/>
        </w:rPr>
      </w:pPr>
    </w:p>
    <w:p w14:paraId="013C5D4A" w14:textId="79C5324F" w:rsidR="00A063B4" w:rsidRPr="000D381D" w:rsidRDefault="00A063B4" w:rsidP="00A063B4">
      <w:pPr>
        <w:autoSpaceDE w:val="0"/>
        <w:autoSpaceDN w:val="0"/>
        <w:adjustRightInd w:val="0"/>
        <w:jc w:val="center"/>
        <w:rPr>
          <w:rFonts w:ascii="Abadi" w:hAnsi="Abadi" w:cs="AmasisMTPro-Light"/>
          <w:b/>
          <w:bCs/>
          <w:sz w:val="21"/>
          <w:szCs w:val="21"/>
        </w:rPr>
      </w:pPr>
      <w:r w:rsidRPr="000D381D">
        <w:rPr>
          <w:rFonts w:ascii="Abadi" w:hAnsi="Abadi" w:cs="AmasisMTPro-Light"/>
          <w:b/>
          <w:bCs/>
          <w:sz w:val="21"/>
          <w:szCs w:val="21"/>
        </w:rPr>
        <w:t>EXPOSICIÓN DE MOTIVOS</w:t>
      </w:r>
    </w:p>
    <w:p w14:paraId="03D38C8B" w14:textId="7F7D33D4" w:rsidR="00A063B4" w:rsidRPr="000D381D" w:rsidRDefault="00A063B4" w:rsidP="00A063B4">
      <w:pPr>
        <w:autoSpaceDE w:val="0"/>
        <w:autoSpaceDN w:val="0"/>
        <w:adjustRightInd w:val="0"/>
        <w:jc w:val="center"/>
        <w:rPr>
          <w:rFonts w:ascii="Abadi" w:hAnsi="Abadi" w:cs="AmasisMTPro-Light"/>
          <w:b/>
          <w:bCs/>
          <w:sz w:val="21"/>
          <w:szCs w:val="21"/>
        </w:rPr>
      </w:pPr>
    </w:p>
    <w:p w14:paraId="461FE55B" w14:textId="77777777" w:rsidR="00E1778C" w:rsidRDefault="00E1778C" w:rsidP="00A063B4">
      <w:pPr>
        <w:autoSpaceDE w:val="0"/>
        <w:autoSpaceDN w:val="0"/>
        <w:adjustRightInd w:val="0"/>
        <w:jc w:val="both"/>
        <w:rPr>
          <w:rFonts w:ascii="Abadi" w:hAnsi="Abadi" w:cs="AmasisMTPro-Light"/>
          <w:sz w:val="21"/>
          <w:szCs w:val="21"/>
        </w:rPr>
      </w:pPr>
    </w:p>
    <w:p w14:paraId="65C36DDD" w14:textId="55EA0A8D" w:rsidR="00A063B4" w:rsidRDefault="00A063B4" w:rsidP="00A063B4">
      <w:pPr>
        <w:autoSpaceDE w:val="0"/>
        <w:autoSpaceDN w:val="0"/>
        <w:adjustRightInd w:val="0"/>
        <w:jc w:val="both"/>
        <w:rPr>
          <w:rFonts w:ascii="Abadi" w:hAnsi="Abadi" w:cs="AmasisMTPro-Light"/>
          <w:sz w:val="21"/>
          <w:szCs w:val="21"/>
        </w:rPr>
      </w:pPr>
      <w:r w:rsidRPr="00DB3FFF">
        <w:rPr>
          <w:rFonts w:ascii="Abadi" w:hAnsi="Abadi" w:cs="AmasisMTPro-Light"/>
          <w:sz w:val="21"/>
          <w:szCs w:val="21"/>
        </w:rPr>
        <w:t>Los municipios con mayores números de personas desaparecidas en el estado</w:t>
      </w:r>
      <w:r>
        <w:rPr>
          <w:rFonts w:ascii="Abadi" w:hAnsi="Abadi" w:cs="AmasisMTPro-Light"/>
          <w:sz w:val="21"/>
          <w:szCs w:val="21"/>
        </w:rPr>
        <w:t xml:space="preserve"> </w:t>
      </w:r>
      <w:r w:rsidRPr="00DB3FFF">
        <w:rPr>
          <w:rFonts w:ascii="Abadi" w:hAnsi="Abadi" w:cs="AmasisMTPro-Light"/>
          <w:sz w:val="21"/>
          <w:szCs w:val="21"/>
        </w:rPr>
        <w:t>de Guanajuato son León, Irapuato, Celaya, Silao y Salamanca, localidades que</w:t>
      </w:r>
      <w:r>
        <w:rPr>
          <w:rFonts w:ascii="Abadi" w:hAnsi="Abadi" w:cs="AmasisMTPro-Light"/>
          <w:sz w:val="21"/>
          <w:szCs w:val="21"/>
        </w:rPr>
        <w:t xml:space="preserve"> </w:t>
      </w:r>
      <w:r w:rsidRPr="00DB3FFF">
        <w:rPr>
          <w:rFonts w:ascii="Abadi" w:hAnsi="Abadi" w:cs="AmasisMTPro-Light"/>
          <w:sz w:val="21"/>
          <w:szCs w:val="21"/>
        </w:rPr>
        <w:t>conforman el corredor industrial y en las cuáles existe una alta influencia del</w:t>
      </w:r>
      <w:r>
        <w:rPr>
          <w:rFonts w:ascii="Abadi" w:hAnsi="Abadi" w:cs="AmasisMTPro-Light"/>
          <w:sz w:val="21"/>
          <w:szCs w:val="21"/>
        </w:rPr>
        <w:t xml:space="preserve"> </w:t>
      </w:r>
      <w:r w:rsidRPr="00DB3FFF">
        <w:rPr>
          <w:rFonts w:ascii="Abadi" w:hAnsi="Abadi" w:cs="AmasisMTPro-Light"/>
          <w:sz w:val="21"/>
          <w:szCs w:val="21"/>
        </w:rPr>
        <w:t>narcotráfico</w:t>
      </w:r>
      <w:r>
        <w:rPr>
          <w:rFonts w:ascii="Abadi" w:hAnsi="Abadi" w:cs="AmasisMTPro-Light"/>
          <w:sz w:val="21"/>
          <w:szCs w:val="21"/>
        </w:rPr>
        <w:t xml:space="preserve"> </w:t>
      </w:r>
      <w:r w:rsidRPr="00DB3FFF">
        <w:rPr>
          <w:rFonts w:ascii="Abadi" w:hAnsi="Abadi" w:cs="AmasisMTPro-Light"/>
          <w:sz w:val="21"/>
          <w:szCs w:val="21"/>
        </w:rPr>
        <w:t>Los hallazgos de fosas clandestinas, como la encontrada en Apaseo el Alto en</w:t>
      </w:r>
      <w:r>
        <w:rPr>
          <w:rFonts w:ascii="Abadi" w:hAnsi="Abadi" w:cs="AmasisMTPro-Light"/>
          <w:sz w:val="21"/>
          <w:szCs w:val="21"/>
        </w:rPr>
        <w:t xml:space="preserve"> </w:t>
      </w:r>
      <w:r w:rsidRPr="00DB3FFF">
        <w:rPr>
          <w:rFonts w:ascii="Abadi" w:hAnsi="Abadi" w:cs="AmasisMTPro-Light"/>
          <w:sz w:val="21"/>
          <w:szCs w:val="21"/>
        </w:rPr>
        <w:t>2009 (donde se encontraron los restos de al menos 14 personas), dejan de</w:t>
      </w:r>
      <w:r>
        <w:rPr>
          <w:rFonts w:ascii="Abadi" w:hAnsi="Abadi" w:cs="AmasisMTPro-Light"/>
          <w:sz w:val="21"/>
          <w:szCs w:val="21"/>
        </w:rPr>
        <w:t xml:space="preserve"> </w:t>
      </w:r>
      <w:r w:rsidRPr="00DB3FFF">
        <w:rPr>
          <w:rFonts w:ascii="Abadi" w:hAnsi="Abadi" w:cs="AmasisMTPro-Light"/>
          <w:sz w:val="21"/>
          <w:szCs w:val="21"/>
        </w:rPr>
        <w:t>manifiesto que han existido irregularidades entre los números de</w:t>
      </w:r>
      <w:r>
        <w:rPr>
          <w:rFonts w:ascii="Abadi" w:hAnsi="Abadi" w:cs="AmasisMTPro-Light"/>
          <w:sz w:val="21"/>
          <w:szCs w:val="21"/>
        </w:rPr>
        <w:t xml:space="preserve"> </w:t>
      </w:r>
      <w:r w:rsidRPr="00DB3FFF">
        <w:rPr>
          <w:rFonts w:ascii="Abadi" w:hAnsi="Abadi" w:cs="AmasisMTPro-Light"/>
          <w:sz w:val="21"/>
          <w:szCs w:val="21"/>
        </w:rPr>
        <w:t>desapariciones reportadas y la incidencia real de este delito.</w:t>
      </w:r>
    </w:p>
    <w:p w14:paraId="155A938F" w14:textId="7EF9B89D" w:rsidR="00A063B4" w:rsidRPr="00DB3FFF" w:rsidRDefault="008A5664" w:rsidP="00A063B4">
      <w:pPr>
        <w:autoSpaceDE w:val="0"/>
        <w:autoSpaceDN w:val="0"/>
        <w:adjustRightInd w:val="0"/>
        <w:jc w:val="both"/>
        <w:rPr>
          <w:rFonts w:ascii="Abadi" w:hAnsi="Abadi" w:cs="AmasisMTPro-Light"/>
          <w:sz w:val="21"/>
          <w:szCs w:val="21"/>
        </w:rPr>
      </w:pPr>
      <w:r w:rsidRPr="00F77F24">
        <w:rPr>
          <w:rFonts w:ascii="Abadi" w:hAnsi="Abadi" w:cs="AmasisMTPro-Light"/>
          <w:noProof/>
          <w:sz w:val="21"/>
          <w:szCs w:val="21"/>
        </w:rPr>
        <w:drawing>
          <wp:anchor distT="0" distB="0" distL="114300" distR="114300" simplePos="0" relativeHeight="251734016" behindDoc="1" locked="0" layoutInCell="1" allowOverlap="1" wp14:anchorId="06B271B3" wp14:editId="5289068E">
            <wp:simplePos x="0" y="0"/>
            <wp:positionH relativeFrom="column">
              <wp:posOffset>3411780</wp:posOffset>
            </wp:positionH>
            <wp:positionV relativeFrom="paragraph">
              <wp:posOffset>57075</wp:posOffset>
            </wp:positionV>
            <wp:extent cx="2624866" cy="2230804"/>
            <wp:effectExtent l="0" t="0" r="4445" b="0"/>
            <wp:wrapTight wrapText="bothSides">
              <wp:wrapPolygon edited="0">
                <wp:start x="0" y="0"/>
                <wp:lineTo x="0" y="21397"/>
                <wp:lineTo x="21480" y="21397"/>
                <wp:lineTo x="21480" y="0"/>
                <wp:lineTo x="0" y="0"/>
              </wp:wrapPolygon>
            </wp:wrapTight>
            <wp:docPr id="6" name="Imagen 5">
              <a:extLst xmlns:a="http://schemas.openxmlformats.org/drawingml/2006/main">
                <a:ext uri="{FF2B5EF4-FFF2-40B4-BE49-F238E27FC236}">
                  <a16:creationId xmlns:a16="http://schemas.microsoft.com/office/drawing/2014/main" id="{C5A00403-067D-40ED-346C-EE8D8AA65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5A00403-067D-40ED-346C-EE8D8AA65EE2}"/>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27895" t="20117" r="27369" b="12281"/>
                    <a:stretch/>
                  </pic:blipFill>
                  <pic:spPr>
                    <a:xfrm>
                      <a:off x="0" y="0"/>
                      <a:ext cx="2627251" cy="2232831"/>
                    </a:xfrm>
                    <a:prstGeom prst="rect">
                      <a:avLst/>
                    </a:prstGeom>
                  </pic:spPr>
                </pic:pic>
              </a:graphicData>
            </a:graphic>
            <wp14:sizeRelH relativeFrom="margin">
              <wp14:pctWidth>0</wp14:pctWidth>
            </wp14:sizeRelH>
            <wp14:sizeRelV relativeFrom="margin">
              <wp14:pctHeight>0</wp14:pctHeight>
            </wp14:sizeRelV>
          </wp:anchor>
        </w:drawing>
      </w:r>
    </w:p>
    <w:p w14:paraId="0F38A70B" w14:textId="77777777" w:rsidR="00E1778C" w:rsidRDefault="00E1778C" w:rsidP="00A063B4">
      <w:pPr>
        <w:autoSpaceDE w:val="0"/>
        <w:autoSpaceDN w:val="0"/>
        <w:adjustRightInd w:val="0"/>
        <w:jc w:val="both"/>
        <w:rPr>
          <w:rFonts w:ascii="Abadi" w:hAnsi="Abadi" w:cs="AmasisMTPro-Light"/>
          <w:sz w:val="21"/>
          <w:szCs w:val="21"/>
        </w:rPr>
      </w:pPr>
    </w:p>
    <w:p w14:paraId="4EDB8820" w14:textId="22890E63" w:rsidR="00A063B4" w:rsidRPr="00DB3FFF" w:rsidRDefault="00A063B4" w:rsidP="00A063B4">
      <w:pPr>
        <w:autoSpaceDE w:val="0"/>
        <w:autoSpaceDN w:val="0"/>
        <w:adjustRightInd w:val="0"/>
        <w:jc w:val="both"/>
        <w:rPr>
          <w:rFonts w:ascii="Abadi" w:hAnsi="Abadi" w:cs="AmasisMTPro-Light"/>
          <w:sz w:val="21"/>
          <w:szCs w:val="21"/>
        </w:rPr>
      </w:pPr>
      <w:r w:rsidRPr="00DB3FFF">
        <w:rPr>
          <w:rFonts w:ascii="Abadi" w:hAnsi="Abadi" w:cs="AmasisMTPro-Light"/>
          <w:sz w:val="21"/>
          <w:szCs w:val="21"/>
        </w:rPr>
        <w:t>Hay una evidente incapacidad actual por parte de las autoridades para la</w:t>
      </w:r>
      <w:r>
        <w:rPr>
          <w:rFonts w:ascii="Abadi" w:hAnsi="Abadi" w:cs="AmasisMTPro-Light"/>
          <w:sz w:val="21"/>
          <w:szCs w:val="21"/>
        </w:rPr>
        <w:t xml:space="preserve"> </w:t>
      </w:r>
      <w:r w:rsidRPr="00DB3FFF">
        <w:rPr>
          <w:rFonts w:ascii="Abadi" w:hAnsi="Abadi" w:cs="AmasisMTPro-Light"/>
          <w:sz w:val="21"/>
          <w:szCs w:val="21"/>
        </w:rPr>
        <w:t>correcta gestión de las labores de búsqueda: a la poca disposición del gobierno</w:t>
      </w:r>
      <w:r>
        <w:rPr>
          <w:rFonts w:ascii="Abadi" w:hAnsi="Abadi" w:cs="AmasisMTPro-Light"/>
          <w:sz w:val="21"/>
          <w:szCs w:val="21"/>
        </w:rPr>
        <w:t xml:space="preserve"> </w:t>
      </w:r>
      <w:r w:rsidRPr="00DB3FFF">
        <w:rPr>
          <w:rFonts w:ascii="Abadi" w:hAnsi="Abadi" w:cs="AmasisMTPro-Light"/>
          <w:sz w:val="21"/>
          <w:szCs w:val="21"/>
        </w:rPr>
        <w:t>actual se suma la falta de ingresos para lograr desarrollar las acciones</w:t>
      </w:r>
      <w:r>
        <w:rPr>
          <w:rFonts w:ascii="Abadi" w:hAnsi="Abadi" w:cs="AmasisMTPro-Light"/>
          <w:sz w:val="21"/>
          <w:szCs w:val="21"/>
        </w:rPr>
        <w:t xml:space="preserve"> </w:t>
      </w:r>
      <w:r w:rsidRPr="00DB3FFF">
        <w:rPr>
          <w:rFonts w:ascii="Abadi" w:hAnsi="Abadi" w:cs="AmasisMTPro-Light"/>
          <w:sz w:val="21"/>
          <w:szCs w:val="21"/>
        </w:rPr>
        <w:t>pertinentes.</w:t>
      </w:r>
    </w:p>
    <w:p w14:paraId="57020FC9" w14:textId="750F668A" w:rsidR="00A063B4" w:rsidRPr="00DB3FFF" w:rsidRDefault="00A063B4" w:rsidP="00A063B4">
      <w:pPr>
        <w:jc w:val="both"/>
        <w:rPr>
          <w:rFonts w:ascii="Abadi" w:hAnsi="Abadi" w:cs="AmasisMTPro-Light"/>
          <w:sz w:val="21"/>
          <w:szCs w:val="21"/>
        </w:rPr>
      </w:pPr>
    </w:p>
    <w:p w14:paraId="6F2C34D1" w14:textId="77777777" w:rsidR="00E1778C" w:rsidRDefault="00E1778C" w:rsidP="00A063B4">
      <w:pPr>
        <w:kinsoku w:val="0"/>
        <w:overflowPunct w:val="0"/>
        <w:autoSpaceDE w:val="0"/>
        <w:autoSpaceDN w:val="0"/>
        <w:adjustRightInd w:val="0"/>
        <w:spacing w:before="3" w:line="264" w:lineRule="auto"/>
        <w:ind w:left="39" w:right="116"/>
        <w:jc w:val="both"/>
        <w:rPr>
          <w:rFonts w:ascii="Abadi" w:hAnsi="Abadi" w:cs="Cambria"/>
          <w:sz w:val="21"/>
          <w:szCs w:val="21"/>
        </w:rPr>
      </w:pPr>
    </w:p>
    <w:p w14:paraId="05247BE6" w14:textId="0B6CFCD5" w:rsidR="00A063B4" w:rsidRPr="00DB3FFF" w:rsidRDefault="00A063B4" w:rsidP="00E65F9A">
      <w:pPr>
        <w:kinsoku w:val="0"/>
        <w:overflowPunct w:val="0"/>
        <w:autoSpaceDE w:val="0"/>
        <w:autoSpaceDN w:val="0"/>
        <w:adjustRightInd w:val="0"/>
        <w:spacing w:before="3" w:line="264" w:lineRule="auto"/>
        <w:ind w:left="39" w:right="116"/>
        <w:jc w:val="both"/>
        <w:rPr>
          <w:rFonts w:ascii="Abadi" w:hAnsi="Abadi" w:cs="Cambria"/>
          <w:w w:val="95"/>
          <w:sz w:val="21"/>
          <w:szCs w:val="21"/>
        </w:rPr>
      </w:pPr>
      <w:r w:rsidRPr="00DB3FFF">
        <w:rPr>
          <w:rFonts w:ascii="Abadi" w:hAnsi="Abadi" w:cs="Cambria"/>
          <w:sz w:val="21"/>
          <w:szCs w:val="21"/>
        </w:rPr>
        <w:t>Las</w:t>
      </w:r>
      <w:r w:rsidRPr="00DB3FFF">
        <w:rPr>
          <w:rFonts w:ascii="Abadi" w:hAnsi="Abadi" w:cs="Cambria"/>
          <w:spacing w:val="63"/>
          <w:sz w:val="21"/>
          <w:szCs w:val="21"/>
        </w:rPr>
        <w:t xml:space="preserve"> </w:t>
      </w:r>
      <w:r w:rsidRPr="00DB3FFF">
        <w:rPr>
          <w:rFonts w:ascii="Abadi" w:hAnsi="Abadi" w:cs="Cambria"/>
          <w:sz w:val="21"/>
          <w:szCs w:val="21"/>
        </w:rPr>
        <w:t>desapariciones</w:t>
      </w:r>
      <w:r w:rsidRPr="00DB3FFF">
        <w:rPr>
          <w:rFonts w:ascii="Abadi" w:hAnsi="Abadi" w:cs="Cambria"/>
          <w:spacing w:val="68"/>
          <w:sz w:val="21"/>
          <w:szCs w:val="21"/>
        </w:rPr>
        <w:t xml:space="preserve"> </w:t>
      </w:r>
      <w:r w:rsidRPr="00DB3FFF">
        <w:rPr>
          <w:rFonts w:ascii="Abadi" w:hAnsi="Abadi" w:cs="Cambria"/>
          <w:sz w:val="21"/>
          <w:szCs w:val="21"/>
        </w:rPr>
        <w:t>no</w:t>
      </w:r>
      <w:r w:rsidRPr="00DB3FFF">
        <w:rPr>
          <w:rFonts w:ascii="Abadi" w:hAnsi="Abadi" w:cs="Cambria"/>
          <w:spacing w:val="74"/>
          <w:sz w:val="21"/>
          <w:szCs w:val="21"/>
        </w:rPr>
        <w:t xml:space="preserve"> </w:t>
      </w:r>
      <w:r w:rsidRPr="00DB3FFF">
        <w:rPr>
          <w:rFonts w:ascii="Abadi" w:hAnsi="Abadi" w:cs="Cambria"/>
          <w:sz w:val="21"/>
          <w:szCs w:val="21"/>
        </w:rPr>
        <w:t>se</w:t>
      </w:r>
      <w:r w:rsidRPr="00DB3FFF">
        <w:rPr>
          <w:rFonts w:ascii="Abadi" w:hAnsi="Abadi" w:cs="Cambria"/>
          <w:spacing w:val="74"/>
          <w:sz w:val="21"/>
          <w:szCs w:val="21"/>
        </w:rPr>
        <w:t xml:space="preserve"> </w:t>
      </w:r>
      <w:r w:rsidRPr="00DB3FFF">
        <w:rPr>
          <w:rFonts w:ascii="Abadi" w:hAnsi="Abadi" w:cs="Cambria"/>
          <w:sz w:val="21"/>
          <w:szCs w:val="21"/>
        </w:rPr>
        <w:t>han</w:t>
      </w:r>
      <w:r w:rsidRPr="00DB3FFF">
        <w:rPr>
          <w:rFonts w:ascii="Abadi" w:hAnsi="Abadi" w:cs="Cambria"/>
          <w:spacing w:val="75"/>
          <w:sz w:val="21"/>
          <w:szCs w:val="21"/>
        </w:rPr>
        <w:t xml:space="preserve"> </w:t>
      </w:r>
      <w:r w:rsidRPr="00DB3FFF">
        <w:rPr>
          <w:rFonts w:ascii="Abadi" w:hAnsi="Abadi" w:cs="Cambria"/>
          <w:sz w:val="21"/>
          <w:szCs w:val="21"/>
        </w:rPr>
        <w:t>investigado</w:t>
      </w:r>
      <w:r w:rsidRPr="00DB3FFF">
        <w:rPr>
          <w:rFonts w:ascii="Abadi" w:hAnsi="Abadi" w:cs="Cambria"/>
          <w:spacing w:val="74"/>
          <w:sz w:val="21"/>
          <w:szCs w:val="21"/>
        </w:rPr>
        <w:t xml:space="preserve"> </w:t>
      </w:r>
      <w:r w:rsidRPr="00DB3FFF">
        <w:rPr>
          <w:rFonts w:ascii="Abadi" w:hAnsi="Abadi" w:cs="Cambria"/>
          <w:sz w:val="21"/>
          <w:szCs w:val="21"/>
        </w:rPr>
        <w:t>con</w:t>
      </w:r>
      <w:r w:rsidRPr="00DB3FFF">
        <w:rPr>
          <w:rFonts w:ascii="Abadi" w:hAnsi="Abadi" w:cs="Cambria"/>
          <w:spacing w:val="75"/>
          <w:sz w:val="21"/>
          <w:szCs w:val="21"/>
        </w:rPr>
        <w:t xml:space="preserve"> </w:t>
      </w:r>
      <w:r w:rsidRPr="00DB3FFF">
        <w:rPr>
          <w:rFonts w:ascii="Abadi" w:hAnsi="Abadi" w:cs="Cambria"/>
          <w:sz w:val="21"/>
          <w:szCs w:val="21"/>
        </w:rPr>
        <w:t>el</w:t>
      </w:r>
      <w:r w:rsidRPr="00DB3FFF">
        <w:rPr>
          <w:rFonts w:ascii="Abadi" w:hAnsi="Abadi" w:cs="Cambria"/>
          <w:spacing w:val="74"/>
          <w:sz w:val="21"/>
          <w:szCs w:val="21"/>
        </w:rPr>
        <w:t xml:space="preserve"> </w:t>
      </w:r>
      <w:r w:rsidRPr="00DB3FFF">
        <w:rPr>
          <w:rFonts w:ascii="Abadi" w:hAnsi="Abadi" w:cs="Cambria"/>
          <w:sz w:val="21"/>
          <w:szCs w:val="21"/>
        </w:rPr>
        <w:t>rigor</w:t>
      </w:r>
      <w:r w:rsidRPr="00DB3FFF">
        <w:rPr>
          <w:rFonts w:ascii="Abadi" w:hAnsi="Abadi" w:cs="Cambria"/>
          <w:spacing w:val="73"/>
          <w:sz w:val="21"/>
          <w:szCs w:val="21"/>
        </w:rPr>
        <w:t xml:space="preserve"> </w:t>
      </w:r>
      <w:r w:rsidRPr="00DB3FFF">
        <w:rPr>
          <w:rFonts w:ascii="Abadi" w:hAnsi="Abadi" w:cs="Cambria"/>
          <w:sz w:val="21"/>
          <w:szCs w:val="21"/>
        </w:rPr>
        <w:t>necesario.</w:t>
      </w:r>
      <w:r w:rsidRPr="00DB3FFF">
        <w:rPr>
          <w:rFonts w:ascii="Abadi" w:hAnsi="Abadi" w:cs="Cambria"/>
          <w:spacing w:val="73"/>
          <w:sz w:val="21"/>
          <w:szCs w:val="21"/>
        </w:rPr>
        <w:t xml:space="preserve"> </w:t>
      </w:r>
      <w:r w:rsidRPr="00DB3FFF">
        <w:rPr>
          <w:rFonts w:ascii="Abadi" w:hAnsi="Abadi" w:cs="Cambria"/>
          <w:sz w:val="21"/>
          <w:szCs w:val="21"/>
        </w:rPr>
        <w:t>El</w:t>
      </w:r>
      <w:r w:rsidRPr="00DB3FFF">
        <w:rPr>
          <w:rFonts w:ascii="Abadi" w:hAnsi="Abadi" w:cs="Cambria"/>
          <w:spacing w:val="-16"/>
          <w:sz w:val="21"/>
          <w:szCs w:val="21"/>
        </w:rPr>
        <w:t xml:space="preserve"> </w:t>
      </w:r>
      <w:r w:rsidRPr="00DB3FFF">
        <w:rPr>
          <w:rFonts w:ascii="Abadi" w:hAnsi="Abadi" w:cs="Cambria"/>
          <w:sz w:val="21"/>
          <w:szCs w:val="21"/>
        </w:rPr>
        <w:t>compromiso</w:t>
      </w:r>
      <w:r w:rsidRPr="00DB3FFF">
        <w:rPr>
          <w:rFonts w:ascii="Abadi" w:hAnsi="Abadi" w:cs="Cambria"/>
          <w:spacing w:val="40"/>
          <w:sz w:val="21"/>
          <w:szCs w:val="21"/>
        </w:rPr>
        <w:t xml:space="preserve"> </w:t>
      </w:r>
      <w:r w:rsidRPr="00DB3FFF">
        <w:rPr>
          <w:rFonts w:ascii="Abadi" w:hAnsi="Abadi" w:cs="Cambria"/>
          <w:sz w:val="21"/>
          <w:szCs w:val="21"/>
        </w:rPr>
        <w:t>del</w:t>
      </w:r>
      <w:r w:rsidRPr="00DB3FFF">
        <w:rPr>
          <w:rFonts w:ascii="Abadi" w:hAnsi="Abadi" w:cs="Cambria"/>
          <w:spacing w:val="40"/>
          <w:sz w:val="21"/>
          <w:szCs w:val="21"/>
        </w:rPr>
        <w:t xml:space="preserve"> </w:t>
      </w:r>
      <w:r w:rsidRPr="00DB3FFF">
        <w:rPr>
          <w:rFonts w:ascii="Abadi" w:hAnsi="Abadi" w:cs="Cambria"/>
          <w:sz w:val="21"/>
          <w:szCs w:val="21"/>
        </w:rPr>
        <w:t>gobierno</w:t>
      </w:r>
      <w:r w:rsidRPr="00DB3FFF">
        <w:rPr>
          <w:rFonts w:ascii="Abadi" w:hAnsi="Abadi" w:cs="Cambria"/>
          <w:spacing w:val="40"/>
          <w:sz w:val="21"/>
          <w:szCs w:val="21"/>
        </w:rPr>
        <w:t xml:space="preserve"> </w:t>
      </w:r>
      <w:r w:rsidRPr="00DB3FFF">
        <w:rPr>
          <w:rFonts w:ascii="Abadi" w:hAnsi="Abadi" w:cs="Cambria"/>
          <w:sz w:val="21"/>
          <w:szCs w:val="21"/>
        </w:rPr>
        <w:t>Federal</w:t>
      </w:r>
      <w:r w:rsidRPr="00DB3FFF">
        <w:rPr>
          <w:rFonts w:ascii="Abadi" w:hAnsi="Abadi" w:cs="Cambria"/>
          <w:spacing w:val="40"/>
          <w:sz w:val="21"/>
          <w:szCs w:val="21"/>
        </w:rPr>
        <w:t xml:space="preserve"> </w:t>
      </w:r>
      <w:r w:rsidRPr="00DB3FFF">
        <w:rPr>
          <w:rFonts w:ascii="Abadi" w:hAnsi="Abadi" w:cs="Cambria"/>
          <w:sz w:val="21"/>
          <w:szCs w:val="21"/>
        </w:rPr>
        <w:t>debe</w:t>
      </w:r>
      <w:r w:rsidRPr="00DB3FFF">
        <w:rPr>
          <w:rFonts w:ascii="Abadi" w:hAnsi="Abadi" w:cs="Cambria"/>
          <w:spacing w:val="40"/>
          <w:sz w:val="21"/>
          <w:szCs w:val="21"/>
        </w:rPr>
        <w:t xml:space="preserve"> </w:t>
      </w:r>
      <w:r w:rsidRPr="00DB3FFF">
        <w:rPr>
          <w:rFonts w:ascii="Abadi" w:hAnsi="Abadi" w:cs="Cambria"/>
          <w:sz w:val="21"/>
          <w:szCs w:val="21"/>
        </w:rPr>
        <w:t>permear</w:t>
      </w:r>
      <w:r w:rsidRPr="00DB3FFF">
        <w:rPr>
          <w:rFonts w:ascii="Abadi" w:hAnsi="Abadi" w:cs="Cambria"/>
          <w:spacing w:val="40"/>
          <w:sz w:val="21"/>
          <w:szCs w:val="21"/>
        </w:rPr>
        <w:t xml:space="preserve"> </w:t>
      </w:r>
      <w:r w:rsidRPr="00DB3FFF">
        <w:rPr>
          <w:rFonts w:ascii="Abadi" w:hAnsi="Abadi" w:cs="Cambria"/>
          <w:sz w:val="21"/>
          <w:szCs w:val="21"/>
        </w:rPr>
        <w:t>las</w:t>
      </w:r>
      <w:r w:rsidRPr="00DB3FFF">
        <w:rPr>
          <w:rFonts w:ascii="Abadi" w:hAnsi="Abadi" w:cs="Cambria"/>
          <w:spacing w:val="40"/>
          <w:sz w:val="21"/>
          <w:szCs w:val="21"/>
        </w:rPr>
        <w:t xml:space="preserve"> </w:t>
      </w:r>
      <w:r w:rsidRPr="00DB3FFF">
        <w:rPr>
          <w:rFonts w:ascii="Abadi" w:hAnsi="Abadi" w:cs="Cambria"/>
          <w:sz w:val="21"/>
          <w:szCs w:val="21"/>
        </w:rPr>
        <w:t>barreras</w:t>
      </w:r>
      <w:r w:rsidRPr="00DB3FFF">
        <w:rPr>
          <w:rFonts w:ascii="Abadi" w:hAnsi="Abadi" w:cs="Cambria"/>
          <w:spacing w:val="40"/>
          <w:sz w:val="21"/>
          <w:szCs w:val="21"/>
        </w:rPr>
        <w:t xml:space="preserve"> </w:t>
      </w:r>
      <w:r w:rsidRPr="00DB3FFF">
        <w:rPr>
          <w:rFonts w:ascii="Abadi" w:hAnsi="Abadi" w:cs="Cambria"/>
          <w:sz w:val="21"/>
          <w:szCs w:val="21"/>
        </w:rPr>
        <w:t>internas</w:t>
      </w:r>
      <w:r w:rsidRPr="00DB3FFF">
        <w:rPr>
          <w:rFonts w:ascii="Abadi" w:hAnsi="Abadi" w:cs="Cambria"/>
          <w:spacing w:val="40"/>
          <w:sz w:val="21"/>
          <w:szCs w:val="21"/>
        </w:rPr>
        <w:t xml:space="preserve"> </w:t>
      </w:r>
      <w:r w:rsidRPr="00DB3FFF">
        <w:rPr>
          <w:rFonts w:ascii="Abadi" w:hAnsi="Abadi" w:cs="Cambria"/>
          <w:sz w:val="21"/>
          <w:szCs w:val="21"/>
        </w:rPr>
        <w:t>y</w:t>
      </w:r>
      <w:r w:rsidRPr="00DB3FFF">
        <w:rPr>
          <w:rFonts w:ascii="Abadi" w:hAnsi="Abadi" w:cs="Cambria"/>
          <w:spacing w:val="-16"/>
          <w:sz w:val="21"/>
          <w:szCs w:val="21"/>
        </w:rPr>
        <w:t xml:space="preserve"> </w:t>
      </w:r>
      <w:r w:rsidRPr="00DB3FFF">
        <w:rPr>
          <w:rFonts w:ascii="Abadi" w:hAnsi="Abadi" w:cs="Cambria"/>
          <w:sz w:val="21"/>
          <w:szCs w:val="21"/>
        </w:rPr>
        <w:t>trabajar</w:t>
      </w:r>
      <w:r w:rsidRPr="00DB3FFF">
        <w:rPr>
          <w:rFonts w:ascii="Abadi" w:hAnsi="Abadi" w:cs="Cambria"/>
          <w:spacing w:val="12"/>
          <w:sz w:val="21"/>
          <w:szCs w:val="21"/>
        </w:rPr>
        <w:t xml:space="preserve"> </w:t>
      </w:r>
      <w:r w:rsidRPr="00DB3FFF">
        <w:rPr>
          <w:rFonts w:ascii="Abadi" w:hAnsi="Abadi" w:cs="Cambria"/>
          <w:sz w:val="21"/>
          <w:szCs w:val="21"/>
        </w:rPr>
        <w:t>en</w:t>
      </w:r>
      <w:r w:rsidRPr="00DB3FFF">
        <w:rPr>
          <w:rFonts w:ascii="Abadi" w:hAnsi="Abadi" w:cs="Cambria"/>
          <w:spacing w:val="12"/>
          <w:sz w:val="21"/>
          <w:szCs w:val="21"/>
        </w:rPr>
        <w:t xml:space="preserve"> </w:t>
      </w:r>
      <w:r w:rsidRPr="00DB3FFF">
        <w:rPr>
          <w:rFonts w:ascii="Abadi" w:hAnsi="Abadi" w:cs="Cambria"/>
          <w:sz w:val="21"/>
          <w:szCs w:val="21"/>
        </w:rPr>
        <w:t>conjunto</w:t>
      </w:r>
      <w:r w:rsidRPr="00DB3FFF">
        <w:rPr>
          <w:rFonts w:ascii="Abadi" w:hAnsi="Abadi" w:cs="Cambria"/>
          <w:spacing w:val="9"/>
          <w:sz w:val="21"/>
          <w:szCs w:val="21"/>
        </w:rPr>
        <w:t xml:space="preserve"> </w:t>
      </w:r>
      <w:r w:rsidRPr="00DB3FFF">
        <w:rPr>
          <w:rFonts w:ascii="Abadi" w:hAnsi="Abadi" w:cs="Cambria"/>
          <w:sz w:val="21"/>
          <w:szCs w:val="21"/>
        </w:rPr>
        <w:t>garantizando</w:t>
      </w:r>
      <w:r w:rsidRPr="00DB3FFF">
        <w:rPr>
          <w:rFonts w:ascii="Abadi" w:hAnsi="Abadi" w:cs="Cambria"/>
          <w:spacing w:val="11"/>
          <w:sz w:val="21"/>
          <w:szCs w:val="21"/>
        </w:rPr>
        <w:t xml:space="preserve"> </w:t>
      </w:r>
      <w:r w:rsidRPr="00DB3FFF">
        <w:rPr>
          <w:rFonts w:ascii="Abadi" w:hAnsi="Abadi" w:cs="Cambria"/>
          <w:sz w:val="21"/>
          <w:szCs w:val="21"/>
        </w:rPr>
        <w:t>los</w:t>
      </w:r>
      <w:r w:rsidRPr="00DB3FFF">
        <w:rPr>
          <w:rFonts w:ascii="Abadi" w:hAnsi="Abadi" w:cs="Cambria"/>
          <w:spacing w:val="11"/>
          <w:sz w:val="21"/>
          <w:szCs w:val="21"/>
        </w:rPr>
        <w:t xml:space="preserve"> </w:t>
      </w:r>
      <w:r w:rsidRPr="00DB3FFF">
        <w:rPr>
          <w:rFonts w:ascii="Abadi" w:hAnsi="Abadi" w:cs="Cambria"/>
          <w:sz w:val="21"/>
          <w:szCs w:val="21"/>
        </w:rPr>
        <w:t>elementos</w:t>
      </w:r>
      <w:r w:rsidRPr="00DB3FFF">
        <w:rPr>
          <w:rFonts w:ascii="Abadi" w:hAnsi="Abadi" w:cs="Cambria"/>
          <w:spacing w:val="11"/>
          <w:sz w:val="21"/>
          <w:szCs w:val="21"/>
        </w:rPr>
        <w:t xml:space="preserve"> </w:t>
      </w:r>
      <w:r w:rsidRPr="00DB3FFF">
        <w:rPr>
          <w:rFonts w:ascii="Abadi" w:hAnsi="Abadi" w:cs="Cambria"/>
          <w:sz w:val="21"/>
          <w:szCs w:val="21"/>
        </w:rPr>
        <w:t>necesarios</w:t>
      </w:r>
      <w:r w:rsidRPr="00DB3FFF">
        <w:rPr>
          <w:rFonts w:ascii="Abadi" w:hAnsi="Abadi" w:cs="Cambria"/>
          <w:spacing w:val="11"/>
          <w:sz w:val="21"/>
          <w:szCs w:val="21"/>
        </w:rPr>
        <w:t xml:space="preserve"> </w:t>
      </w:r>
      <w:r w:rsidRPr="00DB3FFF">
        <w:rPr>
          <w:rFonts w:ascii="Abadi" w:hAnsi="Abadi" w:cs="Cambria"/>
          <w:sz w:val="21"/>
          <w:szCs w:val="21"/>
        </w:rPr>
        <w:t>para</w:t>
      </w:r>
      <w:r w:rsidRPr="00DB3FFF">
        <w:rPr>
          <w:rFonts w:ascii="Abadi" w:hAnsi="Abadi" w:cs="Cambria"/>
          <w:spacing w:val="11"/>
          <w:sz w:val="21"/>
          <w:szCs w:val="21"/>
        </w:rPr>
        <w:t xml:space="preserve"> </w:t>
      </w:r>
      <w:r w:rsidRPr="00DB3FFF">
        <w:rPr>
          <w:rFonts w:ascii="Abadi" w:hAnsi="Abadi" w:cs="Cambria"/>
          <w:sz w:val="21"/>
          <w:szCs w:val="21"/>
        </w:rPr>
        <w:t>su</w:t>
      </w:r>
      <w:r w:rsidRPr="00DB3FFF">
        <w:rPr>
          <w:rFonts w:ascii="Abadi" w:hAnsi="Abadi" w:cs="Cambria"/>
          <w:spacing w:val="12"/>
          <w:sz w:val="21"/>
          <w:szCs w:val="21"/>
        </w:rPr>
        <w:t xml:space="preserve"> </w:t>
      </w:r>
      <w:r w:rsidRPr="00DB3FFF">
        <w:rPr>
          <w:rFonts w:ascii="Abadi" w:hAnsi="Abadi" w:cs="Cambria"/>
          <w:sz w:val="21"/>
          <w:szCs w:val="21"/>
        </w:rPr>
        <w:t>trabajo</w:t>
      </w:r>
      <w:r>
        <w:rPr>
          <w:rFonts w:ascii="Abadi" w:hAnsi="Abadi" w:cs="Cambria"/>
          <w:sz w:val="21"/>
          <w:szCs w:val="21"/>
        </w:rPr>
        <w:t xml:space="preserve"> </w:t>
      </w:r>
      <w:r w:rsidRPr="00DB3FFF">
        <w:rPr>
          <w:rFonts w:ascii="Abadi" w:hAnsi="Abadi" w:cs="Cambria"/>
          <w:w w:val="95"/>
          <w:sz w:val="21"/>
          <w:szCs w:val="21"/>
        </w:rPr>
        <w:t>como organismos de justicia y exigiendo al mismo tiempo resultados.</w:t>
      </w:r>
    </w:p>
    <w:p w14:paraId="590BAF93" w14:textId="47A8154E" w:rsidR="00E1778C" w:rsidRDefault="00E1778C" w:rsidP="00A063B4">
      <w:pPr>
        <w:jc w:val="both"/>
        <w:rPr>
          <w:rFonts w:ascii="Abadi" w:hAnsi="Abadi"/>
          <w:sz w:val="21"/>
          <w:szCs w:val="21"/>
        </w:rPr>
      </w:pPr>
      <w:r w:rsidRPr="006D19D6">
        <w:rPr>
          <w:rFonts w:ascii="Abadi" w:hAnsi="Abadi"/>
          <w:noProof/>
          <w:sz w:val="21"/>
          <w:szCs w:val="21"/>
        </w:rPr>
        <w:drawing>
          <wp:anchor distT="0" distB="0" distL="114300" distR="114300" simplePos="0" relativeHeight="251732992" behindDoc="1" locked="0" layoutInCell="1" allowOverlap="1" wp14:anchorId="3952F07A" wp14:editId="7C29C0E5">
            <wp:simplePos x="0" y="0"/>
            <wp:positionH relativeFrom="column">
              <wp:posOffset>473113</wp:posOffset>
            </wp:positionH>
            <wp:positionV relativeFrom="paragraph">
              <wp:posOffset>63463</wp:posOffset>
            </wp:positionV>
            <wp:extent cx="1807210" cy="2358390"/>
            <wp:effectExtent l="0" t="0" r="3175" b="0"/>
            <wp:wrapTight wrapText="bothSides">
              <wp:wrapPolygon edited="0">
                <wp:start x="0" y="0"/>
                <wp:lineTo x="0" y="21407"/>
                <wp:lineTo x="21390" y="21407"/>
                <wp:lineTo x="21390" y="0"/>
                <wp:lineTo x="0" y="0"/>
              </wp:wrapPolygon>
            </wp:wrapTight>
            <wp:docPr id="2" name="Imagen 4">
              <a:extLst xmlns:a="http://schemas.openxmlformats.org/drawingml/2006/main">
                <a:ext uri="{FF2B5EF4-FFF2-40B4-BE49-F238E27FC236}">
                  <a16:creationId xmlns:a16="http://schemas.microsoft.com/office/drawing/2014/main" id="{52AD5BD3-BC04-A7A8-FC31-26CEAE340B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2AD5BD3-BC04-A7A8-FC31-26CEAE340B4F}"/>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34210" t="19457" r="34948" b="8978"/>
                    <a:stretch/>
                  </pic:blipFill>
                  <pic:spPr>
                    <a:xfrm>
                      <a:off x="0" y="0"/>
                      <a:ext cx="1807210" cy="2358390"/>
                    </a:xfrm>
                    <a:prstGeom prst="rect">
                      <a:avLst/>
                    </a:prstGeom>
                  </pic:spPr>
                </pic:pic>
              </a:graphicData>
            </a:graphic>
            <wp14:sizeRelH relativeFrom="margin">
              <wp14:pctWidth>0</wp14:pctWidth>
            </wp14:sizeRelH>
            <wp14:sizeRelV relativeFrom="margin">
              <wp14:pctHeight>0</wp14:pctHeight>
            </wp14:sizeRelV>
          </wp:anchor>
        </w:drawing>
      </w:r>
    </w:p>
    <w:p w14:paraId="4383B249" w14:textId="2E5B6EBE" w:rsidR="00E1778C" w:rsidRDefault="00E1778C" w:rsidP="00A063B4">
      <w:pPr>
        <w:jc w:val="both"/>
        <w:rPr>
          <w:rFonts w:ascii="Abadi" w:hAnsi="Abadi"/>
          <w:sz w:val="21"/>
          <w:szCs w:val="21"/>
        </w:rPr>
      </w:pPr>
    </w:p>
    <w:p w14:paraId="04B428CC" w14:textId="0E8DCF50" w:rsidR="00E1778C" w:rsidRDefault="00E1778C" w:rsidP="00A063B4">
      <w:pPr>
        <w:jc w:val="both"/>
        <w:rPr>
          <w:rFonts w:ascii="Abadi" w:hAnsi="Abadi"/>
          <w:sz w:val="21"/>
          <w:szCs w:val="21"/>
        </w:rPr>
      </w:pPr>
    </w:p>
    <w:p w14:paraId="7156E230" w14:textId="7F1CC81F" w:rsidR="00E1778C" w:rsidRDefault="00E1778C" w:rsidP="00A063B4">
      <w:pPr>
        <w:jc w:val="both"/>
        <w:rPr>
          <w:rFonts w:ascii="Abadi" w:hAnsi="Abadi"/>
          <w:sz w:val="21"/>
          <w:szCs w:val="21"/>
        </w:rPr>
      </w:pPr>
    </w:p>
    <w:p w14:paraId="2E0CA432" w14:textId="2D0BE0D2" w:rsidR="00E1778C" w:rsidRDefault="00E1778C" w:rsidP="00A063B4">
      <w:pPr>
        <w:jc w:val="both"/>
        <w:rPr>
          <w:rFonts w:ascii="Abadi" w:hAnsi="Abadi"/>
          <w:sz w:val="21"/>
          <w:szCs w:val="21"/>
        </w:rPr>
      </w:pPr>
    </w:p>
    <w:p w14:paraId="4CC173B8" w14:textId="34813F73" w:rsidR="00E1778C" w:rsidRDefault="00E1778C" w:rsidP="00A063B4">
      <w:pPr>
        <w:jc w:val="both"/>
        <w:rPr>
          <w:rFonts w:ascii="Abadi" w:hAnsi="Abadi"/>
          <w:sz w:val="21"/>
          <w:szCs w:val="21"/>
        </w:rPr>
      </w:pPr>
    </w:p>
    <w:p w14:paraId="5D6BDDF1" w14:textId="3900BC51" w:rsidR="00E1778C" w:rsidRDefault="00E1778C" w:rsidP="00A063B4">
      <w:pPr>
        <w:jc w:val="both"/>
        <w:rPr>
          <w:rFonts w:ascii="Abadi" w:hAnsi="Abadi"/>
          <w:sz w:val="21"/>
          <w:szCs w:val="21"/>
        </w:rPr>
      </w:pPr>
    </w:p>
    <w:p w14:paraId="201E25DB" w14:textId="77777777" w:rsidR="00E1778C" w:rsidRDefault="00E1778C" w:rsidP="00A063B4">
      <w:pPr>
        <w:jc w:val="both"/>
        <w:rPr>
          <w:rFonts w:ascii="Abadi" w:hAnsi="Abadi"/>
          <w:sz w:val="21"/>
          <w:szCs w:val="21"/>
        </w:rPr>
      </w:pPr>
    </w:p>
    <w:p w14:paraId="32FE484F" w14:textId="38985956" w:rsidR="00E1778C" w:rsidRDefault="00E1778C" w:rsidP="00A063B4">
      <w:pPr>
        <w:autoSpaceDE w:val="0"/>
        <w:autoSpaceDN w:val="0"/>
        <w:adjustRightInd w:val="0"/>
        <w:jc w:val="both"/>
        <w:rPr>
          <w:rFonts w:ascii="Abadi" w:hAnsi="Abadi" w:cs="AmasisMTPro-Light"/>
          <w:sz w:val="21"/>
          <w:szCs w:val="21"/>
        </w:rPr>
      </w:pPr>
    </w:p>
    <w:p w14:paraId="175336FA" w14:textId="77777777" w:rsidR="00E1778C" w:rsidRDefault="00E1778C" w:rsidP="00A063B4">
      <w:pPr>
        <w:autoSpaceDE w:val="0"/>
        <w:autoSpaceDN w:val="0"/>
        <w:adjustRightInd w:val="0"/>
        <w:jc w:val="both"/>
        <w:rPr>
          <w:rFonts w:ascii="Abadi" w:hAnsi="Abadi" w:cs="AmasisMTPro-Light"/>
          <w:sz w:val="21"/>
          <w:szCs w:val="21"/>
        </w:rPr>
      </w:pPr>
    </w:p>
    <w:p w14:paraId="770BC56D" w14:textId="77777777" w:rsidR="00E1778C" w:rsidRDefault="00E1778C" w:rsidP="00A063B4">
      <w:pPr>
        <w:autoSpaceDE w:val="0"/>
        <w:autoSpaceDN w:val="0"/>
        <w:adjustRightInd w:val="0"/>
        <w:jc w:val="both"/>
        <w:rPr>
          <w:rFonts w:ascii="Abadi" w:hAnsi="Abadi" w:cs="AmasisMTPro-Light"/>
          <w:sz w:val="21"/>
          <w:szCs w:val="21"/>
        </w:rPr>
      </w:pPr>
    </w:p>
    <w:p w14:paraId="71BBA841" w14:textId="79278E4C" w:rsidR="00E1778C" w:rsidRDefault="00E1778C" w:rsidP="00A063B4">
      <w:pPr>
        <w:autoSpaceDE w:val="0"/>
        <w:autoSpaceDN w:val="0"/>
        <w:adjustRightInd w:val="0"/>
        <w:jc w:val="both"/>
        <w:rPr>
          <w:rFonts w:ascii="Abadi" w:hAnsi="Abadi" w:cs="AmasisMTPro-Light"/>
          <w:sz w:val="21"/>
          <w:szCs w:val="21"/>
        </w:rPr>
      </w:pPr>
    </w:p>
    <w:p w14:paraId="7EED767F" w14:textId="77777777" w:rsidR="00E1778C" w:rsidRDefault="00E1778C" w:rsidP="00A063B4">
      <w:pPr>
        <w:autoSpaceDE w:val="0"/>
        <w:autoSpaceDN w:val="0"/>
        <w:adjustRightInd w:val="0"/>
        <w:jc w:val="both"/>
        <w:rPr>
          <w:rFonts w:ascii="Abadi" w:hAnsi="Abadi" w:cs="AmasisMTPro-Light"/>
          <w:sz w:val="21"/>
          <w:szCs w:val="21"/>
        </w:rPr>
      </w:pPr>
    </w:p>
    <w:p w14:paraId="3BB86FB1" w14:textId="77777777" w:rsidR="00E1778C" w:rsidRDefault="00E1778C" w:rsidP="00A063B4">
      <w:pPr>
        <w:autoSpaceDE w:val="0"/>
        <w:autoSpaceDN w:val="0"/>
        <w:adjustRightInd w:val="0"/>
        <w:jc w:val="both"/>
        <w:rPr>
          <w:rFonts w:ascii="Abadi" w:hAnsi="Abadi" w:cs="AmasisMTPro-Light"/>
          <w:sz w:val="21"/>
          <w:szCs w:val="21"/>
        </w:rPr>
      </w:pPr>
    </w:p>
    <w:p w14:paraId="2F3FBF4E" w14:textId="77777777" w:rsidR="00E1778C" w:rsidRDefault="00E1778C" w:rsidP="00A063B4">
      <w:pPr>
        <w:autoSpaceDE w:val="0"/>
        <w:autoSpaceDN w:val="0"/>
        <w:adjustRightInd w:val="0"/>
        <w:jc w:val="both"/>
        <w:rPr>
          <w:rFonts w:ascii="Abadi" w:hAnsi="Abadi" w:cs="AmasisMTPro-Light"/>
          <w:sz w:val="21"/>
          <w:szCs w:val="21"/>
        </w:rPr>
      </w:pPr>
    </w:p>
    <w:p w14:paraId="3D6218DF" w14:textId="5ADF3DE6" w:rsidR="00E1778C" w:rsidRDefault="00E1778C" w:rsidP="00A063B4">
      <w:pPr>
        <w:autoSpaceDE w:val="0"/>
        <w:autoSpaceDN w:val="0"/>
        <w:adjustRightInd w:val="0"/>
        <w:jc w:val="both"/>
        <w:rPr>
          <w:rFonts w:ascii="Abadi" w:hAnsi="Abadi" w:cs="AmasisMTPro-Light"/>
          <w:sz w:val="21"/>
          <w:szCs w:val="21"/>
        </w:rPr>
      </w:pPr>
    </w:p>
    <w:p w14:paraId="4FC5A006" w14:textId="77777777" w:rsidR="00E1778C" w:rsidRDefault="00E1778C" w:rsidP="00A063B4">
      <w:pPr>
        <w:autoSpaceDE w:val="0"/>
        <w:autoSpaceDN w:val="0"/>
        <w:adjustRightInd w:val="0"/>
        <w:jc w:val="both"/>
        <w:rPr>
          <w:rFonts w:ascii="Abadi" w:hAnsi="Abadi" w:cs="AmasisMTPro-Light"/>
          <w:sz w:val="21"/>
          <w:szCs w:val="21"/>
        </w:rPr>
      </w:pPr>
    </w:p>
    <w:p w14:paraId="6C5077FF" w14:textId="794F2823" w:rsidR="00A063B4" w:rsidRDefault="00E1778C" w:rsidP="00A063B4">
      <w:pPr>
        <w:autoSpaceDE w:val="0"/>
        <w:autoSpaceDN w:val="0"/>
        <w:adjustRightInd w:val="0"/>
        <w:jc w:val="both"/>
        <w:rPr>
          <w:rFonts w:ascii="Abadi" w:hAnsi="Abadi" w:cs="AmasisMTPro-Light"/>
          <w:sz w:val="21"/>
          <w:szCs w:val="21"/>
        </w:rPr>
      </w:pPr>
      <w:r>
        <w:rPr>
          <w:rFonts w:ascii="Abadi" w:hAnsi="Abadi" w:cs="AmasisMTPro-Light"/>
          <w:sz w:val="21"/>
          <w:szCs w:val="21"/>
        </w:rPr>
        <w:t>S</w:t>
      </w:r>
      <w:r w:rsidR="00A063B4" w:rsidRPr="00DB3FFF">
        <w:rPr>
          <w:rFonts w:ascii="Abadi" w:hAnsi="Abadi" w:cs="AmasisMTPro-Light"/>
          <w:sz w:val="21"/>
          <w:szCs w:val="21"/>
        </w:rPr>
        <w:t>egún el Centro Nacional de Planeación, Análisis e Información para el</w:t>
      </w:r>
      <w:r w:rsidR="00A063B4">
        <w:rPr>
          <w:rFonts w:ascii="Abadi" w:hAnsi="Abadi" w:cs="AmasisMTPro-Light"/>
          <w:sz w:val="21"/>
          <w:szCs w:val="21"/>
        </w:rPr>
        <w:t xml:space="preserve"> </w:t>
      </w:r>
      <w:r w:rsidR="00A063B4" w:rsidRPr="00DB3FFF">
        <w:rPr>
          <w:rFonts w:ascii="Abadi" w:hAnsi="Abadi" w:cs="AmasisMTPro-Light"/>
          <w:sz w:val="21"/>
          <w:szCs w:val="21"/>
        </w:rPr>
        <w:t>Combate a la Delincuencia (Cenapi), la cantidad de personas desaparecidas</w:t>
      </w:r>
      <w:r w:rsidR="00A063B4">
        <w:rPr>
          <w:rFonts w:ascii="Abadi" w:hAnsi="Abadi" w:cs="AmasisMTPro-Light"/>
          <w:sz w:val="21"/>
          <w:szCs w:val="21"/>
        </w:rPr>
        <w:t xml:space="preserve"> </w:t>
      </w:r>
      <w:r w:rsidR="00A063B4" w:rsidRPr="00DB3FFF">
        <w:rPr>
          <w:rFonts w:ascii="Abadi" w:hAnsi="Abadi" w:cs="AmasisMTPro-Light"/>
          <w:sz w:val="21"/>
          <w:szCs w:val="21"/>
        </w:rPr>
        <w:t>que fueron posteriormente encontradas con vida fue del 99.3% en el 2007. Las</w:t>
      </w:r>
      <w:r w:rsidR="00A063B4">
        <w:rPr>
          <w:rFonts w:ascii="Abadi" w:hAnsi="Abadi" w:cs="AmasisMTPro-Light"/>
          <w:sz w:val="21"/>
          <w:szCs w:val="21"/>
        </w:rPr>
        <w:t xml:space="preserve"> </w:t>
      </w:r>
      <w:r w:rsidR="00A063B4" w:rsidRPr="00DB3FFF">
        <w:rPr>
          <w:rFonts w:ascii="Abadi" w:hAnsi="Abadi" w:cs="AmasisMTPro-Light"/>
          <w:sz w:val="21"/>
          <w:szCs w:val="21"/>
        </w:rPr>
        <w:t>cifras siguen presentando un inquietante porcentaje alto de personas halladas</w:t>
      </w:r>
      <w:r w:rsidR="00A063B4">
        <w:rPr>
          <w:rFonts w:ascii="Abadi" w:hAnsi="Abadi" w:cs="AmasisMTPro-Light"/>
          <w:sz w:val="21"/>
          <w:szCs w:val="21"/>
        </w:rPr>
        <w:t xml:space="preserve"> </w:t>
      </w:r>
      <w:r w:rsidR="00A063B4" w:rsidRPr="00DB3FFF">
        <w:rPr>
          <w:rFonts w:ascii="Abadi" w:hAnsi="Abadi" w:cs="AmasisMTPro-Light"/>
          <w:sz w:val="21"/>
          <w:szCs w:val="21"/>
        </w:rPr>
        <w:t>vivas hasta 2015. Inquietante, porque resulta contradictorio que las búsquedas</w:t>
      </w:r>
      <w:r w:rsidR="00A063B4">
        <w:rPr>
          <w:rFonts w:ascii="Abadi" w:hAnsi="Abadi" w:cs="AmasisMTPro-Light"/>
          <w:sz w:val="21"/>
          <w:szCs w:val="21"/>
        </w:rPr>
        <w:t xml:space="preserve"> </w:t>
      </w:r>
      <w:r w:rsidR="00A063B4" w:rsidRPr="00DB3FFF">
        <w:rPr>
          <w:rFonts w:ascii="Abadi" w:hAnsi="Abadi" w:cs="AmasisMTPro-Light"/>
          <w:sz w:val="21"/>
          <w:szCs w:val="21"/>
        </w:rPr>
        <w:t>y hallazgos sean tan fructíferas en un estado con violencia al alza y con pocos</w:t>
      </w:r>
      <w:r w:rsidR="00A063B4">
        <w:rPr>
          <w:rFonts w:ascii="Abadi" w:hAnsi="Abadi" w:cs="AmasisMTPro-Light"/>
          <w:sz w:val="21"/>
          <w:szCs w:val="21"/>
        </w:rPr>
        <w:t xml:space="preserve"> </w:t>
      </w:r>
      <w:r w:rsidR="00A063B4" w:rsidRPr="00DB3FFF">
        <w:rPr>
          <w:rFonts w:ascii="Abadi" w:hAnsi="Abadi" w:cs="AmasisMTPro-Light"/>
          <w:sz w:val="21"/>
          <w:szCs w:val="21"/>
        </w:rPr>
        <w:t>resultados de la fiscalía en otros aspectos. Sin embargo, existe para mediados</w:t>
      </w:r>
      <w:r w:rsidR="00A063B4">
        <w:rPr>
          <w:rFonts w:ascii="Abadi" w:hAnsi="Abadi" w:cs="AmasisMTPro-Light"/>
          <w:sz w:val="21"/>
          <w:szCs w:val="21"/>
        </w:rPr>
        <w:t xml:space="preserve"> </w:t>
      </w:r>
      <w:r w:rsidR="00A063B4" w:rsidRPr="00DB3FFF">
        <w:rPr>
          <w:rFonts w:ascii="Abadi" w:hAnsi="Abadi" w:cs="AmasisMTPro-Light"/>
          <w:sz w:val="21"/>
          <w:szCs w:val="21"/>
        </w:rPr>
        <w:t>del mes de mayo de 2022 una cifra de alrededor de 2600 personas que todavía</w:t>
      </w:r>
      <w:r w:rsidR="00A063B4">
        <w:rPr>
          <w:rFonts w:ascii="Abadi" w:hAnsi="Abadi" w:cs="AmasisMTPro-Light"/>
          <w:sz w:val="21"/>
          <w:szCs w:val="21"/>
        </w:rPr>
        <w:t xml:space="preserve"> </w:t>
      </w:r>
      <w:r w:rsidR="00A063B4" w:rsidRPr="00DB3FFF">
        <w:rPr>
          <w:rFonts w:ascii="Abadi" w:hAnsi="Abadi" w:cs="AmasisMTPro-Light"/>
          <w:sz w:val="21"/>
          <w:szCs w:val="21"/>
        </w:rPr>
        <w:t>se encuentran desaparecidas. Es notoria una disparidad enorme en los últimos</w:t>
      </w:r>
      <w:r w:rsidR="00377560">
        <w:rPr>
          <w:rFonts w:ascii="Abadi" w:hAnsi="Abadi" w:cs="AmasisMTPro-Light"/>
          <w:sz w:val="21"/>
          <w:szCs w:val="21"/>
        </w:rPr>
        <w:t xml:space="preserve"> </w:t>
      </w:r>
      <w:r w:rsidR="00A063B4" w:rsidRPr="00DB3FFF">
        <w:rPr>
          <w:rFonts w:ascii="Abadi" w:hAnsi="Abadi" w:cs="AmasisMTPro-Light"/>
          <w:sz w:val="21"/>
          <w:szCs w:val="21"/>
        </w:rPr>
        <w:t>años, evidenciando que al Estado le hace falta ejercer mecanismos más</w:t>
      </w:r>
      <w:r w:rsidR="00A063B4">
        <w:rPr>
          <w:rFonts w:ascii="Abadi" w:hAnsi="Abadi" w:cs="AmasisMTPro-Light"/>
          <w:sz w:val="21"/>
          <w:szCs w:val="21"/>
        </w:rPr>
        <w:t xml:space="preserve"> </w:t>
      </w:r>
      <w:r w:rsidR="00A063B4" w:rsidRPr="00DB3FFF">
        <w:rPr>
          <w:rFonts w:ascii="Abadi" w:hAnsi="Abadi" w:cs="AmasisMTPro-Light"/>
          <w:sz w:val="21"/>
          <w:szCs w:val="21"/>
        </w:rPr>
        <w:t>eficientes y contar con mayores recursos para las búsquedas. Se debe facilitar</w:t>
      </w:r>
      <w:r w:rsidR="00A063B4">
        <w:rPr>
          <w:rFonts w:ascii="Abadi" w:hAnsi="Abadi" w:cs="AmasisMTPro-Light"/>
          <w:sz w:val="21"/>
          <w:szCs w:val="21"/>
        </w:rPr>
        <w:t xml:space="preserve"> </w:t>
      </w:r>
      <w:r w:rsidR="00A063B4" w:rsidRPr="00DB3FFF">
        <w:rPr>
          <w:rFonts w:ascii="Abadi" w:hAnsi="Abadi" w:cs="AmasisMTPro-Light"/>
          <w:sz w:val="21"/>
          <w:szCs w:val="21"/>
        </w:rPr>
        <w:t>el recurso al Estado de Guanajuato para poder develar el destino de todos los</w:t>
      </w:r>
      <w:r w:rsidR="00A063B4">
        <w:rPr>
          <w:rFonts w:ascii="Abadi" w:hAnsi="Abadi" w:cs="AmasisMTPro-Light"/>
          <w:sz w:val="21"/>
          <w:szCs w:val="21"/>
        </w:rPr>
        <w:t xml:space="preserve"> </w:t>
      </w:r>
      <w:r w:rsidR="00A063B4" w:rsidRPr="00DB3FFF">
        <w:rPr>
          <w:rFonts w:ascii="Abadi" w:hAnsi="Abadi" w:cs="AmasisMTPro-Light"/>
          <w:sz w:val="21"/>
          <w:szCs w:val="21"/>
        </w:rPr>
        <w:t>seres humanos reportados como desaparecidos.</w:t>
      </w:r>
    </w:p>
    <w:p w14:paraId="509990B9" w14:textId="7DA6E0B4" w:rsidR="00377560" w:rsidRDefault="00377560" w:rsidP="00A063B4">
      <w:pPr>
        <w:autoSpaceDE w:val="0"/>
        <w:autoSpaceDN w:val="0"/>
        <w:adjustRightInd w:val="0"/>
        <w:jc w:val="both"/>
        <w:rPr>
          <w:rFonts w:ascii="Abadi" w:hAnsi="Abadi" w:cs="AmasisMTPro-Light"/>
          <w:sz w:val="21"/>
          <w:szCs w:val="21"/>
        </w:rPr>
      </w:pPr>
    </w:p>
    <w:p w14:paraId="4B0BA76A" w14:textId="39281751" w:rsidR="00A063B4" w:rsidRPr="00DB3FFF" w:rsidRDefault="00F77F24" w:rsidP="00E1778C">
      <w:pPr>
        <w:autoSpaceDE w:val="0"/>
        <w:autoSpaceDN w:val="0"/>
        <w:adjustRightInd w:val="0"/>
        <w:jc w:val="both"/>
        <w:rPr>
          <w:rFonts w:ascii="Abadi" w:hAnsi="Abadi" w:cs="AmasisMTPro-Light"/>
          <w:sz w:val="21"/>
          <w:szCs w:val="21"/>
        </w:rPr>
      </w:pPr>
      <w:r>
        <w:rPr>
          <w:rFonts w:ascii="Abadi" w:hAnsi="Abadi" w:cs="AmasisMTPro-Light"/>
          <w:sz w:val="21"/>
          <w:szCs w:val="21"/>
        </w:rPr>
        <w:t>E</w:t>
      </w:r>
      <w:r w:rsidR="00A063B4" w:rsidRPr="00DB3FFF">
        <w:rPr>
          <w:rFonts w:ascii="Abadi" w:hAnsi="Abadi" w:cs="AmasisMTPro-Light"/>
          <w:sz w:val="21"/>
          <w:szCs w:val="21"/>
        </w:rPr>
        <w:t>stamos a tiempo de escuchar las alertas, dar el seguimiento correcto a las</w:t>
      </w:r>
      <w:r w:rsidR="00A063B4">
        <w:rPr>
          <w:rFonts w:ascii="Abadi" w:hAnsi="Abadi" w:cs="AmasisMTPro-Light"/>
          <w:sz w:val="21"/>
          <w:szCs w:val="21"/>
        </w:rPr>
        <w:t xml:space="preserve"> </w:t>
      </w:r>
      <w:r w:rsidR="00A063B4" w:rsidRPr="00DB3FFF">
        <w:rPr>
          <w:rFonts w:ascii="Abadi" w:hAnsi="Abadi" w:cs="AmasisMTPro-Light"/>
          <w:sz w:val="21"/>
          <w:szCs w:val="21"/>
        </w:rPr>
        <w:t>desapariciones conlleva realizar una estadística sin maquillaje, enunciando las</w:t>
      </w:r>
      <w:r w:rsidR="00A063B4">
        <w:rPr>
          <w:rFonts w:ascii="Abadi" w:hAnsi="Abadi" w:cs="AmasisMTPro-Light"/>
          <w:sz w:val="21"/>
          <w:szCs w:val="21"/>
        </w:rPr>
        <w:t xml:space="preserve"> </w:t>
      </w:r>
      <w:r w:rsidR="00A063B4" w:rsidRPr="00DB3FFF">
        <w:rPr>
          <w:rFonts w:ascii="Abadi" w:hAnsi="Abadi" w:cs="AmasisMTPro-Light"/>
          <w:sz w:val="21"/>
          <w:szCs w:val="21"/>
        </w:rPr>
        <w:t>causas, fechas, sitios y condiciones de las desapariciones. Para un estado con</w:t>
      </w:r>
      <w:r w:rsidR="00A063B4">
        <w:rPr>
          <w:rFonts w:ascii="Abadi" w:hAnsi="Abadi" w:cs="AmasisMTPro-Light"/>
          <w:sz w:val="21"/>
          <w:szCs w:val="21"/>
        </w:rPr>
        <w:t xml:space="preserve"> </w:t>
      </w:r>
      <w:r w:rsidR="00A063B4" w:rsidRPr="00DB3FFF">
        <w:rPr>
          <w:rFonts w:ascii="Abadi" w:hAnsi="Abadi" w:cs="AmasisMTPro-Light"/>
          <w:sz w:val="21"/>
          <w:szCs w:val="21"/>
        </w:rPr>
        <w:t>índices altos de violencia es de vital importancia tener plena conciencia de los</w:t>
      </w:r>
      <w:r w:rsidR="00A063B4">
        <w:rPr>
          <w:rFonts w:ascii="Abadi" w:hAnsi="Abadi" w:cs="AmasisMTPro-Light"/>
          <w:sz w:val="21"/>
          <w:szCs w:val="21"/>
        </w:rPr>
        <w:t xml:space="preserve"> </w:t>
      </w:r>
      <w:r w:rsidR="00A063B4" w:rsidRPr="00DB3FFF">
        <w:rPr>
          <w:rFonts w:ascii="Abadi" w:hAnsi="Abadi" w:cs="AmasisMTPro-Light"/>
          <w:sz w:val="21"/>
          <w:szCs w:val="21"/>
        </w:rPr>
        <w:t>móviles y espacios que permiten y fomentan toda la serie de delitos vinculados,</w:t>
      </w:r>
      <w:r w:rsidR="00E1778C">
        <w:rPr>
          <w:rFonts w:ascii="Abadi" w:hAnsi="Abadi" w:cs="AmasisMTPro-Light"/>
          <w:sz w:val="21"/>
          <w:szCs w:val="21"/>
        </w:rPr>
        <w:t xml:space="preserve"> </w:t>
      </w:r>
      <w:r w:rsidR="00A063B4" w:rsidRPr="00DB3FFF">
        <w:rPr>
          <w:rFonts w:ascii="Abadi" w:hAnsi="Abadi" w:cs="AmasisMTPro-Light"/>
          <w:sz w:val="21"/>
          <w:szCs w:val="21"/>
        </w:rPr>
        <w:t>como los secuestros, homicidios y la trata de personas.</w:t>
      </w:r>
    </w:p>
    <w:p w14:paraId="1922645A" w14:textId="582F6FC0" w:rsidR="00A063B4" w:rsidRPr="00DB3FFF" w:rsidRDefault="00A063B4" w:rsidP="00A063B4">
      <w:pPr>
        <w:jc w:val="both"/>
        <w:rPr>
          <w:rFonts w:ascii="Abadi" w:hAnsi="Abadi" w:cs="AmasisMTPro-Light"/>
          <w:sz w:val="21"/>
          <w:szCs w:val="21"/>
        </w:rPr>
      </w:pPr>
    </w:p>
    <w:p w14:paraId="5770982D" w14:textId="77777777" w:rsidR="00A063B4" w:rsidRDefault="00A063B4" w:rsidP="00A063B4">
      <w:pPr>
        <w:autoSpaceDE w:val="0"/>
        <w:autoSpaceDN w:val="0"/>
        <w:adjustRightInd w:val="0"/>
        <w:jc w:val="both"/>
        <w:rPr>
          <w:rFonts w:ascii="Abadi" w:hAnsi="Abadi" w:cs="AmasisMTPro-Light"/>
          <w:sz w:val="21"/>
          <w:szCs w:val="21"/>
        </w:rPr>
      </w:pPr>
      <w:r w:rsidRPr="00DB3FFF">
        <w:rPr>
          <w:rFonts w:ascii="Abadi" w:hAnsi="Abadi" w:cs="AmasisMTPro-Light"/>
          <w:sz w:val="21"/>
          <w:szCs w:val="21"/>
        </w:rPr>
        <w:t>La garantía de recursos con constancia y suficiencia debe enmarcarse de forma</w:t>
      </w:r>
      <w:r>
        <w:rPr>
          <w:rFonts w:ascii="Abadi" w:hAnsi="Abadi" w:cs="AmasisMTPro-Light"/>
          <w:sz w:val="21"/>
          <w:szCs w:val="21"/>
        </w:rPr>
        <w:t xml:space="preserve"> </w:t>
      </w:r>
      <w:r w:rsidRPr="00DB3FFF">
        <w:rPr>
          <w:rFonts w:ascii="Abadi" w:hAnsi="Abadi" w:cs="AmasisMTPro-Light"/>
          <w:sz w:val="21"/>
          <w:szCs w:val="21"/>
        </w:rPr>
        <w:t>directa en la ley, pues se necesita atender de manera íntegra el trasfondo de</w:t>
      </w:r>
      <w:r>
        <w:rPr>
          <w:rFonts w:ascii="Abadi" w:hAnsi="Abadi" w:cs="AmasisMTPro-Light"/>
          <w:sz w:val="21"/>
          <w:szCs w:val="21"/>
        </w:rPr>
        <w:t xml:space="preserve"> </w:t>
      </w:r>
      <w:r w:rsidRPr="00DB3FFF">
        <w:rPr>
          <w:rFonts w:ascii="Abadi" w:hAnsi="Abadi" w:cs="AmasisMTPro-Light"/>
          <w:sz w:val="21"/>
          <w:szCs w:val="21"/>
        </w:rPr>
        <w:t>todos los crímenes que tienen como resultado la desaparición de personas.</w:t>
      </w:r>
      <w:r>
        <w:rPr>
          <w:rFonts w:ascii="Abadi" w:hAnsi="Abadi" w:cs="AmasisMTPro-Light"/>
          <w:sz w:val="21"/>
          <w:szCs w:val="21"/>
        </w:rPr>
        <w:t xml:space="preserve"> </w:t>
      </w:r>
      <w:r w:rsidRPr="00DB3FFF">
        <w:rPr>
          <w:rFonts w:ascii="Abadi" w:hAnsi="Abadi" w:cs="AmasisMTPro-Light"/>
          <w:sz w:val="21"/>
          <w:szCs w:val="21"/>
        </w:rPr>
        <w:t>A fin de dar cumplimiento a lo establecido por el artículo 209 de la Ley</w:t>
      </w:r>
      <w:r>
        <w:rPr>
          <w:rFonts w:ascii="Abadi" w:hAnsi="Abadi" w:cs="AmasisMTPro-Light"/>
          <w:sz w:val="21"/>
          <w:szCs w:val="21"/>
        </w:rPr>
        <w:t xml:space="preserve"> </w:t>
      </w:r>
      <w:r w:rsidRPr="00DB3FFF">
        <w:rPr>
          <w:rFonts w:ascii="Abadi" w:hAnsi="Abadi" w:cs="AmasisMTPro-Light"/>
          <w:sz w:val="21"/>
          <w:szCs w:val="21"/>
        </w:rPr>
        <w:t xml:space="preserve">Orgánica del Poder Legislativo del Estado de Guanajuato, es </w:t>
      </w:r>
      <w:r w:rsidRPr="00DB3FFF">
        <w:rPr>
          <w:rFonts w:ascii="Abadi" w:hAnsi="Abadi" w:cs="AmasisMTPro-Light"/>
          <w:sz w:val="21"/>
          <w:szCs w:val="21"/>
        </w:rPr>
        <w:lastRenderedPageBreak/>
        <w:t>necesario señalar</w:t>
      </w:r>
      <w:r>
        <w:rPr>
          <w:rFonts w:ascii="Abadi" w:hAnsi="Abadi" w:cs="AmasisMTPro-Light"/>
          <w:sz w:val="21"/>
          <w:szCs w:val="21"/>
        </w:rPr>
        <w:t xml:space="preserve"> </w:t>
      </w:r>
      <w:r w:rsidRPr="00DB3FFF">
        <w:rPr>
          <w:rFonts w:ascii="Abadi" w:hAnsi="Abadi" w:cs="AmasisMTPro-Light"/>
          <w:sz w:val="21"/>
          <w:szCs w:val="21"/>
        </w:rPr>
        <w:t>que, de aprobarse la presente iniciativa, se generarían los siguientes impactos:</w:t>
      </w:r>
      <w:r>
        <w:rPr>
          <w:rFonts w:ascii="Abadi" w:hAnsi="Abadi" w:cs="AmasisMTPro-Light"/>
          <w:sz w:val="21"/>
          <w:szCs w:val="21"/>
        </w:rPr>
        <w:t xml:space="preserve"> </w:t>
      </w:r>
    </w:p>
    <w:p w14:paraId="158ADB21" w14:textId="77777777" w:rsidR="00A063B4" w:rsidRDefault="00A063B4" w:rsidP="00A063B4">
      <w:pPr>
        <w:autoSpaceDE w:val="0"/>
        <w:autoSpaceDN w:val="0"/>
        <w:adjustRightInd w:val="0"/>
        <w:jc w:val="both"/>
        <w:rPr>
          <w:rFonts w:ascii="Abadi" w:hAnsi="Abadi" w:cs="AmasisMTPro-Light"/>
          <w:sz w:val="21"/>
          <w:szCs w:val="21"/>
        </w:rPr>
      </w:pPr>
    </w:p>
    <w:p w14:paraId="0B05403B" w14:textId="77777777" w:rsidR="00A063B4" w:rsidRDefault="00A063B4" w:rsidP="00A063B4">
      <w:pPr>
        <w:autoSpaceDE w:val="0"/>
        <w:autoSpaceDN w:val="0"/>
        <w:adjustRightInd w:val="0"/>
        <w:jc w:val="both"/>
        <w:rPr>
          <w:rFonts w:ascii="Abadi" w:hAnsi="Abadi" w:cs="AmasisMTPro-Light"/>
          <w:sz w:val="21"/>
          <w:szCs w:val="21"/>
        </w:rPr>
      </w:pPr>
      <w:r w:rsidRPr="00DB3FFF">
        <w:rPr>
          <w:rFonts w:ascii="Abadi" w:hAnsi="Abadi" w:cs="AmasisMTPro-Light"/>
          <w:sz w:val="21"/>
          <w:szCs w:val="21"/>
        </w:rPr>
        <w:t>I. Jurídico. La aprobación de la presente iniciativa modificaría el artículo</w:t>
      </w:r>
      <w:r>
        <w:rPr>
          <w:rFonts w:ascii="Abadi" w:hAnsi="Abadi" w:cs="AmasisMTPro-Light"/>
          <w:sz w:val="21"/>
          <w:szCs w:val="21"/>
        </w:rPr>
        <w:t xml:space="preserve"> </w:t>
      </w:r>
      <w:r w:rsidRPr="00DB3FFF">
        <w:rPr>
          <w:rFonts w:ascii="Abadi" w:hAnsi="Abadi" w:cs="AmasisMTPro-Light"/>
          <w:sz w:val="21"/>
          <w:szCs w:val="21"/>
        </w:rPr>
        <w:t>35 de la Ley para la Búsqueda de Personas Desaparecidas en el Estado</w:t>
      </w:r>
      <w:r>
        <w:rPr>
          <w:rFonts w:ascii="Abadi" w:hAnsi="Abadi" w:cs="AmasisMTPro-Light"/>
          <w:sz w:val="21"/>
          <w:szCs w:val="21"/>
        </w:rPr>
        <w:t xml:space="preserve"> </w:t>
      </w:r>
      <w:r w:rsidRPr="00DB3FFF">
        <w:rPr>
          <w:rFonts w:ascii="Abadi" w:hAnsi="Abadi" w:cs="AmasisMTPro-Light"/>
          <w:sz w:val="21"/>
          <w:szCs w:val="21"/>
        </w:rPr>
        <w:t>de Guanajuato.</w:t>
      </w:r>
    </w:p>
    <w:p w14:paraId="637DD699" w14:textId="77777777" w:rsidR="00A063B4" w:rsidRPr="00DB3FFF" w:rsidRDefault="00A063B4" w:rsidP="00A063B4">
      <w:pPr>
        <w:autoSpaceDE w:val="0"/>
        <w:autoSpaceDN w:val="0"/>
        <w:adjustRightInd w:val="0"/>
        <w:jc w:val="both"/>
        <w:rPr>
          <w:rFonts w:ascii="Abadi" w:hAnsi="Abadi" w:cs="AmasisMTPro-Light"/>
          <w:sz w:val="21"/>
          <w:szCs w:val="21"/>
        </w:rPr>
      </w:pPr>
    </w:p>
    <w:p w14:paraId="6D9E8A24" w14:textId="77777777" w:rsidR="00A063B4" w:rsidRDefault="00A063B4" w:rsidP="00A063B4">
      <w:pPr>
        <w:autoSpaceDE w:val="0"/>
        <w:autoSpaceDN w:val="0"/>
        <w:adjustRightInd w:val="0"/>
        <w:jc w:val="both"/>
        <w:rPr>
          <w:rFonts w:ascii="Abadi" w:hAnsi="Abadi" w:cs="AmasisMTPro-Light"/>
          <w:sz w:val="21"/>
          <w:szCs w:val="21"/>
        </w:rPr>
      </w:pPr>
      <w:r w:rsidRPr="00DB3FFF">
        <w:rPr>
          <w:rFonts w:ascii="Abadi" w:hAnsi="Abadi" w:cs="AmasisMTPro-Light"/>
          <w:sz w:val="21"/>
          <w:szCs w:val="21"/>
        </w:rPr>
        <w:t>II. Administrativo. La aprobación de la presente iniciativa no contempla</w:t>
      </w:r>
      <w:r>
        <w:rPr>
          <w:rFonts w:ascii="Abadi" w:hAnsi="Abadi" w:cs="AmasisMTPro-Light"/>
          <w:sz w:val="21"/>
          <w:szCs w:val="21"/>
        </w:rPr>
        <w:t xml:space="preserve"> </w:t>
      </w:r>
      <w:r w:rsidRPr="00DB3FFF">
        <w:rPr>
          <w:rFonts w:ascii="Abadi" w:hAnsi="Abadi" w:cs="AmasisMTPro-Light"/>
          <w:sz w:val="21"/>
          <w:szCs w:val="21"/>
        </w:rPr>
        <w:t>nuevas estructuras administrativas.</w:t>
      </w:r>
    </w:p>
    <w:p w14:paraId="762669C1" w14:textId="77777777" w:rsidR="00A063B4" w:rsidRPr="00DB3FFF" w:rsidRDefault="00A063B4" w:rsidP="00A063B4">
      <w:pPr>
        <w:autoSpaceDE w:val="0"/>
        <w:autoSpaceDN w:val="0"/>
        <w:adjustRightInd w:val="0"/>
        <w:jc w:val="both"/>
        <w:rPr>
          <w:rFonts w:ascii="Abadi" w:hAnsi="Abadi" w:cs="AmasisMTPro-Light"/>
          <w:sz w:val="21"/>
          <w:szCs w:val="21"/>
        </w:rPr>
      </w:pPr>
    </w:p>
    <w:p w14:paraId="3AB419DC" w14:textId="6FC2C575" w:rsidR="00A063B4" w:rsidRPr="00DB3FFF" w:rsidRDefault="00A063B4" w:rsidP="00A063B4">
      <w:pPr>
        <w:autoSpaceDE w:val="0"/>
        <w:autoSpaceDN w:val="0"/>
        <w:adjustRightInd w:val="0"/>
        <w:jc w:val="both"/>
        <w:rPr>
          <w:rFonts w:ascii="Abadi" w:hAnsi="Abadi" w:cs="AmasisMTPro-Light"/>
          <w:sz w:val="21"/>
          <w:szCs w:val="21"/>
        </w:rPr>
      </w:pPr>
      <w:r w:rsidRPr="00DB3FFF">
        <w:rPr>
          <w:rFonts w:ascii="Abadi" w:hAnsi="Abadi" w:cs="AmasisMTPro-Light"/>
          <w:sz w:val="21"/>
          <w:szCs w:val="21"/>
        </w:rPr>
        <w:t>III. Presupuestario. La aprobación de la presente iniciativa permitirá la</w:t>
      </w:r>
      <w:r>
        <w:rPr>
          <w:rFonts w:ascii="Abadi" w:hAnsi="Abadi" w:cs="AmasisMTPro-Light"/>
          <w:sz w:val="21"/>
          <w:szCs w:val="21"/>
        </w:rPr>
        <w:t xml:space="preserve"> </w:t>
      </w:r>
      <w:r w:rsidRPr="00DB3FFF">
        <w:rPr>
          <w:rFonts w:ascii="Abadi" w:hAnsi="Abadi" w:cs="AmasisMTPro-Light"/>
          <w:sz w:val="21"/>
          <w:szCs w:val="21"/>
        </w:rPr>
        <w:t>implementación adecuada de las políticas públicas en materia de</w:t>
      </w:r>
      <w:r>
        <w:rPr>
          <w:rFonts w:ascii="Abadi" w:hAnsi="Abadi" w:cs="AmasisMTPro-Light"/>
          <w:sz w:val="21"/>
          <w:szCs w:val="21"/>
        </w:rPr>
        <w:t xml:space="preserve"> </w:t>
      </w:r>
      <w:r w:rsidRPr="00DB3FFF">
        <w:rPr>
          <w:rFonts w:ascii="Abadi" w:hAnsi="Abadi" w:cs="AmasisMTPro-Light"/>
          <w:sz w:val="21"/>
          <w:szCs w:val="21"/>
        </w:rPr>
        <w:t>búsqueda de personas</w:t>
      </w:r>
    </w:p>
    <w:p w14:paraId="2A50D36E" w14:textId="77777777" w:rsidR="00A063B4" w:rsidRDefault="00A063B4" w:rsidP="00A063B4">
      <w:pPr>
        <w:autoSpaceDE w:val="0"/>
        <w:autoSpaceDN w:val="0"/>
        <w:adjustRightInd w:val="0"/>
        <w:jc w:val="both"/>
        <w:rPr>
          <w:rFonts w:ascii="Abadi" w:hAnsi="Abadi" w:cs="AmasisMTPro-Light"/>
          <w:sz w:val="21"/>
          <w:szCs w:val="21"/>
        </w:rPr>
      </w:pPr>
    </w:p>
    <w:p w14:paraId="79CBF9E0" w14:textId="77777777" w:rsidR="00A063B4" w:rsidRDefault="00A063B4" w:rsidP="00A063B4">
      <w:pPr>
        <w:autoSpaceDE w:val="0"/>
        <w:autoSpaceDN w:val="0"/>
        <w:adjustRightInd w:val="0"/>
        <w:jc w:val="both"/>
        <w:rPr>
          <w:rFonts w:ascii="Abadi" w:hAnsi="Abadi" w:cs="AmasisMTPro-Light"/>
          <w:sz w:val="21"/>
          <w:szCs w:val="21"/>
        </w:rPr>
      </w:pPr>
      <w:r w:rsidRPr="00DB3FFF">
        <w:rPr>
          <w:rFonts w:ascii="Abadi" w:hAnsi="Abadi" w:cs="AmasisMTPro-Light"/>
          <w:sz w:val="21"/>
          <w:szCs w:val="21"/>
        </w:rPr>
        <w:t>IV. Social. La aprobación de la presente iniciativa contribuirá al</w:t>
      </w:r>
      <w:r>
        <w:rPr>
          <w:rFonts w:ascii="Abadi" w:hAnsi="Abadi" w:cs="AmasisMTPro-Light"/>
          <w:sz w:val="21"/>
          <w:szCs w:val="21"/>
        </w:rPr>
        <w:t xml:space="preserve"> </w:t>
      </w:r>
      <w:r w:rsidRPr="00DB3FFF">
        <w:rPr>
          <w:rFonts w:ascii="Abadi" w:hAnsi="Abadi" w:cs="AmasisMTPro-Light"/>
          <w:sz w:val="21"/>
          <w:szCs w:val="21"/>
        </w:rPr>
        <w:t>reforzamiento de las acciones implementadas en la búsqueda de las</w:t>
      </w:r>
      <w:r>
        <w:rPr>
          <w:rFonts w:ascii="Abadi" w:hAnsi="Abadi" w:cs="AmasisMTPro-Light"/>
          <w:sz w:val="21"/>
          <w:szCs w:val="21"/>
        </w:rPr>
        <w:t xml:space="preserve"> </w:t>
      </w:r>
      <w:r w:rsidRPr="00DB3FFF">
        <w:rPr>
          <w:rFonts w:ascii="Abadi" w:hAnsi="Abadi" w:cs="AmasisMTPro-Light"/>
          <w:sz w:val="21"/>
          <w:szCs w:val="21"/>
        </w:rPr>
        <w:t>personas desaparecidas, a través un presupuesto que permita la</w:t>
      </w:r>
      <w:r>
        <w:rPr>
          <w:rFonts w:ascii="Abadi" w:hAnsi="Abadi" w:cs="AmasisMTPro-Light"/>
          <w:sz w:val="21"/>
          <w:szCs w:val="21"/>
        </w:rPr>
        <w:t xml:space="preserve"> </w:t>
      </w:r>
      <w:r w:rsidRPr="00DB3FFF">
        <w:rPr>
          <w:rFonts w:ascii="Abadi" w:hAnsi="Abadi" w:cs="AmasisMTPro-Light"/>
          <w:sz w:val="21"/>
          <w:szCs w:val="21"/>
        </w:rPr>
        <w:t>atención adecuada de cada una de las carpetas de investigación.</w:t>
      </w:r>
    </w:p>
    <w:p w14:paraId="213DFB31" w14:textId="77777777" w:rsidR="00A063B4" w:rsidRPr="00DB3FFF" w:rsidRDefault="00A063B4" w:rsidP="00A063B4">
      <w:pPr>
        <w:autoSpaceDE w:val="0"/>
        <w:autoSpaceDN w:val="0"/>
        <w:adjustRightInd w:val="0"/>
        <w:jc w:val="both"/>
        <w:rPr>
          <w:rFonts w:ascii="Abadi" w:hAnsi="Abadi" w:cs="AmasisMTPro-Light"/>
          <w:sz w:val="21"/>
          <w:szCs w:val="21"/>
        </w:rPr>
      </w:pPr>
    </w:p>
    <w:p w14:paraId="61DA412B" w14:textId="77777777" w:rsidR="00A063B4" w:rsidRPr="00DB3FFF" w:rsidRDefault="00A063B4" w:rsidP="00A063B4">
      <w:pPr>
        <w:autoSpaceDE w:val="0"/>
        <w:autoSpaceDN w:val="0"/>
        <w:adjustRightInd w:val="0"/>
        <w:jc w:val="both"/>
        <w:rPr>
          <w:rFonts w:ascii="Abadi" w:hAnsi="Abadi" w:cs="AmasisMTPro-Light"/>
          <w:sz w:val="21"/>
          <w:szCs w:val="21"/>
        </w:rPr>
      </w:pPr>
      <w:r w:rsidRPr="00DB3FFF">
        <w:rPr>
          <w:rFonts w:ascii="Abadi" w:hAnsi="Abadi" w:cs="AmasisMTPro-Light"/>
          <w:sz w:val="21"/>
          <w:szCs w:val="21"/>
        </w:rPr>
        <w:t>En mérito de todo lo anteriormente expuesto, fundado y motivado, se permite</w:t>
      </w:r>
      <w:r>
        <w:rPr>
          <w:rFonts w:ascii="Abadi" w:hAnsi="Abadi" w:cs="AmasisMTPro-Light"/>
          <w:sz w:val="21"/>
          <w:szCs w:val="21"/>
        </w:rPr>
        <w:t xml:space="preserve"> </w:t>
      </w:r>
      <w:r w:rsidRPr="00DB3FFF">
        <w:rPr>
          <w:rFonts w:ascii="Abadi" w:hAnsi="Abadi" w:cs="AmasisMTPro-Light"/>
          <w:sz w:val="21"/>
          <w:szCs w:val="21"/>
        </w:rPr>
        <w:t>someter a la consideración de esta Honorable Asamblea, el siguiente proyecto</w:t>
      </w:r>
      <w:r>
        <w:rPr>
          <w:rFonts w:ascii="Abadi" w:hAnsi="Abadi" w:cs="AmasisMTPro-Light"/>
          <w:sz w:val="21"/>
          <w:szCs w:val="21"/>
        </w:rPr>
        <w:t xml:space="preserve"> </w:t>
      </w:r>
      <w:r w:rsidRPr="00DB3FFF">
        <w:rPr>
          <w:rFonts w:ascii="Abadi" w:hAnsi="Abadi" w:cs="AmasisMTPro-Light"/>
          <w:sz w:val="21"/>
          <w:szCs w:val="21"/>
        </w:rPr>
        <w:t>de:</w:t>
      </w:r>
    </w:p>
    <w:p w14:paraId="0D02FB92" w14:textId="77777777" w:rsidR="00A063B4" w:rsidRDefault="00A063B4" w:rsidP="00A063B4">
      <w:pPr>
        <w:jc w:val="both"/>
        <w:rPr>
          <w:rFonts w:ascii="Abadi" w:hAnsi="Abadi" w:cs="AmasisMTPro-Light"/>
          <w:sz w:val="21"/>
          <w:szCs w:val="21"/>
        </w:rPr>
      </w:pPr>
    </w:p>
    <w:p w14:paraId="4679C790" w14:textId="77777777" w:rsidR="00A063B4" w:rsidRDefault="00A063B4" w:rsidP="00A063B4">
      <w:pPr>
        <w:jc w:val="center"/>
        <w:rPr>
          <w:rFonts w:ascii="Abadi" w:hAnsi="Abadi" w:cs="AmasisMTPro-Light"/>
          <w:b/>
          <w:bCs/>
          <w:sz w:val="21"/>
          <w:szCs w:val="21"/>
        </w:rPr>
      </w:pPr>
      <w:r w:rsidRPr="00DB3FFF">
        <w:rPr>
          <w:rFonts w:ascii="Abadi" w:hAnsi="Abadi" w:cs="AmasisMTPro-Light"/>
          <w:b/>
          <w:bCs/>
          <w:sz w:val="21"/>
          <w:szCs w:val="21"/>
        </w:rPr>
        <w:t>D E C R E T O</w:t>
      </w:r>
    </w:p>
    <w:p w14:paraId="48E9A9A4" w14:textId="77777777" w:rsidR="00A063B4" w:rsidRPr="00DB3FFF" w:rsidRDefault="00A063B4" w:rsidP="00A063B4">
      <w:pPr>
        <w:jc w:val="center"/>
        <w:rPr>
          <w:rFonts w:ascii="Abadi" w:hAnsi="Abadi" w:cs="AmasisMTPro-Light"/>
          <w:b/>
          <w:bCs/>
          <w:sz w:val="21"/>
          <w:szCs w:val="21"/>
        </w:rPr>
      </w:pPr>
    </w:p>
    <w:p w14:paraId="471DD99C" w14:textId="77777777" w:rsidR="00A063B4" w:rsidRDefault="00A063B4" w:rsidP="00A063B4">
      <w:pPr>
        <w:pStyle w:val="Textoindependiente"/>
        <w:kinsoku w:val="0"/>
        <w:overflowPunct w:val="0"/>
        <w:ind w:left="40" w:right="117"/>
        <w:rPr>
          <w:rFonts w:ascii="Abadi" w:hAnsi="Abadi"/>
          <w:sz w:val="21"/>
          <w:szCs w:val="21"/>
        </w:rPr>
      </w:pPr>
      <w:r w:rsidRPr="00DB3FFF">
        <w:rPr>
          <w:rFonts w:ascii="Abadi" w:hAnsi="Abadi"/>
          <w:sz w:val="21"/>
          <w:szCs w:val="21"/>
        </w:rPr>
        <w:t>ÚNICO.</w:t>
      </w:r>
      <w:r w:rsidRPr="00DB3FFF">
        <w:rPr>
          <w:rFonts w:ascii="Abadi" w:hAnsi="Abadi"/>
          <w:spacing w:val="37"/>
          <w:sz w:val="21"/>
          <w:szCs w:val="21"/>
        </w:rPr>
        <w:t xml:space="preserve"> </w:t>
      </w:r>
      <w:r w:rsidRPr="00DB3FFF">
        <w:rPr>
          <w:rFonts w:ascii="Abadi" w:hAnsi="Abadi"/>
          <w:sz w:val="21"/>
          <w:szCs w:val="21"/>
        </w:rPr>
        <w:t>Se</w:t>
      </w:r>
      <w:r w:rsidRPr="00DB3FFF">
        <w:rPr>
          <w:rFonts w:ascii="Abadi" w:hAnsi="Abadi"/>
          <w:spacing w:val="39"/>
          <w:sz w:val="21"/>
          <w:szCs w:val="21"/>
        </w:rPr>
        <w:t xml:space="preserve"> </w:t>
      </w:r>
      <w:r w:rsidRPr="00DB3FFF">
        <w:rPr>
          <w:rFonts w:ascii="Abadi" w:hAnsi="Abadi"/>
          <w:sz w:val="21"/>
          <w:szCs w:val="21"/>
        </w:rPr>
        <w:t>adiciona</w:t>
      </w:r>
      <w:r w:rsidRPr="00DB3FFF">
        <w:rPr>
          <w:rFonts w:ascii="Abadi" w:hAnsi="Abadi"/>
          <w:spacing w:val="37"/>
          <w:sz w:val="21"/>
          <w:szCs w:val="21"/>
        </w:rPr>
        <w:t xml:space="preserve"> </w:t>
      </w:r>
      <w:r w:rsidRPr="00DB3FFF">
        <w:rPr>
          <w:rFonts w:ascii="Abadi" w:hAnsi="Abadi"/>
          <w:sz w:val="21"/>
          <w:szCs w:val="21"/>
        </w:rPr>
        <w:t>un</w:t>
      </w:r>
      <w:r w:rsidRPr="00DB3FFF">
        <w:rPr>
          <w:rFonts w:ascii="Abadi" w:hAnsi="Abadi"/>
          <w:spacing w:val="38"/>
          <w:sz w:val="21"/>
          <w:szCs w:val="21"/>
        </w:rPr>
        <w:t xml:space="preserve"> </w:t>
      </w:r>
      <w:r w:rsidRPr="00DB3FFF">
        <w:rPr>
          <w:rFonts w:ascii="Abadi" w:hAnsi="Abadi"/>
          <w:sz w:val="21"/>
          <w:szCs w:val="21"/>
        </w:rPr>
        <w:t>segundo</w:t>
      </w:r>
      <w:r w:rsidRPr="00DB3FFF">
        <w:rPr>
          <w:rFonts w:ascii="Abadi" w:hAnsi="Abadi"/>
          <w:spacing w:val="39"/>
          <w:sz w:val="21"/>
          <w:szCs w:val="21"/>
        </w:rPr>
        <w:t xml:space="preserve"> </w:t>
      </w:r>
      <w:r w:rsidRPr="00DB3FFF">
        <w:rPr>
          <w:rFonts w:ascii="Abadi" w:hAnsi="Abadi"/>
          <w:sz w:val="21"/>
          <w:szCs w:val="21"/>
        </w:rPr>
        <w:t>párrafo</w:t>
      </w:r>
      <w:r w:rsidRPr="00DB3FFF">
        <w:rPr>
          <w:rFonts w:ascii="Abadi" w:hAnsi="Abadi"/>
          <w:spacing w:val="39"/>
          <w:sz w:val="21"/>
          <w:szCs w:val="21"/>
        </w:rPr>
        <w:t xml:space="preserve"> </w:t>
      </w:r>
      <w:r w:rsidRPr="00DB3FFF">
        <w:rPr>
          <w:rFonts w:ascii="Abadi" w:hAnsi="Abadi"/>
          <w:sz w:val="21"/>
          <w:szCs w:val="21"/>
        </w:rPr>
        <w:t>al</w:t>
      </w:r>
      <w:r w:rsidRPr="00DB3FFF">
        <w:rPr>
          <w:rFonts w:ascii="Abadi" w:hAnsi="Abadi"/>
          <w:spacing w:val="40"/>
          <w:sz w:val="21"/>
          <w:szCs w:val="21"/>
        </w:rPr>
        <w:t xml:space="preserve"> </w:t>
      </w:r>
      <w:r w:rsidRPr="00DB3FFF">
        <w:rPr>
          <w:rFonts w:ascii="Abadi" w:hAnsi="Abadi"/>
          <w:sz w:val="21"/>
          <w:szCs w:val="21"/>
        </w:rPr>
        <w:t>artículo</w:t>
      </w:r>
      <w:r w:rsidRPr="00DB3FFF">
        <w:rPr>
          <w:rFonts w:ascii="Abadi" w:hAnsi="Abadi"/>
          <w:spacing w:val="37"/>
          <w:sz w:val="21"/>
          <w:szCs w:val="21"/>
        </w:rPr>
        <w:t xml:space="preserve"> </w:t>
      </w:r>
      <w:r w:rsidRPr="00DB3FFF">
        <w:rPr>
          <w:rFonts w:ascii="Abadi" w:hAnsi="Abadi"/>
          <w:sz w:val="21"/>
          <w:szCs w:val="21"/>
        </w:rPr>
        <w:t>35</w:t>
      </w:r>
      <w:r w:rsidRPr="00DB3FFF">
        <w:rPr>
          <w:rFonts w:ascii="Abadi" w:hAnsi="Abadi"/>
          <w:spacing w:val="40"/>
          <w:sz w:val="21"/>
          <w:szCs w:val="21"/>
        </w:rPr>
        <w:t xml:space="preserve"> </w:t>
      </w:r>
      <w:r w:rsidRPr="00DB3FFF">
        <w:rPr>
          <w:rFonts w:ascii="Abadi" w:hAnsi="Abadi"/>
          <w:sz w:val="21"/>
          <w:szCs w:val="21"/>
        </w:rPr>
        <w:t>de</w:t>
      </w:r>
      <w:r w:rsidRPr="00DB3FFF">
        <w:rPr>
          <w:rFonts w:ascii="Abadi" w:hAnsi="Abadi"/>
          <w:spacing w:val="37"/>
          <w:sz w:val="21"/>
          <w:szCs w:val="21"/>
        </w:rPr>
        <w:t xml:space="preserve"> </w:t>
      </w:r>
      <w:r w:rsidRPr="00DB3FFF">
        <w:rPr>
          <w:rFonts w:ascii="Abadi" w:hAnsi="Abadi"/>
          <w:sz w:val="21"/>
          <w:szCs w:val="21"/>
        </w:rPr>
        <w:t>la</w:t>
      </w:r>
      <w:r w:rsidRPr="00DB3FFF">
        <w:rPr>
          <w:rFonts w:ascii="Abadi" w:hAnsi="Abadi"/>
          <w:spacing w:val="37"/>
          <w:sz w:val="21"/>
          <w:szCs w:val="21"/>
        </w:rPr>
        <w:t xml:space="preserve"> </w:t>
      </w:r>
      <w:r w:rsidRPr="00DB3FFF">
        <w:rPr>
          <w:rFonts w:ascii="Abadi" w:hAnsi="Abadi"/>
          <w:sz w:val="21"/>
          <w:szCs w:val="21"/>
        </w:rPr>
        <w:t>Ley</w:t>
      </w:r>
      <w:r w:rsidRPr="00DB3FFF">
        <w:rPr>
          <w:rFonts w:ascii="Abadi" w:hAnsi="Abadi"/>
          <w:spacing w:val="39"/>
          <w:sz w:val="21"/>
          <w:szCs w:val="21"/>
        </w:rPr>
        <w:t xml:space="preserve"> </w:t>
      </w:r>
      <w:r w:rsidRPr="00DB3FFF">
        <w:rPr>
          <w:rFonts w:ascii="Abadi" w:hAnsi="Abadi"/>
          <w:sz w:val="21"/>
          <w:szCs w:val="21"/>
        </w:rPr>
        <w:t>para</w:t>
      </w:r>
      <w:r w:rsidRPr="00DB3FFF">
        <w:rPr>
          <w:rFonts w:ascii="Abadi" w:hAnsi="Abadi"/>
          <w:spacing w:val="37"/>
          <w:sz w:val="21"/>
          <w:szCs w:val="21"/>
        </w:rPr>
        <w:t xml:space="preserve"> </w:t>
      </w:r>
      <w:r w:rsidRPr="00DB3FFF">
        <w:rPr>
          <w:rFonts w:ascii="Abadi" w:hAnsi="Abadi"/>
          <w:sz w:val="21"/>
          <w:szCs w:val="21"/>
        </w:rPr>
        <w:t>la</w:t>
      </w:r>
      <w:r w:rsidRPr="00DB3FFF">
        <w:rPr>
          <w:rFonts w:ascii="Abadi" w:hAnsi="Abadi"/>
          <w:spacing w:val="-14"/>
          <w:sz w:val="21"/>
          <w:szCs w:val="21"/>
        </w:rPr>
        <w:t xml:space="preserve"> </w:t>
      </w:r>
      <w:r w:rsidRPr="00DB3FFF">
        <w:rPr>
          <w:rFonts w:ascii="Abadi" w:hAnsi="Abadi"/>
          <w:sz w:val="21"/>
          <w:szCs w:val="21"/>
        </w:rPr>
        <w:t>Búsqueda</w:t>
      </w:r>
      <w:r w:rsidRPr="00DB3FFF">
        <w:rPr>
          <w:rFonts w:ascii="Abadi" w:hAnsi="Abadi"/>
          <w:spacing w:val="40"/>
          <w:sz w:val="21"/>
          <w:szCs w:val="21"/>
        </w:rPr>
        <w:t xml:space="preserve"> </w:t>
      </w:r>
      <w:r w:rsidRPr="00DB3FFF">
        <w:rPr>
          <w:rFonts w:ascii="Abadi" w:hAnsi="Abadi"/>
          <w:sz w:val="21"/>
          <w:szCs w:val="21"/>
        </w:rPr>
        <w:t>de</w:t>
      </w:r>
      <w:r w:rsidRPr="00DB3FFF">
        <w:rPr>
          <w:rFonts w:ascii="Abadi" w:hAnsi="Abadi"/>
          <w:spacing w:val="40"/>
          <w:sz w:val="21"/>
          <w:szCs w:val="21"/>
        </w:rPr>
        <w:t xml:space="preserve"> </w:t>
      </w:r>
      <w:r w:rsidRPr="00DB3FFF">
        <w:rPr>
          <w:rFonts w:ascii="Abadi" w:hAnsi="Abadi"/>
          <w:sz w:val="21"/>
          <w:szCs w:val="21"/>
        </w:rPr>
        <w:t>Personas</w:t>
      </w:r>
      <w:r w:rsidRPr="00DB3FFF">
        <w:rPr>
          <w:rFonts w:ascii="Abadi" w:hAnsi="Abadi"/>
          <w:spacing w:val="40"/>
          <w:sz w:val="21"/>
          <w:szCs w:val="21"/>
        </w:rPr>
        <w:t xml:space="preserve"> </w:t>
      </w:r>
      <w:r w:rsidRPr="00DB3FFF">
        <w:rPr>
          <w:rFonts w:ascii="Abadi" w:hAnsi="Abadi"/>
          <w:sz w:val="21"/>
          <w:szCs w:val="21"/>
        </w:rPr>
        <w:t>Desaparecidas</w:t>
      </w:r>
      <w:r w:rsidRPr="00DB3FFF">
        <w:rPr>
          <w:rFonts w:ascii="Abadi" w:hAnsi="Abadi"/>
          <w:spacing w:val="40"/>
          <w:sz w:val="21"/>
          <w:szCs w:val="21"/>
        </w:rPr>
        <w:t xml:space="preserve"> </w:t>
      </w:r>
      <w:r w:rsidRPr="00DB3FFF">
        <w:rPr>
          <w:rFonts w:ascii="Abadi" w:hAnsi="Abadi"/>
          <w:sz w:val="21"/>
          <w:szCs w:val="21"/>
        </w:rPr>
        <w:t>en</w:t>
      </w:r>
      <w:r w:rsidRPr="00DB3FFF">
        <w:rPr>
          <w:rFonts w:ascii="Abadi" w:hAnsi="Abadi"/>
          <w:spacing w:val="40"/>
          <w:sz w:val="21"/>
          <w:szCs w:val="21"/>
        </w:rPr>
        <w:t xml:space="preserve"> </w:t>
      </w:r>
      <w:r w:rsidRPr="00DB3FFF">
        <w:rPr>
          <w:rFonts w:ascii="Abadi" w:hAnsi="Abadi"/>
          <w:sz w:val="21"/>
          <w:szCs w:val="21"/>
        </w:rPr>
        <w:t>el</w:t>
      </w:r>
      <w:r w:rsidRPr="00DB3FFF">
        <w:rPr>
          <w:rFonts w:ascii="Abadi" w:hAnsi="Abadi"/>
          <w:spacing w:val="40"/>
          <w:sz w:val="21"/>
          <w:szCs w:val="21"/>
        </w:rPr>
        <w:t xml:space="preserve"> </w:t>
      </w:r>
      <w:r w:rsidRPr="00DB3FFF">
        <w:rPr>
          <w:rFonts w:ascii="Abadi" w:hAnsi="Abadi"/>
          <w:sz w:val="21"/>
          <w:szCs w:val="21"/>
        </w:rPr>
        <w:t>Estado</w:t>
      </w:r>
      <w:r w:rsidRPr="00DB3FFF">
        <w:rPr>
          <w:rFonts w:ascii="Abadi" w:hAnsi="Abadi"/>
          <w:spacing w:val="40"/>
          <w:sz w:val="21"/>
          <w:szCs w:val="21"/>
        </w:rPr>
        <w:t xml:space="preserve"> </w:t>
      </w:r>
      <w:r w:rsidRPr="00DB3FFF">
        <w:rPr>
          <w:rFonts w:ascii="Abadi" w:hAnsi="Abadi"/>
          <w:sz w:val="21"/>
          <w:szCs w:val="21"/>
        </w:rPr>
        <w:t>de</w:t>
      </w:r>
      <w:r w:rsidRPr="00DB3FFF">
        <w:rPr>
          <w:rFonts w:ascii="Abadi" w:hAnsi="Abadi"/>
          <w:spacing w:val="40"/>
          <w:sz w:val="21"/>
          <w:szCs w:val="21"/>
        </w:rPr>
        <w:t xml:space="preserve"> </w:t>
      </w:r>
      <w:r w:rsidRPr="00DB3FFF">
        <w:rPr>
          <w:rFonts w:ascii="Abadi" w:hAnsi="Abadi"/>
          <w:sz w:val="21"/>
          <w:szCs w:val="21"/>
        </w:rPr>
        <w:t>Guanajuato,</w:t>
      </w:r>
      <w:r w:rsidRPr="00DB3FFF">
        <w:rPr>
          <w:rFonts w:ascii="Abadi" w:hAnsi="Abadi"/>
          <w:spacing w:val="40"/>
          <w:sz w:val="21"/>
          <w:szCs w:val="21"/>
        </w:rPr>
        <w:t xml:space="preserve"> </w:t>
      </w:r>
      <w:r w:rsidRPr="00DB3FFF">
        <w:rPr>
          <w:rFonts w:ascii="Abadi" w:hAnsi="Abadi"/>
          <w:sz w:val="21"/>
          <w:szCs w:val="21"/>
        </w:rPr>
        <w:t>para</w:t>
      </w:r>
      <w:r w:rsidRPr="00DB3FFF">
        <w:rPr>
          <w:rFonts w:ascii="Abadi" w:hAnsi="Abadi"/>
          <w:spacing w:val="-14"/>
          <w:sz w:val="21"/>
          <w:szCs w:val="21"/>
        </w:rPr>
        <w:t xml:space="preserve"> </w:t>
      </w:r>
      <w:r w:rsidRPr="00DB3FFF">
        <w:rPr>
          <w:rFonts w:ascii="Abadi" w:hAnsi="Abadi"/>
          <w:sz w:val="21"/>
          <w:szCs w:val="21"/>
        </w:rPr>
        <w:t>quedar</w:t>
      </w:r>
      <w:r w:rsidRPr="00DB3FFF">
        <w:rPr>
          <w:rFonts w:ascii="Abadi" w:hAnsi="Abadi"/>
          <w:spacing w:val="-7"/>
          <w:sz w:val="21"/>
          <w:szCs w:val="21"/>
        </w:rPr>
        <w:t xml:space="preserve"> </w:t>
      </w:r>
      <w:r w:rsidRPr="00DB3FFF">
        <w:rPr>
          <w:rFonts w:ascii="Abadi" w:hAnsi="Abadi"/>
          <w:sz w:val="21"/>
          <w:szCs w:val="21"/>
        </w:rPr>
        <w:t>como</w:t>
      </w:r>
      <w:r w:rsidRPr="00DB3FFF">
        <w:rPr>
          <w:rFonts w:ascii="Abadi" w:hAnsi="Abadi"/>
          <w:spacing w:val="-7"/>
          <w:sz w:val="21"/>
          <w:szCs w:val="21"/>
        </w:rPr>
        <w:t xml:space="preserve"> </w:t>
      </w:r>
      <w:r w:rsidRPr="00DB3FFF">
        <w:rPr>
          <w:rFonts w:ascii="Abadi" w:hAnsi="Abadi"/>
          <w:sz w:val="21"/>
          <w:szCs w:val="21"/>
        </w:rPr>
        <w:t>sigue:</w:t>
      </w:r>
    </w:p>
    <w:p w14:paraId="5F321820" w14:textId="77777777" w:rsidR="00A063B4" w:rsidRDefault="00A063B4" w:rsidP="00A063B4">
      <w:pPr>
        <w:pStyle w:val="Textoindependiente"/>
        <w:kinsoku w:val="0"/>
        <w:overflowPunct w:val="0"/>
        <w:ind w:left="40" w:right="117"/>
        <w:rPr>
          <w:rFonts w:ascii="Abadi" w:hAnsi="Abadi"/>
          <w:sz w:val="21"/>
          <w:szCs w:val="21"/>
        </w:rPr>
      </w:pPr>
    </w:p>
    <w:p w14:paraId="1FD47764" w14:textId="77777777" w:rsidR="00A063B4" w:rsidRPr="00976655" w:rsidRDefault="00A063B4" w:rsidP="00A063B4">
      <w:pPr>
        <w:pStyle w:val="Textoindependiente"/>
        <w:kinsoku w:val="0"/>
        <w:overflowPunct w:val="0"/>
        <w:ind w:right="115"/>
        <w:rPr>
          <w:rFonts w:ascii="Abadi" w:hAnsi="Abadi"/>
          <w:b w:val="0"/>
          <w:bCs w:val="0"/>
          <w:sz w:val="21"/>
          <w:szCs w:val="21"/>
        </w:rPr>
      </w:pPr>
      <w:r w:rsidRPr="00DB3FFF">
        <w:rPr>
          <w:rFonts w:ascii="Abadi" w:hAnsi="Abadi"/>
          <w:sz w:val="21"/>
          <w:szCs w:val="21"/>
        </w:rPr>
        <w:t>Artículo</w:t>
      </w:r>
      <w:r w:rsidRPr="00DB3FFF">
        <w:rPr>
          <w:rFonts w:ascii="Abadi" w:hAnsi="Abadi"/>
          <w:spacing w:val="46"/>
          <w:sz w:val="21"/>
          <w:szCs w:val="21"/>
        </w:rPr>
        <w:t xml:space="preserve"> </w:t>
      </w:r>
      <w:r w:rsidRPr="00DB3FFF">
        <w:rPr>
          <w:rFonts w:ascii="Abadi" w:hAnsi="Abadi"/>
          <w:sz w:val="21"/>
          <w:szCs w:val="21"/>
        </w:rPr>
        <w:t>35.</w:t>
      </w:r>
      <w:r w:rsidRPr="00DB3FFF">
        <w:rPr>
          <w:rFonts w:ascii="Abadi" w:hAnsi="Abadi"/>
          <w:spacing w:val="60"/>
          <w:sz w:val="21"/>
          <w:szCs w:val="21"/>
        </w:rPr>
        <w:t xml:space="preserve"> </w:t>
      </w:r>
      <w:r w:rsidRPr="00976655">
        <w:rPr>
          <w:rFonts w:ascii="Abadi" w:hAnsi="Abadi"/>
          <w:b w:val="0"/>
          <w:bCs w:val="0"/>
          <w:sz w:val="21"/>
          <w:szCs w:val="21"/>
        </w:rPr>
        <w:t>La</w:t>
      </w:r>
      <w:r w:rsidRPr="00976655">
        <w:rPr>
          <w:rFonts w:ascii="Abadi" w:hAnsi="Abadi"/>
          <w:b w:val="0"/>
          <w:bCs w:val="0"/>
          <w:spacing w:val="61"/>
          <w:sz w:val="21"/>
          <w:szCs w:val="21"/>
        </w:rPr>
        <w:t xml:space="preserve"> </w:t>
      </w:r>
      <w:r w:rsidRPr="00976655">
        <w:rPr>
          <w:rFonts w:ascii="Abadi" w:hAnsi="Abadi"/>
          <w:b w:val="0"/>
          <w:bCs w:val="0"/>
          <w:sz w:val="21"/>
          <w:szCs w:val="21"/>
        </w:rPr>
        <w:t>Comisión</w:t>
      </w:r>
      <w:r w:rsidRPr="00976655">
        <w:rPr>
          <w:rFonts w:ascii="Abadi" w:hAnsi="Abadi"/>
          <w:b w:val="0"/>
          <w:bCs w:val="0"/>
          <w:spacing w:val="62"/>
          <w:sz w:val="21"/>
          <w:szCs w:val="21"/>
        </w:rPr>
        <w:t xml:space="preserve"> </w:t>
      </w:r>
      <w:r w:rsidRPr="00976655">
        <w:rPr>
          <w:rFonts w:ascii="Abadi" w:hAnsi="Abadi"/>
          <w:b w:val="0"/>
          <w:bCs w:val="0"/>
          <w:sz w:val="21"/>
          <w:szCs w:val="21"/>
        </w:rPr>
        <w:t>de</w:t>
      </w:r>
      <w:r w:rsidRPr="00976655">
        <w:rPr>
          <w:rFonts w:ascii="Abadi" w:hAnsi="Abadi"/>
          <w:b w:val="0"/>
          <w:bCs w:val="0"/>
          <w:spacing w:val="61"/>
          <w:sz w:val="21"/>
          <w:szCs w:val="21"/>
        </w:rPr>
        <w:t xml:space="preserve"> </w:t>
      </w:r>
      <w:r w:rsidRPr="00976655">
        <w:rPr>
          <w:rFonts w:ascii="Abadi" w:hAnsi="Abadi"/>
          <w:b w:val="0"/>
          <w:bCs w:val="0"/>
          <w:sz w:val="21"/>
          <w:szCs w:val="21"/>
        </w:rPr>
        <w:t>Búsqueda</w:t>
      </w:r>
      <w:r w:rsidRPr="00976655">
        <w:rPr>
          <w:rFonts w:ascii="Abadi" w:hAnsi="Abadi"/>
          <w:b w:val="0"/>
          <w:bCs w:val="0"/>
          <w:spacing w:val="61"/>
          <w:sz w:val="21"/>
          <w:szCs w:val="21"/>
        </w:rPr>
        <w:t xml:space="preserve"> </w:t>
      </w:r>
      <w:r w:rsidRPr="00976655">
        <w:rPr>
          <w:rFonts w:ascii="Abadi" w:hAnsi="Abadi"/>
          <w:b w:val="0"/>
          <w:bCs w:val="0"/>
          <w:sz w:val="21"/>
          <w:szCs w:val="21"/>
        </w:rPr>
        <w:t>contará</w:t>
      </w:r>
      <w:r w:rsidRPr="00976655">
        <w:rPr>
          <w:rFonts w:ascii="Abadi" w:hAnsi="Abadi"/>
          <w:b w:val="0"/>
          <w:bCs w:val="0"/>
          <w:spacing w:val="61"/>
          <w:sz w:val="21"/>
          <w:szCs w:val="21"/>
        </w:rPr>
        <w:t xml:space="preserve"> </w:t>
      </w:r>
      <w:r w:rsidRPr="00976655">
        <w:rPr>
          <w:rFonts w:ascii="Abadi" w:hAnsi="Abadi"/>
          <w:b w:val="0"/>
          <w:bCs w:val="0"/>
          <w:sz w:val="21"/>
          <w:szCs w:val="21"/>
        </w:rPr>
        <w:t>con</w:t>
      </w:r>
      <w:r w:rsidRPr="00976655">
        <w:rPr>
          <w:rFonts w:ascii="Abadi" w:hAnsi="Abadi"/>
          <w:b w:val="0"/>
          <w:bCs w:val="0"/>
          <w:spacing w:val="62"/>
          <w:sz w:val="21"/>
          <w:szCs w:val="21"/>
        </w:rPr>
        <w:t xml:space="preserve"> </w:t>
      </w:r>
      <w:r w:rsidRPr="00976655">
        <w:rPr>
          <w:rFonts w:ascii="Abadi" w:hAnsi="Abadi"/>
          <w:b w:val="0"/>
          <w:bCs w:val="0"/>
          <w:sz w:val="21"/>
          <w:szCs w:val="21"/>
        </w:rPr>
        <w:t>los</w:t>
      </w:r>
      <w:r w:rsidRPr="00976655">
        <w:rPr>
          <w:rFonts w:ascii="Abadi" w:hAnsi="Abadi"/>
          <w:b w:val="0"/>
          <w:bCs w:val="0"/>
          <w:spacing w:val="61"/>
          <w:sz w:val="21"/>
          <w:szCs w:val="21"/>
        </w:rPr>
        <w:t xml:space="preserve"> </w:t>
      </w:r>
      <w:r w:rsidRPr="00976655">
        <w:rPr>
          <w:rFonts w:ascii="Abadi" w:hAnsi="Abadi"/>
          <w:b w:val="0"/>
          <w:bCs w:val="0"/>
          <w:sz w:val="21"/>
          <w:szCs w:val="21"/>
        </w:rPr>
        <w:t>recursos</w:t>
      </w:r>
      <w:r w:rsidRPr="00976655">
        <w:rPr>
          <w:rFonts w:ascii="Abadi" w:hAnsi="Abadi"/>
          <w:b w:val="0"/>
          <w:bCs w:val="0"/>
          <w:spacing w:val="-16"/>
          <w:sz w:val="21"/>
          <w:szCs w:val="21"/>
        </w:rPr>
        <w:t xml:space="preserve"> </w:t>
      </w:r>
      <w:r w:rsidRPr="00976655">
        <w:rPr>
          <w:rFonts w:ascii="Abadi" w:hAnsi="Abadi"/>
          <w:b w:val="0"/>
          <w:bCs w:val="0"/>
          <w:sz w:val="21"/>
          <w:szCs w:val="21"/>
        </w:rPr>
        <w:t>económicos que le asigne la Secretaría de Gobierno para cumplir con</w:t>
      </w:r>
      <w:r w:rsidRPr="00976655">
        <w:rPr>
          <w:rFonts w:ascii="Abadi" w:hAnsi="Abadi"/>
          <w:b w:val="0"/>
          <w:bCs w:val="0"/>
          <w:spacing w:val="-16"/>
          <w:sz w:val="21"/>
          <w:szCs w:val="21"/>
        </w:rPr>
        <w:t xml:space="preserve"> </w:t>
      </w:r>
      <w:r w:rsidRPr="00976655">
        <w:rPr>
          <w:rFonts w:ascii="Abadi" w:hAnsi="Abadi"/>
          <w:b w:val="0"/>
          <w:bCs w:val="0"/>
          <w:sz w:val="21"/>
          <w:szCs w:val="21"/>
        </w:rPr>
        <w:t>sus</w:t>
      </w:r>
      <w:r w:rsidRPr="00976655">
        <w:rPr>
          <w:rFonts w:ascii="Abadi" w:hAnsi="Abadi"/>
          <w:b w:val="0"/>
          <w:bCs w:val="0"/>
          <w:spacing w:val="80"/>
          <w:w w:val="150"/>
          <w:sz w:val="21"/>
          <w:szCs w:val="21"/>
        </w:rPr>
        <w:t xml:space="preserve"> </w:t>
      </w:r>
      <w:r w:rsidRPr="00976655">
        <w:rPr>
          <w:rFonts w:ascii="Abadi" w:hAnsi="Abadi"/>
          <w:b w:val="0"/>
          <w:bCs w:val="0"/>
          <w:sz w:val="21"/>
          <w:szCs w:val="21"/>
        </w:rPr>
        <w:t>atribuciones</w:t>
      </w:r>
      <w:r w:rsidRPr="00976655">
        <w:rPr>
          <w:rFonts w:ascii="Abadi" w:hAnsi="Abadi"/>
          <w:b w:val="0"/>
          <w:bCs w:val="0"/>
          <w:spacing w:val="80"/>
          <w:w w:val="150"/>
          <w:sz w:val="21"/>
          <w:szCs w:val="21"/>
        </w:rPr>
        <w:t xml:space="preserve"> </w:t>
      </w:r>
      <w:r w:rsidRPr="00976655">
        <w:rPr>
          <w:rFonts w:ascii="Abadi" w:hAnsi="Abadi"/>
          <w:b w:val="0"/>
          <w:bCs w:val="0"/>
          <w:sz w:val="21"/>
          <w:szCs w:val="21"/>
        </w:rPr>
        <w:t>y</w:t>
      </w:r>
      <w:r w:rsidRPr="00976655">
        <w:rPr>
          <w:rFonts w:ascii="Abadi" w:hAnsi="Abadi"/>
          <w:b w:val="0"/>
          <w:bCs w:val="0"/>
          <w:spacing w:val="80"/>
          <w:w w:val="150"/>
          <w:sz w:val="21"/>
          <w:szCs w:val="21"/>
        </w:rPr>
        <w:t xml:space="preserve"> </w:t>
      </w:r>
      <w:r w:rsidRPr="00976655">
        <w:rPr>
          <w:rFonts w:ascii="Abadi" w:hAnsi="Abadi"/>
          <w:b w:val="0"/>
          <w:bCs w:val="0"/>
          <w:sz w:val="21"/>
          <w:szCs w:val="21"/>
        </w:rPr>
        <w:t>obligaciones</w:t>
      </w:r>
      <w:r w:rsidRPr="00976655">
        <w:rPr>
          <w:rFonts w:ascii="Abadi" w:hAnsi="Abadi"/>
          <w:b w:val="0"/>
          <w:bCs w:val="0"/>
          <w:spacing w:val="80"/>
          <w:w w:val="150"/>
          <w:sz w:val="21"/>
          <w:szCs w:val="21"/>
        </w:rPr>
        <w:t xml:space="preserve"> </w:t>
      </w:r>
      <w:r w:rsidRPr="00976655">
        <w:rPr>
          <w:rFonts w:ascii="Abadi" w:hAnsi="Abadi"/>
          <w:b w:val="0"/>
          <w:bCs w:val="0"/>
          <w:sz w:val="21"/>
          <w:szCs w:val="21"/>
        </w:rPr>
        <w:t>de</w:t>
      </w:r>
      <w:r w:rsidRPr="00976655">
        <w:rPr>
          <w:rFonts w:ascii="Abadi" w:hAnsi="Abadi"/>
          <w:b w:val="0"/>
          <w:bCs w:val="0"/>
          <w:spacing w:val="80"/>
          <w:w w:val="150"/>
          <w:sz w:val="21"/>
          <w:szCs w:val="21"/>
        </w:rPr>
        <w:t xml:space="preserve"> </w:t>
      </w:r>
      <w:r w:rsidRPr="00976655">
        <w:rPr>
          <w:rFonts w:ascii="Abadi" w:hAnsi="Abadi"/>
          <w:b w:val="0"/>
          <w:bCs w:val="0"/>
          <w:sz w:val="21"/>
          <w:szCs w:val="21"/>
        </w:rPr>
        <w:t>emprender</w:t>
      </w:r>
      <w:r w:rsidRPr="00976655">
        <w:rPr>
          <w:rFonts w:ascii="Abadi" w:hAnsi="Abadi"/>
          <w:b w:val="0"/>
          <w:bCs w:val="0"/>
          <w:spacing w:val="80"/>
          <w:w w:val="150"/>
          <w:sz w:val="21"/>
          <w:szCs w:val="21"/>
        </w:rPr>
        <w:t xml:space="preserve"> </w:t>
      </w:r>
      <w:r w:rsidRPr="00976655">
        <w:rPr>
          <w:rFonts w:ascii="Abadi" w:hAnsi="Abadi"/>
          <w:b w:val="0"/>
          <w:bCs w:val="0"/>
          <w:sz w:val="21"/>
          <w:szCs w:val="21"/>
        </w:rPr>
        <w:t>e</w:t>
      </w:r>
      <w:r w:rsidRPr="00976655">
        <w:rPr>
          <w:rFonts w:ascii="Abadi" w:hAnsi="Abadi"/>
          <w:b w:val="0"/>
          <w:bCs w:val="0"/>
          <w:spacing w:val="80"/>
          <w:w w:val="150"/>
          <w:sz w:val="21"/>
          <w:szCs w:val="21"/>
        </w:rPr>
        <w:t xml:space="preserve"> </w:t>
      </w:r>
      <w:r w:rsidRPr="00976655">
        <w:rPr>
          <w:rFonts w:ascii="Abadi" w:hAnsi="Abadi"/>
          <w:b w:val="0"/>
          <w:bCs w:val="0"/>
          <w:sz w:val="21"/>
          <w:szCs w:val="21"/>
        </w:rPr>
        <w:t>implementar</w:t>
      </w:r>
      <w:r w:rsidRPr="00976655">
        <w:rPr>
          <w:rFonts w:ascii="Abadi" w:hAnsi="Abadi"/>
          <w:b w:val="0"/>
          <w:bCs w:val="0"/>
          <w:spacing w:val="-16"/>
          <w:sz w:val="21"/>
          <w:szCs w:val="21"/>
        </w:rPr>
        <w:t xml:space="preserve"> </w:t>
      </w:r>
      <w:r w:rsidRPr="00976655">
        <w:rPr>
          <w:rFonts w:ascii="Abadi" w:hAnsi="Abadi"/>
          <w:b w:val="0"/>
          <w:bCs w:val="0"/>
          <w:sz w:val="21"/>
          <w:szCs w:val="21"/>
        </w:rPr>
        <w:t>inmediatamente</w:t>
      </w:r>
      <w:r w:rsidRPr="00976655">
        <w:rPr>
          <w:rFonts w:ascii="Abadi" w:hAnsi="Abadi"/>
          <w:b w:val="0"/>
          <w:bCs w:val="0"/>
          <w:spacing w:val="55"/>
          <w:sz w:val="21"/>
          <w:szCs w:val="21"/>
        </w:rPr>
        <w:t xml:space="preserve"> </w:t>
      </w:r>
      <w:r w:rsidRPr="00976655">
        <w:rPr>
          <w:rFonts w:ascii="Abadi" w:hAnsi="Abadi"/>
          <w:b w:val="0"/>
          <w:bCs w:val="0"/>
          <w:sz w:val="21"/>
          <w:szCs w:val="21"/>
        </w:rPr>
        <w:t>las</w:t>
      </w:r>
      <w:r w:rsidRPr="00976655">
        <w:rPr>
          <w:rFonts w:ascii="Abadi" w:hAnsi="Abadi"/>
          <w:b w:val="0"/>
          <w:bCs w:val="0"/>
          <w:spacing w:val="56"/>
          <w:sz w:val="21"/>
          <w:szCs w:val="21"/>
        </w:rPr>
        <w:t xml:space="preserve"> </w:t>
      </w:r>
      <w:r w:rsidRPr="00976655">
        <w:rPr>
          <w:rFonts w:ascii="Abadi" w:hAnsi="Abadi"/>
          <w:b w:val="0"/>
          <w:bCs w:val="0"/>
          <w:sz w:val="21"/>
          <w:szCs w:val="21"/>
        </w:rPr>
        <w:t>acciones</w:t>
      </w:r>
      <w:r w:rsidRPr="00976655">
        <w:rPr>
          <w:rFonts w:ascii="Abadi" w:hAnsi="Abadi"/>
          <w:b w:val="0"/>
          <w:bCs w:val="0"/>
          <w:spacing w:val="56"/>
          <w:sz w:val="21"/>
          <w:szCs w:val="21"/>
        </w:rPr>
        <w:t xml:space="preserve"> </w:t>
      </w:r>
      <w:r w:rsidRPr="00976655">
        <w:rPr>
          <w:rFonts w:ascii="Abadi" w:hAnsi="Abadi"/>
          <w:b w:val="0"/>
          <w:bCs w:val="0"/>
          <w:sz w:val="21"/>
          <w:szCs w:val="21"/>
        </w:rPr>
        <w:t>necesarias</w:t>
      </w:r>
      <w:r w:rsidRPr="00976655">
        <w:rPr>
          <w:rFonts w:ascii="Abadi" w:hAnsi="Abadi"/>
          <w:b w:val="0"/>
          <w:bCs w:val="0"/>
          <w:spacing w:val="56"/>
          <w:sz w:val="21"/>
          <w:szCs w:val="21"/>
        </w:rPr>
        <w:t xml:space="preserve"> </w:t>
      </w:r>
      <w:r w:rsidRPr="00976655">
        <w:rPr>
          <w:rFonts w:ascii="Abadi" w:hAnsi="Abadi"/>
          <w:b w:val="0"/>
          <w:bCs w:val="0"/>
          <w:sz w:val="21"/>
          <w:szCs w:val="21"/>
        </w:rPr>
        <w:t>de</w:t>
      </w:r>
      <w:r w:rsidRPr="00976655">
        <w:rPr>
          <w:rFonts w:ascii="Abadi" w:hAnsi="Abadi"/>
          <w:b w:val="0"/>
          <w:bCs w:val="0"/>
          <w:spacing w:val="56"/>
          <w:sz w:val="21"/>
          <w:szCs w:val="21"/>
        </w:rPr>
        <w:t xml:space="preserve"> </w:t>
      </w:r>
      <w:r w:rsidRPr="00976655">
        <w:rPr>
          <w:rFonts w:ascii="Abadi" w:hAnsi="Abadi"/>
          <w:b w:val="0"/>
          <w:bCs w:val="0"/>
          <w:sz w:val="21"/>
          <w:szCs w:val="21"/>
        </w:rPr>
        <w:t>búsqueda</w:t>
      </w:r>
      <w:r w:rsidRPr="00976655">
        <w:rPr>
          <w:rFonts w:ascii="Abadi" w:hAnsi="Abadi"/>
          <w:b w:val="0"/>
          <w:bCs w:val="0"/>
          <w:spacing w:val="55"/>
          <w:sz w:val="21"/>
          <w:szCs w:val="21"/>
        </w:rPr>
        <w:t xml:space="preserve"> </w:t>
      </w:r>
      <w:r w:rsidRPr="00976655">
        <w:rPr>
          <w:rFonts w:ascii="Abadi" w:hAnsi="Abadi"/>
          <w:b w:val="0"/>
          <w:bCs w:val="0"/>
          <w:sz w:val="21"/>
          <w:szCs w:val="21"/>
        </w:rPr>
        <w:t>de</w:t>
      </w:r>
      <w:r w:rsidRPr="00976655">
        <w:rPr>
          <w:rFonts w:ascii="Abadi" w:hAnsi="Abadi"/>
          <w:b w:val="0"/>
          <w:bCs w:val="0"/>
          <w:spacing w:val="55"/>
          <w:sz w:val="21"/>
          <w:szCs w:val="21"/>
        </w:rPr>
        <w:t xml:space="preserve"> </w:t>
      </w:r>
      <w:r w:rsidRPr="00976655">
        <w:rPr>
          <w:rFonts w:ascii="Abadi" w:hAnsi="Abadi"/>
          <w:b w:val="0"/>
          <w:bCs w:val="0"/>
          <w:sz w:val="21"/>
          <w:szCs w:val="21"/>
        </w:rPr>
        <w:t>personas</w:t>
      </w:r>
    </w:p>
    <w:p w14:paraId="34F50328" w14:textId="77777777" w:rsidR="00A063B4" w:rsidRPr="00976655" w:rsidRDefault="00A063B4" w:rsidP="00A063B4">
      <w:pPr>
        <w:pStyle w:val="Textoindependiente"/>
        <w:kinsoku w:val="0"/>
        <w:overflowPunct w:val="0"/>
        <w:ind w:left="40"/>
        <w:rPr>
          <w:rFonts w:ascii="Abadi" w:hAnsi="Abadi"/>
          <w:b w:val="0"/>
          <w:bCs w:val="0"/>
          <w:spacing w:val="-2"/>
          <w:sz w:val="21"/>
          <w:szCs w:val="21"/>
        </w:rPr>
      </w:pPr>
      <w:r w:rsidRPr="00976655">
        <w:rPr>
          <w:rFonts w:ascii="Abadi" w:hAnsi="Abadi"/>
          <w:b w:val="0"/>
          <w:bCs w:val="0"/>
          <w:spacing w:val="-2"/>
          <w:sz w:val="21"/>
          <w:szCs w:val="21"/>
        </w:rPr>
        <w:t>desaparecidas.</w:t>
      </w:r>
    </w:p>
    <w:p w14:paraId="3686E87A" w14:textId="77777777" w:rsidR="00A063B4" w:rsidRPr="00976655" w:rsidRDefault="00A063B4" w:rsidP="00A063B4">
      <w:pPr>
        <w:pStyle w:val="Textoindependiente"/>
        <w:kinsoku w:val="0"/>
        <w:overflowPunct w:val="0"/>
        <w:ind w:left="40"/>
        <w:rPr>
          <w:rFonts w:ascii="Abadi" w:hAnsi="Abadi"/>
          <w:b w:val="0"/>
          <w:bCs w:val="0"/>
          <w:spacing w:val="-2"/>
          <w:sz w:val="21"/>
          <w:szCs w:val="21"/>
        </w:rPr>
      </w:pPr>
    </w:p>
    <w:p w14:paraId="70916D14" w14:textId="77777777" w:rsidR="00A063B4" w:rsidRPr="00DB3FFF" w:rsidRDefault="00A063B4" w:rsidP="00A063B4">
      <w:pPr>
        <w:pStyle w:val="Textoindependiente"/>
        <w:kinsoku w:val="0"/>
        <w:overflowPunct w:val="0"/>
        <w:rPr>
          <w:rFonts w:ascii="Abadi" w:hAnsi="Abadi"/>
          <w:sz w:val="21"/>
          <w:szCs w:val="21"/>
        </w:rPr>
      </w:pPr>
    </w:p>
    <w:p w14:paraId="16129387" w14:textId="77777777" w:rsidR="00A063B4" w:rsidRPr="00DB3FFF" w:rsidRDefault="00A063B4" w:rsidP="00A063B4">
      <w:pPr>
        <w:pStyle w:val="Textoindependiente"/>
        <w:kinsoku w:val="0"/>
        <w:overflowPunct w:val="0"/>
        <w:ind w:right="116"/>
        <w:rPr>
          <w:rFonts w:ascii="Abadi" w:hAnsi="Abadi"/>
          <w:sz w:val="21"/>
          <w:szCs w:val="21"/>
        </w:rPr>
      </w:pPr>
      <w:r w:rsidRPr="00DB3FFF">
        <w:rPr>
          <w:rFonts w:ascii="Abadi" w:hAnsi="Abadi"/>
          <w:sz w:val="21"/>
          <w:szCs w:val="21"/>
        </w:rPr>
        <w:t>Dicho</w:t>
      </w:r>
      <w:r w:rsidRPr="00DB3FFF">
        <w:rPr>
          <w:rFonts w:ascii="Abadi" w:hAnsi="Abadi"/>
          <w:spacing w:val="15"/>
          <w:sz w:val="21"/>
          <w:szCs w:val="21"/>
        </w:rPr>
        <w:t xml:space="preserve"> </w:t>
      </w:r>
      <w:r w:rsidRPr="00DB3FFF">
        <w:rPr>
          <w:rFonts w:ascii="Abadi" w:hAnsi="Abadi"/>
          <w:sz w:val="21"/>
          <w:szCs w:val="21"/>
        </w:rPr>
        <w:t>presupuesto</w:t>
      </w:r>
      <w:r w:rsidRPr="00DB3FFF">
        <w:rPr>
          <w:rFonts w:ascii="Abadi" w:hAnsi="Abadi"/>
          <w:spacing w:val="15"/>
          <w:sz w:val="21"/>
          <w:szCs w:val="21"/>
        </w:rPr>
        <w:t xml:space="preserve"> </w:t>
      </w:r>
      <w:r w:rsidRPr="00DB3FFF">
        <w:rPr>
          <w:rFonts w:ascii="Abadi" w:hAnsi="Abadi"/>
          <w:sz w:val="21"/>
          <w:szCs w:val="21"/>
        </w:rPr>
        <w:t>no</w:t>
      </w:r>
      <w:r w:rsidRPr="00DB3FFF">
        <w:rPr>
          <w:rFonts w:ascii="Abadi" w:hAnsi="Abadi"/>
          <w:spacing w:val="16"/>
          <w:sz w:val="21"/>
          <w:szCs w:val="21"/>
        </w:rPr>
        <w:t xml:space="preserve"> </w:t>
      </w:r>
      <w:r w:rsidRPr="00DB3FFF">
        <w:rPr>
          <w:rFonts w:ascii="Abadi" w:hAnsi="Abadi"/>
          <w:sz w:val="21"/>
          <w:szCs w:val="21"/>
        </w:rPr>
        <w:t>podrá</w:t>
      </w:r>
      <w:r w:rsidRPr="00DB3FFF">
        <w:rPr>
          <w:rFonts w:ascii="Abadi" w:hAnsi="Abadi"/>
          <w:spacing w:val="17"/>
          <w:sz w:val="21"/>
          <w:szCs w:val="21"/>
        </w:rPr>
        <w:t xml:space="preserve"> </w:t>
      </w:r>
      <w:r w:rsidRPr="00DB3FFF">
        <w:rPr>
          <w:rFonts w:ascii="Abadi" w:hAnsi="Abadi"/>
          <w:sz w:val="21"/>
          <w:szCs w:val="21"/>
        </w:rPr>
        <w:t>ser</w:t>
      </w:r>
      <w:r w:rsidRPr="00DB3FFF">
        <w:rPr>
          <w:rFonts w:ascii="Abadi" w:hAnsi="Abadi"/>
          <w:spacing w:val="15"/>
          <w:sz w:val="21"/>
          <w:szCs w:val="21"/>
        </w:rPr>
        <w:t xml:space="preserve"> </w:t>
      </w:r>
      <w:r w:rsidRPr="00DB3FFF">
        <w:rPr>
          <w:rFonts w:ascii="Abadi" w:hAnsi="Abadi"/>
          <w:sz w:val="21"/>
          <w:szCs w:val="21"/>
        </w:rPr>
        <w:t>menor</w:t>
      </w:r>
      <w:r w:rsidRPr="00DB3FFF">
        <w:rPr>
          <w:rFonts w:ascii="Abadi" w:hAnsi="Abadi"/>
          <w:spacing w:val="16"/>
          <w:sz w:val="21"/>
          <w:szCs w:val="21"/>
        </w:rPr>
        <w:t xml:space="preserve"> </w:t>
      </w:r>
      <w:r w:rsidRPr="00DB3FFF">
        <w:rPr>
          <w:rFonts w:ascii="Abadi" w:hAnsi="Abadi"/>
          <w:sz w:val="21"/>
          <w:szCs w:val="21"/>
        </w:rPr>
        <w:t>que</w:t>
      </w:r>
      <w:r w:rsidRPr="00DB3FFF">
        <w:rPr>
          <w:rFonts w:ascii="Abadi" w:hAnsi="Abadi"/>
          <w:spacing w:val="15"/>
          <w:sz w:val="21"/>
          <w:szCs w:val="21"/>
        </w:rPr>
        <w:t xml:space="preserve"> </w:t>
      </w:r>
      <w:r w:rsidRPr="00DB3FFF">
        <w:rPr>
          <w:rFonts w:ascii="Abadi" w:hAnsi="Abadi"/>
          <w:sz w:val="21"/>
          <w:szCs w:val="21"/>
        </w:rPr>
        <w:t>el</w:t>
      </w:r>
      <w:r w:rsidRPr="00DB3FFF">
        <w:rPr>
          <w:rFonts w:ascii="Abadi" w:hAnsi="Abadi"/>
          <w:spacing w:val="16"/>
          <w:sz w:val="21"/>
          <w:szCs w:val="21"/>
        </w:rPr>
        <w:t xml:space="preserve"> </w:t>
      </w:r>
      <w:r w:rsidRPr="00DB3FFF">
        <w:rPr>
          <w:rFonts w:ascii="Abadi" w:hAnsi="Abadi"/>
          <w:sz w:val="21"/>
          <w:szCs w:val="21"/>
        </w:rPr>
        <w:t>asignado</w:t>
      </w:r>
      <w:r w:rsidRPr="00DB3FFF">
        <w:rPr>
          <w:rFonts w:ascii="Abadi" w:hAnsi="Abadi"/>
          <w:spacing w:val="16"/>
          <w:sz w:val="21"/>
          <w:szCs w:val="21"/>
        </w:rPr>
        <w:t xml:space="preserve"> </w:t>
      </w:r>
      <w:r w:rsidRPr="00DB3FFF">
        <w:rPr>
          <w:rFonts w:ascii="Abadi" w:hAnsi="Abadi"/>
          <w:sz w:val="21"/>
          <w:szCs w:val="21"/>
        </w:rPr>
        <w:t>el</w:t>
      </w:r>
      <w:r w:rsidRPr="00DB3FFF">
        <w:rPr>
          <w:rFonts w:ascii="Abadi" w:hAnsi="Abadi"/>
          <w:spacing w:val="16"/>
          <w:sz w:val="21"/>
          <w:szCs w:val="21"/>
        </w:rPr>
        <w:t xml:space="preserve"> </w:t>
      </w:r>
      <w:r w:rsidRPr="00DB3FFF">
        <w:rPr>
          <w:rFonts w:ascii="Abadi" w:hAnsi="Abadi"/>
          <w:sz w:val="21"/>
          <w:szCs w:val="21"/>
        </w:rPr>
        <w:t>ejercicio</w:t>
      </w:r>
      <w:r w:rsidRPr="00DB3FFF">
        <w:rPr>
          <w:rFonts w:ascii="Abadi" w:hAnsi="Abadi"/>
          <w:spacing w:val="-16"/>
          <w:sz w:val="21"/>
          <w:szCs w:val="21"/>
        </w:rPr>
        <w:t xml:space="preserve"> </w:t>
      </w:r>
      <w:r w:rsidRPr="00DB3FFF">
        <w:rPr>
          <w:rFonts w:ascii="Abadi" w:hAnsi="Abadi"/>
          <w:sz w:val="21"/>
          <w:szCs w:val="21"/>
        </w:rPr>
        <w:t>inmediato</w:t>
      </w:r>
      <w:r w:rsidRPr="00DB3FFF">
        <w:rPr>
          <w:rFonts w:ascii="Abadi" w:hAnsi="Abadi"/>
          <w:spacing w:val="44"/>
          <w:sz w:val="21"/>
          <w:szCs w:val="21"/>
        </w:rPr>
        <w:t xml:space="preserve"> </w:t>
      </w:r>
      <w:r w:rsidRPr="00DB3FFF">
        <w:rPr>
          <w:rFonts w:ascii="Abadi" w:hAnsi="Abadi"/>
          <w:sz w:val="21"/>
          <w:szCs w:val="21"/>
        </w:rPr>
        <w:t>anterior,</w:t>
      </w:r>
      <w:r w:rsidRPr="00DB3FFF">
        <w:rPr>
          <w:rFonts w:ascii="Abadi" w:hAnsi="Abadi"/>
          <w:spacing w:val="43"/>
          <w:sz w:val="21"/>
          <w:szCs w:val="21"/>
        </w:rPr>
        <w:t xml:space="preserve"> </w:t>
      </w:r>
      <w:r w:rsidRPr="00DB3FFF">
        <w:rPr>
          <w:rFonts w:ascii="Abadi" w:hAnsi="Abadi"/>
          <w:sz w:val="21"/>
          <w:szCs w:val="21"/>
        </w:rPr>
        <w:t>con</w:t>
      </w:r>
      <w:r w:rsidRPr="00DB3FFF">
        <w:rPr>
          <w:rFonts w:ascii="Abadi" w:hAnsi="Abadi"/>
          <w:spacing w:val="44"/>
          <w:sz w:val="21"/>
          <w:szCs w:val="21"/>
        </w:rPr>
        <w:t xml:space="preserve"> </w:t>
      </w:r>
      <w:r w:rsidRPr="00DB3FFF">
        <w:rPr>
          <w:rFonts w:ascii="Abadi" w:hAnsi="Abadi"/>
          <w:sz w:val="21"/>
          <w:szCs w:val="21"/>
        </w:rPr>
        <w:t>la</w:t>
      </w:r>
      <w:r w:rsidRPr="00DB3FFF">
        <w:rPr>
          <w:rFonts w:ascii="Abadi" w:hAnsi="Abadi"/>
          <w:spacing w:val="46"/>
          <w:sz w:val="21"/>
          <w:szCs w:val="21"/>
        </w:rPr>
        <w:t xml:space="preserve"> </w:t>
      </w:r>
      <w:r w:rsidRPr="00DB3FFF">
        <w:rPr>
          <w:rFonts w:ascii="Abadi" w:hAnsi="Abadi"/>
          <w:sz w:val="21"/>
          <w:szCs w:val="21"/>
        </w:rPr>
        <w:t>finalidad</w:t>
      </w:r>
      <w:r w:rsidRPr="00DB3FFF">
        <w:rPr>
          <w:rFonts w:ascii="Abadi" w:hAnsi="Abadi"/>
          <w:spacing w:val="44"/>
          <w:sz w:val="21"/>
          <w:szCs w:val="21"/>
        </w:rPr>
        <w:t xml:space="preserve"> </w:t>
      </w:r>
      <w:r w:rsidRPr="00DB3FFF">
        <w:rPr>
          <w:rFonts w:ascii="Abadi" w:hAnsi="Abadi"/>
          <w:sz w:val="21"/>
          <w:szCs w:val="21"/>
        </w:rPr>
        <w:t>de</w:t>
      </w:r>
      <w:r w:rsidRPr="00DB3FFF">
        <w:rPr>
          <w:rFonts w:ascii="Abadi" w:hAnsi="Abadi"/>
          <w:spacing w:val="45"/>
          <w:sz w:val="21"/>
          <w:szCs w:val="21"/>
        </w:rPr>
        <w:t xml:space="preserve"> </w:t>
      </w:r>
      <w:r w:rsidRPr="00DB3FFF">
        <w:rPr>
          <w:rFonts w:ascii="Abadi" w:hAnsi="Abadi"/>
          <w:sz w:val="21"/>
          <w:szCs w:val="21"/>
        </w:rPr>
        <w:t>fortalecer</w:t>
      </w:r>
      <w:r w:rsidRPr="00DB3FFF">
        <w:rPr>
          <w:rFonts w:ascii="Abadi" w:hAnsi="Abadi"/>
          <w:spacing w:val="45"/>
          <w:sz w:val="21"/>
          <w:szCs w:val="21"/>
        </w:rPr>
        <w:t xml:space="preserve"> </w:t>
      </w:r>
      <w:r w:rsidRPr="00DB3FFF">
        <w:rPr>
          <w:rFonts w:ascii="Abadi" w:hAnsi="Abadi"/>
          <w:sz w:val="21"/>
          <w:szCs w:val="21"/>
        </w:rPr>
        <w:t>los</w:t>
      </w:r>
      <w:r w:rsidRPr="00DB3FFF">
        <w:rPr>
          <w:rFonts w:ascii="Abadi" w:hAnsi="Abadi"/>
          <w:spacing w:val="44"/>
          <w:sz w:val="21"/>
          <w:szCs w:val="21"/>
        </w:rPr>
        <w:t xml:space="preserve"> </w:t>
      </w:r>
      <w:r w:rsidRPr="00DB3FFF">
        <w:rPr>
          <w:rFonts w:ascii="Abadi" w:hAnsi="Abadi"/>
          <w:sz w:val="21"/>
          <w:szCs w:val="21"/>
        </w:rPr>
        <w:t>mecanismos</w:t>
      </w:r>
      <w:r w:rsidRPr="00DB3FFF">
        <w:rPr>
          <w:rFonts w:ascii="Abadi" w:hAnsi="Abadi"/>
          <w:spacing w:val="-16"/>
          <w:sz w:val="21"/>
          <w:szCs w:val="21"/>
        </w:rPr>
        <w:t xml:space="preserve"> </w:t>
      </w:r>
      <w:r w:rsidRPr="00DB3FFF">
        <w:rPr>
          <w:rFonts w:ascii="Abadi" w:hAnsi="Abadi"/>
          <w:sz w:val="21"/>
          <w:szCs w:val="21"/>
        </w:rPr>
        <w:t>implementados</w:t>
      </w:r>
      <w:r w:rsidRPr="00DB3FFF">
        <w:rPr>
          <w:rFonts w:ascii="Abadi" w:hAnsi="Abadi"/>
          <w:spacing w:val="-15"/>
          <w:sz w:val="21"/>
          <w:szCs w:val="21"/>
        </w:rPr>
        <w:t xml:space="preserve"> </w:t>
      </w:r>
      <w:r w:rsidRPr="00DB3FFF">
        <w:rPr>
          <w:rFonts w:ascii="Abadi" w:hAnsi="Abadi"/>
          <w:sz w:val="21"/>
          <w:szCs w:val="21"/>
        </w:rPr>
        <w:t>para</w:t>
      </w:r>
      <w:r w:rsidRPr="00DB3FFF">
        <w:rPr>
          <w:rFonts w:ascii="Abadi" w:hAnsi="Abadi"/>
          <w:spacing w:val="-15"/>
          <w:sz w:val="21"/>
          <w:szCs w:val="21"/>
        </w:rPr>
        <w:t xml:space="preserve"> </w:t>
      </w:r>
      <w:r w:rsidRPr="00DB3FFF">
        <w:rPr>
          <w:rFonts w:ascii="Abadi" w:hAnsi="Abadi"/>
          <w:sz w:val="21"/>
          <w:szCs w:val="21"/>
        </w:rPr>
        <w:t>la</w:t>
      </w:r>
      <w:r w:rsidRPr="00DB3FFF">
        <w:rPr>
          <w:rFonts w:ascii="Abadi" w:hAnsi="Abadi"/>
          <w:spacing w:val="-16"/>
          <w:sz w:val="21"/>
          <w:szCs w:val="21"/>
        </w:rPr>
        <w:t xml:space="preserve"> </w:t>
      </w:r>
      <w:r w:rsidRPr="00DB3FFF">
        <w:rPr>
          <w:rFonts w:ascii="Abadi" w:hAnsi="Abadi"/>
          <w:sz w:val="21"/>
          <w:szCs w:val="21"/>
        </w:rPr>
        <w:t>búsqueda</w:t>
      </w:r>
      <w:r w:rsidRPr="00DB3FFF">
        <w:rPr>
          <w:rFonts w:ascii="Abadi" w:hAnsi="Abadi"/>
          <w:spacing w:val="-15"/>
          <w:sz w:val="21"/>
          <w:szCs w:val="21"/>
        </w:rPr>
        <w:t xml:space="preserve"> </w:t>
      </w:r>
      <w:r w:rsidRPr="00DB3FFF">
        <w:rPr>
          <w:rFonts w:ascii="Abadi" w:hAnsi="Abadi"/>
          <w:sz w:val="21"/>
          <w:szCs w:val="21"/>
        </w:rPr>
        <w:t>de</w:t>
      </w:r>
      <w:r w:rsidRPr="00DB3FFF">
        <w:rPr>
          <w:rFonts w:ascii="Abadi" w:hAnsi="Abadi"/>
          <w:spacing w:val="-16"/>
          <w:sz w:val="21"/>
          <w:szCs w:val="21"/>
        </w:rPr>
        <w:t xml:space="preserve"> </w:t>
      </w:r>
      <w:r w:rsidRPr="00DB3FFF">
        <w:rPr>
          <w:rFonts w:ascii="Abadi" w:hAnsi="Abadi"/>
          <w:sz w:val="21"/>
          <w:szCs w:val="21"/>
        </w:rPr>
        <w:t>personas</w:t>
      </w:r>
      <w:r w:rsidRPr="00DB3FFF">
        <w:rPr>
          <w:rFonts w:ascii="Abadi" w:hAnsi="Abadi"/>
          <w:spacing w:val="-15"/>
          <w:sz w:val="21"/>
          <w:szCs w:val="21"/>
        </w:rPr>
        <w:t xml:space="preserve"> </w:t>
      </w:r>
      <w:r w:rsidRPr="00DB3FFF">
        <w:rPr>
          <w:rFonts w:ascii="Abadi" w:hAnsi="Abadi"/>
          <w:sz w:val="21"/>
          <w:szCs w:val="21"/>
        </w:rPr>
        <w:t>desaparecidas.</w:t>
      </w:r>
    </w:p>
    <w:p w14:paraId="52EA24C0" w14:textId="77777777" w:rsidR="00A063B4" w:rsidRDefault="00A063B4" w:rsidP="00A063B4">
      <w:pPr>
        <w:pStyle w:val="Textoindependiente"/>
        <w:kinsoku w:val="0"/>
        <w:overflowPunct w:val="0"/>
        <w:ind w:left="3438"/>
        <w:rPr>
          <w:rFonts w:ascii="Abadi" w:hAnsi="Abadi"/>
          <w:b w:val="0"/>
          <w:bCs w:val="0"/>
          <w:w w:val="105"/>
          <w:sz w:val="21"/>
          <w:szCs w:val="21"/>
        </w:rPr>
      </w:pPr>
    </w:p>
    <w:p w14:paraId="7B90C259" w14:textId="77777777" w:rsidR="00A063B4" w:rsidRPr="00DB3FFF" w:rsidRDefault="00A063B4" w:rsidP="00346C4E">
      <w:pPr>
        <w:pStyle w:val="Textoindependiente"/>
        <w:kinsoku w:val="0"/>
        <w:overflowPunct w:val="0"/>
        <w:ind w:left="993"/>
        <w:rPr>
          <w:rFonts w:ascii="Abadi" w:hAnsi="Abadi"/>
          <w:b w:val="0"/>
          <w:bCs w:val="0"/>
          <w:w w:val="105"/>
          <w:sz w:val="21"/>
          <w:szCs w:val="21"/>
        </w:rPr>
      </w:pPr>
      <w:r w:rsidRPr="00DB3FFF">
        <w:rPr>
          <w:rFonts w:ascii="Abadi" w:hAnsi="Abadi"/>
          <w:w w:val="105"/>
          <w:sz w:val="21"/>
          <w:szCs w:val="21"/>
        </w:rPr>
        <w:t>T R A N S I T O R I O S</w:t>
      </w:r>
    </w:p>
    <w:p w14:paraId="7B7CC00C" w14:textId="77777777" w:rsidR="00A063B4" w:rsidRPr="00DB3FFF" w:rsidRDefault="00A063B4" w:rsidP="00A063B4">
      <w:pPr>
        <w:pStyle w:val="Textoindependiente"/>
        <w:kinsoku w:val="0"/>
        <w:overflowPunct w:val="0"/>
        <w:rPr>
          <w:rFonts w:ascii="Abadi" w:hAnsi="Abadi"/>
          <w:sz w:val="21"/>
          <w:szCs w:val="21"/>
        </w:rPr>
      </w:pPr>
    </w:p>
    <w:p w14:paraId="7BE085F7" w14:textId="77777777" w:rsidR="00A063B4" w:rsidRDefault="00A063B4" w:rsidP="00A063B4">
      <w:pPr>
        <w:pStyle w:val="Textoindependiente"/>
        <w:kinsoku w:val="0"/>
        <w:overflowPunct w:val="0"/>
        <w:rPr>
          <w:rFonts w:ascii="Abadi" w:hAnsi="Abadi"/>
          <w:w w:val="95"/>
          <w:sz w:val="21"/>
          <w:szCs w:val="21"/>
        </w:rPr>
      </w:pPr>
      <w:r w:rsidRPr="00DB3FFF">
        <w:rPr>
          <w:rFonts w:ascii="Abadi" w:hAnsi="Abadi"/>
          <w:w w:val="95"/>
          <w:sz w:val="21"/>
          <w:szCs w:val="21"/>
        </w:rPr>
        <w:t>ÚNICO. El presente decreto entrará en vigor al día siguiente de su publicación en el Periódico Oficial del Estado.</w:t>
      </w:r>
    </w:p>
    <w:p w14:paraId="6F804D70" w14:textId="77777777" w:rsidR="00A063B4" w:rsidRPr="00DB3FFF" w:rsidRDefault="00A063B4" w:rsidP="00A063B4">
      <w:pPr>
        <w:pStyle w:val="Textoindependiente"/>
        <w:kinsoku w:val="0"/>
        <w:overflowPunct w:val="0"/>
        <w:rPr>
          <w:rFonts w:ascii="Abadi" w:hAnsi="Abadi"/>
          <w:w w:val="95"/>
          <w:sz w:val="21"/>
          <w:szCs w:val="21"/>
        </w:rPr>
      </w:pPr>
    </w:p>
    <w:p w14:paraId="2827B381" w14:textId="77777777" w:rsidR="00A063B4" w:rsidRPr="00DB3FFF" w:rsidRDefault="00A063B4" w:rsidP="00346C4E">
      <w:pPr>
        <w:pStyle w:val="Textoindependiente"/>
        <w:kinsoku w:val="0"/>
        <w:overflowPunct w:val="0"/>
        <w:ind w:left="567" w:right="566"/>
        <w:jc w:val="center"/>
        <w:rPr>
          <w:rFonts w:ascii="Abadi" w:hAnsi="Abadi"/>
          <w:sz w:val="21"/>
          <w:szCs w:val="21"/>
        </w:rPr>
      </w:pPr>
      <w:r w:rsidRPr="00DB3FFF">
        <w:rPr>
          <w:rFonts w:ascii="Abadi" w:hAnsi="Abadi"/>
          <w:sz w:val="21"/>
          <w:szCs w:val="21"/>
        </w:rPr>
        <w:t>Guanajuato,</w:t>
      </w:r>
      <w:r w:rsidRPr="00DB3FFF">
        <w:rPr>
          <w:rFonts w:ascii="Abadi" w:hAnsi="Abadi"/>
          <w:spacing w:val="-10"/>
          <w:sz w:val="21"/>
          <w:szCs w:val="21"/>
        </w:rPr>
        <w:t xml:space="preserve"> </w:t>
      </w:r>
      <w:r w:rsidRPr="00DB3FFF">
        <w:rPr>
          <w:rFonts w:ascii="Abadi" w:hAnsi="Abadi"/>
          <w:sz w:val="21"/>
          <w:szCs w:val="21"/>
        </w:rPr>
        <w:t>Guanajuato,</w:t>
      </w:r>
      <w:r w:rsidRPr="00DB3FFF">
        <w:rPr>
          <w:rFonts w:ascii="Abadi" w:hAnsi="Abadi"/>
          <w:spacing w:val="-11"/>
          <w:sz w:val="21"/>
          <w:szCs w:val="21"/>
        </w:rPr>
        <w:t xml:space="preserve"> </w:t>
      </w:r>
      <w:r w:rsidRPr="00DB3FFF">
        <w:rPr>
          <w:rFonts w:ascii="Abadi" w:hAnsi="Abadi"/>
          <w:sz w:val="21"/>
          <w:szCs w:val="21"/>
        </w:rPr>
        <w:t>21</w:t>
      </w:r>
      <w:r w:rsidRPr="00DB3FFF">
        <w:rPr>
          <w:rFonts w:ascii="Abadi" w:hAnsi="Abadi"/>
          <w:spacing w:val="-8"/>
          <w:sz w:val="21"/>
          <w:szCs w:val="21"/>
        </w:rPr>
        <w:t xml:space="preserve"> </w:t>
      </w:r>
      <w:r w:rsidRPr="00DB3FFF">
        <w:rPr>
          <w:rFonts w:ascii="Abadi" w:hAnsi="Abadi"/>
          <w:sz w:val="21"/>
          <w:szCs w:val="21"/>
        </w:rPr>
        <w:t>de</w:t>
      </w:r>
      <w:r w:rsidRPr="00DB3FFF">
        <w:rPr>
          <w:rFonts w:ascii="Abadi" w:hAnsi="Abadi"/>
          <w:spacing w:val="-10"/>
          <w:sz w:val="21"/>
          <w:szCs w:val="21"/>
        </w:rPr>
        <w:t xml:space="preserve"> </w:t>
      </w:r>
      <w:r w:rsidRPr="00DB3FFF">
        <w:rPr>
          <w:rFonts w:ascii="Abadi" w:hAnsi="Abadi"/>
          <w:sz w:val="21"/>
          <w:szCs w:val="21"/>
        </w:rPr>
        <w:t>junio</w:t>
      </w:r>
      <w:r w:rsidRPr="00DB3FFF">
        <w:rPr>
          <w:rFonts w:ascii="Abadi" w:hAnsi="Abadi"/>
          <w:spacing w:val="-10"/>
          <w:sz w:val="21"/>
          <w:szCs w:val="21"/>
        </w:rPr>
        <w:t xml:space="preserve"> </w:t>
      </w:r>
      <w:r w:rsidRPr="00DB3FFF">
        <w:rPr>
          <w:rFonts w:ascii="Abadi" w:hAnsi="Abadi"/>
          <w:sz w:val="21"/>
          <w:szCs w:val="21"/>
        </w:rPr>
        <w:t>de</w:t>
      </w:r>
      <w:r w:rsidRPr="00DB3FFF">
        <w:rPr>
          <w:rFonts w:ascii="Abadi" w:hAnsi="Abadi"/>
          <w:spacing w:val="-10"/>
          <w:sz w:val="21"/>
          <w:szCs w:val="21"/>
        </w:rPr>
        <w:t xml:space="preserve"> </w:t>
      </w:r>
      <w:r w:rsidRPr="00DB3FFF">
        <w:rPr>
          <w:rFonts w:ascii="Abadi" w:hAnsi="Abadi"/>
          <w:sz w:val="21"/>
          <w:szCs w:val="21"/>
        </w:rPr>
        <w:t>2022.</w:t>
      </w:r>
    </w:p>
    <w:p w14:paraId="161E3269" w14:textId="77777777" w:rsidR="00A063B4" w:rsidRDefault="00A063B4" w:rsidP="00346C4E">
      <w:pPr>
        <w:pStyle w:val="Textoindependiente"/>
        <w:kinsoku w:val="0"/>
        <w:overflowPunct w:val="0"/>
        <w:ind w:left="567" w:right="566"/>
        <w:jc w:val="center"/>
        <w:rPr>
          <w:rFonts w:ascii="Abadi" w:hAnsi="Abadi"/>
          <w:sz w:val="21"/>
          <w:szCs w:val="21"/>
        </w:rPr>
      </w:pPr>
    </w:p>
    <w:p w14:paraId="1F8091C1" w14:textId="77777777" w:rsidR="00A063B4" w:rsidRPr="00DB3FFF" w:rsidRDefault="00A063B4" w:rsidP="00A063B4">
      <w:pPr>
        <w:pStyle w:val="Textoindependiente"/>
        <w:kinsoku w:val="0"/>
        <w:overflowPunct w:val="0"/>
        <w:ind w:left="1832" w:right="1848"/>
        <w:jc w:val="center"/>
        <w:rPr>
          <w:rFonts w:ascii="Abadi" w:hAnsi="Abadi"/>
          <w:sz w:val="21"/>
          <w:szCs w:val="21"/>
        </w:rPr>
      </w:pPr>
    </w:p>
    <w:p w14:paraId="22646804" w14:textId="77777777" w:rsidR="00A063B4" w:rsidRPr="00976655" w:rsidRDefault="00A063B4" w:rsidP="00A063B4">
      <w:pPr>
        <w:autoSpaceDE w:val="0"/>
        <w:autoSpaceDN w:val="0"/>
        <w:adjustRightInd w:val="0"/>
        <w:jc w:val="center"/>
        <w:rPr>
          <w:rFonts w:ascii="Abadi" w:hAnsi="Abadi" w:cs="AmasisMTPro-Light"/>
          <w:b/>
          <w:bCs/>
          <w:sz w:val="21"/>
          <w:szCs w:val="21"/>
        </w:rPr>
      </w:pPr>
      <w:r w:rsidRPr="00976655">
        <w:rPr>
          <w:rFonts w:ascii="Abadi" w:hAnsi="Abadi" w:cs="AmasisMTPro-Light"/>
          <w:b/>
          <w:bCs/>
          <w:sz w:val="21"/>
          <w:szCs w:val="21"/>
        </w:rPr>
        <w:t>Dip. Hades Berenice Aguilar Castillo</w:t>
      </w:r>
    </w:p>
    <w:p w14:paraId="2DD9F354" w14:textId="77777777" w:rsidR="00976655" w:rsidRDefault="00976655" w:rsidP="00346C4E">
      <w:pPr>
        <w:pStyle w:val="Textoindependiente"/>
        <w:kinsoku w:val="0"/>
        <w:overflowPunct w:val="0"/>
        <w:ind w:left="993" w:right="708"/>
        <w:jc w:val="center"/>
        <w:rPr>
          <w:rFonts w:ascii="Abadi" w:hAnsi="Abadi" w:cs="AmasisMTPro-Light"/>
          <w:b w:val="0"/>
          <w:bCs w:val="0"/>
          <w:sz w:val="21"/>
          <w:szCs w:val="21"/>
        </w:rPr>
      </w:pPr>
    </w:p>
    <w:p w14:paraId="24573010" w14:textId="56D55D01" w:rsidR="004E6308" w:rsidRPr="00F67A15" w:rsidRDefault="00A063B4" w:rsidP="00F67A15">
      <w:pPr>
        <w:pStyle w:val="Textoindependiente"/>
        <w:kinsoku w:val="0"/>
        <w:overflowPunct w:val="0"/>
        <w:ind w:left="993" w:right="708"/>
        <w:jc w:val="center"/>
        <w:rPr>
          <w:rFonts w:ascii="Abadi" w:hAnsi="Abadi"/>
          <w:b w:val="0"/>
          <w:bCs w:val="0"/>
          <w:sz w:val="21"/>
          <w:szCs w:val="21"/>
        </w:rPr>
      </w:pPr>
      <w:r w:rsidRPr="00976655">
        <w:rPr>
          <w:rFonts w:ascii="Abadi" w:hAnsi="Abadi" w:cs="AmasisMTPro-Light"/>
          <w:b w:val="0"/>
          <w:bCs w:val="0"/>
          <w:sz w:val="21"/>
          <w:szCs w:val="21"/>
        </w:rPr>
        <w:t>Grupo Parlamentario de Morena</w:t>
      </w:r>
    </w:p>
    <w:p w14:paraId="45358AE9" w14:textId="77777777" w:rsidR="004E6308" w:rsidRPr="004E6308" w:rsidRDefault="004E6308" w:rsidP="004E6308">
      <w:pPr>
        <w:tabs>
          <w:tab w:val="left" w:pos="845"/>
        </w:tabs>
        <w:kinsoku w:val="0"/>
        <w:overflowPunct w:val="0"/>
        <w:autoSpaceDE w:val="0"/>
        <w:autoSpaceDN w:val="0"/>
        <w:adjustRightInd w:val="0"/>
        <w:spacing w:before="1"/>
        <w:ind w:right="17"/>
        <w:jc w:val="both"/>
        <w:rPr>
          <w:rFonts w:ascii="Abadi" w:hAnsi="Abadi"/>
          <w:b/>
          <w:bCs/>
          <w:sz w:val="20"/>
          <w:szCs w:val="20"/>
        </w:rPr>
      </w:pPr>
    </w:p>
    <w:p w14:paraId="38AAB7A1" w14:textId="77777777" w:rsidR="00FE2509" w:rsidRPr="00FE2509" w:rsidRDefault="00FE2509" w:rsidP="00FE2509">
      <w:pPr>
        <w:pStyle w:val="Prrafodelista"/>
        <w:rPr>
          <w:rFonts w:ascii="Abadi" w:hAnsi="Abadi"/>
          <w:b/>
          <w:bCs/>
          <w:sz w:val="20"/>
          <w:szCs w:val="20"/>
        </w:rPr>
      </w:pPr>
    </w:p>
    <w:p w14:paraId="4DCF6D68" w14:textId="72F6151E" w:rsidR="00FE2509" w:rsidRDefault="00FE2509" w:rsidP="005433FA">
      <w:pPr>
        <w:pStyle w:val="Prrafodelista"/>
        <w:numPr>
          <w:ilvl w:val="0"/>
          <w:numId w:val="9"/>
        </w:numPr>
        <w:tabs>
          <w:tab w:val="left" w:pos="845"/>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PRESENTACIÓN</w:t>
      </w:r>
      <w:r w:rsidRPr="00531B12">
        <w:rPr>
          <w:rFonts w:ascii="Abadi" w:hAnsi="Abadi"/>
          <w:b/>
          <w:bCs/>
          <w:spacing w:val="54"/>
          <w:sz w:val="20"/>
          <w:szCs w:val="20"/>
        </w:rPr>
        <w:t xml:space="preserve"> </w:t>
      </w:r>
      <w:r w:rsidRPr="00531B12">
        <w:rPr>
          <w:rFonts w:ascii="Abadi" w:hAnsi="Abadi"/>
          <w:b/>
          <w:bCs/>
          <w:sz w:val="20"/>
          <w:szCs w:val="20"/>
        </w:rPr>
        <w:t>DE</w:t>
      </w:r>
      <w:r w:rsidRPr="00531B12">
        <w:rPr>
          <w:rFonts w:ascii="Abadi" w:hAnsi="Abadi"/>
          <w:b/>
          <w:bCs/>
          <w:spacing w:val="54"/>
          <w:sz w:val="20"/>
          <w:szCs w:val="20"/>
        </w:rPr>
        <w:t xml:space="preserve"> </w:t>
      </w:r>
      <w:r w:rsidRPr="00531B12">
        <w:rPr>
          <w:rFonts w:ascii="Abadi" w:hAnsi="Abadi"/>
          <w:b/>
          <w:bCs/>
          <w:sz w:val="20"/>
          <w:szCs w:val="20"/>
        </w:rPr>
        <w:t>LA</w:t>
      </w:r>
      <w:r w:rsidRPr="00531B12">
        <w:rPr>
          <w:rFonts w:ascii="Abadi" w:hAnsi="Abadi"/>
          <w:b/>
          <w:bCs/>
          <w:spacing w:val="54"/>
          <w:sz w:val="20"/>
          <w:szCs w:val="20"/>
        </w:rPr>
        <w:t xml:space="preserve"> </w:t>
      </w:r>
      <w:r w:rsidRPr="00531B12">
        <w:rPr>
          <w:rFonts w:ascii="Abadi" w:hAnsi="Abadi"/>
          <w:b/>
          <w:bCs/>
          <w:sz w:val="20"/>
          <w:szCs w:val="20"/>
        </w:rPr>
        <w:t>PROPUESTA</w:t>
      </w:r>
      <w:r w:rsidRPr="00531B12">
        <w:rPr>
          <w:rFonts w:ascii="Abadi" w:hAnsi="Abadi"/>
          <w:b/>
          <w:bCs/>
          <w:spacing w:val="54"/>
          <w:sz w:val="20"/>
          <w:szCs w:val="20"/>
        </w:rPr>
        <w:t xml:space="preserve"> </w:t>
      </w:r>
      <w:r w:rsidRPr="00531B12">
        <w:rPr>
          <w:rFonts w:ascii="Abadi" w:hAnsi="Abadi"/>
          <w:b/>
          <w:bCs/>
          <w:sz w:val="20"/>
          <w:szCs w:val="20"/>
        </w:rPr>
        <w:t>DE</w:t>
      </w:r>
      <w:r w:rsidRPr="00531B12">
        <w:rPr>
          <w:rFonts w:ascii="Abadi" w:hAnsi="Abadi"/>
          <w:b/>
          <w:bCs/>
          <w:spacing w:val="54"/>
          <w:sz w:val="20"/>
          <w:szCs w:val="20"/>
        </w:rPr>
        <w:t xml:space="preserve"> </w:t>
      </w:r>
      <w:r w:rsidRPr="00531B12">
        <w:rPr>
          <w:rFonts w:ascii="Abadi" w:hAnsi="Abadi"/>
          <w:b/>
          <w:bCs/>
          <w:sz w:val="20"/>
          <w:szCs w:val="20"/>
        </w:rPr>
        <w:t>PUNTO</w:t>
      </w:r>
      <w:r w:rsidRPr="00531B12">
        <w:rPr>
          <w:rFonts w:ascii="Abadi" w:hAnsi="Abadi"/>
          <w:b/>
          <w:bCs/>
          <w:spacing w:val="54"/>
          <w:sz w:val="20"/>
          <w:szCs w:val="20"/>
        </w:rPr>
        <w:t xml:space="preserve"> </w:t>
      </w:r>
      <w:r w:rsidRPr="00531B12">
        <w:rPr>
          <w:rFonts w:ascii="Abadi" w:hAnsi="Abadi"/>
          <w:b/>
          <w:bCs/>
          <w:sz w:val="20"/>
          <w:szCs w:val="20"/>
        </w:rPr>
        <w:t>DE</w:t>
      </w:r>
      <w:r w:rsidRPr="00531B12">
        <w:rPr>
          <w:rFonts w:ascii="Abadi" w:hAnsi="Abadi"/>
          <w:b/>
          <w:bCs/>
          <w:spacing w:val="54"/>
          <w:sz w:val="20"/>
          <w:szCs w:val="20"/>
        </w:rPr>
        <w:t xml:space="preserve"> </w:t>
      </w:r>
      <w:r w:rsidRPr="00531B12">
        <w:rPr>
          <w:rFonts w:ascii="Abadi" w:hAnsi="Abadi"/>
          <w:b/>
          <w:bCs/>
          <w:sz w:val="20"/>
          <w:szCs w:val="20"/>
        </w:rPr>
        <w:t>ACUERDO</w:t>
      </w:r>
      <w:r w:rsidRPr="00531B12">
        <w:rPr>
          <w:rFonts w:ascii="Abadi" w:hAnsi="Abadi"/>
          <w:b/>
          <w:bCs/>
          <w:spacing w:val="54"/>
          <w:sz w:val="20"/>
          <w:szCs w:val="20"/>
        </w:rPr>
        <w:t xml:space="preserve"> </w:t>
      </w:r>
      <w:r w:rsidRPr="00531B12">
        <w:rPr>
          <w:rFonts w:ascii="Abadi" w:hAnsi="Abadi"/>
          <w:b/>
          <w:bCs/>
          <w:sz w:val="20"/>
          <w:szCs w:val="20"/>
        </w:rPr>
        <w:t>DE</w:t>
      </w:r>
      <w:r w:rsidRPr="00531B12">
        <w:rPr>
          <w:rFonts w:ascii="Abadi" w:hAnsi="Abadi"/>
          <w:b/>
          <w:bCs/>
          <w:spacing w:val="54"/>
          <w:sz w:val="20"/>
          <w:szCs w:val="20"/>
        </w:rPr>
        <w:t xml:space="preserve"> </w:t>
      </w:r>
      <w:r w:rsidRPr="00531B12">
        <w:rPr>
          <w:rFonts w:ascii="Abadi" w:hAnsi="Abadi"/>
          <w:b/>
          <w:bCs/>
          <w:sz w:val="20"/>
          <w:szCs w:val="20"/>
        </w:rPr>
        <w:t>OBVIA</w:t>
      </w:r>
      <w:r w:rsidRPr="00531B12">
        <w:rPr>
          <w:rFonts w:ascii="Abadi" w:hAnsi="Abadi"/>
          <w:b/>
          <w:bCs/>
          <w:spacing w:val="54"/>
          <w:sz w:val="20"/>
          <w:szCs w:val="20"/>
        </w:rPr>
        <w:t xml:space="preserve"> </w:t>
      </w:r>
      <w:r w:rsidRPr="00531B12">
        <w:rPr>
          <w:rFonts w:ascii="Abadi" w:hAnsi="Abadi"/>
          <w:b/>
          <w:bCs/>
          <w:sz w:val="20"/>
          <w:szCs w:val="20"/>
        </w:rPr>
        <w:t>RESOLUCIÓN</w:t>
      </w:r>
      <w:r w:rsidRPr="00531B12">
        <w:rPr>
          <w:rFonts w:ascii="Abadi" w:hAnsi="Abadi"/>
          <w:b/>
          <w:bCs/>
          <w:spacing w:val="-1"/>
          <w:sz w:val="20"/>
          <w:szCs w:val="20"/>
        </w:rPr>
        <w:t xml:space="preserve"> </w:t>
      </w:r>
      <w:r w:rsidRPr="00531B12">
        <w:rPr>
          <w:rFonts w:ascii="Abadi" w:hAnsi="Abadi"/>
          <w:b/>
          <w:bCs/>
          <w:sz w:val="20"/>
          <w:szCs w:val="20"/>
        </w:rPr>
        <w:t>SUSCRITA</w:t>
      </w:r>
      <w:r w:rsidRPr="00531B12">
        <w:rPr>
          <w:rFonts w:ascii="Abadi" w:hAnsi="Abadi"/>
          <w:b/>
          <w:bCs/>
          <w:spacing w:val="38"/>
          <w:sz w:val="20"/>
          <w:szCs w:val="20"/>
        </w:rPr>
        <w:t xml:space="preserve"> </w:t>
      </w:r>
      <w:r w:rsidRPr="00531B12">
        <w:rPr>
          <w:rFonts w:ascii="Abadi" w:hAnsi="Abadi"/>
          <w:b/>
          <w:bCs/>
          <w:sz w:val="20"/>
          <w:szCs w:val="20"/>
        </w:rPr>
        <w:t>POR</w:t>
      </w:r>
      <w:r w:rsidRPr="00531B12">
        <w:rPr>
          <w:rFonts w:ascii="Abadi" w:hAnsi="Abadi"/>
          <w:b/>
          <w:bCs/>
          <w:spacing w:val="39"/>
          <w:sz w:val="20"/>
          <w:szCs w:val="20"/>
        </w:rPr>
        <w:t xml:space="preserve"> </w:t>
      </w:r>
      <w:r w:rsidRPr="00531B12">
        <w:rPr>
          <w:rFonts w:ascii="Abadi" w:hAnsi="Abadi"/>
          <w:b/>
          <w:bCs/>
          <w:sz w:val="20"/>
          <w:szCs w:val="20"/>
        </w:rPr>
        <w:t>LAS</w:t>
      </w:r>
      <w:r w:rsidRPr="00531B12">
        <w:rPr>
          <w:rFonts w:ascii="Abadi" w:hAnsi="Abadi"/>
          <w:b/>
          <w:bCs/>
          <w:spacing w:val="38"/>
          <w:sz w:val="20"/>
          <w:szCs w:val="20"/>
        </w:rPr>
        <w:t xml:space="preserve"> </w:t>
      </w:r>
      <w:r w:rsidRPr="00531B12">
        <w:rPr>
          <w:rFonts w:ascii="Abadi" w:hAnsi="Abadi"/>
          <w:b/>
          <w:bCs/>
          <w:sz w:val="20"/>
          <w:szCs w:val="20"/>
        </w:rPr>
        <w:t>DIPUTADAS</w:t>
      </w:r>
      <w:r w:rsidRPr="00531B12">
        <w:rPr>
          <w:rFonts w:ascii="Abadi" w:hAnsi="Abadi"/>
          <w:b/>
          <w:bCs/>
          <w:spacing w:val="38"/>
          <w:sz w:val="20"/>
          <w:szCs w:val="20"/>
        </w:rPr>
        <w:t xml:space="preserve"> </w:t>
      </w:r>
      <w:r w:rsidRPr="00531B12">
        <w:rPr>
          <w:rFonts w:ascii="Abadi" w:hAnsi="Abadi"/>
          <w:b/>
          <w:bCs/>
          <w:sz w:val="20"/>
          <w:szCs w:val="20"/>
        </w:rPr>
        <w:t>Y</w:t>
      </w:r>
      <w:r w:rsidRPr="00531B12">
        <w:rPr>
          <w:rFonts w:ascii="Abadi" w:hAnsi="Abadi"/>
          <w:b/>
          <w:bCs/>
          <w:spacing w:val="38"/>
          <w:sz w:val="20"/>
          <w:szCs w:val="20"/>
        </w:rPr>
        <w:t xml:space="preserve"> </w:t>
      </w:r>
      <w:r w:rsidRPr="00531B12">
        <w:rPr>
          <w:rFonts w:ascii="Abadi" w:hAnsi="Abadi"/>
          <w:b/>
          <w:bCs/>
          <w:sz w:val="20"/>
          <w:szCs w:val="20"/>
        </w:rPr>
        <w:t>LOS</w:t>
      </w:r>
      <w:r w:rsidRPr="00531B12">
        <w:rPr>
          <w:rFonts w:ascii="Abadi" w:hAnsi="Abadi"/>
          <w:b/>
          <w:bCs/>
          <w:spacing w:val="38"/>
          <w:sz w:val="20"/>
          <w:szCs w:val="20"/>
        </w:rPr>
        <w:t xml:space="preserve"> </w:t>
      </w:r>
      <w:r w:rsidRPr="00531B12">
        <w:rPr>
          <w:rFonts w:ascii="Abadi" w:hAnsi="Abadi"/>
          <w:b/>
          <w:bCs/>
          <w:sz w:val="20"/>
          <w:szCs w:val="20"/>
        </w:rPr>
        <w:t>DIPUTADOS</w:t>
      </w:r>
      <w:r w:rsidRPr="00531B12">
        <w:rPr>
          <w:rFonts w:ascii="Abadi" w:hAnsi="Abadi"/>
          <w:b/>
          <w:bCs/>
          <w:spacing w:val="38"/>
          <w:sz w:val="20"/>
          <w:szCs w:val="20"/>
        </w:rPr>
        <w:t xml:space="preserve"> </w:t>
      </w:r>
      <w:r w:rsidRPr="00531B12">
        <w:rPr>
          <w:rFonts w:ascii="Abadi" w:hAnsi="Abadi"/>
          <w:b/>
          <w:bCs/>
          <w:sz w:val="20"/>
          <w:szCs w:val="20"/>
        </w:rPr>
        <w:t>INTEGRANTES</w:t>
      </w:r>
      <w:r w:rsidRPr="00531B12">
        <w:rPr>
          <w:rFonts w:ascii="Abadi" w:hAnsi="Abadi"/>
          <w:b/>
          <w:bCs/>
          <w:spacing w:val="36"/>
          <w:sz w:val="20"/>
          <w:szCs w:val="20"/>
        </w:rPr>
        <w:t xml:space="preserve"> </w:t>
      </w:r>
      <w:r w:rsidRPr="00531B12">
        <w:rPr>
          <w:rFonts w:ascii="Abadi" w:hAnsi="Abadi"/>
          <w:b/>
          <w:bCs/>
          <w:sz w:val="20"/>
          <w:szCs w:val="20"/>
        </w:rPr>
        <w:t>DE</w:t>
      </w:r>
      <w:r w:rsidRPr="00531B12">
        <w:rPr>
          <w:rFonts w:ascii="Abadi" w:hAnsi="Abadi"/>
          <w:b/>
          <w:bCs/>
          <w:spacing w:val="38"/>
          <w:sz w:val="20"/>
          <w:szCs w:val="20"/>
        </w:rPr>
        <w:t xml:space="preserve"> </w:t>
      </w:r>
      <w:r w:rsidRPr="00531B12">
        <w:rPr>
          <w:rFonts w:ascii="Abadi" w:hAnsi="Abadi"/>
          <w:b/>
          <w:bCs/>
          <w:sz w:val="20"/>
          <w:szCs w:val="20"/>
        </w:rPr>
        <w:t>LA</w:t>
      </w:r>
      <w:r w:rsidRPr="00531B12">
        <w:rPr>
          <w:rFonts w:ascii="Abadi" w:hAnsi="Abadi"/>
          <w:b/>
          <w:bCs/>
          <w:spacing w:val="38"/>
          <w:sz w:val="20"/>
          <w:szCs w:val="20"/>
        </w:rPr>
        <w:t xml:space="preserve"> </w:t>
      </w:r>
      <w:r w:rsidRPr="00531B12">
        <w:rPr>
          <w:rFonts w:ascii="Abadi" w:hAnsi="Abadi"/>
          <w:b/>
          <w:bCs/>
          <w:sz w:val="20"/>
          <w:szCs w:val="20"/>
        </w:rPr>
        <w:t>COMISIÓN</w:t>
      </w:r>
      <w:r w:rsidRPr="00531B12">
        <w:rPr>
          <w:rFonts w:ascii="Abadi" w:hAnsi="Abadi"/>
          <w:b/>
          <w:bCs/>
          <w:spacing w:val="38"/>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JUSTICIA</w:t>
      </w:r>
      <w:r w:rsidRPr="00531B12">
        <w:rPr>
          <w:rFonts w:ascii="Abadi" w:hAnsi="Abadi"/>
          <w:b/>
          <w:bCs/>
          <w:spacing w:val="55"/>
          <w:sz w:val="20"/>
          <w:szCs w:val="20"/>
        </w:rPr>
        <w:t xml:space="preserve"> </w:t>
      </w:r>
      <w:r w:rsidRPr="00531B12">
        <w:rPr>
          <w:rFonts w:ascii="Abadi" w:hAnsi="Abadi"/>
          <w:b/>
          <w:bCs/>
          <w:sz w:val="20"/>
          <w:szCs w:val="20"/>
        </w:rPr>
        <w:t>A</w:t>
      </w:r>
      <w:r w:rsidRPr="00531B12">
        <w:rPr>
          <w:rFonts w:ascii="Abadi" w:hAnsi="Abadi"/>
          <w:b/>
          <w:bCs/>
          <w:spacing w:val="55"/>
          <w:sz w:val="20"/>
          <w:szCs w:val="20"/>
        </w:rPr>
        <w:t xml:space="preserve"> </w:t>
      </w:r>
      <w:r w:rsidRPr="00531B12">
        <w:rPr>
          <w:rFonts w:ascii="Abadi" w:hAnsi="Abadi"/>
          <w:b/>
          <w:bCs/>
          <w:sz w:val="20"/>
          <w:szCs w:val="20"/>
        </w:rPr>
        <w:t>EFECTO</w:t>
      </w:r>
      <w:r w:rsidRPr="00531B12">
        <w:rPr>
          <w:rFonts w:ascii="Abadi" w:hAnsi="Abadi"/>
          <w:b/>
          <w:bCs/>
          <w:spacing w:val="55"/>
          <w:sz w:val="20"/>
          <w:szCs w:val="20"/>
        </w:rPr>
        <w:t xml:space="preserve"> </w:t>
      </w:r>
      <w:r w:rsidRPr="00531B12">
        <w:rPr>
          <w:rFonts w:ascii="Abadi" w:hAnsi="Abadi"/>
          <w:b/>
          <w:bCs/>
          <w:sz w:val="20"/>
          <w:szCs w:val="20"/>
        </w:rPr>
        <w:t>DE</w:t>
      </w:r>
      <w:r w:rsidRPr="00531B12">
        <w:rPr>
          <w:rFonts w:ascii="Abadi" w:hAnsi="Abadi"/>
          <w:b/>
          <w:bCs/>
          <w:spacing w:val="54"/>
          <w:sz w:val="20"/>
          <w:szCs w:val="20"/>
        </w:rPr>
        <w:t xml:space="preserve"> </w:t>
      </w:r>
      <w:r w:rsidRPr="00531B12">
        <w:rPr>
          <w:rFonts w:ascii="Abadi" w:hAnsi="Abadi"/>
          <w:b/>
          <w:bCs/>
          <w:sz w:val="20"/>
          <w:szCs w:val="20"/>
        </w:rPr>
        <w:t>EXHORTAR</w:t>
      </w:r>
      <w:r w:rsidRPr="00531B12">
        <w:rPr>
          <w:rFonts w:ascii="Abadi" w:hAnsi="Abadi"/>
          <w:b/>
          <w:bCs/>
          <w:spacing w:val="54"/>
          <w:sz w:val="20"/>
          <w:szCs w:val="20"/>
        </w:rPr>
        <w:t xml:space="preserve"> </w:t>
      </w:r>
      <w:r w:rsidRPr="00531B12">
        <w:rPr>
          <w:rFonts w:ascii="Abadi" w:hAnsi="Abadi"/>
          <w:b/>
          <w:bCs/>
          <w:sz w:val="20"/>
          <w:szCs w:val="20"/>
        </w:rPr>
        <w:t>AL</w:t>
      </w:r>
      <w:r w:rsidRPr="00531B12">
        <w:rPr>
          <w:rFonts w:ascii="Abadi" w:hAnsi="Abadi"/>
          <w:b/>
          <w:bCs/>
          <w:spacing w:val="54"/>
          <w:sz w:val="20"/>
          <w:szCs w:val="20"/>
        </w:rPr>
        <w:t xml:space="preserve"> </w:t>
      </w:r>
      <w:r w:rsidRPr="00531B12">
        <w:rPr>
          <w:rFonts w:ascii="Abadi" w:hAnsi="Abadi"/>
          <w:b/>
          <w:bCs/>
          <w:sz w:val="20"/>
          <w:szCs w:val="20"/>
        </w:rPr>
        <w:t>CONGRESO</w:t>
      </w:r>
      <w:r w:rsidRPr="00531B12">
        <w:rPr>
          <w:rFonts w:ascii="Abadi" w:hAnsi="Abadi"/>
          <w:b/>
          <w:bCs/>
          <w:spacing w:val="54"/>
          <w:sz w:val="20"/>
          <w:szCs w:val="20"/>
        </w:rPr>
        <w:t xml:space="preserve"> </w:t>
      </w:r>
      <w:r w:rsidRPr="00531B12">
        <w:rPr>
          <w:rFonts w:ascii="Abadi" w:hAnsi="Abadi"/>
          <w:b/>
          <w:bCs/>
          <w:sz w:val="20"/>
          <w:szCs w:val="20"/>
        </w:rPr>
        <w:t>DE</w:t>
      </w:r>
      <w:r w:rsidRPr="00531B12">
        <w:rPr>
          <w:rFonts w:ascii="Abadi" w:hAnsi="Abadi"/>
          <w:b/>
          <w:bCs/>
          <w:spacing w:val="54"/>
          <w:sz w:val="20"/>
          <w:szCs w:val="20"/>
        </w:rPr>
        <w:t xml:space="preserve"> </w:t>
      </w:r>
      <w:r w:rsidRPr="00531B12">
        <w:rPr>
          <w:rFonts w:ascii="Abadi" w:hAnsi="Abadi"/>
          <w:b/>
          <w:bCs/>
          <w:sz w:val="20"/>
          <w:szCs w:val="20"/>
        </w:rPr>
        <w:t>LA</w:t>
      </w:r>
      <w:r w:rsidRPr="00531B12">
        <w:rPr>
          <w:rFonts w:ascii="Abadi" w:hAnsi="Abadi"/>
          <w:b/>
          <w:bCs/>
          <w:spacing w:val="54"/>
          <w:sz w:val="20"/>
          <w:szCs w:val="20"/>
        </w:rPr>
        <w:t xml:space="preserve"> </w:t>
      </w:r>
      <w:r w:rsidRPr="00531B12">
        <w:rPr>
          <w:rFonts w:ascii="Abadi" w:hAnsi="Abadi"/>
          <w:b/>
          <w:bCs/>
          <w:sz w:val="20"/>
          <w:szCs w:val="20"/>
        </w:rPr>
        <w:t>UNIÓN</w:t>
      </w:r>
      <w:r w:rsidRPr="00531B12">
        <w:rPr>
          <w:rFonts w:ascii="Abadi" w:hAnsi="Abadi"/>
          <w:b/>
          <w:bCs/>
          <w:spacing w:val="54"/>
          <w:sz w:val="20"/>
          <w:szCs w:val="20"/>
        </w:rPr>
        <w:t xml:space="preserve"> </w:t>
      </w:r>
      <w:r w:rsidRPr="00531B12">
        <w:rPr>
          <w:rFonts w:ascii="Abadi" w:hAnsi="Abadi"/>
          <w:b/>
          <w:bCs/>
          <w:sz w:val="20"/>
          <w:szCs w:val="20"/>
        </w:rPr>
        <w:t>PARA</w:t>
      </w:r>
      <w:r w:rsidRPr="00531B12">
        <w:rPr>
          <w:rFonts w:ascii="Abadi" w:hAnsi="Abadi"/>
          <w:b/>
          <w:bCs/>
          <w:spacing w:val="54"/>
          <w:sz w:val="20"/>
          <w:szCs w:val="20"/>
        </w:rPr>
        <w:t xml:space="preserve"> </w:t>
      </w:r>
      <w:r w:rsidRPr="00531B12">
        <w:rPr>
          <w:rFonts w:ascii="Abadi" w:hAnsi="Abadi"/>
          <w:b/>
          <w:bCs/>
          <w:sz w:val="20"/>
          <w:szCs w:val="20"/>
        </w:rPr>
        <w:t>QUE</w:t>
      </w:r>
      <w:r w:rsidRPr="00531B12">
        <w:rPr>
          <w:rFonts w:ascii="Abadi" w:hAnsi="Abadi"/>
          <w:b/>
          <w:bCs/>
          <w:spacing w:val="54"/>
          <w:sz w:val="20"/>
          <w:szCs w:val="20"/>
        </w:rPr>
        <w:t xml:space="preserve"> </w:t>
      </w:r>
      <w:r w:rsidRPr="00531B12">
        <w:rPr>
          <w:rFonts w:ascii="Abadi" w:hAnsi="Abadi"/>
          <w:b/>
          <w:bCs/>
          <w:sz w:val="20"/>
          <w:szCs w:val="20"/>
        </w:rPr>
        <w:t>EN</w:t>
      </w:r>
      <w:r w:rsidRPr="00531B12">
        <w:rPr>
          <w:rFonts w:ascii="Abadi" w:hAnsi="Abadi"/>
          <w:b/>
          <w:bCs/>
          <w:spacing w:val="54"/>
          <w:sz w:val="20"/>
          <w:szCs w:val="20"/>
        </w:rPr>
        <w:t xml:space="preserve"> </w:t>
      </w:r>
      <w:r w:rsidRPr="00531B12">
        <w:rPr>
          <w:rFonts w:ascii="Abadi" w:hAnsi="Abadi"/>
          <w:b/>
          <w:bCs/>
          <w:sz w:val="20"/>
          <w:szCs w:val="20"/>
        </w:rPr>
        <w:t>LOS</w:t>
      </w:r>
      <w:r w:rsidRPr="00531B12">
        <w:rPr>
          <w:rFonts w:ascii="Abadi" w:hAnsi="Abadi"/>
          <w:b/>
          <w:bCs/>
          <w:spacing w:val="-1"/>
          <w:sz w:val="20"/>
          <w:szCs w:val="20"/>
        </w:rPr>
        <w:t xml:space="preserve"> </w:t>
      </w:r>
      <w:r w:rsidRPr="00531B12">
        <w:rPr>
          <w:rFonts w:ascii="Abadi" w:hAnsi="Abadi"/>
          <w:b/>
          <w:bCs/>
          <w:sz w:val="20"/>
          <w:szCs w:val="20"/>
        </w:rPr>
        <w:t>TÉRMINOS</w:t>
      </w:r>
      <w:r w:rsidRPr="00531B12">
        <w:rPr>
          <w:rFonts w:ascii="Abadi" w:hAnsi="Abadi"/>
          <w:b/>
          <w:bCs/>
          <w:spacing w:val="46"/>
          <w:sz w:val="20"/>
          <w:szCs w:val="20"/>
        </w:rPr>
        <w:t xml:space="preserve"> </w:t>
      </w:r>
      <w:r w:rsidRPr="00531B12">
        <w:rPr>
          <w:rFonts w:ascii="Abadi" w:hAnsi="Abadi"/>
          <w:b/>
          <w:bCs/>
          <w:sz w:val="20"/>
          <w:szCs w:val="20"/>
        </w:rPr>
        <w:t>DEL</w:t>
      </w:r>
      <w:r w:rsidRPr="00531B12">
        <w:rPr>
          <w:rFonts w:ascii="Abadi" w:hAnsi="Abadi"/>
          <w:b/>
          <w:bCs/>
          <w:spacing w:val="46"/>
          <w:sz w:val="20"/>
          <w:szCs w:val="20"/>
        </w:rPr>
        <w:t xml:space="preserve"> </w:t>
      </w:r>
      <w:r w:rsidRPr="00531B12">
        <w:rPr>
          <w:rFonts w:ascii="Abadi" w:hAnsi="Abadi"/>
          <w:b/>
          <w:bCs/>
          <w:sz w:val="20"/>
          <w:szCs w:val="20"/>
        </w:rPr>
        <w:t>ARTÍCULO</w:t>
      </w:r>
      <w:r w:rsidRPr="00531B12">
        <w:rPr>
          <w:rFonts w:ascii="Abadi" w:hAnsi="Abadi"/>
          <w:b/>
          <w:bCs/>
          <w:spacing w:val="46"/>
          <w:sz w:val="20"/>
          <w:szCs w:val="20"/>
        </w:rPr>
        <w:t xml:space="preserve"> </w:t>
      </w:r>
      <w:r w:rsidRPr="00531B12">
        <w:rPr>
          <w:rFonts w:ascii="Abadi" w:hAnsi="Abadi"/>
          <w:b/>
          <w:bCs/>
          <w:sz w:val="20"/>
          <w:szCs w:val="20"/>
        </w:rPr>
        <w:t>73,</w:t>
      </w:r>
      <w:r w:rsidRPr="00531B12">
        <w:rPr>
          <w:rFonts w:ascii="Abadi" w:hAnsi="Abadi"/>
          <w:b/>
          <w:bCs/>
          <w:spacing w:val="46"/>
          <w:sz w:val="20"/>
          <w:szCs w:val="20"/>
        </w:rPr>
        <w:t xml:space="preserve"> </w:t>
      </w:r>
      <w:r w:rsidRPr="00531B12">
        <w:rPr>
          <w:rFonts w:ascii="Abadi" w:hAnsi="Abadi"/>
          <w:b/>
          <w:bCs/>
          <w:sz w:val="20"/>
          <w:szCs w:val="20"/>
        </w:rPr>
        <w:t>FRACCIÓN</w:t>
      </w:r>
      <w:r w:rsidRPr="00531B12">
        <w:rPr>
          <w:rFonts w:ascii="Abadi" w:hAnsi="Abadi"/>
          <w:b/>
          <w:bCs/>
          <w:spacing w:val="46"/>
          <w:sz w:val="20"/>
          <w:szCs w:val="20"/>
        </w:rPr>
        <w:t xml:space="preserve"> </w:t>
      </w:r>
      <w:r w:rsidRPr="00531B12">
        <w:rPr>
          <w:rFonts w:ascii="Abadi" w:hAnsi="Abadi"/>
          <w:b/>
          <w:bCs/>
          <w:sz w:val="20"/>
          <w:szCs w:val="20"/>
        </w:rPr>
        <w:t>XXX</w:t>
      </w:r>
      <w:r w:rsidRPr="00531B12">
        <w:rPr>
          <w:rFonts w:ascii="Abadi" w:hAnsi="Abadi"/>
          <w:b/>
          <w:bCs/>
          <w:spacing w:val="47"/>
          <w:sz w:val="20"/>
          <w:szCs w:val="20"/>
        </w:rPr>
        <w:t xml:space="preserve"> </w:t>
      </w:r>
      <w:r w:rsidRPr="00531B12">
        <w:rPr>
          <w:rFonts w:ascii="Abadi" w:hAnsi="Abadi"/>
          <w:b/>
          <w:bCs/>
          <w:sz w:val="20"/>
          <w:szCs w:val="20"/>
        </w:rPr>
        <w:t>DE</w:t>
      </w:r>
      <w:r w:rsidRPr="00531B12">
        <w:rPr>
          <w:rFonts w:ascii="Abadi" w:hAnsi="Abadi"/>
          <w:b/>
          <w:bCs/>
          <w:spacing w:val="46"/>
          <w:sz w:val="20"/>
          <w:szCs w:val="20"/>
        </w:rPr>
        <w:t xml:space="preserve"> </w:t>
      </w:r>
      <w:r w:rsidRPr="00531B12">
        <w:rPr>
          <w:rFonts w:ascii="Abadi" w:hAnsi="Abadi"/>
          <w:b/>
          <w:bCs/>
          <w:sz w:val="20"/>
          <w:szCs w:val="20"/>
        </w:rPr>
        <w:t>LA</w:t>
      </w:r>
      <w:r w:rsidRPr="00531B12">
        <w:rPr>
          <w:rFonts w:ascii="Abadi" w:hAnsi="Abadi"/>
          <w:b/>
          <w:bCs/>
          <w:spacing w:val="46"/>
          <w:sz w:val="20"/>
          <w:szCs w:val="20"/>
        </w:rPr>
        <w:t xml:space="preserve"> </w:t>
      </w:r>
      <w:r w:rsidRPr="00531B12">
        <w:rPr>
          <w:rFonts w:ascii="Abadi" w:hAnsi="Abadi"/>
          <w:b/>
          <w:bCs/>
          <w:sz w:val="20"/>
          <w:szCs w:val="20"/>
        </w:rPr>
        <w:t>CONSTITUCIÓN</w:t>
      </w:r>
      <w:r w:rsidRPr="00531B12">
        <w:rPr>
          <w:rFonts w:ascii="Abadi" w:hAnsi="Abadi"/>
          <w:b/>
          <w:bCs/>
          <w:spacing w:val="46"/>
          <w:sz w:val="20"/>
          <w:szCs w:val="20"/>
        </w:rPr>
        <w:t xml:space="preserve"> </w:t>
      </w:r>
      <w:r w:rsidRPr="00531B12">
        <w:rPr>
          <w:rFonts w:ascii="Abadi" w:hAnsi="Abadi"/>
          <w:b/>
          <w:bCs/>
          <w:sz w:val="20"/>
          <w:szCs w:val="20"/>
        </w:rPr>
        <w:t>POLÍTICA</w:t>
      </w:r>
      <w:r w:rsidRPr="00531B12">
        <w:rPr>
          <w:rFonts w:ascii="Abadi" w:hAnsi="Abadi"/>
          <w:b/>
          <w:bCs/>
          <w:spacing w:val="46"/>
          <w:sz w:val="20"/>
          <w:szCs w:val="20"/>
        </w:rPr>
        <w:t xml:space="preserve"> </w:t>
      </w:r>
      <w:r w:rsidRPr="00531B12">
        <w:rPr>
          <w:rFonts w:ascii="Abadi" w:hAnsi="Abadi"/>
          <w:b/>
          <w:bCs/>
          <w:sz w:val="20"/>
          <w:szCs w:val="20"/>
        </w:rPr>
        <w:t>DE</w:t>
      </w:r>
      <w:r w:rsidRPr="00531B12">
        <w:rPr>
          <w:rFonts w:ascii="Abadi" w:hAnsi="Abadi"/>
          <w:b/>
          <w:bCs/>
          <w:spacing w:val="46"/>
          <w:sz w:val="20"/>
          <w:szCs w:val="20"/>
        </w:rPr>
        <w:t xml:space="preserve"> </w:t>
      </w:r>
      <w:r w:rsidRPr="00531B12">
        <w:rPr>
          <w:rFonts w:ascii="Abadi" w:hAnsi="Abadi"/>
          <w:b/>
          <w:bCs/>
          <w:sz w:val="20"/>
          <w:szCs w:val="20"/>
        </w:rPr>
        <w:t>LOS</w:t>
      </w:r>
      <w:r w:rsidRPr="00531B12">
        <w:rPr>
          <w:rFonts w:ascii="Abadi" w:hAnsi="Abadi"/>
          <w:b/>
          <w:bCs/>
          <w:spacing w:val="-1"/>
          <w:sz w:val="20"/>
          <w:szCs w:val="20"/>
        </w:rPr>
        <w:t xml:space="preserve"> </w:t>
      </w:r>
      <w:r w:rsidRPr="00531B12">
        <w:rPr>
          <w:rFonts w:ascii="Abadi" w:hAnsi="Abadi"/>
          <w:b/>
          <w:bCs/>
          <w:sz w:val="20"/>
          <w:szCs w:val="20"/>
        </w:rPr>
        <w:t>ESTADOS</w:t>
      </w:r>
      <w:r w:rsidRPr="00531B12">
        <w:rPr>
          <w:rFonts w:ascii="Abadi" w:hAnsi="Abadi"/>
          <w:b/>
          <w:bCs/>
          <w:spacing w:val="54"/>
          <w:w w:val="150"/>
          <w:sz w:val="20"/>
          <w:szCs w:val="20"/>
        </w:rPr>
        <w:t xml:space="preserve"> </w:t>
      </w:r>
      <w:r w:rsidRPr="00531B12">
        <w:rPr>
          <w:rFonts w:ascii="Abadi" w:hAnsi="Abadi"/>
          <w:b/>
          <w:bCs/>
          <w:sz w:val="20"/>
          <w:szCs w:val="20"/>
        </w:rPr>
        <w:t>UNIDOS</w:t>
      </w:r>
      <w:r w:rsidRPr="00531B12">
        <w:rPr>
          <w:rFonts w:ascii="Abadi" w:hAnsi="Abadi"/>
          <w:b/>
          <w:bCs/>
          <w:spacing w:val="54"/>
          <w:w w:val="150"/>
          <w:sz w:val="20"/>
          <w:szCs w:val="20"/>
        </w:rPr>
        <w:t xml:space="preserve"> </w:t>
      </w:r>
      <w:r w:rsidRPr="00531B12">
        <w:rPr>
          <w:rFonts w:ascii="Abadi" w:hAnsi="Abadi"/>
          <w:b/>
          <w:bCs/>
          <w:sz w:val="20"/>
          <w:szCs w:val="20"/>
        </w:rPr>
        <w:t>MEXICANOS</w:t>
      </w:r>
      <w:r w:rsidRPr="00531B12">
        <w:rPr>
          <w:rFonts w:ascii="Abadi" w:hAnsi="Abadi"/>
          <w:b/>
          <w:bCs/>
          <w:spacing w:val="54"/>
          <w:w w:val="150"/>
          <w:sz w:val="20"/>
          <w:szCs w:val="20"/>
        </w:rPr>
        <w:t xml:space="preserve"> </w:t>
      </w:r>
      <w:r w:rsidRPr="00531B12">
        <w:rPr>
          <w:rFonts w:ascii="Abadi" w:hAnsi="Abadi"/>
          <w:b/>
          <w:bCs/>
          <w:sz w:val="20"/>
          <w:szCs w:val="20"/>
        </w:rPr>
        <w:t>SE</w:t>
      </w:r>
      <w:r w:rsidRPr="00531B12">
        <w:rPr>
          <w:rFonts w:ascii="Abadi" w:hAnsi="Abadi"/>
          <w:b/>
          <w:bCs/>
          <w:spacing w:val="54"/>
          <w:w w:val="150"/>
          <w:sz w:val="20"/>
          <w:szCs w:val="20"/>
        </w:rPr>
        <w:t xml:space="preserve"> </w:t>
      </w:r>
      <w:r w:rsidRPr="00531B12">
        <w:rPr>
          <w:rFonts w:ascii="Abadi" w:hAnsi="Abadi"/>
          <w:b/>
          <w:bCs/>
          <w:sz w:val="20"/>
          <w:szCs w:val="20"/>
        </w:rPr>
        <w:t>EXPIDA</w:t>
      </w:r>
      <w:r w:rsidRPr="00531B12">
        <w:rPr>
          <w:rFonts w:ascii="Abadi" w:hAnsi="Abadi"/>
          <w:b/>
          <w:bCs/>
          <w:spacing w:val="54"/>
          <w:w w:val="150"/>
          <w:sz w:val="20"/>
          <w:szCs w:val="20"/>
        </w:rPr>
        <w:t xml:space="preserve"> </w:t>
      </w:r>
      <w:r w:rsidRPr="00531B12">
        <w:rPr>
          <w:rFonts w:ascii="Abadi" w:hAnsi="Abadi"/>
          <w:b/>
          <w:bCs/>
          <w:sz w:val="20"/>
          <w:szCs w:val="20"/>
        </w:rPr>
        <w:t>LA</w:t>
      </w:r>
      <w:r w:rsidRPr="00531B12">
        <w:rPr>
          <w:rFonts w:ascii="Abadi" w:hAnsi="Abadi"/>
          <w:b/>
          <w:bCs/>
          <w:spacing w:val="54"/>
          <w:w w:val="150"/>
          <w:sz w:val="20"/>
          <w:szCs w:val="20"/>
        </w:rPr>
        <w:t xml:space="preserve"> </w:t>
      </w:r>
      <w:r w:rsidRPr="00531B12">
        <w:rPr>
          <w:rFonts w:ascii="Abadi" w:hAnsi="Abadi"/>
          <w:b/>
          <w:bCs/>
          <w:sz w:val="20"/>
          <w:szCs w:val="20"/>
        </w:rPr>
        <w:t>LEGISLACIÓN</w:t>
      </w:r>
      <w:r w:rsidRPr="00531B12">
        <w:rPr>
          <w:rFonts w:ascii="Abadi" w:hAnsi="Abadi"/>
          <w:b/>
          <w:bCs/>
          <w:spacing w:val="54"/>
          <w:w w:val="150"/>
          <w:sz w:val="20"/>
          <w:szCs w:val="20"/>
        </w:rPr>
        <w:t xml:space="preserve"> </w:t>
      </w:r>
      <w:r w:rsidRPr="00531B12">
        <w:rPr>
          <w:rFonts w:ascii="Abadi" w:hAnsi="Abadi"/>
          <w:b/>
          <w:bCs/>
          <w:sz w:val="20"/>
          <w:szCs w:val="20"/>
        </w:rPr>
        <w:t>ÚNICA</w:t>
      </w:r>
      <w:r w:rsidRPr="00531B12">
        <w:rPr>
          <w:rFonts w:ascii="Abadi" w:hAnsi="Abadi"/>
          <w:b/>
          <w:bCs/>
          <w:spacing w:val="54"/>
          <w:w w:val="150"/>
          <w:sz w:val="20"/>
          <w:szCs w:val="20"/>
        </w:rPr>
        <w:t xml:space="preserve"> </w:t>
      </w:r>
      <w:r w:rsidRPr="00531B12">
        <w:rPr>
          <w:rFonts w:ascii="Abadi" w:hAnsi="Abadi"/>
          <w:b/>
          <w:bCs/>
          <w:sz w:val="20"/>
          <w:szCs w:val="20"/>
        </w:rPr>
        <w:t>EN</w:t>
      </w:r>
      <w:r w:rsidRPr="00531B12">
        <w:rPr>
          <w:rFonts w:ascii="Abadi" w:hAnsi="Abadi"/>
          <w:b/>
          <w:bCs/>
          <w:spacing w:val="54"/>
          <w:w w:val="150"/>
          <w:sz w:val="20"/>
          <w:szCs w:val="20"/>
        </w:rPr>
        <w:t xml:space="preserve"> </w:t>
      </w:r>
      <w:r w:rsidRPr="00531B12">
        <w:rPr>
          <w:rFonts w:ascii="Abadi" w:hAnsi="Abadi"/>
          <w:b/>
          <w:bCs/>
          <w:sz w:val="20"/>
          <w:szCs w:val="20"/>
        </w:rPr>
        <w:t>MATERIA</w:t>
      </w:r>
      <w:r w:rsidRPr="00531B12">
        <w:rPr>
          <w:rFonts w:ascii="Abadi" w:hAnsi="Abadi"/>
          <w:b/>
          <w:bCs/>
          <w:spacing w:val="-1"/>
          <w:sz w:val="20"/>
          <w:szCs w:val="20"/>
        </w:rPr>
        <w:t xml:space="preserve"> </w:t>
      </w:r>
      <w:r w:rsidRPr="00531B12">
        <w:rPr>
          <w:rFonts w:ascii="Abadi" w:hAnsi="Abadi"/>
          <w:b/>
          <w:bCs/>
          <w:sz w:val="20"/>
          <w:szCs w:val="20"/>
        </w:rPr>
        <w:t>PROCESAL CIVIL Y FAMILIAR</w:t>
      </w:r>
      <w:r w:rsidRPr="00531B12">
        <w:rPr>
          <w:rFonts w:ascii="Abadi" w:hAnsi="Abadi"/>
          <w:b/>
          <w:bCs/>
          <w:spacing w:val="-1"/>
          <w:sz w:val="20"/>
          <w:szCs w:val="20"/>
        </w:rPr>
        <w:t xml:space="preserve"> </w:t>
      </w:r>
      <w:r w:rsidRPr="00531B12">
        <w:rPr>
          <w:rFonts w:ascii="Abadi" w:hAnsi="Abadi"/>
          <w:b/>
          <w:bCs/>
          <w:sz w:val="20"/>
          <w:szCs w:val="20"/>
        </w:rPr>
        <w:t>Y, EN SU CASO, APROBACIÓN DE LA MISMA.</w:t>
      </w:r>
    </w:p>
    <w:p w14:paraId="659514A2" w14:textId="285FF8F8" w:rsidR="00A95932" w:rsidRDefault="00A95932" w:rsidP="00A95932">
      <w:pPr>
        <w:tabs>
          <w:tab w:val="left" w:pos="845"/>
        </w:tabs>
        <w:kinsoku w:val="0"/>
        <w:overflowPunct w:val="0"/>
        <w:autoSpaceDE w:val="0"/>
        <w:autoSpaceDN w:val="0"/>
        <w:adjustRightInd w:val="0"/>
        <w:ind w:right="17"/>
        <w:jc w:val="both"/>
        <w:rPr>
          <w:rFonts w:ascii="Abadi" w:hAnsi="Abadi"/>
          <w:b/>
          <w:bCs/>
          <w:sz w:val="20"/>
          <w:szCs w:val="20"/>
        </w:rPr>
      </w:pPr>
    </w:p>
    <w:p w14:paraId="04DEFC9E" w14:textId="798DE78D" w:rsidR="00A95932" w:rsidRDefault="00A95932" w:rsidP="00A95932">
      <w:pPr>
        <w:tabs>
          <w:tab w:val="left" w:pos="845"/>
        </w:tabs>
        <w:kinsoku w:val="0"/>
        <w:overflowPunct w:val="0"/>
        <w:autoSpaceDE w:val="0"/>
        <w:autoSpaceDN w:val="0"/>
        <w:adjustRightInd w:val="0"/>
        <w:ind w:right="17"/>
        <w:jc w:val="both"/>
        <w:rPr>
          <w:rFonts w:ascii="Abadi" w:hAnsi="Abadi"/>
          <w:b/>
          <w:bCs/>
          <w:sz w:val="20"/>
          <w:szCs w:val="20"/>
        </w:rPr>
      </w:pPr>
    </w:p>
    <w:p w14:paraId="13BD8A97" w14:textId="77777777" w:rsidR="00A95932" w:rsidRPr="00485437" w:rsidRDefault="00A95932" w:rsidP="00A95932">
      <w:pPr>
        <w:autoSpaceDE w:val="0"/>
        <w:autoSpaceDN w:val="0"/>
        <w:adjustRightInd w:val="0"/>
        <w:jc w:val="both"/>
        <w:rPr>
          <w:rFonts w:ascii="Abadi" w:hAnsi="Abadi" w:cs="*Verdana-Bold-8348-Identity-H"/>
          <w:b/>
          <w:bCs/>
          <w:color w:val="151515"/>
          <w:sz w:val="19"/>
          <w:szCs w:val="19"/>
        </w:rPr>
      </w:pPr>
      <w:r w:rsidRPr="00485437">
        <w:rPr>
          <w:rFonts w:ascii="Abadi" w:hAnsi="Abadi" w:cs="*Verdana-Bold-8348-Identity-H"/>
          <w:b/>
          <w:bCs/>
          <w:color w:val="151515"/>
          <w:sz w:val="19"/>
          <w:szCs w:val="19"/>
        </w:rPr>
        <w:t>DIPUTADA IRMA LETICIA GONZÁLEZ SÁNCHEZ</w:t>
      </w:r>
    </w:p>
    <w:p w14:paraId="697A7D72" w14:textId="77777777" w:rsidR="00A95932" w:rsidRPr="00485437" w:rsidRDefault="00A95932" w:rsidP="00A95932">
      <w:pPr>
        <w:autoSpaceDE w:val="0"/>
        <w:autoSpaceDN w:val="0"/>
        <w:adjustRightInd w:val="0"/>
        <w:jc w:val="both"/>
        <w:rPr>
          <w:rFonts w:ascii="Abadi" w:hAnsi="Abadi" w:cs="*Verdana-Bold-8348-Identity-H"/>
          <w:b/>
          <w:bCs/>
          <w:color w:val="151515"/>
          <w:sz w:val="19"/>
          <w:szCs w:val="19"/>
        </w:rPr>
      </w:pPr>
      <w:r w:rsidRPr="00485437">
        <w:rPr>
          <w:rFonts w:ascii="Abadi" w:hAnsi="Abadi" w:cs="*Verdana-Bold-8348-Identity-H"/>
          <w:b/>
          <w:bCs/>
          <w:color w:val="151515"/>
          <w:sz w:val="19"/>
          <w:szCs w:val="19"/>
        </w:rPr>
        <w:t>PRESIDENTA DEL CONGRESO DEL ESTADO</w:t>
      </w:r>
    </w:p>
    <w:p w14:paraId="1B2B8044" w14:textId="77777777" w:rsidR="00A95932" w:rsidRDefault="00A95932" w:rsidP="00A95932">
      <w:pPr>
        <w:autoSpaceDE w:val="0"/>
        <w:autoSpaceDN w:val="0"/>
        <w:adjustRightInd w:val="0"/>
        <w:jc w:val="both"/>
        <w:rPr>
          <w:rFonts w:ascii="Abadi" w:hAnsi="Abadi" w:cs="*Verdana-Bold-8348-Identity-H"/>
          <w:b/>
          <w:bCs/>
          <w:color w:val="151515"/>
          <w:sz w:val="19"/>
          <w:szCs w:val="19"/>
        </w:rPr>
      </w:pPr>
      <w:r w:rsidRPr="00485437">
        <w:rPr>
          <w:rFonts w:ascii="Abadi" w:hAnsi="Abadi" w:cs="*Verdana-Bold-8348-Identity-H"/>
          <w:b/>
          <w:bCs/>
          <w:color w:val="151515"/>
          <w:sz w:val="19"/>
          <w:szCs w:val="19"/>
        </w:rPr>
        <w:t>PRESENTE</w:t>
      </w:r>
    </w:p>
    <w:p w14:paraId="6EE48239" w14:textId="77777777" w:rsidR="00A95932" w:rsidRPr="00485437" w:rsidRDefault="00A95932" w:rsidP="00A95932">
      <w:pPr>
        <w:autoSpaceDE w:val="0"/>
        <w:autoSpaceDN w:val="0"/>
        <w:adjustRightInd w:val="0"/>
        <w:jc w:val="both"/>
        <w:rPr>
          <w:rFonts w:ascii="Abadi" w:hAnsi="Abadi" w:cs="*Verdana-Bold-8348-Identity-H"/>
          <w:b/>
          <w:bCs/>
          <w:color w:val="151515"/>
          <w:sz w:val="19"/>
          <w:szCs w:val="19"/>
        </w:rPr>
      </w:pPr>
    </w:p>
    <w:p w14:paraId="4F64B686" w14:textId="77777777" w:rsidR="00A95932" w:rsidRPr="00485437" w:rsidRDefault="00A95932" w:rsidP="00A95932">
      <w:pPr>
        <w:autoSpaceDE w:val="0"/>
        <w:autoSpaceDN w:val="0"/>
        <w:adjustRightInd w:val="0"/>
        <w:jc w:val="both"/>
        <w:rPr>
          <w:rFonts w:ascii="Abadi" w:hAnsi="Abadi" w:cs="*Verdana-8347-Identity-H"/>
          <w:color w:val="1B1B1B"/>
          <w:sz w:val="20"/>
          <w:szCs w:val="20"/>
        </w:rPr>
      </w:pPr>
      <w:r w:rsidRPr="00485437">
        <w:rPr>
          <w:rFonts w:ascii="Abadi" w:hAnsi="Abadi" w:cs="*Verdana-8347-Identity-H"/>
          <w:color w:val="1B1B1B"/>
          <w:sz w:val="20"/>
          <w:szCs w:val="20"/>
        </w:rPr>
        <w:t>Las diputadas y los diputados integrantes de la Comisión de Justicia ante la Sexagésima Quinta</w:t>
      </w:r>
      <w:r>
        <w:rPr>
          <w:rFonts w:ascii="Abadi" w:hAnsi="Abadi" w:cs="*Verdana-8347-Identity-H"/>
          <w:color w:val="1B1B1B"/>
          <w:sz w:val="20"/>
          <w:szCs w:val="20"/>
        </w:rPr>
        <w:t xml:space="preserve"> </w:t>
      </w:r>
      <w:r w:rsidRPr="00485437">
        <w:rPr>
          <w:rFonts w:ascii="Abadi" w:hAnsi="Abadi" w:cs="*Verdana-8347-Identity-H"/>
          <w:color w:val="1B1B1B"/>
          <w:sz w:val="20"/>
          <w:szCs w:val="20"/>
        </w:rPr>
        <w:t>Legislatura del Congreso del Estado Libre y Soberano de Guanajuato, con fundamento en los</w:t>
      </w:r>
      <w:r>
        <w:rPr>
          <w:rFonts w:ascii="Abadi" w:hAnsi="Abadi" w:cs="*Verdana-8347-Identity-H"/>
          <w:color w:val="1B1B1B"/>
          <w:sz w:val="20"/>
          <w:szCs w:val="20"/>
        </w:rPr>
        <w:t xml:space="preserve"> </w:t>
      </w:r>
      <w:r w:rsidRPr="00485437">
        <w:rPr>
          <w:rFonts w:ascii="Abadi" w:hAnsi="Abadi" w:cs="*Verdana-8347-Identity-H"/>
          <w:color w:val="1B1B1B"/>
          <w:sz w:val="20"/>
          <w:szCs w:val="20"/>
        </w:rPr>
        <w:t>artículos 168 último párrafo y 177 de la Ley Orgánica del Poder Legislativo del Estado de</w:t>
      </w:r>
      <w:r>
        <w:rPr>
          <w:rFonts w:ascii="Abadi" w:hAnsi="Abadi" w:cs="*Verdana-8347-Identity-H"/>
          <w:color w:val="1B1B1B"/>
          <w:sz w:val="20"/>
          <w:szCs w:val="20"/>
        </w:rPr>
        <w:t xml:space="preserve"> </w:t>
      </w:r>
      <w:r w:rsidRPr="00485437">
        <w:rPr>
          <w:rFonts w:ascii="Abadi" w:hAnsi="Abadi" w:cs="*Verdana-8347-Identity-H"/>
          <w:color w:val="1B1B1B"/>
          <w:sz w:val="20"/>
          <w:szCs w:val="20"/>
        </w:rPr>
        <w:t>Guanajuato, nos permitimos formular la presente propuesta de punto de acuerdo de obvia</w:t>
      </w:r>
      <w:r>
        <w:rPr>
          <w:rFonts w:ascii="Abadi" w:hAnsi="Abadi" w:cs="*Verdana-8347-Identity-H"/>
          <w:color w:val="1B1B1B"/>
          <w:sz w:val="20"/>
          <w:szCs w:val="20"/>
        </w:rPr>
        <w:t xml:space="preserve"> </w:t>
      </w:r>
      <w:r w:rsidRPr="00485437">
        <w:rPr>
          <w:rFonts w:ascii="Abadi" w:hAnsi="Abadi" w:cs="*Verdana-8347-Identity-H"/>
          <w:color w:val="1B1B1B"/>
          <w:sz w:val="20"/>
          <w:szCs w:val="20"/>
        </w:rPr>
        <w:t>resolución a efecto de exhortar al Congreso de la Unión, para que en los términos del artículo</w:t>
      </w:r>
      <w:r>
        <w:rPr>
          <w:rFonts w:ascii="Abadi" w:hAnsi="Abadi" w:cs="*Verdana-8347-Identity-H"/>
          <w:color w:val="1B1B1B"/>
          <w:sz w:val="20"/>
          <w:szCs w:val="20"/>
        </w:rPr>
        <w:t xml:space="preserve"> </w:t>
      </w:r>
      <w:r w:rsidRPr="00485437">
        <w:rPr>
          <w:rFonts w:ascii="Abadi" w:hAnsi="Abadi" w:cs="*Verdana-8347-Identity-H"/>
          <w:color w:val="1B1B1B"/>
          <w:sz w:val="20"/>
          <w:szCs w:val="20"/>
        </w:rPr>
        <w:t>73, fracción XXX de la Constitución Política de los Estados Unidos Mexicanos se expida la</w:t>
      </w:r>
      <w:r>
        <w:rPr>
          <w:rFonts w:ascii="Abadi" w:hAnsi="Abadi" w:cs="*Verdana-8347-Identity-H"/>
          <w:color w:val="1B1B1B"/>
          <w:sz w:val="20"/>
          <w:szCs w:val="20"/>
        </w:rPr>
        <w:t xml:space="preserve"> </w:t>
      </w:r>
      <w:r w:rsidRPr="00485437">
        <w:rPr>
          <w:rFonts w:ascii="Abadi" w:hAnsi="Abadi" w:cs="*Verdana-8347-Identity-H"/>
          <w:color w:val="1B1B1B"/>
          <w:sz w:val="20"/>
          <w:szCs w:val="20"/>
        </w:rPr>
        <w:t>legislación única en materia procesal civil y familiar, en atención a las siguientes:</w:t>
      </w:r>
    </w:p>
    <w:p w14:paraId="65BB0938" w14:textId="77777777" w:rsidR="00A95932" w:rsidRDefault="00A95932" w:rsidP="00A95932">
      <w:pPr>
        <w:autoSpaceDE w:val="0"/>
        <w:autoSpaceDN w:val="0"/>
        <w:adjustRightInd w:val="0"/>
        <w:jc w:val="both"/>
        <w:rPr>
          <w:rFonts w:ascii="Abadi" w:hAnsi="Abadi" w:cs="*Verdana-Bold-8348-Identity-H"/>
          <w:b/>
          <w:bCs/>
          <w:color w:val="141414"/>
          <w:sz w:val="19"/>
          <w:szCs w:val="19"/>
        </w:rPr>
      </w:pPr>
    </w:p>
    <w:p w14:paraId="535DA1AD" w14:textId="77777777" w:rsidR="00A95932" w:rsidRDefault="00A95932" w:rsidP="00A95932">
      <w:pPr>
        <w:autoSpaceDE w:val="0"/>
        <w:autoSpaceDN w:val="0"/>
        <w:adjustRightInd w:val="0"/>
        <w:jc w:val="both"/>
        <w:rPr>
          <w:rFonts w:ascii="Abadi" w:hAnsi="Abadi" w:cs="*Verdana-Bold-8348-Identity-H"/>
          <w:b/>
          <w:bCs/>
          <w:color w:val="141414"/>
          <w:sz w:val="19"/>
          <w:szCs w:val="19"/>
        </w:rPr>
      </w:pPr>
    </w:p>
    <w:p w14:paraId="4A105F1C" w14:textId="77777777" w:rsidR="00A95932" w:rsidRDefault="00A95932" w:rsidP="00A95932">
      <w:pPr>
        <w:autoSpaceDE w:val="0"/>
        <w:autoSpaceDN w:val="0"/>
        <w:adjustRightInd w:val="0"/>
        <w:jc w:val="center"/>
        <w:rPr>
          <w:rFonts w:ascii="Abadi" w:hAnsi="Abadi" w:cs="*Verdana-Bold-8348-Identity-H"/>
          <w:b/>
          <w:bCs/>
          <w:color w:val="141414"/>
          <w:sz w:val="19"/>
          <w:szCs w:val="19"/>
        </w:rPr>
      </w:pPr>
      <w:r w:rsidRPr="00485437">
        <w:rPr>
          <w:rFonts w:ascii="Abadi" w:hAnsi="Abadi" w:cs="*Verdana-Bold-8348-Identity-H"/>
          <w:b/>
          <w:bCs/>
          <w:color w:val="141414"/>
          <w:sz w:val="19"/>
          <w:szCs w:val="19"/>
        </w:rPr>
        <w:t>CONSIDERACIONES</w:t>
      </w:r>
    </w:p>
    <w:p w14:paraId="711D9946" w14:textId="77777777" w:rsidR="00A95932" w:rsidRPr="00485437" w:rsidRDefault="00A95932" w:rsidP="00A95932">
      <w:pPr>
        <w:autoSpaceDE w:val="0"/>
        <w:autoSpaceDN w:val="0"/>
        <w:adjustRightInd w:val="0"/>
        <w:jc w:val="both"/>
        <w:rPr>
          <w:rFonts w:ascii="Abadi" w:hAnsi="Abadi" w:cs="*Verdana-Bold-8348-Identity-H"/>
          <w:b/>
          <w:bCs/>
          <w:color w:val="141414"/>
          <w:sz w:val="19"/>
          <w:szCs w:val="19"/>
        </w:rPr>
      </w:pPr>
    </w:p>
    <w:p w14:paraId="178E060C" w14:textId="77777777" w:rsidR="00A95932" w:rsidRDefault="00A95932" w:rsidP="00A95932">
      <w:pPr>
        <w:autoSpaceDE w:val="0"/>
        <w:autoSpaceDN w:val="0"/>
        <w:adjustRightInd w:val="0"/>
        <w:jc w:val="both"/>
        <w:rPr>
          <w:rFonts w:ascii="Abadi" w:hAnsi="Abadi" w:cs="*Verdana-8347-Identity-H"/>
          <w:color w:val="1B1B1B"/>
          <w:sz w:val="20"/>
          <w:szCs w:val="20"/>
        </w:rPr>
      </w:pPr>
      <w:r w:rsidRPr="00485437">
        <w:rPr>
          <w:rFonts w:ascii="Abadi" w:hAnsi="Abadi" w:cs="*Verdana-8347-Identity-H"/>
          <w:color w:val="1B1B1B"/>
          <w:sz w:val="20"/>
          <w:szCs w:val="20"/>
        </w:rPr>
        <w:t>El 15 de septiembre de 2017 se publicó en el Diario Oficial de la Federación, el Decreto por el</w:t>
      </w:r>
      <w:r>
        <w:rPr>
          <w:rFonts w:ascii="Abadi" w:hAnsi="Abadi" w:cs="*Verdana-8347-Identity-H"/>
          <w:color w:val="1B1B1B"/>
          <w:sz w:val="20"/>
          <w:szCs w:val="20"/>
        </w:rPr>
        <w:t xml:space="preserve"> </w:t>
      </w:r>
      <w:r w:rsidRPr="00485437">
        <w:rPr>
          <w:rFonts w:ascii="Abadi" w:hAnsi="Abadi" w:cs="*Verdana-8347-Identity-H"/>
          <w:color w:val="1B1B1B"/>
          <w:sz w:val="20"/>
          <w:szCs w:val="20"/>
        </w:rPr>
        <w:t>que se reforman y adicionan los artículos 16, 17 y 73 de la Constitución Política de los Estados</w:t>
      </w:r>
      <w:r>
        <w:rPr>
          <w:rFonts w:ascii="Abadi" w:hAnsi="Abadi" w:cs="*Verdana-8347-Identity-H"/>
          <w:color w:val="1B1B1B"/>
          <w:sz w:val="20"/>
          <w:szCs w:val="20"/>
        </w:rPr>
        <w:t xml:space="preserve"> </w:t>
      </w:r>
      <w:r w:rsidRPr="00485437">
        <w:rPr>
          <w:rFonts w:ascii="Abadi" w:hAnsi="Abadi" w:cs="*Verdana-8347-Identity-H"/>
          <w:color w:val="1B1B1B"/>
          <w:sz w:val="20"/>
          <w:szCs w:val="20"/>
        </w:rPr>
        <w:t>Unidos Mexicanos, en materia de Justicia Cotidiana (Solución de Fondo del Conflicto y</w:t>
      </w:r>
      <w:r>
        <w:rPr>
          <w:rFonts w:ascii="Abadi" w:hAnsi="Abadi" w:cs="*Verdana-8347-Identity-H"/>
          <w:color w:val="1B1B1B"/>
          <w:sz w:val="20"/>
          <w:szCs w:val="20"/>
        </w:rPr>
        <w:t xml:space="preserve"> </w:t>
      </w:r>
      <w:r w:rsidRPr="00485437">
        <w:rPr>
          <w:rFonts w:ascii="Abadi" w:hAnsi="Abadi" w:cs="*Verdana-8347-Identity-H"/>
          <w:color w:val="1B1B1B"/>
          <w:sz w:val="20"/>
          <w:szCs w:val="20"/>
        </w:rPr>
        <w:t>Competencia Legislativa sobre Procedimientos Civiles y Familiares) en el cual se faculta al</w:t>
      </w:r>
      <w:r>
        <w:rPr>
          <w:rFonts w:ascii="Abadi" w:hAnsi="Abadi" w:cs="*Verdana-8347-Identity-H"/>
          <w:color w:val="1B1B1B"/>
          <w:sz w:val="20"/>
          <w:szCs w:val="20"/>
        </w:rPr>
        <w:t xml:space="preserve"> </w:t>
      </w:r>
      <w:r w:rsidRPr="00485437">
        <w:rPr>
          <w:rFonts w:ascii="Abadi" w:hAnsi="Abadi" w:cs="*Verdana-8347-Identity-H"/>
          <w:color w:val="1B1B1B"/>
          <w:sz w:val="20"/>
          <w:szCs w:val="20"/>
        </w:rPr>
        <w:t>Congreso de la Unión para expedir la legislación única en materia procesal civil y familiar.</w:t>
      </w:r>
      <w:r>
        <w:rPr>
          <w:rFonts w:ascii="Abadi" w:hAnsi="Abadi" w:cs="*Verdana-8347-Identity-H"/>
          <w:color w:val="1B1B1B"/>
          <w:sz w:val="20"/>
          <w:szCs w:val="20"/>
        </w:rPr>
        <w:t xml:space="preserve"> </w:t>
      </w:r>
    </w:p>
    <w:p w14:paraId="3E8AB853" w14:textId="77777777" w:rsidR="00A95932" w:rsidRDefault="00A95932" w:rsidP="00A95932">
      <w:pPr>
        <w:autoSpaceDE w:val="0"/>
        <w:autoSpaceDN w:val="0"/>
        <w:adjustRightInd w:val="0"/>
        <w:jc w:val="both"/>
        <w:rPr>
          <w:rFonts w:ascii="Abadi" w:hAnsi="Abadi" w:cs="*Verdana-8347-Identity-H"/>
          <w:color w:val="1B1B1B"/>
          <w:sz w:val="20"/>
          <w:szCs w:val="20"/>
        </w:rPr>
      </w:pPr>
    </w:p>
    <w:p w14:paraId="6ACE2A4E" w14:textId="77777777" w:rsidR="00A95932" w:rsidRDefault="00A95932" w:rsidP="00A95932">
      <w:pPr>
        <w:autoSpaceDE w:val="0"/>
        <w:autoSpaceDN w:val="0"/>
        <w:adjustRightInd w:val="0"/>
        <w:jc w:val="both"/>
        <w:rPr>
          <w:rFonts w:ascii="Abadi" w:hAnsi="Abadi" w:cs="*Verdana-8347-Identity-H"/>
          <w:color w:val="1C1C1C"/>
          <w:sz w:val="20"/>
          <w:szCs w:val="20"/>
        </w:rPr>
      </w:pPr>
      <w:r w:rsidRPr="00485437">
        <w:rPr>
          <w:rFonts w:ascii="Abadi" w:hAnsi="Abadi" w:cs="*Verdana-8347-Identity-H"/>
          <w:color w:val="1C1C1C"/>
          <w:sz w:val="20"/>
          <w:szCs w:val="20"/>
        </w:rPr>
        <w:t>Dicha reforma contempló en el artículo cuarto transitorio que, el Congreso de la Unión debería</w:t>
      </w:r>
      <w:r>
        <w:rPr>
          <w:rFonts w:ascii="Abadi" w:hAnsi="Abadi" w:cs="*Verdana-8347-Identity-H"/>
          <w:color w:val="1C1C1C"/>
          <w:sz w:val="20"/>
          <w:szCs w:val="20"/>
        </w:rPr>
        <w:t xml:space="preserve"> </w:t>
      </w:r>
      <w:r w:rsidRPr="00485437">
        <w:rPr>
          <w:rFonts w:ascii="Abadi" w:hAnsi="Abadi" w:cs="*Verdana-8347-Identity-H"/>
          <w:color w:val="1C1C1C"/>
          <w:sz w:val="20"/>
          <w:szCs w:val="20"/>
        </w:rPr>
        <w:t>expedir la legislación procedimental a que hace referencia la fracción XXX del artículo 73</w:t>
      </w:r>
      <w:r>
        <w:rPr>
          <w:rFonts w:ascii="Abadi" w:hAnsi="Abadi" w:cs="*Verdana-8347-Identity-H"/>
          <w:color w:val="1C1C1C"/>
          <w:sz w:val="20"/>
          <w:szCs w:val="20"/>
        </w:rPr>
        <w:t xml:space="preserve"> </w:t>
      </w:r>
      <w:r w:rsidRPr="00485437">
        <w:rPr>
          <w:rFonts w:ascii="Abadi" w:hAnsi="Abadi" w:cs="*Verdana-8347-Identity-H"/>
          <w:color w:val="1C1C1C"/>
          <w:sz w:val="20"/>
          <w:szCs w:val="20"/>
        </w:rPr>
        <w:t>constitucional, en un plazo que no excediera de ciento ochenta días contados a partir de la</w:t>
      </w:r>
      <w:r>
        <w:rPr>
          <w:rFonts w:ascii="Abadi" w:hAnsi="Abadi" w:cs="*Verdana-8347-Identity-H"/>
          <w:color w:val="1C1C1C"/>
          <w:sz w:val="20"/>
          <w:szCs w:val="20"/>
        </w:rPr>
        <w:t xml:space="preserve"> </w:t>
      </w:r>
      <w:r w:rsidRPr="00485437">
        <w:rPr>
          <w:rFonts w:ascii="Abadi" w:hAnsi="Abadi" w:cs="*Verdana-8347-Identity-H"/>
          <w:color w:val="1C1C1C"/>
          <w:sz w:val="20"/>
          <w:szCs w:val="20"/>
        </w:rPr>
        <w:t>entrada en vigor del Decreto.</w:t>
      </w:r>
    </w:p>
    <w:p w14:paraId="0239F098" w14:textId="77777777" w:rsidR="00A95932" w:rsidRPr="00485437" w:rsidRDefault="00A95932" w:rsidP="00A95932">
      <w:pPr>
        <w:autoSpaceDE w:val="0"/>
        <w:autoSpaceDN w:val="0"/>
        <w:adjustRightInd w:val="0"/>
        <w:jc w:val="both"/>
        <w:rPr>
          <w:rFonts w:ascii="Abadi" w:hAnsi="Abadi" w:cs="*Verdana-8347-Identity-H"/>
          <w:color w:val="1C1C1C"/>
          <w:sz w:val="20"/>
          <w:szCs w:val="20"/>
        </w:rPr>
      </w:pPr>
    </w:p>
    <w:p w14:paraId="03CFAD3F" w14:textId="77777777" w:rsidR="00A95932" w:rsidRPr="00485437" w:rsidRDefault="00A95932" w:rsidP="00A95932">
      <w:pPr>
        <w:autoSpaceDE w:val="0"/>
        <w:autoSpaceDN w:val="0"/>
        <w:adjustRightInd w:val="0"/>
        <w:jc w:val="both"/>
        <w:rPr>
          <w:rFonts w:ascii="Abadi" w:hAnsi="Abadi" w:cs="*Verdana-8347-Identity-H"/>
          <w:color w:val="1B1B1B"/>
          <w:sz w:val="20"/>
          <w:szCs w:val="20"/>
        </w:rPr>
      </w:pPr>
      <w:r w:rsidRPr="00485437">
        <w:rPr>
          <w:rFonts w:ascii="Abadi" w:hAnsi="Abadi" w:cs="*Verdana-8347-Identity-H"/>
          <w:color w:val="1B1B1B"/>
          <w:sz w:val="20"/>
          <w:szCs w:val="20"/>
        </w:rPr>
        <w:t>Asimismo, se previó en el artículo quinto transitorio que la legislación procesal civil y familiar</w:t>
      </w:r>
      <w:r>
        <w:rPr>
          <w:rFonts w:ascii="Abadi" w:hAnsi="Abadi" w:cs="*Verdana-8347-Identity-H"/>
          <w:color w:val="1B1B1B"/>
          <w:sz w:val="20"/>
          <w:szCs w:val="20"/>
        </w:rPr>
        <w:t xml:space="preserve"> </w:t>
      </w:r>
      <w:r w:rsidRPr="00485437">
        <w:rPr>
          <w:rFonts w:ascii="Abadi" w:hAnsi="Abadi" w:cs="*Verdana-8347-Identity-H"/>
          <w:color w:val="1B1B1B"/>
          <w:sz w:val="20"/>
          <w:szCs w:val="20"/>
        </w:rPr>
        <w:t>de la Federación y de las entidades federativas continuaría vigente hasta en tanto entrara en</w:t>
      </w:r>
      <w:r>
        <w:rPr>
          <w:rFonts w:ascii="Abadi" w:hAnsi="Abadi" w:cs="*Verdana-8347-Identity-H"/>
          <w:color w:val="1B1B1B"/>
          <w:sz w:val="20"/>
          <w:szCs w:val="20"/>
        </w:rPr>
        <w:t xml:space="preserve"> </w:t>
      </w:r>
      <w:r w:rsidRPr="00485437">
        <w:rPr>
          <w:rFonts w:ascii="Abadi" w:hAnsi="Abadi" w:cs="*Verdana-8347-Identity-H"/>
          <w:color w:val="1B1B1B"/>
          <w:sz w:val="20"/>
          <w:szCs w:val="20"/>
        </w:rPr>
        <w:t>vigor la legislación a que se refiere la fracción XXX del artículo 73 constitucional. Los</w:t>
      </w:r>
      <w:r>
        <w:rPr>
          <w:rFonts w:ascii="Abadi" w:hAnsi="Abadi" w:cs="*Verdana-8347-Identity-H"/>
          <w:color w:val="1B1B1B"/>
          <w:sz w:val="20"/>
          <w:szCs w:val="20"/>
        </w:rPr>
        <w:t xml:space="preserve"> </w:t>
      </w:r>
      <w:r w:rsidRPr="00485437">
        <w:rPr>
          <w:rFonts w:ascii="Abadi" w:hAnsi="Abadi" w:cs="*Verdana-8347-Identity-H"/>
          <w:color w:val="1B1B1B"/>
          <w:sz w:val="20"/>
          <w:szCs w:val="20"/>
        </w:rPr>
        <w:t>procedimientos iniciados y las sentencias emitidas con fundamento en la legislación procesal</w:t>
      </w:r>
      <w:r>
        <w:rPr>
          <w:rFonts w:ascii="Abadi" w:hAnsi="Abadi" w:cs="*Verdana-8347-Identity-H"/>
          <w:color w:val="1B1B1B"/>
          <w:sz w:val="20"/>
          <w:szCs w:val="20"/>
        </w:rPr>
        <w:t xml:space="preserve"> </w:t>
      </w:r>
      <w:r w:rsidRPr="00485437">
        <w:rPr>
          <w:rFonts w:ascii="Abadi" w:hAnsi="Abadi" w:cs="*Verdana-8347-Identity-H"/>
          <w:color w:val="1B1B1B"/>
          <w:sz w:val="20"/>
          <w:szCs w:val="20"/>
        </w:rPr>
        <w:t>civil federal y la legislación procesal civil y familiar de las entidades federativas deberán</w:t>
      </w:r>
      <w:r>
        <w:rPr>
          <w:rFonts w:ascii="Abadi" w:hAnsi="Abadi" w:cs="*Verdana-8347-Identity-H"/>
          <w:color w:val="1B1B1B"/>
          <w:sz w:val="20"/>
          <w:szCs w:val="20"/>
        </w:rPr>
        <w:t xml:space="preserve"> </w:t>
      </w:r>
      <w:r w:rsidRPr="00485437">
        <w:rPr>
          <w:rFonts w:ascii="Abadi" w:hAnsi="Abadi" w:cs="*Verdana-8347-Identity-H"/>
          <w:color w:val="1B1B1B"/>
          <w:sz w:val="20"/>
          <w:szCs w:val="20"/>
        </w:rPr>
        <w:t>concluirse y ejecutarse, respectivamente, conforme a la misma.</w:t>
      </w:r>
    </w:p>
    <w:p w14:paraId="5135FBF1" w14:textId="77777777" w:rsidR="00A95932" w:rsidRPr="00485437" w:rsidRDefault="00A95932" w:rsidP="00A95932">
      <w:pPr>
        <w:jc w:val="both"/>
        <w:rPr>
          <w:rFonts w:ascii="Abadi" w:hAnsi="Abadi" w:cs="*Verdana-8347-Identity-H"/>
          <w:color w:val="1B1B1B"/>
          <w:sz w:val="20"/>
          <w:szCs w:val="20"/>
        </w:rPr>
      </w:pPr>
    </w:p>
    <w:p w14:paraId="1F0F23E9" w14:textId="77777777" w:rsidR="00A95932" w:rsidRDefault="00A95932" w:rsidP="00A95932">
      <w:pPr>
        <w:autoSpaceDE w:val="0"/>
        <w:autoSpaceDN w:val="0"/>
        <w:adjustRightInd w:val="0"/>
        <w:jc w:val="both"/>
        <w:rPr>
          <w:rFonts w:ascii="Abadi" w:hAnsi="Abadi" w:cs="*Verdana-5965-Identity-H"/>
          <w:color w:val="1B1B1B"/>
          <w:sz w:val="20"/>
          <w:szCs w:val="20"/>
        </w:rPr>
      </w:pPr>
      <w:r w:rsidRPr="00485437">
        <w:rPr>
          <w:rFonts w:ascii="Abadi" w:hAnsi="Abadi" w:cs="*Verdana-5965-Identity-H"/>
          <w:color w:val="1B1B1B"/>
          <w:sz w:val="20"/>
          <w:szCs w:val="20"/>
        </w:rPr>
        <w:t>Por su parte, la Suprema Corte de Justicia de la Nación se ha pronunciado en que, si bien las</w:t>
      </w:r>
      <w:r>
        <w:rPr>
          <w:rFonts w:ascii="Abadi" w:hAnsi="Abadi" w:cs="*Verdana-5965-Identity-H"/>
          <w:color w:val="1B1B1B"/>
          <w:sz w:val="20"/>
          <w:szCs w:val="20"/>
        </w:rPr>
        <w:t xml:space="preserve"> </w:t>
      </w:r>
      <w:r w:rsidRPr="00485437">
        <w:rPr>
          <w:rFonts w:ascii="Abadi" w:hAnsi="Abadi" w:cs="*Verdana-5965-Identity-H"/>
          <w:color w:val="1B1B1B"/>
          <w:sz w:val="20"/>
          <w:szCs w:val="20"/>
        </w:rPr>
        <w:t>legislaciones procesales en materias civil y familiar de las entidades federativas permanecerán</w:t>
      </w:r>
      <w:r>
        <w:rPr>
          <w:rFonts w:ascii="Abadi" w:hAnsi="Abadi" w:cs="*Verdana-5965-Identity-H"/>
          <w:color w:val="1B1B1B"/>
          <w:sz w:val="20"/>
          <w:szCs w:val="20"/>
        </w:rPr>
        <w:t xml:space="preserve"> </w:t>
      </w:r>
      <w:r w:rsidRPr="00485437">
        <w:rPr>
          <w:rFonts w:ascii="Abadi" w:hAnsi="Abadi" w:cs="*Verdana-5965-Identity-H"/>
          <w:color w:val="1B1B1B"/>
          <w:sz w:val="20"/>
          <w:szCs w:val="20"/>
        </w:rPr>
        <w:t>vigentes hasta que sea emitido el código nacional de esas materias, los estados carecen de</w:t>
      </w:r>
      <w:r>
        <w:rPr>
          <w:rFonts w:ascii="Abadi" w:hAnsi="Abadi" w:cs="*Verdana-5965-Identity-H"/>
          <w:color w:val="1B1B1B"/>
          <w:sz w:val="20"/>
          <w:szCs w:val="20"/>
        </w:rPr>
        <w:t xml:space="preserve"> </w:t>
      </w:r>
      <w:r w:rsidRPr="00485437">
        <w:rPr>
          <w:rFonts w:ascii="Abadi" w:hAnsi="Abadi" w:cs="*Verdana-5965-Identity-H"/>
          <w:color w:val="1B1B1B"/>
          <w:sz w:val="20"/>
          <w:szCs w:val="20"/>
        </w:rPr>
        <w:t>facultades para legislar sobre el tema.</w:t>
      </w:r>
    </w:p>
    <w:p w14:paraId="22E16442" w14:textId="77777777" w:rsidR="00A95932" w:rsidRPr="00485437" w:rsidRDefault="00A95932" w:rsidP="00A95932">
      <w:pPr>
        <w:autoSpaceDE w:val="0"/>
        <w:autoSpaceDN w:val="0"/>
        <w:adjustRightInd w:val="0"/>
        <w:jc w:val="both"/>
        <w:rPr>
          <w:rFonts w:ascii="Abadi" w:hAnsi="Abadi" w:cs="*Verdana-5965-Identity-H"/>
          <w:color w:val="1B1B1B"/>
          <w:sz w:val="20"/>
          <w:szCs w:val="20"/>
        </w:rPr>
      </w:pPr>
    </w:p>
    <w:p w14:paraId="3BCFFDCF" w14:textId="77777777" w:rsidR="00A95932" w:rsidRDefault="00A95932" w:rsidP="00A95932">
      <w:pPr>
        <w:autoSpaceDE w:val="0"/>
        <w:autoSpaceDN w:val="0"/>
        <w:adjustRightInd w:val="0"/>
        <w:jc w:val="both"/>
        <w:rPr>
          <w:rFonts w:ascii="Abadi" w:hAnsi="Abadi" w:cs="*Verdana-5965-Identity-H"/>
          <w:color w:val="1B1B1B"/>
          <w:sz w:val="20"/>
          <w:szCs w:val="20"/>
        </w:rPr>
      </w:pPr>
      <w:r w:rsidRPr="00485437">
        <w:rPr>
          <w:rFonts w:ascii="Abadi" w:hAnsi="Abadi" w:cs="*Verdana-5965-Identity-H"/>
          <w:color w:val="1B1B1B"/>
          <w:sz w:val="20"/>
          <w:szCs w:val="20"/>
        </w:rPr>
        <w:t>Las y los integrantes de esta Comisión de Justicia, reconocemos que dar cumplimiento al</w:t>
      </w:r>
      <w:r>
        <w:rPr>
          <w:rFonts w:ascii="Abadi" w:hAnsi="Abadi" w:cs="*Verdana-5965-Identity-H"/>
          <w:color w:val="1B1B1B"/>
          <w:sz w:val="20"/>
          <w:szCs w:val="20"/>
        </w:rPr>
        <w:t xml:space="preserve"> </w:t>
      </w:r>
      <w:r w:rsidRPr="00485437">
        <w:rPr>
          <w:rFonts w:ascii="Abadi" w:hAnsi="Abadi" w:cs="*Verdana-5965-Identity-H"/>
          <w:color w:val="1B1B1B"/>
          <w:sz w:val="20"/>
          <w:szCs w:val="20"/>
        </w:rPr>
        <w:t>mandato de la reforma constitucional en materia de justicia cotidiana representa un reto de</w:t>
      </w:r>
      <w:r>
        <w:rPr>
          <w:rFonts w:ascii="Abadi" w:hAnsi="Abadi" w:cs="*Verdana-5965-Identity-H"/>
          <w:color w:val="1B1B1B"/>
          <w:sz w:val="20"/>
          <w:szCs w:val="20"/>
        </w:rPr>
        <w:t xml:space="preserve"> </w:t>
      </w:r>
      <w:r w:rsidRPr="00485437">
        <w:rPr>
          <w:rFonts w:ascii="Abadi" w:hAnsi="Abadi" w:cs="*Verdana-5965-Identity-H"/>
          <w:color w:val="1B1B1B"/>
          <w:sz w:val="20"/>
          <w:szCs w:val="20"/>
        </w:rPr>
        <w:t>grandes dimensiones, pues no solo es cumplir con la expedición de un ordenamiento</w:t>
      </w:r>
      <w:r>
        <w:rPr>
          <w:rFonts w:ascii="Abadi" w:hAnsi="Abadi" w:cs="*Verdana-5965-Identity-H"/>
          <w:color w:val="1B1B1B"/>
          <w:sz w:val="20"/>
          <w:szCs w:val="20"/>
        </w:rPr>
        <w:t xml:space="preserve"> </w:t>
      </w:r>
      <w:r w:rsidRPr="00485437">
        <w:rPr>
          <w:rFonts w:ascii="Abadi" w:hAnsi="Abadi" w:cs="*Verdana-5965-Identity-H"/>
          <w:color w:val="1B1B1B"/>
          <w:sz w:val="20"/>
          <w:szCs w:val="20"/>
        </w:rPr>
        <w:t>procedimental uniforme, es necesario que en su construcción se cumpla con el debido proceso</w:t>
      </w:r>
      <w:r>
        <w:rPr>
          <w:rFonts w:ascii="Abadi" w:hAnsi="Abadi" w:cs="*Verdana-5965-Identity-H"/>
          <w:color w:val="1B1B1B"/>
          <w:sz w:val="20"/>
          <w:szCs w:val="20"/>
        </w:rPr>
        <w:t xml:space="preserve"> </w:t>
      </w:r>
      <w:r w:rsidRPr="00485437">
        <w:rPr>
          <w:rFonts w:ascii="Abadi" w:hAnsi="Abadi" w:cs="*Verdana-5965-Identity-H"/>
          <w:color w:val="1B1B1B"/>
          <w:sz w:val="20"/>
          <w:szCs w:val="20"/>
        </w:rPr>
        <w:t>y que se garantice a los justiciables la certeza y celeridad procesal, tal como lo dispone el</w:t>
      </w:r>
      <w:r>
        <w:rPr>
          <w:rFonts w:ascii="Abadi" w:hAnsi="Abadi" w:cs="*Verdana-5965-Identity-H"/>
          <w:color w:val="1B1B1B"/>
          <w:sz w:val="20"/>
          <w:szCs w:val="20"/>
        </w:rPr>
        <w:t xml:space="preserve"> </w:t>
      </w:r>
      <w:r w:rsidRPr="00485437">
        <w:rPr>
          <w:rFonts w:ascii="Abadi" w:hAnsi="Abadi" w:cs="*Verdana-5965-Identity-H"/>
          <w:color w:val="1B1B1B"/>
          <w:sz w:val="20"/>
          <w:szCs w:val="20"/>
        </w:rPr>
        <w:t>artículo 17 de la Constitución Política de los Estados Unidos Mexicanos.</w:t>
      </w:r>
    </w:p>
    <w:p w14:paraId="3548D321" w14:textId="77777777" w:rsidR="00A95932" w:rsidRPr="00485437" w:rsidRDefault="00A95932" w:rsidP="00A95932">
      <w:pPr>
        <w:autoSpaceDE w:val="0"/>
        <w:autoSpaceDN w:val="0"/>
        <w:adjustRightInd w:val="0"/>
        <w:jc w:val="both"/>
        <w:rPr>
          <w:rFonts w:ascii="Abadi" w:hAnsi="Abadi" w:cs="*Verdana-5965-Identity-H"/>
          <w:color w:val="1B1B1B"/>
          <w:sz w:val="20"/>
          <w:szCs w:val="20"/>
        </w:rPr>
      </w:pPr>
    </w:p>
    <w:p w14:paraId="45D8662A" w14:textId="77777777" w:rsidR="00A95932" w:rsidRDefault="00A95932" w:rsidP="00A95932">
      <w:pPr>
        <w:autoSpaceDE w:val="0"/>
        <w:autoSpaceDN w:val="0"/>
        <w:adjustRightInd w:val="0"/>
        <w:jc w:val="both"/>
        <w:rPr>
          <w:rFonts w:ascii="Abadi" w:hAnsi="Abadi" w:cs="*Verdana-5965-Identity-H"/>
          <w:color w:val="1C1C1C"/>
          <w:sz w:val="20"/>
          <w:szCs w:val="20"/>
        </w:rPr>
      </w:pPr>
      <w:r w:rsidRPr="00485437">
        <w:rPr>
          <w:rFonts w:ascii="Abadi" w:hAnsi="Abadi" w:cs="*Verdana-5965-Identity-H"/>
          <w:color w:val="1C1C1C"/>
          <w:sz w:val="20"/>
          <w:szCs w:val="20"/>
        </w:rPr>
        <w:t>La tarea de los legisladores federales, sin duda, no es sencilla ya que, en esta legislación única,</w:t>
      </w:r>
      <w:r>
        <w:rPr>
          <w:rFonts w:ascii="Abadi" w:hAnsi="Abadi" w:cs="*Verdana-5965-Identity-H"/>
          <w:color w:val="1C1C1C"/>
          <w:sz w:val="20"/>
          <w:szCs w:val="20"/>
        </w:rPr>
        <w:t xml:space="preserve"> </w:t>
      </w:r>
      <w:r w:rsidRPr="00485437">
        <w:rPr>
          <w:rFonts w:ascii="Abadi" w:hAnsi="Abadi" w:cs="*Verdana-5965-Identity-H"/>
          <w:color w:val="1C1C1C"/>
          <w:sz w:val="20"/>
          <w:szCs w:val="20"/>
        </w:rPr>
        <w:t>se deben contemplar todas las herramientas para garantizar el acceso a la justicia en todo el</w:t>
      </w:r>
      <w:r>
        <w:rPr>
          <w:rFonts w:ascii="Abadi" w:hAnsi="Abadi" w:cs="*Verdana-5965-Identity-H"/>
          <w:color w:val="1C1C1C"/>
          <w:sz w:val="20"/>
          <w:szCs w:val="20"/>
        </w:rPr>
        <w:t xml:space="preserve"> </w:t>
      </w:r>
      <w:r w:rsidRPr="00485437">
        <w:rPr>
          <w:rFonts w:ascii="Abadi" w:hAnsi="Abadi" w:cs="*Verdana-5965-Identity-H"/>
          <w:color w:val="1C1C1C"/>
          <w:sz w:val="20"/>
          <w:szCs w:val="20"/>
        </w:rPr>
        <w:t>territorio nacional con procedimientos sencillos, lenguaje accesible e incluyente, impulsar la</w:t>
      </w:r>
      <w:r>
        <w:rPr>
          <w:rFonts w:ascii="Abadi" w:hAnsi="Abadi" w:cs="*Verdana-5965-Identity-H"/>
          <w:color w:val="1C1C1C"/>
          <w:sz w:val="20"/>
          <w:szCs w:val="20"/>
        </w:rPr>
        <w:t xml:space="preserve"> </w:t>
      </w:r>
      <w:r w:rsidRPr="00485437">
        <w:rPr>
          <w:rFonts w:ascii="Abadi" w:hAnsi="Abadi" w:cs="*Verdana-5965-Identity-H"/>
          <w:color w:val="1C1C1C"/>
          <w:sz w:val="20"/>
          <w:szCs w:val="20"/>
        </w:rPr>
        <w:t>oralidad y la digitalización de los procesos, privilegiar los mecanismos alternativos de solución</w:t>
      </w:r>
      <w:r>
        <w:rPr>
          <w:rFonts w:ascii="Abadi" w:hAnsi="Abadi" w:cs="*Verdana-5965-Identity-H"/>
          <w:color w:val="1C1C1C"/>
          <w:sz w:val="20"/>
          <w:szCs w:val="20"/>
        </w:rPr>
        <w:t xml:space="preserve"> </w:t>
      </w:r>
      <w:r w:rsidRPr="00485437">
        <w:rPr>
          <w:rFonts w:ascii="Abadi" w:hAnsi="Abadi" w:cs="*Verdana-5965-Identity-H"/>
          <w:color w:val="1C1C1C"/>
          <w:sz w:val="20"/>
          <w:szCs w:val="20"/>
        </w:rPr>
        <w:t>de controversias, como mínimo.</w:t>
      </w:r>
    </w:p>
    <w:p w14:paraId="19D4368C" w14:textId="77777777" w:rsidR="00A95932" w:rsidRPr="00485437" w:rsidRDefault="00A95932" w:rsidP="00A95932">
      <w:pPr>
        <w:autoSpaceDE w:val="0"/>
        <w:autoSpaceDN w:val="0"/>
        <w:adjustRightInd w:val="0"/>
        <w:jc w:val="both"/>
        <w:rPr>
          <w:rFonts w:ascii="Abadi" w:hAnsi="Abadi" w:cs="*Verdana-5965-Identity-H"/>
          <w:color w:val="1C1C1C"/>
          <w:sz w:val="20"/>
          <w:szCs w:val="20"/>
        </w:rPr>
      </w:pPr>
    </w:p>
    <w:p w14:paraId="7D3D51CD" w14:textId="77777777" w:rsidR="00A95932" w:rsidRDefault="00A95932" w:rsidP="00A95932">
      <w:pPr>
        <w:autoSpaceDE w:val="0"/>
        <w:autoSpaceDN w:val="0"/>
        <w:adjustRightInd w:val="0"/>
        <w:jc w:val="both"/>
        <w:rPr>
          <w:rFonts w:ascii="Abadi" w:hAnsi="Abadi" w:cs="*Verdana-5965-Identity-H"/>
          <w:color w:val="1C1C1C"/>
          <w:sz w:val="20"/>
          <w:szCs w:val="20"/>
        </w:rPr>
      </w:pPr>
      <w:r w:rsidRPr="00485437">
        <w:rPr>
          <w:rFonts w:ascii="Abadi" w:hAnsi="Abadi" w:cs="*Verdana-5965-Identity-H"/>
          <w:color w:val="1C1C1C"/>
          <w:sz w:val="20"/>
          <w:szCs w:val="20"/>
        </w:rPr>
        <w:t>Sin embargo, lo anterior se presenta como un obstáculo a nivel local, pues al no contar ya con</w:t>
      </w:r>
      <w:r>
        <w:rPr>
          <w:rFonts w:ascii="Abadi" w:hAnsi="Abadi" w:cs="*Verdana-5965-Identity-H"/>
          <w:color w:val="1C1C1C"/>
          <w:sz w:val="20"/>
          <w:szCs w:val="20"/>
        </w:rPr>
        <w:t xml:space="preserve"> </w:t>
      </w:r>
      <w:r w:rsidRPr="00485437">
        <w:rPr>
          <w:rFonts w:ascii="Abadi" w:hAnsi="Abadi" w:cs="*Verdana-5965-Identity-H"/>
          <w:color w:val="1C1C1C"/>
          <w:sz w:val="20"/>
          <w:szCs w:val="20"/>
        </w:rPr>
        <w:t>facultades para modificar la legislación procesal civil, aún vigente mientras no se expida la</w:t>
      </w:r>
      <w:r>
        <w:rPr>
          <w:rFonts w:ascii="Abadi" w:hAnsi="Abadi" w:cs="*Verdana-5965-Identity-H"/>
          <w:color w:val="1C1C1C"/>
          <w:sz w:val="20"/>
          <w:szCs w:val="20"/>
        </w:rPr>
        <w:t xml:space="preserve"> </w:t>
      </w:r>
      <w:r w:rsidRPr="00485437">
        <w:rPr>
          <w:rFonts w:ascii="Abadi" w:hAnsi="Abadi" w:cs="*Verdana-5965-Identity-H"/>
          <w:color w:val="1C1C1C"/>
          <w:sz w:val="20"/>
          <w:szCs w:val="20"/>
        </w:rPr>
        <w:t>legislación única, no podemos como legisladores llevar a cabo las reformas necesarias que</w:t>
      </w:r>
      <w:r>
        <w:rPr>
          <w:rFonts w:ascii="Abadi" w:hAnsi="Abadi" w:cs="*Verdana-5965-Identity-H"/>
          <w:color w:val="1C1C1C"/>
          <w:sz w:val="20"/>
          <w:szCs w:val="20"/>
        </w:rPr>
        <w:t xml:space="preserve"> </w:t>
      </w:r>
      <w:r w:rsidRPr="00485437">
        <w:rPr>
          <w:rFonts w:ascii="Abadi" w:hAnsi="Abadi" w:cs="*Verdana-5965-Identity-H"/>
          <w:color w:val="1C1C1C"/>
          <w:sz w:val="20"/>
          <w:szCs w:val="20"/>
        </w:rPr>
        <w:t xml:space="preserve">permitan </w:t>
      </w:r>
      <w:r w:rsidRPr="00485437">
        <w:rPr>
          <w:rFonts w:ascii="Abadi" w:hAnsi="Abadi" w:cs="*Verdana-5965-Identity-H"/>
          <w:color w:val="1C1C1C"/>
          <w:sz w:val="20"/>
          <w:szCs w:val="20"/>
        </w:rPr>
        <w:t>tener un Código actualizado y que responda a las necesidades de la sociedad</w:t>
      </w:r>
      <w:r>
        <w:rPr>
          <w:rFonts w:ascii="Abadi" w:hAnsi="Abadi" w:cs="*Verdana-5965-Identity-H"/>
          <w:color w:val="1C1C1C"/>
          <w:sz w:val="20"/>
          <w:szCs w:val="20"/>
        </w:rPr>
        <w:t xml:space="preserve"> </w:t>
      </w:r>
      <w:r w:rsidRPr="00485437">
        <w:rPr>
          <w:rFonts w:ascii="Abadi" w:hAnsi="Abadi" w:cs="*Verdana-5965-Identity-H"/>
          <w:color w:val="1C1C1C"/>
          <w:sz w:val="20"/>
          <w:szCs w:val="20"/>
        </w:rPr>
        <w:t>guanajuatense.</w:t>
      </w:r>
    </w:p>
    <w:p w14:paraId="34782779" w14:textId="77777777" w:rsidR="00A95932" w:rsidRPr="00485437" w:rsidRDefault="00A95932" w:rsidP="00A95932">
      <w:pPr>
        <w:autoSpaceDE w:val="0"/>
        <w:autoSpaceDN w:val="0"/>
        <w:adjustRightInd w:val="0"/>
        <w:jc w:val="both"/>
        <w:rPr>
          <w:rFonts w:ascii="Abadi" w:hAnsi="Abadi" w:cs="*Verdana-5965-Identity-H"/>
          <w:color w:val="1C1C1C"/>
          <w:sz w:val="20"/>
          <w:szCs w:val="20"/>
        </w:rPr>
      </w:pPr>
    </w:p>
    <w:p w14:paraId="008F2C7F" w14:textId="77777777" w:rsidR="00A95932" w:rsidRDefault="00A95932" w:rsidP="00A95932">
      <w:pPr>
        <w:autoSpaceDE w:val="0"/>
        <w:autoSpaceDN w:val="0"/>
        <w:adjustRightInd w:val="0"/>
        <w:jc w:val="both"/>
        <w:rPr>
          <w:rFonts w:ascii="Abadi" w:hAnsi="Abadi" w:cs="*Verdana-5965-Identity-H"/>
          <w:color w:val="1B1B1B"/>
          <w:sz w:val="20"/>
          <w:szCs w:val="20"/>
        </w:rPr>
      </w:pPr>
      <w:r w:rsidRPr="00485437">
        <w:rPr>
          <w:rFonts w:ascii="Abadi" w:hAnsi="Abadi" w:cs="*Verdana-5965-Identity-H"/>
          <w:color w:val="1B1B1B"/>
          <w:sz w:val="20"/>
          <w:szCs w:val="20"/>
        </w:rPr>
        <w:t>De esta forma, las iniciativas que pudieran significar un avance para mantener actualizado el</w:t>
      </w:r>
      <w:r>
        <w:rPr>
          <w:rFonts w:ascii="Abadi" w:hAnsi="Abadi" w:cs="*Verdana-5965-Identity-H"/>
          <w:color w:val="1B1B1B"/>
          <w:sz w:val="20"/>
          <w:szCs w:val="20"/>
        </w:rPr>
        <w:t xml:space="preserve"> </w:t>
      </w:r>
      <w:r w:rsidRPr="00485437">
        <w:rPr>
          <w:rFonts w:ascii="Abadi" w:hAnsi="Abadi" w:cs="*Verdana-5965-Identity-H"/>
          <w:color w:val="1B1B1B"/>
          <w:sz w:val="20"/>
          <w:szCs w:val="20"/>
        </w:rPr>
        <w:t>Código de Procedimientos Civiles para el Estado de Guanajuato, han sido dictaminadas en</w:t>
      </w:r>
      <w:r>
        <w:rPr>
          <w:rFonts w:ascii="Abadi" w:hAnsi="Abadi" w:cs="*Verdana-5965-Identity-H"/>
          <w:color w:val="1B1B1B"/>
          <w:sz w:val="20"/>
          <w:szCs w:val="20"/>
        </w:rPr>
        <w:t xml:space="preserve"> </w:t>
      </w:r>
      <w:r w:rsidRPr="00485437">
        <w:rPr>
          <w:rFonts w:ascii="Abadi" w:hAnsi="Abadi" w:cs="*Verdana-5965-Identity-H"/>
          <w:color w:val="1B1B1B"/>
          <w:sz w:val="20"/>
          <w:szCs w:val="20"/>
        </w:rPr>
        <w:t>sentido negativo, a efecto de evitar la expedición de normas inconstitucionales.</w:t>
      </w:r>
    </w:p>
    <w:p w14:paraId="0FAAA7F5" w14:textId="77777777" w:rsidR="00A95932" w:rsidRPr="00485437" w:rsidRDefault="00A95932" w:rsidP="00A95932">
      <w:pPr>
        <w:autoSpaceDE w:val="0"/>
        <w:autoSpaceDN w:val="0"/>
        <w:adjustRightInd w:val="0"/>
        <w:jc w:val="both"/>
        <w:rPr>
          <w:rFonts w:ascii="Abadi" w:hAnsi="Abadi" w:cs="*Verdana-5965-Identity-H"/>
          <w:color w:val="1B1B1B"/>
          <w:sz w:val="20"/>
          <w:szCs w:val="20"/>
        </w:rPr>
      </w:pPr>
    </w:p>
    <w:p w14:paraId="20FA0EBD" w14:textId="77777777" w:rsidR="00A95932" w:rsidRDefault="00A95932" w:rsidP="00A95932">
      <w:pPr>
        <w:autoSpaceDE w:val="0"/>
        <w:autoSpaceDN w:val="0"/>
        <w:adjustRightInd w:val="0"/>
        <w:jc w:val="both"/>
        <w:rPr>
          <w:rFonts w:ascii="Abadi" w:hAnsi="Abadi" w:cs="*Verdana-4356-Identity-H"/>
          <w:color w:val="1B1B1B"/>
          <w:sz w:val="20"/>
          <w:szCs w:val="20"/>
        </w:rPr>
      </w:pPr>
      <w:r w:rsidRPr="00485437">
        <w:rPr>
          <w:rFonts w:ascii="Abadi" w:hAnsi="Abadi" w:cs="*Verdana-5965-Identity-H"/>
          <w:color w:val="1C1C1C"/>
          <w:sz w:val="20"/>
          <w:szCs w:val="20"/>
        </w:rPr>
        <w:t>Se tiene conocimiento del avance en el proceso legislativo en el Congreso de la Unión derivado</w:t>
      </w:r>
      <w:r>
        <w:rPr>
          <w:rFonts w:ascii="Abadi" w:hAnsi="Abadi" w:cs="*Verdana-5965-Identity-H"/>
          <w:color w:val="1C1C1C"/>
          <w:sz w:val="20"/>
          <w:szCs w:val="20"/>
        </w:rPr>
        <w:t xml:space="preserve"> </w:t>
      </w:r>
      <w:r w:rsidRPr="00485437">
        <w:rPr>
          <w:rFonts w:ascii="Abadi" w:hAnsi="Abadi" w:cs="*Verdana-5965-Identity-H"/>
          <w:color w:val="1C1C1C"/>
          <w:sz w:val="20"/>
          <w:szCs w:val="20"/>
        </w:rPr>
        <w:t>de iniciativas presentadas para expedir la legislación única en materia procesal civil y familiar,</w:t>
      </w:r>
      <w:r>
        <w:rPr>
          <w:rFonts w:ascii="Abadi" w:hAnsi="Abadi" w:cs="*Verdana-5965-Identity-H"/>
          <w:color w:val="1C1C1C"/>
          <w:sz w:val="20"/>
          <w:szCs w:val="20"/>
        </w:rPr>
        <w:t xml:space="preserve"> </w:t>
      </w:r>
      <w:r w:rsidRPr="00485437">
        <w:rPr>
          <w:rFonts w:ascii="Abadi" w:hAnsi="Abadi" w:cs="*Verdana-5965-Identity-H"/>
          <w:color w:val="1C1C1C"/>
          <w:sz w:val="20"/>
          <w:szCs w:val="20"/>
        </w:rPr>
        <w:t>por lo que nos permitimos emitir un atento y respetuoso exhorto para que se expida dicha</w:t>
      </w:r>
      <w:r>
        <w:rPr>
          <w:rFonts w:ascii="Abadi" w:hAnsi="Abadi" w:cs="*Verdana-5965-Identity-H"/>
          <w:color w:val="1C1C1C"/>
          <w:sz w:val="20"/>
          <w:szCs w:val="20"/>
        </w:rPr>
        <w:t xml:space="preserve"> </w:t>
      </w:r>
      <w:r w:rsidRPr="00485437">
        <w:rPr>
          <w:rFonts w:ascii="Abadi" w:hAnsi="Abadi" w:cs="*Verdana-4356-Identity-H"/>
          <w:color w:val="1B1B1B"/>
          <w:sz w:val="20"/>
          <w:szCs w:val="20"/>
        </w:rPr>
        <w:t>legislación, en virtud de que ya feneció el plazo de 180 días previsto en el artículo cuarto</w:t>
      </w:r>
      <w:r>
        <w:rPr>
          <w:rFonts w:ascii="Abadi" w:hAnsi="Abadi" w:cs="*Verdana-4356-Identity-H"/>
          <w:color w:val="1B1B1B"/>
          <w:sz w:val="20"/>
          <w:szCs w:val="20"/>
        </w:rPr>
        <w:t xml:space="preserve"> </w:t>
      </w:r>
      <w:r w:rsidRPr="00485437">
        <w:rPr>
          <w:rFonts w:ascii="Abadi" w:hAnsi="Abadi" w:cs="*Verdana-4356-Identity-H"/>
          <w:color w:val="1B1B1B"/>
          <w:sz w:val="20"/>
          <w:szCs w:val="20"/>
        </w:rPr>
        <w:t>transitorio enunciado con anterioridad. Debido a ello, acordamos formular la presente</w:t>
      </w:r>
      <w:r>
        <w:rPr>
          <w:rFonts w:ascii="Abadi" w:hAnsi="Abadi" w:cs="*Verdana-4356-Identity-H"/>
          <w:color w:val="1B1B1B"/>
          <w:sz w:val="20"/>
          <w:szCs w:val="20"/>
        </w:rPr>
        <w:t xml:space="preserve"> </w:t>
      </w:r>
      <w:r w:rsidRPr="00485437">
        <w:rPr>
          <w:rFonts w:ascii="Abadi" w:hAnsi="Abadi" w:cs="*Verdana-4356-Identity-H"/>
          <w:color w:val="1B1B1B"/>
          <w:sz w:val="20"/>
          <w:szCs w:val="20"/>
        </w:rPr>
        <w:t>propuesta de punto de acuerdo, con trámite de obvia resolución, en los términos del artículo</w:t>
      </w:r>
      <w:r>
        <w:rPr>
          <w:rFonts w:ascii="Abadi" w:hAnsi="Abadi" w:cs="*Verdana-4356-Identity-H"/>
          <w:color w:val="1B1B1B"/>
          <w:sz w:val="20"/>
          <w:szCs w:val="20"/>
        </w:rPr>
        <w:t xml:space="preserve"> </w:t>
      </w:r>
      <w:r w:rsidRPr="00485437">
        <w:rPr>
          <w:rFonts w:ascii="Abadi" w:hAnsi="Abadi" w:cs="*Verdana-4356-Identity-H"/>
          <w:color w:val="1B1B1B"/>
          <w:sz w:val="20"/>
          <w:szCs w:val="20"/>
        </w:rPr>
        <w:t>177 de la Ley Orgánica del Poder legislativo del Estado.</w:t>
      </w:r>
    </w:p>
    <w:p w14:paraId="3414387F" w14:textId="77777777" w:rsidR="00A95932" w:rsidRPr="00485437" w:rsidRDefault="00A95932" w:rsidP="00A95932">
      <w:pPr>
        <w:autoSpaceDE w:val="0"/>
        <w:autoSpaceDN w:val="0"/>
        <w:adjustRightInd w:val="0"/>
        <w:jc w:val="both"/>
        <w:rPr>
          <w:rFonts w:ascii="Abadi" w:hAnsi="Abadi" w:cs="*Verdana-4356-Identity-H"/>
          <w:color w:val="1B1B1B"/>
          <w:sz w:val="20"/>
          <w:szCs w:val="20"/>
        </w:rPr>
      </w:pPr>
    </w:p>
    <w:p w14:paraId="06C83B71" w14:textId="77777777" w:rsidR="00A95932" w:rsidRPr="00485437" w:rsidRDefault="00A95932" w:rsidP="00A95932">
      <w:pPr>
        <w:autoSpaceDE w:val="0"/>
        <w:autoSpaceDN w:val="0"/>
        <w:adjustRightInd w:val="0"/>
        <w:jc w:val="both"/>
        <w:rPr>
          <w:rFonts w:ascii="Abadi" w:hAnsi="Abadi" w:cs="*Verdana-4356-Identity-H"/>
          <w:color w:val="1B1B1B"/>
          <w:sz w:val="20"/>
          <w:szCs w:val="20"/>
        </w:rPr>
      </w:pPr>
      <w:r w:rsidRPr="00485437">
        <w:rPr>
          <w:rFonts w:ascii="Abadi" w:hAnsi="Abadi" w:cs="*Verdana-4356-Identity-H"/>
          <w:color w:val="1B1B1B"/>
          <w:sz w:val="20"/>
          <w:szCs w:val="20"/>
        </w:rPr>
        <w:t>Por lo anteriormente expuesto, sometemos a la consideración de la asamblea, la siguiente</w:t>
      </w:r>
      <w:r>
        <w:rPr>
          <w:rFonts w:ascii="Abadi" w:hAnsi="Abadi" w:cs="*Verdana-4356-Identity-H"/>
          <w:color w:val="1B1B1B"/>
          <w:sz w:val="20"/>
          <w:szCs w:val="20"/>
        </w:rPr>
        <w:t xml:space="preserve"> </w:t>
      </w:r>
      <w:r w:rsidRPr="00485437">
        <w:rPr>
          <w:rFonts w:ascii="Abadi" w:hAnsi="Abadi" w:cs="*Verdana-4356-Identity-H"/>
          <w:color w:val="1B1B1B"/>
          <w:sz w:val="20"/>
          <w:szCs w:val="20"/>
        </w:rPr>
        <w:t>propuesta de:</w:t>
      </w:r>
    </w:p>
    <w:p w14:paraId="4A9D0AF8" w14:textId="77777777" w:rsidR="00A95932" w:rsidRDefault="00A95932" w:rsidP="00A95932">
      <w:pPr>
        <w:autoSpaceDE w:val="0"/>
        <w:autoSpaceDN w:val="0"/>
        <w:adjustRightInd w:val="0"/>
        <w:jc w:val="center"/>
        <w:rPr>
          <w:rFonts w:ascii="Abadi" w:hAnsi="Abadi" w:cs="*Verdana-Bold-4355-Identity-H"/>
          <w:b/>
          <w:bCs/>
          <w:color w:val="151515"/>
          <w:sz w:val="19"/>
          <w:szCs w:val="19"/>
        </w:rPr>
      </w:pPr>
    </w:p>
    <w:p w14:paraId="05BAB509" w14:textId="77777777" w:rsidR="00A95932" w:rsidRDefault="00A95932" w:rsidP="00A95932">
      <w:pPr>
        <w:autoSpaceDE w:val="0"/>
        <w:autoSpaceDN w:val="0"/>
        <w:adjustRightInd w:val="0"/>
        <w:jc w:val="center"/>
        <w:rPr>
          <w:rFonts w:ascii="Abadi" w:hAnsi="Abadi" w:cs="*Verdana-Bold-4355-Identity-H"/>
          <w:b/>
          <w:bCs/>
          <w:color w:val="151515"/>
          <w:sz w:val="19"/>
          <w:szCs w:val="19"/>
        </w:rPr>
      </w:pPr>
      <w:r w:rsidRPr="00485437">
        <w:rPr>
          <w:rFonts w:ascii="Abadi" w:hAnsi="Abadi" w:cs="*Verdana-Bold-4355-Identity-H"/>
          <w:b/>
          <w:bCs/>
          <w:color w:val="151515"/>
          <w:sz w:val="19"/>
          <w:szCs w:val="19"/>
        </w:rPr>
        <w:t>ACUERDO</w:t>
      </w:r>
    </w:p>
    <w:p w14:paraId="66BFC979" w14:textId="77777777" w:rsidR="00A95932" w:rsidRPr="00485437" w:rsidRDefault="00A95932" w:rsidP="00A95932">
      <w:pPr>
        <w:autoSpaceDE w:val="0"/>
        <w:autoSpaceDN w:val="0"/>
        <w:adjustRightInd w:val="0"/>
        <w:jc w:val="both"/>
        <w:rPr>
          <w:rFonts w:ascii="Abadi" w:hAnsi="Abadi" w:cs="*Verdana-Bold-4355-Identity-H"/>
          <w:b/>
          <w:bCs/>
          <w:color w:val="151515"/>
          <w:sz w:val="19"/>
          <w:szCs w:val="19"/>
        </w:rPr>
      </w:pPr>
    </w:p>
    <w:p w14:paraId="66A1116E" w14:textId="77777777" w:rsidR="00A95932" w:rsidRPr="00485437" w:rsidRDefault="00A95932" w:rsidP="00A95932">
      <w:pPr>
        <w:autoSpaceDE w:val="0"/>
        <w:autoSpaceDN w:val="0"/>
        <w:adjustRightInd w:val="0"/>
        <w:jc w:val="both"/>
        <w:rPr>
          <w:rFonts w:ascii="Abadi" w:hAnsi="Abadi" w:cs="*Verdana-4356-Identity-H"/>
          <w:color w:val="1B1B1B"/>
          <w:sz w:val="20"/>
          <w:szCs w:val="20"/>
        </w:rPr>
      </w:pPr>
      <w:r w:rsidRPr="00485437">
        <w:rPr>
          <w:rFonts w:ascii="Abadi" w:hAnsi="Abadi" w:cs="*Verdana-Bold-4355-Identity-H"/>
          <w:b/>
          <w:bCs/>
          <w:color w:val="1B1B1B"/>
          <w:sz w:val="19"/>
          <w:szCs w:val="19"/>
        </w:rPr>
        <w:t xml:space="preserve">ÚNICO. </w:t>
      </w:r>
      <w:r w:rsidRPr="00485437">
        <w:rPr>
          <w:rFonts w:ascii="Abadi" w:hAnsi="Abadi" w:cs="*Verdana-4356-Identity-H"/>
          <w:color w:val="1B1B1B"/>
          <w:sz w:val="20"/>
          <w:szCs w:val="20"/>
        </w:rPr>
        <w:t>La Sexagésima Quinta Legislatura del Congreso del Estado de Guanajuato emite un</w:t>
      </w:r>
      <w:r>
        <w:rPr>
          <w:rFonts w:ascii="Abadi" w:hAnsi="Abadi" w:cs="*Verdana-4356-Identity-H"/>
          <w:color w:val="1B1B1B"/>
          <w:sz w:val="20"/>
          <w:szCs w:val="20"/>
        </w:rPr>
        <w:t xml:space="preserve"> </w:t>
      </w:r>
      <w:r w:rsidRPr="00485437">
        <w:rPr>
          <w:rFonts w:ascii="Abadi" w:hAnsi="Abadi" w:cs="*Verdana-4356-Identity-H"/>
          <w:color w:val="1B1B1B"/>
          <w:sz w:val="20"/>
          <w:szCs w:val="20"/>
        </w:rPr>
        <w:t>atento y respetuoso exhorto al Congreso de la Unión para que en los términos del artículo 73,</w:t>
      </w:r>
      <w:r>
        <w:rPr>
          <w:rFonts w:ascii="Abadi" w:hAnsi="Abadi" w:cs="*Verdana-4356-Identity-H"/>
          <w:color w:val="1B1B1B"/>
          <w:sz w:val="20"/>
          <w:szCs w:val="20"/>
        </w:rPr>
        <w:t xml:space="preserve"> </w:t>
      </w:r>
      <w:r w:rsidRPr="00485437">
        <w:rPr>
          <w:rFonts w:ascii="Abadi" w:hAnsi="Abadi" w:cs="*Verdana-4356-Identity-H"/>
          <w:color w:val="1B1B1B"/>
          <w:sz w:val="20"/>
          <w:szCs w:val="20"/>
        </w:rPr>
        <w:t>fracción XXX de la Constitución Política de los Estados Unidos Mexicanos se expida la legislación</w:t>
      </w:r>
      <w:r>
        <w:rPr>
          <w:rFonts w:ascii="Abadi" w:hAnsi="Abadi" w:cs="*Verdana-4356-Identity-H"/>
          <w:color w:val="1B1B1B"/>
          <w:sz w:val="20"/>
          <w:szCs w:val="20"/>
        </w:rPr>
        <w:t xml:space="preserve"> </w:t>
      </w:r>
      <w:r w:rsidRPr="00485437">
        <w:rPr>
          <w:rFonts w:ascii="Abadi" w:hAnsi="Abadi" w:cs="*Verdana-4356-Identity-H"/>
          <w:color w:val="1B1B1B"/>
          <w:sz w:val="20"/>
          <w:szCs w:val="20"/>
        </w:rPr>
        <w:t>única en materia procesal civil y familiar.</w:t>
      </w:r>
    </w:p>
    <w:p w14:paraId="4C268712" w14:textId="77777777" w:rsidR="00A95932" w:rsidRPr="00485437" w:rsidRDefault="00A95932" w:rsidP="00A95932">
      <w:pPr>
        <w:autoSpaceDE w:val="0"/>
        <w:autoSpaceDN w:val="0"/>
        <w:adjustRightInd w:val="0"/>
        <w:jc w:val="center"/>
        <w:rPr>
          <w:rFonts w:ascii="Abadi" w:hAnsi="Abadi" w:cs="*Verdana-Bold-4355-Identity-H"/>
          <w:b/>
          <w:bCs/>
          <w:color w:val="141414"/>
          <w:sz w:val="19"/>
          <w:szCs w:val="19"/>
        </w:rPr>
      </w:pPr>
    </w:p>
    <w:p w14:paraId="7D189CC5" w14:textId="77777777" w:rsidR="00A95932" w:rsidRDefault="00A95932" w:rsidP="00A95932">
      <w:pPr>
        <w:autoSpaceDE w:val="0"/>
        <w:autoSpaceDN w:val="0"/>
        <w:adjustRightInd w:val="0"/>
        <w:jc w:val="center"/>
        <w:rPr>
          <w:rFonts w:ascii="Abadi" w:hAnsi="Abadi" w:cs="*Verdana-Bold-4355-Identity-H"/>
          <w:b/>
          <w:bCs/>
          <w:color w:val="141414"/>
          <w:sz w:val="19"/>
          <w:szCs w:val="19"/>
        </w:rPr>
      </w:pPr>
    </w:p>
    <w:p w14:paraId="34432C9A" w14:textId="77777777" w:rsidR="00A95932" w:rsidRPr="00485437" w:rsidRDefault="00A95932" w:rsidP="00A95932">
      <w:pPr>
        <w:autoSpaceDE w:val="0"/>
        <w:autoSpaceDN w:val="0"/>
        <w:adjustRightInd w:val="0"/>
        <w:jc w:val="center"/>
        <w:rPr>
          <w:rFonts w:ascii="Abadi" w:hAnsi="Abadi" w:cs="*Verdana-Bold-4355-Identity-H"/>
          <w:b/>
          <w:bCs/>
          <w:color w:val="141414"/>
          <w:sz w:val="19"/>
          <w:szCs w:val="19"/>
        </w:rPr>
      </w:pPr>
      <w:r w:rsidRPr="00485437">
        <w:rPr>
          <w:rFonts w:ascii="Abadi" w:hAnsi="Abadi" w:cs="*Verdana-Bold-4355-Identity-H"/>
          <w:b/>
          <w:bCs/>
          <w:color w:val="141414"/>
          <w:sz w:val="19"/>
          <w:szCs w:val="19"/>
        </w:rPr>
        <w:t>ATENTAMENTE</w:t>
      </w:r>
    </w:p>
    <w:p w14:paraId="1012CD51" w14:textId="77777777" w:rsidR="00A95932" w:rsidRDefault="00A95932" w:rsidP="00A95932">
      <w:pPr>
        <w:autoSpaceDE w:val="0"/>
        <w:autoSpaceDN w:val="0"/>
        <w:adjustRightInd w:val="0"/>
        <w:jc w:val="center"/>
        <w:rPr>
          <w:rFonts w:ascii="Abadi" w:hAnsi="Abadi" w:cs="*Verdana-Bold-4355-Identity-H"/>
          <w:b/>
          <w:bCs/>
          <w:color w:val="131313"/>
          <w:sz w:val="19"/>
          <w:szCs w:val="19"/>
        </w:rPr>
      </w:pPr>
    </w:p>
    <w:p w14:paraId="3C5B46D6" w14:textId="77777777" w:rsidR="00A95932" w:rsidRDefault="00A95932" w:rsidP="00A95932">
      <w:pPr>
        <w:autoSpaceDE w:val="0"/>
        <w:autoSpaceDN w:val="0"/>
        <w:adjustRightInd w:val="0"/>
        <w:jc w:val="center"/>
        <w:rPr>
          <w:rFonts w:ascii="Abadi" w:hAnsi="Abadi" w:cs="*Verdana-Bold-4355-Identity-H"/>
          <w:b/>
          <w:bCs/>
          <w:color w:val="131313"/>
          <w:sz w:val="19"/>
          <w:szCs w:val="19"/>
        </w:rPr>
      </w:pPr>
      <w:r w:rsidRPr="00485437">
        <w:rPr>
          <w:rFonts w:ascii="Abadi" w:hAnsi="Abadi" w:cs="*Verdana-Bold-4355-Identity-H"/>
          <w:b/>
          <w:bCs/>
          <w:color w:val="131313"/>
          <w:sz w:val="19"/>
          <w:szCs w:val="19"/>
        </w:rPr>
        <w:t>Guanajuato, Gto., 21 de junio de 2022</w:t>
      </w:r>
    </w:p>
    <w:p w14:paraId="14B9523E" w14:textId="77777777" w:rsidR="00A95932" w:rsidRPr="00485437" w:rsidRDefault="00A95932" w:rsidP="00A95932">
      <w:pPr>
        <w:autoSpaceDE w:val="0"/>
        <w:autoSpaceDN w:val="0"/>
        <w:adjustRightInd w:val="0"/>
        <w:jc w:val="center"/>
        <w:rPr>
          <w:rFonts w:ascii="Abadi" w:hAnsi="Abadi" w:cs="*Verdana-Bold-4355-Identity-H"/>
          <w:b/>
          <w:bCs/>
          <w:color w:val="131313"/>
          <w:sz w:val="19"/>
          <w:szCs w:val="19"/>
        </w:rPr>
      </w:pPr>
    </w:p>
    <w:p w14:paraId="2494C77A" w14:textId="77777777" w:rsidR="00A95932" w:rsidRPr="00485437" w:rsidRDefault="00A95932" w:rsidP="00A95932">
      <w:pPr>
        <w:autoSpaceDE w:val="0"/>
        <w:autoSpaceDN w:val="0"/>
        <w:adjustRightInd w:val="0"/>
        <w:jc w:val="center"/>
        <w:rPr>
          <w:rFonts w:ascii="Abadi" w:hAnsi="Abadi" w:cs="*Verdana-Bold-4355-Identity-H"/>
          <w:b/>
          <w:bCs/>
          <w:color w:val="131313"/>
          <w:sz w:val="19"/>
          <w:szCs w:val="19"/>
        </w:rPr>
      </w:pPr>
      <w:r w:rsidRPr="00485437">
        <w:rPr>
          <w:rFonts w:ascii="Abadi" w:hAnsi="Abadi" w:cs="*Verdana-Bold-4355-Identity-H"/>
          <w:b/>
          <w:bCs/>
          <w:color w:val="131313"/>
          <w:sz w:val="19"/>
          <w:szCs w:val="19"/>
        </w:rPr>
        <w:t>Las diputadas y los diputados integrantes de</w:t>
      </w:r>
    </w:p>
    <w:p w14:paraId="7AB55A93" w14:textId="77777777" w:rsidR="00A95932" w:rsidRPr="00485437" w:rsidRDefault="00A95932" w:rsidP="00A95932">
      <w:pPr>
        <w:autoSpaceDE w:val="0"/>
        <w:autoSpaceDN w:val="0"/>
        <w:adjustRightInd w:val="0"/>
        <w:jc w:val="center"/>
        <w:rPr>
          <w:rFonts w:ascii="Abadi" w:hAnsi="Abadi" w:cs="*Verdana-Bold-4355-Identity-H"/>
          <w:b/>
          <w:bCs/>
          <w:color w:val="131313"/>
          <w:sz w:val="19"/>
          <w:szCs w:val="19"/>
        </w:rPr>
      </w:pPr>
      <w:r w:rsidRPr="00485437">
        <w:rPr>
          <w:rFonts w:ascii="Abadi" w:hAnsi="Abadi" w:cs="*Verdana-Bold-4355-Identity-H"/>
          <w:b/>
          <w:bCs/>
          <w:color w:val="131313"/>
          <w:sz w:val="19"/>
          <w:szCs w:val="19"/>
        </w:rPr>
        <w:t>la Comisión de Justicia</w:t>
      </w:r>
    </w:p>
    <w:p w14:paraId="1A60AFA4" w14:textId="77777777" w:rsidR="00A95932" w:rsidRDefault="00A95932" w:rsidP="00A95932">
      <w:pPr>
        <w:autoSpaceDE w:val="0"/>
        <w:autoSpaceDN w:val="0"/>
        <w:adjustRightInd w:val="0"/>
        <w:jc w:val="both"/>
        <w:rPr>
          <w:rFonts w:ascii="Abadi" w:hAnsi="Abadi" w:cs="*Verdana-Bold-4355-Identity-H"/>
          <w:b/>
          <w:bCs/>
          <w:color w:val="131313"/>
          <w:sz w:val="19"/>
          <w:szCs w:val="19"/>
        </w:rPr>
      </w:pPr>
    </w:p>
    <w:p w14:paraId="0A3EF256" w14:textId="77777777" w:rsidR="00A95932" w:rsidRPr="00485437" w:rsidRDefault="00A95932" w:rsidP="00A95932">
      <w:pPr>
        <w:autoSpaceDE w:val="0"/>
        <w:autoSpaceDN w:val="0"/>
        <w:adjustRightInd w:val="0"/>
        <w:jc w:val="both"/>
        <w:rPr>
          <w:rFonts w:ascii="Abadi" w:hAnsi="Abadi" w:cs="*Verdana-Bold-4355-Identity-H"/>
          <w:b/>
          <w:bCs/>
          <w:color w:val="131313"/>
          <w:sz w:val="19"/>
          <w:szCs w:val="19"/>
        </w:rPr>
      </w:pPr>
    </w:p>
    <w:p w14:paraId="2BE372DC" w14:textId="77777777" w:rsidR="00A95932" w:rsidRPr="00485437" w:rsidRDefault="00A95932" w:rsidP="00A95932">
      <w:pPr>
        <w:autoSpaceDE w:val="0"/>
        <w:autoSpaceDN w:val="0"/>
        <w:adjustRightInd w:val="0"/>
        <w:jc w:val="both"/>
        <w:rPr>
          <w:rFonts w:ascii="Abadi" w:hAnsi="Abadi" w:cs="*Verdana-Bold-4355-Identity-H"/>
          <w:b/>
          <w:bCs/>
          <w:color w:val="131313"/>
          <w:sz w:val="19"/>
          <w:szCs w:val="19"/>
        </w:rPr>
      </w:pPr>
      <w:r w:rsidRPr="00485437">
        <w:rPr>
          <w:rFonts w:ascii="Abadi" w:hAnsi="Abadi" w:cs="*Verdana-Bold-4355-Identity-H"/>
          <w:b/>
          <w:bCs/>
          <w:color w:val="131313"/>
          <w:sz w:val="19"/>
          <w:szCs w:val="19"/>
        </w:rPr>
        <w:t>Laura Cristina Márquez Alcalá</w:t>
      </w:r>
    </w:p>
    <w:p w14:paraId="4FBA1C71" w14:textId="77777777" w:rsidR="00A95932" w:rsidRPr="00485437" w:rsidRDefault="00A95932" w:rsidP="00A95932">
      <w:pPr>
        <w:autoSpaceDE w:val="0"/>
        <w:autoSpaceDN w:val="0"/>
        <w:adjustRightInd w:val="0"/>
        <w:jc w:val="both"/>
        <w:rPr>
          <w:rFonts w:ascii="Abadi" w:hAnsi="Abadi" w:cs="*Verdana-Bold-4355-Identity-H"/>
          <w:b/>
          <w:bCs/>
          <w:color w:val="131313"/>
          <w:sz w:val="19"/>
          <w:szCs w:val="19"/>
        </w:rPr>
      </w:pPr>
      <w:r w:rsidRPr="00485437">
        <w:rPr>
          <w:rFonts w:ascii="Abadi" w:hAnsi="Abadi" w:cs="*Verdana-Bold-4355-Identity-H"/>
          <w:b/>
          <w:bCs/>
          <w:color w:val="131313"/>
          <w:sz w:val="19"/>
          <w:szCs w:val="19"/>
        </w:rPr>
        <w:t xml:space="preserve">Diputada </w:t>
      </w:r>
      <w:r>
        <w:rPr>
          <w:rFonts w:ascii="Abadi" w:hAnsi="Abadi" w:cs="*Verdana-Bold-4355-Identity-H"/>
          <w:b/>
          <w:bCs/>
          <w:color w:val="131313"/>
          <w:sz w:val="19"/>
          <w:szCs w:val="19"/>
        </w:rPr>
        <w:t>P</w:t>
      </w:r>
      <w:r w:rsidRPr="00485437">
        <w:rPr>
          <w:rFonts w:ascii="Abadi" w:hAnsi="Abadi" w:cs="*Verdana-Bold-4355-Identity-H"/>
          <w:b/>
          <w:bCs/>
          <w:color w:val="131313"/>
          <w:sz w:val="19"/>
          <w:szCs w:val="19"/>
        </w:rPr>
        <w:t>residenta</w:t>
      </w:r>
    </w:p>
    <w:p w14:paraId="31E1EF92" w14:textId="77777777" w:rsidR="00A95932" w:rsidRPr="00485437" w:rsidRDefault="00A95932" w:rsidP="00A95932">
      <w:pPr>
        <w:autoSpaceDE w:val="0"/>
        <w:autoSpaceDN w:val="0"/>
        <w:adjustRightInd w:val="0"/>
        <w:jc w:val="both"/>
        <w:rPr>
          <w:rFonts w:ascii="Abadi" w:hAnsi="Abadi" w:cs="*Verdana-Bold-4355-Identity-H"/>
          <w:b/>
          <w:bCs/>
          <w:color w:val="131313"/>
          <w:sz w:val="19"/>
          <w:szCs w:val="19"/>
        </w:rPr>
      </w:pPr>
    </w:p>
    <w:p w14:paraId="43B089AF" w14:textId="77777777" w:rsidR="00A95932" w:rsidRPr="00485437" w:rsidRDefault="00A95932" w:rsidP="00A95932">
      <w:pPr>
        <w:autoSpaceDE w:val="0"/>
        <w:autoSpaceDN w:val="0"/>
        <w:adjustRightInd w:val="0"/>
        <w:jc w:val="both"/>
        <w:rPr>
          <w:rFonts w:ascii="Abadi" w:hAnsi="Abadi" w:cs="*Verdana-Bold-4355-Identity-H"/>
          <w:b/>
          <w:bCs/>
          <w:color w:val="131313"/>
          <w:sz w:val="19"/>
          <w:szCs w:val="19"/>
        </w:rPr>
      </w:pPr>
      <w:r w:rsidRPr="00485437">
        <w:rPr>
          <w:rFonts w:ascii="Abadi" w:hAnsi="Abadi" w:cs="*Verdana-Bold-4355-Identity-H"/>
          <w:b/>
          <w:bCs/>
          <w:color w:val="131313"/>
          <w:sz w:val="19"/>
          <w:szCs w:val="19"/>
        </w:rPr>
        <w:t>Susana Bermudez Cano</w:t>
      </w:r>
    </w:p>
    <w:p w14:paraId="669EC9A6" w14:textId="77777777" w:rsidR="00A95932" w:rsidRPr="00485437" w:rsidRDefault="00A95932" w:rsidP="00A95932">
      <w:pPr>
        <w:autoSpaceDE w:val="0"/>
        <w:autoSpaceDN w:val="0"/>
        <w:adjustRightInd w:val="0"/>
        <w:jc w:val="both"/>
        <w:rPr>
          <w:rFonts w:ascii="Abadi" w:hAnsi="Abadi" w:cs="*Verdana-Bold-4355-Identity-H"/>
          <w:b/>
          <w:bCs/>
          <w:color w:val="131313"/>
          <w:sz w:val="19"/>
          <w:szCs w:val="19"/>
        </w:rPr>
      </w:pPr>
      <w:r w:rsidRPr="00485437">
        <w:rPr>
          <w:rFonts w:ascii="Abadi" w:hAnsi="Abadi" w:cs="*Verdana-Bold-4355-Identity-H"/>
          <w:b/>
          <w:bCs/>
          <w:color w:val="131313"/>
          <w:sz w:val="19"/>
          <w:szCs w:val="19"/>
        </w:rPr>
        <w:t>Diputada Vocal</w:t>
      </w:r>
    </w:p>
    <w:p w14:paraId="74AAE5A7" w14:textId="77777777" w:rsidR="00A95932" w:rsidRPr="00485437" w:rsidRDefault="00A95932" w:rsidP="00A95932">
      <w:pPr>
        <w:autoSpaceDE w:val="0"/>
        <w:autoSpaceDN w:val="0"/>
        <w:adjustRightInd w:val="0"/>
        <w:jc w:val="both"/>
        <w:rPr>
          <w:rFonts w:ascii="Abadi" w:hAnsi="Abadi" w:cs="*Verdana-Bold-4355-Identity-H"/>
          <w:b/>
          <w:bCs/>
          <w:color w:val="131313"/>
          <w:sz w:val="19"/>
          <w:szCs w:val="19"/>
        </w:rPr>
      </w:pPr>
    </w:p>
    <w:p w14:paraId="5B393DA3" w14:textId="77777777" w:rsidR="00A95932" w:rsidRPr="00485437" w:rsidRDefault="00A95932" w:rsidP="00A95932">
      <w:pPr>
        <w:autoSpaceDE w:val="0"/>
        <w:autoSpaceDN w:val="0"/>
        <w:adjustRightInd w:val="0"/>
        <w:jc w:val="both"/>
        <w:rPr>
          <w:rFonts w:ascii="Abadi" w:hAnsi="Abadi" w:cs="*Verdana-Bold-4355-Identity-H"/>
          <w:b/>
          <w:bCs/>
          <w:color w:val="131313"/>
          <w:sz w:val="19"/>
          <w:szCs w:val="19"/>
        </w:rPr>
      </w:pPr>
      <w:r w:rsidRPr="00485437">
        <w:rPr>
          <w:rFonts w:ascii="Abadi" w:hAnsi="Abadi" w:cs="*Verdana-Bold-4355-Identity-H"/>
          <w:b/>
          <w:bCs/>
          <w:color w:val="131313"/>
          <w:sz w:val="19"/>
          <w:szCs w:val="19"/>
        </w:rPr>
        <w:t xml:space="preserve">Bricio Balderas Álvarez </w:t>
      </w:r>
    </w:p>
    <w:p w14:paraId="3DFE8DBA" w14:textId="77777777" w:rsidR="00A95932" w:rsidRPr="00485437" w:rsidRDefault="00A95932" w:rsidP="00A95932">
      <w:pPr>
        <w:autoSpaceDE w:val="0"/>
        <w:autoSpaceDN w:val="0"/>
        <w:adjustRightInd w:val="0"/>
        <w:jc w:val="both"/>
        <w:rPr>
          <w:rFonts w:ascii="Abadi" w:hAnsi="Abadi" w:cs="*Verdana-Bold-4355-Identity-H"/>
          <w:b/>
          <w:bCs/>
          <w:color w:val="131313"/>
          <w:sz w:val="19"/>
          <w:szCs w:val="19"/>
        </w:rPr>
      </w:pPr>
      <w:r w:rsidRPr="00485437">
        <w:rPr>
          <w:rFonts w:ascii="Abadi" w:hAnsi="Abadi" w:cs="*Verdana-Bold-4355-Identity-H"/>
          <w:b/>
          <w:bCs/>
          <w:color w:val="131313"/>
          <w:sz w:val="19"/>
          <w:szCs w:val="19"/>
        </w:rPr>
        <w:t>Diputado vocal</w:t>
      </w:r>
    </w:p>
    <w:p w14:paraId="698FE78B" w14:textId="77777777" w:rsidR="00A95932" w:rsidRPr="00485437" w:rsidRDefault="00A95932" w:rsidP="00A95932">
      <w:pPr>
        <w:autoSpaceDE w:val="0"/>
        <w:autoSpaceDN w:val="0"/>
        <w:adjustRightInd w:val="0"/>
        <w:jc w:val="both"/>
        <w:rPr>
          <w:rFonts w:ascii="Abadi" w:hAnsi="Abadi" w:cs="*Verdana-Bold-4355-Identity-H"/>
          <w:b/>
          <w:bCs/>
          <w:color w:val="131313"/>
          <w:sz w:val="19"/>
          <w:szCs w:val="19"/>
        </w:rPr>
      </w:pPr>
    </w:p>
    <w:p w14:paraId="50B2AA91" w14:textId="77777777" w:rsidR="00A95932" w:rsidRPr="00485437" w:rsidRDefault="00A95932" w:rsidP="00A95932">
      <w:pPr>
        <w:autoSpaceDE w:val="0"/>
        <w:autoSpaceDN w:val="0"/>
        <w:adjustRightInd w:val="0"/>
        <w:jc w:val="both"/>
        <w:rPr>
          <w:rFonts w:ascii="Abadi" w:hAnsi="Abadi" w:cs="*Verdana-Bold-4355-Identity-H"/>
          <w:b/>
          <w:bCs/>
          <w:color w:val="131313"/>
          <w:sz w:val="19"/>
          <w:szCs w:val="19"/>
        </w:rPr>
      </w:pPr>
      <w:r w:rsidRPr="00485437">
        <w:rPr>
          <w:rFonts w:ascii="Abadi" w:hAnsi="Abadi" w:cs="*Verdana-Bold-4355-Identity-H"/>
          <w:b/>
          <w:bCs/>
          <w:color w:val="131313"/>
          <w:sz w:val="19"/>
          <w:szCs w:val="19"/>
        </w:rPr>
        <w:t>Gustavo Adolfo Alfaro Reyes</w:t>
      </w:r>
    </w:p>
    <w:p w14:paraId="71466C2B" w14:textId="77777777" w:rsidR="00A95932" w:rsidRPr="00485437" w:rsidRDefault="00A95932" w:rsidP="00A95932">
      <w:pPr>
        <w:autoSpaceDE w:val="0"/>
        <w:autoSpaceDN w:val="0"/>
        <w:adjustRightInd w:val="0"/>
        <w:jc w:val="both"/>
        <w:rPr>
          <w:rFonts w:ascii="Abadi" w:hAnsi="Abadi" w:cs="*Verdana-Bold-4355-Identity-H"/>
          <w:b/>
          <w:bCs/>
          <w:color w:val="131313"/>
          <w:sz w:val="19"/>
          <w:szCs w:val="19"/>
        </w:rPr>
      </w:pPr>
      <w:r w:rsidRPr="00485437">
        <w:rPr>
          <w:rFonts w:ascii="Abadi" w:hAnsi="Abadi" w:cs="*Verdana-Bold-4355-Identity-H"/>
          <w:b/>
          <w:bCs/>
          <w:color w:val="131313"/>
          <w:sz w:val="19"/>
          <w:szCs w:val="19"/>
        </w:rPr>
        <w:t>Diputado vocal</w:t>
      </w:r>
    </w:p>
    <w:p w14:paraId="35B09240" w14:textId="77777777" w:rsidR="00A95932" w:rsidRPr="00485437" w:rsidRDefault="00A95932" w:rsidP="00A95932">
      <w:pPr>
        <w:autoSpaceDE w:val="0"/>
        <w:autoSpaceDN w:val="0"/>
        <w:adjustRightInd w:val="0"/>
        <w:jc w:val="both"/>
        <w:rPr>
          <w:rFonts w:ascii="Abadi" w:hAnsi="Abadi" w:cs="*Verdana-Bold-4355-Identity-H"/>
          <w:b/>
          <w:bCs/>
          <w:color w:val="131313"/>
          <w:sz w:val="19"/>
          <w:szCs w:val="19"/>
        </w:rPr>
      </w:pPr>
    </w:p>
    <w:p w14:paraId="51E778FE" w14:textId="77777777" w:rsidR="00A95932" w:rsidRPr="00485437" w:rsidRDefault="00A95932" w:rsidP="00A95932">
      <w:pPr>
        <w:autoSpaceDE w:val="0"/>
        <w:autoSpaceDN w:val="0"/>
        <w:adjustRightInd w:val="0"/>
        <w:jc w:val="both"/>
        <w:rPr>
          <w:rFonts w:ascii="Abadi" w:hAnsi="Abadi" w:cs="*Verdana-Bold-4355-Identity-H"/>
          <w:b/>
          <w:bCs/>
          <w:color w:val="131313"/>
          <w:sz w:val="19"/>
          <w:szCs w:val="19"/>
        </w:rPr>
      </w:pPr>
      <w:r w:rsidRPr="00485437">
        <w:rPr>
          <w:rFonts w:ascii="Abadi" w:hAnsi="Abadi" w:cs="*Verdana-Bold-4355-Identity-H"/>
          <w:b/>
          <w:bCs/>
          <w:color w:val="131313"/>
          <w:sz w:val="19"/>
          <w:szCs w:val="19"/>
        </w:rPr>
        <w:t>Cuauhtémoc becerra González</w:t>
      </w:r>
    </w:p>
    <w:p w14:paraId="381976A6" w14:textId="77777777" w:rsidR="00A95932" w:rsidRPr="009E6EA0" w:rsidRDefault="00A95932" w:rsidP="00A95932">
      <w:pPr>
        <w:autoSpaceDE w:val="0"/>
        <w:autoSpaceDN w:val="0"/>
        <w:adjustRightInd w:val="0"/>
        <w:jc w:val="both"/>
        <w:rPr>
          <w:rFonts w:ascii="Abadi" w:hAnsi="Abadi" w:cs="*Verdana-Bold-4355-Identity-H"/>
          <w:b/>
          <w:bCs/>
          <w:color w:val="131313"/>
          <w:sz w:val="19"/>
          <w:szCs w:val="19"/>
        </w:rPr>
      </w:pPr>
      <w:r w:rsidRPr="00485437">
        <w:rPr>
          <w:rFonts w:ascii="Abadi" w:hAnsi="Abadi" w:cs="*Verdana-Bold-4355-Identity-H"/>
          <w:b/>
          <w:bCs/>
          <w:color w:val="131313"/>
          <w:sz w:val="19"/>
          <w:szCs w:val="19"/>
        </w:rPr>
        <w:lastRenderedPageBreak/>
        <w:t>Diputado secretario</w:t>
      </w:r>
    </w:p>
    <w:p w14:paraId="53F9083A" w14:textId="77777777" w:rsidR="00A95932" w:rsidRPr="00A95932" w:rsidRDefault="00A95932" w:rsidP="00A95932">
      <w:pPr>
        <w:tabs>
          <w:tab w:val="left" w:pos="845"/>
        </w:tabs>
        <w:kinsoku w:val="0"/>
        <w:overflowPunct w:val="0"/>
        <w:autoSpaceDE w:val="0"/>
        <w:autoSpaceDN w:val="0"/>
        <w:adjustRightInd w:val="0"/>
        <w:ind w:right="17"/>
        <w:jc w:val="both"/>
        <w:rPr>
          <w:rFonts w:ascii="Abadi" w:hAnsi="Abadi"/>
          <w:b/>
          <w:bCs/>
          <w:sz w:val="20"/>
          <w:szCs w:val="20"/>
        </w:rPr>
      </w:pPr>
    </w:p>
    <w:p w14:paraId="0673D97B" w14:textId="77777777" w:rsidR="00C05C56" w:rsidRPr="00C05C56" w:rsidRDefault="00C05C56" w:rsidP="00C05C56">
      <w:pPr>
        <w:pStyle w:val="Prrafodelista"/>
        <w:rPr>
          <w:rFonts w:ascii="Abadi" w:hAnsi="Abadi"/>
          <w:b/>
          <w:bCs/>
          <w:sz w:val="20"/>
          <w:szCs w:val="20"/>
        </w:rPr>
      </w:pPr>
    </w:p>
    <w:p w14:paraId="3C7A2389" w14:textId="639A7982" w:rsidR="008F2CC3" w:rsidRDefault="008F2CC3" w:rsidP="005433FA">
      <w:pPr>
        <w:pStyle w:val="Prrafodelista"/>
        <w:numPr>
          <w:ilvl w:val="0"/>
          <w:numId w:val="9"/>
        </w:numPr>
        <w:tabs>
          <w:tab w:val="left" w:pos="845"/>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PRESENTACIÓN</w:t>
      </w:r>
      <w:r w:rsidRPr="00531B12">
        <w:rPr>
          <w:rFonts w:ascii="Abadi" w:hAnsi="Abadi"/>
          <w:b/>
          <w:bCs/>
          <w:spacing w:val="53"/>
          <w:sz w:val="20"/>
          <w:szCs w:val="20"/>
        </w:rPr>
        <w:t xml:space="preserve"> </w:t>
      </w:r>
      <w:r w:rsidRPr="00531B12">
        <w:rPr>
          <w:rFonts w:ascii="Abadi" w:hAnsi="Abadi"/>
          <w:b/>
          <w:bCs/>
          <w:sz w:val="20"/>
          <w:szCs w:val="20"/>
        </w:rPr>
        <w:t>DE</w:t>
      </w:r>
      <w:r w:rsidRPr="00531B12">
        <w:rPr>
          <w:rFonts w:ascii="Abadi" w:hAnsi="Abadi"/>
          <w:b/>
          <w:bCs/>
          <w:spacing w:val="53"/>
          <w:sz w:val="20"/>
          <w:szCs w:val="20"/>
        </w:rPr>
        <w:t xml:space="preserve"> </w:t>
      </w:r>
      <w:r w:rsidRPr="00531B12">
        <w:rPr>
          <w:rFonts w:ascii="Abadi" w:hAnsi="Abadi"/>
          <w:b/>
          <w:bCs/>
          <w:sz w:val="20"/>
          <w:szCs w:val="20"/>
        </w:rPr>
        <w:t>LA</w:t>
      </w:r>
      <w:r w:rsidRPr="00531B12">
        <w:rPr>
          <w:rFonts w:ascii="Abadi" w:hAnsi="Abadi"/>
          <w:b/>
          <w:bCs/>
          <w:spacing w:val="53"/>
          <w:sz w:val="20"/>
          <w:szCs w:val="20"/>
        </w:rPr>
        <w:t xml:space="preserve"> </w:t>
      </w:r>
      <w:r w:rsidRPr="00531B12">
        <w:rPr>
          <w:rFonts w:ascii="Abadi" w:hAnsi="Abadi"/>
          <w:b/>
          <w:bCs/>
          <w:sz w:val="20"/>
          <w:szCs w:val="20"/>
        </w:rPr>
        <w:t>PROPUESTA</w:t>
      </w:r>
      <w:r w:rsidRPr="00531B12">
        <w:rPr>
          <w:rFonts w:ascii="Abadi" w:hAnsi="Abadi"/>
          <w:b/>
          <w:bCs/>
          <w:spacing w:val="53"/>
          <w:sz w:val="20"/>
          <w:szCs w:val="20"/>
        </w:rPr>
        <w:t xml:space="preserve"> </w:t>
      </w:r>
      <w:r w:rsidRPr="00531B12">
        <w:rPr>
          <w:rFonts w:ascii="Abadi" w:hAnsi="Abadi"/>
          <w:b/>
          <w:bCs/>
          <w:sz w:val="20"/>
          <w:szCs w:val="20"/>
        </w:rPr>
        <w:t>DE</w:t>
      </w:r>
      <w:r w:rsidRPr="00531B12">
        <w:rPr>
          <w:rFonts w:ascii="Abadi" w:hAnsi="Abadi"/>
          <w:b/>
          <w:bCs/>
          <w:spacing w:val="53"/>
          <w:sz w:val="20"/>
          <w:szCs w:val="20"/>
        </w:rPr>
        <w:t xml:space="preserve"> </w:t>
      </w:r>
      <w:r w:rsidRPr="00531B12">
        <w:rPr>
          <w:rFonts w:ascii="Abadi" w:hAnsi="Abadi"/>
          <w:b/>
          <w:bCs/>
          <w:sz w:val="20"/>
          <w:szCs w:val="20"/>
        </w:rPr>
        <w:t>PUNTO</w:t>
      </w:r>
      <w:r w:rsidRPr="00531B12">
        <w:rPr>
          <w:rFonts w:ascii="Abadi" w:hAnsi="Abadi"/>
          <w:b/>
          <w:bCs/>
          <w:spacing w:val="53"/>
          <w:sz w:val="20"/>
          <w:szCs w:val="20"/>
        </w:rPr>
        <w:t xml:space="preserve"> </w:t>
      </w:r>
      <w:r w:rsidRPr="00531B12">
        <w:rPr>
          <w:rFonts w:ascii="Abadi" w:hAnsi="Abadi"/>
          <w:b/>
          <w:bCs/>
          <w:sz w:val="20"/>
          <w:szCs w:val="20"/>
        </w:rPr>
        <w:t>DE</w:t>
      </w:r>
      <w:r w:rsidRPr="00531B12">
        <w:rPr>
          <w:rFonts w:ascii="Abadi" w:hAnsi="Abadi"/>
          <w:b/>
          <w:bCs/>
          <w:spacing w:val="53"/>
          <w:sz w:val="20"/>
          <w:szCs w:val="20"/>
        </w:rPr>
        <w:t xml:space="preserve"> </w:t>
      </w:r>
      <w:r w:rsidRPr="00531B12">
        <w:rPr>
          <w:rFonts w:ascii="Abadi" w:hAnsi="Abadi"/>
          <w:b/>
          <w:bCs/>
          <w:sz w:val="20"/>
          <w:szCs w:val="20"/>
        </w:rPr>
        <w:t>ACUERDO</w:t>
      </w:r>
      <w:r w:rsidRPr="00531B12">
        <w:rPr>
          <w:rFonts w:ascii="Abadi" w:hAnsi="Abadi"/>
          <w:b/>
          <w:bCs/>
          <w:spacing w:val="53"/>
          <w:sz w:val="20"/>
          <w:szCs w:val="20"/>
        </w:rPr>
        <w:t xml:space="preserve"> </w:t>
      </w:r>
      <w:r w:rsidRPr="00531B12">
        <w:rPr>
          <w:rFonts w:ascii="Abadi" w:hAnsi="Abadi"/>
          <w:b/>
          <w:bCs/>
          <w:sz w:val="20"/>
          <w:szCs w:val="20"/>
        </w:rPr>
        <w:t>DE</w:t>
      </w:r>
      <w:r w:rsidRPr="00531B12">
        <w:rPr>
          <w:rFonts w:ascii="Abadi" w:hAnsi="Abadi"/>
          <w:b/>
          <w:bCs/>
          <w:spacing w:val="53"/>
          <w:sz w:val="20"/>
          <w:szCs w:val="20"/>
        </w:rPr>
        <w:t xml:space="preserve"> </w:t>
      </w:r>
      <w:r w:rsidRPr="00531B12">
        <w:rPr>
          <w:rFonts w:ascii="Abadi" w:hAnsi="Abadi"/>
          <w:b/>
          <w:bCs/>
          <w:sz w:val="20"/>
          <w:szCs w:val="20"/>
        </w:rPr>
        <w:t>OBVIA</w:t>
      </w:r>
      <w:r w:rsidRPr="00531B12">
        <w:rPr>
          <w:rFonts w:ascii="Abadi" w:hAnsi="Abadi"/>
          <w:b/>
          <w:bCs/>
          <w:spacing w:val="53"/>
          <w:sz w:val="20"/>
          <w:szCs w:val="20"/>
        </w:rPr>
        <w:t xml:space="preserve"> </w:t>
      </w:r>
      <w:r w:rsidRPr="00531B12">
        <w:rPr>
          <w:rFonts w:ascii="Abadi" w:hAnsi="Abadi"/>
          <w:b/>
          <w:bCs/>
          <w:sz w:val="20"/>
          <w:szCs w:val="20"/>
        </w:rPr>
        <w:t>RESOLUCIÓN</w:t>
      </w:r>
      <w:r w:rsidRPr="00531B12">
        <w:rPr>
          <w:rFonts w:ascii="Abadi" w:hAnsi="Abadi"/>
          <w:b/>
          <w:bCs/>
          <w:spacing w:val="-2"/>
          <w:sz w:val="20"/>
          <w:szCs w:val="20"/>
        </w:rPr>
        <w:t xml:space="preserve"> </w:t>
      </w:r>
      <w:r w:rsidRPr="00531B12">
        <w:rPr>
          <w:rFonts w:ascii="Abadi" w:hAnsi="Abadi"/>
          <w:b/>
          <w:bCs/>
          <w:sz w:val="20"/>
          <w:szCs w:val="20"/>
        </w:rPr>
        <w:t>SUSCRITA</w:t>
      </w:r>
      <w:r w:rsidRPr="00531B12">
        <w:rPr>
          <w:rFonts w:ascii="Abadi" w:hAnsi="Abadi"/>
          <w:b/>
          <w:bCs/>
          <w:spacing w:val="6"/>
          <w:sz w:val="20"/>
          <w:szCs w:val="20"/>
        </w:rPr>
        <w:t xml:space="preserve"> </w:t>
      </w:r>
      <w:r w:rsidRPr="00531B12">
        <w:rPr>
          <w:rFonts w:ascii="Abadi" w:hAnsi="Abadi"/>
          <w:b/>
          <w:bCs/>
          <w:sz w:val="20"/>
          <w:szCs w:val="20"/>
        </w:rPr>
        <w:t>POR</w:t>
      </w:r>
      <w:r w:rsidRPr="00531B12">
        <w:rPr>
          <w:rFonts w:ascii="Abadi" w:hAnsi="Abadi"/>
          <w:b/>
          <w:bCs/>
          <w:spacing w:val="6"/>
          <w:sz w:val="20"/>
          <w:szCs w:val="20"/>
        </w:rPr>
        <w:t xml:space="preserve"> </w:t>
      </w:r>
      <w:r w:rsidRPr="00531B12">
        <w:rPr>
          <w:rFonts w:ascii="Abadi" w:hAnsi="Abadi"/>
          <w:b/>
          <w:bCs/>
          <w:sz w:val="20"/>
          <w:szCs w:val="20"/>
        </w:rPr>
        <w:t>DIPUTADAS</w:t>
      </w:r>
      <w:r w:rsidRPr="00531B12">
        <w:rPr>
          <w:rFonts w:ascii="Abadi" w:hAnsi="Abadi"/>
          <w:b/>
          <w:bCs/>
          <w:spacing w:val="6"/>
          <w:sz w:val="20"/>
          <w:szCs w:val="20"/>
        </w:rPr>
        <w:t xml:space="preserve"> </w:t>
      </w:r>
      <w:r w:rsidRPr="00531B12">
        <w:rPr>
          <w:rFonts w:ascii="Abadi" w:hAnsi="Abadi"/>
          <w:b/>
          <w:bCs/>
          <w:sz w:val="20"/>
          <w:szCs w:val="20"/>
        </w:rPr>
        <w:t>Y</w:t>
      </w:r>
      <w:r w:rsidRPr="00531B12">
        <w:rPr>
          <w:rFonts w:ascii="Abadi" w:hAnsi="Abadi"/>
          <w:b/>
          <w:bCs/>
          <w:spacing w:val="6"/>
          <w:sz w:val="20"/>
          <w:szCs w:val="20"/>
        </w:rPr>
        <w:t xml:space="preserve"> </w:t>
      </w:r>
      <w:r w:rsidRPr="00531B12">
        <w:rPr>
          <w:rFonts w:ascii="Abadi" w:hAnsi="Abadi"/>
          <w:b/>
          <w:bCs/>
          <w:sz w:val="20"/>
          <w:szCs w:val="20"/>
        </w:rPr>
        <w:t>DIPUTADOS</w:t>
      </w:r>
      <w:r w:rsidRPr="00531B12">
        <w:rPr>
          <w:rFonts w:ascii="Abadi" w:hAnsi="Abadi"/>
          <w:b/>
          <w:bCs/>
          <w:spacing w:val="6"/>
          <w:sz w:val="20"/>
          <w:szCs w:val="20"/>
        </w:rPr>
        <w:t xml:space="preserve"> </w:t>
      </w:r>
      <w:r w:rsidRPr="00531B12">
        <w:rPr>
          <w:rFonts w:ascii="Abadi" w:hAnsi="Abadi"/>
          <w:b/>
          <w:bCs/>
          <w:sz w:val="20"/>
          <w:szCs w:val="20"/>
        </w:rPr>
        <w:t>INTEGRANTES</w:t>
      </w:r>
      <w:r w:rsidRPr="00531B12">
        <w:rPr>
          <w:rFonts w:ascii="Abadi" w:hAnsi="Abadi"/>
          <w:b/>
          <w:bCs/>
          <w:spacing w:val="6"/>
          <w:sz w:val="20"/>
          <w:szCs w:val="20"/>
        </w:rPr>
        <w:t xml:space="preserve"> </w:t>
      </w:r>
      <w:r w:rsidRPr="00531B12">
        <w:rPr>
          <w:rFonts w:ascii="Abadi" w:hAnsi="Abadi"/>
          <w:b/>
          <w:bCs/>
          <w:sz w:val="20"/>
          <w:szCs w:val="20"/>
        </w:rPr>
        <w:t>DEL</w:t>
      </w:r>
      <w:r w:rsidRPr="00531B12">
        <w:rPr>
          <w:rFonts w:ascii="Abadi" w:hAnsi="Abadi"/>
          <w:b/>
          <w:bCs/>
          <w:spacing w:val="6"/>
          <w:sz w:val="20"/>
          <w:szCs w:val="20"/>
        </w:rPr>
        <w:t xml:space="preserve"> </w:t>
      </w:r>
      <w:r w:rsidRPr="00531B12">
        <w:rPr>
          <w:rFonts w:ascii="Abadi" w:hAnsi="Abadi"/>
          <w:b/>
          <w:bCs/>
          <w:sz w:val="20"/>
          <w:szCs w:val="20"/>
        </w:rPr>
        <w:t>GRUPO</w:t>
      </w:r>
      <w:r w:rsidRPr="00531B12">
        <w:rPr>
          <w:rFonts w:ascii="Abadi" w:hAnsi="Abadi"/>
          <w:b/>
          <w:bCs/>
          <w:spacing w:val="6"/>
          <w:sz w:val="20"/>
          <w:szCs w:val="20"/>
        </w:rPr>
        <w:t xml:space="preserve"> </w:t>
      </w:r>
      <w:r w:rsidRPr="00531B12">
        <w:rPr>
          <w:rFonts w:ascii="Abadi" w:hAnsi="Abadi"/>
          <w:b/>
          <w:bCs/>
          <w:sz w:val="20"/>
          <w:szCs w:val="20"/>
        </w:rPr>
        <w:t>PARLAMENTARIO</w:t>
      </w:r>
      <w:r w:rsidRPr="00531B12">
        <w:rPr>
          <w:rFonts w:ascii="Abadi" w:hAnsi="Abadi"/>
          <w:b/>
          <w:bCs/>
          <w:spacing w:val="6"/>
          <w:sz w:val="20"/>
          <w:szCs w:val="20"/>
        </w:rPr>
        <w:t xml:space="preserve"> </w:t>
      </w:r>
      <w:r w:rsidRPr="00531B12">
        <w:rPr>
          <w:rFonts w:ascii="Abadi" w:hAnsi="Abadi"/>
          <w:b/>
          <w:bCs/>
          <w:sz w:val="20"/>
          <w:szCs w:val="20"/>
        </w:rPr>
        <w:t>DEL</w:t>
      </w:r>
      <w:r w:rsidRPr="00531B12">
        <w:rPr>
          <w:rFonts w:ascii="Abadi" w:hAnsi="Abadi"/>
          <w:b/>
          <w:bCs/>
          <w:spacing w:val="-2"/>
          <w:sz w:val="20"/>
          <w:szCs w:val="20"/>
        </w:rPr>
        <w:t xml:space="preserve"> </w:t>
      </w:r>
      <w:r w:rsidRPr="00531B12">
        <w:rPr>
          <w:rFonts w:ascii="Abadi" w:hAnsi="Abadi"/>
          <w:b/>
          <w:bCs/>
          <w:sz w:val="20"/>
          <w:szCs w:val="20"/>
        </w:rPr>
        <w:t>PARTIDO</w:t>
      </w:r>
      <w:r w:rsidRPr="00531B12">
        <w:rPr>
          <w:rFonts w:ascii="Abadi" w:hAnsi="Abadi"/>
          <w:b/>
          <w:bCs/>
          <w:spacing w:val="-12"/>
          <w:sz w:val="20"/>
          <w:szCs w:val="20"/>
        </w:rPr>
        <w:t xml:space="preserve"> </w:t>
      </w:r>
      <w:r w:rsidRPr="00531B12">
        <w:rPr>
          <w:rFonts w:ascii="Abadi" w:hAnsi="Abadi"/>
          <w:b/>
          <w:bCs/>
          <w:sz w:val="20"/>
          <w:szCs w:val="20"/>
        </w:rPr>
        <w:t>ACCIÓN</w:t>
      </w:r>
      <w:r w:rsidRPr="00531B12">
        <w:rPr>
          <w:rFonts w:ascii="Abadi" w:hAnsi="Abadi"/>
          <w:b/>
          <w:bCs/>
          <w:spacing w:val="-12"/>
          <w:sz w:val="20"/>
          <w:szCs w:val="20"/>
        </w:rPr>
        <w:t xml:space="preserve"> </w:t>
      </w:r>
      <w:r w:rsidRPr="00531B12">
        <w:rPr>
          <w:rFonts w:ascii="Abadi" w:hAnsi="Abadi"/>
          <w:b/>
          <w:bCs/>
          <w:sz w:val="20"/>
          <w:szCs w:val="20"/>
        </w:rPr>
        <w:t>NACIONAL</w:t>
      </w:r>
      <w:r w:rsidRPr="00531B12">
        <w:rPr>
          <w:rFonts w:ascii="Abadi" w:hAnsi="Abadi"/>
          <w:b/>
          <w:bCs/>
          <w:spacing w:val="-13"/>
          <w:sz w:val="20"/>
          <w:szCs w:val="20"/>
        </w:rPr>
        <w:t xml:space="preserve"> </w:t>
      </w:r>
      <w:r w:rsidRPr="00531B12">
        <w:rPr>
          <w:rFonts w:ascii="Abadi" w:hAnsi="Abadi"/>
          <w:b/>
          <w:bCs/>
          <w:sz w:val="20"/>
          <w:szCs w:val="20"/>
        </w:rPr>
        <w:t>A</w:t>
      </w:r>
      <w:r w:rsidRPr="00531B12">
        <w:rPr>
          <w:rFonts w:ascii="Abadi" w:hAnsi="Abadi"/>
          <w:b/>
          <w:bCs/>
          <w:spacing w:val="-12"/>
          <w:sz w:val="20"/>
          <w:szCs w:val="20"/>
        </w:rPr>
        <w:t xml:space="preserve"> </w:t>
      </w:r>
      <w:r w:rsidRPr="00531B12">
        <w:rPr>
          <w:rFonts w:ascii="Abadi" w:hAnsi="Abadi"/>
          <w:b/>
          <w:bCs/>
          <w:sz w:val="20"/>
          <w:szCs w:val="20"/>
        </w:rPr>
        <w:t>EFECTO</w:t>
      </w:r>
      <w:r w:rsidRPr="00531B12">
        <w:rPr>
          <w:rFonts w:ascii="Abadi" w:hAnsi="Abadi"/>
          <w:b/>
          <w:bCs/>
          <w:spacing w:val="-12"/>
          <w:sz w:val="20"/>
          <w:szCs w:val="20"/>
        </w:rPr>
        <w:t xml:space="preserve"> </w:t>
      </w:r>
      <w:r w:rsidRPr="00531B12">
        <w:rPr>
          <w:rFonts w:ascii="Abadi" w:hAnsi="Abadi"/>
          <w:b/>
          <w:bCs/>
          <w:sz w:val="20"/>
          <w:szCs w:val="20"/>
        </w:rPr>
        <w:t>DE</w:t>
      </w:r>
      <w:r w:rsidRPr="00531B12">
        <w:rPr>
          <w:rFonts w:ascii="Abadi" w:hAnsi="Abadi"/>
          <w:b/>
          <w:bCs/>
          <w:spacing w:val="-12"/>
          <w:sz w:val="20"/>
          <w:szCs w:val="20"/>
        </w:rPr>
        <w:t xml:space="preserve"> </w:t>
      </w:r>
      <w:r w:rsidRPr="00531B12">
        <w:rPr>
          <w:rFonts w:ascii="Abadi" w:hAnsi="Abadi"/>
          <w:b/>
          <w:bCs/>
          <w:sz w:val="20"/>
          <w:szCs w:val="20"/>
        </w:rPr>
        <w:t>EXHORTAR</w:t>
      </w:r>
      <w:r w:rsidRPr="00531B12">
        <w:rPr>
          <w:rFonts w:ascii="Abadi" w:hAnsi="Abadi"/>
          <w:b/>
          <w:bCs/>
          <w:spacing w:val="-13"/>
          <w:sz w:val="20"/>
          <w:szCs w:val="20"/>
        </w:rPr>
        <w:t xml:space="preserve"> </w:t>
      </w:r>
      <w:r w:rsidRPr="00531B12">
        <w:rPr>
          <w:rFonts w:ascii="Abadi" w:hAnsi="Abadi"/>
          <w:b/>
          <w:bCs/>
          <w:sz w:val="20"/>
          <w:szCs w:val="20"/>
        </w:rPr>
        <w:t>A</w:t>
      </w:r>
      <w:r w:rsidRPr="00531B12">
        <w:rPr>
          <w:rFonts w:ascii="Abadi" w:hAnsi="Abadi"/>
          <w:b/>
          <w:bCs/>
          <w:spacing w:val="-12"/>
          <w:sz w:val="20"/>
          <w:szCs w:val="20"/>
        </w:rPr>
        <w:t xml:space="preserve"> </w:t>
      </w:r>
      <w:r w:rsidRPr="00531B12">
        <w:rPr>
          <w:rFonts w:ascii="Abadi" w:hAnsi="Abadi"/>
          <w:b/>
          <w:bCs/>
          <w:sz w:val="20"/>
          <w:szCs w:val="20"/>
        </w:rPr>
        <w:t>LOS</w:t>
      </w:r>
      <w:r w:rsidRPr="00531B12">
        <w:rPr>
          <w:rFonts w:ascii="Abadi" w:hAnsi="Abadi"/>
          <w:b/>
          <w:bCs/>
          <w:spacing w:val="-12"/>
          <w:sz w:val="20"/>
          <w:szCs w:val="20"/>
        </w:rPr>
        <w:t xml:space="preserve"> </w:t>
      </w:r>
      <w:r w:rsidRPr="00531B12">
        <w:rPr>
          <w:rFonts w:ascii="Abadi" w:hAnsi="Abadi"/>
          <w:b/>
          <w:bCs/>
          <w:sz w:val="20"/>
          <w:szCs w:val="20"/>
        </w:rPr>
        <w:t>AYUNTAMIENTOS</w:t>
      </w:r>
      <w:r w:rsidRPr="00531B12">
        <w:rPr>
          <w:rFonts w:ascii="Abadi" w:hAnsi="Abadi"/>
          <w:b/>
          <w:bCs/>
          <w:spacing w:val="-12"/>
          <w:sz w:val="20"/>
          <w:szCs w:val="20"/>
        </w:rPr>
        <w:t xml:space="preserve"> </w:t>
      </w:r>
      <w:r w:rsidRPr="00531B12">
        <w:rPr>
          <w:rFonts w:ascii="Abadi" w:hAnsi="Abadi"/>
          <w:b/>
          <w:bCs/>
          <w:sz w:val="20"/>
          <w:szCs w:val="20"/>
        </w:rPr>
        <w:t>DE</w:t>
      </w:r>
      <w:r w:rsidRPr="00531B12">
        <w:rPr>
          <w:rFonts w:ascii="Abadi" w:hAnsi="Abadi"/>
          <w:b/>
          <w:bCs/>
          <w:spacing w:val="-12"/>
          <w:sz w:val="20"/>
          <w:szCs w:val="20"/>
        </w:rPr>
        <w:t xml:space="preserve"> </w:t>
      </w:r>
      <w:r w:rsidRPr="00531B12">
        <w:rPr>
          <w:rFonts w:ascii="Abadi" w:hAnsi="Abadi"/>
          <w:b/>
          <w:bCs/>
          <w:sz w:val="20"/>
          <w:szCs w:val="20"/>
        </w:rPr>
        <w:t>MANUEL</w:t>
      </w:r>
      <w:r w:rsidRPr="00531B12">
        <w:rPr>
          <w:rFonts w:ascii="Abadi" w:hAnsi="Abadi"/>
          <w:b/>
          <w:bCs/>
          <w:spacing w:val="-2"/>
          <w:sz w:val="20"/>
          <w:szCs w:val="20"/>
        </w:rPr>
        <w:t xml:space="preserve"> </w:t>
      </w:r>
      <w:r w:rsidRPr="00531B12">
        <w:rPr>
          <w:rFonts w:ascii="Abadi" w:hAnsi="Abadi"/>
          <w:b/>
          <w:bCs/>
          <w:sz w:val="20"/>
          <w:szCs w:val="20"/>
        </w:rPr>
        <w:t>DOBLADO,</w:t>
      </w:r>
      <w:r w:rsidRPr="00531B12">
        <w:rPr>
          <w:rFonts w:ascii="Abadi" w:hAnsi="Abadi"/>
          <w:b/>
          <w:bCs/>
          <w:spacing w:val="22"/>
          <w:sz w:val="20"/>
          <w:szCs w:val="20"/>
        </w:rPr>
        <w:t xml:space="preserve"> </w:t>
      </w:r>
      <w:r w:rsidRPr="00531B12">
        <w:rPr>
          <w:rFonts w:ascii="Abadi" w:hAnsi="Abadi"/>
          <w:b/>
          <w:bCs/>
          <w:sz w:val="20"/>
          <w:szCs w:val="20"/>
        </w:rPr>
        <w:t>COMONFORT,</w:t>
      </w:r>
      <w:r w:rsidRPr="00531B12">
        <w:rPr>
          <w:rFonts w:ascii="Abadi" w:hAnsi="Abadi"/>
          <w:b/>
          <w:bCs/>
          <w:spacing w:val="22"/>
          <w:sz w:val="20"/>
          <w:szCs w:val="20"/>
        </w:rPr>
        <w:t xml:space="preserve"> </w:t>
      </w:r>
      <w:r w:rsidRPr="00531B12">
        <w:rPr>
          <w:rFonts w:ascii="Abadi" w:hAnsi="Abadi"/>
          <w:b/>
          <w:bCs/>
          <w:sz w:val="20"/>
          <w:szCs w:val="20"/>
        </w:rPr>
        <w:t>CORTAZAR,</w:t>
      </w:r>
      <w:r w:rsidRPr="00531B12">
        <w:rPr>
          <w:rFonts w:ascii="Abadi" w:hAnsi="Abadi"/>
          <w:b/>
          <w:bCs/>
          <w:spacing w:val="22"/>
          <w:sz w:val="20"/>
          <w:szCs w:val="20"/>
        </w:rPr>
        <w:t xml:space="preserve"> </w:t>
      </w:r>
      <w:r w:rsidRPr="00531B12">
        <w:rPr>
          <w:rFonts w:ascii="Abadi" w:hAnsi="Abadi"/>
          <w:b/>
          <w:bCs/>
          <w:sz w:val="20"/>
          <w:szCs w:val="20"/>
        </w:rPr>
        <w:t>HUANÍMARO,</w:t>
      </w:r>
      <w:r w:rsidRPr="00531B12">
        <w:rPr>
          <w:rFonts w:ascii="Abadi" w:hAnsi="Abadi"/>
          <w:b/>
          <w:bCs/>
          <w:spacing w:val="22"/>
          <w:sz w:val="20"/>
          <w:szCs w:val="20"/>
        </w:rPr>
        <w:t xml:space="preserve"> </w:t>
      </w:r>
      <w:r w:rsidRPr="00531B12">
        <w:rPr>
          <w:rFonts w:ascii="Abadi" w:hAnsi="Abadi"/>
          <w:b/>
          <w:bCs/>
          <w:sz w:val="20"/>
          <w:szCs w:val="20"/>
        </w:rPr>
        <w:t>JARAL</w:t>
      </w:r>
      <w:r w:rsidRPr="00531B12">
        <w:rPr>
          <w:rFonts w:ascii="Abadi" w:hAnsi="Abadi"/>
          <w:b/>
          <w:bCs/>
          <w:spacing w:val="22"/>
          <w:sz w:val="20"/>
          <w:szCs w:val="20"/>
        </w:rPr>
        <w:t xml:space="preserve"> </w:t>
      </w:r>
      <w:r w:rsidRPr="00531B12">
        <w:rPr>
          <w:rFonts w:ascii="Abadi" w:hAnsi="Abadi"/>
          <w:b/>
          <w:bCs/>
          <w:sz w:val="20"/>
          <w:szCs w:val="20"/>
        </w:rPr>
        <w:t>DEL</w:t>
      </w:r>
      <w:r w:rsidRPr="00531B12">
        <w:rPr>
          <w:rFonts w:ascii="Abadi" w:hAnsi="Abadi"/>
          <w:b/>
          <w:bCs/>
          <w:spacing w:val="22"/>
          <w:sz w:val="20"/>
          <w:szCs w:val="20"/>
        </w:rPr>
        <w:t xml:space="preserve"> </w:t>
      </w:r>
      <w:r w:rsidRPr="00531B12">
        <w:rPr>
          <w:rFonts w:ascii="Abadi" w:hAnsi="Abadi"/>
          <w:b/>
          <w:bCs/>
          <w:sz w:val="20"/>
          <w:szCs w:val="20"/>
        </w:rPr>
        <w:t>PROGRESO,</w:t>
      </w:r>
      <w:r w:rsidRPr="00531B12">
        <w:rPr>
          <w:rFonts w:ascii="Abadi" w:hAnsi="Abadi"/>
          <w:b/>
          <w:bCs/>
          <w:spacing w:val="22"/>
          <w:sz w:val="20"/>
          <w:szCs w:val="20"/>
        </w:rPr>
        <w:t xml:space="preserve"> </w:t>
      </w:r>
      <w:r w:rsidRPr="00531B12">
        <w:rPr>
          <w:rFonts w:ascii="Abadi" w:hAnsi="Abadi"/>
          <w:b/>
          <w:bCs/>
          <w:sz w:val="20"/>
          <w:szCs w:val="20"/>
        </w:rPr>
        <w:t>JERÉCUARO,</w:t>
      </w:r>
      <w:r w:rsidRPr="00531B12">
        <w:rPr>
          <w:rFonts w:ascii="Abadi" w:hAnsi="Abadi"/>
          <w:b/>
          <w:bCs/>
          <w:spacing w:val="-2"/>
          <w:sz w:val="20"/>
          <w:szCs w:val="20"/>
        </w:rPr>
        <w:t xml:space="preserve"> </w:t>
      </w:r>
      <w:r w:rsidRPr="00531B12">
        <w:rPr>
          <w:rFonts w:ascii="Abadi" w:hAnsi="Abadi"/>
          <w:b/>
          <w:bCs/>
          <w:sz w:val="20"/>
          <w:szCs w:val="20"/>
        </w:rPr>
        <w:t>OCAMPO, PÉNJAMO, PUEBLO NUEVO, SAN DIEGO DE LA UNIÓN, SAN FELIPE, SAN</w:t>
      </w:r>
      <w:r w:rsidRPr="00531B12">
        <w:rPr>
          <w:rFonts w:ascii="Abadi" w:hAnsi="Abadi"/>
          <w:b/>
          <w:bCs/>
          <w:spacing w:val="-2"/>
          <w:sz w:val="20"/>
          <w:szCs w:val="20"/>
        </w:rPr>
        <w:t xml:space="preserve"> </w:t>
      </w:r>
      <w:r w:rsidRPr="00531B12">
        <w:rPr>
          <w:rFonts w:ascii="Abadi" w:hAnsi="Abadi"/>
          <w:b/>
          <w:bCs/>
          <w:sz w:val="20"/>
          <w:szCs w:val="20"/>
        </w:rPr>
        <w:t>JOSÉ</w:t>
      </w:r>
      <w:r w:rsidRPr="00531B12">
        <w:rPr>
          <w:rFonts w:ascii="Abadi" w:hAnsi="Abadi"/>
          <w:b/>
          <w:bCs/>
          <w:spacing w:val="38"/>
          <w:sz w:val="20"/>
          <w:szCs w:val="20"/>
        </w:rPr>
        <w:t xml:space="preserve"> </w:t>
      </w:r>
      <w:r w:rsidRPr="00531B12">
        <w:rPr>
          <w:rFonts w:ascii="Abadi" w:hAnsi="Abadi"/>
          <w:b/>
          <w:bCs/>
          <w:sz w:val="20"/>
          <w:szCs w:val="20"/>
        </w:rPr>
        <w:t>ITURBIDE,</w:t>
      </w:r>
      <w:r w:rsidRPr="00531B12">
        <w:rPr>
          <w:rFonts w:ascii="Abadi" w:hAnsi="Abadi"/>
          <w:b/>
          <w:bCs/>
          <w:spacing w:val="38"/>
          <w:sz w:val="20"/>
          <w:szCs w:val="20"/>
        </w:rPr>
        <w:t xml:space="preserve"> </w:t>
      </w:r>
      <w:r w:rsidRPr="00531B12">
        <w:rPr>
          <w:rFonts w:ascii="Abadi" w:hAnsi="Abadi"/>
          <w:b/>
          <w:bCs/>
          <w:sz w:val="20"/>
          <w:szCs w:val="20"/>
        </w:rPr>
        <w:t>SANTA</w:t>
      </w:r>
      <w:r w:rsidRPr="00531B12">
        <w:rPr>
          <w:rFonts w:ascii="Abadi" w:hAnsi="Abadi"/>
          <w:b/>
          <w:bCs/>
          <w:spacing w:val="38"/>
          <w:sz w:val="20"/>
          <w:szCs w:val="20"/>
        </w:rPr>
        <w:t xml:space="preserve"> </w:t>
      </w:r>
      <w:r w:rsidRPr="00531B12">
        <w:rPr>
          <w:rFonts w:ascii="Abadi" w:hAnsi="Abadi"/>
          <w:b/>
          <w:bCs/>
          <w:sz w:val="20"/>
          <w:szCs w:val="20"/>
        </w:rPr>
        <w:t>CATARINA,</w:t>
      </w:r>
      <w:r w:rsidRPr="00531B12">
        <w:rPr>
          <w:rFonts w:ascii="Abadi" w:hAnsi="Abadi"/>
          <w:b/>
          <w:bCs/>
          <w:spacing w:val="38"/>
          <w:sz w:val="20"/>
          <w:szCs w:val="20"/>
        </w:rPr>
        <w:t xml:space="preserve"> </w:t>
      </w:r>
      <w:r w:rsidRPr="00531B12">
        <w:rPr>
          <w:rFonts w:ascii="Abadi" w:hAnsi="Abadi"/>
          <w:b/>
          <w:bCs/>
          <w:sz w:val="20"/>
          <w:szCs w:val="20"/>
        </w:rPr>
        <w:t>SANTA</w:t>
      </w:r>
      <w:r w:rsidRPr="00531B12">
        <w:rPr>
          <w:rFonts w:ascii="Abadi" w:hAnsi="Abadi"/>
          <w:b/>
          <w:bCs/>
          <w:spacing w:val="38"/>
          <w:sz w:val="20"/>
          <w:szCs w:val="20"/>
        </w:rPr>
        <w:t xml:space="preserve"> </w:t>
      </w:r>
      <w:r w:rsidRPr="00531B12">
        <w:rPr>
          <w:rFonts w:ascii="Abadi" w:hAnsi="Abadi"/>
          <w:b/>
          <w:bCs/>
          <w:sz w:val="20"/>
          <w:szCs w:val="20"/>
        </w:rPr>
        <w:t>CRUZ</w:t>
      </w:r>
      <w:r w:rsidRPr="00531B12">
        <w:rPr>
          <w:rFonts w:ascii="Abadi" w:hAnsi="Abadi"/>
          <w:b/>
          <w:bCs/>
          <w:spacing w:val="38"/>
          <w:sz w:val="20"/>
          <w:szCs w:val="20"/>
        </w:rPr>
        <w:t xml:space="preserve"> </w:t>
      </w:r>
      <w:r w:rsidRPr="00531B12">
        <w:rPr>
          <w:rFonts w:ascii="Abadi" w:hAnsi="Abadi"/>
          <w:b/>
          <w:bCs/>
          <w:sz w:val="20"/>
          <w:szCs w:val="20"/>
        </w:rPr>
        <w:t>DE</w:t>
      </w:r>
      <w:r w:rsidRPr="00531B12">
        <w:rPr>
          <w:rFonts w:ascii="Abadi" w:hAnsi="Abadi"/>
          <w:b/>
          <w:bCs/>
          <w:spacing w:val="38"/>
          <w:sz w:val="20"/>
          <w:szCs w:val="20"/>
        </w:rPr>
        <w:t xml:space="preserve"> </w:t>
      </w:r>
      <w:r w:rsidRPr="00531B12">
        <w:rPr>
          <w:rFonts w:ascii="Abadi" w:hAnsi="Abadi"/>
          <w:b/>
          <w:bCs/>
          <w:sz w:val="20"/>
          <w:szCs w:val="20"/>
        </w:rPr>
        <w:t>JUVENTINO</w:t>
      </w:r>
      <w:r w:rsidRPr="00531B12">
        <w:rPr>
          <w:rFonts w:ascii="Abadi" w:hAnsi="Abadi"/>
          <w:b/>
          <w:bCs/>
          <w:spacing w:val="38"/>
          <w:sz w:val="20"/>
          <w:szCs w:val="20"/>
        </w:rPr>
        <w:t xml:space="preserve"> </w:t>
      </w:r>
      <w:r w:rsidRPr="00531B12">
        <w:rPr>
          <w:rFonts w:ascii="Abadi" w:hAnsi="Abadi"/>
          <w:b/>
          <w:bCs/>
          <w:sz w:val="20"/>
          <w:szCs w:val="20"/>
        </w:rPr>
        <w:t>ROSAS,</w:t>
      </w:r>
      <w:r w:rsidRPr="00531B12">
        <w:rPr>
          <w:rFonts w:ascii="Abadi" w:hAnsi="Abadi"/>
          <w:b/>
          <w:bCs/>
          <w:spacing w:val="37"/>
          <w:sz w:val="20"/>
          <w:szCs w:val="20"/>
        </w:rPr>
        <w:t xml:space="preserve"> </w:t>
      </w:r>
      <w:r w:rsidRPr="00531B12">
        <w:rPr>
          <w:rFonts w:ascii="Abadi" w:hAnsi="Abadi"/>
          <w:b/>
          <w:bCs/>
          <w:sz w:val="20"/>
          <w:szCs w:val="20"/>
        </w:rPr>
        <w:t>SANTIAGO</w:t>
      </w:r>
      <w:r w:rsidRPr="00531B12">
        <w:rPr>
          <w:rFonts w:ascii="Abadi" w:hAnsi="Abadi"/>
          <w:b/>
          <w:bCs/>
          <w:spacing w:val="-2"/>
          <w:sz w:val="20"/>
          <w:szCs w:val="20"/>
        </w:rPr>
        <w:t xml:space="preserve"> </w:t>
      </w:r>
      <w:r w:rsidRPr="00531B12">
        <w:rPr>
          <w:rFonts w:ascii="Abadi" w:hAnsi="Abadi"/>
          <w:b/>
          <w:bCs/>
          <w:sz w:val="20"/>
          <w:szCs w:val="20"/>
        </w:rPr>
        <w:t>MARAVATÍO,</w:t>
      </w:r>
      <w:r w:rsidRPr="00531B12">
        <w:rPr>
          <w:rFonts w:ascii="Abadi" w:hAnsi="Abadi"/>
          <w:b/>
          <w:bCs/>
          <w:spacing w:val="18"/>
          <w:sz w:val="20"/>
          <w:szCs w:val="20"/>
        </w:rPr>
        <w:t xml:space="preserve"> </w:t>
      </w:r>
      <w:r w:rsidRPr="00531B12">
        <w:rPr>
          <w:rFonts w:ascii="Abadi" w:hAnsi="Abadi"/>
          <w:b/>
          <w:bCs/>
          <w:sz w:val="20"/>
          <w:szCs w:val="20"/>
        </w:rPr>
        <w:t>VICTORIA,</w:t>
      </w:r>
      <w:r w:rsidRPr="00531B12">
        <w:rPr>
          <w:rFonts w:ascii="Abadi" w:hAnsi="Abadi"/>
          <w:b/>
          <w:bCs/>
          <w:spacing w:val="18"/>
          <w:sz w:val="20"/>
          <w:szCs w:val="20"/>
        </w:rPr>
        <w:t xml:space="preserve"> </w:t>
      </w:r>
      <w:r w:rsidRPr="00531B12">
        <w:rPr>
          <w:rFonts w:ascii="Abadi" w:hAnsi="Abadi"/>
          <w:b/>
          <w:bCs/>
          <w:sz w:val="20"/>
          <w:szCs w:val="20"/>
        </w:rPr>
        <w:t>VILLAGRÁN,</w:t>
      </w:r>
      <w:r w:rsidRPr="00531B12">
        <w:rPr>
          <w:rFonts w:ascii="Abadi" w:hAnsi="Abadi"/>
          <w:b/>
          <w:bCs/>
          <w:spacing w:val="18"/>
          <w:sz w:val="20"/>
          <w:szCs w:val="20"/>
        </w:rPr>
        <w:t xml:space="preserve"> </w:t>
      </w:r>
      <w:r w:rsidRPr="00531B12">
        <w:rPr>
          <w:rFonts w:ascii="Abadi" w:hAnsi="Abadi"/>
          <w:b/>
          <w:bCs/>
          <w:sz w:val="20"/>
          <w:szCs w:val="20"/>
        </w:rPr>
        <w:t>XICHÚ</w:t>
      </w:r>
      <w:r w:rsidRPr="00531B12">
        <w:rPr>
          <w:rFonts w:ascii="Abadi" w:hAnsi="Abadi"/>
          <w:b/>
          <w:bCs/>
          <w:spacing w:val="18"/>
          <w:sz w:val="20"/>
          <w:szCs w:val="20"/>
        </w:rPr>
        <w:t xml:space="preserve"> </w:t>
      </w:r>
      <w:r w:rsidRPr="00531B12">
        <w:rPr>
          <w:rFonts w:ascii="Abadi" w:hAnsi="Abadi"/>
          <w:b/>
          <w:bCs/>
          <w:sz w:val="20"/>
          <w:szCs w:val="20"/>
        </w:rPr>
        <w:t>Y</w:t>
      </w:r>
      <w:r w:rsidRPr="00531B12">
        <w:rPr>
          <w:rFonts w:ascii="Abadi" w:hAnsi="Abadi"/>
          <w:b/>
          <w:bCs/>
          <w:spacing w:val="18"/>
          <w:sz w:val="20"/>
          <w:szCs w:val="20"/>
        </w:rPr>
        <w:t xml:space="preserve"> </w:t>
      </w:r>
      <w:r w:rsidRPr="00531B12">
        <w:rPr>
          <w:rFonts w:ascii="Abadi" w:hAnsi="Abadi"/>
          <w:b/>
          <w:bCs/>
          <w:sz w:val="20"/>
          <w:szCs w:val="20"/>
        </w:rPr>
        <w:t>YURIRIA,</w:t>
      </w:r>
      <w:r w:rsidRPr="00531B12">
        <w:rPr>
          <w:rFonts w:ascii="Abadi" w:hAnsi="Abadi"/>
          <w:b/>
          <w:bCs/>
          <w:spacing w:val="18"/>
          <w:sz w:val="20"/>
          <w:szCs w:val="20"/>
        </w:rPr>
        <w:t xml:space="preserve"> </w:t>
      </w:r>
      <w:r w:rsidRPr="00531B12">
        <w:rPr>
          <w:rFonts w:ascii="Abadi" w:hAnsi="Abadi"/>
          <w:b/>
          <w:bCs/>
          <w:sz w:val="20"/>
          <w:szCs w:val="20"/>
        </w:rPr>
        <w:t>A</w:t>
      </w:r>
      <w:r w:rsidRPr="00531B12">
        <w:rPr>
          <w:rFonts w:ascii="Abadi" w:hAnsi="Abadi"/>
          <w:b/>
          <w:bCs/>
          <w:spacing w:val="18"/>
          <w:sz w:val="20"/>
          <w:szCs w:val="20"/>
        </w:rPr>
        <w:t xml:space="preserve"> </w:t>
      </w:r>
      <w:r w:rsidRPr="00531B12">
        <w:rPr>
          <w:rFonts w:ascii="Abadi" w:hAnsi="Abadi"/>
          <w:b/>
          <w:bCs/>
          <w:sz w:val="20"/>
          <w:szCs w:val="20"/>
        </w:rPr>
        <w:t>EFECTO,</w:t>
      </w:r>
      <w:r w:rsidRPr="00531B12">
        <w:rPr>
          <w:rFonts w:ascii="Abadi" w:hAnsi="Abadi"/>
          <w:b/>
          <w:bCs/>
          <w:spacing w:val="18"/>
          <w:sz w:val="20"/>
          <w:szCs w:val="20"/>
        </w:rPr>
        <w:t xml:space="preserve"> </w:t>
      </w:r>
      <w:r w:rsidRPr="00531B12">
        <w:rPr>
          <w:rFonts w:ascii="Abadi" w:hAnsi="Abadi"/>
          <w:b/>
          <w:bCs/>
          <w:sz w:val="20"/>
          <w:szCs w:val="20"/>
        </w:rPr>
        <w:t>DE</w:t>
      </w:r>
      <w:r w:rsidRPr="00531B12">
        <w:rPr>
          <w:rFonts w:ascii="Abadi" w:hAnsi="Abadi"/>
          <w:b/>
          <w:bCs/>
          <w:spacing w:val="18"/>
          <w:sz w:val="20"/>
          <w:szCs w:val="20"/>
        </w:rPr>
        <w:t xml:space="preserve"> </w:t>
      </w:r>
      <w:r w:rsidRPr="00531B12">
        <w:rPr>
          <w:rFonts w:ascii="Abadi" w:hAnsi="Abadi"/>
          <w:b/>
          <w:bCs/>
          <w:sz w:val="20"/>
          <w:szCs w:val="20"/>
        </w:rPr>
        <w:t>QUE</w:t>
      </w:r>
      <w:r w:rsidRPr="00531B12">
        <w:rPr>
          <w:rFonts w:ascii="Abadi" w:hAnsi="Abadi"/>
          <w:b/>
          <w:bCs/>
          <w:spacing w:val="18"/>
          <w:sz w:val="20"/>
          <w:szCs w:val="20"/>
        </w:rPr>
        <w:t xml:space="preserve"> </w:t>
      </w:r>
      <w:r w:rsidRPr="00531B12">
        <w:rPr>
          <w:rFonts w:ascii="Abadi" w:hAnsi="Abadi"/>
          <w:b/>
          <w:bCs/>
          <w:sz w:val="20"/>
          <w:szCs w:val="20"/>
        </w:rPr>
        <w:t>EXPIDAN</w:t>
      </w:r>
      <w:r w:rsidRPr="00531B12">
        <w:rPr>
          <w:rFonts w:ascii="Abadi" w:hAnsi="Abadi"/>
          <w:b/>
          <w:bCs/>
          <w:spacing w:val="18"/>
          <w:sz w:val="20"/>
          <w:szCs w:val="20"/>
        </w:rPr>
        <w:t xml:space="preserve"> </w:t>
      </w:r>
      <w:r w:rsidRPr="00531B12">
        <w:rPr>
          <w:rFonts w:ascii="Abadi" w:hAnsi="Abadi"/>
          <w:b/>
          <w:bCs/>
          <w:sz w:val="20"/>
          <w:szCs w:val="20"/>
        </w:rPr>
        <w:t>SU</w:t>
      </w:r>
      <w:r w:rsidRPr="00531B12">
        <w:rPr>
          <w:rFonts w:ascii="Abadi" w:hAnsi="Abadi"/>
          <w:b/>
          <w:bCs/>
          <w:spacing w:val="-2"/>
          <w:sz w:val="20"/>
          <w:szCs w:val="20"/>
        </w:rPr>
        <w:t xml:space="preserve"> </w:t>
      </w:r>
      <w:r w:rsidRPr="00531B12">
        <w:rPr>
          <w:rFonts w:ascii="Abadi" w:hAnsi="Abadi"/>
          <w:b/>
          <w:bCs/>
          <w:sz w:val="20"/>
          <w:szCs w:val="20"/>
        </w:rPr>
        <w:t>PROGRAMA</w:t>
      </w:r>
      <w:r w:rsidRPr="00531B12">
        <w:rPr>
          <w:rFonts w:ascii="Abadi" w:hAnsi="Abadi"/>
          <w:b/>
          <w:bCs/>
          <w:spacing w:val="65"/>
          <w:w w:val="150"/>
          <w:sz w:val="20"/>
          <w:szCs w:val="20"/>
        </w:rPr>
        <w:t xml:space="preserve"> </w:t>
      </w:r>
      <w:r w:rsidRPr="00531B12">
        <w:rPr>
          <w:rFonts w:ascii="Abadi" w:hAnsi="Abadi"/>
          <w:b/>
          <w:bCs/>
          <w:sz w:val="20"/>
          <w:szCs w:val="20"/>
        </w:rPr>
        <w:t>MUNICIPAL</w:t>
      </w:r>
      <w:r w:rsidRPr="00531B12">
        <w:rPr>
          <w:rFonts w:ascii="Abadi" w:hAnsi="Abadi"/>
          <w:b/>
          <w:bCs/>
          <w:spacing w:val="64"/>
          <w:w w:val="150"/>
          <w:sz w:val="20"/>
          <w:szCs w:val="20"/>
        </w:rPr>
        <w:t xml:space="preserve"> </w:t>
      </w:r>
      <w:r w:rsidRPr="00531B12">
        <w:rPr>
          <w:rFonts w:ascii="Abadi" w:hAnsi="Abadi"/>
          <w:b/>
          <w:bCs/>
          <w:sz w:val="20"/>
          <w:szCs w:val="20"/>
        </w:rPr>
        <w:t>DE</w:t>
      </w:r>
      <w:r w:rsidRPr="00531B12">
        <w:rPr>
          <w:rFonts w:ascii="Abadi" w:hAnsi="Abadi"/>
          <w:b/>
          <w:bCs/>
          <w:spacing w:val="65"/>
          <w:w w:val="150"/>
          <w:sz w:val="20"/>
          <w:szCs w:val="20"/>
        </w:rPr>
        <w:t xml:space="preserve"> </w:t>
      </w:r>
      <w:r w:rsidRPr="00531B12">
        <w:rPr>
          <w:rFonts w:ascii="Abadi" w:hAnsi="Abadi"/>
          <w:b/>
          <w:bCs/>
          <w:sz w:val="20"/>
          <w:szCs w:val="20"/>
        </w:rPr>
        <w:t>DESARROLLO</w:t>
      </w:r>
      <w:r w:rsidRPr="00531B12">
        <w:rPr>
          <w:rFonts w:ascii="Abadi" w:hAnsi="Abadi"/>
          <w:b/>
          <w:bCs/>
          <w:spacing w:val="65"/>
          <w:w w:val="150"/>
          <w:sz w:val="20"/>
          <w:szCs w:val="20"/>
        </w:rPr>
        <w:t xml:space="preserve"> </w:t>
      </w:r>
      <w:r w:rsidRPr="00531B12">
        <w:rPr>
          <w:rFonts w:ascii="Abadi" w:hAnsi="Abadi"/>
          <w:b/>
          <w:bCs/>
          <w:sz w:val="20"/>
          <w:szCs w:val="20"/>
        </w:rPr>
        <w:t>URBANO</w:t>
      </w:r>
      <w:r w:rsidRPr="00531B12">
        <w:rPr>
          <w:rFonts w:ascii="Abadi" w:hAnsi="Abadi"/>
          <w:b/>
          <w:bCs/>
          <w:spacing w:val="65"/>
          <w:w w:val="150"/>
          <w:sz w:val="20"/>
          <w:szCs w:val="20"/>
        </w:rPr>
        <w:t xml:space="preserve"> </w:t>
      </w:r>
      <w:r w:rsidRPr="00531B12">
        <w:rPr>
          <w:rFonts w:ascii="Abadi" w:hAnsi="Abadi"/>
          <w:b/>
          <w:bCs/>
          <w:sz w:val="20"/>
          <w:szCs w:val="20"/>
        </w:rPr>
        <w:t>Y</w:t>
      </w:r>
      <w:r w:rsidRPr="00531B12">
        <w:rPr>
          <w:rFonts w:ascii="Abadi" w:hAnsi="Abadi"/>
          <w:b/>
          <w:bCs/>
          <w:spacing w:val="65"/>
          <w:w w:val="150"/>
          <w:sz w:val="20"/>
          <w:szCs w:val="20"/>
        </w:rPr>
        <w:t xml:space="preserve"> </w:t>
      </w:r>
      <w:r w:rsidRPr="00531B12">
        <w:rPr>
          <w:rFonts w:ascii="Abadi" w:hAnsi="Abadi"/>
          <w:b/>
          <w:bCs/>
          <w:sz w:val="20"/>
          <w:szCs w:val="20"/>
        </w:rPr>
        <w:t>ORDENAMIENTO</w:t>
      </w:r>
      <w:r w:rsidRPr="00531B12">
        <w:rPr>
          <w:rFonts w:ascii="Abadi" w:hAnsi="Abadi"/>
          <w:b/>
          <w:bCs/>
          <w:spacing w:val="65"/>
          <w:w w:val="150"/>
          <w:sz w:val="20"/>
          <w:szCs w:val="20"/>
        </w:rPr>
        <w:t xml:space="preserve"> </w:t>
      </w:r>
      <w:r w:rsidRPr="00531B12">
        <w:rPr>
          <w:rFonts w:ascii="Abadi" w:hAnsi="Abadi"/>
          <w:b/>
          <w:bCs/>
          <w:sz w:val="20"/>
          <w:szCs w:val="20"/>
        </w:rPr>
        <w:t>ECOLÓGICO</w:t>
      </w:r>
      <w:r w:rsidRPr="00531B12">
        <w:rPr>
          <w:rFonts w:ascii="Abadi" w:hAnsi="Abadi"/>
          <w:b/>
          <w:bCs/>
          <w:spacing w:val="-2"/>
          <w:sz w:val="20"/>
          <w:szCs w:val="20"/>
        </w:rPr>
        <w:t xml:space="preserve"> </w:t>
      </w:r>
      <w:r w:rsidRPr="00531B12">
        <w:rPr>
          <w:rFonts w:ascii="Abadi" w:hAnsi="Abadi"/>
          <w:b/>
          <w:bCs/>
          <w:sz w:val="20"/>
          <w:szCs w:val="20"/>
        </w:rPr>
        <w:t>TERRITORIAL</w:t>
      </w:r>
      <w:r w:rsidRPr="00531B12">
        <w:rPr>
          <w:rFonts w:ascii="Abadi" w:hAnsi="Abadi"/>
          <w:b/>
          <w:bCs/>
          <w:spacing w:val="-1"/>
          <w:sz w:val="20"/>
          <w:szCs w:val="20"/>
        </w:rPr>
        <w:t xml:space="preserve"> </w:t>
      </w:r>
      <w:r w:rsidRPr="00531B12">
        <w:rPr>
          <w:rFonts w:ascii="Abadi" w:hAnsi="Abadi"/>
          <w:b/>
          <w:bCs/>
          <w:sz w:val="20"/>
          <w:szCs w:val="20"/>
        </w:rPr>
        <w:t>Y,</w:t>
      </w:r>
      <w:r w:rsidRPr="00531B12">
        <w:rPr>
          <w:rFonts w:ascii="Abadi" w:hAnsi="Abadi"/>
          <w:b/>
          <w:bCs/>
          <w:spacing w:val="-1"/>
          <w:sz w:val="20"/>
          <w:szCs w:val="20"/>
        </w:rPr>
        <w:t xml:space="preserve"> </w:t>
      </w:r>
      <w:r w:rsidRPr="00531B12">
        <w:rPr>
          <w:rFonts w:ascii="Abadi" w:hAnsi="Abadi"/>
          <w:b/>
          <w:bCs/>
          <w:sz w:val="20"/>
          <w:szCs w:val="20"/>
        </w:rPr>
        <w:t>EN</w:t>
      </w:r>
      <w:r w:rsidRPr="00531B12">
        <w:rPr>
          <w:rFonts w:ascii="Abadi" w:hAnsi="Abadi"/>
          <w:b/>
          <w:bCs/>
          <w:spacing w:val="-1"/>
          <w:sz w:val="20"/>
          <w:szCs w:val="20"/>
        </w:rPr>
        <w:t xml:space="preserve"> </w:t>
      </w:r>
      <w:r w:rsidRPr="00531B12">
        <w:rPr>
          <w:rFonts w:ascii="Abadi" w:hAnsi="Abadi"/>
          <w:b/>
          <w:bCs/>
          <w:sz w:val="20"/>
          <w:szCs w:val="20"/>
        </w:rPr>
        <w:t>SU</w:t>
      </w:r>
      <w:r w:rsidRPr="00531B12">
        <w:rPr>
          <w:rFonts w:ascii="Abadi" w:hAnsi="Abadi"/>
          <w:b/>
          <w:bCs/>
          <w:spacing w:val="-1"/>
          <w:sz w:val="20"/>
          <w:szCs w:val="20"/>
        </w:rPr>
        <w:t xml:space="preserve"> </w:t>
      </w:r>
      <w:r w:rsidRPr="00531B12">
        <w:rPr>
          <w:rFonts w:ascii="Abadi" w:hAnsi="Abadi"/>
          <w:b/>
          <w:bCs/>
          <w:sz w:val="20"/>
          <w:szCs w:val="20"/>
        </w:rPr>
        <w:t>CASO,</w:t>
      </w:r>
      <w:r w:rsidRPr="00531B12">
        <w:rPr>
          <w:rFonts w:ascii="Abadi" w:hAnsi="Abadi"/>
          <w:b/>
          <w:bCs/>
          <w:spacing w:val="-1"/>
          <w:sz w:val="20"/>
          <w:szCs w:val="20"/>
        </w:rPr>
        <w:t xml:space="preserve"> </w:t>
      </w:r>
      <w:r w:rsidRPr="00531B12">
        <w:rPr>
          <w:rFonts w:ascii="Abadi" w:hAnsi="Abadi"/>
          <w:b/>
          <w:bCs/>
          <w:sz w:val="20"/>
          <w:szCs w:val="20"/>
        </w:rPr>
        <w:t>APROBACIÓN</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MISMA.</w:t>
      </w:r>
    </w:p>
    <w:p w14:paraId="4CAD95F2" w14:textId="63ECF0A1" w:rsidR="0009116B" w:rsidRDefault="0009116B" w:rsidP="00F67A15">
      <w:pPr>
        <w:rPr>
          <w:rFonts w:ascii="Abadi" w:hAnsi="Abadi"/>
          <w:b/>
          <w:bCs/>
          <w:sz w:val="20"/>
          <w:szCs w:val="20"/>
        </w:rPr>
      </w:pPr>
    </w:p>
    <w:p w14:paraId="24380E86" w14:textId="77777777" w:rsidR="00B17BFC" w:rsidRDefault="00B17BFC" w:rsidP="00B17BFC">
      <w:pPr>
        <w:autoSpaceDE w:val="0"/>
        <w:autoSpaceDN w:val="0"/>
        <w:adjustRightInd w:val="0"/>
        <w:jc w:val="both"/>
        <w:rPr>
          <w:rFonts w:ascii="Abadi" w:eastAsia="Calibri" w:hAnsi="Abadi" w:cs="*Arial-Bold-15330-Identity-H"/>
          <w:b/>
          <w:bCs/>
          <w:color w:val="0E0E0E"/>
          <w:sz w:val="21"/>
          <w:szCs w:val="21"/>
          <w:lang w:val="es-MX" w:eastAsia="en-US"/>
        </w:rPr>
      </w:pPr>
    </w:p>
    <w:p w14:paraId="08A29C0E" w14:textId="3E5D8159" w:rsidR="00B17BFC" w:rsidRPr="00B17BFC" w:rsidRDefault="00B17BFC" w:rsidP="00B17BFC">
      <w:pPr>
        <w:autoSpaceDE w:val="0"/>
        <w:autoSpaceDN w:val="0"/>
        <w:adjustRightInd w:val="0"/>
        <w:jc w:val="both"/>
        <w:rPr>
          <w:rFonts w:ascii="Abadi" w:eastAsia="Calibri" w:hAnsi="Abadi" w:cs="*Arial-Bold-15330-Identity-H"/>
          <w:b/>
          <w:bCs/>
          <w:color w:val="0E0E0E"/>
          <w:sz w:val="21"/>
          <w:szCs w:val="21"/>
          <w:lang w:val="es-MX" w:eastAsia="en-US"/>
        </w:rPr>
      </w:pPr>
      <w:r w:rsidRPr="00B17BFC">
        <w:rPr>
          <w:rFonts w:ascii="Abadi" w:eastAsia="Calibri" w:hAnsi="Abadi" w:cs="*Arial-Bold-15330-Identity-H"/>
          <w:b/>
          <w:bCs/>
          <w:color w:val="0E0E0E"/>
          <w:sz w:val="21"/>
          <w:szCs w:val="21"/>
          <w:lang w:val="es-MX" w:eastAsia="en-US"/>
        </w:rPr>
        <w:t>DIPUTADA IRMA LETICIA GONZÁLEZ SÁNCHEZ</w:t>
      </w:r>
    </w:p>
    <w:p w14:paraId="6149805A" w14:textId="77777777" w:rsidR="00B17BFC" w:rsidRPr="00B17BFC" w:rsidRDefault="00B17BFC" w:rsidP="00B17BFC">
      <w:pPr>
        <w:autoSpaceDE w:val="0"/>
        <w:autoSpaceDN w:val="0"/>
        <w:adjustRightInd w:val="0"/>
        <w:jc w:val="both"/>
        <w:rPr>
          <w:rFonts w:ascii="Abadi" w:eastAsia="Calibri" w:hAnsi="Abadi" w:cs="*Arial-Bold-15330-Identity-H"/>
          <w:b/>
          <w:bCs/>
          <w:color w:val="0E0E0E"/>
          <w:sz w:val="21"/>
          <w:szCs w:val="21"/>
          <w:lang w:val="es-MX" w:eastAsia="en-US"/>
        </w:rPr>
      </w:pPr>
      <w:r w:rsidRPr="00B17BFC">
        <w:rPr>
          <w:rFonts w:ascii="Abadi" w:eastAsia="Calibri" w:hAnsi="Abadi" w:cs="*Arial-Bold-15330-Identity-H"/>
          <w:b/>
          <w:bCs/>
          <w:color w:val="0E0E0E"/>
          <w:sz w:val="21"/>
          <w:szCs w:val="21"/>
          <w:lang w:val="es-MX" w:eastAsia="en-US"/>
        </w:rPr>
        <w:t xml:space="preserve">PRESIDENTA </w:t>
      </w:r>
      <w:r w:rsidRPr="00B17BFC">
        <w:rPr>
          <w:rFonts w:ascii="Abadi" w:eastAsia="Calibri" w:hAnsi="Abadi" w:cs="*Arial-15329-Identity-H"/>
          <w:b/>
          <w:bCs/>
          <w:color w:val="0E0E0E"/>
          <w:sz w:val="21"/>
          <w:szCs w:val="21"/>
          <w:lang w:val="es-MX" w:eastAsia="en-US"/>
        </w:rPr>
        <w:t>DEL</w:t>
      </w:r>
      <w:r w:rsidRPr="00B17BFC">
        <w:rPr>
          <w:rFonts w:ascii="Abadi" w:eastAsia="Calibri" w:hAnsi="Abadi" w:cs="*Arial-15329-Identity-H"/>
          <w:color w:val="0E0E0E"/>
          <w:sz w:val="21"/>
          <w:szCs w:val="21"/>
          <w:lang w:val="es-MX" w:eastAsia="en-US"/>
        </w:rPr>
        <w:t xml:space="preserve"> </w:t>
      </w:r>
      <w:r w:rsidRPr="00B17BFC">
        <w:rPr>
          <w:rFonts w:ascii="Abadi" w:eastAsia="Calibri" w:hAnsi="Abadi" w:cs="*Arial-Bold-15330-Identity-H"/>
          <w:b/>
          <w:bCs/>
          <w:color w:val="0E0E0E"/>
          <w:sz w:val="21"/>
          <w:szCs w:val="21"/>
          <w:lang w:val="es-MX" w:eastAsia="en-US"/>
        </w:rPr>
        <w:t xml:space="preserve">CONGRESO </w:t>
      </w:r>
      <w:r w:rsidRPr="00B17BFC">
        <w:rPr>
          <w:rFonts w:ascii="Abadi" w:eastAsia="Calibri" w:hAnsi="Abadi" w:cs="*Arial-15329-Identity-H"/>
          <w:b/>
          <w:bCs/>
          <w:color w:val="0E0E0E"/>
          <w:sz w:val="21"/>
          <w:szCs w:val="21"/>
          <w:lang w:val="es-MX" w:eastAsia="en-US"/>
        </w:rPr>
        <w:t>DEL</w:t>
      </w:r>
      <w:r w:rsidRPr="00B17BFC">
        <w:rPr>
          <w:rFonts w:ascii="Abadi" w:eastAsia="Calibri" w:hAnsi="Abadi" w:cs="*Arial-15329-Identity-H"/>
          <w:color w:val="0E0E0E"/>
          <w:sz w:val="21"/>
          <w:szCs w:val="21"/>
          <w:lang w:val="es-MX" w:eastAsia="en-US"/>
        </w:rPr>
        <w:t xml:space="preserve"> </w:t>
      </w:r>
      <w:r w:rsidRPr="00B17BFC">
        <w:rPr>
          <w:rFonts w:ascii="Abadi" w:eastAsia="Calibri" w:hAnsi="Abadi" w:cs="*Arial-Bold-15330-Identity-H"/>
          <w:b/>
          <w:bCs/>
          <w:color w:val="0E0E0E"/>
          <w:sz w:val="21"/>
          <w:szCs w:val="21"/>
          <w:lang w:val="es-MX" w:eastAsia="en-US"/>
        </w:rPr>
        <w:t>ESTADO</w:t>
      </w:r>
    </w:p>
    <w:p w14:paraId="5BCDF088" w14:textId="77777777" w:rsidR="00B17BFC" w:rsidRPr="00B17BFC" w:rsidRDefault="00B17BFC" w:rsidP="00B17BFC">
      <w:pPr>
        <w:autoSpaceDE w:val="0"/>
        <w:autoSpaceDN w:val="0"/>
        <w:adjustRightInd w:val="0"/>
        <w:jc w:val="both"/>
        <w:rPr>
          <w:rFonts w:ascii="Abadi" w:eastAsia="Calibri" w:hAnsi="Abadi" w:cs="*Arial-Bold-15330-Identity-H"/>
          <w:b/>
          <w:bCs/>
          <w:color w:val="0E0E0E"/>
          <w:sz w:val="21"/>
          <w:szCs w:val="21"/>
          <w:lang w:val="es-MX" w:eastAsia="en-US"/>
        </w:rPr>
      </w:pPr>
      <w:r w:rsidRPr="00B17BFC">
        <w:rPr>
          <w:rFonts w:ascii="Abadi" w:eastAsia="Calibri" w:hAnsi="Abadi" w:cs="*Arial-Bold-15330-Identity-H"/>
          <w:b/>
          <w:bCs/>
          <w:color w:val="0E0E0E"/>
          <w:sz w:val="21"/>
          <w:szCs w:val="21"/>
          <w:lang w:val="es-MX" w:eastAsia="en-US"/>
        </w:rPr>
        <w:t>LIBRE Y SOBERANO DE GUANAJUATO</w:t>
      </w:r>
    </w:p>
    <w:p w14:paraId="06918A92" w14:textId="77777777" w:rsidR="00B17BFC" w:rsidRPr="00B17BFC" w:rsidRDefault="00B17BFC" w:rsidP="00B17BFC">
      <w:pPr>
        <w:autoSpaceDE w:val="0"/>
        <w:autoSpaceDN w:val="0"/>
        <w:adjustRightInd w:val="0"/>
        <w:jc w:val="both"/>
        <w:rPr>
          <w:rFonts w:ascii="Abadi" w:eastAsia="Calibri" w:hAnsi="Abadi" w:cs="*Arial-Bold-15330-Identity-H"/>
          <w:b/>
          <w:bCs/>
          <w:color w:val="0E0E0E"/>
          <w:sz w:val="21"/>
          <w:szCs w:val="21"/>
          <w:lang w:val="es-MX" w:eastAsia="en-US"/>
        </w:rPr>
      </w:pPr>
      <w:r w:rsidRPr="00B17BFC">
        <w:rPr>
          <w:rFonts w:ascii="Abadi" w:eastAsia="Calibri" w:hAnsi="Abadi" w:cs="*Arial-Bold-15330-Identity-H"/>
          <w:b/>
          <w:bCs/>
          <w:color w:val="0E0E0E"/>
          <w:sz w:val="21"/>
          <w:szCs w:val="21"/>
          <w:lang w:val="es-MX" w:eastAsia="en-US"/>
        </w:rPr>
        <w:t>SEXAGÉSIMA QUINTA LEGISLATURA</w:t>
      </w:r>
    </w:p>
    <w:p w14:paraId="187DAB81" w14:textId="77777777" w:rsidR="00B17BFC" w:rsidRPr="00B17BFC" w:rsidRDefault="00B17BFC" w:rsidP="00B17BFC">
      <w:pPr>
        <w:spacing w:after="160" w:line="259" w:lineRule="auto"/>
        <w:jc w:val="both"/>
        <w:rPr>
          <w:rFonts w:ascii="Abadi" w:eastAsia="Calibri" w:hAnsi="Abadi" w:cs="*Arial-Bold-15330-Identity-H"/>
          <w:b/>
          <w:bCs/>
          <w:color w:val="0E0E0E"/>
          <w:sz w:val="21"/>
          <w:szCs w:val="21"/>
          <w:lang w:val="es-MX" w:eastAsia="en-US"/>
        </w:rPr>
      </w:pPr>
      <w:r w:rsidRPr="00B17BFC">
        <w:rPr>
          <w:rFonts w:ascii="Abadi" w:eastAsia="Calibri" w:hAnsi="Abadi" w:cs="*Arial-Bold-15330-Identity-H"/>
          <w:b/>
          <w:bCs/>
          <w:color w:val="0E0E0E"/>
          <w:sz w:val="21"/>
          <w:szCs w:val="21"/>
          <w:lang w:val="es-MX" w:eastAsia="en-US"/>
        </w:rPr>
        <w:t>PRESENTE</w:t>
      </w:r>
    </w:p>
    <w:p w14:paraId="28292AA3" w14:textId="77777777" w:rsidR="00B17BFC" w:rsidRPr="00B17BFC" w:rsidRDefault="00B17BFC" w:rsidP="00B17BFC">
      <w:pPr>
        <w:spacing w:after="160" w:line="259" w:lineRule="auto"/>
        <w:jc w:val="both"/>
        <w:rPr>
          <w:rFonts w:ascii="Abadi" w:eastAsia="Calibri" w:hAnsi="Abadi" w:cs="*Arial-Bold-15330-Identity-H"/>
          <w:b/>
          <w:bCs/>
          <w:color w:val="0E0E0E"/>
          <w:sz w:val="21"/>
          <w:szCs w:val="21"/>
          <w:lang w:val="es-MX" w:eastAsia="en-US"/>
        </w:rPr>
      </w:pPr>
    </w:p>
    <w:p w14:paraId="4E558096" w14:textId="77777777" w:rsidR="00B17BFC" w:rsidRPr="00B17BFC" w:rsidRDefault="00B17BFC" w:rsidP="00B17BFC">
      <w:pPr>
        <w:autoSpaceDE w:val="0"/>
        <w:autoSpaceDN w:val="0"/>
        <w:adjustRightInd w:val="0"/>
        <w:jc w:val="both"/>
        <w:rPr>
          <w:rFonts w:ascii="Abadi" w:eastAsia="Calibri" w:hAnsi="Abadi" w:cs="*Arial-15329-Identity-H"/>
          <w:color w:val="0C0C0C"/>
          <w:sz w:val="21"/>
          <w:szCs w:val="21"/>
          <w:lang w:val="es-MX" w:eastAsia="en-US"/>
        </w:rPr>
      </w:pPr>
      <w:r w:rsidRPr="00B17BFC">
        <w:rPr>
          <w:rFonts w:ascii="Abadi" w:eastAsia="Calibri" w:hAnsi="Abadi" w:cs="*Arial-15329-Identity-H"/>
          <w:color w:val="0C0C0C"/>
          <w:sz w:val="21"/>
          <w:szCs w:val="21"/>
          <w:lang w:val="es-MX" w:eastAsia="en-US"/>
        </w:rPr>
        <w:t xml:space="preserve">Quienes integramos el </w:t>
      </w:r>
      <w:r w:rsidRPr="00B17BFC">
        <w:rPr>
          <w:rFonts w:ascii="Abadi" w:eastAsia="Calibri" w:hAnsi="Abadi" w:cs="*Arial-Bold-15330-Identity-H"/>
          <w:b/>
          <w:bCs/>
          <w:color w:val="0C0C0C"/>
          <w:sz w:val="21"/>
          <w:szCs w:val="21"/>
          <w:lang w:val="es-MX" w:eastAsia="en-US"/>
        </w:rPr>
        <w:t xml:space="preserve">Grupo Parlamentario del Partido Acción Nacional </w:t>
      </w:r>
      <w:r w:rsidRPr="00B17BFC">
        <w:rPr>
          <w:rFonts w:ascii="Abadi" w:eastAsia="Calibri" w:hAnsi="Abadi" w:cs="*Arial-15329-Identity-H"/>
          <w:color w:val="0C0C0C"/>
          <w:sz w:val="21"/>
          <w:szCs w:val="21"/>
          <w:lang w:val="es-MX" w:eastAsia="en-US"/>
        </w:rPr>
        <w:t xml:space="preserve">ante la Sexagésima Quinta Legislatura del Congreso del Estado Libre y Soberano de Guanajuato, con fundamento en lo dispuesto en los artículos 57 párrafo primero de la Constitución Política para el Estado de Guanajuato y, por los artículos, 177 y 204, párrafo primero y fracción 111 de la Ley Orgánica del Poder Legislativo del Estado de Guanajuato, nos permitimos presentar y someter a la consideración de esta Honorable Asamblea, la presente propuesta de </w:t>
      </w:r>
      <w:r w:rsidRPr="00B17BFC">
        <w:rPr>
          <w:rFonts w:ascii="Abadi" w:eastAsia="Calibri" w:hAnsi="Abadi" w:cs="*Arial-Bold-15330-Identity-H"/>
          <w:b/>
          <w:bCs/>
          <w:color w:val="0C0C0C"/>
          <w:sz w:val="21"/>
          <w:szCs w:val="21"/>
          <w:lang w:val="es-MX" w:eastAsia="en-US"/>
        </w:rPr>
        <w:t>punto de acuerdo de obvia,</w:t>
      </w:r>
      <w:r w:rsidRPr="00B17BFC">
        <w:rPr>
          <w:rFonts w:ascii="Abadi" w:eastAsia="Calibri" w:hAnsi="Abadi" w:cs="*Arial-15329-Identity-H"/>
          <w:color w:val="0C0C0C"/>
          <w:sz w:val="21"/>
          <w:szCs w:val="21"/>
          <w:lang w:val="es-MX" w:eastAsia="en-US"/>
        </w:rPr>
        <w:t xml:space="preserve"> </w:t>
      </w:r>
      <w:r w:rsidRPr="00B17BFC">
        <w:rPr>
          <w:rFonts w:ascii="Abadi" w:eastAsia="Calibri" w:hAnsi="Abadi" w:cs="*Arial-Bold-15330-Identity-H"/>
          <w:b/>
          <w:bCs/>
          <w:color w:val="0C0C0C"/>
          <w:sz w:val="21"/>
          <w:szCs w:val="21"/>
          <w:lang w:val="es-MX" w:eastAsia="en-US"/>
        </w:rPr>
        <w:t xml:space="preserve">mediante el cual, el Congreso del Estado Libre </w:t>
      </w:r>
      <w:r w:rsidRPr="00B17BFC">
        <w:rPr>
          <w:rFonts w:ascii="Abadi" w:eastAsia="Calibri" w:hAnsi="Abadi" w:cs="*Arial-15329-Identity-H"/>
          <w:color w:val="0C0C0C"/>
          <w:sz w:val="21"/>
          <w:szCs w:val="21"/>
          <w:lang w:val="es-MX" w:eastAsia="en-US"/>
        </w:rPr>
        <w:t xml:space="preserve">y </w:t>
      </w:r>
      <w:r w:rsidRPr="00B17BFC">
        <w:rPr>
          <w:rFonts w:ascii="Abadi" w:eastAsia="Calibri" w:hAnsi="Abadi" w:cs="*Arial-Bold-15330-Identity-H"/>
          <w:b/>
          <w:bCs/>
          <w:color w:val="0C0C0C"/>
          <w:sz w:val="21"/>
          <w:szCs w:val="21"/>
          <w:lang w:val="es-MX" w:eastAsia="en-US"/>
        </w:rPr>
        <w:t>Soberano de Guanajuato</w:t>
      </w:r>
      <w:r w:rsidRPr="00B17BFC">
        <w:rPr>
          <w:rFonts w:ascii="Abadi" w:eastAsia="Calibri" w:hAnsi="Abadi" w:cs="*Arial-15329-Identity-H"/>
          <w:color w:val="0C0C0C"/>
          <w:sz w:val="21"/>
          <w:szCs w:val="21"/>
          <w:lang w:val="es-MX" w:eastAsia="en-US"/>
        </w:rPr>
        <w:t xml:space="preserve"> </w:t>
      </w:r>
      <w:r w:rsidRPr="00B17BFC">
        <w:rPr>
          <w:rFonts w:ascii="Abadi" w:eastAsia="Calibri" w:hAnsi="Abadi" w:cs="*Arial-Bold-15330-Identity-H"/>
          <w:b/>
          <w:bCs/>
          <w:color w:val="0C0C0C"/>
          <w:sz w:val="21"/>
          <w:szCs w:val="21"/>
          <w:lang w:val="es-MX" w:eastAsia="en-US"/>
        </w:rPr>
        <w:t>exhorta a los Ayuntamientos de Manuel Doblado, Comonfort, Cortázar,</w:t>
      </w:r>
      <w:r w:rsidRPr="00B17BFC">
        <w:rPr>
          <w:rFonts w:ascii="Abadi" w:eastAsia="Calibri" w:hAnsi="Abadi" w:cs="*Arial-15329-Identity-H"/>
          <w:color w:val="0C0C0C"/>
          <w:sz w:val="21"/>
          <w:szCs w:val="21"/>
          <w:lang w:val="es-MX" w:eastAsia="en-US"/>
        </w:rPr>
        <w:t xml:space="preserve"> </w:t>
      </w:r>
      <w:r w:rsidRPr="00B17BFC">
        <w:rPr>
          <w:rFonts w:ascii="Abadi" w:eastAsia="Calibri" w:hAnsi="Abadi" w:cs="*Arial-Bold-15330-Identity-H"/>
          <w:b/>
          <w:bCs/>
          <w:color w:val="0C0C0C"/>
          <w:sz w:val="21"/>
          <w:szCs w:val="21"/>
          <w:lang w:val="es-MX" w:eastAsia="en-US"/>
        </w:rPr>
        <w:t>Huanímaro, Jaral del Progreso, Jerécuaro, Ocampo, Pénjamo, Pueblo Nuevo,</w:t>
      </w:r>
      <w:r w:rsidRPr="00B17BFC">
        <w:rPr>
          <w:rFonts w:ascii="Abadi" w:eastAsia="Calibri" w:hAnsi="Abadi" w:cs="*Arial-15329-Identity-H"/>
          <w:color w:val="0C0C0C"/>
          <w:sz w:val="21"/>
          <w:szCs w:val="21"/>
          <w:lang w:val="es-MX" w:eastAsia="en-US"/>
        </w:rPr>
        <w:t xml:space="preserve"> </w:t>
      </w:r>
      <w:r w:rsidRPr="00B17BFC">
        <w:rPr>
          <w:rFonts w:ascii="Abadi" w:eastAsia="Calibri" w:hAnsi="Abadi" w:cs="*Arial-Bold-15330-Identity-H"/>
          <w:b/>
          <w:bCs/>
          <w:color w:val="0C0C0C"/>
          <w:sz w:val="21"/>
          <w:szCs w:val="21"/>
          <w:lang w:val="es-MX" w:eastAsia="en-US"/>
        </w:rPr>
        <w:t>San Diego de la Unión, San Felipe, San José de Iturbide, Santa Catarina, Santa</w:t>
      </w:r>
      <w:r w:rsidRPr="00B17BFC">
        <w:rPr>
          <w:rFonts w:ascii="Abadi" w:eastAsia="Calibri" w:hAnsi="Abadi" w:cs="*Arial-15329-Identity-H"/>
          <w:color w:val="0C0C0C"/>
          <w:sz w:val="21"/>
          <w:szCs w:val="21"/>
          <w:lang w:val="es-MX" w:eastAsia="en-US"/>
        </w:rPr>
        <w:t xml:space="preserve"> </w:t>
      </w:r>
      <w:r w:rsidRPr="00B17BFC">
        <w:rPr>
          <w:rFonts w:ascii="Abadi" w:eastAsia="Calibri" w:hAnsi="Abadi" w:cs="*Arial-Bold-15330-Identity-H"/>
          <w:b/>
          <w:bCs/>
          <w:color w:val="0C0C0C"/>
          <w:sz w:val="21"/>
          <w:szCs w:val="21"/>
          <w:lang w:val="es-MX" w:eastAsia="en-US"/>
        </w:rPr>
        <w:t xml:space="preserve">Cruz de Juventino Rosas, Santiago Maravatío, Victoria, Villagrán, </w:t>
      </w:r>
      <w:r w:rsidRPr="00B17BFC">
        <w:rPr>
          <w:rFonts w:ascii="Abadi" w:eastAsia="Calibri" w:hAnsi="Abadi" w:cs="*Arial-Bold-15330-Identity-H"/>
          <w:b/>
          <w:bCs/>
          <w:color w:val="0C0C0C"/>
          <w:sz w:val="21"/>
          <w:szCs w:val="21"/>
          <w:lang w:val="es-MX" w:eastAsia="en-US"/>
        </w:rPr>
        <w:t xml:space="preserve">Xichú </w:t>
      </w:r>
      <w:r w:rsidRPr="00B17BFC">
        <w:rPr>
          <w:rFonts w:ascii="Abadi" w:eastAsia="Calibri" w:hAnsi="Abadi" w:cs="*Arial-15329-Identity-H"/>
          <w:color w:val="0C0C0C"/>
          <w:sz w:val="21"/>
          <w:szCs w:val="21"/>
          <w:lang w:val="es-MX" w:eastAsia="en-US"/>
        </w:rPr>
        <w:t xml:space="preserve">y </w:t>
      </w:r>
      <w:r w:rsidRPr="00B17BFC">
        <w:rPr>
          <w:rFonts w:ascii="Abadi" w:eastAsia="Calibri" w:hAnsi="Abadi" w:cs="*Arial-Bold-15330-Identity-H"/>
          <w:b/>
          <w:bCs/>
          <w:color w:val="0C0C0C"/>
          <w:sz w:val="21"/>
          <w:szCs w:val="21"/>
          <w:lang w:val="es-MX" w:eastAsia="en-US"/>
        </w:rPr>
        <w:t xml:space="preserve">Yuriria, a efecto, que expidan su Programa Municipal de Desarrollo Urbano </w:t>
      </w:r>
      <w:r w:rsidRPr="00B17BFC">
        <w:rPr>
          <w:rFonts w:ascii="Abadi" w:eastAsia="Calibri" w:hAnsi="Abadi" w:cs="*Arial-15329-Identity-H"/>
          <w:color w:val="0C0C0C"/>
          <w:sz w:val="21"/>
          <w:szCs w:val="21"/>
          <w:lang w:val="es-MX" w:eastAsia="en-US"/>
        </w:rPr>
        <w:t xml:space="preserve">y </w:t>
      </w:r>
      <w:r w:rsidRPr="00B17BFC">
        <w:rPr>
          <w:rFonts w:ascii="Abadi" w:eastAsia="Calibri" w:hAnsi="Abadi" w:cs="*Arial-Bold-15330-Identity-H"/>
          <w:b/>
          <w:bCs/>
          <w:color w:val="0C0C0C"/>
          <w:sz w:val="21"/>
          <w:szCs w:val="21"/>
          <w:lang w:val="es-MX" w:eastAsia="en-US"/>
        </w:rPr>
        <w:t xml:space="preserve">Ordenamiento Ecológico Territorial, </w:t>
      </w:r>
      <w:r w:rsidRPr="00B17BFC">
        <w:rPr>
          <w:rFonts w:ascii="Abadi" w:eastAsia="Calibri" w:hAnsi="Abadi" w:cs="*Arial-15329-Identity-H"/>
          <w:color w:val="0C0C0C"/>
          <w:sz w:val="21"/>
          <w:szCs w:val="21"/>
          <w:lang w:val="es-MX" w:eastAsia="en-US"/>
        </w:rPr>
        <w:t>lo anterior de conformidad a las siguientes:</w:t>
      </w:r>
    </w:p>
    <w:p w14:paraId="4132DE5F" w14:textId="77777777" w:rsidR="00B17BFC" w:rsidRPr="00B17BFC" w:rsidRDefault="00B17BFC" w:rsidP="00B17BFC">
      <w:pPr>
        <w:autoSpaceDE w:val="0"/>
        <w:autoSpaceDN w:val="0"/>
        <w:adjustRightInd w:val="0"/>
        <w:jc w:val="both"/>
        <w:rPr>
          <w:rFonts w:ascii="Abadi" w:eastAsia="Calibri" w:hAnsi="Abadi" w:cs="*Arial-Bold-15330-Identity-H"/>
          <w:b/>
          <w:bCs/>
          <w:color w:val="0C0C0C"/>
          <w:sz w:val="21"/>
          <w:szCs w:val="21"/>
          <w:lang w:val="es-MX" w:eastAsia="en-US"/>
        </w:rPr>
      </w:pPr>
    </w:p>
    <w:p w14:paraId="5789C138" w14:textId="77777777" w:rsidR="00B17BFC" w:rsidRPr="00B17BFC" w:rsidRDefault="00B17BFC" w:rsidP="00B17BFC">
      <w:pPr>
        <w:autoSpaceDE w:val="0"/>
        <w:autoSpaceDN w:val="0"/>
        <w:adjustRightInd w:val="0"/>
        <w:jc w:val="center"/>
        <w:rPr>
          <w:rFonts w:ascii="Abadi" w:eastAsia="Calibri" w:hAnsi="Abadi" w:cs="*Arial-Bold-15330-Identity-H"/>
          <w:b/>
          <w:bCs/>
          <w:color w:val="0C0C0C"/>
          <w:sz w:val="21"/>
          <w:szCs w:val="21"/>
          <w:lang w:val="es-MX" w:eastAsia="en-US"/>
        </w:rPr>
      </w:pPr>
      <w:r w:rsidRPr="00B17BFC">
        <w:rPr>
          <w:rFonts w:ascii="Abadi" w:eastAsia="Calibri" w:hAnsi="Abadi" w:cs="*Arial-Bold-15330-Identity-H"/>
          <w:b/>
          <w:bCs/>
          <w:color w:val="0C0C0C"/>
          <w:sz w:val="21"/>
          <w:szCs w:val="21"/>
          <w:lang w:val="es-MX" w:eastAsia="en-US"/>
        </w:rPr>
        <w:t>CONSIDERACIONES</w:t>
      </w:r>
    </w:p>
    <w:p w14:paraId="5AC671F6" w14:textId="77777777" w:rsidR="00B17BFC" w:rsidRPr="00B17BFC" w:rsidRDefault="00B17BFC" w:rsidP="00B17BFC">
      <w:pPr>
        <w:autoSpaceDE w:val="0"/>
        <w:autoSpaceDN w:val="0"/>
        <w:adjustRightInd w:val="0"/>
        <w:jc w:val="both"/>
        <w:rPr>
          <w:rFonts w:ascii="Abadi" w:eastAsia="Calibri" w:hAnsi="Abadi" w:cs="*Arial-15329-Identity-H"/>
          <w:color w:val="0E0E0E"/>
          <w:sz w:val="21"/>
          <w:szCs w:val="21"/>
          <w:lang w:val="es-MX" w:eastAsia="en-US"/>
        </w:rPr>
      </w:pPr>
    </w:p>
    <w:p w14:paraId="0A0EC46F" w14:textId="44B991B5" w:rsidR="00B17BFC" w:rsidRPr="00B17BFC" w:rsidRDefault="00B17BFC" w:rsidP="00B17BFC">
      <w:pPr>
        <w:autoSpaceDE w:val="0"/>
        <w:autoSpaceDN w:val="0"/>
        <w:adjustRightInd w:val="0"/>
        <w:jc w:val="both"/>
        <w:rPr>
          <w:rFonts w:ascii="Abadi" w:eastAsia="Calibri" w:hAnsi="Abadi" w:cs="*Arial-15329-Identity-H"/>
          <w:color w:val="0E0E0E"/>
          <w:sz w:val="21"/>
          <w:szCs w:val="21"/>
          <w:lang w:val="es-MX" w:eastAsia="en-US"/>
        </w:rPr>
      </w:pPr>
      <w:r w:rsidRPr="00B17BFC">
        <w:rPr>
          <w:rFonts w:ascii="Abadi" w:eastAsia="Calibri" w:hAnsi="Abadi" w:cs="*Arial-15329-Identity-H"/>
          <w:color w:val="0E0E0E"/>
          <w:sz w:val="21"/>
          <w:szCs w:val="21"/>
          <w:lang w:val="es-MX" w:eastAsia="en-US"/>
        </w:rPr>
        <w:t xml:space="preserve">Hoy en día, alrededor del 55 % de la población mundial, es decir, 4200 (cuatro mil doscientos) millones de habitantes, viven en ciudades. Se estima que dicha tendencia continuará y en 2050, la población urbana se duplicará. Si el crecimiento de las ciudades se realiza adecuadamente, se puede contribuir al crecimiento sostenible, aumentar la productividad, la innovación y el surgimiento de nuevas ideas. </w:t>
      </w:r>
      <w:r w:rsidR="002F5A62">
        <w:rPr>
          <w:rStyle w:val="Refdenotaalpie"/>
          <w:rFonts w:ascii="Abadi" w:eastAsia="Calibri" w:hAnsi="Abadi" w:cs="*Arial-15329-Identity-H"/>
          <w:color w:val="0E0E0E"/>
          <w:sz w:val="21"/>
          <w:szCs w:val="21"/>
          <w:lang w:val="es-MX" w:eastAsia="en-US"/>
        </w:rPr>
        <w:footnoteReference w:id="32"/>
      </w:r>
    </w:p>
    <w:p w14:paraId="73929689" w14:textId="77777777" w:rsidR="00B17BFC" w:rsidRPr="00B17BFC" w:rsidRDefault="00B17BFC" w:rsidP="00B17BFC">
      <w:pPr>
        <w:spacing w:after="160" w:line="259" w:lineRule="auto"/>
        <w:jc w:val="both"/>
        <w:rPr>
          <w:rFonts w:ascii="Abadi" w:eastAsia="Calibri" w:hAnsi="Abadi" w:cs="*Arial-15328-Identity-H"/>
          <w:color w:val="0E0E0E"/>
          <w:sz w:val="21"/>
          <w:szCs w:val="21"/>
          <w:lang w:val="es-MX" w:eastAsia="en-US"/>
        </w:rPr>
      </w:pPr>
    </w:p>
    <w:p w14:paraId="59A5F928" w14:textId="77777777" w:rsidR="00B17BFC" w:rsidRPr="00B17BFC" w:rsidRDefault="00B17BFC" w:rsidP="00B17BFC">
      <w:pPr>
        <w:autoSpaceDE w:val="0"/>
        <w:autoSpaceDN w:val="0"/>
        <w:adjustRightInd w:val="0"/>
        <w:jc w:val="both"/>
        <w:rPr>
          <w:rFonts w:ascii="Abadi" w:eastAsia="Calibri" w:hAnsi="Abadi" w:cs="*Arial-13876-Identity-H"/>
          <w:color w:val="0D0D0D"/>
          <w:sz w:val="21"/>
          <w:szCs w:val="21"/>
          <w:lang w:val="es-MX" w:eastAsia="en-US"/>
        </w:rPr>
      </w:pPr>
      <w:r w:rsidRPr="00B17BFC">
        <w:rPr>
          <w:rFonts w:ascii="Abadi" w:eastAsia="Calibri" w:hAnsi="Abadi" w:cs="*Arial-13876-Identity-H"/>
          <w:color w:val="0D0D0D"/>
          <w:sz w:val="21"/>
          <w:szCs w:val="21"/>
          <w:lang w:val="es-MX" w:eastAsia="en-US"/>
        </w:rPr>
        <w:t>Cuando hablamos del crecimiento de nuestras ciudades y municipios, nos encontramos con dos obstáculos principales que debemos enfrentar, la pobreza y la afectación al medio ambiente.</w:t>
      </w:r>
    </w:p>
    <w:p w14:paraId="4F54693E" w14:textId="77777777" w:rsidR="00B17BFC" w:rsidRPr="00B17BFC" w:rsidRDefault="00B17BFC" w:rsidP="00B17BFC">
      <w:pPr>
        <w:autoSpaceDE w:val="0"/>
        <w:autoSpaceDN w:val="0"/>
        <w:adjustRightInd w:val="0"/>
        <w:jc w:val="both"/>
        <w:rPr>
          <w:rFonts w:ascii="Abadi" w:eastAsia="Calibri" w:hAnsi="Abadi" w:cs="*Arial-13876-Identity-H"/>
          <w:color w:val="0D0D0D"/>
          <w:sz w:val="21"/>
          <w:szCs w:val="21"/>
          <w:lang w:val="es-MX" w:eastAsia="en-US"/>
        </w:rPr>
      </w:pPr>
    </w:p>
    <w:p w14:paraId="74565712" w14:textId="0EABE5DA" w:rsidR="00B17BFC" w:rsidRPr="00B17BFC" w:rsidRDefault="00B17BFC" w:rsidP="00B17BFC">
      <w:pPr>
        <w:autoSpaceDE w:val="0"/>
        <w:autoSpaceDN w:val="0"/>
        <w:adjustRightInd w:val="0"/>
        <w:jc w:val="both"/>
        <w:rPr>
          <w:rFonts w:ascii="Abadi" w:eastAsia="Calibri" w:hAnsi="Abadi" w:cs="*Arial-13876-Identity-H"/>
          <w:color w:val="0D0D0D"/>
          <w:sz w:val="21"/>
          <w:szCs w:val="21"/>
          <w:lang w:val="es-MX" w:eastAsia="en-US"/>
        </w:rPr>
      </w:pPr>
      <w:r w:rsidRPr="00B17BFC">
        <w:rPr>
          <w:rFonts w:ascii="Abadi" w:eastAsia="Calibri" w:hAnsi="Abadi" w:cs="*Arial-13876-Identity-H"/>
          <w:color w:val="0D0D0D"/>
          <w:sz w:val="21"/>
          <w:szCs w:val="21"/>
          <w:lang w:val="es-MX" w:eastAsia="en-US"/>
        </w:rPr>
        <w:t>La Organización de las Naciones Unidas, estima que, en las próximas décadas, gran parte del crecimiento demográfico en México será de índole urbano.</w:t>
      </w:r>
      <w:r w:rsidR="002F5A62">
        <w:rPr>
          <w:rStyle w:val="Refdenotaalpie"/>
          <w:rFonts w:ascii="Abadi" w:eastAsia="Calibri" w:hAnsi="Abadi" w:cs="*Arial-13876-Identity-H"/>
          <w:color w:val="0D0D0D"/>
          <w:sz w:val="21"/>
          <w:szCs w:val="21"/>
          <w:lang w:val="es-MX" w:eastAsia="en-US"/>
        </w:rPr>
        <w:footnoteReference w:id="33"/>
      </w:r>
    </w:p>
    <w:p w14:paraId="2F574ECB" w14:textId="77777777" w:rsidR="00B17BFC" w:rsidRPr="00B17BFC" w:rsidRDefault="00B17BFC" w:rsidP="00B17BFC">
      <w:pPr>
        <w:autoSpaceDE w:val="0"/>
        <w:autoSpaceDN w:val="0"/>
        <w:adjustRightInd w:val="0"/>
        <w:jc w:val="both"/>
        <w:rPr>
          <w:rFonts w:ascii="Abadi" w:eastAsia="Calibri" w:hAnsi="Abadi" w:cs="*Arial-13876-Identity-H"/>
          <w:color w:val="0D0D0D"/>
          <w:sz w:val="21"/>
          <w:szCs w:val="21"/>
          <w:lang w:val="es-MX" w:eastAsia="en-US"/>
        </w:rPr>
      </w:pPr>
    </w:p>
    <w:p w14:paraId="437681F6" w14:textId="0C22E78C" w:rsidR="00B17BFC" w:rsidRPr="00B17BFC" w:rsidRDefault="00B17BFC" w:rsidP="00B17BFC">
      <w:pPr>
        <w:autoSpaceDE w:val="0"/>
        <w:autoSpaceDN w:val="0"/>
        <w:adjustRightInd w:val="0"/>
        <w:jc w:val="both"/>
        <w:rPr>
          <w:rFonts w:ascii="Abadi" w:eastAsia="Calibri" w:hAnsi="Abadi" w:cs="*Arial-13876-Identity-H"/>
          <w:color w:val="0D0D0D"/>
          <w:sz w:val="21"/>
          <w:szCs w:val="21"/>
          <w:lang w:val="es-MX" w:eastAsia="en-US"/>
        </w:rPr>
      </w:pPr>
      <w:r w:rsidRPr="00B17BFC">
        <w:rPr>
          <w:rFonts w:ascii="Abadi" w:eastAsia="Calibri" w:hAnsi="Abadi" w:cs="*Arial-13876-Identity-H"/>
          <w:color w:val="0D0D0D"/>
          <w:sz w:val="21"/>
          <w:szCs w:val="21"/>
          <w:lang w:val="es-MX" w:eastAsia="en-US"/>
        </w:rPr>
        <w:t xml:space="preserve">Asimismo, se pronostica que los asentamientos humanos irregulares, se expandirán por la falta de oferta de suelo habitacional bien localizado, considerando que las mejores localizaciones serán acaparadas por el mercado formal inmobiliario. </w:t>
      </w:r>
      <w:r w:rsidR="002F5A62">
        <w:rPr>
          <w:rStyle w:val="Refdenotaalpie"/>
          <w:rFonts w:ascii="Abadi" w:eastAsia="Calibri" w:hAnsi="Abadi" w:cs="*Arial-13876-Identity-H"/>
          <w:color w:val="0D0D0D"/>
          <w:sz w:val="21"/>
          <w:szCs w:val="21"/>
          <w:lang w:val="es-MX" w:eastAsia="en-US"/>
        </w:rPr>
        <w:footnoteReference w:id="34"/>
      </w:r>
    </w:p>
    <w:p w14:paraId="34648765" w14:textId="77777777" w:rsidR="00B17BFC" w:rsidRPr="00B17BFC" w:rsidRDefault="00B17BFC" w:rsidP="00B17BFC">
      <w:pPr>
        <w:autoSpaceDE w:val="0"/>
        <w:autoSpaceDN w:val="0"/>
        <w:adjustRightInd w:val="0"/>
        <w:jc w:val="both"/>
        <w:rPr>
          <w:rFonts w:ascii="Abadi" w:eastAsia="Calibri" w:hAnsi="Abadi" w:cs="*Arial-13876-Identity-H"/>
          <w:color w:val="0E0E0E"/>
          <w:sz w:val="21"/>
          <w:szCs w:val="21"/>
          <w:lang w:val="es-MX" w:eastAsia="en-US"/>
        </w:rPr>
      </w:pPr>
    </w:p>
    <w:p w14:paraId="0FAAFD0B" w14:textId="77777777" w:rsidR="00B17BFC" w:rsidRPr="00B17BFC" w:rsidRDefault="00B17BFC" w:rsidP="00B17BFC">
      <w:pPr>
        <w:autoSpaceDE w:val="0"/>
        <w:autoSpaceDN w:val="0"/>
        <w:adjustRightInd w:val="0"/>
        <w:jc w:val="both"/>
        <w:rPr>
          <w:rFonts w:ascii="Abadi" w:eastAsia="Calibri" w:hAnsi="Abadi" w:cs="*Arial-13876-Identity-H"/>
          <w:color w:val="0E0E0E"/>
          <w:sz w:val="21"/>
          <w:szCs w:val="21"/>
          <w:lang w:val="es-MX" w:eastAsia="en-US"/>
        </w:rPr>
      </w:pPr>
      <w:r w:rsidRPr="00B17BFC">
        <w:rPr>
          <w:rFonts w:ascii="Abadi" w:eastAsia="Calibri" w:hAnsi="Abadi" w:cs="*Arial-13876-Identity-H"/>
          <w:color w:val="0E0E0E"/>
          <w:sz w:val="21"/>
          <w:szCs w:val="21"/>
          <w:lang w:val="es-MX" w:eastAsia="en-US"/>
        </w:rPr>
        <w:t xml:space="preserve">Ahora, la pregunta es ¿cómo lograr que Guanajuato evite caer en dichas problemáticas? La respuesta es el cumplimiento a la ley. </w:t>
      </w:r>
    </w:p>
    <w:p w14:paraId="2DBA502F" w14:textId="77777777" w:rsidR="00B17BFC" w:rsidRPr="00B17BFC" w:rsidRDefault="00B17BFC" w:rsidP="00B17BFC">
      <w:pPr>
        <w:autoSpaceDE w:val="0"/>
        <w:autoSpaceDN w:val="0"/>
        <w:adjustRightInd w:val="0"/>
        <w:jc w:val="both"/>
        <w:rPr>
          <w:rFonts w:ascii="Abadi" w:eastAsia="Calibri" w:hAnsi="Abadi" w:cs="*Arial-13876-Identity-H"/>
          <w:color w:val="0E0E0E"/>
          <w:sz w:val="21"/>
          <w:szCs w:val="21"/>
          <w:lang w:val="es-MX" w:eastAsia="en-US"/>
        </w:rPr>
      </w:pPr>
    </w:p>
    <w:p w14:paraId="5FA2F5F6" w14:textId="49B2F07F" w:rsidR="00B17BFC" w:rsidRPr="00B17BFC" w:rsidRDefault="00B17BFC" w:rsidP="00B17BFC">
      <w:pPr>
        <w:autoSpaceDE w:val="0"/>
        <w:autoSpaceDN w:val="0"/>
        <w:adjustRightInd w:val="0"/>
        <w:jc w:val="both"/>
        <w:rPr>
          <w:rFonts w:ascii="Abadi" w:eastAsia="Calibri" w:hAnsi="Abadi" w:cs="*Arial-13876-Identity-H"/>
          <w:color w:val="0E0E0E"/>
          <w:sz w:val="21"/>
          <w:szCs w:val="21"/>
          <w:lang w:val="es-MX" w:eastAsia="en-US"/>
        </w:rPr>
      </w:pPr>
      <w:r w:rsidRPr="00B17BFC">
        <w:rPr>
          <w:rFonts w:ascii="Abadi" w:eastAsia="Calibri" w:hAnsi="Abadi" w:cs="*Arial-13876-Identity-H"/>
          <w:color w:val="0D0D0D"/>
          <w:sz w:val="21"/>
          <w:szCs w:val="21"/>
          <w:lang w:val="es-MX" w:eastAsia="en-US"/>
        </w:rPr>
        <w:t>En nuestro estado contamos con un sistema de planeación, mismo que funciona</w:t>
      </w:r>
      <w:r w:rsidRPr="00B17BFC">
        <w:rPr>
          <w:rFonts w:ascii="Abadi" w:eastAsia="Calibri" w:hAnsi="Abadi" w:cs="*Arial-13876-Identity-H"/>
          <w:color w:val="0E0E0E"/>
          <w:sz w:val="21"/>
          <w:szCs w:val="21"/>
          <w:lang w:val="es-MX" w:eastAsia="en-US"/>
        </w:rPr>
        <w:t xml:space="preserve"> </w:t>
      </w:r>
      <w:r w:rsidRPr="00B17BFC">
        <w:rPr>
          <w:rFonts w:ascii="Abadi" w:eastAsia="Calibri" w:hAnsi="Abadi" w:cs="*Arial-13876-Identity-H"/>
          <w:color w:val="0D0D0D"/>
          <w:sz w:val="21"/>
          <w:szCs w:val="21"/>
          <w:lang w:val="es-MX" w:eastAsia="en-US"/>
        </w:rPr>
        <w:t>como un mecanismo permanente de planeación integral, estratégica y participativa</w:t>
      </w:r>
      <w:r w:rsidRPr="00B17BFC">
        <w:rPr>
          <w:rFonts w:ascii="Abadi" w:eastAsia="Calibri" w:hAnsi="Abadi" w:cs="*Arial-13876-Identity-H"/>
          <w:color w:val="0E0E0E"/>
          <w:sz w:val="21"/>
          <w:szCs w:val="21"/>
          <w:lang w:val="es-MX" w:eastAsia="en-US"/>
        </w:rPr>
        <w:t xml:space="preserve"> </w:t>
      </w:r>
      <w:r w:rsidRPr="00B17BFC">
        <w:rPr>
          <w:rFonts w:ascii="Abadi" w:eastAsia="Calibri" w:hAnsi="Abadi" w:cs="*Arial-13876-Identity-H"/>
          <w:color w:val="0D0D0D"/>
          <w:sz w:val="21"/>
          <w:szCs w:val="21"/>
          <w:lang w:val="es-MX" w:eastAsia="en-US"/>
        </w:rPr>
        <w:t>para establecer procesos de coordinación para lograr el desarrollo de la entidad, al</w:t>
      </w:r>
      <w:r w:rsidRPr="00B17BFC">
        <w:rPr>
          <w:rFonts w:ascii="Abadi" w:eastAsia="Calibri" w:hAnsi="Abadi" w:cs="*Arial-13876-Identity-H"/>
          <w:color w:val="0E0E0E"/>
          <w:sz w:val="21"/>
          <w:szCs w:val="21"/>
          <w:lang w:val="es-MX" w:eastAsia="en-US"/>
        </w:rPr>
        <w:t xml:space="preserve"> </w:t>
      </w:r>
      <w:r w:rsidRPr="00B17BFC">
        <w:rPr>
          <w:rFonts w:ascii="Abadi" w:eastAsia="Calibri" w:hAnsi="Abadi" w:cs="*Arial-13876-Identity-H"/>
          <w:color w:val="0D0D0D"/>
          <w:sz w:val="21"/>
          <w:szCs w:val="21"/>
          <w:lang w:val="es-MX" w:eastAsia="en-US"/>
        </w:rPr>
        <w:t>final del día establece que las autoridades deben tener claro el rumbo al que quieren</w:t>
      </w:r>
      <w:r w:rsidRPr="00B17BFC">
        <w:rPr>
          <w:rFonts w:ascii="Abadi" w:eastAsia="Calibri" w:hAnsi="Abadi" w:cs="*Arial-13876-Identity-H"/>
          <w:color w:val="0E0E0E"/>
          <w:sz w:val="21"/>
          <w:szCs w:val="21"/>
          <w:lang w:val="es-MX" w:eastAsia="en-US"/>
        </w:rPr>
        <w:t xml:space="preserve"> </w:t>
      </w:r>
      <w:r w:rsidRPr="00B17BFC">
        <w:rPr>
          <w:rFonts w:ascii="Abadi" w:eastAsia="Calibri" w:hAnsi="Abadi" w:cs="*Arial-13876-Identity-H"/>
          <w:color w:val="0D0D0D"/>
          <w:sz w:val="21"/>
          <w:szCs w:val="21"/>
          <w:lang w:val="es-MX" w:eastAsia="en-US"/>
        </w:rPr>
        <w:t>llevar a cada uno de sus 46 municipios de nuestra entidad.</w:t>
      </w:r>
      <w:r w:rsidR="00627650">
        <w:rPr>
          <w:rStyle w:val="Refdenotaalpie"/>
          <w:rFonts w:ascii="Abadi" w:eastAsia="Calibri" w:hAnsi="Abadi" w:cs="*Arial-13876-Identity-H"/>
          <w:color w:val="0D0D0D"/>
          <w:sz w:val="21"/>
          <w:szCs w:val="21"/>
          <w:lang w:val="es-MX" w:eastAsia="en-US"/>
        </w:rPr>
        <w:footnoteReference w:id="35"/>
      </w:r>
    </w:p>
    <w:p w14:paraId="09C2C4DF" w14:textId="77777777" w:rsidR="00B17BFC" w:rsidRPr="00B17BFC" w:rsidRDefault="00B17BFC" w:rsidP="00B17BFC">
      <w:pPr>
        <w:autoSpaceDE w:val="0"/>
        <w:autoSpaceDN w:val="0"/>
        <w:adjustRightInd w:val="0"/>
        <w:jc w:val="both"/>
        <w:rPr>
          <w:rFonts w:ascii="Abadi" w:eastAsia="Calibri" w:hAnsi="Abadi" w:cs="*Arial-13876-Identity-H"/>
          <w:color w:val="0D0D0D"/>
          <w:sz w:val="21"/>
          <w:szCs w:val="21"/>
          <w:lang w:val="es-MX" w:eastAsia="en-US"/>
        </w:rPr>
      </w:pPr>
    </w:p>
    <w:p w14:paraId="10076513" w14:textId="4A663C14" w:rsidR="00B17BFC" w:rsidRPr="00B17BFC" w:rsidRDefault="00B17BFC" w:rsidP="00B17BFC">
      <w:pPr>
        <w:autoSpaceDE w:val="0"/>
        <w:autoSpaceDN w:val="0"/>
        <w:adjustRightInd w:val="0"/>
        <w:jc w:val="both"/>
        <w:rPr>
          <w:rFonts w:ascii="Abadi" w:eastAsia="Calibri" w:hAnsi="Abadi" w:cs="*Arial-13876-Identity-H"/>
          <w:color w:val="0D0D0D"/>
          <w:sz w:val="21"/>
          <w:szCs w:val="21"/>
          <w:lang w:val="es-MX" w:eastAsia="en-US"/>
        </w:rPr>
      </w:pPr>
      <w:r w:rsidRPr="00B17BFC">
        <w:rPr>
          <w:rFonts w:ascii="Abadi" w:eastAsia="Calibri" w:hAnsi="Abadi" w:cs="*Arial-13876-Identity-H"/>
          <w:color w:val="0D0D0D"/>
          <w:sz w:val="21"/>
          <w:szCs w:val="21"/>
          <w:lang w:val="es-MX" w:eastAsia="en-US"/>
        </w:rPr>
        <w:t xml:space="preserve">Lo anterior, se regula en la Ley de Planeación para el Estado de Guanajuato, mismos que </w:t>
      </w:r>
      <w:r w:rsidRPr="00B17BFC">
        <w:rPr>
          <w:rFonts w:ascii="Abadi" w:eastAsia="Calibri" w:hAnsi="Abadi" w:cs="*Arial-13876-Identity-H"/>
          <w:color w:val="0D0D0D"/>
          <w:sz w:val="21"/>
          <w:szCs w:val="21"/>
          <w:lang w:val="es-MX" w:eastAsia="en-US"/>
        </w:rPr>
        <w:lastRenderedPageBreak/>
        <w:t>marcan la pauta del desarrollo que se debe seguir de manera transversal entre los distinto órdenes de gobierno; en la Ley de Planeación para nuestro Estado, se contempla que posterior a la publicación del Plan Estatal de Desarrollo, se deben expedir el Plan Municipal de Desarrollo, el Programa</w:t>
      </w:r>
      <w:r w:rsidRPr="00B17BFC">
        <w:rPr>
          <w:rFonts w:ascii="*Arial-13876-Identity-H" w:eastAsia="Calibri" w:hAnsi="*Arial-13876-Identity-H" w:cs="*Arial-13876-Identity-H"/>
          <w:color w:val="0D0D0D"/>
          <w:lang w:val="es-MX" w:eastAsia="en-US"/>
        </w:rPr>
        <w:t xml:space="preserve"> </w:t>
      </w:r>
      <w:r w:rsidRPr="00B17BFC">
        <w:rPr>
          <w:rFonts w:ascii="Abadi" w:eastAsia="Calibri" w:hAnsi="Abadi" w:cs="*Arial-13876-Identity-H"/>
          <w:color w:val="0D0D0D"/>
          <w:sz w:val="21"/>
          <w:szCs w:val="21"/>
          <w:lang w:val="es-MX" w:eastAsia="en-US"/>
        </w:rPr>
        <w:t xml:space="preserve">Municipal de Desarrollo Urbano y de Ordenamientos Ecológico Territorial y finalmente el </w:t>
      </w:r>
      <w:r w:rsidRPr="00B17BFC">
        <w:rPr>
          <w:rFonts w:ascii="Abadi" w:eastAsia="Calibri" w:hAnsi="Abadi" w:cs="*Arial-13605-Identity-H"/>
          <w:color w:val="0D0D0D"/>
          <w:sz w:val="21"/>
          <w:szCs w:val="21"/>
          <w:lang w:val="es-MX" w:eastAsia="en-US"/>
        </w:rPr>
        <w:t>Programa Metropolitano de Desarrollo Urbano y de Ordenamiento Ecológico</w:t>
      </w:r>
      <w:r w:rsidRPr="00B17BFC">
        <w:rPr>
          <w:rFonts w:ascii="Abadi" w:eastAsia="Calibri" w:hAnsi="Abadi" w:cs="*Arial-13876-Identity-H"/>
          <w:color w:val="0D0D0D"/>
          <w:sz w:val="21"/>
          <w:szCs w:val="21"/>
          <w:lang w:val="es-MX" w:eastAsia="en-US"/>
        </w:rPr>
        <w:t xml:space="preserve"> </w:t>
      </w:r>
      <w:r w:rsidRPr="00B17BFC">
        <w:rPr>
          <w:rFonts w:ascii="Abadi" w:eastAsia="Calibri" w:hAnsi="Abadi" w:cs="*Arial-13605-Identity-H"/>
          <w:color w:val="111111"/>
          <w:sz w:val="21"/>
          <w:szCs w:val="21"/>
          <w:lang w:val="es-MX" w:eastAsia="en-US"/>
        </w:rPr>
        <w:t xml:space="preserve">Territorial. </w:t>
      </w:r>
      <w:r w:rsidR="00627650">
        <w:rPr>
          <w:rStyle w:val="Refdenotaalpie"/>
          <w:rFonts w:ascii="Abadi" w:eastAsia="Calibri" w:hAnsi="Abadi" w:cs="*Arial-13605-Identity-H"/>
          <w:color w:val="111111"/>
          <w:sz w:val="21"/>
          <w:szCs w:val="21"/>
          <w:lang w:val="es-MX" w:eastAsia="en-US"/>
        </w:rPr>
        <w:footnoteReference w:id="36"/>
      </w:r>
    </w:p>
    <w:p w14:paraId="06BD3703" w14:textId="77777777" w:rsidR="00B17BFC" w:rsidRPr="00B17BFC" w:rsidRDefault="00B17BFC" w:rsidP="00B17BFC">
      <w:pPr>
        <w:autoSpaceDE w:val="0"/>
        <w:autoSpaceDN w:val="0"/>
        <w:adjustRightInd w:val="0"/>
        <w:jc w:val="both"/>
        <w:rPr>
          <w:rFonts w:ascii="Abadi" w:eastAsia="Calibri" w:hAnsi="Abadi" w:cs="*Arial-13605-Identity-H"/>
          <w:color w:val="0D0D0D"/>
          <w:sz w:val="21"/>
          <w:szCs w:val="21"/>
          <w:lang w:val="es-MX" w:eastAsia="en-US"/>
        </w:rPr>
      </w:pPr>
    </w:p>
    <w:p w14:paraId="23F42EE8" w14:textId="7F1C09BA" w:rsidR="00B17BFC" w:rsidRPr="00B17BFC" w:rsidRDefault="00B17BFC" w:rsidP="00B17BFC">
      <w:pPr>
        <w:autoSpaceDE w:val="0"/>
        <w:autoSpaceDN w:val="0"/>
        <w:adjustRightInd w:val="0"/>
        <w:jc w:val="both"/>
        <w:rPr>
          <w:rFonts w:ascii="Abadi" w:eastAsia="Calibri" w:hAnsi="Abadi" w:cs="*Arial-13605-Identity-H"/>
          <w:color w:val="0D0D0D"/>
          <w:sz w:val="21"/>
          <w:szCs w:val="21"/>
          <w:lang w:val="es-MX" w:eastAsia="en-US"/>
        </w:rPr>
      </w:pPr>
      <w:r w:rsidRPr="00B17BFC">
        <w:rPr>
          <w:rFonts w:ascii="Abadi" w:eastAsia="Calibri" w:hAnsi="Abadi" w:cs="*Arial-13605-Identity-H"/>
          <w:color w:val="0D0D0D"/>
          <w:sz w:val="21"/>
          <w:szCs w:val="21"/>
          <w:lang w:val="es-MX" w:eastAsia="en-US"/>
        </w:rPr>
        <w:t xml:space="preserve">Lo que distingue a este instrumento de los demás, es que debe ir en sintonía con el Código Territorial para el Estado y los Municipios, mismo que tiene como objeto cuidar el ordenamiento y administración sustentable, conservar y restaurar los espacios naturales del estado, la gestión, conservación y preservación de las aguas, para lograr un desarrollo sustentable, el mejoramiento, conservación y crecimiento de los centros de población y asentamientos humanos, entre otros y es el motivo por el cuál, consideramos apremiante que se cumpla con la obligación de publicar dichos instrumentos que son lo que garantizará un futuro ordenado y sustentable para las próximas generaciones. </w:t>
      </w:r>
      <w:r w:rsidR="00627650">
        <w:rPr>
          <w:rStyle w:val="Refdenotaalpie"/>
          <w:rFonts w:ascii="Abadi" w:eastAsia="Calibri" w:hAnsi="Abadi" w:cs="*Arial-13605-Identity-H"/>
          <w:color w:val="0D0D0D"/>
          <w:sz w:val="21"/>
          <w:szCs w:val="21"/>
          <w:lang w:val="es-MX" w:eastAsia="en-US"/>
        </w:rPr>
        <w:footnoteReference w:id="37"/>
      </w:r>
    </w:p>
    <w:p w14:paraId="69B83253" w14:textId="77777777" w:rsidR="00B17BFC" w:rsidRPr="00B17BFC" w:rsidRDefault="00B17BFC" w:rsidP="00B17BFC">
      <w:pPr>
        <w:autoSpaceDE w:val="0"/>
        <w:autoSpaceDN w:val="0"/>
        <w:adjustRightInd w:val="0"/>
        <w:jc w:val="both"/>
        <w:rPr>
          <w:rFonts w:ascii="Abadi" w:eastAsia="Calibri" w:hAnsi="Abadi" w:cs="*Arial-13605-Identity-H"/>
          <w:color w:val="0E0E0E"/>
          <w:sz w:val="21"/>
          <w:szCs w:val="21"/>
          <w:lang w:val="es-MX" w:eastAsia="en-US"/>
        </w:rPr>
      </w:pPr>
    </w:p>
    <w:p w14:paraId="5A6F9542" w14:textId="77777777" w:rsidR="00B17BFC" w:rsidRPr="00B17BFC" w:rsidRDefault="00B17BFC" w:rsidP="00B17BFC">
      <w:pPr>
        <w:autoSpaceDE w:val="0"/>
        <w:autoSpaceDN w:val="0"/>
        <w:adjustRightInd w:val="0"/>
        <w:jc w:val="both"/>
        <w:rPr>
          <w:rFonts w:ascii="Abadi" w:eastAsia="Calibri" w:hAnsi="Abadi" w:cs="*Arial-13605-Identity-H"/>
          <w:color w:val="0E0E0E"/>
          <w:sz w:val="21"/>
          <w:szCs w:val="21"/>
          <w:lang w:val="es-MX" w:eastAsia="en-US"/>
        </w:rPr>
      </w:pPr>
      <w:r w:rsidRPr="00B17BFC">
        <w:rPr>
          <w:rFonts w:ascii="Abadi" w:eastAsia="Calibri" w:hAnsi="Abadi" w:cs="*Arial-13605-Identity-H"/>
          <w:color w:val="0E0E0E"/>
          <w:sz w:val="21"/>
          <w:szCs w:val="21"/>
          <w:lang w:val="es-MX" w:eastAsia="en-US"/>
        </w:rPr>
        <w:t xml:space="preserve">Al final del día, nuestro marco jurídico, busca prevenir que se incurra en un desarrollo urbano que afecte y sea desordenado y contraproducente, pues, debe ser bien planeado, estudiado y diseñado ... y así se ha hecho en Guanajuato. </w:t>
      </w:r>
    </w:p>
    <w:p w14:paraId="05BDEF87" w14:textId="77777777" w:rsidR="00B17BFC" w:rsidRPr="00B17BFC" w:rsidRDefault="00B17BFC" w:rsidP="00B17BFC">
      <w:pPr>
        <w:autoSpaceDE w:val="0"/>
        <w:autoSpaceDN w:val="0"/>
        <w:adjustRightInd w:val="0"/>
        <w:jc w:val="both"/>
        <w:rPr>
          <w:rFonts w:ascii="Abadi" w:eastAsia="Calibri" w:hAnsi="Abadi" w:cs="*Arial-13605-Identity-H"/>
          <w:color w:val="0E0E0E"/>
          <w:sz w:val="21"/>
          <w:szCs w:val="21"/>
          <w:lang w:val="es-MX" w:eastAsia="en-US"/>
        </w:rPr>
      </w:pPr>
    </w:p>
    <w:p w14:paraId="629ACCC2" w14:textId="3E4A7D4E" w:rsidR="00B17BFC" w:rsidRPr="00B17BFC" w:rsidRDefault="00B17BFC" w:rsidP="00B17BFC">
      <w:pPr>
        <w:autoSpaceDE w:val="0"/>
        <w:autoSpaceDN w:val="0"/>
        <w:adjustRightInd w:val="0"/>
        <w:jc w:val="both"/>
        <w:rPr>
          <w:rFonts w:ascii="Abadi" w:eastAsia="Calibri" w:hAnsi="Abadi" w:cs="*Arial-13605-Identity-H"/>
          <w:color w:val="0E0E0E"/>
          <w:sz w:val="21"/>
          <w:szCs w:val="21"/>
          <w:lang w:val="es-MX" w:eastAsia="en-US"/>
        </w:rPr>
      </w:pPr>
      <w:r w:rsidRPr="00B17BFC">
        <w:rPr>
          <w:rFonts w:ascii="Abadi" w:eastAsia="Calibri" w:hAnsi="Abadi" w:cs="*Arial-13605-Identity-H"/>
          <w:color w:val="0C0C0C"/>
          <w:sz w:val="21"/>
          <w:szCs w:val="21"/>
          <w:lang w:val="es-MX" w:eastAsia="en-US"/>
        </w:rPr>
        <w:t>En el reciente informe del Gobierno del Estado, conocimos logros relevantes que</w:t>
      </w:r>
      <w:r w:rsidRPr="00B17BFC">
        <w:rPr>
          <w:rFonts w:ascii="Abadi" w:eastAsia="Calibri" w:hAnsi="Abadi" w:cs="*Arial-13605-Identity-H"/>
          <w:color w:val="0E0E0E"/>
          <w:sz w:val="21"/>
          <w:szCs w:val="21"/>
          <w:lang w:val="es-MX" w:eastAsia="en-US"/>
        </w:rPr>
        <w:t xml:space="preserve"> </w:t>
      </w:r>
      <w:r w:rsidRPr="00B17BFC">
        <w:rPr>
          <w:rFonts w:ascii="Abadi" w:eastAsia="Calibri" w:hAnsi="Abadi" w:cs="*Arial-13605-Identity-H"/>
          <w:color w:val="0C0C0C"/>
          <w:sz w:val="21"/>
          <w:szCs w:val="21"/>
          <w:lang w:val="es-MX" w:eastAsia="en-US"/>
        </w:rPr>
        <w:t>demuestran que nuestra entidad cuenta con una política territorial de vanguardia,</w:t>
      </w:r>
      <w:r w:rsidRPr="00B17BFC">
        <w:rPr>
          <w:rFonts w:ascii="Abadi" w:eastAsia="Calibri" w:hAnsi="Abadi" w:cs="*Arial-13605-Identity-H"/>
          <w:color w:val="0E0E0E"/>
          <w:sz w:val="21"/>
          <w:szCs w:val="21"/>
          <w:lang w:val="es-MX" w:eastAsia="en-US"/>
        </w:rPr>
        <w:t xml:space="preserve"> </w:t>
      </w:r>
      <w:r w:rsidRPr="00B17BFC">
        <w:rPr>
          <w:rFonts w:ascii="Abadi" w:eastAsia="Calibri" w:hAnsi="Abadi" w:cs="*Arial-13605-Identity-H"/>
          <w:color w:val="0C0C0C"/>
          <w:sz w:val="21"/>
          <w:szCs w:val="21"/>
          <w:lang w:val="es-MX" w:eastAsia="en-US"/>
        </w:rPr>
        <w:t>pues conservamos la riqueza natural, distribuimos de manera equilibrada y</w:t>
      </w:r>
      <w:r w:rsidRPr="00B17BFC">
        <w:rPr>
          <w:rFonts w:ascii="Abadi" w:eastAsia="Calibri" w:hAnsi="Abadi" w:cs="*Arial-13605-Identity-H"/>
          <w:color w:val="0E0E0E"/>
          <w:sz w:val="21"/>
          <w:szCs w:val="21"/>
          <w:lang w:val="es-MX" w:eastAsia="en-US"/>
        </w:rPr>
        <w:t xml:space="preserve"> </w:t>
      </w:r>
      <w:r w:rsidRPr="00B17BFC">
        <w:rPr>
          <w:rFonts w:ascii="Abadi" w:eastAsia="Calibri" w:hAnsi="Abadi" w:cs="*Arial-13605-Identity-H"/>
          <w:color w:val="0C0C0C"/>
          <w:sz w:val="21"/>
          <w:szCs w:val="21"/>
          <w:lang w:val="es-MX" w:eastAsia="en-US"/>
        </w:rPr>
        <w:t>sustentable las actividades económicas para promover un desarrollo urbano</w:t>
      </w:r>
      <w:r w:rsidRPr="00B17BFC">
        <w:rPr>
          <w:rFonts w:ascii="Abadi" w:eastAsia="Calibri" w:hAnsi="Abadi" w:cs="*Arial-13605-Identity-H"/>
          <w:color w:val="0E0E0E"/>
          <w:sz w:val="21"/>
          <w:szCs w:val="21"/>
          <w:lang w:val="es-MX" w:eastAsia="en-US"/>
        </w:rPr>
        <w:t xml:space="preserve"> </w:t>
      </w:r>
      <w:r w:rsidRPr="00B17BFC">
        <w:rPr>
          <w:rFonts w:ascii="Abadi" w:eastAsia="Calibri" w:hAnsi="Abadi" w:cs="*Arial-13605-Identity-H"/>
          <w:color w:val="0C0C0C"/>
          <w:sz w:val="21"/>
          <w:szCs w:val="21"/>
          <w:lang w:val="es-MX" w:eastAsia="en-US"/>
        </w:rPr>
        <w:t>sustentable a través de programas estatales y municipales.</w:t>
      </w:r>
      <w:r w:rsidR="004F2B7B">
        <w:rPr>
          <w:rStyle w:val="Refdenotaalpie"/>
          <w:rFonts w:ascii="Abadi" w:eastAsia="Calibri" w:hAnsi="Abadi" w:cs="*Arial-13605-Identity-H"/>
          <w:color w:val="0C0C0C"/>
          <w:sz w:val="21"/>
          <w:szCs w:val="21"/>
          <w:lang w:val="es-MX" w:eastAsia="en-US"/>
        </w:rPr>
        <w:footnoteReference w:id="38"/>
      </w:r>
    </w:p>
    <w:p w14:paraId="67AE0996" w14:textId="77777777" w:rsidR="00B17BFC" w:rsidRPr="00B17BFC" w:rsidRDefault="00B17BFC" w:rsidP="00B17BFC">
      <w:pPr>
        <w:autoSpaceDE w:val="0"/>
        <w:autoSpaceDN w:val="0"/>
        <w:adjustRightInd w:val="0"/>
        <w:jc w:val="both"/>
        <w:rPr>
          <w:rFonts w:ascii="Abadi" w:eastAsia="Calibri" w:hAnsi="Abadi" w:cs="*Arial-13605-Identity-H"/>
          <w:color w:val="0E0E0E"/>
          <w:sz w:val="21"/>
          <w:szCs w:val="21"/>
          <w:lang w:val="es-MX" w:eastAsia="en-US"/>
        </w:rPr>
      </w:pPr>
    </w:p>
    <w:p w14:paraId="1AB2BAE7" w14:textId="77777777" w:rsidR="00B17BFC" w:rsidRPr="00B17BFC" w:rsidRDefault="00B17BFC" w:rsidP="00B17BFC">
      <w:pPr>
        <w:autoSpaceDE w:val="0"/>
        <w:autoSpaceDN w:val="0"/>
        <w:adjustRightInd w:val="0"/>
        <w:jc w:val="both"/>
        <w:rPr>
          <w:rFonts w:ascii="Abadi" w:eastAsia="Calibri" w:hAnsi="Abadi" w:cs="*Arial-13605-Identity-H"/>
          <w:color w:val="0E0E0E"/>
          <w:sz w:val="21"/>
          <w:szCs w:val="21"/>
          <w:lang w:val="es-MX" w:eastAsia="en-US"/>
        </w:rPr>
      </w:pPr>
      <w:r w:rsidRPr="00B17BFC">
        <w:rPr>
          <w:rFonts w:ascii="Abadi" w:eastAsia="Calibri" w:hAnsi="Abadi" w:cs="*Arial-13605-Identity-H"/>
          <w:color w:val="0E0E0E"/>
          <w:sz w:val="21"/>
          <w:szCs w:val="21"/>
          <w:lang w:val="es-MX" w:eastAsia="en-US"/>
        </w:rPr>
        <w:t xml:space="preserve">En el Grupo Parlamentario del PAN, creemos que, a pesar, de tener avances significativos, no debemos quitar el dedo del renglón pues aún hay municipios que no han publicado su Programa de Desarrollo Urbano y de Ordenamiento Ecológico Territorial, si bien, entendemos que cada municipio enfrenta diversos retos, </w:t>
      </w:r>
      <w:r w:rsidRPr="00B17BFC">
        <w:rPr>
          <w:rFonts w:ascii="Abadi" w:eastAsia="Calibri" w:hAnsi="Abadi" w:cs="*Arial-7826-Identity-H"/>
          <w:color w:val="0F0F0F"/>
          <w:sz w:val="21"/>
          <w:szCs w:val="21"/>
          <w:lang w:val="es-MX" w:eastAsia="en-US"/>
        </w:rPr>
        <w:t xml:space="preserve">queremos retomar la conversación y el seguimiento para </w:t>
      </w:r>
      <w:r w:rsidRPr="00B17BFC">
        <w:rPr>
          <w:rFonts w:ascii="Abadi" w:eastAsia="Calibri" w:hAnsi="Abadi" w:cs="*Arial-7826-Identity-H"/>
          <w:color w:val="0F0F0F"/>
          <w:sz w:val="21"/>
          <w:szCs w:val="21"/>
          <w:lang w:val="es-MX" w:eastAsia="en-US"/>
        </w:rPr>
        <w:t>que, desde nuestro trabajo</w:t>
      </w:r>
      <w:r w:rsidRPr="00B17BFC">
        <w:rPr>
          <w:rFonts w:ascii="Abadi" w:eastAsia="Calibri" w:hAnsi="Abadi" w:cs="*Arial-13605-Identity-H"/>
          <w:color w:val="0E0E0E"/>
          <w:sz w:val="21"/>
          <w:szCs w:val="21"/>
          <w:lang w:val="es-MX" w:eastAsia="en-US"/>
        </w:rPr>
        <w:t xml:space="preserve"> </w:t>
      </w:r>
      <w:r w:rsidRPr="00B17BFC">
        <w:rPr>
          <w:rFonts w:ascii="Abadi" w:eastAsia="Calibri" w:hAnsi="Abadi" w:cs="*Arial-7826-Identity-H"/>
          <w:color w:val="0B0B0B"/>
          <w:sz w:val="21"/>
          <w:szCs w:val="21"/>
          <w:lang w:val="es-MX" w:eastAsia="en-US"/>
        </w:rPr>
        <w:t>legislativo, sigamos avanzando en el tema.</w:t>
      </w:r>
    </w:p>
    <w:p w14:paraId="55B8E99D" w14:textId="77777777" w:rsidR="00B17BFC" w:rsidRPr="00B17BFC" w:rsidRDefault="00B17BFC" w:rsidP="00B17BFC">
      <w:pPr>
        <w:autoSpaceDE w:val="0"/>
        <w:autoSpaceDN w:val="0"/>
        <w:adjustRightInd w:val="0"/>
        <w:jc w:val="both"/>
        <w:rPr>
          <w:rFonts w:ascii="Abadi" w:eastAsia="Calibri" w:hAnsi="Abadi" w:cs="*Arial-7826-Identity-H"/>
          <w:color w:val="0E0E0E"/>
          <w:sz w:val="21"/>
          <w:szCs w:val="21"/>
          <w:lang w:val="es-MX" w:eastAsia="en-US"/>
        </w:rPr>
      </w:pPr>
    </w:p>
    <w:p w14:paraId="31E700A1" w14:textId="77777777" w:rsidR="00B17BFC" w:rsidRPr="00B17BFC" w:rsidRDefault="00B17BFC" w:rsidP="00B17BFC">
      <w:pPr>
        <w:autoSpaceDE w:val="0"/>
        <w:autoSpaceDN w:val="0"/>
        <w:adjustRightInd w:val="0"/>
        <w:jc w:val="both"/>
        <w:rPr>
          <w:rFonts w:ascii="Abadi" w:eastAsia="Calibri" w:hAnsi="Abadi" w:cs="*Arial-7826-Identity-H"/>
          <w:color w:val="0E0E0E"/>
          <w:sz w:val="21"/>
          <w:szCs w:val="21"/>
          <w:lang w:val="es-MX" w:eastAsia="en-US"/>
        </w:rPr>
      </w:pPr>
      <w:r w:rsidRPr="00B17BFC">
        <w:rPr>
          <w:rFonts w:ascii="Abadi" w:eastAsia="Calibri" w:hAnsi="Abadi" w:cs="*Arial-7826-Identity-H"/>
          <w:color w:val="0E0E0E"/>
          <w:sz w:val="21"/>
          <w:szCs w:val="21"/>
          <w:lang w:val="es-MX" w:eastAsia="en-US"/>
        </w:rPr>
        <w:t>En nuestro programa de Acciones legislativas, a través de este exhorto cumpliríamos con dos de nuestros cinco ejes:</w:t>
      </w:r>
    </w:p>
    <w:p w14:paraId="060FFD1A" w14:textId="77777777" w:rsidR="00B17BFC" w:rsidRPr="00B17BFC" w:rsidRDefault="00B17BFC" w:rsidP="00B17BFC">
      <w:pPr>
        <w:autoSpaceDE w:val="0"/>
        <w:autoSpaceDN w:val="0"/>
        <w:adjustRightInd w:val="0"/>
        <w:jc w:val="both"/>
        <w:rPr>
          <w:rFonts w:ascii="Abadi" w:eastAsia="Calibri" w:hAnsi="Abadi" w:cs="*Arial-7826-Identity-H"/>
          <w:color w:val="0F0F0F"/>
          <w:sz w:val="21"/>
          <w:szCs w:val="21"/>
          <w:lang w:val="es-MX" w:eastAsia="en-US"/>
        </w:rPr>
      </w:pPr>
    </w:p>
    <w:p w14:paraId="2E6D9567" w14:textId="77777777" w:rsidR="00B17BFC" w:rsidRPr="00B17BFC" w:rsidRDefault="00B17BFC" w:rsidP="005433FA">
      <w:pPr>
        <w:numPr>
          <w:ilvl w:val="0"/>
          <w:numId w:val="18"/>
        </w:numPr>
        <w:autoSpaceDE w:val="0"/>
        <w:autoSpaceDN w:val="0"/>
        <w:adjustRightInd w:val="0"/>
        <w:spacing w:after="160" w:line="259" w:lineRule="auto"/>
        <w:contextualSpacing/>
        <w:jc w:val="both"/>
        <w:rPr>
          <w:rFonts w:ascii="Abadi" w:eastAsia="Calibri" w:hAnsi="Abadi" w:cs="*Arial-7826-Identity-H"/>
          <w:color w:val="0F0F0F"/>
          <w:sz w:val="21"/>
          <w:szCs w:val="21"/>
          <w:lang w:val="es-MX" w:eastAsia="en-US"/>
        </w:rPr>
      </w:pPr>
      <w:r w:rsidRPr="00B17BFC">
        <w:rPr>
          <w:rFonts w:ascii="Abadi" w:eastAsia="Calibri" w:hAnsi="Abadi" w:cs="*Arial-7826-Identity-H"/>
          <w:color w:val="0F0F0F"/>
          <w:sz w:val="21"/>
          <w:szCs w:val="21"/>
          <w:lang w:val="es-MX" w:eastAsia="en-US"/>
        </w:rPr>
        <w:t>Medio Ambiente, energías limpias y sustentabilidad; así como con el eje de</w:t>
      </w:r>
    </w:p>
    <w:p w14:paraId="3D096AC8" w14:textId="77777777" w:rsidR="00B17BFC" w:rsidRPr="00B17BFC" w:rsidRDefault="00B17BFC" w:rsidP="005433FA">
      <w:pPr>
        <w:numPr>
          <w:ilvl w:val="0"/>
          <w:numId w:val="18"/>
        </w:numPr>
        <w:autoSpaceDE w:val="0"/>
        <w:autoSpaceDN w:val="0"/>
        <w:adjustRightInd w:val="0"/>
        <w:spacing w:after="160" w:line="259" w:lineRule="auto"/>
        <w:contextualSpacing/>
        <w:jc w:val="both"/>
        <w:rPr>
          <w:rFonts w:ascii="Abadi" w:eastAsia="Calibri" w:hAnsi="Abadi" w:cs="*Arial-7826-Identity-H"/>
          <w:color w:val="0F0F0F"/>
          <w:sz w:val="21"/>
          <w:szCs w:val="21"/>
          <w:lang w:val="es-MX" w:eastAsia="en-US"/>
        </w:rPr>
      </w:pPr>
      <w:r w:rsidRPr="00B17BFC">
        <w:rPr>
          <w:rFonts w:ascii="Abadi" w:eastAsia="Calibri" w:hAnsi="Abadi" w:cs="*Arial-7826-Identity-H"/>
          <w:color w:val="0E0E0E"/>
          <w:sz w:val="21"/>
          <w:szCs w:val="21"/>
          <w:lang w:val="es-MX" w:eastAsia="en-US"/>
        </w:rPr>
        <w:t>Economía y Desarrollo Sostenible.</w:t>
      </w:r>
    </w:p>
    <w:p w14:paraId="2D5256BF" w14:textId="77777777" w:rsidR="00B17BFC" w:rsidRPr="00B17BFC" w:rsidRDefault="00B17BFC" w:rsidP="00B17BFC">
      <w:pPr>
        <w:autoSpaceDE w:val="0"/>
        <w:autoSpaceDN w:val="0"/>
        <w:adjustRightInd w:val="0"/>
        <w:jc w:val="both"/>
        <w:rPr>
          <w:rFonts w:ascii="Abadi" w:eastAsia="Calibri" w:hAnsi="Abadi" w:cs="*Arial-7826-Identity-H"/>
          <w:color w:val="0D0D0D"/>
          <w:sz w:val="21"/>
          <w:szCs w:val="21"/>
          <w:lang w:val="es-MX" w:eastAsia="en-US"/>
        </w:rPr>
      </w:pPr>
    </w:p>
    <w:p w14:paraId="4AD699EE" w14:textId="77777777" w:rsidR="00B17BFC" w:rsidRPr="00B17BFC" w:rsidRDefault="00B17BFC" w:rsidP="00B17BFC">
      <w:pPr>
        <w:autoSpaceDE w:val="0"/>
        <w:autoSpaceDN w:val="0"/>
        <w:adjustRightInd w:val="0"/>
        <w:jc w:val="both"/>
        <w:rPr>
          <w:rFonts w:ascii="Abadi" w:eastAsia="Calibri" w:hAnsi="Abadi" w:cs="*Arial-7826-Identity-H"/>
          <w:color w:val="0D0D0D"/>
          <w:sz w:val="21"/>
          <w:szCs w:val="21"/>
          <w:lang w:val="es-MX" w:eastAsia="en-US"/>
        </w:rPr>
      </w:pPr>
      <w:r w:rsidRPr="00B17BFC">
        <w:rPr>
          <w:rFonts w:ascii="Abadi" w:eastAsia="Calibri" w:hAnsi="Abadi" w:cs="*Arial-7826-Identity-H"/>
          <w:color w:val="0D0D0D"/>
          <w:sz w:val="21"/>
          <w:szCs w:val="21"/>
          <w:lang w:val="es-MX" w:eastAsia="en-US"/>
        </w:rPr>
        <w:t xml:space="preserve">Mientras el horizonte de nuestras ciudades se expande, también lo hace nuestro pensamiento ... En Guanajuato hacemos política de una manera distinta porque el </w:t>
      </w:r>
      <w:r w:rsidRPr="00B17BFC">
        <w:rPr>
          <w:rFonts w:ascii="Abadi" w:eastAsia="Calibri" w:hAnsi="Abadi" w:cs="*Arial-7826-Identity-H"/>
          <w:color w:val="0F0F0F"/>
          <w:sz w:val="21"/>
          <w:szCs w:val="21"/>
          <w:lang w:val="es-MX" w:eastAsia="en-US"/>
        </w:rPr>
        <w:t>trabajo que es pensado, planeado, estudiado y basado en datos duros ... nunca en</w:t>
      </w:r>
      <w:r w:rsidRPr="00B17BFC">
        <w:rPr>
          <w:rFonts w:ascii="Abadi" w:eastAsia="Calibri" w:hAnsi="Abadi" w:cs="*Arial-7826-Identity-H"/>
          <w:color w:val="0D0D0D"/>
          <w:sz w:val="21"/>
          <w:szCs w:val="21"/>
          <w:lang w:val="es-MX" w:eastAsia="en-US"/>
        </w:rPr>
        <w:t xml:space="preserve"> </w:t>
      </w:r>
      <w:r w:rsidRPr="00B17BFC">
        <w:rPr>
          <w:rFonts w:ascii="Abadi" w:eastAsia="Calibri" w:hAnsi="Abadi" w:cs="*Arial-7826-Identity-H"/>
          <w:color w:val="101010"/>
          <w:sz w:val="21"/>
          <w:szCs w:val="21"/>
          <w:lang w:val="es-MX" w:eastAsia="en-US"/>
        </w:rPr>
        <w:t>ocurrencias, porque vemos más allá de lo que está frente a nosotros ... no se trata</w:t>
      </w:r>
      <w:r w:rsidRPr="00B17BFC">
        <w:rPr>
          <w:rFonts w:ascii="Abadi" w:eastAsia="Calibri" w:hAnsi="Abadi" w:cs="*Arial-7826-Identity-H"/>
          <w:color w:val="0D0D0D"/>
          <w:sz w:val="21"/>
          <w:szCs w:val="21"/>
          <w:lang w:val="es-MX" w:eastAsia="en-US"/>
        </w:rPr>
        <w:t xml:space="preserve"> </w:t>
      </w:r>
      <w:r w:rsidRPr="00B17BFC">
        <w:rPr>
          <w:rFonts w:ascii="Abadi" w:eastAsia="Calibri" w:hAnsi="Abadi" w:cs="*Arial-7826-Identity-H"/>
          <w:color w:val="0C0C0C"/>
          <w:sz w:val="21"/>
          <w:szCs w:val="21"/>
          <w:lang w:val="es-MX" w:eastAsia="en-US"/>
        </w:rPr>
        <w:t>solo de ver dónde estamos ... sino hacia dónde nos dirigimos y hoy tenemos clara</w:t>
      </w:r>
      <w:r w:rsidRPr="00B17BFC">
        <w:rPr>
          <w:rFonts w:ascii="Abadi" w:eastAsia="Calibri" w:hAnsi="Abadi" w:cs="*Arial-7826-Identity-H"/>
          <w:color w:val="0D0D0D"/>
          <w:sz w:val="21"/>
          <w:szCs w:val="21"/>
          <w:lang w:val="es-MX" w:eastAsia="en-US"/>
        </w:rPr>
        <w:t xml:space="preserve"> </w:t>
      </w:r>
      <w:r w:rsidRPr="00B17BFC">
        <w:rPr>
          <w:rFonts w:ascii="Abadi" w:eastAsia="Calibri" w:hAnsi="Abadi" w:cs="*Arial-7826-Identity-H"/>
          <w:color w:val="0F0F0F"/>
          <w:sz w:val="21"/>
          <w:szCs w:val="21"/>
          <w:lang w:val="es-MX" w:eastAsia="en-US"/>
        </w:rPr>
        <w:t>nuestra ruta ... la única ruta ... la ruta de seguir generando ciudades y municipios</w:t>
      </w:r>
    </w:p>
    <w:p w14:paraId="25DC104F" w14:textId="77777777" w:rsidR="00B17BFC" w:rsidRPr="00B17BFC" w:rsidRDefault="00B17BFC" w:rsidP="00B17BFC">
      <w:pPr>
        <w:spacing w:after="160" w:line="259" w:lineRule="auto"/>
        <w:jc w:val="both"/>
        <w:rPr>
          <w:rFonts w:ascii="Abadi" w:eastAsia="Calibri" w:hAnsi="Abadi" w:cs="*Arial-7826-Identity-H"/>
          <w:color w:val="0D0D0D"/>
          <w:sz w:val="21"/>
          <w:szCs w:val="21"/>
          <w:lang w:val="es-MX" w:eastAsia="en-US"/>
        </w:rPr>
      </w:pPr>
      <w:r w:rsidRPr="00B17BFC">
        <w:rPr>
          <w:rFonts w:ascii="Abadi" w:eastAsia="Calibri" w:hAnsi="Abadi" w:cs="*Arial-7826-Identity-H"/>
          <w:color w:val="0D0D0D"/>
          <w:sz w:val="21"/>
          <w:szCs w:val="21"/>
          <w:lang w:val="es-MX" w:eastAsia="en-US"/>
        </w:rPr>
        <w:t>con grandeza.</w:t>
      </w:r>
    </w:p>
    <w:p w14:paraId="066A802B" w14:textId="77777777" w:rsidR="00B17BFC" w:rsidRPr="00B17BFC" w:rsidRDefault="00B17BFC" w:rsidP="00B17BFC">
      <w:pPr>
        <w:spacing w:after="160" w:line="259" w:lineRule="auto"/>
        <w:jc w:val="both"/>
        <w:rPr>
          <w:rFonts w:ascii="Abadi" w:eastAsia="Calibri" w:hAnsi="Abadi" w:cs="*Arial-7826-Identity-H"/>
          <w:color w:val="0D0D0D"/>
          <w:sz w:val="21"/>
          <w:szCs w:val="21"/>
          <w:lang w:val="es-MX" w:eastAsia="en-US"/>
        </w:rPr>
      </w:pPr>
    </w:p>
    <w:p w14:paraId="3EC3A074" w14:textId="77777777" w:rsidR="00B17BFC" w:rsidRPr="00B17BFC" w:rsidRDefault="00B17BFC" w:rsidP="00B17BFC">
      <w:pPr>
        <w:autoSpaceDE w:val="0"/>
        <w:autoSpaceDN w:val="0"/>
        <w:adjustRightInd w:val="0"/>
        <w:jc w:val="center"/>
        <w:rPr>
          <w:rFonts w:ascii="Abadi" w:eastAsia="Calibri" w:hAnsi="Abadi" w:cs="*Arial-Bold-7497-Identity-H"/>
          <w:b/>
          <w:bCs/>
          <w:color w:val="0F0F0F"/>
          <w:sz w:val="21"/>
          <w:szCs w:val="21"/>
          <w:lang w:val="es-MX" w:eastAsia="en-US"/>
        </w:rPr>
      </w:pPr>
      <w:r w:rsidRPr="00B17BFC">
        <w:rPr>
          <w:rFonts w:ascii="Abadi" w:eastAsia="Calibri" w:hAnsi="Abadi" w:cs="*Arial-Bold-7497-Identity-H"/>
          <w:b/>
          <w:bCs/>
          <w:color w:val="0F0F0F"/>
          <w:sz w:val="21"/>
          <w:szCs w:val="21"/>
          <w:lang w:val="es-MX" w:eastAsia="en-US"/>
        </w:rPr>
        <w:t>PUNTO DE ACUERDO</w:t>
      </w:r>
    </w:p>
    <w:p w14:paraId="71EF49C5" w14:textId="77777777" w:rsidR="00B17BFC" w:rsidRPr="00B17BFC" w:rsidRDefault="00B17BFC" w:rsidP="00B17BFC">
      <w:pPr>
        <w:autoSpaceDE w:val="0"/>
        <w:autoSpaceDN w:val="0"/>
        <w:adjustRightInd w:val="0"/>
        <w:jc w:val="both"/>
        <w:rPr>
          <w:rFonts w:ascii="Abadi" w:eastAsia="Calibri" w:hAnsi="Abadi" w:cs="*Arial-Bold-7497-Identity-H"/>
          <w:b/>
          <w:bCs/>
          <w:color w:val="0C0C0C"/>
          <w:sz w:val="21"/>
          <w:szCs w:val="21"/>
          <w:lang w:val="es-MX" w:eastAsia="en-US"/>
        </w:rPr>
      </w:pPr>
    </w:p>
    <w:p w14:paraId="03EDFD49" w14:textId="77777777" w:rsidR="00B17BFC" w:rsidRPr="00B17BFC" w:rsidRDefault="00B17BFC" w:rsidP="00B17BFC">
      <w:pPr>
        <w:autoSpaceDE w:val="0"/>
        <w:autoSpaceDN w:val="0"/>
        <w:adjustRightInd w:val="0"/>
        <w:jc w:val="both"/>
        <w:rPr>
          <w:rFonts w:ascii="Abadi" w:eastAsia="Calibri" w:hAnsi="Abadi" w:cs="*Arial-Bold-7497-Identity-H"/>
          <w:b/>
          <w:bCs/>
          <w:color w:val="0C0C0C"/>
          <w:sz w:val="21"/>
          <w:szCs w:val="21"/>
          <w:lang w:val="es-MX" w:eastAsia="en-US"/>
        </w:rPr>
      </w:pPr>
      <w:r w:rsidRPr="00B17BFC">
        <w:rPr>
          <w:rFonts w:ascii="Abadi" w:eastAsia="Calibri" w:hAnsi="Abadi" w:cs="*Arial-Bold-7497-Identity-H"/>
          <w:b/>
          <w:bCs/>
          <w:color w:val="0C0C0C"/>
          <w:sz w:val="21"/>
          <w:szCs w:val="21"/>
          <w:lang w:val="es-MX" w:eastAsia="en-US"/>
        </w:rPr>
        <w:t>ÚNICO. El Congreso del Estado Libre y Soberano de Guanajuato exhorta a los Ayuntamientos de Manuel Doblado, Comonfort, Cortázar, Huanímaro, Jaral del Progreso, Jerécuaro, Ocampo, Pénjamo, Pueblo Nuevo, San Diego de la Unión, San Felipe, San José de Iturbide, Santa Catarina, Santa Cruz de Juventino Rosas, Santiago Maravatío, Victoria, Villagrán, Xichú y Yuriria, a efecto, que expidan su Programa Municipal de Desarrollo Urbano y Ordenamiento Ecológico Territorial.</w:t>
      </w:r>
    </w:p>
    <w:p w14:paraId="5C1A9097" w14:textId="77777777" w:rsidR="00B17BFC" w:rsidRPr="00B17BFC" w:rsidRDefault="00B17BFC" w:rsidP="00B17BFC">
      <w:pPr>
        <w:autoSpaceDE w:val="0"/>
        <w:autoSpaceDN w:val="0"/>
        <w:adjustRightInd w:val="0"/>
        <w:rPr>
          <w:rFonts w:ascii="Abadi" w:eastAsia="Calibri" w:hAnsi="Abadi" w:cs="*Arial-Bold-7496-Identity-H"/>
          <w:b/>
          <w:bCs/>
          <w:color w:val="0B0B0B"/>
          <w:sz w:val="21"/>
          <w:szCs w:val="21"/>
          <w:lang w:val="es-MX" w:eastAsia="en-US"/>
        </w:rPr>
      </w:pPr>
    </w:p>
    <w:p w14:paraId="0229DE1B" w14:textId="77777777" w:rsidR="00B17BFC" w:rsidRPr="00B17BFC" w:rsidRDefault="00B17BFC" w:rsidP="00B17BFC">
      <w:pPr>
        <w:autoSpaceDE w:val="0"/>
        <w:autoSpaceDN w:val="0"/>
        <w:adjustRightInd w:val="0"/>
        <w:rPr>
          <w:rFonts w:ascii="Abadi" w:eastAsia="Calibri" w:hAnsi="Abadi" w:cs="*Arial-Bold-7496-Identity-H"/>
          <w:b/>
          <w:bCs/>
          <w:color w:val="0B0B0B"/>
          <w:sz w:val="21"/>
          <w:szCs w:val="21"/>
          <w:lang w:val="es-MX" w:eastAsia="en-US"/>
        </w:rPr>
      </w:pPr>
    </w:p>
    <w:p w14:paraId="1B3A5ED8" w14:textId="77777777" w:rsidR="00B17BFC" w:rsidRPr="00B17BFC" w:rsidRDefault="00B17BFC" w:rsidP="00B17BFC">
      <w:pPr>
        <w:autoSpaceDE w:val="0"/>
        <w:autoSpaceDN w:val="0"/>
        <w:adjustRightInd w:val="0"/>
        <w:jc w:val="center"/>
        <w:rPr>
          <w:rFonts w:ascii="Abadi" w:eastAsia="Calibri" w:hAnsi="Abadi" w:cs="*Arial-Bold-7496-Identity-H"/>
          <w:b/>
          <w:bCs/>
          <w:color w:val="0B0B0B"/>
          <w:sz w:val="21"/>
          <w:szCs w:val="21"/>
          <w:lang w:val="es-MX" w:eastAsia="en-US"/>
        </w:rPr>
      </w:pPr>
      <w:r w:rsidRPr="00B17BFC">
        <w:rPr>
          <w:rFonts w:ascii="Abadi" w:eastAsia="Calibri" w:hAnsi="Abadi" w:cs="*Arial-Bold-7496-Identity-H"/>
          <w:b/>
          <w:bCs/>
          <w:color w:val="0B0B0B"/>
          <w:sz w:val="21"/>
          <w:szCs w:val="21"/>
          <w:lang w:val="es-MX" w:eastAsia="en-US"/>
        </w:rPr>
        <w:t>Guanajuato, Gto., 23 de mayo de 2022.</w:t>
      </w:r>
    </w:p>
    <w:p w14:paraId="29553E51" w14:textId="77777777" w:rsidR="00B17BFC" w:rsidRPr="00B17BFC" w:rsidRDefault="00B17BFC" w:rsidP="00B17BFC">
      <w:pPr>
        <w:autoSpaceDE w:val="0"/>
        <w:autoSpaceDN w:val="0"/>
        <w:adjustRightInd w:val="0"/>
        <w:jc w:val="center"/>
        <w:rPr>
          <w:rFonts w:ascii="Abadi" w:eastAsia="Calibri" w:hAnsi="Abadi" w:cs="*Arial-Bold-7496-Identity-H"/>
          <w:b/>
          <w:bCs/>
          <w:color w:val="0B0B0B"/>
          <w:sz w:val="21"/>
          <w:szCs w:val="21"/>
          <w:lang w:val="es-MX" w:eastAsia="en-US"/>
        </w:rPr>
      </w:pPr>
    </w:p>
    <w:p w14:paraId="46447C99" w14:textId="77777777" w:rsidR="00B17BFC" w:rsidRPr="00B17BFC" w:rsidRDefault="00B17BFC" w:rsidP="00B17BFC">
      <w:pPr>
        <w:autoSpaceDE w:val="0"/>
        <w:autoSpaceDN w:val="0"/>
        <w:adjustRightInd w:val="0"/>
        <w:jc w:val="center"/>
        <w:rPr>
          <w:rFonts w:ascii="Abadi" w:eastAsia="Calibri" w:hAnsi="Abadi" w:cs="*Arial-Bold-7496-Identity-H"/>
          <w:b/>
          <w:bCs/>
          <w:color w:val="0B0B0B"/>
          <w:sz w:val="21"/>
          <w:szCs w:val="21"/>
          <w:lang w:val="es-MX" w:eastAsia="en-US"/>
        </w:rPr>
      </w:pPr>
      <w:r w:rsidRPr="00B17BFC">
        <w:rPr>
          <w:rFonts w:ascii="Abadi" w:eastAsia="Calibri" w:hAnsi="Abadi" w:cs="*Arial-Bold-7496-Identity-H"/>
          <w:b/>
          <w:bCs/>
          <w:color w:val="0B0B0B"/>
          <w:sz w:val="21"/>
          <w:szCs w:val="21"/>
          <w:lang w:val="es-MX" w:eastAsia="en-US"/>
        </w:rPr>
        <w:t>Diputadas y Diputados integrantes del</w:t>
      </w:r>
    </w:p>
    <w:p w14:paraId="4C6CC4E2" w14:textId="77777777" w:rsidR="00B17BFC" w:rsidRPr="00B17BFC" w:rsidRDefault="00B17BFC" w:rsidP="00B17BFC">
      <w:pPr>
        <w:spacing w:after="160" w:line="259" w:lineRule="auto"/>
        <w:jc w:val="center"/>
        <w:rPr>
          <w:rFonts w:ascii="Abadi" w:eastAsia="Calibri" w:hAnsi="Abadi"/>
          <w:sz w:val="21"/>
          <w:szCs w:val="21"/>
          <w:lang w:val="es-MX" w:eastAsia="en-US"/>
        </w:rPr>
      </w:pPr>
      <w:r w:rsidRPr="00B17BFC">
        <w:rPr>
          <w:rFonts w:ascii="Abadi" w:eastAsia="Calibri" w:hAnsi="Abadi" w:cs="*Arial-Bold-7496-Identity-H"/>
          <w:b/>
          <w:bCs/>
          <w:color w:val="0B0B0B"/>
          <w:sz w:val="21"/>
          <w:szCs w:val="21"/>
          <w:lang w:val="es-MX" w:eastAsia="en-US"/>
        </w:rPr>
        <w:t>Grupo Parlamentario del Partido Acción Nacional</w:t>
      </w:r>
    </w:p>
    <w:p w14:paraId="13D84574" w14:textId="6AED3B5F" w:rsidR="00F67A15" w:rsidRPr="00B17BFC" w:rsidRDefault="00F67A15" w:rsidP="00F67A15">
      <w:pPr>
        <w:rPr>
          <w:rFonts w:ascii="Abadi" w:hAnsi="Abadi"/>
          <w:sz w:val="20"/>
          <w:szCs w:val="20"/>
        </w:rPr>
      </w:pPr>
    </w:p>
    <w:p w14:paraId="2A0B8940" w14:textId="179D18B8" w:rsidR="00F67A15" w:rsidRDefault="00F67A15" w:rsidP="00F67A15">
      <w:pPr>
        <w:rPr>
          <w:rFonts w:ascii="Abadi" w:hAnsi="Abadi"/>
          <w:b/>
          <w:bCs/>
          <w:sz w:val="20"/>
          <w:szCs w:val="20"/>
        </w:rPr>
      </w:pPr>
    </w:p>
    <w:p w14:paraId="00CA14BA" w14:textId="77777777" w:rsidR="00F67A15" w:rsidRPr="00F67A15" w:rsidRDefault="00F67A15" w:rsidP="00F67A15">
      <w:pPr>
        <w:rPr>
          <w:rFonts w:ascii="Abadi" w:hAnsi="Abadi"/>
          <w:b/>
          <w:bCs/>
          <w:sz w:val="20"/>
          <w:szCs w:val="20"/>
        </w:rPr>
      </w:pPr>
    </w:p>
    <w:p w14:paraId="38346258" w14:textId="27D1608D" w:rsidR="0009116B" w:rsidRDefault="0009116B" w:rsidP="005433FA">
      <w:pPr>
        <w:pStyle w:val="Prrafodelista"/>
        <w:numPr>
          <w:ilvl w:val="0"/>
          <w:numId w:val="9"/>
        </w:numPr>
        <w:tabs>
          <w:tab w:val="left" w:pos="845"/>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PRESENTACIÓN</w:t>
      </w:r>
      <w:r w:rsidRPr="00531B12">
        <w:rPr>
          <w:rFonts w:ascii="Abadi" w:hAnsi="Abadi"/>
          <w:b/>
          <w:bCs/>
          <w:spacing w:val="54"/>
          <w:sz w:val="20"/>
          <w:szCs w:val="20"/>
        </w:rPr>
        <w:t xml:space="preserve"> </w:t>
      </w:r>
      <w:r w:rsidRPr="00531B12">
        <w:rPr>
          <w:rFonts w:ascii="Abadi" w:hAnsi="Abadi"/>
          <w:b/>
          <w:bCs/>
          <w:sz w:val="20"/>
          <w:szCs w:val="20"/>
        </w:rPr>
        <w:t>DE</w:t>
      </w:r>
      <w:r w:rsidRPr="00531B12">
        <w:rPr>
          <w:rFonts w:ascii="Abadi" w:hAnsi="Abadi"/>
          <w:b/>
          <w:bCs/>
          <w:spacing w:val="54"/>
          <w:sz w:val="20"/>
          <w:szCs w:val="20"/>
        </w:rPr>
        <w:t xml:space="preserve"> </w:t>
      </w:r>
      <w:r w:rsidRPr="00531B12">
        <w:rPr>
          <w:rFonts w:ascii="Abadi" w:hAnsi="Abadi"/>
          <w:b/>
          <w:bCs/>
          <w:sz w:val="20"/>
          <w:szCs w:val="20"/>
        </w:rPr>
        <w:t>LA</w:t>
      </w:r>
      <w:r w:rsidRPr="00531B12">
        <w:rPr>
          <w:rFonts w:ascii="Abadi" w:hAnsi="Abadi"/>
          <w:b/>
          <w:bCs/>
          <w:spacing w:val="54"/>
          <w:sz w:val="20"/>
          <w:szCs w:val="20"/>
        </w:rPr>
        <w:t xml:space="preserve"> </w:t>
      </w:r>
      <w:r w:rsidRPr="00531B12">
        <w:rPr>
          <w:rFonts w:ascii="Abadi" w:hAnsi="Abadi"/>
          <w:b/>
          <w:bCs/>
          <w:sz w:val="20"/>
          <w:szCs w:val="20"/>
        </w:rPr>
        <w:t>PROPUESTA</w:t>
      </w:r>
      <w:r w:rsidRPr="00531B12">
        <w:rPr>
          <w:rFonts w:ascii="Abadi" w:hAnsi="Abadi"/>
          <w:b/>
          <w:bCs/>
          <w:spacing w:val="54"/>
          <w:sz w:val="20"/>
          <w:szCs w:val="20"/>
        </w:rPr>
        <w:t xml:space="preserve"> </w:t>
      </w:r>
      <w:r w:rsidRPr="00531B12">
        <w:rPr>
          <w:rFonts w:ascii="Abadi" w:hAnsi="Abadi"/>
          <w:b/>
          <w:bCs/>
          <w:sz w:val="20"/>
          <w:szCs w:val="20"/>
        </w:rPr>
        <w:t>DE</w:t>
      </w:r>
      <w:r w:rsidRPr="00531B12">
        <w:rPr>
          <w:rFonts w:ascii="Abadi" w:hAnsi="Abadi"/>
          <w:b/>
          <w:bCs/>
          <w:spacing w:val="54"/>
          <w:sz w:val="20"/>
          <w:szCs w:val="20"/>
        </w:rPr>
        <w:t xml:space="preserve"> </w:t>
      </w:r>
      <w:r w:rsidRPr="00531B12">
        <w:rPr>
          <w:rFonts w:ascii="Abadi" w:hAnsi="Abadi"/>
          <w:b/>
          <w:bCs/>
          <w:sz w:val="20"/>
          <w:szCs w:val="20"/>
        </w:rPr>
        <w:t>PUNTO</w:t>
      </w:r>
      <w:r w:rsidRPr="00531B12">
        <w:rPr>
          <w:rFonts w:ascii="Abadi" w:hAnsi="Abadi"/>
          <w:b/>
          <w:bCs/>
          <w:spacing w:val="54"/>
          <w:sz w:val="20"/>
          <w:szCs w:val="20"/>
        </w:rPr>
        <w:t xml:space="preserve"> </w:t>
      </w:r>
      <w:r w:rsidRPr="00531B12">
        <w:rPr>
          <w:rFonts w:ascii="Abadi" w:hAnsi="Abadi"/>
          <w:b/>
          <w:bCs/>
          <w:sz w:val="20"/>
          <w:szCs w:val="20"/>
        </w:rPr>
        <w:t>DE</w:t>
      </w:r>
      <w:r w:rsidRPr="00531B12">
        <w:rPr>
          <w:rFonts w:ascii="Abadi" w:hAnsi="Abadi"/>
          <w:b/>
          <w:bCs/>
          <w:spacing w:val="54"/>
          <w:sz w:val="20"/>
          <w:szCs w:val="20"/>
        </w:rPr>
        <w:t xml:space="preserve"> </w:t>
      </w:r>
      <w:r w:rsidRPr="00531B12">
        <w:rPr>
          <w:rFonts w:ascii="Abadi" w:hAnsi="Abadi"/>
          <w:b/>
          <w:bCs/>
          <w:sz w:val="20"/>
          <w:szCs w:val="20"/>
        </w:rPr>
        <w:t>ACUERDO</w:t>
      </w:r>
      <w:r w:rsidRPr="00531B12">
        <w:rPr>
          <w:rFonts w:ascii="Abadi" w:hAnsi="Abadi"/>
          <w:b/>
          <w:bCs/>
          <w:spacing w:val="54"/>
          <w:sz w:val="20"/>
          <w:szCs w:val="20"/>
        </w:rPr>
        <w:t xml:space="preserve"> </w:t>
      </w:r>
      <w:r w:rsidRPr="00531B12">
        <w:rPr>
          <w:rFonts w:ascii="Abadi" w:hAnsi="Abadi"/>
          <w:b/>
          <w:bCs/>
          <w:sz w:val="20"/>
          <w:szCs w:val="20"/>
        </w:rPr>
        <w:t>DE</w:t>
      </w:r>
      <w:r w:rsidRPr="00531B12">
        <w:rPr>
          <w:rFonts w:ascii="Abadi" w:hAnsi="Abadi"/>
          <w:b/>
          <w:bCs/>
          <w:spacing w:val="54"/>
          <w:sz w:val="20"/>
          <w:szCs w:val="20"/>
        </w:rPr>
        <w:t xml:space="preserve"> </w:t>
      </w:r>
      <w:r w:rsidRPr="00531B12">
        <w:rPr>
          <w:rFonts w:ascii="Abadi" w:hAnsi="Abadi"/>
          <w:b/>
          <w:bCs/>
          <w:sz w:val="20"/>
          <w:szCs w:val="20"/>
        </w:rPr>
        <w:t>OBVIA</w:t>
      </w:r>
      <w:r w:rsidRPr="00531B12">
        <w:rPr>
          <w:rFonts w:ascii="Abadi" w:hAnsi="Abadi"/>
          <w:b/>
          <w:bCs/>
          <w:spacing w:val="54"/>
          <w:sz w:val="20"/>
          <w:szCs w:val="20"/>
        </w:rPr>
        <w:t xml:space="preserve"> </w:t>
      </w:r>
      <w:r w:rsidRPr="00531B12">
        <w:rPr>
          <w:rFonts w:ascii="Abadi" w:hAnsi="Abadi"/>
          <w:b/>
          <w:bCs/>
          <w:sz w:val="20"/>
          <w:szCs w:val="20"/>
        </w:rPr>
        <w:t>RESOLUCIÓN</w:t>
      </w:r>
      <w:r w:rsidRPr="00531B12">
        <w:rPr>
          <w:rFonts w:ascii="Abadi" w:hAnsi="Abadi"/>
          <w:b/>
          <w:bCs/>
          <w:spacing w:val="-1"/>
          <w:sz w:val="20"/>
          <w:szCs w:val="20"/>
        </w:rPr>
        <w:t xml:space="preserve"> </w:t>
      </w:r>
      <w:r w:rsidRPr="00531B12">
        <w:rPr>
          <w:rFonts w:ascii="Abadi" w:hAnsi="Abadi"/>
          <w:b/>
          <w:bCs/>
          <w:sz w:val="20"/>
          <w:szCs w:val="20"/>
        </w:rPr>
        <w:t>SUSCRITA</w:t>
      </w:r>
      <w:r w:rsidRPr="00531B12">
        <w:rPr>
          <w:rFonts w:ascii="Abadi" w:hAnsi="Abadi"/>
          <w:b/>
          <w:bCs/>
          <w:spacing w:val="7"/>
          <w:sz w:val="20"/>
          <w:szCs w:val="20"/>
        </w:rPr>
        <w:t xml:space="preserve"> </w:t>
      </w:r>
      <w:r w:rsidRPr="00531B12">
        <w:rPr>
          <w:rFonts w:ascii="Abadi" w:hAnsi="Abadi"/>
          <w:b/>
          <w:bCs/>
          <w:sz w:val="20"/>
          <w:szCs w:val="20"/>
        </w:rPr>
        <w:t>POR</w:t>
      </w:r>
      <w:r w:rsidRPr="00531B12">
        <w:rPr>
          <w:rFonts w:ascii="Abadi" w:hAnsi="Abadi"/>
          <w:b/>
          <w:bCs/>
          <w:spacing w:val="7"/>
          <w:sz w:val="20"/>
          <w:szCs w:val="20"/>
        </w:rPr>
        <w:t xml:space="preserve"> </w:t>
      </w:r>
      <w:r w:rsidRPr="00531B12">
        <w:rPr>
          <w:rFonts w:ascii="Abadi" w:hAnsi="Abadi"/>
          <w:b/>
          <w:bCs/>
          <w:sz w:val="20"/>
          <w:szCs w:val="20"/>
        </w:rPr>
        <w:t>DIPUTADAS</w:t>
      </w:r>
      <w:r w:rsidRPr="00531B12">
        <w:rPr>
          <w:rFonts w:ascii="Abadi" w:hAnsi="Abadi"/>
          <w:b/>
          <w:bCs/>
          <w:spacing w:val="7"/>
          <w:sz w:val="20"/>
          <w:szCs w:val="20"/>
        </w:rPr>
        <w:t xml:space="preserve"> </w:t>
      </w:r>
      <w:r w:rsidRPr="00531B12">
        <w:rPr>
          <w:rFonts w:ascii="Abadi" w:hAnsi="Abadi"/>
          <w:b/>
          <w:bCs/>
          <w:sz w:val="20"/>
          <w:szCs w:val="20"/>
        </w:rPr>
        <w:t>Y</w:t>
      </w:r>
      <w:r w:rsidRPr="00531B12">
        <w:rPr>
          <w:rFonts w:ascii="Abadi" w:hAnsi="Abadi"/>
          <w:b/>
          <w:bCs/>
          <w:spacing w:val="7"/>
          <w:sz w:val="20"/>
          <w:szCs w:val="20"/>
        </w:rPr>
        <w:t xml:space="preserve"> </w:t>
      </w:r>
      <w:r w:rsidRPr="00531B12">
        <w:rPr>
          <w:rFonts w:ascii="Abadi" w:hAnsi="Abadi"/>
          <w:b/>
          <w:bCs/>
          <w:sz w:val="20"/>
          <w:szCs w:val="20"/>
        </w:rPr>
        <w:lastRenderedPageBreak/>
        <w:t>DIPUTADOS</w:t>
      </w:r>
      <w:r w:rsidRPr="00531B12">
        <w:rPr>
          <w:rFonts w:ascii="Abadi" w:hAnsi="Abadi"/>
          <w:b/>
          <w:bCs/>
          <w:spacing w:val="7"/>
          <w:sz w:val="20"/>
          <w:szCs w:val="20"/>
        </w:rPr>
        <w:t xml:space="preserve"> </w:t>
      </w:r>
      <w:r w:rsidRPr="00531B12">
        <w:rPr>
          <w:rFonts w:ascii="Abadi" w:hAnsi="Abadi"/>
          <w:b/>
          <w:bCs/>
          <w:sz w:val="20"/>
          <w:szCs w:val="20"/>
        </w:rPr>
        <w:t>INTEGRANTES</w:t>
      </w:r>
      <w:r w:rsidRPr="00531B12">
        <w:rPr>
          <w:rFonts w:ascii="Abadi" w:hAnsi="Abadi"/>
          <w:b/>
          <w:bCs/>
          <w:spacing w:val="7"/>
          <w:sz w:val="20"/>
          <w:szCs w:val="20"/>
        </w:rPr>
        <w:t xml:space="preserve"> </w:t>
      </w:r>
      <w:r w:rsidRPr="00531B12">
        <w:rPr>
          <w:rFonts w:ascii="Abadi" w:hAnsi="Abadi"/>
          <w:b/>
          <w:bCs/>
          <w:sz w:val="20"/>
          <w:szCs w:val="20"/>
        </w:rPr>
        <w:t>DEL</w:t>
      </w:r>
      <w:r w:rsidRPr="00531B12">
        <w:rPr>
          <w:rFonts w:ascii="Abadi" w:hAnsi="Abadi"/>
          <w:b/>
          <w:bCs/>
          <w:spacing w:val="7"/>
          <w:sz w:val="20"/>
          <w:szCs w:val="20"/>
        </w:rPr>
        <w:t xml:space="preserve"> </w:t>
      </w:r>
      <w:r w:rsidRPr="00531B12">
        <w:rPr>
          <w:rFonts w:ascii="Abadi" w:hAnsi="Abadi"/>
          <w:b/>
          <w:bCs/>
          <w:sz w:val="20"/>
          <w:szCs w:val="20"/>
        </w:rPr>
        <w:t>GRUPO</w:t>
      </w:r>
      <w:r w:rsidRPr="00531B12">
        <w:rPr>
          <w:rFonts w:ascii="Abadi" w:hAnsi="Abadi"/>
          <w:b/>
          <w:bCs/>
          <w:spacing w:val="7"/>
          <w:sz w:val="20"/>
          <w:szCs w:val="20"/>
        </w:rPr>
        <w:t xml:space="preserve"> </w:t>
      </w:r>
      <w:r w:rsidRPr="00531B12">
        <w:rPr>
          <w:rFonts w:ascii="Abadi" w:hAnsi="Abadi"/>
          <w:b/>
          <w:bCs/>
          <w:sz w:val="20"/>
          <w:szCs w:val="20"/>
        </w:rPr>
        <w:t>PARLAMENTARIO</w:t>
      </w:r>
      <w:r w:rsidRPr="00531B12">
        <w:rPr>
          <w:rFonts w:ascii="Abadi" w:hAnsi="Abadi"/>
          <w:b/>
          <w:bCs/>
          <w:spacing w:val="7"/>
          <w:sz w:val="20"/>
          <w:szCs w:val="20"/>
        </w:rPr>
        <w:t xml:space="preserve"> </w:t>
      </w:r>
      <w:r w:rsidRPr="00531B12">
        <w:rPr>
          <w:rFonts w:ascii="Abadi" w:hAnsi="Abadi"/>
          <w:b/>
          <w:bCs/>
          <w:sz w:val="20"/>
          <w:szCs w:val="20"/>
        </w:rPr>
        <w:t>DEL</w:t>
      </w:r>
      <w:r w:rsidRPr="00531B12">
        <w:rPr>
          <w:rFonts w:ascii="Abadi" w:hAnsi="Abadi"/>
          <w:b/>
          <w:bCs/>
          <w:spacing w:val="-1"/>
          <w:sz w:val="20"/>
          <w:szCs w:val="20"/>
        </w:rPr>
        <w:t xml:space="preserve"> </w:t>
      </w:r>
      <w:r w:rsidRPr="00531B12">
        <w:rPr>
          <w:rFonts w:ascii="Abadi" w:hAnsi="Abadi"/>
          <w:b/>
          <w:bCs/>
          <w:sz w:val="20"/>
          <w:szCs w:val="20"/>
        </w:rPr>
        <w:t>PARTIDO</w:t>
      </w:r>
      <w:r w:rsidRPr="00531B12">
        <w:rPr>
          <w:rFonts w:ascii="Abadi" w:hAnsi="Abadi"/>
          <w:b/>
          <w:bCs/>
          <w:spacing w:val="24"/>
          <w:sz w:val="20"/>
          <w:szCs w:val="20"/>
        </w:rPr>
        <w:t xml:space="preserve"> </w:t>
      </w:r>
      <w:r w:rsidRPr="00531B12">
        <w:rPr>
          <w:rFonts w:ascii="Abadi" w:hAnsi="Abadi"/>
          <w:b/>
          <w:bCs/>
          <w:sz w:val="20"/>
          <w:szCs w:val="20"/>
        </w:rPr>
        <w:t>ACCIÓN</w:t>
      </w:r>
      <w:r w:rsidRPr="00531B12">
        <w:rPr>
          <w:rFonts w:ascii="Abadi" w:hAnsi="Abadi"/>
          <w:b/>
          <w:bCs/>
          <w:spacing w:val="24"/>
          <w:sz w:val="20"/>
          <w:szCs w:val="20"/>
        </w:rPr>
        <w:t xml:space="preserve"> </w:t>
      </w:r>
      <w:r w:rsidRPr="00531B12">
        <w:rPr>
          <w:rFonts w:ascii="Abadi" w:hAnsi="Abadi"/>
          <w:b/>
          <w:bCs/>
          <w:sz w:val="20"/>
          <w:szCs w:val="20"/>
        </w:rPr>
        <w:t>NACIONAL</w:t>
      </w:r>
      <w:r w:rsidRPr="00531B12">
        <w:rPr>
          <w:rFonts w:ascii="Abadi" w:hAnsi="Abadi"/>
          <w:b/>
          <w:bCs/>
          <w:spacing w:val="24"/>
          <w:sz w:val="20"/>
          <w:szCs w:val="20"/>
        </w:rPr>
        <w:t xml:space="preserve"> </w:t>
      </w:r>
      <w:r w:rsidRPr="00531B12">
        <w:rPr>
          <w:rFonts w:ascii="Abadi" w:hAnsi="Abadi"/>
          <w:b/>
          <w:bCs/>
          <w:sz w:val="20"/>
          <w:szCs w:val="20"/>
        </w:rPr>
        <w:t>A</w:t>
      </w:r>
      <w:r w:rsidRPr="00531B12">
        <w:rPr>
          <w:rFonts w:ascii="Abadi" w:hAnsi="Abadi"/>
          <w:b/>
          <w:bCs/>
          <w:spacing w:val="24"/>
          <w:sz w:val="20"/>
          <w:szCs w:val="20"/>
        </w:rPr>
        <w:t xml:space="preserve"> </w:t>
      </w:r>
      <w:r w:rsidRPr="00531B12">
        <w:rPr>
          <w:rFonts w:ascii="Abadi" w:hAnsi="Abadi"/>
          <w:b/>
          <w:bCs/>
          <w:sz w:val="20"/>
          <w:szCs w:val="20"/>
        </w:rPr>
        <w:t>FIN</w:t>
      </w:r>
      <w:r w:rsidRPr="00531B12">
        <w:rPr>
          <w:rFonts w:ascii="Abadi" w:hAnsi="Abadi"/>
          <w:b/>
          <w:bCs/>
          <w:spacing w:val="24"/>
          <w:sz w:val="20"/>
          <w:szCs w:val="20"/>
        </w:rPr>
        <w:t xml:space="preserve"> </w:t>
      </w:r>
      <w:r w:rsidRPr="00531B12">
        <w:rPr>
          <w:rFonts w:ascii="Abadi" w:hAnsi="Abadi"/>
          <w:b/>
          <w:bCs/>
          <w:sz w:val="20"/>
          <w:szCs w:val="20"/>
        </w:rPr>
        <w:t>DE</w:t>
      </w:r>
      <w:r w:rsidRPr="00531B12">
        <w:rPr>
          <w:rFonts w:ascii="Abadi" w:hAnsi="Abadi"/>
          <w:b/>
          <w:bCs/>
          <w:spacing w:val="24"/>
          <w:sz w:val="20"/>
          <w:szCs w:val="20"/>
        </w:rPr>
        <w:t xml:space="preserve"> </w:t>
      </w:r>
      <w:r w:rsidRPr="00531B12">
        <w:rPr>
          <w:rFonts w:ascii="Abadi" w:hAnsi="Abadi"/>
          <w:b/>
          <w:bCs/>
          <w:sz w:val="20"/>
          <w:szCs w:val="20"/>
        </w:rPr>
        <w:t>EXHORTAR</w:t>
      </w:r>
      <w:r w:rsidRPr="00531B12">
        <w:rPr>
          <w:rFonts w:ascii="Abadi" w:hAnsi="Abadi"/>
          <w:b/>
          <w:bCs/>
          <w:spacing w:val="24"/>
          <w:sz w:val="20"/>
          <w:szCs w:val="20"/>
        </w:rPr>
        <w:t xml:space="preserve"> </w:t>
      </w:r>
      <w:r w:rsidRPr="00531B12">
        <w:rPr>
          <w:rFonts w:ascii="Abadi" w:hAnsi="Abadi"/>
          <w:b/>
          <w:bCs/>
          <w:sz w:val="20"/>
          <w:szCs w:val="20"/>
        </w:rPr>
        <w:t>A</w:t>
      </w:r>
      <w:r w:rsidRPr="00531B12">
        <w:rPr>
          <w:rFonts w:ascii="Abadi" w:hAnsi="Abadi"/>
          <w:b/>
          <w:bCs/>
          <w:spacing w:val="24"/>
          <w:sz w:val="20"/>
          <w:szCs w:val="20"/>
        </w:rPr>
        <w:t xml:space="preserve"> </w:t>
      </w:r>
      <w:r w:rsidRPr="00531B12">
        <w:rPr>
          <w:rFonts w:ascii="Abadi" w:hAnsi="Abadi"/>
          <w:b/>
          <w:bCs/>
          <w:sz w:val="20"/>
          <w:szCs w:val="20"/>
        </w:rPr>
        <w:t>LOS</w:t>
      </w:r>
      <w:r w:rsidRPr="00531B12">
        <w:rPr>
          <w:rFonts w:ascii="Abadi" w:hAnsi="Abadi"/>
          <w:b/>
          <w:bCs/>
          <w:spacing w:val="24"/>
          <w:sz w:val="20"/>
          <w:szCs w:val="20"/>
        </w:rPr>
        <w:t xml:space="preserve"> </w:t>
      </w:r>
      <w:r w:rsidRPr="00531B12">
        <w:rPr>
          <w:rFonts w:ascii="Abadi" w:hAnsi="Abadi"/>
          <w:b/>
          <w:bCs/>
          <w:sz w:val="20"/>
          <w:szCs w:val="20"/>
        </w:rPr>
        <w:t>AYUNTAMIENTOS</w:t>
      </w:r>
      <w:r w:rsidRPr="00531B12">
        <w:rPr>
          <w:rFonts w:ascii="Abadi" w:hAnsi="Abadi"/>
          <w:b/>
          <w:bCs/>
          <w:spacing w:val="24"/>
          <w:sz w:val="20"/>
          <w:szCs w:val="20"/>
        </w:rPr>
        <w:t xml:space="preserve"> </w:t>
      </w:r>
      <w:r w:rsidRPr="00531B12">
        <w:rPr>
          <w:rFonts w:ascii="Abadi" w:hAnsi="Abadi"/>
          <w:b/>
          <w:bCs/>
          <w:sz w:val="20"/>
          <w:szCs w:val="20"/>
        </w:rPr>
        <w:t>DE</w:t>
      </w:r>
      <w:r w:rsidRPr="00531B12">
        <w:rPr>
          <w:rFonts w:ascii="Abadi" w:hAnsi="Abadi"/>
          <w:b/>
          <w:bCs/>
          <w:spacing w:val="24"/>
          <w:sz w:val="20"/>
          <w:szCs w:val="20"/>
        </w:rPr>
        <w:t xml:space="preserve"> </w:t>
      </w:r>
      <w:r w:rsidRPr="00531B12">
        <w:rPr>
          <w:rFonts w:ascii="Abadi" w:hAnsi="Abadi"/>
          <w:b/>
          <w:bCs/>
          <w:sz w:val="20"/>
          <w:szCs w:val="20"/>
        </w:rPr>
        <w:t>ATARJEA,</w:t>
      </w:r>
      <w:r w:rsidRPr="00531B12">
        <w:rPr>
          <w:rFonts w:ascii="Abadi" w:hAnsi="Abadi"/>
          <w:b/>
          <w:bCs/>
          <w:spacing w:val="-1"/>
          <w:sz w:val="20"/>
          <w:szCs w:val="20"/>
        </w:rPr>
        <w:t xml:space="preserve"> </w:t>
      </w:r>
      <w:r w:rsidRPr="00531B12">
        <w:rPr>
          <w:rFonts w:ascii="Abadi" w:hAnsi="Abadi"/>
          <w:b/>
          <w:bCs/>
          <w:sz w:val="20"/>
          <w:szCs w:val="20"/>
        </w:rPr>
        <w:t>OCAMPO,</w:t>
      </w:r>
      <w:r w:rsidRPr="00531B12">
        <w:rPr>
          <w:rFonts w:ascii="Abadi" w:hAnsi="Abadi"/>
          <w:b/>
          <w:bCs/>
          <w:spacing w:val="12"/>
          <w:sz w:val="20"/>
          <w:szCs w:val="20"/>
        </w:rPr>
        <w:t xml:space="preserve"> </w:t>
      </w:r>
      <w:r w:rsidRPr="00531B12">
        <w:rPr>
          <w:rFonts w:ascii="Abadi" w:hAnsi="Abadi"/>
          <w:b/>
          <w:bCs/>
          <w:sz w:val="20"/>
          <w:szCs w:val="20"/>
        </w:rPr>
        <w:t>PUEBLO</w:t>
      </w:r>
      <w:r w:rsidRPr="00531B12">
        <w:rPr>
          <w:rFonts w:ascii="Abadi" w:hAnsi="Abadi"/>
          <w:b/>
          <w:bCs/>
          <w:spacing w:val="12"/>
          <w:sz w:val="20"/>
          <w:szCs w:val="20"/>
        </w:rPr>
        <w:t xml:space="preserve"> </w:t>
      </w:r>
      <w:r w:rsidRPr="00531B12">
        <w:rPr>
          <w:rFonts w:ascii="Abadi" w:hAnsi="Abadi"/>
          <w:b/>
          <w:bCs/>
          <w:sz w:val="20"/>
          <w:szCs w:val="20"/>
        </w:rPr>
        <w:t>NUEVO,</w:t>
      </w:r>
      <w:r w:rsidRPr="00531B12">
        <w:rPr>
          <w:rFonts w:ascii="Abadi" w:hAnsi="Abadi"/>
          <w:b/>
          <w:bCs/>
          <w:spacing w:val="12"/>
          <w:sz w:val="20"/>
          <w:szCs w:val="20"/>
        </w:rPr>
        <w:t xml:space="preserve"> </w:t>
      </w:r>
      <w:r w:rsidRPr="00531B12">
        <w:rPr>
          <w:rFonts w:ascii="Abadi" w:hAnsi="Abadi"/>
          <w:b/>
          <w:bCs/>
          <w:sz w:val="20"/>
          <w:szCs w:val="20"/>
        </w:rPr>
        <w:t>SANTA</w:t>
      </w:r>
      <w:r w:rsidRPr="00531B12">
        <w:rPr>
          <w:rFonts w:ascii="Abadi" w:hAnsi="Abadi"/>
          <w:b/>
          <w:bCs/>
          <w:spacing w:val="12"/>
          <w:sz w:val="20"/>
          <w:szCs w:val="20"/>
        </w:rPr>
        <w:t xml:space="preserve"> </w:t>
      </w:r>
      <w:r w:rsidRPr="00531B12">
        <w:rPr>
          <w:rFonts w:ascii="Abadi" w:hAnsi="Abadi"/>
          <w:b/>
          <w:bCs/>
          <w:sz w:val="20"/>
          <w:szCs w:val="20"/>
        </w:rPr>
        <w:t>CATARINA,</w:t>
      </w:r>
      <w:r w:rsidRPr="00531B12">
        <w:rPr>
          <w:rFonts w:ascii="Abadi" w:hAnsi="Abadi"/>
          <w:b/>
          <w:bCs/>
          <w:spacing w:val="11"/>
          <w:sz w:val="20"/>
          <w:szCs w:val="20"/>
        </w:rPr>
        <w:t xml:space="preserve"> </w:t>
      </w:r>
      <w:r w:rsidRPr="00531B12">
        <w:rPr>
          <w:rFonts w:ascii="Abadi" w:hAnsi="Abadi"/>
          <w:b/>
          <w:bCs/>
          <w:sz w:val="20"/>
          <w:szCs w:val="20"/>
        </w:rPr>
        <w:t>XICHÚ</w:t>
      </w:r>
      <w:r w:rsidRPr="00531B12">
        <w:rPr>
          <w:rFonts w:ascii="Abadi" w:hAnsi="Abadi"/>
          <w:b/>
          <w:bCs/>
          <w:spacing w:val="12"/>
          <w:sz w:val="20"/>
          <w:szCs w:val="20"/>
        </w:rPr>
        <w:t xml:space="preserve"> </w:t>
      </w:r>
      <w:r w:rsidRPr="00531B12">
        <w:rPr>
          <w:rFonts w:ascii="Abadi" w:hAnsi="Abadi"/>
          <w:b/>
          <w:bCs/>
          <w:sz w:val="20"/>
          <w:szCs w:val="20"/>
        </w:rPr>
        <w:t>Y</w:t>
      </w:r>
      <w:r w:rsidRPr="00531B12">
        <w:rPr>
          <w:rFonts w:ascii="Abadi" w:hAnsi="Abadi"/>
          <w:b/>
          <w:bCs/>
          <w:spacing w:val="12"/>
          <w:sz w:val="20"/>
          <w:szCs w:val="20"/>
        </w:rPr>
        <w:t xml:space="preserve"> </w:t>
      </w:r>
      <w:r w:rsidRPr="00531B12">
        <w:rPr>
          <w:rFonts w:ascii="Abadi" w:hAnsi="Abadi"/>
          <w:b/>
          <w:bCs/>
          <w:sz w:val="20"/>
          <w:szCs w:val="20"/>
        </w:rPr>
        <w:t>VILLAGRÁN,</w:t>
      </w:r>
      <w:r w:rsidRPr="00531B12">
        <w:rPr>
          <w:rFonts w:ascii="Abadi" w:hAnsi="Abadi"/>
          <w:b/>
          <w:bCs/>
          <w:spacing w:val="12"/>
          <w:sz w:val="20"/>
          <w:szCs w:val="20"/>
        </w:rPr>
        <w:t xml:space="preserve"> </w:t>
      </w:r>
      <w:r w:rsidRPr="00531B12">
        <w:rPr>
          <w:rFonts w:ascii="Abadi" w:hAnsi="Abadi"/>
          <w:b/>
          <w:bCs/>
          <w:sz w:val="20"/>
          <w:szCs w:val="20"/>
        </w:rPr>
        <w:t>PARA</w:t>
      </w:r>
      <w:r w:rsidRPr="00531B12">
        <w:rPr>
          <w:rFonts w:ascii="Abadi" w:hAnsi="Abadi"/>
          <w:b/>
          <w:bCs/>
          <w:spacing w:val="12"/>
          <w:sz w:val="20"/>
          <w:szCs w:val="20"/>
        </w:rPr>
        <w:t xml:space="preserve"> </w:t>
      </w:r>
      <w:r w:rsidRPr="00531B12">
        <w:rPr>
          <w:rFonts w:ascii="Abadi" w:hAnsi="Abadi"/>
          <w:b/>
          <w:bCs/>
          <w:sz w:val="20"/>
          <w:szCs w:val="20"/>
        </w:rPr>
        <w:t>QUE</w:t>
      </w:r>
      <w:r w:rsidRPr="00531B12">
        <w:rPr>
          <w:rFonts w:ascii="Abadi" w:hAnsi="Abadi"/>
          <w:b/>
          <w:bCs/>
          <w:spacing w:val="12"/>
          <w:sz w:val="20"/>
          <w:szCs w:val="20"/>
        </w:rPr>
        <w:t xml:space="preserve"> </w:t>
      </w:r>
      <w:r w:rsidRPr="00531B12">
        <w:rPr>
          <w:rFonts w:ascii="Abadi" w:hAnsi="Abadi"/>
          <w:b/>
          <w:bCs/>
          <w:sz w:val="20"/>
          <w:szCs w:val="20"/>
        </w:rPr>
        <w:t>ELIJAN</w:t>
      </w:r>
      <w:r w:rsidRPr="00531B12">
        <w:rPr>
          <w:rFonts w:ascii="Abadi" w:hAnsi="Abadi"/>
          <w:b/>
          <w:bCs/>
          <w:spacing w:val="-1"/>
          <w:sz w:val="20"/>
          <w:szCs w:val="20"/>
        </w:rPr>
        <w:t xml:space="preserve"> </w:t>
      </w:r>
      <w:r w:rsidRPr="00531B12">
        <w:rPr>
          <w:rFonts w:ascii="Abadi" w:hAnsi="Abadi"/>
          <w:b/>
          <w:bCs/>
          <w:sz w:val="20"/>
          <w:szCs w:val="20"/>
        </w:rPr>
        <w:t>A</w:t>
      </w:r>
      <w:r w:rsidRPr="00531B12">
        <w:rPr>
          <w:rFonts w:ascii="Abadi" w:hAnsi="Abadi"/>
          <w:b/>
          <w:bCs/>
          <w:spacing w:val="-17"/>
          <w:sz w:val="20"/>
          <w:szCs w:val="20"/>
        </w:rPr>
        <w:t xml:space="preserve"> </w:t>
      </w:r>
      <w:r w:rsidRPr="00531B12">
        <w:rPr>
          <w:rFonts w:ascii="Abadi" w:hAnsi="Abadi"/>
          <w:b/>
          <w:bCs/>
          <w:sz w:val="20"/>
          <w:szCs w:val="20"/>
        </w:rPr>
        <w:t>SU</w:t>
      </w:r>
      <w:r w:rsidRPr="00531B12">
        <w:rPr>
          <w:rFonts w:ascii="Abadi" w:hAnsi="Abadi"/>
          <w:b/>
          <w:bCs/>
          <w:spacing w:val="-17"/>
          <w:sz w:val="20"/>
          <w:szCs w:val="20"/>
        </w:rPr>
        <w:t xml:space="preserve"> </w:t>
      </w:r>
      <w:r w:rsidRPr="00531B12">
        <w:rPr>
          <w:rFonts w:ascii="Abadi" w:hAnsi="Abadi"/>
          <w:b/>
          <w:bCs/>
          <w:sz w:val="20"/>
          <w:szCs w:val="20"/>
        </w:rPr>
        <w:t>CRONISTA</w:t>
      </w:r>
      <w:r w:rsidRPr="00531B12">
        <w:rPr>
          <w:rFonts w:ascii="Abadi" w:hAnsi="Abadi"/>
          <w:b/>
          <w:bCs/>
          <w:spacing w:val="-17"/>
          <w:sz w:val="20"/>
          <w:szCs w:val="20"/>
        </w:rPr>
        <w:t xml:space="preserve"> </w:t>
      </w:r>
      <w:r w:rsidRPr="00531B12">
        <w:rPr>
          <w:rFonts w:ascii="Abadi" w:hAnsi="Abadi"/>
          <w:b/>
          <w:bCs/>
          <w:sz w:val="20"/>
          <w:szCs w:val="20"/>
        </w:rPr>
        <w:t>MUNICIPAL</w:t>
      </w:r>
      <w:r w:rsidRPr="00531B12">
        <w:rPr>
          <w:rFonts w:ascii="Abadi" w:hAnsi="Abadi"/>
          <w:b/>
          <w:bCs/>
          <w:spacing w:val="-17"/>
          <w:sz w:val="20"/>
          <w:szCs w:val="20"/>
        </w:rPr>
        <w:t xml:space="preserve"> </w:t>
      </w:r>
      <w:r w:rsidRPr="00531B12">
        <w:rPr>
          <w:rFonts w:ascii="Abadi" w:hAnsi="Abadi"/>
          <w:b/>
          <w:bCs/>
          <w:sz w:val="20"/>
          <w:szCs w:val="20"/>
        </w:rPr>
        <w:t>CON</w:t>
      </w:r>
      <w:r w:rsidRPr="00531B12">
        <w:rPr>
          <w:rFonts w:ascii="Abadi" w:hAnsi="Abadi"/>
          <w:b/>
          <w:bCs/>
          <w:spacing w:val="-17"/>
          <w:sz w:val="20"/>
          <w:szCs w:val="20"/>
        </w:rPr>
        <w:t xml:space="preserve"> </w:t>
      </w:r>
      <w:r w:rsidRPr="00531B12">
        <w:rPr>
          <w:rFonts w:ascii="Abadi" w:hAnsi="Abadi"/>
          <w:b/>
          <w:bCs/>
          <w:sz w:val="20"/>
          <w:szCs w:val="20"/>
        </w:rPr>
        <w:t>LAS</w:t>
      </w:r>
      <w:r w:rsidRPr="00531B12">
        <w:rPr>
          <w:rFonts w:ascii="Abadi" w:hAnsi="Abadi"/>
          <w:b/>
          <w:bCs/>
          <w:spacing w:val="-17"/>
          <w:sz w:val="20"/>
          <w:szCs w:val="20"/>
        </w:rPr>
        <w:t xml:space="preserve"> </w:t>
      </w:r>
      <w:r w:rsidRPr="00531B12">
        <w:rPr>
          <w:rFonts w:ascii="Abadi" w:hAnsi="Abadi"/>
          <w:b/>
          <w:bCs/>
          <w:sz w:val="20"/>
          <w:szCs w:val="20"/>
        </w:rPr>
        <w:t>FORMALIDADES</w:t>
      </w:r>
      <w:r w:rsidRPr="00531B12">
        <w:rPr>
          <w:rFonts w:ascii="Abadi" w:hAnsi="Abadi"/>
          <w:b/>
          <w:bCs/>
          <w:spacing w:val="-16"/>
          <w:sz w:val="20"/>
          <w:szCs w:val="20"/>
        </w:rPr>
        <w:t xml:space="preserve"> </w:t>
      </w:r>
      <w:r w:rsidRPr="00531B12">
        <w:rPr>
          <w:rFonts w:ascii="Abadi" w:hAnsi="Abadi"/>
          <w:b/>
          <w:bCs/>
          <w:sz w:val="20"/>
          <w:szCs w:val="20"/>
        </w:rPr>
        <w:t>ESTABLECIDAS</w:t>
      </w:r>
      <w:r w:rsidRPr="00531B12">
        <w:rPr>
          <w:rFonts w:ascii="Abadi" w:hAnsi="Abadi"/>
          <w:b/>
          <w:bCs/>
          <w:spacing w:val="-17"/>
          <w:sz w:val="20"/>
          <w:szCs w:val="20"/>
        </w:rPr>
        <w:t xml:space="preserve"> </w:t>
      </w:r>
      <w:r w:rsidRPr="00531B12">
        <w:rPr>
          <w:rFonts w:ascii="Abadi" w:hAnsi="Abadi"/>
          <w:b/>
          <w:bCs/>
          <w:sz w:val="20"/>
          <w:szCs w:val="20"/>
        </w:rPr>
        <w:t>EN</w:t>
      </w:r>
      <w:r w:rsidRPr="00531B12">
        <w:rPr>
          <w:rFonts w:ascii="Abadi" w:hAnsi="Abadi"/>
          <w:b/>
          <w:bCs/>
          <w:spacing w:val="-17"/>
          <w:sz w:val="20"/>
          <w:szCs w:val="20"/>
        </w:rPr>
        <w:t xml:space="preserve"> </w:t>
      </w:r>
      <w:r w:rsidRPr="00531B12">
        <w:rPr>
          <w:rFonts w:ascii="Abadi" w:hAnsi="Abadi"/>
          <w:b/>
          <w:bCs/>
          <w:sz w:val="20"/>
          <w:szCs w:val="20"/>
        </w:rPr>
        <w:t>LA</w:t>
      </w:r>
      <w:r w:rsidRPr="00531B12">
        <w:rPr>
          <w:rFonts w:ascii="Abadi" w:hAnsi="Abadi"/>
          <w:b/>
          <w:bCs/>
          <w:spacing w:val="-17"/>
          <w:sz w:val="20"/>
          <w:szCs w:val="20"/>
        </w:rPr>
        <w:t xml:space="preserve"> </w:t>
      </w:r>
      <w:r w:rsidRPr="00531B12">
        <w:rPr>
          <w:rFonts w:ascii="Abadi" w:hAnsi="Abadi"/>
          <w:b/>
          <w:bCs/>
          <w:sz w:val="20"/>
          <w:szCs w:val="20"/>
        </w:rPr>
        <w:t>LEY</w:t>
      </w:r>
      <w:r w:rsidRPr="00531B12">
        <w:rPr>
          <w:rFonts w:ascii="Abadi" w:hAnsi="Abadi"/>
          <w:b/>
          <w:bCs/>
          <w:spacing w:val="-17"/>
          <w:sz w:val="20"/>
          <w:szCs w:val="20"/>
        </w:rPr>
        <w:t xml:space="preserve"> </w:t>
      </w:r>
      <w:r w:rsidRPr="00531B12">
        <w:rPr>
          <w:rFonts w:ascii="Abadi" w:hAnsi="Abadi"/>
          <w:b/>
          <w:bCs/>
          <w:sz w:val="20"/>
          <w:szCs w:val="20"/>
        </w:rPr>
        <w:t>ORGÁNICA</w:t>
      </w:r>
      <w:r w:rsidRPr="00531B12">
        <w:rPr>
          <w:rFonts w:ascii="Abadi" w:hAnsi="Abadi"/>
          <w:b/>
          <w:bCs/>
          <w:spacing w:val="-1"/>
          <w:sz w:val="20"/>
          <w:szCs w:val="20"/>
        </w:rPr>
        <w:t xml:space="preserve"> </w:t>
      </w:r>
      <w:r w:rsidRPr="00531B12">
        <w:rPr>
          <w:rFonts w:ascii="Abadi" w:hAnsi="Abadi"/>
          <w:b/>
          <w:bCs/>
          <w:sz w:val="20"/>
          <w:szCs w:val="20"/>
        </w:rPr>
        <w:t>MUNICIPAL</w:t>
      </w:r>
      <w:r w:rsidRPr="00531B12">
        <w:rPr>
          <w:rFonts w:ascii="Abadi" w:hAnsi="Abadi"/>
          <w:b/>
          <w:bCs/>
          <w:spacing w:val="-6"/>
          <w:sz w:val="20"/>
          <w:szCs w:val="20"/>
        </w:rPr>
        <w:t xml:space="preserve"> </w:t>
      </w:r>
      <w:r w:rsidRPr="00531B12">
        <w:rPr>
          <w:rFonts w:ascii="Abadi" w:hAnsi="Abadi"/>
          <w:b/>
          <w:bCs/>
          <w:sz w:val="20"/>
          <w:szCs w:val="20"/>
        </w:rPr>
        <w:t>DEL</w:t>
      </w:r>
      <w:r w:rsidRPr="00531B12">
        <w:rPr>
          <w:rFonts w:ascii="Abadi" w:hAnsi="Abadi"/>
          <w:b/>
          <w:bCs/>
          <w:spacing w:val="-6"/>
          <w:sz w:val="20"/>
          <w:szCs w:val="20"/>
        </w:rPr>
        <w:t xml:space="preserve"> </w:t>
      </w:r>
      <w:r w:rsidRPr="00531B12">
        <w:rPr>
          <w:rFonts w:ascii="Abadi" w:hAnsi="Abadi"/>
          <w:b/>
          <w:bCs/>
          <w:sz w:val="20"/>
          <w:szCs w:val="20"/>
        </w:rPr>
        <w:t>ESTADO</w:t>
      </w:r>
      <w:r w:rsidRPr="00531B12">
        <w:rPr>
          <w:rFonts w:ascii="Abadi" w:hAnsi="Abadi"/>
          <w:b/>
          <w:bCs/>
          <w:spacing w:val="-6"/>
          <w:sz w:val="20"/>
          <w:szCs w:val="20"/>
        </w:rPr>
        <w:t xml:space="preserve"> </w:t>
      </w:r>
      <w:r w:rsidRPr="00531B12">
        <w:rPr>
          <w:rFonts w:ascii="Abadi" w:hAnsi="Abadi"/>
          <w:b/>
          <w:bCs/>
          <w:sz w:val="20"/>
          <w:szCs w:val="20"/>
        </w:rPr>
        <w:t>DE</w:t>
      </w:r>
      <w:r w:rsidRPr="00531B12">
        <w:rPr>
          <w:rFonts w:ascii="Abadi" w:hAnsi="Abadi"/>
          <w:b/>
          <w:bCs/>
          <w:spacing w:val="-6"/>
          <w:sz w:val="20"/>
          <w:szCs w:val="20"/>
        </w:rPr>
        <w:t xml:space="preserve"> </w:t>
      </w:r>
      <w:r w:rsidRPr="00531B12">
        <w:rPr>
          <w:rFonts w:ascii="Abadi" w:hAnsi="Abadi"/>
          <w:b/>
          <w:bCs/>
          <w:sz w:val="20"/>
          <w:szCs w:val="20"/>
        </w:rPr>
        <w:t>GUANAJUATO</w:t>
      </w:r>
      <w:r w:rsidRPr="00531B12">
        <w:rPr>
          <w:rFonts w:ascii="Abadi" w:hAnsi="Abadi"/>
          <w:b/>
          <w:bCs/>
          <w:spacing w:val="-6"/>
          <w:sz w:val="20"/>
          <w:szCs w:val="20"/>
        </w:rPr>
        <w:t xml:space="preserve"> </w:t>
      </w:r>
      <w:r w:rsidRPr="00531B12">
        <w:rPr>
          <w:rFonts w:ascii="Abadi" w:hAnsi="Abadi"/>
          <w:b/>
          <w:bCs/>
          <w:sz w:val="20"/>
          <w:szCs w:val="20"/>
        </w:rPr>
        <w:t>Y,</w:t>
      </w:r>
      <w:r w:rsidRPr="00531B12">
        <w:rPr>
          <w:rFonts w:ascii="Abadi" w:hAnsi="Abadi"/>
          <w:b/>
          <w:bCs/>
          <w:spacing w:val="-6"/>
          <w:sz w:val="20"/>
          <w:szCs w:val="20"/>
        </w:rPr>
        <w:t xml:space="preserve"> </w:t>
      </w:r>
      <w:r w:rsidRPr="00531B12">
        <w:rPr>
          <w:rFonts w:ascii="Abadi" w:hAnsi="Abadi"/>
          <w:b/>
          <w:bCs/>
          <w:sz w:val="20"/>
          <w:szCs w:val="20"/>
        </w:rPr>
        <w:t>EN</w:t>
      </w:r>
      <w:r w:rsidRPr="00531B12">
        <w:rPr>
          <w:rFonts w:ascii="Abadi" w:hAnsi="Abadi"/>
          <w:b/>
          <w:bCs/>
          <w:spacing w:val="-6"/>
          <w:sz w:val="20"/>
          <w:szCs w:val="20"/>
        </w:rPr>
        <w:t xml:space="preserve"> </w:t>
      </w:r>
      <w:r w:rsidRPr="00531B12">
        <w:rPr>
          <w:rFonts w:ascii="Abadi" w:hAnsi="Abadi"/>
          <w:b/>
          <w:bCs/>
          <w:sz w:val="20"/>
          <w:szCs w:val="20"/>
        </w:rPr>
        <w:t>SU</w:t>
      </w:r>
      <w:r w:rsidRPr="00531B12">
        <w:rPr>
          <w:rFonts w:ascii="Abadi" w:hAnsi="Abadi"/>
          <w:b/>
          <w:bCs/>
          <w:spacing w:val="-6"/>
          <w:sz w:val="20"/>
          <w:szCs w:val="20"/>
        </w:rPr>
        <w:t xml:space="preserve"> </w:t>
      </w:r>
      <w:r w:rsidRPr="00531B12">
        <w:rPr>
          <w:rFonts w:ascii="Abadi" w:hAnsi="Abadi"/>
          <w:b/>
          <w:bCs/>
          <w:sz w:val="20"/>
          <w:szCs w:val="20"/>
        </w:rPr>
        <w:t>CASO,</w:t>
      </w:r>
      <w:r w:rsidRPr="00531B12">
        <w:rPr>
          <w:rFonts w:ascii="Abadi" w:hAnsi="Abadi"/>
          <w:b/>
          <w:bCs/>
          <w:spacing w:val="-6"/>
          <w:sz w:val="20"/>
          <w:szCs w:val="20"/>
        </w:rPr>
        <w:t xml:space="preserve"> </w:t>
      </w:r>
      <w:r w:rsidRPr="00531B12">
        <w:rPr>
          <w:rFonts w:ascii="Abadi" w:hAnsi="Abadi"/>
          <w:b/>
          <w:bCs/>
          <w:sz w:val="20"/>
          <w:szCs w:val="20"/>
        </w:rPr>
        <w:t>APROBACIÓN</w:t>
      </w:r>
      <w:r w:rsidRPr="00531B12">
        <w:rPr>
          <w:rFonts w:ascii="Abadi" w:hAnsi="Abadi"/>
          <w:b/>
          <w:bCs/>
          <w:spacing w:val="-6"/>
          <w:sz w:val="20"/>
          <w:szCs w:val="20"/>
        </w:rPr>
        <w:t xml:space="preserve"> </w:t>
      </w:r>
      <w:r w:rsidRPr="00531B12">
        <w:rPr>
          <w:rFonts w:ascii="Abadi" w:hAnsi="Abadi"/>
          <w:b/>
          <w:bCs/>
          <w:sz w:val="20"/>
          <w:szCs w:val="20"/>
        </w:rPr>
        <w:t>DE</w:t>
      </w:r>
      <w:r w:rsidRPr="00531B12">
        <w:rPr>
          <w:rFonts w:ascii="Abadi" w:hAnsi="Abadi"/>
          <w:b/>
          <w:bCs/>
          <w:spacing w:val="-6"/>
          <w:sz w:val="20"/>
          <w:szCs w:val="20"/>
        </w:rPr>
        <w:t xml:space="preserve"> </w:t>
      </w:r>
      <w:r w:rsidRPr="00531B12">
        <w:rPr>
          <w:rFonts w:ascii="Abadi" w:hAnsi="Abadi"/>
          <w:b/>
          <w:bCs/>
          <w:sz w:val="20"/>
          <w:szCs w:val="20"/>
        </w:rPr>
        <w:t>LA</w:t>
      </w:r>
      <w:r w:rsidRPr="00531B12">
        <w:rPr>
          <w:rFonts w:ascii="Abadi" w:hAnsi="Abadi"/>
          <w:b/>
          <w:bCs/>
          <w:spacing w:val="-6"/>
          <w:sz w:val="20"/>
          <w:szCs w:val="20"/>
        </w:rPr>
        <w:t xml:space="preserve"> </w:t>
      </w:r>
      <w:r w:rsidRPr="00531B12">
        <w:rPr>
          <w:rFonts w:ascii="Abadi" w:hAnsi="Abadi"/>
          <w:b/>
          <w:bCs/>
          <w:sz w:val="20"/>
          <w:szCs w:val="20"/>
        </w:rPr>
        <w:t>MISMA</w:t>
      </w:r>
      <w:r w:rsidR="00D77BDA">
        <w:rPr>
          <w:rFonts w:ascii="Abadi" w:hAnsi="Abadi"/>
          <w:b/>
          <w:bCs/>
          <w:sz w:val="20"/>
          <w:szCs w:val="20"/>
        </w:rPr>
        <w:t>.</w:t>
      </w:r>
    </w:p>
    <w:p w14:paraId="77C2D3EE" w14:textId="77777777" w:rsidR="0013182F" w:rsidRPr="0013182F" w:rsidRDefault="0013182F" w:rsidP="0013182F">
      <w:pPr>
        <w:pStyle w:val="Prrafodelista"/>
        <w:rPr>
          <w:rFonts w:ascii="Abadi" w:hAnsi="Abadi"/>
          <w:b/>
          <w:bCs/>
          <w:sz w:val="20"/>
          <w:szCs w:val="20"/>
        </w:rPr>
      </w:pPr>
    </w:p>
    <w:p w14:paraId="2671D345" w14:textId="17AEA540" w:rsidR="0013182F" w:rsidRDefault="0013182F" w:rsidP="0013182F">
      <w:pPr>
        <w:tabs>
          <w:tab w:val="left" w:pos="845"/>
        </w:tabs>
        <w:kinsoku w:val="0"/>
        <w:overflowPunct w:val="0"/>
        <w:autoSpaceDE w:val="0"/>
        <w:autoSpaceDN w:val="0"/>
        <w:adjustRightInd w:val="0"/>
        <w:ind w:right="17"/>
        <w:jc w:val="both"/>
        <w:rPr>
          <w:rFonts w:ascii="Abadi" w:hAnsi="Abadi"/>
          <w:b/>
          <w:bCs/>
          <w:sz w:val="20"/>
          <w:szCs w:val="20"/>
        </w:rPr>
      </w:pPr>
    </w:p>
    <w:p w14:paraId="42E92942" w14:textId="77777777" w:rsidR="00531A5B" w:rsidRPr="007D2337" w:rsidRDefault="00531A5B" w:rsidP="00531A5B">
      <w:pPr>
        <w:autoSpaceDE w:val="0"/>
        <w:autoSpaceDN w:val="0"/>
        <w:adjustRightInd w:val="0"/>
        <w:jc w:val="both"/>
        <w:rPr>
          <w:rFonts w:ascii="Abadi" w:hAnsi="Abadi" w:cs="*Arial-Bold-12536-Identity-H"/>
          <w:b/>
          <w:bCs/>
          <w:color w:val="0B0B0B"/>
          <w:sz w:val="21"/>
          <w:szCs w:val="21"/>
        </w:rPr>
      </w:pPr>
      <w:r w:rsidRPr="007D2337">
        <w:rPr>
          <w:rFonts w:ascii="Abadi" w:hAnsi="Abadi" w:cs="*Arial-Bold-12536-Identity-H"/>
          <w:b/>
          <w:bCs/>
          <w:color w:val="0B0B0B"/>
          <w:sz w:val="21"/>
          <w:szCs w:val="21"/>
        </w:rPr>
        <w:t>DIPUTADA IRMA LETICIA GONZÁLEZ SÁNCHEZ</w:t>
      </w:r>
    </w:p>
    <w:p w14:paraId="05E09EA0" w14:textId="77777777" w:rsidR="00531A5B" w:rsidRPr="007D2337" w:rsidRDefault="00531A5B" w:rsidP="00531A5B">
      <w:pPr>
        <w:autoSpaceDE w:val="0"/>
        <w:autoSpaceDN w:val="0"/>
        <w:adjustRightInd w:val="0"/>
        <w:jc w:val="both"/>
        <w:rPr>
          <w:rFonts w:ascii="Abadi" w:hAnsi="Abadi" w:cs="*Arial-Bold-12536-Identity-H"/>
          <w:b/>
          <w:bCs/>
          <w:color w:val="0B0B0B"/>
          <w:sz w:val="21"/>
          <w:szCs w:val="21"/>
        </w:rPr>
      </w:pPr>
      <w:r w:rsidRPr="007D2337">
        <w:rPr>
          <w:rFonts w:ascii="Abadi" w:hAnsi="Abadi" w:cs="*Arial-Bold-12536-Identity-H"/>
          <w:b/>
          <w:bCs/>
          <w:color w:val="0B0B0B"/>
          <w:sz w:val="21"/>
          <w:szCs w:val="21"/>
        </w:rPr>
        <w:t>PRESIDENTA DE LA MESA DIRECTIVA</w:t>
      </w:r>
    </w:p>
    <w:p w14:paraId="153204D8" w14:textId="77777777" w:rsidR="00531A5B" w:rsidRPr="007D2337" w:rsidRDefault="00531A5B" w:rsidP="00531A5B">
      <w:pPr>
        <w:autoSpaceDE w:val="0"/>
        <w:autoSpaceDN w:val="0"/>
        <w:adjustRightInd w:val="0"/>
        <w:jc w:val="both"/>
        <w:rPr>
          <w:rFonts w:ascii="Abadi" w:hAnsi="Abadi" w:cs="*Arial-Bold-12536-Identity-H"/>
          <w:b/>
          <w:bCs/>
          <w:color w:val="090909"/>
          <w:sz w:val="21"/>
          <w:szCs w:val="21"/>
        </w:rPr>
      </w:pPr>
      <w:r w:rsidRPr="007D2337">
        <w:rPr>
          <w:rFonts w:ascii="Abadi" w:hAnsi="Abadi" w:cs="*Arial-Bold-12536-Identity-H"/>
          <w:b/>
          <w:bCs/>
          <w:color w:val="090909"/>
          <w:sz w:val="21"/>
          <w:szCs w:val="21"/>
        </w:rPr>
        <w:t>LXV LEGISLATURA DEL CONGRESO DEL ESTADO DE GUANAJUATO</w:t>
      </w:r>
    </w:p>
    <w:p w14:paraId="3AF08618" w14:textId="77777777" w:rsidR="00531A5B" w:rsidRPr="007D2337" w:rsidRDefault="00531A5B" w:rsidP="00531A5B">
      <w:pPr>
        <w:autoSpaceDE w:val="0"/>
        <w:autoSpaceDN w:val="0"/>
        <w:adjustRightInd w:val="0"/>
        <w:jc w:val="both"/>
        <w:rPr>
          <w:rFonts w:ascii="Abadi" w:hAnsi="Abadi" w:cs="*Arial-Bold-12536-Identity-H"/>
          <w:b/>
          <w:bCs/>
          <w:color w:val="090909"/>
          <w:sz w:val="21"/>
          <w:szCs w:val="21"/>
        </w:rPr>
      </w:pPr>
      <w:r w:rsidRPr="007D2337">
        <w:rPr>
          <w:rFonts w:ascii="Abadi" w:hAnsi="Abadi" w:cs="*Arial-Bold-12536-Identity-H"/>
          <w:b/>
          <w:bCs/>
          <w:color w:val="090909"/>
          <w:sz w:val="21"/>
          <w:szCs w:val="21"/>
        </w:rPr>
        <w:t>PRESENTE</w:t>
      </w:r>
    </w:p>
    <w:p w14:paraId="38552654" w14:textId="77777777" w:rsidR="00531A5B" w:rsidRPr="007D2337" w:rsidRDefault="00531A5B" w:rsidP="00531A5B">
      <w:pPr>
        <w:autoSpaceDE w:val="0"/>
        <w:autoSpaceDN w:val="0"/>
        <w:adjustRightInd w:val="0"/>
        <w:jc w:val="both"/>
        <w:rPr>
          <w:rFonts w:ascii="Abadi" w:hAnsi="Abadi" w:cs="*Arial-Bold-12536-Identity-H"/>
          <w:b/>
          <w:bCs/>
          <w:color w:val="090909"/>
          <w:sz w:val="21"/>
          <w:szCs w:val="21"/>
        </w:rPr>
      </w:pPr>
    </w:p>
    <w:p w14:paraId="35AC35AA" w14:textId="11CAD308" w:rsidR="00531A5B" w:rsidRDefault="00531A5B" w:rsidP="00531A5B">
      <w:pPr>
        <w:autoSpaceDE w:val="0"/>
        <w:autoSpaceDN w:val="0"/>
        <w:adjustRightInd w:val="0"/>
        <w:jc w:val="both"/>
        <w:rPr>
          <w:rFonts w:ascii="Abadi" w:hAnsi="Abadi" w:cs="*Arial-Bold-12536-Identity-H"/>
          <w:b/>
          <w:bCs/>
          <w:color w:val="0D0D0D"/>
          <w:sz w:val="21"/>
          <w:szCs w:val="21"/>
        </w:rPr>
      </w:pPr>
      <w:r w:rsidRPr="007D2337">
        <w:rPr>
          <w:rFonts w:ascii="Abadi" w:hAnsi="Abadi" w:cs="*Arial-12535-Identity-H"/>
          <w:color w:val="0D0D0D"/>
          <w:sz w:val="21"/>
          <w:szCs w:val="21"/>
        </w:rPr>
        <w:t>Las diputadas y los diputados integrantes del Grupo Parlamentario del Partido</w:t>
      </w:r>
      <w:r>
        <w:rPr>
          <w:rFonts w:ascii="Abadi" w:hAnsi="Abadi" w:cs="*Arial-12535-Identity-H"/>
          <w:color w:val="0D0D0D"/>
          <w:sz w:val="21"/>
          <w:szCs w:val="21"/>
        </w:rPr>
        <w:t xml:space="preserve"> </w:t>
      </w:r>
      <w:r w:rsidRPr="007D2337">
        <w:rPr>
          <w:rFonts w:ascii="Abadi" w:hAnsi="Abadi" w:cs="*Arial-12535-Identity-H"/>
          <w:color w:val="0D0D0D"/>
          <w:sz w:val="21"/>
          <w:szCs w:val="21"/>
        </w:rPr>
        <w:t>Acción Nacional ante la Sexagésima Quinta Legislatura del Congreso del Estado</w:t>
      </w:r>
      <w:r>
        <w:rPr>
          <w:rFonts w:ascii="Abadi" w:hAnsi="Abadi" w:cs="*Arial-12535-Identity-H"/>
          <w:color w:val="0D0D0D"/>
          <w:sz w:val="21"/>
          <w:szCs w:val="21"/>
        </w:rPr>
        <w:t xml:space="preserve"> </w:t>
      </w:r>
      <w:r w:rsidRPr="007D2337">
        <w:rPr>
          <w:rFonts w:ascii="Abadi" w:hAnsi="Abadi" w:cs="*Arial-12535-Identity-H"/>
          <w:color w:val="0D0D0D"/>
          <w:sz w:val="21"/>
          <w:szCs w:val="21"/>
        </w:rPr>
        <w:t xml:space="preserve">Libre </w:t>
      </w:r>
      <w:r w:rsidRPr="007D2337">
        <w:rPr>
          <w:rFonts w:ascii="Abadi" w:hAnsi="Abadi" w:cs="*Times New Roman-Italic-12522-I"/>
          <w:i/>
          <w:iCs/>
          <w:color w:val="0D0D0D"/>
          <w:sz w:val="21"/>
          <w:szCs w:val="21"/>
        </w:rPr>
        <w:t xml:space="preserve">y </w:t>
      </w:r>
      <w:r w:rsidRPr="007D2337">
        <w:rPr>
          <w:rFonts w:ascii="Abadi" w:hAnsi="Abadi" w:cs="*Arial-12535-Identity-H"/>
          <w:color w:val="0D0D0D"/>
          <w:sz w:val="21"/>
          <w:szCs w:val="21"/>
        </w:rPr>
        <w:t>Soberano de Guanajuato, con fundamento en lo dispuesto por los artículos</w:t>
      </w:r>
      <w:r>
        <w:rPr>
          <w:rFonts w:ascii="Abadi" w:hAnsi="Abadi" w:cs="*Arial-12535-Identity-H"/>
          <w:color w:val="0D0D0D"/>
          <w:sz w:val="21"/>
          <w:szCs w:val="21"/>
        </w:rPr>
        <w:t xml:space="preserve"> </w:t>
      </w:r>
      <w:r w:rsidRPr="007D2337">
        <w:rPr>
          <w:rFonts w:ascii="Abadi" w:hAnsi="Abadi" w:cs="*Arial-12535-Identity-H"/>
          <w:color w:val="0D0D0D"/>
          <w:sz w:val="21"/>
          <w:szCs w:val="21"/>
        </w:rPr>
        <w:t>57 primer párrafo de la Constitución Política para el Estado de Guanajuato, 177 y</w:t>
      </w:r>
      <w:r>
        <w:rPr>
          <w:rFonts w:ascii="Abadi" w:hAnsi="Abadi" w:cs="*Arial-12535-Identity-H"/>
          <w:color w:val="0D0D0D"/>
          <w:sz w:val="21"/>
          <w:szCs w:val="21"/>
        </w:rPr>
        <w:t xml:space="preserve"> </w:t>
      </w:r>
      <w:r w:rsidRPr="007D2337">
        <w:rPr>
          <w:rFonts w:ascii="Abadi" w:hAnsi="Abadi" w:cs="*Arial-12535-Identity-H"/>
          <w:color w:val="0D0D0D"/>
          <w:sz w:val="21"/>
          <w:szCs w:val="21"/>
        </w:rPr>
        <w:t xml:space="preserve">204 fracción </w:t>
      </w:r>
      <w:r>
        <w:rPr>
          <w:rFonts w:ascii="Abadi" w:hAnsi="Abadi" w:cs="*Arial-12535-Identity-H"/>
          <w:color w:val="0D0D0D"/>
          <w:sz w:val="21"/>
          <w:szCs w:val="21"/>
        </w:rPr>
        <w:t>III</w:t>
      </w:r>
      <w:r w:rsidRPr="007D2337">
        <w:rPr>
          <w:rFonts w:ascii="Abadi" w:hAnsi="Abadi" w:cs="*Arial-12535-Identity-H"/>
          <w:color w:val="0D0D0D"/>
          <w:sz w:val="21"/>
          <w:szCs w:val="21"/>
        </w:rPr>
        <w:t xml:space="preserve"> de la Ley Orgánica del Poder Legislativo del Estado de Guanajuato,</w:t>
      </w:r>
      <w:r>
        <w:rPr>
          <w:rFonts w:ascii="Abadi" w:hAnsi="Abadi" w:cs="*Arial-12535-Identity-H"/>
          <w:color w:val="0D0D0D"/>
          <w:sz w:val="21"/>
          <w:szCs w:val="21"/>
        </w:rPr>
        <w:t xml:space="preserve"> </w:t>
      </w:r>
      <w:r w:rsidRPr="007D2337">
        <w:rPr>
          <w:rFonts w:ascii="Abadi" w:hAnsi="Abadi" w:cs="*Arial-12535-Identity-H"/>
          <w:color w:val="0D0D0D"/>
          <w:sz w:val="21"/>
          <w:szCs w:val="21"/>
        </w:rPr>
        <w:t>presentamos la propuesta de punto de acuerdo de obvia resolución a fin de</w:t>
      </w:r>
      <w:r>
        <w:rPr>
          <w:rFonts w:ascii="Abadi" w:hAnsi="Abadi" w:cs="*Arial-12535-Identity-H"/>
          <w:color w:val="0D0D0D"/>
          <w:sz w:val="21"/>
          <w:szCs w:val="21"/>
        </w:rPr>
        <w:t xml:space="preserve"> </w:t>
      </w:r>
      <w:r w:rsidRPr="007D2337">
        <w:rPr>
          <w:rFonts w:ascii="Abadi" w:hAnsi="Abadi" w:cs="*Arial-Bold-12536-Identity-H"/>
          <w:b/>
          <w:bCs/>
          <w:color w:val="0D0D0D"/>
          <w:sz w:val="21"/>
          <w:szCs w:val="21"/>
        </w:rPr>
        <w:t>exhortar a los Ayuntamientos de Atarjea, Ocampo, Pueblo Nuevo, Santa</w:t>
      </w:r>
      <w:r>
        <w:rPr>
          <w:rFonts w:ascii="Abadi" w:hAnsi="Abadi" w:cs="*Arial-Bold-12536-Identity-H"/>
          <w:b/>
          <w:bCs/>
          <w:color w:val="0D0D0D"/>
          <w:sz w:val="21"/>
          <w:szCs w:val="21"/>
        </w:rPr>
        <w:t xml:space="preserve"> </w:t>
      </w:r>
      <w:r w:rsidRPr="007D2337">
        <w:rPr>
          <w:rFonts w:ascii="Abadi" w:hAnsi="Abadi" w:cs="*Arial-Bold-12536-Identity-H"/>
          <w:b/>
          <w:bCs/>
          <w:color w:val="0D0D0D"/>
          <w:sz w:val="21"/>
          <w:szCs w:val="21"/>
        </w:rPr>
        <w:t xml:space="preserve">Catarina, Xichú </w:t>
      </w:r>
      <w:r w:rsidRPr="007D2337">
        <w:rPr>
          <w:rFonts w:ascii="Abadi" w:hAnsi="Abadi" w:cs="*Arial-12535-Identity-H"/>
          <w:color w:val="0D0D0D"/>
          <w:sz w:val="21"/>
          <w:szCs w:val="21"/>
        </w:rPr>
        <w:t xml:space="preserve">y </w:t>
      </w:r>
      <w:r w:rsidRPr="007D2337">
        <w:rPr>
          <w:rFonts w:ascii="Abadi" w:hAnsi="Abadi" w:cs="*Arial-Bold-12536-Identity-H"/>
          <w:b/>
          <w:bCs/>
          <w:color w:val="0D0D0D"/>
          <w:sz w:val="21"/>
          <w:szCs w:val="21"/>
        </w:rPr>
        <w:t>Villagrán del Estado de Guanajuato, para que elijan a su</w:t>
      </w:r>
      <w:r>
        <w:rPr>
          <w:rFonts w:ascii="Abadi" w:hAnsi="Abadi" w:cs="*Arial-Bold-12536-Identity-H"/>
          <w:b/>
          <w:bCs/>
          <w:color w:val="0D0D0D"/>
          <w:sz w:val="21"/>
          <w:szCs w:val="21"/>
        </w:rPr>
        <w:t xml:space="preserve"> </w:t>
      </w:r>
      <w:r w:rsidRPr="007D2337">
        <w:rPr>
          <w:rFonts w:ascii="Abadi" w:hAnsi="Abadi" w:cs="*Arial-Bold-12536-Identity-H"/>
          <w:b/>
          <w:bCs/>
          <w:color w:val="0D0D0D"/>
          <w:sz w:val="21"/>
          <w:szCs w:val="21"/>
        </w:rPr>
        <w:t>cronista municipal con las formalidades establecidas en la Ley Orgánica</w:t>
      </w:r>
      <w:r>
        <w:rPr>
          <w:rFonts w:ascii="Abadi" w:hAnsi="Abadi" w:cs="*Arial-Bold-12536-Identity-H"/>
          <w:b/>
          <w:bCs/>
          <w:color w:val="0D0D0D"/>
          <w:sz w:val="21"/>
          <w:szCs w:val="21"/>
        </w:rPr>
        <w:t xml:space="preserve"> </w:t>
      </w:r>
      <w:r w:rsidRPr="007D2337">
        <w:rPr>
          <w:rFonts w:ascii="Abadi" w:hAnsi="Abadi" w:cs="*Arial-Bold-12536-Identity-H"/>
          <w:b/>
          <w:bCs/>
          <w:color w:val="0D0D0D"/>
          <w:sz w:val="21"/>
          <w:szCs w:val="21"/>
        </w:rPr>
        <w:t>Municipal del Estado de Guanajuato.</w:t>
      </w:r>
    </w:p>
    <w:p w14:paraId="2A9389BC" w14:textId="77777777" w:rsidR="00531A5B" w:rsidRPr="007D2337" w:rsidRDefault="00531A5B" w:rsidP="00531A5B">
      <w:pPr>
        <w:autoSpaceDE w:val="0"/>
        <w:autoSpaceDN w:val="0"/>
        <w:adjustRightInd w:val="0"/>
        <w:jc w:val="both"/>
        <w:rPr>
          <w:rFonts w:ascii="Abadi" w:hAnsi="Abadi" w:cs="*Arial-Bold-12536-Identity-H"/>
          <w:b/>
          <w:bCs/>
          <w:color w:val="0D0D0D"/>
          <w:sz w:val="21"/>
          <w:szCs w:val="21"/>
        </w:rPr>
      </w:pPr>
    </w:p>
    <w:p w14:paraId="7917B601" w14:textId="77777777" w:rsidR="00531A5B" w:rsidRDefault="00531A5B" w:rsidP="00531A5B">
      <w:pPr>
        <w:autoSpaceDE w:val="0"/>
        <w:autoSpaceDN w:val="0"/>
        <w:adjustRightInd w:val="0"/>
        <w:jc w:val="center"/>
        <w:rPr>
          <w:rFonts w:ascii="Abadi" w:hAnsi="Abadi" w:cs="*Arial-Bold-12536-Identity-H"/>
          <w:b/>
          <w:bCs/>
          <w:color w:val="0D0D0D"/>
          <w:sz w:val="21"/>
          <w:szCs w:val="21"/>
        </w:rPr>
      </w:pPr>
      <w:r w:rsidRPr="007D2337">
        <w:rPr>
          <w:rFonts w:ascii="Abadi" w:hAnsi="Abadi" w:cs="*Arial-Bold-12536-Identity-H"/>
          <w:b/>
          <w:bCs/>
          <w:color w:val="0D0D0D"/>
          <w:sz w:val="21"/>
          <w:szCs w:val="21"/>
        </w:rPr>
        <w:t>CONSIDERACIONES</w:t>
      </w:r>
    </w:p>
    <w:p w14:paraId="1DAE33DC" w14:textId="77777777" w:rsidR="00531A5B" w:rsidRPr="007D2337" w:rsidRDefault="00531A5B" w:rsidP="00531A5B">
      <w:pPr>
        <w:autoSpaceDE w:val="0"/>
        <w:autoSpaceDN w:val="0"/>
        <w:adjustRightInd w:val="0"/>
        <w:jc w:val="both"/>
        <w:rPr>
          <w:rFonts w:ascii="Abadi" w:hAnsi="Abadi" w:cs="*Arial-Bold-12536-Identity-H"/>
          <w:b/>
          <w:bCs/>
          <w:color w:val="0D0D0D"/>
          <w:sz w:val="21"/>
          <w:szCs w:val="21"/>
        </w:rPr>
      </w:pPr>
    </w:p>
    <w:p w14:paraId="3F083D30" w14:textId="77777777" w:rsidR="00531A5B" w:rsidRPr="007D2337" w:rsidRDefault="00531A5B" w:rsidP="00531A5B">
      <w:pPr>
        <w:autoSpaceDE w:val="0"/>
        <w:autoSpaceDN w:val="0"/>
        <w:adjustRightInd w:val="0"/>
        <w:jc w:val="both"/>
        <w:rPr>
          <w:rFonts w:ascii="Abadi" w:hAnsi="Abadi" w:cs="*Arial-12535-Identity-H"/>
          <w:color w:val="0F0F0F"/>
          <w:sz w:val="21"/>
          <w:szCs w:val="21"/>
        </w:rPr>
      </w:pPr>
      <w:r w:rsidRPr="007D2337">
        <w:rPr>
          <w:rFonts w:ascii="Abadi" w:hAnsi="Abadi" w:cs="*Arial-12535-Identity-H"/>
          <w:color w:val="0F0F0F"/>
          <w:sz w:val="21"/>
          <w:szCs w:val="21"/>
        </w:rPr>
        <w:t>Los cronistas son de gran importancia para para el mundo, debido a que narran los</w:t>
      </w:r>
      <w:r>
        <w:rPr>
          <w:rFonts w:ascii="Abadi" w:hAnsi="Abadi" w:cs="*Arial-12535-Identity-H"/>
          <w:color w:val="0F0F0F"/>
          <w:sz w:val="21"/>
          <w:szCs w:val="21"/>
        </w:rPr>
        <w:t xml:space="preserve"> </w:t>
      </w:r>
      <w:r w:rsidRPr="007D2337">
        <w:rPr>
          <w:rFonts w:ascii="Abadi" w:hAnsi="Abadi" w:cs="*Arial-12535-Identity-H"/>
          <w:color w:val="0F0F0F"/>
          <w:sz w:val="21"/>
          <w:szCs w:val="21"/>
        </w:rPr>
        <w:t>acontecimientos relevantes para evitar que sean olvidados.</w:t>
      </w:r>
    </w:p>
    <w:p w14:paraId="3A20321B" w14:textId="77777777" w:rsidR="00531A5B" w:rsidRPr="007D2337" w:rsidRDefault="00531A5B" w:rsidP="00531A5B">
      <w:pPr>
        <w:jc w:val="both"/>
        <w:rPr>
          <w:rFonts w:ascii="Abadi" w:hAnsi="Abadi" w:cs="*Arial-12535-Identity-H"/>
          <w:color w:val="0F0F0F"/>
          <w:sz w:val="21"/>
          <w:szCs w:val="21"/>
        </w:rPr>
      </w:pPr>
    </w:p>
    <w:p w14:paraId="002EFD38" w14:textId="77777777" w:rsidR="00531A5B" w:rsidRDefault="00531A5B" w:rsidP="00531A5B">
      <w:pPr>
        <w:autoSpaceDE w:val="0"/>
        <w:autoSpaceDN w:val="0"/>
        <w:adjustRightInd w:val="0"/>
        <w:jc w:val="both"/>
        <w:rPr>
          <w:rFonts w:ascii="Abadi" w:hAnsi="Abadi" w:cs="*Arial-9827-Identity-H"/>
          <w:color w:val="0F0F0F"/>
          <w:sz w:val="21"/>
          <w:szCs w:val="21"/>
        </w:rPr>
      </w:pPr>
      <w:r w:rsidRPr="007D2337">
        <w:rPr>
          <w:rFonts w:ascii="Abadi" w:hAnsi="Abadi" w:cs="*Arial-9827-Identity-H"/>
          <w:color w:val="0F0F0F"/>
          <w:sz w:val="21"/>
          <w:szCs w:val="21"/>
        </w:rPr>
        <w:t>México, es uno de los países del mundo que tiene una gran riqueza cultural que ha</w:t>
      </w:r>
      <w:r>
        <w:rPr>
          <w:rFonts w:ascii="Abadi" w:hAnsi="Abadi" w:cs="*Arial-9827-Identity-H"/>
          <w:color w:val="0F0F0F"/>
          <w:sz w:val="21"/>
          <w:szCs w:val="21"/>
        </w:rPr>
        <w:t xml:space="preserve"> </w:t>
      </w:r>
      <w:r w:rsidRPr="007D2337">
        <w:rPr>
          <w:rFonts w:ascii="Abadi" w:hAnsi="Abadi" w:cs="*Arial-9827-Identity-H"/>
          <w:color w:val="0F0F0F"/>
          <w:sz w:val="21"/>
          <w:szCs w:val="21"/>
        </w:rPr>
        <w:t>transcendido a través de tiempo gracias a personajes como Josefina Estrada,</w:t>
      </w:r>
      <w:r>
        <w:rPr>
          <w:rFonts w:ascii="Abadi" w:hAnsi="Abadi" w:cs="*Arial-9827-Identity-H"/>
          <w:color w:val="0F0F0F"/>
          <w:sz w:val="21"/>
          <w:szCs w:val="21"/>
        </w:rPr>
        <w:t xml:space="preserve"> </w:t>
      </w:r>
      <w:r w:rsidRPr="007D2337">
        <w:rPr>
          <w:rFonts w:ascii="Abadi" w:hAnsi="Abadi" w:cs="*Arial-9827-Identity-H"/>
          <w:color w:val="0F0F0F"/>
          <w:sz w:val="21"/>
          <w:szCs w:val="21"/>
        </w:rPr>
        <w:t>Manuel Gutiérrez Nájera, Salvador Novo o Magali Tercero, por mencionar algunos,</w:t>
      </w:r>
      <w:r>
        <w:rPr>
          <w:rFonts w:ascii="Abadi" w:hAnsi="Abadi" w:cs="*Arial-9827-Identity-H"/>
          <w:color w:val="0F0F0F"/>
          <w:sz w:val="21"/>
          <w:szCs w:val="21"/>
        </w:rPr>
        <w:t xml:space="preserve"> </w:t>
      </w:r>
      <w:r w:rsidRPr="007D2337">
        <w:rPr>
          <w:rFonts w:ascii="Abadi" w:hAnsi="Abadi" w:cs="*Arial-9827-Identity-H"/>
          <w:color w:val="0F0F0F"/>
          <w:sz w:val="21"/>
          <w:szCs w:val="21"/>
        </w:rPr>
        <w:t>quienes no han permitido que nuestros acontecimientos sean olvidados.</w:t>
      </w:r>
      <w:r>
        <w:rPr>
          <w:rFonts w:ascii="Abadi" w:hAnsi="Abadi" w:cs="*Arial-9827-Identity-H"/>
          <w:color w:val="0F0F0F"/>
          <w:sz w:val="21"/>
          <w:szCs w:val="21"/>
        </w:rPr>
        <w:t xml:space="preserve"> </w:t>
      </w:r>
    </w:p>
    <w:p w14:paraId="25B504CB" w14:textId="77777777" w:rsidR="00531A5B" w:rsidRDefault="00531A5B" w:rsidP="00531A5B">
      <w:pPr>
        <w:autoSpaceDE w:val="0"/>
        <w:autoSpaceDN w:val="0"/>
        <w:adjustRightInd w:val="0"/>
        <w:jc w:val="both"/>
        <w:rPr>
          <w:rFonts w:ascii="Abadi" w:hAnsi="Abadi" w:cs="*Arial-9827-Identity-H"/>
          <w:color w:val="0F0F0F"/>
          <w:sz w:val="21"/>
          <w:szCs w:val="21"/>
        </w:rPr>
      </w:pPr>
    </w:p>
    <w:p w14:paraId="2C85A31C" w14:textId="77777777" w:rsidR="00531A5B" w:rsidRDefault="00531A5B" w:rsidP="00531A5B">
      <w:pPr>
        <w:autoSpaceDE w:val="0"/>
        <w:autoSpaceDN w:val="0"/>
        <w:adjustRightInd w:val="0"/>
        <w:jc w:val="both"/>
        <w:rPr>
          <w:rFonts w:ascii="Abadi" w:hAnsi="Abadi" w:cs="*Arial-9827-Identity-H"/>
          <w:color w:val="0E0E0E"/>
          <w:sz w:val="21"/>
          <w:szCs w:val="21"/>
        </w:rPr>
      </w:pPr>
      <w:r w:rsidRPr="007D2337">
        <w:rPr>
          <w:rFonts w:ascii="Abadi" w:hAnsi="Abadi" w:cs="*Arial-9827-Identity-H"/>
          <w:color w:val="0E0E0E"/>
          <w:sz w:val="21"/>
          <w:szCs w:val="21"/>
        </w:rPr>
        <w:t>Nuestro patrimonio cultural es el legado que recibimos de nuestro pasado, que</w:t>
      </w:r>
      <w:r>
        <w:rPr>
          <w:rFonts w:ascii="Abadi" w:hAnsi="Abadi" w:cs="*Arial-9827-Identity-H"/>
          <w:color w:val="0E0E0E"/>
          <w:sz w:val="21"/>
          <w:szCs w:val="21"/>
        </w:rPr>
        <w:t xml:space="preserve"> </w:t>
      </w:r>
      <w:r w:rsidRPr="007D2337">
        <w:rPr>
          <w:rFonts w:ascii="Abadi" w:hAnsi="Abadi" w:cs="*Arial-9827-Identity-H"/>
          <w:color w:val="0E0E0E"/>
          <w:sz w:val="21"/>
          <w:szCs w:val="21"/>
        </w:rPr>
        <w:t>vivimos en el presente y que transmitiremos a las generaciones futuras, pues este</w:t>
      </w:r>
      <w:r>
        <w:rPr>
          <w:rFonts w:ascii="Abadi" w:hAnsi="Abadi" w:cs="*Arial-9827-Identity-H"/>
          <w:color w:val="0E0E0E"/>
          <w:sz w:val="21"/>
          <w:szCs w:val="21"/>
        </w:rPr>
        <w:t xml:space="preserve"> </w:t>
      </w:r>
      <w:r w:rsidRPr="007D2337">
        <w:rPr>
          <w:rFonts w:ascii="Abadi" w:hAnsi="Abadi" w:cs="*Arial-9827-Identity-H"/>
          <w:color w:val="0E0E0E"/>
          <w:sz w:val="21"/>
          <w:szCs w:val="21"/>
        </w:rPr>
        <w:t>encierra el potencial de promover el acceso a la diversidad cultural y su disfrute, de</w:t>
      </w:r>
      <w:r>
        <w:rPr>
          <w:rFonts w:ascii="Abadi" w:hAnsi="Abadi" w:cs="*Arial-9827-Identity-H"/>
          <w:color w:val="0E0E0E"/>
          <w:sz w:val="21"/>
          <w:szCs w:val="21"/>
        </w:rPr>
        <w:t xml:space="preserve"> </w:t>
      </w:r>
      <w:r w:rsidRPr="007D2337">
        <w:rPr>
          <w:rFonts w:ascii="Abadi" w:hAnsi="Abadi" w:cs="*Arial-9827-Identity-H"/>
          <w:color w:val="0E0E0E"/>
          <w:sz w:val="21"/>
          <w:szCs w:val="21"/>
        </w:rPr>
        <w:t>la misma forma enriquece el capital social y conforma un sentido de pertenencia</w:t>
      </w:r>
      <w:r>
        <w:rPr>
          <w:rFonts w:ascii="Abadi" w:hAnsi="Abadi" w:cs="*Arial-9827-Identity-H"/>
          <w:color w:val="0E0E0E"/>
          <w:sz w:val="21"/>
          <w:szCs w:val="21"/>
        </w:rPr>
        <w:t xml:space="preserve"> </w:t>
      </w:r>
      <w:r w:rsidRPr="007D2337">
        <w:rPr>
          <w:rFonts w:ascii="Abadi" w:hAnsi="Abadi" w:cs="*Arial-9827-Identity-H"/>
          <w:color w:val="0E0E0E"/>
          <w:sz w:val="21"/>
          <w:szCs w:val="21"/>
        </w:rPr>
        <w:t>individual y colectivo, que ayuda a mantener la cohesión social y territorial.</w:t>
      </w:r>
      <w:r>
        <w:rPr>
          <w:rFonts w:ascii="Abadi" w:hAnsi="Abadi" w:cs="*Arial-9827-Identity-H"/>
          <w:color w:val="0E0E0E"/>
          <w:sz w:val="21"/>
          <w:szCs w:val="21"/>
        </w:rPr>
        <w:t xml:space="preserve"> </w:t>
      </w:r>
    </w:p>
    <w:p w14:paraId="1DCF365A" w14:textId="77777777" w:rsidR="00531A5B" w:rsidRDefault="00531A5B" w:rsidP="00531A5B">
      <w:pPr>
        <w:autoSpaceDE w:val="0"/>
        <w:autoSpaceDN w:val="0"/>
        <w:adjustRightInd w:val="0"/>
        <w:jc w:val="both"/>
        <w:rPr>
          <w:rFonts w:ascii="Abadi" w:hAnsi="Abadi" w:cs="*Arial-9827-Identity-H"/>
          <w:color w:val="0E0E0E"/>
          <w:sz w:val="21"/>
          <w:szCs w:val="21"/>
        </w:rPr>
      </w:pPr>
    </w:p>
    <w:p w14:paraId="3164D19E" w14:textId="05621DF5" w:rsidR="00531A5B" w:rsidRDefault="00531A5B" w:rsidP="00531A5B">
      <w:pPr>
        <w:autoSpaceDE w:val="0"/>
        <w:autoSpaceDN w:val="0"/>
        <w:adjustRightInd w:val="0"/>
        <w:jc w:val="both"/>
        <w:rPr>
          <w:rFonts w:ascii="Abadi" w:hAnsi="Abadi" w:cs="*Arial-9827-Identity-H"/>
          <w:color w:val="0E0E0E"/>
          <w:sz w:val="21"/>
          <w:szCs w:val="21"/>
        </w:rPr>
      </w:pPr>
      <w:r w:rsidRPr="007D2337">
        <w:rPr>
          <w:rFonts w:ascii="Abadi" w:hAnsi="Abadi" w:cs="*Arial-9827-Identity-H"/>
          <w:color w:val="0E0E0E"/>
          <w:sz w:val="21"/>
          <w:szCs w:val="21"/>
        </w:rPr>
        <w:t>La figura del cronista tiene una gran importancia al resaltar acontecimientos de cada</w:t>
      </w:r>
      <w:r>
        <w:rPr>
          <w:rFonts w:ascii="Abadi" w:hAnsi="Abadi" w:cs="*Arial-9827-Identity-H"/>
          <w:color w:val="0E0E0E"/>
          <w:sz w:val="21"/>
          <w:szCs w:val="21"/>
        </w:rPr>
        <w:t xml:space="preserve"> </w:t>
      </w:r>
      <w:r w:rsidRPr="007D2337">
        <w:rPr>
          <w:rFonts w:ascii="Abadi" w:hAnsi="Abadi" w:cs="*Arial-9827-Identity-H"/>
          <w:color w:val="0E0E0E"/>
          <w:sz w:val="21"/>
          <w:szCs w:val="21"/>
        </w:rPr>
        <w:t>Estado y municipios de nuestra República Mexicana. Un ejemplo de ello, son las</w:t>
      </w:r>
      <w:r>
        <w:rPr>
          <w:rFonts w:ascii="Abadi" w:hAnsi="Abadi" w:cs="*Arial-9827-Identity-H"/>
          <w:color w:val="0E0E0E"/>
          <w:sz w:val="21"/>
          <w:szCs w:val="21"/>
        </w:rPr>
        <w:t xml:space="preserve"> </w:t>
      </w:r>
      <w:r w:rsidRPr="007D2337">
        <w:rPr>
          <w:rFonts w:ascii="Abadi" w:hAnsi="Abadi" w:cs="*Arial-9827-Identity-H"/>
          <w:color w:val="0E0E0E"/>
          <w:sz w:val="21"/>
          <w:szCs w:val="21"/>
        </w:rPr>
        <w:t>crónicas llamadas "Ciudades históricas del Noreste Mexicano", en las que cronistas</w:t>
      </w:r>
      <w:r>
        <w:rPr>
          <w:rFonts w:ascii="Abadi" w:hAnsi="Abadi" w:cs="*Arial-9827-Identity-H"/>
          <w:color w:val="0E0E0E"/>
          <w:sz w:val="21"/>
          <w:szCs w:val="21"/>
        </w:rPr>
        <w:t xml:space="preserve"> </w:t>
      </w:r>
      <w:r w:rsidRPr="007D2337">
        <w:rPr>
          <w:rFonts w:ascii="Abadi" w:hAnsi="Abadi" w:cs="*Arial-9827-Identity-H"/>
          <w:color w:val="0E0E0E"/>
          <w:sz w:val="21"/>
          <w:szCs w:val="21"/>
        </w:rPr>
        <w:t>como Leopoldo Espinosa Benavides y Clemente Rendan de la Garza, narraron</w:t>
      </w:r>
      <w:r>
        <w:rPr>
          <w:rFonts w:ascii="Abadi" w:hAnsi="Abadi" w:cs="*Arial-9827-Identity-H"/>
          <w:color w:val="0E0E0E"/>
          <w:sz w:val="21"/>
          <w:szCs w:val="21"/>
        </w:rPr>
        <w:t xml:space="preserve"> </w:t>
      </w:r>
      <w:r w:rsidRPr="007D2337">
        <w:rPr>
          <w:rFonts w:ascii="Abadi" w:hAnsi="Abadi" w:cs="*Arial-9827-Identity-H"/>
          <w:color w:val="0E0E0E"/>
          <w:sz w:val="21"/>
          <w:szCs w:val="21"/>
        </w:rPr>
        <w:t>acontecimientos de ciudades que, por su historia, economía, tradiciones e identidad,</w:t>
      </w:r>
      <w:r>
        <w:rPr>
          <w:rFonts w:ascii="Abadi" w:hAnsi="Abadi" w:cs="*Arial-9827-Identity-H"/>
          <w:color w:val="0E0E0E"/>
          <w:sz w:val="21"/>
          <w:szCs w:val="21"/>
        </w:rPr>
        <w:t xml:space="preserve"> </w:t>
      </w:r>
      <w:r w:rsidRPr="007D2337">
        <w:rPr>
          <w:rFonts w:ascii="Abadi" w:hAnsi="Abadi" w:cs="*Arial-9827-Identity-H"/>
          <w:color w:val="0E0E0E"/>
          <w:sz w:val="21"/>
          <w:szCs w:val="21"/>
        </w:rPr>
        <w:t>han contribuido a definir el perfil del norestese</w:t>
      </w:r>
      <w:r w:rsidR="002E6E31">
        <w:rPr>
          <w:rStyle w:val="Refdenotaalpie"/>
          <w:rFonts w:ascii="Abadi" w:hAnsi="Abadi" w:cs="*Arial-9827-Identity-H"/>
          <w:color w:val="0E0E0E"/>
          <w:sz w:val="21"/>
          <w:szCs w:val="21"/>
        </w:rPr>
        <w:footnoteReference w:id="39"/>
      </w:r>
      <w:r w:rsidRPr="007D2337">
        <w:rPr>
          <w:rFonts w:ascii="Abadi" w:hAnsi="Abadi" w:cs="*Arial-9827-Identity-H"/>
          <w:color w:val="0E0E0E"/>
          <w:sz w:val="21"/>
          <w:szCs w:val="21"/>
        </w:rPr>
        <w:t>.</w:t>
      </w:r>
    </w:p>
    <w:p w14:paraId="03CA79B6" w14:textId="77777777" w:rsidR="00531A5B" w:rsidRPr="007D2337" w:rsidRDefault="00531A5B" w:rsidP="00531A5B">
      <w:pPr>
        <w:autoSpaceDE w:val="0"/>
        <w:autoSpaceDN w:val="0"/>
        <w:adjustRightInd w:val="0"/>
        <w:jc w:val="both"/>
        <w:rPr>
          <w:rFonts w:ascii="Abadi" w:hAnsi="Abadi" w:cs="*Arial-9827-Identity-H"/>
          <w:color w:val="0E0E0E"/>
          <w:sz w:val="21"/>
          <w:szCs w:val="21"/>
        </w:rPr>
      </w:pPr>
    </w:p>
    <w:p w14:paraId="09ABF065" w14:textId="77777777" w:rsidR="00531A5B" w:rsidRPr="007D2337" w:rsidRDefault="00531A5B" w:rsidP="00531A5B">
      <w:pPr>
        <w:autoSpaceDE w:val="0"/>
        <w:autoSpaceDN w:val="0"/>
        <w:adjustRightInd w:val="0"/>
        <w:jc w:val="both"/>
        <w:rPr>
          <w:rFonts w:ascii="Abadi" w:hAnsi="Abadi" w:cs="*Arial-9827-Identity-H"/>
          <w:color w:val="0F0F0F"/>
          <w:sz w:val="21"/>
          <w:szCs w:val="21"/>
        </w:rPr>
      </w:pPr>
      <w:r w:rsidRPr="007D2337">
        <w:rPr>
          <w:rFonts w:ascii="Abadi" w:hAnsi="Abadi" w:cs="*Arial-9827-Identity-H"/>
          <w:color w:val="0F0F0F"/>
          <w:sz w:val="21"/>
          <w:szCs w:val="21"/>
        </w:rPr>
        <w:t>Otro ejemplo son las diversas publicaciones hechas por cronistas como Aurelio</w:t>
      </w:r>
      <w:r>
        <w:rPr>
          <w:rFonts w:ascii="Abadi" w:hAnsi="Abadi" w:cs="*Arial-9827-Identity-H"/>
          <w:color w:val="0F0F0F"/>
          <w:sz w:val="21"/>
          <w:szCs w:val="21"/>
        </w:rPr>
        <w:t xml:space="preserve"> </w:t>
      </w:r>
      <w:r w:rsidRPr="007D2337">
        <w:rPr>
          <w:rFonts w:ascii="Abadi" w:hAnsi="Abadi" w:cs="*Arial-9827-Identity-H"/>
          <w:color w:val="0F0F0F"/>
          <w:sz w:val="21"/>
          <w:szCs w:val="21"/>
        </w:rPr>
        <w:t>Conejo Rubio, Herminio Mart</w:t>
      </w:r>
      <w:r>
        <w:rPr>
          <w:rFonts w:ascii="Abadi" w:hAnsi="Abadi" w:cs="*Arial-9827-Identity-H"/>
          <w:color w:val="0F0F0F"/>
          <w:sz w:val="21"/>
          <w:szCs w:val="21"/>
        </w:rPr>
        <w:t>í</w:t>
      </w:r>
      <w:r w:rsidRPr="007D2337">
        <w:rPr>
          <w:rFonts w:ascii="Abadi" w:hAnsi="Abadi" w:cs="*Arial-9827-Identity-H"/>
          <w:color w:val="0F0F0F"/>
          <w:sz w:val="21"/>
          <w:szCs w:val="21"/>
        </w:rPr>
        <w:t>nez, que a través de sus narraciones han dado a</w:t>
      </w:r>
      <w:r>
        <w:rPr>
          <w:rFonts w:ascii="Abadi" w:hAnsi="Abadi" w:cs="*Arial-9827-Identity-H"/>
          <w:color w:val="0F0F0F"/>
          <w:sz w:val="21"/>
          <w:szCs w:val="21"/>
        </w:rPr>
        <w:t xml:space="preserve"> </w:t>
      </w:r>
      <w:r w:rsidRPr="007D2337">
        <w:rPr>
          <w:rFonts w:ascii="Abadi" w:hAnsi="Abadi" w:cs="*Arial-9827-Identity-H"/>
          <w:color w:val="0F0F0F"/>
          <w:sz w:val="21"/>
          <w:szCs w:val="21"/>
        </w:rPr>
        <w:t>conocer la fundación de municipios del Estado de Guanajuato.</w:t>
      </w:r>
    </w:p>
    <w:p w14:paraId="24320BCA" w14:textId="77777777" w:rsidR="00531A5B" w:rsidRPr="007D2337" w:rsidRDefault="00531A5B" w:rsidP="00531A5B">
      <w:pPr>
        <w:jc w:val="both"/>
        <w:rPr>
          <w:rFonts w:ascii="Abadi" w:hAnsi="Abadi" w:cs="*Arial-9827-Identity-H"/>
          <w:color w:val="0F0F0F"/>
          <w:sz w:val="21"/>
          <w:szCs w:val="21"/>
        </w:rPr>
      </w:pPr>
    </w:p>
    <w:p w14:paraId="2EFB0798" w14:textId="09211E69" w:rsidR="00531A5B" w:rsidRDefault="00531A5B" w:rsidP="00531A5B">
      <w:pPr>
        <w:autoSpaceDE w:val="0"/>
        <w:autoSpaceDN w:val="0"/>
        <w:adjustRightInd w:val="0"/>
        <w:jc w:val="both"/>
        <w:rPr>
          <w:rFonts w:ascii="Abadi" w:hAnsi="Abadi" w:cs="*Arial-Italic-11695-Identity-H"/>
          <w:i/>
          <w:iCs/>
          <w:color w:val="151515"/>
          <w:sz w:val="21"/>
          <w:szCs w:val="21"/>
        </w:rPr>
      </w:pPr>
      <w:r w:rsidRPr="007D2337">
        <w:rPr>
          <w:rFonts w:ascii="Abadi" w:hAnsi="Abadi" w:cs="*Arial-Italic-11695-Identity-H"/>
          <w:i/>
          <w:iCs/>
          <w:color w:val="151515"/>
          <w:sz w:val="21"/>
          <w:szCs w:val="21"/>
        </w:rPr>
        <w:t>El doctor lsauro Rionda Arreguín quien catalogó el acervo documental del estado y</w:t>
      </w:r>
      <w:r>
        <w:rPr>
          <w:rFonts w:ascii="Abadi" w:hAnsi="Abadi" w:cs="*Arial-Italic-11695-Identity-H"/>
          <w:i/>
          <w:iCs/>
          <w:color w:val="151515"/>
          <w:sz w:val="21"/>
          <w:szCs w:val="21"/>
        </w:rPr>
        <w:t xml:space="preserve"> </w:t>
      </w:r>
      <w:r w:rsidRPr="007D2337">
        <w:rPr>
          <w:rFonts w:ascii="Abadi" w:hAnsi="Abadi" w:cs="*Arial-Italic-11695-Identity-H"/>
          <w:i/>
          <w:iCs/>
          <w:color w:val="151515"/>
          <w:sz w:val="21"/>
          <w:szCs w:val="21"/>
        </w:rPr>
        <w:t>ta producción bibliográfica, compuesta por más de 15 obras sobre esta ciudad</w:t>
      </w:r>
      <w:r>
        <w:rPr>
          <w:rFonts w:ascii="Abadi" w:hAnsi="Abadi" w:cs="*Arial-Italic-11695-Identity-H"/>
          <w:i/>
          <w:iCs/>
          <w:color w:val="151515"/>
          <w:sz w:val="21"/>
          <w:szCs w:val="21"/>
        </w:rPr>
        <w:t xml:space="preserve"> </w:t>
      </w:r>
      <w:r w:rsidRPr="007D2337">
        <w:rPr>
          <w:rFonts w:ascii="Abadi" w:hAnsi="Abadi" w:cs="*Arial-Italic-11695-Identity-H"/>
          <w:i/>
          <w:iCs/>
          <w:color w:val="151515"/>
          <w:sz w:val="21"/>
          <w:szCs w:val="21"/>
        </w:rPr>
        <w:t>plateresca, entre la que se encuentran "La brevísima historia de la ciudad de</w:t>
      </w:r>
      <w:r>
        <w:rPr>
          <w:rFonts w:ascii="Abadi" w:hAnsi="Abadi" w:cs="*Arial-Italic-11695-Identity-H"/>
          <w:i/>
          <w:iCs/>
          <w:color w:val="151515"/>
          <w:sz w:val="21"/>
          <w:szCs w:val="21"/>
        </w:rPr>
        <w:t xml:space="preserve"> </w:t>
      </w:r>
      <w:r w:rsidRPr="007D2337">
        <w:rPr>
          <w:rFonts w:ascii="Abadi" w:hAnsi="Abadi" w:cs="*Arial-Italic-11695-Identity-H"/>
          <w:i/>
          <w:iCs/>
          <w:color w:val="151515"/>
          <w:sz w:val="21"/>
          <w:szCs w:val="21"/>
        </w:rPr>
        <w:t>Guanajuato" (1985), "Testimonios sobre Guanajuato" (1989) y "La ciudad de</w:t>
      </w:r>
      <w:r>
        <w:rPr>
          <w:rFonts w:ascii="Abadi" w:hAnsi="Abadi" w:cs="*Arial-Italic-11695-Identity-H"/>
          <w:i/>
          <w:iCs/>
          <w:color w:val="151515"/>
          <w:sz w:val="21"/>
          <w:szCs w:val="21"/>
        </w:rPr>
        <w:t xml:space="preserve"> </w:t>
      </w:r>
      <w:r w:rsidRPr="007D2337">
        <w:rPr>
          <w:rFonts w:ascii="Abadi" w:hAnsi="Abadi" w:cs="*Arial-Italic-11695-Identity-H"/>
          <w:i/>
          <w:iCs/>
          <w:color w:val="151515"/>
          <w:sz w:val="21"/>
          <w:szCs w:val="21"/>
        </w:rPr>
        <w:t>Guanajuato, Patrimonio Cultural de la Humanidad" (1990)</w:t>
      </w:r>
      <w:r w:rsidR="00786E59">
        <w:rPr>
          <w:rStyle w:val="Refdenotaalpie"/>
          <w:rFonts w:ascii="Abadi" w:hAnsi="Abadi" w:cs="*Arial-Italic-11695-Identity-H"/>
          <w:i/>
          <w:iCs/>
          <w:color w:val="151515"/>
          <w:sz w:val="21"/>
          <w:szCs w:val="21"/>
        </w:rPr>
        <w:footnoteReference w:id="40"/>
      </w:r>
      <w:r w:rsidRPr="007D2337">
        <w:rPr>
          <w:rFonts w:ascii="Abadi" w:hAnsi="Abadi" w:cs="*Arial-Italic-11695-Identity-H"/>
          <w:i/>
          <w:iCs/>
          <w:color w:val="151515"/>
          <w:sz w:val="21"/>
          <w:szCs w:val="21"/>
        </w:rPr>
        <w:t>.</w:t>
      </w:r>
    </w:p>
    <w:p w14:paraId="3DD0EBB4" w14:textId="77777777" w:rsidR="00786E59" w:rsidRPr="007D2337" w:rsidRDefault="00786E59" w:rsidP="00531A5B">
      <w:pPr>
        <w:autoSpaceDE w:val="0"/>
        <w:autoSpaceDN w:val="0"/>
        <w:adjustRightInd w:val="0"/>
        <w:jc w:val="both"/>
        <w:rPr>
          <w:rFonts w:ascii="Abadi" w:hAnsi="Abadi" w:cs="*Arial-Italic-11695-Identity-H"/>
          <w:i/>
          <w:iCs/>
          <w:color w:val="151515"/>
          <w:sz w:val="21"/>
          <w:szCs w:val="21"/>
        </w:rPr>
      </w:pPr>
    </w:p>
    <w:p w14:paraId="6F5F296F" w14:textId="77777777" w:rsidR="00531A5B" w:rsidRDefault="00531A5B" w:rsidP="00531A5B">
      <w:pPr>
        <w:autoSpaceDE w:val="0"/>
        <w:autoSpaceDN w:val="0"/>
        <w:adjustRightInd w:val="0"/>
        <w:jc w:val="both"/>
        <w:rPr>
          <w:rFonts w:ascii="Abadi" w:hAnsi="Abadi" w:cs="*Arial-11694-Identity-H"/>
          <w:color w:val="101010"/>
          <w:sz w:val="21"/>
          <w:szCs w:val="21"/>
        </w:rPr>
      </w:pPr>
      <w:r w:rsidRPr="007D2337">
        <w:rPr>
          <w:rFonts w:ascii="Abadi" w:hAnsi="Abadi" w:cs="*Arial-11694-Identity-H"/>
          <w:color w:val="101010"/>
          <w:sz w:val="21"/>
          <w:szCs w:val="21"/>
        </w:rPr>
        <w:t>El cronista municipal es una figura institucional en los ayuntamientos, que reviste</w:t>
      </w:r>
      <w:r>
        <w:rPr>
          <w:rFonts w:ascii="Abadi" w:hAnsi="Abadi" w:cs="*Arial-11694-Identity-H"/>
          <w:color w:val="101010"/>
          <w:sz w:val="21"/>
          <w:szCs w:val="21"/>
        </w:rPr>
        <w:t xml:space="preserve"> </w:t>
      </w:r>
      <w:r w:rsidRPr="007D2337">
        <w:rPr>
          <w:rFonts w:ascii="Abadi" w:hAnsi="Abadi" w:cs="*Arial-11694-Identity-H"/>
          <w:color w:val="101010"/>
          <w:sz w:val="21"/>
          <w:szCs w:val="21"/>
        </w:rPr>
        <w:t xml:space="preserve">una importancia trascendental, </w:t>
      </w:r>
      <w:r w:rsidRPr="007D2337">
        <w:rPr>
          <w:rFonts w:ascii="Abadi" w:hAnsi="Abadi" w:cs="*Microsoft Sans Serif-11697-Ide"/>
          <w:color w:val="101010"/>
          <w:sz w:val="21"/>
          <w:szCs w:val="21"/>
        </w:rPr>
        <w:t xml:space="preserve">y </w:t>
      </w:r>
      <w:r w:rsidRPr="007D2337">
        <w:rPr>
          <w:rFonts w:ascii="Abadi" w:hAnsi="Abadi" w:cs="*Arial-11694-Identity-H"/>
          <w:color w:val="101010"/>
          <w:sz w:val="21"/>
          <w:szCs w:val="21"/>
        </w:rPr>
        <w:t xml:space="preserve">debido a ello es que su función </w:t>
      </w:r>
      <w:r w:rsidRPr="007D2337">
        <w:rPr>
          <w:rFonts w:ascii="Abadi" w:hAnsi="Abadi" w:cs="*Microsoft Sans Serif-11697-Ide"/>
          <w:color w:val="101010"/>
          <w:sz w:val="21"/>
          <w:szCs w:val="21"/>
        </w:rPr>
        <w:t xml:space="preserve">y </w:t>
      </w:r>
      <w:r w:rsidRPr="007D2337">
        <w:rPr>
          <w:rFonts w:ascii="Abadi" w:hAnsi="Abadi" w:cs="*Arial-11694-Identity-H"/>
          <w:color w:val="101010"/>
          <w:sz w:val="21"/>
          <w:szCs w:val="21"/>
        </w:rPr>
        <w:t>actividad se</w:t>
      </w:r>
      <w:r>
        <w:rPr>
          <w:rFonts w:ascii="Abadi" w:hAnsi="Abadi" w:cs="*Arial-11694-Identity-H"/>
          <w:color w:val="101010"/>
          <w:sz w:val="21"/>
          <w:szCs w:val="21"/>
        </w:rPr>
        <w:t xml:space="preserve"> </w:t>
      </w:r>
      <w:r w:rsidRPr="007D2337">
        <w:rPr>
          <w:rFonts w:ascii="Abadi" w:hAnsi="Abadi" w:cs="*Arial-11694-Identity-H"/>
          <w:color w:val="101010"/>
          <w:sz w:val="21"/>
          <w:szCs w:val="21"/>
        </w:rPr>
        <w:t>encuentran reconocidas en nuestra Ley Orgánica Municipal del Estado de</w:t>
      </w:r>
      <w:r>
        <w:rPr>
          <w:rFonts w:ascii="Abadi" w:hAnsi="Abadi" w:cs="*Arial-11694-Identity-H"/>
          <w:color w:val="101010"/>
          <w:sz w:val="21"/>
          <w:szCs w:val="21"/>
        </w:rPr>
        <w:t xml:space="preserve"> </w:t>
      </w:r>
      <w:r w:rsidRPr="007D2337">
        <w:rPr>
          <w:rFonts w:ascii="Abadi" w:hAnsi="Abadi" w:cs="*Arial-11694-Identity-H"/>
          <w:color w:val="101010"/>
          <w:sz w:val="21"/>
          <w:szCs w:val="21"/>
        </w:rPr>
        <w:t>Guanajuato.</w:t>
      </w:r>
    </w:p>
    <w:p w14:paraId="30C571A6" w14:textId="77777777" w:rsidR="00531A5B" w:rsidRPr="007D2337" w:rsidRDefault="00531A5B" w:rsidP="00531A5B">
      <w:pPr>
        <w:autoSpaceDE w:val="0"/>
        <w:autoSpaceDN w:val="0"/>
        <w:adjustRightInd w:val="0"/>
        <w:jc w:val="both"/>
        <w:rPr>
          <w:rFonts w:ascii="Abadi" w:hAnsi="Abadi" w:cs="*Arial-11694-Identity-H"/>
          <w:color w:val="101010"/>
          <w:sz w:val="21"/>
          <w:szCs w:val="21"/>
        </w:rPr>
      </w:pPr>
    </w:p>
    <w:p w14:paraId="21A5BD8E" w14:textId="77777777" w:rsidR="00531A5B" w:rsidRDefault="00531A5B" w:rsidP="00531A5B">
      <w:pPr>
        <w:autoSpaceDE w:val="0"/>
        <w:autoSpaceDN w:val="0"/>
        <w:adjustRightInd w:val="0"/>
        <w:jc w:val="both"/>
        <w:rPr>
          <w:rFonts w:ascii="Abadi" w:hAnsi="Abadi" w:cs="*Arial-11694-Identity-H"/>
          <w:color w:val="0F0F0F"/>
          <w:sz w:val="21"/>
          <w:szCs w:val="21"/>
        </w:rPr>
      </w:pPr>
      <w:r w:rsidRPr="007D2337">
        <w:rPr>
          <w:rFonts w:ascii="Abadi" w:hAnsi="Abadi" w:cs="*Arial-11694-Identity-H"/>
          <w:color w:val="0F0F0F"/>
          <w:sz w:val="21"/>
          <w:szCs w:val="21"/>
        </w:rPr>
        <w:t>Nuestro Estado tiene grandes riquezas en cada uno de sus Municipios, que a través</w:t>
      </w:r>
      <w:r>
        <w:rPr>
          <w:rFonts w:ascii="Abadi" w:hAnsi="Abadi" w:cs="*Arial-11694-Identity-H"/>
          <w:color w:val="0F0F0F"/>
          <w:sz w:val="21"/>
          <w:szCs w:val="21"/>
        </w:rPr>
        <w:t xml:space="preserve"> </w:t>
      </w:r>
      <w:r w:rsidRPr="007D2337">
        <w:rPr>
          <w:rFonts w:ascii="Abadi" w:hAnsi="Abadi" w:cs="*Arial-11694-Identity-H"/>
          <w:color w:val="0F0F0F"/>
          <w:sz w:val="21"/>
          <w:szCs w:val="21"/>
        </w:rPr>
        <w:t>de su patrimonio cultural e histórico los hace ser únicos. Es así que los cronistas,</w:t>
      </w:r>
      <w:r>
        <w:rPr>
          <w:rFonts w:ascii="Abadi" w:hAnsi="Abadi" w:cs="*Arial-11694-Identity-H"/>
          <w:color w:val="0F0F0F"/>
          <w:sz w:val="21"/>
          <w:szCs w:val="21"/>
        </w:rPr>
        <w:t xml:space="preserve"> </w:t>
      </w:r>
      <w:r w:rsidRPr="007D2337">
        <w:rPr>
          <w:rFonts w:ascii="Abadi" w:hAnsi="Abadi" w:cs="*Arial-11694-Identity-H"/>
          <w:color w:val="0F0F0F"/>
          <w:sz w:val="21"/>
          <w:szCs w:val="21"/>
        </w:rPr>
        <w:t>mediante sus relatos, permiten que su patrimonio perdure a través del tiempo, para</w:t>
      </w:r>
      <w:r>
        <w:rPr>
          <w:rFonts w:ascii="Abadi" w:hAnsi="Abadi" w:cs="*Arial-11694-Identity-H"/>
          <w:color w:val="0F0F0F"/>
          <w:sz w:val="21"/>
          <w:szCs w:val="21"/>
        </w:rPr>
        <w:t xml:space="preserve"> </w:t>
      </w:r>
      <w:r w:rsidRPr="007D2337">
        <w:rPr>
          <w:rFonts w:ascii="Abadi" w:hAnsi="Abadi" w:cs="*Arial-11694-Identity-H"/>
          <w:color w:val="0F0F0F"/>
          <w:sz w:val="21"/>
          <w:szCs w:val="21"/>
        </w:rPr>
        <w:t>que las nuevas generaciones conozcan el devenir tradicional y el acontecer diario</w:t>
      </w:r>
      <w:r>
        <w:rPr>
          <w:rFonts w:ascii="Abadi" w:hAnsi="Abadi" w:cs="*Arial-11694-Identity-H"/>
          <w:color w:val="0F0F0F"/>
          <w:sz w:val="21"/>
          <w:szCs w:val="21"/>
        </w:rPr>
        <w:t xml:space="preserve"> </w:t>
      </w:r>
      <w:r w:rsidRPr="007D2337">
        <w:rPr>
          <w:rFonts w:ascii="Abadi" w:hAnsi="Abadi" w:cs="*Arial-11694-Identity-H"/>
          <w:color w:val="0F0F0F"/>
          <w:sz w:val="21"/>
          <w:szCs w:val="21"/>
        </w:rPr>
        <w:t xml:space="preserve">municipal a través del registro de hechos memorables, formas </w:t>
      </w:r>
      <w:r w:rsidRPr="007D2337">
        <w:rPr>
          <w:rFonts w:ascii="Abadi" w:hAnsi="Abadi" w:cs="*Microsoft Sans Serif-11697-Ide"/>
          <w:color w:val="0F0F0F"/>
          <w:sz w:val="21"/>
          <w:szCs w:val="21"/>
        </w:rPr>
        <w:t xml:space="preserve">y </w:t>
      </w:r>
      <w:r w:rsidRPr="007D2337">
        <w:rPr>
          <w:rFonts w:ascii="Abadi" w:hAnsi="Abadi" w:cs="*Arial-11694-Identity-H"/>
          <w:color w:val="0F0F0F"/>
          <w:sz w:val="21"/>
          <w:szCs w:val="21"/>
        </w:rPr>
        <w:t>modos de vida</w:t>
      </w:r>
      <w:r>
        <w:rPr>
          <w:rFonts w:ascii="Abadi" w:hAnsi="Abadi" w:cs="*Arial-11694-Identity-H"/>
          <w:color w:val="0F0F0F"/>
          <w:sz w:val="21"/>
          <w:szCs w:val="21"/>
        </w:rPr>
        <w:t xml:space="preserve"> </w:t>
      </w:r>
      <w:r w:rsidRPr="007D2337">
        <w:rPr>
          <w:rFonts w:ascii="Abadi" w:hAnsi="Abadi" w:cs="*Arial-11694-Identity-H"/>
          <w:color w:val="0F0F0F"/>
          <w:sz w:val="21"/>
          <w:szCs w:val="21"/>
        </w:rPr>
        <w:t xml:space="preserve">comunitarios que generan la identidad municipal, </w:t>
      </w:r>
      <w:r w:rsidRPr="007D2337">
        <w:rPr>
          <w:rFonts w:ascii="Abadi" w:hAnsi="Abadi" w:cs="*Arial-11694-Identity-H"/>
          <w:color w:val="0F0F0F"/>
          <w:sz w:val="21"/>
          <w:szCs w:val="21"/>
        </w:rPr>
        <w:lastRenderedPageBreak/>
        <w:t>así como también se preservan</w:t>
      </w:r>
      <w:r>
        <w:rPr>
          <w:rFonts w:ascii="Abadi" w:hAnsi="Abadi" w:cs="*Arial-11694-Identity-H"/>
          <w:color w:val="0F0F0F"/>
          <w:sz w:val="21"/>
          <w:szCs w:val="21"/>
        </w:rPr>
        <w:t xml:space="preserve"> </w:t>
      </w:r>
      <w:r w:rsidRPr="007D2337">
        <w:rPr>
          <w:rFonts w:ascii="Abadi" w:hAnsi="Abadi" w:cs="*Arial-11694-Identity-H"/>
          <w:color w:val="0F0F0F"/>
          <w:sz w:val="21"/>
          <w:szCs w:val="21"/>
        </w:rPr>
        <w:t>los usos y costumbres de nuestras comunidades.</w:t>
      </w:r>
    </w:p>
    <w:p w14:paraId="6E65B8AA" w14:textId="77777777" w:rsidR="00531A5B" w:rsidRPr="007D2337" w:rsidRDefault="00531A5B" w:rsidP="00531A5B">
      <w:pPr>
        <w:autoSpaceDE w:val="0"/>
        <w:autoSpaceDN w:val="0"/>
        <w:adjustRightInd w:val="0"/>
        <w:jc w:val="both"/>
        <w:rPr>
          <w:rFonts w:ascii="Abadi" w:hAnsi="Abadi" w:cs="*Arial-11694-Identity-H"/>
          <w:color w:val="0F0F0F"/>
          <w:sz w:val="21"/>
          <w:szCs w:val="21"/>
        </w:rPr>
      </w:pPr>
    </w:p>
    <w:p w14:paraId="4F6A47EB" w14:textId="20F05EDE" w:rsidR="00531A5B" w:rsidRDefault="00531A5B" w:rsidP="00531A5B">
      <w:pPr>
        <w:autoSpaceDE w:val="0"/>
        <w:autoSpaceDN w:val="0"/>
        <w:adjustRightInd w:val="0"/>
        <w:jc w:val="both"/>
        <w:rPr>
          <w:rFonts w:ascii="Abadi" w:hAnsi="Abadi" w:cs="*Arial-11486-Identity-H"/>
          <w:color w:val="111111"/>
          <w:sz w:val="21"/>
          <w:szCs w:val="21"/>
        </w:rPr>
      </w:pPr>
      <w:r w:rsidRPr="007D2337">
        <w:rPr>
          <w:rFonts w:ascii="Abadi" w:hAnsi="Abadi" w:cs="*Arial-11694-Identity-H"/>
          <w:color w:val="0F0F0F"/>
          <w:sz w:val="21"/>
          <w:szCs w:val="21"/>
        </w:rPr>
        <w:t>Durante la administración estatal de Miguel Márquez Márquez, en el año 2014,</w:t>
      </w:r>
      <w:r>
        <w:rPr>
          <w:rFonts w:ascii="Abadi" w:hAnsi="Abadi" w:cs="*Arial-11694-Identity-H"/>
          <w:color w:val="0F0F0F"/>
          <w:sz w:val="21"/>
          <w:szCs w:val="21"/>
        </w:rPr>
        <w:t xml:space="preserve"> </w:t>
      </w:r>
      <w:r w:rsidRPr="007D2337">
        <w:rPr>
          <w:rFonts w:ascii="Abadi" w:hAnsi="Abadi" w:cs="*Arial-11694-Identity-H"/>
          <w:color w:val="0F0F0F"/>
          <w:sz w:val="21"/>
          <w:szCs w:val="21"/>
        </w:rPr>
        <w:t>mediante el decreto número 168 se estableció la figura del cronista en la Ley</w:t>
      </w:r>
      <w:r>
        <w:rPr>
          <w:rFonts w:ascii="Abadi" w:hAnsi="Abadi" w:cs="*Arial-11694-Identity-H"/>
          <w:color w:val="0F0F0F"/>
          <w:sz w:val="21"/>
          <w:szCs w:val="21"/>
        </w:rPr>
        <w:t xml:space="preserve"> </w:t>
      </w:r>
      <w:r w:rsidRPr="007D2337">
        <w:rPr>
          <w:rFonts w:ascii="Abadi" w:hAnsi="Abadi" w:cs="*Arial-11694-Identity-H"/>
          <w:color w:val="0F0F0F"/>
          <w:sz w:val="21"/>
          <w:szCs w:val="21"/>
        </w:rPr>
        <w:t>Orgánica Municipal para el Estado, que regula desde sus atribuciones hasta la</w:t>
      </w:r>
      <w:r>
        <w:rPr>
          <w:rFonts w:ascii="Abadi" w:hAnsi="Abadi" w:cs="*Arial-11694-Identity-H"/>
          <w:color w:val="0F0F0F"/>
          <w:sz w:val="21"/>
          <w:szCs w:val="21"/>
        </w:rPr>
        <w:t xml:space="preserve"> </w:t>
      </w:r>
      <w:r w:rsidRPr="007D2337">
        <w:rPr>
          <w:rFonts w:ascii="Abadi" w:hAnsi="Abadi" w:cs="*Arial-11694-Identity-H"/>
          <w:color w:val="0F0F0F"/>
          <w:sz w:val="21"/>
          <w:szCs w:val="21"/>
        </w:rPr>
        <w:t>forma en la cual se elegirá al cronista municipal regulando su presencia en cada</w:t>
      </w:r>
      <w:r>
        <w:rPr>
          <w:rFonts w:ascii="Abadi" w:hAnsi="Abadi" w:cs="*Arial-11694-Identity-H"/>
          <w:color w:val="0F0F0F"/>
          <w:sz w:val="21"/>
          <w:szCs w:val="21"/>
        </w:rPr>
        <w:t xml:space="preserve">  </w:t>
      </w:r>
      <w:r w:rsidRPr="007D2337">
        <w:rPr>
          <w:rFonts w:ascii="Abadi" w:hAnsi="Abadi" w:cs="*Arial-11486-Identity-H"/>
          <w:color w:val="111111"/>
          <w:sz w:val="21"/>
          <w:szCs w:val="21"/>
        </w:rPr>
        <w:t xml:space="preserve">uno de nuestros 46 municipios del Estado, y de esta forma se </w:t>
      </w:r>
      <w:r w:rsidRPr="007D2337">
        <w:rPr>
          <w:rFonts w:ascii="Abadi" w:hAnsi="Abadi" w:cs="*Arial-Italic-11487-Identity-H"/>
          <w:i/>
          <w:iCs/>
          <w:color w:val="111111"/>
          <w:sz w:val="21"/>
          <w:szCs w:val="21"/>
        </w:rPr>
        <w:t>investigue, rescate,</w:t>
      </w:r>
      <w:r>
        <w:rPr>
          <w:rFonts w:ascii="Abadi" w:hAnsi="Abadi" w:cs="*Arial-Italic-11487-Identity-H"/>
          <w:i/>
          <w:iCs/>
          <w:color w:val="111111"/>
          <w:sz w:val="21"/>
          <w:szCs w:val="21"/>
        </w:rPr>
        <w:t xml:space="preserve"> </w:t>
      </w:r>
      <w:r w:rsidRPr="007D2337">
        <w:rPr>
          <w:rFonts w:ascii="Abadi" w:hAnsi="Abadi" w:cs="*Arial-Italic-11487-Identity-H"/>
          <w:i/>
          <w:iCs/>
          <w:color w:val="111111"/>
          <w:sz w:val="21"/>
          <w:szCs w:val="21"/>
        </w:rPr>
        <w:t xml:space="preserve">conserve, difunda </w:t>
      </w:r>
      <w:r w:rsidRPr="007D2337">
        <w:rPr>
          <w:rFonts w:ascii="Abadi" w:hAnsi="Abadi" w:cs="*Microsoft Sans Serif-Italic-11"/>
          <w:i/>
          <w:iCs/>
          <w:color w:val="111111"/>
          <w:sz w:val="21"/>
          <w:szCs w:val="21"/>
        </w:rPr>
        <w:t xml:space="preserve">y </w:t>
      </w:r>
      <w:r w:rsidRPr="007D2337">
        <w:rPr>
          <w:rFonts w:ascii="Abadi" w:hAnsi="Abadi" w:cs="*Arial-Italic-11487-Identity-H"/>
          <w:i/>
          <w:iCs/>
          <w:color w:val="111111"/>
          <w:sz w:val="21"/>
          <w:szCs w:val="21"/>
        </w:rPr>
        <w:t>promueva fa cultura municipal, mediante el registro cronológico</w:t>
      </w:r>
      <w:r>
        <w:rPr>
          <w:rFonts w:ascii="Abadi" w:hAnsi="Abadi" w:cs="*Arial-Italic-11487-Identity-H"/>
          <w:i/>
          <w:iCs/>
          <w:color w:val="111111"/>
          <w:sz w:val="21"/>
          <w:szCs w:val="21"/>
        </w:rPr>
        <w:t xml:space="preserve"> </w:t>
      </w:r>
      <w:r w:rsidRPr="007D2337">
        <w:rPr>
          <w:rFonts w:ascii="Abadi" w:hAnsi="Abadi" w:cs="*Arial-Italic-11487-Identity-H"/>
          <w:i/>
          <w:iCs/>
          <w:color w:val="111111"/>
          <w:sz w:val="21"/>
          <w:szCs w:val="21"/>
        </w:rPr>
        <w:t>de los sucesos notables de su Municipio</w:t>
      </w:r>
      <w:r w:rsidR="000440ED">
        <w:rPr>
          <w:rStyle w:val="Refdenotaalpie"/>
          <w:rFonts w:ascii="Abadi" w:hAnsi="Abadi" w:cs="*Arial-Italic-11487-Identity-H"/>
          <w:i/>
          <w:iCs/>
          <w:color w:val="111111"/>
          <w:sz w:val="21"/>
          <w:szCs w:val="21"/>
        </w:rPr>
        <w:footnoteReference w:id="41"/>
      </w:r>
      <w:r w:rsidRPr="007D2337">
        <w:rPr>
          <w:rFonts w:ascii="Abadi" w:hAnsi="Abadi" w:cs="*Arial-11486-Identity-H"/>
          <w:color w:val="111111"/>
          <w:sz w:val="21"/>
          <w:szCs w:val="21"/>
        </w:rPr>
        <w:t>, con ello fortaleciendo los orígenes de</w:t>
      </w:r>
      <w:r>
        <w:rPr>
          <w:rFonts w:ascii="Abadi" w:hAnsi="Abadi" w:cs="*Arial-11486-Identity-H"/>
          <w:color w:val="111111"/>
          <w:sz w:val="21"/>
          <w:szCs w:val="21"/>
        </w:rPr>
        <w:t xml:space="preserve"> </w:t>
      </w:r>
      <w:r w:rsidRPr="007D2337">
        <w:rPr>
          <w:rFonts w:ascii="Abadi" w:hAnsi="Abadi" w:cs="*Arial-11486-Identity-H"/>
          <w:color w:val="111111"/>
          <w:sz w:val="21"/>
          <w:szCs w:val="21"/>
        </w:rPr>
        <w:t>cada uno de nuestros municipios.</w:t>
      </w:r>
    </w:p>
    <w:p w14:paraId="3B55ED72" w14:textId="77777777" w:rsidR="00531A5B" w:rsidRPr="007D2337" w:rsidRDefault="00531A5B" w:rsidP="00531A5B">
      <w:pPr>
        <w:autoSpaceDE w:val="0"/>
        <w:autoSpaceDN w:val="0"/>
        <w:adjustRightInd w:val="0"/>
        <w:jc w:val="both"/>
        <w:rPr>
          <w:rFonts w:ascii="Abadi" w:hAnsi="Abadi" w:cs="*Arial-11486-Identity-H"/>
          <w:color w:val="111111"/>
          <w:sz w:val="21"/>
          <w:szCs w:val="21"/>
        </w:rPr>
      </w:pPr>
    </w:p>
    <w:p w14:paraId="6A82F78B" w14:textId="1098370B" w:rsidR="00531A5B" w:rsidRPr="007D2337" w:rsidRDefault="00531A5B" w:rsidP="00531A5B">
      <w:pPr>
        <w:autoSpaceDE w:val="0"/>
        <w:autoSpaceDN w:val="0"/>
        <w:adjustRightInd w:val="0"/>
        <w:jc w:val="both"/>
        <w:rPr>
          <w:rFonts w:ascii="Abadi" w:hAnsi="Abadi" w:cs="*Microsoft Sans Serif-BoldItali"/>
          <w:b/>
          <w:bCs/>
          <w:i/>
          <w:iCs/>
          <w:color w:val="151515"/>
          <w:sz w:val="21"/>
          <w:szCs w:val="21"/>
        </w:rPr>
      </w:pPr>
      <w:r w:rsidRPr="007D2337">
        <w:rPr>
          <w:rFonts w:ascii="Abadi" w:hAnsi="Abadi" w:cs="*Arial-11486-Identity-H"/>
          <w:color w:val="151515"/>
          <w:sz w:val="21"/>
          <w:szCs w:val="21"/>
        </w:rPr>
        <w:t xml:space="preserve">Por otra parte, el gobernador Diego Sinhué Rodríguez Vallejo, mediante el </w:t>
      </w:r>
      <w:r w:rsidRPr="007D2337">
        <w:rPr>
          <w:rFonts w:ascii="Abadi" w:hAnsi="Abadi" w:cs="*Arial-Italic-11487-Identity-H"/>
          <w:i/>
          <w:iCs/>
          <w:color w:val="151515"/>
          <w:sz w:val="21"/>
          <w:szCs w:val="21"/>
        </w:rPr>
        <w:t>decreto</w:t>
      </w:r>
      <w:r>
        <w:rPr>
          <w:rFonts w:ascii="Abadi" w:hAnsi="Abadi" w:cs="*Arial-Italic-11487-Identity-H"/>
          <w:i/>
          <w:iCs/>
          <w:color w:val="151515"/>
          <w:sz w:val="21"/>
          <w:szCs w:val="21"/>
        </w:rPr>
        <w:t xml:space="preserve"> </w:t>
      </w:r>
      <w:r w:rsidRPr="007D2337">
        <w:rPr>
          <w:rFonts w:ascii="Abadi" w:hAnsi="Abadi" w:cs="*Arial-Italic-11487-Identity-H"/>
          <w:i/>
          <w:iCs/>
          <w:color w:val="151515"/>
          <w:sz w:val="21"/>
          <w:szCs w:val="21"/>
        </w:rPr>
        <w:t>numero 80 publicado en el Periódico Oficial del Estado el 13 de abril del 2021,</w:t>
      </w:r>
      <w:r>
        <w:rPr>
          <w:rFonts w:ascii="Abadi" w:hAnsi="Abadi" w:cs="*Arial-Italic-11487-Identity-H"/>
          <w:i/>
          <w:iCs/>
          <w:color w:val="151515"/>
          <w:sz w:val="21"/>
          <w:szCs w:val="21"/>
        </w:rPr>
        <w:t xml:space="preserve"> </w:t>
      </w:r>
      <w:r w:rsidRPr="007D2337">
        <w:rPr>
          <w:rFonts w:ascii="Abadi" w:hAnsi="Abadi" w:cs="*Arial-Italic-11487-Identity-H"/>
          <w:i/>
          <w:iCs/>
          <w:color w:val="151515"/>
          <w:sz w:val="21"/>
          <w:szCs w:val="21"/>
        </w:rPr>
        <w:t>estableció el 25 de junio como día Estatal del Cronista en Guanajuato, en</w:t>
      </w:r>
      <w:r>
        <w:rPr>
          <w:rFonts w:ascii="Abadi" w:hAnsi="Abadi" w:cs="*Arial-Italic-11487-Identity-H"/>
          <w:i/>
          <w:iCs/>
          <w:color w:val="151515"/>
          <w:sz w:val="21"/>
          <w:szCs w:val="21"/>
        </w:rPr>
        <w:t xml:space="preserve"> </w:t>
      </w:r>
      <w:r w:rsidRPr="007D2337">
        <w:rPr>
          <w:rFonts w:ascii="Abadi" w:hAnsi="Abadi" w:cs="*Arial-Italic-11487-Identity-H"/>
          <w:i/>
          <w:iCs/>
          <w:color w:val="151515"/>
          <w:sz w:val="21"/>
          <w:szCs w:val="21"/>
        </w:rPr>
        <w:t>conmemoración de aquél 25 de junio del año de 1992, donde se dio la primera</w:t>
      </w:r>
      <w:r>
        <w:rPr>
          <w:rFonts w:ascii="Abadi" w:hAnsi="Abadi" w:cs="*Arial-Italic-11487-Identity-H"/>
          <w:i/>
          <w:iCs/>
          <w:color w:val="151515"/>
          <w:sz w:val="21"/>
          <w:szCs w:val="21"/>
        </w:rPr>
        <w:t xml:space="preserve"> </w:t>
      </w:r>
      <w:r w:rsidRPr="007D2337">
        <w:rPr>
          <w:rFonts w:ascii="Abadi" w:hAnsi="Abadi" w:cs="*Arial-Italic-11487-Identity-H"/>
          <w:i/>
          <w:iCs/>
          <w:color w:val="151515"/>
          <w:sz w:val="21"/>
          <w:szCs w:val="21"/>
        </w:rPr>
        <w:t>reunión de crónicas a convocatoria del Dr. lsauro Rionda Arreguín. Para luego, en</w:t>
      </w:r>
      <w:r>
        <w:rPr>
          <w:rFonts w:ascii="Abadi" w:hAnsi="Abadi" w:cs="*Arial-Italic-11487-Identity-H"/>
          <w:i/>
          <w:iCs/>
          <w:color w:val="151515"/>
          <w:sz w:val="21"/>
          <w:szCs w:val="21"/>
        </w:rPr>
        <w:t xml:space="preserve"> </w:t>
      </w:r>
      <w:r w:rsidRPr="007D2337">
        <w:rPr>
          <w:rFonts w:ascii="Abadi" w:hAnsi="Abadi" w:cs="*Arial-Italic-11487-Identity-H"/>
          <w:i/>
          <w:iCs/>
          <w:color w:val="151515"/>
          <w:sz w:val="21"/>
          <w:szCs w:val="21"/>
        </w:rPr>
        <w:t>abril de 1993, integrar la Asociación de Cronistas del Estado de Guanajuato</w:t>
      </w:r>
      <w:r w:rsidR="004603AF">
        <w:rPr>
          <w:rStyle w:val="Refdenotaalpie"/>
          <w:rFonts w:ascii="Abadi" w:hAnsi="Abadi" w:cs="*Arial-Italic-11487-Identity-H"/>
          <w:i/>
          <w:iCs/>
          <w:color w:val="151515"/>
          <w:sz w:val="21"/>
          <w:szCs w:val="21"/>
        </w:rPr>
        <w:footnoteReference w:id="42"/>
      </w:r>
    </w:p>
    <w:p w14:paraId="3D5F7420" w14:textId="77777777" w:rsidR="00531A5B" w:rsidRPr="007D2337" w:rsidRDefault="00531A5B" w:rsidP="00531A5B">
      <w:pPr>
        <w:autoSpaceDE w:val="0"/>
        <w:autoSpaceDN w:val="0"/>
        <w:adjustRightInd w:val="0"/>
        <w:jc w:val="both"/>
        <w:rPr>
          <w:rFonts w:ascii="Abadi" w:hAnsi="Abadi" w:cs="*Microsoft Sans Serif-BoldItali"/>
          <w:b/>
          <w:bCs/>
          <w:i/>
          <w:iCs/>
          <w:color w:val="151515"/>
          <w:sz w:val="21"/>
          <w:szCs w:val="21"/>
        </w:rPr>
      </w:pPr>
      <w:r w:rsidRPr="007D2337">
        <w:rPr>
          <w:rFonts w:ascii="Abadi" w:hAnsi="Abadi" w:cs="*Microsoft Sans Serif-BoldItali"/>
          <w:b/>
          <w:bCs/>
          <w:i/>
          <w:iCs/>
          <w:color w:val="151515"/>
          <w:sz w:val="21"/>
          <w:szCs w:val="21"/>
        </w:rPr>
        <w:t>.</w:t>
      </w:r>
    </w:p>
    <w:p w14:paraId="11F6C74B" w14:textId="77777777" w:rsidR="00531A5B" w:rsidRDefault="00531A5B" w:rsidP="00531A5B">
      <w:pPr>
        <w:autoSpaceDE w:val="0"/>
        <w:autoSpaceDN w:val="0"/>
        <w:adjustRightInd w:val="0"/>
        <w:jc w:val="both"/>
        <w:rPr>
          <w:rFonts w:ascii="Abadi" w:hAnsi="Abadi" w:cs="*Arial-11486-Identity-H"/>
          <w:color w:val="0F0F0F"/>
          <w:sz w:val="21"/>
          <w:szCs w:val="21"/>
        </w:rPr>
      </w:pPr>
      <w:r w:rsidRPr="007D2337">
        <w:rPr>
          <w:rFonts w:ascii="Abadi" w:hAnsi="Abadi" w:cs="*Arial-11486-Identity-H"/>
          <w:color w:val="0F0F0F"/>
          <w:sz w:val="21"/>
          <w:szCs w:val="21"/>
        </w:rPr>
        <w:t>Asimismo, es importante señalar que el cronista municipal no es solo una posición</w:t>
      </w:r>
      <w:r>
        <w:rPr>
          <w:rFonts w:ascii="Abadi" w:hAnsi="Abadi" w:cs="*Arial-11486-Identity-H"/>
          <w:color w:val="0F0F0F"/>
          <w:sz w:val="21"/>
          <w:szCs w:val="21"/>
        </w:rPr>
        <w:t xml:space="preserve"> </w:t>
      </w:r>
      <w:r w:rsidRPr="007D2337">
        <w:rPr>
          <w:rFonts w:ascii="Abadi" w:hAnsi="Abadi" w:cs="*Arial-11486-Identity-H"/>
          <w:color w:val="0F0F0F"/>
          <w:sz w:val="21"/>
          <w:szCs w:val="21"/>
        </w:rPr>
        <w:t>y función administrativa, sino que es una figura depositada en una persona que se</w:t>
      </w:r>
      <w:r>
        <w:rPr>
          <w:rFonts w:ascii="Abadi" w:hAnsi="Abadi" w:cs="*Arial-11486-Identity-H"/>
          <w:color w:val="0F0F0F"/>
          <w:sz w:val="21"/>
          <w:szCs w:val="21"/>
        </w:rPr>
        <w:t xml:space="preserve"> </w:t>
      </w:r>
      <w:r w:rsidRPr="007D2337">
        <w:rPr>
          <w:rFonts w:ascii="Abadi" w:hAnsi="Abadi" w:cs="*Arial-11486-Identity-H"/>
          <w:color w:val="0F0F0F"/>
          <w:sz w:val="21"/>
          <w:szCs w:val="21"/>
        </w:rPr>
        <w:t>encargara de rescatar nuestro presente y pasado, es quien detallará los</w:t>
      </w:r>
      <w:r>
        <w:rPr>
          <w:rFonts w:ascii="Abadi" w:hAnsi="Abadi" w:cs="*Arial-11486-Identity-H"/>
          <w:color w:val="0F0F0F"/>
          <w:sz w:val="21"/>
          <w:szCs w:val="21"/>
        </w:rPr>
        <w:t xml:space="preserve"> </w:t>
      </w:r>
      <w:r w:rsidRPr="007D2337">
        <w:rPr>
          <w:rFonts w:ascii="Abadi" w:hAnsi="Abadi" w:cs="*Arial-11486-Identity-H"/>
          <w:color w:val="0F0F0F"/>
          <w:sz w:val="21"/>
          <w:szCs w:val="21"/>
        </w:rPr>
        <w:t>acontecimientos de la historia, archivos y relatos de las comunidades, para que sus</w:t>
      </w:r>
      <w:r>
        <w:rPr>
          <w:rFonts w:ascii="Abadi" w:hAnsi="Abadi" w:cs="*Arial-11486-Identity-H"/>
          <w:color w:val="0F0F0F"/>
          <w:sz w:val="21"/>
          <w:szCs w:val="21"/>
        </w:rPr>
        <w:t xml:space="preserve"> </w:t>
      </w:r>
      <w:r w:rsidRPr="007D2337">
        <w:rPr>
          <w:rFonts w:ascii="Abadi" w:hAnsi="Abadi" w:cs="*Arial-11486-Identity-H"/>
          <w:color w:val="0F0F0F"/>
          <w:sz w:val="21"/>
          <w:szCs w:val="21"/>
        </w:rPr>
        <w:t>usos y costumbres perduren para generaciones futuras.</w:t>
      </w:r>
    </w:p>
    <w:p w14:paraId="43484FA7" w14:textId="77777777" w:rsidR="00531A5B" w:rsidRPr="007D2337" w:rsidRDefault="00531A5B" w:rsidP="00531A5B">
      <w:pPr>
        <w:autoSpaceDE w:val="0"/>
        <w:autoSpaceDN w:val="0"/>
        <w:adjustRightInd w:val="0"/>
        <w:jc w:val="both"/>
        <w:rPr>
          <w:rFonts w:ascii="Abadi" w:hAnsi="Abadi" w:cs="*Arial-11486-Identity-H"/>
          <w:color w:val="0F0F0F"/>
          <w:sz w:val="21"/>
          <w:szCs w:val="21"/>
        </w:rPr>
      </w:pPr>
    </w:p>
    <w:p w14:paraId="4824977A" w14:textId="77777777" w:rsidR="00531A5B" w:rsidRPr="007D2337" w:rsidRDefault="00531A5B" w:rsidP="00531A5B">
      <w:pPr>
        <w:autoSpaceDE w:val="0"/>
        <w:autoSpaceDN w:val="0"/>
        <w:adjustRightInd w:val="0"/>
        <w:jc w:val="both"/>
        <w:rPr>
          <w:rFonts w:ascii="Abadi" w:hAnsi="Abadi" w:cs="*Arial-11486-Identity-H"/>
          <w:color w:val="0E0E0E"/>
          <w:sz w:val="21"/>
          <w:szCs w:val="21"/>
        </w:rPr>
      </w:pPr>
      <w:r w:rsidRPr="007D2337">
        <w:rPr>
          <w:rFonts w:ascii="Abadi" w:hAnsi="Abadi" w:cs="*Arial-11486-Identity-H"/>
          <w:color w:val="0E0E0E"/>
          <w:sz w:val="21"/>
          <w:szCs w:val="21"/>
        </w:rPr>
        <w:t>Por ello, para Acción Nacional, resulta fundamental el preservar figuras</w:t>
      </w:r>
      <w:r>
        <w:rPr>
          <w:rFonts w:ascii="Abadi" w:hAnsi="Abadi" w:cs="*Arial-11486-Identity-H"/>
          <w:color w:val="0E0E0E"/>
          <w:sz w:val="21"/>
          <w:szCs w:val="21"/>
        </w:rPr>
        <w:t xml:space="preserve"> </w:t>
      </w:r>
      <w:r w:rsidRPr="007D2337">
        <w:rPr>
          <w:rFonts w:ascii="Abadi" w:hAnsi="Abadi" w:cs="*Arial-11486-Identity-H"/>
          <w:color w:val="0E0E0E"/>
          <w:sz w:val="21"/>
          <w:szCs w:val="21"/>
        </w:rPr>
        <w:t>institucionales como la del cronista municipal, debido a la imprescindible labor que</w:t>
      </w:r>
      <w:r>
        <w:rPr>
          <w:rFonts w:ascii="Abadi" w:hAnsi="Abadi" w:cs="*Arial-11486-Identity-H"/>
          <w:color w:val="0E0E0E"/>
          <w:sz w:val="21"/>
          <w:szCs w:val="21"/>
        </w:rPr>
        <w:t xml:space="preserve"> </w:t>
      </w:r>
      <w:r w:rsidRPr="007D2337">
        <w:rPr>
          <w:rFonts w:ascii="Abadi" w:hAnsi="Abadi" w:cs="*Arial-11486-Identity-H"/>
          <w:color w:val="0E0E0E"/>
          <w:sz w:val="21"/>
          <w:szCs w:val="21"/>
        </w:rPr>
        <w:t>realizan, al ser guardianes de la historia de nuestro Estado en de cada uno de sus</w:t>
      </w:r>
      <w:r>
        <w:rPr>
          <w:rFonts w:ascii="Abadi" w:hAnsi="Abadi" w:cs="*Arial-11486-Identity-H"/>
          <w:color w:val="0E0E0E"/>
          <w:sz w:val="21"/>
          <w:szCs w:val="21"/>
        </w:rPr>
        <w:t xml:space="preserve"> </w:t>
      </w:r>
      <w:r w:rsidRPr="007D2337">
        <w:rPr>
          <w:rFonts w:ascii="Abadi" w:hAnsi="Abadi" w:cs="*Arial-11486-Identity-H"/>
          <w:color w:val="0E0E0E"/>
          <w:sz w:val="21"/>
          <w:szCs w:val="21"/>
        </w:rPr>
        <w:t>municipios.</w:t>
      </w:r>
    </w:p>
    <w:p w14:paraId="3ED40D0B" w14:textId="77777777" w:rsidR="00531A5B" w:rsidRPr="007D2337" w:rsidRDefault="00531A5B" w:rsidP="00531A5B">
      <w:pPr>
        <w:jc w:val="both"/>
        <w:rPr>
          <w:rFonts w:ascii="Abadi" w:hAnsi="Abadi" w:cs="*Arial-11486-Identity-H"/>
          <w:color w:val="0E0E0E"/>
          <w:sz w:val="21"/>
          <w:szCs w:val="21"/>
        </w:rPr>
      </w:pPr>
    </w:p>
    <w:p w14:paraId="68054426" w14:textId="77777777" w:rsidR="00531A5B" w:rsidRPr="007D2337" w:rsidRDefault="00531A5B" w:rsidP="00531A5B">
      <w:pPr>
        <w:autoSpaceDE w:val="0"/>
        <w:autoSpaceDN w:val="0"/>
        <w:adjustRightInd w:val="0"/>
        <w:jc w:val="both"/>
        <w:rPr>
          <w:rFonts w:ascii="Abadi" w:hAnsi="Abadi" w:cs="*Arial-7573-Identity-H"/>
          <w:color w:val="0E0E0E"/>
          <w:sz w:val="21"/>
          <w:szCs w:val="21"/>
        </w:rPr>
      </w:pPr>
      <w:r w:rsidRPr="007D2337">
        <w:rPr>
          <w:rFonts w:ascii="Abadi" w:hAnsi="Abadi" w:cs="*Arial-7573-Identity-H"/>
          <w:color w:val="0E0E0E"/>
          <w:sz w:val="21"/>
          <w:szCs w:val="21"/>
        </w:rPr>
        <w:t>Por lo anteriormente expuesto y por la importancia que representa el cronista</w:t>
      </w:r>
      <w:r>
        <w:rPr>
          <w:rFonts w:ascii="Abadi" w:hAnsi="Abadi" w:cs="*Arial-7573-Identity-H"/>
          <w:color w:val="0E0E0E"/>
          <w:sz w:val="21"/>
          <w:szCs w:val="21"/>
        </w:rPr>
        <w:t xml:space="preserve"> </w:t>
      </w:r>
      <w:r w:rsidRPr="007D2337">
        <w:rPr>
          <w:rFonts w:ascii="Abadi" w:hAnsi="Abadi" w:cs="*Arial-7573-Identity-H"/>
          <w:color w:val="0E0E0E"/>
          <w:sz w:val="21"/>
          <w:szCs w:val="21"/>
        </w:rPr>
        <w:t>municipal en la preservación, rescate y promoción de las grandes riquezas que</w:t>
      </w:r>
      <w:r>
        <w:rPr>
          <w:rFonts w:ascii="Abadi" w:hAnsi="Abadi" w:cs="*Arial-7573-Identity-H"/>
          <w:color w:val="0E0E0E"/>
          <w:sz w:val="21"/>
          <w:szCs w:val="21"/>
        </w:rPr>
        <w:t xml:space="preserve"> </w:t>
      </w:r>
      <w:r w:rsidRPr="007D2337">
        <w:rPr>
          <w:rFonts w:ascii="Abadi" w:hAnsi="Abadi" w:cs="*Arial-7573-Identity-H"/>
          <w:color w:val="0E0E0E"/>
          <w:sz w:val="21"/>
          <w:szCs w:val="21"/>
        </w:rPr>
        <w:t>contiene cada uno de los 46 municipios que conforman nuestro hermoso estado de</w:t>
      </w:r>
      <w:r>
        <w:rPr>
          <w:rFonts w:ascii="Abadi" w:hAnsi="Abadi" w:cs="*Arial-7573-Identity-H"/>
          <w:color w:val="0E0E0E"/>
          <w:sz w:val="21"/>
          <w:szCs w:val="21"/>
        </w:rPr>
        <w:t xml:space="preserve"> </w:t>
      </w:r>
      <w:r w:rsidRPr="007D2337">
        <w:rPr>
          <w:rFonts w:ascii="Abadi" w:hAnsi="Abadi" w:cs="*Arial-7573-Identity-H"/>
          <w:color w:val="0E0E0E"/>
          <w:sz w:val="21"/>
          <w:szCs w:val="21"/>
        </w:rPr>
        <w:t>Guanajuato, es que nos permitimos poner a consideración de la Asamblea, el</w:t>
      </w:r>
      <w:r>
        <w:rPr>
          <w:rFonts w:ascii="Abadi" w:hAnsi="Abadi" w:cs="*Arial-7573-Identity-H"/>
          <w:color w:val="0E0E0E"/>
          <w:sz w:val="21"/>
          <w:szCs w:val="21"/>
        </w:rPr>
        <w:t xml:space="preserve"> </w:t>
      </w:r>
      <w:r w:rsidRPr="007D2337">
        <w:rPr>
          <w:rFonts w:ascii="Abadi" w:hAnsi="Abadi" w:cs="*Arial-7573-Identity-H"/>
          <w:color w:val="0E0E0E"/>
          <w:sz w:val="21"/>
          <w:szCs w:val="21"/>
        </w:rPr>
        <w:t>presente:</w:t>
      </w:r>
    </w:p>
    <w:p w14:paraId="2D1447E3" w14:textId="77777777" w:rsidR="00531A5B" w:rsidRDefault="00531A5B" w:rsidP="00531A5B">
      <w:pPr>
        <w:autoSpaceDE w:val="0"/>
        <w:autoSpaceDN w:val="0"/>
        <w:adjustRightInd w:val="0"/>
        <w:jc w:val="both"/>
        <w:rPr>
          <w:rFonts w:ascii="Abadi" w:hAnsi="Abadi" w:cs="*Arial-Bold-7574-Identity-H"/>
          <w:b/>
          <w:bCs/>
          <w:color w:val="0C0C0C"/>
          <w:sz w:val="21"/>
          <w:szCs w:val="21"/>
        </w:rPr>
      </w:pPr>
    </w:p>
    <w:p w14:paraId="7E16A062" w14:textId="77777777" w:rsidR="00531A5B" w:rsidRDefault="00531A5B" w:rsidP="00531A5B">
      <w:pPr>
        <w:autoSpaceDE w:val="0"/>
        <w:autoSpaceDN w:val="0"/>
        <w:adjustRightInd w:val="0"/>
        <w:jc w:val="center"/>
        <w:rPr>
          <w:rFonts w:ascii="Abadi" w:hAnsi="Abadi" w:cs="*Arial-Bold-7574-Identity-H"/>
          <w:b/>
          <w:bCs/>
          <w:color w:val="0C0C0C"/>
          <w:sz w:val="21"/>
          <w:szCs w:val="21"/>
        </w:rPr>
      </w:pPr>
      <w:r w:rsidRPr="007D2337">
        <w:rPr>
          <w:rFonts w:ascii="Abadi" w:hAnsi="Abadi" w:cs="*Arial-Bold-7574-Identity-H"/>
          <w:b/>
          <w:bCs/>
          <w:color w:val="0C0C0C"/>
          <w:sz w:val="21"/>
          <w:szCs w:val="21"/>
        </w:rPr>
        <w:t>ACUERDO:</w:t>
      </w:r>
    </w:p>
    <w:p w14:paraId="4513D666" w14:textId="77777777" w:rsidR="00531A5B" w:rsidRPr="007D2337" w:rsidRDefault="00531A5B" w:rsidP="00531A5B">
      <w:pPr>
        <w:autoSpaceDE w:val="0"/>
        <w:autoSpaceDN w:val="0"/>
        <w:adjustRightInd w:val="0"/>
        <w:jc w:val="both"/>
        <w:rPr>
          <w:rFonts w:ascii="Abadi" w:hAnsi="Abadi" w:cs="*Arial-Bold-7574-Identity-H"/>
          <w:b/>
          <w:bCs/>
          <w:color w:val="0C0C0C"/>
          <w:sz w:val="21"/>
          <w:szCs w:val="21"/>
        </w:rPr>
      </w:pPr>
    </w:p>
    <w:p w14:paraId="2514D834" w14:textId="77777777" w:rsidR="00531A5B" w:rsidRDefault="00531A5B" w:rsidP="00531A5B">
      <w:pPr>
        <w:autoSpaceDE w:val="0"/>
        <w:autoSpaceDN w:val="0"/>
        <w:adjustRightInd w:val="0"/>
        <w:jc w:val="both"/>
        <w:rPr>
          <w:rFonts w:ascii="Abadi" w:hAnsi="Abadi" w:cs="*Arial-Bold-7574-Identity-H"/>
          <w:b/>
          <w:bCs/>
          <w:color w:val="0B0B0B"/>
          <w:sz w:val="21"/>
          <w:szCs w:val="21"/>
        </w:rPr>
      </w:pPr>
      <w:r w:rsidRPr="007D2337">
        <w:rPr>
          <w:rFonts w:ascii="Abadi" w:hAnsi="Abadi" w:cs="*Arial-Bold-7574-Identity-H"/>
          <w:b/>
          <w:bCs/>
          <w:color w:val="0B0B0B"/>
          <w:sz w:val="21"/>
          <w:szCs w:val="21"/>
        </w:rPr>
        <w:t>Único. La Sexagésima Quinta Legislatura del Congreso del Estado Libre y</w:t>
      </w:r>
      <w:r>
        <w:rPr>
          <w:rFonts w:ascii="Abadi" w:hAnsi="Abadi" w:cs="*Arial-Bold-7574-Identity-H"/>
          <w:b/>
          <w:bCs/>
          <w:color w:val="0B0B0B"/>
          <w:sz w:val="21"/>
          <w:szCs w:val="21"/>
        </w:rPr>
        <w:t xml:space="preserve"> </w:t>
      </w:r>
      <w:r w:rsidRPr="007D2337">
        <w:rPr>
          <w:rFonts w:ascii="Abadi" w:hAnsi="Abadi" w:cs="*Arial-Bold-7574-Identity-H"/>
          <w:b/>
          <w:bCs/>
          <w:color w:val="0B0B0B"/>
          <w:sz w:val="21"/>
          <w:szCs w:val="21"/>
        </w:rPr>
        <w:t>Soberano de Guanajuato, formula un atento exhorto a los Ayuntamientos de</w:t>
      </w:r>
      <w:r>
        <w:rPr>
          <w:rFonts w:ascii="Abadi" w:hAnsi="Abadi" w:cs="*Arial-Bold-7574-Identity-H"/>
          <w:b/>
          <w:bCs/>
          <w:color w:val="0B0B0B"/>
          <w:sz w:val="21"/>
          <w:szCs w:val="21"/>
        </w:rPr>
        <w:t xml:space="preserve"> </w:t>
      </w:r>
      <w:r w:rsidRPr="007D2337">
        <w:rPr>
          <w:rFonts w:ascii="Abadi" w:hAnsi="Abadi" w:cs="*Arial-Bold-7574-Identity-H"/>
          <w:b/>
          <w:bCs/>
          <w:color w:val="0B0B0B"/>
          <w:sz w:val="21"/>
          <w:szCs w:val="21"/>
        </w:rPr>
        <w:t>Atarjea, Ocampo, Pueblo Nuevo, Santa Catarina, Xichú y Villagrán del Estado</w:t>
      </w:r>
      <w:r>
        <w:rPr>
          <w:rFonts w:ascii="Abadi" w:hAnsi="Abadi" w:cs="*Arial-Bold-7574-Identity-H"/>
          <w:b/>
          <w:bCs/>
          <w:color w:val="0B0B0B"/>
          <w:sz w:val="21"/>
          <w:szCs w:val="21"/>
        </w:rPr>
        <w:t xml:space="preserve"> </w:t>
      </w:r>
      <w:r w:rsidRPr="007D2337">
        <w:rPr>
          <w:rFonts w:ascii="Abadi" w:hAnsi="Abadi" w:cs="*Arial-Bold-7574-Identity-H"/>
          <w:b/>
          <w:bCs/>
          <w:color w:val="0B0B0B"/>
          <w:sz w:val="21"/>
          <w:szCs w:val="21"/>
        </w:rPr>
        <w:t>de Guanajuato, para que elijan a su cronista municipal con las formalidades</w:t>
      </w:r>
      <w:r>
        <w:rPr>
          <w:rFonts w:ascii="Abadi" w:hAnsi="Abadi" w:cs="*Arial-Bold-7574-Identity-H"/>
          <w:b/>
          <w:bCs/>
          <w:color w:val="0B0B0B"/>
          <w:sz w:val="21"/>
          <w:szCs w:val="21"/>
        </w:rPr>
        <w:t xml:space="preserve"> </w:t>
      </w:r>
      <w:r w:rsidRPr="007D2337">
        <w:rPr>
          <w:rFonts w:ascii="Abadi" w:hAnsi="Abadi" w:cs="*Arial-Bold-7574-Identity-H"/>
          <w:b/>
          <w:bCs/>
          <w:color w:val="0B0B0B"/>
          <w:sz w:val="21"/>
          <w:szCs w:val="21"/>
        </w:rPr>
        <w:t>establecidas en la Ley Orgánica Municipal del Estado de Guanajuato.</w:t>
      </w:r>
    </w:p>
    <w:p w14:paraId="2BB711DE" w14:textId="77777777" w:rsidR="00531A5B" w:rsidRPr="007D2337" w:rsidRDefault="00531A5B" w:rsidP="00531A5B">
      <w:pPr>
        <w:autoSpaceDE w:val="0"/>
        <w:autoSpaceDN w:val="0"/>
        <w:adjustRightInd w:val="0"/>
        <w:jc w:val="both"/>
        <w:rPr>
          <w:rFonts w:ascii="Abadi" w:hAnsi="Abadi" w:cs="*Arial-Bold-7574-Identity-H"/>
          <w:b/>
          <w:bCs/>
          <w:color w:val="0B0B0B"/>
          <w:sz w:val="21"/>
          <w:szCs w:val="21"/>
        </w:rPr>
      </w:pPr>
    </w:p>
    <w:p w14:paraId="2935365C" w14:textId="4FA33833" w:rsidR="00531A5B" w:rsidRDefault="00531A5B" w:rsidP="00E97A58">
      <w:pPr>
        <w:autoSpaceDE w:val="0"/>
        <w:autoSpaceDN w:val="0"/>
        <w:adjustRightInd w:val="0"/>
        <w:jc w:val="center"/>
        <w:rPr>
          <w:rFonts w:ascii="Abadi" w:hAnsi="Abadi" w:cs="*Arial-7573-Identity-H"/>
          <w:color w:val="0A0A0A"/>
          <w:sz w:val="21"/>
          <w:szCs w:val="21"/>
        </w:rPr>
      </w:pPr>
      <w:r w:rsidRPr="007D2337">
        <w:rPr>
          <w:rFonts w:ascii="Abadi" w:hAnsi="Abadi" w:cs="*Arial-7573-Identity-H"/>
          <w:color w:val="0A0A0A"/>
          <w:sz w:val="21"/>
          <w:szCs w:val="21"/>
        </w:rPr>
        <w:t>PROTESTAMOS LO NECESARIO</w:t>
      </w:r>
    </w:p>
    <w:p w14:paraId="7973308C" w14:textId="77777777" w:rsidR="00531A5B" w:rsidRDefault="00531A5B" w:rsidP="00E97A58">
      <w:pPr>
        <w:autoSpaceDE w:val="0"/>
        <w:autoSpaceDN w:val="0"/>
        <w:adjustRightInd w:val="0"/>
        <w:jc w:val="center"/>
        <w:rPr>
          <w:rFonts w:ascii="Abadi" w:hAnsi="Abadi" w:cs="*Arial-7573-Identity-H"/>
          <w:color w:val="0A0A0A"/>
          <w:sz w:val="21"/>
          <w:szCs w:val="21"/>
        </w:rPr>
      </w:pPr>
    </w:p>
    <w:p w14:paraId="531A75DA" w14:textId="77777777" w:rsidR="00531A5B" w:rsidRPr="007D2337" w:rsidRDefault="00531A5B" w:rsidP="00E97A58">
      <w:pPr>
        <w:autoSpaceDE w:val="0"/>
        <w:autoSpaceDN w:val="0"/>
        <w:adjustRightInd w:val="0"/>
        <w:jc w:val="center"/>
        <w:rPr>
          <w:rFonts w:ascii="Abadi" w:hAnsi="Abadi" w:cs="*Calibri-Bold-7572-Identity-H"/>
          <w:b/>
          <w:bCs/>
          <w:color w:val="0B0B0B"/>
          <w:sz w:val="21"/>
          <w:szCs w:val="21"/>
        </w:rPr>
      </w:pPr>
      <w:r w:rsidRPr="007D2337">
        <w:rPr>
          <w:rFonts w:ascii="Abadi" w:hAnsi="Abadi" w:cs="*Calibri-Bold-7572-Identity-H"/>
          <w:b/>
          <w:bCs/>
          <w:color w:val="0B0B0B"/>
          <w:sz w:val="21"/>
          <w:szCs w:val="21"/>
        </w:rPr>
        <w:t>Guanajuato, Gto., a 21 de junio de 2022</w:t>
      </w:r>
    </w:p>
    <w:p w14:paraId="392803F0" w14:textId="77777777" w:rsidR="00531A5B" w:rsidRDefault="00531A5B" w:rsidP="00E97A58">
      <w:pPr>
        <w:autoSpaceDE w:val="0"/>
        <w:autoSpaceDN w:val="0"/>
        <w:adjustRightInd w:val="0"/>
        <w:jc w:val="center"/>
        <w:rPr>
          <w:rFonts w:ascii="Abadi" w:hAnsi="Abadi" w:cs="*Calibri-Bold-7572-Identity-H"/>
          <w:b/>
          <w:bCs/>
          <w:color w:val="0A0A0A"/>
          <w:sz w:val="21"/>
          <w:szCs w:val="21"/>
        </w:rPr>
      </w:pPr>
    </w:p>
    <w:p w14:paraId="4F2BDC90" w14:textId="77777777" w:rsidR="00531A5B" w:rsidRPr="007D2337" w:rsidRDefault="00531A5B" w:rsidP="00E97A58">
      <w:pPr>
        <w:autoSpaceDE w:val="0"/>
        <w:autoSpaceDN w:val="0"/>
        <w:adjustRightInd w:val="0"/>
        <w:jc w:val="center"/>
        <w:rPr>
          <w:rFonts w:ascii="Abadi" w:hAnsi="Abadi" w:cs="*Calibri-Bold-7572-Identity-H"/>
          <w:b/>
          <w:bCs/>
          <w:color w:val="0A0A0A"/>
          <w:sz w:val="21"/>
          <w:szCs w:val="21"/>
        </w:rPr>
      </w:pPr>
      <w:r w:rsidRPr="007D2337">
        <w:rPr>
          <w:rFonts w:ascii="Abadi" w:hAnsi="Abadi" w:cs="*Calibri-Bold-7572-Identity-H"/>
          <w:b/>
          <w:bCs/>
          <w:color w:val="0A0A0A"/>
          <w:sz w:val="21"/>
          <w:szCs w:val="21"/>
        </w:rPr>
        <w:t>Diputadas y Diputados integrantes del</w:t>
      </w:r>
    </w:p>
    <w:p w14:paraId="60B95A00" w14:textId="7D8DF44B" w:rsidR="00531A5B" w:rsidRDefault="00531A5B" w:rsidP="00E97A58">
      <w:pPr>
        <w:jc w:val="center"/>
        <w:rPr>
          <w:rFonts w:ascii="Abadi" w:hAnsi="Abadi" w:cs="*Calibri-Bold-7572-Identity-H"/>
          <w:b/>
          <w:bCs/>
          <w:color w:val="0A0A0A"/>
          <w:sz w:val="21"/>
          <w:szCs w:val="21"/>
        </w:rPr>
      </w:pPr>
      <w:r w:rsidRPr="007D2337">
        <w:rPr>
          <w:rFonts w:ascii="Abadi" w:hAnsi="Abadi" w:cs="*Calibri-Bold-7572-Identity-H"/>
          <w:b/>
          <w:bCs/>
          <w:color w:val="0A0A0A"/>
          <w:sz w:val="21"/>
          <w:szCs w:val="21"/>
        </w:rPr>
        <w:t>Grupo Parlamentario del Partido Acción Nacional</w:t>
      </w:r>
    </w:p>
    <w:p w14:paraId="49E1E9EA" w14:textId="7AD79BD5" w:rsidR="00E97A58" w:rsidRDefault="00E97A58" w:rsidP="00531A5B">
      <w:pPr>
        <w:jc w:val="both"/>
        <w:rPr>
          <w:rFonts w:ascii="Abadi" w:hAnsi="Abadi" w:cs="*Calibri-Bold-7572-Identity-H"/>
          <w:b/>
          <w:bCs/>
          <w:color w:val="0A0A0A"/>
          <w:sz w:val="21"/>
          <w:szCs w:val="21"/>
        </w:rPr>
      </w:pPr>
    </w:p>
    <w:p w14:paraId="3C8234D0" w14:textId="6A30E1E8" w:rsidR="00E97A58" w:rsidRDefault="00E97A58" w:rsidP="00531A5B">
      <w:pPr>
        <w:jc w:val="both"/>
        <w:rPr>
          <w:rFonts w:ascii="Abadi" w:hAnsi="Abadi" w:cs="*Calibri-Bold-7572-Identity-H"/>
          <w:b/>
          <w:bCs/>
          <w:color w:val="0A0A0A"/>
          <w:sz w:val="21"/>
          <w:szCs w:val="21"/>
        </w:rPr>
      </w:pPr>
    </w:p>
    <w:p w14:paraId="65E47CAD" w14:textId="77777777" w:rsidR="00E97A58" w:rsidRPr="00E97A58" w:rsidRDefault="00E97A58" w:rsidP="00E97A58">
      <w:pPr>
        <w:contextualSpacing/>
        <w:jc w:val="center"/>
        <w:rPr>
          <w:rFonts w:ascii="Abadi" w:hAnsi="Abadi" w:cs="*Arial-Bold-7574-Identity-H"/>
          <w:b/>
          <w:bCs/>
          <w:color w:val="0B0B0B"/>
          <w:sz w:val="21"/>
          <w:szCs w:val="21"/>
        </w:rPr>
      </w:pPr>
      <w:r w:rsidRPr="00E97A58">
        <w:rPr>
          <w:rFonts w:ascii="Abadi" w:hAnsi="Abadi" w:cs="*Arial-Bold-7574-Identity-H"/>
          <w:b/>
          <w:bCs/>
          <w:color w:val="0B0B0B"/>
          <w:sz w:val="21"/>
          <w:szCs w:val="21"/>
        </w:rPr>
        <w:t>Dip. Luis Ernesto Ayala Torres.</w:t>
      </w:r>
    </w:p>
    <w:p w14:paraId="098FEE6A" w14:textId="140E9616" w:rsidR="00E97A58" w:rsidRDefault="00E97A58" w:rsidP="00E97A58">
      <w:pPr>
        <w:contextualSpacing/>
        <w:jc w:val="center"/>
        <w:rPr>
          <w:rFonts w:ascii="Abadi" w:hAnsi="Abadi" w:cs="*Arial-Bold-7574-Identity-H"/>
          <w:b/>
          <w:bCs/>
          <w:color w:val="0B0B0B"/>
          <w:sz w:val="21"/>
          <w:szCs w:val="21"/>
        </w:rPr>
      </w:pPr>
      <w:r w:rsidRPr="00E97A58">
        <w:rPr>
          <w:rFonts w:ascii="Abadi" w:hAnsi="Abadi" w:cs="*Arial-Bold-7574-Identity-H"/>
          <w:b/>
          <w:bCs/>
          <w:color w:val="0B0B0B"/>
          <w:sz w:val="21"/>
          <w:szCs w:val="21"/>
        </w:rPr>
        <w:t>Coordinador</w:t>
      </w:r>
    </w:p>
    <w:p w14:paraId="0EA07D52" w14:textId="77777777" w:rsidR="00E97A58" w:rsidRPr="00E97A58" w:rsidRDefault="00E97A58" w:rsidP="00E97A58">
      <w:pPr>
        <w:contextualSpacing/>
        <w:jc w:val="center"/>
        <w:rPr>
          <w:rFonts w:ascii="Abadi" w:hAnsi="Abadi" w:cs="*Arial-Bold-7574-Identity-H"/>
          <w:b/>
          <w:bCs/>
          <w:color w:val="0B0B0B"/>
          <w:sz w:val="21"/>
          <w:szCs w:val="21"/>
        </w:rPr>
      </w:pPr>
    </w:p>
    <w:p w14:paraId="71BA0BC2"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Rolando Fortino Alcántar Rojas </w:t>
      </w:r>
    </w:p>
    <w:p w14:paraId="0961F49C"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Bricio Balderas Álvarez </w:t>
      </w:r>
    </w:p>
    <w:p w14:paraId="0DF1C424"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Susana Bermúdez Cano </w:t>
      </w:r>
    </w:p>
    <w:p w14:paraId="0EFE46CA"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José Alfonso Borja Pimentel </w:t>
      </w:r>
    </w:p>
    <w:p w14:paraId="4BEE5F37"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Angélica Casilla Martínez </w:t>
      </w:r>
    </w:p>
    <w:p w14:paraId="12C7A4CA"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Martha Guadalupe Hernández Camarena </w:t>
      </w:r>
    </w:p>
    <w:p w14:paraId="10098AC4"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María de la Luz Hernández Martínez </w:t>
      </w:r>
    </w:p>
    <w:p w14:paraId="591D2937"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César Larrondo Díaz </w:t>
      </w:r>
    </w:p>
    <w:p w14:paraId="4EC2FCAB"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Martín López Camacho </w:t>
      </w:r>
    </w:p>
    <w:p w14:paraId="29641639"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Briseida Anabel Magdaleno González </w:t>
      </w:r>
    </w:p>
    <w:p w14:paraId="7FB543F9"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Laura Cristina Márquez Alcalá </w:t>
      </w:r>
    </w:p>
    <w:p w14:paraId="67FD9B4B"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Dp. Aldo Iván Márquez Becerra </w:t>
      </w:r>
    </w:p>
    <w:p w14:paraId="073B858F"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Noemí Márquez Márquez </w:t>
      </w:r>
    </w:p>
    <w:p w14:paraId="117F755A"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Janet Melanie Murillo Chávez </w:t>
      </w:r>
    </w:p>
    <w:p w14:paraId="61C5AC39"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Jorge Ortiz Ortega </w:t>
      </w:r>
    </w:p>
    <w:p w14:paraId="776CFF30"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Armando Daniel Hernández </w:t>
      </w:r>
    </w:p>
    <w:p w14:paraId="2B86D7A3" w14:textId="5F405B46"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Lilia Margarita Rionda Salas </w:t>
      </w:r>
    </w:p>
    <w:p w14:paraId="6F0B6426" w14:textId="0D30613A"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Miguel Ángel Salim Alle </w:t>
      </w:r>
    </w:p>
    <w:p w14:paraId="230E0124"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Cristina    Soto Escamilla                                 </w:t>
      </w:r>
    </w:p>
    <w:p w14:paraId="6B4E74F4" w14:textId="77777777" w:rsidR="00E97A58" w:rsidRPr="00E97A58" w:rsidRDefault="00E97A58" w:rsidP="00E97A58">
      <w:pPr>
        <w:contextualSpacing/>
        <w:rPr>
          <w:rFonts w:ascii="Abadi" w:hAnsi="Abadi" w:cs="*Arial-Bold-7574-Identity-H"/>
          <w:b/>
          <w:bCs/>
          <w:color w:val="0B0B0B"/>
          <w:sz w:val="21"/>
          <w:szCs w:val="21"/>
        </w:rPr>
      </w:pPr>
      <w:r w:rsidRPr="00E97A58">
        <w:rPr>
          <w:rFonts w:ascii="Abadi" w:hAnsi="Abadi" w:cs="*Arial-Bold-7574-Identity-H"/>
          <w:b/>
          <w:bCs/>
          <w:color w:val="0B0B0B"/>
          <w:sz w:val="21"/>
          <w:szCs w:val="21"/>
        </w:rPr>
        <w:t xml:space="preserve">Dip. Víctor Manuel Zanella Huerta </w:t>
      </w:r>
    </w:p>
    <w:p w14:paraId="70577305" w14:textId="77777777" w:rsidR="00E97A58" w:rsidRPr="00E97A58" w:rsidRDefault="00E97A58" w:rsidP="00531A5B">
      <w:pPr>
        <w:jc w:val="both"/>
        <w:rPr>
          <w:rFonts w:ascii="Abadi" w:hAnsi="Abadi" w:cs="*Arial-Bold-7574-Identity-H"/>
          <w:b/>
          <w:bCs/>
          <w:color w:val="0B0B0B"/>
          <w:sz w:val="21"/>
          <w:szCs w:val="21"/>
        </w:rPr>
      </w:pPr>
    </w:p>
    <w:p w14:paraId="098EA16C" w14:textId="77777777" w:rsidR="00D77BDA" w:rsidRPr="00D77BDA" w:rsidRDefault="00D77BDA" w:rsidP="00D77BDA">
      <w:pPr>
        <w:pStyle w:val="Prrafodelista"/>
        <w:rPr>
          <w:rFonts w:ascii="Abadi" w:hAnsi="Abadi"/>
          <w:b/>
          <w:bCs/>
          <w:sz w:val="20"/>
          <w:szCs w:val="20"/>
        </w:rPr>
      </w:pPr>
    </w:p>
    <w:p w14:paraId="6487015A" w14:textId="05D0FBED" w:rsidR="001728DF" w:rsidRDefault="00D77BDA" w:rsidP="005433FA">
      <w:pPr>
        <w:pStyle w:val="Prrafodelista"/>
        <w:numPr>
          <w:ilvl w:val="0"/>
          <w:numId w:val="9"/>
        </w:numPr>
        <w:tabs>
          <w:tab w:val="left" w:pos="845"/>
        </w:tabs>
        <w:kinsoku w:val="0"/>
        <w:overflowPunct w:val="0"/>
        <w:autoSpaceDE w:val="0"/>
        <w:autoSpaceDN w:val="0"/>
        <w:adjustRightInd w:val="0"/>
        <w:ind w:right="17"/>
        <w:jc w:val="both"/>
        <w:rPr>
          <w:rFonts w:ascii="Abadi" w:hAnsi="Abadi"/>
          <w:b/>
          <w:bCs/>
          <w:sz w:val="20"/>
          <w:szCs w:val="20"/>
        </w:rPr>
      </w:pPr>
      <w:r w:rsidRPr="001D6FE6">
        <w:rPr>
          <w:rFonts w:ascii="Abadi" w:hAnsi="Abadi"/>
          <w:b/>
          <w:bCs/>
          <w:sz w:val="20"/>
          <w:szCs w:val="20"/>
        </w:rPr>
        <w:t>PRESENTACIÓN</w:t>
      </w:r>
      <w:r w:rsidRPr="001D6FE6">
        <w:rPr>
          <w:rFonts w:ascii="Abadi" w:hAnsi="Abadi"/>
          <w:b/>
          <w:bCs/>
          <w:spacing w:val="53"/>
          <w:sz w:val="20"/>
          <w:szCs w:val="20"/>
        </w:rPr>
        <w:t xml:space="preserve"> </w:t>
      </w:r>
      <w:r w:rsidRPr="001D6FE6">
        <w:rPr>
          <w:rFonts w:ascii="Abadi" w:hAnsi="Abadi"/>
          <w:b/>
          <w:bCs/>
          <w:sz w:val="20"/>
          <w:szCs w:val="20"/>
        </w:rPr>
        <w:t>DE</w:t>
      </w:r>
      <w:r w:rsidRPr="001D6FE6">
        <w:rPr>
          <w:rFonts w:ascii="Abadi" w:hAnsi="Abadi"/>
          <w:b/>
          <w:bCs/>
          <w:spacing w:val="54"/>
          <w:sz w:val="20"/>
          <w:szCs w:val="20"/>
        </w:rPr>
        <w:t xml:space="preserve"> </w:t>
      </w:r>
      <w:r w:rsidRPr="001D6FE6">
        <w:rPr>
          <w:rFonts w:ascii="Abadi" w:hAnsi="Abadi"/>
          <w:b/>
          <w:bCs/>
          <w:sz w:val="20"/>
          <w:szCs w:val="20"/>
        </w:rPr>
        <w:t>LA</w:t>
      </w:r>
      <w:r w:rsidRPr="001D6FE6">
        <w:rPr>
          <w:rFonts w:ascii="Abadi" w:hAnsi="Abadi"/>
          <w:b/>
          <w:bCs/>
          <w:spacing w:val="54"/>
          <w:sz w:val="20"/>
          <w:szCs w:val="20"/>
        </w:rPr>
        <w:t xml:space="preserve"> </w:t>
      </w:r>
      <w:r w:rsidRPr="001D6FE6">
        <w:rPr>
          <w:rFonts w:ascii="Abadi" w:hAnsi="Abadi"/>
          <w:b/>
          <w:bCs/>
          <w:sz w:val="20"/>
          <w:szCs w:val="20"/>
        </w:rPr>
        <w:t>PROPUESTA</w:t>
      </w:r>
      <w:r w:rsidRPr="001D6FE6">
        <w:rPr>
          <w:rFonts w:ascii="Abadi" w:hAnsi="Abadi"/>
          <w:b/>
          <w:bCs/>
          <w:spacing w:val="54"/>
          <w:sz w:val="20"/>
          <w:szCs w:val="20"/>
        </w:rPr>
        <w:t xml:space="preserve"> </w:t>
      </w:r>
      <w:r w:rsidRPr="001D6FE6">
        <w:rPr>
          <w:rFonts w:ascii="Abadi" w:hAnsi="Abadi"/>
          <w:b/>
          <w:bCs/>
          <w:sz w:val="20"/>
          <w:szCs w:val="20"/>
        </w:rPr>
        <w:t>DE</w:t>
      </w:r>
      <w:r w:rsidRPr="001D6FE6">
        <w:rPr>
          <w:rFonts w:ascii="Abadi" w:hAnsi="Abadi"/>
          <w:b/>
          <w:bCs/>
          <w:spacing w:val="54"/>
          <w:sz w:val="20"/>
          <w:szCs w:val="20"/>
        </w:rPr>
        <w:t xml:space="preserve"> </w:t>
      </w:r>
      <w:r w:rsidRPr="001D6FE6">
        <w:rPr>
          <w:rFonts w:ascii="Abadi" w:hAnsi="Abadi"/>
          <w:b/>
          <w:bCs/>
          <w:sz w:val="20"/>
          <w:szCs w:val="20"/>
        </w:rPr>
        <w:t>PUNTO</w:t>
      </w:r>
      <w:r w:rsidRPr="001D6FE6">
        <w:rPr>
          <w:rFonts w:ascii="Abadi" w:hAnsi="Abadi"/>
          <w:b/>
          <w:bCs/>
          <w:spacing w:val="54"/>
          <w:sz w:val="20"/>
          <w:szCs w:val="20"/>
        </w:rPr>
        <w:t xml:space="preserve"> </w:t>
      </w:r>
      <w:r w:rsidRPr="001D6FE6">
        <w:rPr>
          <w:rFonts w:ascii="Abadi" w:hAnsi="Abadi"/>
          <w:b/>
          <w:bCs/>
          <w:sz w:val="20"/>
          <w:szCs w:val="20"/>
        </w:rPr>
        <w:t>DE</w:t>
      </w:r>
      <w:r w:rsidRPr="001D6FE6">
        <w:rPr>
          <w:rFonts w:ascii="Abadi" w:hAnsi="Abadi"/>
          <w:b/>
          <w:bCs/>
          <w:spacing w:val="54"/>
          <w:sz w:val="20"/>
          <w:szCs w:val="20"/>
        </w:rPr>
        <w:t xml:space="preserve"> </w:t>
      </w:r>
      <w:r w:rsidRPr="001D6FE6">
        <w:rPr>
          <w:rFonts w:ascii="Abadi" w:hAnsi="Abadi"/>
          <w:b/>
          <w:bCs/>
          <w:sz w:val="20"/>
          <w:szCs w:val="20"/>
        </w:rPr>
        <w:t>ACUERDO</w:t>
      </w:r>
      <w:r w:rsidRPr="001D6FE6">
        <w:rPr>
          <w:rFonts w:ascii="Abadi" w:hAnsi="Abadi"/>
          <w:b/>
          <w:bCs/>
          <w:spacing w:val="54"/>
          <w:sz w:val="20"/>
          <w:szCs w:val="20"/>
        </w:rPr>
        <w:t xml:space="preserve"> </w:t>
      </w:r>
      <w:r w:rsidRPr="001D6FE6">
        <w:rPr>
          <w:rFonts w:ascii="Abadi" w:hAnsi="Abadi"/>
          <w:b/>
          <w:bCs/>
          <w:sz w:val="20"/>
          <w:szCs w:val="20"/>
        </w:rPr>
        <w:t>DE</w:t>
      </w:r>
      <w:r w:rsidRPr="001D6FE6">
        <w:rPr>
          <w:rFonts w:ascii="Abadi" w:hAnsi="Abadi"/>
          <w:b/>
          <w:bCs/>
          <w:spacing w:val="54"/>
          <w:sz w:val="20"/>
          <w:szCs w:val="20"/>
        </w:rPr>
        <w:t xml:space="preserve"> </w:t>
      </w:r>
      <w:r w:rsidRPr="001D6FE6">
        <w:rPr>
          <w:rFonts w:ascii="Abadi" w:hAnsi="Abadi"/>
          <w:b/>
          <w:bCs/>
          <w:sz w:val="20"/>
          <w:szCs w:val="20"/>
        </w:rPr>
        <w:t>OBVIA</w:t>
      </w:r>
      <w:r w:rsidRPr="001D6FE6">
        <w:rPr>
          <w:rFonts w:ascii="Abadi" w:hAnsi="Abadi"/>
          <w:b/>
          <w:bCs/>
          <w:spacing w:val="54"/>
          <w:sz w:val="20"/>
          <w:szCs w:val="20"/>
        </w:rPr>
        <w:t xml:space="preserve"> </w:t>
      </w:r>
      <w:r w:rsidRPr="001D6FE6">
        <w:rPr>
          <w:rFonts w:ascii="Abadi" w:hAnsi="Abadi"/>
          <w:b/>
          <w:bCs/>
          <w:sz w:val="20"/>
          <w:szCs w:val="20"/>
        </w:rPr>
        <w:t>RESOLUCIÓN</w:t>
      </w:r>
      <w:r w:rsidRPr="001D6FE6">
        <w:rPr>
          <w:rFonts w:ascii="Abadi" w:hAnsi="Abadi"/>
          <w:b/>
          <w:bCs/>
          <w:spacing w:val="-1"/>
          <w:sz w:val="20"/>
          <w:szCs w:val="20"/>
        </w:rPr>
        <w:t xml:space="preserve"> </w:t>
      </w:r>
      <w:r w:rsidRPr="001D6FE6">
        <w:rPr>
          <w:rFonts w:ascii="Abadi" w:hAnsi="Abadi"/>
          <w:b/>
          <w:bCs/>
          <w:sz w:val="20"/>
          <w:szCs w:val="20"/>
        </w:rPr>
        <w:t>FORMULADA</w:t>
      </w:r>
      <w:r w:rsidRPr="001D6FE6">
        <w:rPr>
          <w:rFonts w:ascii="Abadi" w:hAnsi="Abadi"/>
          <w:b/>
          <w:bCs/>
          <w:spacing w:val="51"/>
          <w:w w:val="150"/>
          <w:sz w:val="20"/>
          <w:szCs w:val="20"/>
        </w:rPr>
        <w:t xml:space="preserve"> </w:t>
      </w:r>
      <w:r w:rsidRPr="001D6FE6">
        <w:rPr>
          <w:rFonts w:ascii="Abadi" w:hAnsi="Abadi"/>
          <w:b/>
          <w:bCs/>
          <w:sz w:val="20"/>
          <w:szCs w:val="20"/>
        </w:rPr>
        <w:t>POR</w:t>
      </w:r>
      <w:r w:rsidRPr="001D6FE6">
        <w:rPr>
          <w:rFonts w:ascii="Abadi" w:hAnsi="Abadi"/>
          <w:b/>
          <w:bCs/>
          <w:spacing w:val="51"/>
          <w:w w:val="150"/>
          <w:sz w:val="20"/>
          <w:szCs w:val="20"/>
        </w:rPr>
        <w:t xml:space="preserve"> </w:t>
      </w:r>
      <w:r w:rsidRPr="001D6FE6">
        <w:rPr>
          <w:rFonts w:ascii="Abadi" w:hAnsi="Abadi"/>
          <w:b/>
          <w:bCs/>
          <w:sz w:val="20"/>
          <w:szCs w:val="20"/>
        </w:rPr>
        <w:t>LA</w:t>
      </w:r>
      <w:r w:rsidRPr="001D6FE6">
        <w:rPr>
          <w:rFonts w:ascii="Abadi" w:hAnsi="Abadi"/>
          <w:b/>
          <w:bCs/>
          <w:spacing w:val="51"/>
          <w:w w:val="150"/>
          <w:sz w:val="20"/>
          <w:szCs w:val="20"/>
        </w:rPr>
        <w:t xml:space="preserve"> </w:t>
      </w:r>
      <w:r w:rsidRPr="001D6FE6">
        <w:rPr>
          <w:rFonts w:ascii="Abadi" w:hAnsi="Abadi"/>
          <w:b/>
          <w:bCs/>
          <w:sz w:val="20"/>
          <w:szCs w:val="20"/>
        </w:rPr>
        <w:t>DIPUTADA</w:t>
      </w:r>
      <w:r w:rsidRPr="001D6FE6">
        <w:rPr>
          <w:rFonts w:ascii="Abadi" w:hAnsi="Abadi"/>
          <w:b/>
          <w:bCs/>
          <w:spacing w:val="51"/>
          <w:w w:val="150"/>
          <w:sz w:val="20"/>
          <w:szCs w:val="20"/>
        </w:rPr>
        <w:t xml:space="preserve"> </w:t>
      </w:r>
      <w:r w:rsidRPr="001D6FE6">
        <w:rPr>
          <w:rFonts w:ascii="Abadi" w:hAnsi="Abadi"/>
          <w:b/>
          <w:bCs/>
          <w:sz w:val="20"/>
          <w:szCs w:val="20"/>
        </w:rPr>
        <w:t>YULMA</w:t>
      </w:r>
      <w:r w:rsidRPr="001D6FE6">
        <w:rPr>
          <w:rFonts w:ascii="Abadi" w:hAnsi="Abadi"/>
          <w:b/>
          <w:bCs/>
          <w:spacing w:val="51"/>
          <w:w w:val="150"/>
          <w:sz w:val="20"/>
          <w:szCs w:val="20"/>
        </w:rPr>
        <w:t xml:space="preserve"> </w:t>
      </w:r>
      <w:r w:rsidRPr="001D6FE6">
        <w:rPr>
          <w:rFonts w:ascii="Abadi" w:hAnsi="Abadi"/>
          <w:b/>
          <w:bCs/>
          <w:sz w:val="20"/>
          <w:szCs w:val="20"/>
        </w:rPr>
        <w:t>ROCHA</w:t>
      </w:r>
      <w:r w:rsidRPr="001D6FE6">
        <w:rPr>
          <w:rFonts w:ascii="Abadi" w:hAnsi="Abadi"/>
          <w:b/>
          <w:bCs/>
          <w:spacing w:val="51"/>
          <w:w w:val="150"/>
          <w:sz w:val="20"/>
          <w:szCs w:val="20"/>
        </w:rPr>
        <w:t xml:space="preserve"> </w:t>
      </w:r>
      <w:r w:rsidRPr="001D6FE6">
        <w:rPr>
          <w:rFonts w:ascii="Abadi" w:hAnsi="Abadi"/>
          <w:b/>
          <w:bCs/>
          <w:sz w:val="20"/>
          <w:szCs w:val="20"/>
        </w:rPr>
        <w:t>AGUILAR</w:t>
      </w:r>
      <w:r w:rsidRPr="001D6FE6">
        <w:rPr>
          <w:rFonts w:ascii="Abadi" w:hAnsi="Abadi"/>
          <w:b/>
          <w:bCs/>
          <w:spacing w:val="51"/>
          <w:w w:val="150"/>
          <w:sz w:val="20"/>
          <w:szCs w:val="20"/>
        </w:rPr>
        <w:t xml:space="preserve"> </w:t>
      </w:r>
      <w:r w:rsidRPr="001D6FE6">
        <w:rPr>
          <w:rFonts w:ascii="Abadi" w:hAnsi="Abadi"/>
          <w:b/>
          <w:bCs/>
          <w:sz w:val="20"/>
          <w:szCs w:val="20"/>
        </w:rPr>
        <w:t>INTEGRANTE</w:t>
      </w:r>
      <w:r w:rsidRPr="001D6FE6">
        <w:rPr>
          <w:rFonts w:ascii="Abadi" w:hAnsi="Abadi"/>
          <w:b/>
          <w:bCs/>
          <w:spacing w:val="51"/>
          <w:w w:val="150"/>
          <w:sz w:val="20"/>
          <w:szCs w:val="20"/>
        </w:rPr>
        <w:t xml:space="preserve"> </w:t>
      </w:r>
      <w:r w:rsidRPr="001D6FE6">
        <w:rPr>
          <w:rFonts w:ascii="Abadi" w:hAnsi="Abadi"/>
          <w:b/>
          <w:bCs/>
          <w:sz w:val="20"/>
          <w:szCs w:val="20"/>
        </w:rPr>
        <w:t>DEL</w:t>
      </w:r>
      <w:r w:rsidRPr="001D6FE6">
        <w:rPr>
          <w:rFonts w:ascii="Abadi" w:hAnsi="Abadi"/>
          <w:b/>
          <w:bCs/>
          <w:spacing w:val="51"/>
          <w:w w:val="150"/>
          <w:sz w:val="20"/>
          <w:szCs w:val="20"/>
        </w:rPr>
        <w:t xml:space="preserve"> </w:t>
      </w:r>
      <w:r w:rsidRPr="001D6FE6">
        <w:rPr>
          <w:rFonts w:ascii="Abadi" w:hAnsi="Abadi"/>
          <w:b/>
          <w:bCs/>
          <w:sz w:val="20"/>
          <w:szCs w:val="20"/>
        </w:rPr>
        <w:t>GRUPO</w:t>
      </w:r>
      <w:r w:rsidRPr="001D6FE6">
        <w:rPr>
          <w:rFonts w:ascii="Abadi" w:hAnsi="Abadi"/>
          <w:b/>
          <w:bCs/>
          <w:spacing w:val="-1"/>
          <w:sz w:val="20"/>
          <w:szCs w:val="20"/>
        </w:rPr>
        <w:t xml:space="preserve"> </w:t>
      </w:r>
      <w:r w:rsidRPr="001D6FE6">
        <w:rPr>
          <w:rFonts w:ascii="Abadi" w:hAnsi="Abadi"/>
          <w:b/>
          <w:bCs/>
          <w:sz w:val="20"/>
          <w:szCs w:val="20"/>
        </w:rPr>
        <w:t xml:space="preserve">PARLAMENTARIO DEL PARTIDO REVOLUCIONARIO INSTITUCIONAL POR EL </w:t>
      </w:r>
      <w:r w:rsidRPr="001D6FE6">
        <w:rPr>
          <w:rFonts w:ascii="Abadi" w:hAnsi="Abadi"/>
          <w:b/>
          <w:bCs/>
          <w:sz w:val="20"/>
          <w:szCs w:val="20"/>
        </w:rPr>
        <w:lastRenderedPageBreak/>
        <w:t>QUE SE EFECTÚA</w:t>
      </w:r>
      <w:r w:rsidRPr="001D6FE6">
        <w:rPr>
          <w:rFonts w:ascii="Abadi" w:hAnsi="Abadi"/>
          <w:b/>
          <w:bCs/>
          <w:spacing w:val="-1"/>
          <w:sz w:val="20"/>
          <w:szCs w:val="20"/>
        </w:rPr>
        <w:t xml:space="preserve"> </w:t>
      </w:r>
      <w:r w:rsidRPr="001D6FE6">
        <w:rPr>
          <w:rFonts w:ascii="Abadi" w:hAnsi="Abadi"/>
          <w:b/>
          <w:bCs/>
          <w:sz w:val="20"/>
          <w:szCs w:val="20"/>
        </w:rPr>
        <w:t>UN</w:t>
      </w:r>
      <w:r w:rsidRPr="001D6FE6">
        <w:rPr>
          <w:rFonts w:ascii="Abadi" w:hAnsi="Abadi"/>
          <w:b/>
          <w:bCs/>
          <w:spacing w:val="11"/>
          <w:sz w:val="20"/>
          <w:szCs w:val="20"/>
        </w:rPr>
        <w:t xml:space="preserve"> </w:t>
      </w:r>
      <w:r w:rsidRPr="001D6FE6">
        <w:rPr>
          <w:rFonts w:ascii="Abadi" w:hAnsi="Abadi"/>
          <w:b/>
          <w:bCs/>
          <w:sz w:val="20"/>
          <w:szCs w:val="20"/>
        </w:rPr>
        <w:t>RESPETUOSO</w:t>
      </w:r>
      <w:r w:rsidRPr="001D6FE6">
        <w:rPr>
          <w:rFonts w:ascii="Abadi" w:hAnsi="Abadi"/>
          <w:b/>
          <w:bCs/>
          <w:spacing w:val="11"/>
          <w:sz w:val="20"/>
          <w:szCs w:val="20"/>
        </w:rPr>
        <w:t xml:space="preserve"> </w:t>
      </w:r>
      <w:r w:rsidRPr="001D6FE6">
        <w:rPr>
          <w:rFonts w:ascii="Abadi" w:hAnsi="Abadi"/>
          <w:b/>
          <w:bCs/>
          <w:sz w:val="20"/>
          <w:szCs w:val="20"/>
        </w:rPr>
        <w:t>EXHORTO</w:t>
      </w:r>
      <w:r w:rsidRPr="001D6FE6">
        <w:rPr>
          <w:rFonts w:ascii="Abadi" w:hAnsi="Abadi"/>
          <w:b/>
          <w:bCs/>
          <w:spacing w:val="11"/>
          <w:sz w:val="20"/>
          <w:szCs w:val="20"/>
        </w:rPr>
        <w:t xml:space="preserve"> </w:t>
      </w:r>
      <w:r w:rsidRPr="001D6FE6">
        <w:rPr>
          <w:rFonts w:ascii="Abadi" w:hAnsi="Abadi"/>
          <w:b/>
          <w:bCs/>
          <w:sz w:val="20"/>
          <w:szCs w:val="20"/>
        </w:rPr>
        <w:t>AL</w:t>
      </w:r>
      <w:r w:rsidRPr="001D6FE6">
        <w:rPr>
          <w:rFonts w:ascii="Abadi" w:hAnsi="Abadi"/>
          <w:b/>
          <w:bCs/>
          <w:spacing w:val="11"/>
          <w:sz w:val="20"/>
          <w:szCs w:val="20"/>
        </w:rPr>
        <w:t xml:space="preserve"> </w:t>
      </w:r>
      <w:r w:rsidRPr="001D6FE6">
        <w:rPr>
          <w:rFonts w:ascii="Abadi" w:hAnsi="Abadi"/>
          <w:b/>
          <w:bCs/>
          <w:sz w:val="20"/>
          <w:szCs w:val="20"/>
        </w:rPr>
        <w:t>INSTITUTO</w:t>
      </w:r>
      <w:r w:rsidRPr="001D6FE6">
        <w:rPr>
          <w:rFonts w:ascii="Abadi" w:hAnsi="Abadi"/>
          <w:b/>
          <w:bCs/>
          <w:spacing w:val="11"/>
          <w:sz w:val="20"/>
          <w:szCs w:val="20"/>
        </w:rPr>
        <w:t xml:space="preserve"> </w:t>
      </w:r>
      <w:r w:rsidRPr="001D6FE6">
        <w:rPr>
          <w:rFonts w:ascii="Abadi" w:hAnsi="Abadi"/>
          <w:b/>
          <w:bCs/>
          <w:sz w:val="20"/>
          <w:szCs w:val="20"/>
        </w:rPr>
        <w:t>DE</w:t>
      </w:r>
      <w:r w:rsidRPr="001D6FE6">
        <w:rPr>
          <w:rFonts w:ascii="Abadi" w:hAnsi="Abadi"/>
          <w:b/>
          <w:bCs/>
          <w:spacing w:val="11"/>
          <w:sz w:val="20"/>
          <w:szCs w:val="20"/>
        </w:rPr>
        <w:t xml:space="preserve"> </w:t>
      </w:r>
      <w:r w:rsidRPr="001D6FE6">
        <w:rPr>
          <w:rFonts w:ascii="Abadi" w:hAnsi="Abadi"/>
          <w:b/>
          <w:bCs/>
          <w:sz w:val="20"/>
          <w:szCs w:val="20"/>
        </w:rPr>
        <w:t>ACCESO</w:t>
      </w:r>
      <w:r w:rsidRPr="001D6FE6">
        <w:rPr>
          <w:rFonts w:ascii="Abadi" w:hAnsi="Abadi"/>
          <w:b/>
          <w:bCs/>
          <w:spacing w:val="11"/>
          <w:sz w:val="20"/>
          <w:szCs w:val="20"/>
        </w:rPr>
        <w:t xml:space="preserve"> </w:t>
      </w:r>
      <w:r w:rsidRPr="001D6FE6">
        <w:rPr>
          <w:rFonts w:ascii="Abadi" w:hAnsi="Abadi"/>
          <w:b/>
          <w:bCs/>
          <w:sz w:val="20"/>
          <w:szCs w:val="20"/>
        </w:rPr>
        <w:t>A</w:t>
      </w:r>
      <w:r w:rsidRPr="001D6FE6">
        <w:rPr>
          <w:rFonts w:ascii="Abadi" w:hAnsi="Abadi"/>
          <w:b/>
          <w:bCs/>
          <w:spacing w:val="11"/>
          <w:sz w:val="20"/>
          <w:szCs w:val="20"/>
        </w:rPr>
        <w:t xml:space="preserve"> </w:t>
      </w:r>
      <w:r w:rsidRPr="001D6FE6">
        <w:rPr>
          <w:rFonts w:ascii="Abadi" w:hAnsi="Abadi"/>
          <w:b/>
          <w:bCs/>
          <w:sz w:val="20"/>
          <w:szCs w:val="20"/>
        </w:rPr>
        <w:t>LA</w:t>
      </w:r>
      <w:r w:rsidRPr="001D6FE6">
        <w:rPr>
          <w:rFonts w:ascii="Abadi" w:hAnsi="Abadi"/>
          <w:b/>
          <w:bCs/>
          <w:spacing w:val="11"/>
          <w:sz w:val="20"/>
          <w:szCs w:val="20"/>
        </w:rPr>
        <w:t xml:space="preserve"> </w:t>
      </w:r>
      <w:r w:rsidRPr="001D6FE6">
        <w:rPr>
          <w:rFonts w:ascii="Abadi" w:hAnsi="Abadi"/>
          <w:b/>
          <w:bCs/>
          <w:sz w:val="20"/>
          <w:szCs w:val="20"/>
        </w:rPr>
        <w:t>INFORMACIÓN</w:t>
      </w:r>
      <w:r w:rsidRPr="001D6FE6">
        <w:rPr>
          <w:rFonts w:ascii="Abadi" w:hAnsi="Abadi"/>
          <w:b/>
          <w:bCs/>
          <w:spacing w:val="11"/>
          <w:sz w:val="20"/>
          <w:szCs w:val="20"/>
        </w:rPr>
        <w:t xml:space="preserve"> </w:t>
      </w:r>
      <w:r w:rsidRPr="001D6FE6">
        <w:rPr>
          <w:rFonts w:ascii="Abadi" w:hAnsi="Abadi"/>
          <w:b/>
          <w:bCs/>
          <w:sz w:val="20"/>
          <w:szCs w:val="20"/>
        </w:rPr>
        <w:t>PÚBLICA</w:t>
      </w:r>
      <w:r w:rsidRPr="001D6FE6">
        <w:rPr>
          <w:rFonts w:ascii="Abadi" w:hAnsi="Abadi"/>
          <w:b/>
          <w:bCs/>
          <w:spacing w:val="11"/>
          <w:sz w:val="20"/>
          <w:szCs w:val="20"/>
        </w:rPr>
        <w:t xml:space="preserve"> </w:t>
      </w:r>
      <w:r w:rsidRPr="001D6FE6">
        <w:rPr>
          <w:rFonts w:ascii="Abadi" w:hAnsi="Abadi"/>
          <w:b/>
          <w:bCs/>
          <w:sz w:val="20"/>
          <w:szCs w:val="20"/>
        </w:rPr>
        <w:t>PARA</w:t>
      </w:r>
      <w:r w:rsidRPr="001D6FE6">
        <w:rPr>
          <w:rFonts w:ascii="Abadi" w:hAnsi="Abadi"/>
          <w:b/>
          <w:bCs/>
          <w:spacing w:val="-1"/>
          <w:sz w:val="20"/>
          <w:szCs w:val="20"/>
        </w:rPr>
        <w:t xml:space="preserve"> </w:t>
      </w:r>
      <w:r w:rsidRPr="001D6FE6">
        <w:rPr>
          <w:rFonts w:ascii="Abadi" w:hAnsi="Abadi"/>
          <w:b/>
          <w:bCs/>
          <w:sz w:val="20"/>
          <w:szCs w:val="20"/>
        </w:rPr>
        <w:t>EL</w:t>
      </w:r>
      <w:r w:rsidRPr="001D6FE6">
        <w:rPr>
          <w:rFonts w:ascii="Abadi" w:hAnsi="Abadi"/>
          <w:b/>
          <w:bCs/>
          <w:spacing w:val="4"/>
          <w:sz w:val="20"/>
          <w:szCs w:val="20"/>
        </w:rPr>
        <w:t xml:space="preserve"> </w:t>
      </w:r>
      <w:r w:rsidRPr="001D6FE6">
        <w:rPr>
          <w:rFonts w:ascii="Abadi" w:hAnsi="Abadi"/>
          <w:b/>
          <w:bCs/>
          <w:sz w:val="20"/>
          <w:szCs w:val="20"/>
        </w:rPr>
        <w:t>ESTADO</w:t>
      </w:r>
      <w:r w:rsidRPr="001D6FE6">
        <w:rPr>
          <w:rFonts w:ascii="Abadi" w:hAnsi="Abadi"/>
          <w:b/>
          <w:bCs/>
          <w:spacing w:val="4"/>
          <w:sz w:val="20"/>
          <w:szCs w:val="20"/>
        </w:rPr>
        <w:t xml:space="preserve"> </w:t>
      </w:r>
      <w:r w:rsidRPr="001D6FE6">
        <w:rPr>
          <w:rFonts w:ascii="Abadi" w:hAnsi="Abadi"/>
          <w:b/>
          <w:bCs/>
          <w:sz w:val="20"/>
          <w:szCs w:val="20"/>
        </w:rPr>
        <w:t>DE</w:t>
      </w:r>
      <w:r w:rsidRPr="001D6FE6">
        <w:rPr>
          <w:rFonts w:ascii="Abadi" w:hAnsi="Abadi"/>
          <w:b/>
          <w:bCs/>
          <w:spacing w:val="4"/>
          <w:sz w:val="20"/>
          <w:szCs w:val="20"/>
        </w:rPr>
        <w:t xml:space="preserve"> </w:t>
      </w:r>
      <w:r w:rsidRPr="001D6FE6">
        <w:rPr>
          <w:rFonts w:ascii="Abadi" w:hAnsi="Abadi"/>
          <w:b/>
          <w:bCs/>
          <w:sz w:val="20"/>
          <w:szCs w:val="20"/>
        </w:rPr>
        <w:t>GUANAJUATO,</w:t>
      </w:r>
      <w:r w:rsidRPr="001D6FE6">
        <w:rPr>
          <w:rFonts w:ascii="Abadi" w:hAnsi="Abadi"/>
          <w:b/>
          <w:bCs/>
          <w:spacing w:val="4"/>
          <w:sz w:val="20"/>
          <w:szCs w:val="20"/>
        </w:rPr>
        <w:t xml:space="preserve"> </w:t>
      </w:r>
      <w:r w:rsidRPr="001D6FE6">
        <w:rPr>
          <w:rFonts w:ascii="Abadi" w:hAnsi="Abadi"/>
          <w:b/>
          <w:bCs/>
          <w:sz w:val="20"/>
          <w:szCs w:val="20"/>
        </w:rPr>
        <w:t>PARA</w:t>
      </w:r>
      <w:r w:rsidRPr="001D6FE6">
        <w:rPr>
          <w:rFonts w:ascii="Abadi" w:hAnsi="Abadi"/>
          <w:b/>
          <w:bCs/>
          <w:spacing w:val="4"/>
          <w:sz w:val="20"/>
          <w:szCs w:val="20"/>
        </w:rPr>
        <w:t xml:space="preserve"> </w:t>
      </w:r>
      <w:r w:rsidRPr="001D6FE6">
        <w:rPr>
          <w:rFonts w:ascii="Abadi" w:hAnsi="Abadi"/>
          <w:b/>
          <w:bCs/>
          <w:sz w:val="20"/>
          <w:szCs w:val="20"/>
        </w:rPr>
        <w:t>QUE,</w:t>
      </w:r>
      <w:r w:rsidRPr="001D6FE6">
        <w:rPr>
          <w:rFonts w:ascii="Abadi" w:hAnsi="Abadi"/>
          <w:b/>
          <w:bCs/>
          <w:spacing w:val="4"/>
          <w:sz w:val="20"/>
          <w:szCs w:val="20"/>
        </w:rPr>
        <w:t xml:space="preserve"> </w:t>
      </w:r>
      <w:r w:rsidRPr="001D6FE6">
        <w:rPr>
          <w:rFonts w:ascii="Abadi" w:hAnsi="Abadi"/>
          <w:b/>
          <w:bCs/>
          <w:sz w:val="20"/>
          <w:szCs w:val="20"/>
        </w:rPr>
        <w:t>EN</w:t>
      </w:r>
      <w:r w:rsidRPr="001D6FE6">
        <w:rPr>
          <w:rFonts w:ascii="Abadi" w:hAnsi="Abadi"/>
          <w:b/>
          <w:bCs/>
          <w:spacing w:val="4"/>
          <w:sz w:val="20"/>
          <w:szCs w:val="20"/>
        </w:rPr>
        <w:t xml:space="preserve"> </w:t>
      </w:r>
      <w:r w:rsidRPr="001D6FE6">
        <w:rPr>
          <w:rFonts w:ascii="Abadi" w:hAnsi="Abadi"/>
          <w:b/>
          <w:bCs/>
          <w:sz w:val="20"/>
          <w:szCs w:val="20"/>
        </w:rPr>
        <w:t>FUNCIÓN</w:t>
      </w:r>
      <w:r w:rsidRPr="001D6FE6">
        <w:rPr>
          <w:rFonts w:ascii="Abadi" w:hAnsi="Abadi"/>
          <w:b/>
          <w:bCs/>
          <w:spacing w:val="4"/>
          <w:sz w:val="20"/>
          <w:szCs w:val="20"/>
        </w:rPr>
        <w:t xml:space="preserve"> </w:t>
      </w:r>
      <w:r w:rsidRPr="001D6FE6">
        <w:rPr>
          <w:rFonts w:ascii="Abadi" w:hAnsi="Abadi"/>
          <w:b/>
          <w:bCs/>
          <w:sz w:val="20"/>
          <w:szCs w:val="20"/>
        </w:rPr>
        <w:t>DE</w:t>
      </w:r>
      <w:r w:rsidRPr="001D6FE6">
        <w:rPr>
          <w:rFonts w:ascii="Abadi" w:hAnsi="Abadi"/>
          <w:b/>
          <w:bCs/>
          <w:spacing w:val="4"/>
          <w:sz w:val="20"/>
          <w:szCs w:val="20"/>
        </w:rPr>
        <w:t xml:space="preserve"> </w:t>
      </w:r>
      <w:r w:rsidRPr="001D6FE6">
        <w:rPr>
          <w:rFonts w:ascii="Abadi" w:hAnsi="Abadi"/>
          <w:b/>
          <w:bCs/>
          <w:sz w:val="20"/>
          <w:szCs w:val="20"/>
        </w:rPr>
        <w:t>LO</w:t>
      </w:r>
      <w:r w:rsidRPr="001D6FE6">
        <w:rPr>
          <w:rFonts w:ascii="Abadi" w:hAnsi="Abadi"/>
          <w:b/>
          <w:bCs/>
          <w:spacing w:val="4"/>
          <w:sz w:val="20"/>
          <w:szCs w:val="20"/>
        </w:rPr>
        <w:t xml:space="preserve"> </w:t>
      </w:r>
      <w:r w:rsidRPr="001D6FE6">
        <w:rPr>
          <w:rFonts w:ascii="Abadi" w:hAnsi="Abadi"/>
          <w:b/>
          <w:bCs/>
          <w:sz w:val="20"/>
          <w:szCs w:val="20"/>
        </w:rPr>
        <w:t>QUE</w:t>
      </w:r>
      <w:r w:rsidRPr="001D6FE6">
        <w:rPr>
          <w:rFonts w:ascii="Abadi" w:hAnsi="Abadi"/>
          <w:b/>
          <w:bCs/>
          <w:spacing w:val="4"/>
          <w:sz w:val="20"/>
          <w:szCs w:val="20"/>
        </w:rPr>
        <w:t xml:space="preserve"> </w:t>
      </w:r>
      <w:r w:rsidRPr="001D6FE6">
        <w:rPr>
          <w:rFonts w:ascii="Abadi" w:hAnsi="Abadi"/>
          <w:b/>
          <w:bCs/>
          <w:sz w:val="20"/>
          <w:szCs w:val="20"/>
        </w:rPr>
        <w:t>ENUNCIA</w:t>
      </w:r>
      <w:r w:rsidRPr="001D6FE6">
        <w:rPr>
          <w:rFonts w:ascii="Abadi" w:hAnsi="Abadi"/>
          <w:b/>
          <w:bCs/>
          <w:spacing w:val="4"/>
          <w:sz w:val="20"/>
          <w:szCs w:val="20"/>
        </w:rPr>
        <w:t xml:space="preserve"> </w:t>
      </w:r>
      <w:r w:rsidRPr="001D6FE6">
        <w:rPr>
          <w:rFonts w:ascii="Abadi" w:hAnsi="Abadi"/>
          <w:b/>
          <w:bCs/>
          <w:sz w:val="20"/>
          <w:szCs w:val="20"/>
        </w:rPr>
        <w:t>LA</w:t>
      </w:r>
      <w:r w:rsidRPr="001D6FE6">
        <w:rPr>
          <w:rFonts w:ascii="Abadi" w:hAnsi="Abadi"/>
          <w:b/>
          <w:bCs/>
          <w:spacing w:val="4"/>
          <w:sz w:val="20"/>
          <w:szCs w:val="20"/>
        </w:rPr>
        <w:t xml:space="preserve"> </w:t>
      </w:r>
      <w:r w:rsidRPr="001D6FE6">
        <w:rPr>
          <w:rFonts w:ascii="Abadi" w:hAnsi="Abadi"/>
          <w:b/>
          <w:bCs/>
          <w:sz w:val="20"/>
          <w:szCs w:val="20"/>
        </w:rPr>
        <w:t>LEY</w:t>
      </w:r>
      <w:r w:rsidRPr="001D6FE6">
        <w:rPr>
          <w:rFonts w:ascii="Abadi" w:hAnsi="Abadi"/>
          <w:b/>
          <w:bCs/>
          <w:spacing w:val="4"/>
          <w:sz w:val="20"/>
          <w:szCs w:val="20"/>
        </w:rPr>
        <w:t xml:space="preserve"> </w:t>
      </w:r>
      <w:r w:rsidRPr="001D6FE6">
        <w:rPr>
          <w:rFonts w:ascii="Abadi" w:hAnsi="Abadi"/>
          <w:b/>
          <w:bCs/>
          <w:sz w:val="20"/>
          <w:szCs w:val="20"/>
        </w:rPr>
        <w:t>DE</w:t>
      </w:r>
      <w:r w:rsidRPr="001D6FE6">
        <w:rPr>
          <w:rFonts w:ascii="Abadi" w:hAnsi="Abadi"/>
          <w:b/>
          <w:bCs/>
          <w:spacing w:val="-1"/>
          <w:sz w:val="20"/>
          <w:szCs w:val="20"/>
        </w:rPr>
        <w:t xml:space="preserve"> </w:t>
      </w:r>
      <w:r w:rsidRPr="001D6FE6">
        <w:rPr>
          <w:rFonts w:ascii="Abadi" w:hAnsi="Abadi"/>
          <w:b/>
          <w:bCs/>
          <w:sz w:val="20"/>
          <w:szCs w:val="20"/>
        </w:rPr>
        <w:t>TRANSPARENCIA</w:t>
      </w:r>
      <w:r w:rsidRPr="001D6FE6">
        <w:rPr>
          <w:rFonts w:ascii="Abadi" w:hAnsi="Abadi"/>
          <w:b/>
          <w:bCs/>
          <w:spacing w:val="58"/>
          <w:w w:val="150"/>
          <w:sz w:val="20"/>
          <w:szCs w:val="20"/>
        </w:rPr>
        <w:t xml:space="preserve"> </w:t>
      </w:r>
      <w:r w:rsidRPr="001D6FE6">
        <w:rPr>
          <w:rFonts w:ascii="Abadi" w:hAnsi="Abadi"/>
          <w:b/>
          <w:bCs/>
          <w:sz w:val="20"/>
          <w:szCs w:val="20"/>
        </w:rPr>
        <w:t>Y</w:t>
      </w:r>
      <w:r w:rsidRPr="001D6FE6">
        <w:rPr>
          <w:rFonts w:ascii="Abadi" w:hAnsi="Abadi"/>
          <w:b/>
          <w:bCs/>
          <w:spacing w:val="58"/>
          <w:w w:val="150"/>
          <w:sz w:val="20"/>
          <w:szCs w:val="20"/>
        </w:rPr>
        <w:t xml:space="preserve"> </w:t>
      </w:r>
      <w:r w:rsidRPr="001D6FE6">
        <w:rPr>
          <w:rFonts w:ascii="Abadi" w:hAnsi="Abadi"/>
          <w:b/>
          <w:bCs/>
          <w:sz w:val="20"/>
          <w:szCs w:val="20"/>
        </w:rPr>
        <w:t>ACCESO</w:t>
      </w:r>
      <w:r w:rsidRPr="001D6FE6">
        <w:rPr>
          <w:rFonts w:ascii="Abadi" w:hAnsi="Abadi"/>
          <w:b/>
          <w:bCs/>
          <w:spacing w:val="58"/>
          <w:w w:val="150"/>
          <w:sz w:val="20"/>
          <w:szCs w:val="20"/>
        </w:rPr>
        <w:t xml:space="preserve"> </w:t>
      </w:r>
      <w:r w:rsidRPr="001D6FE6">
        <w:rPr>
          <w:rFonts w:ascii="Abadi" w:hAnsi="Abadi"/>
          <w:b/>
          <w:bCs/>
          <w:sz w:val="20"/>
          <w:szCs w:val="20"/>
        </w:rPr>
        <w:t>A</w:t>
      </w:r>
      <w:r w:rsidRPr="001D6FE6">
        <w:rPr>
          <w:rFonts w:ascii="Abadi" w:hAnsi="Abadi"/>
          <w:b/>
          <w:bCs/>
          <w:spacing w:val="58"/>
          <w:w w:val="150"/>
          <w:sz w:val="20"/>
          <w:szCs w:val="20"/>
        </w:rPr>
        <w:t xml:space="preserve"> </w:t>
      </w:r>
      <w:r w:rsidRPr="001D6FE6">
        <w:rPr>
          <w:rFonts w:ascii="Abadi" w:hAnsi="Abadi"/>
          <w:b/>
          <w:bCs/>
          <w:sz w:val="20"/>
          <w:szCs w:val="20"/>
        </w:rPr>
        <w:t>LA</w:t>
      </w:r>
      <w:r w:rsidRPr="001D6FE6">
        <w:rPr>
          <w:rFonts w:ascii="Abadi" w:hAnsi="Abadi"/>
          <w:b/>
          <w:bCs/>
          <w:spacing w:val="58"/>
          <w:w w:val="150"/>
          <w:sz w:val="20"/>
          <w:szCs w:val="20"/>
        </w:rPr>
        <w:t xml:space="preserve"> </w:t>
      </w:r>
      <w:r w:rsidRPr="001D6FE6">
        <w:rPr>
          <w:rFonts w:ascii="Abadi" w:hAnsi="Abadi"/>
          <w:b/>
          <w:bCs/>
          <w:sz w:val="20"/>
          <w:szCs w:val="20"/>
        </w:rPr>
        <w:t>INFORMACIÓN</w:t>
      </w:r>
      <w:r w:rsidRPr="001D6FE6">
        <w:rPr>
          <w:rFonts w:ascii="Abadi" w:hAnsi="Abadi"/>
          <w:b/>
          <w:bCs/>
          <w:spacing w:val="58"/>
          <w:w w:val="150"/>
          <w:sz w:val="20"/>
          <w:szCs w:val="20"/>
        </w:rPr>
        <w:t xml:space="preserve"> </w:t>
      </w:r>
      <w:r w:rsidRPr="001D6FE6">
        <w:rPr>
          <w:rFonts w:ascii="Abadi" w:hAnsi="Abadi"/>
          <w:b/>
          <w:bCs/>
          <w:sz w:val="20"/>
          <w:szCs w:val="20"/>
        </w:rPr>
        <w:t>PÚBLICA</w:t>
      </w:r>
      <w:r w:rsidRPr="001D6FE6">
        <w:rPr>
          <w:rFonts w:ascii="Abadi" w:hAnsi="Abadi"/>
          <w:b/>
          <w:bCs/>
          <w:spacing w:val="58"/>
          <w:w w:val="150"/>
          <w:sz w:val="20"/>
          <w:szCs w:val="20"/>
        </w:rPr>
        <w:t xml:space="preserve"> </w:t>
      </w:r>
      <w:r w:rsidRPr="001D6FE6">
        <w:rPr>
          <w:rFonts w:ascii="Abadi" w:hAnsi="Abadi"/>
          <w:b/>
          <w:bCs/>
          <w:sz w:val="20"/>
          <w:szCs w:val="20"/>
        </w:rPr>
        <w:t>PARA</w:t>
      </w:r>
      <w:r w:rsidRPr="001D6FE6">
        <w:rPr>
          <w:rFonts w:ascii="Abadi" w:hAnsi="Abadi"/>
          <w:b/>
          <w:bCs/>
          <w:spacing w:val="58"/>
          <w:w w:val="150"/>
          <w:sz w:val="20"/>
          <w:szCs w:val="20"/>
        </w:rPr>
        <w:t xml:space="preserve"> </w:t>
      </w:r>
      <w:r w:rsidRPr="001D6FE6">
        <w:rPr>
          <w:rFonts w:ascii="Abadi" w:hAnsi="Abadi"/>
          <w:b/>
          <w:bCs/>
          <w:sz w:val="20"/>
          <w:szCs w:val="20"/>
        </w:rPr>
        <w:t>EL</w:t>
      </w:r>
      <w:r w:rsidRPr="001D6FE6">
        <w:rPr>
          <w:rFonts w:ascii="Abadi" w:hAnsi="Abadi"/>
          <w:b/>
          <w:bCs/>
          <w:spacing w:val="58"/>
          <w:w w:val="150"/>
          <w:sz w:val="20"/>
          <w:szCs w:val="20"/>
        </w:rPr>
        <w:t xml:space="preserve"> </w:t>
      </w:r>
      <w:r w:rsidRPr="001D6FE6">
        <w:rPr>
          <w:rFonts w:ascii="Abadi" w:hAnsi="Abadi"/>
          <w:b/>
          <w:bCs/>
          <w:sz w:val="20"/>
          <w:szCs w:val="20"/>
        </w:rPr>
        <w:t>ESTADO</w:t>
      </w:r>
      <w:r w:rsidRPr="001D6FE6">
        <w:rPr>
          <w:rFonts w:ascii="Abadi" w:hAnsi="Abadi"/>
          <w:b/>
          <w:bCs/>
          <w:spacing w:val="58"/>
          <w:w w:val="150"/>
          <w:sz w:val="20"/>
          <w:szCs w:val="20"/>
        </w:rPr>
        <w:t xml:space="preserve"> </w:t>
      </w:r>
      <w:r w:rsidRPr="001D6FE6">
        <w:rPr>
          <w:rFonts w:ascii="Abadi" w:hAnsi="Abadi"/>
          <w:b/>
          <w:bCs/>
          <w:sz w:val="20"/>
          <w:szCs w:val="20"/>
        </w:rPr>
        <w:t>DE</w:t>
      </w:r>
      <w:r w:rsidRPr="001D6FE6">
        <w:rPr>
          <w:rFonts w:ascii="Abadi" w:hAnsi="Abadi"/>
          <w:b/>
          <w:bCs/>
          <w:spacing w:val="-1"/>
          <w:sz w:val="20"/>
          <w:szCs w:val="20"/>
        </w:rPr>
        <w:t xml:space="preserve"> </w:t>
      </w:r>
      <w:r w:rsidRPr="001D6FE6">
        <w:rPr>
          <w:rFonts w:ascii="Abadi" w:hAnsi="Abadi"/>
          <w:b/>
          <w:bCs/>
          <w:sz w:val="20"/>
          <w:szCs w:val="20"/>
        </w:rPr>
        <w:t>GUANAJUATO,</w:t>
      </w:r>
      <w:r w:rsidRPr="001D6FE6">
        <w:rPr>
          <w:rFonts w:ascii="Abadi" w:hAnsi="Abadi"/>
          <w:b/>
          <w:bCs/>
          <w:spacing w:val="39"/>
          <w:sz w:val="20"/>
          <w:szCs w:val="20"/>
        </w:rPr>
        <w:t xml:space="preserve"> </w:t>
      </w:r>
      <w:r w:rsidRPr="001D6FE6">
        <w:rPr>
          <w:rFonts w:ascii="Abadi" w:hAnsi="Abadi"/>
          <w:b/>
          <w:bCs/>
          <w:sz w:val="20"/>
          <w:szCs w:val="20"/>
        </w:rPr>
        <w:t>INCLUYA</w:t>
      </w:r>
      <w:r w:rsidRPr="001D6FE6">
        <w:rPr>
          <w:rFonts w:ascii="Abadi" w:hAnsi="Abadi"/>
          <w:b/>
          <w:bCs/>
          <w:spacing w:val="38"/>
          <w:sz w:val="20"/>
          <w:szCs w:val="20"/>
        </w:rPr>
        <w:t xml:space="preserve"> </w:t>
      </w:r>
      <w:r w:rsidRPr="001D6FE6">
        <w:rPr>
          <w:rFonts w:ascii="Abadi" w:hAnsi="Abadi"/>
          <w:b/>
          <w:bCs/>
          <w:sz w:val="20"/>
          <w:szCs w:val="20"/>
        </w:rPr>
        <w:t>A</w:t>
      </w:r>
      <w:r w:rsidRPr="001D6FE6">
        <w:rPr>
          <w:rFonts w:ascii="Abadi" w:hAnsi="Abadi"/>
          <w:b/>
          <w:bCs/>
          <w:spacing w:val="39"/>
          <w:sz w:val="20"/>
          <w:szCs w:val="20"/>
        </w:rPr>
        <w:t xml:space="preserve"> </w:t>
      </w:r>
      <w:r w:rsidRPr="001D6FE6">
        <w:rPr>
          <w:rFonts w:ascii="Abadi" w:hAnsi="Abadi"/>
          <w:b/>
          <w:bCs/>
          <w:sz w:val="20"/>
          <w:szCs w:val="20"/>
        </w:rPr>
        <w:t>GTO</w:t>
      </w:r>
      <w:r w:rsidRPr="001D6FE6">
        <w:rPr>
          <w:rFonts w:ascii="Abadi" w:hAnsi="Abadi"/>
          <w:b/>
          <w:bCs/>
          <w:spacing w:val="39"/>
          <w:sz w:val="20"/>
          <w:szCs w:val="20"/>
        </w:rPr>
        <w:t xml:space="preserve"> </w:t>
      </w:r>
      <w:r w:rsidRPr="001D6FE6">
        <w:rPr>
          <w:rFonts w:ascii="Abadi" w:hAnsi="Abadi"/>
          <w:b/>
          <w:bCs/>
          <w:sz w:val="20"/>
          <w:szCs w:val="20"/>
        </w:rPr>
        <w:t>LEASING</w:t>
      </w:r>
      <w:r w:rsidRPr="001D6FE6">
        <w:rPr>
          <w:rFonts w:ascii="Abadi" w:hAnsi="Abadi"/>
          <w:b/>
          <w:bCs/>
          <w:spacing w:val="39"/>
          <w:sz w:val="20"/>
          <w:szCs w:val="20"/>
        </w:rPr>
        <w:t xml:space="preserve"> </w:t>
      </w:r>
      <w:r w:rsidRPr="001D6FE6">
        <w:rPr>
          <w:rFonts w:ascii="Abadi" w:hAnsi="Abadi"/>
          <w:b/>
          <w:bCs/>
          <w:sz w:val="20"/>
          <w:szCs w:val="20"/>
        </w:rPr>
        <w:t>SERVICES</w:t>
      </w:r>
      <w:r w:rsidRPr="001D6FE6">
        <w:rPr>
          <w:rFonts w:ascii="Abadi" w:hAnsi="Abadi"/>
          <w:b/>
          <w:bCs/>
          <w:spacing w:val="39"/>
          <w:sz w:val="20"/>
          <w:szCs w:val="20"/>
        </w:rPr>
        <w:t xml:space="preserve"> </w:t>
      </w:r>
      <w:r w:rsidRPr="001D6FE6">
        <w:rPr>
          <w:rFonts w:ascii="Abadi" w:hAnsi="Abadi"/>
          <w:b/>
          <w:bCs/>
          <w:sz w:val="20"/>
          <w:szCs w:val="20"/>
        </w:rPr>
        <w:t>S.A.P.I.</w:t>
      </w:r>
      <w:r w:rsidRPr="001D6FE6">
        <w:rPr>
          <w:rFonts w:ascii="Abadi" w:hAnsi="Abadi"/>
          <w:b/>
          <w:bCs/>
          <w:spacing w:val="39"/>
          <w:sz w:val="20"/>
          <w:szCs w:val="20"/>
        </w:rPr>
        <w:t xml:space="preserve"> </w:t>
      </w:r>
      <w:r w:rsidRPr="001D6FE6">
        <w:rPr>
          <w:rFonts w:ascii="Abadi" w:hAnsi="Abadi"/>
          <w:b/>
          <w:bCs/>
          <w:sz w:val="20"/>
          <w:szCs w:val="20"/>
        </w:rPr>
        <w:t>DE</w:t>
      </w:r>
      <w:r w:rsidRPr="001D6FE6">
        <w:rPr>
          <w:rFonts w:ascii="Abadi" w:hAnsi="Abadi"/>
          <w:b/>
          <w:bCs/>
          <w:spacing w:val="39"/>
          <w:sz w:val="20"/>
          <w:szCs w:val="20"/>
        </w:rPr>
        <w:t xml:space="preserve"> </w:t>
      </w:r>
      <w:r w:rsidRPr="001D6FE6">
        <w:rPr>
          <w:rFonts w:ascii="Abadi" w:hAnsi="Abadi"/>
          <w:b/>
          <w:bCs/>
          <w:sz w:val="20"/>
          <w:szCs w:val="20"/>
        </w:rPr>
        <w:t>C.V.,</w:t>
      </w:r>
      <w:r w:rsidRPr="001D6FE6">
        <w:rPr>
          <w:rFonts w:ascii="Abadi" w:hAnsi="Abadi"/>
          <w:b/>
          <w:bCs/>
          <w:spacing w:val="39"/>
          <w:sz w:val="20"/>
          <w:szCs w:val="20"/>
        </w:rPr>
        <w:t xml:space="preserve"> </w:t>
      </w:r>
      <w:r w:rsidRPr="001D6FE6">
        <w:rPr>
          <w:rFonts w:ascii="Abadi" w:hAnsi="Abadi"/>
          <w:b/>
          <w:bCs/>
          <w:sz w:val="20"/>
          <w:szCs w:val="20"/>
        </w:rPr>
        <w:t>SOFOM, E.N.R</w:t>
      </w:r>
      <w:r w:rsidRPr="001D6FE6">
        <w:rPr>
          <w:rFonts w:ascii="Abadi" w:hAnsi="Abadi"/>
          <w:b/>
          <w:bCs/>
          <w:spacing w:val="80"/>
          <w:sz w:val="20"/>
          <w:szCs w:val="20"/>
        </w:rPr>
        <w:t xml:space="preserve"> </w:t>
      </w:r>
      <w:r w:rsidRPr="001D6FE6">
        <w:rPr>
          <w:rFonts w:ascii="Abadi" w:hAnsi="Abadi"/>
          <w:b/>
          <w:bCs/>
          <w:sz w:val="20"/>
          <w:szCs w:val="20"/>
        </w:rPr>
        <w:t>EMPRESA</w:t>
      </w:r>
      <w:r w:rsidRPr="001D6FE6">
        <w:rPr>
          <w:rFonts w:ascii="Abadi" w:hAnsi="Abadi"/>
          <w:b/>
          <w:bCs/>
          <w:spacing w:val="80"/>
          <w:sz w:val="20"/>
          <w:szCs w:val="20"/>
        </w:rPr>
        <w:t xml:space="preserve"> </w:t>
      </w:r>
      <w:r w:rsidRPr="001D6FE6">
        <w:rPr>
          <w:rFonts w:ascii="Abadi" w:hAnsi="Abadi"/>
          <w:b/>
          <w:bCs/>
          <w:sz w:val="20"/>
          <w:szCs w:val="20"/>
        </w:rPr>
        <w:t>EQUIPARADA</w:t>
      </w:r>
      <w:r w:rsidRPr="001D6FE6">
        <w:rPr>
          <w:rFonts w:ascii="Abadi" w:hAnsi="Abadi"/>
          <w:b/>
          <w:bCs/>
          <w:spacing w:val="80"/>
          <w:sz w:val="20"/>
          <w:szCs w:val="20"/>
        </w:rPr>
        <w:t xml:space="preserve"> </w:t>
      </w:r>
      <w:r w:rsidRPr="001D6FE6">
        <w:rPr>
          <w:rFonts w:ascii="Abadi" w:hAnsi="Abadi"/>
          <w:b/>
          <w:bCs/>
          <w:sz w:val="20"/>
          <w:szCs w:val="20"/>
        </w:rPr>
        <w:t>DE</w:t>
      </w:r>
      <w:r w:rsidRPr="001D6FE6">
        <w:rPr>
          <w:rFonts w:ascii="Abadi" w:hAnsi="Abadi"/>
          <w:b/>
          <w:bCs/>
          <w:spacing w:val="80"/>
          <w:sz w:val="20"/>
          <w:szCs w:val="20"/>
        </w:rPr>
        <w:t xml:space="preserve"> </w:t>
      </w:r>
      <w:r w:rsidRPr="001D6FE6">
        <w:rPr>
          <w:rFonts w:ascii="Abadi" w:hAnsi="Abadi"/>
          <w:b/>
          <w:bCs/>
          <w:sz w:val="20"/>
          <w:szCs w:val="20"/>
        </w:rPr>
        <w:t>PARTICIPACIÓN</w:t>
      </w:r>
      <w:r w:rsidRPr="001D6FE6">
        <w:rPr>
          <w:rFonts w:ascii="Abadi" w:hAnsi="Abadi"/>
          <w:b/>
          <w:bCs/>
          <w:spacing w:val="80"/>
          <w:sz w:val="20"/>
          <w:szCs w:val="20"/>
        </w:rPr>
        <w:t xml:space="preserve"> </w:t>
      </w:r>
      <w:r w:rsidRPr="001D6FE6">
        <w:rPr>
          <w:rFonts w:ascii="Abadi" w:hAnsi="Abadi"/>
          <w:b/>
          <w:bCs/>
          <w:sz w:val="20"/>
          <w:szCs w:val="20"/>
        </w:rPr>
        <w:t>ESTATAL</w:t>
      </w:r>
      <w:r w:rsidRPr="001D6FE6">
        <w:rPr>
          <w:rFonts w:ascii="Abadi" w:hAnsi="Abadi"/>
          <w:b/>
          <w:bCs/>
          <w:spacing w:val="80"/>
          <w:sz w:val="20"/>
          <w:szCs w:val="20"/>
        </w:rPr>
        <w:t xml:space="preserve"> </w:t>
      </w:r>
      <w:r w:rsidRPr="001D6FE6">
        <w:rPr>
          <w:rFonts w:ascii="Abadi" w:hAnsi="Abadi"/>
          <w:b/>
          <w:bCs/>
          <w:sz w:val="20"/>
          <w:szCs w:val="20"/>
        </w:rPr>
        <w:t>MAYORITARIA,</w:t>
      </w:r>
      <w:r w:rsidRPr="001D6FE6">
        <w:rPr>
          <w:rFonts w:ascii="Abadi" w:hAnsi="Abadi"/>
          <w:b/>
          <w:bCs/>
          <w:spacing w:val="80"/>
          <w:sz w:val="20"/>
          <w:szCs w:val="20"/>
        </w:rPr>
        <w:t xml:space="preserve"> </w:t>
      </w:r>
      <w:r w:rsidRPr="001D6FE6">
        <w:rPr>
          <w:rFonts w:ascii="Abadi" w:hAnsi="Abadi"/>
          <w:b/>
          <w:bCs/>
          <w:sz w:val="20"/>
          <w:szCs w:val="20"/>
        </w:rPr>
        <w:t>EN</w:t>
      </w:r>
      <w:r w:rsidRPr="001D6FE6">
        <w:rPr>
          <w:rFonts w:ascii="Abadi" w:hAnsi="Abadi"/>
          <w:b/>
          <w:bCs/>
          <w:spacing w:val="80"/>
          <w:sz w:val="20"/>
          <w:szCs w:val="20"/>
        </w:rPr>
        <w:t xml:space="preserve"> </w:t>
      </w:r>
      <w:r w:rsidRPr="001D6FE6">
        <w:rPr>
          <w:rFonts w:ascii="Abadi" w:hAnsi="Abadi"/>
          <w:b/>
          <w:bCs/>
          <w:sz w:val="20"/>
          <w:szCs w:val="20"/>
        </w:rPr>
        <w:t>EL PADRÓN</w:t>
      </w:r>
      <w:r w:rsidRPr="001D6FE6">
        <w:rPr>
          <w:rFonts w:ascii="Abadi" w:hAnsi="Abadi"/>
          <w:b/>
          <w:bCs/>
          <w:spacing w:val="13"/>
          <w:sz w:val="20"/>
          <w:szCs w:val="20"/>
        </w:rPr>
        <w:t xml:space="preserve"> </w:t>
      </w:r>
      <w:r w:rsidRPr="001D6FE6">
        <w:rPr>
          <w:rFonts w:ascii="Abadi" w:hAnsi="Abadi"/>
          <w:b/>
          <w:bCs/>
          <w:sz w:val="20"/>
          <w:szCs w:val="20"/>
        </w:rPr>
        <w:t>DE</w:t>
      </w:r>
      <w:r w:rsidRPr="001D6FE6">
        <w:rPr>
          <w:rFonts w:ascii="Abadi" w:hAnsi="Abadi"/>
          <w:b/>
          <w:bCs/>
          <w:spacing w:val="13"/>
          <w:sz w:val="20"/>
          <w:szCs w:val="20"/>
        </w:rPr>
        <w:t xml:space="preserve"> </w:t>
      </w:r>
      <w:r w:rsidRPr="001D6FE6">
        <w:rPr>
          <w:rFonts w:ascii="Abadi" w:hAnsi="Abadi"/>
          <w:b/>
          <w:bCs/>
          <w:sz w:val="20"/>
          <w:szCs w:val="20"/>
        </w:rPr>
        <w:t>SUJETOS</w:t>
      </w:r>
      <w:r w:rsidRPr="001D6FE6">
        <w:rPr>
          <w:rFonts w:ascii="Abadi" w:hAnsi="Abadi"/>
          <w:b/>
          <w:bCs/>
          <w:spacing w:val="13"/>
          <w:sz w:val="20"/>
          <w:szCs w:val="20"/>
        </w:rPr>
        <w:t xml:space="preserve"> </w:t>
      </w:r>
      <w:r w:rsidRPr="001D6FE6">
        <w:rPr>
          <w:rFonts w:ascii="Abadi" w:hAnsi="Abadi"/>
          <w:b/>
          <w:bCs/>
          <w:sz w:val="20"/>
          <w:szCs w:val="20"/>
        </w:rPr>
        <w:t>OBLIGADOS</w:t>
      </w:r>
      <w:r w:rsidRPr="001D6FE6">
        <w:rPr>
          <w:rFonts w:ascii="Abadi" w:hAnsi="Abadi"/>
          <w:b/>
          <w:bCs/>
          <w:spacing w:val="13"/>
          <w:sz w:val="20"/>
          <w:szCs w:val="20"/>
        </w:rPr>
        <w:t xml:space="preserve"> </w:t>
      </w:r>
      <w:r w:rsidRPr="001D6FE6">
        <w:rPr>
          <w:rFonts w:ascii="Abadi" w:hAnsi="Abadi"/>
          <w:b/>
          <w:bCs/>
          <w:sz w:val="20"/>
          <w:szCs w:val="20"/>
        </w:rPr>
        <w:t>PARA</w:t>
      </w:r>
      <w:r w:rsidRPr="001D6FE6">
        <w:rPr>
          <w:rFonts w:ascii="Abadi" w:hAnsi="Abadi"/>
          <w:b/>
          <w:bCs/>
          <w:spacing w:val="13"/>
          <w:sz w:val="20"/>
          <w:szCs w:val="20"/>
        </w:rPr>
        <w:t xml:space="preserve"> </w:t>
      </w:r>
      <w:r w:rsidRPr="001D6FE6">
        <w:rPr>
          <w:rFonts w:ascii="Abadi" w:hAnsi="Abadi"/>
          <w:b/>
          <w:bCs/>
          <w:sz w:val="20"/>
          <w:szCs w:val="20"/>
        </w:rPr>
        <w:t>EFECTOS</w:t>
      </w:r>
      <w:r w:rsidRPr="001D6FE6">
        <w:rPr>
          <w:rFonts w:ascii="Abadi" w:hAnsi="Abadi"/>
          <w:b/>
          <w:bCs/>
          <w:spacing w:val="13"/>
          <w:sz w:val="20"/>
          <w:szCs w:val="20"/>
        </w:rPr>
        <w:t xml:space="preserve"> </w:t>
      </w:r>
      <w:r w:rsidRPr="001D6FE6">
        <w:rPr>
          <w:rFonts w:ascii="Abadi" w:hAnsi="Abadi"/>
          <w:b/>
          <w:bCs/>
          <w:sz w:val="20"/>
          <w:szCs w:val="20"/>
        </w:rPr>
        <w:t>DE</w:t>
      </w:r>
      <w:r w:rsidRPr="001D6FE6">
        <w:rPr>
          <w:rFonts w:ascii="Abadi" w:hAnsi="Abadi"/>
          <w:b/>
          <w:bCs/>
          <w:spacing w:val="13"/>
          <w:sz w:val="20"/>
          <w:szCs w:val="20"/>
        </w:rPr>
        <w:t xml:space="preserve"> </w:t>
      </w:r>
      <w:r w:rsidRPr="001D6FE6">
        <w:rPr>
          <w:rFonts w:ascii="Abadi" w:hAnsi="Abadi"/>
          <w:b/>
          <w:bCs/>
          <w:sz w:val="20"/>
          <w:szCs w:val="20"/>
        </w:rPr>
        <w:t>CUMPLIR</w:t>
      </w:r>
      <w:r w:rsidRPr="001D6FE6">
        <w:rPr>
          <w:rFonts w:ascii="Abadi" w:hAnsi="Abadi"/>
          <w:b/>
          <w:bCs/>
          <w:spacing w:val="13"/>
          <w:sz w:val="20"/>
          <w:szCs w:val="20"/>
        </w:rPr>
        <w:t xml:space="preserve"> </w:t>
      </w:r>
      <w:r w:rsidRPr="001D6FE6">
        <w:rPr>
          <w:rFonts w:ascii="Abadi" w:hAnsi="Abadi"/>
          <w:b/>
          <w:bCs/>
          <w:sz w:val="20"/>
          <w:szCs w:val="20"/>
        </w:rPr>
        <w:t>CON</w:t>
      </w:r>
      <w:r w:rsidRPr="001D6FE6">
        <w:rPr>
          <w:rFonts w:ascii="Abadi" w:hAnsi="Abadi"/>
          <w:b/>
          <w:bCs/>
          <w:spacing w:val="13"/>
          <w:sz w:val="20"/>
          <w:szCs w:val="20"/>
        </w:rPr>
        <w:t xml:space="preserve"> </w:t>
      </w:r>
      <w:r w:rsidRPr="001D6FE6">
        <w:rPr>
          <w:rFonts w:ascii="Abadi" w:hAnsi="Abadi"/>
          <w:b/>
          <w:bCs/>
          <w:sz w:val="20"/>
          <w:szCs w:val="20"/>
        </w:rPr>
        <w:t>LAS</w:t>
      </w:r>
      <w:r w:rsidRPr="001D6FE6">
        <w:rPr>
          <w:rFonts w:ascii="Abadi" w:hAnsi="Abadi"/>
          <w:b/>
          <w:bCs/>
          <w:spacing w:val="13"/>
          <w:sz w:val="20"/>
          <w:szCs w:val="20"/>
        </w:rPr>
        <w:t xml:space="preserve"> </w:t>
      </w:r>
      <w:r w:rsidRPr="001D6FE6">
        <w:rPr>
          <w:rFonts w:ascii="Abadi" w:hAnsi="Abadi"/>
          <w:b/>
          <w:bCs/>
          <w:sz w:val="20"/>
          <w:szCs w:val="20"/>
        </w:rPr>
        <w:t>OBLIGACIONES DE</w:t>
      </w:r>
      <w:r w:rsidRPr="001D6FE6">
        <w:rPr>
          <w:rFonts w:ascii="Abadi" w:hAnsi="Abadi"/>
          <w:b/>
          <w:bCs/>
          <w:spacing w:val="-13"/>
          <w:sz w:val="20"/>
          <w:szCs w:val="20"/>
        </w:rPr>
        <w:t xml:space="preserve"> </w:t>
      </w:r>
      <w:r w:rsidRPr="001D6FE6">
        <w:rPr>
          <w:rFonts w:ascii="Abadi" w:hAnsi="Abadi"/>
          <w:b/>
          <w:bCs/>
          <w:sz w:val="20"/>
          <w:szCs w:val="20"/>
        </w:rPr>
        <w:t>LA</w:t>
      </w:r>
      <w:r w:rsidRPr="001D6FE6">
        <w:rPr>
          <w:rFonts w:ascii="Abadi" w:hAnsi="Abadi"/>
          <w:b/>
          <w:bCs/>
          <w:spacing w:val="-13"/>
          <w:sz w:val="20"/>
          <w:szCs w:val="20"/>
        </w:rPr>
        <w:t xml:space="preserve"> </w:t>
      </w:r>
      <w:r w:rsidRPr="001D6FE6">
        <w:rPr>
          <w:rFonts w:ascii="Abadi" w:hAnsi="Abadi"/>
          <w:b/>
          <w:bCs/>
          <w:sz w:val="20"/>
          <w:szCs w:val="20"/>
        </w:rPr>
        <w:t>LEY</w:t>
      </w:r>
      <w:r w:rsidRPr="001D6FE6">
        <w:rPr>
          <w:rFonts w:ascii="Abadi" w:hAnsi="Abadi"/>
          <w:b/>
          <w:bCs/>
          <w:spacing w:val="-13"/>
          <w:sz w:val="20"/>
          <w:szCs w:val="20"/>
        </w:rPr>
        <w:t xml:space="preserve"> </w:t>
      </w:r>
      <w:r w:rsidRPr="001D6FE6">
        <w:rPr>
          <w:rFonts w:ascii="Abadi" w:hAnsi="Abadi"/>
          <w:b/>
          <w:bCs/>
          <w:sz w:val="20"/>
          <w:szCs w:val="20"/>
        </w:rPr>
        <w:t>DE</w:t>
      </w:r>
      <w:r w:rsidRPr="001D6FE6">
        <w:rPr>
          <w:rFonts w:ascii="Abadi" w:hAnsi="Abadi"/>
          <w:b/>
          <w:bCs/>
          <w:spacing w:val="-13"/>
          <w:sz w:val="20"/>
          <w:szCs w:val="20"/>
        </w:rPr>
        <w:t xml:space="preserve"> </w:t>
      </w:r>
      <w:r w:rsidRPr="001D6FE6">
        <w:rPr>
          <w:rFonts w:ascii="Abadi" w:hAnsi="Abadi"/>
          <w:b/>
          <w:bCs/>
          <w:sz w:val="20"/>
          <w:szCs w:val="20"/>
        </w:rPr>
        <w:t>TRANSPARENCIA</w:t>
      </w:r>
      <w:r w:rsidRPr="001D6FE6">
        <w:rPr>
          <w:rFonts w:ascii="Abadi" w:hAnsi="Abadi"/>
          <w:b/>
          <w:bCs/>
          <w:spacing w:val="-13"/>
          <w:sz w:val="20"/>
          <w:szCs w:val="20"/>
        </w:rPr>
        <w:t xml:space="preserve"> </w:t>
      </w:r>
      <w:r w:rsidRPr="001D6FE6">
        <w:rPr>
          <w:rFonts w:ascii="Abadi" w:hAnsi="Abadi"/>
          <w:b/>
          <w:bCs/>
          <w:sz w:val="20"/>
          <w:szCs w:val="20"/>
        </w:rPr>
        <w:t>Y</w:t>
      </w:r>
      <w:r w:rsidRPr="001D6FE6">
        <w:rPr>
          <w:rFonts w:ascii="Abadi" w:hAnsi="Abadi"/>
          <w:b/>
          <w:bCs/>
          <w:spacing w:val="-13"/>
          <w:sz w:val="20"/>
          <w:szCs w:val="20"/>
        </w:rPr>
        <w:t xml:space="preserve"> </w:t>
      </w:r>
      <w:r w:rsidRPr="001D6FE6">
        <w:rPr>
          <w:rFonts w:ascii="Abadi" w:hAnsi="Abadi"/>
          <w:b/>
          <w:bCs/>
          <w:sz w:val="20"/>
          <w:szCs w:val="20"/>
        </w:rPr>
        <w:t>ACCESO</w:t>
      </w:r>
      <w:r w:rsidRPr="001D6FE6">
        <w:rPr>
          <w:rFonts w:ascii="Abadi" w:hAnsi="Abadi"/>
          <w:b/>
          <w:bCs/>
          <w:spacing w:val="-13"/>
          <w:sz w:val="20"/>
          <w:szCs w:val="20"/>
        </w:rPr>
        <w:t xml:space="preserve"> </w:t>
      </w:r>
      <w:r w:rsidRPr="001D6FE6">
        <w:rPr>
          <w:rFonts w:ascii="Abadi" w:hAnsi="Abadi"/>
          <w:b/>
          <w:bCs/>
          <w:sz w:val="20"/>
          <w:szCs w:val="20"/>
        </w:rPr>
        <w:t>A</w:t>
      </w:r>
      <w:r w:rsidRPr="001D6FE6">
        <w:rPr>
          <w:rFonts w:ascii="Abadi" w:hAnsi="Abadi"/>
          <w:b/>
          <w:bCs/>
          <w:spacing w:val="-13"/>
          <w:sz w:val="20"/>
          <w:szCs w:val="20"/>
        </w:rPr>
        <w:t xml:space="preserve"> </w:t>
      </w:r>
      <w:r w:rsidRPr="001D6FE6">
        <w:rPr>
          <w:rFonts w:ascii="Abadi" w:hAnsi="Abadi"/>
          <w:b/>
          <w:bCs/>
          <w:sz w:val="20"/>
          <w:szCs w:val="20"/>
        </w:rPr>
        <w:t>LA</w:t>
      </w:r>
      <w:r w:rsidRPr="001D6FE6">
        <w:rPr>
          <w:rFonts w:ascii="Abadi" w:hAnsi="Abadi"/>
          <w:b/>
          <w:bCs/>
          <w:spacing w:val="-12"/>
          <w:sz w:val="20"/>
          <w:szCs w:val="20"/>
        </w:rPr>
        <w:t xml:space="preserve"> </w:t>
      </w:r>
      <w:r w:rsidRPr="001D6FE6">
        <w:rPr>
          <w:rFonts w:ascii="Abadi" w:hAnsi="Abadi"/>
          <w:b/>
          <w:bCs/>
          <w:sz w:val="20"/>
          <w:szCs w:val="20"/>
        </w:rPr>
        <w:t>INFORMACIÓN</w:t>
      </w:r>
      <w:r w:rsidRPr="001D6FE6">
        <w:rPr>
          <w:rFonts w:ascii="Abadi" w:hAnsi="Abadi"/>
          <w:b/>
          <w:bCs/>
          <w:spacing w:val="-13"/>
          <w:sz w:val="20"/>
          <w:szCs w:val="20"/>
        </w:rPr>
        <w:t xml:space="preserve"> </w:t>
      </w:r>
      <w:r w:rsidRPr="001D6FE6">
        <w:rPr>
          <w:rFonts w:ascii="Abadi" w:hAnsi="Abadi"/>
          <w:b/>
          <w:bCs/>
          <w:sz w:val="20"/>
          <w:szCs w:val="20"/>
        </w:rPr>
        <w:t>PÚBLICA</w:t>
      </w:r>
      <w:r w:rsidRPr="001D6FE6">
        <w:rPr>
          <w:rFonts w:ascii="Abadi" w:hAnsi="Abadi"/>
          <w:b/>
          <w:bCs/>
          <w:spacing w:val="-13"/>
          <w:sz w:val="20"/>
          <w:szCs w:val="20"/>
        </w:rPr>
        <w:t xml:space="preserve"> </w:t>
      </w:r>
      <w:r w:rsidRPr="001D6FE6">
        <w:rPr>
          <w:rFonts w:ascii="Abadi" w:hAnsi="Abadi"/>
          <w:b/>
          <w:bCs/>
          <w:sz w:val="20"/>
          <w:szCs w:val="20"/>
        </w:rPr>
        <w:t>PARA</w:t>
      </w:r>
      <w:r w:rsidRPr="001D6FE6">
        <w:rPr>
          <w:rFonts w:ascii="Abadi" w:hAnsi="Abadi"/>
          <w:b/>
          <w:bCs/>
          <w:spacing w:val="-13"/>
          <w:sz w:val="20"/>
          <w:szCs w:val="20"/>
        </w:rPr>
        <w:t xml:space="preserve"> </w:t>
      </w:r>
      <w:r w:rsidRPr="001D6FE6">
        <w:rPr>
          <w:rFonts w:ascii="Abadi" w:hAnsi="Abadi"/>
          <w:b/>
          <w:bCs/>
          <w:sz w:val="20"/>
          <w:szCs w:val="20"/>
        </w:rPr>
        <w:t>EL</w:t>
      </w:r>
      <w:r w:rsidRPr="001D6FE6">
        <w:rPr>
          <w:rFonts w:ascii="Abadi" w:hAnsi="Abadi"/>
          <w:b/>
          <w:bCs/>
          <w:spacing w:val="-13"/>
          <w:sz w:val="20"/>
          <w:szCs w:val="20"/>
        </w:rPr>
        <w:t xml:space="preserve"> </w:t>
      </w:r>
      <w:r w:rsidRPr="001D6FE6">
        <w:rPr>
          <w:rFonts w:ascii="Abadi" w:hAnsi="Abadi"/>
          <w:b/>
          <w:bCs/>
          <w:sz w:val="20"/>
          <w:szCs w:val="20"/>
        </w:rPr>
        <w:t>ESTADO DE GUANAJUATO Y, EN SU CASO, APROBACIÓN DE LA MISMA</w:t>
      </w:r>
      <w:r w:rsidR="001D6FE6" w:rsidRPr="001D6FE6">
        <w:rPr>
          <w:rFonts w:ascii="Abadi" w:hAnsi="Abadi"/>
          <w:b/>
          <w:bCs/>
          <w:sz w:val="20"/>
          <w:szCs w:val="20"/>
        </w:rPr>
        <w:t>.</w:t>
      </w:r>
    </w:p>
    <w:p w14:paraId="4351A5C8" w14:textId="77777777" w:rsidR="001D6FE6" w:rsidRPr="001D6FE6" w:rsidRDefault="001D6FE6" w:rsidP="001D6FE6">
      <w:pPr>
        <w:pStyle w:val="Prrafodelista"/>
        <w:rPr>
          <w:rFonts w:ascii="Abadi" w:hAnsi="Abadi"/>
          <w:b/>
          <w:bCs/>
          <w:sz w:val="20"/>
          <w:szCs w:val="20"/>
        </w:rPr>
      </w:pPr>
    </w:p>
    <w:p w14:paraId="57639987" w14:textId="4E1B584A" w:rsidR="001D6FE6" w:rsidRPr="00BA5BE9" w:rsidRDefault="001D6FE6" w:rsidP="001D6FE6">
      <w:pPr>
        <w:pStyle w:val="Default"/>
        <w:jc w:val="both"/>
        <w:rPr>
          <w:rFonts w:ascii="Abadi" w:hAnsi="Abadi"/>
          <w:sz w:val="21"/>
          <w:szCs w:val="21"/>
        </w:rPr>
      </w:pPr>
      <w:r w:rsidRPr="00BA5BE9">
        <w:rPr>
          <w:rFonts w:ascii="Abadi" w:hAnsi="Abadi"/>
          <w:b/>
          <w:bCs/>
          <w:sz w:val="21"/>
          <w:szCs w:val="21"/>
        </w:rPr>
        <w:t xml:space="preserve">DIP. IRMA LETICIA GONZÁLEZ SÁNCHEZ </w:t>
      </w:r>
    </w:p>
    <w:p w14:paraId="2305C2C3" w14:textId="77777777" w:rsidR="001D6FE6" w:rsidRPr="00BA5BE9" w:rsidRDefault="001D6FE6" w:rsidP="001D6FE6">
      <w:pPr>
        <w:pStyle w:val="Default"/>
        <w:jc w:val="both"/>
        <w:rPr>
          <w:rFonts w:ascii="Abadi" w:hAnsi="Abadi"/>
          <w:sz w:val="21"/>
          <w:szCs w:val="21"/>
        </w:rPr>
      </w:pPr>
      <w:r w:rsidRPr="00BA5BE9">
        <w:rPr>
          <w:rFonts w:ascii="Abadi" w:hAnsi="Abadi"/>
          <w:b/>
          <w:bCs/>
          <w:sz w:val="21"/>
          <w:szCs w:val="21"/>
        </w:rPr>
        <w:t xml:space="preserve">PRESIDENTA DE LA MESA DIRECTIVA </w:t>
      </w:r>
    </w:p>
    <w:p w14:paraId="2F0D69D7" w14:textId="77777777" w:rsidR="001D6FE6" w:rsidRPr="00BA5BE9" w:rsidRDefault="001D6FE6" w:rsidP="001D6FE6">
      <w:pPr>
        <w:pStyle w:val="Default"/>
        <w:jc w:val="both"/>
        <w:rPr>
          <w:rFonts w:ascii="Abadi" w:hAnsi="Abadi"/>
          <w:sz w:val="21"/>
          <w:szCs w:val="21"/>
        </w:rPr>
      </w:pPr>
      <w:r w:rsidRPr="00BA5BE9">
        <w:rPr>
          <w:rFonts w:ascii="Abadi" w:hAnsi="Abadi"/>
          <w:b/>
          <w:bCs/>
          <w:sz w:val="21"/>
          <w:szCs w:val="21"/>
        </w:rPr>
        <w:t xml:space="preserve">CONGRESO DEL ESTADO DE GUANAJUATO </w:t>
      </w:r>
    </w:p>
    <w:p w14:paraId="30A21D05" w14:textId="77777777" w:rsidR="001D6FE6" w:rsidRPr="00BA5BE9" w:rsidRDefault="001D6FE6" w:rsidP="001D6FE6">
      <w:pPr>
        <w:pStyle w:val="Default"/>
        <w:jc w:val="both"/>
        <w:rPr>
          <w:rFonts w:ascii="Abadi" w:hAnsi="Abadi"/>
          <w:sz w:val="21"/>
          <w:szCs w:val="21"/>
        </w:rPr>
      </w:pPr>
      <w:r w:rsidRPr="00BA5BE9">
        <w:rPr>
          <w:rFonts w:ascii="Abadi" w:hAnsi="Abadi"/>
          <w:b/>
          <w:bCs/>
          <w:sz w:val="21"/>
          <w:szCs w:val="21"/>
        </w:rPr>
        <w:t xml:space="preserve">LXV LEGISLATURA </w:t>
      </w:r>
    </w:p>
    <w:p w14:paraId="56402055" w14:textId="77777777" w:rsidR="001D6FE6" w:rsidRPr="00BA5BE9" w:rsidRDefault="001D6FE6" w:rsidP="001D6FE6">
      <w:pPr>
        <w:pStyle w:val="Default"/>
        <w:jc w:val="both"/>
        <w:rPr>
          <w:rFonts w:ascii="Abadi" w:hAnsi="Abadi"/>
          <w:b/>
          <w:bCs/>
          <w:sz w:val="21"/>
          <w:szCs w:val="21"/>
        </w:rPr>
      </w:pPr>
      <w:r w:rsidRPr="00BA5BE9">
        <w:rPr>
          <w:rFonts w:ascii="Abadi" w:hAnsi="Abadi"/>
          <w:b/>
          <w:bCs/>
          <w:sz w:val="21"/>
          <w:szCs w:val="21"/>
        </w:rPr>
        <w:t xml:space="preserve">PRESENTE </w:t>
      </w:r>
    </w:p>
    <w:p w14:paraId="75253CB6" w14:textId="77777777" w:rsidR="001D6FE6" w:rsidRPr="00BA5BE9" w:rsidRDefault="001D6FE6" w:rsidP="001D6FE6">
      <w:pPr>
        <w:pStyle w:val="Default"/>
        <w:jc w:val="both"/>
        <w:rPr>
          <w:rFonts w:ascii="Abadi" w:hAnsi="Abadi"/>
          <w:sz w:val="21"/>
          <w:szCs w:val="21"/>
        </w:rPr>
      </w:pPr>
    </w:p>
    <w:p w14:paraId="3096F82C" w14:textId="77777777" w:rsidR="001D6FE6" w:rsidRPr="00BA5BE9" w:rsidRDefault="001D6FE6" w:rsidP="001D6FE6">
      <w:pPr>
        <w:pStyle w:val="Default"/>
        <w:jc w:val="both"/>
        <w:rPr>
          <w:rFonts w:ascii="Abadi" w:hAnsi="Abadi"/>
          <w:b/>
          <w:bCs/>
          <w:sz w:val="21"/>
          <w:szCs w:val="21"/>
        </w:rPr>
      </w:pPr>
      <w:r w:rsidRPr="00BA5BE9">
        <w:rPr>
          <w:rFonts w:ascii="Abadi" w:hAnsi="Abadi"/>
          <w:sz w:val="21"/>
          <w:szCs w:val="21"/>
        </w:rPr>
        <w:t xml:space="preserve">La proponente, </w:t>
      </w:r>
      <w:r w:rsidRPr="00BA5BE9">
        <w:rPr>
          <w:rFonts w:ascii="Abadi" w:hAnsi="Abadi"/>
          <w:b/>
          <w:bCs/>
          <w:sz w:val="21"/>
          <w:szCs w:val="21"/>
        </w:rPr>
        <w:t xml:space="preserve">Diputada Yulma Rocha Aguilar, integrante del Grupo Parlamentario del Partido Revolucionario Institucional, </w:t>
      </w:r>
      <w:r w:rsidRPr="00BA5BE9">
        <w:rPr>
          <w:rFonts w:ascii="Abadi" w:hAnsi="Abadi"/>
          <w:sz w:val="21"/>
          <w:szCs w:val="21"/>
        </w:rPr>
        <w:t xml:space="preserve">con fundamento en lo dispuesto por el Artículo 57, párrafo primero, de la Constitución Política del Estado de Guanajuato; así como por lo establecido en los artículos 177 y 204, párrafos primero, segundo y fracción III, de la Ley Orgánica del Poder Legislativo del Estado de Guanajuato, me permito presentar y someter a la consideración de esta Honorable Asamblea la presente propuesta de </w:t>
      </w:r>
      <w:r w:rsidRPr="00BA5BE9">
        <w:rPr>
          <w:rFonts w:ascii="Abadi" w:hAnsi="Abadi"/>
          <w:b/>
          <w:bCs/>
          <w:sz w:val="21"/>
          <w:szCs w:val="21"/>
        </w:rPr>
        <w:t>PUNTO DE ACUERDO DE OBVIA RESOLUCIÓN</w:t>
      </w:r>
      <w:r w:rsidRPr="00BA5BE9">
        <w:rPr>
          <w:rFonts w:ascii="Abadi" w:hAnsi="Abadi"/>
          <w:sz w:val="21"/>
          <w:szCs w:val="21"/>
        </w:rPr>
        <w:t xml:space="preserve">, </w:t>
      </w:r>
      <w:r w:rsidRPr="00BA5BE9">
        <w:rPr>
          <w:rFonts w:ascii="Abadi" w:hAnsi="Abadi"/>
          <w:b/>
          <w:bCs/>
          <w:sz w:val="21"/>
          <w:szCs w:val="21"/>
        </w:rPr>
        <w:t>a fin de emitir un respetuoso exhorto al Instituto de Acceso a la Información Pública para el Estado de Guanajuato, para que, en función de lo que enuncia la Ley de Transparencia y Acceso a la Información Pública para el Estado de Guanajuato, incluya a GTO Leasing Services S.A.P.I. DE C.V., SOFOM, E.N.R Empresa Equiparada de Participación Estatal Mayoritaria, en el Padrón de Sujetos Obligados para efectos de cumplir con las obligaciones de la Ley de Transparencia y Acceso a la Información Pública para el Estado de Guanajuato</w:t>
      </w:r>
      <w:r w:rsidRPr="00BA5BE9">
        <w:rPr>
          <w:rFonts w:ascii="Abadi" w:hAnsi="Abadi"/>
          <w:sz w:val="21"/>
          <w:szCs w:val="21"/>
        </w:rPr>
        <w:t>, sustentado en las siguientes</w:t>
      </w:r>
      <w:r w:rsidRPr="00BA5BE9">
        <w:rPr>
          <w:rFonts w:ascii="Abadi" w:hAnsi="Abadi"/>
          <w:b/>
          <w:bCs/>
          <w:sz w:val="21"/>
          <w:szCs w:val="21"/>
        </w:rPr>
        <w:t xml:space="preserve">: </w:t>
      </w:r>
    </w:p>
    <w:p w14:paraId="2ABB72BF" w14:textId="77777777" w:rsidR="001D6FE6" w:rsidRPr="00BA5BE9" w:rsidRDefault="001D6FE6" w:rsidP="001D6FE6">
      <w:pPr>
        <w:pStyle w:val="Default"/>
        <w:jc w:val="both"/>
        <w:rPr>
          <w:rFonts w:ascii="Abadi" w:hAnsi="Abadi"/>
          <w:sz w:val="21"/>
          <w:szCs w:val="21"/>
        </w:rPr>
      </w:pPr>
    </w:p>
    <w:p w14:paraId="742DDD27" w14:textId="77777777" w:rsidR="001D6FE6" w:rsidRPr="00BA5BE9" w:rsidRDefault="001D6FE6" w:rsidP="001D6FE6">
      <w:pPr>
        <w:pStyle w:val="Default"/>
        <w:jc w:val="center"/>
        <w:rPr>
          <w:rFonts w:ascii="Abadi" w:hAnsi="Abadi"/>
          <w:b/>
          <w:bCs/>
          <w:sz w:val="21"/>
          <w:szCs w:val="21"/>
        </w:rPr>
      </w:pPr>
      <w:r w:rsidRPr="00BA5BE9">
        <w:rPr>
          <w:rFonts w:ascii="Abadi" w:hAnsi="Abadi"/>
          <w:b/>
          <w:bCs/>
          <w:sz w:val="21"/>
          <w:szCs w:val="21"/>
        </w:rPr>
        <w:t>CONSIDERACIONES</w:t>
      </w:r>
    </w:p>
    <w:p w14:paraId="1E8A2438" w14:textId="77777777" w:rsidR="001D6FE6" w:rsidRPr="00BA5BE9" w:rsidRDefault="001D6FE6" w:rsidP="001D6FE6">
      <w:pPr>
        <w:pStyle w:val="Default"/>
        <w:jc w:val="both"/>
        <w:rPr>
          <w:rFonts w:ascii="Abadi" w:hAnsi="Abadi"/>
          <w:sz w:val="21"/>
          <w:szCs w:val="21"/>
        </w:rPr>
      </w:pPr>
    </w:p>
    <w:p w14:paraId="349C4658" w14:textId="77777777" w:rsidR="001D6FE6" w:rsidRPr="00BA5BE9" w:rsidRDefault="001D6FE6" w:rsidP="001D6FE6">
      <w:pPr>
        <w:jc w:val="both"/>
        <w:rPr>
          <w:rFonts w:ascii="Abadi" w:hAnsi="Abadi"/>
          <w:sz w:val="21"/>
          <w:szCs w:val="21"/>
        </w:rPr>
      </w:pPr>
      <w:r w:rsidRPr="00BA5BE9">
        <w:rPr>
          <w:rFonts w:ascii="Abadi" w:hAnsi="Abadi"/>
          <w:sz w:val="21"/>
          <w:szCs w:val="21"/>
        </w:rPr>
        <w:t>La transparencia es la obligación de dar publicidad a los hechos relacionados con las atribuciones y actividades de las instituciones gubernamentales y, en consecuencia, dar acceso a esa información que se encuentra en su posesión, esto último no como una concesión sino como un derecho humano que permite conocer el quehacer gubernamental, darle seguimiento y, que incluso, es un elemento importante para la toma de decisiones de la ciudadanía.</w:t>
      </w:r>
    </w:p>
    <w:p w14:paraId="6A437B2D" w14:textId="77777777" w:rsidR="001D6FE6" w:rsidRPr="00BA5BE9" w:rsidRDefault="001D6FE6" w:rsidP="001D6FE6">
      <w:pPr>
        <w:jc w:val="both"/>
        <w:rPr>
          <w:rFonts w:ascii="Abadi" w:hAnsi="Abadi"/>
          <w:sz w:val="21"/>
          <w:szCs w:val="21"/>
        </w:rPr>
      </w:pPr>
    </w:p>
    <w:p w14:paraId="39D96C0D" w14:textId="77777777" w:rsidR="001D6FE6" w:rsidRPr="00BA5BE9" w:rsidRDefault="001D6FE6" w:rsidP="001D6FE6">
      <w:pPr>
        <w:pStyle w:val="Default"/>
        <w:jc w:val="both"/>
        <w:rPr>
          <w:rFonts w:ascii="Abadi" w:hAnsi="Abadi"/>
          <w:sz w:val="21"/>
          <w:szCs w:val="21"/>
        </w:rPr>
      </w:pPr>
      <w:r w:rsidRPr="00BA5BE9">
        <w:rPr>
          <w:rFonts w:ascii="Abadi" w:hAnsi="Abadi"/>
          <w:sz w:val="21"/>
          <w:szCs w:val="21"/>
        </w:rPr>
        <w:t xml:space="preserve">Con la transparencia se rinde cuentas, y la rendición de cuentas es la herramienta que da credibilidad y legitimidad al actuar público y que facilita la vinculación entre ciudadanos y autoridades. </w:t>
      </w:r>
    </w:p>
    <w:p w14:paraId="65130E7B" w14:textId="77777777" w:rsidR="001D6FE6" w:rsidRPr="00BA5BE9" w:rsidRDefault="001D6FE6" w:rsidP="001D6FE6">
      <w:pPr>
        <w:pStyle w:val="Default"/>
        <w:jc w:val="both"/>
        <w:rPr>
          <w:rFonts w:ascii="Abadi" w:hAnsi="Abadi"/>
          <w:sz w:val="21"/>
          <w:szCs w:val="21"/>
        </w:rPr>
      </w:pPr>
    </w:p>
    <w:p w14:paraId="271F63C5" w14:textId="77777777" w:rsidR="001D6FE6" w:rsidRPr="00BA5BE9" w:rsidRDefault="001D6FE6" w:rsidP="001D6FE6">
      <w:pPr>
        <w:pStyle w:val="Default"/>
        <w:jc w:val="both"/>
        <w:rPr>
          <w:rFonts w:ascii="Abadi" w:hAnsi="Abadi"/>
          <w:sz w:val="21"/>
          <w:szCs w:val="21"/>
        </w:rPr>
      </w:pPr>
      <w:r w:rsidRPr="00BA5BE9">
        <w:rPr>
          <w:rFonts w:ascii="Abadi" w:hAnsi="Abadi"/>
          <w:sz w:val="21"/>
          <w:szCs w:val="21"/>
        </w:rPr>
        <w:t xml:space="preserve">Así, transparencia, acceso a la información pública y rendición de cuentas son elementos indispensables para el fortalecimiento de la democracia. </w:t>
      </w:r>
    </w:p>
    <w:p w14:paraId="7A43434C" w14:textId="77777777" w:rsidR="001D6FE6" w:rsidRPr="00BA5BE9" w:rsidRDefault="001D6FE6" w:rsidP="001D6FE6">
      <w:pPr>
        <w:pStyle w:val="Default"/>
        <w:jc w:val="both"/>
        <w:rPr>
          <w:rFonts w:ascii="Abadi" w:hAnsi="Abadi"/>
          <w:sz w:val="21"/>
          <w:szCs w:val="21"/>
        </w:rPr>
      </w:pPr>
    </w:p>
    <w:p w14:paraId="0179A66F" w14:textId="1857CBF5" w:rsidR="001D6FE6" w:rsidRDefault="001D6FE6" w:rsidP="001D6FE6">
      <w:pPr>
        <w:pStyle w:val="Default"/>
        <w:jc w:val="both"/>
        <w:rPr>
          <w:rFonts w:ascii="Abadi" w:hAnsi="Abadi"/>
          <w:sz w:val="21"/>
          <w:szCs w:val="21"/>
        </w:rPr>
      </w:pPr>
      <w:r w:rsidRPr="00BA5BE9">
        <w:rPr>
          <w:rFonts w:ascii="Abadi" w:hAnsi="Abadi"/>
          <w:sz w:val="21"/>
          <w:szCs w:val="21"/>
        </w:rPr>
        <w:t>La Ley de Transparencia y Acceso a la Información Pública para el Estado, de Guanajuato nos señala que el derecho humano de acceso a la información comprende solicitar, investigar, difundir, buscar y recibir información</w:t>
      </w:r>
      <w:r w:rsidR="00030004">
        <w:rPr>
          <w:rStyle w:val="Refdenotaalpie"/>
          <w:rFonts w:ascii="Abadi" w:hAnsi="Abadi"/>
          <w:sz w:val="21"/>
          <w:szCs w:val="21"/>
        </w:rPr>
        <w:footnoteReference w:id="43"/>
      </w:r>
      <w:r w:rsidRPr="00BA5BE9">
        <w:rPr>
          <w:rFonts w:ascii="Abadi" w:hAnsi="Abadi"/>
          <w:sz w:val="21"/>
          <w:szCs w:val="21"/>
        </w:rPr>
        <w:t>. En este sentido, la información que genere obtenga, adquiera, transforme o posea cualquier autoridad, órgano u organismo gubernamental, partidos políticos, fideicomisos, fondos públicos, así como cualquier persona física o moral que reciba y ejerza recursos públicos debe ser pública, veraz, completa, oportuna, confiable, verificable y accesible a cualquier persona</w:t>
      </w:r>
      <w:r w:rsidR="00E86864">
        <w:rPr>
          <w:rStyle w:val="Refdenotaalpie"/>
          <w:rFonts w:ascii="Abadi" w:hAnsi="Abadi"/>
          <w:sz w:val="21"/>
          <w:szCs w:val="21"/>
        </w:rPr>
        <w:footnoteReference w:id="44"/>
      </w:r>
      <w:r w:rsidRPr="00BA5BE9">
        <w:rPr>
          <w:rFonts w:ascii="Abadi" w:hAnsi="Abadi"/>
          <w:sz w:val="21"/>
          <w:szCs w:val="21"/>
        </w:rPr>
        <w:t xml:space="preserve">. </w:t>
      </w:r>
    </w:p>
    <w:p w14:paraId="5C9C9D8C" w14:textId="77777777" w:rsidR="00E86864" w:rsidRPr="00BA5BE9" w:rsidRDefault="00E86864" w:rsidP="001D6FE6">
      <w:pPr>
        <w:pStyle w:val="Default"/>
        <w:jc w:val="both"/>
        <w:rPr>
          <w:rFonts w:ascii="Abadi" w:hAnsi="Abadi"/>
          <w:sz w:val="21"/>
          <w:szCs w:val="21"/>
        </w:rPr>
      </w:pPr>
    </w:p>
    <w:p w14:paraId="23B627CD" w14:textId="77777777" w:rsidR="001D6FE6" w:rsidRPr="00BA5BE9" w:rsidRDefault="001D6FE6" w:rsidP="001D6FE6">
      <w:pPr>
        <w:jc w:val="both"/>
        <w:rPr>
          <w:rFonts w:ascii="Abadi" w:hAnsi="Abadi"/>
          <w:sz w:val="21"/>
          <w:szCs w:val="21"/>
        </w:rPr>
      </w:pPr>
      <w:r w:rsidRPr="00BA5BE9">
        <w:rPr>
          <w:rFonts w:ascii="Abadi" w:hAnsi="Abadi"/>
          <w:sz w:val="21"/>
          <w:szCs w:val="21"/>
        </w:rPr>
        <w:t xml:space="preserve">GTO Leasing Services S.A.P.I. DE C.V., SOFOM, E.N.R., es una empresa constituida como una sociedad anónima promotora de inversión de capital variable y financiera de objeto múltiple no regulada, la cual, fue creada desde el gobierno del estado, y en la que el Instituto de Seguridad Social del Estado de Guanajuato (ISSEG) funge como accionista mayoritario, participando con recursos provenientes del fondo de pensiones de los trabajadores del estado; cuyo nicho de mercado va dirigido principalmente al arrendamiento de autos utilitarios para las dependencias y entidades del Gobierno del Estado de Guanajuato y para el arrendamiento de maquinaria y equipo para fortalecer las cadenas </w:t>
      </w:r>
      <w:r w:rsidRPr="00BA5BE9">
        <w:rPr>
          <w:rFonts w:ascii="Abadi" w:hAnsi="Abadi"/>
          <w:sz w:val="21"/>
          <w:szCs w:val="21"/>
        </w:rPr>
        <w:lastRenderedPageBreak/>
        <w:t>de valor de la industria manufacturera de exportación.</w:t>
      </w:r>
    </w:p>
    <w:p w14:paraId="1E219FE8" w14:textId="77777777" w:rsidR="001D6FE6" w:rsidRPr="00BA5BE9" w:rsidRDefault="001D6FE6" w:rsidP="001D6FE6">
      <w:pPr>
        <w:jc w:val="both"/>
        <w:rPr>
          <w:rFonts w:ascii="Abadi" w:hAnsi="Abadi"/>
          <w:sz w:val="21"/>
          <w:szCs w:val="21"/>
        </w:rPr>
      </w:pPr>
    </w:p>
    <w:p w14:paraId="0B003A80" w14:textId="4A780F21" w:rsidR="001D6FE6" w:rsidRDefault="001D6FE6" w:rsidP="001D6FE6">
      <w:pPr>
        <w:pStyle w:val="Default"/>
        <w:jc w:val="both"/>
        <w:rPr>
          <w:rFonts w:ascii="Abadi" w:hAnsi="Abadi"/>
          <w:sz w:val="21"/>
          <w:szCs w:val="21"/>
        </w:rPr>
      </w:pPr>
      <w:r w:rsidRPr="00BA5BE9">
        <w:rPr>
          <w:rFonts w:ascii="Abadi" w:hAnsi="Abadi"/>
          <w:sz w:val="21"/>
          <w:szCs w:val="21"/>
        </w:rPr>
        <w:t>Este es un modelo innovador en el país que busca aumentar los rendimientos de los fondos del ISSEG, sin embargo, debemos tener presente que es una figura jurídica considerada como una empresa equiparada de participación estatal mayoritaria, al ser el ISSEG el propietario de más del 50% de su capital social y debido a que más del 50% de sus aportaciones económicas son provenientes de recursos públicos, motivo por el cual, de conformidad con lo establecido en el artículo 24, fracción IV de la Ley de Transparencia y Acceso a la Información Pública del Estado de Guanajuato, es también un sujeto obligado a transparentar todos sus actos y permitir el acceso a su información</w:t>
      </w:r>
      <w:r>
        <w:rPr>
          <w:rFonts w:ascii="Abadi" w:hAnsi="Abadi"/>
          <w:sz w:val="21"/>
          <w:szCs w:val="21"/>
        </w:rPr>
        <w:t>.</w:t>
      </w:r>
    </w:p>
    <w:p w14:paraId="22D0E69A" w14:textId="77777777" w:rsidR="001D6FE6" w:rsidRPr="00BA5BE9" w:rsidRDefault="001D6FE6" w:rsidP="001D6FE6">
      <w:pPr>
        <w:pStyle w:val="Default"/>
        <w:jc w:val="both"/>
        <w:rPr>
          <w:rFonts w:ascii="Abadi" w:hAnsi="Abadi"/>
          <w:sz w:val="21"/>
          <w:szCs w:val="21"/>
        </w:rPr>
      </w:pPr>
    </w:p>
    <w:p w14:paraId="432B7694" w14:textId="3D6C852B" w:rsidR="001D6FE6" w:rsidRPr="00BA5BE9" w:rsidRDefault="001D6FE6" w:rsidP="001D6FE6">
      <w:pPr>
        <w:pStyle w:val="Default"/>
        <w:jc w:val="both"/>
        <w:rPr>
          <w:rFonts w:ascii="Abadi" w:hAnsi="Abadi"/>
          <w:sz w:val="21"/>
          <w:szCs w:val="21"/>
        </w:rPr>
      </w:pPr>
      <w:r w:rsidRPr="00BA5BE9">
        <w:rPr>
          <w:rFonts w:ascii="Abadi" w:hAnsi="Abadi"/>
          <w:sz w:val="21"/>
          <w:szCs w:val="21"/>
        </w:rPr>
        <w:t>En este sentido, el que sea un sujeto obligado implica que debe establecer una unidad de transparencia que facilite las solicitudes de acceso a la información pública y constituir un comité de transparencia que como parte de sus actividades, se encargue de instaurar, coordinar y supervisar, las acciones y los procedimientos para asegurar la mayor eficacia en la gestión de las solicitudes en materia de acceso a la información;</w:t>
      </w:r>
      <w:r w:rsidR="001568F6">
        <w:rPr>
          <w:rFonts w:ascii="Abadi" w:hAnsi="Abadi"/>
          <w:sz w:val="21"/>
          <w:szCs w:val="21"/>
        </w:rPr>
        <w:t xml:space="preserve"> </w:t>
      </w:r>
      <w:r w:rsidRPr="00BA5BE9">
        <w:rPr>
          <w:rFonts w:ascii="Abadi" w:hAnsi="Abadi"/>
          <w:sz w:val="21"/>
          <w:szCs w:val="21"/>
        </w:rPr>
        <w:t>así como de establecer políticas para facilitar tanto la obtención de información, como el ejercicio del derecho de acceso a la informació</w:t>
      </w:r>
      <w:r w:rsidR="00F6726C">
        <w:rPr>
          <w:rFonts w:ascii="Abadi" w:hAnsi="Abadi"/>
          <w:sz w:val="21"/>
          <w:szCs w:val="21"/>
        </w:rPr>
        <w:t xml:space="preserve">n. </w:t>
      </w:r>
      <w:r w:rsidRPr="00BA5BE9">
        <w:rPr>
          <w:rFonts w:ascii="Abadi" w:hAnsi="Abadi"/>
          <w:sz w:val="21"/>
          <w:szCs w:val="21"/>
        </w:rPr>
        <w:t xml:space="preserve"> </w:t>
      </w:r>
    </w:p>
    <w:p w14:paraId="7570D8AD" w14:textId="77777777" w:rsidR="001D6FE6" w:rsidRPr="00BA5BE9" w:rsidRDefault="001D6FE6" w:rsidP="001D6FE6">
      <w:pPr>
        <w:pStyle w:val="Default"/>
        <w:jc w:val="both"/>
        <w:rPr>
          <w:rFonts w:ascii="Abadi" w:hAnsi="Abadi"/>
          <w:sz w:val="21"/>
          <w:szCs w:val="21"/>
        </w:rPr>
      </w:pPr>
    </w:p>
    <w:p w14:paraId="05356355" w14:textId="073D8AA2" w:rsidR="001D6FE6" w:rsidRPr="00BA5BE9" w:rsidRDefault="001D6FE6" w:rsidP="001D6FE6">
      <w:pPr>
        <w:jc w:val="both"/>
        <w:rPr>
          <w:rFonts w:ascii="Abadi" w:hAnsi="Abadi"/>
          <w:sz w:val="21"/>
          <w:szCs w:val="21"/>
        </w:rPr>
      </w:pPr>
      <w:r w:rsidRPr="00BA5BE9">
        <w:rPr>
          <w:rFonts w:ascii="Abadi" w:hAnsi="Abadi"/>
          <w:sz w:val="21"/>
          <w:szCs w:val="21"/>
        </w:rPr>
        <w:t>También, GTO Leasing debe atender una serie de obligaciones como; poner a disposición de la sociedad y mantener actualizados los indicadores que permitan rendir cuentas de sus objetivos y resultados; la información relativa a los resultados sobre procedimientos de adjudicación directa, invitación restringida y licitación de</w:t>
      </w:r>
      <w:r>
        <w:rPr>
          <w:rFonts w:ascii="Abadi" w:hAnsi="Abadi"/>
          <w:sz w:val="21"/>
          <w:szCs w:val="21"/>
        </w:rPr>
        <w:t xml:space="preserve"> </w:t>
      </w:r>
      <w:r w:rsidRPr="00BA5BE9">
        <w:rPr>
          <w:rFonts w:ascii="Abadi" w:hAnsi="Abadi"/>
          <w:sz w:val="21"/>
          <w:szCs w:val="21"/>
        </w:rPr>
        <w:t xml:space="preserve">cualquier naturaleza, incluyendo la Versión Pública del Expediente respectivo y de los contratos celebrados; así como atender los requerimientos, observaciones, recomendaciones y criterios que en materia de transparencia y acceso a la información pública realice el Instituto. </w:t>
      </w:r>
    </w:p>
    <w:p w14:paraId="6C30585E" w14:textId="77777777" w:rsidR="001D6FE6" w:rsidRPr="00BA5BE9" w:rsidRDefault="001D6FE6" w:rsidP="001D6FE6">
      <w:pPr>
        <w:pStyle w:val="Default"/>
        <w:jc w:val="both"/>
        <w:rPr>
          <w:rFonts w:ascii="Abadi" w:hAnsi="Abadi"/>
          <w:sz w:val="21"/>
          <w:szCs w:val="21"/>
        </w:rPr>
      </w:pPr>
    </w:p>
    <w:p w14:paraId="15BAF999" w14:textId="1AE61914" w:rsidR="001D6FE6" w:rsidRDefault="001D6FE6" w:rsidP="001D6FE6">
      <w:pPr>
        <w:pStyle w:val="Default"/>
        <w:jc w:val="both"/>
        <w:rPr>
          <w:rFonts w:ascii="Abadi" w:hAnsi="Abadi"/>
          <w:sz w:val="21"/>
          <w:szCs w:val="21"/>
        </w:rPr>
      </w:pPr>
      <w:r w:rsidRPr="00BA5BE9">
        <w:rPr>
          <w:rFonts w:ascii="Abadi" w:hAnsi="Abadi"/>
          <w:sz w:val="21"/>
          <w:szCs w:val="21"/>
        </w:rPr>
        <w:t xml:space="preserve">De igual forma, está obligado a actualizar trimestralmente la información que posea en todos aquellos medios disponibles con los que cuente, en su sitio de internet y a través de la Plataforma Nacional. </w:t>
      </w:r>
    </w:p>
    <w:p w14:paraId="41062857" w14:textId="77777777" w:rsidR="001D6FE6" w:rsidRPr="00BA5BE9" w:rsidRDefault="001D6FE6" w:rsidP="001D6FE6">
      <w:pPr>
        <w:pStyle w:val="Default"/>
        <w:jc w:val="both"/>
        <w:rPr>
          <w:rFonts w:ascii="Abadi" w:hAnsi="Abadi"/>
          <w:sz w:val="21"/>
          <w:szCs w:val="21"/>
        </w:rPr>
      </w:pPr>
    </w:p>
    <w:p w14:paraId="24466F91" w14:textId="085CCFD6" w:rsidR="001D6FE6" w:rsidRPr="00BA5BE9" w:rsidRDefault="001D6FE6" w:rsidP="001D6FE6">
      <w:pPr>
        <w:pStyle w:val="Default"/>
        <w:jc w:val="both"/>
        <w:rPr>
          <w:rFonts w:ascii="Abadi" w:hAnsi="Abadi"/>
          <w:sz w:val="21"/>
          <w:szCs w:val="21"/>
        </w:rPr>
      </w:pPr>
      <w:r w:rsidRPr="00BA5BE9">
        <w:rPr>
          <w:rFonts w:ascii="Abadi" w:hAnsi="Abadi"/>
          <w:sz w:val="21"/>
          <w:szCs w:val="21"/>
        </w:rPr>
        <w:t xml:space="preserve">Debe tener un vínculo de acceso directo a un portal de internet dónde se pueda encontrar la información que por Ley está obligado publicar, y para hacer accesible la información, dicha página también debe contar con un buscador que le facilite a la sociedad localizar la información, herramientas que hasta el día de hoy GTO Leasing Services no posee. </w:t>
      </w:r>
    </w:p>
    <w:p w14:paraId="3D32DEF9" w14:textId="77777777" w:rsidR="001D6FE6" w:rsidRPr="00BA5BE9" w:rsidRDefault="001D6FE6" w:rsidP="001D6FE6">
      <w:pPr>
        <w:pStyle w:val="Default"/>
        <w:jc w:val="both"/>
        <w:rPr>
          <w:rFonts w:ascii="Abadi" w:hAnsi="Abadi"/>
          <w:sz w:val="21"/>
          <w:szCs w:val="21"/>
        </w:rPr>
      </w:pPr>
    </w:p>
    <w:p w14:paraId="63A0D35E" w14:textId="289B533F" w:rsidR="001D6FE6" w:rsidRPr="00BA5BE9" w:rsidRDefault="001D6FE6" w:rsidP="001D6FE6">
      <w:pPr>
        <w:jc w:val="both"/>
        <w:rPr>
          <w:rFonts w:ascii="Abadi" w:hAnsi="Abadi"/>
          <w:sz w:val="21"/>
          <w:szCs w:val="21"/>
        </w:rPr>
      </w:pPr>
      <w:r w:rsidRPr="00BA5BE9">
        <w:rPr>
          <w:rFonts w:ascii="Abadi" w:hAnsi="Abadi"/>
          <w:sz w:val="21"/>
          <w:szCs w:val="21"/>
        </w:rPr>
        <w:t>Es decir, en su actuación debe favorecer en todo momento el principio de máxima publicidad y disponibilidad de la información en su posesión, garantizando que esta sea completa, oportuna y accesible a cualquier persona, sujeta a un claro régimen de excepciones que deberán estar definidas, ser legítimas y estrictamente necesarias.</w:t>
      </w:r>
    </w:p>
    <w:p w14:paraId="2BD99FFB" w14:textId="77777777" w:rsidR="001D6FE6" w:rsidRPr="00BA5BE9" w:rsidRDefault="001D6FE6" w:rsidP="001D6FE6">
      <w:pPr>
        <w:jc w:val="both"/>
        <w:rPr>
          <w:rFonts w:ascii="Abadi" w:hAnsi="Abadi"/>
          <w:sz w:val="21"/>
          <w:szCs w:val="21"/>
        </w:rPr>
      </w:pPr>
    </w:p>
    <w:p w14:paraId="56DB2A10" w14:textId="77777777" w:rsidR="001D6FE6" w:rsidRPr="00BA5BE9" w:rsidRDefault="001D6FE6" w:rsidP="001D6FE6">
      <w:pPr>
        <w:pStyle w:val="Default"/>
        <w:jc w:val="both"/>
        <w:rPr>
          <w:rFonts w:ascii="Abadi" w:hAnsi="Abadi"/>
          <w:sz w:val="21"/>
          <w:szCs w:val="21"/>
        </w:rPr>
      </w:pPr>
      <w:r w:rsidRPr="00BA5BE9">
        <w:rPr>
          <w:rFonts w:ascii="Abadi" w:hAnsi="Abadi"/>
          <w:sz w:val="21"/>
          <w:szCs w:val="21"/>
        </w:rPr>
        <w:t xml:space="preserve">Ahora, para el Instituto de Acceso a la Información (IACIP) también existen ciertas obligaciones que debe cumplir pues, nuestra Constitución Local establece en su artículo 14 que el derecho a la información pública debe ser garantizado por el estado, siendo el IACIP el organismo responsable de garantizar, en el ámbito de su competencia, el ejercicio de los derechos de acceso a la información pública, y que cuenta con la competencia para conocer de los asuntos relacionados con el acceso a la información pública. </w:t>
      </w:r>
    </w:p>
    <w:p w14:paraId="30E98566" w14:textId="77777777" w:rsidR="001D6FE6" w:rsidRPr="00BA5BE9" w:rsidRDefault="001D6FE6" w:rsidP="001D6FE6">
      <w:pPr>
        <w:pStyle w:val="Default"/>
        <w:jc w:val="both"/>
        <w:rPr>
          <w:rFonts w:ascii="Abadi" w:hAnsi="Abadi"/>
          <w:sz w:val="21"/>
          <w:szCs w:val="21"/>
        </w:rPr>
      </w:pPr>
    </w:p>
    <w:p w14:paraId="09AF6EE1" w14:textId="064B118C" w:rsidR="001D6FE6" w:rsidRDefault="001D6FE6" w:rsidP="001D6FE6">
      <w:pPr>
        <w:pStyle w:val="Default"/>
        <w:jc w:val="both"/>
        <w:rPr>
          <w:rFonts w:ascii="Abadi" w:hAnsi="Abadi"/>
          <w:sz w:val="21"/>
          <w:szCs w:val="21"/>
        </w:rPr>
      </w:pPr>
      <w:r w:rsidRPr="00BA5BE9">
        <w:rPr>
          <w:rFonts w:ascii="Abadi" w:hAnsi="Abadi"/>
          <w:sz w:val="21"/>
          <w:szCs w:val="21"/>
        </w:rPr>
        <w:t xml:space="preserve">En este sentido, dentro de sus atribuciones se encuentran; el coadyuvar con los sujetos obligados en la implementación de mecanismos de colaboración para la promoción e implementación de políticas y mecanismos de apertura gubernamental, evaluar su actuación, mediante la práctica de acciones de verificación o a través de los medios que considere adecuados, así como requerir, recibir, analizar y sistematizar los informes que periódicamente, deben enviar los sujetos obligado. </w:t>
      </w:r>
    </w:p>
    <w:p w14:paraId="2A3D5288" w14:textId="77777777" w:rsidR="001D6FE6" w:rsidRPr="00BA5BE9" w:rsidRDefault="001D6FE6" w:rsidP="001D6FE6">
      <w:pPr>
        <w:pStyle w:val="Default"/>
        <w:jc w:val="both"/>
        <w:rPr>
          <w:rFonts w:ascii="Abadi" w:hAnsi="Abadi"/>
          <w:sz w:val="21"/>
          <w:szCs w:val="21"/>
        </w:rPr>
      </w:pPr>
    </w:p>
    <w:p w14:paraId="0D93E601" w14:textId="471FE89E" w:rsidR="001D6FE6" w:rsidRPr="00BA5BE9" w:rsidRDefault="001D6FE6" w:rsidP="001D6FE6">
      <w:pPr>
        <w:pStyle w:val="Default"/>
        <w:jc w:val="both"/>
        <w:rPr>
          <w:rFonts w:ascii="Abadi" w:hAnsi="Abadi"/>
          <w:sz w:val="21"/>
          <w:szCs w:val="21"/>
        </w:rPr>
      </w:pPr>
      <w:r w:rsidRPr="00BA5BE9">
        <w:rPr>
          <w:rFonts w:ascii="Abadi" w:hAnsi="Abadi"/>
          <w:sz w:val="21"/>
          <w:szCs w:val="21"/>
        </w:rPr>
        <w:t>De igual forma, el IACIP también tiene la obligación de dar publicidad a las deliberaciones y actos relacionados con sus atribuciones, así como dar acceso a la información que las mismas generen</w:t>
      </w:r>
      <w:r w:rsidR="00A674CD">
        <w:rPr>
          <w:rStyle w:val="Refdenotaalpie"/>
          <w:rFonts w:ascii="Abadi" w:hAnsi="Abadi"/>
          <w:sz w:val="21"/>
          <w:szCs w:val="21"/>
        </w:rPr>
        <w:footnoteReference w:id="45"/>
      </w:r>
      <w:r w:rsidRPr="00BA5BE9">
        <w:rPr>
          <w:rFonts w:ascii="Abadi" w:hAnsi="Abadi"/>
          <w:sz w:val="21"/>
          <w:szCs w:val="21"/>
        </w:rPr>
        <w:t xml:space="preserve">, motivo por el cual, el 14 de septiembre del 2021, fue publicado en el Periódico Oficial del Gobierno del Estado de Guanajuato el Acuerdo Administrativo por el que se determina el Padrón de Sujetos Obligados para efectos de cumplir con las obligaciones de </w:t>
      </w:r>
      <w:r w:rsidRPr="00BA5BE9">
        <w:rPr>
          <w:rFonts w:ascii="Abadi" w:hAnsi="Abadi"/>
          <w:sz w:val="21"/>
          <w:szCs w:val="21"/>
        </w:rPr>
        <w:lastRenderedPageBreak/>
        <w:t xml:space="preserve">la Ley de Transparencia y Acceso a la Información Pública para el Estado de Guanajuato. </w:t>
      </w:r>
    </w:p>
    <w:p w14:paraId="7DEB697C" w14:textId="77777777" w:rsidR="001D6FE6" w:rsidRPr="00BA5BE9" w:rsidRDefault="001D6FE6" w:rsidP="001D6FE6">
      <w:pPr>
        <w:pStyle w:val="Default"/>
        <w:jc w:val="both"/>
        <w:rPr>
          <w:rFonts w:ascii="Abadi" w:hAnsi="Abadi"/>
          <w:sz w:val="21"/>
          <w:szCs w:val="21"/>
        </w:rPr>
      </w:pPr>
    </w:p>
    <w:p w14:paraId="4B3AB1EF" w14:textId="77777777" w:rsidR="001D6FE6" w:rsidRPr="00BA5BE9" w:rsidRDefault="001D6FE6" w:rsidP="001D6FE6">
      <w:pPr>
        <w:jc w:val="both"/>
        <w:rPr>
          <w:rFonts w:ascii="Abadi" w:hAnsi="Abadi"/>
          <w:sz w:val="21"/>
          <w:szCs w:val="21"/>
        </w:rPr>
      </w:pPr>
      <w:r w:rsidRPr="00BA5BE9">
        <w:rPr>
          <w:rFonts w:ascii="Abadi" w:hAnsi="Abadi"/>
          <w:sz w:val="21"/>
          <w:szCs w:val="21"/>
        </w:rPr>
        <w:t>En dicho padrón, se señala que a la fecha de su publicación se contaba en el estado con 72 sujetos obligados para cumplir con las obligaciones establecidas en la Ley</w:t>
      </w:r>
      <w:r>
        <w:rPr>
          <w:rFonts w:ascii="Abadi" w:hAnsi="Abadi"/>
          <w:sz w:val="21"/>
          <w:szCs w:val="21"/>
        </w:rPr>
        <w:t xml:space="preserve"> </w:t>
      </w:r>
      <w:r w:rsidRPr="00BA5BE9">
        <w:rPr>
          <w:rFonts w:ascii="Abadi" w:hAnsi="Abadi"/>
          <w:sz w:val="21"/>
          <w:szCs w:val="21"/>
        </w:rPr>
        <w:t xml:space="preserve">antes mencionada, sin embargo, se omitió incluir a GTO Leasing Services, aun cuando en esa fecha la empresa ya se había constituido e iniciado operaciones, por lo que extraña y preocupa que no se le haya considerado en la integración de este al ser una empresa equiparada de participación estatal mayoritaria. </w:t>
      </w:r>
    </w:p>
    <w:p w14:paraId="25C8E947" w14:textId="77777777" w:rsidR="001D6FE6" w:rsidRPr="00BA5BE9" w:rsidRDefault="001D6FE6" w:rsidP="001D6FE6">
      <w:pPr>
        <w:pStyle w:val="Default"/>
        <w:jc w:val="both"/>
        <w:rPr>
          <w:rFonts w:ascii="Abadi" w:hAnsi="Abadi"/>
          <w:sz w:val="21"/>
          <w:szCs w:val="21"/>
        </w:rPr>
      </w:pPr>
    </w:p>
    <w:p w14:paraId="27AA1F43" w14:textId="08ECE9A6" w:rsidR="001D6FE6" w:rsidRDefault="001D6FE6" w:rsidP="001D6FE6">
      <w:pPr>
        <w:pStyle w:val="Default"/>
        <w:jc w:val="both"/>
        <w:rPr>
          <w:rFonts w:ascii="Abadi" w:hAnsi="Abadi"/>
          <w:sz w:val="21"/>
          <w:szCs w:val="21"/>
        </w:rPr>
      </w:pPr>
      <w:r w:rsidRPr="00BA5BE9">
        <w:rPr>
          <w:rFonts w:ascii="Abadi" w:hAnsi="Abadi"/>
          <w:sz w:val="21"/>
          <w:szCs w:val="21"/>
        </w:rPr>
        <w:t xml:space="preserve">En este contexto, cabe mencionar que para determinar la información que debe hacer pública la empresa, el Instituto de Acceso a la Información Pública tiene la obligación de solicitarle que remita la información que considere de interés público, atendiendo los lineamientos emitidos por el Sistema Nacional, así como determinar las obligaciones de transparencia que debe cumplir, así como los plazos para ello. </w:t>
      </w:r>
    </w:p>
    <w:p w14:paraId="447E1858" w14:textId="77777777" w:rsidR="001D6FE6" w:rsidRPr="00BA5BE9" w:rsidRDefault="001D6FE6" w:rsidP="001D6FE6">
      <w:pPr>
        <w:pStyle w:val="Default"/>
        <w:jc w:val="both"/>
        <w:rPr>
          <w:rFonts w:ascii="Abadi" w:hAnsi="Abadi"/>
          <w:sz w:val="21"/>
          <w:szCs w:val="21"/>
        </w:rPr>
      </w:pPr>
    </w:p>
    <w:p w14:paraId="3478BAFE" w14:textId="4F6E4283" w:rsidR="001D6FE6" w:rsidRPr="00BA5BE9" w:rsidRDefault="001D6FE6" w:rsidP="001D6FE6">
      <w:pPr>
        <w:pStyle w:val="Default"/>
        <w:jc w:val="both"/>
        <w:rPr>
          <w:rFonts w:ascii="Abadi" w:hAnsi="Abadi"/>
          <w:sz w:val="21"/>
          <w:szCs w:val="21"/>
        </w:rPr>
      </w:pPr>
      <w:r w:rsidRPr="00BA5BE9">
        <w:rPr>
          <w:rFonts w:ascii="Abadi" w:hAnsi="Abadi"/>
          <w:sz w:val="21"/>
          <w:szCs w:val="21"/>
        </w:rPr>
        <w:t>De igual forma, el IACIP debe verificar que la información sea publicada en la Plataforma Nacional, de conformidad con lo estipulado en la Ley y en los lineamientos técnicos que emita el Sistema Nacional.</w:t>
      </w:r>
    </w:p>
    <w:p w14:paraId="16AA5FA4" w14:textId="77777777" w:rsidR="001D6FE6" w:rsidRPr="00BA5BE9" w:rsidRDefault="001D6FE6" w:rsidP="001D6FE6">
      <w:pPr>
        <w:pStyle w:val="Default"/>
        <w:jc w:val="both"/>
        <w:rPr>
          <w:rFonts w:ascii="Abadi" w:hAnsi="Abadi"/>
          <w:sz w:val="21"/>
          <w:szCs w:val="21"/>
        </w:rPr>
      </w:pPr>
    </w:p>
    <w:p w14:paraId="2123E75A" w14:textId="53FA8B02" w:rsidR="001D6FE6" w:rsidRDefault="001D6FE6" w:rsidP="001D6FE6">
      <w:pPr>
        <w:jc w:val="both"/>
        <w:rPr>
          <w:rFonts w:ascii="Abadi" w:hAnsi="Abadi"/>
          <w:sz w:val="21"/>
          <w:szCs w:val="21"/>
        </w:rPr>
      </w:pPr>
      <w:r w:rsidRPr="00BA5BE9">
        <w:rPr>
          <w:rFonts w:ascii="Abadi" w:hAnsi="Abadi"/>
          <w:sz w:val="21"/>
          <w:szCs w:val="21"/>
        </w:rPr>
        <w:t>Sobre el modelo bajo el cual opera la empresa, el mismo Gobernador, Diego Sinhue Rodríguez Vallejo, ha reconocido en recientes declaraciones que “es un modelo para incrementar la generación de recursos propios que la corrupción podría echar a perder” por ello, es necesario que este modelo de arrendamiento creado desde el gobierno y operado por el ISSEG, funcione y se desempeñe con toda claridad y transparencia, pues estamos hablando de recursos provenientes de las pensiones de los trabajadores del estado, mismos que son resultado del trabajo que cada día realizan en beneficio de nuestra sociedad y de Guanajuato.</w:t>
      </w:r>
    </w:p>
    <w:p w14:paraId="2E9CB3D8" w14:textId="77777777" w:rsidR="001D6FE6" w:rsidRPr="00BA5BE9" w:rsidRDefault="001D6FE6" w:rsidP="001D6FE6">
      <w:pPr>
        <w:jc w:val="both"/>
        <w:rPr>
          <w:rFonts w:ascii="Abadi" w:hAnsi="Abadi"/>
          <w:sz w:val="21"/>
          <w:szCs w:val="21"/>
        </w:rPr>
      </w:pPr>
    </w:p>
    <w:p w14:paraId="796F3A30" w14:textId="77777777" w:rsidR="001D6FE6" w:rsidRPr="00BA5BE9" w:rsidRDefault="001D6FE6" w:rsidP="001D6FE6">
      <w:pPr>
        <w:pStyle w:val="Default"/>
        <w:jc w:val="both"/>
        <w:rPr>
          <w:rFonts w:ascii="Abadi" w:hAnsi="Abadi"/>
          <w:sz w:val="21"/>
          <w:szCs w:val="21"/>
        </w:rPr>
      </w:pPr>
      <w:r w:rsidRPr="00BA5BE9">
        <w:rPr>
          <w:rFonts w:ascii="Abadi" w:hAnsi="Abadi"/>
          <w:sz w:val="21"/>
          <w:szCs w:val="21"/>
        </w:rPr>
        <w:t xml:space="preserve">Es así que, con la finalidad de transparentar la operación de esta sociedad constituida como una empresa equiparada de participación estatal mayoritaria y garantizar a la población el pleno ejercicio del derecho a la información pública, que se hace este llamado, al Instituto de Acceso a la Información Pública para que, en función de lo que enuncia la Ley de Transparencia y Acceso a la Información Pública para el Estado de Guanajuato; incluya a GTO Leasing Services </w:t>
      </w:r>
      <w:r w:rsidRPr="00BA5BE9">
        <w:rPr>
          <w:rFonts w:ascii="Abadi" w:hAnsi="Abadi"/>
          <w:sz w:val="21"/>
          <w:szCs w:val="21"/>
        </w:rPr>
        <w:t xml:space="preserve">S.A.P.I. DE C.V., SOFOM, E.N.R Empresa Equiparada de Participación Estatal Mayoritaria, en el Padrón de Sujetos Obligados para efectos de cumplir con las obligaciones de la Ley de Transparencia y Acceso a la Información Pública para el Estado de Guanajuato </w:t>
      </w:r>
      <w:r>
        <w:rPr>
          <w:rFonts w:ascii="Abadi" w:hAnsi="Abadi"/>
          <w:sz w:val="21"/>
          <w:szCs w:val="21"/>
        </w:rPr>
        <w:t xml:space="preserve"> </w:t>
      </w:r>
      <w:r w:rsidRPr="00BA5BE9">
        <w:rPr>
          <w:rFonts w:ascii="Abadi" w:hAnsi="Abadi"/>
          <w:sz w:val="21"/>
          <w:szCs w:val="21"/>
        </w:rPr>
        <w:t xml:space="preserve">Por lo anteriormente expuesto, me permito a someter a la consideración de esta Honorable Asamblea, el siguiente Punto de: </w:t>
      </w:r>
    </w:p>
    <w:p w14:paraId="3B18431E" w14:textId="77777777" w:rsidR="001D6FE6" w:rsidRPr="00BA5BE9" w:rsidRDefault="001D6FE6" w:rsidP="001D6FE6">
      <w:pPr>
        <w:pStyle w:val="Default"/>
        <w:jc w:val="both"/>
        <w:rPr>
          <w:rFonts w:ascii="Abadi" w:hAnsi="Abadi"/>
          <w:b/>
          <w:bCs/>
          <w:sz w:val="21"/>
          <w:szCs w:val="21"/>
        </w:rPr>
      </w:pPr>
    </w:p>
    <w:p w14:paraId="2CD39D28" w14:textId="77777777" w:rsidR="001D6FE6" w:rsidRPr="00BA5BE9" w:rsidRDefault="001D6FE6" w:rsidP="001D6FE6">
      <w:pPr>
        <w:pStyle w:val="Default"/>
        <w:jc w:val="center"/>
        <w:rPr>
          <w:rFonts w:ascii="Abadi" w:hAnsi="Abadi"/>
          <w:b/>
          <w:bCs/>
          <w:sz w:val="21"/>
          <w:szCs w:val="21"/>
        </w:rPr>
      </w:pPr>
      <w:r w:rsidRPr="00BA5BE9">
        <w:rPr>
          <w:rFonts w:ascii="Abadi" w:hAnsi="Abadi"/>
          <w:b/>
          <w:bCs/>
          <w:sz w:val="21"/>
          <w:szCs w:val="21"/>
        </w:rPr>
        <w:t>ACUERDO</w:t>
      </w:r>
    </w:p>
    <w:p w14:paraId="4D40D768" w14:textId="77777777" w:rsidR="001D6FE6" w:rsidRPr="00BA5BE9" w:rsidRDefault="001D6FE6" w:rsidP="001D6FE6">
      <w:pPr>
        <w:pStyle w:val="Default"/>
        <w:jc w:val="both"/>
        <w:rPr>
          <w:rFonts w:ascii="Abadi" w:hAnsi="Abadi"/>
          <w:sz w:val="21"/>
          <w:szCs w:val="21"/>
        </w:rPr>
      </w:pPr>
    </w:p>
    <w:p w14:paraId="4B947C62" w14:textId="1D59C0BF" w:rsidR="001D6FE6" w:rsidRDefault="001D6FE6" w:rsidP="001D6FE6">
      <w:pPr>
        <w:pStyle w:val="Default"/>
        <w:jc w:val="both"/>
        <w:rPr>
          <w:rFonts w:ascii="Abadi" w:hAnsi="Abadi"/>
          <w:sz w:val="21"/>
          <w:szCs w:val="21"/>
        </w:rPr>
      </w:pPr>
      <w:r w:rsidRPr="00BA5BE9">
        <w:rPr>
          <w:rFonts w:ascii="Abadi" w:hAnsi="Abadi"/>
          <w:b/>
          <w:bCs/>
          <w:sz w:val="21"/>
          <w:szCs w:val="21"/>
        </w:rPr>
        <w:t xml:space="preserve">ÚNICO. - </w:t>
      </w:r>
      <w:r w:rsidRPr="00BA5BE9">
        <w:rPr>
          <w:rFonts w:ascii="Abadi" w:hAnsi="Abadi"/>
          <w:sz w:val="21"/>
          <w:szCs w:val="21"/>
        </w:rPr>
        <w:t xml:space="preserve">La Sexagésima Quinta Legislatura del Congreso del Estado Libre y Soberano de Guanajuato, efectúa un respetuoso exhorto al Instituto de Acceso a la Información Pública para el Estado de Guanajuato, para que, en función de lo que enuncia la Ley de Transparencia y Acceso a la Información Pública para el Estado de Guanajuato, incluya a GTO Leasing Services S.A.P.I. DE C.V., SOFOM, E.N.R Empresa Equiparada de Participación Estatal Mayoritaria, en el Padrón de Sujetos Obligados para efectos de cumplir con las obligaciones de la Ley de Transparencia y Acceso a la Información Pública para el Estado de Guanajuato. </w:t>
      </w:r>
    </w:p>
    <w:p w14:paraId="174413C4" w14:textId="77777777" w:rsidR="001D6FE6" w:rsidRPr="00BA5BE9" w:rsidRDefault="001D6FE6" w:rsidP="001D6FE6">
      <w:pPr>
        <w:pStyle w:val="Default"/>
        <w:jc w:val="both"/>
        <w:rPr>
          <w:rFonts w:ascii="Abadi" w:hAnsi="Abadi"/>
          <w:sz w:val="21"/>
          <w:szCs w:val="21"/>
        </w:rPr>
      </w:pPr>
    </w:p>
    <w:p w14:paraId="1A74A002" w14:textId="77777777" w:rsidR="001D6FE6" w:rsidRDefault="001D6FE6" w:rsidP="001D6FE6">
      <w:pPr>
        <w:jc w:val="center"/>
        <w:rPr>
          <w:rFonts w:ascii="Abadi" w:hAnsi="Abadi"/>
          <w:b/>
          <w:bCs/>
          <w:sz w:val="21"/>
          <w:szCs w:val="21"/>
        </w:rPr>
      </w:pPr>
      <w:r w:rsidRPr="00BA5BE9">
        <w:rPr>
          <w:rFonts w:ascii="Abadi" w:hAnsi="Abadi"/>
          <w:b/>
          <w:bCs/>
          <w:sz w:val="21"/>
          <w:szCs w:val="21"/>
        </w:rPr>
        <w:t xml:space="preserve">GUANAJUATO, GUANAJUATO </w:t>
      </w:r>
    </w:p>
    <w:p w14:paraId="072B2F7E" w14:textId="77777777" w:rsidR="001D6FE6" w:rsidRPr="00BA5BE9" w:rsidRDefault="001D6FE6" w:rsidP="001D6FE6">
      <w:pPr>
        <w:jc w:val="center"/>
        <w:rPr>
          <w:rFonts w:ascii="Abadi" w:hAnsi="Abadi"/>
          <w:b/>
          <w:bCs/>
          <w:sz w:val="21"/>
          <w:szCs w:val="21"/>
        </w:rPr>
      </w:pPr>
      <w:r w:rsidRPr="00BA5BE9">
        <w:rPr>
          <w:rFonts w:ascii="Abadi" w:hAnsi="Abadi"/>
          <w:b/>
          <w:bCs/>
          <w:sz w:val="21"/>
          <w:szCs w:val="21"/>
        </w:rPr>
        <w:t>A 23 DE JUNIO DEL 2022.</w:t>
      </w:r>
    </w:p>
    <w:p w14:paraId="1EC9A22F" w14:textId="77777777" w:rsidR="001D6FE6" w:rsidRDefault="001D6FE6" w:rsidP="001D6FE6">
      <w:pPr>
        <w:jc w:val="center"/>
        <w:rPr>
          <w:rFonts w:ascii="Abadi" w:hAnsi="Abadi"/>
          <w:b/>
          <w:bCs/>
          <w:sz w:val="21"/>
          <w:szCs w:val="21"/>
        </w:rPr>
      </w:pPr>
    </w:p>
    <w:p w14:paraId="385F9B66" w14:textId="77777777" w:rsidR="001D6FE6" w:rsidRDefault="001D6FE6" w:rsidP="001D6FE6">
      <w:pPr>
        <w:jc w:val="center"/>
        <w:rPr>
          <w:rFonts w:ascii="Abadi" w:hAnsi="Abadi"/>
          <w:b/>
          <w:bCs/>
          <w:sz w:val="21"/>
          <w:szCs w:val="21"/>
        </w:rPr>
      </w:pPr>
      <w:r w:rsidRPr="00BA5BE9">
        <w:rPr>
          <w:rFonts w:ascii="Abadi" w:hAnsi="Abadi"/>
          <w:b/>
          <w:bCs/>
          <w:sz w:val="21"/>
          <w:szCs w:val="21"/>
        </w:rPr>
        <w:t xml:space="preserve">DIPUTADA YULMA ROCHA AGUILAR </w:t>
      </w:r>
    </w:p>
    <w:p w14:paraId="46D965FB" w14:textId="77777777" w:rsidR="001D6FE6" w:rsidRPr="00BA5BE9" w:rsidRDefault="001D6FE6" w:rsidP="001D6FE6">
      <w:pPr>
        <w:jc w:val="center"/>
        <w:rPr>
          <w:rFonts w:ascii="Abadi" w:hAnsi="Abadi"/>
          <w:sz w:val="21"/>
          <w:szCs w:val="21"/>
        </w:rPr>
      </w:pPr>
      <w:r w:rsidRPr="00BA5BE9">
        <w:rPr>
          <w:rFonts w:ascii="Abadi" w:hAnsi="Abadi"/>
          <w:b/>
          <w:bCs/>
          <w:sz w:val="21"/>
          <w:szCs w:val="21"/>
        </w:rPr>
        <w:t>PARTIDO REVOLUCIONARIO INSTITUCIONAL</w:t>
      </w:r>
    </w:p>
    <w:p w14:paraId="3E1048DA" w14:textId="11C7AF49" w:rsidR="001D6FE6" w:rsidRDefault="001D6FE6" w:rsidP="001D6FE6">
      <w:pPr>
        <w:pStyle w:val="Prrafodelista"/>
        <w:tabs>
          <w:tab w:val="left" w:pos="845"/>
        </w:tabs>
        <w:kinsoku w:val="0"/>
        <w:overflowPunct w:val="0"/>
        <w:autoSpaceDE w:val="0"/>
        <w:autoSpaceDN w:val="0"/>
        <w:adjustRightInd w:val="0"/>
        <w:ind w:left="720" w:right="17"/>
        <w:jc w:val="both"/>
        <w:rPr>
          <w:rFonts w:ascii="Abadi" w:hAnsi="Abadi"/>
          <w:b/>
          <w:bCs/>
          <w:sz w:val="20"/>
          <w:szCs w:val="20"/>
        </w:rPr>
      </w:pPr>
    </w:p>
    <w:p w14:paraId="349C4010" w14:textId="695276A8" w:rsidR="001D6FE6" w:rsidRDefault="001D6FE6" w:rsidP="001D6FE6">
      <w:pPr>
        <w:pStyle w:val="Prrafodelista"/>
        <w:tabs>
          <w:tab w:val="left" w:pos="845"/>
        </w:tabs>
        <w:kinsoku w:val="0"/>
        <w:overflowPunct w:val="0"/>
        <w:autoSpaceDE w:val="0"/>
        <w:autoSpaceDN w:val="0"/>
        <w:adjustRightInd w:val="0"/>
        <w:ind w:left="720" w:right="17"/>
        <w:jc w:val="both"/>
        <w:rPr>
          <w:rFonts w:ascii="Abadi" w:hAnsi="Abadi"/>
          <w:b/>
          <w:bCs/>
          <w:sz w:val="20"/>
          <w:szCs w:val="20"/>
        </w:rPr>
      </w:pPr>
    </w:p>
    <w:p w14:paraId="1B9F0ADD" w14:textId="77777777" w:rsidR="001D6FE6" w:rsidRPr="001D6FE6" w:rsidRDefault="001D6FE6" w:rsidP="001D6FE6">
      <w:pPr>
        <w:pStyle w:val="Prrafodelista"/>
        <w:tabs>
          <w:tab w:val="left" w:pos="845"/>
        </w:tabs>
        <w:kinsoku w:val="0"/>
        <w:overflowPunct w:val="0"/>
        <w:autoSpaceDE w:val="0"/>
        <w:autoSpaceDN w:val="0"/>
        <w:adjustRightInd w:val="0"/>
        <w:ind w:left="720" w:right="17"/>
        <w:jc w:val="both"/>
        <w:rPr>
          <w:rFonts w:ascii="Abadi" w:hAnsi="Abadi"/>
          <w:b/>
          <w:bCs/>
          <w:sz w:val="20"/>
          <w:szCs w:val="20"/>
        </w:rPr>
      </w:pPr>
    </w:p>
    <w:p w14:paraId="23A52325" w14:textId="4E6DBC14" w:rsidR="001728DF" w:rsidRDefault="001728DF" w:rsidP="005433FA">
      <w:pPr>
        <w:pStyle w:val="Prrafodelista"/>
        <w:numPr>
          <w:ilvl w:val="0"/>
          <w:numId w:val="9"/>
        </w:numPr>
        <w:tabs>
          <w:tab w:val="left" w:pos="845"/>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PRESENTACIÓN</w:t>
      </w:r>
      <w:r w:rsidRPr="00531B12">
        <w:rPr>
          <w:rFonts w:ascii="Abadi" w:hAnsi="Abadi"/>
          <w:b/>
          <w:bCs/>
          <w:spacing w:val="53"/>
          <w:sz w:val="20"/>
          <w:szCs w:val="20"/>
        </w:rPr>
        <w:t xml:space="preserve"> </w:t>
      </w:r>
      <w:r w:rsidRPr="00531B12">
        <w:rPr>
          <w:rFonts w:ascii="Abadi" w:hAnsi="Abadi"/>
          <w:b/>
          <w:bCs/>
          <w:sz w:val="20"/>
          <w:szCs w:val="20"/>
        </w:rPr>
        <w:t>DE</w:t>
      </w:r>
      <w:r w:rsidRPr="00531B12">
        <w:rPr>
          <w:rFonts w:ascii="Abadi" w:hAnsi="Abadi"/>
          <w:b/>
          <w:bCs/>
          <w:spacing w:val="54"/>
          <w:sz w:val="20"/>
          <w:szCs w:val="20"/>
        </w:rPr>
        <w:t xml:space="preserve"> </w:t>
      </w:r>
      <w:r w:rsidRPr="00531B12">
        <w:rPr>
          <w:rFonts w:ascii="Abadi" w:hAnsi="Abadi"/>
          <w:b/>
          <w:bCs/>
          <w:sz w:val="20"/>
          <w:szCs w:val="20"/>
        </w:rPr>
        <w:t>LA</w:t>
      </w:r>
      <w:r w:rsidRPr="00531B12">
        <w:rPr>
          <w:rFonts w:ascii="Abadi" w:hAnsi="Abadi"/>
          <w:b/>
          <w:bCs/>
          <w:spacing w:val="54"/>
          <w:sz w:val="20"/>
          <w:szCs w:val="20"/>
        </w:rPr>
        <w:t xml:space="preserve"> </w:t>
      </w:r>
      <w:r w:rsidRPr="00531B12">
        <w:rPr>
          <w:rFonts w:ascii="Abadi" w:hAnsi="Abadi"/>
          <w:b/>
          <w:bCs/>
          <w:sz w:val="20"/>
          <w:szCs w:val="20"/>
        </w:rPr>
        <w:t>PROPUESTA</w:t>
      </w:r>
      <w:r w:rsidRPr="00531B12">
        <w:rPr>
          <w:rFonts w:ascii="Abadi" w:hAnsi="Abadi"/>
          <w:b/>
          <w:bCs/>
          <w:spacing w:val="54"/>
          <w:sz w:val="20"/>
          <w:szCs w:val="20"/>
        </w:rPr>
        <w:t xml:space="preserve"> </w:t>
      </w:r>
      <w:r w:rsidRPr="00531B12">
        <w:rPr>
          <w:rFonts w:ascii="Abadi" w:hAnsi="Abadi"/>
          <w:b/>
          <w:bCs/>
          <w:sz w:val="20"/>
          <w:szCs w:val="20"/>
        </w:rPr>
        <w:t>DE</w:t>
      </w:r>
      <w:r w:rsidRPr="00531B12">
        <w:rPr>
          <w:rFonts w:ascii="Abadi" w:hAnsi="Abadi"/>
          <w:b/>
          <w:bCs/>
          <w:spacing w:val="54"/>
          <w:sz w:val="20"/>
          <w:szCs w:val="20"/>
        </w:rPr>
        <w:t xml:space="preserve"> </w:t>
      </w:r>
      <w:r w:rsidRPr="00531B12">
        <w:rPr>
          <w:rFonts w:ascii="Abadi" w:hAnsi="Abadi"/>
          <w:b/>
          <w:bCs/>
          <w:sz w:val="20"/>
          <w:szCs w:val="20"/>
        </w:rPr>
        <w:t>PUNTO</w:t>
      </w:r>
      <w:r w:rsidRPr="00531B12">
        <w:rPr>
          <w:rFonts w:ascii="Abadi" w:hAnsi="Abadi"/>
          <w:b/>
          <w:bCs/>
          <w:spacing w:val="54"/>
          <w:sz w:val="20"/>
          <w:szCs w:val="20"/>
        </w:rPr>
        <w:t xml:space="preserve"> </w:t>
      </w:r>
      <w:r w:rsidRPr="00531B12">
        <w:rPr>
          <w:rFonts w:ascii="Abadi" w:hAnsi="Abadi"/>
          <w:b/>
          <w:bCs/>
          <w:sz w:val="20"/>
          <w:szCs w:val="20"/>
        </w:rPr>
        <w:t>DE</w:t>
      </w:r>
      <w:r w:rsidRPr="00531B12">
        <w:rPr>
          <w:rFonts w:ascii="Abadi" w:hAnsi="Abadi"/>
          <w:b/>
          <w:bCs/>
          <w:spacing w:val="54"/>
          <w:sz w:val="20"/>
          <w:szCs w:val="20"/>
        </w:rPr>
        <w:t xml:space="preserve"> </w:t>
      </w:r>
      <w:r w:rsidRPr="00531B12">
        <w:rPr>
          <w:rFonts w:ascii="Abadi" w:hAnsi="Abadi"/>
          <w:b/>
          <w:bCs/>
          <w:sz w:val="20"/>
          <w:szCs w:val="20"/>
        </w:rPr>
        <w:t>ACUERDO</w:t>
      </w:r>
      <w:r w:rsidRPr="00531B12">
        <w:rPr>
          <w:rFonts w:ascii="Abadi" w:hAnsi="Abadi"/>
          <w:b/>
          <w:bCs/>
          <w:spacing w:val="54"/>
          <w:sz w:val="20"/>
          <w:szCs w:val="20"/>
        </w:rPr>
        <w:t xml:space="preserve"> </w:t>
      </w:r>
      <w:r w:rsidRPr="00531B12">
        <w:rPr>
          <w:rFonts w:ascii="Abadi" w:hAnsi="Abadi"/>
          <w:b/>
          <w:bCs/>
          <w:sz w:val="20"/>
          <w:szCs w:val="20"/>
        </w:rPr>
        <w:t>DE</w:t>
      </w:r>
      <w:r w:rsidRPr="00531B12">
        <w:rPr>
          <w:rFonts w:ascii="Abadi" w:hAnsi="Abadi"/>
          <w:b/>
          <w:bCs/>
          <w:spacing w:val="54"/>
          <w:sz w:val="20"/>
          <w:szCs w:val="20"/>
        </w:rPr>
        <w:t xml:space="preserve"> </w:t>
      </w:r>
      <w:r w:rsidRPr="00531B12">
        <w:rPr>
          <w:rFonts w:ascii="Abadi" w:hAnsi="Abadi"/>
          <w:b/>
          <w:bCs/>
          <w:sz w:val="20"/>
          <w:szCs w:val="20"/>
        </w:rPr>
        <w:t>OBVIA</w:t>
      </w:r>
      <w:r w:rsidRPr="00531B12">
        <w:rPr>
          <w:rFonts w:ascii="Abadi" w:hAnsi="Abadi"/>
          <w:b/>
          <w:bCs/>
          <w:spacing w:val="54"/>
          <w:sz w:val="20"/>
          <w:szCs w:val="20"/>
        </w:rPr>
        <w:t xml:space="preserve"> </w:t>
      </w:r>
      <w:r w:rsidRPr="00531B12">
        <w:rPr>
          <w:rFonts w:ascii="Abadi" w:hAnsi="Abadi"/>
          <w:b/>
          <w:bCs/>
          <w:sz w:val="20"/>
          <w:szCs w:val="20"/>
        </w:rPr>
        <w:t>RESOLUCIÓN</w:t>
      </w:r>
      <w:r w:rsidRPr="00531B12">
        <w:rPr>
          <w:rFonts w:ascii="Abadi" w:hAnsi="Abadi"/>
          <w:b/>
          <w:bCs/>
          <w:spacing w:val="-1"/>
          <w:sz w:val="20"/>
          <w:szCs w:val="20"/>
        </w:rPr>
        <w:t xml:space="preserve"> </w:t>
      </w:r>
      <w:r w:rsidRPr="00531B12">
        <w:rPr>
          <w:rFonts w:ascii="Abadi" w:hAnsi="Abadi"/>
          <w:b/>
          <w:bCs/>
          <w:sz w:val="20"/>
          <w:szCs w:val="20"/>
        </w:rPr>
        <w:t>SUSCRITA</w:t>
      </w:r>
      <w:r w:rsidRPr="00531B12">
        <w:rPr>
          <w:rFonts w:ascii="Abadi" w:hAnsi="Abadi"/>
          <w:b/>
          <w:bCs/>
          <w:spacing w:val="46"/>
          <w:sz w:val="20"/>
          <w:szCs w:val="20"/>
        </w:rPr>
        <w:t xml:space="preserve"> </w:t>
      </w:r>
      <w:r w:rsidRPr="00531B12">
        <w:rPr>
          <w:rFonts w:ascii="Abadi" w:hAnsi="Abadi"/>
          <w:b/>
          <w:bCs/>
          <w:sz w:val="20"/>
          <w:szCs w:val="20"/>
        </w:rPr>
        <w:t>POR</w:t>
      </w:r>
      <w:r w:rsidRPr="00531B12">
        <w:rPr>
          <w:rFonts w:ascii="Abadi" w:hAnsi="Abadi"/>
          <w:b/>
          <w:bCs/>
          <w:spacing w:val="40"/>
          <w:sz w:val="20"/>
          <w:szCs w:val="20"/>
        </w:rPr>
        <w:t xml:space="preserve"> </w:t>
      </w:r>
      <w:r w:rsidRPr="00531B12">
        <w:rPr>
          <w:rFonts w:ascii="Abadi" w:hAnsi="Abadi"/>
          <w:b/>
          <w:bCs/>
          <w:sz w:val="20"/>
          <w:szCs w:val="20"/>
        </w:rPr>
        <w:t>EL</w:t>
      </w:r>
      <w:r w:rsidRPr="00531B12">
        <w:rPr>
          <w:rFonts w:ascii="Abadi" w:hAnsi="Abadi"/>
          <w:b/>
          <w:bCs/>
          <w:spacing w:val="40"/>
          <w:sz w:val="20"/>
          <w:szCs w:val="20"/>
        </w:rPr>
        <w:t xml:space="preserve"> </w:t>
      </w:r>
      <w:r w:rsidRPr="00531B12">
        <w:rPr>
          <w:rFonts w:ascii="Abadi" w:hAnsi="Abadi"/>
          <w:b/>
          <w:bCs/>
          <w:sz w:val="20"/>
          <w:szCs w:val="20"/>
        </w:rPr>
        <w:t>DIPUTADO</w:t>
      </w:r>
      <w:r w:rsidRPr="00531B12">
        <w:rPr>
          <w:rFonts w:ascii="Abadi" w:hAnsi="Abadi"/>
          <w:b/>
          <w:bCs/>
          <w:spacing w:val="40"/>
          <w:sz w:val="20"/>
          <w:szCs w:val="20"/>
        </w:rPr>
        <w:t xml:space="preserve"> </w:t>
      </w:r>
      <w:r w:rsidRPr="00531B12">
        <w:rPr>
          <w:rFonts w:ascii="Abadi" w:hAnsi="Abadi"/>
          <w:b/>
          <w:bCs/>
          <w:sz w:val="20"/>
          <w:szCs w:val="20"/>
        </w:rPr>
        <w:t>ERNESTO</w:t>
      </w:r>
      <w:r w:rsidRPr="00531B12">
        <w:rPr>
          <w:rFonts w:ascii="Abadi" w:hAnsi="Abadi"/>
          <w:b/>
          <w:bCs/>
          <w:spacing w:val="40"/>
          <w:sz w:val="20"/>
          <w:szCs w:val="20"/>
        </w:rPr>
        <w:t xml:space="preserve"> </w:t>
      </w:r>
      <w:r w:rsidRPr="00531B12">
        <w:rPr>
          <w:rFonts w:ascii="Abadi" w:hAnsi="Abadi"/>
          <w:b/>
          <w:bCs/>
          <w:sz w:val="20"/>
          <w:szCs w:val="20"/>
        </w:rPr>
        <w:t>ALEJANDRO</w:t>
      </w:r>
      <w:r w:rsidRPr="00531B12">
        <w:rPr>
          <w:rFonts w:ascii="Abadi" w:hAnsi="Abadi"/>
          <w:b/>
          <w:bCs/>
          <w:spacing w:val="40"/>
          <w:sz w:val="20"/>
          <w:szCs w:val="20"/>
        </w:rPr>
        <w:t xml:space="preserve"> </w:t>
      </w:r>
      <w:r w:rsidRPr="00531B12">
        <w:rPr>
          <w:rFonts w:ascii="Abadi" w:hAnsi="Abadi"/>
          <w:b/>
          <w:bCs/>
          <w:sz w:val="20"/>
          <w:szCs w:val="20"/>
        </w:rPr>
        <w:t>PRIETO</w:t>
      </w:r>
      <w:r w:rsidRPr="00531B12">
        <w:rPr>
          <w:rFonts w:ascii="Abadi" w:hAnsi="Abadi"/>
          <w:b/>
          <w:bCs/>
          <w:spacing w:val="40"/>
          <w:sz w:val="20"/>
          <w:szCs w:val="20"/>
        </w:rPr>
        <w:t xml:space="preserve"> </w:t>
      </w:r>
      <w:r w:rsidRPr="00531B12">
        <w:rPr>
          <w:rFonts w:ascii="Abadi" w:hAnsi="Abadi"/>
          <w:b/>
          <w:bCs/>
          <w:sz w:val="20"/>
          <w:szCs w:val="20"/>
        </w:rPr>
        <w:t>GALLARDO</w:t>
      </w:r>
      <w:r w:rsidRPr="00531B12">
        <w:rPr>
          <w:rFonts w:ascii="Abadi" w:hAnsi="Abadi"/>
          <w:b/>
          <w:bCs/>
          <w:spacing w:val="40"/>
          <w:sz w:val="20"/>
          <w:szCs w:val="20"/>
        </w:rPr>
        <w:t xml:space="preserve"> </w:t>
      </w:r>
      <w:r w:rsidRPr="00531B12">
        <w:rPr>
          <w:rFonts w:ascii="Abadi" w:hAnsi="Abadi"/>
          <w:b/>
          <w:bCs/>
          <w:sz w:val="20"/>
          <w:szCs w:val="20"/>
        </w:rPr>
        <w:t>INTEGRANTE</w:t>
      </w:r>
      <w:r w:rsidRPr="00531B12">
        <w:rPr>
          <w:rFonts w:ascii="Abadi" w:hAnsi="Abadi"/>
          <w:b/>
          <w:bCs/>
          <w:spacing w:val="40"/>
          <w:sz w:val="20"/>
          <w:szCs w:val="20"/>
        </w:rPr>
        <w:t xml:space="preserve"> </w:t>
      </w:r>
      <w:r w:rsidRPr="00531B12">
        <w:rPr>
          <w:rFonts w:ascii="Abadi" w:hAnsi="Abadi"/>
          <w:b/>
          <w:bCs/>
          <w:sz w:val="20"/>
          <w:szCs w:val="20"/>
        </w:rPr>
        <w:t>DEL</w:t>
      </w:r>
      <w:r w:rsidRPr="00531B12">
        <w:rPr>
          <w:rFonts w:ascii="Abadi" w:hAnsi="Abadi"/>
          <w:b/>
          <w:bCs/>
          <w:spacing w:val="-1"/>
          <w:sz w:val="20"/>
          <w:szCs w:val="20"/>
        </w:rPr>
        <w:t xml:space="preserve"> </w:t>
      </w:r>
      <w:r w:rsidRPr="00531B12">
        <w:rPr>
          <w:rFonts w:ascii="Abadi" w:hAnsi="Abadi"/>
          <w:b/>
          <w:bCs/>
          <w:sz w:val="20"/>
          <w:szCs w:val="20"/>
        </w:rPr>
        <w:t>GRUPO</w:t>
      </w:r>
      <w:r w:rsidRPr="00531B12">
        <w:rPr>
          <w:rFonts w:ascii="Abadi" w:hAnsi="Abadi"/>
          <w:b/>
          <w:bCs/>
          <w:spacing w:val="-3"/>
          <w:sz w:val="20"/>
          <w:szCs w:val="20"/>
        </w:rPr>
        <w:t xml:space="preserve"> </w:t>
      </w:r>
      <w:r w:rsidRPr="00531B12">
        <w:rPr>
          <w:rFonts w:ascii="Abadi" w:hAnsi="Abadi"/>
          <w:b/>
          <w:bCs/>
          <w:sz w:val="20"/>
          <w:szCs w:val="20"/>
        </w:rPr>
        <w:t>PARLAMENTARIO</w:t>
      </w:r>
      <w:r w:rsidRPr="00531B12">
        <w:rPr>
          <w:rFonts w:ascii="Abadi" w:hAnsi="Abadi"/>
          <w:b/>
          <w:bCs/>
          <w:spacing w:val="-3"/>
          <w:sz w:val="20"/>
          <w:szCs w:val="20"/>
        </w:rPr>
        <w:t xml:space="preserve"> </w:t>
      </w:r>
      <w:r w:rsidRPr="00531B12">
        <w:rPr>
          <w:rFonts w:ascii="Abadi" w:hAnsi="Abadi"/>
          <w:b/>
          <w:bCs/>
          <w:sz w:val="20"/>
          <w:szCs w:val="20"/>
        </w:rPr>
        <w:t>DEL</w:t>
      </w:r>
      <w:r w:rsidRPr="00531B12">
        <w:rPr>
          <w:rFonts w:ascii="Abadi" w:hAnsi="Abadi"/>
          <w:b/>
          <w:bCs/>
          <w:spacing w:val="-4"/>
          <w:sz w:val="20"/>
          <w:szCs w:val="20"/>
        </w:rPr>
        <w:t xml:space="preserve"> </w:t>
      </w:r>
      <w:r w:rsidRPr="00531B12">
        <w:rPr>
          <w:rFonts w:ascii="Abadi" w:hAnsi="Abadi"/>
          <w:b/>
          <w:bCs/>
          <w:sz w:val="20"/>
          <w:szCs w:val="20"/>
        </w:rPr>
        <w:t>PARTIDO</w:t>
      </w:r>
      <w:r w:rsidRPr="00531B12">
        <w:rPr>
          <w:rFonts w:ascii="Abadi" w:hAnsi="Abadi"/>
          <w:b/>
          <w:bCs/>
          <w:spacing w:val="-4"/>
          <w:sz w:val="20"/>
          <w:szCs w:val="20"/>
        </w:rPr>
        <w:t xml:space="preserve"> </w:t>
      </w:r>
      <w:r w:rsidRPr="00531B12">
        <w:rPr>
          <w:rFonts w:ascii="Abadi" w:hAnsi="Abadi"/>
          <w:b/>
          <w:bCs/>
          <w:sz w:val="20"/>
          <w:szCs w:val="20"/>
        </w:rPr>
        <w:t>MORENA</w:t>
      </w:r>
      <w:r w:rsidRPr="00531B12">
        <w:rPr>
          <w:rFonts w:ascii="Abadi" w:hAnsi="Abadi"/>
          <w:b/>
          <w:bCs/>
          <w:spacing w:val="-3"/>
          <w:sz w:val="20"/>
          <w:szCs w:val="20"/>
        </w:rPr>
        <w:t xml:space="preserve"> </w:t>
      </w:r>
      <w:r w:rsidRPr="00531B12">
        <w:rPr>
          <w:rFonts w:ascii="Abadi" w:hAnsi="Abadi"/>
          <w:b/>
          <w:bCs/>
          <w:sz w:val="20"/>
          <w:szCs w:val="20"/>
        </w:rPr>
        <w:t>A</w:t>
      </w:r>
      <w:r w:rsidRPr="00531B12">
        <w:rPr>
          <w:rFonts w:ascii="Abadi" w:hAnsi="Abadi"/>
          <w:b/>
          <w:bCs/>
          <w:spacing w:val="-3"/>
          <w:sz w:val="20"/>
          <w:szCs w:val="20"/>
        </w:rPr>
        <w:t xml:space="preserve"> </w:t>
      </w:r>
      <w:r w:rsidRPr="00531B12">
        <w:rPr>
          <w:rFonts w:ascii="Abadi" w:hAnsi="Abadi"/>
          <w:b/>
          <w:bCs/>
          <w:sz w:val="20"/>
          <w:szCs w:val="20"/>
        </w:rPr>
        <w:t>EFECTO</w:t>
      </w:r>
      <w:r w:rsidRPr="00531B12">
        <w:rPr>
          <w:rFonts w:ascii="Abadi" w:hAnsi="Abadi"/>
          <w:b/>
          <w:bCs/>
          <w:spacing w:val="-4"/>
          <w:sz w:val="20"/>
          <w:szCs w:val="20"/>
        </w:rPr>
        <w:t xml:space="preserve"> </w:t>
      </w:r>
      <w:r w:rsidRPr="00531B12">
        <w:rPr>
          <w:rFonts w:ascii="Abadi" w:hAnsi="Abadi"/>
          <w:b/>
          <w:bCs/>
          <w:sz w:val="20"/>
          <w:szCs w:val="20"/>
        </w:rPr>
        <w:t>DE</w:t>
      </w:r>
      <w:r w:rsidRPr="00531B12">
        <w:rPr>
          <w:rFonts w:ascii="Abadi" w:hAnsi="Abadi"/>
          <w:b/>
          <w:bCs/>
          <w:spacing w:val="-3"/>
          <w:sz w:val="20"/>
          <w:szCs w:val="20"/>
        </w:rPr>
        <w:t xml:space="preserve"> </w:t>
      </w:r>
      <w:r w:rsidRPr="00531B12">
        <w:rPr>
          <w:rFonts w:ascii="Abadi" w:hAnsi="Abadi"/>
          <w:b/>
          <w:bCs/>
          <w:sz w:val="20"/>
          <w:szCs w:val="20"/>
        </w:rPr>
        <w:t>EXHORTAR</w:t>
      </w:r>
      <w:r w:rsidRPr="00531B12">
        <w:rPr>
          <w:rFonts w:ascii="Abadi" w:hAnsi="Abadi"/>
          <w:b/>
          <w:bCs/>
          <w:spacing w:val="-4"/>
          <w:sz w:val="20"/>
          <w:szCs w:val="20"/>
        </w:rPr>
        <w:t xml:space="preserve"> </w:t>
      </w:r>
      <w:r w:rsidRPr="00531B12">
        <w:rPr>
          <w:rFonts w:ascii="Abadi" w:hAnsi="Abadi"/>
          <w:b/>
          <w:bCs/>
          <w:sz w:val="20"/>
          <w:szCs w:val="20"/>
        </w:rPr>
        <w:t>AL</w:t>
      </w:r>
      <w:r w:rsidRPr="00531B12">
        <w:rPr>
          <w:rFonts w:ascii="Abadi" w:hAnsi="Abadi"/>
          <w:b/>
          <w:bCs/>
          <w:spacing w:val="-4"/>
          <w:sz w:val="20"/>
          <w:szCs w:val="20"/>
        </w:rPr>
        <w:t xml:space="preserve"> </w:t>
      </w:r>
      <w:r w:rsidRPr="00531B12">
        <w:rPr>
          <w:rFonts w:ascii="Abadi" w:hAnsi="Abadi"/>
          <w:b/>
          <w:bCs/>
          <w:sz w:val="20"/>
          <w:szCs w:val="20"/>
        </w:rPr>
        <w:t>TITULAR</w:t>
      </w:r>
      <w:r w:rsidRPr="00531B12">
        <w:rPr>
          <w:rFonts w:ascii="Abadi" w:hAnsi="Abadi"/>
          <w:b/>
          <w:bCs/>
          <w:spacing w:val="-4"/>
          <w:sz w:val="20"/>
          <w:szCs w:val="20"/>
        </w:rPr>
        <w:t xml:space="preserve"> </w:t>
      </w:r>
      <w:r w:rsidRPr="00531B12">
        <w:rPr>
          <w:rFonts w:ascii="Abadi" w:hAnsi="Abadi"/>
          <w:b/>
          <w:bCs/>
          <w:sz w:val="20"/>
          <w:szCs w:val="20"/>
        </w:rPr>
        <w:t>DEL</w:t>
      </w:r>
      <w:r w:rsidRPr="00531B12">
        <w:rPr>
          <w:rFonts w:ascii="Abadi" w:hAnsi="Abadi"/>
          <w:b/>
          <w:bCs/>
          <w:spacing w:val="-1"/>
          <w:sz w:val="20"/>
          <w:szCs w:val="20"/>
        </w:rPr>
        <w:t xml:space="preserve"> </w:t>
      </w:r>
      <w:r w:rsidRPr="00531B12">
        <w:rPr>
          <w:rFonts w:ascii="Abadi" w:hAnsi="Abadi"/>
          <w:b/>
          <w:bCs/>
          <w:sz w:val="20"/>
          <w:szCs w:val="20"/>
        </w:rPr>
        <w:t>EJECUTIVO</w:t>
      </w:r>
      <w:r w:rsidRPr="00531B12">
        <w:rPr>
          <w:rFonts w:ascii="Abadi" w:hAnsi="Abadi"/>
          <w:b/>
          <w:bCs/>
          <w:spacing w:val="25"/>
          <w:sz w:val="20"/>
          <w:szCs w:val="20"/>
        </w:rPr>
        <w:t xml:space="preserve"> </w:t>
      </w:r>
      <w:r w:rsidRPr="00531B12">
        <w:rPr>
          <w:rFonts w:ascii="Abadi" w:hAnsi="Abadi"/>
          <w:b/>
          <w:bCs/>
          <w:sz w:val="20"/>
          <w:szCs w:val="20"/>
        </w:rPr>
        <w:t>DEL</w:t>
      </w:r>
      <w:r w:rsidRPr="00531B12">
        <w:rPr>
          <w:rFonts w:ascii="Abadi" w:hAnsi="Abadi"/>
          <w:b/>
          <w:bCs/>
          <w:spacing w:val="24"/>
          <w:sz w:val="20"/>
          <w:szCs w:val="20"/>
        </w:rPr>
        <w:t xml:space="preserve"> </w:t>
      </w:r>
      <w:r w:rsidRPr="00531B12">
        <w:rPr>
          <w:rFonts w:ascii="Abadi" w:hAnsi="Abadi"/>
          <w:b/>
          <w:bCs/>
          <w:sz w:val="20"/>
          <w:szCs w:val="20"/>
        </w:rPr>
        <w:t>ESTADO</w:t>
      </w:r>
      <w:r w:rsidRPr="00531B12">
        <w:rPr>
          <w:rFonts w:ascii="Abadi" w:hAnsi="Abadi"/>
          <w:b/>
          <w:bCs/>
          <w:spacing w:val="25"/>
          <w:sz w:val="20"/>
          <w:szCs w:val="20"/>
        </w:rPr>
        <w:t xml:space="preserve"> </w:t>
      </w:r>
      <w:r w:rsidRPr="00531B12">
        <w:rPr>
          <w:rFonts w:ascii="Abadi" w:hAnsi="Abadi"/>
          <w:b/>
          <w:bCs/>
          <w:sz w:val="20"/>
          <w:szCs w:val="20"/>
        </w:rPr>
        <w:t>DE</w:t>
      </w:r>
      <w:r w:rsidRPr="00531B12">
        <w:rPr>
          <w:rFonts w:ascii="Abadi" w:hAnsi="Abadi"/>
          <w:b/>
          <w:bCs/>
          <w:spacing w:val="25"/>
          <w:sz w:val="20"/>
          <w:szCs w:val="20"/>
        </w:rPr>
        <w:t xml:space="preserve"> </w:t>
      </w:r>
      <w:r w:rsidRPr="00531B12">
        <w:rPr>
          <w:rFonts w:ascii="Abadi" w:hAnsi="Abadi"/>
          <w:b/>
          <w:bCs/>
          <w:sz w:val="20"/>
          <w:szCs w:val="20"/>
        </w:rPr>
        <w:t>GUANAJUATO,</w:t>
      </w:r>
      <w:r w:rsidRPr="00531B12">
        <w:rPr>
          <w:rFonts w:ascii="Abadi" w:hAnsi="Abadi"/>
          <w:b/>
          <w:bCs/>
          <w:spacing w:val="24"/>
          <w:sz w:val="20"/>
          <w:szCs w:val="20"/>
        </w:rPr>
        <w:t xml:space="preserve"> </w:t>
      </w:r>
      <w:r w:rsidRPr="00531B12">
        <w:rPr>
          <w:rFonts w:ascii="Abadi" w:hAnsi="Abadi"/>
          <w:b/>
          <w:bCs/>
          <w:sz w:val="20"/>
          <w:szCs w:val="20"/>
        </w:rPr>
        <w:t>PARA</w:t>
      </w:r>
      <w:r w:rsidRPr="00531B12">
        <w:rPr>
          <w:rFonts w:ascii="Abadi" w:hAnsi="Abadi"/>
          <w:b/>
          <w:bCs/>
          <w:spacing w:val="25"/>
          <w:sz w:val="20"/>
          <w:szCs w:val="20"/>
        </w:rPr>
        <w:t xml:space="preserve"> </w:t>
      </w:r>
      <w:r w:rsidRPr="00531B12">
        <w:rPr>
          <w:rFonts w:ascii="Abadi" w:hAnsi="Abadi"/>
          <w:b/>
          <w:bCs/>
          <w:sz w:val="20"/>
          <w:szCs w:val="20"/>
        </w:rPr>
        <w:t>QUE</w:t>
      </w:r>
      <w:r w:rsidRPr="00531B12">
        <w:rPr>
          <w:rFonts w:ascii="Abadi" w:hAnsi="Abadi"/>
          <w:b/>
          <w:bCs/>
          <w:spacing w:val="25"/>
          <w:sz w:val="20"/>
          <w:szCs w:val="20"/>
        </w:rPr>
        <w:t xml:space="preserve"> </w:t>
      </w:r>
      <w:r w:rsidRPr="00531B12">
        <w:rPr>
          <w:rFonts w:ascii="Abadi" w:hAnsi="Abadi"/>
          <w:b/>
          <w:bCs/>
          <w:sz w:val="20"/>
          <w:szCs w:val="20"/>
        </w:rPr>
        <w:t>IMPLEMENTE</w:t>
      </w:r>
      <w:r w:rsidRPr="00531B12">
        <w:rPr>
          <w:rFonts w:ascii="Abadi" w:hAnsi="Abadi"/>
          <w:b/>
          <w:bCs/>
          <w:spacing w:val="25"/>
          <w:sz w:val="20"/>
          <w:szCs w:val="20"/>
        </w:rPr>
        <w:t xml:space="preserve"> </w:t>
      </w:r>
      <w:r w:rsidRPr="00531B12">
        <w:rPr>
          <w:rFonts w:ascii="Abadi" w:hAnsi="Abadi"/>
          <w:b/>
          <w:bCs/>
          <w:sz w:val="20"/>
          <w:szCs w:val="20"/>
        </w:rPr>
        <w:t>LAS</w:t>
      </w:r>
      <w:r w:rsidRPr="00531B12">
        <w:rPr>
          <w:rFonts w:ascii="Abadi" w:hAnsi="Abadi"/>
          <w:b/>
          <w:bCs/>
          <w:spacing w:val="25"/>
          <w:sz w:val="20"/>
          <w:szCs w:val="20"/>
        </w:rPr>
        <w:t xml:space="preserve"> </w:t>
      </w:r>
      <w:r w:rsidRPr="00531B12">
        <w:rPr>
          <w:rFonts w:ascii="Abadi" w:hAnsi="Abadi"/>
          <w:b/>
          <w:bCs/>
          <w:sz w:val="20"/>
          <w:szCs w:val="20"/>
        </w:rPr>
        <w:t>ESTRATEGIAS</w:t>
      </w:r>
      <w:r w:rsidRPr="00531B12">
        <w:rPr>
          <w:rFonts w:ascii="Abadi" w:hAnsi="Abadi"/>
          <w:b/>
          <w:bCs/>
          <w:spacing w:val="-1"/>
          <w:sz w:val="20"/>
          <w:szCs w:val="20"/>
        </w:rPr>
        <w:t xml:space="preserve"> </w:t>
      </w:r>
      <w:r w:rsidRPr="00531B12">
        <w:rPr>
          <w:rFonts w:ascii="Abadi" w:hAnsi="Abadi"/>
          <w:b/>
          <w:bCs/>
          <w:sz w:val="20"/>
          <w:szCs w:val="20"/>
        </w:rPr>
        <w:t>NECESARIAS</w:t>
      </w:r>
      <w:r w:rsidRPr="00531B12">
        <w:rPr>
          <w:rFonts w:ascii="Abadi" w:hAnsi="Abadi"/>
          <w:b/>
          <w:bCs/>
          <w:spacing w:val="61"/>
          <w:sz w:val="20"/>
          <w:szCs w:val="20"/>
        </w:rPr>
        <w:t xml:space="preserve"> </w:t>
      </w:r>
      <w:r w:rsidRPr="00531B12">
        <w:rPr>
          <w:rFonts w:ascii="Abadi" w:hAnsi="Abadi"/>
          <w:b/>
          <w:bCs/>
          <w:sz w:val="20"/>
          <w:szCs w:val="20"/>
        </w:rPr>
        <w:t>Y</w:t>
      </w:r>
      <w:r w:rsidRPr="00531B12">
        <w:rPr>
          <w:rFonts w:ascii="Abadi" w:hAnsi="Abadi"/>
          <w:b/>
          <w:bCs/>
          <w:spacing w:val="61"/>
          <w:sz w:val="20"/>
          <w:szCs w:val="20"/>
        </w:rPr>
        <w:t xml:space="preserve"> </w:t>
      </w:r>
      <w:r w:rsidRPr="00531B12">
        <w:rPr>
          <w:rFonts w:ascii="Abadi" w:hAnsi="Abadi"/>
          <w:b/>
          <w:bCs/>
          <w:sz w:val="20"/>
          <w:szCs w:val="20"/>
        </w:rPr>
        <w:t>ESTABLEZCA</w:t>
      </w:r>
      <w:r w:rsidRPr="00531B12">
        <w:rPr>
          <w:rFonts w:ascii="Abadi" w:hAnsi="Abadi"/>
          <w:b/>
          <w:bCs/>
          <w:spacing w:val="61"/>
          <w:sz w:val="20"/>
          <w:szCs w:val="20"/>
        </w:rPr>
        <w:t xml:space="preserve"> </w:t>
      </w:r>
      <w:r w:rsidRPr="00531B12">
        <w:rPr>
          <w:rFonts w:ascii="Abadi" w:hAnsi="Abadi"/>
          <w:b/>
          <w:bCs/>
          <w:sz w:val="20"/>
          <w:szCs w:val="20"/>
        </w:rPr>
        <w:t>LAS</w:t>
      </w:r>
      <w:r w:rsidRPr="00531B12">
        <w:rPr>
          <w:rFonts w:ascii="Abadi" w:hAnsi="Abadi"/>
          <w:b/>
          <w:bCs/>
          <w:spacing w:val="61"/>
          <w:sz w:val="20"/>
          <w:szCs w:val="20"/>
        </w:rPr>
        <w:t xml:space="preserve"> </w:t>
      </w:r>
      <w:r w:rsidRPr="00531B12">
        <w:rPr>
          <w:rFonts w:ascii="Abadi" w:hAnsi="Abadi"/>
          <w:b/>
          <w:bCs/>
          <w:sz w:val="20"/>
          <w:szCs w:val="20"/>
        </w:rPr>
        <w:t>POLÍTICAS</w:t>
      </w:r>
      <w:r w:rsidRPr="00531B12">
        <w:rPr>
          <w:rFonts w:ascii="Abadi" w:hAnsi="Abadi"/>
          <w:b/>
          <w:bCs/>
          <w:spacing w:val="61"/>
          <w:sz w:val="20"/>
          <w:szCs w:val="20"/>
        </w:rPr>
        <w:t xml:space="preserve"> </w:t>
      </w:r>
      <w:r w:rsidRPr="00531B12">
        <w:rPr>
          <w:rFonts w:ascii="Abadi" w:hAnsi="Abadi"/>
          <w:b/>
          <w:bCs/>
          <w:sz w:val="20"/>
          <w:szCs w:val="20"/>
        </w:rPr>
        <w:t>PÚBLICAS</w:t>
      </w:r>
      <w:r w:rsidRPr="00531B12">
        <w:rPr>
          <w:rFonts w:ascii="Abadi" w:hAnsi="Abadi"/>
          <w:b/>
          <w:bCs/>
          <w:spacing w:val="61"/>
          <w:sz w:val="20"/>
          <w:szCs w:val="20"/>
        </w:rPr>
        <w:t xml:space="preserve"> </w:t>
      </w:r>
      <w:r w:rsidRPr="00531B12">
        <w:rPr>
          <w:rFonts w:ascii="Abadi" w:hAnsi="Abadi"/>
          <w:b/>
          <w:bCs/>
          <w:sz w:val="20"/>
          <w:szCs w:val="20"/>
        </w:rPr>
        <w:t>SOCIALES</w:t>
      </w:r>
      <w:r w:rsidRPr="00531B12">
        <w:rPr>
          <w:rFonts w:ascii="Abadi" w:hAnsi="Abadi"/>
          <w:b/>
          <w:bCs/>
          <w:spacing w:val="61"/>
          <w:sz w:val="20"/>
          <w:szCs w:val="20"/>
        </w:rPr>
        <w:t xml:space="preserve"> </w:t>
      </w:r>
      <w:r w:rsidRPr="00531B12">
        <w:rPr>
          <w:rFonts w:ascii="Abadi" w:hAnsi="Abadi"/>
          <w:b/>
          <w:bCs/>
          <w:sz w:val="20"/>
          <w:szCs w:val="20"/>
        </w:rPr>
        <w:t>Y</w:t>
      </w:r>
      <w:r w:rsidRPr="00531B12">
        <w:rPr>
          <w:rFonts w:ascii="Abadi" w:hAnsi="Abadi"/>
          <w:b/>
          <w:bCs/>
          <w:spacing w:val="61"/>
          <w:sz w:val="20"/>
          <w:szCs w:val="20"/>
        </w:rPr>
        <w:t xml:space="preserve"> </w:t>
      </w:r>
      <w:r w:rsidRPr="00531B12">
        <w:rPr>
          <w:rFonts w:ascii="Abadi" w:hAnsi="Abadi"/>
          <w:b/>
          <w:bCs/>
          <w:sz w:val="20"/>
          <w:szCs w:val="20"/>
        </w:rPr>
        <w:t>DE</w:t>
      </w:r>
      <w:r w:rsidRPr="00531B12">
        <w:rPr>
          <w:rFonts w:ascii="Abadi" w:hAnsi="Abadi"/>
          <w:b/>
          <w:bCs/>
          <w:spacing w:val="61"/>
          <w:sz w:val="20"/>
          <w:szCs w:val="20"/>
        </w:rPr>
        <w:t xml:space="preserve"> </w:t>
      </w:r>
      <w:r w:rsidRPr="00531B12">
        <w:rPr>
          <w:rFonts w:ascii="Abadi" w:hAnsi="Abadi"/>
          <w:b/>
          <w:bCs/>
          <w:sz w:val="20"/>
          <w:szCs w:val="20"/>
        </w:rPr>
        <w:t>SALUD,</w:t>
      </w:r>
      <w:r w:rsidRPr="00531B12">
        <w:rPr>
          <w:rFonts w:ascii="Abadi" w:hAnsi="Abadi"/>
          <w:b/>
          <w:bCs/>
          <w:spacing w:val="61"/>
          <w:sz w:val="20"/>
          <w:szCs w:val="20"/>
        </w:rPr>
        <w:t xml:space="preserve"> </w:t>
      </w:r>
      <w:r w:rsidRPr="00531B12">
        <w:rPr>
          <w:rFonts w:ascii="Abadi" w:hAnsi="Abadi"/>
          <w:b/>
          <w:bCs/>
          <w:sz w:val="20"/>
          <w:szCs w:val="20"/>
        </w:rPr>
        <w:t>QUE</w:t>
      </w:r>
      <w:r w:rsidRPr="00531B12">
        <w:rPr>
          <w:rFonts w:ascii="Abadi" w:hAnsi="Abadi"/>
          <w:b/>
          <w:bCs/>
          <w:spacing w:val="-1"/>
          <w:sz w:val="20"/>
          <w:szCs w:val="20"/>
        </w:rPr>
        <w:t xml:space="preserve"> </w:t>
      </w:r>
      <w:r w:rsidRPr="00531B12">
        <w:rPr>
          <w:rFonts w:ascii="Abadi" w:hAnsi="Abadi"/>
          <w:b/>
          <w:bCs/>
          <w:sz w:val="20"/>
          <w:szCs w:val="20"/>
        </w:rPr>
        <w:t>ATIENDAN</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MANERA</w:t>
      </w:r>
      <w:r w:rsidRPr="00531B12">
        <w:rPr>
          <w:rFonts w:ascii="Abadi" w:hAnsi="Abadi"/>
          <w:b/>
          <w:bCs/>
          <w:spacing w:val="10"/>
          <w:sz w:val="20"/>
          <w:szCs w:val="20"/>
        </w:rPr>
        <w:t xml:space="preserve"> </w:t>
      </w:r>
      <w:r w:rsidRPr="00531B12">
        <w:rPr>
          <w:rFonts w:ascii="Abadi" w:hAnsi="Abadi"/>
          <w:b/>
          <w:bCs/>
          <w:sz w:val="20"/>
          <w:szCs w:val="20"/>
        </w:rPr>
        <w:t>URGENTE</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1"/>
          <w:sz w:val="20"/>
          <w:szCs w:val="20"/>
        </w:rPr>
        <w:t xml:space="preserve"> </w:t>
      </w:r>
      <w:r w:rsidRPr="00531B12">
        <w:rPr>
          <w:rFonts w:ascii="Abadi" w:hAnsi="Abadi"/>
          <w:b/>
          <w:bCs/>
          <w:sz w:val="20"/>
          <w:szCs w:val="20"/>
        </w:rPr>
        <w:t>PRIORITARIA</w:t>
      </w:r>
      <w:r w:rsidRPr="00531B12">
        <w:rPr>
          <w:rFonts w:ascii="Abadi" w:hAnsi="Abadi"/>
          <w:b/>
          <w:bCs/>
          <w:spacing w:val="10"/>
          <w:sz w:val="20"/>
          <w:szCs w:val="20"/>
        </w:rPr>
        <w:t xml:space="preserve"> </w:t>
      </w:r>
      <w:r w:rsidRPr="00531B12">
        <w:rPr>
          <w:rFonts w:ascii="Abadi" w:hAnsi="Abadi"/>
          <w:b/>
          <w:bCs/>
          <w:sz w:val="20"/>
          <w:szCs w:val="20"/>
        </w:rPr>
        <w:t>A</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POBLACIÓN</w:t>
      </w:r>
      <w:r w:rsidRPr="00531B12">
        <w:rPr>
          <w:rFonts w:ascii="Abadi" w:hAnsi="Abadi"/>
          <w:b/>
          <w:bCs/>
          <w:spacing w:val="10"/>
          <w:sz w:val="20"/>
          <w:szCs w:val="20"/>
        </w:rPr>
        <w:t xml:space="preserve"> </w:t>
      </w:r>
      <w:r w:rsidRPr="00531B12">
        <w:rPr>
          <w:rFonts w:ascii="Abadi" w:hAnsi="Abadi"/>
          <w:b/>
          <w:bCs/>
          <w:sz w:val="20"/>
          <w:szCs w:val="20"/>
        </w:rPr>
        <w:t>GUANAJUATENSE</w:t>
      </w:r>
      <w:r w:rsidRPr="00531B12">
        <w:rPr>
          <w:rFonts w:ascii="Abadi" w:hAnsi="Abadi"/>
          <w:b/>
          <w:bCs/>
          <w:spacing w:val="10"/>
          <w:sz w:val="20"/>
          <w:szCs w:val="20"/>
        </w:rPr>
        <w:t xml:space="preserve"> </w:t>
      </w:r>
      <w:r w:rsidRPr="00531B12">
        <w:rPr>
          <w:rFonts w:ascii="Abadi" w:hAnsi="Abadi"/>
          <w:b/>
          <w:bCs/>
          <w:sz w:val="20"/>
          <w:szCs w:val="20"/>
        </w:rPr>
        <w:t>QUE</w:t>
      </w:r>
      <w:r w:rsidRPr="00531B12">
        <w:rPr>
          <w:rFonts w:ascii="Abadi" w:hAnsi="Abadi"/>
          <w:b/>
          <w:bCs/>
          <w:spacing w:val="-1"/>
          <w:sz w:val="20"/>
          <w:szCs w:val="20"/>
        </w:rPr>
        <w:t xml:space="preserve"> </w:t>
      </w:r>
      <w:r w:rsidRPr="00531B12">
        <w:rPr>
          <w:rFonts w:ascii="Abadi" w:hAnsi="Abadi"/>
          <w:b/>
          <w:bCs/>
          <w:sz w:val="20"/>
          <w:szCs w:val="20"/>
        </w:rPr>
        <w:t>TENGA</w:t>
      </w:r>
      <w:r w:rsidRPr="00531B12">
        <w:rPr>
          <w:rFonts w:ascii="Abadi" w:hAnsi="Abadi"/>
          <w:b/>
          <w:bCs/>
          <w:spacing w:val="51"/>
          <w:sz w:val="20"/>
          <w:szCs w:val="20"/>
        </w:rPr>
        <w:t xml:space="preserve"> </w:t>
      </w:r>
      <w:r w:rsidRPr="00531B12">
        <w:rPr>
          <w:rFonts w:ascii="Abadi" w:hAnsi="Abadi"/>
          <w:b/>
          <w:bCs/>
          <w:sz w:val="20"/>
          <w:szCs w:val="20"/>
        </w:rPr>
        <w:t>ALGUNA</w:t>
      </w:r>
      <w:r w:rsidRPr="00531B12">
        <w:rPr>
          <w:rFonts w:ascii="Abadi" w:hAnsi="Abadi"/>
          <w:b/>
          <w:bCs/>
          <w:spacing w:val="51"/>
          <w:sz w:val="20"/>
          <w:szCs w:val="20"/>
        </w:rPr>
        <w:t xml:space="preserve"> </w:t>
      </w:r>
      <w:r w:rsidRPr="00531B12">
        <w:rPr>
          <w:rFonts w:ascii="Abadi" w:hAnsi="Abadi"/>
          <w:b/>
          <w:bCs/>
          <w:sz w:val="20"/>
          <w:szCs w:val="20"/>
        </w:rPr>
        <w:t>ADICCIÓN</w:t>
      </w:r>
      <w:r w:rsidRPr="00531B12">
        <w:rPr>
          <w:rFonts w:ascii="Abadi" w:hAnsi="Abadi"/>
          <w:b/>
          <w:bCs/>
          <w:spacing w:val="51"/>
          <w:sz w:val="20"/>
          <w:szCs w:val="20"/>
        </w:rPr>
        <w:t xml:space="preserve"> </w:t>
      </w:r>
      <w:r w:rsidRPr="00531B12">
        <w:rPr>
          <w:rFonts w:ascii="Abadi" w:hAnsi="Abadi"/>
          <w:b/>
          <w:bCs/>
          <w:sz w:val="20"/>
          <w:szCs w:val="20"/>
        </w:rPr>
        <w:t>A</w:t>
      </w:r>
      <w:r w:rsidRPr="00531B12">
        <w:rPr>
          <w:rFonts w:ascii="Abadi" w:hAnsi="Abadi"/>
          <w:b/>
          <w:bCs/>
          <w:spacing w:val="51"/>
          <w:sz w:val="20"/>
          <w:szCs w:val="20"/>
        </w:rPr>
        <w:t xml:space="preserve"> </w:t>
      </w:r>
      <w:r w:rsidRPr="00531B12">
        <w:rPr>
          <w:rFonts w:ascii="Abadi" w:hAnsi="Abadi"/>
          <w:b/>
          <w:bCs/>
          <w:sz w:val="20"/>
          <w:szCs w:val="20"/>
        </w:rPr>
        <w:t>DROGAS</w:t>
      </w:r>
      <w:r w:rsidRPr="00531B12">
        <w:rPr>
          <w:rFonts w:ascii="Abadi" w:hAnsi="Abadi"/>
          <w:b/>
          <w:bCs/>
          <w:spacing w:val="51"/>
          <w:sz w:val="20"/>
          <w:szCs w:val="20"/>
        </w:rPr>
        <w:t xml:space="preserve"> </w:t>
      </w:r>
      <w:r w:rsidRPr="00531B12">
        <w:rPr>
          <w:rFonts w:ascii="Abadi" w:hAnsi="Abadi"/>
          <w:b/>
          <w:bCs/>
          <w:sz w:val="20"/>
          <w:szCs w:val="20"/>
        </w:rPr>
        <w:t>ILÍCITAS</w:t>
      </w:r>
      <w:r w:rsidRPr="00531B12">
        <w:rPr>
          <w:rFonts w:ascii="Abadi" w:hAnsi="Abadi"/>
          <w:b/>
          <w:bCs/>
          <w:spacing w:val="51"/>
          <w:sz w:val="20"/>
          <w:szCs w:val="20"/>
        </w:rPr>
        <w:t xml:space="preserve"> </w:t>
      </w:r>
      <w:r w:rsidRPr="00531B12">
        <w:rPr>
          <w:rFonts w:ascii="Abadi" w:hAnsi="Abadi"/>
          <w:b/>
          <w:bCs/>
          <w:sz w:val="20"/>
          <w:szCs w:val="20"/>
        </w:rPr>
        <w:t>Y,</w:t>
      </w:r>
      <w:r w:rsidRPr="00531B12">
        <w:rPr>
          <w:rFonts w:ascii="Abadi" w:hAnsi="Abadi"/>
          <w:b/>
          <w:bCs/>
          <w:spacing w:val="50"/>
          <w:sz w:val="20"/>
          <w:szCs w:val="20"/>
        </w:rPr>
        <w:t xml:space="preserve"> </w:t>
      </w:r>
      <w:r w:rsidRPr="00531B12">
        <w:rPr>
          <w:rFonts w:ascii="Abadi" w:hAnsi="Abadi"/>
          <w:b/>
          <w:bCs/>
          <w:sz w:val="20"/>
          <w:szCs w:val="20"/>
        </w:rPr>
        <w:t>EN</w:t>
      </w:r>
      <w:r w:rsidRPr="00531B12">
        <w:rPr>
          <w:rFonts w:ascii="Abadi" w:hAnsi="Abadi"/>
          <w:b/>
          <w:bCs/>
          <w:spacing w:val="51"/>
          <w:sz w:val="20"/>
          <w:szCs w:val="20"/>
        </w:rPr>
        <w:t xml:space="preserve"> </w:t>
      </w:r>
      <w:r w:rsidRPr="00531B12">
        <w:rPr>
          <w:rFonts w:ascii="Abadi" w:hAnsi="Abadi"/>
          <w:b/>
          <w:bCs/>
          <w:sz w:val="20"/>
          <w:szCs w:val="20"/>
        </w:rPr>
        <w:t>SU</w:t>
      </w:r>
      <w:r w:rsidRPr="00531B12">
        <w:rPr>
          <w:rFonts w:ascii="Abadi" w:hAnsi="Abadi"/>
          <w:b/>
          <w:bCs/>
          <w:spacing w:val="51"/>
          <w:sz w:val="20"/>
          <w:szCs w:val="20"/>
        </w:rPr>
        <w:t xml:space="preserve"> </w:t>
      </w:r>
      <w:r w:rsidRPr="00531B12">
        <w:rPr>
          <w:rFonts w:ascii="Abadi" w:hAnsi="Abadi"/>
          <w:b/>
          <w:bCs/>
          <w:sz w:val="20"/>
          <w:szCs w:val="20"/>
        </w:rPr>
        <w:t>CASO,</w:t>
      </w:r>
      <w:r w:rsidRPr="00531B12">
        <w:rPr>
          <w:rFonts w:ascii="Abadi" w:hAnsi="Abadi"/>
          <w:b/>
          <w:bCs/>
          <w:spacing w:val="50"/>
          <w:sz w:val="20"/>
          <w:szCs w:val="20"/>
        </w:rPr>
        <w:t xml:space="preserve"> </w:t>
      </w:r>
      <w:r w:rsidRPr="00531B12">
        <w:rPr>
          <w:rFonts w:ascii="Abadi" w:hAnsi="Abadi"/>
          <w:b/>
          <w:bCs/>
          <w:sz w:val="20"/>
          <w:szCs w:val="20"/>
        </w:rPr>
        <w:t>APROBACIÓN</w:t>
      </w:r>
      <w:r w:rsidRPr="00531B12">
        <w:rPr>
          <w:rFonts w:ascii="Abadi" w:hAnsi="Abadi"/>
          <w:b/>
          <w:bCs/>
          <w:spacing w:val="51"/>
          <w:sz w:val="20"/>
          <w:szCs w:val="20"/>
        </w:rPr>
        <w:t xml:space="preserve"> </w:t>
      </w:r>
      <w:r w:rsidRPr="00531B12">
        <w:rPr>
          <w:rFonts w:ascii="Abadi" w:hAnsi="Abadi"/>
          <w:b/>
          <w:bCs/>
          <w:sz w:val="20"/>
          <w:szCs w:val="20"/>
        </w:rPr>
        <w:t>DE</w:t>
      </w:r>
      <w:r w:rsidRPr="00531B12">
        <w:rPr>
          <w:rFonts w:ascii="Abadi" w:hAnsi="Abadi"/>
          <w:b/>
          <w:bCs/>
          <w:spacing w:val="51"/>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MISMA.</w:t>
      </w:r>
    </w:p>
    <w:p w14:paraId="62D531FE" w14:textId="77777777" w:rsidR="00C24F12" w:rsidRPr="00C24F12" w:rsidRDefault="00C24F12" w:rsidP="00C24F12">
      <w:pPr>
        <w:tabs>
          <w:tab w:val="left" w:pos="845"/>
        </w:tabs>
        <w:kinsoku w:val="0"/>
        <w:overflowPunct w:val="0"/>
        <w:autoSpaceDE w:val="0"/>
        <w:autoSpaceDN w:val="0"/>
        <w:adjustRightInd w:val="0"/>
        <w:ind w:left="360" w:right="17"/>
        <w:jc w:val="both"/>
        <w:rPr>
          <w:rFonts w:ascii="Abadi" w:hAnsi="Abadi"/>
          <w:b/>
          <w:bCs/>
          <w:sz w:val="20"/>
          <w:szCs w:val="20"/>
        </w:rPr>
      </w:pPr>
    </w:p>
    <w:p w14:paraId="4070A89C" w14:textId="77777777" w:rsidR="00695D64" w:rsidRPr="00F806EE" w:rsidRDefault="00695D64" w:rsidP="00695D64">
      <w:pPr>
        <w:autoSpaceDE w:val="0"/>
        <w:autoSpaceDN w:val="0"/>
        <w:adjustRightInd w:val="0"/>
        <w:jc w:val="both"/>
        <w:rPr>
          <w:rFonts w:ascii="Abadi" w:hAnsi="Abadi" w:cs="Calibri-Bold"/>
          <w:b/>
          <w:bCs/>
          <w:sz w:val="21"/>
          <w:szCs w:val="21"/>
        </w:rPr>
      </w:pPr>
      <w:r w:rsidRPr="00F806EE">
        <w:rPr>
          <w:rFonts w:ascii="Abadi" w:hAnsi="Abadi" w:cs="Calibri-Bold"/>
          <w:b/>
          <w:bCs/>
          <w:sz w:val="21"/>
          <w:szCs w:val="21"/>
        </w:rPr>
        <w:t>Diputada Irma Leticia González Sánchez</w:t>
      </w:r>
    </w:p>
    <w:p w14:paraId="3D014F2D" w14:textId="77777777" w:rsidR="00695D64" w:rsidRPr="00F806EE" w:rsidRDefault="00695D64" w:rsidP="00695D64">
      <w:pPr>
        <w:autoSpaceDE w:val="0"/>
        <w:autoSpaceDN w:val="0"/>
        <w:adjustRightInd w:val="0"/>
        <w:jc w:val="both"/>
        <w:rPr>
          <w:rFonts w:ascii="Abadi" w:hAnsi="Abadi" w:cs="Calibri"/>
          <w:sz w:val="21"/>
          <w:szCs w:val="21"/>
        </w:rPr>
      </w:pPr>
      <w:r w:rsidRPr="00F806EE">
        <w:rPr>
          <w:rFonts w:ascii="Abadi" w:hAnsi="Abadi" w:cs="Calibri"/>
          <w:sz w:val="21"/>
          <w:szCs w:val="21"/>
        </w:rPr>
        <w:t>Presidenta de la Mesa Directiva de la</w:t>
      </w:r>
    </w:p>
    <w:p w14:paraId="76473767" w14:textId="77777777" w:rsidR="00695D64" w:rsidRPr="00F806EE" w:rsidRDefault="00695D64" w:rsidP="00695D64">
      <w:pPr>
        <w:autoSpaceDE w:val="0"/>
        <w:autoSpaceDN w:val="0"/>
        <w:adjustRightInd w:val="0"/>
        <w:jc w:val="both"/>
        <w:rPr>
          <w:rFonts w:ascii="Abadi" w:hAnsi="Abadi" w:cs="Calibri"/>
          <w:sz w:val="21"/>
          <w:szCs w:val="21"/>
        </w:rPr>
      </w:pPr>
      <w:r w:rsidRPr="00F806EE">
        <w:rPr>
          <w:rFonts w:ascii="Abadi" w:hAnsi="Abadi" w:cs="Calibri"/>
          <w:sz w:val="21"/>
          <w:szCs w:val="21"/>
        </w:rPr>
        <w:t>LXV Legislatura del Estado de Guanajuato.</w:t>
      </w:r>
    </w:p>
    <w:p w14:paraId="25256441" w14:textId="77777777" w:rsidR="00695D64" w:rsidRPr="00F806EE" w:rsidRDefault="00695D64" w:rsidP="00695D64">
      <w:pPr>
        <w:autoSpaceDE w:val="0"/>
        <w:autoSpaceDN w:val="0"/>
        <w:adjustRightInd w:val="0"/>
        <w:jc w:val="both"/>
        <w:rPr>
          <w:rFonts w:ascii="Abadi" w:hAnsi="Abadi" w:cs="Calibri-Italic"/>
          <w:i/>
          <w:iCs/>
          <w:sz w:val="21"/>
          <w:szCs w:val="21"/>
        </w:rPr>
      </w:pPr>
      <w:r w:rsidRPr="00F806EE">
        <w:rPr>
          <w:rFonts w:ascii="Abadi" w:hAnsi="Abadi" w:cs="Calibri-Italic"/>
          <w:i/>
          <w:iCs/>
          <w:sz w:val="21"/>
          <w:szCs w:val="21"/>
        </w:rPr>
        <w:t>P r e s e n t e</w:t>
      </w:r>
    </w:p>
    <w:p w14:paraId="2683D294" w14:textId="77777777" w:rsidR="00695D64" w:rsidRPr="00F806EE" w:rsidRDefault="00695D64" w:rsidP="00695D64">
      <w:pPr>
        <w:autoSpaceDE w:val="0"/>
        <w:autoSpaceDN w:val="0"/>
        <w:adjustRightInd w:val="0"/>
        <w:jc w:val="both"/>
        <w:rPr>
          <w:rFonts w:ascii="Abadi" w:hAnsi="Abadi" w:cs="Calibri-Italic"/>
          <w:i/>
          <w:iCs/>
          <w:sz w:val="21"/>
          <w:szCs w:val="21"/>
        </w:rPr>
      </w:pPr>
    </w:p>
    <w:p w14:paraId="2A323DC0" w14:textId="77777777" w:rsidR="00695D64" w:rsidRPr="00F806EE" w:rsidRDefault="00695D64" w:rsidP="00695D64">
      <w:pPr>
        <w:autoSpaceDE w:val="0"/>
        <w:autoSpaceDN w:val="0"/>
        <w:adjustRightInd w:val="0"/>
        <w:jc w:val="both"/>
        <w:rPr>
          <w:rFonts w:ascii="Abadi" w:hAnsi="Abadi" w:cs="Calibri"/>
          <w:sz w:val="21"/>
          <w:szCs w:val="21"/>
        </w:rPr>
      </w:pPr>
      <w:r w:rsidRPr="00F806EE">
        <w:rPr>
          <w:rFonts w:ascii="Abadi" w:hAnsi="Abadi" w:cs="Calibri"/>
          <w:sz w:val="21"/>
          <w:szCs w:val="21"/>
        </w:rPr>
        <w:t xml:space="preserve">El que suscribe, </w:t>
      </w:r>
      <w:r w:rsidRPr="00F806EE">
        <w:rPr>
          <w:rFonts w:ascii="Abadi" w:hAnsi="Abadi" w:cs="Calibri-Italic"/>
          <w:i/>
          <w:iCs/>
          <w:sz w:val="21"/>
          <w:szCs w:val="21"/>
        </w:rPr>
        <w:t xml:space="preserve">Diputado </w:t>
      </w:r>
      <w:r w:rsidRPr="00F806EE">
        <w:rPr>
          <w:rFonts w:ascii="Abadi" w:hAnsi="Abadi" w:cs="Calibri-Bold"/>
          <w:b/>
          <w:bCs/>
          <w:sz w:val="21"/>
          <w:szCs w:val="21"/>
        </w:rPr>
        <w:t xml:space="preserve">ERNESTO ALEJANDRO PRIETO GALLARDO, </w:t>
      </w:r>
      <w:r w:rsidRPr="00F806EE">
        <w:rPr>
          <w:rFonts w:ascii="Abadi" w:hAnsi="Abadi" w:cs="Calibri"/>
          <w:sz w:val="21"/>
          <w:szCs w:val="21"/>
        </w:rPr>
        <w:t>del Grupo</w:t>
      </w:r>
      <w:r>
        <w:rPr>
          <w:rFonts w:ascii="Abadi" w:hAnsi="Abadi" w:cs="Calibri"/>
          <w:sz w:val="21"/>
          <w:szCs w:val="21"/>
        </w:rPr>
        <w:t xml:space="preserve"> </w:t>
      </w:r>
      <w:r w:rsidRPr="00F806EE">
        <w:rPr>
          <w:rFonts w:ascii="Abadi" w:hAnsi="Abadi" w:cs="Calibri"/>
          <w:sz w:val="21"/>
          <w:szCs w:val="21"/>
        </w:rPr>
        <w:t xml:space="preserve">Parlamentario de </w:t>
      </w:r>
      <w:r w:rsidRPr="00F806EE">
        <w:rPr>
          <w:rFonts w:ascii="Abadi" w:hAnsi="Abadi" w:cs="Calibri-BoldItalic"/>
          <w:b/>
          <w:bCs/>
          <w:i/>
          <w:iCs/>
          <w:sz w:val="21"/>
          <w:szCs w:val="21"/>
        </w:rPr>
        <w:t>morena</w:t>
      </w:r>
      <w:r w:rsidRPr="00F806EE">
        <w:rPr>
          <w:rFonts w:ascii="Abadi" w:hAnsi="Abadi" w:cs="Calibri"/>
          <w:sz w:val="21"/>
          <w:szCs w:val="21"/>
        </w:rPr>
        <w:t>, de esta Sexagésima Quinta Legislatura del Congreso del Estado de</w:t>
      </w:r>
      <w:r>
        <w:rPr>
          <w:rFonts w:ascii="Abadi" w:hAnsi="Abadi" w:cs="Calibri"/>
          <w:sz w:val="21"/>
          <w:szCs w:val="21"/>
        </w:rPr>
        <w:t xml:space="preserve"> </w:t>
      </w:r>
      <w:r w:rsidRPr="00F806EE">
        <w:rPr>
          <w:rFonts w:ascii="Abadi" w:hAnsi="Abadi" w:cs="Calibri"/>
          <w:sz w:val="21"/>
          <w:szCs w:val="21"/>
        </w:rPr>
        <w:t xml:space="preserve">Guanajuato, con fundamento en el primer párrafo del artículo 57, de la </w:t>
      </w:r>
      <w:r w:rsidRPr="00F806EE">
        <w:rPr>
          <w:rFonts w:ascii="Abadi" w:hAnsi="Abadi" w:cs="Calibri-Italic"/>
          <w:i/>
          <w:iCs/>
          <w:sz w:val="21"/>
          <w:szCs w:val="21"/>
        </w:rPr>
        <w:t xml:space="preserve">Constitución Política </w:t>
      </w:r>
      <w:r>
        <w:rPr>
          <w:rFonts w:ascii="Abadi" w:hAnsi="Abadi" w:cs="Calibri-Italic"/>
          <w:i/>
          <w:iCs/>
          <w:sz w:val="21"/>
          <w:szCs w:val="21"/>
        </w:rPr>
        <w:t xml:space="preserve"> </w:t>
      </w:r>
      <w:r w:rsidRPr="00F806EE">
        <w:rPr>
          <w:rFonts w:ascii="Abadi" w:hAnsi="Abadi" w:cs="Calibri-Italic"/>
          <w:i/>
          <w:iCs/>
          <w:sz w:val="21"/>
          <w:szCs w:val="21"/>
        </w:rPr>
        <w:t>para el</w:t>
      </w:r>
      <w:r>
        <w:rPr>
          <w:rFonts w:ascii="Abadi" w:hAnsi="Abadi" w:cs="Calibri-Italic"/>
          <w:i/>
          <w:iCs/>
          <w:sz w:val="21"/>
          <w:szCs w:val="21"/>
        </w:rPr>
        <w:t xml:space="preserve"> </w:t>
      </w:r>
      <w:r w:rsidRPr="00F806EE">
        <w:rPr>
          <w:rFonts w:ascii="Abadi" w:hAnsi="Abadi" w:cs="Calibri-Italic"/>
          <w:i/>
          <w:iCs/>
          <w:sz w:val="21"/>
          <w:szCs w:val="21"/>
        </w:rPr>
        <w:t>Estado de Guanajuato</w:t>
      </w:r>
      <w:r w:rsidRPr="00F806EE">
        <w:rPr>
          <w:rFonts w:ascii="Abadi" w:hAnsi="Abadi" w:cs="Calibri"/>
          <w:sz w:val="21"/>
          <w:szCs w:val="21"/>
        </w:rPr>
        <w:t xml:space="preserve">; y en los artículos 177 y 204 fracción III de la </w:t>
      </w:r>
      <w:r w:rsidRPr="00F806EE">
        <w:rPr>
          <w:rFonts w:ascii="Abadi" w:hAnsi="Abadi" w:cs="Calibri-Italic"/>
          <w:i/>
          <w:iCs/>
          <w:sz w:val="21"/>
          <w:szCs w:val="21"/>
        </w:rPr>
        <w:t>Ley Orgánica del Poder</w:t>
      </w:r>
      <w:r>
        <w:rPr>
          <w:rFonts w:ascii="Abadi" w:hAnsi="Abadi" w:cs="Calibri-Italic"/>
          <w:i/>
          <w:iCs/>
          <w:sz w:val="21"/>
          <w:szCs w:val="21"/>
        </w:rPr>
        <w:t xml:space="preserve"> </w:t>
      </w:r>
      <w:r w:rsidRPr="00F806EE">
        <w:rPr>
          <w:rFonts w:ascii="Abadi" w:hAnsi="Abadi" w:cs="Calibri-Italic"/>
          <w:i/>
          <w:iCs/>
          <w:sz w:val="21"/>
          <w:szCs w:val="21"/>
        </w:rPr>
        <w:t>Legislativo del Estado de Guanajuato</w:t>
      </w:r>
      <w:r w:rsidRPr="00F806EE">
        <w:rPr>
          <w:rFonts w:ascii="Abadi" w:hAnsi="Abadi" w:cs="Calibri"/>
          <w:sz w:val="21"/>
          <w:szCs w:val="21"/>
        </w:rPr>
        <w:t>, me permito someter a la consideración de esta Asamblea</w:t>
      </w:r>
      <w:r>
        <w:rPr>
          <w:rFonts w:ascii="Abadi" w:hAnsi="Abadi" w:cs="Calibri"/>
          <w:sz w:val="21"/>
          <w:szCs w:val="21"/>
        </w:rPr>
        <w:t xml:space="preserve"> </w:t>
      </w:r>
      <w:r w:rsidRPr="00F806EE">
        <w:rPr>
          <w:rFonts w:ascii="Abadi" w:hAnsi="Abadi" w:cs="Calibri"/>
          <w:sz w:val="21"/>
          <w:szCs w:val="21"/>
        </w:rPr>
        <w:t xml:space="preserve">para su aprobación, el siguiente </w:t>
      </w:r>
      <w:r w:rsidRPr="00F806EE">
        <w:rPr>
          <w:rFonts w:ascii="Abadi" w:hAnsi="Abadi" w:cs="Calibri-Bold"/>
          <w:b/>
          <w:bCs/>
          <w:sz w:val="21"/>
          <w:szCs w:val="21"/>
        </w:rPr>
        <w:t>Punto de Acuerdo de obvia resolución</w:t>
      </w:r>
      <w:r w:rsidRPr="00F806EE">
        <w:rPr>
          <w:rFonts w:ascii="Abadi" w:hAnsi="Abadi" w:cs="Calibri"/>
          <w:sz w:val="21"/>
          <w:szCs w:val="21"/>
        </w:rPr>
        <w:t>, de conformidad con la</w:t>
      </w:r>
      <w:r>
        <w:rPr>
          <w:rFonts w:ascii="Abadi" w:hAnsi="Abadi" w:cs="Calibri"/>
          <w:sz w:val="21"/>
          <w:szCs w:val="21"/>
        </w:rPr>
        <w:t xml:space="preserve"> </w:t>
      </w:r>
      <w:r w:rsidRPr="00F806EE">
        <w:rPr>
          <w:rFonts w:ascii="Abadi" w:hAnsi="Abadi" w:cs="Calibri"/>
          <w:sz w:val="21"/>
          <w:szCs w:val="21"/>
        </w:rPr>
        <w:t>siguiente:</w:t>
      </w:r>
    </w:p>
    <w:p w14:paraId="6477BB40" w14:textId="77777777" w:rsidR="00695D64" w:rsidRPr="00F806EE" w:rsidRDefault="00695D64" w:rsidP="00695D64">
      <w:pPr>
        <w:autoSpaceDE w:val="0"/>
        <w:autoSpaceDN w:val="0"/>
        <w:adjustRightInd w:val="0"/>
        <w:jc w:val="both"/>
        <w:rPr>
          <w:rFonts w:ascii="Abadi" w:hAnsi="Abadi" w:cs="Calibri"/>
          <w:sz w:val="21"/>
          <w:szCs w:val="21"/>
        </w:rPr>
      </w:pPr>
    </w:p>
    <w:p w14:paraId="6057718C" w14:textId="77777777" w:rsidR="00695D64" w:rsidRPr="00F806EE" w:rsidRDefault="00695D64" w:rsidP="00695D64">
      <w:pPr>
        <w:autoSpaceDE w:val="0"/>
        <w:autoSpaceDN w:val="0"/>
        <w:adjustRightInd w:val="0"/>
        <w:jc w:val="center"/>
        <w:rPr>
          <w:rFonts w:ascii="Abadi" w:hAnsi="Abadi" w:cs="Calibri-Bold"/>
          <w:b/>
          <w:bCs/>
          <w:sz w:val="21"/>
          <w:szCs w:val="21"/>
        </w:rPr>
      </w:pPr>
      <w:r w:rsidRPr="00F806EE">
        <w:rPr>
          <w:rFonts w:ascii="Abadi" w:hAnsi="Abadi" w:cs="Calibri-Bold"/>
          <w:b/>
          <w:bCs/>
          <w:sz w:val="21"/>
          <w:szCs w:val="21"/>
        </w:rPr>
        <w:t>EXPOSICIÓN DE MOTIVOS:</w:t>
      </w:r>
    </w:p>
    <w:p w14:paraId="15ABE5E6" w14:textId="77777777" w:rsidR="00695D64" w:rsidRPr="00F806EE" w:rsidRDefault="00695D64" w:rsidP="00695D64">
      <w:pPr>
        <w:autoSpaceDE w:val="0"/>
        <w:autoSpaceDN w:val="0"/>
        <w:adjustRightInd w:val="0"/>
        <w:jc w:val="both"/>
        <w:rPr>
          <w:rFonts w:ascii="Abadi" w:hAnsi="Abadi" w:cs="Calibri-Bold"/>
          <w:b/>
          <w:bCs/>
          <w:sz w:val="21"/>
          <w:szCs w:val="21"/>
        </w:rPr>
      </w:pPr>
    </w:p>
    <w:p w14:paraId="7E9F5A74" w14:textId="77777777" w:rsidR="00695D64" w:rsidRPr="00F806EE" w:rsidRDefault="00695D64" w:rsidP="00695D64">
      <w:pPr>
        <w:autoSpaceDE w:val="0"/>
        <w:autoSpaceDN w:val="0"/>
        <w:adjustRightInd w:val="0"/>
        <w:jc w:val="both"/>
        <w:rPr>
          <w:rFonts w:ascii="Abadi" w:hAnsi="Abadi" w:cs="Calibri"/>
          <w:sz w:val="21"/>
          <w:szCs w:val="21"/>
        </w:rPr>
      </w:pPr>
      <w:r w:rsidRPr="00F806EE">
        <w:rPr>
          <w:rFonts w:ascii="Abadi" w:hAnsi="Abadi" w:cs="Calibri"/>
          <w:sz w:val="21"/>
          <w:szCs w:val="21"/>
        </w:rPr>
        <w:t>Recientemente el Secretario de Seguridad Pública del Estado, Alvar Cabeza de Vaca Appendini,</w:t>
      </w:r>
      <w:r>
        <w:rPr>
          <w:rFonts w:ascii="Abadi" w:hAnsi="Abadi" w:cs="Calibri"/>
          <w:sz w:val="21"/>
          <w:szCs w:val="21"/>
        </w:rPr>
        <w:t xml:space="preserve"> </w:t>
      </w:r>
      <w:r w:rsidRPr="00F806EE">
        <w:rPr>
          <w:rFonts w:ascii="Abadi" w:hAnsi="Abadi" w:cs="Calibri"/>
          <w:sz w:val="21"/>
          <w:szCs w:val="21"/>
        </w:rPr>
        <w:t>declaró que se estima un universo de 600 mil personas adictas a algún tipo de droga en el Estado</w:t>
      </w:r>
    </w:p>
    <w:p w14:paraId="425E134B" w14:textId="77777777" w:rsidR="00695D64" w:rsidRDefault="00695D64" w:rsidP="00695D64">
      <w:pPr>
        <w:autoSpaceDE w:val="0"/>
        <w:autoSpaceDN w:val="0"/>
        <w:adjustRightInd w:val="0"/>
        <w:jc w:val="both"/>
        <w:rPr>
          <w:rFonts w:ascii="Abadi" w:hAnsi="Abadi" w:cs="Calibri"/>
          <w:sz w:val="21"/>
          <w:szCs w:val="21"/>
        </w:rPr>
      </w:pPr>
      <w:r w:rsidRPr="00F806EE">
        <w:rPr>
          <w:rFonts w:ascii="Abadi" w:hAnsi="Abadi" w:cs="Calibri"/>
          <w:sz w:val="21"/>
          <w:szCs w:val="21"/>
        </w:rPr>
        <w:t>de Guanajuato.</w:t>
      </w:r>
    </w:p>
    <w:p w14:paraId="2E170787" w14:textId="77777777" w:rsidR="00695D64" w:rsidRPr="00F806EE" w:rsidRDefault="00695D64" w:rsidP="00695D64">
      <w:pPr>
        <w:autoSpaceDE w:val="0"/>
        <w:autoSpaceDN w:val="0"/>
        <w:adjustRightInd w:val="0"/>
        <w:jc w:val="both"/>
        <w:rPr>
          <w:rFonts w:ascii="Abadi" w:hAnsi="Abadi" w:cs="Calibri"/>
          <w:sz w:val="21"/>
          <w:szCs w:val="21"/>
        </w:rPr>
      </w:pPr>
    </w:p>
    <w:p w14:paraId="4488935E" w14:textId="77777777" w:rsidR="00695D64" w:rsidRPr="00F806EE" w:rsidRDefault="00695D64" w:rsidP="00695D64">
      <w:pPr>
        <w:autoSpaceDE w:val="0"/>
        <w:autoSpaceDN w:val="0"/>
        <w:adjustRightInd w:val="0"/>
        <w:jc w:val="both"/>
        <w:rPr>
          <w:rFonts w:ascii="Abadi" w:hAnsi="Abadi" w:cs="Calibri"/>
          <w:sz w:val="21"/>
          <w:szCs w:val="21"/>
        </w:rPr>
      </w:pPr>
      <w:r w:rsidRPr="00F806EE">
        <w:rPr>
          <w:rFonts w:ascii="Abadi" w:hAnsi="Abadi" w:cs="Calibri"/>
          <w:sz w:val="21"/>
          <w:szCs w:val="21"/>
        </w:rPr>
        <w:t>Además de ser una cantidad muy considerable de personas, al representar ese número casi un 10%</w:t>
      </w:r>
    </w:p>
    <w:p w14:paraId="468A685F" w14:textId="77777777" w:rsidR="00695D64" w:rsidRDefault="00695D64" w:rsidP="00695D64">
      <w:pPr>
        <w:autoSpaceDE w:val="0"/>
        <w:autoSpaceDN w:val="0"/>
        <w:adjustRightInd w:val="0"/>
        <w:jc w:val="both"/>
        <w:rPr>
          <w:rFonts w:ascii="Abadi" w:hAnsi="Abadi" w:cs="Calibri"/>
          <w:sz w:val="21"/>
          <w:szCs w:val="21"/>
        </w:rPr>
      </w:pPr>
      <w:r w:rsidRPr="00F806EE">
        <w:rPr>
          <w:rFonts w:ascii="Abadi" w:hAnsi="Abadi" w:cs="Calibri"/>
          <w:sz w:val="21"/>
          <w:szCs w:val="21"/>
        </w:rPr>
        <w:t>de la población total del estado, sin duda alguna resulta preocupante la situación.</w:t>
      </w:r>
    </w:p>
    <w:p w14:paraId="46D2DB94" w14:textId="77777777" w:rsidR="00695D64" w:rsidRPr="00F806EE" w:rsidRDefault="00695D64" w:rsidP="00695D64">
      <w:pPr>
        <w:autoSpaceDE w:val="0"/>
        <w:autoSpaceDN w:val="0"/>
        <w:adjustRightInd w:val="0"/>
        <w:jc w:val="both"/>
        <w:rPr>
          <w:rFonts w:ascii="Abadi" w:hAnsi="Abadi" w:cs="Calibri"/>
          <w:sz w:val="21"/>
          <w:szCs w:val="21"/>
        </w:rPr>
      </w:pPr>
    </w:p>
    <w:p w14:paraId="223E9928" w14:textId="77777777" w:rsidR="00695D64" w:rsidRPr="00F806EE" w:rsidRDefault="00695D64" w:rsidP="00695D64">
      <w:pPr>
        <w:autoSpaceDE w:val="0"/>
        <w:autoSpaceDN w:val="0"/>
        <w:adjustRightInd w:val="0"/>
        <w:jc w:val="both"/>
        <w:rPr>
          <w:rFonts w:ascii="Abadi" w:hAnsi="Abadi" w:cs="Calibri"/>
          <w:sz w:val="21"/>
          <w:szCs w:val="21"/>
        </w:rPr>
      </w:pPr>
      <w:r w:rsidRPr="00F806EE">
        <w:rPr>
          <w:rFonts w:ascii="Abadi" w:hAnsi="Abadi" w:cs="Calibri"/>
          <w:sz w:val="21"/>
          <w:szCs w:val="21"/>
        </w:rPr>
        <w:t>Con el efecto de dimensionar esta circunstancia, si se hace un ejercicio de división entre el número</w:t>
      </w:r>
    </w:p>
    <w:p w14:paraId="78284BDA" w14:textId="212E9815" w:rsidR="00695D64" w:rsidRPr="00F806EE" w:rsidRDefault="00695D64" w:rsidP="00695D64">
      <w:pPr>
        <w:autoSpaceDE w:val="0"/>
        <w:autoSpaceDN w:val="0"/>
        <w:adjustRightInd w:val="0"/>
        <w:jc w:val="both"/>
        <w:rPr>
          <w:rFonts w:ascii="Abadi" w:hAnsi="Abadi" w:cs="Calibri"/>
          <w:sz w:val="21"/>
          <w:szCs w:val="21"/>
        </w:rPr>
      </w:pPr>
      <w:r w:rsidRPr="00F806EE">
        <w:rPr>
          <w:rFonts w:ascii="Abadi" w:hAnsi="Abadi" w:cs="Calibri"/>
          <w:sz w:val="21"/>
          <w:szCs w:val="21"/>
        </w:rPr>
        <w:t>de municipios del Estado, correspondería la existencia de 13,043 adictos a cada uno de los 46</w:t>
      </w:r>
      <w:r>
        <w:rPr>
          <w:rFonts w:ascii="Abadi" w:hAnsi="Abadi" w:cs="Calibri"/>
          <w:sz w:val="21"/>
          <w:szCs w:val="21"/>
        </w:rPr>
        <w:t xml:space="preserve"> </w:t>
      </w:r>
      <w:r w:rsidRPr="00F806EE">
        <w:rPr>
          <w:rFonts w:ascii="Abadi" w:hAnsi="Abadi" w:cs="Calibri"/>
          <w:sz w:val="21"/>
          <w:szCs w:val="21"/>
        </w:rPr>
        <w:t>municipios, lo que resulta ser un número superior al de la población total que tienen municipios</w:t>
      </w:r>
      <w:r>
        <w:rPr>
          <w:rFonts w:ascii="Abadi" w:hAnsi="Abadi" w:cs="Calibri"/>
          <w:sz w:val="21"/>
          <w:szCs w:val="21"/>
        </w:rPr>
        <w:t xml:space="preserve"> </w:t>
      </w:r>
      <w:r w:rsidRPr="00F806EE">
        <w:rPr>
          <w:rFonts w:ascii="Abadi" w:hAnsi="Abadi" w:cs="Calibri"/>
          <w:sz w:val="21"/>
          <w:szCs w:val="21"/>
        </w:rPr>
        <w:t>como Atarjea, Coroneo, Pueblo Nuevo, Santiago Maravatío, Tarandacuao, Santa Catarina y Xichú; y</w:t>
      </w:r>
      <w:r>
        <w:rPr>
          <w:rFonts w:ascii="Abadi" w:hAnsi="Abadi" w:cs="Calibri"/>
          <w:sz w:val="21"/>
          <w:szCs w:val="21"/>
        </w:rPr>
        <w:t xml:space="preserve"> </w:t>
      </w:r>
      <w:r w:rsidRPr="00F806EE">
        <w:rPr>
          <w:rFonts w:ascii="Abadi" w:hAnsi="Abadi" w:cs="Calibri"/>
          <w:sz w:val="21"/>
          <w:szCs w:val="21"/>
        </w:rPr>
        <w:t>representa alrededor de la mitad de los habitantes que tienen municipios como Victoria, Tierra</w:t>
      </w:r>
      <w:r>
        <w:rPr>
          <w:rFonts w:ascii="Abadi" w:hAnsi="Abadi" w:cs="Calibri"/>
          <w:sz w:val="21"/>
          <w:szCs w:val="21"/>
        </w:rPr>
        <w:t xml:space="preserve"> </w:t>
      </w:r>
      <w:r w:rsidRPr="00F806EE">
        <w:rPr>
          <w:rFonts w:ascii="Abadi" w:hAnsi="Abadi" w:cs="Calibri"/>
          <w:sz w:val="21"/>
          <w:szCs w:val="21"/>
        </w:rPr>
        <w:t>Blanca, Ocampo, Huanímaro, Doctor Mora y Cuerámaro; y aproximadamente una cuarta parte de</w:t>
      </w:r>
      <w:r>
        <w:rPr>
          <w:rFonts w:ascii="Abadi" w:hAnsi="Abadi" w:cs="Calibri"/>
          <w:sz w:val="21"/>
          <w:szCs w:val="21"/>
        </w:rPr>
        <w:t xml:space="preserve"> </w:t>
      </w:r>
      <w:r w:rsidRPr="00F806EE">
        <w:rPr>
          <w:rFonts w:ascii="Abadi" w:hAnsi="Abadi" w:cs="Calibri"/>
          <w:sz w:val="21"/>
          <w:szCs w:val="21"/>
        </w:rPr>
        <w:t>los habitantes de Manuel Doblado, Jaral del Progreso, Jerécuaro, Moroleón, San Diego de la Unión</w:t>
      </w:r>
    </w:p>
    <w:p w14:paraId="3CF2EB86" w14:textId="77777777" w:rsidR="00695D64" w:rsidRDefault="00695D64" w:rsidP="00695D64">
      <w:pPr>
        <w:autoSpaceDE w:val="0"/>
        <w:autoSpaceDN w:val="0"/>
        <w:adjustRightInd w:val="0"/>
        <w:jc w:val="both"/>
        <w:rPr>
          <w:rFonts w:ascii="Abadi" w:hAnsi="Abadi" w:cs="Calibri"/>
          <w:sz w:val="21"/>
          <w:szCs w:val="21"/>
        </w:rPr>
      </w:pPr>
      <w:r w:rsidRPr="00F806EE">
        <w:rPr>
          <w:rFonts w:ascii="Abadi" w:hAnsi="Abadi" w:cs="Calibri"/>
          <w:sz w:val="21"/>
          <w:szCs w:val="21"/>
        </w:rPr>
        <w:t>y Tarimoro.</w:t>
      </w:r>
    </w:p>
    <w:p w14:paraId="4E423AF0" w14:textId="77777777" w:rsidR="00695D64" w:rsidRPr="00F806EE" w:rsidRDefault="00695D64" w:rsidP="00695D64">
      <w:pPr>
        <w:autoSpaceDE w:val="0"/>
        <w:autoSpaceDN w:val="0"/>
        <w:adjustRightInd w:val="0"/>
        <w:jc w:val="both"/>
        <w:rPr>
          <w:rFonts w:ascii="Abadi" w:hAnsi="Abadi" w:cs="Calibri"/>
          <w:sz w:val="21"/>
          <w:szCs w:val="21"/>
        </w:rPr>
      </w:pPr>
    </w:p>
    <w:p w14:paraId="5623066A" w14:textId="0B08B7B8" w:rsidR="00695D64" w:rsidRDefault="00695D64" w:rsidP="00695D64">
      <w:pPr>
        <w:autoSpaceDE w:val="0"/>
        <w:autoSpaceDN w:val="0"/>
        <w:adjustRightInd w:val="0"/>
        <w:jc w:val="both"/>
        <w:rPr>
          <w:rFonts w:ascii="Abadi" w:hAnsi="Abadi" w:cs="Calibri"/>
          <w:sz w:val="21"/>
          <w:szCs w:val="21"/>
        </w:rPr>
      </w:pPr>
      <w:r w:rsidRPr="00F806EE">
        <w:rPr>
          <w:rFonts w:ascii="Abadi" w:hAnsi="Abadi" w:cs="Calibri"/>
          <w:sz w:val="21"/>
          <w:szCs w:val="21"/>
        </w:rPr>
        <w:t>De igual forma el Secretario de Seguridad Pública manifestó que se calcula un gasto diario en</w:t>
      </w:r>
      <w:r>
        <w:rPr>
          <w:rFonts w:ascii="Abadi" w:hAnsi="Abadi" w:cs="Calibri"/>
          <w:sz w:val="21"/>
          <w:szCs w:val="21"/>
        </w:rPr>
        <w:t xml:space="preserve"> </w:t>
      </w:r>
      <w:r w:rsidRPr="00F806EE">
        <w:rPr>
          <w:rFonts w:ascii="Abadi" w:hAnsi="Abadi" w:cs="Calibri"/>
          <w:sz w:val="21"/>
          <w:szCs w:val="21"/>
        </w:rPr>
        <w:t>drogas por persona adicta, de aproximadamente $100.00 cien pesos, lo que representa para ese</w:t>
      </w:r>
      <w:r>
        <w:rPr>
          <w:rFonts w:ascii="Abadi" w:hAnsi="Abadi" w:cs="Calibri"/>
          <w:sz w:val="21"/>
          <w:szCs w:val="21"/>
        </w:rPr>
        <w:t xml:space="preserve"> </w:t>
      </w:r>
      <w:r w:rsidRPr="00F806EE">
        <w:rPr>
          <w:rFonts w:ascii="Abadi" w:hAnsi="Abadi" w:cs="Calibri"/>
          <w:sz w:val="21"/>
          <w:szCs w:val="21"/>
        </w:rPr>
        <w:t>mercado ilegal $60´000,000.00 sesenta millones de venta diaria, y elevado al año un total de poco</w:t>
      </w:r>
      <w:r>
        <w:rPr>
          <w:rFonts w:ascii="Abadi" w:hAnsi="Abadi" w:cs="Calibri"/>
          <w:sz w:val="21"/>
          <w:szCs w:val="21"/>
        </w:rPr>
        <w:t xml:space="preserve"> </w:t>
      </w:r>
      <w:r w:rsidRPr="00F806EE">
        <w:rPr>
          <w:rFonts w:ascii="Abadi" w:hAnsi="Abadi" w:cs="Calibri"/>
          <w:sz w:val="21"/>
          <w:szCs w:val="21"/>
        </w:rPr>
        <w:t>más de $21´900´000,000.00 veintiún mil novecientos millones de pesos.</w:t>
      </w:r>
    </w:p>
    <w:p w14:paraId="18B9F4EA" w14:textId="77777777" w:rsidR="00695D64" w:rsidRPr="00F806EE" w:rsidRDefault="00695D64" w:rsidP="00695D64">
      <w:pPr>
        <w:autoSpaceDE w:val="0"/>
        <w:autoSpaceDN w:val="0"/>
        <w:adjustRightInd w:val="0"/>
        <w:jc w:val="both"/>
        <w:rPr>
          <w:rFonts w:ascii="Abadi" w:hAnsi="Abadi" w:cs="Calibri"/>
          <w:sz w:val="21"/>
          <w:szCs w:val="21"/>
        </w:rPr>
      </w:pPr>
    </w:p>
    <w:p w14:paraId="30F577C5" w14:textId="77777777" w:rsidR="00695D64" w:rsidRPr="00F806EE" w:rsidRDefault="00695D64" w:rsidP="00695D64">
      <w:pPr>
        <w:autoSpaceDE w:val="0"/>
        <w:autoSpaceDN w:val="0"/>
        <w:adjustRightInd w:val="0"/>
        <w:jc w:val="both"/>
        <w:rPr>
          <w:rFonts w:ascii="Abadi" w:hAnsi="Abadi" w:cs="Calibri"/>
          <w:sz w:val="21"/>
          <w:szCs w:val="21"/>
        </w:rPr>
      </w:pPr>
      <w:r w:rsidRPr="00F806EE">
        <w:rPr>
          <w:rFonts w:ascii="Abadi" w:hAnsi="Abadi" w:cs="Calibri"/>
          <w:sz w:val="21"/>
          <w:szCs w:val="21"/>
        </w:rPr>
        <w:t>Sin duda alguna desde esta perspectiva puede dimensionarse que en las ganancias ilícitas que</w:t>
      </w:r>
      <w:r>
        <w:rPr>
          <w:rFonts w:ascii="Abadi" w:hAnsi="Abadi" w:cs="Calibri"/>
          <w:sz w:val="21"/>
          <w:szCs w:val="21"/>
        </w:rPr>
        <w:t xml:space="preserve"> </w:t>
      </w:r>
      <w:r w:rsidRPr="00F806EE">
        <w:rPr>
          <w:rFonts w:ascii="Abadi" w:hAnsi="Abadi" w:cs="Calibri"/>
          <w:sz w:val="21"/>
          <w:szCs w:val="21"/>
        </w:rPr>
        <w:t>genera el mercado de drogas, existe un interés de las organizaciones delictivas de conservar el</w:t>
      </w:r>
      <w:r>
        <w:rPr>
          <w:rFonts w:ascii="Abadi" w:hAnsi="Abadi" w:cs="Calibri"/>
          <w:sz w:val="21"/>
          <w:szCs w:val="21"/>
        </w:rPr>
        <w:t xml:space="preserve"> </w:t>
      </w:r>
      <w:r w:rsidRPr="00F806EE">
        <w:rPr>
          <w:rFonts w:ascii="Abadi" w:hAnsi="Abadi" w:cs="Calibri"/>
          <w:sz w:val="21"/>
          <w:szCs w:val="21"/>
        </w:rPr>
        <w:t>mercado y ampliarlo en lo posible.</w:t>
      </w:r>
    </w:p>
    <w:p w14:paraId="54009456" w14:textId="77777777" w:rsidR="00695D64" w:rsidRDefault="00695D64" w:rsidP="00695D64">
      <w:pPr>
        <w:jc w:val="both"/>
        <w:rPr>
          <w:rFonts w:ascii="Abadi" w:hAnsi="Abadi" w:cs="Calibri"/>
          <w:sz w:val="21"/>
          <w:szCs w:val="21"/>
        </w:rPr>
      </w:pPr>
      <w:r>
        <w:rPr>
          <w:rFonts w:ascii="Abadi" w:hAnsi="Abadi" w:cs="Calibri"/>
          <w:sz w:val="21"/>
          <w:szCs w:val="21"/>
        </w:rPr>
        <w:t xml:space="preserve"> </w:t>
      </w:r>
    </w:p>
    <w:p w14:paraId="354783EE" w14:textId="77777777" w:rsidR="00695D64" w:rsidRDefault="00695D64" w:rsidP="00695D64">
      <w:pPr>
        <w:spacing w:after="160" w:line="259" w:lineRule="auto"/>
        <w:jc w:val="both"/>
        <w:rPr>
          <w:rFonts w:ascii="Abadi" w:hAnsi="Abadi" w:cs="Calibri"/>
          <w:sz w:val="21"/>
          <w:szCs w:val="21"/>
        </w:rPr>
      </w:pPr>
      <w:r w:rsidRPr="00F806EE">
        <w:rPr>
          <w:rFonts w:ascii="Abadi" w:hAnsi="Abadi" w:cs="Calibri"/>
          <w:sz w:val="21"/>
          <w:szCs w:val="21"/>
        </w:rPr>
        <w:t>Ante este panorama debe reconsiderarse la ampliación de estrategias y establecimiento de</w:t>
      </w:r>
      <w:r>
        <w:rPr>
          <w:rFonts w:ascii="Abadi" w:hAnsi="Abadi" w:cs="Calibri"/>
          <w:sz w:val="21"/>
          <w:szCs w:val="21"/>
        </w:rPr>
        <w:t xml:space="preserve"> </w:t>
      </w:r>
      <w:r w:rsidRPr="00F806EE">
        <w:rPr>
          <w:rFonts w:ascii="Abadi" w:hAnsi="Abadi" w:cs="Calibri"/>
          <w:sz w:val="21"/>
          <w:szCs w:val="21"/>
        </w:rPr>
        <w:t>políticas públicas que a la brevedad se enfoquen en atender a la población adicta.</w:t>
      </w:r>
    </w:p>
    <w:p w14:paraId="139D0F64" w14:textId="77777777" w:rsidR="00695D64" w:rsidRPr="00F806EE" w:rsidRDefault="00695D64" w:rsidP="00695D64">
      <w:pPr>
        <w:autoSpaceDE w:val="0"/>
        <w:autoSpaceDN w:val="0"/>
        <w:adjustRightInd w:val="0"/>
        <w:jc w:val="both"/>
        <w:rPr>
          <w:rFonts w:ascii="Abadi" w:hAnsi="Abadi" w:cs="Calibri"/>
          <w:sz w:val="21"/>
          <w:szCs w:val="21"/>
        </w:rPr>
      </w:pPr>
    </w:p>
    <w:p w14:paraId="1B0E10B8" w14:textId="0B52A451" w:rsidR="00695D64" w:rsidRDefault="00695D64" w:rsidP="00695D64">
      <w:pPr>
        <w:autoSpaceDE w:val="0"/>
        <w:autoSpaceDN w:val="0"/>
        <w:adjustRightInd w:val="0"/>
        <w:jc w:val="both"/>
        <w:rPr>
          <w:rFonts w:ascii="Abadi" w:hAnsi="Abadi" w:cs="Calibri"/>
          <w:sz w:val="21"/>
          <w:szCs w:val="21"/>
        </w:rPr>
      </w:pPr>
      <w:r w:rsidRPr="00F806EE">
        <w:rPr>
          <w:rFonts w:ascii="Abadi" w:hAnsi="Abadi" w:cs="Calibri"/>
          <w:sz w:val="21"/>
          <w:szCs w:val="21"/>
        </w:rPr>
        <w:t>Sin duda alguna todo programa enfocado en la prevención como el denominado Planet Youth,</w:t>
      </w:r>
      <w:r>
        <w:rPr>
          <w:rFonts w:ascii="Abadi" w:hAnsi="Abadi" w:cs="Calibri"/>
          <w:sz w:val="21"/>
          <w:szCs w:val="21"/>
        </w:rPr>
        <w:t xml:space="preserve"> </w:t>
      </w:r>
      <w:r w:rsidRPr="00F806EE">
        <w:rPr>
          <w:rFonts w:ascii="Abadi" w:hAnsi="Abadi" w:cs="Calibri"/>
          <w:sz w:val="21"/>
          <w:szCs w:val="21"/>
        </w:rPr>
        <w:t>deben continuarse y mantenerse permanentemente, pero la atención de las personas que ya están</w:t>
      </w:r>
      <w:r>
        <w:rPr>
          <w:rFonts w:ascii="Abadi" w:hAnsi="Abadi" w:cs="Calibri"/>
          <w:sz w:val="21"/>
          <w:szCs w:val="21"/>
        </w:rPr>
        <w:t xml:space="preserve"> </w:t>
      </w:r>
      <w:r w:rsidRPr="00F806EE">
        <w:rPr>
          <w:rFonts w:ascii="Abadi" w:hAnsi="Abadi" w:cs="Calibri"/>
          <w:sz w:val="21"/>
          <w:szCs w:val="21"/>
        </w:rPr>
        <w:t>atrapadas con alguna adicción a las drogas, son una realidad que debe atenderse como un</w:t>
      </w:r>
      <w:r>
        <w:rPr>
          <w:rFonts w:ascii="Abadi" w:hAnsi="Abadi" w:cs="Calibri"/>
          <w:sz w:val="21"/>
          <w:szCs w:val="21"/>
        </w:rPr>
        <w:t xml:space="preserve"> </w:t>
      </w:r>
      <w:r w:rsidRPr="00F806EE">
        <w:rPr>
          <w:rFonts w:ascii="Abadi" w:hAnsi="Abadi" w:cs="Calibri"/>
          <w:sz w:val="21"/>
          <w:szCs w:val="21"/>
        </w:rPr>
        <w:t>problema social y de salud urgente y de atención prioritaria.</w:t>
      </w:r>
    </w:p>
    <w:p w14:paraId="05A41BDE" w14:textId="77777777" w:rsidR="00695D64" w:rsidRPr="00F806EE" w:rsidRDefault="00695D64" w:rsidP="00695D64">
      <w:pPr>
        <w:autoSpaceDE w:val="0"/>
        <w:autoSpaceDN w:val="0"/>
        <w:adjustRightInd w:val="0"/>
        <w:jc w:val="both"/>
        <w:rPr>
          <w:rFonts w:ascii="Abadi" w:hAnsi="Abadi" w:cs="Calibri"/>
          <w:sz w:val="21"/>
          <w:szCs w:val="21"/>
        </w:rPr>
      </w:pPr>
    </w:p>
    <w:p w14:paraId="03CDCFE5" w14:textId="77777777" w:rsidR="00695D64" w:rsidRPr="00F806EE" w:rsidRDefault="00695D64" w:rsidP="00695D64">
      <w:pPr>
        <w:autoSpaceDE w:val="0"/>
        <w:autoSpaceDN w:val="0"/>
        <w:adjustRightInd w:val="0"/>
        <w:jc w:val="both"/>
        <w:rPr>
          <w:rFonts w:ascii="Abadi" w:hAnsi="Abadi" w:cs="Calibri"/>
          <w:sz w:val="21"/>
          <w:szCs w:val="21"/>
        </w:rPr>
      </w:pPr>
      <w:r w:rsidRPr="00F806EE">
        <w:rPr>
          <w:rFonts w:ascii="Abadi" w:hAnsi="Abadi" w:cs="Calibri"/>
          <w:sz w:val="21"/>
          <w:szCs w:val="21"/>
        </w:rPr>
        <w:t>Por lo anteriormente expuesto me permito someter a consideración de este pleno, para su</w:t>
      </w:r>
    </w:p>
    <w:p w14:paraId="09AD392B" w14:textId="77777777" w:rsidR="00695D64" w:rsidRPr="00F806EE" w:rsidRDefault="00695D64" w:rsidP="00695D64">
      <w:pPr>
        <w:autoSpaceDE w:val="0"/>
        <w:autoSpaceDN w:val="0"/>
        <w:adjustRightInd w:val="0"/>
        <w:jc w:val="both"/>
        <w:rPr>
          <w:rFonts w:ascii="Abadi" w:hAnsi="Abadi" w:cs="Calibri"/>
          <w:sz w:val="21"/>
          <w:szCs w:val="21"/>
        </w:rPr>
      </w:pPr>
      <w:r w:rsidRPr="00F806EE">
        <w:rPr>
          <w:rFonts w:ascii="Abadi" w:hAnsi="Abadi" w:cs="Calibri"/>
          <w:sz w:val="21"/>
          <w:szCs w:val="21"/>
        </w:rPr>
        <w:t>aprobación, el siguiente:</w:t>
      </w:r>
    </w:p>
    <w:p w14:paraId="5576EA35" w14:textId="77777777" w:rsidR="00695D64" w:rsidRDefault="00695D64" w:rsidP="00695D64">
      <w:pPr>
        <w:autoSpaceDE w:val="0"/>
        <w:autoSpaceDN w:val="0"/>
        <w:adjustRightInd w:val="0"/>
        <w:jc w:val="both"/>
        <w:rPr>
          <w:rFonts w:ascii="Abadi" w:hAnsi="Abadi" w:cs="Calibri-Bold"/>
          <w:b/>
          <w:bCs/>
          <w:sz w:val="21"/>
          <w:szCs w:val="21"/>
        </w:rPr>
      </w:pPr>
    </w:p>
    <w:p w14:paraId="70D14C71" w14:textId="77777777" w:rsidR="00695D64" w:rsidRDefault="00695D64" w:rsidP="00695D64">
      <w:pPr>
        <w:autoSpaceDE w:val="0"/>
        <w:autoSpaceDN w:val="0"/>
        <w:adjustRightInd w:val="0"/>
        <w:jc w:val="both"/>
        <w:rPr>
          <w:rFonts w:ascii="Abadi" w:hAnsi="Abadi" w:cs="Calibri-Bold"/>
          <w:b/>
          <w:bCs/>
          <w:sz w:val="21"/>
          <w:szCs w:val="21"/>
        </w:rPr>
      </w:pPr>
    </w:p>
    <w:p w14:paraId="286E820A" w14:textId="77777777" w:rsidR="00695D64" w:rsidRDefault="00695D64" w:rsidP="00695D64">
      <w:pPr>
        <w:autoSpaceDE w:val="0"/>
        <w:autoSpaceDN w:val="0"/>
        <w:adjustRightInd w:val="0"/>
        <w:jc w:val="center"/>
        <w:rPr>
          <w:rFonts w:ascii="Abadi" w:hAnsi="Abadi" w:cs="Calibri-Bold"/>
          <w:b/>
          <w:bCs/>
          <w:sz w:val="21"/>
          <w:szCs w:val="21"/>
        </w:rPr>
      </w:pPr>
      <w:r w:rsidRPr="00F806EE">
        <w:rPr>
          <w:rFonts w:ascii="Abadi" w:hAnsi="Abadi" w:cs="Calibri-Bold"/>
          <w:b/>
          <w:bCs/>
          <w:sz w:val="21"/>
          <w:szCs w:val="21"/>
        </w:rPr>
        <w:t>P U N T O D E A C U E R D O:</w:t>
      </w:r>
    </w:p>
    <w:p w14:paraId="327F7E31" w14:textId="77777777" w:rsidR="00695D64" w:rsidRDefault="00695D64" w:rsidP="00695D64">
      <w:pPr>
        <w:autoSpaceDE w:val="0"/>
        <w:autoSpaceDN w:val="0"/>
        <w:adjustRightInd w:val="0"/>
        <w:jc w:val="both"/>
        <w:rPr>
          <w:rFonts w:ascii="Abadi" w:hAnsi="Abadi" w:cs="Calibri-Bold"/>
          <w:b/>
          <w:bCs/>
          <w:sz w:val="21"/>
          <w:szCs w:val="21"/>
        </w:rPr>
      </w:pPr>
    </w:p>
    <w:p w14:paraId="6018FF5B" w14:textId="77777777" w:rsidR="00695D64" w:rsidRPr="00F806EE" w:rsidRDefault="00695D64" w:rsidP="00695D64">
      <w:pPr>
        <w:autoSpaceDE w:val="0"/>
        <w:autoSpaceDN w:val="0"/>
        <w:adjustRightInd w:val="0"/>
        <w:jc w:val="both"/>
        <w:rPr>
          <w:rFonts w:ascii="Abadi" w:hAnsi="Abadi" w:cs="Calibri-Bold"/>
          <w:b/>
          <w:bCs/>
          <w:sz w:val="21"/>
          <w:szCs w:val="21"/>
        </w:rPr>
      </w:pPr>
    </w:p>
    <w:p w14:paraId="3A0932EE" w14:textId="77777777" w:rsidR="00695D64" w:rsidRPr="00F806EE" w:rsidRDefault="00695D64" w:rsidP="00695D64">
      <w:pPr>
        <w:autoSpaceDE w:val="0"/>
        <w:autoSpaceDN w:val="0"/>
        <w:adjustRightInd w:val="0"/>
        <w:jc w:val="both"/>
        <w:rPr>
          <w:rFonts w:ascii="Abadi" w:hAnsi="Abadi" w:cs="Calibri"/>
          <w:sz w:val="21"/>
          <w:szCs w:val="21"/>
        </w:rPr>
      </w:pPr>
      <w:r w:rsidRPr="00F806EE">
        <w:rPr>
          <w:rFonts w:ascii="Abadi" w:hAnsi="Abadi" w:cs="Calibri-Bold"/>
          <w:b/>
          <w:bCs/>
          <w:sz w:val="21"/>
          <w:szCs w:val="21"/>
        </w:rPr>
        <w:t xml:space="preserve">Único.- </w:t>
      </w:r>
      <w:r w:rsidRPr="00F806EE">
        <w:rPr>
          <w:rFonts w:ascii="Abadi" w:hAnsi="Abadi" w:cs="Calibri"/>
          <w:sz w:val="21"/>
          <w:szCs w:val="21"/>
        </w:rPr>
        <w:t>Esta Sexagésima Quinta Legislatura del Congreso del Estado de Guanajuato, gira atento</w:t>
      </w:r>
      <w:r>
        <w:rPr>
          <w:rFonts w:ascii="Abadi" w:hAnsi="Abadi" w:cs="Calibri"/>
          <w:sz w:val="21"/>
          <w:szCs w:val="21"/>
        </w:rPr>
        <w:t xml:space="preserve"> </w:t>
      </w:r>
      <w:r w:rsidRPr="00F806EE">
        <w:rPr>
          <w:rFonts w:ascii="Abadi" w:hAnsi="Abadi" w:cs="Calibri"/>
          <w:sz w:val="21"/>
          <w:szCs w:val="21"/>
        </w:rPr>
        <w:t>exhorto al titular del Ejecutivo del Estado de Guanajuato, para que implemente las estrategias</w:t>
      </w:r>
      <w:r>
        <w:rPr>
          <w:rFonts w:ascii="Abadi" w:hAnsi="Abadi" w:cs="Calibri"/>
          <w:sz w:val="21"/>
          <w:szCs w:val="21"/>
        </w:rPr>
        <w:t xml:space="preserve"> </w:t>
      </w:r>
      <w:r w:rsidRPr="00F806EE">
        <w:rPr>
          <w:rFonts w:ascii="Abadi" w:hAnsi="Abadi" w:cs="Calibri"/>
          <w:sz w:val="21"/>
          <w:szCs w:val="21"/>
        </w:rPr>
        <w:t>necesarias y establezca las políticas públicas sociales y de salud, que atiendan de manera urgente y</w:t>
      </w:r>
      <w:r>
        <w:rPr>
          <w:rFonts w:ascii="Abadi" w:hAnsi="Abadi" w:cs="Calibri"/>
          <w:sz w:val="21"/>
          <w:szCs w:val="21"/>
        </w:rPr>
        <w:t xml:space="preserve"> </w:t>
      </w:r>
      <w:r w:rsidRPr="00F806EE">
        <w:rPr>
          <w:rFonts w:ascii="Abadi" w:hAnsi="Abadi" w:cs="Calibri"/>
          <w:sz w:val="21"/>
          <w:szCs w:val="21"/>
        </w:rPr>
        <w:t>prioritaria a la población guanajuatense que tenga alguna adicción a drogas ilícitas.</w:t>
      </w:r>
    </w:p>
    <w:p w14:paraId="0DF3AB62" w14:textId="77777777" w:rsidR="00695D64" w:rsidRDefault="00695D64" w:rsidP="00695D64">
      <w:pPr>
        <w:autoSpaceDE w:val="0"/>
        <w:autoSpaceDN w:val="0"/>
        <w:adjustRightInd w:val="0"/>
        <w:jc w:val="both"/>
        <w:rPr>
          <w:rFonts w:ascii="Abadi" w:hAnsi="Abadi" w:cs="Calibri"/>
          <w:sz w:val="21"/>
          <w:szCs w:val="21"/>
        </w:rPr>
      </w:pPr>
      <w:r w:rsidRPr="00F806EE">
        <w:rPr>
          <w:rFonts w:ascii="Abadi" w:hAnsi="Abadi" w:cs="Calibri"/>
          <w:sz w:val="21"/>
          <w:szCs w:val="21"/>
        </w:rPr>
        <w:t>En Guanajuato, Gto., al día de su presentación.</w:t>
      </w:r>
    </w:p>
    <w:p w14:paraId="580276B0" w14:textId="77777777" w:rsidR="00695D64" w:rsidRDefault="00695D64" w:rsidP="00695D64">
      <w:pPr>
        <w:autoSpaceDE w:val="0"/>
        <w:autoSpaceDN w:val="0"/>
        <w:adjustRightInd w:val="0"/>
        <w:jc w:val="both"/>
        <w:rPr>
          <w:rFonts w:ascii="Abadi" w:hAnsi="Abadi" w:cs="Calibri"/>
          <w:sz w:val="21"/>
          <w:szCs w:val="21"/>
        </w:rPr>
      </w:pPr>
    </w:p>
    <w:p w14:paraId="3505C73F" w14:textId="77777777" w:rsidR="00695D64" w:rsidRDefault="00695D64" w:rsidP="00695D64">
      <w:pPr>
        <w:autoSpaceDE w:val="0"/>
        <w:autoSpaceDN w:val="0"/>
        <w:adjustRightInd w:val="0"/>
        <w:jc w:val="both"/>
        <w:rPr>
          <w:rFonts w:ascii="Abadi" w:hAnsi="Abadi" w:cs="Calibri"/>
          <w:sz w:val="21"/>
          <w:szCs w:val="21"/>
        </w:rPr>
      </w:pPr>
    </w:p>
    <w:p w14:paraId="39B98CCF" w14:textId="77777777" w:rsidR="00695D64" w:rsidRPr="00F806EE" w:rsidRDefault="00695D64" w:rsidP="00695D64">
      <w:pPr>
        <w:autoSpaceDE w:val="0"/>
        <w:autoSpaceDN w:val="0"/>
        <w:adjustRightInd w:val="0"/>
        <w:jc w:val="both"/>
        <w:rPr>
          <w:rFonts w:ascii="Abadi" w:hAnsi="Abadi" w:cs="Calibri-Bold"/>
          <w:b/>
          <w:bCs/>
          <w:sz w:val="21"/>
          <w:szCs w:val="21"/>
        </w:rPr>
      </w:pPr>
      <w:r w:rsidRPr="00F806EE">
        <w:rPr>
          <w:rFonts w:ascii="Abadi" w:hAnsi="Abadi" w:cs="Calibri-Bold"/>
          <w:b/>
          <w:bCs/>
          <w:sz w:val="21"/>
          <w:szCs w:val="21"/>
        </w:rPr>
        <w:t>Lic. Ernesto Alejandro Prieto Gallardo</w:t>
      </w:r>
    </w:p>
    <w:p w14:paraId="1E5BC1A2" w14:textId="77777777" w:rsidR="00695D64" w:rsidRPr="00F806EE" w:rsidRDefault="00695D64" w:rsidP="00695D64">
      <w:pPr>
        <w:jc w:val="both"/>
        <w:rPr>
          <w:rFonts w:ascii="Abadi" w:hAnsi="Abadi"/>
          <w:sz w:val="21"/>
          <w:szCs w:val="21"/>
        </w:rPr>
      </w:pPr>
      <w:r w:rsidRPr="00F806EE">
        <w:rPr>
          <w:rFonts w:ascii="Abadi" w:hAnsi="Abadi" w:cs="Calibri-Italic"/>
          <w:i/>
          <w:iCs/>
          <w:sz w:val="21"/>
          <w:szCs w:val="21"/>
        </w:rPr>
        <w:t>Diputado</w:t>
      </w:r>
    </w:p>
    <w:p w14:paraId="311DCA9A" w14:textId="77777777" w:rsidR="00695D64" w:rsidRPr="00695D64" w:rsidRDefault="00695D64" w:rsidP="00695D64">
      <w:pPr>
        <w:tabs>
          <w:tab w:val="left" w:pos="845"/>
        </w:tabs>
        <w:kinsoku w:val="0"/>
        <w:overflowPunct w:val="0"/>
        <w:autoSpaceDE w:val="0"/>
        <w:autoSpaceDN w:val="0"/>
        <w:adjustRightInd w:val="0"/>
        <w:ind w:right="17"/>
        <w:jc w:val="both"/>
        <w:rPr>
          <w:rFonts w:ascii="Abadi" w:hAnsi="Abadi"/>
          <w:b/>
          <w:bCs/>
          <w:sz w:val="20"/>
          <w:szCs w:val="20"/>
        </w:rPr>
      </w:pPr>
    </w:p>
    <w:p w14:paraId="4619F159" w14:textId="77777777" w:rsidR="00695D64" w:rsidRDefault="00695D64" w:rsidP="00695D64">
      <w:pPr>
        <w:pStyle w:val="Prrafodelista"/>
        <w:tabs>
          <w:tab w:val="left" w:pos="856"/>
        </w:tabs>
        <w:kinsoku w:val="0"/>
        <w:overflowPunct w:val="0"/>
        <w:autoSpaceDE w:val="0"/>
        <w:autoSpaceDN w:val="0"/>
        <w:adjustRightInd w:val="0"/>
        <w:ind w:left="720" w:right="17"/>
        <w:jc w:val="both"/>
        <w:rPr>
          <w:rFonts w:ascii="Abadi" w:hAnsi="Abadi"/>
          <w:b/>
          <w:bCs/>
          <w:sz w:val="20"/>
          <w:szCs w:val="20"/>
        </w:rPr>
      </w:pPr>
    </w:p>
    <w:p w14:paraId="42C68FE9" w14:textId="485D923E" w:rsidR="00FD2FEF" w:rsidRPr="00531B12" w:rsidRDefault="00FD2FEF"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PRESENTACIÓN</w:t>
      </w:r>
      <w:r w:rsidRPr="00531B12">
        <w:rPr>
          <w:rFonts w:ascii="Abadi" w:hAnsi="Abadi"/>
          <w:b/>
          <w:bCs/>
          <w:spacing w:val="40"/>
          <w:sz w:val="20"/>
          <w:szCs w:val="20"/>
        </w:rPr>
        <w:t xml:space="preserve"> </w:t>
      </w:r>
      <w:r w:rsidRPr="00531B12">
        <w:rPr>
          <w:rFonts w:ascii="Abadi" w:hAnsi="Abadi"/>
          <w:b/>
          <w:bCs/>
          <w:sz w:val="20"/>
          <w:szCs w:val="20"/>
        </w:rPr>
        <w:t>DE</w:t>
      </w:r>
      <w:r w:rsidRPr="00531B12">
        <w:rPr>
          <w:rFonts w:ascii="Abadi" w:hAnsi="Abadi"/>
          <w:b/>
          <w:bCs/>
          <w:spacing w:val="40"/>
          <w:sz w:val="20"/>
          <w:szCs w:val="20"/>
        </w:rPr>
        <w:t xml:space="preserve"> </w:t>
      </w:r>
      <w:r w:rsidRPr="00531B12">
        <w:rPr>
          <w:rFonts w:ascii="Abadi" w:hAnsi="Abadi"/>
          <w:b/>
          <w:bCs/>
          <w:sz w:val="20"/>
          <w:szCs w:val="20"/>
        </w:rPr>
        <w:t>LA</w:t>
      </w:r>
      <w:r w:rsidRPr="00531B12">
        <w:rPr>
          <w:rFonts w:ascii="Abadi" w:hAnsi="Abadi"/>
          <w:b/>
          <w:bCs/>
          <w:spacing w:val="40"/>
          <w:sz w:val="20"/>
          <w:szCs w:val="20"/>
        </w:rPr>
        <w:t xml:space="preserve"> </w:t>
      </w:r>
      <w:r w:rsidRPr="00531B12">
        <w:rPr>
          <w:rFonts w:ascii="Abadi" w:hAnsi="Abadi"/>
          <w:b/>
          <w:bCs/>
          <w:sz w:val="20"/>
          <w:szCs w:val="20"/>
        </w:rPr>
        <w:t>PROPUESTA</w:t>
      </w:r>
      <w:r w:rsidRPr="00531B12">
        <w:rPr>
          <w:rFonts w:ascii="Abadi" w:hAnsi="Abadi"/>
          <w:b/>
          <w:bCs/>
          <w:spacing w:val="40"/>
          <w:sz w:val="20"/>
          <w:szCs w:val="20"/>
        </w:rPr>
        <w:t xml:space="preserve"> </w:t>
      </w:r>
      <w:r w:rsidRPr="00531B12">
        <w:rPr>
          <w:rFonts w:ascii="Abadi" w:hAnsi="Abadi"/>
          <w:b/>
          <w:bCs/>
          <w:sz w:val="20"/>
          <w:szCs w:val="20"/>
        </w:rPr>
        <w:t>FORMULADA</w:t>
      </w:r>
      <w:r w:rsidRPr="00531B12">
        <w:rPr>
          <w:rFonts w:ascii="Abadi" w:hAnsi="Abadi"/>
          <w:b/>
          <w:bCs/>
          <w:spacing w:val="40"/>
          <w:sz w:val="20"/>
          <w:szCs w:val="20"/>
        </w:rPr>
        <w:t xml:space="preserve"> </w:t>
      </w:r>
      <w:r w:rsidRPr="00531B12">
        <w:rPr>
          <w:rFonts w:ascii="Abadi" w:hAnsi="Abadi"/>
          <w:b/>
          <w:bCs/>
          <w:sz w:val="20"/>
          <w:szCs w:val="20"/>
        </w:rPr>
        <w:t>POR</w:t>
      </w:r>
      <w:r w:rsidRPr="00531B12">
        <w:rPr>
          <w:rFonts w:ascii="Abadi" w:hAnsi="Abadi"/>
          <w:b/>
          <w:bCs/>
          <w:spacing w:val="40"/>
          <w:sz w:val="20"/>
          <w:szCs w:val="20"/>
        </w:rPr>
        <w:t xml:space="preserve"> </w:t>
      </w:r>
      <w:r w:rsidRPr="00531B12">
        <w:rPr>
          <w:rFonts w:ascii="Abadi" w:hAnsi="Abadi"/>
          <w:b/>
          <w:bCs/>
          <w:sz w:val="20"/>
          <w:szCs w:val="20"/>
        </w:rPr>
        <w:t>LA</w:t>
      </w:r>
      <w:r w:rsidRPr="00531B12">
        <w:rPr>
          <w:rFonts w:ascii="Abadi" w:hAnsi="Abadi"/>
          <w:b/>
          <w:bCs/>
          <w:spacing w:val="40"/>
          <w:sz w:val="20"/>
          <w:szCs w:val="20"/>
        </w:rPr>
        <w:t xml:space="preserve"> </w:t>
      </w:r>
      <w:r w:rsidRPr="00531B12">
        <w:rPr>
          <w:rFonts w:ascii="Abadi" w:hAnsi="Abadi"/>
          <w:b/>
          <w:bCs/>
          <w:sz w:val="20"/>
          <w:szCs w:val="20"/>
        </w:rPr>
        <w:t>DIPUTADA</w:t>
      </w:r>
      <w:r w:rsidRPr="00531B12">
        <w:rPr>
          <w:rFonts w:ascii="Abadi" w:hAnsi="Abadi"/>
          <w:b/>
          <w:bCs/>
          <w:spacing w:val="40"/>
          <w:sz w:val="20"/>
          <w:szCs w:val="20"/>
        </w:rPr>
        <w:t xml:space="preserve"> </w:t>
      </w:r>
      <w:r w:rsidRPr="00531B12">
        <w:rPr>
          <w:rFonts w:ascii="Abadi" w:hAnsi="Abadi"/>
          <w:b/>
          <w:bCs/>
          <w:sz w:val="20"/>
          <w:szCs w:val="20"/>
        </w:rPr>
        <w:t>Y</w:t>
      </w:r>
      <w:r w:rsidRPr="00531B12">
        <w:rPr>
          <w:rFonts w:ascii="Abadi" w:hAnsi="Abadi"/>
          <w:b/>
          <w:bCs/>
          <w:spacing w:val="40"/>
          <w:sz w:val="20"/>
          <w:szCs w:val="20"/>
        </w:rPr>
        <w:t xml:space="preserve"> </w:t>
      </w:r>
      <w:r w:rsidRPr="00531B12">
        <w:rPr>
          <w:rFonts w:ascii="Abadi" w:hAnsi="Abadi"/>
          <w:b/>
          <w:bCs/>
          <w:sz w:val="20"/>
          <w:szCs w:val="20"/>
        </w:rPr>
        <w:t>LOS</w:t>
      </w:r>
      <w:r w:rsidRPr="00531B12">
        <w:rPr>
          <w:rFonts w:ascii="Abadi" w:hAnsi="Abadi"/>
          <w:b/>
          <w:bCs/>
          <w:spacing w:val="40"/>
          <w:sz w:val="20"/>
          <w:szCs w:val="20"/>
        </w:rPr>
        <w:t xml:space="preserve"> </w:t>
      </w:r>
      <w:r w:rsidRPr="00531B12">
        <w:rPr>
          <w:rFonts w:ascii="Abadi" w:hAnsi="Abadi"/>
          <w:b/>
          <w:bCs/>
          <w:sz w:val="20"/>
          <w:szCs w:val="20"/>
        </w:rPr>
        <w:t>DIPUTADOS INTEGRANTES</w:t>
      </w:r>
      <w:r w:rsidRPr="00531B12">
        <w:rPr>
          <w:rFonts w:ascii="Abadi" w:hAnsi="Abadi"/>
          <w:b/>
          <w:bCs/>
          <w:spacing w:val="33"/>
          <w:sz w:val="20"/>
          <w:szCs w:val="20"/>
        </w:rPr>
        <w:t xml:space="preserve"> </w:t>
      </w:r>
      <w:r w:rsidRPr="00531B12">
        <w:rPr>
          <w:rFonts w:ascii="Abadi" w:hAnsi="Abadi"/>
          <w:b/>
          <w:bCs/>
          <w:sz w:val="20"/>
          <w:szCs w:val="20"/>
        </w:rPr>
        <w:t>DE</w:t>
      </w:r>
      <w:r w:rsidRPr="00531B12">
        <w:rPr>
          <w:rFonts w:ascii="Abadi" w:hAnsi="Abadi"/>
          <w:b/>
          <w:bCs/>
          <w:spacing w:val="33"/>
          <w:sz w:val="20"/>
          <w:szCs w:val="20"/>
        </w:rPr>
        <w:t xml:space="preserve"> </w:t>
      </w:r>
      <w:r w:rsidRPr="00531B12">
        <w:rPr>
          <w:rFonts w:ascii="Abadi" w:hAnsi="Abadi"/>
          <w:b/>
          <w:bCs/>
          <w:sz w:val="20"/>
          <w:szCs w:val="20"/>
        </w:rPr>
        <w:t>LA</w:t>
      </w:r>
      <w:r w:rsidRPr="00531B12">
        <w:rPr>
          <w:rFonts w:ascii="Abadi" w:hAnsi="Abadi"/>
          <w:b/>
          <w:bCs/>
          <w:spacing w:val="33"/>
          <w:sz w:val="20"/>
          <w:szCs w:val="20"/>
        </w:rPr>
        <w:t xml:space="preserve"> </w:t>
      </w:r>
      <w:r w:rsidRPr="00531B12">
        <w:rPr>
          <w:rFonts w:ascii="Abadi" w:hAnsi="Abadi"/>
          <w:b/>
          <w:bCs/>
          <w:sz w:val="20"/>
          <w:szCs w:val="20"/>
        </w:rPr>
        <w:t>JUNTA</w:t>
      </w:r>
      <w:r w:rsidRPr="00531B12">
        <w:rPr>
          <w:rFonts w:ascii="Abadi" w:hAnsi="Abadi"/>
          <w:b/>
          <w:bCs/>
          <w:spacing w:val="33"/>
          <w:sz w:val="20"/>
          <w:szCs w:val="20"/>
        </w:rPr>
        <w:t xml:space="preserve"> </w:t>
      </w:r>
      <w:r w:rsidRPr="00531B12">
        <w:rPr>
          <w:rFonts w:ascii="Abadi" w:hAnsi="Abadi"/>
          <w:b/>
          <w:bCs/>
          <w:sz w:val="20"/>
          <w:szCs w:val="20"/>
        </w:rPr>
        <w:t>DE</w:t>
      </w:r>
      <w:r w:rsidRPr="00531B12">
        <w:rPr>
          <w:rFonts w:ascii="Abadi" w:hAnsi="Abadi"/>
          <w:b/>
          <w:bCs/>
          <w:spacing w:val="33"/>
          <w:sz w:val="20"/>
          <w:szCs w:val="20"/>
        </w:rPr>
        <w:t xml:space="preserve"> </w:t>
      </w:r>
      <w:r w:rsidRPr="00531B12">
        <w:rPr>
          <w:rFonts w:ascii="Abadi" w:hAnsi="Abadi"/>
          <w:b/>
          <w:bCs/>
          <w:sz w:val="20"/>
          <w:szCs w:val="20"/>
        </w:rPr>
        <w:t>GOBIERNO</w:t>
      </w:r>
      <w:r w:rsidRPr="00531B12">
        <w:rPr>
          <w:rFonts w:ascii="Abadi" w:hAnsi="Abadi"/>
          <w:b/>
          <w:bCs/>
          <w:spacing w:val="33"/>
          <w:sz w:val="20"/>
          <w:szCs w:val="20"/>
        </w:rPr>
        <w:t xml:space="preserve"> </w:t>
      </w:r>
      <w:r w:rsidRPr="00531B12">
        <w:rPr>
          <w:rFonts w:ascii="Abadi" w:hAnsi="Abadi"/>
          <w:b/>
          <w:bCs/>
          <w:sz w:val="20"/>
          <w:szCs w:val="20"/>
        </w:rPr>
        <w:t>Y</w:t>
      </w:r>
      <w:r w:rsidRPr="00531B12">
        <w:rPr>
          <w:rFonts w:ascii="Abadi" w:hAnsi="Abadi"/>
          <w:b/>
          <w:bCs/>
          <w:spacing w:val="33"/>
          <w:sz w:val="20"/>
          <w:szCs w:val="20"/>
        </w:rPr>
        <w:t xml:space="preserve"> </w:t>
      </w:r>
      <w:r w:rsidRPr="00531B12">
        <w:rPr>
          <w:rFonts w:ascii="Abadi" w:hAnsi="Abadi"/>
          <w:b/>
          <w:bCs/>
          <w:sz w:val="20"/>
          <w:szCs w:val="20"/>
        </w:rPr>
        <w:t>COORDINACIÓN</w:t>
      </w:r>
      <w:r w:rsidRPr="00531B12">
        <w:rPr>
          <w:rFonts w:ascii="Abadi" w:hAnsi="Abadi"/>
          <w:b/>
          <w:bCs/>
          <w:spacing w:val="33"/>
          <w:sz w:val="20"/>
          <w:szCs w:val="20"/>
        </w:rPr>
        <w:t xml:space="preserve"> </w:t>
      </w:r>
      <w:r w:rsidRPr="00531B12">
        <w:rPr>
          <w:rFonts w:ascii="Abadi" w:hAnsi="Abadi"/>
          <w:b/>
          <w:bCs/>
          <w:sz w:val="20"/>
          <w:szCs w:val="20"/>
        </w:rPr>
        <w:t>POLÍTICA,</w:t>
      </w:r>
      <w:r w:rsidRPr="00531B12">
        <w:rPr>
          <w:rFonts w:ascii="Abadi" w:hAnsi="Abadi"/>
          <w:b/>
          <w:bCs/>
          <w:spacing w:val="33"/>
          <w:sz w:val="20"/>
          <w:szCs w:val="20"/>
        </w:rPr>
        <w:t xml:space="preserve"> </w:t>
      </w:r>
      <w:r w:rsidRPr="00531B12">
        <w:rPr>
          <w:rFonts w:ascii="Abadi" w:hAnsi="Abadi"/>
          <w:b/>
          <w:bCs/>
          <w:sz w:val="20"/>
          <w:szCs w:val="20"/>
        </w:rPr>
        <w:t>RELATIVA</w:t>
      </w:r>
      <w:r w:rsidRPr="00531B12">
        <w:rPr>
          <w:rFonts w:ascii="Abadi" w:hAnsi="Abadi"/>
          <w:b/>
          <w:bCs/>
          <w:spacing w:val="33"/>
          <w:sz w:val="20"/>
          <w:szCs w:val="20"/>
        </w:rPr>
        <w:t xml:space="preserve"> </w:t>
      </w:r>
      <w:r w:rsidRPr="00531B12">
        <w:rPr>
          <w:rFonts w:ascii="Abadi" w:hAnsi="Abadi"/>
          <w:b/>
          <w:bCs/>
          <w:sz w:val="20"/>
          <w:szCs w:val="20"/>
        </w:rPr>
        <w:t>A</w:t>
      </w:r>
      <w:r w:rsidRPr="00531B12">
        <w:rPr>
          <w:rFonts w:ascii="Abadi" w:hAnsi="Abadi"/>
          <w:b/>
          <w:bCs/>
          <w:spacing w:val="33"/>
          <w:sz w:val="20"/>
          <w:szCs w:val="20"/>
        </w:rPr>
        <w:t xml:space="preserve"> </w:t>
      </w:r>
      <w:r w:rsidRPr="00531B12">
        <w:rPr>
          <w:rFonts w:ascii="Abadi" w:hAnsi="Abadi"/>
          <w:b/>
          <w:bCs/>
          <w:sz w:val="20"/>
          <w:szCs w:val="20"/>
        </w:rPr>
        <w:t>LA MODIFICACIÓN</w:t>
      </w:r>
      <w:r w:rsidRPr="00531B12">
        <w:rPr>
          <w:rFonts w:ascii="Abadi" w:hAnsi="Abadi"/>
          <w:b/>
          <w:bCs/>
          <w:spacing w:val="-3"/>
          <w:sz w:val="20"/>
          <w:szCs w:val="20"/>
        </w:rPr>
        <w:t xml:space="preserve"> </w:t>
      </w:r>
      <w:r w:rsidRPr="00531B12">
        <w:rPr>
          <w:rFonts w:ascii="Abadi" w:hAnsi="Abadi"/>
          <w:b/>
          <w:bCs/>
          <w:sz w:val="20"/>
          <w:szCs w:val="20"/>
        </w:rPr>
        <w:t>DE</w:t>
      </w:r>
      <w:r w:rsidRPr="00531B12">
        <w:rPr>
          <w:rFonts w:ascii="Abadi" w:hAnsi="Abadi"/>
          <w:b/>
          <w:bCs/>
          <w:spacing w:val="-3"/>
          <w:sz w:val="20"/>
          <w:szCs w:val="20"/>
        </w:rPr>
        <w:t xml:space="preserve"> </w:t>
      </w:r>
      <w:r w:rsidRPr="00531B12">
        <w:rPr>
          <w:rFonts w:ascii="Abadi" w:hAnsi="Abadi"/>
          <w:b/>
          <w:bCs/>
          <w:sz w:val="20"/>
          <w:szCs w:val="20"/>
        </w:rPr>
        <w:t>LA</w:t>
      </w:r>
      <w:r w:rsidRPr="00531B12">
        <w:rPr>
          <w:rFonts w:ascii="Abadi" w:hAnsi="Abadi"/>
          <w:b/>
          <w:bCs/>
          <w:spacing w:val="-3"/>
          <w:sz w:val="20"/>
          <w:szCs w:val="20"/>
        </w:rPr>
        <w:t xml:space="preserve"> </w:t>
      </w:r>
      <w:r w:rsidRPr="00531B12">
        <w:rPr>
          <w:rFonts w:ascii="Abadi" w:hAnsi="Abadi"/>
          <w:b/>
          <w:bCs/>
          <w:sz w:val="20"/>
          <w:szCs w:val="20"/>
        </w:rPr>
        <w:t>INTEGRACIÓN</w:t>
      </w:r>
      <w:r w:rsidRPr="00531B12">
        <w:rPr>
          <w:rFonts w:ascii="Abadi" w:hAnsi="Abadi"/>
          <w:b/>
          <w:bCs/>
          <w:spacing w:val="-3"/>
          <w:sz w:val="20"/>
          <w:szCs w:val="20"/>
        </w:rPr>
        <w:t xml:space="preserve"> </w:t>
      </w:r>
      <w:r w:rsidRPr="00531B12">
        <w:rPr>
          <w:rFonts w:ascii="Abadi" w:hAnsi="Abadi"/>
          <w:b/>
          <w:bCs/>
          <w:sz w:val="20"/>
          <w:szCs w:val="20"/>
        </w:rPr>
        <w:t>DE</w:t>
      </w:r>
      <w:r w:rsidRPr="00531B12">
        <w:rPr>
          <w:rFonts w:ascii="Abadi" w:hAnsi="Abadi"/>
          <w:b/>
          <w:bCs/>
          <w:spacing w:val="-3"/>
          <w:sz w:val="20"/>
          <w:szCs w:val="20"/>
        </w:rPr>
        <w:t xml:space="preserve"> </w:t>
      </w:r>
      <w:r w:rsidRPr="00531B12">
        <w:rPr>
          <w:rFonts w:ascii="Abadi" w:hAnsi="Abadi"/>
          <w:b/>
          <w:bCs/>
          <w:sz w:val="20"/>
          <w:szCs w:val="20"/>
        </w:rPr>
        <w:t>LA</w:t>
      </w:r>
      <w:r w:rsidRPr="00531B12">
        <w:rPr>
          <w:rFonts w:ascii="Abadi" w:hAnsi="Abadi"/>
          <w:b/>
          <w:bCs/>
          <w:spacing w:val="-3"/>
          <w:sz w:val="20"/>
          <w:szCs w:val="20"/>
        </w:rPr>
        <w:t xml:space="preserve"> </w:t>
      </w:r>
      <w:r w:rsidRPr="00531B12">
        <w:rPr>
          <w:rFonts w:ascii="Abadi" w:hAnsi="Abadi"/>
          <w:b/>
          <w:bCs/>
          <w:sz w:val="20"/>
          <w:szCs w:val="20"/>
        </w:rPr>
        <w:t>COMISIÓN</w:t>
      </w:r>
      <w:r w:rsidRPr="00531B12">
        <w:rPr>
          <w:rFonts w:ascii="Abadi" w:hAnsi="Abadi"/>
          <w:b/>
          <w:bCs/>
          <w:spacing w:val="-3"/>
          <w:sz w:val="20"/>
          <w:szCs w:val="20"/>
        </w:rPr>
        <w:t xml:space="preserve"> </w:t>
      </w:r>
      <w:r w:rsidRPr="00531B12">
        <w:rPr>
          <w:rFonts w:ascii="Abadi" w:hAnsi="Abadi"/>
          <w:b/>
          <w:bCs/>
          <w:sz w:val="20"/>
          <w:szCs w:val="20"/>
        </w:rPr>
        <w:t>PARA</w:t>
      </w:r>
      <w:r w:rsidRPr="00531B12">
        <w:rPr>
          <w:rFonts w:ascii="Abadi" w:hAnsi="Abadi"/>
          <w:b/>
          <w:bCs/>
          <w:spacing w:val="-3"/>
          <w:sz w:val="20"/>
          <w:szCs w:val="20"/>
        </w:rPr>
        <w:t xml:space="preserve"> </w:t>
      </w:r>
      <w:r w:rsidRPr="00531B12">
        <w:rPr>
          <w:rFonts w:ascii="Abadi" w:hAnsi="Abadi"/>
          <w:b/>
          <w:bCs/>
          <w:sz w:val="20"/>
          <w:szCs w:val="20"/>
        </w:rPr>
        <w:t>LA</w:t>
      </w:r>
      <w:r w:rsidRPr="00531B12">
        <w:rPr>
          <w:rFonts w:ascii="Abadi" w:hAnsi="Abadi"/>
          <w:b/>
          <w:bCs/>
          <w:spacing w:val="-3"/>
          <w:sz w:val="20"/>
          <w:szCs w:val="20"/>
        </w:rPr>
        <w:t xml:space="preserve"> </w:t>
      </w:r>
      <w:r w:rsidRPr="00531B12">
        <w:rPr>
          <w:rFonts w:ascii="Abadi" w:hAnsi="Abadi"/>
          <w:b/>
          <w:bCs/>
          <w:sz w:val="20"/>
          <w:szCs w:val="20"/>
        </w:rPr>
        <w:t>IGUALDAD</w:t>
      </w:r>
      <w:r w:rsidRPr="00531B12">
        <w:rPr>
          <w:rFonts w:ascii="Abadi" w:hAnsi="Abadi"/>
          <w:b/>
          <w:bCs/>
          <w:spacing w:val="-3"/>
          <w:sz w:val="20"/>
          <w:szCs w:val="20"/>
        </w:rPr>
        <w:t xml:space="preserve"> </w:t>
      </w:r>
      <w:r w:rsidRPr="00531B12">
        <w:rPr>
          <w:rFonts w:ascii="Abadi" w:hAnsi="Abadi"/>
          <w:b/>
          <w:bCs/>
          <w:sz w:val="20"/>
          <w:szCs w:val="20"/>
        </w:rPr>
        <w:t>DE</w:t>
      </w:r>
      <w:r w:rsidRPr="00531B12">
        <w:rPr>
          <w:rFonts w:ascii="Abadi" w:hAnsi="Abadi"/>
          <w:b/>
          <w:bCs/>
          <w:spacing w:val="-3"/>
          <w:sz w:val="20"/>
          <w:szCs w:val="20"/>
        </w:rPr>
        <w:t xml:space="preserve"> </w:t>
      </w:r>
      <w:r w:rsidRPr="00531B12">
        <w:rPr>
          <w:rFonts w:ascii="Abadi" w:hAnsi="Abadi"/>
          <w:b/>
          <w:bCs/>
          <w:sz w:val="20"/>
          <w:szCs w:val="20"/>
        </w:rPr>
        <w:t>GÉNERO</w:t>
      </w:r>
      <w:r w:rsidRPr="00531B12">
        <w:rPr>
          <w:rFonts w:ascii="Abadi" w:hAnsi="Abadi"/>
          <w:b/>
          <w:bCs/>
          <w:spacing w:val="-3"/>
          <w:sz w:val="20"/>
          <w:szCs w:val="20"/>
        </w:rPr>
        <w:t xml:space="preserve"> </w:t>
      </w:r>
      <w:r w:rsidRPr="00531B12">
        <w:rPr>
          <w:rFonts w:ascii="Abadi" w:hAnsi="Abadi"/>
          <w:b/>
          <w:bCs/>
          <w:sz w:val="20"/>
          <w:szCs w:val="20"/>
        </w:rPr>
        <w:t>Y, EN SU CASO, APROBACIÓN DE LA MISMA.</w:t>
      </w:r>
    </w:p>
    <w:p w14:paraId="39676DF1" w14:textId="384B27FD" w:rsidR="00FD2FEF" w:rsidRDefault="00FD2FEF" w:rsidP="003844D7">
      <w:pPr>
        <w:tabs>
          <w:tab w:val="left" w:pos="845"/>
        </w:tabs>
        <w:kinsoku w:val="0"/>
        <w:overflowPunct w:val="0"/>
        <w:autoSpaceDE w:val="0"/>
        <w:autoSpaceDN w:val="0"/>
        <w:adjustRightInd w:val="0"/>
        <w:ind w:left="360" w:right="17"/>
        <w:jc w:val="both"/>
        <w:rPr>
          <w:rFonts w:ascii="Abadi" w:hAnsi="Abadi"/>
          <w:b/>
          <w:bCs/>
          <w:sz w:val="20"/>
          <w:szCs w:val="20"/>
        </w:rPr>
      </w:pPr>
    </w:p>
    <w:p w14:paraId="53866C3E" w14:textId="77777777" w:rsidR="00B66168" w:rsidRPr="00B66168" w:rsidRDefault="00B66168" w:rsidP="00B66168">
      <w:pPr>
        <w:autoSpaceDE w:val="0"/>
        <w:autoSpaceDN w:val="0"/>
        <w:adjustRightInd w:val="0"/>
        <w:rPr>
          <w:rFonts w:ascii="Abadi" w:eastAsia="Calibri" w:hAnsi="Abadi" w:cs="*Verdana-Bold-5029-Identity-H"/>
          <w:b/>
          <w:bCs/>
          <w:color w:val="050404"/>
          <w:sz w:val="21"/>
          <w:szCs w:val="21"/>
          <w:lang w:val="es-MX" w:eastAsia="en-US"/>
        </w:rPr>
      </w:pPr>
      <w:r w:rsidRPr="00B66168">
        <w:rPr>
          <w:rFonts w:ascii="Abadi" w:eastAsia="Calibri" w:hAnsi="Abadi" w:cs="*Verdana-Bold-5029-Identity-H"/>
          <w:b/>
          <w:bCs/>
          <w:color w:val="050404"/>
          <w:sz w:val="21"/>
          <w:szCs w:val="21"/>
          <w:lang w:val="es-MX" w:eastAsia="en-US"/>
        </w:rPr>
        <w:t>DIPUTAD A IRMA LETICI A GON ZÁLEZ SÁNCHEZ</w:t>
      </w:r>
    </w:p>
    <w:p w14:paraId="66F370FF" w14:textId="77777777" w:rsidR="00B66168" w:rsidRPr="00B66168" w:rsidRDefault="00B66168" w:rsidP="00B66168">
      <w:pPr>
        <w:autoSpaceDE w:val="0"/>
        <w:autoSpaceDN w:val="0"/>
        <w:adjustRightInd w:val="0"/>
        <w:rPr>
          <w:rFonts w:ascii="Abadi" w:eastAsia="Calibri" w:hAnsi="Abadi" w:cs="*Verdana-Bold-5029-Identity-H"/>
          <w:b/>
          <w:bCs/>
          <w:color w:val="050404"/>
          <w:sz w:val="21"/>
          <w:szCs w:val="21"/>
          <w:lang w:val="es-MX" w:eastAsia="en-US"/>
        </w:rPr>
      </w:pPr>
      <w:r w:rsidRPr="00B66168">
        <w:rPr>
          <w:rFonts w:ascii="Abadi" w:eastAsia="Calibri" w:hAnsi="Abadi" w:cs="*Verdana-Bold-5029-Identity-H"/>
          <w:b/>
          <w:bCs/>
          <w:color w:val="050404"/>
          <w:sz w:val="21"/>
          <w:szCs w:val="21"/>
          <w:lang w:val="es-MX" w:eastAsia="en-US"/>
        </w:rPr>
        <w:t>PRESIDENTA DEL CONGRESO DEL ESTADO</w:t>
      </w:r>
    </w:p>
    <w:p w14:paraId="2442C4C0" w14:textId="77777777" w:rsidR="00B66168" w:rsidRPr="00B66168" w:rsidRDefault="00B66168" w:rsidP="00B66168">
      <w:pPr>
        <w:autoSpaceDE w:val="0"/>
        <w:autoSpaceDN w:val="0"/>
        <w:adjustRightInd w:val="0"/>
        <w:rPr>
          <w:rFonts w:ascii="Abadi" w:eastAsia="Calibri" w:hAnsi="Abadi" w:cs="*Verdana-Bold-5029-Identity-H"/>
          <w:b/>
          <w:bCs/>
          <w:color w:val="050404"/>
          <w:sz w:val="21"/>
          <w:szCs w:val="21"/>
          <w:lang w:val="es-MX" w:eastAsia="en-US"/>
        </w:rPr>
      </w:pPr>
      <w:r w:rsidRPr="00B66168">
        <w:rPr>
          <w:rFonts w:ascii="Abadi" w:eastAsia="Calibri" w:hAnsi="Abadi" w:cs="*Verdana-Bold-5029-Identity-H"/>
          <w:b/>
          <w:bCs/>
          <w:color w:val="050404"/>
          <w:sz w:val="21"/>
          <w:szCs w:val="21"/>
          <w:lang w:val="es-MX" w:eastAsia="en-US"/>
        </w:rPr>
        <w:lastRenderedPageBreak/>
        <w:t>P R E S EN TE.</w:t>
      </w:r>
    </w:p>
    <w:p w14:paraId="3082B29F" w14:textId="77777777" w:rsidR="00B66168" w:rsidRPr="00B66168" w:rsidRDefault="00B66168" w:rsidP="00B66168">
      <w:pPr>
        <w:autoSpaceDE w:val="0"/>
        <w:autoSpaceDN w:val="0"/>
        <w:adjustRightInd w:val="0"/>
        <w:rPr>
          <w:rFonts w:ascii="Abadi" w:eastAsia="Calibri" w:hAnsi="Abadi" w:cs="*Tahoma-5031-Identity-H"/>
          <w:color w:val="1D1C1B"/>
          <w:sz w:val="21"/>
          <w:szCs w:val="21"/>
          <w:lang w:val="es-MX" w:eastAsia="en-US"/>
        </w:rPr>
      </w:pPr>
    </w:p>
    <w:p w14:paraId="210B526F" w14:textId="77777777" w:rsidR="00B66168" w:rsidRPr="00B66168" w:rsidRDefault="00B66168" w:rsidP="00932931">
      <w:pPr>
        <w:autoSpaceDE w:val="0"/>
        <w:autoSpaceDN w:val="0"/>
        <w:adjustRightInd w:val="0"/>
        <w:jc w:val="both"/>
        <w:rPr>
          <w:rFonts w:ascii="Abadi" w:eastAsia="Calibri" w:hAnsi="Abadi" w:cs="*Tahoma-5031-Identity-H"/>
          <w:color w:val="1D1C1B"/>
          <w:sz w:val="21"/>
          <w:szCs w:val="21"/>
          <w:lang w:val="es-MX" w:eastAsia="en-US"/>
        </w:rPr>
      </w:pPr>
      <w:r w:rsidRPr="00B66168">
        <w:rPr>
          <w:rFonts w:ascii="Abadi" w:eastAsia="Calibri" w:hAnsi="Abadi" w:cs="*Tahoma-5031-Identity-H"/>
          <w:color w:val="1D1C1B"/>
          <w:sz w:val="21"/>
          <w:szCs w:val="21"/>
          <w:lang w:val="es-MX" w:eastAsia="en-US"/>
        </w:rPr>
        <w:t>La diputada y los diputados integrantes de la Junta de Gobierno Y Coordinación Política, ante esta Sexagésima Quinta Legislatura del Congreso del Estado Libre y Soberano de Guanajuato. con fundamento en el artículo 72 fracción V de la Ley Orgánica del Poder Legislativo del Estado de Guanajuato. formulamos la siguiente propuesta de modificación en la integración de la Comisión Para la Igualdad de Género. en los términos siguientes:</w:t>
      </w:r>
    </w:p>
    <w:p w14:paraId="78678DFC" w14:textId="77777777" w:rsidR="007217C5" w:rsidRPr="00B66168" w:rsidRDefault="007217C5" w:rsidP="00B66168">
      <w:pPr>
        <w:autoSpaceDE w:val="0"/>
        <w:autoSpaceDN w:val="0"/>
        <w:adjustRightInd w:val="0"/>
        <w:rPr>
          <w:rFonts w:ascii="Abadi" w:eastAsia="Calibri" w:hAnsi="Abadi" w:cs="*Tahoma-Bold-5032-Identity-H"/>
          <w:b/>
          <w:bCs/>
          <w:color w:val="070505"/>
          <w:sz w:val="21"/>
          <w:szCs w:val="21"/>
          <w:lang w:val="es-MX" w:eastAsia="en-US"/>
        </w:rPr>
      </w:pPr>
    </w:p>
    <w:tbl>
      <w:tblPr>
        <w:tblStyle w:val="Tablaconcuadrcula1"/>
        <w:tblpPr w:leftFromText="141" w:rightFromText="141" w:vertAnchor="page" w:horzAnchor="margin" w:tblpY="9916"/>
        <w:tblW w:w="0" w:type="auto"/>
        <w:tblLook w:val="04A0" w:firstRow="1" w:lastRow="0" w:firstColumn="1" w:lastColumn="0" w:noHBand="0" w:noVBand="1"/>
      </w:tblPr>
      <w:tblGrid>
        <w:gridCol w:w="1248"/>
        <w:gridCol w:w="3136"/>
      </w:tblGrid>
      <w:tr w:rsidR="00932931" w:rsidRPr="00B66168" w14:paraId="2C82C99A" w14:textId="77777777" w:rsidTr="00932931">
        <w:trPr>
          <w:trHeight w:val="414"/>
        </w:trPr>
        <w:tc>
          <w:tcPr>
            <w:tcW w:w="4384" w:type="dxa"/>
            <w:gridSpan w:val="2"/>
          </w:tcPr>
          <w:p w14:paraId="15B71A90" w14:textId="77777777" w:rsidR="00932931" w:rsidRPr="00B66168" w:rsidRDefault="00932931" w:rsidP="00932931">
            <w:pPr>
              <w:autoSpaceDE w:val="0"/>
              <w:autoSpaceDN w:val="0"/>
              <w:adjustRightInd w:val="0"/>
              <w:jc w:val="center"/>
              <w:rPr>
                <w:rFonts w:ascii="Abadi" w:hAnsi="Abadi" w:cs="*Tahoma-Bold-5032-Identity-H"/>
                <w:b/>
                <w:bCs/>
                <w:color w:val="070505"/>
                <w:sz w:val="21"/>
                <w:szCs w:val="21"/>
                <w:lang w:val="es-MX" w:eastAsia="en-US"/>
              </w:rPr>
            </w:pPr>
            <w:r w:rsidRPr="00B66168">
              <w:rPr>
                <w:rFonts w:ascii="Abadi" w:hAnsi="Abadi" w:cs="*Tahoma-Bold-5032-Identity-H"/>
                <w:b/>
                <w:bCs/>
                <w:color w:val="070505"/>
                <w:sz w:val="21"/>
                <w:szCs w:val="21"/>
                <w:lang w:val="es-MX" w:eastAsia="en-US"/>
              </w:rPr>
              <w:t>COMISIÓN PARA LA IGUALDAD DE GÉNERO</w:t>
            </w:r>
          </w:p>
        </w:tc>
      </w:tr>
      <w:tr w:rsidR="00932931" w:rsidRPr="00B66168" w14:paraId="2744C755" w14:textId="77777777" w:rsidTr="00932931">
        <w:trPr>
          <w:trHeight w:val="388"/>
        </w:trPr>
        <w:tc>
          <w:tcPr>
            <w:tcW w:w="1248" w:type="dxa"/>
          </w:tcPr>
          <w:p w14:paraId="307CD0C5" w14:textId="77777777" w:rsidR="00932931" w:rsidRPr="00B66168" w:rsidRDefault="00932931" w:rsidP="00932931">
            <w:pPr>
              <w:autoSpaceDE w:val="0"/>
              <w:autoSpaceDN w:val="0"/>
              <w:adjustRightInd w:val="0"/>
              <w:rPr>
                <w:rFonts w:ascii="Abadi" w:hAnsi="Abadi" w:cs="*Tahoma-Bold-5032-Identity-H"/>
                <w:b/>
                <w:bCs/>
                <w:color w:val="070505"/>
                <w:sz w:val="21"/>
                <w:szCs w:val="21"/>
                <w:lang w:val="es-MX" w:eastAsia="en-US"/>
              </w:rPr>
            </w:pPr>
            <w:r w:rsidRPr="00B66168">
              <w:rPr>
                <w:rFonts w:ascii="Abadi" w:hAnsi="Abadi" w:cs="*Tahoma-Bold-5032-Identity-H"/>
                <w:b/>
                <w:bCs/>
                <w:color w:val="070505"/>
                <w:sz w:val="21"/>
                <w:szCs w:val="21"/>
                <w:lang w:val="es-MX" w:eastAsia="en-US"/>
              </w:rPr>
              <w:t>VOCAL</w:t>
            </w:r>
          </w:p>
        </w:tc>
        <w:tc>
          <w:tcPr>
            <w:tcW w:w="3136" w:type="dxa"/>
          </w:tcPr>
          <w:p w14:paraId="3F61D568" w14:textId="77777777" w:rsidR="00932931" w:rsidRPr="00B66168" w:rsidRDefault="00932931" w:rsidP="00932931">
            <w:pPr>
              <w:autoSpaceDE w:val="0"/>
              <w:autoSpaceDN w:val="0"/>
              <w:adjustRightInd w:val="0"/>
              <w:rPr>
                <w:rFonts w:ascii="Abadi" w:hAnsi="Abadi" w:cs="*Tahoma-Bold-5032-Identity-H"/>
                <w:b/>
                <w:bCs/>
                <w:color w:val="070505"/>
                <w:sz w:val="21"/>
                <w:szCs w:val="21"/>
                <w:lang w:val="es-MX" w:eastAsia="en-US"/>
              </w:rPr>
            </w:pPr>
            <w:r w:rsidRPr="00B66168">
              <w:rPr>
                <w:rFonts w:ascii="Abadi" w:hAnsi="Abadi" w:cs="*Tahoma-Bold-5032-Identity-H"/>
                <w:b/>
                <w:bCs/>
                <w:color w:val="070505"/>
                <w:sz w:val="21"/>
                <w:szCs w:val="21"/>
                <w:lang w:val="es-MX" w:eastAsia="en-US"/>
              </w:rPr>
              <w:t xml:space="preserve">Martha Edith Moreno Valencia, en sustitución de la diputada Hades Berenice Aguilar Castillo </w:t>
            </w:r>
          </w:p>
        </w:tc>
      </w:tr>
    </w:tbl>
    <w:p w14:paraId="5D84DC61" w14:textId="77777777" w:rsidR="00B66168" w:rsidRPr="00B66168" w:rsidRDefault="00B66168" w:rsidP="00B66168">
      <w:pPr>
        <w:autoSpaceDE w:val="0"/>
        <w:autoSpaceDN w:val="0"/>
        <w:adjustRightInd w:val="0"/>
        <w:rPr>
          <w:rFonts w:ascii="Abadi" w:eastAsia="Calibri" w:hAnsi="Abadi" w:cs="*Tahoma-5031-Identity-H"/>
          <w:color w:val="181616"/>
          <w:sz w:val="21"/>
          <w:szCs w:val="21"/>
          <w:lang w:val="es-MX" w:eastAsia="en-US"/>
        </w:rPr>
      </w:pPr>
    </w:p>
    <w:p w14:paraId="4D074FC0" w14:textId="77777777" w:rsidR="00B66168" w:rsidRPr="00B66168" w:rsidRDefault="00B66168" w:rsidP="00932931">
      <w:pPr>
        <w:autoSpaceDE w:val="0"/>
        <w:autoSpaceDN w:val="0"/>
        <w:adjustRightInd w:val="0"/>
        <w:jc w:val="both"/>
        <w:rPr>
          <w:rFonts w:ascii="Abadi" w:eastAsia="Calibri" w:hAnsi="Abadi" w:cs="*Tahoma-5031-Identity-H"/>
          <w:color w:val="181616"/>
          <w:sz w:val="21"/>
          <w:szCs w:val="21"/>
          <w:lang w:val="es-MX" w:eastAsia="en-US"/>
        </w:rPr>
      </w:pPr>
      <w:r w:rsidRPr="00B66168">
        <w:rPr>
          <w:rFonts w:ascii="Abadi" w:eastAsia="Calibri" w:hAnsi="Abadi" w:cs="*Tahoma-5031-Identity-H"/>
          <w:color w:val="181616"/>
          <w:sz w:val="21"/>
          <w:szCs w:val="21"/>
          <w:lang w:val="es-MX" w:eastAsia="en-US"/>
        </w:rPr>
        <w:t>Sin otro particular, solicitamos se le otorgue a la presente el trámite parlamentario correspondiente y aprovechamos la ocasión para enviarle un cordial saludo.</w:t>
      </w:r>
    </w:p>
    <w:p w14:paraId="2C8B62C6" w14:textId="77777777" w:rsidR="00B66168" w:rsidRPr="00B66168" w:rsidRDefault="00B66168" w:rsidP="00B66168">
      <w:pPr>
        <w:autoSpaceDE w:val="0"/>
        <w:autoSpaceDN w:val="0"/>
        <w:adjustRightInd w:val="0"/>
        <w:rPr>
          <w:rFonts w:ascii="Abadi" w:eastAsia="Calibri" w:hAnsi="Abadi" w:cs="*Tahoma-5031-Identity-H"/>
          <w:color w:val="181616"/>
          <w:sz w:val="21"/>
          <w:szCs w:val="21"/>
          <w:lang w:val="es-MX" w:eastAsia="en-US"/>
        </w:rPr>
      </w:pPr>
    </w:p>
    <w:p w14:paraId="7A592097" w14:textId="77777777" w:rsidR="00B66168" w:rsidRPr="00B66168" w:rsidRDefault="00B66168" w:rsidP="00B66168">
      <w:pPr>
        <w:autoSpaceDE w:val="0"/>
        <w:autoSpaceDN w:val="0"/>
        <w:adjustRightInd w:val="0"/>
        <w:rPr>
          <w:rFonts w:ascii="Abadi" w:eastAsia="Calibri" w:hAnsi="Abadi" w:cs="*Tahoma-5031-Identity-H"/>
          <w:color w:val="181616"/>
          <w:sz w:val="21"/>
          <w:szCs w:val="21"/>
          <w:lang w:val="es-MX" w:eastAsia="en-US"/>
        </w:rPr>
      </w:pPr>
    </w:p>
    <w:p w14:paraId="484438D1" w14:textId="77777777" w:rsidR="00B66168" w:rsidRPr="00B66168" w:rsidRDefault="00B66168" w:rsidP="00B66168">
      <w:pPr>
        <w:autoSpaceDE w:val="0"/>
        <w:autoSpaceDN w:val="0"/>
        <w:adjustRightInd w:val="0"/>
        <w:jc w:val="center"/>
        <w:rPr>
          <w:rFonts w:ascii="Abadi" w:eastAsia="Calibri" w:hAnsi="Abadi" w:cs="*Verdana-Bold-5029-Identity-H"/>
          <w:b/>
          <w:bCs/>
          <w:color w:val="050303"/>
          <w:sz w:val="21"/>
          <w:szCs w:val="21"/>
          <w:lang w:val="es-MX" w:eastAsia="en-US"/>
        </w:rPr>
      </w:pPr>
      <w:r w:rsidRPr="00B66168">
        <w:rPr>
          <w:rFonts w:ascii="Abadi" w:eastAsia="Calibri" w:hAnsi="Abadi" w:cs="*Verdana-Bold-5029-Identity-H"/>
          <w:b/>
          <w:bCs/>
          <w:color w:val="050303"/>
          <w:sz w:val="21"/>
          <w:szCs w:val="21"/>
          <w:lang w:val="es-MX" w:eastAsia="en-US"/>
        </w:rPr>
        <w:t>A T E N T A M E N T E</w:t>
      </w:r>
    </w:p>
    <w:p w14:paraId="7C447C6B" w14:textId="77777777" w:rsidR="00B66168" w:rsidRPr="00B66168" w:rsidRDefault="00B66168" w:rsidP="00B66168">
      <w:pPr>
        <w:autoSpaceDE w:val="0"/>
        <w:autoSpaceDN w:val="0"/>
        <w:adjustRightInd w:val="0"/>
        <w:jc w:val="center"/>
        <w:rPr>
          <w:rFonts w:ascii="Abadi" w:eastAsia="Calibri" w:hAnsi="Abadi" w:cs="*Verdana-Bold-5029-Identity-H"/>
          <w:b/>
          <w:bCs/>
          <w:color w:val="050303"/>
          <w:sz w:val="21"/>
          <w:szCs w:val="21"/>
          <w:lang w:val="es-MX" w:eastAsia="en-US"/>
        </w:rPr>
      </w:pPr>
    </w:p>
    <w:p w14:paraId="6A66148C" w14:textId="77777777" w:rsidR="00B66168" w:rsidRPr="00B66168" w:rsidRDefault="00B66168" w:rsidP="00B66168">
      <w:pPr>
        <w:autoSpaceDE w:val="0"/>
        <w:autoSpaceDN w:val="0"/>
        <w:adjustRightInd w:val="0"/>
        <w:jc w:val="center"/>
        <w:rPr>
          <w:rFonts w:ascii="Abadi" w:eastAsia="Calibri" w:hAnsi="Abadi" w:cs="*Verdana-Bold-5029-Identity-H"/>
          <w:b/>
          <w:bCs/>
          <w:color w:val="050303"/>
          <w:sz w:val="21"/>
          <w:szCs w:val="21"/>
          <w:lang w:val="es-MX" w:eastAsia="en-US"/>
        </w:rPr>
      </w:pPr>
      <w:r w:rsidRPr="00B66168">
        <w:rPr>
          <w:rFonts w:ascii="Abadi" w:eastAsia="Calibri" w:hAnsi="Abadi" w:cs="*Verdana-Bold-5029-Identity-H"/>
          <w:b/>
          <w:bCs/>
          <w:color w:val="050303"/>
          <w:sz w:val="21"/>
          <w:szCs w:val="21"/>
          <w:lang w:val="es-MX" w:eastAsia="en-US"/>
        </w:rPr>
        <w:t>GUANAJUATO, GTO., 22 DE JUNIO DE 2022.</w:t>
      </w:r>
    </w:p>
    <w:p w14:paraId="692F2C7A" w14:textId="77777777" w:rsidR="00B66168" w:rsidRPr="00B66168" w:rsidRDefault="00B66168" w:rsidP="00B66168">
      <w:pPr>
        <w:spacing w:after="160" w:line="259" w:lineRule="auto"/>
        <w:jc w:val="center"/>
        <w:rPr>
          <w:rFonts w:ascii="Abadi" w:eastAsia="Calibri" w:hAnsi="Abadi" w:cs="*Verdana-Bold-5029-Identity-H"/>
          <w:b/>
          <w:bCs/>
          <w:color w:val="060404"/>
          <w:sz w:val="21"/>
          <w:szCs w:val="21"/>
          <w:lang w:val="es-MX" w:eastAsia="en-US"/>
        </w:rPr>
      </w:pPr>
    </w:p>
    <w:p w14:paraId="51CA3A8E" w14:textId="77777777" w:rsidR="00B66168" w:rsidRPr="00B66168" w:rsidRDefault="00B66168" w:rsidP="00B66168">
      <w:pPr>
        <w:spacing w:after="160" w:line="259" w:lineRule="auto"/>
        <w:jc w:val="center"/>
        <w:rPr>
          <w:rFonts w:ascii="Abadi" w:eastAsia="Calibri" w:hAnsi="Abadi" w:cs="*Verdana-Bold-5029-Identity-H"/>
          <w:b/>
          <w:bCs/>
          <w:color w:val="060404"/>
          <w:sz w:val="21"/>
          <w:szCs w:val="21"/>
          <w:lang w:val="es-MX" w:eastAsia="en-US"/>
        </w:rPr>
      </w:pPr>
      <w:r w:rsidRPr="00B66168">
        <w:rPr>
          <w:rFonts w:ascii="Abadi" w:eastAsia="Calibri" w:hAnsi="Abadi" w:cs="*Verdana-Bold-5029-Identity-H"/>
          <w:b/>
          <w:bCs/>
          <w:color w:val="060404"/>
          <w:sz w:val="21"/>
          <w:szCs w:val="21"/>
          <w:lang w:val="es-MX" w:eastAsia="en-US"/>
        </w:rPr>
        <w:t xml:space="preserve">LA DIPUTADA Y LOS DIPUTADOS INTEGRANTES DE LA </w:t>
      </w:r>
    </w:p>
    <w:p w14:paraId="56354B8D" w14:textId="77777777" w:rsidR="00B66168" w:rsidRPr="00B66168" w:rsidRDefault="00B66168" w:rsidP="00B66168">
      <w:pPr>
        <w:spacing w:after="160" w:line="259" w:lineRule="auto"/>
        <w:jc w:val="center"/>
        <w:rPr>
          <w:rFonts w:ascii="Abadi" w:eastAsia="Calibri" w:hAnsi="Abadi" w:cs="*Verdana-Bold-5029-Identity-H"/>
          <w:b/>
          <w:bCs/>
          <w:color w:val="060404"/>
          <w:sz w:val="21"/>
          <w:szCs w:val="21"/>
          <w:lang w:val="es-MX" w:eastAsia="en-US"/>
        </w:rPr>
      </w:pPr>
      <w:r w:rsidRPr="00B66168">
        <w:rPr>
          <w:rFonts w:ascii="Abadi" w:eastAsia="Calibri" w:hAnsi="Abadi" w:cs="*Verdana-Bold-5029-Identity-H"/>
          <w:b/>
          <w:bCs/>
          <w:color w:val="060404"/>
          <w:sz w:val="21"/>
          <w:szCs w:val="21"/>
          <w:lang w:val="es-MX" w:eastAsia="en-US"/>
        </w:rPr>
        <w:t>JUNTA DE GOBIERO Y COORDINACIÓN POLÍTICA</w:t>
      </w:r>
    </w:p>
    <w:p w14:paraId="55A044A0" w14:textId="77777777" w:rsidR="00B66168" w:rsidRPr="00B66168" w:rsidRDefault="00B66168" w:rsidP="00B66168">
      <w:pPr>
        <w:spacing w:after="160" w:line="259" w:lineRule="auto"/>
        <w:jc w:val="center"/>
        <w:rPr>
          <w:rFonts w:ascii="Abadi" w:eastAsia="Calibri" w:hAnsi="Abadi" w:cs="*Verdana-Bold-5029-Identity-H"/>
          <w:b/>
          <w:bCs/>
          <w:color w:val="060404"/>
          <w:sz w:val="21"/>
          <w:szCs w:val="21"/>
          <w:lang w:val="es-MX" w:eastAsia="en-US"/>
        </w:rPr>
      </w:pPr>
    </w:p>
    <w:p w14:paraId="00759741" w14:textId="77777777" w:rsidR="00B66168" w:rsidRPr="00B66168" w:rsidRDefault="00B66168" w:rsidP="00B66168">
      <w:pPr>
        <w:spacing w:after="160" w:line="259" w:lineRule="auto"/>
        <w:jc w:val="center"/>
        <w:rPr>
          <w:rFonts w:ascii="Abadi" w:eastAsia="Calibri" w:hAnsi="Abadi" w:cs="*Verdana-Bold-5029-Identity-H"/>
          <w:b/>
          <w:bCs/>
          <w:color w:val="060404"/>
          <w:sz w:val="21"/>
          <w:szCs w:val="21"/>
          <w:lang w:val="es-MX" w:eastAsia="en-US"/>
        </w:rPr>
      </w:pPr>
      <w:r w:rsidRPr="00B66168">
        <w:rPr>
          <w:rFonts w:ascii="Abadi" w:eastAsia="Calibri" w:hAnsi="Abadi" w:cs="*Verdana-Bold-5029-Identity-H"/>
          <w:b/>
          <w:bCs/>
          <w:color w:val="060404"/>
          <w:sz w:val="21"/>
          <w:szCs w:val="21"/>
          <w:lang w:val="es-MX" w:eastAsia="en-US"/>
        </w:rPr>
        <w:t>DIP. LUIS ERNESTO AYALA TORRES</w:t>
      </w:r>
    </w:p>
    <w:p w14:paraId="3A384605" w14:textId="77777777" w:rsidR="00B66168" w:rsidRPr="00B66168" w:rsidRDefault="00B66168" w:rsidP="00B66168">
      <w:pPr>
        <w:spacing w:after="160" w:line="259" w:lineRule="auto"/>
        <w:jc w:val="center"/>
        <w:rPr>
          <w:rFonts w:ascii="Abadi" w:eastAsia="Calibri" w:hAnsi="Abadi" w:cs="*Verdana-Bold-5029-Identity-H"/>
          <w:b/>
          <w:bCs/>
          <w:color w:val="060404"/>
          <w:sz w:val="21"/>
          <w:szCs w:val="21"/>
          <w:lang w:val="es-MX" w:eastAsia="en-US"/>
        </w:rPr>
      </w:pPr>
      <w:r w:rsidRPr="00B66168">
        <w:rPr>
          <w:rFonts w:ascii="Abadi" w:eastAsia="Calibri" w:hAnsi="Abadi" w:cs="*Verdana-Bold-5029-Identity-H"/>
          <w:b/>
          <w:bCs/>
          <w:color w:val="060404"/>
          <w:sz w:val="21"/>
          <w:szCs w:val="21"/>
          <w:lang w:val="es-MX" w:eastAsia="en-US"/>
        </w:rPr>
        <w:t>DIP. ERNESTO MILLÁN SOBERANES</w:t>
      </w:r>
    </w:p>
    <w:p w14:paraId="1BE30A82" w14:textId="77777777" w:rsidR="00B66168" w:rsidRPr="00B66168" w:rsidRDefault="00B66168" w:rsidP="00B66168">
      <w:pPr>
        <w:spacing w:after="160" w:line="259" w:lineRule="auto"/>
        <w:jc w:val="center"/>
        <w:rPr>
          <w:rFonts w:ascii="Abadi" w:eastAsia="Calibri" w:hAnsi="Abadi" w:cs="*Verdana-Bold-5029-Identity-H"/>
          <w:b/>
          <w:bCs/>
          <w:color w:val="060404"/>
          <w:sz w:val="21"/>
          <w:szCs w:val="21"/>
          <w:lang w:val="es-MX" w:eastAsia="en-US"/>
        </w:rPr>
      </w:pPr>
      <w:r w:rsidRPr="00B66168">
        <w:rPr>
          <w:rFonts w:ascii="Abadi" w:eastAsia="Calibri" w:hAnsi="Abadi" w:cs="*Verdana-Bold-5029-Identity-H"/>
          <w:b/>
          <w:bCs/>
          <w:color w:val="060404"/>
          <w:sz w:val="21"/>
          <w:szCs w:val="21"/>
          <w:lang w:val="es-MX" w:eastAsia="en-US"/>
        </w:rPr>
        <w:t>DIP. ALEJANDRO ARIAS ÁVILA</w:t>
      </w:r>
    </w:p>
    <w:p w14:paraId="7016D040" w14:textId="77777777" w:rsidR="00B66168" w:rsidRPr="00B66168" w:rsidRDefault="00B66168" w:rsidP="00B66168">
      <w:pPr>
        <w:spacing w:after="160" w:line="259" w:lineRule="auto"/>
        <w:jc w:val="center"/>
        <w:rPr>
          <w:rFonts w:ascii="Abadi" w:eastAsia="Calibri" w:hAnsi="Abadi" w:cs="*Verdana-Bold-5029-Identity-H"/>
          <w:b/>
          <w:bCs/>
          <w:color w:val="060404"/>
          <w:sz w:val="21"/>
          <w:szCs w:val="21"/>
          <w:lang w:val="es-MX" w:eastAsia="en-US"/>
        </w:rPr>
      </w:pPr>
      <w:r w:rsidRPr="00B66168">
        <w:rPr>
          <w:rFonts w:ascii="Abadi" w:eastAsia="Calibri" w:hAnsi="Abadi" w:cs="*Verdana-Bold-5029-Identity-H"/>
          <w:b/>
          <w:bCs/>
          <w:color w:val="060404"/>
          <w:sz w:val="21"/>
          <w:szCs w:val="21"/>
          <w:lang w:val="es-MX" w:eastAsia="en-US"/>
        </w:rPr>
        <w:t>DIP. GERARDO FERNÁNDEZ GONZÁLEZ</w:t>
      </w:r>
    </w:p>
    <w:p w14:paraId="36401BD7" w14:textId="77777777" w:rsidR="00B66168" w:rsidRPr="00B66168" w:rsidRDefault="00B66168" w:rsidP="00B66168">
      <w:pPr>
        <w:spacing w:after="160" w:line="259" w:lineRule="auto"/>
        <w:jc w:val="center"/>
        <w:rPr>
          <w:rFonts w:ascii="Abadi" w:eastAsia="Calibri" w:hAnsi="Abadi"/>
          <w:sz w:val="21"/>
          <w:szCs w:val="21"/>
          <w:lang w:val="es-MX" w:eastAsia="en-US"/>
        </w:rPr>
      </w:pPr>
      <w:r w:rsidRPr="00B66168">
        <w:rPr>
          <w:rFonts w:ascii="Abadi" w:eastAsia="Calibri" w:hAnsi="Abadi" w:cs="*Verdana-Bold-5029-Identity-H"/>
          <w:b/>
          <w:bCs/>
          <w:color w:val="060404"/>
          <w:sz w:val="21"/>
          <w:szCs w:val="21"/>
          <w:lang w:val="es-MX" w:eastAsia="en-US"/>
        </w:rPr>
        <w:t>DIP. DESSIRE ANGEL ROCHA</w:t>
      </w:r>
    </w:p>
    <w:p w14:paraId="3649F784" w14:textId="4EA95E4A" w:rsidR="003844D7" w:rsidRPr="003844D7" w:rsidRDefault="003844D7" w:rsidP="003844D7">
      <w:pPr>
        <w:tabs>
          <w:tab w:val="left" w:pos="845"/>
        </w:tabs>
        <w:kinsoku w:val="0"/>
        <w:overflowPunct w:val="0"/>
        <w:autoSpaceDE w:val="0"/>
        <w:autoSpaceDN w:val="0"/>
        <w:adjustRightInd w:val="0"/>
        <w:ind w:left="360" w:right="17"/>
        <w:jc w:val="both"/>
        <w:rPr>
          <w:rFonts w:ascii="Abadi" w:hAnsi="Abadi"/>
          <w:sz w:val="20"/>
          <w:szCs w:val="20"/>
        </w:rPr>
      </w:pPr>
    </w:p>
    <w:p w14:paraId="529326D5" w14:textId="72458D12" w:rsidR="003844D7" w:rsidRDefault="003844D7" w:rsidP="003844D7">
      <w:pPr>
        <w:tabs>
          <w:tab w:val="left" w:pos="845"/>
        </w:tabs>
        <w:kinsoku w:val="0"/>
        <w:overflowPunct w:val="0"/>
        <w:autoSpaceDE w:val="0"/>
        <w:autoSpaceDN w:val="0"/>
        <w:adjustRightInd w:val="0"/>
        <w:ind w:left="360" w:right="17"/>
        <w:jc w:val="both"/>
        <w:rPr>
          <w:rFonts w:ascii="Abadi" w:hAnsi="Abadi"/>
          <w:b/>
          <w:bCs/>
          <w:sz w:val="20"/>
          <w:szCs w:val="20"/>
        </w:rPr>
      </w:pPr>
    </w:p>
    <w:p w14:paraId="7141E79E" w14:textId="77777777" w:rsidR="003844D7" w:rsidRPr="003844D7" w:rsidRDefault="003844D7" w:rsidP="003844D7">
      <w:pPr>
        <w:tabs>
          <w:tab w:val="left" w:pos="845"/>
        </w:tabs>
        <w:kinsoku w:val="0"/>
        <w:overflowPunct w:val="0"/>
        <w:autoSpaceDE w:val="0"/>
        <w:autoSpaceDN w:val="0"/>
        <w:adjustRightInd w:val="0"/>
        <w:ind w:left="360" w:right="17"/>
        <w:jc w:val="both"/>
        <w:rPr>
          <w:rFonts w:ascii="Abadi" w:hAnsi="Abadi"/>
          <w:b/>
          <w:bCs/>
          <w:sz w:val="20"/>
          <w:szCs w:val="20"/>
        </w:rPr>
      </w:pPr>
    </w:p>
    <w:p w14:paraId="28017602" w14:textId="3EF088B8" w:rsidR="009824C9" w:rsidRDefault="009824C9" w:rsidP="005433FA">
      <w:pPr>
        <w:pStyle w:val="Prrafodelista"/>
        <w:numPr>
          <w:ilvl w:val="0"/>
          <w:numId w:val="9"/>
        </w:numPr>
        <w:tabs>
          <w:tab w:val="left" w:pos="845"/>
        </w:tabs>
        <w:kinsoku w:val="0"/>
        <w:overflowPunct w:val="0"/>
        <w:autoSpaceDE w:val="0"/>
        <w:autoSpaceDN w:val="0"/>
        <w:adjustRightInd w:val="0"/>
        <w:spacing w:before="1"/>
        <w:ind w:right="17"/>
        <w:jc w:val="both"/>
        <w:rPr>
          <w:rFonts w:ascii="Abadi" w:hAnsi="Abadi"/>
          <w:b/>
          <w:bCs/>
          <w:sz w:val="20"/>
          <w:szCs w:val="20"/>
        </w:rPr>
      </w:pPr>
      <w:r w:rsidRPr="000D3338">
        <w:rPr>
          <w:rFonts w:ascii="Abadi" w:hAnsi="Abadi"/>
          <w:b/>
          <w:bCs/>
          <w:sz w:val="20"/>
          <w:szCs w:val="20"/>
        </w:rPr>
        <w:t>DISCUSIÓN</w:t>
      </w:r>
      <w:r w:rsidRPr="000D3338">
        <w:rPr>
          <w:rFonts w:ascii="Abadi" w:hAnsi="Abadi"/>
          <w:b/>
          <w:bCs/>
          <w:spacing w:val="16"/>
          <w:sz w:val="20"/>
          <w:szCs w:val="20"/>
        </w:rPr>
        <w:t xml:space="preserve"> </w:t>
      </w:r>
      <w:r w:rsidRPr="000D3338">
        <w:rPr>
          <w:rFonts w:ascii="Abadi" w:hAnsi="Abadi"/>
          <w:b/>
          <w:bCs/>
          <w:sz w:val="20"/>
          <w:szCs w:val="20"/>
        </w:rPr>
        <w:t>Y,</w:t>
      </w:r>
      <w:r w:rsidRPr="000D3338">
        <w:rPr>
          <w:rFonts w:ascii="Abadi" w:hAnsi="Abadi"/>
          <w:b/>
          <w:bCs/>
          <w:spacing w:val="15"/>
          <w:sz w:val="20"/>
          <w:szCs w:val="20"/>
        </w:rPr>
        <w:t xml:space="preserve"> </w:t>
      </w:r>
      <w:r w:rsidRPr="000D3338">
        <w:rPr>
          <w:rFonts w:ascii="Abadi" w:hAnsi="Abadi"/>
          <w:b/>
          <w:bCs/>
          <w:sz w:val="20"/>
          <w:szCs w:val="20"/>
        </w:rPr>
        <w:t>EN</w:t>
      </w:r>
      <w:r w:rsidRPr="000D3338">
        <w:rPr>
          <w:rFonts w:ascii="Abadi" w:hAnsi="Abadi"/>
          <w:b/>
          <w:bCs/>
          <w:spacing w:val="16"/>
          <w:sz w:val="20"/>
          <w:szCs w:val="20"/>
        </w:rPr>
        <w:t xml:space="preserve"> </w:t>
      </w:r>
      <w:r w:rsidRPr="000D3338">
        <w:rPr>
          <w:rFonts w:ascii="Abadi" w:hAnsi="Abadi"/>
          <w:b/>
          <w:bCs/>
          <w:sz w:val="20"/>
          <w:szCs w:val="20"/>
        </w:rPr>
        <w:t>SU</w:t>
      </w:r>
      <w:r w:rsidRPr="000D3338">
        <w:rPr>
          <w:rFonts w:ascii="Abadi" w:hAnsi="Abadi"/>
          <w:b/>
          <w:bCs/>
          <w:spacing w:val="15"/>
          <w:sz w:val="20"/>
          <w:szCs w:val="20"/>
        </w:rPr>
        <w:t xml:space="preserve"> </w:t>
      </w:r>
      <w:r w:rsidRPr="000D3338">
        <w:rPr>
          <w:rFonts w:ascii="Abadi" w:hAnsi="Abadi"/>
          <w:b/>
          <w:bCs/>
          <w:sz w:val="20"/>
          <w:szCs w:val="20"/>
        </w:rPr>
        <w:t>CASO,</w:t>
      </w:r>
      <w:r w:rsidRPr="000D3338">
        <w:rPr>
          <w:rFonts w:ascii="Abadi" w:hAnsi="Abadi"/>
          <w:b/>
          <w:bCs/>
          <w:spacing w:val="15"/>
          <w:sz w:val="20"/>
          <w:szCs w:val="20"/>
        </w:rPr>
        <w:t xml:space="preserve"> </w:t>
      </w:r>
      <w:r w:rsidRPr="000D3338">
        <w:rPr>
          <w:rFonts w:ascii="Abadi" w:hAnsi="Abadi"/>
          <w:b/>
          <w:bCs/>
          <w:sz w:val="20"/>
          <w:szCs w:val="20"/>
        </w:rPr>
        <w:t>APROBACIÓN</w:t>
      </w:r>
      <w:r w:rsidRPr="000D3338">
        <w:rPr>
          <w:rFonts w:ascii="Abadi" w:hAnsi="Abadi"/>
          <w:b/>
          <w:bCs/>
          <w:spacing w:val="16"/>
          <w:sz w:val="20"/>
          <w:szCs w:val="20"/>
        </w:rPr>
        <w:t xml:space="preserve"> </w:t>
      </w:r>
      <w:r w:rsidRPr="000D3338">
        <w:rPr>
          <w:rFonts w:ascii="Abadi" w:hAnsi="Abadi"/>
          <w:b/>
          <w:bCs/>
          <w:sz w:val="20"/>
          <w:szCs w:val="20"/>
        </w:rPr>
        <w:t>DEL</w:t>
      </w:r>
      <w:r w:rsidRPr="000D3338">
        <w:rPr>
          <w:rFonts w:ascii="Abadi" w:hAnsi="Abadi"/>
          <w:b/>
          <w:bCs/>
          <w:spacing w:val="15"/>
          <w:sz w:val="20"/>
          <w:szCs w:val="20"/>
        </w:rPr>
        <w:t xml:space="preserve"> </w:t>
      </w:r>
      <w:r w:rsidRPr="000D3338">
        <w:rPr>
          <w:rFonts w:ascii="Abadi" w:hAnsi="Abadi"/>
          <w:b/>
          <w:bCs/>
          <w:sz w:val="20"/>
          <w:szCs w:val="20"/>
        </w:rPr>
        <w:t>DICTAMEN</w:t>
      </w:r>
      <w:r w:rsidRPr="000D3338">
        <w:rPr>
          <w:rFonts w:ascii="Abadi" w:hAnsi="Abadi"/>
          <w:b/>
          <w:bCs/>
          <w:spacing w:val="15"/>
          <w:sz w:val="20"/>
          <w:szCs w:val="20"/>
        </w:rPr>
        <w:t xml:space="preserve"> </w:t>
      </w:r>
      <w:r w:rsidRPr="000D3338">
        <w:rPr>
          <w:rFonts w:ascii="Abadi" w:hAnsi="Abadi"/>
          <w:b/>
          <w:bCs/>
          <w:sz w:val="20"/>
          <w:szCs w:val="20"/>
        </w:rPr>
        <w:t>EMITIDO</w:t>
      </w:r>
      <w:r w:rsidRPr="000D3338">
        <w:rPr>
          <w:rFonts w:ascii="Abadi" w:hAnsi="Abadi"/>
          <w:b/>
          <w:bCs/>
          <w:spacing w:val="15"/>
          <w:sz w:val="20"/>
          <w:szCs w:val="20"/>
        </w:rPr>
        <w:t xml:space="preserve"> </w:t>
      </w:r>
      <w:r w:rsidRPr="000D3338">
        <w:rPr>
          <w:rFonts w:ascii="Abadi" w:hAnsi="Abadi"/>
          <w:b/>
          <w:bCs/>
          <w:sz w:val="20"/>
          <w:szCs w:val="20"/>
        </w:rPr>
        <w:t>POR</w:t>
      </w:r>
      <w:r w:rsidRPr="000D3338">
        <w:rPr>
          <w:rFonts w:ascii="Abadi" w:hAnsi="Abadi"/>
          <w:b/>
          <w:bCs/>
          <w:spacing w:val="15"/>
          <w:sz w:val="20"/>
          <w:szCs w:val="20"/>
        </w:rPr>
        <w:t xml:space="preserve"> </w:t>
      </w:r>
      <w:r w:rsidRPr="000D3338">
        <w:rPr>
          <w:rFonts w:ascii="Abadi" w:hAnsi="Abadi"/>
          <w:b/>
          <w:bCs/>
          <w:sz w:val="20"/>
          <w:szCs w:val="20"/>
        </w:rPr>
        <w:t>LA</w:t>
      </w:r>
      <w:r w:rsidRPr="000D3338">
        <w:rPr>
          <w:rFonts w:ascii="Abadi" w:hAnsi="Abadi"/>
          <w:b/>
          <w:bCs/>
          <w:spacing w:val="16"/>
          <w:sz w:val="20"/>
          <w:szCs w:val="20"/>
        </w:rPr>
        <w:t xml:space="preserve"> </w:t>
      </w:r>
      <w:r w:rsidRPr="000D3338">
        <w:rPr>
          <w:rFonts w:ascii="Abadi" w:hAnsi="Abadi"/>
          <w:b/>
          <w:bCs/>
          <w:sz w:val="20"/>
          <w:szCs w:val="20"/>
        </w:rPr>
        <w:t>COMISIÓN</w:t>
      </w:r>
      <w:r w:rsidRPr="000D3338">
        <w:rPr>
          <w:rFonts w:ascii="Abadi" w:hAnsi="Abadi"/>
          <w:b/>
          <w:bCs/>
          <w:spacing w:val="-2"/>
          <w:sz w:val="20"/>
          <w:szCs w:val="20"/>
        </w:rPr>
        <w:t xml:space="preserve"> </w:t>
      </w:r>
      <w:r w:rsidRPr="000D3338">
        <w:rPr>
          <w:rFonts w:ascii="Abadi" w:hAnsi="Abadi"/>
          <w:b/>
          <w:bCs/>
          <w:sz w:val="20"/>
          <w:szCs w:val="20"/>
        </w:rPr>
        <w:t>DE</w:t>
      </w:r>
      <w:r w:rsidRPr="000D3338">
        <w:rPr>
          <w:rFonts w:ascii="Abadi" w:hAnsi="Abadi"/>
          <w:b/>
          <w:bCs/>
          <w:spacing w:val="57"/>
          <w:sz w:val="20"/>
          <w:szCs w:val="20"/>
        </w:rPr>
        <w:t xml:space="preserve"> </w:t>
      </w:r>
      <w:r w:rsidRPr="000D3338">
        <w:rPr>
          <w:rFonts w:ascii="Abadi" w:hAnsi="Abadi"/>
          <w:b/>
          <w:bCs/>
          <w:sz w:val="20"/>
          <w:szCs w:val="20"/>
        </w:rPr>
        <w:t>FOMENTO</w:t>
      </w:r>
      <w:r w:rsidRPr="000D3338">
        <w:rPr>
          <w:rFonts w:ascii="Abadi" w:hAnsi="Abadi"/>
          <w:b/>
          <w:bCs/>
          <w:spacing w:val="57"/>
          <w:sz w:val="20"/>
          <w:szCs w:val="20"/>
        </w:rPr>
        <w:t xml:space="preserve"> </w:t>
      </w:r>
      <w:r w:rsidRPr="000D3338">
        <w:rPr>
          <w:rFonts w:ascii="Abadi" w:hAnsi="Abadi"/>
          <w:b/>
          <w:bCs/>
          <w:sz w:val="20"/>
          <w:szCs w:val="20"/>
        </w:rPr>
        <w:t>AGROPECUARIO</w:t>
      </w:r>
      <w:r w:rsidRPr="000D3338">
        <w:rPr>
          <w:rFonts w:ascii="Abadi" w:hAnsi="Abadi"/>
          <w:b/>
          <w:bCs/>
          <w:spacing w:val="57"/>
          <w:sz w:val="20"/>
          <w:szCs w:val="20"/>
        </w:rPr>
        <w:t xml:space="preserve"> </w:t>
      </w:r>
      <w:r w:rsidRPr="000D3338">
        <w:rPr>
          <w:rFonts w:ascii="Abadi" w:hAnsi="Abadi"/>
          <w:b/>
          <w:bCs/>
          <w:sz w:val="20"/>
          <w:szCs w:val="20"/>
        </w:rPr>
        <w:t>RELATIVO</w:t>
      </w:r>
      <w:r w:rsidRPr="000D3338">
        <w:rPr>
          <w:rFonts w:ascii="Abadi" w:hAnsi="Abadi"/>
          <w:b/>
          <w:bCs/>
          <w:spacing w:val="57"/>
          <w:sz w:val="20"/>
          <w:szCs w:val="20"/>
        </w:rPr>
        <w:t xml:space="preserve"> </w:t>
      </w:r>
      <w:r w:rsidRPr="000D3338">
        <w:rPr>
          <w:rFonts w:ascii="Abadi" w:hAnsi="Abadi"/>
          <w:b/>
          <w:bCs/>
          <w:sz w:val="20"/>
          <w:szCs w:val="20"/>
        </w:rPr>
        <w:t>A</w:t>
      </w:r>
      <w:r w:rsidRPr="000D3338">
        <w:rPr>
          <w:rFonts w:ascii="Abadi" w:hAnsi="Abadi"/>
          <w:b/>
          <w:bCs/>
          <w:spacing w:val="57"/>
          <w:sz w:val="20"/>
          <w:szCs w:val="20"/>
        </w:rPr>
        <w:t xml:space="preserve"> </w:t>
      </w:r>
      <w:r w:rsidRPr="000D3338">
        <w:rPr>
          <w:rFonts w:ascii="Abadi" w:hAnsi="Abadi"/>
          <w:b/>
          <w:bCs/>
          <w:sz w:val="20"/>
          <w:szCs w:val="20"/>
        </w:rPr>
        <w:t>LA</w:t>
      </w:r>
      <w:r w:rsidRPr="000D3338">
        <w:rPr>
          <w:rFonts w:ascii="Abadi" w:hAnsi="Abadi"/>
          <w:b/>
          <w:bCs/>
          <w:spacing w:val="57"/>
          <w:sz w:val="20"/>
          <w:szCs w:val="20"/>
        </w:rPr>
        <w:t xml:space="preserve"> </w:t>
      </w:r>
      <w:r w:rsidRPr="000D3338">
        <w:rPr>
          <w:rFonts w:ascii="Abadi" w:hAnsi="Abadi"/>
          <w:b/>
          <w:bCs/>
          <w:sz w:val="20"/>
          <w:szCs w:val="20"/>
        </w:rPr>
        <w:t>PROPUESTA</w:t>
      </w:r>
      <w:r w:rsidRPr="000D3338">
        <w:rPr>
          <w:rFonts w:ascii="Abadi" w:hAnsi="Abadi"/>
          <w:b/>
          <w:bCs/>
          <w:spacing w:val="57"/>
          <w:sz w:val="20"/>
          <w:szCs w:val="20"/>
        </w:rPr>
        <w:t xml:space="preserve"> </w:t>
      </w:r>
      <w:r w:rsidRPr="000D3338">
        <w:rPr>
          <w:rFonts w:ascii="Abadi" w:hAnsi="Abadi"/>
          <w:b/>
          <w:bCs/>
          <w:sz w:val="20"/>
          <w:szCs w:val="20"/>
        </w:rPr>
        <w:t>DE</w:t>
      </w:r>
      <w:r w:rsidRPr="000D3338">
        <w:rPr>
          <w:rFonts w:ascii="Abadi" w:hAnsi="Abadi"/>
          <w:b/>
          <w:bCs/>
          <w:spacing w:val="57"/>
          <w:sz w:val="20"/>
          <w:szCs w:val="20"/>
        </w:rPr>
        <w:t xml:space="preserve"> </w:t>
      </w:r>
      <w:r w:rsidRPr="000D3338">
        <w:rPr>
          <w:rFonts w:ascii="Abadi" w:hAnsi="Abadi"/>
          <w:b/>
          <w:bCs/>
          <w:sz w:val="20"/>
          <w:szCs w:val="20"/>
        </w:rPr>
        <w:t>PUNTO</w:t>
      </w:r>
      <w:r w:rsidRPr="000D3338">
        <w:rPr>
          <w:rFonts w:ascii="Abadi" w:hAnsi="Abadi"/>
          <w:b/>
          <w:bCs/>
          <w:spacing w:val="57"/>
          <w:sz w:val="20"/>
          <w:szCs w:val="20"/>
        </w:rPr>
        <w:t xml:space="preserve"> </w:t>
      </w:r>
      <w:r w:rsidRPr="000D3338">
        <w:rPr>
          <w:rFonts w:ascii="Abadi" w:hAnsi="Abadi"/>
          <w:b/>
          <w:bCs/>
          <w:sz w:val="20"/>
          <w:szCs w:val="20"/>
        </w:rPr>
        <w:t>DE</w:t>
      </w:r>
      <w:r w:rsidRPr="000D3338">
        <w:rPr>
          <w:rFonts w:ascii="Abadi" w:hAnsi="Abadi"/>
          <w:b/>
          <w:bCs/>
          <w:spacing w:val="57"/>
          <w:sz w:val="20"/>
          <w:szCs w:val="20"/>
        </w:rPr>
        <w:t xml:space="preserve"> </w:t>
      </w:r>
      <w:r w:rsidRPr="000D3338">
        <w:rPr>
          <w:rFonts w:ascii="Abadi" w:hAnsi="Abadi"/>
          <w:b/>
          <w:bCs/>
          <w:sz w:val="20"/>
          <w:szCs w:val="20"/>
        </w:rPr>
        <w:t>ACUERDO</w:t>
      </w:r>
      <w:r w:rsidRPr="000D3338">
        <w:rPr>
          <w:rFonts w:ascii="Abadi" w:hAnsi="Abadi"/>
          <w:b/>
          <w:bCs/>
          <w:spacing w:val="-2"/>
          <w:sz w:val="20"/>
          <w:szCs w:val="20"/>
        </w:rPr>
        <w:t xml:space="preserve"> </w:t>
      </w:r>
      <w:r w:rsidRPr="000D3338">
        <w:rPr>
          <w:rFonts w:ascii="Abadi" w:hAnsi="Abadi"/>
          <w:b/>
          <w:bCs/>
          <w:sz w:val="20"/>
          <w:szCs w:val="20"/>
        </w:rPr>
        <w:t>FORMULADA</w:t>
      </w:r>
      <w:r w:rsidRPr="000D3338">
        <w:rPr>
          <w:rFonts w:ascii="Abadi" w:hAnsi="Abadi"/>
          <w:b/>
          <w:bCs/>
          <w:spacing w:val="25"/>
          <w:sz w:val="20"/>
          <w:szCs w:val="20"/>
        </w:rPr>
        <w:t xml:space="preserve"> </w:t>
      </w:r>
      <w:r w:rsidRPr="000D3338">
        <w:rPr>
          <w:rFonts w:ascii="Abadi" w:hAnsi="Abadi"/>
          <w:b/>
          <w:bCs/>
          <w:sz w:val="20"/>
          <w:szCs w:val="20"/>
        </w:rPr>
        <w:t>POR</w:t>
      </w:r>
      <w:r w:rsidRPr="000D3338">
        <w:rPr>
          <w:rFonts w:ascii="Abadi" w:hAnsi="Abadi"/>
          <w:b/>
          <w:bCs/>
          <w:spacing w:val="25"/>
          <w:sz w:val="20"/>
          <w:szCs w:val="20"/>
        </w:rPr>
        <w:t xml:space="preserve"> </w:t>
      </w:r>
      <w:r w:rsidRPr="000D3338">
        <w:rPr>
          <w:rFonts w:ascii="Abadi" w:hAnsi="Abadi"/>
          <w:b/>
          <w:bCs/>
          <w:sz w:val="20"/>
          <w:szCs w:val="20"/>
        </w:rPr>
        <w:t>DIPUTADAS</w:t>
      </w:r>
      <w:r w:rsidRPr="000D3338">
        <w:rPr>
          <w:rFonts w:ascii="Abadi" w:hAnsi="Abadi"/>
          <w:b/>
          <w:bCs/>
          <w:spacing w:val="25"/>
          <w:sz w:val="20"/>
          <w:szCs w:val="20"/>
        </w:rPr>
        <w:t xml:space="preserve"> </w:t>
      </w:r>
      <w:r w:rsidRPr="000D3338">
        <w:rPr>
          <w:rFonts w:ascii="Abadi" w:hAnsi="Abadi"/>
          <w:b/>
          <w:bCs/>
          <w:sz w:val="20"/>
          <w:szCs w:val="20"/>
        </w:rPr>
        <w:t>Y</w:t>
      </w:r>
      <w:r w:rsidRPr="000D3338">
        <w:rPr>
          <w:rFonts w:ascii="Abadi" w:hAnsi="Abadi"/>
          <w:b/>
          <w:bCs/>
          <w:spacing w:val="25"/>
          <w:sz w:val="20"/>
          <w:szCs w:val="20"/>
        </w:rPr>
        <w:t xml:space="preserve"> </w:t>
      </w:r>
      <w:r w:rsidRPr="000D3338">
        <w:rPr>
          <w:rFonts w:ascii="Abadi" w:hAnsi="Abadi"/>
          <w:b/>
          <w:bCs/>
          <w:sz w:val="20"/>
          <w:szCs w:val="20"/>
        </w:rPr>
        <w:t>DIPUTADOS</w:t>
      </w:r>
      <w:r w:rsidRPr="000D3338">
        <w:rPr>
          <w:rFonts w:ascii="Abadi" w:hAnsi="Abadi"/>
          <w:b/>
          <w:bCs/>
          <w:spacing w:val="25"/>
          <w:sz w:val="20"/>
          <w:szCs w:val="20"/>
        </w:rPr>
        <w:t xml:space="preserve"> </w:t>
      </w:r>
      <w:r w:rsidRPr="000D3338">
        <w:rPr>
          <w:rFonts w:ascii="Abadi" w:hAnsi="Abadi"/>
          <w:b/>
          <w:bCs/>
          <w:sz w:val="20"/>
          <w:szCs w:val="20"/>
        </w:rPr>
        <w:t>INTEGRANTES</w:t>
      </w:r>
      <w:r w:rsidRPr="000D3338">
        <w:rPr>
          <w:rFonts w:ascii="Abadi" w:hAnsi="Abadi"/>
          <w:b/>
          <w:bCs/>
          <w:spacing w:val="25"/>
          <w:sz w:val="20"/>
          <w:szCs w:val="20"/>
        </w:rPr>
        <w:t xml:space="preserve"> </w:t>
      </w:r>
      <w:r w:rsidRPr="000D3338">
        <w:rPr>
          <w:rFonts w:ascii="Abadi" w:hAnsi="Abadi"/>
          <w:b/>
          <w:bCs/>
          <w:sz w:val="20"/>
          <w:szCs w:val="20"/>
        </w:rPr>
        <w:t>DEL</w:t>
      </w:r>
      <w:r w:rsidRPr="000D3338">
        <w:rPr>
          <w:rFonts w:ascii="Abadi" w:hAnsi="Abadi"/>
          <w:b/>
          <w:bCs/>
          <w:spacing w:val="25"/>
          <w:sz w:val="20"/>
          <w:szCs w:val="20"/>
        </w:rPr>
        <w:t xml:space="preserve"> </w:t>
      </w:r>
      <w:r w:rsidRPr="000D3338">
        <w:rPr>
          <w:rFonts w:ascii="Abadi" w:hAnsi="Abadi"/>
          <w:b/>
          <w:bCs/>
          <w:sz w:val="20"/>
          <w:szCs w:val="20"/>
        </w:rPr>
        <w:t>GRUPO</w:t>
      </w:r>
      <w:r w:rsidRPr="000D3338">
        <w:rPr>
          <w:rFonts w:ascii="Abadi" w:hAnsi="Abadi"/>
          <w:b/>
          <w:bCs/>
          <w:spacing w:val="25"/>
          <w:sz w:val="20"/>
          <w:szCs w:val="20"/>
        </w:rPr>
        <w:t xml:space="preserve"> </w:t>
      </w:r>
      <w:r w:rsidRPr="000D3338">
        <w:rPr>
          <w:rFonts w:ascii="Abadi" w:hAnsi="Abadi"/>
          <w:b/>
          <w:bCs/>
          <w:sz w:val="20"/>
          <w:szCs w:val="20"/>
        </w:rPr>
        <w:t>PARLAMENTARIO</w:t>
      </w:r>
      <w:r w:rsidRPr="000D3338">
        <w:rPr>
          <w:rFonts w:ascii="Abadi" w:hAnsi="Abadi"/>
          <w:b/>
          <w:bCs/>
          <w:spacing w:val="-2"/>
          <w:sz w:val="20"/>
          <w:szCs w:val="20"/>
        </w:rPr>
        <w:t xml:space="preserve"> </w:t>
      </w:r>
      <w:r w:rsidRPr="000D3338">
        <w:rPr>
          <w:rFonts w:ascii="Abadi" w:hAnsi="Abadi"/>
          <w:b/>
          <w:bCs/>
          <w:sz w:val="20"/>
          <w:szCs w:val="20"/>
        </w:rPr>
        <w:t>DEL</w:t>
      </w:r>
      <w:r w:rsidRPr="000D3338">
        <w:rPr>
          <w:rFonts w:ascii="Abadi" w:hAnsi="Abadi"/>
          <w:b/>
          <w:bCs/>
          <w:spacing w:val="20"/>
          <w:sz w:val="20"/>
          <w:szCs w:val="20"/>
        </w:rPr>
        <w:t xml:space="preserve"> </w:t>
      </w:r>
      <w:r w:rsidRPr="000D3338">
        <w:rPr>
          <w:rFonts w:ascii="Abadi" w:hAnsi="Abadi"/>
          <w:b/>
          <w:bCs/>
          <w:sz w:val="20"/>
          <w:szCs w:val="20"/>
        </w:rPr>
        <w:t>PARTIDO</w:t>
      </w:r>
      <w:r w:rsidRPr="000D3338">
        <w:rPr>
          <w:rFonts w:ascii="Abadi" w:hAnsi="Abadi"/>
          <w:b/>
          <w:bCs/>
          <w:spacing w:val="20"/>
          <w:sz w:val="20"/>
          <w:szCs w:val="20"/>
        </w:rPr>
        <w:t xml:space="preserve"> </w:t>
      </w:r>
      <w:r w:rsidRPr="000D3338">
        <w:rPr>
          <w:rFonts w:ascii="Abadi" w:hAnsi="Abadi"/>
          <w:b/>
          <w:bCs/>
          <w:sz w:val="20"/>
          <w:szCs w:val="20"/>
        </w:rPr>
        <w:t>ACCIÓN</w:t>
      </w:r>
      <w:r w:rsidRPr="000D3338">
        <w:rPr>
          <w:rFonts w:ascii="Abadi" w:hAnsi="Abadi"/>
          <w:b/>
          <w:bCs/>
          <w:spacing w:val="20"/>
          <w:sz w:val="20"/>
          <w:szCs w:val="20"/>
        </w:rPr>
        <w:t xml:space="preserve"> </w:t>
      </w:r>
      <w:r w:rsidRPr="000D3338">
        <w:rPr>
          <w:rFonts w:ascii="Abadi" w:hAnsi="Abadi"/>
          <w:b/>
          <w:bCs/>
          <w:sz w:val="20"/>
          <w:szCs w:val="20"/>
        </w:rPr>
        <w:t>NACIONAL</w:t>
      </w:r>
      <w:r w:rsidRPr="000D3338">
        <w:rPr>
          <w:rFonts w:ascii="Abadi" w:hAnsi="Abadi"/>
          <w:b/>
          <w:bCs/>
          <w:spacing w:val="20"/>
          <w:sz w:val="20"/>
          <w:szCs w:val="20"/>
        </w:rPr>
        <w:t xml:space="preserve"> </w:t>
      </w:r>
      <w:r w:rsidRPr="000D3338">
        <w:rPr>
          <w:rFonts w:ascii="Abadi" w:hAnsi="Abadi"/>
          <w:b/>
          <w:bCs/>
          <w:sz w:val="20"/>
          <w:szCs w:val="20"/>
        </w:rPr>
        <w:t>A</w:t>
      </w:r>
      <w:r w:rsidRPr="000D3338">
        <w:rPr>
          <w:rFonts w:ascii="Abadi" w:hAnsi="Abadi"/>
          <w:b/>
          <w:bCs/>
          <w:spacing w:val="20"/>
          <w:sz w:val="20"/>
          <w:szCs w:val="20"/>
        </w:rPr>
        <w:t xml:space="preserve"> </w:t>
      </w:r>
      <w:r w:rsidRPr="000D3338">
        <w:rPr>
          <w:rFonts w:ascii="Abadi" w:hAnsi="Abadi"/>
          <w:b/>
          <w:bCs/>
          <w:sz w:val="20"/>
          <w:szCs w:val="20"/>
        </w:rPr>
        <w:t>FIN</w:t>
      </w:r>
      <w:r w:rsidRPr="000D3338">
        <w:rPr>
          <w:rFonts w:ascii="Abadi" w:hAnsi="Abadi"/>
          <w:b/>
          <w:bCs/>
          <w:spacing w:val="20"/>
          <w:sz w:val="20"/>
          <w:szCs w:val="20"/>
        </w:rPr>
        <w:t xml:space="preserve"> </w:t>
      </w:r>
      <w:r w:rsidRPr="000D3338">
        <w:rPr>
          <w:rFonts w:ascii="Abadi" w:hAnsi="Abadi"/>
          <w:b/>
          <w:bCs/>
          <w:sz w:val="20"/>
          <w:szCs w:val="20"/>
        </w:rPr>
        <w:t>DE</w:t>
      </w:r>
      <w:r w:rsidRPr="000D3338">
        <w:rPr>
          <w:rFonts w:ascii="Abadi" w:hAnsi="Abadi"/>
          <w:b/>
          <w:bCs/>
          <w:spacing w:val="19"/>
          <w:sz w:val="20"/>
          <w:szCs w:val="20"/>
        </w:rPr>
        <w:t xml:space="preserve"> </w:t>
      </w:r>
      <w:r w:rsidRPr="000D3338">
        <w:rPr>
          <w:rFonts w:ascii="Abadi" w:hAnsi="Abadi"/>
          <w:b/>
          <w:bCs/>
          <w:sz w:val="20"/>
          <w:szCs w:val="20"/>
        </w:rPr>
        <w:t>EXHORTAR</w:t>
      </w:r>
      <w:r w:rsidRPr="000D3338">
        <w:rPr>
          <w:rFonts w:ascii="Abadi" w:hAnsi="Abadi"/>
          <w:b/>
          <w:bCs/>
          <w:spacing w:val="20"/>
          <w:sz w:val="20"/>
          <w:szCs w:val="20"/>
        </w:rPr>
        <w:t xml:space="preserve"> </w:t>
      </w:r>
      <w:r w:rsidRPr="000D3338">
        <w:rPr>
          <w:rFonts w:ascii="Abadi" w:hAnsi="Abadi"/>
          <w:b/>
          <w:bCs/>
          <w:sz w:val="20"/>
          <w:szCs w:val="20"/>
        </w:rPr>
        <w:t>AL</w:t>
      </w:r>
      <w:r w:rsidRPr="000D3338">
        <w:rPr>
          <w:rFonts w:ascii="Abadi" w:hAnsi="Abadi"/>
          <w:b/>
          <w:bCs/>
          <w:spacing w:val="20"/>
          <w:sz w:val="20"/>
          <w:szCs w:val="20"/>
        </w:rPr>
        <w:t xml:space="preserve"> </w:t>
      </w:r>
      <w:r w:rsidRPr="000D3338">
        <w:rPr>
          <w:rFonts w:ascii="Abadi" w:hAnsi="Abadi"/>
          <w:b/>
          <w:bCs/>
          <w:sz w:val="20"/>
          <w:szCs w:val="20"/>
        </w:rPr>
        <w:t>TITULAR</w:t>
      </w:r>
      <w:r w:rsidRPr="000D3338">
        <w:rPr>
          <w:rFonts w:ascii="Abadi" w:hAnsi="Abadi"/>
          <w:b/>
          <w:bCs/>
          <w:spacing w:val="20"/>
          <w:sz w:val="20"/>
          <w:szCs w:val="20"/>
        </w:rPr>
        <w:t xml:space="preserve"> </w:t>
      </w:r>
      <w:r w:rsidRPr="000D3338">
        <w:rPr>
          <w:rFonts w:ascii="Abadi" w:hAnsi="Abadi"/>
          <w:b/>
          <w:bCs/>
          <w:sz w:val="20"/>
          <w:szCs w:val="20"/>
        </w:rPr>
        <w:t>DEL</w:t>
      </w:r>
      <w:r w:rsidRPr="000D3338">
        <w:rPr>
          <w:rFonts w:ascii="Abadi" w:hAnsi="Abadi"/>
          <w:b/>
          <w:bCs/>
          <w:spacing w:val="20"/>
          <w:sz w:val="20"/>
          <w:szCs w:val="20"/>
        </w:rPr>
        <w:t xml:space="preserve"> </w:t>
      </w:r>
      <w:r w:rsidRPr="000D3338">
        <w:rPr>
          <w:rFonts w:ascii="Abadi" w:hAnsi="Abadi"/>
          <w:b/>
          <w:bCs/>
          <w:sz w:val="20"/>
          <w:szCs w:val="20"/>
        </w:rPr>
        <w:t>PODER</w:t>
      </w:r>
      <w:r w:rsidRPr="000D3338">
        <w:rPr>
          <w:rFonts w:ascii="Abadi" w:hAnsi="Abadi"/>
          <w:b/>
          <w:bCs/>
          <w:spacing w:val="20"/>
          <w:sz w:val="20"/>
          <w:szCs w:val="20"/>
        </w:rPr>
        <w:t xml:space="preserve"> </w:t>
      </w:r>
      <w:r w:rsidRPr="000D3338">
        <w:rPr>
          <w:rFonts w:ascii="Abadi" w:hAnsi="Abadi"/>
          <w:b/>
          <w:bCs/>
          <w:sz w:val="20"/>
          <w:szCs w:val="20"/>
        </w:rPr>
        <w:t>EJECUTIVO</w:t>
      </w:r>
      <w:r w:rsidRPr="000D3338">
        <w:rPr>
          <w:rFonts w:ascii="Abadi" w:hAnsi="Abadi"/>
          <w:b/>
          <w:bCs/>
          <w:spacing w:val="-2"/>
          <w:sz w:val="20"/>
          <w:szCs w:val="20"/>
        </w:rPr>
        <w:t xml:space="preserve"> </w:t>
      </w:r>
      <w:r w:rsidRPr="000D3338">
        <w:rPr>
          <w:rFonts w:ascii="Abadi" w:hAnsi="Abadi"/>
          <w:b/>
          <w:bCs/>
          <w:sz w:val="20"/>
          <w:szCs w:val="20"/>
        </w:rPr>
        <w:t>FEDERAL</w:t>
      </w:r>
      <w:r w:rsidRPr="000D3338">
        <w:rPr>
          <w:rFonts w:ascii="Abadi" w:hAnsi="Abadi"/>
          <w:b/>
          <w:bCs/>
          <w:spacing w:val="56"/>
          <w:sz w:val="20"/>
          <w:szCs w:val="20"/>
        </w:rPr>
        <w:t xml:space="preserve"> </w:t>
      </w:r>
      <w:r w:rsidRPr="000D3338">
        <w:rPr>
          <w:rFonts w:ascii="Abadi" w:hAnsi="Abadi"/>
          <w:b/>
          <w:bCs/>
          <w:sz w:val="20"/>
          <w:szCs w:val="20"/>
        </w:rPr>
        <w:t>PARA</w:t>
      </w:r>
      <w:r w:rsidRPr="000D3338">
        <w:rPr>
          <w:rFonts w:ascii="Abadi" w:hAnsi="Abadi"/>
          <w:b/>
          <w:bCs/>
          <w:spacing w:val="56"/>
          <w:sz w:val="20"/>
          <w:szCs w:val="20"/>
        </w:rPr>
        <w:t xml:space="preserve"> </w:t>
      </w:r>
      <w:r w:rsidRPr="000D3338">
        <w:rPr>
          <w:rFonts w:ascii="Abadi" w:hAnsi="Abadi"/>
          <w:b/>
          <w:bCs/>
          <w:sz w:val="20"/>
          <w:szCs w:val="20"/>
        </w:rPr>
        <w:t>QUE,</w:t>
      </w:r>
      <w:r w:rsidRPr="000D3338">
        <w:rPr>
          <w:rFonts w:ascii="Abadi" w:hAnsi="Abadi"/>
          <w:b/>
          <w:bCs/>
          <w:spacing w:val="56"/>
          <w:sz w:val="20"/>
          <w:szCs w:val="20"/>
        </w:rPr>
        <w:t xml:space="preserve"> </w:t>
      </w:r>
      <w:r w:rsidRPr="000D3338">
        <w:rPr>
          <w:rFonts w:ascii="Abadi" w:hAnsi="Abadi"/>
          <w:b/>
          <w:bCs/>
          <w:sz w:val="20"/>
          <w:szCs w:val="20"/>
        </w:rPr>
        <w:t>A</w:t>
      </w:r>
      <w:r w:rsidRPr="000D3338">
        <w:rPr>
          <w:rFonts w:ascii="Abadi" w:hAnsi="Abadi"/>
          <w:b/>
          <w:bCs/>
          <w:spacing w:val="56"/>
          <w:sz w:val="20"/>
          <w:szCs w:val="20"/>
        </w:rPr>
        <w:t xml:space="preserve"> </w:t>
      </w:r>
      <w:r w:rsidRPr="000D3338">
        <w:rPr>
          <w:rFonts w:ascii="Abadi" w:hAnsi="Abadi"/>
          <w:b/>
          <w:bCs/>
          <w:sz w:val="20"/>
          <w:szCs w:val="20"/>
        </w:rPr>
        <w:t>TRAVÉS</w:t>
      </w:r>
      <w:r w:rsidRPr="000D3338">
        <w:rPr>
          <w:rFonts w:ascii="Abadi" w:hAnsi="Abadi"/>
          <w:b/>
          <w:bCs/>
          <w:spacing w:val="56"/>
          <w:sz w:val="20"/>
          <w:szCs w:val="20"/>
        </w:rPr>
        <w:t xml:space="preserve"> </w:t>
      </w:r>
      <w:r w:rsidRPr="000D3338">
        <w:rPr>
          <w:rFonts w:ascii="Abadi" w:hAnsi="Abadi"/>
          <w:b/>
          <w:bCs/>
          <w:sz w:val="20"/>
          <w:szCs w:val="20"/>
        </w:rPr>
        <w:t>DE</w:t>
      </w:r>
      <w:r w:rsidRPr="000D3338">
        <w:rPr>
          <w:rFonts w:ascii="Abadi" w:hAnsi="Abadi"/>
          <w:b/>
          <w:bCs/>
          <w:spacing w:val="56"/>
          <w:sz w:val="20"/>
          <w:szCs w:val="20"/>
        </w:rPr>
        <w:t xml:space="preserve"> </w:t>
      </w:r>
      <w:r w:rsidRPr="000D3338">
        <w:rPr>
          <w:rFonts w:ascii="Abadi" w:hAnsi="Abadi"/>
          <w:b/>
          <w:bCs/>
          <w:sz w:val="20"/>
          <w:szCs w:val="20"/>
        </w:rPr>
        <w:t>LA</w:t>
      </w:r>
      <w:r w:rsidRPr="000D3338">
        <w:rPr>
          <w:rFonts w:ascii="Abadi" w:hAnsi="Abadi"/>
          <w:b/>
          <w:bCs/>
          <w:spacing w:val="56"/>
          <w:sz w:val="20"/>
          <w:szCs w:val="20"/>
        </w:rPr>
        <w:t xml:space="preserve"> </w:t>
      </w:r>
      <w:r w:rsidRPr="000D3338">
        <w:rPr>
          <w:rFonts w:ascii="Abadi" w:hAnsi="Abadi"/>
          <w:b/>
          <w:bCs/>
          <w:sz w:val="20"/>
          <w:szCs w:val="20"/>
        </w:rPr>
        <w:t>PROCURADURÍA</w:t>
      </w:r>
      <w:r w:rsidRPr="000D3338">
        <w:rPr>
          <w:rFonts w:ascii="Abadi" w:hAnsi="Abadi"/>
          <w:b/>
          <w:bCs/>
          <w:spacing w:val="56"/>
          <w:sz w:val="20"/>
          <w:szCs w:val="20"/>
        </w:rPr>
        <w:t xml:space="preserve"> </w:t>
      </w:r>
      <w:r w:rsidRPr="000D3338">
        <w:rPr>
          <w:rFonts w:ascii="Abadi" w:hAnsi="Abadi"/>
          <w:b/>
          <w:bCs/>
          <w:sz w:val="20"/>
          <w:szCs w:val="20"/>
        </w:rPr>
        <w:t>FEDERAL</w:t>
      </w:r>
      <w:r w:rsidRPr="000D3338">
        <w:rPr>
          <w:rFonts w:ascii="Abadi" w:hAnsi="Abadi"/>
          <w:b/>
          <w:bCs/>
          <w:spacing w:val="56"/>
          <w:sz w:val="20"/>
          <w:szCs w:val="20"/>
        </w:rPr>
        <w:t xml:space="preserve"> </w:t>
      </w:r>
      <w:r w:rsidRPr="000D3338">
        <w:rPr>
          <w:rFonts w:ascii="Abadi" w:hAnsi="Abadi"/>
          <w:b/>
          <w:bCs/>
          <w:sz w:val="20"/>
          <w:szCs w:val="20"/>
        </w:rPr>
        <w:t>DEL</w:t>
      </w:r>
      <w:r w:rsidRPr="000D3338">
        <w:rPr>
          <w:rFonts w:ascii="Abadi" w:hAnsi="Abadi"/>
          <w:b/>
          <w:bCs/>
          <w:spacing w:val="56"/>
          <w:sz w:val="20"/>
          <w:szCs w:val="20"/>
        </w:rPr>
        <w:t xml:space="preserve"> </w:t>
      </w:r>
      <w:r w:rsidRPr="000D3338">
        <w:rPr>
          <w:rFonts w:ascii="Abadi" w:hAnsi="Abadi"/>
          <w:b/>
          <w:bCs/>
          <w:sz w:val="20"/>
          <w:szCs w:val="20"/>
        </w:rPr>
        <w:t>CONSUMIDOR</w:t>
      </w:r>
      <w:r w:rsidRPr="000D3338">
        <w:rPr>
          <w:rFonts w:ascii="Abadi" w:hAnsi="Abadi"/>
          <w:b/>
          <w:bCs/>
          <w:spacing w:val="-2"/>
          <w:sz w:val="20"/>
          <w:szCs w:val="20"/>
        </w:rPr>
        <w:t xml:space="preserve"> </w:t>
      </w:r>
      <w:r w:rsidRPr="000D3338">
        <w:rPr>
          <w:rFonts w:ascii="Abadi" w:hAnsi="Abadi"/>
          <w:b/>
          <w:bCs/>
          <w:sz w:val="20"/>
          <w:szCs w:val="20"/>
        </w:rPr>
        <w:t>VERIFIQUE</w:t>
      </w:r>
      <w:r w:rsidRPr="000D3338">
        <w:rPr>
          <w:rFonts w:ascii="Abadi" w:hAnsi="Abadi"/>
          <w:b/>
          <w:bCs/>
          <w:spacing w:val="-6"/>
          <w:sz w:val="20"/>
          <w:szCs w:val="20"/>
        </w:rPr>
        <w:t xml:space="preserve"> </w:t>
      </w:r>
      <w:r w:rsidRPr="000D3338">
        <w:rPr>
          <w:rFonts w:ascii="Abadi" w:hAnsi="Abadi"/>
          <w:b/>
          <w:bCs/>
          <w:sz w:val="20"/>
          <w:szCs w:val="20"/>
        </w:rPr>
        <w:t>LOS</w:t>
      </w:r>
      <w:r w:rsidRPr="000D3338">
        <w:rPr>
          <w:rFonts w:ascii="Abadi" w:hAnsi="Abadi"/>
          <w:b/>
          <w:bCs/>
          <w:spacing w:val="-6"/>
          <w:sz w:val="20"/>
          <w:szCs w:val="20"/>
        </w:rPr>
        <w:t xml:space="preserve"> </w:t>
      </w:r>
      <w:r w:rsidRPr="000D3338">
        <w:rPr>
          <w:rFonts w:ascii="Abadi" w:hAnsi="Abadi"/>
          <w:b/>
          <w:bCs/>
          <w:sz w:val="20"/>
          <w:szCs w:val="20"/>
        </w:rPr>
        <w:t>INSTRUMENTOS</w:t>
      </w:r>
      <w:r w:rsidRPr="000D3338">
        <w:rPr>
          <w:rFonts w:ascii="Abadi" w:hAnsi="Abadi"/>
          <w:b/>
          <w:bCs/>
          <w:spacing w:val="-6"/>
          <w:sz w:val="20"/>
          <w:szCs w:val="20"/>
        </w:rPr>
        <w:t xml:space="preserve"> </w:t>
      </w:r>
      <w:r w:rsidRPr="000D3338">
        <w:rPr>
          <w:rFonts w:ascii="Abadi" w:hAnsi="Abadi"/>
          <w:b/>
          <w:bCs/>
          <w:sz w:val="20"/>
          <w:szCs w:val="20"/>
        </w:rPr>
        <w:t>DE</w:t>
      </w:r>
      <w:r w:rsidRPr="000D3338">
        <w:rPr>
          <w:rFonts w:ascii="Abadi" w:hAnsi="Abadi"/>
          <w:b/>
          <w:bCs/>
          <w:spacing w:val="-6"/>
          <w:sz w:val="20"/>
          <w:szCs w:val="20"/>
        </w:rPr>
        <w:t xml:space="preserve"> </w:t>
      </w:r>
      <w:r w:rsidRPr="000D3338">
        <w:rPr>
          <w:rFonts w:ascii="Abadi" w:hAnsi="Abadi"/>
          <w:b/>
          <w:bCs/>
          <w:sz w:val="20"/>
          <w:szCs w:val="20"/>
        </w:rPr>
        <w:t>MEDICIÓN</w:t>
      </w:r>
      <w:r w:rsidRPr="000D3338">
        <w:rPr>
          <w:rFonts w:ascii="Abadi" w:hAnsi="Abadi"/>
          <w:b/>
          <w:bCs/>
          <w:spacing w:val="-6"/>
          <w:sz w:val="20"/>
          <w:szCs w:val="20"/>
        </w:rPr>
        <w:t xml:space="preserve"> </w:t>
      </w:r>
      <w:r w:rsidRPr="000D3338">
        <w:rPr>
          <w:rFonts w:ascii="Abadi" w:hAnsi="Abadi"/>
          <w:b/>
          <w:bCs/>
          <w:sz w:val="20"/>
          <w:szCs w:val="20"/>
        </w:rPr>
        <w:t>QUE</w:t>
      </w:r>
      <w:r w:rsidRPr="000D3338">
        <w:rPr>
          <w:rFonts w:ascii="Abadi" w:hAnsi="Abadi"/>
          <w:b/>
          <w:bCs/>
          <w:spacing w:val="-6"/>
          <w:sz w:val="20"/>
          <w:szCs w:val="20"/>
        </w:rPr>
        <w:t xml:space="preserve"> </w:t>
      </w:r>
      <w:r w:rsidRPr="000D3338">
        <w:rPr>
          <w:rFonts w:ascii="Abadi" w:hAnsi="Abadi"/>
          <w:b/>
          <w:bCs/>
          <w:sz w:val="20"/>
          <w:szCs w:val="20"/>
        </w:rPr>
        <w:t>SIRVEN</w:t>
      </w:r>
      <w:r w:rsidRPr="000D3338">
        <w:rPr>
          <w:rFonts w:ascii="Abadi" w:hAnsi="Abadi"/>
          <w:b/>
          <w:bCs/>
          <w:spacing w:val="-6"/>
          <w:sz w:val="20"/>
          <w:szCs w:val="20"/>
        </w:rPr>
        <w:t xml:space="preserve"> </w:t>
      </w:r>
      <w:r w:rsidRPr="000D3338">
        <w:rPr>
          <w:rFonts w:ascii="Abadi" w:hAnsi="Abadi"/>
          <w:b/>
          <w:bCs/>
          <w:sz w:val="20"/>
          <w:szCs w:val="20"/>
        </w:rPr>
        <w:t>DE</w:t>
      </w:r>
      <w:r w:rsidRPr="000D3338">
        <w:rPr>
          <w:rFonts w:ascii="Abadi" w:hAnsi="Abadi"/>
          <w:b/>
          <w:bCs/>
          <w:spacing w:val="-6"/>
          <w:sz w:val="20"/>
          <w:szCs w:val="20"/>
        </w:rPr>
        <w:t xml:space="preserve"> </w:t>
      </w:r>
      <w:r w:rsidRPr="000D3338">
        <w:rPr>
          <w:rFonts w:ascii="Abadi" w:hAnsi="Abadi"/>
          <w:b/>
          <w:bCs/>
          <w:sz w:val="20"/>
          <w:szCs w:val="20"/>
        </w:rPr>
        <w:t>BASE</w:t>
      </w:r>
      <w:r w:rsidRPr="000D3338">
        <w:rPr>
          <w:rFonts w:ascii="Abadi" w:hAnsi="Abadi"/>
          <w:b/>
          <w:bCs/>
          <w:spacing w:val="-6"/>
          <w:sz w:val="20"/>
          <w:szCs w:val="20"/>
        </w:rPr>
        <w:t xml:space="preserve"> </w:t>
      </w:r>
      <w:r w:rsidRPr="000D3338">
        <w:rPr>
          <w:rFonts w:ascii="Abadi" w:hAnsi="Abadi"/>
          <w:b/>
          <w:bCs/>
          <w:sz w:val="20"/>
          <w:szCs w:val="20"/>
        </w:rPr>
        <w:t>EN</w:t>
      </w:r>
      <w:r w:rsidRPr="000D3338">
        <w:rPr>
          <w:rFonts w:ascii="Abadi" w:hAnsi="Abadi"/>
          <w:b/>
          <w:bCs/>
          <w:spacing w:val="-6"/>
          <w:sz w:val="20"/>
          <w:szCs w:val="20"/>
        </w:rPr>
        <w:t xml:space="preserve"> </w:t>
      </w:r>
      <w:r w:rsidRPr="000D3338">
        <w:rPr>
          <w:rFonts w:ascii="Abadi" w:hAnsi="Abadi"/>
          <w:b/>
          <w:bCs/>
          <w:sz w:val="20"/>
          <w:szCs w:val="20"/>
        </w:rPr>
        <w:t>TRANSACCIONES</w:t>
      </w:r>
      <w:r w:rsidRPr="000D3338">
        <w:rPr>
          <w:rFonts w:ascii="Abadi" w:hAnsi="Abadi"/>
          <w:b/>
          <w:bCs/>
          <w:spacing w:val="-2"/>
          <w:sz w:val="20"/>
          <w:szCs w:val="20"/>
        </w:rPr>
        <w:t xml:space="preserve"> </w:t>
      </w:r>
      <w:r w:rsidRPr="000D3338">
        <w:rPr>
          <w:rFonts w:ascii="Abadi" w:hAnsi="Abadi"/>
          <w:b/>
          <w:bCs/>
          <w:sz w:val="20"/>
          <w:szCs w:val="20"/>
        </w:rPr>
        <w:t>COMERCIALES</w:t>
      </w:r>
      <w:r w:rsidRPr="000D3338">
        <w:rPr>
          <w:rFonts w:ascii="Abadi" w:hAnsi="Abadi"/>
          <w:b/>
          <w:bCs/>
          <w:spacing w:val="37"/>
          <w:sz w:val="20"/>
          <w:szCs w:val="20"/>
        </w:rPr>
        <w:t xml:space="preserve"> </w:t>
      </w:r>
      <w:r w:rsidRPr="000D3338">
        <w:rPr>
          <w:rFonts w:ascii="Abadi" w:hAnsi="Abadi"/>
          <w:b/>
          <w:bCs/>
          <w:sz w:val="20"/>
          <w:szCs w:val="20"/>
        </w:rPr>
        <w:t>DEL</w:t>
      </w:r>
      <w:r w:rsidRPr="000D3338">
        <w:rPr>
          <w:rFonts w:ascii="Abadi" w:hAnsi="Abadi"/>
          <w:b/>
          <w:bCs/>
          <w:spacing w:val="38"/>
          <w:sz w:val="20"/>
          <w:szCs w:val="20"/>
        </w:rPr>
        <w:t xml:space="preserve"> </w:t>
      </w:r>
      <w:r w:rsidRPr="000D3338">
        <w:rPr>
          <w:rFonts w:ascii="Abadi" w:hAnsi="Abadi"/>
          <w:b/>
          <w:bCs/>
          <w:sz w:val="20"/>
          <w:szCs w:val="20"/>
        </w:rPr>
        <w:t>SECTOR</w:t>
      </w:r>
      <w:r w:rsidRPr="000D3338">
        <w:rPr>
          <w:rFonts w:ascii="Abadi" w:hAnsi="Abadi"/>
          <w:b/>
          <w:bCs/>
          <w:spacing w:val="37"/>
          <w:sz w:val="20"/>
          <w:szCs w:val="20"/>
        </w:rPr>
        <w:t xml:space="preserve"> </w:t>
      </w:r>
      <w:r w:rsidRPr="000D3338">
        <w:rPr>
          <w:rFonts w:ascii="Abadi" w:hAnsi="Abadi"/>
          <w:b/>
          <w:bCs/>
          <w:sz w:val="20"/>
          <w:szCs w:val="20"/>
        </w:rPr>
        <w:t>AGROALIMENTARIO</w:t>
      </w:r>
      <w:r w:rsidRPr="000D3338">
        <w:rPr>
          <w:rFonts w:ascii="Abadi" w:hAnsi="Abadi"/>
          <w:b/>
          <w:bCs/>
          <w:spacing w:val="37"/>
          <w:sz w:val="20"/>
          <w:szCs w:val="20"/>
        </w:rPr>
        <w:t xml:space="preserve"> </w:t>
      </w:r>
      <w:r w:rsidRPr="000D3338">
        <w:rPr>
          <w:rFonts w:ascii="Abadi" w:hAnsi="Abadi"/>
          <w:b/>
          <w:bCs/>
          <w:sz w:val="20"/>
          <w:szCs w:val="20"/>
        </w:rPr>
        <w:t>EN</w:t>
      </w:r>
      <w:r w:rsidRPr="000D3338">
        <w:rPr>
          <w:rFonts w:ascii="Abadi" w:hAnsi="Abadi"/>
          <w:b/>
          <w:bCs/>
          <w:spacing w:val="37"/>
          <w:sz w:val="20"/>
          <w:szCs w:val="20"/>
        </w:rPr>
        <w:t xml:space="preserve"> </w:t>
      </w:r>
      <w:r w:rsidRPr="000D3338">
        <w:rPr>
          <w:rFonts w:ascii="Abadi" w:hAnsi="Abadi"/>
          <w:b/>
          <w:bCs/>
          <w:sz w:val="20"/>
          <w:szCs w:val="20"/>
        </w:rPr>
        <w:t>EL</w:t>
      </w:r>
      <w:r w:rsidRPr="000D3338">
        <w:rPr>
          <w:rFonts w:ascii="Abadi" w:hAnsi="Abadi"/>
          <w:b/>
          <w:bCs/>
          <w:spacing w:val="37"/>
          <w:sz w:val="20"/>
          <w:szCs w:val="20"/>
        </w:rPr>
        <w:t xml:space="preserve"> </w:t>
      </w:r>
      <w:r w:rsidRPr="000D3338">
        <w:rPr>
          <w:rFonts w:ascii="Abadi" w:hAnsi="Abadi"/>
          <w:b/>
          <w:bCs/>
          <w:sz w:val="20"/>
          <w:szCs w:val="20"/>
        </w:rPr>
        <w:t>ESTADO</w:t>
      </w:r>
      <w:r w:rsidRPr="000D3338">
        <w:rPr>
          <w:rFonts w:ascii="Abadi" w:hAnsi="Abadi"/>
          <w:b/>
          <w:bCs/>
          <w:spacing w:val="37"/>
          <w:sz w:val="20"/>
          <w:szCs w:val="20"/>
        </w:rPr>
        <w:t xml:space="preserve"> </w:t>
      </w:r>
      <w:r w:rsidRPr="000D3338">
        <w:rPr>
          <w:rFonts w:ascii="Abadi" w:hAnsi="Abadi"/>
          <w:b/>
          <w:bCs/>
          <w:sz w:val="20"/>
          <w:szCs w:val="20"/>
        </w:rPr>
        <w:t>DE</w:t>
      </w:r>
      <w:r w:rsidRPr="000D3338">
        <w:rPr>
          <w:rFonts w:ascii="Abadi" w:hAnsi="Abadi"/>
          <w:b/>
          <w:bCs/>
          <w:spacing w:val="37"/>
          <w:sz w:val="20"/>
          <w:szCs w:val="20"/>
        </w:rPr>
        <w:t xml:space="preserve"> </w:t>
      </w:r>
      <w:r w:rsidRPr="000D3338">
        <w:rPr>
          <w:rFonts w:ascii="Abadi" w:hAnsi="Abadi"/>
          <w:b/>
          <w:bCs/>
          <w:sz w:val="20"/>
          <w:szCs w:val="20"/>
        </w:rPr>
        <w:t>GUANAJUATO</w:t>
      </w:r>
      <w:r w:rsidRPr="000D3338">
        <w:rPr>
          <w:rFonts w:ascii="Abadi" w:hAnsi="Abadi"/>
          <w:b/>
          <w:bCs/>
          <w:spacing w:val="37"/>
          <w:sz w:val="20"/>
          <w:szCs w:val="20"/>
        </w:rPr>
        <w:t xml:space="preserve"> </w:t>
      </w:r>
      <w:r w:rsidRPr="000D3338">
        <w:rPr>
          <w:rFonts w:ascii="Abadi" w:hAnsi="Abadi"/>
          <w:b/>
          <w:bCs/>
          <w:sz w:val="20"/>
          <w:szCs w:val="20"/>
        </w:rPr>
        <w:t>Y</w:t>
      </w:r>
      <w:r w:rsidRPr="000D3338">
        <w:rPr>
          <w:rFonts w:ascii="Abadi" w:hAnsi="Abadi"/>
          <w:b/>
          <w:bCs/>
          <w:spacing w:val="37"/>
          <w:sz w:val="20"/>
          <w:szCs w:val="20"/>
        </w:rPr>
        <w:t xml:space="preserve"> </w:t>
      </w:r>
      <w:r w:rsidRPr="000D3338">
        <w:rPr>
          <w:rFonts w:ascii="Abadi" w:hAnsi="Abadi"/>
          <w:b/>
          <w:bCs/>
          <w:sz w:val="20"/>
          <w:szCs w:val="20"/>
        </w:rPr>
        <w:t>SE</w:t>
      </w:r>
      <w:r w:rsidRPr="000D3338">
        <w:rPr>
          <w:rFonts w:ascii="Abadi" w:hAnsi="Abadi"/>
          <w:b/>
          <w:bCs/>
          <w:spacing w:val="-2"/>
          <w:sz w:val="20"/>
          <w:szCs w:val="20"/>
        </w:rPr>
        <w:t xml:space="preserve"> </w:t>
      </w:r>
      <w:r w:rsidRPr="000D3338">
        <w:rPr>
          <w:rFonts w:ascii="Abadi" w:hAnsi="Abadi"/>
          <w:b/>
          <w:bCs/>
          <w:sz w:val="20"/>
          <w:szCs w:val="20"/>
        </w:rPr>
        <w:t>REALICEN</w:t>
      </w:r>
      <w:r w:rsidRPr="000D3338">
        <w:rPr>
          <w:rFonts w:ascii="Abadi" w:hAnsi="Abadi"/>
          <w:b/>
          <w:bCs/>
          <w:spacing w:val="26"/>
          <w:sz w:val="20"/>
          <w:szCs w:val="20"/>
        </w:rPr>
        <w:t xml:space="preserve"> </w:t>
      </w:r>
      <w:r w:rsidRPr="000D3338">
        <w:rPr>
          <w:rFonts w:ascii="Abadi" w:hAnsi="Abadi"/>
          <w:b/>
          <w:bCs/>
          <w:sz w:val="20"/>
          <w:szCs w:val="20"/>
        </w:rPr>
        <w:t>VERIFICACIONES</w:t>
      </w:r>
      <w:r w:rsidRPr="000D3338">
        <w:rPr>
          <w:rFonts w:ascii="Abadi" w:hAnsi="Abadi"/>
          <w:b/>
          <w:bCs/>
          <w:spacing w:val="26"/>
          <w:sz w:val="20"/>
          <w:szCs w:val="20"/>
        </w:rPr>
        <w:t xml:space="preserve"> </w:t>
      </w:r>
      <w:r w:rsidRPr="000D3338">
        <w:rPr>
          <w:rFonts w:ascii="Abadi" w:hAnsi="Abadi"/>
          <w:b/>
          <w:bCs/>
          <w:sz w:val="20"/>
          <w:szCs w:val="20"/>
        </w:rPr>
        <w:t>RIGUROSAS</w:t>
      </w:r>
      <w:r w:rsidRPr="000D3338">
        <w:rPr>
          <w:rFonts w:ascii="Abadi" w:hAnsi="Abadi"/>
          <w:b/>
          <w:bCs/>
          <w:spacing w:val="26"/>
          <w:sz w:val="20"/>
          <w:szCs w:val="20"/>
        </w:rPr>
        <w:t xml:space="preserve"> </w:t>
      </w:r>
      <w:r w:rsidRPr="000D3338">
        <w:rPr>
          <w:rFonts w:ascii="Abadi" w:hAnsi="Abadi"/>
          <w:b/>
          <w:bCs/>
          <w:sz w:val="20"/>
          <w:szCs w:val="20"/>
        </w:rPr>
        <w:t>EN</w:t>
      </w:r>
      <w:r w:rsidRPr="000D3338">
        <w:rPr>
          <w:rFonts w:ascii="Abadi" w:hAnsi="Abadi"/>
          <w:b/>
          <w:bCs/>
          <w:spacing w:val="26"/>
          <w:sz w:val="20"/>
          <w:szCs w:val="20"/>
        </w:rPr>
        <w:t xml:space="preserve"> </w:t>
      </w:r>
      <w:r w:rsidRPr="000D3338">
        <w:rPr>
          <w:rFonts w:ascii="Abadi" w:hAnsi="Abadi"/>
          <w:b/>
          <w:bCs/>
          <w:sz w:val="20"/>
          <w:szCs w:val="20"/>
        </w:rPr>
        <w:t>LOS</w:t>
      </w:r>
      <w:r w:rsidRPr="000D3338">
        <w:rPr>
          <w:rFonts w:ascii="Abadi" w:hAnsi="Abadi"/>
          <w:b/>
          <w:bCs/>
          <w:spacing w:val="26"/>
          <w:sz w:val="20"/>
          <w:szCs w:val="20"/>
        </w:rPr>
        <w:t xml:space="preserve"> </w:t>
      </w:r>
      <w:r w:rsidRPr="000D3338">
        <w:rPr>
          <w:rFonts w:ascii="Abadi" w:hAnsi="Abadi"/>
          <w:b/>
          <w:bCs/>
          <w:sz w:val="20"/>
          <w:szCs w:val="20"/>
        </w:rPr>
        <w:t>CENTROS</w:t>
      </w:r>
      <w:r w:rsidRPr="000D3338">
        <w:rPr>
          <w:rFonts w:ascii="Abadi" w:hAnsi="Abadi"/>
          <w:b/>
          <w:bCs/>
          <w:spacing w:val="26"/>
          <w:sz w:val="20"/>
          <w:szCs w:val="20"/>
        </w:rPr>
        <w:t xml:space="preserve"> </w:t>
      </w:r>
      <w:r w:rsidRPr="000D3338">
        <w:rPr>
          <w:rFonts w:ascii="Abadi" w:hAnsi="Abadi"/>
          <w:b/>
          <w:bCs/>
          <w:sz w:val="20"/>
          <w:szCs w:val="20"/>
        </w:rPr>
        <w:t>DE</w:t>
      </w:r>
      <w:r w:rsidRPr="000D3338">
        <w:rPr>
          <w:rFonts w:ascii="Abadi" w:hAnsi="Abadi"/>
          <w:b/>
          <w:bCs/>
          <w:spacing w:val="26"/>
          <w:sz w:val="20"/>
          <w:szCs w:val="20"/>
        </w:rPr>
        <w:t xml:space="preserve"> </w:t>
      </w:r>
      <w:r w:rsidRPr="000D3338">
        <w:rPr>
          <w:rFonts w:ascii="Abadi" w:hAnsi="Abadi"/>
          <w:b/>
          <w:bCs/>
          <w:sz w:val="20"/>
          <w:szCs w:val="20"/>
        </w:rPr>
        <w:t>ACOPIO</w:t>
      </w:r>
      <w:r w:rsidRPr="000D3338">
        <w:rPr>
          <w:rFonts w:ascii="Abadi" w:hAnsi="Abadi"/>
          <w:b/>
          <w:bCs/>
          <w:spacing w:val="26"/>
          <w:sz w:val="20"/>
          <w:szCs w:val="20"/>
        </w:rPr>
        <w:t xml:space="preserve"> </w:t>
      </w:r>
      <w:r w:rsidRPr="000D3338">
        <w:rPr>
          <w:rFonts w:ascii="Abadi" w:hAnsi="Abadi"/>
          <w:b/>
          <w:bCs/>
          <w:sz w:val="20"/>
          <w:szCs w:val="20"/>
        </w:rPr>
        <w:t>DURANTE</w:t>
      </w:r>
      <w:r w:rsidRPr="000D3338">
        <w:rPr>
          <w:rFonts w:ascii="Abadi" w:hAnsi="Abadi"/>
          <w:b/>
          <w:bCs/>
          <w:spacing w:val="26"/>
          <w:sz w:val="20"/>
          <w:szCs w:val="20"/>
        </w:rPr>
        <w:t xml:space="preserve"> </w:t>
      </w:r>
      <w:r w:rsidRPr="000D3338">
        <w:rPr>
          <w:rFonts w:ascii="Abadi" w:hAnsi="Abadi"/>
          <w:b/>
          <w:bCs/>
          <w:sz w:val="20"/>
          <w:szCs w:val="20"/>
        </w:rPr>
        <w:t>EL</w:t>
      </w:r>
      <w:r w:rsidRPr="000D3338">
        <w:rPr>
          <w:rFonts w:ascii="Abadi" w:hAnsi="Abadi"/>
          <w:b/>
          <w:bCs/>
          <w:spacing w:val="26"/>
          <w:sz w:val="20"/>
          <w:szCs w:val="20"/>
        </w:rPr>
        <w:t xml:space="preserve"> </w:t>
      </w:r>
      <w:r w:rsidRPr="000D3338">
        <w:rPr>
          <w:rFonts w:ascii="Abadi" w:hAnsi="Abadi"/>
          <w:b/>
          <w:bCs/>
          <w:sz w:val="20"/>
          <w:szCs w:val="20"/>
        </w:rPr>
        <w:t>CICLO</w:t>
      </w:r>
      <w:r w:rsidRPr="000D3338">
        <w:rPr>
          <w:rFonts w:ascii="Abadi" w:hAnsi="Abadi"/>
          <w:b/>
          <w:bCs/>
          <w:spacing w:val="-2"/>
          <w:sz w:val="20"/>
          <w:szCs w:val="20"/>
        </w:rPr>
        <w:t xml:space="preserve"> </w:t>
      </w:r>
      <w:r w:rsidRPr="000D3338">
        <w:rPr>
          <w:rFonts w:ascii="Abadi" w:hAnsi="Abadi"/>
          <w:b/>
          <w:bCs/>
          <w:sz w:val="20"/>
          <w:szCs w:val="20"/>
        </w:rPr>
        <w:t>AGRÍCOLA</w:t>
      </w:r>
      <w:r w:rsidRPr="000D3338">
        <w:rPr>
          <w:rFonts w:ascii="Abadi" w:hAnsi="Abadi"/>
          <w:b/>
          <w:bCs/>
          <w:spacing w:val="79"/>
          <w:sz w:val="20"/>
          <w:szCs w:val="20"/>
        </w:rPr>
        <w:t xml:space="preserve"> </w:t>
      </w:r>
      <w:r w:rsidRPr="000D3338">
        <w:rPr>
          <w:rFonts w:ascii="Abadi" w:hAnsi="Abadi"/>
          <w:b/>
          <w:bCs/>
          <w:sz w:val="20"/>
          <w:szCs w:val="20"/>
        </w:rPr>
        <w:t>OTOÑO-INVIERNO,</w:t>
      </w:r>
      <w:r w:rsidRPr="000D3338">
        <w:rPr>
          <w:rFonts w:ascii="Abadi" w:hAnsi="Abadi"/>
          <w:b/>
          <w:bCs/>
          <w:spacing w:val="79"/>
          <w:sz w:val="20"/>
          <w:szCs w:val="20"/>
        </w:rPr>
        <w:t xml:space="preserve"> </w:t>
      </w:r>
      <w:r w:rsidRPr="000D3338">
        <w:rPr>
          <w:rFonts w:ascii="Abadi" w:hAnsi="Abadi"/>
          <w:b/>
          <w:bCs/>
          <w:sz w:val="20"/>
          <w:szCs w:val="20"/>
        </w:rPr>
        <w:t>UNA</w:t>
      </w:r>
      <w:r w:rsidRPr="000D3338">
        <w:rPr>
          <w:rFonts w:ascii="Abadi" w:hAnsi="Abadi"/>
          <w:b/>
          <w:bCs/>
          <w:spacing w:val="79"/>
          <w:sz w:val="20"/>
          <w:szCs w:val="20"/>
        </w:rPr>
        <w:t xml:space="preserve"> </w:t>
      </w:r>
      <w:r w:rsidRPr="000D3338">
        <w:rPr>
          <w:rFonts w:ascii="Abadi" w:hAnsi="Abadi"/>
          <w:b/>
          <w:bCs/>
          <w:sz w:val="20"/>
          <w:szCs w:val="20"/>
        </w:rPr>
        <w:t>VEZ</w:t>
      </w:r>
      <w:r w:rsidRPr="000D3338">
        <w:rPr>
          <w:rFonts w:ascii="Abadi" w:hAnsi="Abadi"/>
          <w:b/>
          <w:bCs/>
          <w:spacing w:val="79"/>
          <w:sz w:val="20"/>
          <w:szCs w:val="20"/>
        </w:rPr>
        <w:t xml:space="preserve"> </w:t>
      </w:r>
      <w:r w:rsidRPr="000D3338">
        <w:rPr>
          <w:rFonts w:ascii="Abadi" w:hAnsi="Abadi"/>
          <w:b/>
          <w:bCs/>
          <w:sz w:val="20"/>
          <w:szCs w:val="20"/>
        </w:rPr>
        <w:t>LO</w:t>
      </w:r>
      <w:r w:rsidRPr="000D3338">
        <w:rPr>
          <w:rFonts w:ascii="Abadi" w:hAnsi="Abadi"/>
          <w:b/>
          <w:bCs/>
          <w:spacing w:val="79"/>
          <w:sz w:val="20"/>
          <w:szCs w:val="20"/>
        </w:rPr>
        <w:t xml:space="preserve"> </w:t>
      </w:r>
      <w:r w:rsidRPr="000D3338">
        <w:rPr>
          <w:rFonts w:ascii="Abadi" w:hAnsi="Abadi"/>
          <w:b/>
          <w:bCs/>
          <w:sz w:val="20"/>
          <w:szCs w:val="20"/>
        </w:rPr>
        <w:t>CUAL</w:t>
      </w:r>
      <w:r w:rsidRPr="000D3338">
        <w:rPr>
          <w:rFonts w:ascii="Abadi" w:hAnsi="Abadi"/>
          <w:b/>
          <w:bCs/>
          <w:spacing w:val="79"/>
          <w:sz w:val="20"/>
          <w:szCs w:val="20"/>
        </w:rPr>
        <w:t xml:space="preserve"> </w:t>
      </w:r>
      <w:r w:rsidRPr="000D3338">
        <w:rPr>
          <w:rFonts w:ascii="Abadi" w:hAnsi="Abadi"/>
          <w:b/>
          <w:bCs/>
          <w:sz w:val="20"/>
          <w:szCs w:val="20"/>
        </w:rPr>
        <w:t>INFORME</w:t>
      </w:r>
      <w:r w:rsidRPr="000D3338">
        <w:rPr>
          <w:rFonts w:ascii="Abadi" w:hAnsi="Abadi"/>
          <w:b/>
          <w:bCs/>
          <w:spacing w:val="79"/>
          <w:sz w:val="20"/>
          <w:szCs w:val="20"/>
        </w:rPr>
        <w:t xml:space="preserve"> </w:t>
      </w:r>
      <w:r w:rsidRPr="000D3338">
        <w:rPr>
          <w:rFonts w:ascii="Abadi" w:hAnsi="Abadi"/>
          <w:b/>
          <w:bCs/>
          <w:sz w:val="20"/>
          <w:szCs w:val="20"/>
        </w:rPr>
        <w:t>A</w:t>
      </w:r>
      <w:r w:rsidRPr="000D3338">
        <w:rPr>
          <w:rFonts w:ascii="Abadi" w:hAnsi="Abadi"/>
          <w:b/>
          <w:bCs/>
          <w:spacing w:val="79"/>
          <w:sz w:val="20"/>
          <w:szCs w:val="20"/>
        </w:rPr>
        <w:t xml:space="preserve"> </w:t>
      </w:r>
      <w:r w:rsidRPr="000D3338">
        <w:rPr>
          <w:rFonts w:ascii="Abadi" w:hAnsi="Abadi"/>
          <w:b/>
          <w:bCs/>
          <w:sz w:val="20"/>
          <w:szCs w:val="20"/>
        </w:rPr>
        <w:t>ESTA</w:t>
      </w:r>
      <w:r w:rsidRPr="000D3338">
        <w:rPr>
          <w:rFonts w:ascii="Abadi" w:hAnsi="Abadi"/>
          <w:b/>
          <w:bCs/>
          <w:spacing w:val="79"/>
          <w:sz w:val="20"/>
          <w:szCs w:val="20"/>
        </w:rPr>
        <w:t xml:space="preserve"> </w:t>
      </w:r>
      <w:r w:rsidRPr="000D3338">
        <w:rPr>
          <w:rFonts w:ascii="Abadi" w:hAnsi="Abadi"/>
          <w:b/>
          <w:bCs/>
          <w:sz w:val="20"/>
          <w:szCs w:val="20"/>
        </w:rPr>
        <w:t>SOBERANÍA</w:t>
      </w:r>
      <w:r w:rsidRPr="000D3338">
        <w:rPr>
          <w:rFonts w:ascii="Abadi" w:hAnsi="Abadi"/>
          <w:b/>
          <w:bCs/>
          <w:spacing w:val="79"/>
          <w:sz w:val="20"/>
          <w:szCs w:val="20"/>
        </w:rPr>
        <w:t xml:space="preserve"> </w:t>
      </w:r>
      <w:r w:rsidRPr="000D3338">
        <w:rPr>
          <w:rFonts w:ascii="Abadi" w:hAnsi="Abadi"/>
          <w:b/>
          <w:bCs/>
          <w:sz w:val="20"/>
          <w:szCs w:val="20"/>
        </w:rPr>
        <w:t>LOS</w:t>
      </w:r>
      <w:r w:rsidRPr="000D3338">
        <w:rPr>
          <w:rFonts w:ascii="Abadi" w:hAnsi="Abadi"/>
          <w:b/>
          <w:bCs/>
          <w:spacing w:val="-2"/>
          <w:sz w:val="20"/>
          <w:szCs w:val="20"/>
        </w:rPr>
        <w:t xml:space="preserve"> </w:t>
      </w:r>
      <w:r w:rsidRPr="000D3338">
        <w:rPr>
          <w:rFonts w:ascii="Abadi" w:hAnsi="Abadi"/>
          <w:b/>
          <w:bCs/>
          <w:sz w:val="20"/>
          <w:szCs w:val="20"/>
        </w:rPr>
        <w:t>RESULTADOS</w:t>
      </w:r>
      <w:r w:rsidRPr="000D3338">
        <w:rPr>
          <w:rFonts w:ascii="Abadi" w:hAnsi="Abadi"/>
          <w:b/>
          <w:bCs/>
          <w:spacing w:val="-1"/>
          <w:sz w:val="20"/>
          <w:szCs w:val="20"/>
        </w:rPr>
        <w:t xml:space="preserve"> </w:t>
      </w:r>
      <w:r w:rsidRPr="000D3338">
        <w:rPr>
          <w:rFonts w:ascii="Abadi" w:hAnsi="Abadi"/>
          <w:b/>
          <w:bCs/>
          <w:sz w:val="20"/>
          <w:szCs w:val="20"/>
        </w:rPr>
        <w:t>ENCONTRADOS.</w:t>
      </w:r>
    </w:p>
    <w:p w14:paraId="6EB11FCC" w14:textId="3330861E" w:rsidR="000D3338" w:rsidRDefault="000D3338" w:rsidP="00CA21CB">
      <w:pPr>
        <w:rPr>
          <w:rFonts w:ascii="Abadi" w:hAnsi="Abadi"/>
          <w:b/>
          <w:bCs/>
          <w:sz w:val="20"/>
          <w:szCs w:val="20"/>
        </w:rPr>
      </w:pPr>
    </w:p>
    <w:p w14:paraId="1078E8DE" w14:textId="77777777" w:rsidR="005E32B9" w:rsidRPr="005E32B9" w:rsidRDefault="005E32B9" w:rsidP="005E32B9">
      <w:pPr>
        <w:autoSpaceDE w:val="0"/>
        <w:autoSpaceDN w:val="0"/>
        <w:adjustRightInd w:val="0"/>
        <w:jc w:val="both"/>
        <w:rPr>
          <w:rFonts w:ascii="Abadi" w:eastAsia="Calibri" w:hAnsi="Abadi" w:cs="*Verdana-Bold-5873-Identity-H"/>
          <w:b/>
          <w:bCs/>
          <w:color w:val="0F0F13"/>
          <w:sz w:val="21"/>
          <w:szCs w:val="21"/>
          <w:lang w:val="es-MX" w:eastAsia="en-US"/>
        </w:rPr>
      </w:pPr>
      <w:r w:rsidRPr="005E32B9">
        <w:rPr>
          <w:rFonts w:ascii="Abadi" w:eastAsia="Calibri" w:hAnsi="Abadi" w:cs="*Verdana-Bold-5873-Identity-H"/>
          <w:b/>
          <w:bCs/>
          <w:color w:val="0F0F13"/>
          <w:sz w:val="21"/>
          <w:szCs w:val="21"/>
          <w:lang w:val="es-MX" w:eastAsia="en-US"/>
        </w:rPr>
        <w:t>Diputada Irma Leticia González Sánchez</w:t>
      </w:r>
    </w:p>
    <w:p w14:paraId="098A53D5" w14:textId="77777777" w:rsidR="005E32B9" w:rsidRPr="005E32B9" w:rsidRDefault="005E32B9" w:rsidP="005E32B9">
      <w:pPr>
        <w:autoSpaceDE w:val="0"/>
        <w:autoSpaceDN w:val="0"/>
        <w:adjustRightInd w:val="0"/>
        <w:jc w:val="both"/>
        <w:rPr>
          <w:rFonts w:ascii="Abadi" w:eastAsia="Calibri" w:hAnsi="Abadi" w:cs="*Verdana-5872-Identity-H"/>
          <w:color w:val="0F0F13"/>
          <w:sz w:val="21"/>
          <w:szCs w:val="21"/>
          <w:lang w:val="es-MX" w:eastAsia="en-US"/>
        </w:rPr>
      </w:pPr>
      <w:r w:rsidRPr="005E32B9">
        <w:rPr>
          <w:rFonts w:ascii="Abadi" w:eastAsia="Calibri" w:hAnsi="Abadi" w:cs="*Verdana-5872-Identity-H"/>
          <w:color w:val="0F0F13"/>
          <w:sz w:val="21"/>
          <w:szCs w:val="21"/>
          <w:lang w:val="es-MX" w:eastAsia="en-US"/>
        </w:rPr>
        <w:t>Presidenta del Congreso del Estado</w:t>
      </w:r>
    </w:p>
    <w:p w14:paraId="1ABEDB49" w14:textId="77777777" w:rsidR="005E32B9" w:rsidRPr="005E32B9" w:rsidRDefault="005E32B9" w:rsidP="005E32B9">
      <w:pPr>
        <w:autoSpaceDE w:val="0"/>
        <w:autoSpaceDN w:val="0"/>
        <w:adjustRightInd w:val="0"/>
        <w:jc w:val="both"/>
        <w:rPr>
          <w:rFonts w:ascii="Abadi" w:eastAsia="Calibri" w:hAnsi="Abadi" w:cs="*Verdana-5872-Identity-H"/>
          <w:color w:val="111113"/>
          <w:sz w:val="21"/>
          <w:szCs w:val="21"/>
          <w:lang w:val="es-MX" w:eastAsia="en-US"/>
        </w:rPr>
      </w:pPr>
      <w:r w:rsidRPr="005E32B9">
        <w:rPr>
          <w:rFonts w:ascii="Abadi" w:eastAsia="Calibri" w:hAnsi="Abadi" w:cs="*Verdana-5872-Identity-H"/>
          <w:color w:val="111113"/>
          <w:sz w:val="21"/>
          <w:szCs w:val="21"/>
          <w:lang w:val="es-MX" w:eastAsia="en-US"/>
        </w:rPr>
        <w:t>Presente.</w:t>
      </w:r>
    </w:p>
    <w:p w14:paraId="26EF4F3F" w14:textId="77777777" w:rsidR="005E32B9" w:rsidRPr="005E32B9" w:rsidRDefault="005E32B9" w:rsidP="005E32B9">
      <w:pPr>
        <w:autoSpaceDE w:val="0"/>
        <w:autoSpaceDN w:val="0"/>
        <w:adjustRightInd w:val="0"/>
        <w:jc w:val="both"/>
        <w:rPr>
          <w:rFonts w:ascii="Abadi" w:eastAsia="Calibri" w:hAnsi="Abadi" w:cs="*Verdana-5872-Identity-H"/>
          <w:color w:val="111113"/>
          <w:sz w:val="21"/>
          <w:szCs w:val="21"/>
          <w:lang w:val="es-MX" w:eastAsia="en-US"/>
        </w:rPr>
      </w:pPr>
    </w:p>
    <w:p w14:paraId="45BFE18D" w14:textId="77777777" w:rsidR="005E32B9" w:rsidRPr="005E32B9" w:rsidRDefault="005E32B9" w:rsidP="005E32B9">
      <w:pPr>
        <w:autoSpaceDE w:val="0"/>
        <w:autoSpaceDN w:val="0"/>
        <w:adjustRightInd w:val="0"/>
        <w:jc w:val="both"/>
        <w:rPr>
          <w:rFonts w:ascii="Abadi" w:eastAsia="Calibri" w:hAnsi="Abadi" w:cs="*Verdana-5872-Identity-H"/>
          <w:color w:val="0E0E10"/>
          <w:sz w:val="21"/>
          <w:szCs w:val="21"/>
          <w:lang w:val="es-MX" w:eastAsia="en-US"/>
        </w:rPr>
      </w:pPr>
      <w:r w:rsidRPr="005E32B9">
        <w:rPr>
          <w:rFonts w:ascii="Abadi" w:eastAsia="Calibri" w:hAnsi="Abadi" w:cs="*Verdana-5872-Identity-H"/>
          <w:color w:val="0E0E10"/>
          <w:sz w:val="21"/>
          <w:szCs w:val="21"/>
          <w:lang w:val="es-MX" w:eastAsia="en-US"/>
        </w:rPr>
        <w:t>A la Comisión de Fomento Agropecuario de la Sexagésima Quinta Legislatura del Congreso del Estado de Guanajuato, le fue turnada la propuesta del punto de acuerdo formulada por diputadas y diputados integrantes del Grupo Parlamentario del Partido Acción Nacional a fin de exhortar al titular del Poder Ejecutivo Federal para que a través de la Procuraduría Federal del Consumidor verifique los instrumentos de medición que sirven de base en transacciones comerciales del sector agroalimentario en el Estado de Guanajuato y se realicen verificaciones rigurosas en los centros de acopio durante el ciclo agrícola otoño-invierno, una vez lo cual informe a esta soberanía los resultados encontrados.</w:t>
      </w:r>
    </w:p>
    <w:p w14:paraId="6D3CCADE" w14:textId="77777777" w:rsidR="005E32B9" w:rsidRPr="005E32B9" w:rsidRDefault="005E32B9" w:rsidP="005E32B9">
      <w:pPr>
        <w:autoSpaceDE w:val="0"/>
        <w:autoSpaceDN w:val="0"/>
        <w:adjustRightInd w:val="0"/>
        <w:jc w:val="both"/>
        <w:rPr>
          <w:rFonts w:ascii="Abadi" w:eastAsia="Calibri" w:hAnsi="Abadi" w:cs="*Verdana-5872-Identity-H"/>
          <w:color w:val="0E0E10"/>
          <w:sz w:val="21"/>
          <w:szCs w:val="21"/>
          <w:lang w:val="es-MX" w:eastAsia="en-US"/>
        </w:rPr>
      </w:pPr>
    </w:p>
    <w:p w14:paraId="503F8F06" w14:textId="77777777" w:rsidR="005E32B9" w:rsidRPr="005E32B9" w:rsidRDefault="005E32B9" w:rsidP="005E32B9">
      <w:pPr>
        <w:autoSpaceDE w:val="0"/>
        <w:autoSpaceDN w:val="0"/>
        <w:adjustRightInd w:val="0"/>
        <w:jc w:val="both"/>
        <w:rPr>
          <w:rFonts w:ascii="Abadi" w:eastAsia="Calibri" w:hAnsi="Abadi" w:cs="*Verdana-5872-Identity-H"/>
          <w:color w:val="0E0E10"/>
          <w:sz w:val="21"/>
          <w:szCs w:val="21"/>
          <w:lang w:val="es-MX" w:eastAsia="en-US"/>
        </w:rPr>
      </w:pPr>
      <w:r w:rsidRPr="005E32B9">
        <w:rPr>
          <w:rFonts w:ascii="Abadi" w:eastAsia="Calibri" w:hAnsi="Abadi" w:cs="*Verdana-5872-Identity-H"/>
          <w:color w:val="0E0E10"/>
          <w:sz w:val="21"/>
          <w:szCs w:val="21"/>
          <w:lang w:val="es-MX" w:eastAsia="en-US"/>
        </w:rPr>
        <w:t>Por lo anterior, con fundamento en los artículos 89 fracción V, 110 fracción IV y 171 de la Ley Orgánica del Poder Legislativo del Estado de Guanajuato, sometemos a la consideración de la Asamblea el presente dictamen, con base en las siguientes:</w:t>
      </w:r>
    </w:p>
    <w:p w14:paraId="315EB412" w14:textId="77777777" w:rsidR="005E32B9" w:rsidRPr="005E32B9" w:rsidRDefault="005E32B9" w:rsidP="005E32B9">
      <w:pPr>
        <w:autoSpaceDE w:val="0"/>
        <w:autoSpaceDN w:val="0"/>
        <w:adjustRightInd w:val="0"/>
        <w:jc w:val="both"/>
        <w:rPr>
          <w:rFonts w:ascii="Abadi" w:eastAsia="Calibri" w:hAnsi="Abadi" w:cs="*Verdana-Bold-5873-Identity-H"/>
          <w:b/>
          <w:bCs/>
          <w:color w:val="111215"/>
          <w:sz w:val="21"/>
          <w:szCs w:val="21"/>
          <w:lang w:val="es-MX" w:eastAsia="en-US"/>
        </w:rPr>
      </w:pPr>
    </w:p>
    <w:p w14:paraId="192ED6AE" w14:textId="77777777" w:rsidR="005E32B9" w:rsidRPr="005E32B9" w:rsidRDefault="005E32B9" w:rsidP="005E32B9">
      <w:pPr>
        <w:autoSpaceDE w:val="0"/>
        <w:autoSpaceDN w:val="0"/>
        <w:adjustRightInd w:val="0"/>
        <w:jc w:val="both"/>
        <w:rPr>
          <w:rFonts w:ascii="Abadi" w:eastAsia="Calibri" w:hAnsi="Abadi" w:cs="*Verdana-Bold-5873-Identity-H"/>
          <w:b/>
          <w:bCs/>
          <w:color w:val="111215"/>
          <w:sz w:val="21"/>
          <w:szCs w:val="21"/>
          <w:lang w:val="es-MX" w:eastAsia="en-US"/>
        </w:rPr>
      </w:pPr>
    </w:p>
    <w:p w14:paraId="34EE9745" w14:textId="77777777" w:rsidR="005E32B9" w:rsidRPr="005E32B9" w:rsidRDefault="005E32B9" w:rsidP="005E32B9">
      <w:pPr>
        <w:autoSpaceDE w:val="0"/>
        <w:autoSpaceDN w:val="0"/>
        <w:adjustRightInd w:val="0"/>
        <w:jc w:val="center"/>
        <w:rPr>
          <w:rFonts w:ascii="Abadi" w:eastAsia="Calibri" w:hAnsi="Abadi" w:cs="*Verdana-Bold-5873-Identity-H"/>
          <w:b/>
          <w:bCs/>
          <w:color w:val="111215"/>
          <w:sz w:val="21"/>
          <w:szCs w:val="21"/>
          <w:lang w:val="es-MX" w:eastAsia="en-US"/>
        </w:rPr>
      </w:pPr>
      <w:r w:rsidRPr="005E32B9">
        <w:rPr>
          <w:rFonts w:ascii="Abadi" w:eastAsia="Calibri" w:hAnsi="Abadi" w:cs="*Verdana-Bold-5873-Identity-H"/>
          <w:b/>
          <w:bCs/>
          <w:color w:val="111215"/>
          <w:sz w:val="21"/>
          <w:szCs w:val="21"/>
          <w:lang w:val="es-MX" w:eastAsia="en-US"/>
        </w:rPr>
        <w:t>CONSIDERACIONES</w:t>
      </w:r>
    </w:p>
    <w:p w14:paraId="402E0589" w14:textId="77777777" w:rsidR="005E32B9" w:rsidRPr="005E32B9" w:rsidRDefault="005E32B9" w:rsidP="005E32B9">
      <w:pPr>
        <w:autoSpaceDE w:val="0"/>
        <w:autoSpaceDN w:val="0"/>
        <w:adjustRightInd w:val="0"/>
        <w:jc w:val="both"/>
        <w:rPr>
          <w:rFonts w:ascii="Abadi" w:eastAsia="Calibri" w:hAnsi="Abadi" w:cs="*Verdana-Bold-5873-Identity-H"/>
          <w:b/>
          <w:bCs/>
          <w:color w:val="111016"/>
          <w:sz w:val="21"/>
          <w:szCs w:val="21"/>
          <w:lang w:val="es-MX" w:eastAsia="en-US"/>
        </w:rPr>
      </w:pPr>
    </w:p>
    <w:p w14:paraId="40973FF2" w14:textId="77777777" w:rsidR="005E32B9" w:rsidRPr="005E32B9" w:rsidRDefault="005E32B9" w:rsidP="005433FA">
      <w:pPr>
        <w:numPr>
          <w:ilvl w:val="0"/>
          <w:numId w:val="19"/>
        </w:numPr>
        <w:autoSpaceDE w:val="0"/>
        <w:autoSpaceDN w:val="0"/>
        <w:adjustRightInd w:val="0"/>
        <w:spacing w:after="160" w:line="259" w:lineRule="auto"/>
        <w:contextualSpacing/>
        <w:jc w:val="both"/>
        <w:rPr>
          <w:rFonts w:ascii="Abadi" w:eastAsia="Calibri" w:hAnsi="Abadi" w:cs="*Verdana-Bold-5873-Identity-H"/>
          <w:b/>
          <w:bCs/>
          <w:color w:val="111016"/>
          <w:sz w:val="21"/>
          <w:szCs w:val="21"/>
          <w:lang w:val="es-MX" w:eastAsia="en-US"/>
        </w:rPr>
      </w:pPr>
      <w:r w:rsidRPr="005E32B9">
        <w:rPr>
          <w:rFonts w:ascii="Abadi" w:eastAsia="Calibri" w:hAnsi="Abadi" w:cs="*Verdana-Bold-5873-Identity-H"/>
          <w:b/>
          <w:bCs/>
          <w:color w:val="111016"/>
          <w:sz w:val="21"/>
          <w:szCs w:val="21"/>
          <w:lang w:val="es-MX" w:eastAsia="en-US"/>
        </w:rPr>
        <w:t>Antecedentes</w:t>
      </w:r>
    </w:p>
    <w:p w14:paraId="057D0554" w14:textId="77777777" w:rsidR="005E32B9" w:rsidRPr="005E32B9" w:rsidRDefault="005E32B9" w:rsidP="005E32B9">
      <w:pPr>
        <w:autoSpaceDE w:val="0"/>
        <w:autoSpaceDN w:val="0"/>
        <w:adjustRightInd w:val="0"/>
        <w:jc w:val="both"/>
        <w:rPr>
          <w:rFonts w:ascii="Abadi" w:eastAsia="Calibri" w:hAnsi="Abadi" w:cs="*Verdana-Bold-5873-Identity-H"/>
          <w:b/>
          <w:bCs/>
          <w:color w:val="111215"/>
          <w:sz w:val="21"/>
          <w:szCs w:val="21"/>
          <w:lang w:val="es-MX" w:eastAsia="en-US"/>
        </w:rPr>
      </w:pPr>
    </w:p>
    <w:p w14:paraId="284215E6" w14:textId="77777777" w:rsidR="005E32B9" w:rsidRPr="005E32B9" w:rsidRDefault="005E32B9" w:rsidP="005E32B9">
      <w:pPr>
        <w:autoSpaceDE w:val="0"/>
        <w:autoSpaceDN w:val="0"/>
        <w:adjustRightInd w:val="0"/>
        <w:ind w:firstLine="360"/>
        <w:jc w:val="both"/>
        <w:rPr>
          <w:rFonts w:ascii="Abadi" w:eastAsia="Calibri" w:hAnsi="Abadi" w:cs="*Verdana-5872-Identity-H"/>
          <w:color w:val="0E0D10"/>
          <w:sz w:val="21"/>
          <w:szCs w:val="21"/>
          <w:lang w:val="es-MX" w:eastAsia="en-US"/>
        </w:rPr>
      </w:pPr>
      <w:r w:rsidRPr="005E32B9">
        <w:rPr>
          <w:rFonts w:ascii="Abadi" w:eastAsia="Calibri" w:hAnsi="Abadi" w:cs="*Verdana-5872-Identity-H"/>
          <w:color w:val="0E0D10"/>
          <w:sz w:val="21"/>
          <w:szCs w:val="21"/>
          <w:lang w:val="es-MX" w:eastAsia="en-US"/>
        </w:rPr>
        <w:t>El 2 de diciembre del año próximo pasado la presidencia de la Mesa Directiva turnó a la Comisión de Fomento Agropecuario, para su estudio y dictamen, la propuesta de punto de acuerdo referido en el proemio del presente dictamen, con fundamento en el artículo 110 fracción IV de la Ley Orgánica del Poder Legislativo del Estado de Guanajuato.</w:t>
      </w:r>
    </w:p>
    <w:p w14:paraId="0A4EDCBE" w14:textId="77777777" w:rsidR="005E32B9" w:rsidRPr="005E32B9" w:rsidRDefault="005E32B9" w:rsidP="005E32B9">
      <w:pPr>
        <w:autoSpaceDE w:val="0"/>
        <w:autoSpaceDN w:val="0"/>
        <w:adjustRightInd w:val="0"/>
        <w:ind w:firstLine="360"/>
        <w:jc w:val="both"/>
        <w:rPr>
          <w:rFonts w:ascii="Abadi" w:eastAsia="Calibri" w:hAnsi="Abadi" w:cs="*Verdana-5872-Identity-H"/>
          <w:color w:val="0E0D10"/>
          <w:sz w:val="21"/>
          <w:szCs w:val="21"/>
          <w:lang w:val="es-MX" w:eastAsia="en-US"/>
        </w:rPr>
      </w:pPr>
    </w:p>
    <w:p w14:paraId="0E7723BE" w14:textId="77777777" w:rsidR="005E32B9" w:rsidRPr="005E32B9" w:rsidRDefault="005E32B9" w:rsidP="005433FA">
      <w:pPr>
        <w:numPr>
          <w:ilvl w:val="0"/>
          <w:numId w:val="19"/>
        </w:numPr>
        <w:autoSpaceDE w:val="0"/>
        <w:autoSpaceDN w:val="0"/>
        <w:adjustRightInd w:val="0"/>
        <w:spacing w:after="160" w:line="259" w:lineRule="auto"/>
        <w:contextualSpacing/>
        <w:jc w:val="both"/>
        <w:rPr>
          <w:rFonts w:ascii="Abadi" w:eastAsia="Calibri" w:hAnsi="Abadi" w:cs="*Verdana-Bold-7225-Identity-H"/>
          <w:b/>
          <w:bCs/>
          <w:color w:val="100F14"/>
          <w:sz w:val="21"/>
          <w:szCs w:val="21"/>
          <w:lang w:val="es-MX" w:eastAsia="en-US"/>
        </w:rPr>
      </w:pPr>
      <w:r w:rsidRPr="005E32B9">
        <w:rPr>
          <w:rFonts w:ascii="Abadi" w:eastAsia="Calibri" w:hAnsi="Abadi" w:cs="*Verdana-Bold-7225-Identity-H"/>
          <w:b/>
          <w:bCs/>
          <w:color w:val="100F14"/>
          <w:sz w:val="21"/>
          <w:szCs w:val="21"/>
          <w:lang w:val="es-MX" w:eastAsia="en-US"/>
        </w:rPr>
        <w:lastRenderedPageBreak/>
        <w:t>Proceso legislativo</w:t>
      </w:r>
    </w:p>
    <w:p w14:paraId="0BA2E4C7" w14:textId="77777777" w:rsidR="005E32B9" w:rsidRPr="005E32B9" w:rsidRDefault="005E32B9" w:rsidP="005E32B9">
      <w:pPr>
        <w:autoSpaceDE w:val="0"/>
        <w:autoSpaceDN w:val="0"/>
        <w:adjustRightInd w:val="0"/>
        <w:jc w:val="both"/>
        <w:rPr>
          <w:rFonts w:ascii="Abadi" w:eastAsia="Calibri" w:hAnsi="Abadi" w:cs="*Verdana-7224-Identity-H"/>
          <w:color w:val="0F0E11"/>
          <w:sz w:val="21"/>
          <w:szCs w:val="21"/>
          <w:lang w:val="es-MX" w:eastAsia="en-US"/>
        </w:rPr>
      </w:pPr>
    </w:p>
    <w:p w14:paraId="032F54FA" w14:textId="77777777" w:rsidR="005E32B9" w:rsidRPr="005E32B9" w:rsidRDefault="005E32B9" w:rsidP="005E32B9">
      <w:pPr>
        <w:autoSpaceDE w:val="0"/>
        <w:autoSpaceDN w:val="0"/>
        <w:adjustRightInd w:val="0"/>
        <w:ind w:firstLine="360"/>
        <w:jc w:val="both"/>
        <w:rPr>
          <w:rFonts w:ascii="Abadi" w:eastAsia="Calibri" w:hAnsi="Abadi" w:cs="*Verdana-7224-Identity-H"/>
          <w:color w:val="0F0E11"/>
          <w:sz w:val="21"/>
          <w:szCs w:val="21"/>
          <w:lang w:val="es-MX" w:eastAsia="en-US"/>
        </w:rPr>
      </w:pPr>
      <w:r w:rsidRPr="005E32B9">
        <w:rPr>
          <w:rFonts w:ascii="Abadi" w:eastAsia="Calibri" w:hAnsi="Abadi" w:cs="*Verdana-7224-Identity-H"/>
          <w:color w:val="0F0E11"/>
          <w:sz w:val="21"/>
          <w:szCs w:val="21"/>
          <w:lang w:val="es-MX" w:eastAsia="en-US"/>
        </w:rPr>
        <w:t xml:space="preserve">La comisión radicó la propuesta de punto de acuerdo el 13 de </w:t>
      </w:r>
      <w:r w:rsidRPr="005E32B9">
        <w:rPr>
          <w:rFonts w:ascii="Abadi" w:eastAsia="Calibri" w:hAnsi="Abadi" w:cs="*Verdana-7224-Identity-H"/>
          <w:color w:val="A5A5A5"/>
          <w:sz w:val="21"/>
          <w:szCs w:val="21"/>
          <w:lang w:val="es-MX" w:eastAsia="en-US"/>
        </w:rPr>
        <w:t>·</w:t>
      </w:r>
      <w:r w:rsidRPr="005E32B9">
        <w:rPr>
          <w:rFonts w:ascii="Abadi" w:eastAsia="Calibri" w:hAnsi="Abadi" w:cs="*Verdana-7224-Identity-H"/>
          <w:color w:val="0F0E11"/>
          <w:sz w:val="21"/>
          <w:szCs w:val="21"/>
          <w:lang w:val="es-MX" w:eastAsia="en-US"/>
        </w:rPr>
        <w:t>enero del año que transcurre, acordando en reunión de Comisión la siguiente metodología para su estudio y análisis:</w:t>
      </w:r>
    </w:p>
    <w:p w14:paraId="49DBB484" w14:textId="77777777" w:rsidR="005E32B9" w:rsidRPr="005E32B9" w:rsidRDefault="005E32B9" w:rsidP="005E32B9">
      <w:pPr>
        <w:autoSpaceDE w:val="0"/>
        <w:autoSpaceDN w:val="0"/>
        <w:adjustRightInd w:val="0"/>
        <w:ind w:firstLine="360"/>
        <w:jc w:val="both"/>
        <w:rPr>
          <w:rFonts w:ascii="Abadi" w:eastAsia="Calibri" w:hAnsi="Abadi" w:cs="*Verdana-7224-Identity-H"/>
          <w:color w:val="0F0E11"/>
          <w:sz w:val="21"/>
          <w:szCs w:val="21"/>
          <w:lang w:val="es-MX" w:eastAsia="en-US"/>
        </w:rPr>
      </w:pPr>
    </w:p>
    <w:p w14:paraId="0CA9008E" w14:textId="77777777" w:rsidR="005E32B9" w:rsidRPr="005E32B9" w:rsidRDefault="005E32B9" w:rsidP="005433FA">
      <w:pPr>
        <w:numPr>
          <w:ilvl w:val="0"/>
          <w:numId w:val="20"/>
        </w:numPr>
        <w:autoSpaceDE w:val="0"/>
        <w:autoSpaceDN w:val="0"/>
        <w:adjustRightInd w:val="0"/>
        <w:spacing w:after="160" w:line="259" w:lineRule="auto"/>
        <w:contextualSpacing/>
        <w:jc w:val="both"/>
        <w:rPr>
          <w:rFonts w:ascii="Abadi" w:eastAsia="Calibri" w:hAnsi="Abadi" w:cs="*Verdana-7222-Identity-H"/>
          <w:color w:val="121214"/>
          <w:sz w:val="21"/>
          <w:szCs w:val="21"/>
          <w:lang w:val="es-MX" w:eastAsia="en-US"/>
        </w:rPr>
      </w:pPr>
      <w:r w:rsidRPr="005E32B9">
        <w:rPr>
          <w:rFonts w:ascii="Abadi" w:eastAsia="Calibri" w:hAnsi="Abadi" w:cs="*Verdana-7222-Identity-H"/>
          <w:color w:val="121214"/>
          <w:sz w:val="21"/>
          <w:szCs w:val="21"/>
          <w:lang w:val="es-MX" w:eastAsia="en-US"/>
        </w:rPr>
        <w:t>Se remitió la propuesta de punto de acuerdo vía correo electrónico a las diputadas y diputados Integrantes de la Sexagésima Quinta Legislatura; y a la Coordinación General Jurídica del Gobierno del Estado, quienes contaron con un plazo de 15 días hábiles a partir de su notificación para remitir comentarios y observaciones que estimen pertinentes.</w:t>
      </w:r>
    </w:p>
    <w:p w14:paraId="4A86EE79" w14:textId="77777777" w:rsidR="005E32B9" w:rsidRPr="005E32B9" w:rsidRDefault="005E32B9" w:rsidP="005E32B9">
      <w:pPr>
        <w:autoSpaceDE w:val="0"/>
        <w:autoSpaceDN w:val="0"/>
        <w:adjustRightInd w:val="0"/>
        <w:jc w:val="both"/>
        <w:rPr>
          <w:rFonts w:ascii="Abadi" w:eastAsia="Calibri" w:hAnsi="Abadi" w:cs="*Verdana-7222-Identity-H"/>
          <w:color w:val="121214"/>
          <w:sz w:val="21"/>
          <w:szCs w:val="21"/>
          <w:lang w:val="es-MX" w:eastAsia="en-US"/>
        </w:rPr>
      </w:pPr>
    </w:p>
    <w:p w14:paraId="35777C36" w14:textId="77777777" w:rsidR="005E32B9" w:rsidRPr="005E32B9" w:rsidRDefault="005E32B9" w:rsidP="005433FA">
      <w:pPr>
        <w:numPr>
          <w:ilvl w:val="0"/>
          <w:numId w:val="20"/>
        </w:numPr>
        <w:autoSpaceDE w:val="0"/>
        <w:autoSpaceDN w:val="0"/>
        <w:adjustRightInd w:val="0"/>
        <w:spacing w:after="160" w:line="259" w:lineRule="auto"/>
        <w:contextualSpacing/>
        <w:jc w:val="both"/>
        <w:rPr>
          <w:rFonts w:ascii="Abadi" w:eastAsia="Calibri" w:hAnsi="Abadi" w:cs="*Verdana-7222-Identity-H"/>
          <w:color w:val="121214"/>
          <w:sz w:val="21"/>
          <w:szCs w:val="21"/>
          <w:lang w:val="es-MX" w:eastAsia="en-US"/>
        </w:rPr>
      </w:pPr>
      <w:r w:rsidRPr="005E32B9">
        <w:rPr>
          <w:rFonts w:ascii="Abadi" w:eastAsia="Calibri" w:hAnsi="Abadi" w:cs="*Verdana-7222-Identity-H"/>
          <w:color w:val="121214"/>
          <w:sz w:val="21"/>
          <w:szCs w:val="21"/>
          <w:lang w:val="es-MX" w:eastAsia="en-US"/>
        </w:rPr>
        <w:t>Se remitió el punto de acuerdo vía oficio, a la Delegación en Guanajuato de la Procuraduría Federal del Consumidor, quien contará con un plazo de 15 días hábiles a partir de su notificación para remitir comentarios y observaciones que estimen pertinentes.</w:t>
      </w:r>
    </w:p>
    <w:p w14:paraId="43E4FECE" w14:textId="77777777" w:rsidR="005E32B9" w:rsidRPr="005E32B9" w:rsidRDefault="005E32B9" w:rsidP="005E32B9">
      <w:pPr>
        <w:spacing w:after="160" w:line="259" w:lineRule="auto"/>
        <w:ind w:left="720"/>
        <w:contextualSpacing/>
        <w:rPr>
          <w:rFonts w:ascii="Abadi" w:eastAsia="Calibri" w:hAnsi="Abadi" w:cs="*Verdana-7222-Identity-H"/>
          <w:color w:val="121214"/>
          <w:sz w:val="21"/>
          <w:szCs w:val="21"/>
          <w:lang w:val="es-MX" w:eastAsia="en-US"/>
        </w:rPr>
      </w:pPr>
    </w:p>
    <w:p w14:paraId="431000D9" w14:textId="77777777" w:rsidR="005E32B9" w:rsidRPr="005E32B9" w:rsidRDefault="005E32B9" w:rsidP="005433FA">
      <w:pPr>
        <w:numPr>
          <w:ilvl w:val="0"/>
          <w:numId w:val="20"/>
        </w:numPr>
        <w:autoSpaceDE w:val="0"/>
        <w:autoSpaceDN w:val="0"/>
        <w:adjustRightInd w:val="0"/>
        <w:spacing w:after="160" w:line="259" w:lineRule="auto"/>
        <w:contextualSpacing/>
        <w:jc w:val="both"/>
        <w:rPr>
          <w:rFonts w:ascii="Abadi" w:eastAsia="Calibri" w:hAnsi="Abadi" w:cs="*Verdana-7222-Identity-H"/>
          <w:color w:val="121214"/>
          <w:sz w:val="21"/>
          <w:szCs w:val="21"/>
          <w:lang w:val="es-MX" w:eastAsia="en-US"/>
        </w:rPr>
      </w:pPr>
      <w:r w:rsidRPr="005E32B9">
        <w:rPr>
          <w:rFonts w:ascii="Abadi" w:eastAsia="Calibri" w:hAnsi="Abadi" w:cs="*Verdana-7222-Identity-H"/>
          <w:color w:val="121214"/>
          <w:sz w:val="21"/>
          <w:szCs w:val="21"/>
          <w:lang w:val="es-MX" w:eastAsia="en-US"/>
        </w:rPr>
        <w:t>Concluido el término de consulta, los comentarios y observaciones remitidos se enviarán por la secretaría técnica, dentro de los 5 días posteriores al término de la consulta.</w:t>
      </w:r>
    </w:p>
    <w:p w14:paraId="57FD60C5" w14:textId="77777777" w:rsidR="005E32B9" w:rsidRPr="005E32B9" w:rsidRDefault="005E32B9" w:rsidP="005E32B9">
      <w:pPr>
        <w:spacing w:after="160" w:line="259" w:lineRule="auto"/>
        <w:ind w:left="720"/>
        <w:contextualSpacing/>
        <w:rPr>
          <w:rFonts w:ascii="Abadi" w:eastAsia="Calibri" w:hAnsi="Abadi" w:cs="*Verdana-7222-Identity-H"/>
          <w:color w:val="121214"/>
          <w:sz w:val="21"/>
          <w:szCs w:val="21"/>
          <w:lang w:val="es-MX" w:eastAsia="en-US"/>
        </w:rPr>
      </w:pPr>
    </w:p>
    <w:p w14:paraId="2E763A89" w14:textId="77777777" w:rsidR="005E32B9" w:rsidRPr="005E32B9" w:rsidRDefault="005E32B9" w:rsidP="005433FA">
      <w:pPr>
        <w:numPr>
          <w:ilvl w:val="0"/>
          <w:numId w:val="20"/>
        </w:numPr>
        <w:autoSpaceDE w:val="0"/>
        <w:autoSpaceDN w:val="0"/>
        <w:adjustRightInd w:val="0"/>
        <w:spacing w:after="160" w:line="259" w:lineRule="auto"/>
        <w:contextualSpacing/>
        <w:jc w:val="both"/>
        <w:rPr>
          <w:rFonts w:ascii="Abadi" w:eastAsia="Calibri" w:hAnsi="Abadi" w:cs="*Verdana-7222-Identity-H"/>
          <w:color w:val="121214"/>
          <w:sz w:val="21"/>
          <w:szCs w:val="21"/>
          <w:lang w:val="es-MX" w:eastAsia="en-US"/>
        </w:rPr>
      </w:pPr>
      <w:r w:rsidRPr="005E32B9">
        <w:rPr>
          <w:rFonts w:ascii="Abadi" w:eastAsia="Calibri" w:hAnsi="Abadi" w:cs="*Verdana-7222-Identity-H"/>
          <w:color w:val="121214"/>
          <w:sz w:val="21"/>
          <w:szCs w:val="21"/>
          <w:lang w:val="es-MX" w:eastAsia="en-US"/>
        </w:rPr>
        <w:t>Instalación de mesa de trabajo permanente en la que participarán diputadas y diputados integrantes de la Comisión.</w:t>
      </w:r>
    </w:p>
    <w:p w14:paraId="08B072DD" w14:textId="77777777" w:rsidR="005E32B9" w:rsidRPr="005E32B9" w:rsidRDefault="005E32B9" w:rsidP="005E32B9">
      <w:pPr>
        <w:spacing w:after="160" w:line="259" w:lineRule="auto"/>
        <w:ind w:left="720"/>
        <w:contextualSpacing/>
        <w:rPr>
          <w:rFonts w:ascii="Abadi" w:eastAsia="Calibri" w:hAnsi="Abadi" w:cs="*Verdana-7222-Identity-H"/>
          <w:color w:val="131315"/>
          <w:sz w:val="21"/>
          <w:szCs w:val="21"/>
          <w:lang w:val="es-MX" w:eastAsia="en-US"/>
        </w:rPr>
      </w:pPr>
    </w:p>
    <w:p w14:paraId="74333AA2" w14:textId="77777777" w:rsidR="005E32B9" w:rsidRPr="005E32B9" w:rsidRDefault="005E32B9" w:rsidP="005433FA">
      <w:pPr>
        <w:numPr>
          <w:ilvl w:val="0"/>
          <w:numId w:val="20"/>
        </w:numPr>
        <w:autoSpaceDE w:val="0"/>
        <w:autoSpaceDN w:val="0"/>
        <w:adjustRightInd w:val="0"/>
        <w:spacing w:after="160" w:line="259" w:lineRule="auto"/>
        <w:contextualSpacing/>
        <w:jc w:val="both"/>
        <w:rPr>
          <w:rFonts w:ascii="Abadi" w:eastAsia="Calibri" w:hAnsi="Abadi" w:cs="*Verdana-7222-Identity-H"/>
          <w:color w:val="121214"/>
          <w:sz w:val="21"/>
          <w:szCs w:val="21"/>
          <w:lang w:val="es-MX" w:eastAsia="en-US"/>
        </w:rPr>
      </w:pPr>
      <w:r w:rsidRPr="005E32B9">
        <w:rPr>
          <w:rFonts w:ascii="Abadi" w:eastAsia="Calibri" w:hAnsi="Abadi" w:cs="*Verdana-7222-Identity-H"/>
          <w:color w:val="131315"/>
          <w:sz w:val="21"/>
          <w:szCs w:val="21"/>
          <w:lang w:val="es-MX" w:eastAsia="en-US"/>
        </w:rPr>
        <w:t>Concluida la consulta y la reunión de trabajo, señaladas en los puntos anteriores, la secretaría técnica elaborará el proyecto de dictamen correspondiente, lo remitirá a los integrantes de la Comisión, para que formulen observaciones a la secretaría técnica.</w:t>
      </w:r>
    </w:p>
    <w:p w14:paraId="6C5D5B73" w14:textId="77777777" w:rsidR="005E32B9" w:rsidRPr="005E32B9" w:rsidRDefault="005E32B9" w:rsidP="005E32B9">
      <w:pPr>
        <w:spacing w:after="160" w:line="259" w:lineRule="auto"/>
        <w:ind w:left="720"/>
        <w:contextualSpacing/>
        <w:rPr>
          <w:rFonts w:ascii="Abadi" w:eastAsia="Calibri" w:hAnsi="Abadi" w:cs="*Verdana-7222-Identity-H"/>
          <w:color w:val="131214"/>
          <w:sz w:val="21"/>
          <w:szCs w:val="21"/>
          <w:lang w:val="es-MX" w:eastAsia="en-US"/>
        </w:rPr>
      </w:pPr>
    </w:p>
    <w:p w14:paraId="548A3BB1" w14:textId="1E073186" w:rsidR="005E32B9" w:rsidRPr="00CF69F8" w:rsidRDefault="005E32B9" w:rsidP="005433FA">
      <w:pPr>
        <w:numPr>
          <w:ilvl w:val="0"/>
          <w:numId w:val="20"/>
        </w:numPr>
        <w:autoSpaceDE w:val="0"/>
        <w:autoSpaceDN w:val="0"/>
        <w:adjustRightInd w:val="0"/>
        <w:spacing w:after="160" w:line="259" w:lineRule="auto"/>
        <w:contextualSpacing/>
        <w:jc w:val="both"/>
        <w:rPr>
          <w:rFonts w:ascii="Abadi" w:eastAsia="Calibri" w:hAnsi="Abadi" w:cs="*Verdana-7222-Identity-H"/>
          <w:color w:val="121214"/>
          <w:sz w:val="21"/>
          <w:szCs w:val="21"/>
          <w:lang w:val="es-MX" w:eastAsia="en-US"/>
        </w:rPr>
      </w:pPr>
      <w:r w:rsidRPr="005E32B9">
        <w:rPr>
          <w:rFonts w:ascii="Abadi" w:eastAsia="Calibri" w:hAnsi="Abadi" w:cs="*Verdana-7222-Identity-H"/>
          <w:color w:val="131214"/>
          <w:sz w:val="21"/>
          <w:szCs w:val="21"/>
          <w:lang w:val="es-MX" w:eastAsia="en-US"/>
        </w:rPr>
        <w:t>La Comisión se reunirá para discutir el proyecto de dictamen del punto de acuerdo y, en su caso, dejarlo a disposición de la Mesa Directiva para que lo agencie en la sesión ordinaria que corresponda.</w:t>
      </w:r>
    </w:p>
    <w:p w14:paraId="15039BFA" w14:textId="77777777" w:rsidR="005E32B9" w:rsidRPr="005E32B9" w:rsidRDefault="005E32B9" w:rsidP="00CF69F8">
      <w:pPr>
        <w:autoSpaceDE w:val="0"/>
        <w:autoSpaceDN w:val="0"/>
        <w:adjustRightInd w:val="0"/>
        <w:spacing w:after="160" w:line="259" w:lineRule="auto"/>
        <w:contextualSpacing/>
        <w:jc w:val="both"/>
        <w:rPr>
          <w:rFonts w:ascii="Abadi" w:eastAsia="Calibri" w:hAnsi="Abadi" w:cs="*Verdana-7222-Identity-H"/>
          <w:color w:val="121214"/>
          <w:sz w:val="21"/>
          <w:szCs w:val="21"/>
          <w:lang w:val="es-MX" w:eastAsia="en-US"/>
        </w:rPr>
      </w:pPr>
    </w:p>
    <w:p w14:paraId="5620EB50" w14:textId="30C90BEC" w:rsidR="005E32B9" w:rsidRPr="005E32B9" w:rsidRDefault="00F6726C" w:rsidP="005433FA">
      <w:pPr>
        <w:numPr>
          <w:ilvl w:val="0"/>
          <w:numId w:val="19"/>
        </w:numPr>
        <w:autoSpaceDE w:val="0"/>
        <w:autoSpaceDN w:val="0"/>
        <w:adjustRightInd w:val="0"/>
        <w:spacing w:after="160" w:line="259" w:lineRule="auto"/>
        <w:contextualSpacing/>
        <w:jc w:val="both"/>
        <w:rPr>
          <w:rFonts w:ascii="Abadi" w:eastAsia="Calibri" w:hAnsi="Abadi" w:cs="*Verdana-Bold-9241-Identity-H"/>
          <w:b/>
          <w:bCs/>
          <w:color w:val="110F16"/>
          <w:sz w:val="21"/>
          <w:szCs w:val="21"/>
          <w:lang w:val="es-MX" w:eastAsia="en-US"/>
        </w:rPr>
      </w:pPr>
      <w:r w:rsidRPr="005E32B9">
        <w:rPr>
          <w:rFonts w:ascii="Abadi" w:eastAsia="Calibri" w:hAnsi="Abadi" w:cs="*Verdana-Bold-9241-Identity-H"/>
          <w:b/>
          <w:bCs/>
          <w:color w:val="110F16"/>
          <w:sz w:val="21"/>
          <w:szCs w:val="21"/>
          <w:lang w:val="es-MX" w:eastAsia="en-US"/>
        </w:rPr>
        <w:t>Análisis</w:t>
      </w:r>
      <w:r w:rsidR="005E32B9" w:rsidRPr="005E32B9">
        <w:rPr>
          <w:rFonts w:ascii="Abadi" w:eastAsia="Calibri" w:hAnsi="Abadi" w:cs="*Verdana-Bold-9241-Identity-H"/>
          <w:b/>
          <w:bCs/>
          <w:color w:val="110F16"/>
          <w:sz w:val="21"/>
          <w:szCs w:val="21"/>
          <w:lang w:val="es-MX" w:eastAsia="en-US"/>
        </w:rPr>
        <w:t xml:space="preserve"> de la propuesta.</w:t>
      </w:r>
    </w:p>
    <w:p w14:paraId="47F03920" w14:textId="77777777" w:rsidR="005E32B9" w:rsidRPr="005E32B9" w:rsidRDefault="005E32B9" w:rsidP="005E32B9">
      <w:pPr>
        <w:autoSpaceDE w:val="0"/>
        <w:autoSpaceDN w:val="0"/>
        <w:adjustRightInd w:val="0"/>
        <w:jc w:val="both"/>
        <w:rPr>
          <w:rFonts w:ascii="Abadi" w:eastAsia="Calibri" w:hAnsi="Abadi" w:cs="*Verdana-9240-Identity-H"/>
          <w:color w:val="0D0C0F"/>
          <w:sz w:val="21"/>
          <w:szCs w:val="21"/>
          <w:lang w:val="es-MX" w:eastAsia="en-US"/>
        </w:rPr>
      </w:pPr>
    </w:p>
    <w:p w14:paraId="65CC4B07" w14:textId="77777777" w:rsidR="005E32B9" w:rsidRPr="005E32B9" w:rsidRDefault="005E32B9" w:rsidP="005E32B9">
      <w:pPr>
        <w:autoSpaceDE w:val="0"/>
        <w:autoSpaceDN w:val="0"/>
        <w:adjustRightInd w:val="0"/>
        <w:ind w:firstLine="360"/>
        <w:jc w:val="both"/>
        <w:rPr>
          <w:rFonts w:ascii="Abadi" w:eastAsia="Calibri" w:hAnsi="Abadi" w:cs="*Verdana-9240-Identity-H"/>
          <w:color w:val="0D0C0F"/>
          <w:sz w:val="21"/>
          <w:szCs w:val="21"/>
          <w:lang w:val="es-MX" w:eastAsia="en-US"/>
        </w:rPr>
      </w:pPr>
      <w:r w:rsidRPr="005E32B9">
        <w:rPr>
          <w:rFonts w:ascii="Abadi" w:eastAsia="Calibri" w:hAnsi="Abadi" w:cs="*Verdana-9240-Identity-H"/>
          <w:color w:val="0D0C0F"/>
          <w:sz w:val="21"/>
          <w:szCs w:val="21"/>
          <w:lang w:val="es-MX" w:eastAsia="en-US"/>
        </w:rPr>
        <w:t>La diputada y los diputados que integramos esta comisión, recibimos respuesta por parte de la Procuraduría Federal del Consumidor según oficio PFC/BJ/028/2022, suscrito por la Lic. Vanessa Montes de Oca Mayagoitía, directora ODECO Zona del Bajío, misma que argumenta:</w:t>
      </w:r>
    </w:p>
    <w:p w14:paraId="6967338B" w14:textId="77777777" w:rsidR="005E32B9" w:rsidRPr="005E32B9" w:rsidRDefault="005E32B9" w:rsidP="005E32B9">
      <w:pPr>
        <w:autoSpaceDE w:val="0"/>
        <w:autoSpaceDN w:val="0"/>
        <w:adjustRightInd w:val="0"/>
        <w:jc w:val="both"/>
        <w:rPr>
          <w:rFonts w:ascii="Abadi" w:eastAsia="Calibri" w:hAnsi="Abadi" w:cs="*Verdana-Italic-9239-Identity-H"/>
          <w:i/>
          <w:iCs/>
          <w:color w:val="151517"/>
          <w:sz w:val="21"/>
          <w:szCs w:val="21"/>
          <w:lang w:val="es-MX" w:eastAsia="en-US"/>
        </w:rPr>
      </w:pPr>
    </w:p>
    <w:p w14:paraId="373139D5" w14:textId="77777777" w:rsidR="005E32B9" w:rsidRPr="005E32B9" w:rsidRDefault="005E32B9" w:rsidP="005E32B9">
      <w:pPr>
        <w:autoSpaceDE w:val="0"/>
        <w:autoSpaceDN w:val="0"/>
        <w:adjustRightInd w:val="0"/>
        <w:ind w:left="360"/>
        <w:jc w:val="both"/>
        <w:rPr>
          <w:rFonts w:ascii="Abadi" w:eastAsia="Calibri" w:hAnsi="Abadi" w:cs="*Verdana-Italic-9239-Identity-H"/>
          <w:i/>
          <w:iCs/>
          <w:color w:val="151517"/>
          <w:sz w:val="21"/>
          <w:szCs w:val="21"/>
          <w:lang w:val="es-MX" w:eastAsia="en-US"/>
        </w:rPr>
      </w:pPr>
      <w:r w:rsidRPr="005E32B9">
        <w:rPr>
          <w:rFonts w:ascii="Abadi" w:eastAsia="Calibri" w:hAnsi="Abadi" w:cs="*Verdana-Italic-9239-Identity-H"/>
          <w:i/>
          <w:iCs/>
          <w:color w:val="151517"/>
          <w:sz w:val="21"/>
          <w:szCs w:val="21"/>
          <w:lang w:val="es-MX" w:eastAsia="en-US"/>
        </w:rPr>
        <w:t>(... ) Con base en el Estatuto Orgánico de la Procuraduría Federal del Consumidor para el Estado de Guanajuato existen dos Oficinas de Defensa del Consumidor, cuya jurisdicción municipal es:</w:t>
      </w:r>
    </w:p>
    <w:p w14:paraId="76846E27" w14:textId="77777777" w:rsidR="005E32B9" w:rsidRPr="005E32B9" w:rsidRDefault="005E32B9" w:rsidP="005E32B9">
      <w:pPr>
        <w:autoSpaceDE w:val="0"/>
        <w:autoSpaceDN w:val="0"/>
        <w:adjustRightInd w:val="0"/>
        <w:jc w:val="both"/>
        <w:rPr>
          <w:rFonts w:ascii="Abadi" w:eastAsia="Calibri" w:hAnsi="Abadi" w:cs="*Verdana-Italic-9239-Identity-H"/>
          <w:i/>
          <w:iCs/>
          <w:color w:val="161517"/>
          <w:sz w:val="21"/>
          <w:szCs w:val="21"/>
          <w:lang w:val="es-MX" w:eastAsia="en-US"/>
        </w:rPr>
      </w:pPr>
    </w:p>
    <w:p w14:paraId="5182BCD6" w14:textId="77777777" w:rsidR="005E32B9" w:rsidRPr="005E32B9" w:rsidRDefault="005E32B9" w:rsidP="005E32B9">
      <w:pPr>
        <w:autoSpaceDE w:val="0"/>
        <w:autoSpaceDN w:val="0"/>
        <w:adjustRightInd w:val="0"/>
        <w:ind w:left="360"/>
        <w:jc w:val="both"/>
        <w:rPr>
          <w:rFonts w:ascii="Abadi" w:eastAsia="Calibri" w:hAnsi="Abadi" w:cs="*Verdana-Italic-9239-Identity-H"/>
          <w:i/>
          <w:iCs/>
          <w:color w:val="161517"/>
          <w:sz w:val="21"/>
          <w:szCs w:val="21"/>
          <w:lang w:val="es-MX" w:eastAsia="en-US"/>
        </w:rPr>
      </w:pPr>
      <w:r w:rsidRPr="005E32B9">
        <w:rPr>
          <w:rFonts w:ascii="Abadi" w:eastAsia="Calibri" w:hAnsi="Abadi" w:cs="*Verdana-Italic-9239-Identity-H"/>
          <w:i/>
          <w:iCs/>
          <w:color w:val="161517"/>
          <w:sz w:val="21"/>
          <w:szCs w:val="21"/>
          <w:lang w:val="es-MX" w:eastAsia="en-US"/>
        </w:rPr>
        <w:t xml:space="preserve">"XX. Zona del Bajío: Con sede en el municipio de León de los Aldama, Guanajuato. Con circunscripción territorial en los siguientes municipios del estado de Guanajuato: </w:t>
      </w:r>
      <w:r w:rsidRPr="005E32B9">
        <w:rPr>
          <w:rFonts w:ascii="Abadi" w:eastAsia="Calibri" w:hAnsi="Abadi" w:cs="*Verdana-Italic-9239-Identity-H"/>
          <w:i/>
          <w:iCs/>
          <w:color w:val="161618"/>
          <w:sz w:val="21"/>
          <w:szCs w:val="21"/>
          <w:lang w:val="es-MX" w:eastAsia="en-US"/>
        </w:rPr>
        <w:t>Atarjea, Doctor Mora, Dolores Hidalgo, León de los A/dama, Manuel Doblado,</w:t>
      </w:r>
      <w:r w:rsidRPr="005E32B9">
        <w:rPr>
          <w:rFonts w:ascii="Abadi" w:eastAsia="Calibri" w:hAnsi="Abadi" w:cs="*Verdana-Italic-9239-Identity-H"/>
          <w:i/>
          <w:iCs/>
          <w:color w:val="161517"/>
          <w:sz w:val="21"/>
          <w:szCs w:val="21"/>
          <w:lang w:val="es-MX" w:eastAsia="en-US"/>
        </w:rPr>
        <w:t xml:space="preserve"> </w:t>
      </w:r>
      <w:r w:rsidRPr="005E32B9">
        <w:rPr>
          <w:rFonts w:ascii="Abadi" w:eastAsia="Calibri" w:hAnsi="Abadi" w:cs="*Verdana-Italic-9239-Identity-H"/>
          <w:i/>
          <w:iCs/>
          <w:color w:val="161618"/>
          <w:sz w:val="21"/>
          <w:szCs w:val="21"/>
          <w:lang w:val="es-MX" w:eastAsia="en-US"/>
        </w:rPr>
        <w:t>acampo, Purísima del Rincón, Romita, Santa Catarina, San José Iturbide, San Diego</w:t>
      </w:r>
      <w:r w:rsidRPr="005E32B9">
        <w:rPr>
          <w:rFonts w:ascii="Abadi" w:eastAsia="Calibri" w:hAnsi="Abadi" w:cs="*Verdana-Italic-9239-Identity-H"/>
          <w:i/>
          <w:iCs/>
          <w:color w:val="161517"/>
          <w:sz w:val="21"/>
          <w:szCs w:val="21"/>
          <w:lang w:val="es-MX" w:eastAsia="en-US"/>
        </w:rPr>
        <w:t xml:space="preserve"> </w:t>
      </w:r>
      <w:r w:rsidRPr="005E32B9">
        <w:rPr>
          <w:rFonts w:ascii="Abadi" w:eastAsia="Calibri" w:hAnsi="Abadi" w:cs="*Verdana-Italic-9239-Identity-H"/>
          <w:i/>
          <w:iCs/>
          <w:color w:val="161618"/>
          <w:sz w:val="21"/>
          <w:szCs w:val="21"/>
          <w:lang w:val="es-MX" w:eastAsia="en-US"/>
        </w:rPr>
        <w:t>de la Unión, San Felipe, San Francisco del Rincón, San Luis de la Paz, Silao, Tierra</w:t>
      </w:r>
      <w:r w:rsidRPr="005E32B9">
        <w:rPr>
          <w:rFonts w:ascii="Abadi" w:eastAsia="Calibri" w:hAnsi="Abadi" w:cs="*Verdana-Italic-9239-Identity-H"/>
          <w:i/>
          <w:iCs/>
          <w:color w:val="161517"/>
          <w:sz w:val="21"/>
          <w:szCs w:val="21"/>
          <w:lang w:val="es-MX" w:eastAsia="en-US"/>
        </w:rPr>
        <w:t xml:space="preserve"> </w:t>
      </w:r>
      <w:r w:rsidRPr="005E32B9">
        <w:rPr>
          <w:rFonts w:ascii="Abadi" w:eastAsia="Calibri" w:hAnsi="Abadi" w:cs="*Verdana-Italic-9239-Identity-H"/>
          <w:i/>
          <w:iCs/>
          <w:color w:val="161618"/>
          <w:sz w:val="21"/>
          <w:szCs w:val="21"/>
          <w:lang w:val="es-MX" w:eastAsia="en-US"/>
        </w:rPr>
        <w:t>Blanca, Victoria y Xichú."</w:t>
      </w:r>
    </w:p>
    <w:p w14:paraId="1F934286" w14:textId="77777777" w:rsidR="005E32B9" w:rsidRPr="005E32B9" w:rsidRDefault="005E32B9" w:rsidP="005E32B9">
      <w:pPr>
        <w:autoSpaceDE w:val="0"/>
        <w:autoSpaceDN w:val="0"/>
        <w:adjustRightInd w:val="0"/>
        <w:jc w:val="both"/>
        <w:rPr>
          <w:rFonts w:ascii="Abadi" w:eastAsia="Calibri" w:hAnsi="Abadi" w:cs="*Verdana-Italic-9239-Identity-H"/>
          <w:i/>
          <w:iCs/>
          <w:color w:val="171718"/>
          <w:sz w:val="21"/>
          <w:szCs w:val="21"/>
          <w:lang w:val="es-MX" w:eastAsia="en-US"/>
        </w:rPr>
      </w:pPr>
    </w:p>
    <w:p w14:paraId="6F6BCDEB" w14:textId="77777777" w:rsidR="005E32B9" w:rsidRPr="005E32B9" w:rsidRDefault="005E32B9" w:rsidP="005E32B9">
      <w:pPr>
        <w:autoSpaceDE w:val="0"/>
        <w:autoSpaceDN w:val="0"/>
        <w:adjustRightInd w:val="0"/>
        <w:ind w:left="360"/>
        <w:jc w:val="both"/>
        <w:rPr>
          <w:rFonts w:ascii="Abadi" w:eastAsia="Calibri" w:hAnsi="Abadi" w:cs="*Verdana-Italic-9239-Identity-H"/>
          <w:i/>
          <w:iCs/>
          <w:color w:val="171718"/>
          <w:sz w:val="21"/>
          <w:szCs w:val="21"/>
          <w:lang w:val="es-MX" w:eastAsia="en-US"/>
        </w:rPr>
      </w:pPr>
      <w:r w:rsidRPr="005E32B9">
        <w:rPr>
          <w:rFonts w:ascii="Abadi" w:eastAsia="Calibri" w:hAnsi="Abadi" w:cs="*Verdana-Italic-9239-Identity-H"/>
          <w:i/>
          <w:iCs/>
          <w:color w:val="171718"/>
          <w:sz w:val="21"/>
          <w:szCs w:val="21"/>
          <w:lang w:val="es-MX" w:eastAsia="en-US"/>
        </w:rPr>
        <w:t xml:space="preserve">"XXI. Zona Miguel Hidalgo: Con sede en el municipio de Irapuato, Guanajuato. Con circunscripción territorial en los siguientes municipios del estado de Guanajuato: </w:t>
      </w:r>
      <w:r w:rsidRPr="005E32B9">
        <w:rPr>
          <w:rFonts w:ascii="Abadi" w:eastAsia="Calibri" w:hAnsi="Abadi" w:cs="*Verdana-Italic-9239-Identity-H"/>
          <w:i/>
          <w:iCs/>
          <w:color w:val="161618"/>
          <w:sz w:val="21"/>
          <w:szCs w:val="21"/>
          <w:lang w:val="es-MX" w:eastAsia="en-US"/>
        </w:rPr>
        <w:t>Abasolo, Acámbaro, Apaseo el Alto, Apaseo el Grande, Celaya, Comonfort, Coroneo,</w:t>
      </w:r>
      <w:r w:rsidRPr="005E32B9">
        <w:rPr>
          <w:rFonts w:ascii="Abadi" w:eastAsia="Calibri" w:hAnsi="Abadi" w:cs="*Verdana-Italic-9239-Identity-H"/>
          <w:i/>
          <w:iCs/>
          <w:color w:val="171718"/>
          <w:sz w:val="21"/>
          <w:szCs w:val="21"/>
          <w:lang w:val="es-MX" w:eastAsia="en-US"/>
        </w:rPr>
        <w:t xml:space="preserve"> </w:t>
      </w:r>
      <w:r w:rsidRPr="005E32B9">
        <w:rPr>
          <w:rFonts w:ascii="Abadi" w:eastAsia="Calibri" w:hAnsi="Abadi" w:cs="*Verdana-Italic-9239-Identity-H"/>
          <w:i/>
          <w:iCs/>
          <w:color w:val="161618"/>
          <w:sz w:val="21"/>
          <w:szCs w:val="21"/>
          <w:lang w:val="es-MX" w:eastAsia="en-US"/>
        </w:rPr>
        <w:t>Cortazar, Cuerámaro, Guanajuato, Huanímaro, Irapuato, Jaral del Progreso,</w:t>
      </w:r>
      <w:r w:rsidRPr="005E32B9">
        <w:rPr>
          <w:rFonts w:ascii="Abadi" w:eastAsia="Calibri" w:hAnsi="Abadi" w:cs="*Verdana-Italic-9239-Identity-H"/>
          <w:i/>
          <w:iCs/>
          <w:color w:val="171718"/>
          <w:sz w:val="21"/>
          <w:szCs w:val="21"/>
          <w:lang w:val="es-MX" w:eastAsia="en-US"/>
        </w:rPr>
        <w:t xml:space="preserve"> </w:t>
      </w:r>
      <w:r w:rsidRPr="005E32B9">
        <w:rPr>
          <w:rFonts w:ascii="Abadi" w:eastAsia="Calibri" w:hAnsi="Abadi" w:cs="*Verdana-Italic-9239-Identity-H"/>
          <w:i/>
          <w:iCs/>
          <w:color w:val="161618"/>
          <w:sz w:val="21"/>
          <w:szCs w:val="21"/>
          <w:lang w:val="es-MX" w:eastAsia="en-US"/>
        </w:rPr>
        <w:t>Jerécuaro, Moro/eón, Pénjamo, Pueblo Nuevo, Salamanca, Salvatierra, Santa Cruz</w:t>
      </w:r>
      <w:r w:rsidRPr="005E32B9">
        <w:rPr>
          <w:rFonts w:ascii="Abadi" w:eastAsia="Calibri" w:hAnsi="Abadi" w:cs="*Verdana-Italic-9239-Identity-H"/>
          <w:i/>
          <w:iCs/>
          <w:color w:val="171718"/>
          <w:sz w:val="21"/>
          <w:szCs w:val="21"/>
          <w:lang w:val="es-MX" w:eastAsia="en-US"/>
        </w:rPr>
        <w:t xml:space="preserve"> </w:t>
      </w:r>
      <w:r w:rsidRPr="005E32B9">
        <w:rPr>
          <w:rFonts w:ascii="Abadi" w:eastAsia="Calibri" w:hAnsi="Abadi" w:cs="*Verdana-Italic-9239-Identity-H"/>
          <w:i/>
          <w:iCs/>
          <w:color w:val="161618"/>
          <w:sz w:val="21"/>
          <w:szCs w:val="21"/>
          <w:lang w:val="es-MX" w:eastAsia="en-US"/>
        </w:rPr>
        <w:t>de Juventino Rosas, Santiago Maravatío, San Miguel de Allende, Tarandacuao,</w:t>
      </w:r>
      <w:r w:rsidRPr="005E32B9">
        <w:rPr>
          <w:rFonts w:ascii="Abadi" w:eastAsia="Calibri" w:hAnsi="Abadi" w:cs="*Verdana-Italic-9239-Identity-H"/>
          <w:i/>
          <w:iCs/>
          <w:color w:val="171718"/>
          <w:sz w:val="21"/>
          <w:szCs w:val="21"/>
          <w:lang w:val="es-MX" w:eastAsia="en-US"/>
        </w:rPr>
        <w:t xml:space="preserve"> </w:t>
      </w:r>
      <w:r w:rsidRPr="005E32B9">
        <w:rPr>
          <w:rFonts w:ascii="Abadi" w:eastAsia="Calibri" w:hAnsi="Abadi" w:cs="*Verdana-Italic-9239-Identity-H"/>
          <w:i/>
          <w:iCs/>
          <w:color w:val="161618"/>
          <w:sz w:val="21"/>
          <w:szCs w:val="21"/>
          <w:lang w:val="es-MX" w:eastAsia="en-US"/>
        </w:rPr>
        <w:t>Tarimoro, Uriangato, Valle de Santiago, Villagrán, Yuriria."</w:t>
      </w:r>
    </w:p>
    <w:p w14:paraId="15C795E7" w14:textId="77777777" w:rsidR="005E32B9" w:rsidRPr="005E32B9" w:rsidRDefault="005E32B9" w:rsidP="005E32B9">
      <w:pPr>
        <w:autoSpaceDE w:val="0"/>
        <w:autoSpaceDN w:val="0"/>
        <w:adjustRightInd w:val="0"/>
        <w:jc w:val="both"/>
        <w:rPr>
          <w:rFonts w:ascii="Abadi" w:eastAsia="Calibri" w:hAnsi="Abadi" w:cs="*Verdana-Italic-9239-Identity-H"/>
          <w:i/>
          <w:iCs/>
          <w:color w:val="151517"/>
          <w:sz w:val="21"/>
          <w:szCs w:val="21"/>
          <w:lang w:val="es-MX" w:eastAsia="en-US"/>
        </w:rPr>
      </w:pPr>
    </w:p>
    <w:p w14:paraId="24CE7731" w14:textId="77777777" w:rsidR="005E32B9" w:rsidRPr="005E32B9" w:rsidRDefault="005E32B9" w:rsidP="005E32B9">
      <w:pPr>
        <w:autoSpaceDE w:val="0"/>
        <w:autoSpaceDN w:val="0"/>
        <w:adjustRightInd w:val="0"/>
        <w:ind w:left="360"/>
        <w:jc w:val="both"/>
        <w:rPr>
          <w:rFonts w:ascii="Abadi" w:eastAsia="Calibri" w:hAnsi="Abadi" w:cs="*Verdana-Italic-9239-Identity-H"/>
          <w:i/>
          <w:iCs/>
          <w:color w:val="151517"/>
          <w:sz w:val="21"/>
          <w:szCs w:val="21"/>
          <w:lang w:val="es-MX" w:eastAsia="en-US"/>
        </w:rPr>
      </w:pPr>
      <w:r w:rsidRPr="005E32B9">
        <w:rPr>
          <w:rFonts w:ascii="Abadi" w:eastAsia="Calibri" w:hAnsi="Abadi" w:cs="*Verdana-Italic-9239-Identity-H"/>
          <w:i/>
          <w:iCs/>
          <w:color w:val="151517"/>
          <w:sz w:val="21"/>
          <w:szCs w:val="21"/>
          <w:lang w:val="es-MX" w:eastAsia="en-US"/>
        </w:rPr>
        <w:t xml:space="preserve">Con la total disposición de atender a lo solicitado en el documento de referencia, toda vez que consideramos pertinente llevar a cabo exhortos a los Centros de Acopio de los Municipios que su servidora atiende como Titular de la Zona del Bajío, para informarles sobre la importancia de la calibración de instrumentos de medición y el trámite a seguir ante esta Procuraduría para que cuenten con el holograma vigente de dicho servicio; mucho agradeceríamos tuvieran a bien indicarnos si por su conducto se puede proporcionar a esta ODECO un PADRÓN ACTUALIZADO DE CENTROS DE ACOPIO EN </w:t>
      </w:r>
      <w:r w:rsidRPr="005E32B9">
        <w:rPr>
          <w:rFonts w:ascii="Abadi" w:eastAsia="Calibri" w:hAnsi="Abadi" w:cs="*Verdana-Italic-9239-Identity-H"/>
          <w:i/>
          <w:iCs/>
          <w:color w:val="151517"/>
          <w:sz w:val="21"/>
          <w:szCs w:val="21"/>
          <w:lang w:val="es-MX" w:eastAsia="en-US"/>
        </w:rPr>
        <w:lastRenderedPageBreak/>
        <w:t>EL ESTADO, para girar los oficios que correspondan.</w:t>
      </w:r>
    </w:p>
    <w:p w14:paraId="1FBF5617" w14:textId="77777777" w:rsidR="005E32B9" w:rsidRPr="005E32B9" w:rsidRDefault="005E32B9" w:rsidP="005E32B9">
      <w:pPr>
        <w:autoSpaceDE w:val="0"/>
        <w:autoSpaceDN w:val="0"/>
        <w:adjustRightInd w:val="0"/>
        <w:jc w:val="both"/>
        <w:rPr>
          <w:rFonts w:ascii="Abadi" w:eastAsia="Calibri" w:hAnsi="Abadi" w:cs="*Verdana-Italic-9239-Identity-H"/>
          <w:i/>
          <w:iCs/>
          <w:color w:val="151517"/>
          <w:sz w:val="21"/>
          <w:szCs w:val="21"/>
          <w:lang w:val="es-MX" w:eastAsia="en-US"/>
        </w:rPr>
      </w:pPr>
    </w:p>
    <w:p w14:paraId="0A56682E" w14:textId="77777777" w:rsidR="005E32B9" w:rsidRPr="005E32B9" w:rsidRDefault="005E32B9" w:rsidP="005E32B9">
      <w:pPr>
        <w:autoSpaceDE w:val="0"/>
        <w:autoSpaceDN w:val="0"/>
        <w:adjustRightInd w:val="0"/>
        <w:ind w:left="360"/>
        <w:jc w:val="both"/>
        <w:rPr>
          <w:rFonts w:ascii="Abadi" w:eastAsia="Calibri" w:hAnsi="Abadi" w:cs="*Verdana-Italic-9239-Identity-H"/>
          <w:i/>
          <w:iCs/>
          <w:color w:val="151517"/>
          <w:sz w:val="21"/>
          <w:szCs w:val="21"/>
          <w:lang w:val="es-MX" w:eastAsia="en-US"/>
        </w:rPr>
      </w:pPr>
      <w:r w:rsidRPr="005E32B9">
        <w:rPr>
          <w:rFonts w:ascii="Abadi" w:eastAsia="Calibri" w:hAnsi="Abadi" w:cs="*Verdana-Italic-9239-Identity-H"/>
          <w:i/>
          <w:iCs/>
          <w:color w:val="151517"/>
          <w:sz w:val="21"/>
          <w:szCs w:val="21"/>
          <w:lang w:val="es-MX" w:eastAsia="en-US"/>
        </w:rPr>
        <w:t>De igual manera, tenemos la total disposición de compartir su atento oficio a la ODECO Miguel Hidalgo, ubicada en el Municipio de Irapuato, cuyo Director es el Líe.</w:t>
      </w:r>
    </w:p>
    <w:p w14:paraId="2FE76C8D" w14:textId="77777777" w:rsidR="005E32B9" w:rsidRPr="005E32B9" w:rsidRDefault="005E32B9" w:rsidP="005E32B9">
      <w:pPr>
        <w:autoSpaceDE w:val="0"/>
        <w:autoSpaceDN w:val="0"/>
        <w:adjustRightInd w:val="0"/>
        <w:jc w:val="both"/>
        <w:rPr>
          <w:rFonts w:ascii="Abadi" w:eastAsia="Calibri" w:hAnsi="Abadi" w:cs="*Verdana-Italic-9698-Identity-H"/>
          <w:i/>
          <w:iCs/>
          <w:color w:val="181719"/>
          <w:sz w:val="21"/>
          <w:szCs w:val="21"/>
          <w:lang w:val="es-MX" w:eastAsia="en-US"/>
        </w:rPr>
      </w:pPr>
    </w:p>
    <w:p w14:paraId="5C3C2DC5" w14:textId="77777777" w:rsidR="005E32B9" w:rsidRPr="005E32B9" w:rsidRDefault="005E32B9" w:rsidP="005E32B9">
      <w:pPr>
        <w:autoSpaceDE w:val="0"/>
        <w:autoSpaceDN w:val="0"/>
        <w:adjustRightInd w:val="0"/>
        <w:ind w:left="360"/>
        <w:jc w:val="both"/>
        <w:rPr>
          <w:rFonts w:ascii="Abadi" w:eastAsia="Calibri" w:hAnsi="Abadi" w:cs="*Verdana-Italic-9698-Identity-H"/>
          <w:i/>
          <w:iCs/>
          <w:color w:val="181719"/>
          <w:sz w:val="21"/>
          <w:szCs w:val="21"/>
          <w:lang w:val="es-MX" w:eastAsia="en-US"/>
        </w:rPr>
      </w:pPr>
      <w:r w:rsidRPr="005E32B9">
        <w:rPr>
          <w:rFonts w:ascii="Abadi" w:eastAsia="Calibri" w:hAnsi="Abadi" w:cs="*Verdana-Italic-9698-Identity-H"/>
          <w:i/>
          <w:iCs/>
          <w:color w:val="181719"/>
          <w:sz w:val="21"/>
          <w:szCs w:val="21"/>
          <w:lang w:val="es-MX" w:eastAsia="en-US"/>
        </w:rPr>
        <w:t>Daniel Nieto Martínez, para que a su vez se Entrar las instrucciones correspondientes y se dé el seguimiento en los Municipios de su Jurisdicción.</w:t>
      </w:r>
    </w:p>
    <w:p w14:paraId="0BB4C286" w14:textId="77777777" w:rsidR="005E32B9" w:rsidRPr="005E32B9" w:rsidRDefault="005E32B9" w:rsidP="005E32B9">
      <w:pPr>
        <w:autoSpaceDE w:val="0"/>
        <w:autoSpaceDN w:val="0"/>
        <w:adjustRightInd w:val="0"/>
        <w:jc w:val="both"/>
        <w:rPr>
          <w:rFonts w:ascii="Abadi" w:eastAsia="Calibri" w:hAnsi="Abadi" w:cs="*Verdana-Italic-9698-Identity-H"/>
          <w:i/>
          <w:iCs/>
          <w:color w:val="181719"/>
          <w:sz w:val="21"/>
          <w:szCs w:val="21"/>
          <w:lang w:val="es-MX" w:eastAsia="en-US"/>
        </w:rPr>
      </w:pPr>
    </w:p>
    <w:p w14:paraId="30974DFF" w14:textId="77777777" w:rsidR="005E32B9" w:rsidRPr="005E32B9" w:rsidRDefault="005E32B9" w:rsidP="005E32B9">
      <w:pPr>
        <w:autoSpaceDE w:val="0"/>
        <w:autoSpaceDN w:val="0"/>
        <w:adjustRightInd w:val="0"/>
        <w:ind w:left="360"/>
        <w:jc w:val="both"/>
        <w:rPr>
          <w:rFonts w:ascii="Abadi" w:eastAsia="Calibri" w:hAnsi="Abadi" w:cs="*Verdana-Italic-9698-Identity-H"/>
          <w:i/>
          <w:iCs/>
          <w:color w:val="171618"/>
          <w:sz w:val="21"/>
          <w:szCs w:val="21"/>
          <w:lang w:val="es-MX" w:eastAsia="en-US"/>
        </w:rPr>
      </w:pPr>
      <w:r w:rsidRPr="005E32B9">
        <w:rPr>
          <w:rFonts w:ascii="Abadi" w:eastAsia="Calibri" w:hAnsi="Abadi" w:cs="*Verdana-Italic-9698-Identity-H"/>
          <w:i/>
          <w:iCs/>
          <w:color w:val="171618"/>
          <w:sz w:val="21"/>
          <w:szCs w:val="21"/>
          <w:lang w:val="es-MX" w:eastAsia="en-US"/>
        </w:rPr>
        <w:t>No omito hacer mención que los instrumentos de medición a que hace referencia su escrito que sirven de base en transacciones comerciales del sector agroalimentario en el Estado, específicamente ubicados en los centros de acopio son básculas que se denominan de ALTO ALCANCE, cuya capacidad va de los 5,001 a los más de 20,000 kilos. En este sentido esta Oficina de Defensa del Consumidor apoyaría a los Centros de Acopio a informarles el trámite de solicitud, pero una vez que ellos realizan el pago, el servicio se atendería a través de un camión tara cuya programación de atención a nivel nacional le compete a la Dirección General de Verificación y Defensa de la Confianza de esta Procuraduría Federal del Consumidor en la CDMX. (. ..)</w:t>
      </w:r>
    </w:p>
    <w:p w14:paraId="3797F5C5" w14:textId="77777777" w:rsidR="005E32B9" w:rsidRPr="005E32B9" w:rsidRDefault="005E32B9" w:rsidP="005E32B9">
      <w:pPr>
        <w:autoSpaceDE w:val="0"/>
        <w:autoSpaceDN w:val="0"/>
        <w:adjustRightInd w:val="0"/>
        <w:jc w:val="both"/>
        <w:rPr>
          <w:rFonts w:ascii="Abadi" w:eastAsia="Calibri" w:hAnsi="Abadi" w:cs="*Verdana-9697-Identity-H"/>
          <w:color w:val="0E0D10"/>
          <w:sz w:val="21"/>
          <w:szCs w:val="21"/>
          <w:lang w:val="es-MX" w:eastAsia="en-US"/>
        </w:rPr>
      </w:pPr>
    </w:p>
    <w:p w14:paraId="5BBC6101" w14:textId="7D5937AB" w:rsidR="005E32B9" w:rsidRPr="005E32B9" w:rsidRDefault="005E32B9" w:rsidP="005E32B9">
      <w:pPr>
        <w:autoSpaceDE w:val="0"/>
        <w:autoSpaceDN w:val="0"/>
        <w:adjustRightInd w:val="0"/>
        <w:ind w:firstLine="360"/>
        <w:jc w:val="both"/>
        <w:rPr>
          <w:rFonts w:ascii="Abadi" w:eastAsia="Calibri" w:hAnsi="Abadi" w:cs="*Verdana-9697-Identity-H"/>
          <w:color w:val="0E0D10"/>
          <w:sz w:val="21"/>
          <w:szCs w:val="21"/>
          <w:lang w:val="es-MX" w:eastAsia="en-US"/>
        </w:rPr>
      </w:pPr>
      <w:r w:rsidRPr="005E32B9">
        <w:rPr>
          <w:rFonts w:ascii="Abadi" w:eastAsia="Calibri" w:hAnsi="Abadi" w:cs="*Verdana-9697-Identity-H"/>
          <w:color w:val="0E0D10"/>
          <w:sz w:val="21"/>
          <w:szCs w:val="21"/>
          <w:lang w:val="es-MX" w:eastAsia="en-US"/>
        </w:rPr>
        <w:t xml:space="preserve">Posteriormente, el 21 de abril del se realizamos una mesa de trabajo en la cual participaron la diputada y diputados integrantes de la comisión, personal asesor de los grupos parlamentarios representados en la comisión </w:t>
      </w:r>
      <w:r w:rsidRPr="005E32B9">
        <w:rPr>
          <w:rFonts w:ascii="Abadi" w:eastAsia="Calibri" w:hAnsi="Abadi" w:cs="*Tahoma-9699-Identity-H"/>
          <w:color w:val="0E0D10"/>
          <w:sz w:val="21"/>
          <w:szCs w:val="21"/>
          <w:lang w:val="es-MX" w:eastAsia="en-US"/>
        </w:rPr>
        <w:t xml:space="preserve">y </w:t>
      </w:r>
      <w:r w:rsidRPr="005E32B9">
        <w:rPr>
          <w:rFonts w:ascii="Abadi" w:eastAsia="Calibri" w:hAnsi="Abadi" w:cs="*Verdana-9697-Identity-H"/>
          <w:color w:val="0E0D10"/>
          <w:sz w:val="21"/>
          <w:szCs w:val="21"/>
          <w:lang w:val="es-MX" w:eastAsia="en-US"/>
        </w:rPr>
        <w:t>el secretario técnico</w:t>
      </w:r>
      <w:r w:rsidR="00CF69F8">
        <w:rPr>
          <w:rStyle w:val="Refdenotaalpie"/>
          <w:rFonts w:ascii="Abadi" w:eastAsia="Calibri" w:hAnsi="Abadi" w:cs="*Verdana-9697-Identity-H"/>
          <w:color w:val="0E0D10"/>
          <w:sz w:val="21"/>
          <w:szCs w:val="21"/>
          <w:lang w:val="es-MX" w:eastAsia="en-US"/>
        </w:rPr>
        <w:footnoteReference w:id="46"/>
      </w:r>
      <w:r w:rsidRPr="005E32B9">
        <w:rPr>
          <w:rFonts w:ascii="Abadi" w:eastAsia="Calibri" w:hAnsi="Abadi" w:cs="*Tahoma-9701-Identity-H"/>
          <w:color w:val="0E0D10"/>
          <w:sz w:val="21"/>
          <w:szCs w:val="21"/>
          <w:lang w:val="es-MX" w:eastAsia="en-US"/>
        </w:rPr>
        <w:t xml:space="preserve">, </w:t>
      </w:r>
      <w:r w:rsidRPr="005E32B9">
        <w:rPr>
          <w:rFonts w:ascii="Abadi" w:eastAsia="Calibri" w:hAnsi="Abadi" w:cs="*Verdana-9697-Identity-H"/>
          <w:color w:val="0E0D10"/>
          <w:sz w:val="21"/>
          <w:szCs w:val="21"/>
          <w:lang w:val="es-MX" w:eastAsia="en-US"/>
        </w:rPr>
        <w:t xml:space="preserve">los proponentes expusieron las causas </w:t>
      </w:r>
      <w:r w:rsidRPr="005E32B9">
        <w:rPr>
          <w:rFonts w:ascii="Abadi" w:eastAsia="Calibri" w:hAnsi="Abadi" w:cs="*Tahoma-9699-Identity-H"/>
          <w:color w:val="0E0D10"/>
          <w:sz w:val="21"/>
          <w:szCs w:val="21"/>
          <w:lang w:val="es-MX" w:eastAsia="en-US"/>
        </w:rPr>
        <w:t xml:space="preserve">y </w:t>
      </w:r>
      <w:r w:rsidRPr="005E32B9">
        <w:rPr>
          <w:rFonts w:ascii="Abadi" w:eastAsia="Calibri" w:hAnsi="Abadi" w:cs="*Verdana-9697-Identity-H"/>
          <w:color w:val="0E0D10"/>
          <w:sz w:val="21"/>
          <w:szCs w:val="21"/>
          <w:lang w:val="es-MX" w:eastAsia="en-US"/>
        </w:rPr>
        <w:t xml:space="preserve">motivos que fundamentan su propuesta al señalar que </w:t>
      </w:r>
      <w:r w:rsidRPr="005E32B9">
        <w:rPr>
          <w:rFonts w:ascii="Abadi" w:eastAsia="Calibri" w:hAnsi="Abadi" w:cs="*Verdana-Italic-9696-Identity-H"/>
          <w:i/>
          <w:iCs/>
          <w:color w:val="0E0D10"/>
          <w:sz w:val="21"/>
          <w:szCs w:val="21"/>
          <w:lang w:val="es-MX" w:eastAsia="en-US"/>
        </w:rPr>
        <w:t>la Profeco en el ámbito de sus</w:t>
      </w:r>
      <w:r w:rsidRPr="005E32B9">
        <w:rPr>
          <w:rFonts w:ascii="Abadi" w:eastAsia="Calibri" w:hAnsi="Abadi" w:cs="*Verdana-9697-Identity-H"/>
          <w:color w:val="0E0D10"/>
          <w:sz w:val="21"/>
          <w:szCs w:val="21"/>
          <w:lang w:val="es-MX" w:eastAsia="en-US"/>
        </w:rPr>
        <w:t xml:space="preserve"> </w:t>
      </w:r>
      <w:r w:rsidRPr="005E32B9">
        <w:rPr>
          <w:rFonts w:ascii="Abadi" w:eastAsia="Calibri" w:hAnsi="Abadi" w:cs="*Verdana-Italic-9696-Identity-H"/>
          <w:i/>
          <w:iCs/>
          <w:color w:val="0E0D10"/>
          <w:sz w:val="21"/>
          <w:szCs w:val="21"/>
          <w:lang w:val="es-MX" w:eastAsia="en-US"/>
        </w:rPr>
        <w:t>atribuciones, verifica los instrumentos de medición, reiteraron la necesidad</w:t>
      </w:r>
      <w:r w:rsidRPr="005E32B9">
        <w:rPr>
          <w:rFonts w:ascii="Abadi" w:eastAsia="Calibri" w:hAnsi="Abadi" w:cs="*Verdana-9697-Identity-H"/>
          <w:color w:val="0E0D10"/>
          <w:sz w:val="21"/>
          <w:szCs w:val="21"/>
          <w:lang w:val="es-MX" w:eastAsia="en-US"/>
        </w:rPr>
        <w:t xml:space="preserve"> </w:t>
      </w:r>
      <w:r w:rsidRPr="005E32B9">
        <w:rPr>
          <w:rFonts w:ascii="Abadi" w:eastAsia="Calibri" w:hAnsi="Abadi" w:cs="*Verdana-Italic-9696-Identity-H"/>
          <w:i/>
          <w:iCs/>
          <w:color w:val="0E0D10"/>
          <w:sz w:val="21"/>
          <w:szCs w:val="21"/>
          <w:lang w:val="es-MX" w:eastAsia="en-US"/>
        </w:rPr>
        <w:t>de brindar a los a los productores agropecuarios el apoyo para que realicen</w:t>
      </w:r>
      <w:r w:rsidRPr="005E32B9">
        <w:rPr>
          <w:rFonts w:ascii="Abadi" w:eastAsia="Calibri" w:hAnsi="Abadi" w:cs="*Verdana-9697-Identity-H"/>
          <w:color w:val="0E0D10"/>
          <w:sz w:val="21"/>
          <w:szCs w:val="21"/>
          <w:lang w:val="es-MX" w:eastAsia="en-US"/>
        </w:rPr>
        <w:t xml:space="preserve"> </w:t>
      </w:r>
      <w:r w:rsidRPr="005E32B9">
        <w:rPr>
          <w:rFonts w:ascii="Abadi" w:eastAsia="Calibri" w:hAnsi="Abadi" w:cs="*Verdana-Italic-9696-Identity-H"/>
          <w:i/>
          <w:iCs/>
          <w:color w:val="0E0D10"/>
          <w:sz w:val="21"/>
          <w:szCs w:val="21"/>
          <w:lang w:val="es-MX" w:eastAsia="en-US"/>
        </w:rPr>
        <w:t>actividades comerciales, y se ajusten en calidad, características y sobre todo</w:t>
      </w:r>
      <w:r w:rsidRPr="005E32B9">
        <w:rPr>
          <w:rFonts w:ascii="Abadi" w:eastAsia="Calibri" w:hAnsi="Abadi" w:cs="*Verdana-9697-Identity-H"/>
          <w:color w:val="0E0D10"/>
          <w:sz w:val="21"/>
          <w:szCs w:val="21"/>
          <w:lang w:val="es-MX" w:eastAsia="en-US"/>
        </w:rPr>
        <w:t xml:space="preserve"> </w:t>
      </w:r>
      <w:r w:rsidRPr="005E32B9">
        <w:rPr>
          <w:rFonts w:ascii="Abadi" w:eastAsia="Calibri" w:hAnsi="Abadi" w:cs="*Verdana-Italic-9696-Identity-H"/>
          <w:i/>
          <w:iCs/>
          <w:color w:val="0E0D10"/>
          <w:sz w:val="21"/>
          <w:szCs w:val="21"/>
          <w:lang w:val="es-MX" w:eastAsia="en-US"/>
        </w:rPr>
        <w:t>en precio también. La única manera de hacerlo es revisar los instrumentos</w:t>
      </w:r>
      <w:r w:rsidRPr="005E32B9">
        <w:rPr>
          <w:rFonts w:ascii="Abadi" w:eastAsia="Calibri" w:hAnsi="Abadi" w:cs="*Verdana-9697-Identity-H"/>
          <w:color w:val="0E0D10"/>
          <w:sz w:val="21"/>
          <w:szCs w:val="21"/>
          <w:lang w:val="es-MX" w:eastAsia="en-US"/>
        </w:rPr>
        <w:t xml:space="preserve"> </w:t>
      </w:r>
      <w:r w:rsidRPr="005E32B9">
        <w:rPr>
          <w:rFonts w:ascii="Abadi" w:eastAsia="Calibri" w:hAnsi="Abadi" w:cs="*Verdana-Italic-9696-Identity-H"/>
          <w:i/>
          <w:iCs/>
          <w:color w:val="0E0D10"/>
          <w:sz w:val="21"/>
          <w:szCs w:val="21"/>
          <w:lang w:val="es-MX" w:eastAsia="en-US"/>
        </w:rPr>
        <w:t>de medición aludidos en la propuesta, es indudable que existe justificación</w:t>
      </w:r>
      <w:r w:rsidRPr="005E32B9">
        <w:rPr>
          <w:rFonts w:ascii="Abadi" w:eastAsia="Calibri" w:hAnsi="Abadi" w:cs="*Verdana-9697-Identity-H"/>
          <w:color w:val="0E0D10"/>
          <w:sz w:val="21"/>
          <w:szCs w:val="21"/>
          <w:lang w:val="es-MX" w:eastAsia="en-US"/>
        </w:rPr>
        <w:t xml:space="preserve"> </w:t>
      </w:r>
      <w:r w:rsidRPr="005E32B9">
        <w:rPr>
          <w:rFonts w:ascii="Abadi" w:eastAsia="Calibri" w:hAnsi="Abadi" w:cs="*Verdana-Italic-9696-Identity-H"/>
          <w:i/>
          <w:iCs/>
          <w:color w:val="0E0D10"/>
          <w:sz w:val="21"/>
          <w:szCs w:val="21"/>
          <w:lang w:val="es-MX" w:eastAsia="en-US"/>
        </w:rPr>
        <w:t>para estar de acuerdo y con ello, exhortar a que se haga una revisión de esa</w:t>
      </w:r>
      <w:r w:rsidRPr="005E32B9">
        <w:rPr>
          <w:rFonts w:ascii="Abadi" w:eastAsia="Calibri" w:hAnsi="Abadi" w:cs="*Verdana-9697-Identity-H"/>
          <w:color w:val="0E0D10"/>
          <w:sz w:val="21"/>
          <w:szCs w:val="21"/>
          <w:lang w:val="es-MX" w:eastAsia="en-US"/>
        </w:rPr>
        <w:t xml:space="preserve"> </w:t>
      </w:r>
      <w:r w:rsidRPr="005E32B9">
        <w:rPr>
          <w:rFonts w:ascii="Abadi" w:eastAsia="Calibri" w:hAnsi="Abadi" w:cs="*Verdana-Italic-9696-Identity-H"/>
          <w:i/>
          <w:iCs/>
          <w:color w:val="0E0D10"/>
          <w:sz w:val="21"/>
          <w:szCs w:val="21"/>
          <w:lang w:val="es-MX" w:eastAsia="en-US"/>
        </w:rPr>
        <w:t>naturaleza. En el ámbito de sus atribuciones, la Profeco verifica los</w:t>
      </w:r>
      <w:r w:rsidRPr="005E32B9">
        <w:rPr>
          <w:rFonts w:ascii="Abadi" w:eastAsia="Calibri" w:hAnsi="Abadi" w:cs="*Verdana-9697-Identity-H"/>
          <w:color w:val="0E0D10"/>
          <w:sz w:val="21"/>
          <w:szCs w:val="21"/>
          <w:lang w:val="es-MX" w:eastAsia="en-US"/>
        </w:rPr>
        <w:t xml:space="preserve"> </w:t>
      </w:r>
      <w:r w:rsidRPr="005E32B9">
        <w:rPr>
          <w:rFonts w:ascii="Abadi" w:eastAsia="Calibri" w:hAnsi="Abadi" w:cs="*Verdana-Italic-9696-Identity-H"/>
          <w:i/>
          <w:iCs/>
          <w:color w:val="0E0D10"/>
          <w:sz w:val="21"/>
          <w:szCs w:val="21"/>
          <w:lang w:val="es-MX" w:eastAsia="en-US"/>
        </w:rPr>
        <w:t>instrumentos de medición que sirven de base para las transacciones</w:t>
      </w:r>
      <w:r w:rsidRPr="005E32B9">
        <w:rPr>
          <w:rFonts w:ascii="Abadi" w:eastAsia="Calibri" w:hAnsi="Abadi" w:cs="*Verdana-9697-Identity-H"/>
          <w:color w:val="0E0D10"/>
          <w:sz w:val="21"/>
          <w:szCs w:val="21"/>
          <w:lang w:val="es-MX" w:eastAsia="en-US"/>
        </w:rPr>
        <w:t xml:space="preserve"> </w:t>
      </w:r>
      <w:r w:rsidRPr="005E32B9">
        <w:rPr>
          <w:rFonts w:ascii="Abadi" w:eastAsia="Calibri" w:hAnsi="Abadi" w:cs="*Verdana-Italic-9696-Identity-H"/>
          <w:i/>
          <w:iCs/>
          <w:color w:val="0E0D10"/>
          <w:sz w:val="21"/>
          <w:szCs w:val="21"/>
          <w:lang w:val="es-MX" w:eastAsia="en-US"/>
        </w:rPr>
        <w:t>comerciales toda vez que por su naturaleza o por su utilización tienden a</w:t>
      </w:r>
      <w:r w:rsidRPr="005E32B9">
        <w:rPr>
          <w:rFonts w:ascii="Abadi" w:eastAsia="Calibri" w:hAnsi="Abadi" w:cs="*Verdana-9697-Identity-H"/>
          <w:color w:val="0E0D10"/>
          <w:sz w:val="21"/>
          <w:szCs w:val="21"/>
          <w:lang w:val="es-MX" w:eastAsia="en-US"/>
        </w:rPr>
        <w:t xml:space="preserve"> </w:t>
      </w:r>
      <w:r w:rsidRPr="005E32B9">
        <w:rPr>
          <w:rFonts w:ascii="Abadi" w:eastAsia="Calibri" w:hAnsi="Abadi" w:cs="*Verdana-Italic-9696-Identity-H"/>
          <w:i/>
          <w:iCs/>
          <w:color w:val="0E0D10"/>
          <w:sz w:val="21"/>
          <w:szCs w:val="21"/>
          <w:lang w:val="es-MX" w:eastAsia="en-US"/>
        </w:rPr>
        <w:t>variar sus características metrológicas y afectan con ello el patrimonio de los</w:t>
      </w:r>
      <w:r w:rsidRPr="005E32B9">
        <w:rPr>
          <w:rFonts w:ascii="Abadi" w:eastAsia="Calibri" w:hAnsi="Abadi" w:cs="*Verdana-9697-Identity-H"/>
          <w:color w:val="0E0D10"/>
          <w:sz w:val="21"/>
          <w:szCs w:val="21"/>
          <w:lang w:val="es-MX" w:eastAsia="en-US"/>
        </w:rPr>
        <w:t xml:space="preserve"> </w:t>
      </w:r>
      <w:r w:rsidRPr="005E32B9">
        <w:rPr>
          <w:rFonts w:ascii="Abadi" w:eastAsia="Calibri" w:hAnsi="Abadi" w:cs="*Verdana-Italic-9696-Identity-H"/>
          <w:i/>
          <w:iCs/>
          <w:color w:val="0E0D10"/>
          <w:sz w:val="21"/>
          <w:szCs w:val="21"/>
          <w:lang w:val="es-MX" w:eastAsia="en-US"/>
        </w:rPr>
        <w:t>consumidores y usuarios al pagar estos injustificadamente el precio de</w:t>
      </w:r>
      <w:r w:rsidRPr="005E32B9">
        <w:rPr>
          <w:rFonts w:ascii="Abadi" w:eastAsia="Calibri" w:hAnsi="Abadi" w:cs="*Verdana-9697-Identity-H"/>
          <w:color w:val="0E0D10"/>
          <w:sz w:val="21"/>
          <w:szCs w:val="21"/>
          <w:lang w:val="es-MX" w:eastAsia="en-US"/>
        </w:rPr>
        <w:t xml:space="preserve"> </w:t>
      </w:r>
      <w:r w:rsidRPr="005E32B9">
        <w:rPr>
          <w:rFonts w:ascii="Abadi" w:eastAsia="Calibri" w:hAnsi="Abadi" w:cs="*Verdana-Italic-9696-Identity-H"/>
          <w:i/>
          <w:iCs/>
          <w:color w:val="0E0D10"/>
          <w:sz w:val="21"/>
          <w:szCs w:val="21"/>
          <w:lang w:val="es-MX" w:eastAsia="en-US"/>
        </w:rPr>
        <w:t xml:space="preserve">bienes </w:t>
      </w:r>
      <w:r w:rsidRPr="005E32B9">
        <w:rPr>
          <w:rFonts w:ascii="Abadi" w:eastAsia="Calibri" w:hAnsi="Abadi" w:cs="*Verdana-9697-Identity-H"/>
          <w:color w:val="0E0D10"/>
          <w:sz w:val="21"/>
          <w:szCs w:val="21"/>
          <w:lang w:val="es-MX" w:eastAsia="en-US"/>
        </w:rPr>
        <w:t xml:space="preserve">o </w:t>
      </w:r>
      <w:r w:rsidRPr="005E32B9">
        <w:rPr>
          <w:rFonts w:ascii="Abadi" w:eastAsia="Calibri" w:hAnsi="Abadi" w:cs="*Verdana-Italic-9696-Identity-H"/>
          <w:i/>
          <w:iCs/>
          <w:color w:val="0E0D10"/>
          <w:sz w:val="21"/>
          <w:szCs w:val="21"/>
          <w:lang w:val="es-MX" w:eastAsia="en-US"/>
        </w:rPr>
        <w:t>servicios que no reciben en su totalidad.</w:t>
      </w:r>
    </w:p>
    <w:p w14:paraId="64E2466B" w14:textId="77777777" w:rsidR="005E32B9" w:rsidRPr="005E32B9" w:rsidRDefault="005E32B9" w:rsidP="005E32B9">
      <w:pPr>
        <w:autoSpaceDE w:val="0"/>
        <w:autoSpaceDN w:val="0"/>
        <w:adjustRightInd w:val="0"/>
        <w:jc w:val="both"/>
        <w:rPr>
          <w:rFonts w:ascii="Abadi" w:eastAsia="Calibri" w:hAnsi="Abadi" w:cs="*Verdana-7127-Identity-H"/>
          <w:color w:val="0E0E10"/>
          <w:sz w:val="21"/>
          <w:szCs w:val="21"/>
          <w:lang w:val="es-MX" w:eastAsia="en-US"/>
        </w:rPr>
      </w:pPr>
    </w:p>
    <w:p w14:paraId="57B455A7" w14:textId="77777777" w:rsidR="005E32B9" w:rsidRPr="005E32B9" w:rsidRDefault="005E32B9" w:rsidP="005E32B9">
      <w:pPr>
        <w:autoSpaceDE w:val="0"/>
        <w:autoSpaceDN w:val="0"/>
        <w:adjustRightInd w:val="0"/>
        <w:ind w:firstLine="360"/>
        <w:jc w:val="both"/>
        <w:rPr>
          <w:rFonts w:ascii="Abadi" w:eastAsia="Calibri" w:hAnsi="Abadi" w:cs="*Verdana-7127-Identity-H"/>
          <w:color w:val="0E0E10"/>
          <w:sz w:val="21"/>
          <w:szCs w:val="21"/>
          <w:lang w:val="es-MX" w:eastAsia="en-US"/>
        </w:rPr>
      </w:pPr>
      <w:r w:rsidRPr="005E32B9">
        <w:rPr>
          <w:rFonts w:ascii="Abadi" w:eastAsia="Calibri" w:hAnsi="Abadi" w:cs="*Verdana-7127-Identity-H"/>
          <w:color w:val="0E0E10"/>
          <w:sz w:val="21"/>
          <w:szCs w:val="21"/>
          <w:lang w:val="es-MX" w:eastAsia="en-US"/>
        </w:rPr>
        <w:t>La Ley Federal de Protección al Consumidor señala que todo proveedor está obligado a informar y a respetar los precios, tarifas, garantías, cantidades, calidades, medidas, intereses, cargos, términos, restricciones, plazos, fechas, modalidades, reservaciones y demás condiciones aplicables en la comercialización de bienes, productos o servicios, sobre todos aquellos que se hubiera ofrecido, obligado o convenido con el consumidor para la entrega del bien o prestación del servicio, y bajo ninguna circunstancia serán negados estos bienes, productos o servicios a persona alguna, así como la información de los mismos.</w:t>
      </w:r>
    </w:p>
    <w:p w14:paraId="3C46DF41" w14:textId="77777777" w:rsidR="005E32B9" w:rsidRPr="005E32B9" w:rsidRDefault="005E32B9" w:rsidP="005E32B9">
      <w:pPr>
        <w:autoSpaceDE w:val="0"/>
        <w:autoSpaceDN w:val="0"/>
        <w:adjustRightInd w:val="0"/>
        <w:jc w:val="both"/>
        <w:rPr>
          <w:rFonts w:ascii="Abadi" w:eastAsia="Calibri" w:hAnsi="Abadi" w:cs="*Verdana-7127-Identity-H"/>
          <w:color w:val="100F12"/>
          <w:sz w:val="21"/>
          <w:szCs w:val="21"/>
          <w:lang w:val="es-MX" w:eastAsia="en-US"/>
        </w:rPr>
      </w:pPr>
    </w:p>
    <w:p w14:paraId="05EF968F" w14:textId="77777777" w:rsidR="005E32B9" w:rsidRPr="005E32B9" w:rsidRDefault="005E32B9" w:rsidP="005E32B9">
      <w:pPr>
        <w:autoSpaceDE w:val="0"/>
        <w:autoSpaceDN w:val="0"/>
        <w:adjustRightInd w:val="0"/>
        <w:ind w:firstLine="360"/>
        <w:jc w:val="both"/>
        <w:rPr>
          <w:rFonts w:ascii="Abadi" w:eastAsia="Calibri" w:hAnsi="Abadi" w:cs="*Verdana-7127-Identity-H"/>
          <w:color w:val="100F12"/>
          <w:sz w:val="21"/>
          <w:szCs w:val="21"/>
          <w:lang w:val="es-MX" w:eastAsia="en-US"/>
        </w:rPr>
      </w:pPr>
      <w:r w:rsidRPr="005E32B9">
        <w:rPr>
          <w:rFonts w:ascii="Abadi" w:eastAsia="Calibri" w:hAnsi="Abadi" w:cs="*Verdana-7127-Identity-H"/>
          <w:color w:val="100F12"/>
          <w:sz w:val="21"/>
          <w:szCs w:val="21"/>
          <w:lang w:val="es-MX" w:eastAsia="en-US"/>
        </w:rPr>
        <w:t>Coincidimos en la necesidad de realizar estas verificaciones en los diversos ciclos agrícolas, con la finalidad de evitar fraudes en contra de las personas del campo; en este sentido, estamos de acuerdo con las consideraciones de los proponentes, y que de manera directa se realice el exhorto a la PROFECO por ser esta la autoridad encargada de promover y proteger los derechos de los consumidores, teniendo la obligación de realizar las acciones necesarias para promover el respeto a los derechos de los consumidores a través de la vigilancia del cumplimiento de las disposiciones</w:t>
      </w:r>
    </w:p>
    <w:p w14:paraId="536FAC89" w14:textId="77777777" w:rsidR="005E32B9" w:rsidRPr="005E32B9" w:rsidRDefault="005E32B9" w:rsidP="005E32B9">
      <w:pPr>
        <w:autoSpaceDE w:val="0"/>
        <w:autoSpaceDN w:val="0"/>
        <w:adjustRightInd w:val="0"/>
        <w:jc w:val="both"/>
        <w:rPr>
          <w:rFonts w:ascii="Abadi" w:eastAsia="Calibri" w:hAnsi="Abadi" w:cs="*Verdana-7127-Identity-H"/>
          <w:color w:val="100F12"/>
          <w:sz w:val="21"/>
          <w:szCs w:val="21"/>
          <w:lang w:val="es-MX" w:eastAsia="en-US"/>
        </w:rPr>
      </w:pPr>
      <w:r w:rsidRPr="005E32B9">
        <w:rPr>
          <w:rFonts w:ascii="Abadi" w:eastAsia="Calibri" w:hAnsi="Abadi" w:cs="*Verdana-7127-Identity-H"/>
          <w:color w:val="100F12"/>
          <w:sz w:val="21"/>
          <w:szCs w:val="21"/>
          <w:lang w:val="es-MX" w:eastAsia="en-US"/>
        </w:rPr>
        <w:t>legales en la materia.</w:t>
      </w:r>
    </w:p>
    <w:p w14:paraId="7E3AF3A2" w14:textId="77777777" w:rsidR="005E32B9" w:rsidRPr="005E32B9" w:rsidRDefault="005E32B9" w:rsidP="005E32B9">
      <w:pPr>
        <w:autoSpaceDE w:val="0"/>
        <w:autoSpaceDN w:val="0"/>
        <w:adjustRightInd w:val="0"/>
        <w:jc w:val="both"/>
        <w:rPr>
          <w:rFonts w:ascii="Abadi" w:eastAsia="Calibri" w:hAnsi="Abadi" w:cs="*Verdana-7127-Identity-H"/>
          <w:color w:val="0F0F11"/>
          <w:sz w:val="21"/>
          <w:szCs w:val="21"/>
          <w:lang w:val="es-MX" w:eastAsia="en-US"/>
        </w:rPr>
      </w:pPr>
    </w:p>
    <w:p w14:paraId="36A19553" w14:textId="3BDEED69" w:rsidR="005E32B9" w:rsidRPr="005E32B9" w:rsidRDefault="005E32B9" w:rsidP="005E32B9">
      <w:pPr>
        <w:autoSpaceDE w:val="0"/>
        <w:autoSpaceDN w:val="0"/>
        <w:adjustRightInd w:val="0"/>
        <w:ind w:firstLine="708"/>
        <w:jc w:val="both"/>
        <w:rPr>
          <w:rFonts w:ascii="Abadi" w:eastAsia="Calibri" w:hAnsi="Abadi" w:cs="*Verdana-7127-Identity-H"/>
          <w:color w:val="0F0F11"/>
          <w:sz w:val="21"/>
          <w:szCs w:val="21"/>
          <w:lang w:val="es-MX" w:eastAsia="en-US"/>
        </w:rPr>
      </w:pPr>
      <w:r w:rsidRPr="005E32B9">
        <w:rPr>
          <w:rFonts w:ascii="Abadi" w:eastAsia="Calibri" w:hAnsi="Abadi" w:cs="*Verdana-7127-Identity-H"/>
          <w:color w:val="0F0F11"/>
          <w:sz w:val="21"/>
          <w:szCs w:val="21"/>
          <w:lang w:val="es-MX" w:eastAsia="en-US"/>
        </w:rPr>
        <w:t xml:space="preserve">Enfatizamos que, es responsabilidad del Gobierno Federal procurar las medidas que sean necesarias para garantizar que los instrumentos de medición que se comercialicen en el territorio nacional sean seguros y exactos, con el propósito de que no representen peligro para sus usuarios y los consumidores y que presten un servicio adecuado conforme a sus cualidades metrológicas, cuando sean utilizados en transacciones comerciales y en las determinaciones para la protección de la salud, el medio ambiente y demás actividades donde se requiera de la medición. </w:t>
      </w:r>
      <w:r w:rsidR="00CF69F8">
        <w:rPr>
          <w:rStyle w:val="Refdenotaalpie"/>
          <w:rFonts w:ascii="Abadi" w:eastAsia="Calibri" w:hAnsi="Abadi" w:cs="*Verdana-7127-Identity-H"/>
          <w:color w:val="0F0F11"/>
          <w:sz w:val="21"/>
          <w:szCs w:val="21"/>
          <w:lang w:val="es-MX" w:eastAsia="en-US"/>
        </w:rPr>
        <w:footnoteReference w:id="47"/>
      </w:r>
    </w:p>
    <w:p w14:paraId="6FEA5436" w14:textId="77777777" w:rsidR="005E32B9" w:rsidRPr="005E32B9" w:rsidRDefault="005E32B9" w:rsidP="005E32B9">
      <w:pPr>
        <w:autoSpaceDE w:val="0"/>
        <w:autoSpaceDN w:val="0"/>
        <w:adjustRightInd w:val="0"/>
        <w:jc w:val="both"/>
        <w:rPr>
          <w:rFonts w:ascii="Abadi" w:eastAsia="Calibri" w:hAnsi="Abadi" w:cs="*Tahoma-7968-Identity-H"/>
          <w:color w:val="0F0E11"/>
          <w:sz w:val="21"/>
          <w:szCs w:val="21"/>
          <w:lang w:val="es-MX" w:eastAsia="en-US"/>
        </w:rPr>
      </w:pPr>
    </w:p>
    <w:p w14:paraId="0BAD8B44" w14:textId="77777777" w:rsidR="005E32B9" w:rsidRPr="005E32B9" w:rsidRDefault="005E32B9" w:rsidP="005E32B9">
      <w:pPr>
        <w:autoSpaceDE w:val="0"/>
        <w:autoSpaceDN w:val="0"/>
        <w:adjustRightInd w:val="0"/>
        <w:ind w:firstLine="708"/>
        <w:jc w:val="both"/>
        <w:rPr>
          <w:rFonts w:ascii="Abadi" w:eastAsia="Calibri" w:hAnsi="Abadi" w:cs="*Tahoma-7968-Identity-H"/>
          <w:color w:val="0F0E11"/>
          <w:sz w:val="21"/>
          <w:szCs w:val="21"/>
          <w:lang w:val="es-MX" w:eastAsia="en-US"/>
        </w:rPr>
      </w:pPr>
      <w:r w:rsidRPr="005E32B9">
        <w:rPr>
          <w:rFonts w:ascii="Abadi" w:eastAsia="Calibri" w:hAnsi="Abadi" w:cs="*Tahoma-7968-Identity-H"/>
          <w:color w:val="0F0E11"/>
          <w:sz w:val="21"/>
          <w:szCs w:val="21"/>
          <w:lang w:val="es-MX" w:eastAsia="en-US"/>
        </w:rPr>
        <w:t>La calibración tiene por finalidad determinar los errores de un instrumento para medir y, de ser necesario, otras características metrológicas, motivo por el cual la PROFECO, en el ámbito de sus atribuciones, verifica estos instrumentos de medición que sirven de base en transacciones comerciales, toda vez que por su naturaleza o por su utilización tienden a variar sus características metrológicas y afectan con ello el patrimonio de los consumidores y usuarios al pagar éstos, injustificadamente, el precio de bienes o servicios que no reciben en su totalidad.</w:t>
      </w:r>
    </w:p>
    <w:p w14:paraId="1BC455B2" w14:textId="77777777" w:rsidR="005E32B9" w:rsidRPr="005E32B9" w:rsidRDefault="005E32B9" w:rsidP="005E32B9">
      <w:pPr>
        <w:autoSpaceDE w:val="0"/>
        <w:autoSpaceDN w:val="0"/>
        <w:adjustRightInd w:val="0"/>
        <w:jc w:val="both"/>
        <w:rPr>
          <w:rFonts w:ascii="Abadi" w:eastAsia="Calibri" w:hAnsi="Abadi" w:cs="*Tahoma-7968-Identity-H"/>
          <w:color w:val="0D0D0F"/>
          <w:sz w:val="21"/>
          <w:szCs w:val="21"/>
          <w:lang w:val="es-MX" w:eastAsia="en-US"/>
        </w:rPr>
      </w:pPr>
    </w:p>
    <w:p w14:paraId="561844A9" w14:textId="6979FD19" w:rsidR="005E32B9" w:rsidRPr="005E32B9" w:rsidRDefault="005E32B9" w:rsidP="005E32B9">
      <w:pPr>
        <w:autoSpaceDE w:val="0"/>
        <w:autoSpaceDN w:val="0"/>
        <w:adjustRightInd w:val="0"/>
        <w:ind w:firstLine="708"/>
        <w:jc w:val="both"/>
        <w:rPr>
          <w:rFonts w:ascii="Abadi" w:eastAsia="Calibri" w:hAnsi="Abadi" w:cs="*Tahoma-7968-Identity-H"/>
          <w:color w:val="0D0D0F"/>
          <w:sz w:val="21"/>
          <w:szCs w:val="21"/>
          <w:lang w:val="es-MX" w:eastAsia="en-US"/>
        </w:rPr>
      </w:pPr>
      <w:r w:rsidRPr="005E32B9">
        <w:rPr>
          <w:rFonts w:ascii="Abadi" w:eastAsia="Calibri" w:hAnsi="Abadi" w:cs="*Tahoma-7968-Identity-H"/>
          <w:color w:val="0D0D0F"/>
          <w:sz w:val="21"/>
          <w:szCs w:val="21"/>
          <w:lang w:val="es-MX" w:eastAsia="en-US"/>
        </w:rPr>
        <w:t>En apoyo a lo anterior, está lo estipulado en la Ley Orgánica de la Administración Pública Federal, que establece la obligación de vigilar las normas de calidad, pesas y medidas necesarias para la actividad comercial; así como las normas y especificaciones industriales.</w:t>
      </w:r>
    </w:p>
    <w:p w14:paraId="7C0EEDAB" w14:textId="77777777" w:rsidR="005E32B9" w:rsidRPr="005E32B9" w:rsidRDefault="005E32B9" w:rsidP="005E32B9">
      <w:pPr>
        <w:autoSpaceDE w:val="0"/>
        <w:autoSpaceDN w:val="0"/>
        <w:adjustRightInd w:val="0"/>
        <w:jc w:val="both"/>
        <w:rPr>
          <w:rFonts w:ascii="Abadi" w:eastAsia="Calibri" w:hAnsi="Abadi" w:cs="*Tahoma-7968-Identity-H"/>
          <w:color w:val="0E0E10"/>
          <w:sz w:val="21"/>
          <w:szCs w:val="21"/>
          <w:lang w:val="es-MX" w:eastAsia="en-US"/>
        </w:rPr>
      </w:pPr>
    </w:p>
    <w:p w14:paraId="63C0B700" w14:textId="77777777" w:rsidR="005E32B9" w:rsidRPr="005E32B9" w:rsidRDefault="005E32B9" w:rsidP="005E32B9">
      <w:pPr>
        <w:autoSpaceDE w:val="0"/>
        <w:autoSpaceDN w:val="0"/>
        <w:adjustRightInd w:val="0"/>
        <w:ind w:firstLine="708"/>
        <w:jc w:val="both"/>
        <w:rPr>
          <w:rFonts w:ascii="Abadi" w:eastAsia="Calibri" w:hAnsi="Abadi" w:cs="*Tahoma-7968-Identity-H"/>
          <w:color w:val="0E0E10"/>
          <w:sz w:val="21"/>
          <w:szCs w:val="21"/>
          <w:lang w:val="es-MX" w:eastAsia="en-US"/>
        </w:rPr>
      </w:pPr>
      <w:r w:rsidRPr="005E32B9">
        <w:rPr>
          <w:rFonts w:ascii="Abadi" w:eastAsia="Calibri" w:hAnsi="Abadi" w:cs="*Tahoma-7968-Identity-H"/>
          <w:color w:val="0E0E10"/>
          <w:sz w:val="21"/>
          <w:szCs w:val="21"/>
          <w:lang w:val="es-MX" w:eastAsia="en-US"/>
        </w:rPr>
        <w:t xml:space="preserve">A su vez la Ley Federal sobre Metrología y Normalización en su artículo 40 fracción cuarta, señala: </w:t>
      </w:r>
      <w:r w:rsidRPr="005E32B9">
        <w:rPr>
          <w:rFonts w:ascii="Abadi" w:eastAsia="Calibri" w:hAnsi="Abadi" w:cs="*Verdana-Italic-7967-Identity-H"/>
          <w:i/>
          <w:iCs/>
          <w:color w:val="0E0E10"/>
          <w:sz w:val="21"/>
          <w:szCs w:val="21"/>
          <w:lang w:val="es-MX" w:eastAsia="en-US"/>
        </w:rPr>
        <w:t>Las normas oficiales mexicanas tendrán como</w:t>
      </w:r>
      <w:r w:rsidRPr="005E32B9">
        <w:rPr>
          <w:rFonts w:ascii="Abadi" w:eastAsia="Calibri" w:hAnsi="Abadi" w:cs="*Tahoma-7968-Identity-H"/>
          <w:color w:val="0E0E10"/>
          <w:sz w:val="21"/>
          <w:szCs w:val="21"/>
          <w:lang w:val="es-MX" w:eastAsia="en-US"/>
        </w:rPr>
        <w:t xml:space="preserve"> </w:t>
      </w:r>
      <w:r w:rsidRPr="005E32B9">
        <w:rPr>
          <w:rFonts w:ascii="Abadi" w:eastAsia="Calibri" w:hAnsi="Abadi" w:cs="*Verdana-Italic-7967-Identity-H"/>
          <w:i/>
          <w:iCs/>
          <w:color w:val="0E0E10"/>
          <w:sz w:val="21"/>
          <w:szCs w:val="21"/>
          <w:lang w:val="es-MX" w:eastAsia="en-US"/>
        </w:rPr>
        <w:t>finalidad establecer, las características y/o especificaciones relacionadas con</w:t>
      </w:r>
      <w:r w:rsidRPr="005E32B9">
        <w:rPr>
          <w:rFonts w:ascii="Abadi" w:eastAsia="Calibri" w:hAnsi="Abadi" w:cs="*Tahoma-7968-Identity-H"/>
          <w:color w:val="0E0E10"/>
          <w:sz w:val="21"/>
          <w:szCs w:val="21"/>
          <w:lang w:val="es-MX" w:eastAsia="en-US"/>
        </w:rPr>
        <w:t xml:space="preserve"> </w:t>
      </w:r>
      <w:r w:rsidRPr="005E32B9">
        <w:rPr>
          <w:rFonts w:ascii="Abadi" w:eastAsia="Calibri" w:hAnsi="Abadi" w:cs="*Verdana-Italic-7967-Identity-H"/>
          <w:i/>
          <w:iCs/>
          <w:color w:val="0E0E10"/>
          <w:sz w:val="21"/>
          <w:szCs w:val="21"/>
          <w:lang w:val="es-MX" w:eastAsia="en-US"/>
        </w:rPr>
        <w:t>los instrumentos para medir, los patrones de medida y sus métodos de</w:t>
      </w:r>
      <w:r w:rsidRPr="005E32B9">
        <w:rPr>
          <w:rFonts w:ascii="Abadi" w:eastAsia="Calibri" w:hAnsi="Abadi" w:cs="*Tahoma-7968-Identity-H"/>
          <w:color w:val="0E0E10"/>
          <w:sz w:val="21"/>
          <w:szCs w:val="21"/>
          <w:lang w:val="es-MX" w:eastAsia="en-US"/>
        </w:rPr>
        <w:t xml:space="preserve"> </w:t>
      </w:r>
      <w:r w:rsidRPr="005E32B9">
        <w:rPr>
          <w:rFonts w:ascii="Abadi" w:eastAsia="Calibri" w:hAnsi="Abadi" w:cs="*Verdana-Italic-7967-Identity-H"/>
          <w:i/>
          <w:iCs/>
          <w:color w:val="0E0E10"/>
          <w:sz w:val="21"/>
          <w:szCs w:val="21"/>
          <w:lang w:val="es-MX" w:eastAsia="en-US"/>
        </w:rPr>
        <w:t>medición, verificación, calibración y trazabilidad; los criterios, reglas,</w:t>
      </w:r>
      <w:r w:rsidRPr="005E32B9">
        <w:rPr>
          <w:rFonts w:ascii="Abadi" w:eastAsia="Calibri" w:hAnsi="Abadi" w:cs="*Tahoma-7968-Identity-H"/>
          <w:color w:val="0E0E10"/>
          <w:sz w:val="21"/>
          <w:szCs w:val="21"/>
          <w:lang w:val="es-MX" w:eastAsia="en-US"/>
        </w:rPr>
        <w:t xml:space="preserve"> </w:t>
      </w:r>
      <w:r w:rsidRPr="005E32B9">
        <w:rPr>
          <w:rFonts w:ascii="Abadi" w:eastAsia="Calibri" w:hAnsi="Abadi" w:cs="*Verdana-Italic-7967-Identity-H"/>
          <w:i/>
          <w:iCs/>
          <w:color w:val="0E0E10"/>
          <w:sz w:val="21"/>
          <w:szCs w:val="21"/>
          <w:lang w:val="es-MX" w:eastAsia="en-US"/>
        </w:rPr>
        <w:t>instructivos, manuales, circulares, lineamientos, procedimientos u otras</w:t>
      </w:r>
      <w:r w:rsidRPr="005E32B9">
        <w:rPr>
          <w:rFonts w:ascii="Abadi" w:eastAsia="Calibri" w:hAnsi="Abadi" w:cs="*Tahoma-7968-Identity-H"/>
          <w:color w:val="0E0E10"/>
          <w:sz w:val="21"/>
          <w:szCs w:val="21"/>
          <w:lang w:val="es-MX" w:eastAsia="en-US"/>
        </w:rPr>
        <w:t xml:space="preserve"> </w:t>
      </w:r>
      <w:r w:rsidRPr="005E32B9">
        <w:rPr>
          <w:rFonts w:ascii="Abadi" w:eastAsia="Calibri" w:hAnsi="Abadi" w:cs="*Verdana-Italic-7967-Identity-H"/>
          <w:i/>
          <w:iCs/>
          <w:color w:val="0E0E10"/>
          <w:sz w:val="21"/>
          <w:szCs w:val="21"/>
          <w:lang w:val="es-MX" w:eastAsia="en-US"/>
        </w:rPr>
        <w:t>disposiciones de carácter obligatorio que requieran establecer las</w:t>
      </w:r>
      <w:r w:rsidRPr="005E32B9">
        <w:rPr>
          <w:rFonts w:ascii="Abadi" w:eastAsia="Calibri" w:hAnsi="Abadi" w:cs="*Tahoma-7968-Identity-H"/>
          <w:color w:val="0E0E10"/>
          <w:sz w:val="21"/>
          <w:szCs w:val="21"/>
          <w:lang w:val="es-MX" w:eastAsia="en-US"/>
        </w:rPr>
        <w:t xml:space="preserve"> </w:t>
      </w:r>
      <w:r w:rsidRPr="005E32B9">
        <w:rPr>
          <w:rFonts w:ascii="Abadi" w:eastAsia="Calibri" w:hAnsi="Abadi" w:cs="*Verdana-Italic-7967-Identity-H"/>
          <w:i/>
          <w:iCs/>
          <w:color w:val="0E0E10"/>
          <w:sz w:val="21"/>
          <w:szCs w:val="21"/>
          <w:lang w:val="es-MX" w:eastAsia="en-US"/>
        </w:rPr>
        <w:t>dependencias y se refieran a las materias y finalidades que se establecen en</w:t>
      </w:r>
      <w:r w:rsidRPr="005E32B9">
        <w:rPr>
          <w:rFonts w:ascii="Abadi" w:eastAsia="Calibri" w:hAnsi="Abadi" w:cs="*Tahoma-7968-Identity-H"/>
          <w:color w:val="0E0E10"/>
          <w:sz w:val="21"/>
          <w:szCs w:val="21"/>
          <w:lang w:val="es-MX" w:eastAsia="en-US"/>
        </w:rPr>
        <w:t xml:space="preserve"> </w:t>
      </w:r>
      <w:r w:rsidRPr="005E32B9">
        <w:rPr>
          <w:rFonts w:ascii="Abadi" w:eastAsia="Calibri" w:hAnsi="Abadi" w:cs="*Verdana-Italic-7967-Identity-H"/>
          <w:i/>
          <w:iCs/>
          <w:color w:val="0E0E10"/>
          <w:sz w:val="21"/>
          <w:szCs w:val="21"/>
          <w:lang w:val="es-MX" w:eastAsia="en-US"/>
        </w:rPr>
        <w:t>este artículo, sólo podrán expedirse como normas oficiales mexicanas</w:t>
      </w:r>
      <w:r w:rsidRPr="005E32B9">
        <w:rPr>
          <w:rFonts w:ascii="Abadi" w:eastAsia="Calibri" w:hAnsi="Abadi" w:cs="*Tahoma-7968-Identity-H"/>
          <w:color w:val="0E0E10"/>
          <w:sz w:val="21"/>
          <w:szCs w:val="21"/>
          <w:lang w:val="es-MX" w:eastAsia="en-US"/>
        </w:rPr>
        <w:t xml:space="preserve"> </w:t>
      </w:r>
      <w:r w:rsidRPr="005E32B9">
        <w:rPr>
          <w:rFonts w:ascii="Abadi" w:eastAsia="Calibri" w:hAnsi="Abadi" w:cs="*Verdana-Italic-7967-Identity-H"/>
          <w:i/>
          <w:iCs/>
          <w:color w:val="0E0E10"/>
          <w:sz w:val="21"/>
          <w:szCs w:val="21"/>
          <w:lang w:val="es-MX" w:eastAsia="en-US"/>
        </w:rPr>
        <w:t>conforme al procedimiento establecido en esta Ley.</w:t>
      </w:r>
    </w:p>
    <w:p w14:paraId="73395AD5" w14:textId="77777777" w:rsidR="005E32B9" w:rsidRPr="005E32B9" w:rsidRDefault="005E32B9" w:rsidP="005E32B9">
      <w:pPr>
        <w:autoSpaceDE w:val="0"/>
        <w:autoSpaceDN w:val="0"/>
        <w:adjustRightInd w:val="0"/>
        <w:jc w:val="both"/>
        <w:rPr>
          <w:rFonts w:ascii="Abadi" w:eastAsia="Calibri" w:hAnsi="Abadi" w:cs="*Tahoma-7968-Identity-H"/>
          <w:color w:val="0D0D0F"/>
          <w:sz w:val="21"/>
          <w:szCs w:val="21"/>
          <w:lang w:val="es-MX" w:eastAsia="en-US"/>
        </w:rPr>
      </w:pPr>
    </w:p>
    <w:p w14:paraId="7A5E836E" w14:textId="77777777" w:rsidR="005E32B9" w:rsidRPr="005E32B9" w:rsidRDefault="005E32B9" w:rsidP="005E32B9">
      <w:pPr>
        <w:autoSpaceDE w:val="0"/>
        <w:autoSpaceDN w:val="0"/>
        <w:adjustRightInd w:val="0"/>
        <w:ind w:firstLine="708"/>
        <w:jc w:val="both"/>
        <w:rPr>
          <w:rFonts w:ascii="Abadi" w:eastAsia="Calibri" w:hAnsi="Abadi" w:cs="*Tahoma-7968-Identity-H"/>
          <w:color w:val="0D0D0F"/>
          <w:sz w:val="21"/>
          <w:szCs w:val="21"/>
          <w:lang w:val="es-MX" w:eastAsia="en-US"/>
        </w:rPr>
      </w:pPr>
      <w:r w:rsidRPr="005E32B9">
        <w:rPr>
          <w:rFonts w:ascii="Abadi" w:eastAsia="Calibri" w:hAnsi="Abadi" w:cs="*Tahoma-7968-Identity-H"/>
          <w:color w:val="0D0D0F"/>
          <w:sz w:val="21"/>
          <w:szCs w:val="21"/>
          <w:lang w:val="es-MX" w:eastAsia="en-US"/>
        </w:rPr>
        <w:t xml:space="preserve">Por su parte, la Ley Federal sobre Metrología y Normalización establece que las normas oficiales mexicanas se constituyen como el instrumento idóneo para la prosecución de estos objetivos, se expidió la NOM-010-SCFI-1994, Instrumentos de medición-Instrumentos para pesar de funcionamiento no automático-Requisitos técnicos y metrológicos, señalando que la evaluación de la conformidad y vigilancia de la presente </w:t>
      </w:r>
      <w:r w:rsidRPr="005E32B9">
        <w:rPr>
          <w:rFonts w:ascii="Abadi" w:eastAsia="Calibri" w:hAnsi="Abadi" w:cs="*Verdana-5523-Identity-H"/>
          <w:color w:val="0E0E10"/>
          <w:sz w:val="21"/>
          <w:szCs w:val="21"/>
          <w:lang w:val="es-MX" w:eastAsia="en-US"/>
        </w:rPr>
        <w:t>Norma será realizada por la Secretaría de Comercio y Fomento Industrial y</w:t>
      </w:r>
      <w:r w:rsidRPr="005E32B9">
        <w:rPr>
          <w:rFonts w:ascii="Abadi" w:eastAsia="Calibri" w:hAnsi="Abadi" w:cs="*Tahoma-7968-Identity-H"/>
          <w:color w:val="0D0D0F"/>
          <w:sz w:val="21"/>
          <w:szCs w:val="21"/>
          <w:lang w:val="es-MX" w:eastAsia="en-US"/>
        </w:rPr>
        <w:t xml:space="preserve"> </w:t>
      </w:r>
      <w:r w:rsidRPr="005E32B9">
        <w:rPr>
          <w:rFonts w:ascii="Abadi" w:eastAsia="Calibri" w:hAnsi="Abadi" w:cs="*Verdana-5523-Identity-H"/>
          <w:color w:val="0E0E10"/>
          <w:sz w:val="21"/>
          <w:szCs w:val="21"/>
          <w:lang w:val="es-MX" w:eastAsia="en-US"/>
        </w:rPr>
        <w:t>la Procuraduría Federal del Consumidor, en el ámbito de sus respectivas</w:t>
      </w:r>
      <w:r w:rsidRPr="005E32B9">
        <w:rPr>
          <w:rFonts w:ascii="Abadi" w:eastAsia="Calibri" w:hAnsi="Abadi" w:cs="*Tahoma-7968-Identity-H"/>
          <w:color w:val="0D0D0F"/>
          <w:sz w:val="21"/>
          <w:szCs w:val="21"/>
          <w:lang w:val="es-MX" w:eastAsia="en-US"/>
        </w:rPr>
        <w:t xml:space="preserve"> </w:t>
      </w:r>
      <w:r w:rsidRPr="005E32B9">
        <w:rPr>
          <w:rFonts w:ascii="Abadi" w:eastAsia="Calibri" w:hAnsi="Abadi" w:cs="*Verdana-5523-Identity-H"/>
          <w:color w:val="0E0E10"/>
          <w:sz w:val="21"/>
          <w:szCs w:val="21"/>
          <w:lang w:val="es-MX" w:eastAsia="en-US"/>
        </w:rPr>
        <w:t>competencias, y por las unidades de verificación acreditadas y aprobadas en los términos de la Ley Federal sobre Metrología y Normalización.</w:t>
      </w:r>
    </w:p>
    <w:p w14:paraId="16E4FC17" w14:textId="77777777" w:rsidR="005E32B9" w:rsidRPr="005E32B9" w:rsidRDefault="005E32B9" w:rsidP="005E32B9">
      <w:pPr>
        <w:autoSpaceDE w:val="0"/>
        <w:autoSpaceDN w:val="0"/>
        <w:adjustRightInd w:val="0"/>
        <w:jc w:val="both"/>
        <w:rPr>
          <w:rFonts w:ascii="Abadi" w:eastAsia="Calibri" w:hAnsi="Abadi" w:cs="*Verdana-5523-Identity-H"/>
          <w:color w:val="0F0E11"/>
          <w:sz w:val="21"/>
          <w:szCs w:val="21"/>
          <w:lang w:val="es-MX" w:eastAsia="en-US"/>
        </w:rPr>
      </w:pPr>
    </w:p>
    <w:p w14:paraId="69A7ABD6" w14:textId="77777777" w:rsidR="005E32B9" w:rsidRPr="005E32B9" w:rsidRDefault="005E32B9" w:rsidP="005E32B9">
      <w:pPr>
        <w:autoSpaceDE w:val="0"/>
        <w:autoSpaceDN w:val="0"/>
        <w:adjustRightInd w:val="0"/>
        <w:ind w:firstLine="708"/>
        <w:jc w:val="both"/>
        <w:rPr>
          <w:rFonts w:ascii="Abadi" w:eastAsia="Calibri" w:hAnsi="Abadi" w:cs="*Verdana-5523-Identity-H"/>
          <w:color w:val="0F0E11"/>
          <w:sz w:val="21"/>
          <w:szCs w:val="21"/>
          <w:lang w:val="es-MX" w:eastAsia="en-US"/>
        </w:rPr>
      </w:pPr>
      <w:r w:rsidRPr="005E32B9">
        <w:rPr>
          <w:rFonts w:ascii="Abadi" w:eastAsia="Calibri" w:hAnsi="Abadi" w:cs="*Verdana-5523-Identity-H"/>
          <w:color w:val="0F0E11"/>
          <w:sz w:val="21"/>
          <w:szCs w:val="21"/>
          <w:lang w:val="es-MX" w:eastAsia="en-US"/>
        </w:rPr>
        <w:t>Las Normas Oficiales Mexicanas como competencia de la Procuraduría Federal del Consumidor son las regulaciones técnicas de observancia obligatoria expedidas por las dependencias competentes.</w:t>
      </w:r>
    </w:p>
    <w:p w14:paraId="60781465" w14:textId="77777777" w:rsidR="005E32B9" w:rsidRPr="005E32B9" w:rsidRDefault="005E32B9" w:rsidP="005E32B9">
      <w:pPr>
        <w:autoSpaceDE w:val="0"/>
        <w:autoSpaceDN w:val="0"/>
        <w:adjustRightInd w:val="0"/>
        <w:jc w:val="both"/>
        <w:rPr>
          <w:rFonts w:ascii="Abadi" w:eastAsia="Calibri" w:hAnsi="Abadi" w:cs="*Verdana-5523-Identity-H"/>
          <w:color w:val="0E0E11"/>
          <w:sz w:val="21"/>
          <w:szCs w:val="21"/>
          <w:lang w:val="es-MX" w:eastAsia="en-US"/>
        </w:rPr>
      </w:pPr>
    </w:p>
    <w:p w14:paraId="79B356DB" w14:textId="77777777" w:rsidR="005E32B9" w:rsidRPr="005E32B9" w:rsidRDefault="005E32B9" w:rsidP="005E32B9">
      <w:pPr>
        <w:autoSpaceDE w:val="0"/>
        <w:autoSpaceDN w:val="0"/>
        <w:adjustRightInd w:val="0"/>
        <w:ind w:firstLine="708"/>
        <w:jc w:val="both"/>
        <w:rPr>
          <w:rFonts w:ascii="Abadi" w:eastAsia="Calibri" w:hAnsi="Abadi" w:cs="*Verdana-5523-Identity-H"/>
          <w:color w:val="0E0E11"/>
          <w:sz w:val="21"/>
          <w:szCs w:val="21"/>
          <w:lang w:val="es-MX" w:eastAsia="en-US"/>
        </w:rPr>
      </w:pPr>
      <w:r w:rsidRPr="005E32B9">
        <w:rPr>
          <w:rFonts w:ascii="Abadi" w:eastAsia="Calibri" w:hAnsi="Abadi" w:cs="*Verdana-5523-Identity-H"/>
          <w:color w:val="0E0E11"/>
          <w:sz w:val="21"/>
          <w:szCs w:val="21"/>
          <w:lang w:val="es-MX" w:eastAsia="en-US"/>
        </w:rPr>
        <w:t>Derivado de lo anterior, se solicita que las verificaciones se realicen en tiempo y forma, es decir, en función de la marca y modelo que se encuentre dentro del listado de aprobación del modelo o prototipo emitido por la Dirección General de Normas y del tipo de instrumento de medición del que se trate. La verificación inicial es la que se realiza, por primera ocasión y antes de su utilización para transacciones comerciales o para determinar la tarifa de un servicio.</w:t>
      </w:r>
    </w:p>
    <w:p w14:paraId="70180C89" w14:textId="77777777" w:rsidR="005E32B9" w:rsidRPr="005E32B9" w:rsidRDefault="005E32B9" w:rsidP="005E32B9">
      <w:pPr>
        <w:autoSpaceDE w:val="0"/>
        <w:autoSpaceDN w:val="0"/>
        <w:adjustRightInd w:val="0"/>
        <w:jc w:val="both"/>
        <w:rPr>
          <w:rFonts w:ascii="Abadi" w:eastAsia="Calibri" w:hAnsi="Abadi" w:cs="*Verdana-5523-Identity-H"/>
          <w:color w:val="0F0F10"/>
          <w:sz w:val="21"/>
          <w:szCs w:val="21"/>
          <w:lang w:val="es-MX" w:eastAsia="en-US"/>
        </w:rPr>
      </w:pPr>
    </w:p>
    <w:p w14:paraId="65A5E312" w14:textId="77777777" w:rsidR="005E32B9" w:rsidRPr="005E32B9" w:rsidRDefault="005E32B9" w:rsidP="005E32B9">
      <w:pPr>
        <w:autoSpaceDE w:val="0"/>
        <w:autoSpaceDN w:val="0"/>
        <w:adjustRightInd w:val="0"/>
        <w:ind w:firstLine="708"/>
        <w:jc w:val="both"/>
        <w:rPr>
          <w:rFonts w:ascii="Abadi" w:eastAsia="Calibri" w:hAnsi="Abadi" w:cs="*Verdana-5523-Identity-H"/>
          <w:color w:val="0F0F10"/>
          <w:sz w:val="21"/>
          <w:szCs w:val="21"/>
          <w:lang w:val="es-MX" w:eastAsia="en-US"/>
        </w:rPr>
      </w:pPr>
      <w:r w:rsidRPr="005E32B9">
        <w:rPr>
          <w:rFonts w:ascii="Abadi" w:eastAsia="Calibri" w:hAnsi="Abadi" w:cs="*Verdana-5523-Identity-H"/>
          <w:color w:val="0F0F10"/>
          <w:sz w:val="21"/>
          <w:szCs w:val="21"/>
          <w:lang w:val="es-MX" w:eastAsia="en-US"/>
        </w:rPr>
        <w:t>Verificación anual (Periódica), cuando la marca, modelo o prototipo, aparece en el listado de aprobación y el mismo tiene una antigüedad menor a 10 años, situación que se acredita con factura o documento emitido por el fabricante.</w:t>
      </w:r>
    </w:p>
    <w:p w14:paraId="28051AC2" w14:textId="77777777" w:rsidR="005E32B9" w:rsidRPr="005E32B9" w:rsidRDefault="005E32B9" w:rsidP="005E32B9">
      <w:pPr>
        <w:autoSpaceDE w:val="0"/>
        <w:autoSpaceDN w:val="0"/>
        <w:adjustRightInd w:val="0"/>
        <w:jc w:val="both"/>
        <w:rPr>
          <w:rFonts w:ascii="Abadi" w:eastAsia="Calibri" w:hAnsi="Abadi" w:cs="*Verdana-5523-Identity-H"/>
          <w:color w:val="7C7C7C"/>
          <w:sz w:val="21"/>
          <w:szCs w:val="21"/>
          <w:lang w:val="es-MX" w:eastAsia="en-US"/>
        </w:rPr>
      </w:pPr>
    </w:p>
    <w:p w14:paraId="66E0498F" w14:textId="77777777" w:rsidR="005E32B9" w:rsidRPr="005E32B9" w:rsidRDefault="005E32B9" w:rsidP="005E32B9">
      <w:pPr>
        <w:autoSpaceDE w:val="0"/>
        <w:autoSpaceDN w:val="0"/>
        <w:adjustRightInd w:val="0"/>
        <w:jc w:val="both"/>
        <w:rPr>
          <w:rFonts w:ascii="Abadi" w:eastAsia="Calibri" w:hAnsi="Abadi" w:cs="*Verdana-5523-Identity-H"/>
          <w:color w:val="100F12"/>
          <w:sz w:val="21"/>
          <w:szCs w:val="21"/>
          <w:lang w:val="es-MX" w:eastAsia="en-US"/>
        </w:rPr>
      </w:pPr>
      <w:r w:rsidRPr="005E32B9">
        <w:rPr>
          <w:rFonts w:ascii="Abadi" w:eastAsia="Calibri" w:hAnsi="Abadi" w:cs="*Verdana-5523-Identity-H"/>
          <w:color w:val="100F12"/>
          <w:sz w:val="21"/>
          <w:szCs w:val="21"/>
          <w:lang w:val="es-MX" w:eastAsia="en-US"/>
        </w:rPr>
        <w:t>Verificación semestral (Periódica), cuando la marca, modelo o prototipo no aparece en el listado de aprobación o el mismo tiene una antigüedad de 10 años o mayor.</w:t>
      </w:r>
    </w:p>
    <w:p w14:paraId="4572DEEC" w14:textId="77777777" w:rsidR="005E32B9" w:rsidRPr="005E32B9" w:rsidRDefault="005E32B9" w:rsidP="005E32B9">
      <w:pPr>
        <w:autoSpaceDE w:val="0"/>
        <w:autoSpaceDN w:val="0"/>
        <w:adjustRightInd w:val="0"/>
        <w:jc w:val="both"/>
        <w:rPr>
          <w:rFonts w:ascii="Abadi" w:eastAsia="Calibri" w:hAnsi="Abadi" w:cs="*Verdana-5523-Identity-H"/>
          <w:color w:val="0D0D0F"/>
          <w:sz w:val="21"/>
          <w:szCs w:val="21"/>
          <w:lang w:val="es-MX" w:eastAsia="en-US"/>
        </w:rPr>
      </w:pPr>
    </w:p>
    <w:p w14:paraId="62DED3C2" w14:textId="77777777" w:rsidR="005E32B9" w:rsidRPr="005E32B9" w:rsidRDefault="005E32B9" w:rsidP="005E32B9">
      <w:pPr>
        <w:autoSpaceDE w:val="0"/>
        <w:autoSpaceDN w:val="0"/>
        <w:adjustRightInd w:val="0"/>
        <w:ind w:firstLine="708"/>
        <w:jc w:val="both"/>
        <w:rPr>
          <w:rFonts w:ascii="Abadi" w:eastAsia="Calibri" w:hAnsi="Abadi" w:cs="*Verdana-5523-Identity-H"/>
          <w:color w:val="0D0D0F"/>
          <w:sz w:val="21"/>
          <w:szCs w:val="21"/>
          <w:lang w:val="es-MX" w:eastAsia="en-US"/>
        </w:rPr>
      </w:pPr>
      <w:r w:rsidRPr="005E32B9">
        <w:rPr>
          <w:rFonts w:ascii="Abadi" w:eastAsia="Calibri" w:hAnsi="Abadi" w:cs="*Verdana-5523-Identity-H"/>
          <w:color w:val="0D0D0F"/>
          <w:sz w:val="21"/>
          <w:szCs w:val="21"/>
          <w:lang w:val="es-MX" w:eastAsia="en-US"/>
        </w:rPr>
        <w:t>Verificación extraordinaria, cuando no sea inicial o periódica y cuando lo soliciten los usuarios de estos y los suministradores de servicios o cuando pierdan su condición de instrumento verificado.</w:t>
      </w:r>
    </w:p>
    <w:p w14:paraId="196E9305" w14:textId="77777777" w:rsidR="005E32B9" w:rsidRPr="005E32B9" w:rsidRDefault="005E32B9" w:rsidP="005E32B9">
      <w:pPr>
        <w:autoSpaceDE w:val="0"/>
        <w:autoSpaceDN w:val="0"/>
        <w:adjustRightInd w:val="0"/>
        <w:jc w:val="both"/>
        <w:rPr>
          <w:rFonts w:ascii="Abadi" w:eastAsia="Calibri" w:hAnsi="Abadi" w:cs="*Verdana-5523-Identity-H"/>
          <w:color w:val="0D0D10"/>
          <w:sz w:val="21"/>
          <w:szCs w:val="21"/>
          <w:lang w:val="es-MX" w:eastAsia="en-US"/>
        </w:rPr>
      </w:pPr>
    </w:p>
    <w:p w14:paraId="420ADC9D" w14:textId="77777777" w:rsidR="005E32B9" w:rsidRPr="005E32B9" w:rsidRDefault="005E32B9" w:rsidP="005E32B9">
      <w:pPr>
        <w:autoSpaceDE w:val="0"/>
        <w:autoSpaceDN w:val="0"/>
        <w:adjustRightInd w:val="0"/>
        <w:ind w:firstLine="708"/>
        <w:jc w:val="both"/>
        <w:rPr>
          <w:rFonts w:ascii="Abadi" w:eastAsia="Calibri" w:hAnsi="Abadi" w:cs="*Verdana-5523-Identity-H"/>
          <w:color w:val="0D0D10"/>
          <w:sz w:val="21"/>
          <w:szCs w:val="21"/>
          <w:lang w:val="es-MX" w:eastAsia="en-US"/>
        </w:rPr>
      </w:pPr>
      <w:r w:rsidRPr="005E32B9">
        <w:rPr>
          <w:rFonts w:ascii="Abadi" w:eastAsia="Calibri" w:hAnsi="Abadi" w:cs="*Verdana-5523-Identity-H"/>
          <w:color w:val="0D0D10"/>
          <w:sz w:val="21"/>
          <w:szCs w:val="21"/>
          <w:lang w:val="es-MX" w:eastAsia="en-US"/>
        </w:rPr>
        <w:t xml:space="preserve">De esta manera, lograremos que los productores agropecuarios tengan la certeza de que en los centros de acopio de Guanajuato brindan un servicio de almacenaje eficiente y justo, con procesos de comercialización ordenados </w:t>
      </w:r>
      <w:r w:rsidRPr="005E32B9">
        <w:rPr>
          <w:rFonts w:ascii="Abadi" w:eastAsia="Calibri" w:hAnsi="Abadi" w:cs="*Verdana-5916-Identity-H"/>
          <w:color w:val="0E0E10"/>
          <w:sz w:val="21"/>
          <w:szCs w:val="21"/>
          <w:lang w:val="es-MX" w:eastAsia="en-US"/>
        </w:rPr>
        <w:t>que permitan mejorar los ingresos de los productores por la venta de sus</w:t>
      </w:r>
      <w:r w:rsidRPr="005E32B9">
        <w:rPr>
          <w:rFonts w:ascii="Abadi" w:eastAsia="Calibri" w:hAnsi="Abadi" w:cs="*Verdana-5523-Identity-H"/>
          <w:color w:val="0D0D10"/>
          <w:sz w:val="21"/>
          <w:szCs w:val="21"/>
          <w:lang w:val="es-MX" w:eastAsia="en-US"/>
        </w:rPr>
        <w:t xml:space="preserve"> </w:t>
      </w:r>
      <w:r w:rsidRPr="005E32B9">
        <w:rPr>
          <w:rFonts w:ascii="Abadi" w:eastAsia="Calibri" w:hAnsi="Abadi" w:cs="*Verdana-5916-Identity-H"/>
          <w:color w:val="0E0E10"/>
          <w:sz w:val="21"/>
          <w:szCs w:val="21"/>
          <w:lang w:val="es-MX" w:eastAsia="en-US"/>
        </w:rPr>
        <w:t>cosechas, para que el campo siga siendo uno de los grandes motores del</w:t>
      </w:r>
      <w:r w:rsidRPr="005E32B9">
        <w:rPr>
          <w:rFonts w:ascii="Abadi" w:eastAsia="Calibri" w:hAnsi="Abadi" w:cs="*Verdana-5523-Identity-H"/>
          <w:color w:val="0D0D10"/>
          <w:sz w:val="21"/>
          <w:szCs w:val="21"/>
          <w:lang w:val="es-MX" w:eastAsia="en-US"/>
        </w:rPr>
        <w:t xml:space="preserve"> </w:t>
      </w:r>
      <w:r w:rsidRPr="005E32B9">
        <w:rPr>
          <w:rFonts w:ascii="Abadi" w:eastAsia="Calibri" w:hAnsi="Abadi" w:cs="*Verdana-5916-Identity-H"/>
          <w:color w:val="0E0E10"/>
          <w:sz w:val="21"/>
          <w:szCs w:val="21"/>
          <w:lang w:val="es-MX" w:eastAsia="en-US"/>
        </w:rPr>
        <w:t>desarrollo de Guanajuato y de todo el país.</w:t>
      </w:r>
    </w:p>
    <w:p w14:paraId="35BE5CE9" w14:textId="77777777" w:rsidR="005E32B9" w:rsidRPr="005E32B9" w:rsidRDefault="005E32B9" w:rsidP="005E32B9">
      <w:pPr>
        <w:autoSpaceDE w:val="0"/>
        <w:autoSpaceDN w:val="0"/>
        <w:adjustRightInd w:val="0"/>
        <w:jc w:val="both"/>
        <w:rPr>
          <w:rFonts w:ascii="Abadi" w:eastAsia="Calibri" w:hAnsi="Abadi" w:cs="*Verdana-5916-Identity-H"/>
          <w:color w:val="0F0F11"/>
          <w:sz w:val="21"/>
          <w:szCs w:val="21"/>
          <w:lang w:val="es-MX" w:eastAsia="en-US"/>
        </w:rPr>
      </w:pPr>
    </w:p>
    <w:p w14:paraId="62FF235F" w14:textId="77777777" w:rsidR="005E32B9" w:rsidRPr="005E32B9" w:rsidRDefault="005E32B9" w:rsidP="005E32B9">
      <w:pPr>
        <w:autoSpaceDE w:val="0"/>
        <w:autoSpaceDN w:val="0"/>
        <w:adjustRightInd w:val="0"/>
        <w:ind w:firstLine="708"/>
        <w:jc w:val="both"/>
        <w:rPr>
          <w:rFonts w:ascii="Abadi" w:eastAsia="Calibri" w:hAnsi="Abadi" w:cs="*Verdana-5916-Identity-H"/>
          <w:color w:val="0F0F11"/>
          <w:sz w:val="21"/>
          <w:szCs w:val="21"/>
          <w:lang w:val="es-MX" w:eastAsia="en-US"/>
        </w:rPr>
      </w:pPr>
      <w:r w:rsidRPr="005E32B9">
        <w:rPr>
          <w:rFonts w:ascii="Abadi" w:eastAsia="Calibri" w:hAnsi="Abadi" w:cs="*Verdana-5916-Identity-H"/>
          <w:color w:val="0F0F11"/>
          <w:sz w:val="21"/>
          <w:szCs w:val="21"/>
          <w:lang w:val="es-MX" w:eastAsia="en-US"/>
        </w:rPr>
        <w:t>Ponemos de manifiesto que seremos gestores de las medidas que resulten necesarias a fin de garantizar el cumplimiento y las adecuaciones legislativas que sean complementarias para dar certeza jurídica y el pleno uso de los derechos de las personas que conforman el sector rural en el</w:t>
      </w:r>
    </w:p>
    <w:p w14:paraId="70FCCD59" w14:textId="77777777" w:rsidR="005E32B9" w:rsidRPr="005E32B9" w:rsidRDefault="005E32B9" w:rsidP="005E32B9">
      <w:pPr>
        <w:autoSpaceDE w:val="0"/>
        <w:autoSpaceDN w:val="0"/>
        <w:adjustRightInd w:val="0"/>
        <w:jc w:val="both"/>
        <w:rPr>
          <w:rFonts w:ascii="Abadi" w:eastAsia="Calibri" w:hAnsi="Abadi" w:cs="*Verdana-5916-Identity-H"/>
          <w:color w:val="0F0F11"/>
          <w:sz w:val="21"/>
          <w:szCs w:val="21"/>
          <w:lang w:val="es-MX" w:eastAsia="en-US"/>
        </w:rPr>
      </w:pPr>
      <w:r w:rsidRPr="005E32B9">
        <w:rPr>
          <w:rFonts w:ascii="Abadi" w:eastAsia="Calibri" w:hAnsi="Abadi" w:cs="*Verdana-5916-Identity-H"/>
          <w:color w:val="0F0F11"/>
          <w:sz w:val="21"/>
          <w:szCs w:val="21"/>
          <w:lang w:val="es-MX" w:eastAsia="en-US"/>
        </w:rPr>
        <w:t>Estado de Guanajuato.</w:t>
      </w:r>
    </w:p>
    <w:p w14:paraId="2D5EC75E" w14:textId="77777777" w:rsidR="005E32B9" w:rsidRPr="005E32B9" w:rsidRDefault="005E32B9" w:rsidP="005E32B9">
      <w:pPr>
        <w:autoSpaceDE w:val="0"/>
        <w:autoSpaceDN w:val="0"/>
        <w:adjustRightInd w:val="0"/>
        <w:jc w:val="both"/>
        <w:rPr>
          <w:rFonts w:ascii="Abadi" w:eastAsia="Calibri" w:hAnsi="Abadi" w:cs="*Verdana-5916-Identity-H"/>
          <w:color w:val="0E0D10"/>
          <w:sz w:val="21"/>
          <w:szCs w:val="21"/>
          <w:lang w:val="es-MX" w:eastAsia="en-US"/>
        </w:rPr>
      </w:pPr>
    </w:p>
    <w:p w14:paraId="28133AB1" w14:textId="77777777" w:rsidR="005E32B9" w:rsidRPr="005E32B9" w:rsidRDefault="005E32B9" w:rsidP="005E32B9">
      <w:pPr>
        <w:autoSpaceDE w:val="0"/>
        <w:autoSpaceDN w:val="0"/>
        <w:adjustRightInd w:val="0"/>
        <w:ind w:firstLine="708"/>
        <w:jc w:val="both"/>
        <w:rPr>
          <w:rFonts w:ascii="Abadi" w:eastAsia="Calibri" w:hAnsi="Abadi" w:cs="*Verdana-5916-Identity-H"/>
          <w:color w:val="0E0D10"/>
          <w:sz w:val="21"/>
          <w:szCs w:val="21"/>
          <w:lang w:val="es-MX" w:eastAsia="en-US"/>
        </w:rPr>
      </w:pPr>
      <w:r w:rsidRPr="005E32B9">
        <w:rPr>
          <w:rFonts w:ascii="Abadi" w:eastAsia="Calibri" w:hAnsi="Abadi" w:cs="*Verdana-5916-Identity-H"/>
          <w:color w:val="0E0D10"/>
          <w:sz w:val="21"/>
          <w:szCs w:val="21"/>
          <w:lang w:val="es-MX" w:eastAsia="en-US"/>
        </w:rPr>
        <w:t xml:space="preserve">Por lo anteriormente expuesto y con fundamento en el artículo 171 la Ley Orgánica </w:t>
      </w:r>
      <w:r w:rsidRPr="005E32B9">
        <w:rPr>
          <w:rFonts w:ascii="Abadi" w:eastAsia="Calibri" w:hAnsi="Abadi" w:cs="*Verdana-5916-Identity-H"/>
          <w:color w:val="0E0D10"/>
          <w:sz w:val="21"/>
          <w:szCs w:val="21"/>
          <w:lang w:val="es-MX" w:eastAsia="en-US"/>
        </w:rPr>
        <w:lastRenderedPageBreak/>
        <w:t>del Poder Legislativo del Estado de Guanajuato, nos permitimos proponer a la Asamblea la aprobación del siguiente:</w:t>
      </w:r>
    </w:p>
    <w:p w14:paraId="04BF4E1A" w14:textId="77777777" w:rsidR="005E32B9" w:rsidRPr="005E32B9" w:rsidRDefault="005E32B9" w:rsidP="005E32B9">
      <w:pPr>
        <w:autoSpaceDE w:val="0"/>
        <w:autoSpaceDN w:val="0"/>
        <w:adjustRightInd w:val="0"/>
        <w:jc w:val="both"/>
        <w:rPr>
          <w:rFonts w:ascii="Abadi" w:eastAsia="Calibri" w:hAnsi="Abadi" w:cs="*Verdana-Bold-5917-Identity-H"/>
          <w:b/>
          <w:bCs/>
          <w:color w:val="111117"/>
          <w:sz w:val="21"/>
          <w:szCs w:val="21"/>
          <w:lang w:val="es-MX" w:eastAsia="en-US"/>
        </w:rPr>
      </w:pPr>
    </w:p>
    <w:p w14:paraId="3A23FEF5" w14:textId="77777777" w:rsidR="005E32B9" w:rsidRPr="005E32B9" w:rsidRDefault="005E32B9" w:rsidP="005E32B9">
      <w:pPr>
        <w:autoSpaceDE w:val="0"/>
        <w:autoSpaceDN w:val="0"/>
        <w:adjustRightInd w:val="0"/>
        <w:jc w:val="center"/>
        <w:rPr>
          <w:rFonts w:ascii="Abadi" w:eastAsia="Calibri" w:hAnsi="Abadi" w:cs="*Verdana-Bold-5917-Identity-H"/>
          <w:b/>
          <w:bCs/>
          <w:color w:val="111117"/>
          <w:sz w:val="21"/>
          <w:szCs w:val="21"/>
          <w:lang w:val="es-MX" w:eastAsia="en-US"/>
        </w:rPr>
      </w:pPr>
      <w:r w:rsidRPr="005E32B9">
        <w:rPr>
          <w:rFonts w:ascii="Abadi" w:eastAsia="Calibri" w:hAnsi="Abadi" w:cs="*Verdana-Bold-5917-Identity-H"/>
          <w:b/>
          <w:bCs/>
          <w:color w:val="111117"/>
          <w:sz w:val="21"/>
          <w:szCs w:val="21"/>
          <w:lang w:val="es-MX" w:eastAsia="en-US"/>
        </w:rPr>
        <w:t>ACUERDO</w:t>
      </w:r>
    </w:p>
    <w:p w14:paraId="11F8C9BC" w14:textId="77777777" w:rsidR="005E32B9" w:rsidRPr="005E32B9" w:rsidRDefault="005E32B9" w:rsidP="005E32B9">
      <w:pPr>
        <w:autoSpaceDE w:val="0"/>
        <w:autoSpaceDN w:val="0"/>
        <w:adjustRightInd w:val="0"/>
        <w:jc w:val="both"/>
        <w:rPr>
          <w:rFonts w:ascii="Abadi" w:eastAsia="Calibri" w:hAnsi="Abadi" w:cs="*Verdana-Bold-5917-Identity-H"/>
          <w:b/>
          <w:bCs/>
          <w:color w:val="0F0E10"/>
          <w:sz w:val="21"/>
          <w:szCs w:val="21"/>
          <w:lang w:val="es-MX" w:eastAsia="en-US"/>
        </w:rPr>
      </w:pPr>
    </w:p>
    <w:p w14:paraId="105FE4C7" w14:textId="77777777" w:rsidR="005E32B9" w:rsidRPr="005E32B9" w:rsidRDefault="005E32B9" w:rsidP="005E32B9">
      <w:pPr>
        <w:autoSpaceDE w:val="0"/>
        <w:autoSpaceDN w:val="0"/>
        <w:adjustRightInd w:val="0"/>
        <w:ind w:firstLine="708"/>
        <w:jc w:val="both"/>
        <w:rPr>
          <w:rFonts w:ascii="Abadi" w:eastAsia="Calibri" w:hAnsi="Abadi" w:cs="*Verdana-5916-Identity-H"/>
          <w:color w:val="0F0E10"/>
          <w:sz w:val="21"/>
          <w:szCs w:val="21"/>
          <w:lang w:val="es-MX" w:eastAsia="en-US"/>
        </w:rPr>
      </w:pPr>
      <w:r w:rsidRPr="005E32B9">
        <w:rPr>
          <w:rFonts w:ascii="Abadi" w:eastAsia="Calibri" w:hAnsi="Abadi" w:cs="*Verdana-Bold-5917-Identity-H"/>
          <w:b/>
          <w:bCs/>
          <w:color w:val="0F0E10"/>
          <w:sz w:val="21"/>
          <w:szCs w:val="21"/>
          <w:lang w:val="es-MX" w:eastAsia="en-US"/>
        </w:rPr>
        <w:t xml:space="preserve">PRIMERO. </w:t>
      </w:r>
      <w:r w:rsidRPr="005E32B9">
        <w:rPr>
          <w:rFonts w:ascii="Abadi" w:eastAsia="Calibri" w:hAnsi="Abadi" w:cs="*Verdana-5916-Identity-H"/>
          <w:color w:val="0F0E10"/>
          <w:sz w:val="21"/>
          <w:szCs w:val="21"/>
          <w:lang w:val="es-MX" w:eastAsia="en-US"/>
        </w:rPr>
        <w:t>La Sexagésima Quinta Legislatura del Congreso Libre y Soberano de Guanajuato, efectúa un respetuoso exhorto al Titular del Poder Ejecutivo Federal, para que, a través de la Procuraduría Federal del Consumidor, verifique los instrumentos de medición que sirven de base en transacciones comerciales del sector agroalimentario en el Estado de Guanajuato; y en el ámbito de sus atribuciones legales, se realicen verificaciones rigurosas en los centros de acopio durante el ciclo agrícola otoño-invierno.</w:t>
      </w:r>
    </w:p>
    <w:p w14:paraId="49D8519A" w14:textId="77777777" w:rsidR="005E32B9" w:rsidRPr="005E32B9" w:rsidRDefault="005E32B9" w:rsidP="005E32B9">
      <w:pPr>
        <w:autoSpaceDE w:val="0"/>
        <w:autoSpaceDN w:val="0"/>
        <w:adjustRightInd w:val="0"/>
        <w:jc w:val="both"/>
        <w:rPr>
          <w:rFonts w:ascii="Abadi" w:eastAsia="Calibri" w:hAnsi="Abadi" w:cs="*Verdana-Bold-5917-Identity-H"/>
          <w:b/>
          <w:bCs/>
          <w:color w:val="0E0D10"/>
          <w:sz w:val="21"/>
          <w:szCs w:val="21"/>
          <w:lang w:val="es-MX" w:eastAsia="en-US"/>
        </w:rPr>
      </w:pPr>
    </w:p>
    <w:p w14:paraId="0ABF5A57" w14:textId="77777777" w:rsidR="005E32B9" w:rsidRPr="005E32B9" w:rsidRDefault="005E32B9" w:rsidP="005E32B9">
      <w:pPr>
        <w:autoSpaceDE w:val="0"/>
        <w:autoSpaceDN w:val="0"/>
        <w:adjustRightInd w:val="0"/>
        <w:ind w:firstLine="708"/>
        <w:jc w:val="both"/>
        <w:rPr>
          <w:rFonts w:ascii="Abadi" w:eastAsia="Calibri" w:hAnsi="Abadi" w:cs="*Verdana-5916-Identity-H"/>
          <w:color w:val="0E0D10"/>
          <w:sz w:val="21"/>
          <w:szCs w:val="21"/>
          <w:lang w:val="es-MX" w:eastAsia="en-US"/>
        </w:rPr>
      </w:pPr>
      <w:r w:rsidRPr="005E32B9">
        <w:rPr>
          <w:rFonts w:ascii="Abadi" w:eastAsia="Calibri" w:hAnsi="Abadi" w:cs="*Verdana-Bold-5917-Identity-H"/>
          <w:b/>
          <w:bCs/>
          <w:color w:val="0E0D10"/>
          <w:sz w:val="21"/>
          <w:szCs w:val="21"/>
          <w:lang w:val="es-MX" w:eastAsia="en-US"/>
        </w:rPr>
        <w:t xml:space="preserve">SEGUNDO. </w:t>
      </w:r>
      <w:r w:rsidRPr="005E32B9">
        <w:rPr>
          <w:rFonts w:ascii="Abadi" w:eastAsia="Calibri" w:hAnsi="Abadi" w:cs="*Verdana-5916-Identity-H"/>
          <w:color w:val="0E0D10"/>
          <w:sz w:val="21"/>
          <w:szCs w:val="21"/>
          <w:lang w:val="es-MX" w:eastAsia="en-US"/>
        </w:rPr>
        <w:t>La Sexagésima Quinta Legislatura del Congreso Libre y Soberano de Guanajuato, efectúa un respetuoso exhorto al Titular del Poder Ejecutivo Federal, para que una vez realizadas las acciones de verificación de los instrumentos de medición que sirven de base en transacciones comerciales del sector agroalimentario en el Estado de Guanajuato; y en el ámbito de sus atribuciones legales, realicen verificaciones rigurosas en los centros de acopio durante el ciclo agrícola otoño-invierno, e informe a esta soberanía sobre los resultados encontrados.</w:t>
      </w:r>
    </w:p>
    <w:p w14:paraId="69F96377" w14:textId="77777777" w:rsidR="005E32B9" w:rsidRPr="005E32B9" w:rsidRDefault="005E32B9" w:rsidP="005E32B9">
      <w:pPr>
        <w:spacing w:after="160" w:line="259" w:lineRule="auto"/>
        <w:jc w:val="both"/>
        <w:rPr>
          <w:rFonts w:ascii="Abadi" w:eastAsia="Calibri" w:hAnsi="Abadi" w:cs="*Verdana-5916-Identity-H"/>
          <w:color w:val="0E0D10"/>
          <w:sz w:val="21"/>
          <w:szCs w:val="21"/>
          <w:lang w:val="es-MX" w:eastAsia="en-US"/>
        </w:rPr>
      </w:pPr>
    </w:p>
    <w:p w14:paraId="1F69BE59" w14:textId="77777777" w:rsidR="005E32B9" w:rsidRPr="005E32B9" w:rsidRDefault="005E32B9" w:rsidP="005E32B9">
      <w:pPr>
        <w:autoSpaceDE w:val="0"/>
        <w:autoSpaceDN w:val="0"/>
        <w:adjustRightInd w:val="0"/>
        <w:jc w:val="center"/>
        <w:rPr>
          <w:rFonts w:ascii="Abadi" w:eastAsia="Calibri" w:hAnsi="Abadi" w:cs="*Verdana-Bold-5416-Identity-H"/>
          <w:b/>
          <w:bCs/>
          <w:color w:val="0E0D13"/>
          <w:sz w:val="21"/>
          <w:szCs w:val="21"/>
          <w:lang w:val="es-MX" w:eastAsia="en-US"/>
        </w:rPr>
      </w:pPr>
      <w:r w:rsidRPr="005E32B9">
        <w:rPr>
          <w:rFonts w:ascii="Abadi" w:eastAsia="Calibri" w:hAnsi="Abadi" w:cs="*Verdana-Bold-5416-Identity-H"/>
          <w:b/>
          <w:bCs/>
          <w:color w:val="0E0D13"/>
          <w:sz w:val="21"/>
          <w:szCs w:val="21"/>
          <w:lang w:val="es-MX" w:eastAsia="en-US"/>
        </w:rPr>
        <w:t>Guanajuato, Gto., 14 de junio de 2022</w:t>
      </w:r>
    </w:p>
    <w:p w14:paraId="36B8284F" w14:textId="77777777" w:rsidR="005E32B9" w:rsidRPr="005E32B9" w:rsidRDefault="005E32B9" w:rsidP="005E32B9">
      <w:pPr>
        <w:spacing w:after="160" w:line="259" w:lineRule="auto"/>
        <w:jc w:val="center"/>
        <w:rPr>
          <w:rFonts w:ascii="Abadi" w:eastAsia="Calibri" w:hAnsi="Abadi"/>
          <w:sz w:val="21"/>
          <w:szCs w:val="21"/>
          <w:lang w:val="es-MX" w:eastAsia="en-US"/>
        </w:rPr>
      </w:pPr>
      <w:r w:rsidRPr="005E32B9">
        <w:rPr>
          <w:rFonts w:ascii="Abadi" w:eastAsia="Calibri" w:hAnsi="Abadi" w:cs="*Verdana-Bold-5416-Identity-H"/>
          <w:b/>
          <w:bCs/>
          <w:color w:val="0E0D13"/>
          <w:sz w:val="21"/>
          <w:szCs w:val="21"/>
          <w:lang w:val="es-MX" w:eastAsia="en-US"/>
        </w:rPr>
        <w:t>La Comisión de Fomento Agropecuario</w:t>
      </w:r>
    </w:p>
    <w:p w14:paraId="2EBB05A0" w14:textId="77777777" w:rsidR="00CA21CB" w:rsidRPr="00CA21CB" w:rsidRDefault="00CA21CB" w:rsidP="00CA21CB">
      <w:pPr>
        <w:rPr>
          <w:rFonts w:ascii="Abadi" w:hAnsi="Abadi"/>
          <w:b/>
          <w:bCs/>
          <w:sz w:val="20"/>
          <w:szCs w:val="20"/>
        </w:rPr>
      </w:pPr>
    </w:p>
    <w:p w14:paraId="3B1DE1EB" w14:textId="6F163996" w:rsidR="000D3338" w:rsidRDefault="000D3338" w:rsidP="005433FA">
      <w:pPr>
        <w:pStyle w:val="Prrafodelista"/>
        <w:numPr>
          <w:ilvl w:val="0"/>
          <w:numId w:val="9"/>
        </w:numPr>
        <w:tabs>
          <w:tab w:val="left" w:pos="856"/>
        </w:tabs>
        <w:kinsoku w:val="0"/>
        <w:overflowPunct w:val="0"/>
        <w:autoSpaceDE w:val="0"/>
        <w:autoSpaceDN w:val="0"/>
        <w:adjustRightInd w:val="0"/>
        <w:spacing w:before="203"/>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50"/>
          <w:w w:val="150"/>
          <w:sz w:val="20"/>
          <w:szCs w:val="20"/>
        </w:rPr>
        <w:t xml:space="preserve"> </w:t>
      </w:r>
      <w:r w:rsidRPr="00531B12">
        <w:rPr>
          <w:rFonts w:ascii="Abadi" w:hAnsi="Abadi"/>
          <w:b/>
          <w:bCs/>
          <w:sz w:val="20"/>
          <w:szCs w:val="20"/>
        </w:rPr>
        <w:t>Y,</w:t>
      </w:r>
      <w:r w:rsidRPr="00531B12">
        <w:rPr>
          <w:rFonts w:ascii="Abadi" w:hAnsi="Abadi"/>
          <w:b/>
          <w:bCs/>
          <w:spacing w:val="50"/>
          <w:w w:val="150"/>
          <w:sz w:val="20"/>
          <w:szCs w:val="20"/>
        </w:rPr>
        <w:t xml:space="preserve"> </w:t>
      </w:r>
      <w:r w:rsidRPr="00531B12">
        <w:rPr>
          <w:rFonts w:ascii="Abadi" w:hAnsi="Abadi"/>
          <w:b/>
          <w:bCs/>
          <w:sz w:val="20"/>
          <w:szCs w:val="20"/>
        </w:rPr>
        <w:t>EN</w:t>
      </w:r>
      <w:r w:rsidRPr="00531B12">
        <w:rPr>
          <w:rFonts w:ascii="Abadi" w:hAnsi="Abadi"/>
          <w:b/>
          <w:bCs/>
          <w:spacing w:val="50"/>
          <w:w w:val="150"/>
          <w:sz w:val="20"/>
          <w:szCs w:val="20"/>
        </w:rPr>
        <w:t xml:space="preserve"> </w:t>
      </w:r>
      <w:r w:rsidRPr="00531B12">
        <w:rPr>
          <w:rFonts w:ascii="Abadi" w:hAnsi="Abadi"/>
          <w:b/>
          <w:bCs/>
          <w:sz w:val="20"/>
          <w:szCs w:val="20"/>
        </w:rPr>
        <w:t>SU</w:t>
      </w:r>
      <w:r w:rsidRPr="00531B12">
        <w:rPr>
          <w:rFonts w:ascii="Abadi" w:hAnsi="Abadi"/>
          <w:b/>
          <w:bCs/>
          <w:spacing w:val="50"/>
          <w:w w:val="150"/>
          <w:sz w:val="20"/>
          <w:szCs w:val="20"/>
        </w:rPr>
        <w:t xml:space="preserve"> </w:t>
      </w:r>
      <w:r w:rsidRPr="00531B12">
        <w:rPr>
          <w:rFonts w:ascii="Abadi" w:hAnsi="Abadi"/>
          <w:b/>
          <w:bCs/>
          <w:sz w:val="20"/>
          <w:szCs w:val="20"/>
        </w:rPr>
        <w:t>CASO,</w:t>
      </w:r>
      <w:r w:rsidRPr="00531B12">
        <w:rPr>
          <w:rFonts w:ascii="Abadi" w:hAnsi="Abadi"/>
          <w:b/>
          <w:bCs/>
          <w:spacing w:val="50"/>
          <w:w w:val="150"/>
          <w:sz w:val="20"/>
          <w:szCs w:val="20"/>
        </w:rPr>
        <w:t xml:space="preserve"> </w:t>
      </w:r>
      <w:r w:rsidRPr="00531B12">
        <w:rPr>
          <w:rFonts w:ascii="Abadi" w:hAnsi="Abadi"/>
          <w:b/>
          <w:bCs/>
          <w:sz w:val="20"/>
          <w:szCs w:val="20"/>
        </w:rPr>
        <w:t>APROBACIÓN</w:t>
      </w:r>
      <w:r w:rsidRPr="00531B12">
        <w:rPr>
          <w:rFonts w:ascii="Abadi" w:hAnsi="Abadi"/>
          <w:b/>
          <w:bCs/>
          <w:spacing w:val="50"/>
          <w:w w:val="150"/>
          <w:sz w:val="20"/>
          <w:szCs w:val="20"/>
        </w:rPr>
        <w:t xml:space="preserve"> </w:t>
      </w:r>
      <w:r w:rsidRPr="00531B12">
        <w:rPr>
          <w:rFonts w:ascii="Abadi" w:hAnsi="Abadi"/>
          <w:b/>
          <w:bCs/>
          <w:sz w:val="20"/>
          <w:szCs w:val="20"/>
        </w:rPr>
        <w:t>DEL</w:t>
      </w:r>
      <w:r w:rsidRPr="00531B12">
        <w:rPr>
          <w:rFonts w:ascii="Abadi" w:hAnsi="Abadi"/>
          <w:b/>
          <w:bCs/>
          <w:spacing w:val="50"/>
          <w:w w:val="150"/>
          <w:sz w:val="20"/>
          <w:szCs w:val="20"/>
        </w:rPr>
        <w:t xml:space="preserve"> </w:t>
      </w:r>
      <w:r w:rsidRPr="00531B12">
        <w:rPr>
          <w:rFonts w:ascii="Abadi" w:hAnsi="Abadi"/>
          <w:b/>
          <w:bCs/>
          <w:sz w:val="20"/>
          <w:szCs w:val="20"/>
        </w:rPr>
        <w:t>DICTAMEN</w:t>
      </w:r>
      <w:r w:rsidRPr="00531B12">
        <w:rPr>
          <w:rFonts w:ascii="Abadi" w:hAnsi="Abadi"/>
          <w:b/>
          <w:bCs/>
          <w:spacing w:val="50"/>
          <w:w w:val="150"/>
          <w:sz w:val="20"/>
          <w:szCs w:val="20"/>
        </w:rPr>
        <w:t xml:space="preserve"> </w:t>
      </w:r>
      <w:r w:rsidRPr="00531B12">
        <w:rPr>
          <w:rFonts w:ascii="Abadi" w:hAnsi="Abadi"/>
          <w:b/>
          <w:bCs/>
          <w:sz w:val="20"/>
          <w:szCs w:val="20"/>
        </w:rPr>
        <w:t>PRESENTADO</w:t>
      </w:r>
      <w:r w:rsidRPr="00531B12">
        <w:rPr>
          <w:rFonts w:ascii="Abadi" w:hAnsi="Abadi"/>
          <w:b/>
          <w:bCs/>
          <w:spacing w:val="50"/>
          <w:w w:val="150"/>
          <w:sz w:val="20"/>
          <w:szCs w:val="20"/>
        </w:rPr>
        <w:t xml:space="preserve"> </w:t>
      </w:r>
      <w:r w:rsidRPr="00531B12">
        <w:rPr>
          <w:rFonts w:ascii="Abadi" w:hAnsi="Abadi"/>
          <w:b/>
          <w:bCs/>
          <w:sz w:val="20"/>
          <w:szCs w:val="20"/>
        </w:rPr>
        <w:t>POR</w:t>
      </w:r>
      <w:r w:rsidRPr="00531B12">
        <w:rPr>
          <w:rFonts w:ascii="Abadi" w:hAnsi="Abadi"/>
          <w:b/>
          <w:bCs/>
          <w:spacing w:val="50"/>
          <w:w w:val="150"/>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COMISIÓN</w:t>
      </w:r>
      <w:r w:rsidRPr="00531B12">
        <w:rPr>
          <w:rFonts w:ascii="Abadi" w:hAnsi="Abadi"/>
          <w:b/>
          <w:bCs/>
          <w:spacing w:val="15"/>
          <w:sz w:val="20"/>
          <w:szCs w:val="20"/>
        </w:rPr>
        <w:t xml:space="preserve"> </w:t>
      </w:r>
      <w:r w:rsidRPr="00531B12">
        <w:rPr>
          <w:rFonts w:ascii="Abadi" w:hAnsi="Abadi"/>
          <w:b/>
          <w:bCs/>
          <w:sz w:val="20"/>
          <w:szCs w:val="20"/>
        </w:rPr>
        <w:t>DE</w:t>
      </w:r>
      <w:r w:rsidRPr="00531B12">
        <w:rPr>
          <w:rFonts w:ascii="Abadi" w:hAnsi="Abadi"/>
          <w:b/>
          <w:bCs/>
          <w:spacing w:val="14"/>
          <w:sz w:val="20"/>
          <w:szCs w:val="20"/>
        </w:rPr>
        <w:t xml:space="preserve"> </w:t>
      </w:r>
      <w:r w:rsidRPr="00531B12">
        <w:rPr>
          <w:rFonts w:ascii="Abadi" w:hAnsi="Abadi"/>
          <w:b/>
          <w:bCs/>
          <w:sz w:val="20"/>
          <w:szCs w:val="20"/>
        </w:rPr>
        <w:t>GOBERNACIÓN</w:t>
      </w:r>
      <w:r w:rsidRPr="00531B12">
        <w:rPr>
          <w:rFonts w:ascii="Abadi" w:hAnsi="Abadi"/>
          <w:b/>
          <w:bCs/>
          <w:spacing w:val="14"/>
          <w:sz w:val="20"/>
          <w:szCs w:val="20"/>
        </w:rPr>
        <w:t xml:space="preserve"> </w:t>
      </w:r>
      <w:r w:rsidRPr="00531B12">
        <w:rPr>
          <w:rFonts w:ascii="Abadi" w:hAnsi="Abadi"/>
          <w:b/>
          <w:bCs/>
          <w:sz w:val="20"/>
          <w:szCs w:val="20"/>
        </w:rPr>
        <w:t>Y</w:t>
      </w:r>
      <w:r w:rsidRPr="00531B12">
        <w:rPr>
          <w:rFonts w:ascii="Abadi" w:hAnsi="Abadi"/>
          <w:b/>
          <w:bCs/>
          <w:spacing w:val="14"/>
          <w:sz w:val="20"/>
          <w:szCs w:val="20"/>
        </w:rPr>
        <w:t xml:space="preserve"> </w:t>
      </w:r>
      <w:r w:rsidRPr="00531B12">
        <w:rPr>
          <w:rFonts w:ascii="Abadi" w:hAnsi="Abadi"/>
          <w:b/>
          <w:bCs/>
          <w:sz w:val="20"/>
          <w:szCs w:val="20"/>
        </w:rPr>
        <w:t>PUNTOS</w:t>
      </w:r>
      <w:r w:rsidRPr="00531B12">
        <w:rPr>
          <w:rFonts w:ascii="Abadi" w:hAnsi="Abadi"/>
          <w:b/>
          <w:bCs/>
          <w:spacing w:val="14"/>
          <w:sz w:val="20"/>
          <w:szCs w:val="20"/>
        </w:rPr>
        <w:t xml:space="preserve"> </w:t>
      </w:r>
      <w:r w:rsidRPr="00531B12">
        <w:rPr>
          <w:rFonts w:ascii="Abadi" w:hAnsi="Abadi"/>
          <w:b/>
          <w:bCs/>
          <w:sz w:val="20"/>
          <w:szCs w:val="20"/>
        </w:rPr>
        <w:t>CONSTITUCIONALES</w:t>
      </w:r>
      <w:r w:rsidRPr="00531B12">
        <w:rPr>
          <w:rFonts w:ascii="Abadi" w:hAnsi="Abadi"/>
          <w:b/>
          <w:bCs/>
          <w:spacing w:val="13"/>
          <w:sz w:val="20"/>
          <w:szCs w:val="20"/>
        </w:rPr>
        <w:t xml:space="preserve"> </w:t>
      </w:r>
      <w:r w:rsidRPr="00531B12">
        <w:rPr>
          <w:rFonts w:ascii="Abadi" w:hAnsi="Abadi"/>
          <w:b/>
          <w:bCs/>
          <w:sz w:val="20"/>
          <w:szCs w:val="20"/>
        </w:rPr>
        <w:t>RELATIVO</w:t>
      </w:r>
      <w:r w:rsidRPr="00531B12">
        <w:rPr>
          <w:rFonts w:ascii="Abadi" w:hAnsi="Abadi"/>
          <w:b/>
          <w:bCs/>
          <w:spacing w:val="14"/>
          <w:sz w:val="20"/>
          <w:szCs w:val="20"/>
        </w:rPr>
        <w:t xml:space="preserve"> </w:t>
      </w:r>
      <w:r w:rsidRPr="00531B12">
        <w:rPr>
          <w:rFonts w:ascii="Abadi" w:hAnsi="Abadi"/>
          <w:b/>
          <w:bCs/>
          <w:sz w:val="20"/>
          <w:szCs w:val="20"/>
        </w:rPr>
        <w:t>A</w:t>
      </w:r>
      <w:r w:rsidRPr="00531B12">
        <w:rPr>
          <w:rFonts w:ascii="Abadi" w:hAnsi="Abadi"/>
          <w:b/>
          <w:bCs/>
          <w:spacing w:val="14"/>
          <w:sz w:val="20"/>
          <w:szCs w:val="20"/>
        </w:rPr>
        <w:t xml:space="preserve"> </w:t>
      </w:r>
      <w:r w:rsidRPr="00531B12">
        <w:rPr>
          <w:rFonts w:ascii="Abadi" w:hAnsi="Abadi"/>
          <w:b/>
          <w:bCs/>
          <w:sz w:val="20"/>
          <w:szCs w:val="20"/>
        </w:rPr>
        <w:t>LA</w:t>
      </w:r>
      <w:r w:rsidRPr="00531B12">
        <w:rPr>
          <w:rFonts w:ascii="Abadi" w:hAnsi="Abadi"/>
          <w:b/>
          <w:bCs/>
          <w:spacing w:val="14"/>
          <w:sz w:val="20"/>
          <w:szCs w:val="20"/>
        </w:rPr>
        <w:t xml:space="preserve"> </w:t>
      </w:r>
      <w:r w:rsidRPr="00531B12">
        <w:rPr>
          <w:rFonts w:ascii="Abadi" w:hAnsi="Abadi"/>
          <w:b/>
          <w:bCs/>
          <w:sz w:val="20"/>
          <w:szCs w:val="20"/>
        </w:rPr>
        <w:t>INICIATIVA</w:t>
      </w:r>
      <w:r w:rsidRPr="00531B12">
        <w:rPr>
          <w:rFonts w:ascii="Abadi" w:hAnsi="Abadi"/>
          <w:b/>
          <w:bCs/>
          <w:spacing w:val="-1"/>
          <w:sz w:val="20"/>
          <w:szCs w:val="20"/>
        </w:rPr>
        <w:t xml:space="preserve"> </w:t>
      </w:r>
      <w:r w:rsidRPr="00531B12">
        <w:rPr>
          <w:rFonts w:ascii="Abadi" w:hAnsi="Abadi"/>
          <w:b/>
          <w:bCs/>
          <w:sz w:val="20"/>
          <w:szCs w:val="20"/>
        </w:rPr>
        <w:t>FORMULADA</w:t>
      </w:r>
      <w:r w:rsidRPr="00531B12">
        <w:rPr>
          <w:rFonts w:ascii="Abadi" w:hAnsi="Abadi"/>
          <w:b/>
          <w:bCs/>
          <w:spacing w:val="30"/>
          <w:sz w:val="20"/>
          <w:szCs w:val="20"/>
        </w:rPr>
        <w:t xml:space="preserve"> </w:t>
      </w:r>
      <w:r w:rsidRPr="00531B12">
        <w:rPr>
          <w:rFonts w:ascii="Abadi" w:hAnsi="Abadi"/>
          <w:b/>
          <w:bCs/>
          <w:sz w:val="20"/>
          <w:szCs w:val="20"/>
        </w:rPr>
        <w:t>POR</w:t>
      </w:r>
      <w:r w:rsidRPr="00531B12">
        <w:rPr>
          <w:rFonts w:ascii="Abadi" w:hAnsi="Abadi"/>
          <w:b/>
          <w:bCs/>
          <w:spacing w:val="30"/>
          <w:sz w:val="20"/>
          <w:szCs w:val="20"/>
        </w:rPr>
        <w:t xml:space="preserve"> </w:t>
      </w:r>
      <w:r w:rsidRPr="00531B12">
        <w:rPr>
          <w:rFonts w:ascii="Abadi" w:hAnsi="Abadi"/>
          <w:b/>
          <w:bCs/>
          <w:sz w:val="20"/>
          <w:szCs w:val="20"/>
        </w:rPr>
        <w:t>LA</w:t>
      </w:r>
      <w:r w:rsidRPr="00531B12">
        <w:rPr>
          <w:rFonts w:ascii="Abadi" w:hAnsi="Abadi"/>
          <w:b/>
          <w:bCs/>
          <w:spacing w:val="30"/>
          <w:sz w:val="20"/>
          <w:szCs w:val="20"/>
        </w:rPr>
        <w:t xml:space="preserve"> </w:t>
      </w:r>
      <w:r w:rsidRPr="00531B12">
        <w:rPr>
          <w:rFonts w:ascii="Abadi" w:hAnsi="Abadi"/>
          <w:b/>
          <w:bCs/>
          <w:sz w:val="20"/>
          <w:szCs w:val="20"/>
        </w:rPr>
        <w:t>DIPUTADA</w:t>
      </w:r>
      <w:r w:rsidRPr="00531B12">
        <w:rPr>
          <w:rFonts w:ascii="Abadi" w:hAnsi="Abadi"/>
          <w:b/>
          <w:bCs/>
          <w:spacing w:val="30"/>
          <w:sz w:val="20"/>
          <w:szCs w:val="20"/>
        </w:rPr>
        <w:t xml:space="preserve"> </w:t>
      </w:r>
      <w:r w:rsidRPr="00531B12">
        <w:rPr>
          <w:rFonts w:ascii="Abadi" w:hAnsi="Abadi"/>
          <w:b/>
          <w:bCs/>
          <w:sz w:val="20"/>
          <w:szCs w:val="20"/>
        </w:rPr>
        <w:t>MARÍA</w:t>
      </w:r>
      <w:r w:rsidRPr="00531B12">
        <w:rPr>
          <w:rFonts w:ascii="Abadi" w:hAnsi="Abadi"/>
          <w:b/>
          <w:bCs/>
          <w:spacing w:val="30"/>
          <w:sz w:val="20"/>
          <w:szCs w:val="20"/>
        </w:rPr>
        <w:t xml:space="preserve"> </w:t>
      </w:r>
      <w:r w:rsidRPr="00531B12">
        <w:rPr>
          <w:rFonts w:ascii="Abadi" w:hAnsi="Abadi"/>
          <w:b/>
          <w:bCs/>
          <w:sz w:val="20"/>
          <w:szCs w:val="20"/>
        </w:rPr>
        <w:t>MAGDALENA</w:t>
      </w:r>
      <w:r w:rsidRPr="00531B12">
        <w:rPr>
          <w:rFonts w:ascii="Abadi" w:hAnsi="Abadi"/>
          <w:b/>
          <w:bCs/>
          <w:spacing w:val="30"/>
          <w:sz w:val="20"/>
          <w:szCs w:val="20"/>
        </w:rPr>
        <w:t xml:space="preserve"> </w:t>
      </w:r>
      <w:r w:rsidRPr="00531B12">
        <w:rPr>
          <w:rFonts w:ascii="Abadi" w:hAnsi="Abadi"/>
          <w:b/>
          <w:bCs/>
          <w:sz w:val="20"/>
          <w:szCs w:val="20"/>
        </w:rPr>
        <w:t>ROSALES</w:t>
      </w:r>
      <w:r w:rsidRPr="00531B12">
        <w:rPr>
          <w:rFonts w:ascii="Abadi" w:hAnsi="Abadi"/>
          <w:b/>
          <w:bCs/>
          <w:spacing w:val="30"/>
          <w:sz w:val="20"/>
          <w:szCs w:val="20"/>
        </w:rPr>
        <w:t xml:space="preserve"> </w:t>
      </w:r>
      <w:r w:rsidRPr="00531B12">
        <w:rPr>
          <w:rFonts w:ascii="Abadi" w:hAnsi="Abadi"/>
          <w:b/>
          <w:bCs/>
          <w:sz w:val="20"/>
          <w:szCs w:val="20"/>
        </w:rPr>
        <w:t>CRUZ,</w:t>
      </w:r>
      <w:r w:rsidRPr="00531B12">
        <w:rPr>
          <w:rFonts w:ascii="Abadi" w:hAnsi="Abadi"/>
          <w:b/>
          <w:bCs/>
          <w:spacing w:val="30"/>
          <w:sz w:val="20"/>
          <w:szCs w:val="20"/>
        </w:rPr>
        <w:t xml:space="preserve"> </w:t>
      </w:r>
      <w:r w:rsidRPr="00531B12">
        <w:rPr>
          <w:rFonts w:ascii="Abadi" w:hAnsi="Abadi"/>
          <w:b/>
          <w:bCs/>
          <w:sz w:val="20"/>
          <w:szCs w:val="20"/>
        </w:rPr>
        <w:t>INTEGRANTE</w:t>
      </w:r>
      <w:r w:rsidRPr="00531B12">
        <w:rPr>
          <w:rFonts w:ascii="Abadi" w:hAnsi="Abadi"/>
          <w:b/>
          <w:bCs/>
          <w:spacing w:val="30"/>
          <w:sz w:val="20"/>
          <w:szCs w:val="20"/>
        </w:rPr>
        <w:t xml:space="preserve"> </w:t>
      </w:r>
      <w:r w:rsidRPr="00531B12">
        <w:rPr>
          <w:rFonts w:ascii="Abadi" w:hAnsi="Abadi"/>
          <w:b/>
          <w:bCs/>
          <w:sz w:val="20"/>
          <w:szCs w:val="20"/>
        </w:rPr>
        <w:t>DEL</w:t>
      </w:r>
      <w:r w:rsidRPr="00531B12">
        <w:rPr>
          <w:rFonts w:ascii="Abadi" w:hAnsi="Abadi"/>
          <w:b/>
          <w:bCs/>
          <w:spacing w:val="-1"/>
          <w:sz w:val="20"/>
          <w:szCs w:val="20"/>
        </w:rPr>
        <w:t xml:space="preserve"> </w:t>
      </w:r>
      <w:r w:rsidRPr="00531B12">
        <w:rPr>
          <w:rFonts w:ascii="Abadi" w:hAnsi="Abadi"/>
          <w:b/>
          <w:bCs/>
          <w:sz w:val="20"/>
          <w:szCs w:val="20"/>
        </w:rPr>
        <w:t>GRUPO</w:t>
      </w:r>
      <w:r w:rsidRPr="00531B12">
        <w:rPr>
          <w:rFonts w:ascii="Abadi" w:hAnsi="Abadi"/>
          <w:b/>
          <w:bCs/>
          <w:spacing w:val="-5"/>
          <w:sz w:val="20"/>
          <w:szCs w:val="20"/>
        </w:rPr>
        <w:t xml:space="preserve"> </w:t>
      </w:r>
      <w:r w:rsidRPr="00531B12">
        <w:rPr>
          <w:rFonts w:ascii="Abadi" w:hAnsi="Abadi"/>
          <w:b/>
          <w:bCs/>
          <w:sz w:val="20"/>
          <w:szCs w:val="20"/>
        </w:rPr>
        <w:t>PARLAMENTARIO</w:t>
      </w:r>
      <w:r w:rsidRPr="00531B12">
        <w:rPr>
          <w:rFonts w:ascii="Abadi" w:hAnsi="Abadi"/>
          <w:b/>
          <w:bCs/>
          <w:spacing w:val="-5"/>
          <w:sz w:val="20"/>
          <w:szCs w:val="20"/>
        </w:rPr>
        <w:t xml:space="preserve"> </w:t>
      </w:r>
      <w:r w:rsidRPr="00531B12">
        <w:rPr>
          <w:rFonts w:ascii="Abadi" w:hAnsi="Abadi"/>
          <w:b/>
          <w:bCs/>
          <w:sz w:val="20"/>
          <w:szCs w:val="20"/>
        </w:rPr>
        <w:t>DEL</w:t>
      </w:r>
      <w:r w:rsidRPr="00531B12">
        <w:rPr>
          <w:rFonts w:ascii="Abadi" w:hAnsi="Abadi"/>
          <w:b/>
          <w:bCs/>
          <w:spacing w:val="-6"/>
          <w:sz w:val="20"/>
          <w:szCs w:val="20"/>
        </w:rPr>
        <w:t xml:space="preserve"> </w:t>
      </w:r>
      <w:r w:rsidRPr="00531B12">
        <w:rPr>
          <w:rFonts w:ascii="Abadi" w:hAnsi="Abadi"/>
          <w:b/>
          <w:bCs/>
          <w:sz w:val="20"/>
          <w:szCs w:val="20"/>
        </w:rPr>
        <w:t>PARTIDO</w:t>
      </w:r>
      <w:r w:rsidRPr="00531B12">
        <w:rPr>
          <w:rFonts w:ascii="Abadi" w:hAnsi="Abadi"/>
          <w:b/>
          <w:bCs/>
          <w:spacing w:val="-5"/>
          <w:sz w:val="20"/>
          <w:szCs w:val="20"/>
        </w:rPr>
        <w:t xml:space="preserve"> </w:t>
      </w:r>
      <w:r w:rsidRPr="00531B12">
        <w:rPr>
          <w:rFonts w:ascii="Abadi" w:hAnsi="Abadi"/>
          <w:b/>
          <w:bCs/>
          <w:sz w:val="20"/>
          <w:szCs w:val="20"/>
        </w:rPr>
        <w:t>MORENA,</w:t>
      </w:r>
      <w:r w:rsidRPr="00531B12">
        <w:rPr>
          <w:rFonts w:ascii="Abadi" w:hAnsi="Abadi"/>
          <w:b/>
          <w:bCs/>
          <w:spacing w:val="-6"/>
          <w:sz w:val="20"/>
          <w:szCs w:val="20"/>
        </w:rPr>
        <w:t xml:space="preserve"> </w:t>
      </w:r>
      <w:r w:rsidRPr="00531B12">
        <w:rPr>
          <w:rFonts w:ascii="Abadi" w:hAnsi="Abadi"/>
          <w:b/>
          <w:bCs/>
          <w:sz w:val="20"/>
          <w:szCs w:val="20"/>
        </w:rPr>
        <w:t>A</w:t>
      </w:r>
      <w:r w:rsidRPr="00531B12">
        <w:rPr>
          <w:rFonts w:ascii="Abadi" w:hAnsi="Abadi"/>
          <w:b/>
          <w:bCs/>
          <w:spacing w:val="-5"/>
          <w:sz w:val="20"/>
          <w:szCs w:val="20"/>
        </w:rPr>
        <w:t xml:space="preserve"> </w:t>
      </w:r>
      <w:r w:rsidRPr="00531B12">
        <w:rPr>
          <w:rFonts w:ascii="Abadi" w:hAnsi="Abadi"/>
          <w:b/>
          <w:bCs/>
          <w:sz w:val="20"/>
          <w:szCs w:val="20"/>
        </w:rPr>
        <w:t>EFECTO</w:t>
      </w:r>
      <w:r w:rsidRPr="00531B12">
        <w:rPr>
          <w:rFonts w:ascii="Abadi" w:hAnsi="Abadi"/>
          <w:b/>
          <w:bCs/>
          <w:spacing w:val="-6"/>
          <w:sz w:val="20"/>
          <w:szCs w:val="20"/>
        </w:rPr>
        <w:t xml:space="preserve"> </w:t>
      </w:r>
      <w:r w:rsidRPr="00531B12">
        <w:rPr>
          <w:rFonts w:ascii="Abadi" w:hAnsi="Abadi"/>
          <w:b/>
          <w:bCs/>
          <w:sz w:val="20"/>
          <w:szCs w:val="20"/>
        </w:rPr>
        <w:t>DE</w:t>
      </w:r>
      <w:r w:rsidRPr="00531B12">
        <w:rPr>
          <w:rFonts w:ascii="Abadi" w:hAnsi="Abadi"/>
          <w:b/>
          <w:bCs/>
          <w:spacing w:val="-5"/>
          <w:sz w:val="20"/>
          <w:szCs w:val="20"/>
        </w:rPr>
        <w:t xml:space="preserve"> </w:t>
      </w:r>
      <w:r w:rsidRPr="00531B12">
        <w:rPr>
          <w:rFonts w:ascii="Abadi" w:hAnsi="Abadi"/>
          <w:b/>
          <w:bCs/>
          <w:sz w:val="20"/>
          <w:szCs w:val="20"/>
        </w:rPr>
        <w:t>REFORMAR</w:t>
      </w:r>
      <w:r w:rsidRPr="00531B12">
        <w:rPr>
          <w:rFonts w:ascii="Abadi" w:hAnsi="Abadi"/>
          <w:b/>
          <w:bCs/>
          <w:spacing w:val="-6"/>
          <w:sz w:val="20"/>
          <w:szCs w:val="20"/>
        </w:rPr>
        <w:t xml:space="preserve"> </w:t>
      </w:r>
      <w:r w:rsidRPr="00531B12">
        <w:rPr>
          <w:rFonts w:ascii="Abadi" w:hAnsi="Abadi"/>
          <w:b/>
          <w:bCs/>
          <w:sz w:val="20"/>
          <w:szCs w:val="20"/>
        </w:rPr>
        <w:t>EL</w:t>
      </w:r>
      <w:r w:rsidRPr="00531B12">
        <w:rPr>
          <w:rFonts w:ascii="Abadi" w:hAnsi="Abadi"/>
          <w:b/>
          <w:bCs/>
          <w:spacing w:val="-6"/>
          <w:sz w:val="20"/>
          <w:szCs w:val="20"/>
        </w:rPr>
        <w:t xml:space="preserve"> </w:t>
      </w:r>
      <w:r w:rsidRPr="00531B12">
        <w:rPr>
          <w:rFonts w:ascii="Abadi" w:hAnsi="Abadi"/>
          <w:b/>
          <w:bCs/>
          <w:sz w:val="20"/>
          <w:szCs w:val="20"/>
        </w:rPr>
        <w:t>ARTÍCULO</w:t>
      </w:r>
      <w:r w:rsidRPr="00531B12">
        <w:rPr>
          <w:rFonts w:ascii="Abadi" w:hAnsi="Abadi"/>
          <w:b/>
          <w:bCs/>
          <w:spacing w:val="-5"/>
          <w:sz w:val="20"/>
          <w:szCs w:val="20"/>
        </w:rPr>
        <w:t xml:space="preserve"> </w:t>
      </w:r>
      <w:r w:rsidRPr="00531B12">
        <w:rPr>
          <w:rFonts w:ascii="Abadi" w:hAnsi="Abadi"/>
          <w:b/>
          <w:bCs/>
          <w:sz w:val="20"/>
          <w:szCs w:val="20"/>
        </w:rPr>
        <w:t>30</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22"/>
          <w:sz w:val="20"/>
          <w:szCs w:val="20"/>
        </w:rPr>
        <w:t xml:space="preserve"> </w:t>
      </w:r>
      <w:r w:rsidRPr="00531B12">
        <w:rPr>
          <w:rFonts w:ascii="Abadi" w:hAnsi="Abadi"/>
          <w:b/>
          <w:bCs/>
          <w:sz w:val="20"/>
          <w:szCs w:val="20"/>
        </w:rPr>
        <w:t>LA</w:t>
      </w:r>
      <w:r w:rsidRPr="00531B12">
        <w:rPr>
          <w:rFonts w:ascii="Abadi" w:hAnsi="Abadi"/>
          <w:b/>
          <w:bCs/>
          <w:spacing w:val="22"/>
          <w:sz w:val="20"/>
          <w:szCs w:val="20"/>
        </w:rPr>
        <w:t xml:space="preserve"> </w:t>
      </w:r>
      <w:r w:rsidRPr="00531B12">
        <w:rPr>
          <w:rFonts w:ascii="Abadi" w:hAnsi="Abadi"/>
          <w:b/>
          <w:bCs/>
          <w:sz w:val="20"/>
          <w:szCs w:val="20"/>
        </w:rPr>
        <w:t>CONSTITUCIÓN</w:t>
      </w:r>
      <w:r w:rsidRPr="00531B12">
        <w:rPr>
          <w:rFonts w:ascii="Abadi" w:hAnsi="Abadi"/>
          <w:b/>
          <w:bCs/>
          <w:spacing w:val="22"/>
          <w:sz w:val="20"/>
          <w:szCs w:val="20"/>
        </w:rPr>
        <w:t xml:space="preserve"> </w:t>
      </w:r>
      <w:r w:rsidRPr="00531B12">
        <w:rPr>
          <w:rFonts w:ascii="Abadi" w:hAnsi="Abadi"/>
          <w:b/>
          <w:bCs/>
          <w:sz w:val="20"/>
          <w:szCs w:val="20"/>
        </w:rPr>
        <w:t>POLÍTICA</w:t>
      </w:r>
      <w:r w:rsidRPr="00531B12">
        <w:rPr>
          <w:rFonts w:ascii="Abadi" w:hAnsi="Abadi"/>
          <w:b/>
          <w:bCs/>
          <w:spacing w:val="22"/>
          <w:sz w:val="20"/>
          <w:szCs w:val="20"/>
        </w:rPr>
        <w:t xml:space="preserve"> </w:t>
      </w:r>
      <w:r w:rsidRPr="00531B12">
        <w:rPr>
          <w:rFonts w:ascii="Abadi" w:hAnsi="Abadi"/>
          <w:b/>
          <w:bCs/>
          <w:sz w:val="20"/>
          <w:szCs w:val="20"/>
        </w:rPr>
        <w:t>PARA</w:t>
      </w:r>
      <w:r w:rsidRPr="00531B12">
        <w:rPr>
          <w:rFonts w:ascii="Abadi" w:hAnsi="Abadi"/>
          <w:b/>
          <w:bCs/>
          <w:spacing w:val="22"/>
          <w:sz w:val="20"/>
          <w:szCs w:val="20"/>
        </w:rPr>
        <w:t xml:space="preserve"> </w:t>
      </w:r>
      <w:r w:rsidRPr="00531B12">
        <w:rPr>
          <w:rFonts w:ascii="Abadi" w:hAnsi="Abadi"/>
          <w:b/>
          <w:bCs/>
          <w:sz w:val="20"/>
          <w:szCs w:val="20"/>
        </w:rPr>
        <w:t>EL</w:t>
      </w:r>
      <w:r w:rsidRPr="00531B12">
        <w:rPr>
          <w:rFonts w:ascii="Abadi" w:hAnsi="Abadi"/>
          <w:b/>
          <w:bCs/>
          <w:spacing w:val="22"/>
          <w:sz w:val="20"/>
          <w:szCs w:val="20"/>
        </w:rPr>
        <w:t xml:space="preserve"> </w:t>
      </w:r>
      <w:r w:rsidRPr="00531B12">
        <w:rPr>
          <w:rFonts w:ascii="Abadi" w:hAnsi="Abadi"/>
          <w:b/>
          <w:bCs/>
          <w:sz w:val="20"/>
          <w:szCs w:val="20"/>
        </w:rPr>
        <w:t>ESTADO</w:t>
      </w:r>
      <w:r w:rsidRPr="00531B12">
        <w:rPr>
          <w:rFonts w:ascii="Abadi" w:hAnsi="Abadi"/>
          <w:b/>
          <w:bCs/>
          <w:spacing w:val="22"/>
          <w:sz w:val="20"/>
          <w:szCs w:val="20"/>
        </w:rPr>
        <w:t xml:space="preserve"> </w:t>
      </w:r>
      <w:r w:rsidRPr="00531B12">
        <w:rPr>
          <w:rFonts w:ascii="Abadi" w:hAnsi="Abadi"/>
          <w:b/>
          <w:bCs/>
          <w:sz w:val="20"/>
          <w:szCs w:val="20"/>
        </w:rPr>
        <w:t>DE</w:t>
      </w:r>
      <w:r w:rsidRPr="00531B12">
        <w:rPr>
          <w:rFonts w:ascii="Abadi" w:hAnsi="Abadi"/>
          <w:b/>
          <w:bCs/>
          <w:spacing w:val="22"/>
          <w:sz w:val="20"/>
          <w:szCs w:val="20"/>
        </w:rPr>
        <w:t xml:space="preserve"> </w:t>
      </w:r>
      <w:r w:rsidRPr="00531B12">
        <w:rPr>
          <w:rFonts w:ascii="Abadi" w:hAnsi="Abadi"/>
          <w:b/>
          <w:bCs/>
          <w:sz w:val="20"/>
          <w:szCs w:val="20"/>
        </w:rPr>
        <w:t>GUANAJUATO;</w:t>
      </w:r>
      <w:r w:rsidRPr="00531B12">
        <w:rPr>
          <w:rFonts w:ascii="Abadi" w:hAnsi="Abadi"/>
          <w:b/>
          <w:bCs/>
          <w:spacing w:val="22"/>
          <w:sz w:val="20"/>
          <w:szCs w:val="20"/>
        </w:rPr>
        <w:t xml:space="preserve"> </w:t>
      </w:r>
      <w:r w:rsidRPr="00531B12">
        <w:rPr>
          <w:rFonts w:ascii="Abadi" w:hAnsi="Abadi"/>
          <w:b/>
          <w:bCs/>
          <w:sz w:val="20"/>
          <w:szCs w:val="20"/>
        </w:rPr>
        <w:t>Y</w:t>
      </w:r>
      <w:r w:rsidRPr="00531B12">
        <w:rPr>
          <w:rFonts w:ascii="Abadi" w:hAnsi="Abadi"/>
          <w:b/>
          <w:bCs/>
          <w:spacing w:val="22"/>
          <w:sz w:val="20"/>
          <w:szCs w:val="20"/>
        </w:rPr>
        <w:t xml:space="preserve"> </w:t>
      </w:r>
      <w:r w:rsidRPr="00531B12">
        <w:rPr>
          <w:rFonts w:ascii="Abadi" w:hAnsi="Abadi"/>
          <w:b/>
          <w:bCs/>
          <w:sz w:val="20"/>
          <w:szCs w:val="20"/>
        </w:rPr>
        <w:t>ADICIONAR</w:t>
      </w:r>
      <w:r w:rsidRPr="00531B12">
        <w:rPr>
          <w:rFonts w:ascii="Abadi" w:hAnsi="Abadi"/>
          <w:b/>
          <w:bCs/>
          <w:spacing w:val="22"/>
          <w:sz w:val="20"/>
          <w:szCs w:val="20"/>
        </w:rPr>
        <w:t xml:space="preserve"> </w:t>
      </w:r>
      <w:r w:rsidRPr="00531B12">
        <w:rPr>
          <w:rFonts w:ascii="Abadi" w:hAnsi="Abadi"/>
          <w:b/>
          <w:bCs/>
          <w:sz w:val="20"/>
          <w:szCs w:val="20"/>
        </w:rPr>
        <w:t>UNA</w:t>
      </w:r>
      <w:r w:rsidRPr="00531B12">
        <w:rPr>
          <w:rFonts w:ascii="Abadi" w:hAnsi="Abadi"/>
          <w:b/>
          <w:bCs/>
          <w:spacing w:val="-1"/>
          <w:sz w:val="20"/>
          <w:szCs w:val="20"/>
        </w:rPr>
        <w:t xml:space="preserve"> </w:t>
      </w:r>
      <w:r w:rsidRPr="00531B12">
        <w:rPr>
          <w:rFonts w:ascii="Abadi" w:hAnsi="Abadi"/>
          <w:b/>
          <w:bCs/>
          <w:sz w:val="20"/>
          <w:szCs w:val="20"/>
        </w:rPr>
        <w:t>FRACCIÓN</w:t>
      </w:r>
      <w:r w:rsidRPr="00531B12">
        <w:rPr>
          <w:rFonts w:ascii="Abadi" w:hAnsi="Abadi"/>
          <w:b/>
          <w:bCs/>
          <w:spacing w:val="46"/>
          <w:sz w:val="20"/>
          <w:szCs w:val="20"/>
        </w:rPr>
        <w:t xml:space="preserve"> </w:t>
      </w:r>
      <w:r w:rsidRPr="00531B12">
        <w:rPr>
          <w:rFonts w:ascii="Abadi" w:hAnsi="Abadi"/>
          <w:b/>
          <w:bCs/>
          <w:sz w:val="20"/>
          <w:szCs w:val="20"/>
        </w:rPr>
        <w:t>VI</w:t>
      </w:r>
      <w:r w:rsidRPr="00531B12">
        <w:rPr>
          <w:rFonts w:ascii="Abadi" w:hAnsi="Abadi"/>
          <w:b/>
          <w:bCs/>
          <w:spacing w:val="46"/>
          <w:sz w:val="20"/>
          <w:szCs w:val="20"/>
        </w:rPr>
        <w:t xml:space="preserve"> </w:t>
      </w:r>
      <w:r w:rsidRPr="00531B12">
        <w:rPr>
          <w:rFonts w:ascii="Abadi" w:hAnsi="Abadi"/>
          <w:b/>
          <w:bCs/>
          <w:sz w:val="20"/>
          <w:szCs w:val="20"/>
        </w:rPr>
        <w:t>AL</w:t>
      </w:r>
      <w:r w:rsidRPr="00531B12">
        <w:rPr>
          <w:rFonts w:ascii="Abadi" w:hAnsi="Abadi"/>
          <w:b/>
          <w:bCs/>
          <w:spacing w:val="46"/>
          <w:sz w:val="20"/>
          <w:szCs w:val="20"/>
        </w:rPr>
        <w:t xml:space="preserve"> </w:t>
      </w:r>
      <w:r w:rsidRPr="00531B12">
        <w:rPr>
          <w:rFonts w:ascii="Abadi" w:hAnsi="Abadi"/>
          <w:b/>
          <w:bCs/>
          <w:sz w:val="20"/>
          <w:szCs w:val="20"/>
        </w:rPr>
        <w:t>ARTÍCULO</w:t>
      </w:r>
      <w:r w:rsidRPr="00531B12">
        <w:rPr>
          <w:rFonts w:ascii="Abadi" w:hAnsi="Abadi"/>
          <w:b/>
          <w:bCs/>
          <w:spacing w:val="46"/>
          <w:sz w:val="20"/>
          <w:szCs w:val="20"/>
        </w:rPr>
        <w:t xml:space="preserve"> </w:t>
      </w:r>
      <w:r w:rsidRPr="00531B12">
        <w:rPr>
          <w:rFonts w:ascii="Abadi" w:hAnsi="Abadi"/>
          <w:b/>
          <w:bCs/>
          <w:sz w:val="20"/>
          <w:szCs w:val="20"/>
        </w:rPr>
        <w:t>11,</w:t>
      </w:r>
      <w:r w:rsidRPr="00531B12">
        <w:rPr>
          <w:rFonts w:ascii="Abadi" w:hAnsi="Abadi"/>
          <w:b/>
          <w:bCs/>
          <w:spacing w:val="46"/>
          <w:sz w:val="20"/>
          <w:szCs w:val="20"/>
        </w:rPr>
        <w:t xml:space="preserve"> </w:t>
      </w:r>
      <w:r w:rsidRPr="00531B12">
        <w:rPr>
          <w:rFonts w:ascii="Abadi" w:hAnsi="Abadi"/>
          <w:b/>
          <w:bCs/>
          <w:sz w:val="20"/>
          <w:szCs w:val="20"/>
        </w:rPr>
        <w:t>RECORRIÉNDOSE</w:t>
      </w:r>
      <w:r w:rsidRPr="00531B12">
        <w:rPr>
          <w:rFonts w:ascii="Abadi" w:hAnsi="Abadi"/>
          <w:b/>
          <w:bCs/>
          <w:spacing w:val="46"/>
          <w:sz w:val="20"/>
          <w:szCs w:val="20"/>
        </w:rPr>
        <w:t xml:space="preserve"> </w:t>
      </w:r>
      <w:r w:rsidRPr="00531B12">
        <w:rPr>
          <w:rFonts w:ascii="Abadi" w:hAnsi="Abadi"/>
          <w:b/>
          <w:bCs/>
          <w:sz w:val="20"/>
          <w:szCs w:val="20"/>
        </w:rPr>
        <w:t>LA</w:t>
      </w:r>
      <w:r w:rsidRPr="00531B12">
        <w:rPr>
          <w:rFonts w:ascii="Abadi" w:hAnsi="Abadi"/>
          <w:b/>
          <w:bCs/>
          <w:spacing w:val="46"/>
          <w:sz w:val="20"/>
          <w:szCs w:val="20"/>
        </w:rPr>
        <w:t xml:space="preserve"> </w:t>
      </w:r>
      <w:r w:rsidRPr="00531B12">
        <w:rPr>
          <w:rFonts w:ascii="Abadi" w:hAnsi="Abadi"/>
          <w:b/>
          <w:bCs/>
          <w:sz w:val="20"/>
          <w:szCs w:val="20"/>
        </w:rPr>
        <w:t>SUBSECUENTE,</w:t>
      </w:r>
      <w:r w:rsidRPr="00531B12">
        <w:rPr>
          <w:rFonts w:ascii="Abadi" w:hAnsi="Abadi"/>
          <w:b/>
          <w:bCs/>
          <w:spacing w:val="46"/>
          <w:sz w:val="20"/>
          <w:szCs w:val="20"/>
        </w:rPr>
        <w:t xml:space="preserve"> </w:t>
      </w:r>
      <w:r w:rsidRPr="00531B12">
        <w:rPr>
          <w:rFonts w:ascii="Abadi" w:hAnsi="Abadi"/>
          <w:b/>
          <w:bCs/>
          <w:sz w:val="20"/>
          <w:szCs w:val="20"/>
        </w:rPr>
        <w:t>DOS</w:t>
      </w:r>
      <w:r w:rsidRPr="00531B12">
        <w:rPr>
          <w:rFonts w:ascii="Abadi" w:hAnsi="Abadi"/>
          <w:b/>
          <w:bCs/>
          <w:spacing w:val="46"/>
          <w:sz w:val="20"/>
          <w:szCs w:val="20"/>
        </w:rPr>
        <w:t xml:space="preserve"> </w:t>
      </w:r>
      <w:r w:rsidRPr="00531B12">
        <w:rPr>
          <w:rFonts w:ascii="Abadi" w:hAnsi="Abadi"/>
          <w:b/>
          <w:bCs/>
          <w:sz w:val="20"/>
          <w:szCs w:val="20"/>
        </w:rPr>
        <w:t>PÁRRAFOS</w:t>
      </w:r>
      <w:r w:rsidRPr="00531B12">
        <w:rPr>
          <w:rFonts w:ascii="Abadi" w:hAnsi="Abadi"/>
          <w:b/>
          <w:bCs/>
          <w:spacing w:val="46"/>
          <w:sz w:val="20"/>
          <w:szCs w:val="20"/>
        </w:rPr>
        <w:t xml:space="preserve"> </w:t>
      </w:r>
      <w:r w:rsidRPr="00531B12">
        <w:rPr>
          <w:rFonts w:ascii="Abadi" w:hAnsi="Abadi"/>
          <w:b/>
          <w:bCs/>
          <w:sz w:val="20"/>
          <w:szCs w:val="20"/>
        </w:rPr>
        <w:t>AL</w:t>
      </w:r>
      <w:r w:rsidRPr="00531B12">
        <w:rPr>
          <w:rFonts w:ascii="Abadi" w:hAnsi="Abadi"/>
          <w:b/>
          <w:bCs/>
          <w:spacing w:val="-1"/>
          <w:sz w:val="20"/>
          <w:szCs w:val="20"/>
        </w:rPr>
        <w:t xml:space="preserve"> </w:t>
      </w:r>
      <w:r w:rsidRPr="00531B12">
        <w:rPr>
          <w:rFonts w:ascii="Abadi" w:hAnsi="Abadi"/>
          <w:b/>
          <w:bCs/>
          <w:sz w:val="20"/>
          <w:szCs w:val="20"/>
        </w:rPr>
        <w:t>ARTÍCULO</w:t>
      </w:r>
      <w:r w:rsidRPr="00531B12">
        <w:rPr>
          <w:rFonts w:ascii="Abadi" w:hAnsi="Abadi"/>
          <w:b/>
          <w:bCs/>
          <w:spacing w:val="-5"/>
          <w:sz w:val="20"/>
          <w:szCs w:val="20"/>
        </w:rPr>
        <w:t xml:space="preserve"> </w:t>
      </w:r>
      <w:r w:rsidRPr="00531B12">
        <w:rPr>
          <w:rFonts w:ascii="Abadi" w:hAnsi="Abadi"/>
          <w:b/>
          <w:bCs/>
          <w:sz w:val="20"/>
          <w:szCs w:val="20"/>
        </w:rPr>
        <w:t>15</w:t>
      </w:r>
      <w:r w:rsidRPr="00531B12">
        <w:rPr>
          <w:rFonts w:ascii="Abadi" w:hAnsi="Abadi"/>
          <w:b/>
          <w:bCs/>
          <w:spacing w:val="-5"/>
          <w:sz w:val="20"/>
          <w:szCs w:val="20"/>
        </w:rPr>
        <w:t xml:space="preserve"> </w:t>
      </w:r>
      <w:r w:rsidRPr="00531B12">
        <w:rPr>
          <w:rFonts w:ascii="Abadi" w:hAnsi="Abadi"/>
          <w:b/>
          <w:bCs/>
          <w:sz w:val="20"/>
          <w:szCs w:val="20"/>
        </w:rPr>
        <w:t>Y</w:t>
      </w:r>
      <w:r w:rsidRPr="00531B12">
        <w:rPr>
          <w:rFonts w:ascii="Abadi" w:hAnsi="Abadi"/>
          <w:b/>
          <w:bCs/>
          <w:spacing w:val="-5"/>
          <w:sz w:val="20"/>
          <w:szCs w:val="20"/>
        </w:rPr>
        <w:t xml:space="preserve"> </w:t>
      </w:r>
      <w:r w:rsidRPr="00531B12">
        <w:rPr>
          <w:rFonts w:ascii="Abadi" w:hAnsi="Abadi"/>
          <w:b/>
          <w:bCs/>
          <w:sz w:val="20"/>
          <w:szCs w:val="20"/>
        </w:rPr>
        <w:t>UNA</w:t>
      </w:r>
      <w:r w:rsidRPr="00531B12">
        <w:rPr>
          <w:rFonts w:ascii="Abadi" w:hAnsi="Abadi"/>
          <w:b/>
          <w:bCs/>
          <w:spacing w:val="-5"/>
          <w:sz w:val="20"/>
          <w:szCs w:val="20"/>
        </w:rPr>
        <w:t xml:space="preserve"> </w:t>
      </w:r>
      <w:r w:rsidRPr="00531B12">
        <w:rPr>
          <w:rFonts w:ascii="Abadi" w:hAnsi="Abadi"/>
          <w:b/>
          <w:bCs/>
          <w:sz w:val="20"/>
          <w:szCs w:val="20"/>
        </w:rPr>
        <w:t>FRACCIÓN</w:t>
      </w:r>
      <w:r w:rsidRPr="00531B12">
        <w:rPr>
          <w:rFonts w:ascii="Abadi" w:hAnsi="Abadi"/>
          <w:b/>
          <w:bCs/>
          <w:spacing w:val="-5"/>
          <w:sz w:val="20"/>
          <w:szCs w:val="20"/>
        </w:rPr>
        <w:t xml:space="preserve"> </w:t>
      </w:r>
      <w:r w:rsidRPr="00531B12">
        <w:rPr>
          <w:rFonts w:ascii="Abadi" w:hAnsi="Abadi"/>
          <w:b/>
          <w:bCs/>
          <w:sz w:val="20"/>
          <w:szCs w:val="20"/>
        </w:rPr>
        <w:t>V</w:t>
      </w:r>
      <w:r w:rsidRPr="00531B12">
        <w:rPr>
          <w:rFonts w:ascii="Abadi" w:hAnsi="Abadi"/>
          <w:b/>
          <w:bCs/>
          <w:spacing w:val="-5"/>
          <w:sz w:val="20"/>
          <w:szCs w:val="20"/>
        </w:rPr>
        <w:t xml:space="preserve"> </w:t>
      </w:r>
      <w:r w:rsidRPr="00531B12">
        <w:rPr>
          <w:rFonts w:ascii="Abadi" w:hAnsi="Abadi"/>
          <w:b/>
          <w:bCs/>
          <w:sz w:val="20"/>
          <w:szCs w:val="20"/>
        </w:rPr>
        <w:t>AL</w:t>
      </w:r>
      <w:r w:rsidRPr="00531B12">
        <w:rPr>
          <w:rFonts w:ascii="Abadi" w:hAnsi="Abadi"/>
          <w:b/>
          <w:bCs/>
          <w:spacing w:val="-5"/>
          <w:sz w:val="20"/>
          <w:szCs w:val="20"/>
        </w:rPr>
        <w:t xml:space="preserve"> </w:t>
      </w:r>
      <w:r w:rsidRPr="00531B12">
        <w:rPr>
          <w:rFonts w:ascii="Abadi" w:hAnsi="Abadi"/>
          <w:b/>
          <w:bCs/>
          <w:sz w:val="20"/>
          <w:szCs w:val="20"/>
        </w:rPr>
        <w:t>ARTÍCULO</w:t>
      </w:r>
      <w:r w:rsidRPr="00531B12">
        <w:rPr>
          <w:rFonts w:ascii="Abadi" w:hAnsi="Abadi"/>
          <w:b/>
          <w:bCs/>
          <w:spacing w:val="-5"/>
          <w:sz w:val="20"/>
          <w:szCs w:val="20"/>
        </w:rPr>
        <w:t xml:space="preserve"> </w:t>
      </w:r>
      <w:r w:rsidRPr="00531B12">
        <w:rPr>
          <w:rFonts w:ascii="Abadi" w:hAnsi="Abadi"/>
          <w:b/>
          <w:bCs/>
          <w:sz w:val="20"/>
          <w:szCs w:val="20"/>
        </w:rPr>
        <w:t>18</w:t>
      </w:r>
      <w:r w:rsidRPr="00531B12">
        <w:rPr>
          <w:rFonts w:ascii="Abadi" w:hAnsi="Abadi"/>
          <w:b/>
          <w:bCs/>
          <w:spacing w:val="-4"/>
          <w:sz w:val="20"/>
          <w:szCs w:val="20"/>
        </w:rPr>
        <w:t xml:space="preserve"> </w:t>
      </w:r>
      <w:r w:rsidRPr="00531B12">
        <w:rPr>
          <w:rFonts w:ascii="Abadi" w:hAnsi="Abadi"/>
          <w:b/>
          <w:bCs/>
          <w:sz w:val="20"/>
          <w:szCs w:val="20"/>
        </w:rPr>
        <w:t>DE</w:t>
      </w:r>
      <w:r w:rsidRPr="00531B12">
        <w:rPr>
          <w:rFonts w:ascii="Abadi" w:hAnsi="Abadi"/>
          <w:b/>
          <w:bCs/>
          <w:spacing w:val="-5"/>
          <w:sz w:val="20"/>
          <w:szCs w:val="20"/>
        </w:rPr>
        <w:t xml:space="preserve"> </w:t>
      </w:r>
      <w:r w:rsidRPr="00531B12">
        <w:rPr>
          <w:rFonts w:ascii="Abadi" w:hAnsi="Abadi"/>
          <w:b/>
          <w:bCs/>
          <w:sz w:val="20"/>
          <w:szCs w:val="20"/>
        </w:rPr>
        <w:t>LA</w:t>
      </w:r>
      <w:r w:rsidRPr="00531B12">
        <w:rPr>
          <w:rFonts w:ascii="Abadi" w:hAnsi="Abadi"/>
          <w:b/>
          <w:bCs/>
          <w:spacing w:val="-5"/>
          <w:sz w:val="20"/>
          <w:szCs w:val="20"/>
        </w:rPr>
        <w:t xml:space="preserve"> </w:t>
      </w:r>
      <w:r w:rsidRPr="00531B12">
        <w:rPr>
          <w:rFonts w:ascii="Abadi" w:hAnsi="Abadi"/>
          <w:b/>
          <w:bCs/>
          <w:sz w:val="20"/>
          <w:szCs w:val="20"/>
        </w:rPr>
        <w:t>LEY</w:t>
      </w:r>
      <w:r w:rsidRPr="00531B12">
        <w:rPr>
          <w:rFonts w:ascii="Abadi" w:hAnsi="Abadi"/>
          <w:b/>
          <w:bCs/>
          <w:spacing w:val="-5"/>
          <w:sz w:val="20"/>
          <w:szCs w:val="20"/>
        </w:rPr>
        <w:t xml:space="preserve"> </w:t>
      </w:r>
      <w:r w:rsidRPr="00531B12">
        <w:rPr>
          <w:rFonts w:ascii="Abadi" w:hAnsi="Abadi"/>
          <w:b/>
          <w:bCs/>
          <w:sz w:val="20"/>
          <w:szCs w:val="20"/>
        </w:rPr>
        <w:t>ORGÁNICA</w:t>
      </w:r>
      <w:r w:rsidRPr="00531B12">
        <w:rPr>
          <w:rFonts w:ascii="Abadi" w:hAnsi="Abadi"/>
          <w:b/>
          <w:bCs/>
          <w:spacing w:val="-5"/>
          <w:sz w:val="20"/>
          <w:szCs w:val="20"/>
        </w:rPr>
        <w:t xml:space="preserve"> </w:t>
      </w:r>
      <w:r w:rsidRPr="00531B12">
        <w:rPr>
          <w:rFonts w:ascii="Abadi" w:hAnsi="Abadi"/>
          <w:b/>
          <w:bCs/>
          <w:sz w:val="20"/>
          <w:szCs w:val="20"/>
        </w:rPr>
        <w:t>MUNICIPAL</w:t>
      </w:r>
      <w:r w:rsidRPr="00531B12">
        <w:rPr>
          <w:rFonts w:ascii="Abadi" w:hAnsi="Abadi"/>
          <w:b/>
          <w:bCs/>
          <w:spacing w:val="-5"/>
          <w:sz w:val="20"/>
          <w:szCs w:val="20"/>
        </w:rPr>
        <w:t xml:space="preserve"> </w:t>
      </w:r>
      <w:r w:rsidRPr="00531B12">
        <w:rPr>
          <w:rFonts w:ascii="Abadi" w:hAnsi="Abadi"/>
          <w:b/>
          <w:bCs/>
          <w:sz w:val="20"/>
          <w:szCs w:val="20"/>
        </w:rPr>
        <w:t>PARA</w:t>
      </w:r>
      <w:r w:rsidRPr="00531B12">
        <w:rPr>
          <w:rFonts w:ascii="Abadi" w:hAnsi="Abadi"/>
          <w:b/>
          <w:bCs/>
          <w:spacing w:val="-1"/>
          <w:sz w:val="20"/>
          <w:szCs w:val="20"/>
        </w:rPr>
        <w:t xml:space="preserve"> </w:t>
      </w:r>
      <w:r w:rsidRPr="00531B12">
        <w:rPr>
          <w:rFonts w:ascii="Abadi" w:hAnsi="Abadi"/>
          <w:b/>
          <w:bCs/>
          <w:sz w:val="20"/>
          <w:szCs w:val="20"/>
        </w:rPr>
        <w:t>EL</w:t>
      </w:r>
      <w:r w:rsidRPr="00531B12">
        <w:rPr>
          <w:rFonts w:ascii="Abadi" w:hAnsi="Abadi"/>
          <w:b/>
          <w:bCs/>
          <w:spacing w:val="40"/>
          <w:sz w:val="20"/>
          <w:szCs w:val="20"/>
        </w:rPr>
        <w:t xml:space="preserve">  </w:t>
      </w:r>
      <w:r w:rsidRPr="00531B12">
        <w:rPr>
          <w:rFonts w:ascii="Abadi" w:hAnsi="Abadi"/>
          <w:b/>
          <w:bCs/>
          <w:sz w:val="20"/>
          <w:szCs w:val="20"/>
        </w:rPr>
        <w:t>ESTADO</w:t>
      </w:r>
      <w:r w:rsidRPr="00531B12">
        <w:rPr>
          <w:rFonts w:ascii="Abadi" w:hAnsi="Abadi"/>
          <w:b/>
          <w:bCs/>
          <w:spacing w:val="40"/>
          <w:sz w:val="20"/>
          <w:szCs w:val="20"/>
        </w:rPr>
        <w:t xml:space="preserve">  </w:t>
      </w:r>
      <w:r w:rsidRPr="00531B12">
        <w:rPr>
          <w:rFonts w:ascii="Abadi" w:hAnsi="Abadi"/>
          <w:b/>
          <w:bCs/>
          <w:sz w:val="20"/>
          <w:szCs w:val="20"/>
        </w:rPr>
        <w:t>DE</w:t>
      </w:r>
      <w:r w:rsidRPr="00531B12">
        <w:rPr>
          <w:rFonts w:ascii="Abadi" w:hAnsi="Abadi"/>
          <w:b/>
          <w:bCs/>
          <w:spacing w:val="40"/>
          <w:sz w:val="20"/>
          <w:szCs w:val="20"/>
        </w:rPr>
        <w:t xml:space="preserve">  </w:t>
      </w:r>
      <w:r w:rsidRPr="00531B12">
        <w:rPr>
          <w:rFonts w:ascii="Abadi" w:hAnsi="Abadi"/>
          <w:b/>
          <w:bCs/>
          <w:sz w:val="20"/>
          <w:szCs w:val="20"/>
        </w:rPr>
        <w:t>GUANAJUATO,</w:t>
      </w:r>
      <w:r w:rsidRPr="00531B12">
        <w:rPr>
          <w:rFonts w:ascii="Abadi" w:hAnsi="Abadi"/>
          <w:b/>
          <w:bCs/>
          <w:spacing w:val="40"/>
          <w:sz w:val="20"/>
          <w:szCs w:val="20"/>
        </w:rPr>
        <w:t xml:space="preserve">  </w:t>
      </w:r>
      <w:r w:rsidRPr="00531B12">
        <w:rPr>
          <w:rFonts w:ascii="Abadi" w:hAnsi="Abadi"/>
          <w:b/>
          <w:bCs/>
          <w:i/>
          <w:iCs/>
          <w:sz w:val="20"/>
          <w:szCs w:val="20"/>
        </w:rPr>
        <w:t>EN</w:t>
      </w:r>
      <w:r w:rsidRPr="00531B12">
        <w:rPr>
          <w:rFonts w:ascii="Abadi" w:hAnsi="Abadi"/>
          <w:b/>
          <w:bCs/>
          <w:i/>
          <w:iCs/>
          <w:spacing w:val="40"/>
          <w:sz w:val="20"/>
          <w:szCs w:val="20"/>
        </w:rPr>
        <w:t xml:space="preserve">  </w:t>
      </w:r>
      <w:r w:rsidRPr="00531B12">
        <w:rPr>
          <w:rFonts w:ascii="Abadi" w:hAnsi="Abadi"/>
          <w:b/>
          <w:bCs/>
          <w:i/>
          <w:iCs/>
          <w:sz w:val="20"/>
          <w:szCs w:val="20"/>
        </w:rPr>
        <w:t>LA</w:t>
      </w:r>
      <w:r w:rsidRPr="00531B12">
        <w:rPr>
          <w:rFonts w:ascii="Abadi" w:hAnsi="Abadi"/>
          <w:b/>
          <w:bCs/>
          <w:i/>
          <w:iCs/>
          <w:spacing w:val="40"/>
          <w:sz w:val="20"/>
          <w:szCs w:val="20"/>
        </w:rPr>
        <w:t xml:space="preserve">  </w:t>
      </w:r>
      <w:r w:rsidRPr="00531B12">
        <w:rPr>
          <w:rFonts w:ascii="Abadi" w:hAnsi="Abadi"/>
          <w:b/>
          <w:bCs/>
          <w:i/>
          <w:iCs/>
          <w:sz w:val="20"/>
          <w:szCs w:val="20"/>
        </w:rPr>
        <w:t>PARTE</w:t>
      </w:r>
      <w:r w:rsidRPr="00531B12">
        <w:rPr>
          <w:rFonts w:ascii="Abadi" w:hAnsi="Abadi"/>
          <w:b/>
          <w:bCs/>
          <w:i/>
          <w:iCs/>
          <w:spacing w:val="40"/>
          <w:sz w:val="20"/>
          <w:szCs w:val="20"/>
        </w:rPr>
        <w:t xml:space="preserve">  </w:t>
      </w:r>
      <w:r w:rsidRPr="00531B12">
        <w:rPr>
          <w:rFonts w:ascii="Abadi" w:hAnsi="Abadi"/>
          <w:b/>
          <w:bCs/>
          <w:i/>
          <w:iCs/>
          <w:sz w:val="20"/>
          <w:szCs w:val="20"/>
        </w:rPr>
        <w:t>CORRESPONDIENTE</w:t>
      </w:r>
      <w:r w:rsidRPr="00531B12">
        <w:rPr>
          <w:rFonts w:ascii="Abadi" w:hAnsi="Abadi"/>
          <w:b/>
          <w:bCs/>
          <w:i/>
          <w:iCs/>
          <w:spacing w:val="40"/>
          <w:sz w:val="20"/>
          <w:szCs w:val="20"/>
        </w:rPr>
        <w:t xml:space="preserve">  </w:t>
      </w:r>
      <w:r w:rsidRPr="00531B12">
        <w:rPr>
          <w:rFonts w:ascii="Abadi" w:hAnsi="Abadi"/>
          <w:b/>
          <w:bCs/>
          <w:i/>
          <w:iCs/>
          <w:sz w:val="20"/>
          <w:szCs w:val="20"/>
        </w:rPr>
        <w:t>AL</w:t>
      </w:r>
      <w:r w:rsidRPr="00531B12">
        <w:rPr>
          <w:rFonts w:ascii="Abadi" w:hAnsi="Abadi"/>
          <w:b/>
          <w:bCs/>
          <w:i/>
          <w:iCs/>
          <w:spacing w:val="40"/>
          <w:sz w:val="20"/>
          <w:szCs w:val="20"/>
        </w:rPr>
        <w:t xml:space="preserve">  </w:t>
      </w:r>
      <w:r w:rsidRPr="00531B12">
        <w:rPr>
          <w:rFonts w:ascii="Abadi" w:hAnsi="Abadi"/>
          <w:b/>
          <w:bCs/>
          <w:i/>
          <w:iCs/>
          <w:sz w:val="20"/>
          <w:szCs w:val="20"/>
        </w:rPr>
        <w:t>PRIMER</w:t>
      </w:r>
      <w:r w:rsidRPr="00531B12">
        <w:rPr>
          <w:rFonts w:ascii="Abadi" w:hAnsi="Abadi"/>
          <w:b/>
          <w:bCs/>
          <w:i/>
          <w:iCs/>
          <w:spacing w:val="-1"/>
          <w:sz w:val="20"/>
          <w:szCs w:val="20"/>
        </w:rPr>
        <w:t xml:space="preserve"> </w:t>
      </w:r>
      <w:r w:rsidRPr="00531B12">
        <w:rPr>
          <w:rFonts w:ascii="Abadi" w:hAnsi="Abadi"/>
          <w:b/>
          <w:bCs/>
          <w:i/>
          <w:iCs/>
          <w:sz w:val="20"/>
          <w:szCs w:val="20"/>
        </w:rPr>
        <w:t>ORDENAMIENTO,</w:t>
      </w:r>
      <w:r w:rsidRPr="00531B12">
        <w:rPr>
          <w:rFonts w:ascii="Abadi" w:hAnsi="Abadi"/>
          <w:b/>
          <w:bCs/>
          <w:i/>
          <w:iCs/>
          <w:spacing w:val="-1"/>
          <w:sz w:val="20"/>
          <w:szCs w:val="20"/>
        </w:rPr>
        <w:t xml:space="preserve"> </w:t>
      </w:r>
      <w:r w:rsidRPr="00531B12">
        <w:rPr>
          <w:rFonts w:ascii="Abadi" w:hAnsi="Abadi"/>
          <w:b/>
          <w:bCs/>
          <w:sz w:val="20"/>
          <w:szCs w:val="20"/>
        </w:rPr>
        <w:t>ANTE</w:t>
      </w:r>
      <w:r w:rsidRPr="00531B12">
        <w:rPr>
          <w:rFonts w:ascii="Abadi" w:hAnsi="Abadi"/>
          <w:b/>
          <w:bCs/>
          <w:spacing w:val="-1"/>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SEXAGÉSIMA</w:t>
      </w:r>
      <w:r w:rsidRPr="00531B12">
        <w:rPr>
          <w:rFonts w:ascii="Abadi" w:hAnsi="Abadi"/>
          <w:b/>
          <w:bCs/>
          <w:spacing w:val="-1"/>
          <w:sz w:val="20"/>
          <w:szCs w:val="20"/>
        </w:rPr>
        <w:t xml:space="preserve"> </w:t>
      </w:r>
      <w:r w:rsidRPr="00531B12">
        <w:rPr>
          <w:rFonts w:ascii="Abadi" w:hAnsi="Abadi"/>
          <w:b/>
          <w:bCs/>
          <w:sz w:val="20"/>
          <w:szCs w:val="20"/>
        </w:rPr>
        <w:t>CUARTA</w:t>
      </w:r>
      <w:r w:rsidRPr="00531B12">
        <w:rPr>
          <w:rFonts w:ascii="Abadi" w:hAnsi="Abadi"/>
          <w:b/>
          <w:bCs/>
          <w:spacing w:val="-1"/>
          <w:sz w:val="20"/>
          <w:szCs w:val="20"/>
        </w:rPr>
        <w:t xml:space="preserve"> </w:t>
      </w:r>
      <w:r w:rsidRPr="00531B12">
        <w:rPr>
          <w:rFonts w:ascii="Abadi" w:hAnsi="Abadi"/>
          <w:b/>
          <w:bCs/>
          <w:sz w:val="20"/>
          <w:szCs w:val="20"/>
        </w:rPr>
        <w:t>LEGISLATURA.</w:t>
      </w:r>
    </w:p>
    <w:p w14:paraId="616CB6D2" w14:textId="6A3FD5DD" w:rsidR="00F75F91" w:rsidRDefault="00F75F91" w:rsidP="005F17F7">
      <w:pPr>
        <w:rPr>
          <w:rFonts w:ascii="Abadi" w:hAnsi="Abadi"/>
          <w:b/>
          <w:bCs/>
          <w:sz w:val="20"/>
          <w:szCs w:val="20"/>
        </w:rPr>
      </w:pPr>
    </w:p>
    <w:p w14:paraId="070B08E6" w14:textId="77777777" w:rsidR="00DE623A" w:rsidRPr="00DE623A" w:rsidRDefault="00DE623A" w:rsidP="00DE623A">
      <w:pPr>
        <w:jc w:val="both"/>
        <w:rPr>
          <w:rFonts w:ascii="Abadi" w:eastAsia="Arial Unicode MS" w:hAnsi="Abadi" w:cs="Arial Unicode MS"/>
          <w:b/>
          <w:sz w:val="21"/>
          <w:szCs w:val="21"/>
          <w:lang w:val="es-MX"/>
        </w:rPr>
      </w:pPr>
      <w:r w:rsidRPr="00DE623A">
        <w:rPr>
          <w:rFonts w:ascii="Abadi" w:eastAsia="Arial Unicode MS" w:hAnsi="Abadi" w:cs="Arial Unicode MS"/>
          <w:b/>
          <w:sz w:val="21"/>
          <w:szCs w:val="21"/>
          <w:lang w:val="es-MX"/>
        </w:rPr>
        <w:t>DIPUTADA IRMA LETICIA GONZÁLEZ SÁNCHEZ</w:t>
      </w:r>
    </w:p>
    <w:p w14:paraId="4D610611" w14:textId="77777777" w:rsidR="00DE623A" w:rsidRPr="00DE623A" w:rsidRDefault="00DE623A" w:rsidP="00DE623A">
      <w:pPr>
        <w:jc w:val="both"/>
        <w:rPr>
          <w:rFonts w:ascii="Abadi" w:eastAsia="Arial Unicode MS" w:hAnsi="Abadi" w:cs="Arial Unicode MS"/>
          <w:b/>
          <w:sz w:val="21"/>
          <w:szCs w:val="21"/>
          <w:lang w:val="es-MX"/>
        </w:rPr>
      </w:pPr>
      <w:r w:rsidRPr="00DE623A">
        <w:rPr>
          <w:rFonts w:ascii="Abadi" w:eastAsia="Arial Unicode MS" w:hAnsi="Abadi" w:cs="Arial Unicode MS"/>
          <w:b/>
          <w:sz w:val="21"/>
          <w:szCs w:val="21"/>
          <w:lang w:val="es-MX"/>
        </w:rPr>
        <w:t>PRESIDENTA DEL CONGRESO DEL ESTADO</w:t>
      </w:r>
    </w:p>
    <w:p w14:paraId="1E32A1F4" w14:textId="77777777" w:rsidR="00DE623A" w:rsidRPr="00DE623A" w:rsidRDefault="00DE623A" w:rsidP="00DE623A">
      <w:pPr>
        <w:jc w:val="both"/>
        <w:rPr>
          <w:rFonts w:ascii="Abadi" w:eastAsia="Arial Unicode MS" w:hAnsi="Abadi" w:cs="Arial Unicode MS"/>
          <w:b/>
          <w:sz w:val="21"/>
          <w:szCs w:val="21"/>
          <w:lang w:val="es-MX"/>
        </w:rPr>
      </w:pPr>
      <w:r w:rsidRPr="00DE623A">
        <w:rPr>
          <w:rFonts w:ascii="Abadi" w:eastAsia="Arial Unicode MS" w:hAnsi="Abadi" w:cs="Arial Unicode MS"/>
          <w:b/>
          <w:sz w:val="21"/>
          <w:szCs w:val="21"/>
          <w:lang w:val="es-MX"/>
        </w:rPr>
        <w:t>P R E S E N T E .</w:t>
      </w:r>
    </w:p>
    <w:p w14:paraId="177BD713" w14:textId="77777777" w:rsidR="00DE623A" w:rsidRPr="00DE623A" w:rsidRDefault="00DE623A" w:rsidP="00DE623A">
      <w:pPr>
        <w:ind w:firstLine="708"/>
        <w:jc w:val="both"/>
        <w:rPr>
          <w:rFonts w:ascii="Abadi" w:eastAsia="Arial Unicode MS" w:hAnsi="Abadi" w:cs="Arial Unicode MS"/>
          <w:sz w:val="21"/>
          <w:szCs w:val="21"/>
          <w:lang w:val="es-MX"/>
        </w:rPr>
      </w:pPr>
    </w:p>
    <w:p w14:paraId="04F6A7AF" w14:textId="77777777" w:rsidR="00DE623A" w:rsidRPr="00DE623A" w:rsidRDefault="00DE623A" w:rsidP="00DE623A">
      <w:pPr>
        <w:spacing w:line="276" w:lineRule="auto"/>
        <w:ind w:firstLine="708"/>
        <w:jc w:val="both"/>
        <w:rPr>
          <w:rFonts w:ascii="Abadi" w:eastAsia="Arial Unicode MS" w:hAnsi="Abadi" w:cs="Arial Unicode MS"/>
          <w:sz w:val="21"/>
          <w:szCs w:val="21"/>
          <w:lang w:val="es-MX"/>
        </w:rPr>
      </w:pPr>
      <w:r w:rsidRPr="00DE623A">
        <w:rPr>
          <w:rFonts w:ascii="Abadi" w:eastAsia="Arial Unicode MS" w:hAnsi="Abadi" w:cs="Arial Unicode MS"/>
          <w:sz w:val="21"/>
          <w:szCs w:val="21"/>
          <w:lang w:val="es-MX"/>
        </w:rPr>
        <w:t xml:space="preserve">La Comisión de Gobernación y Puntos Constitucionales recibimos como pendiente legislativo para efectos de estudio y dictamen la iniciativa </w:t>
      </w:r>
      <w:bookmarkStart w:id="5" w:name="_Hlk69474744"/>
      <w:r w:rsidRPr="00DE623A">
        <w:rPr>
          <w:rFonts w:ascii="Abadi" w:eastAsia="Arial Unicode MS" w:hAnsi="Abadi" w:cs="Arial Unicode MS"/>
          <w:sz w:val="21"/>
          <w:szCs w:val="21"/>
          <w:lang w:val="es-MX"/>
        </w:rPr>
        <w:t>formulada por la diputada María Magdalena Rosales Cruz, integrante del Grupo Parlamentario del Partido Morena</w:t>
      </w:r>
      <w:bookmarkEnd w:id="5"/>
      <w:r w:rsidRPr="00DE623A">
        <w:rPr>
          <w:rFonts w:ascii="Abadi" w:eastAsia="Arial Unicode MS" w:hAnsi="Abadi" w:cs="Arial Unicode MS"/>
          <w:sz w:val="21"/>
          <w:szCs w:val="21"/>
          <w:lang w:val="es-MX"/>
        </w:rPr>
        <w:t xml:space="preserve">, </w:t>
      </w:r>
      <w:bookmarkStart w:id="6" w:name="_Hlk66947004"/>
      <w:bookmarkStart w:id="7" w:name="_Hlk69474724"/>
      <w:r w:rsidRPr="00DE623A">
        <w:rPr>
          <w:rFonts w:ascii="Abadi" w:eastAsia="Arial Unicode MS" w:hAnsi="Abadi" w:cs="Arial Unicode MS"/>
          <w:sz w:val="21"/>
          <w:szCs w:val="21"/>
          <w:lang w:val="es-MX"/>
        </w:rPr>
        <w:t>a efecto de reformar el artículo 30 de la Constitución Política para el Estado de Guanajuato; y adicionar una fracción VI al artículo 11, recorriéndose la subsecuente, dos párrafos al artículo 15 y una fracción V al artículo 18 de la Ley Orgánica Municipal para el Estado de Guanajuato</w:t>
      </w:r>
      <w:bookmarkEnd w:id="6"/>
      <w:r w:rsidRPr="00DE623A">
        <w:rPr>
          <w:rFonts w:ascii="Abadi" w:eastAsia="Arial Unicode MS" w:hAnsi="Abadi" w:cs="Arial Unicode MS"/>
          <w:sz w:val="21"/>
          <w:szCs w:val="21"/>
          <w:lang w:val="es-MX"/>
        </w:rPr>
        <w:t xml:space="preserve">, </w:t>
      </w:r>
      <w:r w:rsidRPr="00DE623A">
        <w:rPr>
          <w:rFonts w:ascii="Abadi" w:eastAsia="Arial Unicode MS" w:hAnsi="Abadi" w:cs="Arial Unicode MS"/>
          <w:i/>
          <w:iCs/>
          <w:sz w:val="21"/>
          <w:szCs w:val="21"/>
          <w:lang w:val="es-MX"/>
        </w:rPr>
        <w:t>en la parte correspondiente al primer ordenamiento</w:t>
      </w:r>
      <w:bookmarkEnd w:id="7"/>
      <w:r w:rsidRPr="00DE623A">
        <w:rPr>
          <w:rFonts w:ascii="Abadi" w:eastAsia="Arial Unicode MS" w:hAnsi="Abadi" w:cs="Arial Unicode MS"/>
          <w:sz w:val="21"/>
          <w:szCs w:val="21"/>
          <w:lang w:val="es-MX"/>
        </w:rPr>
        <w:t>,</w:t>
      </w:r>
      <w:r w:rsidRPr="00DE623A">
        <w:rPr>
          <w:rFonts w:ascii="Abadi" w:hAnsi="Abadi" w:cs="Arial Unicode MS"/>
          <w:bCs/>
          <w:iCs/>
          <w:sz w:val="21"/>
          <w:szCs w:val="21"/>
          <w:lang w:val="es-ES_tradnl"/>
        </w:rPr>
        <w:t xml:space="preserve"> </w:t>
      </w:r>
      <w:r w:rsidRPr="00DE623A">
        <w:rPr>
          <w:rFonts w:ascii="Abadi" w:eastAsia="Arial Unicode MS" w:hAnsi="Abadi" w:cs="Arial Unicode MS"/>
          <w:sz w:val="21"/>
          <w:szCs w:val="21"/>
          <w:lang w:val="es-MX"/>
        </w:rPr>
        <w:t>ante la Sexagésima Cuarta Legislatura.</w:t>
      </w:r>
    </w:p>
    <w:p w14:paraId="058B8566" w14:textId="77777777" w:rsidR="00DE623A" w:rsidRPr="00DE623A" w:rsidRDefault="00DE623A" w:rsidP="00DE623A">
      <w:pPr>
        <w:spacing w:line="276" w:lineRule="auto"/>
        <w:ind w:firstLine="708"/>
        <w:jc w:val="both"/>
        <w:rPr>
          <w:rFonts w:ascii="Abadi" w:eastAsia="Arial Unicode MS" w:hAnsi="Abadi" w:cs="Arial Unicode MS"/>
          <w:sz w:val="21"/>
          <w:szCs w:val="21"/>
          <w:lang w:val="es-MX"/>
        </w:rPr>
      </w:pPr>
    </w:p>
    <w:p w14:paraId="54893C99" w14:textId="77777777" w:rsidR="00DE623A" w:rsidRPr="00DE623A" w:rsidRDefault="00DE623A" w:rsidP="00DE623A">
      <w:pPr>
        <w:spacing w:line="276" w:lineRule="auto"/>
        <w:ind w:firstLine="708"/>
        <w:jc w:val="both"/>
        <w:rPr>
          <w:rFonts w:ascii="Abadi" w:eastAsia="Arial Unicode MS" w:hAnsi="Abadi" w:cs="Arial Unicode MS"/>
          <w:sz w:val="21"/>
          <w:szCs w:val="21"/>
          <w:lang w:val="es-MX"/>
        </w:rPr>
      </w:pPr>
      <w:r w:rsidRPr="00DE623A">
        <w:rPr>
          <w:rFonts w:ascii="Abadi" w:eastAsia="Arial Unicode MS" w:hAnsi="Abadi" w:cs="Arial Unicode MS"/>
          <w:sz w:val="21"/>
          <w:szCs w:val="21"/>
          <w:lang w:val="es-MX"/>
        </w:rPr>
        <w:t xml:space="preserve">Analizada la iniciativa, esta Comisión Legislativa de conformidad con las atribuciones que le confieren los artículos 111 fracción I y 171 de </w:t>
      </w:r>
      <w:smartTag w:uri="urn:schemas-microsoft-com:office:smarttags" w:element="PersonName">
        <w:smartTagPr>
          <w:attr w:name="ProductID" w:val="la Ley Org￡nica"/>
        </w:smartTagPr>
        <w:r w:rsidRPr="00DE623A">
          <w:rPr>
            <w:rFonts w:ascii="Abadi" w:eastAsia="Arial Unicode MS" w:hAnsi="Abadi" w:cs="Arial Unicode MS"/>
            <w:sz w:val="21"/>
            <w:szCs w:val="21"/>
            <w:lang w:val="es-MX"/>
          </w:rPr>
          <w:t>la Ley Orgánica</w:t>
        </w:r>
      </w:smartTag>
      <w:r w:rsidRPr="00DE623A">
        <w:rPr>
          <w:rFonts w:ascii="Abadi" w:eastAsia="Arial Unicode MS" w:hAnsi="Abadi" w:cs="Arial Unicode MS"/>
          <w:sz w:val="21"/>
          <w:szCs w:val="21"/>
          <w:lang w:val="es-MX"/>
        </w:rPr>
        <w:t xml:space="preserve"> del Poder Legislativo del Estado de Guanajuato, formula a </w:t>
      </w:r>
      <w:smartTag w:uri="urn:schemas-microsoft-com:office:smarttags" w:element="PersonName">
        <w:smartTagPr>
          <w:attr w:name="ProductID" w:val="la Asamblea"/>
        </w:smartTagPr>
        <w:r w:rsidRPr="00DE623A">
          <w:rPr>
            <w:rFonts w:ascii="Abadi" w:eastAsia="Arial Unicode MS" w:hAnsi="Abadi" w:cs="Arial Unicode MS"/>
            <w:sz w:val="21"/>
            <w:szCs w:val="21"/>
            <w:lang w:val="es-MX"/>
          </w:rPr>
          <w:t>la Asamblea</w:t>
        </w:r>
      </w:smartTag>
      <w:r w:rsidRPr="00DE623A">
        <w:rPr>
          <w:rFonts w:ascii="Abadi" w:eastAsia="Arial Unicode MS" w:hAnsi="Abadi" w:cs="Arial Unicode MS"/>
          <w:sz w:val="21"/>
          <w:szCs w:val="21"/>
          <w:lang w:val="es-MX"/>
        </w:rPr>
        <w:t xml:space="preserve"> el siguiente:</w:t>
      </w:r>
    </w:p>
    <w:p w14:paraId="2FE6894F" w14:textId="77777777" w:rsidR="00DE623A" w:rsidRPr="00DE623A" w:rsidRDefault="00DE623A" w:rsidP="00DE623A">
      <w:pPr>
        <w:ind w:firstLine="708"/>
        <w:jc w:val="both"/>
        <w:rPr>
          <w:rFonts w:ascii="Abadi" w:eastAsia="Arial Unicode MS" w:hAnsi="Abadi" w:cs="Arial Unicode MS"/>
          <w:sz w:val="21"/>
          <w:szCs w:val="21"/>
          <w:lang w:val="es-MX"/>
        </w:rPr>
      </w:pPr>
    </w:p>
    <w:p w14:paraId="3A2E595E" w14:textId="77777777" w:rsidR="00DE623A" w:rsidRPr="00DE623A" w:rsidRDefault="00DE623A" w:rsidP="00DE623A">
      <w:pPr>
        <w:jc w:val="center"/>
        <w:rPr>
          <w:rFonts w:ascii="Abadi" w:eastAsia="Arial Unicode MS" w:hAnsi="Abadi" w:cs="Arial Unicode MS"/>
          <w:b/>
          <w:sz w:val="21"/>
          <w:szCs w:val="21"/>
          <w:lang w:val="es-MX"/>
        </w:rPr>
      </w:pPr>
    </w:p>
    <w:p w14:paraId="1F27316F" w14:textId="77777777" w:rsidR="00DE623A" w:rsidRPr="00DE623A" w:rsidRDefault="00DE623A" w:rsidP="00DE623A">
      <w:pPr>
        <w:jc w:val="center"/>
        <w:rPr>
          <w:rFonts w:ascii="Abadi" w:eastAsia="Arial Unicode MS" w:hAnsi="Abadi" w:cs="Arial Unicode MS"/>
          <w:b/>
          <w:sz w:val="21"/>
          <w:szCs w:val="21"/>
          <w:lang w:val="es-MX"/>
        </w:rPr>
      </w:pPr>
      <w:r w:rsidRPr="00DE623A">
        <w:rPr>
          <w:rFonts w:ascii="Abadi" w:eastAsia="Arial Unicode MS" w:hAnsi="Abadi" w:cs="Arial Unicode MS"/>
          <w:b/>
          <w:sz w:val="21"/>
          <w:szCs w:val="21"/>
          <w:lang w:val="es-MX"/>
        </w:rPr>
        <w:t>D I C T A M E N</w:t>
      </w:r>
    </w:p>
    <w:p w14:paraId="3DA03156" w14:textId="77777777" w:rsidR="00DE623A" w:rsidRPr="00DE623A" w:rsidRDefault="00DE623A" w:rsidP="00DE623A">
      <w:pPr>
        <w:ind w:firstLine="708"/>
        <w:jc w:val="both"/>
        <w:rPr>
          <w:rFonts w:ascii="Abadi" w:eastAsia="Arial Unicode MS" w:hAnsi="Abadi" w:cs="Arial Unicode MS"/>
          <w:sz w:val="21"/>
          <w:szCs w:val="21"/>
          <w:lang w:val="es-MX"/>
        </w:rPr>
      </w:pPr>
    </w:p>
    <w:p w14:paraId="45918B0E" w14:textId="77777777" w:rsidR="00DE623A" w:rsidRPr="00DE623A" w:rsidRDefault="00DE623A" w:rsidP="00DE623A">
      <w:pPr>
        <w:jc w:val="center"/>
        <w:rPr>
          <w:rFonts w:ascii="Abadi" w:eastAsia="Arial Unicode MS" w:hAnsi="Abadi" w:cs="Arial Unicode MS"/>
          <w:b/>
          <w:bCs/>
          <w:sz w:val="21"/>
          <w:szCs w:val="21"/>
          <w:lang w:val="es-MX"/>
        </w:rPr>
      </w:pPr>
    </w:p>
    <w:p w14:paraId="7B90779E" w14:textId="77777777" w:rsidR="00DE623A" w:rsidRPr="00DE623A" w:rsidRDefault="00DE623A" w:rsidP="00DE623A">
      <w:pPr>
        <w:rPr>
          <w:rFonts w:ascii="Abadi" w:eastAsia="Batang" w:hAnsi="Abadi" w:cs="Arial"/>
          <w:b/>
          <w:bCs/>
          <w:sz w:val="21"/>
          <w:szCs w:val="21"/>
          <w:lang w:val="es-MX" w:eastAsia="en-US"/>
        </w:rPr>
      </w:pPr>
      <w:r w:rsidRPr="00DE623A">
        <w:rPr>
          <w:rFonts w:ascii="Abadi" w:eastAsia="Batang" w:hAnsi="Abadi" w:cs="Arial"/>
          <w:b/>
          <w:smallCaps/>
          <w:sz w:val="21"/>
          <w:szCs w:val="21"/>
          <w:lang w:val="es-MX" w:eastAsia="en-US"/>
        </w:rPr>
        <w:t>I.</w:t>
      </w:r>
      <w:r w:rsidRPr="00DE623A">
        <w:rPr>
          <w:rFonts w:ascii="Abadi" w:eastAsia="Batang" w:hAnsi="Abadi" w:cs="Arial"/>
          <w:b/>
          <w:smallCaps/>
          <w:sz w:val="21"/>
          <w:szCs w:val="21"/>
          <w:lang w:val="es-MX" w:eastAsia="en-US"/>
        </w:rPr>
        <w:tab/>
      </w:r>
      <w:r w:rsidRPr="00DE623A">
        <w:rPr>
          <w:rFonts w:ascii="Abadi" w:eastAsia="Batang" w:hAnsi="Abadi" w:cs="Arial"/>
          <w:b/>
          <w:bCs/>
          <w:sz w:val="21"/>
          <w:szCs w:val="21"/>
          <w:lang w:val="es-MX" w:eastAsia="en-US"/>
        </w:rPr>
        <w:t>Del Proceso Legislativo</w:t>
      </w:r>
    </w:p>
    <w:p w14:paraId="7049D8F0" w14:textId="77777777" w:rsidR="00DE623A" w:rsidRPr="00DE623A" w:rsidRDefault="00DE623A" w:rsidP="00DE623A">
      <w:pPr>
        <w:rPr>
          <w:rFonts w:ascii="Abadi" w:eastAsia="Batang" w:hAnsi="Abadi" w:cs="Arial"/>
          <w:b/>
          <w:bCs/>
          <w:sz w:val="21"/>
          <w:szCs w:val="21"/>
          <w:lang w:val="es-MX" w:eastAsia="en-US"/>
        </w:rPr>
      </w:pPr>
    </w:p>
    <w:p w14:paraId="5C1468CB" w14:textId="77777777" w:rsidR="00DE623A" w:rsidRPr="00DE623A" w:rsidRDefault="00DE623A" w:rsidP="00DE623A">
      <w:pPr>
        <w:spacing w:line="276" w:lineRule="auto"/>
        <w:jc w:val="both"/>
        <w:rPr>
          <w:rFonts w:ascii="Abadi" w:eastAsia="Arial Unicode MS" w:hAnsi="Abadi" w:cs="Arial Unicode MS"/>
          <w:sz w:val="21"/>
          <w:szCs w:val="21"/>
          <w:lang w:val="es-MX"/>
        </w:rPr>
      </w:pPr>
      <w:r w:rsidRPr="00DE623A">
        <w:rPr>
          <w:rFonts w:ascii="Abadi" w:eastAsia="Batang" w:hAnsi="Abadi" w:cs="Arial"/>
          <w:b/>
          <w:bCs/>
          <w:sz w:val="21"/>
          <w:szCs w:val="21"/>
          <w:lang w:val="es-MX" w:eastAsia="en-US"/>
        </w:rPr>
        <w:t>I.1.</w:t>
      </w:r>
      <w:r w:rsidRPr="00DE623A">
        <w:rPr>
          <w:rFonts w:ascii="Abadi" w:eastAsia="Batang" w:hAnsi="Abadi" w:cs="Arial"/>
          <w:b/>
          <w:bCs/>
          <w:sz w:val="21"/>
          <w:szCs w:val="21"/>
          <w:lang w:val="es-MX" w:eastAsia="en-US"/>
        </w:rPr>
        <w:tab/>
      </w:r>
      <w:r w:rsidRPr="00DE623A">
        <w:rPr>
          <w:rFonts w:ascii="Abadi" w:eastAsia="Arial Unicode MS" w:hAnsi="Abadi" w:cs="Arial Unicode MS"/>
          <w:sz w:val="21"/>
          <w:szCs w:val="21"/>
          <w:lang w:val="es-MX"/>
        </w:rPr>
        <w:t xml:space="preserve">En sesión del 18 de marzo de 2021 ingresó la iniciativa con expediente 64598 </w:t>
      </w:r>
      <w:r w:rsidRPr="00DE623A">
        <w:rPr>
          <w:rFonts w:ascii="Abadi" w:eastAsia="Arial Unicode MS" w:hAnsi="Abadi" w:cs="Arial Unicode MS"/>
          <w:sz w:val="21"/>
          <w:szCs w:val="21"/>
          <w:lang w:val="es-MX" w:eastAsia="en-US"/>
        </w:rPr>
        <w:t xml:space="preserve">formulada por la diputada María Magdalena Rosales Cruz, integrante del Grupo Parlamentario del Partido Morena, a efecto de reformar el artículo 30 de la Constitución Política para el Estado de Guanajuato; y adicionar una fracción VI al artículo 11, recorriéndose la subsecuente, dos párrafos al artículo 15 y una fracción V al artículo 18 de la Ley Orgánica Municipal para el Estado de Guanajuato, </w:t>
      </w:r>
      <w:r w:rsidRPr="00DE623A">
        <w:rPr>
          <w:rFonts w:ascii="Abadi" w:eastAsia="Arial Unicode MS" w:hAnsi="Abadi" w:cs="Arial Unicode MS"/>
          <w:i/>
          <w:iCs/>
          <w:sz w:val="21"/>
          <w:szCs w:val="21"/>
          <w:lang w:val="es-MX" w:eastAsia="en-US"/>
        </w:rPr>
        <w:t>en la parte correspondiente al primer ordenamiento</w:t>
      </w:r>
      <w:r w:rsidRPr="00DE623A">
        <w:rPr>
          <w:rFonts w:ascii="Abadi" w:eastAsia="Arial Unicode MS" w:hAnsi="Abadi" w:cs="Arial Unicode MS"/>
          <w:sz w:val="21"/>
          <w:szCs w:val="21"/>
          <w:lang w:val="es-MX" w:eastAsia="en-US"/>
        </w:rPr>
        <w:t>,</w:t>
      </w:r>
      <w:r w:rsidRPr="00DE623A">
        <w:rPr>
          <w:rFonts w:ascii="Abadi" w:hAnsi="Abadi" w:cs="Arial Unicode MS"/>
          <w:bCs/>
          <w:iCs/>
          <w:sz w:val="21"/>
          <w:szCs w:val="21"/>
          <w:lang w:val="es-ES_tradnl" w:eastAsia="en-US"/>
        </w:rPr>
        <w:t xml:space="preserve"> </w:t>
      </w:r>
      <w:r w:rsidRPr="00DE623A">
        <w:rPr>
          <w:rFonts w:ascii="Abadi" w:eastAsia="Arial Unicode MS" w:hAnsi="Abadi" w:cs="Arial Unicode MS"/>
          <w:sz w:val="21"/>
          <w:szCs w:val="21"/>
          <w:lang w:val="es-MX"/>
        </w:rPr>
        <w:t xml:space="preserve">turnándose por la presidencia del Congreso a la Comisión de Gobernación y Puntos Constitucionales, con </w:t>
      </w:r>
      <w:r w:rsidRPr="00DE623A">
        <w:rPr>
          <w:rFonts w:ascii="Abadi" w:eastAsia="Arial Unicode MS" w:hAnsi="Abadi" w:cs="Arial Unicode MS"/>
          <w:sz w:val="21"/>
          <w:szCs w:val="21"/>
          <w:lang w:val="es-MX"/>
        </w:rPr>
        <w:lastRenderedPageBreak/>
        <w:t>fundamento en lo dispuesto por el artículo 111, fracción I de la Ley Orgánica del Poder Legislativo del Estado de Guanajuato, para su estudio y dictamen.</w:t>
      </w:r>
    </w:p>
    <w:p w14:paraId="16052C75" w14:textId="77777777" w:rsidR="00DE623A" w:rsidRPr="00DE623A" w:rsidRDefault="00DE623A" w:rsidP="00DE623A">
      <w:pPr>
        <w:spacing w:line="276" w:lineRule="auto"/>
        <w:jc w:val="both"/>
        <w:rPr>
          <w:rFonts w:ascii="Abadi" w:eastAsia="Batang" w:hAnsi="Abadi" w:cs="Arial"/>
          <w:sz w:val="21"/>
          <w:szCs w:val="21"/>
          <w:highlight w:val="yellow"/>
          <w:lang w:val="es-MX" w:eastAsia="en-US"/>
        </w:rPr>
      </w:pPr>
    </w:p>
    <w:p w14:paraId="5F874FE1" w14:textId="77777777" w:rsidR="00DE623A" w:rsidRPr="00DE623A" w:rsidRDefault="00DE623A" w:rsidP="00DE623A">
      <w:pPr>
        <w:spacing w:line="276" w:lineRule="auto"/>
        <w:jc w:val="both"/>
        <w:rPr>
          <w:rFonts w:ascii="Abadi" w:eastAsia="Batang" w:hAnsi="Abadi" w:cs="Arial"/>
          <w:sz w:val="21"/>
          <w:szCs w:val="21"/>
          <w:lang w:val="es-MX" w:eastAsia="en-US"/>
        </w:rPr>
      </w:pPr>
      <w:r w:rsidRPr="00DE623A">
        <w:rPr>
          <w:rFonts w:ascii="Abadi" w:eastAsia="Batang" w:hAnsi="Abadi" w:cs="Arial"/>
          <w:b/>
          <w:sz w:val="21"/>
          <w:szCs w:val="21"/>
          <w:lang w:val="es-MX" w:eastAsia="en-US"/>
        </w:rPr>
        <w:t xml:space="preserve">I.2. </w:t>
      </w:r>
      <w:r w:rsidRPr="00DE623A">
        <w:rPr>
          <w:rFonts w:ascii="Abadi" w:eastAsia="Batang" w:hAnsi="Abadi" w:cs="Arial"/>
          <w:sz w:val="21"/>
          <w:szCs w:val="21"/>
          <w:lang w:val="es-MX" w:eastAsia="en-US"/>
        </w:rPr>
        <w:t xml:space="preserve">En reunión de la Comisión de Gobernación y Puntos Constitucionales, del 19 de abril de 2021, se radicó la iniciativa y fue aprobada la metodología de trabajo en los siguientes términos: </w:t>
      </w:r>
    </w:p>
    <w:p w14:paraId="65106099" w14:textId="77777777" w:rsidR="00DE623A" w:rsidRPr="00DE623A" w:rsidRDefault="00DE623A" w:rsidP="00DE623A">
      <w:pPr>
        <w:ind w:left="714"/>
        <w:jc w:val="both"/>
        <w:rPr>
          <w:rFonts w:ascii="Abadi" w:hAnsi="Abadi" w:cs="Calibri"/>
          <w:i/>
          <w:sz w:val="21"/>
          <w:szCs w:val="21"/>
          <w:lang w:val="es-MX" w:eastAsia="en-US"/>
        </w:rPr>
      </w:pPr>
    </w:p>
    <w:p w14:paraId="4056C312" w14:textId="77777777" w:rsidR="00DE623A" w:rsidRPr="00DE623A" w:rsidRDefault="00DE623A" w:rsidP="005433FA">
      <w:pPr>
        <w:numPr>
          <w:ilvl w:val="0"/>
          <w:numId w:val="21"/>
        </w:numPr>
        <w:ind w:left="714" w:hanging="357"/>
        <w:jc w:val="both"/>
        <w:rPr>
          <w:rFonts w:ascii="Abadi" w:hAnsi="Abadi" w:cs="Calibri"/>
          <w:i/>
          <w:iCs/>
          <w:sz w:val="21"/>
          <w:szCs w:val="21"/>
          <w:lang w:val="es-MX" w:eastAsia="en-US"/>
        </w:rPr>
      </w:pPr>
      <w:r w:rsidRPr="00DE623A">
        <w:rPr>
          <w:rFonts w:ascii="Abadi" w:hAnsi="Abadi" w:cs="Calibri"/>
          <w:i/>
          <w:iCs/>
          <w:sz w:val="21"/>
          <w:szCs w:val="21"/>
          <w:lang w:val="es-MX" w:eastAsia="en-US"/>
        </w:rPr>
        <w:t xml:space="preserve">Se </w:t>
      </w:r>
      <w:r w:rsidRPr="00DE623A">
        <w:rPr>
          <w:rFonts w:ascii="Abadi" w:hAnsi="Abadi" w:cs="Calibri"/>
          <w:bCs/>
          <w:i/>
          <w:iCs/>
          <w:sz w:val="21"/>
          <w:szCs w:val="21"/>
          <w:lang w:val="es-MX" w:eastAsia="en-US"/>
        </w:rPr>
        <w:t>remitirá la iniciativa vía electrónica a las diputadas y los diputados integrantes de la Sexagésima Cuarta Legislatura, al Instituto Electoral del Estado de Guanajuato, al Tribunal Electoral del Estado de Guanajuato, a la Coordinación General Jurídica de Gobierno del Estado, a la Procuraduría de los Derechos Humanos del Estado de Guanajuato, a los 46 ayuntamientos, a los colegios de profesionistas e instituciones de nivel superior en el estado q</w:t>
      </w:r>
      <w:r w:rsidRPr="00DE623A">
        <w:rPr>
          <w:rFonts w:ascii="Abadi" w:hAnsi="Abadi" w:cs="Calibri"/>
          <w:i/>
          <w:iCs/>
          <w:sz w:val="21"/>
          <w:szCs w:val="21"/>
          <w:lang w:val="es-MX" w:eastAsia="en-US"/>
        </w:rPr>
        <w:t xml:space="preserve">uienes contarán con un término de 20 días hábiles para remitir los comentarios y observaciones que estimen pertinentes, a través de la misma vía de comunicación. </w:t>
      </w:r>
    </w:p>
    <w:p w14:paraId="5B865C2F" w14:textId="77777777" w:rsidR="00DE623A" w:rsidRPr="00DE623A" w:rsidRDefault="00DE623A" w:rsidP="00DE623A">
      <w:pPr>
        <w:ind w:left="714"/>
        <w:jc w:val="both"/>
        <w:rPr>
          <w:rFonts w:ascii="Abadi" w:hAnsi="Abadi" w:cs="Calibri"/>
          <w:i/>
          <w:iCs/>
          <w:sz w:val="21"/>
          <w:szCs w:val="21"/>
          <w:lang w:val="es-MX" w:eastAsia="en-US"/>
        </w:rPr>
      </w:pPr>
    </w:p>
    <w:p w14:paraId="4C8B5E53" w14:textId="77777777" w:rsidR="00DE623A" w:rsidRPr="00DE623A" w:rsidRDefault="00DE623A" w:rsidP="005433FA">
      <w:pPr>
        <w:numPr>
          <w:ilvl w:val="0"/>
          <w:numId w:val="21"/>
        </w:numPr>
        <w:ind w:left="714" w:hanging="357"/>
        <w:jc w:val="both"/>
        <w:rPr>
          <w:rFonts w:ascii="Abadi" w:hAnsi="Abadi" w:cs="Calibri"/>
          <w:i/>
          <w:iCs/>
          <w:sz w:val="21"/>
          <w:szCs w:val="21"/>
          <w:lang w:val="es-MX" w:eastAsia="en-US"/>
        </w:rPr>
      </w:pPr>
      <w:r w:rsidRPr="00DE623A">
        <w:rPr>
          <w:rFonts w:ascii="Abadi" w:hAnsi="Abadi" w:cs="Calibri"/>
          <w:i/>
          <w:iCs/>
          <w:sz w:val="21"/>
          <w:szCs w:val="21"/>
          <w:lang w:val="es-MX" w:eastAsia="en-US"/>
        </w:rPr>
        <w:t>Se remitirá el Instituto de Investigaciones Legislativas para que emita un estudio y opinión sobre los alcances de la iniciativa.</w:t>
      </w:r>
    </w:p>
    <w:p w14:paraId="19AE7B88" w14:textId="77777777" w:rsidR="00DE623A" w:rsidRPr="00DE623A" w:rsidRDefault="00DE623A" w:rsidP="00DE623A">
      <w:pPr>
        <w:ind w:left="714"/>
        <w:jc w:val="both"/>
        <w:rPr>
          <w:rFonts w:ascii="Abadi" w:hAnsi="Abadi" w:cs="Calibri"/>
          <w:i/>
          <w:iCs/>
          <w:sz w:val="21"/>
          <w:szCs w:val="21"/>
          <w:lang w:val="es-MX" w:eastAsia="en-US"/>
        </w:rPr>
      </w:pPr>
    </w:p>
    <w:p w14:paraId="55C5E107" w14:textId="77777777" w:rsidR="00DE623A" w:rsidRPr="00DE623A" w:rsidRDefault="00DE623A" w:rsidP="005433FA">
      <w:pPr>
        <w:numPr>
          <w:ilvl w:val="0"/>
          <w:numId w:val="21"/>
        </w:numPr>
        <w:ind w:left="714" w:hanging="357"/>
        <w:jc w:val="both"/>
        <w:rPr>
          <w:rFonts w:ascii="Abadi" w:hAnsi="Abadi" w:cs="Calibri"/>
          <w:i/>
          <w:iCs/>
          <w:sz w:val="21"/>
          <w:szCs w:val="21"/>
          <w:lang w:val="es-MX" w:eastAsia="en-US"/>
        </w:rPr>
      </w:pPr>
      <w:r w:rsidRPr="00DE623A">
        <w:rPr>
          <w:rFonts w:ascii="Abadi" w:hAnsi="Abadi" w:cs="Calibri"/>
          <w:i/>
          <w:iCs/>
          <w:sz w:val="21"/>
          <w:szCs w:val="21"/>
          <w:lang w:val="es-MX" w:eastAsia="en-US"/>
        </w:rPr>
        <w:t>Se creará un link a la página web del Congreso del Estado, para que la iniciativa pueda ser consultada y se puedan emitir observaciones.</w:t>
      </w:r>
    </w:p>
    <w:p w14:paraId="2356B478" w14:textId="77777777" w:rsidR="00DE623A" w:rsidRPr="00DE623A" w:rsidRDefault="00DE623A" w:rsidP="00DE623A">
      <w:pPr>
        <w:ind w:left="720"/>
        <w:jc w:val="both"/>
        <w:rPr>
          <w:rFonts w:ascii="Abadi" w:hAnsi="Abadi" w:cs="Calibri"/>
          <w:i/>
          <w:iCs/>
          <w:sz w:val="21"/>
          <w:szCs w:val="21"/>
          <w:lang w:val="es-MX" w:eastAsia="en-US"/>
        </w:rPr>
      </w:pPr>
    </w:p>
    <w:p w14:paraId="50561AC9" w14:textId="77777777" w:rsidR="00DE623A" w:rsidRPr="00DE623A" w:rsidRDefault="00DE623A" w:rsidP="005433FA">
      <w:pPr>
        <w:numPr>
          <w:ilvl w:val="0"/>
          <w:numId w:val="21"/>
        </w:numPr>
        <w:jc w:val="both"/>
        <w:rPr>
          <w:rFonts w:ascii="Abadi" w:hAnsi="Abadi" w:cs="Calibri"/>
          <w:i/>
          <w:iCs/>
          <w:sz w:val="21"/>
          <w:szCs w:val="21"/>
          <w:lang w:val="es-MX" w:eastAsia="en-US"/>
        </w:rPr>
      </w:pPr>
      <w:r w:rsidRPr="00DE623A">
        <w:rPr>
          <w:rFonts w:ascii="Abadi" w:hAnsi="Abadi" w:cs="Calibri"/>
          <w:i/>
          <w:iCs/>
          <w:sz w:val="21"/>
          <w:szCs w:val="21"/>
          <w:lang w:val="es-MX" w:eastAsia="en-US"/>
        </w:rPr>
        <w:t xml:space="preserve">Las observaciones remitidas a la secretaría técnica serán compiladas y además se elaborará un documento con formato de comparativo que se circulará a </w:t>
      </w:r>
      <w:r w:rsidRPr="00DE623A">
        <w:rPr>
          <w:rFonts w:ascii="Abadi" w:hAnsi="Abadi" w:cs="Calibri"/>
          <w:bCs/>
          <w:i/>
          <w:iCs/>
          <w:sz w:val="21"/>
          <w:szCs w:val="21"/>
          <w:lang w:val="es-MX" w:eastAsia="en-US"/>
        </w:rPr>
        <w:t>la Comisión</w:t>
      </w:r>
      <w:r w:rsidRPr="00DE623A">
        <w:rPr>
          <w:rFonts w:ascii="Abadi" w:hAnsi="Abadi" w:cs="Calibri"/>
          <w:i/>
          <w:iCs/>
          <w:sz w:val="21"/>
          <w:szCs w:val="21"/>
          <w:lang w:val="es-MX" w:eastAsia="en-US"/>
        </w:rPr>
        <w:t>.</w:t>
      </w:r>
    </w:p>
    <w:p w14:paraId="124E7DE5" w14:textId="77777777" w:rsidR="00DE623A" w:rsidRPr="00DE623A" w:rsidRDefault="00DE623A" w:rsidP="00DE623A">
      <w:pPr>
        <w:ind w:left="714"/>
        <w:jc w:val="both"/>
        <w:rPr>
          <w:rFonts w:ascii="Abadi" w:hAnsi="Abadi" w:cs="Calibri"/>
          <w:sz w:val="21"/>
          <w:szCs w:val="21"/>
          <w:lang w:val="es-MX" w:eastAsia="en-US"/>
        </w:rPr>
      </w:pPr>
    </w:p>
    <w:p w14:paraId="68406ABE" w14:textId="77777777" w:rsidR="00DE623A" w:rsidRPr="00DE623A" w:rsidRDefault="00DE623A" w:rsidP="005433FA">
      <w:pPr>
        <w:numPr>
          <w:ilvl w:val="0"/>
          <w:numId w:val="21"/>
        </w:numPr>
        <w:ind w:left="714" w:hanging="357"/>
        <w:jc w:val="both"/>
        <w:rPr>
          <w:rFonts w:ascii="Abadi" w:hAnsi="Abadi" w:cs="Calibri"/>
          <w:sz w:val="21"/>
          <w:szCs w:val="21"/>
          <w:lang w:val="es-MX" w:eastAsia="en-US"/>
        </w:rPr>
      </w:pPr>
      <w:r w:rsidRPr="00DE623A">
        <w:rPr>
          <w:rFonts w:ascii="Abadi" w:hAnsi="Abadi" w:cs="Calibri"/>
          <w:i/>
          <w:iCs/>
          <w:sz w:val="21"/>
          <w:szCs w:val="21"/>
          <w:lang w:val="es-MX" w:eastAsia="en-US"/>
        </w:rPr>
        <w:t>Se establecerá una mesa de trabajo conformada por las y los integrantes de la Comisión de Gobernación y Puntos Constitucionales, asesores que conforman la misma, en su caso un representante de las autoridades consultadas y, de los diputados y diputadas de esta Legislatura que deseen asistir, para discutir y analizar las observaciones remitidas. De igual forma, si durante el desahogo</w:t>
      </w:r>
      <w:r w:rsidRPr="00DE623A">
        <w:rPr>
          <w:rFonts w:ascii="Abadi" w:hAnsi="Abadi" w:cs="Calibri"/>
          <w:sz w:val="21"/>
          <w:szCs w:val="21"/>
          <w:lang w:val="es-MX" w:eastAsia="en-US"/>
        </w:rPr>
        <w:t xml:space="preserve"> de la mesa de </w:t>
      </w:r>
      <w:r w:rsidRPr="00DE623A">
        <w:rPr>
          <w:rFonts w:ascii="Abadi" w:hAnsi="Abadi" w:cs="Calibri"/>
          <w:sz w:val="21"/>
          <w:szCs w:val="21"/>
          <w:lang w:val="es-MX" w:eastAsia="en-US"/>
        </w:rPr>
        <w:t>trabajo llegaran observaciones, estas serán tomadas en cuenta.</w:t>
      </w:r>
    </w:p>
    <w:p w14:paraId="0A4BEFD7" w14:textId="77777777" w:rsidR="00DE623A" w:rsidRPr="00DE623A" w:rsidRDefault="00DE623A" w:rsidP="00DE623A">
      <w:pPr>
        <w:jc w:val="both"/>
        <w:rPr>
          <w:rFonts w:ascii="Abadi" w:eastAsia="Batang" w:hAnsi="Abadi" w:cs="Arial"/>
          <w:b/>
          <w:sz w:val="21"/>
          <w:szCs w:val="21"/>
          <w:lang w:val="es-MX" w:eastAsia="en-US"/>
        </w:rPr>
      </w:pPr>
    </w:p>
    <w:p w14:paraId="1E3CC567" w14:textId="77777777" w:rsidR="00DE623A" w:rsidRPr="00DE623A" w:rsidRDefault="00DE623A" w:rsidP="00DE623A">
      <w:pPr>
        <w:jc w:val="both"/>
        <w:rPr>
          <w:rFonts w:ascii="Abadi" w:hAnsi="Abadi" w:cs="Arial"/>
          <w:sz w:val="21"/>
          <w:szCs w:val="21"/>
          <w:lang w:val="es-MX" w:eastAsia="en-US"/>
        </w:rPr>
      </w:pPr>
      <w:r w:rsidRPr="00DE623A">
        <w:rPr>
          <w:rFonts w:ascii="Abadi" w:eastAsia="Batang" w:hAnsi="Abadi" w:cs="Arial"/>
          <w:b/>
          <w:sz w:val="21"/>
          <w:szCs w:val="21"/>
          <w:lang w:val="es-MX" w:eastAsia="en-US"/>
        </w:rPr>
        <w:t>II.1.</w:t>
      </w:r>
      <w:r w:rsidRPr="00DE623A">
        <w:rPr>
          <w:rFonts w:ascii="Abadi" w:hAnsi="Abadi" w:cs="Arial"/>
          <w:sz w:val="21"/>
          <w:szCs w:val="21"/>
          <w:lang w:val="es-MX" w:eastAsia="en-US"/>
        </w:rPr>
        <w:t xml:space="preserve">  Derivado de ese ejercicio de consulta a diversas autoridades del poder ejecutivo, organismos autónomos, ayuntamientos y bajo el principio de parlamento abierto respondieron el Instituto de Investigaciones Legislativas del Congreso del Estado, la Procuraduría de los Derechos Humanos del Estado, así como el Instituto Electoral del Estado y la Coordinación General Jurídica del Estado; así como los ayuntamientos de Celaya, Cortazar e Irapuato.</w:t>
      </w:r>
    </w:p>
    <w:p w14:paraId="1C6DC009" w14:textId="77777777" w:rsidR="00DE623A" w:rsidRPr="00DE623A" w:rsidRDefault="00DE623A" w:rsidP="00DE623A">
      <w:pPr>
        <w:jc w:val="both"/>
        <w:rPr>
          <w:rFonts w:ascii="Abadi" w:hAnsi="Abadi" w:cs="Arial"/>
          <w:sz w:val="21"/>
          <w:szCs w:val="21"/>
          <w:lang w:val="es-MX" w:eastAsia="en-US"/>
        </w:rPr>
      </w:pPr>
    </w:p>
    <w:p w14:paraId="396CD4EA" w14:textId="77777777" w:rsidR="00DE623A" w:rsidRPr="00DE623A" w:rsidRDefault="00DE623A" w:rsidP="00DE623A">
      <w:pPr>
        <w:jc w:val="both"/>
        <w:rPr>
          <w:rFonts w:ascii="Abadi" w:hAnsi="Abadi" w:cs="Arial"/>
          <w:sz w:val="21"/>
          <w:szCs w:val="21"/>
          <w:lang w:val="es-MX" w:eastAsia="en-US"/>
        </w:rPr>
      </w:pPr>
      <w:r w:rsidRPr="00DE623A">
        <w:rPr>
          <w:rFonts w:ascii="Abadi" w:hAnsi="Abadi" w:cs="Arial"/>
          <w:sz w:val="21"/>
          <w:szCs w:val="21"/>
          <w:lang w:val="es-MX" w:eastAsia="en-US"/>
        </w:rPr>
        <w:t>Se manifestaron de igual forma los ayuntamientos de Coroneo, San Francisco del Rincón y Santiago Maravatío.</w:t>
      </w:r>
    </w:p>
    <w:p w14:paraId="1F30DEF7" w14:textId="77777777" w:rsidR="00DE623A" w:rsidRPr="00DE623A" w:rsidRDefault="00DE623A" w:rsidP="00DE623A">
      <w:pPr>
        <w:jc w:val="both"/>
        <w:rPr>
          <w:rFonts w:ascii="Abadi" w:hAnsi="Abadi" w:cs="Arial"/>
          <w:sz w:val="21"/>
          <w:szCs w:val="21"/>
          <w:lang w:val="es-MX" w:eastAsia="en-US"/>
        </w:rPr>
      </w:pPr>
    </w:p>
    <w:p w14:paraId="30E667EC" w14:textId="77777777" w:rsidR="00DE623A" w:rsidRPr="00DE623A" w:rsidRDefault="00DE623A" w:rsidP="00DE623A">
      <w:pPr>
        <w:ind w:firstLine="708"/>
        <w:jc w:val="both"/>
        <w:rPr>
          <w:rFonts w:ascii="Abadi" w:hAnsi="Abadi" w:cs="Arial"/>
          <w:sz w:val="21"/>
          <w:szCs w:val="21"/>
          <w:lang w:val="es-MX" w:eastAsia="en-US"/>
        </w:rPr>
      </w:pPr>
    </w:p>
    <w:p w14:paraId="122D996F" w14:textId="77777777" w:rsidR="00DE623A" w:rsidRPr="00DE623A" w:rsidRDefault="00DE623A" w:rsidP="00DE623A">
      <w:pPr>
        <w:ind w:firstLine="708"/>
        <w:jc w:val="both"/>
        <w:rPr>
          <w:rFonts w:ascii="Abadi" w:hAnsi="Abadi" w:cs="Arial"/>
          <w:sz w:val="21"/>
          <w:szCs w:val="21"/>
          <w:lang w:val="es-MX" w:eastAsia="en-US"/>
        </w:rPr>
      </w:pPr>
    </w:p>
    <w:p w14:paraId="7A6402D9" w14:textId="77777777" w:rsidR="00DE623A" w:rsidRPr="00DE623A" w:rsidRDefault="00DE623A" w:rsidP="00DE623A">
      <w:pPr>
        <w:ind w:firstLine="708"/>
        <w:jc w:val="both"/>
        <w:rPr>
          <w:rFonts w:ascii="Abadi" w:hAnsi="Abadi" w:cs="Arial"/>
          <w:sz w:val="21"/>
          <w:szCs w:val="21"/>
          <w:lang w:val="es-MX" w:eastAsia="en-US"/>
        </w:rPr>
      </w:pPr>
    </w:p>
    <w:p w14:paraId="69CE42A1" w14:textId="77777777" w:rsidR="00DE623A" w:rsidRPr="00DE623A" w:rsidRDefault="00DE623A" w:rsidP="00DE623A">
      <w:pPr>
        <w:ind w:firstLine="708"/>
        <w:jc w:val="both"/>
        <w:rPr>
          <w:rFonts w:ascii="Abadi" w:hAnsi="Abadi" w:cs="Arial"/>
          <w:sz w:val="21"/>
          <w:szCs w:val="21"/>
          <w:lang w:val="es-MX" w:eastAsia="en-US"/>
        </w:rPr>
      </w:pPr>
    </w:p>
    <w:p w14:paraId="28DF07CF" w14:textId="77777777" w:rsidR="00DE623A" w:rsidRPr="00DE623A" w:rsidRDefault="00DE623A" w:rsidP="00DE623A">
      <w:pPr>
        <w:ind w:firstLine="708"/>
        <w:jc w:val="both"/>
        <w:rPr>
          <w:rFonts w:ascii="Abadi" w:hAnsi="Abadi" w:cs="Arial"/>
          <w:sz w:val="21"/>
          <w:szCs w:val="21"/>
          <w:lang w:val="es-MX" w:eastAsia="en-US"/>
        </w:rPr>
      </w:pPr>
      <w:r w:rsidRPr="00DE623A">
        <w:rPr>
          <w:rFonts w:ascii="Abadi" w:hAnsi="Abadi" w:cs="Arial"/>
          <w:sz w:val="21"/>
          <w:szCs w:val="21"/>
          <w:lang w:val="es-MX" w:eastAsia="en-US"/>
        </w:rPr>
        <w:t xml:space="preserve">El Instituto de Investigaciones Legislativas del Congreso del Estado manifestó que: </w:t>
      </w:r>
    </w:p>
    <w:p w14:paraId="0F3B6A91" w14:textId="77777777" w:rsidR="00DE623A" w:rsidRPr="00DE623A" w:rsidRDefault="00DE623A" w:rsidP="00DE623A">
      <w:pPr>
        <w:ind w:firstLine="708"/>
        <w:jc w:val="both"/>
        <w:rPr>
          <w:rFonts w:ascii="Abadi" w:hAnsi="Abadi" w:cs="Arial"/>
          <w:sz w:val="21"/>
          <w:szCs w:val="21"/>
          <w:lang w:val="es-MX" w:eastAsia="en-US"/>
        </w:rPr>
      </w:pPr>
    </w:p>
    <w:p w14:paraId="7573F265"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xml:space="preserve">(…) se advierte del desarrollo del estudio, no se tiene una regulación de los mecanismos de participación ciudadana; en la constitución federal, solo refiere a la Consulta Popular y al proceso de Revocación de Mandato, no obstante en nuestra apreciación, y por así referirlo la iniciante en el cuerpo de la exposición de motivos, es ineludible apelar al texto de la Carta Magna, toda vez que se alude al principio de la Representación Política, y la forma de gobierno, en la configuración de la silla ciudadana, que estimamos se confunde con la acepción de la Participación Ciudadana, y lo que atañe al alcance de una figura jurídica de intervención en sesión </w:t>
      </w:r>
      <w:r w:rsidRPr="00DE623A">
        <w:rPr>
          <w:rFonts w:ascii="Abadi" w:hAnsi="Abadi" w:cs="Arial"/>
          <w:i/>
          <w:iCs/>
          <w:sz w:val="21"/>
          <w:szCs w:val="21"/>
          <w:lang w:val="es-MX" w:eastAsia="en-US"/>
        </w:rPr>
        <w:lastRenderedPageBreak/>
        <w:t>de Ayuntamiento, sin tener que acreditar o justificar el interés de su intervención.</w:t>
      </w:r>
    </w:p>
    <w:p w14:paraId="7C2715F5" w14:textId="77777777" w:rsidR="00DE623A" w:rsidRPr="00DE623A" w:rsidRDefault="00DE623A" w:rsidP="00DE623A">
      <w:pPr>
        <w:ind w:left="1134" w:right="1065"/>
        <w:jc w:val="both"/>
        <w:rPr>
          <w:rFonts w:ascii="Abadi" w:hAnsi="Abadi" w:cs="Arial"/>
          <w:i/>
          <w:iCs/>
          <w:sz w:val="21"/>
          <w:szCs w:val="21"/>
          <w:lang w:val="es-MX" w:eastAsia="en-US"/>
        </w:rPr>
      </w:pPr>
    </w:p>
    <w:p w14:paraId="02824F38"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Finalmente concluimos:</w:t>
      </w:r>
    </w:p>
    <w:p w14:paraId="5C25CA85" w14:textId="77777777" w:rsidR="00DE623A" w:rsidRPr="00DE623A" w:rsidRDefault="00DE623A" w:rsidP="00DE623A">
      <w:pPr>
        <w:ind w:left="1134" w:right="1065"/>
        <w:jc w:val="both"/>
        <w:rPr>
          <w:rFonts w:ascii="Abadi" w:hAnsi="Abadi" w:cs="Arial"/>
          <w:i/>
          <w:iCs/>
          <w:sz w:val="21"/>
          <w:szCs w:val="21"/>
          <w:lang w:val="es-MX" w:eastAsia="en-US"/>
        </w:rPr>
      </w:pPr>
    </w:p>
    <w:p w14:paraId="30D72C7B"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1.- La Constitución Política federal como en la ley federal de consulta popular, no contemplan el tema motivo de la iniciativa, de incluir la silla ciudadana como mecanismo de participación ciudadana.</w:t>
      </w:r>
    </w:p>
    <w:p w14:paraId="49D24532" w14:textId="77777777" w:rsidR="00DE623A" w:rsidRPr="00DE623A" w:rsidRDefault="00DE623A" w:rsidP="00DE623A">
      <w:pPr>
        <w:ind w:left="1134" w:right="1065"/>
        <w:jc w:val="both"/>
        <w:rPr>
          <w:rFonts w:ascii="Abadi" w:hAnsi="Abadi" w:cs="Arial"/>
          <w:i/>
          <w:iCs/>
          <w:sz w:val="21"/>
          <w:szCs w:val="21"/>
          <w:lang w:val="es-MX" w:eastAsia="en-US"/>
        </w:rPr>
      </w:pPr>
    </w:p>
    <w:p w14:paraId="22B57931"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2. La Constitución Política estatal, hace referencia a los mecanismos de participación ciudadana, del referéndum, el plebiscito y la iniciativa popular, mismos que se disponen en la Ley de Participación Ciudadana.</w:t>
      </w:r>
    </w:p>
    <w:p w14:paraId="26F7011A" w14:textId="77777777" w:rsidR="00DE623A" w:rsidRPr="00DE623A" w:rsidRDefault="00DE623A" w:rsidP="00DE623A">
      <w:pPr>
        <w:spacing w:line="276" w:lineRule="auto"/>
        <w:jc w:val="both"/>
        <w:rPr>
          <w:rFonts w:ascii="Abadi" w:eastAsia="Batang" w:hAnsi="Abadi" w:cs="Arial"/>
          <w:b/>
          <w:sz w:val="21"/>
          <w:szCs w:val="21"/>
          <w:lang w:val="es-MX"/>
        </w:rPr>
      </w:pPr>
    </w:p>
    <w:p w14:paraId="6CF2140A" w14:textId="77777777" w:rsidR="00DE623A" w:rsidRPr="00DE623A" w:rsidRDefault="00DE623A" w:rsidP="00DE623A">
      <w:pPr>
        <w:ind w:firstLine="708"/>
        <w:contextualSpacing/>
        <w:jc w:val="both"/>
        <w:rPr>
          <w:rFonts w:ascii="Abadi" w:hAnsi="Abadi" w:cs="Arial"/>
          <w:sz w:val="21"/>
          <w:szCs w:val="21"/>
          <w:lang w:val="es-MX" w:eastAsia="en-US"/>
        </w:rPr>
      </w:pPr>
      <w:r w:rsidRPr="00DE623A">
        <w:rPr>
          <w:rFonts w:ascii="Abadi" w:hAnsi="Abadi" w:cs="Arial"/>
          <w:sz w:val="21"/>
          <w:szCs w:val="21"/>
          <w:lang w:val="es-MX" w:eastAsia="en-US"/>
        </w:rPr>
        <w:t xml:space="preserve">La Procuraduría de los Derechos Humanos del Estado de Guanajuato manifestó que: </w:t>
      </w:r>
    </w:p>
    <w:p w14:paraId="1DF7BC6B" w14:textId="77777777" w:rsidR="00DE623A" w:rsidRPr="00DE623A" w:rsidRDefault="00DE623A" w:rsidP="00DE623A">
      <w:pPr>
        <w:ind w:firstLine="708"/>
        <w:contextualSpacing/>
        <w:jc w:val="both"/>
        <w:rPr>
          <w:rFonts w:ascii="Abadi" w:hAnsi="Abadi" w:cs="Arial"/>
          <w:sz w:val="21"/>
          <w:szCs w:val="21"/>
          <w:lang w:val="es-MX" w:eastAsia="en-US"/>
        </w:rPr>
      </w:pPr>
    </w:p>
    <w:p w14:paraId="44042738"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debe señalarse que al tratarse la iniciativa sobre un mecanismo de participación ciudadana en los asuntos públicos, el estudio de la misma se encuentra enmarcado en el artículo 25 del Pacto Internacional de Derechos Civiles y Políticos, el cual reconoce y ampara el derecho de todo ciudadano a participar en la dirección de los asuntos públicos, el derecho a votar, a ser elegido y el derecho a tener acceso a la función pública.</w:t>
      </w:r>
    </w:p>
    <w:p w14:paraId="6E615AB8" w14:textId="77777777" w:rsidR="00DE623A" w:rsidRPr="00DE623A" w:rsidRDefault="00DE623A" w:rsidP="00DE623A">
      <w:pPr>
        <w:ind w:left="1134" w:right="1065"/>
        <w:jc w:val="both"/>
        <w:rPr>
          <w:rFonts w:ascii="Abadi" w:hAnsi="Abadi" w:cs="Arial"/>
          <w:i/>
          <w:iCs/>
          <w:sz w:val="21"/>
          <w:szCs w:val="21"/>
          <w:lang w:val="es-MX" w:eastAsia="en-US"/>
        </w:rPr>
      </w:pPr>
    </w:p>
    <w:p w14:paraId="27E23AB5"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xml:space="preserve">Artículo 25. Todos los ciudadanos gozarán, sin </w:t>
      </w:r>
      <w:r w:rsidRPr="00DE623A">
        <w:rPr>
          <w:rFonts w:ascii="Abadi" w:hAnsi="Abadi" w:cs="Arial"/>
          <w:i/>
          <w:iCs/>
          <w:sz w:val="21"/>
          <w:szCs w:val="21"/>
          <w:lang w:val="es-MX" w:eastAsia="en-US"/>
        </w:rPr>
        <w:t>ninguna de las distinciones mencionadas en el artículo 2, y sin restricciones indebidas, de los siguientes derechos y oportunidades:</w:t>
      </w:r>
    </w:p>
    <w:p w14:paraId="2CF300F4" w14:textId="77777777" w:rsidR="00DE623A" w:rsidRPr="00DE623A" w:rsidRDefault="00DE623A" w:rsidP="00DE623A">
      <w:pPr>
        <w:ind w:left="1134" w:right="1065"/>
        <w:jc w:val="both"/>
        <w:rPr>
          <w:rFonts w:ascii="Abadi" w:hAnsi="Abadi" w:cs="Arial"/>
          <w:i/>
          <w:iCs/>
          <w:sz w:val="21"/>
          <w:szCs w:val="21"/>
          <w:lang w:val="es-MX" w:eastAsia="en-US"/>
        </w:rPr>
      </w:pPr>
    </w:p>
    <w:p w14:paraId="01786A42"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Participar en la dirección de los asuntos públicos, directamente o por medio de representantes libremente elegidos;</w:t>
      </w:r>
    </w:p>
    <w:p w14:paraId="039122BF" w14:textId="77777777" w:rsidR="00DE623A" w:rsidRPr="00DE623A" w:rsidRDefault="00DE623A" w:rsidP="00DE623A">
      <w:pPr>
        <w:ind w:left="1134" w:right="1065"/>
        <w:jc w:val="both"/>
        <w:rPr>
          <w:rFonts w:ascii="Abadi" w:hAnsi="Abadi" w:cs="Arial"/>
          <w:i/>
          <w:iCs/>
          <w:sz w:val="21"/>
          <w:szCs w:val="21"/>
          <w:lang w:val="es-MX" w:eastAsia="en-US"/>
        </w:rPr>
      </w:pPr>
    </w:p>
    <w:p w14:paraId="71EEB8C6"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w:t>
      </w:r>
    </w:p>
    <w:p w14:paraId="6E3382E3" w14:textId="77777777" w:rsidR="00DE623A" w:rsidRPr="00DE623A" w:rsidRDefault="00DE623A" w:rsidP="00DE623A">
      <w:pPr>
        <w:ind w:left="1134" w:right="1065"/>
        <w:jc w:val="both"/>
        <w:rPr>
          <w:rFonts w:ascii="Abadi" w:hAnsi="Abadi" w:cs="Arial"/>
          <w:i/>
          <w:iCs/>
          <w:sz w:val="21"/>
          <w:szCs w:val="21"/>
          <w:lang w:val="es-MX" w:eastAsia="en-US"/>
        </w:rPr>
      </w:pPr>
    </w:p>
    <w:p w14:paraId="49314243"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En efecto, la dirección de los asuntos públicos mencionada en el párrafo a),"...es un concepto amplio que se refiere al ejercicio del poder político, que incluye el ejercicio de los poderes legislativo, ejecutivo y administrativo y abarca todos los aspectos de la administración pública y la formulación y aplicación de políticas internacionales, nacionales, regionales y locales. Así la asignación de facultades y los medios por los cuales cada ciudadano ejerce el derecho a participar en la gestión de los asuntos públicos, protegido por el artículo 25, se determinarán en la constitución o en otras leyes.</w:t>
      </w:r>
    </w:p>
    <w:p w14:paraId="01C7F1AA" w14:textId="77777777" w:rsidR="00DE623A" w:rsidRPr="00DE623A" w:rsidRDefault="00DE623A" w:rsidP="00DE623A">
      <w:pPr>
        <w:ind w:left="1134" w:right="1065"/>
        <w:jc w:val="both"/>
        <w:rPr>
          <w:rFonts w:ascii="Abadi" w:hAnsi="Abadi" w:cs="Arial"/>
          <w:i/>
          <w:iCs/>
          <w:sz w:val="21"/>
          <w:szCs w:val="21"/>
          <w:lang w:val="es-MX" w:eastAsia="en-US"/>
        </w:rPr>
      </w:pPr>
    </w:p>
    <w:p w14:paraId="6E8EBAC1"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xml:space="preserve">Bajo este contexto, la silla ciudadana es un espacio que permite a la ciudadanía la participación dentro de los Ayuntamientos; de esta forma, "...la colaboración entre los representantes </w:t>
      </w:r>
      <w:r w:rsidRPr="00DE623A">
        <w:rPr>
          <w:rFonts w:ascii="Abadi" w:hAnsi="Abadi" w:cs="Arial"/>
          <w:i/>
          <w:iCs/>
          <w:sz w:val="21"/>
          <w:szCs w:val="21"/>
          <w:lang w:val="es-MX" w:eastAsia="en-US"/>
        </w:rPr>
        <w:lastRenderedPageBreak/>
        <w:t>populares y la ciudadanía resulta en un modelo que fomenta la democracia participativa, mismo que se sustenta en la soberanía popular', donde las y los ciudadanos tengan derecho a participar en las decisiones públicas, específicamente en los Ayuntamientos.</w:t>
      </w:r>
    </w:p>
    <w:p w14:paraId="749F8090" w14:textId="77777777" w:rsidR="00DE623A" w:rsidRPr="00DE623A" w:rsidRDefault="00DE623A" w:rsidP="00DE623A">
      <w:pPr>
        <w:ind w:left="1134" w:right="1065"/>
        <w:jc w:val="both"/>
        <w:rPr>
          <w:rFonts w:ascii="Abadi" w:hAnsi="Abadi" w:cs="Arial"/>
          <w:i/>
          <w:iCs/>
          <w:sz w:val="21"/>
          <w:szCs w:val="21"/>
          <w:lang w:val="es-MX" w:eastAsia="en-US"/>
        </w:rPr>
      </w:pPr>
    </w:p>
    <w:p w14:paraId="26140E39"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Es decir, "...las y los ciudadanos pueden participar directamente en los asuntos públicos asistiendo a asambleas populares facultadas para adoptar decisiones sobre cuestiones locales o sobre los asuntos de una determinada comunidad. En este sentido, el derecho a participar en condición de igualdad en la vida política y pública es indispensable para garantizar la democracia integradora". Así, "...la participación efectiva de todas las personas y grupos en los asuntos políticos y públicos es fundamental para la garantía efectiva de los derechos humano.</w:t>
      </w:r>
    </w:p>
    <w:p w14:paraId="6A726890" w14:textId="77777777" w:rsidR="00DE623A" w:rsidRPr="00DE623A" w:rsidRDefault="00DE623A" w:rsidP="00DE623A">
      <w:pPr>
        <w:ind w:left="1134" w:right="1065"/>
        <w:jc w:val="both"/>
        <w:rPr>
          <w:rFonts w:ascii="Abadi" w:hAnsi="Abadi" w:cs="Arial"/>
          <w:i/>
          <w:iCs/>
          <w:sz w:val="21"/>
          <w:szCs w:val="21"/>
          <w:lang w:val="es-MX" w:eastAsia="en-US"/>
        </w:rPr>
      </w:pPr>
    </w:p>
    <w:p w14:paraId="42223D92"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xml:space="preserve">Ahora bien, la reforma al artículo 30 de la Constitución Política del Estado de Guanajuato, busca establecer lo siguiente: "...Artículo 30. Todo Poder Público dimana del pueblo[...] Esta Constitución reconoce al menos al referéndum, el plebiscito, la iniciativa popular y la silla ciudadana en los ayuntamientos como formas de participación </w:t>
      </w:r>
      <w:r w:rsidRPr="00DE623A">
        <w:rPr>
          <w:rFonts w:ascii="Abadi" w:hAnsi="Abadi" w:cs="Arial"/>
          <w:i/>
          <w:iCs/>
          <w:sz w:val="21"/>
          <w:szCs w:val="21"/>
          <w:lang w:val="es-MX" w:eastAsia="en-US"/>
        </w:rPr>
        <w:t>ciudadana. El organismo público electoral local a que se refiere el artículo 31 de esta Constitución tendrá a su cargo la organización, desarrollo, cómputo y declaración de resultados de los mecanismos de participación ciudadana que señala esta Constitución y en los términos de la Ley de la materia, a excepción de la silla ciudadana, cuya reglamentación le corresponderá emitir a los ayuntamientos ..."</w:t>
      </w:r>
    </w:p>
    <w:p w14:paraId="36A0DB0A" w14:textId="77777777" w:rsidR="00DE623A" w:rsidRPr="00DE623A" w:rsidRDefault="00DE623A" w:rsidP="00DE623A">
      <w:pPr>
        <w:ind w:firstLine="708"/>
        <w:contextualSpacing/>
        <w:jc w:val="both"/>
        <w:rPr>
          <w:rFonts w:ascii="Abadi" w:hAnsi="Abadi" w:cs="Arial"/>
          <w:sz w:val="21"/>
          <w:szCs w:val="21"/>
          <w:lang w:val="es-MX" w:eastAsia="en-US"/>
        </w:rPr>
      </w:pPr>
    </w:p>
    <w:p w14:paraId="53FFCFAB" w14:textId="77777777" w:rsidR="00DE623A" w:rsidRPr="00DE623A" w:rsidRDefault="00DE623A" w:rsidP="00DE623A">
      <w:pPr>
        <w:ind w:firstLine="708"/>
        <w:jc w:val="both"/>
        <w:rPr>
          <w:rFonts w:ascii="Abadi" w:hAnsi="Abadi" w:cs="Arial"/>
          <w:sz w:val="21"/>
          <w:szCs w:val="21"/>
          <w:lang w:val="es-MX" w:eastAsia="en-US"/>
        </w:rPr>
      </w:pPr>
      <w:r w:rsidRPr="00DE623A">
        <w:rPr>
          <w:rFonts w:ascii="Abadi" w:hAnsi="Abadi" w:cs="Arial"/>
          <w:sz w:val="21"/>
          <w:szCs w:val="21"/>
          <w:lang w:val="es-MX" w:eastAsia="en-US"/>
        </w:rPr>
        <w:t xml:space="preserve">El ayuntamiento de Celaya, Guanajuato manifestó en su momento que: </w:t>
      </w:r>
    </w:p>
    <w:p w14:paraId="17CEC670" w14:textId="77777777" w:rsidR="00DE623A" w:rsidRPr="00DE623A" w:rsidRDefault="00DE623A" w:rsidP="00DE623A">
      <w:pPr>
        <w:jc w:val="both"/>
        <w:rPr>
          <w:rFonts w:ascii="Abadi" w:hAnsi="Abadi" w:cs="Arial"/>
          <w:sz w:val="21"/>
          <w:szCs w:val="21"/>
          <w:lang w:val="es-MX" w:eastAsia="en-US"/>
        </w:rPr>
      </w:pPr>
    </w:p>
    <w:p w14:paraId="729F7F11"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no es pertinente, ya que en los ayuntamientos existen otras mecanismos y figuras de participación ciudadana, por mencionar algunos los consejos ciudadanos, patronatos, etc. Siendo importante la garantía que se tiene sobre el derecho de audiencia.</w:t>
      </w:r>
    </w:p>
    <w:p w14:paraId="6BDA9AD8" w14:textId="77777777" w:rsidR="00DE623A" w:rsidRPr="00DE623A" w:rsidRDefault="00DE623A" w:rsidP="00DE623A">
      <w:pPr>
        <w:contextualSpacing/>
        <w:jc w:val="both"/>
        <w:rPr>
          <w:rFonts w:ascii="Abadi" w:hAnsi="Abadi" w:cs="Arial"/>
          <w:sz w:val="21"/>
          <w:szCs w:val="21"/>
          <w:lang w:val="es-MX" w:eastAsia="en-US"/>
        </w:rPr>
      </w:pPr>
    </w:p>
    <w:p w14:paraId="3C73516C" w14:textId="77777777" w:rsidR="00DE623A" w:rsidRPr="00DE623A" w:rsidRDefault="00DE623A" w:rsidP="00DE623A">
      <w:pPr>
        <w:ind w:firstLine="708"/>
        <w:contextualSpacing/>
        <w:jc w:val="both"/>
        <w:rPr>
          <w:rFonts w:ascii="Abadi" w:hAnsi="Abadi" w:cs="Arial"/>
          <w:sz w:val="21"/>
          <w:szCs w:val="21"/>
          <w:lang w:val="es-MX" w:eastAsia="en-US"/>
        </w:rPr>
      </w:pPr>
      <w:r w:rsidRPr="00DE623A">
        <w:rPr>
          <w:rFonts w:ascii="Abadi" w:hAnsi="Abadi" w:cs="Arial"/>
          <w:sz w:val="21"/>
          <w:szCs w:val="21"/>
          <w:lang w:val="es-MX" w:eastAsia="en-US"/>
        </w:rPr>
        <w:t>El Instituto Electoral del Estado de Guanajuato, consideró en su opinión y observaciones lo siguiente:</w:t>
      </w:r>
    </w:p>
    <w:p w14:paraId="2F0766F0" w14:textId="77777777" w:rsidR="00DE623A" w:rsidRPr="00DE623A" w:rsidRDefault="00DE623A" w:rsidP="00DE623A">
      <w:pPr>
        <w:ind w:firstLine="708"/>
        <w:contextualSpacing/>
        <w:jc w:val="both"/>
        <w:rPr>
          <w:rFonts w:ascii="Abadi" w:hAnsi="Abadi" w:cs="Arial"/>
          <w:sz w:val="21"/>
          <w:szCs w:val="21"/>
          <w:lang w:val="es-MX" w:eastAsia="en-US"/>
        </w:rPr>
      </w:pPr>
    </w:p>
    <w:p w14:paraId="4A04E2B3"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una vez analizada la referida iniciativa a la luz del marco normativo electoral previsto en la Constitución Política para el Estado de Guanajuato, así como en la Ley de Instituciones y Procedimientos Electorales para el Estado de Guanajuato, no se advierte que su contenido entre en conflicto con normas electorales locales.</w:t>
      </w:r>
    </w:p>
    <w:p w14:paraId="3879BAE1" w14:textId="77777777" w:rsidR="00DE623A" w:rsidRPr="00DE623A" w:rsidRDefault="00DE623A" w:rsidP="00DE623A">
      <w:pPr>
        <w:ind w:left="1134" w:right="1065"/>
        <w:jc w:val="both"/>
        <w:rPr>
          <w:rFonts w:ascii="Abadi" w:hAnsi="Abadi" w:cs="Arial"/>
          <w:i/>
          <w:iCs/>
          <w:sz w:val="21"/>
          <w:szCs w:val="21"/>
          <w:lang w:val="es-MX" w:eastAsia="en-US"/>
        </w:rPr>
      </w:pPr>
    </w:p>
    <w:p w14:paraId="31031903"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lastRenderedPageBreak/>
        <w:t>Asimismo, del contenido de la iniciativa se desprende que la regulación de la silla ciudadana será emitida por los ayuntamientos y que este Instituto no tendrá competencia en relación con tal forma de participación ciudadana.</w:t>
      </w:r>
    </w:p>
    <w:p w14:paraId="5EE368AC" w14:textId="77777777" w:rsidR="00DE623A" w:rsidRPr="00DE623A" w:rsidRDefault="00DE623A" w:rsidP="00DE623A">
      <w:pPr>
        <w:ind w:left="1134" w:right="1065"/>
        <w:jc w:val="both"/>
        <w:rPr>
          <w:rFonts w:ascii="Abadi" w:hAnsi="Abadi" w:cs="Arial"/>
          <w:i/>
          <w:iCs/>
          <w:sz w:val="21"/>
          <w:szCs w:val="21"/>
          <w:lang w:val="es-MX" w:eastAsia="en-US"/>
        </w:rPr>
      </w:pPr>
    </w:p>
    <w:p w14:paraId="55336D7E"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Al respecto, si bien en nuestra entidad se cuenta con la Ley de Participación Ciudadana para el Estado de Guanajuato, se trata de un ordenamiento legal publicada en el Periódico Oficial del Gobierno del Estado de Guanajuato en el año 2002, cuyas reformas no han tenido por objeto la inclusión de mecanismos de participación diversos a la iniciativa popular, plebiscito, referéndum y referéndum constitucional.</w:t>
      </w:r>
    </w:p>
    <w:p w14:paraId="30FC60E7" w14:textId="77777777" w:rsidR="00DE623A" w:rsidRPr="00DE623A" w:rsidRDefault="00DE623A" w:rsidP="00DE623A">
      <w:pPr>
        <w:ind w:left="1134" w:right="1065"/>
        <w:jc w:val="both"/>
        <w:rPr>
          <w:rFonts w:ascii="Abadi" w:hAnsi="Abadi" w:cs="Arial"/>
          <w:i/>
          <w:iCs/>
          <w:sz w:val="21"/>
          <w:szCs w:val="21"/>
          <w:lang w:val="es-MX" w:eastAsia="en-US"/>
        </w:rPr>
      </w:pPr>
    </w:p>
    <w:p w14:paraId="5D1E477F"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En tal virtud, respetuosamente se somete a consideración de las y los integrantes de la legislatura, la conveniencia de incorporar a la ley en comento mecanismos de participación ciudadana que, si bien, no cuentan con una regulación que amerite el acopio de firmas y la intervención de este Instituto para la dictaminación de su procedencia, constituyen opciones diversas para la participación de la ciudadanía en los asuntos públicos.</w:t>
      </w:r>
    </w:p>
    <w:p w14:paraId="6DA9BB36" w14:textId="77777777" w:rsidR="00DE623A" w:rsidRPr="00DE623A" w:rsidRDefault="00DE623A" w:rsidP="00DE623A">
      <w:pPr>
        <w:ind w:left="1134" w:right="1065"/>
        <w:jc w:val="both"/>
        <w:rPr>
          <w:rFonts w:ascii="Abadi" w:hAnsi="Abadi" w:cs="Arial"/>
          <w:i/>
          <w:iCs/>
          <w:sz w:val="21"/>
          <w:szCs w:val="21"/>
          <w:lang w:val="es-MX" w:eastAsia="en-US"/>
        </w:rPr>
      </w:pPr>
    </w:p>
    <w:p w14:paraId="237FEBEC"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xml:space="preserve">Tal es el caso de la silla ciudadana objeto de la </w:t>
      </w:r>
      <w:r w:rsidRPr="00DE623A">
        <w:rPr>
          <w:rFonts w:ascii="Abadi" w:hAnsi="Abadi" w:cs="Arial"/>
          <w:i/>
          <w:iCs/>
          <w:sz w:val="21"/>
          <w:szCs w:val="21"/>
          <w:lang w:val="es-MX" w:eastAsia="en-US"/>
        </w:rPr>
        <w:t>iniciativa, la' cual podría incorporarse a la ley de participación ciudadana en comento, como acontece en legislaciones de otros estados, por citar algunos ejemplos, es el caso de la Ley de Participación Ciudadana de la Ciudad de México y la Ley de Participación Ciudadana del Estado de Quintana Roo; además, en la Ley de Participación Ciudadana del Estado de Aguascalientes, en la Ley Estatal de Participación Ciudadana y de Gobierno Abierto del Estado de Veracruz de Ignacio de la Llave y en la Ley de Participación Ciudadana para el Estado de Oaxaca, se regula un mecanismo denominado cabildo en sesión abierta, con base en el cual las ciudadanas y ciudadanos pueden participar en sesiones de los ayuntamientos solo con derecho a voz.</w:t>
      </w:r>
    </w:p>
    <w:p w14:paraId="7D8A8663" w14:textId="77777777" w:rsidR="00DE623A" w:rsidRPr="00DE623A" w:rsidRDefault="00DE623A" w:rsidP="00DE623A">
      <w:pPr>
        <w:ind w:left="1134" w:right="1065"/>
        <w:jc w:val="both"/>
        <w:rPr>
          <w:rFonts w:ascii="Abadi" w:hAnsi="Abadi" w:cs="Arial"/>
          <w:i/>
          <w:iCs/>
          <w:sz w:val="21"/>
          <w:szCs w:val="21"/>
          <w:lang w:val="es-MX" w:eastAsia="en-US"/>
        </w:rPr>
      </w:pPr>
    </w:p>
    <w:p w14:paraId="46527302"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xml:space="preserve">La silla ciudadana y el cabildo abierto son mecanismos de participación parecidos, sin embargo, la principal diferencia es que las sesiones de cabildo abierto se celebran con base en la periodicidad determinada en ley, mientras que la posibilidad de intervenir a través de la silla ciudadana no está sujeta a temporalidad. Además, la silla ciudadana no limita la intervención de la ciudadanía a asuntos determinados y se reglamenta </w:t>
      </w:r>
      <w:r w:rsidRPr="00DE623A">
        <w:rPr>
          <w:rFonts w:ascii="Abadi" w:hAnsi="Abadi" w:cs="Arial"/>
          <w:i/>
          <w:iCs/>
          <w:sz w:val="21"/>
          <w:szCs w:val="21"/>
          <w:lang w:val="es-MX" w:eastAsia="en-US"/>
        </w:rPr>
        <w:lastRenderedPageBreak/>
        <w:t>principalmente por los ayuntamientos. Asimismo, en la Ley de Consulta Popular del Estado de Tlaxcala se prevé un medio de participación personal de las ciudadanas y ciudadanos en sesiones de cabildo, a través de la figura de la voz ciudadana, para llevar a cabo la presentación de propuestas.</w:t>
      </w:r>
    </w:p>
    <w:p w14:paraId="6412F50E" w14:textId="77777777" w:rsidR="00DE623A" w:rsidRPr="00DE623A" w:rsidRDefault="00DE623A" w:rsidP="00DE623A">
      <w:pPr>
        <w:ind w:left="1134" w:right="1065"/>
        <w:jc w:val="both"/>
        <w:rPr>
          <w:rFonts w:ascii="Abadi" w:hAnsi="Abadi" w:cs="Arial"/>
          <w:i/>
          <w:iCs/>
          <w:sz w:val="21"/>
          <w:szCs w:val="21"/>
          <w:lang w:val="es-MX" w:eastAsia="en-US"/>
        </w:rPr>
      </w:pPr>
    </w:p>
    <w:p w14:paraId="4650186A" w14:textId="77777777" w:rsidR="00DE623A" w:rsidRPr="00DE623A" w:rsidRDefault="00DE623A" w:rsidP="00DE623A">
      <w:pPr>
        <w:ind w:firstLine="708"/>
        <w:jc w:val="both"/>
        <w:rPr>
          <w:rFonts w:ascii="Abadi" w:hAnsi="Abadi" w:cs="Arial Unicode MS"/>
          <w:i/>
          <w:sz w:val="21"/>
          <w:szCs w:val="21"/>
          <w:lang w:val="es-MX"/>
        </w:rPr>
      </w:pPr>
      <w:r w:rsidRPr="00DE623A">
        <w:rPr>
          <w:rFonts w:ascii="Abadi" w:hAnsi="Abadi" w:cs="Arial"/>
          <w:sz w:val="21"/>
          <w:szCs w:val="21"/>
          <w:lang w:val="es-MX" w:eastAsia="en-US"/>
        </w:rPr>
        <w:t>El ayuntamiento de Cortazar, Guanajuato manifestó que:</w:t>
      </w:r>
      <w:r w:rsidRPr="00DE623A">
        <w:rPr>
          <w:rFonts w:ascii="Abadi" w:hAnsi="Abadi" w:cs="Arial Unicode MS"/>
          <w:i/>
          <w:sz w:val="21"/>
          <w:szCs w:val="21"/>
          <w:lang w:val="es-MX"/>
        </w:rPr>
        <w:t xml:space="preserve"> </w:t>
      </w:r>
    </w:p>
    <w:p w14:paraId="09C57DCB" w14:textId="77777777" w:rsidR="00DE623A" w:rsidRPr="00DE623A" w:rsidRDefault="00DE623A" w:rsidP="00DE623A">
      <w:pPr>
        <w:ind w:firstLine="708"/>
        <w:jc w:val="both"/>
        <w:rPr>
          <w:rFonts w:ascii="Abadi" w:hAnsi="Abadi" w:cs="Arial Unicode MS"/>
          <w:i/>
          <w:sz w:val="21"/>
          <w:szCs w:val="21"/>
          <w:lang w:val="es-MX"/>
        </w:rPr>
      </w:pPr>
    </w:p>
    <w:p w14:paraId="78777BB5"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los argumentos que presenta la iniciante en su exposición de motivos nos parecen razonables desde el punto de vista de la ciudadanía. Es cierto que la representatividad que los gobernados depositan en quienes eligen para encabezar las administraciones, de los tres órdenes de gobierno, no es precisamente la que todos pretendiéramos tener para la mejor toma de las decisiones a favor de la población, incluso cuando gana el partido por el cual votamos.</w:t>
      </w:r>
    </w:p>
    <w:p w14:paraId="1AD1B9FB" w14:textId="77777777" w:rsidR="00DE623A" w:rsidRPr="00DE623A" w:rsidRDefault="00DE623A" w:rsidP="00DE623A">
      <w:pPr>
        <w:ind w:left="1134" w:right="1065"/>
        <w:jc w:val="both"/>
        <w:rPr>
          <w:rFonts w:ascii="Abadi" w:hAnsi="Abadi" w:cs="Arial"/>
          <w:i/>
          <w:iCs/>
          <w:sz w:val="21"/>
          <w:szCs w:val="21"/>
          <w:lang w:val="es-MX" w:eastAsia="en-US"/>
        </w:rPr>
      </w:pPr>
    </w:p>
    <w:p w14:paraId="7AD882F5"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xml:space="preserve">Sin embargo, así es como está concebido nuestro sistema de gobierno democrático, por ello la importancia que radica en nosotros como votantes de tener mayor participación y aprender a escoger mejor a nuestros representantes políticos, eligiendo personas con preparación, experiencia, actitud de servicio, disponibilidad, cercanía a la ciudadanía, </w:t>
      </w:r>
      <w:r w:rsidRPr="00DE623A">
        <w:rPr>
          <w:rFonts w:ascii="Abadi" w:hAnsi="Abadi" w:cs="Arial"/>
          <w:i/>
          <w:iCs/>
          <w:sz w:val="21"/>
          <w:szCs w:val="21"/>
          <w:lang w:val="es-MX" w:eastAsia="en-US"/>
        </w:rPr>
        <w:t>objetividad y realismo para que al momento de elaborar y proponer los proyectos, estos puedan ser aterrizados en beneficio de nuestra sociedad. Estamos ciertos que promover una participación más activa de la ciudadanía en las decisiones que toman sus gobernantes vendría a ser benéfica para que las acciones de gobierno sean más cercanas a la problemática específica que vive cada comunidad.</w:t>
      </w:r>
    </w:p>
    <w:p w14:paraId="5F24FAB8" w14:textId="77777777" w:rsidR="00DE623A" w:rsidRPr="00DE623A" w:rsidRDefault="00DE623A" w:rsidP="00DE623A">
      <w:pPr>
        <w:ind w:left="1134" w:right="1065"/>
        <w:jc w:val="both"/>
        <w:rPr>
          <w:rFonts w:ascii="Abadi" w:hAnsi="Abadi" w:cs="Arial"/>
          <w:i/>
          <w:iCs/>
          <w:sz w:val="21"/>
          <w:szCs w:val="21"/>
          <w:lang w:val="es-MX" w:eastAsia="en-US"/>
        </w:rPr>
      </w:pPr>
    </w:p>
    <w:p w14:paraId="28B35FA7"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Ponemos a consideración del Congreso el análisis de la necesidad de reformar de igual forma la Ley de Participación Ciudadana para incluir la figura de la Silla ciudadana propuesta en esta iniciativa a fin de que el mecanismo quede bien integrado legalmente.</w:t>
      </w:r>
    </w:p>
    <w:p w14:paraId="04695859" w14:textId="77777777" w:rsidR="00DE623A" w:rsidRPr="00DE623A" w:rsidRDefault="00DE623A" w:rsidP="00DE623A">
      <w:pPr>
        <w:spacing w:before="6"/>
        <w:jc w:val="both"/>
        <w:rPr>
          <w:rFonts w:ascii="Abadi" w:hAnsi="Abadi" w:cs="Arial Unicode MS"/>
          <w:sz w:val="21"/>
          <w:szCs w:val="21"/>
          <w:lang w:val="es-MX"/>
        </w:rPr>
      </w:pPr>
    </w:p>
    <w:p w14:paraId="586EF72B"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xml:space="preserve">El regidor Valentín Lerma Arriaga expone que no está de acuerdo con otorgar un lugar o silla específica para este fin, dado que no es necesario tener un sitio especial en los cabildos para poder dar el uso de la voz a la ciudadanía. En cuanto a la redacción del Decreto, se observaron los siguientes errores al describir las modificaciones que se pretenden realizar: cuando en realidad se están reformando los párrafos segundo y tercero, mismos que no deben ser identificados como fracciones ya que </w:t>
      </w:r>
      <w:r w:rsidRPr="00DE623A">
        <w:rPr>
          <w:rFonts w:ascii="Abadi" w:hAnsi="Abadi" w:cs="Arial"/>
          <w:i/>
          <w:iCs/>
          <w:sz w:val="21"/>
          <w:szCs w:val="21"/>
          <w:lang w:val="es-MX" w:eastAsia="en-US"/>
        </w:rPr>
        <w:lastRenderedPageBreak/>
        <w:t>no están numerados; además, falta la frase: "de la" después del número 30. Si bien estos errores no se encuentran en el texto que quedaría asentando en la Ley, de ser aprobada esta iniciativa, los mencionamos porque hablan del poco cuidado o falta de revisión por parte de la iniciante o su equipo de trabajo, antes de poner su propuesta a consideración de los municipios.</w:t>
      </w:r>
    </w:p>
    <w:p w14:paraId="340D063D" w14:textId="77777777" w:rsidR="00DE623A" w:rsidRPr="00DE623A" w:rsidRDefault="00DE623A" w:rsidP="00DE623A">
      <w:pPr>
        <w:ind w:left="1134" w:right="1065"/>
        <w:jc w:val="both"/>
        <w:rPr>
          <w:rFonts w:ascii="Abadi" w:hAnsi="Abadi" w:cs="Arial"/>
          <w:i/>
          <w:iCs/>
          <w:sz w:val="21"/>
          <w:szCs w:val="21"/>
          <w:lang w:val="es-MX" w:eastAsia="en-US"/>
        </w:rPr>
      </w:pPr>
    </w:p>
    <w:p w14:paraId="72B50EED"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xml:space="preserve">En la presente Comisión estamos de acuerdo que la participación ciudadana es un ejercicio indispensable para el buen desarrollo de nuestra sociedad, el cual debe de ampliarse y promoverse. A su vez, encontramos que el mecanismo que la iniciativa propone es bastante interesante pero incompleto para que pueda operar de forma correcta, con una regulación base, al menos con los puntos que enlistamos en la Consideración Segunda de este dictamen, a fin de evitar que el mencionado mecanismo sea utilizado con fines dolosos hacia la administración en curso o con una preparación deficiente para su exposición, como lo deja ver la reforma a la Ley Orgánica Municipal en su artículo 15, donde deja la participación abierta y ambigua a cualquier tema, incluso cuando su atención en cabildo no siempre sea el mejor lugar para </w:t>
      </w:r>
      <w:r w:rsidRPr="00DE623A">
        <w:rPr>
          <w:rFonts w:ascii="Abadi" w:hAnsi="Abadi" w:cs="Arial"/>
          <w:i/>
          <w:iCs/>
          <w:sz w:val="21"/>
          <w:szCs w:val="21"/>
          <w:lang w:val="es-MX" w:eastAsia="en-US"/>
        </w:rPr>
        <w:t>analizarlo. Es por esto que manifestamos que esta nueva figura no debe de aprobarse sino hasta que en la propia ley se encuentre ordenada, así como lo están los demás mecanismos en la Ley de Participación Ciudadana para el Estado de Guanajuato, lo cual no fue considerado por la iniciante y deje a los municipios que definan en su reglamentación solamente los detalles finales para que la ciudadanía tenga voz sobre un asunto del orden del día de una sesión ordinaria de ayuntamiento, entre otras cuestiones de protocolo para que pudiera estar hasta cierto punto homologada en todos los municipios esta figura de participación ciudadana.</w:t>
      </w:r>
    </w:p>
    <w:p w14:paraId="270A7FDA" w14:textId="77777777" w:rsidR="00DE623A" w:rsidRPr="00DE623A" w:rsidRDefault="00DE623A" w:rsidP="00DE623A">
      <w:pPr>
        <w:ind w:firstLine="708"/>
        <w:contextualSpacing/>
        <w:jc w:val="both"/>
        <w:rPr>
          <w:rFonts w:ascii="Abadi" w:hAnsi="Abadi" w:cs="Arial"/>
          <w:sz w:val="21"/>
          <w:szCs w:val="21"/>
          <w:lang w:val="es-MX" w:eastAsia="en-US"/>
        </w:rPr>
      </w:pPr>
    </w:p>
    <w:p w14:paraId="58D79B72" w14:textId="77777777" w:rsidR="00DE623A" w:rsidRPr="00DE623A" w:rsidRDefault="00DE623A" w:rsidP="00DE623A">
      <w:pPr>
        <w:ind w:firstLine="708"/>
        <w:jc w:val="both"/>
        <w:rPr>
          <w:rFonts w:ascii="Abadi" w:hAnsi="Abadi" w:cs="Arial"/>
          <w:sz w:val="21"/>
          <w:szCs w:val="21"/>
          <w:lang w:val="es-MX" w:eastAsia="en-US"/>
        </w:rPr>
      </w:pPr>
      <w:r w:rsidRPr="00DE623A">
        <w:rPr>
          <w:rFonts w:ascii="Abadi" w:hAnsi="Abadi" w:cs="Arial"/>
          <w:sz w:val="21"/>
          <w:szCs w:val="21"/>
          <w:lang w:val="es-MX" w:eastAsia="en-US"/>
        </w:rPr>
        <w:t xml:space="preserve">El ayuntamiento de Irapuato, Guanajuato manifestó que: </w:t>
      </w:r>
    </w:p>
    <w:p w14:paraId="627348AB" w14:textId="77777777" w:rsidR="00DE623A" w:rsidRPr="00DE623A" w:rsidRDefault="00DE623A" w:rsidP="00DE623A">
      <w:pPr>
        <w:jc w:val="both"/>
        <w:rPr>
          <w:rFonts w:ascii="Abadi" w:hAnsi="Abadi" w:cs="Arial"/>
          <w:sz w:val="21"/>
          <w:szCs w:val="21"/>
          <w:lang w:val="es-MX" w:eastAsia="en-US"/>
        </w:rPr>
      </w:pPr>
    </w:p>
    <w:p w14:paraId="7BB7A34E"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del análisis y revisión al documento descrito en el párrafo anterior, le manifiesto que en el artículo primero del proyecto de Decreto mediante el cual se pretende reformar la Constitución Política para el Estado de Guanajuato, establece que: "se reforman las fracciones segunda y tercera del artículo 30", sin embargo en el dispositivo legal vigente el citado numeral no cuenta con fracciones, por lo que se sugiere verificar la redacción del proyecto de Decreto.</w:t>
      </w:r>
    </w:p>
    <w:p w14:paraId="4F00E9B6" w14:textId="77777777" w:rsidR="00DE623A" w:rsidRPr="00DE623A" w:rsidRDefault="00DE623A" w:rsidP="00DE623A">
      <w:pPr>
        <w:ind w:left="1134" w:right="1065"/>
        <w:jc w:val="both"/>
        <w:rPr>
          <w:rFonts w:ascii="Abadi" w:hAnsi="Abadi" w:cs="Arial"/>
          <w:i/>
          <w:iCs/>
          <w:sz w:val="21"/>
          <w:szCs w:val="21"/>
          <w:lang w:val="es-MX" w:eastAsia="en-US"/>
        </w:rPr>
      </w:pPr>
    </w:p>
    <w:p w14:paraId="7112C70D" w14:textId="77777777" w:rsidR="00DE623A" w:rsidRPr="00DE623A" w:rsidRDefault="00DE623A" w:rsidP="00DE623A">
      <w:pPr>
        <w:ind w:firstLine="708"/>
        <w:jc w:val="both"/>
        <w:rPr>
          <w:rFonts w:ascii="Abadi" w:hAnsi="Abadi" w:cs="Arial Unicode MS"/>
          <w:i/>
          <w:sz w:val="21"/>
          <w:szCs w:val="21"/>
          <w:lang w:val="es-MX"/>
        </w:rPr>
      </w:pPr>
      <w:r w:rsidRPr="00DE623A">
        <w:rPr>
          <w:rFonts w:ascii="Abadi" w:hAnsi="Abadi" w:cs="Arial"/>
          <w:sz w:val="21"/>
          <w:szCs w:val="21"/>
          <w:lang w:val="es-MX" w:eastAsia="en-US"/>
        </w:rPr>
        <w:t>La Coordinación General Jurídica de Gobierno del Estado manifestó en su momento que:</w:t>
      </w:r>
      <w:r w:rsidRPr="00DE623A">
        <w:rPr>
          <w:rFonts w:ascii="Abadi" w:hAnsi="Abadi" w:cs="Arial Unicode MS"/>
          <w:i/>
          <w:sz w:val="21"/>
          <w:szCs w:val="21"/>
          <w:lang w:val="es-MX"/>
        </w:rPr>
        <w:t xml:space="preserve"> </w:t>
      </w:r>
    </w:p>
    <w:p w14:paraId="786B390D" w14:textId="77777777" w:rsidR="00DE623A" w:rsidRPr="00DE623A" w:rsidRDefault="00DE623A" w:rsidP="00DE623A">
      <w:pPr>
        <w:ind w:firstLine="708"/>
        <w:jc w:val="both"/>
        <w:rPr>
          <w:rFonts w:ascii="Abadi" w:hAnsi="Abadi" w:cs="Arial Unicode MS"/>
          <w:i/>
          <w:sz w:val="21"/>
          <w:szCs w:val="21"/>
          <w:lang w:val="es-MX"/>
        </w:rPr>
      </w:pPr>
    </w:p>
    <w:p w14:paraId="4478A753"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la participación ciudadana y deliberación pública en los procesos de toma de decisiones son valores esenciales dentro de un régimen democrático, por lo que su reconocimiento y desarrollo en la normatividad fortalece la diaria construcción de los procesos e instituciones democráticas. Conforme con el artículo 40 de la CPEUM, México es una República democrática representativa. En el mismo sentido, la Carta Democrática Interamericana (CDI) establece en el artículo 2 que el ejercicio efectivo de la democracia representativa es la base del estado de derecho y los regímenes constitucionales de los Estados Miembros de la Organización de los Estados Americanos. La democracia representativa se refuerza y profundiza con la participación permanente, ética y responsable de la ciudadanía en un marco de legalidad conforme al respectivo orden constitucional.</w:t>
      </w:r>
    </w:p>
    <w:p w14:paraId="63B801E1" w14:textId="77777777" w:rsidR="00DE623A" w:rsidRPr="00DE623A" w:rsidRDefault="00DE623A" w:rsidP="00DE623A">
      <w:pPr>
        <w:ind w:left="1134" w:right="1065"/>
        <w:jc w:val="both"/>
        <w:rPr>
          <w:rFonts w:ascii="Abadi" w:hAnsi="Abadi" w:cs="Arial"/>
          <w:i/>
          <w:iCs/>
          <w:sz w:val="21"/>
          <w:szCs w:val="21"/>
          <w:lang w:val="es-MX" w:eastAsia="en-US"/>
        </w:rPr>
      </w:pPr>
    </w:p>
    <w:p w14:paraId="252CEFB4"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xml:space="preserve">Al desarrollar dicho concepto la CDI en el artículo 3 señala que los elementos esenciales de la democracia representativa son el respeto a los derechos humanos y las libertades fundamentales; el </w:t>
      </w:r>
      <w:r w:rsidRPr="00DE623A">
        <w:rPr>
          <w:rFonts w:ascii="Abadi" w:hAnsi="Abadi" w:cs="Arial"/>
          <w:i/>
          <w:iCs/>
          <w:sz w:val="21"/>
          <w:szCs w:val="21"/>
          <w:lang w:val="es-MX" w:eastAsia="en-US"/>
        </w:rPr>
        <w:t xml:space="preserve">acceso al poder y su ejercicio con sujeción al Estado de Derecho; la celebración de elecciones periódicas, libres, justas y basadas en el sufragio universal y secreto como expresión de la soberanía del pueblo; el régimen plural de partidos y organizaciones políticas; y la separación e independencia de los poderes públicos. Asimismo, en el artículo 6 de la CDI se reconoce que la participación de la ciudadanía en las decisiones relativas a su propio desarrollo es un derecho y una responsabilidad, además de ser una condición necesaria para el pleno y efectivo ejercicio de la democracia. </w:t>
      </w:r>
    </w:p>
    <w:p w14:paraId="47F4937F" w14:textId="77777777" w:rsidR="00DE623A" w:rsidRPr="00DE623A" w:rsidRDefault="00DE623A" w:rsidP="00DE623A">
      <w:pPr>
        <w:ind w:left="1134" w:right="1065"/>
        <w:jc w:val="both"/>
        <w:rPr>
          <w:rFonts w:ascii="Abadi" w:hAnsi="Abadi" w:cs="Arial"/>
          <w:i/>
          <w:iCs/>
          <w:sz w:val="21"/>
          <w:szCs w:val="21"/>
          <w:lang w:val="es-MX" w:eastAsia="en-US"/>
        </w:rPr>
      </w:pPr>
    </w:p>
    <w:p w14:paraId="0CCB5771"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Como se advierte, la democracia representativa es la base del Estado de Derecho en los Estados Americanos y en el Estado Mexicano. A esta figura se han sumado formas de democracia participativa, tales como los plebiscitos o referéndums, como instituciones de democracia semidirecta.</w:t>
      </w:r>
    </w:p>
    <w:p w14:paraId="6FE63788" w14:textId="77777777" w:rsidR="00DE623A" w:rsidRPr="00DE623A" w:rsidRDefault="00DE623A" w:rsidP="00DE623A">
      <w:pPr>
        <w:ind w:left="1134" w:right="1065"/>
        <w:jc w:val="both"/>
        <w:rPr>
          <w:rFonts w:ascii="Abadi" w:hAnsi="Abadi" w:cs="Arial"/>
          <w:i/>
          <w:iCs/>
          <w:sz w:val="21"/>
          <w:szCs w:val="21"/>
          <w:lang w:val="es-MX" w:eastAsia="en-US"/>
        </w:rPr>
      </w:pPr>
    </w:p>
    <w:p w14:paraId="6DED400F"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w:t>
      </w:r>
    </w:p>
    <w:p w14:paraId="41BF6FC4" w14:textId="77777777" w:rsidR="00DE623A" w:rsidRPr="00DE623A" w:rsidRDefault="00DE623A" w:rsidP="00DE623A">
      <w:pPr>
        <w:ind w:left="1134" w:right="1065"/>
        <w:jc w:val="both"/>
        <w:rPr>
          <w:rFonts w:ascii="Abadi" w:hAnsi="Abadi" w:cs="Arial"/>
          <w:i/>
          <w:iCs/>
          <w:sz w:val="21"/>
          <w:szCs w:val="21"/>
          <w:lang w:val="es-MX" w:eastAsia="en-US"/>
        </w:rPr>
      </w:pPr>
    </w:p>
    <w:p w14:paraId="682F96D4"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xml:space="preserve">Sobresale que en la propia iniciativa de reforma al artículo 30 de la CPEG se diferencia a la silla ciudadana del resto de los mecanismos de democracia semidirecta, pues se señala expresamente que la misma no será </w:t>
      </w:r>
      <w:r w:rsidRPr="00DE623A">
        <w:rPr>
          <w:rFonts w:ascii="Abadi" w:hAnsi="Abadi" w:cs="Arial"/>
          <w:i/>
          <w:iCs/>
          <w:sz w:val="21"/>
          <w:szCs w:val="21"/>
          <w:lang w:val="es-MX" w:eastAsia="en-US"/>
        </w:rPr>
        <w:lastRenderedPageBreak/>
        <w:t>organizada o regulada por autoridades electorales, sino directamente por los Ayuntamientos.</w:t>
      </w:r>
    </w:p>
    <w:p w14:paraId="04BA410D"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 xml:space="preserve"> </w:t>
      </w:r>
    </w:p>
    <w:p w14:paraId="785E30C3" w14:textId="77777777" w:rsidR="00DE623A" w:rsidRPr="00DE623A" w:rsidRDefault="00DE623A" w:rsidP="00DE623A">
      <w:pPr>
        <w:ind w:left="1134" w:right="1065"/>
        <w:jc w:val="both"/>
        <w:rPr>
          <w:rFonts w:ascii="Abadi" w:hAnsi="Abadi" w:cs="Arial"/>
          <w:i/>
          <w:iCs/>
          <w:sz w:val="21"/>
          <w:szCs w:val="21"/>
          <w:lang w:val="es-MX" w:eastAsia="en-US"/>
        </w:rPr>
      </w:pPr>
      <w:r w:rsidRPr="00DE623A">
        <w:rPr>
          <w:rFonts w:ascii="Abadi" w:hAnsi="Abadi" w:cs="Arial"/>
          <w:i/>
          <w:iCs/>
          <w:sz w:val="21"/>
          <w:szCs w:val="21"/>
          <w:lang w:val="es-MX" w:eastAsia="en-US"/>
        </w:rPr>
        <w:t>El principio de gobierno abierto se encuentra ya reconocido a nivel constitucional local, por lo que en su caso correspondería darle contenido y regularlo a efecto de darle mayor efectividad, en concreto al subprincipio de participación ciudadana deliberativa.</w:t>
      </w:r>
    </w:p>
    <w:p w14:paraId="5081AD03" w14:textId="77777777" w:rsidR="00DE623A" w:rsidRPr="00DE623A" w:rsidRDefault="00DE623A" w:rsidP="00DE623A">
      <w:pPr>
        <w:ind w:left="1134" w:right="1065"/>
        <w:jc w:val="both"/>
        <w:rPr>
          <w:rFonts w:ascii="Abadi" w:hAnsi="Abadi" w:cs="Arial"/>
          <w:i/>
          <w:iCs/>
          <w:sz w:val="21"/>
          <w:szCs w:val="21"/>
          <w:lang w:val="es-MX" w:eastAsia="en-US"/>
        </w:rPr>
      </w:pPr>
    </w:p>
    <w:p w14:paraId="19D735D1" w14:textId="77777777" w:rsidR="00DE623A" w:rsidRPr="00DE623A" w:rsidRDefault="00DE623A" w:rsidP="00DE623A">
      <w:pPr>
        <w:spacing w:line="276" w:lineRule="auto"/>
        <w:jc w:val="both"/>
        <w:rPr>
          <w:rFonts w:ascii="Abadi" w:eastAsia="Batang" w:hAnsi="Abadi" w:cs="Arial"/>
          <w:b/>
          <w:sz w:val="21"/>
          <w:szCs w:val="21"/>
          <w:lang w:val="es-MX" w:eastAsia="en-US"/>
        </w:rPr>
      </w:pPr>
    </w:p>
    <w:p w14:paraId="135F5450" w14:textId="414344A4" w:rsidR="00DE623A" w:rsidRPr="00DE623A" w:rsidRDefault="00DE623A" w:rsidP="00DE623A">
      <w:pPr>
        <w:spacing w:line="276" w:lineRule="auto"/>
        <w:jc w:val="both"/>
        <w:rPr>
          <w:rFonts w:ascii="Abadi" w:hAnsi="Abadi" w:cs="Arial"/>
          <w:sz w:val="21"/>
          <w:szCs w:val="21"/>
          <w:lang w:val="es-MX" w:eastAsia="en-US"/>
        </w:rPr>
      </w:pPr>
      <w:r w:rsidRPr="00DE623A">
        <w:rPr>
          <w:rFonts w:ascii="Abadi" w:eastAsia="Batang" w:hAnsi="Abadi" w:cs="Arial"/>
          <w:b/>
          <w:sz w:val="21"/>
          <w:szCs w:val="21"/>
          <w:lang w:val="es-MX" w:eastAsia="en-US"/>
        </w:rPr>
        <w:t xml:space="preserve">II.2. </w:t>
      </w:r>
      <w:r w:rsidRPr="00DE623A">
        <w:rPr>
          <w:rFonts w:ascii="Abadi" w:hAnsi="Abadi" w:cs="Arial"/>
          <w:sz w:val="21"/>
          <w:szCs w:val="21"/>
          <w:lang w:val="es-MX" w:eastAsia="en-US"/>
        </w:rPr>
        <w:t>En fecha 14 de septiembre de 2021, las diputadas y los diputados integrantes de la Comisión de Gobernación y Puntos Constitucionales de la Sexagésima Cuarta Legislatura, determinaron dejar esta iniciativa como un pendiente legislativo para que fuera la siguiente Legislatura quien se pronunciara al respecto.</w:t>
      </w:r>
    </w:p>
    <w:p w14:paraId="4B32421A" w14:textId="77777777" w:rsidR="00DE623A" w:rsidRPr="00DE623A" w:rsidRDefault="00DE623A" w:rsidP="00DE623A">
      <w:pPr>
        <w:spacing w:line="276" w:lineRule="auto"/>
        <w:jc w:val="both"/>
        <w:rPr>
          <w:rFonts w:ascii="Abadi" w:hAnsi="Abadi" w:cs="Arial"/>
          <w:sz w:val="21"/>
          <w:szCs w:val="21"/>
          <w:lang w:val="es-MX" w:eastAsia="en-US"/>
        </w:rPr>
      </w:pPr>
    </w:p>
    <w:p w14:paraId="621EAC65" w14:textId="77777777" w:rsidR="00DE623A" w:rsidRPr="00DE623A" w:rsidRDefault="00DE623A" w:rsidP="00DE623A">
      <w:pPr>
        <w:spacing w:line="276" w:lineRule="auto"/>
        <w:jc w:val="both"/>
        <w:rPr>
          <w:rFonts w:ascii="Abadi" w:hAnsi="Abadi" w:cs="Arial"/>
          <w:sz w:val="21"/>
          <w:szCs w:val="21"/>
          <w:lang w:val="es-MX" w:eastAsia="en-US"/>
        </w:rPr>
      </w:pPr>
      <w:r w:rsidRPr="00DE623A">
        <w:rPr>
          <w:rFonts w:ascii="Abadi" w:hAnsi="Abadi" w:cs="Arial"/>
          <w:b/>
          <w:sz w:val="21"/>
          <w:szCs w:val="21"/>
          <w:lang w:val="es-MX" w:eastAsia="en-US"/>
        </w:rPr>
        <w:t xml:space="preserve">II.3. </w:t>
      </w:r>
      <w:r w:rsidRPr="00DE623A">
        <w:rPr>
          <w:rFonts w:ascii="Abadi" w:hAnsi="Abadi" w:cs="Arial"/>
          <w:sz w:val="21"/>
          <w:szCs w:val="21"/>
          <w:lang w:val="es-MX" w:eastAsia="en-US"/>
        </w:rPr>
        <w:t>En fecha 11 de octubre de 2021, se instaló la Comisión de Gobernación y Puntos Constitucionales de la Sexagésima Quinta Legislatura, donde se impusieron del contenido de los pendientes legislativos, y entre ellos se encuentra la iniciativa que se dictamina.</w:t>
      </w:r>
    </w:p>
    <w:p w14:paraId="4DC88D6F" w14:textId="77777777" w:rsidR="00DE623A" w:rsidRPr="00DE623A" w:rsidRDefault="00DE623A" w:rsidP="00DE623A">
      <w:pPr>
        <w:spacing w:line="276" w:lineRule="auto"/>
        <w:jc w:val="both"/>
        <w:rPr>
          <w:rFonts w:ascii="Abadi" w:hAnsi="Abadi" w:cs="Arial"/>
          <w:sz w:val="21"/>
          <w:szCs w:val="21"/>
          <w:lang w:val="es-MX" w:eastAsia="en-US"/>
        </w:rPr>
      </w:pPr>
    </w:p>
    <w:p w14:paraId="21E6C700" w14:textId="77777777" w:rsidR="00DE623A" w:rsidRPr="00DE623A" w:rsidRDefault="00DE623A" w:rsidP="00DE623A">
      <w:pPr>
        <w:spacing w:line="276" w:lineRule="auto"/>
        <w:jc w:val="both"/>
        <w:rPr>
          <w:rFonts w:ascii="Abadi" w:hAnsi="Abadi" w:cs="Arial"/>
          <w:sz w:val="21"/>
          <w:szCs w:val="21"/>
          <w:lang w:val="es-MX" w:eastAsia="en-US"/>
        </w:rPr>
      </w:pPr>
      <w:r w:rsidRPr="00DE623A">
        <w:rPr>
          <w:rFonts w:ascii="Abadi" w:hAnsi="Abadi" w:cs="Arial"/>
          <w:sz w:val="21"/>
          <w:szCs w:val="21"/>
          <w:lang w:val="es-MX" w:eastAsia="en-US"/>
        </w:rPr>
        <w:t>En reunión de la comisión legislativa del 11 de mayo de 2022, se determinó a efecto de dar continuidad y seguimiento puntual a la metodología de análisis y estudio aprobada por unanimidad en su momento por la homóloga de la Sexagésima Cuarta Legislatura, la fecha para la celebración de la mesa de trabajo.</w:t>
      </w:r>
    </w:p>
    <w:p w14:paraId="2D6CFF27" w14:textId="77777777" w:rsidR="00DE623A" w:rsidRPr="00DE623A" w:rsidRDefault="00DE623A" w:rsidP="00DE623A">
      <w:pPr>
        <w:spacing w:line="276" w:lineRule="auto"/>
        <w:jc w:val="both"/>
        <w:rPr>
          <w:rFonts w:ascii="Abadi" w:hAnsi="Abadi" w:cs="Arial"/>
          <w:sz w:val="21"/>
          <w:szCs w:val="21"/>
          <w:lang w:val="es-MX" w:eastAsia="en-US"/>
        </w:rPr>
      </w:pPr>
    </w:p>
    <w:p w14:paraId="49853ED4" w14:textId="77777777" w:rsidR="00DE623A" w:rsidRPr="00DE623A" w:rsidRDefault="00DE623A" w:rsidP="00DE623A">
      <w:pPr>
        <w:spacing w:line="276" w:lineRule="auto"/>
        <w:jc w:val="both"/>
        <w:rPr>
          <w:rFonts w:ascii="Abadi" w:eastAsia="Batang" w:hAnsi="Abadi" w:cs="Arial"/>
          <w:bCs/>
          <w:sz w:val="21"/>
          <w:szCs w:val="21"/>
          <w:lang w:val="es-MX"/>
        </w:rPr>
      </w:pPr>
      <w:r w:rsidRPr="00DE623A">
        <w:rPr>
          <w:rFonts w:ascii="Abadi" w:eastAsia="Batang" w:hAnsi="Abadi" w:cs="Arial"/>
          <w:b/>
          <w:sz w:val="21"/>
          <w:szCs w:val="21"/>
          <w:lang w:val="es-MX"/>
        </w:rPr>
        <w:t xml:space="preserve">II.4. </w:t>
      </w:r>
      <w:r w:rsidRPr="00DE623A">
        <w:rPr>
          <w:rFonts w:ascii="Abadi" w:eastAsia="Batang" w:hAnsi="Abadi" w:cs="Arial"/>
          <w:bCs/>
          <w:sz w:val="21"/>
          <w:szCs w:val="21"/>
          <w:lang w:val="es-MX"/>
        </w:rPr>
        <w:t xml:space="preserve">Se celebró una mesa de trabajo en modalidad híbrida el 1 de junio de 2022 para desahogar los comentarios y observaciones a la iniciativa, estando presentes las diputadas Susana Bermúdez Cano, Briseida Anabel Magdaleno González, Yulma Rocha Aguilar, Alma Edwviges Alcaraz Hernández y el diputado Gerardo </w:t>
      </w:r>
      <w:r w:rsidRPr="00DE623A">
        <w:rPr>
          <w:rFonts w:ascii="Abadi" w:eastAsia="Batang" w:hAnsi="Abadi" w:cs="Arial"/>
          <w:bCs/>
          <w:sz w:val="21"/>
          <w:szCs w:val="21"/>
          <w:lang w:val="es-MX"/>
        </w:rPr>
        <w:t>Fernández González integrantes de la Comisión de Gobernación y Puntos Constitucionales, así como, servidores públicos representantes de la Coordinación General Jurídica de Gobierno del Estado, del Instituto Electoral del Estado de Guanajuato, del Tribunal Electoral del Estado de Guanajuato y de la Procuraduría de los Derechos Humanos del Estado de Guanajuato. Estuvieron presentes también asesores de los grupos parlamentarios de los partidos Acción Nacional, MORENA, Revolucionario Institucional y Verde Ecologista de México y la secretaria técnica de la comisión.</w:t>
      </w:r>
    </w:p>
    <w:p w14:paraId="17C825AE" w14:textId="77777777" w:rsidR="00DE623A" w:rsidRPr="00DE623A" w:rsidRDefault="00DE623A" w:rsidP="00DE623A">
      <w:pPr>
        <w:spacing w:line="276" w:lineRule="auto"/>
        <w:jc w:val="both"/>
        <w:rPr>
          <w:rFonts w:ascii="Abadi" w:eastAsia="Batang" w:hAnsi="Abadi" w:cs="Arial"/>
          <w:bCs/>
          <w:sz w:val="21"/>
          <w:szCs w:val="21"/>
          <w:lang w:val="es-MX"/>
        </w:rPr>
      </w:pPr>
    </w:p>
    <w:p w14:paraId="745A55CE" w14:textId="77777777" w:rsidR="00DE623A" w:rsidRPr="00DE623A" w:rsidRDefault="00DE623A" w:rsidP="00DE623A">
      <w:pPr>
        <w:spacing w:line="276" w:lineRule="auto"/>
        <w:jc w:val="both"/>
        <w:rPr>
          <w:rFonts w:ascii="Abadi" w:eastAsia="Batang" w:hAnsi="Abadi" w:cs="Arial"/>
          <w:sz w:val="21"/>
          <w:szCs w:val="21"/>
          <w:lang w:val="es-MX" w:eastAsia="en-US"/>
        </w:rPr>
      </w:pPr>
      <w:r w:rsidRPr="00DE623A">
        <w:rPr>
          <w:rFonts w:ascii="Abadi" w:eastAsia="Batang" w:hAnsi="Abadi" w:cs="Arial"/>
          <w:b/>
          <w:sz w:val="21"/>
          <w:szCs w:val="21"/>
          <w:lang w:val="es-MX" w:eastAsia="en-US"/>
        </w:rPr>
        <w:t>II.5.</w:t>
      </w:r>
      <w:r w:rsidRPr="00DE623A">
        <w:rPr>
          <w:rFonts w:ascii="Abadi" w:hAnsi="Abadi" w:cs="Arial"/>
          <w:sz w:val="21"/>
          <w:szCs w:val="21"/>
          <w:lang w:val="es-MX" w:eastAsia="en-US"/>
        </w:rPr>
        <w:t xml:space="preserve"> L</w:t>
      </w:r>
      <w:r w:rsidRPr="00DE623A">
        <w:rPr>
          <w:rFonts w:ascii="Abadi" w:eastAsia="Batang" w:hAnsi="Abadi" w:cs="Arial"/>
          <w:sz w:val="21"/>
          <w:szCs w:val="21"/>
          <w:lang w:val="es-MX" w:eastAsia="en-US"/>
        </w:rPr>
        <w:t>a presidencia de la Comisión de Gobernación y Puntos Constitucionales instruyó a la Secretaría Técnica para que elaborara el proyecto de dictamen en sentido negativo, atendiendo a lo vertido en la mesa de trabajo y, conforme con lo dispuesto en los artículos 94, fracción VII y 272, fracción VIII inciso e de la Ley Orgánica del Poder Legislativo del Estado, mismo que fue materia de revisión por los diputados y las diputadas integrantes de esta comisión dictaminadora.</w:t>
      </w:r>
    </w:p>
    <w:p w14:paraId="489AB89F" w14:textId="77777777" w:rsidR="00DE623A" w:rsidRPr="00DE623A" w:rsidRDefault="00DE623A" w:rsidP="00DE623A">
      <w:pPr>
        <w:spacing w:line="276" w:lineRule="auto"/>
        <w:jc w:val="both"/>
        <w:rPr>
          <w:rFonts w:ascii="Abadi" w:eastAsia="Batang" w:hAnsi="Abadi" w:cs="Arial"/>
          <w:sz w:val="21"/>
          <w:szCs w:val="21"/>
          <w:lang w:val="es-MX"/>
        </w:rPr>
      </w:pPr>
    </w:p>
    <w:p w14:paraId="72A97E1B" w14:textId="77777777" w:rsidR="00DE623A" w:rsidRPr="00DE623A" w:rsidRDefault="00DE623A" w:rsidP="00DE623A">
      <w:pPr>
        <w:spacing w:line="276" w:lineRule="auto"/>
        <w:jc w:val="both"/>
        <w:rPr>
          <w:rFonts w:ascii="Abadi" w:eastAsia="Batang" w:hAnsi="Abadi" w:cs="Arial"/>
          <w:sz w:val="21"/>
          <w:szCs w:val="21"/>
          <w:lang w:val="es-MX"/>
        </w:rPr>
      </w:pPr>
    </w:p>
    <w:p w14:paraId="6B57C38C" w14:textId="77777777" w:rsidR="00DE623A" w:rsidRPr="00DE623A" w:rsidRDefault="00DE623A" w:rsidP="00DE623A">
      <w:pPr>
        <w:spacing w:line="276" w:lineRule="auto"/>
        <w:jc w:val="both"/>
        <w:rPr>
          <w:rFonts w:ascii="Abadi" w:eastAsia="Batang" w:hAnsi="Abadi" w:cs="Arial"/>
          <w:b/>
          <w:i/>
          <w:iCs/>
          <w:sz w:val="21"/>
          <w:szCs w:val="21"/>
          <w:lang w:val="es-MX" w:eastAsia="en-US"/>
        </w:rPr>
      </w:pPr>
      <w:r w:rsidRPr="00DE623A">
        <w:rPr>
          <w:rFonts w:ascii="Abadi" w:eastAsia="Batang" w:hAnsi="Abadi" w:cs="Arial"/>
          <w:b/>
          <w:sz w:val="21"/>
          <w:szCs w:val="21"/>
          <w:lang w:val="es-MX" w:eastAsia="en-US"/>
        </w:rPr>
        <w:t xml:space="preserve">III. Contenido de la iniciativa y consideraciones generales de las y los dictaminadores sobre los objetivos perseguidos con la propuesta de reforma al artículo 30 de la Constitución Política para el Estado de Guanajuato </w:t>
      </w:r>
      <w:r w:rsidRPr="00DE623A">
        <w:rPr>
          <w:rFonts w:ascii="Abadi" w:eastAsia="Batang" w:hAnsi="Abadi" w:cs="Arial"/>
          <w:b/>
          <w:i/>
          <w:iCs/>
          <w:sz w:val="21"/>
          <w:szCs w:val="21"/>
          <w:lang w:val="es-MX" w:eastAsia="en-US"/>
        </w:rPr>
        <w:t>sobre la silla ciudadana</w:t>
      </w:r>
    </w:p>
    <w:p w14:paraId="20F5C7E0" w14:textId="77777777" w:rsidR="00DE623A" w:rsidRPr="00DE623A" w:rsidRDefault="00DE623A" w:rsidP="00DE623A">
      <w:pPr>
        <w:spacing w:line="276" w:lineRule="auto"/>
        <w:jc w:val="both"/>
        <w:rPr>
          <w:rFonts w:ascii="Abadi" w:eastAsia="Batang" w:hAnsi="Abadi" w:cs="Arial"/>
          <w:b/>
          <w:sz w:val="21"/>
          <w:szCs w:val="21"/>
          <w:lang w:val="es-MX" w:eastAsia="en-US"/>
        </w:rPr>
      </w:pPr>
      <w:r w:rsidRPr="00DE623A">
        <w:rPr>
          <w:rFonts w:ascii="Abadi" w:eastAsia="Batang" w:hAnsi="Abadi" w:cs="Arial"/>
          <w:b/>
          <w:sz w:val="21"/>
          <w:szCs w:val="21"/>
          <w:lang w:val="es-MX" w:eastAsia="en-US"/>
        </w:rPr>
        <w:t xml:space="preserve"> </w:t>
      </w:r>
    </w:p>
    <w:p w14:paraId="10019327" w14:textId="77777777" w:rsidR="00DE623A" w:rsidRPr="00DE623A" w:rsidRDefault="00DE623A" w:rsidP="00DE623A">
      <w:pPr>
        <w:spacing w:line="276" w:lineRule="auto"/>
        <w:ind w:firstLine="708"/>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El objeto de la iniciativa es reformar el artículo 30 de la Constitución Política para el Estado de Guanajuato a fin de incorporar la silla ciudadana como un mecanismo de participación ciudadana más.</w:t>
      </w:r>
    </w:p>
    <w:p w14:paraId="2776EA2E" w14:textId="77777777" w:rsidR="00DE623A" w:rsidRPr="00DE623A" w:rsidRDefault="00DE623A" w:rsidP="00DE623A">
      <w:pPr>
        <w:spacing w:line="276" w:lineRule="auto"/>
        <w:ind w:firstLine="708"/>
        <w:jc w:val="both"/>
        <w:rPr>
          <w:rFonts w:ascii="Abadi" w:hAnsi="Abadi" w:cs="Arial Unicode MS"/>
          <w:sz w:val="21"/>
          <w:szCs w:val="21"/>
          <w:lang w:val="es-MX" w:eastAsia="en-US"/>
        </w:rPr>
      </w:pPr>
    </w:p>
    <w:p w14:paraId="1802A43B" w14:textId="77777777" w:rsidR="00DE623A" w:rsidRPr="00DE623A" w:rsidRDefault="00DE623A" w:rsidP="00DE623A">
      <w:pPr>
        <w:spacing w:line="276" w:lineRule="auto"/>
        <w:ind w:firstLine="708"/>
        <w:jc w:val="both"/>
        <w:rPr>
          <w:rFonts w:ascii="Abadi" w:hAnsi="Abadi" w:cs="Arial Unicode MS"/>
          <w:sz w:val="21"/>
          <w:szCs w:val="21"/>
          <w:highlight w:val="yellow"/>
          <w:lang w:val="es-MX" w:eastAsia="en-US"/>
        </w:rPr>
      </w:pPr>
      <w:r w:rsidRPr="00DE623A">
        <w:rPr>
          <w:rFonts w:ascii="Abadi" w:hAnsi="Abadi" w:cs="Arial Unicode MS"/>
          <w:sz w:val="21"/>
          <w:szCs w:val="21"/>
          <w:lang w:val="es-MX" w:eastAsia="en-US"/>
        </w:rPr>
        <w:t>La iniciante expresó en su exposición de motivos lo siguiente:</w:t>
      </w:r>
    </w:p>
    <w:p w14:paraId="386323C8" w14:textId="77777777" w:rsidR="00DE623A" w:rsidRPr="00DE623A" w:rsidRDefault="00DE623A" w:rsidP="00DE623A">
      <w:pPr>
        <w:rPr>
          <w:rFonts w:ascii="Abadi" w:hAnsi="Abadi" w:cs="Arial"/>
          <w:i/>
          <w:color w:val="242424"/>
          <w:sz w:val="21"/>
          <w:szCs w:val="21"/>
          <w:highlight w:val="yellow"/>
          <w:lang w:val="es-MX" w:eastAsia="es-MX"/>
        </w:rPr>
      </w:pPr>
    </w:p>
    <w:p w14:paraId="4E6079E9" w14:textId="77777777" w:rsidR="00DE623A" w:rsidRPr="00DE623A" w:rsidRDefault="00DE623A" w:rsidP="00DE623A">
      <w:pPr>
        <w:ind w:left="1134" w:right="1038"/>
        <w:jc w:val="both"/>
        <w:textAlignment w:val="baseline"/>
        <w:rPr>
          <w:rFonts w:ascii="Abadi" w:hAnsi="Abadi" w:cs="Calibri"/>
          <w:bCs/>
          <w:i/>
          <w:sz w:val="21"/>
          <w:szCs w:val="21"/>
          <w:lang w:val="es-MX" w:eastAsia="es-MX"/>
        </w:rPr>
      </w:pPr>
      <w:r w:rsidRPr="00DE623A">
        <w:rPr>
          <w:rFonts w:ascii="Abadi" w:hAnsi="Abadi" w:cs="Calibri"/>
          <w:bCs/>
          <w:i/>
          <w:sz w:val="21"/>
          <w:szCs w:val="21"/>
          <w:lang w:val="es-MX" w:eastAsia="en-US"/>
        </w:rPr>
        <w:t xml:space="preserve">«[...] </w:t>
      </w:r>
      <w:r w:rsidRPr="00DE623A">
        <w:rPr>
          <w:rFonts w:ascii="Abadi" w:hAnsi="Abadi" w:cs="Calibri"/>
          <w:bCs/>
          <w:i/>
          <w:sz w:val="21"/>
          <w:szCs w:val="21"/>
          <w:lang w:val="es-MX" w:eastAsia="es-MX"/>
        </w:rPr>
        <w:t xml:space="preserve">De acuerdo con nuestra Constitución Política de los Estados Unidos Mexicanos, la soberanía nacional reside en el pueblo </w:t>
      </w:r>
      <w:r w:rsidRPr="00DE623A">
        <w:rPr>
          <w:rFonts w:ascii="Abadi" w:hAnsi="Abadi" w:cs="Calibri"/>
          <w:bCs/>
          <w:i/>
          <w:sz w:val="21"/>
          <w:szCs w:val="21"/>
          <w:lang w:val="es-MX" w:eastAsia="es-MX"/>
        </w:rPr>
        <w:lastRenderedPageBreak/>
        <w:t xml:space="preserve">mexicano y es voluntad de éste constituirse en una República representativa y democrática; sin embargo, aunque así se ha establecido, hemos recorrido un largo camino para acercarnos a las prácticas democráticas mínimas deseables. La participación ciudadana es una condición necesaria para el funcionamiento de la democracia, y hoy México se encuentra ante un nuevo panorama, una nueva forma de hacer política, estamos en el camino hacia una verdadera democracia en la que se deben ofrecer a la población más herramientas para participar en la toma de decisiones que nos afectan a todas y todos. </w:t>
      </w:r>
    </w:p>
    <w:p w14:paraId="6631B9B5" w14:textId="77777777" w:rsidR="00DE623A" w:rsidRPr="00DE623A" w:rsidRDefault="00DE623A" w:rsidP="00DE623A">
      <w:pPr>
        <w:ind w:left="1134" w:right="1038"/>
        <w:jc w:val="both"/>
        <w:textAlignment w:val="baseline"/>
        <w:rPr>
          <w:rFonts w:ascii="Abadi" w:hAnsi="Abadi" w:cs="Calibri"/>
          <w:bCs/>
          <w:i/>
          <w:sz w:val="21"/>
          <w:szCs w:val="21"/>
          <w:lang w:val="es-MX" w:eastAsia="es-MX"/>
        </w:rPr>
      </w:pPr>
    </w:p>
    <w:p w14:paraId="1CAE3B55" w14:textId="77777777" w:rsidR="00DE623A" w:rsidRPr="00DE623A" w:rsidRDefault="00DE623A" w:rsidP="00DE623A">
      <w:pPr>
        <w:ind w:left="1134" w:right="1038"/>
        <w:jc w:val="both"/>
        <w:textAlignment w:val="baseline"/>
        <w:rPr>
          <w:rFonts w:ascii="Abadi" w:hAnsi="Abadi" w:cs="Calibri"/>
          <w:bCs/>
          <w:i/>
          <w:sz w:val="21"/>
          <w:szCs w:val="21"/>
          <w:lang w:val="es-MX" w:eastAsia="es-MX"/>
        </w:rPr>
      </w:pPr>
      <w:r w:rsidRPr="00DE623A">
        <w:rPr>
          <w:rFonts w:ascii="Abadi" w:hAnsi="Abadi" w:cs="Calibri"/>
          <w:bCs/>
          <w:i/>
          <w:sz w:val="21"/>
          <w:szCs w:val="21"/>
          <w:lang w:val="es-MX" w:eastAsia="es-MX"/>
        </w:rPr>
        <w:t xml:space="preserve">La democracia que más que ser representativa, se ha convertido en delegativa, que tiene como vicio reducir la participación política a la participación electoral, y asumir que las personalidades electas, así como las instituciones, son quienes tienen todo el poder de decidir. Así, los mecanismos de participación son sumamente limitados, por lo que, pese a que la democracia es el gobierno del pueblo, el pueblo no suele ser realmente tomado en cuenta en las decisiones públicas. Si bien es cierto que la complejidad y el tamaño de nuestras </w:t>
      </w:r>
      <w:r w:rsidRPr="00DE623A">
        <w:rPr>
          <w:rFonts w:ascii="Abadi" w:hAnsi="Abadi" w:cs="Calibri"/>
          <w:bCs/>
          <w:i/>
          <w:sz w:val="21"/>
          <w:szCs w:val="21"/>
          <w:lang w:val="es-MX" w:eastAsia="es-MX"/>
        </w:rPr>
        <w:t>sociedades pueden significar un reto para el funcionamiento y operación de la participación política directa en todos los asuntos de la vida pública, también es cierto que esto supone la necesidad de que se construyan mecanismos democráticos e institucionales efectivos para que las y los representantes populares sean más cercanos a quienes representan, que verdaderamente escuchen y tomen en cuenta sus demandas.</w:t>
      </w:r>
    </w:p>
    <w:p w14:paraId="6326F8E7" w14:textId="77777777" w:rsidR="00DE623A" w:rsidRPr="00DE623A" w:rsidRDefault="00DE623A" w:rsidP="00DE623A">
      <w:pPr>
        <w:ind w:left="1134" w:right="1038"/>
        <w:jc w:val="both"/>
        <w:textAlignment w:val="baseline"/>
        <w:rPr>
          <w:rFonts w:ascii="Abadi" w:hAnsi="Abadi" w:cs="Calibri"/>
          <w:bCs/>
          <w:i/>
          <w:sz w:val="21"/>
          <w:szCs w:val="21"/>
          <w:lang w:val="es-MX" w:eastAsia="es-MX"/>
        </w:rPr>
      </w:pPr>
    </w:p>
    <w:p w14:paraId="6927ABA1" w14:textId="77777777" w:rsidR="00DE623A" w:rsidRPr="00DE623A" w:rsidRDefault="00DE623A" w:rsidP="00DE623A">
      <w:pPr>
        <w:ind w:left="1134" w:right="1038"/>
        <w:jc w:val="both"/>
        <w:textAlignment w:val="baseline"/>
        <w:rPr>
          <w:rFonts w:ascii="Abadi" w:hAnsi="Abadi" w:cs="Calibri"/>
          <w:bCs/>
          <w:i/>
          <w:sz w:val="21"/>
          <w:szCs w:val="21"/>
          <w:lang w:val="es-MX" w:eastAsia="es-MX"/>
        </w:rPr>
      </w:pPr>
      <w:r w:rsidRPr="00DE623A">
        <w:rPr>
          <w:rFonts w:ascii="Abadi" w:hAnsi="Abadi" w:cs="Calibri"/>
          <w:bCs/>
          <w:i/>
          <w:sz w:val="21"/>
          <w:szCs w:val="21"/>
          <w:lang w:val="es-MX" w:eastAsia="es-MX"/>
        </w:rPr>
        <w:t xml:space="preserve">Por esto, es competencia de todos los órganos gubernamentales incentivar el ejercicio de las libertades políticas de la ciudadanía como las de expresión, protesta o asociación, entre otras; así como crear, ampliar y reconocer mecanismos institucionales de participación política ciudadana. De esta manera, cuando los representantes populares discutan asuntos de interés para la ciudadanía, ésta debe tener la posibilidad de jugar un papel protagónico en la discusión y toma de decisiones, ejerciendo sus derechos democráticos y contribuyendo a la deliberación pública. En este tenor, se propone la creación de un mecanismo institucional de participación ciudadana en el ámbito municipal, conocido </w:t>
      </w:r>
      <w:r w:rsidRPr="00DE623A">
        <w:rPr>
          <w:rFonts w:ascii="Abadi" w:hAnsi="Abadi" w:cs="Calibri"/>
          <w:bCs/>
          <w:i/>
          <w:sz w:val="21"/>
          <w:szCs w:val="21"/>
          <w:lang w:val="es-MX" w:eastAsia="es-MX"/>
        </w:rPr>
        <w:lastRenderedPageBreak/>
        <w:t xml:space="preserve">como silla ciudadana, que consiste en la existencia de un escaño especial para la ciudadanía que tenga la intención de participar en asuntos específicos de las sesiones de Ayuntamiento. </w:t>
      </w:r>
    </w:p>
    <w:p w14:paraId="31F0270A" w14:textId="77777777" w:rsidR="00DE623A" w:rsidRPr="00DE623A" w:rsidRDefault="00DE623A" w:rsidP="00DE623A">
      <w:pPr>
        <w:ind w:left="1134" w:right="1038"/>
        <w:jc w:val="both"/>
        <w:textAlignment w:val="baseline"/>
        <w:rPr>
          <w:rFonts w:ascii="Abadi" w:hAnsi="Abadi" w:cs="Calibri"/>
          <w:bCs/>
          <w:i/>
          <w:sz w:val="21"/>
          <w:szCs w:val="21"/>
          <w:lang w:val="es-MX" w:eastAsia="es-MX"/>
        </w:rPr>
      </w:pPr>
    </w:p>
    <w:p w14:paraId="65168585" w14:textId="77777777" w:rsidR="00DE623A" w:rsidRPr="00DE623A" w:rsidRDefault="00DE623A" w:rsidP="00DE623A">
      <w:pPr>
        <w:ind w:left="1134" w:right="1038"/>
        <w:jc w:val="both"/>
        <w:textAlignment w:val="baseline"/>
        <w:rPr>
          <w:rFonts w:ascii="Abadi" w:hAnsi="Abadi" w:cs="Calibri"/>
          <w:bCs/>
          <w:i/>
          <w:sz w:val="21"/>
          <w:szCs w:val="21"/>
          <w:lang w:val="es-MX" w:eastAsia="es-MX"/>
        </w:rPr>
      </w:pPr>
      <w:r w:rsidRPr="00DE623A">
        <w:rPr>
          <w:rFonts w:ascii="Abadi" w:hAnsi="Abadi" w:cs="Calibri"/>
          <w:bCs/>
          <w:i/>
          <w:sz w:val="21"/>
          <w:szCs w:val="21"/>
          <w:lang w:val="es-MX" w:eastAsia="es-MX"/>
        </w:rPr>
        <w:t xml:space="preserve">El objetivo de este mecanismo es que la ciudadanía tenga la posibilidad de participar activamente en sesiones del cabildo, porque precisamente el Ayuntamiento representa el ámbito de gobierno más inmediato para la ciudadanía, el que tiene la responsabilidad de escuchar a los habitantes de su demarcación que, exponiendo sus intereses, opiniones, juicios, quejas, denuncias, sugerencias, ideas y propuestas, sean atendidos por quienes han de dictaminar los asuntos que impactan directamente sus vidas cotidianas, incluyendo las leyes de ingresos y presupuestos de egresos: regidores, síndicos y presidentes municipales. Lo anterior implica reconocer el derecho que tiene la ciudadanía para presentar propuestas al Ayuntamiento e incidir en los asuntos públicos del ámbito local, incluyendo lo referido a la administración y a los servicios públicos, debiendo resultar en un acuerdo público sobre cada participación. </w:t>
      </w:r>
    </w:p>
    <w:p w14:paraId="2C0D25D2" w14:textId="77777777" w:rsidR="00DE623A" w:rsidRPr="00DE623A" w:rsidRDefault="00DE623A" w:rsidP="00DE623A">
      <w:pPr>
        <w:ind w:left="1134" w:right="1038"/>
        <w:jc w:val="both"/>
        <w:textAlignment w:val="baseline"/>
        <w:rPr>
          <w:rFonts w:ascii="Abadi" w:hAnsi="Abadi" w:cs="Calibri"/>
          <w:bCs/>
          <w:i/>
          <w:sz w:val="21"/>
          <w:szCs w:val="21"/>
          <w:lang w:val="es-MX" w:eastAsia="es-MX"/>
        </w:rPr>
      </w:pPr>
    </w:p>
    <w:p w14:paraId="0F70AF5A" w14:textId="77777777" w:rsidR="00DE623A" w:rsidRPr="00DE623A" w:rsidRDefault="00DE623A" w:rsidP="00DE623A">
      <w:pPr>
        <w:ind w:left="1134" w:right="1038"/>
        <w:jc w:val="both"/>
        <w:textAlignment w:val="baseline"/>
        <w:rPr>
          <w:rFonts w:ascii="Abadi" w:hAnsi="Abadi" w:cs="Calibri"/>
          <w:bCs/>
          <w:i/>
          <w:sz w:val="21"/>
          <w:szCs w:val="21"/>
          <w:lang w:val="es-MX" w:eastAsia="es-MX"/>
        </w:rPr>
      </w:pPr>
      <w:r w:rsidRPr="00DE623A">
        <w:rPr>
          <w:rFonts w:ascii="Abadi" w:hAnsi="Abadi" w:cs="Calibri"/>
          <w:bCs/>
          <w:i/>
          <w:sz w:val="21"/>
          <w:szCs w:val="21"/>
          <w:lang w:val="es-MX" w:eastAsia="es-MX"/>
        </w:rPr>
        <w:t xml:space="preserve">Esta propuesta es importante para la </w:t>
      </w:r>
      <w:r w:rsidRPr="00DE623A">
        <w:rPr>
          <w:rFonts w:ascii="Abadi" w:hAnsi="Abadi" w:cs="Calibri"/>
          <w:bCs/>
          <w:i/>
          <w:sz w:val="21"/>
          <w:szCs w:val="21"/>
          <w:lang w:val="es-MX" w:eastAsia="es-MX"/>
        </w:rPr>
        <w:t>democracia participativa y para la ciudadanía de cada municipio, porque de las autoridades municipales depende la tranquilidad de los pueblos, el establecimiento y la ampliación de los servicios públicos, así como las perspectivas del mejoramiento de la vida cotidiana del vecindario, tanto en las pequeñas poblaciones como en las grandes urbes. Respecto de la participación en la figura de silla ciudadana, ésta podrá ser solicitada por habitantes del municipio, en representación personal o de alguna asociación de habitantes que tenga la intención de participar en algún punto específico de la orden del día de la sesión contemplada, sin que sea necesario se tenga que acreditar interés alguno.</w:t>
      </w:r>
    </w:p>
    <w:p w14:paraId="7103BCCD" w14:textId="77777777" w:rsidR="00DE623A" w:rsidRPr="00DE623A" w:rsidRDefault="00DE623A" w:rsidP="00DE623A">
      <w:pPr>
        <w:ind w:left="1134" w:right="1038"/>
        <w:jc w:val="both"/>
        <w:textAlignment w:val="baseline"/>
        <w:rPr>
          <w:rFonts w:ascii="Abadi" w:hAnsi="Abadi" w:cs="Calibri"/>
          <w:bCs/>
          <w:i/>
          <w:sz w:val="21"/>
          <w:szCs w:val="21"/>
          <w:lang w:val="es-MX" w:eastAsia="es-MX"/>
        </w:rPr>
      </w:pPr>
    </w:p>
    <w:p w14:paraId="376EEBA6" w14:textId="77777777" w:rsidR="00DE623A" w:rsidRPr="00DE623A" w:rsidRDefault="00DE623A" w:rsidP="00DE623A">
      <w:pPr>
        <w:ind w:left="1134" w:right="1038"/>
        <w:jc w:val="both"/>
        <w:textAlignment w:val="baseline"/>
        <w:rPr>
          <w:rFonts w:ascii="Abadi" w:hAnsi="Abadi" w:cs="Calibri"/>
          <w:bCs/>
          <w:i/>
          <w:sz w:val="21"/>
          <w:szCs w:val="21"/>
          <w:lang w:val="es-MX" w:eastAsia="es-MX"/>
        </w:rPr>
      </w:pPr>
      <w:r w:rsidRPr="00DE623A">
        <w:rPr>
          <w:rFonts w:ascii="Abadi" w:hAnsi="Abadi" w:cs="Calibri"/>
          <w:bCs/>
          <w:i/>
          <w:sz w:val="21"/>
          <w:szCs w:val="21"/>
          <w:lang w:val="es-MX" w:eastAsia="es-MX"/>
        </w:rPr>
        <w:t xml:space="preserve">En el ámbito internacional, este mecanismo ya se implementa en otros países de Latinoamérica, como es el caso de Ecuador, donde la llamada silla vacía tiene un funcionamiento similar al que aquí se propone, con la salvedad de que únicamente se aplica en los congresos locales3. En cuanto a las legislaturas locales, en México, dos entidades ya incorporan esta figura en sus constituciones: Quintana Roo y la Ciudad de México. Por último, la presente iniciativa únicamente contempla las bases conforme a las </w:t>
      </w:r>
      <w:r w:rsidRPr="00DE623A">
        <w:rPr>
          <w:rFonts w:ascii="Abadi" w:hAnsi="Abadi" w:cs="Calibri"/>
          <w:bCs/>
          <w:i/>
          <w:sz w:val="21"/>
          <w:szCs w:val="21"/>
          <w:lang w:val="es-MX" w:eastAsia="es-MX"/>
        </w:rPr>
        <w:lastRenderedPageBreak/>
        <w:t>cuales cada Ayuntamiento deberá expedir su respectivo reglamento, de acuerdo con lo que establece el artículo 115 segundo párrafo de la fracción II de la Constitución Federal, el cual dispone que los ayuntamientos tienen la facultad de aprobar los reglamentos que aseguren la participación ciudadana y vecinal.</w:t>
      </w:r>
    </w:p>
    <w:p w14:paraId="35531DCA" w14:textId="77777777" w:rsidR="00DE623A" w:rsidRPr="00DE623A" w:rsidRDefault="00DE623A" w:rsidP="00DE623A">
      <w:pPr>
        <w:ind w:left="1134" w:right="1038"/>
        <w:jc w:val="both"/>
        <w:textAlignment w:val="baseline"/>
        <w:rPr>
          <w:rFonts w:ascii="Abadi" w:hAnsi="Abadi" w:cs="Calibri"/>
          <w:bCs/>
          <w:i/>
          <w:sz w:val="21"/>
          <w:szCs w:val="21"/>
          <w:lang w:val="es-MX" w:eastAsia="es-MX"/>
        </w:rPr>
      </w:pPr>
    </w:p>
    <w:p w14:paraId="50AAAA18" w14:textId="77777777" w:rsidR="00DE623A" w:rsidRPr="00DE623A" w:rsidRDefault="00DE623A" w:rsidP="00DE623A">
      <w:pPr>
        <w:ind w:left="1134" w:right="1065"/>
        <w:jc w:val="both"/>
        <w:rPr>
          <w:rFonts w:ascii="Abadi" w:hAnsi="Abadi" w:cs="Calibri"/>
          <w:bCs/>
          <w:i/>
          <w:sz w:val="21"/>
          <w:szCs w:val="21"/>
          <w:lang w:val="es-MX" w:eastAsia="en-US"/>
        </w:rPr>
      </w:pPr>
      <w:r w:rsidRPr="00DE623A">
        <w:rPr>
          <w:rFonts w:ascii="Abadi" w:hAnsi="Abadi" w:cs="Calibri"/>
          <w:bCs/>
          <w:i/>
          <w:sz w:val="21"/>
          <w:szCs w:val="21"/>
          <w:lang w:val="es-MX" w:eastAsia="en-US"/>
        </w:rPr>
        <w:t>(…)»</w:t>
      </w:r>
    </w:p>
    <w:p w14:paraId="3E4C4125"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Las diputadas y los diputados que integramos la Comisión de Gobernación y Puntos Constitucionales, consideramos oportuno realizar un análisis general al objetivo de la propuesta, y emitir los comentarios de carácter general al respecto, a efecto de hacer una valorización con respecto a que las y los ciudadanos puedan participar en las discusiones del órgano colegiado en los municipios, impulsando de esta manera la participación política, ciudadana y democrática, y considerar la viabilidad en su caso, de la propuesta contenida en esta iniciativa.</w:t>
      </w:r>
    </w:p>
    <w:p w14:paraId="0E6C0DE6" w14:textId="77777777" w:rsidR="00DE623A" w:rsidRPr="00DE623A" w:rsidRDefault="00DE623A" w:rsidP="00DE623A">
      <w:pPr>
        <w:spacing w:line="276" w:lineRule="auto"/>
        <w:ind w:firstLine="708"/>
        <w:jc w:val="both"/>
        <w:rPr>
          <w:rFonts w:ascii="Abadi" w:eastAsia="Batang" w:hAnsi="Abadi" w:cs="Arial"/>
          <w:sz w:val="21"/>
          <w:szCs w:val="21"/>
          <w:lang w:val="es-MX" w:eastAsia="en-US"/>
        </w:rPr>
      </w:pPr>
    </w:p>
    <w:p w14:paraId="625DE1C8" w14:textId="77777777" w:rsidR="00DE623A" w:rsidRPr="00DE623A" w:rsidRDefault="00DE623A" w:rsidP="00DE623A">
      <w:pPr>
        <w:spacing w:line="276" w:lineRule="auto"/>
        <w:jc w:val="both"/>
        <w:rPr>
          <w:rFonts w:ascii="Abadi" w:eastAsia="Batang" w:hAnsi="Abadi" w:cs="Arial"/>
          <w:b/>
          <w:bCs/>
          <w:i/>
          <w:iCs/>
          <w:sz w:val="21"/>
          <w:szCs w:val="21"/>
          <w:lang w:val="es-MX" w:eastAsia="en-US"/>
        </w:rPr>
      </w:pPr>
      <w:r w:rsidRPr="00DE623A">
        <w:rPr>
          <w:rFonts w:ascii="Abadi" w:eastAsia="Batang" w:hAnsi="Abadi" w:cs="Arial"/>
          <w:b/>
          <w:bCs/>
          <w:sz w:val="21"/>
          <w:szCs w:val="21"/>
          <w:lang w:val="es-MX" w:eastAsia="en-US"/>
        </w:rPr>
        <w:t>III.1. Análisis de adición de la figura de la silla ciudadana en la Constitución Política Local</w:t>
      </w:r>
    </w:p>
    <w:p w14:paraId="46AB9C75" w14:textId="77777777" w:rsidR="00DE623A" w:rsidRPr="00DE623A" w:rsidRDefault="00DE623A" w:rsidP="00DE623A">
      <w:pPr>
        <w:spacing w:line="276" w:lineRule="auto"/>
        <w:ind w:firstLine="708"/>
        <w:jc w:val="both"/>
        <w:rPr>
          <w:rFonts w:ascii="Abadi" w:eastAsia="Batang" w:hAnsi="Abadi" w:cs="Arial"/>
          <w:sz w:val="21"/>
          <w:szCs w:val="21"/>
          <w:lang w:val="es-MX" w:eastAsia="en-US"/>
        </w:rPr>
      </w:pPr>
    </w:p>
    <w:p w14:paraId="409E166F"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El tema origen de esta propuesta refiere a una institución de participación ciudadana que relaciona al ciudadano directamente con las autoridades del orden municipal, tal es el caso de la silla ciudadana, siendo este el mecanismo de participación que faculta a las y los ciudadanos que así lo soliciten, a tratar durante las sesiones ordinarias, los temas específicos de su interés, a efecto de aportar elementos de valoración para la toma de decisiones al interior del ayuntamiento.</w:t>
      </w:r>
    </w:p>
    <w:p w14:paraId="0BCF89AD"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33E17429"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 xml:space="preserve">En ese sentido, la importancia de la </w:t>
      </w:r>
      <w:r w:rsidRPr="00DE623A">
        <w:rPr>
          <w:rFonts w:ascii="Abadi" w:eastAsia="Batang" w:hAnsi="Abadi" w:cs="Arial"/>
          <w:sz w:val="21"/>
          <w:szCs w:val="21"/>
          <w:lang w:val="es-MX" w:eastAsia="en-US"/>
        </w:rPr>
        <w:t xml:space="preserve">participación ciudadana es resultado de la </w:t>
      </w:r>
      <w:r w:rsidRPr="00DE623A">
        <w:rPr>
          <w:rFonts w:ascii="Abadi" w:eastAsia="Batang" w:hAnsi="Abadi" w:cs="Arial"/>
          <w:i/>
          <w:iCs/>
          <w:sz w:val="21"/>
          <w:szCs w:val="21"/>
          <w:lang w:val="es-MX" w:eastAsia="en-US"/>
        </w:rPr>
        <w:t>teoría democrática que se conecta con las concepciones normativas</w:t>
      </w:r>
      <w:r w:rsidRPr="00DE623A">
        <w:rPr>
          <w:rFonts w:ascii="Abadi" w:eastAsia="Batang" w:hAnsi="Abadi" w:cs="Arial"/>
          <w:sz w:val="21"/>
          <w:szCs w:val="21"/>
          <w:vertAlign w:val="superscript"/>
          <w:lang w:val="es-MX" w:eastAsia="en-US"/>
        </w:rPr>
        <w:footnoteReference w:id="48"/>
      </w:r>
      <w:r w:rsidRPr="00DE623A">
        <w:rPr>
          <w:rFonts w:ascii="Abadi" w:eastAsia="Batang" w:hAnsi="Abadi" w:cs="Arial"/>
          <w:sz w:val="21"/>
          <w:szCs w:val="21"/>
          <w:lang w:val="es-MX" w:eastAsia="en-US"/>
        </w:rPr>
        <w:t>. Así, es posible ubicar principalmente a la elección pública, que requiere una opinión libre, informada y culta, la cual da impulso a la deliberación propositiva e inteligente, y por tanto no está determinada por el grado de participación de sus integrantes. Por otra parte, las teorías deliberativas sugieren el intercambio de argumentos imparciales y racionales, con tono idealista que apela a las decisiones moralmente correctas asumidas por el consenso desde una amplia participación; y, finalmente, la teoría constitucional con la carga del valor simbólico garantista, en la defensa de los derechos fundamentales que en juego con las decisiones de la comunidad política, delegan al órgano judicial el conjunto de decisiones de la participación ciudadana y vacían su contenido procesal.</w:t>
      </w:r>
    </w:p>
    <w:p w14:paraId="6B321937"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7BFE4864"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 xml:space="preserve">Por ello, al hablar del poder de los ciudadanos, la dimensión de acceso al poder se caracteriza por normas que regulan el acceso al poder no delegado, es decir, que los ciudadanos lo no pierden, por parte de los gobernados. Nos referimos a la inclusión ciudadana que se expresa en el disfrute de los derechos de tener voz en asuntos de interés público, de elegir a los que gobernarán la entidad política o de ser elegidos para puestos de gobierno. Esto no es más que la participación electoral vía la inclusión ciudadana sustentada en los derechos políticos. </w:t>
      </w:r>
    </w:p>
    <w:p w14:paraId="652C1671"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6765DF77"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 xml:space="preserve">Al referirnos al ejercicio del poder no delegado de parte de los ciudadanos, la cuestión se presenta en cómo las personas participan en la vida pública y esgrimen sus derechos frente a los gobernantes y gobernados. Es ejemplo de ello la participación ciudadana expresada en la participación en la gobernanza, en la deliberación, ejecución y evaluación de políticas públicas, así como en los distintos mecanismos de democracia directa. Se trata también de la </w:t>
      </w:r>
      <w:r w:rsidRPr="00DE623A">
        <w:rPr>
          <w:rFonts w:ascii="Abadi" w:eastAsia="Batang" w:hAnsi="Abadi" w:cs="Arial"/>
          <w:sz w:val="21"/>
          <w:szCs w:val="21"/>
          <w:lang w:val="es-MX" w:eastAsia="en-US"/>
        </w:rPr>
        <w:lastRenderedPageBreak/>
        <w:t>participación cívica en el debate y la deliberación pública y, la colaboración en la cocreación de decisiones y valores públicos.</w:t>
      </w:r>
    </w:p>
    <w:p w14:paraId="4A3AC015"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4AE7B607"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Así entonces la participación ciudadana como expresión del poder no delegado se puede identificar de varias maneras, como forma de controlar y moderar el poder inevitablemente otorgado a los representantes políticos; como el puente entre la representación y la decisión pública; como decisión vinculante ciudadana; y, más recientemente, como participación colaborativa donde los ciudadanos, al utilizar las tecnologías digitales, logran cocrear las decisiones y políticas públicas para construir instituciones públicas abiertas donde las nuevas habilidades para participar, colaborar y comprender sean fundamentales para que la calidad de la transparencia se vincule con la rendición de cuentas</w:t>
      </w:r>
      <w:r w:rsidRPr="00DE623A">
        <w:rPr>
          <w:rFonts w:ascii="Abadi" w:eastAsia="Batang" w:hAnsi="Abadi" w:cs="Arial"/>
          <w:sz w:val="21"/>
          <w:szCs w:val="21"/>
          <w:vertAlign w:val="superscript"/>
          <w:lang w:val="es-MX" w:eastAsia="en-US"/>
        </w:rPr>
        <w:footnoteReference w:id="49"/>
      </w:r>
      <w:r w:rsidRPr="00DE623A">
        <w:rPr>
          <w:rFonts w:ascii="Abadi" w:eastAsia="Batang" w:hAnsi="Abadi" w:cs="Arial"/>
          <w:sz w:val="21"/>
          <w:szCs w:val="21"/>
          <w:lang w:val="es-MX" w:eastAsia="en-US"/>
        </w:rPr>
        <w:t>.</w:t>
      </w:r>
    </w:p>
    <w:p w14:paraId="363F0090"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2A055BDF"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 xml:space="preserve">En ese tenor, es menester manifestar que </w:t>
      </w:r>
      <w:r w:rsidRPr="00DE623A">
        <w:rPr>
          <w:rFonts w:ascii="Abadi" w:eastAsia="Calibri" w:hAnsi="Abadi"/>
          <w:sz w:val="21"/>
          <w:szCs w:val="21"/>
          <w:lang w:val="es-MX" w:eastAsia="en-US"/>
        </w:rPr>
        <w:t>l</w:t>
      </w:r>
      <w:r w:rsidRPr="00DE623A">
        <w:rPr>
          <w:rFonts w:ascii="Abadi" w:eastAsia="Batang" w:hAnsi="Abadi" w:cs="Arial"/>
          <w:sz w:val="21"/>
          <w:szCs w:val="21"/>
          <w:lang w:val="es-MX" w:eastAsia="en-US"/>
        </w:rPr>
        <w:t>a democracia es, por definición, el sistema político donde la voz de los ciudadanos influye en la toma de decisiones a través de canales organizados de representación y participación. Y la visión transparencia implica gobiernos de acuerdo con reglas fijas y publicadas sobre la base de información y procedimientos que sean accesibles al público y en algunos usos dentro de campos de actividad claramente delimitados.</w:t>
      </w:r>
      <w:r w:rsidRPr="00DE623A">
        <w:rPr>
          <w:rFonts w:ascii="Abadi" w:eastAsia="Batang" w:hAnsi="Abadi" w:cs="Arial"/>
          <w:sz w:val="21"/>
          <w:szCs w:val="21"/>
          <w:vertAlign w:val="superscript"/>
          <w:lang w:val="es-MX" w:eastAsia="en-US"/>
        </w:rPr>
        <w:footnoteReference w:id="50"/>
      </w:r>
      <w:r w:rsidRPr="00DE623A">
        <w:rPr>
          <w:rFonts w:ascii="Abadi" w:eastAsia="Batang" w:hAnsi="Abadi" w:cs="Arial"/>
          <w:sz w:val="21"/>
          <w:szCs w:val="21"/>
          <w:lang w:val="es-MX" w:eastAsia="en-US"/>
        </w:rPr>
        <w:t xml:space="preserve"> Ambos elementos desde nuestro punto de vista  presuponen un conjunto de derechos de los que gozan los ciudadanos, como el derecho a la libre asociación, libre expresión, representación, acceso a la información y participación en la vida cívica y política, los cuales son difíciles de conceptualizar fuera de los sistemas democráticos. </w:t>
      </w:r>
    </w:p>
    <w:p w14:paraId="2AA23F66"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2D66E72D"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 xml:space="preserve">Derivado de estos argumentos, quienes dictaminamos podemos afirmar que sin participación la democracia no existiría, por lo que se requiere siempre del voto y de acciones </w:t>
      </w:r>
      <w:r w:rsidRPr="00DE623A">
        <w:rPr>
          <w:rFonts w:ascii="Abadi" w:eastAsia="Batang" w:hAnsi="Abadi" w:cs="Arial"/>
          <w:sz w:val="21"/>
          <w:szCs w:val="21"/>
          <w:lang w:val="es-MX" w:eastAsia="en-US"/>
        </w:rPr>
        <w:t xml:space="preserve">más allá del voto. Ello implica poseer una serie de derechos y obligaciones ya que ser ciudadano en una sociedad democrática significa, además, haber ganado la prerrogativa de participar en la selección de los gobernantes y de influir en sus decisiones. En consecuencia, la participación ciudadana exige al mismo tiempo la aceptación previa de las reglas de juego democrático y la voluntad libre de los individuos que deciden participar. </w:t>
      </w:r>
    </w:p>
    <w:p w14:paraId="5FBF68E3"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4D27A781"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Tenemos claro que el estado de derecho y la libertad de los individuos, son elementos clave de la participación. Es por ello que la mejor participación ciudadana en la democracia no es la que se manifiesta siempre y en todas partes, sino la que se mantiene alerta, la que se propicia cuando es necesario impedir las desviaciones de quienes tienen la responsabilidad del gobierno, o encauzar las demandas justas que no son atendidas con la debida profundidad por los gobernantes.</w:t>
      </w:r>
    </w:p>
    <w:p w14:paraId="0551CDF1"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2E56545E"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Desde este punto de vista las figuras de iniciativa popular, consulta popular y revocación de mandato, reconocidas por la Constitución Política de los Estados Unidos Mexicanos y para el caso de Guanajuato, el plebiscito, referéndum, consulta popular y referéndum constitucional, son las instituciones de democracia semidirecta reconocidas en nuestro marco normativo.</w:t>
      </w:r>
    </w:p>
    <w:p w14:paraId="40EF6E5E"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3C69EC48"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Es decir, las instituciones referidas implican la posibilidad que la ciudadanía de nuestro Estado tenga injerencia directa en las decisiones, para lo que es necesario cumplir con un espectro mínimo de participación establecido en la Ley de Participación Ciudadana para el Estado de Guanajuato. Como se advierte, la totalidad de los mecanismos de democracia participativa implica la participación de un segmento de la ciudadanía, ya sea para su activación o aprobación.</w:t>
      </w:r>
    </w:p>
    <w:p w14:paraId="469A61B8" w14:textId="77777777" w:rsidR="00DE623A" w:rsidRPr="00DE623A" w:rsidRDefault="00DE623A" w:rsidP="00DE623A">
      <w:pPr>
        <w:jc w:val="both"/>
        <w:rPr>
          <w:rFonts w:ascii="Abadi" w:eastAsia="Calibri" w:hAnsi="Abadi" w:cs="Arial Unicode MS"/>
          <w:color w:val="0B0B0D"/>
          <w:sz w:val="21"/>
          <w:szCs w:val="21"/>
          <w:lang w:val="es-MX" w:eastAsia="es-MX"/>
        </w:rPr>
      </w:pPr>
    </w:p>
    <w:p w14:paraId="2BA3A856"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lastRenderedPageBreak/>
        <w:tab/>
        <w:t xml:space="preserve">Ahora, en el caso de la figura denominada </w:t>
      </w:r>
      <w:r w:rsidRPr="00DE623A">
        <w:rPr>
          <w:rFonts w:ascii="Abadi" w:eastAsia="Batang" w:hAnsi="Abadi" w:cs="Arial"/>
          <w:i/>
          <w:iCs/>
          <w:sz w:val="21"/>
          <w:szCs w:val="21"/>
          <w:lang w:val="es-MX" w:eastAsia="en-US"/>
        </w:rPr>
        <w:t>silla ciudadana</w:t>
      </w:r>
      <w:r w:rsidRPr="00DE623A">
        <w:rPr>
          <w:rFonts w:ascii="Abadi" w:eastAsia="Batang" w:hAnsi="Abadi" w:cs="Arial"/>
          <w:sz w:val="21"/>
          <w:szCs w:val="21"/>
          <w:lang w:val="es-MX" w:eastAsia="en-US"/>
        </w:rPr>
        <w:t>, en los términos que fue proyectada en la reforma, consideramos que el alcance sería que la participación sería otorgada a una sola persona quien tendría la posibilidad de participar en cada sesión del ayuntamiento, sin que ello garantice que esa participación en las sesiones del órgano colegiado cuente con la representación social o popular del grupo de personas que presentó la propuesta o sobre el tema sobre el cual tendrá que tomarse alguna decisión.</w:t>
      </w:r>
    </w:p>
    <w:p w14:paraId="407DB293" w14:textId="77777777" w:rsidR="00DE623A" w:rsidRPr="00DE623A" w:rsidRDefault="00DE623A" w:rsidP="00DE623A">
      <w:pPr>
        <w:jc w:val="both"/>
        <w:rPr>
          <w:rFonts w:ascii="Abadi" w:eastAsia="Calibri" w:hAnsi="Abadi" w:cs="Arial Unicode MS"/>
          <w:color w:val="0B0B0D"/>
          <w:sz w:val="21"/>
          <w:szCs w:val="21"/>
          <w:lang w:val="es-MX" w:eastAsia="es-MX"/>
        </w:rPr>
      </w:pPr>
    </w:p>
    <w:p w14:paraId="3138883F"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 xml:space="preserve">Por ello, consideramos que más allá de la institución que se pretende incorporar en el texto constitucional, bajo este parámetro ha de entenderse que el Ayuntamiento al ser un órgano colegiado, cuenta ya con una representación plural </w:t>
      </w:r>
      <w:r w:rsidRPr="00DE623A">
        <w:rPr>
          <w:rFonts w:ascii="Abadi" w:eastAsia="Batang" w:hAnsi="Abadi" w:cs="Arial"/>
          <w:i/>
          <w:iCs/>
          <w:sz w:val="21"/>
          <w:szCs w:val="21"/>
          <w:lang w:val="es-MX" w:eastAsia="en-US"/>
        </w:rPr>
        <w:t>que fue elegida</w:t>
      </w:r>
      <w:r w:rsidRPr="00DE623A">
        <w:rPr>
          <w:rFonts w:ascii="Abadi" w:eastAsia="Batang" w:hAnsi="Abadi" w:cs="Arial"/>
          <w:sz w:val="21"/>
          <w:szCs w:val="21"/>
          <w:lang w:val="es-MX" w:eastAsia="en-US"/>
        </w:rPr>
        <w:t xml:space="preserve">, lo que garantiza que en las discusiones y toma de decisiones exista un debate democrático y abierto. </w:t>
      </w:r>
    </w:p>
    <w:p w14:paraId="60CFA05E" w14:textId="77777777" w:rsidR="00DE623A" w:rsidRPr="00DE623A" w:rsidRDefault="00DE623A" w:rsidP="00DE623A">
      <w:pPr>
        <w:jc w:val="both"/>
        <w:rPr>
          <w:rFonts w:ascii="Abadi" w:eastAsia="Calibri" w:hAnsi="Abadi" w:cs="Arial Unicode MS"/>
          <w:color w:val="0B0B0D"/>
          <w:sz w:val="21"/>
          <w:szCs w:val="21"/>
          <w:lang w:val="es-MX" w:eastAsia="es-MX"/>
        </w:rPr>
      </w:pPr>
    </w:p>
    <w:p w14:paraId="18481AEE"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 xml:space="preserve">Este tipo de esquemas de participación ciudadana en </w:t>
      </w:r>
      <w:r w:rsidRPr="00DE623A">
        <w:rPr>
          <w:rFonts w:ascii="Abadi" w:eastAsia="Batang" w:hAnsi="Abadi" w:cs="Arial"/>
          <w:i/>
          <w:iCs/>
          <w:sz w:val="21"/>
          <w:szCs w:val="21"/>
          <w:lang w:val="es-MX" w:eastAsia="en-US"/>
        </w:rPr>
        <w:t xml:space="preserve">Latinoamérica </w:t>
      </w:r>
      <w:r w:rsidRPr="00DE623A">
        <w:rPr>
          <w:rFonts w:ascii="Abadi" w:eastAsia="Batang" w:hAnsi="Abadi" w:cs="Arial"/>
          <w:sz w:val="21"/>
          <w:szCs w:val="21"/>
          <w:lang w:val="es-MX" w:eastAsia="en-US"/>
        </w:rPr>
        <w:t>demuestra que la silla ciudadana contempla no solo la posibilidad de que la persona sea escuchada sino de contar con derecho a voto, lo que implica una participación directa por parte de la ciudadanía en la toma de decisiones, que hacen de esa institución un mecanismo de participación directa.</w:t>
      </w:r>
    </w:p>
    <w:p w14:paraId="213DDBB4" w14:textId="77777777" w:rsidR="00DE623A" w:rsidRPr="00DE623A" w:rsidRDefault="00DE623A" w:rsidP="00DE623A">
      <w:pPr>
        <w:jc w:val="both"/>
        <w:rPr>
          <w:rFonts w:ascii="Abadi" w:eastAsia="Calibri" w:hAnsi="Abadi" w:cs="Arial Unicode MS"/>
          <w:color w:val="0B0B0D"/>
          <w:sz w:val="21"/>
          <w:szCs w:val="21"/>
          <w:lang w:val="es-MX" w:eastAsia="es-MX"/>
        </w:rPr>
      </w:pPr>
    </w:p>
    <w:p w14:paraId="5D22478E"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 xml:space="preserve">En el caso propuesto para Guanajuato, la persona que ocupe la silla vacía únicamente cuenta con derecho a voz, por lo que al carecer de voto no podría incidir directamente en la toma de decisiones, como sí ocurre con el resto de los mecanismos de participación de otras entidades federativas, como lo es Ciudad de México y de Quintana Roo. Para el caso ecuatoriano, al referirnos a un ejemplo en América Latina y al existir la figura desde el año 2008 ya se tenemos conocimiento de las fortalezas e inconvenientes del sistema. Para el caso de Ecuador en el que se dota de derecho a voto a la persona ciudadana ocupante de la silla, es una desestimación de la voluntad popular, </w:t>
      </w:r>
      <w:r w:rsidRPr="00DE623A">
        <w:rPr>
          <w:rFonts w:ascii="Abadi" w:eastAsia="Batang" w:hAnsi="Abadi" w:cs="Arial"/>
          <w:sz w:val="21"/>
          <w:szCs w:val="21"/>
          <w:lang w:val="es-MX" w:eastAsia="en-US"/>
        </w:rPr>
        <w:t>que eligió previamente a sus representantes en elecciones universales y, segundo, una violación a la igualdad democrática, principio que busca la exclusión de las diferencias arbitrarias o irrazonables de los sistemas políticos.</w:t>
      </w:r>
    </w:p>
    <w:p w14:paraId="071FF126" w14:textId="77777777" w:rsidR="00DE623A" w:rsidRPr="00DE623A" w:rsidRDefault="00DE623A" w:rsidP="00DE623A">
      <w:pPr>
        <w:jc w:val="both"/>
        <w:rPr>
          <w:rFonts w:ascii="Abadi" w:eastAsia="Calibri" w:hAnsi="Abadi" w:cs="Arial Unicode MS"/>
          <w:color w:val="0B0B0D"/>
          <w:sz w:val="21"/>
          <w:szCs w:val="21"/>
          <w:lang w:val="es-MX" w:eastAsia="es-MX"/>
        </w:rPr>
      </w:pPr>
    </w:p>
    <w:p w14:paraId="6F72FB1F"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Estamos conscientes que la solución a la silla vacía debería ser un espacio estructurado dentro de un sistema de participación ciudadana nacional y local, que permita a todos los sectores, sin exclusión, expresar sus posiciones y participar en los debates públicos sin voto. Solo de esta manera se logrará una verdadera deliberación que no dependa de estrategias políticas previas, sino que articule a los diversos actores de un sistema de gobierno. Por ello, el diseño de la participación unipersonal no permite la representación proporcional de la ciudanía, por lo que conforme al sistema político y normativo nacional y estatal, corresponde diseñar mecanismos que sean acordes con el diseño institucional mexicano y guanajuatense.</w:t>
      </w:r>
    </w:p>
    <w:p w14:paraId="2918B692" w14:textId="77777777" w:rsidR="00DE623A" w:rsidRPr="00DE623A" w:rsidRDefault="00DE623A" w:rsidP="00DE623A">
      <w:pPr>
        <w:jc w:val="both"/>
        <w:rPr>
          <w:rFonts w:ascii="Abadi" w:eastAsia="Calibri" w:hAnsi="Abadi" w:cs="Arial Unicode MS"/>
          <w:color w:val="0B0B0D"/>
          <w:sz w:val="21"/>
          <w:szCs w:val="21"/>
          <w:lang w:val="es-MX" w:eastAsia="es-MX"/>
        </w:rPr>
      </w:pPr>
    </w:p>
    <w:p w14:paraId="3420BE81"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 xml:space="preserve">Sin embargo, del análisis a esta propuesta consideramos que la Constitución Política para el Estado de Guanajuato contempla en el artículo 117 que los Ayuntamientos se regirán por el principio de </w:t>
      </w:r>
      <w:r w:rsidRPr="00DE623A">
        <w:rPr>
          <w:rFonts w:ascii="Abadi" w:eastAsia="Batang" w:hAnsi="Abadi" w:cs="Arial"/>
          <w:i/>
          <w:iCs/>
          <w:sz w:val="21"/>
          <w:szCs w:val="21"/>
          <w:lang w:val="es-MX" w:eastAsia="en-US"/>
        </w:rPr>
        <w:t>Gobierno Abierto</w:t>
      </w:r>
      <w:r w:rsidRPr="00DE623A">
        <w:rPr>
          <w:rFonts w:ascii="Abadi" w:eastAsia="Batang" w:hAnsi="Abadi" w:cs="Arial"/>
          <w:sz w:val="21"/>
          <w:szCs w:val="21"/>
          <w:lang w:val="es-MX" w:eastAsia="en-US"/>
        </w:rPr>
        <w:t>, en términos de su Ley Orgánica. Así, la normatividad estatal contempla ya un principio rector para los órganos colegiados de gobierno de los municipios que implica la necesidad de establecer la participación ciudadana como parte del gobierno abierto, que en el actual estado de cosas corresponde a cada Ayuntamiento reglamentar y aplicar en su ámbito de atribuciones, con lo cual coincidimos.</w:t>
      </w:r>
    </w:p>
    <w:p w14:paraId="67392EEE" w14:textId="77777777" w:rsidR="00DE623A" w:rsidRPr="00DE623A" w:rsidRDefault="00DE623A" w:rsidP="00DE623A">
      <w:pPr>
        <w:jc w:val="both"/>
        <w:rPr>
          <w:rFonts w:ascii="Abadi" w:eastAsia="Calibri" w:hAnsi="Abadi" w:cs="Arial Unicode MS"/>
          <w:color w:val="0B0B0D"/>
          <w:sz w:val="21"/>
          <w:szCs w:val="21"/>
          <w:lang w:val="es-MX" w:eastAsia="es-MX"/>
        </w:rPr>
      </w:pPr>
    </w:p>
    <w:p w14:paraId="17CA5906"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 xml:space="preserve">Consideramos necesario analizar la pertinencia de implementar figuras de participación ciudadana dentro del contexto de gobierno abierto, que permita no solo a una persona, sino a las personas o grupos interesados en participar del proceso deliberativo de la toma de decisiones de los ayuntamientos. En razón de ello, la propuesta que se dictamina pretende adicionar al artículo 30 de nuestro Código Político Local una nueva </w:t>
      </w:r>
      <w:r w:rsidRPr="00DE623A">
        <w:rPr>
          <w:rFonts w:ascii="Abadi" w:eastAsia="Batang" w:hAnsi="Abadi" w:cs="Arial"/>
          <w:sz w:val="21"/>
          <w:szCs w:val="21"/>
          <w:lang w:val="es-MX" w:eastAsia="en-US"/>
        </w:rPr>
        <w:lastRenderedPageBreak/>
        <w:t>forma de participación ciudadana semidirecta, consistente en la figura de silla ciudadana, misma de la cual revisamos su alcance. Sin embargo, dada la naturaleza que se pretende con la reforma, creemos que se encuentra inmersa en el principio de gobierno abierto, pues no se trata de una herramienta que tenga injerencia directa y vinculante en la toma de decisiones, sino como un elemento de democracia deliberativa, situación que se cumpliría dando pauta a ese principio constitucional.</w:t>
      </w:r>
    </w:p>
    <w:p w14:paraId="48C5F89F"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6DDFC380"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i/>
          <w:iCs/>
          <w:sz w:val="21"/>
          <w:szCs w:val="21"/>
          <w:lang w:val="es-MX" w:eastAsia="en-US"/>
        </w:rPr>
      </w:pPr>
      <w:r w:rsidRPr="00DE623A">
        <w:rPr>
          <w:rFonts w:ascii="Abadi" w:eastAsia="Batang" w:hAnsi="Abadi" w:cs="Arial"/>
          <w:sz w:val="21"/>
          <w:szCs w:val="21"/>
          <w:lang w:val="es-MX" w:eastAsia="en-US"/>
        </w:rPr>
        <w:tab/>
        <w:t xml:space="preserve">Aunado a lo anterior, es fundamental saber que partimos de lo ya regulado en nuestra Constitución Política Local, en el artículo 30, que dice: todo Poder Público dimana del pueblo y se instituye para su beneficio, y en su segundo párrafo manifiesta que: </w:t>
      </w:r>
      <w:r w:rsidRPr="00DE623A">
        <w:rPr>
          <w:rFonts w:ascii="Abadi" w:eastAsia="Batang" w:hAnsi="Abadi" w:cs="Arial"/>
          <w:i/>
          <w:iCs/>
          <w:sz w:val="21"/>
          <w:szCs w:val="21"/>
          <w:lang w:val="es-MX" w:eastAsia="en-US"/>
        </w:rPr>
        <w:t>Esta Constitución reconoce al menos al referéndum, el plebiscito y la iniciativa popular como formas de participación ciudadana.</w:t>
      </w:r>
    </w:p>
    <w:p w14:paraId="3C5BFA3D" w14:textId="77777777" w:rsidR="00DE623A" w:rsidRPr="00DE623A" w:rsidRDefault="00DE623A" w:rsidP="00DE623A">
      <w:pPr>
        <w:ind w:left="709" w:right="899"/>
        <w:jc w:val="both"/>
        <w:rPr>
          <w:rFonts w:ascii="Abadi" w:eastAsia="Arial" w:hAnsi="Abadi" w:cs="Arial"/>
          <w:i/>
          <w:iCs/>
          <w:color w:val="000000"/>
          <w:sz w:val="21"/>
          <w:szCs w:val="21"/>
          <w:lang w:val="es-MX" w:eastAsia="en-US"/>
        </w:rPr>
      </w:pPr>
    </w:p>
    <w:p w14:paraId="2F9BD000"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 xml:space="preserve">En ese sentido, podemos manifestar que esa porción normativa vigente en la Constitución estableció de manera enunciativa y no limitativa las formas de participación ciudadana, al señalar que </w:t>
      </w:r>
      <w:r w:rsidRPr="00DE623A">
        <w:rPr>
          <w:rFonts w:ascii="Abadi" w:eastAsia="Batang" w:hAnsi="Abadi" w:cs="Arial"/>
          <w:i/>
          <w:iCs/>
          <w:sz w:val="21"/>
          <w:szCs w:val="21"/>
          <w:lang w:val="es-MX" w:eastAsia="en-US"/>
        </w:rPr>
        <w:t>reconoce al menos</w:t>
      </w:r>
      <w:r w:rsidRPr="00DE623A">
        <w:rPr>
          <w:rFonts w:ascii="Abadi" w:eastAsia="Batang" w:hAnsi="Abadi" w:cs="Arial"/>
          <w:sz w:val="21"/>
          <w:szCs w:val="21"/>
          <w:lang w:val="es-MX" w:eastAsia="en-US"/>
        </w:rPr>
        <w:t xml:space="preserve">, las ya referidas esto es, que generó un sistema normativo que permite que sea la ley donde se incorpore en su caso, otras formas de participación ciudadana sin necesidad de generar una reforma a la Constitución Política para el Estado de Guanajuato. </w:t>
      </w:r>
    </w:p>
    <w:p w14:paraId="078761AD" w14:textId="77777777" w:rsidR="00DE623A" w:rsidRPr="00DE623A" w:rsidRDefault="00DE623A" w:rsidP="00DE623A">
      <w:pPr>
        <w:ind w:firstLine="708"/>
        <w:jc w:val="both"/>
        <w:rPr>
          <w:rFonts w:ascii="Abadi" w:eastAsia="Calibri" w:hAnsi="Abadi" w:cs="Arial"/>
          <w:color w:val="000000"/>
          <w:sz w:val="21"/>
          <w:szCs w:val="21"/>
          <w:lang w:val="es-MX" w:eastAsia="en-US"/>
        </w:rPr>
      </w:pPr>
    </w:p>
    <w:p w14:paraId="6FBADCDF"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 xml:space="preserve">Desde nuestro análisis consideramos que la iniciativa trastoca el principio de la representación Política, y la forma de gobierno, que son la esencia en el enunciado normativo que se pretende reformar. En la configuración de </w:t>
      </w:r>
      <w:r w:rsidRPr="00DE623A">
        <w:rPr>
          <w:rFonts w:ascii="Abadi" w:eastAsia="Batang" w:hAnsi="Abadi" w:cs="Arial"/>
          <w:i/>
          <w:iCs/>
          <w:sz w:val="21"/>
          <w:szCs w:val="21"/>
          <w:lang w:val="es-MX" w:eastAsia="en-US"/>
        </w:rPr>
        <w:t>esta institución</w:t>
      </w:r>
      <w:r w:rsidRPr="00DE623A">
        <w:rPr>
          <w:rFonts w:ascii="Abadi" w:eastAsia="Batang" w:hAnsi="Abadi" w:cs="Arial"/>
          <w:sz w:val="21"/>
          <w:szCs w:val="21"/>
          <w:lang w:val="es-MX" w:eastAsia="en-US"/>
        </w:rPr>
        <w:t>, que se confunde con la acepción de la participación ciudadana, y que atañe al alcance de una figura jurídica de intervención directa en las decisiones del Ayuntamiento, sin tener que acreditar o justificar el interés de su intervención, con lo que no se coincide.</w:t>
      </w:r>
    </w:p>
    <w:p w14:paraId="6EB84B99"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2F391EB3"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 xml:space="preserve">Al respecto, si se tratase de una figura de participación directa en asuntos públicos, ya contamos con una norma jurídica vigente que regula y que como ya aludimos puede reformarse para en su caso, incluir mecanismos de participación diversos a la iniciativa popular, plebiscito, referéndum y referéndum Constitucional. </w:t>
      </w:r>
    </w:p>
    <w:p w14:paraId="3D5B8514" w14:textId="77777777" w:rsidR="00DE623A" w:rsidRPr="00DE623A" w:rsidRDefault="00DE623A" w:rsidP="00DE623A">
      <w:pPr>
        <w:widowControl w:val="0"/>
        <w:tabs>
          <w:tab w:val="left" w:pos="0"/>
        </w:tabs>
        <w:spacing w:before="53"/>
        <w:ind w:right="69"/>
        <w:contextualSpacing/>
        <w:jc w:val="both"/>
        <w:rPr>
          <w:rFonts w:ascii="Abadi" w:eastAsia="Batang" w:hAnsi="Abadi" w:cs="Arial"/>
          <w:sz w:val="21"/>
          <w:szCs w:val="21"/>
          <w:lang w:val="es-MX" w:eastAsia="en-US"/>
        </w:rPr>
      </w:pPr>
    </w:p>
    <w:p w14:paraId="7B0D381D"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ab/>
        <w:t>En razón de los argumentos expresados se determina la no viabilidad de reformar la Constitución Política para el Estado de Guanajuato con los alcances propuestos, pues lo expuesto en las motivaciones de quien propone no justifica su reforma al artículo 30, siendo que en los términos vigentes, la propia porción normativa deja abierto la regulación a la apertura de más mecanismos de participación, pero que deberá ser en el orden legal.</w:t>
      </w:r>
    </w:p>
    <w:p w14:paraId="452EA74C" w14:textId="77777777" w:rsidR="00DE623A" w:rsidRPr="00DE623A" w:rsidRDefault="00DE623A" w:rsidP="00DE623A">
      <w:pPr>
        <w:autoSpaceDE w:val="0"/>
        <w:autoSpaceDN w:val="0"/>
        <w:adjustRightInd w:val="0"/>
        <w:spacing w:line="276" w:lineRule="auto"/>
        <w:ind w:firstLine="708"/>
        <w:jc w:val="both"/>
        <w:rPr>
          <w:rFonts w:ascii="Abadi" w:eastAsia="Batang" w:hAnsi="Abadi" w:cs="Arial"/>
          <w:sz w:val="21"/>
          <w:szCs w:val="21"/>
          <w:lang w:val="es-MX" w:eastAsia="en-US"/>
        </w:rPr>
      </w:pPr>
    </w:p>
    <w:p w14:paraId="29D4E4B4" w14:textId="77777777" w:rsidR="00DE623A" w:rsidRPr="00DE623A" w:rsidRDefault="00DE623A" w:rsidP="00DE623A">
      <w:pPr>
        <w:autoSpaceDE w:val="0"/>
        <w:autoSpaceDN w:val="0"/>
        <w:adjustRightInd w:val="0"/>
        <w:spacing w:line="276" w:lineRule="auto"/>
        <w:ind w:firstLine="708"/>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Con todo lo expuesto estimamos pertinente el archivo de la iniciativa de referencia, toda vez que el objeto que persigue ya encuentra regulado desde la óptica constitucional.</w:t>
      </w:r>
    </w:p>
    <w:p w14:paraId="67569BEA" w14:textId="77777777" w:rsidR="00DE623A" w:rsidRPr="00DE623A" w:rsidRDefault="00DE623A" w:rsidP="00DE623A">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00A847A3" w14:textId="77777777" w:rsidR="00DE623A" w:rsidRPr="00DE623A" w:rsidRDefault="00DE623A" w:rsidP="00DE623A">
      <w:pPr>
        <w:spacing w:line="276" w:lineRule="auto"/>
        <w:ind w:firstLine="708"/>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t xml:space="preserve">En razón de lo antes expuesto y con fundamento en los artículos 171 y 204 de </w:t>
      </w:r>
      <w:smartTag w:uri="urn:schemas-microsoft-com:office:smarttags" w:element="PersonName">
        <w:smartTagPr>
          <w:attr w:name="ProductID" w:val="la Ley Org￡nica"/>
        </w:smartTagPr>
        <w:r w:rsidRPr="00DE623A">
          <w:rPr>
            <w:rFonts w:ascii="Abadi" w:eastAsia="Batang" w:hAnsi="Abadi" w:cs="Arial"/>
            <w:sz w:val="21"/>
            <w:szCs w:val="21"/>
            <w:lang w:val="es-MX" w:eastAsia="en-US"/>
          </w:rPr>
          <w:t>la Ley Orgánica</w:t>
        </w:r>
      </w:smartTag>
      <w:r w:rsidRPr="00DE623A">
        <w:rPr>
          <w:rFonts w:ascii="Abadi" w:eastAsia="Batang" w:hAnsi="Abadi" w:cs="Arial"/>
          <w:sz w:val="21"/>
          <w:szCs w:val="21"/>
          <w:lang w:val="es-MX" w:eastAsia="en-US"/>
        </w:rPr>
        <w:t xml:space="preserve"> del Poder Legislativo del Estado de Guanajuato, nos permitimos someter a la aprobación de </w:t>
      </w:r>
      <w:smartTag w:uri="urn:schemas-microsoft-com:office:smarttags" w:element="PersonName">
        <w:smartTagPr>
          <w:attr w:name="ProductID" w:val="la Asamblea"/>
        </w:smartTagPr>
        <w:r w:rsidRPr="00DE623A">
          <w:rPr>
            <w:rFonts w:ascii="Abadi" w:eastAsia="Batang" w:hAnsi="Abadi" w:cs="Arial"/>
            <w:sz w:val="21"/>
            <w:szCs w:val="21"/>
            <w:lang w:val="es-MX" w:eastAsia="en-US"/>
          </w:rPr>
          <w:t>la Asamblea</w:t>
        </w:r>
      </w:smartTag>
      <w:r w:rsidRPr="00DE623A">
        <w:rPr>
          <w:rFonts w:ascii="Abadi" w:eastAsia="Batang" w:hAnsi="Abadi" w:cs="Arial"/>
          <w:sz w:val="21"/>
          <w:szCs w:val="21"/>
          <w:lang w:val="es-MX" w:eastAsia="en-US"/>
        </w:rPr>
        <w:t xml:space="preserve">, el siguiente: </w:t>
      </w:r>
    </w:p>
    <w:p w14:paraId="52D0F3B5" w14:textId="77777777" w:rsidR="00DE623A" w:rsidRPr="00DE623A" w:rsidRDefault="00DE623A" w:rsidP="00DE623A">
      <w:pPr>
        <w:spacing w:line="276" w:lineRule="auto"/>
        <w:ind w:firstLine="708"/>
        <w:jc w:val="both"/>
        <w:rPr>
          <w:rFonts w:ascii="Abadi" w:eastAsia="Batang" w:hAnsi="Abadi" w:cs="Arial"/>
          <w:sz w:val="21"/>
          <w:szCs w:val="21"/>
          <w:lang w:val="es-MX" w:eastAsia="en-US"/>
        </w:rPr>
      </w:pPr>
    </w:p>
    <w:p w14:paraId="35224923" w14:textId="77777777" w:rsidR="00DE623A" w:rsidRPr="00DE623A" w:rsidRDefault="00DE623A" w:rsidP="00DE623A">
      <w:pPr>
        <w:spacing w:line="276" w:lineRule="auto"/>
        <w:ind w:firstLine="708"/>
        <w:jc w:val="both"/>
        <w:rPr>
          <w:rFonts w:ascii="Abadi" w:eastAsia="Batang" w:hAnsi="Abadi" w:cs="Arial"/>
          <w:sz w:val="21"/>
          <w:szCs w:val="21"/>
          <w:lang w:val="es-MX" w:eastAsia="en-US"/>
        </w:rPr>
      </w:pPr>
    </w:p>
    <w:p w14:paraId="7F5C959C" w14:textId="77777777" w:rsidR="00DE623A" w:rsidRPr="00DE623A" w:rsidRDefault="00DE623A" w:rsidP="00DE623A">
      <w:pPr>
        <w:jc w:val="center"/>
        <w:rPr>
          <w:rFonts w:ascii="Abadi" w:hAnsi="Abadi" w:cs="Arial"/>
          <w:b/>
          <w:sz w:val="21"/>
          <w:szCs w:val="21"/>
          <w:lang w:val="es-MX" w:eastAsia="en-US"/>
        </w:rPr>
      </w:pPr>
      <w:r w:rsidRPr="00DE623A">
        <w:rPr>
          <w:rFonts w:ascii="Abadi" w:hAnsi="Abadi" w:cs="Arial"/>
          <w:b/>
          <w:sz w:val="21"/>
          <w:szCs w:val="21"/>
          <w:lang w:val="es-MX" w:eastAsia="en-US"/>
        </w:rPr>
        <w:t>ACUERDO</w:t>
      </w:r>
    </w:p>
    <w:p w14:paraId="1DE46FF8" w14:textId="77777777" w:rsidR="00DE623A" w:rsidRPr="00DE623A" w:rsidRDefault="00DE623A" w:rsidP="00DE623A">
      <w:pPr>
        <w:jc w:val="center"/>
        <w:rPr>
          <w:rFonts w:ascii="Abadi" w:hAnsi="Abadi" w:cs="Arial"/>
          <w:b/>
          <w:sz w:val="21"/>
          <w:szCs w:val="21"/>
          <w:lang w:val="es-MX" w:eastAsia="en-US"/>
        </w:rPr>
      </w:pPr>
    </w:p>
    <w:p w14:paraId="687BE483" w14:textId="457D354A" w:rsidR="00DE623A" w:rsidRPr="00DE623A" w:rsidRDefault="00DE623A" w:rsidP="00DE623A">
      <w:pPr>
        <w:widowControl w:val="0"/>
        <w:tabs>
          <w:tab w:val="left" w:pos="663"/>
        </w:tabs>
        <w:spacing w:before="57" w:line="276" w:lineRule="auto"/>
        <w:contextualSpacing/>
        <w:jc w:val="both"/>
        <w:rPr>
          <w:rFonts w:ascii="Abadi" w:eastAsia="Batang" w:hAnsi="Abadi" w:cs="Arial"/>
          <w:sz w:val="21"/>
          <w:szCs w:val="21"/>
          <w:lang w:val="es-MX" w:eastAsia="en-US"/>
        </w:rPr>
      </w:pPr>
      <w:r w:rsidRPr="00DE623A">
        <w:rPr>
          <w:rFonts w:ascii="Abadi" w:eastAsia="Calibri" w:hAnsi="Abadi"/>
          <w:b/>
          <w:bCs/>
          <w:sz w:val="21"/>
          <w:szCs w:val="21"/>
          <w:lang w:eastAsia="en-US"/>
        </w:rPr>
        <w:tab/>
        <w:t xml:space="preserve">Único. </w:t>
      </w:r>
      <w:r w:rsidRPr="00DE623A">
        <w:rPr>
          <w:rFonts w:ascii="Abadi" w:eastAsia="Batang" w:hAnsi="Abadi" w:cs="Arial"/>
          <w:sz w:val="21"/>
          <w:szCs w:val="21"/>
          <w:lang w:val="es-MX" w:eastAsia="en-US"/>
        </w:rPr>
        <w:t xml:space="preserve">Se ordena el archivo definitivo de la </w:t>
      </w:r>
      <w:r w:rsidRPr="00DE623A">
        <w:rPr>
          <w:rFonts w:ascii="Abadi" w:eastAsia="Arial Unicode MS" w:hAnsi="Abadi"/>
          <w:sz w:val="21"/>
          <w:szCs w:val="21"/>
          <w:lang w:val="es-MX" w:eastAsia="en-US"/>
        </w:rPr>
        <w:t xml:space="preserve">iniciativa formulada por la diputada María Magdalena Rosales Cruz, integrante del Grupo Parlamentario del Partido Morena, a efecto de reformar el artículo 30 de la Constitución Política para el Estado de Guanajuato; y adicionar una fracción VI al artículo 11, recorriéndose la subsecuente, dos párrafos al artículo 15 y una fracción V al artículo 18 de la Ley Orgánica Municipal para el Estado de Guanajuato, </w:t>
      </w:r>
      <w:r w:rsidRPr="00DE623A">
        <w:rPr>
          <w:rFonts w:ascii="Abadi" w:eastAsia="Arial Unicode MS" w:hAnsi="Abadi"/>
          <w:i/>
          <w:iCs/>
          <w:sz w:val="21"/>
          <w:szCs w:val="21"/>
          <w:lang w:val="es-MX" w:eastAsia="en-US"/>
        </w:rPr>
        <w:t>en la parte correspondiente al primer ordenamiento</w:t>
      </w:r>
      <w:r w:rsidRPr="00DE623A">
        <w:rPr>
          <w:rFonts w:ascii="Abadi" w:eastAsia="Arial Unicode MS" w:hAnsi="Abadi"/>
          <w:sz w:val="21"/>
          <w:szCs w:val="21"/>
          <w:lang w:val="es-MX" w:eastAsia="en-US"/>
        </w:rPr>
        <w:t>,</w:t>
      </w:r>
      <w:r w:rsidRPr="00DE623A">
        <w:rPr>
          <w:rFonts w:ascii="Abadi" w:eastAsia="Calibri" w:hAnsi="Abadi"/>
          <w:bCs/>
          <w:iCs/>
          <w:sz w:val="21"/>
          <w:szCs w:val="21"/>
          <w:lang w:val="es-ES_tradnl" w:eastAsia="en-US"/>
        </w:rPr>
        <w:t xml:space="preserve"> </w:t>
      </w:r>
      <w:r w:rsidRPr="00DE623A">
        <w:rPr>
          <w:rFonts w:ascii="Abadi" w:eastAsia="Arial Unicode MS" w:hAnsi="Abadi"/>
          <w:sz w:val="21"/>
          <w:szCs w:val="21"/>
          <w:lang w:val="es-MX" w:eastAsia="en-US"/>
        </w:rPr>
        <w:t>ante la Sexagésima Cuarta Legislatura</w:t>
      </w:r>
      <w:r w:rsidRPr="00DE623A">
        <w:rPr>
          <w:rFonts w:ascii="Abadi" w:eastAsia="Batang" w:hAnsi="Abadi" w:cs="Arial"/>
          <w:sz w:val="21"/>
          <w:szCs w:val="21"/>
          <w:lang w:val="es-MX" w:eastAsia="en-US"/>
        </w:rPr>
        <w:t>.</w:t>
      </w:r>
    </w:p>
    <w:p w14:paraId="73FA6561" w14:textId="77777777" w:rsidR="00DE623A" w:rsidRPr="00DE623A" w:rsidRDefault="00DE623A" w:rsidP="00DE623A">
      <w:pPr>
        <w:widowControl w:val="0"/>
        <w:tabs>
          <w:tab w:val="left" w:pos="663"/>
        </w:tabs>
        <w:spacing w:before="57" w:line="276" w:lineRule="auto"/>
        <w:contextualSpacing/>
        <w:jc w:val="both"/>
        <w:rPr>
          <w:rFonts w:ascii="Abadi" w:eastAsia="Batang" w:hAnsi="Abadi" w:cs="Arial"/>
          <w:sz w:val="21"/>
          <w:szCs w:val="21"/>
          <w:lang w:val="es-MX" w:eastAsia="en-US"/>
        </w:rPr>
      </w:pPr>
    </w:p>
    <w:p w14:paraId="68103ABD" w14:textId="77777777" w:rsidR="00DE623A" w:rsidRPr="00DE623A" w:rsidRDefault="00DE623A" w:rsidP="00DE623A">
      <w:pPr>
        <w:widowControl w:val="0"/>
        <w:tabs>
          <w:tab w:val="left" w:pos="663"/>
        </w:tabs>
        <w:spacing w:before="57" w:line="276" w:lineRule="auto"/>
        <w:contextualSpacing/>
        <w:jc w:val="both"/>
        <w:rPr>
          <w:rFonts w:ascii="Abadi" w:eastAsia="Batang" w:hAnsi="Abadi" w:cs="Arial"/>
          <w:sz w:val="21"/>
          <w:szCs w:val="21"/>
          <w:lang w:val="es-MX" w:eastAsia="en-US"/>
        </w:rPr>
      </w:pPr>
    </w:p>
    <w:p w14:paraId="51AA5248" w14:textId="77777777" w:rsidR="00DE623A" w:rsidRPr="00DE623A" w:rsidRDefault="00DE623A" w:rsidP="00DE623A">
      <w:pPr>
        <w:widowControl w:val="0"/>
        <w:tabs>
          <w:tab w:val="left" w:pos="663"/>
        </w:tabs>
        <w:spacing w:before="57" w:line="276" w:lineRule="auto"/>
        <w:contextualSpacing/>
        <w:jc w:val="both"/>
        <w:rPr>
          <w:rFonts w:ascii="Abadi" w:eastAsia="Batang" w:hAnsi="Abadi" w:cs="Arial"/>
          <w:sz w:val="21"/>
          <w:szCs w:val="21"/>
          <w:lang w:val="es-MX" w:eastAsia="en-US"/>
        </w:rPr>
      </w:pPr>
      <w:r w:rsidRPr="00DE623A">
        <w:rPr>
          <w:rFonts w:ascii="Abadi" w:eastAsia="Batang" w:hAnsi="Abadi" w:cs="Arial"/>
          <w:sz w:val="21"/>
          <w:szCs w:val="21"/>
          <w:lang w:val="es-MX" w:eastAsia="en-US"/>
        </w:rPr>
        <w:lastRenderedPageBreak/>
        <w:tab/>
        <w:t>Se instruye al Secretario General del Congreso archive de manera definitiva la iniciativa de referencia.</w:t>
      </w:r>
    </w:p>
    <w:p w14:paraId="0E236408" w14:textId="77777777" w:rsidR="00DE623A" w:rsidRPr="00DE623A" w:rsidRDefault="00DE623A" w:rsidP="00DE623A">
      <w:pPr>
        <w:ind w:firstLine="708"/>
        <w:jc w:val="both"/>
        <w:rPr>
          <w:rFonts w:ascii="Abadi" w:hAnsi="Abadi" w:cs="Arial"/>
          <w:sz w:val="21"/>
          <w:szCs w:val="21"/>
        </w:rPr>
      </w:pPr>
    </w:p>
    <w:p w14:paraId="7EC15281" w14:textId="77777777" w:rsidR="00DE623A" w:rsidRPr="00DE623A" w:rsidRDefault="00DE623A" w:rsidP="00DE623A">
      <w:pPr>
        <w:jc w:val="center"/>
        <w:rPr>
          <w:rFonts w:ascii="Abadi" w:eastAsia="Arial Unicode MS" w:hAnsi="Abadi" w:cs="Arial Unicode MS"/>
          <w:b/>
          <w:bCs/>
          <w:sz w:val="21"/>
          <w:szCs w:val="21"/>
          <w:lang w:val="es-MX" w:eastAsia="en-US"/>
        </w:rPr>
      </w:pPr>
      <w:r w:rsidRPr="00DE623A">
        <w:rPr>
          <w:rFonts w:ascii="Abadi" w:eastAsia="Arial Unicode MS" w:hAnsi="Abadi" w:cs="Arial Unicode MS"/>
          <w:b/>
          <w:bCs/>
          <w:sz w:val="21"/>
          <w:szCs w:val="21"/>
          <w:lang w:val="es-MX" w:eastAsia="en-US"/>
        </w:rPr>
        <w:t>GUANAJUATO, GTO., A 15 DE JUNIO DE 2022</w:t>
      </w:r>
    </w:p>
    <w:p w14:paraId="598729A1" w14:textId="77777777" w:rsidR="00DE623A" w:rsidRPr="00DE623A" w:rsidRDefault="00DE623A" w:rsidP="00DE623A">
      <w:pPr>
        <w:jc w:val="center"/>
        <w:rPr>
          <w:rFonts w:ascii="Abadi" w:eastAsia="Arial Unicode MS" w:hAnsi="Abadi" w:cs="Arial Unicode MS"/>
          <w:b/>
          <w:bCs/>
          <w:sz w:val="21"/>
          <w:szCs w:val="21"/>
          <w:lang w:val="es-MX" w:eastAsia="en-US"/>
        </w:rPr>
      </w:pPr>
      <w:r w:rsidRPr="00DE623A">
        <w:rPr>
          <w:rFonts w:ascii="Abadi" w:eastAsia="Arial Unicode MS" w:hAnsi="Abadi" w:cs="Arial Unicode MS"/>
          <w:b/>
          <w:bCs/>
          <w:sz w:val="21"/>
          <w:szCs w:val="21"/>
          <w:lang w:val="es-MX" w:eastAsia="en-US"/>
        </w:rPr>
        <w:t>COMISIÓN DE GOBERNACIÓN Y PUNTOS CONSTITUCIONALES</w:t>
      </w:r>
    </w:p>
    <w:p w14:paraId="3154EE9D" w14:textId="77777777" w:rsidR="00DE623A" w:rsidRPr="00DE623A" w:rsidRDefault="00DE623A" w:rsidP="00C613F7">
      <w:pPr>
        <w:jc w:val="center"/>
        <w:rPr>
          <w:rFonts w:ascii="Abadi" w:eastAsia="Arial Unicode MS" w:hAnsi="Abadi" w:cs="Arial Unicode MS"/>
          <w:b/>
          <w:bCs/>
          <w:sz w:val="21"/>
          <w:szCs w:val="21"/>
          <w:lang w:val="es-MX" w:eastAsia="en-US"/>
        </w:rPr>
      </w:pPr>
    </w:p>
    <w:p w14:paraId="2252D0CF" w14:textId="0BA3378C" w:rsidR="00DE623A" w:rsidRDefault="00F55455" w:rsidP="00C613F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Susana Bermúdez Cano</w:t>
      </w:r>
    </w:p>
    <w:p w14:paraId="0F96BB52" w14:textId="77777777" w:rsidR="00C613F7" w:rsidRDefault="00C613F7" w:rsidP="00C613F7">
      <w:pPr>
        <w:jc w:val="center"/>
        <w:rPr>
          <w:rFonts w:ascii="Abadi" w:eastAsia="Arial Unicode MS" w:hAnsi="Abadi" w:cs="Arial Unicode MS"/>
          <w:b/>
          <w:bCs/>
          <w:sz w:val="21"/>
          <w:szCs w:val="21"/>
          <w:lang w:val="es-MX" w:eastAsia="en-US"/>
        </w:rPr>
      </w:pPr>
    </w:p>
    <w:p w14:paraId="0C6A757A" w14:textId="26414585" w:rsidR="00F55455" w:rsidRDefault="00F55455" w:rsidP="00C613F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Laura Cristina Márquez Alcalá</w:t>
      </w:r>
    </w:p>
    <w:p w14:paraId="35514528" w14:textId="77777777" w:rsidR="00C613F7" w:rsidRDefault="00C613F7" w:rsidP="00C613F7">
      <w:pPr>
        <w:jc w:val="center"/>
        <w:rPr>
          <w:rFonts w:ascii="Abadi" w:eastAsia="Arial Unicode MS" w:hAnsi="Abadi" w:cs="Arial Unicode MS"/>
          <w:b/>
          <w:bCs/>
          <w:sz w:val="21"/>
          <w:szCs w:val="21"/>
          <w:lang w:val="es-MX" w:eastAsia="en-US"/>
        </w:rPr>
      </w:pPr>
    </w:p>
    <w:p w14:paraId="6B88CDDD" w14:textId="249CFAE1" w:rsidR="00C613F7" w:rsidRDefault="00F55455" w:rsidP="00C613F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Briseida Anabel Magdaleno Gonz</w:t>
      </w:r>
      <w:r w:rsidR="00C613F7">
        <w:rPr>
          <w:rFonts w:ascii="Abadi" w:eastAsia="Arial Unicode MS" w:hAnsi="Abadi" w:cs="Arial Unicode MS"/>
          <w:b/>
          <w:bCs/>
          <w:sz w:val="21"/>
          <w:szCs w:val="21"/>
          <w:lang w:val="es-MX" w:eastAsia="en-US"/>
        </w:rPr>
        <w:t>á</w:t>
      </w:r>
      <w:r>
        <w:rPr>
          <w:rFonts w:ascii="Abadi" w:eastAsia="Arial Unicode MS" w:hAnsi="Abadi" w:cs="Arial Unicode MS"/>
          <w:b/>
          <w:bCs/>
          <w:sz w:val="21"/>
          <w:szCs w:val="21"/>
          <w:lang w:val="es-MX" w:eastAsia="en-US"/>
        </w:rPr>
        <w:t>lez</w:t>
      </w:r>
    </w:p>
    <w:p w14:paraId="15001078" w14:textId="77777777" w:rsidR="00C613F7" w:rsidRDefault="00C613F7" w:rsidP="00C613F7">
      <w:pPr>
        <w:jc w:val="center"/>
        <w:rPr>
          <w:rFonts w:ascii="Abadi" w:eastAsia="Arial Unicode MS" w:hAnsi="Abadi" w:cs="Arial Unicode MS"/>
          <w:b/>
          <w:bCs/>
          <w:sz w:val="21"/>
          <w:szCs w:val="21"/>
          <w:lang w:val="es-MX" w:eastAsia="en-US"/>
        </w:rPr>
      </w:pPr>
    </w:p>
    <w:p w14:paraId="189B3697" w14:textId="09D6EAF3" w:rsidR="00C613F7" w:rsidRDefault="00C613F7" w:rsidP="00C613F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Alma Edwviges Alcaraz Hernández</w:t>
      </w:r>
    </w:p>
    <w:p w14:paraId="004196B8" w14:textId="77777777" w:rsidR="00C613F7" w:rsidRDefault="00C613F7" w:rsidP="00C613F7">
      <w:pPr>
        <w:jc w:val="center"/>
        <w:rPr>
          <w:rFonts w:ascii="Abadi" w:eastAsia="Arial Unicode MS" w:hAnsi="Abadi" w:cs="Arial Unicode MS"/>
          <w:b/>
          <w:bCs/>
          <w:sz w:val="21"/>
          <w:szCs w:val="21"/>
          <w:lang w:val="es-MX" w:eastAsia="en-US"/>
        </w:rPr>
      </w:pPr>
    </w:p>
    <w:p w14:paraId="51552C96" w14:textId="3E849B2B" w:rsidR="00C613F7" w:rsidRDefault="00C613F7" w:rsidP="00C613F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Rolando Fortino Alcántar Rojas</w:t>
      </w:r>
    </w:p>
    <w:p w14:paraId="7AA942FD" w14:textId="77777777" w:rsidR="00C613F7" w:rsidRDefault="00C613F7" w:rsidP="00C613F7">
      <w:pPr>
        <w:jc w:val="center"/>
        <w:rPr>
          <w:rFonts w:ascii="Abadi" w:eastAsia="Arial Unicode MS" w:hAnsi="Abadi" w:cs="Arial Unicode MS"/>
          <w:b/>
          <w:bCs/>
          <w:sz w:val="21"/>
          <w:szCs w:val="21"/>
          <w:lang w:val="es-MX" w:eastAsia="en-US"/>
        </w:rPr>
      </w:pPr>
    </w:p>
    <w:p w14:paraId="78E28A82" w14:textId="6F3FB901" w:rsidR="00C613F7" w:rsidRDefault="00C613F7" w:rsidP="00C613F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Yulma Rocha Aguilar</w:t>
      </w:r>
    </w:p>
    <w:p w14:paraId="0B8999B4" w14:textId="77777777" w:rsidR="00C613F7" w:rsidRDefault="00C613F7" w:rsidP="00C613F7">
      <w:pPr>
        <w:jc w:val="center"/>
        <w:rPr>
          <w:rFonts w:ascii="Abadi" w:eastAsia="Arial Unicode MS" w:hAnsi="Abadi" w:cs="Arial Unicode MS"/>
          <w:b/>
          <w:bCs/>
          <w:sz w:val="21"/>
          <w:szCs w:val="21"/>
          <w:lang w:val="es-MX" w:eastAsia="en-US"/>
        </w:rPr>
      </w:pPr>
    </w:p>
    <w:p w14:paraId="6D1CFDD7" w14:textId="77777777" w:rsidR="00C764E6" w:rsidRDefault="00C764E6" w:rsidP="00C613F7">
      <w:pPr>
        <w:jc w:val="center"/>
        <w:rPr>
          <w:rFonts w:ascii="Abadi" w:eastAsia="Arial Unicode MS" w:hAnsi="Abadi" w:cs="Arial Unicode MS"/>
          <w:b/>
          <w:bCs/>
          <w:sz w:val="21"/>
          <w:szCs w:val="21"/>
          <w:lang w:val="es-MX" w:eastAsia="en-US"/>
        </w:rPr>
      </w:pPr>
    </w:p>
    <w:p w14:paraId="2A11F587" w14:textId="2A432631" w:rsidR="00F55455" w:rsidRPr="00DE623A" w:rsidRDefault="00C613F7" w:rsidP="00C613F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Gerardo Fernández González</w:t>
      </w:r>
    </w:p>
    <w:p w14:paraId="2DFC7D64" w14:textId="77777777" w:rsidR="005F17F7" w:rsidRPr="005F17F7" w:rsidRDefault="005F17F7" w:rsidP="005F17F7">
      <w:pPr>
        <w:rPr>
          <w:rFonts w:ascii="Abadi" w:hAnsi="Abadi"/>
          <w:sz w:val="20"/>
          <w:szCs w:val="20"/>
        </w:rPr>
      </w:pPr>
    </w:p>
    <w:p w14:paraId="253DE430" w14:textId="5267BAC9" w:rsidR="005F17F7" w:rsidRDefault="005F17F7" w:rsidP="005F17F7">
      <w:pPr>
        <w:rPr>
          <w:rFonts w:ascii="Abadi" w:hAnsi="Abadi"/>
          <w:b/>
          <w:bCs/>
          <w:sz w:val="20"/>
          <w:szCs w:val="20"/>
        </w:rPr>
      </w:pPr>
    </w:p>
    <w:p w14:paraId="70759772" w14:textId="77777777" w:rsidR="005F17F7" w:rsidRPr="005F17F7" w:rsidRDefault="005F17F7" w:rsidP="005F17F7">
      <w:pPr>
        <w:rPr>
          <w:rFonts w:ascii="Abadi" w:hAnsi="Abadi"/>
          <w:b/>
          <w:bCs/>
          <w:sz w:val="20"/>
          <w:szCs w:val="20"/>
        </w:rPr>
      </w:pPr>
    </w:p>
    <w:p w14:paraId="12CECD0B" w14:textId="5F271AC4" w:rsidR="00F75F91" w:rsidRDefault="00F75F91"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0"/>
          <w:sz w:val="20"/>
          <w:szCs w:val="20"/>
        </w:rPr>
        <w:t xml:space="preserve"> </w:t>
      </w:r>
      <w:r w:rsidRPr="00531B12">
        <w:rPr>
          <w:rFonts w:ascii="Abadi" w:hAnsi="Abadi"/>
          <w:b/>
          <w:bCs/>
          <w:sz w:val="20"/>
          <w:szCs w:val="20"/>
        </w:rPr>
        <w:t>EN</w:t>
      </w:r>
      <w:r w:rsidRPr="00531B12">
        <w:rPr>
          <w:rFonts w:ascii="Abadi" w:hAnsi="Abadi"/>
          <w:b/>
          <w:bCs/>
          <w:spacing w:val="10"/>
          <w:sz w:val="20"/>
          <w:szCs w:val="20"/>
        </w:rPr>
        <w:t xml:space="preserve"> </w:t>
      </w:r>
      <w:r w:rsidRPr="00531B12">
        <w:rPr>
          <w:rFonts w:ascii="Abadi" w:hAnsi="Abadi"/>
          <w:b/>
          <w:bCs/>
          <w:sz w:val="20"/>
          <w:szCs w:val="20"/>
        </w:rPr>
        <w:t>SU</w:t>
      </w:r>
      <w:r w:rsidRPr="00531B12">
        <w:rPr>
          <w:rFonts w:ascii="Abadi" w:hAnsi="Abadi"/>
          <w:b/>
          <w:bCs/>
          <w:spacing w:val="10"/>
          <w:sz w:val="20"/>
          <w:szCs w:val="20"/>
        </w:rPr>
        <w:t xml:space="preserve"> </w:t>
      </w:r>
      <w:r w:rsidRPr="00531B12">
        <w:rPr>
          <w:rFonts w:ascii="Abadi" w:hAnsi="Abadi"/>
          <w:b/>
          <w:bCs/>
          <w:sz w:val="20"/>
          <w:szCs w:val="20"/>
        </w:rPr>
        <w:t>CASO,</w:t>
      </w:r>
      <w:r w:rsidRPr="00531B12">
        <w:rPr>
          <w:rFonts w:ascii="Abadi" w:hAnsi="Abadi"/>
          <w:b/>
          <w:bCs/>
          <w:spacing w:val="10"/>
          <w:sz w:val="20"/>
          <w:szCs w:val="20"/>
        </w:rPr>
        <w:t xml:space="preserve"> </w:t>
      </w:r>
      <w:r w:rsidRPr="00531B12">
        <w:rPr>
          <w:rFonts w:ascii="Abadi" w:hAnsi="Abadi"/>
          <w:b/>
          <w:bCs/>
          <w:sz w:val="20"/>
          <w:szCs w:val="20"/>
        </w:rPr>
        <w:t>APROBACIÓN</w:t>
      </w:r>
      <w:r w:rsidRPr="00531B12">
        <w:rPr>
          <w:rFonts w:ascii="Abadi" w:hAnsi="Abadi"/>
          <w:b/>
          <w:bCs/>
          <w:spacing w:val="10"/>
          <w:sz w:val="20"/>
          <w:szCs w:val="20"/>
        </w:rPr>
        <w:t xml:space="preserve"> </w:t>
      </w:r>
      <w:r w:rsidRPr="00531B12">
        <w:rPr>
          <w:rFonts w:ascii="Abadi" w:hAnsi="Abadi"/>
          <w:b/>
          <w:bCs/>
          <w:sz w:val="20"/>
          <w:szCs w:val="20"/>
        </w:rPr>
        <w:t>DEL</w:t>
      </w:r>
      <w:r w:rsidRPr="00531B12">
        <w:rPr>
          <w:rFonts w:ascii="Abadi" w:hAnsi="Abadi"/>
          <w:b/>
          <w:bCs/>
          <w:spacing w:val="10"/>
          <w:sz w:val="20"/>
          <w:szCs w:val="20"/>
        </w:rPr>
        <w:t xml:space="preserve"> </w:t>
      </w:r>
      <w:r w:rsidRPr="00531B12">
        <w:rPr>
          <w:rFonts w:ascii="Abadi" w:hAnsi="Abadi"/>
          <w:b/>
          <w:bCs/>
          <w:sz w:val="20"/>
          <w:szCs w:val="20"/>
        </w:rPr>
        <w:t>DICTAMEN</w:t>
      </w:r>
      <w:r w:rsidRPr="00531B12">
        <w:rPr>
          <w:rFonts w:ascii="Abadi" w:hAnsi="Abadi"/>
          <w:b/>
          <w:bCs/>
          <w:spacing w:val="10"/>
          <w:sz w:val="20"/>
          <w:szCs w:val="20"/>
        </w:rPr>
        <w:t xml:space="preserve"> </w:t>
      </w:r>
      <w:r w:rsidRPr="00531B12">
        <w:rPr>
          <w:rFonts w:ascii="Abadi" w:hAnsi="Abadi"/>
          <w:b/>
          <w:bCs/>
          <w:sz w:val="20"/>
          <w:szCs w:val="20"/>
        </w:rPr>
        <w:t>SUSCRITO</w:t>
      </w:r>
      <w:r w:rsidRPr="00531B12">
        <w:rPr>
          <w:rFonts w:ascii="Abadi" w:hAnsi="Abadi"/>
          <w:b/>
          <w:bCs/>
          <w:spacing w:val="11"/>
          <w:sz w:val="20"/>
          <w:szCs w:val="20"/>
        </w:rPr>
        <w:t xml:space="preserve"> </w:t>
      </w:r>
      <w:r w:rsidRPr="00531B12">
        <w:rPr>
          <w:rFonts w:ascii="Abadi" w:hAnsi="Abadi"/>
          <w:b/>
          <w:bCs/>
          <w:sz w:val="20"/>
          <w:szCs w:val="20"/>
        </w:rPr>
        <w:t>POR</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COMISIÓN</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4"/>
          <w:sz w:val="20"/>
          <w:szCs w:val="20"/>
        </w:rPr>
        <w:t xml:space="preserve"> </w:t>
      </w:r>
      <w:r w:rsidRPr="00531B12">
        <w:rPr>
          <w:rFonts w:ascii="Abadi" w:hAnsi="Abadi"/>
          <w:b/>
          <w:bCs/>
          <w:sz w:val="20"/>
          <w:szCs w:val="20"/>
        </w:rPr>
        <w:t>GOBERNACIÓN</w:t>
      </w:r>
      <w:r w:rsidRPr="00531B12">
        <w:rPr>
          <w:rFonts w:ascii="Abadi" w:hAnsi="Abadi"/>
          <w:b/>
          <w:bCs/>
          <w:spacing w:val="4"/>
          <w:sz w:val="20"/>
          <w:szCs w:val="20"/>
        </w:rPr>
        <w:t xml:space="preserve"> </w:t>
      </w:r>
      <w:r w:rsidRPr="00531B12">
        <w:rPr>
          <w:rFonts w:ascii="Abadi" w:hAnsi="Abadi"/>
          <w:b/>
          <w:bCs/>
          <w:sz w:val="20"/>
          <w:szCs w:val="20"/>
        </w:rPr>
        <w:t>Y</w:t>
      </w:r>
      <w:r w:rsidRPr="00531B12">
        <w:rPr>
          <w:rFonts w:ascii="Abadi" w:hAnsi="Abadi"/>
          <w:b/>
          <w:bCs/>
          <w:spacing w:val="4"/>
          <w:sz w:val="20"/>
          <w:szCs w:val="20"/>
        </w:rPr>
        <w:t xml:space="preserve"> </w:t>
      </w:r>
      <w:r w:rsidRPr="00531B12">
        <w:rPr>
          <w:rFonts w:ascii="Abadi" w:hAnsi="Abadi"/>
          <w:b/>
          <w:bCs/>
          <w:sz w:val="20"/>
          <w:szCs w:val="20"/>
        </w:rPr>
        <w:t>PUNTOS</w:t>
      </w:r>
      <w:r w:rsidRPr="00531B12">
        <w:rPr>
          <w:rFonts w:ascii="Abadi" w:hAnsi="Abadi"/>
          <w:b/>
          <w:bCs/>
          <w:spacing w:val="4"/>
          <w:sz w:val="20"/>
          <w:szCs w:val="20"/>
        </w:rPr>
        <w:t xml:space="preserve"> </w:t>
      </w:r>
      <w:r w:rsidRPr="00531B12">
        <w:rPr>
          <w:rFonts w:ascii="Abadi" w:hAnsi="Abadi"/>
          <w:b/>
          <w:bCs/>
          <w:sz w:val="20"/>
          <w:szCs w:val="20"/>
        </w:rPr>
        <w:t>CONSTITUCIONALES</w:t>
      </w:r>
      <w:r w:rsidRPr="00531B12">
        <w:rPr>
          <w:rFonts w:ascii="Abadi" w:hAnsi="Abadi"/>
          <w:b/>
          <w:bCs/>
          <w:spacing w:val="3"/>
          <w:sz w:val="20"/>
          <w:szCs w:val="20"/>
        </w:rPr>
        <w:t xml:space="preserve"> </w:t>
      </w:r>
      <w:r w:rsidRPr="00531B12">
        <w:rPr>
          <w:rFonts w:ascii="Abadi" w:hAnsi="Abadi"/>
          <w:b/>
          <w:bCs/>
          <w:sz w:val="20"/>
          <w:szCs w:val="20"/>
        </w:rPr>
        <w:t>RELATIVO</w:t>
      </w:r>
      <w:r w:rsidRPr="00531B12">
        <w:rPr>
          <w:rFonts w:ascii="Abadi" w:hAnsi="Abadi"/>
          <w:b/>
          <w:bCs/>
          <w:spacing w:val="4"/>
          <w:sz w:val="20"/>
          <w:szCs w:val="20"/>
        </w:rPr>
        <w:t xml:space="preserve"> </w:t>
      </w:r>
      <w:r w:rsidRPr="00531B12">
        <w:rPr>
          <w:rFonts w:ascii="Abadi" w:hAnsi="Abadi"/>
          <w:b/>
          <w:bCs/>
          <w:sz w:val="20"/>
          <w:szCs w:val="20"/>
        </w:rPr>
        <w:t>A</w:t>
      </w:r>
      <w:r w:rsidRPr="00531B12">
        <w:rPr>
          <w:rFonts w:ascii="Abadi" w:hAnsi="Abadi"/>
          <w:b/>
          <w:bCs/>
          <w:spacing w:val="4"/>
          <w:sz w:val="20"/>
          <w:szCs w:val="20"/>
        </w:rPr>
        <w:t xml:space="preserve"> </w:t>
      </w:r>
      <w:r w:rsidRPr="00531B12">
        <w:rPr>
          <w:rFonts w:ascii="Abadi" w:hAnsi="Abadi"/>
          <w:b/>
          <w:bCs/>
          <w:sz w:val="20"/>
          <w:szCs w:val="20"/>
        </w:rPr>
        <w:t>LA</w:t>
      </w:r>
      <w:r w:rsidRPr="00531B12">
        <w:rPr>
          <w:rFonts w:ascii="Abadi" w:hAnsi="Abadi"/>
          <w:b/>
          <w:bCs/>
          <w:spacing w:val="4"/>
          <w:sz w:val="20"/>
          <w:szCs w:val="20"/>
        </w:rPr>
        <w:t xml:space="preserve"> </w:t>
      </w:r>
      <w:r w:rsidRPr="00531B12">
        <w:rPr>
          <w:rFonts w:ascii="Abadi" w:hAnsi="Abadi"/>
          <w:b/>
          <w:bCs/>
          <w:sz w:val="20"/>
          <w:szCs w:val="20"/>
        </w:rPr>
        <w:t>PROPUESTA</w:t>
      </w:r>
      <w:r w:rsidRPr="00531B12">
        <w:rPr>
          <w:rFonts w:ascii="Abadi" w:hAnsi="Abadi"/>
          <w:b/>
          <w:bCs/>
          <w:spacing w:val="4"/>
          <w:sz w:val="20"/>
          <w:szCs w:val="20"/>
        </w:rPr>
        <w:t xml:space="preserve"> </w:t>
      </w:r>
      <w:r w:rsidRPr="00531B12">
        <w:rPr>
          <w:rFonts w:ascii="Abadi" w:hAnsi="Abadi"/>
          <w:b/>
          <w:bCs/>
          <w:sz w:val="20"/>
          <w:szCs w:val="20"/>
        </w:rPr>
        <w:t>DE</w:t>
      </w:r>
      <w:r w:rsidRPr="00531B12">
        <w:rPr>
          <w:rFonts w:ascii="Abadi" w:hAnsi="Abadi"/>
          <w:b/>
          <w:bCs/>
          <w:spacing w:val="4"/>
          <w:sz w:val="20"/>
          <w:szCs w:val="20"/>
        </w:rPr>
        <w:t xml:space="preserve"> </w:t>
      </w:r>
      <w:r w:rsidRPr="00531B12">
        <w:rPr>
          <w:rFonts w:ascii="Abadi" w:hAnsi="Abadi"/>
          <w:b/>
          <w:bCs/>
          <w:sz w:val="20"/>
          <w:szCs w:val="20"/>
        </w:rPr>
        <w:t>PUNTO</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57"/>
          <w:sz w:val="20"/>
          <w:szCs w:val="20"/>
        </w:rPr>
        <w:t xml:space="preserve"> </w:t>
      </w:r>
      <w:r w:rsidRPr="00531B12">
        <w:rPr>
          <w:rFonts w:ascii="Abadi" w:hAnsi="Abadi"/>
          <w:b/>
          <w:bCs/>
          <w:sz w:val="20"/>
          <w:szCs w:val="20"/>
        </w:rPr>
        <w:t>ACUERDO</w:t>
      </w:r>
      <w:r w:rsidRPr="00531B12">
        <w:rPr>
          <w:rFonts w:ascii="Abadi" w:hAnsi="Abadi"/>
          <w:b/>
          <w:bCs/>
          <w:spacing w:val="57"/>
          <w:sz w:val="20"/>
          <w:szCs w:val="20"/>
        </w:rPr>
        <w:t xml:space="preserve"> </w:t>
      </w:r>
      <w:r w:rsidRPr="00531B12">
        <w:rPr>
          <w:rFonts w:ascii="Abadi" w:hAnsi="Abadi"/>
          <w:b/>
          <w:bCs/>
          <w:sz w:val="20"/>
          <w:szCs w:val="20"/>
        </w:rPr>
        <w:t>FORMULADA</w:t>
      </w:r>
      <w:r w:rsidRPr="00531B12">
        <w:rPr>
          <w:rFonts w:ascii="Abadi" w:hAnsi="Abadi"/>
          <w:b/>
          <w:bCs/>
          <w:spacing w:val="57"/>
          <w:sz w:val="20"/>
          <w:szCs w:val="20"/>
        </w:rPr>
        <w:t xml:space="preserve"> </w:t>
      </w:r>
      <w:r w:rsidRPr="00531B12">
        <w:rPr>
          <w:rFonts w:ascii="Abadi" w:hAnsi="Abadi"/>
          <w:b/>
          <w:bCs/>
          <w:sz w:val="20"/>
          <w:szCs w:val="20"/>
        </w:rPr>
        <w:t>POR</w:t>
      </w:r>
      <w:r w:rsidRPr="00531B12">
        <w:rPr>
          <w:rFonts w:ascii="Abadi" w:hAnsi="Abadi"/>
          <w:b/>
          <w:bCs/>
          <w:spacing w:val="57"/>
          <w:sz w:val="20"/>
          <w:szCs w:val="20"/>
        </w:rPr>
        <w:t xml:space="preserve"> </w:t>
      </w:r>
      <w:r w:rsidRPr="00531B12">
        <w:rPr>
          <w:rFonts w:ascii="Abadi" w:hAnsi="Abadi"/>
          <w:b/>
          <w:bCs/>
          <w:sz w:val="20"/>
          <w:szCs w:val="20"/>
        </w:rPr>
        <w:t>DIPUTADAS</w:t>
      </w:r>
      <w:r w:rsidRPr="00531B12">
        <w:rPr>
          <w:rFonts w:ascii="Abadi" w:hAnsi="Abadi"/>
          <w:b/>
          <w:bCs/>
          <w:spacing w:val="57"/>
          <w:sz w:val="20"/>
          <w:szCs w:val="20"/>
        </w:rPr>
        <w:t xml:space="preserve"> </w:t>
      </w:r>
      <w:r w:rsidRPr="00531B12">
        <w:rPr>
          <w:rFonts w:ascii="Abadi" w:hAnsi="Abadi"/>
          <w:b/>
          <w:bCs/>
          <w:sz w:val="20"/>
          <w:szCs w:val="20"/>
        </w:rPr>
        <w:t>Y</w:t>
      </w:r>
      <w:r w:rsidRPr="00531B12">
        <w:rPr>
          <w:rFonts w:ascii="Abadi" w:hAnsi="Abadi"/>
          <w:b/>
          <w:bCs/>
          <w:spacing w:val="57"/>
          <w:sz w:val="20"/>
          <w:szCs w:val="20"/>
        </w:rPr>
        <w:t xml:space="preserve"> </w:t>
      </w:r>
      <w:r w:rsidRPr="00531B12">
        <w:rPr>
          <w:rFonts w:ascii="Abadi" w:hAnsi="Abadi"/>
          <w:b/>
          <w:bCs/>
          <w:sz w:val="20"/>
          <w:szCs w:val="20"/>
        </w:rPr>
        <w:t>DIPUTADOS</w:t>
      </w:r>
      <w:r w:rsidRPr="00531B12">
        <w:rPr>
          <w:rFonts w:ascii="Abadi" w:hAnsi="Abadi"/>
          <w:b/>
          <w:bCs/>
          <w:spacing w:val="57"/>
          <w:sz w:val="20"/>
          <w:szCs w:val="20"/>
        </w:rPr>
        <w:t xml:space="preserve"> </w:t>
      </w:r>
      <w:r w:rsidRPr="00531B12">
        <w:rPr>
          <w:rFonts w:ascii="Abadi" w:hAnsi="Abadi"/>
          <w:b/>
          <w:bCs/>
          <w:sz w:val="20"/>
          <w:szCs w:val="20"/>
        </w:rPr>
        <w:t>INTEGRANTES</w:t>
      </w:r>
      <w:r w:rsidRPr="00531B12">
        <w:rPr>
          <w:rFonts w:ascii="Abadi" w:hAnsi="Abadi"/>
          <w:b/>
          <w:bCs/>
          <w:spacing w:val="57"/>
          <w:sz w:val="20"/>
          <w:szCs w:val="20"/>
        </w:rPr>
        <w:t xml:space="preserve"> </w:t>
      </w:r>
      <w:r w:rsidRPr="00531B12">
        <w:rPr>
          <w:rFonts w:ascii="Abadi" w:hAnsi="Abadi"/>
          <w:b/>
          <w:bCs/>
          <w:sz w:val="20"/>
          <w:szCs w:val="20"/>
        </w:rPr>
        <w:t>DEL</w:t>
      </w:r>
      <w:r w:rsidRPr="00531B12">
        <w:rPr>
          <w:rFonts w:ascii="Abadi" w:hAnsi="Abadi"/>
          <w:b/>
          <w:bCs/>
          <w:spacing w:val="57"/>
          <w:sz w:val="20"/>
          <w:szCs w:val="20"/>
        </w:rPr>
        <w:t xml:space="preserve"> </w:t>
      </w:r>
      <w:r w:rsidRPr="00531B12">
        <w:rPr>
          <w:rFonts w:ascii="Abadi" w:hAnsi="Abadi"/>
          <w:b/>
          <w:bCs/>
          <w:sz w:val="20"/>
          <w:szCs w:val="20"/>
        </w:rPr>
        <w:t>GRUPO</w:t>
      </w:r>
      <w:r w:rsidRPr="00531B12">
        <w:rPr>
          <w:rFonts w:ascii="Abadi" w:hAnsi="Abadi"/>
          <w:b/>
          <w:bCs/>
          <w:spacing w:val="-2"/>
          <w:sz w:val="20"/>
          <w:szCs w:val="20"/>
        </w:rPr>
        <w:t xml:space="preserve"> </w:t>
      </w:r>
      <w:r w:rsidRPr="00531B12">
        <w:rPr>
          <w:rFonts w:ascii="Abadi" w:hAnsi="Abadi"/>
          <w:b/>
          <w:bCs/>
          <w:sz w:val="20"/>
          <w:szCs w:val="20"/>
        </w:rPr>
        <w:t>PARLAMENTARIO</w:t>
      </w:r>
      <w:r w:rsidRPr="00531B12">
        <w:rPr>
          <w:rFonts w:ascii="Abadi" w:hAnsi="Abadi"/>
          <w:b/>
          <w:bCs/>
          <w:spacing w:val="12"/>
          <w:sz w:val="20"/>
          <w:szCs w:val="20"/>
        </w:rPr>
        <w:t xml:space="preserve"> </w:t>
      </w:r>
      <w:r w:rsidRPr="00531B12">
        <w:rPr>
          <w:rFonts w:ascii="Abadi" w:hAnsi="Abadi"/>
          <w:b/>
          <w:bCs/>
          <w:sz w:val="20"/>
          <w:szCs w:val="20"/>
        </w:rPr>
        <w:t>DEL</w:t>
      </w:r>
      <w:r w:rsidRPr="00531B12">
        <w:rPr>
          <w:rFonts w:ascii="Abadi" w:hAnsi="Abadi"/>
          <w:b/>
          <w:bCs/>
          <w:spacing w:val="11"/>
          <w:sz w:val="20"/>
          <w:szCs w:val="20"/>
        </w:rPr>
        <w:t xml:space="preserve"> </w:t>
      </w:r>
      <w:r w:rsidRPr="00531B12">
        <w:rPr>
          <w:rFonts w:ascii="Abadi" w:hAnsi="Abadi"/>
          <w:b/>
          <w:bCs/>
          <w:sz w:val="20"/>
          <w:szCs w:val="20"/>
        </w:rPr>
        <w:t>PARTIDO</w:t>
      </w:r>
      <w:r w:rsidRPr="00531B12">
        <w:rPr>
          <w:rFonts w:ascii="Abadi" w:hAnsi="Abadi"/>
          <w:b/>
          <w:bCs/>
          <w:spacing w:val="12"/>
          <w:sz w:val="20"/>
          <w:szCs w:val="20"/>
        </w:rPr>
        <w:t xml:space="preserve"> </w:t>
      </w:r>
      <w:r w:rsidRPr="00531B12">
        <w:rPr>
          <w:rFonts w:ascii="Abadi" w:hAnsi="Abadi"/>
          <w:b/>
          <w:bCs/>
          <w:sz w:val="20"/>
          <w:szCs w:val="20"/>
        </w:rPr>
        <w:t>MORENA</w:t>
      </w:r>
      <w:r w:rsidRPr="00531B12">
        <w:rPr>
          <w:rFonts w:ascii="Abadi" w:hAnsi="Abadi"/>
          <w:b/>
          <w:bCs/>
          <w:spacing w:val="12"/>
          <w:sz w:val="20"/>
          <w:szCs w:val="20"/>
        </w:rPr>
        <w:t xml:space="preserve"> </w:t>
      </w:r>
      <w:r w:rsidRPr="00531B12">
        <w:rPr>
          <w:rFonts w:ascii="Abadi" w:hAnsi="Abadi"/>
          <w:b/>
          <w:bCs/>
          <w:sz w:val="20"/>
          <w:szCs w:val="20"/>
        </w:rPr>
        <w:t>A</w:t>
      </w:r>
      <w:r w:rsidRPr="00531B12">
        <w:rPr>
          <w:rFonts w:ascii="Abadi" w:hAnsi="Abadi"/>
          <w:b/>
          <w:bCs/>
          <w:spacing w:val="10"/>
          <w:sz w:val="20"/>
          <w:szCs w:val="20"/>
        </w:rPr>
        <w:t xml:space="preserve"> </w:t>
      </w:r>
      <w:r w:rsidRPr="00531B12">
        <w:rPr>
          <w:rFonts w:ascii="Abadi" w:hAnsi="Abadi"/>
          <w:b/>
          <w:bCs/>
          <w:sz w:val="20"/>
          <w:szCs w:val="20"/>
        </w:rPr>
        <w:t>EFECTO</w:t>
      </w:r>
      <w:r w:rsidRPr="00531B12">
        <w:rPr>
          <w:rFonts w:ascii="Abadi" w:hAnsi="Abadi"/>
          <w:b/>
          <w:bCs/>
          <w:spacing w:val="11"/>
          <w:sz w:val="20"/>
          <w:szCs w:val="20"/>
        </w:rPr>
        <w:t xml:space="preserve"> </w:t>
      </w:r>
      <w:r w:rsidRPr="00531B12">
        <w:rPr>
          <w:rFonts w:ascii="Abadi" w:hAnsi="Abadi"/>
          <w:b/>
          <w:bCs/>
          <w:sz w:val="20"/>
          <w:szCs w:val="20"/>
        </w:rPr>
        <w:t>DE</w:t>
      </w:r>
      <w:r w:rsidRPr="00531B12">
        <w:rPr>
          <w:rFonts w:ascii="Abadi" w:hAnsi="Abadi"/>
          <w:b/>
          <w:bCs/>
          <w:spacing w:val="11"/>
          <w:sz w:val="20"/>
          <w:szCs w:val="20"/>
        </w:rPr>
        <w:t xml:space="preserve"> </w:t>
      </w:r>
      <w:r w:rsidRPr="00531B12">
        <w:rPr>
          <w:rFonts w:ascii="Abadi" w:hAnsi="Abadi"/>
          <w:b/>
          <w:bCs/>
          <w:sz w:val="20"/>
          <w:szCs w:val="20"/>
        </w:rPr>
        <w:t>EXHORTAR</w:t>
      </w:r>
      <w:r w:rsidRPr="00531B12">
        <w:rPr>
          <w:rFonts w:ascii="Abadi" w:hAnsi="Abadi"/>
          <w:b/>
          <w:bCs/>
          <w:spacing w:val="11"/>
          <w:sz w:val="20"/>
          <w:szCs w:val="20"/>
        </w:rPr>
        <w:t xml:space="preserve"> </w:t>
      </w:r>
      <w:r w:rsidRPr="00531B12">
        <w:rPr>
          <w:rFonts w:ascii="Abadi" w:hAnsi="Abadi"/>
          <w:b/>
          <w:bCs/>
          <w:sz w:val="20"/>
          <w:szCs w:val="20"/>
        </w:rPr>
        <w:t>AL</w:t>
      </w:r>
      <w:r w:rsidRPr="00531B12">
        <w:rPr>
          <w:rFonts w:ascii="Abadi" w:hAnsi="Abadi"/>
          <w:b/>
          <w:bCs/>
          <w:spacing w:val="11"/>
          <w:sz w:val="20"/>
          <w:szCs w:val="20"/>
        </w:rPr>
        <w:t xml:space="preserve"> </w:t>
      </w:r>
      <w:r w:rsidRPr="00531B12">
        <w:rPr>
          <w:rFonts w:ascii="Abadi" w:hAnsi="Abadi"/>
          <w:b/>
          <w:bCs/>
          <w:sz w:val="20"/>
          <w:szCs w:val="20"/>
        </w:rPr>
        <w:t>FISCAL</w:t>
      </w:r>
      <w:r w:rsidRPr="00531B12">
        <w:rPr>
          <w:rFonts w:ascii="Abadi" w:hAnsi="Abadi"/>
          <w:b/>
          <w:bCs/>
          <w:spacing w:val="11"/>
          <w:sz w:val="20"/>
          <w:szCs w:val="20"/>
        </w:rPr>
        <w:t xml:space="preserve"> </w:t>
      </w:r>
      <w:r w:rsidRPr="00531B12">
        <w:rPr>
          <w:rFonts w:ascii="Abadi" w:hAnsi="Abadi"/>
          <w:b/>
          <w:bCs/>
          <w:sz w:val="20"/>
          <w:szCs w:val="20"/>
        </w:rPr>
        <w:t>GENERAL</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8"/>
          <w:sz w:val="20"/>
          <w:szCs w:val="20"/>
        </w:rPr>
        <w:t xml:space="preserve"> </w:t>
      </w:r>
      <w:r w:rsidRPr="00531B12">
        <w:rPr>
          <w:rFonts w:ascii="Abadi" w:hAnsi="Abadi"/>
          <w:b/>
          <w:bCs/>
          <w:sz w:val="20"/>
          <w:szCs w:val="20"/>
        </w:rPr>
        <w:t>GUANAJUATO</w:t>
      </w:r>
      <w:r w:rsidRPr="00531B12">
        <w:rPr>
          <w:rFonts w:ascii="Abadi" w:hAnsi="Abadi"/>
          <w:b/>
          <w:bCs/>
          <w:spacing w:val="8"/>
          <w:sz w:val="20"/>
          <w:szCs w:val="20"/>
        </w:rPr>
        <w:t xml:space="preserve"> </w:t>
      </w:r>
      <w:r w:rsidRPr="00531B12">
        <w:rPr>
          <w:rFonts w:ascii="Abadi" w:hAnsi="Abadi"/>
          <w:b/>
          <w:bCs/>
          <w:sz w:val="20"/>
          <w:szCs w:val="20"/>
        </w:rPr>
        <w:t>CARLOS</w:t>
      </w:r>
      <w:r w:rsidRPr="00531B12">
        <w:rPr>
          <w:rFonts w:ascii="Abadi" w:hAnsi="Abadi"/>
          <w:b/>
          <w:bCs/>
          <w:spacing w:val="8"/>
          <w:sz w:val="20"/>
          <w:szCs w:val="20"/>
        </w:rPr>
        <w:t xml:space="preserve"> </w:t>
      </w:r>
      <w:r w:rsidRPr="00531B12">
        <w:rPr>
          <w:rFonts w:ascii="Abadi" w:hAnsi="Abadi"/>
          <w:b/>
          <w:bCs/>
          <w:sz w:val="20"/>
          <w:szCs w:val="20"/>
        </w:rPr>
        <w:t>ZAMARRIPA</w:t>
      </w:r>
      <w:r w:rsidRPr="00531B12">
        <w:rPr>
          <w:rFonts w:ascii="Abadi" w:hAnsi="Abadi"/>
          <w:b/>
          <w:bCs/>
          <w:spacing w:val="8"/>
          <w:sz w:val="20"/>
          <w:szCs w:val="20"/>
        </w:rPr>
        <w:t xml:space="preserve"> </w:t>
      </w:r>
      <w:r w:rsidRPr="00531B12">
        <w:rPr>
          <w:rFonts w:ascii="Abadi" w:hAnsi="Abadi"/>
          <w:b/>
          <w:bCs/>
          <w:sz w:val="20"/>
          <w:szCs w:val="20"/>
        </w:rPr>
        <w:t>PARA</w:t>
      </w:r>
      <w:r w:rsidRPr="00531B12">
        <w:rPr>
          <w:rFonts w:ascii="Abadi" w:hAnsi="Abadi"/>
          <w:b/>
          <w:bCs/>
          <w:spacing w:val="8"/>
          <w:sz w:val="20"/>
          <w:szCs w:val="20"/>
        </w:rPr>
        <w:t xml:space="preserve"> </w:t>
      </w:r>
      <w:r w:rsidRPr="00531B12">
        <w:rPr>
          <w:rFonts w:ascii="Abadi" w:hAnsi="Abadi"/>
          <w:b/>
          <w:bCs/>
          <w:sz w:val="20"/>
          <w:szCs w:val="20"/>
        </w:rPr>
        <w:t>QUE</w:t>
      </w:r>
      <w:r w:rsidRPr="00531B12">
        <w:rPr>
          <w:rFonts w:ascii="Abadi" w:hAnsi="Abadi"/>
          <w:b/>
          <w:bCs/>
          <w:spacing w:val="8"/>
          <w:sz w:val="20"/>
          <w:szCs w:val="20"/>
        </w:rPr>
        <w:t xml:space="preserve"> </w:t>
      </w:r>
      <w:r w:rsidRPr="00531B12">
        <w:rPr>
          <w:rFonts w:ascii="Abadi" w:hAnsi="Abadi"/>
          <w:b/>
          <w:bCs/>
          <w:sz w:val="20"/>
          <w:szCs w:val="20"/>
        </w:rPr>
        <w:t>LA</w:t>
      </w:r>
      <w:r w:rsidRPr="00531B12">
        <w:rPr>
          <w:rFonts w:ascii="Abadi" w:hAnsi="Abadi"/>
          <w:b/>
          <w:bCs/>
          <w:spacing w:val="8"/>
          <w:sz w:val="20"/>
          <w:szCs w:val="20"/>
        </w:rPr>
        <w:t xml:space="preserve"> </w:t>
      </w:r>
      <w:r w:rsidRPr="00531B12">
        <w:rPr>
          <w:rFonts w:ascii="Abadi" w:hAnsi="Abadi"/>
          <w:b/>
          <w:bCs/>
          <w:sz w:val="20"/>
          <w:szCs w:val="20"/>
        </w:rPr>
        <w:t>FISCALÍA</w:t>
      </w:r>
      <w:r w:rsidRPr="00531B12">
        <w:rPr>
          <w:rFonts w:ascii="Abadi" w:hAnsi="Abadi"/>
          <w:b/>
          <w:bCs/>
          <w:spacing w:val="8"/>
          <w:sz w:val="20"/>
          <w:szCs w:val="20"/>
        </w:rPr>
        <w:t xml:space="preserve"> </w:t>
      </w:r>
      <w:r w:rsidRPr="00531B12">
        <w:rPr>
          <w:rFonts w:ascii="Abadi" w:hAnsi="Abadi"/>
          <w:b/>
          <w:bCs/>
          <w:sz w:val="20"/>
          <w:szCs w:val="20"/>
        </w:rPr>
        <w:t>A</w:t>
      </w:r>
      <w:r w:rsidRPr="00531B12">
        <w:rPr>
          <w:rFonts w:ascii="Abadi" w:hAnsi="Abadi"/>
          <w:b/>
          <w:bCs/>
          <w:spacing w:val="8"/>
          <w:sz w:val="20"/>
          <w:szCs w:val="20"/>
        </w:rPr>
        <w:t xml:space="preserve"> </w:t>
      </w:r>
      <w:r w:rsidRPr="00531B12">
        <w:rPr>
          <w:rFonts w:ascii="Abadi" w:hAnsi="Abadi"/>
          <w:b/>
          <w:bCs/>
          <w:sz w:val="20"/>
          <w:szCs w:val="20"/>
        </w:rPr>
        <w:t>SU</w:t>
      </w:r>
      <w:r w:rsidRPr="00531B12">
        <w:rPr>
          <w:rFonts w:ascii="Abadi" w:hAnsi="Abadi"/>
          <w:b/>
          <w:bCs/>
          <w:spacing w:val="8"/>
          <w:sz w:val="20"/>
          <w:szCs w:val="20"/>
        </w:rPr>
        <w:t xml:space="preserve"> </w:t>
      </w:r>
      <w:r w:rsidRPr="00531B12">
        <w:rPr>
          <w:rFonts w:ascii="Abadi" w:hAnsi="Abadi"/>
          <w:b/>
          <w:bCs/>
          <w:sz w:val="20"/>
          <w:szCs w:val="20"/>
        </w:rPr>
        <w:t>CARGO</w:t>
      </w:r>
      <w:r w:rsidRPr="00531B12">
        <w:rPr>
          <w:rFonts w:ascii="Abadi" w:hAnsi="Abadi"/>
          <w:b/>
          <w:bCs/>
          <w:spacing w:val="8"/>
          <w:sz w:val="20"/>
          <w:szCs w:val="20"/>
        </w:rPr>
        <w:t xml:space="preserve"> </w:t>
      </w:r>
      <w:r w:rsidRPr="00531B12">
        <w:rPr>
          <w:rFonts w:ascii="Abadi" w:hAnsi="Abadi"/>
          <w:b/>
          <w:bCs/>
          <w:sz w:val="20"/>
          <w:szCs w:val="20"/>
        </w:rPr>
        <w:t>OBRE</w:t>
      </w:r>
      <w:r w:rsidRPr="00531B12">
        <w:rPr>
          <w:rFonts w:ascii="Abadi" w:hAnsi="Abadi"/>
          <w:b/>
          <w:bCs/>
          <w:spacing w:val="8"/>
          <w:sz w:val="20"/>
          <w:szCs w:val="20"/>
        </w:rPr>
        <w:t xml:space="preserve"> </w:t>
      </w:r>
      <w:r w:rsidRPr="00531B12">
        <w:rPr>
          <w:rFonts w:ascii="Abadi" w:hAnsi="Abadi"/>
          <w:b/>
          <w:bCs/>
          <w:sz w:val="20"/>
          <w:szCs w:val="20"/>
        </w:rPr>
        <w:t>BAJO</w:t>
      </w:r>
      <w:r w:rsidRPr="00531B12">
        <w:rPr>
          <w:rFonts w:ascii="Abadi" w:hAnsi="Abadi"/>
          <w:b/>
          <w:bCs/>
          <w:spacing w:val="-2"/>
          <w:sz w:val="20"/>
          <w:szCs w:val="20"/>
        </w:rPr>
        <w:t xml:space="preserve"> </w:t>
      </w:r>
      <w:r w:rsidRPr="00531B12">
        <w:rPr>
          <w:rFonts w:ascii="Abadi" w:hAnsi="Abadi"/>
          <w:b/>
          <w:bCs/>
          <w:sz w:val="20"/>
          <w:szCs w:val="20"/>
        </w:rPr>
        <w:t>EL</w:t>
      </w:r>
      <w:r w:rsidRPr="00531B12">
        <w:rPr>
          <w:rFonts w:ascii="Abadi" w:hAnsi="Abadi"/>
          <w:b/>
          <w:bCs/>
          <w:spacing w:val="7"/>
          <w:sz w:val="20"/>
          <w:szCs w:val="20"/>
        </w:rPr>
        <w:t xml:space="preserve"> </w:t>
      </w:r>
      <w:r w:rsidRPr="00531B12">
        <w:rPr>
          <w:rFonts w:ascii="Abadi" w:hAnsi="Abadi"/>
          <w:b/>
          <w:bCs/>
          <w:sz w:val="20"/>
          <w:szCs w:val="20"/>
        </w:rPr>
        <w:t>PRINCIPIO</w:t>
      </w:r>
      <w:r w:rsidRPr="00531B12">
        <w:rPr>
          <w:rFonts w:ascii="Abadi" w:hAnsi="Abadi"/>
          <w:b/>
          <w:bCs/>
          <w:spacing w:val="8"/>
          <w:sz w:val="20"/>
          <w:szCs w:val="20"/>
        </w:rPr>
        <w:t xml:space="preserve"> </w:t>
      </w:r>
      <w:r w:rsidRPr="00531B12">
        <w:rPr>
          <w:rFonts w:ascii="Abadi" w:hAnsi="Abadi"/>
          <w:b/>
          <w:bCs/>
          <w:sz w:val="20"/>
          <w:szCs w:val="20"/>
        </w:rPr>
        <w:t>DE</w:t>
      </w:r>
      <w:r w:rsidRPr="00531B12">
        <w:rPr>
          <w:rFonts w:ascii="Abadi" w:hAnsi="Abadi"/>
          <w:b/>
          <w:bCs/>
          <w:spacing w:val="8"/>
          <w:sz w:val="20"/>
          <w:szCs w:val="20"/>
        </w:rPr>
        <w:t xml:space="preserve"> </w:t>
      </w:r>
      <w:r w:rsidRPr="00531B12">
        <w:rPr>
          <w:rFonts w:ascii="Abadi" w:hAnsi="Abadi"/>
          <w:b/>
          <w:bCs/>
          <w:sz w:val="20"/>
          <w:szCs w:val="20"/>
        </w:rPr>
        <w:t>MÁXIMA</w:t>
      </w:r>
      <w:r w:rsidRPr="00531B12">
        <w:rPr>
          <w:rFonts w:ascii="Abadi" w:hAnsi="Abadi"/>
          <w:b/>
          <w:bCs/>
          <w:spacing w:val="8"/>
          <w:sz w:val="20"/>
          <w:szCs w:val="20"/>
        </w:rPr>
        <w:t xml:space="preserve"> </w:t>
      </w:r>
      <w:r w:rsidRPr="00531B12">
        <w:rPr>
          <w:rFonts w:ascii="Abadi" w:hAnsi="Abadi"/>
          <w:b/>
          <w:bCs/>
          <w:sz w:val="20"/>
          <w:szCs w:val="20"/>
        </w:rPr>
        <w:t>PUBLICIDAD</w:t>
      </w:r>
      <w:r w:rsidRPr="00531B12">
        <w:rPr>
          <w:rFonts w:ascii="Abadi" w:hAnsi="Abadi"/>
          <w:b/>
          <w:bCs/>
          <w:spacing w:val="8"/>
          <w:sz w:val="20"/>
          <w:szCs w:val="20"/>
        </w:rPr>
        <w:t xml:space="preserve"> </w:t>
      </w:r>
      <w:r w:rsidRPr="00531B12">
        <w:rPr>
          <w:rFonts w:ascii="Abadi" w:hAnsi="Abadi"/>
          <w:b/>
          <w:bCs/>
          <w:sz w:val="20"/>
          <w:szCs w:val="20"/>
        </w:rPr>
        <w:t>CON</w:t>
      </w:r>
      <w:r w:rsidRPr="00531B12">
        <w:rPr>
          <w:rFonts w:ascii="Abadi" w:hAnsi="Abadi"/>
          <w:b/>
          <w:bCs/>
          <w:spacing w:val="8"/>
          <w:sz w:val="20"/>
          <w:szCs w:val="20"/>
        </w:rPr>
        <w:t xml:space="preserve"> </w:t>
      </w:r>
      <w:r w:rsidRPr="00531B12">
        <w:rPr>
          <w:rFonts w:ascii="Abadi" w:hAnsi="Abadi"/>
          <w:b/>
          <w:bCs/>
          <w:sz w:val="20"/>
          <w:szCs w:val="20"/>
        </w:rPr>
        <w:t>RESPECTO</w:t>
      </w:r>
      <w:r w:rsidRPr="00531B12">
        <w:rPr>
          <w:rFonts w:ascii="Abadi" w:hAnsi="Abadi"/>
          <w:b/>
          <w:bCs/>
          <w:spacing w:val="8"/>
          <w:sz w:val="20"/>
          <w:szCs w:val="20"/>
        </w:rPr>
        <w:t xml:space="preserve"> </w:t>
      </w:r>
      <w:r w:rsidRPr="00531B12">
        <w:rPr>
          <w:rFonts w:ascii="Abadi" w:hAnsi="Abadi"/>
          <w:b/>
          <w:bCs/>
          <w:sz w:val="20"/>
          <w:szCs w:val="20"/>
        </w:rPr>
        <w:t>AL</w:t>
      </w:r>
      <w:r w:rsidRPr="00531B12">
        <w:rPr>
          <w:rFonts w:ascii="Abadi" w:hAnsi="Abadi"/>
          <w:b/>
          <w:bCs/>
          <w:spacing w:val="7"/>
          <w:sz w:val="20"/>
          <w:szCs w:val="20"/>
        </w:rPr>
        <w:t xml:space="preserve"> </w:t>
      </w:r>
      <w:r w:rsidRPr="00531B12">
        <w:rPr>
          <w:rFonts w:ascii="Abadi" w:hAnsi="Abadi"/>
          <w:b/>
          <w:bCs/>
          <w:sz w:val="20"/>
          <w:szCs w:val="20"/>
        </w:rPr>
        <w:t>DERECHO</w:t>
      </w:r>
      <w:r w:rsidRPr="00531B12">
        <w:rPr>
          <w:rFonts w:ascii="Abadi" w:hAnsi="Abadi"/>
          <w:b/>
          <w:bCs/>
          <w:spacing w:val="8"/>
          <w:sz w:val="20"/>
          <w:szCs w:val="20"/>
        </w:rPr>
        <w:t xml:space="preserve"> </w:t>
      </w:r>
      <w:r w:rsidRPr="00531B12">
        <w:rPr>
          <w:rFonts w:ascii="Abadi" w:hAnsi="Abadi"/>
          <w:b/>
          <w:bCs/>
          <w:sz w:val="20"/>
          <w:szCs w:val="20"/>
        </w:rPr>
        <w:t>A</w:t>
      </w:r>
      <w:r w:rsidRPr="00531B12">
        <w:rPr>
          <w:rFonts w:ascii="Abadi" w:hAnsi="Abadi"/>
          <w:b/>
          <w:bCs/>
          <w:spacing w:val="8"/>
          <w:sz w:val="20"/>
          <w:szCs w:val="20"/>
        </w:rPr>
        <w:t xml:space="preserve"> </w:t>
      </w:r>
      <w:r w:rsidRPr="00531B12">
        <w:rPr>
          <w:rFonts w:ascii="Abadi" w:hAnsi="Abadi"/>
          <w:b/>
          <w:bCs/>
          <w:sz w:val="20"/>
          <w:szCs w:val="20"/>
        </w:rPr>
        <w:t>LA</w:t>
      </w:r>
      <w:r w:rsidRPr="00531B12">
        <w:rPr>
          <w:rFonts w:ascii="Abadi" w:hAnsi="Abadi"/>
          <w:b/>
          <w:bCs/>
          <w:spacing w:val="8"/>
          <w:sz w:val="20"/>
          <w:szCs w:val="20"/>
        </w:rPr>
        <w:t xml:space="preserve"> </w:t>
      </w:r>
      <w:r w:rsidRPr="00531B12">
        <w:rPr>
          <w:rFonts w:ascii="Abadi" w:hAnsi="Abadi"/>
          <w:b/>
          <w:bCs/>
          <w:sz w:val="20"/>
          <w:szCs w:val="20"/>
        </w:rPr>
        <w:t>INFORMACIÓN</w:t>
      </w:r>
      <w:r w:rsidRPr="00531B12">
        <w:rPr>
          <w:rFonts w:ascii="Abadi" w:hAnsi="Abadi"/>
          <w:b/>
          <w:bCs/>
          <w:spacing w:val="-2"/>
          <w:sz w:val="20"/>
          <w:szCs w:val="20"/>
        </w:rPr>
        <w:t xml:space="preserve"> </w:t>
      </w:r>
      <w:r w:rsidRPr="00531B12">
        <w:rPr>
          <w:rFonts w:ascii="Abadi" w:hAnsi="Abadi"/>
          <w:b/>
          <w:bCs/>
          <w:sz w:val="20"/>
          <w:szCs w:val="20"/>
        </w:rPr>
        <w:t>SOBRE</w:t>
      </w:r>
      <w:r w:rsidRPr="00531B12">
        <w:rPr>
          <w:rFonts w:ascii="Abadi" w:hAnsi="Abadi"/>
          <w:b/>
          <w:bCs/>
          <w:spacing w:val="33"/>
          <w:sz w:val="20"/>
          <w:szCs w:val="20"/>
        </w:rPr>
        <w:t xml:space="preserve"> </w:t>
      </w:r>
      <w:r w:rsidRPr="00531B12">
        <w:rPr>
          <w:rFonts w:ascii="Abadi" w:hAnsi="Abadi"/>
          <w:b/>
          <w:bCs/>
          <w:sz w:val="20"/>
          <w:szCs w:val="20"/>
        </w:rPr>
        <w:t>TODOS</w:t>
      </w:r>
      <w:r w:rsidRPr="00531B12">
        <w:rPr>
          <w:rFonts w:ascii="Abadi" w:hAnsi="Abadi"/>
          <w:b/>
          <w:bCs/>
          <w:spacing w:val="33"/>
          <w:sz w:val="20"/>
          <w:szCs w:val="20"/>
        </w:rPr>
        <w:t xml:space="preserve"> </w:t>
      </w:r>
      <w:r w:rsidRPr="00531B12">
        <w:rPr>
          <w:rFonts w:ascii="Abadi" w:hAnsi="Abadi"/>
          <w:b/>
          <w:bCs/>
          <w:sz w:val="20"/>
          <w:szCs w:val="20"/>
        </w:rPr>
        <w:t>LOS</w:t>
      </w:r>
      <w:r w:rsidRPr="00531B12">
        <w:rPr>
          <w:rFonts w:ascii="Abadi" w:hAnsi="Abadi"/>
          <w:b/>
          <w:bCs/>
          <w:spacing w:val="33"/>
          <w:sz w:val="20"/>
          <w:szCs w:val="20"/>
        </w:rPr>
        <w:t xml:space="preserve"> </w:t>
      </w:r>
      <w:r w:rsidRPr="00531B12">
        <w:rPr>
          <w:rFonts w:ascii="Abadi" w:hAnsi="Abadi"/>
          <w:b/>
          <w:bCs/>
          <w:sz w:val="20"/>
          <w:szCs w:val="20"/>
        </w:rPr>
        <w:t>CONTEXTOS</w:t>
      </w:r>
      <w:r w:rsidRPr="00531B12">
        <w:rPr>
          <w:rFonts w:ascii="Abadi" w:hAnsi="Abadi"/>
          <w:b/>
          <w:bCs/>
          <w:spacing w:val="33"/>
          <w:sz w:val="20"/>
          <w:szCs w:val="20"/>
        </w:rPr>
        <w:t xml:space="preserve"> </w:t>
      </w:r>
      <w:r w:rsidRPr="00531B12">
        <w:rPr>
          <w:rFonts w:ascii="Abadi" w:hAnsi="Abadi"/>
          <w:b/>
          <w:bCs/>
          <w:sz w:val="20"/>
          <w:szCs w:val="20"/>
        </w:rPr>
        <w:t>DE</w:t>
      </w:r>
      <w:r w:rsidRPr="00531B12">
        <w:rPr>
          <w:rFonts w:ascii="Abadi" w:hAnsi="Abadi"/>
          <w:b/>
          <w:bCs/>
          <w:spacing w:val="33"/>
          <w:sz w:val="20"/>
          <w:szCs w:val="20"/>
        </w:rPr>
        <w:t xml:space="preserve"> </w:t>
      </w:r>
      <w:r w:rsidRPr="00531B12">
        <w:rPr>
          <w:rFonts w:ascii="Abadi" w:hAnsi="Abadi"/>
          <w:b/>
          <w:bCs/>
          <w:sz w:val="20"/>
          <w:szCs w:val="20"/>
        </w:rPr>
        <w:t>HALLAZGO,</w:t>
      </w:r>
      <w:r w:rsidRPr="00531B12">
        <w:rPr>
          <w:rFonts w:ascii="Abadi" w:hAnsi="Abadi"/>
          <w:b/>
          <w:bCs/>
          <w:spacing w:val="33"/>
          <w:sz w:val="20"/>
          <w:szCs w:val="20"/>
        </w:rPr>
        <w:t xml:space="preserve"> </w:t>
      </w:r>
      <w:r w:rsidRPr="00531B12">
        <w:rPr>
          <w:rFonts w:ascii="Abadi" w:hAnsi="Abadi"/>
          <w:b/>
          <w:bCs/>
          <w:sz w:val="20"/>
          <w:szCs w:val="20"/>
        </w:rPr>
        <w:t>INCLUYENDO</w:t>
      </w:r>
      <w:r w:rsidRPr="00531B12">
        <w:rPr>
          <w:rFonts w:ascii="Abadi" w:hAnsi="Abadi"/>
          <w:b/>
          <w:bCs/>
          <w:spacing w:val="33"/>
          <w:sz w:val="20"/>
          <w:szCs w:val="20"/>
        </w:rPr>
        <w:t xml:space="preserve"> </w:t>
      </w:r>
      <w:r w:rsidRPr="00531B12">
        <w:rPr>
          <w:rFonts w:ascii="Abadi" w:hAnsi="Abadi"/>
          <w:b/>
          <w:bCs/>
          <w:sz w:val="20"/>
          <w:szCs w:val="20"/>
        </w:rPr>
        <w:t>EN</w:t>
      </w:r>
      <w:r w:rsidRPr="00531B12">
        <w:rPr>
          <w:rFonts w:ascii="Abadi" w:hAnsi="Abadi"/>
          <w:b/>
          <w:bCs/>
          <w:spacing w:val="33"/>
          <w:sz w:val="20"/>
          <w:szCs w:val="20"/>
        </w:rPr>
        <w:t xml:space="preserve"> </w:t>
      </w:r>
      <w:r w:rsidRPr="00531B12">
        <w:rPr>
          <w:rFonts w:ascii="Abadi" w:hAnsi="Abadi"/>
          <w:b/>
          <w:bCs/>
          <w:sz w:val="20"/>
          <w:szCs w:val="20"/>
        </w:rPr>
        <w:t>PARTICULAR</w:t>
      </w:r>
      <w:r w:rsidRPr="00531B12">
        <w:rPr>
          <w:rFonts w:ascii="Abadi" w:hAnsi="Abadi"/>
          <w:b/>
          <w:bCs/>
          <w:spacing w:val="33"/>
          <w:sz w:val="20"/>
          <w:szCs w:val="20"/>
        </w:rPr>
        <w:t xml:space="preserve"> </w:t>
      </w:r>
      <w:r w:rsidRPr="00531B12">
        <w:rPr>
          <w:rFonts w:ascii="Abadi" w:hAnsi="Abadi"/>
          <w:b/>
          <w:bCs/>
          <w:sz w:val="20"/>
          <w:szCs w:val="20"/>
        </w:rPr>
        <w:t>LAS</w:t>
      </w:r>
      <w:r w:rsidRPr="00531B12">
        <w:rPr>
          <w:rFonts w:ascii="Abadi" w:hAnsi="Abadi"/>
          <w:b/>
          <w:bCs/>
          <w:spacing w:val="33"/>
          <w:sz w:val="20"/>
          <w:szCs w:val="20"/>
        </w:rPr>
        <w:t xml:space="preserve"> </w:t>
      </w:r>
      <w:r w:rsidRPr="00531B12">
        <w:rPr>
          <w:rFonts w:ascii="Abadi" w:hAnsi="Abadi"/>
          <w:b/>
          <w:bCs/>
          <w:sz w:val="20"/>
          <w:szCs w:val="20"/>
        </w:rPr>
        <w:t>FOSAS</w:t>
      </w:r>
      <w:r w:rsidRPr="00531B12">
        <w:rPr>
          <w:rFonts w:ascii="Abadi" w:hAnsi="Abadi"/>
          <w:b/>
          <w:bCs/>
          <w:spacing w:val="-2"/>
          <w:sz w:val="20"/>
          <w:szCs w:val="20"/>
        </w:rPr>
        <w:t xml:space="preserve"> </w:t>
      </w:r>
      <w:r w:rsidRPr="00531B12">
        <w:rPr>
          <w:rFonts w:ascii="Abadi" w:hAnsi="Abadi"/>
          <w:b/>
          <w:bCs/>
          <w:sz w:val="20"/>
          <w:szCs w:val="20"/>
        </w:rPr>
        <w:t>CLANDESTINAS</w:t>
      </w:r>
      <w:r w:rsidRPr="00531B12">
        <w:rPr>
          <w:rFonts w:ascii="Abadi" w:hAnsi="Abadi"/>
          <w:b/>
          <w:bCs/>
          <w:spacing w:val="-15"/>
          <w:sz w:val="20"/>
          <w:szCs w:val="20"/>
        </w:rPr>
        <w:t xml:space="preserve"> </w:t>
      </w:r>
      <w:r w:rsidRPr="00531B12">
        <w:rPr>
          <w:rFonts w:ascii="Abadi" w:hAnsi="Abadi"/>
          <w:b/>
          <w:bCs/>
          <w:sz w:val="20"/>
          <w:szCs w:val="20"/>
        </w:rPr>
        <w:t>DE</w:t>
      </w:r>
      <w:r w:rsidRPr="00531B12">
        <w:rPr>
          <w:rFonts w:ascii="Abadi" w:hAnsi="Abadi"/>
          <w:b/>
          <w:bCs/>
          <w:spacing w:val="-15"/>
          <w:sz w:val="20"/>
          <w:szCs w:val="20"/>
        </w:rPr>
        <w:t xml:space="preserve"> </w:t>
      </w:r>
      <w:r w:rsidRPr="00531B12">
        <w:rPr>
          <w:rFonts w:ascii="Abadi" w:hAnsi="Abadi"/>
          <w:b/>
          <w:bCs/>
          <w:sz w:val="20"/>
          <w:szCs w:val="20"/>
        </w:rPr>
        <w:t>LOS</w:t>
      </w:r>
      <w:r w:rsidRPr="00531B12">
        <w:rPr>
          <w:rFonts w:ascii="Abadi" w:hAnsi="Abadi"/>
          <w:b/>
          <w:bCs/>
          <w:spacing w:val="-15"/>
          <w:sz w:val="20"/>
          <w:szCs w:val="20"/>
        </w:rPr>
        <w:t xml:space="preserve"> </w:t>
      </w:r>
      <w:r w:rsidRPr="00531B12">
        <w:rPr>
          <w:rFonts w:ascii="Abadi" w:hAnsi="Abadi"/>
          <w:b/>
          <w:bCs/>
          <w:sz w:val="20"/>
          <w:szCs w:val="20"/>
        </w:rPr>
        <w:t>QUE</w:t>
      </w:r>
      <w:r w:rsidRPr="00531B12">
        <w:rPr>
          <w:rFonts w:ascii="Abadi" w:hAnsi="Abadi"/>
          <w:b/>
          <w:bCs/>
          <w:spacing w:val="-15"/>
          <w:sz w:val="20"/>
          <w:szCs w:val="20"/>
        </w:rPr>
        <w:t xml:space="preserve"> </w:t>
      </w:r>
      <w:r w:rsidRPr="00531B12">
        <w:rPr>
          <w:rFonts w:ascii="Abadi" w:hAnsi="Abadi"/>
          <w:b/>
          <w:bCs/>
          <w:sz w:val="20"/>
          <w:szCs w:val="20"/>
        </w:rPr>
        <w:t>TIENE</w:t>
      </w:r>
      <w:r w:rsidRPr="00531B12">
        <w:rPr>
          <w:rFonts w:ascii="Abadi" w:hAnsi="Abadi"/>
          <w:b/>
          <w:bCs/>
          <w:spacing w:val="-15"/>
          <w:sz w:val="20"/>
          <w:szCs w:val="20"/>
        </w:rPr>
        <w:t xml:space="preserve"> </w:t>
      </w:r>
      <w:r w:rsidRPr="00531B12">
        <w:rPr>
          <w:rFonts w:ascii="Abadi" w:hAnsi="Abadi"/>
          <w:b/>
          <w:bCs/>
          <w:sz w:val="20"/>
          <w:szCs w:val="20"/>
        </w:rPr>
        <w:t>CONOCIMIENTO</w:t>
      </w:r>
      <w:r w:rsidRPr="00531B12">
        <w:rPr>
          <w:rFonts w:ascii="Abadi" w:hAnsi="Abadi"/>
          <w:b/>
          <w:bCs/>
          <w:spacing w:val="-15"/>
          <w:sz w:val="20"/>
          <w:szCs w:val="20"/>
        </w:rPr>
        <w:t xml:space="preserve"> </w:t>
      </w:r>
      <w:r w:rsidRPr="00531B12">
        <w:rPr>
          <w:rFonts w:ascii="Abadi" w:hAnsi="Abadi"/>
          <w:b/>
          <w:bCs/>
          <w:sz w:val="20"/>
          <w:szCs w:val="20"/>
        </w:rPr>
        <w:t>Y</w:t>
      </w:r>
      <w:r w:rsidRPr="00531B12">
        <w:rPr>
          <w:rFonts w:ascii="Abadi" w:hAnsi="Abadi"/>
          <w:b/>
          <w:bCs/>
          <w:spacing w:val="-15"/>
          <w:sz w:val="20"/>
          <w:szCs w:val="20"/>
        </w:rPr>
        <w:t xml:space="preserve"> </w:t>
      </w:r>
      <w:r w:rsidRPr="00531B12">
        <w:rPr>
          <w:rFonts w:ascii="Abadi" w:hAnsi="Abadi"/>
          <w:b/>
          <w:bCs/>
          <w:sz w:val="20"/>
          <w:szCs w:val="20"/>
        </w:rPr>
        <w:t>HOMOLOGUE</w:t>
      </w:r>
      <w:r w:rsidRPr="00531B12">
        <w:rPr>
          <w:rFonts w:ascii="Abadi" w:hAnsi="Abadi"/>
          <w:b/>
          <w:bCs/>
          <w:spacing w:val="-15"/>
          <w:sz w:val="20"/>
          <w:szCs w:val="20"/>
        </w:rPr>
        <w:t xml:space="preserve"> </w:t>
      </w:r>
      <w:r w:rsidRPr="00531B12">
        <w:rPr>
          <w:rFonts w:ascii="Abadi" w:hAnsi="Abadi"/>
          <w:b/>
          <w:bCs/>
          <w:sz w:val="20"/>
          <w:szCs w:val="20"/>
        </w:rPr>
        <w:t>CONSECUENTEMENTE</w:t>
      </w:r>
      <w:r w:rsidRPr="00531B12">
        <w:rPr>
          <w:rFonts w:ascii="Abadi" w:hAnsi="Abadi"/>
          <w:b/>
          <w:bCs/>
          <w:spacing w:val="-2"/>
          <w:sz w:val="20"/>
          <w:szCs w:val="20"/>
        </w:rPr>
        <w:t xml:space="preserve"> </w:t>
      </w:r>
      <w:r w:rsidRPr="00531B12">
        <w:rPr>
          <w:rFonts w:ascii="Abadi" w:hAnsi="Abadi"/>
          <w:b/>
          <w:bCs/>
          <w:sz w:val="20"/>
          <w:szCs w:val="20"/>
        </w:rPr>
        <w:t>LOS</w:t>
      </w:r>
      <w:r w:rsidRPr="00531B12">
        <w:rPr>
          <w:rFonts w:ascii="Abadi" w:hAnsi="Abadi"/>
          <w:b/>
          <w:bCs/>
          <w:spacing w:val="-1"/>
          <w:sz w:val="20"/>
          <w:szCs w:val="20"/>
        </w:rPr>
        <w:t xml:space="preserve"> </w:t>
      </w:r>
      <w:r w:rsidRPr="00531B12">
        <w:rPr>
          <w:rFonts w:ascii="Abadi" w:hAnsi="Abadi"/>
          <w:b/>
          <w:bCs/>
          <w:sz w:val="20"/>
          <w:szCs w:val="20"/>
        </w:rPr>
        <w:t>DATOS</w:t>
      </w:r>
      <w:r w:rsidRPr="00531B12">
        <w:rPr>
          <w:rFonts w:ascii="Abadi" w:hAnsi="Abadi"/>
          <w:b/>
          <w:bCs/>
          <w:spacing w:val="-1"/>
          <w:sz w:val="20"/>
          <w:szCs w:val="20"/>
        </w:rPr>
        <w:t xml:space="preserve"> </w:t>
      </w:r>
      <w:r w:rsidRPr="00531B12">
        <w:rPr>
          <w:rFonts w:ascii="Abadi" w:hAnsi="Abadi"/>
          <w:b/>
          <w:bCs/>
          <w:sz w:val="20"/>
          <w:szCs w:val="20"/>
        </w:rPr>
        <w:t>DEL</w:t>
      </w:r>
      <w:r w:rsidRPr="00531B12">
        <w:rPr>
          <w:rFonts w:ascii="Abadi" w:hAnsi="Abadi"/>
          <w:b/>
          <w:bCs/>
          <w:spacing w:val="-1"/>
          <w:sz w:val="20"/>
          <w:szCs w:val="20"/>
        </w:rPr>
        <w:t xml:space="preserve"> </w:t>
      </w:r>
      <w:r w:rsidRPr="00531B12">
        <w:rPr>
          <w:rFonts w:ascii="Abadi" w:hAnsi="Abadi"/>
          <w:b/>
          <w:bCs/>
          <w:sz w:val="20"/>
          <w:szCs w:val="20"/>
        </w:rPr>
        <w:t>MAPA</w:t>
      </w:r>
      <w:r w:rsidRPr="00531B12">
        <w:rPr>
          <w:rFonts w:ascii="Abadi" w:hAnsi="Abadi"/>
          <w:b/>
          <w:bCs/>
          <w:spacing w:val="-1"/>
          <w:sz w:val="20"/>
          <w:szCs w:val="20"/>
        </w:rPr>
        <w:t xml:space="preserve"> </w:t>
      </w:r>
      <w:r w:rsidRPr="00531B12">
        <w:rPr>
          <w:rFonts w:ascii="Abadi" w:hAnsi="Abadi"/>
          <w:b/>
          <w:bCs/>
          <w:sz w:val="20"/>
          <w:szCs w:val="20"/>
        </w:rPr>
        <w:t>QUE</w:t>
      </w:r>
      <w:r w:rsidRPr="00531B12">
        <w:rPr>
          <w:rFonts w:ascii="Abadi" w:hAnsi="Abadi"/>
          <w:b/>
          <w:bCs/>
          <w:spacing w:val="-1"/>
          <w:sz w:val="20"/>
          <w:szCs w:val="20"/>
        </w:rPr>
        <w:t xml:space="preserve"> </w:t>
      </w:r>
      <w:r w:rsidRPr="00531B12">
        <w:rPr>
          <w:rFonts w:ascii="Abadi" w:hAnsi="Abadi"/>
          <w:b/>
          <w:bCs/>
          <w:sz w:val="20"/>
          <w:szCs w:val="20"/>
        </w:rPr>
        <w:t>APARECEN</w:t>
      </w:r>
      <w:r w:rsidRPr="00531B12">
        <w:rPr>
          <w:rFonts w:ascii="Abadi" w:hAnsi="Abadi"/>
          <w:b/>
          <w:bCs/>
          <w:spacing w:val="-1"/>
          <w:sz w:val="20"/>
          <w:szCs w:val="20"/>
        </w:rPr>
        <w:t xml:space="preserve"> </w:t>
      </w:r>
      <w:r w:rsidRPr="00531B12">
        <w:rPr>
          <w:rFonts w:ascii="Abadi" w:hAnsi="Abadi"/>
          <w:b/>
          <w:bCs/>
          <w:sz w:val="20"/>
          <w:szCs w:val="20"/>
        </w:rPr>
        <w:t>EN</w:t>
      </w:r>
      <w:r w:rsidRPr="00531B12">
        <w:rPr>
          <w:rFonts w:ascii="Abadi" w:hAnsi="Abadi"/>
          <w:b/>
          <w:bCs/>
          <w:spacing w:val="-1"/>
          <w:sz w:val="20"/>
          <w:szCs w:val="20"/>
        </w:rPr>
        <w:t xml:space="preserve"> </w:t>
      </w:r>
      <w:r w:rsidRPr="00531B12">
        <w:rPr>
          <w:rFonts w:ascii="Abadi" w:hAnsi="Abadi"/>
          <w:b/>
          <w:bCs/>
          <w:sz w:val="20"/>
          <w:szCs w:val="20"/>
        </w:rPr>
        <w:t>SU</w:t>
      </w:r>
      <w:r w:rsidRPr="00531B12">
        <w:rPr>
          <w:rFonts w:ascii="Abadi" w:hAnsi="Abadi"/>
          <w:b/>
          <w:bCs/>
          <w:spacing w:val="-1"/>
          <w:sz w:val="20"/>
          <w:szCs w:val="20"/>
        </w:rPr>
        <w:t xml:space="preserve"> </w:t>
      </w:r>
      <w:r w:rsidRPr="00531B12">
        <w:rPr>
          <w:rFonts w:ascii="Abadi" w:hAnsi="Abadi"/>
          <w:b/>
          <w:bCs/>
          <w:sz w:val="20"/>
          <w:szCs w:val="20"/>
        </w:rPr>
        <w:t>PÁGINA</w:t>
      </w:r>
      <w:r w:rsidRPr="00531B12">
        <w:rPr>
          <w:rFonts w:ascii="Abadi" w:hAnsi="Abadi"/>
          <w:b/>
          <w:bCs/>
          <w:spacing w:val="-1"/>
          <w:sz w:val="20"/>
          <w:szCs w:val="20"/>
        </w:rPr>
        <w:t xml:space="preserve"> </w:t>
      </w:r>
      <w:r w:rsidRPr="00531B12">
        <w:rPr>
          <w:rFonts w:ascii="Abadi" w:hAnsi="Abadi"/>
          <w:b/>
          <w:bCs/>
          <w:sz w:val="20"/>
          <w:szCs w:val="20"/>
        </w:rPr>
        <w:t>OFICIAL.</w:t>
      </w:r>
    </w:p>
    <w:p w14:paraId="7A3AAC76" w14:textId="1068C6A0" w:rsidR="0083194C" w:rsidRDefault="0083194C" w:rsidP="0083194C">
      <w:pPr>
        <w:tabs>
          <w:tab w:val="left" w:pos="856"/>
        </w:tabs>
        <w:kinsoku w:val="0"/>
        <w:overflowPunct w:val="0"/>
        <w:autoSpaceDE w:val="0"/>
        <w:autoSpaceDN w:val="0"/>
        <w:adjustRightInd w:val="0"/>
        <w:ind w:left="360" w:right="17"/>
        <w:jc w:val="both"/>
        <w:rPr>
          <w:rFonts w:ascii="Abadi" w:hAnsi="Abadi"/>
          <w:b/>
          <w:bCs/>
          <w:sz w:val="20"/>
          <w:szCs w:val="20"/>
        </w:rPr>
      </w:pPr>
    </w:p>
    <w:p w14:paraId="2C00532C" w14:textId="77777777" w:rsidR="009453F4" w:rsidRPr="009453F4" w:rsidRDefault="009453F4" w:rsidP="009453F4">
      <w:pPr>
        <w:rPr>
          <w:rFonts w:ascii="Abadi" w:hAnsi="Abadi" w:cs="Arial"/>
          <w:b/>
          <w:sz w:val="21"/>
          <w:szCs w:val="21"/>
        </w:rPr>
      </w:pPr>
      <w:r w:rsidRPr="009453F4">
        <w:rPr>
          <w:rFonts w:ascii="Abadi" w:hAnsi="Abadi" w:cs="Arial"/>
          <w:b/>
          <w:sz w:val="21"/>
          <w:szCs w:val="21"/>
        </w:rPr>
        <w:t>C. DIPUTADA IRMA LETICIA GONZÁLEZ SÁNCHEZ</w:t>
      </w:r>
    </w:p>
    <w:p w14:paraId="23839441" w14:textId="77777777" w:rsidR="009453F4" w:rsidRPr="009453F4" w:rsidRDefault="009453F4" w:rsidP="009453F4">
      <w:pPr>
        <w:rPr>
          <w:rFonts w:ascii="Abadi" w:hAnsi="Abadi" w:cs="Arial"/>
          <w:b/>
          <w:sz w:val="21"/>
          <w:szCs w:val="21"/>
        </w:rPr>
      </w:pPr>
      <w:r w:rsidRPr="009453F4">
        <w:rPr>
          <w:rFonts w:ascii="Abadi" w:hAnsi="Abadi" w:cs="Arial"/>
          <w:b/>
          <w:sz w:val="21"/>
          <w:szCs w:val="21"/>
        </w:rPr>
        <w:t>PRESIDENTA DEL CONGRESO DEL ESTADO</w:t>
      </w:r>
    </w:p>
    <w:p w14:paraId="09DB5037" w14:textId="77777777" w:rsidR="009453F4" w:rsidRPr="009453F4" w:rsidRDefault="009453F4" w:rsidP="009453F4">
      <w:pPr>
        <w:rPr>
          <w:rFonts w:ascii="Abadi" w:hAnsi="Abadi" w:cs="Arial"/>
          <w:b/>
          <w:sz w:val="21"/>
          <w:szCs w:val="21"/>
        </w:rPr>
      </w:pPr>
      <w:r w:rsidRPr="009453F4">
        <w:rPr>
          <w:rFonts w:ascii="Abadi" w:hAnsi="Abadi" w:cs="Arial"/>
          <w:b/>
          <w:sz w:val="21"/>
          <w:szCs w:val="21"/>
        </w:rPr>
        <w:t>P R E S E N T E</w:t>
      </w:r>
    </w:p>
    <w:p w14:paraId="3DA11636" w14:textId="77777777" w:rsidR="009453F4" w:rsidRPr="009453F4" w:rsidRDefault="009453F4" w:rsidP="009453F4">
      <w:pPr>
        <w:spacing w:line="360" w:lineRule="auto"/>
        <w:rPr>
          <w:rFonts w:ascii="Abadi" w:hAnsi="Abadi" w:cs="Arial"/>
          <w:b/>
          <w:sz w:val="21"/>
          <w:szCs w:val="21"/>
        </w:rPr>
      </w:pPr>
    </w:p>
    <w:p w14:paraId="67DDF35A" w14:textId="77777777" w:rsidR="009453F4" w:rsidRPr="009453F4" w:rsidRDefault="009453F4" w:rsidP="009453F4">
      <w:pPr>
        <w:spacing w:line="360" w:lineRule="auto"/>
        <w:ind w:firstLine="708"/>
        <w:jc w:val="both"/>
        <w:rPr>
          <w:rFonts w:ascii="Abadi" w:hAnsi="Abadi" w:cs="Arial"/>
          <w:sz w:val="21"/>
          <w:szCs w:val="21"/>
        </w:rPr>
      </w:pPr>
      <w:r w:rsidRPr="009453F4">
        <w:rPr>
          <w:rFonts w:ascii="Abadi" w:hAnsi="Abadi" w:cs="Arial"/>
          <w:sz w:val="21"/>
          <w:szCs w:val="21"/>
        </w:rPr>
        <w:t xml:space="preserve">Las diputadas y los diputados que integramos la Comisión de Gobernación y Puntos Constitucionales de la Sexagésima Quinta </w:t>
      </w:r>
      <w:r w:rsidRPr="009453F4">
        <w:rPr>
          <w:rFonts w:ascii="Abadi" w:hAnsi="Abadi" w:cs="Arial"/>
          <w:sz w:val="21"/>
          <w:szCs w:val="21"/>
        </w:rPr>
        <w:t xml:space="preserve">Legislatura, recibimos para efecto de estudio y dictamen, la propuesta de punto de acuerdo formulada por diputadas y diputados integrantes del Grupo Parlamentario del Partido MORENA a efecto de exhortar al Fiscal General de Guanajuato Carlos Zamarripa para que la Fiscalía a su cargo obre bajo el principio de máxima publicidad con respecto al derecho a la información sobre todos los contextos de hallazgo, incluyendo en particular las fosas clandestinas de los que tiene conocimiento y homologue consecuentemente los datos del mapa que aparecen en su página oficial. </w:t>
      </w:r>
    </w:p>
    <w:p w14:paraId="48CDA673" w14:textId="77777777" w:rsidR="009453F4" w:rsidRPr="009453F4" w:rsidRDefault="009453F4" w:rsidP="009453F4">
      <w:pPr>
        <w:spacing w:line="360" w:lineRule="auto"/>
        <w:ind w:firstLine="709"/>
        <w:jc w:val="both"/>
        <w:rPr>
          <w:rFonts w:ascii="Abadi" w:hAnsi="Abadi" w:cs="Arial"/>
          <w:sz w:val="21"/>
          <w:szCs w:val="21"/>
        </w:rPr>
      </w:pPr>
    </w:p>
    <w:p w14:paraId="1477730E" w14:textId="77777777" w:rsidR="009453F4" w:rsidRPr="009453F4" w:rsidRDefault="009453F4" w:rsidP="009453F4">
      <w:pPr>
        <w:spacing w:line="360" w:lineRule="auto"/>
        <w:ind w:firstLine="708"/>
        <w:jc w:val="both"/>
        <w:rPr>
          <w:rFonts w:ascii="Abadi" w:hAnsi="Abadi" w:cs="Arial"/>
          <w:sz w:val="21"/>
          <w:szCs w:val="21"/>
        </w:rPr>
      </w:pPr>
      <w:r w:rsidRPr="009453F4">
        <w:rPr>
          <w:rFonts w:ascii="Abadi" w:hAnsi="Abadi" w:cs="Arial"/>
          <w:sz w:val="21"/>
          <w:szCs w:val="21"/>
        </w:rPr>
        <w:t xml:space="preserve">Con fundamento en los artículos 111, fracción XIX y 171 de </w:t>
      </w:r>
      <w:smartTag w:uri="urn:schemas-microsoft-com:office:smarttags" w:element="PersonName">
        <w:smartTagPr>
          <w:attr w:name="ProductID" w:val="la Ley Org￡nica"/>
        </w:smartTagPr>
        <w:r w:rsidRPr="009453F4">
          <w:rPr>
            <w:rFonts w:ascii="Abadi" w:hAnsi="Abadi" w:cs="Arial"/>
            <w:sz w:val="21"/>
            <w:szCs w:val="21"/>
          </w:rPr>
          <w:t>la Ley Orgánica</w:t>
        </w:r>
      </w:smartTag>
      <w:r w:rsidRPr="009453F4">
        <w:rPr>
          <w:rFonts w:ascii="Abadi" w:hAnsi="Abadi" w:cs="Arial"/>
          <w:sz w:val="21"/>
          <w:szCs w:val="21"/>
        </w:rPr>
        <w:t xml:space="preserve"> del Poder Legislativo, formulamos a </w:t>
      </w:r>
      <w:smartTag w:uri="urn:schemas-microsoft-com:office:smarttags" w:element="PersonName">
        <w:smartTagPr>
          <w:attr w:name="ProductID" w:val="la Asamblea"/>
        </w:smartTagPr>
        <w:r w:rsidRPr="009453F4">
          <w:rPr>
            <w:rFonts w:ascii="Abadi" w:hAnsi="Abadi" w:cs="Arial"/>
            <w:sz w:val="21"/>
            <w:szCs w:val="21"/>
          </w:rPr>
          <w:t>la Asamblea</w:t>
        </w:r>
      </w:smartTag>
      <w:r w:rsidRPr="009453F4">
        <w:rPr>
          <w:rFonts w:ascii="Abadi" w:hAnsi="Abadi" w:cs="Arial"/>
          <w:sz w:val="21"/>
          <w:szCs w:val="21"/>
        </w:rPr>
        <w:t xml:space="preserve"> el siguiente:</w:t>
      </w:r>
    </w:p>
    <w:p w14:paraId="45859B6E" w14:textId="77777777" w:rsidR="009453F4" w:rsidRPr="009453F4" w:rsidRDefault="009453F4" w:rsidP="009453F4">
      <w:pPr>
        <w:ind w:firstLine="709"/>
        <w:jc w:val="both"/>
        <w:rPr>
          <w:rFonts w:ascii="Abadi" w:hAnsi="Abadi" w:cs="Arial"/>
          <w:sz w:val="21"/>
          <w:szCs w:val="21"/>
        </w:rPr>
      </w:pPr>
    </w:p>
    <w:p w14:paraId="31A89F68" w14:textId="77777777" w:rsidR="009453F4" w:rsidRPr="009453F4" w:rsidRDefault="009453F4" w:rsidP="009453F4">
      <w:pPr>
        <w:jc w:val="both"/>
        <w:rPr>
          <w:rFonts w:ascii="Abadi" w:eastAsia="Batang" w:hAnsi="Abadi" w:cs="Arial"/>
          <w:sz w:val="21"/>
          <w:szCs w:val="21"/>
        </w:rPr>
      </w:pPr>
    </w:p>
    <w:p w14:paraId="2CF82775" w14:textId="77777777" w:rsidR="009453F4" w:rsidRPr="009453F4" w:rsidRDefault="009453F4" w:rsidP="009453F4">
      <w:pPr>
        <w:jc w:val="center"/>
        <w:rPr>
          <w:rFonts w:ascii="Abadi" w:eastAsia="Batang" w:hAnsi="Abadi" w:cs="Arial"/>
          <w:b/>
          <w:bCs/>
          <w:sz w:val="21"/>
          <w:szCs w:val="21"/>
        </w:rPr>
      </w:pPr>
      <w:r w:rsidRPr="009453F4">
        <w:rPr>
          <w:rFonts w:ascii="Abadi" w:eastAsia="Batang" w:hAnsi="Abadi" w:cs="Arial"/>
          <w:b/>
          <w:bCs/>
          <w:sz w:val="21"/>
          <w:szCs w:val="21"/>
        </w:rPr>
        <w:t>D I C T A M E N</w:t>
      </w:r>
    </w:p>
    <w:p w14:paraId="470E82B4" w14:textId="77777777" w:rsidR="009453F4" w:rsidRPr="009453F4" w:rsidRDefault="009453F4" w:rsidP="009453F4">
      <w:pPr>
        <w:jc w:val="center"/>
        <w:rPr>
          <w:rFonts w:ascii="Abadi" w:eastAsia="Batang" w:hAnsi="Abadi" w:cs="Arial"/>
          <w:b/>
          <w:bCs/>
          <w:sz w:val="21"/>
          <w:szCs w:val="21"/>
        </w:rPr>
      </w:pPr>
    </w:p>
    <w:p w14:paraId="12B90D02" w14:textId="77777777" w:rsidR="009453F4" w:rsidRPr="009453F4" w:rsidRDefault="009453F4" w:rsidP="009453F4">
      <w:pPr>
        <w:spacing w:line="360" w:lineRule="auto"/>
        <w:rPr>
          <w:rFonts w:ascii="Abadi" w:eastAsia="Batang" w:hAnsi="Abadi" w:cs="Arial"/>
          <w:b/>
          <w:bCs/>
          <w:sz w:val="21"/>
          <w:szCs w:val="21"/>
        </w:rPr>
      </w:pPr>
      <w:r w:rsidRPr="009453F4">
        <w:rPr>
          <w:rFonts w:ascii="Abadi" w:eastAsia="Batang" w:hAnsi="Abadi" w:cs="Arial"/>
          <w:b/>
          <w:smallCaps/>
          <w:sz w:val="21"/>
          <w:szCs w:val="21"/>
        </w:rPr>
        <w:t>I.</w:t>
      </w:r>
      <w:r w:rsidRPr="009453F4">
        <w:rPr>
          <w:rFonts w:ascii="Abadi" w:eastAsia="Batang" w:hAnsi="Abadi" w:cs="Arial"/>
          <w:b/>
          <w:smallCaps/>
          <w:sz w:val="21"/>
          <w:szCs w:val="21"/>
        </w:rPr>
        <w:tab/>
      </w:r>
      <w:r w:rsidRPr="009453F4">
        <w:rPr>
          <w:rFonts w:ascii="Abadi" w:eastAsia="Batang" w:hAnsi="Abadi" w:cs="Arial"/>
          <w:b/>
          <w:bCs/>
          <w:sz w:val="21"/>
          <w:szCs w:val="21"/>
        </w:rPr>
        <w:t>Del Proceso Legislativo</w:t>
      </w:r>
    </w:p>
    <w:p w14:paraId="6034C27E" w14:textId="77777777" w:rsidR="009453F4" w:rsidRPr="009453F4" w:rsidRDefault="009453F4" w:rsidP="009453F4">
      <w:pPr>
        <w:spacing w:line="360" w:lineRule="auto"/>
        <w:rPr>
          <w:rFonts w:ascii="Abadi" w:eastAsia="Batang" w:hAnsi="Abadi" w:cs="Arial"/>
          <w:b/>
          <w:bCs/>
          <w:sz w:val="21"/>
          <w:szCs w:val="21"/>
        </w:rPr>
      </w:pPr>
    </w:p>
    <w:p w14:paraId="63164186" w14:textId="77777777" w:rsidR="009453F4" w:rsidRPr="009453F4" w:rsidRDefault="009453F4" w:rsidP="009453F4">
      <w:pPr>
        <w:spacing w:line="360" w:lineRule="auto"/>
        <w:jc w:val="both"/>
        <w:rPr>
          <w:rFonts w:ascii="Abadi" w:hAnsi="Abadi" w:cs="Arial"/>
          <w:sz w:val="21"/>
          <w:szCs w:val="21"/>
        </w:rPr>
      </w:pPr>
      <w:r w:rsidRPr="009453F4">
        <w:rPr>
          <w:rFonts w:ascii="Abadi" w:eastAsia="Batang" w:hAnsi="Abadi" w:cs="Arial"/>
          <w:b/>
          <w:bCs/>
          <w:sz w:val="21"/>
          <w:szCs w:val="21"/>
        </w:rPr>
        <w:t xml:space="preserve">I.1. </w:t>
      </w:r>
      <w:r w:rsidRPr="009453F4">
        <w:rPr>
          <w:rFonts w:ascii="Abadi" w:eastAsia="Batang" w:hAnsi="Abadi" w:cs="Arial"/>
          <w:sz w:val="21"/>
          <w:szCs w:val="21"/>
        </w:rPr>
        <w:t xml:space="preserve">En sesión del 19 de mayo de 2022 </w:t>
      </w:r>
      <w:r w:rsidRPr="009453F4">
        <w:rPr>
          <w:rFonts w:ascii="Abadi" w:eastAsia="Batang" w:hAnsi="Abadi" w:cs="Arial"/>
          <w:bCs/>
          <w:sz w:val="21"/>
          <w:szCs w:val="21"/>
        </w:rPr>
        <w:t xml:space="preserve">ingresó la </w:t>
      </w:r>
      <w:r w:rsidRPr="009453F4">
        <w:rPr>
          <w:rFonts w:ascii="Abadi" w:hAnsi="Abadi" w:cs="Arial"/>
          <w:sz w:val="21"/>
          <w:szCs w:val="21"/>
        </w:rPr>
        <w:t xml:space="preserve">propuesta de </w:t>
      </w:r>
      <w:r w:rsidRPr="009453F4">
        <w:rPr>
          <w:rFonts w:ascii="Abadi" w:eastAsia="Batang" w:hAnsi="Abadi" w:cs="Arial"/>
          <w:bCs/>
          <w:sz w:val="21"/>
          <w:szCs w:val="21"/>
        </w:rPr>
        <w:t>punto de acuerdo formulada por diputadas y diputados integrantes del Grupo Parlamentario del Partido MORENA a efecto de exhortar al Fiscal General de Guanajuato Carlos Zamarripa para que la Fiscalía a su cargo obre bajo el principio de máxima publicidad con respecto al derecho a la información sobre todos los contextos de hallazgo, incluyendo en particular las fosas clandestinas de los que tiene conocimiento y homologue consecuentemente los datos del mapa que aparecen en su página oficial, turnándose en su momento por la presidencia del Congreso a la Comisión de Gobernación y Puntos Constitucionales,</w:t>
      </w:r>
      <w:r w:rsidRPr="009453F4">
        <w:rPr>
          <w:rFonts w:ascii="Abadi" w:hAnsi="Abadi" w:cs="Arial"/>
          <w:sz w:val="21"/>
          <w:szCs w:val="21"/>
        </w:rPr>
        <w:t xml:space="preserve"> con </w:t>
      </w:r>
      <w:r w:rsidRPr="009453F4">
        <w:rPr>
          <w:rFonts w:ascii="Abadi" w:hAnsi="Abadi" w:cs="Arial"/>
          <w:sz w:val="21"/>
          <w:szCs w:val="21"/>
        </w:rPr>
        <w:lastRenderedPageBreak/>
        <w:t>fundamento en lo dispuesto por el artículo 111, fracción XIX de la Ley Orgánica del Poder legislativo del Estado de Guanajuato.</w:t>
      </w:r>
    </w:p>
    <w:p w14:paraId="67DCA524" w14:textId="77777777" w:rsidR="009453F4" w:rsidRPr="009453F4" w:rsidRDefault="009453F4" w:rsidP="009453F4">
      <w:pPr>
        <w:spacing w:line="360" w:lineRule="auto"/>
        <w:jc w:val="both"/>
        <w:rPr>
          <w:rFonts w:ascii="Abadi" w:eastAsia="Batang" w:hAnsi="Abadi" w:cs="Arial"/>
          <w:sz w:val="21"/>
          <w:szCs w:val="21"/>
        </w:rPr>
      </w:pPr>
    </w:p>
    <w:p w14:paraId="16B852C3" w14:textId="77777777" w:rsidR="009453F4" w:rsidRPr="009453F4" w:rsidRDefault="009453F4" w:rsidP="009453F4">
      <w:pPr>
        <w:spacing w:line="360" w:lineRule="auto"/>
        <w:jc w:val="both"/>
        <w:rPr>
          <w:rFonts w:ascii="Abadi" w:eastAsia="Batang" w:hAnsi="Abadi" w:cs="Arial"/>
          <w:sz w:val="21"/>
          <w:szCs w:val="21"/>
        </w:rPr>
      </w:pPr>
      <w:r w:rsidRPr="009453F4">
        <w:rPr>
          <w:rFonts w:ascii="Abadi" w:eastAsia="Batang" w:hAnsi="Abadi" w:cs="Arial"/>
          <w:b/>
          <w:sz w:val="21"/>
          <w:szCs w:val="21"/>
        </w:rPr>
        <w:t xml:space="preserve">I.2. </w:t>
      </w:r>
      <w:r w:rsidRPr="009453F4">
        <w:rPr>
          <w:rFonts w:ascii="Abadi" w:eastAsia="Batang" w:hAnsi="Abadi" w:cs="Arial"/>
          <w:sz w:val="21"/>
          <w:szCs w:val="21"/>
        </w:rPr>
        <w:t xml:space="preserve">En reunión de la Comisión de Gobernación y Puntos Constitucionales, de fecha 27 de mayo de 2022, se radicó la propuesta de punto de acuerdo. </w:t>
      </w:r>
    </w:p>
    <w:p w14:paraId="384BBFE8" w14:textId="77777777" w:rsidR="009453F4" w:rsidRPr="009453F4" w:rsidRDefault="009453F4" w:rsidP="009453F4">
      <w:pPr>
        <w:spacing w:line="360" w:lineRule="auto"/>
        <w:ind w:left="714"/>
        <w:jc w:val="both"/>
        <w:rPr>
          <w:rFonts w:ascii="Abadi" w:hAnsi="Abadi" w:cs="Calibri"/>
          <w:sz w:val="21"/>
          <w:szCs w:val="21"/>
        </w:rPr>
      </w:pPr>
    </w:p>
    <w:p w14:paraId="4D0E028B" w14:textId="77777777" w:rsidR="009453F4" w:rsidRPr="009453F4" w:rsidRDefault="009453F4" w:rsidP="009453F4">
      <w:pPr>
        <w:spacing w:line="360" w:lineRule="auto"/>
        <w:jc w:val="both"/>
        <w:rPr>
          <w:rFonts w:ascii="Abadi" w:eastAsia="Batang" w:hAnsi="Abadi" w:cs="Arial"/>
          <w:sz w:val="21"/>
          <w:szCs w:val="21"/>
        </w:rPr>
      </w:pPr>
      <w:r w:rsidRPr="009453F4">
        <w:rPr>
          <w:rFonts w:ascii="Abadi" w:eastAsia="Batang" w:hAnsi="Abadi" w:cs="Arial"/>
          <w:b/>
          <w:bCs/>
          <w:sz w:val="21"/>
          <w:szCs w:val="21"/>
        </w:rPr>
        <w:t>I.3.</w:t>
      </w:r>
      <w:r w:rsidRPr="009453F4">
        <w:rPr>
          <w:rFonts w:ascii="Abadi" w:eastAsia="Batang" w:hAnsi="Abadi" w:cs="Arial"/>
          <w:sz w:val="21"/>
          <w:szCs w:val="21"/>
        </w:rPr>
        <w:t xml:space="preserve"> Posteriormente, en reunión de la comisión legislativa del 15 de junio de 2022, se realizó el análisis de la propuesta de punto de acuerdo entre las diputadas y los diputados visualizando los alcances y viabilidad de la misma.</w:t>
      </w:r>
    </w:p>
    <w:p w14:paraId="2D84717A" w14:textId="77777777" w:rsidR="009453F4" w:rsidRPr="009453F4" w:rsidRDefault="009453F4" w:rsidP="009453F4">
      <w:pPr>
        <w:spacing w:line="360" w:lineRule="auto"/>
        <w:jc w:val="both"/>
        <w:rPr>
          <w:rFonts w:ascii="Abadi" w:eastAsia="Batang" w:hAnsi="Abadi" w:cs="Arial"/>
          <w:sz w:val="21"/>
          <w:szCs w:val="21"/>
        </w:rPr>
      </w:pPr>
    </w:p>
    <w:p w14:paraId="4D022D23" w14:textId="77777777" w:rsidR="009453F4" w:rsidRPr="009453F4" w:rsidRDefault="009453F4" w:rsidP="009453F4">
      <w:pPr>
        <w:spacing w:line="360" w:lineRule="auto"/>
        <w:jc w:val="both"/>
        <w:rPr>
          <w:rFonts w:ascii="Abadi" w:eastAsia="Batang" w:hAnsi="Abadi" w:cs="Arial"/>
          <w:sz w:val="21"/>
          <w:szCs w:val="21"/>
        </w:rPr>
      </w:pPr>
      <w:r w:rsidRPr="009453F4">
        <w:rPr>
          <w:rFonts w:ascii="Abadi" w:eastAsia="Batang" w:hAnsi="Abadi" w:cs="Arial"/>
          <w:b/>
          <w:bCs/>
          <w:sz w:val="21"/>
          <w:szCs w:val="21"/>
        </w:rPr>
        <w:t>I.4.</w:t>
      </w:r>
      <w:r w:rsidRPr="009453F4">
        <w:rPr>
          <w:rFonts w:ascii="Abadi" w:eastAsia="Batang" w:hAnsi="Abadi" w:cs="Arial"/>
          <w:sz w:val="21"/>
          <w:szCs w:val="21"/>
        </w:rPr>
        <w:t xml:space="preserve"> La presidencia de la Comisión de Gobernación y Puntos Constitucionales instruyó a la Secretaría Técnica para que elaborara el proyecto de dictamen en sentido negativo, atendiendo al análisis realizado en comisión, con fundamento en lo dispuesto en los artículos 94, fracción VII y 272, fracción VIII inciso e de la Ley Orgánica del Poder Legislativo del Estado de Guanajuato, mismo que fue materia de revisión por las diputadas y los diputados integrantes de esta comisión dictaminadora.</w:t>
      </w:r>
    </w:p>
    <w:p w14:paraId="678A6D0E" w14:textId="77777777" w:rsidR="009453F4" w:rsidRPr="009453F4" w:rsidRDefault="009453F4" w:rsidP="009453F4">
      <w:pPr>
        <w:jc w:val="both"/>
        <w:rPr>
          <w:rFonts w:ascii="Abadi" w:eastAsia="Batang" w:hAnsi="Abadi" w:cs="Arial"/>
          <w:b/>
          <w:sz w:val="21"/>
          <w:szCs w:val="21"/>
        </w:rPr>
      </w:pPr>
    </w:p>
    <w:p w14:paraId="4486AE04" w14:textId="77777777" w:rsidR="009453F4" w:rsidRPr="009453F4" w:rsidRDefault="009453F4" w:rsidP="009453F4">
      <w:pPr>
        <w:spacing w:line="360" w:lineRule="auto"/>
        <w:jc w:val="both"/>
        <w:rPr>
          <w:rFonts w:ascii="Abadi" w:eastAsia="Batang" w:hAnsi="Abadi" w:cs="Arial"/>
          <w:b/>
          <w:sz w:val="21"/>
          <w:szCs w:val="21"/>
        </w:rPr>
      </w:pPr>
      <w:r w:rsidRPr="009453F4">
        <w:rPr>
          <w:rFonts w:ascii="Abadi" w:eastAsia="Batang" w:hAnsi="Abadi" w:cs="Arial"/>
          <w:b/>
          <w:sz w:val="21"/>
          <w:szCs w:val="21"/>
        </w:rPr>
        <w:t>II.</w:t>
      </w:r>
      <w:r w:rsidRPr="009453F4">
        <w:rPr>
          <w:rFonts w:ascii="Abadi" w:eastAsia="Batang" w:hAnsi="Abadi" w:cs="Arial"/>
          <w:b/>
          <w:sz w:val="21"/>
          <w:szCs w:val="21"/>
        </w:rPr>
        <w:tab/>
        <w:t>Valoración de la propuesta y consideraciones de la Comisión de Gobernación y Puntos Constitucionales</w:t>
      </w:r>
    </w:p>
    <w:p w14:paraId="7DCEB9EC" w14:textId="77777777" w:rsidR="009453F4" w:rsidRPr="009453F4" w:rsidRDefault="009453F4" w:rsidP="009453F4">
      <w:pPr>
        <w:jc w:val="both"/>
        <w:rPr>
          <w:rFonts w:ascii="Abadi" w:hAnsi="Abadi" w:cs="Arial"/>
          <w:b/>
          <w:sz w:val="21"/>
          <w:szCs w:val="21"/>
          <w:lang w:val="es-ES_tradnl"/>
        </w:rPr>
      </w:pPr>
    </w:p>
    <w:p w14:paraId="7EBF9734" w14:textId="77777777" w:rsidR="009453F4" w:rsidRPr="009453F4" w:rsidRDefault="009453F4" w:rsidP="009453F4">
      <w:pPr>
        <w:spacing w:line="360" w:lineRule="auto"/>
        <w:ind w:firstLine="708"/>
        <w:jc w:val="both"/>
        <w:rPr>
          <w:rFonts w:ascii="Abadi" w:eastAsia="Batang" w:hAnsi="Abadi" w:cs="Arial"/>
          <w:sz w:val="21"/>
          <w:szCs w:val="21"/>
          <w:highlight w:val="yellow"/>
          <w:lang w:val="es-MX"/>
        </w:rPr>
      </w:pPr>
      <w:r w:rsidRPr="009453F4">
        <w:rPr>
          <w:rFonts w:ascii="Abadi" w:eastAsia="Batang" w:hAnsi="Abadi" w:cs="Arial"/>
          <w:sz w:val="21"/>
          <w:szCs w:val="21"/>
          <w:lang w:val="es-MX"/>
        </w:rPr>
        <w:t xml:space="preserve">Quienes integramos la comisión dictaminadora, referenciamos los puntos sobre los cuales versa la propuesta que tienen como objeto </w:t>
      </w:r>
      <w:r w:rsidRPr="009453F4">
        <w:rPr>
          <w:rFonts w:ascii="Abadi" w:hAnsi="Abadi" w:cs="Arial"/>
          <w:sz w:val="21"/>
          <w:szCs w:val="21"/>
        </w:rPr>
        <w:t xml:space="preserve">exhortar </w:t>
      </w:r>
      <w:r w:rsidRPr="009453F4">
        <w:rPr>
          <w:rFonts w:ascii="Abadi" w:eastAsia="Batang" w:hAnsi="Abadi" w:cs="Arial"/>
          <w:bCs/>
          <w:sz w:val="21"/>
          <w:szCs w:val="21"/>
        </w:rPr>
        <w:t xml:space="preserve">al titular de la Fiscalía para que obre </w:t>
      </w:r>
      <w:r w:rsidRPr="009453F4">
        <w:rPr>
          <w:rFonts w:ascii="Abadi" w:eastAsia="Batang" w:hAnsi="Abadi" w:cs="Arial"/>
          <w:bCs/>
          <w:i/>
          <w:iCs/>
          <w:sz w:val="21"/>
          <w:szCs w:val="21"/>
        </w:rPr>
        <w:t xml:space="preserve">esa Institución </w:t>
      </w:r>
      <w:r w:rsidRPr="009453F4">
        <w:rPr>
          <w:rFonts w:ascii="Abadi" w:eastAsia="Batang" w:hAnsi="Abadi" w:cs="Arial"/>
          <w:bCs/>
          <w:sz w:val="21"/>
          <w:szCs w:val="21"/>
        </w:rPr>
        <w:t xml:space="preserve">bajo el principio de máxima publicidad con respecto al derecho a la información sobre todos los contextos de </w:t>
      </w:r>
      <w:r w:rsidRPr="009453F4">
        <w:rPr>
          <w:rFonts w:ascii="Abadi" w:eastAsia="Batang" w:hAnsi="Abadi" w:cs="Arial"/>
          <w:bCs/>
          <w:sz w:val="21"/>
          <w:szCs w:val="21"/>
        </w:rPr>
        <w:t>hallazgo, incluyendo en particular las fosas clandestinas de los que tiene conocimiento y homologue consecuentemente los datos del mapa que aparecen en la página oficial</w:t>
      </w:r>
      <w:r w:rsidRPr="009453F4">
        <w:rPr>
          <w:rFonts w:ascii="Abadi" w:eastAsia="Batang" w:hAnsi="Abadi" w:cs="Arial"/>
          <w:sz w:val="21"/>
          <w:szCs w:val="21"/>
          <w:lang w:val="es-MX"/>
        </w:rPr>
        <w:t>.</w:t>
      </w:r>
    </w:p>
    <w:p w14:paraId="1718AB7E" w14:textId="77777777" w:rsidR="009453F4" w:rsidRPr="009453F4" w:rsidRDefault="009453F4" w:rsidP="009453F4">
      <w:pPr>
        <w:ind w:firstLine="708"/>
        <w:jc w:val="both"/>
        <w:rPr>
          <w:rFonts w:ascii="Abadi" w:eastAsia="Batang" w:hAnsi="Abadi" w:cs="Arial"/>
          <w:sz w:val="21"/>
          <w:szCs w:val="21"/>
          <w:lang w:val="es-MX"/>
        </w:rPr>
      </w:pPr>
    </w:p>
    <w:p w14:paraId="2877AF28" w14:textId="77777777" w:rsidR="009453F4" w:rsidRPr="009453F4" w:rsidRDefault="009453F4" w:rsidP="009453F4">
      <w:pPr>
        <w:spacing w:line="360" w:lineRule="auto"/>
        <w:ind w:firstLine="708"/>
        <w:jc w:val="both"/>
        <w:rPr>
          <w:rFonts w:ascii="Abadi" w:eastAsia="Batang" w:hAnsi="Abadi" w:cs="Arial"/>
          <w:sz w:val="21"/>
          <w:szCs w:val="21"/>
          <w:lang w:val="es-MX"/>
        </w:rPr>
      </w:pPr>
      <w:r w:rsidRPr="009453F4">
        <w:rPr>
          <w:rFonts w:ascii="Abadi" w:eastAsia="Batang" w:hAnsi="Abadi" w:cs="Arial"/>
          <w:sz w:val="21"/>
          <w:szCs w:val="21"/>
          <w:lang w:val="es-MX"/>
        </w:rPr>
        <w:t>Las y los proponentes expusieron en sus consideraciones lo siguiente:</w:t>
      </w:r>
    </w:p>
    <w:p w14:paraId="128755B8" w14:textId="77777777" w:rsidR="009453F4" w:rsidRPr="009453F4" w:rsidRDefault="009453F4" w:rsidP="009453F4">
      <w:pPr>
        <w:ind w:left="115" w:right="49" w:firstLine="593"/>
        <w:jc w:val="both"/>
        <w:rPr>
          <w:rFonts w:ascii="Abadi" w:hAnsi="Abadi"/>
          <w:i/>
          <w:sz w:val="21"/>
          <w:szCs w:val="21"/>
          <w:lang w:val="es-ES_tradnl"/>
        </w:rPr>
      </w:pPr>
    </w:p>
    <w:p w14:paraId="6CF0328E"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 El 13 de mayo el grupo de buscadoras Madres Guerreras de León informó que se encontraron restos de personas en una fosa clandestina por el rumbo de Hacienda Arriba en León, Guanajuato. Las indagaciones iniciaron desde fines del mes de abril. Siguen apareciendo nuevos hallazgos de los viejos y graves problemas de seguridad en nuestra entidad, que habían sido negados, hasta que la presión social llevó a reconocer su penosa existencia.</w:t>
      </w:r>
    </w:p>
    <w:p w14:paraId="55D07310" w14:textId="77777777" w:rsidR="009453F4" w:rsidRPr="009453F4" w:rsidRDefault="009453F4" w:rsidP="009453F4">
      <w:pPr>
        <w:ind w:left="709" w:right="1246"/>
        <w:jc w:val="both"/>
        <w:rPr>
          <w:rFonts w:ascii="Abadi" w:hAnsi="Abadi"/>
          <w:i/>
          <w:sz w:val="21"/>
          <w:szCs w:val="21"/>
        </w:rPr>
      </w:pPr>
    </w:p>
    <w:p w14:paraId="38DB01DB"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Las instituciones creadas para brindar justicia y acompañar a las víctimas deben reacomodarse para suplir las omisiones en la información -principalmente la Fiscalía Estatal de Guanajuato- y requieren fortalecerse en su organización y en el respaldo financiero, lo hemos dicho muchas veces, para cumplir a cabalidad sus objetivos. De eso trata este Punto de Acuerdo.</w:t>
      </w:r>
    </w:p>
    <w:p w14:paraId="44E30E9E" w14:textId="77777777" w:rsidR="009453F4" w:rsidRPr="009453F4" w:rsidRDefault="009453F4" w:rsidP="009453F4">
      <w:pPr>
        <w:ind w:left="709" w:right="1246"/>
        <w:jc w:val="both"/>
        <w:rPr>
          <w:rFonts w:ascii="Abadi" w:hAnsi="Abadi"/>
          <w:i/>
          <w:sz w:val="21"/>
          <w:szCs w:val="21"/>
        </w:rPr>
      </w:pPr>
    </w:p>
    <w:p w14:paraId="55B497FE"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 xml:space="preserve">En la reciente mesa de trabajo con este Congreso y a pregunta expresa por parte del Grupo Parlamentario de Morena el Fiscal Zamarripa respondió que nunca había negado la existencia de fosas </w:t>
      </w:r>
      <w:r w:rsidRPr="009453F4">
        <w:rPr>
          <w:rFonts w:ascii="Abadi" w:hAnsi="Abadi"/>
          <w:i/>
          <w:sz w:val="21"/>
          <w:szCs w:val="21"/>
        </w:rPr>
        <w:lastRenderedPageBreak/>
        <w:t>clandestinas en la entidad. Se le respondió que si hasta antes del 2020 lo que existían eran “hoyos con cuerpos” y el Fiscal lo aceptó. Es como si antes de haber acuñado el término feminicidio en la Ciudad de México a fines de la primera década de este siglo, no hubiese habido asesinatos de mujeres en razón de género o no se reconociera la desigualdad de las personas con discapacidad porque antes se les llamaba “inválidas”. El viejo dilema del problema y cómo se le nombra.</w:t>
      </w:r>
      <w:r w:rsidRPr="009453F4">
        <w:rPr>
          <w:rFonts w:ascii="Abadi" w:hAnsi="Abadi"/>
          <w:i/>
          <w:sz w:val="21"/>
          <w:szCs w:val="21"/>
          <w:vertAlign w:val="superscript"/>
        </w:rPr>
        <w:footnoteReference w:id="51"/>
      </w:r>
    </w:p>
    <w:p w14:paraId="0C37C7E3" w14:textId="77777777" w:rsidR="009453F4" w:rsidRPr="009453F4" w:rsidRDefault="009453F4" w:rsidP="009453F4">
      <w:pPr>
        <w:ind w:left="709" w:right="1246"/>
        <w:jc w:val="both"/>
        <w:rPr>
          <w:rFonts w:ascii="Abadi" w:hAnsi="Abadi"/>
          <w:i/>
          <w:sz w:val="21"/>
          <w:szCs w:val="21"/>
        </w:rPr>
      </w:pPr>
    </w:p>
    <w:p w14:paraId="52FC166C"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Es conveniente acudir a la historia para contextualizar esta respuesta del Fiscal Zamarripa, ahora que en este Congreso se tiene un formato más adecuado para discutirla y proponer un punto de acuerdo sobre la materia. La narrativa histórica oficial no reconoce su tardía postura en el reconocimiento y en las acciones sobre la desaparición de personas en Guanajuato, por eso es importante desmontar esta versión.</w:t>
      </w:r>
    </w:p>
    <w:p w14:paraId="2BF50799" w14:textId="77777777" w:rsidR="009453F4" w:rsidRPr="009453F4" w:rsidRDefault="009453F4" w:rsidP="009453F4">
      <w:pPr>
        <w:ind w:left="709" w:right="1246"/>
        <w:jc w:val="both"/>
        <w:rPr>
          <w:rFonts w:ascii="Abadi" w:hAnsi="Abadi"/>
          <w:i/>
          <w:sz w:val="21"/>
          <w:szCs w:val="21"/>
        </w:rPr>
      </w:pPr>
    </w:p>
    <w:p w14:paraId="723154AB"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 xml:space="preserve">Lo dice mejor el planteamiento atribuido a Milán Kundera: Para liquidar a los pueblos se empieza por privarlos de la memoria. Destruyen tus libros, tu cultura, tu historia. Alguien escribe otros libros, les da otra cultura, inventa otra historia; después, la gente comienza a olvidar </w:t>
      </w:r>
      <w:r w:rsidRPr="009453F4">
        <w:rPr>
          <w:rFonts w:ascii="Abadi" w:hAnsi="Abadi"/>
          <w:i/>
          <w:sz w:val="21"/>
          <w:szCs w:val="21"/>
        </w:rPr>
        <w:t>lentamente lo que son y lo que fueron.</w:t>
      </w:r>
    </w:p>
    <w:p w14:paraId="698A0706" w14:textId="77777777" w:rsidR="009453F4" w:rsidRPr="009453F4" w:rsidRDefault="009453F4" w:rsidP="009453F4">
      <w:pPr>
        <w:ind w:left="709" w:right="1246"/>
        <w:jc w:val="both"/>
        <w:rPr>
          <w:rFonts w:ascii="Abadi" w:hAnsi="Abadi"/>
          <w:i/>
          <w:sz w:val="21"/>
          <w:szCs w:val="21"/>
        </w:rPr>
      </w:pPr>
    </w:p>
    <w:p w14:paraId="6F3C6863"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El término de fosa clandestina, junto con o como sinónimo de sitio de inhumación clandestina, ya existía en el protocolo homologado de identificación (2015) y el protocolo de investigación en delitos de desaparición de 2019, así como en definiciones, cuando menos indicativas, emitidas públicamente por la Secretaría de Gobernación (2019) y la Comisión Nacional de Derechos Humanos (2016).</w:t>
      </w:r>
    </w:p>
    <w:p w14:paraId="7B7D9DCA" w14:textId="77777777" w:rsidR="009453F4" w:rsidRPr="009453F4" w:rsidRDefault="009453F4" w:rsidP="009453F4">
      <w:pPr>
        <w:ind w:left="709" w:right="1246"/>
        <w:jc w:val="both"/>
        <w:rPr>
          <w:rFonts w:ascii="Abadi" w:hAnsi="Abadi"/>
          <w:i/>
          <w:sz w:val="21"/>
          <w:szCs w:val="21"/>
        </w:rPr>
      </w:pPr>
    </w:p>
    <w:p w14:paraId="1D1B4A18"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Además, ya era de uso común en muchos estados, por parte de las autoridades también, y claro por parte de decenas de colectivos de familiares en el país. Cuando se habla de "negación" oficial en Guanajuato, es porque antes del octubre de 2020, cuando salió otro protocolo, el Homologado de Búsqueda, contenía la definición de fosa clandestina; tanto la Unidad de Transparencia de FGE, como las y los funcionarios y el poder ejecutivo, no admitían su existencia en el territorio de Guanajuato, o bien utilizaban eufemismos que, en los hechos, negaban su presencia.</w:t>
      </w:r>
    </w:p>
    <w:p w14:paraId="3AF62A00" w14:textId="77777777" w:rsidR="009453F4" w:rsidRPr="009453F4" w:rsidRDefault="009453F4" w:rsidP="009453F4">
      <w:pPr>
        <w:ind w:left="709" w:right="1246"/>
        <w:jc w:val="both"/>
        <w:rPr>
          <w:rFonts w:ascii="Abadi" w:hAnsi="Abadi"/>
          <w:i/>
          <w:sz w:val="21"/>
          <w:szCs w:val="21"/>
        </w:rPr>
      </w:pPr>
    </w:p>
    <w:p w14:paraId="10B60D15"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 xml:space="preserve">La Comisión Estatal de Búsqueda es la responsable legal de mantener el registro de fosas clandestinas y </w:t>
      </w:r>
      <w:r w:rsidRPr="009453F4">
        <w:rPr>
          <w:rFonts w:ascii="Abadi" w:hAnsi="Abadi"/>
          <w:i/>
          <w:sz w:val="21"/>
          <w:szCs w:val="21"/>
        </w:rPr>
        <w:lastRenderedPageBreak/>
        <w:t>comunes; sin embargo, antes de junio de 2020 y de la ley estatal, esto era tarea de la Fiscalía; además, es una tarea compartida porque el registro contiene el listado y datos de fosas, o debería contenerlo, fosas que, por ley, la Fiscalía procesa y registra. Así que la FGE debió de contar con la información completa, misma que es ocultada hasta esa fecha en sus respuestas de transparencia.</w:t>
      </w:r>
    </w:p>
    <w:p w14:paraId="33209241" w14:textId="77777777" w:rsidR="009453F4" w:rsidRPr="009453F4" w:rsidRDefault="009453F4" w:rsidP="009453F4">
      <w:pPr>
        <w:ind w:left="709" w:right="1246"/>
        <w:jc w:val="both"/>
        <w:rPr>
          <w:rFonts w:ascii="Abadi" w:hAnsi="Abadi"/>
          <w:i/>
          <w:sz w:val="21"/>
          <w:szCs w:val="21"/>
        </w:rPr>
      </w:pPr>
    </w:p>
    <w:p w14:paraId="0397A73A"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Los informes de la Secretaría de Gobernación hasta octubre de 2020 no documentaron presencia de fosas clandestinas en Guanajuato, pues se basaban entre otras cosas en la información enviada por las fiscalías estatales, y entonces quiere decir que la de nuestro estado seguía enviando información de "cero fosas".</w:t>
      </w:r>
    </w:p>
    <w:p w14:paraId="6BF706DA" w14:textId="77777777" w:rsidR="009453F4" w:rsidRPr="009453F4" w:rsidRDefault="009453F4" w:rsidP="009453F4">
      <w:pPr>
        <w:ind w:left="709" w:right="1246"/>
        <w:jc w:val="both"/>
        <w:rPr>
          <w:rFonts w:ascii="Abadi" w:hAnsi="Abadi"/>
          <w:i/>
          <w:sz w:val="21"/>
          <w:szCs w:val="21"/>
        </w:rPr>
      </w:pPr>
    </w:p>
    <w:p w14:paraId="7ECECE88"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Las palabras literales del fiscal sobre fosas indican que la institución ha tenido un patrón de invisibilización, no-prioridad y desinterés, que se traduce una negación de facto del fenómeno; como antes de 2019-2020 lo había tenido, con el problema y las altas cifras de personas desaparecidas.</w:t>
      </w:r>
    </w:p>
    <w:p w14:paraId="5ED622A1" w14:textId="77777777" w:rsidR="009453F4" w:rsidRPr="009453F4" w:rsidRDefault="009453F4" w:rsidP="009453F4">
      <w:pPr>
        <w:ind w:left="709" w:right="1246"/>
        <w:jc w:val="both"/>
        <w:rPr>
          <w:rFonts w:ascii="Abadi" w:hAnsi="Abadi"/>
          <w:i/>
          <w:sz w:val="21"/>
          <w:szCs w:val="21"/>
        </w:rPr>
      </w:pPr>
    </w:p>
    <w:p w14:paraId="57FB51A1"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 xml:space="preserve">Para fortalecer este señalamiento, leeré algunos párrafos del Informe sobre la situación </w:t>
      </w:r>
      <w:r w:rsidRPr="009453F4">
        <w:rPr>
          <w:rFonts w:ascii="Abadi" w:hAnsi="Abadi"/>
          <w:i/>
          <w:sz w:val="21"/>
          <w:szCs w:val="21"/>
        </w:rPr>
        <w:t>de fosas clandestinas en el estado de Guanajuato.</w:t>
      </w:r>
      <w:r w:rsidRPr="009453F4">
        <w:rPr>
          <w:rFonts w:ascii="Abadi" w:hAnsi="Abadi"/>
          <w:i/>
          <w:sz w:val="21"/>
          <w:szCs w:val="21"/>
          <w:vertAlign w:val="superscript"/>
        </w:rPr>
        <w:footnoteReference w:id="52"/>
      </w:r>
    </w:p>
    <w:p w14:paraId="5F7770D7" w14:textId="77777777" w:rsidR="009453F4" w:rsidRPr="009453F4" w:rsidRDefault="009453F4" w:rsidP="009453F4">
      <w:pPr>
        <w:ind w:left="709" w:right="1246"/>
        <w:jc w:val="both"/>
        <w:rPr>
          <w:rFonts w:ascii="Abadi" w:hAnsi="Abadi"/>
          <w:i/>
          <w:sz w:val="21"/>
          <w:szCs w:val="21"/>
        </w:rPr>
      </w:pPr>
    </w:p>
    <w:p w14:paraId="0430E2C4" w14:textId="77777777" w:rsidR="009453F4" w:rsidRPr="009453F4" w:rsidRDefault="009453F4" w:rsidP="009453F4">
      <w:pPr>
        <w:ind w:left="1134" w:right="1671"/>
        <w:jc w:val="both"/>
        <w:rPr>
          <w:rFonts w:ascii="Abadi" w:hAnsi="Abadi"/>
          <w:i/>
          <w:sz w:val="21"/>
          <w:szCs w:val="21"/>
        </w:rPr>
      </w:pPr>
      <w:r w:rsidRPr="009453F4">
        <w:rPr>
          <w:rFonts w:ascii="Abadi" w:hAnsi="Abadi"/>
          <w:i/>
          <w:sz w:val="21"/>
          <w:szCs w:val="21"/>
        </w:rPr>
        <w:t>“El Informe Especial de la Comisión Nacional de los Derechos Humanos (CNDH) sobre Desaparición de Personas y Fosas Clandestinas en México de 2016 destacó, con base en fuentes hemerográficas, el hallazgo entre</w:t>
      </w:r>
    </w:p>
    <w:p w14:paraId="627839F0" w14:textId="77777777" w:rsidR="009453F4" w:rsidRPr="009453F4" w:rsidRDefault="009453F4" w:rsidP="009453F4">
      <w:pPr>
        <w:ind w:left="1134" w:right="1671"/>
        <w:jc w:val="both"/>
        <w:rPr>
          <w:rFonts w:ascii="Abadi" w:hAnsi="Abadi"/>
          <w:i/>
          <w:sz w:val="21"/>
          <w:szCs w:val="21"/>
        </w:rPr>
      </w:pPr>
      <w:r w:rsidRPr="009453F4">
        <w:rPr>
          <w:rFonts w:ascii="Abadi" w:hAnsi="Abadi"/>
          <w:i/>
          <w:sz w:val="21"/>
          <w:szCs w:val="21"/>
        </w:rPr>
        <w:t>2007 y septiembre de 2016 de 18 fosas clandestinas con 22 cuerpos en la</w:t>
      </w:r>
    </w:p>
    <w:p w14:paraId="3953A9FE" w14:textId="77777777" w:rsidR="009453F4" w:rsidRPr="009453F4" w:rsidRDefault="009453F4" w:rsidP="009453F4">
      <w:pPr>
        <w:ind w:left="1134" w:right="1671"/>
        <w:jc w:val="both"/>
        <w:rPr>
          <w:rFonts w:ascii="Abadi" w:hAnsi="Abadi"/>
          <w:i/>
          <w:sz w:val="21"/>
          <w:szCs w:val="21"/>
        </w:rPr>
      </w:pPr>
      <w:r w:rsidRPr="009453F4">
        <w:rPr>
          <w:rFonts w:ascii="Abadi" w:hAnsi="Abadi"/>
          <w:i/>
          <w:sz w:val="21"/>
          <w:szCs w:val="21"/>
        </w:rPr>
        <w:t>entidad”.</w:t>
      </w:r>
    </w:p>
    <w:p w14:paraId="59AD4E23" w14:textId="77777777" w:rsidR="009453F4" w:rsidRPr="009453F4" w:rsidRDefault="009453F4" w:rsidP="009453F4">
      <w:pPr>
        <w:ind w:left="1134" w:right="1671"/>
        <w:jc w:val="both"/>
        <w:rPr>
          <w:rFonts w:ascii="Abadi" w:hAnsi="Abadi"/>
          <w:i/>
          <w:sz w:val="21"/>
          <w:szCs w:val="21"/>
        </w:rPr>
      </w:pPr>
      <w:r w:rsidRPr="009453F4">
        <w:rPr>
          <w:rFonts w:ascii="Abadi" w:hAnsi="Abadi"/>
          <w:i/>
          <w:sz w:val="21"/>
          <w:szCs w:val="21"/>
        </w:rPr>
        <w:t xml:space="preserve">“Por otro lado, el 13 de mayo de 2019, el subsecretario de Derechos Humanos, Población y Migración, Alejandro Encinas Rodríguez, y la Comisión Nacional de Búsqueda de Personas Desaparecidas (CNB) presentaron un Informe sobre Fosas Clandestinas y el Registro Nacional de Personas Desaparecidas o No Localizadas (RNPDNO), en el cual se documentó </w:t>
      </w:r>
      <w:r w:rsidRPr="009453F4">
        <w:rPr>
          <w:rFonts w:ascii="Abadi" w:hAnsi="Abadi"/>
          <w:i/>
          <w:sz w:val="21"/>
          <w:szCs w:val="21"/>
        </w:rPr>
        <w:lastRenderedPageBreak/>
        <w:t>únicamente la localización por parte de la Federación de tan solo una fosa clandestina en Guanajuato en los primeros cinco meses del gobierno en turno…en cambio, el mismo Informe actualizado al 6 de enero de 2020 no documentó la existencia de fosas clandestinas en el estado. Asimismo, en julio 13 de 2020, en la última presentación del</w:t>
      </w:r>
    </w:p>
    <w:p w14:paraId="689B7EE3" w14:textId="77777777" w:rsidR="009453F4" w:rsidRPr="009453F4" w:rsidRDefault="009453F4" w:rsidP="009453F4">
      <w:pPr>
        <w:ind w:left="1134" w:right="1671"/>
        <w:jc w:val="both"/>
        <w:rPr>
          <w:rFonts w:ascii="Abadi" w:hAnsi="Abadi"/>
          <w:i/>
          <w:sz w:val="21"/>
          <w:szCs w:val="21"/>
        </w:rPr>
      </w:pPr>
      <w:r w:rsidRPr="009453F4">
        <w:rPr>
          <w:rFonts w:ascii="Abadi" w:hAnsi="Abadi"/>
          <w:i/>
          <w:sz w:val="21"/>
          <w:szCs w:val="21"/>
        </w:rPr>
        <w:t xml:space="preserve">RNPDNO y de datos de fosas clandestinas con las que cuenta la Comisión Nacional de Búsqueda (CNB), el estado de Guanajuato fue señalado entre las seis entidades que no habían entregado datos actualizados sobre personas desaparecidas y tampoco aparece entre las entidades con hallazgos de fosas clandestinas”. “En contraste con lo difundido en 2019 por autoridades federales y con lo que han estado reportando los medios de comunicación </w:t>
      </w:r>
      <w:r w:rsidRPr="009453F4">
        <w:rPr>
          <w:rFonts w:ascii="Abadi" w:hAnsi="Abadi"/>
          <w:i/>
          <w:sz w:val="21"/>
          <w:szCs w:val="21"/>
        </w:rPr>
        <w:t>locales, nacionales e internacionales, los datos oficiales de la Fiscalía General del Estado (FGE) no indican la presencia de fosas clandestinas en Guanajuato ni de registros adecuados según lo prevé la Ley General en Materia de Desaparición Forzada, Desaparición Cometida por Particulares y del Sistema Nacional de Búsqueda de Personas”.</w:t>
      </w:r>
    </w:p>
    <w:p w14:paraId="305FB311" w14:textId="77777777" w:rsidR="009453F4" w:rsidRPr="009453F4" w:rsidRDefault="009453F4" w:rsidP="009453F4">
      <w:pPr>
        <w:ind w:left="1134" w:right="1671"/>
        <w:jc w:val="both"/>
        <w:rPr>
          <w:rFonts w:ascii="Abadi" w:hAnsi="Abadi"/>
          <w:i/>
          <w:sz w:val="21"/>
          <w:szCs w:val="21"/>
        </w:rPr>
      </w:pPr>
    </w:p>
    <w:p w14:paraId="62655C87"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 xml:space="preserve">“Respecto de la petición contestada por la FGE el 21 de octubre de 2019, solicitud 02686819 en la que se preguntaba por el número de fosas clandestinas y de cuerpos exhumados, la Unidad reiteró que no se contaba con casos o registros bajo dichos parámetros en el estado, es decir que no había registro de fosas clandestinas, aunque reiteró la presencia entre 2015 y septiembre de 2019 de 20 cuerpos de personas enterrados en la entidad, sin dar a conocer su ubicación, misma que no está asentada en una base de datos, sino solamente en las carpetas de </w:t>
      </w:r>
      <w:r w:rsidRPr="009453F4">
        <w:rPr>
          <w:rFonts w:ascii="Abadi" w:hAnsi="Abadi"/>
          <w:i/>
          <w:sz w:val="21"/>
          <w:szCs w:val="21"/>
        </w:rPr>
        <w:lastRenderedPageBreak/>
        <w:t>investigación de cada caso.”</w:t>
      </w:r>
      <w:r w:rsidRPr="009453F4">
        <w:rPr>
          <w:rFonts w:ascii="Abadi" w:hAnsi="Abadi"/>
          <w:i/>
          <w:sz w:val="21"/>
          <w:szCs w:val="21"/>
          <w:vertAlign w:val="superscript"/>
        </w:rPr>
        <w:footnoteReference w:id="53"/>
      </w:r>
    </w:p>
    <w:p w14:paraId="659BA093" w14:textId="77777777" w:rsidR="009453F4" w:rsidRPr="009453F4" w:rsidRDefault="009453F4" w:rsidP="009453F4">
      <w:pPr>
        <w:ind w:left="709" w:right="1246"/>
        <w:jc w:val="both"/>
        <w:rPr>
          <w:rFonts w:ascii="Abadi" w:hAnsi="Abadi"/>
          <w:i/>
          <w:sz w:val="21"/>
          <w:szCs w:val="21"/>
        </w:rPr>
      </w:pPr>
    </w:p>
    <w:p w14:paraId="1E6C1912"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“Ante congresistas locales y medios, en noviembre de 2019, la fiscal especializada en desapariciones, Yolanda Ramírez, sostenía que sólo había 11 denuncias por desaparición de personas en el estado, y esta información es confirmada dentro de la respuesta a solicitud de información pública que se acaba de citar. En ese momento, según datos recabados de peticiones ciudadanas, la cifra real era de por lo menos 1,443 personas desaparecidas.</w:t>
      </w:r>
      <w:r w:rsidRPr="009453F4">
        <w:rPr>
          <w:rFonts w:ascii="Abadi" w:hAnsi="Abadi"/>
          <w:i/>
          <w:sz w:val="21"/>
          <w:szCs w:val="21"/>
          <w:vertAlign w:val="superscript"/>
        </w:rPr>
        <w:footnoteReference w:id="54"/>
      </w:r>
    </w:p>
    <w:p w14:paraId="340A9012" w14:textId="77777777" w:rsidR="009453F4" w:rsidRPr="009453F4" w:rsidRDefault="009453F4" w:rsidP="009453F4">
      <w:pPr>
        <w:ind w:left="709" w:right="1246"/>
        <w:jc w:val="both"/>
        <w:rPr>
          <w:rFonts w:ascii="Abadi" w:hAnsi="Abadi"/>
          <w:i/>
          <w:sz w:val="21"/>
          <w:szCs w:val="21"/>
        </w:rPr>
      </w:pPr>
    </w:p>
    <w:p w14:paraId="1445D5CA"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“Además, los testimonios de familias y grupos de buscadores en el estado (con uno o más casos de desaparición) se estaban multiplicando y para finales de año ya tenían mayor visibilización. Los datos de la FGE obtenidos por transparencia, señalaban que había por lo menos 1,040 casos de personas desaparecidas y que en el rango máximo podría llegar hasta 2,100 personas, al corte del 31/12/2019 (folio 00052820 del 20/01/2020). El problema es que casi todos se clasificaban como “indagatorias por no localización de personas”, o sea no se investigaban por los delitos tipificados en la Ley General en Materia de Desaparición”.</w:t>
      </w:r>
    </w:p>
    <w:p w14:paraId="5627524A" w14:textId="77777777" w:rsidR="009453F4" w:rsidRPr="009453F4" w:rsidRDefault="009453F4" w:rsidP="009453F4">
      <w:pPr>
        <w:ind w:left="709" w:right="1246"/>
        <w:jc w:val="both"/>
        <w:rPr>
          <w:rFonts w:ascii="Abadi" w:hAnsi="Abadi"/>
          <w:i/>
          <w:sz w:val="21"/>
          <w:szCs w:val="21"/>
        </w:rPr>
      </w:pPr>
    </w:p>
    <w:p w14:paraId="3D8CCBA8"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 xml:space="preserve">“El 20 de enero de 2020, ante la solicitud </w:t>
      </w:r>
      <w:r w:rsidRPr="009453F4">
        <w:rPr>
          <w:rFonts w:ascii="Abadi" w:hAnsi="Abadi"/>
          <w:i/>
          <w:sz w:val="21"/>
          <w:szCs w:val="21"/>
        </w:rPr>
        <w:t>00052820, que pedía información sobre el número y la ubicación de las fosas clandestinas o entierros clandestinos (superficiales o profundos) de cualquier tipo, así como de los restos humanos o cuerpos de personas encontrados desde que se tuviera registro, la Unidad de Transparencia contestó que no se contaba con registros de fosas en el Estado Respuesta similar se obtuvo el 13 de febrero de 2020, en respuesta a las solicitudes con folios 00345020 y 00349020”,</w:t>
      </w:r>
    </w:p>
    <w:p w14:paraId="5D6DBFA6" w14:textId="77777777" w:rsidR="009453F4" w:rsidRPr="009453F4" w:rsidRDefault="009453F4" w:rsidP="009453F4">
      <w:pPr>
        <w:ind w:left="709" w:right="1246"/>
        <w:jc w:val="both"/>
        <w:rPr>
          <w:rFonts w:ascii="Abadi" w:hAnsi="Abadi"/>
          <w:i/>
          <w:sz w:val="21"/>
          <w:szCs w:val="21"/>
        </w:rPr>
      </w:pPr>
    </w:p>
    <w:p w14:paraId="565E386B"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Actualmente en la página de la Fiscalía de Guanajuato se publica un "mapa"</w:t>
      </w:r>
      <w:r w:rsidRPr="009453F4">
        <w:rPr>
          <w:rFonts w:ascii="Abadi" w:hAnsi="Abadi"/>
          <w:i/>
          <w:sz w:val="21"/>
          <w:szCs w:val="21"/>
          <w:vertAlign w:val="superscript"/>
        </w:rPr>
        <w:footnoteReference w:id="55"/>
      </w:r>
      <w:r w:rsidRPr="009453F4">
        <w:rPr>
          <w:rFonts w:ascii="Abadi" w:hAnsi="Abadi"/>
          <w:i/>
          <w:sz w:val="21"/>
          <w:szCs w:val="21"/>
        </w:rPr>
        <w:t xml:space="preserve"> que según FGE vale como "registro", en sustitución del registro de fosas o como listado de hallazgos que procesó la fiscalía, siendo que estos últimos son muchos más y no están en el mapa; este mapa además no tiene información suficiente sobre periodos de procesamiento y descubrimiento y fechas. Dada la inconsistencia histórica en los reportes, porque no se ajustan a definiciones propias y a la tendencia sistemática a la elusión de la información proporcionada por la FEG, relacionada con personas desaparecidas, fosas clandestinas y contextos de </w:t>
      </w:r>
    </w:p>
    <w:p w14:paraId="77A73709"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 xml:space="preserve">hallazgo -como es el caso de la zona cerril de Juventino Rosas pues técnicamente un pozo puede no ser una fosa clandestina-, se propone a </w:t>
      </w:r>
      <w:r w:rsidRPr="009453F4">
        <w:rPr>
          <w:rFonts w:ascii="Abadi" w:hAnsi="Abadi"/>
          <w:i/>
          <w:sz w:val="21"/>
          <w:szCs w:val="21"/>
        </w:rPr>
        <w:lastRenderedPageBreak/>
        <w:t>esta Soberanía el siguiente punto de: ACUERDO</w:t>
      </w:r>
    </w:p>
    <w:p w14:paraId="64F75020" w14:textId="77777777" w:rsidR="009453F4" w:rsidRPr="009453F4" w:rsidRDefault="009453F4" w:rsidP="009453F4">
      <w:pPr>
        <w:ind w:left="709" w:right="1246"/>
        <w:jc w:val="both"/>
        <w:rPr>
          <w:rFonts w:ascii="Abadi" w:hAnsi="Abadi"/>
          <w:i/>
          <w:sz w:val="21"/>
          <w:szCs w:val="21"/>
        </w:rPr>
      </w:pPr>
    </w:p>
    <w:p w14:paraId="7EC9BF34" w14:textId="77777777" w:rsidR="009453F4" w:rsidRPr="009453F4" w:rsidRDefault="009453F4" w:rsidP="009453F4">
      <w:pPr>
        <w:ind w:left="709" w:right="1246"/>
        <w:jc w:val="both"/>
        <w:rPr>
          <w:rFonts w:ascii="Abadi" w:hAnsi="Abadi"/>
          <w:i/>
          <w:sz w:val="21"/>
          <w:szCs w:val="21"/>
        </w:rPr>
      </w:pPr>
      <w:r w:rsidRPr="009453F4">
        <w:rPr>
          <w:rFonts w:ascii="Abadi" w:hAnsi="Abadi"/>
          <w:i/>
          <w:sz w:val="21"/>
          <w:szCs w:val="21"/>
        </w:rPr>
        <w:t>ÚNICO. - Esta LXV Legislatura del Estado de Guanajuato acuerda girar un respetuoso EXHORTO al Fiscal General de Guanajuato Carlos Zamarripa para que la Fiscalía a su cargo obre bajo el principio de máxima publicidad con respecto al derecho a la información sobre todos los contextos de hallazgo, incluyendo en particular las fosas clandestinas de los que tiene conocimiento y homologue consecuentemente los datos del “mapa” que aparecen en su página oficial.»</w:t>
      </w:r>
    </w:p>
    <w:p w14:paraId="1CB91718" w14:textId="77777777" w:rsidR="009453F4" w:rsidRPr="009453F4" w:rsidRDefault="009453F4" w:rsidP="009453F4">
      <w:pPr>
        <w:autoSpaceDE w:val="0"/>
        <w:autoSpaceDN w:val="0"/>
        <w:adjustRightInd w:val="0"/>
        <w:spacing w:line="360" w:lineRule="auto"/>
        <w:ind w:firstLine="708"/>
        <w:jc w:val="both"/>
        <w:rPr>
          <w:rFonts w:ascii="Abadi" w:eastAsia="Calibri" w:hAnsi="Abadi"/>
          <w:sz w:val="21"/>
          <w:szCs w:val="21"/>
          <w:lang w:val="es-MX" w:eastAsia="en-US"/>
        </w:rPr>
      </w:pPr>
    </w:p>
    <w:p w14:paraId="03B7A819" w14:textId="77777777" w:rsidR="009453F4" w:rsidRPr="009453F4" w:rsidRDefault="009453F4" w:rsidP="009453F4">
      <w:pPr>
        <w:autoSpaceDE w:val="0"/>
        <w:autoSpaceDN w:val="0"/>
        <w:adjustRightInd w:val="0"/>
        <w:spacing w:line="360" w:lineRule="auto"/>
        <w:ind w:firstLine="708"/>
        <w:jc w:val="both"/>
        <w:rPr>
          <w:rFonts w:ascii="Abadi" w:eastAsia="Calibri" w:hAnsi="Abadi"/>
          <w:sz w:val="21"/>
          <w:szCs w:val="21"/>
          <w:lang w:val="es-MX" w:eastAsia="en-US"/>
        </w:rPr>
      </w:pPr>
      <w:r w:rsidRPr="009453F4">
        <w:rPr>
          <w:rFonts w:ascii="Abadi" w:eastAsia="Calibri" w:hAnsi="Abadi"/>
          <w:sz w:val="21"/>
          <w:szCs w:val="21"/>
          <w:lang w:val="es-MX" w:eastAsia="en-US"/>
        </w:rPr>
        <w:t xml:space="preserve">Del análisis de la propuesta podemos manifestar que su objetivo consiste </w:t>
      </w:r>
      <w:r w:rsidRPr="009453F4">
        <w:rPr>
          <w:rFonts w:ascii="Abadi" w:hAnsi="Abadi" w:cs="Arial"/>
          <w:sz w:val="21"/>
          <w:szCs w:val="21"/>
        </w:rPr>
        <w:t>en</w:t>
      </w:r>
      <w:r w:rsidRPr="009453F4">
        <w:rPr>
          <w:rFonts w:ascii="Abadi" w:eastAsia="Calibri" w:hAnsi="Abadi"/>
          <w:sz w:val="21"/>
          <w:szCs w:val="21"/>
          <w:lang w:val="es-MX" w:eastAsia="en-US"/>
        </w:rPr>
        <w:t xml:space="preserve"> exhortar </w:t>
      </w:r>
      <w:r w:rsidRPr="009453F4">
        <w:rPr>
          <w:rFonts w:ascii="Abadi" w:eastAsia="Batang" w:hAnsi="Abadi" w:cs="Arial"/>
          <w:bCs/>
          <w:sz w:val="21"/>
          <w:szCs w:val="21"/>
        </w:rPr>
        <w:t>al Fiscal General de Guanajuato Carlos Zamarripa para que ese organismo autónomo bajo el principio de máxima publicidad realice acciones con respecto al derecho a la información sobre los contextos de hallazgo, incluyendo en particular las fosas clandestinas de los que tiene conocimiento y homologue en consecuencia los datos del mapa que aparecen en su página oficial</w:t>
      </w:r>
      <w:r w:rsidRPr="009453F4">
        <w:rPr>
          <w:rFonts w:ascii="Abadi" w:eastAsia="Calibri" w:hAnsi="Abadi"/>
          <w:sz w:val="21"/>
          <w:szCs w:val="21"/>
          <w:lang w:val="es-MX" w:eastAsia="en-US"/>
        </w:rPr>
        <w:t>.</w:t>
      </w:r>
    </w:p>
    <w:p w14:paraId="37B87949" w14:textId="77777777" w:rsidR="009453F4" w:rsidRPr="009453F4" w:rsidRDefault="009453F4" w:rsidP="009453F4">
      <w:pPr>
        <w:autoSpaceDE w:val="0"/>
        <w:autoSpaceDN w:val="0"/>
        <w:adjustRightInd w:val="0"/>
        <w:ind w:firstLine="708"/>
        <w:jc w:val="both"/>
        <w:rPr>
          <w:rFonts w:ascii="Abadi" w:eastAsia="Calibri" w:hAnsi="Abadi"/>
          <w:sz w:val="21"/>
          <w:szCs w:val="21"/>
          <w:lang w:val="es-MX" w:eastAsia="en-US"/>
        </w:rPr>
      </w:pPr>
    </w:p>
    <w:p w14:paraId="3B11B3D2"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r w:rsidRPr="009453F4">
        <w:rPr>
          <w:rFonts w:ascii="Abadi" w:eastAsia="Batang" w:hAnsi="Abadi" w:cs="Arial"/>
          <w:bCs/>
          <w:sz w:val="21"/>
          <w:szCs w:val="21"/>
        </w:rPr>
        <w:t xml:space="preserve">En ese sentido, es importante referir que como punto de partida debemos hablar de nuestra Ley para la Búsqueda de Personas Desaparecidas en el Estado de Guanajuato, donde los contenidos y el objeto de la Ley son acorde a los alcances de los artículos 1 y 2 de la Ley General, de esta forma, se estableció que la Ley tiene por objeto, la prevención, investigación y sanción de los delitos en materia de desaparición forzada de personas y desaparición </w:t>
      </w:r>
      <w:r w:rsidRPr="009453F4">
        <w:rPr>
          <w:rFonts w:ascii="Abadi" w:eastAsia="Batang" w:hAnsi="Abadi" w:cs="Arial"/>
          <w:bCs/>
          <w:sz w:val="21"/>
          <w:szCs w:val="21"/>
        </w:rPr>
        <w:t>cometida por particulares, y los delitos vinculados con la desaparición de personas; así como, establecer los mecanismos de coordinación entre las autoridades estatales y municipales para buscar a las personas desaparecidas y esclarecer los hechos.</w:t>
      </w:r>
    </w:p>
    <w:p w14:paraId="312C5203" w14:textId="77777777" w:rsidR="009453F4" w:rsidRPr="009453F4" w:rsidRDefault="009453F4" w:rsidP="009453F4">
      <w:pPr>
        <w:spacing w:line="276" w:lineRule="auto"/>
        <w:ind w:left="1068" w:right="-81"/>
        <w:contextualSpacing/>
        <w:jc w:val="both"/>
        <w:rPr>
          <w:rFonts w:ascii="Abadi" w:eastAsia="Calibri" w:hAnsi="Abadi"/>
          <w:sz w:val="21"/>
          <w:szCs w:val="21"/>
          <w:lang w:val="es-MX" w:eastAsia="en-US"/>
        </w:rPr>
      </w:pPr>
    </w:p>
    <w:p w14:paraId="67F1992B" w14:textId="222BC09C" w:rsidR="009453F4" w:rsidRDefault="009453F4" w:rsidP="009453F4">
      <w:pPr>
        <w:autoSpaceDE w:val="0"/>
        <w:autoSpaceDN w:val="0"/>
        <w:adjustRightInd w:val="0"/>
        <w:spacing w:line="360" w:lineRule="auto"/>
        <w:ind w:firstLine="708"/>
        <w:jc w:val="both"/>
        <w:rPr>
          <w:rFonts w:ascii="Abadi" w:eastAsia="Batang" w:hAnsi="Abadi" w:cs="Arial"/>
          <w:bCs/>
          <w:sz w:val="21"/>
          <w:szCs w:val="21"/>
        </w:rPr>
      </w:pPr>
      <w:r w:rsidRPr="009453F4">
        <w:rPr>
          <w:rFonts w:ascii="Abadi" w:eastAsia="Batang" w:hAnsi="Abadi" w:cs="Arial"/>
          <w:bCs/>
          <w:sz w:val="21"/>
          <w:szCs w:val="21"/>
        </w:rPr>
        <w:t>Lo anterior, partiendo de lo establecido en el artículo 73 constitucional, fracción XXI, inciso a, que alude a que el Congreso de la Unión tiene la facultad para expedir leyes generales que establezcan como mínimo, los tipos penales y sanciones en las materias de (…) desaparición forzada, otras formas de privación de la libertad contrarias a la Ley, así como expedir normas que contemplen la distribución de competencias y formas de coordinación entre la Federación, las entidades federativas y los municipios. En uso de esa facultad fue que se legisló los tipos penales relativos a la desaparición forzada, desaparición por parte de particulares y delitos vinculados, y que se encuentran regulados en la Ley General en Materia de Desaparición Forzada de Personas, Desaparición Cometida por Particulares y del Sistema Nacional de Búsqueda de Personas.</w:t>
      </w:r>
    </w:p>
    <w:p w14:paraId="0388D99F"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p>
    <w:p w14:paraId="3A8DFDFC"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r w:rsidRPr="009453F4">
        <w:rPr>
          <w:rFonts w:ascii="Abadi" w:eastAsia="Batang" w:hAnsi="Abadi" w:cs="Arial"/>
          <w:bCs/>
          <w:sz w:val="21"/>
          <w:szCs w:val="21"/>
        </w:rPr>
        <w:t>Consideramos que lo anterior, no implica que estos delitos se persigan exclusivamente por autoridades federales, sino que existe un sistema que determina las competencias para prevenir, investigar y sancionar esos delitos entre la Federación y las entidades federativas, tales son los supuestos que nos avocamos, pues el propio diseño de la Ley General en los artículos 24 y 25 refiere ese sistema de competencias, quedando ahí determinadas por exclusión la competencia a los estados.</w:t>
      </w:r>
    </w:p>
    <w:p w14:paraId="74556D95"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p>
    <w:p w14:paraId="10C6604B" w14:textId="144A16C3"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r w:rsidRPr="009453F4">
        <w:rPr>
          <w:rFonts w:ascii="Abadi" w:eastAsia="Batang" w:hAnsi="Abadi" w:cs="Arial"/>
          <w:bCs/>
          <w:sz w:val="21"/>
          <w:szCs w:val="21"/>
        </w:rPr>
        <w:t>De igual forma, nuestra Ley de la materia contiene conceptos que integran de manera puntual la norma de una forma global, es decir, esos conceptos debían ser incluidos, definiendo sus alcances jurídicos, tales como Registro Estatal de Personas Desaparecidas, Banco Nacional de Datos Forenses; Comisión Nacional de Búsqueda; Mecanismo de Apoyo Exterior de Búsqueda e Investigación; Registro Estatal de Datos Forenses; Registro Nacional de Personas Desaparecidas y No Localizadas; Reporte; Sistema Estatal de Búsqueda de Personas y Sistema Nacional de Búsqueda de Personas. Estos mecanismos referidos en la norma marcan de manera objetiva que toda la información con respecto a las personas desparecidas o que son víctimas de algún delito previsto en esa norma, deberá esa información ser institucionalizada mediante el Registro Nacional de Personas Desaparecidas y No Localizadas, que concentra la información de los registros de personas desaparecidas y no localizadas, tanto de la Federación como de las entidades federativas, como lo es el caso que nos ocupa.</w:t>
      </w:r>
    </w:p>
    <w:p w14:paraId="409DA092" w14:textId="3DADCC9F" w:rsidR="009453F4" w:rsidRDefault="009453F4" w:rsidP="009453F4">
      <w:pPr>
        <w:autoSpaceDE w:val="0"/>
        <w:autoSpaceDN w:val="0"/>
        <w:adjustRightInd w:val="0"/>
        <w:spacing w:line="360" w:lineRule="auto"/>
        <w:ind w:firstLine="708"/>
        <w:jc w:val="both"/>
        <w:rPr>
          <w:rFonts w:ascii="Abadi" w:eastAsia="Batang" w:hAnsi="Abadi" w:cs="Arial"/>
          <w:bCs/>
          <w:sz w:val="21"/>
          <w:szCs w:val="21"/>
        </w:rPr>
      </w:pPr>
      <w:r w:rsidRPr="009453F4">
        <w:rPr>
          <w:rFonts w:ascii="Abadi" w:eastAsia="Batang" w:hAnsi="Abadi" w:cs="Arial"/>
          <w:bCs/>
          <w:sz w:val="21"/>
          <w:szCs w:val="21"/>
        </w:rPr>
        <w:t>Por otro lado, en nuestra misma norma de manera congruente no se consideró una definición de análisis de contexto, a efecto de no limitar o contravenir todas aquellas acciones derivadas de las atribuciones que otorga la Ley General a la Comisión Nacional de Búsqueda de Personas Desaparecidas, siendo acordes a la armonización que se previó cuando se legisló en la materia.</w:t>
      </w:r>
    </w:p>
    <w:p w14:paraId="4F8FD4B1"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p>
    <w:p w14:paraId="7A25CFEF"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r w:rsidRPr="009453F4">
        <w:rPr>
          <w:rFonts w:ascii="Abadi" w:eastAsia="Batang" w:hAnsi="Abadi" w:cs="Arial"/>
          <w:bCs/>
          <w:sz w:val="21"/>
          <w:szCs w:val="21"/>
        </w:rPr>
        <w:t>Cabe señalar sobre el asunto que nos ocupa que, en el portal web de la Fiscalía General del Estado, está disponible y consultable para público en general un sitio en el que se publica diversa información actualizada y relacionada con contextos de hallazgos</w:t>
      </w:r>
      <w:r w:rsidRPr="009453F4">
        <w:rPr>
          <w:rFonts w:ascii="Abadi" w:eastAsia="Batang" w:hAnsi="Abadi" w:cs="Arial"/>
          <w:bCs/>
          <w:sz w:val="21"/>
          <w:szCs w:val="21"/>
          <w:vertAlign w:val="superscript"/>
        </w:rPr>
        <w:footnoteReference w:id="56"/>
      </w:r>
      <w:r w:rsidRPr="009453F4">
        <w:rPr>
          <w:rFonts w:ascii="Abadi" w:eastAsia="Batang" w:hAnsi="Abadi" w:cs="Arial"/>
          <w:bCs/>
          <w:sz w:val="21"/>
          <w:szCs w:val="21"/>
        </w:rPr>
        <w:t>, dentro de la cual se contienen datos respecto del municipio en el que se ubica el contexto, cuerpos identificados, indicios, individuos, estudios realizados, entre otros incluso se observa el contexto de hallazgo ubicado en Hacienda de Arriba en León, al que hace referencia las y los proponentes en las consideraciones de esta propuesta.</w:t>
      </w:r>
    </w:p>
    <w:p w14:paraId="7EDC207E" w14:textId="77777777" w:rsidR="009453F4" w:rsidRPr="009453F4" w:rsidRDefault="009453F4" w:rsidP="009453F4">
      <w:pPr>
        <w:autoSpaceDE w:val="0"/>
        <w:autoSpaceDN w:val="0"/>
        <w:adjustRightInd w:val="0"/>
        <w:rPr>
          <w:rFonts w:ascii="Abadi" w:eastAsia="Calibri" w:hAnsi="Abadi" w:cs="Arial"/>
          <w:color w:val="000000"/>
          <w:sz w:val="21"/>
          <w:szCs w:val="21"/>
          <w:lang w:val="es-MX" w:eastAsia="es-MX"/>
        </w:rPr>
      </w:pPr>
    </w:p>
    <w:p w14:paraId="5DD78C64" w14:textId="77777777" w:rsidR="009453F4" w:rsidRPr="009453F4" w:rsidRDefault="009453F4" w:rsidP="009453F4">
      <w:pPr>
        <w:autoSpaceDE w:val="0"/>
        <w:autoSpaceDN w:val="0"/>
        <w:adjustRightInd w:val="0"/>
        <w:spacing w:line="360" w:lineRule="auto"/>
        <w:ind w:firstLine="708"/>
        <w:jc w:val="both"/>
        <w:rPr>
          <w:rFonts w:ascii="Abadi" w:eastAsia="Calibri" w:hAnsi="Abadi" w:cs="Arial"/>
          <w:color w:val="000000"/>
          <w:sz w:val="21"/>
          <w:szCs w:val="21"/>
          <w:lang w:val="es-MX" w:eastAsia="es-MX"/>
        </w:rPr>
      </w:pPr>
      <w:r w:rsidRPr="009453F4">
        <w:rPr>
          <w:rFonts w:ascii="Abadi" w:eastAsia="Calibri" w:hAnsi="Abadi" w:cs="Arial"/>
          <w:color w:val="000000"/>
          <w:sz w:val="21"/>
          <w:szCs w:val="21"/>
          <w:lang w:val="es-MX" w:eastAsia="es-MX"/>
        </w:rPr>
        <w:t xml:space="preserve"> </w:t>
      </w:r>
      <w:r w:rsidRPr="009453F4">
        <w:rPr>
          <w:rFonts w:ascii="Abadi" w:eastAsia="Batang" w:hAnsi="Abadi" w:cs="Arial"/>
          <w:bCs/>
          <w:sz w:val="21"/>
          <w:szCs w:val="21"/>
        </w:rPr>
        <w:t xml:space="preserve">En ese mismo orden de ideas de la página web que tiene el organismo autónomo denominado </w:t>
      </w:r>
      <w:r w:rsidRPr="009453F4">
        <w:rPr>
          <w:rFonts w:ascii="Abadi" w:eastAsia="Batang" w:hAnsi="Abadi" w:cs="Arial"/>
          <w:bCs/>
          <w:i/>
          <w:iCs/>
          <w:sz w:val="21"/>
          <w:szCs w:val="21"/>
        </w:rPr>
        <w:t>Fiscalía General del Estado</w:t>
      </w:r>
      <w:r w:rsidRPr="009453F4">
        <w:rPr>
          <w:rFonts w:ascii="Abadi" w:eastAsia="Batang" w:hAnsi="Abadi" w:cs="Arial"/>
          <w:bCs/>
          <w:sz w:val="21"/>
          <w:szCs w:val="21"/>
        </w:rPr>
        <w:t>,</w:t>
      </w:r>
      <w:r w:rsidRPr="009453F4">
        <w:rPr>
          <w:rFonts w:ascii="Abadi" w:eastAsia="Batang" w:hAnsi="Abadi" w:cs="Arial"/>
          <w:bCs/>
          <w:sz w:val="21"/>
          <w:szCs w:val="21"/>
          <w:vertAlign w:val="superscript"/>
        </w:rPr>
        <w:footnoteReference w:id="57"/>
      </w:r>
      <w:r w:rsidRPr="009453F4">
        <w:rPr>
          <w:rFonts w:ascii="Abadi" w:eastAsia="Batang" w:hAnsi="Abadi" w:cs="Arial"/>
          <w:bCs/>
          <w:sz w:val="21"/>
          <w:szCs w:val="21"/>
        </w:rPr>
        <w:t xml:space="preserve"> en su apartado de transparencia, se puede acceder a un espacio dedicado a la difusión de las peticiones planteadas a dicha Representación Social y la respuesta que se brinda a cada una</w:t>
      </w:r>
      <w:r w:rsidRPr="009453F4">
        <w:rPr>
          <w:rFonts w:ascii="Abadi" w:eastAsia="Calibri" w:hAnsi="Abadi" w:cs="Arial"/>
          <w:color w:val="000000"/>
          <w:sz w:val="21"/>
          <w:szCs w:val="21"/>
          <w:lang w:val="es-MX" w:eastAsia="es-MX"/>
        </w:rPr>
        <w:t>.</w:t>
      </w:r>
    </w:p>
    <w:p w14:paraId="3131B3AB" w14:textId="77777777" w:rsidR="009453F4" w:rsidRPr="009453F4" w:rsidRDefault="009453F4" w:rsidP="009453F4">
      <w:pPr>
        <w:autoSpaceDE w:val="0"/>
        <w:autoSpaceDN w:val="0"/>
        <w:adjustRightInd w:val="0"/>
        <w:spacing w:line="360" w:lineRule="auto"/>
        <w:ind w:firstLine="708"/>
        <w:jc w:val="both"/>
        <w:rPr>
          <w:rFonts w:ascii="Abadi" w:eastAsia="Calibri" w:hAnsi="Abadi" w:cs="Arial"/>
          <w:color w:val="000000"/>
          <w:sz w:val="21"/>
          <w:szCs w:val="21"/>
          <w:lang w:val="es-MX" w:eastAsia="es-MX"/>
        </w:rPr>
      </w:pPr>
    </w:p>
    <w:p w14:paraId="5AC66AB5"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r w:rsidRPr="009453F4">
        <w:rPr>
          <w:rFonts w:ascii="Abadi" w:eastAsia="Batang" w:hAnsi="Abadi" w:cs="Arial"/>
          <w:bCs/>
          <w:sz w:val="21"/>
          <w:szCs w:val="21"/>
        </w:rPr>
        <w:t xml:space="preserve">Por otro lado y no menos importante es que, del análisis a las consideraciones que aluden los proponentes, se desprende de información oficial y </w:t>
      </w:r>
      <w:r w:rsidRPr="009453F4">
        <w:rPr>
          <w:rFonts w:ascii="Abadi" w:eastAsia="Batang" w:hAnsi="Abadi" w:cs="Arial"/>
          <w:bCs/>
          <w:i/>
          <w:iCs/>
          <w:sz w:val="21"/>
          <w:szCs w:val="21"/>
        </w:rPr>
        <w:t xml:space="preserve">reiterada de viva voz por el titular de ese organismo autónomo </w:t>
      </w:r>
      <w:r w:rsidRPr="009453F4">
        <w:rPr>
          <w:rFonts w:ascii="Abadi" w:eastAsia="Batang" w:hAnsi="Abadi" w:cs="Arial"/>
          <w:bCs/>
          <w:sz w:val="21"/>
          <w:szCs w:val="21"/>
        </w:rPr>
        <w:t xml:space="preserve">sobre </w:t>
      </w:r>
      <w:r w:rsidRPr="009453F4">
        <w:rPr>
          <w:rFonts w:ascii="Abadi" w:eastAsia="Batang" w:hAnsi="Abadi" w:cs="Arial"/>
          <w:bCs/>
          <w:i/>
          <w:iCs/>
          <w:sz w:val="21"/>
          <w:szCs w:val="21"/>
        </w:rPr>
        <w:t>fosas clandestinas</w:t>
      </w:r>
      <w:r w:rsidRPr="009453F4">
        <w:rPr>
          <w:rFonts w:ascii="Abadi" w:eastAsia="Batang" w:hAnsi="Abadi" w:cs="Arial"/>
          <w:bCs/>
          <w:sz w:val="21"/>
          <w:szCs w:val="21"/>
        </w:rPr>
        <w:t xml:space="preserve"> no se contaba con casos o registros bajo dichos parámetros en el Estado, no obstante en relación a cuerpos o restos humanos o cadáveres o partes de cuerpos exhumados de entierros precisó que observaba lo dispuesto por el Protocolo para el Tratamiento e Identificación Forense, y otorgó </w:t>
      </w:r>
      <w:r w:rsidRPr="009453F4">
        <w:rPr>
          <w:rFonts w:ascii="Abadi" w:eastAsia="Batang" w:hAnsi="Abadi" w:cs="Arial"/>
          <w:bCs/>
          <w:sz w:val="21"/>
          <w:szCs w:val="21"/>
        </w:rPr>
        <w:lastRenderedPageBreak/>
        <w:t>información con especificaciones técnicas–arqueológicas en las que se concluía que se puede enterrar algo o alguien en una fosa, pero no toda fosa constituye un entierro, ni todo entierro se traduce o representa una fosa, de ahí que de manera clara y tomando en consideración el marco normativo, así como cuestiones de carácter técnico y científico se afirmara que no se contaba con registro de fosas clandestinas.</w:t>
      </w:r>
    </w:p>
    <w:p w14:paraId="08F87574"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p>
    <w:p w14:paraId="3EBE927F"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r w:rsidRPr="009453F4">
        <w:rPr>
          <w:rFonts w:ascii="Abadi" w:eastAsia="Batang" w:hAnsi="Abadi" w:cs="Arial"/>
          <w:bCs/>
          <w:sz w:val="21"/>
          <w:szCs w:val="21"/>
        </w:rPr>
        <w:t xml:space="preserve">Importante manifestar que de las solicitudes que en su momento se presentaban para conocer registros de </w:t>
      </w:r>
      <w:r w:rsidRPr="009453F4">
        <w:rPr>
          <w:rFonts w:ascii="Abadi" w:eastAsia="Batang" w:hAnsi="Abadi" w:cs="Arial"/>
          <w:bCs/>
          <w:i/>
          <w:iCs/>
          <w:sz w:val="21"/>
          <w:szCs w:val="21"/>
        </w:rPr>
        <w:t>fosas clandestinas</w:t>
      </w:r>
      <w:r w:rsidRPr="009453F4">
        <w:rPr>
          <w:rFonts w:ascii="Abadi" w:eastAsia="Batang" w:hAnsi="Abadi" w:cs="Arial"/>
          <w:bCs/>
          <w:sz w:val="21"/>
          <w:szCs w:val="21"/>
        </w:rPr>
        <w:t xml:space="preserve"> y diversos rubros relacionados con ello, debe considerarse que, en la metodología y terminología de la arqueología y antropologías forenses, en lo que a excavación o recuperación de restos humanos se refiere, el término fosa no se vincula a un entierro, sino a uno de los diversos rasgos clasificatorios. De ahí que el órgano procurador de justicia debe avocarse siempre a conceptos jurídicos contemplados en normas legales y principios constitucionales para otorgar la información con un carácter técnico y objetivo.</w:t>
      </w:r>
    </w:p>
    <w:p w14:paraId="3006E42F"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p>
    <w:p w14:paraId="136CB4F2"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r w:rsidRPr="009453F4">
        <w:rPr>
          <w:rFonts w:ascii="Abadi" w:eastAsia="Batang" w:hAnsi="Abadi" w:cs="Arial"/>
          <w:bCs/>
          <w:sz w:val="21"/>
          <w:szCs w:val="21"/>
        </w:rPr>
        <w:t xml:space="preserve">En este rubro es menester clarificar que a la fecha se encuentra pendiente de dictaminar por parte de la Cámara de Diputados del Congreso de la Unión la iniciativa que aprobó su suscripción este Congreso del Estado de Guanajuato en marzo de 2021, por la que se adicionan las fracciones XI y XII, con lo que se recorren las subsecuentes, al artículo 4 de la </w:t>
      </w:r>
      <w:r w:rsidRPr="009453F4">
        <w:rPr>
          <w:rFonts w:ascii="Abadi" w:eastAsia="Batang" w:hAnsi="Abadi" w:cs="Arial"/>
          <w:bCs/>
          <w:i/>
          <w:iCs/>
          <w:sz w:val="21"/>
          <w:szCs w:val="21"/>
        </w:rPr>
        <w:t>Ley General en materia de Desaparición Forzada de Personas, Desaparición cometida por Particulares y del Sistema Nacional de Búsqueda de Personas,</w:t>
      </w:r>
      <w:r w:rsidRPr="009453F4">
        <w:rPr>
          <w:rFonts w:ascii="Abadi" w:eastAsia="Batang" w:hAnsi="Abadi" w:cs="Arial"/>
          <w:b/>
          <w:i/>
          <w:iCs/>
          <w:sz w:val="21"/>
          <w:szCs w:val="21"/>
        </w:rPr>
        <w:t xml:space="preserve"> </w:t>
      </w:r>
      <w:r w:rsidRPr="009453F4">
        <w:rPr>
          <w:rFonts w:ascii="Abadi" w:eastAsia="Batang" w:hAnsi="Abadi" w:cs="Arial"/>
          <w:bCs/>
          <w:sz w:val="21"/>
          <w:szCs w:val="21"/>
        </w:rPr>
        <w:t xml:space="preserve">a </w:t>
      </w:r>
      <w:r w:rsidRPr="009453F4">
        <w:rPr>
          <w:rFonts w:ascii="Abadi" w:eastAsia="Batang" w:hAnsi="Abadi" w:cs="Arial"/>
          <w:bCs/>
          <w:sz w:val="21"/>
          <w:szCs w:val="21"/>
        </w:rPr>
        <w:t xml:space="preserve">efecto de incorporar los conceptos de </w:t>
      </w:r>
      <w:r w:rsidRPr="009453F4">
        <w:rPr>
          <w:rFonts w:ascii="Abadi" w:eastAsia="Batang" w:hAnsi="Abadi" w:cs="Arial"/>
          <w:bCs/>
          <w:i/>
          <w:iCs/>
          <w:sz w:val="21"/>
          <w:szCs w:val="21"/>
        </w:rPr>
        <w:t>Fosas Clandestinas y Fosas Comunes</w:t>
      </w:r>
      <w:r w:rsidRPr="009453F4">
        <w:rPr>
          <w:rFonts w:ascii="Abadi" w:eastAsia="Batang" w:hAnsi="Abadi" w:cs="Arial"/>
          <w:bCs/>
          <w:sz w:val="21"/>
          <w:szCs w:val="21"/>
        </w:rPr>
        <w:t>. Dicha iniciativa se encuentra turnada a la Comisión de Justicia, es decir, es fundamental que se legisle sobre este apartado, que la Ley General no contempla tales conceptos, que al final darían orden y una regulación homogénea y sistemática ante las autoridades del orden federal y estatal, evitando problemas de coordinación, de información, e interpretación de carácter técnico.</w:t>
      </w:r>
    </w:p>
    <w:p w14:paraId="4C666189"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p>
    <w:p w14:paraId="0EB89266"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r w:rsidRPr="009453F4">
        <w:rPr>
          <w:rFonts w:ascii="Abadi" w:eastAsia="Batang" w:hAnsi="Abadi" w:cs="Arial"/>
          <w:bCs/>
          <w:sz w:val="21"/>
          <w:szCs w:val="21"/>
        </w:rPr>
        <w:t xml:space="preserve">En consecuencia, y tomando en consideración los antecedentes, referencias normativas, técnicas y científicas en materia de </w:t>
      </w:r>
      <w:r w:rsidRPr="009453F4">
        <w:rPr>
          <w:rFonts w:ascii="Abadi" w:eastAsia="Batang" w:hAnsi="Abadi" w:cs="Arial"/>
          <w:bCs/>
          <w:i/>
          <w:iCs/>
          <w:sz w:val="21"/>
          <w:szCs w:val="21"/>
        </w:rPr>
        <w:t>fosas clandestinas</w:t>
      </w:r>
      <w:r w:rsidRPr="009453F4">
        <w:rPr>
          <w:rFonts w:ascii="Abadi" w:eastAsia="Batang" w:hAnsi="Abadi" w:cs="Arial"/>
          <w:bCs/>
          <w:sz w:val="21"/>
          <w:szCs w:val="21"/>
        </w:rPr>
        <w:t>, se estima que existe confusión en cuanto a los parámetros y precisiones que se hacen por parte de quien propone, y en las que la Fiscalía General del Estado ha otorgado información realizando las puntualizaciones correspondientes. Es decir, la información sobre este tema emitida por una instancia gubernamental de orden federal y por el ombudsman nacional, sin embargo, no necesariamente resultaría vinculante en el ámbito de la investigación científica en sede penal, ni, por ende, en la clasificación técnica pericial y científica de los diversos contextos de hallazgo, así como para la integración de los registros institucionales de la Fiscalía General del Estado, pues podrían obedecer a metodologías y parámetros distintos</w:t>
      </w:r>
    </w:p>
    <w:p w14:paraId="59D50D6C"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p>
    <w:p w14:paraId="5D70D52E"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r w:rsidRPr="009453F4">
        <w:rPr>
          <w:rFonts w:ascii="Abadi" w:eastAsia="Batang" w:hAnsi="Abadi" w:cs="Arial"/>
          <w:bCs/>
          <w:sz w:val="21"/>
          <w:szCs w:val="21"/>
        </w:rPr>
        <w:t xml:space="preserve">En cuanto al principio de máxima publicidad, se advierte que en la materia que nos ocupa referente a los contextos de hallazgo, existen condiciones para sostener que se cumple por parte de la Fiscalía General del Estado, pues </w:t>
      </w:r>
      <w:r w:rsidRPr="009453F4">
        <w:rPr>
          <w:rFonts w:ascii="Abadi" w:eastAsia="Batang" w:hAnsi="Abadi" w:cs="Arial"/>
          <w:bCs/>
          <w:sz w:val="21"/>
          <w:szCs w:val="21"/>
        </w:rPr>
        <w:lastRenderedPageBreak/>
        <w:t xml:space="preserve">los datos son públicos en la página web de ese organismo autónomo reconocido por la constitución, además se identifican diversas respuestas en el rubro, así como datos objetivos otorgados en los </w:t>
      </w:r>
      <w:r w:rsidRPr="009453F4">
        <w:rPr>
          <w:rFonts w:ascii="Abadi" w:eastAsia="Batang" w:hAnsi="Abadi" w:cs="Arial"/>
          <w:bCs/>
          <w:i/>
          <w:iCs/>
          <w:sz w:val="21"/>
          <w:szCs w:val="21"/>
        </w:rPr>
        <w:t xml:space="preserve">Informes Anuales del Fiscal General del Estado </w:t>
      </w:r>
      <w:r w:rsidRPr="009453F4">
        <w:rPr>
          <w:rFonts w:ascii="Abadi" w:eastAsia="Batang" w:hAnsi="Abadi" w:cs="Arial"/>
          <w:bCs/>
          <w:sz w:val="21"/>
          <w:szCs w:val="21"/>
        </w:rPr>
        <w:t xml:space="preserve">y manifestaciones diversas en las reuniones de trabajo ante quienes integramos este Poder Legislativo y su </w:t>
      </w:r>
      <w:r w:rsidRPr="009453F4">
        <w:rPr>
          <w:rFonts w:ascii="Abadi" w:eastAsia="Batang" w:hAnsi="Abadi" w:cs="Arial"/>
          <w:bCs/>
          <w:i/>
          <w:iCs/>
          <w:sz w:val="21"/>
          <w:szCs w:val="21"/>
        </w:rPr>
        <w:t>Congreso del Estado de Guanajuato</w:t>
      </w:r>
      <w:r w:rsidRPr="009453F4">
        <w:rPr>
          <w:rFonts w:ascii="Abadi" w:eastAsia="Batang" w:hAnsi="Abadi" w:cs="Arial"/>
          <w:bCs/>
          <w:sz w:val="21"/>
          <w:szCs w:val="21"/>
        </w:rPr>
        <w:t xml:space="preserve">. </w:t>
      </w:r>
    </w:p>
    <w:p w14:paraId="4CAF2398"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p>
    <w:p w14:paraId="63ACC1AD" w14:textId="39DDFD45"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r w:rsidRPr="009453F4">
        <w:rPr>
          <w:rFonts w:ascii="Abadi" w:eastAsia="Batang" w:hAnsi="Abadi" w:cs="Arial"/>
          <w:bCs/>
          <w:sz w:val="21"/>
          <w:szCs w:val="21"/>
        </w:rPr>
        <w:t>La desaparición forzada de personas y desaparición cometida por particulares, son tipos penales previstos en la Ley General de la materia, en tanto que la desaparición de personas no implica necesariamente la comisión de un delito, ni precisamente de los ilícitos referidos. Por ello, la información disponible en el mapa consignado en la página web de la Fiscalía General del Estado, no sustituye ni por un momento información oficial contenida en los registros oficiales previstos en la normativa aplicable en materia de fosas, tal como el Registro Nacional de Personas Desaparecidas y No Localizadas, que concentra la información de los registros de personas desaparecidas y no localizadas, tanto de la Federación como de las entidades federativas, así como del Registro Estatal de Personas Desaparecidas.</w:t>
      </w:r>
    </w:p>
    <w:p w14:paraId="758EEC60"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highlight w:val="yellow"/>
        </w:rPr>
      </w:pPr>
    </w:p>
    <w:p w14:paraId="070F199D"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r w:rsidRPr="009453F4">
        <w:rPr>
          <w:rFonts w:ascii="Abadi" w:eastAsia="Batang" w:hAnsi="Abadi" w:cs="Arial"/>
          <w:bCs/>
          <w:sz w:val="21"/>
          <w:szCs w:val="21"/>
        </w:rPr>
        <w:t>De tal suerte, que del análisis de la propuesta no se identifica de manera objetiva contra que se debe establecer la relación de igualdad o equivalencia del mapa referido en la propuesta, haciendo esta comisión legislativa una interpretación de las consideraciones y la propuesta de exhorto con relación a lo establecido en la Ley General</w:t>
      </w:r>
      <w:r w:rsidRPr="009453F4">
        <w:rPr>
          <w:rFonts w:ascii="Abadi" w:eastAsia="Batang" w:hAnsi="Abadi" w:cs="Arial"/>
          <w:b/>
          <w:i/>
          <w:iCs/>
          <w:sz w:val="21"/>
          <w:szCs w:val="21"/>
        </w:rPr>
        <w:t xml:space="preserve"> </w:t>
      </w:r>
      <w:r w:rsidRPr="009453F4">
        <w:rPr>
          <w:rFonts w:ascii="Abadi" w:eastAsia="Batang" w:hAnsi="Abadi" w:cs="Arial"/>
          <w:bCs/>
          <w:sz w:val="21"/>
          <w:szCs w:val="21"/>
        </w:rPr>
        <w:t xml:space="preserve">en materia de </w:t>
      </w:r>
      <w:r w:rsidRPr="009453F4">
        <w:rPr>
          <w:rFonts w:ascii="Abadi" w:eastAsia="Batang" w:hAnsi="Abadi" w:cs="Arial"/>
          <w:bCs/>
          <w:sz w:val="21"/>
          <w:szCs w:val="21"/>
        </w:rPr>
        <w:t>Desaparición Forzada de Personas, Desaparición cometida por Particulares y del Sistema Nacional de Búsqueda de Personas, y nuestra ley de búsqueda para generar este argumento de carácter técnico y objetivo.</w:t>
      </w:r>
    </w:p>
    <w:p w14:paraId="69563D87"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p>
    <w:p w14:paraId="2C83454D"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r w:rsidRPr="009453F4">
        <w:rPr>
          <w:rFonts w:ascii="Abadi" w:eastAsia="Batang" w:hAnsi="Abadi" w:cs="Arial"/>
          <w:bCs/>
          <w:sz w:val="21"/>
          <w:szCs w:val="21"/>
        </w:rPr>
        <w:t xml:space="preserve">De igual forma, consideramos que no existen elementos o condiciones para sostener objetiva o válidamente que no se atiende al principio de máxima publicidad y respeto al derecho a la información por parte de la Fiscalía General del Estado con respecto a lo aludido en la propuesta. </w:t>
      </w:r>
    </w:p>
    <w:p w14:paraId="43066BF8" w14:textId="77777777" w:rsidR="009453F4" w:rsidRPr="009453F4" w:rsidRDefault="009453F4" w:rsidP="009453F4">
      <w:pPr>
        <w:autoSpaceDE w:val="0"/>
        <w:autoSpaceDN w:val="0"/>
        <w:adjustRightInd w:val="0"/>
        <w:spacing w:line="360" w:lineRule="auto"/>
        <w:ind w:firstLine="708"/>
        <w:jc w:val="both"/>
        <w:rPr>
          <w:rFonts w:ascii="Abadi" w:eastAsia="Batang" w:hAnsi="Abadi" w:cs="Arial"/>
          <w:bCs/>
          <w:sz w:val="21"/>
          <w:szCs w:val="21"/>
        </w:rPr>
      </w:pPr>
    </w:p>
    <w:p w14:paraId="6868F07E" w14:textId="77777777" w:rsidR="009453F4" w:rsidRPr="009453F4" w:rsidRDefault="009453F4" w:rsidP="009453F4">
      <w:pPr>
        <w:spacing w:line="360" w:lineRule="auto"/>
        <w:ind w:firstLine="708"/>
        <w:jc w:val="both"/>
        <w:rPr>
          <w:rFonts w:ascii="Abadi" w:eastAsia="Calibri" w:hAnsi="Abadi"/>
          <w:sz w:val="21"/>
          <w:szCs w:val="21"/>
          <w:lang w:val="es-MX" w:eastAsia="en-US"/>
        </w:rPr>
      </w:pPr>
      <w:r w:rsidRPr="009453F4">
        <w:rPr>
          <w:rFonts w:ascii="Abadi" w:eastAsia="Calibri" w:hAnsi="Abadi"/>
          <w:sz w:val="21"/>
          <w:szCs w:val="21"/>
          <w:lang w:val="es-MX" w:eastAsia="en-US"/>
        </w:rPr>
        <w:t xml:space="preserve">En consecuencia, y en atención a las consideraciones expuestas, se determina la no viabilidad de la propuesta por querer ejercer una acción vía exhorto sobre un mecanismo de información del propio organismo autónomo, es decir, el mapa aludido es meramente informativo para quienes ingresan al portal, sin ser por ello la información </w:t>
      </w:r>
      <w:r w:rsidRPr="009453F4">
        <w:rPr>
          <w:rFonts w:ascii="Abadi" w:eastAsia="Batang" w:hAnsi="Abadi" w:cs="Arial"/>
          <w:bCs/>
          <w:sz w:val="21"/>
          <w:szCs w:val="21"/>
          <w:lang w:val="es-MX" w:eastAsia="en-US"/>
        </w:rPr>
        <w:t xml:space="preserve">oficial contenida en los </w:t>
      </w:r>
      <w:r w:rsidRPr="009453F4">
        <w:rPr>
          <w:rFonts w:ascii="Abadi" w:eastAsia="Batang" w:hAnsi="Abadi" w:cs="Arial"/>
          <w:bCs/>
          <w:sz w:val="21"/>
          <w:szCs w:val="21"/>
        </w:rPr>
        <w:t>registros oficiales previstos en la normativa aplicable en materia de fosas</w:t>
      </w:r>
      <w:r w:rsidRPr="009453F4">
        <w:rPr>
          <w:rFonts w:ascii="Abadi" w:eastAsia="Batang" w:hAnsi="Abadi" w:cs="Arial"/>
          <w:bCs/>
          <w:sz w:val="21"/>
          <w:szCs w:val="21"/>
          <w:lang w:val="es-MX" w:eastAsia="en-US"/>
        </w:rPr>
        <w:t>,</w:t>
      </w:r>
      <w:r w:rsidRPr="009453F4">
        <w:rPr>
          <w:rFonts w:ascii="Abadi" w:eastAsia="Calibri" w:hAnsi="Abadi"/>
          <w:sz w:val="21"/>
          <w:szCs w:val="21"/>
          <w:lang w:val="es-MX" w:eastAsia="en-US"/>
        </w:rPr>
        <w:t xml:space="preserve"> motivo por el cual estimamos pertinente proponer el archivo de la misma.</w:t>
      </w:r>
    </w:p>
    <w:p w14:paraId="1CDF0517" w14:textId="77777777" w:rsidR="009453F4" w:rsidRPr="009453F4" w:rsidRDefault="009453F4" w:rsidP="009453F4">
      <w:pPr>
        <w:ind w:firstLine="708"/>
        <w:jc w:val="both"/>
        <w:rPr>
          <w:rFonts w:ascii="Abadi" w:hAnsi="Abadi" w:cs="Arial"/>
          <w:sz w:val="21"/>
          <w:szCs w:val="21"/>
          <w:lang w:val="es-MX"/>
        </w:rPr>
      </w:pPr>
    </w:p>
    <w:p w14:paraId="32D30BBD" w14:textId="77777777" w:rsidR="009453F4" w:rsidRPr="009453F4" w:rsidRDefault="009453F4" w:rsidP="009453F4">
      <w:pPr>
        <w:ind w:firstLine="708"/>
        <w:jc w:val="both"/>
        <w:rPr>
          <w:rFonts w:ascii="Abadi" w:hAnsi="Abadi" w:cs="Arial"/>
          <w:sz w:val="21"/>
          <w:szCs w:val="21"/>
          <w:lang w:val="es-MX"/>
        </w:rPr>
      </w:pPr>
    </w:p>
    <w:p w14:paraId="657616F8" w14:textId="77777777" w:rsidR="009453F4" w:rsidRPr="009453F4" w:rsidRDefault="009453F4" w:rsidP="009453F4">
      <w:pPr>
        <w:spacing w:line="360" w:lineRule="auto"/>
        <w:ind w:firstLine="708"/>
        <w:jc w:val="both"/>
        <w:rPr>
          <w:rFonts w:ascii="Abadi" w:eastAsia="Calibri" w:hAnsi="Abadi"/>
          <w:sz w:val="21"/>
          <w:szCs w:val="21"/>
          <w:lang w:val="es-MX" w:eastAsia="en-US"/>
        </w:rPr>
      </w:pPr>
      <w:r w:rsidRPr="009453F4">
        <w:rPr>
          <w:rFonts w:ascii="Abadi" w:eastAsia="Calibri" w:hAnsi="Abadi"/>
          <w:sz w:val="21"/>
          <w:szCs w:val="21"/>
          <w:lang w:val="es-MX" w:eastAsia="en-US"/>
        </w:rPr>
        <w:t xml:space="preserve">En razón de lo antes expuesto y con fundamento en los artículos 171 y 204 de la Ley Orgánica del Poder Legislativo del Estado de Guanajuato, nos permitimos someter a la aprobación de la Asamblea, el siguiente: </w:t>
      </w:r>
    </w:p>
    <w:p w14:paraId="7E5C029B" w14:textId="77777777" w:rsidR="009453F4" w:rsidRPr="009453F4" w:rsidRDefault="009453F4" w:rsidP="009453F4">
      <w:pPr>
        <w:tabs>
          <w:tab w:val="left" w:pos="0"/>
        </w:tabs>
        <w:jc w:val="center"/>
        <w:rPr>
          <w:rFonts w:ascii="Abadi" w:eastAsia="Batang" w:hAnsi="Abadi" w:cs="Arial"/>
          <w:b/>
          <w:bCs/>
          <w:sz w:val="21"/>
          <w:szCs w:val="21"/>
        </w:rPr>
      </w:pPr>
    </w:p>
    <w:p w14:paraId="2ADCDE55" w14:textId="77777777" w:rsidR="009453F4" w:rsidRPr="009453F4" w:rsidRDefault="009453F4" w:rsidP="009453F4">
      <w:pPr>
        <w:tabs>
          <w:tab w:val="left" w:pos="0"/>
        </w:tabs>
        <w:jc w:val="center"/>
        <w:rPr>
          <w:rFonts w:ascii="Abadi" w:eastAsia="Batang" w:hAnsi="Abadi" w:cs="Arial"/>
          <w:b/>
          <w:bCs/>
          <w:sz w:val="21"/>
          <w:szCs w:val="21"/>
        </w:rPr>
      </w:pPr>
      <w:r w:rsidRPr="009453F4">
        <w:rPr>
          <w:rFonts w:ascii="Abadi" w:eastAsia="Batang" w:hAnsi="Abadi" w:cs="Arial"/>
          <w:b/>
          <w:bCs/>
          <w:sz w:val="21"/>
          <w:szCs w:val="21"/>
        </w:rPr>
        <w:t>Acuerdo</w:t>
      </w:r>
    </w:p>
    <w:p w14:paraId="764A3D9D" w14:textId="77777777" w:rsidR="009453F4" w:rsidRPr="009453F4" w:rsidRDefault="009453F4" w:rsidP="009453F4">
      <w:pPr>
        <w:spacing w:line="360" w:lineRule="auto"/>
        <w:ind w:firstLine="708"/>
        <w:jc w:val="both"/>
        <w:rPr>
          <w:rFonts w:ascii="Abadi" w:eastAsia="Batang" w:hAnsi="Abadi" w:cs="Arial"/>
          <w:b/>
          <w:bCs/>
          <w:sz w:val="21"/>
          <w:szCs w:val="21"/>
        </w:rPr>
      </w:pPr>
    </w:p>
    <w:p w14:paraId="1587082F" w14:textId="42A2E7D9" w:rsidR="009453F4" w:rsidRPr="009453F4" w:rsidRDefault="009453F4" w:rsidP="009453F4">
      <w:pPr>
        <w:spacing w:line="360" w:lineRule="auto"/>
        <w:ind w:firstLine="708"/>
        <w:jc w:val="both"/>
        <w:rPr>
          <w:rFonts w:ascii="Abadi" w:eastAsia="Batang" w:hAnsi="Abadi" w:cs="Arial"/>
          <w:bCs/>
          <w:sz w:val="21"/>
          <w:szCs w:val="21"/>
        </w:rPr>
      </w:pPr>
      <w:r w:rsidRPr="009453F4">
        <w:rPr>
          <w:rFonts w:ascii="Abadi" w:eastAsia="Batang" w:hAnsi="Abadi" w:cs="Arial"/>
          <w:b/>
          <w:bCs/>
          <w:sz w:val="21"/>
          <w:szCs w:val="21"/>
        </w:rPr>
        <w:t>Único.</w:t>
      </w:r>
      <w:r w:rsidRPr="009453F4">
        <w:rPr>
          <w:rFonts w:ascii="Abadi" w:eastAsia="Batang" w:hAnsi="Abadi" w:cs="Arial"/>
          <w:bCs/>
          <w:sz w:val="21"/>
          <w:szCs w:val="21"/>
        </w:rPr>
        <w:t xml:space="preserve"> Se ordena el archivo definitivo de la propuesta de punto de acuerdo formulada por diputadas y diputados integrantes del Grupo Parlamentario del Partido MORENA a efecto de </w:t>
      </w:r>
      <w:r w:rsidRPr="009453F4">
        <w:rPr>
          <w:rFonts w:ascii="Abadi" w:eastAsia="Batang" w:hAnsi="Abadi" w:cs="Arial"/>
          <w:bCs/>
          <w:sz w:val="21"/>
          <w:szCs w:val="21"/>
        </w:rPr>
        <w:lastRenderedPageBreak/>
        <w:t>exhortar al Fiscal General de Guanajuato Carlos Zamarripa para que la Fiscalía a su cargo obre bajo el principio de máxima publicidad con respecto al derecho a la información sobre todos los contextos de hallazgo, incluyendo en particular las fosas clandestinas de los que tiene conocimiento y homologue consecuentemente los datos del mapa que aparecen en su página oficial.</w:t>
      </w:r>
    </w:p>
    <w:p w14:paraId="7851AD5E" w14:textId="77777777" w:rsidR="009453F4" w:rsidRPr="009453F4" w:rsidRDefault="009453F4" w:rsidP="009453F4">
      <w:pPr>
        <w:ind w:firstLine="708"/>
        <w:jc w:val="both"/>
        <w:rPr>
          <w:rFonts w:ascii="Abadi" w:hAnsi="Abadi" w:cs="Arial"/>
          <w:sz w:val="21"/>
          <w:szCs w:val="21"/>
        </w:rPr>
      </w:pPr>
    </w:p>
    <w:p w14:paraId="7074D520" w14:textId="77777777" w:rsidR="009453F4" w:rsidRPr="009453F4" w:rsidRDefault="009453F4" w:rsidP="009453F4">
      <w:pPr>
        <w:spacing w:line="360" w:lineRule="auto"/>
        <w:ind w:firstLine="708"/>
        <w:jc w:val="both"/>
        <w:rPr>
          <w:rFonts w:ascii="Abadi" w:hAnsi="Abadi" w:cs="Arial"/>
          <w:sz w:val="21"/>
          <w:szCs w:val="21"/>
        </w:rPr>
      </w:pPr>
      <w:r w:rsidRPr="009453F4">
        <w:rPr>
          <w:rFonts w:ascii="Abadi" w:hAnsi="Abadi" w:cs="Arial"/>
          <w:sz w:val="21"/>
          <w:szCs w:val="21"/>
        </w:rPr>
        <w:t>Se instruye al Secretario General del Congreso archive de manera definitiva la propuesta de referencia.</w:t>
      </w:r>
    </w:p>
    <w:p w14:paraId="4D210EB5" w14:textId="7EA554FB" w:rsidR="009453F4" w:rsidRDefault="009453F4" w:rsidP="009453F4">
      <w:pPr>
        <w:ind w:firstLine="851"/>
        <w:jc w:val="both"/>
        <w:rPr>
          <w:rFonts w:ascii="Abadi" w:hAnsi="Abadi" w:cs="Arial"/>
          <w:sz w:val="21"/>
          <w:szCs w:val="21"/>
          <w:lang w:val="es-MX"/>
        </w:rPr>
      </w:pPr>
    </w:p>
    <w:p w14:paraId="27BA29A1" w14:textId="77777777" w:rsidR="009453F4" w:rsidRPr="009453F4" w:rsidRDefault="009453F4" w:rsidP="009453F4">
      <w:pPr>
        <w:ind w:firstLine="851"/>
        <w:jc w:val="both"/>
        <w:rPr>
          <w:rFonts w:ascii="Abadi" w:hAnsi="Abadi" w:cs="Arial"/>
          <w:sz w:val="21"/>
          <w:szCs w:val="21"/>
          <w:lang w:val="es-MX"/>
        </w:rPr>
      </w:pPr>
    </w:p>
    <w:p w14:paraId="083E06C1" w14:textId="77777777" w:rsidR="009453F4" w:rsidRPr="009453F4" w:rsidRDefault="009453F4" w:rsidP="009453F4">
      <w:pPr>
        <w:spacing w:line="276" w:lineRule="auto"/>
        <w:jc w:val="center"/>
        <w:rPr>
          <w:rFonts w:ascii="Abadi" w:hAnsi="Abadi" w:cs="Arial"/>
          <w:b/>
          <w:sz w:val="21"/>
          <w:szCs w:val="21"/>
        </w:rPr>
      </w:pPr>
      <w:r w:rsidRPr="009453F4">
        <w:rPr>
          <w:rFonts w:ascii="Abadi" w:hAnsi="Abadi" w:cs="Arial"/>
          <w:b/>
          <w:sz w:val="21"/>
          <w:szCs w:val="21"/>
        </w:rPr>
        <w:t>GUANAJUATO, GTO., A 21 DE JUNIO DE 2022</w:t>
      </w:r>
    </w:p>
    <w:p w14:paraId="4E95DB27" w14:textId="77777777" w:rsidR="009453F4" w:rsidRPr="009453F4" w:rsidRDefault="009453F4" w:rsidP="009453F4">
      <w:pPr>
        <w:spacing w:line="276" w:lineRule="auto"/>
        <w:jc w:val="center"/>
        <w:rPr>
          <w:rFonts w:ascii="Avant Garde" w:hAnsi="Avant Garde" w:cs="Arial"/>
          <w:b/>
          <w:sz w:val="18"/>
          <w:szCs w:val="18"/>
        </w:rPr>
      </w:pPr>
      <w:r w:rsidRPr="009453F4">
        <w:rPr>
          <w:rFonts w:ascii="Abadi" w:hAnsi="Abadi" w:cs="Arial"/>
          <w:b/>
          <w:sz w:val="21"/>
          <w:szCs w:val="21"/>
        </w:rPr>
        <w:t>LA COMISIÓN DE GOBERNACIÓN Y PUNTOS CONSTITUCIONALES</w:t>
      </w:r>
    </w:p>
    <w:p w14:paraId="1E98B2C2" w14:textId="56C479F9" w:rsidR="0083194C" w:rsidRDefault="0083194C" w:rsidP="0083194C">
      <w:pPr>
        <w:tabs>
          <w:tab w:val="left" w:pos="856"/>
        </w:tabs>
        <w:kinsoku w:val="0"/>
        <w:overflowPunct w:val="0"/>
        <w:autoSpaceDE w:val="0"/>
        <w:autoSpaceDN w:val="0"/>
        <w:adjustRightInd w:val="0"/>
        <w:ind w:left="360" w:right="17"/>
        <w:jc w:val="both"/>
        <w:rPr>
          <w:rFonts w:ascii="Abadi" w:hAnsi="Abadi"/>
          <w:sz w:val="20"/>
          <w:szCs w:val="20"/>
        </w:rPr>
      </w:pPr>
    </w:p>
    <w:p w14:paraId="4A8822D1" w14:textId="77777777" w:rsidR="00105D69" w:rsidRDefault="00105D69" w:rsidP="0083194C">
      <w:pPr>
        <w:tabs>
          <w:tab w:val="left" w:pos="856"/>
        </w:tabs>
        <w:kinsoku w:val="0"/>
        <w:overflowPunct w:val="0"/>
        <w:autoSpaceDE w:val="0"/>
        <w:autoSpaceDN w:val="0"/>
        <w:adjustRightInd w:val="0"/>
        <w:ind w:left="360" w:right="17"/>
        <w:jc w:val="both"/>
        <w:rPr>
          <w:rFonts w:ascii="Abadi" w:hAnsi="Abadi"/>
          <w:sz w:val="20"/>
          <w:szCs w:val="20"/>
        </w:rPr>
      </w:pPr>
    </w:p>
    <w:p w14:paraId="11CFDD77" w14:textId="77777777" w:rsidR="009453F4" w:rsidRDefault="009453F4" w:rsidP="009453F4">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Susana Bermúdez Cano</w:t>
      </w:r>
    </w:p>
    <w:p w14:paraId="6E6FDF91" w14:textId="77777777" w:rsidR="009453F4" w:rsidRDefault="009453F4" w:rsidP="009453F4">
      <w:pPr>
        <w:jc w:val="center"/>
        <w:rPr>
          <w:rFonts w:ascii="Abadi" w:eastAsia="Arial Unicode MS" w:hAnsi="Abadi" w:cs="Arial Unicode MS"/>
          <w:b/>
          <w:bCs/>
          <w:sz w:val="21"/>
          <w:szCs w:val="21"/>
          <w:lang w:val="es-MX" w:eastAsia="en-US"/>
        </w:rPr>
      </w:pPr>
    </w:p>
    <w:p w14:paraId="54E0A680" w14:textId="77777777" w:rsidR="009453F4" w:rsidRDefault="009453F4" w:rsidP="009453F4">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Laura Cristina Márquez Alcalá</w:t>
      </w:r>
    </w:p>
    <w:p w14:paraId="49605AD6" w14:textId="77777777" w:rsidR="009453F4" w:rsidRDefault="009453F4" w:rsidP="009453F4">
      <w:pPr>
        <w:jc w:val="center"/>
        <w:rPr>
          <w:rFonts w:ascii="Abadi" w:eastAsia="Arial Unicode MS" w:hAnsi="Abadi" w:cs="Arial Unicode MS"/>
          <w:b/>
          <w:bCs/>
          <w:sz w:val="21"/>
          <w:szCs w:val="21"/>
          <w:lang w:val="es-MX" w:eastAsia="en-US"/>
        </w:rPr>
      </w:pPr>
    </w:p>
    <w:p w14:paraId="10899185" w14:textId="77777777" w:rsidR="009453F4" w:rsidRDefault="009453F4" w:rsidP="009453F4">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Briseida Anabel Magdaleno González</w:t>
      </w:r>
    </w:p>
    <w:p w14:paraId="08A063A0" w14:textId="77777777" w:rsidR="009453F4" w:rsidRDefault="009453F4" w:rsidP="009453F4">
      <w:pPr>
        <w:jc w:val="center"/>
        <w:rPr>
          <w:rFonts w:ascii="Abadi" w:eastAsia="Arial Unicode MS" w:hAnsi="Abadi" w:cs="Arial Unicode MS"/>
          <w:b/>
          <w:bCs/>
          <w:sz w:val="21"/>
          <w:szCs w:val="21"/>
          <w:lang w:val="es-MX" w:eastAsia="en-US"/>
        </w:rPr>
      </w:pPr>
    </w:p>
    <w:p w14:paraId="0C1AAF78" w14:textId="77777777" w:rsidR="009453F4" w:rsidRDefault="009453F4" w:rsidP="009453F4">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Alma Edwviges Alcaraz Hernández</w:t>
      </w:r>
    </w:p>
    <w:p w14:paraId="76CA46DD" w14:textId="77777777" w:rsidR="009453F4" w:rsidRDefault="009453F4" w:rsidP="009453F4">
      <w:pPr>
        <w:jc w:val="center"/>
        <w:rPr>
          <w:rFonts w:ascii="Abadi" w:eastAsia="Arial Unicode MS" w:hAnsi="Abadi" w:cs="Arial Unicode MS"/>
          <w:b/>
          <w:bCs/>
          <w:sz w:val="21"/>
          <w:szCs w:val="21"/>
          <w:lang w:val="es-MX" w:eastAsia="en-US"/>
        </w:rPr>
      </w:pPr>
    </w:p>
    <w:p w14:paraId="490D75EF" w14:textId="77777777" w:rsidR="009453F4" w:rsidRDefault="009453F4" w:rsidP="009453F4">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Rolando Fortino Alcántar Rojas</w:t>
      </w:r>
    </w:p>
    <w:p w14:paraId="24723029" w14:textId="77777777" w:rsidR="009453F4" w:rsidRDefault="009453F4" w:rsidP="009453F4">
      <w:pPr>
        <w:jc w:val="center"/>
        <w:rPr>
          <w:rFonts w:ascii="Abadi" w:eastAsia="Arial Unicode MS" w:hAnsi="Abadi" w:cs="Arial Unicode MS"/>
          <w:b/>
          <w:bCs/>
          <w:sz w:val="21"/>
          <w:szCs w:val="21"/>
          <w:lang w:val="es-MX" w:eastAsia="en-US"/>
        </w:rPr>
      </w:pPr>
    </w:p>
    <w:p w14:paraId="7C0C28C9" w14:textId="4B9C75AA" w:rsidR="009453F4" w:rsidRDefault="009453F4" w:rsidP="0002153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Yulma Rocha Aguilar</w:t>
      </w:r>
    </w:p>
    <w:p w14:paraId="7985B215" w14:textId="77777777" w:rsidR="009453F4" w:rsidRDefault="009453F4" w:rsidP="009453F4">
      <w:pPr>
        <w:jc w:val="center"/>
        <w:rPr>
          <w:rFonts w:ascii="Abadi" w:eastAsia="Arial Unicode MS" w:hAnsi="Abadi" w:cs="Arial Unicode MS"/>
          <w:b/>
          <w:bCs/>
          <w:sz w:val="21"/>
          <w:szCs w:val="21"/>
          <w:lang w:val="es-MX" w:eastAsia="en-US"/>
        </w:rPr>
      </w:pPr>
    </w:p>
    <w:p w14:paraId="190DD4A1" w14:textId="77777777" w:rsidR="009453F4" w:rsidRPr="00DE623A" w:rsidRDefault="009453F4" w:rsidP="009453F4">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Gerardo Fernández González</w:t>
      </w:r>
    </w:p>
    <w:p w14:paraId="20AC6C9F" w14:textId="77777777" w:rsidR="009453F4" w:rsidRPr="0083194C" w:rsidRDefault="009453F4" w:rsidP="0083194C">
      <w:pPr>
        <w:tabs>
          <w:tab w:val="left" w:pos="856"/>
        </w:tabs>
        <w:kinsoku w:val="0"/>
        <w:overflowPunct w:val="0"/>
        <w:autoSpaceDE w:val="0"/>
        <w:autoSpaceDN w:val="0"/>
        <w:adjustRightInd w:val="0"/>
        <w:ind w:left="360" w:right="17"/>
        <w:jc w:val="both"/>
        <w:rPr>
          <w:rFonts w:ascii="Abadi" w:hAnsi="Abadi"/>
          <w:sz w:val="20"/>
          <w:szCs w:val="20"/>
        </w:rPr>
      </w:pPr>
    </w:p>
    <w:p w14:paraId="3B6B3B01" w14:textId="77777777" w:rsidR="0083194C" w:rsidRPr="0083194C" w:rsidRDefault="0083194C" w:rsidP="0083194C">
      <w:pPr>
        <w:tabs>
          <w:tab w:val="left" w:pos="856"/>
        </w:tabs>
        <w:kinsoku w:val="0"/>
        <w:overflowPunct w:val="0"/>
        <w:autoSpaceDE w:val="0"/>
        <w:autoSpaceDN w:val="0"/>
        <w:adjustRightInd w:val="0"/>
        <w:ind w:left="360" w:right="17"/>
        <w:jc w:val="both"/>
        <w:rPr>
          <w:rFonts w:ascii="Abadi" w:hAnsi="Abadi"/>
          <w:b/>
          <w:bCs/>
          <w:sz w:val="20"/>
          <w:szCs w:val="20"/>
        </w:rPr>
      </w:pPr>
    </w:p>
    <w:p w14:paraId="42AC274E" w14:textId="0B618FEB" w:rsidR="00F75F91" w:rsidRDefault="002E1F21" w:rsidP="005433FA">
      <w:pPr>
        <w:pStyle w:val="Prrafodelista"/>
        <w:numPr>
          <w:ilvl w:val="0"/>
          <w:numId w:val="9"/>
        </w:numPr>
        <w:tabs>
          <w:tab w:val="left" w:pos="856"/>
        </w:tabs>
        <w:kinsoku w:val="0"/>
        <w:overflowPunct w:val="0"/>
        <w:autoSpaceDE w:val="0"/>
        <w:autoSpaceDN w:val="0"/>
        <w:adjustRightInd w:val="0"/>
        <w:spacing w:before="203"/>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6"/>
          <w:sz w:val="20"/>
          <w:szCs w:val="20"/>
        </w:rPr>
        <w:t xml:space="preserve"> </w:t>
      </w:r>
      <w:r w:rsidRPr="00531B12">
        <w:rPr>
          <w:rFonts w:ascii="Abadi" w:hAnsi="Abadi"/>
          <w:b/>
          <w:bCs/>
          <w:sz w:val="20"/>
          <w:szCs w:val="20"/>
        </w:rPr>
        <w:t>Y,</w:t>
      </w:r>
      <w:r w:rsidRPr="00531B12">
        <w:rPr>
          <w:rFonts w:ascii="Abadi" w:hAnsi="Abadi"/>
          <w:b/>
          <w:bCs/>
          <w:spacing w:val="15"/>
          <w:sz w:val="20"/>
          <w:szCs w:val="20"/>
        </w:rPr>
        <w:t xml:space="preserve"> </w:t>
      </w:r>
      <w:r w:rsidRPr="00531B12">
        <w:rPr>
          <w:rFonts w:ascii="Abadi" w:hAnsi="Abadi"/>
          <w:b/>
          <w:bCs/>
          <w:sz w:val="20"/>
          <w:szCs w:val="20"/>
        </w:rPr>
        <w:t>EN</w:t>
      </w:r>
      <w:r w:rsidRPr="00531B12">
        <w:rPr>
          <w:rFonts w:ascii="Abadi" w:hAnsi="Abadi"/>
          <w:b/>
          <w:bCs/>
          <w:spacing w:val="16"/>
          <w:sz w:val="20"/>
          <w:szCs w:val="20"/>
        </w:rPr>
        <w:t xml:space="preserve"> </w:t>
      </w:r>
      <w:r w:rsidRPr="00531B12">
        <w:rPr>
          <w:rFonts w:ascii="Abadi" w:hAnsi="Abadi"/>
          <w:b/>
          <w:bCs/>
          <w:sz w:val="20"/>
          <w:szCs w:val="20"/>
        </w:rPr>
        <w:t>SU</w:t>
      </w:r>
      <w:r w:rsidRPr="00531B12">
        <w:rPr>
          <w:rFonts w:ascii="Abadi" w:hAnsi="Abadi"/>
          <w:b/>
          <w:bCs/>
          <w:spacing w:val="15"/>
          <w:sz w:val="20"/>
          <w:szCs w:val="20"/>
        </w:rPr>
        <w:t xml:space="preserve"> </w:t>
      </w:r>
      <w:r w:rsidRPr="00531B12">
        <w:rPr>
          <w:rFonts w:ascii="Abadi" w:hAnsi="Abadi"/>
          <w:b/>
          <w:bCs/>
          <w:sz w:val="20"/>
          <w:szCs w:val="20"/>
        </w:rPr>
        <w:t>CASO,</w:t>
      </w:r>
      <w:r w:rsidRPr="00531B12">
        <w:rPr>
          <w:rFonts w:ascii="Abadi" w:hAnsi="Abadi"/>
          <w:b/>
          <w:bCs/>
          <w:spacing w:val="15"/>
          <w:sz w:val="20"/>
          <w:szCs w:val="20"/>
        </w:rPr>
        <w:t xml:space="preserve"> </w:t>
      </w:r>
      <w:r w:rsidRPr="00531B12">
        <w:rPr>
          <w:rFonts w:ascii="Abadi" w:hAnsi="Abadi"/>
          <w:b/>
          <w:bCs/>
          <w:sz w:val="20"/>
          <w:szCs w:val="20"/>
        </w:rPr>
        <w:t>APROBACIÓN</w:t>
      </w:r>
      <w:r w:rsidRPr="00531B12">
        <w:rPr>
          <w:rFonts w:ascii="Abadi" w:hAnsi="Abadi"/>
          <w:b/>
          <w:bCs/>
          <w:spacing w:val="16"/>
          <w:sz w:val="20"/>
          <w:szCs w:val="20"/>
        </w:rPr>
        <w:t xml:space="preserve"> </w:t>
      </w:r>
      <w:r w:rsidRPr="00531B12">
        <w:rPr>
          <w:rFonts w:ascii="Abadi" w:hAnsi="Abadi"/>
          <w:b/>
          <w:bCs/>
          <w:sz w:val="20"/>
          <w:szCs w:val="20"/>
        </w:rPr>
        <w:t>DEL</w:t>
      </w:r>
      <w:r w:rsidRPr="00531B12">
        <w:rPr>
          <w:rFonts w:ascii="Abadi" w:hAnsi="Abadi"/>
          <w:b/>
          <w:bCs/>
          <w:spacing w:val="15"/>
          <w:sz w:val="20"/>
          <w:szCs w:val="20"/>
        </w:rPr>
        <w:t xml:space="preserve"> </w:t>
      </w:r>
      <w:r w:rsidRPr="00531B12">
        <w:rPr>
          <w:rFonts w:ascii="Abadi" w:hAnsi="Abadi"/>
          <w:b/>
          <w:bCs/>
          <w:sz w:val="20"/>
          <w:szCs w:val="20"/>
        </w:rPr>
        <w:t>DICTAMEN</w:t>
      </w:r>
      <w:r w:rsidRPr="00531B12">
        <w:rPr>
          <w:rFonts w:ascii="Abadi" w:hAnsi="Abadi"/>
          <w:b/>
          <w:bCs/>
          <w:spacing w:val="15"/>
          <w:sz w:val="20"/>
          <w:szCs w:val="20"/>
        </w:rPr>
        <w:t xml:space="preserve"> </w:t>
      </w:r>
      <w:r w:rsidRPr="00531B12">
        <w:rPr>
          <w:rFonts w:ascii="Abadi" w:hAnsi="Abadi"/>
          <w:b/>
          <w:bCs/>
          <w:sz w:val="20"/>
          <w:szCs w:val="20"/>
        </w:rPr>
        <w:t>EMITIDO</w:t>
      </w:r>
      <w:r w:rsidRPr="00531B12">
        <w:rPr>
          <w:rFonts w:ascii="Abadi" w:hAnsi="Abadi"/>
          <w:b/>
          <w:bCs/>
          <w:spacing w:val="16"/>
          <w:sz w:val="20"/>
          <w:szCs w:val="20"/>
        </w:rPr>
        <w:t xml:space="preserve"> </w:t>
      </w:r>
      <w:r w:rsidRPr="00531B12">
        <w:rPr>
          <w:rFonts w:ascii="Abadi" w:hAnsi="Abadi"/>
          <w:b/>
          <w:bCs/>
          <w:sz w:val="20"/>
          <w:szCs w:val="20"/>
        </w:rPr>
        <w:t>POR</w:t>
      </w:r>
      <w:r w:rsidRPr="00531B12">
        <w:rPr>
          <w:rFonts w:ascii="Abadi" w:hAnsi="Abadi"/>
          <w:b/>
          <w:bCs/>
          <w:spacing w:val="15"/>
          <w:sz w:val="20"/>
          <w:szCs w:val="20"/>
        </w:rPr>
        <w:t xml:space="preserve"> </w:t>
      </w:r>
      <w:r w:rsidRPr="00531B12">
        <w:rPr>
          <w:rFonts w:ascii="Abadi" w:hAnsi="Abadi"/>
          <w:b/>
          <w:bCs/>
          <w:sz w:val="20"/>
          <w:szCs w:val="20"/>
        </w:rPr>
        <w:t>LA</w:t>
      </w:r>
      <w:r w:rsidRPr="00531B12">
        <w:rPr>
          <w:rFonts w:ascii="Abadi" w:hAnsi="Abadi"/>
          <w:b/>
          <w:bCs/>
          <w:spacing w:val="15"/>
          <w:sz w:val="20"/>
          <w:szCs w:val="20"/>
        </w:rPr>
        <w:t xml:space="preserve"> </w:t>
      </w:r>
      <w:r w:rsidRPr="00531B12">
        <w:rPr>
          <w:rFonts w:ascii="Abadi" w:hAnsi="Abadi"/>
          <w:b/>
          <w:bCs/>
          <w:sz w:val="20"/>
          <w:szCs w:val="20"/>
        </w:rPr>
        <w:t>COMISIÓN</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4"/>
          <w:sz w:val="20"/>
          <w:szCs w:val="20"/>
        </w:rPr>
        <w:t xml:space="preserve"> </w:t>
      </w:r>
      <w:r w:rsidRPr="00531B12">
        <w:rPr>
          <w:rFonts w:ascii="Abadi" w:hAnsi="Abadi"/>
          <w:b/>
          <w:bCs/>
          <w:sz w:val="20"/>
          <w:szCs w:val="20"/>
        </w:rPr>
        <w:t>GOBERNACIÓN</w:t>
      </w:r>
      <w:r w:rsidRPr="00531B12">
        <w:rPr>
          <w:rFonts w:ascii="Abadi" w:hAnsi="Abadi"/>
          <w:b/>
          <w:bCs/>
          <w:spacing w:val="4"/>
          <w:sz w:val="20"/>
          <w:szCs w:val="20"/>
        </w:rPr>
        <w:t xml:space="preserve"> </w:t>
      </w:r>
      <w:r w:rsidRPr="00531B12">
        <w:rPr>
          <w:rFonts w:ascii="Abadi" w:hAnsi="Abadi"/>
          <w:b/>
          <w:bCs/>
          <w:sz w:val="20"/>
          <w:szCs w:val="20"/>
        </w:rPr>
        <w:t>Y</w:t>
      </w:r>
      <w:r w:rsidRPr="00531B12">
        <w:rPr>
          <w:rFonts w:ascii="Abadi" w:hAnsi="Abadi"/>
          <w:b/>
          <w:bCs/>
          <w:spacing w:val="4"/>
          <w:sz w:val="20"/>
          <w:szCs w:val="20"/>
        </w:rPr>
        <w:t xml:space="preserve"> </w:t>
      </w:r>
      <w:r w:rsidRPr="00531B12">
        <w:rPr>
          <w:rFonts w:ascii="Abadi" w:hAnsi="Abadi"/>
          <w:b/>
          <w:bCs/>
          <w:sz w:val="20"/>
          <w:szCs w:val="20"/>
        </w:rPr>
        <w:t>PUNTOS</w:t>
      </w:r>
      <w:r w:rsidRPr="00531B12">
        <w:rPr>
          <w:rFonts w:ascii="Abadi" w:hAnsi="Abadi"/>
          <w:b/>
          <w:bCs/>
          <w:spacing w:val="4"/>
          <w:sz w:val="20"/>
          <w:szCs w:val="20"/>
        </w:rPr>
        <w:t xml:space="preserve"> </w:t>
      </w:r>
      <w:r w:rsidRPr="00531B12">
        <w:rPr>
          <w:rFonts w:ascii="Abadi" w:hAnsi="Abadi"/>
          <w:b/>
          <w:bCs/>
          <w:sz w:val="20"/>
          <w:szCs w:val="20"/>
        </w:rPr>
        <w:t>CONSTITUCIONALES</w:t>
      </w:r>
      <w:r w:rsidRPr="00531B12">
        <w:rPr>
          <w:rFonts w:ascii="Abadi" w:hAnsi="Abadi"/>
          <w:b/>
          <w:bCs/>
          <w:spacing w:val="4"/>
          <w:sz w:val="20"/>
          <w:szCs w:val="20"/>
        </w:rPr>
        <w:t xml:space="preserve"> </w:t>
      </w:r>
      <w:r w:rsidRPr="00531B12">
        <w:rPr>
          <w:rFonts w:ascii="Abadi" w:hAnsi="Abadi"/>
          <w:b/>
          <w:bCs/>
          <w:sz w:val="20"/>
          <w:szCs w:val="20"/>
        </w:rPr>
        <w:t>RELATIVO</w:t>
      </w:r>
      <w:r w:rsidRPr="00531B12">
        <w:rPr>
          <w:rFonts w:ascii="Abadi" w:hAnsi="Abadi"/>
          <w:b/>
          <w:bCs/>
          <w:spacing w:val="4"/>
          <w:sz w:val="20"/>
          <w:szCs w:val="20"/>
        </w:rPr>
        <w:t xml:space="preserve"> </w:t>
      </w:r>
      <w:r w:rsidRPr="00531B12">
        <w:rPr>
          <w:rFonts w:ascii="Abadi" w:hAnsi="Abadi"/>
          <w:b/>
          <w:bCs/>
          <w:sz w:val="20"/>
          <w:szCs w:val="20"/>
        </w:rPr>
        <w:t>A</w:t>
      </w:r>
      <w:r w:rsidRPr="00531B12">
        <w:rPr>
          <w:rFonts w:ascii="Abadi" w:hAnsi="Abadi"/>
          <w:b/>
          <w:bCs/>
          <w:spacing w:val="4"/>
          <w:sz w:val="20"/>
          <w:szCs w:val="20"/>
        </w:rPr>
        <w:t xml:space="preserve"> </w:t>
      </w:r>
      <w:r w:rsidRPr="00531B12">
        <w:rPr>
          <w:rFonts w:ascii="Abadi" w:hAnsi="Abadi"/>
          <w:b/>
          <w:bCs/>
          <w:sz w:val="20"/>
          <w:szCs w:val="20"/>
        </w:rPr>
        <w:t>LA</w:t>
      </w:r>
      <w:r w:rsidRPr="00531B12">
        <w:rPr>
          <w:rFonts w:ascii="Abadi" w:hAnsi="Abadi"/>
          <w:b/>
          <w:bCs/>
          <w:spacing w:val="4"/>
          <w:sz w:val="20"/>
          <w:szCs w:val="20"/>
        </w:rPr>
        <w:t xml:space="preserve"> </w:t>
      </w:r>
      <w:r w:rsidRPr="00531B12">
        <w:rPr>
          <w:rFonts w:ascii="Abadi" w:hAnsi="Abadi"/>
          <w:b/>
          <w:bCs/>
          <w:sz w:val="20"/>
          <w:szCs w:val="20"/>
        </w:rPr>
        <w:t>PROPUESTA</w:t>
      </w:r>
      <w:r w:rsidRPr="00531B12">
        <w:rPr>
          <w:rFonts w:ascii="Abadi" w:hAnsi="Abadi"/>
          <w:b/>
          <w:bCs/>
          <w:spacing w:val="4"/>
          <w:sz w:val="20"/>
          <w:szCs w:val="20"/>
        </w:rPr>
        <w:t xml:space="preserve"> </w:t>
      </w:r>
      <w:r w:rsidRPr="00531B12">
        <w:rPr>
          <w:rFonts w:ascii="Abadi" w:hAnsi="Abadi"/>
          <w:b/>
          <w:bCs/>
          <w:sz w:val="20"/>
          <w:szCs w:val="20"/>
        </w:rPr>
        <w:t>DE</w:t>
      </w:r>
      <w:r w:rsidRPr="00531B12">
        <w:rPr>
          <w:rFonts w:ascii="Abadi" w:hAnsi="Abadi"/>
          <w:b/>
          <w:bCs/>
          <w:spacing w:val="4"/>
          <w:sz w:val="20"/>
          <w:szCs w:val="20"/>
        </w:rPr>
        <w:t xml:space="preserve"> </w:t>
      </w:r>
      <w:r w:rsidRPr="00531B12">
        <w:rPr>
          <w:rFonts w:ascii="Abadi" w:hAnsi="Abadi"/>
          <w:b/>
          <w:bCs/>
          <w:sz w:val="20"/>
          <w:szCs w:val="20"/>
        </w:rPr>
        <w:t>PUNTO</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24"/>
          <w:sz w:val="20"/>
          <w:szCs w:val="20"/>
        </w:rPr>
        <w:t xml:space="preserve"> </w:t>
      </w:r>
      <w:r w:rsidRPr="00531B12">
        <w:rPr>
          <w:rFonts w:ascii="Abadi" w:hAnsi="Abadi"/>
          <w:b/>
          <w:bCs/>
          <w:sz w:val="20"/>
          <w:szCs w:val="20"/>
        </w:rPr>
        <w:t>ACUERDO</w:t>
      </w:r>
      <w:r w:rsidRPr="00531B12">
        <w:rPr>
          <w:rFonts w:ascii="Abadi" w:hAnsi="Abadi"/>
          <w:b/>
          <w:bCs/>
          <w:spacing w:val="24"/>
          <w:sz w:val="20"/>
          <w:szCs w:val="20"/>
        </w:rPr>
        <w:t xml:space="preserve"> </w:t>
      </w:r>
      <w:r w:rsidRPr="00531B12">
        <w:rPr>
          <w:rFonts w:ascii="Abadi" w:hAnsi="Abadi"/>
          <w:b/>
          <w:bCs/>
          <w:sz w:val="20"/>
          <w:szCs w:val="20"/>
        </w:rPr>
        <w:t>FORMULADA</w:t>
      </w:r>
      <w:r w:rsidRPr="00531B12">
        <w:rPr>
          <w:rFonts w:ascii="Abadi" w:hAnsi="Abadi"/>
          <w:b/>
          <w:bCs/>
          <w:spacing w:val="24"/>
          <w:sz w:val="20"/>
          <w:szCs w:val="20"/>
        </w:rPr>
        <w:t xml:space="preserve"> </w:t>
      </w:r>
      <w:r w:rsidRPr="00531B12">
        <w:rPr>
          <w:rFonts w:ascii="Abadi" w:hAnsi="Abadi"/>
          <w:b/>
          <w:bCs/>
          <w:sz w:val="20"/>
          <w:szCs w:val="20"/>
        </w:rPr>
        <w:t>POR</w:t>
      </w:r>
      <w:r w:rsidRPr="00531B12">
        <w:rPr>
          <w:rFonts w:ascii="Abadi" w:hAnsi="Abadi"/>
          <w:b/>
          <w:bCs/>
          <w:spacing w:val="24"/>
          <w:sz w:val="20"/>
          <w:szCs w:val="20"/>
        </w:rPr>
        <w:t xml:space="preserve"> </w:t>
      </w:r>
      <w:r w:rsidRPr="00531B12">
        <w:rPr>
          <w:rFonts w:ascii="Abadi" w:hAnsi="Abadi"/>
          <w:b/>
          <w:bCs/>
          <w:sz w:val="20"/>
          <w:szCs w:val="20"/>
        </w:rPr>
        <w:t>LA</w:t>
      </w:r>
      <w:r w:rsidRPr="00531B12">
        <w:rPr>
          <w:rFonts w:ascii="Abadi" w:hAnsi="Abadi"/>
          <w:b/>
          <w:bCs/>
          <w:spacing w:val="24"/>
          <w:sz w:val="20"/>
          <w:szCs w:val="20"/>
        </w:rPr>
        <w:t xml:space="preserve"> </w:t>
      </w:r>
      <w:r w:rsidRPr="00531B12">
        <w:rPr>
          <w:rFonts w:ascii="Abadi" w:hAnsi="Abadi"/>
          <w:b/>
          <w:bCs/>
          <w:sz w:val="20"/>
          <w:szCs w:val="20"/>
        </w:rPr>
        <w:t>DIPUTADA</w:t>
      </w:r>
      <w:r w:rsidRPr="00531B12">
        <w:rPr>
          <w:rFonts w:ascii="Abadi" w:hAnsi="Abadi"/>
          <w:b/>
          <w:bCs/>
          <w:spacing w:val="24"/>
          <w:sz w:val="20"/>
          <w:szCs w:val="20"/>
        </w:rPr>
        <w:t xml:space="preserve"> </w:t>
      </w:r>
      <w:r w:rsidRPr="00531B12">
        <w:rPr>
          <w:rFonts w:ascii="Abadi" w:hAnsi="Abadi"/>
          <w:b/>
          <w:bCs/>
          <w:sz w:val="20"/>
          <w:szCs w:val="20"/>
        </w:rPr>
        <w:t>ALMA</w:t>
      </w:r>
      <w:r w:rsidRPr="00531B12">
        <w:rPr>
          <w:rFonts w:ascii="Abadi" w:hAnsi="Abadi"/>
          <w:b/>
          <w:bCs/>
          <w:spacing w:val="24"/>
          <w:sz w:val="20"/>
          <w:szCs w:val="20"/>
        </w:rPr>
        <w:t xml:space="preserve"> </w:t>
      </w:r>
      <w:r w:rsidRPr="00531B12">
        <w:rPr>
          <w:rFonts w:ascii="Abadi" w:hAnsi="Abadi"/>
          <w:b/>
          <w:bCs/>
          <w:sz w:val="20"/>
          <w:szCs w:val="20"/>
        </w:rPr>
        <w:t>EDWVIGES</w:t>
      </w:r>
      <w:r w:rsidRPr="00531B12">
        <w:rPr>
          <w:rFonts w:ascii="Abadi" w:hAnsi="Abadi"/>
          <w:b/>
          <w:bCs/>
          <w:spacing w:val="24"/>
          <w:sz w:val="20"/>
          <w:szCs w:val="20"/>
        </w:rPr>
        <w:t xml:space="preserve"> </w:t>
      </w:r>
      <w:r w:rsidRPr="00531B12">
        <w:rPr>
          <w:rFonts w:ascii="Abadi" w:hAnsi="Abadi"/>
          <w:b/>
          <w:bCs/>
          <w:sz w:val="20"/>
          <w:szCs w:val="20"/>
        </w:rPr>
        <w:t>ALCARAZ</w:t>
      </w:r>
      <w:r w:rsidRPr="00531B12">
        <w:rPr>
          <w:rFonts w:ascii="Abadi" w:hAnsi="Abadi"/>
          <w:b/>
          <w:bCs/>
          <w:spacing w:val="24"/>
          <w:sz w:val="20"/>
          <w:szCs w:val="20"/>
        </w:rPr>
        <w:t xml:space="preserve"> </w:t>
      </w:r>
      <w:r w:rsidRPr="00531B12">
        <w:rPr>
          <w:rFonts w:ascii="Abadi" w:hAnsi="Abadi"/>
          <w:b/>
          <w:bCs/>
          <w:sz w:val="20"/>
          <w:szCs w:val="20"/>
        </w:rPr>
        <w:t>HERNÁNDEZ</w:t>
      </w:r>
      <w:r w:rsidRPr="00531B12">
        <w:rPr>
          <w:rFonts w:ascii="Abadi" w:hAnsi="Abadi"/>
          <w:b/>
          <w:bCs/>
          <w:spacing w:val="-1"/>
          <w:sz w:val="20"/>
          <w:szCs w:val="20"/>
        </w:rPr>
        <w:t xml:space="preserve"> </w:t>
      </w:r>
      <w:r w:rsidRPr="00531B12">
        <w:rPr>
          <w:rFonts w:ascii="Abadi" w:hAnsi="Abadi"/>
          <w:b/>
          <w:bCs/>
          <w:sz w:val="20"/>
          <w:szCs w:val="20"/>
        </w:rPr>
        <w:t>INTEGRANTE</w:t>
      </w:r>
      <w:r w:rsidRPr="00531B12">
        <w:rPr>
          <w:rFonts w:ascii="Abadi" w:hAnsi="Abadi"/>
          <w:b/>
          <w:bCs/>
          <w:spacing w:val="80"/>
          <w:sz w:val="20"/>
          <w:szCs w:val="20"/>
        </w:rPr>
        <w:t xml:space="preserve"> </w:t>
      </w:r>
      <w:r w:rsidRPr="00531B12">
        <w:rPr>
          <w:rFonts w:ascii="Abadi" w:hAnsi="Abadi"/>
          <w:b/>
          <w:bCs/>
          <w:sz w:val="20"/>
          <w:szCs w:val="20"/>
        </w:rPr>
        <w:t>DEL</w:t>
      </w:r>
      <w:r w:rsidRPr="00531B12">
        <w:rPr>
          <w:rFonts w:ascii="Abadi" w:hAnsi="Abadi"/>
          <w:b/>
          <w:bCs/>
          <w:spacing w:val="80"/>
          <w:sz w:val="20"/>
          <w:szCs w:val="20"/>
        </w:rPr>
        <w:t xml:space="preserve"> </w:t>
      </w:r>
      <w:r w:rsidRPr="00531B12">
        <w:rPr>
          <w:rFonts w:ascii="Abadi" w:hAnsi="Abadi"/>
          <w:b/>
          <w:bCs/>
          <w:sz w:val="20"/>
          <w:szCs w:val="20"/>
        </w:rPr>
        <w:t>GRUPO</w:t>
      </w:r>
      <w:r w:rsidRPr="00531B12">
        <w:rPr>
          <w:rFonts w:ascii="Abadi" w:hAnsi="Abadi"/>
          <w:b/>
          <w:bCs/>
          <w:spacing w:val="80"/>
          <w:sz w:val="20"/>
          <w:szCs w:val="20"/>
        </w:rPr>
        <w:t xml:space="preserve"> </w:t>
      </w:r>
      <w:r w:rsidRPr="00531B12">
        <w:rPr>
          <w:rFonts w:ascii="Abadi" w:hAnsi="Abadi"/>
          <w:b/>
          <w:bCs/>
          <w:sz w:val="20"/>
          <w:szCs w:val="20"/>
        </w:rPr>
        <w:t>PARLAMENTARIO</w:t>
      </w:r>
      <w:r w:rsidRPr="00531B12">
        <w:rPr>
          <w:rFonts w:ascii="Abadi" w:hAnsi="Abadi"/>
          <w:b/>
          <w:bCs/>
          <w:spacing w:val="80"/>
          <w:sz w:val="20"/>
          <w:szCs w:val="20"/>
        </w:rPr>
        <w:t xml:space="preserve"> </w:t>
      </w:r>
      <w:r w:rsidRPr="00531B12">
        <w:rPr>
          <w:rFonts w:ascii="Abadi" w:hAnsi="Abadi"/>
          <w:b/>
          <w:bCs/>
          <w:sz w:val="20"/>
          <w:szCs w:val="20"/>
        </w:rPr>
        <w:t>DEL</w:t>
      </w:r>
      <w:r w:rsidRPr="00531B12">
        <w:rPr>
          <w:rFonts w:ascii="Abadi" w:hAnsi="Abadi"/>
          <w:b/>
          <w:bCs/>
          <w:spacing w:val="80"/>
          <w:sz w:val="20"/>
          <w:szCs w:val="20"/>
        </w:rPr>
        <w:t xml:space="preserve"> </w:t>
      </w:r>
      <w:r w:rsidRPr="00531B12">
        <w:rPr>
          <w:rFonts w:ascii="Abadi" w:hAnsi="Abadi"/>
          <w:b/>
          <w:bCs/>
          <w:sz w:val="20"/>
          <w:szCs w:val="20"/>
        </w:rPr>
        <w:t>PARTIDO</w:t>
      </w:r>
      <w:r w:rsidRPr="00531B12">
        <w:rPr>
          <w:rFonts w:ascii="Abadi" w:hAnsi="Abadi"/>
          <w:b/>
          <w:bCs/>
          <w:spacing w:val="80"/>
          <w:sz w:val="20"/>
          <w:szCs w:val="20"/>
        </w:rPr>
        <w:t xml:space="preserve"> </w:t>
      </w:r>
      <w:r w:rsidRPr="00531B12">
        <w:rPr>
          <w:rFonts w:ascii="Abadi" w:hAnsi="Abadi"/>
          <w:b/>
          <w:bCs/>
          <w:sz w:val="20"/>
          <w:szCs w:val="20"/>
        </w:rPr>
        <w:t>MORENA</w:t>
      </w:r>
      <w:r w:rsidRPr="00531B12">
        <w:rPr>
          <w:rFonts w:ascii="Abadi" w:hAnsi="Abadi"/>
          <w:b/>
          <w:bCs/>
          <w:spacing w:val="80"/>
          <w:sz w:val="20"/>
          <w:szCs w:val="20"/>
        </w:rPr>
        <w:t xml:space="preserve"> </w:t>
      </w:r>
      <w:r w:rsidRPr="00531B12">
        <w:rPr>
          <w:rFonts w:ascii="Abadi" w:hAnsi="Abadi"/>
          <w:b/>
          <w:bCs/>
          <w:sz w:val="20"/>
          <w:szCs w:val="20"/>
        </w:rPr>
        <w:t>A</w:t>
      </w:r>
      <w:r w:rsidRPr="00531B12">
        <w:rPr>
          <w:rFonts w:ascii="Abadi" w:hAnsi="Abadi"/>
          <w:b/>
          <w:bCs/>
          <w:spacing w:val="80"/>
          <w:sz w:val="20"/>
          <w:szCs w:val="20"/>
        </w:rPr>
        <w:t xml:space="preserve"> </w:t>
      </w:r>
      <w:r w:rsidRPr="00531B12">
        <w:rPr>
          <w:rFonts w:ascii="Abadi" w:hAnsi="Abadi"/>
          <w:b/>
          <w:bCs/>
          <w:sz w:val="20"/>
          <w:szCs w:val="20"/>
        </w:rPr>
        <w:t>EFECTO</w:t>
      </w:r>
      <w:r w:rsidRPr="00531B12">
        <w:rPr>
          <w:rFonts w:ascii="Abadi" w:hAnsi="Abadi"/>
          <w:b/>
          <w:bCs/>
          <w:spacing w:val="80"/>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EXHORTAR</w:t>
      </w:r>
      <w:r w:rsidRPr="00531B12">
        <w:rPr>
          <w:rFonts w:ascii="Abadi" w:hAnsi="Abadi"/>
          <w:b/>
          <w:bCs/>
          <w:spacing w:val="17"/>
          <w:sz w:val="20"/>
          <w:szCs w:val="20"/>
        </w:rPr>
        <w:t xml:space="preserve"> </w:t>
      </w:r>
      <w:r w:rsidRPr="00531B12">
        <w:rPr>
          <w:rFonts w:ascii="Abadi" w:hAnsi="Abadi"/>
          <w:b/>
          <w:bCs/>
          <w:sz w:val="20"/>
          <w:szCs w:val="20"/>
        </w:rPr>
        <w:t>A</w:t>
      </w:r>
      <w:r w:rsidRPr="00531B12">
        <w:rPr>
          <w:rFonts w:ascii="Abadi" w:hAnsi="Abadi"/>
          <w:b/>
          <w:bCs/>
          <w:spacing w:val="18"/>
          <w:sz w:val="20"/>
          <w:szCs w:val="20"/>
        </w:rPr>
        <w:t xml:space="preserve"> </w:t>
      </w:r>
      <w:r w:rsidRPr="00531B12">
        <w:rPr>
          <w:rFonts w:ascii="Abadi" w:hAnsi="Abadi"/>
          <w:b/>
          <w:bCs/>
          <w:sz w:val="20"/>
          <w:szCs w:val="20"/>
        </w:rPr>
        <w:t>LOS</w:t>
      </w:r>
      <w:r w:rsidRPr="00531B12">
        <w:rPr>
          <w:rFonts w:ascii="Abadi" w:hAnsi="Abadi"/>
          <w:b/>
          <w:bCs/>
          <w:spacing w:val="18"/>
          <w:sz w:val="20"/>
          <w:szCs w:val="20"/>
        </w:rPr>
        <w:t xml:space="preserve"> </w:t>
      </w:r>
      <w:r w:rsidRPr="00531B12">
        <w:rPr>
          <w:rFonts w:ascii="Abadi" w:hAnsi="Abadi"/>
          <w:b/>
          <w:bCs/>
          <w:sz w:val="20"/>
          <w:szCs w:val="20"/>
        </w:rPr>
        <w:t>AYUNTAMIENTOS</w:t>
      </w:r>
      <w:r w:rsidRPr="00531B12">
        <w:rPr>
          <w:rFonts w:ascii="Abadi" w:hAnsi="Abadi"/>
          <w:b/>
          <w:bCs/>
          <w:spacing w:val="20"/>
          <w:sz w:val="20"/>
          <w:szCs w:val="20"/>
        </w:rPr>
        <w:t xml:space="preserve"> </w:t>
      </w:r>
      <w:r w:rsidRPr="00531B12">
        <w:rPr>
          <w:rFonts w:ascii="Abadi" w:hAnsi="Abadi"/>
          <w:b/>
          <w:bCs/>
          <w:sz w:val="20"/>
          <w:szCs w:val="20"/>
        </w:rPr>
        <w:t>QUE</w:t>
      </w:r>
      <w:r w:rsidRPr="00531B12">
        <w:rPr>
          <w:rFonts w:ascii="Abadi" w:hAnsi="Abadi"/>
          <w:b/>
          <w:bCs/>
          <w:spacing w:val="18"/>
          <w:sz w:val="20"/>
          <w:szCs w:val="20"/>
        </w:rPr>
        <w:t xml:space="preserve"> </w:t>
      </w:r>
      <w:r w:rsidRPr="00531B12">
        <w:rPr>
          <w:rFonts w:ascii="Abadi" w:hAnsi="Abadi"/>
          <w:b/>
          <w:bCs/>
          <w:sz w:val="20"/>
          <w:szCs w:val="20"/>
        </w:rPr>
        <w:t>FALTAN</w:t>
      </w:r>
      <w:r w:rsidRPr="00531B12">
        <w:rPr>
          <w:rFonts w:ascii="Abadi" w:hAnsi="Abadi"/>
          <w:b/>
          <w:bCs/>
          <w:spacing w:val="18"/>
          <w:sz w:val="20"/>
          <w:szCs w:val="20"/>
        </w:rPr>
        <w:t xml:space="preserve"> </w:t>
      </w:r>
      <w:r w:rsidRPr="00531B12">
        <w:rPr>
          <w:rFonts w:ascii="Abadi" w:hAnsi="Abadi"/>
          <w:b/>
          <w:bCs/>
          <w:sz w:val="20"/>
          <w:szCs w:val="20"/>
        </w:rPr>
        <w:t>DE</w:t>
      </w:r>
      <w:r w:rsidRPr="00531B12">
        <w:rPr>
          <w:rFonts w:ascii="Abadi" w:hAnsi="Abadi"/>
          <w:b/>
          <w:bCs/>
          <w:spacing w:val="18"/>
          <w:sz w:val="20"/>
          <w:szCs w:val="20"/>
        </w:rPr>
        <w:t xml:space="preserve"> </w:t>
      </w:r>
      <w:r w:rsidRPr="00531B12">
        <w:rPr>
          <w:rFonts w:ascii="Abadi" w:hAnsi="Abadi"/>
          <w:b/>
          <w:bCs/>
          <w:sz w:val="20"/>
          <w:szCs w:val="20"/>
        </w:rPr>
        <w:t>DISCUTIR</w:t>
      </w:r>
      <w:r w:rsidRPr="00531B12">
        <w:rPr>
          <w:rFonts w:ascii="Abadi" w:hAnsi="Abadi"/>
          <w:b/>
          <w:bCs/>
          <w:spacing w:val="17"/>
          <w:sz w:val="20"/>
          <w:szCs w:val="20"/>
        </w:rPr>
        <w:t xml:space="preserve"> </w:t>
      </w:r>
      <w:r w:rsidRPr="00531B12">
        <w:rPr>
          <w:rFonts w:ascii="Abadi" w:hAnsi="Abadi"/>
          <w:b/>
          <w:bCs/>
          <w:sz w:val="20"/>
          <w:szCs w:val="20"/>
        </w:rPr>
        <w:t>Y,</w:t>
      </w:r>
      <w:r w:rsidRPr="00531B12">
        <w:rPr>
          <w:rFonts w:ascii="Abadi" w:hAnsi="Abadi"/>
          <w:b/>
          <w:bCs/>
          <w:spacing w:val="17"/>
          <w:sz w:val="20"/>
          <w:szCs w:val="20"/>
        </w:rPr>
        <w:t xml:space="preserve"> </w:t>
      </w:r>
      <w:r w:rsidRPr="00531B12">
        <w:rPr>
          <w:rFonts w:ascii="Abadi" w:hAnsi="Abadi"/>
          <w:b/>
          <w:bCs/>
          <w:sz w:val="20"/>
          <w:szCs w:val="20"/>
        </w:rPr>
        <w:t>EN</w:t>
      </w:r>
      <w:r w:rsidRPr="00531B12">
        <w:rPr>
          <w:rFonts w:ascii="Abadi" w:hAnsi="Abadi"/>
          <w:b/>
          <w:bCs/>
          <w:spacing w:val="18"/>
          <w:sz w:val="20"/>
          <w:szCs w:val="20"/>
        </w:rPr>
        <w:t xml:space="preserve"> </w:t>
      </w:r>
      <w:r w:rsidRPr="00531B12">
        <w:rPr>
          <w:rFonts w:ascii="Abadi" w:hAnsi="Abadi"/>
          <w:b/>
          <w:bCs/>
          <w:sz w:val="20"/>
          <w:szCs w:val="20"/>
        </w:rPr>
        <w:t>SU</w:t>
      </w:r>
      <w:r w:rsidRPr="00531B12">
        <w:rPr>
          <w:rFonts w:ascii="Abadi" w:hAnsi="Abadi"/>
          <w:b/>
          <w:bCs/>
          <w:spacing w:val="18"/>
          <w:sz w:val="20"/>
          <w:szCs w:val="20"/>
        </w:rPr>
        <w:t xml:space="preserve"> </w:t>
      </w:r>
      <w:r w:rsidRPr="00531B12">
        <w:rPr>
          <w:rFonts w:ascii="Abadi" w:hAnsi="Abadi"/>
          <w:b/>
          <w:bCs/>
          <w:sz w:val="20"/>
          <w:szCs w:val="20"/>
        </w:rPr>
        <w:t>CASO,</w:t>
      </w:r>
      <w:r w:rsidRPr="00531B12">
        <w:rPr>
          <w:rFonts w:ascii="Abadi" w:hAnsi="Abadi"/>
          <w:b/>
          <w:bCs/>
          <w:spacing w:val="17"/>
          <w:sz w:val="20"/>
          <w:szCs w:val="20"/>
        </w:rPr>
        <w:t xml:space="preserve"> </w:t>
      </w:r>
      <w:r w:rsidRPr="00531B12">
        <w:rPr>
          <w:rFonts w:ascii="Abadi" w:hAnsi="Abadi"/>
          <w:b/>
          <w:bCs/>
          <w:sz w:val="20"/>
          <w:szCs w:val="20"/>
        </w:rPr>
        <w:t>APROBAR</w:t>
      </w:r>
      <w:r w:rsidRPr="00531B12">
        <w:rPr>
          <w:rFonts w:ascii="Abadi" w:hAnsi="Abadi"/>
          <w:b/>
          <w:bCs/>
          <w:spacing w:val="-1"/>
          <w:sz w:val="20"/>
          <w:szCs w:val="20"/>
        </w:rPr>
        <w:t xml:space="preserve"> </w:t>
      </w:r>
      <w:r w:rsidRPr="00531B12">
        <w:rPr>
          <w:rFonts w:ascii="Abadi" w:hAnsi="Abadi"/>
          <w:b/>
          <w:bCs/>
          <w:sz w:val="20"/>
          <w:szCs w:val="20"/>
        </w:rPr>
        <w:t>LAS</w:t>
      </w:r>
      <w:r w:rsidRPr="00531B12">
        <w:rPr>
          <w:rFonts w:ascii="Abadi" w:hAnsi="Abadi"/>
          <w:b/>
          <w:bCs/>
          <w:spacing w:val="76"/>
          <w:sz w:val="20"/>
          <w:szCs w:val="20"/>
        </w:rPr>
        <w:t xml:space="preserve"> </w:t>
      </w:r>
      <w:r w:rsidRPr="00531B12">
        <w:rPr>
          <w:rFonts w:ascii="Abadi" w:hAnsi="Abadi"/>
          <w:b/>
          <w:bCs/>
          <w:sz w:val="20"/>
          <w:szCs w:val="20"/>
        </w:rPr>
        <w:t>REFORMAS</w:t>
      </w:r>
      <w:r w:rsidRPr="00531B12">
        <w:rPr>
          <w:rFonts w:ascii="Abadi" w:hAnsi="Abadi"/>
          <w:b/>
          <w:bCs/>
          <w:spacing w:val="76"/>
          <w:sz w:val="20"/>
          <w:szCs w:val="20"/>
        </w:rPr>
        <w:t xml:space="preserve"> </w:t>
      </w:r>
      <w:r w:rsidRPr="00531B12">
        <w:rPr>
          <w:rFonts w:ascii="Abadi" w:hAnsi="Abadi"/>
          <w:b/>
          <w:bCs/>
          <w:sz w:val="20"/>
          <w:szCs w:val="20"/>
        </w:rPr>
        <w:t>Y</w:t>
      </w:r>
      <w:r w:rsidRPr="00531B12">
        <w:rPr>
          <w:rFonts w:ascii="Abadi" w:hAnsi="Abadi"/>
          <w:b/>
          <w:bCs/>
          <w:spacing w:val="76"/>
          <w:sz w:val="20"/>
          <w:szCs w:val="20"/>
        </w:rPr>
        <w:t xml:space="preserve"> </w:t>
      </w:r>
      <w:r w:rsidRPr="00531B12">
        <w:rPr>
          <w:rFonts w:ascii="Abadi" w:hAnsi="Abadi"/>
          <w:b/>
          <w:bCs/>
          <w:sz w:val="20"/>
          <w:szCs w:val="20"/>
        </w:rPr>
        <w:t>ADICIONES</w:t>
      </w:r>
      <w:r w:rsidRPr="00531B12">
        <w:rPr>
          <w:rFonts w:ascii="Abadi" w:hAnsi="Abadi"/>
          <w:b/>
          <w:bCs/>
          <w:spacing w:val="76"/>
          <w:sz w:val="20"/>
          <w:szCs w:val="20"/>
        </w:rPr>
        <w:t xml:space="preserve"> </w:t>
      </w:r>
      <w:r w:rsidRPr="00531B12">
        <w:rPr>
          <w:rFonts w:ascii="Abadi" w:hAnsi="Abadi"/>
          <w:b/>
          <w:bCs/>
          <w:sz w:val="20"/>
          <w:szCs w:val="20"/>
        </w:rPr>
        <w:t>A</w:t>
      </w:r>
      <w:r w:rsidRPr="00531B12">
        <w:rPr>
          <w:rFonts w:ascii="Abadi" w:hAnsi="Abadi"/>
          <w:b/>
          <w:bCs/>
          <w:spacing w:val="76"/>
          <w:sz w:val="20"/>
          <w:szCs w:val="20"/>
        </w:rPr>
        <w:t xml:space="preserve"> </w:t>
      </w:r>
      <w:r w:rsidRPr="00531B12">
        <w:rPr>
          <w:rFonts w:ascii="Abadi" w:hAnsi="Abadi"/>
          <w:b/>
          <w:bCs/>
          <w:sz w:val="20"/>
          <w:szCs w:val="20"/>
        </w:rPr>
        <w:t>LA</w:t>
      </w:r>
      <w:r w:rsidRPr="00531B12">
        <w:rPr>
          <w:rFonts w:ascii="Abadi" w:hAnsi="Abadi"/>
          <w:b/>
          <w:bCs/>
          <w:spacing w:val="76"/>
          <w:sz w:val="20"/>
          <w:szCs w:val="20"/>
        </w:rPr>
        <w:t xml:space="preserve"> </w:t>
      </w:r>
      <w:r w:rsidRPr="00531B12">
        <w:rPr>
          <w:rFonts w:ascii="Abadi" w:hAnsi="Abadi"/>
          <w:b/>
          <w:bCs/>
          <w:sz w:val="20"/>
          <w:szCs w:val="20"/>
        </w:rPr>
        <w:t>CONSTITUCIÓN</w:t>
      </w:r>
      <w:r w:rsidRPr="00531B12">
        <w:rPr>
          <w:rFonts w:ascii="Abadi" w:hAnsi="Abadi"/>
          <w:b/>
          <w:bCs/>
          <w:spacing w:val="76"/>
          <w:sz w:val="20"/>
          <w:szCs w:val="20"/>
        </w:rPr>
        <w:t xml:space="preserve"> </w:t>
      </w:r>
      <w:r w:rsidRPr="00531B12">
        <w:rPr>
          <w:rFonts w:ascii="Abadi" w:hAnsi="Abadi"/>
          <w:b/>
          <w:bCs/>
          <w:sz w:val="20"/>
          <w:szCs w:val="20"/>
        </w:rPr>
        <w:t>POLÍTICA</w:t>
      </w:r>
      <w:r w:rsidRPr="00531B12">
        <w:rPr>
          <w:rFonts w:ascii="Abadi" w:hAnsi="Abadi"/>
          <w:b/>
          <w:bCs/>
          <w:spacing w:val="76"/>
          <w:sz w:val="20"/>
          <w:szCs w:val="20"/>
        </w:rPr>
        <w:t xml:space="preserve"> </w:t>
      </w:r>
      <w:r w:rsidRPr="00531B12">
        <w:rPr>
          <w:rFonts w:ascii="Abadi" w:hAnsi="Abadi"/>
          <w:b/>
          <w:bCs/>
          <w:sz w:val="20"/>
          <w:szCs w:val="20"/>
        </w:rPr>
        <w:t>PARA</w:t>
      </w:r>
      <w:r w:rsidRPr="00531B12">
        <w:rPr>
          <w:rFonts w:ascii="Abadi" w:hAnsi="Abadi"/>
          <w:b/>
          <w:bCs/>
          <w:spacing w:val="76"/>
          <w:sz w:val="20"/>
          <w:szCs w:val="20"/>
        </w:rPr>
        <w:t xml:space="preserve"> </w:t>
      </w:r>
      <w:r w:rsidRPr="00531B12">
        <w:rPr>
          <w:rFonts w:ascii="Abadi" w:hAnsi="Abadi"/>
          <w:b/>
          <w:bCs/>
          <w:sz w:val="20"/>
          <w:szCs w:val="20"/>
        </w:rPr>
        <w:t>EL</w:t>
      </w:r>
      <w:r w:rsidRPr="00531B12">
        <w:rPr>
          <w:rFonts w:ascii="Abadi" w:hAnsi="Abadi"/>
          <w:b/>
          <w:bCs/>
          <w:spacing w:val="76"/>
          <w:sz w:val="20"/>
          <w:szCs w:val="20"/>
        </w:rPr>
        <w:t xml:space="preserve"> </w:t>
      </w:r>
      <w:r w:rsidRPr="00531B12">
        <w:rPr>
          <w:rFonts w:ascii="Abadi" w:hAnsi="Abadi"/>
          <w:b/>
          <w:bCs/>
          <w:sz w:val="20"/>
          <w:szCs w:val="20"/>
        </w:rPr>
        <w:t>ESTADO</w:t>
      </w:r>
      <w:r w:rsidRPr="00531B12">
        <w:rPr>
          <w:rFonts w:ascii="Abadi" w:hAnsi="Abadi"/>
          <w:b/>
          <w:bCs/>
          <w:spacing w:val="76"/>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GUANAJUATO,</w:t>
      </w:r>
      <w:r w:rsidRPr="00531B12">
        <w:rPr>
          <w:rFonts w:ascii="Abadi" w:hAnsi="Abadi"/>
          <w:b/>
          <w:bCs/>
          <w:spacing w:val="75"/>
          <w:w w:val="150"/>
          <w:sz w:val="20"/>
          <w:szCs w:val="20"/>
        </w:rPr>
        <w:t xml:space="preserve"> </w:t>
      </w:r>
      <w:r w:rsidRPr="00531B12">
        <w:rPr>
          <w:rFonts w:ascii="Abadi" w:hAnsi="Abadi"/>
          <w:b/>
          <w:bCs/>
          <w:sz w:val="20"/>
          <w:szCs w:val="20"/>
        </w:rPr>
        <w:t>CONTENIDAS</w:t>
      </w:r>
      <w:r w:rsidRPr="00531B12">
        <w:rPr>
          <w:rFonts w:ascii="Abadi" w:hAnsi="Abadi"/>
          <w:b/>
          <w:bCs/>
          <w:spacing w:val="76"/>
          <w:w w:val="150"/>
          <w:sz w:val="20"/>
          <w:szCs w:val="20"/>
        </w:rPr>
        <w:t xml:space="preserve"> </w:t>
      </w:r>
      <w:r w:rsidRPr="00531B12">
        <w:rPr>
          <w:rFonts w:ascii="Abadi" w:hAnsi="Abadi"/>
          <w:b/>
          <w:bCs/>
          <w:sz w:val="20"/>
          <w:szCs w:val="20"/>
        </w:rPr>
        <w:t>EN</w:t>
      </w:r>
      <w:r w:rsidRPr="00531B12">
        <w:rPr>
          <w:rFonts w:ascii="Abadi" w:hAnsi="Abadi"/>
          <w:b/>
          <w:bCs/>
          <w:spacing w:val="76"/>
          <w:w w:val="150"/>
          <w:sz w:val="20"/>
          <w:szCs w:val="20"/>
        </w:rPr>
        <w:t xml:space="preserve"> </w:t>
      </w:r>
      <w:r w:rsidRPr="00531B12">
        <w:rPr>
          <w:rFonts w:ascii="Abadi" w:hAnsi="Abadi"/>
          <w:b/>
          <w:bCs/>
          <w:sz w:val="20"/>
          <w:szCs w:val="20"/>
        </w:rPr>
        <w:t>EL</w:t>
      </w:r>
      <w:r w:rsidRPr="00531B12">
        <w:rPr>
          <w:rFonts w:ascii="Abadi" w:hAnsi="Abadi"/>
          <w:b/>
          <w:bCs/>
          <w:spacing w:val="76"/>
          <w:w w:val="150"/>
          <w:sz w:val="20"/>
          <w:szCs w:val="20"/>
        </w:rPr>
        <w:t xml:space="preserve"> </w:t>
      </w:r>
      <w:r w:rsidRPr="00531B12">
        <w:rPr>
          <w:rFonts w:ascii="Abadi" w:hAnsi="Abadi"/>
          <w:b/>
          <w:bCs/>
          <w:sz w:val="20"/>
          <w:szCs w:val="20"/>
        </w:rPr>
        <w:t>PROYECTO</w:t>
      </w:r>
      <w:r w:rsidRPr="00531B12">
        <w:rPr>
          <w:rFonts w:ascii="Abadi" w:hAnsi="Abadi"/>
          <w:b/>
          <w:bCs/>
          <w:spacing w:val="76"/>
          <w:w w:val="150"/>
          <w:sz w:val="20"/>
          <w:szCs w:val="20"/>
        </w:rPr>
        <w:t xml:space="preserve"> </w:t>
      </w:r>
      <w:r w:rsidRPr="00531B12">
        <w:rPr>
          <w:rFonts w:ascii="Abadi" w:hAnsi="Abadi"/>
          <w:b/>
          <w:bCs/>
          <w:sz w:val="20"/>
          <w:szCs w:val="20"/>
        </w:rPr>
        <w:t>DE</w:t>
      </w:r>
      <w:r w:rsidRPr="00531B12">
        <w:rPr>
          <w:rFonts w:ascii="Abadi" w:hAnsi="Abadi"/>
          <w:b/>
          <w:bCs/>
          <w:spacing w:val="76"/>
          <w:w w:val="150"/>
          <w:sz w:val="20"/>
          <w:szCs w:val="20"/>
        </w:rPr>
        <w:t xml:space="preserve"> </w:t>
      </w:r>
      <w:r w:rsidRPr="00531B12">
        <w:rPr>
          <w:rFonts w:ascii="Abadi" w:hAnsi="Abadi"/>
          <w:b/>
          <w:bCs/>
          <w:sz w:val="20"/>
          <w:szCs w:val="20"/>
        </w:rPr>
        <w:t>DECRETO</w:t>
      </w:r>
      <w:r w:rsidRPr="00531B12">
        <w:rPr>
          <w:rFonts w:ascii="Abadi" w:hAnsi="Abadi"/>
          <w:b/>
          <w:bCs/>
          <w:spacing w:val="76"/>
          <w:w w:val="150"/>
          <w:sz w:val="20"/>
          <w:szCs w:val="20"/>
        </w:rPr>
        <w:t xml:space="preserve"> </w:t>
      </w:r>
      <w:r w:rsidRPr="00531B12">
        <w:rPr>
          <w:rFonts w:ascii="Abadi" w:hAnsi="Abadi"/>
          <w:b/>
          <w:bCs/>
          <w:sz w:val="20"/>
          <w:szCs w:val="20"/>
        </w:rPr>
        <w:t>DE</w:t>
      </w:r>
      <w:r w:rsidRPr="00531B12">
        <w:rPr>
          <w:rFonts w:ascii="Abadi" w:hAnsi="Abadi"/>
          <w:b/>
          <w:bCs/>
          <w:spacing w:val="75"/>
          <w:w w:val="150"/>
          <w:sz w:val="20"/>
          <w:szCs w:val="20"/>
        </w:rPr>
        <w:t xml:space="preserve"> </w:t>
      </w:r>
      <w:r w:rsidRPr="00531B12">
        <w:rPr>
          <w:rFonts w:ascii="Abadi" w:hAnsi="Abadi"/>
          <w:b/>
          <w:bCs/>
          <w:sz w:val="20"/>
          <w:szCs w:val="20"/>
        </w:rPr>
        <w:t>FECHA</w:t>
      </w:r>
      <w:r w:rsidRPr="00531B12">
        <w:rPr>
          <w:rFonts w:ascii="Abadi" w:hAnsi="Abadi"/>
          <w:b/>
          <w:bCs/>
          <w:spacing w:val="76"/>
          <w:w w:val="150"/>
          <w:sz w:val="20"/>
          <w:szCs w:val="20"/>
        </w:rPr>
        <w:t xml:space="preserve"> </w:t>
      </w:r>
      <w:r w:rsidRPr="00531B12">
        <w:rPr>
          <w:rFonts w:ascii="Abadi" w:hAnsi="Abadi"/>
          <w:b/>
          <w:bCs/>
          <w:sz w:val="20"/>
          <w:szCs w:val="20"/>
        </w:rPr>
        <w:t>13</w:t>
      </w:r>
      <w:r w:rsidRPr="00531B12">
        <w:rPr>
          <w:rFonts w:ascii="Abadi" w:hAnsi="Abadi"/>
          <w:b/>
          <w:bCs/>
          <w:spacing w:val="76"/>
          <w:w w:val="150"/>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SEPTIEMBRE</w:t>
      </w:r>
      <w:r w:rsidRPr="00531B12">
        <w:rPr>
          <w:rFonts w:ascii="Abadi" w:hAnsi="Abadi"/>
          <w:b/>
          <w:bCs/>
          <w:spacing w:val="-8"/>
          <w:sz w:val="20"/>
          <w:szCs w:val="20"/>
        </w:rPr>
        <w:t xml:space="preserve"> </w:t>
      </w:r>
      <w:r w:rsidRPr="00531B12">
        <w:rPr>
          <w:rFonts w:ascii="Abadi" w:hAnsi="Abadi"/>
          <w:b/>
          <w:bCs/>
          <w:sz w:val="20"/>
          <w:szCs w:val="20"/>
        </w:rPr>
        <w:t>DE</w:t>
      </w:r>
      <w:r w:rsidRPr="00531B12">
        <w:rPr>
          <w:rFonts w:ascii="Abadi" w:hAnsi="Abadi"/>
          <w:b/>
          <w:bCs/>
          <w:spacing w:val="-8"/>
          <w:sz w:val="20"/>
          <w:szCs w:val="20"/>
        </w:rPr>
        <w:t xml:space="preserve"> </w:t>
      </w:r>
      <w:r w:rsidRPr="00531B12">
        <w:rPr>
          <w:rFonts w:ascii="Abadi" w:hAnsi="Abadi"/>
          <w:b/>
          <w:bCs/>
          <w:sz w:val="20"/>
          <w:szCs w:val="20"/>
        </w:rPr>
        <w:t>2021</w:t>
      </w:r>
      <w:r w:rsidRPr="00531B12">
        <w:rPr>
          <w:rFonts w:ascii="Abadi" w:hAnsi="Abadi"/>
          <w:b/>
          <w:bCs/>
          <w:spacing w:val="-8"/>
          <w:sz w:val="20"/>
          <w:szCs w:val="20"/>
        </w:rPr>
        <w:t xml:space="preserve"> </w:t>
      </w:r>
      <w:r w:rsidRPr="00531B12">
        <w:rPr>
          <w:rFonts w:ascii="Abadi" w:hAnsi="Abadi"/>
          <w:b/>
          <w:bCs/>
          <w:sz w:val="20"/>
          <w:szCs w:val="20"/>
        </w:rPr>
        <w:t>QUE</w:t>
      </w:r>
      <w:r w:rsidRPr="00531B12">
        <w:rPr>
          <w:rFonts w:ascii="Abadi" w:hAnsi="Abadi"/>
          <w:b/>
          <w:bCs/>
          <w:spacing w:val="-8"/>
          <w:sz w:val="20"/>
          <w:szCs w:val="20"/>
        </w:rPr>
        <w:t xml:space="preserve"> </w:t>
      </w:r>
      <w:r w:rsidRPr="00531B12">
        <w:rPr>
          <w:rFonts w:ascii="Abadi" w:hAnsi="Abadi"/>
          <w:b/>
          <w:bCs/>
          <w:sz w:val="20"/>
          <w:szCs w:val="20"/>
        </w:rPr>
        <w:t>YA</w:t>
      </w:r>
      <w:r w:rsidRPr="00531B12">
        <w:rPr>
          <w:rFonts w:ascii="Abadi" w:hAnsi="Abadi"/>
          <w:b/>
          <w:bCs/>
          <w:spacing w:val="-8"/>
          <w:sz w:val="20"/>
          <w:szCs w:val="20"/>
        </w:rPr>
        <w:t xml:space="preserve"> </w:t>
      </w:r>
      <w:r w:rsidRPr="00531B12">
        <w:rPr>
          <w:rFonts w:ascii="Abadi" w:hAnsi="Abadi"/>
          <w:b/>
          <w:bCs/>
          <w:sz w:val="20"/>
          <w:szCs w:val="20"/>
        </w:rPr>
        <w:t>LES</w:t>
      </w:r>
      <w:r w:rsidRPr="00531B12">
        <w:rPr>
          <w:rFonts w:ascii="Abadi" w:hAnsi="Abadi"/>
          <w:b/>
          <w:bCs/>
          <w:spacing w:val="-8"/>
          <w:sz w:val="20"/>
          <w:szCs w:val="20"/>
        </w:rPr>
        <w:t xml:space="preserve"> </w:t>
      </w:r>
      <w:r w:rsidRPr="00531B12">
        <w:rPr>
          <w:rFonts w:ascii="Abadi" w:hAnsi="Abadi"/>
          <w:b/>
          <w:bCs/>
          <w:sz w:val="20"/>
          <w:szCs w:val="20"/>
        </w:rPr>
        <w:t>HA</w:t>
      </w:r>
      <w:r w:rsidRPr="00531B12">
        <w:rPr>
          <w:rFonts w:ascii="Abadi" w:hAnsi="Abadi"/>
          <w:b/>
          <w:bCs/>
          <w:spacing w:val="-8"/>
          <w:sz w:val="20"/>
          <w:szCs w:val="20"/>
        </w:rPr>
        <w:t xml:space="preserve"> </w:t>
      </w:r>
      <w:r w:rsidRPr="00531B12">
        <w:rPr>
          <w:rFonts w:ascii="Abadi" w:hAnsi="Abadi"/>
          <w:b/>
          <w:bCs/>
          <w:sz w:val="20"/>
          <w:szCs w:val="20"/>
        </w:rPr>
        <w:t>SIDO</w:t>
      </w:r>
      <w:r w:rsidRPr="00531B12">
        <w:rPr>
          <w:rFonts w:ascii="Abadi" w:hAnsi="Abadi"/>
          <w:b/>
          <w:bCs/>
          <w:spacing w:val="-8"/>
          <w:sz w:val="20"/>
          <w:szCs w:val="20"/>
        </w:rPr>
        <w:t xml:space="preserve"> </w:t>
      </w:r>
      <w:r w:rsidRPr="00531B12">
        <w:rPr>
          <w:rFonts w:ascii="Abadi" w:hAnsi="Abadi"/>
          <w:b/>
          <w:bCs/>
          <w:sz w:val="20"/>
          <w:szCs w:val="20"/>
        </w:rPr>
        <w:t>NOTIFICADO</w:t>
      </w:r>
      <w:r w:rsidRPr="00531B12">
        <w:rPr>
          <w:rFonts w:ascii="Abadi" w:hAnsi="Abadi"/>
          <w:b/>
          <w:bCs/>
          <w:spacing w:val="-7"/>
          <w:sz w:val="20"/>
          <w:szCs w:val="20"/>
        </w:rPr>
        <w:t xml:space="preserve"> </w:t>
      </w:r>
      <w:r w:rsidRPr="00531B12">
        <w:rPr>
          <w:rFonts w:ascii="Abadi" w:hAnsi="Abadi"/>
          <w:b/>
          <w:bCs/>
          <w:sz w:val="20"/>
          <w:szCs w:val="20"/>
        </w:rPr>
        <w:t>CON</w:t>
      </w:r>
      <w:r w:rsidRPr="00531B12">
        <w:rPr>
          <w:rFonts w:ascii="Abadi" w:hAnsi="Abadi"/>
          <w:b/>
          <w:bCs/>
          <w:spacing w:val="-8"/>
          <w:sz w:val="20"/>
          <w:szCs w:val="20"/>
        </w:rPr>
        <w:t xml:space="preserve"> </w:t>
      </w:r>
      <w:r w:rsidRPr="00531B12">
        <w:rPr>
          <w:rFonts w:ascii="Abadi" w:hAnsi="Abadi"/>
          <w:b/>
          <w:bCs/>
          <w:sz w:val="20"/>
          <w:szCs w:val="20"/>
        </w:rPr>
        <w:t>ANTERIORIDAD,</w:t>
      </w:r>
      <w:r w:rsidRPr="00531B12">
        <w:rPr>
          <w:rFonts w:ascii="Abadi" w:hAnsi="Abadi"/>
          <w:b/>
          <w:bCs/>
          <w:spacing w:val="-8"/>
          <w:sz w:val="20"/>
          <w:szCs w:val="20"/>
        </w:rPr>
        <w:t xml:space="preserve"> </w:t>
      </w:r>
      <w:r w:rsidRPr="00531B12">
        <w:rPr>
          <w:rFonts w:ascii="Abadi" w:hAnsi="Abadi"/>
          <w:b/>
          <w:bCs/>
          <w:sz w:val="20"/>
          <w:szCs w:val="20"/>
        </w:rPr>
        <w:t>PARA</w:t>
      </w:r>
      <w:r w:rsidRPr="00531B12">
        <w:rPr>
          <w:rFonts w:ascii="Abadi" w:hAnsi="Abadi"/>
          <w:b/>
          <w:bCs/>
          <w:spacing w:val="-8"/>
          <w:sz w:val="20"/>
          <w:szCs w:val="20"/>
        </w:rPr>
        <w:t xml:space="preserve"> </w:t>
      </w:r>
      <w:r w:rsidRPr="00531B12">
        <w:rPr>
          <w:rFonts w:ascii="Abadi" w:hAnsi="Abadi"/>
          <w:b/>
          <w:bCs/>
          <w:sz w:val="20"/>
          <w:szCs w:val="20"/>
        </w:rPr>
        <w:t>QUE</w:t>
      </w:r>
      <w:r w:rsidRPr="00531B12">
        <w:rPr>
          <w:rFonts w:ascii="Abadi" w:hAnsi="Abadi"/>
          <w:b/>
          <w:bCs/>
          <w:spacing w:val="-1"/>
          <w:sz w:val="20"/>
          <w:szCs w:val="20"/>
        </w:rPr>
        <w:t xml:space="preserve"> </w:t>
      </w:r>
      <w:r w:rsidRPr="00531B12">
        <w:rPr>
          <w:rFonts w:ascii="Abadi" w:hAnsi="Abadi"/>
          <w:b/>
          <w:bCs/>
          <w:sz w:val="20"/>
          <w:szCs w:val="20"/>
        </w:rPr>
        <w:t>A</w:t>
      </w:r>
      <w:r w:rsidRPr="00531B12">
        <w:rPr>
          <w:rFonts w:ascii="Abadi" w:hAnsi="Abadi"/>
          <w:b/>
          <w:bCs/>
          <w:spacing w:val="-1"/>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BREVEDAD</w:t>
      </w:r>
      <w:r w:rsidRPr="00531B12">
        <w:rPr>
          <w:rFonts w:ascii="Abadi" w:hAnsi="Abadi"/>
          <w:b/>
          <w:bCs/>
          <w:spacing w:val="-1"/>
          <w:sz w:val="20"/>
          <w:szCs w:val="20"/>
        </w:rPr>
        <w:t xml:space="preserve"> </w:t>
      </w:r>
      <w:r w:rsidRPr="00531B12">
        <w:rPr>
          <w:rFonts w:ascii="Abadi" w:hAnsi="Abadi"/>
          <w:b/>
          <w:bCs/>
          <w:sz w:val="20"/>
          <w:szCs w:val="20"/>
        </w:rPr>
        <w:t>LLEVEN</w:t>
      </w:r>
      <w:r w:rsidRPr="00531B12">
        <w:rPr>
          <w:rFonts w:ascii="Abadi" w:hAnsi="Abadi"/>
          <w:b/>
          <w:bCs/>
          <w:spacing w:val="-1"/>
          <w:sz w:val="20"/>
          <w:szCs w:val="20"/>
        </w:rPr>
        <w:t xml:space="preserve"> </w:t>
      </w:r>
      <w:r w:rsidRPr="00531B12">
        <w:rPr>
          <w:rFonts w:ascii="Abadi" w:hAnsi="Abadi"/>
          <w:b/>
          <w:bCs/>
          <w:sz w:val="20"/>
          <w:szCs w:val="20"/>
        </w:rPr>
        <w:t>A</w:t>
      </w:r>
      <w:r w:rsidRPr="00531B12">
        <w:rPr>
          <w:rFonts w:ascii="Abadi" w:hAnsi="Abadi"/>
          <w:b/>
          <w:bCs/>
          <w:spacing w:val="-1"/>
          <w:sz w:val="20"/>
          <w:szCs w:val="20"/>
        </w:rPr>
        <w:t xml:space="preserve"> </w:t>
      </w:r>
      <w:r w:rsidRPr="00531B12">
        <w:rPr>
          <w:rFonts w:ascii="Abadi" w:hAnsi="Abadi"/>
          <w:b/>
          <w:bCs/>
          <w:sz w:val="20"/>
          <w:szCs w:val="20"/>
        </w:rPr>
        <w:t>CABO</w:t>
      </w:r>
      <w:r w:rsidRPr="00531B12">
        <w:rPr>
          <w:rFonts w:ascii="Abadi" w:hAnsi="Abadi"/>
          <w:b/>
          <w:bCs/>
          <w:spacing w:val="-1"/>
          <w:sz w:val="20"/>
          <w:szCs w:val="20"/>
        </w:rPr>
        <w:t xml:space="preserve"> </w:t>
      </w:r>
      <w:r w:rsidRPr="00531B12">
        <w:rPr>
          <w:rFonts w:ascii="Abadi" w:hAnsi="Abadi"/>
          <w:b/>
          <w:bCs/>
          <w:sz w:val="20"/>
          <w:szCs w:val="20"/>
        </w:rPr>
        <w:t>EL</w:t>
      </w:r>
      <w:r w:rsidRPr="00531B12">
        <w:rPr>
          <w:rFonts w:ascii="Abadi" w:hAnsi="Abadi"/>
          <w:b/>
          <w:bCs/>
          <w:spacing w:val="-1"/>
          <w:sz w:val="20"/>
          <w:szCs w:val="20"/>
        </w:rPr>
        <w:t xml:space="preserve"> </w:t>
      </w:r>
      <w:r w:rsidRPr="00531B12">
        <w:rPr>
          <w:rFonts w:ascii="Abadi" w:hAnsi="Abadi"/>
          <w:b/>
          <w:bCs/>
          <w:sz w:val="20"/>
          <w:szCs w:val="20"/>
        </w:rPr>
        <w:t>PROCESO</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DISCUSIÓN</w:t>
      </w:r>
      <w:r w:rsidR="00410A0C">
        <w:rPr>
          <w:rFonts w:ascii="Abadi" w:hAnsi="Abadi"/>
          <w:b/>
          <w:bCs/>
          <w:sz w:val="20"/>
          <w:szCs w:val="20"/>
        </w:rPr>
        <w:t>.</w:t>
      </w:r>
    </w:p>
    <w:p w14:paraId="38DAEC29" w14:textId="2A9A9546" w:rsidR="00410A0C" w:rsidRDefault="00410A0C" w:rsidP="00021537">
      <w:pPr>
        <w:tabs>
          <w:tab w:val="left" w:pos="856"/>
        </w:tabs>
        <w:kinsoku w:val="0"/>
        <w:overflowPunct w:val="0"/>
        <w:autoSpaceDE w:val="0"/>
        <w:autoSpaceDN w:val="0"/>
        <w:adjustRightInd w:val="0"/>
        <w:spacing w:before="203"/>
        <w:ind w:right="17"/>
        <w:jc w:val="both"/>
        <w:rPr>
          <w:rFonts w:ascii="Abadi" w:hAnsi="Abadi"/>
          <w:sz w:val="20"/>
          <w:szCs w:val="20"/>
        </w:rPr>
      </w:pPr>
    </w:p>
    <w:p w14:paraId="30FFDBCC" w14:textId="77777777" w:rsidR="00021537" w:rsidRPr="00021537" w:rsidRDefault="00021537" w:rsidP="00021537">
      <w:pPr>
        <w:rPr>
          <w:rFonts w:ascii="Abadi" w:hAnsi="Abadi" w:cs="Arial"/>
          <w:b/>
          <w:sz w:val="21"/>
          <w:szCs w:val="21"/>
        </w:rPr>
      </w:pPr>
      <w:r w:rsidRPr="00021537">
        <w:rPr>
          <w:rFonts w:ascii="Abadi" w:hAnsi="Abadi" w:cs="Arial"/>
          <w:b/>
          <w:sz w:val="21"/>
          <w:szCs w:val="21"/>
        </w:rPr>
        <w:t>C. DIPUTADA IRMA LETICIA GONZÁLEZ SÁNCHEZ</w:t>
      </w:r>
    </w:p>
    <w:p w14:paraId="629FFB65" w14:textId="77777777" w:rsidR="00021537" w:rsidRPr="00021537" w:rsidRDefault="00021537" w:rsidP="00021537">
      <w:pPr>
        <w:rPr>
          <w:rFonts w:ascii="Abadi" w:hAnsi="Abadi" w:cs="Arial"/>
          <w:b/>
          <w:sz w:val="21"/>
          <w:szCs w:val="21"/>
        </w:rPr>
      </w:pPr>
      <w:r w:rsidRPr="00021537">
        <w:rPr>
          <w:rFonts w:ascii="Abadi" w:hAnsi="Abadi" w:cs="Arial"/>
          <w:b/>
          <w:sz w:val="21"/>
          <w:szCs w:val="21"/>
        </w:rPr>
        <w:t>PRESIDENTA DEL CONGRESO DEL ESTADO</w:t>
      </w:r>
    </w:p>
    <w:p w14:paraId="2E7C4D2D" w14:textId="77777777" w:rsidR="00021537" w:rsidRPr="00021537" w:rsidRDefault="00021537" w:rsidP="00021537">
      <w:pPr>
        <w:rPr>
          <w:rFonts w:ascii="Abadi" w:hAnsi="Abadi" w:cs="Arial"/>
          <w:b/>
          <w:sz w:val="21"/>
          <w:szCs w:val="21"/>
        </w:rPr>
      </w:pPr>
      <w:r w:rsidRPr="00021537">
        <w:rPr>
          <w:rFonts w:ascii="Abadi" w:hAnsi="Abadi" w:cs="Arial"/>
          <w:b/>
          <w:sz w:val="21"/>
          <w:szCs w:val="21"/>
        </w:rPr>
        <w:t>P R E S E N T E</w:t>
      </w:r>
    </w:p>
    <w:p w14:paraId="71A97802" w14:textId="77777777" w:rsidR="00021537" w:rsidRPr="00021537" w:rsidRDefault="00021537" w:rsidP="00021537">
      <w:pPr>
        <w:spacing w:line="360" w:lineRule="auto"/>
        <w:rPr>
          <w:rFonts w:ascii="Abadi" w:hAnsi="Abadi" w:cs="Arial"/>
          <w:b/>
          <w:sz w:val="21"/>
          <w:szCs w:val="21"/>
        </w:rPr>
      </w:pPr>
    </w:p>
    <w:p w14:paraId="0D6DDB91" w14:textId="77777777" w:rsidR="00021537" w:rsidRPr="00021537" w:rsidRDefault="00021537" w:rsidP="00021537">
      <w:pPr>
        <w:spacing w:line="360" w:lineRule="auto"/>
        <w:ind w:firstLine="708"/>
        <w:jc w:val="both"/>
        <w:rPr>
          <w:rFonts w:ascii="Abadi" w:hAnsi="Abadi" w:cs="Arial"/>
          <w:sz w:val="21"/>
          <w:szCs w:val="21"/>
        </w:rPr>
      </w:pPr>
      <w:r w:rsidRPr="00021537">
        <w:rPr>
          <w:rFonts w:ascii="Abadi" w:hAnsi="Abadi" w:cs="Arial"/>
          <w:sz w:val="21"/>
          <w:szCs w:val="21"/>
        </w:rPr>
        <w:t xml:space="preserve">Las diputadas y los diputados que integramos la Comisión de Gobernación y Puntos Constitucionales de la Sexagésima Quinta Legislatura, recibimos para efecto de estudio y dictamen, la propuesta de punto de acuerdo formulada por la diputada Alma Edwviges Alcaraz Hernández integrante del Grupo Parlamentario del Partido MORENA a efecto de exhortar a los ayuntamientos que faltan de discutir y, en su caso, aprobar las reformas y adiciones a la Constitución Política para el Estado de Guanajuato, contenidas en el proyecto de decreto de fecha 13 de septiembre de 2021 que ya les ha sido notificado con anterioridad, para que a la brevedad lleven a cabo el proceso de discusión. </w:t>
      </w:r>
    </w:p>
    <w:p w14:paraId="4A8D0073" w14:textId="77777777" w:rsidR="00021537" w:rsidRPr="00021537" w:rsidRDefault="00021537" w:rsidP="00021537">
      <w:pPr>
        <w:spacing w:line="360" w:lineRule="auto"/>
        <w:ind w:firstLine="709"/>
        <w:jc w:val="both"/>
        <w:rPr>
          <w:rFonts w:ascii="Abadi" w:hAnsi="Abadi" w:cs="Arial"/>
          <w:sz w:val="21"/>
          <w:szCs w:val="21"/>
        </w:rPr>
      </w:pPr>
    </w:p>
    <w:p w14:paraId="1E570D27" w14:textId="77777777" w:rsidR="00021537" w:rsidRPr="00021537" w:rsidRDefault="00021537" w:rsidP="00021537">
      <w:pPr>
        <w:spacing w:line="360" w:lineRule="auto"/>
        <w:ind w:firstLine="708"/>
        <w:jc w:val="both"/>
        <w:rPr>
          <w:rFonts w:ascii="Abadi" w:hAnsi="Abadi" w:cs="Arial"/>
          <w:sz w:val="21"/>
          <w:szCs w:val="21"/>
        </w:rPr>
      </w:pPr>
      <w:r w:rsidRPr="00021537">
        <w:rPr>
          <w:rFonts w:ascii="Abadi" w:hAnsi="Abadi" w:cs="Arial"/>
          <w:sz w:val="21"/>
          <w:szCs w:val="21"/>
        </w:rPr>
        <w:t xml:space="preserve">Con fundamento en los artículos 111, fracción XIX y 171 de </w:t>
      </w:r>
      <w:smartTag w:uri="urn:schemas-microsoft-com:office:smarttags" w:element="PersonName">
        <w:smartTagPr>
          <w:attr w:name="ProductID" w:val="la Ley Org￡nica"/>
        </w:smartTagPr>
        <w:r w:rsidRPr="00021537">
          <w:rPr>
            <w:rFonts w:ascii="Abadi" w:hAnsi="Abadi" w:cs="Arial"/>
            <w:sz w:val="21"/>
            <w:szCs w:val="21"/>
          </w:rPr>
          <w:t>la Ley Orgánica</w:t>
        </w:r>
      </w:smartTag>
      <w:r w:rsidRPr="00021537">
        <w:rPr>
          <w:rFonts w:ascii="Abadi" w:hAnsi="Abadi" w:cs="Arial"/>
          <w:sz w:val="21"/>
          <w:szCs w:val="21"/>
        </w:rPr>
        <w:t xml:space="preserve"> del Poder Legislativo, formulamos a </w:t>
      </w:r>
      <w:smartTag w:uri="urn:schemas-microsoft-com:office:smarttags" w:element="PersonName">
        <w:smartTagPr>
          <w:attr w:name="ProductID" w:val="la Asamblea"/>
        </w:smartTagPr>
        <w:r w:rsidRPr="00021537">
          <w:rPr>
            <w:rFonts w:ascii="Abadi" w:hAnsi="Abadi" w:cs="Arial"/>
            <w:sz w:val="21"/>
            <w:szCs w:val="21"/>
          </w:rPr>
          <w:t>la Asamblea</w:t>
        </w:r>
      </w:smartTag>
      <w:r w:rsidRPr="00021537">
        <w:rPr>
          <w:rFonts w:ascii="Abadi" w:hAnsi="Abadi" w:cs="Arial"/>
          <w:sz w:val="21"/>
          <w:szCs w:val="21"/>
        </w:rPr>
        <w:t xml:space="preserve"> el siguiente:</w:t>
      </w:r>
    </w:p>
    <w:p w14:paraId="0CA04EB0" w14:textId="77777777" w:rsidR="00021537" w:rsidRPr="00021537" w:rsidRDefault="00021537" w:rsidP="00021537">
      <w:pPr>
        <w:ind w:firstLine="709"/>
        <w:jc w:val="both"/>
        <w:rPr>
          <w:rFonts w:ascii="Abadi" w:hAnsi="Abadi" w:cs="Arial"/>
          <w:sz w:val="21"/>
          <w:szCs w:val="21"/>
        </w:rPr>
      </w:pPr>
    </w:p>
    <w:p w14:paraId="7CF76E48" w14:textId="77777777" w:rsidR="00021537" w:rsidRPr="00021537" w:rsidRDefault="00021537" w:rsidP="00021537">
      <w:pPr>
        <w:jc w:val="both"/>
        <w:rPr>
          <w:rFonts w:ascii="Abadi" w:eastAsia="Batang" w:hAnsi="Abadi" w:cs="Arial"/>
          <w:sz w:val="21"/>
          <w:szCs w:val="21"/>
        </w:rPr>
      </w:pPr>
    </w:p>
    <w:p w14:paraId="3B4EB0C6" w14:textId="77777777" w:rsidR="00021537" w:rsidRPr="00021537" w:rsidRDefault="00021537" w:rsidP="00021537">
      <w:pPr>
        <w:jc w:val="center"/>
        <w:rPr>
          <w:rFonts w:ascii="Abadi" w:eastAsia="Batang" w:hAnsi="Abadi" w:cs="Arial"/>
          <w:b/>
          <w:bCs/>
          <w:sz w:val="21"/>
          <w:szCs w:val="21"/>
        </w:rPr>
      </w:pPr>
      <w:r w:rsidRPr="00021537">
        <w:rPr>
          <w:rFonts w:ascii="Abadi" w:eastAsia="Batang" w:hAnsi="Abadi" w:cs="Arial"/>
          <w:b/>
          <w:bCs/>
          <w:sz w:val="21"/>
          <w:szCs w:val="21"/>
        </w:rPr>
        <w:t>D I C T A M E N</w:t>
      </w:r>
    </w:p>
    <w:p w14:paraId="54E07611" w14:textId="77777777" w:rsidR="00021537" w:rsidRPr="00021537" w:rsidRDefault="00021537" w:rsidP="00021537">
      <w:pPr>
        <w:jc w:val="center"/>
        <w:rPr>
          <w:rFonts w:ascii="Abadi" w:eastAsia="Batang" w:hAnsi="Abadi" w:cs="Arial"/>
          <w:b/>
          <w:bCs/>
          <w:sz w:val="21"/>
          <w:szCs w:val="21"/>
        </w:rPr>
      </w:pPr>
    </w:p>
    <w:p w14:paraId="421E57B9" w14:textId="77777777" w:rsidR="00021537" w:rsidRPr="00021537" w:rsidRDefault="00021537" w:rsidP="00021537">
      <w:pPr>
        <w:spacing w:line="360" w:lineRule="auto"/>
        <w:rPr>
          <w:rFonts w:ascii="Abadi" w:eastAsia="Batang" w:hAnsi="Abadi" w:cs="Arial"/>
          <w:b/>
          <w:bCs/>
          <w:sz w:val="21"/>
          <w:szCs w:val="21"/>
        </w:rPr>
      </w:pPr>
      <w:r w:rsidRPr="00021537">
        <w:rPr>
          <w:rFonts w:ascii="Abadi" w:eastAsia="Batang" w:hAnsi="Abadi" w:cs="Arial"/>
          <w:b/>
          <w:smallCaps/>
          <w:sz w:val="21"/>
          <w:szCs w:val="21"/>
        </w:rPr>
        <w:t>I.</w:t>
      </w:r>
      <w:r w:rsidRPr="00021537">
        <w:rPr>
          <w:rFonts w:ascii="Abadi" w:eastAsia="Batang" w:hAnsi="Abadi" w:cs="Arial"/>
          <w:b/>
          <w:smallCaps/>
          <w:sz w:val="21"/>
          <w:szCs w:val="21"/>
        </w:rPr>
        <w:tab/>
      </w:r>
      <w:r w:rsidRPr="00021537">
        <w:rPr>
          <w:rFonts w:ascii="Abadi" w:eastAsia="Batang" w:hAnsi="Abadi" w:cs="Arial"/>
          <w:b/>
          <w:bCs/>
          <w:sz w:val="21"/>
          <w:szCs w:val="21"/>
        </w:rPr>
        <w:t>Del Proceso Legislativo</w:t>
      </w:r>
    </w:p>
    <w:p w14:paraId="21181D1D" w14:textId="77777777" w:rsidR="00021537" w:rsidRPr="00021537" w:rsidRDefault="00021537" w:rsidP="00021537">
      <w:pPr>
        <w:spacing w:line="360" w:lineRule="auto"/>
        <w:rPr>
          <w:rFonts w:ascii="Abadi" w:eastAsia="Batang" w:hAnsi="Abadi" w:cs="Arial"/>
          <w:b/>
          <w:bCs/>
          <w:sz w:val="21"/>
          <w:szCs w:val="21"/>
        </w:rPr>
      </w:pPr>
    </w:p>
    <w:p w14:paraId="3521B143" w14:textId="77777777" w:rsidR="00021537" w:rsidRPr="00021537" w:rsidRDefault="00021537" w:rsidP="00021537">
      <w:pPr>
        <w:spacing w:line="360" w:lineRule="auto"/>
        <w:ind w:firstLine="708"/>
        <w:jc w:val="both"/>
        <w:rPr>
          <w:rFonts w:ascii="Abadi" w:hAnsi="Abadi" w:cs="Arial"/>
          <w:sz w:val="21"/>
          <w:szCs w:val="21"/>
        </w:rPr>
      </w:pPr>
      <w:r w:rsidRPr="00021537">
        <w:rPr>
          <w:rFonts w:ascii="Abadi" w:eastAsia="Batang" w:hAnsi="Abadi" w:cs="Arial"/>
          <w:b/>
          <w:bCs/>
          <w:sz w:val="21"/>
          <w:szCs w:val="21"/>
        </w:rPr>
        <w:t xml:space="preserve">I.1. </w:t>
      </w:r>
      <w:r w:rsidRPr="00021537">
        <w:rPr>
          <w:rFonts w:ascii="Abadi" w:eastAsia="Batang" w:hAnsi="Abadi" w:cs="Arial"/>
          <w:sz w:val="21"/>
          <w:szCs w:val="21"/>
        </w:rPr>
        <w:t xml:space="preserve">En sesión del 7 de abril de 2022 </w:t>
      </w:r>
      <w:r w:rsidRPr="00021537">
        <w:rPr>
          <w:rFonts w:ascii="Abadi" w:eastAsia="Batang" w:hAnsi="Abadi" w:cs="Arial"/>
          <w:bCs/>
          <w:sz w:val="21"/>
          <w:szCs w:val="21"/>
        </w:rPr>
        <w:t xml:space="preserve">ingresó la </w:t>
      </w:r>
      <w:r w:rsidRPr="00021537">
        <w:rPr>
          <w:rFonts w:ascii="Abadi" w:hAnsi="Abadi" w:cs="Arial"/>
          <w:sz w:val="21"/>
          <w:szCs w:val="21"/>
        </w:rPr>
        <w:t xml:space="preserve">propuesta de </w:t>
      </w:r>
      <w:r w:rsidRPr="00021537">
        <w:rPr>
          <w:rFonts w:ascii="Abadi" w:eastAsia="Batang" w:hAnsi="Abadi" w:cs="Arial"/>
          <w:bCs/>
          <w:sz w:val="21"/>
          <w:szCs w:val="21"/>
        </w:rPr>
        <w:t xml:space="preserve">punto de acuerdo </w:t>
      </w:r>
      <w:r w:rsidRPr="00021537">
        <w:rPr>
          <w:rFonts w:ascii="Abadi" w:hAnsi="Abadi" w:cs="Arial"/>
          <w:sz w:val="21"/>
          <w:szCs w:val="21"/>
        </w:rPr>
        <w:t xml:space="preserve">formulada por la diputada Alma Edwviges Alcaraz </w:t>
      </w:r>
      <w:r w:rsidRPr="00021537">
        <w:rPr>
          <w:rFonts w:ascii="Abadi" w:hAnsi="Abadi" w:cs="Arial"/>
          <w:sz w:val="21"/>
          <w:szCs w:val="21"/>
        </w:rPr>
        <w:lastRenderedPageBreak/>
        <w:t xml:space="preserve">Hernández integrante del Grupo Parlamentario del Partido MORENA a efecto de exhortar a los ayuntamientos que faltan de discutir y, en su caso, aprobar las reformas y adiciones a la Constitución Política para el Estado de Guanajuato, contenidas en el proyecto de decreto de fecha 13 de septiembre de 2021 que ya les ha sido notificado con anterioridad, para que a la brevedad lleven a cabo el proceso de discusión, </w:t>
      </w:r>
      <w:r w:rsidRPr="00021537">
        <w:rPr>
          <w:rFonts w:ascii="Abadi" w:eastAsia="Batang" w:hAnsi="Abadi" w:cs="Arial"/>
          <w:bCs/>
          <w:sz w:val="21"/>
          <w:szCs w:val="21"/>
        </w:rPr>
        <w:t>turnándose en su momento por la presidencia del Congreso a la Comisión de Gobernación y Puntos Constitucionales,</w:t>
      </w:r>
      <w:r w:rsidRPr="00021537">
        <w:rPr>
          <w:rFonts w:ascii="Abadi" w:hAnsi="Abadi" w:cs="Arial"/>
          <w:sz w:val="21"/>
          <w:szCs w:val="21"/>
        </w:rPr>
        <w:t xml:space="preserve"> con fundamento en lo dispuesto por el artículo 111, fracción XIX de la Ley Orgánica del Poder legislativo del Estado de Guanajuato.</w:t>
      </w:r>
    </w:p>
    <w:p w14:paraId="689A1501" w14:textId="77777777" w:rsidR="00021537" w:rsidRPr="00021537" w:rsidRDefault="00021537" w:rsidP="00021537">
      <w:pPr>
        <w:spacing w:line="360" w:lineRule="auto"/>
        <w:jc w:val="both"/>
        <w:rPr>
          <w:rFonts w:ascii="Abadi" w:eastAsia="Batang" w:hAnsi="Abadi" w:cs="Arial"/>
          <w:sz w:val="21"/>
          <w:szCs w:val="21"/>
        </w:rPr>
      </w:pPr>
    </w:p>
    <w:p w14:paraId="7A24B402" w14:textId="77777777" w:rsidR="00021537" w:rsidRPr="00021537" w:rsidRDefault="00021537" w:rsidP="00021537">
      <w:pPr>
        <w:spacing w:line="360" w:lineRule="auto"/>
        <w:jc w:val="both"/>
        <w:rPr>
          <w:rFonts w:ascii="Abadi" w:eastAsia="Batang" w:hAnsi="Abadi" w:cs="Arial"/>
          <w:sz w:val="21"/>
          <w:szCs w:val="21"/>
        </w:rPr>
      </w:pPr>
      <w:r w:rsidRPr="00021537">
        <w:rPr>
          <w:rFonts w:ascii="Abadi" w:eastAsia="Batang" w:hAnsi="Abadi" w:cs="Arial"/>
          <w:b/>
          <w:sz w:val="21"/>
          <w:szCs w:val="21"/>
        </w:rPr>
        <w:t xml:space="preserve">I.2. </w:t>
      </w:r>
      <w:r w:rsidRPr="00021537">
        <w:rPr>
          <w:rFonts w:ascii="Abadi" w:eastAsia="Batang" w:hAnsi="Abadi" w:cs="Arial"/>
          <w:sz w:val="21"/>
          <w:szCs w:val="21"/>
        </w:rPr>
        <w:t xml:space="preserve">En reunión de la Comisión de Gobernación y Puntos Constitucionales, de fecha 26 de abril de 2022, se radicó la propuesta de punto de acuerdo. </w:t>
      </w:r>
    </w:p>
    <w:p w14:paraId="6D1A9919" w14:textId="77777777" w:rsidR="00021537" w:rsidRPr="00021537" w:rsidRDefault="00021537" w:rsidP="00021537">
      <w:pPr>
        <w:spacing w:line="360" w:lineRule="auto"/>
        <w:ind w:left="714"/>
        <w:jc w:val="both"/>
        <w:rPr>
          <w:rFonts w:ascii="Abadi" w:hAnsi="Abadi" w:cs="Calibri"/>
          <w:sz w:val="21"/>
          <w:szCs w:val="21"/>
        </w:rPr>
      </w:pPr>
    </w:p>
    <w:p w14:paraId="30705556" w14:textId="77777777" w:rsidR="00021537" w:rsidRPr="00021537" w:rsidRDefault="00021537" w:rsidP="00021537">
      <w:pPr>
        <w:spacing w:line="360" w:lineRule="auto"/>
        <w:jc w:val="both"/>
        <w:rPr>
          <w:rFonts w:ascii="Abadi" w:eastAsia="Batang" w:hAnsi="Abadi" w:cs="Arial"/>
          <w:sz w:val="21"/>
          <w:szCs w:val="21"/>
        </w:rPr>
      </w:pPr>
      <w:r w:rsidRPr="00021537">
        <w:rPr>
          <w:rFonts w:ascii="Abadi" w:eastAsia="Batang" w:hAnsi="Abadi" w:cs="Arial"/>
          <w:b/>
          <w:bCs/>
          <w:sz w:val="21"/>
          <w:szCs w:val="21"/>
        </w:rPr>
        <w:t>I.3.</w:t>
      </w:r>
      <w:r w:rsidRPr="00021537">
        <w:rPr>
          <w:rFonts w:ascii="Abadi" w:eastAsia="Batang" w:hAnsi="Abadi" w:cs="Arial"/>
          <w:sz w:val="21"/>
          <w:szCs w:val="21"/>
        </w:rPr>
        <w:t xml:space="preserve"> En reunión de la comisión legislativa del 15 de junio de 2022, se realizó el análisis de la propuesta de punto de acuerdo entre las diputadas y los diputados visualizando los alcances y viabilidad de la misma.</w:t>
      </w:r>
    </w:p>
    <w:p w14:paraId="60868474" w14:textId="77777777" w:rsidR="00021537" w:rsidRPr="00021537" w:rsidRDefault="00021537" w:rsidP="00021537">
      <w:pPr>
        <w:spacing w:line="360" w:lineRule="auto"/>
        <w:jc w:val="both"/>
        <w:rPr>
          <w:rFonts w:ascii="Abadi" w:eastAsia="Batang" w:hAnsi="Abadi" w:cs="Arial"/>
          <w:sz w:val="21"/>
          <w:szCs w:val="21"/>
        </w:rPr>
      </w:pPr>
    </w:p>
    <w:p w14:paraId="23944988" w14:textId="77777777" w:rsidR="00021537" w:rsidRPr="00021537" w:rsidRDefault="00021537" w:rsidP="00021537">
      <w:pPr>
        <w:spacing w:line="360" w:lineRule="auto"/>
        <w:jc w:val="both"/>
        <w:rPr>
          <w:rFonts w:ascii="Abadi" w:eastAsia="Batang" w:hAnsi="Abadi" w:cs="Arial"/>
          <w:sz w:val="21"/>
          <w:szCs w:val="21"/>
        </w:rPr>
      </w:pPr>
      <w:r w:rsidRPr="00021537">
        <w:rPr>
          <w:rFonts w:ascii="Abadi" w:eastAsia="Batang" w:hAnsi="Abadi" w:cs="Arial"/>
          <w:b/>
          <w:bCs/>
          <w:sz w:val="21"/>
          <w:szCs w:val="21"/>
        </w:rPr>
        <w:t>I.4.</w:t>
      </w:r>
      <w:r w:rsidRPr="00021537">
        <w:rPr>
          <w:rFonts w:ascii="Abadi" w:eastAsia="Batang" w:hAnsi="Abadi" w:cs="Arial"/>
          <w:sz w:val="21"/>
          <w:szCs w:val="21"/>
        </w:rPr>
        <w:t xml:space="preserve"> La presidencia de la Comisión de Gobernación y Puntos Constitucionales instruyó a la Secretaría Técnica para que elaborara el proyecto de dictamen en sentido positivo, en atención al análisis realizado al interior de la comisión, con fundamento en lo dispuesto en los artículos 94, fracción VII y 272, fracción VIII inciso e de la Ley Orgánica del Poder Legislativo del Estado de Guanajuato, mismo que fue materia de revisión </w:t>
      </w:r>
      <w:r w:rsidRPr="00021537">
        <w:rPr>
          <w:rFonts w:ascii="Abadi" w:eastAsia="Batang" w:hAnsi="Abadi" w:cs="Arial"/>
          <w:sz w:val="21"/>
          <w:szCs w:val="21"/>
        </w:rPr>
        <w:t>por las diputadas y los diputados integrantes de esta comisión dictaminadora.</w:t>
      </w:r>
    </w:p>
    <w:p w14:paraId="0AD5B5C2" w14:textId="77777777" w:rsidR="00021537" w:rsidRPr="00021537" w:rsidRDefault="00021537" w:rsidP="00021537">
      <w:pPr>
        <w:jc w:val="both"/>
        <w:rPr>
          <w:rFonts w:ascii="Abadi" w:eastAsia="Batang" w:hAnsi="Abadi" w:cs="Arial"/>
          <w:b/>
          <w:sz w:val="21"/>
          <w:szCs w:val="21"/>
        </w:rPr>
      </w:pPr>
    </w:p>
    <w:p w14:paraId="43AA94AA" w14:textId="77777777" w:rsidR="00021537" w:rsidRPr="00021537" w:rsidRDefault="00021537" w:rsidP="00021537">
      <w:pPr>
        <w:spacing w:line="360" w:lineRule="auto"/>
        <w:jc w:val="both"/>
        <w:rPr>
          <w:rFonts w:ascii="Abadi" w:eastAsia="Batang" w:hAnsi="Abadi" w:cs="Arial"/>
          <w:b/>
          <w:sz w:val="21"/>
          <w:szCs w:val="21"/>
        </w:rPr>
      </w:pPr>
      <w:r w:rsidRPr="00021537">
        <w:rPr>
          <w:rFonts w:ascii="Abadi" w:eastAsia="Batang" w:hAnsi="Abadi" w:cs="Arial"/>
          <w:b/>
          <w:sz w:val="21"/>
          <w:szCs w:val="21"/>
        </w:rPr>
        <w:t>II.</w:t>
      </w:r>
      <w:r w:rsidRPr="00021537">
        <w:rPr>
          <w:rFonts w:ascii="Abadi" w:eastAsia="Batang" w:hAnsi="Abadi" w:cs="Arial"/>
          <w:b/>
          <w:sz w:val="21"/>
          <w:szCs w:val="21"/>
        </w:rPr>
        <w:tab/>
        <w:t>Valoración de la propuesta y consideraciones de la Comisión de Gobernación y Puntos Constitucionales</w:t>
      </w:r>
    </w:p>
    <w:p w14:paraId="021618A6" w14:textId="77777777" w:rsidR="00021537" w:rsidRPr="00021537" w:rsidRDefault="00021537" w:rsidP="00021537">
      <w:pPr>
        <w:jc w:val="both"/>
        <w:rPr>
          <w:rFonts w:ascii="Abadi" w:hAnsi="Abadi" w:cs="Arial"/>
          <w:b/>
          <w:sz w:val="21"/>
          <w:szCs w:val="21"/>
          <w:lang w:val="es-ES_tradnl"/>
        </w:rPr>
      </w:pPr>
    </w:p>
    <w:p w14:paraId="24BC5872" w14:textId="77777777" w:rsidR="00021537" w:rsidRPr="00021537" w:rsidRDefault="00021537" w:rsidP="00021537">
      <w:pPr>
        <w:spacing w:line="360" w:lineRule="auto"/>
        <w:ind w:firstLine="708"/>
        <w:jc w:val="both"/>
        <w:rPr>
          <w:rFonts w:ascii="Abadi" w:eastAsia="Batang" w:hAnsi="Abadi" w:cs="Arial"/>
          <w:sz w:val="21"/>
          <w:szCs w:val="21"/>
          <w:highlight w:val="yellow"/>
          <w:lang w:val="es-MX"/>
        </w:rPr>
      </w:pPr>
      <w:r w:rsidRPr="00021537">
        <w:rPr>
          <w:rFonts w:ascii="Abadi" w:eastAsia="Batang" w:hAnsi="Abadi" w:cs="Arial"/>
          <w:sz w:val="21"/>
          <w:szCs w:val="21"/>
          <w:lang w:val="es-MX"/>
        </w:rPr>
        <w:t xml:space="preserve">Quienes integramos la comisión dictaminadora, referenciamos los puntos sobre los cuales versa la propuesta que tienen como objeto </w:t>
      </w:r>
      <w:r w:rsidRPr="00021537">
        <w:rPr>
          <w:rFonts w:ascii="Abadi" w:hAnsi="Abadi" w:cs="Arial"/>
          <w:sz w:val="21"/>
          <w:szCs w:val="21"/>
        </w:rPr>
        <w:t xml:space="preserve">exhortar a los ayuntamientos que faltan de discutir y, en su caso, aprobar las reformas y adiciones a la Constitución Política para el Estado de Guanajuato, contenidas en el proyecto de decreto de fecha 13 de septiembre de 2021 que ya les ha sido notificado con anterioridad, para que a la brevedad lleven a cabo el proceso de discusión, </w:t>
      </w:r>
      <w:r w:rsidRPr="00021537">
        <w:rPr>
          <w:rFonts w:ascii="Abadi" w:hAnsi="Abadi" w:cs="Arial"/>
          <w:i/>
          <w:iCs/>
          <w:sz w:val="21"/>
          <w:szCs w:val="21"/>
        </w:rPr>
        <w:t>en materia de revocación de mandato</w:t>
      </w:r>
      <w:r w:rsidRPr="00021537">
        <w:rPr>
          <w:rFonts w:ascii="Abadi" w:eastAsia="Batang" w:hAnsi="Abadi" w:cs="Arial"/>
          <w:sz w:val="21"/>
          <w:szCs w:val="21"/>
          <w:lang w:val="es-MX"/>
        </w:rPr>
        <w:t>.</w:t>
      </w:r>
    </w:p>
    <w:p w14:paraId="6899D379" w14:textId="77777777" w:rsidR="00021537" w:rsidRPr="00021537" w:rsidRDefault="00021537" w:rsidP="00021537">
      <w:pPr>
        <w:ind w:firstLine="708"/>
        <w:jc w:val="both"/>
        <w:rPr>
          <w:rFonts w:ascii="Abadi" w:eastAsia="Batang" w:hAnsi="Abadi" w:cs="Arial"/>
          <w:sz w:val="21"/>
          <w:szCs w:val="21"/>
          <w:lang w:val="es-MX"/>
        </w:rPr>
      </w:pPr>
    </w:p>
    <w:p w14:paraId="7052B36D" w14:textId="77777777" w:rsidR="00021537" w:rsidRPr="00021537" w:rsidRDefault="00021537" w:rsidP="00021537">
      <w:pPr>
        <w:spacing w:line="360" w:lineRule="auto"/>
        <w:ind w:firstLine="708"/>
        <w:jc w:val="both"/>
        <w:rPr>
          <w:rFonts w:ascii="Abadi" w:eastAsia="Batang" w:hAnsi="Abadi" w:cs="Arial"/>
          <w:sz w:val="21"/>
          <w:szCs w:val="21"/>
          <w:lang w:val="es-MX"/>
        </w:rPr>
      </w:pPr>
      <w:r w:rsidRPr="00021537">
        <w:rPr>
          <w:rFonts w:ascii="Abadi" w:eastAsia="Batang" w:hAnsi="Abadi" w:cs="Arial"/>
          <w:sz w:val="21"/>
          <w:szCs w:val="21"/>
          <w:lang w:val="es-MX"/>
        </w:rPr>
        <w:t>La proponente expuso en sus consideraciones lo siguiente:</w:t>
      </w:r>
    </w:p>
    <w:p w14:paraId="2FBA6112" w14:textId="77777777" w:rsidR="00021537" w:rsidRPr="00021537" w:rsidRDefault="00021537" w:rsidP="00021537">
      <w:pPr>
        <w:ind w:left="115" w:right="49" w:firstLine="593"/>
        <w:jc w:val="both"/>
        <w:rPr>
          <w:rFonts w:ascii="Abadi" w:hAnsi="Abadi"/>
          <w:i/>
          <w:sz w:val="21"/>
          <w:szCs w:val="21"/>
          <w:lang w:val="es-ES_tradnl"/>
        </w:rPr>
      </w:pPr>
    </w:p>
    <w:p w14:paraId="1C2ACEC7" w14:textId="77777777" w:rsidR="00021537" w:rsidRPr="00021537" w:rsidRDefault="00021537" w:rsidP="00021537">
      <w:pPr>
        <w:ind w:left="709" w:right="1246"/>
        <w:jc w:val="both"/>
        <w:rPr>
          <w:rFonts w:ascii="Abadi" w:hAnsi="Abadi"/>
          <w:i/>
          <w:sz w:val="21"/>
          <w:szCs w:val="21"/>
        </w:rPr>
      </w:pPr>
      <w:r w:rsidRPr="00021537">
        <w:rPr>
          <w:rFonts w:ascii="Abadi" w:hAnsi="Abadi"/>
          <w:i/>
          <w:sz w:val="21"/>
          <w:szCs w:val="21"/>
        </w:rPr>
        <w:t>«(…) Por muchos años el régimen que imperaba en México limitó la participación del pueblo en temas políticos, con lo que se indujo una falta de interés ciudadano que lo limitó a ser un espectador en la elección de representantes realizada esporádicamente. Se les impusieron</w:t>
      </w:r>
    </w:p>
    <w:p w14:paraId="314B569A" w14:textId="77777777" w:rsidR="00021537" w:rsidRPr="00021537" w:rsidRDefault="00021537" w:rsidP="00021537">
      <w:pPr>
        <w:autoSpaceDE w:val="0"/>
        <w:autoSpaceDN w:val="0"/>
        <w:adjustRightInd w:val="0"/>
        <w:ind w:left="709" w:right="1246"/>
        <w:jc w:val="both"/>
        <w:rPr>
          <w:rFonts w:ascii="Abadi" w:hAnsi="Abadi"/>
          <w:i/>
          <w:sz w:val="21"/>
          <w:szCs w:val="21"/>
        </w:rPr>
      </w:pPr>
      <w:r w:rsidRPr="00021537">
        <w:rPr>
          <w:rFonts w:ascii="Abadi" w:hAnsi="Abadi"/>
          <w:i/>
          <w:sz w:val="21"/>
          <w:szCs w:val="21"/>
        </w:rPr>
        <w:t>mecanismos restrictivos de delegación del poder, que se tradujeron en problemas sistemáticos de organización y acción colectiva, que impiden la participación activa y directa en la vida pública.</w:t>
      </w:r>
    </w:p>
    <w:p w14:paraId="32460F2A" w14:textId="77777777" w:rsidR="00021537" w:rsidRPr="00021537" w:rsidRDefault="00021537" w:rsidP="00021537">
      <w:pPr>
        <w:autoSpaceDE w:val="0"/>
        <w:autoSpaceDN w:val="0"/>
        <w:adjustRightInd w:val="0"/>
        <w:ind w:left="709" w:right="1246"/>
        <w:jc w:val="both"/>
        <w:rPr>
          <w:rFonts w:ascii="Abadi" w:hAnsi="Abadi"/>
          <w:i/>
          <w:sz w:val="21"/>
          <w:szCs w:val="21"/>
        </w:rPr>
      </w:pPr>
    </w:p>
    <w:p w14:paraId="44C08118" w14:textId="77777777" w:rsidR="00021537" w:rsidRPr="00021537" w:rsidRDefault="00021537" w:rsidP="00021537">
      <w:pPr>
        <w:autoSpaceDE w:val="0"/>
        <w:autoSpaceDN w:val="0"/>
        <w:adjustRightInd w:val="0"/>
        <w:ind w:left="709" w:right="1246"/>
        <w:jc w:val="both"/>
        <w:rPr>
          <w:rFonts w:ascii="Abadi" w:hAnsi="Abadi"/>
          <w:i/>
          <w:sz w:val="21"/>
          <w:szCs w:val="21"/>
        </w:rPr>
      </w:pPr>
      <w:r w:rsidRPr="00021537">
        <w:rPr>
          <w:rFonts w:ascii="Abadi" w:hAnsi="Abadi"/>
          <w:i/>
          <w:sz w:val="21"/>
          <w:szCs w:val="21"/>
        </w:rPr>
        <w:t xml:space="preserve">A pesar de estos problemas o limitantes que el pueblo ha vivido, la sociedad mexicana ha ido </w:t>
      </w:r>
      <w:r w:rsidRPr="00021537">
        <w:rPr>
          <w:rFonts w:ascii="Abadi" w:hAnsi="Abadi"/>
          <w:i/>
          <w:sz w:val="21"/>
          <w:szCs w:val="21"/>
        </w:rPr>
        <w:lastRenderedPageBreak/>
        <w:t>cambiando paulatinamente, de forma que hoy se está exigiendo que los procesos públicos sean más transparentes, solicitando además que se les consulte en la toma de decisiones. En el actual contexto político, económico y social de México la figura de la revocación de mandato asume particular relevancia porque permite reafirmar la soberanía popular y dar cauce legítimo al desacato de la voluntad general, como ha sucedido tantas veces en la historia de nuestro país.</w:t>
      </w:r>
    </w:p>
    <w:p w14:paraId="28255075" w14:textId="77777777" w:rsidR="00021537" w:rsidRPr="00021537" w:rsidRDefault="00021537" w:rsidP="00021537">
      <w:pPr>
        <w:autoSpaceDE w:val="0"/>
        <w:autoSpaceDN w:val="0"/>
        <w:adjustRightInd w:val="0"/>
        <w:ind w:left="709" w:right="1246"/>
        <w:jc w:val="both"/>
        <w:rPr>
          <w:rFonts w:ascii="Abadi" w:hAnsi="Abadi"/>
          <w:i/>
          <w:sz w:val="21"/>
          <w:szCs w:val="21"/>
        </w:rPr>
      </w:pPr>
    </w:p>
    <w:p w14:paraId="3A8C7112" w14:textId="77777777" w:rsidR="00021537" w:rsidRPr="00021537" w:rsidRDefault="00021537" w:rsidP="00021537">
      <w:pPr>
        <w:autoSpaceDE w:val="0"/>
        <w:autoSpaceDN w:val="0"/>
        <w:adjustRightInd w:val="0"/>
        <w:ind w:left="709" w:right="1246"/>
        <w:jc w:val="both"/>
        <w:rPr>
          <w:rFonts w:ascii="Abadi" w:hAnsi="Abadi"/>
          <w:i/>
          <w:sz w:val="21"/>
          <w:szCs w:val="21"/>
        </w:rPr>
      </w:pPr>
      <w:r w:rsidRPr="00021537">
        <w:rPr>
          <w:rFonts w:ascii="Abadi" w:hAnsi="Abadi"/>
          <w:i/>
          <w:sz w:val="21"/>
          <w:szCs w:val="21"/>
        </w:rPr>
        <w:t xml:space="preserve">Por ello, en el Estado de Guanajuato, durante la legislatura pasada se presentó una iniciativa con la intensión de incorporar la figura de revocación de mandato, a fin de que se pudiera revocar el mandato al gobernador del Estado. Iniciativa que se dictaminó en sentido positivo y posteriormente se les hizo llegar a todos los ayuntamientos del Estado para su discusión y en su caso aprobación, de los cuales hasta finales de septiembre del 2021 únicamente nueve ayuntamientos la habían discutido. Ante la falta de atención por parte de la mayoría de los ayuntamientos, al inicio de esta sexagésima quinta legislatura se consideró prudente exhortar a los municipios faltantes para que llevarán a cabo la discusión y votación del dictamen; de nueva cuenta, solo fue atendido por ocho municipios más, lo que nos da un total de diecisiete </w:t>
      </w:r>
      <w:r w:rsidRPr="00021537">
        <w:rPr>
          <w:rFonts w:ascii="Abadi" w:hAnsi="Abadi"/>
          <w:i/>
          <w:sz w:val="21"/>
          <w:szCs w:val="21"/>
        </w:rPr>
        <w:t>municipios que hasta la fecha lo han discutido.</w:t>
      </w:r>
    </w:p>
    <w:p w14:paraId="38DA8DD7" w14:textId="77777777" w:rsidR="00021537" w:rsidRPr="00021537" w:rsidRDefault="00021537" w:rsidP="00021537">
      <w:pPr>
        <w:autoSpaceDE w:val="0"/>
        <w:autoSpaceDN w:val="0"/>
        <w:adjustRightInd w:val="0"/>
        <w:ind w:left="709" w:right="1246"/>
        <w:jc w:val="both"/>
        <w:rPr>
          <w:rFonts w:ascii="Abadi" w:hAnsi="Abadi"/>
          <w:i/>
          <w:sz w:val="21"/>
          <w:szCs w:val="21"/>
        </w:rPr>
      </w:pPr>
    </w:p>
    <w:p w14:paraId="338043D4" w14:textId="77777777" w:rsidR="00021537" w:rsidRPr="00021537" w:rsidRDefault="00021537" w:rsidP="00021537">
      <w:pPr>
        <w:autoSpaceDE w:val="0"/>
        <w:autoSpaceDN w:val="0"/>
        <w:adjustRightInd w:val="0"/>
        <w:ind w:left="709" w:right="1246"/>
        <w:jc w:val="both"/>
        <w:rPr>
          <w:rFonts w:ascii="Abadi" w:hAnsi="Abadi"/>
          <w:i/>
          <w:sz w:val="21"/>
          <w:szCs w:val="21"/>
        </w:rPr>
      </w:pPr>
      <w:r w:rsidRPr="00021537">
        <w:rPr>
          <w:rFonts w:ascii="Abadi" w:hAnsi="Abadi"/>
          <w:i/>
          <w:sz w:val="21"/>
          <w:szCs w:val="21"/>
        </w:rPr>
        <w:t>Así, son 29 ayuntamientos los que faltan de discutir y en su caso aprobar lo relativo al dictamen: Acámbaro, San Miguel de Allende, Apaseo el Grande, Atarjea, Celaya, Manuel Doblado, Comonfort, Cuerámaro, Dolores Hidalgo, Guanajuato, León, Moroleón, Ocampo, Pénjamo, Pueblo Nuevo, Romita, San Diego de la Unión, San José Iturbide, Santa Catarina, Juventino Rosas, Santiago Maravatio, Silao, Tarandacuao, Tarimoro, Tierra Blanca, Victoria, Villagrán, Xichú y Yuriria.</w:t>
      </w:r>
    </w:p>
    <w:p w14:paraId="5AB6E3DF" w14:textId="77777777" w:rsidR="00021537" w:rsidRPr="00021537" w:rsidRDefault="00021537" w:rsidP="00021537">
      <w:pPr>
        <w:autoSpaceDE w:val="0"/>
        <w:autoSpaceDN w:val="0"/>
        <w:adjustRightInd w:val="0"/>
        <w:ind w:left="709" w:right="1246"/>
        <w:jc w:val="both"/>
        <w:rPr>
          <w:rFonts w:ascii="Abadi" w:hAnsi="Abadi"/>
          <w:i/>
          <w:sz w:val="21"/>
          <w:szCs w:val="21"/>
        </w:rPr>
      </w:pPr>
    </w:p>
    <w:p w14:paraId="3550C345" w14:textId="77777777" w:rsidR="00021537" w:rsidRPr="00021537" w:rsidRDefault="00021537" w:rsidP="00021537">
      <w:pPr>
        <w:autoSpaceDE w:val="0"/>
        <w:autoSpaceDN w:val="0"/>
        <w:adjustRightInd w:val="0"/>
        <w:ind w:left="709" w:right="1246"/>
        <w:jc w:val="both"/>
        <w:rPr>
          <w:rFonts w:ascii="Abadi" w:hAnsi="Abadi"/>
          <w:i/>
          <w:sz w:val="21"/>
          <w:szCs w:val="21"/>
        </w:rPr>
      </w:pPr>
      <w:r w:rsidRPr="00021537">
        <w:rPr>
          <w:rFonts w:ascii="Abadi" w:hAnsi="Abadi"/>
          <w:i/>
          <w:sz w:val="21"/>
          <w:szCs w:val="21"/>
        </w:rPr>
        <w:t xml:space="preserve">En este sentido, al ser la revocación de mandato un mecanismo que se establece en beneficio del pueblo, y cuya activación requiere de este, es necesario generar una cultura de interés en los asuntos políticos de nuestro estado, y para ello se requiere reformar en favor de la democracia, del pueblo y de la participación ciudadana.  Es por ello que, desde el grupo parlamentario de Morena, consideramos urgente y necesario utilizar las herramientas que como Poder Legislativo tenemos para acelerar este proceso, pues la posibilidad de una revocación de mandato en nuestro Estado permitiría a la ciudadanía guanajuatense contar con una defensa importante para evitar los abusos de poder en su contra, de forma que cuando el pueblo lo considere necesario, pueda </w:t>
      </w:r>
      <w:r w:rsidRPr="00021537">
        <w:rPr>
          <w:rFonts w:ascii="Abadi" w:hAnsi="Abadi"/>
          <w:i/>
          <w:sz w:val="21"/>
          <w:szCs w:val="21"/>
        </w:rPr>
        <w:lastRenderedPageBreak/>
        <w:t>emprender un proceso democrático, de participación ciudadana para en su caso revocarle el mandato al titular del Poder Ejecutivo del Estado y así afianzar la democracia en nuestra entidad. Por lo anteriormente expuesto y fundado a esta Asamblea someto a su consideración el siguiente punto de:  A C U E R D O</w:t>
      </w:r>
    </w:p>
    <w:p w14:paraId="765FFF10" w14:textId="77777777" w:rsidR="00021537" w:rsidRPr="00021537" w:rsidRDefault="00021537" w:rsidP="00021537">
      <w:pPr>
        <w:autoSpaceDE w:val="0"/>
        <w:autoSpaceDN w:val="0"/>
        <w:adjustRightInd w:val="0"/>
        <w:ind w:left="709" w:right="1246"/>
        <w:jc w:val="both"/>
        <w:rPr>
          <w:rFonts w:ascii="Abadi" w:hAnsi="Abadi"/>
          <w:i/>
          <w:sz w:val="21"/>
          <w:szCs w:val="21"/>
        </w:rPr>
      </w:pPr>
      <w:r w:rsidRPr="00021537">
        <w:rPr>
          <w:rFonts w:ascii="Abadi" w:hAnsi="Abadi"/>
          <w:i/>
          <w:sz w:val="21"/>
          <w:szCs w:val="21"/>
        </w:rPr>
        <w:t xml:space="preserve"> </w:t>
      </w:r>
    </w:p>
    <w:p w14:paraId="5BC8F036" w14:textId="77777777" w:rsidR="00021537" w:rsidRPr="00021537" w:rsidRDefault="00021537" w:rsidP="00021537">
      <w:pPr>
        <w:autoSpaceDE w:val="0"/>
        <w:autoSpaceDN w:val="0"/>
        <w:adjustRightInd w:val="0"/>
        <w:ind w:left="709" w:right="1246"/>
        <w:jc w:val="both"/>
        <w:rPr>
          <w:rFonts w:ascii="Abadi" w:hAnsi="Abadi"/>
          <w:i/>
          <w:sz w:val="21"/>
          <w:szCs w:val="21"/>
        </w:rPr>
      </w:pPr>
      <w:r w:rsidRPr="00021537">
        <w:rPr>
          <w:rFonts w:ascii="Abadi" w:hAnsi="Abadi"/>
          <w:i/>
          <w:sz w:val="21"/>
          <w:szCs w:val="21"/>
        </w:rPr>
        <w:t>UNICO. La LXV Legislatura del Congreso del Estado de Guanajuato, acuerda girar un atento exhorto a los Ayuntamientos que faltan de discutir y en su caso aprobar las Reformas y Adiciones a la Constitución Política para el Estado de Guanajuato, contenidas en el proyecto de Decreto de fecha 13 de septiembre de 2021 que ya les ha sido notificado con anterioridad, para que a la brevedad lleven a cabo el proceso de discusión y en su caso aprobación correspondiente.»</w:t>
      </w:r>
    </w:p>
    <w:p w14:paraId="46B43AEF" w14:textId="77777777"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p>
    <w:p w14:paraId="0B45AB35" w14:textId="77777777"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p>
    <w:p w14:paraId="0AC5D591" w14:textId="77777777"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r w:rsidRPr="00021537">
        <w:rPr>
          <w:rFonts w:ascii="Abadi" w:eastAsia="Calibri" w:hAnsi="Abadi"/>
          <w:sz w:val="21"/>
          <w:szCs w:val="21"/>
          <w:lang w:val="es-MX" w:eastAsia="en-US"/>
        </w:rPr>
        <w:t xml:space="preserve">Del análisis de la propuesta podemos manifestar que su objetivo consiste </w:t>
      </w:r>
      <w:r w:rsidRPr="00021537">
        <w:rPr>
          <w:rFonts w:ascii="Abadi" w:hAnsi="Abadi" w:cs="Arial"/>
          <w:sz w:val="21"/>
          <w:szCs w:val="21"/>
        </w:rPr>
        <w:t>en</w:t>
      </w:r>
      <w:r w:rsidRPr="00021537">
        <w:rPr>
          <w:rFonts w:ascii="Abadi" w:eastAsia="Calibri" w:hAnsi="Abadi"/>
          <w:sz w:val="21"/>
          <w:szCs w:val="21"/>
          <w:lang w:val="es-MX" w:eastAsia="en-US"/>
        </w:rPr>
        <w:t xml:space="preserve"> exhortar a los ayuntamientos que faltan de discutir y aprobar las reformas y adiciones a la Constitución Política para el Estado de Guanajuato, contenidas en el proyecto de decreto de fecha 13 de septiembre de 2021, para que a la brevedad lleven a cabo el proceso de discusión y aprobación, en su caso.</w:t>
      </w:r>
    </w:p>
    <w:p w14:paraId="629ECFD3" w14:textId="77777777"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p>
    <w:p w14:paraId="0197BBAE" w14:textId="77777777"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r w:rsidRPr="00021537">
        <w:rPr>
          <w:rFonts w:ascii="Abadi" w:eastAsia="Calibri" w:hAnsi="Abadi"/>
          <w:sz w:val="21"/>
          <w:szCs w:val="21"/>
          <w:lang w:val="es-MX" w:eastAsia="en-US"/>
        </w:rPr>
        <w:t xml:space="preserve">En ese sentido, es importante referir que la revocación de mandato es un genuino instrumento político, por medio del cual, la </w:t>
      </w:r>
      <w:r w:rsidRPr="00021537">
        <w:rPr>
          <w:rFonts w:ascii="Abadi" w:eastAsia="Calibri" w:hAnsi="Abadi"/>
          <w:sz w:val="21"/>
          <w:szCs w:val="21"/>
          <w:lang w:val="es-MX" w:eastAsia="en-US"/>
        </w:rPr>
        <w:t>mayoría ciudadana ejerce el voto cuando el gobernante no colma las expectativas que generó en el momento de la elección.</w:t>
      </w:r>
    </w:p>
    <w:p w14:paraId="3507B683" w14:textId="77777777"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p>
    <w:p w14:paraId="2334CFFA" w14:textId="547946C2"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r w:rsidRPr="00021537">
        <w:rPr>
          <w:rFonts w:ascii="Abadi" w:eastAsia="Calibri" w:hAnsi="Abadi"/>
          <w:sz w:val="21"/>
          <w:szCs w:val="21"/>
          <w:lang w:val="es-MX" w:eastAsia="en-US"/>
        </w:rPr>
        <w:t>Con respecto a la institución de la revocación de mandato y para evitar vaguedades y confusiones, el artículo tercero transitorio de la reforma que a nivel federal reguló esta institución de origen expresó que, para efectos de la revocación de mandato a que hace referencia esta Constitución tanto a nivel federal como local, deberá entenderse como el instrumento de participación solicitado por la ciudadanía para determinar la conclusión anticipada en el desempeño del cargo a partir de la pérdida de la confianza.</w:t>
      </w:r>
    </w:p>
    <w:p w14:paraId="3C1B604B" w14:textId="77777777"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p>
    <w:p w14:paraId="0149F91D" w14:textId="77777777"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r w:rsidRPr="00021537">
        <w:rPr>
          <w:rFonts w:ascii="Abadi" w:eastAsia="Calibri" w:hAnsi="Abadi"/>
          <w:sz w:val="21"/>
          <w:szCs w:val="21"/>
          <w:lang w:val="es-MX" w:eastAsia="en-US"/>
        </w:rPr>
        <w:t>La reforma que crea la revocación del mandato, mediante el artículo 35 Constitucional, establece como prerrogativa de los ciudadanos la de participar en los procesos de revocación de mandato; y de manera respectiva en los artículos 41 y 116, dispone que pueden ser sujetos de los mismos, tanto el Presidente de la República, como los Gobernadores de los estados; y que, en cada caso, serán los organismos electorales los encargados de la implementación de dichos procesos.</w:t>
      </w:r>
    </w:p>
    <w:p w14:paraId="0DE6752D" w14:textId="77777777"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p>
    <w:p w14:paraId="5D29F632" w14:textId="77777777"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r w:rsidRPr="00021537">
        <w:rPr>
          <w:rFonts w:ascii="Abadi" w:eastAsia="Calibri" w:hAnsi="Abadi"/>
          <w:sz w:val="21"/>
          <w:szCs w:val="21"/>
          <w:lang w:val="es-MX" w:eastAsia="en-US"/>
        </w:rPr>
        <w:t xml:space="preserve">Por su parte, en esa reforma federal se dispuso en su artículo sexto transitorio que las constituciones de las entidades federativas, dentro de los dieciocho meses siguientes a la entrada en vigor del presente Decreto, deberán garantizar el derecho ciudadano a solicitar la revocación de mandato de la persona titular del Poder Ejecutivo local.  </w:t>
      </w:r>
    </w:p>
    <w:p w14:paraId="2DD6C002" w14:textId="77777777"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p>
    <w:p w14:paraId="2290D4CF" w14:textId="77777777"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r w:rsidRPr="00021537">
        <w:rPr>
          <w:rFonts w:ascii="Abadi" w:eastAsia="Calibri" w:hAnsi="Abadi"/>
          <w:sz w:val="21"/>
          <w:szCs w:val="21"/>
          <w:lang w:val="es-MX" w:eastAsia="en-US"/>
        </w:rPr>
        <w:t>Es decir, la revocación de mandato es el mecanismo constitucional mediante el que los ciudadanos determinan que algún funcionario de elección popular debe de interrumpir el ejercicio de su mandato y reducir el periodo para el cual fue electo, por incurrir en causas por las cuales debe ser retirado de el, previo el cumplimiento de los requisitos y procedimientos establecidos en las disposiciones constitucionales y legales, con lo cual coincidimos.</w:t>
      </w:r>
    </w:p>
    <w:p w14:paraId="2940D900" w14:textId="77777777"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p>
    <w:p w14:paraId="2A74378B" w14:textId="15FE3664"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r w:rsidRPr="00021537">
        <w:rPr>
          <w:rFonts w:ascii="Abadi" w:eastAsia="Calibri" w:hAnsi="Abadi"/>
          <w:sz w:val="21"/>
          <w:szCs w:val="21"/>
          <w:lang w:val="es-MX" w:eastAsia="en-US"/>
        </w:rPr>
        <w:t xml:space="preserve">En ese sentido, ya este Poder Legislativo se pronunció mediante el dictamen correspondiente a través de la comisión homóloga que en su momento dictaminó dos iniciativas que armonizaban la institución de la revocación de mandato a la reforma a nivel federal dando por resultado una Minuta con Proyecto de Decreto que el Pleno de la Sexagésima Cuarta Legislatura avaló por unanimidad el pasado septiembre de 2021. </w:t>
      </w:r>
    </w:p>
    <w:p w14:paraId="4783934E" w14:textId="77777777"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p>
    <w:p w14:paraId="1DB6FFF0" w14:textId="77777777"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r w:rsidRPr="00021537">
        <w:rPr>
          <w:rFonts w:ascii="Abadi" w:eastAsia="Calibri" w:hAnsi="Abadi"/>
          <w:sz w:val="21"/>
          <w:szCs w:val="21"/>
          <w:lang w:val="es-MX" w:eastAsia="en-US"/>
        </w:rPr>
        <w:t xml:space="preserve">Con estos alcances fue que como parte del Constituyente Permanente se remitió la minuta de referencia a los 46 ayuntamientos con la circular número 345 en fecha 13 de septiembre de 2021, a efecto de que se pronunciaran aprobando la misma, con fundamento en el artículo 145 de nuestro Código Político Local que refiere que en todo tiempo puede ser reformada o adicionada la Constitución. Para que las adiciones o reformas lleguen a ser parte de la misma, es indispensable que el Congreso las apruebe por el voto de cuando menos el setenta por ciento de sus </w:t>
      </w:r>
      <w:r w:rsidRPr="00021537">
        <w:rPr>
          <w:rFonts w:ascii="Abadi" w:eastAsia="Calibri" w:hAnsi="Abadi"/>
          <w:sz w:val="21"/>
          <w:szCs w:val="21"/>
          <w:lang w:val="es-MX" w:eastAsia="en-US"/>
        </w:rPr>
        <w:t xml:space="preserve">miembros </w:t>
      </w:r>
      <w:r w:rsidRPr="00021537">
        <w:rPr>
          <w:rFonts w:ascii="Abadi" w:eastAsia="Calibri" w:hAnsi="Abadi"/>
          <w:i/>
          <w:iCs/>
          <w:sz w:val="21"/>
          <w:szCs w:val="21"/>
          <w:lang w:val="es-MX" w:eastAsia="en-US"/>
        </w:rPr>
        <w:t>y, además, sean aprobadas por la mayoría de los Ayuntamientos</w:t>
      </w:r>
      <w:r w:rsidRPr="00021537">
        <w:rPr>
          <w:rFonts w:ascii="Abadi" w:eastAsia="Calibri" w:hAnsi="Abadi"/>
          <w:sz w:val="21"/>
          <w:szCs w:val="21"/>
          <w:lang w:val="es-MX" w:eastAsia="en-US"/>
        </w:rPr>
        <w:t>.</w:t>
      </w:r>
    </w:p>
    <w:p w14:paraId="1085638C" w14:textId="77777777"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p>
    <w:p w14:paraId="68489EAA" w14:textId="77777777" w:rsidR="00021537" w:rsidRPr="00021537" w:rsidRDefault="00021537" w:rsidP="00021537">
      <w:pPr>
        <w:autoSpaceDE w:val="0"/>
        <w:autoSpaceDN w:val="0"/>
        <w:adjustRightInd w:val="0"/>
        <w:spacing w:line="360" w:lineRule="auto"/>
        <w:ind w:firstLine="708"/>
        <w:jc w:val="both"/>
        <w:rPr>
          <w:rFonts w:ascii="Abadi" w:eastAsia="Calibri" w:hAnsi="Abadi"/>
          <w:sz w:val="21"/>
          <w:szCs w:val="21"/>
          <w:lang w:val="es-MX" w:eastAsia="en-US"/>
        </w:rPr>
      </w:pPr>
      <w:r w:rsidRPr="00021537">
        <w:rPr>
          <w:rFonts w:ascii="Abadi" w:eastAsia="Calibri" w:hAnsi="Abadi"/>
          <w:sz w:val="21"/>
          <w:szCs w:val="21"/>
          <w:lang w:val="es-MX" w:eastAsia="en-US"/>
        </w:rPr>
        <w:t>A la fecha se han emitido 17 acuerdos por parte de los ayuntamientos, de esos 16 son aprobatorios y 1 en contra. De ahí la necesidad de generar esa comunicación institucional con las autoridades municipales que aun no se han pronunciado con respecto a esta minuta proyecto de decreto que aludimos, por eso consideramos importante realizarlo mediante este mecanismo.</w:t>
      </w:r>
    </w:p>
    <w:p w14:paraId="0B9E0B22" w14:textId="77777777" w:rsidR="00021537" w:rsidRPr="00021537" w:rsidRDefault="00021537" w:rsidP="00021537">
      <w:pPr>
        <w:spacing w:line="360" w:lineRule="auto"/>
        <w:jc w:val="both"/>
        <w:rPr>
          <w:rFonts w:ascii="Abadi" w:eastAsia="Calibri" w:hAnsi="Abadi"/>
          <w:b/>
          <w:bCs/>
          <w:sz w:val="21"/>
          <w:szCs w:val="21"/>
          <w:lang w:val="es-MX" w:eastAsia="en-US"/>
        </w:rPr>
      </w:pPr>
    </w:p>
    <w:p w14:paraId="491DC43C" w14:textId="77777777" w:rsidR="00021537" w:rsidRPr="00021537" w:rsidRDefault="00021537" w:rsidP="00021537">
      <w:pPr>
        <w:spacing w:line="360" w:lineRule="auto"/>
        <w:jc w:val="both"/>
        <w:rPr>
          <w:rFonts w:ascii="Abadi" w:eastAsia="Calibri" w:hAnsi="Abadi"/>
          <w:b/>
          <w:bCs/>
          <w:sz w:val="21"/>
          <w:szCs w:val="21"/>
          <w:lang w:val="es-MX" w:eastAsia="en-US"/>
        </w:rPr>
      </w:pPr>
      <w:r w:rsidRPr="00021537">
        <w:rPr>
          <w:rFonts w:ascii="Abadi" w:eastAsia="Calibri" w:hAnsi="Abadi"/>
          <w:b/>
          <w:bCs/>
          <w:sz w:val="21"/>
          <w:szCs w:val="21"/>
          <w:lang w:val="es-MX" w:eastAsia="en-US"/>
        </w:rPr>
        <w:t>III. Modificaciones a la propuesta de punto de acuerdo</w:t>
      </w:r>
    </w:p>
    <w:p w14:paraId="15FE0412" w14:textId="77777777" w:rsidR="00021537" w:rsidRPr="00021537" w:rsidRDefault="00021537" w:rsidP="00021537">
      <w:pPr>
        <w:spacing w:line="360" w:lineRule="auto"/>
        <w:ind w:firstLine="708"/>
        <w:jc w:val="both"/>
        <w:rPr>
          <w:rFonts w:ascii="Abadi" w:eastAsia="Calibri" w:hAnsi="Abadi"/>
          <w:b/>
          <w:bCs/>
          <w:sz w:val="21"/>
          <w:szCs w:val="21"/>
          <w:lang w:val="es-MX" w:eastAsia="en-US"/>
        </w:rPr>
      </w:pPr>
    </w:p>
    <w:p w14:paraId="4CEEEAF3" w14:textId="77777777" w:rsidR="00021537" w:rsidRPr="00021537" w:rsidRDefault="00021537" w:rsidP="00021537">
      <w:pPr>
        <w:spacing w:line="360" w:lineRule="auto"/>
        <w:ind w:firstLine="708"/>
        <w:jc w:val="both"/>
        <w:rPr>
          <w:rFonts w:ascii="Abadi" w:eastAsia="Batang" w:hAnsi="Abadi" w:cs="Arial"/>
          <w:sz w:val="21"/>
          <w:szCs w:val="21"/>
          <w:lang w:val="es-MX"/>
        </w:rPr>
      </w:pPr>
      <w:r w:rsidRPr="00021537">
        <w:rPr>
          <w:rFonts w:ascii="Abadi" w:eastAsia="Batang" w:hAnsi="Abadi" w:cs="Arial"/>
          <w:sz w:val="21"/>
          <w:szCs w:val="21"/>
          <w:lang w:val="es-MX"/>
        </w:rPr>
        <w:t xml:space="preserve">No omitimos comentar que, dados los trabajos de análisis al interior de la Comisión, quienes participamos, consideramos oportuno hacer ajustes al mismo a efecto de hacerlo congruente con lo que realmente se busca al exhortar a las autoridades municipales. </w:t>
      </w:r>
    </w:p>
    <w:p w14:paraId="04B83FE7" w14:textId="77777777" w:rsidR="00021537" w:rsidRPr="00021537" w:rsidRDefault="00021537" w:rsidP="00021537">
      <w:pPr>
        <w:spacing w:line="360" w:lineRule="auto"/>
        <w:jc w:val="both"/>
        <w:rPr>
          <w:rFonts w:ascii="Abadi" w:eastAsia="Batang" w:hAnsi="Abadi" w:cs="Arial"/>
          <w:sz w:val="21"/>
          <w:szCs w:val="21"/>
          <w:lang w:val="es-MX"/>
        </w:rPr>
      </w:pPr>
    </w:p>
    <w:p w14:paraId="2B78294E" w14:textId="77777777" w:rsidR="00021537" w:rsidRPr="00021537" w:rsidRDefault="00021537" w:rsidP="00021537">
      <w:pPr>
        <w:autoSpaceDE w:val="0"/>
        <w:autoSpaceDN w:val="0"/>
        <w:adjustRightInd w:val="0"/>
        <w:spacing w:line="360" w:lineRule="auto"/>
        <w:ind w:firstLine="708"/>
        <w:jc w:val="both"/>
        <w:rPr>
          <w:rFonts w:ascii="Abadi" w:eastAsia="SimSun" w:hAnsi="Abadi" w:cs="Arial"/>
          <w:sz w:val="21"/>
          <w:szCs w:val="21"/>
          <w:lang w:val="es-MX" w:eastAsia="es-MX"/>
        </w:rPr>
      </w:pPr>
      <w:r w:rsidRPr="00021537">
        <w:rPr>
          <w:rFonts w:ascii="Abadi" w:eastAsia="SimSun" w:hAnsi="Abadi" w:cs="Arial"/>
          <w:sz w:val="21"/>
          <w:szCs w:val="21"/>
          <w:lang w:val="es-MX" w:eastAsia="es-MX"/>
        </w:rPr>
        <w:t>Es decir, las y los diputados de esta Comisión de Gobernación y Puntos Constitucionales ratificamos el convencimiento de que la comunicación y coordinación institucional en estas esferas es fundamental para que los resultados perseguidos por las autoridades involucradas se vean redituados en beneficio de las y los ciudadanos, de ahí la necesidad de identificar los ayuntamientos que realmente no se han pronunciado y de esta manera ser acordes a los objetivos que dieron origen a esta propuesta.</w:t>
      </w:r>
    </w:p>
    <w:p w14:paraId="3BD56B81" w14:textId="77777777" w:rsidR="00021537" w:rsidRPr="00021537" w:rsidRDefault="00021537" w:rsidP="00021537">
      <w:pPr>
        <w:spacing w:line="360" w:lineRule="auto"/>
        <w:ind w:firstLine="708"/>
        <w:jc w:val="both"/>
        <w:rPr>
          <w:rFonts w:ascii="Abadi" w:eastAsia="Calibri" w:hAnsi="Abadi"/>
          <w:b/>
          <w:bCs/>
          <w:sz w:val="21"/>
          <w:szCs w:val="21"/>
          <w:lang w:val="es-MX" w:eastAsia="en-US"/>
        </w:rPr>
      </w:pPr>
    </w:p>
    <w:p w14:paraId="058A095C" w14:textId="77777777" w:rsidR="00021537" w:rsidRPr="00021537" w:rsidRDefault="00021537" w:rsidP="00021537">
      <w:pPr>
        <w:spacing w:line="360" w:lineRule="auto"/>
        <w:ind w:firstLine="708"/>
        <w:jc w:val="both"/>
        <w:rPr>
          <w:rFonts w:ascii="Abadi" w:eastAsia="Calibri" w:hAnsi="Abadi"/>
          <w:sz w:val="21"/>
          <w:szCs w:val="21"/>
          <w:lang w:val="es-MX" w:eastAsia="en-US"/>
        </w:rPr>
      </w:pPr>
      <w:r w:rsidRPr="00021537">
        <w:rPr>
          <w:rFonts w:ascii="Abadi" w:eastAsia="Calibri" w:hAnsi="Abadi"/>
          <w:sz w:val="21"/>
          <w:szCs w:val="21"/>
          <w:lang w:val="es-MX" w:eastAsia="en-US"/>
        </w:rPr>
        <w:t xml:space="preserve">En consecuencia, y en atención a las consideraciones expuestas, se determina la viabilidad de la propuesta al encontrarse dentro </w:t>
      </w:r>
      <w:r w:rsidRPr="00021537">
        <w:rPr>
          <w:rFonts w:ascii="Abadi" w:eastAsia="Calibri" w:hAnsi="Abadi"/>
          <w:sz w:val="21"/>
          <w:szCs w:val="21"/>
          <w:lang w:val="es-MX" w:eastAsia="en-US"/>
        </w:rPr>
        <w:lastRenderedPageBreak/>
        <w:t>del campo de acción de este Poder Legislativo por ser quien dio origen a tales acciones a través de su principal función de legislar, motivo por el cual estimamos pertinente el exhorto con los alcances previstos en el presente dictamen.</w:t>
      </w:r>
    </w:p>
    <w:p w14:paraId="1B95CB91" w14:textId="77777777" w:rsidR="00021537" w:rsidRPr="00021537" w:rsidRDefault="00021537" w:rsidP="00021537">
      <w:pPr>
        <w:spacing w:line="360" w:lineRule="auto"/>
        <w:ind w:firstLine="708"/>
        <w:jc w:val="both"/>
        <w:rPr>
          <w:rFonts w:ascii="Abadi" w:eastAsia="Calibri" w:hAnsi="Abadi"/>
          <w:sz w:val="21"/>
          <w:szCs w:val="21"/>
          <w:lang w:val="es-MX" w:eastAsia="en-US"/>
        </w:rPr>
      </w:pPr>
    </w:p>
    <w:p w14:paraId="5CAF358B" w14:textId="77777777" w:rsidR="00021537" w:rsidRPr="00021537" w:rsidRDefault="00021537" w:rsidP="00021537">
      <w:pPr>
        <w:spacing w:line="360" w:lineRule="auto"/>
        <w:ind w:firstLine="708"/>
        <w:jc w:val="both"/>
        <w:rPr>
          <w:rFonts w:ascii="Abadi" w:eastAsia="Calibri" w:hAnsi="Abadi"/>
          <w:sz w:val="21"/>
          <w:szCs w:val="21"/>
          <w:lang w:val="es-MX" w:eastAsia="en-US"/>
        </w:rPr>
      </w:pPr>
      <w:r w:rsidRPr="00021537">
        <w:rPr>
          <w:rFonts w:ascii="Abadi" w:eastAsia="Calibri" w:hAnsi="Abadi"/>
          <w:sz w:val="21"/>
          <w:szCs w:val="21"/>
          <w:lang w:val="es-MX" w:eastAsia="en-US"/>
        </w:rPr>
        <w:t>Resaltamos el cumplimiento de los Objetivos del Desarrollo Sostenible de la Agenda 2030 en el dictamen puesto a su consideración, pues el mismo impacta e incide respecto al Objetivo 16. Paz, Justicia e Instituciones Sólidas. Promover sociedades justas, pacíficas e inclusivas con sus metas 16.6. Crear a todos los niveles instituciones eficaces y transparentes que rindan cuentas, 16.7 Garantizar la adopción en todos los niveles de decisiones inclusivas, participativas y representativas que respondan a las necesidades, y 16.10. Garantizar el acceso público a la información y proteger las libertades fundamentales, de conformidad con las leyes nacionales y los acuerdos internacionales.</w:t>
      </w:r>
    </w:p>
    <w:p w14:paraId="48A5F45B" w14:textId="77777777" w:rsidR="00021537" w:rsidRPr="00021537" w:rsidRDefault="00021537" w:rsidP="00021537">
      <w:pPr>
        <w:spacing w:line="360" w:lineRule="auto"/>
        <w:ind w:firstLine="708"/>
        <w:jc w:val="both"/>
        <w:rPr>
          <w:rFonts w:ascii="Abadi" w:eastAsia="Calibri" w:hAnsi="Abadi"/>
          <w:sz w:val="21"/>
          <w:szCs w:val="21"/>
          <w:lang w:val="es-MX" w:eastAsia="en-US"/>
        </w:rPr>
      </w:pPr>
    </w:p>
    <w:p w14:paraId="3EBDF954" w14:textId="50638BFD" w:rsidR="00021537" w:rsidRPr="00021537" w:rsidRDefault="00021537" w:rsidP="00021537">
      <w:pPr>
        <w:spacing w:line="360" w:lineRule="auto"/>
        <w:ind w:firstLine="708"/>
        <w:jc w:val="both"/>
        <w:rPr>
          <w:rFonts w:ascii="Abadi" w:eastAsia="Calibri" w:hAnsi="Abadi"/>
          <w:sz w:val="21"/>
          <w:szCs w:val="21"/>
          <w:lang w:val="es-MX" w:eastAsia="en-US"/>
        </w:rPr>
      </w:pPr>
      <w:r w:rsidRPr="00021537">
        <w:rPr>
          <w:rFonts w:ascii="Abadi" w:eastAsia="Calibri" w:hAnsi="Abadi"/>
          <w:sz w:val="21"/>
          <w:szCs w:val="21"/>
          <w:lang w:val="es-MX" w:eastAsia="en-US"/>
        </w:rPr>
        <w:t xml:space="preserve">En razón de lo antes expuesto y con fundamento en los artículos 171 y 204 de la Ley Orgánica del Poder Legislativo del Estado de Guanajuato, nos permitimos someter a la aprobación de la Asamblea, el siguiente: </w:t>
      </w:r>
    </w:p>
    <w:p w14:paraId="06E6FAD3" w14:textId="77777777" w:rsidR="00021537" w:rsidRPr="00021537" w:rsidRDefault="00021537" w:rsidP="00021537">
      <w:pPr>
        <w:tabs>
          <w:tab w:val="left" w:pos="0"/>
        </w:tabs>
        <w:rPr>
          <w:rFonts w:ascii="Abadi" w:eastAsia="Batang" w:hAnsi="Abadi" w:cs="Arial"/>
          <w:b/>
          <w:bCs/>
          <w:sz w:val="21"/>
          <w:szCs w:val="21"/>
        </w:rPr>
      </w:pPr>
    </w:p>
    <w:p w14:paraId="66312B9E" w14:textId="77777777" w:rsidR="00021537" w:rsidRPr="00021537" w:rsidRDefault="00021537" w:rsidP="00021537">
      <w:pPr>
        <w:tabs>
          <w:tab w:val="left" w:pos="0"/>
        </w:tabs>
        <w:jc w:val="center"/>
        <w:rPr>
          <w:rFonts w:ascii="Abadi" w:eastAsia="Batang" w:hAnsi="Abadi" w:cs="Arial"/>
          <w:b/>
          <w:bCs/>
          <w:sz w:val="21"/>
          <w:szCs w:val="21"/>
        </w:rPr>
      </w:pPr>
    </w:p>
    <w:p w14:paraId="07634ABB" w14:textId="77777777" w:rsidR="00021537" w:rsidRPr="00021537" w:rsidRDefault="00021537" w:rsidP="00021537">
      <w:pPr>
        <w:tabs>
          <w:tab w:val="left" w:pos="0"/>
        </w:tabs>
        <w:jc w:val="center"/>
        <w:rPr>
          <w:rFonts w:ascii="Abadi" w:eastAsia="Batang" w:hAnsi="Abadi" w:cs="Arial"/>
          <w:b/>
          <w:bCs/>
          <w:sz w:val="21"/>
          <w:szCs w:val="21"/>
        </w:rPr>
      </w:pPr>
      <w:r w:rsidRPr="00021537">
        <w:rPr>
          <w:rFonts w:ascii="Abadi" w:eastAsia="Batang" w:hAnsi="Abadi" w:cs="Arial"/>
          <w:b/>
          <w:bCs/>
          <w:sz w:val="21"/>
          <w:szCs w:val="21"/>
        </w:rPr>
        <w:t>Acuerdo</w:t>
      </w:r>
    </w:p>
    <w:p w14:paraId="0736A4DB" w14:textId="77777777" w:rsidR="00021537" w:rsidRPr="00021537" w:rsidRDefault="00021537" w:rsidP="00021537">
      <w:pPr>
        <w:spacing w:line="360" w:lineRule="auto"/>
        <w:ind w:firstLine="708"/>
        <w:jc w:val="both"/>
        <w:rPr>
          <w:rFonts w:ascii="Abadi" w:eastAsia="Batang" w:hAnsi="Abadi" w:cs="Arial"/>
          <w:b/>
          <w:bCs/>
          <w:sz w:val="21"/>
          <w:szCs w:val="21"/>
        </w:rPr>
      </w:pPr>
    </w:p>
    <w:p w14:paraId="565F0C85" w14:textId="77777777" w:rsidR="00021537" w:rsidRPr="00021537" w:rsidRDefault="00021537" w:rsidP="00021537">
      <w:pPr>
        <w:spacing w:line="360" w:lineRule="auto"/>
        <w:ind w:firstLine="708"/>
        <w:jc w:val="both"/>
        <w:rPr>
          <w:rFonts w:ascii="Abadi" w:eastAsia="Calibri" w:hAnsi="Abadi"/>
          <w:sz w:val="21"/>
          <w:szCs w:val="21"/>
          <w:lang w:val="es-MX" w:eastAsia="en-US"/>
        </w:rPr>
      </w:pPr>
      <w:r w:rsidRPr="00021537">
        <w:rPr>
          <w:rFonts w:ascii="Abadi" w:eastAsia="Batang" w:hAnsi="Abadi" w:cs="Arial"/>
          <w:b/>
          <w:bCs/>
          <w:sz w:val="21"/>
          <w:szCs w:val="21"/>
        </w:rPr>
        <w:t>Único.</w:t>
      </w:r>
      <w:r w:rsidRPr="00021537">
        <w:rPr>
          <w:rFonts w:ascii="Abadi" w:eastAsia="Batang" w:hAnsi="Abadi" w:cs="Arial"/>
          <w:bCs/>
          <w:sz w:val="21"/>
          <w:szCs w:val="21"/>
        </w:rPr>
        <w:t xml:space="preserve"> </w:t>
      </w:r>
      <w:r w:rsidRPr="00021537">
        <w:rPr>
          <w:rFonts w:ascii="Abadi" w:eastAsia="Calibri" w:hAnsi="Abadi"/>
          <w:sz w:val="21"/>
          <w:szCs w:val="21"/>
          <w:lang w:val="es-MX" w:eastAsia="en-US"/>
        </w:rPr>
        <w:t xml:space="preserve">La Sexagésima Quinta Legislatura del Congreso del Estado Libre y Soberano de Guanajuato, exhorta atentamente y en respeto a la autonomía municipal a los ayuntamientos de Acámbaro, Apaseo el Grande, Atarjea, Celaya, Comonfort, Cuerámaro, Dolores Hidalgo, Cuna de la Independencia Nacional, Guanajuato, León, </w:t>
      </w:r>
      <w:r w:rsidRPr="00021537">
        <w:rPr>
          <w:rFonts w:ascii="Abadi" w:eastAsia="Calibri" w:hAnsi="Abadi"/>
          <w:sz w:val="21"/>
          <w:szCs w:val="21"/>
          <w:lang w:val="es-MX" w:eastAsia="en-US"/>
        </w:rPr>
        <w:t xml:space="preserve">Manuel Doblado, Moroleón, Ocampo, Pénjamo, Pueblo Nuevo, Romita, San Diego de la Unión, San José Iturbide, San Miguel de Allende, Santa Catarina, Santa Cruz de Juventino Rosas, Santiago Maravatío, Silao de la Victoria, Tarandacuao, Tarimoro, Tierra Blanca, Victoria, Villagrán, Xichú y Yuriria para que a la brevedad lleven a cabo el proceso de discusión y aprobación, en su caso de la Minuta Proyecto de Decreto mediante la cual se reforman las fracciones IV y V del artículo 24; el segundo párrafo del artículo 30; y que adicionan los párrafos quinto y sexto, este último con los apartados A y B al artículo 30 de la Constitución Política para el Estado de Guanajuato, </w:t>
      </w:r>
      <w:r w:rsidRPr="00021537">
        <w:rPr>
          <w:rFonts w:ascii="Abadi" w:eastAsia="Calibri" w:hAnsi="Abadi"/>
          <w:i/>
          <w:iCs/>
          <w:sz w:val="21"/>
          <w:szCs w:val="21"/>
          <w:lang w:val="es-MX" w:eastAsia="en-US"/>
        </w:rPr>
        <w:t>en materia de revocación de mandato</w:t>
      </w:r>
      <w:r w:rsidRPr="00021537">
        <w:rPr>
          <w:rFonts w:ascii="Abadi" w:eastAsia="Calibri" w:hAnsi="Abadi"/>
          <w:sz w:val="21"/>
          <w:szCs w:val="21"/>
          <w:lang w:val="es-MX" w:eastAsia="en-US"/>
        </w:rPr>
        <w:t>.</w:t>
      </w:r>
    </w:p>
    <w:p w14:paraId="1770358B" w14:textId="77777777" w:rsidR="00021537" w:rsidRPr="00021537" w:rsidRDefault="00021537" w:rsidP="00021537">
      <w:pPr>
        <w:ind w:firstLine="708"/>
        <w:jc w:val="both"/>
        <w:rPr>
          <w:rFonts w:ascii="Abadi" w:hAnsi="Abadi" w:cs="Arial"/>
          <w:sz w:val="21"/>
          <w:szCs w:val="21"/>
        </w:rPr>
      </w:pPr>
    </w:p>
    <w:p w14:paraId="46C2C633" w14:textId="77777777" w:rsidR="00021537" w:rsidRPr="00021537" w:rsidRDefault="00021537" w:rsidP="00021537">
      <w:pPr>
        <w:spacing w:line="276" w:lineRule="auto"/>
        <w:jc w:val="center"/>
        <w:rPr>
          <w:rFonts w:ascii="Abadi" w:hAnsi="Abadi" w:cs="Arial"/>
          <w:b/>
          <w:sz w:val="21"/>
          <w:szCs w:val="21"/>
        </w:rPr>
      </w:pPr>
      <w:r w:rsidRPr="00021537">
        <w:rPr>
          <w:rFonts w:ascii="Abadi" w:hAnsi="Abadi" w:cs="Arial"/>
          <w:b/>
          <w:sz w:val="21"/>
          <w:szCs w:val="21"/>
        </w:rPr>
        <w:t>GUANAJUATO, GTO., A 21 DE JUNIO DE 2022</w:t>
      </w:r>
    </w:p>
    <w:p w14:paraId="393A6EEA" w14:textId="77777777" w:rsidR="00021537" w:rsidRPr="00021537" w:rsidRDefault="00021537" w:rsidP="00021537">
      <w:pPr>
        <w:spacing w:line="276" w:lineRule="auto"/>
        <w:jc w:val="center"/>
        <w:rPr>
          <w:rFonts w:ascii="Abadi" w:hAnsi="Abadi" w:cs="Arial"/>
          <w:b/>
          <w:sz w:val="21"/>
          <w:szCs w:val="21"/>
        </w:rPr>
      </w:pPr>
      <w:r w:rsidRPr="00021537">
        <w:rPr>
          <w:rFonts w:ascii="Abadi" w:hAnsi="Abadi" w:cs="Arial"/>
          <w:b/>
          <w:sz w:val="21"/>
          <w:szCs w:val="21"/>
        </w:rPr>
        <w:t>LA COMISIÓN DE GOBERNACIÓN Y PUNTOS CONSTITUCIONALES</w:t>
      </w:r>
    </w:p>
    <w:p w14:paraId="2D266CB0" w14:textId="77777777" w:rsidR="002F22FF" w:rsidRDefault="002F22FF" w:rsidP="00021537">
      <w:pPr>
        <w:jc w:val="center"/>
        <w:rPr>
          <w:rFonts w:ascii="Abadi" w:eastAsia="Arial Unicode MS" w:hAnsi="Abadi" w:cs="Arial Unicode MS"/>
          <w:b/>
          <w:bCs/>
          <w:sz w:val="21"/>
          <w:szCs w:val="21"/>
          <w:lang w:val="es-MX" w:eastAsia="en-US"/>
        </w:rPr>
      </w:pPr>
    </w:p>
    <w:p w14:paraId="41953180" w14:textId="5FFAA204" w:rsidR="00021537" w:rsidRDefault="00021537" w:rsidP="00021537">
      <w:pPr>
        <w:jc w:val="center"/>
        <w:rPr>
          <w:rFonts w:ascii="Abadi" w:eastAsia="Arial Unicode MS" w:hAnsi="Abadi" w:cs="Arial Unicode MS"/>
          <w:b/>
          <w:bCs/>
          <w:sz w:val="21"/>
          <w:szCs w:val="21"/>
          <w:lang w:val="es-MX" w:eastAsia="en-US"/>
        </w:rPr>
      </w:pPr>
      <w:bookmarkStart w:id="8" w:name="_Hlk108699895"/>
      <w:r>
        <w:rPr>
          <w:rFonts w:ascii="Abadi" w:eastAsia="Arial Unicode MS" w:hAnsi="Abadi" w:cs="Arial Unicode MS"/>
          <w:b/>
          <w:bCs/>
          <w:sz w:val="21"/>
          <w:szCs w:val="21"/>
          <w:lang w:val="es-MX" w:eastAsia="en-US"/>
        </w:rPr>
        <w:t>Dip. Susana Bermúdez Cano</w:t>
      </w:r>
    </w:p>
    <w:p w14:paraId="1398E2AE" w14:textId="77777777" w:rsidR="00021537" w:rsidRDefault="00021537" w:rsidP="00021537">
      <w:pPr>
        <w:jc w:val="center"/>
        <w:rPr>
          <w:rFonts w:ascii="Abadi" w:eastAsia="Arial Unicode MS" w:hAnsi="Abadi" w:cs="Arial Unicode MS"/>
          <w:b/>
          <w:bCs/>
          <w:sz w:val="21"/>
          <w:szCs w:val="21"/>
          <w:lang w:val="es-MX" w:eastAsia="en-US"/>
        </w:rPr>
      </w:pPr>
    </w:p>
    <w:p w14:paraId="6B3CE541" w14:textId="77777777" w:rsidR="00021537" w:rsidRDefault="00021537" w:rsidP="0002153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Laura Cristina Márquez Alcalá</w:t>
      </w:r>
    </w:p>
    <w:p w14:paraId="1A33E9B9" w14:textId="77777777" w:rsidR="00021537" w:rsidRDefault="00021537" w:rsidP="00021537">
      <w:pPr>
        <w:jc w:val="center"/>
        <w:rPr>
          <w:rFonts w:ascii="Abadi" w:eastAsia="Arial Unicode MS" w:hAnsi="Abadi" w:cs="Arial Unicode MS"/>
          <w:b/>
          <w:bCs/>
          <w:sz w:val="21"/>
          <w:szCs w:val="21"/>
          <w:lang w:val="es-MX" w:eastAsia="en-US"/>
        </w:rPr>
      </w:pPr>
    </w:p>
    <w:p w14:paraId="549A2277" w14:textId="77777777" w:rsidR="00021537" w:rsidRDefault="00021537" w:rsidP="0002153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Briseida Anabel Magdaleno González</w:t>
      </w:r>
    </w:p>
    <w:p w14:paraId="38291B47" w14:textId="77777777" w:rsidR="00021537" w:rsidRDefault="00021537" w:rsidP="00021537">
      <w:pPr>
        <w:jc w:val="center"/>
        <w:rPr>
          <w:rFonts w:ascii="Abadi" w:eastAsia="Arial Unicode MS" w:hAnsi="Abadi" w:cs="Arial Unicode MS"/>
          <w:b/>
          <w:bCs/>
          <w:sz w:val="21"/>
          <w:szCs w:val="21"/>
          <w:lang w:val="es-MX" w:eastAsia="en-US"/>
        </w:rPr>
      </w:pPr>
    </w:p>
    <w:p w14:paraId="1C0849CA" w14:textId="77777777" w:rsidR="00021537" w:rsidRDefault="00021537" w:rsidP="0002153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Alma Edwviges Alcaraz Hernández</w:t>
      </w:r>
    </w:p>
    <w:p w14:paraId="05037971" w14:textId="77777777" w:rsidR="00021537" w:rsidRDefault="00021537" w:rsidP="00021537">
      <w:pPr>
        <w:jc w:val="center"/>
        <w:rPr>
          <w:rFonts w:ascii="Abadi" w:eastAsia="Arial Unicode MS" w:hAnsi="Abadi" w:cs="Arial Unicode MS"/>
          <w:b/>
          <w:bCs/>
          <w:sz w:val="21"/>
          <w:szCs w:val="21"/>
          <w:lang w:val="es-MX" w:eastAsia="en-US"/>
        </w:rPr>
      </w:pPr>
    </w:p>
    <w:p w14:paraId="71569A39" w14:textId="77777777" w:rsidR="00021537" w:rsidRDefault="00021537" w:rsidP="0002153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Rolando Fortino Alcántar Rojas</w:t>
      </w:r>
    </w:p>
    <w:p w14:paraId="22676310" w14:textId="77777777" w:rsidR="00021537" w:rsidRDefault="00021537" w:rsidP="00021537">
      <w:pPr>
        <w:jc w:val="center"/>
        <w:rPr>
          <w:rFonts w:ascii="Abadi" w:eastAsia="Arial Unicode MS" w:hAnsi="Abadi" w:cs="Arial Unicode MS"/>
          <w:b/>
          <w:bCs/>
          <w:sz w:val="21"/>
          <w:szCs w:val="21"/>
          <w:lang w:val="es-MX" w:eastAsia="en-US"/>
        </w:rPr>
      </w:pPr>
    </w:p>
    <w:p w14:paraId="73501515" w14:textId="77777777" w:rsidR="00021537" w:rsidRDefault="00021537" w:rsidP="0002153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Yulma Rocha Aguilar</w:t>
      </w:r>
    </w:p>
    <w:p w14:paraId="6245B047" w14:textId="77777777" w:rsidR="00021537" w:rsidRDefault="00021537" w:rsidP="00021537">
      <w:pPr>
        <w:jc w:val="center"/>
        <w:rPr>
          <w:rFonts w:ascii="Abadi" w:eastAsia="Arial Unicode MS" w:hAnsi="Abadi" w:cs="Arial Unicode MS"/>
          <w:b/>
          <w:bCs/>
          <w:sz w:val="21"/>
          <w:szCs w:val="21"/>
          <w:lang w:val="es-MX" w:eastAsia="en-US"/>
        </w:rPr>
      </w:pPr>
    </w:p>
    <w:p w14:paraId="075D5EF3" w14:textId="5B8F29C3" w:rsidR="00021537" w:rsidRPr="00021537" w:rsidRDefault="00021537" w:rsidP="0002153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Gerardo Fernández González</w:t>
      </w:r>
    </w:p>
    <w:bookmarkEnd w:id="8"/>
    <w:p w14:paraId="1EF8954E" w14:textId="77777777" w:rsidR="00021537" w:rsidRPr="00F01425" w:rsidRDefault="00021537" w:rsidP="00021537">
      <w:pPr>
        <w:tabs>
          <w:tab w:val="left" w:pos="856"/>
        </w:tabs>
        <w:kinsoku w:val="0"/>
        <w:overflowPunct w:val="0"/>
        <w:autoSpaceDE w:val="0"/>
        <w:autoSpaceDN w:val="0"/>
        <w:adjustRightInd w:val="0"/>
        <w:spacing w:before="203"/>
        <w:ind w:right="17"/>
        <w:jc w:val="both"/>
        <w:rPr>
          <w:rFonts w:ascii="Abadi" w:hAnsi="Abadi"/>
          <w:sz w:val="20"/>
          <w:szCs w:val="20"/>
        </w:rPr>
      </w:pPr>
    </w:p>
    <w:p w14:paraId="6E6654FF" w14:textId="2480496A" w:rsidR="00410A0C" w:rsidRDefault="00410A0C"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80"/>
          <w:sz w:val="20"/>
          <w:szCs w:val="20"/>
        </w:rPr>
        <w:t xml:space="preserve"> </w:t>
      </w:r>
      <w:r w:rsidRPr="00531B12">
        <w:rPr>
          <w:rFonts w:ascii="Abadi" w:hAnsi="Abadi"/>
          <w:b/>
          <w:bCs/>
          <w:sz w:val="20"/>
          <w:szCs w:val="20"/>
        </w:rPr>
        <w:t>Y,</w:t>
      </w:r>
      <w:r w:rsidRPr="00531B12">
        <w:rPr>
          <w:rFonts w:ascii="Abadi" w:hAnsi="Abadi"/>
          <w:b/>
          <w:bCs/>
          <w:spacing w:val="80"/>
          <w:sz w:val="20"/>
          <w:szCs w:val="20"/>
        </w:rPr>
        <w:t xml:space="preserve"> </w:t>
      </w:r>
      <w:r w:rsidRPr="00531B12">
        <w:rPr>
          <w:rFonts w:ascii="Abadi" w:hAnsi="Abadi"/>
          <w:b/>
          <w:bCs/>
          <w:sz w:val="20"/>
          <w:szCs w:val="20"/>
        </w:rPr>
        <w:t>EN</w:t>
      </w:r>
      <w:r w:rsidRPr="00531B12">
        <w:rPr>
          <w:rFonts w:ascii="Abadi" w:hAnsi="Abadi"/>
          <w:b/>
          <w:bCs/>
          <w:spacing w:val="80"/>
          <w:sz w:val="20"/>
          <w:szCs w:val="20"/>
        </w:rPr>
        <w:t xml:space="preserve"> </w:t>
      </w:r>
      <w:r w:rsidRPr="00531B12">
        <w:rPr>
          <w:rFonts w:ascii="Abadi" w:hAnsi="Abadi"/>
          <w:b/>
          <w:bCs/>
          <w:sz w:val="20"/>
          <w:szCs w:val="20"/>
        </w:rPr>
        <w:t>SU</w:t>
      </w:r>
      <w:r w:rsidRPr="00531B12">
        <w:rPr>
          <w:rFonts w:ascii="Abadi" w:hAnsi="Abadi"/>
          <w:b/>
          <w:bCs/>
          <w:spacing w:val="80"/>
          <w:sz w:val="20"/>
          <w:szCs w:val="20"/>
        </w:rPr>
        <w:t xml:space="preserve"> </w:t>
      </w:r>
      <w:r w:rsidRPr="00531B12">
        <w:rPr>
          <w:rFonts w:ascii="Abadi" w:hAnsi="Abadi"/>
          <w:b/>
          <w:bCs/>
          <w:sz w:val="20"/>
          <w:szCs w:val="20"/>
        </w:rPr>
        <w:t>CASO,</w:t>
      </w:r>
      <w:r w:rsidRPr="00531B12">
        <w:rPr>
          <w:rFonts w:ascii="Abadi" w:hAnsi="Abadi"/>
          <w:b/>
          <w:bCs/>
          <w:spacing w:val="80"/>
          <w:sz w:val="20"/>
          <w:szCs w:val="20"/>
        </w:rPr>
        <w:t xml:space="preserve"> </w:t>
      </w:r>
      <w:r w:rsidRPr="00531B12">
        <w:rPr>
          <w:rFonts w:ascii="Abadi" w:hAnsi="Abadi"/>
          <w:b/>
          <w:bCs/>
          <w:sz w:val="20"/>
          <w:szCs w:val="20"/>
        </w:rPr>
        <w:t>APROBACIÓN</w:t>
      </w:r>
      <w:r w:rsidRPr="00531B12">
        <w:rPr>
          <w:rFonts w:ascii="Abadi" w:hAnsi="Abadi"/>
          <w:b/>
          <w:bCs/>
          <w:spacing w:val="80"/>
          <w:sz w:val="20"/>
          <w:szCs w:val="20"/>
        </w:rPr>
        <w:t xml:space="preserve"> </w:t>
      </w:r>
      <w:r w:rsidRPr="00531B12">
        <w:rPr>
          <w:rFonts w:ascii="Abadi" w:hAnsi="Abadi"/>
          <w:b/>
          <w:bCs/>
          <w:sz w:val="20"/>
          <w:szCs w:val="20"/>
        </w:rPr>
        <w:t>DEL</w:t>
      </w:r>
      <w:r w:rsidRPr="00531B12">
        <w:rPr>
          <w:rFonts w:ascii="Abadi" w:hAnsi="Abadi"/>
          <w:b/>
          <w:bCs/>
          <w:spacing w:val="80"/>
          <w:sz w:val="20"/>
          <w:szCs w:val="20"/>
        </w:rPr>
        <w:t xml:space="preserve"> </w:t>
      </w:r>
      <w:r w:rsidRPr="00531B12">
        <w:rPr>
          <w:rFonts w:ascii="Abadi" w:hAnsi="Abadi"/>
          <w:b/>
          <w:bCs/>
          <w:sz w:val="20"/>
          <w:szCs w:val="20"/>
        </w:rPr>
        <w:t>DICTAMEN</w:t>
      </w:r>
      <w:r w:rsidRPr="00531B12">
        <w:rPr>
          <w:rFonts w:ascii="Abadi" w:hAnsi="Abadi"/>
          <w:b/>
          <w:bCs/>
          <w:spacing w:val="80"/>
          <w:sz w:val="20"/>
          <w:szCs w:val="20"/>
        </w:rPr>
        <w:t xml:space="preserve"> </w:t>
      </w:r>
      <w:r w:rsidRPr="00531B12">
        <w:rPr>
          <w:rFonts w:ascii="Abadi" w:hAnsi="Abadi"/>
          <w:b/>
          <w:bCs/>
          <w:sz w:val="20"/>
          <w:szCs w:val="20"/>
        </w:rPr>
        <w:t>PRESENTADO</w:t>
      </w:r>
      <w:r w:rsidRPr="00531B12">
        <w:rPr>
          <w:rFonts w:ascii="Abadi" w:hAnsi="Abadi"/>
          <w:b/>
          <w:bCs/>
          <w:spacing w:val="80"/>
          <w:sz w:val="20"/>
          <w:szCs w:val="20"/>
        </w:rPr>
        <w:t xml:space="preserve"> </w:t>
      </w:r>
      <w:r w:rsidRPr="00531B12">
        <w:rPr>
          <w:rFonts w:ascii="Abadi" w:hAnsi="Abadi"/>
          <w:b/>
          <w:bCs/>
          <w:sz w:val="20"/>
          <w:szCs w:val="20"/>
        </w:rPr>
        <w:t>POR</w:t>
      </w:r>
      <w:r w:rsidRPr="00531B12">
        <w:rPr>
          <w:rFonts w:ascii="Abadi" w:hAnsi="Abadi"/>
          <w:b/>
          <w:bCs/>
          <w:spacing w:val="80"/>
          <w:sz w:val="20"/>
          <w:szCs w:val="20"/>
        </w:rPr>
        <w:t xml:space="preserve"> </w:t>
      </w:r>
      <w:r w:rsidRPr="00531B12">
        <w:rPr>
          <w:rFonts w:ascii="Abadi" w:hAnsi="Abadi"/>
          <w:b/>
          <w:bCs/>
          <w:sz w:val="20"/>
          <w:szCs w:val="20"/>
        </w:rPr>
        <w:t>LA COMISIÓN</w:t>
      </w:r>
      <w:r w:rsidRPr="00531B12">
        <w:rPr>
          <w:rFonts w:ascii="Abadi" w:hAnsi="Abadi"/>
          <w:b/>
          <w:bCs/>
          <w:spacing w:val="16"/>
          <w:sz w:val="20"/>
          <w:szCs w:val="20"/>
        </w:rPr>
        <w:t xml:space="preserve"> </w:t>
      </w:r>
      <w:r w:rsidRPr="00531B12">
        <w:rPr>
          <w:rFonts w:ascii="Abadi" w:hAnsi="Abadi"/>
          <w:b/>
          <w:bCs/>
          <w:sz w:val="20"/>
          <w:szCs w:val="20"/>
        </w:rPr>
        <w:t>DE</w:t>
      </w:r>
      <w:r w:rsidRPr="00531B12">
        <w:rPr>
          <w:rFonts w:ascii="Abadi" w:hAnsi="Abadi"/>
          <w:b/>
          <w:bCs/>
          <w:spacing w:val="15"/>
          <w:sz w:val="20"/>
          <w:szCs w:val="20"/>
        </w:rPr>
        <w:t xml:space="preserve"> </w:t>
      </w:r>
      <w:r w:rsidRPr="00531B12">
        <w:rPr>
          <w:rFonts w:ascii="Abadi" w:hAnsi="Abadi"/>
          <w:b/>
          <w:bCs/>
          <w:sz w:val="20"/>
          <w:szCs w:val="20"/>
        </w:rPr>
        <w:t>GOBERNACIÓN</w:t>
      </w:r>
      <w:r w:rsidRPr="00531B12">
        <w:rPr>
          <w:rFonts w:ascii="Abadi" w:hAnsi="Abadi"/>
          <w:b/>
          <w:bCs/>
          <w:spacing w:val="15"/>
          <w:sz w:val="20"/>
          <w:szCs w:val="20"/>
        </w:rPr>
        <w:t xml:space="preserve"> </w:t>
      </w:r>
      <w:r w:rsidRPr="00531B12">
        <w:rPr>
          <w:rFonts w:ascii="Abadi" w:hAnsi="Abadi"/>
          <w:b/>
          <w:bCs/>
          <w:sz w:val="20"/>
          <w:szCs w:val="20"/>
        </w:rPr>
        <w:t>Y</w:t>
      </w:r>
      <w:r w:rsidRPr="00531B12">
        <w:rPr>
          <w:rFonts w:ascii="Abadi" w:hAnsi="Abadi"/>
          <w:b/>
          <w:bCs/>
          <w:spacing w:val="15"/>
          <w:sz w:val="20"/>
          <w:szCs w:val="20"/>
        </w:rPr>
        <w:t xml:space="preserve"> </w:t>
      </w:r>
      <w:r w:rsidRPr="00531B12">
        <w:rPr>
          <w:rFonts w:ascii="Abadi" w:hAnsi="Abadi"/>
          <w:b/>
          <w:bCs/>
          <w:sz w:val="20"/>
          <w:szCs w:val="20"/>
        </w:rPr>
        <w:t>PUNTOS</w:t>
      </w:r>
      <w:r w:rsidRPr="00531B12">
        <w:rPr>
          <w:rFonts w:ascii="Abadi" w:hAnsi="Abadi"/>
          <w:b/>
          <w:bCs/>
          <w:spacing w:val="15"/>
          <w:sz w:val="20"/>
          <w:szCs w:val="20"/>
        </w:rPr>
        <w:t xml:space="preserve"> </w:t>
      </w:r>
      <w:r w:rsidRPr="00531B12">
        <w:rPr>
          <w:rFonts w:ascii="Abadi" w:hAnsi="Abadi"/>
          <w:b/>
          <w:bCs/>
          <w:sz w:val="20"/>
          <w:szCs w:val="20"/>
        </w:rPr>
        <w:t>CONSTITUCIONALES</w:t>
      </w:r>
      <w:r w:rsidRPr="00531B12">
        <w:rPr>
          <w:rFonts w:ascii="Abadi" w:hAnsi="Abadi"/>
          <w:b/>
          <w:bCs/>
          <w:spacing w:val="14"/>
          <w:sz w:val="20"/>
          <w:szCs w:val="20"/>
        </w:rPr>
        <w:t xml:space="preserve"> </w:t>
      </w:r>
      <w:r w:rsidRPr="00531B12">
        <w:rPr>
          <w:rFonts w:ascii="Abadi" w:hAnsi="Abadi"/>
          <w:b/>
          <w:bCs/>
          <w:sz w:val="20"/>
          <w:szCs w:val="20"/>
        </w:rPr>
        <w:t>RELATIVO</w:t>
      </w:r>
      <w:r w:rsidRPr="00531B12">
        <w:rPr>
          <w:rFonts w:ascii="Abadi" w:hAnsi="Abadi"/>
          <w:b/>
          <w:bCs/>
          <w:spacing w:val="15"/>
          <w:sz w:val="20"/>
          <w:szCs w:val="20"/>
        </w:rPr>
        <w:t xml:space="preserve"> </w:t>
      </w:r>
      <w:r w:rsidRPr="00531B12">
        <w:rPr>
          <w:rFonts w:ascii="Abadi" w:hAnsi="Abadi"/>
          <w:b/>
          <w:bCs/>
          <w:sz w:val="20"/>
          <w:szCs w:val="20"/>
        </w:rPr>
        <w:t>A</w:t>
      </w:r>
      <w:r w:rsidRPr="00531B12">
        <w:rPr>
          <w:rFonts w:ascii="Abadi" w:hAnsi="Abadi"/>
          <w:b/>
          <w:bCs/>
          <w:spacing w:val="15"/>
          <w:sz w:val="20"/>
          <w:szCs w:val="20"/>
        </w:rPr>
        <w:t xml:space="preserve"> </w:t>
      </w:r>
      <w:r w:rsidRPr="00531B12">
        <w:rPr>
          <w:rFonts w:ascii="Abadi" w:hAnsi="Abadi"/>
          <w:b/>
          <w:bCs/>
          <w:sz w:val="20"/>
          <w:szCs w:val="20"/>
        </w:rPr>
        <w:t>LA</w:t>
      </w:r>
      <w:r w:rsidRPr="00531B12">
        <w:rPr>
          <w:rFonts w:ascii="Abadi" w:hAnsi="Abadi"/>
          <w:b/>
          <w:bCs/>
          <w:spacing w:val="15"/>
          <w:sz w:val="20"/>
          <w:szCs w:val="20"/>
        </w:rPr>
        <w:t xml:space="preserve"> </w:t>
      </w:r>
      <w:r w:rsidRPr="00531B12">
        <w:rPr>
          <w:rFonts w:ascii="Abadi" w:hAnsi="Abadi"/>
          <w:b/>
          <w:bCs/>
          <w:sz w:val="20"/>
          <w:szCs w:val="20"/>
        </w:rPr>
        <w:t>INICIATIVA A</w:t>
      </w:r>
      <w:r w:rsidRPr="00531B12">
        <w:rPr>
          <w:rFonts w:ascii="Abadi" w:hAnsi="Abadi"/>
          <w:b/>
          <w:bCs/>
          <w:spacing w:val="-3"/>
          <w:sz w:val="20"/>
          <w:szCs w:val="20"/>
        </w:rPr>
        <w:t xml:space="preserve"> </w:t>
      </w:r>
      <w:r w:rsidRPr="00531B12">
        <w:rPr>
          <w:rFonts w:ascii="Abadi" w:hAnsi="Abadi"/>
          <w:b/>
          <w:bCs/>
          <w:sz w:val="20"/>
          <w:szCs w:val="20"/>
        </w:rPr>
        <w:t>EFECTO</w:t>
      </w:r>
      <w:r w:rsidRPr="00531B12">
        <w:rPr>
          <w:rFonts w:ascii="Abadi" w:hAnsi="Abadi"/>
          <w:b/>
          <w:bCs/>
          <w:spacing w:val="-3"/>
          <w:sz w:val="20"/>
          <w:szCs w:val="20"/>
        </w:rPr>
        <w:t xml:space="preserve"> </w:t>
      </w:r>
      <w:r w:rsidRPr="00531B12">
        <w:rPr>
          <w:rFonts w:ascii="Abadi" w:hAnsi="Abadi"/>
          <w:b/>
          <w:bCs/>
          <w:sz w:val="20"/>
          <w:szCs w:val="20"/>
        </w:rPr>
        <w:t>DE</w:t>
      </w:r>
      <w:r w:rsidRPr="00531B12">
        <w:rPr>
          <w:rFonts w:ascii="Abadi" w:hAnsi="Abadi"/>
          <w:b/>
          <w:bCs/>
          <w:spacing w:val="-3"/>
          <w:sz w:val="20"/>
          <w:szCs w:val="20"/>
        </w:rPr>
        <w:t xml:space="preserve"> </w:t>
      </w:r>
      <w:r w:rsidRPr="00531B12">
        <w:rPr>
          <w:rFonts w:ascii="Abadi" w:hAnsi="Abadi"/>
          <w:b/>
          <w:bCs/>
          <w:sz w:val="20"/>
          <w:szCs w:val="20"/>
        </w:rPr>
        <w:t>REFORMAR</w:t>
      </w:r>
      <w:r w:rsidRPr="00531B12">
        <w:rPr>
          <w:rFonts w:ascii="Abadi" w:hAnsi="Abadi"/>
          <w:b/>
          <w:bCs/>
          <w:spacing w:val="-3"/>
          <w:sz w:val="20"/>
          <w:szCs w:val="20"/>
        </w:rPr>
        <w:t xml:space="preserve"> </w:t>
      </w:r>
      <w:r w:rsidRPr="00531B12">
        <w:rPr>
          <w:rFonts w:ascii="Abadi" w:hAnsi="Abadi"/>
          <w:b/>
          <w:bCs/>
          <w:sz w:val="20"/>
          <w:szCs w:val="20"/>
        </w:rPr>
        <w:t>EL</w:t>
      </w:r>
      <w:r w:rsidRPr="00531B12">
        <w:rPr>
          <w:rFonts w:ascii="Abadi" w:hAnsi="Abadi"/>
          <w:b/>
          <w:bCs/>
          <w:spacing w:val="-3"/>
          <w:sz w:val="20"/>
          <w:szCs w:val="20"/>
        </w:rPr>
        <w:t xml:space="preserve"> </w:t>
      </w:r>
      <w:r w:rsidRPr="00531B12">
        <w:rPr>
          <w:rFonts w:ascii="Abadi" w:hAnsi="Abadi"/>
          <w:b/>
          <w:bCs/>
          <w:sz w:val="20"/>
          <w:szCs w:val="20"/>
        </w:rPr>
        <w:t>ARTÍCULO</w:t>
      </w:r>
      <w:r w:rsidRPr="00531B12">
        <w:rPr>
          <w:rFonts w:ascii="Abadi" w:hAnsi="Abadi"/>
          <w:b/>
          <w:bCs/>
          <w:spacing w:val="-2"/>
          <w:sz w:val="20"/>
          <w:szCs w:val="20"/>
        </w:rPr>
        <w:t xml:space="preserve"> </w:t>
      </w:r>
      <w:r w:rsidRPr="00531B12">
        <w:rPr>
          <w:rFonts w:ascii="Abadi" w:hAnsi="Abadi"/>
          <w:b/>
          <w:bCs/>
          <w:sz w:val="20"/>
          <w:szCs w:val="20"/>
        </w:rPr>
        <w:t>95</w:t>
      </w:r>
      <w:r w:rsidRPr="00531B12">
        <w:rPr>
          <w:rFonts w:ascii="Abadi" w:hAnsi="Abadi"/>
          <w:b/>
          <w:bCs/>
          <w:spacing w:val="-3"/>
          <w:sz w:val="20"/>
          <w:szCs w:val="20"/>
        </w:rPr>
        <w:t xml:space="preserve"> </w:t>
      </w:r>
      <w:r w:rsidRPr="00531B12">
        <w:rPr>
          <w:rFonts w:ascii="Abadi" w:hAnsi="Abadi"/>
          <w:b/>
          <w:bCs/>
          <w:sz w:val="20"/>
          <w:szCs w:val="20"/>
        </w:rPr>
        <w:t>DE</w:t>
      </w:r>
      <w:r w:rsidRPr="00531B12">
        <w:rPr>
          <w:rFonts w:ascii="Abadi" w:hAnsi="Abadi"/>
          <w:b/>
          <w:bCs/>
          <w:spacing w:val="-3"/>
          <w:sz w:val="20"/>
          <w:szCs w:val="20"/>
        </w:rPr>
        <w:t xml:space="preserve"> </w:t>
      </w:r>
      <w:r w:rsidRPr="00531B12">
        <w:rPr>
          <w:rFonts w:ascii="Abadi" w:hAnsi="Abadi"/>
          <w:b/>
          <w:bCs/>
          <w:sz w:val="20"/>
          <w:szCs w:val="20"/>
        </w:rPr>
        <w:t>LA</w:t>
      </w:r>
      <w:r w:rsidRPr="00531B12">
        <w:rPr>
          <w:rFonts w:ascii="Abadi" w:hAnsi="Abadi"/>
          <w:b/>
          <w:bCs/>
          <w:spacing w:val="-3"/>
          <w:sz w:val="20"/>
          <w:szCs w:val="20"/>
        </w:rPr>
        <w:t xml:space="preserve"> </w:t>
      </w:r>
      <w:r w:rsidRPr="00531B12">
        <w:rPr>
          <w:rFonts w:ascii="Abadi" w:hAnsi="Abadi"/>
          <w:b/>
          <w:bCs/>
          <w:sz w:val="20"/>
          <w:szCs w:val="20"/>
        </w:rPr>
        <w:t>CONSTITUCIÓN</w:t>
      </w:r>
      <w:r w:rsidRPr="00531B12">
        <w:rPr>
          <w:rFonts w:ascii="Abadi" w:hAnsi="Abadi"/>
          <w:b/>
          <w:bCs/>
          <w:spacing w:val="-3"/>
          <w:sz w:val="20"/>
          <w:szCs w:val="20"/>
        </w:rPr>
        <w:t xml:space="preserve"> </w:t>
      </w:r>
      <w:r w:rsidRPr="00531B12">
        <w:rPr>
          <w:rFonts w:ascii="Abadi" w:hAnsi="Abadi"/>
          <w:b/>
          <w:bCs/>
          <w:sz w:val="20"/>
          <w:szCs w:val="20"/>
        </w:rPr>
        <w:t>POLÍTICA</w:t>
      </w:r>
      <w:r w:rsidRPr="00531B12">
        <w:rPr>
          <w:rFonts w:ascii="Abadi" w:hAnsi="Abadi"/>
          <w:b/>
          <w:bCs/>
          <w:spacing w:val="-3"/>
          <w:sz w:val="20"/>
          <w:szCs w:val="20"/>
        </w:rPr>
        <w:t xml:space="preserve"> </w:t>
      </w:r>
      <w:r w:rsidRPr="00531B12">
        <w:rPr>
          <w:rFonts w:ascii="Abadi" w:hAnsi="Abadi"/>
          <w:b/>
          <w:bCs/>
          <w:sz w:val="20"/>
          <w:szCs w:val="20"/>
        </w:rPr>
        <w:t>PARA</w:t>
      </w:r>
      <w:r w:rsidRPr="00531B12">
        <w:rPr>
          <w:rFonts w:ascii="Abadi" w:hAnsi="Abadi"/>
          <w:b/>
          <w:bCs/>
          <w:spacing w:val="-3"/>
          <w:sz w:val="20"/>
          <w:szCs w:val="20"/>
        </w:rPr>
        <w:t xml:space="preserve"> </w:t>
      </w:r>
      <w:r w:rsidRPr="00531B12">
        <w:rPr>
          <w:rFonts w:ascii="Abadi" w:hAnsi="Abadi"/>
          <w:b/>
          <w:bCs/>
          <w:sz w:val="20"/>
          <w:szCs w:val="20"/>
        </w:rPr>
        <w:t>EL</w:t>
      </w:r>
      <w:r w:rsidRPr="00531B12">
        <w:rPr>
          <w:rFonts w:ascii="Abadi" w:hAnsi="Abadi"/>
          <w:b/>
          <w:bCs/>
          <w:spacing w:val="-3"/>
          <w:sz w:val="20"/>
          <w:szCs w:val="20"/>
        </w:rPr>
        <w:t xml:space="preserve"> </w:t>
      </w:r>
      <w:r w:rsidRPr="00531B12">
        <w:rPr>
          <w:rFonts w:ascii="Abadi" w:hAnsi="Abadi"/>
          <w:b/>
          <w:bCs/>
          <w:sz w:val="20"/>
          <w:szCs w:val="20"/>
        </w:rPr>
        <w:t>ESTADO DE</w:t>
      </w:r>
      <w:r w:rsidRPr="00531B12">
        <w:rPr>
          <w:rFonts w:ascii="Abadi" w:hAnsi="Abadi"/>
          <w:b/>
          <w:bCs/>
          <w:spacing w:val="22"/>
          <w:sz w:val="20"/>
          <w:szCs w:val="20"/>
        </w:rPr>
        <w:t xml:space="preserve"> </w:t>
      </w:r>
      <w:r w:rsidRPr="00531B12">
        <w:rPr>
          <w:rFonts w:ascii="Abadi" w:hAnsi="Abadi"/>
          <w:b/>
          <w:bCs/>
          <w:sz w:val="20"/>
          <w:szCs w:val="20"/>
        </w:rPr>
        <w:t>GUANAJUATO,</w:t>
      </w:r>
      <w:r w:rsidRPr="00531B12">
        <w:rPr>
          <w:rFonts w:ascii="Abadi" w:hAnsi="Abadi"/>
          <w:b/>
          <w:bCs/>
          <w:spacing w:val="22"/>
          <w:sz w:val="20"/>
          <w:szCs w:val="20"/>
        </w:rPr>
        <w:t xml:space="preserve"> </w:t>
      </w:r>
      <w:r w:rsidRPr="00531B12">
        <w:rPr>
          <w:rFonts w:ascii="Abadi" w:hAnsi="Abadi"/>
          <w:b/>
          <w:bCs/>
          <w:sz w:val="20"/>
          <w:szCs w:val="20"/>
        </w:rPr>
        <w:t>SUSCRITA</w:t>
      </w:r>
      <w:r w:rsidRPr="00531B12">
        <w:rPr>
          <w:rFonts w:ascii="Abadi" w:hAnsi="Abadi"/>
          <w:b/>
          <w:bCs/>
          <w:spacing w:val="22"/>
          <w:sz w:val="20"/>
          <w:szCs w:val="20"/>
        </w:rPr>
        <w:t xml:space="preserve"> </w:t>
      </w:r>
      <w:r w:rsidRPr="00531B12">
        <w:rPr>
          <w:rFonts w:ascii="Abadi" w:hAnsi="Abadi"/>
          <w:b/>
          <w:bCs/>
          <w:sz w:val="20"/>
          <w:szCs w:val="20"/>
        </w:rPr>
        <w:t>POR</w:t>
      </w:r>
      <w:r w:rsidRPr="00531B12">
        <w:rPr>
          <w:rFonts w:ascii="Abadi" w:hAnsi="Abadi"/>
          <w:b/>
          <w:bCs/>
          <w:spacing w:val="22"/>
          <w:sz w:val="20"/>
          <w:szCs w:val="20"/>
        </w:rPr>
        <w:t xml:space="preserve"> </w:t>
      </w:r>
      <w:r w:rsidRPr="00531B12">
        <w:rPr>
          <w:rFonts w:ascii="Abadi" w:hAnsi="Abadi"/>
          <w:b/>
          <w:bCs/>
          <w:sz w:val="20"/>
          <w:szCs w:val="20"/>
        </w:rPr>
        <w:t>EL</w:t>
      </w:r>
      <w:r w:rsidRPr="00531B12">
        <w:rPr>
          <w:rFonts w:ascii="Abadi" w:hAnsi="Abadi"/>
          <w:b/>
          <w:bCs/>
          <w:spacing w:val="22"/>
          <w:sz w:val="20"/>
          <w:szCs w:val="20"/>
        </w:rPr>
        <w:t xml:space="preserve"> </w:t>
      </w:r>
      <w:r w:rsidRPr="00531B12">
        <w:rPr>
          <w:rFonts w:ascii="Abadi" w:hAnsi="Abadi"/>
          <w:b/>
          <w:bCs/>
          <w:sz w:val="20"/>
          <w:szCs w:val="20"/>
        </w:rPr>
        <w:t>DIPUTADO</w:t>
      </w:r>
      <w:r w:rsidRPr="00531B12">
        <w:rPr>
          <w:rFonts w:ascii="Abadi" w:hAnsi="Abadi"/>
          <w:b/>
          <w:bCs/>
          <w:spacing w:val="22"/>
          <w:sz w:val="20"/>
          <w:szCs w:val="20"/>
        </w:rPr>
        <w:t xml:space="preserve"> </w:t>
      </w:r>
      <w:r w:rsidRPr="00531B12">
        <w:rPr>
          <w:rFonts w:ascii="Abadi" w:hAnsi="Abadi"/>
          <w:b/>
          <w:bCs/>
          <w:sz w:val="20"/>
          <w:szCs w:val="20"/>
        </w:rPr>
        <w:t>ERNESTO</w:t>
      </w:r>
      <w:r w:rsidRPr="00531B12">
        <w:rPr>
          <w:rFonts w:ascii="Abadi" w:hAnsi="Abadi"/>
          <w:b/>
          <w:bCs/>
          <w:spacing w:val="22"/>
          <w:sz w:val="20"/>
          <w:szCs w:val="20"/>
        </w:rPr>
        <w:t xml:space="preserve"> </w:t>
      </w:r>
      <w:r w:rsidRPr="00531B12">
        <w:rPr>
          <w:rFonts w:ascii="Abadi" w:hAnsi="Abadi"/>
          <w:b/>
          <w:bCs/>
          <w:sz w:val="20"/>
          <w:szCs w:val="20"/>
        </w:rPr>
        <w:t>ALEJANDRO</w:t>
      </w:r>
      <w:r w:rsidRPr="00531B12">
        <w:rPr>
          <w:rFonts w:ascii="Abadi" w:hAnsi="Abadi"/>
          <w:b/>
          <w:bCs/>
          <w:spacing w:val="22"/>
          <w:sz w:val="20"/>
          <w:szCs w:val="20"/>
        </w:rPr>
        <w:t xml:space="preserve"> </w:t>
      </w:r>
      <w:r w:rsidRPr="00531B12">
        <w:rPr>
          <w:rFonts w:ascii="Abadi" w:hAnsi="Abadi"/>
          <w:b/>
          <w:bCs/>
          <w:sz w:val="20"/>
          <w:szCs w:val="20"/>
        </w:rPr>
        <w:t>PRIETO</w:t>
      </w:r>
      <w:r w:rsidRPr="00531B12">
        <w:rPr>
          <w:rFonts w:ascii="Abadi" w:hAnsi="Abadi"/>
          <w:b/>
          <w:bCs/>
          <w:spacing w:val="22"/>
          <w:sz w:val="20"/>
          <w:szCs w:val="20"/>
        </w:rPr>
        <w:t xml:space="preserve"> </w:t>
      </w:r>
      <w:r w:rsidRPr="00531B12">
        <w:rPr>
          <w:rFonts w:ascii="Abadi" w:hAnsi="Abadi"/>
          <w:b/>
          <w:bCs/>
          <w:sz w:val="20"/>
          <w:szCs w:val="20"/>
        </w:rPr>
        <w:t>GALLARDO INTEGRANTE DEL GRUPO PARLAMENTARIO DEL PARTIDO MORENA.</w:t>
      </w:r>
    </w:p>
    <w:p w14:paraId="0BB2404C" w14:textId="3867B14F" w:rsidR="00395D38" w:rsidRDefault="00395D38" w:rsidP="00021537">
      <w:pPr>
        <w:rPr>
          <w:rFonts w:ascii="Abadi" w:hAnsi="Abadi"/>
          <w:b/>
          <w:bCs/>
          <w:sz w:val="20"/>
          <w:szCs w:val="20"/>
        </w:rPr>
      </w:pPr>
    </w:p>
    <w:p w14:paraId="526D0BE7" w14:textId="77777777" w:rsidR="003F0352" w:rsidRDefault="003F0352" w:rsidP="003F0352">
      <w:pPr>
        <w:jc w:val="both"/>
        <w:rPr>
          <w:rFonts w:ascii="Abadi" w:eastAsia="Arial Unicode MS" w:hAnsi="Abadi" w:cs="Arial Unicode MS"/>
          <w:b/>
          <w:sz w:val="21"/>
          <w:szCs w:val="21"/>
          <w:lang w:val="es-MX"/>
        </w:rPr>
      </w:pPr>
    </w:p>
    <w:p w14:paraId="65EC9146" w14:textId="7576321A" w:rsidR="003F0352" w:rsidRPr="003F0352" w:rsidRDefault="003F0352" w:rsidP="003F0352">
      <w:pPr>
        <w:jc w:val="both"/>
        <w:rPr>
          <w:rFonts w:ascii="Abadi" w:eastAsia="Arial Unicode MS" w:hAnsi="Abadi" w:cs="Arial Unicode MS"/>
          <w:b/>
          <w:sz w:val="21"/>
          <w:szCs w:val="21"/>
          <w:lang w:val="es-MX"/>
        </w:rPr>
      </w:pPr>
      <w:r w:rsidRPr="003F0352">
        <w:rPr>
          <w:rFonts w:ascii="Abadi" w:eastAsia="Arial Unicode MS" w:hAnsi="Abadi" w:cs="Arial Unicode MS"/>
          <w:b/>
          <w:sz w:val="21"/>
          <w:szCs w:val="21"/>
          <w:lang w:val="es-MX"/>
        </w:rPr>
        <w:t>DIPUTADA IRMA LETICIA GONZÁLEZ SÁNCHEZ</w:t>
      </w:r>
    </w:p>
    <w:p w14:paraId="3F8E161A" w14:textId="77777777" w:rsidR="003F0352" w:rsidRPr="003F0352" w:rsidRDefault="003F0352" w:rsidP="003F0352">
      <w:pPr>
        <w:jc w:val="both"/>
        <w:rPr>
          <w:rFonts w:ascii="Abadi" w:eastAsia="Arial Unicode MS" w:hAnsi="Abadi" w:cs="Arial Unicode MS"/>
          <w:b/>
          <w:sz w:val="21"/>
          <w:szCs w:val="21"/>
          <w:lang w:val="es-MX"/>
        </w:rPr>
      </w:pPr>
      <w:r w:rsidRPr="003F0352">
        <w:rPr>
          <w:rFonts w:ascii="Abadi" w:eastAsia="Arial Unicode MS" w:hAnsi="Abadi" w:cs="Arial Unicode MS"/>
          <w:b/>
          <w:sz w:val="21"/>
          <w:szCs w:val="21"/>
          <w:lang w:val="es-MX"/>
        </w:rPr>
        <w:t>PRESIDENTA DEL CONGRESO DEL ESTADO</w:t>
      </w:r>
    </w:p>
    <w:p w14:paraId="48F2BDF5" w14:textId="77777777" w:rsidR="003F0352" w:rsidRPr="003F0352" w:rsidRDefault="003F0352" w:rsidP="003F0352">
      <w:pPr>
        <w:jc w:val="both"/>
        <w:rPr>
          <w:rFonts w:ascii="Abadi" w:eastAsia="Arial Unicode MS" w:hAnsi="Abadi" w:cs="Arial Unicode MS"/>
          <w:b/>
          <w:sz w:val="21"/>
          <w:szCs w:val="21"/>
          <w:lang w:val="es-MX"/>
        </w:rPr>
      </w:pPr>
      <w:r w:rsidRPr="003F0352">
        <w:rPr>
          <w:rFonts w:ascii="Abadi" w:eastAsia="Arial Unicode MS" w:hAnsi="Abadi" w:cs="Arial Unicode MS"/>
          <w:b/>
          <w:sz w:val="21"/>
          <w:szCs w:val="21"/>
          <w:lang w:val="es-MX"/>
        </w:rPr>
        <w:t>P R E S E N T E .</w:t>
      </w:r>
    </w:p>
    <w:p w14:paraId="236E4A08" w14:textId="77777777" w:rsidR="003F0352" w:rsidRPr="003F0352" w:rsidRDefault="003F0352" w:rsidP="003F0352">
      <w:pPr>
        <w:ind w:firstLine="708"/>
        <w:jc w:val="both"/>
        <w:rPr>
          <w:rFonts w:ascii="Abadi" w:eastAsia="Arial Unicode MS" w:hAnsi="Abadi" w:cs="Arial Unicode MS"/>
          <w:sz w:val="21"/>
          <w:szCs w:val="21"/>
          <w:lang w:val="es-MX"/>
        </w:rPr>
      </w:pPr>
    </w:p>
    <w:p w14:paraId="591AC934" w14:textId="77777777" w:rsidR="003F0352" w:rsidRPr="003F0352" w:rsidRDefault="003F0352" w:rsidP="003F0352">
      <w:pPr>
        <w:spacing w:line="360" w:lineRule="auto"/>
        <w:ind w:firstLine="708"/>
        <w:jc w:val="both"/>
        <w:rPr>
          <w:rFonts w:ascii="Abadi" w:eastAsia="Arial Unicode MS" w:hAnsi="Abadi" w:cs="Arial Unicode MS"/>
          <w:sz w:val="21"/>
          <w:szCs w:val="21"/>
          <w:lang w:val="es-MX"/>
        </w:rPr>
      </w:pPr>
    </w:p>
    <w:p w14:paraId="73A5C7D9" w14:textId="77777777" w:rsidR="003F0352" w:rsidRPr="003F0352" w:rsidRDefault="003F0352" w:rsidP="003F0352">
      <w:pPr>
        <w:spacing w:line="360" w:lineRule="auto"/>
        <w:ind w:firstLine="708"/>
        <w:jc w:val="both"/>
        <w:rPr>
          <w:rFonts w:ascii="Abadi" w:eastAsia="Arial Unicode MS" w:hAnsi="Abadi" w:cs="Arial Unicode MS"/>
          <w:sz w:val="21"/>
          <w:szCs w:val="21"/>
          <w:lang w:val="es-MX"/>
        </w:rPr>
      </w:pPr>
      <w:r w:rsidRPr="003F0352">
        <w:rPr>
          <w:rFonts w:ascii="Abadi" w:eastAsia="Arial Unicode MS" w:hAnsi="Abadi" w:cs="Arial Unicode MS"/>
          <w:sz w:val="21"/>
          <w:szCs w:val="21"/>
          <w:lang w:val="es-MX"/>
        </w:rPr>
        <w:t>La Comisión de Gobernación y Puntos Constitucionales recibimos para efectos de estudio y dictamen la iniciativa a efecto de reformar el artículo 95 de la Constitución Política para el Estado de Guanajuato, suscrita por el diputado Ernesto Alejandro Prieto Gallardo integrante del Grupo Parlamentario del Partido MORENA.</w:t>
      </w:r>
    </w:p>
    <w:p w14:paraId="39F0C89E" w14:textId="77777777" w:rsidR="003F0352" w:rsidRPr="003F0352" w:rsidRDefault="003F0352" w:rsidP="003F0352">
      <w:pPr>
        <w:spacing w:line="360" w:lineRule="auto"/>
        <w:ind w:firstLine="708"/>
        <w:jc w:val="both"/>
        <w:rPr>
          <w:rFonts w:ascii="Abadi" w:eastAsia="Arial Unicode MS" w:hAnsi="Abadi" w:cs="Arial Unicode MS"/>
          <w:sz w:val="21"/>
          <w:szCs w:val="21"/>
          <w:lang w:val="es-MX"/>
        </w:rPr>
      </w:pPr>
    </w:p>
    <w:p w14:paraId="654D27BE" w14:textId="77777777" w:rsidR="003F0352" w:rsidRPr="003F0352" w:rsidRDefault="003F0352" w:rsidP="003F0352">
      <w:pPr>
        <w:spacing w:line="360" w:lineRule="auto"/>
        <w:ind w:firstLine="708"/>
        <w:jc w:val="both"/>
        <w:rPr>
          <w:rFonts w:ascii="Abadi" w:eastAsia="Arial Unicode MS" w:hAnsi="Abadi" w:cs="Arial Unicode MS"/>
          <w:sz w:val="21"/>
          <w:szCs w:val="21"/>
          <w:lang w:val="es-MX"/>
        </w:rPr>
      </w:pPr>
      <w:r w:rsidRPr="003F0352">
        <w:rPr>
          <w:rFonts w:ascii="Abadi" w:eastAsia="Arial Unicode MS" w:hAnsi="Abadi" w:cs="Arial Unicode MS"/>
          <w:sz w:val="21"/>
          <w:szCs w:val="21"/>
          <w:lang w:val="es-MX"/>
        </w:rPr>
        <w:t xml:space="preserve">Analizada la iniciativa, esta Comisión Legislativa de conformidad con las atribuciones que le confieren los artículos 111 fracción I y 171 de </w:t>
      </w:r>
      <w:smartTag w:uri="urn:schemas-microsoft-com:office:smarttags" w:element="PersonName">
        <w:smartTagPr>
          <w:attr w:name="ProductID" w:val="la Ley Org￡nica"/>
        </w:smartTagPr>
        <w:r w:rsidRPr="003F0352">
          <w:rPr>
            <w:rFonts w:ascii="Abadi" w:eastAsia="Arial Unicode MS" w:hAnsi="Abadi" w:cs="Arial Unicode MS"/>
            <w:sz w:val="21"/>
            <w:szCs w:val="21"/>
            <w:lang w:val="es-MX"/>
          </w:rPr>
          <w:t>la Ley Orgánica</w:t>
        </w:r>
      </w:smartTag>
      <w:r w:rsidRPr="003F0352">
        <w:rPr>
          <w:rFonts w:ascii="Abadi" w:eastAsia="Arial Unicode MS" w:hAnsi="Abadi" w:cs="Arial Unicode MS"/>
          <w:sz w:val="21"/>
          <w:szCs w:val="21"/>
          <w:lang w:val="es-MX"/>
        </w:rPr>
        <w:t xml:space="preserve"> del Poder Legislativo del Estado de Guanajuato, formula a </w:t>
      </w:r>
      <w:smartTag w:uri="urn:schemas-microsoft-com:office:smarttags" w:element="PersonName">
        <w:smartTagPr>
          <w:attr w:name="ProductID" w:val="la Asamblea"/>
        </w:smartTagPr>
        <w:r w:rsidRPr="003F0352">
          <w:rPr>
            <w:rFonts w:ascii="Abadi" w:eastAsia="Arial Unicode MS" w:hAnsi="Abadi" w:cs="Arial Unicode MS"/>
            <w:sz w:val="21"/>
            <w:szCs w:val="21"/>
            <w:lang w:val="es-MX"/>
          </w:rPr>
          <w:t>la Asamblea</w:t>
        </w:r>
      </w:smartTag>
      <w:r w:rsidRPr="003F0352">
        <w:rPr>
          <w:rFonts w:ascii="Abadi" w:eastAsia="Arial Unicode MS" w:hAnsi="Abadi" w:cs="Arial Unicode MS"/>
          <w:sz w:val="21"/>
          <w:szCs w:val="21"/>
          <w:lang w:val="es-MX"/>
        </w:rPr>
        <w:t xml:space="preserve"> el siguiente:</w:t>
      </w:r>
    </w:p>
    <w:p w14:paraId="5BFA95C3" w14:textId="77777777" w:rsidR="003F0352" w:rsidRPr="003F0352" w:rsidRDefault="003F0352" w:rsidP="003F0352">
      <w:pPr>
        <w:ind w:firstLine="708"/>
        <w:jc w:val="both"/>
        <w:rPr>
          <w:rFonts w:ascii="Abadi" w:eastAsia="Arial Unicode MS" w:hAnsi="Abadi" w:cs="Arial Unicode MS"/>
          <w:sz w:val="21"/>
          <w:szCs w:val="21"/>
          <w:lang w:val="es-MX"/>
        </w:rPr>
      </w:pPr>
    </w:p>
    <w:p w14:paraId="37504FB4" w14:textId="77777777" w:rsidR="003F0352" w:rsidRPr="003F0352" w:rsidRDefault="003F0352" w:rsidP="003F0352">
      <w:pPr>
        <w:jc w:val="center"/>
        <w:rPr>
          <w:rFonts w:ascii="Abadi" w:eastAsia="Arial Unicode MS" w:hAnsi="Abadi" w:cs="Arial Unicode MS"/>
          <w:b/>
          <w:sz w:val="21"/>
          <w:szCs w:val="21"/>
          <w:lang w:val="es-MX"/>
        </w:rPr>
      </w:pPr>
    </w:p>
    <w:p w14:paraId="1F0E7B84" w14:textId="77777777" w:rsidR="003F0352" w:rsidRPr="003F0352" w:rsidRDefault="003F0352" w:rsidP="003F0352">
      <w:pPr>
        <w:jc w:val="center"/>
        <w:rPr>
          <w:rFonts w:ascii="Abadi" w:eastAsia="Arial Unicode MS" w:hAnsi="Abadi" w:cs="Arial Unicode MS"/>
          <w:b/>
          <w:sz w:val="21"/>
          <w:szCs w:val="21"/>
          <w:lang w:val="es-MX"/>
        </w:rPr>
      </w:pPr>
      <w:r w:rsidRPr="003F0352">
        <w:rPr>
          <w:rFonts w:ascii="Abadi" w:eastAsia="Arial Unicode MS" w:hAnsi="Abadi" w:cs="Arial Unicode MS"/>
          <w:b/>
          <w:sz w:val="21"/>
          <w:szCs w:val="21"/>
          <w:lang w:val="es-MX"/>
        </w:rPr>
        <w:t>D I C T A M E N</w:t>
      </w:r>
    </w:p>
    <w:p w14:paraId="09A5499A" w14:textId="77777777" w:rsidR="003F0352" w:rsidRPr="003F0352" w:rsidRDefault="003F0352" w:rsidP="003F0352">
      <w:pPr>
        <w:ind w:firstLine="708"/>
        <w:jc w:val="both"/>
        <w:rPr>
          <w:rFonts w:ascii="Abadi" w:eastAsia="Arial Unicode MS" w:hAnsi="Abadi" w:cs="Arial Unicode MS"/>
          <w:sz w:val="21"/>
          <w:szCs w:val="21"/>
          <w:lang w:val="es-MX"/>
        </w:rPr>
      </w:pPr>
    </w:p>
    <w:p w14:paraId="250559D6" w14:textId="77777777" w:rsidR="003F0352" w:rsidRPr="003F0352" w:rsidRDefault="003F0352" w:rsidP="003F0352">
      <w:pPr>
        <w:jc w:val="center"/>
        <w:rPr>
          <w:rFonts w:ascii="Abadi" w:eastAsia="Arial Unicode MS" w:hAnsi="Abadi" w:cs="Arial Unicode MS"/>
          <w:b/>
          <w:bCs/>
          <w:sz w:val="21"/>
          <w:szCs w:val="21"/>
          <w:lang w:val="es-MX"/>
        </w:rPr>
      </w:pPr>
    </w:p>
    <w:p w14:paraId="595425C1" w14:textId="77777777" w:rsidR="003F0352" w:rsidRPr="003F0352" w:rsidRDefault="003F0352" w:rsidP="003F0352">
      <w:pPr>
        <w:rPr>
          <w:rFonts w:ascii="Abadi" w:eastAsia="Batang" w:hAnsi="Abadi" w:cs="Arial"/>
          <w:b/>
          <w:bCs/>
          <w:sz w:val="21"/>
          <w:szCs w:val="21"/>
          <w:lang w:val="es-MX" w:eastAsia="en-US"/>
        </w:rPr>
      </w:pPr>
      <w:r w:rsidRPr="003F0352">
        <w:rPr>
          <w:rFonts w:ascii="Abadi" w:eastAsia="Batang" w:hAnsi="Abadi" w:cs="Arial"/>
          <w:b/>
          <w:smallCaps/>
          <w:sz w:val="21"/>
          <w:szCs w:val="21"/>
          <w:lang w:val="es-MX" w:eastAsia="en-US"/>
        </w:rPr>
        <w:t>I.</w:t>
      </w:r>
      <w:r w:rsidRPr="003F0352">
        <w:rPr>
          <w:rFonts w:ascii="Abadi" w:eastAsia="Batang" w:hAnsi="Abadi" w:cs="Arial"/>
          <w:b/>
          <w:smallCaps/>
          <w:sz w:val="21"/>
          <w:szCs w:val="21"/>
          <w:lang w:val="es-MX" w:eastAsia="en-US"/>
        </w:rPr>
        <w:tab/>
      </w:r>
      <w:r w:rsidRPr="003F0352">
        <w:rPr>
          <w:rFonts w:ascii="Abadi" w:eastAsia="Batang" w:hAnsi="Abadi" w:cs="Arial"/>
          <w:b/>
          <w:bCs/>
          <w:sz w:val="21"/>
          <w:szCs w:val="21"/>
          <w:lang w:val="es-MX" w:eastAsia="en-US"/>
        </w:rPr>
        <w:t>Del Proceso Legislativo</w:t>
      </w:r>
    </w:p>
    <w:p w14:paraId="0C39541A" w14:textId="77777777" w:rsidR="003F0352" w:rsidRPr="003F0352" w:rsidRDefault="003F0352" w:rsidP="003F0352">
      <w:pPr>
        <w:rPr>
          <w:rFonts w:ascii="Abadi" w:eastAsia="Batang" w:hAnsi="Abadi" w:cs="Arial"/>
          <w:b/>
          <w:bCs/>
          <w:sz w:val="21"/>
          <w:szCs w:val="21"/>
          <w:lang w:val="es-MX" w:eastAsia="en-US"/>
        </w:rPr>
      </w:pPr>
    </w:p>
    <w:p w14:paraId="0E5C2E02" w14:textId="77777777" w:rsidR="003F0352" w:rsidRPr="003F0352" w:rsidRDefault="003F0352" w:rsidP="003F0352">
      <w:pPr>
        <w:spacing w:line="360" w:lineRule="auto"/>
        <w:jc w:val="both"/>
        <w:rPr>
          <w:rFonts w:ascii="Abadi" w:eastAsia="Arial Unicode MS" w:hAnsi="Abadi" w:cs="Arial Unicode MS"/>
          <w:sz w:val="21"/>
          <w:szCs w:val="21"/>
          <w:lang w:val="es-MX"/>
        </w:rPr>
      </w:pPr>
      <w:r w:rsidRPr="003F0352">
        <w:rPr>
          <w:rFonts w:ascii="Abadi" w:eastAsia="Batang" w:hAnsi="Abadi" w:cs="Arial"/>
          <w:b/>
          <w:bCs/>
          <w:sz w:val="21"/>
          <w:szCs w:val="21"/>
          <w:lang w:val="es-MX" w:eastAsia="en-US"/>
        </w:rPr>
        <w:t>I.1.</w:t>
      </w:r>
      <w:r w:rsidRPr="003F0352">
        <w:rPr>
          <w:rFonts w:ascii="Abadi" w:eastAsia="Batang" w:hAnsi="Abadi" w:cs="Arial"/>
          <w:b/>
          <w:bCs/>
          <w:sz w:val="21"/>
          <w:szCs w:val="21"/>
          <w:lang w:val="es-MX" w:eastAsia="en-US"/>
        </w:rPr>
        <w:tab/>
      </w:r>
      <w:r w:rsidRPr="003F0352">
        <w:rPr>
          <w:rFonts w:ascii="Abadi" w:eastAsia="Arial Unicode MS" w:hAnsi="Abadi" w:cs="Arial Unicode MS"/>
          <w:sz w:val="21"/>
          <w:szCs w:val="21"/>
          <w:lang w:val="es-MX"/>
        </w:rPr>
        <w:t xml:space="preserve">En sesión del 28 de octubre de 2021 ingresó la iniciativa </w:t>
      </w:r>
      <w:r w:rsidRPr="003F0352">
        <w:rPr>
          <w:rFonts w:ascii="Abadi" w:eastAsia="Arial Unicode MS" w:hAnsi="Abadi" w:cs="Arial Unicode MS"/>
          <w:sz w:val="21"/>
          <w:szCs w:val="21"/>
          <w:lang w:val="es-MX" w:eastAsia="en-US"/>
        </w:rPr>
        <w:t xml:space="preserve">a efecto de reformar el artículo 95 de la Constitución Política para el Estado de Guanajuato suscrita por el diputado Ernesto Alejandro Prieto Gallardo integrante del Grupo Parlamentario del Partido MORENA, con el expediente 34/LXV-I </w:t>
      </w:r>
      <w:r w:rsidRPr="003F0352">
        <w:rPr>
          <w:rFonts w:ascii="Abadi" w:eastAsia="Arial Unicode MS" w:hAnsi="Abadi" w:cs="Arial Unicode MS"/>
          <w:sz w:val="21"/>
          <w:szCs w:val="21"/>
          <w:lang w:val="es-MX"/>
        </w:rPr>
        <w:t>turnándose en su momento por la presidencia del Congreso a la Comisión de Gobernación y Puntos Constitucionales, con fundamento en lo dispuesto por el artículo 111, fracción I de la Ley Orgánica del Poder Legislativo del Estado de Guanajuato, para su estudio y dictamen.</w:t>
      </w:r>
    </w:p>
    <w:p w14:paraId="015DBDED" w14:textId="77777777" w:rsidR="003F0352" w:rsidRPr="003F0352" w:rsidRDefault="003F0352" w:rsidP="003F0352">
      <w:pPr>
        <w:spacing w:line="360" w:lineRule="auto"/>
        <w:jc w:val="both"/>
        <w:rPr>
          <w:rFonts w:ascii="Abadi" w:eastAsia="Batang" w:hAnsi="Abadi" w:cs="Arial"/>
          <w:sz w:val="21"/>
          <w:szCs w:val="21"/>
          <w:highlight w:val="yellow"/>
          <w:lang w:val="es-MX" w:eastAsia="en-US"/>
        </w:rPr>
      </w:pPr>
    </w:p>
    <w:p w14:paraId="044BCD3F" w14:textId="77777777" w:rsidR="003F0352" w:rsidRPr="003F0352" w:rsidRDefault="003F0352" w:rsidP="003F0352">
      <w:pPr>
        <w:spacing w:line="360" w:lineRule="auto"/>
        <w:jc w:val="both"/>
        <w:rPr>
          <w:rFonts w:ascii="Abadi" w:eastAsia="Batang" w:hAnsi="Abadi" w:cs="Arial"/>
          <w:sz w:val="21"/>
          <w:szCs w:val="21"/>
          <w:lang w:val="es-MX" w:eastAsia="en-US"/>
        </w:rPr>
      </w:pPr>
      <w:r w:rsidRPr="003F0352">
        <w:rPr>
          <w:rFonts w:ascii="Abadi" w:eastAsia="Batang" w:hAnsi="Abadi" w:cs="Arial"/>
          <w:b/>
          <w:sz w:val="21"/>
          <w:szCs w:val="21"/>
          <w:lang w:val="es-MX" w:eastAsia="en-US"/>
        </w:rPr>
        <w:t xml:space="preserve">I.2. </w:t>
      </w:r>
      <w:r w:rsidRPr="003F0352">
        <w:rPr>
          <w:rFonts w:ascii="Abadi" w:eastAsia="Batang" w:hAnsi="Abadi" w:cs="Arial"/>
          <w:sz w:val="21"/>
          <w:szCs w:val="21"/>
          <w:lang w:val="es-MX" w:eastAsia="en-US"/>
        </w:rPr>
        <w:t xml:space="preserve">En reunión de la Comisión de Gobernación y Puntos Constitucionales del 2 de noviembre de 2021 se radicó la iniciativa y fue aprobada la metodología de estudio y dictamen en los siguientes términos: </w:t>
      </w:r>
    </w:p>
    <w:p w14:paraId="6B0D9A70" w14:textId="77777777" w:rsidR="003F0352" w:rsidRPr="003F0352" w:rsidRDefault="003F0352" w:rsidP="003F0352">
      <w:pPr>
        <w:spacing w:line="276" w:lineRule="auto"/>
        <w:jc w:val="both"/>
        <w:rPr>
          <w:rFonts w:ascii="Abadi" w:eastAsia="Batang" w:hAnsi="Abadi" w:cs="Arial"/>
          <w:sz w:val="21"/>
          <w:szCs w:val="21"/>
          <w:lang w:val="es-MX" w:eastAsia="en-US"/>
        </w:rPr>
      </w:pPr>
    </w:p>
    <w:p w14:paraId="03EABB00" w14:textId="77777777" w:rsidR="003F0352" w:rsidRPr="003F0352" w:rsidRDefault="003F0352" w:rsidP="003F0352">
      <w:pPr>
        <w:numPr>
          <w:ilvl w:val="0"/>
          <w:numId w:val="22"/>
        </w:numPr>
        <w:spacing w:after="200" w:line="276" w:lineRule="auto"/>
        <w:ind w:left="709" w:hanging="425"/>
        <w:jc w:val="both"/>
        <w:rPr>
          <w:rFonts w:ascii="Abadi" w:hAnsi="Abadi" w:cs="Arial"/>
          <w:i/>
          <w:iCs/>
          <w:sz w:val="21"/>
          <w:szCs w:val="21"/>
          <w:lang w:val="es-MX" w:eastAsia="en-US"/>
        </w:rPr>
      </w:pPr>
      <w:r w:rsidRPr="003F0352">
        <w:rPr>
          <w:rFonts w:ascii="Abadi" w:hAnsi="Abadi" w:cs="Arial"/>
          <w:i/>
          <w:iCs/>
          <w:sz w:val="21"/>
          <w:szCs w:val="21"/>
          <w:lang w:val="es-MX" w:eastAsia="en-US"/>
        </w:rPr>
        <w:t>Remitir vía electrónica para opinión a los 36 diputados y diputadas que integran la Sexagésima Quinta Legislatura, al Poder Judicial, a la Coordinación General Jurídica de Gobierno del Estado, a las instituciones de educación superior en el estado, quienes contarán con un término de 20 días hábiles, para remitir los comentarios y observaciones que estimen pertinentes.</w:t>
      </w:r>
    </w:p>
    <w:p w14:paraId="5F14B069" w14:textId="77777777" w:rsidR="003F0352" w:rsidRPr="003F0352" w:rsidRDefault="003F0352" w:rsidP="003F0352">
      <w:pPr>
        <w:numPr>
          <w:ilvl w:val="0"/>
          <w:numId w:val="22"/>
        </w:numPr>
        <w:spacing w:after="200" w:line="276" w:lineRule="auto"/>
        <w:ind w:hanging="436"/>
        <w:jc w:val="both"/>
        <w:rPr>
          <w:rFonts w:ascii="Abadi" w:hAnsi="Abadi" w:cs="Arial"/>
          <w:i/>
          <w:iCs/>
          <w:sz w:val="21"/>
          <w:szCs w:val="21"/>
          <w:lang w:val="es-MX" w:eastAsia="en-US"/>
        </w:rPr>
      </w:pPr>
      <w:r w:rsidRPr="003F0352">
        <w:rPr>
          <w:rFonts w:ascii="Abadi" w:hAnsi="Abadi" w:cs="Arial"/>
          <w:i/>
          <w:iCs/>
          <w:sz w:val="21"/>
          <w:szCs w:val="21"/>
          <w:lang w:val="es-MX" w:eastAsia="en-US"/>
        </w:rPr>
        <w:t>Se habilitará un vínculo (link) en la página web del Congreso del Estado, a efecto de que se consulte la iniciativa y se puedan recibir observaciones a la misma.</w:t>
      </w:r>
    </w:p>
    <w:p w14:paraId="37C09BF0" w14:textId="77777777" w:rsidR="003F0352" w:rsidRPr="003F0352" w:rsidRDefault="003F0352" w:rsidP="003F0352">
      <w:pPr>
        <w:numPr>
          <w:ilvl w:val="0"/>
          <w:numId w:val="22"/>
        </w:numPr>
        <w:spacing w:after="200" w:line="276" w:lineRule="auto"/>
        <w:ind w:hanging="436"/>
        <w:jc w:val="both"/>
        <w:rPr>
          <w:rFonts w:ascii="Abadi" w:hAnsi="Abadi" w:cs="Arial"/>
          <w:i/>
          <w:iCs/>
          <w:sz w:val="21"/>
          <w:szCs w:val="21"/>
          <w:lang w:val="es-MX" w:eastAsia="en-US"/>
        </w:rPr>
      </w:pPr>
      <w:r w:rsidRPr="003F0352">
        <w:rPr>
          <w:rFonts w:ascii="Abadi" w:hAnsi="Abadi" w:cs="Arial"/>
          <w:i/>
          <w:iCs/>
          <w:sz w:val="21"/>
          <w:szCs w:val="21"/>
          <w:lang w:val="es-MX" w:eastAsia="en-US"/>
        </w:rPr>
        <w:t>Se remitirá al Instituto de Investigaciones Legislativas del Congreso del Estado para su estudio y opinión.</w:t>
      </w:r>
    </w:p>
    <w:p w14:paraId="732B2053" w14:textId="77777777" w:rsidR="003F0352" w:rsidRPr="003F0352" w:rsidRDefault="003F0352" w:rsidP="003F0352">
      <w:pPr>
        <w:numPr>
          <w:ilvl w:val="0"/>
          <w:numId w:val="22"/>
        </w:numPr>
        <w:spacing w:after="200" w:line="276" w:lineRule="auto"/>
        <w:ind w:hanging="436"/>
        <w:contextualSpacing/>
        <w:jc w:val="both"/>
        <w:rPr>
          <w:rFonts w:ascii="Abadi" w:eastAsia="Calibri" w:hAnsi="Abadi" w:cs="Arial"/>
          <w:i/>
          <w:iCs/>
          <w:sz w:val="21"/>
          <w:szCs w:val="21"/>
          <w:lang w:val="es-MX" w:eastAsia="en-US"/>
        </w:rPr>
      </w:pPr>
      <w:r w:rsidRPr="003F0352">
        <w:rPr>
          <w:rFonts w:ascii="Abadi" w:eastAsia="Calibri" w:hAnsi="Abadi" w:cs="Arial"/>
          <w:i/>
          <w:iCs/>
          <w:sz w:val="21"/>
          <w:szCs w:val="21"/>
          <w:lang w:val="es-MX" w:eastAsia="en-US"/>
        </w:rPr>
        <w:t>Se integrará un documento que consolidará todas las propuestas emitidas en la consulta por escrito o vía electrónica que se hayan remitido previamente a la Comisión para el análisis de la iniciativa. Dicho documento será con formato de comparativo.</w:t>
      </w:r>
    </w:p>
    <w:p w14:paraId="5883FDB2" w14:textId="77777777" w:rsidR="003F0352" w:rsidRPr="003F0352" w:rsidRDefault="003F0352" w:rsidP="003F0352">
      <w:pPr>
        <w:spacing w:after="200" w:line="276" w:lineRule="auto"/>
        <w:ind w:left="284"/>
        <w:contextualSpacing/>
        <w:jc w:val="both"/>
        <w:rPr>
          <w:rFonts w:ascii="Abadi" w:eastAsia="Calibri" w:hAnsi="Abadi" w:cs="Arial"/>
          <w:i/>
          <w:iCs/>
          <w:sz w:val="21"/>
          <w:szCs w:val="21"/>
          <w:lang w:val="es-MX" w:eastAsia="en-US"/>
        </w:rPr>
      </w:pPr>
    </w:p>
    <w:p w14:paraId="5AA88515" w14:textId="3C6E6B85" w:rsidR="003F0352" w:rsidRDefault="003F0352" w:rsidP="003F0352">
      <w:pPr>
        <w:numPr>
          <w:ilvl w:val="0"/>
          <w:numId w:val="22"/>
        </w:numPr>
        <w:spacing w:after="200" w:line="276" w:lineRule="auto"/>
        <w:ind w:hanging="436"/>
        <w:contextualSpacing/>
        <w:jc w:val="both"/>
        <w:rPr>
          <w:rFonts w:ascii="Abadi" w:eastAsia="Calibri" w:hAnsi="Abadi" w:cs="Arial"/>
          <w:i/>
          <w:iCs/>
          <w:sz w:val="21"/>
          <w:szCs w:val="21"/>
          <w:lang w:val="es-MX" w:eastAsia="en-US"/>
        </w:rPr>
      </w:pPr>
      <w:r w:rsidRPr="003F0352">
        <w:rPr>
          <w:rFonts w:ascii="Abadi" w:eastAsia="Calibri" w:hAnsi="Abadi" w:cs="Arial"/>
          <w:i/>
          <w:iCs/>
          <w:sz w:val="21"/>
          <w:szCs w:val="21"/>
          <w:lang w:val="es-MX" w:eastAsia="en-US"/>
        </w:rPr>
        <w:t>Se celebrará una mesa de trabajo con carácter permanente para analizar las observaciones remitidas, a través del documento comparativo.</w:t>
      </w:r>
    </w:p>
    <w:p w14:paraId="731F958B" w14:textId="77777777" w:rsidR="003F0352" w:rsidRPr="003F0352" w:rsidRDefault="003F0352" w:rsidP="003F0352">
      <w:pPr>
        <w:spacing w:after="200" w:line="276" w:lineRule="auto"/>
        <w:contextualSpacing/>
        <w:jc w:val="both"/>
        <w:rPr>
          <w:rFonts w:ascii="Abadi" w:eastAsia="Calibri" w:hAnsi="Abadi" w:cs="Arial"/>
          <w:i/>
          <w:iCs/>
          <w:sz w:val="21"/>
          <w:szCs w:val="21"/>
          <w:lang w:val="es-MX" w:eastAsia="en-US"/>
        </w:rPr>
      </w:pPr>
    </w:p>
    <w:p w14:paraId="23DC76AC" w14:textId="77777777" w:rsidR="003F0352" w:rsidRPr="003F0352" w:rsidRDefault="003F0352" w:rsidP="003F0352">
      <w:pPr>
        <w:numPr>
          <w:ilvl w:val="0"/>
          <w:numId w:val="22"/>
        </w:numPr>
        <w:spacing w:after="200" w:line="276" w:lineRule="auto"/>
        <w:ind w:hanging="436"/>
        <w:contextualSpacing/>
        <w:jc w:val="both"/>
        <w:rPr>
          <w:rFonts w:ascii="Abadi" w:eastAsia="Calibri" w:hAnsi="Abadi" w:cs="Arial"/>
          <w:i/>
          <w:iCs/>
          <w:sz w:val="21"/>
          <w:szCs w:val="21"/>
          <w:lang w:val="es-MX" w:eastAsia="en-US"/>
        </w:rPr>
      </w:pPr>
      <w:r w:rsidRPr="003F0352">
        <w:rPr>
          <w:rFonts w:ascii="Abadi" w:eastAsia="Calibri" w:hAnsi="Abadi" w:cs="Arial"/>
          <w:i/>
          <w:iCs/>
          <w:sz w:val="21"/>
          <w:szCs w:val="21"/>
          <w:lang w:val="es-MX" w:eastAsia="en-US"/>
        </w:rPr>
        <w:t>Una vez lo cual, se presentará un proyecto de dictamen para que sea analizado en reunión de la Comisión.</w:t>
      </w:r>
    </w:p>
    <w:p w14:paraId="5BC16B84" w14:textId="77777777" w:rsidR="003F0352" w:rsidRPr="003F0352" w:rsidRDefault="003F0352" w:rsidP="003F0352">
      <w:pPr>
        <w:spacing w:line="360" w:lineRule="auto"/>
        <w:jc w:val="both"/>
        <w:rPr>
          <w:rFonts w:ascii="Abadi" w:eastAsia="Batang" w:hAnsi="Abadi" w:cs="Arial"/>
          <w:b/>
          <w:sz w:val="21"/>
          <w:szCs w:val="21"/>
          <w:lang w:val="es-MX" w:eastAsia="en-US"/>
        </w:rPr>
      </w:pPr>
    </w:p>
    <w:p w14:paraId="26468849" w14:textId="77777777" w:rsidR="003F0352" w:rsidRPr="003F0352" w:rsidRDefault="003F0352" w:rsidP="003F0352">
      <w:pPr>
        <w:spacing w:line="360" w:lineRule="auto"/>
        <w:jc w:val="both"/>
        <w:rPr>
          <w:rFonts w:ascii="Abadi" w:hAnsi="Abadi" w:cs="Arial"/>
          <w:sz w:val="21"/>
          <w:szCs w:val="21"/>
          <w:lang w:val="es-MX" w:eastAsia="en-US"/>
        </w:rPr>
      </w:pPr>
      <w:r w:rsidRPr="003F0352">
        <w:rPr>
          <w:rFonts w:ascii="Abadi" w:eastAsia="Batang" w:hAnsi="Abadi" w:cs="Arial"/>
          <w:b/>
          <w:sz w:val="21"/>
          <w:szCs w:val="21"/>
          <w:lang w:val="es-MX" w:eastAsia="en-US"/>
        </w:rPr>
        <w:t>II.1.</w:t>
      </w:r>
      <w:r w:rsidRPr="003F0352">
        <w:rPr>
          <w:rFonts w:ascii="Abadi" w:hAnsi="Abadi" w:cs="Arial"/>
          <w:sz w:val="21"/>
          <w:szCs w:val="21"/>
          <w:lang w:val="es-MX" w:eastAsia="en-US"/>
        </w:rPr>
        <w:t xml:space="preserve">  Derivado de ese ejercicio de consulta a diversas autoridades de los poderes Ejecutivo, a </w:t>
      </w:r>
      <w:r w:rsidRPr="003F0352">
        <w:rPr>
          <w:rFonts w:ascii="Abadi" w:hAnsi="Abadi" w:cs="Arial"/>
          <w:sz w:val="21"/>
          <w:szCs w:val="21"/>
          <w:lang w:val="es-MX" w:eastAsia="en-US"/>
        </w:rPr>
        <w:lastRenderedPageBreak/>
        <w:t>través de la Coordinación General Jurídica y Judicial, la Fiscalía General del Estado de Guanajuato e instituciones de educación superior y bajo el principio de parlamento abierto respondieron el Instituto de Investigaciones Legislativas del Congreso del Estado, el Poder Judicial, y la Universidad de Guanajuato.</w:t>
      </w:r>
    </w:p>
    <w:p w14:paraId="7AE7307B" w14:textId="77777777" w:rsidR="003F0352" w:rsidRPr="003F0352" w:rsidRDefault="003F0352" w:rsidP="003F0352">
      <w:pPr>
        <w:spacing w:line="360" w:lineRule="auto"/>
        <w:jc w:val="both"/>
        <w:rPr>
          <w:rFonts w:ascii="Abadi" w:hAnsi="Abadi" w:cs="Arial"/>
          <w:sz w:val="21"/>
          <w:szCs w:val="21"/>
          <w:lang w:val="es-MX" w:eastAsia="en-US"/>
        </w:rPr>
      </w:pPr>
    </w:p>
    <w:p w14:paraId="123BE854" w14:textId="77777777" w:rsidR="003F0352" w:rsidRPr="003F0352" w:rsidRDefault="003F0352" w:rsidP="003F0352">
      <w:pPr>
        <w:spacing w:line="360" w:lineRule="auto"/>
        <w:ind w:firstLine="708"/>
        <w:jc w:val="both"/>
        <w:rPr>
          <w:rFonts w:ascii="Abadi" w:hAnsi="Abadi" w:cs="Arial"/>
          <w:sz w:val="21"/>
          <w:szCs w:val="21"/>
          <w:lang w:val="es-MX" w:eastAsia="en-US"/>
        </w:rPr>
      </w:pPr>
    </w:p>
    <w:p w14:paraId="1F4CABEB" w14:textId="77777777" w:rsidR="003F0352" w:rsidRPr="003F0352" w:rsidRDefault="003F0352" w:rsidP="003F0352">
      <w:pPr>
        <w:spacing w:line="360" w:lineRule="auto"/>
        <w:ind w:firstLine="708"/>
        <w:jc w:val="both"/>
        <w:rPr>
          <w:rFonts w:ascii="Abadi" w:hAnsi="Abadi" w:cs="Arial"/>
          <w:sz w:val="21"/>
          <w:szCs w:val="21"/>
          <w:lang w:val="es-MX" w:eastAsia="en-US"/>
        </w:rPr>
      </w:pPr>
      <w:r w:rsidRPr="003F0352">
        <w:rPr>
          <w:rFonts w:ascii="Abadi" w:hAnsi="Abadi" w:cs="Arial"/>
          <w:sz w:val="21"/>
          <w:szCs w:val="21"/>
          <w:lang w:val="es-MX" w:eastAsia="en-US"/>
        </w:rPr>
        <w:t xml:space="preserve">El Instituto de Investigaciones Legislativas del Congreso del Estado manifestó que: </w:t>
      </w:r>
    </w:p>
    <w:p w14:paraId="5B6C2232" w14:textId="77777777" w:rsidR="003F0352" w:rsidRPr="003F0352" w:rsidRDefault="003F0352" w:rsidP="003F0352">
      <w:pPr>
        <w:ind w:firstLine="708"/>
        <w:jc w:val="both"/>
        <w:rPr>
          <w:rFonts w:ascii="Abadi" w:hAnsi="Abadi" w:cs="Arial"/>
          <w:sz w:val="21"/>
          <w:szCs w:val="21"/>
          <w:lang w:val="es-MX" w:eastAsia="en-US"/>
        </w:rPr>
      </w:pPr>
    </w:p>
    <w:p w14:paraId="5E68D179" w14:textId="77777777" w:rsidR="003F0352" w:rsidRPr="003F0352" w:rsidRDefault="003F0352" w:rsidP="003F0352">
      <w:pPr>
        <w:ind w:left="1134" w:right="1065"/>
        <w:jc w:val="both"/>
        <w:rPr>
          <w:rFonts w:ascii="Abadi" w:hAnsi="Abadi" w:cs="Arial"/>
          <w:i/>
          <w:iCs/>
          <w:sz w:val="21"/>
          <w:szCs w:val="21"/>
          <w:lang w:val="es-MX" w:eastAsia="en-US"/>
        </w:rPr>
      </w:pPr>
      <w:r w:rsidRPr="003F0352">
        <w:rPr>
          <w:rFonts w:ascii="Abadi" w:hAnsi="Abadi" w:cs="Arial"/>
          <w:i/>
          <w:iCs/>
          <w:sz w:val="21"/>
          <w:szCs w:val="21"/>
          <w:lang w:val="es-MX" w:eastAsia="en-US"/>
        </w:rPr>
        <w:t>(…) En ese sentido, se considera que la propuesta del iniciante, no resulta viable en cuanto al dispositivo normativo que se pretende reformar, ya que siguiendo la estructura conceptual que hemos venido refiriendo, la Constitución exclusivamente ha de establecer las facultades específicas a cada uno de los poderes del Estado, favoreciendo con ello la estabilidad política y democrática, y, por otra parte, debe contemplar los derechos fundamentales de los ciudadanos y habitantes de un territorio, y por el contrario, serán las leyes orgánicas o reglamentarias el medio útil para ejercer cambios significativos o de vital importancia en el modo de operar de las Instituciones del Estado, sin tener que alterar o modificar de manera constante el marco constitucional.</w:t>
      </w:r>
    </w:p>
    <w:p w14:paraId="7638EBB7" w14:textId="77777777" w:rsidR="003F0352" w:rsidRPr="003F0352" w:rsidRDefault="003F0352" w:rsidP="003F0352">
      <w:pPr>
        <w:ind w:left="1134" w:right="1065"/>
        <w:jc w:val="both"/>
        <w:rPr>
          <w:rFonts w:ascii="Abadi" w:hAnsi="Abadi" w:cs="Arial"/>
          <w:i/>
          <w:iCs/>
          <w:sz w:val="21"/>
          <w:szCs w:val="21"/>
          <w:lang w:val="es-MX" w:eastAsia="en-US"/>
        </w:rPr>
      </w:pPr>
    </w:p>
    <w:p w14:paraId="00B7C6BE" w14:textId="77777777" w:rsidR="003F0352" w:rsidRPr="003F0352" w:rsidRDefault="003F0352" w:rsidP="003F0352">
      <w:pPr>
        <w:contextualSpacing/>
        <w:jc w:val="both"/>
        <w:rPr>
          <w:rFonts w:ascii="Abadi" w:hAnsi="Abadi" w:cs="Arial"/>
          <w:sz w:val="21"/>
          <w:szCs w:val="21"/>
          <w:lang w:val="es-MX" w:eastAsia="en-US"/>
        </w:rPr>
      </w:pPr>
      <w:r w:rsidRPr="003F0352">
        <w:rPr>
          <w:rFonts w:ascii="Abadi" w:hAnsi="Abadi" w:cs="Arial"/>
          <w:sz w:val="21"/>
          <w:szCs w:val="21"/>
          <w:lang w:val="es-MX" w:eastAsia="en-US"/>
        </w:rPr>
        <w:t xml:space="preserve">El Poder Judicial del Estado de Guanajuato manifestó que: </w:t>
      </w:r>
    </w:p>
    <w:p w14:paraId="255012DC" w14:textId="77777777" w:rsidR="003F0352" w:rsidRPr="003F0352" w:rsidRDefault="003F0352" w:rsidP="003F0352">
      <w:pPr>
        <w:contextualSpacing/>
        <w:jc w:val="both"/>
        <w:rPr>
          <w:rFonts w:ascii="Abadi" w:hAnsi="Abadi" w:cs="Arial"/>
          <w:sz w:val="21"/>
          <w:szCs w:val="21"/>
          <w:lang w:val="es-MX" w:eastAsia="en-US"/>
        </w:rPr>
      </w:pPr>
    </w:p>
    <w:p w14:paraId="0BF03F5E" w14:textId="77777777" w:rsidR="003F0352" w:rsidRPr="003F0352" w:rsidRDefault="003F0352" w:rsidP="003F0352">
      <w:pPr>
        <w:ind w:left="1134" w:right="1065"/>
        <w:jc w:val="both"/>
        <w:rPr>
          <w:rFonts w:ascii="Abadi" w:hAnsi="Abadi" w:cs="Arial"/>
          <w:i/>
          <w:iCs/>
          <w:sz w:val="21"/>
          <w:szCs w:val="21"/>
          <w:lang w:val="es-MX" w:eastAsia="en-US"/>
        </w:rPr>
      </w:pPr>
      <w:r w:rsidRPr="003F0352">
        <w:rPr>
          <w:rFonts w:ascii="Abadi" w:hAnsi="Abadi" w:cs="Arial"/>
          <w:i/>
          <w:iCs/>
          <w:sz w:val="21"/>
          <w:szCs w:val="21"/>
          <w:lang w:val="es-MX" w:eastAsia="en-US"/>
        </w:rPr>
        <w:t>(…) La obligación de informar se establece incluso para el titular del Poder Ejecutivo, tanto federal como local, lo cual debe hacerse ante el Poder Legislativo. En el caso concreto de la iniciativa que nos ocupa, tal obligación de informar está igualmente prevista para el Fiscal General de la República como para el Fiscal General del Estado, y en su diseño vigente se guarda congruencia entre ambas normas. Sirva como basamento a lo anterior, el artículo 102 de la Constitución Política de los Estados Unidos Mexicanos que, en su parte conducente. Si bien es cierto que las reglas de la técnica legislativa no constituyen un límite formal o material a la discrecionalidad política de los legisladores, también lo es que sí la racionalizan y le dan coherencia y congruencia a todo el sistema normativo nacional y subnacional.</w:t>
      </w:r>
    </w:p>
    <w:p w14:paraId="1ABBB608" w14:textId="77777777" w:rsidR="003F0352" w:rsidRPr="003F0352" w:rsidRDefault="003F0352" w:rsidP="003F0352">
      <w:pPr>
        <w:ind w:left="1134" w:right="1065"/>
        <w:jc w:val="both"/>
        <w:rPr>
          <w:rFonts w:ascii="Abadi" w:hAnsi="Abadi" w:cs="Arial"/>
          <w:i/>
          <w:iCs/>
          <w:sz w:val="21"/>
          <w:szCs w:val="21"/>
          <w:lang w:val="es-MX" w:eastAsia="en-US"/>
        </w:rPr>
      </w:pPr>
    </w:p>
    <w:p w14:paraId="2E430791" w14:textId="77777777" w:rsidR="003F0352" w:rsidRPr="003F0352" w:rsidRDefault="003F0352" w:rsidP="003F0352">
      <w:pPr>
        <w:ind w:left="1134" w:right="1065"/>
        <w:jc w:val="both"/>
        <w:rPr>
          <w:rFonts w:ascii="Abadi" w:hAnsi="Abadi" w:cs="Arial"/>
          <w:i/>
          <w:iCs/>
          <w:sz w:val="21"/>
          <w:szCs w:val="21"/>
          <w:lang w:val="es-MX" w:eastAsia="en-US"/>
        </w:rPr>
      </w:pPr>
      <w:r w:rsidRPr="003F0352">
        <w:rPr>
          <w:rFonts w:ascii="Abadi" w:hAnsi="Abadi" w:cs="Arial"/>
          <w:i/>
          <w:iCs/>
          <w:sz w:val="21"/>
          <w:szCs w:val="21"/>
          <w:lang w:val="es-MX" w:eastAsia="en-US"/>
        </w:rPr>
        <w:t xml:space="preserve">En ese sentido, la Fiscalía General del Estado es un organismo constitucionalmente autónomo, por lo que cuenta con capacidad de gestión, de manera que el mandato de éste y de otros entes de esa naturaleza consiste, entre otros, en cumplir con sus deberes de transparencia y rendición de cuentas, de </w:t>
      </w:r>
      <w:r w:rsidRPr="003F0352">
        <w:rPr>
          <w:rFonts w:ascii="Abadi" w:hAnsi="Abadi" w:cs="Arial"/>
          <w:i/>
          <w:iCs/>
          <w:sz w:val="21"/>
          <w:szCs w:val="21"/>
          <w:lang w:val="es-MX" w:eastAsia="en-US"/>
        </w:rPr>
        <w:lastRenderedPageBreak/>
        <w:t xml:space="preserve">ahí que esté obligado a rendir periódicamente el informe que la propia constitución establece. La Fiscalía General del Estado, en tanto órgano independiente del poder público, goza de las condiciones inherentes a su naturaleza, por lo que está obligado a la rendición de cuentas y transparencia de manera oportuna, fidedigna y clara sobre sus resultados, quedando en su esfera de facultades la determinación de destacar aquellos puntos que cumplan con aquellos principios elementales. </w:t>
      </w:r>
    </w:p>
    <w:p w14:paraId="5C861FC7" w14:textId="77777777" w:rsidR="003F0352" w:rsidRPr="003F0352" w:rsidRDefault="003F0352" w:rsidP="003F0352">
      <w:pPr>
        <w:ind w:left="1134" w:right="1065"/>
        <w:jc w:val="both"/>
        <w:rPr>
          <w:rFonts w:ascii="Abadi" w:hAnsi="Abadi" w:cs="Arial"/>
          <w:i/>
          <w:iCs/>
          <w:sz w:val="21"/>
          <w:szCs w:val="21"/>
          <w:lang w:val="es-MX" w:eastAsia="en-US"/>
        </w:rPr>
      </w:pPr>
    </w:p>
    <w:p w14:paraId="207DEC2D" w14:textId="77777777" w:rsidR="003F0352" w:rsidRPr="003F0352" w:rsidRDefault="003F0352" w:rsidP="003F0352">
      <w:pPr>
        <w:ind w:left="1134" w:right="1065"/>
        <w:jc w:val="both"/>
        <w:rPr>
          <w:rFonts w:ascii="Abadi" w:hAnsi="Abadi" w:cs="Arial"/>
          <w:i/>
          <w:iCs/>
          <w:sz w:val="21"/>
          <w:szCs w:val="21"/>
          <w:lang w:val="es-MX" w:eastAsia="en-US"/>
        </w:rPr>
      </w:pPr>
      <w:r w:rsidRPr="003F0352">
        <w:rPr>
          <w:rFonts w:ascii="Abadi" w:hAnsi="Abadi" w:cs="Arial"/>
          <w:i/>
          <w:iCs/>
          <w:sz w:val="21"/>
          <w:szCs w:val="21"/>
          <w:lang w:val="es-MX" w:eastAsia="en-US"/>
        </w:rPr>
        <w:t>Bien pudiera estimarse que la voluntad del constituyente permanente nacional y local fue no reglar el formato para el cumplimiento del mandato de rendir o presentar informes por los diversos obligados, sino precisamente dejarlos en libertad de formato o criterio de los responsables de ello, sin menoscabo de las facultades de los poderes para solicitar de éstos mayor información o incluso su comparecencia</w:t>
      </w:r>
    </w:p>
    <w:p w14:paraId="19DA3219" w14:textId="77777777" w:rsidR="003F0352" w:rsidRPr="003F0352" w:rsidRDefault="003F0352" w:rsidP="003F0352">
      <w:pPr>
        <w:ind w:right="1065"/>
        <w:jc w:val="both"/>
        <w:rPr>
          <w:rFonts w:ascii="Abadi" w:hAnsi="Abadi" w:cs="Arial"/>
          <w:i/>
          <w:iCs/>
          <w:sz w:val="21"/>
          <w:szCs w:val="21"/>
          <w:lang w:val="es-MX" w:eastAsia="en-US"/>
        </w:rPr>
      </w:pPr>
    </w:p>
    <w:p w14:paraId="62C0A1F3" w14:textId="77777777" w:rsidR="003F0352" w:rsidRPr="003F0352" w:rsidRDefault="003F0352" w:rsidP="003F0352">
      <w:pPr>
        <w:spacing w:line="360" w:lineRule="auto"/>
        <w:jc w:val="both"/>
        <w:rPr>
          <w:rFonts w:ascii="Abadi" w:eastAsia="Batang" w:hAnsi="Abadi" w:cs="Arial"/>
          <w:bCs/>
          <w:sz w:val="21"/>
          <w:szCs w:val="21"/>
          <w:lang w:val="es-MX"/>
        </w:rPr>
      </w:pPr>
    </w:p>
    <w:p w14:paraId="1311E250" w14:textId="77777777" w:rsidR="003F0352" w:rsidRPr="003F0352" w:rsidRDefault="003F0352" w:rsidP="003F0352">
      <w:pPr>
        <w:spacing w:line="360" w:lineRule="auto"/>
        <w:jc w:val="both"/>
        <w:rPr>
          <w:rFonts w:ascii="Abadi" w:eastAsia="Batang" w:hAnsi="Abadi" w:cs="Arial"/>
          <w:bCs/>
          <w:sz w:val="21"/>
          <w:szCs w:val="21"/>
          <w:lang w:val="es-MX"/>
        </w:rPr>
      </w:pPr>
      <w:r w:rsidRPr="003F0352">
        <w:rPr>
          <w:rFonts w:ascii="Abadi" w:eastAsia="Batang" w:hAnsi="Abadi" w:cs="Arial"/>
          <w:bCs/>
          <w:sz w:val="21"/>
          <w:szCs w:val="21"/>
          <w:lang w:val="es-MX"/>
        </w:rPr>
        <w:t>Durante el desahogo de la metodología se pronunció la Coordinación General Jurídica de Gobierno del Estado, a través de sus comentarios de inviabilidad.</w:t>
      </w:r>
    </w:p>
    <w:p w14:paraId="3023D448" w14:textId="77777777" w:rsidR="003F0352" w:rsidRPr="003F0352" w:rsidRDefault="003F0352" w:rsidP="003F0352">
      <w:pPr>
        <w:contextualSpacing/>
        <w:jc w:val="both"/>
        <w:rPr>
          <w:rFonts w:ascii="Abadi" w:hAnsi="Abadi" w:cs="Arial"/>
          <w:sz w:val="21"/>
          <w:szCs w:val="21"/>
          <w:lang w:val="es-MX" w:eastAsia="en-US"/>
        </w:rPr>
      </w:pPr>
    </w:p>
    <w:p w14:paraId="699390FD" w14:textId="77777777" w:rsidR="003F0352" w:rsidRPr="003F0352" w:rsidRDefault="003F0352" w:rsidP="003F0352">
      <w:pPr>
        <w:spacing w:line="360" w:lineRule="auto"/>
        <w:jc w:val="both"/>
        <w:rPr>
          <w:rFonts w:ascii="Abadi" w:eastAsia="Batang" w:hAnsi="Abadi" w:cs="Arial"/>
          <w:bCs/>
          <w:sz w:val="21"/>
          <w:szCs w:val="21"/>
          <w:lang w:val="es-MX"/>
        </w:rPr>
      </w:pPr>
      <w:r w:rsidRPr="003F0352">
        <w:rPr>
          <w:rFonts w:ascii="Abadi" w:eastAsia="Batang" w:hAnsi="Abadi" w:cs="Arial"/>
          <w:b/>
          <w:sz w:val="21"/>
          <w:szCs w:val="21"/>
        </w:rPr>
        <w:t xml:space="preserve">II.2. </w:t>
      </w:r>
      <w:r w:rsidRPr="003F0352">
        <w:rPr>
          <w:rFonts w:ascii="Abadi" w:eastAsia="Batang" w:hAnsi="Abadi" w:cs="Arial"/>
          <w:bCs/>
          <w:sz w:val="21"/>
          <w:szCs w:val="21"/>
          <w:lang w:val="es-MX"/>
        </w:rPr>
        <w:t xml:space="preserve">Se celebró una mesa de trabajo en modalidad híbrida el 15 de junio de 2022 para desahogar </w:t>
      </w:r>
      <w:r w:rsidRPr="003F0352">
        <w:rPr>
          <w:rFonts w:ascii="Abadi" w:eastAsia="Batang" w:hAnsi="Abadi" w:cs="Arial"/>
          <w:bCs/>
          <w:sz w:val="21"/>
          <w:szCs w:val="21"/>
          <w:lang w:val="es-MX"/>
        </w:rPr>
        <w:t>los comentarios y observaciones a la iniciativa, estando presentes las diputadas Susana Bermúdez Cano, Laura Cristina Márquez Alcalá, Yulma Rocha Aguilar y Alma Edwviges Alcaraz Hernández integrantes de la Comisión de Gobernación y Puntos Constitucionales, así como, servidores públicos representantes de la Coordinación General Jurídica de Gobierno del Estado y de la Fiscalía General del Estado de Guanajuato. Estuvieron presentes también asesores de los grupos parlamentarios de los partidos Acción Nacional, MORENA, Revolucionario Institucional y Verde Ecologista de México y la secretaria técnica de la comisión.</w:t>
      </w:r>
    </w:p>
    <w:p w14:paraId="5D2E3B03" w14:textId="77777777" w:rsidR="003F0352" w:rsidRPr="003F0352" w:rsidRDefault="003F0352" w:rsidP="003F0352">
      <w:pPr>
        <w:spacing w:line="276" w:lineRule="auto"/>
        <w:jc w:val="both"/>
        <w:rPr>
          <w:rFonts w:ascii="Abadi" w:hAnsi="Abadi" w:cs="Arial"/>
          <w:sz w:val="21"/>
          <w:szCs w:val="21"/>
          <w:lang w:val="es-MX" w:eastAsia="en-US"/>
        </w:rPr>
      </w:pPr>
    </w:p>
    <w:p w14:paraId="519ABAA8" w14:textId="77777777" w:rsidR="003F0352" w:rsidRPr="003F0352" w:rsidRDefault="003F0352" w:rsidP="003F0352">
      <w:pPr>
        <w:spacing w:line="360" w:lineRule="auto"/>
        <w:jc w:val="both"/>
        <w:rPr>
          <w:rFonts w:ascii="Abadi" w:eastAsia="Batang" w:hAnsi="Abadi" w:cs="Arial"/>
          <w:bCs/>
          <w:sz w:val="21"/>
          <w:szCs w:val="21"/>
          <w:lang w:val="es-MX"/>
        </w:rPr>
      </w:pPr>
      <w:r w:rsidRPr="003F0352">
        <w:rPr>
          <w:rFonts w:ascii="Abadi" w:eastAsia="Batang" w:hAnsi="Abadi" w:cs="Arial"/>
          <w:b/>
          <w:sz w:val="21"/>
          <w:szCs w:val="21"/>
          <w:lang w:val="es-MX"/>
        </w:rPr>
        <w:t xml:space="preserve">II.3. </w:t>
      </w:r>
      <w:r w:rsidRPr="003F0352">
        <w:rPr>
          <w:rFonts w:ascii="Abadi" w:hAnsi="Abadi" w:cs="Arial"/>
          <w:sz w:val="21"/>
          <w:szCs w:val="21"/>
        </w:rPr>
        <w:t>L</w:t>
      </w:r>
      <w:r w:rsidRPr="003F0352">
        <w:rPr>
          <w:rFonts w:ascii="Abadi" w:eastAsia="Batang" w:hAnsi="Abadi" w:cs="Arial"/>
          <w:sz w:val="21"/>
          <w:szCs w:val="21"/>
        </w:rPr>
        <w:t>a presidencia de la Comisión de Gobernación y Puntos Constitucionales instruyó a la Secretaría Técnica para que elaborara el proyecto de dictamen en sentido negativo, atendiendo a lo vertido en la mesa de trabajo y, conforme con lo dispuesto en los artículos 94, fracción VII y 272, fracción VIII inciso e de la Ley Orgánica del Poder Legislativo del Estado, mismo que fue materia de revisión por los diputados y las diputadas integrantes de esta comisión dictaminadora.</w:t>
      </w:r>
    </w:p>
    <w:p w14:paraId="37F78D55" w14:textId="77777777" w:rsidR="003F0352" w:rsidRPr="003F0352" w:rsidRDefault="003F0352" w:rsidP="003F0352">
      <w:pPr>
        <w:spacing w:line="276" w:lineRule="auto"/>
        <w:jc w:val="both"/>
        <w:rPr>
          <w:rFonts w:ascii="Abadi" w:eastAsia="Batang" w:hAnsi="Abadi" w:cs="Arial"/>
          <w:bCs/>
          <w:sz w:val="21"/>
          <w:szCs w:val="21"/>
          <w:lang w:val="es-MX"/>
        </w:rPr>
      </w:pPr>
    </w:p>
    <w:p w14:paraId="2EF5C89A" w14:textId="77777777" w:rsidR="003F0352" w:rsidRPr="003F0352" w:rsidRDefault="003F0352" w:rsidP="003F0352">
      <w:pPr>
        <w:spacing w:line="276" w:lineRule="auto"/>
        <w:jc w:val="both"/>
        <w:rPr>
          <w:rFonts w:ascii="Abadi" w:eastAsia="Batang" w:hAnsi="Abadi" w:cs="Arial"/>
          <w:b/>
          <w:i/>
          <w:iCs/>
          <w:sz w:val="21"/>
          <w:szCs w:val="21"/>
          <w:lang w:val="es-MX" w:eastAsia="en-US"/>
        </w:rPr>
      </w:pPr>
      <w:r w:rsidRPr="003F0352">
        <w:rPr>
          <w:rFonts w:ascii="Abadi" w:eastAsia="Batang" w:hAnsi="Abadi" w:cs="Arial"/>
          <w:b/>
          <w:sz w:val="21"/>
          <w:szCs w:val="21"/>
          <w:lang w:val="es-MX" w:eastAsia="en-US"/>
        </w:rPr>
        <w:t xml:space="preserve">III. Contenido de la iniciativa y consideraciones generales de las y los dictaminadores sobre los objetivos perseguidos con la propuesta de reforma al artículo 95 de la Constitución Política para el Estado de Guanajuato </w:t>
      </w:r>
      <w:r w:rsidRPr="003F0352">
        <w:rPr>
          <w:rFonts w:ascii="Abadi" w:eastAsia="Batang" w:hAnsi="Abadi" w:cs="Arial"/>
          <w:b/>
          <w:i/>
          <w:iCs/>
          <w:sz w:val="21"/>
          <w:szCs w:val="21"/>
          <w:lang w:val="es-MX" w:eastAsia="en-US"/>
        </w:rPr>
        <w:t>sobre el contenido del informe anual del titular de la Fiscalía General</w:t>
      </w:r>
    </w:p>
    <w:p w14:paraId="261D83CE" w14:textId="77777777" w:rsidR="003F0352" w:rsidRPr="003F0352" w:rsidRDefault="003F0352" w:rsidP="003F0352">
      <w:pPr>
        <w:spacing w:line="276" w:lineRule="auto"/>
        <w:jc w:val="both"/>
        <w:rPr>
          <w:rFonts w:ascii="Abadi" w:eastAsia="Batang" w:hAnsi="Abadi" w:cs="Arial"/>
          <w:b/>
          <w:sz w:val="21"/>
          <w:szCs w:val="21"/>
          <w:lang w:val="es-MX" w:eastAsia="en-US"/>
        </w:rPr>
      </w:pPr>
      <w:r w:rsidRPr="003F0352">
        <w:rPr>
          <w:rFonts w:ascii="Abadi" w:eastAsia="Batang" w:hAnsi="Abadi" w:cs="Arial"/>
          <w:b/>
          <w:sz w:val="21"/>
          <w:szCs w:val="21"/>
          <w:lang w:val="es-MX" w:eastAsia="en-US"/>
        </w:rPr>
        <w:t xml:space="preserve"> </w:t>
      </w:r>
    </w:p>
    <w:p w14:paraId="555630BB" w14:textId="77777777" w:rsidR="003F0352" w:rsidRPr="003F0352" w:rsidRDefault="003F0352" w:rsidP="003F0352">
      <w:pPr>
        <w:autoSpaceDE w:val="0"/>
        <w:autoSpaceDN w:val="0"/>
        <w:adjustRightInd w:val="0"/>
        <w:spacing w:line="360" w:lineRule="auto"/>
        <w:ind w:firstLine="708"/>
        <w:jc w:val="both"/>
        <w:rPr>
          <w:rFonts w:ascii="Abadi" w:eastAsia="Batang" w:hAnsi="Abadi" w:cs="Arial"/>
          <w:sz w:val="21"/>
          <w:szCs w:val="21"/>
          <w:lang w:val="es-MX" w:eastAsia="en-US"/>
        </w:rPr>
      </w:pPr>
      <w:r w:rsidRPr="003F0352">
        <w:rPr>
          <w:rFonts w:ascii="Abadi" w:eastAsia="Batang" w:hAnsi="Abadi" w:cs="Arial"/>
          <w:sz w:val="21"/>
          <w:szCs w:val="21"/>
          <w:lang w:val="es-MX" w:eastAsia="en-US"/>
        </w:rPr>
        <w:t xml:space="preserve">El objeto de la iniciativa de manera individual radica en reformar el artículo 95 de la Constitución Política para el Estado de Guanajuato a fin de que el Fiscal General del Estado presente anualmente a los poderes del </w:t>
      </w:r>
      <w:r w:rsidRPr="003F0352">
        <w:rPr>
          <w:rFonts w:ascii="Abadi" w:eastAsia="Batang" w:hAnsi="Abadi" w:cs="Arial"/>
          <w:sz w:val="21"/>
          <w:szCs w:val="21"/>
          <w:lang w:val="es-MX" w:eastAsia="en-US"/>
        </w:rPr>
        <w:lastRenderedPageBreak/>
        <w:t xml:space="preserve">Estado un informe de actividades, </w:t>
      </w:r>
      <w:r w:rsidRPr="003F0352">
        <w:rPr>
          <w:rFonts w:ascii="Abadi" w:eastAsia="Batang" w:hAnsi="Abadi" w:cs="Arial"/>
          <w:i/>
          <w:iCs/>
          <w:sz w:val="21"/>
          <w:szCs w:val="21"/>
          <w:lang w:val="es-MX" w:eastAsia="en-US"/>
        </w:rPr>
        <w:t>que comprenderá en todo caso, tanto las estadísticas generales como las especiales por tipo de delitos, además de las estadísticas e información que la ley le obligue a presentar</w:t>
      </w:r>
      <w:r w:rsidRPr="003F0352">
        <w:rPr>
          <w:rFonts w:ascii="Abadi" w:eastAsia="Batang" w:hAnsi="Abadi" w:cs="Arial"/>
          <w:sz w:val="21"/>
          <w:szCs w:val="21"/>
          <w:lang w:val="es-MX" w:eastAsia="en-US"/>
        </w:rPr>
        <w:t>.</w:t>
      </w:r>
    </w:p>
    <w:p w14:paraId="669846EE" w14:textId="77777777" w:rsidR="003F0352" w:rsidRPr="003F0352" w:rsidRDefault="003F0352" w:rsidP="003F0352">
      <w:pPr>
        <w:autoSpaceDE w:val="0"/>
        <w:autoSpaceDN w:val="0"/>
        <w:adjustRightInd w:val="0"/>
        <w:spacing w:line="276" w:lineRule="auto"/>
        <w:ind w:firstLine="708"/>
        <w:jc w:val="both"/>
        <w:rPr>
          <w:rFonts w:ascii="Abadi" w:eastAsia="Batang" w:hAnsi="Abadi" w:cs="Arial"/>
          <w:sz w:val="21"/>
          <w:szCs w:val="21"/>
          <w:lang w:val="es-MX" w:eastAsia="en-US"/>
        </w:rPr>
      </w:pPr>
    </w:p>
    <w:p w14:paraId="7AE5FFDC" w14:textId="77777777" w:rsidR="003F0352" w:rsidRPr="003F0352" w:rsidRDefault="003F0352" w:rsidP="003F0352">
      <w:pPr>
        <w:spacing w:line="276" w:lineRule="auto"/>
        <w:ind w:firstLine="708"/>
        <w:jc w:val="both"/>
        <w:rPr>
          <w:rFonts w:ascii="Abadi" w:hAnsi="Abadi" w:cs="Arial Unicode MS"/>
          <w:sz w:val="21"/>
          <w:szCs w:val="21"/>
          <w:lang w:val="es-MX" w:eastAsia="en-US"/>
        </w:rPr>
      </w:pPr>
      <w:r w:rsidRPr="003F0352">
        <w:rPr>
          <w:rFonts w:ascii="Abadi" w:hAnsi="Abadi" w:cs="Arial Unicode MS"/>
          <w:sz w:val="21"/>
          <w:szCs w:val="21"/>
          <w:lang w:val="es-MX" w:eastAsia="en-US"/>
        </w:rPr>
        <w:t>El iniciante expresó en su exposición de motivos lo siguiente:</w:t>
      </w:r>
    </w:p>
    <w:p w14:paraId="64958E3C" w14:textId="77777777" w:rsidR="003F0352" w:rsidRPr="003F0352" w:rsidRDefault="003F0352" w:rsidP="003F0352">
      <w:pPr>
        <w:rPr>
          <w:rFonts w:ascii="Abadi" w:hAnsi="Abadi" w:cs="Arial"/>
          <w:i/>
          <w:color w:val="242424"/>
          <w:sz w:val="21"/>
          <w:szCs w:val="21"/>
          <w:highlight w:val="yellow"/>
          <w:lang w:val="es-MX" w:eastAsia="es-MX"/>
        </w:rPr>
      </w:pPr>
    </w:p>
    <w:p w14:paraId="587E829D"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n-US"/>
        </w:rPr>
        <w:t xml:space="preserve">«[...] </w:t>
      </w:r>
      <w:r w:rsidRPr="003F0352">
        <w:rPr>
          <w:rFonts w:ascii="Abadi" w:hAnsi="Abadi" w:cs="Calibri"/>
          <w:bCs/>
          <w:i/>
          <w:sz w:val="21"/>
          <w:szCs w:val="21"/>
          <w:lang w:val="es-MX" w:eastAsia="es-MX"/>
        </w:rPr>
        <w:t>El 14 de julio del 2017 se publicó en el Periódico Oficial del Estado de Guanajuato el Decreto 202 que fue aprobado por la Sexagésima Tercera Legislatura del Estado de Guanajuato.</w:t>
      </w:r>
    </w:p>
    <w:p w14:paraId="0865B3AE"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p>
    <w:p w14:paraId="40AACA3E"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 xml:space="preserve">Mediante el Decreto 202 se reformaron en la Constitución Política para el Estado de Guanajuato los artículos 6, párrafo octavo; 8, párrafos tercero y noveno; 46, fracción I; 63, fracción XXI, párrafo séptimo; 69, fracción I; 77, fracción XI párrafo segundo; 78, párrafo tercero; 94, párrafo primero; 132, fracción I; y se adicionó al Título Quinto el Capítulo Cuarto, con el artículo 81 antes 82 recorriéndose el Capítulo Cuarto para quedar como Capítulo Quinto y los artículos en ese momento 83, 84, 85, 86, 87, 88, 89, 90, 91, 92, 93, 94 y 95, pasaron a ser 82, 83, 84, 85, 86, 87, 88, 89, 90, 91, 92, 93 y 94, respectivamente; y un Capítulo Sexto, compuesto por una Sección Única que contiene el artículo 95.El capítulo sexto </w:t>
      </w:r>
      <w:r w:rsidRPr="003F0352">
        <w:rPr>
          <w:rFonts w:ascii="Abadi" w:hAnsi="Abadi" w:cs="Calibri"/>
          <w:bCs/>
          <w:i/>
          <w:sz w:val="21"/>
          <w:szCs w:val="21"/>
          <w:lang w:val="es-MX" w:eastAsia="es-MX"/>
        </w:rPr>
        <w:t>adicionado se titula “De la Fiscalía General del Estado”, y su sección única “Fiscalía General del Estado”, el cual contiene únicamente el artículo 95, quedando en su redacción final y vigente, compuesto por 18 párrafos. Es así que la presente iniciativa, se centra en el penúltimo párrafo del artículo 95 citado, que a la letra indica:</w:t>
      </w:r>
    </w:p>
    <w:p w14:paraId="731D708E"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p>
    <w:p w14:paraId="4B73F517"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“El Fiscal General del Estado presentará anualmente a los Poderes del Estado un informe de actividades. Comparecerá ante el Congreso del Estado cuando se le cite a rendir cuentas o a informar sobre su gestión.”</w:t>
      </w:r>
    </w:p>
    <w:p w14:paraId="3A8E56C9" w14:textId="77777777" w:rsidR="003F0352" w:rsidRPr="003F0352" w:rsidRDefault="003F0352" w:rsidP="003F0352">
      <w:pPr>
        <w:ind w:left="1134" w:right="1065"/>
        <w:jc w:val="both"/>
        <w:rPr>
          <w:rFonts w:ascii="Abadi" w:hAnsi="Abadi" w:cs="Calibri"/>
          <w:bCs/>
          <w:i/>
          <w:sz w:val="21"/>
          <w:szCs w:val="21"/>
          <w:lang w:val="es-MX" w:eastAsia="en-US"/>
        </w:rPr>
      </w:pPr>
    </w:p>
    <w:p w14:paraId="01A43849"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 xml:space="preserve">Consideramos que el cumplimiento de informar que se diseñó mediante esta disposición normativa de nuestra Constitución Local, no permite el desarrollo de una evaluación objetiva, que tenga como materia esencial el universo o totalidad de hechos delictivos atendidos en una anualidad, por la Fiscalía General del Estado, en cumplimiento de su actividad principal, que es la procuración de justicia. Lo anterior se afirma porque del análisis de los informes que ha presentado en el año 2019 y 2020 la Fiscalía General del Estado, se advierte que están desarrollados bajo un criterio libre, informando aspectos que si bien son parte de </w:t>
      </w:r>
      <w:r w:rsidRPr="003F0352">
        <w:rPr>
          <w:rFonts w:ascii="Abadi" w:hAnsi="Abadi" w:cs="Calibri"/>
          <w:bCs/>
          <w:i/>
          <w:sz w:val="21"/>
          <w:szCs w:val="21"/>
          <w:lang w:val="es-MX" w:eastAsia="es-MX"/>
        </w:rPr>
        <w:lastRenderedPageBreak/>
        <w:t>sus actividades administrativas, como inversiones para mejoramiento de instalaciones o capacitación, se omite en su mayor parte lo que se conoce como datos duros, que en el caso específico de la procuración de justicia, consisten en precisar el número de denuncias recibidas para cada tipo de delito que está tipificado en el Código Penal del Estado de Guanajuato.</w:t>
      </w:r>
    </w:p>
    <w:p w14:paraId="14100524"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p>
    <w:p w14:paraId="45A1E788"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w:t>
      </w:r>
    </w:p>
    <w:p w14:paraId="6F3C2D40"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p>
    <w:p w14:paraId="72A0D480"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 En el caso del informe 2019 es un apartado que ofrece parcialmente información sobre hechos delictivos. Merece especial atención que en la página 82 se informa que se tramitaron 164,503 carpetas de investigación, de las que un 9% de alguna forma llegaron a</w:t>
      </w:r>
    </w:p>
    <w:p w14:paraId="1F053434"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sede jurisdiccional, y por otra parte, 78% se resolvieron por determinaciones o decisiones en sede ministerial, lo que significa que 128,296 delitos denunciados no prosperaron en aras de la procuración de justicia, para igual número de víctimas.</w:t>
      </w:r>
    </w:p>
    <w:p w14:paraId="25B0728E"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p>
    <w:p w14:paraId="7D2765E2"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 xml:space="preserve">Así mismo, del total de 164,503 carpetas de investigación, en las páginas 84 y 85 se lee que solo llegaron a la etapa final del procedimiento penal, conocida como juicio, un </w:t>
      </w:r>
      <w:r w:rsidRPr="003F0352">
        <w:rPr>
          <w:rFonts w:ascii="Abadi" w:hAnsi="Abadi" w:cs="Calibri"/>
          <w:bCs/>
          <w:i/>
          <w:sz w:val="21"/>
          <w:szCs w:val="21"/>
          <w:lang w:val="es-MX" w:eastAsia="es-MX"/>
        </w:rPr>
        <w:t>total de 276 asuntos, lo que significa el 0.16% del total de denuncias. No se precisan en forma alguna por tipo de delitos las 164,503 carpetas de investigación, por lo que no se puede conocer en forma pormenorizada un análisis que permita identificar y comparar datos, entre años, para visualizar la dinámica de hechos delictivos en el Estado de Guanajuato.</w:t>
      </w:r>
    </w:p>
    <w:p w14:paraId="6B7C870F"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p>
    <w:p w14:paraId="23564350"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En el informe 2020, es un apartado que ofrece parcialmente información sobre hechos delictivos. En la página 102 se informa que 119,417 (75%) carpetas de investigación se resolvieron por determinaciones o decisiones en sede ministerial, que 16,335 (10%) tuvieron de alguna forma un tratamiento en sede jurisdiccional, sin precisar la forma en que concluyeron, lo que sumado a 24,018 que se señalan en proceso de investigación, hace una suma de 159,770 carpetas de investigación iniciadas.</w:t>
      </w:r>
    </w:p>
    <w:p w14:paraId="3F610717"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p>
    <w:p w14:paraId="0859CB96"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 xml:space="preserve">Al no precisarse en este informe los delitos a los que corresponden respectivamente las 159,770 carpetas de investigación, no puede generarse información cualitativa y cuantitativa respecto al informe 2019. En la página 107 se informa que 230 asuntos llegaron a la etapa final del </w:t>
      </w:r>
      <w:r w:rsidRPr="003F0352">
        <w:rPr>
          <w:rFonts w:ascii="Abadi" w:hAnsi="Abadi" w:cs="Calibri"/>
          <w:bCs/>
          <w:i/>
          <w:sz w:val="21"/>
          <w:szCs w:val="21"/>
          <w:lang w:val="es-MX" w:eastAsia="es-MX"/>
        </w:rPr>
        <w:lastRenderedPageBreak/>
        <w:t>procedimiento penal, conocida como juicio, lo que significa el 0.14% del total de carpetas de investigación, cantidad que se ve reducida en su comparativo con el 2019, destacando de esta forma que la procuración de justicia en Guanajuato, podría afirmarse, tuvo un retroceso. Su eficacia en la tarea sustantiva de investigación, sigue drásticamente comprometida, porque fueron 119,417 carpetas de investigación (75% del total) las que se quedaron en sede ministerial.</w:t>
      </w:r>
    </w:p>
    <w:p w14:paraId="77E3DEE1"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p>
    <w:p w14:paraId="7BEA5013"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 xml:space="preserve">En un apartado de “Resultados derivados de los procedimientos de mecanismos alternativos”, en la página 123, se informa que se derivaron a esos mecanismos, un total de 26,790 asuntos, y 54% se resolvieron, esto significa, apenas poco más de la mitad, dejando un 46 % de esta totalidad, que representan 12,323 carpetas de investigación, también sin una solución judicial, porque apenas fueron solo 230 asuntos los que llegaron a juicio. En el informe 2019 abarca las páginas 79 a 133 (de un total de 140 páginas), siendo únicamente 4 páginas en las que se informan datos propiamente de delitos, que se limitan a la generalidad de la cantidad de carpetas de investigación; en el </w:t>
      </w:r>
      <w:r w:rsidRPr="003F0352">
        <w:rPr>
          <w:rFonts w:ascii="Abadi" w:hAnsi="Abadi" w:cs="Calibri"/>
          <w:bCs/>
          <w:i/>
          <w:sz w:val="21"/>
          <w:szCs w:val="21"/>
          <w:lang w:val="es-MX" w:eastAsia="es-MX"/>
        </w:rPr>
        <w:t>informe 2020 comprende las páginas 93 a 124 (de un total de 197), y apenas en 6 páginas se informa genéricamente sobre las carpetas de investigación, sin precisión alguna de los delitos a los que corresponden.</w:t>
      </w:r>
    </w:p>
    <w:p w14:paraId="670EF04C"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p>
    <w:p w14:paraId="43257624"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 xml:space="preserve">(…) </w:t>
      </w:r>
    </w:p>
    <w:p w14:paraId="0F321773"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p>
    <w:p w14:paraId="0FBA5E7D"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En el informe 2020 comprende las páginas 125 a 164 (de un total de 197). De esta forma, los comparativos de informes presentados por la Fiscalía General del Estado durante los años 2019 y 2020, ante este Congreso del Estado de Guanajuato, que son los dos primeros años en que ha funcionado como un ente autónomo, y de esta manera su titular ha considerado que cumple con su obligación constitucional contenida en el penúltimo párrafo del artículo 95 de la Constitución Local, se constata primeramente que son informes elaborados con un criterio libre, y que de esta forma, los datos proporcionados en lo que concierne a la función sustantiva y fundamental de esta institución, que es la procuración de justicia, respecto a los delitos tipificados en el Código Penal del Estado de Guanajuato, se puede afirmar, son escasos e insuficientes.</w:t>
      </w:r>
    </w:p>
    <w:p w14:paraId="7BC78E5D"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p>
    <w:p w14:paraId="31AD8564"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 xml:space="preserve">Por otra parte, debe considerarse que la </w:t>
      </w:r>
      <w:r w:rsidRPr="003F0352">
        <w:rPr>
          <w:rFonts w:ascii="Abadi" w:hAnsi="Abadi" w:cs="Calibri"/>
          <w:bCs/>
          <w:i/>
          <w:sz w:val="21"/>
          <w:szCs w:val="21"/>
          <w:lang w:val="es-MX" w:eastAsia="es-MX"/>
        </w:rPr>
        <w:lastRenderedPageBreak/>
        <w:t>Organización de Naciones Unidas (ONU), desde la década de 1980, a través de la División de Estadística de las Naciones Unidas, en cumplimiento de las orientaciones de la Asamblea General y de los Congresos de las Naciones Unidas sobre Prevención del Delito y Tratamiento del Delincuente, publicó la primera edición del MANUAL PARA LA ELABORACIÓN DE ESTADÍSTICAS SOBRE JUSTICIA PENAL. En esta línea, como respuesta a la resolución 1997/27 del Consejo Económico y Social, de fecha 21 de julio de 1997, que se tituló “Reforzamiento del Programa de las Naciones Unidas en materia de prevención del delito y justicia penal en lo relativo a la elaboración de estadísticas de la delincuencia y al funcionamiento de los sistemas de justicia penal” se elaboró también la Guía para la elaboración y el análisis de las estadísticas de justicia penal.</w:t>
      </w:r>
    </w:p>
    <w:p w14:paraId="68E30DB0"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p>
    <w:p w14:paraId="69911A43"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 xml:space="preserve">Así mismo, a través de la Oficina de las Naciones Unidas contra la Droga y el Delito, se publicó el Manual de instrucciones para la evaluación de la justicia penal, en el año 2010. En este último documento, se señala en su página 6, que “el hecho delictivo es la categoría más elemental de todo sistema de estadísticas sobre justicia penal. Incluye </w:t>
      </w:r>
      <w:r w:rsidRPr="003F0352">
        <w:rPr>
          <w:rFonts w:ascii="Abadi" w:hAnsi="Abadi" w:cs="Calibri"/>
          <w:bCs/>
          <w:i/>
          <w:sz w:val="21"/>
          <w:szCs w:val="21"/>
          <w:lang w:val="es-MX" w:eastAsia="es-MX"/>
        </w:rPr>
        <w:t>datos sobre el delito, el delincuente y la víctima”. Establece en su página 7, como “Datos sobre los casos tramitados por la fiscalía”, los siguientes:</w:t>
      </w:r>
    </w:p>
    <w:p w14:paraId="7EA969CE"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A. Número de personas acusadas o causas abiertas</w:t>
      </w:r>
    </w:p>
    <w:p w14:paraId="444D1280"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B. Número de casos por tipos de asunto, tipos de delito o tipos de proceso</w:t>
      </w:r>
    </w:p>
    <w:p w14:paraId="5BCB8C58"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C. Número de imputaciones formuladas</w:t>
      </w:r>
    </w:p>
    <w:p w14:paraId="2AD3EFA0"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D. Número de recursos de apelación interpuestos</w:t>
      </w:r>
    </w:p>
    <w:p w14:paraId="1F9C96EF"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E. Número de comparecencias ante los tribunales</w:t>
      </w:r>
    </w:p>
    <w:p w14:paraId="5556FF14"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F. Número de casos remitidos a otras instancias</w:t>
      </w:r>
    </w:p>
    <w:p w14:paraId="05847B36"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G. Número de sentencias condenatorias</w:t>
      </w:r>
    </w:p>
    <w:p w14:paraId="46776B08"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H. Número de casos resueltos en determinado período de tiempo</w:t>
      </w:r>
    </w:p>
    <w:p w14:paraId="6E51F662" w14:textId="77777777" w:rsidR="003F0352" w:rsidRPr="003F0352" w:rsidRDefault="003F0352" w:rsidP="003F0352">
      <w:pPr>
        <w:ind w:left="1134" w:right="1065"/>
        <w:jc w:val="both"/>
        <w:rPr>
          <w:rFonts w:ascii="Abadi" w:hAnsi="Abadi" w:cs="Calibri"/>
          <w:bCs/>
          <w:i/>
          <w:sz w:val="21"/>
          <w:szCs w:val="21"/>
          <w:lang w:val="es-MX" w:eastAsia="en-US"/>
        </w:rPr>
      </w:pPr>
    </w:p>
    <w:p w14:paraId="5965FDB1"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Existen muy pocas jurisdicciones que hayan adoptado indicadores para medir sistemáticamente la eficacia del ministerio público. Los indicadores más habituales a ese respecto son los siguientes:</w:t>
      </w:r>
    </w:p>
    <w:p w14:paraId="38C26550"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 xml:space="preserve">El número medio de casos por fiscales; El número medio de casos apelados por fiscales; Número anual de casos resueltos por fiscales; Número de casos en que se han iniciado procedimientos que luego se han abandonado o interrumpido; La proporción anual de casos en los que los imputados se declaran culpables; La proporción </w:t>
      </w:r>
      <w:r w:rsidRPr="003F0352">
        <w:rPr>
          <w:rFonts w:ascii="Abadi" w:hAnsi="Abadi" w:cs="Calibri"/>
          <w:bCs/>
          <w:i/>
          <w:sz w:val="21"/>
          <w:szCs w:val="21"/>
          <w:lang w:val="es-MX" w:eastAsia="es-MX"/>
        </w:rPr>
        <w:lastRenderedPageBreak/>
        <w:t>anual de casos llevados a los tribunales; La proporción anual de casos en que se dictó una sentencia condenatoria; La proporción de casos llevados a los tribunales en los que el imputado resultó absuelto; El número anual de casos en que la sentencia condenatoria dictada resultó errónea; La proporción de casos que quedaron excluidos del proceso de justicia penal formal (y los mismos indicadores referidos específicamente a los delincuentes menores de edad); El costo medio por proceso judicial durante determinado período de tiempo, normalmente un año.</w:t>
      </w:r>
    </w:p>
    <w:p w14:paraId="14B58B20"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p>
    <w:p w14:paraId="13A71508"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Quizás también podrían resultar interesantes los indicadores relativos a aspectos menos tangibles del trabajo de los fiscales. Raras veces los servicios de la fiscalía se ocupan de ese tipo de indicadores y es probable que se requiera un estudio especial basado en el análisis de datos administrativos. Entre esos indicadores se encuentran:</w:t>
      </w:r>
    </w:p>
    <w:p w14:paraId="0BDE958C"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 El carácter oportuno de las decisiones y acciones de la fiscalía; por ejemplo, el plazo</w:t>
      </w:r>
    </w:p>
    <w:p w14:paraId="751BD3D4"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medio que las víctimas o testigos deben esperar para poder entrevistarse por primera</w:t>
      </w:r>
    </w:p>
    <w:p w14:paraId="479A6028"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vez con un fiscal;</w:t>
      </w:r>
    </w:p>
    <w:p w14:paraId="0867A6FE"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 Los cambios registrados en las tasas de remisión de casos y de no procesamiento;</w:t>
      </w:r>
    </w:p>
    <w:p w14:paraId="0B7E0431"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 Los cambios registrados en la tasa de órdenes de protección de testigos obtenidas por</w:t>
      </w:r>
    </w:p>
    <w:p w14:paraId="7C737BD4"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la fiscalía, etc.</w:t>
      </w:r>
    </w:p>
    <w:p w14:paraId="75625E69"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 xml:space="preserve">(…) </w:t>
      </w:r>
    </w:p>
    <w:p w14:paraId="59CCDFA6"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p>
    <w:p w14:paraId="23ACC6BD" w14:textId="77777777" w:rsidR="003F0352" w:rsidRPr="003F0352" w:rsidRDefault="003F0352" w:rsidP="003F0352">
      <w:pPr>
        <w:ind w:left="1134" w:right="1038"/>
        <w:jc w:val="both"/>
        <w:textAlignment w:val="baseline"/>
        <w:rPr>
          <w:rFonts w:ascii="Abadi" w:hAnsi="Abadi" w:cs="Calibri"/>
          <w:bCs/>
          <w:i/>
          <w:sz w:val="21"/>
          <w:szCs w:val="21"/>
          <w:lang w:val="es-MX" w:eastAsia="es-MX"/>
        </w:rPr>
      </w:pPr>
      <w:r w:rsidRPr="003F0352">
        <w:rPr>
          <w:rFonts w:ascii="Abadi" w:hAnsi="Abadi" w:cs="Calibri"/>
          <w:bCs/>
          <w:i/>
          <w:sz w:val="21"/>
          <w:szCs w:val="21"/>
          <w:lang w:val="es-MX" w:eastAsia="es-MX"/>
        </w:rPr>
        <w:t>Finalmente, a efecto de satisfacer lo establecido en el artículo 209 de la Ley Orgánica del Poder Legislativo del Estrado de Guanajuato, por lo que hace a: IMPACTO JURÍDICO: se reforma el penúltimo párrafo del artículo 95 de la Constitución Política para el Estado de Guanajuato; para establecer el contenido mínimo del informe de la Fiscalía General del Estado, en lo que respecta a información de los delitos. IMPACTO ADMINISTRATIVO: dada la naturaleza de la presente iniciativa, no existe impacto administrativo, porque la Fiscalía General del Estado, procesa ordinariamente la información que se establece en esta reforma. IMPACTO PRESUPUESTARIO: no existe impacto presupuestal con esta iniciativa. IMPACTO SOCIAL: se fortalece la evaluación objetiva de la procuración de justicia, como parte del sistema penal.»</w:t>
      </w:r>
    </w:p>
    <w:p w14:paraId="3650F58F" w14:textId="77777777" w:rsidR="003F0352" w:rsidRPr="003F0352" w:rsidRDefault="003F0352" w:rsidP="003F0352">
      <w:pPr>
        <w:autoSpaceDE w:val="0"/>
        <w:autoSpaceDN w:val="0"/>
        <w:adjustRightInd w:val="0"/>
        <w:ind w:firstLine="708"/>
        <w:rPr>
          <w:rFonts w:ascii="Abadi" w:eastAsia="Batang" w:hAnsi="Abadi" w:cs="Arial"/>
          <w:sz w:val="21"/>
          <w:szCs w:val="21"/>
          <w:lang w:val="es-MX" w:eastAsia="en-US"/>
        </w:rPr>
      </w:pPr>
    </w:p>
    <w:p w14:paraId="5AE951EE" w14:textId="77777777" w:rsidR="003F0352" w:rsidRPr="003F0352" w:rsidRDefault="003F0352" w:rsidP="003F0352">
      <w:pPr>
        <w:autoSpaceDE w:val="0"/>
        <w:autoSpaceDN w:val="0"/>
        <w:adjustRightInd w:val="0"/>
        <w:spacing w:line="360" w:lineRule="auto"/>
        <w:ind w:firstLine="708"/>
        <w:jc w:val="both"/>
        <w:rPr>
          <w:rFonts w:ascii="Abadi" w:eastAsia="Batang" w:hAnsi="Abadi" w:cs="Arial"/>
          <w:sz w:val="21"/>
          <w:szCs w:val="21"/>
          <w:lang w:val="es-MX" w:eastAsia="en-US"/>
        </w:rPr>
      </w:pPr>
    </w:p>
    <w:p w14:paraId="43F8EF47" w14:textId="77777777" w:rsidR="003F0352" w:rsidRPr="003F0352" w:rsidRDefault="003F0352" w:rsidP="003F0352">
      <w:pPr>
        <w:autoSpaceDE w:val="0"/>
        <w:autoSpaceDN w:val="0"/>
        <w:adjustRightInd w:val="0"/>
        <w:spacing w:line="360" w:lineRule="auto"/>
        <w:ind w:firstLine="708"/>
        <w:jc w:val="both"/>
        <w:rPr>
          <w:rFonts w:ascii="Abadi" w:eastAsia="Batang" w:hAnsi="Abadi" w:cs="Arial"/>
          <w:i/>
          <w:iCs/>
          <w:sz w:val="21"/>
          <w:szCs w:val="21"/>
          <w:lang w:val="es-MX" w:eastAsia="en-US"/>
        </w:rPr>
      </w:pPr>
      <w:r w:rsidRPr="003F0352">
        <w:rPr>
          <w:rFonts w:ascii="Abadi" w:eastAsia="Batang" w:hAnsi="Abadi" w:cs="Arial"/>
          <w:sz w:val="21"/>
          <w:szCs w:val="21"/>
          <w:lang w:val="es-MX" w:eastAsia="en-US"/>
        </w:rPr>
        <w:t xml:space="preserve">Las diputadas y los diputados que integramos la Comisión de Gobernación y Puntos Constitucionales, consideramos oportuno realizar un análisis general del objetivo de la presente </w:t>
      </w:r>
      <w:r w:rsidRPr="003F0352">
        <w:rPr>
          <w:rFonts w:ascii="Abadi" w:eastAsia="Batang" w:hAnsi="Abadi" w:cs="Arial"/>
          <w:sz w:val="21"/>
          <w:szCs w:val="21"/>
          <w:lang w:val="es-MX" w:eastAsia="en-US"/>
        </w:rPr>
        <w:lastRenderedPageBreak/>
        <w:t xml:space="preserve">iniciativa </w:t>
      </w:r>
      <w:r w:rsidRPr="003F0352">
        <w:rPr>
          <w:rFonts w:ascii="Abadi" w:eastAsia="Batang" w:hAnsi="Abadi" w:cs="Arial"/>
          <w:i/>
          <w:iCs/>
          <w:sz w:val="21"/>
          <w:szCs w:val="21"/>
          <w:lang w:val="es-MX" w:eastAsia="en-US"/>
        </w:rPr>
        <w:t>al establecer el parámetro mínimo que debe observar el informe que rinda la Fiscalía General del Estado, de acuerdo con su función sustantiva, que es la procuración de justicia, en específico en relación a los hechos delictivos de los cuales tiene conocimiento y participa en su investigación y procesamiento ante la autoridad jurisdiccional penal.</w:t>
      </w:r>
    </w:p>
    <w:p w14:paraId="40004C23" w14:textId="77777777" w:rsidR="003F0352" w:rsidRPr="003F0352" w:rsidRDefault="003F0352" w:rsidP="003F0352">
      <w:pPr>
        <w:autoSpaceDE w:val="0"/>
        <w:autoSpaceDN w:val="0"/>
        <w:adjustRightInd w:val="0"/>
        <w:spacing w:line="360" w:lineRule="auto"/>
        <w:ind w:firstLine="708"/>
        <w:jc w:val="both"/>
        <w:rPr>
          <w:rFonts w:ascii="Abadi" w:eastAsia="Batang" w:hAnsi="Abadi" w:cs="Arial"/>
          <w:sz w:val="21"/>
          <w:szCs w:val="21"/>
          <w:lang w:val="es-MX" w:eastAsia="en-US"/>
        </w:rPr>
      </w:pPr>
    </w:p>
    <w:p w14:paraId="6675B048" w14:textId="77777777" w:rsidR="003F0352" w:rsidRPr="003F0352" w:rsidRDefault="003F0352" w:rsidP="003F0352">
      <w:pPr>
        <w:autoSpaceDE w:val="0"/>
        <w:autoSpaceDN w:val="0"/>
        <w:adjustRightInd w:val="0"/>
        <w:spacing w:line="360" w:lineRule="auto"/>
        <w:ind w:firstLine="708"/>
        <w:jc w:val="both"/>
        <w:rPr>
          <w:rFonts w:ascii="Abadi" w:eastAsia="Batang" w:hAnsi="Abadi" w:cs="Arial"/>
          <w:sz w:val="21"/>
          <w:szCs w:val="21"/>
          <w:lang w:val="es-MX" w:eastAsia="en-US"/>
        </w:rPr>
      </w:pPr>
      <w:r w:rsidRPr="003F0352">
        <w:rPr>
          <w:rFonts w:ascii="Abadi" w:eastAsia="Batang" w:hAnsi="Abadi" w:cs="Arial"/>
          <w:sz w:val="21"/>
          <w:szCs w:val="21"/>
          <w:lang w:val="es-MX" w:eastAsia="en-US"/>
        </w:rPr>
        <w:t xml:space="preserve">Es decir, el iniciante se propone reformar el párrafo penúltimo del artículo 95 de la Constitución Política para el Estado de Guanajuato, </w:t>
      </w:r>
      <w:r w:rsidRPr="003F0352">
        <w:rPr>
          <w:rFonts w:ascii="Abadi" w:eastAsia="Batang" w:hAnsi="Abadi" w:cs="Arial"/>
          <w:i/>
          <w:iCs/>
          <w:sz w:val="21"/>
          <w:szCs w:val="21"/>
          <w:lang w:val="es-MX" w:eastAsia="en-US"/>
        </w:rPr>
        <w:t>estableciendo el contenido esencial del informe de la Fiscalía General del Estado</w:t>
      </w:r>
      <w:r w:rsidRPr="003F0352">
        <w:rPr>
          <w:rFonts w:ascii="Abadi" w:eastAsia="Batang" w:hAnsi="Abadi" w:cs="Arial"/>
          <w:sz w:val="21"/>
          <w:szCs w:val="21"/>
          <w:lang w:val="es-MX" w:eastAsia="en-US"/>
        </w:rPr>
        <w:t xml:space="preserve">. </w:t>
      </w:r>
    </w:p>
    <w:p w14:paraId="4BF8A4A1" w14:textId="77777777" w:rsidR="003F0352" w:rsidRPr="003F0352" w:rsidRDefault="003F0352" w:rsidP="003F0352">
      <w:pPr>
        <w:autoSpaceDE w:val="0"/>
        <w:autoSpaceDN w:val="0"/>
        <w:adjustRightInd w:val="0"/>
        <w:spacing w:line="276" w:lineRule="auto"/>
        <w:jc w:val="both"/>
        <w:rPr>
          <w:rFonts w:ascii="Abadi" w:eastAsia="Batang" w:hAnsi="Abadi" w:cs="Arial"/>
          <w:b/>
          <w:bCs/>
          <w:sz w:val="21"/>
          <w:szCs w:val="21"/>
          <w:lang w:val="es-MX" w:eastAsia="en-US"/>
        </w:rPr>
      </w:pPr>
      <w:r w:rsidRPr="003F0352">
        <w:rPr>
          <w:rFonts w:ascii="Abadi" w:eastAsia="Batang" w:hAnsi="Abadi" w:cs="Arial"/>
          <w:b/>
          <w:bCs/>
          <w:sz w:val="21"/>
          <w:szCs w:val="21"/>
          <w:lang w:val="es-MX" w:eastAsia="en-US"/>
        </w:rPr>
        <w:t xml:space="preserve">III.1. Análisis de la propuesta de reforma al artículo 95 constitucional para incluir parámetros mínimos al informe anual de la Fiscalía General del Estado </w:t>
      </w:r>
    </w:p>
    <w:p w14:paraId="1CD0929A" w14:textId="77777777" w:rsidR="003F0352" w:rsidRPr="003F0352" w:rsidRDefault="003F0352" w:rsidP="003F0352">
      <w:pPr>
        <w:autoSpaceDE w:val="0"/>
        <w:autoSpaceDN w:val="0"/>
        <w:adjustRightInd w:val="0"/>
        <w:spacing w:line="360" w:lineRule="auto"/>
        <w:ind w:firstLine="708"/>
        <w:jc w:val="both"/>
        <w:rPr>
          <w:rFonts w:ascii="Abadi" w:eastAsia="Batang" w:hAnsi="Abadi" w:cs="Arial"/>
          <w:sz w:val="21"/>
          <w:szCs w:val="21"/>
          <w:lang w:val="es-MX" w:eastAsia="en-US"/>
        </w:rPr>
      </w:pPr>
    </w:p>
    <w:p w14:paraId="0894D6D2" w14:textId="77777777" w:rsidR="003F0352" w:rsidRPr="003F0352" w:rsidRDefault="003F0352" w:rsidP="003F0352">
      <w:pPr>
        <w:autoSpaceDE w:val="0"/>
        <w:autoSpaceDN w:val="0"/>
        <w:adjustRightInd w:val="0"/>
        <w:spacing w:line="360" w:lineRule="auto"/>
        <w:ind w:firstLine="708"/>
        <w:jc w:val="both"/>
        <w:rPr>
          <w:rFonts w:ascii="Abadi" w:eastAsia="Batang" w:hAnsi="Abadi" w:cs="Arial"/>
          <w:sz w:val="21"/>
          <w:szCs w:val="21"/>
          <w:lang w:val="es-MX" w:eastAsia="en-US"/>
        </w:rPr>
      </w:pPr>
      <w:r w:rsidRPr="003F0352">
        <w:rPr>
          <w:rFonts w:ascii="Abadi" w:eastAsia="Batang" w:hAnsi="Abadi" w:cs="Arial"/>
          <w:sz w:val="21"/>
          <w:szCs w:val="21"/>
          <w:lang w:val="es-MX" w:eastAsia="en-US"/>
        </w:rPr>
        <w:t xml:space="preserve">Las diputadas y los diputados que integramos la Comisión de Gobernación y Puntos Constitucionales partimos este análisis al manifestar que el Estado de Derecho es un principio de gobernanza en el que todas las personas, instituciones y entidades, públicas y privadas, incluido el propio Estado, están sometidas a leyes que se promulgan públicamente, se hacen cumplir por igual y se aplican con independencia, además de ser compatibles con las normas y los principios internacionales de derechos humanos. Asimismo, exige que se adopten medidas para garantizar el respeto de los principios de primacía de la ley, igualdad ante la ley, separación de poderes, participación en la adopción de decisiones, </w:t>
      </w:r>
      <w:r w:rsidRPr="003F0352">
        <w:rPr>
          <w:rFonts w:ascii="Abadi" w:eastAsia="Batang" w:hAnsi="Abadi" w:cs="Arial"/>
          <w:sz w:val="21"/>
          <w:szCs w:val="21"/>
          <w:lang w:val="es-MX" w:eastAsia="en-US"/>
        </w:rPr>
        <w:t>legalidad, no arbitrariedad, y transparencia procesal y legal</w:t>
      </w:r>
      <w:r w:rsidRPr="003F0352">
        <w:rPr>
          <w:rFonts w:ascii="Abadi" w:eastAsia="Batang" w:hAnsi="Abadi" w:cs="Arial"/>
          <w:sz w:val="21"/>
          <w:szCs w:val="21"/>
          <w:vertAlign w:val="superscript"/>
          <w:lang w:val="es-MX" w:eastAsia="en-US"/>
        </w:rPr>
        <w:footnoteReference w:id="58"/>
      </w:r>
    </w:p>
    <w:p w14:paraId="5101E498" w14:textId="77777777" w:rsidR="003F0352" w:rsidRPr="003F0352" w:rsidRDefault="003F0352" w:rsidP="003F0352">
      <w:pPr>
        <w:autoSpaceDE w:val="0"/>
        <w:autoSpaceDN w:val="0"/>
        <w:adjustRightInd w:val="0"/>
        <w:spacing w:line="360" w:lineRule="auto"/>
        <w:ind w:firstLine="708"/>
        <w:jc w:val="both"/>
        <w:rPr>
          <w:rFonts w:ascii="Abadi" w:eastAsia="Batang" w:hAnsi="Abadi" w:cs="Arial"/>
          <w:sz w:val="21"/>
          <w:szCs w:val="21"/>
          <w:lang w:val="es-MX" w:eastAsia="en-US"/>
        </w:rPr>
      </w:pPr>
    </w:p>
    <w:p w14:paraId="5E2C414F" w14:textId="345BAC2E" w:rsidR="003F0352" w:rsidRPr="003F0352" w:rsidRDefault="003F0352" w:rsidP="003F0352">
      <w:pPr>
        <w:autoSpaceDE w:val="0"/>
        <w:autoSpaceDN w:val="0"/>
        <w:adjustRightInd w:val="0"/>
        <w:spacing w:line="360" w:lineRule="auto"/>
        <w:ind w:firstLine="708"/>
        <w:jc w:val="both"/>
        <w:rPr>
          <w:rFonts w:ascii="Abadi" w:eastAsia="Batang" w:hAnsi="Abadi" w:cs="Arial"/>
          <w:sz w:val="21"/>
          <w:szCs w:val="21"/>
          <w:lang w:val="es-MX" w:eastAsia="en-US"/>
        </w:rPr>
      </w:pPr>
      <w:r w:rsidRPr="003F0352">
        <w:rPr>
          <w:rFonts w:ascii="Abadi" w:eastAsia="Batang" w:hAnsi="Abadi" w:cs="Arial"/>
          <w:sz w:val="21"/>
          <w:szCs w:val="21"/>
          <w:lang w:val="es-MX" w:eastAsia="en-US"/>
        </w:rPr>
        <w:t>Por ello el Estado de Derecho giraba en torno a individuos y a concepciones individualistas. Por lo mismo, las posibilidades de transparentar estuvieron relacionadas con ellos, y más específicamente, con el ejercicio que los individuos hicieran de sus derechos.</w:t>
      </w:r>
    </w:p>
    <w:p w14:paraId="62D24E70" w14:textId="77777777" w:rsidR="003F0352" w:rsidRPr="003F0352" w:rsidRDefault="003F0352" w:rsidP="003F0352">
      <w:pPr>
        <w:autoSpaceDE w:val="0"/>
        <w:autoSpaceDN w:val="0"/>
        <w:adjustRightInd w:val="0"/>
        <w:spacing w:line="360" w:lineRule="auto"/>
        <w:ind w:firstLine="708"/>
        <w:jc w:val="both"/>
        <w:rPr>
          <w:rFonts w:ascii="Abadi" w:eastAsia="Batang" w:hAnsi="Abadi" w:cs="Arial"/>
          <w:sz w:val="21"/>
          <w:szCs w:val="21"/>
          <w:lang w:val="es-MX" w:eastAsia="en-US"/>
        </w:rPr>
      </w:pPr>
      <w:r w:rsidRPr="003F0352">
        <w:rPr>
          <w:rFonts w:ascii="Abadi" w:eastAsia="Batang" w:hAnsi="Abadi" w:cs="Arial"/>
          <w:sz w:val="21"/>
          <w:szCs w:val="21"/>
          <w:lang w:val="es-MX" w:eastAsia="en-US"/>
        </w:rPr>
        <w:t>Bajo este parámetro y retomando lo manifestado por Montesquieu</w:t>
      </w:r>
      <w:r w:rsidRPr="003F0352">
        <w:rPr>
          <w:rFonts w:ascii="Abadi" w:eastAsia="Batang" w:hAnsi="Abadi" w:cs="Arial"/>
          <w:sz w:val="21"/>
          <w:szCs w:val="21"/>
          <w:vertAlign w:val="superscript"/>
          <w:lang w:val="es-MX" w:eastAsia="en-US"/>
        </w:rPr>
        <w:footnoteReference w:id="59"/>
      </w:r>
      <w:r w:rsidRPr="003F0352">
        <w:rPr>
          <w:rFonts w:ascii="Abadi" w:eastAsia="Batang" w:hAnsi="Abadi" w:cs="Arial"/>
          <w:sz w:val="21"/>
          <w:szCs w:val="21"/>
          <w:lang w:val="es-MX" w:eastAsia="en-US"/>
        </w:rPr>
        <w:t xml:space="preserve"> en su momento que dijo, cuando el poder legislativo y el poder ejecutivo se reúnen en la misma persona o el mismo cuerpo, no hay libertad, falta la confianza, porque puede temerse que el monarca o el Senado hagan leyes tiránicas y las ejecuten ellos mismos tiránicamente. </w:t>
      </w:r>
    </w:p>
    <w:p w14:paraId="3917F741" w14:textId="77777777" w:rsidR="003F0352" w:rsidRPr="003F0352" w:rsidRDefault="003F0352" w:rsidP="003F0352">
      <w:pPr>
        <w:autoSpaceDE w:val="0"/>
        <w:autoSpaceDN w:val="0"/>
        <w:adjustRightInd w:val="0"/>
        <w:spacing w:line="360" w:lineRule="auto"/>
        <w:ind w:firstLine="708"/>
        <w:jc w:val="both"/>
        <w:rPr>
          <w:rFonts w:ascii="Abadi" w:hAnsi="Abadi" w:cs="Century Gothic"/>
          <w:color w:val="000000"/>
          <w:sz w:val="21"/>
          <w:szCs w:val="21"/>
          <w:lang w:val="es-MX" w:eastAsia="es-MX"/>
        </w:rPr>
      </w:pPr>
      <w:r w:rsidRPr="003F0352">
        <w:rPr>
          <w:rFonts w:ascii="Abadi" w:hAnsi="Abadi" w:cs="Century Gothic"/>
          <w:color w:val="000000"/>
          <w:sz w:val="21"/>
          <w:szCs w:val="21"/>
          <w:lang w:val="es-MX" w:eastAsia="es-MX"/>
        </w:rPr>
        <w:t xml:space="preserve">Esto así se vio la imperiosa necesidad de crear un órgano exclusivo y autónomo, encargado de producir aquellas normas jurídicas que expresen, de la mejor manera posible, la voluntad de una comunidad a través de un proceso legislativo perfectamente definido y contemplado en un ordenamiento jurídico. A este órgano del Estado se le denomina: </w:t>
      </w:r>
      <w:r w:rsidRPr="003F0352">
        <w:rPr>
          <w:rFonts w:ascii="Abadi" w:hAnsi="Abadi" w:cs="Century Gothic"/>
          <w:i/>
          <w:iCs/>
          <w:color w:val="000000"/>
          <w:sz w:val="21"/>
          <w:szCs w:val="21"/>
          <w:lang w:val="es-MX" w:eastAsia="es-MX"/>
        </w:rPr>
        <w:t>Poder Legislativo</w:t>
      </w:r>
      <w:r w:rsidRPr="003F0352">
        <w:rPr>
          <w:rFonts w:ascii="Abadi" w:hAnsi="Abadi" w:cs="Century Gothic"/>
          <w:color w:val="000000"/>
          <w:sz w:val="21"/>
          <w:szCs w:val="21"/>
          <w:lang w:val="es-MX" w:eastAsia="es-MX"/>
        </w:rPr>
        <w:t>, quien es el encargado de emitir, en razón de su origen y procedimiento de elaboración, las normas jurídicas encargadas de direccionar y reglar las conductas sociales y gubernamentales de sus miembros, ya sea a través de una ley o de la misma Constitución.</w:t>
      </w:r>
      <w:r w:rsidRPr="003F0352">
        <w:rPr>
          <w:rFonts w:ascii="Abadi" w:hAnsi="Abadi" w:cs="Century Gothic"/>
          <w:color w:val="000000"/>
          <w:sz w:val="21"/>
          <w:szCs w:val="21"/>
          <w:vertAlign w:val="superscript"/>
          <w:lang w:val="es-MX" w:eastAsia="es-MX"/>
        </w:rPr>
        <w:footnoteReference w:id="60"/>
      </w:r>
    </w:p>
    <w:p w14:paraId="677546E9" w14:textId="77777777" w:rsidR="003F0352" w:rsidRPr="003F0352" w:rsidRDefault="003F0352" w:rsidP="003F0352">
      <w:pPr>
        <w:autoSpaceDE w:val="0"/>
        <w:autoSpaceDN w:val="0"/>
        <w:adjustRightInd w:val="0"/>
        <w:spacing w:line="360" w:lineRule="auto"/>
        <w:ind w:firstLine="708"/>
        <w:jc w:val="both"/>
        <w:rPr>
          <w:rFonts w:ascii="Abadi" w:hAnsi="Abadi" w:cs="Century Gothic"/>
          <w:color w:val="000000"/>
          <w:sz w:val="21"/>
          <w:szCs w:val="21"/>
          <w:lang w:val="es-MX" w:eastAsia="es-MX"/>
        </w:rPr>
      </w:pPr>
    </w:p>
    <w:p w14:paraId="192E51BB" w14:textId="77777777" w:rsidR="003F0352" w:rsidRPr="003F0352" w:rsidRDefault="003F0352" w:rsidP="003F0352">
      <w:pPr>
        <w:autoSpaceDE w:val="0"/>
        <w:autoSpaceDN w:val="0"/>
        <w:adjustRightInd w:val="0"/>
        <w:spacing w:line="360" w:lineRule="auto"/>
        <w:ind w:firstLine="708"/>
        <w:jc w:val="both"/>
        <w:rPr>
          <w:rFonts w:ascii="Abadi" w:hAnsi="Abadi" w:cs="Century Gothic"/>
          <w:color w:val="000000"/>
          <w:sz w:val="21"/>
          <w:szCs w:val="21"/>
          <w:lang w:val="es-MX" w:eastAsia="es-MX"/>
        </w:rPr>
      </w:pPr>
      <w:r w:rsidRPr="003F0352">
        <w:rPr>
          <w:rFonts w:ascii="Abadi" w:hAnsi="Abadi" w:cs="Century Gothic"/>
          <w:color w:val="000000"/>
          <w:sz w:val="21"/>
          <w:szCs w:val="21"/>
          <w:lang w:val="es-MX" w:eastAsia="es-MX"/>
        </w:rPr>
        <w:t xml:space="preserve">Así, las funciones de un Poder Legislativo son legislar, fiscalizar y representar, pero dentro </w:t>
      </w:r>
      <w:r w:rsidRPr="003F0352">
        <w:rPr>
          <w:rFonts w:ascii="Abadi" w:hAnsi="Abadi" w:cs="Century Gothic"/>
          <w:color w:val="000000"/>
          <w:sz w:val="21"/>
          <w:szCs w:val="21"/>
          <w:lang w:val="es-MX" w:eastAsia="es-MX"/>
        </w:rPr>
        <w:lastRenderedPageBreak/>
        <w:t>de las parlamentarias más comunes pueden llegar a ser: representativas, deliberativas, financieras, presupuestarias, de control-fiscalización, orientación política, legislativas, y jurisdiccionales. Estas funciones no siempre son ejercidas en el orden enunciado y algunas de las acciones que sirven para una de ellas pueden también ser aplicadas en otras, de tal manera que se entretejen en la realidad de los fenómenos políticos inherentes al ejercicio de la representación del electorado y de las distintas fuerzas sociales y económicas que cada realidad social genera, mismas que han de ser evaluadas, controladas, conciliadas y coordinadas con el fin de que formen un todo coherente.</w:t>
      </w:r>
    </w:p>
    <w:p w14:paraId="21023ACB" w14:textId="77777777" w:rsidR="003F0352" w:rsidRPr="003F0352" w:rsidRDefault="003F0352" w:rsidP="003F0352">
      <w:pPr>
        <w:autoSpaceDE w:val="0"/>
        <w:autoSpaceDN w:val="0"/>
        <w:adjustRightInd w:val="0"/>
        <w:spacing w:line="360" w:lineRule="auto"/>
        <w:ind w:firstLine="708"/>
        <w:jc w:val="both"/>
        <w:rPr>
          <w:rFonts w:ascii="Abadi" w:hAnsi="Abadi" w:cs="Century Gothic"/>
          <w:color w:val="000000"/>
          <w:sz w:val="21"/>
          <w:szCs w:val="21"/>
          <w:lang w:val="es-MX" w:eastAsia="es-MX"/>
        </w:rPr>
      </w:pPr>
    </w:p>
    <w:p w14:paraId="6D9638A3" w14:textId="77777777" w:rsidR="003F0352" w:rsidRPr="003F0352" w:rsidRDefault="003F0352" w:rsidP="003F0352">
      <w:pPr>
        <w:autoSpaceDE w:val="0"/>
        <w:autoSpaceDN w:val="0"/>
        <w:adjustRightInd w:val="0"/>
        <w:spacing w:line="360" w:lineRule="auto"/>
        <w:ind w:firstLine="708"/>
        <w:jc w:val="both"/>
        <w:rPr>
          <w:rFonts w:ascii="Abadi" w:hAnsi="Abadi" w:cs="Century Gothic"/>
          <w:color w:val="000000"/>
          <w:sz w:val="21"/>
          <w:szCs w:val="21"/>
          <w:lang w:val="es-MX" w:eastAsia="es-MX"/>
        </w:rPr>
      </w:pPr>
      <w:r w:rsidRPr="003F0352">
        <w:rPr>
          <w:rFonts w:ascii="Abadi" w:hAnsi="Abadi" w:cs="Century Gothic"/>
          <w:color w:val="000000"/>
          <w:sz w:val="21"/>
          <w:szCs w:val="21"/>
          <w:lang w:val="es-MX" w:eastAsia="es-MX"/>
        </w:rPr>
        <w:t>Por otro lado y aunado al análisis de esta propuesta es importante referir que el derecho a la información tiene su origen específico en 1948, con la Declaración Universal de Derechos Humanos, al prever en su artículo 19 que todo individuo tiene derecho a la libertad de opinión y de expresión; este derecho incluye el de no ser molestado a causa de sus opiniones, el de investigar y recibir informaciones y opiniones y el de difundirlas, sin limitación de fronteras, por cualquier medio de expresión. En nuestro país, el derecho de acceso a la información se incorporó mediante la reforma al artículo sexto constitucional de diciembre de 1977.</w:t>
      </w:r>
    </w:p>
    <w:p w14:paraId="3707BC94" w14:textId="77777777" w:rsidR="003F0352" w:rsidRPr="003F0352" w:rsidRDefault="003F0352" w:rsidP="003F0352">
      <w:pPr>
        <w:autoSpaceDE w:val="0"/>
        <w:autoSpaceDN w:val="0"/>
        <w:adjustRightInd w:val="0"/>
        <w:spacing w:line="360" w:lineRule="auto"/>
        <w:ind w:firstLine="708"/>
        <w:jc w:val="both"/>
        <w:rPr>
          <w:rFonts w:ascii="Abadi" w:hAnsi="Abadi" w:cs="Century Gothic"/>
          <w:color w:val="000000"/>
          <w:sz w:val="21"/>
          <w:szCs w:val="21"/>
          <w:lang w:val="es-MX" w:eastAsia="es-MX"/>
        </w:rPr>
      </w:pPr>
    </w:p>
    <w:p w14:paraId="3EDA3AE1" w14:textId="77777777" w:rsidR="003F0352" w:rsidRPr="003F0352" w:rsidRDefault="003F0352" w:rsidP="003F0352">
      <w:pPr>
        <w:autoSpaceDE w:val="0"/>
        <w:autoSpaceDN w:val="0"/>
        <w:adjustRightInd w:val="0"/>
        <w:spacing w:line="360" w:lineRule="auto"/>
        <w:ind w:firstLine="708"/>
        <w:jc w:val="both"/>
        <w:rPr>
          <w:rFonts w:ascii="Abadi" w:hAnsi="Abadi" w:cs="Century Gothic"/>
          <w:color w:val="000000"/>
          <w:sz w:val="21"/>
          <w:szCs w:val="21"/>
          <w:lang w:val="es-MX" w:eastAsia="es-MX"/>
        </w:rPr>
      </w:pPr>
      <w:r w:rsidRPr="003F0352">
        <w:rPr>
          <w:rFonts w:ascii="Abadi" w:hAnsi="Abadi" w:cs="Century Gothic"/>
          <w:color w:val="000000"/>
          <w:sz w:val="21"/>
          <w:szCs w:val="21"/>
          <w:lang w:val="es-MX" w:eastAsia="es-MX"/>
        </w:rPr>
        <w:t xml:space="preserve">En esa misma línea argumentativa, la transparencia debe entenderse como la obligación de quienes detentan una </w:t>
      </w:r>
      <w:r w:rsidRPr="003F0352">
        <w:rPr>
          <w:rFonts w:ascii="Abadi" w:hAnsi="Abadi" w:cs="Century Gothic"/>
          <w:color w:val="000000"/>
          <w:sz w:val="21"/>
          <w:szCs w:val="21"/>
          <w:lang w:val="es-MX" w:eastAsia="es-MX"/>
        </w:rPr>
        <w:t>responsabilidad en cualquiera de los Poderes del Estado y sus instituciones que lleva aparejado un derecho específico: el de acceso a la información. Por su parte, la rendición de cuentas es un elemento fundamental para contribuir a la consolidación de la vida democrática del país y tiene que ver con el deber que tienen las instituciones públicas que administran recursos públicos, de informar, justificar y explicar, ante la autoridad y la ciudadanía, sus decisiones, funciones y el uso de los fondos asignados, así como los resultados obtenidos.</w:t>
      </w:r>
      <w:r w:rsidRPr="003F0352">
        <w:rPr>
          <w:rFonts w:ascii="Abadi" w:hAnsi="Abadi" w:cs="Century Gothic"/>
          <w:color w:val="000000"/>
          <w:sz w:val="21"/>
          <w:szCs w:val="21"/>
          <w:vertAlign w:val="superscript"/>
          <w:lang w:val="es-MX" w:eastAsia="es-MX"/>
        </w:rPr>
        <w:footnoteReference w:id="61"/>
      </w:r>
    </w:p>
    <w:p w14:paraId="55119DA8" w14:textId="77777777" w:rsidR="003F0352" w:rsidRPr="003F0352" w:rsidRDefault="003F0352" w:rsidP="003F0352">
      <w:pPr>
        <w:autoSpaceDE w:val="0"/>
        <w:autoSpaceDN w:val="0"/>
        <w:adjustRightInd w:val="0"/>
        <w:spacing w:line="360" w:lineRule="auto"/>
        <w:ind w:firstLine="708"/>
        <w:jc w:val="both"/>
        <w:rPr>
          <w:rFonts w:ascii="Abadi" w:hAnsi="Abadi" w:cs="Century Gothic"/>
          <w:color w:val="000000"/>
          <w:sz w:val="21"/>
          <w:szCs w:val="21"/>
          <w:lang w:val="es-MX" w:eastAsia="es-MX"/>
        </w:rPr>
      </w:pPr>
    </w:p>
    <w:p w14:paraId="0E2392B8" w14:textId="4A725AC8" w:rsidR="003F0352" w:rsidRPr="003F0352" w:rsidRDefault="003F0352" w:rsidP="002F22FF">
      <w:pPr>
        <w:autoSpaceDE w:val="0"/>
        <w:autoSpaceDN w:val="0"/>
        <w:adjustRightInd w:val="0"/>
        <w:spacing w:line="360" w:lineRule="auto"/>
        <w:ind w:firstLine="708"/>
        <w:jc w:val="both"/>
        <w:rPr>
          <w:rFonts w:ascii="Abadi" w:hAnsi="Abadi" w:cs="Century Gothic"/>
          <w:color w:val="000000"/>
          <w:sz w:val="21"/>
          <w:szCs w:val="21"/>
          <w:lang w:val="es-MX" w:eastAsia="es-MX"/>
        </w:rPr>
      </w:pPr>
      <w:r w:rsidRPr="003F0352">
        <w:rPr>
          <w:rFonts w:ascii="Abadi" w:hAnsi="Abadi" w:cs="Century Gothic"/>
          <w:color w:val="000000"/>
          <w:sz w:val="21"/>
          <w:szCs w:val="21"/>
          <w:lang w:val="es-MX" w:eastAsia="es-MX"/>
        </w:rPr>
        <w:t xml:space="preserve">En cualquier relación de rendición de cuentas se deben poder especificar por lo menos seis cuestiones importantes: quién es el responsable o debe rendir cuentas y ante quien; de qué son responsables cuando son llamados a dar cuentas, mediante qué procesos se puede asegurar que rindan cuentas; qué criterios se utilizan para juzgar el comportamiento putativo y, cuáles son los efectos potenciales para saber que esos estándares han sido violados. </w:t>
      </w:r>
    </w:p>
    <w:p w14:paraId="05C04D7A" w14:textId="77777777" w:rsidR="003F0352" w:rsidRPr="003F0352" w:rsidRDefault="003F0352" w:rsidP="003F0352">
      <w:pPr>
        <w:autoSpaceDE w:val="0"/>
        <w:autoSpaceDN w:val="0"/>
        <w:adjustRightInd w:val="0"/>
        <w:spacing w:line="360" w:lineRule="auto"/>
        <w:ind w:firstLine="708"/>
        <w:jc w:val="both"/>
        <w:rPr>
          <w:rFonts w:ascii="Abadi" w:eastAsia="Batang" w:hAnsi="Abadi" w:cs="Arial"/>
          <w:sz w:val="21"/>
          <w:szCs w:val="21"/>
          <w:lang w:val="es-MX" w:eastAsia="en-US"/>
        </w:rPr>
      </w:pPr>
    </w:p>
    <w:p w14:paraId="3D68F060" w14:textId="77777777" w:rsidR="003F0352" w:rsidRPr="003F0352" w:rsidRDefault="003F0352" w:rsidP="003F0352">
      <w:pPr>
        <w:autoSpaceDE w:val="0"/>
        <w:autoSpaceDN w:val="0"/>
        <w:adjustRightInd w:val="0"/>
        <w:spacing w:line="360" w:lineRule="auto"/>
        <w:ind w:firstLine="708"/>
        <w:jc w:val="both"/>
        <w:rPr>
          <w:rFonts w:ascii="Abadi" w:eastAsia="Batang" w:hAnsi="Abadi" w:cs="Arial"/>
          <w:sz w:val="21"/>
          <w:szCs w:val="21"/>
          <w:lang w:val="es-MX" w:eastAsia="en-US"/>
        </w:rPr>
      </w:pPr>
      <w:r w:rsidRPr="003F0352">
        <w:rPr>
          <w:rFonts w:ascii="Abadi" w:eastAsia="Batang" w:hAnsi="Abadi" w:cs="Arial"/>
          <w:sz w:val="21"/>
          <w:szCs w:val="21"/>
          <w:lang w:val="es-MX" w:eastAsia="en-US"/>
        </w:rPr>
        <w:t xml:space="preserve">En ese sentido, quienes dictaminamos consideramos que de una revisión de las disposiciones de la Constitución Política de los Estados Unidos Mexicanos, así como de las correspondientes en la Constitución Política para el Estado de Guanajuato se aprecia que diversos organismos o los titulares de los mismos, son los responsables de garantizar el cumplimiento del derecho de acceso a la información pública y a la protección de datos personales; el encargado de </w:t>
      </w:r>
      <w:r w:rsidRPr="003F0352">
        <w:rPr>
          <w:rFonts w:ascii="Abadi" w:eastAsia="Batang" w:hAnsi="Abadi" w:cs="Arial"/>
          <w:sz w:val="21"/>
          <w:szCs w:val="21"/>
          <w:lang w:val="es-MX" w:eastAsia="en-US"/>
        </w:rPr>
        <w:lastRenderedPageBreak/>
        <w:t>proveer el servicio de radiodifusión sin fines de lucro; el encargado de la medición de la pobreza y de la evaluación de los programas, objetivos, metas y acciones de la política de desarrollo social; la Comisión Federal de Competencia Económica y el Instituto Federal de Telecomunicaciones; el presidente del órgano defensor y protector de los Derechos Humanos, entre otros, tienen la obligación de rendir o presentar a los poderes de la unión o a los poderes del Estado, un informe anual de actividades, lo cual es acorde a los principios que deben regir a la transparencia y rendición de cuentas a las que estan sujetos dichas autoridades.</w:t>
      </w:r>
    </w:p>
    <w:p w14:paraId="7DDA6F68" w14:textId="77777777" w:rsidR="003F0352" w:rsidRPr="003F0352" w:rsidRDefault="003F0352" w:rsidP="003F0352">
      <w:pPr>
        <w:autoSpaceDE w:val="0"/>
        <w:autoSpaceDN w:val="0"/>
        <w:adjustRightInd w:val="0"/>
        <w:spacing w:line="276" w:lineRule="auto"/>
        <w:ind w:firstLine="708"/>
        <w:jc w:val="both"/>
        <w:rPr>
          <w:rFonts w:ascii="Abadi" w:eastAsia="Batang" w:hAnsi="Abadi" w:cs="Arial"/>
          <w:sz w:val="21"/>
          <w:szCs w:val="21"/>
          <w:lang w:val="es-MX" w:eastAsia="en-US"/>
        </w:rPr>
      </w:pPr>
    </w:p>
    <w:p w14:paraId="3FF0F57F" w14:textId="77777777" w:rsidR="003F0352" w:rsidRPr="003F0352" w:rsidRDefault="003F0352" w:rsidP="003F0352">
      <w:pPr>
        <w:autoSpaceDE w:val="0"/>
        <w:autoSpaceDN w:val="0"/>
        <w:adjustRightInd w:val="0"/>
        <w:spacing w:line="360" w:lineRule="auto"/>
        <w:ind w:firstLine="708"/>
        <w:jc w:val="both"/>
        <w:rPr>
          <w:rFonts w:ascii="Abadi" w:eastAsia="Batang" w:hAnsi="Abadi" w:cs="Arial"/>
          <w:sz w:val="21"/>
          <w:szCs w:val="21"/>
          <w:lang w:val="es-MX" w:eastAsia="en-US"/>
        </w:rPr>
      </w:pPr>
      <w:r w:rsidRPr="003F0352">
        <w:rPr>
          <w:rFonts w:ascii="Abadi" w:eastAsia="Batang" w:hAnsi="Abadi" w:cs="Arial"/>
          <w:sz w:val="21"/>
          <w:szCs w:val="21"/>
          <w:lang w:val="es-MX" w:eastAsia="en-US"/>
        </w:rPr>
        <w:t>De igual forma, nuestro Código Político Local prevé en su artículo 95, penúltimo párrafo que el Fiscal General del Estado presentará anualmente a los Poderes del Estado un informe de actividades y que comparecerá ante el Congreso del Estado cuando se le cite a rendir cuentas o a informar sobre su gestión. Y, la Ley Orgánica de la Fiscalía General del Estado de Guanajuato, publicada en el Periódico Oficial del Gobierno del Estado número 34, Tercera Parte, de fecha 15 de febrero de 2019, tiene por objeto regular la estructura, organización, funcionamiento y atribuciones de la Fiscalía General del Estado de Guanajuato, para el despacho de los asuntos que tienen a su cargo la Institución del Ministerio Público del Estado, y sus órganos auxiliares, así como las demás facultades que le atribuye el marco constitucional y legal.</w:t>
      </w:r>
      <w:r w:rsidRPr="003F0352">
        <w:rPr>
          <w:rFonts w:ascii="Abadi" w:eastAsia="Batang" w:hAnsi="Abadi" w:cs="Arial"/>
          <w:sz w:val="21"/>
          <w:szCs w:val="21"/>
          <w:lang w:val="es-MX" w:eastAsia="en-US"/>
        </w:rPr>
        <w:tab/>
      </w:r>
    </w:p>
    <w:p w14:paraId="1A06E7C6" w14:textId="77777777" w:rsidR="003F0352" w:rsidRPr="003F0352" w:rsidRDefault="003F0352" w:rsidP="003F0352">
      <w:pPr>
        <w:autoSpaceDE w:val="0"/>
        <w:autoSpaceDN w:val="0"/>
        <w:adjustRightInd w:val="0"/>
        <w:spacing w:line="360" w:lineRule="auto"/>
        <w:ind w:firstLine="708"/>
        <w:jc w:val="both"/>
        <w:rPr>
          <w:rFonts w:ascii="Abadi" w:eastAsia="Batang" w:hAnsi="Abadi" w:cs="Arial"/>
          <w:sz w:val="21"/>
          <w:szCs w:val="21"/>
          <w:lang w:val="es-MX" w:eastAsia="en-US"/>
        </w:rPr>
      </w:pPr>
      <w:r w:rsidRPr="003F0352">
        <w:rPr>
          <w:rFonts w:ascii="Abadi" w:eastAsia="Batang" w:hAnsi="Abadi" w:cs="Arial"/>
          <w:sz w:val="21"/>
          <w:szCs w:val="21"/>
          <w:lang w:val="es-MX" w:eastAsia="en-US"/>
        </w:rPr>
        <w:t xml:space="preserve">La obligación de informar establecida en la Constitución Política Local se reglamenta en el artículo 16, fracción II de la Ley Orgánica de la </w:t>
      </w:r>
      <w:r w:rsidRPr="003F0352">
        <w:rPr>
          <w:rFonts w:ascii="Abadi" w:eastAsia="Batang" w:hAnsi="Abadi" w:cs="Arial"/>
          <w:sz w:val="21"/>
          <w:szCs w:val="21"/>
          <w:lang w:val="es-MX" w:eastAsia="en-US"/>
        </w:rPr>
        <w:t xml:space="preserve">Fiscalía General del Estado de Guanajuato al contemplar como atribución para el titular de la Fiscalía General presentar anualmente por escrito, durante el último jueves del mes de febrero, a los Poderes del Estado un informe de actividades, y comparecer ante el Congreso del Estado cuando se le cite a rendir cuentas o a informar sobre su gestión. Por su parte, el artículo 17 prevé que el precitado informe debe contener lo siguiente: </w:t>
      </w:r>
    </w:p>
    <w:p w14:paraId="15F65A38" w14:textId="77777777" w:rsidR="003F0352" w:rsidRPr="003F0352" w:rsidRDefault="003F0352" w:rsidP="003F0352">
      <w:pPr>
        <w:autoSpaceDE w:val="0"/>
        <w:autoSpaceDN w:val="0"/>
        <w:adjustRightInd w:val="0"/>
        <w:ind w:left="1134"/>
        <w:jc w:val="both"/>
        <w:rPr>
          <w:rFonts w:ascii="Abadi" w:hAnsi="Abadi" w:cs="Calibri"/>
          <w:b/>
          <w:bCs/>
          <w:i/>
          <w:iCs/>
          <w:color w:val="000000"/>
          <w:sz w:val="21"/>
          <w:szCs w:val="21"/>
          <w:lang w:val="es-MX" w:eastAsia="es-MX"/>
        </w:rPr>
      </w:pPr>
    </w:p>
    <w:p w14:paraId="26EFCE2B" w14:textId="77777777" w:rsidR="003F0352" w:rsidRPr="003F0352" w:rsidRDefault="003F0352" w:rsidP="003F0352">
      <w:pPr>
        <w:autoSpaceDE w:val="0"/>
        <w:autoSpaceDN w:val="0"/>
        <w:adjustRightInd w:val="0"/>
        <w:ind w:left="1134"/>
        <w:jc w:val="both"/>
        <w:rPr>
          <w:rFonts w:ascii="Abadi" w:hAnsi="Abadi" w:cs="Calibri"/>
          <w:i/>
          <w:iCs/>
          <w:color w:val="000000"/>
          <w:sz w:val="21"/>
          <w:szCs w:val="21"/>
          <w:lang w:val="es-MX" w:eastAsia="es-MX"/>
        </w:rPr>
      </w:pPr>
      <w:r w:rsidRPr="003F0352">
        <w:rPr>
          <w:rFonts w:ascii="Abadi" w:hAnsi="Abadi" w:cs="Calibri"/>
          <w:b/>
          <w:bCs/>
          <w:i/>
          <w:iCs/>
          <w:color w:val="000000"/>
          <w:sz w:val="21"/>
          <w:szCs w:val="21"/>
          <w:lang w:val="es-MX" w:eastAsia="es-MX"/>
        </w:rPr>
        <w:t>«Artículo 17</w:t>
      </w:r>
      <w:r w:rsidRPr="003F0352">
        <w:rPr>
          <w:rFonts w:ascii="Abadi" w:hAnsi="Abadi" w:cs="Calibri"/>
          <w:i/>
          <w:iCs/>
          <w:color w:val="000000"/>
          <w:sz w:val="21"/>
          <w:szCs w:val="21"/>
          <w:lang w:val="es-MX" w:eastAsia="es-MX"/>
        </w:rPr>
        <w:t xml:space="preserve">. El informe anual sobre las actividades de la Fiscalía General que envíe el Fiscal General a los Poderes del Estado deberá contener: </w:t>
      </w:r>
    </w:p>
    <w:p w14:paraId="58C50775" w14:textId="77777777" w:rsidR="003F0352" w:rsidRPr="003F0352" w:rsidRDefault="003F0352" w:rsidP="003F0352">
      <w:pPr>
        <w:autoSpaceDE w:val="0"/>
        <w:autoSpaceDN w:val="0"/>
        <w:adjustRightInd w:val="0"/>
        <w:ind w:left="1134"/>
        <w:jc w:val="both"/>
        <w:rPr>
          <w:rFonts w:ascii="Abadi" w:hAnsi="Abadi" w:cs="Century Gothic"/>
          <w:i/>
          <w:iCs/>
          <w:color w:val="000000"/>
          <w:sz w:val="21"/>
          <w:szCs w:val="21"/>
          <w:lang w:val="es-MX" w:eastAsia="es-MX"/>
        </w:rPr>
      </w:pPr>
    </w:p>
    <w:p w14:paraId="19BC0A6B" w14:textId="77777777" w:rsidR="003F0352" w:rsidRPr="003F0352" w:rsidRDefault="003F0352" w:rsidP="003F0352">
      <w:pPr>
        <w:autoSpaceDE w:val="0"/>
        <w:autoSpaceDN w:val="0"/>
        <w:adjustRightInd w:val="0"/>
        <w:spacing w:after="56"/>
        <w:ind w:left="1134"/>
        <w:jc w:val="both"/>
        <w:rPr>
          <w:rFonts w:ascii="Abadi" w:hAnsi="Abadi" w:cs="Calibri"/>
          <w:i/>
          <w:iCs/>
          <w:color w:val="000000"/>
          <w:sz w:val="21"/>
          <w:szCs w:val="21"/>
          <w:lang w:val="es-MX" w:eastAsia="es-MX"/>
        </w:rPr>
      </w:pPr>
      <w:r w:rsidRPr="003F0352">
        <w:rPr>
          <w:rFonts w:ascii="Abadi" w:hAnsi="Abadi" w:cs="Calibri"/>
          <w:b/>
          <w:bCs/>
          <w:i/>
          <w:iCs/>
          <w:color w:val="000000"/>
          <w:sz w:val="21"/>
          <w:szCs w:val="21"/>
          <w:lang w:val="es-MX" w:eastAsia="es-MX"/>
        </w:rPr>
        <w:t xml:space="preserve">I. </w:t>
      </w:r>
      <w:r w:rsidRPr="003F0352">
        <w:rPr>
          <w:rFonts w:ascii="Abadi" w:hAnsi="Abadi" w:cs="Calibri"/>
          <w:i/>
          <w:iCs/>
          <w:color w:val="000000"/>
          <w:sz w:val="21"/>
          <w:szCs w:val="21"/>
          <w:lang w:val="es-MX" w:eastAsia="es-MX"/>
        </w:rPr>
        <w:t xml:space="preserve">Acciones relevantes realizadas por la Fiscalía General; </w:t>
      </w:r>
    </w:p>
    <w:p w14:paraId="5DE86876" w14:textId="77777777" w:rsidR="003F0352" w:rsidRPr="003F0352" w:rsidRDefault="003F0352" w:rsidP="003F0352">
      <w:pPr>
        <w:autoSpaceDE w:val="0"/>
        <w:autoSpaceDN w:val="0"/>
        <w:adjustRightInd w:val="0"/>
        <w:spacing w:after="56"/>
        <w:ind w:left="1134"/>
        <w:jc w:val="both"/>
        <w:rPr>
          <w:rFonts w:ascii="Abadi" w:hAnsi="Abadi" w:cs="Century Gothic"/>
          <w:i/>
          <w:iCs/>
          <w:color w:val="000000"/>
          <w:sz w:val="21"/>
          <w:szCs w:val="21"/>
          <w:lang w:val="es-MX" w:eastAsia="es-MX"/>
        </w:rPr>
      </w:pPr>
      <w:r w:rsidRPr="003F0352">
        <w:rPr>
          <w:rFonts w:ascii="Abadi" w:hAnsi="Abadi" w:cs="Calibri"/>
          <w:b/>
          <w:bCs/>
          <w:i/>
          <w:iCs/>
          <w:color w:val="000000"/>
          <w:sz w:val="21"/>
          <w:szCs w:val="21"/>
          <w:lang w:val="es-MX" w:eastAsia="es-MX"/>
        </w:rPr>
        <w:t xml:space="preserve">II. </w:t>
      </w:r>
      <w:r w:rsidRPr="003F0352">
        <w:rPr>
          <w:rFonts w:ascii="Abadi" w:hAnsi="Abadi" w:cs="Calibri"/>
          <w:i/>
          <w:iCs/>
          <w:color w:val="000000"/>
          <w:sz w:val="21"/>
          <w:szCs w:val="21"/>
          <w:lang w:val="es-MX" w:eastAsia="es-MX"/>
        </w:rPr>
        <w:t xml:space="preserve">Las acciones de capacitación, promoción y prevención en materia de derechos humanos; </w:t>
      </w:r>
    </w:p>
    <w:p w14:paraId="37FC5C8C" w14:textId="77777777" w:rsidR="003F0352" w:rsidRPr="003F0352" w:rsidRDefault="003F0352" w:rsidP="003F0352">
      <w:pPr>
        <w:autoSpaceDE w:val="0"/>
        <w:autoSpaceDN w:val="0"/>
        <w:adjustRightInd w:val="0"/>
        <w:spacing w:after="56"/>
        <w:ind w:left="1134"/>
        <w:jc w:val="both"/>
        <w:rPr>
          <w:rFonts w:ascii="Abadi" w:hAnsi="Abadi" w:cs="Century Gothic"/>
          <w:i/>
          <w:iCs/>
          <w:color w:val="000000"/>
          <w:sz w:val="21"/>
          <w:szCs w:val="21"/>
          <w:lang w:val="es-MX" w:eastAsia="es-MX"/>
        </w:rPr>
      </w:pPr>
      <w:r w:rsidRPr="003F0352">
        <w:rPr>
          <w:rFonts w:ascii="Abadi" w:hAnsi="Abadi" w:cs="Calibri"/>
          <w:b/>
          <w:bCs/>
          <w:i/>
          <w:iCs/>
          <w:color w:val="000000"/>
          <w:sz w:val="21"/>
          <w:szCs w:val="21"/>
          <w:lang w:val="es-MX" w:eastAsia="es-MX"/>
        </w:rPr>
        <w:t xml:space="preserve">III. </w:t>
      </w:r>
      <w:r w:rsidRPr="003F0352">
        <w:rPr>
          <w:rFonts w:ascii="Abadi" w:hAnsi="Abadi" w:cs="Calibri"/>
          <w:i/>
          <w:iCs/>
          <w:color w:val="000000"/>
          <w:sz w:val="21"/>
          <w:szCs w:val="21"/>
          <w:lang w:val="es-MX" w:eastAsia="es-MX"/>
        </w:rPr>
        <w:t xml:space="preserve">Las recomendaciones hechas por organismos protectores de los derechos humanos, así como las atenciones que se dieron a éstas; </w:t>
      </w:r>
    </w:p>
    <w:p w14:paraId="67772CFD" w14:textId="77777777" w:rsidR="003F0352" w:rsidRPr="003F0352" w:rsidRDefault="003F0352" w:rsidP="003F0352">
      <w:pPr>
        <w:autoSpaceDE w:val="0"/>
        <w:autoSpaceDN w:val="0"/>
        <w:adjustRightInd w:val="0"/>
        <w:spacing w:after="56"/>
        <w:ind w:left="1134"/>
        <w:jc w:val="both"/>
        <w:rPr>
          <w:rFonts w:ascii="Abadi" w:hAnsi="Abadi" w:cs="Century Gothic"/>
          <w:i/>
          <w:iCs/>
          <w:color w:val="000000"/>
          <w:sz w:val="21"/>
          <w:szCs w:val="21"/>
          <w:lang w:val="es-MX" w:eastAsia="es-MX"/>
        </w:rPr>
      </w:pPr>
      <w:r w:rsidRPr="003F0352">
        <w:rPr>
          <w:rFonts w:ascii="Abadi" w:hAnsi="Abadi" w:cs="Calibri"/>
          <w:b/>
          <w:bCs/>
          <w:i/>
          <w:iCs/>
          <w:color w:val="000000"/>
          <w:sz w:val="21"/>
          <w:szCs w:val="21"/>
          <w:lang w:val="es-MX" w:eastAsia="es-MX"/>
        </w:rPr>
        <w:t xml:space="preserve">IV. </w:t>
      </w:r>
      <w:r w:rsidRPr="003F0352">
        <w:rPr>
          <w:rFonts w:ascii="Abadi" w:hAnsi="Abadi" w:cs="Calibri"/>
          <w:i/>
          <w:iCs/>
          <w:color w:val="000000"/>
          <w:sz w:val="21"/>
          <w:szCs w:val="21"/>
          <w:lang w:val="es-MX" w:eastAsia="es-MX"/>
        </w:rPr>
        <w:t xml:space="preserve">La información financiera; y </w:t>
      </w:r>
    </w:p>
    <w:p w14:paraId="6205E6B6" w14:textId="77777777" w:rsidR="003F0352" w:rsidRPr="003F0352" w:rsidRDefault="003F0352" w:rsidP="003F0352">
      <w:pPr>
        <w:autoSpaceDE w:val="0"/>
        <w:autoSpaceDN w:val="0"/>
        <w:adjustRightInd w:val="0"/>
        <w:ind w:left="1134"/>
        <w:jc w:val="both"/>
        <w:rPr>
          <w:rFonts w:ascii="Abadi" w:hAnsi="Abadi" w:cs="Century Gothic"/>
          <w:i/>
          <w:iCs/>
          <w:color w:val="000000"/>
          <w:sz w:val="21"/>
          <w:szCs w:val="21"/>
          <w:lang w:val="es-MX" w:eastAsia="es-MX"/>
        </w:rPr>
      </w:pPr>
      <w:r w:rsidRPr="003F0352">
        <w:rPr>
          <w:rFonts w:ascii="Abadi" w:hAnsi="Abadi" w:cs="Calibri"/>
          <w:b/>
          <w:bCs/>
          <w:i/>
          <w:iCs/>
          <w:color w:val="000000"/>
          <w:sz w:val="21"/>
          <w:szCs w:val="21"/>
          <w:lang w:val="es-MX" w:eastAsia="es-MX"/>
        </w:rPr>
        <w:t xml:space="preserve">V. </w:t>
      </w:r>
      <w:r w:rsidRPr="003F0352">
        <w:rPr>
          <w:rFonts w:ascii="Abadi" w:hAnsi="Abadi" w:cs="Calibri"/>
          <w:i/>
          <w:iCs/>
          <w:color w:val="000000"/>
          <w:sz w:val="21"/>
          <w:szCs w:val="21"/>
          <w:lang w:val="es-MX" w:eastAsia="es-MX"/>
        </w:rPr>
        <w:t xml:space="preserve">Las demás acciones relacionadas con las atribuciones de la Fiscalía General. </w:t>
      </w:r>
    </w:p>
    <w:p w14:paraId="1770B72D" w14:textId="77777777" w:rsidR="003F0352" w:rsidRPr="003F0352" w:rsidRDefault="003F0352" w:rsidP="003F0352">
      <w:pPr>
        <w:autoSpaceDE w:val="0"/>
        <w:autoSpaceDN w:val="0"/>
        <w:adjustRightInd w:val="0"/>
        <w:ind w:left="1134"/>
        <w:jc w:val="both"/>
        <w:rPr>
          <w:rFonts w:ascii="Abadi" w:hAnsi="Abadi" w:cs="Century Gothic"/>
          <w:i/>
          <w:iCs/>
          <w:color w:val="000000"/>
          <w:sz w:val="21"/>
          <w:szCs w:val="21"/>
          <w:lang w:val="es-MX" w:eastAsia="es-MX"/>
        </w:rPr>
      </w:pPr>
    </w:p>
    <w:p w14:paraId="5A2FF1C4" w14:textId="77777777" w:rsidR="003F0352" w:rsidRPr="003F0352" w:rsidRDefault="003F0352" w:rsidP="003F0352">
      <w:pPr>
        <w:autoSpaceDE w:val="0"/>
        <w:autoSpaceDN w:val="0"/>
        <w:adjustRightInd w:val="0"/>
        <w:ind w:left="1134"/>
        <w:jc w:val="both"/>
        <w:rPr>
          <w:rFonts w:ascii="Abadi" w:eastAsia="Batang" w:hAnsi="Abadi" w:cs="Arial"/>
          <w:i/>
          <w:iCs/>
          <w:sz w:val="21"/>
          <w:szCs w:val="21"/>
          <w:lang w:val="es-MX" w:eastAsia="en-US"/>
        </w:rPr>
      </w:pPr>
      <w:r w:rsidRPr="003F0352">
        <w:rPr>
          <w:rFonts w:ascii="Abadi" w:hAnsi="Abadi" w:cs="Calibri"/>
          <w:i/>
          <w:iCs/>
          <w:color w:val="000000"/>
          <w:sz w:val="21"/>
          <w:szCs w:val="21"/>
          <w:lang w:val="es-MX" w:eastAsia="es-MX"/>
        </w:rPr>
        <w:t>El informe una vez que se haya entregado será público, y será difundido para conocimiento de la sociedad, conforme a las disposiciones constitucionales y legales aplicables. La difusión estará a cargo de la propia Fiscalía General.»</w:t>
      </w:r>
    </w:p>
    <w:p w14:paraId="45E19253" w14:textId="77777777" w:rsidR="003F0352" w:rsidRPr="003F0352" w:rsidRDefault="003F0352" w:rsidP="002F22FF">
      <w:pPr>
        <w:autoSpaceDE w:val="0"/>
        <w:autoSpaceDN w:val="0"/>
        <w:adjustRightInd w:val="0"/>
        <w:spacing w:line="360" w:lineRule="auto"/>
        <w:jc w:val="both"/>
        <w:rPr>
          <w:rFonts w:ascii="Abadi" w:eastAsia="Batang" w:hAnsi="Abadi" w:cs="Arial"/>
          <w:sz w:val="21"/>
          <w:szCs w:val="21"/>
          <w:lang w:val="es-MX" w:eastAsia="en-US"/>
        </w:rPr>
      </w:pPr>
    </w:p>
    <w:p w14:paraId="79B7612D" w14:textId="77777777" w:rsidR="003F0352" w:rsidRPr="003F0352" w:rsidRDefault="003F0352" w:rsidP="003F0352">
      <w:pPr>
        <w:autoSpaceDE w:val="0"/>
        <w:autoSpaceDN w:val="0"/>
        <w:adjustRightInd w:val="0"/>
        <w:spacing w:line="360" w:lineRule="auto"/>
        <w:ind w:firstLine="708"/>
        <w:jc w:val="both"/>
        <w:rPr>
          <w:rFonts w:ascii="Abadi" w:hAnsi="Abadi" w:cs="Century Gothic"/>
          <w:color w:val="000000"/>
          <w:sz w:val="21"/>
          <w:szCs w:val="21"/>
          <w:lang w:val="es-MX" w:eastAsia="es-MX"/>
        </w:rPr>
      </w:pPr>
      <w:r w:rsidRPr="003F0352">
        <w:rPr>
          <w:rFonts w:ascii="Abadi" w:hAnsi="Abadi" w:cs="Century Gothic"/>
          <w:color w:val="000000"/>
          <w:sz w:val="21"/>
          <w:szCs w:val="21"/>
          <w:lang w:val="es-MX" w:eastAsia="es-MX"/>
        </w:rPr>
        <w:t xml:space="preserve">Quienes dictaminamos estamos ciertos que el informe que rinde la Fiscalía General del Estado constituye un mecanismo de colaboración entre Poderes Públicos, por medio del cual el Poder Legislativo a través de su Asamblea denominada </w:t>
      </w:r>
      <w:r w:rsidRPr="003F0352">
        <w:rPr>
          <w:rFonts w:ascii="Abadi" w:hAnsi="Abadi" w:cs="Century Gothic"/>
          <w:i/>
          <w:iCs/>
          <w:color w:val="000000"/>
          <w:sz w:val="21"/>
          <w:szCs w:val="21"/>
          <w:lang w:val="es-MX" w:eastAsia="es-MX"/>
        </w:rPr>
        <w:t>Congreso</w:t>
      </w:r>
      <w:r w:rsidRPr="003F0352">
        <w:rPr>
          <w:rFonts w:ascii="Abadi" w:hAnsi="Abadi" w:cs="Century Gothic"/>
          <w:color w:val="000000"/>
          <w:sz w:val="21"/>
          <w:szCs w:val="21"/>
          <w:lang w:val="es-MX" w:eastAsia="es-MX"/>
        </w:rPr>
        <w:t xml:space="preserve"> obtiene información y datos que nos permiten evaluar objetivamente el </w:t>
      </w:r>
      <w:r w:rsidRPr="003F0352">
        <w:rPr>
          <w:rFonts w:ascii="Abadi" w:hAnsi="Abadi" w:cs="Century Gothic"/>
          <w:color w:val="000000"/>
          <w:sz w:val="21"/>
          <w:szCs w:val="21"/>
          <w:lang w:val="es-MX" w:eastAsia="es-MX"/>
        </w:rPr>
        <w:lastRenderedPageBreak/>
        <w:t xml:space="preserve">desempeño de ese órgano autónomo constitucional. Esta información dota de mayores elementos objetivos y datos para desarrollar nuestra función legislativa </w:t>
      </w:r>
      <w:r w:rsidRPr="003F0352">
        <w:rPr>
          <w:rFonts w:ascii="Abadi" w:hAnsi="Abadi" w:cs="Century Gothic"/>
          <w:i/>
          <w:iCs/>
          <w:color w:val="000000"/>
          <w:sz w:val="21"/>
          <w:szCs w:val="21"/>
          <w:lang w:val="es-MX" w:eastAsia="es-MX"/>
        </w:rPr>
        <w:t xml:space="preserve">principalmente la relativa al proceso presupuestario y a su actividad fiscalizadora. </w:t>
      </w:r>
    </w:p>
    <w:p w14:paraId="0B17F230" w14:textId="77777777" w:rsidR="003F0352" w:rsidRPr="003F0352" w:rsidRDefault="003F0352" w:rsidP="003F0352">
      <w:pPr>
        <w:autoSpaceDE w:val="0"/>
        <w:autoSpaceDN w:val="0"/>
        <w:adjustRightInd w:val="0"/>
        <w:spacing w:line="360" w:lineRule="auto"/>
        <w:ind w:firstLine="708"/>
        <w:jc w:val="both"/>
        <w:rPr>
          <w:rFonts w:ascii="Abadi" w:eastAsia="Batang" w:hAnsi="Abadi" w:cs="Arial"/>
          <w:sz w:val="21"/>
          <w:szCs w:val="21"/>
          <w:lang w:val="es-MX" w:eastAsia="en-US"/>
        </w:rPr>
      </w:pPr>
      <w:r w:rsidRPr="003F0352">
        <w:rPr>
          <w:rFonts w:ascii="Abadi" w:hAnsi="Abadi" w:cs="Century Gothic"/>
          <w:color w:val="000000"/>
          <w:sz w:val="21"/>
          <w:szCs w:val="21"/>
          <w:lang w:val="es-MX" w:eastAsia="es-MX"/>
        </w:rPr>
        <w:t>Coincidimos en que el informe es un ejercicio de rendición de cuentas, la cual se traduce en un pilar esencial de las democracias modernas, por lo que resulta adecuado propiciar mejores canales de comunicación que clarifiquen el ejercicio de la actividad pública, a fin de que la sociedad conozca de forma más sencilla y objetiva el quehacer gubernamental, al contar las y los legisladores con un mejor esquema para el análisis de los diversos elementos que conforman esa obligación constitucional.</w:t>
      </w:r>
    </w:p>
    <w:p w14:paraId="30B2D236" w14:textId="77777777" w:rsidR="003F0352" w:rsidRPr="003F0352" w:rsidRDefault="003F0352" w:rsidP="003F0352">
      <w:pPr>
        <w:autoSpaceDE w:val="0"/>
        <w:autoSpaceDN w:val="0"/>
        <w:adjustRightInd w:val="0"/>
        <w:spacing w:line="360" w:lineRule="auto"/>
        <w:ind w:firstLine="708"/>
        <w:jc w:val="both"/>
        <w:rPr>
          <w:rFonts w:ascii="Abadi" w:eastAsia="Batang" w:hAnsi="Abadi" w:cs="Arial"/>
          <w:sz w:val="21"/>
          <w:szCs w:val="21"/>
          <w:lang w:val="es-MX" w:eastAsia="en-US"/>
        </w:rPr>
      </w:pPr>
    </w:p>
    <w:p w14:paraId="33FC6C6F" w14:textId="77777777" w:rsidR="002F22FF" w:rsidRDefault="003F0352" w:rsidP="002F22FF">
      <w:pPr>
        <w:autoSpaceDE w:val="0"/>
        <w:autoSpaceDN w:val="0"/>
        <w:adjustRightInd w:val="0"/>
        <w:spacing w:line="360" w:lineRule="auto"/>
        <w:ind w:firstLine="708"/>
        <w:jc w:val="both"/>
        <w:rPr>
          <w:rFonts w:ascii="Abadi" w:eastAsia="Batang" w:hAnsi="Abadi" w:cs="Arial"/>
          <w:sz w:val="21"/>
          <w:szCs w:val="21"/>
          <w:lang w:val="es-MX" w:eastAsia="en-US"/>
        </w:rPr>
      </w:pPr>
      <w:r w:rsidRPr="003F0352">
        <w:rPr>
          <w:rFonts w:ascii="Abadi" w:eastAsia="Batang" w:hAnsi="Abadi" w:cs="Arial"/>
          <w:sz w:val="21"/>
          <w:szCs w:val="21"/>
          <w:lang w:val="es-MX" w:eastAsia="en-US"/>
        </w:rPr>
        <w:t xml:space="preserve">De esa manera, consideramos quienes dictaminamos que no es indispensable que desde el texto constitucional se detalle el contenido de la información que deben rendir los órganos constitucionales autónomos por referir un ejemplo al caso que nos ocupa </w:t>
      </w:r>
      <w:r w:rsidRPr="003F0352">
        <w:rPr>
          <w:rFonts w:ascii="Abadi" w:eastAsia="Batang" w:hAnsi="Abadi" w:cs="Arial"/>
          <w:i/>
          <w:iCs/>
          <w:sz w:val="21"/>
          <w:szCs w:val="21"/>
          <w:lang w:val="es-MX" w:eastAsia="en-US"/>
        </w:rPr>
        <w:t>Fiscalía General del Estado</w:t>
      </w:r>
      <w:r w:rsidRPr="003F0352">
        <w:rPr>
          <w:rFonts w:ascii="Abadi" w:eastAsia="Batang" w:hAnsi="Abadi" w:cs="Arial"/>
          <w:sz w:val="21"/>
          <w:szCs w:val="21"/>
          <w:lang w:val="es-MX" w:eastAsia="en-US"/>
        </w:rPr>
        <w:t>, cuando es a ellos a quienes compete destacar el alcance de sus acciones y objetivos. Lo anterior es acorde a lo establecido a nivel nacional, pues diversos estados de la República mantienen la misma concordancia, al establecer la obligación de rendir su informe, sin especificar los parámetros o lineamientos dentro de su máxima ley.</w:t>
      </w:r>
    </w:p>
    <w:p w14:paraId="7D5258CE" w14:textId="77777777" w:rsidR="002F22FF" w:rsidRDefault="002F22FF" w:rsidP="002F22FF">
      <w:pPr>
        <w:autoSpaceDE w:val="0"/>
        <w:autoSpaceDN w:val="0"/>
        <w:adjustRightInd w:val="0"/>
        <w:spacing w:line="360" w:lineRule="auto"/>
        <w:ind w:firstLine="708"/>
        <w:jc w:val="both"/>
        <w:rPr>
          <w:rFonts w:ascii="Abadi" w:eastAsia="Batang" w:hAnsi="Abadi" w:cs="Arial"/>
          <w:sz w:val="21"/>
          <w:szCs w:val="21"/>
          <w:lang w:val="es-MX" w:eastAsia="en-US"/>
        </w:rPr>
      </w:pPr>
    </w:p>
    <w:p w14:paraId="0F4DDF18" w14:textId="125260A5" w:rsidR="003F0352" w:rsidRPr="003F0352" w:rsidRDefault="003F0352" w:rsidP="002F22FF">
      <w:pPr>
        <w:autoSpaceDE w:val="0"/>
        <w:autoSpaceDN w:val="0"/>
        <w:adjustRightInd w:val="0"/>
        <w:spacing w:line="360" w:lineRule="auto"/>
        <w:ind w:firstLine="708"/>
        <w:jc w:val="both"/>
        <w:rPr>
          <w:rFonts w:ascii="Abadi" w:eastAsia="Batang" w:hAnsi="Abadi" w:cs="Arial"/>
          <w:sz w:val="21"/>
          <w:szCs w:val="21"/>
          <w:lang w:val="es-MX" w:eastAsia="en-US"/>
        </w:rPr>
      </w:pPr>
      <w:r w:rsidRPr="003F0352">
        <w:rPr>
          <w:rFonts w:ascii="Abadi" w:eastAsia="Batang" w:hAnsi="Abadi" w:cs="Arial"/>
          <w:sz w:val="21"/>
          <w:szCs w:val="21"/>
          <w:lang w:val="es-MX" w:eastAsia="en-US"/>
        </w:rPr>
        <w:t xml:space="preserve">Al respecto, estamos convencidos de lo innecesario que es establecer de manera taxativa los elementos o aspectos específicos que deben cubrir los ejercicios de rendición de cuentas, lo </w:t>
      </w:r>
      <w:r w:rsidRPr="003F0352">
        <w:rPr>
          <w:rFonts w:ascii="Abadi" w:eastAsia="Batang" w:hAnsi="Abadi" w:cs="Arial"/>
          <w:sz w:val="21"/>
          <w:szCs w:val="21"/>
          <w:lang w:val="es-MX" w:eastAsia="en-US"/>
        </w:rPr>
        <w:t>cual resulta natural, pues de hacerlo, seguramente deberían mencionarse casuísticamente otros rubros a desarrollarse en los informes, lo cual no es idóneo puesto que la valoración, el funcionamiento y conocimiento de los indicadores de los organismos, precisamente debe corresponder al ejercicio de su autonomía constitucional.</w:t>
      </w:r>
    </w:p>
    <w:p w14:paraId="5DCAB540" w14:textId="77777777" w:rsidR="002F22FF" w:rsidRDefault="002F22FF" w:rsidP="002F22FF">
      <w:pPr>
        <w:widowControl w:val="0"/>
        <w:tabs>
          <w:tab w:val="left" w:pos="0"/>
        </w:tabs>
        <w:spacing w:before="53" w:line="360" w:lineRule="auto"/>
        <w:ind w:right="69"/>
        <w:contextualSpacing/>
        <w:jc w:val="both"/>
        <w:rPr>
          <w:rFonts w:ascii="Abadi" w:eastAsia="Batang" w:hAnsi="Abadi" w:cs="Arial"/>
          <w:sz w:val="21"/>
          <w:szCs w:val="21"/>
          <w:lang w:val="es-MX" w:eastAsia="en-US"/>
        </w:rPr>
      </w:pPr>
    </w:p>
    <w:p w14:paraId="548A63E4" w14:textId="449843EC" w:rsidR="003F0352" w:rsidRPr="003F0352" w:rsidRDefault="002F22FF" w:rsidP="002F22FF">
      <w:pPr>
        <w:widowControl w:val="0"/>
        <w:tabs>
          <w:tab w:val="left" w:pos="0"/>
        </w:tabs>
        <w:spacing w:before="53" w:line="360" w:lineRule="auto"/>
        <w:ind w:right="69"/>
        <w:contextualSpacing/>
        <w:jc w:val="both"/>
        <w:rPr>
          <w:rFonts w:ascii="Abadi" w:eastAsia="Batang" w:hAnsi="Abadi" w:cs="Arial"/>
          <w:sz w:val="21"/>
          <w:szCs w:val="21"/>
          <w:lang w:val="es-MX" w:eastAsia="en-US"/>
        </w:rPr>
      </w:pPr>
      <w:r>
        <w:rPr>
          <w:rFonts w:ascii="Abadi" w:eastAsia="Batang" w:hAnsi="Abadi" w:cs="Arial"/>
          <w:sz w:val="21"/>
          <w:szCs w:val="21"/>
          <w:lang w:val="es-MX" w:eastAsia="en-US"/>
        </w:rPr>
        <w:tab/>
      </w:r>
      <w:r w:rsidR="003F0352" w:rsidRPr="003F0352">
        <w:rPr>
          <w:rFonts w:ascii="Abadi" w:eastAsia="Batang" w:hAnsi="Abadi" w:cs="Arial"/>
          <w:sz w:val="21"/>
          <w:szCs w:val="21"/>
          <w:lang w:val="es-MX" w:eastAsia="en-US"/>
        </w:rPr>
        <w:t xml:space="preserve">No omitimos referir la no procedencia por técnica legislativa de la acción incluida en la exposición de motivos del iniciante al manifestar que, </w:t>
      </w:r>
      <w:r w:rsidR="003F0352" w:rsidRPr="003F0352">
        <w:rPr>
          <w:rFonts w:ascii="Abadi" w:eastAsia="Batang" w:hAnsi="Abadi" w:cs="Arial"/>
          <w:i/>
          <w:iCs/>
          <w:sz w:val="21"/>
          <w:szCs w:val="21"/>
          <w:lang w:val="es-MX" w:eastAsia="en-US"/>
        </w:rPr>
        <w:t>en posterior iniciativa a promover las reformas necesarias en la legislación secundaria, para el establecimiento de un sistema de evaluación de la justicia penal, que sea integral, incluyendo la procuración de justicia, que corresponde a la fiscalía, con sistemas de estadística adecuados, que permitan evaluar y medir objetivamente los avances de esta</w:t>
      </w:r>
      <w:r w:rsidR="003F0352" w:rsidRPr="003F0352">
        <w:rPr>
          <w:rFonts w:ascii="Abadi" w:eastAsia="Batang" w:hAnsi="Abadi" w:cs="Arial"/>
          <w:sz w:val="21"/>
          <w:szCs w:val="21"/>
          <w:lang w:val="es-MX" w:eastAsia="en-US"/>
        </w:rPr>
        <w:t>.</w:t>
      </w:r>
    </w:p>
    <w:p w14:paraId="78697E28" w14:textId="77777777" w:rsidR="002F22FF" w:rsidRDefault="002F22FF" w:rsidP="002F22FF">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00D9650F" w14:textId="77777777" w:rsidR="002F22FF" w:rsidRDefault="002F22FF" w:rsidP="002F22FF">
      <w:pPr>
        <w:widowControl w:val="0"/>
        <w:tabs>
          <w:tab w:val="left" w:pos="0"/>
        </w:tabs>
        <w:spacing w:before="53" w:line="283" w:lineRule="auto"/>
        <w:ind w:right="69"/>
        <w:contextualSpacing/>
        <w:jc w:val="both"/>
        <w:rPr>
          <w:rFonts w:ascii="Abadi" w:eastAsia="Batang" w:hAnsi="Abadi" w:cs="Arial"/>
          <w:sz w:val="21"/>
          <w:szCs w:val="21"/>
          <w:lang w:val="es-MX" w:eastAsia="en-US"/>
        </w:rPr>
      </w:pPr>
      <w:r>
        <w:rPr>
          <w:rFonts w:ascii="Abadi" w:eastAsia="Batang" w:hAnsi="Abadi" w:cs="Arial"/>
          <w:sz w:val="21"/>
          <w:szCs w:val="21"/>
          <w:lang w:val="es-MX" w:eastAsia="en-US"/>
        </w:rPr>
        <w:tab/>
      </w:r>
      <w:r w:rsidR="003F0352" w:rsidRPr="003F0352">
        <w:rPr>
          <w:rFonts w:ascii="Abadi" w:eastAsia="Batang" w:hAnsi="Abadi" w:cs="Arial"/>
          <w:sz w:val="21"/>
          <w:szCs w:val="21"/>
          <w:lang w:val="es-MX" w:eastAsia="en-US"/>
        </w:rPr>
        <w:t>Las diputadas y los diputados de esta comisión que dictamina consideramos que de conformidad con el artículo 95 de la Constitución Política para el Estado de Guanajuato, es en la ley específica, no así en la propia Constitución, en la que se deberá establecer bases mínimas de contenidos del informe anual de la Fiscalía General, en su caso y de ser necesario.</w:t>
      </w:r>
    </w:p>
    <w:p w14:paraId="2CF3CAF6" w14:textId="77777777" w:rsidR="002F22FF" w:rsidRDefault="003F0352" w:rsidP="002F22FF">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3F0352">
        <w:rPr>
          <w:rFonts w:ascii="Abadi" w:eastAsia="Batang" w:hAnsi="Abadi" w:cs="Arial"/>
          <w:sz w:val="21"/>
          <w:szCs w:val="21"/>
          <w:lang w:val="es-MX" w:eastAsia="en-US"/>
        </w:rPr>
        <w:tab/>
      </w:r>
    </w:p>
    <w:p w14:paraId="5A19B919" w14:textId="77777777" w:rsidR="002F22FF" w:rsidRDefault="002F22FF" w:rsidP="002F22FF">
      <w:pPr>
        <w:widowControl w:val="0"/>
        <w:tabs>
          <w:tab w:val="left" w:pos="0"/>
        </w:tabs>
        <w:spacing w:before="53" w:line="283" w:lineRule="auto"/>
        <w:ind w:right="69"/>
        <w:contextualSpacing/>
        <w:jc w:val="both"/>
        <w:rPr>
          <w:rFonts w:ascii="Abadi" w:eastAsia="Batang" w:hAnsi="Abadi" w:cs="Arial"/>
          <w:sz w:val="21"/>
          <w:szCs w:val="21"/>
          <w:lang w:val="es-MX" w:eastAsia="en-US"/>
        </w:rPr>
      </w:pPr>
      <w:r>
        <w:rPr>
          <w:rFonts w:ascii="Abadi" w:eastAsia="Batang" w:hAnsi="Abadi" w:cs="Arial"/>
          <w:sz w:val="21"/>
          <w:szCs w:val="21"/>
          <w:lang w:val="es-MX" w:eastAsia="en-US"/>
        </w:rPr>
        <w:tab/>
      </w:r>
      <w:r w:rsidR="003F0352" w:rsidRPr="003F0352">
        <w:rPr>
          <w:rFonts w:ascii="Abadi" w:eastAsia="Batang" w:hAnsi="Abadi" w:cs="Arial"/>
          <w:sz w:val="21"/>
          <w:szCs w:val="21"/>
          <w:lang w:val="es-MX" w:eastAsia="en-US"/>
        </w:rPr>
        <w:t xml:space="preserve">Bajo ese contexto, coincidimos también en que el sistema de derecho positivo mexicano está arreglado a un orden, en el que el contenido de las normas aparece determinado en gran parte conforme a relaciones de fundamentación y congruencia de las propias normas entre sí. La relación escalonada implica que toda norma desempeñe un doble rol: en relación con aquellas otras que le están subordinadas, tiene carácter normativo, las determina formal y materialmente; respecto a las que están supra </w:t>
      </w:r>
      <w:r w:rsidR="003F0352" w:rsidRPr="003F0352">
        <w:rPr>
          <w:rFonts w:ascii="Abadi" w:eastAsia="Batang" w:hAnsi="Abadi" w:cs="Arial"/>
          <w:sz w:val="21"/>
          <w:szCs w:val="21"/>
          <w:lang w:val="es-MX" w:eastAsia="en-US"/>
        </w:rPr>
        <w:lastRenderedPageBreak/>
        <w:t xml:space="preserve">ordinadas, es un acto de aplicación y debe ser congruente con ellas. </w:t>
      </w:r>
    </w:p>
    <w:p w14:paraId="2BA5505A" w14:textId="77777777" w:rsidR="002F22FF" w:rsidRDefault="002F22FF" w:rsidP="002F22FF">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2DE0AF7D" w14:textId="77777777" w:rsidR="002F22FF" w:rsidRDefault="002F22FF" w:rsidP="002F22FF">
      <w:pPr>
        <w:widowControl w:val="0"/>
        <w:tabs>
          <w:tab w:val="left" w:pos="0"/>
        </w:tabs>
        <w:spacing w:before="53" w:line="283" w:lineRule="auto"/>
        <w:ind w:right="69"/>
        <w:contextualSpacing/>
        <w:jc w:val="both"/>
        <w:rPr>
          <w:rFonts w:ascii="Abadi" w:eastAsia="Batang" w:hAnsi="Abadi" w:cs="Arial"/>
          <w:sz w:val="21"/>
          <w:szCs w:val="21"/>
          <w:lang w:val="es-MX" w:eastAsia="en-US"/>
        </w:rPr>
      </w:pPr>
      <w:r>
        <w:rPr>
          <w:rFonts w:ascii="Abadi" w:eastAsia="Batang" w:hAnsi="Abadi" w:cs="Arial"/>
          <w:sz w:val="21"/>
          <w:szCs w:val="21"/>
          <w:lang w:val="es-MX" w:eastAsia="en-US"/>
        </w:rPr>
        <w:tab/>
      </w:r>
      <w:r w:rsidR="003F0352" w:rsidRPr="003F0352">
        <w:rPr>
          <w:rFonts w:ascii="Abadi" w:eastAsia="Batang" w:hAnsi="Abadi" w:cs="Arial"/>
          <w:sz w:val="21"/>
          <w:szCs w:val="21"/>
          <w:lang w:val="es-MX" w:eastAsia="en-US"/>
        </w:rPr>
        <w:t>Por ello, cuando se producen leyes ordinarias, la Constitución es aplicada y desarrollada; de ella derivan su fundamento de validez y dependen de ella formal y materialmente. En otras palabras, estas normas tienen validez porque y en tanto han sido creadas de acuerdo con el contenido dado por la norma constitucional y con el procedimiento establecido por ella.</w:t>
      </w:r>
      <w:r w:rsidR="003F0352" w:rsidRPr="003F0352">
        <w:rPr>
          <w:rFonts w:ascii="Abadi" w:eastAsia="Batang" w:hAnsi="Abadi" w:cs="Arial"/>
          <w:sz w:val="21"/>
          <w:szCs w:val="21"/>
          <w:lang w:val="es-MX" w:eastAsia="en-US"/>
        </w:rPr>
        <w:tab/>
      </w:r>
    </w:p>
    <w:p w14:paraId="19DD385E" w14:textId="77777777" w:rsidR="002F22FF" w:rsidRDefault="002F22FF" w:rsidP="002F22FF">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16C0A84F" w14:textId="56C83E78" w:rsidR="003F0352" w:rsidRPr="003F0352" w:rsidRDefault="002F22FF" w:rsidP="002F22FF">
      <w:pPr>
        <w:widowControl w:val="0"/>
        <w:tabs>
          <w:tab w:val="left" w:pos="0"/>
        </w:tabs>
        <w:spacing w:before="53" w:line="283" w:lineRule="auto"/>
        <w:ind w:right="69"/>
        <w:contextualSpacing/>
        <w:jc w:val="both"/>
        <w:rPr>
          <w:rFonts w:ascii="Abadi" w:eastAsia="Batang" w:hAnsi="Abadi" w:cs="Arial"/>
          <w:sz w:val="21"/>
          <w:szCs w:val="21"/>
          <w:lang w:val="es-MX" w:eastAsia="en-US"/>
        </w:rPr>
      </w:pPr>
      <w:r>
        <w:rPr>
          <w:rFonts w:ascii="Abadi" w:eastAsia="Batang" w:hAnsi="Abadi" w:cs="Arial"/>
          <w:sz w:val="21"/>
          <w:szCs w:val="21"/>
          <w:lang w:val="es-MX" w:eastAsia="en-US"/>
        </w:rPr>
        <w:tab/>
      </w:r>
      <w:r w:rsidR="003F0352" w:rsidRPr="003F0352">
        <w:rPr>
          <w:rFonts w:ascii="Abadi" w:eastAsia="Batang" w:hAnsi="Abadi" w:cs="Arial"/>
          <w:sz w:val="21"/>
          <w:szCs w:val="21"/>
          <w:lang w:val="es-MX" w:eastAsia="en-US"/>
        </w:rPr>
        <w:t>En ese sentido, las reformas a la Constitución se deben llevar a cabo de manera excepcional, y únicamente cuando se dé el reconocimiento de derechos y la adopción de valores, ideales y principios fundamentales. Asimismo, se debe respetar que la misma es Ley Suprema, por lo que únicamente debe contener aquellos derechos trascendentales y superiores para el Estado. De ser así, nuestra Constitución Política para el Estado de Guanajuato, es un documento que debe estipular principios, previendo de manera general los derechos y limitaciones tanto de los individuos como de la autoridad.</w:t>
      </w:r>
    </w:p>
    <w:p w14:paraId="00E2EC1C" w14:textId="77777777" w:rsidR="002F22FF" w:rsidRDefault="002F22FF" w:rsidP="002F22FF">
      <w:pPr>
        <w:widowControl w:val="0"/>
        <w:tabs>
          <w:tab w:val="left" w:pos="0"/>
        </w:tabs>
        <w:spacing w:before="53" w:line="360" w:lineRule="auto"/>
        <w:ind w:right="69"/>
        <w:contextualSpacing/>
        <w:jc w:val="both"/>
        <w:rPr>
          <w:rFonts w:ascii="Abadi" w:eastAsia="Batang" w:hAnsi="Abadi" w:cs="Arial"/>
          <w:sz w:val="21"/>
          <w:szCs w:val="21"/>
          <w:lang w:val="es-MX" w:eastAsia="en-US"/>
        </w:rPr>
      </w:pPr>
    </w:p>
    <w:p w14:paraId="08FC3791" w14:textId="1C88930A" w:rsidR="003F0352" w:rsidRPr="003F0352" w:rsidRDefault="002F22FF" w:rsidP="002F22FF">
      <w:pPr>
        <w:widowControl w:val="0"/>
        <w:tabs>
          <w:tab w:val="left" w:pos="0"/>
        </w:tabs>
        <w:spacing w:before="53" w:line="360" w:lineRule="auto"/>
        <w:ind w:right="69"/>
        <w:contextualSpacing/>
        <w:jc w:val="both"/>
        <w:rPr>
          <w:rFonts w:ascii="Abadi" w:eastAsia="Batang" w:hAnsi="Abadi" w:cs="Arial"/>
          <w:sz w:val="21"/>
          <w:szCs w:val="21"/>
          <w:lang w:val="es-MX" w:eastAsia="en-US"/>
        </w:rPr>
      </w:pPr>
      <w:r>
        <w:rPr>
          <w:rFonts w:ascii="Abadi" w:eastAsia="Batang" w:hAnsi="Abadi" w:cs="Arial"/>
          <w:sz w:val="21"/>
          <w:szCs w:val="21"/>
          <w:lang w:val="es-MX" w:eastAsia="en-US"/>
        </w:rPr>
        <w:tab/>
      </w:r>
      <w:r w:rsidR="003F0352" w:rsidRPr="003F0352">
        <w:rPr>
          <w:rFonts w:ascii="Abadi" w:eastAsia="Batang" w:hAnsi="Abadi" w:cs="Arial"/>
          <w:sz w:val="21"/>
          <w:szCs w:val="21"/>
          <w:lang w:val="es-MX" w:eastAsia="en-US"/>
        </w:rPr>
        <w:t>Con esos argumentos se determina la no pertinencia de reformar la Constitución Política para el Estado de Guanajuato, para incluir especificaciones de contenidos del informe anual del titular de la Fiscalía General del Estado, pues por técnica legislativa, la propuesta en todo caso, tendría que incluirse en la legislación ordinaria toda vez que el contenido de las disposiciones constitucionales no debe estar desarrollado ampliamente, más allá de que aquello consista en principios fundamentales, a fin de que el desarrollo de ese contenido quede a la legislación.</w:t>
      </w:r>
    </w:p>
    <w:p w14:paraId="5FFA1F40" w14:textId="77777777" w:rsidR="002F22FF" w:rsidRDefault="002F22FF" w:rsidP="002F22FF">
      <w:pPr>
        <w:widowControl w:val="0"/>
        <w:tabs>
          <w:tab w:val="left" w:pos="0"/>
        </w:tabs>
        <w:spacing w:before="53" w:line="360" w:lineRule="auto"/>
        <w:ind w:right="69"/>
        <w:contextualSpacing/>
        <w:jc w:val="both"/>
        <w:rPr>
          <w:rFonts w:ascii="Abadi" w:eastAsia="Batang" w:hAnsi="Abadi" w:cs="Arial"/>
          <w:sz w:val="21"/>
          <w:szCs w:val="21"/>
          <w:lang w:val="es-MX" w:eastAsia="en-US"/>
        </w:rPr>
      </w:pPr>
    </w:p>
    <w:p w14:paraId="5E401233" w14:textId="198DCF84" w:rsidR="003F0352" w:rsidRPr="003F0352" w:rsidRDefault="002F22FF" w:rsidP="002F22FF">
      <w:pPr>
        <w:widowControl w:val="0"/>
        <w:tabs>
          <w:tab w:val="left" w:pos="0"/>
        </w:tabs>
        <w:spacing w:before="53" w:line="360" w:lineRule="auto"/>
        <w:ind w:right="69"/>
        <w:contextualSpacing/>
        <w:jc w:val="both"/>
        <w:rPr>
          <w:rFonts w:ascii="Abadi" w:eastAsia="Batang" w:hAnsi="Abadi" w:cs="Arial"/>
          <w:sz w:val="21"/>
          <w:szCs w:val="21"/>
          <w:lang w:val="es-MX" w:eastAsia="en-US"/>
        </w:rPr>
      </w:pPr>
      <w:r>
        <w:rPr>
          <w:rFonts w:ascii="Abadi" w:eastAsia="Batang" w:hAnsi="Abadi" w:cs="Arial"/>
          <w:sz w:val="21"/>
          <w:szCs w:val="21"/>
          <w:lang w:val="es-MX" w:eastAsia="en-US"/>
        </w:rPr>
        <w:tab/>
      </w:r>
      <w:r w:rsidR="003F0352" w:rsidRPr="003F0352">
        <w:rPr>
          <w:rFonts w:ascii="Abadi" w:eastAsia="Batang" w:hAnsi="Abadi" w:cs="Arial"/>
          <w:sz w:val="21"/>
          <w:szCs w:val="21"/>
          <w:lang w:val="es-MX" w:eastAsia="en-US"/>
        </w:rPr>
        <w:t xml:space="preserve">Por ello, estimamos pertinente el archivo </w:t>
      </w:r>
      <w:r w:rsidR="003F0352" w:rsidRPr="003F0352">
        <w:rPr>
          <w:rFonts w:ascii="Abadi" w:eastAsia="Batang" w:hAnsi="Abadi" w:cs="Arial"/>
          <w:sz w:val="21"/>
          <w:szCs w:val="21"/>
          <w:lang w:val="es-MX" w:eastAsia="en-US"/>
        </w:rPr>
        <w:t>de la iniciativa de referencia, toda vez que el objeto que persigue no encuentra su viabilidad al incluirse como texto normativo en la Constitución Política Local como ya lo expresamos en el presente dictamen.</w:t>
      </w:r>
    </w:p>
    <w:p w14:paraId="5B072656" w14:textId="77777777" w:rsidR="003F0352" w:rsidRPr="003F0352" w:rsidRDefault="003F0352" w:rsidP="002F22FF">
      <w:pPr>
        <w:widowControl w:val="0"/>
        <w:tabs>
          <w:tab w:val="left" w:pos="0"/>
        </w:tabs>
        <w:spacing w:before="53" w:line="360" w:lineRule="auto"/>
        <w:ind w:right="69"/>
        <w:contextualSpacing/>
        <w:jc w:val="both"/>
        <w:rPr>
          <w:rFonts w:ascii="Abadi" w:eastAsia="Batang" w:hAnsi="Abadi" w:cs="Arial"/>
          <w:sz w:val="21"/>
          <w:szCs w:val="21"/>
          <w:lang w:val="es-MX" w:eastAsia="en-US"/>
        </w:rPr>
      </w:pPr>
      <w:r w:rsidRPr="003F0352">
        <w:rPr>
          <w:rFonts w:ascii="Abadi" w:eastAsia="Batang" w:hAnsi="Abadi" w:cs="Arial"/>
          <w:sz w:val="21"/>
          <w:szCs w:val="21"/>
          <w:lang w:val="es-MX" w:eastAsia="en-US"/>
        </w:rPr>
        <w:tab/>
        <w:t xml:space="preserve">En razón de lo antes expuesto y con fundamento en los artículos 171 y 204 de </w:t>
      </w:r>
      <w:smartTag w:uri="urn:schemas-microsoft-com:office:smarttags" w:element="PersonName">
        <w:smartTagPr>
          <w:attr w:name="ProductID" w:val="la Ley Org￡nica"/>
        </w:smartTagPr>
        <w:r w:rsidRPr="003F0352">
          <w:rPr>
            <w:rFonts w:ascii="Abadi" w:eastAsia="Batang" w:hAnsi="Abadi" w:cs="Arial"/>
            <w:sz w:val="21"/>
            <w:szCs w:val="21"/>
            <w:lang w:val="es-MX" w:eastAsia="en-US"/>
          </w:rPr>
          <w:t>la Ley Orgánica</w:t>
        </w:r>
      </w:smartTag>
      <w:r w:rsidRPr="003F0352">
        <w:rPr>
          <w:rFonts w:ascii="Abadi" w:eastAsia="Batang" w:hAnsi="Abadi" w:cs="Arial"/>
          <w:sz w:val="21"/>
          <w:szCs w:val="21"/>
          <w:lang w:val="es-MX" w:eastAsia="en-US"/>
        </w:rPr>
        <w:t xml:space="preserve"> del Poder Legislativo del Estado de Guanajuato, nos permitimos someter a la aprobación de </w:t>
      </w:r>
      <w:smartTag w:uri="urn:schemas-microsoft-com:office:smarttags" w:element="PersonName">
        <w:smartTagPr>
          <w:attr w:name="ProductID" w:val="la Asamblea"/>
        </w:smartTagPr>
        <w:r w:rsidRPr="003F0352">
          <w:rPr>
            <w:rFonts w:ascii="Abadi" w:eastAsia="Batang" w:hAnsi="Abadi" w:cs="Arial"/>
            <w:sz w:val="21"/>
            <w:szCs w:val="21"/>
            <w:lang w:val="es-MX" w:eastAsia="en-US"/>
          </w:rPr>
          <w:t>la Asamblea</w:t>
        </w:r>
      </w:smartTag>
      <w:r w:rsidRPr="003F0352">
        <w:rPr>
          <w:rFonts w:ascii="Abadi" w:eastAsia="Batang" w:hAnsi="Abadi" w:cs="Arial"/>
          <w:sz w:val="21"/>
          <w:szCs w:val="21"/>
          <w:lang w:val="es-MX" w:eastAsia="en-US"/>
        </w:rPr>
        <w:t xml:space="preserve">, el siguiente: </w:t>
      </w:r>
    </w:p>
    <w:p w14:paraId="3C569C17" w14:textId="77777777" w:rsidR="003F0352" w:rsidRPr="003F0352" w:rsidRDefault="003F0352" w:rsidP="003F0352">
      <w:pPr>
        <w:spacing w:line="276" w:lineRule="auto"/>
        <w:ind w:firstLine="708"/>
        <w:jc w:val="both"/>
        <w:rPr>
          <w:rFonts w:ascii="Abadi" w:eastAsia="Batang" w:hAnsi="Abadi" w:cs="Arial"/>
          <w:sz w:val="21"/>
          <w:szCs w:val="21"/>
          <w:lang w:val="es-MX" w:eastAsia="en-US"/>
        </w:rPr>
      </w:pPr>
    </w:p>
    <w:p w14:paraId="61AEF8F1" w14:textId="77777777" w:rsidR="003F0352" w:rsidRPr="003F0352" w:rsidRDefault="003F0352" w:rsidP="003F0352">
      <w:pPr>
        <w:jc w:val="center"/>
        <w:rPr>
          <w:rFonts w:ascii="Abadi" w:hAnsi="Abadi" w:cs="Arial"/>
          <w:b/>
          <w:sz w:val="21"/>
          <w:szCs w:val="21"/>
          <w:lang w:val="es-MX" w:eastAsia="en-US"/>
        </w:rPr>
      </w:pPr>
      <w:r w:rsidRPr="003F0352">
        <w:rPr>
          <w:rFonts w:ascii="Abadi" w:hAnsi="Abadi" w:cs="Arial"/>
          <w:b/>
          <w:sz w:val="21"/>
          <w:szCs w:val="21"/>
          <w:lang w:val="es-MX" w:eastAsia="en-US"/>
        </w:rPr>
        <w:t>ACUERDO</w:t>
      </w:r>
    </w:p>
    <w:p w14:paraId="1091268C" w14:textId="77777777" w:rsidR="003F0352" w:rsidRPr="003F0352" w:rsidRDefault="003F0352" w:rsidP="003F0352">
      <w:pPr>
        <w:jc w:val="center"/>
        <w:rPr>
          <w:rFonts w:ascii="Abadi" w:hAnsi="Abadi" w:cs="Arial"/>
          <w:b/>
          <w:sz w:val="21"/>
          <w:szCs w:val="21"/>
          <w:lang w:val="es-MX" w:eastAsia="en-US"/>
        </w:rPr>
      </w:pPr>
    </w:p>
    <w:p w14:paraId="2B80790A" w14:textId="7CE051E9" w:rsidR="003F0352" w:rsidRPr="003F0352" w:rsidRDefault="002F22FF" w:rsidP="002F22FF">
      <w:pPr>
        <w:widowControl w:val="0"/>
        <w:tabs>
          <w:tab w:val="left" w:pos="663"/>
        </w:tabs>
        <w:spacing w:before="57" w:line="360" w:lineRule="auto"/>
        <w:contextualSpacing/>
        <w:jc w:val="both"/>
        <w:rPr>
          <w:rFonts w:ascii="Abadi" w:eastAsia="Arial Unicode MS" w:hAnsi="Abadi"/>
          <w:sz w:val="21"/>
          <w:szCs w:val="21"/>
          <w:lang w:val="es-MX" w:eastAsia="en-US"/>
        </w:rPr>
      </w:pPr>
      <w:r>
        <w:rPr>
          <w:rFonts w:ascii="Abadi" w:eastAsia="Calibri" w:hAnsi="Abadi"/>
          <w:b/>
          <w:bCs/>
          <w:sz w:val="21"/>
          <w:szCs w:val="21"/>
          <w:lang w:eastAsia="en-US"/>
        </w:rPr>
        <w:tab/>
      </w:r>
      <w:r w:rsidR="003F0352" w:rsidRPr="003F0352">
        <w:rPr>
          <w:rFonts w:ascii="Abadi" w:eastAsia="Calibri" w:hAnsi="Abadi"/>
          <w:b/>
          <w:bCs/>
          <w:sz w:val="21"/>
          <w:szCs w:val="21"/>
          <w:lang w:eastAsia="en-US"/>
        </w:rPr>
        <w:t xml:space="preserve">Único. </w:t>
      </w:r>
      <w:r w:rsidR="003F0352" w:rsidRPr="003F0352">
        <w:rPr>
          <w:rFonts w:ascii="Abadi" w:eastAsia="Batang" w:hAnsi="Abadi" w:cs="Arial"/>
          <w:sz w:val="21"/>
          <w:szCs w:val="21"/>
          <w:lang w:val="es-MX" w:eastAsia="en-US"/>
        </w:rPr>
        <w:t xml:space="preserve">Se ordena el archivo definitivo de la </w:t>
      </w:r>
      <w:r w:rsidR="003F0352" w:rsidRPr="003F0352">
        <w:rPr>
          <w:rFonts w:ascii="Abadi" w:eastAsia="Arial Unicode MS" w:hAnsi="Abadi"/>
          <w:sz w:val="21"/>
          <w:szCs w:val="21"/>
          <w:lang w:val="es-MX" w:eastAsia="en-US"/>
        </w:rPr>
        <w:t>iniciativa a efecto de reformar el artículo 95 de la Constitución Política para el Estado de Guanajuato, suscrita por el diputado Ernesto Alejandro Prieto Gallardo integrante del Grupo Parlamentario del Partido MORENA.</w:t>
      </w:r>
    </w:p>
    <w:p w14:paraId="403344F8" w14:textId="77777777" w:rsidR="002F22FF" w:rsidRDefault="002F22FF" w:rsidP="002F22FF">
      <w:pPr>
        <w:widowControl w:val="0"/>
        <w:tabs>
          <w:tab w:val="left" w:pos="663"/>
        </w:tabs>
        <w:spacing w:before="57" w:line="360" w:lineRule="auto"/>
        <w:contextualSpacing/>
        <w:jc w:val="both"/>
        <w:rPr>
          <w:rFonts w:ascii="Abadi" w:eastAsia="Batang" w:hAnsi="Abadi" w:cs="Arial"/>
          <w:sz w:val="21"/>
          <w:szCs w:val="21"/>
          <w:lang w:val="es-MX" w:eastAsia="en-US"/>
        </w:rPr>
      </w:pPr>
    </w:p>
    <w:p w14:paraId="57917735" w14:textId="18F3132C" w:rsidR="003F0352" w:rsidRPr="003F0352" w:rsidRDefault="003F0352" w:rsidP="002F22FF">
      <w:pPr>
        <w:widowControl w:val="0"/>
        <w:tabs>
          <w:tab w:val="left" w:pos="663"/>
        </w:tabs>
        <w:spacing w:before="57" w:line="360" w:lineRule="auto"/>
        <w:contextualSpacing/>
        <w:jc w:val="both"/>
        <w:rPr>
          <w:rFonts w:ascii="Abadi" w:eastAsia="Batang" w:hAnsi="Abadi" w:cs="Arial"/>
          <w:sz w:val="21"/>
          <w:szCs w:val="21"/>
          <w:lang w:val="es-MX" w:eastAsia="en-US"/>
        </w:rPr>
      </w:pPr>
      <w:r w:rsidRPr="003F0352">
        <w:rPr>
          <w:rFonts w:ascii="Abadi" w:eastAsia="Batang" w:hAnsi="Abadi" w:cs="Arial"/>
          <w:sz w:val="21"/>
          <w:szCs w:val="21"/>
          <w:lang w:val="es-MX" w:eastAsia="en-US"/>
        </w:rPr>
        <w:tab/>
      </w:r>
      <w:r w:rsidRPr="003F0352">
        <w:rPr>
          <w:rFonts w:ascii="Abadi" w:eastAsia="Batang" w:hAnsi="Abadi" w:cs="Arial"/>
          <w:sz w:val="21"/>
          <w:szCs w:val="21"/>
          <w:lang w:val="es-MX" w:eastAsia="en-US"/>
        </w:rPr>
        <w:tab/>
        <w:t>Se instruye al Secretario General del Congreso archive de manera definitiva la iniciativa de referencia.</w:t>
      </w:r>
    </w:p>
    <w:p w14:paraId="225DC72E" w14:textId="77777777" w:rsidR="002F22FF" w:rsidRPr="002C5323" w:rsidRDefault="002F22FF" w:rsidP="002F22FF">
      <w:pPr>
        <w:pStyle w:val="Textoindependiente"/>
        <w:ind w:firstLine="708"/>
        <w:rPr>
          <w:rFonts w:ascii="Abadi" w:hAnsi="Abadi"/>
          <w:sz w:val="21"/>
          <w:szCs w:val="21"/>
        </w:rPr>
      </w:pPr>
    </w:p>
    <w:p w14:paraId="02AEE224" w14:textId="77777777" w:rsidR="002F22FF" w:rsidRPr="002C5323" w:rsidRDefault="002F22FF" w:rsidP="002F22FF">
      <w:pPr>
        <w:jc w:val="center"/>
        <w:rPr>
          <w:rFonts w:ascii="Abadi" w:eastAsia="Arial Unicode MS" w:hAnsi="Abadi"/>
          <w:b/>
          <w:bCs/>
          <w:sz w:val="21"/>
          <w:szCs w:val="21"/>
        </w:rPr>
      </w:pPr>
      <w:r w:rsidRPr="002C5323">
        <w:rPr>
          <w:rFonts w:ascii="Abadi" w:eastAsia="Arial Unicode MS" w:hAnsi="Abadi"/>
          <w:b/>
          <w:bCs/>
          <w:sz w:val="21"/>
          <w:szCs w:val="21"/>
        </w:rPr>
        <w:t>GUANAJUATO, GTO., A 21 DE JUNIO DE 2022</w:t>
      </w:r>
    </w:p>
    <w:p w14:paraId="0A263BEC" w14:textId="77777777" w:rsidR="002F22FF" w:rsidRPr="002C5323" w:rsidRDefault="002F22FF" w:rsidP="002F22FF">
      <w:pPr>
        <w:jc w:val="center"/>
        <w:rPr>
          <w:rFonts w:ascii="Abadi" w:eastAsia="Arial Unicode MS" w:hAnsi="Abadi"/>
          <w:b/>
          <w:bCs/>
          <w:sz w:val="21"/>
          <w:szCs w:val="21"/>
        </w:rPr>
      </w:pPr>
      <w:r w:rsidRPr="002C5323">
        <w:rPr>
          <w:rFonts w:ascii="Abadi" w:eastAsia="Arial Unicode MS" w:hAnsi="Abadi"/>
          <w:b/>
          <w:bCs/>
          <w:sz w:val="21"/>
          <w:szCs w:val="21"/>
        </w:rPr>
        <w:t>COMISIÓN DE GOBERNACIÓN Y PUNTOS CONSTITUCIONALES</w:t>
      </w:r>
    </w:p>
    <w:p w14:paraId="01ABD653" w14:textId="7E8249CA" w:rsidR="00021537" w:rsidRDefault="00021537" w:rsidP="00021537">
      <w:pPr>
        <w:rPr>
          <w:rFonts w:ascii="Abadi" w:hAnsi="Abadi"/>
          <w:b/>
          <w:bCs/>
          <w:sz w:val="20"/>
          <w:szCs w:val="20"/>
        </w:rPr>
      </w:pPr>
    </w:p>
    <w:p w14:paraId="6E3D3247" w14:textId="77777777" w:rsidR="002F22FF" w:rsidRDefault="002F22FF" w:rsidP="002F22FF">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Susana Bermúdez Cano</w:t>
      </w:r>
    </w:p>
    <w:p w14:paraId="3CBEC6E1" w14:textId="77777777" w:rsidR="002F22FF" w:rsidRDefault="002F22FF" w:rsidP="002F22FF">
      <w:pPr>
        <w:jc w:val="center"/>
        <w:rPr>
          <w:rFonts w:ascii="Abadi" w:eastAsia="Arial Unicode MS" w:hAnsi="Abadi" w:cs="Arial Unicode MS"/>
          <w:b/>
          <w:bCs/>
          <w:sz w:val="21"/>
          <w:szCs w:val="21"/>
          <w:lang w:val="es-MX" w:eastAsia="en-US"/>
        </w:rPr>
      </w:pPr>
    </w:p>
    <w:p w14:paraId="7DE06D97" w14:textId="77777777" w:rsidR="002F22FF" w:rsidRDefault="002F22FF" w:rsidP="002F22FF">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Laura Cristina Márquez Alcalá</w:t>
      </w:r>
    </w:p>
    <w:p w14:paraId="25D9417A" w14:textId="77777777" w:rsidR="002F22FF" w:rsidRDefault="002F22FF" w:rsidP="002F22FF">
      <w:pPr>
        <w:jc w:val="center"/>
        <w:rPr>
          <w:rFonts w:ascii="Abadi" w:eastAsia="Arial Unicode MS" w:hAnsi="Abadi" w:cs="Arial Unicode MS"/>
          <w:b/>
          <w:bCs/>
          <w:sz w:val="21"/>
          <w:szCs w:val="21"/>
          <w:lang w:val="es-MX" w:eastAsia="en-US"/>
        </w:rPr>
      </w:pPr>
    </w:p>
    <w:p w14:paraId="1AB1B678" w14:textId="77777777" w:rsidR="002F22FF" w:rsidRDefault="002F22FF" w:rsidP="002F22FF">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Briseida Anabel Magdaleno González</w:t>
      </w:r>
    </w:p>
    <w:p w14:paraId="2EB1E892" w14:textId="77777777" w:rsidR="002F22FF" w:rsidRDefault="002F22FF" w:rsidP="002F22FF">
      <w:pPr>
        <w:jc w:val="center"/>
        <w:rPr>
          <w:rFonts w:ascii="Abadi" w:eastAsia="Arial Unicode MS" w:hAnsi="Abadi" w:cs="Arial Unicode MS"/>
          <w:b/>
          <w:bCs/>
          <w:sz w:val="21"/>
          <w:szCs w:val="21"/>
          <w:lang w:val="es-MX" w:eastAsia="en-US"/>
        </w:rPr>
      </w:pPr>
    </w:p>
    <w:p w14:paraId="7A33EDBF" w14:textId="77777777" w:rsidR="002F22FF" w:rsidRDefault="002F22FF" w:rsidP="002F22FF">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Alma Edwviges Alcaraz Hernández</w:t>
      </w:r>
    </w:p>
    <w:p w14:paraId="3534A7E2" w14:textId="77777777" w:rsidR="002F22FF" w:rsidRDefault="002F22FF" w:rsidP="002F22FF">
      <w:pPr>
        <w:jc w:val="center"/>
        <w:rPr>
          <w:rFonts w:ascii="Abadi" w:eastAsia="Arial Unicode MS" w:hAnsi="Abadi" w:cs="Arial Unicode MS"/>
          <w:b/>
          <w:bCs/>
          <w:sz w:val="21"/>
          <w:szCs w:val="21"/>
          <w:lang w:val="es-MX" w:eastAsia="en-US"/>
        </w:rPr>
      </w:pPr>
    </w:p>
    <w:p w14:paraId="4019475E" w14:textId="77777777" w:rsidR="002F22FF" w:rsidRDefault="002F22FF" w:rsidP="002F22FF">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Rolando Fortino Alcántar Rojas</w:t>
      </w:r>
    </w:p>
    <w:p w14:paraId="24D3B8D1" w14:textId="77777777" w:rsidR="002F22FF" w:rsidRDefault="002F22FF" w:rsidP="002F22FF">
      <w:pPr>
        <w:jc w:val="center"/>
        <w:rPr>
          <w:rFonts w:ascii="Abadi" w:eastAsia="Arial Unicode MS" w:hAnsi="Abadi" w:cs="Arial Unicode MS"/>
          <w:b/>
          <w:bCs/>
          <w:sz w:val="21"/>
          <w:szCs w:val="21"/>
          <w:lang w:val="es-MX" w:eastAsia="en-US"/>
        </w:rPr>
      </w:pPr>
    </w:p>
    <w:p w14:paraId="6965F155" w14:textId="77777777" w:rsidR="002F22FF" w:rsidRDefault="002F22FF" w:rsidP="002F22FF">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Yulma Rocha Aguilar</w:t>
      </w:r>
    </w:p>
    <w:p w14:paraId="06E827B1" w14:textId="77777777" w:rsidR="002F22FF" w:rsidRDefault="002F22FF" w:rsidP="002F22FF">
      <w:pPr>
        <w:jc w:val="center"/>
        <w:rPr>
          <w:rFonts w:ascii="Abadi" w:eastAsia="Arial Unicode MS" w:hAnsi="Abadi" w:cs="Arial Unicode MS"/>
          <w:b/>
          <w:bCs/>
          <w:sz w:val="21"/>
          <w:szCs w:val="21"/>
          <w:lang w:val="es-MX" w:eastAsia="en-US"/>
        </w:rPr>
      </w:pPr>
    </w:p>
    <w:p w14:paraId="134774AA" w14:textId="77777777" w:rsidR="002F22FF" w:rsidRPr="00021537" w:rsidRDefault="002F22FF" w:rsidP="002F22FF">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Gerardo Fernández González</w:t>
      </w:r>
    </w:p>
    <w:p w14:paraId="6755B394" w14:textId="5DD735DE" w:rsidR="002F22FF" w:rsidRDefault="002F22FF" w:rsidP="00021537">
      <w:pPr>
        <w:rPr>
          <w:rFonts w:ascii="Abadi" w:hAnsi="Abadi"/>
          <w:b/>
          <w:bCs/>
          <w:sz w:val="20"/>
          <w:szCs w:val="20"/>
        </w:rPr>
      </w:pPr>
    </w:p>
    <w:p w14:paraId="243A5E37" w14:textId="77777777" w:rsidR="002F22FF" w:rsidRDefault="002F22FF" w:rsidP="00021537">
      <w:pPr>
        <w:rPr>
          <w:rFonts w:ascii="Abadi" w:hAnsi="Abadi"/>
          <w:b/>
          <w:bCs/>
          <w:sz w:val="20"/>
          <w:szCs w:val="20"/>
        </w:rPr>
      </w:pPr>
    </w:p>
    <w:p w14:paraId="06AC404B" w14:textId="77777777" w:rsidR="00021537" w:rsidRPr="00021537" w:rsidRDefault="00021537" w:rsidP="00021537">
      <w:pPr>
        <w:rPr>
          <w:rFonts w:ascii="Abadi" w:hAnsi="Abadi"/>
          <w:b/>
          <w:bCs/>
          <w:sz w:val="20"/>
          <w:szCs w:val="20"/>
        </w:rPr>
      </w:pPr>
    </w:p>
    <w:p w14:paraId="688D3189" w14:textId="1CD015F8" w:rsidR="00395D38" w:rsidRPr="00531B12" w:rsidRDefault="001D4019"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80"/>
          <w:sz w:val="20"/>
          <w:szCs w:val="20"/>
        </w:rPr>
        <w:t xml:space="preserve"> </w:t>
      </w:r>
      <w:r w:rsidRPr="00531B12">
        <w:rPr>
          <w:rFonts w:ascii="Abadi" w:hAnsi="Abadi"/>
          <w:b/>
          <w:bCs/>
          <w:sz w:val="20"/>
          <w:szCs w:val="20"/>
        </w:rPr>
        <w:t>Y,</w:t>
      </w:r>
      <w:r w:rsidRPr="00531B12">
        <w:rPr>
          <w:rFonts w:ascii="Abadi" w:hAnsi="Abadi"/>
          <w:b/>
          <w:bCs/>
          <w:spacing w:val="80"/>
          <w:sz w:val="20"/>
          <w:szCs w:val="20"/>
        </w:rPr>
        <w:t xml:space="preserve"> </w:t>
      </w:r>
      <w:r w:rsidRPr="00531B12">
        <w:rPr>
          <w:rFonts w:ascii="Abadi" w:hAnsi="Abadi"/>
          <w:b/>
          <w:bCs/>
          <w:sz w:val="20"/>
          <w:szCs w:val="20"/>
        </w:rPr>
        <w:t>EN</w:t>
      </w:r>
      <w:r w:rsidRPr="00531B12">
        <w:rPr>
          <w:rFonts w:ascii="Abadi" w:hAnsi="Abadi"/>
          <w:b/>
          <w:bCs/>
          <w:spacing w:val="80"/>
          <w:sz w:val="20"/>
          <w:szCs w:val="20"/>
        </w:rPr>
        <w:t xml:space="preserve"> </w:t>
      </w:r>
      <w:r w:rsidRPr="00531B12">
        <w:rPr>
          <w:rFonts w:ascii="Abadi" w:hAnsi="Abadi"/>
          <w:b/>
          <w:bCs/>
          <w:sz w:val="20"/>
          <w:szCs w:val="20"/>
        </w:rPr>
        <w:t>SU</w:t>
      </w:r>
      <w:r w:rsidRPr="00531B12">
        <w:rPr>
          <w:rFonts w:ascii="Abadi" w:hAnsi="Abadi"/>
          <w:b/>
          <w:bCs/>
          <w:spacing w:val="80"/>
          <w:sz w:val="20"/>
          <w:szCs w:val="20"/>
        </w:rPr>
        <w:t xml:space="preserve"> </w:t>
      </w:r>
      <w:r w:rsidRPr="00531B12">
        <w:rPr>
          <w:rFonts w:ascii="Abadi" w:hAnsi="Abadi"/>
          <w:b/>
          <w:bCs/>
          <w:sz w:val="20"/>
          <w:szCs w:val="20"/>
        </w:rPr>
        <w:t>CASO,</w:t>
      </w:r>
      <w:r w:rsidRPr="00531B12">
        <w:rPr>
          <w:rFonts w:ascii="Abadi" w:hAnsi="Abadi"/>
          <w:b/>
          <w:bCs/>
          <w:spacing w:val="80"/>
          <w:sz w:val="20"/>
          <w:szCs w:val="20"/>
        </w:rPr>
        <w:t xml:space="preserve"> </w:t>
      </w:r>
      <w:r w:rsidRPr="00531B12">
        <w:rPr>
          <w:rFonts w:ascii="Abadi" w:hAnsi="Abadi"/>
          <w:b/>
          <w:bCs/>
          <w:sz w:val="20"/>
          <w:szCs w:val="20"/>
        </w:rPr>
        <w:t>APROBACIÓN</w:t>
      </w:r>
      <w:r w:rsidRPr="00531B12">
        <w:rPr>
          <w:rFonts w:ascii="Abadi" w:hAnsi="Abadi"/>
          <w:b/>
          <w:bCs/>
          <w:spacing w:val="80"/>
          <w:sz w:val="20"/>
          <w:szCs w:val="20"/>
        </w:rPr>
        <w:t xml:space="preserve"> </w:t>
      </w:r>
      <w:r w:rsidRPr="00531B12">
        <w:rPr>
          <w:rFonts w:ascii="Abadi" w:hAnsi="Abadi"/>
          <w:b/>
          <w:bCs/>
          <w:sz w:val="20"/>
          <w:szCs w:val="20"/>
        </w:rPr>
        <w:t>DEL</w:t>
      </w:r>
      <w:r w:rsidRPr="00531B12">
        <w:rPr>
          <w:rFonts w:ascii="Abadi" w:hAnsi="Abadi"/>
          <w:b/>
          <w:bCs/>
          <w:spacing w:val="80"/>
          <w:sz w:val="20"/>
          <w:szCs w:val="20"/>
        </w:rPr>
        <w:t xml:space="preserve"> </w:t>
      </w:r>
      <w:r w:rsidRPr="00531B12">
        <w:rPr>
          <w:rFonts w:ascii="Abadi" w:hAnsi="Abadi"/>
          <w:b/>
          <w:bCs/>
          <w:sz w:val="20"/>
          <w:szCs w:val="20"/>
        </w:rPr>
        <w:t>DICTAMEN</w:t>
      </w:r>
      <w:r w:rsidRPr="00531B12">
        <w:rPr>
          <w:rFonts w:ascii="Abadi" w:hAnsi="Abadi"/>
          <w:b/>
          <w:bCs/>
          <w:spacing w:val="80"/>
          <w:sz w:val="20"/>
          <w:szCs w:val="20"/>
        </w:rPr>
        <w:t xml:space="preserve"> </w:t>
      </w:r>
      <w:r w:rsidRPr="00531B12">
        <w:rPr>
          <w:rFonts w:ascii="Abadi" w:hAnsi="Abadi"/>
          <w:b/>
          <w:bCs/>
          <w:sz w:val="20"/>
          <w:szCs w:val="20"/>
        </w:rPr>
        <w:lastRenderedPageBreak/>
        <w:t>PRESENTADO</w:t>
      </w:r>
      <w:r w:rsidRPr="00531B12">
        <w:rPr>
          <w:rFonts w:ascii="Abadi" w:hAnsi="Abadi"/>
          <w:b/>
          <w:bCs/>
          <w:spacing w:val="80"/>
          <w:sz w:val="20"/>
          <w:szCs w:val="20"/>
        </w:rPr>
        <w:t xml:space="preserve"> </w:t>
      </w:r>
      <w:r w:rsidRPr="00531B12">
        <w:rPr>
          <w:rFonts w:ascii="Abadi" w:hAnsi="Abadi"/>
          <w:b/>
          <w:bCs/>
          <w:sz w:val="20"/>
          <w:szCs w:val="20"/>
        </w:rPr>
        <w:t>POR</w:t>
      </w:r>
      <w:r w:rsidRPr="00531B12">
        <w:rPr>
          <w:rFonts w:ascii="Abadi" w:hAnsi="Abadi"/>
          <w:b/>
          <w:bCs/>
          <w:spacing w:val="80"/>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COMISIÓN</w:t>
      </w:r>
      <w:r w:rsidRPr="00531B12">
        <w:rPr>
          <w:rFonts w:ascii="Abadi" w:hAnsi="Abadi"/>
          <w:b/>
          <w:bCs/>
          <w:spacing w:val="16"/>
          <w:sz w:val="20"/>
          <w:szCs w:val="20"/>
        </w:rPr>
        <w:t xml:space="preserve"> </w:t>
      </w:r>
      <w:r w:rsidRPr="00531B12">
        <w:rPr>
          <w:rFonts w:ascii="Abadi" w:hAnsi="Abadi"/>
          <w:b/>
          <w:bCs/>
          <w:sz w:val="20"/>
          <w:szCs w:val="20"/>
        </w:rPr>
        <w:t>DE</w:t>
      </w:r>
      <w:r w:rsidRPr="00531B12">
        <w:rPr>
          <w:rFonts w:ascii="Abadi" w:hAnsi="Abadi"/>
          <w:b/>
          <w:bCs/>
          <w:spacing w:val="15"/>
          <w:sz w:val="20"/>
          <w:szCs w:val="20"/>
        </w:rPr>
        <w:t xml:space="preserve"> </w:t>
      </w:r>
      <w:r w:rsidRPr="00531B12">
        <w:rPr>
          <w:rFonts w:ascii="Abadi" w:hAnsi="Abadi"/>
          <w:b/>
          <w:bCs/>
          <w:sz w:val="20"/>
          <w:szCs w:val="20"/>
        </w:rPr>
        <w:t>GOBERNACIÓN</w:t>
      </w:r>
      <w:r w:rsidRPr="00531B12">
        <w:rPr>
          <w:rFonts w:ascii="Abadi" w:hAnsi="Abadi"/>
          <w:b/>
          <w:bCs/>
          <w:spacing w:val="15"/>
          <w:sz w:val="20"/>
          <w:szCs w:val="20"/>
        </w:rPr>
        <w:t xml:space="preserve"> </w:t>
      </w:r>
      <w:r w:rsidRPr="00531B12">
        <w:rPr>
          <w:rFonts w:ascii="Abadi" w:hAnsi="Abadi"/>
          <w:b/>
          <w:bCs/>
          <w:sz w:val="20"/>
          <w:szCs w:val="20"/>
        </w:rPr>
        <w:t>Y</w:t>
      </w:r>
      <w:r w:rsidRPr="00531B12">
        <w:rPr>
          <w:rFonts w:ascii="Abadi" w:hAnsi="Abadi"/>
          <w:b/>
          <w:bCs/>
          <w:spacing w:val="15"/>
          <w:sz w:val="20"/>
          <w:szCs w:val="20"/>
        </w:rPr>
        <w:t xml:space="preserve"> </w:t>
      </w:r>
      <w:r w:rsidRPr="00531B12">
        <w:rPr>
          <w:rFonts w:ascii="Abadi" w:hAnsi="Abadi"/>
          <w:b/>
          <w:bCs/>
          <w:sz w:val="20"/>
          <w:szCs w:val="20"/>
        </w:rPr>
        <w:t>PUNTOS</w:t>
      </w:r>
      <w:r w:rsidRPr="00531B12">
        <w:rPr>
          <w:rFonts w:ascii="Abadi" w:hAnsi="Abadi"/>
          <w:b/>
          <w:bCs/>
          <w:spacing w:val="15"/>
          <w:sz w:val="20"/>
          <w:szCs w:val="20"/>
        </w:rPr>
        <w:t xml:space="preserve"> </w:t>
      </w:r>
      <w:r w:rsidRPr="00531B12">
        <w:rPr>
          <w:rFonts w:ascii="Abadi" w:hAnsi="Abadi"/>
          <w:b/>
          <w:bCs/>
          <w:sz w:val="20"/>
          <w:szCs w:val="20"/>
        </w:rPr>
        <w:t>CONSTITUCIONALES</w:t>
      </w:r>
      <w:r w:rsidRPr="00531B12">
        <w:rPr>
          <w:rFonts w:ascii="Abadi" w:hAnsi="Abadi"/>
          <w:b/>
          <w:bCs/>
          <w:spacing w:val="14"/>
          <w:sz w:val="20"/>
          <w:szCs w:val="20"/>
        </w:rPr>
        <w:t xml:space="preserve"> </w:t>
      </w:r>
      <w:r w:rsidRPr="00531B12">
        <w:rPr>
          <w:rFonts w:ascii="Abadi" w:hAnsi="Abadi"/>
          <w:b/>
          <w:bCs/>
          <w:sz w:val="20"/>
          <w:szCs w:val="20"/>
        </w:rPr>
        <w:t>RELATIVO</w:t>
      </w:r>
      <w:r w:rsidRPr="00531B12">
        <w:rPr>
          <w:rFonts w:ascii="Abadi" w:hAnsi="Abadi"/>
          <w:b/>
          <w:bCs/>
          <w:spacing w:val="15"/>
          <w:sz w:val="20"/>
          <w:szCs w:val="20"/>
        </w:rPr>
        <w:t xml:space="preserve"> </w:t>
      </w:r>
      <w:r w:rsidRPr="00531B12">
        <w:rPr>
          <w:rFonts w:ascii="Abadi" w:hAnsi="Abadi"/>
          <w:b/>
          <w:bCs/>
          <w:sz w:val="20"/>
          <w:szCs w:val="20"/>
        </w:rPr>
        <w:t>A</w:t>
      </w:r>
      <w:r w:rsidRPr="00531B12">
        <w:rPr>
          <w:rFonts w:ascii="Abadi" w:hAnsi="Abadi"/>
          <w:b/>
          <w:bCs/>
          <w:spacing w:val="15"/>
          <w:sz w:val="20"/>
          <w:szCs w:val="20"/>
        </w:rPr>
        <w:t xml:space="preserve"> </w:t>
      </w:r>
      <w:r w:rsidRPr="00531B12">
        <w:rPr>
          <w:rFonts w:ascii="Abadi" w:hAnsi="Abadi"/>
          <w:b/>
          <w:bCs/>
          <w:sz w:val="20"/>
          <w:szCs w:val="20"/>
        </w:rPr>
        <w:t>LA</w:t>
      </w:r>
      <w:r w:rsidRPr="00531B12">
        <w:rPr>
          <w:rFonts w:ascii="Abadi" w:hAnsi="Abadi"/>
          <w:b/>
          <w:bCs/>
          <w:spacing w:val="15"/>
          <w:sz w:val="20"/>
          <w:szCs w:val="20"/>
        </w:rPr>
        <w:t xml:space="preserve"> </w:t>
      </w:r>
      <w:r w:rsidRPr="00531B12">
        <w:rPr>
          <w:rFonts w:ascii="Abadi" w:hAnsi="Abadi"/>
          <w:b/>
          <w:bCs/>
          <w:sz w:val="20"/>
          <w:szCs w:val="20"/>
        </w:rPr>
        <w:t>INICIATIVA</w:t>
      </w:r>
      <w:r w:rsidRPr="00531B12">
        <w:rPr>
          <w:rFonts w:ascii="Abadi" w:hAnsi="Abadi"/>
          <w:b/>
          <w:bCs/>
          <w:spacing w:val="-1"/>
          <w:sz w:val="20"/>
          <w:szCs w:val="20"/>
        </w:rPr>
        <w:t xml:space="preserve"> </w:t>
      </w:r>
      <w:r w:rsidRPr="00531B12">
        <w:rPr>
          <w:rFonts w:ascii="Abadi" w:hAnsi="Abadi"/>
          <w:b/>
          <w:bCs/>
          <w:sz w:val="20"/>
          <w:szCs w:val="20"/>
        </w:rPr>
        <w:t>FORMULADA</w:t>
      </w:r>
      <w:r w:rsidRPr="00531B12">
        <w:rPr>
          <w:rFonts w:ascii="Abadi" w:hAnsi="Abadi"/>
          <w:b/>
          <w:bCs/>
          <w:spacing w:val="40"/>
          <w:sz w:val="20"/>
          <w:szCs w:val="20"/>
        </w:rPr>
        <w:t xml:space="preserve"> </w:t>
      </w:r>
      <w:r w:rsidRPr="00531B12">
        <w:rPr>
          <w:rFonts w:ascii="Abadi" w:hAnsi="Abadi"/>
          <w:b/>
          <w:bCs/>
          <w:sz w:val="20"/>
          <w:szCs w:val="20"/>
        </w:rPr>
        <w:t>POR</w:t>
      </w:r>
      <w:r w:rsidRPr="00531B12">
        <w:rPr>
          <w:rFonts w:ascii="Abadi" w:hAnsi="Abadi"/>
          <w:b/>
          <w:bCs/>
          <w:spacing w:val="40"/>
          <w:sz w:val="20"/>
          <w:szCs w:val="20"/>
        </w:rPr>
        <w:t xml:space="preserve"> </w:t>
      </w:r>
      <w:r w:rsidRPr="00531B12">
        <w:rPr>
          <w:rFonts w:ascii="Abadi" w:hAnsi="Abadi"/>
          <w:b/>
          <w:bCs/>
          <w:sz w:val="20"/>
          <w:szCs w:val="20"/>
        </w:rPr>
        <w:t>LA</w:t>
      </w:r>
      <w:r w:rsidRPr="00531B12">
        <w:rPr>
          <w:rFonts w:ascii="Abadi" w:hAnsi="Abadi"/>
          <w:b/>
          <w:bCs/>
          <w:spacing w:val="40"/>
          <w:sz w:val="20"/>
          <w:szCs w:val="20"/>
        </w:rPr>
        <w:t xml:space="preserve"> </w:t>
      </w:r>
      <w:r w:rsidRPr="00531B12">
        <w:rPr>
          <w:rFonts w:ascii="Abadi" w:hAnsi="Abadi"/>
          <w:b/>
          <w:bCs/>
          <w:sz w:val="20"/>
          <w:szCs w:val="20"/>
        </w:rPr>
        <w:t>DIPUTADA</w:t>
      </w:r>
      <w:r w:rsidRPr="00531B12">
        <w:rPr>
          <w:rFonts w:ascii="Abadi" w:hAnsi="Abadi"/>
          <w:b/>
          <w:bCs/>
          <w:spacing w:val="40"/>
          <w:sz w:val="20"/>
          <w:szCs w:val="20"/>
        </w:rPr>
        <w:t xml:space="preserve"> </w:t>
      </w:r>
      <w:r w:rsidRPr="00531B12">
        <w:rPr>
          <w:rFonts w:ascii="Abadi" w:hAnsi="Abadi"/>
          <w:b/>
          <w:bCs/>
          <w:sz w:val="20"/>
          <w:szCs w:val="20"/>
        </w:rPr>
        <w:t>HADES</w:t>
      </w:r>
      <w:r w:rsidRPr="00531B12">
        <w:rPr>
          <w:rFonts w:ascii="Abadi" w:hAnsi="Abadi"/>
          <w:b/>
          <w:bCs/>
          <w:spacing w:val="40"/>
          <w:sz w:val="20"/>
          <w:szCs w:val="20"/>
        </w:rPr>
        <w:t xml:space="preserve"> </w:t>
      </w:r>
      <w:r w:rsidRPr="00531B12">
        <w:rPr>
          <w:rFonts w:ascii="Abadi" w:hAnsi="Abadi"/>
          <w:b/>
          <w:bCs/>
          <w:sz w:val="20"/>
          <w:szCs w:val="20"/>
        </w:rPr>
        <w:t>BERENICE</w:t>
      </w:r>
      <w:r w:rsidRPr="00531B12">
        <w:rPr>
          <w:rFonts w:ascii="Abadi" w:hAnsi="Abadi"/>
          <w:b/>
          <w:bCs/>
          <w:spacing w:val="40"/>
          <w:sz w:val="20"/>
          <w:szCs w:val="20"/>
        </w:rPr>
        <w:t xml:space="preserve"> </w:t>
      </w:r>
      <w:r w:rsidRPr="00531B12">
        <w:rPr>
          <w:rFonts w:ascii="Abadi" w:hAnsi="Abadi"/>
          <w:b/>
          <w:bCs/>
          <w:sz w:val="20"/>
          <w:szCs w:val="20"/>
        </w:rPr>
        <w:t>AGUILAR</w:t>
      </w:r>
      <w:r w:rsidRPr="00531B12">
        <w:rPr>
          <w:rFonts w:ascii="Abadi" w:hAnsi="Abadi"/>
          <w:b/>
          <w:bCs/>
          <w:spacing w:val="40"/>
          <w:sz w:val="20"/>
          <w:szCs w:val="20"/>
        </w:rPr>
        <w:t xml:space="preserve"> </w:t>
      </w:r>
      <w:r w:rsidRPr="00531B12">
        <w:rPr>
          <w:rFonts w:ascii="Abadi" w:hAnsi="Abadi"/>
          <w:b/>
          <w:bCs/>
          <w:sz w:val="20"/>
          <w:szCs w:val="20"/>
        </w:rPr>
        <w:t>CASTILLO</w:t>
      </w:r>
      <w:r w:rsidRPr="00531B12">
        <w:rPr>
          <w:rFonts w:ascii="Abadi" w:hAnsi="Abadi"/>
          <w:b/>
          <w:bCs/>
          <w:spacing w:val="40"/>
          <w:sz w:val="20"/>
          <w:szCs w:val="20"/>
        </w:rPr>
        <w:t xml:space="preserve"> </w:t>
      </w:r>
      <w:r w:rsidRPr="00531B12">
        <w:rPr>
          <w:rFonts w:ascii="Abadi" w:hAnsi="Abadi"/>
          <w:b/>
          <w:bCs/>
          <w:sz w:val="20"/>
          <w:szCs w:val="20"/>
        </w:rPr>
        <w:t>INTEGRANTE</w:t>
      </w:r>
      <w:r w:rsidRPr="00531B12">
        <w:rPr>
          <w:rFonts w:ascii="Abadi" w:hAnsi="Abadi"/>
          <w:b/>
          <w:bCs/>
          <w:spacing w:val="40"/>
          <w:sz w:val="20"/>
          <w:szCs w:val="20"/>
        </w:rPr>
        <w:t xml:space="preserve"> </w:t>
      </w:r>
      <w:r w:rsidRPr="00531B12">
        <w:rPr>
          <w:rFonts w:ascii="Abadi" w:hAnsi="Abadi"/>
          <w:b/>
          <w:bCs/>
          <w:sz w:val="20"/>
          <w:szCs w:val="20"/>
        </w:rPr>
        <w:t>DEL</w:t>
      </w:r>
      <w:r w:rsidRPr="00531B12">
        <w:rPr>
          <w:rFonts w:ascii="Abadi" w:hAnsi="Abadi"/>
          <w:b/>
          <w:bCs/>
          <w:spacing w:val="-1"/>
          <w:sz w:val="20"/>
          <w:szCs w:val="20"/>
        </w:rPr>
        <w:t xml:space="preserve"> </w:t>
      </w:r>
      <w:r w:rsidRPr="00531B12">
        <w:rPr>
          <w:rFonts w:ascii="Abadi" w:hAnsi="Abadi"/>
          <w:b/>
          <w:bCs/>
          <w:sz w:val="20"/>
          <w:szCs w:val="20"/>
        </w:rPr>
        <w:t>GRUPO</w:t>
      </w:r>
      <w:r w:rsidRPr="00531B12">
        <w:rPr>
          <w:rFonts w:ascii="Abadi" w:hAnsi="Abadi"/>
          <w:b/>
          <w:bCs/>
          <w:spacing w:val="-1"/>
          <w:sz w:val="20"/>
          <w:szCs w:val="20"/>
        </w:rPr>
        <w:t xml:space="preserve"> </w:t>
      </w:r>
      <w:r w:rsidRPr="00531B12">
        <w:rPr>
          <w:rFonts w:ascii="Abadi" w:hAnsi="Abadi"/>
          <w:b/>
          <w:bCs/>
          <w:sz w:val="20"/>
          <w:szCs w:val="20"/>
        </w:rPr>
        <w:t>PARLAMENTARIO DEL</w:t>
      </w:r>
      <w:r w:rsidRPr="00531B12">
        <w:rPr>
          <w:rFonts w:ascii="Abadi" w:hAnsi="Abadi"/>
          <w:b/>
          <w:bCs/>
          <w:spacing w:val="-1"/>
          <w:sz w:val="20"/>
          <w:szCs w:val="20"/>
        </w:rPr>
        <w:t xml:space="preserve"> </w:t>
      </w:r>
      <w:r w:rsidRPr="00531B12">
        <w:rPr>
          <w:rFonts w:ascii="Abadi" w:hAnsi="Abadi"/>
          <w:b/>
          <w:bCs/>
          <w:sz w:val="20"/>
          <w:szCs w:val="20"/>
        </w:rPr>
        <w:t>PARTIDO</w:t>
      </w:r>
      <w:r w:rsidRPr="00531B12">
        <w:rPr>
          <w:rFonts w:ascii="Abadi" w:hAnsi="Abadi"/>
          <w:b/>
          <w:bCs/>
          <w:spacing w:val="-1"/>
          <w:sz w:val="20"/>
          <w:szCs w:val="20"/>
        </w:rPr>
        <w:t xml:space="preserve"> </w:t>
      </w:r>
      <w:r w:rsidRPr="00531B12">
        <w:rPr>
          <w:rFonts w:ascii="Abadi" w:hAnsi="Abadi"/>
          <w:b/>
          <w:bCs/>
          <w:sz w:val="20"/>
          <w:szCs w:val="20"/>
        </w:rPr>
        <w:t>MORENA,</w:t>
      </w:r>
      <w:r w:rsidRPr="00531B12">
        <w:rPr>
          <w:rFonts w:ascii="Abadi" w:hAnsi="Abadi"/>
          <w:b/>
          <w:bCs/>
          <w:spacing w:val="-1"/>
          <w:sz w:val="20"/>
          <w:szCs w:val="20"/>
        </w:rPr>
        <w:t xml:space="preserve"> </w:t>
      </w:r>
      <w:r w:rsidRPr="00531B12">
        <w:rPr>
          <w:rFonts w:ascii="Abadi" w:hAnsi="Abadi"/>
          <w:b/>
          <w:bCs/>
          <w:sz w:val="20"/>
          <w:szCs w:val="20"/>
        </w:rPr>
        <w:t>A</w:t>
      </w:r>
      <w:r w:rsidRPr="00531B12">
        <w:rPr>
          <w:rFonts w:ascii="Abadi" w:hAnsi="Abadi"/>
          <w:b/>
          <w:bCs/>
          <w:spacing w:val="-1"/>
          <w:sz w:val="20"/>
          <w:szCs w:val="20"/>
        </w:rPr>
        <w:t xml:space="preserve"> </w:t>
      </w:r>
      <w:r w:rsidRPr="00531B12">
        <w:rPr>
          <w:rFonts w:ascii="Abadi" w:hAnsi="Abadi"/>
          <w:b/>
          <w:bCs/>
          <w:sz w:val="20"/>
          <w:szCs w:val="20"/>
        </w:rPr>
        <w:t>EFECTO DE</w:t>
      </w:r>
      <w:r w:rsidRPr="00531B12">
        <w:rPr>
          <w:rFonts w:ascii="Abadi" w:hAnsi="Abadi"/>
          <w:b/>
          <w:bCs/>
          <w:spacing w:val="-1"/>
          <w:sz w:val="20"/>
          <w:szCs w:val="20"/>
        </w:rPr>
        <w:t xml:space="preserve"> </w:t>
      </w:r>
      <w:r w:rsidRPr="00531B12">
        <w:rPr>
          <w:rFonts w:ascii="Abadi" w:hAnsi="Abadi"/>
          <w:b/>
          <w:bCs/>
          <w:sz w:val="20"/>
          <w:szCs w:val="20"/>
        </w:rPr>
        <w:t>REFORMAR</w:t>
      </w:r>
      <w:r w:rsidRPr="00531B12">
        <w:rPr>
          <w:rFonts w:ascii="Abadi" w:hAnsi="Abadi"/>
          <w:b/>
          <w:bCs/>
          <w:spacing w:val="-1"/>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FRACCIÓN</w:t>
      </w:r>
      <w:r w:rsidRPr="00531B12">
        <w:rPr>
          <w:rFonts w:ascii="Abadi" w:hAnsi="Abadi"/>
          <w:b/>
          <w:bCs/>
          <w:spacing w:val="-1"/>
          <w:sz w:val="20"/>
          <w:szCs w:val="20"/>
        </w:rPr>
        <w:t xml:space="preserve"> </w:t>
      </w:r>
      <w:r w:rsidRPr="00531B12">
        <w:rPr>
          <w:rFonts w:ascii="Abadi" w:hAnsi="Abadi"/>
          <w:b/>
          <w:bCs/>
          <w:sz w:val="20"/>
          <w:szCs w:val="20"/>
        </w:rPr>
        <w:t>IV DEL ARTÍCULO 95 DE LA CONSTITUCIÓN POLÍTICA</w:t>
      </w:r>
      <w:r w:rsidRPr="00531B12">
        <w:rPr>
          <w:rFonts w:ascii="Abadi" w:hAnsi="Abadi"/>
          <w:b/>
          <w:bCs/>
          <w:spacing w:val="-1"/>
          <w:sz w:val="20"/>
          <w:szCs w:val="20"/>
        </w:rPr>
        <w:t xml:space="preserve"> </w:t>
      </w:r>
      <w:r w:rsidRPr="00531B12">
        <w:rPr>
          <w:rFonts w:ascii="Abadi" w:hAnsi="Abadi"/>
          <w:b/>
          <w:bCs/>
          <w:sz w:val="20"/>
          <w:szCs w:val="20"/>
        </w:rPr>
        <w:t>PARA EL ESTADO DE GUANAJUATO</w:t>
      </w:r>
    </w:p>
    <w:p w14:paraId="66D7B4C5" w14:textId="3C6D1F90" w:rsidR="00410A0C" w:rsidRDefault="00410A0C" w:rsidP="00410A0C">
      <w:pPr>
        <w:kinsoku w:val="0"/>
        <w:overflowPunct w:val="0"/>
        <w:autoSpaceDE w:val="0"/>
        <w:autoSpaceDN w:val="0"/>
        <w:adjustRightInd w:val="0"/>
        <w:ind w:right="17"/>
        <w:jc w:val="both"/>
        <w:rPr>
          <w:rFonts w:ascii="Abadi" w:hAnsi="Abadi" w:cs="Arial"/>
          <w:b/>
          <w:bCs/>
          <w:sz w:val="20"/>
          <w:szCs w:val="20"/>
        </w:rPr>
      </w:pPr>
    </w:p>
    <w:p w14:paraId="49A04AE3" w14:textId="77777777" w:rsidR="00B3024D" w:rsidRPr="00B3024D" w:rsidRDefault="00B3024D" w:rsidP="00B3024D">
      <w:pPr>
        <w:jc w:val="both"/>
        <w:rPr>
          <w:rFonts w:ascii="Abadi" w:eastAsia="Arial Unicode MS" w:hAnsi="Abadi" w:cs="Arial Unicode MS"/>
          <w:b/>
          <w:sz w:val="21"/>
          <w:szCs w:val="21"/>
          <w:lang w:val="es-MX"/>
        </w:rPr>
      </w:pPr>
      <w:r w:rsidRPr="00B3024D">
        <w:rPr>
          <w:rFonts w:ascii="Abadi" w:eastAsia="Arial Unicode MS" w:hAnsi="Abadi" w:cs="Arial Unicode MS"/>
          <w:b/>
          <w:sz w:val="21"/>
          <w:szCs w:val="21"/>
          <w:lang w:val="es-MX"/>
        </w:rPr>
        <w:t>DIPUTADA IRMA LETICIA GONZÁLEZ SÁNCHEZ</w:t>
      </w:r>
    </w:p>
    <w:p w14:paraId="2565B7EA" w14:textId="77777777" w:rsidR="00B3024D" w:rsidRPr="00B3024D" w:rsidRDefault="00B3024D" w:rsidP="00B3024D">
      <w:pPr>
        <w:jc w:val="both"/>
        <w:rPr>
          <w:rFonts w:ascii="Abadi" w:eastAsia="Arial Unicode MS" w:hAnsi="Abadi" w:cs="Arial Unicode MS"/>
          <w:b/>
          <w:sz w:val="21"/>
          <w:szCs w:val="21"/>
          <w:lang w:val="es-MX"/>
        </w:rPr>
      </w:pPr>
      <w:r w:rsidRPr="00B3024D">
        <w:rPr>
          <w:rFonts w:ascii="Abadi" w:eastAsia="Arial Unicode MS" w:hAnsi="Abadi" w:cs="Arial Unicode MS"/>
          <w:b/>
          <w:sz w:val="21"/>
          <w:szCs w:val="21"/>
          <w:lang w:val="es-MX"/>
        </w:rPr>
        <w:t>PRESIDENTA DEL CONGRESO DEL ESTADO</w:t>
      </w:r>
    </w:p>
    <w:p w14:paraId="4A4D507E" w14:textId="77777777" w:rsidR="00B3024D" w:rsidRPr="00B3024D" w:rsidRDefault="00B3024D" w:rsidP="00B3024D">
      <w:pPr>
        <w:jc w:val="both"/>
        <w:rPr>
          <w:rFonts w:ascii="Abadi" w:eastAsia="Arial Unicode MS" w:hAnsi="Abadi" w:cs="Arial Unicode MS"/>
          <w:b/>
          <w:sz w:val="21"/>
          <w:szCs w:val="21"/>
          <w:lang w:val="es-MX"/>
        </w:rPr>
      </w:pPr>
      <w:r w:rsidRPr="00B3024D">
        <w:rPr>
          <w:rFonts w:ascii="Abadi" w:eastAsia="Arial Unicode MS" w:hAnsi="Abadi" w:cs="Arial Unicode MS"/>
          <w:b/>
          <w:sz w:val="21"/>
          <w:szCs w:val="21"/>
          <w:lang w:val="es-MX"/>
        </w:rPr>
        <w:t>P R E S E N T E .</w:t>
      </w:r>
    </w:p>
    <w:p w14:paraId="1315CC5D" w14:textId="77777777" w:rsidR="00B3024D" w:rsidRPr="00B3024D" w:rsidRDefault="00B3024D" w:rsidP="00B3024D">
      <w:pPr>
        <w:ind w:firstLine="708"/>
        <w:jc w:val="both"/>
        <w:rPr>
          <w:rFonts w:ascii="Abadi" w:eastAsia="Arial Unicode MS" w:hAnsi="Abadi" w:cs="Arial Unicode MS"/>
          <w:sz w:val="21"/>
          <w:szCs w:val="21"/>
          <w:lang w:val="es-MX"/>
        </w:rPr>
      </w:pPr>
    </w:p>
    <w:p w14:paraId="464DD66A" w14:textId="77777777" w:rsidR="00B3024D" w:rsidRPr="00B3024D" w:rsidRDefault="00B3024D" w:rsidP="00B3024D">
      <w:pPr>
        <w:spacing w:line="276" w:lineRule="auto"/>
        <w:ind w:firstLine="708"/>
        <w:jc w:val="both"/>
        <w:rPr>
          <w:rFonts w:ascii="Abadi" w:eastAsia="Arial Unicode MS" w:hAnsi="Abadi" w:cs="Arial Unicode MS"/>
          <w:sz w:val="21"/>
          <w:szCs w:val="21"/>
          <w:lang w:val="es-MX"/>
        </w:rPr>
      </w:pPr>
      <w:r w:rsidRPr="00B3024D">
        <w:rPr>
          <w:rFonts w:ascii="Abadi" w:eastAsia="Arial Unicode MS" w:hAnsi="Abadi" w:cs="Arial Unicode MS"/>
          <w:sz w:val="21"/>
          <w:szCs w:val="21"/>
          <w:lang w:val="es-MX"/>
        </w:rPr>
        <w:t xml:space="preserve">La Comisión de Gobernación y Puntos Constitucionales recibimos para efectos de estudio y dictamen la iniciativa formulada por la diputada </w:t>
      </w:r>
      <w:bookmarkStart w:id="9" w:name="_Hlk84435011"/>
      <w:r w:rsidRPr="00B3024D">
        <w:rPr>
          <w:rFonts w:ascii="Abadi" w:eastAsia="Arial Unicode MS" w:hAnsi="Abadi" w:cs="Arial Unicode MS"/>
          <w:sz w:val="21"/>
          <w:szCs w:val="21"/>
          <w:lang w:val="es-MX"/>
        </w:rPr>
        <w:t xml:space="preserve">Hades Berenice Aguilar Castillo </w:t>
      </w:r>
      <w:bookmarkEnd w:id="9"/>
      <w:r w:rsidRPr="00B3024D">
        <w:rPr>
          <w:rFonts w:ascii="Abadi" w:eastAsia="Arial Unicode MS" w:hAnsi="Abadi" w:cs="Arial Unicode MS"/>
          <w:sz w:val="21"/>
          <w:szCs w:val="21"/>
          <w:lang w:val="es-MX"/>
        </w:rPr>
        <w:t xml:space="preserve">integrante del Grupo Parlamentario del Partido MORENA, </w:t>
      </w:r>
      <w:bookmarkStart w:id="10" w:name="_Hlk84435062"/>
      <w:r w:rsidRPr="00B3024D">
        <w:rPr>
          <w:rFonts w:ascii="Abadi" w:eastAsia="Arial Unicode MS" w:hAnsi="Abadi" w:cs="Arial Unicode MS"/>
          <w:sz w:val="21"/>
          <w:szCs w:val="21"/>
          <w:lang w:val="es-MX"/>
        </w:rPr>
        <w:t>a efecto de reformar la fracción IV del artículo 95 de la Constitución Política para el Estado de Guanajuato</w:t>
      </w:r>
      <w:bookmarkEnd w:id="10"/>
      <w:r w:rsidRPr="00B3024D">
        <w:rPr>
          <w:rFonts w:ascii="Abadi" w:eastAsia="Arial Unicode MS" w:hAnsi="Abadi" w:cs="Arial Unicode MS"/>
          <w:sz w:val="21"/>
          <w:szCs w:val="21"/>
          <w:lang w:val="es-MX"/>
        </w:rPr>
        <w:t>.</w:t>
      </w:r>
    </w:p>
    <w:p w14:paraId="3327770D" w14:textId="77777777" w:rsidR="00B3024D" w:rsidRPr="00B3024D" w:rsidRDefault="00B3024D" w:rsidP="00B3024D">
      <w:pPr>
        <w:spacing w:line="276" w:lineRule="auto"/>
        <w:ind w:firstLine="708"/>
        <w:jc w:val="both"/>
        <w:rPr>
          <w:rFonts w:ascii="Abadi" w:eastAsia="Arial Unicode MS" w:hAnsi="Abadi" w:cs="Arial Unicode MS"/>
          <w:sz w:val="21"/>
          <w:szCs w:val="21"/>
          <w:lang w:val="es-MX"/>
        </w:rPr>
      </w:pPr>
    </w:p>
    <w:p w14:paraId="0C0EFFB3" w14:textId="77777777" w:rsidR="00B3024D" w:rsidRPr="00B3024D" w:rsidRDefault="00B3024D" w:rsidP="00B3024D">
      <w:pPr>
        <w:spacing w:line="276" w:lineRule="auto"/>
        <w:ind w:firstLine="708"/>
        <w:jc w:val="both"/>
        <w:rPr>
          <w:rFonts w:ascii="Abadi" w:eastAsia="Arial Unicode MS" w:hAnsi="Abadi" w:cs="Arial Unicode MS"/>
          <w:sz w:val="21"/>
          <w:szCs w:val="21"/>
          <w:lang w:val="es-MX"/>
        </w:rPr>
      </w:pPr>
      <w:r w:rsidRPr="00B3024D">
        <w:rPr>
          <w:rFonts w:ascii="Abadi" w:eastAsia="Arial Unicode MS" w:hAnsi="Abadi" w:cs="Arial Unicode MS"/>
          <w:sz w:val="21"/>
          <w:szCs w:val="21"/>
          <w:lang w:val="es-MX"/>
        </w:rPr>
        <w:t xml:space="preserve">Analizada la iniciativa, esta Comisión Legislativa de conformidad con las atribuciones que le confieren los artículos 111 fracción I y 171 de </w:t>
      </w:r>
      <w:smartTag w:uri="urn:schemas-microsoft-com:office:smarttags" w:element="PersonName">
        <w:smartTagPr>
          <w:attr w:name="ProductID" w:val="la Ley Org￡nica"/>
        </w:smartTagPr>
        <w:r w:rsidRPr="00B3024D">
          <w:rPr>
            <w:rFonts w:ascii="Abadi" w:eastAsia="Arial Unicode MS" w:hAnsi="Abadi" w:cs="Arial Unicode MS"/>
            <w:sz w:val="21"/>
            <w:szCs w:val="21"/>
            <w:lang w:val="es-MX"/>
          </w:rPr>
          <w:t>la Ley Orgánica</w:t>
        </w:r>
      </w:smartTag>
      <w:r w:rsidRPr="00B3024D">
        <w:rPr>
          <w:rFonts w:ascii="Abadi" w:eastAsia="Arial Unicode MS" w:hAnsi="Abadi" w:cs="Arial Unicode MS"/>
          <w:sz w:val="21"/>
          <w:szCs w:val="21"/>
          <w:lang w:val="es-MX"/>
        </w:rPr>
        <w:t xml:space="preserve"> del Poder Legislativo del Estado de Guanajuato, formula a </w:t>
      </w:r>
      <w:smartTag w:uri="urn:schemas-microsoft-com:office:smarttags" w:element="PersonName">
        <w:smartTagPr>
          <w:attr w:name="ProductID" w:val="la Asamblea"/>
        </w:smartTagPr>
        <w:r w:rsidRPr="00B3024D">
          <w:rPr>
            <w:rFonts w:ascii="Abadi" w:eastAsia="Arial Unicode MS" w:hAnsi="Abadi" w:cs="Arial Unicode MS"/>
            <w:sz w:val="21"/>
            <w:szCs w:val="21"/>
            <w:lang w:val="es-MX"/>
          </w:rPr>
          <w:t>la Asamblea</w:t>
        </w:r>
      </w:smartTag>
      <w:r w:rsidRPr="00B3024D">
        <w:rPr>
          <w:rFonts w:ascii="Abadi" w:eastAsia="Arial Unicode MS" w:hAnsi="Abadi" w:cs="Arial Unicode MS"/>
          <w:sz w:val="21"/>
          <w:szCs w:val="21"/>
          <w:lang w:val="es-MX"/>
        </w:rPr>
        <w:t xml:space="preserve"> el siguiente:</w:t>
      </w:r>
    </w:p>
    <w:p w14:paraId="36741E91" w14:textId="77777777" w:rsidR="00B3024D" w:rsidRPr="00B3024D" w:rsidRDefault="00B3024D" w:rsidP="00B3024D">
      <w:pPr>
        <w:ind w:firstLine="708"/>
        <w:jc w:val="both"/>
        <w:rPr>
          <w:rFonts w:ascii="Abadi" w:eastAsia="Arial Unicode MS" w:hAnsi="Abadi" w:cs="Arial Unicode MS"/>
          <w:sz w:val="21"/>
          <w:szCs w:val="21"/>
          <w:lang w:val="es-MX"/>
        </w:rPr>
      </w:pPr>
    </w:p>
    <w:p w14:paraId="1FC55E6B" w14:textId="77777777" w:rsidR="00B3024D" w:rsidRPr="00B3024D" w:rsidRDefault="00B3024D" w:rsidP="00B3024D">
      <w:pPr>
        <w:jc w:val="center"/>
        <w:rPr>
          <w:rFonts w:ascii="Abadi" w:eastAsia="Arial Unicode MS" w:hAnsi="Abadi" w:cs="Arial Unicode MS"/>
          <w:b/>
          <w:sz w:val="21"/>
          <w:szCs w:val="21"/>
          <w:lang w:val="es-MX"/>
        </w:rPr>
      </w:pPr>
    </w:p>
    <w:p w14:paraId="71C3FC1F" w14:textId="77777777" w:rsidR="00B3024D" w:rsidRPr="00B3024D" w:rsidRDefault="00B3024D" w:rsidP="00B3024D">
      <w:pPr>
        <w:jc w:val="center"/>
        <w:rPr>
          <w:rFonts w:ascii="Abadi" w:eastAsia="Arial Unicode MS" w:hAnsi="Abadi" w:cs="Arial Unicode MS"/>
          <w:b/>
          <w:sz w:val="21"/>
          <w:szCs w:val="21"/>
          <w:lang w:val="es-MX"/>
        </w:rPr>
      </w:pPr>
      <w:r w:rsidRPr="00B3024D">
        <w:rPr>
          <w:rFonts w:ascii="Abadi" w:eastAsia="Arial Unicode MS" w:hAnsi="Abadi" w:cs="Arial Unicode MS"/>
          <w:b/>
          <w:sz w:val="21"/>
          <w:szCs w:val="21"/>
          <w:lang w:val="es-MX"/>
        </w:rPr>
        <w:t>D I C T A M E N</w:t>
      </w:r>
    </w:p>
    <w:p w14:paraId="06AC1585" w14:textId="77777777" w:rsidR="00B3024D" w:rsidRPr="00B3024D" w:rsidRDefault="00B3024D" w:rsidP="00B3024D">
      <w:pPr>
        <w:ind w:firstLine="708"/>
        <w:jc w:val="both"/>
        <w:rPr>
          <w:rFonts w:ascii="Abadi" w:eastAsia="Arial Unicode MS" w:hAnsi="Abadi" w:cs="Arial Unicode MS"/>
          <w:sz w:val="21"/>
          <w:szCs w:val="21"/>
          <w:lang w:val="es-MX"/>
        </w:rPr>
      </w:pPr>
    </w:p>
    <w:p w14:paraId="12C2444B" w14:textId="77777777" w:rsidR="00B3024D" w:rsidRPr="00B3024D" w:rsidRDefault="00B3024D" w:rsidP="00B3024D">
      <w:pPr>
        <w:jc w:val="center"/>
        <w:rPr>
          <w:rFonts w:ascii="Abadi" w:eastAsia="Arial Unicode MS" w:hAnsi="Abadi" w:cs="Arial Unicode MS"/>
          <w:b/>
          <w:bCs/>
          <w:sz w:val="21"/>
          <w:szCs w:val="21"/>
          <w:lang w:val="es-MX"/>
        </w:rPr>
      </w:pPr>
    </w:p>
    <w:p w14:paraId="41C2B4D5" w14:textId="77777777" w:rsidR="00B3024D" w:rsidRPr="00B3024D" w:rsidRDefault="00B3024D" w:rsidP="00B3024D">
      <w:pPr>
        <w:rPr>
          <w:rFonts w:ascii="Abadi" w:eastAsia="Batang" w:hAnsi="Abadi" w:cs="Arial"/>
          <w:b/>
          <w:bCs/>
          <w:sz w:val="21"/>
          <w:szCs w:val="21"/>
          <w:lang w:val="es-MX" w:eastAsia="en-US"/>
        </w:rPr>
      </w:pPr>
      <w:r w:rsidRPr="00B3024D">
        <w:rPr>
          <w:rFonts w:ascii="Abadi" w:eastAsia="Batang" w:hAnsi="Abadi" w:cs="Arial"/>
          <w:b/>
          <w:smallCaps/>
          <w:sz w:val="21"/>
          <w:szCs w:val="21"/>
          <w:lang w:val="es-MX" w:eastAsia="en-US"/>
        </w:rPr>
        <w:t>I.</w:t>
      </w:r>
      <w:r w:rsidRPr="00B3024D">
        <w:rPr>
          <w:rFonts w:ascii="Abadi" w:eastAsia="Batang" w:hAnsi="Abadi" w:cs="Arial"/>
          <w:b/>
          <w:smallCaps/>
          <w:sz w:val="21"/>
          <w:szCs w:val="21"/>
          <w:lang w:val="es-MX" w:eastAsia="en-US"/>
        </w:rPr>
        <w:tab/>
      </w:r>
      <w:r w:rsidRPr="00B3024D">
        <w:rPr>
          <w:rFonts w:ascii="Abadi" w:eastAsia="Batang" w:hAnsi="Abadi" w:cs="Arial"/>
          <w:b/>
          <w:bCs/>
          <w:sz w:val="21"/>
          <w:szCs w:val="21"/>
          <w:lang w:val="es-MX" w:eastAsia="en-US"/>
        </w:rPr>
        <w:t>Del Proceso Legislativo</w:t>
      </w:r>
    </w:p>
    <w:p w14:paraId="65A02312" w14:textId="77777777" w:rsidR="00B3024D" w:rsidRPr="00B3024D" w:rsidRDefault="00B3024D" w:rsidP="00B3024D">
      <w:pPr>
        <w:rPr>
          <w:rFonts w:ascii="Abadi" w:eastAsia="Batang" w:hAnsi="Abadi" w:cs="Arial"/>
          <w:b/>
          <w:bCs/>
          <w:sz w:val="21"/>
          <w:szCs w:val="21"/>
          <w:lang w:val="es-MX" w:eastAsia="en-US"/>
        </w:rPr>
      </w:pPr>
    </w:p>
    <w:p w14:paraId="4B6E659F" w14:textId="77777777" w:rsidR="00B3024D" w:rsidRPr="00B3024D" w:rsidRDefault="00B3024D" w:rsidP="00B3024D">
      <w:pPr>
        <w:spacing w:line="276" w:lineRule="auto"/>
        <w:jc w:val="both"/>
        <w:rPr>
          <w:rFonts w:ascii="Abadi" w:eastAsia="Arial Unicode MS" w:hAnsi="Abadi" w:cs="Arial Unicode MS"/>
          <w:sz w:val="21"/>
          <w:szCs w:val="21"/>
          <w:lang w:val="es-MX"/>
        </w:rPr>
      </w:pPr>
      <w:r w:rsidRPr="00B3024D">
        <w:rPr>
          <w:rFonts w:ascii="Abadi" w:eastAsia="Batang" w:hAnsi="Abadi" w:cs="Arial"/>
          <w:b/>
          <w:bCs/>
          <w:sz w:val="21"/>
          <w:szCs w:val="21"/>
          <w:lang w:val="es-MX" w:eastAsia="en-US"/>
        </w:rPr>
        <w:t>I.1.</w:t>
      </w:r>
      <w:r w:rsidRPr="00B3024D">
        <w:rPr>
          <w:rFonts w:ascii="Abadi" w:eastAsia="Batang" w:hAnsi="Abadi" w:cs="Arial"/>
          <w:b/>
          <w:bCs/>
          <w:sz w:val="21"/>
          <w:szCs w:val="21"/>
          <w:lang w:val="es-MX" w:eastAsia="en-US"/>
        </w:rPr>
        <w:tab/>
      </w:r>
      <w:r w:rsidRPr="00B3024D">
        <w:rPr>
          <w:rFonts w:ascii="Abadi" w:eastAsia="Arial Unicode MS" w:hAnsi="Abadi" w:cs="Arial Unicode MS"/>
          <w:sz w:val="21"/>
          <w:szCs w:val="21"/>
          <w:lang w:val="es-MX"/>
        </w:rPr>
        <w:t xml:space="preserve">En sesión del 7 de octubre de 2021 ingresó la iniciativa </w:t>
      </w:r>
      <w:r w:rsidRPr="00B3024D">
        <w:rPr>
          <w:rFonts w:ascii="Abadi" w:eastAsia="Arial Unicode MS" w:hAnsi="Abadi" w:cs="Arial Unicode MS"/>
          <w:sz w:val="21"/>
          <w:szCs w:val="21"/>
          <w:lang w:val="es-MX" w:eastAsia="en-US"/>
        </w:rPr>
        <w:t xml:space="preserve">formulada por la diputada Hades Berenice Aguilar Castillo integrante del Grupo Parlamentario del Partido MORENA, a efecto de reformar la fracción IV del artículo 95 de la Constitución Política para el Estado de Guanajuato, con el expediente 7/LXV-I </w:t>
      </w:r>
      <w:r w:rsidRPr="00B3024D">
        <w:rPr>
          <w:rFonts w:ascii="Abadi" w:eastAsia="Arial Unicode MS" w:hAnsi="Abadi" w:cs="Arial Unicode MS"/>
          <w:sz w:val="21"/>
          <w:szCs w:val="21"/>
          <w:lang w:val="es-MX"/>
        </w:rPr>
        <w:t>turnándose en su momento por la presidencia del Congreso a la Comisión de Gobernación y Puntos Constitucionales, con fundamento en lo dispuesto por el artículo 111, fracción I de la Ley Orgánica del Poder Legislativo del Estado de Guanajuato, para su estudio y dictamen.</w:t>
      </w:r>
    </w:p>
    <w:p w14:paraId="653D56CE" w14:textId="77777777" w:rsidR="00B3024D" w:rsidRPr="00B3024D" w:rsidRDefault="00B3024D" w:rsidP="00B3024D">
      <w:pPr>
        <w:spacing w:line="276" w:lineRule="auto"/>
        <w:jc w:val="both"/>
        <w:rPr>
          <w:rFonts w:ascii="Abadi" w:eastAsia="Batang" w:hAnsi="Abadi" w:cs="Arial"/>
          <w:sz w:val="21"/>
          <w:szCs w:val="21"/>
          <w:highlight w:val="yellow"/>
          <w:lang w:val="es-MX" w:eastAsia="en-US"/>
        </w:rPr>
      </w:pPr>
    </w:p>
    <w:p w14:paraId="7D381910" w14:textId="77777777" w:rsidR="00B3024D" w:rsidRPr="00B3024D" w:rsidRDefault="00B3024D" w:rsidP="00B3024D">
      <w:pPr>
        <w:spacing w:line="276" w:lineRule="auto"/>
        <w:jc w:val="both"/>
        <w:rPr>
          <w:rFonts w:ascii="Abadi" w:eastAsia="Batang" w:hAnsi="Abadi" w:cs="Arial"/>
          <w:sz w:val="21"/>
          <w:szCs w:val="21"/>
          <w:lang w:val="es-MX" w:eastAsia="en-US"/>
        </w:rPr>
      </w:pPr>
      <w:r w:rsidRPr="00B3024D">
        <w:rPr>
          <w:rFonts w:ascii="Abadi" w:eastAsia="Batang" w:hAnsi="Abadi" w:cs="Arial"/>
          <w:b/>
          <w:sz w:val="21"/>
          <w:szCs w:val="21"/>
          <w:lang w:val="es-MX" w:eastAsia="en-US"/>
        </w:rPr>
        <w:t xml:space="preserve">I.2. </w:t>
      </w:r>
      <w:r w:rsidRPr="00B3024D">
        <w:rPr>
          <w:rFonts w:ascii="Abadi" w:eastAsia="Batang" w:hAnsi="Abadi" w:cs="Arial"/>
          <w:sz w:val="21"/>
          <w:szCs w:val="21"/>
          <w:lang w:val="es-MX" w:eastAsia="en-US"/>
        </w:rPr>
        <w:t xml:space="preserve">En reunión de la Comisión de Gobernación y Puntos Constitucionales, del 11 de noviembre de 2021 se radicó la iniciativa y fue aprobada la metodología de estudio y dictamen en los siguientes términos: </w:t>
      </w:r>
    </w:p>
    <w:p w14:paraId="6C268128" w14:textId="77777777" w:rsidR="00B3024D" w:rsidRPr="00B3024D" w:rsidRDefault="00B3024D" w:rsidP="00B3024D">
      <w:pPr>
        <w:spacing w:line="276" w:lineRule="auto"/>
        <w:jc w:val="both"/>
        <w:rPr>
          <w:rFonts w:ascii="Abadi" w:eastAsia="Batang" w:hAnsi="Abadi" w:cs="Arial"/>
          <w:sz w:val="21"/>
          <w:szCs w:val="21"/>
          <w:lang w:val="es-MX" w:eastAsia="en-US"/>
        </w:rPr>
      </w:pPr>
    </w:p>
    <w:p w14:paraId="1C35CF99" w14:textId="77777777" w:rsidR="00B3024D" w:rsidRPr="00B3024D" w:rsidRDefault="00B3024D" w:rsidP="00B3024D">
      <w:pPr>
        <w:spacing w:line="276" w:lineRule="auto"/>
        <w:jc w:val="both"/>
        <w:rPr>
          <w:rFonts w:ascii="Abadi" w:eastAsia="Batang" w:hAnsi="Abadi" w:cs="Arial"/>
          <w:sz w:val="21"/>
          <w:szCs w:val="21"/>
          <w:lang w:val="es-MX" w:eastAsia="en-US"/>
        </w:rPr>
      </w:pPr>
    </w:p>
    <w:p w14:paraId="5769E1FE" w14:textId="77777777" w:rsidR="00B3024D" w:rsidRPr="00B3024D" w:rsidRDefault="00B3024D" w:rsidP="00B3024D">
      <w:pPr>
        <w:spacing w:line="276" w:lineRule="auto"/>
        <w:jc w:val="both"/>
        <w:rPr>
          <w:rFonts w:ascii="Abadi" w:eastAsia="Batang" w:hAnsi="Abadi" w:cs="Arial"/>
          <w:sz w:val="21"/>
          <w:szCs w:val="21"/>
          <w:lang w:val="es-MX" w:eastAsia="en-US"/>
        </w:rPr>
      </w:pPr>
    </w:p>
    <w:p w14:paraId="140FBD12" w14:textId="77777777" w:rsidR="00B3024D" w:rsidRPr="00B3024D" w:rsidRDefault="00B3024D" w:rsidP="00B81728">
      <w:pPr>
        <w:numPr>
          <w:ilvl w:val="0"/>
          <w:numId w:val="23"/>
        </w:numPr>
        <w:spacing w:after="200" w:line="276" w:lineRule="auto"/>
        <w:jc w:val="both"/>
        <w:rPr>
          <w:rFonts w:ascii="Abadi" w:hAnsi="Abadi" w:cs="Arial"/>
          <w:i/>
          <w:iCs/>
          <w:sz w:val="21"/>
          <w:szCs w:val="21"/>
          <w:lang w:val="es-MX" w:eastAsia="en-US"/>
        </w:rPr>
      </w:pPr>
      <w:r w:rsidRPr="00B3024D">
        <w:rPr>
          <w:rFonts w:ascii="Abadi" w:hAnsi="Abadi" w:cs="Arial"/>
          <w:i/>
          <w:iCs/>
          <w:sz w:val="21"/>
          <w:szCs w:val="21"/>
          <w:lang w:val="es-MX" w:eastAsia="en-US"/>
        </w:rPr>
        <w:t>Remitir vía electrónica para opinión a los 36 diputados y diputadas que integran la Sexagésima Quinta Legislatura, al Poder Judicial, a la Coordinación General Jurídica de Gobierno del Estado, a las instituciones de educación superior en el estado, quienes contarán con un término de 20 días hábiles, para remitir los comentarios y observaciones que estimen pertinentes.</w:t>
      </w:r>
    </w:p>
    <w:p w14:paraId="3AD50F51" w14:textId="77777777" w:rsidR="00B3024D" w:rsidRPr="00B3024D" w:rsidRDefault="00B3024D" w:rsidP="00B81728">
      <w:pPr>
        <w:numPr>
          <w:ilvl w:val="0"/>
          <w:numId w:val="23"/>
        </w:numPr>
        <w:spacing w:after="200" w:line="276" w:lineRule="auto"/>
        <w:ind w:hanging="436"/>
        <w:jc w:val="both"/>
        <w:rPr>
          <w:rFonts w:ascii="Abadi" w:hAnsi="Abadi" w:cs="Arial"/>
          <w:i/>
          <w:iCs/>
          <w:sz w:val="21"/>
          <w:szCs w:val="21"/>
          <w:lang w:val="es-MX" w:eastAsia="en-US"/>
        </w:rPr>
      </w:pPr>
      <w:r w:rsidRPr="00B3024D">
        <w:rPr>
          <w:rFonts w:ascii="Abadi" w:hAnsi="Abadi" w:cs="Arial"/>
          <w:i/>
          <w:iCs/>
          <w:sz w:val="21"/>
          <w:szCs w:val="21"/>
          <w:lang w:val="es-MX" w:eastAsia="en-US"/>
        </w:rPr>
        <w:t>Se habilitará un vínculo (link) en la página web del Congreso del Estado, a efecto de que se consulte la iniciativa y se puedan recibir observaciones a las mismas.</w:t>
      </w:r>
    </w:p>
    <w:p w14:paraId="1AB95D9C" w14:textId="77777777" w:rsidR="00B3024D" w:rsidRPr="00B3024D" w:rsidRDefault="00B3024D" w:rsidP="00B81728">
      <w:pPr>
        <w:numPr>
          <w:ilvl w:val="0"/>
          <w:numId w:val="23"/>
        </w:numPr>
        <w:spacing w:after="200" w:line="276" w:lineRule="auto"/>
        <w:ind w:hanging="436"/>
        <w:jc w:val="both"/>
        <w:rPr>
          <w:rFonts w:ascii="Abadi" w:hAnsi="Abadi" w:cs="Arial"/>
          <w:i/>
          <w:iCs/>
          <w:sz w:val="21"/>
          <w:szCs w:val="21"/>
          <w:lang w:val="es-MX" w:eastAsia="en-US"/>
        </w:rPr>
      </w:pPr>
      <w:r w:rsidRPr="00B3024D">
        <w:rPr>
          <w:rFonts w:ascii="Abadi" w:hAnsi="Abadi" w:cs="Arial"/>
          <w:i/>
          <w:iCs/>
          <w:sz w:val="21"/>
          <w:szCs w:val="21"/>
          <w:lang w:val="es-MX" w:eastAsia="en-US"/>
        </w:rPr>
        <w:t>Se remitirán al Instituto de Investigaciones Legislativas del Congreso del Estado para su estudio y opinión.</w:t>
      </w:r>
    </w:p>
    <w:p w14:paraId="5448F294" w14:textId="77777777" w:rsidR="00B3024D" w:rsidRPr="00B3024D" w:rsidRDefault="00B3024D" w:rsidP="00B81728">
      <w:pPr>
        <w:numPr>
          <w:ilvl w:val="0"/>
          <w:numId w:val="23"/>
        </w:numPr>
        <w:spacing w:after="200" w:line="276" w:lineRule="auto"/>
        <w:ind w:hanging="436"/>
        <w:contextualSpacing/>
        <w:jc w:val="both"/>
        <w:rPr>
          <w:rFonts w:ascii="Abadi" w:eastAsia="Calibri" w:hAnsi="Abadi" w:cs="Arial"/>
          <w:i/>
          <w:iCs/>
          <w:sz w:val="21"/>
          <w:szCs w:val="21"/>
          <w:lang w:val="es-MX" w:eastAsia="en-US"/>
        </w:rPr>
      </w:pPr>
      <w:r w:rsidRPr="00B3024D">
        <w:rPr>
          <w:rFonts w:ascii="Abadi" w:eastAsia="Calibri" w:hAnsi="Abadi" w:cs="Arial"/>
          <w:i/>
          <w:iCs/>
          <w:sz w:val="21"/>
          <w:szCs w:val="21"/>
          <w:lang w:val="es-MX" w:eastAsia="en-US"/>
        </w:rPr>
        <w:t>Se integrará un documento que consolidará todas las propuestas emitidas en las consultas por escrito o vía electrónica que se hayan remitido previamente a la Comisión para el análisis de las iniciativas. Dicho documento será con formato de comparativo.</w:t>
      </w:r>
    </w:p>
    <w:p w14:paraId="0D8EE77E" w14:textId="77777777" w:rsidR="00B3024D" w:rsidRPr="00B3024D" w:rsidRDefault="00B3024D" w:rsidP="00F77257">
      <w:pPr>
        <w:spacing w:after="200" w:line="276" w:lineRule="auto"/>
        <w:ind w:left="720"/>
        <w:contextualSpacing/>
        <w:jc w:val="both"/>
        <w:rPr>
          <w:rFonts w:ascii="Abadi" w:eastAsia="Calibri" w:hAnsi="Abadi" w:cs="Arial"/>
          <w:i/>
          <w:iCs/>
          <w:sz w:val="21"/>
          <w:szCs w:val="21"/>
          <w:lang w:val="es-MX" w:eastAsia="en-US"/>
        </w:rPr>
      </w:pPr>
    </w:p>
    <w:p w14:paraId="3E538A71" w14:textId="77777777" w:rsidR="00B3024D" w:rsidRPr="00B3024D" w:rsidRDefault="00B3024D" w:rsidP="00B81728">
      <w:pPr>
        <w:numPr>
          <w:ilvl w:val="0"/>
          <w:numId w:val="23"/>
        </w:numPr>
        <w:spacing w:after="200" w:line="276" w:lineRule="auto"/>
        <w:ind w:hanging="436"/>
        <w:contextualSpacing/>
        <w:jc w:val="both"/>
        <w:rPr>
          <w:rFonts w:ascii="Abadi" w:eastAsia="Calibri" w:hAnsi="Abadi" w:cs="Arial"/>
          <w:i/>
          <w:iCs/>
          <w:sz w:val="21"/>
          <w:szCs w:val="21"/>
          <w:lang w:val="es-MX" w:eastAsia="en-US"/>
        </w:rPr>
      </w:pPr>
      <w:r w:rsidRPr="00B3024D">
        <w:rPr>
          <w:rFonts w:ascii="Abadi" w:eastAsia="Calibri" w:hAnsi="Abadi" w:cs="Arial"/>
          <w:i/>
          <w:iCs/>
          <w:sz w:val="21"/>
          <w:szCs w:val="21"/>
          <w:lang w:val="es-MX" w:eastAsia="en-US"/>
        </w:rPr>
        <w:t>Se celebrará una mesa de trabajo con carácter permanente para analizar las observaciones remitidas, a través del documento comparativo.</w:t>
      </w:r>
    </w:p>
    <w:p w14:paraId="25F2D756" w14:textId="77777777" w:rsidR="00B3024D" w:rsidRPr="00B3024D" w:rsidRDefault="00B3024D" w:rsidP="00F77257">
      <w:pPr>
        <w:spacing w:after="200" w:line="276" w:lineRule="auto"/>
        <w:ind w:left="720"/>
        <w:contextualSpacing/>
        <w:rPr>
          <w:rFonts w:ascii="Abadi" w:eastAsia="Calibri" w:hAnsi="Abadi" w:cs="Arial"/>
          <w:i/>
          <w:iCs/>
          <w:sz w:val="21"/>
          <w:szCs w:val="21"/>
          <w:lang w:val="es-MX" w:eastAsia="en-US"/>
        </w:rPr>
      </w:pPr>
    </w:p>
    <w:p w14:paraId="703BC040" w14:textId="77777777" w:rsidR="00B3024D" w:rsidRPr="00B3024D" w:rsidRDefault="00B3024D" w:rsidP="00B81728">
      <w:pPr>
        <w:numPr>
          <w:ilvl w:val="0"/>
          <w:numId w:val="23"/>
        </w:numPr>
        <w:spacing w:after="200" w:line="276" w:lineRule="auto"/>
        <w:ind w:hanging="436"/>
        <w:contextualSpacing/>
        <w:jc w:val="both"/>
        <w:rPr>
          <w:rFonts w:ascii="Abadi" w:eastAsia="Calibri" w:hAnsi="Abadi" w:cs="Arial"/>
          <w:i/>
          <w:iCs/>
          <w:sz w:val="21"/>
          <w:szCs w:val="21"/>
          <w:lang w:val="es-MX" w:eastAsia="en-US"/>
        </w:rPr>
      </w:pPr>
      <w:r w:rsidRPr="00B3024D">
        <w:rPr>
          <w:rFonts w:ascii="Abadi" w:eastAsia="Calibri" w:hAnsi="Abadi" w:cs="Arial"/>
          <w:i/>
          <w:iCs/>
          <w:sz w:val="21"/>
          <w:szCs w:val="21"/>
          <w:lang w:val="es-MX" w:eastAsia="en-US"/>
        </w:rPr>
        <w:t>Una vez lo cual, se presentará un proyecto de dictamen para que sea analizado en reunión de la Comisión.</w:t>
      </w:r>
    </w:p>
    <w:p w14:paraId="3F4B586D" w14:textId="77777777" w:rsidR="00B3024D" w:rsidRPr="00B3024D" w:rsidRDefault="00B3024D" w:rsidP="00B3024D">
      <w:pPr>
        <w:spacing w:line="276" w:lineRule="auto"/>
        <w:jc w:val="both"/>
        <w:rPr>
          <w:rFonts w:ascii="Abadi" w:eastAsia="Batang" w:hAnsi="Abadi" w:cs="Arial"/>
          <w:b/>
          <w:sz w:val="21"/>
          <w:szCs w:val="21"/>
          <w:lang w:val="es-MX" w:eastAsia="en-US"/>
        </w:rPr>
      </w:pPr>
    </w:p>
    <w:p w14:paraId="488C2D22" w14:textId="77777777" w:rsidR="00B3024D" w:rsidRPr="00B3024D" w:rsidRDefault="00B3024D" w:rsidP="00B3024D">
      <w:pPr>
        <w:spacing w:line="276" w:lineRule="auto"/>
        <w:jc w:val="both"/>
        <w:rPr>
          <w:rFonts w:ascii="Abadi" w:hAnsi="Abadi" w:cs="Arial"/>
          <w:sz w:val="21"/>
          <w:szCs w:val="21"/>
          <w:lang w:val="es-MX" w:eastAsia="en-US"/>
        </w:rPr>
      </w:pPr>
      <w:r w:rsidRPr="00B3024D">
        <w:rPr>
          <w:rFonts w:ascii="Abadi" w:eastAsia="Batang" w:hAnsi="Abadi" w:cs="Arial"/>
          <w:b/>
          <w:sz w:val="21"/>
          <w:szCs w:val="21"/>
          <w:lang w:val="es-MX" w:eastAsia="en-US"/>
        </w:rPr>
        <w:t>II.1.</w:t>
      </w:r>
      <w:r w:rsidRPr="00B3024D">
        <w:rPr>
          <w:rFonts w:ascii="Abadi" w:hAnsi="Abadi" w:cs="Arial"/>
          <w:sz w:val="21"/>
          <w:szCs w:val="21"/>
          <w:lang w:val="es-MX" w:eastAsia="en-US"/>
        </w:rPr>
        <w:t xml:space="preserve">  Derivado de ese ejercicio de consulta a diversas autoridades de los poderes Ejecutivo, a través de la Coordinación General Jurídica y Judicial, e instituciones de educación superior y </w:t>
      </w:r>
      <w:r w:rsidRPr="00B3024D">
        <w:rPr>
          <w:rFonts w:ascii="Abadi" w:hAnsi="Abadi" w:cs="Arial"/>
          <w:sz w:val="21"/>
          <w:szCs w:val="21"/>
          <w:lang w:val="es-MX" w:eastAsia="en-US"/>
        </w:rPr>
        <w:lastRenderedPageBreak/>
        <w:t>bajo el principio de parlamento abierto respondieron el Instituto de Investigaciones Legislativas del Congreso del Estado, el Poder Judicial, y la Universidad de Guanajuato.</w:t>
      </w:r>
    </w:p>
    <w:p w14:paraId="44AC3B88" w14:textId="77777777" w:rsidR="00B3024D" w:rsidRPr="00B3024D" w:rsidRDefault="00B3024D" w:rsidP="00B3024D">
      <w:pPr>
        <w:spacing w:line="276" w:lineRule="auto"/>
        <w:jc w:val="both"/>
        <w:rPr>
          <w:rFonts w:ascii="Abadi" w:hAnsi="Abadi" w:cs="Arial"/>
          <w:sz w:val="21"/>
          <w:szCs w:val="21"/>
          <w:lang w:val="es-MX" w:eastAsia="en-US"/>
        </w:rPr>
      </w:pPr>
    </w:p>
    <w:p w14:paraId="1E74A381" w14:textId="77777777" w:rsidR="00B3024D" w:rsidRPr="00B3024D" w:rsidRDefault="00B3024D" w:rsidP="00B3024D">
      <w:pPr>
        <w:spacing w:line="276" w:lineRule="auto"/>
        <w:jc w:val="both"/>
        <w:rPr>
          <w:rFonts w:ascii="Abadi" w:hAnsi="Abadi" w:cs="Arial"/>
          <w:sz w:val="21"/>
          <w:szCs w:val="21"/>
          <w:lang w:val="es-MX" w:eastAsia="en-US"/>
        </w:rPr>
      </w:pPr>
      <w:r w:rsidRPr="00B3024D">
        <w:rPr>
          <w:rFonts w:ascii="Abadi" w:hAnsi="Abadi" w:cs="Arial"/>
          <w:sz w:val="21"/>
          <w:szCs w:val="21"/>
          <w:lang w:val="es-MX" w:eastAsia="en-US"/>
        </w:rPr>
        <w:t>Durante el desahogo de la metodología emitieron sus comentarios de inviabilidad la Coordinación General Jurídica de Gobierno del Estado.</w:t>
      </w:r>
    </w:p>
    <w:p w14:paraId="7BB15032" w14:textId="77777777" w:rsidR="00B3024D" w:rsidRPr="00B3024D" w:rsidRDefault="00B3024D" w:rsidP="00B3024D">
      <w:pPr>
        <w:jc w:val="both"/>
        <w:rPr>
          <w:rFonts w:ascii="Abadi" w:hAnsi="Abadi" w:cs="Arial"/>
          <w:sz w:val="21"/>
          <w:szCs w:val="21"/>
          <w:lang w:val="es-MX" w:eastAsia="en-US"/>
        </w:rPr>
      </w:pPr>
    </w:p>
    <w:p w14:paraId="5C5E812D" w14:textId="77777777" w:rsidR="00B3024D" w:rsidRPr="00B3024D" w:rsidRDefault="00B3024D" w:rsidP="00F77257">
      <w:pPr>
        <w:jc w:val="both"/>
        <w:rPr>
          <w:rFonts w:ascii="Abadi" w:hAnsi="Abadi" w:cs="Arial"/>
          <w:sz w:val="21"/>
          <w:szCs w:val="21"/>
          <w:lang w:val="es-MX" w:eastAsia="en-US"/>
        </w:rPr>
      </w:pPr>
      <w:r w:rsidRPr="00B3024D">
        <w:rPr>
          <w:rFonts w:ascii="Abadi" w:hAnsi="Abadi" w:cs="Arial"/>
          <w:sz w:val="21"/>
          <w:szCs w:val="21"/>
          <w:lang w:val="es-MX" w:eastAsia="en-US"/>
        </w:rPr>
        <w:t xml:space="preserve">El Instituto de Investigaciones Legislativas del Congreso del Estado manifestó que: </w:t>
      </w:r>
    </w:p>
    <w:p w14:paraId="308E94A8" w14:textId="77777777" w:rsidR="00B3024D" w:rsidRPr="00B3024D" w:rsidRDefault="00B3024D" w:rsidP="00B3024D">
      <w:pPr>
        <w:ind w:firstLine="708"/>
        <w:jc w:val="both"/>
        <w:rPr>
          <w:rFonts w:ascii="Abadi" w:hAnsi="Abadi" w:cs="Arial"/>
          <w:sz w:val="21"/>
          <w:szCs w:val="21"/>
          <w:lang w:val="es-MX" w:eastAsia="en-US"/>
        </w:rPr>
      </w:pPr>
    </w:p>
    <w:p w14:paraId="68E9CDCA" w14:textId="77777777" w:rsidR="00B3024D" w:rsidRPr="00B3024D" w:rsidRDefault="00B3024D" w:rsidP="00B3024D">
      <w:pPr>
        <w:ind w:left="1134" w:right="1065"/>
        <w:jc w:val="both"/>
        <w:rPr>
          <w:rFonts w:ascii="Abadi" w:hAnsi="Abadi" w:cs="Arial"/>
          <w:i/>
          <w:iCs/>
          <w:sz w:val="21"/>
          <w:szCs w:val="21"/>
          <w:lang w:val="es-MX" w:eastAsia="en-US"/>
        </w:rPr>
      </w:pPr>
      <w:r w:rsidRPr="00B3024D">
        <w:rPr>
          <w:rFonts w:ascii="Abadi" w:hAnsi="Abadi" w:cs="Arial"/>
          <w:i/>
          <w:iCs/>
          <w:sz w:val="21"/>
          <w:szCs w:val="21"/>
          <w:lang w:val="es-MX" w:eastAsia="en-US"/>
        </w:rPr>
        <w:t xml:space="preserve">(…) una vez analizadas las iniciativas, a la luz del orden jurídico Constitucional Federal y Local, así como el análisis de la legislación secundaria, relacionada con la materia de estudio, se puede concluir que: En el sistema Constitucional Democrático de Derecho, ha de prevalecer estrictamente la división de poderes, tal y como lo refiere el artículo 49 de la Constitución Federal y que consecuentemente recoge la Constitución Política para el Estado de Guanajuato en su artículo 36; en ese sentido, se considera que cada uno de los Poderes cuenta con atribuciones y responsabilidades específicas con las cuales se garantiza un Estado de equilibrio entre ellos. Derivado del estudio conjunto de las iniciativas, se puede observar que se propone la posibilidad de que sea el Congreso del Estado quien asuma la responsabilidad de realizar de manera exclusiva todo el proceso de designación </w:t>
      </w:r>
      <w:r w:rsidRPr="00B3024D">
        <w:rPr>
          <w:rFonts w:ascii="Abadi" w:hAnsi="Abadi" w:cs="Arial"/>
          <w:i/>
          <w:iCs/>
          <w:sz w:val="21"/>
          <w:szCs w:val="21"/>
          <w:lang w:val="es-MX" w:eastAsia="en-US"/>
        </w:rPr>
        <w:t>del Fiscal General del Estado, argumentando la necesidad de garantizar la autonomía de dicho encargo, y por otra parte se propone garantizar la participación del Congreso del Estado en el proceso de remoción del mismo Fiscal General del Estado.</w:t>
      </w:r>
      <w:r w:rsidRPr="00B3024D">
        <w:rPr>
          <w:rFonts w:ascii="Abadi" w:hAnsi="Abadi" w:cs="Arial"/>
          <w:i/>
          <w:iCs/>
          <w:sz w:val="21"/>
          <w:szCs w:val="21"/>
          <w:lang w:val="es-MX" w:eastAsia="en-US"/>
        </w:rPr>
        <w:br/>
      </w:r>
    </w:p>
    <w:p w14:paraId="6C88B9A3" w14:textId="77777777" w:rsidR="00B3024D" w:rsidRPr="00B3024D" w:rsidRDefault="00B3024D" w:rsidP="00B3024D">
      <w:pPr>
        <w:ind w:left="1134" w:right="1065"/>
        <w:jc w:val="both"/>
        <w:rPr>
          <w:rFonts w:ascii="Abadi" w:hAnsi="Abadi" w:cs="Arial"/>
          <w:i/>
          <w:iCs/>
          <w:sz w:val="21"/>
          <w:szCs w:val="21"/>
          <w:lang w:val="es-MX" w:eastAsia="en-US"/>
        </w:rPr>
      </w:pPr>
      <w:r w:rsidRPr="00B3024D">
        <w:rPr>
          <w:rFonts w:ascii="Abadi" w:hAnsi="Abadi" w:cs="Arial"/>
          <w:i/>
          <w:iCs/>
          <w:sz w:val="21"/>
          <w:szCs w:val="21"/>
          <w:lang w:val="es-MX" w:eastAsia="en-US"/>
        </w:rPr>
        <w:t>Cabe recordar que, derivado de la entrada en vigor de la reforma constitucional local publicada el 14 de julio de 2017, mediante la cual se creó la Fiscalía General del Estado a través del decreto 202, se estableció en el párrafo tercero del artículo primero transitorio que: El procurador General de Justicia que se encuentre en funciones al momento de expedirse la declaratoria a que se refiere el párrafo anterior, asumirá las funciones de Fiscal General del Estado, sin perjuicio del procedimiento de remoción previsto en la fracción IV del artículo 95, por lo que no se desahogó el procedimiento de designación establecido en el artículo en mención.</w:t>
      </w:r>
    </w:p>
    <w:p w14:paraId="54469AB3" w14:textId="77777777" w:rsidR="00B3024D" w:rsidRPr="00B3024D" w:rsidRDefault="00B3024D" w:rsidP="00B3024D">
      <w:pPr>
        <w:ind w:left="1134" w:right="1065"/>
        <w:jc w:val="both"/>
        <w:rPr>
          <w:rFonts w:ascii="Abadi" w:hAnsi="Abadi" w:cs="Arial"/>
          <w:i/>
          <w:iCs/>
          <w:sz w:val="21"/>
          <w:szCs w:val="21"/>
          <w:lang w:val="es-MX" w:eastAsia="en-US"/>
        </w:rPr>
      </w:pPr>
    </w:p>
    <w:p w14:paraId="33A9A1DD" w14:textId="77777777" w:rsidR="00B3024D" w:rsidRPr="00B3024D" w:rsidRDefault="00B3024D" w:rsidP="00B3024D">
      <w:pPr>
        <w:ind w:left="1134" w:right="1065"/>
        <w:jc w:val="both"/>
        <w:rPr>
          <w:rFonts w:ascii="Abadi" w:hAnsi="Abadi" w:cs="Arial"/>
          <w:i/>
          <w:iCs/>
          <w:sz w:val="21"/>
          <w:szCs w:val="21"/>
          <w:lang w:val="es-MX" w:eastAsia="en-US"/>
        </w:rPr>
      </w:pPr>
      <w:r w:rsidRPr="00B3024D">
        <w:rPr>
          <w:rFonts w:ascii="Abadi" w:hAnsi="Abadi" w:cs="Arial"/>
          <w:i/>
          <w:iCs/>
          <w:sz w:val="21"/>
          <w:szCs w:val="21"/>
          <w:lang w:val="es-MX" w:eastAsia="en-US"/>
        </w:rPr>
        <w:t xml:space="preserve">(…) en atención a la iniciativa presentada por la Diputada Hades Berenice Castillo Aguilar, se considera viable dejar vigente el contenido de la fracción IV, con la adición del Congreso del Estado como instancia que </w:t>
      </w:r>
      <w:r w:rsidRPr="00B3024D">
        <w:rPr>
          <w:rFonts w:ascii="Abadi" w:hAnsi="Abadi" w:cs="Arial"/>
          <w:i/>
          <w:iCs/>
          <w:sz w:val="21"/>
          <w:szCs w:val="21"/>
          <w:lang w:val="es-MX" w:eastAsia="en-US"/>
        </w:rPr>
        <w:lastRenderedPageBreak/>
        <w:t>podrá en su caso dar trámite al proceso de remoción, tal y como propone la Diputada Castillo. En cuanto a la propuesta realizada en el segundo párrafo de la fracción, se considera inviable por la razón expuesta en el párrafo que antecede, respecto a la representación popular que ostenta el Poder Legislativo.</w:t>
      </w:r>
    </w:p>
    <w:p w14:paraId="0DB37727" w14:textId="77777777" w:rsidR="00B3024D" w:rsidRPr="00B3024D" w:rsidRDefault="00B3024D" w:rsidP="00B3024D">
      <w:pPr>
        <w:ind w:left="1134" w:right="1065"/>
        <w:jc w:val="both"/>
        <w:rPr>
          <w:rFonts w:ascii="Abadi" w:hAnsi="Abadi" w:cs="Arial"/>
          <w:i/>
          <w:iCs/>
          <w:sz w:val="21"/>
          <w:szCs w:val="21"/>
          <w:lang w:val="es-MX" w:eastAsia="en-US"/>
        </w:rPr>
      </w:pPr>
    </w:p>
    <w:p w14:paraId="38EEBACE" w14:textId="77777777" w:rsidR="00B3024D" w:rsidRPr="00B3024D" w:rsidRDefault="00B3024D" w:rsidP="00B3024D">
      <w:pPr>
        <w:ind w:left="1134" w:right="1065"/>
        <w:jc w:val="both"/>
        <w:rPr>
          <w:rFonts w:ascii="Abadi" w:hAnsi="Abadi" w:cs="Arial"/>
          <w:i/>
          <w:iCs/>
          <w:sz w:val="21"/>
          <w:szCs w:val="21"/>
          <w:lang w:val="es-MX" w:eastAsia="en-US"/>
        </w:rPr>
      </w:pPr>
    </w:p>
    <w:p w14:paraId="39814E0C" w14:textId="77777777" w:rsidR="00B3024D" w:rsidRPr="00B3024D" w:rsidRDefault="00B3024D" w:rsidP="00F77257">
      <w:pPr>
        <w:contextualSpacing/>
        <w:jc w:val="both"/>
        <w:rPr>
          <w:rFonts w:ascii="Abadi" w:hAnsi="Abadi" w:cs="Arial"/>
          <w:sz w:val="21"/>
          <w:szCs w:val="21"/>
          <w:lang w:val="es-MX" w:eastAsia="en-US"/>
        </w:rPr>
      </w:pPr>
      <w:r w:rsidRPr="00B3024D">
        <w:rPr>
          <w:rFonts w:ascii="Abadi" w:hAnsi="Abadi" w:cs="Arial"/>
          <w:sz w:val="21"/>
          <w:szCs w:val="21"/>
          <w:lang w:val="es-MX" w:eastAsia="en-US"/>
        </w:rPr>
        <w:t xml:space="preserve">El Poder Judicial del Estado de Guanajuato manifestó que: </w:t>
      </w:r>
    </w:p>
    <w:p w14:paraId="309BFAB3" w14:textId="77777777" w:rsidR="00B3024D" w:rsidRPr="00B3024D" w:rsidRDefault="00B3024D" w:rsidP="00F77257">
      <w:pPr>
        <w:contextualSpacing/>
        <w:jc w:val="both"/>
        <w:rPr>
          <w:rFonts w:ascii="Abadi" w:hAnsi="Abadi" w:cs="Arial"/>
          <w:sz w:val="21"/>
          <w:szCs w:val="21"/>
          <w:lang w:val="es-MX" w:eastAsia="en-US"/>
        </w:rPr>
      </w:pPr>
    </w:p>
    <w:p w14:paraId="6AED84C9" w14:textId="77777777" w:rsidR="00B3024D" w:rsidRPr="00B3024D" w:rsidRDefault="00B3024D" w:rsidP="00B3024D">
      <w:pPr>
        <w:ind w:left="1134" w:right="1065"/>
        <w:jc w:val="both"/>
        <w:rPr>
          <w:rFonts w:ascii="Abadi" w:hAnsi="Abadi" w:cs="Arial"/>
          <w:i/>
          <w:iCs/>
          <w:sz w:val="21"/>
          <w:szCs w:val="21"/>
          <w:lang w:val="es-MX" w:eastAsia="en-US"/>
        </w:rPr>
      </w:pPr>
      <w:r w:rsidRPr="00B3024D">
        <w:rPr>
          <w:rFonts w:ascii="Abadi" w:hAnsi="Abadi" w:cs="Arial"/>
          <w:i/>
          <w:iCs/>
          <w:sz w:val="21"/>
          <w:szCs w:val="21"/>
          <w:lang w:val="es-MX" w:eastAsia="en-US"/>
        </w:rPr>
        <w:t xml:space="preserve">(…) el 14 de julio de 2017, se publicó en el Periódico Oficial del Gobierno del Estado de Guanajuato, número 112, Segunda Parte, el Decreto Legislativo 202, por el que se reformaron y adicionaron diversas disposiciones de la Constitución Política para el Estado de Guanajuato, en materia de la Fiscalía General del Estado de Guanajuato. Parte de esa reforma versó sobre el procedimiento para la designación del Fiscal General del Estado. En las Consideraciones del dictamen elaborado· por la Comisión de Gobernación y Puntos Constitucionales, y que fue aprobado en la Sesión de Pleno del Congreso del Estado en fecha 22 de junio de 2017, se puede observar que el legislador local se decantó por incorporar en la reforma constitucional el mismo modelo que a nivel nacional contempla en el </w:t>
      </w:r>
      <w:r w:rsidRPr="00B3024D">
        <w:rPr>
          <w:rFonts w:ascii="Abadi" w:hAnsi="Abadi" w:cs="Arial"/>
          <w:i/>
          <w:iCs/>
          <w:sz w:val="21"/>
          <w:szCs w:val="21"/>
          <w:lang w:val="es-MX" w:eastAsia="en-US"/>
        </w:rPr>
        <w:t>artículo 102, Apartado A, de la Constitución Política de los Estados Unidos Mexicanos, es decir, homologó la Constitución Local con lo que dispone la Norma Suprema.</w:t>
      </w:r>
    </w:p>
    <w:p w14:paraId="350BF21B" w14:textId="77777777" w:rsidR="00B3024D" w:rsidRPr="00B3024D" w:rsidRDefault="00B3024D" w:rsidP="00B3024D">
      <w:pPr>
        <w:ind w:left="1134" w:right="1065"/>
        <w:jc w:val="both"/>
        <w:rPr>
          <w:rFonts w:ascii="Abadi" w:hAnsi="Abadi" w:cs="Arial"/>
          <w:i/>
          <w:iCs/>
          <w:sz w:val="21"/>
          <w:szCs w:val="21"/>
          <w:lang w:val="es-MX" w:eastAsia="en-US"/>
        </w:rPr>
      </w:pPr>
    </w:p>
    <w:p w14:paraId="2653BC9E" w14:textId="77777777" w:rsidR="00B3024D" w:rsidRPr="00B3024D" w:rsidRDefault="00B3024D" w:rsidP="00B3024D">
      <w:pPr>
        <w:spacing w:line="259" w:lineRule="auto"/>
        <w:ind w:left="1134" w:right="1036"/>
        <w:jc w:val="both"/>
        <w:rPr>
          <w:rFonts w:ascii="Abadi" w:hAnsi="Abadi" w:cs="Arial"/>
          <w:i/>
          <w:iCs/>
          <w:sz w:val="21"/>
          <w:szCs w:val="21"/>
          <w:lang w:val="es-MX" w:eastAsia="en-US"/>
        </w:rPr>
      </w:pPr>
      <w:r w:rsidRPr="00B3024D">
        <w:rPr>
          <w:rFonts w:ascii="Abadi" w:hAnsi="Abadi" w:cs="Arial"/>
          <w:i/>
          <w:iCs/>
          <w:sz w:val="21"/>
          <w:szCs w:val="21"/>
          <w:lang w:val="es-MX" w:eastAsia="en-US"/>
        </w:rPr>
        <w:t xml:space="preserve">En el dictamen de la Comisión de Gobernación y Puntos Constitucionales del Congreso del Estado, se retomaron los argumentos que llevaron a legislador federal a optar por un modelo de designación y remoción del Fiscal General del Estado, en el que intervienen tanto el Poder Ejecutivo como el Legislativo, por considerar que "la intervención del Poder Legislativo, a través del Senado de la República, en la designación y remoción del titular del Ministerio Público de la Federación, conlleva un esquema no sólo democrático, sino también transparente y equilibrado, lo que demuestra una clara voluntad de coordinación entre los poderes públicos". Motivación que llevó al legislador local por decantarse por este modelo seguido a nivel federal, sin que existan elementos sabidos, tanto a nivel federal como estatal que hagan suponer su falta de operatividad o resultados de este modelo implementado. </w:t>
      </w:r>
      <w:r w:rsidRPr="00B3024D">
        <w:rPr>
          <w:rFonts w:ascii="Abadi" w:hAnsi="Abadi" w:cs="Arial"/>
          <w:i/>
          <w:iCs/>
          <w:sz w:val="21"/>
          <w:szCs w:val="21"/>
          <w:lang w:val="es-MX" w:eastAsia="en-US"/>
        </w:rPr>
        <w:lastRenderedPageBreak/>
        <w:t>De ahí, que se considere que el haber dispuesto en la Constitución local un modelo que guarda estrecha sintonía con el modelo federal permite tener un sistema de normas que dan igual tratamiento a asuntos de la misma naturaleza, por lo que se sugiere ponderar su permanencia. En todo caso, se sugiere considerar oportuna la reforma planteada el atender cuestiones relacionadas con la técnica legislativa.</w:t>
      </w:r>
    </w:p>
    <w:p w14:paraId="7577C5D3" w14:textId="77777777" w:rsidR="00B3024D" w:rsidRPr="00B3024D" w:rsidRDefault="00B3024D" w:rsidP="00B3024D">
      <w:pPr>
        <w:spacing w:line="259" w:lineRule="auto"/>
        <w:ind w:left="1134" w:right="1036"/>
        <w:jc w:val="both"/>
        <w:rPr>
          <w:rFonts w:ascii="Abadi" w:hAnsi="Abadi" w:cs="Arial"/>
          <w:i/>
          <w:iCs/>
          <w:sz w:val="21"/>
          <w:szCs w:val="21"/>
          <w:lang w:val="es-MX" w:eastAsia="en-US"/>
        </w:rPr>
      </w:pPr>
    </w:p>
    <w:p w14:paraId="0EED13FC" w14:textId="77777777" w:rsidR="00B3024D" w:rsidRPr="00B3024D" w:rsidRDefault="00B3024D" w:rsidP="00B3024D">
      <w:pPr>
        <w:spacing w:line="259" w:lineRule="auto"/>
        <w:ind w:left="1134" w:right="1036"/>
        <w:jc w:val="both"/>
        <w:rPr>
          <w:rFonts w:ascii="Abadi" w:hAnsi="Abadi" w:cs="Arial"/>
          <w:i/>
          <w:iCs/>
          <w:sz w:val="21"/>
          <w:szCs w:val="21"/>
          <w:lang w:val="es-MX" w:eastAsia="en-US"/>
        </w:rPr>
      </w:pPr>
      <w:r w:rsidRPr="00B3024D">
        <w:rPr>
          <w:rFonts w:ascii="Abadi" w:hAnsi="Abadi" w:cs="Arial"/>
          <w:i/>
          <w:iCs/>
          <w:sz w:val="21"/>
          <w:szCs w:val="21"/>
          <w:lang w:val="es-MX" w:eastAsia="en-US"/>
        </w:rPr>
        <w:t>El legislador local, hizo como propios la argumentación utilizada por el legislador federal para que, en el diseño de la remoción del Fiscal, participaran tanto el Poder Ejecutivo, con la facultad de removerlo, como el Legislativo, con la facultad de objetar la remoción que aquél formulara. Así se dijo al manifestar que: "la intervención del Poder Legislativo, a través del Senado de la República, en la designación y remoción del titular del Ministerio Público de la Federación, conlleva un esquema no sólo democrático, sino también transparente y equilibrado, lo que demuestra una clara voluntad de coordinación entre los poderes públicos".</w:t>
      </w:r>
    </w:p>
    <w:p w14:paraId="3824666A" w14:textId="77777777" w:rsidR="00B3024D" w:rsidRPr="00B3024D" w:rsidRDefault="00B3024D" w:rsidP="00B3024D">
      <w:pPr>
        <w:spacing w:line="259" w:lineRule="auto"/>
        <w:ind w:left="1134" w:right="1036"/>
        <w:jc w:val="both"/>
        <w:rPr>
          <w:rFonts w:ascii="Abadi" w:hAnsi="Abadi" w:cs="Arial"/>
          <w:i/>
          <w:iCs/>
          <w:sz w:val="21"/>
          <w:szCs w:val="21"/>
          <w:lang w:val="es-MX" w:eastAsia="en-US"/>
        </w:rPr>
      </w:pPr>
    </w:p>
    <w:p w14:paraId="6779CF5D" w14:textId="77777777" w:rsidR="00B3024D" w:rsidRPr="00B3024D" w:rsidRDefault="00B3024D" w:rsidP="00B3024D">
      <w:pPr>
        <w:ind w:firstLine="708"/>
        <w:jc w:val="both"/>
        <w:rPr>
          <w:rFonts w:ascii="Abadi" w:hAnsi="Abadi" w:cs="Arial"/>
          <w:sz w:val="21"/>
          <w:szCs w:val="21"/>
          <w:lang w:val="es-MX" w:eastAsia="en-US"/>
        </w:rPr>
      </w:pPr>
      <w:r w:rsidRPr="00B3024D">
        <w:rPr>
          <w:rFonts w:ascii="Abadi" w:hAnsi="Abadi" w:cs="Arial"/>
          <w:sz w:val="21"/>
          <w:szCs w:val="21"/>
          <w:lang w:val="es-MX" w:eastAsia="en-US"/>
        </w:rPr>
        <w:t xml:space="preserve">La Universidad de Guanajuato manifestó en su momento que: </w:t>
      </w:r>
    </w:p>
    <w:p w14:paraId="47152157" w14:textId="77777777" w:rsidR="00B3024D" w:rsidRPr="00B3024D" w:rsidRDefault="00B3024D" w:rsidP="00B3024D">
      <w:pPr>
        <w:jc w:val="both"/>
        <w:rPr>
          <w:rFonts w:ascii="Abadi" w:hAnsi="Abadi" w:cs="Arial"/>
          <w:sz w:val="21"/>
          <w:szCs w:val="21"/>
          <w:lang w:val="es-MX" w:eastAsia="en-US"/>
        </w:rPr>
      </w:pPr>
    </w:p>
    <w:p w14:paraId="10ACD86E" w14:textId="77777777" w:rsidR="00B3024D" w:rsidRPr="00B3024D" w:rsidRDefault="00B3024D" w:rsidP="00B3024D">
      <w:pPr>
        <w:ind w:left="1134" w:right="1065"/>
        <w:jc w:val="both"/>
        <w:rPr>
          <w:rFonts w:ascii="Abadi" w:hAnsi="Abadi" w:cs="Arial"/>
          <w:i/>
          <w:iCs/>
          <w:sz w:val="21"/>
          <w:szCs w:val="21"/>
          <w:lang w:val="es-MX" w:eastAsia="en-US"/>
        </w:rPr>
      </w:pPr>
      <w:r w:rsidRPr="00B3024D">
        <w:rPr>
          <w:rFonts w:ascii="Abadi" w:hAnsi="Abadi" w:cs="Arial"/>
          <w:i/>
          <w:iCs/>
          <w:sz w:val="21"/>
          <w:szCs w:val="21"/>
          <w:lang w:val="es-MX" w:eastAsia="en-US"/>
        </w:rPr>
        <w:t>(…) las iniciativas pretenden reformar el artículo 95 constitucional, con la finalidad de que el Congreso pueda remover al Fiscal General del Estado, instrumentar un nuevo procedimiento para designarlo y removerlo, y establecer el contenido esencial del informe que debe rendir anualmente a los Poderes del Estado.</w:t>
      </w:r>
    </w:p>
    <w:p w14:paraId="51F7B4EC" w14:textId="77777777" w:rsidR="00B3024D" w:rsidRPr="00B3024D" w:rsidRDefault="00B3024D" w:rsidP="00B3024D">
      <w:pPr>
        <w:ind w:left="1134" w:right="1065"/>
        <w:jc w:val="both"/>
        <w:rPr>
          <w:rFonts w:ascii="Abadi" w:hAnsi="Abadi" w:cs="Arial"/>
          <w:i/>
          <w:iCs/>
          <w:sz w:val="21"/>
          <w:szCs w:val="21"/>
          <w:lang w:val="es-MX" w:eastAsia="en-US"/>
        </w:rPr>
      </w:pPr>
    </w:p>
    <w:p w14:paraId="26E4AE15" w14:textId="77777777" w:rsidR="00B3024D" w:rsidRPr="00B3024D" w:rsidRDefault="00B3024D" w:rsidP="00B3024D">
      <w:pPr>
        <w:ind w:left="1134" w:right="1065"/>
        <w:jc w:val="both"/>
        <w:rPr>
          <w:rFonts w:ascii="Abadi" w:hAnsi="Abadi" w:cs="Arial"/>
          <w:i/>
          <w:iCs/>
          <w:sz w:val="21"/>
          <w:szCs w:val="21"/>
          <w:lang w:val="es-MX" w:eastAsia="en-US"/>
        </w:rPr>
      </w:pPr>
      <w:r w:rsidRPr="00B3024D">
        <w:rPr>
          <w:rFonts w:ascii="Abadi" w:hAnsi="Abadi" w:cs="Arial"/>
          <w:i/>
          <w:iCs/>
          <w:sz w:val="21"/>
          <w:szCs w:val="21"/>
          <w:lang w:val="es-MX" w:eastAsia="en-US"/>
        </w:rPr>
        <w:t>Al respecto, se advierte que son varios los motivos que justifican las propuestas; únicamente se sugiere que, al tratarse de un organismo constitucional autónomo, se realice el estudio a la luz del marco jurídico a nivel federal, para garantizar el estado de derecho y se eviten mecanismos de remoción contrarios al sistema de pesos y contrapesos que dan equilibrio a la democracia.</w:t>
      </w:r>
    </w:p>
    <w:p w14:paraId="2DF72822" w14:textId="77777777" w:rsidR="00B3024D" w:rsidRPr="00B3024D" w:rsidRDefault="00B3024D" w:rsidP="00B3024D">
      <w:pPr>
        <w:ind w:left="1134" w:right="1065"/>
        <w:jc w:val="both"/>
        <w:rPr>
          <w:rFonts w:ascii="Abadi" w:hAnsi="Abadi" w:cs="Arial"/>
          <w:i/>
          <w:iCs/>
          <w:sz w:val="21"/>
          <w:szCs w:val="21"/>
          <w:lang w:val="es-MX" w:eastAsia="en-US"/>
        </w:rPr>
      </w:pPr>
    </w:p>
    <w:p w14:paraId="7DCB6548" w14:textId="77777777" w:rsidR="00B3024D" w:rsidRPr="00B3024D" w:rsidRDefault="00B3024D" w:rsidP="00B3024D">
      <w:pPr>
        <w:spacing w:line="276" w:lineRule="auto"/>
        <w:jc w:val="both"/>
        <w:rPr>
          <w:rFonts w:ascii="Abadi" w:eastAsia="Batang" w:hAnsi="Abadi" w:cs="Arial"/>
          <w:bCs/>
          <w:sz w:val="21"/>
          <w:szCs w:val="21"/>
          <w:lang w:val="es-MX"/>
        </w:rPr>
      </w:pPr>
      <w:r w:rsidRPr="00B3024D">
        <w:rPr>
          <w:rFonts w:ascii="Abadi" w:eastAsia="Batang" w:hAnsi="Abadi" w:cs="Arial"/>
          <w:b/>
          <w:sz w:val="21"/>
          <w:szCs w:val="21"/>
        </w:rPr>
        <w:t xml:space="preserve">II.2. </w:t>
      </w:r>
      <w:r w:rsidRPr="00B3024D">
        <w:rPr>
          <w:rFonts w:ascii="Abadi" w:eastAsia="Batang" w:hAnsi="Abadi" w:cs="Arial"/>
          <w:bCs/>
          <w:sz w:val="21"/>
          <w:szCs w:val="21"/>
          <w:lang w:val="es-MX"/>
        </w:rPr>
        <w:t>Se celebró una mesa de trabajo en modalidad híbrida el 15 de junio de 2022 para desahogar los comentarios y observaciones a la iniciativa estando presentes las diputadas Susana Bermúdez Cano y Alma Edwviges Alcaraz Hernández integrantes de la Comisión de Gobernación y Puntos Constitucionales, así como, servidores públicos representantes de la Coordinación General Jurídica de Gobierno del Estado. Estuvieron presentes también asesores de los grupos parlamentarios de los partidos Acción Nacional, MORENA, Revolucionario Institucional y Verde Ecologista de México y la secretaria técnica de la comisión.</w:t>
      </w:r>
    </w:p>
    <w:p w14:paraId="7EF97F8D" w14:textId="77777777" w:rsidR="00B3024D" w:rsidRPr="00B3024D" w:rsidRDefault="00B3024D" w:rsidP="00B3024D">
      <w:pPr>
        <w:spacing w:line="276" w:lineRule="auto"/>
        <w:jc w:val="both"/>
        <w:rPr>
          <w:rFonts w:ascii="Abadi" w:hAnsi="Abadi" w:cs="Arial"/>
          <w:sz w:val="21"/>
          <w:szCs w:val="21"/>
          <w:lang w:val="es-MX" w:eastAsia="en-US"/>
        </w:rPr>
      </w:pPr>
    </w:p>
    <w:p w14:paraId="449F42ED" w14:textId="77777777" w:rsidR="00B3024D" w:rsidRPr="00B3024D" w:rsidRDefault="00B3024D" w:rsidP="00B3024D">
      <w:pPr>
        <w:spacing w:line="276" w:lineRule="auto"/>
        <w:jc w:val="both"/>
        <w:rPr>
          <w:rFonts w:ascii="Abadi" w:eastAsia="Batang" w:hAnsi="Abadi" w:cs="Arial"/>
          <w:bCs/>
          <w:sz w:val="21"/>
          <w:szCs w:val="21"/>
          <w:lang w:val="es-MX"/>
        </w:rPr>
      </w:pPr>
      <w:r w:rsidRPr="00B3024D">
        <w:rPr>
          <w:rFonts w:ascii="Abadi" w:eastAsia="Batang" w:hAnsi="Abadi" w:cs="Arial"/>
          <w:b/>
          <w:sz w:val="21"/>
          <w:szCs w:val="21"/>
          <w:lang w:val="es-MX"/>
        </w:rPr>
        <w:lastRenderedPageBreak/>
        <w:t xml:space="preserve">II.3. </w:t>
      </w:r>
      <w:r w:rsidRPr="00B3024D">
        <w:rPr>
          <w:rFonts w:ascii="Abadi" w:hAnsi="Abadi" w:cs="Arial"/>
          <w:sz w:val="21"/>
          <w:szCs w:val="21"/>
        </w:rPr>
        <w:t>L</w:t>
      </w:r>
      <w:r w:rsidRPr="00B3024D">
        <w:rPr>
          <w:rFonts w:ascii="Abadi" w:eastAsia="Batang" w:hAnsi="Abadi" w:cs="Arial"/>
          <w:sz w:val="21"/>
          <w:szCs w:val="21"/>
        </w:rPr>
        <w:t>a presidencia de la Comisión de Gobernación y Puntos Constitucionales instruyó a la Secretaría Técnica para que elaborara el proyecto de dictamen en sentido negativo, atendiendo a lo vertido en la mesa de trabajo y, conforme con lo dispuesto en los artículos 94, fracción VII y 272, fracción VIII inciso e de la Ley Orgánica del Poder Legislativo del Estado, mismo que fue materia de revisión por los diputados y las diputadas integrantes de esta comisión dictaminadora.</w:t>
      </w:r>
    </w:p>
    <w:p w14:paraId="2CD75DEF" w14:textId="77777777" w:rsidR="00B3024D" w:rsidRPr="00B3024D" w:rsidRDefault="00B3024D" w:rsidP="00B3024D">
      <w:pPr>
        <w:spacing w:line="276" w:lineRule="auto"/>
        <w:jc w:val="both"/>
        <w:rPr>
          <w:rFonts w:ascii="Abadi" w:eastAsia="Batang" w:hAnsi="Abadi" w:cs="Arial"/>
          <w:bCs/>
          <w:sz w:val="21"/>
          <w:szCs w:val="21"/>
          <w:lang w:val="es-MX"/>
        </w:rPr>
      </w:pPr>
    </w:p>
    <w:p w14:paraId="5D3B5983" w14:textId="77777777" w:rsidR="00B3024D" w:rsidRPr="00B3024D" w:rsidRDefault="00B3024D" w:rsidP="00B3024D">
      <w:pPr>
        <w:spacing w:line="276" w:lineRule="auto"/>
        <w:jc w:val="both"/>
        <w:rPr>
          <w:rFonts w:ascii="Abadi" w:eastAsia="Batang" w:hAnsi="Abadi" w:cs="Arial"/>
          <w:b/>
          <w:i/>
          <w:iCs/>
          <w:sz w:val="21"/>
          <w:szCs w:val="21"/>
          <w:lang w:val="es-MX" w:eastAsia="en-US"/>
        </w:rPr>
      </w:pPr>
      <w:r w:rsidRPr="00B3024D">
        <w:rPr>
          <w:rFonts w:ascii="Abadi" w:eastAsia="Batang" w:hAnsi="Abadi" w:cs="Arial"/>
          <w:b/>
          <w:sz w:val="21"/>
          <w:szCs w:val="21"/>
          <w:lang w:val="es-MX" w:eastAsia="en-US"/>
        </w:rPr>
        <w:t xml:space="preserve">III. Contenido de la iniciativa y consideraciones generales de las y los dictaminadores sobre los objetivos perseguidos con la propuesta de reforma al artículo 95 de la Constitución Política para el Estado de Guanajuato </w:t>
      </w:r>
      <w:r w:rsidRPr="00B3024D">
        <w:rPr>
          <w:rFonts w:ascii="Abadi" w:eastAsia="Batang" w:hAnsi="Abadi" w:cs="Arial"/>
          <w:b/>
          <w:i/>
          <w:iCs/>
          <w:sz w:val="21"/>
          <w:szCs w:val="21"/>
          <w:lang w:val="es-MX" w:eastAsia="en-US"/>
        </w:rPr>
        <w:t>sobre la remoción del titular de la Fiscalía General</w:t>
      </w:r>
    </w:p>
    <w:p w14:paraId="48E5DF90" w14:textId="77777777" w:rsidR="00B3024D" w:rsidRPr="00B3024D" w:rsidRDefault="00B3024D" w:rsidP="00B3024D">
      <w:pPr>
        <w:spacing w:line="276" w:lineRule="auto"/>
        <w:jc w:val="both"/>
        <w:rPr>
          <w:rFonts w:ascii="Abadi" w:eastAsia="Batang" w:hAnsi="Abadi" w:cs="Arial"/>
          <w:b/>
          <w:sz w:val="21"/>
          <w:szCs w:val="21"/>
          <w:lang w:val="es-MX" w:eastAsia="en-US"/>
        </w:rPr>
      </w:pPr>
      <w:r w:rsidRPr="00B3024D">
        <w:rPr>
          <w:rFonts w:ascii="Abadi" w:eastAsia="Batang" w:hAnsi="Abadi" w:cs="Arial"/>
          <w:b/>
          <w:sz w:val="21"/>
          <w:szCs w:val="21"/>
          <w:lang w:val="es-MX" w:eastAsia="en-US"/>
        </w:rPr>
        <w:t xml:space="preserve"> </w:t>
      </w:r>
    </w:p>
    <w:p w14:paraId="35BE8383" w14:textId="77777777" w:rsidR="00B3024D" w:rsidRPr="00B3024D" w:rsidRDefault="00B3024D" w:rsidP="00B3024D">
      <w:pPr>
        <w:autoSpaceDE w:val="0"/>
        <w:autoSpaceDN w:val="0"/>
        <w:adjustRightInd w:val="0"/>
        <w:spacing w:line="276" w:lineRule="auto"/>
        <w:ind w:firstLine="708"/>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El objeto de la iniciativa de manera individual radica, en reformar la fracción IV del artículo 95 de la Constitución Política para el Estado de Guanajuato a fin de modificar el acto de remoción del Fiscal General del Estado.</w:t>
      </w:r>
    </w:p>
    <w:p w14:paraId="68C7F727" w14:textId="77777777" w:rsidR="00B3024D" w:rsidRPr="00B3024D" w:rsidRDefault="00B3024D" w:rsidP="00B3024D">
      <w:pPr>
        <w:autoSpaceDE w:val="0"/>
        <w:autoSpaceDN w:val="0"/>
        <w:adjustRightInd w:val="0"/>
        <w:spacing w:line="276" w:lineRule="auto"/>
        <w:ind w:firstLine="708"/>
        <w:jc w:val="both"/>
        <w:rPr>
          <w:rFonts w:ascii="Abadi" w:eastAsia="Batang" w:hAnsi="Abadi" w:cs="Arial"/>
          <w:sz w:val="21"/>
          <w:szCs w:val="21"/>
          <w:lang w:val="es-MX" w:eastAsia="en-US"/>
        </w:rPr>
      </w:pPr>
    </w:p>
    <w:p w14:paraId="5A6186B5" w14:textId="77777777" w:rsidR="00B3024D" w:rsidRPr="00B3024D" w:rsidRDefault="00B3024D" w:rsidP="00B3024D">
      <w:pPr>
        <w:spacing w:line="276" w:lineRule="auto"/>
        <w:ind w:firstLine="708"/>
        <w:jc w:val="both"/>
        <w:rPr>
          <w:rFonts w:ascii="Abadi" w:hAnsi="Abadi" w:cs="Arial Unicode MS"/>
          <w:sz w:val="21"/>
          <w:szCs w:val="21"/>
          <w:lang w:val="es-MX" w:eastAsia="en-US"/>
        </w:rPr>
      </w:pPr>
      <w:r w:rsidRPr="00B3024D">
        <w:rPr>
          <w:rFonts w:ascii="Abadi" w:hAnsi="Abadi" w:cs="Arial Unicode MS"/>
          <w:sz w:val="21"/>
          <w:szCs w:val="21"/>
          <w:lang w:val="es-MX" w:eastAsia="en-US"/>
        </w:rPr>
        <w:t>La iniciante expresó en su exposición de motivos lo siguiente:</w:t>
      </w:r>
    </w:p>
    <w:p w14:paraId="6A79AB0A" w14:textId="77777777" w:rsidR="00B3024D" w:rsidRPr="00B3024D" w:rsidRDefault="00B3024D" w:rsidP="00B3024D">
      <w:pPr>
        <w:rPr>
          <w:rFonts w:ascii="Abadi" w:hAnsi="Abadi" w:cs="Arial"/>
          <w:i/>
          <w:color w:val="242424"/>
          <w:sz w:val="21"/>
          <w:szCs w:val="21"/>
          <w:highlight w:val="yellow"/>
          <w:lang w:val="es-MX" w:eastAsia="es-MX"/>
        </w:rPr>
      </w:pPr>
    </w:p>
    <w:p w14:paraId="58A37DF1" w14:textId="77777777" w:rsidR="00B3024D" w:rsidRPr="00B3024D" w:rsidRDefault="00B3024D" w:rsidP="00B3024D">
      <w:pPr>
        <w:ind w:left="1134" w:right="1038"/>
        <w:jc w:val="both"/>
        <w:textAlignment w:val="baseline"/>
        <w:rPr>
          <w:rFonts w:ascii="Abadi" w:hAnsi="Abadi" w:cs="Calibri"/>
          <w:bCs/>
          <w:i/>
          <w:sz w:val="21"/>
          <w:szCs w:val="21"/>
          <w:lang w:val="es-MX" w:eastAsia="es-MX"/>
        </w:rPr>
      </w:pPr>
      <w:r w:rsidRPr="00B3024D">
        <w:rPr>
          <w:rFonts w:ascii="Abadi" w:hAnsi="Abadi" w:cs="Calibri"/>
          <w:bCs/>
          <w:i/>
          <w:sz w:val="21"/>
          <w:szCs w:val="21"/>
          <w:lang w:val="es-MX" w:eastAsia="en-US"/>
        </w:rPr>
        <w:t xml:space="preserve">«[...] </w:t>
      </w:r>
      <w:r w:rsidRPr="00B3024D">
        <w:rPr>
          <w:rFonts w:ascii="Abadi" w:hAnsi="Abadi" w:cs="Calibri"/>
          <w:bCs/>
          <w:i/>
          <w:sz w:val="21"/>
          <w:szCs w:val="21"/>
          <w:lang w:val="es-MX" w:eastAsia="es-MX"/>
        </w:rPr>
        <w:t>Con fundamento en lo dispuesto por los artículos 56 y 145 de la Constitución Política para el Estado de Guanajuato y 167 de la Ley Orgánica del Poder Legislativo, vengo a presentar ante la Honorable Asamblea una Iniciativa de Decreto a fin de reformar la fracción cuarta del artículo 95 de la Constitución Local, a efecto de establecer las instancias que pueden solicitar la remoción del Fiscal General de Justicia del Estado, además de la que actualmente establece.</w:t>
      </w:r>
    </w:p>
    <w:p w14:paraId="13236231" w14:textId="77777777" w:rsidR="00B3024D" w:rsidRPr="00B3024D" w:rsidRDefault="00B3024D" w:rsidP="00B3024D">
      <w:pPr>
        <w:ind w:left="1134" w:right="1065"/>
        <w:jc w:val="both"/>
        <w:rPr>
          <w:rFonts w:ascii="Abadi" w:hAnsi="Abadi" w:cs="Calibri"/>
          <w:bCs/>
          <w:i/>
          <w:sz w:val="21"/>
          <w:szCs w:val="21"/>
          <w:lang w:val="es-MX" w:eastAsia="en-US"/>
        </w:rPr>
      </w:pPr>
    </w:p>
    <w:p w14:paraId="4F7AAAE5" w14:textId="77777777" w:rsidR="00B3024D" w:rsidRPr="00B3024D" w:rsidRDefault="00B3024D" w:rsidP="00B3024D">
      <w:pPr>
        <w:ind w:left="1134" w:right="1065"/>
        <w:jc w:val="both"/>
        <w:rPr>
          <w:rFonts w:ascii="Abadi" w:hAnsi="Abadi" w:cs="Calibri"/>
          <w:bCs/>
          <w:i/>
          <w:sz w:val="21"/>
          <w:szCs w:val="21"/>
          <w:lang w:val="es-MX" w:eastAsia="en-US"/>
        </w:rPr>
      </w:pPr>
      <w:r w:rsidRPr="00B3024D">
        <w:rPr>
          <w:rFonts w:ascii="Abadi" w:hAnsi="Abadi" w:cs="Calibri"/>
          <w:bCs/>
          <w:i/>
          <w:sz w:val="21"/>
          <w:szCs w:val="21"/>
          <w:lang w:val="es-MX" w:eastAsia="en-US"/>
        </w:rPr>
        <w:t xml:space="preserve">En lo que interesa, la actual disposición de la citada fracción del artículo 95, dispone: </w:t>
      </w:r>
    </w:p>
    <w:p w14:paraId="2FFAFCC4" w14:textId="77777777" w:rsidR="00B3024D" w:rsidRPr="00B3024D" w:rsidRDefault="00B3024D" w:rsidP="00B3024D">
      <w:pPr>
        <w:ind w:left="1134" w:right="1065"/>
        <w:jc w:val="both"/>
        <w:rPr>
          <w:rFonts w:ascii="Abadi" w:hAnsi="Abadi" w:cs="Calibri"/>
          <w:bCs/>
          <w:i/>
          <w:sz w:val="21"/>
          <w:szCs w:val="21"/>
          <w:lang w:val="es-MX" w:eastAsia="en-US"/>
        </w:rPr>
      </w:pPr>
      <w:r w:rsidRPr="00B3024D">
        <w:rPr>
          <w:rFonts w:ascii="Abadi" w:hAnsi="Abadi" w:cs="Calibri"/>
          <w:bCs/>
          <w:i/>
          <w:sz w:val="21"/>
          <w:szCs w:val="21"/>
          <w:lang w:val="es-MX" w:eastAsia="en-US"/>
        </w:rPr>
        <w:t>ARTÍCULO 95.</w:t>
      </w:r>
    </w:p>
    <w:p w14:paraId="4ABFC26B" w14:textId="77777777" w:rsidR="00B3024D" w:rsidRPr="00B3024D" w:rsidRDefault="00B3024D" w:rsidP="00B3024D">
      <w:pPr>
        <w:ind w:left="1134" w:right="1065"/>
        <w:jc w:val="both"/>
        <w:rPr>
          <w:rFonts w:ascii="Abadi" w:hAnsi="Abadi" w:cs="Calibri"/>
          <w:bCs/>
          <w:i/>
          <w:sz w:val="21"/>
          <w:szCs w:val="21"/>
          <w:lang w:val="es-MX" w:eastAsia="en-US"/>
        </w:rPr>
      </w:pPr>
      <w:r w:rsidRPr="00B3024D">
        <w:rPr>
          <w:rFonts w:ascii="Abadi" w:hAnsi="Abadi" w:cs="Calibri"/>
          <w:bCs/>
          <w:i/>
          <w:sz w:val="21"/>
          <w:szCs w:val="21"/>
          <w:lang w:val="es-MX" w:eastAsia="en-US"/>
        </w:rPr>
        <w:t xml:space="preserve">IV. El Fiscal General del Estado podrá ser removido por el Gobernador del Estado por las causas graves que establezca la ley. La remoción podrá ser objetada por el voto de la mayoría de los miembros presentes del Congreso del Estado dentro de un plazo de diez días hábiles, en cuyo caso el Fiscal General del Estado será restituido en el ejercicio de sus funciones. Si el Congreso no se pronuncia al respecto, se entenderá que no existe objeción. </w:t>
      </w:r>
    </w:p>
    <w:p w14:paraId="39926D32" w14:textId="77777777" w:rsidR="00B3024D" w:rsidRPr="00B3024D" w:rsidRDefault="00B3024D" w:rsidP="00B3024D">
      <w:pPr>
        <w:ind w:left="1134" w:right="1065"/>
        <w:jc w:val="both"/>
        <w:rPr>
          <w:rFonts w:ascii="Abadi" w:hAnsi="Abadi" w:cs="Calibri"/>
          <w:bCs/>
          <w:i/>
          <w:sz w:val="21"/>
          <w:szCs w:val="21"/>
          <w:lang w:val="es-MX" w:eastAsia="en-US"/>
        </w:rPr>
      </w:pPr>
      <w:r w:rsidRPr="00B3024D">
        <w:rPr>
          <w:rFonts w:ascii="Abadi" w:hAnsi="Abadi" w:cs="Calibri"/>
          <w:bCs/>
          <w:i/>
          <w:sz w:val="21"/>
          <w:szCs w:val="21"/>
          <w:lang w:val="es-MX" w:eastAsia="en-US"/>
        </w:rPr>
        <w:t>Lo anterior, de conformidad con la siguiente. El actual titular de la Fiscalía General de Justicia, rindió protesta ante la anterior Legislatura, el día miércoles 20 de febrero de 2019, entre las protestas de diversos grupos de ciudadanos. Es necesario recordar que, para ese tiempo, el Fiscal General tenía ya casi diez años siendo titular de la entonces Procuraduría General de Justicia del Estado, los que sumados a los nueve años que contempla la Constitución como duración en el cargo de Fiscal General, sumarían casi 19 años de la misma persona, desempeñando el cargo como Titular de la Institución del Ministerio Público.</w:t>
      </w:r>
    </w:p>
    <w:p w14:paraId="4173E756" w14:textId="77777777" w:rsidR="00B3024D" w:rsidRPr="00B3024D" w:rsidRDefault="00B3024D" w:rsidP="00B3024D">
      <w:pPr>
        <w:ind w:left="1134" w:right="1065"/>
        <w:jc w:val="both"/>
        <w:rPr>
          <w:rFonts w:ascii="Abadi" w:hAnsi="Abadi" w:cs="Calibri"/>
          <w:bCs/>
          <w:i/>
          <w:sz w:val="21"/>
          <w:szCs w:val="21"/>
          <w:lang w:val="es-MX" w:eastAsia="en-US"/>
        </w:rPr>
      </w:pPr>
    </w:p>
    <w:p w14:paraId="167EB5B9" w14:textId="77777777" w:rsidR="00B3024D" w:rsidRPr="00B3024D" w:rsidRDefault="00B3024D" w:rsidP="00B3024D">
      <w:pPr>
        <w:ind w:left="1134" w:right="1065"/>
        <w:jc w:val="both"/>
        <w:rPr>
          <w:rFonts w:ascii="Abadi" w:hAnsi="Abadi" w:cs="Calibri"/>
          <w:bCs/>
          <w:i/>
          <w:sz w:val="21"/>
          <w:szCs w:val="21"/>
          <w:lang w:val="es-MX" w:eastAsia="en-US"/>
        </w:rPr>
      </w:pPr>
      <w:r w:rsidRPr="00B3024D">
        <w:rPr>
          <w:rFonts w:ascii="Abadi" w:hAnsi="Abadi" w:cs="Calibri"/>
          <w:bCs/>
          <w:i/>
          <w:sz w:val="21"/>
          <w:szCs w:val="21"/>
          <w:lang w:val="es-MX" w:eastAsia="en-US"/>
        </w:rPr>
        <w:t>En ningún estado con instituciones democráticas en formación, como lo es el Estado de Guanajuato, es recomendable que los titulares de las nacientes instituciones, permanezcan tanto tiempo al frente de ellas, por el serio riesgo que se corre de que se vayan formando cacicazgos en esas instituciones. México tiene una larga historia de lamentables consecuencias por la proliferación de caciques que han sometido a pueblos e instituciones a la sola ley de sus caprichos y de su voluntad. Cuando una persona permanece por un largo tiempo al frente de una institución, termina no por aplicar la ley, sino su propio y personal criterio.</w:t>
      </w:r>
    </w:p>
    <w:p w14:paraId="160E27C4" w14:textId="77777777" w:rsidR="00B3024D" w:rsidRPr="00B3024D" w:rsidRDefault="00B3024D" w:rsidP="00B3024D">
      <w:pPr>
        <w:ind w:left="1134" w:right="1065"/>
        <w:jc w:val="both"/>
        <w:rPr>
          <w:rFonts w:ascii="Abadi" w:hAnsi="Abadi" w:cs="Calibri"/>
          <w:bCs/>
          <w:i/>
          <w:sz w:val="21"/>
          <w:szCs w:val="21"/>
          <w:lang w:val="es-MX" w:eastAsia="en-US"/>
        </w:rPr>
      </w:pPr>
    </w:p>
    <w:p w14:paraId="38184E77" w14:textId="77777777" w:rsidR="00B3024D" w:rsidRPr="00B3024D" w:rsidRDefault="00B3024D" w:rsidP="00B3024D">
      <w:pPr>
        <w:ind w:left="1134" w:right="1065"/>
        <w:jc w:val="both"/>
        <w:rPr>
          <w:rFonts w:ascii="Abadi" w:hAnsi="Abadi" w:cs="Calibri"/>
          <w:bCs/>
          <w:i/>
          <w:sz w:val="21"/>
          <w:szCs w:val="21"/>
          <w:lang w:val="es-MX" w:eastAsia="en-US"/>
        </w:rPr>
      </w:pPr>
      <w:r w:rsidRPr="00B3024D">
        <w:rPr>
          <w:rFonts w:ascii="Abadi" w:hAnsi="Abadi" w:cs="Calibri"/>
          <w:bCs/>
          <w:i/>
          <w:sz w:val="21"/>
          <w:szCs w:val="21"/>
          <w:lang w:val="es-MX" w:eastAsia="en-US"/>
        </w:rPr>
        <w:t xml:space="preserve">Ese riesgo se potencializa, cuando a una institución se le dota de un marco normativo que impide o dificulta la rendición de cuentas y la transparencia en su actuar. La situación se torna peor, cuando la atribución de remover a aquella persona, la ostenta una sola persona en todo el Estado. La ciudadanía se siente impotente cuando observa que las instituciones creadas para su servicio se vuelven ineficaces en el cumplimiento de sus objetivos, pero no existe una instancia a donde acudir para exigir el cumplimiento de los objetivos legales de </w:t>
      </w:r>
      <w:r w:rsidRPr="00B3024D">
        <w:rPr>
          <w:rFonts w:ascii="Abadi" w:hAnsi="Abadi" w:cs="Calibri"/>
          <w:bCs/>
          <w:i/>
          <w:sz w:val="21"/>
          <w:szCs w:val="21"/>
          <w:lang w:val="es-MX" w:eastAsia="en-US"/>
        </w:rPr>
        <w:t>aquella ineficiente institución. La impotencia se convierte en coraje e indignación cuando esa instancia permanece insensible al clamor ciudadano. Las anteriores afirmaciones, son perfectamente aplicables a la Fiscalía General de Justicia del Estado de Guanajuato y al titular del Ejecutivo Local.</w:t>
      </w:r>
    </w:p>
    <w:p w14:paraId="1786F0EB" w14:textId="77777777" w:rsidR="00B3024D" w:rsidRPr="00B3024D" w:rsidRDefault="00B3024D" w:rsidP="00B3024D">
      <w:pPr>
        <w:ind w:left="1134" w:right="1065"/>
        <w:jc w:val="both"/>
        <w:rPr>
          <w:rFonts w:ascii="Abadi" w:hAnsi="Abadi" w:cs="Calibri"/>
          <w:bCs/>
          <w:i/>
          <w:sz w:val="21"/>
          <w:szCs w:val="21"/>
          <w:lang w:val="es-MX" w:eastAsia="en-US"/>
        </w:rPr>
      </w:pPr>
    </w:p>
    <w:p w14:paraId="2ED51800" w14:textId="77777777" w:rsidR="00B3024D" w:rsidRPr="00B3024D" w:rsidRDefault="00B3024D" w:rsidP="00B3024D">
      <w:pPr>
        <w:ind w:left="1134" w:right="1065"/>
        <w:jc w:val="both"/>
        <w:rPr>
          <w:rFonts w:ascii="Abadi" w:hAnsi="Abadi" w:cs="Calibri"/>
          <w:bCs/>
          <w:i/>
          <w:sz w:val="21"/>
          <w:szCs w:val="21"/>
          <w:lang w:val="es-MX" w:eastAsia="en-US"/>
        </w:rPr>
      </w:pPr>
      <w:r w:rsidRPr="00B3024D">
        <w:rPr>
          <w:rFonts w:ascii="Abadi" w:hAnsi="Abadi" w:cs="Calibri"/>
          <w:bCs/>
          <w:i/>
          <w:sz w:val="21"/>
          <w:szCs w:val="21"/>
          <w:lang w:val="es-MX" w:eastAsia="en-US"/>
        </w:rPr>
        <w:t xml:space="preserve">Se afirma que el marco normativo es un obstáculo para la exigencia de resultados a la Fiscalía, porque desde el diseño Constitucional, se creo un blindaje jurídico que protege al titular, poniéndolo a salvo de una posible destitución, toda vez que conforme a esa disposición constitucional, única y exclusivamente el gobernador del Estado es el facultado para remover al Fiscal. Nadie más posee esa atribución. Nadie: ni siquiera esta Asamblea, representante de la Soberanía Popular. Y Aún en el improbable caso de que el Gobernador del Estado, algún día, en un arranque de valor y de responsabilidad, decidiera remover al Fiscal, la norma constitucional diseñada para protegerlo podría salvarlo, al disponer que, con una votación de apenas diez representantes populares si hubiera el quorum mínimo, podría dejarse sin efecto aquella remoción. No </w:t>
      </w:r>
      <w:r w:rsidRPr="00B3024D">
        <w:rPr>
          <w:rFonts w:ascii="Abadi" w:hAnsi="Abadi" w:cs="Calibri"/>
          <w:bCs/>
          <w:i/>
          <w:sz w:val="21"/>
          <w:szCs w:val="21"/>
          <w:lang w:val="es-MX" w:eastAsia="en-US"/>
        </w:rPr>
        <w:lastRenderedPageBreak/>
        <w:t>cabe duda que el blindaje constitucional y legal para el titular de la Fiscalía, fue diseñado para proteger su actuación, en beneficio de la clase gobernante.</w:t>
      </w:r>
    </w:p>
    <w:p w14:paraId="40068D6B" w14:textId="77777777" w:rsidR="00B3024D" w:rsidRPr="00B3024D" w:rsidRDefault="00B3024D" w:rsidP="00B3024D">
      <w:pPr>
        <w:ind w:left="1134" w:right="1065"/>
        <w:jc w:val="both"/>
        <w:rPr>
          <w:rFonts w:ascii="Abadi" w:hAnsi="Abadi" w:cs="Calibri"/>
          <w:bCs/>
          <w:i/>
          <w:sz w:val="21"/>
          <w:szCs w:val="21"/>
          <w:lang w:val="es-MX" w:eastAsia="en-US"/>
        </w:rPr>
      </w:pPr>
    </w:p>
    <w:p w14:paraId="566C1E68" w14:textId="77777777" w:rsidR="00B3024D" w:rsidRPr="00B3024D" w:rsidRDefault="00B3024D" w:rsidP="00B3024D">
      <w:pPr>
        <w:ind w:left="1134" w:right="1065"/>
        <w:jc w:val="both"/>
        <w:rPr>
          <w:rFonts w:ascii="Abadi" w:hAnsi="Abadi" w:cs="Calibri"/>
          <w:bCs/>
          <w:i/>
          <w:sz w:val="21"/>
          <w:szCs w:val="21"/>
          <w:lang w:val="es-MX" w:eastAsia="en-US"/>
        </w:rPr>
      </w:pPr>
      <w:r w:rsidRPr="00B3024D">
        <w:rPr>
          <w:rFonts w:ascii="Abadi" w:hAnsi="Abadi" w:cs="Calibri"/>
          <w:bCs/>
          <w:i/>
          <w:sz w:val="21"/>
          <w:szCs w:val="21"/>
          <w:lang w:val="es-MX" w:eastAsia="en-US"/>
        </w:rPr>
        <w:t>Se esperaría que un funcionario así de protegido tanto por la Constitución como por la Ley se esmerara en el cumplimiento de su función y ofreciese al pueblo de Guanajuato los mejores resultados de su gestión. Desgraciadamente no es así, y los habitantes de Guanajuato sufren día a día la ineficiencia y la ineficacia de la actividad de la Fiscalía. Ineficiencia e ineficacia que son denunciados día a día, ante el silencio y la indiferencia del Gobierno del Estado. Así, y solo como referencia, en su Reporte sobre Delitos de Alto Impacto de abril de 2021, el Observatorio Nacional Ciudadano Seguridad, Justicia y Legalidad, reporta para Guanajuato, en la introducción a su reporte, cita para Guanajuato, textualmente lo siguiente:</w:t>
      </w:r>
    </w:p>
    <w:p w14:paraId="0CD76223" w14:textId="77777777" w:rsidR="00B3024D" w:rsidRPr="00B3024D" w:rsidRDefault="00B3024D" w:rsidP="00B3024D">
      <w:pPr>
        <w:ind w:left="1134" w:right="1065"/>
        <w:jc w:val="both"/>
        <w:rPr>
          <w:rFonts w:ascii="Abadi" w:hAnsi="Abadi" w:cs="Calibri"/>
          <w:bCs/>
          <w:i/>
          <w:sz w:val="21"/>
          <w:szCs w:val="21"/>
          <w:lang w:val="es-MX" w:eastAsia="en-US"/>
        </w:rPr>
      </w:pPr>
    </w:p>
    <w:p w14:paraId="3DDC90D6" w14:textId="77777777" w:rsidR="00B3024D" w:rsidRPr="00B3024D" w:rsidRDefault="00B3024D" w:rsidP="00B3024D">
      <w:pPr>
        <w:ind w:left="1134" w:right="1065"/>
        <w:jc w:val="both"/>
        <w:rPr>
          <w:rFonts w:ascii="Abadi" w:hAnsi="Abadi" w:cs="Calibri"/>
          <w:bCs/>
          <w:i/>
          <w:sz w:val="21"/>
          <w:szCs w:val="21"/>
          <w:lang w:val="es-MX" w:eastAsia="en-US"/>
        </w:rPr>
      </w:pPr>
      <w:r w:rsidRPr="00B3024D">
        <w:rPr>
          <w:rFonts w:ascii="Abadi" w:hAnsi="Abadi" w:cs="Calibri"/>
          <w:bCs/>
          <w:i/>
          <w:sz w:val="21"/>
          <w:szCs w:val="21"/>
          <w:lang w:val="es-MX" w:eastAsia="en-US"/>
        </w:rPr>
        <w:t xml:space="preserve">"La nueva edición de la sección "Observar desde Jo local" aborda las condiciones de seguridad de Guanajuato centrándose en el examen de la incidencia delictiva y de aspectos cualitativos relevantes derivados de las metodologías de observación delictiva. La </w:t>
      </w:r>
      <w:r w:rsidRPr="00B3024D">
        <w:rPr>
          <w:rFonts w:ascii="Abadi" w:hAnsi="Abadi" w:cs="Calibri"/>
          <w:bCs/>
          <w:i/>
          <w:sz w:val="21"/>
          <w:szCs w:val="21"/>
          <w:lang w:val="es-MX" w:eastAsia="en-US"/>
        </w:rPr>
        <w:t>edición de abril centra su interés en la problemática de los recurrentes asesinatos de policías y en las acciones implementadas para protegerlos. 11 Lo que denota el interés particular que la inseguridad que se vive en Guanajuato ha despertado a nivel nacional e internacional. Luego, en su reporte, continua resaltando la violencia de Guanajuato citando lo siguiente: "Considerando la victimización de hombres, la tasa de homicidio doloso fue superior al valor nacional en los siguientes estados: Baja California, Chihuahua, Colima, Guanajuato, Guerrero, Michoacán, More/os, Quintana Roo, San Luis Potosí, Sonora y Zacatecas.</w:t>
      </w:r>
    </w:p>
    <w:p w14:paraId="51AD3D74" w14:textId="77777777" w:rsidR="00B3024D" w:rsidRPr="00B3024D" w:rsidRDefault="00B3024D" w:rsidP="00B3024D">
      <w:pPr>
        <w:ind w:left="1134" w:right="1065"/>
        <w:jc w:val="both"/>
        <w:rPr>
          <w:rFonts w:ascii="Abadi" w:hAnsi="Abadi" w:cs="Calibri"/>
          <w:bCs/>
          <w:i/>
          <w:sz w:val="21"/>
          <w:szCs w:val="21"/>
          <w:lang w:val="es-MX" w:eastAsia="en-US"/>
        </w:rPr>
      </w:pPr>
    </w:p>
    <w:p w14:paraId="7E1B7190" w14:textId="77777777" w:rsidR="00B3024D" w:rsidRPr="00B3024D" w:rsidRDefault="00B3024D" w:rsidP="00B3024D">
      <w:pPr>
        <w:ind w:left="1134" w:right="1065"/>
        <w:jc w:val="both"/>
        <w:rPr>
          <w:rFonts w:ascii="Abadi" w:hAnsi="Abadi" w:cs="Calibri"/>
          <w:bCs/>
          <w:i/>
          <w:sz w:val="21"/>
          <w:szCs w:val="21"/>
          <w:lang w:val="es-MX" w:eastAsia="en-US"/>
        </w:rPr>
      </w:pPr>
      <w:r w:rsidRPr="00B3024D">
        <w:rPr>
          <w:rFonts w:ascii="Abadi" w:hAnsi="Abadi" w:cs="Calibri"/>
          <w:bCs/>
          <w:i/>
          <w:sz w:val="21"/>
          <w:szCs w:val="21"/>
          <w:lang w:val="es-MX" w:eastAsia="en-US"/>
        </w:rPr>
        <w:t xml:space="preserve">Observaciones las anteriores que se repiten en el Reporte de julio de éste año, lo que demuestra que no han disminuido los homicidios en Guanajuato, de abril a julio del presente año, como tampoco han disminuido en los últimos años. En el capítulo referente al asesinato de policías, el mismo reporte, citando como fuente los reportes del Secretariado Ejecutivo del Sistema Nacional de Seguridad Pública, afirma que del primero de enero de 2018 al 31 de diciembre de 2020 han sido asesinados en Guanajuato 213 </w:t>
      </w:r>
      <w:r w:rsidRPr="00B3024D">
        <w:rPr>
          <w:rFonts w:ascii="Abadi" w:hAnsi="Abadi" w:cs="Calibri"/>
          <w:bCs/>
          <w:i/>
          <w:sz w:val="21"/>
          <w:szCs w:val="21"/>
          <w:lang w:val="es-MX" w:eastAsia="en-US"/>
        </w:rPr>
        <w:lastRenderedPageBreak/>
        <w:t>policías. Cifra altamente preocupante.</w:t>
      </w:r>
    </w:p>
    <w:p w14:paraId="7DE0AD20" w14:textId="77777777" w:rsidR="00B3024D" w:rsidRPr="00B3024D" w:rsidRDefault="00B3024D" w:rsidP="00B3024D">
      <w:pPr>
        <w:ind w:left="1134" w:right="1065"/>
        <w:jc w:val="both"/>
        <w:rPr>
          <w:rFonts w:ascii="Abadi" w:hAnsi="Abadi" w:cs="Calibri"/>
          <w:bCs/>
          <w:i/>
          <w:sz w:val="21"/>
          <w:szCs w:val="21"/>
          <w:lang w:val="es-MX" w:eastAsia="en-US"/>
        </w:rPr>
      </w:pPr>
    </w:p>
    <w:p w14:paraId="2F5EA2BB" w14:textId="77777777" w:rsidR="00B3024D" w:rsidRPr="00B3024D" w:rsidRDefault="00B3024D" w:rsidP="00B3024D">
      <w:pPr>
        <w:ind w:left="1134" w:right="1065"/>
        <w:jc w:val="both"/>
        <w:rPr>
          <w:rFonts w:ascii="Abadi" w:hAnsi="Abadi" w:cs="Calibri"/>
          <w:bCs/>
          <w:i/>
          <w:sz w:val="21"/>
          <w:szCs w:val="21"/>
          <w:lang w:val="es-MX" w:eastAsia="en-US"/>
        </w:rPr>
      </w:pPr>
      <w:r w:rsidRPr="00B3024D">
        <w:rPr>
          <w:rFonts w:ascii="Abadi" w:hAnsi="Abadi" w:cs="Calibri"/>
          <w:bCs/>
          <w:i/>
          <w:sz w:val="21"/>
          <w:szCs w:val="21"/>
          <w:lang w:val="es-MX" w:eastAsia="en-US"/>
        </w:rPr>
        <w:t>Desde luego que no es imputable totalmente a la Fiscalía las cifras y las conductas delictivas mencionadas. Sería un despropósito hacerlo; Pero si le es imputable el porcentaje de impunidad existente en el Estado, que para el 2019, fue del 74% según la Organización México Evalúa, en su Reporte de Hallazgos 2019, que si bien se encuentra lejos del promedio nacional de un escandaloso 92.4 por ciento, no significa ningún consuelo para quienes vivimos a diario la violencia en el Estado. Ese índice de impunidad se disparó exponencialmente a un altamente preocupante 85.4 por ciento para el año siguiente, el 2020, según la misma organización en su reporte de Hallazgos correspondiente al año pasado, cercano ya al 94.8 por ciento de impunidad que es la media nacional.</w:t>
      </w:r>
    </w:p>
    <w:p w14:paraId="5C95AE62" w14:textId="77777777" w:rsidR="00B3024D" w:rsidRPr="00B3024D" w:rsidRDefault="00B3024D" w:rsidP="00B3024D">
      <w:pPr>
        <w:ind w:left="1134" w:right="1065"/>
        <w:jc w:val="both"/>
        <w:rPr>
          <w:rFonts w:ascii="Abadi" w:hAnsi="Abadi" w:cs="Calibri"/>
          <w:bCs/>
          <w:i/>
          <w:sz w:val="21"/>
          <w:szCs w:val="21"/>
          <w:lang w:val="es-MX" w:eastAsia="en-US"/>
        </w:rPr>
      </w:pPr>
    </w:p>
    <w:p w14:paraId="754FC642" w14:textId="77777777" w:rsidR="00B3024D" w:rsidRPr="00B3024D" w:rsidRDefault="00B3024D" w:rsidP="00B3024D">
      <w:pPr>
        <w:ind w:left="1134" w:right="1065"/>
        <w:jc w:val="both"/>
        <w:rPr>
          <w:rFonts w:ascii="Abadi" w:hAnsi="Abadi" w:cs="Calibri"/>
          <w:bCs/>
          <w:i/>
          <w:sz w:val="21"/>
          <w:szCs w:val="21"/>
          <w:lang w:val="es-MX" w:eastAsia="en-US"/>
        </w:rPr>
      </w:pPr>
      <w:r w:rsidRPr="00B3024D">
        <w:rPr>
          <w:rFonts w:ascii="Abadi" w:hAnsi="Abadi" w:cs="Calibri"/>
          <w:bCs/>
          <w:i/>
          <w:sz w:val="21"/>
          <w:szCs w:val="21"/>
          <w:lang w:val="es-MX" w:eastAsia="en-US"/>
        </w:rPr>
        <w:t xml:space="preserve">El mismo reporte destaca que Guanajuato es de los pocos estados que empeoró su nivel de impunidad respecto al año anterior habiendo ascendido el mencionado índice un 11.2 por ciento. Francamente preocupante. Y todo ello, ante la desesperación ciudadana que ve como la inseguridad y la impunidad se van </w:t>
      </w:r>
      <w:r w:rsidRPr="00B3024D">
        <w:rPr>
          <w:rFonts w:ascii="Abadi" w:hAnsi="Abadi" w:cs="Calibri"/>
          <w:bCs/>
          <w:i/>
          <w:sz w:val="21"/>
          <w:szCs w:val="21"/>
          <w:lang w:val="es-MX" w:eastAsia="en-US"/>
        </w:rPr>
        <w:t>adueñando de la vida de los guanajuatenses. Son las anteriores razones, entre muchas otras que son del dominio público, lo que respalda la iniciativa de reforma presentada a consideración de ésta Asamblea, la que carecería de un impacto presupuesta! directo, dada la naturaleza de la misma. La presente iniciativa tendrá impacto jurídico en la modificación constitucional planteada, no significa ningún impacto administrativo ni presupuestal, sin embargo, su impacto social es significativo pues permite que la ciudadanía de manera indirecta por la representación de los diputados pueda ejercer un control político para la remoción del fiscal como se ha planteado.»</w:t>
      </w:r>
    </w:p>
    <w:p w14:paraId="6F86B4C2"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3092A321" w14:textId="6B607C1F"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Las diputadas y los diputados que integramos la Comisión de Gobernación y Puntos Constitucionales, consideramos oportuno realizar un análisis general sobre la propuesta de reforma a la fracción cuarta del artículo noventa y cinco, donde se dispone que el Fiscal General del Estado podrá ser removido por el Gobernador del Estado o por el Congreso del Estado, por las causas que limitativamente establezca la ley y mediante el procedimiento establecido en la misma.</w:t>
      </w:r>
    </w:p>
    <w:p w14:paraId="0489096D" w14:textId="77777777" w:rsidR="00B3024D" w:rsidRPr="00B3024D" w:rsidRDefault="00B3024D" w:rsidP="00B3024D">
      <w:pPr>
        <w:spacing w:line="276" w:lineRule="auto"/>
        <w:ind w:firstLine="708"/>
        <w:jc w:val="both"/>
        <w:rPr>
          <w:rFonts w:ascii="Abadi" w:eastAsia="Batang" w:hAnsi="Abadi" w:cs="Arial"/>
          <w:sz w:val="21"/>
          <w:szCs w:val="21"/>
          <w:lang w:val="es-MX" w:eastAsia="en-US"/>
        </w:rPr>
      </w:pPr>
    </w:p>
    <w:p w14:paraId="183B454F" w14:textId="77777777" w:rsidR="00B3024D" w:rsidRPr="00B3024D" w:rsidRDefault="00B3024D" w:rsidP="00B3024D">
      <w:pPr>
        <w:spacing w:line="276" w:lineRule="auto"/>
        <w:jc w:val="both"/>
        <w:rPr>
          <w:rFonts w:ascii="Abadi" w:eastAsia="Batang" w:hAnsi="Abadi" w:cs="Arial"/>
          <w:b/>
          <w:bCs/>
          <w:i/>
          <w:iCs/>
          <w:sz w:val="21"/>
          <w:szCs w:val="21"/>
          <w:lang w:val="es-MX" w:eastAsia="en-US"/>
        </w:rPr>
      </w:pPr>
      <w:r w:rsidRPr="00B3024D">
        <w:rPr>
          <w:rFonts w:ascii="Abadi" w:eastAsia="Batang" w:hAnsi="Abadi" w:cs="Arial"/>
          <w:b/>
          <w:bCs/>
          <w:sz w:val="21"/>
          <w:szCs w:val="21"/>
          <w:lang w:val="es-MX" w:eastAsia="en-US"/>
        </w:rPr>
        <w:t>III.1. Análisis de la reforma al artículo 95 de la Constitución Política Local, sobre la remoción del Fiscal General del Estado</w:t>
      </w:r>
    </w:p>
    <w:p w14:paraId="090A2BDF"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5E077B95" w14:textId="57739AE5"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 xml:space="preserve">La iniciativa que se analiza refiere la necesidad de que el Poder Legislativo a través de su Asamblea cuente la atribución de remover </w:t>
      </w:r>
      <w:r w:rsidRPr="00B3024D">
        <w:rPr>
          <w:rFonts w:ascii="Abadi" w:eastAsia="Batang" w:hAnsi="Abadi" w:cs="Arial"/>
          <w:sz w:val="21"/>
          <w:szCs w:val="21"/>
          <w:lang w:val="es-MX" w:eastAsia="en-US"/>
        </w:rPr>
        <w:lastRenderedPageBreak/>
        <w:t xml:space="preserve">a la persona titular de la Fiscalía estatal por: el actual Fiscal sumaría aproximadamente 19 años al frente de la institución, ya sea como Procurador y Fiscal, y considera que en instituciones nacientes el titular no debe permanecer por tiempo prolongado; se obstaculiza la rendición de cuentas a la Fiscalía, pues únicamente el Gobernador tiene la atribución de remoción del titular de dicho organismo autónomo y, considera que el actual estado de cosas en materia de seguridad pública hace necesario el relevo en el titular de la Fiscalía. </w:t>
      </w:r>
    </w:p>
    <w:p w14:paraId="61D81B29"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51864309" w14:textId="48F7B499"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 xml:space="preserve">Quienes dictaminamos sabemos que el 10 de febrero de 2014 se publicó en el Diario Oficial de la Federación, el Decreto por el que se reforman, adicionan y derogan diversas disposiciones de la Constitución Política de los Estados Unidos Mexicanos, entre las que se incluyó la reforma al apartado A del artículo 102, lo anterior a efecto de reestructurar el Ministerio Público Federal al establecerse como un órgano constitucional autónomo, dotado de personalidad jurídica y patrimonio propio, con la finalidad de perseguir los delitos del orden federal, labor que correspondía a la Procuraduría General de la República como dependencia del Poder Ejecutivo Federal. </w:t>
      </w:r>
    </w:p>
    <w:p w14:paraId="056D30D9"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2C704608" w14:textId="7D962DEF"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 xml:space="preserve">En congruencia con la acción legislativa anterior, en el ámbito local, el 14 de julio de 2017 se publicó la reforma a la Constitución Política para el Estado de Guanajuato, entre otras al artículo 95, por medio de la cual se estableció como un organismo autónomo a la Fiscalía General del Estado. De esta forma, la Fiscalía General del Estado forma parte de los seis órganos autónomos constitucionales locales vigentes, pues en el caso de la Universidad de Guanajuato, lo es por ley. </w:t>
      </w:r>
    </w:p>
    <w:p w14:paraId="78EF0F1B"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045CE008" w14:textId="6E52C8D2"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 xml:space="preserve">Los órganos constitucionales autónomos, tanto nacionales, federales y locales, son aquéllos establecidos de forma directa y concreta en la Constitución sin adscripción a los poderes tradicionales del Estado, por lo que </w:t>
      </w:r>
      <w:r w:rsidRPr="00B3024D">
        <w:rPr>
          <w:rFonts w:ascii="Abadi" w:eastAsia="Batang" w:hAnsi="Abadi" w:cs="Arial"/>
          <w:sz w:val="21"/>
          <w:szCs w:val="21"/>
          <w:lang w:val="es-MX" w:eastAsia="en-US"/>
        </w:rPr>
        <w:t>cuentan con personalidad jurídica y patrimonio propio, así como con una independencia del resto de los poderes.</w:t>
      </w:r>
    </w:p>
    <w:p w14:paraId="454EF0EA"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1DE2ABEA" w14:textId="3776029C"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En ese sentido, si bien los organismos autónomos cuentan con denominadores comunes, también es cierto que debido a la diversidad de acciones que realizan y objetos jurídicos que tutelan, su configuración es diversa tanto en su integración -colegiada o unipersonal-, la forma de elección, la duración y remoción de sus titulares.</w:t>
      </w:r>
    </w:p>
    <w:p w14:paraId="517E6BBA"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77E850C8" w14:textId="0BEE56A3"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En Guanajuato existen como ya lo dijimos seis organismos autónomos constitucionales, entre los que se encuentra la Fiscalía General del Estado. Como sabemos de acuerdo al origen de su creación y reforma en su caso, no existe identidad en cuanto a las causas y procesos de remoción.</w:t>
      </w:r>
    </w:p>
    <w:p w14:paraId="7AF9EA83"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347AE160" w14:textId="2BBC89A9"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En secuencia al análisis, sabemos que el proceso de remoción del titular de la Fiscalía estatal es homólogo al de la Fiscalía General de la República, mismos que deben analizarse de forma conforme y conjunta con el resto de las normas que los regulan, es decir, de manera armónica y sistemática. Por un lado, la temporalidad de la duración en el encargo establecida por los poderes revisores de la Constitución, tanto federal como local. Para el caso de la Fiscalía de la República, el artículo 102 de la Carta Magna indica que la duración del cargo será de 9 años, misma temporalidad que la señalada para el Fiscal estatal en el artículo 95 de nuestro Código Político Local.</w:t>
      </w:r>
    </w:p>
    <w:p w14:paraId="3BBF9174"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48732B56" w14:textId="627EF666"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 xml:space="preserve">Con este contexto los poderes revisores establecieron plazos que exceden a los mandatos constitucionales de los titulares de los Poderes Ejecutivos, así como de las legislaturas, lo anterior a efecto de dotar de mayor libertad y autonomía a dichas instituciones, pues de esta forma se puede garantizar que el mandato sea cumplido, y con ello su plan de trabajo, con la menor presión política posible ante el cambio de corrientes partidistas en los poderes legislativos </w:t>
      </w:r>
      <w:r w:rsidRPr="00B3024D">
        <w:rPr>
          <w:rFonts w:ascii="Abadi" w:eastAsia="Batang" w:hAnsi="Abadi" w:cs="Arial"/>
          <w:sz w:val="21"/>
          <w:szCs w:val="21"/>
          <w:lang w:val="es-MX" w:eastAsia="en-US"/>
        </w:rPr>
        <w:lastRenderedPageBreak/>
        <w:t>y ejecutivos, con lo cual coincidimos y refrendamos las consideraciones que de manera similar realizó la comisión legislativa que dictaminó esta reforma constitucional al generar una armonización en este proceso de remoción, siendo congruentes con esa necesidad de autonomía señalada por diversos organismos internacionales de protección de derechos humanos.</w:t>
      </w:r>
    </w:p>
    <w:p w14:paraId="475F9CA6"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44137E42" w14:textId="1B87E4C2"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En cuanto a la independencia de los Poderes Ejecutivos, la Relatoría Especial de las Naciones Unidas, apunta la necesidad de garantizar la autonomía de las fiscalías con relación a dicho poder, pues considera que dicha dependencia constituye un factor que socava la confianza y credibilidad de la autoridad a la que se encomienda investigar los delitos de forma objetiva.</w:t>
      </w:r>
      <w:r w:rsidRPr="00B3024D">
        <w:rPr>
          <w:rFonts w:ascii="Abadi" w:eastAsia="Batang" w:hAnsi="Abadi" w:cs="Arial"/>
          <w:sz w:val="21"/>
          <w:szCs w:val="21"/>
          <w:vertAlign w:val="superscript"/>
          <w:lang w:val="es-MX" w:eastAsia="en-US"/>
        </w:rPr>
        <w:footnoteReference w:id="62"/>
      </w:r>
    </w:p>
    <w:p w14:paraId="77F7D900"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2AA8A7EB" w14:textId="2FFC2A84"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De igual forma, diversos organismos internacionales apuntan la necesidad de que los ministerios públicos gocen de autonomía respecto del Poder Legislativo, y del Poder Judicial. La Declaración de Burdeos,</w:t>
      </w:r>
      <w:r w:rsidRPr="00B3024D">
        <w:rPr>
          <w:rFonts w:ascii="Abadi" w:eastAsia="Batang" w:hAnsi="Abadi" w:cs="Arial"/>
          <w:sz w:val="21"/>
          <w:szCs w:val="21"/>
          <w:vertAlign w:val="superscript"/>
          <w:lang w:val="es-MX" w:eastAsia="en-US"/>
        </w:rPr>
        <w:footnoteReference w:id="63"/>
      </w:r>
      <w:r w:rsidRPr="00B3024D">
        <w:rPr>
          <w:rFonts w:ascii="Abadi" w:eastAsia="Batang" w:hAnsi="Abadi" w:cs="Arial"/>
          <w:sz w:val="21"/>
          <w:szCs w:val="21"/>
          <w:lang w:val="es-MX" w:eastAsia="en-US"/>
        </w:rPr>
        <w:t xml:space="preserve"> entre otras establece que el ministerio público debe ser una autoridad independiente al más alto nivel, por lo que idealmente en un Estado democrático, ni el Parlamento, ni ninguna instancia gubernamental pueden intentar influenciar indebidamente en las decisiones del ministerio público relativas a un asunto concreto, para determinar el modo de actuar en un determinado caso, u obligar al ministerio público a modificar su decisión.</w:t>
      </w:r>
    </w:p>
    <w:p w14:paraId="15A071A4"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3914D1CC" w14:textId="3DA59DB8"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 xml:space="preserve">Por otro lado, las normas federales y locales, en sus respectivos ámbitos de competencia, garantizan un proceso calificado de nombramiento y remoción extraordinaria de los titulares de las fiscalías, así como una temporalidad diversa a los de los Poderes Ejecutivos y Legislativos, a efecto de dotar de estabilidad en el cargo a las y los titulares, como garantía de autonomía funcional. En el caso de </w:t>
      </w:r>
      <w:r w:rsidRPr="00B3024D">
        <w:rPr>
          <w:rFonts w:ascii="Abadi" w:eastAsia="Batang" w:hAnsi="Abadi" w:cs="Arial"/>
          <w:sz w:val="21"/>
          <w:szCs w:val="21"/>
          <w:lang w:val="es-MX" w:eastAsia="en-US"/>
        </w:rPr>
        <w:t>Guanajuato sabemos que se dispuso en el artículo 18 de la Ley Orgánica de la Fiscalía General del Estado de Guanajuato las causas graves por las cuales el Gobernador podrá separarle de su cargo y que son: cuando incumpla de manera reiterada con los fines institucionales previstos en la Ley, y participar, tolerar, consentir o apoyar violaciones graves a los derechos humanos, o cometer violaciones graves a la Constitución Política de los Estados Unidos Mexicanos, a la Constitución Política para el Estado de Guanajuato y a las leyes que le rigen su función.</w:t>
      </w:r>
    </w:p>
    <w:p w14:paraId="293247BA"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0AFF8E22" w14:textId="62DBE6CE"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El artículo 18 de ese ordenamiento señala que corresponde al titular del Poder Ejecutivo acreditar la causa grave que motivó la remoción del Fiscal General e informar al Congreso del Estado, quien decidirá si objeta o no la remoción, en términos del artículo 95 de la Constitución Política para el Estado de Guanajuato.</w:t>
      </w:r>
    </w:p>
    <w:p w14:paraId="1F940A2C"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5627C957" w14:textId="7A9775ED"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Por su parte, el artículo 24 de la Ley de la Fiscalía General de la República refiere que existen tres causas graves por las que el titular de dicha institución podrá ser removido por el Presidente de la República. Dentro del mismo artículo se establece que la persona titular del Ejecutivo Federal deberá acreditar ante el Senado de la República la causa grave que motivó la remoción de la persona titular de la Fiscalía General, e informar al Senado de la República, quien decidirá si objeta por el voto de la mayoría de los miembros presentes de la Cámara de Senadores dentro de un plazo de diez días hábiles.</w:t>
      </w:r>
    </w:p>
    <w:p w14:paraId="1B05DDE9"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491DD4F6" w14:textId="47F19C4C"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 xml:space="preserve">En ese sentido, afirmamos que la norma federal como la local establecen, en la ley, las causas graves de remoción de los respectivos titulares, además de contemplar un proceso agravado para la restitución de los mismos, pues en dicho sistema de remoción participa tanto el </w:t>
      </w:r>
      <w:r w:rsidRPr="00B3024D">
        <w:rPr>
          <w:rFonts w:ascii="Abadi" w:eastAsia="Batang" w:hAnsi="Abadi" w:cs="Arial"/>
          <w:sz w:val="21"/>
          <w:szCs w:val="21"/>
          <w:lang w:val="es-MX" w:eastAsia="en-US"/>
        </w:rPr>
        <w:lastRenderedPageBreak/>
        <w:t>Poder Ejecutivo cuando existan las causales concretas establecidas por la Ley, decisión que debe ser confirmada por el Poder Legislativo, quien cuenta con facultad de veto respecto de dicha remoción.</w:t>
      </w:r>
    </w:p>
    <w:p w14:paraId="5A19DBD1"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78E71EC8" w14:textId="36BBB4F5"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Todo lo argumentado con respecto al análisis de esta propuesta tiene como objeto dar contenido a la garantía de estabilidad al titular del organismo autónomo constitucional, ésta no es absoluta, pues además del proceso extraordinario de remoción, en el caso de Guanajuato el titular de la Fiscalía estatal también se encuentra sujeto al régimen de responsabilidad política del artículo 110 de la Constitución Política de los Estados Unidos Mexicanos así como de responsabilidades administrativas del artículo 109 de dicha Constitución, y regulado por la Ley General de Responsabilidades Administrativas y la Ley de Responsabilidades Administrativas para el Estado de Guanajuato. En el artículo 124 fracción II de la Constitución Política Local, las faltas administrativas graves serán investigadas y sustanciadas por la Auditoría Superior del Estado de Guanajuato o por los Órganos Internos de Control y serán resueltas por el Tribunal de Justicia Administrativa del Estado de Guanajuato.</w:t>
      </w:r>
    </w:p>
    <w:p w14:paraId="02372AF8"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4BBAA9B8" w14:textId="511087D1"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Los estatutos constitucionales pretenden de esta forma contar con organismos autónomos dotados de independencia y autonomía respecto de los Poderes Legislativo y Ejecutivo, pues conforme al actual diseño, no es suficiente que una persona o un grupo colegiado determinen de manera unilateral la separación extraordinaria del titular de la Fiscalía General del Estado, sino que en un sistema de contrapesos dicha decisión debe ser ejercida por un poder y revisada por otro poder.</w:t>
      </w:r>
    </w:p>
    <w:p w14:paraId="3839020B"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5582491D" w14:textId="22447B40"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 xml:space="preserve">En razón de todo lo anterior, quienes dictaminamos que el diseño legal y constitucional de la Fiscalía General del Estado es acorde al parámetro de regularidad constitucional, así como a los estándares </w:t>
      </w:r>
      <w:r w:rsidRPr="00B3024D">
        <w:rPr>
          <w:rFonts w:ascii="Abadi" w:eastAsia="Batang" w:hAnsi="Abadi" w:cs="Arial"/>
          <w:sz w:val="21"/>
          <w:szCs w:val="21"/>
          <w:lang w:val="es-MX" w:eastAsia="en-US"/>
        </w:rPr>
        <w:t>internacionales en la materia, pues los titulares de los organismos autónomos deben gozar de una garantía de estabilidad a efecto de dotar a los citados organismos de una real autonomía funcional.</w:t>
      </w:r>
    </w:p>
    <w:p w14:paraId="2F7828D3"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4A60B3BE" w14:textId="5BA6F7AA"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En el caso que nos ocupa, la separación contemplada por la fracción IV del artículo 95 de la Constitución Política para el Estado de Guanajuato es un proceso extraordinario, por lo cual es acorde a los estándares y necesario que contenga elementos de calificación al igual que el proceso de nombramiento.  Es necesario que para remover al titular de la Fiscalía General del Estado por cuestiones diversas a los regímenes de responsabilidades políticas y administrativas, sean dos poderes los que participen activamente del mismo, a efecto de evitar la injerencia unilateral de algún poder en el desarrollo de la labor del órgano autónomo.</w:t>
      </w:r>
    </w:p>
    <w:p w14:paraId="7ADC55BE" w14:textId="77777777"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71D24312" w14:textId="1E85B0F2"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Pr>
          <w:rFonts w:ascii="Abadi" w:eastAsia="Batang" w:hAnsi="Abadi" w:cs="Arial"/>
          <w:sz w:val="21"/>
          <w:szCs w:val="21"/>
          <w:lang w:val="es-MX" w:eastAsia="en-US"/>
        </w:rPr>
        <w:tab/>
      </w:r>
      <w:r w:rsidRPr="00B3024D">
        <w:rPr>
          <w:rFonts w:ascii="Abadi" w:eastAsia="Batang" w:hAnsi="Abadi" w:cs="Arial"/>
          <w:sz w:val="21"/>
          <w:szCs w:val="21"/>
          <w:lang w:val="es-MX" w:eastAsia="en-US"/>
        </w:rPr>
        <w:t xml:space="preserve">Por otro lado, es importante manifestar que en relación a la supresión de las </w:t>
      </w:r>
      <w:r w:rsidRPr="00B3024D">
        <w:rPr>
          <w:rFonts w:ascii="Abadi" w:eastAsia="Batang" w:hAnsi="Abadi" w:cs="Arial"/>
          <w:i/>
          <w:iCs/>
          <w:sz w:val="21"/>
          <w:szCs w:val="21"/>
          <w:lang w:val="es-MX" w:eastAsia="en-US"/>
        </w:rPr>
        <w:t>causas graves</w:t>
      </w:r>
      <w:r w:rsidRPr="00B3024D">
        <w:rPr>
          <w:rFonts w:ascii="Abadi" w:eastAsia="Batang" w:hAnsi="Abadi" w:cs="Arial"/>
          <w:sz w:val="21"/>
          <w:szCs w:val="21"/>
          <w:lang w:val="es-MX" w:eastAsia="en-US"/>
        </w:rPr>
        <w:t xml:space="preserve"> la iniciante, nada refiere en su exposición de motivos a este cambio, pues, modifica del enunciado las causas graves para la remoción, por el concepto de causas que limitativamente establezca la ley. De tal suerte que, la inviabilidad de esta propuesta deviene de la imposibilidad de saber que razones tuvo la iniciante para proponer la modificación. En los mismos alcances la parte considerativa debido a la propuesta dispositiva, pues de una cuidadosa y completa lectura de la exposición de motivos, no refiere ningún argumento, estudios técnicos o documentación que justifique tal propuesta.</w:t>
      </w:r>
    </w:p>
    <w:p w14:paraId="2A63FCDB" w14:textId="77777777"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58E82603" w14:textId="77777777"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Finalmente consideramos que el proceso con la reforma a la fracción IV del artículo 95 Constitucional no guarda simetría con el proceso de nombramiento, en el que dos Poderes se conjugan a efecto de dotar de mayor legitimidad y calidad en el nombramiento del titular de la Fiscalía General del Estado.</w:t>
      </w:r>
    </w:p>
    <w:p w14:paraId="00440C02"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r>
    </w:p>
    <w:p w14:paraId="0CB60D3F" w14:textId="4B1F065D"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 xml:space="preserve">Debido a los argumentos expresados se determina la no viabilidad de reformar la </w:t>
      </w:r>
      <w:r w:rsidRPr="00B3024D">
        <w:rPr>
          <w:rFonts w:ascii="Abadi" w:eastAsia="Batang" w:hAnsi="Abadi" w:cs="Arial"/>
          <w:sz w:val="21"/>
          <w:szCs w:val="21"/>
          <w:lang w:val="es-MX" w:eastAsia="en-US"/>
        </w:rPr>
        <w:lastRenderedPageBreak/>
        <w:t xml:space="preserve">Constitución Política para el Estado de Guanajuato con los alcances propuestos, en razón de ser contraria a la armonización que se dispuso desde la reforma vigente en el Código Político Local y la Constitución Política de los Estados Unidos Mexicanos, volviéndose inarmónica con los objetivos que se persiguieron cuando dieron origen a dicha reforma constitucional, texto vigente hoy. </w:t>
      </w:r>
    </w:p>
    <w:p w14:paraId="1AA79CD8" w14:textId="77777777" w:rsid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5265BAAE" w14:textId="709B8E1B"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En cuanto al proceso calificado de nombramiento, es necesario contar con un proceso calificado para la remoción extraordinaria, tal y como se contempla actualmente en el estado de Guanajuato.</w:t>
      </w:r>
    </w:p>
    <w:p w14:paraId="23B77A8E" w14:textId="77777777" w:rsidR="00B3024D" w:rsidRPr="00B3024D" w:rsidRDefault="00B3024D" w:rsidP="00B3024D">
      <w:pPr>
        <w:autoSpaceDE w:val="0"/>
        <w:autoSpaceDN w:val="0"/>
        <w:adjustRightInd w:val="0"/>
        <w:spacing w:line="276" w:lineRule="auto"/>
        <w:ind w:firstLine="708"/>
        <w:jc w:val="both"/>
        <w:rPr>
          <w:rFonts w:ascii="Abadi" w:eastAsia="Batang" w:hAnsi="Abadi" w:cs="Arial"/>
          <w:sz w:val="21"/>
          <w:szCs w:val="21"/>
          <w:lang w:val="es-MX" w:eastAsia="en-US"/>
        </w:rPr>
      </w:pPr>
    </w:p>
    <w:p w14:paraId="50E56F27" w14:textId="77777777" w:rsidR="00B3024D" w:rsidRPr="00B3024D" w:rsidRDefault="00B3024D" w:rsidP="00B3024D">
      <w:pPr>
        <w:autoSpaceDE w:val="0"/>
        <w:autoSpaceDN w:val="0"/>
        <w:adjustRightInd w:val="0"/>
        <w:spacing w:line="276" w:lineRule="auto"/>
        <w:ind w:firstLine="708"/>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Con todo lo expuesto estimamos pertinente el archivo de la iniciativa de referencia.</w:t>
      </w:r>
    </w:p>
    <w:p w14:paraId="0CE615A5" w14:textId="77777777" w:rsidR="00B3024D" w:rsidRPr="00B3024D" w:rsidRDefault="00B3024D" w:rsidP="00B3024D">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71D912AF" w14:textId="77777777" w:rsidR="00B3024D" w:rsidRPr="00B3024D" w:rsidRDefault="00B3024D" w:rsidP="00B3024D">
      <w:pPr>
        <w:spacing w:line="276" w:lineRule="auto"/>
        <w:ind w:firstLine="708"/>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 xml:space="preserve">En razón de lo antes expuesto y con fundamento en los artículos 171 y 204 de </w:t>
      </w:r>
      <w:smartTag w:uri="urn:schemas-microsoft-com:office:smarttags" w:element="PersonName">
        <w:smartTagPr>
          <w:attr w:name="ProductID" w:val="la Ley Org￡nica"/>
        </w:smartTagPr>
        <w:r w:rsidRPr="00B3024D">
          <w:rPr>
            <w:rFonts w:ascii="Abadi" w:eastAsia="Batang" w:hAnsi="Abadi" w:cs="Arial"/>
            <w:sz w:val="21"/>
            <w:szCs w:val="21"/>
            <w:lang w:val="es-MX" w:eastAsia="en-US"/>
          </w:rPr>
          <w:t>la Ley Orgánica</w:t>
        </w:r>
      </w:smartTag>
      <w:r w:rsidRPr="00B3024D">
        <w:rPr>
          <w:rFonts w:ascii="Abadi" w:eastAsia="Batang" w:hAnsi="Abadi" w:cs="Arial"/>
          <w:sz w:val="21"/>
          <w:szCs w:val="21"/>
          <w:lang w:val="es-MX" w:eastAsia="en-US"/>
        </w:rPr>
        <w:t xml:space="preserve"> del Poder Legislativo del Estado de Guanajuato, nos permitimos someter a la aprobación de </w:t>
      </w:r>
      <w:smartTag w:uri="urn:schemas-microsoft-com:office:smarttags" w:element="PersonName">
        <w:smartTagPr>
          <w:attr w:name="ProductID" w:val="la Asamblea"/>
        </w:smartTagPr>
        <w:r w:rsidRPr="00B3024D">
          <w:rPr>
            <w:rFonts w:ascii="Abadi" w:eastAsia="Batang" w:hAnsi="Abadi" w:cs="Arial"/>
            <w:sz w:val="21"/>
            <w:szCs w:val="21"/>
            <w:lang w:val="es-MX" w:eastAsia="en-US"/>
          </w:rPr>
          <w:t>la Asamblea</w:t>
        </w:r>
      </w:smartTag>
      <w:r w:rsidRPr="00B3024D">
        <w:rPr>
          <w:rFonts w:ascii="Abadi" w:eastAsia="Batang" w:hAnsi="Abadi" w:cs="Arial"/>
          <w:sz w:val="21"/>
          <w:szCs w:val="21"/>
          <w:lang w:val="es-MX" w:eastAsia="en-US"/>
        </w:rPr>
        <w:t xml:space="preserve">, el siguiente: </w:t>
      </w:r>
    </w:p>
    <w:p w14:paraId="2FAEC92C" w14:textId="77777777" w:rsidR="00B3024D" w:rsidRPr="00B3024D" w:rsidRDefault="00B3024D" w:rsidP="00B3024D">
      <w:pPr>
        <w:spacing w:line="276" w:lineRule="auto"/>
        <w:ind w:firstLine="708"/>
        <w:jc w:val="both"/>
        <w:rPr>
          <w:rFonts w:ascii="Abadi" w:eastAsia="Batang" w:hAnsi="Abadi" w:cs="Arial"/>
          <w:sz w:val="21"/>
          <w:szCs w:val="21"/>
          <w:lang w:val="es-MX" w:eastAsia="en-US"/>
        </w:rPr>
      </w:pPr>
    </w:p>
    <w:p w14:paraId="5F6871BA" w14:textId="77777777" w:rsidR="00B3024D" w:rsidRPr="00B3024D" w:rsidRDefault="00B3024D" w:rsidP="00B3024D">
      <w:pPr>
        <w:jc w:val="center"/>
        <w:rPr>
          <w:rFonts w:ascii="Abadi" w:hAnsi="Abadi" w:cs="Arial"/>
          <w:b/>
          <w:sz w:val="21"/>
          <w:szCs w:val="21"/>
          <w:lang w:val="es-MX" w:eastAsia="en-US"/>
        </w:rPr>
      </w:pPr>
      <w:r w:rsidRPr="00B3024D">
        <w:rPr>
          <w:rFonts w:ascii="Abadi" w:hAnsi="Abadi" w:cs="Arial"/>
          <w:b/>
          <w:sz w:val="21"/>
          <w:szCs w:val="21"/>
          <w:lang w:val="es-MX" w:eastAsia="en-US"/>
        </w:rPr>
        <w:t>ACUERDO</w:t>
      </w:r>
    </w:p>
    <w:p w14:paraId="44DFD71E" w14:textId="77777777" w:rsidR="00B3024D" w:rsidRPr="00B3024D" w:rsidRDefault="00B3024D" w:rsidP="00B3024D">
      <w:pPr>
        <w:jc w:val="center"/>
        <w:rPr>
          <w:rFonts w:ascii="Abadi" w:hAnsi="Abadi" w:cs="Arial"/>
          <w:b/>
          <w:sz w:val="21"/>
          <w:szCs w:val="21"/>
          <w:lang w:val="es-MX" w:eastAsia="en-US"/>
        </w:rPr>
      </w:pPr>
    </w:p>
    <w:p w14:paraId="5A4C7EFA" w14:textId="77777777" w:rsidR="00B3024D" w:rsidRPr="00B3024D" w:rsidRDefault="00B3024D" w:rsidP="00B3024D">
      <w:pPr>
        <w:spacing w:line="276" w:lineRule="auto"/>
        <w:ind w:firstLine="708"/>
        <w:jc w:val="both"/>
        <w:rPr>
          <w:rFonts w:ascii="Abadi" w:eastAsia="Batang" w:hAnsi="Abadi" w:cs="Arial"/>
          <w:sz w:val="21"/>
          <w:szCs w:val="21"/>
          <w:lang w:val="es-MX" w:eastAsia="en-US"/>
        </w:rPr>
      </w:pPr>
      <w:r w:rsidRPr="00B3024D">
        <w:rPr>
          <w:rFonts w:ascii="Abadi" w:hAnsi="Abadi" w:cs="Arial Unicode MS"/>
          <w:b/>
          <w:bCs/>
          <w:sz w:val="21"/>
          <w:szCs w:val="21"/>
        </w:rPr>
        <w:t xml:space="preserve">Único. </w:t>
      </w:r>
      <w:r w:rsidRPr="00B3024D">
        <w:rPr>
          <w:rFonts w:ascii="Abadi" w:eastAsia="Batang" w:hAnsi="Abadi" w:cs="Arial"/>
          <w:sz w:val="21"/>
          <w:szCs w:val="21"/>
          <w:lang w:val="es-MX" w:eastAsia="en-US"/>
        </w:rPr>
        <w:t>Se ordena el archivo definitivo de la iniciativa formulada por la diputada Hades Berenice Aguilar Castillo integrante del Grupo Parlamentario del Partido MORENA, a efecto de reformar la fracción IV del artículo 95 de la Constitución Política para el Estado de Guanajuato.</w:t>
      </w:r>
    </w:p>
    <w:p w14:paraId="3B7A7327" w14:textId="77777777" w:rsidR="00B3024D" w:rsidRDefault="00B3024D" w:rsidP="00B3024D">
      <w:pPr>
        <w:widowControl w:val="0"/>
        <w:tabs>
          <w:tab w:val="left" w:pos="663"/>
        </w:tabs>
        <w:spacing w:before="57" w:line="276" w:lineRule="auto"/>
        <w:contextualSpacing/>
        <w:jc w:val="both"/>
        <w:rPr>
          <w:rFonts w:ascii="Abadi" w:eastAsia="Batang" w:hAnsi="Abadi" w:cs="Arial"/>
          <w:sz w:val="21"/>
          <w:szCs w:val="21"/>
          <w:lang w:val="es-MX" w:eastAsia="en-US"/>
        </w:rPr>
      </w:pPr>
    </w:p>
    <w:p w14:paraId="1FB904EE" w14:textId="6A86410D" w:rsidR="00B3024D" w:rsidRPr="00B3024D" w:rsidRDefault="00B3024D" w:rsidP="00B3024D">
      <w:pPr>
        <w:widowControl w:val="0"/>
        <w:tabs>
          <w:tab w:val="left" w:pos="663"/>
        </w:tabs>
        <w:spacing w:before="57" w:line="276" w:lineRule="auto"/>
        <w:contextualSpacing/>
        <w:jc w:val="both"/>
        <w:rPr>
          <w:rFonts w:ascii="Abadi" w:eastAsia="Batang" w:hAnsi="Abadi" w:cs="Arial"/>
          <w:sz w:val="21"/>
          <w:szCs w:val="21"/>
          <w:lang w:val="es-MX" w:eastAsia="en-US"/>
        </w:rPr>
      </w:pPr>
      <w:r w:rsidRPr="00B3024D">
        <w:rPr>
          <w:rFonts w:ascii="Abadi" w:eastAsia="Batang" w:hAnsi="Abadi" w:cs="Arial"/>
          <w:sz w:val="21"/>
          <w:szCs w:val="21"/>
          <w:lang w:val="es-MX" w:eastAsia="en-US"/>
        </w:rPr>
        <w:tab/>
        <w:t>Se instruye al Secretario General del Congreso archive de manera definitiva las iniciativas de referencia.</w:t>
      </w:r>
    </w:p>
    <w:p w14:paraId="17FEF48E" w14:textId="77777777" w:rsidR="00B3024D" w:rsidRPr="00B3024D" w:rsidRDefault="00B3024D" w:rsidP="00B3024D">
      <w:pPr>
        <w:ind w:firstLine="708"/>
        <w:jc w:val="both"/>
        <w:rPr>
          <w:rFonts w:ascii="Abadi" w:hAnsi="Abadi" w:cs="Arial"/>
          <w:sz w:val="21"/>
          <w:szCs w:val="21"/>
        </w:rPr>
      </w:pPr>
    </w:p>
    <w:p w14:paraId="2AF8BA1D" w14:textId="77777777" w:rsidR="00B3024D" w:rsidRPr="00B3024D" w:rsidRDefault="00B3024D" w:rsidP="00B3024D">
      <w:pPr>
        <w:jc w:val="center"/>
        <w:rPr>
          <w:rFonts w:ascii="Abadi" w:eastAsia="Arial Unicode MS" w:hAnsi="Abadi" w:cs="Arial Unicode MS"/>
          <w:b/>
          <w:bCs/>
          <w:sz w:val="21"/>
          <w:szCs w:val="21"/>
          <w:lang w:val="es-MX" w:eastAsia="en-US"/>
        </w:rPr>
      </w:pPr>
      <w:r w:rsidRPr="00B3024D">
        <w:rPr>
          <w:rFonts w:ascii="Abadi" w:eastAsia="Arial Unicode MS" w:hAnsi="Abadi" w:cs="Arial Unicode MS"/>
          <w:b/>
          <w:bCs/>
          <w:sz w:val="21"/>
          <w:szCs w:val="21"/>
          <w:lang w:val="es-MX" w:eastAsia="en-US"/>
        </w:rPr>
        <w:t>GUANAJUATO, GTO., A 21 DE JUNIO DE 2022</w:t>
      </w:r>
    </w:p>
    <w:p w14:paraId="2308ABCD" w14:textId="77777777" w:rsidR="00B3024D" w:rsidRPr="00B3024D" w:rsidRDefault="00B3024D" w:rsidP="00B3024D">
      <w:pPr>
        <w:jc w:val="center"/>
        <w:rPr>
          <w:rFonts w:ascii="Abadi" w:eastAsia="Arial Unicode MS" w:hAnsi="Abadi" w:cs="Arial Unicode MS"/>
          <w:b/>
          <w:bCs/>
          <w:sz w:val="21"/>
          <w:szCs w:val="21"/>
          <w:lang w:val="es-MX" w:eastAsia="en-US"/>
        </w:rPr>
      </w:pPr>
      <w:r w:rsidRPr="00B3024D">
        <w:rPr>
          <w:rFonts w:ascii="Abadi" w:eastAsia="Arial Unicode MS" w:hAnsi="Abadi" w:cs="Arial Unicode MS"/>
          <w:b/>
          <w:bCs/>
          <w:sz w:val="21"/>
          <w:szCs w:val="21"/>
          <w:lang w:val="es-MX" w:eastAsia="en-US"/>
        </w:rPr>
        <w:t>COMISIÓN DE GOBERNACIÓN Y PUNTOS CONSTITUCIONALES</w:t>
      </w:r>
    </w:p>
    <w:p w14:paraId="4160AB4F" w14:textId="3498C0EE" w:rsidR="00B3024D" w:rsidRPr="00B3024D" w:rsidRDefault="00B3024D" w:rsidP="00410A0C">
      <w:pPr>
        <w:kinsoku w:val="0"/>
        <w:overflowPunct w:val="0"/>
        <w:autoSpaceDE w:val="0"/>
        <w:autoSpaceDN w:val="0"/>
        <w:adjustRightInd w:val="0"/>
        <w:ind w:right="17"/>
        <w:jc w:val="both"/>
        <w:rPr>
          <w:rFonts w:ascii="Abadi" w:hAnsi="Abadi" w:cs="Arial"/>
          <w:sz w:val="20"/>
          <w:szCs w:val="20"/>
        </w:rPr>
      </w:pPr>
    </w:p>
    <w:p w14:paraId="7143670F" w14:textId="77777777" w:rsidR="00F77257" w:rsidRDefault="00F77257" w:rsidP="00F7725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Susana Bermúdez Cano</w:t>
      </w:r>
    </w:p>
    <w:p w14:paraId="41D58D21" w14:textId="77777777" w:rsidR="00F77257" w:rsidRDefault="00F77257" w:rsidP="00F77257">
      <w:pPr>
        <w:jc w:val="center"/>
        <w:rPr>
          <w:rFonts w:ascii="Abadi" w:eastAsia="Arial Unicode MS" w:hAnsi="Abadi" w:cs="Arial Unicode MS"/>
          <w:b/>
          <w:bCs/>
          <w:sz w:val="21"/>
          <w:szCs w:val="21"/>
          <w:lang w:val="es-MX" w:eastAsia="en-US"/>
        </w:rPr>
      </w:pPr>
    </w:p>
    <w:p w14:paraId="38940D5F" w14:textId="77777777" w:rsidR="00F77257" w:rsidRDefault="00F77257" w:rsidP="00F7725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Laura Cristina Márquez Alcalá</w:t>
      </w:r>
    </w:p>
    <w:p w14:paraId="22D1BBF2" w14:textId="77777777" w:rsidR="00F77257" w:rsidRDefault="00F77257" w:rsidP="00F77257">
      <w:pPr>
        <w:jc w:val="center"/>
        <w:rPr>
          <w:rFonts w:ascii="Abadi" w:eastAsia="Arial Unicode MS" w:hAnsi="Abadi" w:cs="Arial Unicode MS"/>
          <w:b/>
          <w:bCs/>
          <w:sz w:val="21"/>
          <w:szCs w:val="21"/>
          <w:lang w:val="es-MX" w:eastAsia="en-US"/>
        </w:rPr>
      </w:pPr>
    </w:p>
    <w:p w14:paraId="632402DC" w14:textId="77777777" w:rsidR="00F77257" w:rsidRDefault="00F77257" w:rsidP="00F7725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Briseida Anabel Magdaleno González</w:t>
      </w:r>
    </w:p>
    <w:p w14:paraId="778EAADA" w14:textId="77777777" w:rsidR="00F77257" w:rsidRDefault="00F77257" w:rsidP="00F77257">
      <w:pPr>
        <w:jc w:val="center"/>
        <w:rPr>
          <w:rFonts w:ascii="Abadi" w:eastAsia="Arial Unicode MS" w:hAnsi="Abadi" w:cs="Arial Unicode MS"/>
          <w:b/>
          <w:bCs/>
          <w:sz w:val="21"/>
          <w:szCs w:val="21"/>
          <w:lang w:val="es-MX" w:eastAsia="en-US"/>
        </w:rPr>
      </w:pPr>
    </w:p>
    <w:p w14:paraId="373D73D8" w14:textId="77777777" w:rsidR="00F77257" w:rsidRDefault="00F77257" w:rsidP="00F7725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Alma Edwviges Alcaraz Hernández</w:t>
      </w:r>
    </w:p>
    <w:p w14:paraId="4B91E8AE" w14:textId="77777777" w:rsidR="00F77257" w:rsidRDefault="00F77257" w:rsidP="00F77257">
      <w:pPr>
        <w:jc w:val="center"/>
        <w:rPr>
          <w:rFonts w:ascii="Abadi" w:eastAsia="Arial Unicode MS" w:hAnsi="Abadi" w:cs="Arial Unicode MS"/>
          <w:b/>
          <w:bCs/>
          <w:sz w:val="21"/>
          <w:szCs w:val="21"/>
          <w:lang w:val="es-MX" w:eastAsia="en-US"/>
        </w:rPr>
      </w:pPr>
    </w:p>
    <w:p w14:paraId="3798326E" w14:textId="77777777" w:rsidR="00F77257" w:rsidRDefault="00F77257" w:rsidP="00F7725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Rolando Fortino Alcántar Rojas</w:t>
      </w:r>
    </w:p>
    <w:p w14:paraId="64D369EB" w14:textId="77777777" w:rsidR="00F77257" w:rsidRDefault="00F77257" w:rsidP="00F77257">
      <w:pPr>
        <w:jc w:val="center"/>
        <w:rPr>
          <w:rFonts w:ascii="Abadi" w:eastAsia="Arial Unicode MS" w:hAnsi="Abadi" w:cs="Arial Unicode MS"/>
          <w:b/>
          <w:bCs/>
          <w:sz w:val="21"/>
          <w:szCs w:val="21"/>
          <w:lang w:val="es-MX" w:eastAsia="en-US"/>
        </w:rPr>
      </w:pPr>
    </w:p>
    <w:p w14:paraId="1D9352E9" w14:textId="77777777" w:rsidR="00F77257" w:rsidRDefault="00F77257" w:rsidP="00F7725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Yulma Rocha Aguilar</w:t>
      </w:r>
    </w:p>
    <w:p w14:paraId="37E075C2" w14:textId="77777777" w:rsidR="00F77257" w:rsidRDefault="00F77257" w:rsidP="00F77257">
      <w:pPr>
        <w:jc w:val="center"/>
        <w:rPr>
          <w:rFonts w:ascii="Abadi" w:eastAsia="Arial Unicode MS" w:hAnsi="Abadi" w:cs="Arial Unicode MS"/>
          <w:b/>
          <w:bCs/>
          <w:sz w:val="21"/>
          <w:szCs w:val="21"/>
          <w:lang w:val="es-MX" w:eastAsia="en-US"/>
        </w:rPr>
      </w:pPr>
    </w:p>
    <w:p w14:paraId="39126766" w14:textId="77777777" w:rsidR="00F77257" w:rsidRPr="00021537" w:rsidRDefault="00F77257" w:rsidP="00F77257">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Gerardo Fernández González</w:t>
      </w:r>
    </w:p>
    <w:p w14:paraId="632E2C05" w14:textId="77777777" w:rsidR="00B3024D" w:rsidRPr="00637DC0" w:rsidRDefault="00B3024D" w:rsidP="00410A0C">
      <w:pPr>
        <w:kinsoku w:val="0"/>
        <w:overflowPunct w:val="0"/>
        <w:autoSpaceDE w:val="0"/>
        <w:autoSpaceDN w:val="0"/>
        <w:adjustRightInd w:val="0"/>
        <w:ind w:right="17"/>
        <w:jc w:val="both"/>
        <w:rPr>
          <w:rFonts w:ascii="Abadi" w:hAnsi="Abadi" w:cs="Arial"/>
          <w:b/>
          <w:bCs/>
          <w:sz w:val="20"/>
          <w:szCs w:val="20"/>
        </w:rPr>
      </w:pPr>
    </w:p>
    <w:p w14:paraId="32E5FABB" w14:textId="47C245EE" w:rsidR="00367DF9" w:rsidRDefault="00367DF9" w:rsidP="005433FA">
      <w:pPr>
        <w:pStyle w:val="Prrafodelista"/>
        <w:numPr>
          <w:ilvl w:val="0"/>
          <w:numId w:val="9"/>
        </w:numPr>
        <w:tabs>
          <w:tab w:val="left" w:pos="856"/>
        </w:tabs>
        <w:kinsoku w:val="0"/>
        <w:overflowPunct w:val="0"/>
        <w:autoSpaceDE w:val="0"/>
        <w:autoSpaceDN w:val="0"/>
        <w:adjustRightInd w:val="0"/>
        <w:spacing w:before="220"/>
        <w:ind w:right="17"/>
        <w:jc w:val="both"/>
        <w:rPr>
          <w:rFonts w:ascii="Abadi" w:hAnsi="Abadi"/>
          <w:b/>
          <w:bCs/>
          <w:i/>
          <w:iCs/>
          <w:sz w:val="20"/>
          <w:szCs w:val="20"/>
        </w:rPr>
      </w:pPr>
      <w:r w:rsidRPr="00531B12">
        <w:rPr>
          <w:rFonts w:ascii="Abadi" w:hAnsi="Abadi"/>
          <w:b/>
          <w:bCs/>
          <w:sz w:val="20"/>
          <w:szCs w:val="20"/>
        </w:rPr>
        <w:t>DISCUSIÓN</w:t>
      </w:r>
      <w:r w:rsidRPr="00531B12">
        <w:rPr>
          <w:rFonts w:ascii="Abadi" w:hAnsi="Abadi"/>
          <w:b/>
          <w:bCs/>
          <w:spacing w:val="80"/>
          <w:sz w:val="20"/>
          <w:szCs w:val="20"/>
        </w:rPr>
        <w:t xml:space="preserve"> </w:t>
      </w:r>
      <w:r w:rsidRPr="00531B12">
        <w:rPr>
          <w:rFonts w:ascii="Abadi" w:hAnsi="Abadi"/>
          <w:b/>
          <w:bCs/>
          <w:sz w:val="20"/>
          <w:szCs w:val="20"/>
        </w:rPr>
        <w:t>Y,</w:t>
      </w:r>
      <w:r w:rsidRPr="00531B12">
        <w:rPr>
          <w:rFonts w:ascii="Abadi" w:hAnsi="Abadi"/>
          <w:b/>
          <w:bCs/>
          <w:spacing w:val="80"/>
          <w:sz w:val="20"/>
          <w:szCs w:val="20"/>
        </w:rPr>
        <w:t xml:space="preserve"> </w:t>
      </w:r>
      <w:r w:rsidRPr="00531B12">
        <w:rPr>
          <w:rFonts w:ascii="Abadi" w:hAnsi="Abadi"/>
          <w:b/>
          <w:bCs/>
          <w:sz w:val="20"/>
          <w:szCs w:val="20"/>
        </w:rPr>
        <w:t>EN</w:t>
      </w:r>
      <w:r w:rsidRPr="00531B12">
        <w:rPr>
          <w:rFonts w:ascii="Abadi" w:hAnsi="Abadi"/>
          <w:b/>
          <w:bCs/>
          <w:spacing w:val="80"/>
          <w:sz w:val="20"/>
          <w:szCs w:val="20"/>
        </w:rPr>
        <w:t xml:space="preserve"> </w:t>
      </w:r>
      <w:r w:rsidRPr="00531B12">
        <w:rPr>
          <w:rFonts w:ascii="Abadi" w:hAnsi="Abadi"/>
          <w:b/>
          <w:bCs/>
          <w:sz w:val="20"/>
          <w:szCs w:val="20"/>
        </w:rPr>
        <w:t>SU</w:t>
      </w:r>
      <w:r w:rsidRPr="00531B12">
        <w:rPr>
          <w:rFonts w:ascii="Abadi" w:hAnsi="Abadi"/>
          <w:b/>
          <w:bCs/>
          <w:spacing w:val="80"/>
          <w:sz w:val="20"/>
          <w:szCs w:val="20"/>
        </w:rPr>
        <w:t xml:space="preserve"> </w:t>
      </w:r>
      <w:r w:rsidRPr="00531B12">
        <w:rPr>
          <w:rFonts w:ascii="Abadi" w:hAnsi="Abadi"/>
          <w:b/>
          <w:bCs/>
          <w:sz w:val="20"/>
          <w:szCs w:val="20"/>
        </w:rPr>
        <w:t>CASO,</w:t>
      </w:r>
      <w:r w:rsidRPr="00531B12">
        <w:rPr>
          <w:rFonts w:ascii="Abadi" w:hAnsi="Abadi"/>
          <w:b/>
          <w:bCs/>
          <w:spacing w:val="80"/>
          <w:sz w:val="20"/>
          <w:szCs w:val="20"/>
        </w:rPr>
        <w:t xml:space="preserve"> </w:t>
      </w:r>
      <w:r w:rsidRPr="00531B12">
        <w:rPr>
          <w:rFonts w:ascii="Abadi" w:hAnsi="Abadi"/>
          <w:b/>
          <w:bCs/>
          <w:sz w:val="20"/>
          <w:szCs w:val="20"/>
        </w:rPr>
        <w:t>APROBACIÓN</w:t>
      </w:r>
      <w:r w:rsidRPr="00531B12">
        <w:rPr>
          <w:rFonts w:ascii="Abadi" w:hAnsi="Abadi"/>
          <w:b/>
          <w:bCs/>
          <w:spacing w:val="80"/>
          <w:sz w:val="20"/>
          <w:szCs w:val="20"/>
        </w:rPr>
        <w:t xml:space="preserve"> </w:t>
      </w:r>
      <w:r w:rsidRPr="00531B12">
        <w:rPr>
          <w:rFonts w:ascii="Abadi" w:hAnsi="Abadi"/>
          <w:b/>
          <w:bCs/>
          <w:sz w:val="20"/>
          <w:szCs w:val="20"/>
        </w:rPr>
        <w:t>DEL</w:t>
      </w:r>
      <w:r w:rsidRPr="00531B12">
        <w:rPr>
          <w:rFonts w:ascii="Abadi" w:hAnsi="Abadi"/>
          <w:b/>
          <w:bCs/>
          <w:spacing w:val="80"/>
          <w:sz w:val="20"/>
          <w:szCs w:val="20"/>
        </w:rPr>
        <w:t xml:space="preserve"> </w:t>
      </w:r>
      <w:r w:rsidRPr="00531B12">
        <w:rPr>
          <w:rFonts w:ascii="Abadi" w:hAnsi="Abadi"/>
          <w:b/>
          <w:bCs/>
          <w:sz w:val="20"/>
          <w:szCs w:val="20"/>
        </w:rPr>
        <w:t>DICTAMEN</w:t>
      </w:r>
      <w:r w:rsidRPr="00531B12">
        <w:rPr>
          <w:rFonts w:ascii="Abadi" w:hAnsi="Abadi"/>
          <w:b/>
          <w:bCs/>
          <w:spacing w:val="80"/>
          <w:sz w:val="20"/>
          <w:szCs w:val="20"/>
        </w:rPr>
        <w:t xml:space="preserve"> </w:t>
      </w:r>
      <w:r w:rsidRPr="00531B12">
        <w:rPr>
          <w:rFonts w:ascii="Abadi" w:hAnsi="Abadi"/>
          <w:b/>
          <w:bCs/>
          <w:sz w:val="20"/>
          <w:szCs w:val="20"/>
        </w:rPr>
        <w:t>PRESENTADO</w:t>
      </w:r>
      <w:r w:rsidRPr="00531B12">
        <w:rPr>
          <w:rFonts w:ascii="Abadi" w:hAnsi="Abadi"/>
          <w:b/>
          <w:bCs/>
          <w:spacing w:val="80"/>
          <w:sz w:val="20"/>
          <w:szCs w:val="20"/>
        </w:rPr>
        <w:t xml:space="preserve"> </w:t>
      </w:r>
      <w:r w:rsidRPr="00531B12">
        <w:rPr>
          <w:rFonts w:ascii="Abadi" w:hAnsi="Abadi"/>
          <w:b/>
          <w:bCs/>
          <w:sz w:val="20"/>
          <w:szCs w:val="20"/>
        </w:rPr>
        <w:t>POR</w:t>
      </w:r>
      <w:r w:rsidRPr="00531B12">
        <w:rPr>
          <w:rFonts w:ascii="Abadi" w:hAnsi="Abadi"/>
          <w:b/>
          <w:bCs/>
          <w:spacing w:val="80"/>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COMISIÓN</w:t>
      </w:r>
      <w:r w:rsidRPr="00531B12">
        <w:rPr>
          <w:rFonts w:ascii="Abadi" w:hAnsi="Abadi"/>
          <w:b/>
          <w:bCs/>
          <w:spacing w:val="15"/>
          <w:sz w:val="20"/>
          <w:szCs w:val="20"/>
        </w:rPr>
        <w:t xml:space="preserve"> </w:t>
      </w:r>
      <w:r w:rsidRPr="00531B12">
        <w:rPr>
          <w:rFonts w:ascii="Abadi" w:hAnsi="Abadi"/>
          <w:b/>
          <w:bCs/>
          <w:sz w:val="20"/>
          <w:szCs w:val="20"/>
        </w:rPr>
        <w:t>DE</w:t>
      </w:r>
      <w:r w:rsidRPr="00531B12">
        <w:rPr>
          <w:rFonts w:ascii="Abadi" w:hAnsi="Abadi"/>
          <w:b/>
          <w:bCs/>
          <w:spacing w:val="14"/>
          <w:sz w:val="20"/>
          <w:szCs w:val="20"/>
        </w:rPr>
        <w:t xml:space="preserve"> </w:t>
      </w:r>
      <w:r w:rsidRPr="00531B12">
        <w:rPr>
          <w:rFonts w:ascii="Abadi" w:hAnsi="Abadi"/>
          <w:b/>
          <w:bCs/>
          <w:sz w:val="20"/>
          <w:szCs w:val="20"/>
        </w:rPr>
        <w:t>GOBERNACIÓN</w:t>
      </w:r>
      <w:r w:rsidRPr="00531B12">
        <w:rPr>
          <w:rFonts w:ascii="Abadi" w:hAnsi="Abadi"/>
          <w:b/>
          <w:bCs/>
          <w:spacing w:val="14"/>
          <w:sz w:val="20"/>
          <w:szCs w:val="20"/>
        </w:rPr>
        <w:t xml:space="preserve"> </w:t>
      </w:r>
      <w:r w:rsidRPr="00531B12">
        <w:rPr>
          <w:rFonts w:ascii="Abadi" w:hAnsi="Abadi"/>
          <w:b/>
          <w:bCs/>
          <w:sz w:val="20"/>
          <w:szCs w:val="20"/>
        </w:rPr>
        <w:t>Y</w:t>
      </w:r>
      <w:r w:rsidRPr="00531B12">
        <w:rPr>
          <w:rFonts w:ascii="Abadi" w:hAnsi="Abadi"/>
          <w:b/>
          <w:bCs/>
          <w:spacing w:val="14"/>
          <w:sz w:val="20"/>
          <w:szCs w:val="20"/>
        </w:rPr>
        <w:t xml:space="preserve"> </w:t>
      </w:r>
      <w:r w:rsidRPr="00531B12">
        <w:rPr>
          <w:rFonts w:ascii="Abadi" w:hAnsi="Abadi"/>
          <w:b/>
          <w:bCs/>
          <w:sz w:val="20"/>
          <w:szCs w:val="20"/>
        </w:rPr>
        <w:t>PUNTOS</w:t>
      </w:r>
      <w:r w:rsidRPr="00531B12">
        <w:rPr>
          <w:rFonts w:ascii="Abadi" w:hAnsi="Abadi"/>
          <w:b/>
          <w:bCs/>
          <w:spacing w:val="14"/>
          <w:sz w:val="20"/>
          <w:szCs w:val="20"/>
        </w:rPr>
        <w:t xml:space="preserve"> </w:t>
      </w:r>
      <w:r w:rsidRPr="00531B12">
        <w:rPr>
          <w:rFonts w:ascii="Abadi" w:hAnsi="Abadi"/>
          <w:b/>
          <w:bCs/>
          <w:sz w:val="20"/>
          <w:szCs w:val="20"/>
        </w:rPr>
        <w:t>CONSTITUCIONALES</w:t>
      </w:r>
      <w:r w:rsidRPr="00531B12">
        <w:rPr>
          <w:rFonts w:ascii="Abadi" w:hAnsi="Abadi"/>
          <w:b/>
          <w:bCs/>
          <w:spacing w:val="13"/>
          <w:sz w:val="20"/>
          <w:szCs w:val="20"/>
        </w:rPr>
        <w:t xml:space="preserve"> </w:t>
      </w:r>
      <w:r w:rsidRPr="00531B12">
        <w:rPr>
          <w:rFonts w:ascii="Abadi" w:hAnsi="Abadi"/>
          <w:b/>
          <w:bCs/>
          <w:sz w:val="20"/>
          <w:szCs w:val="20"/>
        </w:rPr>
        <w:t>RELATIVO</w:t>
      </w:r>
      <w:r w:rsidRPr="00531B12">
        <w:rPr>
          <w:rFonts w:ascii="Abadi" w:hAnsi="Abadi"/>
          <w:b/>
          <w:bCs/>
          <w:spacing w:val="14"/>
          <w:sz w:val="20"/>
          <w:szCs w:val="20"/>
        </w:rPr>
        <w:t xml:space="preserve"> </w:t>
      </w:r>
      <w:r w:rsidRPr="00531B12">
        <w:rPr>
          <w:rFonts w:ascii="Abadi" w:hAnsi="Abadi"/>
          <w:b/>
          <w:bCs/>
          <w:sz w:val="20"/>
          <w:szCs w:val="20"/>
        </w:rPr>
        <w:t>A</w:t>
      </w:r>
      <w:r w:rsidRPr="00531B12">
        <w:rPr>
          <w:rFonts w:ascii="Abadi" w:hAnsi="Abadi"/>
          <w:b/>
          <w:bCs/>
          <w:spacing w:val="14"/>
          <w:sz w:val="20"/>
          <w:szCs w:val="20"/>
        </w:rPr>
        <w:t xml:space="preserve"> </w:t>
      </w:r>
      <w:r w:rsidRPr="00531B12">
        <w:rPr>
          <w:rFonts w:ascii="Abadi" w:hAnsi="Abadi"/>
          <w:b/>
          <w:bCs/>
          <w:sz w:val="20"/>
          <w:szCs w:val="20"/>
        </w:rPr>
        <w:t>LA</w:t>
      </w:r>
      <w:r w:rsidRPr="00531B12">
        <w:rPr>
          <w:rFonts w:ascii="Abadi" w:hAnsi="Abadi"/>
          <w:b/>
          <w:bCs/>
          <w:spacing w:val="14"/>
          <w:sz w:val="20"/>
          <w:szCs w:val="20"/>
        </w:rPr>
        <w:t xml:space="preserve"> </w:t>
      </w:r>
      <w:r w:rsidRPr="00531B12">
        <w:rPr>
          <w:rFonts w:ascii="Abadi" w:hAnsi="Abadi"/>
          <w:b/>
          <w:bCs/>
          <w:sz w:val="20"/>
          <w:szCs w:val="20"/>
        </w:rPr>
        <w:t>INICIATIVA</w:t>
      </w:r>
      <w:r w:rsidRPr="00531B12">
        <w:rPr>
          <w:rFonts w:ascii="Abadi" w:hAnsi="Abadi"/>
          <w:b/>
          <w:bCs/>
          <w:spacing w:val="-1"/>
          <w:sz w:val="20"/>
          <w:szCs w:val="20"/>
        </w:rPr>
        <w:t xml:space="preserve"> </w:t>
      </w:r>
      <w:r w:rsidRPr="00531B12">
        <w:rPr>
          <w:rFonts w:ascii="Abadi" w:hAnsi="Abadi"/>
          <w:b/>
          <w:bCs/>
          <w:sz w:val="20"/>
          <w:szCs w:val="20"/>
        </w:rPr>
        <w:t>SUSCRITA</w:t>
      </w:r>
      <w:r w:rsidRPr="00531B12">
        <w:rPr>
          <w:rFonts w:ascii="Abadi" w:hAnsi="Abadi"/>
          <w:b/>
          <w:bCs/>
          <w:spacing w:val="22"/>
          <w:sz w:val="20"/>
          <w:szCs w:val="20"/>
        </w:rPr>
        <w:t xml:space="preserve"> </w:t>
      </w:r>
      <w:r w:rsidRPr="00531B12">
        <w:rPr>
          <w:rFonts w:ascii="Abadi" w:hAnsi="Abadi"/>
          <w:b/>
          <w:bCs/>
          <w:sz w:val="20"/>
          <w:szCs w:val="20"/>
        </w:rPr>
        <w:t>POR</w:t>
      </w:r>
      <w:r w:rsidRPr="00531B12">
        <w:rPr>
          <w:rFonts w:ascii="Abadi" w:hAnsi="Abadi"/>
          <w:b/>
          <w:bCs/>
          <w:spacing w:val="22"/>
          <w:sz w:val="20"/>
          <w:szCs w:val="20"/>
        </w:rPr>
        <w:t xml:space="preserve"> </w:t>
      </w:r>
      <w:r w:rsidRPr="00531B12">
        <w:rPr>
          <w:rFonts w:ascii="Abadi" w:hAnsi="Abadi"/>
          <w:b/>
          <w:bCs/>
          <w:sz w:val="20"/>
          <w:szCs w:val="20"/>
        </w:rPr>
        <w:t>LA</w:t>
      </w:r>
      <w:r w:rsidRPr="00531B12">
        <w:rPr>
          <w:rFonts w:ascii="Abadi" w:hAnsi="Abadi"/>
          <w:b/>
          <w:bCs/>
          <w:spacing w:val="22"/>
          <w:sz w:val="20"/>
          <w:szCs w:val="20"/>
        </w:rPr>
        <w:t xml:space="preserve"> </w:t>
      </w:r>
      <w:r w:rsidRPr="00531B12">
        <w:rPr>
          <w:rFonts w:ascii="Abadi" w:hAnsi="Abadi"/>
          <w:b/>
          <w:bCs/>
          <w:sz w:val="20"/>
          <w:szCs w:val="20"/>
        </w:rPr>
        <w:t>DIPUTADA</w:t>
      </w:r>
      <w:r w:rsidRPr="00531B12">
        <w:rPr>
          <w:rFonts w:ascii="Abadi" w:hAnsi="Abadi"/>
          <w:b/>
          <w:bCs/>
          <w:spacing w:val="22"/>
          <w:sz w:val="20"/>
          <w:szCs w:val="20"/>
        </w:rPr>
        <w:t xml:space="preserve"> </w:t>
      </w:r>
      <w:r w:rsidRPr="00531B12">
        <w:rPr>
          <w:rFonts w:ascii="Abadi" w:hAnsi="Abadi"/>
          <w:b/>
          <w:bCs/>
          <w:sz w:val="20"/>
          <w:szCs w:val="20"/>
        </w:rPr>
        <w:t>ALMA</w:t>
      </w:r>
      <w:r w:rsidRPr="00531B12">
        <w:rPr>
          <w:rFonts w:ascii="Abadi" w:hAnsi="Abadi"/>
          <w:b/>
          <w:bCs/>
          <w:spacing w:val="22"/>
          <w:sz w:val="20"/>
          <w:szCs w:val="20"/>
        </w:rPr>
        <w:t xml:space="preserve"> </w:t>
      </w:r>
      <w:r w:rsidRPr="00531B12">
        <w:rPr>
          <w:rFonts w:ascii="Abadi" w:hAnsi="Abadi"/>
          <w:b/>
          <w:bCs/>
          <w:sz w:val="20"/>
          <w:szCs w:val="20"/>
        </w:rPr>
        <w:t>EDWVIGES</w:t>
      </w:r>
      <w:r w:rsidRPr="00531B12">
        <w:rPr>
          <w:rFonts w:ascii="Abadi" w:hAnsi="Abadi"/>
          <w:b/>
          <w:bCs/>
          <w:spacing w:val="22"/>
          <w:sz w:val="20"/>
          <w:szCs w:val="20"/>
        </w:rPr>
        <w:t xml:space="preserve"> </w:t>
      </w:r>
      <w:r w:rsidRPr="00531B12">
        <w:rPr>
          <w:rFonts w:ascii="Abadi" w:hAnsi="Abadi"/>
          <w:b/>
          <w:bCs/>
          <w:sz w:val="20"/>
          <w:szCs w:val="20"/>
        </w:rPr>
        <w:t>ALCARAZ</w:t>
      </w:r>
      <w:r w:rsidRPr="00531B12">
        <w:rPr>
          <w:rFonts w:ascii="Abadi" w:hAnsi="Abadi"/>
          <w:b/>
          <w:bCs/>
          <w:spacing w:val="22"/>
          <w:sz w:val="20"/>
          <w:szCs w:val="20"/>
        </w:rPr>
        <w:t xml:space="preserve"> </w:t>
      </w:r>
      <w:r w:rsidRPr="00531B12">
        <w:rPr>
          <w:rFonts w:ascii="Abadi" w:hAnsi="Abadi"/>
          <w:b/>
          <w:bCs/>
          <w:sz w:val="20"/>
          <w:szCs w:val="20"/>
        </w:rPr>
        <w:t>HERNÁNDEZ</w:t>
      </w:r>
      <w:r w:rsidRPr="00531B12">
        <w:rPr>
          <w:rFonts w:ascii="Abadi" w:hAnsi="Abadi"/>
          <w:b/>
          <w:bCs/>
          <w:spacing w:val="22"/>
          <w:sz w:val="20"/>
          <w:szCs w:val="20"/>
        </w:rPr>
        <w:t xml:space="preserve"> </w:t>
      </w:r>
      <w:r w:rsidRPr="00531B12">
        <w:rPr>
          <w:rFonts w:ascii="Abadi" w:hAnsi="Abadi"/>
          <w:b/>
          <w:bCs/>
          <w:sz w:val="20"/>
          <w:szCs w:val="20"/>
        </w:rPr>
        <w:t>INTEGRANTE</w:t>
      </w:r>
      <w:r w:rsidRPr="00531B12">
        <w:rPr>
          <w:rFonts w:ascii="Abadi" w:hAnsi="Abadi"/>
          <w:b/>
          <w:bCs/>
          <w:spacing w:val="22"/>
          <w:sz w:val="20"/>
          <w:szCs w:val="20"/>
        </w:rPr>
        <w:t xml:space="preserve"> </w:t>
      </w:r>
      <w:r w:rsidRPr="00531B12">
        <w:rPr>
          <w:rFonts w:ascii="Abadi" w:hAnsi="Abadi"/>
          <w:b/>
          <w:bCs/>
          <w:sz w:val="20"/>
          <w:szCs w:val="20"/>
        </w:rPr>
        <w:t>DEL</w:t>
      </w:r>
      <w:r w:rsidRPr="00531B12">
        <w:rPr>
          <w:rFonts w:ascii="Abadi" w:hAnsi="Abadi"/>
          <w:b/>
          <w:bCs/>
          <w:spacing w:val="-1"/>
          <w:sz w:val="20"/>
          <w:szCs w:val="20"/>
        </w:rPr>
        <w:t xml:space="preserve"> </w:t>
      </w:r>
      <w:r w:rsidRPr="00531B12">
        <w:rPr>
          <w:rFonts w:ascii="Abadi" w:hAnsi="Abadi"/>
          <w:b/>
          <w:bCs/>
          <w:sz w:val="20"/>
          <w:szCs w:val="20"/>
        </w:rPr>
        <w:t>GRUPO</w:t>
      </w:r>
      <w:r w:rsidRPr="00531B12">
        <w:rPr>
          <w:rFonts w:ascii="Abadi" w:hAnsi="Abadi"/>
          <w:b/>
          <w:bCs/>
          <w:spacing w:val="4"/>
          <w:sz w:val="20"/>
          <w:szCs w:val="20"/>
        </w:rPr>
        <w:t xml:space="preserve"> </w:t>
      </w:r>
      <w:r w:rsidRPr="00531B12">
        <w:rPr>
          <w:rFonts w:ascii="Abadi" w:hAnsi="Abadi"/>
          <w:b/>
          <w:bCs/>
          <w:sz w:val="20"/>
          <w:szCs w:val="20"/>
        </w:rPr>
        <w:t>PARLAMENTARIO</w:t>
      </w:r>
      <w:r w:rsidRPr="00531B12">
        <w:rPr>
          <w:rFonts w:ascii="Abadi" w:hAnsi="Abadi"/>
          <w:b/>
          <w:bCs/>
          <w:spacing w:val="4"/>
          <w:sz w:val="20"/>
          <w:szCs w:val="20"/>
        </w:rPr>
        <w:t xml:space="preserve"> </w:t>
      </w:r>
      <w:r w:rsidRPr="00531B12">
        <w:rPr>
          <w:rFonts w:ascii="Abadi" w:hAnsi="Abadi"/>
          <w:b/>
          <w:bCs/>
          <w:sz w:val="20"/>
          <w:szCs w:val="20"/>
        </w:rPr>
        <w:t>DEL</w:t>
      </w:r>
      <w:r w:rsidRPr="00531B12">
        <w:rPr>
          <w:rFonts w:ascii="Abadi" w:hAnsi="Abadi"/>
          <w:b/>
          <w:bCs/>
          <w:spacing w:val="4"/>
          <w:sz w:val="20"/>
          <w:szCs w:val="20"/>
        </w:rPr>
        <w:t xml:space="preserve"> </w:t>
      </w:r>
      <w:r w:rsidRPr="00531B12">
        <w:rPr>
          <w:rFonts w:ascii="Abadi" w:hAnsi="Abadi"/>
          <w:b/>
          <w:bCs/>
          <w:sz w:val="20"/>
          <w:szCs w:val="20"/>
        </w:rPr>
        <w:t>PARTIDO</w:t>
      </w:r>
      <w:r w:rsidRPr="00531B12">
        <w:rPr>
          <w:rFonts w:ascii="Abadi" w:hAnsi="Abadi"/>
          <w:b/>
          <w:bCs/>
          <w:spacing w:val="4"/>
          <w:sz w:val="20"/>
          <w:szCs w:val="20"/>
        </w:rPr>
        <w:t xml:space="preserve"> </w:t>
      </w:r>
      <w:r w:rsidRPr="00531B12">
        <w:rPr>
          <w:rFonts w:ascii="Abadi" w:hAnsi="Abadi"/>
          <w:b/>
          <w:bCs/>
          <w:sz w:val="20"/>
          <w:szCs w:val="20"/>
        </w:rPr>
        <w:t>MORENA,</w:t>
      </w:r>
      <w:r w:rsidRPr="00531B12">
        <w:rPr>
          <w:rFonts w:ascii="Abadi" w:hAnsi="Abadi"/>
          <w:b/>
          <w:bCs/>
          <w:spacing w:val="4"/>
          <w:sz w:val="20"/>
          <w:szCs w:val="20"/>
        </w:rPr>
        <w:t xml:space="preserve"> </w:t>
      </w:r>
      <w:r w:rsidRPr="00531B12">
        <w:rPr>
          <w:rFonts w:ascii="Abadi" w:hAnsi="Abadi"/>
          <w:b/>
          <w:bCs/>
          <w:sz w:val="20"/>
          <w:szCs w:val="20"/>
        </w:rPr>
        <w:t>A</w:t>
      </w:r>
      <w:r w:rsidRPr="00531B12">
        <w:rPr>
          <w:rFonts w:ascii="Abadi" w:hAnsi="Abadi"/>
          <w:b/>
          <w:bCs/>
          <w:spacing w:val="4"/>
          <w:sz w:val="20"/>
          <w:szCs w:val="20"/>
        </w:rPr>
        <w:t xml:space="preserve"> </w:t>
      </w:r>
      <w:r w:rsidRPr="00531B12">
        <w:rPr>
          <w:rFonts w:ascii="Abadi" w:hAnsi="Abadi"/>
          <w:b/>
          <w:bCs/>
          <w:sz w:val="20"/>
          <w:szCs w:val="20"/>
        </w:rPr>
        <w:t>EFECTO</w:t>
      </w:r>
      <w:r w:rsidRPr="00531B12">
        <w:rPr>
          <w:rFonts w:ascii="Abadi" w:hAnsi="Abadi"/>
          <w:b/>
          <w:bCs/>
          <w:spacing w:val="4"/>
          <w:sz w:val="20"/>
          <w:szCs w:val="20"/>
        </w:rPr>
        <w:t xml:space="preserve"> </w:t>
      </w:r>
      <w:r w:rsidRPr="00531B12">
        <w:rPr>
          <w:rFonts w:ascii="Abadi" w:hAnsi="Abadi"/>
          <w:b/>
          <w:bCs/>
          <w:sz w:val="20"/>
          <w:szCs w:val="20"/>
        </w:rPr>
        <w:t>DE</w:t>
      </w:r>
      <w:r w:rsidRPr="00531B12">
        <w:rPr>
          <w:rFonts w:ascii="Abadi" w:hAnsi="Abadi"/>
          <w:b/>
          <w:bCs/>
          <w:spacing w:val="4"/>
          <w:sz w:val="20"/>
          <w:szCs w:val="20"/>
        </w:rPr>
        <w:t xml:space="preserve"> </w:t>
      </w:r>
      <w:r w:rsidRPr="00531B12">
        <w:rPr>
          <w:rFonts w:ascii="Abadi" w:hAnsi="Abadi"/>
          <w:b/>
          <w:bCs/>
          <w:sz w:val="20"/>
          <w:szCs w:val="20"/>
        </w:rPr>
        <w:t>REFORMAR</w:t>
      </w:r>
      <w:r w:rsidRPr="00531B12">
        <w:rPr>
          <w:rFonts w:ascii="Abadi" w:hAnsi="Abadi"/>
          <w:b/>
          <w:bCs/>
          <w:spacing w:val="4"/>
          <w:sz w:val="20"/>
          <w:szCs w:val="20"/>
        </w:rPr>
        <w:t xml:space="preserve"> </w:t>
      </w:r>
      <w:r w:rsidRPr="00531B12">
        <w:rPr>
          <w:rFonts w:ascii="Abadi" w:hAnsi="Abadi"/>
          <w:b/>
          <w:bCs/>
          <w:sz w:val="20"/>
          <w:szCs w:val="20"/>
        </w:rPr>
        <w:t>EL</w:t>
      </w:r>
      <w:r w:rsidRPr="00531B12">
        <w:rPr>
          <w:rFonts w:ascii="Abadi" w:hAnsi="Abadi"/>
          <w:b/>
          <w:bCs/>
          <w:spacing w:val="4"/>
          <w:sz w:val="20"/>
          <w:szCs w:val="20"/>
        </w:rPr>
        <w:t xml:space="preserve"> </w:t>
      </w:r>
      <w:r w:rsidRPr="00531B12">
        <w:rPr>
          <w:rFonts w:ascii="Abadi" w:hAnsi="Abadi"/>
          <w:b/>
          <w:bCs/>
          <w:sz w:val="20"/>
          <w:szCs w:val="20"/>
        </w:rPr>
        <w:t>ARTÍCULO</w:t>
      </w:r>
      <w:r w:rsidRPr="00531B12">
        <w:rPr>
          <w:rFonts w:ascii="Abadi" w:hAnsi="Abadi"/>
          <w:b/>
          <w:bCs/>
          <w:spacing w:val="-1"/>
          <w:sz w:val="20"/>
          <w:szCs w:val="20"/>
        </w:rPr>
        <w:t xml:space="preserve"> </w:t>
      </w:r>
      <w:r w:rsidRPr="00531B12">
        <w:rPr>
          <w:rFonts w:ascii="Abadi" w:hAnsi="Abadi"/>
          <w:b/>
          <w:bCs/>
          <w:sz w:val="20"/>
          <w:szCs w:val="20"/>
        </w:rPr>
        <w:t>95</w:t>
      </w:r>
      <w:r w:rsidRPr="00531B12">
        <w:rPr>
          <w:rFonts w:ascii="Abadi" w:hAnsi="Abadi"/>
          <w:b/>
          <w:bCs/>
          <w:spacing w:val="53"/>
          <w:sz w:val="20"/>
          <w:szCs w:val="20"/>
        </w:rPr>
        <w:t xml:space="preserve"> </w:t>
      </w:r>
      <w:r w:rsidRPr="00531B12">
        <w:rPr>
          <w:rFonts w:ascii="Abadi" w:hAnsi="Abadi"/>
          <w:b/>
          <w:bCs/>
          <w:sz w:val="20"/>
          <w:szCs w:val="20"/>
        </w:rPr>
        <w:t>DE</w:t>
      </w:r>
      <w:r w:rsidRPr="00531B12">
        <w:rPr>
          <w:rFonts w:ascii="Abadi" w:hAnsi="Abadi"/>
          <w:b/>
          <w:bCs/>
          <w:spacing w:val="53"/>
          <w:sz w:val="20"/>
          <w:szCs w:val="20"/>
        </w:rPr>
        <w:t xml:space="preserve"> </w:t>
      </w:r>
      <w:r w:rsidRPr="00531B12">
        <w:rPr>
          <w:rFonts w:ascii="Abadi" w:hAnsi="Abadi"/>
          <w:b/>
          <w:bCs/>
          <w:sz w:val="20"/>
          <w:szCs w:val="20"/>
        </w:rPr>
        <w:t>LA</w:t>
      </w:r>
      <w:r w:rsidRPr="00531B12">
        <w:rPr>
          <w:rFonts w:ascii="Abadi" w:hAnsi="Abadi"/>
          <w:b/>
          <w:bCs/>
          <w:spacing w:val="53"/>
          <w:sz w:val="20"/>
          <w:szCs w:val="20"/>
        </w:rPr>
        <w:t xml:space="preserve"> </w:t>
      </w:r>
      <w:r w:rsidRPr="00531B12">
        <w:rPr>
          <w:rFonts w:ascii="Abadi" w:hAnsi="Abadi"/>
          <w:b/>
          <w:bCs/>
          <w:sz w:val="20"/>
          <w:szCs w:val="20"/>
        </w:rPr>
        <w:t>CONSTITUCIÓN</w:t>
      </w:r>
      <w:r w:rsidRPr="00531B12">
        <w:rPr>
          <w:rFonts w:ascii="Abadi" w:hAnsi="Abadi"/>
          <w:b/>
          <w:bCs/>
          <w:spacing w:val="53"/>
          <w:sz w:val="20"/>
          <w:szCs w:val="20"/>
        </w:rPr>
        <w:t xml:space="preserve"> </w:t>
      </w:r>
      <w:r w:rsidRPr="00531B12">
        <w:rPr>
          <w:rFonts w:ascii="Abadi" w:hAnsi="Abadi"/>
          <w:b/>
          <w:bCs/>
          <w:sz w:val="20"/>
          <w:szCs w:val="20"/>
        </w:rPr>
        <w:t>POLÍTICA</w:t>
      </w:r>
      <w:r w:rsidRPr="00531B12">
        <w:rPr>
          <w:rFonts w:ascii="Abadi" w:hAnsi="Abadi"/>
          <w:b/>
          <w:bCs/>
          <w:spacing w:val="53"/>
          <w:sz w:val="20"/>
          <w:szCs w:val="20"/>
        </w:rPr>
        <w:t xml:space="preserve"> </w:t>
      </w:r>
      <w:r w:rsidRPr="00531B12">
        <w:rPr>
          <w:rFonts w:ascii="Abadi" w:hAnsi="Abadi"/>
          <w:b/>
          <w:bCs/>
          <w:sz w:val="20"/>
          <w:szCs w:val="20"/>
        </w:rPr>
        <w:t>PARA</w:t>
      </w:r>
      <w:r w:rsidRPr="00531B12">
        <w:rPr>
          <w:rFonts w:ascii="Abadi" w:hAnsi="Abadi"/>
          <w:b/>
          <w:bCs/>
          <w:spacing w:val="53"/>
          <w:sz w:val="20"/>
          <w:szCs w:val="20"/>
        </w:rPr>
        <w:t xml:space="preserve"> </w:t>
      </w:r>
      <w:r w:rsidRPr="00531B12">
        <w:rPr>
          <w:rFonts w:ascii="Abadi" w:hAnsi="Abadi"/>
          <w:b/>
          <w:bCs/>
          <w:sz w:val="20"/>
          <w:szCs w:val="20"/>
        </w:rPr>
        <w:t>EL</w:t>
      </w:r>
      <w:r w:rsidRPr="00531B12">
        <w:rPr>
          <w:rFonts w:ascii="Abadi" w:hAnsi="Abadi"/>
          <w:b/>
          <w:bCs/>
          <w:spacing w:val="53"/>
          <w:sz w:val="20"/>
          <w:szCs w:val="20"/>
        </w:rPr>
        <w:t xml:space="preserve"> </w:t>
      </w:r>
      <w:r w:rsidRPr="00531B12">
        <w:rPr>
          <w:rFonts w:ascii="Abadi" w:hAnsi="Abadi"/>
          <w:b/>
          <w:bCs/>
          <w:sz w:val="20"/>
          <w:szCs w:val="20"/>
        </w:rPr>
        <w:t>ESTADO</w:t>
      </w:r>
      <w:r w:rsidRPr="00531B12">
        <w:rPr>
          <w:rFonts w:ascii="Abadi" w:hAnsi="Abadi"/>
          <w:b/>
          <w:bCs/>
          <w:spacing w:val="53"/>
          <w:sz w:val="20"/>
          <w:szCs w:val="20"/>
        </w:rPr>
        <w:t xml:space="preserve"> </w:t>
      </w:r>
      <w:r w:rsidRPr="00531B12">
        <w:rPr>
          <w:rFonts w:ascii="Abadi" w:hAnsi="Abadi"/>
          <w:b/>
          <w:bCs/>
          <w:sz w:val="20"/>
          <w:szCs w:val="20"/>
        </w:rPr>
        <w:t>DE</w:t>
      </w:r>
      <w:r w:rsidRPr="00531B12">
        <w:rPr>
          <w:rFonts w:ascii="Abadi" w:hAnsi="Abadi"/>
          <w:b/>
          <w:bCs/>
          <w:spacing w:val="53"/>
          <w:sz w:val="20"/>
          <w:szCs w:val="20"/>
        </w:rPr>
        <w:t xml:space="preserve"> </w:t>
      </w:r>
      <w:r w:rsidRPr="00531B12">
        <w:rPr>
          <w:rFonts w:ascii="Abadi" w:hAnsi="Abadi"/>
          <w:b/>
          <w:bCs/>
          <w:sz w:val="20"/>
          <w:szCs w:val="20"/>
        </w:rPr>
        <w:t>GUANAJUATO;</w:t>
      </w:r>
      <w:r w:rsidRPr="00531B12">
        <w:rPr>
          <w:rFonts w:ascii="Abadi" w:hAnsi="Abadi"/>
          <w:b/>
          <w:bCs/>
          <w:spacing w:val="53"/>
          <w:sz w:val="20"/>
          <w:szCs w:val="20"/>
        </w:rPr>
        <w:t xml:space="preserve"> </w:t>
      </w:r>
      <w:r w:rsidRPr="00531B12">
        <w:rPr>
          <w:rFonts w:ascii="Abadi" w:hAnsi="Abadi"/>
          <w:b/>
          <w:bCs/>
          <w:sz w:val="20"/>
          <w:szCs w:val="20"/>
        </w:rPr>
        <w:t>ASÍ</w:t>
      </w:r>
      <w:r w:rsidRPr="00531B12">
        <w:rPr>
          <w:rFonts w:ascii="Abadi" w:hAnsi="Abadi"/>
          <w:b/>
          <w:bCs/>
          <w:spacing w:val="53"/>
          <w:sz w:val="20"/>
          <w:szCs w:val="20"/>
        </w:rPr>
        <w:t xml:space="preserve"> </w:t>
      </w:r>
      <w:r w:rsidRPr="00531B12">
        <w:rPr>
          <w:rFonts w:ascii="Abadi" w:hAnsi="Abadi"/>
          <w:b/>
          <w:bCs/>
          <w:sz w:val="20"/>
          <w:szCs w:val="20"/>
        </w:rPr>
        <w:t>COMO</w:t>
      </w:r>
      <w:r w:rsidRPr="00531B12">
        <w:rPr>
          <w:rFonts w:ascii="Abadi" w:hAnsi="Abadi"/>
          <w:b/>
          <w:bCs/>
          <w:spacing w:val="-1"/>
          <w:sz w:val="20"/>
          <w:szCs w:val="20"/>
        </w:rPr>
        <w:t xml:space="preserve"> </w:t>
      </w:r>
      <w:r w:rsidRPr="00531B12">
        <w:rPr>
          <w:rFonts w:ascii="Abadi" w:hAnsi="Abadi"/>
          <w:b/>
          <w:bCs/>
          <w:sz w:val="20"/>
          <w:szCs w:val="20"/>
        </w:rPr>
        <w:t>REFORMAR</w:t>
      </w:r>
      <w:r w:rsidRPr="00531B12">
        <w:rPr>
          <w:rFonts w:ascii="Abadi" w:hAnsi="Abadi"/>
          <w:b/>
          <w:bCs/>
          <w:spacing w:val="39"/>
          <w:sz w:val="20"/>
          <w:szCs w:val="20"/>
        </w:rPr>
        <w:t xml:space="preserve"> </w:t>
      </w:r>
      <w:r w:rsidRPr="00531B12">
        <w:rPr>
          <w:rFonts w:ascii="Abadi" w:hAnsi="Abadi"/>
          <w:b/>
          <w:bCs/>
          <w:sz w:val="20"/>
          <w:szCs w:val="20"/>
        </w:rPr>
        <w:t>Y</w:t>
      </w:r>
      <w:r w:rsidRPr="00531B12">
        <w:rPr>
          <w:rFonts w:ascii="Abadi" w:hAnsi="Abadi"/>
          <w:b/>
          <w:bCs/>
          <w:spacing w:val="39"/>
          <w:sz w:val="20"/>
          <w:szCs w:val="20"/>
        </w:rPr>
        <w:t xml:space="preserve"> </w:t>
      </w:r>
      <w:r w:rsidRPr="00531B12">
        <w:rPr>
          <w:rFonts w:ascii="Abadi" w:hAnsi="Abadi"/>
          <w:b/>
          <w:bCs/>
          <w:sz w:val="20"/>
          <w:szCs w:val="20"/>
        </w:rPr>
        <w:t>ADICIONAR</w:t>
      </w:r>
      <w:r w:rsidRPr="00531B12">
        <w:rPr>
          <w:rFonts w:ascii="Abadi" w:hAnsi="Abadi"/>
          <w:b/>
          <w:bCs/>
          <w:spacing w:val="39"/>
          <w:sz w:val="20"/>
          <w:szCs w:val="20"/>
        </w:rPr>
        <w:t xml:space="preserve"> </w:t>
      </w:r>
      <w:r w:rsidRPr="00531B12">
        <w:rPr>
          <w:rFonts w:ascii="Abadi" w:hAnsi="Abadi"/>
          <w:b/>
          <w:bCs/>
          <w:sz w:val="20"/>
          <w:szCs w:val="20"/>
        </w:rPr>
        <w:t>DIVERSAS</w:t>
      </w:r>
      <w:r w:rsidRPr="00531B12">
        <w:rPr>
          <w:rFonts w:ascii="Abadi" w:hAnsi="Abadi"/>
          <w:b/>
          <w:bCs/>
          <w:spacing w:val="39"/>
          <w:sz w:val="20"/>
          <w:szCs w:val="20"/>
        </w:rPr>
        <w:t xml:space="preserve"> </w:t>
      </w:r>
      <w:r w:rsidRPr="00531B12">
        <w:rPr>
          <w:rFonts w:ascii="Abadi" w:hAnsi="Abadi"/>
          <w:b/>
          <w:bCs/>
          <w:sz w:val="20"/>
          <w:szCs w:val="20"/>
        </w:rPr>
        <w:t>DISPOSICIONES</w:t>
      </w:r>
      <w:r w:rsidRPr="00531B12">
        <w:rPr>
          <w:rFonts w:ascii="Abadi" w:hAnsi="Abadi"/>
          <w:b/>
          <w:bCs/>
          <w:spacing w:val="39"/>
          <w:sz w:val="20"/>
          <w:szCs w:val="20"/>
        </w:rPr>
        <w:t xml:space="preserve"> </w:t>
      </w:r>
      <w:r w:rsidRPr="00531B12">
        <w:rPr>
          <w:rFonts w:ascii="Abadi" w:hAnsi="Abadi"/>
          <w:b/>
          <w:bCs/>
          <w:sz w:val="20"/>
          <w:szCs w:val="20"/>
        </w:rPr>
        <w:t>A</w:t>
      </w:r>
      <w:r w:rsidRPr="00531B12">
        <w:rPr>
          <w:rFonts w:ascii="Abadi" w:hAnsi="Abadi"/>
          <w:b/>
          <w:bCs/>
          <w:spacing w:val="39"/>
          <w:sz w:val="20"/>
          <w:szCs w:val="20"/>
        </w:rPr>
        <w:t xml:space="preserve"> </w:t>
      </w:r>
      <w:r w:rsidRPr="00531B12">
        <w:rPr>
          <w:rFonts w:ascii="Abadi" w:hAnsi="Abadi"/>
          <w:b/>
          <w:bCs/>
          <w:sz w:val="20"/>
          <w:szCs w:val="20"/>
        </w:rPr>
        <w:t>LA</w:t>
      </w:r>
      <w:r w:rsidRPr="00531B12">
        <w:rPr>
          <w:rFonts w:ascii="Abadi" w:hAnsi="Abadi"/>
          <w:b/>
          <w:bCs/>
          <w:spacing w:val="39"/>
          <w:sz w:val="20"/>
          <w:szCs w:val="20"/>
        </w:rPr>
        <w:t xml:space="preserve"> </w:t>
      </w:r>
      <w:r w:rsidRPr="00531B12">
        <w:rPr>
          <w:rFonts w:ascii="Abadi" w:hAnsi="Abadi"/>
          <w:b/>
          <w:bCs/>
          <w:sz w:val="20"/>
          <w:szCs w:val="20"/>
        </w:rPr>
        <w:t>LEY</w:t>
      </w:r>
      <w:r w:rsidRPr="00531B12">
        <w:rPr>
          <w:rFonts w:ascii="Abadi" w:hAnsi="Abadi"/>
          <w:b/>
          <w:bCs/>
          <w:spacing w:val="39"/>
          <w:sz w:val="20"/>
          <w:szCs w:val="20"/>
        </w:rPr>
        <w:t xml:space="preserve"> </w:t>
      </w:r>
      <w:r w:rsidRPr="00531B12">
        <w:rPr>
          <w:rFonts w:ascii="Abadi" w:hAnsi="Abadi"/>
          <w:b/>
          <w:bCs/>
          <w:sz w:val="20"/>
          <w:szCs w:val="20"/>
        </w:rPr>
        <w:t>ORGÁNICA</w:t>
      </w:r>
      <w:r w:rsidRPr="00531B12">
        <w:rPr>
          <w:rFonts w:ascii="Abadi" w:hAnsi="Abadi"/>
          <w:b/>
          <w:bCs/>
          <w:spacing w:val="39"/>
          <w:sz w:val="20"/>
          <w:szCs w:val="20"/>
        </w:rPr>
        <w:t xml:space="preserve"> </w:t>
      </w:r>
      <w:r w:rsidRPr="00531B12">
        <w:rPr>
          <w:rFonts w:ascii="Abadi" w:hAnsi="Abadi"/>
          <w:b/>
          <w:bCs/>
          <w:sz w:val="20"/>
          <w:szCs w:val="20"/>
        </w:rPr>
        <w:t>DEL</w:t>
      </w:r>
      <w:r w:rsidRPr="00531B12">
        <w:rPr>
          <w:rFonts w:ascii="Abadi" w:hAnsi="Abadi"/>
          <w:b/>
          <w:bCs/>
          <w:spacing w:val="38"/>
          <w:sz w:val="20"/>
          <w:szCs w:val="20"/>
        </w:rPr>
        <w:t xml:space="preserve"> </w:t>
      </w:r>
      <w:r w:rsidRPr="00531B12">
        <w:rPr>
          <w:rFonts w:ascii="Abadi" w:hAnsi="Abadi"/>
          <w:b/>
          <w:bCs/>
          <w:sz w:val="20"/>
          <w:szCs w:val="20"/>
        </w:rPr>
        <w:t>PODER</w:t>
      </w:r>
      <w:r w:rsidRPr="00531B12">
        <w:rPr>
          <w:rFonts w:ascii="Abadi" w:hAnsi="Abadi"/>
          <w:b/>
          <w:bCs/>
          <w:spacing w:val="-1"/>
          <w:sz w:val="20"/>
          <w:szCs w:val="20"/>
        </w:rPr>
        <w:t xml:space="preserve"> </w:t>
      </w:r>
      <w:r w:rsidRPr="00531B12">
        <w:rPr>
          <w:rFonts w:ascii="Abadi" w:hAnsi="Abadi"/>
          <w:b/>
          <w:bCs/>
          <w:sz w:val="20"/>
          <w:szCs w:val="20"/>
        </w:rPr>
        <w:t>LEGISLATIVO</w:t>
      </w:r>
      <w:r w:rsidRPr="00531B12">
        <w:rPr>
          <w:rFonts w:ascii="Abadi" w:hAnsi="Abadi"/>
          <w:b/>
          <w:bCs/>
          <w:spacing w:val="-18"/>
          <w:sz w:val="20"/>
          <w:szCs w:val="20"/>
        </w:rPr>
        <w:t xml:space="preserve"> </w:t>
      </w:r>
      <w:r w:rsidRPr="00531B12">
        <w:rPr>
          <w:rFonts w:ascii="Abadi" w:hAnsi="Abadi"/>
          <w:b/>
          <w:bCs/>
          <w:sz w:val="20"/>
          <w:szCs w:val="20"/>
        </w:rPr>
        <w:t>DEL</w:t>
      </w:r>
      <w:r w:rsidRPr="00531B12">
        <w:rPr>
          <w:rFonts w:ascii="Abadi" w:hAnsi="Abadi"/>
          <w:b/>
          <w:bCs/>
          <w:spacing w:val="-18"/>
          <w:sz w:val="20"/>
          <w:szCs w:val="20"/>
        </w:rPr>
        <w:t xml:space="preserve"> </w:t>
      </w:r>
      <w:r w:rsidRPr="00531B12">
        <w:rPr>
          <w:rFonts w:ascii="Abadi" w:hAnsi="Abadi"/>
          <w:b/>
          <w:bCs/>
          <w:sz w:val="20"/>
          <w:szCs w:val="20"/>
        </w:rPr>
        <w:t>ESTADO</w:t>
      </w:r>
      <w:r w:rsidRPr="00531B12">
        <w:rPr>
          <w:rFonts w:ascii="Abadi" w:hAnsi="Abadi"/>
          <w:b/>
          <w:bCs/>
          <w:spacing w:val="-18"/>
          <w:sz w:val="20"/>
          <w:szCs w:val="20"/>
        </w:rPr>
        <w:t xml:space="preserve"> </w:t>
      </w:r>
      <w:r w:rsidRPr="00531B12">
        <w:rPr>
          <w:rFonts w:ascii="Abadi" w:hAnsi="Abadi"/>
          <w:b/>
          <w:bCs/>
          <w:sz w:val="20"/>
          <w:szCs w:val="20"/>
        </w:rPr>
        <w:t>DE</w:t>
      </w:r>
      <w:r w:rsidRPr="00531B12">
        <w:rPr>
          <w:rFonts w:ascii="Abadi" w:hAnsi="Abadi"/>
          <w:b/>
          <w:bCs/>
          <w:spacing w:val="-18"/>
          <w:sz w:val="20"/>
          <w:szCs w:val="20"/>
        </w:rPr>
        <w:t xml:space="preserve"> </w:t>
      </w:r>
      <w:r w:rsidRPr="00531B12">
        <w:rPr>
          <w:rFonts w:ascii="Abadi" w:hAnsi="Abadi"/>
          <w:b/>
          <w:bCs/>
          <w:sz w:val="20"/>
          <w:szCs w:val="20"/>
        </w:rPr>
        <w:t>GUANAJUATO,</w:t>
      </w:r>
      <w:r w:rsidRPr="00531B12">
        <w:rPr>
          <w:rFonts w:ascii="Abadi" w:hAnsi="Abadi"/>
          <w:b/>
          <w:bCs/>
          <w:spacing w:val="-18"/>
          <w:sz w:val="20"/>
          <w:szCs w:val="20"/>
        </w:rPr>
        <w:t xml:space="preserve"> </w:t>
      </w:r>
      <w:r w:rsidRPr="00531B12">
        <w:rPr>
          <w:rFonts w:ascii="Abadi" w:hAnsi="Abadi"/>
          <w:b/>
          <w:bCs/>
          <w:i/>
          <w:iCs/>
          <w:sz w:val="20"/>
          <w:szCs w:val="20"/>
        </w:rPr>
        <w:t>EN</w:t>
      </w:r>
      <w:r w:rsidRPr="00531B12">
        <w:rPr>
          <w:rFonts w:ascii="Abadi" w:hAnsi="Abadi"/>
          <w:b/>
          <w:bCs/>
          <w:i/>
          <w:iCs/>
          <w:spacing w:val="-18"/>
          <w:sz w:val="20"/>
          <w:szCs w:val="20"/>
        </w:rPr>
        <w:t xml:space="preserve"> </w:t>
      </w:r>
      <w:r w:rsidRPr="00531B12">
        <w:rPr>
          <w:rFonts w:ascii="Abadi" w:hAnsi="Abadi"/>
          <w:b/>
          <w:bCs/>
          <w:i/>
          <w:iCs/>
          <w:sz w:val="20"/>
          <w:szCs w:val="20"/>
        </w:rPr>
        <w:t>LA</w:t>
      </w:r>
      <w:r w:rsidRPr="00531B12">
        <w:rPr>
          <w:rFonts w:ascii="Abadi" w:hAnsi="Abadi"/>
          <w:b/>
          <w:bCs/>
          <w:i/>
          <w:iCs/>
          <w:spacing w:val="-18"/>
          <w:sz w:val="20"/>
          <w:szCs w:val="20"/>
        </w:rPr>
        <w:t xml:space="preserve"> </w:t>
      </w:r>
      <w:r w:rsidRPr="00531B12">
        <w:rPr>
          <w:rFonts w:ascii="Abadi" w:hAnsi="Abadi"/>
          <w:b/>
          <w:bCs/>
          <w:i/>
          <w:iCs/>
          <w:sz w:val="20"/>
          <w:szCs w:val="20"/>
        </w:rPr>
        <w:t>PARTE</w:t>
      </w:r>
      <w:r w:rsidRPr="00531B12">
        <w:rPr>
          <w:rFonts w:ascii="Abadi" w:hAnsi="Abadi"/>
          <w:b/>
          <w:bCs/>
          <w:i/>
          <w:iCs/>
          <w:spacing w:val="-18"/>
          <w:sz w:val="20"/>
          <w:szCs w:val="20"/>
        </w:rPr>
        <w:t xml:space="preserve"> </w:t>
      </w:r>
      <w:r w:rsidRPr="00531B12">
        <w:rPr>
          <w:rFonts w:ascii="Abadi" w:hAnsi="Abadi"/>
          <w:b/>
          <w:bCs/>
          <w:i/>
          <w:iCs/>
          <w:sz w:val="20"/>
          <w:szCs w:val="20"/>
        </w:rPr>
        <w:t>CORRESPONDIENTE</w:t>
      </w:r>
      <w:r w:rsidRPr="00531B12">
        <w:rPr>
          <w:rFonts w:ascii="Abadi" w:hAnsi="Abadi"/>
          <w:b/>
          <w:bCs/>
          <w:i/>
          <w:iCs/>
          <w:spacing w:val="-18"/>
          <w:sz w:val="20"/>
          <w:szCs w:val="20"/>
        </w:rPr>
        <w:t xml:space="preserve"> </w:t>
      </w:r>
      <w:r w:rsidRPr="00531B12">
        <w:rPr>
          <w:rFonts w:ascii="Abadi" w:hAnsi="Abadi"/>
          <w:b/>
          <w:bCs/>
          <w:i/>
          <w:iCs/>
          <w:sz w:val="20"/>
          <w:szCs w:val="20"/>
        </w:rPr>
        <w:t>AL</w:t>
      </w:r>
      <w:r w:rsidRPr="00531B12">
        <w:rPr>
          <w:rFonts w:ascii="Abadi" w:hAnsi="Abadi"/>
          <w:b/>
          <w:bCs/>
          <w:i/>
          <w:iCs/>
          <w:spacing w:val="-18"/>
          <w:sz w:val="20"/>
          <w:szCs w:val="20"/>
        </w:rPr>
        <w:t xml:space="preserve"> </w:t>
      </w:r>
      <w:r w:rsidRPr="00531B12">
        <w:rPr>
          <w:rFonts w:ascii="Abadi" w:hAnsi="Abadi"/>
          <w:b/>
          <w:bCs/>
          <w:i/>
          <w:iCs/>
          <w:sz w:val="20"/>
          <w:szCs w:val="20"/>
        </w:rPr>
        <w:t>PRIMERO</w:t>
      </w:r>
      <w:r w:rsidRPr="00531B12">
        <w:rPr>
          <w:rFonts w:ascii="Abadi" w:hAnsi="Abadi"/>
          <w:b/>
          <w:bCs/>
          <w:i/>
          <w:iCs/>
          <w:spacing w:val="-1"/>
          <w:sz w:val="20"/>
          <w:szCs w:val="20"/>
        </w:rPr>
        <w:t xml:space="preserve"> </w:t>
      </w:r>
      <w:r w:rsidRPr="00531B12">
        <w:rPr>
          <w:rFonts w:ascii="Abadi" w:hAnsi="Abadi"/>
          <w:b/>
          <w:bCs/>
          <w:i/>
          <w:iCs/>
          <w:sz w:val="20"/>
          <w:szCs w:val="20"/>
        </w:rPr>
        <w:t>DE</w:t>
      </w:r>
      <w:r w:rsidRPr="00531B12">
        <w:rPr>
          <w:rFonts w:ascii="Abadi" w:hAnsi="Abadi"/>
          <w:b/>
          <w:bCs/>
          <w:i/>
          <w:iCs/>
          <w:spacing w:val="-1"/>
          <w:sz w:val="20"/>
          <w:szCs w:val="20"/>
        </w:rPr>
        <w:t xml:space="preserve"> </w:t>
      </w:r>
      <w:r w:rsidRPr="00531B12">
        <w:rPr>
          <w:rFonts w:ascii="Abadi" w:hAnsi="Abadi"/>
          <w:b/>
          <w:bCs/>
          <w:i/>
          <w:iCs/>
          <w:sz w:val="20"/>
          <w:szCs w:val="20"/>
        </w:rPr>
        <w:t>LOS</w:t>
      </w:r>
      <w:r w:rsidRPr="00531B12">
        <w:rPr>
          <w:rFonts w:ascii="Abadi" w:hAnsi="Abadi"/>
          <w:b/>
          <w:bCs/>
          <w:i/>
          <w:iCs/>
          <w:spacing w:val="-1"/>
          <w:sz w:val="20"/>
          <w:szCs w:val="20"/>
        </w:rPr>
        <w:t xml:space="preserve"> </w:t>
      </w:r>
      <w:r w:rsidRPr="00531B12">
        <w:rPr>
          <w:rFonts w:ascii="Abadi" w:hAnsi="Abadi"/>
          <w:b/>
          <w:bCs/>
          <w:i/>
          <w:iCs/>
          <w:sz w:val="20"/>
          <w:szCs w:val="20"/>
        </w:rPr>
        <w:t>ORDENAMIENTOS.</w:t>
      </w:r>
    </w:p>
    <w:p w14:paraId="4914243F" w14:textId="24BF4FD1" w:rsidR="00F77257" w:rsidRDefault="00F77257" w:rsidP="00F77257">
      <w:pPr>
        <w:rPr>
          <w:rFonts w:ascii="Abadi" w:hAnsi="Abadi"/>
          <w:sz w:val="20"/>
          <w:szCs w:val="20"/>
        </w:rPr>
      </w:pPr>
    </w:p>
    <w:p w14:paraId="188C6C0C" w14:textId="77777777" w:rsidR="00F77257" w:rsidRPr="00F77257" w:rsidRDefault="00F77257" w:rsidP="00F77257">
      <w:pPr>
        <w:jc w:val="both"/>
        <w:rPr>
          <w:rFonts w:ascii="Abadi" w:eastAsia="Arial Unicode MS" w:hAnsi="Abadi" w:cs="Arial Unicode MS"/>
          <w:b/>
          <w:sz w:val="21"/>
          <w:szCs w:val="21"/>
          <w:lang w:val="es-MX"/>
        </w:rPr>
      </w:pPr>
      <w:r w:rsidRPr="00F77257">
        <w:rPr>
          <w:rFonts w:ascii="Abadi" w:eastAsia="Arial Unicode MS" w:hAnsi="Abadi" w:cs="Arial Unicode MS"/>
          <w:b/>
          <w:sz w:val="21"/>
          <w:szCs w:val="21"/>
          <w:lang w:val="es-MX"/>
        </w:rPr>
        <w:t>DIPUTADA IRMA LETICIA GONZÁLEZ SÁNCHEZ</w:t>
      </w:r>
    </w:p>
    <w:p w14:paraId="5E19D7EF" w14:textId="77777777" w:rsidR="00F77257" w:rsidRPr="00F77257" w:rsidRDefault="00F77257" w:rsidP="00F77257">
      <w:pPr>
        <w:jc w:val="both"/>
        <w:rPr>
          <w:rFonts w:ascii="Abadi" w:eastAsia="Arial Unicode MS" w:hAnsi="Abadi" w:cs="Arial Unicode MS"/>
          <w:b/>
          <w:sz w:val="21"/>
          <w:szCs w:val="21"/>
          <w:lang w:val="es-MX"/>
        </w:rPr>
      </w:pPr>
      <w:r w:rsidRPr="00F77257">
        <w:rPr>
          <w:rFonts w:ascii="Abadi" w:eastAsia="Arial Unicode MS" w:hAnsi="Abadi" w:cs="Arial Unicode MS"/>
          <w:b/>
          <w:sz w:val="21"/>
          <w:szCs w:val="21"/>
          <w:lang w:val="es-MX"/>
        </w:rPr>
        <w:t>PRESIDENTA DEL CONGRESO DEL ESTADO</w:t>
      </w:r>
    </w:p>
    <w:p w14:paraId="207DC1EB" w14:textId="77777777" w:rsidR="00F77257" w:rsidRPr="00F77257" w:rsidRDefault="00F77257" w:rsidP="00F77257">
      <w:pPr>
        <w:jc w:val="both"/>
        <w:rPr>
          <w:rFonts w:ascii="Abadi" w:eastAsia="Arial Unicode MS" w:hAnsi="Abadi" w:cs="Arial Unicode MS"/>
          <w:b/>
          <w:sz w:val="21"/>
          <w:szCs w:val="21"/>
          <w:lang w:val="es-MX"/>
        </w:rPr>
      </w:pPr>
      <w:r w:rsidRPr="00F77257">
        <w:rPr>
          <w:rFonts w:ascii="Abadi" w:eastAsia="Arial Unicode MS" w:hAnsi="Abadi" w:cs="Arial Unicode MS"/>
          <w:b/>
          <w:sz w:val="21"/>
          <w:szCs w:val="21"/>
          <w:lang w:val="es-MX"/>
        </w:rPr>
        <w:t>P R E S E N T E .</w:t>
      </w:r>
    </w:p>
    <w:p w14:paraId="138522E6" w14:textId="77777777" w:rsidR="00F77257" w:rsidRPr="00F77257" w:rsidRDefault="00F77257" w:rsidP="00F77257">
      <w:pPr>
        <w:ind w:firstLine="708"/>
        <w:jc w:val="both"/>
        <w:rPr>
          <w:rFonts w:ascii="Abadi" w:eastAsia="Arial Unicode MS" w:hAnsi="Abadi" w:cs="Arial Unicode MS"/>
          <w:sz w:val="21"/>
          <w:szCs w:val="21"/>
          <w:lang w:val="es-MX"/>
        </w:rPr>
      </w:pPr>
    </w:p>
    <w:p w14:paraId="759892D0" w14:textId="77777777" w:rsidR="00F77257" w:rsidRPr="00F77257" w:rsidRDefault="00F77257" w:rsidP="00F77257">
      <w:pPr>
        <w:spacing w:line="276" w:lineRule="auto"/>
        <w:ind w:firstLine="708"/>
        <w:jc w:val="both"/>
        <w:rPr>
          <w:rFonts w:ascii="Abadi" w:eastAsia="Arial Unicode MS" w:hAnsi="Abadi" w:cs="Arial Unicode MS"/>
          <w:sz w:val="21"/>
          <w:szCs w:val="21"/>
          <w:lang w:val="es-MX"/>
        </w:rPr>
      </w:pPr>
      <w:r w:rsidRPr="00F77257">
        <w:rPr>
          <w:rFonts w:ascii="Abadi" w:eastAsia="Arial Unicode MS" w:hAnsi="Abadi" w:cs="Arial Unicode MS"/>
          <w:sz w:val="21"/>
          <w:szCs w:val="21"/>
          <w:lang w:val="es-MX"/>
        </w:rPr>
        <w:t xml:space="preserve">La Comisión de Gobernación y Puntos Constitucionales recibimos para efectos de estudio y dictamen la iniciativa suscrita por la diputada </w:t>
      </w:r>
      <w:bookmarkStart w:id="11" w:name="_Hlk84435235"/>
      <w:r w:rsidRPr="00F77257">
        <w:rPr>
          <w:rFonts w:ascii="Abadi" w:eastAsia="Arial Unicode MS" w:hAnsi="Abadi" w:cs="Arial Unicode MS"/>
          <w:sz w:val="21"/>
          <w:szCs w:val="21"/>
          <w:lang w:val="es-MX"/>
        </w:rPr>
        <w:t xml:space="preserve">Alma Edwviges Alcaraz Hernández </w:t>
      </w:r>
      <w:bookmarkEnd w:id="11"/>
      <w:r w:rsidRPr="00F77257">
        <w:rPr>
          <w:rFonts w:ascii="Abadi" w:eastAsia="Arial Unicode MS" w:hAnsi="Abadi" w:cs="Arial Unicode MS"/>
          <w:sz w:val="21"/>
          <w:szCs w:val="21"/>
          <w:lang w:val="es-MX"/>
        </w:rPr>
        <w:t xml:space="preserve">integrante del Grupo Parlamentario del Partido MORENA, </w:t>
      </w:r>
      <w:bookmarkStart w:id="12" w:name="_Hlk84435285"/>
      <w:r w:rsidRPr="00F77257">
        <w:rPr>
          <w:rFonts w:ascii="Abadi" w:eastAsia="Arial Unicode MS" w:hAnsi="Abadi" w:cs="Arial Unicode MS"/>
          <w:sz w:val="21"/>
          <w:szCs w:val="21"/>
          <w:lang w:val="es-MX"/>
        </w:rPr>
        <w:t>a efecto de reformar el artículo 95 de la Constitución Política para el Estado de Guanajuato; así como reformar y adicionar diversas disposiciones a la Ley Orgánica del Poder Legislativo del Estado de Guanajuato</w:t>
      </w:r>
      <w:bookmarkEnd w:id="12"/>
      <w:r w:rsidRPr="00F77257">
        <w:rPr>
          <w:rFonts w:ascii="Abadi" w:eastAsia="Arial Unicode MS" w:hAnsi="Abadi" w:cs="Arial Unicode MS"/>
          <w:sz w:val="21"/>
          <w:szCs w:val="21"/>
          <w:lang w:val="es-MX"/>
        </w:rPr>
        <w:t>.</w:t>
      </w:r>
    </w:p>
    <w:p w14:paraId="79453DC7" w14:textId="77777777" w:rsidR="00F77257" w:rsidRPr="00F77257" w:rsidRDefault="00F77257" w:rsidP="00F77257">
      <w:pPr>
        <w:spacing w:line="276" w:lineRule="auto"/>
        <w:ind w:firstLine="708"/>
        <w:jc w:val="both"/>
        <w:rPr>
          <w:rFonts w:ascii="Abadi" w:eastAsia="Arial Unicode MS" w:hAnsi="Abadi" w:cs="Arial Unicode MS"/>
          <w:sz w:val="21"/>
          <w:szCs w:val="21"/>
          <w:lang w:val="es-MX"/>
        </w:rPr>
      </w:pPr>
    </w:p>
    <w:p w14:paraId="7060042F" w14:textId="77777777" w:rsidR="00F77257" w:rsidRPr="00F77257" w:rsidRDefault="00F77257" w:rsidP="00F77257">
      <w:pPr>
        <w:spacing w:line="276" w:lineRule="auto"/>
        <w:ind w:firstLine="708"/>
        <w:jc w:val="both"/>
        <w:rPr>
          <w:rFonts w:ascii="Abadi" w:eastAsia="Arial Unicode MS" w:hAnsi="Abadi" w:cs="Arial Unicode MS"/>
          <w:sz w:val="21"/>
          <w:szCs w:val="21"/>
          <w:lang w:val="es-MX"/>
        </w:rPr>
      </w:pPr>
      <w:r w:rsidRPr="00F77257">
        <w:rPr>
          <w:rFonts w:ascii="Abadi" w:eastAsia="Arial Unicode MS" w:hAnsi="Abadi" w:cs="Arial Unicode MS"/>
          <w:sz w:val="21"/>
          <w:szCs w:val="21"/>
          <w:lang w:val="es-MX"/>
        </w:rPr>
        <w:t xml:space="preserve">Analizada la iniciativa, esta Comisión Legislativa de conformidad con las atribuciones que le confieren los artículos 111 fracciones I y II y 171 de </w:t>
      </w:r>
      <w:smartTag w:uri="urn:schemas-microsoft-com:office:smarttags" w:element="PersonName">
        <w:smartTagPr>
          <w:attr w:name="ProductID" w:val="la Ley Org￡nica"/>
        </w:smartTagPr>
        <w:r w:rsidRPr="00F77257">
          <w:rPr>
            <w:rFonts w:ascii="Abadi" w:eastAsia="Arial Unicode MS" w:hAnsi="Abadi" w:cs="Arial Unicode MS"/>
            <w:sz w:val="21"/>
            <w:szCs w:val="21"/>
            <w:lang w:val="es-MX"/>
          </w:rPr>
          <w:t>la Ley Orgánica</w:t>
        </w:r>
      </w:smartTag>
      <w:r w:rsidRPr="00F77257">
        <w:rPr>
          <w:rFonts w:ascii="Abadi" w:eastAsia="Arial Unicode MS" w:hAnsi="Abadi" w:cs="Arial Unicode MS"/>
          <w:sz w:val="21"/>
          <w:szCs w:val="21"/>
          <w:lang w:val="es-MX"/>
        </w:rPr>
        <w:t xml:space="preserve"> del Poder Legislativo del Estado de Guanajuato, formula a </w:t>
      </w:r>
      <w:smartTag w:uri="urn:schemas-microsoft-com:office:smarttags" w:element="PersonName">
        <w:smartTagPr>
          <w:attr w:name="ProductID" w:val="la Asamblea"/>
        </w:smartTagPr>
        <w:r w:rsidRPr="00F77257">
          <w:rPr>
            <w:rFonts w:ascii="Abadi" w:eastAsia="Arial Unicode MS" w:hAnsi="Abadi" w:cs="Arial Unicode MS"/>
            <w:sz w:val="21"/>
            <w:szCs w:val="21"/>
            <w:lang w:val="es-MX"/>
          </w:rPr>
          <w:t>la Asamblea</w:t>
        </w:r>
      </w:smartTag>
      <w:r w:rsidRPr="00F77257">
        <w:rPr>
          <w:rFonts w:ascii="Abadi" w:eastAsia="Arial Unicode MS" w:hAnsi="Abadi" w:cs="Arial Unicode MS"/>
          <w:sz w:val="21"/>
          <w:szCs w:val="21"/>
          <w:lang w:val="es-MX"/>
        </w:rPr>
        <w:t xml:space="preserve"> el siguiente:</w:t>
      </w:r>
    </w:p>
    <w:p w14:paraId="2E8D79E2" w14:textId="77777777" w:rsidR="00F77257" w:rsidRPr="00F77257" w:rsidRDefault="00F77257" w:rsidP="00F77257">
      <w:pPr>
        <w:ind w:firstLine="708"/>
        <w:jc w:val="both"/>
        <w:rPr>
          <w:rFonts w:ascii="Abadi" w:eastAsia="Arial Unicode MS" w:hAnsi="Abadi" w:cs="Arial Unicode MS"/>
          <w:sz w:val="21"/>
          <w:szCs w:val="21"/>
          <w:lang w:val="es-MX"/>
        </w:rPr>
      </w:pPr>
    </w:p>
    <w:p w14:paraId="0489A1DB" w14:textId="77777777" w:rsidR="00F77257" w:rsidRPr="00F77257" w:rsidRDefault="00F77257" w:rsidP="00F77257">
      <w:pPr>
        <w:jc w:val="center"/>
        <w:rPr>
          <w:rFonts w:ascii="Abadi" w:eastAsia="Arial Unicode MS" w:hAnsi="Abadi" w:cs="Arial Unicode MS"/>
          <w:b/>
          <w:sz w:val="21"/>
          <w:szCs w:val="21"/>
          <w:lang w:val="es-MX"/>
        </w:rPr>
      </w:pPr>
    </w:p>
    <w:p w14:paraId="2F12FE5D" w14:textId="77777777" w:rsidR="00F77257" w:rsidRPr="00F77257" w:rsidRDefault="00F77257" w:rsidP="00F77257">
      <w:pPr>
        <w:jc w:val="center"/>
        <w:rPr>
          <w:rFonts w:ascii="Abadi" w:eastAsia="Arial Unicode MS" w:hAnsi="Abadi" w:cs="Arial Unicode MS"/>
          <w:b/>
          <w:sz w:val="21"/>
          <w:szCs w:val="21"/>
          <w:lang w:val="es-MX"/>
        </w:rPr>
      </w:pPr>
      <w:r w:rsidRPr="00F77257">
        <w:rPr>
          <w:rFonts w:ascii="Abadi" w:eastAsia="Arial Unicode MS" w:hAnsi="Abadi" w:cs="Arial Unicode MS"/>
          <w:b/>
          <w:sz w:val="21"/>
          <w:szCs w:val="21"/>
          <w:lang w:val="es-MX"/>
        </w:rPr>
        <w:t>D I C T A M E N</w:t>
      </w:r>
    </w:p>
    <w:p w14:paraId="06B50B48" w14:textId="77777777" w:rsidR="00F77257" w:rsidRPr="00F77257" w:rsidRDefault="00F77257" w:rsidP="00F77257">
      <w:pPr>
        <w:ind w:firstLine="708"/>
        <w:jc w:val="both"/>
        <w:rPr>
          <w:rFonts w:ascii="Abadi" w:eastAsia="Arial Unicode MS" w:hAnsi="Abadi" w:cs="Arial Unicode MS"/>
          <w:sz w:val="21"/>
          <w:szCs w:val="21"/>
          <w:lang w:val="es-MX"/>
        </w:rPr>
      </w:pPr>
    </w:p>
    <w:p w14:paraId="6A7E864C" w14:textId="77777777" w:rsidR="00F77257" w:rsidRPr="00F77257" w:rsidRDefault="00F77257" w:rsidP="00F77257">
      <w:pPr>
        <w:jc w:val="center"/>
        <w:rPr>
          <w:rFonts w:ascii="Abadi" w:eastAsia="Arial Unicode MS" w:hAnsi="Abadi" w:cs="Arial Unicode MS"/>
          <w:b/>
          <w:bCs/>
          <w:sz w:val="21"/>
          <w:szCs w:val="21"/>
          <w:lang w:val="es-MX"/>
        </w:rPr>
      </w:pPr>
    </w:p>
    <w:p w14:paraId="12F2F3D8" w14:textId="77777777" w:rsidR="00F77257" w:rsidRPr="00F77257" w:rsidRDefault="00F77257" w:rsidP="00F77257">
      <w:pPr>
        <w:rPr>
          <w:rFonts w:ascii="Abadi" w:eastAsia="Batang" w:hAnsi="Abadi" w:cs="Arial"/>
          <w:b/>
          <w:bCs/>
          <w:sz w:val="21"/>
          <w:szCs w:val="21"/>
          <w:lang w:val="es-MX" w:eastAsia="en-US"/>
        </w:rPr>
      </w:pPr>
      <w:r w:rsidRPr="00F77257">
        <w:rPr>
          <w:rFonts w:ascii="Abadi" w:eastAsia="Batang" w:hAnsi="Abadi" w:cs="Arial"/>
          <w:b/>
          <w:smallCaps/>
          <w:sz w:val="21"/>
          <w:szCs w:val="21"/>
          <w:lang w:val="es-MX" w:eastAsia="en-US"/>
        </w:rPr>
        <w:t>I.</w:t>
      </w:r>
      <w:r w:rsidRPr="00F77257">
        <w:rPr>
          <w:rFonts w:ascii="Abadi" w:eastAsia="Batang" w:hAnsi="Abadi" w:cs="Arial"/>
          <w:b/>
          <w:smallCaps/>
          <w:sz w:val="21"/>
          <w:szCs w:val="21"/>
          <w:lang w:val="es-MX" w:eastAsia="en-US"/>
        </w:rPr>
        <w:tab/>
      </w:r>
      <w:r w:rsidRPr="00F77257">
        <w:rPr>
          <w:rFonts w:ascii="Abadi" w:eastAsia="Batang" w:hAnsi="Abadi" w:cs="Arial"/>
          <w:b/>
          <w:bCs/>
          <w:sz w:val="21"/>
          <w:szCs w:val="21"/>
          <w:lang w:val="es-MX" w:eastAsia="en-US"/>
        </w:rPr>
        <w:t>Del Proceso Legislativo</w:t>
      </w:r>
    </w:p>
    <w:p w14:paraId="0D815DF8" w14:textId="77777777" w:rsidR="00F77257" w:rsidRPr="00F77257" w:rsidRDefault="00F77257" w:rsidP="00F77257">
      <w:pPr>
        <w:rPr>
          <w:rFonts w:ascii="Abadi" w:eastAsia="Batang" w:hAnsi="Abadi" w:cs="Arial"/>
          <w:b/>
          <w:bCs/>
          <w:sz w:val="21"/>
          <w:szCs w:val="21"/>
          <w:lang w:val="es-MX" w:eastAsia="en-US"/>
        </w:rPr>
      </w:pPr>
    </w:p>
    <w:p w14:paraId="36FEA4EC" w14:textId="77777777" w:rsidR="00F77257" w:rsidRPr="00F77257" w:rsidRDefault="00F77257" w:rsidP="00F77257">
      <w:pPr>
        <w:spacing w:line="276" w:lineRule="auto"/>
        <w:jc w:val="both"/>
        <w:rPr>
          <w:rFonts w:ascii="Abadi" w:eastAsia="Arial Unicode MS" w:hAnsi="Abadi" w:cs="Arial Unicode MS"/>
          <w:sz w:val="21"/>
          <w:szCs w:val="21"/>
          <w:lang w:val="es-MX"/>
        </w:rPr>
      </w:pPr>
      <w:r w:rsidRPr="00F77257">
        <w:rPr>
          <w:rFonts w:ascii="Abadi" w:eastAsia="Batang" w:hAnsi="Abadi" w:cs="Arial"/>
          <w:b/>
          <w:bCs/>
          <w:sz w:val="21"/>
          <w:szCs w:val="21"/>
          <w:lang w:val="es-MX" w:eastAsia="en-US"/>
        </w:rPr>
        <w:t>I.1.</w:t>
      </w:r>
      <w:r w:rsidRPr="00F77257">
        <w:rPr>
          <w:rFonts w:ascii="Abadi" w:eastAsia="Batang" w:hAnsi="Abadi" w:cs="Arial"/>
          <w:b/>
          <w:bCs/>
          <w:sz w:val="21"/>
          <w:szCs w:val="21"/>
          <w:lang w:val="es-MX" w:eastAsia="en-US"/>
        </w:rPr>
        <w:tab/>
      </w:r>
      <w:r w:rsidRPr="00F77257">
        <w:rPr>
          <w:rFonts w:ascii="Abadi" w:eastAsia="Arial Unicode MS" w:hAnsi="Abadi" w:cs="Arial Unicode MS"/>
          <w:sz w:val="21"/>
          <w:szCs w:val="21"/>
          <w:lang w:val="es-MX"/>
        </w:rPr>
        <w:t xml:space="preserve">En sesión del 7 de octubre de 2021 ingresó la iniciativa </w:t>
      </w:r>
      <w:r w:rsidRPr="00F77257">
        <w:rPr>
          <w:rFonts w:ascii="Abadi" w:eastAsia="Arial Unicode MS" w:hAnsi="Abadi" w:cs="Arial Unicode MS"/>
          <w:sz w:val="21"/>
          <w:szCs w:val="21"/>
          <w:lang w:val="es-MX" w:eastAsia="en-US"/>
        </w:rPr>
        <w:t>suscrita por la diputada Alma Edwviges Alcaraz Hernández integrante del Grupo Parlamentario del Partido MORENA, a efecto de reformar el artículo 95 de la Constitución Política para el Estado de Guanajuato; así como reformar y adicionar diversas disposiciones a la Ley Orgánica del Poder Legislativo del Estado de Guanajuato, con el expediente 8/LXV-I</w:t>
      </w:r>
      <w:r w:rsidRPr="00F77257">
        <w:rPr>
          <w:rFonts w:ascii="Abadi" w:hAnsi="Abadi" w:cs="Arial Unicode MS"/>
          <w:bCs/>
          <w:iCs/>
          <w:sz w:val="21"/>
          <w:szCs w:val="21"/>
          <w:lang w:val="es-ES_tradnl" w:eastAsia="en-US"/>
        </w:rPr>
        <w:t xml:space="preserve"> </w:t>
      </w:r>
      <w:r w:rsidRPr="00F77257">
        <w:rPr>
          <w:rFonts w:ascii="Abadi" w:eastAsia="Arial Unicode MS" w:hAnsi="Abadi" w:cs="Arial Unicode MS"/>
          <w:sz w:val="21"/>
          <w:szCs w:val="21"/>
          <w:lang w:val="es-MX"/>
        </w:rPr>
        <w:t>turnándose en su momento por la presidencia del Congreso a la Comisión de Gobernación y Puntos Constitucionales, con fundamento en lo dispuesto por el artículo 111, fracciones I y II de la Ley Orgánica del Poder Legislativo del Estado de Guanajuato, para su estudio y dictamen.</w:t>
      </w:r>
    </w:p>
    <w:p w14:paraId="6209C38E" w14:textId="77777777" w:rsidR="00F77257" w:rsidRPr="00F77257" w:rsidRDefault="00F77257" w:rsidP="00F77257">
      <w:pPr>
        <w:spacing w:line="276" w:lineRule="auto"/>
        <w:jc w:val="both"/>
        <w:rPr>
          <w:rFonts w:ascii="Abadi" w:eastAsia="Batang" w:hAnsi="Abadi" w:cs="Arial"/>
          <w:sz w:val="21"/>
          <w:szCs w:val="21"/>
          <w:highlight w:val="yellow"/>
          <w:lang w:val="es-MX" w:eastAsia="en-US"/>
        </w:rPr>
      </w:pPr>
    </w:p>
    <w:p w14:paraId="2BA005EA" w14:textId="77777777" w:rsidR="00F77257" w:rsidRPr="00F77257" w:rsidRDefault="00F77257" w:rsidP="00F77257">
      <w:pPr>
        <w:spacing w:line="276" w:lineRule="auto"/>
        <w:jc w:val="both"/>
        <w:rPr>
          <w:rFonts w:ascii="Abadi" w:eastAsia="Batang" w:hAnsi="Abadi" w:cs="Arial"/>
          <w:sz w:val="21"/>
          <w:szCs w:val="21"/>
          <w:lang w:val="es-MX" w:eastAsia="en-US"/>
        </w:rPr>
      </w:pPr>
      <w:r w:rsidRPr="00F77257">
        <w:rPr>
          <w:rFonts w:ascii="Abadi" w:eastAsia="Batang" w:hAnsi="Abadi" w:cs="Arial"/>
          <w:b/>
          <w:sz w:val="21"/>
          <w:szCs w:val="21"/>
          <w:lang w:val="es-MX" w:eastAsia="en-US"/>
        </w:rPr>
        <w:t xml:space="preserve">I.2. </w:t>
      </w:r>
      <w:r w:rsidRPr="00F77257">
        <w:rPr>
          <w:rFonts w:ascii="Abadi" w:eastAsia="Batang" w:hAnsi="Abadi" w:cs="Arial"/>
          <w:sz w:val="21"/>
          <w:szCs w:val="21"/>
          <w:lang w:val="es-MX" w:eastAsia="en-US"/>
        </w:rPr>
        <w:t xml:space="preserve">En reunión de la Comisión de Gobernación y Puntos Constitucionales, del 11 de octubre de 2021, se radicó la iniciativa y fue aprobada la metodología de estudio y dictamen en los siguientes términos: </w:t>
      </w:r>
    </w:p>
    <w:p w14:paraId="350FA7FE" w14:textId="77777777" w:rsidR="00F77257" w:rsidRPr="00F77257" w:rsidRDefault="00F77257" w:rsidP="00F77257">
      <w:pPr>
        <w:spacing w:line="276" w:lineRule="auto"/>
        <w:jc w:val="both"/>
        <w:rPr>
          <w:rFonts w:ascii="Abadi" w:eastAsia="Batang" w:hAnsi="Abadi" w:cs="Arial"/>
          <w:sz w:val="21"/>
          <w:szCs w:val="21"/>
          <w:lang w:val="es-MX" w:eastAsia="en-US"/>
        </w:rPr>
      </w:pPr>
    </w:p>
    <w:p w14:paraId="34AC87C7" w14:textId="77777777" w:rsidR="00F77257" w:rsidRPr="00F77257" w:rsidRDefault="00F77257" w:rsidP="00B81728">
      <w:pPr>
        <w:numPr>
          <w:ilvl w:val="0"/>
          <w:numId w:val="24"/>
        </w:numPr>
        <w:spacing w:after="200" w:line="276" w:lineRule="auto"/>
        <w:jc w:val="both"/>
        <w:rPr>
          <w:rFonts w:ascii="Abadi" w:hAnsi="Abadi" w:cs="Arial"/>
          <w:i/>
          <w:iCs/>
          <w:sz w:val="21"/>
          <w:szCs w:val="21"/>
          <w:lang w:val="es-MX" w:eastAsia="en-US"/>
        </w:rPr>
      </w:pPr>
      <w:r w:rsidRPr="00F77257">
        <w:rPr>
          <w:rFonts w:ascii="Abadi" w:hAnsi="Abadi" w:cs="Arial"/>
          <w:i/>
          <w:iCs/>
          <w:sz w:val="21"/>
          <w:szCs w:val="21"/>
          <w:lang w:val="es-MX" w:eastAsia="en-US"/>
        </w:rPr>
        <w:t>Remitir vía electrónica para opinión a los 36 diputados y diputadas que integran la Sexagésima Quinta Legislatura, al Poder Judicial, a la Coordinación General Jurídica de Gobierno del Estado, a las instituciones de educación superior en el estado, quienes contarán con un término de 20 días hábiles, para remitir los comentarios y observaciones que estimen pertinentes.</w:t>
      </w:r>
    </w:p>
    <w:p w14:paraId="59E1A23A" w14:textId="77777777" w:rsidR="00F77257" w:rsidRPr="00F77257" w:rsidRDefault="00F77257" w:rsidP="00B81728">
      <w:pPr>
        <w:numPr>
          <w:ilvl w:val="0"/>
          <w:numId w:val="24"/>
        </w:numPr>
        <w:spacing w:after="200" w:line="276" w:lineRule="auto"/>
        <w:ind w:hanging="436"/>
        <w:jc w:val="both"/>
        <w:rPr>
          <w:rFonts w:ascii="Abadi" w:hAnsi="Abadi" w:cs="Arial"/>
          <w:i/>
          <w:iCs/>
          <w:sz w:val="21"/>
          <w:szCs w:val="21"/>
          <w:lang w:val="es-MX" w:eastAsia="en-US"/>
        </w:rPr>
      </w:pPr>
      <w:r w:rsidRPr="00F77257">
        <w:rPr>
          <w:rFonts w:ascii="Abadi" w:hAnsi="Abadi" w:cs="Arial"/>
          <w:i/>
          <w:iCs/>
          <w:sz w:val="21"/>
          <w:szCs w:val="21"/>
          <w:lang w:val="es-MX" w:eastAsia="en-US"/>
        </w:rPr>
        <w:t>Se habilitará un vínculo (link) en la página web del Congreso del Estado, a efecto de que se consulte la iniciativa y se puedan recibir observaciones a las mismas.</w:t>
      </w:r>
    </w:p>
    <w:p w14:paraId="4019691B" w14:textId="77777777" w:rsidR="00F77257" w:rsidRPr="00F77257" w:rsidRDefault="00F77257" w:rsidP="00B81728">
      <w:pPr>
        <w:numPr>
          <w:ilvl w:val="0"/>
          <w:numId w:val="24"/>
        </w:numPr>
        <w:spacing w:after="200" w:line="276" w:lineRule="auto"/>
        <w:ind w:hanging="436"/>
        <w:jc w:val="both"/>
        <w:rPr>
          <w:rFonts w:ascii="Abadi" w:hAnsi="Abadi" w:cs="Arial"/>
          <w:i/>
          <w:iCs/>
          <w:sz w:val="21"/>
          <w:szCs w:val="21"/>
          <w:lang w:val="es-MX" w:eastAsia="en-US"/>
        </w:rPr>
      </w:pPr>
      <w:r w:rsidRPr="00F77257">
        <w:rPr>
          <w:rFonts w:ascii="Abadi" w:hAnsi="Abadi" w:cs="Arial"/>
          <w:i/>
          <w:iCs/>
          <w:sz w:val="21"/>
          <w:szCs w:val="21"/>
          <w:lang w:val="es-MX" w:eastAsia="en-US"/>
        </w:rPr>
        <w:t>Se remitirán al Instituto de Investigaciones Legislativas del Congreso del Estado para su estudio y opinión.</w:t>
      </w:r>
    </w:p>
    <w:p w14:paraId="29E20913" w14:textId="77777777" w:rsidR="00F77257" w:rsidRPr="00F77257" w:rsidRDefault="00F77257" w:rsidP="00B81728">
      <w:pPr>
        <w:numPr>
          <w:ilvl w:val="0"/>
          <w:numId w:val="24"/>
        </w:numPr>
        <w:spacing w:after="200" w:line="276" w:lineRule="auto"/>
        <w:ind w:hanging="436"/>
        <w:contextualSpacing/>
        <w:jc w:val="both"/>
        <w:rPr>
          <w:rFonts w:ascii="Abadi" w:eastAsia="Calibri" w:hAnsi="Abadi" w:cs="Arial"/>
          <w:i/>
          <w:iCs/>
          <w:sz w:val="21"/>
          <w:szCs w:val="21"/>
          <w:lang w:val="es-MX" w:eastAsia="en-US"/>
        </w:rPr>
      </w:pPr>
      <w:r w:rsidRPr="00F77257">
        <w:rPr>
          <w:rFonts w:ascii="Abadi" w:eastAsia="Calibri" w:hAnsi="Abadi" w:cs="Arial"/>
          <w:i/>
          <w:iCs/>
          <w:sz w:val="21"/>
          <w:szCs w:val="21"/>
          <w:lang w:val="es-MX" w:eastAsia="en-US"/>
        </w:rPr>
        <w:t xml:space="preserve">Se integrará un documento que consolidará todas las propuestas emitidas en las consultas por escrito o vía electrónica que se hayan remitido previamente a la Comisión para el análisis </w:t>
      </w:r>
      <w:r w:rsidRPr="00F77257">
        <w:rPr>
          <w:rFonts w:ascii="Abadi" w:eastAsia="Calibri" w:hAnsi="Abadi" w:cs="Arial"/>
          <w:i/>
          <w:iCs/>
          <w:sz w:val="21"/>
          <w:szCs w:val="21"/>
          <w:lang w:val="es-MX" w:eastAsia="en-US"/>
        </w:rPr>
        <w:t>de las iniciativas. Dicho documento será con formato de comparativo.</w:t>
      </w:r>
    </w:p>
    <w:p w14:paraId="5F82F6B1" w14:textId="77777777" w:rsidR="00F77257" w:rsidRPr="00F77257" w:rsidRDefault="00F77257" w:rsidP="007E4F00">
      <w:pPr>
        <w:spacing w:after="200" w:line="276" w:lineRule="auto"/>
        <w:ind w:left="720"/>
        <w:contextualSpacing/>
        <w:jc w:val="both"/>
        <w:rPr>
          <w:rFonts w:ascii="Abadi" w:eastAsia="Calibri" w:hAnsi="Abadi" w:cs="Arial"/>
          <w:i/>
          <w:iCs/>
          <w:sz w:val="21"/>
          <w:szCs w:val="21"/>
          <w:lang w:val="es-MX" w:eastAsia="en-US"/>
        </w:rPr>
      </w:pPr>
    </w:p>
    <w:p w14:paraId="3E3EC782" w14:textId="77777777" w:rsidR="00F77257" w:rsidRPr="00F77257" w:rsidRDefault="00F77257" w:rsidP="00B81728">
      <w:pPr>
        <w:numPr>
          <w:ilvl w:val="0"/>
          <w:numId w:val="24"/>
        </w:numPr>
        <w:spacing w:after="200" w:line="276" w:lineRule="auto"/>
        <w:ind w:hanging="436"/>
        <w:contextualSpacing/>
        <w:jc w:val="both"/>
        <w:rPr>
          <w:rFonts w:ascii="Abadi" w:eastAsia="Calibri" w:hAnsi="Abadi" w:cs="Arial"/>
          <w:i/>
          <w:iCs/>
          <w:sz w:val="21"/>
          <w:szCs w:val="21"/>
          <w:lang w:val="es-MX" w:eastAsia="en-US"/>
        </w:rPr>
      </w:pPr>
      <w:r w:rsidRPr="00F77257">
        <w:rPr>
          <w:rFonts w:ascii="Abadi" w:eastAsia="Calibri" w:hAnsi="Abadi" w:cs="Arial"/>
          <w:i/>
          <w:iCs/>
          <w:sz w:val="21"/>
          <w:szCs w:val="21"/>
          <w:lang w:val="es-MX" w:eastAsia="en-US"/>
        </w:rPr>
        <w:t>Se celebrará una mesa de trabajo con carácter permanente para analizar las observaciones remitidas, a través del documento comparativo.</w:t>
      </w:r>
    </w:p>
    <w:p w14:paraId="09788C96" w14:textId="77777777" w:rsidR="00F77257" w:rsidRPr="00F77257" w:rsidRDefault="00F77257" w:rsidP="007E4F00">
      <w:pPr>
        <w:spacing w:after="200" w:line="276" w:lineRule="auto"/>
        <w:ind w:left="720"/>
        <w:contextualSpacing/>
        <w:rPr>
          <w:rFonts w:ascii="Abadi" w:eastAsia="Calibri" w:hAnsi="Abadi" w:cs="Arial"/>
          <w:i/>
          <w:iCs/>
          <w:sz w:val="21"/>
          <w:szCs w:val="21"/>
          <w:lang w:val="es-MX" w:eastAsia="en-US"/>
        </w:rPr>
      </w:pPr>
    </w:p>
    <w:p w14:paraId="70B61F78" w14:textId="77777777" w:rsidR="00F77257" w:rsidRPr="00F77257" w:rsidRDefault="00F77257" w:rsidP="00B81728">
      <w:pPr>
        <w:numPr>
          <w:ilvl w:val="0"/>
          <w:numId w:val="24"/>
        </w:numPr>
        <w:spacing w:after="200" w:line="276" w:lineRule="auto"/>
        <w:ind w:hanging="436"/>
        <w:contextualSpacing/>
        <w:jc w:val="both"/>
        <w:rPr>
          <w:rFonts w:ascii="Abadi" w:eastAsia="Calibri" w:hAnsi="Abadi" w:cs="Arial"/>
          <w:i/>
          <w:iCs/>
          <w:sz w:val="21"/>
          <w:szCs w:val="21"/>
          <w:lang w:val="es-MX" w:eastAsia="en-US"/>
        </w:rPr>
      </w:pPr>
      <w:r w:rsidRPr="00F77257">
        <w:rPr>
          <w:rFonts w:ascii="Abadi" w:eastAsia="Calibri" w:hAnsi="Abadi" w:cs="Arial"/>
          <w:i/>
          <w:iCs/>
          <w:sz w:val="21"/>
          <w:szCs w:val="21"/>
          <w:lang w:val="es-MX" w:eastAsia="en-US"/>
        </w:rPr>
        <w:t>Una vez lo cual, se presentará un proyecto de dictamen para que sea analizado en reunión de la Comisión.</w:t>
      </w:r>
    </w:p>
    <w:p w14:paraId="15E23BA7" w14:textId="77777777" w:rsidR="00F77257" w:rsidRPr="00F77257" w:rsidRDefault="00F77257" w:rsidP="00F77257">
      <w:pPr>
        <w:spacing w:line="276" w:lineRule="auto"/>
        <w:jc w:val="both"/>
        <w:rPr>
          <w:rFonts w:ascii="Abadi" w:eastAsia="Batang" w:hAnsi="Abadi" w:cs="Arial"/>
          <w:b/>
          <w:sz w:val="21"/>
          <w:szCs w:val="21"/>
          <w:lang w:val="es-MX" w:eastAsia="en-US"/>
        </w:rPr>
      </w:pPr>
    </w:p>
    <w:p w14:paraId="23172F4A" w14:textId="77777777" w:rsidR="00F77257" w:rsidRPr="00F77257" w:rsidRDefault="00F77257" w:rsidP="00F77257">
      <w:pPr>
        <w:spacing w:line="276" w:lineRule="auto"/>
        <w:jc w:val="both"/>
        <w:rPr>
          <w:rFonts w:ascii="Abadi" w:hAnsi="Abadi" w:cs="Arial"/>
          <w:sz w:val="21"/>
          <w:szCs w:val="21"/>
          <w:lang w:val="es-MX" w:eastAsia="en-US"/>
        </w:rPr>
      </w:pPr>
      <w:r w:rsidRPr="00F77257">
        <w:rPr>
          <w:rFonts w:ascii="Abadi" w:eastAsia="Batang" w:hAnsi="Abadi" w:cs="Arial"/>
          <w:b/>
          <w:sz w:val="21"/>
          <w:szCs w:val="21"/>
          <w:lang w:val="es-MX" w:eastAsia="en-US"/>
        </w:rPr>
        <w:t>II.1.</w:t>
      </w:r>
      <w:r w:rsidRPr="00F77257">
        <w:rPr>
          <w:rFonts w:ascii="Abadi" w:hAnsi="Abadi" w:cs="Arial"/>
          <w:sz w:val="21"/>
          <w:szCs w:val="21"/>
          <w:lang w:val="es-MX" w:eastAsia="en-US"/>
        </w:rPr>
        <w:t xml:space="preserve">  Derivado de ese ejercicio de consulta a diversas autoridades de los poderes Ejecutivo, a través de la Coordinación General Jurídica y Judicial, e instituciones de educación superior y bajo el principio de parlamento abierto respondieron el Instituto de Investigaciones Legislativas del Congreso del Estado, el Poder Judicial, y la Universidad de Guanajuato.</w:t>
      </w:r>
    </w:p>
    <w:p w14:paraId="4B7DF782" w14:textId="77777777" w:rsidR="00F77257" w:rsidRPr="00F77257" w:rsidRDefault="00F77257" w:rsidP="00F77257">
      <w:pPr>
        <w:spacing w:line="276" w:lineRule="auto"/>
        <w:jc w:val="both"/>
        <w:rPr>
          <w:rFonts w:ascii="Abadi" w:hAnsi="Abadi" w:cs="Arial"/>
          <w:sz w:val="21"/>
          <w:szCs w:val="21"/>
          <w:lang w:val="es-MX" w:eastAsia="en-US"/>
        </w:rPr>
      </w:pPr>
    </w:p>
    <w:p w14:paraId="3A8D16F6" w14:textId="77777777" w:rsidR="00F77257" w:rsidRPr="00F77257" w:rsidRDefault="00F77257" w:rsidP="00F77257">
      <w:pPr>
        <w:spacing w:line="276" w:lineRule="auto"/>
        <w:jc w:val="both"/>
        <w:rPr>
          <w:rFonts w:ascii="Abadi" w:hAnsi="Abadi" w:cs="Arial"/>
          <w:sz w:val="21"/>
          <w:szCs w:val="21"/>
          <w:lang w:val="es-MX" w:eastAsia="en-US"/>
        </w:rPr>
      </w:pPr>
      <w:r w:rsidRPr="00F77257">
        <w:rPr>
          <w:rFonts w:ascii="Abadi" w:hAnsi="Abadi" w:cs="Arial"/>
          <w:sz w:val="21"/>
          <w:szCs w:val="21"/>
          <w:lang w:val="es-MX" w:eastAsia="en-US"/>
        </w:rPr>
        <w:t>Durante el desahogo de la metodología emitieron sus comentarios de inviabilidad constitucional la Coordinación General Jurídica de Gobierno del Estado.</w:t>
      </w:r>
    </w:p>
    <w:p w14:paraId="51B6A1F3" w14:textId="77777777" w:rsidR="00F77257" w:rsidRPr="00F77257" w:rsidRDefault="00F77257" w:rsidP="00F77257">
      <w:pPr>
        <w:jc w:val="both"/>
        <w:rPr>
          <w:rFonts w:ascii="Abadi" w:hAnsi="Abadi" w:cs="Arial"/>
          <w:sz w:val="21"/>
          <w:szCs w:val="21"/>
          <w:lang w:val="es-MX" w:eastAsia="en-US"/>
        </w:rPr>
      </w:pPr>
    </w:p>
    <w:p w14:paraId="666FC529" w14:textId="77777777" w:rsidR="00F77257" w:rsidRPr="00F77257" w:rsidRDefault="00F77257" w:rsidP="00F77257">
      <w:pPr>
        <w:ind w:firstLine="708"/>
        <w:jc w:val="both"/>
        <w:rPr>
          <w:rFonts w:ascii="Abadi" w:hAnsi="Abadi" w:cs="Arial"/>
          <w:sz w:val="21"/>
          <w:szCs w:val="21"/>
          <w:lang w:val="es-MX" w:eastAsia="en-US"/>
        </w:rPr>
      </w:pPr>
      <w:r w:rsidRPr="00F77257">
        <w:rPr>
          <w:rFonts w:ascii="Abadi" w:hAnsi="Abadi" w:cs="Arial"/>
          <w:sz w:val="21"/>
          <w:szCs w:val="21"/>
          <w:lang w:val="es-MX" w:eastAsia="en-US"/>
        </w:rPr>
        <w:t xml:space="preserve">El Instituto de Investigaciones Legislativas del Congreso del Estado manifestó que: </w:t>
      </w:r>
    </w:p>
    <w:p w14:paraId="68EBA696" w14:textId="77777777" w:rsidR="00F77257" w:rsidRPr="00F77257" w:rsidRDefault="00F77257" w:rsidP="00F77257">
      <w:pPr>
        <w:ind w:firstLine="708"/>
        <w:jc w:val="both"/>
        <w:rPr>
          <w:rFonts w:ascii="Abadi" w:hAnsi="Abadi" w:cs="Arial"/>
          <w:sz w:val="21"/>
          <w:szCs w:val="21"/>
          <w:lang w:val="es-MX" w:eastAsia="en-US"/>
        </w:rPr>
      </w:pPr>
    </w:p>
    <w:p w14:paraId="3362A987" w14:textId="77777777" w:rsidR="00F77257" w:rsidRPr="00F77257" w:rsidRDefault="00F77257" w:rsidP="00F77257">
      <w:pPr>
        <w:ind w:left="1134" w:right="1065"/>
        <w:jc w:val="both"/>
        <w:rPr>
          <w:rFonts w:ascii="Abadi" w:hAnsi="Abadi" w:cs="Arial"/>
          <w:i/>
          <w:iCs/>
          <w:sz w:val="21"/>
          <w:szCs w:val="21"/>
          <w:lang w:val="es-MX" w:eastAsia="en-US"/>
        </w:rPr>
      </w:pPr>
      <w:r w:rsidRPr="00F77257">
        <w:rPr>
          <w:rFonts w:ascii="Abadi" w:hAnsi="Abadi" w:cs="Arial"/>
          <w:i/>
          <w:iCs/>
          <w:sz w:val="21"/>
          <w:szCs w:val="21"/>
          <w:lang w:val="es-MX" w:eastAsia="en-US"/>
        </w:rPr>
        <w:t xml:space="preserve">(…) una vez analizadas las iniciativas, a la luz del orden jurídico Constitucional Federal y Local, así como el análisis de la legislación secundaria, relacionada con la materia de estudio, se puede concluir que: En el sistema Constitucional Democrático de Derecho, ha de prevalecer estrictamente la división de poderes, tal y como lo refiere el artículo 49 de la Constitución Federal y que consecuentemente recoge la Constitución Política para el Estado de Guanajuato en su </w:t>
      </w:r>
      <w:r w:rsidRPr="00F77257">
        <w:rPr>
          <w:rFonts w:ascii="Abadi" w:hAnsi="Abadi" w:cs="Arial"/>
          <w:i/>
          <w:iCs/>
          <w:sz w:val="21"/>
          <w:szCs w:val="21"/>
          <w:lang w:val="es-MX" w:eastAsia="en-US"/>
        </w:rPr>
        <w:lastRenderedPageBreak/>
        <w:t>artículo 36; en ese sentido, se considera que cada uno de los Poderes cuenta con atribuciones y responsabilidades específicas con las cuales se garantiza un Estado de equilibrio entre ellos. Derivado del estudio conjunto de las iniciativas, se puede observar que se propone la posibilidad de que sea el Congreso del Estado quien asuma la responsabilidad de realizar de manera exclusiva todo el proceso de designación del Fiscal General del Estado, argumentando la necesidad de garantizar la autonomía de dicho encargo, y por otra parte se propone garantizar la participación del Congreso del Estado en el proceso de remoción del mismo Fiscal General del Estado.</w:t>
      </w:r>
      <w:r w:rsidRPr="00F77257">
        <w:rPr>
          <w:rFonts w:ascii="Abadi" w:hAnsi="Abadi" w:cs="Arial"/>
          <w:i/>
          <w:iCs/>
          <w:sz w:val="21"/>
          <w:szCs w:val="21"/>
          <w:lang w:val="es-MX" w:eastAsia="en-US"/>
        </w:rPr>
        <w:br/>
      </w:r>
    </w:p>
    <w:p w14:paraId="6B0E5C22" w14:textId="77777777" w:rsidR="00F77257" w:rsidRPr="00F77257" w:rsidRDefault="00F77257" w:rsidP="00F77257">
      <w:pPr>
        <w:ind w:left="1134" w:right="1065"/>
        <w:jc w:val="both"/>
        <w:rPr>
          <w:rFonts w:ascii="Abadi" w:hAnsi="Abadi" w:cs="Arial"/>
          <w:i/>
          <w:iCs/>
          <w:sz w:val="21"/>
          <w:szCs w:val="21"/>
          <w:lang w:val="es-MX" w:eastAsia="en-US"/>
        </w:rPr>
      </w:pPr>
      <w:r w:rsidRPr="00F77257">
        <w:rPr>
          <w:rFonts w:ascii="Abadi" w:hAnsi="Abadi" w:cs="Arial"/>
          <w:i/>
          <w:iCs/>
          <w:sz w:val="21"/>
          <w:szCs w:val="21"/>
          <w:lang w:val="es-MX" w:eastAsia="en-US"/>
        </w:rPr>
        <w:t xml:space="preserve">En cuanto a la propuesta de reforma de la fracción I del artículo 95, en donde se propone la emisión de una convocatoria pública a efecto de recibir las solicitudes de postulantes a ocupar el encargo de Fiscal General del Estado, se considera viable toda vez que actualmente la fracción que se pretende reformar, establece la elaboración de un listado por parte del Congreso del Estado, sin que se mencione el procedimiento a seguir para lograr tal cometido, a pesar de requerir la aprobación de las dos </w:t>
      </w:r>
      <w:r w:rsidRPr="00F77257">
        <w:rPr>
          <w:rFonts w:ascii="Abadi" w:hAnsi="Abadi" w:cs="Arial"/>
          <w:i/>
          <w:iCs/>
          <w:sz w:val="21"/>
          <w:szCs w:val="21"/>
          <w:lang w:val="es-MX" w:eastAsia="en-US"/>
        </w:rPr>
        <w:t>terceras partes de los miembros presentes; la iniciativa propone además, establecer una temporalidad considerable (6 meses) de anticipación a la ausencia definitiva del fiscal, con la intención de comenzar con el procedimiento de sustitución, a través de la publicación de una convocatoria pública. Se considera que, con la publicación de la convocatoria, se transparenta la etapa de registro de aspirantes al encargo.</w:t>
      </w:r>
    </w:p>
    <w:p w14:paraId="20F1781E" w14:textId="77777777" w:rsidR="00F77257" w:rsidRPr="00F77257" w:rsidRDefault="00F77257" w:rsidP="00F77257">
      <w:pPr>
        <w:ind w:left="1134" w:right="1065"/>
        <w:jc w:val="both"/>
        <w:rPr>
          <w:rFonts w:ascii="Abadi" w:hAnsi="Abadi" w:cs="Arial"/>
          <w:i/>
          <w:iCs/>
          <w:sz w:val="21"/>
          <w:szCs w:val="21"/>
          <w:lang w:val="es-MX" w:eastAsia="en-US"/>
        </w:rPr>
      </w:pPr>
    </w:p>
    <w:p w14:paraId="6A99E2CC" w14:textId="77777777" w:rsidR="00F77257" w:rsidRPr="00F77257" w:rsidRDefault="00F77257" w:rsidP="00F77257">
      <w:pPr>
        <w:ind w:left="1134" w:right="1065"/>
        <w:jc w:val="both"/>
        <w:rPr>
          <w:rFonts w:ascii="Abadi" w:hAnsi="Abadi" w:cs="Arial"/>
          <w:i/>
          <w:iCs/>
          <w:sz w:val="21"/>
          <w:szCs w:val="21"/>
          <w:lang w:val="es-MX" w:eastAsia="en-US"/>
        </w:rPr>
      </w:pPr>
      <w:r w:rsidRPr="00F77257">
        <w:rPr>
          <w:rFonts w:ascii="Abadi" w:hAnsi="Abadi" w:cs="Arial"/>
          <w:i/>
          <w:iCs/>
          <w:sz w:val="21"/>
          <w:szCs w:val="21"/>
          <w:lang w:val="es-MX" w:eastAsia="en-US"/>
        </w:rPr>
        <w:t xml:space="preserve">Respecto a la propuesta de reforma de la fracción II, específicamente en cuanto al párrafo primero de la propuesta, se considera viable la participación de las Comisiones mencionadas en el proceso de recepción y análisis de la idoneidad de los postulantes, así como el cumplimiento de los requisitos que se establezcan en la convocatoria, en atención a las atribuciones que actualmente ha conferido la Ley Orgánica del Poder Legislativo a cada una de las Comisiones Legislativas. De igual forma se considera necesario realizar una reestructura de la propuesta a efecto de que guarde una secuencia sistémica con el desarrollo propuesto en la fracción I del artículo 95 de la constitución local, mismo que propone el </w:t>
      </w:r>
      <w:r w:rsidRPr="00F77257">
        <w:rPr>
          <w:rFonts w:ascii="Abadi" w:hAnsi="Abadi" w:cs="Arial"/>
          <w:i/>
          <w:iCs/>
          <w:sz w:val="21"/>
          <w:szCs w:val="21"/>
          <w:lang w:val="es-MX" w:eastAsia="en-US"/>
        </w:rPr>
        <w:lastRenderedPageBreak/>
        <w:t>tema de la convocatoria, su publicación y el proceso para la recepción de las solicitudes de los aspirantes al encargo de Fiscal General del Estado. En cuanto a la propuesta de reforma a la fracción III, se somete a consideración de la Comisión, el término de días naturales ya que prácticamente para el desarrollo del proceso se contemplan en la propuesta de reforma que sean naturales en contraposición a días hábiles. Siguiendo con las conclusiones y dando paso al análisis de la fracción IV, se considera viable.</w:t>
      </w:r>
    </w:p>
    <w:p w14:paraId="2C9EAC63" w14:textId="77777777" w:rsidR="00F77257" w:rsidRPr="00F77257" w:rsidRDefault="00F77257" w:rsidP="00F77257">
      <w:pPr>
        <w:ind w:left="1134" w:right="1065"/>
        <w:jc w:val="both"/>
        <w:rPr>
          <w:rFonts w:ascii="Abadi" w:hAnsi="Abadi" w:cs="Arial"/>
          <w:i/>
          <w:iCs/>
          <w:sz w:val="21"/>
          <w:szCs w:val="21"/>
          <w:lang w:val="es-MX" w:eastAsia="en-US"/>
        </w:rPr>
      </w:pPr>
    </w:p>
    <w:p w14:paraId="5E482A9A" w14:textId="77777777" w:rsidR="00F77257" w:rsidRPr="00F77257" w:rsidRDefault="00F77257" w:rsidP="00F77257">
      <w:pPr>
        <w:ind w:left="1134" w:right="1065"/>
        <w:jc w:val="both"/>
        <w:rPr>
          <w:rFonts w:ascii="Abadi" w:hAnsi="Abadi" w:cs="Arial"/>
          <w:i/>
          <w:iCs/>
          <w:sz w:val="21"/>
          <w:szCs w:val="21"/>
          <w:lang w:val="es-MX" w:eastAsia="en-US"/>
        </w:rPr>
      </w:pPr>
      <w:r w:rsidRPr="00F77257">
        <w:rPr>
          <w:rFonts w:ascii="Abadi" w:hAnsi="Abadi" w:cs="Arial"/>
          <w:i/>
          <w:iCs/>
          <w:sz w:val="21"/>
          <w:szCs w:val="21"/>
          <w:lang w:val="es-MX" w:eastAsia="en-US"/>
        </w:rPr>
        <w:t xml:space="preserve">En relación con la propuesta de reforma a la fracción V, se considera que una vez aprobada la lista de 5 candidatos por parte del Pleno del Congreso, debiera darse paso, al contenido del primer párrafo de la fracción I del artículo 95 Constitucional actual, a efecto de que dicho listado, sea remitido al Gobernador del Estado a efecto de que realice el procedimiento señalado en las actuales fracciones II y III del mismo numeral, es decir, que dentro de los diez días siguientes formule una terna que enviará a la consideración del Congreso del Estado, por lo que se considera inviable la propuesta en los términos en que se expresa, lo anterior con la finalidad de que se guarde el equilibrio </w:t>
      </w:r>
      <w:r w:rsidRPr="00F77257">
        <w:rPr>
          <w:rFonts w:ascii="Abadi" w:hAnsi="Abadi" w:cs="Arial"/>
          <w:i/>
          <w:iCs/>
          <w:sz w:val="21"/>
          <w:szCs w:val="21"/>
          <w:lang w:val="es-MX" w:eastAsia="en-US"/>
        </w:rPr>
        <w:t>constitucional democrático contando con la participación del poder Ejecutivo y Legislativo. Se considera que, en base al comentario anterior, resultaría inviable la propuesta de redacción de las fracciones VI y VII de la propuesta.</w:t>
      </w:r>
    </w:p>
    <w:p w14:paraId="11975195" w14:textId="77777777" w:rsidR="00F77257" w:rsidRPr="00F77257" w:rsidRDefault="00F77257" w:rsidP="00F77257">
      <w:pPr>
        <w:ind w:left="1134" w:right="1065"/>
        <w:jc w:val="both"/>
        <w:rPr>
          <w:rFonts w:ascii="Abadi" w:hAnsi="Abadi" w:cs="Arial"/>
          <w:i/>
          <w:iCs/>
          <w:sz w:val="21"/>
          <w:szCs w:val="21"/>
          <w:lang w:val="es-MX" w:eastAsia="en-US"/>
        </w:rPr>
      </w:pPr>
    </w:p>
    <w:p w14:paraId="33F79C37" w14:textId="3B651BDF" w:rsidR="00F77257" w:rsidRPr="00F77257" w:rsidRDefault="00F77257" w:rsidP="007E4F00">
      <w:pPr>
        <w:ind w:left="1134" w:right="1065"/>
        <w:jc w:val="both"/>
        <w:rPr>
          <w:rFonts w:ascii="Abadi" w:hAnsi="Abadi" w:cs="Arial"/>
          <w:i/>
          <w:iCs/>
          <w:sz w:val="21"/>
          <w:szCs w:val="21"/>
          <w:lang w:val="es-MX" w:eastAsia="en-US"/>
        </w:rPr>
      </w:pPr>
      <w:r w:rsidRPr="00F77257">
        <w:rPr>
          <w:rFonts w:ascii="Abadi" w:hAnsi="Abadi" w:cs="Arial"/>
          <w:i/>
          <w:iCs/>
          <w:sz w:val="21"/>
          <w:szCs w:val="21"/>
          <w:lang w:val="es-MX" w:eastAsia="en-US"/>
        </w:rPr>
        <w:t>Relativo a la propuesta de reforma a la fracción VIII, en la que se propone la realización de una consulta popular para el caso de que el Congreso no hubiese designado fiscal, se considera inviable a pesar de la propuesta realizada en los artículos segundo y tercero transitorios del decreto respecto a reforma a diversas disposiciones normativas a efecto de incluir dicha figura, toda vez que se entiende que el Poder Legislativo: Es uno de los órganos constitucionales del Estado que ostentan representación popular y es el generador de las normas con rango de ley, además de ser el fiscalizador y controlador de la acción del gobierno, por lo que se considera que es uno de los órganos facultados para participar del proceso de designación del Fiscal General del Estado, en representación de la ciudadanía del Estado.</w:t>
      </w:r>
    </w:p>
    <w:p w14:paraId="3D30ACE4" w14:textId="77777777" w:rsidR="00F77257" w:rsidRPr="00F77257" w:rsidRDefault="00F77257" w:rsidP="00F77257">
      <w:pPr>
        <w:ind w:left="1134" w:right="1065"/>
        <w:jc w:val="both"/>
        <w:rPr>
          <w:rFonts w:ascii="Abadi" w:hAnsi="Abadi" w:cs="Arial"/>
          <w:i/>
          <w:iCs/>
          <w:sz w:val="21"/>
          <w:szCs w:val="21"/>
          <w:lang w:val="es-MX" w:eastAsia="en-US"/>
        </w:rPr>
      </w:pPr>
    </w:p>
    <w:p w14:paraId="0F65888A" w14:textId="77777777" w:rsidR="00F77257" w:rsidRPr="00F77257" w:rsidRDefault="00F77257" w:rsidP="00F77257">
      <w:pPr>
        <w:ind w:left="1134" w:right="1065"/>
        <w:jc w:val="both"/>
        <w:rPr>
          <w:rFonts w:ascii="Abadi" w:hAnsi="Abadi" w:cs="Arial"/>
          <w:i/>
          <w:iCs/>
          <w:sz w:val="21"/>
          <w:szCs w:val="21"/>
          <w:lang w:val="es-MX" w:eastAsia="en-US"/>
        </w:rPr>
      </w:pPr>
    </w:p>
    <w:p w14:paraId="4533C437" w14:textId="77777777" w:rsidR="00F77257" w:rsidRPr="00F77257" w:rsidRDefault="00F77257" w:rsidP="007E4F00">
      <w:pPr>
        <w:ind w:left="708"/>
        <w:contextualSpacing/>
        <w:jc w:val="both"/>
        <w:rPr>
          <w:rFonts w:ascii="Abadi" w:hAnsi="Abadi" w:cs="Arial"/>
          <w:sz w:val="21"/>
          <w:szCs w:val="21"/>
          <w:lang w:val="es-MX" w:eastAsia="en-US"/>
        </w:rPr>
      </w:pPr>
      <w:r w:rsidRPr="00F77257">
        <w:rPr>
          <w:rFonts w:ascii="Abadi" w:hAnsi="Abadi" w:cs="Arial"/>
          <w:sz w:val="21"/>
          <w:szCs w:val="21"/>
          <w:lang w:val="es-MX" w:eastAsia="en-US"/>
        </w:rPr>
        <w:t xml:space="preserve">El Poder Judicial del Estado de Guanajuato manifestó que: </w:t>
      </w:r>
    </w:p>
    <w:p w14:paraId="6DFB40A7" w14:textId="77777777" w:rsidR="00F77257" w:rsidRPr="00F77257" w:rsidRDefault="00F77257" w:rsidP="007E4F00">
      <w:pPr>
        <w:ind w:left="708"/>
        <w:contextualSpacing/>
        <w:jc w:val="both"/>
        <w:rPr>
          <w:rFonts w:ascii="Abadi" w:hAnsi="Abadi" w:cs="Arial"/>
          <w:sz w:val="21"/>
          <w:szCs w:val="21"/>
          <w:lang w:val="es-MX" w:eastAsia="en-US"/>
        </w:rPr>
      </w:pPr>
    </w:p>
    <w:p w14:paraId="5AEC3C3B" w14:textId="77777777" w:rsidR="00F77257" w:rsidRPr="00F77257" w:rsidRDefault="00F77257" w:rsidP="00F77257">
      <w:pPr>
        <w:ind w:left="1134" w:right="1065"/>
        <w:jc w:val="both"/>
        <w:rPr>
          <w:rFonts w:ascii="Abadi" w:hAnsi="Abadi" w:cs="Arial"/>
          <w:i/>
          <w:iCs/>
          <w:sz w:val="21"/>
          <w:szCs w:val="21"/>
          <w:lang w:val="es-MX" w:eastAsia="en-US"/>
        </w:rPr>
      </w:pPr>
      <w:r w:rsidRPr="00F77257">
        <w:rPr>
          <w:rFonts w:ascii="Abadi" w:hAnsi="Abadi" w:cs="Arial"/>
          <w:i/>
          <w:iCs/>
          <w:sz w:val="21"/>
          <w:szCs w:val="21"/>
          <w:lang w:val="es-MX" w:eastAsia="en-US"/>
        </w:rPr>
        <w:lastRenderedPageBreak/>
        <w:t>(…) el 14 de julio de 2017, se publicó en el Periódico Oficial del Gobierno del Estado de Guanajuato, número 112, Segunda Parte, el Decreto Legislativo 202, por el que se reformaron y adicionaron diversas disposiciones de la Constitución Política para el Estado de Guanajuato, en materia de la Fiscalía General del Estado de Guanajuato. Parte de esa reforma versó sobre el procedimiento para la designación del Fiscal General del Estado. En las Consideraciones del dictamen elaborado· por la Comisión de Gobernación y Puntos Constitucionales, y que fue aprobado en la Sesión de Pleno del Congreso del Estado en fecha 22 de junio de 2017, se puede observar que el legislador local se decantó por incorporar en la reforma constitucional el mismo modelo que a nivel nacional contempla en el artículo 102, Apartado A, de la Constitución Política de los Estados Unidos Mexicanos, es decir, homologó la Constitución Local con lo que dispone la Norma Suprema.</w:t>
      </w:r>
    </w:p>
    <w:p w14:paraId="33CF7D20" w14:textId="77777777" w:rsidR="00F77257" w:rsidRPr="00F77257" w:rsidRDefault="00F77257" w:rsidP="00F77257">
      <w:pPr>
        <w:ind w:left="1134" w:right="1065"/>
        <w:jc w:val="both"/>
        <w:rPr>
          <w:rFonts w:ascii="Abadi" w:hAnsi="Abadi" w:cs="Arial"/>
          <w:i/>
          <w:iCs/>
          <w:sz w:val="21"/>
          <w:szCs w:val="21"/>
          <w:lang w:val="es-MX" w:eastAsia="en-US"/>
        </w:rPr>
      </w:pPr>
    </w:p>
    <w:p w14:paraId="39FFF85C" w14:textId="77777777" w:rsidR="00F77257" w:rsidRPr="00F77257" w:rsidRDefault="00F77257" w:rsidP="00F77257">
      <w:pPr>
        <w:spacing w:line="259" w:lineRule="auto"/>
        <w:ind w:left="1134" w:right="1036"/>
        <w:jc w:val="both"/>
        <w:rPr>
          <w:rFonts w:ascii="Abadi" w:hAnsi="Abadi" w:cs="Arial"/>
          <w:i/>
          <w:iCs/>
          <w:sz w:val="21"/>
          <w:szCs w:val="21"/>
          <w:lang w:val="es-MX" w:eastAsia="en-US"/>
        </w:rPr>
      </w:pPr>
      <w:r w:rsidRPr="00F77257">
        <w:rPr>
          <w:rFonts w:ascii="Abadi" w:hAnsi="Abadi" w:cs="Arial"/>
          <w:i/>
          <w:iCs/>
          <w:sz w:val="21"/>
          <w:szCs w:val="21"/>
          <w:lang w:val="es-MX" w:eastAsia="en-US"/>
        </w:rPr>
        <w:t xml:space="preserve">En el dictamen de la Comisión de Gobernación y Puntos Constitucionales del Congreso del Estado, se retomaron los argumentos que llevaron a legislador federal a optar por un modelo de </w:t>
      </w:r>
      <w:r w:rsidRPr="00F77257">
        <w:rPr>
          <w:rFonts w:ascii="Abadi" w:hAnsi="Abadi" w:cs="Arial"/>
          <w:i/>
          <w:iCs/>
          <w:sz w:val="21"/>
          <w:szCs w:val="21"/>
          <w:lang w:val="es-MX" w:eastAsia="en-US"/>
        </w:rPr>
        <w:t xml:space="preserve">designación y remoción del Fiscal General del Estado, en el que intervienen tanto el Poder Ejecutivo como el Legislativo, por considerar que "la intervención del Poder Legislativo, a través del Senado de la República, en la designación y remoción del titular del Ministerio Público de la Federación, conlleva un esquema no sólo democrático, sino también transparente y equilibrado, lo que demuestra una clara voluntad de coordinación entre los poderes públicos". Motivación que llevó al legislador local por decantarse por este modelo seguido a nivel federal, sin que existan elementos sabidos, tanto a nivel federal como estatal que hagan suponer su falta de operatividad o resultados de este modelo implementado. De ahí, que se considere que el haber dispuesto en la Constitución local un modelo que guarda estrecha sintonía con el modelo federal permite tener un sistema de normas que dan igual tratamiento a asuntos de la misma naturaleza, por lo que se sugiere ponderar su permanencia. En todo caso, se sugiere considerar oportuna la reforma planteada el atender cuestiones </w:t>
      </w:r>
      <w:r w:rsidRPr="00F77257">
        <w:rPr>
          <w:rFonts w:ascii="Abadi" w:hAnsi="Abadi" w:cs="Arial"/>
          <w:i/>
          <w:iCs/>
          <w:sz w:val="21"/>
          <w:szCs w:val="21"/>
          <w:lang w:val="es-MX" w:eastAsia="en-US"/>
        </w:rPr>
        <w:lastRenderedPageBreak/>
        <w:t>relacionadas con la técnica legislativa.</w:t>
      </w:r>
    </w:p>
    <w:p w14:paraId="2BE7C30E" w14:textId="77777777" w:rsidR="00F77257" w:rsidRPr="00F77257" w:rsidRDefault="00F77257" w:rsidP="00F77257">
      <w:pPr>
        <w:spacing w:line="259" w:lineRule="auto"/>
        <w:ind w:left="1134" w:right="1036"/>
        <w:jc w:val="both"/>
        <w:rPr>
          <w:rFonts w:ascii="Abadi" w:hAnsi="Abadi" w:cs="Arial"/>
          <w:i/>
          <w:iCs/>
          <w:sz w:val="21"/>
          <w:szCs w:val="21"/>
          <w:lang w:val="es-MX" w:eastAsia="en-US"/>
        </w:rPr>
      </w:pPr>
    </w:p>
    <w:p w14:paraId="7532BD8F" w14:textId="77777777" w:rsidR="00F77257" w:rsidRPr="00F77257" w:rsidRDefault="00F77257" w:rsidP="00F77257">
      <w:pPr>
        <w:spacing w:line="259" w:lineRule="auto"/>
        <w:ind w:left="1134" w:right="1036"/>
        <w:jc w:val="both"/>
        <w:rPr>
          <w:rFonts w:ascii="Abadi" w:hAnsi="Abadi" w:cs="Arial"/>
          <w:i/>
          <w:iCs/>
          <w:sz w:val="21"/>
          <w:szCs w:val="21"/>
          <w:lang w:val="es-MX" w:eastAsia="en-US"/>
        </w:rPr>
      </w:pPr>
      <w:r w:rsidRPr="00F77257">
        <w:rPr>
          <w:rFonts w:ascii="Abadi" w:hAnsi="Abadi" w:cs="Arial"/>
          <w:i/>
          <w:iCs/>
          <w:sz w:val="21"/>
          <w:szCs w:val="21"/>
          <w:lang w:val="es-MX" w:eastAsia="en-US"/>
        </w:rPr>
        <w:t>El legislador local., hizo como propios la argumentación utilizada por el legislador federal para que, en el diseño de la remoción del Fiscal, participaran tanto el Poder Ejecutivo, con la facultad de removerlo, como el Legislativo, con la facultad de objetar la remoción que aquél formulara. Así se dijo al manifestar que: "la intervención del Poder Legislativo, a través del Senado de la República, en la designación y remoción del titular del Ministerio Público de la Federación, conlleva un esquema no sólo democrático, sino también transparente y equilibrado, lo que demuestra una clara voluntad de coordinación entre los poderes públicos".</w:t>
      </w:r>
    </w:p>
    <w:p w14:paraId="369F101C" w14:textId="77777777" w:rsidR="00F77257" w:rsidRPr="00F77257" w:rsidRDefault="00F77257" w:rsidP="00F77257">
      <w:pPr>
        <w:spacing w:line="259" w:lineRule="auto"/>
        <w:ind w:left="1134" w:right="1036"/>
        <w:jc w:val="both"/>
        <w:rPr>
          <w:rFonts w:ascii="Abadi" w:hAnsi="Abadi" w:cs="Arial"/>
          <w:i/>
          <w:iCs/>
          <w:sz w:val="21"/>
          <w:szCs w:val="21"/>
          <w:lang w:val="es-MX" w:eastAsia="en-US"/>
        </w:rPr>
      </w:pPr>
    </w:p>
    <w:p w14:paraId="0F39D113" w14:textId="77777777" w:rsidR="00F77257" w:rsidRPr="00F77257" w:rsidRDefault="00F77257" w:rsidP="00F77257">
      <w:pPr>
        <w:ind w:firstLine="708"/>
        <w:jc w:val="both"/>
        <w:rPr>
          <w:rFonts w:ascii="Abadi" w:hAnsi="Abadi" w:cs="Arial"/>
          <w:sz w:val="21"/>
          <w:szCs w:val="21"/>
          <w:lang w:val="es-MX" w:eastAsia="en-US"/>
        </w:rPr>
      </w:pPr>
      <w:r w:rsidRPr="00F77257">
        <w:rPr>
          <w:rFonts w:ascii="Abadi" w:hAnsi="Abadi" w:cs="Arial"/>
          <w:sz w:val="21"/>
          <w:szCs w:val="21"/>
          <w:lang w:val="es-MX" w:eastAsia="en-US"/>
        </w:rPr>
        <w:t xml:space="preserve">La Universidad de Guanajuato manifestó en su momento que: </w:t>
      </w:r>
    </w:p>
    <w:p w14:paraId="381683A5" w14:textId="77777777" w:rsidR="00F77257" w:rsidRPr="00F77257" w:rsidRDefault="00F77257" w:rsidP="00F77257">
      <w:pPr>
        <w:jc w:val="both"/>
        <w:rPr>
          <w:rFonts w:ascii="Abadi" w:hAnsi="Abadi" w:cs="Arial"/>
          <w:sz w:val="21"/>
          <w:szCs w:val="21"/>
          <w:lang w:val="es-MX" w:eastAsia="en-US"/>
        </w:rPr>
      </w:pPr>
    </w:p>
    <w:p w14:paraId="52C51E31" w14:textId="77777777" w:rsidR="00F77257" w:rsidRPr="00F77257" w:rsidRDefault="00F77257" w:rsidP="00F77257">
      <w:pPr>
        <w:ind w:left="1134" w:right="1065"/>
        <w:jc w:val="both"/>
        <w:rPr>
          <w:rFonts w:ascii="Abadi" w:hAnsi="Abadi" w:cs="Arial"/>
          <w:i/>
          <w:iCs/>
          <w:sz w:val="21"/>
          <w:szCs w:val="21"/>
          <w:lang w:val="es-MX" w:eastAsia="en-US"/>
        </w:rPr>
      </w:pPr>
      <w:r w:rsidRPr="00F77257">
        <w:rPr>
          <w:rFonts w:ascii="Abadi" w:hAnsi="Abadi" w:cs="Arial"/>
          <w:i/>
          <w:iCs/>
          <w:sz w:val="21"/>
          <w:szCs w:val="21"/>
          <w:lang w:val="es-MX" w:eastAsia="en-US"/>
        </w:rPr>
        <w:t xml:space="preserve">(…) las iniciativas pretenden reformar el artículo 95 constitucional, con la finalidad de que el Congreso pueda remover al Fiscal General del Estado, instrumentar un nuevo procedimiento para designarlo y removerlo, y establecer el contenido esencial del informe que debe rendir anualmente a los Poderes del Estado. Al respecto, se advierte que son varios </w:t>
      </w:r>
      <w:r w:rsidRPr="00F77257">
        <w:rPr>
          <w:rFonts w:ascii="Abadi" w:hAnsi="Abadi" w:cs="Arial"/>
          <w:i/>
          <w:iCs/>
          <w:sz w:val="21"/>
          <w:szCs w:val="21"/>
          <w:lang w:val="es-MX" w:eastAsia="en-US"/>
        </w:rPr>
        <w:t>los motivos que justifican las propuestas; únicamente se sugiere que, al tratarse de un organismo constitucional autónomo, se realice el estudio a la luz del marco jurídico a nivel federal, para garantizar el estado de derecho y se eviten mecanismos de remoción contrarios al sistema de pesos y contrapesos que dan equilibrio a la democracia.</w:t>
      </w:r>
    </w:p>
    <w:p w14:paraId="6F24220D" w14:textId="77777777" w:rsidR="00F77257" w:rsidRPr="00F77257" w:rsidRDefault="00F77257" w:rsidP="00F77257">
      <w:pPr>
        <w:ind w:left="1134" w:right="1065"/>
        <w:jc w:val="both"/>
        <w:rPr>
          <w:rFonts w:ascii="Abadi" w:hAnsi="Abadi" w:cs="Arial"/>
          <w:i/>
          <w:iCs/>
          <w:sz w:val="21"/>
          <w:szCs w:val="21"/>
          <w:lang w:val="es-MX" w:eastAsia="en-US"/>
        </w:rPr>
      </w:pPr>
    </w:p>
    <w:p w14:paraId="583B4E46" w14:textId="77777777" w:rsidR="00F77257" w:rsidRPr="00F77257" w:rsidRDefault="00F77257" w:rsidP="00F77257">
      <w:pPr>
        <w:spacing w:line="276" w:lineRule="auto"/>
        <w:jc w:val="both"/>
        <w:rPr>
          <w:rFonts w:ascii="Abadi" w:eastAsia="Batang" w:hAnsi="Abadi" w:cs="Arial"/>
          <w:bCs/>
          <w:sz w:val="21"/>
          <w:szCs w:val="21"/>
          <w:lang w:val="es-MX"/>
        </w:rPr>
      </w:pPr>
      <w:r w:rsidRPr="00F77257">
        <w:rPr>
          <w:rFonts w:ascii="Abadi" w:eastAsia="Batang" w:hAnsi="Abadi" w:cs="Arial"/>
          <w:b/>
          <w:sz w:val="21"/>
          <w:szCs w:val="21"/>
        </w:rPr>
        <w:t xml:space="preserve">II.2. </w:t>
      </w:r>
      <w:r w:rsidRPr="00F77257">
        <w:rPr>
          <w:rFonts w:ascii="Abadi" w:eastAsia="Batang" w:hAnsi="Abadi" w:cs="Arial"/>
          <w:bCs/>
          <w:sz w:val="21"/>
          <w:szCs w:val="21"/>
          <w:lang w:val="es-MX"/>
        </w:rPr>
        <w:t>Se celebró una mesa de trabajo en modalidad híbrida el 15 de junio de 2022 para desahogar los comentarios y observaciones a la iniciativa estando presentes las diputadas Susana Bermúdez Cano y Alma Edwviges Alcaraz Hernández integrantes de la Comisión de Gobernación y Puntos Constitucionales, así como, servidores públicos representantes de la Coordinación General Jurídica de Gobierno del Estado. Estuvieron presentes también asesores de los grupos parlamentarios de los partidos Acción Nacional, MORENA, Revolucionario Institucional y Verde Ecologista de México y la secretaria técnica de la comisión.</w:t>
      </w:r>
    </w:p>
    <w:p w14:paraId="1069F1C6" w14:textId="77777777" w:rsidR="00F77257" w:rsidRPr="00F77257" w:rsidRDefault="00F77257" w:rsidP="00F77257">
      <w:pPr>
        <w:spacing w:line="276" w:lineRule="auto"/>
        <w:jc w:val="both"/>
        <w:rPr>
          <w:rFonts w:ascii="Abadi" w:hAnsi="Abadi" w:cs="Arial"/>
          <w:sz w:val="21"/>
          <w:szCs w:val="21"/>
          <w:lang w:val="es-MX" w:eastAsia="en-US"/>
        </w:rPr>
      </w:pPr>
    </w:p>
    <w:p w14:paraId="4B6CEC08" w14:textId="77777777" w:rsidR="00F77257" w:rsidRPr="00F77257" w:rsidRDefault="00F77257" w:rsidP="00F77257">
      <w:pPr>
        <w:spacing w:line="276" w:lineRule="auto"/>
        <w:jc w:val="both"/>
        <w:rPr>
          <w:rFonts w:ascii="Abadi" w:eastAsia="Batang" w:hAnsi="Abadi" w:cs="Arial"/>
          <w:bCs/>
          <w:sz w:val="21"/>
          <w:szCs w:val="21"/>
          <w:lang w:val="es-MX"/>
        </w:rPr>
      </w:pPr>
      <w:r w:rsidRPr="00F77257">
        <w:rPr>
          <w:rFonts w:ascii="Abadi" w:eastAsia="Batang" w:hAnsi="Abadi" w:cs="Arial"/>
          <w:b/>
          <w:sz w:val="21"/>
          <w:szCs w:val="21"/>
          <w:lang w:val="es-MX"/>
        </w:rPr>
        <w:t xml:space="preserve">II.3. </w:t>
      </w:r>
      <w:r w:rsidRPr="00F77257">
        <w:rPr>
          <w:rFonts w:ascii="Abadi" w:hAnsi="Abadi" w:cs="Arial"/>
          <w:sz w:val="21"/>
          <w:szCs w:val="21"/>
        </w:rPr>
        <w:t>L</w:t>
      </w:r>
      <w:r w:rsidRPr="00F77257">
        <w:rPr>
          <w:rFonts w:ascii="Abadi" w:eastAsia="Batang" w:hAnsi="Abadi" w:cs="Arial"/>
          <w:sz w:val="21"/>
          <w:szCs w:val="21"/>
        </w:rPr>
        <w:t>a presidencia de la Comisión de Gobernación y Puntos Constitucionales instruyó a la Secretaría Técnica para que elaborara el proyecto de dictamen en sentido negativo, atendiendo a lo vertido en la mesa de trabajo y, conforme con lo dispuesto en los artículos 94, fracción VII y 272, fracción VIII inciso e de la Ley Orgánica del Poder Legislativo del Estado, mismo que fue materia de revisión por los diputados y las diputadas integrantes de esta comisión dictaminadora.</w:t>
      </w:r>
    </w:p>
    <w:p w14:paraId="2CA7C41A" w14:textId="77777777" w:rsidR="00F77257" w:rsidRPr="00F77257" w:rsidRDefault="00F77257" w:rsidP="00F77257">
      <w:pPr>
        <w:spacing w:line="276" w:lineRule="auto"/>
        <w:jc w:val="both"/>
        <w:rPr>
          <w:rFonts w:ascii="Abadi" w:eastAsia="Batang" w:hAnsi="Abadi" w:cs="Arial"/>
          <w:bCs/>
          <w:sz w:val="21"/>
          <w:szCs w:val="21"/>
          <w:lang w:val="es-MX"/>
        </w:rPr>
      </w:pPr>
    </w:p>
    <w:p w14:paraId="3B1AE114" w14:textId="77777777" w:rsidR="00F77257" w:rsidRPr="00F77257" w:rsidRDefault="00F77257" w:rsidP="00F77257">
      <w:pPr>
        <w:spacing w:line="276" w:lineRule="auto"/>
        <w:jc w:val="both"/>
        <w:rPr>
          <w:rFonts w:ascii="Abadi" w:eastAsia="Batang" w:hAnsi="Abadi" w:cs="Arial"/>
          <w:b/>
          <w:i/>
          <w:iCs/>
          <w:sz w:val="21"/>
          <w:szCs w:val="21"/>
          <w:lang w:val="es-MX" w:eastAsia="en-US"/>
        </w:rPr>
      </w:pPr>
      <w:r w:rsidRPr="00F77257">
        <w:rPr>
          <w:rFonts w:ascii="Abadi" w:eastAsia="Batang" w:hAnsi="Abadi" w:cs="Arial"/>
          <w:b/>
          <w:sz w:val="21"/>
          <w:szCs w:val="21"/>
          <w:lang w:val="es-MX" w:eastAsia="en-US"/>
        </w:rPr>
        <w:t xml:space="preserve">III. Contenido de la iniciativa y consideraciones generales de las y los dictaminadores sobre los objetivos perseguidos con la propuesta de reforma al artículo 95 de la Constitución Política para el Estado de Guanajuato </w:t>
      </w:r>
      <w:r w:rsidRPr="00F77257">
        <w:rPr>
          <w:rFonts w:ascii="Abadi" w:eastAsia="Batang" w:hAnsi="Abadi" w:cs="Arial"/>
          <w:b/>
          <w:i/>
          <w:iCs/>
          <w:sz w:val="21"/>
          <w:szCs w:val="21"/>
          <w:lang w:val="es-MX" w:eastAsia="en-US"/>
        </w:rPr>
        <w:t xml:space="preserve">sobre la </w:t>
      </w:r>
      <w:r w:rsidRPr="00F77257">
        <w:rPr>
          <w:rFonts w:ascii="Abadi" w:eastAsia="Batang" w:hAnsi="Abadi" w:cs="Arial"/>
          <w:b/>
          <w:i/>
          <w:iCs/>
          <w:sz w:val="21"/>
          <w:szCs w:val="21"/>
          <w:lang w:val="es-MX" w:eastAsia="en-US"/>
        </w:rPr>
        <w:lastRenderedPageBreak/>
        <w:t>designación y remoción de quien ostentará la titularidad de la Fiscalía General</w:t>
      </w:r>
    </w:p>
    <w:p w14:paraId="1139889F" w14:textId="77777777" w:rsidR="00F77257" w:rsidRPr="00F77257" w:rsidRDefault="00F77257" w:rsidP="00F77257">
      <w:pPr>
        <w:spacing w:line="276" w:lineRule="auto"/>
        <w:jc w:val="both"/>
        <w:rPr>
          <w:rFonts w:ascii="Abadi" w:eastAsia="Batang" w:hAnsi="Abadi" w:cs="Arial"/>
          <w:b/>
          <w:sz w:val="21"/>
          <w:szCs w:val="21"/>
          <w:lang w:val="es-MX" w:eastAsia="en-US"/>
        </w:rPr>
      </w:pPr>
      <w:r w:rsidRPr="00F77257">
        <w:rPr>
          <w:rFonts w:ascii="Abadi" w:eastAsia="Batang" w:hAnsi="Abadi" w:cs="Arial"/>
          <w:b/>
          <w:sz w:val="21"/>
          <w:szCs w:val="21"/>
          <w:lang w:val="es-MX" w:eastAsia="en-US"/>
        </w:rPr>
        <w:t xml:space="preserve"> </w:t>
      </w:r>
    </w:p>
    <w:p w14:paraId="673AF2C2" w14:textId="77777777" w:rsidR="00F77257" w:rsidRPr="00F77257" w:rsidRDefault="00F77257" w:rsidP="00F77257">
      <w:pPr>
        <w:autoSpaceDE w:val="0"/>
        <w:autoSpaceDN w:val="0"/>
        <w:adjustRightInd w:val="0"/>
        <w:spacing w:line="276" w:lineRule="auto"/>
        <w:ind w:firstLine="708"/>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El objeto de la iniciativa de manera individual radica, en reformar el artículo 95 de la Constitución Política para el Estado de Guanajuato a fin de que el Fiscal General del Estado tenga un proceso de designación y de remoción diverso al dispuesto hasta ahora.</w:t>
      </w:r>
    </w:p>
    <w:p w14:paraId="5B7FE2C1" w14:textId="77777777" w:rsidR="00F77257" w:rsidRPr="00F77257" w:rsidRDefault="00F77257" w:rsidP="00F77257">
      <w:pPr>
        <w:autoSpaceDE w:val="0"/>
        <w:autoSpaceDN w:val="0"/>
        <w:adjustRightInd w:val="0"/>
        <w:spacing w:line="276" w:lineRule="auto"/>
        <w:ind w:firstLine="708"/>
        <w:jc w:val="both"/>
        <w:rPr>
          <w:rFonts w:ascii="Abadi" w:eastAsia="Batang" w:hAnsi="Abadi" w:cs="Arial"/>
          <w:sz w:val="21"/>
          <w:szCs w:val="21"/>
          <w:lang w:val="es-MX" w:eastAsia="en-US"/>
        </w:rPr>
      </w:pPr>
    </w:p>
    <w:p w14:paraId="542ADDA1" w14:textId="77777777" w:rsidR="00F77257" w:rsidRPr="00F77257" w:rsidRDefault="00F77257" w:rsidP="00F77257">
      <w:pPr>
        <w:spacing w:line="276" w:lineRule="auto"/>
        <w:ind w:firstLine="708"/>
        <w:jc w:val="both"/>
        <w:rPr>
          <w:rFonts w:ascii="Abadi" w:hAnsi="Abadi" w:cs="Arial Unicode MS"/>
          <w:sz w:val="21"/>
          <w:szCs w:val="21"/>
          <w:lang w:val="es-MX" w:eastAsia="en-US"/>
        </w:rPr>
      </w:pPr>
      <w:r w:rsidRPr="00F77257">
        <w:rPr>
          <w:rFonts w:ascii="Abadi" w:hAnsi="Abadi" w:cs="Arial Unicode MS"/>
          <w:sz w:val="21"/>
          <w:szCs w:val="21"/>
          <w:lang w:val="es-MX" w:eastAsia="en-US"/>
        </w:rPr>
        <w:t>La iniciante expresó en su exposición de motivos lo siguiente:</w:t>
      </w:r>
    </w:p>
    <w:p w14:paraId="0B854953" w14:textId="77777777" w:rsidR="00F77257" w:rsidRPr="00F77257" w:rsidRDefault="00F77257" w:rsidP="00F77257">
      <w:pPr>
        <w:rPr>
          <w:rFonts w:ascii="Abadi" w:hAnsi="Abadi" w:cs="Arial"/>
          <w:i/>
          <w:color w:val="242424"/>
          <w:sz w:val="21"/>
          <w:szCs w:val="21"/>
          <w:highlight w:val="yellow"/>
          <w:lang w:val="es-MX" w:eastAsia="es-MX"/>
        </w:rPr>
      </w:pPr>
    </w:p>
    <w:p w14:paraId="135AB4D8" w14:textId="77777777" w:rsidR="00F77257" w:rsidRPr="00F77257" w:rsidRDefault="00F77257" w:rsidP="00F77257">
      <w:pPr>
        <w:ind w:left="567" w:right="611"/>
        <w:jc w:val="both"/>
        <w:textAlignment w:val="baseline"/>
        <w:rPr>
          <w:rFonts w:ascii="Abadi" w:hAnsi="Abadi" w:cs="Calibri"/>
          <w:bCs/>
          <w:i/>
          <w:sz w:val="21"/>
          <w:szCs w:val="21"/>
          <w:lang w:val="es-MX" w:eastAsia="es-MX"/>
        </w:rPr>
      </w:pPr>
      <w:r w:rsidRPr="00F77257">
        <w:rPr>
          <w:rFonts w:ascii="Abadi" w:hAnsi="Abadi" w:cs="Calibri"/>
          <w:bCs/>
          <w:i/>
          <w:sz w:val="21"/>
          <w:szCs w:val="21"/>
          <w:lang w:val="es-MX" w:eastAsia="en-US"/>
        </w:rPr>
        <w:t xml:space="preserve">«[...] </w:t>
      </w:r>
      <w:r w:rsidRPr="00F77257">
        <w:rPr>
          <w:rFonts w:ascii="Abadi" w:hAnsi="Abadi" w:cs="Calibri"/>
          <w:bCs/>
          <w:i/>
          <w:sz w:val="21"/>
          <w:szCs w:val="21"/>
          <w:lang w:val="es-MX" w:eastAsia="es-MX"/>
        </w:rPr>
        <w:t>El 10 de febrero de 2014 fue publicado en el Diario Oficial de la Federación el Decreto por el que se reforman, adicionan y derogan diversas disposiciones de la Constitución Política de los Estados Unidos Mexicanos, en materia política -electoral1, entre dichas reformas fueron realizadas modificaciones al artículo 102, a fin de crear la Fiscalía General de la República como un órgano público autónomo, dotado de personalidad jurídica y patrimonio propios en el que se organizaría el Ministerio Público. Dentro del contenido de dicho artículo también se establecieron los requisitos para ocupar el cargo de Fiscal General de la República, así como el proceso para su designación y remoción.</w:t>
      </w:r>
    </w:p>
    <w:p w14:paraId="19D88515" w14:textId="77777777" w:rsidR="00F77257" w:rsidRPr="00F77257" w:rsidRDefault="00F77257" w:rsidP="00F77257">
      <w:pPr>
        <w:ind w:left="567" w:right="611"/>
        <w:jc w:val="both"/>
        <w:rPr>
          <w:rFonts w:ascii="Abadi" w:hAnsi="Abadi" w:cs="Calibri"/>
          <w:bCs/>
          <w:i/>
          <w:sz w:val="21"/>
          <w:szCs w:val="21"/>
          <w:lang w:val="es-MX" w:eastAsia="en-US"/>
        </w:rPr>
      </w:pPr>
    </w:p>
    <w:p w14:paraId="22763C77"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 xml:space="preserve">El propósito de esta reforma fue reemplazar al Procurador General de la República por un Fiscal General para que tuviera mayor autonomía del titular del ejecutivo federal, al incluir un procedimiento específico para la ratificación de su nombramiento con la participación de la Cámara de Senadores. En el caso de la Fiscalía General del Estado de Guanajuato, el 14 de julio de 2017 fue publicado en el Periódico Oficial del Estado el Decreto número 202, de la Sexagésima Tercera Legislatura Constitucional del Congreso del Estado Libre y Soberano de Guanajuato, mediante el cual, se reformaron diversas disposiciones </w:t>
      </w:r>
      <w:r w:rsidRPr="00F77257">
        <w:rPr>
          <w:rFonts w:ascii="Abadi" w:hAnsi="Abadi" w:cs="Calibri"/>
          <w:bCs/>
          <w:i/>
          <w:sz w:val="21"/>
          <w:szCs w:val="21"/>
          <w:lang w:val="es-MX" w:eastAsia="en-US"/>
        </w:rPr>
        <w:t>de la Constitución Política del Estado2. Entre dichas reformas se encuentra la realizada al artículo 95 en el que se creó la Fiscalía General del Estado como un órgano público autónomo, dotado de personalidad jurídica y de patrimonio propios y se establecieron los requisitos para ocupar el cargo de Fiscal General, junto con el proceso para su selección y nombramiento con la participación de los poderes ejecutivo y legislativo. Si bien es cierto que, dicha reforma dotó de cierto grado de autonomía a la ahora fiscalía general, el hecho de que la remoción del titular sea realizada libremente por el Gobernador del Estado y que sea él quien decida las personas que integrarán la terna, hace que exista un control de facto por parte del Ejecutivo, así como que la función de control político del Legislativo se vea reducida.</w:t>
      </w:r>
    </w:p>
    <w:p w14:paraId="2CFA5FCC" w14:textId="77777777" w:rsidR="00F77257" w:rsidRPr="00F77257" w:rsidRDefault="00F77257" w:rsidP="00F77257">
      <w:pPr>
        <w:ind w:left="567" w:right="611"/>
        <w:jc w:val="both"/>
        <w:rPr>
          <w:rFonts w:ascii="Abadi" w:hAnsi="Abadi" w:cs="Calibri"/>
          <w:bCs/>
          <w:i/>
          <w:sz w:val="21"/>
          <w:szCs w:val="21"/>
          <w:lang w:val="es-MX" w:eastAsia="en-US"/>
        </w:rPr>
      </w:pPr>
    </w:p>
    <w:p w14:paraId="1C39E24A"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 xml:space="preserve">Asimismo, es necesario señalar que en el tercer párrafo del Artículo Primero Transitorio del citado Decreto número 202, se estableció que "El Procurador General de Justicia que se encuentre en funciones al momento de expedirse la declaratoria a que se refiere el párrafo anterior, asumirá las funciones de Fiscal General del Estado, sin perjuicio del procedimiento de remoción previsto en la fracción IV del artículo 95". Derivado del contenido de dicho transitorio, en la designación del actual Fiscal General no se llevó a cabo el procedimiento establecido en el artículo 95; con lo cual el procedimiento establecido para la selección y nombramiento de quien debió ser titular de la nueva Fiscalía General del Estado, se subordinó a la continuidad de Carlos Zamarripa Aguirre al frente de la procuración de justicia en la entidad. Por esto, con fecha 18 de octubre de 2018, el Gobernador del Estado hizo del conocimiento del Congreso, su decisión de ratificar al entonces Procurador General de Justicia como </w:t>
      </w:r>
      <w:r w:rsidRPr="00F77257">
        <w:rPr>
          <w:rFonts w:ascii="Abadi" w:hAnsi="Abadi" w:cs="Calibri"/>
          <w:bCs/>
          <w:i/>
          <w:sz w:val="21"/>
          <w:szCs w:val="21"/>
          <w:lang w:val="es-MX" w:eastAsia="en-US"/>
        </w:rPr>
        <w:lastRenderedPageBreak/>
        <w:t xml:space="preserve">el primer Fiscal General de Guanajuato. </w:t>
      </w:r>
    </w:p>
    <w:p w14:paraId="73AAE7CD" w14:textId="77777777" w:rsidR="00F77257" w:rsidRPr="00F77257" w:rsidRDefault="00F77257" w:rsidP="00F77257">
      <w:pPr>
        <w:ind w:left="567" w:right="611"/>
        <w:jc w:val="both"/>
        <w:rPr>
          <w:rFonts w:ascii="Abadi" w:hAnsi="Abadi" w:cs="Calibri"/>
          <w:bCs/>
          <w:i/>
          <w:sz w:val="21"/>
          <w:szCs w:val="21"/>
          <w:lang w:val="es-MX" w:eastAsia="en-US"/>
        </w:rPr>
      </w:pPr>
    </w:p>
    <w:p w14:paraId="7E8BA924"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Es importante destacar que dotar de autonomía al ministerio público le ha permitido dejar de ser, al menos administrativamente, un órgano dependiente del poder ejecutivo; con lo cual se esperaban generar mejores condiciones de imparcialidad en la tarea de procuración de justicia y mejorar su eficiencia en la persecución de los delitos, al evitar las injerencias que pudieran existir cuando las investigaciones incidieran en las esferas de poder o involucraran a algún servidor público.</w:t>
      </w:r>
    </w:p>
    <w:p w14:paraId="4EE4CC14" w14:textId="77777777" w:rsidR="00F77257" w:rsidRPr="00F77257" w:rsidRDefault="00F77257" w:rsidP="00F77257">
      <w:pPr>
        <w:ind w:left="567" w:right="611"/>
        <w:jc w:val="both"/>
        <w:rPr>
          <w:rFonts w:ascii="Abadi" w:hAnsi="Abadi" w:cs="Calibri"/>
          <w:bCs/>
          <w:i/>
          <w:sz w:val="21"/>
          <w:szCs w:val="21"/>
          <w:lang w:val="es-MX" w:eastAsia="en-US"/>
        </w:rPr>
      </w:pPr>
    </w:p>
    <w:p w14:paraId="3A75FACD"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Sin embargo, la autonomía que se le dio a la institución de procuración de justicia en el estado ha quedado reducida al ámbito administrativo, sin que se haya logrado evitar la intromisión del poder político. Por esto, las reformas que dieron luz a la Fiscalía no se han traducido en mejoras a la eficacia en la persecución de delitos, o en el combate a la impunidad en el Estado. La necesidad de contar con una fiscalía efectivamente autónoma para hacer frente a la delincuencia e inseguridad que existen en el país y en el Estado, debe ser atendida prioritariamente a fin de disminuir los niveles de impunidad que se viven diariamente y permitir que las y los guanajuatenses tengamos acceso a la justicia. Para lograr tan deseables e importantes fines, es necesario establecer un mecanismo de nombramiento que quede sólo en manos del Congreso, evitando con ello cualquier injerencia del poder ejecutivo e incluir mecanismos que permitan a los ciudadanos participar en la evaluación de los resultados de procuración de justicia y manifestar su voluntad sobre la pertinencia de que el titular de la fiscalía continúe en el cargo.</w:t>
      </w:r>
    </w:p>
    <w:p w14:paraId="5B2354A6" w14:textId="77777777" w:rsidR="00F77257" w:rsidRPr="00F77257" w:rsidRDefault="00F77257" w:rsidP="00F77257">
      <w:pPr>
        <w:ind w:left="567" w:right="611"/>
        <w:jc w:val="both"/>
        <w:rPr>
          <w:rFonts w:ascii="Abadi" w:hAnsi="Abadi" w:cs="Calibri"/>
          <w:bCs/>
          <w:i/>
          <w:sz w:val="21"/>
          <w:szCs w:val="21"/>
          <w:lang w:val="es-MX" w:eastAsia="en-US"/>
        </w:rPr>
      </w:pPr>
    </w:p>
    <w:p w14:paraId="75735DC3"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 xml:space="preserve">Tanto el derecho nacional como el internacional, han buscado abordar </w:t>
      </w:r>
      <w:r w:rsidRPr="00F77257">
        <w:rPr>
          <w:rFonts w:ascii="Abadi" w:hAnsi="Abadi" w:cs="Calibri"/>
          <w:bCs/>
          <w:i/>
          <w:sz w:val="21"/>
          <w:szCs w:val="21"/>
          <w:lang w:val="es-MX" w:eastAsia="en-US"/>
        </w:rPr>
        <w:t xml:space="preserve">la importancia que tiene el contar con operadores de justicia (magistrados, jueces y fiscales) independientes, destacando principalmente la adopción de mecanismos para reconocer los logros obtenidos y para establecer procesos transparentes y públicos de selección; fomentando con ello la participación y observación de parte de los ciudadanos y generando con ello un equilibrio que impida los abusos del poder e incentive a los funcionarios a llevar a cabo sus funciones de manera eficiente y eficaz. </w:t>
      </w:r>
    </w:p>
    <w:p w14:paraId="65E0EC89"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 xml:space="preserve"> </w:t>
      </w:r>
    </w:p>
    <w:p w14:paraId="00DF36CA"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 xml:space="preserve">En este sentido, la Comisión lnteramericana de Derechos Humanos en el Segundo informe sobre la situación de las defensoras y los defensores de derechos humanos en las Américas incluyó un capítulo sobre la independencia e imparcialidad de los operadores de justicia, en el que establece "El rol de los operadores de justicia -jueces y juezas, fiscales, procuradores, procuradoras, defensoras y defensores públicos y agentes de la administración de justicia- es fundamental para el acceso a la justicia a las víctimas de violaciones de derechos humanos, ya que través del aseguramiento del desempeño adecuado de las funciones jurisdiccionales, se garantiza que las condiciones de sustanciación del proceso, desde que inicia hasta que concluye, sean conformes a los estándares internacionales de derechos humanos"4. Al respecto destaca que, independientemente del cargo de cada uno de los servidores públicos, todos ellos intervienen en las distintas etapas del proceso y por lo tanto la profesionalización e independencia de cada uno de ellos es necesaria a fin de lograr que los hechos denunciados se esclarezcan y en su caso se sancionen efectiva e imparcialmente a los responsables. </w:t>
      </w:r>
    </w:p>
    <w:p w14:paraId="0E458FE5" w14:textId="77777777" w:rsidR="00F77257" w:rsidRPr="00F77257" w:rsidRDefault="00F77257" w:rsidP="00F77257">
      <w:pPr>
        <w:ind w:left="567" w:right="611"/>
        <w:jc w:val="both"/>
        <w:rPr>
          <w:rFonts w:ascii="Abadi" w:hAnsi="Abadi" w:cs="Calibri"/>
          <w:bCs/>
          <w:i/>
          <w:sz w:val="21"/>
          <w:szCs w:val="21"/>
          <w:lang w:val="es-MX" w:eastAsia="en-US"/>
        </w:rPr>
      </w:pPr>
    </w:p>
    <w:p w14:paraId="1DADF3A0"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 xml:space="preserve">En el mismo sentido, la Relatoría especial sobre la independencia de </w:t>
      </w:r>
      <w:r w:rsidRPr="00F77257">
        <w:rPr>
          <w:rFonts w:ascii="Abadi" w:hAnsi="Abadi" w:cs="Calibri"/>
          <w:bCs/>
          <w:i/>
          <w:sz w:val="21"/>
          <w:szCs w:val="21"/>
          <w:lang w:val="es-MX" w:eastAsia="en-US"/>
        </w:rPr>
        <w:lastRenderedPageBreak/>
        <w:t>magistrados y abogados de la Organización de las Naciones Unidas establece que "la falta de autonomía del Ministerio Público frente al Poder Ejecutivo, [ ... ] puede minar la</w:t>
      </w:r>
      <w:r w:rsidRPr="00F77257">
        <w:rPr>
          <w:rFonts w:ascii="Abadi" w:hAnsi="Abadi" w:cs="Arial Unicode MS"/>
          <w:sz w:val="21"/>
          <w:szCs w:val="21"/>
          <w:lang w:val="es-MX" w:eastAsia="en-US"/>
        </w:rPr>
        <w:t xml:space="preserve"> </w:t>
      </w:r>
      <w:r w:rsidRPr="00F77257">
        <w:rPr>
          <w:rFonts w:ascii="Abadi" w:hAnsi="Abadi" w:cs="Calibri"/>
          <w:bCs/>
          <w:i/>
          <w:sz w:val="21"/>
          <w:szCs w:val="21"/>
          <w:lang w:val="es-MX" w:eastAsia="en-US"/>
        </w:rPr>
        <w:t>confianza y credibilidad de la autoridad a la que se le encomienda investigar los delitos de forma objetiva", asimismo, "para garantizar el principio de igualdad de armas en materia penal se debería de alcanzar la independencia de las defensorías de los poderes Ejecutivos". La Comisión insta a los Estados a garantizar la independencia institucional de las entidades participantes en la administración de Justicia del Poder Judicial, Fiscalías y Defensorías Públicas respecto del poder ejecutivo del Estado.</w:t>
      </w:r>
    </w:p>
    <w:p w14:paraId="3567FF47" w14:textId="77777777" w:rsidR="00F77257" w:rsidRPr="00F77257" w:rsidRDefault="00F77257" w:rsidP="00F77257">
      <w:pPr>
        <w:ind w:left="567" w:right="611"/>
        <w:jc w:val="both"/>
        <w:rPr>
          <w:rFonts w:ascii="Abadi" w:hAnsi="Abadi" w:cs="Calibri"/>
          <w:bCs/>
          <w:i/>
          <w:sz w:val="21"/>
          <w:szCs w:val="21"/>
          <w:lang w:val="es-MX" w:eastAsia="en-US"/>
        </w:rPr>
      </w:pPr>
    </w:p>
    <w:p w14:paraId="71B9272F"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 xml:space="preserve">La autonomía a que se hace referencia en dichos documentos internacionales no se limita exclusivamente a los aspectos técnico, operativo y presupuestal; pues una verdadera separación de los poderes del estado requiere de una fiscalía que cuente con un titular que cumpla con el perfil técnico y la experiencia para llevar a cabo tan importante función, así como con un servicio profesional de carrera que asegure la capacidad y pertinencia de cada uno de los servidores públicos. Se trata pues de garantizar que no existirán injerencias o presiones directas o indirectas que puedan intervenir en la investigación de las conductas presumiblemente constitutivas de un delito. En este escenario la participación ciudadana cobra vital importancia pues la rendición de cuentas ante la sociedad es un elemento clave de los mecanismos de control y por lo tanto de generación de credibilidad y legitimidad de las acciones que llevan a cabo en el cumplimiento de sus funciones. Desafortunadamente los niveles de impunidad que se viven en países como el nuestro han generado un ambiente de </w:t>
      </w:r>
      <w:r w:rsidRPr="00F77257">
        <w:rPr>
          <w:rFonts w:ascii="Abadi" w:hAnsi="Abadi" w:cs="Calibri"/>
          <w:bCs/>
          <w:i/>
          <w:sz w:val="21"/>
          <w:szCs w:val="21"/>
          <w:lang w:val="es-MX" w:eastAsia="en-US"/>
        </w:rPr>
        <w:t>desconfianza e incredulidad sobre las tareas que realizan las instituciones encargadas de la procuración de justicia; ante ello "la actuación independiente de la judicatura es una garantía de la vigencia del ordenamiento jurídico, especialmente de los derechos y libertades fundamentales de los ciudadanos, que se encuentran en la base de todo Estado Democrático de Derecho, permitiendo hacer efectivo el control del poder y el cumplimiento de la ley mediante mecanismos jurisdiccionales.</w:t>
      </w:r>
    </w:p>
    <w:p w14:paraId="67213D3E" w14:textId="77777777" w:rsidR="00F77257" w:rsidRPr="00F77257" w:rsidRDefault="00F77257" w:rsidP="00F77257">
      <w:pPr>
        <w:ind w:left="567" w:right="611"/>
        <w:jc w:val="both"/>
        <w:rPr>
          <w:rFonts w:ascii="Abadi" w:hAnsi="Abadi" w:cs="Calibri"/>
          <w:bCs/>
          <w:i/>
          <w:sz w:val="21"/>
          <w:szCs w:val="21"/>
          <w:lang w:val="es-MX" w:eastAsia="en-US"/>
        </w:rPr>
      </w:pPr>
    </w:p>
    <w:p w14:paraId="01376771"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Actualmente en el estado se viven niveles alarmantes de inseguridad; en lo que va de enero a julio de este año, en Guanajuato se registraron un total de 2,350 delitos de fuero federal y 76,628 del fuero común7, entre los cuales se encuentran 2,221 homicidios; 20 feminicidios; 27,713 robos a casa habitación y robo de vehículos; 7,883 delitos contra la familia y 13,024 que se refieren a narcomenudeo. Tan sólo en los meses que ha durado la pandemia por COVID-19 (abril de 2020 a agosto de 2021) León y Celaya, se situaron entre los 5 municipios más violentos a nivel nacional con 837 y 554 homicidios dolosos respectivamente; al respecto es necesario mencionar que la tasa de homicidios dolosos de hombres en el estado se sitúa en de 7.92 hombres por cada 100 mil habitantes; sólo debajo de Morelos, Michoacán, Zacatecas, Chihuahua y Baja California.</w:t>
      </w:r>
    </w:p>
    <w:p w14:paraId="45880D74" w14:textId="77777777" w:rsidR="00F77257" w:rsidRPr="00F77257" w:rsidRDefault="00F77257" w:rsidP="00F77257">
      <w:pPr>
        <w:ind w:left="567" w:right="611"/>
        <w:jc w:val="both"/>
        <w:rPr>
          <w:rFonts w:ascii="Abadi" w:hAnsi="Abadi" w:cs="Calibri"/>
          <w:bCs/>
          <w:i/>
          <w:sz w:val="21"/>
          <w:szCs w:val="21"/>
          <w:lang w:val="es-MX" w:eastAsia="en-US"/>
        </w:rPr>
      </w:pPr>
    </w:p>
    <w:p w14:paraId="0F78E5D9"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 xml:space="preserve">Este escenario es de los peores del país, incluso cuando la calidad de la información delictiva generada por la Fiscalía General del Estado es muy poco confiable. Para muestra, basta con señalar que la edición 2020 del Índice de Confiabilidad de la Estadística Criminal, elaborado por México Evalúa, posiciona a Guanajuato como una de las entidades peor evaluadas, es decir, las cifras delictivas registradas no son precisas ni confiables: entre </w:t>
      </w:r>
      <w:r w:rsidRPr="00F77257">
        <w:rPr>
          <w:rFonts w:ascii="Abadi" w:hAnsi="Abadi" w:cs="Calibri"/>
          <w:bCs/>
          <w:i/>
          <w:sz w:val="21"/>
          <w:szCs w:val="21"/>
          <w:lang w:val="es-MX" w:eastAsia="en-US"/>
        </w:rPr>
        <w:lastRenderedPageBreak/>
        <w:t>2015 y 2019, por ejemplo, Guanajuato fue una de las entidades que presentaron más deficiencias en su contabilidad de homicidios debido a que la Fiscalía ha reportado sistemáticamente menos homicidios dolosos que el INEGl8. En el mismo sentido, debe señalarse que, según el informe anual de</w:t>
      </w:r>
      <w:r w:rsidRPr="00F77257">
        <w:rPr>
          <w:rFonts w:ascii="Abadi" w:hAnsi="Abadi" w:cs="Arial Unicode MS"/>
          <w:sz w:val="21"/>
          <w:szCs w:val="21"/>
          <w:lang w:val="es-MX" w:eastAsia="en-US"/>
        </w:rPr>
        <w:t xml:space="preserve"> </w:t>
      </w:r>
      <w:r w:rsidRPr="00F77257">
        <w:rPr>
          <w:rFonts w:ascii="Abadi" w:hAnsi="Abadi" w:cs="Calibri"/>
          <w:bCs/>
          <w:i/>
          <w:sz w:val="21"/>
          <w:szCs w:val="21"/>
          <w:lang w:val="es-MX" w:eastAsia="en-US"/>
        </w:rPr>
        <w:t xml:space="preserve">actividades de la Fiscalía, durante 2020 existieron 340 casos de mujeres víctimas de muertes violentas, de los cuales la Fiscalía del Estado apenas tipificó 18 como feminicidios (poco más de 5%), con lo cual se confirma que muchos de los datos de los hechos delictivos que no favorecen a las autoridades que llevan gobernando la entidad durante décadas, se están traduciendo sistemáticamente en cifra negra. </w:t>
      </w:r>
    </w:p>
    <w:p w14:paraId="2C167872" w14:textId="77777777" w:rsidR="00F77257" w:rsidRPr="00F77257" w:rsidRDefault="00F77257" w:rsidP="00F77257">
      <w:pPr>
        <w:ind w:left="567" w:right="611"/>
        <w:jc w:val="both"/>
        <w:rPr>
          <w:rFonts w:ascii="Abadi" w:hAnsi="Abadi" w:cs="Calibri"/>
          <w:bCs/>
          <w:i/>
          <w:sz w:val="21"/>
          <w:szCs w:val="21"/>
          <w:lang w:val="es-MX" w:eastAsia="en-US"/>
        </w:rPr>
      </w:pPr>
    </w:p>
    <w:p w14:paraId="7517733F"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 xml:space="preserve">Este evidente aumento en la comisión de delitos en el estado nos lleva a preguntarnos si la falta de profesionalización y de autonomía de la Fiscalía General para investigar y perseguir los delitos ha contribuido a que la incidencia delictiva se mantenga a la alza. Por lo tanto, es necesario que las y los integrantes del Poder Legislativo llevemos a cabo una revisión del marco jurídico que rige la actuación de la Fiscalía General del Estado a fin de asegurar su independencia del poder ejecutivo o de cualquier otro poder e introducir mecanismos que aumenten la confianza de la ciudadanía en las acciones que lleva a cabo y los resultados que genera; pues en el marco de corrupción y debilidad institucional que enfrenta nuestro país no es posible continuar con un marco normativo que no garantiza una Fiscalía con verdadera autonomía. La autonomía del fiscal estatal y de la institución es una pieza fundamental para que la investigación y persecución de los delitos sea realizada de forma integral y oportuna, sin importan si en su comisión estuvieron involucrados algunos funcionarios </w:t>
      </w:r>
      <w:r w:rsidRPr="00F77257">
        <w:rPr>
          <w:rFonts w:ascii="Abadi" w:hAnsi="Abadi" w:cs="Calibri"/>
          <w:bCs/>
          <w:i/>
          <w:sz w:val="21"/>
          <w:szCs w:val="21"/>
          <w:lang w:val="es-MX" w:eastAsia="en-US"/>
        </w:rPr>
        <w:t xml:space="preserve">públicos; por ello, tal autonomía se convierte en una pieza clave para: </w:t>
      </w:r>
    </w:p>
    <w:p w14:paraId="1FAD1CD1" w14:textId="77777777" w:rsidR="00F77257" w:rsidRPr="00F77257" w:rsidRDefault="00F77257" w:rsidP="00F77257">
      <w:pPr>
        <w:ind w:left="567" w:right="611"/>
        <w:jc w:val="both"/>
        <w:rPr>
          <w:rFonts w:ascii="Abadi" w:hAnsi="Abadi" w:cs="Calibri"/>
          <w:bCs/>
          <w:i/>
          <w:sz w:val="21"/>
          <w:szCs w:val="21"/>
          <w:lang w:val="es-MX" w:eastAsia="en-US"/>
        </w:rPr>
      </w:pPr>
    </w:p>
    <w:p w14:paraId="4F374B2D"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w:t>
      </w:r>
    </w:p>
    <w:p w14:paraId="174BE19B" w14:textId="77777777" w:rsidR="00F77257" w:rsidRPr="00F77257" w:rsidRDefault="00F77257" w:rsidP="00F77257">
      <w:pPr>
        <w:ind w:left="567" w:right="611"/>
        <w:jc w:val="both"/>
        <w:rPr>
          <w:rFonts w:ascii="Abadi" w:hAnsi="Abadi" w:cs="Calibri"/>
          <w:bCs/>
          <w:i/>
          <w:sz w:val="21"/>
          <w:szCs w:val="21"/>
          <w:lang w:val="es-MX" w:eastAsia="en-US"/>
        </w:rPr>
      </w:pPr>
    </w:p>
    <w:p w14:paraId="551AAC22"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Tomando en consideración los argumentos vertidos en las líneas anteriores, las modificaciones que se proponen pretenden establecer un mecanismo de selección del Fiscal General del Estado que asegure su autonomía e independencia institucionales, evitando la posibilidad de que el titular de esta dependencia se encuentre subordinado o pueda ser influenciado por el titular del Poder Ejecutivo o algún otro funcionario de alto nivel. Asimismo, la participación de la pluralidad representada en el Congreso del Estado permite asegurar que la designación no sea afectada por preferencias, predilecciones, presiones o afinidades políticas. Además, el mecanismo propuesto consta de diferentes fases a fin de asegurar que el nombramiento lo obtenga el perfil mejor evaluado y que por lo tanto se trate de una persona idónea para ocupar el cargo y establece un mecanismo de participación ciudadana que permite a los guanajuatenses participar de la toma de decisiones de acuerdo con su valoración sobre el avance o retroceso en la persecución, investigación y sanción de los delitos.</w:t>
      </w:r>
    </w:p>
    <w:p w14:paraId="7B4A705C" w14:textId="77777777" w:rsidR="00F77257" w:rsidRPr="00F77257" w:rsidRDefault="00F77257" w:rsidP="00F77257">
      <w:pPr>
        <w:ind w:left="567" w:right="611"/>
        <w:jc w:val="both"/>
        <w:rPr>
          <w:rFonts w:ascii="Abadi" w:hAnsi="Abadi" w:cs="Calibri"/>
          <w:bCs/>
          <w:i/>
          <w:sz w:val="21"/>
          <w:szCs w:val="21"/>
          <w:lang w:val="es-MX" w:eastAsia="en-US"/>
        </w:rPr>
      </w:pPr>
    </w:p>
    <w:p w14:paraId="71C57BB8"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w:t>
      </w:r>
    </w:p>
    <w:p w14:paraId="40283D40" w14:textId="77777777" w:rsidR="00F77257" w:rsidRPr="00F77257" w:rsidRDefault="00F77257" w:rsidP="00F77257">
      <w:pPr>
        <w:ind w:left="567" w:right="611"/>
        <w:jc w:val="both"/>
        <w:rPr>
          <w:rFonts w:ascii="Abadi" w:hAnsi="Abadi" w:cs="Calibri"/>
          <w:bCs/>
          <w:i/>
          <w:sz w:val="21"/>
          <w:szCs w:val="21"/>
          <w:lang w:val="es-MX" w:eastAsia="en-US"/>
        </w:rPr>
      </w:pPr>
    </w:p>
    <w:p w14:paraId="62C2A062"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Con la finalidad de dar cumplimiento a lo establecido por el artículo 209 de la Ley Orgánica del Poder Legislativo del Estado de Guanajuato; de aprobarse la presente iniciativa se generarían los siguientes impactos:</w:t>
      </w:r>
    </w:p>
    <w:p w14:paraId="5F8FAB2A"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 xml:space="preserve">I. Jurídico. De aprobarse la presente iniciativa se crearía un nuevo marco jurídico que regulará el proceso de selección del Fiscal General y por lo tanto se crea una nueva atribución para el Congreso del Estado, quien </w:t>
      </w:r>
      <w:r w:rsidRPr="00F77257">
        <w:rPr>
          <w:rFonts w:ascii="Abadi" w:hAnsi="Abadi" w:cs="Calibri"/>
          <w:bCs/>
          <w:i/>
          <w:sz w:val="21"/>
          <w:szCs w:val="21"/>
          <w:lang w:val="es-MX" w:eastAsia="en-US"/>
        </w:rPr>
        <w:lastRenderedPageBreak/>
        <w:t>será el encargado de realizar dicho procedimiento.</w:t>
      </w:r>
    </w:p>
    <w:p w14:paraId="25A642C0"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II. Administrativo. No prevé este rubro.</w:t>
      </w:r>
    </w:p>
    <w:p w14:paraId="765B8714"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III. Presupuestario. De la presente iniciativa se advierte que habrá un impacto presupuestal por la previsión económica que deberá realizarse a la mitad del periodo del encargo del Fiscal General para llevar a cabo la consulta popular sobre la permanencia o no del funcionario en el cargo, misma que deberá realizarse en la jornada electoral que corresponda. Asimismo, en caso de que ningún funcionario resultare electro para el cargo por el Congreso del Estado, se deberá contar con la suficiencia presupuestal para llevar cabo la consulta ciudadana mediante la cual resulte electo el próximo titular de la fiscalía.</w:t>
      </w:r>
    </w:p>
    <w:p w14:paraId="305A0779"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IV. Social. Modificar el procedimiento de selección del Fiscal General del Estado permitirá asegurar su independencia y autonomía de cualquier tipo de injerencia que pudiera existir por parte del Poder Ejecutivo o de cualquier otra autoridad; asimismo, permitirá establecer un mecanismo de control que permita a las y los ciudadanos evaluar el actuar y los resultados de dicho servidor público y por lo tanto habrá un aumento en la confianza ciudadana respecto de las investigaciones y persecución del delito que lleva a cabo la fiscalía.»</w:t>
      </w:r>
    </w:p>
    <w:p w14:paraId="08DD7484"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r>
    </w:p>
    <w:p w14:paraId="0C9E2937" w14:textId="7F7EB7FB"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Las diputadas y los diputados que integramos la Comisión de Gobernación y Puntos Constitucionales, consideramos oportuno realizar un análisis general de los alcances constitucionales y legales sobre la propuesta para la designación y remoción de quien ostenta la titularidad de la Fiscalía General del Estado de Guanajuato, contemplada en el apartado del artículo 95 de la Constitución Política para el Estado de Guanajuato.</w:t>
      </w:r>
    </w:p>
    <w:p w14:paraId="2A9FCAB2" w14:textId="77777777" w:rsidR="00F77257" w:rsidRPr="00F77257" w:rsidRDefault="00F77257" w:rsidP="00F77257">
      <w:pPr>
        <w:spacing w:line="276" w:lineRule="auto"/>
        <w:ind w:firstLine="708"/>
        <w:jc w:val="both"/>
        <w:rPr>
          <w:rFonts w:ascii="Abadi" w:eastAsia="Batang" w:hAnsi="Abadi" w:cs="Arial"/>
          <w:sz w:val="21"/>
          <w:szCs w:val="21"/>
          <w:lang w:val="es-MX" w:eastAsia="en-US"/>
        </w:rPr>
      </w:pPr>
    </w:p>
    <w:p w14:paraId="4F2FCC7B" w14:textId="77777777" w:rsidR="00F77257" w:rsidRPr="00F77257" w:rsidRDefault="00F77257" w:rsidP="00F77257">
      <w:pPr>
        <w:spacing w:line="276" w:lineRule="auto"/>
        <w:jc w:val="both"/>
        <w:rPr>
          <w:rFonts w:ascii="Abadi" w:eastAsia="Batang" w:hAnsi="Abadi" w:cs="Arial"/>
          <w:b/>
          <w:bCs/>
          <w:i/>
          <w:iCs/>
          <w:sz w:val="21"/>
          <w:szCs w:val="21"/>
          <w:lang w:val="es-MX" w:eastAsia="en-US"/>
        </w:rPr>
      </w:pPr>
      <w:r w:rsidRPr="00F77257">
        <w:rPr>
          <w:rFonts w:ascii="Abadi" w:eastAsia="Batang" w:hAnsi="Abadi" w:cs="Arial"/>
          <w:b/>
          <w:bCs/>
          <w:sz w:val="21"/>
          <w:szCs w:val="21"/>
          <w:lang w:val="es-MX" w:eastAsia="en-US"/>
        </w:rPr>
        <w:t>III.1. Análisis de la reforma al artículo 95 de la Constitución Política Local, respecto a la designación y remoción del Fiscal General del Estado</w:t>
      </w:r>
    </w:p>
    <w:p w14:paraId="77C45EE6"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4379A40D"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La iniciativa propone reformar el artículo 95 de nuestro Código Político Local, así como los artículos 106, 111, 113 y 119 de la Ley Orgánica del Poder Legislativo del Estado de Guanajuato. </w:t>
      </w:r>
    </w:p>
    <w:p w14:paraId="2C97625D"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46A542E1"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Respecto de la reforma al texto constitucional local, se pretende una modificación al proceso de designación del titular de la Fiscalía estatal, en el que tenga una mayor participación el Poder Legislativo a través de su Asamblea denominada Congreso del Estado, con la posibilidad incluso de recurrir a consulta popular para la designación del mismo. De igual forma busca establecer que la remoción del titular de este organismo autónomo constitucional sea a través de causa grave establecida por la Ley por medio de proceso sustanciado por el la Asamblea del Poder Legislativo, o bien, que a la mitad del periodo para el cual fue designado, se realice un ejercicio de revocación de mandato a efecto de la ciudadanía determine o no su permanencia.</w:t>
      </w:r>
    </w:p>
    <w:p w14:paraId="4D039B50" w14:textId="77777777" w:rsidR="00F77257" w:rsidRPr="00F77257" w:rsidRDefault="00F77257" w:rsidP="00F77257">
      <w:pPr>
        <w:spacing w:line="276" w:lineRule="auto"/>
        <w:ind w:firstLine="708"/>
        <w:jc w:val="both"/>
        <w:rPr>
          <w:rFonts w:ascii="Abadi" w:eastAsia="Batang" w:hAnsi="Abadi" w:cs="Arial"/>
          <w:sz w:val="21"/>
          <w:szCs w:val="21"/>
          <w:lang w:val="es-MX" w:eastAsia="en-US"/>
        </w:rPr>
      </w:pPr>
    </w:p>
    <w:p w14:paraId="68D8451D" w14:textId="44BAA940"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Al respecto, dentro de la exposición de motivos, la iniciante refiere la necesidad de que este Congreso cuente con la atribución de remover al titular de la Fiscalía estatal porque se obstaculiza la rendición de cuentas a la Fiscalía, pues únicamente el Gobernador tiene la atribución de remoción del titular de dicho organismo autónomo y considera que el actual estado de cosas en materia de seguridad pública hace necesario el relevo del titular de la Fiscalía. </w:t>
      </w:r>
    </w:p>
    <w:p w14:paraId="79D27A03" w14:textId="24E0900E" w:rsidR="00F77257" w:rsidRPr="00F77257" w:rsidRDefault="00F77257" w:rsidP="00F77257">
      <w:pPr>
        <w:autoSpaceDE w:val="0"/>
        <w:autoSpaceDN w:val="0"/>
        <w:adjustRightInd w:val="0"/>
        <w:rPr>
          <w:rFonts w:ascii="Abadi" w:hAnsi="Abadi" w:cs="Arial"/>
          <w:color w:val="000000"/>
          <w:sz w:val="21"/>
          <w:szCs w:val="21"/>
          <w:lang w:val="es-MX" w:eastAsia="es-MX"/>
        </w:rPr>
      </w:pPr>
      <w:r w:rsidRPr="00F77257">
        <w:rPr>
          <w:rFonts w:ascii="Abadi" w:eastAsia="Batang" w:hAnsi="Abadi" w:cs="Arial"/>
          <w:color w:val="000000"/>
          <w:sz w:val="21"/>
          <w:szCs w:val="21"/>
          <w:lang w:val="es-MX" w:eastAsia="es-MX"/>
        </w:rPr>
        <w:tab/>
      </w:r>
    </w:p>
    <w:p w14:paraId="1A9FBF60"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Quienes dictaminamos queremos resaltar en este análisis la acción legislativa reflejada en la publicación del 10 de febrero de 2014 en el Diario Oficial de la Federación, del Decreto por el que se reformaron y adicionaron diversas disposiciones de la Constitución Política de los Estados Unidos Mexicanos, en materia </w:t>
      </w:r>
      <w:r w:rsidRPr="00F77257">
        <w:rPr>
          <w:rFonts w:ascii="Abadi" w:eastAsia="Batang" w:hAnsi="Abadi" w:cs="Arial"/>
          <w:sz w:val="21"/>
          <w:szCs w:val="21"/>
          <w:lang w:val="es-MX" w:eastAsia="en-US"/>
        </w:rPr>
        <w:lastRenderedPageBreak/>
        <w:t xml:space="preserve">política-electoral; mismo que contiene la reforma al artículo 102 constitucional, la cual, medularmente proyectó que el Ministerio Público Federal se organizara en una Fiscalía General de la República como un órgano constitucionalmente autónomo, dotado de personalidad jurídica y patrimonio propio, en dicha Ley Fundamental se contempló la base normativa para que el Ministerio Público dejara de ser una institución adscrita al Poder Ejecutivo, para convertirse en un organismo independiente. </w:t>
      </w:r>
    </w:p>
    <w:p w14:paraId="7D7D8A22"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54292666"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i/>
          <w:iCs/>
          <w:sz w:val="21"/>
          <w:szCs w:val="21"/>
          <w:lang w:val="es-MX" w:eastAsia="en-US"/>
        </w:rPr>
      </w:pPr>
      <w:r w:rsidRPr="00F77257">
        <w:rPr>
          <w:rFonts w:ascii="Abadi" w:eastAsia="Batang" w:hAnsi="Abadi" w:cs="Arial"/>
          <w:sz w:val="21"/>
          <w:szCs w:val="21"/>
          <w:lang w:val="es-MX" w:eastAsia="en-US"/>
        </w:rPr>
        <w:tab/>
        <w:t>En concordancia con esa reforma a la Constitución Política de los Estados Unidos Mexicanos, el Constituyente Permanente en Guanajuato, mediante el Decreto Legislativo 202, reformó y adicionó diversos dispositivos de la Constitución Política para el Estado, el cual fue publicado en el Periódico Oficial del Gobierno del Estado número 112, Segunda Parte, del 14 de julio de 2017, estableciendo a rango constitucional la organización del Ministerio Público en una Fiscalía General del Estado, con la naturaleza jurídica de órgano público autónomo, dotado de personalidad jurídica y de patrimonio propio, especificando en su artículo 95 que</w:t>
      </w:r>
      <w:r w:rsidRPr="00F77257">
        <w:rPr>
          <w:rFonts w:ascii="Abadi" w:eastAsia="Calibri" w:hAnsi="Abadi" w:cs="Arial"/>
          <w:color w:val="000000"/>
          <w:sz w:val="21"/>
          <w:szCs w:val="21"/>
          <w:lang w:val="es-MX" w:eastAsia="es-MX"/>
        </w:rPr>
        <w:t xml:space="preserve"> </w:t>
      </w:r>
      <w:r w:rsidRPr="00F77257">
        <w:rPr>
          <w:rFonts w:ascii="Abadi" w:eastAsia="Batang" w:hAnsi="Abadi" w:cs="Arial"/>
          <w:i/>
          <w:iCs/>
          <w:sz w:val="21"/>
          <w:szCs w:val="21"/>
          <w:lang w:val="es-MX" w:eastAsia="en-US"/>
        </w:rPr>
        <w:t xml:space="preserve">«corresponde al Ministerio Público la investigación, persecución ante los tribunales, de todos los delitos de su competencia; y, por lo mismo, solicitará las medidas cautelares contra los inculpados; buscará y presentará las pruebas que acrediten la participación de éstos en hechos que las leyes señalen como delito; procurará que los juicios en materia penal se sigan con toda regularidad para que la impartición de justicia sea pronta y expedita; pedirá la aplicación de las penas, e intervendrá en todos los asuntos que la ley determine». </w:t>
      </w:r>
    </w:p>
    <w:p w14:paraId="49B2EE32"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i/>
          <w:iCs/>
          <w:sz w:val="21"/>
          <w:szCs w:val="21"/>
          <w:lang w:val="es-MX" w:eastAsia="en-US"/>
        </w:rPr>
      </w:pPr>
    </w:p>
    <w:p w14:paraId="7068D784"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En el artículo 95 de esa reforma a nuestro Código Político Local se establecieron los requisitos que debe reunir el Fiscal General, el tiempo que durará en su encargo, el procedimiento para su designación, la obligación de presentación anualmente ante los Poderes del Estado de un informe de actividades, entre </w:t>
      </w:r>
      <w:r w:rsidRPr="00F77257">
        <w:rPr>
          <w:rFonts w:ascii="Abadi" w:eastAsia="Batang" w:hAnsi="Abadi" w:cs="Arial"/>
          <w:sz w:val="21"/>
          <w:szCs w:val="21"/>
          <w:lang w:val="es-MX" w:eastAsia="en-US"/>
        </w:rPr>
        <w:t xml:space="preserve">otras cuestiones. </w:t>
      </w:r>
    </w:p>
    <w:p w14:paraId="0120DD9D"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64E290D9"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De esta manera como punto fundamental y razón de ser del actual contenido e hipótesis normativas del artículo 95 de la Constitución Política para el Estado de Guanajuato, es de señalar que el texto regulatorio vinculado a la naturaleza jurídica de la Fiscalía General del Estado, y las particularidades que en tal numeral se describen, se desprende y es armónica con la llamada </w:t>
      </w:r>
      <w:r w:rsidRPr="00F77257">
        <w:rPr>
          <w:rFonts w:ascii="Abadi" w:eastAsia="Batang" w:hAnsi="Abadi" w:cs="Arial"/>
          <w:i/>
          <w:iCs/>
          <w:sz w:val="21"/>
          <w:szCs w:val="21"/>
          <w:lang w:val="es-MX" w:eastAsia="en-US"/>
        </w:rPr>
        <w:t>«Reforma Político-Electoral»</w:t>
      </w:r>
      <w:r w:rsidRPr="00F77257">
        <w:rPr>
          <w:rFonts w:ascii="Abadi" w:eastAsia="Batang" w:hAnsi="Abadi" w:cs="Arial"/>
          <w:sz w:val="21"/>
          <w:szCs w:val="21"/>
          <w:lang w:val="es-MX" w:eastAsia="en-US"/>
        </w:rPr>
        <w:t xml:space="preserve"> del 10 de febrero del 2014, siendo en ese sentido un texto homologado al artículo 102 de la Constitución Política de los Estados Unidos Mexicanos.</w:t>
      </w:r>
    </w:p>
    <w:p w14:paraId="62DBB33E"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217831BC"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En razón de lo anterior, debe considerarse que el texto constitucional local que se encuentra vigente en el artículo 95 y que se pretende reformar, resulta armónico en lo general, así como en lo particular con el proceso de selección y remoción del Titular de la Fiscalía General de la República, </w:t>
      </w:r>
      <w:r w:rsidRPr="00F77257">
        <w:rPr>
          <w:rFonts w:ascii="Abadi" w:eastAsia="Batang" w:hAnsi="Abadi" w:cs="Arial"/>
          <w:i/>
          <w:iCs/>
          <w:sz w:val="21"/>
          <w:szCs w:val="21"/>
          <w:lang w:val="es-MX" w:eastAsia="en-US"/>
        </w:rPr>
        <w:t>y a nivel nacional con el esquema operado en las Fiscalías de las Entidades Federativas</w:t>
      </w:r>
      <w:r w:rsidRPr="00F77257">
        <w:rPr>
          <w:rFonts w:ascii="Abadi" w:eastAsia="Batang" w:hAnsi="Abadi" w:cs="Arial"/>
          <w:sz w:val="21"/>
          <w:szCs w:val="21"/>
          <w:lang w:val="es-MX" w:eastAsia="en-US"/>
        </w:rPr>
        <w:t>, razón por la cual se considera no se desprende argumento jurídico válido que justifique en una primera instancia la reforma sugerida.</w:t>
      </w:r>
    </w:p>
    <w:p w14:paraId="1B18B578"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1DF66A9A"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Ahora bien, con respecto al nombramiento de quien ostenta la titularidad de la Fiscalía General del Estado, podemos manifestar que el Poder Revisor de la Constitución Política local o </w:t>
      </w:r>
      <w:r w:rsidRPr="00F77257">
        <w:rPr>
          <w:rFonts w:ascii="Abadi" w:eastAsia="Batang" w:hAnsi="Abadi" w:cs="Arial"/>
          <w:i/>
          <w:iCs/>
          <w:sz w:val="21"/>
          <w:szCs w:val="21"/>
          <w:lang w:val="es-MX" w:eastAsia="en-US"/>
        </w:rPr>
        <w:t>Constituyente Permanente</w:t>
      </w:r>
      <w:r w:rsidRPr="00F77257">
        <w:rPr>
          <w:rFonts w:ascii="Abadi" w:eastAsia="Batang" w:hAnsi="Abadi" w:cs="Arial"/>
          <w:sz w:val="21"/>
          <w:szCs w:val="21"/>
          <w:lang w:val="es-MX" w:eastAsia="en-US"/>
        </w:rPr>
        <w:t xml:space="preserve">, estableció los procesos y diseños especiales para cada organismo autónomo a efecto de dotar de mayor libertad y autonomía a dichas instituciones. Esta necesidad de autonomía ha sido señalada por diversos organismos internacionales de protección de derechos humanos, con lo cual coincidimos plenamente. </w:t>
      </w:r>
    </w:p>
    <w:p w14:paraId="11645DA8"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5269A2FD"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Por lo que hace a la independencia de los Poderes Ejecutivos, tanto la Comisión Interamericana de Derechos Humanos al igual que el Alto Comisionado de las Naciones Unidas </w:t>
      </w:r>
      <w:r w:rsidRPr="00F77257">
        <w:rPr>
          <w:rFonts w:ascii="Abadi" w:eastAsia="Batang" w:hAnsi="Abadi" w:cs="Arial"/>
          <w:sz w:val="21"/>
          <w:szCs w:val="21"/>
          <w:lang w:val="es-MX" w:eastAsia="en-US"/>
        </w:rPr>
        <w:lastRenderedPageBreak/>
        <w:t>para los Derechos Humanos, han destacado la importancia de la autonomía de las instituciones y el funcionariado de procuración de justicia con el fin de garantizar el acceso a la justicia de todas las personas sujetas a la jurisdicción del Estado de que se trate. Conforme a los estándares internacionales, la independencia de los operadores se divide en dos dimensiones: i) la institucional o de sistema; y, ii) funcional o del ejercicio individual de las y los operadores de justicia.</w:t>
      </w:r>
      <w:r w:rsidRPr="00F77257">
        <w:rPr>
          <w:rFonts w:ascii="Abadi" w:eastAsia="Batang" w:hAnsi="Abadi" w:cs="Arial"/>
          <w:sz w:val="21"/>
          <w:szCs w:val="21"/>
          <w:vertAlign w:val="superscript"/>
          <w:lang w:val="es-MX" w:eastAsia="en-US"/>
        </w:rPr>
        <w:footnoteReference w:id="64"/>
      </w:r>
    </w:p>
    <w:p w14:paraId="399E9D27"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14FFA176"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La independencia institucional se entiende como la relación que guardan las instituciones de procuración de justicia dentro del sistema del Estado respecto de otras esferas de poder e instituciones estatales</w:t>
      </w:r>
      <w:r w:rsidRPr="00F77257">
        <w:rPr>
          <w:rFonts w:ascii="Abadi" w:eastAsia="Calibri" w:hAnsi="Abadi"/>
          <w:sz w:val="21"/>
          <w:szCs w:val="21"/>
          <w:vertAlign w:val="superscript"/>
          <w:lang w:val="es-MX" w:eastAsia="en-US"/>
        </w:rPr>
        <w:footnoteReference w:id="65"/>
      </w:r>
      <w:r w:rsidRPr="00F77257">
        <w:rPr>
          <w:rFonts w:ascii="Abadi" w:eastAsia="Calibri" w:hAnsi="Abadi"/>
          <w:sz w:val="21"/>
          <w:szCs w:val="21"/>
          <w:lang w:val="es-MX" w:eastAsia="en-US"/>
        </w:rPr>
        <w:t xml:space="preserve">. </w:t>
      </w:r>
      <w:r w:rsidRPr="00F77257">
        <w:rPr>
          <w:rFonts w:ascii="Abadi" w:eastAsia="Batang" w:hAnsi="Abadi" w:cs="Arial"/>
          <w:sz w:val="21"/>
          <w:szCs w:val="21"/>
          <w:lang w:val="es-MX" w:eastAsia="en-US"/>
        </w:rPr>
        <w:t>La afectación o anulación de dicha independencia implica la subordinación o dependencia de la actuación de los ministerios públicos a otros poderes, lo que deriva en un detrimento de su actuación.</w:t>
      </w:r>
      <w:r w:rsidRPr="00F77257">
        <w:rPr>
          <w:rFonts w:ascii="Abadi" w:eastAsia="Batang" w:hAnsi="Abadi" w:cs="Arial"/>
          <w:sz w:val="21"/>
          <w:szCs w:val="21"/>
          <w:vertAlign w:val="superscript"/>
          <w:lang w:val="es-MX" w:eastAsia="en-US"/>
        </w:rPr>
        <w:footnoteReference w:id="66"/>
      </w:r>
    </w:p>
    <w:p w14:paraId="2DE1D980"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4C61CEBA" w14:textId="77777777" w:rsidR="00F77257" w:rsidRPr="00F77257" w:rsidRDefault="00F77257" w:rsidP="007E4F00">
      <w:pPr>
        <w:widowControl w:val="0"/>
        <w:tabs>
          <w:tab w:val="left" w:pos="0"/>
        </w:tabs>
        <w:spacing w:before="53" w:line="283" w:lineRule="auto"/>
        <w:ind w:right="69"/>
        <w:contextualSpacing/>
        <w:jc w:val="both"/>
        <w:rPr>
          <w:rFonts w:ascii="Abadi" w:eastAsia="Calibri" w:hAnsi="Abadi"/>
          <w:sz w:val="21"/>
          <w:szCs w:val="21"/>
          <w:lang w:val="es-MX" w:eastAsia="en-US"/>
        </w:rPr>
      </w:pPr>
      <w:r w:rsidRPr="00F77257">
        <w:rPr>
          <w:rFonts w:ascii="Abadi" w:eastAsia="Batang" w:hAnsi="Abadi" w:cs="Arial"/>
          <w:sz w:val="21"/>
          <w:szCs w:val="21"/>
          <w:lang w:val="es-MX" w:eastAsia="en-US"/>
        </w:rPr>
        <w:tab/>
        <w:t xml:space="preserve">Mientras que la autonomía funcional </w:t>
      </w:r>
      <w:r w:rsidRPr="00F77257">
        <w:rPr>
          <w:rFonts w:ascii="Abadi" w:eastAsia="Batang" w:hAnsi="Abadi" w:cs="Arial"/>
          <w:sz w:val="21"/>
          <w:szCs w:val="21"/>
          <w:vertAlign w:val="superscript"/>
          <w:lang w:val="es-MX" w:eastAsia="en-US"/>
        </w:rPr>
        <w:footnoteReference w:id="67"/>
      </w:r>
      <w:r w:rsidRPr="00F77257">
        <w:rPr>
          <w:rFonts w:ascii="Abadi" w:eastAsia="Batang" w:hAnsi="Abadi" w:cs="Arial"/>
          <w:sz w:val="21"/>
          <w:szCs w:val="21"/>
          <w:lang w:val="es-MX" w:eastAsia="en-US"/>
        </w:rPr>
        <w:t>se define como la garantía para ejercer de manera libre sus labores en el conocimiento de los casos en el ejercicio de sus atribuciones</w:t>
      </w:r>
      <w:r w:rsidRPr="00F77257">
        <w:rPr>
          <w:rFonts w:ascii="Abadi" w:eastAsia="Calibri" w:hAnsi="Abadi"/>
          <w:sz w:val="21"/>
          <w:szCs w:val="21"/>
          <w:lang w:val="es-MX" w:eastAsia="en-US"/>
        </w:rPr>
        <w:t xml:space="preserve">. </w:t>
      </w:r>
      <w:r w:rsidRPr="00F77257">
        <w:rPr>
          <w:rFonts w:ascii="Abadi" w:eastAsia="Batang" w:hAnsi="Abadi" w:cs="Arial"/>
          <w:sz w:val="21"/>
          <w:szCs w:val="21"/>
          <w:lang w:val="es-MX" w:eastAsia="en-US"/>
        </w:rPr>
        <w:t>Para la eficacia de esta garantía es necesario que se cuente con procedimientos y cualificaciones para el nombramiento de las personas titulares de las fiscalías, la estabilidad de su encargo, así como la certeza en la carrera ministerial</w:t>
      </w:r>
      <w:r w:rsidRPr="00F77257">
        <w:rPr>
          <w:rFonts w:ascii="Abadi" w:eastAsia="Calibri" w:hAnsi="Abadi"/>
          <w:sz w:val="21"/>
          <w:szCs w:val="21"/>
          <w:lang w:val="es-MX" w:eastAsia="en-US"/>
        </w:rPr>
        <w:t>.</w:t>
      </w:r>
      <w:r w:rsidRPr="00F77257">
        <w:rPr>
          <w:rFonts w:ascii="Abadi" w:eastAsia="Batang" w:hAnsi="Abadi" w:cs="Arial"/>
          <w:sz w:val="21"/>
          <w:szCs w:val="21"/>
          <w:vertAlign w:val="superscript"/>
          <w:lang w:val="es-MX" w:eastAsia="en-US"/>
        </w:rPr>
        <w:footnoteReference w:id="68"/>
      </w:r>
    </w:p>
    <w:p w14:paraId="5F449D7F" w14:textId="77777777" w:rsidR="00F77257" w:rsidRPr="00F77257" w:rsidRDefault="00F77257" w:rsidP="007E4F00">
      <w:pPr>
        <w:widowControl w:val="0"/>
        <w:tabs>
          <w:tab w:val="left" w:pos="0"/>
        </w:tabs>
        <w:spacing w:before="53" w:line="283" w:lineRule="auto"/>
        <w:ind w:right="69"/>
        <w:contextualSpacing/>
        <w:jc w:val="both"/>
        <w:rPr>
          <w:rFonts w:ascii="Abadi" w:eastAsia="Calibri" w:hAnsi="Abadi"/>
          <w:sz w:val="21"/>
          <w:szCs w:val="21"/>
          <w:lang w:val="es-MX" w:eastAsia="en-US"/>
        </w:rPr>
      </w:pPr>
    </w:p>
    <w:p w14:paraId="665AE880"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Calibri" w:hAnsi="Abadi"/>
          <w:sz w:val="21"/>
          <w:szCs w:val="21"/>
          <w:lang w:val="es-MX" w:eastAsia="en-US"/>
        </w:rPr>
        <w:tab/>
      </w:r>
      <w:r w:rsidRPr="00F77257">
        <w:rPr>
          <w:rFonts w:ascii="Abadi" w:eastAsia="Batang" w:hAnsi="Abadi" w:cs="Arial"/>
          <w:sz w:val="21"/>
          <w:szCs w:val="21"/>
          <w:lang w:val="es-MX" w:eastAsia="en-US"/>
        </w:rPr>
        <w:t xml:space="preserve">Ahora, por lo que respecta a la autonomía institucional que deben gozar las fiscalías con relación a los poderes, las Directrices sobre la Función de los Fiscales estipulan expresamente que: </w:t>
      </w:r>
    </w:p>
    <w:p w14:paraId="48966EC2"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4E23F6C5" w14:textId="77777777" w:rsidR="00F77257" w:rsidRPr="00F77257" w:rsidRDefault="00F77257" w:rsidP="00F77257">
      <w:pPr>
        <w:ind w:left="567" w:right="611"/>
        <w:jc w:val="both"/>
        <w:rPr>
          <w:rFonts w:ascii="Abadi" w:hAnsi="Abadi" w:cs="Calibri"/>
          <w:bCs/>
          <w:i/>
          <w:sz w:val="21"/>
          <w:szCs w:val="21"/>
          <w:lang w:val="es-MX" w:eastAsia="en-US"/>
        </w:rPr>
      </w:pPr>
      <w:r w:rsidRPr="00F77257">
        <w:rPr>
          <w:rFonts w:ascii="Abadi" w:hAnsi="Abadi" w:cs="Calibri"/>
          <w:bCs/>
          <w:i/>
          <w:sz w:val="21"/>
          <w:szCs w:val="21"/>
          <w:lang w:val="es-MX" w:eastAsia="en-US"/>
        </w:rPr>
        <w:t>«el cargo de fiscal [debe] estar... estrictamente separado de las funciones judiciales [...]»</w:t>
      </w:r>
      <w:r w:rsidRPr="00F77257">
        <w:rPr>
          <w:rFonts w:ascii="Abadi" w:hAnsi="Abadi" w:cs="Calibri"/>
          <w:bCs/>
          <w:i/>
          <w:sz w:val="21"/>
          <w:szCs w:val="21"/>
          <w:vertAlign w:val="superscript"/>
          <w:lang w:val="es-MX" w:eastAsia="en-US"/>
        </w:rPr>
        <w:footnoteReference w:id="69"/>
      </w:r>
    </w:p>
    <w:p w14:paraId="54BECBCA"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 xml:space="preserve"> </w:t>
      </w:r>
    </w:p>
    <w:p w14:paraId="369CF7A0"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Bajo esa línea argumentativa podemos decir que las normas federales y locales, en sus respectivos ámbitos de competencia, garantizan un proceso calificado de nombramiento y remoción extraordinaria de las personas titulares de las fiscalías, así como una temporalidad diversa a los de los Poderes Ejecutivos y Legislativos, a efecto de dotar de estabilidad en el cargo a las y los titulares, todo como garantía de autonomía funcional. </w:t>
      </w:r>
    </w:p>
    <w:p w14:paraId="3ED4768A"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77D4558F"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De ahí que, en el caso del diseño constitucional local, similar al sistema federal, implica un ejercicio en el que tanto el Poder Ejecutivo como </w:t>
      </w:r>
      <w:r w:rsidRPr="00F77257">
        <w:rPr>
          <w:rFonts w:ascii="Abadi" w:eastAsia="Batang" w:hAnsi="Abadi" w:cs="Arial"/>
          <w:i/>
          <w:iCs/>
          <w:sz w:val="21"/>
          <w:szCs w:val="21"/>
          <w:lang w:val="es-MX" w:eastAsia="en-US"/>
        </w:rPr>
        <w:t xml:space="preserve">nosotros </w:t>
      </w:r>
      <w:r w:rsidRPr="00F77257">
        <w:rPr>
          <w:rFonts w:ascii="Abadi" w:eastAsia="Batang" w:hAnsi="Abadi" w:cs="Arial"/>
          <w:sz w:val="21"/>
          <w:szCs w:val="21"/>
          <w:lang w:val="es-MX" w:eastAsia="en-US"/>
        </w:rPr>
        <w:t xml:space="preserve">el Poder Legislativo sustanciemos un proceso que garantiza la participación deliberativa de ambos Poderes a efecto de garantizar legitimidad y autonomía al titular electo para dicho cargo. Además, quien ocupe la titularidad de la Fiscalía será titular del Ministerio Público local, conforme al artículo 95 de la Constitución Política para el Estado de Guanajuato. Esta cuestión tiene trascendencia, pues el Ministerio Público es una autoridad en materia de seguridad pública, de acuerdo al artículo 21 de la Constitución Política de los Estados Unidos Mexicanos. </w:t>
      </w:r>
    </w:p>
    <w:p w14:paraId="27E34F74"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566BDC65"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La trascendencia de la materia de seguridad pública, y las facultades que tiene el titular del Ejecutivo local en la materia, es importante que dicho Poder tenga participación directa en la elección de quien ostente la titularidad de la Fiscalía estatal, con la coparticipación de este Poder Legislativo como ya se tiene en el actual diseño. Es de señalar que este proceso deliberativo entre dos Poderes es una garantía institucional de la propia autonomía, la cual no es extraña al sistema democrático mexicano o estatal, pues varios son los ejemplos en que el Ejecutivo coparticipa con el Legislativo para nombrar a personas funcionarias que deben contar con un alto grado </w:t>
      </w:r>
      <w:r w:rsidRPr="00F77257">
        <w:rPr>
          <w:rFonts w:ascii="Abadi" w:eastAsia="Batang" w:hAnsi="Abadi" w:cs="Arial"/>
          <w:sz w:val="21"/>
          <w:szCs w:val="21"/>
          <w:lang w:val="es-MX" w:eastAsia="en-US"/>
        </w:rPr>
        <w:lastRenderedPageBreak/>
        <w:t>de autonomía respecto de los tres poderes.</w:t>
      </w:r>
    </w:p>
    <w:p w14:paraId="02F304EF"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4010EA10"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Con respecto a establecer procesos de consulta popular tanto para el planteamiento de propuestas de candidatos(as) a ocupar el cargo de titular de la Fiscalía General, así como para evaluar la continuidad a mitad del periodo respectivo de quien ostente el cargo, ello, con el fin de otorgar participación directa a la ciudadanía en dicho proceso, en tal circunstancia, cabe mencionar que la manifestación de voluntad de las y los ciudadanos, actualmente en el proceso establecido en nuestra Constitución Política para el Estado de Guanajuato para tal proceso, se ve colmado, en razón del involucramiento de este Poder Legislativo en tal esquema de selección y determinación de quien habrá de ocupar el señalado cargo de Fiscal General, ya que, al ser cada uno de nosotros representantes populares, al momento de emitir nuestro voto y con el involucramiento, se colma la manifestación de voluntad de sus representados. Teniendo en ese sentido, el multireferido proceso de análisis, ponderación, selección y designación de la persona que sería la titular de la Fiscalía General del Estado, el matiz de la voluntad popular ciudadana por conducto del ejercicio parlamentario de las y los Diputados. </w:t>
      </w:r>
    </w:p>
    <w:p w14:paraId="63F04C38"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14A8DA1C"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Siguiendo con el análisis de la propuesta de reforma al artículo 95, destaca la relativa a la pretensión de que en el proceso de selección y remoción de Fiscal General, sea únicamente por conducto de este Poder Legislativo </w:t>
      </w:r>
      <w:r w:rsidRPr="00F77257">
        <w:rPr>
          <w:rFonts w:ascii="Abadi" w:eastAsia="Batang" w:hAnsi="Abadi" w:cs="Arial"/>
          <w:i/>
          <w:iCs/>
          <w:sz w:val="21"/>
          <w:szCs w:val="21"/>
          <w:lang w:val="es-MX" w:eastAsia="en-US"/>
        </w:rPr>
        <w:t>bajo los esquema de participación ciudadana que sugiere, de los cuales hemos comentado ya</w:t>
      </w:r>
      <w:r w:rsidRPr="00F77257">
        <w:rPr>
          <w:rFonts w:ascii="Abadi" w:eastAsia="Batang" w:hAnsi="Abadi" w:cs="Arial"/>
          <w:sz w:val="21"/>
          <w:szCs w:val="21"/>
          <w:lang w:val="es-MX" w:eastAsia="en-US"/>
        </w:rPr>
        <w:t xml:space="preserve">, en ese sentido, tal planteamiento resultaría incluso contrario a lo comentado y expresado por la iniciante en su exposición de motivos, en tanto que se aducen cuestiones de apertura y participación de diversos entes públicos y sectores sociales en aras de una adecuada selección, no obstante, es de vislumbrar tal monopolización del proceso desde este Poder Legislativo a través del Congreso del Estado y la supresión de diversos equilibrios y contrapesos </w:t>
      </w:r>
      <w:r w:rsidRPr="00F77257">
        <w:rPr>
          <w:rFonts w:ascii="Abadi" w:eastAsia="Batang" w:hAnsi="Abadi" w:cs="Arial"/>
          <w:sz w:val="21"/>
          <w:szCs w:val="21"/>
          <w:lang w:val="es-MX" w:eastAsia="en-US"/>
        </w:rPr>
        <w:t xml:space="preserve">entre poderes, contrariaría tal ánimo, incluso, correría el riesgo de generar una politización de la selección de un puesto eminentemente técnico y operativo que en razón, incluso, de la naturaleza jurídica que posee la Fiscalía General como organismo constitucional autónomo, trastocaría su esencia un fines de independencia. </w:t>
      </w:r>
    </w:p>
    <w:p w14:paraId="2CC42EE0"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7D4724E2"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De igual manera, no podemos dejar de mencionar la naturaleza jurídica de los organismos constitucionales autónomos para ser consistentes y homologados en lo conducente en cuanto a lo pretendido a la luz del régimen que impera respecto a los mismos acordes a sus atribuciones y competencias, en este caso, además, como ente encargado del desempeño de una atribución originalmente de tal alto rango y sensibilidad como es la investigación y persecución de delitos.</w:t>
      </w:r>
    </w:p>
    <w:p w14:paraId="2D5EE651"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2CB680C7"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De igual forma, como justificación de la reforma al numeral 95, </w:t>
      </w:r>
      <w:r w:rsidRPr="00F77257">
        <w:rPr>
          <w:rFonts w:ascii="Abadi" w:eastAsia="Batang" w:hAnsi="Abadi" w:cs="Arial"/>
          <w:i/>
          <w:iCs/>
          <w:sz w:val="21"/>
          <w:szCs w:val="21"/>
          <w:lang w:val="es-MX" w:eastAsia="en-US"/>
        </w:rPr>
        <w:t>se habla en la exposición de motivos de avanzar y sugerir adecuados esquemas de servicios de carrera</w:t>
      </w:r>
      <w:r w:rsidRPr="00F77257">
        <w:rPr>
          <w:rFonts w:ascii="Abadi" w:eastAsia="Batang" w:hAnsi="Abadi" w:cs="Arial"/>
          <w:sz w:val="21"/>
          <w:szCs w:val="21"/>
          <w:lang w:val="es-MX" w:eastAsia="en-US"/>
        </w:rPr>
        <w:t xml:space="preserve">, cuestión ante la cual, el Servicio de Carrera del Ministerio Público, de los Peritos Forenses, de Analistas de Información y del desarrollo del personal de investigación criminal o policial de la Fiscalía General del Estado de Guanajuato, son mecanismos </w:t>
      </w:r>
      <w:r w:rsidRPr="00F77257">
        <w:rPr>
          <w:rFonts w:ascii="Abadi" w:eastAsia="Batang" w:hAnsi="Abadi" w:cs="Arial"/>
          <w:i/>
          <w:iCs/>
          <w:sz w:val="21"/>
          <w:szCs w:val="21"/>
          <w:lang w:val="es-MX" w:eastAsia="en-US"/>
        </w:rPr>
        <w:t xml:space="preserve">que la norma regula </w:t>
      </w:r>
      <w:r w:rsidRPr="00F77257">
        <w:rPr>
          <w:rFonts w:ascii="Abadi" w:eastAsia="Batang" w:hAnsi="Abadi" w:cs="Arial"/>
          <w:sz w:val="21"/>
          <w:szCs w:val="21"/>
          <w:lang w:val="es-MX" w:eastAsia="en-US"/>
        </w:rPr>
        <w:t xml:space="preserve">para garantizar la igualdad de oportunidades en el acceso a la función pública con base en los méritos tendientes a impulsar el crecimiento, capacidades, habilidades, aptitudes, principios y valores de quienes integran el servicio de procuración de justicia, para beneficio de la sociedad. </w:t>
      </w:r>
    </w:p>
    <w:p w14:paraId="7077137A"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23333093"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Es decir dicho componente desde nuestra perspectiva y desde su regulación debe ser de servicio, desarrollo y formación del personal sustantivo de la Fiscalía General, desde su etapa de reclutamiento, que se erige como medio articulante para la formación de servidoras y servidores públicos aptos para salvaguardar la integridad y derechos de las personas, preservar sus libertades, así como el </w:t>
      </w:r>
      <w:r w:rsidRPr="00F77257">
        <w:rPr>
          <w:rFonts w:ascii="Abadi" w:eastAsia="Batang" w:hAnsi="Abadi" w:cs="Arial"/>
          <w:sz w:val="21"/>
          <w:szCs w:val="21"/>
          <w:lang w:val="es-MX" w:eastAsia="en-US"/>
        </w:rPr>
        <w:lastRenderedPageBreak/>
        <w:t xml:space="preserve">respeto al orden y la paz públicos a través de la investigación y la persecución de los delitos, ello, en términos de las competencias establecidas en la Constitución Política de los Estados Unidos Mexicanos. </w:t>
      </w:r>
    </w:p>
    <w:p w14:paraId="7DDB379D"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5DF1756C"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En tal contexto, las acciones implementadas por esa Institución en materia de servicio profesional, de conformidad con la normativa, debe obligadamente contemplar instancias específicas, que para el caso que nos ocupa son las particulares Comisiones del Servicio de Carrera Ministerial y de Investigación Criminal y Pericial, así como procesos concretos que deben colmarse, en ese orden de ideas, el argumento o justificación para la sugerida reforma, carecería de contextualización y vinculación directa con lo que se busca regular con la iniciativa, relativo a la propuesta, selección y proceso de remoción del titular de la Fiscalía General del Estado, debiendo incluso señalar, que con base en el marco regulatorio de tal servicio de carrera </w:t>
      </w:r>
      <w:r w:rsidRPr="00F77257">
        <w:rPr>
          <w:rFonts w:ascii="Abadi" w:eastAsia="Batang" w:hAnsi="Abadi" w:cs="Arial"/>
          <w:i/>
          <w:iCs/>
          <w:sz w:val="21"/>
          <w:szCs w:val="21"/>
          <w:lang w:val="es-MX" w:eastAsia="en-US"/>
        </w:rPr>
        <w:t>entre ellos los artículos 8o., 20, 21 y 123, Apartado B, fracción XIII de la Constitución Política de los Estados Unidos Mexicanos; 2, 10 y 11 de la Constitución Política para el Estado de Guanajuato; y 13, 75, 76, 77 y 78 de la Ley Orgánica de la Fiscalía General del Estado de Guanajuato, Ley General del Sistema Nacional de Seguridad Pública, y reglamentación interna de la Fiscalía General</w:t>
      </w:r>
      <w:r w:rsidRPr="00F77257">
        <w:rPr>
          <w:rFonts w:ascii="Abadi" w:eastAsia="Batang" w:hAnsi="Abadi" w:cs="Arial"/>
          <w:sz w:val="21"/>
          <w:szCs w:val="21"/>
          <w:lang w:val="es-MX" w:eastAsia="en-US"/>
        </w:rPr>
        <w:t>, el titular del órgano constitucional autónomo, no forma parte del multicitado servicio de carrera.</w:t>
      </w:r>
    </w:p>
    <w:p w14:paraId="1332A5F3"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19151C78"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Desde nuestro análisis a la luz de la constitucionalidad con respecto al proceso de remoción del titular de la Fiscalía Estatal este es análogo al de la Fiscalía General de la República, mismos que deben analizarse de forma conforme y conjunta con el resto de las normas que los regulan.</w:t>
      </w:r>
    </w:p>
    <w:p w14:paraId="59F1DC1E"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2E965167" w14:textId="153F9CD7" w:rsidR="00F77257" w:rsidRPr="00F77257" w:rsidRDefault="007E4F00"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Pr>
          <w:rFonts w:ascii="Abadi" w:eastAsia="Batang" w:hAnsi="Abadi" w:cs="Arial"/>
          <w:sz w:val="21"/>
          <w:szCs w:val="21"/>
          <w:lang w:val="es-MX" w:eastAsia="en-US"/>
        </w:rPr>
        <w:tab/>
      </w:r>
      <w:r w:rsidR="00F77257" w:rsidRPr="00F77257">
        <w:rPr>
          <w:rFonts w:ascii="Abadi" w:eastAsia="Batang" w:hAnsi="Abadi" w:cs="Arial"/>
          <w:sz w:val="21"/>
          <w:szCs w:val="21"/>
          <w:lang w:val="es-MX" w:eastAsia="en-US"/>
        </w:rPr>
        <w:t xml:space="preserve">En este apartado es importante referirnos a la temporalidad de la duración en el encargo establecida por los poderes revisores de la Constitución, tanto federal como local. Para el caso de la Fiscalía de la República, el artículo </w:t>
      </w:r>
      <w:r w:rsidR="00F77257" w:rsidRPr="00F77257">
        <w:rPr>
          <w:rFonts w:ascii="Abadi" w:eastAsia="Batang" w:hAnsi="Abadi" w:cs="Arial"/>
          <w:sz w:val="21"/>
          <w:szCs w:val="21"/>
          <w:lang w:val="es-MX" w:eastAsia="en-US"/>
        </w:rPr>
        <w:t>102 de la Carta Magna indica que la duración del cargo será de 9 años, misma temporalidad que la señalada para el Fiscal estatal en el artículo 95 de la Constitución local. Por su parte, en nuestra entidad, el artículo 18 de la Ley Orgánica de la Fiscalía General del Estado de Guanajuato establece cuáles son las causas graves por las cuales el Gobernador podrá separarle de su cargo: i) cuando incumpla de manera reiterada con los fines institucionales previstos en la Ley, y ii) participar, tolerar, consentir o apoyar violaciones graves a los derechos humanos, o cometer violaciones graves a la Constitución General, a la Constitución Local y a las leyes. Por ello, ahí mismo se señala que corresponde al titular del Poder Ejecutivo local acreditar la causa grave que motivó la remoción del Fiscal General e informar al Congreso del Estado, quien decidirá si objeta o no la remoción, en términos del artículo 95 de la Constitución Política para el Estado de Guanajuato.</w:t>
      </w:r>
    </w:p>
    <w:p w14:paraId="57BDA27A"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210EF5CB"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Este diseño local es homólogo a nivel federal, interviniendo los poderes Ejecutivo y Legislativo a través del Presidente de la República y la Cámara de Senadores del Congreso de la Unión. Así, las normas a nivel federal y local establecen, en la ley las reglas y, las causas graves de remoción de las respectivas titularidades, además de contemplar un proceso agravado para la restitución de los mismos, pues en dicho sistema de remoción participa tanto el Poder Ejecutivo cuando existan las causales concretas establecidas por la Ley, decisión que debe ser confirmada por el Poder Legislativo, quien cuenta con facultad de veto respecto de dicha remoción.</w:t>
      </w:r>
    </w:p>
    <w:p w14:paraId="55F82D8F"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2CF8A55C"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Coincidimos en que la garantía de estabilidad del titular del organismo autónomo constitucional no es absoluta, pues además del proceso extraordinario de remoción, en el caso de Guanajuato el titular de la Fiscalía General del Estado también se encuentra sujeto al régimen de responsabilidad política contemplada en el artículo 110 de la Constitución Política de los Estados Unidos Mexicanos así como de </w:t>
      </w:r>
      <w:r w:rsidRPr="00F77257">
        <w:rPr>
          <w:rFonts w:ascii="Abadi" w:eastAsia="Batang" w:hAnsi="Abadi" w:cs="Arial"/>
          <w:sz w:val="21"/>
          <w:szCs w:val="21"/>
          <w:lang w:val="es-MX" w:eastAsia="en-US"/>
        </w:rPr>
        <w:lastRenderedPageBreak/>
        <w:t>responsabilidades administrativas establecido dentro del artículo 109 de dicha Constitución, y regulado por la Ley General de Responsabilidades Administrativas y la Ley de Responsabilidades Administrativas para el Estado de Guanajuato.</w:t>
      </w:r>
    </w:p>
    <w:p w14:paraId="59EC8F2A"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633D28CE"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Dentro del catálogo de sanciones administrativas del artículo 109 constitucional se encuentran amonestación, suspensión, destitución e inhabilitación y sanciones económicas. Conforme al artículo 124 fracción II de la Constitución Política para el Estado de Guanajuato, las faltas administrativas graves serán investigadas y sustanciadas por la Auditoría Superior del Estado de Guanajuato o por los Órganos Internos de Control y serán resueltas por el Tribunal de Justicia Administrativa del Estado de Guanajuato.</w:t>
      </w:r>
    </w:p>
    <w:p w14:paraId="3C534BEA"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6947194E" w14:textId="157B3D32"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Nuestro argumento constitucional reviste en que se tiene que considerar que la tarea de los Poderes Públicos no se puede entender aislada, en tanto que nuestro sistema de división de poderes, consagrado en el artículo 116 de la Constitución Política Federal, exige la interrelación de los órganos de gobierno en el ejercicio de sus funciones, como una forma de colaboración y coordinación.</w:t>
      </w:r>
    </w:p>
    <w:p w14:paraId="63E99865" w14:textId="77777777" w:rsidR="007E4F00" w:rsidRDefault="007E4F00"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286F1522" w14:textId="3571A592"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En la misma situación ha de entenderse esta autonomía frente a la propuesta de que quien ostente la titularidad sea sujeta a un proceso de revocación de mandato, además que no contempla cuál debe ser el umbral de participación ni el porcentaje de votación para que este sea vinculante, es un ejercicio inédito que no encuentra similar en el ámbito federal, lo cual nos dejaría ante una posible inconstitucionalidad.</w:t>
      </w:r>
    </w:p>
    <w:p w14:paraId="488A804F"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04693111"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Por el contrario, establecer que la permanencia o no del titular de un organismo autónomo constitucional sea decidida a través de sufragio directo, además de no tener relación con su método de nombramiento, implica una afectación directa a su autonomía, pues en un </w:t>
      </w:r>
      <w:r w:rsidRPr="00F77257">
        <w:rPr>
          <w:rFonts w:ascii="Abadi" w:eastAsia="Batang" w:hAnsi="Abadi" w:cs="Arial"/>
          <w:sz w:val="21"/>
          <w:szCs w:val="21"/>
          <w:lang w:val="es-MX" w:eastAsia="en-US"/>
        </w:rPr>
        <w:t>primer plano se trastocaría el diseño de su temporalidad y estabilidad.</w:t>
      </w:r>
    </w:p>
    <w:p w14:paraId="528C0EE6"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62247075"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Al mismo tiempo advertimos quienes dictaminamos que la reforma constitucional propuesta implica cuestiones que deben ser reglamentadas en la legislación orgánica del Poder Legislativo, tal y como qué comisiones legislativas son las encargadas de seguir el proceso, pues se estima que dichas normas no corresponden a rango constitucional sino reglamentario, situación que por técnica legislativa por supuesto no estamos de acuerdo, pues rompe con la estructura constitucional diseñada para tal efecto.</w:t>
      </w:r>
    </w:p>
    <w:p w14:paraId="2AFB2FB7" w14:textId="77777777" w:rsidR="00F77257" w:rsidRPr="00F77257" w:rsidRDefault="00F77257" w:rsidP="00F77257">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016258F3" w14:textId="77777777" w:rsidR="00F77257" w:rsidRPr="00F77257" w:rsidRDefault="00F77257" w:rsidP="00F77257">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En razón de los argumentos expresados se determina la no viabilidad de reformar la Constitución Política para el Estado de Guanajuato con los alcances propuestos, en razón de considerar que el diseño legal y constitucional de la Fiscalía General del Estado es acorde al parámetro de regularidad constitucional, así como a los estándares internacionales en la materia, pues los titulares de los organismos autónomos deben gozar de una garantía de estabilidad a efecto de dotar a los citados organismos de una real autonomía funcional.</w:t>
      </w:r>
    </w:p>
    <w:p w14:paraId="505BB6EB" w14:textId="77777777" w:rsidR="007E4F00"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r>
    </w:p>
    <w:p w14:paraId="1ECC26CF" w14:textId="6985344E" w:rsidR="00F77257" w:rsidRPr="00F77257" w:rsidRDefault="007E4F00"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Pr>
          <w:rFonts w:ascii="Abadi" w:eastAsia="Batang" w:hAnsi="Abadi" w:cs="Arial"/>
          <w:sz w:val="21"/>
          <w:szCs w:val="21"/>
          <w:lang w:val="es-MX" w:eastAsia="en-US"/>
        </w:rPr>
        <w:tab/>
      </w:r>
      <w:r w:rsidR="00F77257" w:rsidRPr="00F77257">
        <w:rPr>
          <w:rFonts w:ascii="Abadi" w:eastAsia="Batang" w:hAnsi="Abadi" w:cs="Arial"/>
          <w:sz w:val="21"/>
          <w:szCs w:val="21"/>
          <w:lang w:val="es-MX" w:eastAsia="en-US"/>
        </w:rPr>
        <w:t xml:space="preserve">El nombramiento y remoción contemplada por el artículo 95 de la Constitución local es un proceso extraordinario, por lo cual es acorde a los estándares y necesario que contenga elementos de calificación y coparticipación deliberativa entre Poderes estatales. </w:t>
      </w:r>
    </w:p>
    <w:p w14:paraId="65D5AF13" w14:textId="77777777" w:rsidR="007E4F00" w:rsidRDefault="007E4F00"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1BF60D9B" w14:textId="4B7F185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Por ende, es necesario que para nombrar y remover al titular de la Fiscalía General del Estado sean dos poderes los que participen activamente del mismo, a efecto de evitar la injerencia unilateral de algún poder en el desarrollo de la labor del órgano autónomo.</w:t>
      </w:r>
    </w:p>
    <w:p w14:paraId="4974B7A5"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1DB60198"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Quienes dictaminamos consideramos que el sistema normativo establece controles </w:t>
      </w:r>
      <w:r w:rsidRPr="00F77257">
        <w:rPr>
          <w:rFonts w:ascii="Abadi" w:eastAsia="Batang" w:hAnsi="Abadi" w:cs="Arial"/>
          <w:sz w:val="21"/>
          <w:szCs w:val="21"/>
          <w:lang w:val="es-MX" w:eastAsia="en-US"/>
        </w:rPr>
        <w:lastRenderedPageBreak/>
        <w:t>políticos y administrativos para una eventual destitución de la persona titular, en caso de que incurra en alguno de los supuestos que la Constitución o la normatividad en materia de responsabilidades administrativas contemplan, ello a través de procesos sustanciados por instancias especializadas como los órganos internos de control, designados por el Congreso, o el Tribunal de Justicia Administrativa, en el que se respeten las garantías del debido proceso.</w:t>
      </w:r>
    </w:p>
    <w:p w14:paraId="6A67F716" w14:textId="77777777" w:rsidR="00F77257" w:rsidRPr="00F77257" w:rsidRDefault="00F77257" w:rsidP="00F77257">
      <w:pPr>
        <w:widowControl w:val="0"/>
        <w:tabs>
          <w:tab w:val="left" w:pos="0"/>
        </w:tabs>
        <w:spacing w:before="53" w:line="283" w:lineRule="auto"/>
        <w:ind w:right="69"/>
        <w:contextualSpacing/>
        <w:jc w:val="both"/>
        <w:rPr>
          <w:rFonts w:ascii="Abadi" w:eastAsia="Batang" w:hAnsi="Abadi" w:cs="Arial"/>
          <w:sz w:val="21"/>
          <w:szCs w:val="21"/>
          <w:lang w:val="es-MX" w:eastAsia="en-US"/>
        </w:rPr>
      </w:pPr>
    </w:p>
    <w:p w14:paraId="317F0326" w14:textId="77777777" w:rsidR="00F77257" w:rsidRPr="00F77257" w:rsidRDefault="00F77257" w:rsidP="007E4F00">
      <w:pPr>
        <w:widowControl w:val="0"/>
        <w:tabs>
          <w:tab w:val="left" w:pos="0"/>
        </w:tabs>
        <w:spacing w:before="53" w:line="283" w:lineRule="auto"/>
        <w:ind w:right="69"/>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Con todo lo expuesto estimamos pertinente el archivo de la iniciativa de referencia.</w:t>
      </w:r>
    </w:p>
    <w:p w14:paraId="70A8A1D1" w14:textId="77777777" w:rsidR="00F77257" w:rsidRPr="00F77257" w:rsidRDefault="00F77257" w:rsidP="00F77257">
      <w:pPr>
        <w:autoSpaceDE w:val="0"/>
        <w:autoSpaceDN w:val="0"/>
        <w:adjustRightInd w:val="0"/>
        <w:spacing w:line="276" w:lineRule="auto"/>
        <w:ind w:firstLine="708"/>
        <w:jc w:val="both"/>
        <w:rPr>
          <w:rFonts w:ascii="Abadi" w:eastAsia="Batang" w:hAnsi="Abadi" w:cs="Arial"/>
          <w:sz w:val="21"/>
          <w:szCs w:val="21"/>
          <w:lang w:val="es-MX" w:eastAsia="en-US"/>
        </w:rPr>
      </w:pPr>
    </w:p>
    <w:p w14:paraId="1F6484B4" w14:textId="0D8C4494" w:rsidR="00F77257" w:rsidRDefault="00F77257" w:rsidP="00F77257">
      <w:pPr>
        <w:autoSpaceDE w:val="0"/>
        <w:autoSpaceDN w:val="0"/>
        <w:adjustRightInd w:val="0"/>
        <w:spacing w:line="276" w:lineRule="auto"/>
        <w:ind w:firstLine="708"/>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No omitimos referir que dado el ejercicio de agenda común que tiene la Junta de Gobierno y Coordinación Política de esta Sexagésima Quinta Legislatura como atribución con respecto a la Ley Orgánica del Poder Legislativo del Estado de Guanajuato, este dictamen sólo se ocupa del apartado correspondiente al artículo 95 de la Constitución Política para el Estado de Guanajuato.</w:t>
      </w:r>
    </w:p>
    <w:p w14:paraId="592F8A13" w14:textId="77777777" w:rsidR="00F77257" w:rsidRPr="00F77257" w:rsidRDefault="00F77257" w:rsidP="00F77257">
      <w:pPr>
        <w:autoSpaceDE w:val="0"/>
        <w:autoSpaceDN w:val="0"/>
        <w:adjustRightInd w:val="0"/>
        <w:spacing w:line="276" w:lineRule="auto"/>
        <w:ind w:firstLine="708"/>
        <w:jc w:val="both"/>
        <w:rPr>
          <w:rFonts w:ascii="Abadi" w:eastAsia="Batang" w:hAnsi="Abadi" w:cs="Arial"/>
          <w:sz w:val="21"/>
          <w:szCs w:val="21"/>
          <w:lang w:val="es-MX" w:eastAsia="en-US"/>
        </w:rPr>
      </w:pPr>
    </w:p>
    <w:p w14:paraId="6E43BE76" w14:textId="77777777" w:rsidR="00F77257" w:rsidRPr="00F77257" w:rsidRDefault="00F77257" w:rsidP="00F77257">
      <w:pPr>
        <w:spacing w:line="276" w:lineRule="auto"/>
        <w:ind w:firstLine="708"/>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 xml:space="preserve">En razón de lo antes expuesto y con fundamento en los artículos 171 y 204 de </w:t>
      </w:r>
      <w:smartTag w:uri="urn:schemas-microsoft-com:office:smarttags" w:element="PersonName">
        <w:smartTagPr>
          <w:attr w:name="ProductID" w:val="la Ley Org￡nica"/>
        </w:smartTagPr>
        <w:r w:rsidRPr="00F77257">
          <w:rPr>
            <w:rFonts w:ascii="Abadi" w:eastAsia="Batang" w:hAnsi="Abadi" w:cs="Arial"/>
            <w:sz w:val="21"/>
            <w:szCs w:val="21"/>
            <w:lang w:val="es-MX" w:eastAsia="en-US"/>
          </w:rPr>
          <w:t>la Ley Orgánica</w:t>
        </w:r>
      </w:smartTag>
      <w:r w:rsidRPr="00F77257">
        <w:rPr>
          <w:rFonts w:ascii="Abadi" w:eastAsia="Batang" w:hAnsi="Abadi" w:cs="Arial"/>
          <w:sz w:val="21"/>
          <w:szCs w:val="21"/>
          <w:lang w:val="es-MX" w:eastAsia="en-US"/>
        </w:rPr>
        <w:t xml:space="preserve"> del Poder Legislativo del Estado de Guanajuato, nos permitimos someter a la aprobación de </w:t>
      </w:r>
      <w:smartTag w:uri="urn:schemas-microsoft-com:office:smarttags" w:element="PersonName">
        <w:smartTagPr>
          <w:attr w:name="ProductID" w:val="la Asamblea"/>
        </w:smartTagPr>
        <w:r w:rsidRPr="00F77257">
          <w:rPr>
            <w:rFonts w:ascii="Abadi" w:eastAsia="Batang" w:hAnsi="Abadi" w:cs="Arial"/>
            <w:sz w:val="21"/>
            <w:szCs w:val="21"/>
            <w:lang w:val="es-MX" w:eastAsia="en-US"/>
          </w:rPr>
          <w:t>la Asamblea</w:t>
        </w:r>
      </w:smartTag>
      <w:r w:rsidRPr="00F77257">
        <w:rPr>
          <w:rFonts w:ascii="Abadi" w:eastAsia="Batang" w:hAnsi="Abadi" w:cs="Arial"/>
          <w:sz w:val="21"/>
          <w:szCs w:val="21"/>
          <w:lang w:val="es-MX" w:eastAsia="en-US"/>
        </w:rPr>
        <w:t xml:space="preserve">, el siguiente: </w:t>
      </w:r>
    </w:p>
    <w:p w14:paraId="4E1D724E" w14:textId="19FA43BE" w:rsidR="00F77257" w:rsidRDefault="00F77257" w:rsidP="00F77257">
      <w:pPr>
        <w:rPr>
          <w:rFonts w:ascii="Abadi" w:eastAsia="Batang" w:hAnsi="Abadi" w:cs="Arial"/>
          <w:sz w:val="21"/>
          <w:szCs w:val="21"/>
          <w:lang w:val="es-MX" w:eastAsia="en-US"/>
        </w:rPr>
      </w:pPr>
    </w:p>
    <w:p w14:paraId="310586A6" w14:textId="77777777" w:rsidR="00F77257" w:rsidRPr="00F77257" w:rsidRDefault="00F77257" w:rsidP="00F77257">
      <w:pPr>
        <w:rPr>
          <w:rFonts w:ascii="Abadi" w:hAnsi="Abadi" w:cs="Arial"/>
          <w:b/>
          <w:sz w:val="21"/>
          <w:szCs w:val="21"/>
          <w:lang w:val="es-MX" w:eastAsia="en-US"/>
        </w:rPr>
      </w:pPr>
    </w:p>
    <w:p w14:paraId="5AB6F526" w14:textId="77777777" w:rsidR="00F77257" w:rsidRPr="00F77257" w:rsidRDefault="00F77257" w:rsidP="00F77257">
      <w:pPr>
        <w:jc w:val="center"/>
        <w:rPr>
          <w:rFonts w:ascii="Abadi" w:hAnsi="Abadi" w:cs="Arial"/>
          <w:b/>
          <w:sz w:val="21"/>
          <w:szCs w:val="21"/>
          <w:lang w:val="es-MX" w:eastAsia="en-US"/>
        </w:rPr>
      </w:pPr>
      <w:r w:rsidRPr="00F77257">
        <w:rPr>
          <w:rFonts w:ascii="Abadi" w:hAnsi="Abadi" w:cs="Arial"/>
          <w:b/>
          <w:sz w:val="21"/>
          <w:szCs w:val="21"/>
          <w:lang w:val="es-MX" w:eastAsia="en-US"/>
        </w:rPr>
        <w:t>ACUERDO</w:t>
      </w:r>
    </w:p>
    <w:p w14:paraId="12B22861" w14:textId="77777777" w:rsidR="00F77257" w:rsidRDefault="00F77257" w:rsidP="00F77257">
      <w:pPr>
        <w:widowControl w:val="0"/>
        <w:tabs>
          <w:tab w:val="left" w:pos="663"/>
        </w:tabs>
        <w:spacing w:before="57" w:line="276" w:lineRule="auto"/>
        <w:contextualSpacing/>
        <w:jc w:val="both"/>
        <w:rPr>
          <w:rFonts w:ascii="Abadi" w:hAnsi="Abadi" w:cs="Arial"/>
          <w:b/>
          <w:sz w:val="21"/>
          <w:szCs w:val="21"/>
          <w:lang w:val="es-MX" w:eastAsia="en-US"/>
        </w:rPr>
      </w:pPr>
    </w:p>
    <w:p w14:paraId="49E5DDC9" w14:textId="0C78D5E3" w:rsidR="00F77257" w:rsidRPr="00F77257" w:rsidRDefault="00F77257" w:rsidP="00F77257">
      <w:pPr>
        <w:widowControl w:val="0"/>
        <w:tabs>
          <w:tab w:val="left" w:pos="663"/>
        </w:tabs>
        <w:spacing w:before="57" w:line="276" w:lineRule="auto"/>
        <w:contextualSpacing/>
        <w:jc w:val="both"/>
        <w:rPr>
          <w:rFonts w:ascii="Abadi" w:eastAsia="Batang" w:hAnsi="Abadi" w:cs="Arial"/>
          <w:i/>
          <w:iCs/>
          <w:sz w:val="21"/>
          <w:szCs w:val="21"/>
          <w:lang w:val="es-MX" w:eastAsia="en-US"/>
        </w:rPr>
      </w:pPr>
      <w:r w:rsidRPr="00F77257">
        <w:rPr>
          <w:rFonts w:ascii="Abadi" w:eastAsia="Calibri" w:hAnsi="Abadi"/>
          <w:b/>
          <w:bCs/>
          <w:sz w:val="21"/>
          <w:szCs w:val="21"/>
          <w:lang w:eastAsia="en-US"/>
        </w:rPr>
        <w:tab/>
        <w:t xml:space="preserve">Único. </w:t>
      </w:r>
      <w:r w:rsidRPr="00F77257">
        <w:rPr>
          <w:rFonts w:ascii="Abadi" w:eastAsia="Batang" w:hAnsi="Abadi" w:cs="Arial"/>
          <w:sz w:val="21"/>
          <w:szCs w:val="21"/>
          <w:lang w:val="es-MX" w:eastAsia="en-US"/>
        </w:rPr>
        <w:t xml:space="preserve">Se ordena el archivo definitivo de la iniciativa suscrita por la diputada Alma Edwviges Alcaraz Hernández integrante del Grupo Parlamentario del Partido MORENA, a efecto de reformar el artículo 95 de la Constitución Política para el Estado de Guanajuato; así como reformar y adicionar diversas disposiciones a la Ley Orgánica del Poder Legislativo del Estado de Guanajuato, </w:t>
      </w:r>
      <w:r w:rsidRPr="00F77257">
        <w:rPr>
          <w:rFonts w:ascii="Abadi" w:eastAsia="Batang" w:hAnsi="Abadi" w:cs="Arial"/>
          <w:i/>
          <w:iCs/>
          <w:sz w:val="21"/>
          <w:szCs w:val="21"/>
          <w:lang w:val="es-MX" w:eastAsia="en-US"/>
        </w:rPr>
        <w:t>en la parte correspondiente al primero de los ordenamientos.</w:t>
      </w:r>
    </w:p>
    <w:p w14:paraId="20342B96" w14:textId="77777777" w:rsidR="00F77257" w:rsidRDefault="00F77257" w:rsidP="00F77257">
      <w:pPr>
        <w:widowControl w:val="0"/>
        <w:tabs>
          <w:tab w:val="left" w:pos="663"/>
        </w:tabs>
        <w:spacing w:before="57" w:line="276" w:lineRule="auto"/>
        <w:contextualSpacing/>
        <w:jc w:val="both"/>
        <w:rPr>
          <w:rFonts w:ascii="Abadi" w:eastAsia="Batang" w:hAnsi="Abadi" w:cs="Arial"/>
          <w:sz w:val="21"/>
          <w:szCs w:val="21"/>
          <w:lang w:val="es-MX" w:eastAsia="en-US"/>
        </w:rPr>
      </w:pPr>
    </w:p>
    <w:p w14:paraId="763AB23B" w14:textId="238AD5AE" w:rsidR="00F77257" w:rsidRPr="00F77257" w:rsidRDefault="00F77257" w:rsidP="00F77257">
      <w:pPr>
        <w:widowControl w:val="0"/>
        <w:tabs>
          <w:tab w:val="left" w:pos="663"/>
        </w:tabs>
        <w:spacing w:before="57" w:line="276" w:lineRule="auto"/>
        <w:contextualSpacing/>
        <w:jc w:val="both"/>
        <w:rPr>
          <w:rFonts w:ascii="Abadi" w:eastAsia="Batang" w:hAnsi="Abadi" w:cs="Arial"/>
          <w:sz w:val="21"/>
          <w:szCs w:val="21"/>
          <w:lang w:val="es-MX" w:eastAsia="en-US"/>
        </w:rPr>
      </w:pPr>
      <w:r w:rsidRPr="00F77257">
        <w:rPr>
          <w:rFonts w:ascii="Abadi" w:eastAsia="Batang" w:hAnsi="Abadi" w:cs="Arial"/>
          <w:sz w:val="21"/>
          <w:szCs w:val="21"/>
          <w:lang w:val="es-MX" w:eastAsia="en-US"/>
        </w:rPr>
        <w:tab/>
        <w:t xml:space="preserve">Se instruye al Secretario General del Congreso archive de manera definitiva el </w:t>
      </w:r>
      <w:r w:rsidRPr="00F77257">
        <w:rPr>
          <w:rFonts w:ascii="Abadi" w:eastAsia="Batang" w:hAnsi="Abadi" w:cs="Arial"/>
          <w:sz w:val="21"/>
          <w:szCs w:val="21"/>
          <w:lang w:val="es-MX" w:eastAsia="en-US"/>
        </w:rPr>
        <w:t>apartado de la iniciativa de referencia.</w:t>
      </w:r>
    </w:p>
    <w:p w14:paraId="44D47473" w14:textId="77777777" w:rsidR="00F77257" w:rsidRPr="00F77257" w:rsidRDefault="00F77257" w:rsidP="00F77257">
      <w:pPr>
        <w:ind w:firstLine="708"/>
        <w:jc w:val="both"/>
        <w:rPr>
          <w:rFonts w:ascii="Abadi" w:hAnsi="Abadi" w:cs="Arial"/>
          <w:sz w:val="21"/>
          <w:szCs w:val="21"/>
        </w:rPr>
      </w:pPr>
    </w:p>
    <w:p w14:paraId="258432BA" w14:textId="77777777" w:rsidR="00F77257" w:rsidRPr="00F77257" w:rsidRDefault="00F77257" w:rsidP="00F77257">
      <w:pPr>
        <w:jc w:val="center"/>
        <w:rPr>
          <w:rFonts w:ascii="Abadi" w:eastAsia="Arial Unicode MS" w:hAnsi="Abadi" w:cs="Arial Unicode MS"/>
          <w:b/>
          <w:bCs/>
          <w:sz w:val="21"/>
          <w:szCs w:val="21"/>
          <w:lang w:val="es-MX" w:eastAsia="en-US"/>
        </w:rPr>
      </w:pPr>
      <w:r w:rsidRPr="00F77257">
        <w:rPr>
          <w:rFonts w:ascii="Abadi" w:eastAsia="Arial Unicode MS" w:hAnsi="Abadi" w:cs="Arial Unicode MS"/>
          <w:b/>
          <w:bCs/>
          <w:sz w:val="21"/>
          <w:szCs w:val="21"/>
          <w:lang w:val="es-MX" w:eastAsia="en-US"/>
        </w:rPr>
        <w:t>GUANAJUATO, GTO., A 21 DE JUNIO DE 2022</w:t>
      </w:r>
    </w:p>
    <w:p w14:paraId="5B9ABFF8" w14:textId="77777777" w:rsidR="00F77257" w:rsidRPr="00F77257" w:rsidRDefault="00F77257" w:rsidP="00F77257">
      <w:pPr>
        <w:jc w:val="center"/>
        <w:rPr>
          <w:rFonts w:ascii="Abadi" w:eastAsia="Arial Unicode MS" w:hAnsi="Abadi" w:cs="Arial Unicode MS"/>
          <w:b/>
          <w:bCs/>
          <w:sz w:val="21"/>
          <w:szCs w:val="21"/>
          <w:lang w:val="es-MX" w:eastAsia="en-US"/>
        </w:rPr>
      </w:pPr>
      <w:r w:rsidRPr="00F77257">
        <w:rPr>
          <w:rFonts w:ascii="Abadi" w:eastAsia="Arial Unicode MS" w:hAnsi="Abadi" w:cs="Arial Unicode MS"/>
          <w:b/>
          <w:bCs/>
          <w:sz w:val="21"/>
          <w:szCs w:val="21"/>
          <w:lang w:val="es-MX" w:eastAsia="en-US"/>
        </w:rPr>
        <w:t>COMISIÓN DE GOBERNACIÓN Y PUNTOS CONSTITUCIONALES</w:t>
      </w:r>
    </w:p>
    <w:p w14:paraId="4E76B4F8" w14:textId="77777777" w:rsidR="00C5785B" w:rsidRDefault="00C5785B" w:rsidP="00C5785B">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Susana Bermúdez Cano</w:t>
      </w:r>
    </w:p>
    <w:p w14:paraId="3B09616A" w14:textId="77777777" w:rsidR="00C5785B" w:rsidRDefault="00C5785B" w:rsidP="00C5785B">
      <w:pPr>
        <w:jc w:val="center"/>
        <w:rPr>
          <w:rFonts w:ascii="Abadi" w:eastAsia="Arial Unicode MS" w:hAnsi="Abadi" w:cs="Arial Unicode MS"/>
          <w:b/>
          <w:bCs/>
          <w:sz w:val="21"/>
          <w:szCs w:val="21"/>
          <w:lang w:val="es-MX" w:eastAsia="en-US"/>
        </w:rPr>
      </w:pPr>
    </w:p>
    <w:p w14:paraId="71EAF8BF" w14:textId="77777777" w:rsidR="00C5785B" w:rsidRDefault="00C5785B" w:rsidP="00C5785B">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Laura Cristina Márquez Alcalá</w:t>
      </w:r>
    </w:p>
    <w:p w14:paraId="5E559E09" w14:textId="77777777" w:rsidR="00C5785B" w:rsidRDefault="00C5785B" w:rsidP="00C5785B">
      <w:pPr>
        <w:jc w:val="center"/>
        <w:rPr>
          <w:rFonts w:ascii="Abadi" w:eastAsia="Arial Unicode MS" w:hAnsi="Abadi" w:cs="Arial Unicode MS"/>
          <w:b/>
          <w:bCs/>
          <w:sz w:val="21"/>
          <w:szCs w:val="21"/>
          <w:lang w:val="es-MX" w:eastAsia="en-US"/>
        </w:rPr>
      </w:pPr>
    </w:p>
    <w:p w14:paraId="159CB9C8" w14:textId="77777777" w:rsidR="00C5785B" w:rsidRDefault="00C5785B" w:rsidP="00C5785B">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Briseida Anabel Magdaleno González</w:t>
      </w:r>
    </w:p>
    <w:p w14:paraId="388FE075" w14:textId="77777777" w:rsidR="00C5785B" w:rsidRDefault="00C5785B" w:rsidP="00C5785B">
      <w:pPr>
        <w:jc w:val="center"/>
        <w:rPr>
          <w:rFonts w:ascii="Abadi" w:eastAsia="Arial Unicode MS" w:hAnsi="Abadi" w:cs="Arial Unicode MS"/>
          <w:b/>
          <w:bCs/>
          <w:sz w:val="21"/>
          <w:szCs w:val="21"/>
          <w:lang w:val="es-MX" w:eastAsia="en-US"/>
        </w:rPr>
      </w:pPr>
    </w:p>
    <w:p w14:paraId="02A2C831" w14:textId="77777777" w:rsidR="00C5785B" w:rsidRDefault="00C5785B" w:rsidP="00C5785B">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Alma Edwviges Alcaraz Hernández</w:t>
      </w:r>
    </w:p>
    <w:p w14:paraId="39E6B18E" w14:textId="77777777" w:rsidR="00C5785B" w:rsidRDefault="00C5785B" w:rsidP="00C5785B">
      <w:pPr>
        <w:jc w:val="center"/>
        <w:rPr>
          <w:rFonts w:ascii="Abadi" w:eastAsia="Arial Unicode MS" w:hAnsi="Abadi" w:cs="Arial Unicode MS"/>
          <w:b/>
          <w:bCs/>
          <w:sz w:val="21"/>
          <w:szCs w:val="21"/>
          <w:lang w:val="es-MX" w:eastAsia="en-US"/>
        </w:rPr>
      </w:pPr>
    </w:p>
    <w:p w14:paraId="62365F71" w14:textId="77777777" w:rsidR="00C5785B" w:rsidRDefault="00C5785B" w:rsidP="00C5785B">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Rolando Fortino Alcántar Rojas</w:t>
      </w:r>
    </w:p>
    <w:p w14:paraId="5AF84E23" w14:textId="77777777" w:rsidR="00C5785B" w:rsidRDefault="00C5785B" w:rsidP="00C5785B">
      <w:pPr>
        <w:jc w:val="center"/>
        <w:rPr>
          <w:rFonts w:ascii="Abadi" w:eastAsia="Arial Unicode MS" w:hAnsi="Abadi" w:cs="Arial Unicode MS"/>
          <w:b/>
          <w:bCs/>
          <w:sz w:val="21"/>
          <w:szCs w:val="21"/>
          <w:lang w:val="es-MX" w:eastAsia="en-US"/>
        </w:rPr>
      </w:pPr>
    </w:p>
    <w:p w14:paraId="02DA77A0" w14:textId="77777777" w:rsidR="00C5785B" w:rsidRDefault="00C5785B" w:rsidP="00C5785B">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Yulma Rocha Aguilar</w:t>
      </w:r>
    </w:p>
    <w:p w14:paraId="122BDF9D" w14:textId="77777777" w:rsidR="00C5785B" w:rsidRDefault="00C5785B" w:rsidP="00C5785B">
      <w:pPr>
        <w:jc w:val="center"/>
        <w:rPr>
          <w:rFonts w:ascii="Abadi" w:eastAsia="Arial Unicode MS" w:hAnsi="Abadi" w:cs="Arial Unicode MS"/>
          <w:b/>
          <w:bCs/>
          <w:sz w:val="21"/>
          <w:szCs w:val="21"/>
          <w:lang w:val="es-MX" w:eastAsia="en-US"/>
        </w:rPr>
      </w:pPr>
    </w:p>
    <w:p w14:paraId="382E3D24" w14:textId="77777777" w:rsidR="00C5785B" w:rsidRPr="00021537" w:rsidRDefault="00C5785B" w:rsidP="00C5785B">
      <w:pPr>
        <w:jc w:val="center"/>
        <w:rPr>
          <w:rFonts w:ascii="Abadi" w:eastAsia="Arial Unicode MS" w:hAnsi="Abadi" w:cs="Arial Unicode MS"/>
          <w:b/>
          <w:bCs/>
          <w:sz w:val="21"/>
          <w:szCs w:val="21"/>
          <w:lang w:val="es-MX" w:eastAsia="en-US"/>
        </w:rPr>
      </w:pPr>
      <w:r>
        <w:rPr>
          <w:rFonts w:ascii="Abadi" w:eastAsia="Arial Unicode MS" w:hAnsi="Abadi" w:cs="Arial Unicode MS"/>
          <w:b/>
          <w:bCs/>
          <w:sz w:val="21"/>
          <w:szCs w:val="21"/>
          <w:lang w:val="es-MX" w:eastAsia="en-US"/>
        </w:rPr>
        <w:t>Dip Gerardo Fernández González</w:t>
      </w:r>
    </w:p>
    <w:p w14:paraId="5A65D0FA" w14:textId="0F0EEEAD" w:rsidR="00F77257" w:rsidRDefault="00F77257" w:rsidP="00F77257">
      <w:pPr>
        <w:rPr>
          <w:rFonts w:ascii="Abadi" w:hAnsi="Abadi"/>
          <w:sz w:val="20"/>
          <w:szCs w:val="20"/>
        </w:rPr>
      </w:pPr>
    </w:p>
    <w:p w14:paraId="4AE70CE2" w14:textId="77777777" w:rsidR="00F77257" w:rsidRPr="00F77257" w:rsidRDefault="00F77257" w:rsidP="00F77257">
      <w:pPr>
        <w:rPr>
          <w:rFonts w:ascii="Abadi" w:hAnsi="Abadi"/>
          <w:sz w:val="20"/>
          <w:szCs w:val="20"/>
        </w:rPr>
      </w:pPr>
    </w:p>
    <w:p w14:paraId="03B7843F" w14:textId="4E062050" w:rsidR="00EA2EBA" w:rsidRDefault="00EA2EBA"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50"/>
          <w:w w:val="150"/>
          <w:sz w:val="20"/>
          <w:szCs w:val="20"/>
        </w:rPr>
        <w:t xml:space="preserve"> </w:t>
      </w:r>
      <w:r w:rsidRPr="00531B12">
        <w:rPr>
          <w:rFonts w:ascii="Abadi" w:hAnsi="Abadi"/>
          <w:b/>
          <w:bCs/>
          <w:sz w:val="20"/>
          <w:szCs w:val="20"/>
        </w:rPr>
        <w:t>Y,</w:t>
      </w:r>
      <w:r w:rsidRPr="00531B12">
        <w:rPr>
          <w:rFonts w:ascii="Abadi" w:hAnsi="Abadi"/>
          <w:b/>
          <w:bCs/>
          <w:spacing w:val="50"/>
          <w:w w:val="150"/>
          <w:sz w:val="20"/>
          <w:szCs w:val="20"/>
        </w:rPr>
        <w:t xml:space="preserve"> </w:t>
      </w:r>
      <w:r w:rsidRPr="00531B12">
        <w:rPr>
          <w:rFonts w:ascii="Abadi" w:hAnsi="Abadi"/>
          <w:b/>
          <w:bCs/>
          <w:sz w:val="20"/>
          <w:szCs w:val="20"/>
        </w:rPr>
        <w:t>EN</w:t>
      </w:r>
      <w:r w:rsidRPr="00531B12">
        <w:rPr>
          <w:rFonts w:ascii="Abadi" w:hAnsi="Abadi"/>
          <w:b/>
          <w:bCs/>
          <w:spacing w:val="50"/>
          <w:w w:val="150"/>
          <w:sz w:val="20"/>
          <w:szCs w:val="20"/>
        </w:rPr>
        <w:t xml:space="preserve"> </w:t>
      </w:r>
      <w:r w:rsidRPr="00531B12">
        <w:rPr>
          <w:rFonts w:ascii="Abadi" w:hAnsi="Abadi"/>
          <w:b/>
          <w:bCs/>
          <w:sz w:val="20"/>
          <w:szCs w:val="20"/>
        </w:rPr>
        <w:t>SU</w:t>
      </w:r>
      <w:r w:rsidRPr="00531B12">
        <w:rPr>
          <w:rFonts w:ascii="Abadi" w:hAnsi="Abadi"/>
          <w:b/>
          <w:bCs/>
          <w:spacing w:val="50"/>
          <w:w w:val="150"/>
          <w:sz w:val="20"/>
          <w:szCs w:val="20"/>
        </w:rPr>
        <w:t xml:space="preserve"> </w:t>
      </w:r>
      <w:r w:rsidRPr="00531B12">
        <w:rPr>
          <w:rFonts w:ascii="Abadi" w:hAnsi="Abadi"/>
          <w:b/>
          <w:bCs/>
          <w:sz w:val="20"/>
          <w:szCs w:val="20"/>
        </w:rPr>
        <w:t>CASO,</w:t>
      </w:r>
      <w:r w:rsidRPr="00531B12">
        <w:rPr>
          <w:rFonts w:ascii="Abadi" w:hAnsi="Abadi"/>
          <w:b/>
          <w:bCs/>
          <w:spacing w:val="50"/>
          <w:w w:val="150"/>
          <w:sz w:val="20"/>
          <w:szCs w:val="20"/>
        </w:rPr>
        <w:t xml:space="preserve"> </w:t>
      </w:r>
      <w:r w:rsidRPr="00531B12">
        <w:rPr>
          <w:rFonts w:ascii="Abadi" w:hAnsi="Abadi"/>
          <w:b/>
          <w:bCs/>
          <w:sz w:val="20"/>
          <w:szCs w:val="20"/>
        </w:rPr>
        <w:t>APROBACIÓN</w:t>
      </w:r>
      <w:r w:rsidRPr="00531B12">
        <w:rPr>
          <w:rFonts w:ascii="Abadi" w:hAnsi="Abadi"/>
          <w:b/>
          <w:bCs/>
          <w:spacing w:val="50"/>
          <w:w w:val="150"/>
          <w:sz w:val="20"/>
          <w:szCs w:val="20"/>
        </w:rPr>
        <w:t xml:space="preserve"> </w:t>
      </w:r>
      <w:r w:rsidRPr="00531B12">
        <w:rPr>
          <w:rFonts w:ascii="Abadi" w:hAnsi="Abadi"/>
          <w:b/>
          <w:bCs/>
          <w:sz w:val="20"/>
          <w:szCs w:val="20"/>
        </w:rPr>
        <w:t>DEL</w:t>
      </w:r>
      <w:r w:rsidRPr="00531B12">
        <w:rPr>
          <w:rFonts w:ascii="Abadi" w:hAnsi="Abadi"/>
          <w:b/>
          <w:bCs/>
          <w:spacing w:val="50"/>
          <w:w w:val="150"/>
          <w:sz w:val="20"/>
          <w:szCs w:val="20"/>
        </w:rPr>
        <w:t xml:space="preserve"> </w:t>
      </w:r>
      <w:r w:rsidRPr="00531B12">
        <w:rPr>
          <w:rFonts w:ascii="Abadi" w:hAnsi="Abadi"/>
          <w:b/>
          <w:bCs/>
          <w:sz w:val="20"/>
          <w:szCs w:val="20"/>
        </w:rPr>
        <w:t>DICTAMEN</w:t>
      </w:r>
      <w:r w:rsidRPr="00531B12">
        <w:rPr>
          <w:rFonts w:ascii="Abadi" w:hAnsi="Abadi"/>
          <w:b/>
          <w:bCs/>
          <w:spacing w:val="50"/>
          <w:w w:val="150"/>
          <w:sz w:val="20"/>
          <w:szCs w:val="20"/>
        </w:rPr>
        <w:t xml:space="preserve"> </w:t>
      </w:r>
      <w:r w:rsidRPr="00531B12">
        <w:rPr>
          <w:rFonts w:ascii="Abadi" w:hAnsi="Abadi"/>
          <w:b/>
          <w:bCs/>
          <w:sz w:val="20"/>
          <w:szCs w:val="20"/>
        </w:rPr>
        <w:t>PRESENTADO</w:t>
      </w:r>
      <w:r w:rsidRPr="00531B12">
        <w:rPr>
          <w:rFonts w:ascii="Abadi" w:hAnsi="Abadi"/>
          <w:b/>
          <w:bCs/>
          <w:spacing w:val="50"/>
          <w:w w:val="150"/>
          <w:sz w:val="20"/>
          <w:szCs w:val="20"/>
        </w:rPr>
        <w:t xml:space="preserve"> </w:t>
      </w:r>
      <w:r w:rsidRPr="00531B12">
        <w:rPr>
          <w:rFonts w:ascii="Abadi" w:hAnsi="Abadi"/>
          <w:b/>
          <w:bCs/>
          <w:sz w:val="20"/>
          <w:szCs w:val="20"/>
        </w:rPr>
        <w:t>POR</w:t>
      </w:r>
      <w:r w:rsidRPr="00531B12">
        <w:rPr>
          <w:rFonts w:ascii="Abadi" w:hAnsi="Abadi"/>
          <w:b/>
          <w:bCs/>
          <w:spacing w:val="50"/>
          <w:w w:val="150"/>
          <w:sz w:val="20"/>
          <w:szCs w:val="20"/>
        </w:rPr>
        <w:t xml:space="preserve"> </w:t>
      </w:r>
      <w:r w:rsidRPr="00531B12">
        <w:rPr>
          <w:rFonts w:ascii="Abadi" w:hAnsi="Abadi"/>
          <w:b/>
          <w:bCs/>
          <w:sz w:val="20"/>
          <w:szCs w:val="20"/>
        </w:rPr>
        <w:t>LA</w:t>
      </w:r>
      <w:r w:rsidRPr="00531B12">
        <w:rPr>
          <w:rFonts w:ascii="Abadi" w:hAnsi="Abadi"/>
          <w:b/>
          <w:bCs/>
          <w:spacing w:val="-2"/>
          <w:sz w:val="20"/>
          <w:szCs w:val="20"/>
        </w:rPr>
        <w:t xml:space="preserve"> </w:t>
      </w:r>
      <w:r w:rsidRPr="00531B12">
        <w:rPr>
          <w:rFonts w:ascii="Abadi" w:hAnsi="Abadi"/>
          <w:b/>
          <w:bCs/>
          <w:sz w:val="20"/>
          <w:szCs w:val="20"/>
        </w:rPr>
        <w:t>COMISIÓN</w:t>
      </w:r>
      <w:r w:rsidRPr="00531B12">
        <w:rPr>
          <w:rFonts w:ascii="Abadi" w:hAnsi="Abadi"/>
          <w:b/>
          <w:bCs/>
          <w:spacing w:val="30"/>
          <w:sz w:val="20"/>
          <w:szCs w:val="20"/>
        </w:rPr>
        <w:t xml:space="preserve">  </w:t>
      </w:r>
      <w:r w:rsidRPr="00531B12">
        <w:rPr>
          <w:rFonts w:ascii="Abadi" w:hAnsi="Abadi"/>
          <w:b/>
          <w:bCs/>
          <w:sz w:val="20"/>
          <w:szCs w:val="20"/>
        </w:rPr>
        <w:t>DE</w:t>
      </w:r>
      <w:r w:rsidRPr="00531B12">
        <w:rPr>
          <w:rFonts w:ascii="Abadi" w:hAnsi="Abadi"/>
          <w:b/>
          <w:bCs/>
          <w:spacing w:val="30"/>
          <w:sz w:val="20"/>
          <w:szCs w:val="20"/>
        </w:rPr>
        <w:t xml:space="preserve">  </w:t>
      </w:r>
      <w:r w:rsidRPr="00531B12">
        <w:rPr>
          <w:rFonts w:ascii="Abadi" w:hAnsi="Abadi"/>
          <w:b/>
          <w:bCs/>
          <w:sz w:val="20"/>
          <w:szCs w:val="20"/>
        </w:rPr>
        <w:t>GOBERNACIÓN</w:t>
      </w:r>
      <w:r w:rsidRPr="00531B12">
        <w:rPr>
          <w:rFonts w:ascii="Abadi" w:hAnsi="Abadi"/>
          <w:b/>
          <w:bCs/>
          <w:spacing w:val="30"/>
          <w:sz w:val="20"/>
          <w:szCs w:val="20"/>
        </w:rPr>
        <w:t xml:space="preserve">  </w:t>
      </w:r>
      <w:r w:rsidRPr="00531B12">
        <w:rPr>
          <w:rFonts w:ascii="Abadi" w:hAnsi="Abadi"/>
          <w:b/>
          <w:bCs/>
          <w:sz w:val="20"/>
          <w:szCs w:val="20"/>
        </w:rPr>
        <w:t>Y</w:t>
      </w:r>
      <w:r w:rsidRPr="00531B12">
        <w:rPr>
          <w:rFonts w:ascii="Abadi" w:hAnsi="Abadi"/>
          <w:b/>
          <w:bCs/>
          <w:spacing w:val="30"/>
          <w:sz w:val="20"/>
          <w:szCs w:val="20"/>
        </w:rPr>
        <w:t xml:space="preserve">  </w:t>
      </w:r>
      <w:r w:rsidRPr="00531B12">
        <w:rPr>
          <w:rFonts w:ascii="Abadi" w:hAnsi="Abadi"/>
          <w:b/>
          <w:bCs/>
          <w:sz w:val="20"/>
          <w:szCs w:val="20"/>
        </w:rPr>
        <w:t>PUNTOS</w:t>
      </w:r>
      <w:r w:rsidRPr="00531B12">
        <w:rPr>
          <w:rFonts w:ascii="Abadi" w:hAnsi="Abadi"/>
          <w:b/>
          <w:bCs/>
          <w:spacing w:val="30"/>
          <w:sz w:val="20"/>
          <w:szCs w:val="20"/>
        </w:rPr>
        <w:t xml:space="preserve">  </w:t>
      </w:r>
      <w:r w:rsidRPr="00531B12">
        <w:rPr>
          <w:rFonts w:ascii="Abadi" w:hAnsi="Abadi"/>
          <w:b/>
          <w:bCs/>
          <w:sz w:val="20"/>
          <w:szCs w:val="20"/>
        </w:rPr>
        <w:t>CONSTITUCIONALES</w:t>
      </w:r>
      <w:r w:rsidRPr="00531B12">
        <w:rPr>
          <w:rFonts w:ascii="Abadi" w:hAnsi="Abadi"/>
          <w:b/>
          <w:bCs/>
          <w:spacing w:val="30"/>
          <w:sz w:val="20"/>
          <w:szCs w:val="20"/>
        </w:rPr>
        <w:t xml:space="preserve">  </w:t>
      </w:r>
      <w:r w:rsidRPr="00531B12">
        <w:rPr>
          <w:rFonts w:ascii="Abadi" w:hAnsi="Abadi"/>
          <w:b/>
          <w:bCs/>
          <w:sz w:val="20"/>
          <w:szCs w:val="20"/>
        </w:rPr>
        <w:t>RELATIVO</w:t>
      </w:r>
      <w:r w:rsidRPr="00531B12">
        <w:rPr>
          <w:rFonts w:ascii="Abadi" w:hAnsi="Abadi"/>
          <w:b/>
          <w:bCs/>
          <w:spacing w:val="30"/>
          <w:sz w:val="20"/>
          <w:szCs w:val="20"/>
        </w:rPr>
        <w:t xml:space="preserve">  </w:t>
      </w:r>
      <w:r w:rsidRPr="00531B12">
        <w:rPr>
          <w:rFonts w:ascii="Abadi" w:hAnsi="Abadi"/>
          <w:b/>
          <w:bCs/>
          <w:sz w:val="20"/>
          <w:szCs w:val="20"/>
        </w:rPr>
        <w:t>A</w:t>
      </w:r>
      <w:r w:rsidRPr="00531B12">
        <w:rPr>
          <w:rFonts w:ascii="Abadi" w:hAnsi="Abadi"/>
          <w:b/>
          <w:bCs/>
          <w:spacing w:val="30"/>
          <w:sz w:val="20"/>
          <w:szCs w:val="20"/>
        </w:rPr>
        <w:t xml:space="preserve">  </w:t>
      </w:r>
      <w:r w:rsidRPr="00531B12">
        <w:rPr>
          <w:rFonts w:ascii="Abadi" w:hAnsi="Abadi"/>
          <w:b/>
          <w:bCs/>
          <w:sz w:val="20"/>
          <w:szCs w:val="20"/>
        </w:rPr>
        <w:t>LAS</w:t>
      </w:r>
      <w:r w:rsidRPr="00531B12">
        <w:rPr>
          <w:rFonts w:ascii="Abadi" w:hAnsi="Abadi"/>
          <w:b/>
          <w:bCs/>
          <w:spacing w:val="-2"/>
          <w:sz w:val="20"/>
          <w:szCs w:val="20"/>
        </w:rPr>
        <w:t xml:space="preserve"> </w:t>
      </w:r>
      <w:r w:rsidRPr="00531B12">
        <w:rPr>
          <w:rFonts w:ascii="Abadi" w:hAnsi="Abadi"/>
          <w:b/>
          <w:bCs/>
          <w:sz w:val="20"/>
          <w:szCs w:val="20"/>
        </w:rPr>
        <w:t>INICIATIVAS, LA PRIMERA FORMULADA POR EL AYUNTAMIENTO DE LEÓN, GTO, A EFECTO</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29"/>
          <w:sz w:val="20"/>
          <w:szCs w:val="20"/>
        </w:rPr>
        <w:t xml:space="preserve"> </w:t>
      </w:r>
      <w:r w:rsidRPr="00531B12">
        <w:rPr>
          <w:rFonts w:ascii="Abadi" w:hAnsi="Abadi"/>
          <w:b/>
          <w:bCs/>
          <w:sz w:val="20"/>
          <w:szCs w:val="20"/>
        </w:rPr>
        <w:t>REFORMAR</w:t>
      </w:r>
      <w:r w:rsidRPr="00531B12">
        <w:rPr>
          <w:rFonts w:ascii="Abadi" w:hAnsi="Abadi"/>
          <w:b/>
          <w:bCs/>
          <w:spacing w:val="29"/>
          <w:sz w:val="20"/>
          <w:szCs w:val="20"/>
        </w:rPr>
        <w:t xml:space="preserve"> </w:t>
      </w:r>
      <w:r w:rsidRPr="00531B12">
        <w:rPr>
          <w:rFonts w:ascii="Abadi" w:hAnsi="Abadi"/>
          <w:b/>
          <w:bCs/>
          <w:sz w:val="20"/>
          <w:szCs w:val="20"/>
        </w:rPr>
        <w:t>Y</w:t>
      </w:r>
      <w:r w:rsidRPr="00531B12">
        <w:rPr>
          <w:rFonts w:ascii="Abadi" w:hAnsi="Abadi"/>
          <w:b/>
          <w:bCs/>
          <w:spacing w:val="29"/>
          <w:sz w:val="20"/>
          <w:szCs w:val="20"/>
        </w:rPr>
        <w:t xml:space="preserve"> </w:t>
      </w:r>
      <w:r w:rsidRPr="00531B12">
        <w:rPr>
          <w:rFonts w:ascii="Abadi" w:hAnsi="Abadi"/>
          <w:b/>
          <w:bCs/>
          <w:sz w:val="20"/>
          <w:szCs w:val="20"/>
        </w:rPr>
        <w:t>ADICIONAR</w:t>
      </w:r>
      <w:r w:rsidRPr="00531B12">
        <w:rPr>
          <w:rFonts w:ascii="Abadi" w:hAnsi="Abadi"/>
          <w:b/>
          <w:bCs/>
          <w:spacing w:val="29"/>
          <w:sz w:val="20"/>
          <w:szCs w:val="20"/>
        </w:rPr>
        <w:t xml:space="preserve"> </w:t>
      </w:r>
      <w:r w:rsidRPr="00531B12">
        <w:rPr>
          <w:rFonts w:ascii="Abadi" w:hAnsi="Abadi"/>
          <w:b/>
          <w:bCs/>
          <w:sz w:val="20"/>
          <w:szCs w:val="20"/>
        </w:rPr>
        <w:t>DIVERSAS</w:t>
      </w:r>
      <w:r w:rsidRPr="00531B12">
        <w:rPr>
          <w:rFonts w:ascii="Abadi" w:hAnsi="Abadi"/>
          <w:b/>
          <w:bCs/>
          <w:spacing w:val="29"/>
          <w:sz w:val="20"/>
          <w:szCs w:val="20"/>
        </w:rPr>
        <w:t xml:space="preserve"> </w:t>
      </w:r>
      <w:r w:rsidRPr="00531B12">
        <w:rPr>
          <w:rFonts w:ascii="Abadi" w:hAnsi="Abadi"/>
          <w:b/>
          <w:bCs/>
          <w:sz w:val="20"/>
          <w:szCs w:val="20"/>
        </w:rPr>
        <w:t>DISPOSICIONES</w:t>
      </w:r>
      <w:r w:rsidRPr="00531B12">
        <w:rPr>
          <w:rFonts w:ascii="Abadi" w:hAnsi="Abadi"/>
          <w:b/>
          <w:bCs/>
          <w:spacing w:val="29"/>
          <w:sz w:val="20"/>
          <w:szCs w:val="20"/>
        </w:rPr>
        <w:t xml:space="preserve"> </w:t>
      </w:r>
      <w:r w:rsidRPr="00531B12">
        <w:rPr>
          <w:rFonts w:ascii="Abadi" w:hAnsi="Abadi"/>
          <w:b/>
          <w:bCs/>
          <w:sz w:val="20"/>
          <w:szCs w:val="20"/>
        </w:rPr>
        <w:t>DE</w:t>
      </w:r>
      <w:r w:rsidRPr="00531B12">
        <w:rPr>
          <w:rFonts w:ascii="Abadi" w:hAnsi="Abadi"/>
          <w:b/>
          <w:bCs/>
          <w:spacing w:val="29"/>
          <w:sz w:val="20"/>
          <w:szCs w:val="20"/>
        </w:rPr>
        <w:t xml:space="preserve"> </w:t>
      </w:r>
      <w:r w:rsidRPr="00531B12">
        <w:rPr>
          <w:rFonts w:ascii="Abadi" w:hAnsi="Abadi"/>
          <w:b/>
          <w:bCs/>
          <w:sz w:val="20"/>
          <w:szCs w:val="20"/>
        </w:rPr>
        <w:t>LA</w:t>
      </w:r>
      <w:r w:rsidRPr="00531B12">
        <w:rPr>
          <w:rFonts w:ascii="Abadi" w:hAnsi="Abadi"/>
          <w:b/>
          <w:bCs/>
          <w:spacing w:val="29"/>
          <w:sz w:val="20"/>
          <w:szCs w:val="20"/>
        </w:rPr>
        <w:t xml:space="preserve"> </w:t>
      </w:r>
      <w:r w:rsidRPr="00531B12">
        <w:rPr>
          <w:rFonts w:ascii="Abadi" w:hAnsi="Abadi"/>
          <w:b/>
          <w:bCs/>
          <w:sz w:val="20"/>
          <w:szCs w:val="20"/>
        </w:rPr>
        <w:t>CONSTITUCIÓN</w:t>
      </w:r>
      <w:r w:rsidRPr="00531B12">
        <w:rPr>
          <w:rFonts w:ascii="Abadi" w:hAnsi="Abadi"/>
          <w:b/>
          <w:bCs/>
          <w:spacing w:val="29"/>
          <w:sz w:val="20"/>
          <w:szCs w:val="20"/>
        </w:rPr>
        <w:t xml:space="preserve"> </w:t>
      </w:r>
      <w:r w:rsidRPr="00531B12">
        <w:rPr>
          <w:rFonts w:ascii="Abadi" w:hAnsi="Abadi"/>
          <w:b/>
          <w:bCs/>
          <w:sz w:val="20"/>
          <w:szCs w:val="20"/>
        </w:rPr>
        <w:t>POLÍTICA</w:t>
      </w:r>
      <w:r w:rsidRPr="00531B12">
        <w:rPr>
          <w:rFonts w:ascii="Abadi" w:hAnsi="Abadi"/>
          <w:b/>
          <w:bCs/>
          <w:spacing w:val="-2"/>
          <w:sz w:val="20"/>
          <w:szCs w:val="20"/>
        </w:rPr>
        <w:t xml:space="preserve"> </w:t>
      </w:r>
      <w:r w:rsidRPr="00531B12">
        <w:rPr>
          <w:rFonts w:ascii="Abadi" w:hAnsi="Abadi"/>
          <w:b/>
          <w:bCs/>
          <w:sz w:val="20"/>
          <w:szCs w:val="20"/>
        </w:rPr>
        <w:t>PARA</w:t>
      </w:r>
      <w:r w:rsidRPr="00531B12">
        <w:rPr>
          <w:rFonts w:ascii="Abadi" w:hAnsi="Abadi"/>
          <w:b/>
          <w:bCs/>
          <w:spacing w:val="-13"/>
          <w:sz w:val="20"/>
          <w:szCs w:val="20"/>
        </w:rPr>
        <w:t xml:space="preserve"> </w:t>
      </w:r>
      <w:r w:rsidRPr="00531B12">
        <w:rPr>
          <w:rFonts w:ascii="Abadi" w:hAnsi="Abadi"/>
          <w:b/>
          <w:bCs/>
          <w:sz w:val="20"/>
          <w:szCs w:val="20"/>
        </w:rPr>
        <w:t>EL</w:t>
      </w:r>
      <w:r w:rsidRPr="00531B12">
        <w:rPr>
          <w:rFonts w:ascii="Abadi" w:hAnsi="Abadi"/>
          <w:b/>
          <w:bCs/>
          <w:spacing w:val="-13"/>
          <w:sz w:val="20"/>
          <w:szCs w:val="20"/>
        </w:rPr>
        <w:t xml:space="preserve"> </w:t>
      </w:r>
      <w:r w:rsidRPr="00531B12">
        <w:rPr>
          <w:rFonts w:ascii="Abadi" w:hAnsi="Abadi"/>
          <w:b/>
          <w:bCs/>
          <w:sz w:val="20"/>
          <w:szCs w:val="20"/>
        </w:rPr>
        <w:t>ESTADO</w:t>
      </w:r>
      <w:r w:rsidRPr="00531B12">
        <w:rPr>
          <w:rFonts w:ascii="Abadi" w:hAnsi="Abadi"/>
          <w:b/>
          <w:bCs/>
          <w:spacing w:val="-13"/>
          <w:sz w:val="20"/>
          <w:szCs w:val="20"/>
        </w:rPr>
        <w:t xml:space="preserve"> </w:t>
      </w:r>
      <w:r w:rsidRPr="00531B12">
        <w:rPr>
          <w:rFonts w:ascii="Abadi" w:hAnsi="Abadi"/>
          <w:b/>
          <w:bCs/>
          <w:sz w:val="20"/>
          <w:szCs w:val="20"/>
        </w:rPr>
        <w:t>DE</w:t>
      </w:r>
      <w:r w:rsidRPr="00531B12">
        <w:rPr>
          <w:rFonts w:ascii="Abadi" w:hAnsi="Abadi"/>
          <w:b/>
          <w:bCs/>
          <w:spacing w:val="-13"/>
          <w:sz w:val="20"/>
          <w:szCs w:val="20"/>
        </w:rPr>
        <w:t xml:space="preserve"> </w:t>
      </w:r>
      <w:r w:rsidRPr="00531B12">
        <w:rPr>
          <w:rFonts w:ascii="Abadi" w:hAnsi="Abadi"/>
          <w:b/>
          <w:bCs/>
          <w:sz w:val="20"/>
          <w:szCs w:val="20"/>
        </w:rPr>
        <w:t>GUANAJUATO</w:t>
      </w:r>
      <w:r w:rsidRPr="00531B12">
        <w:rPr>
          <w:rFonts w:ascii="Abadi" w:hAnsi="Abadi"/>
          <w:b/>
          <w:bCs/>
          <w:spacing w:val="-13"/>
          <w:sz w:val="20"/>
          <w:szCs w:val="20"/>
        </w:rPr>
        <w:t xml:space="preserve"> </w:t>
      </w:r>
      <w:r w:rsidRPr="00531B12">
        <w:rPr>
          <w:rFonts w:ascii="Abadi" w:hAnsi="Abadi"/>
          <w:b/>
          <w:bCs/>
          <w:sz w:val="20"/>
          <w:szCs w:val="20"/>
        </w:rPr>
        <w:t>Y</w:t>
      </w:r>
      <w:r w:rsidRPr="00531B12">
        <w:rPr>
          <w:rFonts w:ascii="Abadi" w:hAnsi="Abadi"/>
          <w:b/>
          <w:bCs/>
          <w:spacing w:val="-13"/>
          <w:sz w:val="20"/>
          <w:szCs w:val="20"/>
        </w:rPr>
        <w:t xml:space="preserve"> </w:t>
      </w:r>
      <w:r w:rsidRPr="00531B12">
        <w:rPr>
          <w:rFonts w:ascii="Abadi" w:hAnsi="Abadi"/>
          <w:b/>
          <w:bCs/>
          <w:sz w:val="20"/>
          <w:szCs w:val="20"/>
        </w:rPr>
        <w:t>DE</w:t>
      </w:r>
      <w:r w:rsidRPr="00531B12">
        <w:rPr>
          <w:rFonts w:ascii="Abadi" w:hAnsi="Abadi"/>
          <w:b/>
          <w:bCs/>
          <w:spacing w:val="-13"/>
          <w:sz w:val="20"/>
          <w:szCs w:val="20"/>
        </w:rPr>
        <w:t xml:space="preserve"> </w:t>
      </w:r>
      <w:r w:rsidRPr="00531B12">
        <w:rPr>
          <w:rFonts w:ascii="Abadi" w:hAnsi="Abadi"/>
          <w:b/>
          <w:bCs/>
          <w:sz w:val="20"/>
          <w:szCs w:val="20"/>
        </w:rPr>
        <w:t>LA</w:t>
      </w:r>
      <w:r w:rsidRPr="00531B12">
        <w:rPr>
          <w:rFonts w:ascii="Abadi" w:hAnsi="Abadi"/>
          <w:b/>
          <w:bCs/>
          <w:spacing w:val="-13"/>
          <w:sz w:val="20"/>
          <w:szCs w:val="20"/>
        </w:rPr>
        <w:t xml:space="preserve"> </w:t>
      </w:r>
      <w:r w:rsidRPr="00531B12">
        <w:rPr>
          <w:rFonts w:ascii="Abadi" w:hAnsi="Abadi"/>
          <w:b/>
          <w:bCs/>
          <w:sz w:val="20"/>
          <w:szCs w:val="20"/>
        </w:rPr>
        <w:t>LEY</w:t>
      </w:r>
      <w:r w:rsidRPr="00531B12">
        <w:rPr>
          <w:rFonts w:ascii="Abadi" w:hAnsi="Abadi"/>
          <w:b/>
          <w:bCs/>
          <w:spacing w:val="-13"/>
          <w:sz w:val="20"/>
          <w:szCs w:val="20"/>
        </w:rPr>
        <w:t xml:space="preserve"> </w:t>
      </w:r>
      <w:r w:rsidRPr="00531B12">
        <w:rPr>
          <w:rFonts w:ascii="Abadi" w:hAnsi="Abadi"/>
          <w:b/>
          <w:bCs/>
          <w:sz w:val="20"/>
          <w:szCs w:val="20"/>
        </w:rPr>
        <w:t>ORGÁNICA</w:t>
      </w:r>
      <w:r w:rsidRPr="00531B12">
        <w:rPr>
          <w:rFonts w:ascii="Abadi" w:hAnsi="Abadi"/>
          <w:b/>
          <w:bCs/>
          <w:spacing w:val="-13"/>
          <w:sz w:val="20"/>
          <w:szCs w:val="20"/>
        </w:rPr>
        <w:t xml:space="preserve"> </w:t>
      </w:r>
      <w:r w:rsidRPr="00531B12">
        <w:rPr>
          <w:rFonts w:ascii="Abadi" w:hAnsi="Abadi"/>
          <w:b/>
          <w:bCs/>
          <w:sz w:val="20"/>
          <w:szCs w:val="20"/>
        </w:rPr>
        <w:t>MUNICIPAL</w:t>
      </w:r>
      <w:r w:rsidRPr="00531B12">
        <w:rPr>
          <w:rFonts w:ascii="Abadi" w:hAnsi="Abadi"/>
          <w:b/>
          <w:bCs/>
          <w:spacing w:val="-13"/>
          <w:sz w:val="20"/>
          <w:szCs w:val="20"/>
        </w:rPr>
        <w:t xml:space="preserve"> </w:t>
      </w:r>
      <w:r w:rsidRPr="00531B12">
        <w:rPr>
          <w:rFonts w:ascii="Abadi" w:hAnsi="Abadi"/>
          <w:b/>
          <w:bCs/>
          <w:sz w:val="20"/>
          <w:szCs w:val="20"/>
        </w:rPr>
        <w:t>PARA</w:t>
      </w:r>
      <w:r w:rsidRPr="00531B12">
        <w:rPr>
          <w:rFonts w:ascii="Abadi" w:hAnsi="Abadi"/>
          <w:b/>
          <w:bCs/>
          <w:spacing w:val="-13"/>
          <w:sz w:val="20"/>
          <w:szCs w:val="20"/>
        </w:rPr>
        <w:t xml:space="preserve"> </w:t>
      </w:r>
      <w:r w:rsidRPr="00531B12">
        <w:rPr>
          <w:rFonts w:ascii="Abadi" w:hAnsi="Abadi"/>
          <w:b/>
          <w:bCs/>
          <w:sz w:val="20"/>
          <w:szCs w:val="20"/>
        </w:rPr>
        <w:t>EL</w:t>
      </w:r>
      <w:r w:rsidRPr="00531B12">
        <w:rPr>
          <w:rFonts w:ascii="Abadi" w:hAnsi="Abadi"/>
          <w:b/>
          <w:bCs/>
          <w:spacing w:val="-13"/>
          <w:sz w:val="20"/>
          <w:szCs w:val="20"/>
        </w:rPr>
        <w:t xml:space="preserve"> </w:t>
      </w:r>
      <w:r w:rsidRPr="00531B12">
        <w:rPr>
          <w:rFonts w:ascii="Abadi" w:hAnsi="Abadi"/>
          <w:b/>
          <w:bCs/>
          <w:sz w:val="20"/>
          <w:szCs w:val="20"/>
        </w:rPr>
        <w:t>ESTADO</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12"/>
          <w:sz w:val="20"/>
          <w:szCs w:val="20"/>
        </w:rPr>
        <w:t xml:space="preserve"> </w:t>
      </w:r>
      <w:r w:rsidRPr="00531B12">
        <w:rPr>
          <w:rFonts w:ascii="Abadi" w:hAnsi="Abadi"/>
          <w:b/>
          <w:bCs/>
          <w:sz w:val="20"/>
          <w:szCs w:val="20"/>
        </w:rPr>
        <w:t>GUANAJUATO,</w:t>
      </w:r>
      <w:r w:rsidRPr="00531B12">
        <w:rPr>
          <w:rFonts w:ascii="Abadi" w:hAnsi="Abadi"/>
          <w:b/>
          <w:bCs/>
          <w:spacing w:val="-12"/>
          <w:sz w:val="20"/>
          <w:szCs w:val="20"/>
        </w:rPr>
        <w:t xml:space="preserve"> </w:t>
      </w:r>
      <w:r w:rsidRPr="00531B12">
        <w:rPr>
          <w:rFonts w:ascii="Abadi" w:hAnsi="Abadi"/>
          <w:b/>
          <w:bCs/>
          <w:sz w:val="20"/>
          <w:szCs w:val="20"/>
        </w:rPr>
        <w:t>EN</w:t>
      </w:r>
      <w:r w:rsidRPr="00531B12">
        <w:rPr>
          <w:rFonts w:ascii="Abadi" w:hAnsi="Abadi"/>
          <w:b/>
          <w:bCs/>
          <w:spacing w:val="-12"/>
          <w:sz w:val="20"/>
          <w:szCs w:val="20"/>
        </w:rPr>
        <w:t xml:space="preserve"> </w:t>
      </w:r>
      <w:r w:rsidRPr="00531B12">
        <w:rPr>
          <w:rFonts w:ascii="Abadi" w:hAnsi="Abadi"/>
          <w:b/>
          <w:bCs/>
          <w:sz w:val="20"/>
          <w:szCs w:val="20"/>
        </w:rPr>
        <w:t>LO</w:t>
      </w:r>
      <w:r w:rsidRPr="00531B12">
        <w:rPr>
          <w:rFonts w:ascii="Abadi" w:hAnsi="Abadi"/>
          <w:b/>
          <w:bCs/>
          <w:spacing w:val="-12"/>
          <w:sz w:val="20"/>
          <w:szCs w:val="20"/>
        </w:rPr>
        <w:t xml:space="preserve"> </w:t>
      </w:r>
      <w:r w:rsidRPr="00531B12">
        <w:rPr>
          <w:rFonts w:ascii="Abadi" w:hAnsi="Abadi"/>
          <w:b/>
          <w:bCs/>
          <w:sz w:val="20"/>
          <w:szCs w:val="20"/>
        </w:rPr>
        <w:t>QUE</w:t>
      </w:r>
      <w:r w:rsidRPr="00531B12">
        <w:rPr>
          <w:rFonts w:ascii="Abadi" w:hAnsi="Abadi"/>
          <w:b/>
          <w:bCs/>
          <w:spacing w:val="-12"/>
          <w:sz w:val="20"/>
          <w:szCs w:val="20"/>
        </w:rPr>
        <w:t xml:space="preserve"> </w:t>
      </w:r>
      <w:r w:rsidRPr="00531B12">
        <w:rPr>
          <w:rFonts w:ascii="Abadi" w:hAnsi="Abadi"/>
          <w:b/>
          <w:bCs/>
          <w:sz w:val="20"/>
          <w:szCs w:val="20"/>
        </w:rPr>
        <w:t>CORRESPONDE</w:t>
      </w:r>
      <w:r w:rsidRPr="00531B12">
        <w:rPr>
          <w:rFonts w:ascii="Abadi" w:hAnsi="Abadi"/>
          <w:b/>
          <w:bCs/>
          <w:spacing w:val="-12"/>
          <w:sz w:val="20"/>
          <w:szCs w:val="20"/>
        </w:rPr>
        <w:t xml:space="preserve"> </w:t>
      </w:r>
      <w:r w:rsidRPr="00531B12">
        <w:rPr>
          <w:rFonts w:ascii="Abadi" w:hAnsi="Abadi"/>
          <w:b/>
          <w:bCs/>
          <w:sz w:val="20"/>
          <w:szCs w:val="20"/>
        </w:rPr>
        <w:t>AL</w:t>
      </w:r>
      <w:r w:rsidRPr="00531B12">
        <w:rPr>
          <w:rFonts w:ascii="Abadi" w:hAnsi="Abadi"/>
          <w:b/>
          <w:bCs/>
          <w:spacing w:val="-12"/>
          <w:sz w:val="20"/>
          <w:szCs w:val="20"/>
        </w:rPr>
        <w:t xml:space="preserve"> </w:t>
      </w:r>
      <w:r w:rsidRPr="00531B12">
        <w:rPr>
          <w:rFonts w:ascii="Abadi" w:hAnsi="Abadi"/>
          <w:b/>
          <w:bCs/>
          <w:sz w:val="20"/>
          <w:szCs w:val="20"/>
        </w:rPr>
        <w:t>PRIMER</w:t>
      </w:r>
      <w:r w:rsidRPr="00531B12">
        <w:rPr>
          <w:rFonts w:ascii="Abadi" w:hAnsi="Abadi"/>
          <w:b/>
          <w:bCs/>
          <w:spacing w:val="-12"/>
          <w:sz w:val="20"/>
          <w:szCs w:val="20"/>
        </w:rPr>
        <w:t xml:space="preserve"> </w:t>
      </w:r>
      <w:r w:rsidRPr="00531B12">
        <w:rPr>
          <w:rFonts w:ascii="Abadi" w:hAnsi="Abadi"/>
          <w:b/>
          <w:bCs/>
          <w:sz w:val="20"/>
          <w:szCs w:val="20"/>
        </w:rPr>
        <w:t>ORDENAMIENTO</w:t>
      </w:r>
      <w:r w:rsidRPr="00531B12">
        <w:rPr>
          <w:rFonts w:ascii="Abadi" w:hAnsi="Abadi"/>
          <w:b/>
          <w:bCs/>
          <w:spacing w:val="-12"/>
          <w:sz w:val="20"/>
          <w:szCs w:val="20"/>
        </w:rPr>
        <w:t xml:space="preserve"> </w:t>
      </w:r>
      <w:r w:rsidRPr="00531B12">
        <w:rPr>
          <w:rFonts w:ascii="Abadi" w:hAnsi="Abadi"/>
          <w:b/>
          <w:bCs/>
          <w:sz w:val="20"/>
          <w:szCs w:val="20"/>
        </w:rPr>
        <w:t>Y,</w:t>
      </w:r>
      <w:r w:rsidRPr="00531B12">
        <w:rPr>
          <w:rFonts w:ascii="Abadi" w:hAnsi="Abadi"/>
          <w:b/>
          <w:bCs/>
          <w:spacing w:val="-12"/>
          <w:sz w:val="20"/>
          <w:szCs w:val="20"/>
        </w:rPr>
        <w:t xml:space="preserve"> </w:t>
      </w:r>
      <w:r w:rsidRPr="00531B12">
        <w:rPr>
          <w:rFonts w:ascii="Abadi" w:hAnsi="Abadi"/>
          <w:b/>
          <w:bCs/>
          <w:sz w:val="20"/>
          <w:szCs w:val="20"/>
        </w:rPr>
        <w:t>LA</w:t>
      </w:r>
      <w:r w:rsidRPr="00531B12">
        <w:rPr>
          <w:rFonts w:ascii="Abadi" w:hAnsi="Abadi"/>
          <w:b/>
          <w:bCs/>
          <w:spacing w:val="-12"/>
          <w:sz w:val="20"/>
          <w:szCs w:val="20"/>
        </w:rPr>
        <w:t xml:space="preserve"> </w:t>
      </w:r>
      <w:r w:rsidRPr="00531B12">
        <w:rPr>
          <w:rFonts w:ascii="Abadi" w:hAnsi="Abadi"/>
          <w:b/>
          <w:bCs/>
          <w:sz w:val="20"/>
          <w:szCs w:val="20"/>
        </w:rPr>
        <w:t>SEGUNDA</w:t>
      </w:r>
      <w:r w:rsidRPr="00531B12">
        <w:rPr>
          <w:rFonts w:ascii="Abadi" w:hAnsi="Abadi"/>
          <w:b/>
          <w:bCs/>
          <w:spacing w:val="-2"/>
          <w:sz w:val="20"/>
          <w:szCs w:val="20"/>
        </w:rPr>
        <w:t xml:space="preserve"> </w:t>
      </w:r>
      <w:r w:rsidRPr="00531B12">
        <w:rPr>
          <w:rFonts w:ascii="Abadi" w:hAnsi="Abadi"/>
          <w:b/>
          <w:bCs/>
          <w:sz w:val="20"/>
          <w:szCs w:val="20"/>
        </w:rPr>
        <w:t>SUSCRITA</w:t>
      </w:r>
      <w:r w:rsidRPr="00531B12">
        <w:rPr>
          <w:rFonts w:ascii="Abadi" w:hAnsi="Abadi"/>
          <w:b/>
          <w:bCs/>
          <w:spacing w:val="19"/>
          <w:sz w:val="20"/>
          <w:szCs w:val="20"/>
        </w:rPr>
        <w:t xml:space="preserve"> </w:t>
      </w:r>
      <w:r w:rsidRPr="00531B12">
        <w:rPr>
          <w:rFonts w:ascii="Abadi" w:hAnsi="Abadi"/>
          <w:b/>
          <w:bCs/>
          <w:sz w:val="20"/>
          <w:szCs w:val="20"/>
        </w:rPr>
        <w:t>POR</w:t>
      </w:r>
      <w:r w:rsidRPr="00531B12">
        <w:rPr>
          <w:rFonts w:ascii="Abadi" w:hAnsi="Abadi"/>
          <w:b/>
          <w:bCs/>
          <w:spacing w:val="19"/>
          <w:sz w:val="20"/>
          <w:szCs w:val="20"/>
        </w:rPr>
        <w:t xml:space="preserve"> </w:t>
      </w:r>
      <w:r w:rsidRPr="00531B12">
        <w:rPr>
          <w:rFonts w:ascii="Abadi" w:hAnsi="Abadi"/>
          <w:b/>
          <w:bCs/>
          <w:sz w:val="20"/>
          <w:szCs w:val="20"/>
        </w:rPr>
        <w:t>DIPUTADA</w:t>
      </w:r>
      <w:r w:rsidRPr="00531B12">
        <w:rPr>
          <w:rFonts w:ascii="Abadi" w:hAnsi="Abadi"/>
          <w:b/>
          <w:bCs/>
          <w:spacing w:val="19"/>
          <w:sz w:val="20"/>
          <w:szCs w:val="20"/>
        </w:rPr>
        <w:t xml:space="preserve"> </w:t>
      </w:r>
      <w:r w:rsidRPr="00531B12">
        <w:rPr>
          <w:rFonts w:ascii="Abadi" w:hAnsi="Abadi"/>
          <w:b/>
          <w:bCs/>
          <w:sz w:val="20"/>
          <w:szCs w:val="20"/>
        </w:rPr>
        <w:t>Y</w:t>
      </w:r>
      <w:r w:rsidRPr="00531B12">
        <w:rPr>
          <w:rFonts w:ascii="Abadi" w:hAnsi="Abadi"/>
          <w:b/>
          <w:bCs/>
          <w:spacing w:val="19"/>
          <w:sz w:val="20"/>
          <w:szCs w:val="20"/>
        </w:rPr>
        <w:t xml:space="preserve"> </w:t>
      </w:r>
      <w:r w:rsidRPr="00531B12">
        <w:rPr>
          <w:rFonts w:ascii="Abadi" w:hAnsi="Abadi"/>
          <w:b/>
          <w:bCs/>
          <w:sz w:val="20"/>
          <w:szCs w:val="20"/>
        </w:rPr>
        <w:t>DIPUTADOS</w:t>
      </w:r>
      <w:r w:rsidRPr="00531B12">
        <w:rPr>
          <w:rFonts w:ascii="Abadi" w:hAnsi="Abadi"/>
          <w:b/>
          <w:bCs/>
          <w:spacing w:val="19"/>
          <w:sz w:val="20"/>
          <w:szCs w:val="20"/>
        </w:rPr>
        <w:t xml:space="preserve"> </w:t>
      </w:r>
      <w:r w:rsidRPr="00531B12">
        <w:rPr>
          <w:rFonts w:ascii="Abadi" w:hAnsi="Abadi"/>
          <w:b/>
          <w:bCs/>
          <w:sz w:val="20"/>
          <w:szCs w:val="20"/>
        </w:rPr>
        <w:t>INTEGRANTES</w:t>
      </w:r>
      <w:r w:rsidRPr="00531B12">
        <w:rPr>
          <w:rFonts w:ascii="Abadi" w:hAnsi="Abadi"/>
          <w:b/>
          <w:bCs/>
          <w:spacing w:val="19"/>
          <w:sz w:val="20"/>
          <w:szCs w:val="20"/>
        </w:rPr>
        <w:t xml:space="preserve"> </w:t>
      </w:r>
      <w:r w:rsidRPr="00531B12">
        <w:rPr>
          <w:rFonts w:ascii="Abadi" w:hAnsi="Abadi"/>
          <w:b/>
          <w:bCs/>
          <w:sz w:val="20"/>
          <w:szCs w:val="20"/>
        </w:rPr>
        <w:t>DEL</w:t>
      </w:r>
      <w:r w:rsidRPr="00531B12">
        <w:rPr>
          <w:rFonts w:ascii="Abadi" w:hAnsi="Abadi"/>
          <w:b/>
          <w:bCs/>
          <w:spacing w:val="19"/>
          <w:sz w:val="20"/>
          <w:szCs w:val="20"/>
        </w:rPr>
        <w:t xml:space="preserve"> </w:t>
      </w:r>
      <w:r w:rsidRPr="00531B12">
        <w:rPr>
          <w:rFonts w:ascii="Abadi" w:hAnsi="Abadi"/>
          <w:b/>
          <w:bCs/>
          <w:sz w:val="20"/>
          <w:szCs w:val="20"/>
        </w:rPr>
        <w:t>GRUPO</w:t>
      </w:r>
      <w:r w:rsidRPr="00531B12">
        <w:rPr>
          <w:rFonts w:ascii="Abadi" w:hAnsi="Abadi"/>
          <w:b/>
          <w:bCs/>
          <w:spacing w:val="19"/>
          <w:sz w:val="20"/>
          <w:szCs w:val="20"/>
        </w:rPr>
        <w:t xml:space="preserve"> </w:t>
      </w:r>
      <w:r w:rsidRPr="00531B12">
        <w:rPr>
          <w:rFonts w:ascii="Abadi" w:hAnsi="Abadi"/>
          <w:b/>
          <w:bCs/>
          <w:sz w:val="20"/>
          <w:szCs w:val="20"/>
        </w:rPr>
        <w:t>PARLAMENTARIO</w:t>
      </w:r>
      <w:r w:rsidRPr="00531B12">
        <w:rPr>
          <w:rFonts w:ascii="Abadi" w:hAnsi="Abadi"/>
          <w:b/>
          <w:bCs/>
          <w:spacing w:val="19"/>
          <w:sz w:val="20"/>
          <w:szCs w:val="20"/>
        </w:rPr>
        <w:t xml:space="preserve"> </w:t>
      </w:r>
      <w:r w:rsidRPr="00531B12">
        <w:rPr>
          <w:rFonts w:ascii="Abadi" w:hAnsi="Abadi"/>
          <w:b/>
          <w:bCs/>
          <w:sz w:val="20"/>
          <w:szCs w:val="20"/>
        </w:rPr>
        <w:t>DEL</w:t>
      </w:r>
      <w:r w:rsidRPr="00531B12">
        <w:rPr>
          <w:rFonts w:ascii="Abadi" w:hAnsi="Abadi"/>
          <w:b/>
          <w:bCs/>
          <w:spacing w:val="-2"/>
          <w:sz w:val="20"/>
          <w:szCs w:val="20"/>
        </w:rPr>
        <w:t xml:space="preserve"> </w:t>
      </w:r>
      <w:r w:rsidRPr="00531B12">
        <w:rPr>
          <w:rFonts w:ascii="Abadi" w:hAnsi="Abadi"/>
          <w:b/>
          <w:bCs/>
          <w:sz w:val="20"/>
          <w:szCs w:val="20"/>
        </w:rPr>
        <w:t>PARTIDO</w:t>
      </w:r>
      <w:r w:rsidRPr="00531B12">
        <w:rPr>
          <w:rFonts w:ascii="Abadi" w:hAnsi="Abadi"/>
          <w:b/>
          <w:bCs/>
          <w:spacing w:val="46"/>
          <w:sz w:val="20"/>
          <w:szCs w:val="20"/>
        </w:rPr>
        <w:t xml:space="preserve"> </w:t>
      </w:r>
      <w:r w:rsidRPr="00531B12">
        <w:rPr>
          <w:rFonts w:ascii="Abadi" w:hAnsi="Abadi"/>
          <w:b/>
          <w:bCs/>
          <w:sz w:val="20"/>
          <w:szCs w:val="20"/>
        </w:rPr>
        <w:t>REVOLUCIONARIO</w:t>
      </w:r>
      <w:r w:rsidRPr="00531B12">
        <w:rPr>
          <w:rFonts w:ascii="Abadi" w:hAnsi="Abadi"/>
          <w:b/>
          <w:bCs/>
          <w:spacing w:val="46"/>
          <w:sz w:val="20"/>
          <w:szCs w:val="20"/>
        </w:rPr>
        <w:t xml:space="preserve"> </w:t>
      </w:r>
      <w:r w:rsidRPr="00531B12">
        <w:rPr>
          <w:rFonts w:ascii="Abadi" w:hAnsi="Abadi"/>
          <w:b/>
          <w:bCs/>
          <w:sz w:val="20"/>
          <w:szCs w:val="20"/>
        </w:rPr>
        <w:t>INSTITUCIONAL</w:t>
      </w:r>
      <w:r w:rsidRPr="00531B12">
        <w:rPr>
          <w:rFonts w:ascii="Abadi" w:hAnsi="Abadi"/>
          <w:b/>
          <w:bCs/>
          <w:spacing w:val="46"/>
          <w:sz w:val="20"/>
          <w:szCs w:val="20"/>
        </w:rPr>
        <w:t xml:space="preserve"> </w:t>
      </w:r>
      <w:r w:rsidRPr="00531B12">
        <w:rPr>
          <w:rFonts w:ascii="Abadi" w:hAnsi="Abadi"/>
          <w:b/>
          <w:bCs/>
          <w:sz w:val="20"/>
          <w:szCs w:val="20"/>
        </w:rPr>
        <w:t>POR</w:t>
      </w:r>
      <w:r w:rsidRPr="00531B12">
        <w:rPr>
          <w:rFonts w:ascii="Abadi" w:hAnsi="Abadi"/>
          <w:b/>
          <w:bCs/>
          <w:spacing w:val="46"/>
          <w:sz w:val="20"/>
          <w:szCs w:val="20"/>
        </w:rPr>
        <w:t xml:space="preserve"> </w:t>
      </w:r>
      <w:r w:rsidRPr="00531B12">
        <w:rPr>
          <w:rFonts w:ascii="Abadi" w:hAnsi="Abadi"/>
          <w:b/>
          <w:bCs/>
          <w:sz w:val="20"/>
          <w:szCs w:val="20"/>
        </w:rPr>
        <w:t>LA</w:t>
      </w:r>
      <w:r w:rsidRPr="00531B12">
        <w:rPr>
          <w:rFonts w:ascii="Abadi" w:hAnsi="Abadi"/>
          <w:b/>
          <w:bCs/>
          <w:spacing w:val="46"/>
          <w:sz w:val="20"/>
          <w:szCs w:val="20"/>
        </w:rPr>
        <w:t xml:space="preserve"> </w:t>
      </w:r>
      <w:r w:rsidRPr="00531B12">
        <w:rPr>
          <w:rFonts w:ascii="Abadi" w:hAnsi="Abadi"/>
          <w:b/>
          <w:bCs/>
          <w:sz w:val="20"/>
          <w:szCs w:val="20"/>
        </w:rPr>
        <w:t>QUE</w:t>
      </w:r>
      <w:r w:rsidRPr="00531B12">
        <w:rPr>
          <w:rFonts w:ascii="Abadi" w:hAnsi="Abadi"/>
          <w:b/>
          <w:bCs/>
          <w:spacing w:val="46"/>
          <w:sz w:val="20"/>
          <w:szCs w:val="20"/>
        </w:rPr>
        <w:t xml:space="preserve"> </w:t>
      </w:r>
      <w:r w:rsidRPr="00531B12">
        <w:rPr>
          <w:rFonts w:ascii="Abadi" w:hAnsi="Abadi"/>
          <w:b/>
          <w:bCs/>
          <w:sz w:val="20"/>
          <w:szCs w:val="20"/>
        </w:rPr>
        <w:t>SE</w:t>
      </w:r>
      <w:r w:rsidRPr="00531B12">
        <w:rPr>
          <w:rFonts w:ascii="Abadi" w:hAnsi="Abadi"/>
          <w:b/>
          <w:bCs/>
          <w:spacing w:val="46"/>
          <w:sz w:val="20"/>
          <w:szCs w:val="20"/>
        </w:rPr>
        <w:t xml:space="preserve"> </w:t>
      </w:r>
      <w:r w:rsidRPr="00531B12">
        <w:rPr>
          <w:rFonts w:ascii="Abadi" w:hAnsi="Abadi"/>
          <w:b/>
          <w:bCs/>
          <w:sz w:val="20"/>
          <w:szCs w:val="20"/>
        </w:rPr>
        <w:t>ADICIONA</w:t>
      </w:r>
      <w:r w:rsidRPr="00531B12">
        <w:rPr>
          <w:rFonts w:ascii="Abadi" w:hAnsi="Abadi"/>
          <w:b/>
          <w:bCs/>
          <w:spacing w:val="46"/>
          <w:sz w:val="20"/>
          <w:szCs w:val="20"/>
        </w:rPr>
        <w:t xml:space="preserve"> </w:t>
      </w:r>
      <w:r w:rsidRPr="00531B12">
        <w:rPr>
          <w:rFonts w:ascii="Abadi" w:hAnsi="Abadi"/>
          <w:b/>
          <w:bCs/>
          <w:sz w:val="20"/>
          <w:szCs w:val="20"/>
        </w:rPr>
        <w:t>UN</w:t>
      </w:r>
      <w:r w:rsidRPr="00531B12">
        <w:rPr>
          <w:rFonts w:ascii="Abadi" w:hAnsi="Abadi"/>
          <w:b/>
          <w:bCs/>
          <w:spacing w:val="46"/>
          <w:sz w:val="20"/>
          <w:szCs w:val="20"/>
        </w:rPr>
        <w:t xml:space="preserve"> </w:t>
      </w:r>
      <w:r w:rsidRPr="00531B12">
        <w:rPr>
          <w:rFonts w:ascii="Abadi" w:hAnsi="Abadi"/>
          <w:b/>
          <w:bCs/>
          <w:sz w:val="20"/>
          <w:szCs w:val="20"/>
        </w:rPr>
        <w:t>PÁRRAFO</w:t>
      </w:r>
      <w:r w:rsidRPr="00531B12">
        <w:rPr>
          <w:rFonts w:ascii="Abadi" w:hAnsi="Abadi"/>
          <w:b/>
          <w:bCs/>
          <w:spacing w:val="46"/>
          <w:sz w:val="20"/>
          <w:szCs w:val="20"/>
        </w:rPr>
        <w:t xml:space="preserve"> </w:t>
      </w:r>
      <w:r w:rsidRPr="00531B12">
        <w:rPr>
          <w:rFonts w:ascii="Abadi" w:hAnsi="Abadi"/>
          <w:b/>
          <w:bCs/>
          <w:sz w:val="20"/>
          <w:szCs w:val="20"/>
        </w:rPr>
        <w:t>AL</w:t>
      </w:r>
      <w:r w:rsidRPr="00531B12">
        <w:rPr>
          <w:rFonts w:ascii="Abadi" w:hAnsi="Abadi"/>
          <w:b/>
          <w:bCs/>
          <w:spacing w:val="-2"/>
          <w:sz w:val="20"/>
          <w:szCs w:val="20"/>
        </w:rPr>
        <w:t xml:space="preserve"> </w:t>
      </w:r>
      <w:r w:rsidRPr="00531B12">
        <w:rPr>
          <w:rFonts w:ascii="Abadi" w:hAnsi="Abadi"/>
          <w:b/>
          <w:bCs/>
          <w:sz w:val="20"/>
          <w:szCs w:val="20"/>
        </w:rPr>
        <w:t>ARTÍCULO</w:t>
      </w:r>
      <w:r w:rsidRPr="00531B12">
        <w:rPr>
          <w:rFonts w:ascii="Abadi" w:hAnsi="Abadi"/>
          <w:b/>
          <w:bCs/>
          <w:spacing w:val="-1"/>
          <w:sz w:val="20"/>
          <w:szCs w:val="20"/>
        </w:rPr>
        <w:t xml:space="preserve"> </w:t>
      </w:r>
      <w:r w:rsidRPr="00531B12">
        <w:rPr>
          <w:rFonts w:ascii="Abadi" w:hAnsi="Abadi"/>
          <w:b/>
          <w:bCs/>
          <w:sz w:val="20"/>
          <w:szCs w:val="20"/>
        </w:rPr>
        <w:t>1</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CONSTITUCIÓN</w:t>
      </w:r>
      <w:r w:rsidRPr="00531B12">
        <w:rPr>
          <w:rFonts w:ascii="Abadi" w:hAnsi="Abadi"/>
          <w:b/>
          <w:bCs/>
          <w:spacing w:val="-1"/>
          <w:sz w:val="20"/>
          <w:szCs w:val="20"/>
        </w:rPr>
        <w:t xml:space="preserve"> </w:t>
      </w:r>
      <w:r w:rsidRPr="00531B12">
        <w:rPr>
          <w:rFonts w:ascii="Abadi" w:hAnsi="Abadi"/>
          <w:b/>
          <w:bCs/>
          <w:sz w:val="20"/>
          <w:szCs w:val="20"/>
        </w:rPr>
        <w:t>POLÍTICA</w:t>
      </w:r>
      <w:r w:rsidRPr="00531B12">
        <w:rPr>
          <w:rFonts w:ascii="Abadi" w:hAnsi="Abadi"/>
          <w:b/>
          <w:bCs/>
          <w:spacing w:val="-1"/>
          <w:sz w:val="20"/>
          <w:szCs w:val="20"/>
        </w:rPr>
        <w:t xml:space="preserve"> </w:t>
      </w:r>
      <w:r w:rsidRPr="00531B12">
        <w:rPr>
          <w:rFonts w:ascii="Abadi" w:hAnsi="Abadi"/>
          <w:b/>
          <w:bCs/>
          <w:sz w:val="20"/>
          <w:szCs w:val="20"/>
        </w:rPr>
        <w:t>PARA</w:t>
      </w:r>
      <w:r w:rsidRPr="00531B12">
        <w:rPr>
          <w:rFonts w:ascii="Abadi" w:hAnsi="Abadi"/>
          <w:b/>
          <w:bCs/>
          <w:spacing w:val="-1"/>
          <w:sz w:val="20"/>
          <w:szCs w:val="20"/>
        </w:rPr>
        <w:t xml:space="preserve"> </w:t>
      </w:r>
      <w:r w:rsidRPr="00531B12">
        <w:rPr>
          <w:rFonts w:ascii="Abadi" w:hAnsi="Abadi"/>
          <w:b/>
          <w:bCs/>
          <w:sz w:val="20"/>
          <w:szCs w:val="20"/>
        </w:rPr>
        <w:t>EL</w:t>
      </w:r>
      <w:r w:rsidRPr="00531B12">
        <w:rPr>
          <w:rFonts w:ascii="Abadi" w:hAnsi="Abadi"/>
          <w:b/>
          <w:bCs/>
          <w:spacing w:val="-2"/>
          <w:sz w:val="20"/>
          <w:szCs w:val="20"/>
        </w:rPr>
        <w:t xml:space="preserve"> </w:t>
      </w:r>
      <w:r w:rsidRPr="00531B12">
        <w:rPr>
          <w:rFonts w:ascii="Abadi" w:hAnsi="Abadi"/>
          <w:b/>
          <w:bCs/>
          <w:sz w:val="20"/>
          <w:szCs w:val="20"/>
        </w:rPr>
        <w:t>ESTADO</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GUANAJUATO.</w:t>
      </w:r>
    </w:p>
    <w:p w14:paraId="4ACA34B4" w14:textId="19B063D9" w:rsidR="00FB0262" w:rsidRDefault="00FB0262" w:rsidP="00E9040D">
      <w:pPr>
        <w:rPr>
          <w:rFonts w:ascii="Abadi" w:hAnsi="Abadi"/>
          <w:sz w:val="20"/>
          <w:szCs w:val="20"/>
        </w:rPr>
      </w:pPr>
    </w:p>
    <w:p w14:paraId="73A24B56" w14:textId="77777777" w:rsidR="00421154" w:rsidRPr="00DD5A7D" w:rsidRDefault="00421154" w:rsidP="00421154">
      <w:pPr>
        <w:pStyle w:val="Textoindependiente"/>
        <w:rPr>
          <w:rFonts w:ascii="Abadi" w:eastAsia="Arial Unicode MS" w:hAnsi="Abadi"/>
          <w:b w:val="0"/>
          <w:sz w:val="21"/>
          <w:szCs w:val="21"/>
          <w:lang w:val="es-MX"/>
        </w:rPr>
      </w:pPr>
      <w:r w:rsidRPr="00DD5A7D">
        <w:rPr>
          <w:rFonts w:ascii="Abadi" w:eastAsia="Arial Unicode MS" w:hAnsi="Abadi"/>
          <w:b w:val="0"/>
          <w:sz w:val="21"/>
          <w:szCs w:val="21"/>
          <w:lang w:val="es-MX"/>
        </w:rPr>
        <w:t>DIPUTADA IRMA LETICIA GONZÁLEZ SÁNCHEZ</w:t>
      </w:r>
    </w:p>
    <w:p w14:paraId="343105E6" w14:textId="77777777" w:rsidR="00421154" w:rsidRPr="00DD5A7D" w:rsidRDefault="00421154" w:rsidP="00421154">
      <w:pPr>
        <w:pStyle w:val="Textoindependiente"/>
        <w:rPr>
          <w:rFonts w:ascii="Abadi" w:eastAsia="Arial Unicode MS" w:hAnsi="Abadi"/>
          <w:b w:val="0"/>
          <w:sz w:val="21"/>
          <w:szCs w:val="21"/>
          <w:lang w:val="es-MX"/>
        </w:rPr>
      </w:pPr>
      <w:r w:rsidRPr="00DD5A7D">
        <w:rPr>
          <w:rFonts w:ascii="Abadi" w:eastAsia="Arial Unicode MS" w:hAnsi="Abadi"/>
          <w:b w:val="0"/>
          <w:sz w:val="21"/>
          <w:szCs w:val="21"/>
          <w:lang w:val="es-MX"/>
        </w:rPr>
        <w:t>PRESIDENTA DEL CONGRESO DEL ESTADO</w:t>
      </w:r>
    </w:p>
    <w:p w14:paraId="57BC1282" w14:textId="77777777" w:rsidR="00421154" w:rsidRPr="00DD5A7D" w:rsidRDefault="00421154" w:rsidP="00421154">
      <w:pPr>
        <w:pStyle w:val="Textoindependiente"/>
        <w:rPr>
          <w:rFonts w:ascii="Abadi" w:eastAsia="Arial Unicode MS" w:hAnsi="Abadi"/>
          <w:b w:val="0"/>
          <w:sz w:val="21"/>
          <w:szCs w:val="21"/>
          <w:lang w:val="es-MX"/>
        </w:rPr>
      </w:pPr>
      <w:r w:rsidRPr="00DD5A7D">
        <w:rPr>
          <w:rFonts w:ascii="Abadi" w:eastAsia="Arial Unicode MS" w:hAnsi="Abadi"/>
          <w:b w:val="0"/>
          <w:sz w:val="21"/>
          <w:szCs w:val="21"/>
          <w:lang w:val="es-MX"/>
        </w:rPr>
        <w:t xml:space="preserve">P R E S E N T </w:t>
      </w:r>
      <w:proofErr w:type="gramStart"/>
      <w:r w:rsidRPr="00DD5A7D">
        <w:rPr>
          <w:rFonts w:ascii="Abadi" w:eastAsia="Arial Unicode MS" w:hAnsi="Abadi"/>
          <w:b w:val="0"/>
          <w:sz w:val="21"/>
          <w:szCs w:val="21"/>
          <w:lang w:val="es-MX"/>
        </w:rPr>
        <w:t>E .</w:t>
      </w:r>
      <w:proofErr w:type="gramEnd"/>
    </w:p>
    <w:p w14:paraId="651EE9C7" w14:textId="77777777" w:rsidR="00421154" w:rsidRPr="00DD5A7D" w:rsidRDefault="00421154" w:rsidP="00421154">
      <w:pPr>
        <w:pStyle w:val="Textoindependiente"/>
        <w:ind w:firstLine="708"/>
        <w:rPr>
          <w:rFonts w:ascii="Abadi" w:eastAsia="Arial Unicode MS" w:hAnsi="Abadi"/>
          <w:sz w:val="21"/>
          <w:szCs w:val="21"/>
          <w:lang w:val="es-MX"/>
        </w:rPr>
      </w:pPr>
    </w:p>
    <w:p w14:paraId="6DFB6E5A" w14:textId="77777777" w:rsidR="00421154" w:rsidRPr="003A358F" w:rsidRDefault="00421154" w:rsidP="00421154">
      <w:pPr>
        <w:pStyle w:val="Textoindependiente"/>
        <w:spacing w:line="276" w:lineRule="auto"/>
        <w:ind w:firstLine="708"/>
        <w:rPr>
          <w:rFonts w:ascii="Abadi" w:eastAsia="Arial Unicode MS" w:hAnsi="Abadi"/>
          <w:b w:val="0"/>
          <w:bCs w:val="0"/>
          <w:sz w:val="21"/>
          <w:szCs w:val="21"/>
          <w:lang w:val="es-MX"/>
        </w:rPr>
      </w:pPr>
      <w:r w:rsidRPr="003A358F">
        <w:rPr>
          <w:rFonts w:ascii="Abadi" w:eastAsia="Arial Unicode MS" w:hAnsi="Abadi"/>
          <w:b w:val="0"/>
          <w:bCs w:val="0"/>
          <w:sz w:val="21"/>
          <w:szCs w:val="21"/>
          <w:lang w:val="es-MX"/>
        </w:rPr>
        <w:t xml:space="preserve">La Comisión de Gobernación y Puntos Constitucionales recibimos para efectos de estudio y dictamen las iniciativas, la primera formulada por el ayuntamiento de León, Gto, a efecto de reformar y adicionar diversas disposiciones de la Constitución Política para el Estado de Guanajuato y de la Ley Orgánica Municipal para el Estado de Guanajuato, </w:t>
      </w:r>
      <w:r w:rsidRPr="003A358F">
        <w:rPr>
          <w:rFonts w:ascii="Abadi" w:eastAsia="Arial Unicode MS" w:hAnsi="Abadi"/>
          <w:b w:val="0"/>
          <w:bCs w:val="0"/>
          <w:i/>
          <w:iCs/>
          <w:sz w:val="21"/>
          <w:szCs w:val="21"/>
          <w:lang w:val="es-MX"/>
        </w:rPr>
        <w:t xml:space="preserve">en lo que </w:t>
      </w:r>
      <w:r w:rsidRPr="003A358F">
        <w:rPr>
          <w:rFonts w:ascii="Abadi" w:eastAsia="Arial Unicode MS" w:hAnsi="Abadi"/>
          <w:b w:val="0"/>
          <w:bCs w:val="0"/>
          <w:i/>
          <w:iCs/>
          <w:sz w:val="21"/>
          <w:szCs w:val="21"/>
          <w:lang w:val="es-MX"/>
        </w:rPr>
        <w:lastRenderedPageBreak/>
        <w:t xml:space="preserve">corresponde al primer ordenamiento </w:t>
      </w:r>
      <w:r w:rsidRPr="003A358F">
        <w:rPr>
          <w:rFonts w:ascii="Abadi" w:eastAsia="Arial Unicode MS" w:hAnsi="Abadi"/>
          <w:b w:val="0"/>
          <w:bCs w:val="0"/>
          <w:sz w:val="21"/>
          <w:szCs w:val="21"/>
          <w:lang w:val="es-MX"/>
        </w:rPr>
        <w:t>y, la segunda suscrita por diputada y diputados integrantes del Grupo Parlamentario del Partido Revolucionario Institucional por la que se adiciona un párrafo al artículo 1 de la Constitución Política para el Estado de Guanajuato.</w:t>
      </w:r>
    </w:p>
    <w:p w14:paraId="61C56496" w14:textId="77777777" w:rsidR="00421154" w:rsidRPr="003A358F" w:rsidRDefault="00421154" w:rsidP="00421154">
      <w:pPr>
        <w:pStyle w:val="Textoindependiente"/>
        <w:spacing w:line="276" w:lineRule="auto"/>
        <w:ind w:firstLine="708"/>
        <w:rPr>
          <w:rFonts w:ascii="Abadi" w:eastAsia="Arial Unicode MS" w:hAnsi="Abadi"/>
          <w:b w:val="0"/>
          <w:bCs w:val="0"/>
          <w:sz w:val="21"/>
          <w:szCs w:val="21"/>
          <w:lang w:val="es-MX"/>
        </w:rPr>
      </w:pPr>
    </w:p>
    <w:p w14:paraId="6CB0ABED" w14:textId="77777777" w:rsidR="00421154" w:rsidRPr="003A358F" w:rsidRDefault="00421154" w:rsidP="00421154">
      <w:pPr>
        <w:pStyle w:val="Textoindependiente"/>
        <w:spacing w:line="276" w:lineRule="auto"/>
        <w:ind w:firstLine="708"/>
        <w:rPr>
          <w:rFonts w:ascii="Abadi" w:eastAsia="Arial Unicode MS" w:hAnsi="Abadi"/>
          <w:b w:val="0"/>
          <w:bCs w:val="0"/>
          <w:sz w:val="21"/>
          <w:szCs w:val="21"/>
          <w:lang w:val="es-MX"/>
        </w:rPr>
      </w:pPr>
      <w:r w:rsidRPr="003A358F">
        <w:rPr>
          <w:rFonts w:ascii="Abadi" w:eastAsia="Arial Unicode MS" w:hAnsi="Abadi"/>
          <w:b w:val="0"/>
          <w:bCs w:val="0"/>
          <w:sz w:val="21"/>
          <w:szCs w:val="21"/>
          <w:lang w:val="es-MX"/>
        </w:rPr>
        <w:t xml:space="preserve">Analizadas las iniciativas, esta Comisión Legislativa de conformidad con las atribuciones que le confieren los artículos 111 fracción I y 171 de </w:t>
      </w:r>
      <w:smartTag w:uri="urn:schemas-microsoft-com:office:smarttags" w:element="PersonName">
        <w:smartTagPr>
          <w:attr w:name="ProductID" w:val="la Ley Org￡nica"/>
        </w:smartTagPr>
        <w:r w:rsidRPr="003A358F">
          <w:rPr>
            <w:rFonts w:ascii="Abadi" w:eastAsia="Arial Unicode MS" w:hAnsi="Abadi"/>
            <w:b w:val="0"/>
            <w:bCs w:val="0"/>
            <w:sz w:val="21"/>
            <w:szCs w:val="21"/>
            <w:lang w:val="es-MX"/>
          </w:rPr>
          <w:t>la Ley Orgánica</w:t>
        </w:r>
      </w:smartTag>
      <w:r w:rsidRPr="003A358F">
        <w:rPr>
          <w:rFonts w:ascii="Abadi" w:eastAsia="Arial Unicode MS" w:hAnsi="Abadi"/>
          <w:b w:val="0"/>
          <w:bCs w:val="0"/>
          <w:sz w:val="21"/>
          <w:szCs w:val="21"/>
          <w:lang w:val="es-MX"/>
        </w:rPr>
        <w:t xml:space="preserve"> del Poder Legislativo del Estado de Guanajuato, formula a </w:t>
      </w:r>
      <w:smartTag w:uri="urn:schemas-microsoft-com:office:smarttags" w:element="PersonName">
        <w:smartTagPr>
          <w:attr w:name="ProductID" w:val="la Asamblea"/>
        </w:smartTagPr>
        <w:r w:rsidRPr="003A358F">
          <w:rPr>
            <w:rFonts w:ascii="Abadi" w:eastAsia="Arial Unicode MS" w:hAnsi="Abadi"/>
            <w:b w:val="0"/>
            <w:bCs w:val="0"/>
            <w:sz w:val="21"/>
            <w:szCs w:val="21"/>
            <w:lang w:val="es-MX"/>
          </w:rPr>
          <w:t>la Asamblea</w:t>
        </w:r>
      </w:smartTag>
      <w:r w:rsidRPr="003A358F">
        <w:rPr>
          <w:rFonts w:ascii="Abadi" w:eastAsia="Arial Unicode MS" w:hAnsi="Abadi"/>
          <w:b w:val="0"/>
          <w:bCs w:val="0"/>
          <w:sz w:val="21"/>
          <w:szCs w:val="21"/>
          <w:lang w:val="es-MX"/>
        </w:rPr>
        <w:t xml:space="preserve"> el siguiente:</w:t>
      </w:r>
    </w:p>
    <w:p w14:paraId="50C09058" w14:textId="77777777" w:rsidR="00421154" w:rsidRPr="00DD5A7D" w:rsidRDefault="00421154" w:rsidP="00421154">
      <w:pPr>
        <w:pStyle w:val="Textoindependiente"/>
        <w:ind w:firstLine="708"/>
        <w:rPr>
          <w:rFonts w:ascii="Abadi" w:eastAsia="Arial Unicode MS" w:hAnsi="Abadi"/>
          <w:sz w:val="21"/>
          <w:szCs w:val="21"/>
          <w:lang w:val="es-MX"/>
        </w:rPr>
      </w:pPr>
    </w:p>
    <w:p w14:paraId="066E5385" w14:textId="77777777" w:rsidR="00421154" w:rsidRPr="00DD5A7D" w:rsidRDefault="00421154" w:rsidP="00421154">
      <w:pPr>
        <w:pStyle w:val="Textoindependiente"/>
        <w:jc w:val="center"/>
        <w:rPr>
          <w:rFonts w:ascii="Abadi" w:eastAsia="Arial Unicode MS" w:hAnsi="Abadi"/>
          <w:b w:val="0"/>
          <w:sz w:val="21"/>
          <w:szCs w:val="21"/>
          <w:lang w:val="es-MX"/>
        </w:rPr>
      </w:pPr>
    </w:p>
    <w:p w14:paraId="5186B6BC" w14:textId="77777777" w:rsidR="00421154" w:rsidRPr="00DD5A7D" w:rsidRDefault="00421154" w:rsidP="00421154">
      <w:pPr>
        <w:pStyle w:val="Textoindependiente"/>
        <w:jc w:val="center"/>
        <w:rPr>
          <w:rFonts w:ascii="Abadi" w:eastAsia="Arial Unicode MS" w:hAnsi="Abadi"/>
          <w:b w:val="0"/>
          <w:sz w:val="21"/>
          <w:szCs w:val="21"/>
          <w:lang w:val="es-MX"/>
        </w:rPr>
      </w:pPr>
      <w:r w:rsidRPr="00DD5A7D">
        <w:rPr>
          <w:rFonts w:ascii="Abadi" w:eastAsia="Arial Unicode MS" w:hAnsi="Abadi"/>
          <w:b w:val="0"/>
          <w:sz w:val="21"/>
          <w:szCs w:val="21"/>
          <w:lang w:val="es-MX"/>
        </w:rPr>
        <w:t>D I C T A M E N</w:t>
      </w:r>
    </w:p>
    <w:p w14:paraId="381D2496" w14:textId="77777777" w:rsidR="00421154" w:rsidRPr="00DD5A7D" w:rsidRDefault="00421154" w:rsidP="00421154">
      <w:pPr>
        <w:pStyle w:val="Textoindependiente"/>
        <w:ind w:firstLine="708"/>
        <w:rPr>
          <w:rFonts w:ascii="Abadi" w:eastAsia="Arial Unicode MS" w:hAnsi="Abadi"/>
          <w:sz w:val="21"/>
          <w:szCs w:val="21"/>
          <w:lang w:val="es-MX"/>
        </w:rPr>
      </w:pPr>
    </w:p>
    <w:p w14:paraId="5111639C" w14:textId="77777777" w:rsidR="00421154" w:rsidRPr="00DD5A7D" w:rsidRDefault="00421154" w:rsidP="00421154">
      <w:pPr>
        <w:rPr>
          <w:rFonts w:ascii="Abadi" w:eastAsia="Batang" w:hAnsi="Abadi" w:cs="Arial"/>
          <w:b/>
          <w:bCs/>
          <w:sz w:val="21"/>
          <w:szCs w:val="21"/>
        </w:rPr>
      </w:pPr>
      <w:r w:rsidRPr="00DD5A7D">
        <w:rPr>
          <w:rFonts w:ascii="Abadi" w:eastAsia="Batang" w:hAnsi="Abadi" w:cs="Arial"/>
          <w:b/>
          <w:smallCaps/>
          <w:sz w:val="21"/>
          <w:szCs w:val="21"/>
        </w:rPr>
        <w:t>I.</w:t>
      </w:r>
      <w:r w:rsidRPr="00DD5A7D">
        <w:rPr>
          <w:rFonts w:ascii="Abadi" w:eastAsia="Batang" w:hAnsi="Abadi" w:cs="Arial"/>
          <w:b/>
          <w:smallCaps/>
          <w:sz w:val="21"/>
          <w:szCs w:val="21"/>
        </w:rPr>
        <w:tab/>
      </w:r>
      <w:r w:rsidRPr="00DD5A7D">
        <w:rPr>
          <w:rFonts w:ascii="Abadi" w:eastAsia="Batang" w:hAnsi="Abadi" w:cs="Arial"/>
          <w:b/>
          <w:bCs/>
          <w:sz w:val="21"/>
          <w:szCs w:val="21"/>
        </w:rPr>
        <w:t>Del Proceso Legislativo</w:t>
      </w:r>
    </w:p>
    <w:p w14:paraId="23273EB3" w14:textId="77777777" w:rsidR="00421154" w:rsidRPr="00DD5A7D" w:rsidRDefault="00421154" w:rsidP="00421154">
      <w:pPr>
        <w:rPr>
          <w:rFonts w:ascii="Abadi" w:eastAsia="Batang" w:hAnsi="Abadi" w:cs="Arial"/>
          <w:b/>
          <w:bCs/>
          <w:sz w:val="21"/>
          <w:szCs w:val="21"/>
        </w:rPr>
      </w:pPr>
    </w:p>
    <w:p w14:paraId="339D2980" w14:textId="77777777" w:rsidR="00421154" w:rsidRPr="00DD5A7D" w:rsidRDefault="00421154" w:rsidP="00421154">
      <w:pPr>
        <w:spacing w:line="276" w:lineRule="auto"/>
        <w:jc w:val="both"/>
        <w:rPr>
          <w:rFonts w:ascii="Abadi" w:eastAsia="Arial Unicode MS" w:hAnsi="Abadi"/>
          <w:sz w:val="21"/>
          <w:szCs w:val="21"/>
        </w:rPr>
      </w:pPr>
      <w:r w:rsidRPr="00DD5A7D">
        <w:rPr>
          <w:rFonts w:ascii="Abadi" w:eastAsia="Batang" w:hAnsi="Abadi" w:cs="Arial"/>
          <w:b/>
          <w:bCs/>
          <w:sz w:val="21"/>
          <w:szCs w:val="21"/>
        </w:rPr>
        <w:t>I.1.</w:t>
      </w:r>
      <w:r w:rsidRPr="00DD5A7D">
        <w:rPr>
          <w:rFonts w:ascii="Abadi" w:eastAsia="Batang" w:hAnsi="Abadi" w:cs="Arial"/>
          <w:b/>
          <w:bCs/>
          <w:sz w:val="21"/>
          <w:szCs w:val="21"/>
        </w:rPr>
        <w:tab/>
      </w:r>
      <w:r w:rsidRPr="00DD5A7D">
        <w:rPr>
          <w:rFonts w:ascii="Abadi" w:eastAsia="Arial Unicode MS" w:hAnsi="Abadi"/>
          <w:sz w:val="21"/>
          <w:szCs w:val="21"/>
        </w:rPr>
        <w:t xml:space="preserve">En sesión del 15 de febrero de 2022 ingresó la iniciativa </w:t>
      </w:r>
      <w:r w:rsidRPr="00DD5A7D">
        <w:rPr>
          <w:rFonts w:ascii="Abadi" w:eastAsia="Arial Unicode MS" w:hAnsi="Abadi"/>
          <w:i/>
          <w:iCs/>
          <w:sz w:val="21"/>
          <w:szCs w:val="21"/>
        </w:rPr>
        <w:t>con el</w:t>
      </w:r>
      <w:r w:rsidRPr="00DD5A7D">
        <w:rPr>
          <w:rFonts w:ascii="Abadi" w:eastAsia="Arial Unicode MS" w:hAnsi="Abadi"/>
          <w:sz w:val="21"/>
          <w:szCs w:val="21"/>
        </w:rPr>
        <w:t xml:space="preserve"> </w:t>
      </w:r>
      <w:r w:rsidRPr="00DD5A7D">
        <w:rPr>
          <w:rFonts w:ascii="Abadi" w:eastAsia="Arial Unicode MS" w:hAnsi="Abadi"/>
          <w:i/>
          <w:iCs/>
          <w:sz w:val="21"/>
          <w:szCs w:val="21"/>
        </w:rPr>
        <w:t>Expediente 143A/LXV-I</w:t>
      </w:r>
      <w:r w:rsidRPr="00DD5A7D">
        <w:rPr>
          <w:rFonts w:ascii="Abadi" w:eastAsia="Arial Unicode MS" w:hAnsi="Abadi"/>
          <w:sz w:val="21"/>
          <w:szCs w:val="21"/>
        </w:rPr>
        <w:t xml:space="preserve"> formulada por el ayuntamiento de León, Gto, a efecto de reformar y adicionar diversas disposiciones de la Constitución Política para el Estado de Guanajuato y de la Ley Orgánica Municipal para el Estado de Guanajuato, </w:t>
      </w:r>
      <w:r w:rsidRPr="00DD5A7D">
        <w:rPr>
          <w:rFonts w:ascii="Abadi" w:eastAsia="Arial Unicode MS" w:hAnsi="Abadi"/>
          <w:i/>
          <w:iCs/>
          <w:sz w:val="21"/>
          <w:szCs w:val="21"/>
        </w:rPr>
        <w:t>en lo que corresponde al primer ordenamiento</w:t>
      </w:r>
      <w:r w:rsidRPr="00DD5A7D">
        <w:rPr>
          <w:rFonts w:ascii="Abadi" w:eastAsia="Arial Unicode MS" w:hAnsi="Abadi"/>
          <w:sz w:val="21"/>
          <w:szCs w:val="21"/>
        </w:rPr>
        <w:t>, turnándose por la presidencia del Congreso a la Comisión de Gobernación y Puntos Constitucionales, con fundamento en lo dispuesto por el artículo 111, fracción I de la Ley Orgánica del Poder Legislativo del Estado de Guanajuato, para su estudio y dictamen.</w:t>
      </w:r>
    </w:p>
    <w:p w14:paraId="2F4DF07D" w14:textId="77777777" w:rsidR="00421154" w:rsidRPr="00DD5A7D" w:rsidRDefault="00421154" w:rsidP="00421154">
      <w:pPr>
        <w:spacing w:line="276" w:lineRule="auto"/>
        <w:jc w:val="both"/>
        <w:rPr>
          <w:rFonts w:ascii="Abadi" w:eastAsia="Batang" w:hAnsi="Abadi" w:cs="Arial"/>
          <w:sz w:val="21"/>
          <w:szCs w:val="21"/>
          <w:highlight w:val="yellow"/>
        </w:rPr>
      </w:pPr>
    </w:p>
    <w:p w14:paraId="5C0FAED8" w14:textId="77777777" w:rsidR="00421154" w:rsidRPr="00DD5A7D" w:rsidRDefault="00421154" w:rsidP="00421154">
      <w:pPr>
        <w:spacing w:line="276" w:lineRule="auto"/>
        <w:jc w:val="both"/>
        <w:rPr>
          <w:rFonts w:ascii="Abadi" w:eastAsia="Arial Unicode MS" w:hAnsi="Abadi"/>
          <w:sz w:val="21"/>
          <w:szCs w:val="21"/>
        </w:rPr>
      </w:pPr>
      <w:r w:rsidRPr="00DD5A7D">
        <w:rPr>
          <w:rFonts w:ascii="Abadi" w:eastAsia="Batang" w:hAnsi="Abadi" w:cs="Arial"/>
          <w:b/>
          <w:sz w:val="21"/>
          <w:szCs w:val="21"/>
        </w:rPr>
        <w:t xml:space="preserve">I.2. </w:t>
      </w:r>
      <w:r w:rsidRPr="00DD5A7D">
        <w:rPr>
          <w:rFonts w:ascii="Abadi" w:eastAsia="Batang" w:hAnsi="Abadi" w:cs="Arial"/>
          <w:bCs/>
          <w:sz w:val="21"/>
          <w:szCs w:val="21"/>
        </w:rPr>
        <w:t xml:space="preserve">Posteriormente, en sesión del 24 de febrero de 2022 ingresó la iniciativa </w:t>
      </w:r>
      <w:r w:rsidRPr="00DD5A7D">
        <w:rPr>
          <w:rFonts w:ascii="Abadi" w:eastAsia="Batang" w:hAnsi="Abadi" w:cs="Arial"/>
          <w:bCs/>
          <w:i/>
          <w:iCs/>
          <w:sz w:val="21"/>
          <w:szCs w:val="21"/>
        </w:rPr>
        <w:t>con el Expediente 156/LXV-I</w:t>
      </w:r>
      <w:r w:rsidRPr="00DD5A7D">
        <w:rPr>
          <w:rFonts w:ascii="Abadi" w:eastAsia="Batang" w:hAnsi="Abadi" w:cs="Arial"/>
          <w:bCs/>
          <w:sz w:val="21"/>
          <w:szCs w:val="21"/>
        </w:rPr>
        <w:t xml:space="preserve"> suscrita por diputada y diputados integrantes del Grupo Parlamentario del Partido Revolucionario Institucional por la que se adiciona un párrafo al artículo 1 de la Constitución Política para el Estado de Guanajuato</w:t>
      </w:r>
      <w:r w:rsidRPr="00DD5A7D">
        <w:rPr>
          <w:rFonts w:ascii="Abadi" w:eastAsia="Arial Unicode MS" w:hAnsi="Abadi"/>
          <w:sz w:val="21"/>
          <w:szCs w:val="21"/>
        </w:rPr>
        <w:t xml:space="preserve"> turnándose por la presidencia del Congreso a la Comisión de Gobernación y Puntos Constitucionales, con fundamento en lo dispuesto por el artículo 111, fracción I de la Ley Orgánica del Poder Legislativo del Estado de Guanajuato, para su estudio y dictamen.</w:t>
      </w:r>
    </w:p>
    <w:p w14:paraId="60B38097" w14:textId="77777777" w:rsidR="00421154" w:rsidRPr="00DD5A7D" w:rsidRDefault="00421154" w:rsidP="00421154">
      <w:pPr>
        <w:spacing w:line="276" w:lineRule="auto"/>
        <w:jc w:val="both"/>
        <w:rPr>
          <w:rFonts w:ascii="Abadi" w:eastAsia="Batang" w:hAnsi="Abadi" w:cs="Arial"/>
          <w:bCs/>
          <w:sz w:val="21"/>
          <w:szCs w:val="21"/>
        </w:rPr>
      </w:pPr>
    </w:p>
    <w:p w14:paraId="6158FED0" w14:textId="77777777" w:rsidR="00421154" w:rsidRPr="00DD5A7D" w:rsidRDefault="00421154" w:rsidP="00421154">
      <w:pPr>
        <w:spacing w:line="276" w:lineRule="auto"/>
        <w:jc w:val="both"/>
        <w:rPr>
          <w:rFonts w:ascii="Abadi" w:eastAsia="Batang" w:hAnsi="Abadi" w:cs="Arial"/>
          <w:sz w:val="21"/>
          <w:szCs w:val="21"/>
        </w:rPr>
      </w:pPr>
      <w:r w:rsidRPr="00DD5A7D">
        <w:rPr>
          <w:rFonts w:ascii="Abadi" w:eastAsia="Batang" w:hAnsi="Abadi" w:cs="Arial"/>
          <w:b/>
          <w:bCs/>
          <w:sz w:val="21"/>
          <w:szCs w:val="21"/>
        </w:rPr>
        <w:t xml:space="preserve">I.3. </w:t>
      </w:r>
      <w:r w:rsidRPr="00DD5A7D">
        <w:rPr>
          <w:rFonts w:ascii="Abadi" w:eastAsia="Batang" w:hAnsi="Abadi" w:cs="Arial"/>
          <w:sz w:val="21"/>
          <w:szCs w:val="21"/>
        </w:rPr>
        <w:t xml:space="preserve">En reuniones de la Comisión de Gobernación y Puntos Constitucionales, del 21 de febrero y del 1 de marzo de 2022, se radicaron respectivamente las iniciativas y fueron aprobadas las metodologías de trabajo en los siguientes términos: </w:t>
      </w:r>
    </w:p>
    <w:p w14:paraId="2E346939" w14:textId="77777777" w:rsidR="00421154" w:rsidRPr="00DD5A7D" w:rsidRDefault="00421154" w:rsidP="00421154">
      <w:pPr>
        <w:spacing w:line="276" w:lineRule="auto"/>
        <w:jc w:val="both"/>
        <w:rPr>
          <w:rFonts w:ascii="Abadi" w:eastAsia="Batang" w:hAnsi="Abadi" w:cs="Arial"/>
          <w:sz w:val="21"/>
          <w:szCs w:val="21"/>
        </w:rPr>
      </w:pPr>
    </w:p>
    <w:p w14:paraId="2BB58C9F" w14:textId="77777777" w:rsidR="00421154" w:rsidRPr="00DD5A7D" w:rsidRDefault="00421154" w:rsidP="00421154">
      <w:pPr>
        <w:spacing w:line="276" w:lineRule="auto"/>
        <w:jc w:val="both"/>
        <w:rPr>
          <w:rFonts w:ascii="Abadi" w:eastAsia="Batang" w:hAnsi="Abadi" w:cs="Arial"/>
          <w:i/>
          <w:iCs/>
          <w:sz w:val="21"/>
          <w:szCs w:val="21"/>
        </w:rPr>
      </w:pPr>
      <w:r w:rsidRPr="00DD5A7D">
        <w:rPr>
          <w:rFonts w:ascii="Abadi" w:eastAsia="Batang" w:hAnsi="Abadi" w:cs="Arial"/>
          <w:i/>
          <w:iCs/>
          <w:sz w:val="21"/>
          <w:szCs w:val="21"/>
        </w:rPr>
        <w:t>Con respecto a la primera iniciativa:</w:t>
      </w:r>
    </w:p>
    <w:p w14:paraId="6EE06C3A" w14:textId="77777777" w:rsidR="00421154" w:rsidRPr="00DD5A7D" w:rsidRDefault="00421154" w:rsidP="00421154">
      <w:pPr>
        <w:ind w:left="714"/>
        <w:jc w:val="both"/>
        <w:rPr>
          <w:rFonts w:ascii="Abadi" w:hAnsi="Abadi" w:cs="Calibri"/>
          <w:i/>
          <w:sz w:val="21"/>
          <w:szCs w:val="21"/>
        </w:rPr>
      </w:pPr>
    </w:p>
    <w:p w14:paraId="32A4DD50" w14:textId="77777777" w:rsidR="00421154" w:rsidRPr="00DD5A7D" w:rsidRDefault="00421154" w:rsidP="00421154">
      <w:pPr>
        <w:numPr>
          <w:ilvl w:val="0"/>
          <w:numId w:val="22"/>
        </w:numPr>
        <w:spacing w:after="200" w:line="276" w:lineRule="auto"/>
        <w:ind w:left="709" w:hanging="425"/>
        <w:jc w:val="both"/>
        <w:rPr>
          <w:rFonts w:ascii="Abadi" w:hAnsi="Abadi" w:cs="Arial"/>
          <w:i/>
          <w:iCs/>
          <w:sz w:val="21"/>
          <w:szCs w:val="21"/>
        </w:rPr>
      </w:pPr>
      <w:r w:rsidRPr="00DD5A7D">
        <w:rPr>
          <w:rFonts w:ascii="Abadi" w:hAnsi="Abadi" w:cs="Arial"/>
          <w:i/>
          <w:iCs/>
          <w:sz w:val="21"/>
          <w:szCs w:val="21"/>
        </w:rPr>
        <w:t>Remitir vía electrónica para opinión a los 36 diputados y diputadas que integran la Sexagésima Quinta Legislatura, al Poder Judicial, a la Coordinación General Jurídica, y los 46 ayuntamientos quienes contarán con un término de 20 días hábiles, para remitir los comentarios y observaciones que estimen pertinentes.</w:t>
      </w:r>
    </w:p>
    <w:p w14:paraId="79CB23CB" w14:textId="77777777" w:rsidR="00421154" w:rsidRPr="00DD5A7D" w:rsidRDefault="00421154" w:rsidP="00421154">
      <w:pPr>
        <w:numPr>
          <w:ilvl w:val="0"/>
          <w:numId w:val="22"/>
        </w:numPr>
        <w:spacing w:after="200" w:line="276" w:lineRule="auto"/>
        <w:ind w:hanging="436"/>
        <w:jc w:val="both"/>
        <w:rPr>
          <w:rFonts w:ascii="Abadi" w:hAnsi="Abadi" w:cs="Arial"/>
          <w:i/>
          <w:iCs/>
          <w:sz w:val="21"/>
          <w:szCs w:val="21"/>
        </w:rPr>
      </w:pPr>
      <w:r w:rsidRPr="00DD5A7D">
        <w:rPr>
          <w:rFonts w:ascii="Abadi" w:hAnsi="Abadi" w:cs="Arial"/>
          <w:i/>
          <w:iCs/>
          <w:sz w:val="21"/>
          <w:szCs w:val="21"/>
        </w:rPr>
        <w:t>Se habilitará un vínculo (</w:t>
      </w:r>
      <w:proofErr w:type="gramStart"/>
      <w:r w:rsidRPr="00DD5A7D">
        <w:rPr>
          <w:rFonts w:ascii="Abadi" w:hAnsi="Abadi" w:cs="Arial"/>
          <w:i/>
          <w:iCs/>
          <w:sz w:val="21"/>
          <w:szCs w:val="21"/>
        </w:rPr>
        <w:t>link</w:t>
      </w:r>
      <w:proofErr w:type="gramEnd"/>
      <w:r w:rsidRPr="00DD5A7D">
        <w:rPr>
          <w:rFonts w:ascii="Abadi" w:hAnsi="Abadi" w:cs="Arial"/>
          <w:i/>
          <w:iCs/>
          <w:sz w:val="21"/>
          <w:szCs w:val="21"/>
        </w:rPr>
        <w:t>) en la página web del Congreso del Estado, a efecto de que se consulte la iniciativa y se puedan recibir observaciones a la misma.</w:t>
      </w:r>
    </w:p>
    <w:p w14:paraId="01292BDE" w14:textId="77777777" w:rsidR="00421154" w:rsidRPr="00DD5A7D" w:rsidRDefault="00421154" w:rsidP="00421154">
      <w:pPr>
        <w:pStyle w:val="Prrafodelista"/>
        <w:numPr>
          <w:ilvl w:val="0"/>
          <w:numId w:val="22"/>
        </w:numPr>
        <w:spacing w:after="200" w:line="276" w:lineRule="auto"/>
        <w:ind w:hanging="436"/>
        <w:contextualSpacing/>
        <w:jc w:val="both"/>
        <w:rPr>
          <w:rFonts w:ascii="Abadi" w:hAnsi="Abadi" w:cs="Arial"/>
          <w:i/>
          <w:iCs/>
          <w:sz w:val="21"/>
          <w:szCs w:val="21"/>
        </w:rPr>
      </w:pPr>
      <w:r w:rsidRPr="00DD5A7D">
        <w:rPr>
          <w:rFonts w:ascii="Abadi" w:hAnsi="Abadi" w:cs="Arial"/>
          <w:i/>
          <w:iCs/>
          <w:sz w:val="21"/>
          <w:szCs w:val="21"/>
        </w:rPr>
        <w:t>Se integrará un documento que consolidará todas las propuestas emitidas en las consultas por escrito o vía electrónica que se hayan remitido previamente a la Comisión para el análisis de la iniciativa. Dicho documento será con formato de comparativo.</w:t>
      </w:r>
    </w:p>
    <w:p w14:paraId="2384A6B6" w14:textId="77777777" w:rsidR="00421154" w:rsidRPr="00DD5A7D" w:rsidRDefault="00421154" w:rsidP="00421154">
      <w:pPr>
        <w:pStyle w:val="Prrafodelista"/>
        <w:ind w:hanging="436"/>
        <w:jc w:val="both"/>
        <w:rPr>
          <w:rFonts w:ascii="Abadi" w:hAnsi="Abadi" w:cs="Arial"/>
          <w:i/>
          <w:iCs/>
          <w:sz w:val="21"/>
          <w:szCs w:val="21"/>
        </w:rPr>
      </w:pPr>
    </w:p>
    <w:p w14:paraId="32FC5D66" w14:textId="77777777" w:rsidR="00421154" w:rsidRPr="00DD5A7D" w:rsidRDefault="00421154" w:rsidP="00421154">
      <w:pPr>
        <w:pStyle w:val="Prrafodelista"/>
        <w:numPr>
          <w:ilvl w:val="0"/>
          <w:numId w:val="22"/>
        </w:numPr>
        <w:spacing w:after="200" w:line="276" w:lineRule="auto"/>
        <w:ind w:hanging="436"/>
        <w:contextualSpacing/>
        <w:jc w:val="both"/>
        <w:rPr>
          <w:rFonts w:ascii="Abadi" w:hAnsi="Abadi" w:cs="Arial"/>
          <w:i/>
          <w:iCs/>
          <w:sz w:val="21"/>
          <w:szCs w:val="21"/>
        </w:rPr>
      </w:pPr>
      <w:r w:rsidRPr="00DD5A7D">
        <w:rPr>
          <w:rFonts w:ascii="Abadi" w:hAnsi="Abadi" w:cs="Arial"/>
          <w:i/>
          <w:iCs/>
          <w:sz w:val="21"/>
          <w:szCs w:val="21"/>
        </w:rPr>
        <w:t>Se celebrará una mesa de trabajo para analizar las observaciones remitidas, a través del documento comparativo.</w:t>
      </w:r>
    </w:p>
    <w:p w14:paraId="1697E9C3" w14:textId="77777777" w:rsidR="00421154" w:rsidRPr="00DD5A7D" w:rsidRDefault="00421154" w:rsidP="00421154">
      <w:pPr>
        <w:pStyle w:val="Prrafodelista"/>
        <w:ind w:hanging="436"/>
        <w:rPr>
          <w:rFonts w:ascii="Abadi" w:hAnsi="Abadi" w:cs="Arial"/>
          <w:i/>
          <w:iCs/>
          <w:sz w:val="21"/>
          <w:szCs w:val="21"/>
        </w:rPr>
      </w:pPr>
    </w:p>
    <w:p w14:paraId="5CEF958C" w14:textId="77777777" w:rsidR="00421154" w:rsidRPr="00DD5A7D" w:rsidRDefault="00421154" w:rsidP="00421154">
      <w:pPr>
        <w:pStyle w:val="Prrafodelista"/>
        <w:numPr>
          <w:ilvl w:val="0"/>
          <w:numId w:val="22"/>
        </w:numPr>
        <w:spacing w:after="200" w:line="276" w:lineRule="auto"/>
        <w:ind w:hanging="436"/>
        <w:contextualSpacing/>
        <w:jc w:val="both"/>
        <w:rPr>
          <w:rFonts w:ascii="Abadi" w:hAnsi="Abadi" w:cs="Arial"/>
          <w:i/>
          <w:iCs/>
          <w:sz w:val="21"/>
          <w:szCs w:val="21"/>
        </w:rPr>
      </w:pPr>
      <w:r w:rsidRPr="00DD5A7D">
        <w:rPr>
          <w:rFonts w:ascii="Abadi" w:hAnsi="Abadi" w:cs="Arial"/>
          <w:i/>
          <w:iCs/>
          <w:sz w:val="21"/>
          <w:szCs w:val="21"/>
        </w:rPr>
        <w:t>Una vez lo cual, se presentará un proyecto de dictamen para que sea analizado en reunión de la Comisión.</w:t>
      </w:r>
    </w:p>
    <w:p w14:paraId="6E490ACA" w14:textId="77777777" w:rsidR="00421154" w:rsidRPr="00DD5A7D" w:rsidRDefault="00421154" w:rsidP="00421154">
      <w:pPr>
        <w:spacing w:line="276" w:lineRule="auto"/>
        <w:jc w:val="both"/>
        <w:rPr>
          <w:rFonts w:ascii="Abadi" w:eastAsia="Batang" w:hAnsi="Abadi" w:cs="Arial"/>
          <w:i/>
          <w:iCs/>
          <w:sz w:val="21"/>
          <w:szCs w:val="21"/>
        </w:rPr>
      </w:pPr>
    </w:p>
    <w:p w14:paraId="032FD156" w14:textId="77777777" w:rsidR="00421154" w:rsidRPr="00DD5A7D" w:rsidRDefault="00421154" w:rsidP="00421154">
      <w:pPr>
        <w:spacing w:line="276" w:lineRule="auto"/>
        <w:jc w:val="both"/>
        <w:rPr>
          <w:rFonts w:ascii="Abadi" w:eastAsia="Batang" w:hAnsi="Abadi" w:cs="Arial"/>
          <w:i/>
          <w:iCs/>
          <w:sz w:val="21"/>
          <w:szCs w:val="21"/>
        </w:rPr>
      </w:pPr>
      <w:r w:rsidRPr="00DD5A7D">
        <w:rPr>
          <w:rFonts w:ascii="Abadi" w:eastAsia="Batang" w:hAnsi="Abadi" w:cs="Arial"/>
          <w:i/>
          <w:iCs/>
          <w:sz w:val="21"/>
          <w:szCs w:val="21"/>
        </w:rPr>
        <w:t>Con respecto a la primera iniciativa:</w:t>
      </w:r>
    </w:p>
    <w:p w14:paraId="5C7E7DB9" w14:textId="77777777" w:rsidR="00421154" w:rsidRPr="00DD5A7D" w:rsidRDefault="00421154" w:rsidP="00421154">
      <w:pPr>
        <w:jc w:val="both"/>
        <w:rPr>
          <w:rFonts w:ascii="Abadi" w:eastAsia="Batang" w:hAnsi="Abadi" w:cs="Arial"/>
          <w:b/>
          <w:sz w:val="21"/>
          <w:szCs w:val="21"/>
        </w:rPr>
      </w:pPr>
    </w:p>
    <w:p w14:paraId="7BAA05DC" w14:textId="77777777" w:rsidR="00421154" w:rsidRPr="00DD5A7D" w:rsidRDefault="00421154" w:rsidP="00421154">
      <w:pPr>
        <w:numPr>
          <w:ilvl w:val="0"/>
          <w:numId w:val="38"/>
        </w:numPr>
        <w:spacing w:after="200" w:line="276" w:lineRule="auto"/>
        <w:jc w:val="both"/>
        <w:rPr>
          <w:rFonts w:ascii="Abadi" w:hAnsi="Abadi" w:cs="Arial"/>
          <w:i/>
          <w:iCs/>
          <w:sz w:val="21"/>
          <w:szCs w:val="21"/>
        </w:rPr>
      </w:pPr>
      <w:r w:rsidRPr="00DD5A7D">
        <w:rPr>
          <w:rFonts w:ascii="Abadi" w:hAnsi="Abadi" w:cs="Arial"/>
          <w:i/>
          <w:iCs/>
          <w:sz w:val="21"/>
          <w:szCs w:val="21"/>
        </w:rPr>
        <w:t xml:space="preserve">Remitir vía electrónica para opinión a los 36 diputados y diputadas que integran la Sexagésima Quinta Legislatura, al Poder Judicial, a la Coordinación General Jurídica de Gobierno del Estado, a la Procuraduría de los Derechos Humanos del Estado de Guanajuato y a las instituciones de educación superior en la </w:t>
      </w:r>
      <w:r w:rsidRPr="00DD5A7D">
        <w:rPr>
          <w:rFonts w:ascii="Abadi" w:hAnsi="Abadi" w:cs="Arial"/>
          <w:i/>
          <w:iCs/>
          <w:sz w:val="21"/>
          <w:szCs w:val="21"/>
        </w:rPr>
        <w:lastRenderedPageBreak/>
        <w:t>entidad quienes contarán con un término de 20 días hábiles, para remitir los comentarios y observaciones que estimen pertinentes.</w:t>
      </w:r>
    </w:p>
    <w:p w14:paraId="44AFD018" w14:textId="77777777" w:rsidR="00421154" w:rsidRPr="00DD5A7D" w:rsidRDefault="00421154" w:rsidP="00421154">
      <w:pPr>
        <w:numPr>
          <w:ilvl w:val="0"/>
          <w:numId w:val="38"/>
        </w:numPr>
        <w:spacing w:after="200" w:line="276" w:lineRule="auto"/>
        <w:ind w:hanging="436"/>
        <w:jc w:val="both"/>
        <w:rPr>
          <w:rFonts w:ascii="Abadi" w:hAnsi="Abadi" w:cs="Arial"/>
          <w:i/>
          <w:iCs/>
          <w:sz w:val="21"/>
          <w:szCs w:val="21"/>
        </w:rPr>
      </w:pPr>
      <w:r w:rsidRPr="00DD5A7D">
        <w:rPr>
          <w:rFonts w:ascii="Abadi" w:hAnsi="Abadi" w:cs="Arial"/>
          <w:i/>
          <w:iCs/>
          <w:sz w:val="21"/>
          <w:szCs w:val="21"/>
        </w:rPr>
        <w:t>Se habilitará un vínculo (</w:t>
      </w:r>
      <w:proofErr w:type="gramStart"/>
      <w:r w:rsidRPr="00DD5A7D">
        <w:rPr>
          <w:rFonts w:ascii="Abadi" w:hAnsi="Abadi" w:cs="Arial"/>
          <w:i/>
          <w:iCs/>
          <w:sz w:val="21"/>
          <w:szCs w:val="21"/>
        </w:rPr>
        <w:t>link</w:t>
      </w:r>
      <w:proofErr w:type="gramEnd"/>
      <w:r w:rsidRPr="00DD5A7D">
        <w:rPr>
          <w:rFonts w:ascii="Abadi" w:hAnsi="Abadi" w:cs="Arial"/>
          <w:i/>
          <w:iCs/>
          <w:sz w:val="21"/>
          <w:szCs w:val="21"/>
        </w:rPr>
        <w:t>) en la página web del Congreso del Estado, a efecto de que se consulte la iniciativa y se puedan recibir observaciones a la misma.</w:t>
      </w:r>
    </w:p>
    <w:p w14:paraId="27CEF645" w14:textId="77777777" w:rsidR="00421154" w:rsidRPr="00DD5A7D" w:rsidRDefault="00421154" w:rsidP="00421154">
      <w:pPr>
        <w:pStyle w:val="Prrafodelista"/>
        <w:numPr>
          <w:ilvl w:val="0"/>
          <w:numId w:val="38"/>
        </w:numPr>
        <w:spacing w:after="200" w:line="276" w:lineRule="auto"/>
        <w:ind w:hanging="436"/>
        <w:contextualSpacing/>
        <w:jc w:val="both"/>
        <w:rPr>
          <w:rFonts w:ascii="Abadi" w:hAnsi="Abadi" w:cs="Arial"/>
          <w:i/>
          <w:iCs/>
          <w:sz w:val="21"/>
          <w:szCs w:val="21"/>
        </w:rPr>
      </w:pPr>
      <w:r w:rsidRPr="00DD5A7D">
        <w:rPr>
          <w:rFonts w:ascii="Abadi" w:hAnsi="Abadi" w:cs="Arial"/>
          <w:i/>
          <w:iCs/>
          <w:sz w:val="21"/>
          <w:szCs w:val="21"/>
        </w:rPr>
        <w:t>Se integrará un documento que consolidará todas las propuestas emitidas en las consultas por escrito o vía electrónica que se hayan remitido previamente a la Comisión para el análisis de la iniciativa. Dicho documento será con formato de comparativo.</w:t>
      </w:r>
    </w:p>
    <w:p w14:paraId="49CA8ED5" w14:textId="77777777" w:rsidR="00421154" w:rsidRPr="00DD5A7D" w:rsidRDefault="00421154" w:rsidP="00421154">
      <w:pPr>
        <w:pStyle w:val="Prrafodelista"/>
        <w:ind w:hanging="436"/>
        <w:jc w:val="both"/>
        <w:rPr>
          <w:rFonts w:ascii="Abadi" w:hAnsi="Abadi" w:cs="Arial"/>
          <w:i/>
          <w:iCs/>
          <w:sz w:val="21"/>
          <w:szCs w:val="21"/>
        </w:rPr>
      </w:pPr>
    </w:p>
    <w:p w14:paraId="7AD64C14" w14:textId="77777777" w:rsidR="00421154" w:rsidRPr="00DD5A7D" w:rsidRDefault="00421154" w:rsidP="00421154">
      <w:pPr>
        <w:pStyle w:val="Prrafodelista"/>
        <w:numPr>
          <w:ilvl w:val="0"/>
          <w:numId w:val="38"/>
        </w:numPr>
        <w:spacing w:after="200" w:line="276" w:lineRule="auto"/>
        <w:ind w:hanging="436"/>
        <w:contextualSpacing/>
        <w:jc w:val="both"/>
        <w:rPr>
          <w:rFonts w:ascii="Abadi" w:hAnsi="Abadi" w:cs="Arial"/>
          <w:i/>
          <w:iCs/>
          <w:sz w:val="21"/>
          <w:szCs w:val="21"/>
        </w:rPr>
      </w:pPr>
      <w:r w:rsidRPr="00DD5A7D">
        <w:rPr>
          <w:rFonts w:ascii="Abadi" w:hAnsi="Abadi" w:cs="Arial"/>
          <w:i/>
          <w:iCs/>
          <w:sz w:val="21"/>
          <w:szCs w:val="21"/>
        </w:rPr>
        <w:t>Se celebrará una mesa de trabajo para analizar las observaciones remitidas, a través del documento comparativo.</w:t>
      </w:r>
    </w:p>
    <w:p w14:paraId="0A319F25" w14:textId="77777777" w:rsidR="00421154" w:rsidRPr="00DD5A7D" w:rsidRDefault="00421154" w:rsidP="00421154">
      <w:pPr>
        <w:pStyle w:val="Prrafodelista"/>
        <w:ind w:hanging="436"/>
        <w:rPr>
          <w:rFonts w:ascii="Abadi" w:hAnsi="Abadi" w:cs="Arial"/>
          <w:i/>
          <w:iCs/>
          <w:sz w:val="21"/>
          <w:szCs w:val="21"/>
        </w:rPr>
      </w:pPr>
    </w:p>
    <w:p w14:paraId="2CB2F5EE" w14:textId="77777777" w:rsidR="00421154" w:rsidRPr="00DD5A7D" w:rsidRDefault="00421154" w:rsidP="00421154">
      <w:pPr>
        <w:pStyle w:val="Prrafodelista"/>
        <w:numPr>
          <w:ilvl w:val="0"/>
          <w:numId w:val="38"/>
        </w:numPr>
        <w:spacing w:after="200" w:line="276" w:lineRule="auto"/>
        <w:ind w:hanging="436"/>
        <w:contextualSpacing/>
        <w:jc w:val="both"/>
        <w:rPr>
          <w:rFonts w:ascii="Abadi" w:hAnsi="Abadi" w:cs="Arial"/>
          <w:i/>
          <w:iCs/>
          <w:sz w:val="21"/>
          <w:szCs w:val="21"/>
        </w:rPr>
      </w:pPr>
      <w:r w:rsidRPr="00DD5A7D">
        <w:rPr>
          <w:rFonts w:ascii="Abadi" w:hAnsi="Abadi" w:cs="Arial"/>
          <w:i/>
          <w:iCs/>
          <w:sz w:val="21"/>
          <w:szCs w:val="21"/>
        </w:rPr>
        <w:t>Una vez lo cual, se presentará un proyecto de dictamen para que sea analizado en reunión de la Comisión.</w:t>
      </w:r>
    </w:p>
    <w:p w14:paraId="68917ABC" w14:textId="77777777" w:rsidR="00421154" w:rsidRPr="00DD5A7D" w:rsidRDefault="00421154" w:rsidP="00421154">
      <w:pPr>
        <w:jc w:val="both"/>
        <w:rPr>
          <w:rFonts w:ascii="Abadi" w:eastAsia="Batang" w:hAnsi="Abadi" w:cs="Arial"/>
          <w:b/>
          <w:sz w:val="21"/>
          <w:szCs w:val="21"/>
        </w:rPr>
      </w:pPr>
    </w:p>
    <w:p w14:paraId="301E5EE1" w14:textId="77777777" w:rsidR="00421154" w:rsidRPr="00DD5A7D" w:rsidRDefault="00421154" w:rsidP="00421154">
      <w:pPr>
        <w:jc w:val="both"/>
        <w:rPr>
          <w:rFonts w:ascii="Abadi" w:hAnsi="Abadi" w:cs="Arial"/>
          <w:sz w:val="21"/>
          <w:szCs w:val="21"/>
        </w:rPr>
      </w:pPr>
      <w:r w:rsidRPr="00DD5A7D">
        <w:rPr>
          <w:rFonts w:ascii="Abadi" w:eastAsia="Batang" w:hAnsi="Abadi" w:cs="Arial"/>
          <w:b/>
          <w:sz w:val="21"/>
          <w:szCs w:val="21"/>
        </w:rPr>
        <w:t>II.1.</w:t>
      </w:r>
      <w:r w:rsidRPr="00DD5A7D">
        <w:rPr>
          <w:rFonts w:ascii="Abadi" w:hAnsi="Abadi" w:cs="Arial"/>
          <w:sz w:val="21"/>
          <w:szCs w:val="21"/>
        </w:rPr>
        <w:t xml:space="preserve">  Derivado de esos ejercicios de consulta a diversas autoridades del poder ejecutivo, organismos autónomos, ayuntamientos y bajo el principio de parlamento abierto respondieron respecto a la primera propuesta: Poder Judicial del Estado; así como el ayuntamiento de León, Celaya.</w:t>
      </w:r>
    </w:p>
    <w:p w14:paraId="182ABCC0" w14:textId="77777777" w:rsidR="00421154" w:rsidRPr="00DD5A7D" w:rsidRDefault="00421154" w:rsidP="00421154">
      <w:pPr>
        <w:jc w:val="both"/>
        <w:rPr>
          <w:rFonts w:ascii="Abadi" w:hAnsi="Abadi" w:cs="Arial"/>
          <w:sz w:val="21"/>
          <w:szCs w:val="21"/>
        </w:rPr>
      </w:pPr>
    </w:p>
    <w:p w14:paraId="3A97D184" w14:textId="77777777" w:rsidR="00421154" w:rsidRPr="00DD5A7D" w:rsidRDefault="00421154" w:rsidP="00421154">
      <w:pPr>
        <w:jc w:val="both"/>
        <w:rPr>
          <w:rFonts w:ascii="Abadi" w:hAnsi="Abadi" w:cs="Arial"/>
          <w:sz w:val="21"/>
          <w:szCs w:val="21"/>
        </w:rPr>
      </w:pPr>
      <w:r w:rsidRPr="00DD5A7D">
        <w:rPr>
          <w:rFonts w:ascii="Abadi" w:hAnsi="Abadi" w:cs="Arial"/>
          <w:sz w:val="21"/>
          <w:szCs w:val="21"/>
        </w:rPr>
        <w:t>De igual forma, se pronunciaron los ayuntamientos de San Diego de la Unión, Coroneo, Doctor Mora, Juventino Rosas y Abasolo.</w:t>
      </w:r>
    </w:p>
    <w:p w14:paraId="6D4D7E88" w14:textId="77777777" w:rsidR="00421154" w:rsidRPr="00DD5A7D" w:rsidRDefault="00421154" w:rsidP="00421154">
      <w:pPr>
        <w:jc w:val="both"/>
        <w:rPr>
          <w:rFonts w:ascii="Abadi" w:hAnsi="Abadi" w:cs="Arial"/>
          <w:sz w:val="21"/>
          <w:szCs w:val="21"/>
        </w:rPr>
      </w:pPr>
    </w:p>
    <w:p w14:paraId="50FC0F7B" w14:textId="77777777" w:rsidR="00421154" w:rsidRPr="00DD5A7D" w:rsidRDefault="00421154" w:rsidP="00421154">
      <w:pPr>
        <w:jc w:val="both"/>
        <w:rPr>
          <w:rFonts w:ascii="Abadi" w:hAnsi="Abadi" w:cs="Arial"/>
          <w:sz w:val="21"/>
          <w:szCs w:val="21"/>
        </w:rPr>
      </w:pPr>
      <w:r w:rsidRPr="00DD5A7D">
        <w:rPr>
          <w:rFonts w:ascii="Abadi" w:hAnsi="Abadi" w:cs="Arial"/>
          <w:sz w:val="21"/>
          <w:szCs w:val="21"/>
        </w:rPr>
        <w:t>Durante el desahogo de la metodología se pronunció la Coordinación General Jurídica de Gobierno del Estado.</w:t>
      </w:r>
    </w:p>
    <w:p w14:paraId="70EAC70F" w14:textId="77777777" w:rsidR="00421154" w:rsidRPr="00DD5A7D" w:rsidRDefault="00421154" w:rsidP="00421154">
      <w:pPr>
        <w:jc w:val="both"/>
        <w:rPr>
          <w:rFonts w:ascii="Abadi" w:hAnsi="Abadi" w:cs="Arial"/>
          <w:sz w:val="21"/>
          <w:szCs w:val="21"/>
        </w:rPr>
      </w:pPr>
    </w:p>
    <w:p w14:paraId="79E3816F" w14:textId="77777777" w:rsidR="00421154" w:rsidRPr="00DD5A7D" w:rsidRDefault="00421154" w:rsidP="00421154">
      <w:pPr>
        <w:ind w:firstLine="708"/>
        <w:jc w:val="both"/>
        <w:rPr>
          <w:rFonts w:ascii="Abadi" w:hAnsi="Abadi" w:cs="Arial"/>
          <w:sz w:val="21"/>
          <w:szCs w:val="21"/>
        </w:rPr>
      </w:pPr>
      <w:r w:rsidRPr="00DD5A7D">
        <w:rPr>
          <w:rFonts w:ascii="Abadi" w:hAnsi="Abadi" w:cs="Arial"/>
          <w:sz w:val="21"/>
          <w:szCs w:val="21"/>
        </w:rPr>
        <w:t xml:space="preserve">El Poder Judicial del Estado de Guanajuato manifestó que: </w:t>
      </w:r>
    </w:p>
    <w:p w14:paraId="27E96A40" w14:textId="77777777" w:rsidR="00421154" w:rsidRPr="00DD5A7D" w:rsidRDefault="00421154" w:rsidP="00421154">
      <w:pPr>
        <w:ind w:firstLine="708"/>
        <w:jc w:val="both"/>
        <w:rPr>
          <w:rFonts w:ascii="Abadi" w:hAnsi="Abadi" w:cs="Arial"/>
          <w:sz w:val="21"/>
          <w:szCs w:val="21"/>
        </w:rPr>
      </w:pPr>
    </w:p>
    <w:p w14:paraId="409DD485" w14:textId="77777777" w:rsidR="00421154" w:rsidRPr="00DD5A7D" w:rsidRDefault="00421154" w:rsidP="00421154">
      <w:pPr>
        <w:ind w:left="1134" w:right="1065"/>
        <w:jc w:val="both"/>
        <w:rPr>
          <w:rFonts w:ascii="Abadi" w:hAnsi="Abadi" w:cs="Arial"/>
          <w:i/>
          <w:iCs/>
          <w:sz w:val="21"/>
          <w:szCs w:val="21"/>
        </w:rPr>
      </w:pPr>
      <w:r w:rsidRPr="00DD5A7D">
        <w:rPr>
          <w:rFonts w:ascii="Abadi" w:hAnsi="Abadi" w:cs="Arial"/>
          <w:i/>
          <w:iCs/>
          <w:sz w:val="21"/>
          <w:szCs w:val="21"/>
        </w:rPr>
        <w:t xml:space="preserve">(…) la Organización de las Naciones Unidas para la Educación, la Ciencia y la Cultura (UNESCO), señala que las </w:t>
      </w:r>
      <w:r w:rsidRPr="00DD5A7D">
        <w:rPr>
          <w:rFonts w:ascii="Abadi" w:hAnsi="Abadi" w:cs="Arial"/>
          <w:i/>
          <w:iCs/>
          <w:sz w:val="21"/>
          <w:szCs w:val="21"/>
        </w:rPr>
        <w:t>sociedades del conocimiento "deben apoyarse en cuatro pilares: la libertad de expresión, el acceso universal a la información y al conocimiento, el respeto a la diversidad cultural y lingüística, y una educación de calidad para todos" (UNESCO, 2021, pág. 1). En consecuencia -señala Alberto Enríquez Carlos Sáenz, en su Libro Gobierno digital Pieza clave para la consolidación de Estados democráticos en los países del SICA, página 13- Y "en relación con la construcción y consolidación de Estados democráticos, la ruta debe pasar por dar el salto a gobiernos que sean digitales, abiertos e inteligentes".</w:t>
      </w:r>
    </w:p>
    <w:p w14:paraId="01EEBFCC" w14:textId="77777777" w:rsidR="00421154" w:rsidRPr="00DD5A7D" w:rsidRDefault="00421154" w:rsidP="00421154">
      <w:pPr>
        <w:ind w:left="1134" w:right="1065"/>
        <w:jc w:val="both"/>
        <w:rPr>
          <w:rFonts w:ascii="Abadi" w:hAnsi="Abadi" w:cs="Arial"/>
          <w:i/>
          <w:iCs/>
          <w:sz w:val="21"/>
          <w:szCs w:val="21"/>
        </w:rPr>
      </w:pPr>
    </w:p>
    <w:p w14:paraId="3F40A18B" w14:textId="77777777" w:rsidR="00421154" w:rsidRPr="00DD5A7D" w:rsidRDefault="00421154" w:rsidP="00421154">
      <w:pPr>
        <w:ind w:left="1134" w:right="1065"/>
        <w:jc w:val="both"/>
        <w:rPr>
          <w:rFonts w:ascii="Abadi" w:hAnsi="Abadi" w:cs="Arial"/>
          <w:i/>
          <w:iCs/>
          <w:sz w:val="21"/>
          <w:szCs w:val="21"/>
        </w:rPr>
      </w:pPr>
      <w:r w:rsidRPr="00DD5A7D">
        <w:rPr>
          <w:rFonts w:ascii="Abadi" w:hAnsi="Abadi" w:cs="Arial"/>
          <w:i/>
          <w:iCs/>
          <w:sz w:val="21"/>
          <w:szCs w:val="21"/>
        </w:rPr>
        <w:t>Actualmente, los conceptos de gobierno abierto, gobierno digital y gobierno inteligente y su interrelación se encuentran en pleno proceso de debate y construcción, no solo en América Latina y el Caribe, sino en todo el mundo.</w:t>
      </w:r>
    </w:p>
    <w:p w14:paraId="2D822053" w14:textId="77777777" w:rsidR="00421154" w:rsidRPr="00DD5A7D" w:rsidRDefault="00421154" w:rsidP="00421154">
      <w:pPr>
        <w:ind w:left="1134" w:right="1065"/>
        <w:jc w:val="both"/>
        <w:rPr>
          <w:rFonts w:ascii="Abadi" w:hAnsi="Abadi" w:cs="Arial"/>
          <w:i/>
          <w:iCs/>
          <w:sz w:val="21"/>
          <w:szCs w:val="21"/>
        </w:rPr>
      </w:pPr>
    </w:p>
    <w:p w14:paraId="741EDDED" w14:textId="77777777" w:rsidR="00421154" w:rsidRPr="00DD5A7D" w:rsidRDefault="00421154" w:rsidP="00421154">
      <w:pPr>
        <w:ind w:left="1134" w:right="1065"/>
        <w:jc w:val="both"/>
        <w:rPr>
          <w:rFonts w:ascii="Abadi" w:hAnsi="Abadi" w:cs="Arial"/>
          <w:i/>
          <w:iCs/>
          <w:sz w:val="21"/>
          <w:szCs w:val="21"/>
        </w:rPr>
      </w:pPr>
      <w:r w:rsidRPr="00DD5A7D">
        <w:rPr>
          <w:rFonts w:ascii="Abadi" w:hAnsi="Abadi" w:cs="Arial"/>
          <w:i/>
          <w:iCs/>
          <w:sz w:val="21"/>
          <w:szCs w:val="21"/>
        </w:rPr>
        <w:t xml:space="preserve">El gobierno abierto tiene como objetivos principales: i) mejorar los niveles de transparencia y acceso a la información mediante la apertura de datos públicos (para ejercer control social sobre los gobiernos y demandar rendición de cuentas) y la reutilización de la información del sector </w:t>
      </w:r>
      <w:r w:rsidRPr="00DD5A7D">
        <w:rPr>
          <w:rFonts w:ascii="Abadi" w:hAnsi="Abadi" w:cs="Arial"/>
          <w:i/>
          <w:iCs/>
          <w:sz w:val="21"/>
          <w:szCs w:val="21"/>
        </w:rPr>
        <w:lastRenderedPageBreak/>
        <w:t>público (para promover la innovación y el desarrollo económico); ii) facilitar la participación de la ciudadanía en el diseño e implementación de las políticas públicas (e incidir en la toma de decisiones); y iii) favorecer la generación de espacios de colaboración e innovación entre los diversos actores, particularmente entre las administraciones públicas, la sociedad civil y el sector privado, para codiseñar o coproducir valor público, social y cívico (Ramírez-Alujas y Güemes, 2012).</w:t>
      </w:r>
    </w:p>
    <w:p w14:paraId="5F34BBC4" w14:textId="77777777" w:rsidR="00421154" w:rsidRPr="00DD5A7D" w:rsidRDefault="00421154" w:rsidP="00421154">
      <w:pPr>
        <w:ind w:left="1134" w:right="1065"/>
        <w:jc w:val="both"/>
        <w:rPr>
          <w:rFonts w:ascii="Abadi" w:hAnsi="Abadi" w:cs="Arial"/>
          <w:i/>
          <w:iCs/>
          <w:sz w:val="21"/>
          <w:szCs w:val="21"/>
        </w:rPr>
      </w:pPr>
    </w:p>
    <w:p w14:paraId="051432FC" w14:textId="77777777" w:rsidR="00421154" w:rsidRPr="00DD5A7D" w:rsidRDefault="00421154" w:rsidP="00421154">
      <w:pPr>
        <w:ind w:left="1134" w:right="1065"/>
        <w:jc w:val="both"/>
        <w:rPr>
          <w:rFonts w:ascii="Abadi" w:hAnsi="Abadi" w:cs="Arial"/>
          <w:i/>
          <w:iCs/>
          <w:sz w:val="21"/>
          <w:szCs w:val="21"/>
        </w:rPr>
      </w:pPr>
      <w:r w:rsidRPr="00DD5A7D">
        <w:rPr>
          <w:rFonts w:ascii="Abadi" w:hAnsi="Abadi" w:cs="Arial"/>
          <w:i/>
          <w:iCs/>
          <w:sz w:val="21"/>
          <w:szCs w:val="21"/>
        </w:rPr>
        <w:t>El paradigma de gobierno abierto constituye en eje fundamental para cumplir con los Objetivos de la Agenda 2030 para el Desarrollo Sostenible, cuyo objetivo consiste en configurar un nuevo marco de gobernanza pública y una renovada arquitectura estatal que permitan promover sociedades pacíficas e inclusivas para el desarrollo sostenible, facilitar el acceso a la justicia para todos y construir a todos los niveles instituciones eficaces, responsables e inclusivas que rindan cuentas (Naser, Ramírez-Alujas y Rosales, eds., 2017).</w:t>
      </w:r>
    </w:p>
    <w:p w14:paraId="72F4ACC9" w14:textId="77777777" w:rsidR="00421154" w:rsidRPr="00DD5A7D" w:rsidRDefault="00421154" w:rsidP="00421154">
      <w:pPr>
        <w:ind w:left="1134" w:right="1065"/>
        <w:jc w:val="both"/>
        <w:rPr>
          <w:rFonts w:ascii="Abadi" w:hAnsi="Abadi" w:cs="Arial"/>
          <w:i/>
          <w:iCs/>
          <w:sz w:val="21"/>
          <w:szCs w:val="21"/>
        </w:rPr>
      </w:pPr>
    </w:p>
    <w:p w14:paraId="2F95808C" w14:textId="77777777" w:rsidR="00421154" w:rsidRPr="00DD5A7D" w:rsidRDefault="00421154" w:rsidP="00421154">
      <w:pPr>
        <w:ind w:left="1134" w:right="1065"/>
        <w:jc w:val="both"/>
        <w:rPr>
          <w:rFonts w:ascii="Abadi" w:hAnsi="Abadi" w:cs="Arial"/>
          <w:i/>
          <w:iCs/>
          <w:sz w:val="21"/>
          <w:szCs w:val="21"/>
        </w:rPr>
      </w:pPr>
      <w:r w:rsidRPr="00DD5A7D">
        <w:rPr>
          <w:rFonts w:ascii="Abadi" w:hAnsi="Abadi" w:cs="Arial"/>
          <w:i/>
          <w:iCs/>
          <w:sz w:val="21"/>
          <w:szCs w:val="21"/>
        </w:rPr>
        <w:t xml:space="preserve">Ahora bien, en esta era de la cuarta revolución industrial en la que internet como </w:t>
      </w:r>
      <w:r w:rsidRPr="00DD5A7D">
        <w:rPr>
          <w:rFonts w:ascii="Abadi" w:hAnsi="Abadi" w:cs="Arial"/>
          <w:i/>
          <w:iCs/>
          <w:sz w:val="21"/>
          <w:szCs w:val="21"/>
        </w:rPr>
        <w:t>herramienta tecnológica, cultural y económica ha transformado casi todas las prácticas humanas y ha impactado en las formas de comunicación, organización y accionar de la ciudadanía, el gobierno abierto no puede alcanzar sus objetivos sin un pleno uso de las TIC. Por eso, desde el principio se estableció una relación directa con el gobierno electrónico, entendido este como aquel gobierno al que concierne "la utilización de las TIC, y en particular internet, como una herramienta para lograr una mejor gobernanza" (OCDE/BID, 2016, pág. 391}.</w:t>
      </w:r>
    </w:p>
    <w:p w14:paraId="1571597F" w14:textId="77777777" w:rsidR="00421154" w:rsidRPr="00DD5A7D" w:rsidRDefault="00421154" w:rsidP="00421154">
      <w:pPr>
        <w:ind w:left="1134" w:right="1065"/>
        <w:jc w:val="both"/>
        <w:rPr>
          <w:rFonts w:ascii="Abadi" w:hAnsi="Abadi" w:cs="Arial"/>
          <w:i/>
          <w:iCs/>
          <w:sz w:val="21"/>
          <w:szCs w:val="21"/>
        </w:rPr>
      </w:pPr>
    </w:p>
    <w:p w14:paraId="3883206C" w14:textId="77777777" w:rsidR="00421154" w:rsidRPr="00DD5A7D" w:rsidRDefault="00421154" w:rsidP="00421154">
      <w:pPr>
        <w:ind w:left="1134" w:right="1065"/>
        <w:jc w:val="both"/>
        <w:rPr>
          <w:rFonts w:ascii="Abadi" w:hAnsi="Abadi" w:cs="Arial"/>
          <w:i/>
          <w:iCs/>
          <w:sz w:val="21"/>
          <w:szCs w:val="21"/>
        </w:rPr>
      </w:pPr>
      <w:r w:rsidRPr="00DD5A7D">
        <w:rPr>
          <w:rFonts w:ascii="Abadi" w:hAnsi="Abadi" w:cs="Arial"/>
          <w:i/>
          <w:iCs/>
          <w:sz w:val="21"/>
          <w:szCs w:val="21"/>
        </w:rPr>
        <w:t>Continúa señalando la OCDE, que para el impulso del gobierno digital y de las transformaciones que implica, no solo en la administración pública sino en la economía y la sociedad, es indispensable un adecuado marco normativo.</w:t>
      </w:r>
    </w:p>
    <w:p w14:paraId="197FAD6C" w14:textId="77777777" w:rsidR="00421154" w:rsidRPr="00DD5A7D" w:rsidRDefault="00421154" w:rsidP="00421154">
      <w:pPr>
        <w:ind w:left="1134" w:right="1065"/>
        <w:jc w:val="both"/>
        <w:rPr>
          <w:rFonts w:ascii="Abadi" w:hAnsi="Abadi" w:cs="Arial"/>
          <w:i/>
          <w:iCs/>
          <w:sz w:val="21"/>
          <w:szCs w:val="21"/>
        </w:rPr>
      </w:pPr>
    </w:p>
    <w:p w14:paraId="522CC813" w14:textId="77777777" w:rsidR="00421154" w:rsidRPr="00DD5A7D" w:rsidRDefault="00421154" w:rsidP="00421154">
      <w:pPr>
        <w:ind w:left="1134" w:right="1065"/>
        <w:jc w:val="both"/>
        <w:rPr>
          <w:rFonts w:ascii="Abadi" w:hAnsi="Abadi" w:cs="Arial"/>
          <w:i/>
          <w:iCs/>
          <w:sz w:val="21"/>
          <w:szCs w:val="21"/>
        </w:rPr>
      </w:pPr>
      <w:r w:rsidRPr="00DD5A7D">
        <w:rPr>
          <w:rFonts w:ascii="Abadi" w:hAnsi="Abadi" w:cs="Arial"/>
          <w:i/>
          <w:iCs/>
          <w:sz w:val="21"/>
          <w:szCs w:val="21"/>
        </w:rPr>
        <w:t xml:space="preserve">"para aprovechar las oportunidades y hacer frente a los desafíos de la transformación digital en las economías, en las sociedades y en los gobiernos, el marco jurídico y reglamentario debe responder positivamente al ritmo del rápido cambio tecnológico. Este requisito es particularmente relevante en el contexto del sector público, donde las acciones y </w:t>
      </w:r>
      <w:r w:rsidRPr="00DD5A7D">
        <w:rPr>
          <w:rFonts w:ascii="Abadi" w:hAnsi="Abadi" w:cs="Arial"/>
          <w:i/>
          <w:iCs/>
          <w:sz w:val="21"/>
          <w:szCs w:val="21"/>
        </w:rPr>
        <w:lastRenderedPageBreak/>
        <w:t>actividades tienden a estar enmarcadas por leyes y reglamentos" {OCDE, 2019a, pág. 11).</w:t>
      </w:r>
    </w:p>
    <w:p w14:paraId="1B045174" w14:textId="77777777" w:rsidR="00421154" w:rsidRPr="00DD5A7D" w:rsidRDefault="00421154" w:rsidP="00421154">
      <w:pPr>
        <w:ind w:left="1134" w:right="1065"/>
        <w:jc w:val="both"/>
        <w:rPr>
          <w:rFonts w:ascii="Abadi" w:hAnsi="Abadi" w:cs="Arial"/>
          <w:i/>
          <w:iCs/>
          <w:sz w:val="21"/>
          <w:szCs w:val="21"/>
        </w:rPr>
      </w:pPr>
    </w:p>
    <w:p w14:paraId="0FB58CBC" w14:textId="77777777" w:rsidR="00421154" w:rsidRPr="00DD5A7D" w:rsidRDefault="00421154" w:rsidP="00421154">
      <w:pPr>
        <w:ind w:left="1134" w:right="1065"/>
        <w:jc w:val="both"/>
        <w:rPr>
          <w:rFonts w:ascii="Abadi" w:hAnsi="Abadi" w:cs="Arial"/>
          <w:i/>
          <w:iCs/>
          <w:sz w:val="21"/>
          <w:szCs w:val="21"/>
        </w:rPr>
      </w:pPr>
      <w:r w:rsidRPr="00DD5A7D">
        <w:rPr>
          <w:rFonts w:ascii="Abadi" w:hAnsi="Abadi" w:cs="Arial"/>
          <w:i/>
          <w:iCs/>
          <w:sz w:val="21"/>
          <w:szCs w:val="21"/>
        </w:rPr>
        <w:t>De ahí que se comparta, en principio, la intención de fortalecer nuestro marco normativo estatal incorporando un nuevo paradigma que como bien señala la OCDE, requiere del marco jurídico y reglamentario debe responder positivamente al ritmo del rápido cambio tecnológico.</w:t>
      </w:r>
    </w:p>
    <w:p w14:paraId="42E4C79D" w14:textId="77777777" w:rsidR="00421154" w:rsidRPr="00DD5A7D" w:rsidRDefault="00421154" w:rsidP="00421154">
      <w:pPr>
        <w:pStyle w:val="Textoindependiente"/>
        <w:spacing w:before="53"/>
        <w:ind w:left="1717" w:right="177" w:hanging="200"/>
        <w:rPr>
          <w:rFonts w:ascii="Abadi" w:hAnsi="Abadi"/>
          <w:sz w:val="21"/>
          <w:szCs w:val="21"/>
          <w:lang w:val="es-MX"/>
        </w:rPr>
      </w:pPr>
    </w:p>
    <w:p w14:paraId="5DCA982B" w14:textId="77777777" w:rsidR="00421154" w:rsidRPr="00DD5A7D" w:rsidRDefault="00421154" w:rsidP="00421154">
      <w:pPr>
        <w:ind w:left="1134" w:right="1065"/>
        <w:jc w:val="both"/>
        <w:rPr>
          <w:rFonts w:ascii="Abadi" w:hAnsi="Abadi" w:cs="Arial"/>
          <w:i/>
          <w:iCs/>
          <w:sz w:val="21"/>
          <w:szCs w:val="21"/>
        </w:rPr>
      </w:pPr>
      <w:r w:rsidRPr="00DD5A7D">
        <w:rPr>
          <w:rFonts w:ascii="Abadi" w:hAnsi="Abadi" w:cs="Arial"/>
          <w:i/>
          <w:iCs/>
          <w:sz w:val="21"/>
          <w:szCs w:val="21"/>
        </w:rPr>
        <w:t>No se omite señalar que desde 2018, en Guanajuato cobro vigencia la reforma constitucional por la que se incorporó el concepto de gobierno abierto en nuestro sistema jurídico local, como un eje rector de la transparencia y rendición de cuentas en un estado democrático, y que hoy se busca fortalecer, mediante la incorporación del concepto de gobierno digital, que como se ha dicho supralíneas permite que a través de las Tecnologías de la Información y Comunicación, en particular internet, contemplar la incorporación de herramientas para lograr una mejor gobernanza.</w:t>
      </w:r>
    </w:p>
    <w:p w14:paraId="403C840F" w14:textId="77777777" w:rsidR="00421154" w:rsidRPr="00DD5A7D" w:rsidRDefault="00421154" w:rsidP="00421154">
      <w:pPr>
        <w:pStyle w:val="Textoindependiente"/>
        <w:spacing w:line="276" w:lineRule="auto"/>
        <w:rPr>
          <w:rFonts w:ascii="Abadi" w:eastAsia="Batang" w:hAnsi="Abadi"/>
          <w:b w:val="0"/>
          <w:sz w:val="21"/>
          <w:szCs w:val="21"/>
          <w:lang w:val="es-MX"/>
        </w:rPr>
      </w:pPr>
    </w:p>
    <w:p w14:paraId="6CA31681" w14:textId="77777777" w:rsidR="00421154" w:rsidRPr="00DD5A7D" w:rsidRDefault="00421154" w:rsidP="00421154">
      <w:pPr>
        <w:pStyle w:val="paragraph"/>
        <w:spacing w:before="0" w:beforeAutospacing="0" w:after="0" w:afterAutospacing="0"/>
        <w:ind w:right="1038" w:firstLine="708"/>
        <w:jc w:val="both"/>
        <w:textAlignment w:val="baseline"/>
        <w:rPr>
          <w:rFonts w:ascii="Abadi" w:hAnsi="Abadi" w:cs="Arial"/>
          <w:sz w:val="21"/>
          <w:szCs w:val="21"/>
          <w:lang w:eastAsia="en-US"/>
        </w:rPr>
      </w:pPr>
      <w:r w:rsidRPr="00DD5A7D">
        <w:rPr>
          <w:rFonts w:ascii="Abadi" w:hAnsi="Abadi" w:cs="Arial"/>
          <w:sz w:val="21"/>
          <w:szCs w:val="21"/>
          <w:lang w:eastAsia="en-US"/>
        </w:rPr>
        <w:t xml:space="preserve">El ayuntamiento de León, Guanajuato manifestó que: </w:t>
      </w:r>
    </w:p>
    <w:p w14:paraId="47A331A6"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sz w:val="21"/>
          <w:szCs w:val="21"/>
          <w:lang w:eastAsia="en-US"/>
        </w:rPr>
      </w:pPr>
    </w:p>
    <w:p w14:paraId="5AB47E9A"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r w:rsidRPr="00DD5A7D">
        <w:rPr>
          <w:rFonts w:ascii="Abadi" w:hAnsi="Abadi" w:cs="Arial"/>
          <w:sz w:val="21"/>
          <w:szCs w:val="21"/>
          <w:lang w:eastAsia="en-US"/>
        </w:rPr>
        <w:t xml:space="preserve">(…) </w:t>
      </w:r>
      <w:r w:rsidRPr="00DD5A7D">
        <w:rPr>
          <w:rFonts w:ascii="Abadi" w:hAnsi="Abadi" w:cs="Arial"/>
          <w:i/>
          <w:iCs/>
          <w:sz w:val="21"/>
          <w:szCs w:val="21"/>
          <w:lang w:eastAsia="en-US"/>
        </w:rPr>
        <w:t xml:space="preserve">refrenda su compromiso para contribuir a la reducción de la brecha digital, consideramos que, </w:t>
      </w:r>
      <w:r w:rsidRPr="00DD5A7D">
        <w:rPr>
          <w:rFonts w:ascii="Abadi" w:hAnsi="Abadi" w:cs="Arial"/>
          <w:i/>
          <w:iCs/>
          <w:sz w:val="21"/>
          <w:szCs w:val="21"/>
          <w:lang w:eastAsia="en-US"/>
        </w:rPr>
        <w:t>mediante el uso de las Tecnologías de la Información y la Comunicación, consolidaremos la mejora regulatoria en la administración pública municipal, mediante una oferta mayor de trámites digitales y simplificados, para la atención de ciudadanos.</w:t>
      </w:r>
    </w:p>
    <w:p w14:paraId="5969B6DB"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p>
    <w:p w14:paraId="4798D264"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r w:rsidRPr="00DD5A7D">
        <w:rPr>
          <w:rFonts w:ascii="Abadi" w:hAnsi="Abadi" w:cs="Arial"/>
          <w:i/>
          <w:iCs/>
          <w:sz w:val="21"/>
          <w:szCs w:val="21"/>
          <w:lang w:eastAsia="en-US"/>
        </w:rPr>
        <w:t>Debemos hacer referencia que el "Plan Municipal de Desarrollo, León hacia el futuro. Visión al 2045", establece como una de sus piedras angulares la de "Nuevo Modelo de Gobernanza" la cual cuenta con el pilar "Tecnología y conectividad digital" que tiene como mayor eficiencia de servicios públicos."</w:t>
      </w:r>
    </w:p>
    <w:p w14:paraId="4CCC1035"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p>
    <w:p w14:paraId="4B969ED7"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r w:rsidRPr="00DD5A7D">
        <w:rPr>
          <w:rFonts w:ascii="Abadi" w:hAnsi="Abadi" w:cs="Arial"/>
          <w:i/>
          <w:iCs/>
          <w:sz w:val="21"/>
          <w:szCs w:val="21"/>
          <w:lang w:eastAsia="en-US"/>
        </w:rPr>
        <w:t>Asimismo, el "Programa de Gobierno del Estado de Guanajuato 2018-2024" en el eje "Desarrollo ordenado y sostenible" estipula como objetivo 5.2.3 "Detonar la cobertura e inclusión digital en Guanajuato".</w:t>
      </w:r>
    </w:p>
    <w:p w14:paraId="6C5872EC"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p>
    <w:p w14:paraId="183DB941"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r w:rsidRPr="00DD5A7D">
        <w:rPr>
          <w:rFonts w:ascii="Abadi" w:hAnsi="Abadi" w:cs="Arial"/>
          <w:i/>
          <w:iCs/>
          <w:sz w:val="21"/>
          <w:szCs w:val="21"/>
          <w:lang w:eastAsia="en-US"/>
        </w:rPr>
        <w:t xml:space="preserve">Con base en lo anterior, buscamos no solo coadyuvar en el logro de los objetivos señalados en el "Plan Municipal de Desarrollo, León hacia el futuro, Visión al 2045" y con estipulado en el "Programa de Gobierno del Estado de Guanajuato 2018-2024", pues somos conscientes de la gran importancia que es incorporar el Gobierno Digital por medio del </w:t>
      </w:r>
      <w:r w:rsidRPr="00DD5A7D">
        <w:rPr>
          <w:rFonts w:ascii="Abadi" w:hAnsi="Abadi" w:cs="Arial"/>
          <w:i/>
          <w:iCs/>
          <w:sz w:val="21"/>
          <w:szCs w:val="21"/>
          <w:lang w:eastAsia="en-US"/>
        </w:rPr>
        <w:lastRenderedPageBreak/>
        <w:t>uso de las Tecnologías de la Información y Comunicación a los trámites y servicios gubernamentales, para procurar que aquellos que tengan mayor demanda sean accesibles para la población a través de la plataforma que desarrollen para su gestión.</w:t>
      </w:r>
    </w:p>
    <w:p w14:paraId="12F8AD49"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p>
    <w:p w14:paraId="691C859C"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r w:rsidRPr="00DD5A7D">
        <w:rPr>
          <w:rFonts w:ascii="Abadi" w:hAnsi="Abadi" w:cs="Arial"/>
          <w:i/>
          <w:iCs/>
          <w:sz w:val="21"/>
          <w:szCs w:val="21"/>
          <w:lang w:eastAsia="en-US"/>
        </w:rPr>
        <w:t>Reafirmamos y estamos convencidos que con esta propuesta, se logrará que los Ayuntamientos lograrán un mayor acercamiento con la ciudadanía por medio de los trámites y servicios brindados a través del uso de tecnologías de la información y comunicación.</w:t>
      </w:r>
    </w:p>
    <w:p w14:paraId="063EA571" w14:textId="77777777" w:rsidR="00421154" w:rsidRPr="00DD5A7D" w:rsidRDefault="00421154" w:rsidP="00421154">
      <w:pPr>
        <w:pStyle w:val="Estilo"/>
        <w:rPr>
          <w:rFonts w:ascii="Abadi" w:hAnsi="Abadi"/>
          <w:sz w:val="21"/>
          <w:szCs w:val="21"/>
        </w:rPr>
      </w:pPr>
    </w:p>
    <w:p w14:paraId="2C5D8584" w14:textId="77777777" w:rsidR="00421154" w:rsidRPr="00DD5A7D" w:rsidRDefault="00421154" w:rsidP="00421154">
      <w:pPr>
        <w:pStyle w:val="paragraph"/>
        <w:spacing w:before="0" w:beforeAutospacing="0" w:after="0" w:afterAutospacing="0"/>
        <w:ind w:right="1038" w:firstLine="708"/>
        <w:jc w:val="both"/>
        <w:textAlignment w:val="baseline"/>
        <w:rPr>
          <w:rFonts w:ascii="Abadi" w:hAnsi="Abadi" w:cs="Arial"/>
          <w:sz w:val="21"/>
          <w:szCs w:val="21"/>
          <w:lang w:eastAsia="en-US"/>
        </w:rPr>
      </w:pPr>
      <w:r w:rsidRPr="00DD5A7D">
        <w:rPr>
          <w:rFonts w:ascii="Abadi" w:hAnsi="Abadi" w:cs="Arial"/>
          <w:sz w:val="21"/>
          <w:szCs w:val="21"/>
          <w:lang w:eastAsia="en-US"/>
        </w:rPr>
        <w:t xml:space="preserve">El ayuntamiento de Celaya manifestó que: </w:t>
      </w:r>
    </w:p>
    <w:p w14:paraId="1AD7EBE7"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sz w:val="21"/>
          <w:szCs w:val="21"/>
          <w:lang w:eastAsia="en-US"/>
        </w:rPr>
      </w:pPr>
    </w:p>
    <w:p w14:paraId="6881B350"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r w:rsidRPr="00DD5A7D">
        <w:rPr>
          <w:rFonts w:ascii="Abadi" w:hAnsi="Abadi" w:cs="Arial"/>
          <w:i/>
          <w:iCs/>
          <w:sz w:val="21"/>
          <w:szCs w:val="21"/>
          <w:lang w:eastAsia="en-US"/>
        </w:rPr>
        <w:t>(…) procurar que, una vez definidos los ejes del Gobierno Digital los ayuntamientos cuenten con las facultades para implementar el Gobierno Digital en trámites gubernamentales por medio de las TIC (Tecnologías de la Información y la Comunicación).</w:t>
      </w:r>
    </w:p>
    <w:p w14:paraId="52C8FF52"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p>
    <w:p w14:paraId="03F7BEEA" w14:textId="77777777" w:rsidR="00421154" w:rsidRPr="00DD5A7D" w:rsidRDefault="00421154" w:rsidP="00421154">
      <w:pPr>
        <w:jc w:val="both"/>
        <w:rPr>
          <w:rFonts w:ascii="Abadi" w:hAnsi="Abadi" w:cs="Arial"/>
          <w:sz w:val="21"/>
          <w:szCs w:val="21"/>
        </w:rPr>
      </w:pPr>
      <w:r w:rsidRPr="00DD5A7D">
        <w:rPr>
          <w:rFonts w:ascii="Abadi" w:eastAsia="Batang" w:hAnsi="Abadi" w:cs="Arial"/>
          <w:b/>
          <w:sz w:val="21"/>
          <w:szCs w:val="21"/>
        </w:rPr>
        <w:t>II.2.</w:t>
      </w:r>
      <w:r w:rsidRPr="00DD5A7D">
        <w:rPr>
          <w:rFonts w:ascii="Abadi" w:hAnsi="Abadi" w:cs="Arial"/>
          <w:sz w:val="21"/>
          <w:szCs w:val="21"/>
        </w:rPr>
        <w:t xml:space="preserve">  Respecto a la segunda propuesta respondieron: la Universidad de Guanajuato, la Procuraduría de los Derechos Humanos del Estado y el Poder Judicial del Estado.</w:t>
      </w:r>
    </w:p>
    <w:p w14:paraId="5263CD7B" w14:textId="77777777" w:rsidR="00421154" w:rsidRPr="00DD5A7D" w:rsidRDefault="00421154" w:rsidP="00421154">
      <w:pPr>
        <w:jc w:val="both"/>
        <w:rPr>
          <w:rFonts w:ascii="Abadi" w:hAnsi="Abadi" w:cs="Arial"/>
          <w:sz w:val="21"/>
          <w:szCs w:val="21"/>
        </w:rPr>
      </w:pPr>
    </w:p>
    <w:p w14:paraId="59CEC38B" w14:textId="77777777" w:rsidR="00421154" w:rsidRPr="00DD5A7D" w:rsidRDefault="00421154" w:rsidP="00421154">
      <w:pPr>
        <w:pStyle w:val="Textoindependiente"/>
        <w:rPr>
          <w:rFonts w:ascii="Abadi" w:hAnsi="Abadi"/>
          <w:sz w:val="21"/>
          <w:szCs w:val="21"/>
        </w:rPr>
      </w:pPr>
      <w:r w:rsidRPr="00DD5A7D">
        <w:rPr>
          <w:rFonts w:ascii="Abadi" w:hAnsi="Abadi"/>
          <w:sz w:val="21"/>
          <w:szCs w:val="21"/>
        </w:rPr>
        <w:tab/>
      </w:r>
      <w:r w:rsidRPr="00DD5A7D">
        <w:rPr>
          <w:rFonts w:ascii="Abadi" w:hAnsi="Abadi"/>
          <w:sz w:val="21"/>
          <w:szCs w:val="21"/>
          <w:lang w:val="es-MX" w:eastAsia="en-US"/>
        </w:rPr>
        <w:t>La Universidad de Guanajuato manifestó que:</w:t>
      </w:r>
      <w:r w:rsidRPr="00DD5A7D">
        <w:rPr>
          <w:rFonts w:ascii="Abadi" w:hAnsi="Abadi"/>
          <w:sz w:val="21"/>
          <w:szCs w:val="21"/>
        </w:rPr>
        <w:t xml:space="preserve"> </w:t>
      </w:r>
    </w:p>
    <w:p w14:paraId="6C309FDB" w14:textId="77777777" w:rsidR="00421154" w:rsidRPr="00DD5A7D" w:rsidRDefault="00421154" w:rsidP="00421154">
      <w:pPr>
        <w:pStyle w:val="Textoindependiente"/>
        <w:rPr>
          <w:rFonts w:ascii="Abadi" w:hAnsi="Abadi"/>
          <w:sz w:val="21"/>
          <w:szCs w:val="21"/>
        </w:rPr>
      </w:pPr>
    </w:p>
    <w:p w14:paraId="20719823"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r w:rsidRPr="00DD5A7D">
        <w:rPr>
          <w:rFonts w:ascii="Abadi" w:hAnsi="Abadi" w:cs="Arial"/>
          <w:i/>
          <w:iCs/>
          <w:sz w:val="21"/>
          <w:szCs w:val="21"/>
          <w:lang w:eastAsia="en-US"/>
        </w:rPr>
        <w:t xml:space="preserve">(…) Con motivo de la reforma al artículo 60 de la Constitución Política de los Estados Unidos </w:t>
      </w:r>
      <w:r w:rsidRPr="00DD5A7D">
        <w:rPr>
          <w:rFonts w:ascii="Abadi" w:hAnsi="Abadi" w:cs="Arial"/>
          <w:i/>
          <w:iCs/>
          <w:sz w:val="21"/>
          <w:szCs w:val="21"/>
          <w:lang w:eastAsia="en-US"/>
        </w:rPr>
        <w:t>Mexicanos, de manera particular en su párrafo tercero se reconoció el derecho humano a la internet, como derecho subjetivo público que posibilita a toda persona acceder y conectarse a la red y que, al tratarse de un derecho fundamental que permite habilitar el acceso a otros derechos tanto civiles y políticos, como económicos, sociales y culturales, entonces corresponde al Estado, como principal garante, promover el acceso universal.</w:t>
      </w:r>
    </w:p>
    <w:p w14:paraId="40E628B1"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p>
    <w:p w14:paraId="58B3EE0F"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r w:rsidRPr="00DD5A7D">
        <w:rPr>
          <w:rFonts w:ascii="Abadi" w:hAnsi="Abadi" w:cs="Arial"/>
          <w:i/>
          <w:iCs/>
          <w:sz w:val="21"/>
          <w:szCs w:val="21"/>
          <w:lang w:eastAsia="en-US"/>
        </w:rPr>
        <w:t xml:space="preserve">Por las razones expuestas, coincidimos con la teleología de la iniciativa sujeta a opinión, pues lo que busca es asegurar el acceso efectivo al derecho a la internet para cualquier persona como una manifestación de igualdad y un medio que facilite el ejercicio de los derechos humanos a la libre expresión de ideas y acceso a la información, así como para el fortalecimiento del debate y pluralismo ideológico, entre otros. </w:t>
      </w:r>
    </w:p>
    <w:p w14:paraId="09C09489"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p>
    <w:p w14:paraId="3C0F1281"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r w:rsidRPr="00DD5A7D">
        <w:rPr>
          <w:rFonts w:ascii="Abadi" w:hAnsi="Abadi" w:cs="Arial"/>
          <w:i/>
          <w:iCs/>
          <w:sz w:val="21"/>
          <w:szCs w:val="21"/>
          <w:lang w:eastAsia="en-US"/>
        </w:rPr>
        <w:t xml:space="preserve">En virtud de ello, las acciones positivas que garantizan el acceso universal y progresivo del derecho humano al internet se traducen en la necesaria intervención por parte del Estado -federación y entidades federativas, que haga posible su cumplimiento material. Al respecto, resulta ilustrativa la Declaración Conjunta sobre Libertad de Expresión e Internet </w:t>
      </w:r>
      <w:r w:rsidRPr="00DD5A7D">
        <w:rPr>
          <w:rFonts w:ascii="Abadi" w:hAnsi="Abadi" w:cs="Arial"/>
          <w:i/>
          <w:iCs/>
          <w:sz w:val="21"/>
          <w:szCs w:val="21"/>
          <w:lang w:eastAsia="en-US"/>
        </w:rPr>
        <w:lastRenderedPageBreak/>
        <w:t>emitida por la Organización de los Estados Americanos, de manera particular en el punto 6 relativo al Acceso al Internet, incisos a, e y f, en los que se desarrollan acciones en concreto por parte de los Estados para asegurar el ejercicio pleno a este derecho.</w:t>
      </w:r>
    </w:p>
    <w:p w14:paraId="2945A453"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p>
    <w:p w14:paraId="6FBDC63D" w14:textId="77777777" w:rsidR="00421154" w:rsidRPr="00DD5A7D" w:rsidRDefault="00421154" w:rsidP="00421154">
      <w:pPr>
        <w:pStyle w:val="Estilo"/>
        <w:rPr>
          <w:rFonts w:ascii="Abadi" w:hAnsi="Abadi"/>
          <w:sz w:val="21"/>
          <w:szCs w:val="21"/>
          <w:lang w:eastAsia="en-US"/>
        </w:rPr>
      </w:pPr>
      <w:r w:rsidRPr="00DD5A7D">
        <w:rPr>
          <w:rFonts w:ascii="Abadi" w:hAnsi="Abadi"/>
          <w:sz w:val="21"/>
          <w:szCs w:val="21"/>
          <w:lang w:eastAsia="en-US"/>
        </w:rPr>
        <w:t xml:space="preserve">La Procuraduría de los Derechos Humanos del Estado manifestó que: </w:t>
      </w:r>
    </w:p>
    <w:p w14:paraId="5E6AF3F1" w14:textId="77777777" w:rsidR="00421154" w:rsidRPr="00DD5A7D" w:rsidRDefault="00421154" w:rsidP="00421154">
      <w:pPr>
        <w:pStyle w:val="Estilo"/>
        <w:rPr>
          <w:rFonts w:ascii="Abadi" w:hAnsi="Abadi"/>
          <w:sz w:val="21"/>
          <w:szCs w:val="21"/>
          <w:lang w:eastAsia="en-US"/>
        </w:rPr>
      </w:pPr>
    </w:p>
    <w:p w14:paraId="481D400A"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r w:rsidRPr="00DD5A7D">
        <w:rPr>
          <w:rFonts w:ascii="Abadi" w:hAnsi="Abadi" w:cs="Arial"/>
          <w:i/>
          <w:iCs/>
          <w:sz w:val="21"/>
          <w:szCs w:val="21"/>
          <w:lang w:eastAsia="en-US"/>
        </w:rPr>
        <w:t>(…) se advierte que en la exposición de motivos se transcriben los argumentos esgrimidos en el ensayo académico intitulado: El acceso a internet como derecho fundamental, elaborado por el doctor Haideer Miranda Bonilla, Coordinador de la Maestría en Derecho Comunitario y Derechos Humanos de la Facultad de Derecho de la Universidad de Costa Rica y Letrado de la Sala Constitucional de dicho país, quien a grandes rasgos expone los avances jurisprudenciales y legislativos en la materia, ocurridos en distintos lugares del mundo.</w:t>
      </w:r>
    </w:p>
    <w:p w14:paraId="252E9128"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p>
    <w:p w14:paraId="068376FD"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r w:rsidRPr="00DD5A7D">
        <w:rPr>
          <w:rFonts w:ascii="Abadi" w:hAnsi="Abadi" w:cs="Arial"/>
          <w:i/>
          <w:iCs/>
          <w:sz w:val="21"/>
          <w:szCs w:val="21"/>
          <w:lang w:eastAsia="en-US"/>
        </w:rPr>
        <w:t>Al respecto, debe mencionarse que existen básicamente dos grandes posturas respecto al tema.</w:t>
      </w:r>
    </w:p>
    <w:p w14:paraId="7C787803"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p>
    <w:p w14:paraId="34A0FC75"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r w:rsidRPr="00DD5A7D">
        <w:rPr>
          <w:rFonts w:ascii="Abadi" w:hAnsi="Abadi" w:cs="Arial"/>
          <w:i/>
          <w:iCs/>
          <w:sz w:val="21"/>
          <w:szCs w:val="21"/>
          <w:lang w:eastAsia="en-US"/>
        </w:rPr>
        <w:t xml:space="preserve">La que señala el acceso al internet como un derecho humano autónomo y la que considera que es una herramienta potencializadora que facilita el ejercicio de </w:t>
      </w:r>
      <w:r w:rsidRPr="00DD5A7D">
        <w:rPr>
          <w:rFonts w:ascii="Abadi" w:hAnsi="Abadi" w:cs="Arial"/>
          <w:i/>
          <w:iCs/>
          <w:sz w:val="21"/>
          <w:szCs w:val="21"/>
          <w:lang w:eastAsia="en-US"/>
        </w:rPr>
        <w:t>otros derechos, tales como el libre desarrollo de la personalidad, la libertad de expresión, el acceso a la información pública, los derechos políticos y participación ciudadana, el derecho al trabajo, el derecho a la educación, por mencionar solo algunos de ellos, pero que no se posiciona a favor de que sea un derecho humano.</w:t>
      </w:r>
    </w:p>
    <w:p w14:paraId="1F01E79A"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p>
    <w:p w14:paraId="271EC348"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Arial"/>
          <w:i/>
          <w:iCs/>
          <w:sz w:val="21"/>
          <w:szCs w:val="21"/>
          <w:lang w:eastAsia="en-US"/>
        </w:rPr>
      </w:pPr>
    </w:p>
    <w:p w14:paraId="62366DCE" w14:textId="77777777" w:rsidR="00421154" w:rsidRPr="00DD5A7D" w:rsidRDefault="00421154" w:rsidP="00421154">
      <w:pPr>
        <w:pStyle w:val="Estilo"/>
        <w:ind w:firstLine="708"/>
        <w:rPr>
          <w:rFonts w:ascii="Abadi" w:hAnsi="Abadi"/>
          <w:sz w:val="21"/>
          <w:szCs w:val="21"/>
        </w:rPr>
      </w:pPr>
      <w:r w:rsidRPr="00DD5A7D">
        <w:rPr>
          <w:rFonts w:ascii="Abadi" w:hAnsi="Abadi"/>
          <w:sz w:val="21"/>
          <w:szCs w:val="21"/>
          <w:lang w:eastAsia="en-US"/>
        </w:rPr>
        <w:t>El Poder Judicial del Estado de Guanajuato manifestó que:</w:t>
      </w:r>
      <w:r w:rsidRPr="00DD5A7D">
        <w:rPr>
          <w:rFonts w:ascii="Abadi" w:hAnsi="Abadi"/>
          <w:sz w:val="21"/>
          <w:szCs w:val="21"/>
        </w:rPr>
        <w:t xml:space="preserve"> </w:t>
      </w:r>
    </w:p>
    <w:p w14:paraId="5D1F7112" w14:textId="77777777" w:rsidR="00421154" w:rsidRPr="00DD5A7D" w:rsidRDefault="00421154" w:rsidP="00421154">
      <w:pPr>
        <w:pStyle w:val="Estilo"/>
        <w:rPr>
          <w:rFonts w:ascii="Abadi" w:hAnsi="Abadi"/>
          <w:sz w:val="21"/>
          <w:szCs w:val="21"/>
        </w:rPr>
      </w:pPr>
    </w:p>
    <w:p w14:paraId="1A419556" w14:textId="77777777" w:rsidR="00421154" w:rsidRPr="00DD5A7D" w:rsidRDefault="00421154" w:rsidP="00421154">
      <w:pPr>
        <w:pStyle w:val="Estilo"/>
        <w:ind w:left="1134" w:right="1036"/>
        <w:rPr>
          <w:rFonts w:ascii="Abadi" w:hAnsi="Abadi"/>
          <w:i/>
          <w:iCs/>
          <w:sz w:val="21"/>
          <w:szCs w:val="21"/>
          <w:lang w:eastAsia="en-US"/>
        </w:rPr>
      </w:pPr>
      <w:r w:rsidRPr="00DD5A7D">
        <w:rPr>
          <w:rFonts w:ascii="Abadi" w:hAnsi="Abadi"/>
          <w:i/>
          <w:iCs/>
          <w:sz w:val="21"/>
          <w:szCs w:val="21"/>
          <w:lang w:eastAsia="en-US"/>
        </w:rPr>
        <w:t xml:space="preserve">(…) desde el año de 2013, el derecho de acceso al internet se encuentra consagrado en la Constitución Política de los Estados Unidos Mexicanos, específicamente en el artículo 6º, cuartó párrafo de nuestra Carta Magna, en el que se dispone que "El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 </w:t>
      </w:r>
    </w:p>
    <w:p w14:paraId="610AB6E4" w14:textId="77777777" w:rsidR="00421154" w:rsidRPr="00DD5A7D" w:rsidRDefault="00421154" w:rsidP="00421154">
      <w:pPr>
        <w:pStyle w:val="Estilo"/>
        <w:ind w:left="1134" w:right="1036"/>
        <w:rPr>
          <w:rFonts w:ascii="Abadi" w:hAnsi="Abadi"/>
          <w:i/>
          <w:iCs/>
          <w:sz w:val="21"/>
          <w:szCs w:val="21"/>
          <w:lang w:eastAsia="en-US"/>
        </w:rPr>
      </w:pPr>
    </w:p>
    <w:p w14:paraId="731740EF" w14:textId="77777777" w:rsidR="00421154" w:rsidRPr="00DD5A7D" w:rsidRDefault="00421154" w:rsidP="00421154">
      <w:pPr>
        <w:pStyle w:val="Estilo"/>
        <w:ind w:left="1134" w:right="1036"/>
        <w:rPr>
          <w:rFonts w:ascii="Abadi" w:hAnsi="Abadi"/>
          <w:i/>
          <w:iCs/>
          <w:sz w:val="21"/>
          <w:szCs w:val="21"/>
          <w:lang w:eastAsia="en-US"/>
        </w:rPr>
      </w:pPr>
      <w:r w:rsidRPr="00DD5A7D">
        <w:rPr>
          <w:rFonts w:ascii="Abadi" w:hAnsi="Abadi"/>
          <w:i/>
          <w:iCs/>
          <w:sz w:val="21"/>
          <w:szCs w:val="21"/>
          <w:lang w:eastAsia="en-US"/>
        </w:rPr>
        <w:t xml:space="preserve">En ese sentido, el acceso al internet, forma parte del bloque de derechos fundamentales que deben ser promovidos, respetados, protegidos y garantizados, de conformidad con los principios de </w:t>
      </w:r>
      <w:r w:rsidRPr="00DD5A7D">
        <w:rPr>
          <w:rFonts w:ascii="Abadi" w:hAnsi="Abadi"/>
          <w:i/>
          <w:iCs/>
          <w:sz w:val="21"/>
          <w:szCs w:val="21"/>
          <w:lang w:eastAsia="en-US"/>
        </w:rPr>
        <w:lastRenderedPageBreak/>
        <w:t>universalidad, interdependencia, indivisibilidad y progresividad.</w:t>
      </w:r>
    </w:p>
    <w:p w14:paraId="5E23178B" w14:textId="77777777" w:rsidR="00421154" w:rsidRPr="00DD5A7D" w:rsidRDefault="00421154" w:rsidP="00421154">
      <w:pPr>
        <w:pStyle w:val="Estilo"/>
        <w:ind w:left="1134" w:right="1036"/>
        <w:rPr>
          <w:rFonts w:ascii="Abadi" w:hAnsi="Abadi"/>
          <w:i/>
          <w:iCs/>
          <w:sz w:val="21"/>
          <w:szCs w:val="21"/>
          <w:lang w:eastAsia="en-US"/>
        </w:rPr>
      </w:pPr>
    </w:p>
    <w:p w14:paraId="034B201E" w14:textId="77777777" w:rsidR="00421154" w:rsidRPr="00DD5A7D" w:rsidRDefault="00421154" w:rsidP="00421154">
      <w:pPr>
        <w:pStyle w:val="Estilo"/>
        <w:ind w:left="1134" w:right="1036"/>
        <w:rPr>
          <w:rFonts w:ascii="Abadi" w:hAnsi="Abadi"/>
          <w:i/>
          <w:iCs/>
          <w:sz w:val="21"/>
          <w:szCs w:val="21"/>
          <w:lang w:eastAsia="en-US"/>
        </w:rPr>
      </w:pPr>
      <w:r w:rsidRPr="00DD5A7D">
        <w:rPr>
          <w:rFonts w:ascii="Abadi" w:hAnsi="Abadi"/>
          <w:i/>
          <w:iCs/>
          <w:sz w:val="21"/>
          <w:szCs w:val="21"/>
          <w:lang w:eastAsia="en-US"/>
        </w:rPr>
        <w:t>El derecho humano al accedo al internet, es interdependiente con los otros derechos, tales como la libertad de expresión e información, privacidad, educación, seguridad, justicia, salud, movilidad, inclusión, y también con los derechos económicos, entre los que se encuentra el derecho al trabajo; de tal forma que muchos de estos derechos son actualmente posibles de ejercerse precisamente por la existencia de herramientas como el internet, que se ha convertido en una especie de fuerza impulsora de la aceleración de los progresos hacia el desarrollo en sus distintas formas, incluido el logro de los Objetivos del Desarrollo Sostenible.</w:t>
      </w:r>
    </w:p>
    <w:p w14:paraId="741BD299" w14:textId="77777777" w:rsidR="00421154" w:rsidRPr="00DD5A7D" w:rsidRDefault="00421154" w:rsidP="00421154">
      <w:pPr>
        <w:pStyle w:val="Estilo"/>
        <w:ind w:left="1134" w:right="1036"/>
        <w:rPr>
          <w:rFonts w:ascii="Abadi" w:hAnsi="Abadi"/>
          <w:i/>
          <w:iCs/>
          <w:sz w:val="21"/>
          <w:szCs w:val="21"/>
          <w:lang w:eastAsia="en-US"/>
        </w:rPr>
      </w:pPr>
    </w:p>
    <w:p w14:paraId="6A6B1E29" w14:textId="77777777" w:rsidR="00421154" w:rsidRPr="00DD5A7D" w:rsidRDefault="00421154" w:rsidP="00421154">
      <w:pPr>
        <w:pStyle w:val="Estilo"/>
        <w:ind w:left="1134" w:right="1036"/>
        <w:rPr>
          <w:rFonts w:ascii="Abadi" w:hAnsi="Abadi"/>
          <w:i/>
          <w:iCs/>
          <w:sz w:val="21"/>
          <w:szCs w:val="21"/>
          <w:lang w:eastAsia="en-US"/>
        </w:rPr>
      </w:pPr>
      <w:r w:rsidRPr="00DD5A7D">
        <w:rPr>
          <w:rFonts w:ascii="Abadi" w:hAnsi="Abadi"/>
          <w:i/>
          <w:iCs/>
          <w:sz w:val="21"/>
          <w:szCs w:val="21"/>
          <w:lang w:eastAsia="en-US"/>
        </w:rPr>
        <w:t xml:space="preserve">Es un hecho, el que hoy en día, la mayoría de las sociedades actuales no pueden concebirse sin el uso de las tecnologías de la Información y de la Comunicación, en particular, el uso y disfrute del internet, que visto en su aspecto positivo, contribuye al crecimiento económico, propicia la inclusión social, además de constituirse como una herramienta que fomenta la participación ciudadana y de la sociedad civil. De ahí que </w:t>
      </w:r>
      <w:r w:rsidRPr="00DD5A7D">
        <w:rPr>
          <w:rFonts w:ascii="Abadi" w:hAnsi="Abadi"/>
          <w:i/>
          <w:iCs/>
          <w:sz w:val="21"/>
          <w:szCs w:val="21"/>
          <w:lang w:eastAsia="en-US"/>
        </w:rPr>
        <w:t>se deba aplicar un enfoque basado en los derechos humanos para facilitar y ampliar el acceso al internet, debiendo las autoridades hacer lo posible por cerrar las múltiples formas de la denominada brecha digital.</w:t>
      </w:r>
    </w:p>
    <w:p w14:paraId="2A70EEED" w14:textId="77777777" w:rsidR="00421154" w:rsidRPr="00DD5A7D" w:rsidRDefault="00421154" w:rsidP="00421154">
      <w:pPr>
        <w:spacing w:line="276" w:lineRule="auto"/>
        <w:jc w:val="both"/>
        <w:rPr>
          <w:rFonts w:ascii="Abadi" w:hAnsi="Abadi" w:cs="Arial"/>
          <w:b/>
          <w:bCs/>
          <w:sz w:val="21"/>
          <w:szCs w:val="21"/>
        </w:rPr>
      </w:pPr>
    </w:p>
    <w:p w14:paraId="498AC061" w14:textId="77777777" w:rsidR="00421154" w:rsidRPr="00DD5A7D" w:rsidRDefault="00421154" w:rsidP="00421154">
      <w:pPr>
        <w:spacing w:line="276" w:lineRule="auto"/>
        <w:jc w:val="both"/>
        <w:rPr>
          <w:rFonts w:ascii="Abadi" w:hAnsi="Abadi" w:cs="Arial"/>
          <w:b/>
          <w:bCs/>
          <w:sz w:val="21"/>
          <w:szCs w:val="21"/>
        </w:rPr>
      </w:pPr>
    </w:p>
    <w:p w14:paraId="6B03319C" w14:textId="77777777" w:rsidR="00421154" w:rsidRPr="00DD5A7D" w:rsidRDefault="00421154" w:rsidP="00421154">
      <w:pPr>
        <w:spacing w:line="276" w:lineRule="auto"/>
        <w:jc w:val="both"/>
        <w:rPr>
          <w:rFonts w:ascii="Abadi" w:hAnsi="Abadi" w:cs="Arial"/>
          <w:i/>
          <w:iCs/>
          <w:sz w:val="21"/>
          <w:szCs w:val="21"/>
        </w:rPr>
      </w:pPr>
      <w:r w:rsidRPr="00DD5A7D">
        <w:rPr>
          <w:rFonts w:ascii="Abadi" w:hAnsi="Abadi" w:cs="Arial"/>
          <w:b/>
          <w:bCs/>
          <w:sz w:val="21"/>
          <w:szCs w:val="21"/>
        </w:rPr>
        <w:t>II.3.</w:t>
      </w:r>
      <w:r w:rsidRPr="00DD5A7D">
        <w:rPr>
          <w:rFonts w:ascii="Abadi" w:hAnsi="Abadi" w:cs="Arial"/>
          <w:sz w:val="21"/>
          <w:szCs w:val="21"/>
        </w:rPr>
        <w:t xml:space="preserve"> En reunión de la comisión legislativa del 11 de mayo de 2022, se determinó a efecto de dar continuidad y seguimiento puntual a las metodologías de estudio y dictamen aprobadas por unanimidad en su momento por la comisión, la fecha para la celebración de las respectivas mesas de trabajo, por un lado, en </w:t>
      </w:r>
      <w:r w:rsidRPr="00DD5A7D">
        <w:rPr>
          <w:rFonts w:ascii="Abadi" w:hAnsi="Abadi" w:cs="Arial"/>
          <w:i/>
          <w:iCs/>
          <w:sz w:val="21"/>
          <w:szCs w:val="21"/>
        </w:rPr>
        <w:t>materia de internet para todos y por el otro, el de la adición del principio de gobierno digital.</w:t>
      </w:r>
    </w:p>
    <w:p w14:paraId="74932ED8" w14:textId="77777777" w:rsidR="00421154" w:rsidRPr="00DD5A7D" w:rsidRDefault="00421154" w:rsidP="00421154">
      <w:pPr>
        <w:spacing w:line="276" w:lineRule="auto"/>
        <w:jc w:val="both"/>
        <w:rPr>
          <w:rFonts w:ascii="Abadi" w:hAnsi="Abadi" w:cs="Arial"/>
          <w:sz w:val="21"/>
          <w:szCs w:val="21"/>
        </w:rPr>
      </w:pPr>
    </w:p>
    <w:p w14:paraId="4D791A5D" w14:textId="77777777" w:rsidR="00421154" w:rsidRPr="003A358F" w:rsidRDefault="00421154" w:rsidP="00421154">
      <w:pPr>
        <w:pStyle w:val="Textoindependiente"/>
        <w:spacing w:line="276" w:lineRule="auto"/>
        <w:rPr>
          <w:rFonts w:ascii="Abadi" w:eastAsia="Batang" w:hAnsi="Abadi"/>
          <w:b w:val="0"/>
          <w:sz w:val="21"/>
          <w:szCs w:val="21"/>
          <w:lang w:val="es-MX"/>
        </w:rPr>
      </w:pPr>
      <w:r w:rsidRPr="003A358F">
        <w:rPr>
          <w:rFonts w:ascii="Abadi" w:eastAsia="Batang" w:hAnsi="Abadi"/>
          <w:bCs w:val="0"/>
          <w:sz w:val="21"/>
          <w:szCs w:val="21"/>
          <w:lang w:val="es-MX"/>
        </w:rPr>
        <w:t>II.4.</w:t>
      </w:r>
      <w:r w:rsidRPr="003A358F">
        <w:rPr>
          <w:rFonts w:ascii="Abadi" w:eastAsia="Batang" w:hAnsi="Abadi"/>
          <w:b w:val="0"/>
          <w:sz w:val="21"/>
          <w:szCs w:val="21"/>
          <w:lang w:val="es-MX"/>
        </w:rPr>
        <w:t xml:space="preserve"> Se celebraron dos mesas de trabajo en modalidad híbrida, en el caso de </w:t>
      </w:r>
      <w:r w:rsidRPr="003A358F">
        <w:rPr>
          <w:rFonts w:ascii="Abadi" w:eastAsia="Batang" w:hAnsi="Abadi"/>
          <w:b w:val="0"/>
          <w:i/>
          <w:iCs/>
          <w:sz w:val="21"/>
          <w:szCs w:val="21"/>
          <w:lang w:val="es-MX"/>
        </w:rPr>
        <w:t>internet para todos,</w:t>
      </w:r>
      <w:r w:rsidRPr="003A358F">
        <w:rPr>
          <w:rFonts w:ascii="Abadi" w:eastAsia="Batang" w:hAnsi="Abadi"/>
          <w:b w:val="0"/>
          <w:sz w:val="21"/>
          <w:szCs w:val="21"/>
          <w:lang w:val="es-MX"/>
        </w:rPr>
        <w:t xml:space="preserve"> el 27 de mayo de 2022 para desahogar los comentarios y observaciones a la iniciativa, estando presentes las diputadas Susana Bermúdez Cano, Briseida Anabel Magdaleno González y el diputado Gerardo Fernández González integrantes de la Comisión de Gobernación y Puntos Constitucionales, así como servidores públicos representantes de la Coordinación General Jurídica de Gobierno del Estado, y de la Procuraduría de los Derechos Humanos del Estado de Guanajuato. Estuvieron presentes también asesores de los grupos parlamentarios de los partidos Acción Nacional, Revolucionario Institucional y Verde Ecologista de México y la secretaria técnica de la comisión.</w:t>
      </w:r>
    </w:p>
    <w:p w14:paraId="39F55267" w14:textId="77777777" w:rsidR="00421154" w:rsidRPr="003A358F" w:rsidRDefault="00421154" w:rsidP="00421154">
      <w:pPr>
        <w:pStyle w:val="Textoindependiente"/>
        <w:spacing w:line="276" w:lineRule="auto"/>
        <w:rPr>
          <w:rFonts w:ascii="Abadi" w:eastAsia="Batang" w:hAnsi="Abadi"/>
          <w:b w:val="0"/>
          <w:sz w:val="21"/>
          <w:szCs w:val="21"/>
          <w:lang w:val="es-MX"/>
        </w:rPr>
      </w:pPr>
    </w:p>
    <w:p w14:paraId="1367137C" w14:textId="77777777" w:rsidR="00421154" w:rsidRPr="003A358F" w:rsidRDefault="00421154" w:rsidP="00421154">
      <w:pPr>
        <w:pStyle w:val="Textoindependiente"/>
        <w:spacing w:line="276" w:lineRule="auto"/>
        <w:rPr>
          <w:rFonts w:ascii="Abadi" w:eastAsia="Batang" w:hAnsi="Abadi"/>
          <w:b w:val="0"/>
          <w:sz w:val="21"/>
          <w:szCs w:val="21"/>
          <w:lang w:val="es-MX"/>
        </w:rPr>
      </w:pPr>
      <w:r w:rsidRPr="003A358F">
        <w:rPr>
          <w:rFonts w:ascii="Abadi" w:eastAsia="Batang" w:hAnsi="Abadi"/>
          <w:b w:val="0"/>
          <w:sz w:val="21"/>
          <w:szCs w:val="21"/>
          <w:lang w:val="es-MX"/>
        </w:rPr>
        <w:t xml:space="preserve">Con respecto al tema de </w:t>
      </w:r>
      <w:r w:rsidRPr="003A358F">
        <w:rPr>
          <w:rFonts w:ascii="Abadi" w:eastAsia="Batang" w:hAnsi="Abadi"/>
          <w:b w:val="0"/>
          <w:i/>
          <w:iCs/>
          <w:sz w:val="21"/>
          <w:szCs w:val="21"/>
          <w:lang w:val="es-MX"/>
        </w:rPr>
        <w:t xml:space="preserve">gobierno digital, </w:t>
      </w:r>
      <w:r w:rsidRPr="003A358F">
        <w:rPr>
          <w:rFonts w:ascii="Abadi" w:eastAsia="Batang" w:hAnsi="Abadi"/>
          <w:b w:val="0"/>
          <w:sz w:val="21"/>
          <w:szCs w:val="21"/>
          <w:lang w:val="es-MX"/>
        </w:rPr>
        <w:t xml:space="preserve">el 1 de junio de 2022 se desahogaron los comentarios y observaciones a la iniciativa, estando presentes las diputadas Susana Bermúdez Cano, Laura Cristina Márquez Alcalá, Yulma Rocha Aguilar y los diputados Rolando Fortino Alcántar Rojas y Gerardo Fernández González integrantes de la Comisión de Gobernación y Puntos Constitucionales, así como servidores públicos </w:t>
      </w:r>
      <w:r w:rsidRPr="003A358F">
        <w:rPr>
          <w:rFonts w:ascii="Abadi" w:eastAsia="Batang" w:hAnsi="Abadi"/>
          <w:b w:val="0"/>
          <w:sz w:val="21"/>
          <w:szCs w:val="21"/>
          <w:lang w:val="es-MX"/>
        </w:rPr>
        <w:lastRenderedPageBreak/>
        <w:t>representantes del Ayuntamiento de León, Guanajuato y de la Coordinación General Jurídica de Gobierno del Estado. Estuvieron presentes también asesores de los grupos parlamentarios de los partidos Acción Nacional, Revolucionario Institucional y Verde Ecologista de México y la secretaria técnica de la comisión.</w:t>
      </w:r>
    </w:p>
    <w:p w14:paraId="74633C42" w14:textId="77777777" w:rsidR="00421154" w:rsidRPr="00DD5A7D" w:rsidRDefault="00421154" w:rsidP="00421154">
      <w:pPr>
        <w:pStyle w:val="Textoindependiente"/>
        <w:spacing w:line="276" w:lineRule="auto"/>
        <w:rPr>
          <w:rFonts w:ascii="Abadi" w:eastAsia="Batang" w:hAnsi="Abadi"/>
          <w:bCs w:val="0"/>
          <w:i/>
          <w:iCs/>
          <w:sz w:val="21"/>
          <w:szCs w:val="21"/>
          <w:lang w:val="es-MX"/>
        </w:rPr>
      </w:pPr>
    </w:p>
    <w:p w14:paraId="1E0BA35E" w14:textId="77777777" w:rsidR="00421154" w:rsidRPr="00DD5A7D" w:rsidRDefault="00421154" w:rsidP="00421154">
      <w:pPr>
        <w:spacing w:line="276" w:lineRule="auto"/>
        <w:jc w:val="both"/>
        <w:rPr>
          <w:rFonts w:ascii="Abadi" w:eastAsia="Batang" w:hAnsi="Abadi" w:cs="Arial"/>
          <w:sz w:val="21"/>
          <w:szCs w:val="21"/>
        </w:rPr>
      </w:pPr>
      <w:r w:rsidRPr="00DD5A7D">
        <w:rPr>
          <w:rFonts w:ascii="Abadi" w:eastAsia="Batang" w:hAnsi="Abadi" w:cs="Arial"/>
          <w:b/>
          <w:sz w:val="21"/>
          <w:szCs w:val="21"/>
        </w:rPr>
        <w:t>II.5.</w:t>
      </w:r>
      <w:r w:rsidRPr="00DD5A7D">
        <w:rPr>
          <w:rFonts w:ascii="Abadi" w:hAnsi="Abadi" w:cs="Arial"/>
          <w:sz w:val="21"/>
          <w:szCs w:val="21"/>
        </w:rPr>
        <w:t xml:space="preserve"> L</w:t>
      </w:r>
      <w:r w:rsidRPr="00DD5A7D">
        <w:rPr>
          <w:rFonts w:ascii="Abadi" w:eastAsia="Batang" w:hAnsi="Abadi" w:cs="Arial"/>
          <w:sz w:val="21"/>
          <w:szCs w:val="21"/>
        </w:rPr>
        <w:t>a presidencia de la Comisión de Gobernación y Puntos Constitucionales instruyó a la Secretaría Técnica para que elaborara el proyecto de dictamen en sentido positivo que conjuntara ambas iniciativas y, atendiendo a lo vertido en las mesas de trabajo y, conforme con lo dispuesto en los artículos 94, fracción VII y 272, fracción VIII inciso e de la Ley Orgánica del Poder Legislativo del Estado, mismo que fue materia de revisión por los diputados y las diputadas integrantes de esta comisión dictaminadora.</w:t>
      </w:r>
    </w:p>
    <w:p w14:paraId="3F871C7F" w14:textId="77777777" w:rsidR="00421154" w:rsidRPr="00DD5A7D" w:rsidRDefault="00421154" w:rsidP="00421154">
      <w:pPr>
        <w:pStyle w:val="Textoindependiente"/>
        <w:spacing w:line="276" w:lineRule="auto"/>
        <w:rPr>
          <w:rFonts w:ascii="Abadi" w:eastAsia="Batang" w:hAnsi="Abadi"/>
          <w:sz w:val="21"/>
          <w:szCs w:val="21"/>
          <w:lang w:val="es-MX"/>
        </w:rPr>
      </w:pPr>
    </w:p>
    <w:p w14:paraId="3D5D1BB0" w14:textId="77777777" w:rsidR="00421154" w:rsidRPr="00DD5A7D" w:rsidRDefault="00421154" w:rsidP="00421154">
      <w:pPr>
        <w:spacing w:line="276" w:lineRule="auto"/>
        <w:jc w:val="both"/>
        <w:rPr>
          <w:rFonts w:ascii="Abadi" w:eastAsia="Batang" w:hAnsi="Abadi" w:cs="Arial"/>
          <w:b/>
          <w:i/>
          <w:iCs/>
          <w:sz w:val="21"/>
          <w:szCs w:val="21"/>
        </w:rPr>
      </w:pPr>
      <w:r w:rsidRPr="00DD5A7D">
        <w:rPr>
          <w:rFonts w:ascii="Abadi" w:eastAsia="Batang" w:hAnsi="Abadi" w:cs="Arial"/>
          <w:b/>
          <w:sz w:val="21"/>
          <w:szCs w:val="21"/>
        </w:rPr>
        <w:t xml:space="preserve">III. Contenido de las iniciativas y consideraciones generales de las y los dictaminadores sobre los objetivos perseguidos con las propuestas de reforma a la Constitución Política para el Estado de Guanajuato </w:t>
      </w:r>
      <w:r w:rsidRPr="00DD5A7D">
        <w:rPr>
          <w:rFonts w:ascii="Abadi" w:eastAsia="Batang" w:hAnsi="Abadi" w:cs="Arial"/>
          <w:b/>
          <w:i/>
          <w:iCs/>
          <w:sz w:val="21"/>
          <w:szCs w:val="21"/>
        </w:rPr>
        <w:t>sobre internet para todos y gobierno digital</w:t>
      </w:r>
    </w:p>
    <w:p w14:paraId="37FC09D4" w14:textId="77777777" w:rsidR="00421154" w:rsidRPr="00DD5A7D" w:rsidRDefault="00421154" w:rsidP="00421154">
      <w:pPr>
        <w:spacing w:line="276" w:lineRule="auto"/>
        <w:jc w:val="both"/>
        <w:rPr>
          <w:rFonts w:ascii="Abadi" w:eastAsia="Batang" w:hAnsi="Abadi" w:cs="Arial"/>
          <w:b/>
          <w:sz w:val="21"/>
          <w:szCs w:val="21"/>
        </w:rPr>
      </w:pPr>
      <w:r w:rsidRPr="00DD5A7D">
        <w:rPr>
          <w:rFonts w:ascii="Abadi" w:eastAsia="Batang" w:hAnsi="Abadi" w:cs="Arial"/>
          <w:b/>
          <w:sz w:val="21"/>
          <w:szCs w:val="21"/>
        </w:rPr>
        <w:t xml:space="preserve"> </w:t>
      </w:r>
    </w:p>
    <w:p w14:paraId="5B11CA27" w14:textId="77777777" w:rsidR="00421154" w:rsidRPr="00DD5A7D" w:rsidRDefault="00421154" w:rsidP="00421154">
      <w:pPr>
        <w:spacing w:line="276" w:lineRule="auto"/>
        <w:ind w:firstLine="708"/>
        <w:jc w:val="both"/>
        <w:rPr>
          <w:rFonts w:ascii="Abadi" w:eastAsia="Batang" w:hAnsi="Abadi" w:cs="Arial"/>
          <w:sz w:val="21"/>
          <w:szCs w:val="21"/>
        </w:rPr>
      </w:pPr>
      <w:r w:rsidRPr="00DD5A7D">
        <w:rPr>
          <w:rFonts w:ascii="Abadi" w:eastAsia="Batang" w:hAnsi="Abadi" w:cs="Arial"/>
          <w:sz w:val="21"/>
          <w:szCs w:val="21"/>
        </w:rPr>
        <w:t xml:space="preserve">El objeto de la primera iniciativa es reformar y adicionar diversas disposiciones de la Constitución Política para el Estado de Guanajuato a fin incluir como un principio el </w:t>
      </w:r>
      <w:r w:rsidRPr="00DD5A7D">
        <w:rPr>
          <w:rFonts w:ascii="Abadi" w:eastAsia="Batang" w:hAnsi="Abadi" w:cs="Arial"/>
          <w:i/>
          <w:iCs/>
          <w:sz w:val="21"/>
          <w:szCs w:val="21"/>
        </w:rPr>
        <w:t>gobierno digital</w:t>
      </w:r>
      <w:r w:rsidRPr="00DD5A7D">
        <w:rPr>
          <w:rFonts w:ascii="Abadi" w:eastAsia="Batang" w:hAnsi="Abadi" w:cs="Arial"/>
          <w:sz w:val="21"/>
          <w:szCs w:val="21"/>
        </w:rPr>
        <w:t xml:space="preserve"> implementando dicho modelo en la administración pública de forma moderna, eficiente, eficaz y transparente, contribuyendo al crecimiento y desarrollo de Guanajuato mediante el uso estratégico de las tecnologías.</w:t>
      </w:r>
    </w:p>
    <w:p w14:paraId="54852697" w14:textId="77777777" w:rsidR="00421154" w:rsidRPr="00DD5A7D" w:rsidRDefault="00421154" w:rsidP="00421154">
      <w:pPr>
        <w:spacing w:line="276" w:lineRule="auto"/>
        <w:ind w:firstLine="708"/>
        <w:jc w:val="both"/>
        <w:rPr>
          <w:rFonts w:ascii="Abadi" w:hAnsi="Abadi"/>
          <w:sz w:val="21"/>
          <w:szCs w:val="21"/>
        </w:rPr>
      </w:pPr>
    </w:p>
    <w:p w14:paraId="13264254" w14:textId="77777777" w:rsidR="00421154" w:rsidRPr="00DD5A7D" w:rsidRDefault="00421154" w:rsidP="00421154">
      <w:pPr>
        <w:spacing w:line="276" w:lineRule="auto"/>
        <w:ind w:firstLine="708"/>
        <w:jc w:val="both"/>
        <w:rPr>
          <w:rFonts w:ascii="Abadi" w:hAnsi="Abadi"/>
          <w:sz w:val="21"/>
          <w:szCs w:val="21"/>
          <w:highlight w:val="yellow"/>
        </w:rPr>
      </w:pPr>
      <w:r w:rsidRPr="00DD5A7D">
        <w:rPr>
          <w:rFonts w:ascii="Abadi" w:hAnsi="Abadi"/>
          <w:sz w:val="21"/>
          <w:szCs w:val="21"/>
        </w:rPr>
        <w:t>Las y los iniciantes dispusieron en su exposición de motivos que:</w:t>
      </w:r>
    </w:p>
    <w:p w14:paraId="3DCB5154" w14:textId="77777777" w:rsidR="00421154" w:rsidRPr="00DD5A7D" w:rsidRDefault="00421154" w:rsidP="00421154">
      <w:pPr>
        <w:rPr>
          <w:rFonts w:ascii="Abadi" w:hAnsi="Abadi" w:cs="Arial"/>
          <w:i/>
          <w:color w:val="242424"/>
          <w:sz w:val="21"/>
          <w:szCs w:val="21"/>
          <w:highlight w:val="yellow"/>
          <w:lang w:eastAsia="es-MX"/>
        </w:rPr>
      </w:pPr>
    </w:p>
    <w:p w14:paraId="3BFBE1ED"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Calibri"/>
          <w:bCs/>
          <w:i/>
          <w:sz w:val="21"/>
          <w:szCs w:val="21"/>
        </w:rPr>
      </w:pPr>
      <w:r w:rsidRPr="00DD5A7D">
        <w:rPr>
          <w:rFonts w:ascii="Abadi" w:hAnsi="Abadi" w:cs="Calibri"/>
          <w:bCs/>
          <w:i/>
          <w:sz w:val="21"/>
          <w:szCs w:val="21"/>
          <w:lang w:eastAsia="en-US"/>
        </w:rPr>
        <w:t>«[...]</w:t>
      </w:r>
      <w:r w:rsidRPr="00DD5A7D">
        <w:rPr>
          <w:rFonts w:ascii="Abadi" w:hAnsi="Abadi" w:cs="Calibri"/>
          <w:bCs/>
          <w:i/>
          <w:sz w:val="21"/>
          <w:szCs w:val="21"/>
        </w:rPr>
        <w:t xml:space="preserve">Nuestra Constitución Política de los Estado Unidos Mexicanos establece que el Gobierno Digital es un principio de actuación de la autoridad para mejorar los servicios públicos, propiciar la </w:t>
      </w:r>
      <w:r w:rsidRPr="00DD5A7D">
        <w:rPr>
          <w:rFonts w:ascii="Abadi" w:hAnsi="Abadi" w:cs="Calibri"/>
          <w:bCs/>
          <w:i/>
          <w:sz w:val="21"/>
          <w:szCs w:val="21"/>
        </w:rPr>
        <w:t xml:space="preserve">modernización administrativa, contribuir al buen manejo del erario, así como facilitar la rendición y transparencia de cuentas, incluyendo en todo momento a la ciudadanía como eje central en la gestión. </w:t>
      </w:r>
    </w:p>
    <w:p w14:paraId="491715D7" w14:textId="77777777" w:rsidR="00421154" w:rsidRPr="00DD5A7D" w:rsidRDefault="00421154" w:rsidP="00421154">
      <w:pPr>
        <w:pStyle w:val="paragraph"/>
        <w:spacing w:before="0" w:beforeAutospacing="0" w:after="0" w:afterAutospacing="0"/>
        <w:ind w:left="1134" w:right="1038"/>
        <w:jc w:val="both"/>
        <w:textAlignment w:val="baseline"/>
        <w:rPr>
          <w:rFonts w:ascii="Abadi" w:hAnsi="Abadi" w:cs="Calibri"/>
          <w:bCs/>
          <w:i/>
          <w:sz w:val="21"/>
          <w:szCs w:val="21"/>
        </w:rPr>
      </w:pPr>
    </w:p>
    <w:p w14:paraId="15ADC3A8"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Actualmente, en México solo cuatro entidades federativas establecen en su Constitución Política local el principio de Gobierno Digital, dichos Estados son: Chiapas, Jalisco, Puebla y Tamaulipas. Con la aprobación de la presente propuesta, Guanajuato se convertiría en el quinto Estado a nivel nacional en sumarse a un sistema de gobierno moderno con la capacidad evolucionar a la par de los avances científicos y tecnológicos.</w:t>
      </w:r>
    </w:p>
    <w:p w14:paraId="4637C2BF"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6436F47F"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Es así que en la presente iniciativa comprendemos al "Gobierno Digital" como la utilización las Tecnologías de Información y Comunicación (TIC) para que la autoridad realice una mejor gestión, planificación y administración, así como la difusión, atención y gestión de trámites y servicios de las diferentes dependencias a través de portales de internet con el fin de aumentar la eficiencia y eficacia de los servicios públicos, esta política pública permite mejorar la relación Ciudadano -Estado.</w:t>
      </w:r>
    </w:p>
    <w:p w14:paraId="2B4EA78C"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037E5F8F"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lastRenderedPageBreak/>
        <w:t xml:space="preserve">Para lo anterior, los Ayuntamientos incorporarán el Gobierno Digital por medio de uso de las Tecnologías de la Información y Comunicación a los trámites y servicios gubernamentales, se procurará que aquellos que tengan mayor demanda sean presenciales y no esenciales no previstos a través de las tecnologías, es importante señalar que la pandemia no ha terminado, sino que nos encontramos en un proceso de adaptación, una nueva normalidad y en este proceso de adaptación es importante implementar el Gobierno Digital para el funcionamiento del servicio público ante cualquier contingencia actual o futura. </w:t>
      </w:r>
    </w:p>
    <w:p w14:paraId="22249F2F"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71FB8452"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xml:space="preserve">En conclusión, implementar el Gobierno digital en Guanajuato permitirá conducir la administración pública de forma moderna, eficiente, eficaz y transparente en todas las instituciones del sector público, contribuirá al crecimiento y desarrollo de Guanajuato mediante el uso estratégico de las tecnologías. </w:t>
      </w:r>
    </w:p>
    <w:p w14:paraId="59102B1C"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5C52AB9C"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xml:space="preserve">Así pues, una vez definidos los ejes del Gobierno Digital, se busca que los Ayuntamientos cuenten con la facultad de implementar el Gobierno Digital en trámites gubernamentales por medio de las TIC, </w:t>
      </w:r>
      <w:r w:rsidRPr="00DD5A7D">
        <w:rPr>
          <w:rFonts w:ascii="Abadi" w:hAnsi="Abadi" w:cs="Calibri"/>
          <w:bCs/>
          <w:i/>
          <w:sz w:val="21"/>
          <w:szCs w:val="21"/>
        </w:rPr>
        <w:t>procurando que aquellos con mayor demanda sean accesibles para la población a través de la o las plataformas desarrolladas para su gestión, además de facilitar el acceso a la información, la rendición de cuentas, la transparencia y participación ciudadana.</w:t>
      </w:r>
    </w:p>
    <w:p w14:paraId="6A8E62BA"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736E585A"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xml:space="preserve">Por todo lo anterior, se destaca que este proyecto normativo pretende reformar el artículo 36 de la Constitución Política para el Estado de Guanajuato referente a los principios del Poder Público del Estado, incluyendo el principio de Gobierno Digital, así como el uso de las tecnologías de la información y Comunicaciones. En consecuencia, se contempla reformar el último párrafo del artículo 117 para que en los Ayuntamientos también se guíen bajo el mismo principio. </w:t>
      </w:r>
    </w:p>
    <w:p w14:paraId="6B406C47"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2186DC1A"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w:t>
      </w:r>
    </w:p>
    <w:p w14:paraId="4DB6921C"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70100CA4"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Por último, se señala que la presente iniciativa comulga con la agenda 2030 en los Objetivos de Desarrollo Sostenible formulada por la Organización de Naciones Unidas en su objetivo 9 Industrias, Innovación e Infraestructura; construir infraestructuras resilientes, promover la industrialización sostenible y fomentar la innovación.</w:t>
      </w:r>
    </w:p>
    <w:p w14:paraId="32C1F2EE"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559157F8"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lastRenderedPageBreak/>
        <w:t>Por otra parte, de acuerdo con el artículo 209 de la Ley Orgánica del Poder Legislativo del Estado de Guanajuato, manifestamos que la iniciativa que aquí presentamos tendrá, de ser aprobada, el siguiente:</w:t>
      </w:r>
    </w:p>
    <w:p w14:paraId="43E8B82F"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w:t>
      </w:r>
    </w:p>
    <w:p w14:paraId="51EEBCEA"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4ED22EAE"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A su vez, la Constitución Política para el Estado de Guanajuato, en su artículo 56 fracción IV establece la facultad de los Ayuntamientos de proponer iniciativas de leyes y decretos que permitan crear o reformar el marco jurídico de nuestro estado. En el caso que nos ocupa, se propone la regulación y, posterior implementación, del principio denominado «Gobierno Digital», a través de los dispositivos y los ordenamientos legales citados en los artículos explicativos que integra la propuesta.</w:t>
      </w:r>
    </w:p>
    <w:p w14:paraId="7055A299"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204BBC2C"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xml:space="preserve">II. Impacto administrativo: La presente iniciativa no trae consigo la creación de estructuras administrativas, sin </w:t>
      </w:r>
      <w:r w:rsidRPr="00DD5A7D">
        <w:rPr>
          <w:rFonts w:ascii="Abadi" w:hAnsi="Abadi" w:cs="Calibri"/>
          <w:bCs/>
          <w:i/>
          <w:sz w:val="21"/>
          <w:szCs w:val="21"/>
        </w:rPr>
        <w:t>embargo, cada autoridad deberá ajustar sus parámetros de actuación para dar cumplimiento al principio de «Gobierno Digital» por lo que deberá actualizar sus políticas y herramientas para la gestión gubernamental, en aras de dar cumplimiento a la presente propuesta.</w:t>
      </w:r>
    </w:p>
    <w:p w14:paraId="147EAFBD"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5B28B1A3"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III. Impacto presupuestario: La presente propuesta contiene un impacto presupuestal para la implementación del «Gobierno Digital», sin embargo, cada unidad administrativa tendrá su programación individual, atendiendo las características tecnológicas con las que ya cuenten y con los trámites o servicios que deberán adecuarse en la modalidad virtual. De requerir un análisis más profundo se solicita el apoyo a efecto de que las Comisiones Legislativas competente se apoyen en la Unidad administrativa competente en el Estudio de las Finanzas Públicas, siendo que en términos de la Ley Orgánica del Poder de las Legislativo le atribuciones corresponde del Congreso realizar aquellos estudios que</w:t>
      </w:r>
      <w:r w:rsidRPr="00DD5A7D">
        <w:rPr>
          <w:rFonts w:ascii="Abadi" w:hAnsi="Abadi"/>
          <w:sz w:val="21"/>
          <w:szCs w:val="21"/>
        </w:rPr>
        <w:t xml:space="preserve"> </w:t>
      </w:r>
      <w:r w:rsidRPr="00DD5A7D">
        <w:rPr>
          <w:rFonts w:ascii="Abadi" w:hAnsi="Abadi" w:cs="Calibri"/>
          <w:bCs/>
          <w:i/>
          <w:sz w:val="21"/>
          <w:szCs w:val="21"/>
        </w:rPr>
        <w:t>coadyuven en el ejercicio de las atribuciones del Congreso del Estado.</w:t>
      </w:r>
    </w:p>
    <w:p w14:paraId="43339B19"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2DD1E29A"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xml:space="preserve">IV. Impacto social: Implementar un «Gobierno Digital» representa posicionar al Estado y los Municipios </w:t>
      </w:r>
      <w:r w:rsidRPr="00DD5A7D">
        <w:rPr>
          <w:rFonts w:ascii="Abadi" w:hAnsi="Abadi" w:cs="Calibri"/>
          <w:bCs/>
          <w:i/>
          <w:sz w:val="21"/>
          <w:szCs w:val="21"/>
        </w:rPr>
        <w:lastRenderedPageBreak/>
        <w:t>como un gobierno moderno de administración con capacitad de adaptarse a un mundo y globalizado, dejando a un lado las practicas obsoletas de atención, interacción y participación entre los ciudadanos y el Estado; lo cual, posicionará a Guanajuato como uno de los Estados referentes a nivel nacional en innovación normativa y desarrollo tecnológico, colocándonos como unos de los Estados pioneros en implementación de dicha política pública.»</w:t>
      </w:r>
    </w:p>
    <w:p w14:paraId="67EF0396" w14:textId="77777777" w:rsidR="00421154" w:rsidRPr="00DD5A7D" w:rsidRDefault="00421154" w:rsidP="00421154">
      <w:pPr>
        <w:pStyle w:val="Prrafodelista"/>
        <w:widowControl w:val="0"/>
        <w:tabs>
          <w:tab w:val="left" w:pos="0"/>
        </w:tabs>
        <w:spacing w:before="53" w:line="283" w:lineRule="auto"/>
        <w:ind w:left="0" w:right="69"/>
        <w:jc w:val="both"/>
        <w:rPr>
          <w:rFonts w:ascii="Abadi" w:eastAsia="Batang" w:hAnsi="Abadi" w:cs="Arial"/>
          <w:sz w:val="21"/>
          <w:szCs w:val="21"/>
        </w:rPr>
      </w:pPr>
      <w:r w:rsidRPr="00DD5A7D">
        <w:rPr>
          <w:rFonts w:ascii="Abadi" w:eastAsia="Batang" w:hAnsi="Abadi" w:cs="Arial"/>
          <w:sz w:val="21"/>
          <w:szCs w:val="21"/>
        </w:rPr>
        <w:tab/>
      </w:r>
    </w:p>
    <w:p w14:paraId="576982EF" w14:textId="77777777" w:rsidR="00421154" w:rsidRPr="00DD5A7D" w:rsidRDefault="00421154" w:rsidP="00421154">
      <w:pPr>
        <w:spacing w:line="276" w:lineRule="auto"/>
        <w:ind w:firstLine="708"/>
        <w:jc w:val="both"/>
        <w:rPr>
          <w:rFonts w:ascii="Abadi" w:eastAsia="Batang" w:hAnsi="Abadi" w:cs="Arial"/>
          <w:sz w:val="21"/>
          <w:szCs w:val="21"/>
        </w:rPr>
      </w:pPr>
      <w:r w:rsidRPr="00DD5A7D">
        <w:rPr>
          <w:rFonts w:ascii="Abadi" w:eastAsia="Batang" w:hAnsi="Abadi" w:cs="Arial"/>
          <w:sz w:val="21"/>
          <w:szCs w:val="21"/>
        </w:rPr>
        <w:t>El objeto de la segunda iniciativa es adicionar un párrafo al artículo 1 de la Constitución Política para el Estado de Guanajuato a fin incluir como derecho humano el internet.</w:t>
      </w:r>
    </w:p>
    <w:p w14:paraId="05D0E4D1" w14:textId="77777777" w:rsidR="00421154" w:rsidRPr="00DD5A7D" w:rsidRDefault="00421154" w:rsidP="00421154">
      <w:pPr>
        <w:spacing w:line="276" w:lineRule="auto"/>
        <w:ind w:firstLine="708"/>
        <w:jc w:val="both"/>
        <w:rPr>
          <w:rFonts w:ascii="Abadi" w:hAnsi="Abadi"/>
          <w:sz w:val="21"/>
          <w:szCs w:val="21"/>
        </w:rPr>
      </w:pPr>
    </w:p>
    <w:p w14:paraId="39E6DF2C" w14:textId="77777777" w:rsidR="00421154" w:rsidRPr="00DD5A7D" w:rsidRDefault="00421154" w:rsidP="00421154">
      <w:pPr>
        <w:spacing w:line="276" w:lineRule="auto"/>
        <w:ind w:firstLine="708"/>
        <w:jc w:val="both"/>
        <w:rPr>
          <w:rFonts w:ascii="Abadi" w:hAnsi="Abadi"/>
          <w:sz w:val="21"/>
          <w:szCs w:val="21"/>
          <w:highlight w:val="yellow"/>
        </w:rPr>
      </w:pPr>
      <w:r w:rsidRPr="00DD5A7D">
        <w:rPr>
          <w:rFonts w:ascii="Abadi" w:hAnsi="Abadi"/>
          <w:sz w:val="21"/>
          <w:szCs w:val="21"/>
        </w:rPr>
        <w:t>Las y los iniciantes dispusieron en su exposición de motivos que:</w:t>
      </w:r>
    </w:p>
    <w:p w14:paraId="690C6C21"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1C9D2354"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Las nuevas tecnologías y los avances científicos han influido en el ámbito de los derechos fundamentales cuya tutela jurisdiccional se caracteriza por un constitucionalismo multinivel.</w:t>
      </w:r>
    </w:p>
    <w:p w14:paraId="53611239"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4E050433"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xml:space="preserve">En este sentido, existe una tendencia en el ámbito constitucional y convencional que ha reconocido el acceso a internet como un derecho fundamental, lo cual responde a un cambio de paradigma que han potenciado las tecnologías de la </w:t>
      </w:r>
      <w:r w:rsidRPr="00DD5A7D">
        <w:rPr>
          <w:rFonts w:ascii="Abadi" w:hAnsi="Abadi" w:cs="Calibri"/>
          <w:bCs/>
          <w:i/>
          <w:sz w:val="21"/>
          <w:szCs w:val="21"/>
        </w:rPr>
        <w:t>información y comunicación.</w:t>
      </w:r>
    </w:p>
    <w:p w14:paraId="317EFD28"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6FC2BF32"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xml:space="preserve">Los avances científicos y tecnológicos presentes en un mundo globalizado como el que caracteriza nuestra sociedad ha tenido un impacto en los derechos fundamentales. El surgimiento de nuevas tecnologías como internet que han permitido la utilización del correo electrónico, las redes sociales y la firma digital son manifestaciones que han influido en los derechos fundamentales pues han cambiado el ejercicio de derechos como acceso a la información, libertad de asociación, libertad de expresión y pensamiento, el derecho a la educación, la salud, pero a la vez han incidido o hecho más vulnerable el derecho a la intimidad o privacidad de las personas. Las tecnologías representan o continúan a representar, un desarrollo de las libertades; más bien, las libertades han podido crecer y ampliarse significativamente hacia nuevas fronteras de la actuación humana propia gracias al progreso tecnológico. Efectivamente, las nuevas tecnologías no solo producen libertad, por así decirlo: la tecnología puede estar al servicio del hombre bueno o malo, del gobernante iluminado o déspota; en un Estado Constitucional liberal, pero la dirección política </w:t>
      </w:r>
      <w:r w:rsidRPr="00DD5A7D">
        <w:rPr>
          <w:rFonts w:ascii="Abadi" w:hAnsi="Abadi" w:cs="Calibri"/>
          <w:bCs/>
          <w:i/>
          <w:sz w:val="21"/>
          <w:szCs w:val="21"/>
        </w:rPr>
        <w:lastRenderedPageBreak/>
        <w:t>debería siempre dirigirse a intervenciones que valoricen y acrecienten la libertad del individuo, y la utilización de las nuevas tecnologías no puede ser instrumental a este objetivo.</w:t>
      </w:r>
    </w:p>
    <w:p w14:paraId="1D2DCEF0"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016884B7"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La expresión «nuovo diritto» o «nuovi diritti umani» es de uso reciente y denota sea más allá de una taxonomía rigurosa, los derechos individuales y los derechos colectivos que durante las últimas décadas del siglo XX fueron social y políticamente reivindicados y que obtuvieron, en diferentes formas, el reconocimiento público en el ámbito de las estructuras políticas occidentales.</w:t>
      </w:r>
    </w:p>
    <w:p w14:paraId="21B80473"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2B8F6A73"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xml:space="preserve">Con esta expresión se pretende hacer referencia a uno de los más relevantes fenómenos destacados por el ordenamiento jurídico en las últimas décadas, como manifestación del principio pluralista. Este fenómeno consiste en el reconocimiento y tutela que se lleva a cabo en los ordenamientos de situaciones jurídicas subjetivas no codificadas en el derecho positivo, en estrecho ligamen con las exigencias de responder a los nuevos “desafíos universales”, o sea, los nuevos grupos de interés que asumen de hecho relevancia, marcan la evolución de la conciencia social, del progreso científico y </w:t>
      </w:r>
      <w:r w:rsidRPr="00DD5A7D">
        <w:rPr>
          <w:rFonts w:ascii="Abadi" w:hAnsi="Abadi" w:cs="Calibri"/>
          <w:bCs/>
          <w:i/>
          <w:sz w:val="21"/>
          <w:szCs w:val="21"/>
        </w:rPr>
        <w:t>tecnológico y de las propias transformaciones culturales.</w:t>
      </w:r>
    </w:p>
    <w:p w14:paraId="37F3855F"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14506990"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En este sentido, son derechos que están relacionados con intereses difusos o colectivos de la sociedad como por ejemplo el derecho a la paz, la protección del medio ambiente, los derechos del consumidor, así como con temas relacionados como los avances científicos.</w:t>
      </w:r>
    </w:p>
    <w:p w14:paraId="6BEE8596"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El concepto de nuevo derecho aparece ciertamente sugestivo, evocando inmediatamente aquella característica típica de los derechos constitucionales de ser al centro de un progreso histórico evolutivo, sin una solución de continuidad, que lleva a una constante actualización y una continua redefinición de su catálogo y del contenido de cada uno de ellos.</w:t>
      </w:r>
    </w:p>
    <w:p w14:paraId="3887C840"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4C1A035C"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xml:space="preserve">De hecho, la naturaleza cambiante de la materia hace que en relación a la incorporación de los derechos no se puede decir que llegó a un punto definitivo, más bien, la aparición constante de nuevos y diferentes casos requieren una actualización en curso del catálogo constitucional. Se trata de fenómenos evolutivos que contradicen la idea de que los derechos humanos sean un complejo normativo </w:t>
      </w:r>
      <w:r w:rsidRPr="00DD5A7D">
        <w:rPr>
          <w:rFonts w:ascii="Abadi" w:hAnsi="Abadi" w:cs="Calibri"/>
          <w:bCs/>
          <w:i/>
          <w:sz w:val="21"/>
          <w:szCs w:val="21"/>
        </w:rPr>
        <w:lastRenderedPageBreak/>
        <w:t xml:space="preserve">cumplido, estático </w:t>
      </w:r>
      <w:proofErr w:type="gramStart"/>
      <w:r w:rsidRPr="00DD5A7D">
        <w:rPr>
          <w:rFonts w:ascii="Abadi" w:hAnsi="Abadi" w:cs="Calibri"/>
          <w:bCs/>
          <w:i/>
          <w:sz w:val="21"/>
          <w:szCs w:val="21"/>
        </w:rPr>
        <w:t>e</w:t>
      </w:r>
      <w:proofErr w:type="gramEnd"/>
      <w:r w:rsidRPr="00DD5A7D">
        <w:rPr>
          <w:rFonts w:ascii="Abadi" w:hAnsi="Abadi" w:cs="Calibri"/>
          <w:bCs/>
          <w:i/>
          <w:sz w:val="21"/>
          <w:szCs w:val="21"/>
        </w:rPr>
        <w:t xml:space="preserve"> universal.</w:t>
      </w:r>
    </w:p>
    <w:p w14:paraId="1CFFBE89"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1A3D46A5"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w:t>
      </w:r>
    </w:p>
    <w:p w14:paraId="3BCBD63F"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15E71278"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En efecto cada usuario es libre de aportar su propia contribución en el espacio virtual, participando en su ampliación e intensificando así el intercambio de conocimiento e informaciones. En el ámbito de doctrina el internet puede ser analizado (al menos) desde tres planos: el primero de ellos es el acceso a la red, que constituye un prius lógico respecto de los otros dos: el ejercicio de las libertades y derechos en la red y la governance de internet.</w:t>
      </w:r>
    </w:p>
    <w:p w14:paraId="5CBC486E"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3E337EB3"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La presente iniciativa se centra sobre el derecho de acceso a internet, el cual debe considerarse un derecho social, o más bien una pretensión subjetiva que debe ser satisfecha con prestaciones públicas, al igual que el derecho a la educación, de la salud y providencia social. Un servicio universal que las instituciones nacionales deben garantizar a sus ciudadanos a través de inversiones estatales, políticas, sociales y educativas, elecciones de gasto público.</w:t>
      </w:r>
    </w:p>
    <w:p w14:paraId="58907197"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3862A285"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xml:space="preserve">Lo anterior, toda vez que el acceso a la red de internet y el desarrollo de esa actividad constituye el modo en el cual el sujeto se relaciona con los </w:t>
      </w:r>
      <w:r w:rsidRPr="00DD5A7D">
        <w:rPr>
          <w:rFonts w:ascii="Abadi" w:hAnsi="Abadi" w:cs="Calibri"/>
          <w:bCs/>
          <w:i/>
          <w:sz w:val="21"/>
          <w:szCs w:val="21"/>
        </w:rPr>
        <w:t>poderes públicos, y por lo tanto, ejerce sus derechos. El uso de internet se está convirtiendo en una herramienta imprescindible para la</w:t>
      </w:r>
    </w:p>
    <w:p w14:paraId="3B019B0A"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libertad de expresión y para el acceso a la información. Más que una posibilidad de comunicación se está convirtiendo en una necesidad debido al periodo de globalización que hoy se vive.</w:t>
      </w:r>
    </w:p>
    <w:p w14:paraId="47A5967D"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368B1AAB"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xml:space="preserve">En este sentido, los Estados tienen la obligación de promover el acceso universal a internet para garantizar el disfrute efectivo del derecho a la libertad de expresión. El acceso a internet también es necesario para asegurar el respeto de otros derechos, como el derecho a la educación, la atención de la salud y el trabajo, el derecho de reunión y asociación, y el derecho a elecciones libres. En el ámbito normativo encontramos una serie de antecedentes normativos que Al respecto, la Convención Internacional sobre los Derechos de las Personas con Discapacidad de la Organización de Naciones Unidas (ONU) en el artículo 21 inciso c) dispone: Los Estados Partes adoptarán todas las medidas pertinentes para que las personas con discapacidad puedan ejercer el derecho a la libertad de expresión y opinión, incluida la libertad de </w:t>
      </w:r>
      <w:r w:rsidRPr="00DD5A7D">
        <w:rPr>
          <w:rFonts w:ascii="Abadi" w:hAnsi="Abadi" w:cs="Calibri"/>
          <w:bCs/>
          <w:i/>
          <w:sz w:val="21"/>
          <w:szCs w:val="21"/>
        </w:rPr>
        <w:lastRenderedPageBreak/>
        <w:t>recabar, recibir y facilitar información e ideas en igualdad de condiciones con las demás y mediante cualquier forma de comunicación que elijan: c) Alentar a las entidades privadas que presten servicios al público en general, incluso mediante Internet, a que proporcionen información y servicios en formatos que las personas con discapacidad puedan utilizar y a los que tengan acceso.</w:t>
      </w:r>
    </w:p>
    <w:p w14:paraId="118AE31F"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1837DD4D"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Por otra parte, en el ámbito de la Unión Europea, el Parlamento Europeo en la resolución del 18 de abril del 2008 determinó que: Internet es una vasta plataforma para la expresión cultural, el acceso al conocimiento y a la participación democrática en la creatividad europea, que crea puentes entre generaciones en la sociedad de la información, y consecuentemente, es importante evitar la adopción de medidas contrarias con los derechos civiles, los derechos humanos y con los principios de proporcionalidad, eficacia y disuasión, como la interrupción del acceso a internet, reconocieron la influencia del internet en el ámbito de los derechos fundamentales.</w:t>
      </w:r>
    </w:p>
    <w:p w14:paraId="32319FED"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34D10F7B"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xml:space="preserve">Además, encontramos una serie de sentencias que han reconocido una </w:t>
      </w:r>
      <w:r w:rsidRPr="00DD5A7D">
        <w:rPr>
          <w:rFonts w:ascii="Abadi" w:hAnsi="Abadi" w:cs="Calibri"/>
          <w:bCs/>
          <w:i/>
          <w:sz w:val="21"/>
          <w:szCs w:val="21"/>
        </w:rPr>
        <w:t>especial protección al acceso a internet a través de un “activism”, en particular por giurisdizioni costituzionali que han sido pioneras en la materia. Al respecto, el Consejo Constitucional Francés en la histórica sentencia No. 2009- 580 DC de 10 de junio de 2009 reconoció como un derecho básico el acceso a internet, al desprenderlo de lo dispuesto en el artículo 11 de la Declaración de los Derechos del Hombre y del Ciudadano de 1789 que tutela la libre comunicación de pensamientos y opiniones.</w:t>
      </w:r>
    </w:p>
    <w:p w14:paraId="534BA6FE"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185238CA"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xml:space="preserve">Posteriormente, la Sala Constitucional de la Corte Suprema de Justicia de Costa Rica en la sentencia número 12790- 2010 fue más allá, reconociendo el acceso a internet como un derecho fundamental. En el ámbito legal encontramos como en Finlandia se aprobó una ley que entró en vigor el 1 de julio del 2010 que reconoció el acceso a internet como un derecho. </w:t>
      </w:r>
    </w:p>
    <w:p w14:paraId="2559610C"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70ECBDA8"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xml:space="preserve">En el mismo sentido, nuestra Constitución Federal en el párrafo cuarto del artículo 6to reconoce el derecho de acceso al internet de la siguiente manera: “El Estado garantizará el derecho de acceso a las tecnologías de la información y comunicación, así como a los servicios de </w:t>
      </w:r>
      <w:r w:rsidRPr="00DD5A7D">
        <w:rPr>
          <w:rFonts w:ascii="Abadi" w:hAnsi="Abadi" w:cs="Calibri"/>
          <w:bCs/>
          <w:i/>
          <w:sz w:val="21"/>
          <w:szCs w:val="21"/>
        </w:rPr>
        <w:lastRenderedPageBreak/>
        <w:t>radiodifusión y telecomunicaciones, incluido el de banda ancha e internet. Para tales efectos, el Estado establecerá condiciones de competencia efectiva en la prestación de dichos servicios. Así, el acceso al derecho fundamental al internet tiene una serie de principios orientadores dentro de los que se destaca: 1. Acceso; 2. Pluralismo; 3. No discriminación. 4. Privacidad. La accesibilidad impone cuanto menos tres tipos de medidas: las medidas positivas de inclusión, o cierre de la brecha digital; los esfuerzos de desarrollar planes para asegurar que la infraestructura y los servicios tiendan a garantizar, progresivamente, el acceso universal; así como medidas para prohibir el bloqueo o la limitación al acceso de internet o a parte de esta.</w:t>
      </w:r>
    </w:p>
    <w:p w14:paraId="4534CDFE"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15CF5BC6"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xml:space="preserve">La Asamblea General de la Organización de las Naciones Unidas (ONU) en el año 2011 declaró el acceso a internet como un derecho humano por ser una herramienta que favorece el crecimiento y el progreso de la sociedad en su conjunto. En este sentido, en el informe denominado tendencias claves y los desafíos que enfrenta el acceso a internet como derecho universal, el relator especial en la promoción y protección </w:t>
      </w:r>
      <w:r w:rsidRPr="00DD5A7D">
        <w:rPr>
          <w:rFonts w:ascii="Abadi" w:hAnsi="Abadi" w:cs="Calibri"/>
          <w:bCs/>
          <w:i/>
          <w:sz w:val="21"/>
          <w:szCs w:val="21"/>
        </w:rPr>
        <w:t>del derecho a la libertad de opinión y expresión de las Naciones Unidas lo anterior, al considerarse que el Internet es uno de los instrumentos más poderosos del siglo XXI para exigir más transparencia en la conducta a quienes ejercen el poder, acceder a información y facilitar la participación ciudadana activa en la forja de sociedades democráticas.</w:t>
      </w:r>
    </w:p>
    <w:p w14:paraId="4F006DE1"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5E843E5B"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Pocas apariciones de nuevas tecnologías de la información, por no decir ninguna, han tenido un efecto tan revolucionario como la creación de Internet. A diferencia de cualquier otro medio de comunicación, como la radio, la televisión y la imprenta, todos ellos basados en una transmisión unidireccional de información, Internet representa un gran avance como medio interactivo. De hecho, con la llegada de los servicios Web 2.0, integrados por plataformas de intermediación que facilitan el intercambio participativo de información y la colaboración en la creación de contenidos, los usuarios han dejado de ser receptores pasivos para convertirse en generadores activos de información.</w:t>
      </w:r>
    </w:p>
    <w:p w14:paraId="12591F4C"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00127237"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xml:space="preserve">En un plano más general, al permitir el intercambio instantáneo de información e ideas a </w:t>
      </w:r>
      <w:r w:rsidRPr="00DD5A7D">
        <w:rPr>
          <w:rFonts w:ascii="Abadi" w:hAnsi="Abadi" w:cs="Calibri"/>
          <w:bCs/>
          <w:i/>
          <w:sz w:val="21"/>
          <w:szCs w:val="21"/>
        </w:rPr>
        <w:lastRenderedPageBreak/>
        <w:t>bajo costo a través de las fronteras nacionales, Internet facilita el acceso a información y conocimientos que antes no se podían obtener, lo cual, a su vez contribuye al descubrimiento de la verdad y al progreso de la sociedad en su conjunto. De hecho, Internet ha pasado a ser un medio fundamental para que las personas ejerzan su derecho a la libertad de opinión y de expresión, garantizado por el artículo 19 de la Declaración Universal de Derechos Humanos y el Pacto Internacional de Derechos Civiles y Políticos.</w:t>
      </w:r>
    </w:p>
    <w:p w14:paraId="5EB46605" w14:textId="77777777" w:rsidR="00421154" w:rsidRPr="00DD5A7D" w:rsidRDefault="00421154" w:rsidP="00421154">
      <w:pPr>
        <w:autoSpaceDE w:val="0"/>
        <w:autoSpaceDN w:val="0"/>
        <w:adjustRightInd w:val="0"/>
        <w:ind w:left="1134" w:right="1036"/>
        <w:jc w:val="both"/>
        <w:rPr>
          <w:rFonts w:ascii="Abadi" w:hAnsi="Abadi" w:cs="Calibri"/>
          <w:bCs/>
          <w:i/>
          <w:sz w:val="21"/>
          <w:szCs w:val="21"/>
        </w:rPr>
      </w:pPr>
    </w:p>
    <w:p w14:paraId="49BAB6F1" w14:textId="77777777" w:rsidR="00421154" w:rsidRPr="003A358F" w:rsidRDefault="00421154" w:rsidP="00421154">
      <w:pPr>
        <w:autoSpaceDE w:val="0"/>
        <w:autoSpaceDN w:val="0"/>
        <w:adjustRightInd w:val="0"/>
        <w:ind w:left="1134" w:right="1036"/>
        <w:jc w:val="both"/>
        <w:rPr>
          <w:rFonts w:ascii="Abadi" w:hAnsi="Abadi" w:cs="Calibri"/>
          <w:bCs/>
          <w:i/>
          <w:sz w:val="21"/>
          <w:szCs w:val="21"/>
        </w:rPr>
      </w:pPr>
      <w:r w:rsidRPr="00DD5A7D">
        <w:rPr>
          <w:rFonts w:ascii="Abadi" w:hAnsi="Abadi" w:cs="Calibri"/>
          <w:bCs/>
          <w:i/>
          <w:sz w:val="21"/>
          <w:szCs w:val="21"/>
        </w:rPr>
        <w:t xml:space="preserve">Los enormes beneficios y posibilidades de Internet se fundan en sus características singulares, como su velocidad, su alcance mundial y su relativo anonimato. A la vez, estos rasgos distintivos de Internet, que permiten a las personas difundir información "en tiempo real" y movilizar a las personas, también han suscitado temor en los gobiernos y los poderosos, con lo cual han aumentado las restricciones impuestas a Internet mediante el uso de tecnologías cada vez más avanzadas para bloquear contenidos, vigilar y detectar a activistas y críticos, tipificar como delito la expresión legítima de opiniones y adoptar </w:t>
      </w:r>
      <w:r w:rsidRPr="003A358F">
        <w:rPr>
          <w:rFonts w:ascii="Abadi" w:hAnsi="Abadi" w:cs="Calibri"/>
          <w:bCs/>
          <w:i/>
          <w:sz w:val="21"/>
          <w:szCs w:val="21"/>
        </w:rPr>
        <w:t>legislación restrictiva para justificar esas medidas.</w:t>
      </w:r>
    </w:p>
    <w:p w14:paraId="1B091CF6" w14:textId="77777777" w:rsidR="00421154" w:rsidRPr="003A358F" w:rsidRDefault="00421154" w:rsidP="00421154">
      <w:pPr>
        <w:autoSpaceDE w:val="0"/>
        <w:autoSpaceDN w:val="0"/>
        <w:adjustRightInd w:val="0"/>
        <w:ind w:left="1134" w:right="1036"/>
        <w:jc w:val="both"/>
        <w:rPr>
          <w:rFonts w:ascii="Abadi" w:hAnsi="Abadi" w:cs="Calibri"/>
          <w:bCs/>
          <w:i/>
          <w:sz w:val="21"/>
          <w:szCs w:val="21"/>
        </w:rPr>
      </w:pPr>
    </w:p>
    <w:p w14:paraId="47A8C1F0" w14:textId="77777777" w:rsidR="00421154" w:rsidRPr="003A358F" w:rsidRDefault="00421154" w:rsidP="00421154">
      <w:pPr>
        <w:autoSpaceDE w:val="0"/>
        <w:autoSpaceDN w:val="0"/>
        <w:adjustRightInd w:val="0"/>
        <w:ind w:left="1134" w:right="1036"/>
        <w:jc w:val="both"/>
        <w:rPr>
          <w:rFonts w:ascii="Abadi" w:hAnsi="Abadi" w:cs="Calibri"/>
          <w:bCs/>
          <w:i/>
          <w:sz w:val="21"/>
          <w:szCs w:val="21"/>
        </w:rPr>
      </w:pPr>
      <w:r w:rsidRPr="003A358F">
        <w:rPr>
          <w:rFonts w:ascii="Abadi" w:hAnsi="Abadi" w:cs="Calibri"/>
          <w:bCs/>
          <w:i/>
          <w:sz w:val="21"/>
          <w:szCs w:val="21"/>
        </w:rPr>
        <w:t>En vista de que Internet se ha convertido en un instrumento indispensable para ejercer diversos derechos humanos, luchar contra la desigualdad y acelerar el desarrollo y el progreso humano, la meta del acceso universal a Internet ha de ser prioritaria para todos los Estados.</w:t>
      </w:r>
    </w:p>
    <w:p w14:paraId="3024F359" w14:textId="77777777" w:rsidR="00421154" w:rsidRPr="003A358F" w:rsidRDefault="00421154" w:rsidP="00421154">
      <w:pPr>
        <w:autoSpaceDE w:val="0"/>
        <w:autoSpaceDN w:val="0"/>
        <w:adjustRightInd w:val="0"/>
        <w:ind w:left="1134" w:right="1036"/>
        <w:jc w:val="both"/>
        <w:rPr>
          <w:rFonts w:ascii="Abadi" w:hAnsi="Abadi" w:cs="Calibri"/>
          <w:bCs/>
          <w:i/>
          <w:sz w:val="21"/>
          <w:szCs w:val="21"/>
        </w:rPr>
      </w:pPr>
    </w:p>
    <w:p w14:paraId="14986B09" w14:textId="77777777" w:rsidR="00421154" w:rsidRPr="003A358F" w:rsidRDefault="00421154" w:rsidP="00421154">
      <w:pPr>
        <w:autoSpaceDE w:val="0"/>
        <w:autoSpaceDN w:val="0"/>
        <w:adjustRightInd w:val="0"/>
        <w:ind w:left="1134" w:right="1036"/>
        <w:jc w:val="both"/>
        <w:rPr>
          <w:rFonts w:ascii="Abadi" w:hAnsi="Abadi" w:cs="Calibri"/>
          <w:bCs/>
          <w:i/>
          <w:sz w:val="21"/>
          <w:szCs w:val="21"/>
        </w:rPr>
      </w:pPr>
      <w:r w:rsidRPr="003A358F">
        <w:rPr>
          <w:rFonts w:ascii="Abadi" w:hAnsi="Abadi" w:cs="Calibri"/>
          <w:bCs/>
          <w:i/>
          <w:sz w:val="21"/>
          <w:szCs w:val="21"/>
        </w:rPr>
        <w:t>(…)</w:t>
      </w:r>
    </w:p>
    <w:p w14:paraId="364EF99C" w14:textId="77777777" w:rsidR="00421154" w:rsidRPr="003A358F" w:rsidRDefault="00421154" w:rsidP="00421154">
      <w:pPr>
        <w:autoSpaceDE w:val="0"/>
        <w:autoSpaceDN w:val="0"/>
        <w:adjustRightInd w:val="0"/>
        <w:ind w:left="1134" w:right="1036"/>
        <w:jc w:val="both"/>
        <w:rPr>
          <w:rFonts w:ascii="Abadi" w:hAnsi="Abadi" w:cs="Calibri"/>
          <w:bCs/>
          <w:i/>
          <w:sz w:val="21"/>
          <w:szCs w:val="21"/>
        </w:rPr>
      </w:pPr>
    </w:p>
    <w:p w14:paraId="0ECA9823" w14:textId="77777777" w:rsidR="00421154" w:rsidRPr="003A358F" w:rsidRDefault="00421154" w:rsidP="00421154">
      <w:pPr>
        <w:autoSpaceDE w:val="0"/>
        <w:autoSpaceDN w:val="0"/>
        <w:adjustRightInd w:val="0"/>
        <w:ind w:left="1134" w:right="1036"/>
        <w:jc w:val="both"/>
        <w:rPr>
          <w:rFonts w:ascii="Abadi" w:hAnsi="Abadi" w:cs="Calibri"/>
          <w:bCs/>
          <w:i/>
          <w:sz w:val="21"/>
          <w:szCs w:val="21"/>
        </w:rPr>
      </w:pPr>
      <w:r w:rsidRPr="003A358F">
        <w:rPr>
          <w:rFonts w:ascii="Abadi" w:hAnsi="Abadi" w:cs="Calibri"/>
          <w:bCs/>
          <w:i/>
          <w:sz w:val="21"/>
          <w:szCs w:val="21"/>
        </w:rPr>
        <w:t>De ser aprobada, la presente iniciativa tendrá los siguientes impactos de</w:t>
      </w:r>
    </w:p>
    <w:p w14:paraId="0D3B2E9D" w14:textId="77777777" w:rsidR="00421154" w:rsidRPr="003A358F" w:rsidRDefault="00421154" w:rsidP="00421154">
      <w:pPr>
        <w:autoSpaceDE w:val="0"/>
        <w:autoSpaceDN w:val="0"/>
        <w:adjustRightInd w:val="0"/>
        <w:ind w:left="1134" w:right="1036"/>
        <w:jc w:val="both"/>
        <w:rPr>
          <w:rFonts w:ascii="Abadi" w:hAnsi="Abadi" w:cs="Calibri"/>
          <w:bCs/>
          <w:i/>
          <w:sz w:val="21"/>
          <w:szCs w:val="21"/>
        </w:rPr>
      </w:pPr>
      <w:r w:rsidRPr="003A358F">
        <w:rPr>
          <w:rFonts w:ascii="Abadi" w:hAnsi="Abadi" w:cs="Calibri"/>
          <w:bCs/>
          <w:i/>
          <w:sz w:val="21"/>
          <w:szCs w:val="21"/>
        </w:rPr>
        <w:t>conformidad con el artículo 209 de la Ley Orgánica del Poder Legislativo del Estado de Guanajuato:</w:t>
      </w:r>
    </w:p>
    <w:p w14:paraId="327803D8" w14:textId="77777777" w:rsidR="00421154" w:rsidRPr="003A358F" w:rsidRDefault="00421154" w:rsidP="00421154">
      <w:pPr>
        <w:autoSpaceDE w:val="0"/>
        <w:autoSpaceDN w:val="0"/>
        <w:adjustRightInd w:val="0"/>
        <w:ind w:left="1134" w:right="1036"/>
        <w:jc w:val="both"/>
        <w:rPr>
          <w:rFonts w:ascii="Abadi" w:hAnsi="Abadi" w:cs="Calibri"/>
          <w:bCs/>
          <w:i/>
          <w:sz w:val="21"/>
          <w:szCs w:val="21"/>
        </w:rPr>
      </w:pPr>
      <w:r w:rsidRPr="003A358F">
        <w:rPr>
          <w:rFonts w:ascii="Abadi" w:hAnsi="Abadi" w:cs="Calibri"/>
          <w:bCs/>
          <w:i/>
          <w:sz w:val="21"/>
          <w:szCs w:val="21"/>
        </w:rPr>
        <w:t>I. Impacto jurídico: Se adiciona un párrafo al artículo 1 de la Constitución Política del Estado Libre y Soberano de Guanajuato, en materia del reconocimiento del derecho fundamental de acceso al internet.</w:t>
      </w:r>
    </w:p>
    <w:p w14:paraId="413841E5" w14:textId="77777777" w:rsidR="00421154" w:rsidRPr="003A358F" w:rsidRDefault="00421154" w:rsidP="00421154">
      <w:pPr>
        <w:autoSpaceDE w:val="0"/>
        <w:autoSpaceDN w:val="0"/>
        <w:adjustRightInd w:val="0"/>
        <w:ind w:left="1134" w:right="1036"/>
        <w:jc w:val="both"/>
        <w:rPr>
          <w:rFonts w:ascii="Abadi" w:hAnsi="Abadi" w:cs="Calibri"/>
          <w:bCs/>
          <w:i/>
          <w:sz w:val="21"/>
          <w:szCs w:val="21"/>
        </w:rPr>
      </w:pPr>
      <w:r w:rsidRPr="003A358F">
        <w:rPr>
          <w:rFonts w:ascii="Abadi" w:hAnsi="Abadi" w:cs="Calibri"/>
          <w:bCs/>
          <w:i/>
          <w:sz w:val="21"/>
          <w:szCs w:val="21"/>
        </w:rPr>
        <w:t>II. Impacto administrativo: Tocante a este aspecto, el impacto administrativo que se observa, habrá de impactar en las políticas públicas que una vez que se reconozca el derecho fundamental de acceso al internet en la Constitución Local del Estado de Guanajuato, se tengan que implementar por parte de todas las autoridades de este Estado.</w:t>
      </w:r>
    </w:p>
    <w:p w14:paraId="2644D286" w14:textId="77777777" w:rsidR="00421154" w:rsidRPr="003A358F" w:rsidRDefault="00421154" w:rsidP="00421154">
      <w:pPr>
        <w:autoSpaceDE w:val="0"/>
        <w:autoSpaceDN w:val="0"/>
        <w:adjustRightInd w:val="0"/>
        <w:ind w:left="1134" w:right="1036"/>
        <w:jc w:val="both"/>
        <w:rPr>
          <w:rFonts w:ascii="Abadi" w:hAnsi="Abadi" w:cs="Calibri"/>
          <w:bCs/>
          <w:i/>
          <w:sz w:val="21"/>
          <w:szCs w:val="21"/>
        </w:rPr>
      </w:pPr>
      <w:r w:rsidRPr="003A358F">
        <w:rPr>
          <w:rFonts w:ascii="Abadi" w:hAnsi="Abadi" w:cs="Calibri"/>
          <w:bCs/>
          <w:i/>
          <w:sz w:val="21"/>
          <w:szCs w:val="21"/>
        </w:rPr>
        <w:t xml:space="preserve">III. Impacto presupuestario: A primera vista, el reconocimiento del </w:t>
      </w:r>
      <w:r w:rsidRPr="003A358F">
        <w:rPr>
          <w:rFonts w:ascii="Abadi" w:hAnsi="Abadi" w:cs="Calibri"/>
          <w:bCs/>
          <w:i/>
          <w:sz w:val="21"/>
          <w:szCs w:val="21"/>
        </w:rPr>
        <w:lastRenderedPageBreak/>
        <w:t>derecho fundamental de acceso al internet no tiene un impacto presupuestario, sin embargo, una vez que se lleve a cabo el referido reconocimiento habrá de impactar en las políticas públicas que al efecto las autoridades estatales deban establecer para garantizar su efectividad, todo ello a la luz del principio de progresividad de los derechos, es decir, bajo la utilización del máximo de los recursos disponibles.</w:t>
      </w:r>
    </w:p>
    <w:p w14:paraId="394D1A79" w14:textId="77777777" w:rsidR="00421154" w:rsidRPr="003A358F" w:rsidRDefault="00421154" w:rsidP="00421154">
      <w:pPr>
        <w:autoSpaceDE w:val="0"/>
        <w:autoSpaceDN w:val="0"/>
        <w:adjustRightInd w:val="0"/>
        <w:ind w:left="1134" w:right="1036"/>
        <w:jc w:val="both"/>
        <w:rPr>
          <w:rFonts w:ascii="Abadi" w:hAnsi="Abadi" w:cs="Calibri"/>
          <w:bCs/>
          <w:i/>
          <w:sz w:val="21"/>
          <w:szCs w:val="21"/>
        </w:rPr>
      </w:pPr>
      <w:r w:rsidRPr="003A358F">
        <w:rPr>
          <w:rFonts w:ascii="Abadi" w:hAnsi="Abadi" w:cs="Calibri"/>
          <w:bCs/>
          <w:i/>
          <w:sz w:val="21"/>
          <w:szCs w:val="21"/>
        </w:rPr>
        <w:t>IV. Impacto social: Se contribuye a dar acceso a toda la población del Estado de Guanajuato a las herramientas tecnológicas que se han vuelto indispensables y que han impregnado todas las actividades que se desarrollan.»</w:t>
      </w:r>
    </w:p>
    <w:p w14:paraId="5DFD6BD9" w14:textId="77777777" w:rsidR="00421154" w:rsidRPr="003A358F" w:rsidRDefault="00421154" w:rsidP="00421154">
      <w:pPr>
        <w:pStyle w:val="Prrafodelista"/>
        <w:widowControl w:val="0"/>
        <w:tabs>
          <w:tab w:val="left" w:pos="0"/>
        </w:tabs>
        <w:spacing w:before="53" w:line="283" w:lineRule="auto"/>
        <w:ind w:left="0" w:right="69"/>
        <w:jc w:val="both"/>
        <w:rPr>
          <w:rFonts w:ascii="Abadi" w:eastAsia="Batang" w:hAnsi="Abadi" w:cs="Arial"/>
          <w:bCs/>
          <w:sz w:val="21"/>
          <w:szCs w:val="21"/>
        </w:rPr>
      </w:pPr>
    </w:p>
    <w:p w14:paraId="5E1F4024" w14:textId="77777777" w:rsidR="00421154" w:rsidRPr="003A358F" w:rsidRDefault="00421154" w:rsidP="00421154">
      <w:pPr>
        <w:spacing w:line="276" w:lineRule="auto"/>
        <w:ind w:firstLine="708"/>
        <w:jc w:val="both"/>
        <w:rPr>
          <w:rFonts w:ascii="Abadi" w:eastAsia="Batang" w:hAnsi="Abadi" w:cs="Arial"/>
          <w:bCs/>
          <w:sz w:val="21"/>
          <w:szCs w:val="21"/>
        </w:rPr>
      </w:pPr>
      <w:r w:rsidRPr="003A358F">
        <w:rPr>
          <w:rFonts w:ascii="Abadi" w:eastAsia="Batang" w:hAnsi="Abadi" w:cs="Arial"/>
          <w:bCs/>
          <w:sz w:val="21"/>
          <w:szCs w:val="21"/>
        </w:rPr>
        <w:t>Quienes integramos la Comisión de Gobernación y Puntos Constitucionales, consideramos oportuno realizar un análisis general de los tópicos propuestos, y emitir los comentarios de carácter general al respecto, a efecto de hacer una valorización y considerar la viabilidad de las propuestas contenidas en las iniciativas que se dictaminan.</w:t>
      </w:r>
    </w:p>
    <w:p w14:paraId="6FEC9CE3" w14:textId="77777777" w:rsidR="00421154" w:rsidRPr="003A358F" w:rsidRDefault="00421154" w:rsidP="00421154">
      <w:pPr>
        <w:spacing w:line="276" w:lineRule="auto"/>
        <w:ind w:firstLine="708"/>
        <w:jc w:val="both"/>
        <w:rPr>
          <w:rFonts w:ascii="Abadi" w:eastAsia="Batang" w:hAnsi="Abadi" w:cs="Arial"/>
          <w:bCs/>
          <w:sz w:val="21"/>
          <w:szCs w:val="21"/>
        </w:rPr>
      </w:pPr>
    </w:p>
    <w:p w14:paraId="634B9B50" w14:textId="77777777" w:rsidR="00421154" w:rsidRPr="003A358F" w:rsidRDefault="00421154" w:rsidP="00421154">
      <w:pPr>
        <w:pStyle w:val="Estilo"/>
        <w:spacing w:line="276" w:lineRule="auto"/>
        <w:ind w:firstLine="708"/>
        <w:rPr>
          <w:rFonts w:ascii="Abadi" w:eastAsia="Batang" w:hAnsi="Abadi"/>
          <w:bCs/>
          <w:sz w:val="21"/>
          <w:szCs w:val="21"/>
          <w:lang w:eastAsia="en-US"/>
        </w:rPr>
      </w:pPr>
      <w:r w:rsidRPr="003A358F">
        <w:rPr>
          <w:rFonts w:ascii="Abadi" w:eastAsia="Batang" w:hAnsi="Abadi"/>
          <w:bCs/>
          <w:sz w:val="21"/>
          <w:szCs w:val="21"/>
          <w:lang w:eastAsia="en-US"/>
        </w:rPr>
        <w:t xml:space="preserve">En ese sentido, por un lado, con respecto a la primera propuesta es importante referir que implementar el </w:t>
      </w:r>
      <w:r w:rsidRPr="003A358F">
        <w:rPr>
          <w:rFonts w:ascii="Abadi" w:eastAsia="Batang" w:hAnsi="Abadi"/>
          <w:bCs/>
          <w:i/>
          <w:iCs/>
          <w:sz w:val="21"/>
          <w:szCs w:val="21"/>
          <w:lang w:eastAsia="en-US"/>
        </w:rPr>
        <w:t>Gobierno Digital en Guanajuato</w:t>
      </w:r>
      <w:r w:rsidRPr="003A358F">
        <w:rPr>
          <w:rFonts w:ascii="Abadi" w:eastAsia="Batang" w:hAnsi="Abadi"/>
          <w:bCs/>
          <w:sz w:val="21"/>
          <w:szCs w:val="21"/>
          <w:lang w:eastAsia="en-US"/>
        </w:rPr>
        <w:t xml:space="preserve"> como lo aluden los iniciantes, dentro del alcance al cual consideran impactar permitirá conducir la administración pública de forma moderna, eficiente, eficaz y transparente en todas las instituciones del sector público, y contribuir al crecimiento y desarrollo del Estado, mediante el uso estratégico de las tecnologías.</w:t>
      </w:r>
    </w:p>
    <w:p w14:paraId="669226CC" w14:textId="77777777" w:rsidR="00421154" w:rsidRPr="003A358F" w:rsidRDefault="00421154" w:rsidP="00421154">
      <w:pPr>
        <w:pStyle w:val="Estilo"/>
        <w:spacing w:line="276" w:lineRule="auto"/>
        <w:ind w:firstLine="708"/>
        <w:rPr>
          <w:rFonts w:ascii="Abadi" w:eastAsia="Batang" w:hAnsi="Abadi"/>
          <w:bCs/>
          <w:sz w:val="21"/>
          <w:szCs w:val="21"/>
          <w:lang w:eastAsia="en-US"/>
        </w:rPr>
      </w:pPr>
    </w:p>
    <w:p w14:paraId="0FE75F0B" w14:textId="77777777" w:rsidR="00421154" w:rsidRPr="003A358F" w:rsidRDefault="00421154" w:rsidP="00421154">
      <w:pPr>
        <w:pStyle w:val="Estilo"/>
        <w:spacing w:line="276" w:lineRule="auto"/>
        <w:ind w:firstLine="708"/>
        <w:rPr>
          <w:rFonts w:ascii="Abadi" w:eastAsia="Batang" w:hAnsi="Abadi"/>
          <w:bCs/>
          <w:sz w:val="21"/>
          <w:szCs w:val="21"/>
          <w:lang w:eastAsia="en-US"/>
        </w:rPr>
      </w:pPr>
      <w:r w:rsidRPr="003A358F">
        <w:rPr>
          <w:rFonts w:ascii="Abadi" w:eastAsia="Batang" w:hAnsi="Abadi"/>
          <w:bCs/>
          <w:sz w:val="21"/>
          <w:szCs w:val="21"/>
          <w:lang w:eastAsia="en-US"/>
        </w:rPr>
        <w:t xml:space="preserve">Las y los iniciantes buscan </w:t>
      </w:r>
      <w:r w:rsidRPr="003A358F">
        <w:rPr>
          <w:rFonts w:ascii="Abadi" w:eastAsia="Batang" w:hAnsi="Abadi"/>
          <w:bCs/>
          <w:i/>
          <w:iCs/>
          <w:sz w:val="21"/>
          <w:szCs w:val="21"/>
          <w:lang w:eastAsia="en-US"/>
        </w:rPr>
        <w:t>con la propuesta</w:t>
      </w:r>
      <w:r w:rsidRPr="003A358F">
        <w:rPr>
          <w:rFonts w:ascii="Abadi" w:eastAsia="Batang" w:hAnsi="Abadi"/>
          <w:bCs/>
          <w:sz w:val="21"/>
          <w:szCs w:val="21"/>
          <w:lang w:eastAsia="en-US"/>
        </w:rPr>
        <w:t xml:space="preserve"> dar respuesta a las demandas </w:t>
      </w:r>
      <w:r w:rsidRPr="003A358F">
        <w:rPr>
          <w:rFonts w:ascii="Abadi" w:eastAsia="Batang" w:hAnsi="Abadi"/>
          <w:bCs/>
          <w:sz w:val="21"/>
          <w:szCs w:val="21"/>
          <w:lang w:eastAsia="en-US"/>
        </w:rPr>
        <w:t xml:space="preserve">ciudadanas que exigen más y mejores servicios a un ritmo más rápido, es por ello que esta propuesta se centra en beneficiar a la ciudadanía, generando un gobierno más cercano, que contribuya al mejoramiento de la calidad de vida de las personas. No dejamos de lado el hecho de que este ejercicio se fundamenta en el principio de </w:t>
      </w:r>
      <w:r w:rsidRPr="003A358F">
        <w:rPr>
          <w:rFonts w:ascii="Abadi" w:eastAsia="Batang" w:hAnsi="Abadi"/>
          <w:bCs/>
          <w:i/>
          <w:iCs/>
          <w:sz w:val="21"/>
          <w:szCs w:val="21"/>
          <w:lang w:eastAsia="en-US"/>
        </w:rPr>
        <w:t>Parlamento Abierto</w:t>
      </w:r>
      <w:r w:rsidRPr="003A358F">
        <w:rPr>
          <w:rFonts w:ascii="Abadi" w:eastAsia="Batang" w:hAnsi="Abadi"/>
          <w:bCs/>
          <w:sz w:val="21"/>
          <w:szCs w:val="21"/>
          <w:lang w:eastAsia="en-US"/>
        </w:rPr>
        <w:t>.</w:t>
      </w:r>
    </w:p>
    <w:p w14:paraId="3A35D0EF" w14:textId="77777777" w:rsidR="00421154" w:rsidRPr="003A358F" w:rsidRDefault="00421154" w:rsidP="00421154">
      <w:pPr>
        <w:pStyle w:val="Estilo"/>
        <w:spacing w:line="276" w:lineRule="auto"/>
        <w:rPr>
          <w:rFonts w:ascii="Abadi" w:hAnsi="Abadi"/>
          <w:bCs/>
          <w:sz w:val="21"/>
          <w:szCs w:val="21"/>
        </w:rPr>
      </w:pPr>
    </w:p>
    <w:p w14:paraId="3D9D338C" w14:textId="77777777" w:rsidR="00421154" w:rsidRPr="003A358F" w:rsidRDefault="00421154" w:rsidP="00421154">
      <w:pPr>
        <w:pStyle w:val="Estilo"/>
        <w:spacing w:line="276" w:lineRule="auto"/>
        <w:ind w:firstLine="708"/>
        <w:rPr>
          <w:rFonts w:ascii="Abadi" w:eastAsia="Batang" w:hAnsi="Abadi"/>
          <w:bCs/>
          <w:sz w:val="21"/>
          <w:szCs w:val="21"/>
          <w:lang w:eastAsia="en-US"/>
        </w:rPr>
      </w:pPr>
      <w:r w:rsidRPr="003A358F">
        <w:rPr>
          <w:rFonts w:ascii="Abadi" w:eastAsia="Batang" w:hAnsi="Abadi"/>
          <w:bCs/>
          <w:sz w:val="21"/>
          <w:szCs w:val="21"/>
          <w:lang w:eastAsia="en-US"/>
        </w:rPr>
        <w:t xml:space="preserve">Con respecto al segundo tema, que refiere a incorporar como </w:t>
      </w:r>
      <w:r w:rsidRPr="003A358F">
        <w:rPr>
          <w:rFonts w:ascii="Abadi" w:eastAsia="Batang" w:hAnsi="Abadi"/>
          <w:bCs/>
          <w:i/>
          <w:iCs/>
          <w:sz w:val="21"/>
          <w:szCs w:val="21"/>
          <w:lang w:eastAsia="en-US"/>
        </w:rPr>
        <w:t>derecho humano al internet</w:t>
      </w:r>
      <w:r w:rsidRPr="003A358F">
        <w:rPr>
          <w:rFonts w:ascii="Abadi" w:eastAsia="Batang" w:hAnsi="Abadi"/>
          <w:bCs/>
          <w:sz w:val="21"/>
          <w:szCs w:val="21"/>
          <w:lang w:eastAsia="en-US"/>
        </w:rPr>
        <w:t xml:space="preserve">, consideramos que la aparición constante de nuevos y diferentes casos requieren una actualización en curso del catálogo constitucional. Se trata de fenómenos evolutivos que contradicen la idea de que los derechos humanos sean un complejo normativo cumplido, estático </w:t>
      </w:r>
      <w:proofErr w:type="gramStart"/>
      <w:r w:rsidRPr="003A358F">
        <w:rPr>
          <w:rFonts w:ascii="Abadi" w:eastAsia="Batang" w:hAnsi="Abadi"/>
          <w:bCs/>
          <w:sz w:val="21"/>
          <w:szCs w:val="21"/>
          <w:lang w:eastAsia="en-US"/>
        </w:rPr>
        <w:t>e</w:t>
      </w:r>
      <w:proofErr w:type="gramEnd"/>
      <w:r w:rsidRPr="003A358F">
        <w:rPr>
          <w:rFonts w:ascii="Abadi" w:eastAsia="Batang" w:hAnsi="Abadi"/>
          <w:bCs/>
          <w:sz w:val="21"/>
          <w:szCs w:val="21"/>
          <w:lang w:eastAsia="en-US"/>
        </w:rPr>
        <w:t xml:space="preserve"> universal.</w:t>
      </w:r>
    </w:p>
    <w:p w14:paraId="52CF49B7" w14:textId="77777777" w:rsidR="00421154" w:rsidRPr="003A358F" w:rsidRDefault="00421154" w:rsidP="00421154">
      <w:pPr>
        <w:pStyle w:val="Estilo"/>
        <w:spacing w:line="276" w:lineRule="auto"/>
        <w:ind w:firstLine="708"/>
        <w:rPr>
          <w:rFonts w:ascii="Abadi" w:eastAsia="Batang" w:hAnsi="Abadi"/>
          <w:bCs/>
          <w:sz w:val="21"/>
          <w:szCs w:val="21"/>
          <w:lang w:eastAsia="en-US"/>
        </w:rPr>
      </w:pPr>
    </w:p>
    <w:p w14:paraId="754BD2BC" w14:textId="77777777" w:rsidR="00421154" w:rsidRPr="003A358F" w:rsidRDefault="00421154" w:rsidP="00421154">
      <w:pPr>
        <w:pStyle w:val="Estilo"/>
        <w:spacing w:line="276" w:lineRule="auto"/>
        <w:ind w:firstLine="708"/>
        <w:rPr>
          <w:rFonts w:ascii="Abadi" w:eastAsia="Batang" w:hAnsi="Abadi"/>
          <w:bCs/>
          <w:sz w:val="21"/>
          <w:szCs w:val="21"/>
          <w:lang w:eastAsia="en-US"/>
        </w:rPr>
      </w:pPr>
      <w:r w:rsidRPr="003A358F">
        <w:rPr>
          <w:rFonts w:ascii="Abadi" w:eastAsia="Batang" w:hAnsi="Abadi"/>
          <w:bCs/>
          <w:sz w:val="21"/>
          <w:szCs w:val="21"/>
          <w:lang w:eastAsia="en-US"/>
        </w:rPr>
        <w:t>En este sentido, coincidimos con las y los iniciantes en que el surgimiento de nuevos derechos se debe a varios factores: el fenómeno de la globalización económica y política; los avances científicos y tecnológicos; la internacionalización de los derechos humanos y de garantías para su tutela, lo cual ha dejado de ser un asunto de competencia exclusiva de los Estados y, la existencia de problemáticas comunes.</w:t>
      </w:r>
    </w:p>
    <w:p w14:paraId="78E06DA8" w14:textId="77777777" w:rsidR="00421154" w:rsidRPr="003A358F" w:rsidRDefault="00421154" w:rsidP="00421154">
      <w:pPr>
        <w:pStyle w:val="Estilo"/>
        <w:ind w:firstLine="708"/>
        <w:rPr>
          <w:rFonts w:ascii="Abadi" w:eastAsia="Batang" w:hAnsi="Abadi"/>
          <w:bCs/>
          <w:sz w:val="21"/>
          <w:szCs w:val="21"/>
          <w:lang w:eastAsia="en-US"/>
        </w:rPr>
      </w:pPr>
    </w:p>
    <w:p w14:paraId="54DBAD82" w14:textId="77777777" w:rsidR="00421154" w:rsidRPr="003A358F" w:rsidRDefault="00421154" w:rsidP="00421154">
      <w:pPr>
        <w:pStyle w:val="Estilo"/>
        <w:spacing w:line="276" w:lineRule="auto"/>
        <w:ind w:firstLine="708"/>
        <w:rPr>
          <w:rFonts w:ascii="Abadi" w:eastAsia="Batang" w:hAnsi="Abadi"/>
          <w:bCs/>
          <w:sz w:val="21"/>
          <w:szCs w:val="21"/>
          <w:lang w:eastAsia="en-US"/>
        </w:rPr>
      </w:pPr>
      <w:r w:rsidRPr="003A358F">
        <w:rPr>
          <w:rFonts w:ascii="Abadi" w:eastAsia="Batang" w:hAnsi="Abadi"/>
          <w:bCs/>
          <w:sz w:val="21"/>
          <w:szCs w:val="21"/>
          <w:lang w:eastAsia="en-US"/>
        </w:rPr>
        <w:t xml:space="preserve">En esa clasificación, coincidimos de igual manera en que el acceso a internet se puede enmarcar dentro de la segunda categoría, pues si bien ha obtenido un reconocimiento normativo a nivel constitucional y convencional cada vez mayor- presenta grandes retos en cuanto a su accesibilidad </w:t>
      </w:r>
      <w:proofErr w:type="gramStart"/>
      <w:r w:rsidRPr="003A358F">
        <w:rPr>
          <w:rFonts w:ascii="Abadi" w:eastAsia="Batang" w:hAnsi="Abadi"/>
          <w:bCs/>
          <w:sz w:val="21"/>
          <w:szCs w:val="21"/>
          <w:lang w:eastAsia="en-US"/>
        </w:rPr>
        <w:t>e</w:t>
      </w:r>
      <w:proofErr w:type="gramEnd"/>
      <w:r w:rsidRPr="003A358F">
        <w:rPr>
          <w:rFonts w:ascii="Abadi" w:eastAsia="Batang" w:hAnsi="Abadi"/>
          <w:bCs/>
          <w:sz w:val="21"/>
          <w:szCs w:val="21"/>
          <w:lang w:eastAsia="en-US"/>
        </w:rPr>
        <w:t xml:space="preserve"> universalidad. Entre los instrumentos que han contribuido a la evolución de nuestra sociedad, el internet ha sido uno de los principales: ha revolucionado la modalidad de comunicación y ha influenciado la economía, la política y el derecho. Es considerado como un </w:t>
      </w:r>
      <w:r w:rsidRPr="003A358F">
        <w:rPr>
          <w:rFonts w:ascii="Abadi" w:eastAsia="Batang" w:hAnsi="Abadi"/>
          <w:bCs/>
          <w:i/>
          <w:iCs/>
          <w:sz w:val="21"/>
          <w:szCs w:val="21"/>
          <w:lang w:eastAsia="en-US"/>
        </w:rPr>
        <w:t>open network</w:t>
      </w:r>
      <w:r w:rsidRPr="003A358F">
        <w:rPr>
          <w:rFonts w:ascii="Abadi" w:eastAsia="Batang" w:hAnsi="Abadi"/>
          <w:bCs/>
          <w:sz w:val="21"/>
          <w:szCs w:val="21"/>
          <w:lang w:eastAsia="en-US"/>
        </w:rPr>
        <w:t>, siempre actualizado y carente de medicaciones u obstáculos espaciales o temporales, y sobre todo, no sujeto a formas de propiedad.</w:t>
      </w:r>
    </w:p>
    <w:p w14:paraId="0A9C283A" w14:textId="77777777" w:rsidR="00421154" w:rsidRPr="003A358F" w:rsidRDefault="00421154" w:rsidP="00421154">
      <w:pPr>
        <w:ind w:firstLine="708"/>
        <w:jc w:val="both"/>
        <w:rPr>
          <w:rFonts w:ascii="Abadi" w:eastAsia="Batang" w:hAnsi="Abadi" w:cs="Arial"/>
          <w:bCs/>
          <w:sz w:val="21"/>
          <w:szCs w:val="21"/>
        </w:rPr>
      </w:pPr>
    </w:p>
    <w:p w14:paraId="23BFDDF0" w14:textId="77777777" w:rsidR="00421154" w:rsidRPr="003A358F" w:rsidRDefault="00421154" w:rsidP="00421154">
      <w:pPr>
        <w:spacing w:line="276" w:lineRule="auto"/>
        <w:jc w:val="both"/>
        <w:rPr>
          <w:rFonts w:ascii="Abadi" w:eastAsia="Batang" w:hAnsi="Abadi" w:cs="Arial"/>
          <w:bCs/>
          <w:sz w:val="21"/>
          <w:szCs w:val="21"/>
        </w:rPr>
      </w:pPr>
      <w:r w:rsidRPr="003A358F">
        <w:rPr>
          <w:rFonts w:ascii="Abadi" w:eastAsia="Batang" w:hAnsi="Abadi" w:cs="Arial"/>
          <w:bCs/>
          <w:sz w:val="21"/>
          <w:szCs w:val="21"/>
        </w:rPr>
        <w:t>III.1. El internet como derecho humano y gobierno digital como principio</w:t>
      </w:r>
    </w:p>
    <w:p w14:paraId="12B201C1" w14:textId="77777777" w:rsidR="00421154" w:rsidRPr="003A358F" w:rsidRDefault="00421154" w:rsidP="00421154">
      <w:pPr>
        <w:pStyle w:val="Textoindependiente"/>
        <w:ind w:firstLine="708"/>
        <w:rPr>
          <w:rFonts w:ascii="Abadi" w:eastAsia="Batang" w:hAnsi="Abadi"/>
          <w:b w:val="0"/>
          <w:sz w:val="21"/>
          <w:szCs w:val="21"/>
          <w:lang w:val="es-MX" w:eastAsia="en-US"/>
        </w:rPr>
      </w:pPr>
    </w:p>
    <w:p w14:paraId="51F9FA1E"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Sabemos que la </w:t>
      </w:r>
      <w:r w:rsidRPr="003A358F">
        <w:rPr>
          <w:rFonts w:ascii="Abadi" w:eastAsia="Batang" w:hAnsi="Abadi"/>
          <w:b w:val="0"/>
          <w:i/>
          <w:iCs/>
          <w:sz w:val="21"/>
          <w:szCs w:val="21"/>
          <w:lang w:val="es-MX" w:eastAsia="en-US"/>
        </w:rPr>
        <w:t>Declaración Conjunta sobre Libertad de Expresión e Internet emitida por la Organización de los Estados Americanos</w:t>
      </w:r>
      <w:r w:rsidRPr="003A358F">
        <w:rPr>
          <w:rStyle w:val="Refdenotaalpie"/>
          <w:rFonts w:ascii="Abadi" w:eastAsia="Batang" w:hAnsi="Abadi"/>
          <w:b w:val="0"/>
          <w:i/>
          <w:iCs/>
          <w:sz w:val="21"/>
          <w:szCs w:val="21"/>
          <w:lang w:val="es-MX" w:eastAsia="en-US"/>
        </w:rPr>
        <w:footnoteReference w:id="70"/>
      </w:r>
      <w:r w:rsidRPr="003A358F">
        <w:rPr>
          <w:rFonts w:ascii="Abadi" w:eastAsia="Batang" w:hAnsi="Abadi"/>
          <w:b w:val="0"/>
          <w:sz w:val="21"/>
          <w:szCs w:val="21"/>
          <w:lang w:val="es-MX" w:eastAsia="en-US"/>
        </w:rPr>
        <w:t>, de manera particular en el punto 6 relativo al Acceso al Internet, incisos a, e y f, en los que se desarrollan acciones en concreto por parte de los Estados para asegurar el ejercicio pleno a este derecho, la cual señala:</w:t>
      </w:r>
    </w:p>
    <w:p w14:paraId="7DFD22CB" w14:textId="77777777" w:rsidR="00421154" w:rsidRPr="003A358F" w:rsidRDefault="00421154" w:rsidP="00421154">
      <w:pPr>
        <w:pStyle w:val="Textoindependiente"/>
        <w:spacing w:line="276" w:lineRule="auto"/>
        <w:ind w:left="1134"/>
        <w:rPr>
          <w:rFonts w:ascii="Abadi" w:eastAsia="Batang" w:hAnsi="Abadi"/>
          <w:b w:val="0"/>
          <w:i/>
          <w:iCs/>
          <w:sz w:val="21"/>
          <w:szCs w:val="21"/>
          <w:lang w:val="es-MX" w:eastAsia="en-US"/>
        </w:rPr>
      </w:pPr>
    </w:p>
    <w:p w14:paraId="732CB40A" w14:textId="77777777" w:rsidR="00421154" w:rsidRPr="003A358F" w:rsidRDefault="00421154" w:rsidP="00421154">
      <w:pPr>
        <w:pStyle w:val="Textoindependiente"/>
        <w:spacing w:line="276" w:lineRule="auto"/>
        <w:ind w:left="1134"/>
        <w:rPr>
          <w:rFonts w:ascii="Abadi" w:eastAsia="Batang" w:hAnsi="Abadi"/>
          <w:b w:val="0"/>
          <w:i/>
          <w:iCs/>
          <w:sz w:val="21"/>
          <w:szCs w:val="21"/>
          <w:lang w:val="es-MX" w:eastAsia="en-US"/>
        </w:rPr>
      </w:pPr>
      <w:r w:rsidRPr="003A358F">
        <w:rPr>
          <w:rFonts w:ascii="Abadi" w:eastAsia="Batang" w:hAnsi="Abadi"/>
          <w:b w:val="0"/>
          <w:i/>
          <w:iCs/>
          <w:sz w:val="21"/>
          <w:szCs w:val="21"/>
          <w:lang w:val="es-MX" w:eastAsia="en-US"/>
        </w:rPr>
        <w:t>a. Los Estados tienen la obligación de promover el acceso universal a Internet para garantizar el disfrute efectivo del derecho a la libertad de expresión. El acceso a Internet también es necesario para asegurar el respeto de otros derechos, como el derecho a la educación, la atención de la salud y el trabajo, el derecho de reunión y asociación, y el derecho a elecciones libres.</w:t>
      </w:r>
    </w:p>
    <w:p w14:paraId="1503CBDC" w14:textId="77777777" w:rsidR="00421154" w:rsidRPr="003A358F" w:rsidRDefault="00421154" w:rsidP="00421154">
      <w:pPr>
        <w:pStyle w:val="Textoindependiente"/>
        <w:spacing w:before="154" w:line="276" w:lineRule="auto"/>
        <w:ind w:left="1134"/>
        <w:rPr>
          <w:rFonts w:ascii="Abadi" w:eastAsia="Batang" w:hAnsi="Abadi"/>
          <w:b w:val="0"/>
          <w:i/>
          <w:iCs/>
          <w:sz w:val="21"/>
          <w:szCs w:val="21"/>
          <w:lang w:val="es-MX" w:eastAsia="en-US"/>
        </w:rPr>
      </w:pPr>
      <w:r w:rsidRPr="003A358F">
        <w:rPr>
          <w:rFonts w:ascii="Abadi" w:eastAsia="Batang" w:hAnsi="Abadi"/>
          <w:b w:val="0"/>
          <w:i/>
          <w:iCs/>
          <w:sz w:val="21"/>
          <w:szCs w:val="21"/>
          <w:lang w:val="es-MX" w:eastAsia="en-US"/>
        </w:rPr>
        <w:t>e. Los Estados tienen la obligación positiva de facilitar el acceso universal a Internet Como mínimo, los Estados deberían:</w:t>
      </w:r>
    </w:p>
    <w:p w14:paraId="4DB083DF" w14:textId="77777777" w:rsidR="00421154" w:rsidRPr="003A358F" w:rsidRDefault="00421154" w:rsidP="00421154">
      <w:pPr>
        <w:pStyle w:val="Textoindependiente"/>
        <w:spacing w:before="154" w:line="276" w:lineRule="auto"/>
        <w:ind w:left="1134"/>
        <w:rPr>
          <w:rFonts w:ascii="Abadi" w:eastAsia="Batang" w:hAnsi="Abadi"/>
          <w:b w:val="0"/>
          <w:i/>
          <w:iCs/>
          <w:sz w:val="21"/>
          <w:szCs w:val="21"/>
          <w:lang w:val="es-MX" w:eastAsia="en-US"/>
        </w:rPr>
      </w:pPr>
      <w:r w:rsidRPr="003A358F">
        <w:rPr>
          <w:rFonts w:ascii="Abadi" w:eastAsia="Batang" w:hAnsi="Abadi"/>
          <w:b w:val="0"/>
          <w:i/>
          <w:iCs/>
          <w:sz w:val="21"/>
          <w:szCs w:val="21"/>
          <w:lang w:val="es-MX" w:eastAsia="en-US"/>
        </w:rPr>
        <w:t>f. A fin de implementar las medidas anteriores, los Estados deberían adoptar planes de acción detallados de varios años de duración para ampliar el acceso a Internet, que incluyan objetivos claros y específicos, así como estándares de transparencia, presentación de informes públicos y sistemas de monitoreo.</w:t>
      </w:r>
    </w:p>
    <w:p w14:paraId="07BFF0C2" w14:textId="77777777" w:rsidR="00421154" w:rsidRPr="003A358F" w:rsidRDefault="00421154" w:rsidP="00421154">
      <w:pPr>
        <w:pStyle w:val="Textoindependiente"/>
        <w:spacing w:before="93"/>
        <w:rPr>
          <w:rFonts w:ascii="Abadi" w:hAnsi="Abadi"/>
          <w:b w:val="0"/>
          <w:color w:val="232323"/>
          <w:w w:val="105"/>
          <w:sz w:val="21"/>
          <w:szCs w:val="21"/>
          <w:highlight w:val="yellow"/>
          <w:lang w:val="es-MX"/>
        </w:rPr>
      </w:pPr>
    </w:p>
    <w:p w14:paraId="698407C8"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La </w:t>
      </w:r>
      <w:r w:rsidRPr="003A358F">
        <w:rPr>
          <w:rFonts w:ascii="Abadi" w:eastAsia="Batang" w:hAnsi="Abadi"/>
          <w:b w:val="0"/>
          <w:i/>
          <w:iCs/>
          <w:sz w:val="21"/>
          <w:szCs w:val="21"/>
          <w:lang w:val="es-MX" w:eastAsia="en-US"/>
        </w:rPr>
        <w:t>Declaración Conjunta sobre Libertad de Expresión e Internet emitida por la Organización de los Estados Americanos</w:t>
      </w:r>
      <w:r w:rsidRPr="003A358F">
        <w:rPr>
          <w:rFonts w:ascii="Abadi" w:eastAsia="Batang" w:hAnsi="Abadi"/>
          <w:b w:val="0"/>
          <w:sz w:val="21"/>
          <w:szCs w:val="21"/>
          <w:lang w:val="es-MX" w:eastAsia="en-US"/>
        </w:rPr>
        <w:t xml:space="preserve"> establece que los Estados tienen la obligación de promover el acceso universal a Internet para garantizar el disfrute efectivo del derecho a la libertad de expresión. Asimismo, estipula que el </w:t>
      </w:r>
      <w:r w:rsidRPr="003A358F">
        <w:rPr>
          <w:rFonts w:ascii="Abadi" w:eastAsia="Batang" w:hAnsi="Abadi"/>
          <w:b w:val="0"/>
          <w:sz w:val="21"/>
          <w:szCs w:val="21"/>
          <w:lang w:val="es-MX" w:eastAsia="en-US"/>
        </w:rPr>
        <w:t>acceso a Internet también es necesario para asegurar el respeto de otros derechos, como el derecho a la educación, la atención de la salud y el trabajo, el derecho de reunión y asociación, y el derecho a elecciones libres. El plexo fue adoptado el 1 de junio de 2011 por el Relator Especial de las Naciones Unidas (ONU) para la Libertad de Opinión y de Expresión, la Representante para la Libertad de los Medios de Comunicación de la Organización para la Seguridad y la Cooperación en Europa (OSCE), la Relatora Especial de la Organización de Estados Americanos (OEA) para la Libertad de Expresión y la Relatora Especial sobre Libertad de Expresión y Acceso a la Información de la Comisión Africana de Derechos Humanos y de los Pueblos (CADHP).</w:t>
      </w:r>
    </w:p>
    <w:p w14:paraId="092B8489"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65883F6E"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Lo anterior resulta necesario observar para las autoridades, como un punto de partida para que el Estado garantice el acceso universal del derecho. Estamos conscientes que la primera acción relativa a mecanismos regulatorios, prevista en el inciso e, numeral i, del apartado 6, de esa declaración escapa a la competencia de las entidades federativas; sin embargo, por lo que hace a las demás acciones previstas en los numerales subsecuentes ii, iii y iv, consideramos son acordes al Sistema Jurídico Mexicano al no existir disposición que determine la exclusividad por parte de la federación, por lo que pueden ser adoptadas como herramientas de política pública en el estado de Guanajuato.</w:t>
      </w:r>
    </w:p>
    <w:p w14:paraId="36F639A0" w14:textId="77777777" w:rsidR="00421154" w:rsidRPr="003A358F" w:rsidRDefault="00421154" w:rsidP="00421154">
      <w:pPr>
        <w:pStyle w:val="Textoindependiente"/>
        <w:spacing w:before="9" w:line="276" w:lineRule="auto"/>
        <w:rPr>
          <w:rFonts w:ascii="Abadi" w:hAnsi="Abadi"/>
          <w:b w:val="0"/>
          <w:sz w:val="21"/>
          <w:szCs w:val="21"/>
          <w:highlight w:val="yellow"/>
          <w:lang w:val="es-MX"/>
        </w:rPr>
      </w:pPr>
    </w:p>
    <w:p w14:paraId="1F0D80B9"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Coincidimos en que los avances tecnológicos plantean retos en el ámbito del derecho constitucional, por lo que no es posible circunscribir la competencia únicamente a una esfera de gobierno, de ahí que el Estado Mexicano como autoridad garante, deberá realizar acciones en el ámbito federal y de manera coordinada con las entidades federativas. Ello queda patente en el </w:t>
      </w:r>
      <w:r w:rsidRPr="003A358F">
        <w:rPr>
          <w:rFonts w:ascii="Abadi" w:eastAsia="Batang" w:hAnsi="Abadi"/>
          <w:b w:val="0"/>
          <w:i/>
          <w:iCs/>
          <w:sz w:val="21"/>
          <w:szCs w:val="21"/>
          <w:lang w:val="es-MX" w:eastAsia="en-US"/>
        </w:rPr>
        <w:t>Informe Anual de la Comisión lnteramericana de Derechos Humanos de 2013, que contiene el Informe de la Relatoría Especial para la Libertad de Expresión</w:t>
      </w:r>
      <w:r w:rsidRPr="003A358F">
        <w:rPr>
          <w:rStyle w:val="Refdenotaalpie"/>
          <w:rFonts w:ascii="Abadi" w:eastAsia="Batang" w:hAnsi="Abadi"/>
          <w:b w:val="0"/>
          <w:sz w:val="21"/>
          <w:szCs w:val="21"/>
          <w:lang w:val="es-MX" w:eastAsia="en-US"/>
        </w:rPr>
        <w:footnoteReference w:id="71"/>
      </w:r>
      <w:r w:rsidRPr="003A358F">
        <w:rPr>
          <w:rFonts w:ascii="Abadi" w:eastAsia="Batang" w:hAnsi="Abadi"/>
          <w:b w:val="0"/>
          <w:sz w:val="21"/>
          <w:szCs w:val="21"/>
          <w:lang w:val="es-MX" w:eastAsia="en-US"/>
        </w:rPr>
        <w:t xml:space="preserve"> y de manera </w:t>
      </w:r>
      <w:r w:rsidRPr="003A358F">
        <w:rPr>
          <w:rFonts w:ascii="Abadi" w:eastAsia="Batang" w:hAnsi="Abadi"/>
          <w:b w:val="0"/>
          <w:sz w:val="21"/>
          <w:szCs w:val="21"/>
          <w:lang w:val="es-MX" w:eastAsia="en-US"/>
        </w:rPr>
        <w:lastRenderedPageBreak/>
        <w:t>particular en lo establecido en el punto 39, que señala:</w:t>
      </w:r>
    </w:p>
    <w:p w14:paraId="64100BA0" w14:textId="77777777" w:rsidR="00421154" w:rsidRPr="003A358F" w:rsidRDefault="00421154" w:rsidP="00421154">
      <w:pPr>
        <w:pStyle w:val="Textoindependiente"/>
        <w:rPr>
          <w:rFonts w:ascii="Abadi" w:hAnsi="Abadi"/>
          <w:b w:val="0"/>
          <w:sz w:val="21"/>
          <w:szCs w:val="21"/>
          <w:highlight w:val="yellow"/>
          <w:lang w:val="es-MX"/>
        </w:rPr>
      </w:pPr>
    </w:p>
    <w:p w14:paraId="569AF1D5"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i/>
          <w:iCs/>
          <w:sz w:val="21"/>
          <w:szCs w:val="21"/>
          <w:lang w:val="es-MX" w:eastAsia="en-US"/>
        </w:rPr>
        <w:t>La Relatoría Especial considera importante que las autoridades realicen esfuerzos para cerrar progresivamente la brecha digital, ampliamente reconocida por los Estados, ya sea en función de la riqueza, el género, las demarcaciones geográficas o grupos sociales, entre Estados y dentro de los mismos</w:t>
      </w:r>
      <w:r w:rsidRPr="003A358F">
        <w:rPr>
          <w:rFonts w:ascii="Abadi" w:eastAsia="Batang" w:hAnsi="Abadi"/>
          <w:b w:val="0"/>
          <w:sz w:val="21"/>
          <w:szCs w:val="21"/>
          <w:lang w:val="es-MX" w:eastAsia="en-US"/>
        </w:rPr>
        <w:t xml:space="preserve">. Asimismo, el concepto de </w:t>
      </w:r>
      <w:r w:rsidRPr="003A358F">
        <w:rPr>
          <w:rFonts w:ascii="Abadi" w:eastAsia="Batang" w:hAnsi="Abadi"/>
          <w:b w:val="0"/>
          <w:i/>
          <w:iCs/>
          <w:sz w:val="21"/>
          <w:szCs w:val="21"/>
          <w:lang w:val="es-MX" w:eastAsia="en-US"/>
        </w:rPr>
        <w:t>brecha digital</w:t>
      </w:r>
      <w:r w:rsidRPr="003A358F">
        <w:rPr>
          <w:rFonts w:ascii="Abadi" w:eastAsia="Batang" w:hAnsi="Abadi"/>
          <w:b w:val="0"/>
          <w:sz w:val="21"/>
          <w:szCs w:val="21"/>
          <w:lang w:val="es-MX" w:eastAsia="en-US"/>
        </w:rPr>
        <w:t xml:space="preserve"> no solamente está relacionada con la disponibilidad del acceso a Internet, sino también con la calidad, la información y los conocimientos técnicos necesarios para que el acceso a Internet sea útil y provechoso para los usuarios. De esta manera, para alcanzar efectivamente el objetivo mencionado, la Relatoría Especial considera importante que los Estados adopten políticas y estrategias eficaces y concretas, elaboradas en consulta con personas y organizaciones de todos los sectores de la sociedad. </w:t>
      </w:r>
    </w:p>
    <w:p w14:paraId="113C6A20"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55BFF6C2" w14:textId="77777777" w:rsidR="00421154" w:rsidRPr="003A358F" w:rsidRDefault="00421154" w:rsidP="00421154">
      <w:pPr>
        <w:pStyle w:val="Textoindependiente"/>
        <w:spacing w:line="276" w:lineRule="auto"/>
        <w:ind w:firstLine="708"/>
        <w:rPr>
          <w:rFonts w:ascii="Abadi" w:eastAsia="Batang" w:hAnsi="Abadi"/>
          <w:b w:val="0"/>
          <w:i/>
          <w:iCs/>
          <w:sz w:val="21"/>
          <w:szCs w:val="21"/>
          <w:lang w:val="es-MX" w:eastAsia="en-US"/>
        </w:rPr>
      </w:pPr>
      <w:r w:rsidRPr="003A358F">
        <w:rPr>
          <w:rFonts w:ascii="Abadi" w:eastAsia="Batang" w:hAnsi="Abadi"/>
          <w:b w:val="0"/>
          <w:sz w:val="21"/>
          <w:szCs w:val="21"/>
          <w:lang w:val="es-MX" w:eastAsia="en-US"/>
        </w:rPr>
        <w:t xml:space="preserve">Así también en lo previsto en el punto 45 del mismo instrumento, que refiere: </w:t>
      </w:r>
      <w:r w:rsidRPr="003A358F">
        <w:rPr>
          <w:rFonts w:ascii="Abadi" w:eastAsia="Batang" w:hAnsi="Abadi"/>
          <w:b w:val="0"/>
          <w:i/>
          <w:iCs/>
          <w:sz w:val="21"/>
          <w:szCs w:val="21"/>
          <w:lang w:val="es-MX" w:eastAsia="en-US"/>
        </w:rPr>
        <w:t>Ahora bien, un segundo tipo de medidas que se deriva del derecho universal de acceso se refiere a la necesidad de adoptar planes de acción detallados de varios años de duración a fin de que Internet resulte ampliamente disponible, accesible y asequible. En este sentido, los Estados deben adoptar y promover las políticas públicas necesarias para generar la infraestructura de acceso universal que permita la construcción de una sociedad del conocimiento, evitando, como se ha mencionado, situaciones arbitrarias de exclusión social.</w:t>
      </w:r>
      <w:r w:rsidRPr="003A358F">
        <w:rPr>
          <w:rFonts w:ascii="Abadi" w:eastAsia="Batang" w:hAnsi="Abadi"/>
          <w:b w:val="0"/>
          <w:sz w:val="21"/>
          <w:szCs w:val="21"/>
          <w:lang w:val="es-MX" w:eastAsia="en-US"/>
        </w:rPr>
        <w:t xml:space="preserve"> </w:t>
      </w:r>
      <w:r w:rsidRPr="003A358F">
        <w:rPr>
          <w:rFonts w:ascii="Abadi" w:eastAsia="Batang" w:hAnsi="Abadi"/>
          <w:b w:val="0"/>
          <w:i/>
          <w:iCs/>
          <w:sz w:val="21"/>
          <w:szCs w:val="21"/>
          <w:lang w:val="es-MX" w:eastAsia="en-US"/>
        </w:rPr>
        <w:t>Como se ha indicado en varios foros multilaterales, esto incluye la elaboración de planes nacionales de banda ancha y la promoción de la incorporación.</w:t>
      </w:r>
    </w:p>
    <w:p w14:paraId="406A65F7"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4CD68760" w14:textId="77777777" w:rsidR="00421154" w:rsidRPr="003A358F" w:rsidRDefault="00421154" w:rsidP="00421154">
      <w:pPr>
        <w:pStyle w:val="Textoindependiente"/>
        <w:spacing w:line="276" w:lineRule="auto"/>
        <w:ind w:firstLine="708"/>
        <w:rPr>
          <w:rFonts w:ascii="Abadi" w:eastAsia="Batang" w:hAnsi="Abadi"/>
          <w:b w:val="0"/>
          <w:i/>
          <w:iCs/>
          <w:sz w:val="21"/>
          <w:szCs w:val="21"/>
          <w:lang w:val="es-MX" w:eastAsia="en-US"/>
        </w:rPr>
      </w:pPr>
      <w:r w:rsidRPr="003A358F">
        <w:rPr>
          <w:rFonts w:ascii="Abadi" w:eastAsia="Batang" w:hAnsi="Abadi"/>
          <w:b w:val="0"/>
          <w:sz w:val="21"/>
          <w:szCs w:val="21"/>
          <w:lang w:val="es-MX" w:eastAsia="en-US"/>
        </w:rPr>
        <w:t xml:space="preserve">En este apartado es importante referir a otros instrumentos normativos y documentos que han abordado la cuestión sobre el acceso al internet como derecho y su relación con los derechos humanos, es la </w:t>
      </w:r>
      <w:r w:rsidRPr="003A358F">
        <w:rPr>
          <w:rFonts w:ascii="Abadi" w:eastAsia="Batang" w:hAnsi="Abadi"/>
          <w:b w:val="0"/>
          <w:i/>
          <w:iCs/>
          <w:sz w:val="21"/>
          <w:szCs w:val="21"/>
          <w:lang w:val="es-MX" w:eastAsia="en-US"/>
        </w:rPr>
        <w:t>Convención Americana sobre Derechos Humanos</w:t>
      </w:r>
      <w:r w:rsidRPr="003A358F">
        <w:rPr>
          <w:rStyle w:val="Refdenotaalpie"/>
          <w:rFonts w:ascii="Abadi" w:eastAsia="Batang" w:hAnsi="Abadi"/>
          <w:b w:val="0"/>
          <w:sz w:val="21"/>
          <w:szCs w:val="21"/>
          <w:lang w:val="es-MX" w:eastAsia="en-US"/>
        </w:rPr>
        <w:footnoteReference w:id="72"/>
      </w:r>
      <w:r w:rsidRPr="003A358F">
        <w:rPr>
          <w:rFonts w:ascii="Abadi" w:eastAsia="Batang" w:hAnsi="Abadi"/>
          <w:b w:val="0"/>
          <w:sz w:val="21"/>
          <w:szCs w:val="21"/>
          <w:lang w:val="es-MX" w:eastAsia="en-US"/>
        </w:rPr>
        <w:t xml:space="preserve">, señala: </w:t>
      </w:r>
      <w:r w:rsidRPr="003A358F">
        <w:rPr>
          <w:rFonts w:ascii="Abadi" w:eastAsia="Batang" w:hAnsi="Abadi"/>
          <w:b w:val="0"/>
          <w:i/>
          <w:iCs/>
          <w:sz w:val="21"/>
          <w:szCs w:val="21"/>
          <w:lang w:val="es-MX" w:eastAsia="en-US"/>
        </w:rPr>
        <w:t>Artículo 26. Desarrollo Progresivo. Los Estados Parte se comprometen a adoptar providencias, tanto a nivel interno como mediante la cooperación internacional, especialmente económica y técnica, para lograr progresivamente la plena efectividad de los derechos que se derivan de las normas económicas, sociales y sobre educación, ciencia v cultura, contenidas en la Carta de la Organización de los Estados Americanos, reformada por el Protocolo de Buenos Aires, en la medida de recursos disponibles, por vía legislativa u otros medios apropiado.</w:t>
      </w:r>
    </w:p>
    <w:p w14:paraId="5D145520" w14:textId="77777777" w:rsidR="00421154" w:rsidRPr="003A358F" w:rsidRDefault="00421154" w:rsidP="00421154">
      <w:pPr>
        <w:pStyle w:val="Estilo"/>
        <w:rPr>
          <w:rFonts w:ascii="Abadi" w:hAnsi="Abadi"/>
          <w:bCs/>
          <w:sz w:val="21"/>
          <w:szCs w:val="21"/>
        </w:rPr>
      </w:pPr>
    </w:p>
    <w:p w14:paraId="70129200" w14:textId="77777777" w:rsidR="00421154" w:rsidRPr="003A358F" w:rsidRDefault="00421154" w:rsidP="00421154">
      <w:pPr>
        <w:pStyle w:val="Textoindependiente"/>
        <w:spacing w:line="276" w:lineRule="auto"/>
        <w:ind w:firstLine="708"/>
        <w:rPr>
          <w:rFonts w:ascii="Abadi" w:eastAsia="Batang" w:hAnsi="Abadi"/>
          <w:b w:val="0"/>
          <w:i/>
          <w:iCs/>
          <w:sz w:val="21"/>
          <w:szCs w:val="21"/>
          <w:lang w:val="es-MX" w:eastAsia="en-US"/>
        </w:rPr>
      </w:pPr>
      <w:r w:rsidRPr="003A358F">
        <w:rPr>
          <w:rFonts w:ascii="Abadi" w:eastAsia="Batang" w:hAnsi="Abadi"/>
          <w:b w:val="0"/>
          <w:sz w:val="21"/>
          <w:szCs w:val="21"/>
          <w:lang w:val="es-MX" w:eastAsia="en-US"/>
        </w:rPr>
        <w:t xml:space="preserve">El </w:t>
      </w:r>
      <w:r w:rsidRPr="003A358F">
        <w:rPr>
          <w:rFonts w:ascii="Abadi" w:eastAsia="Batang" w:hAnsi="Abadi"/>
          <w:b w:val="0"/>
          <w:i/>
          <w:iCs/>
          <w:sz w:val="21"/>
          <w:szCs w:val="21"/>
          <w:lang w:val="es-MX" w:eastAsia="en-US"/>
        </w:rPr>
        <w:t>Protocolo Adicional a la Convención Americana Sobre Derechos Humanos en Materia de Derechos Económicos, Sociales y Culturales</w:t>
      </w:r>
      <w:r w:rsidRPr="003A358F">
        <w:rPr>
          <w:rStyle w:val="Refdenotaalpie"/>
          <w:rFonts w:ascii="Abadi" w:eastAsia="Batang" w:hAnsi="Abadi"/>
          <w:b w:val="0"/>
          <w:sz w:val="21"/>
          <w:szCs w:val="21"/>
          <w:lang w:val="es-MX" w:eastAsia="en-US"/>
        </w:rPr>
        <w:footnoteReference w:id="73"/>
      </w:r>
      <w:r w:rsidRPr="003A358F">
        <w:rPr>
          <w:rFonts w:ascii="Abadi" w:eastAsia="Batang" w:hAnsi="Abadi"/>
          <w:b w:val="0"/>
          <w:sz w:val="21"/>
          <w:szCs w:val="21"/>
          <w:lang w:val="es-MX" w:eastAsia="en-US"/>
        </w:rPr>
        <w:t xml:space="preserve"> (Protocolo de San Salvador), dispone: </w:t>
      </w:r>
      <w:r w:rsidRPr="003A358F">
        <w:rPr>
          <w:rFonts w:ascii="Abadi" w:eastAsia="Batang" w:hAnsi="Abadi"/>
          <w:b w:val="0"/>
          <w:i/>
          <w:iCs/>
          <w:sz w:val="21"/>
          <w:szCs w:val="21"/>
          <w:lang w:val="es-MX" w:eastAsia="en-US"/>
        </w:rPr>
        <w:t>Artículo 14. Derecho a los beneficios de la cultura. Los Estados Parte en el presente Protocolo reconocen el derecho de toda persona a: participar en la vida cultural y artística de la comunidad; Gozar de los beneficios del progreso científico y tecnológico: Beneficiarse de la protección de los intereses morales y materiales que Je correspondan por razón de las producciones científicas. literarias o artísticas de que sea autora.</w:t>
      </w:r>
    </w:p>
    <w:p w14:paraId="137800FD"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7DCAAE77"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Entre las medidas que los Estados Parte en el presente Protocolo deberán adoptar para asegurar el pleno ejercicio de este derecho, figurarán las necesarias para la conservación, el desarrollo y la difusión de la ciencia, la cultura y el arte, y se comprometen a respetar la indispensable libertad para la investigación científica y para la actividad creadora.</w:t>
      </w:r>
    </w:p>
    <w:p w14:paraId="63941326"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42AF85D3"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lastRenderedPageBreak/>
        <w:t xml:space="preserve">Por otro lado, en la </w:t>
      </w:r>
      <w:r w:rsidRPr="003A358F">
        <w:rPr>
          <w:rFonts w:ascii="Abadi" w:eastAsia="Batang" w:hAnsi="Abadi"/>
          <w:b w:val="0"/>
          <w:i/>
          <w:iCs/>
          <w:sz w:val="21"/>
          <w:szCs w:val="21"/>
          <w:lang w:val="es-MX" w:eastAsia="en-US"/>
        </w:rPr>
        <w:t>Declaración Conjunta: Desafíos para la Libertad de Expresión en la Próxima Década</w:t>
      </w:r>
      <w:r w:rsidRPr="003A358F">
        <w:rPr>
          <w:rStyle w:val="Refdenotaalpie"/>
          <w:rFonts w:ascii="Abadi" w:eastAsia="Batang" w:hAnsi="Abadi"/>
          <w:b w:val="0"/>
          <w:sz w:val="21"/>
          <w:szCs w:val="21"/>
          <w:lang w:val="es-MX" w:eastAsia="en-US"/>
        </w:rPr>
        <w:footnoteReference w:id="74"/>
      </w:r>
      <w:r w:rsidRPr="003A358F">
        <w:rPr>
          <w:rFonts w:ascii="Abadi" w:eastAsia="Batang" w:hAnsi="Abadi"/>
          <w:b w:val="0"/>
          <w:sz w:val="21"/>
          <w:szCs w:val="21"/>
          <w:lang w:val="es-MX" w:eastAsia="en-US"/>
        </w:rPr>
        <w:t>, se señala en el apartado 2: Consolidar una Internet libre. abierta e inclusiva. El ejercicio de la libertad de expresión requiere de una infraestructura digital que sea robusta, universal y cuya regulación garantice que permanezca siendo un espacio libre, accesible y abierto para todas las partes interesadas. Y, en los próximos años, los Estados y otros actores deben reconocer el derecho al acceso v el uso de internet como un derecho humano y una condición esencial para el ejercicio del derecho a la libertad de expresión.</w:t>
      </w:r>
    </w:p>
    <w:p w14:paraId="62ADD481" w14:textId="77777777" w:rsidR="00421154" w:rsidRPr="003A358F" w:rsidRDefault="00421154" w:rsidP="00421154">
      <w:pPr>
        <w:pStyle w:val="Estilo"/>
        <w:rPr>
          <w:rFonts w:ascii="Abadi" w:hAnsi="Abadi"/>
          <w:bCs/>
          <w:sz w:val="21"/>
          <w:szCs w:val="21"/>
        </w:rPr>
      </w:pPr>
    </w:p>
    <w:p w14:paraId="41BE456F"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De igual manera, los artículos 9.2 y 21 de la </w:t>
      </w:r>
      <w:r w:rsidRPr="003A358F">
        <w:rPr>
          <w:rFonts w:ascii="Abadi" w:eastAsia="Batang" w:hAnsi="Abadi"/>
          <w:b w:val="0"/>
          <w:i/>
          <w:iCs/>
          <w:sz w:val="21"/>
          <w:szCs w:val="21"/>
          <w:lang w:val="es-MX" w:eastAsia="en-US"/>
        </w:rPr>
        <w:t>Convención sobre los Derechos de las Personas con Discapacidad</w:t>
      </w:r>
      <w:r w:rsidRPr="003A358F">
        <w:rPr>
          <w:rStyle w:val="Refdenotaalpie"/>
          <w:rFonts w:ascii="Abadi" w:eastAsia="Batang" w:hAnsi="Abadi"/>
          <w:b w:val="0"/>
          <w:sz w:val="21"/>
          <w:szCs w:val="21"/>
          <w:lang w:val="es-MX" w:eastAsia="en-US"/>
        </w:rPr>
        <w:footnoteReference w:id="75"/>
      </w:r>
      <w:r w:rsidRPr="003A358F">
        <w:rPr>
          <w:rFonts w:ascii="Abadi" w:eastAsia="Batang" w:hAnsi="Abadi"/>
          <w:b w:val="0"/>
          <w:sz w:val="21"/>
          <w:szCs w:val="21"/>
          <w:lang w:val="es-MX" w:eastAsia="en-US"/>
        </w:rPr>
        <w:t>, disponen que los Estados parte adoptarán las medidas apropiadas para promover el acceso de las personas con discapacidad a los nuevos sistemas y tecnologías de la información y las comunicaciones, en particular Internet. En el año 2013, México reconoció el derecho de acceso a Internet en el artículo sexto constitucional.</w:t>
      </w:r>
    </w:p>
    <w:p w14:paraId="3B7A94BB" w14:textId="77777777" w:rsidR="00421154" w:rsidRPr="003A358F" w:rsidRDefault="00421154" w:rsidP="00421154">
      <w:pPr>
        <w:pStyle w:val="Estilo"/>
        <w:rPr>
          <w:rFonts w:ascii="Abadi" w:hAnsi="Abadi"/>
          <w:bCs/>
          <w:sz w:val="21"/>
          <w:szCs w:val="21"/>
        </w:rPr>
      </w:pPr>
    </w:p>
    <w:p w14:paraId="68A8A8DE"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Sabemos que la adición al tercer párrafo fue publicada en el </w:t>
      </w:r>
      <w:r w:rsidRPr="003A358F">
        <w:rPr>
          <w:rFonts w:ascii="Abadi" w:eastAsia="Batang" w:hAnsi="Abadi"/>
          <w:b w:val="0"/>
          <w:i/>
          <w:iCs/>
          <w:sz w:val="21"/>
          <w:szCs w:val="21"/>
          <w:lang w:val="es-MX" w:eastAsia="en-US"/>
        </w:rPr>
        <w:t>Diario Oficial de la Federación el 11 de junio de 2013</w:t>
      </w:r>
      <w:r w:rsidRPr="003A358F">
        <w:rPr>
          <w:rStyle w:val="Refdenotaalpie"/>
          <w:rFonts w:ascii="Abadi" w:eastAsia="Batang" w:hAnsi="Abadi"/>
          <w:b w:val="0"/>
          <w:sz w:val="21"/>
          <w:szCs w:val="21"/>
          <w:lang w:val="es-MX" w:eastAsia="en-US"/>
        </w:rPr>
        <w:footnoteReference w:id="76"/>
      </w:r>
      <w:r w:rsidRPr="003A358F">
        <w:rPr>
          <w:rFonts w:ascii="Abadi" w:eastAsia="Batang" w:hAnsi="Abadi"/>
          <w:b w:val="0"/>
          <w:sz w:val="21"/>
          <w:szCs w:val="21"/>
          <w:lang w:val="es-MX" w:eastAsia="en-US"/>
        </w:rPr>
        <w:t xml:space="preserve">, y en el artículo décimo cuarto transitorio se atribuyó al Poder Ejecutivo Federal la política de inclusión digital universal, la cual debe incluir: </w:t>
      </w:r>
      <w:r w:rsidRPr="003A358F">
        <w:rPr>
          <w:rFonts w:ascii="Abadi" w:eastAsia="Batang" w:hAnsi="Abadi"/>
          <w:b w:val="0"/>
          <w:i/>
          <w:iCs/>
          <w:sz w:val="21"/>
          <w:szCs w:val="21"/>
          <w:lang w:val="es-MX" w:eastAsia="en-US"/>
        </w:rPr>
        <w:t>los objetivos y metas en materia de infraestructura, accesibilidad y conectividad, tecnologías de la información y comunicación, y habilidades digitales, así como los programas de gobierno digital, gobierno y datos abiertos, fomento a la inversión pública y privada en aplicaciones de telesalud, telemedicina y expediente clínico electrónico y desarrollo de aplicaciones, sistemas y contenidos digitales</w:t>
      </w:r>
      <w:r w:rsidRPr="003A358F">
        <w:rPr>
          <w:rFonts w:ascii="Abadi" w:eastAsia="Batang" w:hAnsi="Abadi"/>
          <w:b w:val="0"/>
          <w:sz w:val="21"/>
          <w:szCs w:val="21"/>
          <w:lang w:val="es-MX" w:eastAsia="en-US"/>
        </w:rPr>
        <w:t>.</w:t>
      </w:r>
    </w:p>
    <w:p w14:paraId="29632BCF" w14:textId="77777777" w:rsidR="00421154" w:rsidRPr="003A358F" w:rsidRDefault="00421154" w:rsidP="00421154">
      <w:pPr>
        <w:pStyle w:val="Estilo"/>
        <w:rPr>
          <w:rFonts w:ascii="Abadi" w:hAnsi="Abadi"/>
          <w:bCs/>
          <w:sz w:val="21"/>
          <w:szCs w:val="21"/>
        </w:rPr>
      </w:pPr>
    </w:p>
    <w:p w14:paraId="5C9471E6"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Por otro lado, al resolver la acción de inconstitucionalidad 15/2017, la Suprema Corte de Justicia de la Nación sostuvo que las Entidades </w:t>
      </w:r>
      <w:r w:rsidRPr="003A358F">
        <w:rPr>
          <w:rFonts w:ascii="Abadi" w:eastAsia="Batang" w:hAnsi="Abadi"/>
          <w:b w:val="0"/>
          <w:sz w:val="21"/>
          <w:szCs w:val="21"/>
          <w:lang w:val="es-MX" w:eastAsia="en-US"/>
        </w:rPr>
        <w:t>federativas cuentan con la facultad para regular derechos humanos en sus normas constitucionales locales, toda vez que es congruente con los fines del federalismo; es decir, los derechos humanos son una responsabilidad compartida entre todos los poderes públicos del país, por ser una materia de materias, por lo que las normas fundamentales a nivel local se basan en la pretensión de mejorar la calidad de vida de sus habitantes, lo cual se logra entre otras cosas, mediante la ampliación del régimen de derechos de las personas que viven en su territorio, para hacer que respondan a las particularidades de cada entidad federativa, satisfagan necesidades particulares de sus colectividades y faciliten sus condiciones de ejercicio, situación con la cual coincidimos plenamente.</w:t>
      </w:r>
    </w:p>
    <w:p w14:paraId="45E26C41" w14:textId="77777777" w:rsidR="00421154" w:rsidRPr="003A358F" w:rsidRDefault="00421154" w:rsidP="00421154">
      <w:pPr>
        <w:pStyle w:val="Estilo"/>
        <w:rPr>
          <w:rFonts w:ascii="Abadi" w:hAnsi="Abadi"/>
          <w:bCs/>
          <w:sz w:val="21"/>
          <w:szCs w:val="21"/>
        </w:rPr>
      </w:pPr>
    </w:p>
    <w:p w14:paraId="1A5FE271"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Por tal motivo, por referir un ejemplo de esa progresividad en otras normas con igual jerarquía en los estados está el contenido en la resolución del 6 de septiembre de 2018, donde se validó la constitucionalidad del artículo 8 de la Constitución Política de la Ciudad de México, en el que se establece el derecho a la ciencia y a la innovación tecnológica, entre lo que se menciona al internet.</w:t>
      </w:r>
    </w:p>
    <w:p w14:paraId="6B7EC0F2" w14:textId="77777777" w:rsidR="00421154" w:rsidRPr="003A358F" w:rsidRDefault="00421154" w:rsidP="00421154">
      <w:pPr>
        <w:pStyle w:val="Estilo"/>
        <w:rPr>
          <w:rFonts w:ascii="Abadi" w:hAnsi="Abadi"/>
          <w:bCs/>
          <w:sz w:val="21"/>
          <w:szCs w:val="21"/>
        </w:rPr>
      </w:pPr>
    </w:p>
    <w:p w14:paraId="78BCF115"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Con los argumentos esgrimidos hasta este punto, se considera que el acceso al internet además de garantizar el ejercicio de múltiples derechos fundamentales también puede válidamente considerarse un derecho en sí mismo, por ello autónomo y susceptible de ser reconocido en la Constitución Política para el Estado de Guanajuato.</w:t>
      </w:r>
    </w:p>
    <w:p w14:paraId="0379A57F" w14:textId="77777777" w:rsidR="00421154" w:rsidRPr="003A358F" w:rsidRDefault="00421154" w:rsidP="00421154">
      <w:pPr>
        <w:pStyle w:val="Textoindependiente"/>
        <w:rPr>
          <w:rFonts w:ascii="Abadi" w:hAnsi="Abadi"/>
          <w:b w:val="0"/>
          <w:sz w:val="21"/>
          <w:szCs w:val="21"/>
          <w:lang w:val="es-MX"/>
        </w:rPr>
      </w:pPr>
    </w:p>
    <w:p w14:paraId="6CCEBE25"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Por lo anterior, compartimos </w:t>
      </w:r>
      <w:r w:rsidRPr="003A358F">
        <w:rPr>
          <w:rFonts w:ascii="Abadi" w:eastAsia="Batang" w:hAnsi="Abadi"/>
          <w:b w:val="0"/>
          <w:i/>
          <w:iCs/>
          <w:sz w:val="21"/>
          <w:szCs w:val="21"/>
          <w:lang w:val="es-MX" w:eastAsia="en-US"/>
        </w:rPr>
        <w:t>como dictaminadores el hecho de generar</w:t>
      </w:r>
      <w:r w:rsidRPr="003A358F">
        <w:rPr>
          <w:rFonts w:ascii="Abadi" w:eastAsia="Batang" w:hAnsi="Abadi"/>
          <w:b w:val="0"/>
          <w:sz w:val="21"/>
          <w:szCs w:val="21"/>
          <w:lang w:val="es-MX" w:eastAsia="en-US"/>
        </w:rPr>
        <w:t xml:space="preserve"> propuestas que busquen fortalecer el marco constitucional y legal relacionado con la promoción, respeto, protección y garantía de los derechos humanos, de conformidad con los principios de universalidad, interdependencia, indivisibilidad y progresividad, máxime si el derecho humano al </w:t>
      </w:r>
      <w:r w:rsidRPr="003A358F">
        <w:rPr>
          <w:rFonts w:ascii="Abadi" w:eastAsia="Batang" w:hAnsi="Abadi"/>
          <w:b w:val="0"/>
          <w:sz w:val="21"/>
          <w:szCs w:val="21"/>
          <w:lang w:val="es-MX" w:eastAsia="en-US"/>
        </w:rPr>
        <w:lastRenderedPageBreak/>
        <w:t>internet ya se contempla como tal en la Constitución Federal del Estado de Guanajuato.</w:t>
      </w:r>
    </w:p>
    <w:p w14:paraId="52617672" w14:textId="77777777" w:rsidR="00421154" w:rsidRPr="003A358F" w:rsidRDefault="00421154" w:rsidP="00421154">
      <w:pPr>
        <w:spacing w:line="276" w:lineRule="auto"/>
        <w:ind w:firstLine="708"/>
        <w:jc w:val="both"/>
        <w:rPr>
          <w:rFonts w:ascii="Abadi" w:hAnsi="Abadi"/>
          <w:bCs/>
          <w:color w:val="1D1F1A"/>
          <w:sz w:val="21"/>
          <w:szCs w:val="21"/>
        </w:rPr>
      </w:pPr>
    </w:p>
    <w:p w14:paraId="0009C790"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En consecuencia, las diputadas y los diputados consideramos que el Estado debe elaborar una política eficaz y concreta a fin de que </w:t>
      </w:r>
      <w:r w:rsidRPr="003A358F">
        <w:rPr>
          <w:rFonts w:ascii="Abadi" w:eastAsia="Batang" w:hAnsi="Abadi"/>
          <w:b w:val="0"/>
          <w:i/>
          <w:iCs/>
          <w:sz w:val="21"/>
          <w:szCs w:val="21"/>
          <w:lang w:val="es-MX" w:eastAsia="en-US"/>
        </w:rPr>
        <w:t xml:space="preserve">Internet </w:t>
      </w:r>
      <w:r w:rsidRPr="003A358F">
        <w:rPr>
          <w:rFonts w:ascii="Abadi" w:eastAsia="Batang" w:hAnsi="Abadi"/>
          <w:b w:val="0"/>
          <w:sz w:val="21"/>
          <w:szCs w:val="21"/>
          <w:lang w:val="es-MX" w:eastAsia="en-US"/>
        </w:rPr>
        <w:t>resulte ampliamente disponible, accesible y asequible para todos los sectores de la población. Y, en cumplimiento a ese mandato constitucional de respeto, protección y garantía del derecho fundamental al internet por parte de este Poder Legislativo, dentro de nuestra función principal es llevar a cabo su reconocimiento en nuestro Código Político Local, el cual, tiene la posibilidad de establecer un parámetro de constitucionalidad local que incluya no solo los derechos humanos reconocidos en la Constitución Federal y en los Tratados Internacionales, sino establecer el reconocimiento de nuevos derechos, como lo es el acceso al internet, pues dicho reconocimiento se realiza bajo la armonización y respeto del alcance de los artículos 1 y 133 de la Constitución Política de los Estados Unidos Mexicanos.</w:t>
      </w:r>
    </w:p>
    <w:p w14:paraId="1239921E"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45A74238"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Conforme a todo lo anterior, podemos afirmar que resulta necesario la pertinencia de la reforma que se dictamina </w:t>
      </w:r>
      <w:r w:rsidRPr="003A358F">
        <w:rPr>
          <w:rFonts w:ascii="Abadi" w:eastAsia="Batang" w:hAnsi="Abadi"/>
          <w:b w:val="0"/>
          <w:i/>
          <w:iCs/>
          <w:sz w:val="21"/>
          <w:szCs w:val="21"/>
          <w:lang w:val="es-MX" w:eastAsia="en-US"/>
        </w:rPr>
        <w:t xml:space="preserve">mediante una adición al artículo 1 de la Constitución Política para el Estado de Guanajuato </w:t>
      </w:r>
      <w:r w:rsidRPr="003A358F">
        <w:rPr>
          <w:rFonts w:ascii="Abadi" w:eastAsia="Batang" w:hAnsi="Abadi"/>
          <w:b w:val="0"/>
          <w:sz w:val="21"/>
          <w:szCs w:val="21"/>
          <w:lang w:val="es-MX" w:eastAsia="en-US"/>
        </w:rPr>
        <w:t>a efecto de reconocer el derecho fundamental de acceso al internet, pues es aquí donde se encuentran reconocidos por nuestro Estado, de manera interdependiente, los derechos civiles, políticos económicos, sociales y culturales.</w:t>
      </w:r>
    </w:p>
    <w:p w14:paraId="3CA4441E"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04D5F823"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Es importante resaltar que, evidentemente, el reconocer un nuevo derecho, implica la obligación del Estado de hacerlo efectivo, y al tratarse de un derecho de vital importancia para la sociedad guanajuatense, el derecho de acceso al internet, podrá ser cumplido a la luz del principio de progresividad de los derechos, es decir, de conformidad con los recursos disponibles en favor de las y los guanajuatenses.</w:t>
      </w:r>
    </w:p>
    <w:p w14:paraId="1F9D03E6" w14:textId="77777777" w:rsidR="00421154" w:rsidRPr="003A358F" w:rsidRDefault="00421154" w:rsidP="00421154">
      <w:pPr>
        <w:spacing w:line="276" w:lineRule="auto"/>
        <w:jc w:val="both"/>
        <w:rPr>
          <w:rFonts w:ascii="Abadi" w:eastAsia="Batang" w:hAnsi="Abadi" w:cs="Arial"/>
          <w:bCs/>
          <w:sz w:val="21"/>
          <w:szCs w:val="21"/>
        </w:rPr>
      </w:pPr>
    </w:p>
    <w:p w14:paraId="65AB5656"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Consideramos pues que el </w:t>
      </w:r>
      <w:r w:rsidRPr="003A358F">
        <w:rPr>
          <w:rFonts w:ascii="Abadi" w:eastAsia="Batang" w:hAnsi="Abadi"/>
          <w:b w:val="0"/>
          <w:i/>
          <w:iCs/>
          <w:sz w:val="21"/>
          <w:szCs w:val="21"/>
          <w:lang w:val="es-MX" w:eastAsia="en-US"/>
        </w:rPr>
        <w:t>Internet</w:t>
      </w:r>
      <w:r w:rsidRPr="003A358F">
        <w:rPr>
          <w:rFonts w:ascii="Abadi" w:eastAsia="Batang" w:hAnsi="Abadi"/>
          <w:b w:val="0"/>
          <w:sz w:val="21"/>
          <w:szCs w:val="21"/>
          <w:lang w:val="es-MX" w:eastAsia="en-US"/>
        </w:rPr>
        <w:t xml:space="preserve"> se ha convertido en un instrumento indispensable para ejercer diversos derechos humanos, luchar contra la desigualdad y acelerar el desarrollo y el progreso humanos, la meta del acceso universal a </w:t>
      </w:r>
      <w:r w:rsidRPr="003A358F">
        <w:rPr>
          <w:rFonts w:ascii="Abadi" w:eastAsia="Batang" w:hAnsi="Abadi"/>
          <w:b w:val="0"/>
          <w:i/>
          <w:iCs/>
          <w:sz w:val="21"/>
          <w:szCs w:val="21"/>
          <w:lang w:val="es-MX" w:eastAsia="en-US"/>
        </w:rPr>
        <w:t>Internet</w:t>
      </w:r>
      <w:r w:rsidRPr="003A358F">
        <w:rPr>
          <w:rFonts w:ascii="Abadi" w:eastAsia="Batang" w:hAnsi="Abadi"/>
          <w:b w:val="0"/>
          <w:sz w:val="21"/>
          <w:szCs w:val="21"/>
          <w:lang w:val="es-MX" w:eastAsia="en-US"/>
        </w:rPr>
        <w:t xml:space="preserve"> debe ser prioritaria para todos los Estados. En consecuencia, se debe elaborar una política eficaz y concreta en consulta con personas de todos los sectores de la sociedad, a fin de que éste resulte ampliamente disponible, accesible y asequible para todos los sectores de la población.</w:t>
      </w:r>
    </w:p>
    <w:p w14:paraId="791BFB87"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418D6586"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Con respecto a la propuesta de incluir al </w:t>
      </w:r>
      <w:r w:rsidRPr="003A358F">
        <w:rPr>
          <w:rFonts w:ascii="Abadi" w:eastAsia="Batang" w:hAnsi="Abadi"/>
          <w:b w:val="0"/>
          <w:i/>
          <w:iCs/>
          <w:sz w:val="21"/>
          <w:szCs w:val="21"/>
          <w:lang w:val="es-MX" w:eastAsia="en-US"/>
        </w:rPr>
        <w:t xml:space="preserve">Gobierno Digital </w:t>
      </w:r>
      <w:r w:rsidRPr="003A358F">
        <w:rPr>
          <w:rFonts w:ascii="Abadi" w:eastAsia="Batang" w:hAnsi="Abadi"/>
          <w:b w:val="0"/>
          <w:sz w:val="21"/>
          <w:szCs w:val="21"/>
          <w:lang w:val="es-MX" w:eastAsia="en-US"/>
        </w:rPr>
        <w:t xml:space="preserve">como un principio dentro de nuestra Constitución Política Local, es menester referir que la estrategia del </w:t>
      </w:r>
      <w:r w:rsidRPr="003A358F">
        <w:rPr>
          <w:rFonts w:ascii="Abadi" w:eastAsia="Batang" w:hAnsi="Abadi"/>
          <w:b w:val="0"/>
          <w:i/>
          <w:iCs/>
          <w:sz w:val="21"/>
          <w:szCs w:val="21"/>
          <w:lang w:val="es-MX" w:eastAsia="en-US"/>
        </w:rPr>
        <w:t>Gobierno Digital</w:t>
      </w:r>
      <w:r w:rsidRPr="003A358F">
        <w:rPr>
          <w:rFonts w:ascii="Abadi" w:eastAsia="Batang" w:hAnsi="Abadi"/>
          <w:b w:val="0"/>
          <w:sz w:val="21"/>
          <w:szCs w:val="21"/>
          <w:lang w:val="es-MX" w:eastAsia="en-US"/>
        </w:rPr>
        <w:t xml:space="preserve"> tiene como objetivo aprovechar al máximo el uso de las tecnologías de información y de comunicaciones en el funcionamiento de las dependencias y entidades de la Administración Pública Federal, para agilizar los trámites que realizan los ciudadanos, coadyuvar a transparentar la función pública, elevar la calidad de los servicios gubernamentales y, en su caso, detectar con oportunidad prácticas de corrupción al interior de las instituciones públicas. </w:t>
      </w:r>
    </w:p>
    <w:p w14:paraId="687CACB4"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11FA6C3B"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En los últimos años, la modernización de la administración pública se ha apoyado de manera importante en la incorporación de tecnologías de la información y comunicación </w:t>
      </w:r>
      <w:r w:rsidRPr="003A358F">
        <w:rPr>
          <w:rFonts w:ascii="Abadi" w:eastAsia="Batang" w:hAnsi="Abadi"/>
          <w:b w:val="0"/>
          <w:i/>
          <w:iCs/>
          <w:sz w:val="21"/>
          <w:szCs w:val="21"/>
          <w:lang w:val="es-MX" w:eastAsia="en-US"/>
        </w:rPr>
        <w:t>TIC’s</w:t>
      </w:r>
      <w:r w:rsidRPr="003A358F">
        <w:rPr>
          <w:rFonts w:ascii="Abadi" w:eastAsia="Batang" w:hAnsi="Abadi"/>
          <w:b w:val="0"/>
          <w:sz w:val="21"/>
          <w:szCs w:val="21"/>
          <w:lang w:val="es-MX" w:eastAsia="en-US"/>
        </w:rPr>
        <w:t xml:space="preserve"> a los procesos y servicios gubernamentales. En México la estrategia para el desarrollo del </w:t>
      </w:r>
      <w:r w:rsidRPr="003A358F">
        <w:rPr>
          <w:rFonts w:ascii="Abadi" w:eastAsia="Batang" w:hAnsi="Abadi"/>
          <w:b w:val="0"/>
          <w:i/>
          <w:iCs/>
          <w:sz w:val="21"/>
          <w:szCs w:val="21"/>
          <w:lang w:val="es-MX" w:eastAsia="en-US"/>
        </w:rPr>
        <w:t>e-gobierno</w:t>
      </w:r>
      <w:r w:rsidRPr="003A358F">
        <w:rPr>
          <w:rFonts w:ascii="Abadi" w:eastAsia="Batang" w:hAnsi="Abadi"/>
          <w:b w:val="0"/>
          <w:sz w:val="21"/>
          <w:szCs w:val="21"/>
          <w:lang w:val="es-MX" w:eastAsia="en-US"/>
        </w:rPr>
        <w:t xml:space="preserve"> ha evolucionado hasta convertirse en un pilar importante para la reforma administrativa del gobierno.</w:t>
      </w:r>
    </w:p>
    <w:p w14:paraId="4F16CA0E"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385264E3" w14:textId="77777777" w:rsidR="00421154" w:rsidRPr="003A358F" w:rsidRDefault="00421154" w:rsidP="00421154">
      <w:pPr>
        <w:pStyle w:val="Textoindependiente"/>
        <w:spacing w:line="276" w:lineRule="auto"/>
        <w:ind w:firstLine="708"/>
        <w:rPr>
          <w:rFonts w:ascii="Abadi" w:hAnsi="Abadi"/>
          <w:b w:val="0"/>
          <w:sz w:val="21"/>
          <w:szCs w:val="21"/>
        </w:rPr>
      </w:pPr>
      <w:r w:rsidRPr="003A358F">
        <w:rPr>
          <w:rFonts w:ascii="Abadi" w:eastAsia="Batang" w:hAnsi="Abadi"/>
          <w:b w:val="0"/>
          <w:sz w:val="21"/>
          <w:szCs w:val="21"/>
          <w:lang w:val="es-MX" w:eastAsia="en-US"/>
        </w:rPr>
        <w:t xml:space="preserve">El </w:t>
      </w:r>
      <w:r w:rsidRPr="003A358F">
        <w:rPr>
          <w:rFonts w:ascii="Abadi" w:eastAsia="Batang" w:hAnsi="Abadi"/>
          <w:b w:val="0"/>
          <w:i/>
          <w:iCs/>
          <w:sz w:val="21"/>
          <w:szCs w:val="21"/>
          <w:lang w:val="es-MX" w:eastAsia="en-US"/>
        </w:rPr>
        <w:t>Gobierno Digital,</w:t>
      </w:r>
      <w:r w:rsidRPr="003A358F">
        <w:rPr>
          <w:rFonts w:ascii="Abadi" w:eastAsia="Batang" w:hAnsi="Abadi"/>
          <w:b w:val="0"/>
          <w:sz w:val="21"/>
          <w:szCs w:val="21"/>
          <w:lang w:val="es-MX" w:eastAsia="en-US"/>
        </w:rPr>
        <w:t xml:space="preserve"> conocido como </w:t>
      </w:r>
      <w:r w:rsidRPr="003A358F">
        <w:rPr>
          <w:rFonts w:ascii="Abadi" w:eastAsia="Batang" w:hAnsi="Abadi"/>
          <w:b w:val="0"/>
          <w:i/>
          <w:iCs/>
          <w:sz w:val="21"/>
          <w:szCs w:val="21"/>
          <w:lang w:val="es-MX" w:eastAsia="en-US"/>
        </w:rPr>
        <w:t>e-Gobierno</w:t>
      </w:r>
      <w:r w:rsidRPr="003A358F">
        <w:rPr>
          <w:rFonts w:ascii="Abadi" w:eastAsia="Batang" w:hAnsi="Abadi"/>
          <w:b w:val="0"/>
          <w:sz w:val="21"/>
          <w:szCs w:val="21"/>
          <w:lang w:val="es-MX" w:eastAsia="en-US"/>
        </w:rPr>
        <w:t xml:space="preserve">, es un componente del Sistema Nacional </w:t>
      </w:r>
      <w:r w:rsidRPr="003A358F">
        <w:rPr>
          <w:rFonts w:ascii="Abadi" w:eastAsia="Batang" w:hAnsi="Abadi"/>
          <w:b w:val="0"/>
          <w:i/>
          <w:iCs/>
          <w:sz w:val="21"/>
          <w:szCs w:val="21"/>
          <w:lang w:val="es-MX" w:eastAsia="en-US"/>
        </w:rPr>
        <w:t>e-México</w:t>
      </w:r>
      <w:r w:rsidRPr="003A358F">
        <w:rPr>
          <w:rFonts w:ascii="Abadi" w:eastAsia="Batang" w:hAnsi="Abadi"/>
          <w:b w:val="0"/>
          <w:sz w:val="21"/>
          <w:szCs w:val="21"/>
          <w:lang w:val="es-MX" w:eastAsia="en-US"/>
        </w:rPr>
        <w:t>, que promueve el uso intensivo de sistemas digitales, en especial de Internet, como la herramienta principal de trabajo de las unidades que conforman la Administración Pública Federal, a través de líneas de acción, entre las que destacan:</w:t>
      </w:r>
      <w:r w:rsidRPr="003A358F">
        <w:rPr>
          <w:rFonts w:ascii="Abadi" w:hAnsi="Abadi"/>
          <w:b w:val="0"/>
          <w:sz w:val="21"/>
          <w:szCs w:val="21"/>
        </w:rPr>
        <w:t xml:space="preserve"> </w:t>
      </w:r>
      <w:r w:rsidRPr="003A358F">
        <w:rPr>
          <w:rFonts w:ascii="Abadi" w:eastAsia="Batang" w:hAnsi="Abadi"/>
          <w:b w:val="0"/>
          <w:sz w:val="21"/>
          <w:szCs w:val="21"/>
          <w:lang w:val="es-MX" w:eastAsia="en-US"/>
        </w:rPr>
        <w:t xml:space="preserve">Instalación y aprovechamiento de </w:t>
      </w:r>
      <w:r w:rsidRPr="003A358F">
        <w:rPr>
          <w:rFonts w:ascii="Abadi" w:eastAsia="Batang" w:hAnsi="Abadi"/>
          <w:b w:val="0"/>
          <w:i/>
          <w:iCs/>
          <w:sz w:val="21"/>
          <w:szCs w:val="21"/>
          <w:lang w:val="es-MX" w:eastAsia="en-US"/>
        </w:rPr>
        <w:t xml:space="preserve">infraestructura tecnológica </w:t>
      </w:r>
      <w:r w:rsidRPr="003A358F">
        <w:rPr>
          <w:rFonts w:ascii="Abadi" w:eastAsia="Batang" w:hAnsi="Abadi"/>
          <w:b w:val="0"/>
          <w:i/>
          <w:iCs/>
          <w:sz w:val="21"/>
          <w:szCs w:val="21"/>
          <w:lang w:val="es-MX" w:eastAsia="en-US"/>
        </w:rPr>
        <w:lastRenderedPageBreak/>
        <w:t>gubernamental</w:t>
      </w:r>
      <w:r w:rsidRPr="003A358F">
        <w:rPr>
          <w:rStyle w:val="Refdenotaalpie"/>
          <w:rFonts w:ascii="Abadi" w:eastAsia="Batang" w:hAnsi="Abadi"/>
          <w:b w:val="0"/>
          <w:sz w:val="21"/>
          <w:szCs w:val="21"/>
          <w:lang w:val="es-MX" w:eastAsia="en-US"/>
        </w:rPr>
        <w:footnoteReference w:id="77"/>
      </w:r>
      <w:r w:rsidRPr="003A358F">
        <w:rPr>
          <w:rFonts w:ascii="Abadi" w:eastAsia="Batang" w:hAnsi="Abadi"/>
          <w:b w:val="0"/>
          <w:sz w:val="21"/>
          <w:szCs w:val="21"/>
          <w:lang w:val="es-MX" w:eastAsia="en-US"/>
        </w:rPr>
        <w:t>, uso intensivo de redes de intranet gubernamental e Internet, para mantener integrada la actividad del sector público en todas las dependencias y entidades de la administración pública, e imprimir mayor precisión y oportunidad a la gestión de los servidores públicos.</w:t>
      </w:r>
      <w:r w:rsidRPr="003A358F">
        <w:rPr>
          <w:rFonts w:ascii="Abadi" w:hAnsi="Abadi"/>
          <w:b w:val="0"/>
          <w:sz w:val="21"/>
          <w:szCs w:val="21"/>
        </w:rPr>
        <w:t xml:space="preserve"> </w:t>
      </w:r>
      <w:r w:rsidRPr="003A358F">
        <w:rPr>
          <w:rFonts w:ascii="Abadi" w:eastAsia="Batang" w:hAnsi="Abadi"/>
          <w:b w:val="0"/>
          <w:sz w:val="21"/>
          <w:szCs w:val="21"/>
          <w:lang w:val="es-MX" w:eastAsia="en-US"/>
        </w:rPr>
        <w:t>Promoción y aplicación de la administración del conocimiento y la colaboración digital, mediante sistemas y esquemas tecnológicos para adquirir, organizar y comunicar el conocimiento en la Administración Pública Federal en sus distintas etapas, tales como aprendizaje, colaboración, evaluación y toma de decisiones. Mejora y rediseño de procesos con tecnologías de información, para desarrollar, actualizar y consolidar los sistemas informáticos, así como para facilitar la actualización informática de los procesos que operan las tareas adjetivas y sustantivas de las instituciones públicas.</w:t>
      </w:r>
      <w:r w:rsidRPr="003A358F">
        <w:rPr>
          <w:rFonts w:ascii="Abadi" w:hAnsi="Abadi"/>
          <w:b w:val="0"/>
          <w:sz w:val="21"/>
          <w:szCs w:val="21"/>
        </w:rPr>
        <w:t xml:space="preserve"> </w:t>
      </w:r>
    </w:p>
    <w:p w14:paraId="4BF51E39" w14:textId="77777777" w:rsidR="00421154" w:rsidRPr="003A358F" w:rsidRDefault="00421154" w:rsidP="00421154">
      <w:pPr>
        <w:pStyle w:val="Textoindependiente"/>
        <w:ind w:firstLine="708"/>
        <w:rPr>
          <w:rFonts w:ascii="Abadi" w:hAnsi="Abadi"/>
          <w:b w:val="0"/>
          <w:sz w:val="21"/>
          <w:szCs w:val="21"/>
        </w:rPr>
      </w:pPr>
    </w:p>
    <w:p w14:paraId="15954EAC" w14:textId="77777777" w:rsidR="00421154" w:rsidRPr="003A358F" w:rsidRDefault="00421154" w:rsidP="00421154">
      <w:pPr>
        <w:pStyle w:val="Textoindependiente"/>
        <w:spacing w:line="276" w:lineRule="auto"/>
        <w:ind w:firstLine="708"/>
        <w:rPr>
          <w:rFonts w:ascii="Abadi" w:hAnsi="Abadi"/>
          <w:b w:val="0"/>
          <w:sz w:val="21"/>
          <w:szCs w:val="21"/>
        </w:rPr>
      </w:pPr>
      <w:r w:rsidRPr="003A358F">
        <w:rPr>
          <w:rFonts w:ascii="Abadi" w:eastAsia="Batang" w:hAnsi="Abadi"/>
          <w:b w:val="0"/>
          <w:sz w:val="21"/>
          <w:szCs w:val="21"/>
          <w:lang w:val="es-MX" w:eastAsia="en-US"/>
        </w:rPr>
        <w:t xml:space="preserve">De igual forma, se engloba dentro de este ejercicio la mayor cobertura de los servicios y trámites electrónicos </w:t>
      </w:r>
      <w:r w:rsidRPr="003A358F">
        <w:rPr>
          <w:rFonts w:ascii="Abadi" w:eastAsia="Batang" w:hAnsi="Abadi"/>
          <w:b w:val="0"/>
          <w:i/>
          <w:iCs/>
          <w:sz w:val="21"/>
          <w:szCs w:val="21"/>
          <w:lang w:val="es-MX" w:eastAsia="en-US"/>
        </w:rPr>
        <w:t>e-Servicios</w:t>
      </w:r>
      <w:r w:rsidRPr="003A358F">
        <w:rPr>
          <w:rFonts w:ascii="Abadi" w:eastAsia="Batang" w:hAnsi="Abadi"/>
          <w:b w:val="0"/>
          <w:sz w:val="21"/>
          <w:szCs w:val="21"/>
          <w:lang w:val="es-MX" w:eastAsia="en-US"/>
        </w:rPr>
        <w:t xml:space="preserve"> del Gobierno Federal, para ofrecer a la ciudadanía la oportunidad de acceder a éstos a través de medios electrónicos con seguridad y rapidez.</w:t>
      </w:r>
      <w:r w:rsidRPr="003A358F">
        <w:rPr>
          <w:rFonts w:ascii="Abadi" w:hAnsi="Abadi"/>
          <w:b w:val="0"/>
          <w:sz w:val="21"/>
          <w:szCs w:val="21"/>
        </w:rPr>
        <w:t xml:space="preserve"> </w:t>
      </w:r>
      <w:r w:rsidRPr="003A358F">
        <w:rPr>
          <w:rFonts w:ascii="Abadi" w:eastAsia="Batang" w:hAnsi="Abadi"/>
          <w:b w:val="0"/>
          <w:sz w:val="21"/>
          <w:szCs w:val="21"/>
          <w:lang w:val="es-MX" w:eastAsia="en-US"/>
        </w:rPr>
        <w:t>Consolidación del Portal Ciudadano del Gobierno Federal, el cual se ha convertido en el eslabón para la creación de cadenas de valor y en un medio eficiente para la participación ciudadana, la transparencia y la rendición de cuentas. Con este portal la ciudadanía puede consultar a través de Internet toda la información sobre productos, servicios y trámites;</w:t>
      </w:r>
      <w:r w:rsidRPr="003A358F">
        <w:rPr>
          <w:rFonts w:ascii="Abadi" w:hAnsi="Abadi"/>
          <w:b w:val="0"/>
          <w:sz w:val="21"/>
          <w:szCs w:val="21"/>
        </w:rPr>
        <w:t xml:space="preserve"> </w:t>
      </w:r>
      <w:r w:rsidRPr="003A358F">
        <w:rPr>
          <w:rFonts w:ascii="Abadi" w:eastAsia="Batang" w:hAnsi="Abadi"/>
          <w:b w:val="0"/>
          <w:sz w:val="21"/>
          <w:szCs w:val="21"/>
          <w:lang w:val="es-MX" w:eastAsia="en-US"/>
        </w:rPr>
        <w:t>el portal representa a su vez un vínculo de comunicación e interacción entre el gobierno y la ciudadanía, las empresas del sector privado y entre las distintas instancias gubernamentales.</w:t>
      </w:r>
      <w:r w:rsidRPr="003A358F">
        <w:rPr>
          <w:rFonts w:ascii="Abadi" w:hAnsi="Abadi"/>
          <w:b w:val="0"/>
          <w:sz w:val="21"/>
          <w:szCs w:val="21"/>
        </w:rPr>
        <w:t xml:space="preserve"> </w:t>
      </w:r>
    </w:p>
    <w:p w14:paraId="1BF7C76C" w14:textId="77777777" w:rsidR="00421154" w:rsidRPr="003A358F" w:rsidRDefault="00421154" w:rsidP="00421154">
      <w:pPr>
        <w:pStyle w:val="Textoindependiente"/>
        <w:spacing w:line="276" w:lineRule="auto"/>
        <w:ind w:firstLine="708"/>
        <w:rPr>
          <w:rFonts w:ascii="Abadi" w:hAnsi="Abadi"/>
          <w:b w:val="0"/>
          <w:sz w:val="21"/>
          <w:szCs w:val="21"/>
        </w:rPr>
      </w:pPr>
    </w:p>
    <w:p w14:paraId="0BAA30C9"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Ampliación de mecanismos como </w:t>
      </w:r>
      <w:r w:rsidRPr="003A358F">
        <w:rPr>
          <w:rFonts w:ascii="Abadi" w:eastAsia="Batang" w:hAnsi="Abadi"/>
          <w:b w:val="0"/>
          <w:i/>
          <w:iCs/>
          <w:sz w:val="21"/>
          <w:szCs w:val="21"/>
          <w:lang w:val="es-MX" w:eastAsia="en-US"/>
        </w:rPr>
        <w:t>e-Democracia</w:t>
      </w:r>
      <w:r w:rsidRPr="003A358F">
        <w:rPr>
          <w:rFonts w:ascii="Abadi" w:eastAsia="Batang" w:hAnsi="Abadi"/>
          <w:b w:val="0"/>
          <w:sz w:val="21"/>
          <w:szCs w:val="21"/>
          <w:lang w:val="es-MX" w:eastAsia="en-US"/>
        </w:rPr>
        <w:t xml:space="preserve"> y participación ciudadana, para continuar aplicando y desarrollando esquemas tecnológicos de planeación, participación y </w:t>
      </w:r>
      <w:r w:rsidRPr="003A358F">
        <w:rPr>
          <w:rFonts w:ascii="Abadi" w:eastAsia="Batang" w:hAnsi="Abadi"/>
          <w:b w:val="0"/>
          <w:sz w:val="21"/>
          <w:szCs w:val="21"/>
          <w:lang w:val="es-MX" w:eastAsia="en-US"/>
        </w:rPr>
        <w:t xml:space="preserve">atención a la población, así como espacios en línea que identifiquen y recojan los planteamientos, problemas, necesidades y propuestas de la ciudadanía, facilitando su seguimiento mediante sistemas de administración de las relaciones con ciudadanos y coordinar las tareas para el desarrollo y consolidación de las acciones del </w:t>
      </w:r>
      <w:r w:rsidRPr="003A358F">
        <w:rPr>
          <w:rFonts w:ascii="Abadi" w:eastAsia="Batang" w:hAnsi="Abadi"/>
          <w:b w:val="0"/>
          <w:i/>
          <w:iCs/>
          <w:sz w:val="21"/>
          <w:szCs w:val="21"/>
          <w:lang w:val="es-MX" w:eastAsia="en-US"/>
        </w:rPr>
        <w:t xml:space="preserve">Gobierno Digital </w:t>
      </w:r>
      <w:r w:rsidRPr="003A358F">
        <w:rPr>
          <w:rFonts w:ascii="Abadi" w:eastAsia="Batang" w:hAnsi="Abadi"/>
          <w:b w:val="0"/>
          <w:sz w:val="21"/>
          <w:szCs w:val="21"/>
          <w:lang w:val="es-MX" w:eastAsia="en-US"/>
        </w:rPr>
        <w:t>en México.</w:t>
      </w:r>
    </w:p>
    <w:p w14:paraId="1B1E4B7D"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7442C449" w14:textId="77777777" w:rsidR="00421154" w:rsidRPr="003A358F" w:rsidRDefault="00421154" w:rsidP="00421154">
      <w:pPr>
        <w:spacing w:line="276" w:lineRule="auto"/>
        <w:ind w:firstLine="708"/>
        <w:jc w:val="both"/>
        <w:rPr>
          <w:rFonts w:ascii="Abadi" w:eastAsia="Batang" w:hAnsi="Abadi" w:cs="Arial"/>
          <w:bCs/>
          <w:sz w:val="21"/>
          <w:szCs w:val="21"/>
        </w:rPr>
      </w:pPr>
      <w:r w:rsidRPr="003A358F">
        <w:rPr>
          <w:rFonts w:ascii="Abadi" w:eastAsia="Batang" w:hAnsi="Abadi" w:cs="Arial"/>
          <w:bCs/>
          <w:sz w:val="21"/>
          <w:szCs w:val="21"/>
        </w:rPr>
        <w:t>En la actualidad existe un gran número de definiciones de gobierno electrónico. El espectro va desde conceptualizaciones que presentan al gobierno electrónico únicamente como la provisión de servicios públicos mediante aplicaciones en Internet hasta definiciones que caracterizan al gobierno electrónico como el uso de cualquier tecnología de información o comunicación en el gobierno -</w:t>
      </w:r>
      <w:r w:rsidRPr="003A358F">
        <w:rPr>
          <w:rFonts w:ascii="Abadi" w:eastAsia="Batang" w:hAnsi="Abadi" w:cs="Arial"/>
          <w:bCs/>
          <w:i/>
          <w:iCs/>
          <w:sz w:val="21"/>
          <w:szCs w:val="21"/>
        </w:rPr>
        <w:t>Gil-García &amp; Luna-Reyes, 2003-</w:t>
      </w:r>
      <w:r w:rsidRPr="003A358F">
        <w:rPr>
          <w:rFonts w:ascii="Abadi" w:eastAsia="Batang" w:hAnsi="Abadi" w:cs="Arial"/>
          <w:bCs/>
          <w:sz w:val="21"/>
          <w:szCs w:val="21"/>
        </w:rPr>
        <w:t xml:space="preserve">. </w:t>
      </w:r>
    </w:p>
    <w:p w14:paraId="40712878" w14:textId="77777777" w:rsidR="00421154" w:rsidRPr="003A358F" w:rsidRDefault="00421154" w:rsidP="00421154">
      <w:pPr>
        <w:spacing w:line="276" w:lineRule="auto"/>
        <w:ind w:firstLine="708"/>
        <w:jc w:val="both"/>
        <w:rPr>
          <w:rFonts w:ascii="Abadi" w:eastAsia="Batang" w:hAnsi="Abadi" w:cs="Arial"/>
          <w:bCs/>
          <w:sz w:val="21"/>
          <w:szCs w:val="21"/>
        </w:rPr>
      </w:pPr>
    </w:p>
    <w:p w14:paraId="502A587D" w14:textId="77777777" w:rsidR="00421154" w:rsidRPr="003A358F" w:rsidRDefault="00421154" w:rsidP="00421154">
      <w:pPr>
        <w:spacing w:line="276" w:lineRule="auto"/>
        <w:ind w:firstLine="708"/>
        <w:jc w:val="both"/>
        <w:rPr>
          <w:rFonts w:ascii="Abadi" w:hAnsi="Abadi"/>
          <w:bCs/>
          <w:sz w:val="21"/>
          <w:szCs w:val="21"/>
        </w:rPr>
      </w:pPr>
      <w:r w:rsidRPr="003A358F">
        <w:rPr>
          <w:rFonts w:ascii="Abadi" w:eastAsia="Batang" w:hAnsi="Abadi" w:cs="Arial"/>
          <w:bCs/>
          <w:sz w:val="21"/>
          <w:szCs w:val="21"/>
        </w:rPr>
        <w:t xml:space="preserve">En los términos más simples, </w:t>
      </w:r>
      <w:r w:rsidRPr="003A358F">
        <w:rPr>
          <w:rFonts w:ascii="Abadi" w:eastAsia="Batang" w:hAnsi="Abadi" w:cs="Arial"/>
          <w:bCs/>
          <w:i/>
          <w:iCs/>
          <w:sz w:val="21"/>
          <w:szCs w:val="21"/>
        </w:rPr>
        <w:t>e-gobierno</w:t>
      </w:r>
      <w:r w:rsidRPr="003A358F">
        <w:rPr>
          <w:rFonts w:ascii="Abadi" w:eastAsia="Batang" w:hAnsi="Abadi" w:cs="Arial"/>
          <w:bCs/>
          <w:sz w:val="21"/>
          <w:szCs w:val="21"/>
        </w:rPr>
        <w:t xml:space="preserve"> </w:t>
      </w:r>
      <w:r w:rsidRPr="003A358F">
        <w:rPr>
          <w:rFonts w:ascii="Abadi" w:eastAsia="Batang" w:hAnsi="Abadi" w:cs="Arial"/>
          <w:bCs/>
          <w:i/>
          <w:iCs/>
          <w:sz w:val="21"/>
          <w:szCs w:val="21"/>
        </w:rPr>
        <w:t>es gobierno electrónico, o el uso de tecnología digital en la administración y prestación de servicios públicos, predominantemente a través de Internet</w:t>
      </w:r>
      <w:r w:rsidRPr="003A358F">
        <w:rPr>
          <w:rFonts w:ascii="Abadi" w:eastAsia="Batang" w:hAnsi="Abadi" w:cs="Arial"/>
          <w:bCs/>
          <w:sz w:val="21"/>
          <w:szCs w:val="21"/>
        </w:rPr>
        <w:t xml:space="preserve"> -Edmiston, 2003/20-. Definimos </w:t>
      </w:r>
      <w:r w:rsidRPr="003A358F">
        <w:rPr>
          <w:rFonts w:ascii="Abadi" w:eastAsia="Batang" w:hAnsi="Abadi" w:cs="Arial"/>
          <w:bCs/>
          <w:i/>
          <w:iCs/>
          <w:sz w:val="21"/>
          <w:szCs w:val="21"/>
        </w:rPr>
        <w:t>e-gobierno</w:t>
      </w:r>
      <w:r w:rsidRPr="003A358F">
        <w:rPr>
          <w:rFonts w:ascii="Abadi" w:eastAsia="Batang" w:hAnsi="Abadi" w:cs="Arial"/>
          <w:bCs/>
          <w:sz w:val="21"/>
          <w:szCs w:val="21"/>
        </w:rPr>
        <w:t xml:space="preserve"> </w:t>
      </w:r>
      <w:r w:rsidRPr="003A358F">
        <w:rPr>
          <w:rFonts w:ascii="Abadi" w:eastAsia="Batang" w:hAnsi="Abadi" w:cs="Arial"/>
          <w:bCs/>
          <w:i/>
          <w:iCs/>
          <w:sz w:val="21"/>
          <w:szCs w:val="21"/>
        </w:rPr>
        <w:t>simplemente como la prestación de servicios e información gubernamental de forma electrónica, 24 horas al día, los siete días de las semana</w:t>
      </w:r>
      <w:r w:rsidRPr="003A358F">
        <w:rPr>
          <w:rFonts w:ascii="Abadi" w:eastAsia="Batang" w:hAnsi="Abadi" w:cs="Arial"/>
          <w:bCs/>
          <w:sz w:val="21"/>
          <w:szCs w:val="21"/>
        </w:rPr>
        <w:t xml:space="preserve"> -Holden, Norris, &amp; Fletcher, 2003/327-. En otro concepto </w:t>
      </w:r>
      <w:r w:rsidRPr="003A358F">
        <w:rPr>
          <w:rFonts w:ascii="Abadi" w:eastAsia="Batang" w:hAnsi="Abadi" w:cs="Arial"/>
          <w:bCs/>
          <w:i/>
          <w:iCs/>
          <w:sz w:val="21"/>
          <w:szCs w:val="21"/>
        </w:rPr>
        <w:t>E-gobierno</w:t>
      </w:r>
      <w:r w:rsidRPr="003A358F">
        <w:rPr>
          <w:rFonts w:ascii="Abadi" w:eastAsia="Batang" w:hAnsi="Abadi" w:cs="Arial"/>
          <w:bCs/>
          <w:sz w:val="21"/>
          <w:szCs w:val="21"/>
        </w:rPr>
        <w:t xml:space="preserve">, </w:t>
      </w:r>
      <w:r w:rsidRPr="003A358F">
        <w:rPr>
          <w:rFonts w:ascii="Abadi" w:eastAsia="Batang" w:hAnsi="Abadi" w:cs="Arial"/>
          <w:bCs/>
          <w:i/>
          <w:iCs/>
          <w:sz w:val="21"/>
          <w:szCs w:val="21"/>
        </w:rPr>
        <w:t>es una palabra que se refiere al uso de Internet por el gobierno para la provisión de servicios, recolección de datos y la mejora de procesos democráticos, se ha convertido en la innovación tecnológica del momento</w:t>
      </w:r>
      <w:r w:rsidRPr="003A358F">
        <w:rPr>
          <w:rFonts w:ascii="Abadi" w:eastAsia="Batang" w:hAnsi="Abadi" w:cs="Arial"/>
          <w:bCs/>
          <w:sz w:val="21"/>
          <w:szCs w:val="21"/>
        </w:rPr>
        <w:t xml:space="preserve"> -Bretschneider, 2003:738-.</w:t>
      </w:r>
      <w:r w:rsidRPr="003A358F">
        <w:rPr>
          <w:rFonts w:ascii="Abadi" w:hAnsi="Abadi"/>
          <w:bCs/>
          <w:sz w:val="21"/>
          <w:szCs w:val="21"/>
        </w:rPr>
        <w:t xml:space="preserve"> </w:t>
      </w:r>
    </w:p>
    <w:p w14:paraId="03918589" w14:textId="77777777" w:rsidR="00421154" w:rsidRPr="003A358F" w:rsidRDefault="00421154" w:rsidP="00421154">
      <w:pPr>
        <w:spacing w:line="276" w:lineRule="auto"/>
        <w:ind w:firstLine="708"/>
        <w:jc w:val="both"/>
        <w:rPr>
          <w:rFonts w:ascii="Abadi" w:hAnsi="Abadi"/>
          <w:bCs/>
          <w:sz w:val="21"/>
          <w:szCs w:val="21"/>
        </w:rPr>
      </w:pPr>
    </w:p>
    <w:p w14:paraId="00BC8F3F" w14:textId="77777777" w:rsidR="00421154" w:rsidRPr="003A358F" w:rsidRDefault="00421154" w:rsidP="00421154">
      <w:pPr>
        <w:spacing w:line="276" w:lineRule="auto"/>
        <w:ind w:firstLine="708"/>
        <w:jc w:val="both"/>
        <w:rPr>
          <w:rFonts w:ascii="Abadi" w:eastAsia="Batang" w:hAnsi="Abadi" w:cs="Arial"/>
          <w:bCs/>
          <w:sz w:val="21"/>
          <w:szCs w:val="21"/>
        </w:rPr>
      </w:pPr>
      <w:r w:rsidRPr="003A358F">
        <w:rPr>
          <w:rFonts w:ascii="Abadi" w:eastAsia="Batang" w:hAnsi="Abadi" w:cs="Arial"/>
          <w:bCs/>
          <w:sz w:val="21"/>
          <w:szCs w:val="21"/>
        </w:rPr>
        <w:t xml:space="preserve">Partiendo del análisis de las definiciones y componentes encontrados en la literatura existente, en este apartado se argumenta que el fenómeno </w:t>
      </w:r>
      <w:r w:rsidRPr="003A358F">
        <w:rPr>
          <w:rFonts w:ascii="Abadi" w:eastAsia="Batang" w:hAnsi="Abadi" w:cs="Arial"/>
          <w:bCs/>
          <w:i/>
          <w:iCs/>
          <w:sz w:val="21"/>
          <w:szCs w:val="21"/>
        </w:rPr>
        <w:t>gobierno electrónico</w:t>
      </w:r>
      <w:r w:rsidRPr="003A358F">
        <w:rPr>
          <w:rFonts w:ascii="Abadi" w:eastAsia="Batang" w:hAnsi="Abadi" w:cs="Arial"/>
          <w:bCs/>
          <w:sz w:val="21"/>
          <w:szCs w:val="21"/>
        </w:rPr>
        <w:t xml:space="preserve"> es multidimensional y por tanto es necesario conceptualizarlo como una amalgama de elementos y aplicaciones interrelacionados, los </w:t>
      </w:r>
      <w:r w:rsidRPr="003A358F">
        <w:rPr>
          <w:rFonts w:ascii="Abadi" w:eastAsia="Batang" w:hAnsi="Abadi" w:cs="Arial"/>
          <w:bCs/>
          <w:sz w:val="21"/>
          <w:szCs w:val="21"/>
        </w:rPr>
        <w:lastRenderedPageBreak/>
        <w:t xml:space="preserve">cuales no necesariamente tienen los mismos objetivos, prioridades. Basados en la revisión y de forma similar a Gil-García y Luna-Reyes (2006), se sugiere que los componentes principales de esta definición multidimensional deben ser: servicios electrónicos </w:t>
      </w:r>
      <w:r w:rsidRPr="003A358F">
        <w:rPr>
          <w:rFonts w:ascii="Abadi" w:eastAsia="Batang" w:hAnsi="Abadi" w:cs="Arial"/>
          <w:bCs/>
          <w:i/>
          <w:iCs/>
          <w:sz w:val="21"/>
          <w:szCs w:val="21"/>
        </w:rPr>
        <w:t>e-services</w:t>
      </w:r>
      <w:r w:rsidRPr="003A358F">
        <w:rPr>
          <w:rFonts w:ascii="Abadi" w:eastAsia="Batang" w:hAnsi="Abadi" w:cs="Arial"/>
          <w:bCs/>
          <w:sz w:val="21"/>
          <w:szCs w:val="21"/>
        </w:rPr>
        <w:t xml:space="preserve">, gerencia electrónica </w:t>
      </w:r>
      <w:r w:rsidRPr="003A358F">
        <w:rPr>
          <w:rFonts w:ascii="Abadi" w:eastAsia="Batang" w:hAnsi="Abadi" w:cs="Arial"/>
          <w:bCs/>
          <w:i/>
          <w:iCs/>
          <w:sz w:val="21"/>
          <w:szCs w:val="21"/>
        </w:rPr>
        <w:t>e-management</w:t>
      </w:r>
      <w:r w:rsidRPr="003A358F">
        <w:rPr>
          <w:rFonts w:ascii="Abadi" w:eastAsia="Batang" w:hAnsi="Abadi" w:cs="Arial"/>
          <w:bCs/>
          <w:sz w:val="21"/>
          <w:szCs w:val="21"/>
        </w:rPr>
        <w:t xml:space="preserve">, democracia electrónica </w:t>
      </w:r>
      <w:r w:rsidRPr="003A358F">
        <w:rPr>
          <w:rFonts w:ascii="Abadi" w:eastAsia="Batang" w:hAnsi="Abadi" w:cs="Arial"/>
          <w:bCs/>
          <w:i/>
          <w:iCs/>
          <w:sz w:val="21"/>
          <w:szCs w:val="21"/>
        </w:rPr>
        <w:t>e-democracy</w:t>
      </w:r>
      <w:r w:rsidRPr="003A358F">
        <w:rPr>
          <w:rFonts w:ascii="Abadi" w:eastAsia="Batang" w:hAnsi="Abadi" w:cs="Arial"/>
          <w:bCs/>
          <w:sz w:val="21"/>
          <w:szCs w:val="21"/>
        </w:rPr>
        <w:t xml:space="preserve">, y políticas públicas electrónicas </w:t>
      </w:r>
      <w:r w:rsidRPr="003A358F">
        <w:rPr>
          <w:rFonts w:ascii="Abadi" w:eastAsia="Batang" w:hAnsi="Abadi" w:cs="Arial"/>
          <w:bCs/>
          <w:i/>
          <w:iCs/>
          <w:sz w:val="21"/>
          <w:szCs w:val="21"/>
        </w:rPr>
        <w:t>e-policy</w:t>
      </w:r>
      <w:r w:rsidRPr="003A358F">
        <w:rPr>
          <w:rFonts w:ascii="Abadi" w:eastAsia="Batang" w:hAnsi="Abadi" w:cs="Arial"/>
          <w:bCs/>
          <w:sz w:val="21"/>
          <w:szCs w:val="21"/>
        </w:rPr>
        <w:t>. Por tanto, una definición de gobierno electrónico que pueda ser utilizada para entender y medir este fenómeno de forma clara y sistemática debe considerar al menos los cuatro elementos mencionados anteriormente. De forma adicional, para que una definición de gobierno electrónico sea realmente útil debe tener bases teóricas sólidas, pero al mismo tiempo debe tener relevancia práctica.</w:t>
      </w:r>
    </w:p>
    <w:p w14:paraId="5CD01962" w14:textId="77777777" w:rsidR="00421154" w:rsidRPr="003A358F" w:rsidRDefault="00421154" w:rsidP="00421154">
      <w:pPr>
        <w:spacing w:line="276" w:lineRule="auto"/>
        <w:ind w:firstLine="708"/>
        <w:jc w:val="both"/>
        <w:rPr>
          <w:rFonts w:ascii="Abadi" w:eastAsia="Batang" w:hAnsi="Abadi" w:cs="Arial"/>
          <w:bCs/>
          <w:sz w:val="21"/>
          <w:szCs w:val="21"/>
        </w:rPr>
      </w:pPr>
    </w:p>
    <w:p w14:paraId="366AB8F8"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No podemos dejar de referir la importancia de este principio a nivel nacional, pues los avances en la aplicación de tecnologías de información y comunicaciones en el </w:t>
      </w:r>
      <w:r w:rsidRPr="003A358F">
        <w:rPr>
          <w:rFonts w:ascii="Abadi" w:eastAsia="Batang" w:hAnsi="Abadi"/>
          <w:b w:val="0"/>
          <w:i/>
          <w:iCs/>
          <w:sz w:val="21"/>
          <w:szCs w:val="21"/>
          <w:lang w:val="es-MX" w:eastAsia="en-US"/>
        </w:rPr>
        <w:t>Gobierno Digital</w:t>
      </w:r>
      <w:r w:rsidRPr="003A358F">
        <w:rPr>
          <w:rFonts w:ascii="Abadi" w:eastAsia="Batang" w:hAnsi="Abadi"/>
          <w:b w:val="0"/>
          <w:sz w:val="21"/>
          <w:szCs w:val="21"/>
          <w:lang w:val="es-MX" w:eastAsia="en-US"/>
        </w:rPr>
        <w:t xml:space="preserve"> de México se han reflejado en una mejor posición de éste en el contexto internacional. En diciembre de 2005 los resultados del </w:t>
      </w:r>
      <w:r w:rsidRPr="003A358F">
        <w:rPr>
          <w:rFonts w:ascii="Abadi" w:eastAsia="Batang" w:hAnsi="Abadi"/>
          <w:b w:val="0"/>
          <w:i/>
          <w:iCs/>
          <w:sz w:val="21"/>
          <w:szCs w:val="21"/>
          <w:lang w:val="es-MX" w:eastAsia="en-US"/>
        </w:rPr>
        <w:t>Reporte Global sobre Aptitud de e-Gobierno 2005</w:t>
      </w:r>
      <w:r w:rsidRPr="003A358F">
        <w:rPr>
          <w:rFonts w:ascii="Abadi" w:eastAsia="Batang" w:hAnsi="Abadi"/>
          <w:b w:val="0"/>
          <w:sz w:val="21"/>
          <w:szCs w:val="21"/>
          <w:lang w:val="es-MX" w:eastAsia="en-US"/>
        </w:rPr>
        <w:t xml:space="preserve">, dado a conocer por la Organización de las Naciones Unidas, ubicó a México en el sitio 31 de entre 191 países evaluados. Este Reporte colocó a México en el décimo primer lugar en materia de sofisticación y madurez de servicios gubernamentales en línea; en el sexto lugar en </w:t>
      </w:r>
      <w:r w:rsidRPr="003A358F">
        <w:rPr>
          <w:rFonts w:ascii="Abadi" w:eastAsia="Batang" w:hAnsi="Abadi"/>
          <w:b w:val="0"/>
          <w:i/>
          <w:iCs/>
          <w:sz w:val="21"/>
          <w:szCs w:val="21"/>
          <w:lang w:val="es-MX" w:eastAsia="en-US"/>
        </w:rPr>
        <w:t>e-participación</w:t>
      </w:r>
      <w:r w:rsidRPr="003A358F">
        <w:rPr>
          <w:rFonts w:ascii="Abadi" w:eastAsia="Batang" w:hAnsi="Abadi"/>
          <w:b w:val="0"/>
          <w:sz w:val="21"/>
          <w:szCs w:val="21"/>
          <w:lang w:val="es-MX" w:eastAsia="en-US"/>
        </w:rPr>
        <w:t xml:space="preserve">, y reconoció a nuestro país como una de las 10 naciones que ha progresado de manera más efectiva y rápida en sus estrategias de </w:t>
      </w:r>
      <w:r w:rsidRPr="003A358F">
        <w:rPr>
          <w:rFonts w:ascii="Abadi" w:eastAsia="Batang" w:hAnsi="Abadi"/>
          <w:b w:val="0"/>
          <w:i/>
          <w:iCs/>
          <w:sz w:val="21"/>
          <w:szCs w:val="21"/>
          <w:lang w:val="es-MX" w:eastAsia="en-US"/>
        </w:rPr>
        <w:t>e-Gobierno</w:t>
      </w:r>
      <w:r w:rsidRPr="003A358F">
        <w:rPr>
          <w:rFonts w:ascii="Abadi" w:eastAsia="Batang" w:hAnsi="Abadi"/>
          <w:b w:val="0"/>
          <w:sz w:val="21"/>
          <w:szCs w:val="21"/>
          <w:lang w:val="es-MX" w:eastAsia="en-US"/>
        </w:rPr>
        <w:t>.</w:t>
      </w:r>
    </w:p>
    <w:p w14:paraId="3746C468"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30E99A1B"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En ese sentido, uno de los principales resultados potenciales del gobierno electrónico o </w:t>
      </w:r>
      <w:r w:rsidRPr="003A358F">
        <w:rPr>
          <w:rFonts w:ascii="Abadi" w:eastAsia="Batang" w:hAnsi="Abadi"/>
          <w:b w:val="0"/>
          <w:sz w:val="21"/>
          <w:szCs w:val="21"/>
          <w:lang w:val="es-MX" w:eastAsia="en-US"/>
        </w:rPr>
        <w:t xml:space="preserve">digital </w:t>
      </w:r>
      <w:r w:rsidRPr="003A358F">
        <w:rPr>
          <w:rFonts w:ascii="Abadi" w:eastAsia="Batang" w:hAnsi="Abadi"/>
          <w:b w:val="0"/>
          <w:i/>
          <w:iCs/>
          <w:sz w:val="21"/>
          <w:szCs w:val="21"/>
          <w:lang w:val="es-MX" w:eastAsia="en-US"/>
        </w:rPr>
        <w:t xml:space="preserve">y que coincidimos es la base de este dictamen, es </w:t>
      </w:r>
      <w:r w:rsidRPr="003A358F">
        <w:rPr>
          <w:rFonts w:ascii="Abadi" w:eastAsia="Batang" w:hAnsi="Abadi"/>
          <w:b w:val="0"/>
          <w:sz w:val="21"/>
          <w:szCs w:val="21"/>
          <w:lang w:val="es-MX" w:eastAsia="en-US"/>
        </w:rPr>
        <w:t>que se ha identificado en estudios el mejoramiento de la calidad en los servicios públicos</w:t>
      </w:r>
      <w:r w:rsidRPr="003A358F">
        <w:rPr>
          <w:rStyle w:val="Refdenotaalpie"/>
          <w:rFonts w:ascii="Abadi" w:eastAsia="Batang" w:hAnsi="Abadi"/>
          <w:b w:val="0"/>
          <w:sz w:val="21"/>
          <w:szCs w:val="21"/>
          <w:lang w:val="es-MX" w:eastAsia="en-US"/>
        </w:rPr>
        <w:footnoteReference w:id="78"/>
      </w:r>
      <w:r w:rsidRPr="003A358F">
        <w:rPr>
          <w:rFonts w:ascii="Abadi" w:eastAsia="Batang" w:hAnsi="Abadi"/>
          <w:b w:val="0"/>
          <w:sz w:val="21"/>
          <w:szCs w:val="21"/>
          <w:lang w:val="es-MX" w:eastAsia="en-US"/>
        </w:rPr>
        <w:t>. Esto no sólo se refiere a la conveniencia de tener acceso a información y servicios gubernamentales veinticuatro horas del día los siete días de la semana, sino también al mejoramiento substancial de los productos, procesos y atención a los ciudadanos.</w:t>
      </w:r>
    </w:p>
    <w:p w14:paraId="0CC9CCDD"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34C4DF9A"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Coincidimos con las y los proponentes en que el </w:t>
      </w:r>
      <w:r w:rsidRPr="003A358F">
        <w:rPr>
          <w:rFonts w:ascii="Abadi" w:eastAsia="Batang" w:hAnsi="Abadi"/>
          <w:b w:val="0"/>
          <w:i/>
          <w:iCs/>
          <w:sz w:val="21"/>
          <w:szCs w:val="21"/>
          <w:lang w:val="es-MX" w:eastAsia="en-US"/>
        </w:rPr>
        <w:t>e-gobierno</w:t>
      </w:r>
      <w:r w:rsidRPr="003A358F">
        <w:rPr>
          <w:rStyle w:val="Refdenotaalpie"/>
          <w:rFonts w:ascii="Abadi" w:eastAsia="Batang" w:hAnsi="Abadi"/>
          <w:b w:val="0"/>
          <w:sz w:val="21"/>
          <w:szCs w:val="21"/>
          <w:lang w:val="es-MX" w:eastAsia="en-US"/>
        </w:rPr>
        <w:footnoteReference w:id="79"/>
      </w:r>
      <w:r w:rsidRPr="003A358F">
        <w:rPr>
          <w:rFonts w:ascii="Abadi" w:eastAsia="Batang" w:hAnsi="Abadi"/>
          <w:b w:val="0"/>
          <w:sz w:val="21"/>
          <w:szCs w:val="21"/>
          <w:lang w:val="es-MX" w:eastAsia="en-US"/>
        </w:rPr>
        <w:t xml:space="preserve"> tiene como objetivo incrementar la eficiencia, la transparencia, la accesibilidad y la capacidad de respuesta a las demandas de los ciudadanos y organizaciones, así como lograr un gobierno competitivo que contribuya a alcanzar las metas de crecimiento económico y desarrollo social. El uso de las </w:t>
      </w:r>
      <w:r w:rsidRPr="003A358F">
        <w:rPr>
          <w:rFonts w:ascii="Abadi" w:eastAsia="Batang" w:hAnsi="Abadi"/>
          <w:b w:val="0"/>
          <w:i/>
          <w:iCs/>
          <w:sz w:val="21"/>
          <w:szCs w:val="21"/>
          <w:lang w:val="es-MX" w:eastAsia="en-US"/>
        </w:rPr>
        <w:t>TIC´s</w:t>
      </w:r>
      <w:r w:rsidRPr="003A358F">
        <w:rPr>
          <w:rFonts w:ascii="Abadi" w:eastAsia="Batang" w:hAnsi="Abadi"/>
          <w:b w:val="0"/>
          <w:sz w:val="21"/>
          <w:szCs w:val="21"/>
          <w:lang w:val="es-MX" w:eastAsia="en-US"/>
        </w:rPr>
        <w:t xml:space="preserve"> en el gobierno también tiene el potencial de transformar sus relaciones con los ciudadanos, las empresas y otras áreas del mismo gobierno</w:t>
      </w:r>
      <w:r w:rsidRPr="003A358F">
        <w:rPr>
          <w:rStyle w:val="Refdenotaalpie"/>
          <w:rFonts w:ascii="Abadi" w:eastAsia="Batang" w:hAnsi="Abadi"/>
          <w:b w:val="0"/>
          <w:sz w:val="21"/>
          <w:szCs w:val="21"/>
          <w:lang w:val="es-MX" w:eastAsia="en-US"/>
        </w:rPr>
        <w:footnoteReference w:id="80"/>
      </w:r>
      <w:r w:rsidRPr="003A358F">
        <w:rPr>
          <w:rFonts w:ascii="Abadi" w:eastAsia="Batang" w:hAnsi="Abadi"/>
          <w:b w:val="0"/>
          <w:sz w:val="21"/>
          <w:szCs w:val="21"/>
          <w:lang w:val="es-MX" w:eastAsia="en-US"/>
        </w:rPr>
        <w:t xml:space="preserve"> </w:t>
      </w:r>
    </w:p>
    <w:p w14:paraId="7FC2DBF3"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717D04A4"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Sin embargo, la transformación del gobierno mediante el uso de </w:t>
      </w:r>
      <w:r w:rsidRPr="003A358F">
        <w:rPr>
          <w:rFonts w:ascii="Abadi" w:eastAsia="Batang" w:hAnsi="Abadi"/>
          <w:b w:val="0"/>
          <w:i/>
          <w:iCs/>
          <w:sz w:val="21"/>
          <w:szCs w:val="21"/>
          <w:lang w:val="es-MX" w:eastAsia="en-US"/>
        </w:rPr>
        <w:t xml:space="preserve">TIC’s </w:t>
      </w:r>
      <w:r w:rsidRPr="003A358F">
        <w:rPr>
          <w:rStyle w:val="Refdenotaalpie"/>
          <w:rFonts w:ascii="Abadi" w:eastAsia="Batang" w:hAnsi="Abadi"/>
          <w:b w:val="0"/>
          <w:sz w:val="21"/>
          <w:szCs w:val="21"/>
          <w:lang w:val="es-MX" w:eastAsia="en-US"/>
        </w:rPr>
        <w:footnoteReference w:id="81"/>
      </w:r>
      <w:r w:rsidRPr="003A358F">
        <w:rPr>
          <w:rFonts w:ascii="Abadi" w:eastAsia="Batang" w:hAnsi="Abadi"/>
          <w:b w:val="0"/>
          <w:sz w:val="21"/>
          <w:szCs w:val="21"/>
          <w:lang w:val="es-MX" w:eastAsia="en-US"/>
        </w:rPr>
        <w:t xml:space="preserve">requiere de cambios institucionales y organizacionales complejos y no simplemente de la adquisición de hardware y software. En la construcción del </w:t>
      </w:r>
      <w:r w:rsidRPr="003A358F">
        <w:rPr>
          <w:rFonts w:ascii="Abadi" w:eastAsia="Batang" w:hAnsi="Abadi"/>
          <w:b w:val="0"/>
          <w:i/>
          <w:iCs/>
          <w:sz w:val="21"/>
          <w:szCs w:val="21"/>
          <w:lang w:val="es-MX" w:eastAsia="en-US"/>
        </w:rPr>
        <w:t>e- gobierno</w:t>
      </w:r>
      <w:r w:rsidRPr="003A358F">
        <w:rPr>
          <w:rFonts w:ascii="Abadi" w:eastAsia="Batang" w:hAnsi="Abadi"/>
          <w:b w:val="0"/>
          <w:sz w:val="21"/>
          <w:szCs w:val="21"/>
          <w:lang w:val="es-MX" w:eastAsia="en-US"/>
        </w:rPr>
        <w:t xml:space="preserve"> se deben considerar diversos niveles y elementos. Una implementación exitosa del gobierno electrónico o digital debe asegurar el acceso de toda la población, a la información, uso y aprovechamiento de los diversos servicios públicos que ofrece el gobierno</w:t>
      </w:r>
      <w:r w:rsidRPr="003A358F">
        <w:rPr>
          <w:rStyle w:val="Refdenotaalpie"/>
          <w:rFonts w:ascii="Abadi" w:eastAsia="Batang" w:hAnsi="Abadi"/>
          <w:b w:val="0"/>
          <w:sz w:val="21"/>
          <w:szCs w:val="21"/>
          <w:lang w:val="es-MX" w:eastAsia="en-US"/>
        </w:rPr>
        <w:footnoteReference w:id="82"/>
      </w:r>
      <w:r w:rsidRPr="003A358F">
        <w:rPr>
          <w:rFonts w:ascii="Abadi" w:eastAsia="Batang" w:hAnsi="Abadi"/>
          <w:b w:val="0"/>
          <w:sz w:val="21"/>
          <w:szCs w:val="21"/>
          <w:lang w:val="es-MX" w:eastAsia="en-US"/>
        </w:rPr>
        <w:t xml:space="preserve">. Los verdaderos beneficios del </w:t>
      </w:r>
      <w:r w:rsidRPr="003A358F">
        <w:rPr>
          <w:rFonts w:ascii="Abadi" w:eastAsia="Batang" w:hAnsi="Abadi"/>
          <w:b w:val="0"/>
          <w:i/>
          <w:iCs/>
          <w:sz w:val="21"/>
          <w:szCs w:val="21"/>
          <w:lang w:val="es-MX" w:eastAsia="en-US"/>
        </w:rPr>
        <w:t>e-gobierno</w:t>
      </w:r>
      <w:r w:rsidRPr="003A358F">
        <w:rPr>
          <w:rFonts w:ascii="Abadi" w:eastAsia="Batang" w:hAnsi="Abadi"/>
          <w:b w:val="0"/>
          <w:sz w:val="21"/>
          <w:szCs w:val="21"/>
          <w:lang w:val="es-MX" w:eastAsia="en-US"/>
        </w:rPr>
        <w:t xml:space="preserve"> no están únicamente en el uso de la tecnología, sino en su correcta aplicación a los procesos gubernamentales y a la generación de valor para los ciudadanos, las empresas y otros grupos de la sociedad.</w:t>
      </w:r>
      <w:r w:rsidRPr="003A358F">
        <w:rPr>
          <w:rStyle w:val="Refdenotaalpie"/>
          <w:rFonts w:ascii="Abadi" w:eastAsia="Batang" w:hAnsi="Abadi"/>
          <w:b w:val="0"/>
          <w:sz w:val="21"/>
          <w:szCs w:val="21"/>
          <w:lang w:val="es-MX" w:eastAsia="en-US"/>
        </w:rPr>
        <w:footnoteReference w:id="83"/>
      </w:r>
      <w:r w:rsidRPr="003A358F">
        <w:rPr>
          <w:rFonts w:ascii="Abadi" w:eastAsia="Batang" w:hAnsi="Abadi"/>
          <w:b w:val="0"/>
          <w:sz w:val="21"/>
          <w:szCs w:val="21"/>
          <w:lang w:val="es-MX" w:eastAsia="en-US"/>
        </w:rPr>
        <w:t xml:space="preserve"> </w:t>
      </w:r>
    </w:p>
    <w:p w14:paraId="64280216"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6DE4DF3B"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En México, la implementación de proyectos de </w:t>
      </w:r>
      <w:r w:rsidRPr="003A358F">
        <w:rPr>
          <w:rFonts w:ascii="Abadi" w:eastAsia="Batang" w:hAnsi="Abadi"/>
          <w:b w:val="0"/>
          <w:i/>
          <w:iCs/>
          <w:sz w:val="21"/>
          <w:szCs w:val="21"/>
          <w:lang w:val="es-MX" w:eastAsia="en-US"/>
        </w:rPr>
        <w:t>e-gobierno</w:t>
      </w:r>
      <w:r w:rsidRPr="003A358F">
        <w:rPr>
          <w:rFonts w:ascii="Abadi" w:eastAsia="Batang" w:hAnsi="Abadi"/>
          <w:b w:val="0"/>
          <w:sz w:val="21"/>
          <w:szCs w:val="21"/>
          <w:lang w:val="es-MX" w:eastAsia="en-US"/>
        </w:rPr>
        <w:t xml:space="preserve"> como parte de los procesos de reforma y modernización de la administración pública se intensificó desde hace ya diversas administraciones y la estrategia ha requerido tanto la construcción y adquisición de infraestructura física como la creación y modificación de estructuras institucionales y organizacionales.</w:t>
      </w:r>
      <w:r w:rsidRPr="003A358F">
        <w:rPr>
          <w:rStyle w:val="Refdenotaalpie"/>
          <w:rFonts w:ascii="Abadi" w:eastAsia="Batang" w:hAnsi="Abadi"/>
          <w:b w:val="0"/>
          <w:sz w:val="21"/>
          <w:szCs w:val="21"/>
          <w:lang w:val="es-MX" w:eastAsia="en-US"/>
        </w:rPr>
        <w:footnoteReference w:id="84"/>
      </w:r>
    </w:p>
    <w:p w14:paraId="0054C117"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4E803D23"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Actualmente, con distintos niveles de avance, la población puede acceder a información y servicios en línea tales como la declaración fiscal, solicitud de permisos y licencias, pasaportes, búsqueda de empleo y solicitud de una cita médica, entre otros. La computadora, propia o situada en lugares públicos </w:t>
      </w:r>
      <w:r w:rsidRPr="003A358F">
        <w:rPr>
          <w:rFonts w:ascii="Abadi" w:eastAsia="Batang" w:hAnsi="Abadi"/>
          <w:b w:val="0"/>
          <w:i/>
          <w:iCs/>
          <w:sz w:val="21"/>
          <w:szCs w:val="21"/>
          <w:lang w:val="es-MX" w:eastAsia="en-US"/>
        </w:rPr>
        <w:t>gubernamentales o privados</w:t>
      </w:r>
      <w:r w:rsidRPr="003A358F">
        <w:rPr>
          <w:rFonts w:ascii="Abadi" w:eastAsia="Batang" w:hAnsi="Abadi"/>
          <w:b w:val="0"/>
          <w:sz w:val="21"/>
          <w:szCs w:val="21"/>
          <w:lang w:val="es-MX" w:eastAsia="en-US"/>
        </w:rPr>
        <w:t xml:space="preserve">, se está convirtiendo en una ventanilla más de atención a los ciudadanos. </w:t>
      </w:r>
    </w:p>
    <w:p w14:paraId="28B640E2"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72E3E5CE"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Sin embargo, muchas de estas acciones se refieren a servicios en línea y falta avanzar en otros temas de gran importancia, entre los que destacan una mayor interacción con los usuarios y la cooperación entre dependencias y niveles de gobierno para brindar servicios más integrados, de ahí la necesidad de ir avanzando en este principio desde nuestra Constitución Política Local, este ejercicio de inclusión busca además de armonizar con los principios constitucionales a nivel federal, generar el piso constitucional que será la base de las reformas legales que den lugar a una implementación de manera gradual y acorde a las necesidades y recursos de cada poder del Estado y los municipios tengan a su alcance, sin dejar de lado la previsión presupuestal de manera progresiva y la planeación como acciones principales en beneficio de las y los guanajuatenses.</w:t>
      </w:r>
    </w:p>
    <w:p w14:paraId="2BF40985"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4C1E0C8E"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La estrategia de gobierno electrónico o digital incluye los ámbitos locales y estatales pues se considera un medio para que todos los </w:t>
      </w:r>
      <w:r w:rsidRPr="003A358F">
        <w:rPr>
          <w:rFonts w:ascii="Abadi" w:eastAsia="Batang" w:hAnsi="Abadi"/>
          <w:b w:val="0"/>
          <w:sz w:val="21"/>
          <w:szCs w:val="21"/>
          <w:lang w:val="es-MX" w:eastAsia="en-US"/>
        </w:rPr>
        <w:t>mexicanos y en especial las y los guanajuatenses ejerzan su derecho a estar informados y acceder a los servicios que ofrece el gobierno en todos sus niveles, federal, regional, estatal y municipal.</w:t>
      </w:r>
    </w:p>
    <w:p w14:paraId="37D48A3D"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6FC81A27"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Quienes dictaminamos, consideramos que la estrategia a mediano y largo plazo será fundamental en el éxito de esta reforma, al incluir como un derecho el acceso al internet y como un principio al Gobierno abierto en beneficio de los ciudadanos fortaleciendo las funciones y servicios de la Administración Pública estatal y municipal, principalmente.</w:t>
      </w:r>
    </w:p>
    <w:p w14:paraId="6AA03BC2"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20216968" w14:textId="77777777" w:rsidR="00421154" w:rsidRPr="003A358F" w:rsidRDefault="00421154" w:rsidP="00421154">
      <w:pPr>
        <w:spacing w:line="276" w:lineRule="auto"/>
        <w:jc w:val="both"/>
        <w:rPr>
          <w:rFonts w:ascii="Abadi" w:eastAsia="Batang" w:hAnsi="Abadi" w:cs="Arial"/>
          <w:bCs/>
          <w:i/>
          <w:iCs/>
          <w:sz w:val="21"/>
          <w:szCs w:val="21"/>
        </w:rPr>
      </w:pPr>
      <w:r w:rsidRPr="003A358F">
        <w:rPr>
          <w:rFonts w:ascii="Abadi" w:eastAsia="Batang" w:hAnsi="Abadi" w:cs="Arial"/>
          <w:bCs/>
          <w:sz w:val="21"/>
          <w:szCs w:val="21"/>
        </w:rPr>
        <w:t xml:space="preserve">III.2. Análisis de las propuestas </w:t>
      </w:r>
      <w:r w:rsidRPr="003A358F">
        <w:rPr>
          <w:rFonts w:ascii="Abadi" w:eastAsia="Batang" w:hAnsi="Abadi" w:cs="Arial"/>
          <w:bCs/>
          <w:i/>
          <w:iCs/>
          <w:sz w:val="21"/>
          <w:szCs w:val="21"/>
        </w:rPr>
        <w:t>y su inclusión de manera expresa en la Constitución Política para el Estado de Guanajuato</w:t>
      </w:r>
    </w:p>
    <w:p w14:paraId="3CD56BC9"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6294CFEA"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Tenemos claro quienes dictaminamos y coincidimos con el autor </w:t>
      </w:r>
      <w:r w:rsidRPr="003A358F">
        <w:rPr>
          <w:rFonts w:ascii="Abadi" w:eastAsia="Batang" w:hAnsi="Abadi"/>
          <w:b w:val="0"/>
          <w:i/>
          <w:iCs/>
          <w:sz w:val="21"/>
          <w:szCs w:val="21"/>
          <w:lang w:val="es-MX" w:eastAsia="en-US"/>
        </w:rPr>
        <w:t xml:space="preserve">Miguel Carbonell en que el </w:t>
      </w:r>
      <w:r w:rsidRPr="003A358F">
        <w:rPr>
          <w:rFonts w:ascii="Abadi" w:eastAsia="Batang" w:hAnsi="Abadi"/>
          <w:b w:val="0"/>
          <w:sz w:val="21"/>
          <w:szCs w:val="21"/>
          <w:lang w:val="es-MX" w:eastAsia="en-US"/>
        </w:rPr>
        <w:t>Internet es el tejido de nuestras vidas. Si la tecnología de información es el equivalente histórico de lo que supuso la electricidad en la era industrial, en nuestra era podríamos comparar Internet con la red eléctrica y el motor eléctrico, dada su capacidad para distribuir el poder de la información por todos los ámbitos de la actividad humana. Es más, al igual que las nuevas tecnologías de generación y distribución de energía permitieron que la fábrica y la gran empresa se establecieran como las bases organizativas de la sociedad industrial, Internet constituye actualmente la base de la tecnología de forma organizativa que caracteriza la era de la información.</w:t>
      </w:r>
      <w:r w:rsidRPr="003A358F">
        <w:rPr>
          <w:rStyle w:val="Refdenotaalpie"/>
          <w:rFonts w:ascii="Abadi" w:eastAsia="Batang" w:hAnsi="Abadi"/>
          <w:b w:val="0"/>
          <w:sz w:val="21"/>
          <w:szCs w:val="21"/>
          <w:lang w:val="es-MX" w:eastAsia="en-US"/>
        </w:rPr>
        <w:footnoteReference w:id="85"/>
      </w:r>
    </w:p>
    <w:p w14:paraId="01F9324E"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500B9C32"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De ahí que el acceso a Internet permite el ejercicio de las libertades de forma mucho más asequible. A través de los múltiples sistemas de comunicación que coexisten en su seno –como podrían ser las redes sociales, los blogs, los foros virtuales de discusión-, facilita la libertad de expresión; y de asociación; permite compartir el conocimiento y el aprendizaje; potencia la colaboración entre personas, universidades o </w:t>
      </w:r>
      <w:r w:rsidRPr="003A358F">
        <w:rPr>
          <w:rFonts w:ascii="Abadi" w:eastAsia="Batang" w:hAnsi="Abadi"/>
          <w:b w:val="0"/>
          <w:sz w:val="21"/>
          <w:szCs w:val="21"/>
          <w:lang w:val="es-MX" w:eastAsia="en-US"/>
        </w:rPr>
        <w:lastRenderedPageBreak/>
        <w:t>empresas de todo el mundo, e impulsa el desarrollo social y económico.</w:t>
      </w:r>
    </w:p>
    <w:p w14:paraId="68741D67"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4998F732"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El uso de Internet además implica que se facilite notablemente el ejercicio de diversos derechos reconocidos en la propia Constitución Política de nuestro país, entre ellos el de la educación, la cultura, el acceso a la información pública o la libertad de expresión.</w:t>
      </w:r>
      <w:r w:rsidRPr="003A358F">
        <w:rPr>
          <w:rStyle w:val="Refdenotaalpie"/>
          <w:rFonts w:ascii="Abadi" w:eastAsia="Batang" w:hAnsi="Abadi"/>
          <w:b w:val="0"/>
          <w:sz w:val="21"/>
          <w:szCs w:val="21"/>
          <w:lang w:val="es-MX" w:eastAsia="en-US"/>
        </w:rPr>
        <w:footnoteReference w:id="86"/>
      </w:r>
    </w:p>
    <w:p w14:paraId="0C501FE5"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78E448CA"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Es fundamental tener como punto de partida en todo este análisis que el derecho al acceso de internet se ha señalado en la Constitución Política de los Estados Unidos Mexicanos en los siguientes términos:</w:t>
      </w:r>
    </w:p>
    <w:p w14:paraId="68C95ADA"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0FAF4593" w14:textId="77777777" w:rsidR="00421154" w:rsidRPr="003A358F" w:rsidRDefault="00421154" w:rsidP="00421154">
      <w:pPr>
        <w:pStyle w:val="Textoindependiente"/>
        <w:spacing w:line="276" w:lineRule="auto"/>
        <w:ind w:left="1134"/>
        <w:rPr>
          <w:rFonts w:ascii="Abadi" w:eastAsia="Batang" w:hAnsi="Abadi"/>
          <w:b w:val="0"/>
          <w:i/>
          <w:iCs/>
          <w:sz w:val="21"/>
          <w:szCs w:val="21"/>
          <w:lang w:val="es-MX" w:eastAsia="en-US"/>
        </w:rPr>
      </w:pPr>
      <w:r w:rsidRPr="003A358F">
        <w:rPr>
          <w:rFonts w:ascii="Abadi" w:eastAsia="Batang" w:hAnsi="Abadi"/>
          <w:b w:val="0"/>
          <w:i/>
          <w:iCs/>
          <w:sz w:val="21"/>
          <w:szCs w:val="21"/>
          <w:lang w:val="es-MX" w:eastAsia="en-US"/>
        </w:rPr>
        <w:t>Artículo 6o. La manifestación de las ideas no será…</w:t>
      </w:r>
    </w:p>
    <w:p w14:paraId="520CCCDA" w14:textId="77777777" w:rsidR="00421154" w:rsidRPr="003A358F" w:rsidRDefault="00421154" w:rsidP="00421154">
      <w:pPr>
        <w:pStyle w:val="Textoindependiente"/>
        <w:spacing w:line="276" w:lineRule="auto"/>
        <w:ind w:left="1134"/>
        <w:rPr>
          <w:rFonts w:ascii="Abadi" w:eastAsia="Batang" w:hAnsi="Abadi"/>
          <w:b w:val="0"/>
          <w:i/>
          <w:iCs/>
          <w:sz w:val="21"/>
          <w:szCs w:val="21"/>
          <w:lang w:val="es-MX" w:eastAsia="en-US"/>
        </w:rPr>
      </w:pPr>
      <w:r w:rsidRPr="003A358F">
        <w:rPr>
          <w:rFonts w:ascii="Abadi" w:eastAsia="Batang" w:hAnsi="Abadi"/>
          <w:b w:val="0"/>
          <w:i/>
          <w:iCs/>
          <w:sz w:val="21"/>
          <w:szCs w:val="21"/>
          <w:lang w:val="es-MX" w:eastAsia="en-US"/>
        </w:rPr>
        <w:t>(…)</w:t>
      </w:r>
    </w:p>
    <w:p w14:paraId="501BA6BA" w14:textId="77777777" w:rsidR="00421154" w:rsidRPr="003A358F" w:rsidRDefault="00421154" w:rsidP="00421154">
      <w:pPr>
        <w:pStyle w:val="Textoindependiente"/>
        <w:spacing w:line="276" w:lineRule="auto"/>
        <w:ind w:left="1134"/>
        <w:rPr>
          <w:rFonts w:ascii="Abadi" w:eastAsia="Batang" w:hAnsi="Abadi"/>
          <w:b w:val="0"/>
          <w:i/>
          <w:iCs/>
          <w:sz w:val="21"/>
          <w:szCs w:val="21"/>
          <w:lang w:val="es-MX" w:eastAsia="en-US"/>
        </w:rPr>
      </w:pPr>
      <w:r w:rsidRPr="003A358F">
        <w:rPr>
          <w:rFonts w:ascii="Abadi" w:eastAsia="Batang" w:hAnsi="Abadi"/>
          <w:b w:val="0"/>
          <w:i/>
          <w:iCs/>
          <w:sz w:val="21"/>
          <w:szCs w:val="21"/>
          <w:lang w:val="es-MX" w:eastAsia="en-US"/>
        </w:rPr>
        <w:t>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w:t>
      </w:r>
    </w:p>
    <w:p w14:paraId="4FD81E1D" w14:textId="77777777" w:rsidR="00421154" w:rsidRPr="003A358F" w:rsidRDefault="00421154" w:rsidP="00421154">
      <w:pPr>
        <w:pStyle w:val="Textoindependiente"/>
        <w:spacing w:line="276" w:lineRule="auto"/>
        <w:ind w:left="1134"/>
        <w:rPr>
          <w:rFonts w:ascii="Abadi" w:eastAsia="Batang" w:hAnsi="Abadi"/>
          <w:b w:val="0"/>
          <w:i/>
          <w:iCs/>
          <w:sz w:val="21"/>
          <w:szCs w:val="21"/>
          <w:lang w:val="es-MX" w:eastAsia="en-US"/>
        </w:rPr>
      </w:pPr>
    </w:p>
    <w:p w14:paraId="310811A2" w14:textId="77777777" w:rsidR="00421154" w:rsidRPr="003A358F" w:rsidRDefault="00421154" w:rsidP="00421154">
      <w:pPr>
        <w:pStyle w:val="Textoindependiente"/>
        <w:spacing w:line="276" w:lineRule="auto"/>
        <w:ind w:left="1134"/>
        <w:rPr>
          <w:rFonts w:ascii="Abadi" w:eastAsia="Batang" w:hAnsi="Abadi"/>
          <w:b w:val="0"/>
          <w:i/>
          <w:iCs/>
          <w:sz w:val="21"/>
          <w:szCs w:val="21"/>
          <w:lang w:val="es-MX" w:eastAsia="en-US"/>
        </w:rPr>
      </w:pPr>
      <w:r w:rsidRPr="003A358F">
        <w:rPr>
          <w:rFonts w:ascii="Abadi" w:eastAsia="Batang" w:hAnsi="Abadi"/>
          <w:b w:val="0"/>
          <w:i/>
          <w:iCs/>
          <w:sz w:val="21"/>
          <w:szCs w:val="21"/>
          <w:lang w:val="es-MX" w:eastAsia="en-US"/>
        </w:rPr>
        <w:t>LO RESALTADO ES NUESTRO.</w:t>
      </w:r>
    </w:p>
    <w:p w14:paraId="1D993830"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1A0D5617"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La teleología del legislador federal al reformar el artículo 6 Constitucional, en materia de radiodifusión y telecomunicación fue en su momento que el Estado como ente rector tenga la obligación de vigilar, y más aún, la de garantizar una política para satisfacer las necesidades de información y conocimiento, con perspectiva a largo plazo, a fin de que toda la población de nuestra nación se encuentre inmersa en la era digital. Esa reforma constitucional, obliga al Estado a garantizar a sus ciudadanos la integración a la sociedad de la información y el conocimiento, con la posibilidad de llegar a más personas, propiciando las </w:t>
      </w:r>
      <w:r w:rsidRPr="003A358F">
        <w:rPr>
          <w:rFonts w:ascii="Abadi" w:eastAsia="Batang" w:hAnsi="Abadi"/>
          <w:b w:val="0"/>
          <w:sz w:val="21"/>
          <w:szCs w:val="21"/>
          <w:lang w:val="es-MX" w:eastAsia="en-US"/>
        </w:rPr>
        <w:t>condiciones para que se les brinden los servicios de calidad a bajo costo.</w:t>
      </w:r>
    </w:p>
    <w:p w14:paraId="0CAC833B"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51331DDD"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Quienes conformamos la Comisión de Gobernación y Puntos Constitucionales estamos ciertos en que la propuesta de adición del derecho al internet, se pretende dar, con la intención de armonizar la Constitución Política para el Estado de Guanajuato con la reforma en materia de telecomunicación que ha realizado el Congreso Constituyente, en la cual se puede afirmar que el derecho de acceso a internet es interdependiente con el derecho humano a la información, a la privacidad, protección de datos personales y libertad de expresión y con lo cual coincidimos.</w:t>
      </w:r>
    </w:p>
    <w:p w14:paraId="310D804D"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6DFFDBB8"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El Internet ha pasado a ser una herramienta fundamental para las personas y el Estado está obligado a asegurar todas las medidas necesarias para que los particulares tengan acceso a esta y puedan allegarse de todo el vasto conocimiento con el que cuenta la red y así traer progreso a la sociedad.</w:t>
      </w:r>
    </w:p>
    <w:p w14:paraId="0B9D0234"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216A4F26"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Con este alcance, quienes dictaminamos creemos que en la actualidad los programas presupuestarios de la federación y de las entidades federativas deben estar diseñados para responder a las obligaciones que tiene el Estado en materia de derechos humanos, razón por la que las autoridades en el ciclo presupuestal y el ejercicio del gasto deberán incorporar de manera progresiva y secuencial a favor de una visión de derechos humanos como eje y objetivo final de la acción gubernamental para protegerlos y garantizarlos.</w:t>
      </w:r>
    </w:p>
    <w:p w14:paraId="066B1882"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5597F370"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En lo correspondiente al tema de Gobierno digital, podemos manifestar que, la globalización se ha desarrollado a través de cuatro grandes vías que se relacionan entre sí: la industria, el comercio, la banca y la informática. Precisamente, esta última, la revolución de las tecnologías de la información y comunicación ha dado paso a una sociedad que se organiza y </w:t>
      </w:r>
      <w:r w:rsidRPr="003A358F">
        <w:rPr>
          <w:rFonts w:ascii="Abadi" w:eastAsia="Batang" w:hAnsi="Abadi"/>
          <w:b w:val="0"/>
          <w:sz w:val="21"/>
          <w:szCs w:val="21"/>
          <w:lang w:val="es-MX" w:eastAsia="en-US"/>
        </w:rPr>
        <w:lastRenderedPageBreak/>
        <w:t>trabaja en red, lo que está obligando a las instituciones y a los demás sectores de la economía a transformarse.</w:t>
      </w:r>
    </w:p>
    <w:p w14:paraId="41630314"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0E79E59E"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Por lo anterior, hoy más que nunca los gobiernos dependen de la capacidad de acceder, compartir y actuar con base en información vital, que debe llegar a todas las funciones, organismos y áreas geográficas. Los gobiernos requieren fomentar soluciones que brinden un acceso seguro y sin fisuras a la información y a las aplicaciones a fin de responder eficazmente en la prestación de los servicios socialmente necesarios.</w:t>
      </w:r>
      <w:r w:rsidRPr="003A358F">
        <w:rPr>
          <w:rStyle w:val="Refdenotaalpie"/>
          <w:rFonts w:ascii="Abadi" w:eastAsia="Batang" w:hAnsi="Abadi"/>
          <w:b w:val="0"/>
          <w:sz w:val="21"/>
          <w:szCs w:val="21"/>
          <w:lang w:val="es-MX" w:eastAsia="en-US"/>
        </w:rPr>
        <w:footnoteReference w:id="87"/>
      </w:r>
    </w:p>
    <w:p w14:paraId="756A9F95"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16791862"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El 25 de septiembre del año 2015, con motivo de la </w:t>
      </w:r>
      <w:r w:rsidRPr="003A358F">
        <w:rPr>
          <w:rFonts w:ascii="Abadi" w:eastAsia="Batang" w:hAnsi="Abadi"/>
          <w:b w:val="0"/>
          <w:i/>
          <w:iCs/>
          <w:sz w:val="21"/>
          <w:szCs w:val="21"/>
          <w:lang w:val="es-MX" w:eastAsia="en-US"/>
        </w:rPr>
        <w:t>Cumbre de las Naciones Unidas sobre el Desarrollo Sostenible</w:t>
      </w:r>
      <w:r w:rsidRPr="003A358F">
        <w:rPr>
          <w:rStyle w:val="Refdenotaalpie"/>
          <w:rFonts w:ascii="Abadi" w:eastAsia="Batang" w:hAnsi="Abadi"/>
          <w:b w:val="0"/>
          <w:sz w:val="21"/>
          <w:szCs w:val="21"/>
          <w:lang w:val="es-MX" w:eastAsia="en-US"/>
        </w:rPr>
        <w:footnoteReference w:id="88"/>
      </w:r>
      <w:r w:rsidRPr="003A358F">
        <w:rPr>
          <w:rFonts w:ascii="Abadi" w:eastAsia="Batang" w:hAnsi="Abadi"/>
          <w:b w:val="0"/>
          <w:sz w:val="21"/>
          <w:szCs w:val="21"/>
          <w:lang w:val="es-MX" w:eastAsia="en-US"/>
        </w:rPr>
        <w:t xml:space="preserve"> celebrada en la ciudad de Nueva York, más de 190 países, entre ellos México, aprobaron el documento que lleva por Título </w:t>
      </w:r>
      <w:r w:rsidRPr="003A358F">
        <w:rPr>
          <w:rFonts w:ascii="Abadi" w:eastAsia="Batang" w:hAnsi="Abadi"/>
          <w:b w:val="0"/>
          <w:i/>
          <w:iCs/>
          <w:sz w:val="21"/>
          <w:szCs w:val="21"/>
          <w:lang w:val="es-MX" w:eastAsia="en-US"/>
        </w:rPr>
        <w:t>Transformar Nuestro Mundo: la Agenda 2030 para el Desarrollo Sostenible.</w:t>
      </w:r>
      <w:r w:rsidRPr="003A358F">
        <w:rPr>
          <w:rFonts w:ascii="Abadi" w:eastAsia="Batang" w:hAnsi="Abadi"/>
          <w:b w:val="0"/>
          <w:sz w:val="21"/>
          <w:szCs w:val="21"/>
          <w:lang w:val="es-MX" w:eastAsia="en-US"/>
        </w:rPr>
        <w:t xml:space="preserve"> En él, se incluyen diecisiete objetivos de Desarrollo Sostenible (ODS), cuya finalidad es poner fin a la pobreza, luchar contra la desigualdad, la injusticia, educación de calidad, industria, innovación e infraestructura, mediante metas específicas que deben alcanzarse en los próximos 15 años.</w:t>
      </w:r>
    </w:p>
    <w:p w14:paraId="3EA927D1"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7A6949F3"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El Objetivo de Desarrollo Sostenible número 9 de la Agenda 2030, está centrado en </w:t>
      </w:r>
      <w:r w:rsidRPr="003A358F">
        <w:rPr>
          <w:rFonts w:ascii="Abadi" w:eastAsia="Batang" w:hAnsi="Abadi"/>
          <w:b w:val="0"/>
          <w:i/>
          <w:iCs/>
          <w:sz w:val="21"/>
          <w:szCs w:val="21"/>
          <w:lang w:val="es-MX" w:eastAsia="en-US"/>
        </w:rPr>
        <w:t>construir infraestructuras resilientes, promover la industrialización inclusiva y sostenible y fomentar la innovación</w:t>
      </w:r>
      <w:r w:rsidRPr="003A358F">
        <w:rPr>
          <w:rFonts w:ascii="Abadi" w:eastAsia="Batang" w:hAnsi="Abadi"/>
          <w:b w:val="0"/>
          <w:sz w:val="21"/>
          <w:szCs w:val="21"/>
          <w:lang w:val="es-MX" w:eastAsia="en-US"/>
        </w:rPr>
        <w:t xml:space="preserve"> e incluye entre sus metas </w:t>
      </w:r>
      <w:r w:rsidRPr="003A358F">
        <w:rPr>
          <w:rFonts w:ascii="Abadi" w:eastAsia="Batang" w:hAnsi="Abadi"/>
          <w:b w:val="0"/>
          <w:i/>
          <w:iCs/>
          <w:sz w:val="21"/>
          <w:szCs w:val="21"/>
          <w:lang w:val="es-MX" w:eastAsia="en-US"/>
        </w:rPr>
        <w:t>aumentar significativamente el acceso a la tecnología de la información y las comunicaciones y esforzarse por proporcionar acceso universal y asequible a internet en los países menos adelantados de aquí a 2020</w:t>
      </w:r>
      <w:r w:rsidRPr="003A358F">
        <w:rPr>
          <w:rFonts w:ascii="Abadi" w:eastAsia="Batang" w:hAnsi="Abadi"/>
          <w:b w:val="0"/>
          <w:sz w:val="21"/>
          <w:szCs w:val="21"/>
          <w:lang w:val="es-MX" w:eastAsia="en-US"/>
        </w:rPr>
        <w:t>.</w:t>
      </w:r>
    </w:p>
    <w:p w14:paraId="3446E4FE"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1ECBA58A"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Por lo anterior, el servicio público debe conducirse de acuerdo a políticas tendientes a </w:t>
      </w:r>
      <w:r w:rsidRPr="003A358F">
        <w:rPr>
          <w:rFonts w:ascii="Abadi" w:eastAsia="Batang" w:hAnsi="Abadi"/>
          <w:b w:val="0"/>
          <w:sz w:val="21"/>
          <w:szCs w:val="21"/>
          <w:lang w:val="es-MX" w:eastAsia="en-US"/>
        </w:rPr>
        <w:t>eficientar y simplificar la administración gubernamental, tomando en consideración que, los cambios originados por el uso de las tecnologías de la información y las comunicaciones han tenido un impacto en diversos aspectos de nuestra sociedad. Así, el gobierno electrónico es un servicio digital que presta el Estado a la ciudadanía con el propósito de mejorar los niveles de eficacia y eficiencia en el ejercicio gubernamental, renovando sus procesos y procedimientos con respecto a la calidad de los servicios públicos, facilitando la armonía y la coordinación entre las distintas instancias de gobierno.</w:t>
      </w:r>
    </w:p>
    <w:p w14:paraId="059A5AA1"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0D938E82"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Con esas acciones, las y los ciudadanos son los principales beneficiarios de los servicios electrónicos y de los contenidos en los sitios de Internet de las instituciones de gobierno electrónico, pues hacen posible realizar trámites a través de herramientas informáticas </w:t>
      </w:r>
      <w:r w:rsidRPr="003A358F">
        <w:rPr>
          <w:rFonts w:ascii="Abadi" w:eastAsia="Batang" w:hAnsi="Abadi"/>
          <w:b w:val="0"/>
          <w:i/>
          <w:iCs/>
          <w:sz w:val="21"/>
          <w:szCs w:val="21"/>
          <w:lang w:val="es-MX" w:eastAsia="en-US"/>
        </w:rPr>
        <w:t>computadoras, redes, Internet, móviles, dispositivos portátiles, etcétera</w:t>
      </w:r>
      <w:r w:rsidRPr="003A358F">
        <w:rPr>
          <w:rFonts w:ascii="Abadi" w:eastAsia="Batang" w:hAnsi="Abadi"/>
          <w:b w:val="0"/>
          <w:sz w:val="21"/>
          <w:szCs w:val="21"/>
          <w:lang w:val="es-MX" w:eastAsia="en-US"/>
        </w:rPr>
        <w:t xml:space="preserve"> en el correcto ejercicio de sus derechos y obligaciones. También, se da un mejoramiento de la calidad y atención a los ciudadanos, a quienes se provee de servicios y acceso a la información gubernamental, definiendo estrategias de transparencia y eficiencia en la gestión; además, de incrementar la eficacia y la eficiencia en dichos procesos, haciéndolos más ágiles, accesibles y transparentes.</w:t>
      </w:r>
    </w:p>
    <w:p w14:paraId="70CED7A8"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4A343E58"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Destacar en este análisis que, de conformidad con la </w:t>
      </w:r>
      <w:r w:rsidRPr="003A358F">
        <w:rPr>
          <w:rFonts w:ascii="Abadi" w:eastAsia="Batang" w:hAnsi="Abadi"/>
          <w:b w:val="0"/>
          <w:i/>
          <w:iCs/>
          <w:sz w:val="21"/>
          <w:szCs w:val="21"/>
          <w:lang w:val="es-MX" w:eastAsia="en-US"/>
        </w:rPr>
        <w:t>Encuesta Nacional de Calidad e Impacto Gubernamental (ENCIG) 2019 del INEGI</w:t>
      </w:r>
      <w:r w:rsidRPr="003A358F">
        <w:rPr>
          <w:rStyle w:val="Refdenotaalpie"/>
          <w:rFonts w:ascii="Abadi" w:eastAsia="Batang" w:hAnsi="Abadi"/>
          <w:b w:val="0"/>
          <w:sz w:val="21"/>
          <w:szCs w:val="21"/>
          <w:lang w:val="es-MX" w:eastAsia="en-US"/>
        </w:rPr>
        <w:footnoteReference w:id="89"/>
      </w:r>
      <w:r w:rsidRPr="003A358F">
        <w:rPr>
          <w:rFonts w:ascii="Abadi" w:eastAsia="Batang" w:hAnsi="Abadi"/>
          <w:b w:val="0"/>
          <w:sz w:val="21"/>
          <w:szCs w:val="21"/>
          <w:lang w:val="es-MX" w:eastAsia="en-US"/>
        </w:rPr>
        <w:t xml:space="preserve">, se identificó que a nivel nacional, el 32.4% de la población mayor de 18 años tuvo al menos una interacción con el gobierno a través de Internet y que dentro de los problemas para realizar trámites, pagos y solicitudes de servicios públicos, del total de trámites, pagos y solicitudes de servicios públicos realizados por los usuarios, </w:t>
      </w:r>
      <w:r w:rsidRPr="003A358F">
        <w:rPr>
          <w:rFonts w:ascii="Abadi" w:eastAsia="Batang" w:hAnsi="Abadi"/>
          <w:b w:val="0"/>
          <w:sz w:val="21"/>
          <w:szCs w:val="21"/>
          <w:lang w:val="es-MX" w:eastAsia="en-US"/>
        </w:rPr>
        <w:lastRenderedPageBreak/>
        <w:t>en 48.1% de ellos se presentó algún tipo de problema para realizarlo, de estos problemas, el más frecuente fue el de barreras al trámite con 85.1 por ciento y el más bajo fue por problemas con las TIC con un 5.9%.</w:t>
      </w:r>
    </w:p>
    <w:p w14:paraId="5148889D"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66ADD649"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En ese sentido, uno de los retos es mejorar la cobertura de los servicios a la ciudadanía, e incentivar el uso de las tecnologías de la información, en aras de tornar más funcional, dinámica y eficiente, la interacción con los ciudadanos conforme a los modelos de administración pública modernos, con una amplia garantía de calidad en la atención a las demandas ciudadanas.</w:t>
      </w:r>
    </w:p>
    <w:p w14:paraId="360293E6" w14:textId="77777777" w:rsidR="00421154" w:rsidRPr="003A358F" w:rsidRDefault="00421154" w:rsidP="00421154">
      <w:pPr>
        <w:pStyle w:val="Textoindependiente"/>
        <w:spacing w:line="276" w:lineRule="auto"/>
        <w:ind w:firstLine="708"/>
        <w:rPr>
          <w:rFonts w:ascii="Abadi" w:eastAsia="Batang" w:hAnsi="Abadi"/>
          <w:b w:val="0"/>
          <w:i/>
          <w:iCs/>
          <w:sz w:val="21"/>
          <w:szCs w:val="21"/>
          <w:lang w:val="es-MX" w:eastAsia="en-US"/>
        </w:rPr>
      </w:pPr>
      <w:r w:rsidRPr="003A358F">
        <w:rPr>
          <w:rFonts w:ascii="Abadi" w:eastAsia="Batang" w:hAnsi="Abadi"/>
          <w:b w:val="0"/>
          <w:sz w:val="21"/>
          <w:szCs w:val="21"/>
          <w:lang w:val="es-MX" w:eastAsia="en-US"/>
        </w:rPr>
        <w:t xml:space="preserve">La importancia de esta propuesta también viene a reforzar las estrategias de Gobierno del Estado, tal como lo prevé la actualización del </w:t>
      </w:r>
      <w:r w:rsidRPr="003A358F">
        <w:rPr>
          <w:rFonts w:ascii="Abadi" w:eastAsia="Batang" w:hAnsi="Abadi"/>
          <w:b w:val="0"/>
          <w:i/>
          <w:iCs/>
          <w:sz w:val="21"/>
          <w:szCs w:val="21"/>
          <w:lang w:val="es-MX" w:eastAsia="en-US"/>
        </w:rPr>
        <w:t>Programa de Gobierno 2018-2024</w:t>
      </w:r>
      <w:r w:rsidRPr="003A358F">
        <w:rPr>
          <w:rStyle w:val="Refdenotaalpie"/>
          <w:rFonts w:ascii="Abadi" w:eastAsia="Batang" w:hAnsi="Abadi"/>
          <w:b w:val="0"/>
          <w:sz w:val="21"/>
          <w:szCs w:val="21"/>
          <w:lang w:val="es-MX" w:eastAsia="en-US"/>
        </w:rPr>
        <w:footnoteReference w:id="90"/>
      </w:r>
      <w:r w:rsidRPr="003A358F">
        <w:rPr>
          <w:rFonts w:ascii="Abadi" w:eastAsia="Batang" w:hAnsi="Abadi"/>
          <w:b w:val="0"/>
          <w:sz w:val="21"/>
          <w:szCs w:val="21"/>
          <w:lang w:val="es-MX" w:eastAsia="en-US"/>
        </w:rPr>
        <w:t xml:space="preserve"> en su Estrategia 5.5.2: </w:t>
      </w:r>
      <w:r w:rsidRPr="003A358F">
        <w:rPr>
          <w:rFonts w:ascii="Abadi" w:eastAsia="Batang" w:hAnsi="Abadi"/>
          <w:b w:val="0"/>
          <w:i/>
          <w:iCs/>
          <w:sz w:val="21"/>
          <w:szCs w:val="21"/>
          <w:lang w:val="es-MX" w:eastAsia="en-US"/>
        </w:rPr>
        <w:t xml:space="preserve">Fortalecimiento de la infraestructura para la conectividad digital del estado, </w:t>
      </w:r>
      <w:r w:rsidRPr="003A358F">
        <w:rPr>
          <w:rFonts w:ascii="Abadi" w:eastAsia="Batang" w:hAnsi="Abadi"/>
          <w:b w:val="0"/>
          <w:sz w:val="21"/>
          <w:szCs w:val="21"/>
          <w:lang w:val="es-MX" w:eastAsia="en-US"/>
        </w:rPr>
        <w:t xml:space="preserve">cuyas líneas de acción son: </w:t>
      </w:r>
      <w:r w:rsidRPr="003A358F">
        <w:rPr>
          <w:rFonts w:ascii="Abadi" w:eastAsia="Batang" w:hAnsi="Abadi"/>
          <w:b w:val="0"/>
          <w:i/>
          <w:iCs/>
          <w:sz w:val="21"/>
          <w:szCs w:val="21"/>
          <w:lang w:val="es-MX" w:eastAsia="en-US"/>
        </w:rPr>
        <w:t>1. Implementar el modelo de infraestructura de conectividad digital estatal. 2. Ampliar la infraestructura de conectividad para llevar internet a comunidades rurales en el estado. 3. Promover el uso compartido de infraestructura de conectividad digital instalada en el estado para su mejor aprovechamiento. 4. Impulsar la gestión y el desarrollo de la conectividad digital en el estado.</w:t>
      </w:r>
    </w:p>
    <w:p w14:paraId="1BF0AF2E" w14:textId="77777777" w:rsidR="00421154" w:rsidRPr="003A358F" w:rsidRDefault="00421154" w:rsidP="00421154">
      <w:pPr>
        <w:pStyle w:val="Textoindependiente"/>
        <w:spacing w:line="276" w:lineRule="auto"/>
        <w:ind w:firstLine="708"/>
        <w:rPr>
          <w:rFonts w:ascii="Abadi" w:eastAsia="Batang" w:hAnsi="Abadi"/>
          <w:b w:val="0"/>
          <w:i/>
          <w:iCs/>
          <w:sz w:val="21"/>
          <w:szCs w:val="21"/>
          <w:lang w:val="es-MX" w:eastAsia="en-US"/>
        </w:rPr>
      </w:pPr>
    </w:p>
    <w:p w14:paraId="7B7D3C44"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A su vez el </w:t>
      </w:r>
      <w:r w:rsidRPr="003A358F">
        <w:rPr>
          <w:rFonts w:ascii="Abadi" w:eastAsia="Batang" w:hAnsi="Abadi"/>
          <w:b w:val="0"/>
          <w:i/>
          <w:iCs/>
          <w:sz w:val="21"/>
          <w:szCs w:val="21"/>
          <w:lang w:val="es-MX" w:eastAsia="en-US"/>
        </w:rPr>
        <w:t>Plan Estatal de Desarrollo Guanajuato 2040</w:t>
      </w:r>
      <w:r w:rsidRPr="003A358F">
        <w:rPr>
          <w:rStyle w:val="Refdenotaalpie"/>
          <w:rFonts w:ascii="Abadi" w:eastAsia="Batang" w:hAnsi="Abadi"/>
          <w:b w:val="0"/>
          <w:i/>
          <w:iCs/>
          <w:sz w:val="21"/>
          <w:szCs w:val="21"/>
          <w:lang w:val="es-MX" w:eastAsia="en-US"/>
        </w:rPr>
        <w:footnoteReference w:id="91"/>
      </w:r>
      <w:r w:rsidRPr="003A358F">
        <w:rPr>
          <w:rFonts w:ascii="Abadi" w:eastAsia="Batang" w:hAnsi="Abadi"/>
          <w:b w:val="0"/>
          <w:i/>
          <w:iCs/>
          <w:sz w:val="21"/>
          <w:szCs w:val="21"/>
          <w:lang w:val="es-MX" w:eastAsia="en-US"/>
        </w:rPr>
        <w:t xml:space="preserve">, </w:t>
      </w:r>
      <w:r w:rsidRPr="003A358F">
        <w:rPr>
          <w:rFonts w:ascii="Abadi" w:eastAsia="Batang" w:hAnsi="Abadi"/>
          <w:b w:val="0"/>
          <w:sz w:val="21"/>
          <w:szCs w:val="21"/>
          <w:lang w:val="es-MX" w:eastAsia="en-US"/>
        </w:rPr>
        <w:t xml:space="preserve">en la dimensión economía, establece: </w:t>
      </w:r>
      <w:r w:rsidRPr="003A358F">
        <w:rPr>
          <w:rFonts w:ascii="Abadi" w:eastAsia="Batang" w:hAnsi="Abadi"/>
          <w:b w:val="0"/>
          <w:i/>
          <w:iCs/>
          <w:sz w:val="21"/>
          <w:szCs w:val="21"/>
          <w:lang w:val="es-MX" w:eastAsia="en-US"/>
        </w:rPr>
        <w:t xml:space="preserve">Estrategia 2.5.1.6. Incremento de la cobertura y la accesibilidad de los servicios de internet, para incrementar la inclusión digital. Líneas de acción 1. Impulsar la participación de la ciudadanía en la sociedad del conocimiento. 2. Intensificar la enseñanza de informativa educativa a lo largo de los niveles educativos, de manera que los estudiantes desarrollen capacidades de aprender mediante el uso de las tecnologías de la información y la comunicación. 3. Equipar la infraestructura de tecnologías de información y </w:t>
      </w:r>
      <w:r w:rsidRPr="003A358F">
        <w:rPr>
          <w:rFonts w:ascii="Abadi" w:eastAsia="Batang" w:hAnsi="Abadi"/>
          <w:b w:val="0"/>
          <w:i/>
          <w:iCs/>
          <w:sz w:val="21"/>
          <w:szCs w:val="21"/>
          <w:lang w:val="es-MX" w:eastAsia="en-US"/>
        </w:rPr>
        <w:t>comunicación en los centros poblacionales. 4. Incrementar la calidad de infraestructura y acceso a servicios de internet</w:t>
      </w:r>
      <w:r w:rsidRPr="003A358F">
        <w:rPr>
          <w:rFonts w:ascii="Abadi" w:eastAsia="Batang" w:hAnsi="Abadi"/>
          <w:b w:val="0"/>
          <w:sz w:val="21"/>
          <w:szCs w:val="21"/>
          <w:lang w:val="es-MX" w:eastAsia="en-US"/>
        </w:rPr>
        <w:t>.</w:t>
      </w:r>
    </w:p>
    <w:p w14:paraId="0E7E04A0"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138434C9"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En ese apartado, consideramos importante que la entidad cuente con las disposiciones generales para la consolidación de las Tecnologías de la Información y la Comunicación, a fin de fomentar la inclusión digital en el estado, mejorar la experiencia del ciudadano en su relación con el Gobierno e incrementar la eficiencia, eficacia y transparencia en el desenvolvimiento de la gestión pública.</w:t>
      </w:r>
    </w:p>
    <w:p w14:paraId="51E9C182" w14:textId="77777777" w:rsidR="00421154" w:rsidRPr="003A358F" w:rsidRDefault="00421154" w:rsidP="00421154">
      <w:pPr>
        <w:spacing w:line="276" w:lineRule="auto"/>
        <w:jc w:val="both"/>
        <w:rPr>
          <w:rFonts w:ascii="Abadi" w:eastAsia="Batang" w:hAnsi="Abadi" w:cs="Arial"/>
          <w:bCs/>
          <w:sz w:val="21"/>
          <w:szCs w:val="21"/>
        </w:rPr>
      </w:pPr>
    </w:p>
    <w:p w14:paraId="0FB184CD" w14:textId="77777777" w:rsidR="00421154" w:rsidRPr="003A358F" w:rsidRDefault="00421154" w:rsidP="00421154">
      <w:pPr>
        <w:spacing w:line="276" w:lineRule="auto"/>
        <w:jc w:val="both"/>
        <w:rPr>
          <w:rFonts w:ascii="Abadi" w:eastAsia="Batang" w:hAnsi="Abadi" w:cs="Arial"/>
          <w:bCs/>
          <w:sz w:val="21"/>
          <w:szCs w:val="21"/>
        </w:rPr>
      </w:pPr>
      <w:r w:rsidRPr="003A358F">
        <w:rPr>
          <w:rFonts w:ascii="Abadi" w:eastAsia="Batang" w:hAnsi="Abadi" w:cs="Arial"/>
          <w:bCs/>
          <w:sz w:val="21"/>
          <w:szCs w:val="21"/>
        </w:rPr>
        <w:t>IV. Modificaciones a las iniciativas</w:t>
      </w:r>
    </w:p>
    <w:p w14:paraId="28406785" w14:textId="77777777" w:rsidR="00421154" w:rsidRPr="003A358F" w:rsidRDefault="00421154" w:rsidP="00421154">
      <w:pPr>
        <w:spacing w:line="276" w:lineRule="auto"/>
        <w:ind w:firstLine="708"/>
        <w:jc w:val="both"/>
        <w:rPr>
          <w:rFonts w:ascii="Abadi" w:eastAsia="Batang" w:hAnsi="Abadi" w:cs="Arial"/>
          <w:bCs/>
          <w:sz w:val="21"/>
          <w:szCs w:val="21"/>
        </w:rPr>
      </w:pPr>
    </w:p>
    <w:p w14:paraId="49D011E3" w14:textId="77777777" w:rsidR="00421154" w:rsidRPr="003A358F" w:rsidRDefault="00421154" w:rsidP="00421154">
      <w:pPr>
        <w:widowControl w:val="0"/>
        <w:spacing w:line="276" w:lineRule="auto"/>
        <w:ind w:firstLine="708"/>
        <w:jc w:val="both"/>
        <w:rPr>
          <w:rFonts w:ascii="Abadi" w:eastAsia="Batang" w:hAnsi="Abadi" w:cs="Arial"/>
          <w:bCs/>
          <w:sz w:val="21"/>
          <w:szCs w:val="21"/>
        </w:rPr>
      </w:pPr>
      <w:r w:rsidRPr="003A358F">
        <w:rPr>
          <w:rFonts w:ascii="Abadi" w:eastAsia="Batang" w:hAnsi="Abadi" w:cs="Arial"/>
          <w:bCs/>
          <w:sz w:val="21"/>
          <w:szCs w:val="21"/>
        </w:rPr>
        <w:t>Las y los legisladores que integramos la Comisión de Gobernación y Puntos Constitucionales, estimamos necesario hacer ajustes a una de las propuestas para atender las observaciones de las mesas de trabajo, así como a las aportaciones de las diputadas y los diputados, que conforman la Sexagésima Quinta Legislatura y de quienes participaron activamente en el análisis como los representantes del Poder Ejecutivo, de los organismos autónomos reconocidos constitucionalmente y por ley, del Ayuntamiento de León, Guanajuato, así como las áreas institucionales del Congreso del Estado.</w:t>
      </w:r>
    </w:p>
    <w:p w14:paraId="4E4B10A0"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30C997D4" w14:textId="77777777" w:rsidR="00421154" w:rsidRPr="003A358F" w:rsidRDefault="00421154" w:rsidP="00421154">
      <w:pPr>
        <w:pStyle w:val="Textoindependiente"/>
        <w:spacing w:line="276" w:lineRule="auto"/>
        <w:ind w:firstLine="708"/>
        <w:rPr>
          <w:rFonts w:ascii="Abadi" w:eastAsia="Batang" w:hAnsi="Abadi"/>
          <w:b w:val="0"/>
          <w:i/>
          <w:iCs/>
          <w:sz w:val="21"/>
          <w:szCs w:val="21"/>
          <w:lang w:val="es-MX" w:eastAsia="en-US"/>
        </w:rPr>
      </w:pPr>
      <w:r w:rsidRPr="003A358F">
        <w:rPr>
          <w:rFonts w:ascii="Abadi" w:eastAsia="Batang" w:hAnsi="Abadi"/>
          <w:b w:val="0"/>
          <w:sz w:val="21"/>
          <w:szCs w:val="21"/>
          <w:lang w:val="es-MX" w:eastAsia="en-US"/>
        </w:rPr>
        <w:t xml:space="preserve">Con respecto a la iniciativa referente al derecho humano del internet, se proponía la siguiente porción normativa: </w:t>
      </w:r>
      <w:r w:rsidRPr="003A358F">
        <w:rPr>
          <w:rFonts w:ascii="Abadi" w:eastAsia="Batang" w:hAnsi="Abadi"/>
          <w:b w:val="0"/>
          <w:i/>
          <w:iCs/>
          <w:sz w:val="21"/>
          <w:szCs w:val="21"/>
          <w:lang w:val="es-MX" w:eastAsia="en-US"/>
        </w:rPr>
        <w:t>Toda persona tiene derecho a disfrutar del acceso al internet. La Ley establecerá los instrumentos y apoyos necesarios a fin de alcanzar tal objetivo.</w:t>
      </w:r>
    </w:p>
    <w:p w14:paraId="40D2615A"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61EDA285"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Sin embargo, acordamos eliminar el alcance del siguiente supuesto: </w:t>
      </w:r>
      <w:r w:rsidRPr="003A358F">
        <w:rPr>
          <w:rFonts w:ascii="Abadi" w:eastAsia="Batang" w:hAnsi="Abadi"/>
          <w:b w:val="0"/>
          <w:i/>
          <w:iCs/>
          <w:sz w:val="21"/>
          <w:szCs w:val="21"/>
          <w:lang w:val="es-MX" w:eastAsia="en-US"/>
        </w:rPr>
        <w:t xml:space="preserve">La Ley establecerá los instrumentos y apoyos necesarios a fin de alcanzar tal objetivo. </w:t>
      </w:r>
      <w:r w:rsidRPr="003A358F">
        <w:rPr>
          <w:rFonts w:ascii="Abadi" w:eastAsia="Batang" w:hAnsi="Abadi"/>
          <w:b w:val="0"/>
          <w:sz w:val="21"/>
          <w:szCs w:val="21"/>
          <w:lang w:val="es-MX" w:eastAsia="en-US"/>
        </w:rPr>
        <w:t xml:space="preserve">Lo anterior a efecto de atender lo establecido en el artículo 73, fracción XVll de la Constitución Política de los Estados Unidos Mexicanos el cual establece las facultades exclusivas del Congreso de la Unión, </w:t>
      </w:r>
      <w:r w:rsidRPr="003A358F">
        <w:rPr>
          <w:rFonts w:ascii="Abadi" w:eastAsia="Batang" w:hAnsi="Abadi"/>
          <w:b w:val="0"/>
          <w:sz w:val="21"/>
          <w:szCs w:val="21"/>
          <w:lang w:val="es-MX" w:eastAsia="en-US"/>
        </w:rPr>
        <w:lastRenderedPageBreak/>
        <w:t xml:space="preserve">para dictar leyes sobre vías generales de comunicación, tecnologías de la información y la comunicación, radiodifusión, telecomunicaciones, </w:t>
      </w:r>
      <w:r w:rsidRPr="003A358F">
        <w:rPr>
          <w:rFonts w:ascii="Abadi" w:eastAsia="Batang" w:hAnsi="Abadi"/>
          <w:b w:val="0"/>
          <w:i/>
          <w:iCs/>
          <w:sz w:val="21"/>
          <w:szCs w:val="21"/>
          <w:lang w:val="es-MX" w:eastAsia="en-US"/>
        </w:rPr>
        <w:t>incluida la banda ancha e Internet</w:t>
      </w:r>
      <w:r w:rsidRPr="003A358F">
        <w:rPr>
          <w:rFonts w:ascii="Abadi" w:eastAsia="Batang" w:hAnsi="Abadi"/>
          <w:b w:val="0"/>
          <w:sz w:val="21"/>
          <w:szCs w:val="21"/>
          <w:lang w:val="es-MX" w:eastAsia="en-US"/>
        </w:rPr>
        <w:t>, postas y correos, y sobre el uso y aprovechamiento de las aguas de jurisdicción federal. Por lo cual, de considerar esta porción normativa en el dictamen se estaría legislando bajo una competencia que no le corresponde a este Poder Legislativo, a través de su Asamblea conforme lo establece el artículo 124 de la Constitución Política de los Estados Unidos Mexicanos.</w:t>
      </w:r>
    </w:p>
    <w:p w14:paraId="7480A693"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06834294"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Por otro lado, dado el reconocimiento del derecho humano de acceso al internet y  presupuestario directo por los efectos de esta reforma, toda vez que la obligación prestacional ya la tienen los Estados y municipios,  desde el año de 2013, es decir, el derecho de acceso al internet se encuentra consagrado en la Constitución Política de los Estados Unidos Mexicanos, específicamente en el artículo 6º, cuarto párrafo en el que se dispone que </w:t>
      </w:r>
      <w:r w:rsidRPr="003A358F">
        <w:rPr>
          <w:rFonts w:ascii="Abadi" w:eastAsia="Batang" w:hAnsi="Abadi"/>
          <w:b w:val="0"/>
          <w:i/>
          <w:iCs/>
          <w:sz w:val="21"/>
          <w:szCs w:val="21"/>
          <w:lang w:val="es-MX" w:eastAsia="en-US"/>
        </w:rPr>
        <w:t>el Estado garantizará el derecho de acceso a las tecnologías de la información y comunicación, así como a los servicios de radiodifusión y telecomunicaciones, incluido el de banda ancha e internet</w:t>
      </w:r>
      <w:r w:rsidRPr="003A358F">
        <w:rPr>
          <w:rFonts w:ascii="Abadi" w:eastAsia="Batang" w:hAnsi="Abadi"/>
          <w:b w:val="0"/>
          <w:sz w:val="21"/>
          <w:szCs w:val="21"/>
          <w:lang w:val="es-MX" w:eastAsia="en-US"/>
        </w:rPr>
        <w:t xml:space="preserve">. En ese sentido, el acceso al internet forma parte del bloque de derechos fundamentales que deben ser promovidos, respetados, protegidos y garantizados, de conformidad con los principios de universalidad, interdependencia, indivisibilidad y progresividad por todas las entidades federativas. Sin embargo, una vez que se lleve a cabo el referido reconocimiento local habrá de impactar en las políticas públicas del ejercicio vertical y horizontal del poder público, que a la fecha están en proceso de cumplimiento. </w:t>
      </w:r>
    </w:p>
    <w:p w14:paraId="749DCDE7"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64F10237"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Por ello, las autoridades estatales y municipales, que deban continuar con acciones para garantizar su efectividad de los particulares y de igual forma el principio de Gobierno digital, todo ello, como todos los derechos prestacionales, incorporar que se realice a la luz del principio de progresividad, pues, las realidades de los sujetos obligados son </w:t>
      </w:r>
      <w:r w:rsidRPr="003A358F">
        <w:rPr>
          <w:rFonts w:ascii="Abadi" w:eastAsia="Batang" w:hAnsi="Abadi"/>
          <w:b w:val="0"/>
          <w:sz w:val="21"/>
          <w:szCs w:val="21"/>
          <w:lang w:val="es-MX" w:eastAsia="en-US"/>
        </w:rPr>
        <w:t xml:space="preserve">diferentes, es decir, bajo la utilización del máximo de los recursos disponibles. Se propuso la incorporación de un segundo artículo transitorio en los siguientes términos: </w:t>
      </w:r>
    </w:p>
    <w:p w14:paraId="0CEED605"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41952FB8" w14:textId="77777777" w:rsidR="00421154" w:rsidRPr="003A358F" w:rsidRDefault="00421154" w:rsidP="00421154">
      <w:pPr>
        <w:pStyle w:val="Textoindependiente"/>
        <w:spacing w:line="276" w:lineRule="auto"/>
        <w:ind w:firstLine="708"/>
        <w:rPr>
          <w:rFonts w:ascii="Abadi" w:eastAsia="Batang" w:hAnsi="Abadi"/>
          <w:b w:val="0"/>
          <w:i/>
          <w:iCs/>
          <w:sz w:val="21"/>
          <w:szCs w:val="21"/>
          <w:lang w:val="es-MX" w:eastAsia="en-US"/>
        </w:rPr>
      </w:pPr>
      <w:r w:rsidRPr="003A358F">
        <w:rPr>
          <w:rFonts w:ascii="Abadi" w:eastAsia="Batang" w:hAnsi="Abadi"/>
          <w:b w:val="0"/>
          <w:i/>
          <w:iCs/>
          <w:sz w:val="21"/>
          <w:szCs w:val="21"/>
          <w:lang w:val="es-MX" w:eastAsia="en-US"/>
        </w:rPr>
        <w:t>Artículo segundo. Los poderes públicos del estado y los municipios deberán destinar, de manera progresiva y de conformidad con la disponibilidad presupuestaria, los recursos que permitan cumplir con las disposiciones del presente decreto.</w:t>
      </w:r>
    </w:p>
    <w:p w14:paraId="13547EA3"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2B8AF00F"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Importante comentar el tema presupuestario de esta reforma, sabemos que una vez que se lleve a cabo el reconocimiento y desarrollo de la misma habrá de impactar en las políticas públicas que al efecto las autoridades estatales y municipales deban establecer para garantizar su efectividad, a la luz del principio de progresividad de los derechos, y a mediano y largo plazo es decir, bajo la utilización del máximo de los recursos disponibles y atendiendo a una planeación organizada, tomando como punto de partida los recursos y tecnologías que actualmente se consideran para esa política pública.</w:t>
      </w:r>
    </w:p>
    <w:p w14:paraId="0C2835CF"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7DA50F2D"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Es decir, en consonancia también con el artículo </w:t>
      </w:r>
      <w:r w:rsidRPr="003A358F">
        <w:rPr>
          <w:rFonts w:ascii="Abadi" w:eastAsia="Batang" w:hAnsi="Abadi"/>
          <w:b w:val="0"/>
          <w:i/>
          <w:iCs/>
          <w:sz w:val="21"/>
          <w:szCs w:val="21"/>
          <w:lang w:val="es-MX" w:eastAsia="en-US"/>
        </w:rPr>
        <w:t>Décimo Cuarto del Decreto</w:t>
      </w:r>
      <w:r w:rsidRPr="003A358F">
        <w:rPr>
          <w:rFonts w:ascii="Abadi" w:eastAsia="Batang" w:hAnsi="Abadi"/>
          <w:b w:val="0"/>
          <w:sz w:val="21"/>
          <w:szCs w:val="21"/>
          <w:lang w:val="es-MX" w:eastAsia="en-US"/>
        </w:rPr>
        <w:t xml:space="preserve"> por el que se reforman y adicionan diversas disposiciones de los artículos 6o., 7o., 27, 28, 73, 78, 94 y 105 de la Constitución Política de los Estados Unidos Mexicanos, en materia de telecomunicaciones, publicado en el Diario Oficial de la Federación el 11 de junio de 2013, establece que las entidades federativas realizarán acciones tendientes a garantizar el acceso a internet de banda ancha en edificios e instalaciones de sus dependencias y entidades.</w:t>
      </w:r>
    </w:p>
    <w:p w14:paraId="40442E67" w14:textId="77777777" w:rsidR="00421154" w:rsidRPr="003A358F" w:rsidRDefault="00421154" w:rsidP="00421154">
      <w:pPr>
        <w:pStyle w:val="Textoindependiente"/>
        <w:spacing w:line="276" w:lineRule="auto"/>
        <w:ind w:firstLine="708"/>
        <w:rPr>
          <w:rFonts w:ascii="Abadi" w:eastAsia="Batang" w:hAnsi="Abadi"/>
          <w:b w:val="0"/>
          <w:sz w:val="21"/>
          <w:szCs w:val="21"/>
          <w:highlight w:val="yellow"/>
          <w:lang w:val="es-MX" w:eastAsia="en-US"/>
        </w:rPr>
      </w:pPr>
    </w:p>
    <w:p w14:paraId="12B50567" w14:textId="77777777" w:rsidR="00421154" w:rsidRPr="003A358F" w:rsidRDefault="00421154" w:rsidP="00421154">
      <w:pPr>
        <w:pStyle w:val="Textoindependiente"/>
        <w:spacing w:line="276" w:lineRule="auto"/>
        <w:ind w:left="1134"/>
        <w:rPr>
          <w:rFonts w:ascii="Abadi" w:eastAsia="Batang" w:hAnsi="Abadi"/>
          <w:b w:val="0"/>
          <w:i/>
          <w:iCs/>
          <w:sz w:val="21"/>
          <w:szCs w:val="21"/>
          <w:lang w:val="es-MX" w:eastAsia="en-US"/>
        </w:rPr>
      </w:pPr>
      <w:r w:rsidRPr="003A358F">
        <w:rPr>
          <w:rFonts w:ascii="Abadi" w:eastAsia="Batang" w:hAnsi="Abadi"/>
          <w:b w:val="0"/>
          <w:i/>
          <w:iCs/>
          <w:sz w:val="21"/>
          <w:szCs w:val="21"/>
          <w:lang w:val="es-MX" w:eastAsia="en-US"/>
        </w:rPr>
        <w:t>DÉCIMO CUARTO. El Ejecutivo Federal…</w:t>
      </w:r>
    </w:p>
    <w:p w14:paraId="459D0E0B" w14:textId="77777777" w:rsidR="00421154" w:rsidRPr="003A358F" w:rsidRDefault="00421154" w:rsidP="00421154">
      <w:pPr>
        <w:pStyle w:val="Textoindependiente"/>
        <w:spacing w:line="276" w:lineRule="auto"/>
        <w:ind w:left="1134"/>
        <w:rPr>
          <w:rFonts w:ascii="Abadi" w:eastAsia="Batang" w:hAnsi="Abadi"/>
          <w:b w:val="0"/>
          <w:i/>
          <w:iCs/>
          <w:sz w:val="21"/>
          <w:szCs w:val="21"/>
          <w:highlight w:val="yellow"/>
          <w:lang w:val="es-MX" w:eastAsia="en-US"/>
        </w:rPr>
      </w:pPr>
    </w:p>
    <w:p w14:paraId="35309CBB" w14:textId="77777777" w:rsidR="00421154" w:rsidRPr="003A358F" w:rsidRDefault="00421154" w:rsidP="00421154">
      <w:pPr>
        <w:pStyle w:val="Textoindependiente"/>
        <w:spacing w:line="276" w:lineRule="auto"/>
        <w:ind w:left="1134"/>
        <w:rPr>
          <w:rFonts w:ascii="Abadi" w:eastAsia="Batang" w:hAnsi="Abadi"/>
          <w:b w:val="0"/>
          <w:i/>
          <w:iCs/>
          <w:sz w:val="21"/>
          <w:szCs w:val="21"/>
          <w:lang w:val="es-MX" w:eastAsia="en-US"/>
        </w:rPr>
      </w:pPr>
      <w:r w:rsidRPr="003A358F">
        <w:rPr>
          <w:rFonts w:ascii="Abadi" w:eastAsia="Batang" w:hAnsi="Abadi"/>
          <w:b w:val="0"/>
          <w:i/>
          <w:iCs/>
          <w:sz w:val="21"/>
          <w:szCs w:val="21"/>
          <w:lang w:val="es-MX" w:eastAsia="en-US"/>
        </w:rPr>
        <w:t>Dicha política tendrá…</w:t>
      </w:r>
    </w:p>
    <w:p w14:paraId="24F97885" w14:textId="77777777" w:rsidR="00421154" w:rsidRPr="003A358F" w:rsidRDefault="00421154" w:rsidP="00421154">
      <w:pPr>
        <w:pStyle w:val="Textoindependiente"/>
        <w:spacing w:line="276" w:lineRule="auto"/>
        <w:ind w:left="1134"/>
        <w:rPr>
          <w:rFonts w:ascii="Abadi" w:eastAsia="Batang" w:hAnsi="Abadi"/>
          <w:b w:val="0"/>
          <w:i/>
          <w:iCs/>
          <w:sz w:val="21"/>
          <w:szCs w:val="21"/>
          <w:lang w:val="es-MX" w:eastAsia="en-US"/>
        </w:rPr>
      </w:pPr>
    </w:p>
    <w:p w14:paraId="11913DD7" w14:textId="77777777" w:rsidR="00421154" w:rsidRPr="003A358F" w:rsidRDefault="00421154" w:rsidP="00421154">
      <w:pPr>
        <w:pStyle w:val="Textoindependiente"/>
        <w:spacing w:line="276" w:lineRule="auto"/>
        <w:ind w:left="1134"/>
        <w:rPr>
          <w:rFonts w:ascii="Abadi" w:eastAsia="Batang" w:hAnsi="Abadi"/>
          <w:b w:val="0"/>
          <w:i/>
          <w:iCs/>
          <w:sz w:val="21"/>
          <w:szCs w:val="21"/>
          <w:lang w:val="es-MX" w:eastAsia="en-US"/>
        </w:rPr>
      </w:pPr>
      <w:r w:rsidRPr="003A358F">
        <w:rPr>
          <w:rFonts w:ascii="Abadi" w:eastAsia="Batang" w:hAnsi="Abadi"/>
          <w:b w:val="0"/>
          <w:i/>
          <w:iCs/>
          <w:sz w:val="21"/>
          <w:szCs w:val="21"/>
          <w:lang w:val="es-MX" w:eastAsia="en-US"/>
        </w:rPr>
        <w:t>El Instituto Federal…</w:t>
      </w:r>
    </w:p>
    <w:p w14:paraId="0BFE2B70" w14:textId="77777777" w:rsidR="00421154" w:rsidRPr="003A358F" w:rsidRDefault="00421154" w:rsidP="00421154">
      <w:pPr>
        <w:pStyle w:val="Textoindependiente"/>
        <w:spacing w:line="276" w:lineRule="auto"/>
        <w:ind w:left="1134"/>
        <w:rPr>
          <w:rFonts w:ascii="Abadi" w:eastAsia="Batang" w:hAnsi="Abadi"/>
          <w:b w:val="0"/>
          <w:i/>
          <w:iCs/>
          <w:sz w:val="21"/>
          <w:szCs w:val="21"/>
          <w:lang w:val="es-MX" w:eastAsia="en-US"/>
        </w:rPr>
      </w:pPr>
    </w:p>
    <w:p w14:paraId="30D5225C" w14:textId="77777777" w:rsidR="00421154" w:rsidRPr="003A358F" w:rsidRDefault="00421154" w:rsidP="00421154">
      <w:pPr>
        <w:pStyle w:val="Textoindependiente"/>
        <w:spacing w:line="276" w:lineRule="auto"/>
        <w:ind w:left="1134"/>
        <w:rPr>
          <w:rFonts w:ascii="Abadi" w:eastAsia="Batang" w:hAnsi="Abadi"/>
          <w:b w:val="0"/>
          <w:i/>
          <w:iCs/>
          <w:sz w:val="21"/>
          <w:szCs w:val="21"/>
          <w:lang w:val="es-MX" w:eastAsia="en-US"/>
        </w:rPr>
      </w:pPr>
      <w:r w:rsidRPr="003A358F">
        <w:rPr>
          <w:rFonts w:ascii="Abadi" w:eastAsia="Batang" w:hAnsi="Abadi"/>
          <w:b w:val="0"/>
          <w:i/>
          <w:iCs/>
          <w:sz w:val="21"/>
          <w:szCs w:val="21"/>
          <w:lang w:val="es-MX" w:eastAsia="en-US"/>
        </w:rPr>
        <w:lastRenderedPageBreak/>
        <w:t>Asimismo, el Ejecutivo Federal elaborará las políticas de radiodifusión y telecomunicaciones del Gobierno Federal y realizará las acciones tendientes a garantizar el acceso a Internet de banda ancha en edificios e instalaciones de las dependencias y entidades de la Administración Pública Federal. Las entidades federativas harán lo propio en el ámbito de su competencia.</w:t>
      </w:r>
    </w:p>
    <w:p w14:paraId="7B93DF83" w14:textId="77777777" w:rsidR="00421154" w:rsidRPr="003A358F" w:rsidRDefault="00421154" w:rsidP="00421154">
      <w:pPr>
        <w:spacing w:line="276" w:lineRule="auto"/>
        <w:ind w:firstLine="708"/>
        <w:jc w:val="both"/>
        <w:rPr>
          <w:rFonts w:ascii="Abadi" w:eastAsia="Batang" w:hAnsi="Abadi" w:cs="Arial"/>
          <w:bCs/>
          <w:sz w:val="21"/>
          <w:szCs w:val="21"/>
          <w:highlight w:val="yellow"/>
        </w:rPr>
      </w:pPr>
    </w:p>
    <w:p w14:paraId="72F2985A"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Luego entonces, en armonía con dicha disposición, las autoridades del estado y de los municipios implementarán las acciones para el establecimiento de áreas de libre acceso a la señal de internet, atendiendo a sus recursos presupuestarios y de manera paulatina hasta lograr el objetivo planteado en esta reforma constitucional.</w:t>
      </w:r>
    </w:p>
    <w:p w14:paraId="5FCBA6F6"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p>
    <w:p w14:paraId="22D1055C" w14:textId="77777777" w:rsidR="00421154" w:rsidRPr="003A358F" w:rsidRDefault="00421154" w:rsidP="00421154">
      <w:pPr>
        <w:pStyle w:val="Textoindependiente"/>
        <w:spacing w:line="276" w:lineRule="auto"/>
        <w:ind w:firstLine="708"/>
        <w:rPr>
          <w:rFonts w:ascii="Abadi" w:eastAsia="Batang" w:hAnsi="Abadi"/>
          <w:b w:val="0"/>
          <w:sz w:val="21"/>
          <w:szCs w:val="21"/>
          <w:lang w:val="es-MX" w:eastAsia="en-US"/>
        </w:rPr>
      </w:pPr>
      <w:r w:rsidRPr="003A358F">
        <w:rPr>
          <w:rFonts w:ascii="Abadi" w:eastAsia="Batang" w:hAnsi="Abadi"/>
          <w:b w:val="0"/>
          <w:sz w:val="21"/>
          <w:szCs w:val="21"/>
          <w:lang w:val="es-MX" w:eastAsia="en-US"/>
        </w:rPr>
        <w:t xml:space="preserve">Para el caso del impacto presupuestal en la implementación del </w:t>
      </w:r>
      <w:r w:rsidRPr="003A358F">
        <w:rPr>
          <w:rFonts w:ascii="Abadi" w:eastAsia="Batang" w:hAnsi="Abadi"/>
          <w:b w:val="0"/>
          <w:i/>
          <w:iCs/>
          <w:sz w:val="21"/>
          <w:szCs w:val="21"/>
          <w:lang w:val="es-MX" w:eastAsia="en-US"/>
        </w:rPr>
        <w:t>Gobierno digital</w:t>
      </w:r>
      <w:r w:rsidRPr="003A358F">
        <w:rPr>
          <w:rFonts w:ascii="Abadi" w:eastAsia="Batang" w:hAnsi="Abadi"/>
          <w:b w:val="0"/>
          <w:sz w:val="21"/>
          <w:szCs w:val="21"/>
          <w:lang w:val="es-MX" w:eastAsia="en-US"/>
        </w:rPr>
        <w:t>, como un principio será cada unidad administrativa quien tendrá su programación individual, atendiendo las características tecnológicas con las que ya cuenten y con los trámites o servicios que deberán adecuarse en la modalidad virtual de manera paulatina y conforme a las necesidades de cada municipio.</w:t>
      </w:r>
    </w:p>
    <w:p w14:paraId="47C753AB" w14:textId="77777777" w:rsidR="00421154" w:rsidRPr="00DD5A7D" w:rsidRDefault="00421154" w:rsidP="00421154">
      <w:pPr>
        <w:pStyle w:val="Textoindependiente"/>
        <w:spacing w:line="276" w:lineRule="auto"/>
        <w:ind w:firstLine="708"/>
        <w:rPr>
          <w:rFonts w:ascii="Abadi" w:eastAsia="Batang" w:hAnsi="Abadi"/>
          <w:sz w:val="21"/>
          <w:szCs w:val="21"/>
          <w:lang w:val="es-MX" w:eastAsia="en-US"/>
        </w:rPr>
      </w:pPr>
    </w:p>
    <w:p w14:paraId="44E19845" w14:textId="77777777" w:rsidR="00421154" w:rsidRPr="00DD5A7D" w:rsidRDefault="00421154" w:rsidP="00421154">
      <w:pPr>
        <w:spacing w:line="276" w:lineRule="auto"/>
        <w:ind w:firstLine="708"/>
        <w:jc w:val="both"/>
        <w:rPr>
          <w:rFonts w:ascii="Abadi" w:eastAsia="Batang" w:hAnsi="Abadi" w:cs="Arial"/>
          <w:sz w:val="21"/>
          <w:szCs w:val="21"/>
        </w:rPr>
      </w:pPr>
      <w:r w:rsidRPr="00DD5A7D">
        <w:rPr>
          <w:rFonts w:ascii="Abadi" w:eastAsia="Batang" w:hAnsi="Abadi" w:cs="Arial"/>
          <w:sz w:val="21"/>
          <w:szCs w:val="21"/>
        </w:rPr>
        <w:t xml:space="preserve">Quienes integramos la Comisión de Gobernación y Puntos Constitucionales enfatizamos una vez más, en la importancia fundamental de la libertad de expresión —incluidos los principios de independencia y diversidad— tanto en sí misma como en cuanto herramienta esencial para la defensa de todos los demás derechos, como elemento fundamental de la democracia y para el avance de los objetivos de desarrollo; destacando el carácter transformador de Internet, como medio que permite que miles de millones de personas en todo el mundo expresen sus opiniones, a la vez que incrementa significativamente su capacidad de acceder a información y fomenta el pluralismo y la divulgación de información; y atentos al </w:t>
      </w:r>
      <w:r w:rsidRPr="00DD5A7D">
        <w:rPr>
          <w:rFonts w:ascii="Abadi" w:eastAsia="Batang" w:hAnsi="Abadi" w:cs="Arial"/>
          <w:sz w:val="21"/>
          <w:szCs w:val="21"/>
        </w:rPr>
        <w:t>potencial de Internet para promover la realización de otros derechos y la participación pública, así como para facilitar el acceso a bienes y servicios; celebramos este ejercicio legislativo por el notable crecimiento que traerá con respecto al acceso a Internet y acceso a este de mejor calidad.</w:t>
      </w:r>
    </w:p>
    <w:p w14:paraId="1D9B5E0B" w14:textId="77777777" w:rsidR="00421154" w:rsidRPr="00DD5A7D" w:rsidRDefault="00421154" w:rsidP="00421154">
      <w:pPr>
        <w:spacing w:line="276" w:lineRule="auto"/>
        <w:ind w:firstLine="708"/>
        <w:jc w:val="both"/>
        <w:rPr>
          <w:rFonts w:ascii="Abadi" w:eastAsia="Batang" w:hAnsi="Abadi" w:cs="Arial"/>
          <w:sz w:val="21"/>
          <w:szCs w:val="21"/>
        </w:rPr>
      </w:pPr>
    </w:p>
    <w:p w14:paraId="6C7390B4" w14:textId="77777777" w:rsidR="00421154" w:rsidRPr="00DD5A7D" w:rsidRDefault="00421154" w:rsidP="00421154">
      <w:pPr>
        <w:spacing w:line="276" w:lineRule="auto"/>
        <w:ind w:firstLine="708"/>
        <w:jc w:val="both"/>
        <w:rPr>
          <w:rFonts w:ascii="Abadi" w:eastAsia="Batang" w:hAnsi="Abadi" w:cs="Arial"/>
          <w:sz w:val="21"/>
          <w:szCs w:val="21"/>
        </w:rPr>
      </w:pPr>
      <w:r w:rsidRPr="00DD5A7D">
        <w:rPr>
          <w:rFonts w:ascii="Abadi" w:eastAsia="Batang" w:hAnsi="Abadi" w:cs="Arial"/>
          <w:sz w:val="21"/>
          <w:szCs w:val="21"/>
        </w:rPr>
        <w:t>De ahí la importancia de construir este engranaje constitucional, pues como legisladoras y legisladores es esenciales dotar de las herramientas jurídicas para construir un gobierno inteligente, capaz de utilizar los más avanzados sistemas administrativos y tecnológicos para evitar el dispendio de recursos y promover la eficacia de su función, un gobierno ágil y flexible capaz de captar las oportunidades, atender los problemas y adecuarse a las circunstancias rápida y eficazmente, un gobierno abierto y transparente, un gobierno global, que se inserte en el contexto nacional y mundial.</w:t>
      </w:r>
    </w:p>
    <w:p w14:paraId="288338E3" w14:textId="77777777" w:rsidR="00421154" w:rsidRPr="00DD5A7D" w:rsidRDefault="00421154" w:rsidP="00421154">
      <w:pPr>
        <w:spacing w:line="276" w:lineRule="auto"/>
        <w:ind w:firstLine="708"/>
        <w:jc w:val="both"/>
        <w:rPr>
          <w:rFonts w:ascii="Abadi" w:eastAsia="Batang" w:hAnsi="Abadi" w:cs="Arial"/>
          <w:sz w:val="21"/>
          <w:szCs w:val="21"/>
        </w:rPr>
      </w:pPr>
    </w:p>
    <w:p w14:paraId="4D2A1ABB" w14:textId="77777777" w:rsidR="00421154" w:rsidRPr="003A358F" w:rsidRDefault="00421154" w:rsidP="00421154">
      <w:pPr>
        <w:pStyle w:val="Textoindependiente"/>
        <w:spacing w:line="276" w:lineRule="auto"/>
        <w:ind w:firstLine="708"/>
        <w:rPr>
          <w:rFonts w:ascii="Abadi" w:eastAsia="Batang" w:hAnsi="Abadi"/>
          <w:b w:val="0"/>
          <w:bCs w:val="0"/>
          <w:sz w:val="21"/>
          <w:szCs w:val="21"/>
          <w:lang w:val="es-MX" w:eastAsia="en-US"/>
        </w:rPr>
      </w:pPr>
      <w:r w:rsidRPr="003A358F">
        <w:rPr>
          <w:rFonts w:ascii="Abadi" w:eastAsia="Batang" w:hAnsi="Abadi"/>
          <w:b w:val="0"/>
          <w:bCs w:val="0"/>
          <w:sz w:val="21"/>
          <w:szCs w:val="21"/>
          <w:lang w:val="es-MX" w:eastAsia="en-US"/>
        </w:rPr>
        <w:t>Es fundamental seguir promoviendo la participación ciudadana a través del uso de Internet, eliminando así obstáculos tradicionales como la distancia geográfica y el tiempo. Apoyar las prácticas democráticas que vinculan al Estado con la sociedad mediante el establecimiento de nuevas formas de comunicación, la innovación y la generación de servicios, los cuales representarán una alternativa más de espacios de participación ciudadana, lograr una mayor rendición de cuentas por parte del gobierno, y mayor acceso a la información pública.</w:t>
      </w:r>
    </w:p>
    <w:p w14:paraId="63504F99" w14:textId="77777777" w:rsidR="00421154" w:rsidRPr="003A358F" w:rsidRDefault="00421154" w:rsidP="00421154">
      <w:pPr>
        <w:pStyle w:val="Textoindependiente"/>
        <w:spacing w:line="276" w:lineRule="auto"/>
        <w:ind w:firstLine="708"/>
        <w:rPr>
          <w:rFonts w:ascii="Abadi" w:eastAsia="Batang" w:hAnsi="Abadi"/>
          <w:b w:val="0"/>
          <w:bCs w:val="0"/>
          <w:sz w:val="21"/>
          <w:szCs w:val="21"/>
          <w:lang w:val="es-MX" w:eastAsia="en-US"/>
        </w:rPr>
      </w:pPr>
    </w:p>
    <w:p w14:paraId="1B0A8E5B" w14:textId="77777777" w:rsidR="00421154" w:rsidRPr="003A358F" w:rsidRDefault="00421154" w:rsidP="00421154">
      <w:pPr>
        <w:pStyle w:val="Textoindependiente"/>
        <w:spacing w:line="276" w:lineRule="auto"/>
        <w:ind w:firstLine="708"/>
        <w:rPr>
          <w:rFonts w:ascii="Abadi" w:eastAsia="Batang" w:hAnsi="Abadi"/>
          <w:b w:val="0"/>
          <w:bCs w:val="0"/>
          <w:sz w:val="21"/>
          <w:szCs w:val="21"/>
          <w:lang w:val="es-MX" w:eastAsia="en-US"/>
        </w:rPr>
      </w:pPr>
      <w:r w:rsidRPr="003A358F">
        <w:rPr>
          <w:rFonts w:ascii="Abadi" w:eastAsia="Batang" w:hAnsi="Abadi"/>
          <w:b w:val="0"/>
          <w:bCs w:val="0"/>
          <w:sz w:val="21"/>
          <w:szCs w:val="21"/>
          <w:lang w:val="es-MX" w:eastAsia="en-US"/>
        </w:rPr>
        <w:t xml:space="preserve">La tecnología es un aliado imprescindible para el cumplimiento de los Objetivos de Desarrollo Sostenible de Agenda 2030. Ésta ofrece un gran potencial para acelerar su cumplimiento y reducir el coste de sus procesos de implementación. De ahí la importancia de hacer mención que este dictamen encuentra su aporte en esos objetivos de la siguiente manera. El Objetivo 9, por cuanto ayuda a crear una infraestructura resiliente, fomenta la industrialización inclusiva y sostenible y promueve la innovación. La infraestructura y los servicios de Tecnología de la Información y </w:t>
      </w:r>
      <w:r w:rsidRPr="003A358F">
        <w:rPr>
          <w:rFonts w:ascii="Abadi" w:eastAsia="Batang" w:hAnsi="Abadi"/>
          <w:b w:val="0"/>
          <w:bCs w:val="0"/>
          <w:sz w:val="21"/>
          <w:szCs w:val="21"/>
          <w:lang w:val="es-MX" w:eastAsia="en-US"/>
        </w:rPr>
        <w:lastRenderedPageBreak/>
        <w:t>Comunicación eficientes y asequibles permiten a los países participar en la economía digital y aumentar su bienestar económico general y su competitividad. Es decir, este cumplimiento de objetivos de agenda 2030 constituyen los medios para suministrar bienes y servicios de gran calidad en ámbitos esenciales como la atención sanitaria, la educación, las finanzas, el comercio, la gobernanza y la agricultura. Pueden contribuir a reducir la pobreza y el hambre, mejorar la sanidad, crear nuevos puestos de trabajo, mitigar el cambio climático, mejorar la eficiencia energética y a hacer más sostenibles las ciudades y las comunidades.</w:t>
      </w:r>
    </w:p>
    <w:p w14:paraId="7F03F081" w14:textId="77777777" w:rsidR="00421154" w:rsidRPr="00DD5A7D" w:rsidRDefault="00421154" w:rsidP="00421154">
      <w:pPr>
        <w:pStyle w:val="Textoindependiente"/>
        <w:spacing w:line="276" w:lineRule="auto"/>
        <w:ind w:firstLine="708"/>
        <w:rPr>
          <w:rFonts w:ascii="Abadi" w:eastAsia="Batang" w:hAnsi="Abadi"/>
          <w:sz w:val="21"/>
          <w:szCs w:val="21"/>
          <w:lang w:val="es-MX" w:eastAsia="en-US"/>
        </w:rPr>
      </w:pPr>
    </w:p>
    <w:p w14:paraId="552E6E96" w14:textId="77777777" w:rsidR="00421154" w:rsidRPr="00DD5A7D" w:rsidRDefault="00421154" w:rsidP="00421154">
      <w:pPr>
        <w:spacing w:line="276" w:lineRule="auto"/>
        <w:ind w:firstLine="708"/>
        <w:jc w:val="both"/>
        <w:rPr>
          <w:rFonts w:ascii="Abadi" w:eastAsia="Batang" w:hAnsi="Abadi" w:cs="Arial"/>
          <w:sz w:val="21"/>
          <w:szCs w:val="21"/>
        </w:rPr>
      </w:pPr>
      <w:r w:rsidRPr="00DD5A7D">
        <w:rPr>
          <w:rFonts w:ascii="Abadi" w:eastAsia="Batang" w:hAnsi="Abadi" w:cs="Arial"/>
          <w:sz w:val="21"/>
          <w:szCs w:val="21"/>
        </w:rPr>
        <w:t xml:space="preserve">En razón de lo antes expuesto y con fundamento en los artículos 171 y 204 de </w:t>
      </w:r>
      <w:smartTag w:uri="urn:schemas-microsoft-com:office:smarttags" w:element="PersonName">
        <w:smartTagPr>
          <w:attr w:name="ProductID" w:val="la Ley Org￡nica"/>
        </w:smartTagPr>
        <w:r w:rsidRPr="00DD5A7D">
          <w:rPr>
            <w:rFonts w:ascii="Abadi" w:eastAsia="Batang" w:hAnsi="Abadi" w:cs="Arial"/>
            <w:sz w:val="21"/>
            <w:szCs w:val="21"/>
          </w:rPr>
          <w:t>la Ley Orgánica</w:t>
        </w:r>
      </w:smartTag>
      <w:r w:rsidRPr="00DD5A7D">
        <w:rPr>
          <w:rFonts w:ascii="Abadi" w:eastAsia="Batang" w:hAnsi="Abadi" w:cs="Arial"/>
          <w:sz w:val="21"/>
          <w:szCs w:val="21"/>
        </w:rPr>
        <w:t xml:space="preserve"> del Poder Legislativo del Estado de Guanajuato, nos permitimos someter a la aprobación de </w:t>
      </w:r>
      <w:smartTag w:uri="urn:schemas-microsoft-com:office:smarttags" w:element="PersonName">
        <w:smartTagPr>
          <w:attr w:name="ProductID" w:val="la Asamblea"/>
        </w:smartTagPr>
        <w:r w:rsidRPr="00DD5A7D">
          <w:rPr>
            <w:rFonts w:ascii="Abadi" w:eastAsia="Batang" w:hAnsi="Abadi" w:cs="Arial"/>
            <w:sz w:val="21"/>
            <w:szCs w:val="21"/>
          </w:rPr>
          <w:t>la Asamblea</w:t>
        </w:r>
      </w:smartTag>
      <w:r w:rsidRPr="00DD5A7D">
        <w:rPr>
          <w:rFonts w:ascii="Abadi" w:eastAsia="Batang" w:hAnsi="Abadi" w:cs="Arial"/>
          <w:sz w:val="21"/>
          <w:szCs w:val="21"/>
        </w:rPr>
        <w:t xml:space="preserve">, el siguiente: </w:t>
      </w:r>
    </w:p>
    <w:p w14:paraId="715555B8" w14:textId="77777777" w:rsidR="00421154" w:rsidRPr="00DD5A7D" w:rsidRDefault="00421154" w:rsidP="00421154">
      <w:pPr>
        <w:spacing w:line="276" w:lineRule="auto"/>
        <w:ind w:firstLine="708"/>
        <w:jc w:val="both"/>
        <w:rPr>
          <w:rFonts w:ascii="Abadi" w:eastAsia="Batang" w:hAnsi="Abadi" w:cs="Arial"/>
          <w:sz w:val="21"/>
          <w:szCs w:val="21"/>
        </w:rPr>
      </w:pPr>
    </w:p>
    <w:p w14:paraId="71C65CE4" w14:textId="77777777" w:rsidR="00421154" w:rsidRPr="00DD5A7D" w:rsidRDefault="00421154" w:rsidP="00421154">
      <w:pPr>
        <w:jc w:val="center"/>
        <w:rPr>
          <w:rFonts w:ascii="Abadi" w:hAnsi="Abadi" w:cs="Arial"/>
          <w:b/>
          <w:sz w:val="21"/>
          <w:szCs w:val="21"/>
        </w:rPr>
      </w:pPr>
      <w:r w:rsidRPr="00DD5A7D">
        <w:rPr>
          <w:rFonts w:ascii="Abadi" w:hAnsi="Abadi" w:cs="Arial"/>
          <w:b/>
          <w:sz w:val="21"/>
          <w:szCs w:val="21"/>
        </w:rPr>
        <w:t>DECRETO</w:t>
      </w:r>
    </w:p>
    <w:p w14:paraId="61E68A24" w14:textId="77777777" w:rsidR="00421154" w:rsidRPr="00DD5A7D" w:rsidRDefault="00421154" w:rsidP="00421154">
      <w:pPr>
        <w:jc w:val="center"/>
        <w:rPr>
          <w:rFonts w:ascii="Abadi" w:hAnsi="Abadi" w:cs="Arial"/>
          <w:b/>
          <w:sz w:val="21"/>
          <w:szCs w:val="21"/>
        </w:rPr>
      </w:pPr>
    </w:p>
    <w:p w14:paraId="644E75E5" w14:textId="77777777" w:rsidR="00421154" w:rsidRPr="00DD5A7D" w:rsidRDefault="00421154" w:rsidP="00421154">
      <w:pPr>
        <w:pStyle w:val="Prrafodelista"/>
        <w:widowControl w:val="0"/>
        <w:tabs>
          <w:tab w:val="left" w:pos="663"/>
        </w:tabs>
        <w:spacing w:before="57"/>
        <w:ind w:left="0"/>
        <w:jc w:val="both"/>
        <w:rPr>
          <w:rFonts w:ascii="Abadi" w:eastAsia="Batang" w:hAnsi="Abadi" w:cs="Arial"/>
          <w:sz w:val="21"/>
          <w:szCs w:val="21"/>
        </w:rPr>
      </w:pPr>
      <w:r w:rsidRPr="00DD5A7D">
        <w:rPr>
          <w:rFonts w:ascii="Abadi" w:hAnsi="Abadi"/>
          <w:b/>
          <w:bCs/>
          <w:sz w:val="21"/>
          <w:szCs w:val="21"/>
        </w:rPr>
        <w:tab/>
        <w:t xml:space="preserve">Único. </w:t>
      </w:r>
      <w:r w:rsidRPr="00DD5A7D">
        <w:rPr>
          <w:rFonts w:ascii="Abadi" w:eastAsia="Batang" w:hAnsi="Abadi" w:cs="Arial"/>
          <w:sz w:val="21"/>
          <w:szCs w:val="21"/>
        </w:rPr>
        <w:t xml:space="preserve">Se </w:t>
      </w:r>
      <w:r w:rsidRPr="00DD5A7D">
        <w:rPr>
          <w:rFonts w:ascii="Abadi" w:eastAsia="Batang" w:hAnsi="Abadi" w:cs="Arial"/>
          <w:b/>
          <w:bCs/>
          <w:sz w:val="21"/>
          <w:szCs w:val="21"/>
        </w:rPr>
        <w:t xml:space="preserve">reforman </w:t>
      </w:r>
      <w:r w:rsidRPr="00DD5A7D">
        <w:rPr>
          <w:rFonts w:ascii="Abadi" w:eastAsia="Batang" w:hAnsi="Abadi" w:cs="Arial"/>
          <w:sz w:val="21"/>
          <w:szCs w:val="21"/>
        </w:rPr>
        <w:t xml:space="preserve">los artículos 36, segundo párrafo y 117, octavo párrafo y se </w:t>
      </w:r>
      <w:r w:rsidRPr="00DD5A7D">
        <w:rPr>
          <w:rFonts w:ascii="Abadi" w:eastAsia="Batang" w:hAnsi="Abadi" w:cs="Arial"/>
          <w:b/>
          <w:bCs/>
          <w:sz w:val="21"/>
          <w:szCs w:val="21"/>
        </w:rPr>
        <w:t>adiciona</w:t>
      </w:r>
      <w:r w:rsidRPr="00DD5A7D">
        <w:rPr>
          <w:rFonts w:ascii="Abadi" w:eastAsia="Batang" w:hAnsi="Abadi" w:cs="Arial"/>
          <w:sz w:val="21"/>
          <w:szCs w:val="21"/>
        </w:rPr>
        <w:t xml:space="preserve"> un párrafo décimo sexto al artículo 1 de la </w:t>
      </w:r>
      <w:r w:rsidRPr="00DD5A7D">
        <w:rPr>
          <w:rFonts w:ascii="Abadi" w:eastAsia="Batang" w:hAnsi="Abadi" w:cs="Arial"/>
          <w:b/>
          <w:bCs/>
          <w:sz w:val="21"/>
          <w:szCs w:val="21"/>
        </w:rPr>
        <w:t>Constitución Política para el Estado de Guanajuato</w:t>
      </w:r>
      <w:r w:rsidRPr="00DD5A7D">
        <w:rPr>
          <w:rFonts w:ascii="Abadi" w:eastAsia="Batang" w:hAnsi="Abadi" w:cs="Arial"/>
          <w:sz w:val="21"/>
          <w:szCs w:val="21"/>
        </w:rPr>
        <w:t xml:space="preserve">, para quedar como sigue: </w:t>
      </w:r>
    </w:p>
    <w:p w14:paraId="310DC4D5" w14:textId="77777777" w:rsidR="00421154" w:rsidRPr="00DD5A7D" w:rsidRDefault="00421154" w:rsidP="00421154">
      <w:pPr>
        <w:pStyle w:val="Prrafodelista"/>
        <w:widowControl w:val="0"/>
        <w:tabs>
          <w:tab w:val="left" w:pos="663"/>
        </w:tabs>
        <w:spacing w:before="57"/>
        <w:ind w:left="0"/>
        <w:jc w:val="both"/>
        <w:rPr>
          <w:rFonts w:ascii="Abadi" w:eastAsia="Batang" w:hAnsi="Abadi" w:cs="Arial"/>
          <w:sz w:val="21"/>
          <w:szCs w:val="21"/>
        </w:rPr>
      </w:pPr>
    </w:p>
    <w:p w14:paraId="7844F5C5" w14:textId="77777777" w:rsidR="00421154" w:rsidRPr="00DD5A7D" w:rsidRDefault="00421154" w:rsidP="00421154">
      <w:pPr>
        <w:pStyle w:val="Prrafodelista"/>
        <w:widowControl w:val="0"/>
        <w:tabs>
          <w:tab w:val="left" w:pos="663"/>
        </w:tabs>
        <w:spacing w:before="57"/>
        <w:jc w:val="both"/>
        <w:rPr>
          <w:rFonts w:ascii="Abadi" w:eastAsia="Batang" w:hAnsi="Abadi" w:cs="Arial"/>
          <w:sz w:val="21"/>
          <w:szCs w:val="21"/>
        </w:rPr>
      </w:pPr>
      <w:r w:rsidRPr="00DD5A7D">
        <w:rPr>
          <w:rFonts w:ascii="Abadi" w:eastAsia="Batang" w:hAnsi="Abadi" w:cs="Arial"/>
          <w:b/>
          <w:bCs/>
          <w:sz w:val="21"/>
          <w:szCs w:val="21"/>
        </w:rPr>
        <w:t xml:space="preserve">Artículo 1. </w:t>
      </w:r>
      <w:r w:rsidRPr="00DD5A7D">
        <w:rPr>
          <w:rFonts w:ascii="Abadi" w:eastAsia="Batang" w:hAnsi="Abadi" w:cs="Arial"/>
          <w:sz w:val="21"/>
          <w:szCs w:val="21"/>
        </w:rPr>
        <w:t>En el Estado…</w:t>
      </w:r>
    </w:p>
    <w:p w14:paraId="089570F8" w14:textId="77777777" w:rsidR="00421154" w:rsidRPr="00DD5A7D" w:rsidRDefault="00421154" w:rsidP="00421154">
      <w:pPr>
        <w:pStyle w:val="Prrafodelista"/>
        <w:widowControl w:val="0"/>
        <w:tabs>
          <w:tab w:val="left" w:pos="663"/>
        </w:tabs>
        <w:spacing w:before="57"/>
        <w:jc w:val="both"/>
        <w:rPr>
          <w:rFonts w:ascii="Abadi" w:eastAsia="Batang" w:hAnsi="Abadi" w:cs="Arial"/>
          <w:sz w:val="21"/>
          <w:szCs w:val="21"/>
        </w:rPr>
      </w:pPr>
    </w:p>
    <w:p w14:paraId="681B8ADF"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r w:rsidRPr="00DD5A7D">
        <w:rPr>
          <w:rFonts w:ascii="Abadi" w:eastAsia="Batang" w:hAnsi="Abadi" w:cs="Arial"/>
          <w:sz w:val="21"/>
          <w:szCs w:val="21"/>
        </w:rPr>
        <w:t>Las normas relativas...</w:t>
      </w:r>
    </w:p>
    <w:p w14:paraId="03AB705F"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p>
    <w:p w14:paraId="63029A71"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r w:rsidRPr="00DD5A7D">
        <w:rPr>
          <w:rFonts w:ascii="Abadi" w:eastAsia="Batang" w:hAnsi="Abadi" w:cs="Arial"/>
          <w:sz w:val="21"/>
          <w:szCs w:val="21"/>
        </w:rPr>
        <w:t>Todas las autoridades...</w:t>
      </w:r>
    </w:p>
    <w:p w14:paraId="75EBC826"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p>
    <w:p w14:paraId="716A579B"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r w:rsidRPr="00DD5A7D">
        <w:rPr>
          <w:rFonts w:ascii="Abadi" w:eastAsia="Batang" w:hAnsi="Abadi" w:cs="Arial"/>
          <w:sz w:val="21"/>
          <w:szCs w:val="21"/>
        </w:rPr>
        <w:t>Para los efectos ...</w:t>
      </w:r>
    </w:p>
    <w:p w14:paraId="17AFD49D"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p>
    <w:p w14:paraId="4F7C55E3"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r w:rsidRPr="00DD5A7D">
        <w:rPr>
          <w:rFonts w:ascii="Abadi" w:eastAsia="Batang" w:hAnsi="Abadi" w:cs="Arial"/>
          <w:sz w:val="21"/>
          <w:szCs w:val="21"/>
        </w:rPr>
        <w:t>Queda prohibida toda...</w:t>
      </w:r>
    </w:p>
    <w:p w14:paraId="6FF7D0E9"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p>
    <w:p w14:paraId="1116669F"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r w:rsidRPr="00DD5A7D">
        <w:rPr>
          <w:rFonts w:ascii="Abadi" w:eastAsia="Batang" w:hAnsi="Abadi" w:cs="Arial"/>
          <w:sz w:val="21"/>
          <w:szCs w:val="21"/>
        </w:rPr>
        <w:t>Esta Constitución reconoce...</w:t>
      </w:r>
    </w:p>
    <w:p w14:paraId="236B8B80"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p>
    <w:p w14:paraId="6FD367A4"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r w:rsidRPr="00DD5A7D">
        <w:rPr>
          <w:rFonts w:ascii="Abadi" w:eastAsia="Batang" w:hAnsi="Abadi" w:cs="Arial"/>
          <w:sz w:val="21"/>
          <w:szCs w:val="21"/>
        </w:rPr>
        <w:t>Son pueblos indígenas, ...</w:t>
      </w:r>
    </w:p>
    <w:p w14:paraId="1C3BFCFC"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r w:rsidRPr="00DD5A7D">
        <w:rPr>
          <w:rFonts w:ascii="Abadi" w:eastAsia="Batang" w:hAnsi="Abadi" w:cs="Arial"/>
          <w:sz w:val="21"/>
          <w:szCs w:val="21"/>
        </w:rPr>
        <w:t>Son comunidades integrantes...</w:t>
      </w:r>
    </w:p>
    <w:p w14:paraId="44651382"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p>
    <w:p w14:paraId="74AA3266"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r w:rsidRPr="00DD5A7D">
        <w:rPr>
          <w:rFonts w:ascii="Abadi" w:eastAsia="Batang" w:hAnsi="Abadi" w:cs="Arial"/>
          <w:sz w:val="21"/>
          <w:szCs w:val="21"/>
        </w:rPr>
        <w:t>Esta Constitución reconoce...</w:t>
      </w:r>
    </w:p>
    <w:p w14:paraId="405C5A88"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p>
    <w:p w14:paraId="3209E767"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r w:rsidRPr="00DD5A7D">
        <w:rPr>
          <w:rFonts w:ascii="Abadi" w:eastAsia="Batang" w:hAnsi="Abadi" w:cs="Arial"/>
          <w:sz w:val="21"/>
          <w:szCs w:val="21"/>
        </w:rPr>
        <w:t>La ley protegerá...</w:t>
      </w:r>
    </w:p>
    <w:p w14:paraId="40FF25A5"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p>
    <w:p w14:paraId="175412DF"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r w:rsidRPr="00DD5A7D">
        <w:rPr>
          <w:rFonts w:ascii="Abadi" w:eastAsia="Batang" w:hAnsi="Abadi" w:cs="Arial"/>
          <w:sz w:val="21"/>
          <w:szCs w:val="21"/>
        </w:rPr>
        <w:t>Las niñas, los...</w:t>
      </w:r>
    </w:p>
    <w:p w14:paraId="0F64A605"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p>
    <w:p w14:paraId="2341B95A"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r w:rsidRPr="00DD5A7D">
        <w:rPr>
          <w:rFonts w:ascii="Abadi" w:eastAsia="Batang" w:hAnsi="Abadi" w:cs="Arial"/>
          <w:sz w:val="21"/>
          <w:szCs w:val="21"/>
        </w:rPr>
        <w:t>Toda persona tiene...</w:t>
      </w:r>
    </w:p>
    <w:p w14:paraId="2B7079A1"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p>
    <w:p w14:paraId="14F6D75A"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r w:rsidRPr="00DD5A7D">
        <w:rPr>
          <w:rFonts w:ascii="Abadi" w:eastAsia="Batang" w:hAnsi="Abadi" w:cs="Arial"/>
          <w:sz w:val="21"/>
          <w:szCs w:val="21"/>
        </w:rPr>
        <w:t>Toda persona tiene...</w:t>
      </w:r>
    </w:p>
    <w:p w14:paraId="5CB06492"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p>
    <w:p w14:paraId="760F1CD0"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r w:rsidRPr="00DD5A7D">
        <w:rPr>
          <w:rFonts w:ascii="Abadi" w:eastAsia="Batang" w:hAnsi="Abadi" w:cs="Arial"/>
          <w:sz w:val="21"/>
          <w:szCs w:val="21"/>
        </w:rPr>
        <w:t>Toda persona tiene...</w:t>
      </w:r>
    </w:p>
    <w:p w14:paraId="3CD1475B"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p>
    <w:p w14:paraId="43AB4833"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r w:rsidRPr="00DD5A7D">
        <w:rPr>
          <w:rFonts w:ascii="Abadi" w:eastAsia="Batang" w:hAnsi="Abadi" w:cs="Arial"/>
          <w:sz w:val="21"/>
          <w:szCs w:val="21"/>
        </w:rPr>
        <w:t>Toda persona tiene...</w:t>
      </w:r>
    </w:p>
    <w:p w14:paraId="1CFD93B6" w14:textId="77777777" w:rsidR="00421154" w:rsidRPr="00DD5A7D" w:rsidRDefault="00421154" w:rsidP="00421154">
      <w:pPr>
        <w:pStyle w:val="Prrafodelista"/>
        <w:widowControl w:val="0"/>
        <w:spacing w:before="57"/>
        <w:ind w:left="0" w:firstLine="708"/>
        <w:jc w:val="both"/>
        <w:rPr>
          <w:rFonts w:ascii="Abadi" w:eastAsia="Batang" w:hAnsi="Abadi" w:cs="Arial"/>
          <w:sz w:val="21"/>
          <w:szCs w:val="21"/>
        </w:rPr>
      </w:pPr>
    </w:p>
    <w:p w14:paraId="47187606" w14:textId="77777777" w:rsidR="00421154" w:rsidRPr="00DD5A7D" w:rsidRDefault="00421154" w:rsidP="00421154">
      <w:pPr>
        <w:pStyle w:val="Prrafodelista"/>
        <w:widowControl w:val="0"/>
        <w:spacing w:before="57"/>
        <w:ind w:left="0" w:firstLine="720"/>
        <w:jc w:val="both"/>
        <w:rPr>
          <w:rFonts w:ascii="Abadi" w:eastAsia="Batang" w:hAnsi="Abadi" w:cs="Arial"/>
          <w:sz w:val="21"/>
          <w:szCs w:val="21"/>
        </w:rPr>
      </w:pPr>
      <w:r w:rsidRPr="00DD5A7D">
        <w:rPr>
          <w:rFonts w:ascii="Abadi" w:eastAsia="Batang" w:hAnsi="Abadi" w:cs="Arial"/>
          <w:sz w:val="21"/>
          <w:szCs w:val="21"/>
        </w:rPr>
        <w:t xml:space="preserve">Toda persona tiene derecho a disfrutar del acceso al internet. </w:t>
      </w:r>
    </w:p>
    <w:p w14:paraId="107493E8" w14:textId="77777777" w:rsidR="00421154" w:rsidRPr="00DD5A7D" w:rsidRDefault="00421154" w:rsidP="00421154">
      <w:pPr>
        <w:pStyle w:val="Prrafodelista"/>
        <w:widowControl w:val="0"/>
        <w:spacing w:before="57"/>
        <w:ind w:left="0" w:firstLine="708"/>
        <w:jc w:val="both"/>
        <w:rPr>
          <w:rFonts w:ascii="Abadi" w:eastAsia="Batang" w:hAnsi="Abadi" w:cs="Arial"/>
          <w:sz w:val="21"/>
          <w:szCs w:val="21"/>
        </w:rPr>
      </w:pPr>
    </w:p>
    <w:p w14:paraId="635AE8F2" w14:textId="77777777" w:rsidR="00421154" w:rsidRPr="00DD5A7D" w:rsidRDefault="00421154" w:rsidP="00421154">
      <w:pPr>
        <w:pStyle w:val="Prrafodelista"/>
        <w:widowControl w:val="0"/>
        <w:tabs>
          <w:tab w:val="left" w:pos="663"/>
        </w:tabs>
        <w:spacing w:before="57"/>
        <w:jc w:val="both"/>
        <w:rPr>
          <w:rFonts w:ascii="Abadi" w:eastAsia="Batang" w:hAnsi="Abadi" w:cs="Arial"/>
          <w:sz w:val="21"/>
          <w:szCs w:val="21"/>
        </w:rPr>
      </w:pPr>
      <w:r w:rsidRPr="00DD5A7D">
        <w:rPr>
          <w:rFonts w:ascii="Abadi" w:eastAsia="Batang" w:hAnsi="Abadi" w:cs="Arial"/>
          <w:b/>
          <w:bCs/>
          <w:sz w:val="21"/>
          <w:szCs w:val="21"/>
        </w:rPr>
        <w:t xml:space="preserve">Artículo 36. </w:t>
      </w:r>
      <w:r w:rsidRPr="00DD5A7D">
        <w:rPr>
          <w:rFonts w:ascii="Abadi" w:eastAsia="Batang" w:hAnsi="Abadi" w:cs="Arial"/>
          <w:sz w:val="21"/>
          <w:szCs w:val="21"/>
        </w:rPr>
        <w:t xml:space="preserve">El Poder Público... </w:t>
      </w:r>
    </w:p>
    <w:p w14:paraId="31A77890" w14:textId="77777777" w:rsidR="00421154" w:rsidRPr="00DD5A7D" w:rsidRDefault="00421154" w:rsidP="00421154">
      <w:pPr>
        <w:pStyle w:val="Prrafodelista"/>
        <w:widowControl w:val="0"/>
        <w:tabs>
          <w:tab w:val="left" w:pos="663"/>
        </w:tabs>
        <w:spacing w:before="57"/>
        <w:jc w:val="both"/>
        <w:rPr>
          <w:rFonts w:ascii="Abadi" w:eastAsia="Batang" w:hAnsi="Abadi" w:cs="Arial"/>
          <w:sz w:val="21"/>
          <w:szCs w:val="21"/>
        </w:rPr>
      </w:pPr>
    </w:p>
    <w:p w14:paraId="00C8EE54" w14:textId="77777777" w:rsidR="00421154" w:rsidRPr="00DD5A7D" w:rsidRDefault="00421154" w:rsidP="00421154">
      <w:pPr>
        <w:pStyle w:val="Prrafodelista"/>
        <w:widowControl w:val="0"/>
        <w:tabs>
          <w:tab w:val="left" w:pos="663"/>
        </w:tabs>
        <w:spacing w:before="57"/>
        <w:ind w:left="0"/>
        <w:jc w:val="both"/>
        <w:rPr>
          <w:rFonts w:ascii="Abadi" w:eastAsia="Batang" w:hAnsi="Abadi" w:cs="Arial"/>
          <w:sz w:val="21"/>
          <w:szCs w:val="21"/>
        </w:rPr>
      </w:pPr>
      <w:r w:rsidRPr="00DD5A7D">
        <w:rPr>
          <w:rFonts w:ascii="Abadi" w:eastAsia="Batang" w:hAnsi="Abadi" w:cs="Arial"/>
          <w:sz w:val="21"/>
          <w:szCs w:val="21"/>
        </w:rPr>
        <w:tab/>
        <w:t>Los poderes del Estado deberán regirse bajo los principios de Parlamento abierto, Gobierno abierto, Gobierno digital y Justicia abierta, respectivamente, mismos que estarán orientados a la transparencia, la participación ciudadana, la rendición de cuentas y el uso de tecnologías de la información y comunicaciones en los términos de sus respectivas leyes orgánicas.</w:t>
      </w:r>
    </w:p>
    <w:p w14:paraId="376BC0F7" w14:textId="77777777" w:rsidR="00421154" w:rsidRPr="00DD5A7D" w:rsidRDefault="00421154" w:rsidP="00421154">
      <w:pPr>
        <w:pStyle w:val="Prrafodelista"/>
        <w:widowControl w:val="0"/>
        <w:tabs>
          <w:tab w:val="left" w:pos="663"/>
        </w:tabs>
        <w:spacing w:before="57"/>
        <w:ind w:left="0"/>
        <w:jc w:val="both"/>
        <w:rPr>
          <w:rFonts w:ascii="Abadi" w:eastAsia="Batang" w:hAnsi="Abadi" w:cs="Arial"/>
          <w:sz w:val="21"/>
          <w:szCs w:val="21"/>
        </w:rPr>
      </w:pPr>
    </w:p>
    <w:p w14:paraId="3BD6A344" w14:textId="77777777" w:rsidR="00421154" w:rsidRPr="00DD5A7D" w:rsidRDefault="00421154" w:rsidP="00421154">
      <w:pPr>
        <w:pStyle w:val="Prrafodelista"/>
        <w:widowControl w:val="0"/>
        <w:tabs>
          <w:tab w:val="left" w:pos="663"/>
        </w:tabs>
        <w:spacing w:before="57"/>
        <w:jc w:val="both"/>
        <w:rPr>
          <w:rFonts w:ascii="Abadi" w:eastAsia="Batang" w:hAnsi="Abadi" w:cs="Arial"/>
          <w:sz w:val="21"/>
          <w:szCs w:val="21"/>
        </w:rPr>
      </w:pPr>
      <w:r w:rsidRPr="00DD5A7D">
        <w:rPr>
          <w:rFonts w:ascii="Abadi" w:eastAsia="Batang" w:hAnsi="Abadi" w:cs="Arial"/>
          <w:b/>
          <w:bCs/>
          <w:sz w:val="21"/>
          <w:szCs w:val="21"/>
        </w:rPr>
        <w:t>Artículo 117.</w:t>
      </w:r>
      <w:r w:rsidRPr="00DD5A7D">
        <w:rPr>
          <w:rFonts w:ascii="Abadi" w:eastAsia="Batang" w:hAnsi="Abadi" w:cs="Arial"/>
          <w:sz w:val="21"/>
          <w:szCs w:val="21"/>
        </w:rPr>
        <w:t xml:space="preserve"> A los Ayuntamientos ... </w:t>
      </w:r>
    </w:p>
    <w:p w14:paraId="34423D59" w14:textId="77777777" w:rsidR="00421154" w:rsidRPr="00DD5A7D" w:rsidRDefault="00421154" w:rsidP="00421154">
      <w:pPr>
        <w:pStyle w:val="Prrafodelista"/>
        <w:widowControl w:val="0"/>
        <w:tabs>
          <w:tab w:val="left" w:pos="663"/>
        </w:tabs>
        <w:spacing w:before="57"/>
        <w:jc w:val="both"/>
        <w:rPr>
          <w:rFonts w:ascii="Abadi" w:eastAsia="Batang" w:hAnsi="Abadi" w:cs="Arial"/>
          <w:b/>
          <w:bCs/>
          <w:sz w:val="21"/>
          <w:szCs w:val="21"/>
        </w:rPr>
      </w:pPr>
    </w:p>
    <w:p w14:paraId="6C384A68" w14:textId="77777777" w:rsidR="00421154" w:rsidRPr="00DD5A7D" w:rsidRDefault="00421154" w:rsidP="00421154">
      <w:pPr>
        <w:pStyle w:val="Prrafodelista"/>
        <w:widowControl w:val="0"/>
        <w:tabs>
          <w:tab w:val="left" w:pos="663"/>
        </w:tabs>
        <w:spacing w:before="57"/>
        <w:jc w:val="both"/>
        <w:rPr>
          <w:rFonts w:ascii="Abadi" w:eastAsia="Batang" w:hAnsi="Abadi" w:cs="Arial"/>
          <w:sz w:val="21"/>
          <w:szCs w:val="21"/>
        </w:rPr>
      </w:pPr>
      <w:r w:rsidRPr="00DD5A7D">
        <w:rPr>
          <w:rFonts w:ascii="Abadi" w:eastAsia="Batang" w:hAnsi="Abadi" w:cs="Arial"/>
          <w:b/>
          <w:bCs/>
          <w:sz w:val="21"/>
          <w:szCs w:val="21"/>
        </w:rPr>
        <w:t>I</w:t>
      </w:r>
      <w:r w:rsidRPr="00DD5A7D">
        <w:rPr>
          <w:rFonts w:ascii="Abadi" w:eastAsia="Batang" w:hAnsi="Abadi" w:cs="Arial"/>
          <w:sz w:val="21"/>
          <w:szCs w:val="21"/>
        </w:rPr>
        <w:t xml:space="preserve"> a </w:t>
      </w:r>
      <w:r w:rsidRPr="00DD5A7D">
        <w:rPr>
          <w:rFonts w:ascii="Abadi" w:eastAsia="Batang" w:hAnsi="Abadi" w:cs="Arial"/>
          <w:b/>
          <w:bCs/>
          <w:sz w:val="21"/>
          <w:szCs w:val="21"/>
        </w:rPr>
        <w:t>XVII.</w:t>
      </w:r>
      <w:r w:rsidRPr="00DD5A7D">
        <w:rPr>
          <w:rFonts w:ascii="Abadi" w:eastAsia="Batang" w:hAnsi="Abadi" w:cs="Arial"/>
          <w:sz w:val="21"/>
          <w:szCs w:val="21"/>
        </w:rPr>
        <w:t xml:space="preserve"> ... </w:t>
      </w:r>
    </w:p>
    <w:p w14:paraId="468B7822" w14:textId="77777777" w:rsidR="00421154" w:rsidRPr="00DD5A7D" w:rsidRDefault="00421154" w:rsidP="00421154">
      <w:pPr>
        <w:pStyle w:val="Prrafodelista"/>
        <w:widowControl w:val="0"/>
        <w:tabs>
          <w:tab w:val="left" w:pos="663"/>
        </w:tabs>
        <w:spacing w:before="57"/>
        <w:jc w:val="both"/>
        <w:rPr>
          <w:rFonts w:ascii="Abadi" w:eastAsia="Batang" w:hAnsi="Abadi" w:cs="Arial"/>
          <w:sz w:val="21"/>
          <w:szCs w:val="21"/>
        </w:rPr>
      </w:pPr>
    </w:p>
    <w:p w14:paraId="6F8C9008" w14:textId="77777777" w:rsidR="00421154" w:rsidRPr="00DD5A7D" w:rsidRDefault="00421154" w:rsidP="00421154">
      <w:pPr>
        <w:pStyle w:val="Prrafodelista"/>
        <w:widowControl w:val="0"/>
        <w:tabs>
          <w:tab w:val="left" w:pos="663"/>
        </w:tabs>
        <w:spacing w:before="57"/>
        <w:jc w:val="both"/>
        <w:rPr>
          <w:rFonts w:ascii="Abadi" w:eastAsia="Batang" w:hAnsi="Abadi" w:cs="Arial"/>
          <w:sz w:val="21"/>
          <w:szCs w:val="21"/>
        </w:rPr>
      </w:pPr>
      <w:r w:rsidRPr="00DD5A7D">
        <w:rPr>
          <w:rFonts w:ascii="Abadi" w:eastAsia="Batang" w:hAnsi="Abadi" w:cs="Arial"/>
          <w:sz w:val="21"/>
          <w:szCs w:val="21"/>
        </w:rPr>
        <w:t xml:space="preserve">La justicia administrativa... </w:t>
      </w:r>
    </w:p>
    <w:p w14:paraId="7E7E8162" w14:textId="77777777" w:rsidR="00421154" w:rsidRPr="00DD5A7D" w:rsidRDefault="00421154" w:rsidP="00421154">
      <w:pPr>
        <w:pStyle w:val="Prrafodelista"/>
        <w:widowControl w:val="0"/>
        <w:tabs>
          <w:tab w:val="left" w:pos="663"/>
        </w:tabs>
        <w:spacing w:before="57"/>
        <w:jc w:val="both"/>
        <w:rPr>
          <w:rFonts w:ascii="Abadi" w:eastAsia="Batang" w:hAnsi="Abadi" w:cs="Arial"/>
          <w:sz w:val="21"/>
          <w:szCs w:val="21"/>
        </w:rPr>
      </w:pPr>
    </w:p>
    <w:p w14:paraId="56367DD1" w14:textId="77777777" w:rsidR="00421154" w:rsidRPr="00DD5A7D" w:rsidRDefault="00421154" w:rsidP="00421154">
      <w:pPr>
        <w:pStyle w:val="Prrafodelista"/>
        <w:widowControl w:val="0"/>
        <w:tabs>
          <w:tab w:val="left" w:pos="663"/>
        </w:tabs>
        <w:spacing w:before="57"/>
        <w:jc w:val="both"/>
        <w:rPr>
          <w:rFonts w:ascii="Abadi" w:eastAsia="Batang" w:hAnsi="Abadi" w:cs="Arial"/>
          <w:sz w:val="21"/>
          <w:szCs w:val="21"/>
        </w:rPr>
      </w:pPr>
      <w:r w:rsidRPr="00DD5A7D">
        <w:rPr>
          <w:rFonts w:ascii="Abadi" w:eastAsia="Batang" w:hAnsi="Abadi" w:cs="Arial"/>
          <w:sz w:val="21"/>
          <w:szCs w:val="21"/>
        </w:rPr>
        <w:t xml:space="preserve">Los reglamentos y... </w:t>
      </w:r>
    </w:p>
    <w:p w14:paraId="0385A674" w14:textId="77777777" w:rsidR="00421154" w:rsidRPr="00DD5A7D" w:rsidRDefault="00421154" w:rsidP="00421154">
      <w:pPr>
        <w:pStyle w:val="Prrafodelista"/>
        <w:widowControl w:val="0"/>
        <w:tabs>
          <w:tab w:val="left" w:pos="663"/>
        </w:tabs>
        <w:spacing w:before="57"/>
        <w:jc w:val="both"/>
        <w:rPr>
          <w:rFonts w:ascii="Abadi" w:eastAsia="Batang" w:hAnsi="Abadi" w:cs="Arial"/>
          <w:sz w:val="21"/>
          <w:szCs w:val="21"/>
        </w:rPr>
      </w:pPr>
    </w:p>
    <w:p w14:paraId="394F565B" w14:textId="77777777" w:rsidR="00421154" w:rsidRPr="00DD5A7D" w:rsidRDefault="00421154" w:rsidP="00421154">
      <w:pPr>
        <w:pStyle w:val="Prrafodelista"/>
        <w:widowControl w:val="0"/>
        <w:tabs>
          <w:tab w:val="left" w:pos="663"/>
        </w:tabs>
        <w:spacing w:before="57"/>
        <w:jc w:val="both"/>
        <w:rPr>
          <w:rFonts w:ascii="Abadi" w:eastAsia="Batang" w:hAnsi="Abadi" w:cs="Arial"/>
          <w:sz w:val="21"/>
          <w:szCs w:val="21"/>
        </w:rPr>
      </w:pPr>
      <w:r w:rsidRPr="00DD5A7D">
        <w:rPr>
          <w:rFonts w:ascii="Abadi" w:eastAsia="Batang" w:hAnsi="Abadi" w:cs="Arial"/>
          <w:sz w:val="21"/>
          <w:szCs w:val="21"/>
        </w:rPr>
        <w:t xml:space="preserve">Además de los... </w:t>
      </w:r>
    </w:p>
    <w:p w14:paraId="33B0ACF6" w14:textId="77777777" w:rsidR="00421154" w:rsidRPr="00DD5A7D" w:rsidRDefault="00421154" w:rsidP="00421154">
      <w:pPr>
        <w:pStyle w:val="Prrafodelista"/>
        <w:widowControl w:val="0"/>
        <w:tabs>
          <w:tab w:val="left" w:pos="663"/>
        </w:tabs>
        <w:spacing w:before="57"/>
        <w:jc w:val="both"/>
        <w:rPr>
          <w:rFonts w:ascii="Abadi" w:eastAsia="Batang" w:hAnsi="Abadi" w:cs="Arial"/>
          <w:sz w:val="21"/>
          <w:szCs w:val="21"/>
        </w:rPr>
      </w:pPr>
    </w:p>
    <w:p w14:paraId="1BE83349" w14:textId="77777777" w:rsidR="00421154" w:rsidRPr="00DD5A7D" w:rsidRDefault="00421154" w:rsidP="00421154">
      <w:pPr>
        <w:pStyle w:val="Prrafodelista"/>
        <w:widowControl w:val="0"/>
        <w:tabs>
          <w:tab w:val="left" w:pos="663"/>
        </w:tabs>
        <w:spacing w:before="57"/>
        <w:jc w:val="both"/>
        <w:rPr>
          <w:rFonts w:ascii="Abadi" w:eastAsia="Batang" w:hAnsi="Abadi" w:cs="Arial"/>
          <w:sz w:val="21"/>
          <w:szCs w:val="21"/>
        </w:rPr>
      </w:pPr>
      <w:r w:rsidRPr="00DD5A7D">
        <w:rPr>
          <w:rFonts w:ascii="Abadi" w:eastAsia="Batang" w:hAnsi="Abadi" w:cs="Arial"/>
          <w:sz w:val="21"/>
          <w:szCs w:val="21"/>
        </w:rPr>
        <w:t xml:space="preserve">Dentro de los... </w:t>
      </w:r>
    </w:p>
    <w:p w14:paraId="360429CC" w14:textId="77777777" w:rsidR="00421154" w:rsidRPr="00DD5A7D" w:rsidRDefault="00421154" w:rsidP="00421154">
      <w:pPr>
        <w:pStyle w:val="Prrafodelista"/>
        <w:widowControl w:val="0"/>
        <w:tabs>
          <w:tab w:val="left" w:pos="663"/>
        </w:tabs>
        <w:spacing w:before="57"/>
        <w:jc w:val="both"/>
        <w:rPr>
          <w:rFonts w:ascii="Abadi" w:eastAsia="Batang" w:hAnsi="Abadi" w:cs="Arial"/>
          <w:sz w:val="21"/>
          <w:szCs w:val="21"/>
        </w:rPr>
      </w:pPr>
    </w:p>
    <w:p w14:paraId="58C44C60" w14:textId="77777777" w:rsidR="00421154" w:rsidRPr="00DD5A7D" w:rsidRDefault="00421154" w:rsidP="00421154">
      <w:pPr>
        <w:pStyle w:val="Prrafodelista"/>
        <w:widowControl w:val="0"/>
        <w:tabs>
          <w:tab w:val="left" w:pos="663"/>
        </w:tabs>
        <w:spacing w:before="57"/>
        <w:jc w:val="both"/>
        <w:rPr>
          <w:rFonts w:ascii="Abadi" w:eastAsia="Batang" w:hAnsi="Abadi" w:cs="Arial"/>
          <w:sz w:val="21"/>
          <w:szCs w:val="21"/>
        </w:rPr>
      </w:pPr>
      <w:r w:rsidRPr="00DD5A7D">
        <w:rPr>
          <w:rFonts w:ascii="Abadi" w:eastAsia="Batang" w:hAnsi="Abadi" w:cs="Arial"/>
          <w:sz w:val="21"/>
          <w:szCs w:val="21"/>
        </w:rPr>
        <w:t xml:space="preserve">Salvo en el... </w:t>
      </w:r>
    </w:p>
    <w:p w14:paraId="7DB2F3D6" w14:textId="77777777" w:rsidR="00421154" w:rsidRPr="00DD5A7D" w:rsidRDefault="00421154" w:rsidP="00421154">
      <w:pPr>
        <w:pStyle w:val="Prrafodelista"/>
        <w:widowControl w:val="0"/>
        <w:tabs>
          <w:tab w:val="left" w:pos="663"/>
        </w:tabs>
        <w:spacing w:before="57"/>
        <w:ind w:left="0"/>
        <w:jc w:val="both"/>
        <w:rPr>
          <w:rFonts w:ascii="Abadi" w:eastAsia="Batang" w:hAnsi="Abadi" w:cs="Arial"/>
          <w:sz w:val="21"/>
          <w:szCs w:val="21"/>
        </w:rPr>
      </w:pPr>
      <w:r w:rsidRPr="00DD5A7D">
        <w:rPr>
          <w:rFonts w:ascii="Abadi" w:eastAsia="Batang" w:hAnsi="Abadi" w:cs="Arial"/>
          <w:sz w:val="21"/>
          <w:szCs w:val="21"/>
        </w:rPr>
        <w:tab/>
      </w:r>
    </w:p>
    <w:p w14:paraId="55414756" w14:textId="77777777" w:rsidR="00421154" w:rsidRPr="00DD5A7D" w:rsidRDefault="00421154" w:rsidP="00421154">
      <w:pPr>
        <w:pStyle w:val="Prrafodelista"/>
        <w:widowControl w:val="0"/>
        <w:tabs>
          <w:tab w:val="left" w:pos="663"/>
        </w:tabs>
        <w:spacing w:before="57"/>
        <w:ind w:left="0"/>
        <w:jc w:val="both"/>
        <w:rPr>
          <w:rFonts w:ascii="Abadi" w:eastAsia="Batang" w:hAnsi="Abadi" w:cs="Arial"/>
          <w:sz w:val="21"/>
          <w:szCs w:val="21"/>
        </w:rPr>
      </w:pPr>
      <w:r w:rsidRPr="00DD5A7D">
        <w:rPr>
          <w:rFonts w:ascii="Abadi" w:eastAsia="Batang" w:hAnsi="Abadi" w:cs="Arial"/>
          <w:sz w:val="21"/>
          <w:szCs w:val="21"/>
        </w:rPr>
        <w:tab/>
        <w:t xml:space="preserve"> Si el resultado...</w:t>
      </w:r>
    </w:p>
    <w:p w14:paraId="445A8BFA" w14:textId="77777777" w:rsidR="00421154" w:rsidRPr="00DD5A7D" w:rsidRDefault="00421154" w:rsidP="00421154">
      <w:pPr>
        <w:pStyle w:val="Prrafodelista"/>
        <w:widowControl w:val="0"/>
        <w:tabs>
          <w:tab w:val="left" w:pos="663"/>
        </w:tabs>
        <w:spacing w:before="57"/>
        <w:ind w:left="0"/>
        <w:jc w:val="both"/>
        <w:rPr>
          <w:rFonts w:ascii="Abadi" w:eastAsia="Batang" w:hAnsi="Abadi" w:cs="Arial"/>
          <w:sz w:val="21"/>
          <w:szCs w:val="21"/>
        </w:rPr>
      </w:pPr>
      <w:r w:rsidRPr="00DD5A7D">
        <w:rPr>
          <w:rFonts w:ascii="Abadi" w:hAnsi="Abadi" w:cs="Arial"/>
          <w:sz w:val="21"/>
          <w:szCs w:val="21"/>
        </w:rPr>
        <w:tab/>
      </w:r>
      <w:r w:rsidRPr="00DD5A7D">
        <w:rPr>
          <w:rFonts w:ascii="Abadi" w:hAnsi="Abadi" w:cs="Arial"/>
          <w:sz w:val="21"/>
          <w:szCs w:val="21"/>
        </w:rPr>
        <w:tab/>
      </w:r>
      <w:r w:rsidRPr="00DD5A7D">
        <w:rPr>
          <w:rFonts w:ascii="Abadi" w:eastAsia="Batang" w:hAnsi="Abadi" w:cs="Arial"/>
          <w:sz w:val="21"/>
          <w:szCs w:val="21"/>
        </w:rPr>
        <w:t>Los Ayuntamientos se regirán por los principios de Gobierno Abierto y Gobierno Digital, en términos de su Ley Orgánica.»</w:t>
      </w:r>
    </w:p>
    <w:p w14:paraId="60B8D893" w14:textId="77777777" w:rsidR="00421154" w:rsidRPr="00DD5A7D" w:rsidRDefault="00421154" w:rsidP="00421154">
      <w:pPr>
        <w:pStyle w:val="Prrafodelista"/>
        <w:widowControl w:val="0"/>
        <w:tabs>
          <w:tab w:val="left" w:pos="663"/>
        </w:tabs>
        <w:spacing w:before="57"/>
        <w:ind w:left="0"/>
        <w:jc w:val="both"/>
        <w:rPr>
          <w:rFonts w:ascii="Abadi" w:hAnsi="Abadi" w:cs="Arial"/>
          <w:sz w:val="21"/>
          <w:szCs w:val="21"/>
        </w:rPr>
      </w:pPr>
    </w:p>
    <w:p w14:paraId="2E5968AE" w14:textId="77777777" w:rsidR="00421154" w:rsidRPr="00DD5A7D" w:rsidRDefault="00421154" w:rsidP="00421154">
      <w:pPr>
        <w:pStyle w:val="Prrafodelista"/>
        <w:widowControl w:val="0"/>
        <w:tabs>
          <w:tab w:val="left" w:pos="663"/>
        </w:tabs>
        <w:spacing w:before="57"/>
        <w:ind w:left="0"/>
        <w:jc w:val="center"/>
        <w:rPr>
          <w:rFonts w:ascii="Abadi" w:hAnsi="Abadi" w:cs="Arial"/>
          <w:b/>
          <w:bCs/>
          <w:sz w:val="21"/>
          <w:szCs w:val="21"/>
        </w:rPr>
      </w:pPr>
      <w:r w:rsidRPr="00DD5A7D">
        <w:rPr>
          <w:rFonts w:ascii="Abadi" w:hAnsi="Abadi" w:cs="Arial"/>
          <w:b/>
          <w:bCs/>
          <w:sz w:val="21"/>
          <w:szCs w:val="21"/>
        </w:rPr>
        <w:t>TRANSITORIOS</w:t>
      </w:r>
    </w:p>
    <w:p w14:paraId="3711968E" w14:textId="77777777" w:rsidR="00421154" w:rsidRPr="00DD5A7D" w:rsidRDefault="00421154" w:rsidP="00421154">
      <w:pPr>
        <w:pStyle w:val="Prrafodelista"/>
        <w:widowControl w:val="0"/>
        <w:tabs>
          <w:tab w:val="left" w:pos="663"/>
        </w:tabs>
        <w:spacing w:before="57"/>
        <w:ind w:left="0"/>
        <w:jc w:val="center"/>
        <w:rPr>
          <w:rFonts w:ascii="Abadi" w:hAnsi="Abadi" w:cs="Arial"/>
          <w:b/>
          <w:bCs/>
          <w:sz w:val="21"/>
          <w:szCs w:val="21"/>
        </w:rPr>
      </w:pPr>
    </w:p>
    <w:p w14:paraId="38C99A08" w14:textId="77777777" w:rsidR="00421154" w:rsidRPr="00DD5A7D" w:rsidRDefault="00421154" w:rsidP="00421154">
      <w:pPr>
        <w:pStyle w:val="Prrafodelista"/>
        <w:widowControl w:val="0"/>
        <w:tabs>
          <w:tab w:val="left" w:pos="663"/>
        </w:tabs>
        <w:spacing w:before="57"/>
        <w:ind w:left="0"/>
        <w:jc w:val="both"/>
        <w:rPr>
          <w:rFonts w:ascii="Abadi" w:hAnsi="Abadi" w:cs="Arial"/>
          <w:sz w:val="21"/>
          <w:szCs w:val="21"/>
        </w:rPr>
      </w:pPr>
      <w:r w:rsidRPr="00DD5A7D">
        <w:rPr>
          <w:rFonts w:ascii="Abadi" w:hAnsi="Abadi" w:cs="Arial"/>
          <w:b/>
          <w:bCs/>
          <w:sz w:val="21"/>
          <w:szCs w:val="21"/>
        </w:rPr>
        <w:lastRenderedPageBreak/>
        <w:tab/>
        <w:t>Artículo Primero.</w:t>
      </w:r>
      <w:r w:rsidRPr="00DD5A7D">
        <w:rPr>
          <w:rFonts w:ascii="Abadi" w:hAnsi="Abadi" w:cs="Arial"/>
          <w:sz w:val="21"/>
          <w:szCs w:val="21"/>
        </w:rPr>
        <w:t xml:space="preserve"> El presente decreto entrará en vigor el día siguiente al de su publicación en el Periódico Oficial del Gobierno del Estado de Guanajuato.</w:t>
      </w:r>
    </w:p>
    <w:p w14:paraId="2926F395" w14:textId="77777777" w:rsidR="00421154" w:rsidRPr="00DD5A7D" w:rsidRDefault="00421154" w:rsidP="00421154">
      <w:pPr>
        <w:pStyle w:val="Prrafodelista"/>
        <w:widowControl w:val="0"/>
        <w:tabs>
          <w:tab w:val="left" w:pos="663"/>
        </w:tabs>
        <w:spacing w:before="57"/>
        <w:ind w:left="0"/>
        <w:jc w:val="both"/>
        <w:rPr>
          <w:rFonts w:ascii="Abadi" w:hAnsi="Abadi" w:cs="Arial"/>
          <w:sz w:val="21"/>
          <w:szCs w:val="21"/>
        </w:rPr>
      </w:pPr>
    </w:p>
    <w:p w14:paraId="565B6A54" w14:textId="77777777" w:rsidR="00421154" w:rsidRPr="00DD5A7D" w:rsidRDefault="00421154" w:rsidP="00421154">
      <w:pPr>
        <w:pStyle w:val="Textoindependiente"/>
        <w:spacing w:line="276" w:lineRule="auto"/>
        <w:ind w:firstLine="708"/>
        <w:rPr>
          <w:rFonts w:ascii="Abadi" w:eastAsia="Calibri" w:hAnsi="Abadi"/>
          <w:sz w:val="21"/>
          <w:szCs w:val="21"/>
          <w:lang w:val="es-MX" w:eastAsia="en-US"/>
        </w:rPr>
      </w:pPr>
      <w:r w:rsidRPr="00DD5A7D">
        <w:rPr>
          <w:rFonts w:ascii="Abadi" w:eastAsia="Calibri" w:hAnsi="Abadi"/>
          <w:b w:val="0"/>
          <w:bCs w:val="0"/>
          <w:sz w:val="21"/>
          <w:szCs w:val="21"/>
          <w:lang w:val="es-MX" w:eastAsia="en-US"/>
        </w:rPr>
        <w:t>Artículo Segundo</w:t>
      </w:r>
      <w:r w:rsidRPr="003A358F">
        <w:rPr>
          <w:rFonts w:ascii="Abadi" w:eastAsia="Calibri" w:hAnsi="Abadi"/>
          <w:b w:val="0"/>
          <w:bCs w:val="0"/>
          <w:sz w:val="21"/>
          <w:szCs w:val="21"/>
          <w:lang w:val="es-MX" w:eastAsia="en-US"/>
        </w:rPr>
        <w:t>.</w:t>
      </w:r>
      <w:r w:rsidRPr="003A358F">
        <w:rPr>
          <w:rFonts w:ascii="Abadi" w:eastAsia="Batang" w:hAnsi="Abadi"/>
          <w:b w:val="0"/>
          <w:bCs w:val="0"/>
          <w:i/>
          <w:iCs/>
          <w:sz w:val="21"/>
          <w:szCs w:val="21"/>
          <w:lang w:val="es-MX" w:eastAsia="en-US"/>
        </w:rPr>
        <w:t xml:space="preserve"> </w:t>
      </w:r>
      <w:r w:rsidRPr="003A358F">
        <w:rPr>
          <w:rFonts w:ascii="Abadi" w:eastAsia="Calibri" w:hAnsi="Abadi"/>
          <w:b w:val="0"/>
          <w:bCs w:val="0"/>
          <w:sz w:val="21"/>
          <w:szCs w:val="21"/>
          <w:lang w:val="es-MX" w:eastAsia="en-US"/>
        </w:rPr>
        <w:t>Los poderes públicos del estado y los municipios deberán destinar, de manera progresiva y de conformidad con la disponibilidad presupuestaria, los recursos que permitan cumplir con las disposiciones del presente decreto.</w:t>
      </w:r>
    </w:p>
    <w:p w14:paraId="0C0AF222" w14:textId="77777777" w:rsidR="00421154" w:rsidRPr="00DD5A7D" w:rsidRDefault="00421154" w:rsidP="00421154">
      <w:pPr>
        <w:jc w:val="center"/>
        <w:rPr>
          <w:rFonts w:ascii="Abadi" w:eastAsia="Arial Unicode MS" w:hAnsi="Abadi"/>
          <w:b/>
          <w:bCs/>
          <w:sz w:val="21"/>
          <w:szCs w:val="21"/>
        </w:rPr>
      </w:pPr>
    </w:p>
    <w:p w14:paraId="1AF7BF1F" w14:textId="77777777" w:rsidR="00421154" w:rsidRPr="00DD5A7D" w:rsidRDefault="00421154" w:rsidP="00421154">
      <w:pPr>
        <w:jc w:val="center"/>
        <w:rPr>
          <w:rFonts w:ascii="Abadi" w:eastAsia="Arial Unicode MS" w:hAnsi="Abadi"/>
          <w:b/>
          <w:bCs/>
          <w:sz w:val="21"/>
          <w:szCs w:val="21"/>
        </w:rPr>
      </w:pPr>
      <w:r w:rsidRPr="00DD5A7D">
        <w:rPr>
          <w:rFonts w:ascii="Abadi" w:eastAsia="Arial Unicode MS" w:hAnsi="Abadi"/>
          <w:b/>
          <w:bCs/>
          <w:sz w:val="21"/>
          <w:szCs w:val="21"/>
        </w:rPr>
        <w:t>GUANAJUATO, GTO., A 21 DE JUNIO DE 2022</w:t>
      </w:r>
    </w:p>
    <w:p w14:paraId="2D6BC7A7" w14:textId="77777777" w:rsidR="00421154" w:rsidRPr="00DD5A7D" w:rsidRDefault="00421154" w:rsidP="00421154">
      <w:pPr>
        <w:jc w:val="center"/>
        <w:rPr>
          <w:rFonts w:ascii="Abadi" w:eastAsia="Arial Unicode MS" w:hAnsi="Abadi"/>
          <w:b/>
          <w:bCs/>
          <w:sz w:val="21"/>
          <w:szCs w:val="21"/>
        </w:rPr>
      </w:pPr>
      <w:r w:rsidRPr="00DD5A7D">
        <w:rPr>
          <w:rFonts w:ascii="Abadi" w:eastAsia="Arial Unicode MS" w:hAnsi="Abadi"/>
          <w:b/>
          <w:bCs/>
          <w:sz w:val="21"/>
          <w:szCs w:val="21"/>
        </w:rPr>
        <w:t>COMISIÓN DE GOBERNACIÓN Y PUNTOS CONSTITUCIONALES</w:t>
      </w:r>
    </w:p>
    <w:p w14:paraId="1AD71EC6" w14:textId="77777777" w:rsidR="00421154" w:rsidRPr="00DD5A7D" w:rsidRDefault="00421154" w:rsidP="00421154">
      <w:pPr>
        <w:jc w:val="both"/>
        <w:rPr>
          <w:rFonts w:ascii="Abadi" w:eastAsia="Arial Unicode MS" w:hAnsi="Abadi"/>
          <w:b/>
          <w:bCs/>
          <w:sz w:val="21"/>
          <w:szCs w:val="21"/>
        </w:rPr>
      </w:pPr>
    </w:p>
    <w:p w14:paraId="49C441E2" w14:textId="77777777" w:rsidR="00421154" w:rsidRPr="00DD5A7D" w:rsidRDefault="00421154" w:rsidP="00421154">
      <w:pPr>
        <w:jc w:val="both"/>
        <w:rPr>
          <w:rFonts w:ascii="Abadi" w:eastAsia="Arial Unicode MS" w:hAnsi="Abadi"/>
          <w:b/>
          <w:bCs/>
          <w:sz w:val="21"/>
          <w:szCs w:val="21"/>
        </w:rPr>
      </w:pPr>
    </w:p>
    <w:p w14:paraId="09205E89" w14:textId="77777777" w:rsidR="00421154" w:rsidRPr="00DD5A7D" w:rsidRDefault="00421154" w:rsidP="00421154">
      <w:pPr>
        <w:jc w:val="both"/>
        <w:rPr>
          <w:rFonts w:ascii="Abadi" w:eastAsia="Arial Unicode MS" w:hAnsi="Abadi"/>
          <w:b/>
          <w:bCs/>
          <w:sz w:val="21"/>
          <w:szCs w:val="21"/>
        </w:rPr>
      </w:pPr>
    </w:p>
    <w:p w14:paraId="39D762AB" w14:textId="77777777" w:rsidR="00421154" w:rsidRPr="00DD5A7D" w:rsidRDefault="00421154" w:rsidP="00421154">
      <w:pPr>
        <w:jc w:val="both"/>
        <w:rPr>
          <w:rFonts w:ascii="Abadi" w:eastAsia="Arial Unicode MS" w:hAnsi="Abadi"/>
          <w:b/>
          <w:bCs/>
          <w:sz w:val="21"/>
          <w:szCs w:val="21"/>
        </w:rPr>
      </w:pPr>
      <w:r w:rsidRPr="00DD5A7D">
        <w:rPr>
          <w:rFonts w:ascii="Abadi" w:eastAsia="Arial Unicode MS" w:hAnsi="Abadi"/>
          <w:b/>
          <w:bCs/>
          <w:sz w:val="21"/>
          <w:szCs w:val="21"/>
        </w:rPr>
        <w:t>Dip. Susana Bermúdez Cano</w:t>
      </w:r>
    </w:p>
    <w:p w14:paraId="16F11D1B" w14:textId="77777777" w:rsidR="00421154" w:rsidRPr="00DD5A7D" w:rsidRDefault="00421154" w:rsidP="00421154">
      <w:pPr>
        <w:jc w:val="both"/>
        <w:rPr>
          <w:rFonts w:ascii="Abadi" w:eastAsia="Arial Unicode MS" w:hAnsi="Abadi"/>
          <w:b/>
          <w:bCs/>
          <w:sz w:val="21"/>
          <w:szCs w:val="21"/>
        </w:rPr>
      </w:pPr>
      <w:r w:rsidRPr="00DD5A7D">
        <w:rPr>
          <w:rFonts w:ascii="Abadi" w:hAnsi="Abadi" w:cs="Arial"/>
          <w:b/>
          <w:bCs/>
          <w:sz w:val="21"/>
          <w:szCs w:val="21"/>
        </w:rPr>
        <w:t>Dip. Laura Cristina Márquez Alcalá</w:t>
      </w:r>
    </w:p>
    <w:p w14:paraId="3AF64643" w14:textId="77777777" w:rsidR="00421154" w:rsidRPr="00DD5A7D" w:rsidRDefault="00421154" w:rsidP="00421154">
      <w:pPr>
        <w:spacing w:line="360" w:lineRule="auto"/>
        <w:ind w:right="-434"/>
        <w:rPr>
          <w:rFonts w:ascii="Abadi" w:hAnsi="Abadi" w:cs="Arial"/>
          <w:b/>
          <w:bCs/>
          <w:sz w:val="21"/>
          <w:szCs w:val="21"/>
        </w:rPr>
      </w:pPr>
      <w:r w:rsidRPr="00DD5A7D">
        <w:rPr>
          <w:rFonts w:ascii="Abadi" w:hAnsi="Abadi" w:cs="Arial"/>
          <w:b/>
          <w:bCs/>
          <w:sz w:val="21"/>
          <w:szCs w:val="21"/>
        </w:rPr>
        <w:t>Dip. Briseida Anabel Magdaleno González</w:t>
      </w:r>
    </w:p>
    <w:p w14:paraId="14F24DB0" w14:textId="77777777" w:rsidR="00421154" w:rsidRPr="00DD5A7D" w:rsidRDefault="00421154" w:rsidP="00421154">
      <w:pPr>
        <w:spacing w:line="360" w:lineRule="auto"/>
        <w:ind w:right="-434"/>
        <w:rPr>
          <w:rFonts w:ascii="Abadi" w:hAnsi="Abadi" w:cs="Arial"/>
          <w:b/>
          <w:bCs/>
          <w:sz w:val="21"/>
          <w:szCs w:val="21"/>
        </w:rPr>
      </w:pPr>
      <w:r w:rsidRPr="00DD5A7D">
        <w:rPr>
          <w:rFonts w:ascii="Abadi" w:hAnsi="Abadi" w:cs="Arial"/>
          <w:b/>
          <w:bCs/>
          <w:sz w:val="21"/>
          <w:szCs w:val="21"/>
        </w:rPr>
        <w:t xml:space="preserve">Dip. Alma Edwviges Alcaraz Hernández </w:t>
      </w:r>
    </w:p>
    <w:p w14:paraId="2E9B0825" w14:textId="77777777" w:rsidR="00421154" w:rsidRPr="00DD5A7D" w:rsidRDefault="00421154" w:rsidP="00421154">
      <w:pPr>
        <w:spacing w:line="360" w:lineRule="auto"/>
        <w:ind w:right="-434"/>
        <w:rPr>
          <w:rFonts w:ascii="Abadi" w:hAnsi="Abadi" w:cs="Arial"/>
          <w:b/>
          <w:bCs/>
          <w:sz w:val="21"/>
          <w:szCs w:val="21"/>
        </w:rPr>
      </w:pPr>
      <w:r w:rsidRPr="00DD5A7D">
        <w:rPr>
          <w:rFonts w:ascii="Abadi" w:hAnsi="Abadi" w:cs="Arial"/>
          <w:b/>
          <w:bCs/>
          <w:sz w:val="21"/>
          <w:szCs w:val="21"/>
        </w:rPr>
        <w:t>Dip. Yulma Rocha Aguilar</w:t>
      </w:r>
    </w:p>
    <w:p w14:paraId="0C94378E" w14:textId="77777777" w:rsidR="00421154" w:rsidRPr="00DD5A7D" w:rsidRDefault="00421154" w:rsidP="00421154">
      <w:pPr>
        <w:spacing w:line="360" w:lineRule="auto"/>
        <w:ind w:right="-434"/>
        <w:rPr>
          <w:rFonts w:ascii="Abadi" w:hAnsi="Abadi" w:cs="Arial"/>
          <w:b/>
          <w:bCs/>
          <w:sz w:val="21"/>
          <w:szCs w:val="21"/>
        </w:rPr>
      </w:pPr>
      <w:r w:rsidRPr="00DD5A7D">
        <w:rPr>
          <w:rFonts w:ascii="Abadi" w:hAnsi="Abadi" w:cs="Arial"/>
          <w:b/>
          <w:bCs/>
          <w:sz w:val="21"/>
          <w:szCs w:val="21"/>
        </w:rPr>
        <w:t>Dip. Rolando Fortino Alcántar Rojas</w:t>
      </w:r>
    </w:p>
    <w:p w14:paraId="2D23FA56" w14:textId="77777777" w:rsidR="00421154" w:rsidRPr="00DD5A7D" w:rsidRDefault="00421154" w:rsidP="00421154">
      <w:pPr>
        <w:jc w:val="both"/>
        <w:rPr>
          <w:rFonts w:ascii="Abadi" w:eastAsia="Arial Unicode MS" w:hAnsi="Abadi"/>
          <w:b/>
          <w:bCs/>
          <w:sz w:val="21"/>
          <w:szCs w:val="21"/>
        </w:rPr>
      </w:pPr>
      <w:r w:rsidRPr="00DD5A7D">
        <w:rPr>
          <w:rFonts w:ascii="Abadi" w:hAnsi="Abadi" w:cs="Arial"/>
          <w:b/>
          <w:bCs/>
          <w:sz w:val="21"/>
          <w:szCs w:val="21"/>
        </w:rPr>
        <w:t>Dip. Gerardo Fernández González</w:t>
      </w:r>
    </w:p>
    <w:p w14:paraId="58476E1D" w14:textId="77777777" w:rsidR="00421154" w:rsidRPr="00DD5A7D" w:rsidRDefault="00421154" w:rsidP="00421154">
      <w:pPr>
        <w:jc w:val="both"/>
        <w:rPr>
          <w:rFonts w:ascii="Abadi" w:eastAsia="Arial Unicode MS" w:hAnsi="Abadi"/>
          <w:b/>
          <w:bCs/>
          <w:sz w:val="21"/>
          <w:szCs w:val="21"/>
        </w:rPr>
      </w:pPr>
      <w:r w:rsidRPr="00DD5A7D">
        <w:rPr>
          <w:rFonts w:ascii="Abadi" w:hAnsi="Abadi" w:cs="Arial"/>
          <w:b/>
          <w:bCs/>
          <w:sz w:val="21"/>
          <w:szCs w:val="21"/>
        </w:rPr>
        <w:t>Dip. Gerardo Fernández González</w:t>
      </w:r>
    </w:p>
    <w:p w14:paraId="1EF34DA8" w14:textId="76F6E6FE" w:rsidR="00E9040D" w:rsidRDefault="00E9040D" w:rsidP="00E9040D">
      <w:pPr>
        <w:rPr>
          <w:rFonts w:ascii="Abadi" w:hAnsi="Abadi"/>
          <w:sz w:val="20"/>
          <w:szCs w:val="20"/>
        </w:rPr>
      </w:pPr>
    </w:p>
    <w:p w14:paraId="79088A9E" w14:textId="77777777" w:rsidR="00E9040D" w:rsidRPr="00E9040D" w:rsidRDefault="00E9040D" w:rsidP="00E9040D">
      <w:pPr>
        <w:rPr>
          <w:rFonts w:ascii="Abadi" w:hAnsi="Abadi"/>
          <w:sz w:val="20"/>
          <w:szCs w:val="20"/>
        </w:rPr>
      </w:pPr>
    </w:p>
    <w:p w14:paraId="5C1272C7" w14:textId="77777777" w:rsidR="00FB0262" w:rsidRPr="00531B12" w:rsidRDefault="00FB0262" w:rsidP="00FB0262">
      <w:pPr>
        <w:pStyle w:val="Prrafodelista"/>
        <w:tabs>
          <w:tab w:val="left" w:pos="856"/>
        </w:tabs>
        <w:kinsoku w:val="0"/>
        <w:overflowPunct w:val="0"/>
        <w:autoSpaceDE w:val="0"/>
        <w:autoSpaceDN w:val="0"/>
        <w:adjustRightInd w:val="0"/>
        <w:ind w:left="720" w:right="17"/>
        <w:jc w:val="both"/>
        <w:rPr>
          <w:rFonts w:ascii="Abadi" w:hAnsi="Abadi"/>
          <w:b/>
          <w:bCs/>
          <w:sz w:val="20"/>
          <w:szCs w:val="20"/>
        </w:rPr>
      </w:pPr>
    </w:p>
    <w:p w14:paraId="163AA685" w14:textId="671AA7CB" w:rsidR="00FB0262" w:rsidRDefault="00FB0262"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78"/>
          <w:w w:val="150"/>
          <w:sz w:val="20"/>
          <w:szCs w:val="20"/>
        </w:rPr>
        <w:t xml:space="preserve"> </w:t>
      </w:r>
      <w:r w:rsidRPr="00531B12">
        <w:rPr>
          <w:rFonts w:ascii="Abadi" w:hAnsi="Abadi"/>
          <w:b/>
          <w:bCs/>
          <w:sz w:val="20"/>
          <w:szCs w:val="20"/>
        </w:rPr>
        <w:t>Y,</w:t>
      </w:r>
      <w:r w:rsidRPr="00531B12">
        <w:rPr>
          <w:rFonts w:ascii="Abadi" w:hAnsi="Abadi"/>
          <w:b/>
          <w:bCs/>
          <w:spacing w:val="78"/>
          <w:w w:val="150"/>
          <w:sz w:val="20"/>
          <w:szCs w:val="20"/>
        </w:rPr>
        <w:t xml:space="preserve"> </w:t>
      </w:r>
      <w:r w:rsidRPr="00531B12">
        <w:rPr>
          <w:rFonts w:ascii="Abadi" w:hAnsi="Abadi"/>
          <w:b/>
          <w:bCs/>
          <w:sz w:val="20"/>
          <w:szCs w:val="20"/>
        </w:rPr>
        <w:t>EN</w:t>
      </w:r>
      <w:r w:rsidRPr="00531B12">
        <w:rPr>
          <w:rFonts w:ascii="Abadi" w:hAnsi="Abadi"/>
          <w:b/>
          <w:bCs/>
          <w:spacing w:val="78"/>
          <w:w w:val="150"/>
          <w:sz w:val="20"/>
          <w:szCs w:val="20"/>
        </w:rPr>
        <w:t xml:space="preserve"> </w:t>
      </w:r>
      <w:r w:rsidRPr="00531B12">
        <w:rPr>
          <w:rFonts w:ascii="Abadi" w:hAnsi="Abadi"/>
          <w:b/>
          <w:bCs/>
          <w:sz w:val="20"/>
          <w:szCs w:val="20"/>
        </w:rPr>
        <w:t>SU</w:t>
      </w:r>
      <w:r w:rsidRPr="00531B12">
        <w:rPr>
          <w:rFonts w:ascii="Abadi" w:hAnsi="Abadi"/>
          <w:b/>
          <w:bCs/>
          <w:spacing w:val="78"/>
          <w:w w:val="150"/>
          <w:sz w:val="20"/>
          <w:szCs w:val="20"/>
        </w:rPr>
        <w:t xml:space="preserve"> </w:t>
      </w:r>
      <w:r w:rsidRPr="00531B12">
        <w:rPr>
          <w:rFonts w:ascii="Abadi" w:hAnsi="Abadi"/>
          <w:b/>
          <w:bCs/>
          <w:sz w:val="20"/>
          <w:szCs w:val="20"/>
        </w:rPr>
        <w:t>CASO,</w:t>
      </w:r>
      <w:r w:rsidRPr="00531B12">
        <w:rPr>
          <w:rFonts w:ascii="Abadi" w:hAnsi="Abadi"/>
          <w:b/>
          <w:bCs/>
          <w:spacing w:val="78"/>
          <w:w w:val="150"/>
          <w:sz w:val="20"/>
          <w:szCs w:val="20"/>
        </w:rPr>
        <w:t xml:space="preserve"> </w:t>
      </w:r>
      <w:r w:rsidRPr="00531B12">
        <w:rPr>
          <w:rFonts w:ascii="Abadi" w:hAnsi="Abadi"/>
          <w:b/>
          <w:bCs/>
          <w:sz w:val="20"/>
          <w:szCs w:val="20"/>
        </w:rPr>
        <w:t>APROBACIÓN</w:t>
      </w:r>
      <w:r w:rsidRPr="00531B12">
        <w:rPr>
          <w:rFonts w:ascii="Abadi" w:hAnsi="Abadi"/>
          <w:b/>
          <w:bCs/>
          <w:spacing w:val="78"/>
          <w:w w:val="150"/>
          <w:sz w:val="20"/>
          <w:szCs w:val="20"/>
        </w:rPr>
        <w:t xml:space="preserve"> </w:t>
      </w:r>
      <w:r w:rsidRPr="00531B12">
        <w:rPr>
          <w:rFonts w:ascii="Abadi" w:hAnsi="Abadi"/>
          <w:b/>
          <w:bCs/>
          <w:sz w:val="20"/>
          <w:szCs w:val="20"/>
        </w:rPr>
        <w:t>DEL</w:t>
      </w:r>
      <w:r w:rsidRPr="00531B12">
        <w:rPr>
          <w:rFonts w:ascii="Abadi" w:hAnsi="Abadi"/>
          <w:b/>
          <w:bCs/>
          <w:spacing w:val="78"/>
          <w:w w:val="150"/>
          <w:sz w:val="20"/>
          <w:szCs w:val="20"/>
        </w:rPr>
        <w:t xml:space="preserve"> </w:t>
      </w:r>
      <w:r w:rsidRPr="00531B12">
        <w:rPr>
          <w:rFonts w:ascii="Abadi" w:hAnsi="Abadi"/>
          <w:b/>
          <w:bCs/>
          <w:sz w:val="20"/>
          <w:szCs w:val="20"/>
        </w:rPr>
        <w:t>DICTAMEN</w:t>
      </w:r>
      <w:r w:rsidRPr="00531B12">
        <w:rPr>
          <w:rFonts w:ascii="Abadi" w:hAnsi="Abadi"/>
          <w:b/>
          <w:bCs/>
          <w:spacing w:val="78"/>
          <w:w w:val="150"/>
          <w:sz w:val="20"/>
          <w:szCs w:val="20"/>
        </w:rPr>
        <w:t xml:space="preserve"> </w:t>
      </w:r>
      <w:r w:rsidRPr="00531B12">
        <w:rPr>
          <w:rFonts w:ascii="Abadi" w:hAnsi="Abadi"/>
          <w:b/>
          <w:bCs/>
          <w:sz w:val="20"/>
          <w:szCs w:val="20"/>
        </w:rPr>
        <w:t>SIGNADO</w:t>
      </w:r>
      <w:r w:rsidRPr="00531B12">
        <w:rPr>
          <w:rFonts w:ascii="Abadi" w:hAnsi="Abadi"/>
          <w:b/>
          <w:bCs/>
          <w:spacing w:val="78"/>
          <w:w w:val="150"/>
          <w:sz w:val="20"/>
          <w:szCs w:val="20"/>
        </w:rPr>
        <w:t xml:space="preserve"> </w:t>
      </w:r>
      <w:r w:rsidRPr="00531B12">
        <w:rPr>
          <w:rFonts w:ascii="Abadi" w:hAnsi="Abadi"/>
          <w:b/>
          <w:bCs/>
          <w:sz w:val="20"/>
          <w:szCs w:val="20"/>
        </w:rPr>
        <w:t>POR</w:t>
      </w:r>
      <w:r w:rsidRPr="00531B12">
        <w:rPr>
          <w:rFonts w:ascii="Abadi" w:hAnsi="Abadi"/>
          <w:b/>
          <w:bCs/>
          <w:spacing w:val="78"/>
          <w:w w:val="150"/>
          <w:sz w:val="20"/>
          <w:szCs w:val="20"/>
        </w:rPr>
        <w:t xml:space="preserve"> </w:t>
      </w:r>
      <w:r w:rsidRPr="00531B12">
        <w:rPr>
          <w:rFonts w:ascii="Abadi" w:hAnsi="Abadi"/>
          <w:b/>
          <w:bCs/>
          <w:sz w:val="20"/>
          <w:szCs w:val="20"/>
        </w:rPr>
        <w:t>LAS</w:t>
      </w:r>
      <w:r w:rsidRPr="00531B12">
        <w:rPr>
          <w:rFonts w:ascii="Abadi" w:hAnsi="Abadi"/>
          <w:b/>
          <w:bCs/>
          <w:spacing w:val="-1"/>
          <w:sz w:val="20"/>
          <w:szCs w:val="20"/>
        </w:rPr>
        <w:t xml:space="preserve"> </w:t>
      </w:r>
      <w:r w:rsidRPr="00531B12">
        <w:rPr>
          <w:rFonts w:ascii="Abadi" w:hAnsi="Abadi"/>
          <w:b/>
          <w:bCs/>
          <w:sz w:val="20"/>
          <w:szCs w:val="20"/>
        </w:rPr>
        <w:t>COMISIONES</w:t>
      </w:r>
      <w:r w:rsidRPr="00531B12">
        <w:rPr>
          <w:rFonts w:ascii="Abadi" w:hAnsi="Abadi"/>
          <w:b/>
          <w:bCs/>
          <w:spacing w:val="-7"/>
          <w:sz w:val="20"/>
          <w:szCs w:val="20"/>
        </w:rPr>
        <w:t xml:space="preserve"> </w:t>
      </w:r>
      <w:r w:rsidRPr="00531B12">
        <w:rPr>
          <w:rFonts w:ascii="Abadi" w:hAnsi="Abadi"/>
          <w:b/>
          <w:bCs/>
          <w:sz w:val="20"/>
          <w:szCs w:val="20"/>
        </w:rPr>
        <w:t>UNIDAS</w:t>
      </w:r>
      <w:r w:rsidRPr="00531B12">
        <w:rPr>
          <w:rFonts w:ascii="Abadi" w:hAnsi="Abadi"/>
          <w:b/>
          <w:bCs/>
          <w:spacing w:val="-6"/>
          <w:sz w:val="20"/>
          <w:szCs w:val="20"/>
        </w:rPr>
        <w:t xml:space="preserve"> </w:t>
      </w:r>
      <w:r w:rsidRPr="00531B12">
        <w:rPr>
          <w:rFonts w:ascii="Abadi" w:hAnsi="Abadi"/>
          <w:b/>
          <w:bCs/>
          <w:sz w:val="20"/>
          <w:szCs w:val="20"/>
        </w:rPr>
        <w:t>DE</w:t>
      </w:r>
      <w:r w:rsidRPr="00531B12">
        <w:rPr>
          <w:rFonts w:ascii="Abadi" w:hAnsi="Abadi"/>
          <w:b/>
          <w:bCs/>
          <w:spacing w:val="-6"/>
          <w:sz w:val="20"/>
          <w:szCs w:val="20"/>
        </w:rPr>
        <w:t xml:space="preserve"> </w:t>
      </w:r>
      <w:r w:rsidRPr="00531B12">
        <w:rPr>
          <w:rFonts w:ascii="Abadi" w:hAnsi="Abadi"/>
          <w:b/>
          <w:bCs/>
          <w:sz w:val="20"/>
          <w:szCs w:val="20"/>
        </w:rPr>
        <w:t>HACIENDA</w:t>
      </w:r>
      <w:r w:rsidRPr="00531B12">
        <w:rPr>
          <w:rFonts w:ascii="Abadi" w:hAnsi="Abadi"/>
          <w:b/>
          <w:bCs/>
          <w:spacing w:val="-6"/>
          <w:sz w:val="20"/>
          <w:szCs w:val="20"/>
        </w:rPr>
        <w:t xml:space="preserve"> </w:t>
      </w:r>
      <w:r w:rsidRPr="00531B12">
        <w:rPr>
          <w:rFonts w:ascii="Abadi" w:hAnsi="Abadi"/>
          <w:b/>
          <w:bCs/>
          <w:sz w:val="20"/>
          <w:szCs w:val="20"/>
        </w:rPr>
        <w:t>Y</w:t>
      </w:r>
      <w:r w:rsidRPr="00531B12">
        <w:rPr>
          <w:rFonts w:ascii="Abadi" w:hAnsi="Abadi"/>
          <w:b/>
          <w:bCs/>
          <w:spacing w:val="-6"/>
          <w:sz w:val="20"/>
          <w:szCs w:val="20"/>
        </w:rPr>
        <w:t xml:space="preserve"> </w:t>
      </w:r>
      <w:r w:rsidRPr="00531B12">
        <w:rPr>
          <w:rFonts w:ascii="Abadi" w:hAnsi="Abadi"/>
          <w:b/>
          <w:bCs/>
          <w:sz w:val="20"/>
          <w:szCs w:val="20"/>
        </w:rPr>
        <w:t>FISCALIZACIÓN</w:t>
      </w:r>
      <w:r w:rsidRPr="00531B12">
        <w:rPr>
          <w:rFonts w:ascii="Abadi" w:hAnsi="Abadi"/>
          <w:b/>
          <w:bCs/>
          <w:spacing w:val="-7"/>
          <w:sz w:val="20"/>
          <w:szCs w:val="20"/>
        </w:rPr>
        <w:t xml:space="preserve"> </w:t>
      </w:r>
      <w:r w:rsidRPr="00531B12">
        <w:rPr>
          <w:rFonts w:ascii="Abadi" w:hAnsi="Abadi"/>
          <w:b/>
          <w:bCs/>
          <w:sz w:val="20"/>
          <w:szCs w:val="20"/>
        </w:rPr>
        <w:t>Y</w:t>
      </w:r>
      <w:r w:rsidRPr="00531B12">
        <w:rPr>
          <w:rFonts w:ascii="Abadi" w:hAnsi="Abadi"/>
          <w:b/>
          <w:bCs/>
          <w:spacing w:val="-6"/>
          <w:sz w:val="20"/>
          <w:szCs w:val="20"/>
        </w:rPr>
        <w:t xml:space="preserve"> </w:t>
      </w:r>
      <w:r w:rsidRPr="00531B12">
        <w:rPr>
          <w:rFonts w:ascii="Abadi" w:hAnsi="Abadi"/>
          <w:b/>
          <w:bCs/>
          <w:sz w:val="20"/>
          <w:szCs w:val="20"/>
        </w:rPr>
        <w:t>DE</w:t>
      </w:r>
      <w:r w:rsidRPr="00531B12">
        <w:rPr>
          <w:rFonts w:ascii="Abadi" w:hAnsi="Abadi"/>
          <w:b/>
          <w:bCs/>
          <w:spacing w:val="-6"/>
          <w:sz w:val="20"/>
          <w:szCs w:val="20"/>
        </w:rPr>
        <w:t xml:space="preserve"> </w:t>
      </w:r>
      <w:r w:rsidRPr="00531B12">
        <w:rPr>
          <w:rFonts w:ascii="Abadi" w:hAnsi="Abadi"/>
          <w:b/>
          <w:bCs/>
          <w:sz w:val="20"/>
          <w:szCs w:val="20"/>
        </w:rPr>
        <w:t>GOBERNACIÓN</w:t>
      </w:r>
      <w:r w:rsidRPr="00531B12">
        <w:rPr>
          <w:rFonts w:ascii="Abadi" w:hAnsi="Abadi"/>
          <w:b/>
          <w:bCs/>
          <w:spacing w:val="-6"/>
          <w:sz w:val="20"/>
          <w:szCs w:val="20"/>
        </w:rPr>
        <w:t xml:space="preserve"> </w:t>
      </w:r>
      <w:r w:rsidRPr="00531B12">
        <w:rPr>
          <w:rFonts w:ascii="Abadi" w:hAnsi="Abadi"/>
          <w:b/>
          <w:bCs/>
          <w:sz w:val="20"/>
          <w:szCs w:val="20"/>
        </w:rPr>
        <w:t>Y</w:t>
      </w:r>
      <w:r w:rsidRPr="00531B12">
        <w:rPr>
          <w:rFonts w:ascii="Abadi" w:hAnsi="Abadi"/>
          <w:b/>
          <w:bCs/>
          <w:spacing w:val="-7"/>
          <w:sz w:val="20"/>
          <w:szCs w:val="20"/>
        </w:rPr>
        <w:t xml:space="preserve"> </w:t>
      </w:r>
      <w:r w:rsidRPr="00531B12">
        <w:rPr>
          <w:rFonts w:ascii="Abadi" w:hAnsi="Abadi"/>
          <w:b/>
          <w:bCs/>
          <w:sz w:val="20"/>
          <w:szCs w:val="20"/>
        </w:rPr>
        <w:t>PUNTOS</w:t>
      </w:r>
      <w:r w:rsidRPr="00531B12">
        <w:rPr>
          <w:rFonts w:ascii="Abadi" w:hAnsi="Abadi"/>
          <w:b/>
          <w:bCs/>
          <w:spacing w:val="-1"/>
          <w:sz w:val="20"/>
          <w:szCs w:val="20"/>
        </w:rPr>
        <w:t xml:space="preserve"> </w:t>
      </w:r>
      <w:r w:rsidRPr="00531B12">
        <w:rPr>
          <w:rFonts w:ascii="Abadi" w:hAnsi="Abadi"/>
          <w:b/>
          <w:bCs/>
          <w:sz w:val="20"/>
          <w:szCs w:val="20"/>
        </w:rPr>
        <w:t>CONSTITUCIONALES</w:t>
      </w:r>
      <w:r w:rsidRPr="00531B12">
        <w:rPr>
          <w:rFonts w:ascii="Abadi" w:hAnsi="Abadi"/>
          <w:b/>
          <w:bCs/>
          <w:spacing w:val="54"/>
          <w:sz w:val="20"/>
          <w:szCs w:val="20"/>
        </w:rPr>
        <w:t xml:space="preserve"> </w:t>
      </w:r>
      <w:r w:rsidRPr="00531B12">
        <w:rPr>
          <w:rFonts w:ascii="Abadi" w:hAnsi="Abadi"/>
          <w:b/>
          <w:bCs/>
          <w:sz w:val="20"/>
          <w:szCs w:val="20"/>
        </w:rPr>
        <w:t>RELATIVO</w:t>
      </w:r>
      <w:r w:rsidRPr="00531B12">
        <w:rPr>
          <w:rFonts w:ascii="Abadi" w:hAnsi="Abadi"/>
          <w:b/>
          <w:bCs/>
          <w:spacing w:val="53"/>
          <w:sz w:val="20"/>
          <w:szCs w:val="20"/>
        </w:rPr>
        <w:t xml:space="preserve"> </w:t>
      </w:r>
      <w:r w:rsidRPr="00531B12">
        <w:rPr>
          <w:rFonts w:ascii="Abadi" w:hAnsi="Abadi"/>
          <w:b/>
          <w:bCs/>
          <w:sz w:val="20"/>
          <w:szCs w:val="20"/>
        </w:rPr>
        <w:t>A</w:t>
      </w:r>
      <w:r w:rsidRPr="00531B12">
        <w:rPr>
          <w:rFonts w:ascii="Abadi" w:hAnsi="Abadi"/>
          <w:b/>
          <w:bCs/>
          <w:spacing w:val="53"/>
          <w:sz w:val="20"/>
          <w:szCs w:val="20"/>
        </w:rPr>
        <w:t xml:space="preserve"> </w:t>
      </w:r>
      <w:r w:rsidRPr="00531B12">
        <w:rPr>
          <w:rFonts w:ascii="Abadi" w:hAnsi="Abadi"/>
          <w:b/>
          <w:bCs/>
          <w:sz w:val="20"/>
          <w:szCs w:val="20"/>
        </w:rPr>
        <w:t>LA</w:t>
      </w:r>
      <w:r w:rsidRPr="00531B12">
        <w:rPr>
          <w:rFonts w:ascii="Abadi" w:hAnsi="Abadi"/>
          <w:b/>
          <w:bCs/>
          <w:spacing w:val="53"/>
          <w:sz w:val="20"/>
          <w:szCs w:val="20"/>
        </w:rPr>
        <w:t xml:space="preserve"> </w:t>
      </w:r>
      <w:r w:rsidRPr="00531B12">
        <w:rPr>
          <w:rFonts w:ascii="Abadi" w:hAnsi="Abadi"/>
          <w:b/>
          <w:bCs/>
          <w:sz w:val="20"/>
          <w:szCs w:val="20"/>
        </w:rPr>
        <w:t>INICIATIVA</w:t>
      </w:r>
      <w:r w:rsidRPr="00531B12">
        <w:rPr>
          <w:rFonts w:ascii="Abadi" w:hAnsi="Abadi"/>
          <w:b/>
          <w:bCs/>
          <w:spacing w:val="53"/>
          <w:sz w:val="20"/>
          <w:szCs w:val="20"/>
        </w:rPr>
        <w:t xml:space="preserve"> </w:t>
      </w:r>
      <w:r w:rsidRPr="00531B12">
        <w:rPr>
          <w:rFonts w:ascii="Abadi" w:hAnsi="Abadi"/>
          <w:b/>
          <w:bCs/>
          <w:sz w:val="20"/>
          <w:szCs w:val="20"/>
        </w:rPr>
        <w:t>FORMULADA</w:t>
      </w:r>
      <w:r w:rsidRPr="00531B12">
        <w:rPr>
          <w:rFonts w:ascii="Abadi" w:hAnsi="Abadi"/>
          <w:b/>
          <w:bCs/>
          <w:spacing w:val="53"/>
          <w:sz w:val="20"/>
          <w:szCs w:val="20"/>
        </w:rPr>
        <w:t xml:space="preserve"> </w:t>
      </w:r>
      <w:r w:rsidRPr="00531B12">
        <w:rPr>
          <w:rFonts w:ascii="Abadi" w:hAnsi="Abadi"/>
          <w:b/>
          <w:bCs/>
          <w:sz w:val="20"/>
          <w:szCs w:val="20"/>
        </w:rPr>
        <w:t>POR</w:t>
      </w:r>
      <w:r w:rsidRPr="00531B12">
        <w:rPr>
          <w:rFonts w:ascii="Abadi" w:hAnsi="Abadi"/>
          <w:b/>
          <w:bCs/>
          <w:spacing w:val="53"/>
          <w:sz w:val="20"/>
          <w:szCs w:val="20"/>
        </w:rPr>
        <w:t xml:space="preserve"> </w:t>
      </w:r>
      <w:r w:rsidRPr="00531B12">
        <w:rPr>
          <w:rFonts w:ascii="Abadi" w:hAnsi="Abadi"/>
          <w:b/>
          <w:bCs/>
          <w:sz w:val="20"/>
          <w:szCs w:val="20"/>
        </w:rPr>
        <w:t>EL</w:t>
      </w:r>
      <w:r w:rsidRPr="00531B12">
        <w:rPr>
          <w:rFonts w:ascii="Abadi" w:hAnsi="Abadi"/>
          <w:b/>
          <w:bCs/>
          <w:spacing w:val="53"/>
          <w:sz w:val="20"/>
          <w:szCs w:val="20"/>
        </w:rPr>
        <w:t xml:space="preserve"> </w:t>
      </w:r>
      <w:r w:rsidRPr="00531B12">
        <w:rPr>
          <w:rFonts w:ascii="Abadi" w:hAnsi="Abadi"/>
          <w:b/>
          <w:bCs/>
          <w:sz w:val="20"/>
          <w:szCs w:val="20"/>
        </w:rPr>
        <w:t>GOBERNADOR</w:t>
      </w:r>
      <w:r w:rsidRPr="00531B12">
        <w:rPr>
          <w:rFonts w:ascii="Abadi" w:hAnsi="Abadi"/>
          <w:b/>
          <w:bCs/>
          <w:spacing w:val="53"/>
          <w:sz w:val="20"/>
          <w:szCs w:val="20"/>
        </w:rPr>
        <w:t xml:space="preserve"> </w:t>
      </w:r>
      <w:r w:rsidRPr="00531B12">
        <w:rPr>
          <w:rFonts w:ascii="Abadi" w:hAnsi="Abadi"/>
          <w:b/>
          <w:bCs/>
          <w:sz w:val="20"/>
          <w:szCs w:val="20"/>
        </w:rPr>
        <w:t>DEL</w:t>
      </w:r>
      <w:r w:rsidRPr="00531B12">
        <w:rPr>
          <w:rFonts w:ascii="Abadi" w:hAnsi="Abadi"/>
          <w:b/>
          <w:bCs/>
          <w:spacing w:val="-1"/>
          <w:sz w:val="20"/>
          <w:szCs w:val="20"/>
        </w:rPr>
        <w:t xml:space="preserve"> </w:t>
      </w:r>
      <w:r w:rsidRPr="00531B12">
        <w:rPr>
          <w:rFonts w:ascii="Abadi" w:hAnsi="Abadi"/>
          <w:b/>
          <w:bCs/>
          <w:sz w:val="20"/>
          <w:szCs w:val="20"/>
        </w:rPr>
        <w:t>ESTADO</w:t>
      </w:r>
      <w:r w:rsidRPr="00531B12">
        <w:rPr>
          <w:rFonts w:ascii="Abadi" w:hAnsi="Abadi"/>
          <w:b/>
          <w:bCs/>
          <w:spacing w:val="62"/>
          <w:sz w:val="20"/>
          <w:szCs w:val="20"/>
        </w:rPr>
        <w:t xml:space="preserve"> </w:t>
      </w:r>
      <w:r w:rsidRPr="00531B12">
        <w:rPr>
          <w:rFonts w:ascii="Abadi" w:hAnsi="Abadi"/>
          <w:b/>
          <w:bCs/>
          <w:sz w:val="20"/>
          <w:szCs w:val="20"/>
        </w:rPr>
        <w:t>A</w:t>
      </w:r>
      <w:r w:rsidRPr="00531B12">
        <w:rPr>
          <w:rFonts w:ascii="Abadi" w:hAnsi="Abadi"/>
          <w:b/>
          <w:bCs/>
          <w:spacing w:val="62"/>
          <w:sz w:val="20"/>
          <w:szCs w:val="20"/>
        </w:rPr>
        <w:t xml:space="preserve"> </w:t>
      </w:r>
      <w:r w:rsidRPr="00531B12">
        <w:rPr>
          <w:rFonts w:ascii="Abadi" w:hAnsi="Abadi"/>
          <w:b/>
          <w:bCs/>
          <w:sz w:val="20"/>
          <w:szCs w:val="20"/>
        </w:rPr>
        <w:t>EFECTO</w:t>
      </w:r>
      <w:r w:rsidRPr="00531B12">
        <w:rPr>
          <w:rFonts w:ascii="Abadi" w:hAnsi="Abadi"/>
          <w:b/>
          <w:bCs/>
          <w:spacing w:val="62"/>
          <w:sz w:val="20"/>
          <w:szCs w:val="20"/>
        </w:rPr>
        <w:t xml:space="preserve"> </w:t>
      </w:r>
      <w:r w:rsidRPr="00531B12">
        <w:rPr>
          <w:rFonts w:ascii="Abadi" w:hAnsi="Abadi"/>
          <w:b/>
          <w:bCs/>
          <w:sz w:val="20"/>
          <w:szCs w:val="20"/>
        </w:rPr>
        <w:t>DE</w:t>
      </w:r>
      <w:r w:rsidRPr="00531B12">
        <w:rPr>
          <w:rFonts w:ascii="Abadi" w:hAnsi="Abadi"/>
          <w:b/>
          <w:bCs/>
          <w:spacing w:val="62"/>
          <w:sz w:val="20"/>
          <w:szCs w:val="20"/>
        </w:rPr>
        <w:t xml:space="preserve"> </w:t>
      </w:r>
      <w:r w:rsidRPr="00531B12">
        <w:rPr>
          <w:rFonts w:ascii="Abadi" w:hAnsi="Abadi"/>
          <w:b/>
          <w:bCs/>
          <w:sz w:val="20"/>
          <w:szCs w:val="20"/>
        </w:rPr>
        <w:t>REFORMAR</w:t>
      </w:r>
      <w:r w:rsidRPr="00531B12">
        <w:rPr>
          <w:rFonts w:ascii="Abadi" w:hAnsi="Abadi"/>
          <w:b/>
          <w:bCs/>
          <w:spacing w:val="61"/>
          <w:sz w:val="20"/>
          <w:szCs w:val="20"/>
        </w:rPr>
        <w:t xml:space="preserve"> </w:t>
      </w:r>
      <w:r w:rsidRPr="00531B12">
        <w:rPr>
          <w:rFonts w:ascii="Abadi" w:hAnsi="Abadi"/>
          <w:b/>
          <w:bCs/>
          <w:sz w:val="20"/>
          <w:szCs w:val="20"/>
        </w:rPr>
        <w:t>EL</w:t>
      </w:r>
      <w:r w:rsidRPr="00531B12">
        <w:rPr>
          <w:rFonts w:ascii="Abadi" w:hAnsi="Abadi"/>
          <w:b/>
          <w:bCs/>
          <w:spacing w:val="62"/>
          <w:sz w:val="20"/>
          <w:szCs w:val="20"/>
        </w:rPr>
        <w:t xml:space="preserve"> </w:t>
      </w:r>
      <w:r w:rsidRPr="00531B12">
        <w:rPr>
          <w:rFonts w:ascii="Abadi" w:hAnsi="Abadi"/>
          <w:b/>
          <w:bCs/>
          <w:sz w:val="20"/>
          <w:szCs w:val="20"/>
        </w:rPr>
        <w:t>ARTÍCULO</w:t>
      </w:r>
      <w:r w:rsidRPr="00531B12">
        <w:rPr>
          <w:rFonts w:ascii="Abadi" w:hAnsi="Abadi"/>
          <w:b/>
          <w:bCs/>
          <w:spacing w:val="62"/>
          <w:sz w:val="20"/>
          <w:szCs w:val="20"/>
        </w:rPr>
        <w:t xml:space="preserve"> </w:t>
      </w:r>
      <w:r w:rsidRPr="00531B12">
        <w:rPr>
          <w:rFonts w:ascii="Abadi" w:hAnsi="Abadi"/>
          <w:b/>
          <w:bCs/>
          <w:sz w:val="20"/>
          <w:szCs w:val="20"/>
        </w:rPr>
        <w:t>SEXTO</w:t>
      </w:r>
      <w:r w:rsidRPr="00531B12">
        <w:rPr>
          <w:rFonts w:ascii="Abadi" w:hAnsi="Abadi"/>
          <w:b/>
          <w:bCs/>
          <w:spacing w:val="62"/>
          <w:sz w:val="20"/>
          <w:szCs w:val="20"/>
        </w:rPr>
        <w:t xml:space="preserve"> </w:t>
      </w:r>
      <w:r w:rsidRPr="00531B12">
        <w:rPr>
          <w:rFonts w:ascii="Abadi" w:hAnsi="Abadi"/>
          <w:b/>
          <w:bCs/>
          <w:sz w:val="20"/>
          <w:szCs w:val="20"/>
        </w:rPr>
        <w:t>TRANSITORIO</w:t>
      </w:r>
      <w:r w:rsidRPr="00531B12">
        <w:rPr>
          <w:rFonts w:ascii="Abadi" w:hAnsi="Abadi"/>
          <w:b/>
          <w:bCs/>
          <w:spacing w:val="62"/>
          <w:sz w:val="20"/>
          <w:szCs w:val="20"/>
        </w:rPr>
        <w:t xml:space="preserve"> </w:t>
      </w:r>
      <w:r w:rsidRPr="00531B12">
        <w:rPr>
          <w:rFonts w:ascii="Abadi" w:hAnsi="Abadi"/>
          <w:b/>
          <w:bCs/>
          <w:sz w:val="20"/>
          <w:szCs w:val="20"/>
        </w:rPr>
        <w:t>DE</w:t>
      </w:r>
      <w:r w:rsidRPr="00531B12">
        <w:rPr>
          <w:rFonts w:ascii="Abadi" w:hAnsi="Abadi"/>
          <w:b/>
          <w:bCs/>
          <w:spacing w:val="62"/>
          <w:sz w:val="20"/>
          <w:szCs w:val="20"/>
        </w:rPr>
        <w:t xml:space="preserve"> </w:t>
      </w:r>
      <w:r w:rsidRPr="00531B12">
        <w:rPr>
          <w:rFonts w:ascii="Abadi" w:hAnsi="Abadi"/>
          <w:b/>
          <w:bCs/>
          <w:sz w:val="20"/>
          <w:szCs w:val="20"/>
        </w:rPr>
        <w:t>LA</w:t>
      </w:r>
      <w:r w:rsidRPr="00531B12">
        <w:rPr>
          <w:rFonts w:ascii="Abadi" w:hAnsi="Abadi"/>
          <w:b/>
          <w:bCs/>
          <w:spacing w:val="62"/>
          <w:sz w:val="20"/>
          <w:szCs w:val="20"/>
        </w:rPr>
        <w:t xml:space="preserve"> </w:t>
      </w:r>
      <w:r w:rsidRPr="00531B12">
        <w:rPr>
          <w:rFonts w:ascii="Abadi" w:hAnsi="Abadi"/>
          <w:b/>
          <w:bCs/>
          <w:sz w:val="20"/>
          <w:szCs w:val="20"/>
        </w:rPr>
        <w:t>LEY</w:t>
      </w:r>
      <w:r w:rsidRPr="00531B12">
        <w:rPr>
          <w:rFonts w:ascii="Abadi" w:hAnsi="Abadi"/>
          <w:b/>
          <w:bCs/>
          <w:spacing w:val="62"/>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INGRESOS DEL ESTADO DE GUANAJUATO, PARA EL EJERCICIO FISCAL DE 2022.</w:t>
      </w:r>
    </w:p>
    <w:p w14:paraId="04A41215" w14:textId="512C838C" w:rsidR="00E91205" w:rsidRDefault="00E91205" w:rsidP="00F00DF5">
      <w:pPr>
        <w:tabs>
          <w:tab w:val="left" w:pos="856"/>
        </w:tabs>
        <w:kinsoku w:val="0"/>
        <w:overflowPunct w:val="0"/>
        <w:autoSpaceDE w:val="0"/>
        <w:autoSpaceDN w:val="0"/>
        <w:adjustRightInd w:val="0"/>
        <w:ind w:left="360" w:right="17"/>
        <w:jc w:val="both"/>
        <w:rPr>
          <w:rFonts w:ascii="Abadi" w:hAnsi="Abadi"/>
          <w:b/>
          <w:bCs/>
          <w:sz w:val="20"/>
          <w:szCs w:val="20"/>
        </w:rPr>
      </w:pPr>
    </w:p>
    <w:p w14:paraId="2FFDF89B" w14:textId="77777777" w:rsidR="00F00DF5" w:rsidRPr="00F00DF5" w:rsidRDefault="00F00DF5" w:rsidP="00F00DF5">
      <w:pPr>
        <w:jc w:val="both"/>
        <w:rPr>
          <w:rFonts w:ascii="Abadi" w:hAnsi="Abadi" w:cs="Arial"/>
          <w:b/>
          <w:bCs/>
          <w:sz w:val="21"/>
          <w:szCs w:val="21"/>
        </w:rPr>
      </w:pPr>
      <w:r w:rsidRPr="00F00DF5">
        <w:rPr>
          <w:rFonts w:ascii="Abadi" w:hAnsi="Abadi" w:cs="Arial"/>
          <w:b/>
          <w:bCs/>
          <w:sz w:val="21"/>
          <w:szCs w:val="21"/>
        </w:rPr>
        <w:t>C. Dip. Irma Leticia González Sánchez</w:t>
      </w:r>
    </w:p>
    <w:p w14:paraId="3D3713DF" w14:textId="77777777" w:rsidR="00F00DF5" w:rsidRPr="00F00DF5" w:rsidRDefault="00F00DF5" w:rsidP="00F00DF5">
      <w:pPr>
        <w:jc w:val="both"/>
        <w:rPr>
          <w:rFonts w:ascii="Abadi" w:hAnsi="Abadi" w:cs="Arial"/>
          <w:b/>
          <w:bCs/>
          <w:sz w:val="21"/>
          <w:szCs w:val="21"/>
        </w:rPr>
      </w:pPr>
      <w:r w:rsidRPr="00F00DF5">
        <w:rPr>
          <w:rFonts w:ascii="Abadi" w:hAnsi="Abadi" w:cs="Arial"/>
          <w:b/>
          <w:bCs/>
          <w:sz w:val="21"/>
          <w:szCs w:val="21"/>
        </w:rPr>
        <w:t>Presidenta del Congreso del Estado</w:t>
      </w:r>
    </w:p>
    <w:p w14:paraId="05022962" w14:textId="77777777" w:rsidR="00F00DF5" w:rsidRPr="00F00DF5" w:rsidRDefault="00F00DF5" w:rsidP="00F00DF5">
      <w:pPr>
        <w:jc w:val="both"/>
        <w:rPr>
          <w:rFonts w:ascii="Abadi" w:hAnsi="Abadi" w:cs="Arial"/>
          <w:b/>
          <w:bCs/>
          <w:sz w:val="21"/>
          <w:szCs w:val="21"/>
        </w:rPr>
      </w:pPr>
      <w:r w:rsidRPr="00F00DF5">
        <w:rPr>
          <w:rFonts w:ascii="Abadi" w:hAnsi="Abadi" w:cs="Arial"/>
          <w:b/>
          <w:bCs/>
          <w:sz w:val="21"/>
          <w:szCs w:val="21"/>
        </w:rPr>
        <w:t>P r e s e n t e.</w:t>
      </w:r>
    </w:p>
    <w:p w14:paraId="3EFA4023" w14:textId="77777777" w:rsidR="00F00DF5" w:rsidRPr="00F00DF5" w:rsidRDefault="00F00DF5" w:rsidP="00F00DF5">
      <w:pPr>
        <w:jc w:val="both"/>
        <w:rPr>
          <w:rFonts w:ascii="Abadi" w:hAnsi="Abadi" w:cs="Arial"/>
          <w:b/>
          <w:bCs/>
          <w:sz w:val="21"/>
          <w:szCs w:val="21"/>
        </w:rPr>
      </w:pPr>
    </w:p>
    <w:p w14:paraId="217B46A6" w14:textId="77777777" w:rsidR="00F00DF5" w:rsidRPr="00F00DF5" w:rsidRDefault="00F00DF5" w:rsidP="00F00DF5">
      <w:pPr>
        <w:jc w:val="both"/>
        <w:rPr>
          <w:rFonts w:ascii="Abadi" w:hAnsi="Abadi" w:cs="Arial"/>
          <w:sz w:val="21"/>
          <w:szCs w:val="21"/>
        </w:rPr>
      </w:pPr>
    </w:p>
    <w:p w14:paraId="1152102B" w14:textId="77777777" w:rsidR="00F00DF5" w:rsidRPr="00F00DF5" w:rsidRDefault="00F00DF5" w:rsidP="00F00DF5">
      <w:pPr>
        <w:spacing w:line="276" w:lineRule="auto"/>
        <w:jc w:val="both"/>
        <w:rPr>
          <w:rFonts w:ascii="Abadi" w:hAnsi="Abadi" w:cs="Arial"/>
          <w:sz w:val="21"/>
          <w:szCs w:val="21"/>
        </w:rPr>
      </w:pPr>
      <w:r w:rsidRPr="00F00DF5">
        <w:rPr>
          <w:rFonts w:ascii="Abadi" w:hAnsi="Abadi" w:cs="Arial"/>
          <w:sz w:val="21"/>
          <w:szCs w:val="21"/>
        </w:rPr>
        <w:tab/>
        <w:t xml:space="preserve">A estas Comisiones Unidas de Hacienda y Fiscalización y de Gobernación y Puntos Constitucionales les fue turnada para su estudio y dictamen la iniciativa formulada por el Gobernador del Estado a efecto de reformar el </w:t>
      </w:r>
      <w:r w:rsidRPr="00F00DF5">
        <w:rPr>
          <w:rFonts w:ascii="Abadi" w:hAnsi="Abadi" w:cs="Arial"/>
          <w:sz w:val="21"/>
          <w:szCs w:val="21"/>
        </w:rPr>
        <w:t xml:space="preserve">artículo Sexto Transitorio de la Ley de Ingresos del Estado de Guanajuato para el Ejercicio Fiscal de 2022. </w:t>
      </w:r>
    </w:p>
    <w:p w14:paraId="14430E80" w14:textId="77777777" w:rsidR="00F00DF5" w:rsidRPr="00F00DF5" w:rsidRDefault="00F00DF5" w:rsidP="00F00DF5">
      <w:pPr>
        <w:spacing w:line="276" w:lineRule="auto"/>
        <w:jc w:val="both"/>
        <w:rPr>
          <w:rFonts w:ascii="Abadi" w:hAnsi="Abadi" w:cs="Arial"/>
          <w:sz w:val="21"/>
          <w:szCs w:val="21"/>
        </w:rPr>
      </w:pPr>
    </w:p>
    <w:p w14:paraId="6B9005E9" w14:textId="77777777" w:rsidR="00F00DF5" w:rsidRPr="00F00DF5" w:rsidRDefault="00F00DF5" w:rsidP="00F00DF5">
      <w:pPr>
        <w:spacing w:line="276" w:lineRule="auto"/>
        <w:ind w:firstLine="708"/>
        <w:jc w:val="both"/>
        <w:rPr>
          <w:rFonts w:ascii="Abadi" w:hAnsi="Abadi" w:cs="Arial"/>
          <w:sz w:val="21"/>
          <w:szCs w:val="21"/>
        </w:rPr>
      </w:pPr>
      <w:r w:rsidRPr="00F00DF5">
        <w:rPr>
          <w:rFonts w:ascii="Abadi" w:eastAsia="Batang" w:hAnsi="Abadi"/>
          <w:sz w:val="21"/>
          <w:szCs w:val="21"/>
          <w:lang w:val="es-MX"/>
        </w:rPr>
        <w:t xml:space="preserve">De conformidad con </w:t>
      </w:r>
      <w:r w:rsidRPr="00F00DF5">
        <w:rPr>
          <w:rFonts w:ascii="Abadi" w:eastAsia="Batang" w:hAnsi="Abadi"/>
          <w:sz w:val="21"/>
          <w:szCs w:val="21"/>
        </w:rPr>
        <w:t xml:space="preserve">los artículos 89, fracción V; 111, fracción XVI y último párrafo; 112, fracción II y último párrafo; y 171 de </w:t>
      </w:r>
      <w:smartTag w:uri="urn:schemas-microsoft-com:office:smarttags" w:element="PersonName">
        <w:smartTagPr>
          <w:attr w:name="ProductID" w:val="la Ley Org￡nica"/>
        </w:smartTagPr>
        <w:r w:rsidRPr="00F00DF5">
          <w:rPr>
            <w:rFonts w:ascii="Abadi" w:eastAsia="Batang" w:hAnsi="Abadi"/>
            <w:sz w:val="21"/>
            <w:szCs w:val="21"/>
          </w:rPr>
          <w:t>la Ley Orgánica</w:t>
        </w:r>
      </w:smartTag>
      <w:r w:rsidRPr="00F00DF5">
        <w:rPr>
          <w:rFonts w:ascii="Abadi" w:eastAsia="Batang" w:hAnsi="Abadi"/>
          <w:sz w:val="21"/>
          <w:szCs w:val="21"/>
        </w:rPr>
        <w:t xml:space="preserve"> del Poder Legislativo del Estado de Guanajuato, </w:t>
      </w:r>
      <w:r w:rsidRPr="00F00DF5">
        <w:rPr>
          <w:rFonts w:ascii="Abadi" w:hAnsi="Abadi" w:cs="Arial"/>
          <w:sz w:val="21"/>
          <w:szCs w:val="21"/>
        </w:rPr>
        <w:t>nos permitimos rendir el siguiente:</w:t>
      </w:r>
    </w:p>
    <w:p w14:paraId="0F3FAB71" w14:textId="77777777" w:rsidR="00F00DF5" w:rsidRPr="00F00DF5" w:rsidRDefault="00F00DF5" w:rsidP="00F00DF5">
      <w:pPr>
        <w:jc w:val="both"/>
        <w:rPr>
          <w:rFonts w:ascii="Abadi" w:hAnsi="Abadi" w:cs="Arial"/>
          <w:sz w:val="21"/>
          <w:szCs w:val="21"/>
        </w:rPr>
      </w:pPr>
    </w:p>
    <w:p w14:paraId="18A0C1D4" w14:textId="77777777" w:rsidR="00F00DF5" w:rsidRPr="00F00DF5" w:rsidRDefault="00F00DF5" w:rsidP="00F00DF5">
      <w:pPr>
        <w:keepNext/>
        <w:jc w:val="center"/>
        <w:outlineLvl w:val="0"/>
        <w:rPr>
          <w:rFonts w:ascii="Abadi" w:hAnsi="Abadi" w:cs="Arial"/>
          <w:b/>
          <w:bCs/>
          <w:sz w:val="21"/>
          <w:szCs w:val="21"/>
        </w:rPr>
      </w:pPr>
      <w:r w:rsidRPr="00F00DF5">
        <w:rPr>
          <w:rFonts w:ascii="Abadi" w:hAnsi="Abadi" w:cs="Arial"/>
          <w:b/>
          <w:bCs/>
          <w:sz w:val="21"/>
          <w:szCs w:val="21"/>
        </w:rPr>
        <w:t>D i c t a m e n</w:t>
      </w:r>
    </w:p>
    <w:p w14:paraId="4BF8BC0C" w14:textId="77777777" w:rsidR="00F00DF5" w:rsidRPr="00F00DF5" w:rsidRDefault="00F00DF5" w:rsidP="00F00DF5">
      <w:pPr>
        <w:jc w:val="both"/>
        <w:rPr>
          <w:rFonts w:ascii="Abadi" w:hAnsi="Abadi" w:cs="Arial"/>
          <w:sz w:val="21"/>
          <w:szCs w:val="21"/>
          <w:lang w:val="es-MX"/>
        </w:rPr>
      </w:pPr>
    </w:p>
    <w:p w14:paraId="2052FC64" w14:textId="77777777" w:rsidR="00F00DF5" w:rsidRPr="00F00DF5" w:rsidRDefault="00F00DF5" w:rsidP="00F00DF5">
      <w:pPr>
        <w:rPr>
          <w:rFonts w:ascii="Abadi" w:hAnsi="Abadi" w:cs="Arial"/>
          <w:b/>
          <w:bCs/>
          <w:sz w:val="21"/>
          <w:szCs w:val="21"/>
        </w:rPr>
      </w:pPr>
      <w:r w:rsidRPr="00F00DF5">
        <w:rPr>
          <w:rFonts w:ascii="Abadi" w:hAnsi="Abadi" w:cs="Arial"/>
          <w:b/>
          <w:bCs/>
          <w:sz w:val="21"/>
          <w:szCs w:val="21"/>
        </w:rPr>
        <w:t>I.</w:t>
      </w:r>
      <w:r w:rsidRPr="00F00DF5">
        <w:rPr>
          <w:rFonts w:ascii="Abadi" w:hAnsi="Abadi" w:cs="Arial"/>
          <w:b/>
          <w:bCs/>
          <w:sz w:val="21"/>
          <w:szCs w:val="21"/>
        </w:rPr>
        <w:tab/>
        <w:t>Proceso legislativo.</w:t>
      </w:r>
    </w:p>
    <w:p w14:paraId="2AA94E9D" w14:textId="77777777" w:rsidR="00F00DF5" w:rsidRPr="00F00DF5" w:rsidRDefault="00F00DF5" w:rsidP="00F00DF5">
      <w:pPr>
        <w:ind w:firstLine="709"/>
        <w:jc w:val="both"/>
        <w:rPr>
          <w:rFonts w:ascii="Abadi" w:hAnsi="Abadi" w:cs="Arial"/>
          <w:sz w:val="21"/>
          <w:szCs w:val="21"/>
        </w:rPr>
      </w:pPr>
    </w:p>
    <w:p w14:paraId="3C399F0C" w14:textId="77777777" w:rsidR="00F00DF5" w:rsidRPr="00F00DF5" w:rsidRDefault="00F00DF5" w:rsidP="00F00DF5">
      <w:pPr>
        <w:spacing w:line="276" w:lineRule="auto"/>
        <w:jc w:val="both"/>
        <w:rPr>
          <w:rFonts w:ascii="Abadi" w:hAnsi="Abadi" w:cs="Arial"/>
          <w:sz w:val="21"/>
          <w:szCs w:val="21"/>
        </w:rPr>
      </w:pPr>
      <w:r w:rsidRPr="00F00DF5">
        <w:rPr>
          <w:rFonts w:ascii="Abadi" w:hAnsi="Abadi" w:cs="Arial"/>
          <w:b/>
          <w:bCs/>
          <w:sz w:val="21"/>
          <w:szCs w:val="21"/>
        </w:rPr>
        <w:t>I.1.</w:t>
      </w:r>
      <w:r w:rsidRPr="00F00DF5">
        <w:rPr>
          <w:rFonts w:ascii="Abadi" w:hAnsi="Abadi" w:cs="Arial"/>
          <w:sz w:val="21"/>
          <w:szCs w:val="21"/>
        </w:rPr>
        <w:tab/>
        <w:t>En la sesión ordinaria celebrada el 10 de marzo de 2022 ingresó la iniciativa formulada por el Gobernador del Estado a efecto de reformar el artículo Sexto Transitorio de la Ley de Ingresos del Estado de Guanajuato para el Ejercicio Fiscal de 2022.</w:t>
      </w:r>
    </w:p>
    <w:p w14:paraId="09976A2D" w14:textId="77777777" w:rsidR="00F00DF5" w:rsidRPr="00F00DF5" w:rsidRDefault="00F00DF5" w:rsidP="00F00DF5">
      <w:pPr>
        <w:spacing w:line="276" w:lineRule="auto"/>
        <w:jc w:val="both"/>
        <w:rPr>
          <w:rFonts w:ascii="Abadi" w:hAnsi="Abadi" w:cs="Arial"/>
          <w:sz w:val="21"/>
          <w:szCs w:val="21"/>
        </w:rPr>
      </w:pPr>
    </w:p>
    <w:p w14:paraId="10D0F985" w14:textId="77777777" w:rsidR="00F00DF5" w:rsidRPr="00F00DF5" w:rsidRDefault="00F00DF5" w:rsidP="00F00DF5">
      <w:pPr>
        <w:spacing w:line="276" w:lineRule="auto"/>
        <w:jc w:val="both"/>
        <w:rPr>
          <w:rFonts w:ascii="Abadi" w:hAnsi="Abadi" w:cs="Arial"/>
          <w:sz w:val="21"/>
          <w:szCs w:val="21"/>
        </w:rPr>
      </w:pPr>
      <w:r w:rsidRPr="00F00DF5">
        <w:rPr>
          <w:rFonts w:ascii="Abadi" w:hAnsi="Abadi" w:cs="Arial"/>
          <w:sz w:val="21"/>
          <w:szCs w:val="21"/>
        </w:rPr>
        <w:t xml:space="preserve">La iniciativa se turnó por la presidencia del Congreso a las Comisiones Unidas de Hacienda y Fiscalización y de Gobernación y Puntos Constitucionales para su estudio y dictamen, con fundamento en los artículos </w:t>
      </w:r>
      <w:r w:rsidRPr="00F00DF5">
        <w:rPr>
          <w:rFonts w:ascii="Abadi" w:eastAsia="Batang" w:hAnsi="Abadi"/>
          <w:sz w:val="21"/>
          <w:szCs w:val="21"/>
        </w:rPr>
        <w:t>111, fracción XVI y último párrafo; 112, fracción II y último párrafo de la Ley Orgánica del Poder Legislativo del Estado de Guanajuato.</w:t>
      </w:r>
    </w:p>
    <w:p w14:paraId="3C012D7F" w14:textId="77777777" w:rsidR="00F00DF5" w:rsidRPr="00F00DF5" w:rsidRDefault="00F00DF5" w:rsidP="00F00DF5">
      <w:pPr>
        <w:spacing w:line="276" w:lineRule="auto"/>
        <w:jc w:val="both"/>
        <w:rPr>
          <w:rFonts w:ascii="Abadi" w:hAnsi="Abadi" w:cs="Arial"/>
          <w:b/>
          <w:bCs/>
          <w:sz w:val="21"/>
          <w:szCs w:val="21"/>
        </w:rPr>
      </w:pPr>
    </w:p>
    <w:p w14:paraId="143B343C" w14:textId="77777777" w:rsidR="00F00DF5" w:rsidRPr="00F00DF5" w:rsidRDefault="00F00DF5" w:rsidP="00F00DF5">
      <w:pPr>
        <w:spacing w:line="276" w:lineRule="auto"/>
        <w:jc w:val="both"/>
        <w:rPr>
          <w:rFonts w:ascii="Abadi" w:eastAsia="Batang" w:hAnsi="Abadi" w:cs="Arial"/>
          <w:sz w:val="21"/>
          <w:szCs w:val="21"/>
        </w:rPr>
      </w:pPr>
      <w:r w:rsidRPr="00F00DF5">
        <w:rPr>
          <w:rFonts w:ascii="Abadi" w:hAnsi="Abadi" w:cs="Arial"/>
          <w:b/>
          <w:bCs/>
          <w:sz w:val="21"/>
          <w:szCs w:val="21"/>
        </w:rPr>
        <w:t>I.2</w:t>
      </w:r>
      <w:r w:rsidRPr="00F00DF5">
        <w:rPr>
          <w:rFonts w:ascii="Abadi" w:eastAsia="Batang" w:hAnsi="Abadi" w:cs="Arial"/>
          <w:b/>
          <w:sz w:val="21"/>
          <w:szCs w:val="21"/>
        </w:rPr>
        <w:t>.</w:t>
      </w:r>
      <w:r w:rsidRPr="00F00DF5">
        <w:rPr>
          <w:rFonts w:ascii="Abadi" w:eastAsia="Batang" w:hAnsi="Abadi" w:cs="Arial"/>
          <w:sz w:val="21"/>
          <w:szCs w:val="21"/>
        </w:rPr>
        <w:t xml:space="preserve"> En términos de lo dispuesto por el artículo 63, fracción II del citado ordenamiento constitucional</w:t>
      </w:r>
      <w:r w:rsidRPr="00F00DF5">
        <w:rPr>
          <w:rFonts w:ascii="Abadi" w:hAnsi="Abadi" w:cs="Arial"/>
          <w:iCs/>
          <w:sz w:val="21"/>
          <w:szCs w:val="21"/>
        </w:rPr>
        <w:t>,</w:t>
      </w:r>
      <w:r w:rsidRPr="00F00DF5">
        <w:rPr>
          <w:rFonts w:ascii="Abadi" w:eastAsia="Batang" w:hAnsi="Abadi" w:cs="Arial"/>
          <w:sz w:val="21"/>
          <w:szCs w:val="21"/>
        </w:rPr>
        <w:t xml:space="preserve"> el Congreso del Estado resulta competente para conocer y dictaminar la citada iniciativa.</w:t>
      </w:r>
    </w:p>
    <w:p w14:paraId="3E4FA622" w14:textId="77777777" w:rsidR="00F00DF5" w:rsidRPr="00F00DF5" w:rsidRDefault="00F00DF5" w:rsidP="00F00DF5">
      <w:pPr>
        <w:spacing w:line="276" w:lineRule="auto"/>
        <w:jc w:val="both"/>
        <w:rPr>
          <w:rFonts w:ascii="Abadi" w:eastAsia="Batang" w:hAnsi="Abadi" w:cs="Arial"/>
          <w:sz w:val="21"/>
          <w:szCs w:val="21"/>
        </w:rPr>
      </w:pPr>
    </w:p>
    <w:p w14:paraId="3379A0DF" w14:textId="285D5EB1" w:rsidR="00F00DF5" w:rsidRPr="00F00DF5" w:rsidRDefault="00F00DF5" w:rsidP="00F00DF5">
      <w:pPr>
        <w:spacing w:line="276" w:lineRule="auto"/>
        <w:jc w:val="both"/>
        <w:rPr>
          <w:rFonts w:ascii="Abadi" w:hAnsi="Abadi" w:cs="Arial"/>
          <w:sz w:val="21"/>
          <w:szCs w:val="21"/>
        </w:rPr>
      </w:pPr>
      <w:r w:rsidRPr="00F00DF5">
        <w:rPr>
          <w:rFonts w:ascii="Abadi" w:hAnsi="Abadi" w:cs="Arial"/>
          <w:b/>
          <w:bCs/>
          <w:sz w:val="21"/>
          <w:szCs w:val="21"/>
        </w:rPr>
        <w:t>I.3.</w:t>
      </w:r>
      <w:r w:rsidRPr="00F00DF5">
        <w:rPr>
          <w:rFonts w:ascii="Abadi" w:hAnsi="Abadi" w:cs="Arial"/>
          <w:sz w:val="21"/>
          <w:szCs w:val="21"/>
        </w:rPr>
        <w:tab/>
        <w:t>Estas Comisiones Unidas dimos cuenta y radicamos la iniciativa de referencia el 26 de abril de 2022.</w:t>
      </w:r>
    </w:p>
    <w:p w14:paraId="5C1D5CC2" w14:textId="77777777" w:rsidR="00F00DF5" w:rsidRPr="00F00DF5" w:rsidRDefault="00F00DF5" w:rsidP="00F00DF5">
      <w:pPr>
        <w:spacing w:line="276" w:lineRule="auto"/>
        <w:jc w:val="both"/>
        <w:rPr>
          <w:rFonts w:ascii="Abadi" w:hAnsi="Abadi" w:cs="Arial"/>
          <w:sz w:val="21"/>
          <w:szCs w:val="21"/>
        </w:rPr>
      </w:pPr>
    </w:p>
    <w:p w14:paraId="6D7C5ED5" w14:textId="77777777" w:rsidR="00F00DF5" w:rsidRPr="00F00DF5" w:rsidRDefault="00F00DF5" w:rsidP="00F00DF5">
      <w:pPr>
        <w:spacing w:line="276" w:lineRule="auto"/>
        <w:jc w:val="both"/>
        <w:rPr>
          <w:rFonts w:ascii="Abadi" w:hAnsi="Abadi" w:cs="Arial"/>
          <w:sz w:val="21"/>
          <w:szCs w:val="21"/>
        </w:rPr>
      </w:pPr>
      <w:r w:rsidRPr="00F00DF5">
        <w:rPr>
          <w:rFonts w:ascii="Abadi" w:eastAsia="Batang" w:hAnsi="Abadi" w:cs="Arial"/>
          <w:b/>
          <w:sz w:val="21"/>
          <w:szCs w:val="21"/>
        </w:rPr>
        <w:t>I.4.</w:t>
      </w:r>
      <w:r w:rsidRPr="00F00DF5">
        <w:rPr>
          <w:rFonts w:ascii="Abadi" w:eastAsia="Batang" w:hAnsi="Abadi" w:cs="Arial"/>
          <w:sz w:val="21"/>
          <w:szCs w:val="21"/>
        </w:rPr>
        <w:t xml:space="preserve"> </w:t>
      </w:r>
      <w:r w:rsidRPr="00F00DF5">
        <w:rPr>
          <w:rFonts w:ascii="Abadi" w:hAnsi="Abadi" w:cs="Arial"/>
          <w:sz w:val="21"/>
          <w:szCs w:val="21"/>
        </w:rPr>
        <w:t xml:space="preserve">La presidencia instruyó a la secretaría técnica la elaboración del proyecto de dictamen en los términos propuestos en la iniciativa, conforme lo dispuesto en los artículos 94, fracción VII y 272, fracción VIII inciso e de la Ley Orgánica del Poder Legislativo del Estado, dicho proyecto </w:t>
      </w:r>
      <w:r w:rsidRPr="00F00DF5">
        <w:rPr>
          <w:rFonts w:ascii="Abadi" w:hAnsi="Abadi" w:cs="Arial" w:hint="eastAsia"/>
          <w:sz w:val="21"/>
          <w:szCs w:val="21"/>
        </w:rPr>
        <w:t>fue</w:t>
      </w:r>
      <w:r w:rsidRPr="00F00DF5">
        <w:rPr>
          <w:rFonts w:ascii="Abadi" w:hAnsi="Abadi" w:cs="Arial"/>
          <w:sz w:val="21"/>
          <w:szCs w:val="21"/>
        </w:rPr>
        <w:t xml:space="preserve"> materia de revisión por las diputadas y los diputados integrantes de estas comisiones dictaminadoras.</w:t>
      </w:r>
    </w:p>
    <w:p w14:paraId="574F01D8" w14:textId="77777777" w:rsidR="00F00DF5" w:rsidRPr="00F00DF5" w:rsidRDefault="00F00DF5" w:rsidP="00F00DF5">
      <w:pPr>
        <w:spacing w:line="276" w:lineRule="auto"/>
        <w:jc w:val="both"/>
        <w:rPr>
          <w:rFonts w:ascii="Abadi" w:hAnsi="Abadi" w:cs="Arial"/>
          <w:sz w:val="21"/>
          <w:szCs w:val="21"/>
        </w:rPr>
      </w:pPr>
    </w:p>
    <w:p w14:paraId="0D06AE0A" w14:textId="77777777" w:rsidR="00F00DF5" w:rsidRPr="00F00DF5" w:rsidRDefault="00F00DF5" w:rsidP="00F00DF5">
      <w:pPr>
        <w:jc w:val="both"/>
        <w:rPr>
          <w:rFonts w:ascii="Abadi" w:hAnsi="Abadi" w:cs="Arial"/>
          <w:sz w:val="21"/>
          <w:szCs w:val="21"/>
        </w:rPr>
      </w:pPr>
    </w:p>
    <w:p w14:paraId="544F5EB1" w14:textId="77777777" w:rsidR="00F00DF5" w:rsidRPr="00F00DF5" w:rsidRDefault="00F00DF5" w:rsidP="00F00DF5">
      <w:pPr>
        <w:jc w:val="both"/>
        <w:rPr>
          <w:rFonts w:ascii="Abadi" w:hAnsi="Abadi"/>
          <w:b/>
          <w:sz w:val="21"/>
          <w:szCs w:val="21"/>
        </w:rPr>
      </w:pPr>
      <w:r w:rsidRPr="00F00DF5">
        <w:rPr>
          <w:rFonts w:ascii="Abadi" w:hAnsi="Abadi" w:cs="Arial"/>
          <w:b/>
          <w:bCs/>
          <w:sz w:val="21"/>
          <w:szCs w:val="21"/>
        </w:rPr>
        <w:t>II.</w:t>
      </w:r>
      <w:r w:rsidRPr="00F00DF5">
        <w:rPr>
          <w:rFonts w:ascii="Abadi" w:hAnsi="Abadi" w:cs="Arial"/>
          <w:sz w:val="21"/>
          <w:szCs w:val="21"/>
        </w:rPr>
        <w:tab/>
      </w:r>
      <w:r w:rsidRPr="00F00DF5">
        <w:rPr>
          <w:rFonts w:ascii="Abadi" w:hAnsi="Abadi"/>
          <w:b/>
          <w:sz w:val="21"/>
          <w:szCs w:val="21"/>
        </w:rPr>
        <w:t>Consideraciones del iniciante.</w:t>
      </w:r>
    </w:p>
    <w:p w14:paraId="03F09AD3" w14:textId="77777777" w:rsidR="00F00DF5" w:rsidRPr="00F00DF5" w:rsidRDefault="00F00DF5" w:rsidP="00F00DF5">
      <w:pPr>
        <w:jc w:val="both"/>
        <w:rPr>
          <w:rFonts w:ascii="Abadi" w:hAnsi="Abadi" w:cs="Arial"/>
          <w:sz w:val="21"/>
          <w:szCs w:val="21"/>
          <w:lang w:val="es-MX"/>
        </w:rPr>
      </w:pPr>
    </w:p>
    <w:p w14:paraId="4070410E" w14:textId="77777777" w:rsidR="00F00DF5" w:rsidRPr="00F00DF5" w:rsidRDefault="00F00DF5" w:rsidP="00F00DF5">
      <w:pPr>
        <w:ind w:right="-180" w:firstLine="708"/>
        <w:jc w:val="both"/>
        <w:rPr>
          <w:rFonts w:ascii="Abadi" w:hAnsi="Abadi" w:cs="Arial"/>
          <w:sz w:val="21"/>
          <w:szCs w:val="21"/>
        </w:rPr>
      </w:pPr>
      <w:r w:rsidRPr="00F00DF5">
        <w:rPr>
          <w:rFonts w:ascii="Abadi" w:hAnsi="Abadi" w:cs="Arial"/>
          <w:sz w:val="21"/>
          <w:szCs w:val="21"/>
        </w:rPr>
        <w:t>La iniciativa refiere en su exposición de motivos:</w:t>
      </w:r>
    </w:p>
    <w:p w14:paraId="2D7C9CF7" w14:textId="77777777" w:rsidR="00F00DF5" w:rsidRPr="00F00DF5" w:rsidRDefault="00F00DF5" w:rsidP="00F00DF5">
      <w:pPr>
        <w:ind w:right="-180" w:firstLine="708"/>
        <w:jc w:val="both"/>
        <w:rPr>
          <w:rFonts w:ascii="Abadi" w:hAnsi="Abadi" w:cs="Arial"/>
          <w:sz w:val="21"/>
          <w:szCs w:val="21"/>
        </w:rPr>
      </w:pPr>
    </w:p>
    <w:p w14:paraId="209E7245" w14:textId="77777777" w:rsidR="00F00DF5" w:rsidRPr="00F00DF5" w:rsidRDefault="00F00DF5" w:rsidP="00F00DF5">
      <w:pPr>
        <w:ind w:left="1134" w:right="900"/>
        <w:jc w:val="both"/>
        <w:rPr>
          <w:rFonts w:ascii="Abadi" w:hAnsi="Abadi" w:cs="Arial"/>
          <w:bCs/>
          <w:i/>
          <w:iCs/>
          <w:sz w:val="21"/>
          <w:szCs w:val="21"/>
        </w:rPr>
      </w:pPr>
      <w:r w:rsidRPr="00F00DF5">
        <w:rPr>
          <w:rFonts w:ascii="Abadi" w:hAnsi="Abadi" w:cs="Arial"/>
          <w:bCs/>
          <w:i/>
          <w:iCs/>
          <w:sz w:val="21"/>
          <w:szCs w:val="21"/>
        </w:rPr>
        <w:t xml:space="preserve">«En el Periódico Oficial del Estado de Guanajuato, número 261, Segunda Parte, del 31 de diciembre de 2021, se publicaron, en primer lugar, el Decreto Legislativo número 56, a través del cual se adicionó el artículo 31 fracción 1, con un inciso m) de la Ley Orgánica del Poder Ejecutivo para el Estado de Guanajuato, para conferir a la Secretaría de Seguridad Pública las atribuciones para expedir las licencias y permisos para conducir en el Estado y operar el registro estatal de licencias y de infracciones que, hasta antes de la entrada en vigor de dicho Decreto, le correspondían a la Secretaría de Gobierno. En segundo lugar, en el citado medio de difusión oficial se publicó el Decreto Legislativo número 57, mediante el cual se reformaron diversas disposiciones de la Ley de Movilidad del Estado de Guanajuato y sus Municipios y de la Ley del Sistema de Seguridad Pública del Estado de Guanajuato. </w:t>
      </w:r>
    </w:p>
    <w:p w14:paraId="79927FEE" w14:textId="77777777" w:rsidR="00F00DF5" w:rsidRPr="00F00DF5" w:rsidRDefault="00F00DF5" w:rsidP="00F00DF5">
      <w:pPr>
        <w:ind w:left="1134" w:right="900"/>
        <w:jc w:val="both"/>
        <w:rPr>
          <w:rFonts w:ascii="Abadi" w:hAnsi="Abadi" w:cs="Arial"/>
          <w:bCs/>
          <w:i/>
          <w:iCs/>
          <w:sz w:val="21"/>
          <w:szCs w:val="21"/>
        </w:rPr>
      </w:pPr>
    </w:p>
    <w:p w14:paraId="0442B684" w14:textId="77777777" w:rsidR="00F00DF5" w:rsidRPr="00F00DF5" w:rsidRDefault="00F00DF5" w:rsidP="00F00DF5">
      <w:pPr>
        <w:tabs>
          <w:tab w:val="left" w:pos="709"/>
          <w:tab w:val="left" w:pos="851"/>
        </w:tabs>
        <w:ind w:left="1134" w:right="900"/>
        <w:jc w:val="both"/>
        <w:rPr>
          <w:rFonts w:ascii="Abadi" w:hAnsi="Abadi"/>
          <w:i/>
          <w:iCs/>
          <w:color w:val="000000"/>
          <w:sz w:val="21"/>
          <w:szCs w:val="21"/>
          <w:shd w:val="clear" w:color="auto" w:fill="FAFFFC"/>
        </w:rPr>
      </w:pPr>
      <w:r w:rsidRPr="00F00DF5">
        <w:rPr>
          <w:rFonts w:ascii="Abadi" w:hAnsi="Abadi" w:cs="Arial"/>
          <w:bCs/>
          <w:i/>
          <w:iCs/>
          <w:sz w:val="21"/>
          <w:szCs w:val="21"/>
        </w:rPr>
        <w:t xml:space="preserve">Ahora bien, el sistema de vacatio legis previsto en ambos Decretos Legislativos para su respectiva entrada en vigor se dispuso en los artículos Primero de cada </w:t>
      </w:r>
      <w:r w:rsidRPr="00F00DF5">
        <w:rPr>
          <w:rFonts w:ascii="Abadi" w:hAnsi="Abadi" w:cs="Arial"/>
          <w:bCs/>
          <w:i/>
          <w:iCs/>
          <w:sz w:val="21"/>
          <w:szCs w:val="21"/>
        </w:rPr>
        <w:t>uno de ellos, en los siguientes términos:</w:t>
      </w:r>
    </w:p>
    <w:p w14:paraId="0E608C8B" w14:textId="77777777" w:rsidR="00F00DF5" w:rsidRPr="00F00DF5" w:rsidRDefault="00F00DF5" w:rsidP="00F00DF5">
      <w:pPr>
        <w:ind w:left="1134" w:right="900"/>
        <w:jc w:val="both"/>
        <w:rPr>
          <w:rFonts w:ascii="Abadi" w:hAnsi="Abadi" w:cs="Arial"/>
          <w:i/>
          <w:iCs/>
          <w:sz w:val="21"/>
          <w:szCs w:val="21"/>
          <w:lang w:eastAsia="es-MX"/>
        </w:rPr>
      </w:pPr>
    </w:p>
    <w:p w14:paraId="28FC78E1" w14:textId="77777777" w:rsidR="00F00DF5" w:rsidRPr="00F00DF5" w:rsidRDefault="00F00DF5" w:rsidP="00F00DF5">
      <w:pPr>
        <w:ind w:left="1134" w:right="900"/>
        <w:jc w:val="both"/>
        <w:rPr>
          <w:rFonts w:ascii="Abadi" w:hAnsi="Abadi" w:cs="Arial"/>
          <w:b/>
          <w:bCs/>
          <w:i/>
          <w:iCs/>
          <w:sz w:val="21"/>
          <w:szCs w:val="21"/>
          <w:lang w:eastAsia="es-MX"/>
        </w:rPr>
      </w:pPr>
      <w:r w:rsidRPr="00F00DF5">
        <w:rPr>
          <w:rFonts w:ascii="Abadi" w:hAnsi="Abadi" w:cs="Arial"/>
          <w:b/>
          <w:bCs/>
          <w:i/>
          <w:iCs/>
          <w:sz w:val="21"/>
          <w:szCs w:val="21"/>
          <w:lang w:eastAsia="es-MX"/>
        </w:rPr>
        <w:t>Decreto Legislativ</w:t>
      </w:r>
      <w:r w:rsidRPr="00F00DF5">
        <w:rPr>
          <w:rFonts w:ascii="Abadi" w:eastAsia="Verdana" w:hAnsi="Abadi" w:cs="Verdana"/>
          <w:b/>
          <w:bCs/>
          <w:i/>
          <w:iCs/>
          <w:sz w:val="21"/>
          <w:szCs w:val="21"/>
          <w:lang w:eastAsia="es-MX"/>
        </w:rPr>
        <w:t>o</w:t>
      </w:r>
      <w:r w:rsidRPr="00F00DF5">
        <w:rPr>
          <w:rFonts w:ascii="Abadi" w:hAnsi="Abadi" w:cs="Arial"/>
          <w:b/>
          <w:bCs/>
          <w:i/>
          <w:iCs/>
          <w:sz w:val="21"/>
          <w:szCs w:val="21"/>
          <w:lang w:eastAsia="es-MX"/>
        </w:rPr>
        <w:t xml:space="preserve"> número 56:</w:t>
      </w:r>
    </w:p>
    <w:p w14:paraId="78B6150B" w14:textId="77777777" w:rsidR="00F00DF5" w:rsidRPr="00F00DF5" w:rsidRDefault="00F00DF5" w:rsidP="00F00DF5">
      <w:pPr>
        <w:ind w:left="1134" w:right="900"/>
        <w:jc w:val="both"/>
        <w:rPr>
          <w:rFonts w:ascii="Abadi" w:hAnsi="Abadi" w:cs="Arial"/>
          <w:b/>
          <w:bCs/>
          <w:i/>
          <w:iCs/>
          <w:sz w:val="21"/>
          <w:szCs w:val="21"/>
          <w:lang w:eastAsia="es-MX"/>
        </w:rPr>
      </w:pPr>
    </w:p>
    <w:p w14:paraId="7C5247DF" w14:textId="77777777" w:rsidR="00F00DF5" w:rsidRPr="00F00DF5" w:rsidRDefault="00F00DF5" w:rsidP="00F00DF5">
      <w:pPr>
        <w:ind w:left="1134" w:right="900"/>
        <w:jc w:val="both"/>
        <w:rPr>
          <w:rFonts w:ascii="Abadi" w:hAnsi="Abadi" w:cs="Arial"/>
          <w:bCs/>
          <w:i/>
          <w:iCs/>
          <w:sz w:val="21"/>
          <w:szCs w:val="21"/>
        </w:rPr>
      </w:pPr>
      <w:r w:rsidRPr="00F00DF5">
        <w:rPr>
          <w:rFonts w:ascii="Abadi" w:hAnsi="Abadi" w:cs="Arial"/>
          <w:b/>
          <w:i/>
          <w:iCs/>
          <w:sz w:val="21"/>
          <w:szCs w:val="21"/>
        </w:rPr>
        <w:t>Artículo Primero.</w:t>
      </w:r>
      <w:r w:rsidRPr="00F00DF5">
        <w:rPr>
          <w:rFonts w:ascii="Abadi" w:hAnsi="Abadi" w:cs="Arial"/>
          <w:bCs/>
          <w:i/>
          <w:iCs/>
          <w:sz w:val="21"/>
          <w:szCs w:val="21"/>
        </w:rPr>
        <w:t xml:space="preserve"> El presente Decreto entrará en vigor en la misma fecha en que lo hagan las reformas a las leyes de Movilidad del Estado de Guanajuato y sus Municipios y del Sistema de Seguridad Pública del Estado de Guanajuato, respectivamente, que expida el Congreso del Estado por virtud de la reforma a que se refiere el presente Decreto, previa publicación en el Periódico Oficial del Gobierno del Estado de Guanajuato.</w:t>
      </w:r>
    </w:p>
    <w:p w14:paraId="7B9C2008" w14:textId="77777777" w:rsidR="00F00DF5" w:rsidRPr="00F00DF5" w:rsidRDefault="00F00DF5" w:rsidP="00F00DF5">
      <w:pPr>
        <w:ind w:left="1134" w:right="900"/>
        <w:jc w:val="both"/>
        <w:rPr>
          <w:rFonts w:ascii="Abadi" w:hAnsi="Abadi" w:cs="Arial"/>
          <w:b/>
          <w:bCs/>
          <w:i/>
          <w:iCs/>
          <w:sz w:val="21"/>
          <w:szCs w:val="21"/>
          <w:lang w:eastAsia="es-MX"/>
        </w:rPr>
      </w:pPr>
    </w:p>
    <w:p w14:paraId="2F85D402" w14:textId="77777777" w:rsidR="00F00DF5" w:rsidRPr="00F00DF5" w:rsidRDefault="00F00DF5" w:rsidP="00F00DF5">
      <w:pPr>
        <w:ind w:left="1134" w:right="900"/>
        <w:jc w:val="both"/>
        <w:rPr>
          <w:rFonts w:ascii="Abadi" w:hAnsi="Abadi" w:cs="Arial"/>
          <w:b/>
          <w:bCs/>
          <w:i/>
          <w:iCs/>
          <w:sz w:val="21"/>
          <w:szCs w:val="21"/>
          <w:lang w:eastAsia="es-MX"/>
        </w:rPr>
      </w:pPr>
      <w:r w:rsidRPr="00F00DF5">
        <w:rPr>
          <w:rFonts w:ascii="Abadi" w:hAnsi="Abadi" w:cs="Arial"/>
          <w:b/>
          <w:bCs/>
          <w:i/>
          <w:iCs/>
          <w:sz w:val="21"/>
          <w:szCs w:val="21"/>
          <w:lang w:eastAsia="es-MX"/>
        </w:rPr>
        <w:t>Decreto Legislativ</w:t>
      </w:r>
      <w:r w:rsidRPr="00F00DF5">
        <w:rPr>
          <w:rFonts w:ascii="Abadi" w:eastAsia="Verdana" w:hAnsi="Abadi" w:cs="Verdana"/>
          <w:b/>
          <w:bCs/>
          <w:i/>
          <w:iCs/>
          <w:sz w:val="21"/>
          <w:szCs w:val="21"/>
          <w:lang w:eastAsia="es-MX"/>
        </w:rPr>
        <w:t>o</w:t>
      </w:r>
      <w:r w:rsidRPr="00F00DF5">
        <w:rPr>
          <w:rFonts w:ascii="Abadi" w:hAnsi="Abadi" w:cs="Arial"/>
          <w:b/>
          <w:bCs/>
          <w:i/>
          <w:iCs/>
          <w:sz w:val="21"/>
          <w:szCs w:val="21"/>
          <w:lang w:eastAsia="es-MX"/>
        </w:rPr>
        <w:t xml:space="preserve"> número 57:</w:t>
      </w:r>
    </w:p>
    <w:p w14:paraId="3C23295E" w14:textId="77777777" w:rsidR="00F00DF5" w:rsidRPr="00F00DF5" w:rsidRDefault="00F00DF5" w:rsidP="00F00DF5">
      <w:pPr>
        <w:ind w:left="1134" w:right="900"/>
        <w:jc w:val="both"/>
        <w:rPr>
          <w:rFonts w:ascii="Abadi" w:hAnsi="Abadi" w:cs="Arial"/>
          <w:b/>
          <w:bCs/>
          <w:i/>
          <w:iCs/>
          <w:sz w:val="21"/>
          <w:szCs w:val="21"/>
          <w:lang w:eastAsia="es-MX"/>
        </w:rPr>
      </w:pPr>
    </w:p>
    <w:p w14:paraId="2BF6D06B" w14:textId="77777777" w:rsidR="00F00DF5" w:rsidRPr="00F00DF5" w:rsidRDefault="00F00DF5" w:rsidP="00F00DF5">
      <w:pPr>
        <w:ind w:left="1134" w:right="900"/>
        <w:jc w:val="right"/>
        <w:rPr>
          <w:rFonts w:ascii="Abadi" w:hAnsi="Abadi" w:cs="Arial"/>
          <w:b/>
          <w:bCs/>
          <w:i/>
          <w:iCs/>
          <w:sz w:val="21"/>
          <w:szCs w:val="21"/>
          <w:lang w:eastAsia="es-MX"/>
        </w:rPr>
      </w:pPr>
      <w:r w:rsidRPr="00F00DF5">
        <w:rPr>
          <w:rFonts w:ascii="Abadi" w:hAnsi="Abadi" w:cs="Arial"/>
          <w:b/>
          <w:bCs/>
          <w:i/>
          <w:iCs/>
          <w:sz w:val="21"/>
          <w:szCs w:val="21"/>
          <w:lang w:eastAsia="es-MX"/>
        </w:rPr>
        <w:t xml:space="preserve">Inicio de vigencia </w:t>
      </w:r>
    </w:p>
    <w:p w14:paraId="36A66779" w14:textId="77777777" w:rsidR="00F00DF5" w:rsidRPr="00F00DF5" w:rsidRDefault="00F00DF5" w:rsidP="00F00DF5">
      <w:pPr>
        <w:tabs>
          <w:tab w:val="left" w:pos="709"/>
        </w:tabs>
        <w:ind w:left="1134" w:right="900"/>
        <w:jc w:val="both"/>
        <w:rPr>
          <w:rFonts w:ascii="Abadi" w:hAnsi="Abadi" w:cs="Arial"/>
          <w:i/>
          <w:iCs/>
          <w:sz w:val="21"/>
          <w:szCs w:val="21"/>
          <w:lang w:eastAsia="es-MX"/>
        </w:rPr>
      </w:pPr>
      <w:r w:rsidRPr="00F00DF5">
        <w:rPr>
          <w:rFonts w:ascii="Abadi" w:hAnsi="Abadi" w:cs="Arial"/>
          <w:b/>
          <w:bCs/>
          <w:i/>
          <w:iCs/>
          <w:sz w:val="21"/>
          <w:szCs w:val="21"/>
          <w:lang w:eastAsia="es-MX"/>
        </w:rPr>
        <w:t xml:space="preserve">Artículo Primero. </w:t>
      </w:r>
      <w:r w:rsidRPr="00F00DF5">
        <w:rPr>
          <w:rFonts w:ascii="Abadi" w:hAnsi="Abadi" w:cs="Arial"/>
          <w:i/>
          <w:iCs/>
          <w:sz w:val="21"/>
          <w:szCs w:val="21"/>
          <w:lang w:eastAsia="es-MX"/>
        </w:rPr>
        <w:t>El presente Decreto entrará en vigor el día siguiente al de su publicación en el Periódico Oficial del Gobierno del Estado de Guanajuato.</w:t>
      </w:r>
    </w:p>
    <w:p w14:paraId="28DC5531" w14:textId="77777777" w:rsidR="00F00DF5" w:rsidRPr="00F00DF5" w:rsidRDefault="00F00DF5" w:rsidP="00F00DF5">
      <w:pPr>
        <w:ind w:left="1134" w:right="900"/>
        <w:jc w:val="both"/>
        <w:rPr>
          <w:rFonts w:ascii="Abadi" w:hAnsi="Abadi" w:cs="Arial"/>
          <w:b/>
          <w:bCs/>
          <w:i/>
          <w:iCs/>
          <w:sz w:val="21"/>
          <w:szCs w:val="21"/>
          <w:lang w:eastAsia="es-MX"/>
        </w:rPr>
      </w:pPr>
    </w:p>
    <w:p w14:paraId="27BCF02D" w14:textId="77777777" w:rsidR="00F00DF5" w:rsidRPr="00F00DF5" w:rsidRDefault="00F00DF5" w:rsidP="00F00DF5">
      <w:pPr>
        <w:ind w:left="1134" w:right="900"/>
        <w:jc w:val="both"/>
        <w:rPr>
          <w:rFonts w:ascii="Abadi" w:hAnsi="Abadi" w:cs="Arial"/>
          <w:bCs/>
          <w:i/>
          <w:iCs/>
          <w:sz w:val="21"/>
          <w:szCs w:val="21"/>
        </w:rPr>
      </w:pPr>
      <w:r w:rsidRPr="00F00DF5">
        <w:rPr>
          <w:rFonts w:ascii="Abadi" w:hAnsi="Abadi" w:cs="Arial"/>
          <w:bCs/>
          <w:i/>
          <w:iCs/>
          <w:sz w:val="21"/>
          <w:szCs w:val="21"/>
        </w:rPr>
        <w:t xml:space="preserve">En estos términos, la vigencia de ambos decretos comenzó a partir del 1 de enero del presente año. </w:t>
      </w:r>
    </w:p>
    <w:p w14:paraId="1656AABE" w14:textId="77777777" w:rsidR="00F00DF5" w:rsidRPr="00F00DF5" w:rsidRDefault="00F00DF5" w:rsidP="00F00DF5">
      <w:pPr>
        <w:ind w:left="1134" w:right="900"/>
        <w:jc w:val="both"/>
        <w:rPr>
          <w:rFonts w:ascii="Abadi" w:hAnsi="Abadi" w:cs="Arial"/>
          <w:bCs/>
          <w:i/>
          <w:iCs/>
          <w:sz w:val="21"/>
          <w:szCs w:val="21"/>
        </w:rPr>
      </w:pPr>
    </w:p>
    <w:p w14:paraId="15E0FDF0" w14:textId="77777777" w:rsidR="00F00DF5" w:rsidRPr="00F00DF5" w:rsidRDefault="00F00DF5" w:rsidP="00F00DF5">
      <w:pPr>
        <w:ind w:left="1134" w:right="900"/>
        <w:jc w:val="both"/>
        <w:rPr>
          <w:rFonts w:ascii="Abadi" w:hAnsi="Abadi" w:cs="Arial"/>
          <w:bCs/>
          <w:i/>
          <w:iCs/>
          <w:sz w:val="21"/>
          <w:szCs w:val="21"/>
        </w:rPr>
      </w:pPr>
      <w:r w:rsidRPr="00F00DF5">
        <w:rPr>
          <w:rFonts w:ascii="Abadi" w:hAnsi="Abadi" w:cs="Arial"/>
          <w:bCs/>
          <w:i/>
          <w:iCs/>
          <w:sz w:val="21"/>
          <w:szCs w:val="21"/>
        </w:rPr>
        <w:t>Por su parte, la Ley de Ingresos del Estado de Guanajuato para el Ejercicio Fiscal de 2022</w:t>
      </w:r>
      <w:r w:rsidRPr="00F00DF5">
        <w:rPr>
          <w:rFonts w:ascii="Abadi" w:hAnsi="Abadi" w:cs="Arial"/>
          <w:bCs/>
          <w:i/>
          <w:iCs/>
          <w:sz w:val="21"/>
          <w:szCs w:val="21"/>
          <w:vertAlign w:val="superscript"/>
        </w:rPr>
        <w:footnoteReference w:id="92"/>
      </w:r>
      <w:r w:rsidRPr="00F00DF5">
        <w:rPr>
          <w:rFonts w:ascii="Abadi" w:hAnsi="Abadi" w:cs="Arial"/>
          <w:bCs/>
          <w:i/>
          <w:iCs/>
          <w:sz w:val="21"/>
          <w:szCs w:val="21"/>
        </w:rPr>
        <w:t xml:space="preserve"> regula en el Título Cuarto, correspondiente a los Derechos, en el Capítulo V, denominado «Servicios que presta la Secretaría de </w:t>
      </w:r>
      <w:r w:rsidRPr="00F00DF5">
        <w:rPr>
          <w:rFonts w:ascii="Abadi" w:hAnsi="Abadi" w:cs="Arial"/>
          <w:bCs/>
          <w:i/>
          <w:iCs/>
          <w:sz w:val="21"/>
          <w:szCs w:val="21"/>
        </w:rPr>
        <w:lastRenderedPageBreak/>
        <w:t>Gobierno», de</w:t>
      </w:r>
      <w:r w:rsidRPr="00F00DF5">
        <w:rPr>
          <w:rFonts w:ascii="Abadi" w:hAnsi="Abadi"/>
          <w:sz w:val="21"/>
          <w:szCs w:val="21"/>
        </w:rPr>
        <w:t xml:space="preserve"> </w:t>
      </w:r>
      <w:r w:rsidRPr="00F00DF5">
        <w:rPr>
          <w:rFonts w:ascii="Abadi" w:hAnsi="Abadi" w:cs="Arial"/>
          <w:bCs/>
          <w:i/>
          <w:iCs/>
          <w:sz w:val="21"/>
          <w:szCs w:val="21"/>
        </w:rPr>
        <w:t xml:space="preserve">manera particular, los artículos 24, que se refiere a los derechos por expedición de licencias y permisos para conducir vehículos; 25, atinente a los derechos por permisos para circular y el numeral 26, relativo a los derechos por la expedición de constancias de movilidad y reconocimiento en materia de tránsito. Conceptos de derechos que están relacionados con el objeto de los Decretos Legislativos números 56 y 57 y con la materia de la presente Iniciativa. </w:t>
      </w:r>
    </w:p>
    <w:p w14:paraId="737A9B87" w14:textId="77777777" w:rsidR="00F00DF5" w:rsidRPr="00F00DF5" w:rsidRDefault="00F00DF5" w:rsidP="00F00DF5">
      <w:pPr>
        <w:ind w:left="1134" w:right="900"/>
        <w:jc w:val="both"/>
        <w:rPr>
          <w:rFonts w:ascii="Abadi" w:hAnsi="Abadi" w:cs="Arial"/>
          <w:bCs/>
          <w:i/>
          <w:iCs/>
          <w:sz w:val="21"/>
          <w:szCs w:val="21"/>
        </w:rPr>
      </w:pPr>
    </w:p>
    <w:p w14:paraId="41AD84DA" w14:textId="77777777" w:rsidR="00F00DF5" w:rsidRPr="00F00DF5" w:rsidRDefault="00F00DF5" w:rsidP="00F00DF5">
      <w:pPr>
        <w:ind w:left="1134" w:right="900"/>
        <w:jc w:val="both"/>
        <w:rPr>
          <w:rFonts w:ascii="Abadi" w:hAnsi="Abadi" w:cs="Arial"/>
          <w:bCs/>
          <w:i/>
          <w:iCs/>
          <w:sz w:val="21"/>
          <w:szCs w:val="21"/>
        </w:rPr>
      </w:pPr>
      <w:r w:rsidRPr="00F00DF5">
        <w:rPr>
          <w:rFonts w:ascii="Abadi" w:hAnsi="Abadi" w:cs="Arial"/>
          <w:bCs/>
          <w:i/>
          <w:iCs/>
          <w:sz w:val="21"/>
          <w:szCs w:val="21"/>
        </w:rPr>
        <w:t xml:space="preserve">En sesión ordinaria celebrada el 16 de diciembre de 2021, esa Sexagésima Quinta Legislatura del Congreso del Estado aprobó el Decreto Legislativo número 58, mediante el cual se expide la Ley de Ingresos del Estado de Guanajuato para el Ejercicio Fiscal de 2022. Dicho Decreto se publicó en el Periódico Oficial del Gobierno del Estado número 261, Segunda Parte, del 31 de diciembre del mismo año y, de conformidad con su Artículo Primero Transitorio, esta Ley entró en vigor el 1 de enero de 2022. </w:t>
      </w:r>
    </w:p>
    <w:p w14:paraId="38CE6DF2" w14:textId="77777777" w:rsidR="00F00DF5" w:rsidRPr="00F00DF5" w:rsidRDefault="00F00DF5" w:rsidP="00F00DF5">
      <w:pPr>
        <w:ind w:left="1134" w:right="900"/>
        <w:jc w:val="both"/>
        <w:rPr>
          <w:rFonts w:ascii="Abadi" w:hAnsi="Abadi" w:cs="Arial"/>
          <w:bCs/>
          <w:i/>
          <w:iCs/>
          <w:sz w:val="21"/>
          <w:szCs w:val="21"/>
        </w:rPr>
      </w:pPr>
    </w:p>
    <w:p w14:paraId="625CB314" w14:textId="77777777" w:rsidR="00F00DF5" w:rsidRPr="00F00DF5" w:rsidRDefault="00F00DF5" w:rsidP="00F00DF5">
      <w:pPr>
        <w:ind w:left="1134" w:right="900"/>
        <w:jc w:val="both"/>
        <w:rPr>
          <w:rFonts w:ascii="Abadi" w:hAnsi="Abadi" w:cs="Arial"/>
          <w:bCs/>
          <w:i/>
          <w:iCs/>
          <w:sz w:val="21"/>
          <w:szCs w:val="21"/>
        </w:rPr>
      </w:pPr>
      <w:r w:rsidRPr="00F00DF5">
        <w:rPr>
          <w:rFonts w:ascii="Abadi" w:hAnsi="Abadi" w:cs="Arial"/>
          <w:bCs/>
          <w:i/>
          <w:iCs/>
          <w:sz w:val="21"/>
          <w:szCs w:val="21"/>
        </w:rPr>
        <w:t xml:space="preserve">Así, tomando en consideración la entrada en vigor, durante el ejercicio fiscal de 2022, tanto de las modificaciones a la Ley Orgánica del Poder Ejecutivo para el Estado de Guanajuato, y de las leyes de Movilidad y del </w:t>
      </w:r>
      <w:r w:rsidRPr="00F00DF5">
        <w:rPr>
          <w:rFonts w:ascii="Abadi" w:hAnsi="Abadi" w:cs="Arial"/>
          <w:bCs/>
          <w:i/>
          <w:iCs/>
          <w:sz w:val="21"/>
          <w:szCs w:val="21"/>
        </w:rPr>
        <w:t>Sistema de Seguridad Pública estatales, contenidas en los citados Decretos Legislativos 56 y 57, a través de los cuales de trasladan las atribuciones relativas a expedir las licencias y permisos para conducir en el Estado y operar el registro estatal de licencias e infracciones, de la Secretaría de Gobierno a la Secretaría de Seguridad Pública -que a la fecha de la celebración de la sesión del Pleno en que se aprobó la Ley de Ingresos del Estado, aún no cobraban vigencia-, es que el H. Congreso del Estado determinó conveniente incorporar en la Ley de Ingresos</w:t>
      </w:r>
      <w:r w:rsidRPr="00F00DF5">
        <w:rPr>
          <w:rFonts w:ascii="Abadi" w:hAnsi="Abadi"/>
          <w:sz w:val="21"/>
          <w:szCs w:val="21"/>
        </w:rPr>
        <w:t xml:space="preserve"> </w:t>
      </w:r>
      <w:r w:rsidRPr="00F00DF5">
        <w:rPr>
          <w:rFonts w:ascii="Abadi" w:hAnsi="Abadi" w:cs="Arial"/>
          <w:bCs/>
          <w:i/>
          <w:iCs/>
          <w:sz w:val="21"/>
          <w:szCs w:val="21"/>
        </w:rPr>
        <w:t>del Estado de Guanajuato para el Ejercicio Fiscal de 2022, el artículo sexto transitorio, en los siguientes términos:</w:t>
      </w:r>
    </w:p>
    <w:p w14:paraId="194F0220" w14:textId="77777777" w:rsidR="00F00DF5" w:rsidRPr="00F00DF5" w:rsidRDefault="00F00DF5" w:rsidP="00F00DF5">
      <w:pPr>
        <w:ind w:left="1134" w:right="900"/>
        <w:jc w:val="both"/>
        <w:rPr>
          <w:rFonts w:ascii="Abadi" w:hAnsi="Abadi" w:cs="Arial"/>
          <w:bCs/>
          <w:i/>
          <w:iCs/>
          <w:sz w:val="21"/>
          <w:szCs w:val="21"/>
        </w:rPr>
      </w:pPr>
    </w:p>
    <w:p w14:paraId="071142C5" w14:textId="77777777" w:rsidR="00F00DF5" w:rsidRPr="00F00DF5" w:rsidRDefault="00F00DF5" w:rsidP="00F00DF5">
      <w:pPr>
        <w:ind w:left="1134" w:right="900"/>
        <w:jc w:val="right"/>
        <w:rPr>
          <w:rFonts w:ascii="Abadi" w:hAnsi="Abadi" w:cs="Arial"/>
          <w:b/>
          <w:i/>
          <w:iCs/>
          <w:sz w:val="21"/>
          <w:szCs w:val="21"/>
        </w:rPr>
      </w:pPr>
      <w:r w:rsidRPr="00F00DF5">
        <w:rPr>
          <w:rFonts w:ascii="Abadi" w:hAnsi="Abadi" w:cs="Arial"/>
          <w:b/>
          <w:i/>
          <w:iCs/>
          <w:sz w:val="21"/>
          <w:szCs w:val="21"/>
        </w:rPr>
        <w:t xml:space="preserve">«Transferencia de supuestos de cobro y tarifa </w:t>
      </w:r>
    </w:p>
    <w:p w14:paraId="3C3B3B6F" w14:textId="77777777" w:rsidR="00F00DF5" w:rsidRPr="00F00DF5" w:rsidRDefault="00F00DF5" w:rsidP="00F00DF5">
      <w:pPr>
        <w:ind w:left="1134" w:right="900"/>
        <w:jc w:val="both"/>
        <w:rPr>
          <w:rFonts w:ascii="Abadi" w:hAnsi="Abadi" w:cs="Arial"/>
          <w:bCs/>
          <w:i/>
          <w:iCs/>
          <w:sz w:val="21"/>
          <w:szCs w:val="21"/>
        </w:rPr>
      </w:pPr>
      <w:r w:rsidRPr="00F00DF5">
        <w:rPr>
          <w:rFonts w:ascii="Abadi" w:hAnsi="Abadi" w:cs="Arial"/>
          <w:b/>
          <w:i/>
          <w:iCs/>
          <w:sz w:val="21"/>
          <w:szCs w:val="21"/>
        </w:rPr>
        <w:t>Artículo Sexto.</w:t>
      </w:r>
      <w:r w:rsidRPr="00F00DF5">
        <w:rPr>
          <w:rFonts w:ascii="Abadi" w:hAnsi="Abadi" w:cs="Arial"/>
          <w:bCs/>
          <w:i/>
          <w:iCs/>
          <w:sz w:val="21"/>
          <w:szCs w:val="21"/>
        </w:rPr>
        <w:t xml:space="preserve"> Una vez que entre en vigencia las reformas, en las que se transfieren las atribuciones en materia de expedición de licencias, permisos para conducir y la expedición de constancias de movilidad y reconocimiento en materia de tránsito, de las secretarías de Gobierno a la de Seguridad Pública del Estado, y se concluya el proceso de entrega recepción, los cobros de los derechos previstos en los artículos 24, 25 y 26 de la presente Ley se entenderán conferidos a la Secretaría de Seguridad Pública.»</w:t>
      </w:r>
    </w:p>
    <w:p w14:paraId="4763F02F" w14:textId="77777777" w:rsidR="00F00DF5" w:rsidRPr="00F00DF5" w:rsidRDefault="00F00DF5" w:rsidP="00F00DF5">
      <w:pPr>
        <w:ind w:left="1134" w:right="900"/>
        <w:jc w:val="both"/>
        <w:rPr>
          <w:rFonts w:ascii="Abadi" w:hAnsi="Abadi" w:cs="Arial"/>
          <w:b/>
          <w:sz w:val="21"/>
          <w:szCs w:val="21"/>
          <w:lang w:val="es-MX"/>
        </w:rPr>
      </w:pPr>
    </w:p>
    <w:p w14:paraId="60021343" w14:textId="77777777" w:rsidR="00F00DF5" w:rsidRPr="00F00DF5" w:rsidRDefault="00F00DF5" w:rsidP="00F00DF5">
      <w:pPr>
        <w:ind w:left="1134" w:right="900"/>
        <w:jc w:val="both"/>
        <w:rPr>
          <w:rFonts w:ascii="Abadi" w:hAnsi="Abadi" w:cs="Arial"/>
          <w:bCs/>
          <w:i/>
          <w:iCs/>
          <w:sz w:val="21"/>
          <w:szCs w:val="21"/>
        </w:rPr>
      </w:pPr>
      <w:r w:rsidRPr="00F00DF5">
        <w:rPr>
          <w:rFonts w:ascii="Abadi" w:hAnsi="Abadi" w:cs="Arial"/>
          <w:bCs/>
          <w:i/>
          <w:iCs/>
          <w:sz w:val="21"/>
          <w:szCs w:val="21"/>
        </w:rPr>
        <w:lastRenderedPageBreak/>
        <w:t>Es así como el transitorio de previa cita, menciona que los cobros relativos a los derechos por expedición de licencias y permisos para conducir vehículos -artículo 24-, derechos por permisos para circular -artículo 25- y derechos por la expedición de constancias de movilidad y reconocimiento en materia de tránsito -artículo 26- se entenderán conferidos a la Secretaría de Seguridad Pública.</w:t>
      </w:r>
    </w:p>
    <w:p w14:paraId="4AA9E986" w14:textId="77777777" w:rsidR="00F00DF5" w:rsidRPr="00F00DF5" w:rsidRDefault="00F00DF5" w:rsidP="00F00DF5">
      <w:pPr>
        <w:ind w:left="1134" w:right="900"/>
        <w:jc w:val="both"/>
        <w:rPr>
          <w:rFonts w:ascii="Abadi" w:hAnsi="Abadi" w:cs="Arial"/>
          <w:bCs/>
          <w:i/>
          <w:iCs/>
          <w:sz w:val="21"/>
          <w:szCs w:val="21"/>
        </w:rPr>
      </w:pPr>
    </w:p>
    <w:p w14:paraId="7370A101" w14:textId="77777777" w:rsidR="00F00DF5" w:rsidRPr="00F00DF5" w:rsidRDefault="00F00DF5" w:rsidP="00F00DF5">
      <w:pPr>
        <w:ind w:left="1134" w:right="900"/>
        <w:jc w:val="both"/>
        <w:rPr>
          <w:rFonts w:ascii="Abadi" w:hAnsi="Abadi" w:cs="Arial"/>
          <w:bCs/>
          <w:i/>
          <w:iCs/>
          <w:sz w:val="21"/>
          <w:szCs w:val="21"/>
        </w:rPr>
      </w:pPr>
      <w:r w:rsidRPr="00F00DF5">
        <w:rPr>
          <w:rFonts w:ascii="Abadi" w:hAnsi="Abadi" w:cs="Arial"/>
          <w:bCs/>
          <w:i/>
          <w:iCs/>
          <w:sz w:val="21"/>
          <w:szCs w:val="21"/>
        </w:rPr>
        <w:t xml:space="preserve">Si bien es cierto que resulta necesario contar con una disposición transitoria en la Ley de Ingresos que contemple el supuesto de la asunción, por parte de la Secretaría de Seguridad Pública, de las atribuciones relativas a expedir las licencias y permisos para conducir en el Estado y operar el registro estatal de licencias y de infracciones, se considera que los derechos contemplados en el artículo 25 no corresponden al ámbito de competencia de la atribución que se traslada a dicha dependencia. </w:t>
      </w:r>
    </w:p>
    <w:p w14:paraId="42DD8FB6" w14:textId="77777777" w:rsidR="00F00DF5" w:rsidRPr="00F00DF5" w:rsidRDefault="00F00DF5" w:rsidP="00F00DF5">
      <w:pPr>
        <w:ind w:left="1134" w:right="900"/>
        <w:jc w:val="both"/>
        <w:rPr>
          <w:rFonts w:ascii="Abadi" w:hAnsi="Abadi" w:cs="Arial"/>
          <w:bCs/>
          <w:i/>
          <w:iCs/>
          <w:sz w:val="21"/>
          <w:szCs w:val="21"/>
        </w:rPr>
      </w:pPr>
    </w:p>
    <w:p w14:paraId="48DF05C5" w14:textId="77777777" w:rsidR="00F00DF5" w:rsidRPr="00F00DF5" w:rsidRDefault="00F00DF5" w:rsidP="00F00DF5">
      <w:pPr>
        <w:ind w:left="1134" w:right="900"/>
        <w:jc w:val="both"/>
        <w:rPr>
          <w:rFonts w:ascii="Abadi" w:hAnsi="Abadi" w:cs="Arial"/>
          <w:bCs/>
          <w:i/>
          <w:iCs/>
          <w:sz w:val="21"/>
          <w:szCs w:val="21"/>
        </w:rPr>
      </w:pPr>
      <w:r w:rsidRPr="00F00DF5">
        <w:rPr>
          <w:rFonts w:ascii="Abadi" w:hAnsi="Abadi" w:cs="Arial"/>
          <w:bCs/>
          <w:i/>
          <w:iCs/>
          <w:sz w:val="21"/>
          <w:szCs w:val="21"/>
        </w:rPr>
        <w:t xml:space="preserve">Dado que como se ha mencionado, dicho numeral se refiere a cobros por la expedición de permisos para circular, de manera particular: a) provisional para circular sin placas, por día del servicio de transporte privado y público, y b) para circular con exceso de carga o dimensiones, por mes o fracción. En </w:t>
      </w:r>
      <w:r w:rsidRPr="00F00DF5">
        <w:rPr>
          <w:rFonts w:ascii="Abadi" w:hAnsi="Abadi" w:cs="Arial"/>
          <w:bCs/>
          <w:i/>
          <w:iCs/>
          <w:sz w:val="21"/>
          <w:szCs w:val="21"/>
        </w:rPr>
        <w:t xml:space="preserve">atención a lo cual, se observa que la prestación de dichos servicios se encuentra dentro del ámbito de competencia de la Secretaría de Gobierno, como rectora en materia de los servicios público y especial de transporte, en términos de la Ley de Movilidad del Estado de Guanajuato y sus Municipios, por lo cual se estima necesaria la modificación del citado artículo sexto transitorio, a fin de eliminar la referencia al artículo 25, puesto que la prestación de dichos servicios continuará estando a cargo de la Secretaría de Gobierno. </w:t>
      </w:r>
    </w:p>
    <w:p w14:paraId="2EED2970" w14:textId="77777777" w:rsidR="00F00DF5" w:rsidRPr="00F00DF5" w:rsidRDefault="00F00DF5" w:rsidP="00F00DF5">
      <w:pPr>
        <w:ind w:left="1134" w:right="900"/>
        <w:jc w:val="both"/>
        <w:rPr>
          <w:rFonts w:ascii="Abadi" w:hAnsi="Abadi" w:cs="Arial"/>
          <w:bCs/>
          <w:i/>
          <w:iCs/>
          <w:sz w:val="21"/>
          <w:szCs w:val="21"/>
        </w:rPr>
      </w:pPr>
    </w:p>
    <w:p w14:paraId="5B5B837B" w14:textId="77777777" w:rsidR="00F00DF5" w:rsidRPr="00F00DF5" w:rsidRDefault="00F00DF5" w:rsidP="00F00DF5">
      <w:pPr>
        <w:ind w:left="1134" w:right="900"/>
        <w:jc w:val="both"/>
        <w:rPr>
          <w:rFonts w:ascii="Abadi" w:hAnsi="Abadi" w:cs="Arial"/>
          <w:bCs/>
          <w:i/>
          <w:iCs/>
          <w:sz w:val="21"/>
          <w:szCs w:val="21"/>
        </w:rPr>
      </w:pPr>
      <w:r w:rsidRPr="00F00DF5">
        <w:rPr>
          <w:rFonts w:ascii="Abadi" w:hAnsi="Abadi" w:cs="Arial"/>
          <w:bCs/>
          <w:i/>
          <w:iCs/>
          <w:sz w:val="21"/>
          <w:szCs w:val="21"/>
        </w:rPr>
        <w:t>La presente iniciativa se encuentra alineada con la Actualización del Programa de Gobierno 2018-2024</w:t>
      </w:r>
      <w:r w:rsidRPr="00F00DF5">
        <w:rPr>
          <w:rFonts w:ascii="Abadi" w:hAnsi="Abadi" w:cs="Arial"/>
          <w:bCs/>
          <w:i/>
          <w:iCs/>
          <w:sz w:val="21"/>
          <w:szCs w:val="21"/>
          <w:vertAlign w:val="superscript"/>
        </w:rPr>
        <w:footnoteReference w:id="93"/>
      </w:r>
      <w:r w:rsidRPr="00F00DF5">
        <w:rPr>
          <w:rFonts w:ascii="Abadi" w:hAnsi="Abadi" w:cs="Arial"/>
          <w:bCs/>
          <w:i/>
          <w:iCs/>
          <w:sz w:val="21"/>
          <w:szCs w:val="21"/>
        </w:rPr>
        <w:t>, de manera particular en el «Eje Gobierno Humano y Eficaz el cual busca impulsar la consolidación de servicios gubernamentales confiables, eficientes e innovadores para la población en el estado; en el «Objetivo 6.3. Fortalecer la gestión pública con enfoque de gobernabilidad, calidad e innovación» y la «Estrategia 6.3.1 Generación de experiencias de calidad en los servicios gubernamentales», teniendo como líneas</w:t>
      </w:r>
      <w:r w:rsidRPr="00F00DF5">
        <w:rPr>
          <w:rFonts w:ascii="Abadi" w:hAnsi="Abadi"/>
          <w:sz w:val="21"/>
          <w:szCs w:val="21"/>
        </w:rPr>
        <w:t xml:space="preserve"> </w:t>
      </w:r>
      <w:r w:rsidRPr="00F00DF5">
        <w:rPr>
          <w:rFonts w:ascii="Abadi" w:hAnsi="Abadi" w:cs="Arial"/>
          <w:bCs/>
          <w:i/>
          <w:iCs/>
          <w:sz w:val="21"/>
          <w:szCs w:val="21"/>
        </w:rPr>
        <w:t xml:space="preserve">de acción: mejorar la accesibilidad en la gestión de los trámites y servicios que se ofrecen a la ciudadanía, facilitar el </w:t>
      </w:r>
      <w:r w:rsidRPr="00F00DF5">
        <w:rPr>
          <w:rFonts w:ascii="Abadi" w:hAnsi="Abadi" w:cs="Arial"/>
          <w:bCs/>
          <w:i/>
          <w:iCs/>
          <w:sz w:val="21"/>
          <w:szCs w:val="21"/>
        </w:rPr>
        <w:lastRenderedPageBreak/>
        <w:t xml:space="preserve">intercambio de buenas prácticas que impacten la calidad de los servicios gubernamentales y mejorar la calidad en la prestación de trámites y servicios tanto internos como externos. </w:t>
      </w:r>
    </w:p>
    <w:p w14:paraId="60CFDEB2" w14:textId="77777777" w:rsidR="00F00DF5" w:rsidRPr="00F00DF5" w:rsidRDefault="00F00DF5" w:rsidP="00F00DF5">
      <w:pPr>
        <w:ind w:left="1134" w:right="900"/>
        <w:jc w:val="both"/>
        <w:rPr>
          <w:rFonts w:ascii="Abadi" w:hAnsi="Abadi" w:cs="Arial"/>
          <w:bCs/>
          <w:i/>
          <w:iCs/>
          <w:sz w:val="21"/>
          <w:szCs w:val="21"/>
        </w:rPr>
      </w:pPr>
    </w:p>
    <w:p w14:paraId="219F4AC7" w14:textId="77777777" w:rsidR="00F00DF5" w:rsidRPr="00F00DF5" w:rsidRDefault="00F00DF5" w:rsidP="00F00DF5">
      <w:pPr>
        <w:ind w:left="1134" w:right="900"/>
        <w:jc w:val="both"/>
        <w:rPr>
          <w:rFonts w:ascii="Abadi" w:hAnsi="Abadi" w:cs="Arial"/>
          <w:b/>
          <w:i/>
          <w:iCs/>
          <w:sz w:val="21"/>
          <w:szCs w:val="21"/>
        </w:rPr>
      </w:pPr>
      <w:r w:rsidRPr="00F00DF5">
        <w:rPr>
          <w:rFonts w:ascii="Abadi" w:hAnsi="Abadi" w:cs="Arial"/>
          <w:b/>
          <w:i/>
          <w:iCs/>
          <w:sz w:val="21"/>
          <w:szCs w:val="21"/>
        </w:rPr>
        <w:t xml:space="preserve">Contenido de la iniciativa </w:t>
      </w:r>
    </w:p>
    <w:p w14:paraId="77046E49" w14:textId="77777777" w:rsidR="00F00DF5" w:rsidRPr="00F00DF5" w:rsidRDefault="00F00DF5" w:rsidP="00F00DF5">
      <w:pPr>
        <w:ind w:left="1134" w:right="900"/>
        <w:jc w:val="both"/>
        <w:rPr>
          <w:rFonts w:ascii="Abadi" w:hAnsi="Abadi" w:cs="Arial"/>
          <w:bCs/>
          <w:i/>
          <w:iCs/>
          <w:sz w:val="21"/>
          <w:szCs w:val="21"/>
        </w:rPr>
      </w:pPr>
    </w:p>
    <w:p w14:paraId="0007D6FE" w14:textId="77777777" w:rsidR="00F00DF5" w:rsidRPr="00F00DF5" w:rsidRDefault="00F00DF5" w:rsidP="00F00DF5">
      <w:pPr>
        <w:ind w:left="1134" w:right="900"/>
        <w:jc w:val="both"/>
        <w:rPr>
          <w:rFonts w:ascii="Abadi" w:hAnsi="Abadi" w:cs="Arial"/>
          <w:bCs/>
          <w:i/>
          <w:iCs/>
          <w:sz w:val="21"/>
          <w:szCs w:val="21"/>
        </w:rPr>
      </w:pPr>
      <w:r w:rsidRPr="00F00DF5">
        <w:rPr>
          <w:rFonts w:ascii="Abadi" w:hAnsi="Abadi" w:cs="Arial"/>
          <w:bCs/>
          <w:i/>
          <w:iCs/>
          <w:sz w:val="21"/>
          <w:szCs w:val="21"/>
        </w:rPr>
        <w:t>Con base en lo anteriormente mencionado, se considera necesario reformar el artículo sexto transitorio de la Ley de Ingresos del Estado de Guanajuato para el Ejercicio Fiscal de 2022, con el objetivo de eliminar la referencia al artículo 25 de la misma ley, dado que los servicios referentes a la expedición de los permisos provisional para circular, ya sea sin placas del servicio de transporte privado y público; o con exceso de carga o dimensiones, no forman parte de las atribuciones que se trasladaron de la Secretaría de Gobierno a la Secretaría de Seguridad Pública.</w:t>
      </w:r>
    </w:p>
    <w:p w14:paraId="47CF741D" w14:textId="77777777" w:rsidR="00F00DF5" w:rsidRPr="00F00DF5" w:rsidRDefault="00F00DF5" w:rsidP="00F00DF5">
      <w:pPr>
        <w:ind w:left="1134" w:right="900"/>
        <w:jc w:val="both"/>
        <w:rPr>
          <w:rFonts w:ascii="Abadi" w:hAnsi="Abadi" w:cs="Arial"/>
          <w:bCs/>
          <w:i/>
          <w:iCs/>
          <w:sz w:val="21"/>
          <w:szCs w:val="21"/>
        </w:rPr>
      </w:pPr>
    </w:p>
    <w:p w14:paraId="7CA64BF5" w14:textId="77777777" w:rsidR="00F00DF5" w:rsidRPr="00F00DF5" w:rsidRDefault="00F00DF5" w:rsidP="00F00DF5">
      <w:pPr>
        <w:ind w:left="1134" w:right="900"/>
        <w:jc w:val="both"/>
        <w:rPr>
          <w:rFonts w:ascii="Abadi" w:hAnsi="Abadi" w:cs="Arial"/>
          <w:b/>
          <w:i/>
          <w:iCs/>
          <w:sz w:val="21"/>
          <w:szCs w:val="21"/>
        </w:rPr>
      </w:pPr>
      <w:r w:rsidRPr="00F00DF5">
        <w:rPr>
          <w:rFonts w:ascii="Abadi" w:hAnsi="Abadi" w:cs="Arial"/>
          <w:b/>
          <w:i/>
          <w:iCs/>
          <w:sz w:val="21"/>
          <w:szCs w:val="21"/>
        </w:rPr>
        <w:t>Evaluación ex ante</w:t>
      </w:r>
    </w:p>
    <w:p w14:paraId="12BCF22A" w14:textId="77777777" w:rsidR="00F00DF5" w:rsidRPr="00F00DF5" w:rsidRDefault="00F00DF5" w:rsidP="00F00DF5">
      <w:pPr>
        <w:ind w:left="1134" w:right="900"/>
        <w:jc w:val="both"/>
        <w:rPr>
          <w:rFonts w:ascii="Abadi" w:hAnsi="Abadi" w:cs="Arial"/>
          <w:b/>
          <w:i/>
          <w:iCs/>
          <w:sz w:val="21"/>
          <w:szCs w:val="21"/>
        </w:rPr>
      </w:pPr>
    </w:p>
    <w:p w14:paraId="75A2E7FB" w14:textId="77777777" w:rsidR="00F00DF5" w:rsidRPr="00F00DF5" w:rsidRDefault="00F00DF5" w:rsidP="00F00DF5">
      <w:pPr>
        <w:ind w:left="1134" w:right="900"/>
        <w:jc w:val="both"/>
        <w:rPr>
          <w:rFonts w:ascii="Abadi" w:hAnsi="Abadi" w:cs="Arial"/>
          <w:bCs/>
          <w:i/>
          <w:iCs/>
          <w:sz w:val="21"/>
          <w:szCs w:val="21"/>
        </w:rPr>
      </w:pPr>
      <w:r w:rsidRPr="00F00DF5">
        <w:rPr>
          <w:rFonts w:ascii="Abadi" w:hAnsi="Abadi" w:cs="Arial"/>
          <w:bCs/>
          <w:i/>
          <w:iCs/>
          <w:sz w:val="21"/>
          <w:szCs w:val="21"/>
        </w:rPr>
        <w:t xml:space="preserve">Finalmente, si bien la evaluación legislativa no pertenece expresamente al rubro de la técnica legislativa (y más bien a la de ciencia de la legislación), existe una relación sumamente estrecha entre ambos; los resultados arrojados por la evaluación legislativa respecto a los productos donde una norma tiene incidencia directa no sólo en el contenido sustantivo de la legislación -qué se legisla- sino también en la </w:t>
      </w:r>
      <w:r w:rsidRPr="00F00DF5">
        <w:rPr>
          <w:rFonts w:ascii="Abadi" w:hAnsi="Abadi" w:cs="Arial"/>
          <w:bCs/>
          <w:i/>
          <w:iCs/>
          <w:sz w:val="21"/>
          <w:szCs w:val="21"/>
        </w:rPr>
        <w:t>plasmación lingüística de la norma -con qué palabras se legisla-, por ello, atendiendo la previsión del artículo 209 de la Ley Orgánica del Poder Legislativo, relativo a la evaluación ex ante de la norma, a partir de la evaluación del impacto jurídico, administrativo, presupuestario y social, se manifiesta:</w:t>
      </w:r>
    </w:p>
    <w:p w14:paraId="05AA8744" w14:textId="77777777" w:rsidR="00F00DF5" w:rsidRPr="00F00DF5" w:rsidRDefault="00F00DF5" w:rsidP="00F00DF5">
      <w:pPr>
        <w:ind w:left="1134" w:right="900"/>
        <w:jc w:val="both"/>
        <w:rPr>
          <w:rFonts w:ascii="Abadi" w:hAnsi="Abadi" w:cs="Arial"/>
          <w:bCs/>
          <w:i/>
          <w:iCs/>
          <w:sz w:val="21"/>
          <w:szCs w:val="21"/>
        </w:rPr>
      </w:pPr>
    </w:p>
    <w:p w14:paraId="7A13F193" w14:textId="77777777" w:rsidR="00F00DF5" w:rsidRPr="00F00DF5" w:rsidRDefault="00F00DF5" w:rsidP="00B81728">
      <w:pPr>
        <w:numPr>
          <w:ilvl w:val="0"/>
          <w:numId w:val="25"/>
        </w:numPr>
        <w:ind w:left="1134" w:right="900" w:firstLine="0"/>
        <w:jc w:val="both"/>
        <w:rPr>
          <w:rFonts w:ascii="Abadi" w:hAnsi="Abadi" w:cs="Arial"/>
          <w:bCs/>
          <w:i/>
          <w:iCs/>
          <w:sz w:val="21"/>
          <w:szCs w:val="21"/>
        </w:rPr>
      </w:pPr>
      <w:r w:rsidRPr="00F00DF5">
        <w:rPr>
          <w:rFonts w:ascii="Abadi" w:hAnsi="Abadi" w:cs="Arial"/>
          <w:bCs/>
          <w:i/>
          <w:iCs/>
          <w:sz w:val="21"/>
          <w:szCs w:val="21"/>
        </w:rPr>
        <w:t>Impacto jurídico: este se traducirá en el ejercicio de la facultad de lniciante consignada en el artículo 56 fracción I de la Constitución Política Local, mediante la propuesta de Iniciativa a efecto de reformar el artículo sexto transitorio de la Ley de Ingresos del Estado de Guanajuato para el Ejercicio Fiscal de 2022;</w:t>
      </w:r>
    </w:p>
    <w:p w14:paraId="6A27853E" w14:textId="77777777" w:rsidR="00F00DF5" w:rsidRPr="00F00DF5" w:rsidRDefault="00F00DF5" w:rsidP="00F00DF5">
      <w:pPr>
        <w:ind w:left="1134" w:right="900"/>
        <w:jc w:val="both"/>
        <w:rPr>
          <w:rFonts w:ascii="Abadi" w:hAnsi="Abadi" w:cs="Arial"/>
          <w:bCs/>
          <w:i/>
          <w:iCs/>
          <w:sz w:val="21"/>
          <w:szCs w:val="21"/>
        </w:rPr>
      </w:pPr>
    </w:p>
    <w:p w14:paraId="092F8AA5" w14:textId="77777777" w:rsidR="00F00DF5" w:rsidRPr="00F00DF5" w:rsidRDefault="00F00DF5" w:rsidP="00B81728">
      <w:pPr>
        <w:numPr>
          <w:ilvl w:val="0"/>
          <w:numId w:val="25"/>
        </w:numPr>
        <w:ind w:left="1134" w:right="900" w:firstLine="0"/>
        <w:jc w:val="both"/>
        <w:rPr>
          <w:rFonts w:ascii="Abadi" w:hAnsi="Abadi" w:cs="Arial"/>
          <w:bCs/>
          <w:i/>
          <w:iCs/>
          <w:sz w:val="21"/>
          <w:szCs w:val="21"/>
        </w:rPr>
      </w:pPr>
      <w:r w:rsidRPr="00F00DF5">
        <w:rPr>
          <w:rFonts w:ascii="Abadi" w:hAnsi="Abadi" w:cs="Arial"/>
          <w:bCs/>
          <w:i/>
          <w:iCs/>
          <w:sz w:val="21"/>
          <w:szCs w:val="21"/>
        </w:rPr>
        <w:t>Impacto administrativo: debido a los alcances y naturaleza de la adecuación que se propone, no se actualizan impactos de corte administrativo;</w:t>
      </w:r>
    </w:p>
    <w:p w14:paraId="7FE69DBA" w14:textId="77777777" w:rsidR="00F00DF5" w:rsidRPr="00F00DF5" w:rsidRDefault="00F00DF5" w:rsidP="00F00DF5">
      <w:pPr>
        <w:ind w:left="1134" w:right="900"/>
        <w:rPr>
          <w:rFonts w:ascii="Abadi" w:hAnsi="Abadi" w:cs="Arial"/>
          <w:bCs/>
          <w:i/>
          <w:iCs/>
          <w:sz w:val="21"/>
          <w:szCs w:val="21"/>
        </w:rPr>
      </w:pPr>
    </w:p>
    <w:p w14:paraId="4D3DD4D7" w14:textId="77777777" w:rsidR="00F00DF5" w:rsidRPr="00F00DF5" w:rsidRDefault="00F00DF5" w:rsidP="00B81728">
      <w:pPr>
        <w:numPr>
          <w:ilvl w:val="0"/>
          <w:numId w:val="25"/>
        </w:numPr>
        <w:ind w:left="1134" w:right="900" w:firstLine="0"/>
        <w:jc w:val="both"/>
        <w:rPr>
          <w:rFonts w:ascii="Abadi" w:hAnsi="Abadi" w:cs="Arial"/>
          <w:bCs/>
          <w:i/>
          <w:iCs/>
          <w:sz w:val="21"/>
          <w:szCs w:val="21"/>
        </w:rPr>
      </w:pPr>
      <w:r w:rsidRPr="00F00DF5">
        <w:rPr>
          <w:rFonts w:ascii="Abadi" w:hAnsi="Abadi" w:cs="Arial"/>
          <w:bCs/>
          <w:i/>
          <w:iCs/>
          <w:sz w:val="21"/>
          <w:szCs w:val="21"/>
        </w:rPr>
        <w:t>Impacto presupuestario: acorde a lo establecido además en el artículo 37 bis de la Ley para el Ejercicio y Control de los Recursos Públicos para el Estado y los Municipios de Guanajuato, no se actualizan impactos de corte presupuestario en el gasto, ya que no implican costos en la propuesta de reforma; y</w:t>
      </w:r>
    </w:p>
    <w:p w14:paraId="581B2813" w14:textId="77777777" w:rsidR="00F00DF5" w:rsidRPr="00F00DF5" w:rsidRDefault="00F00DF5" w:rsidP="00F00DF5">
      <w:pPr>
        <w:ind w:left="1134" w:right="900"/>
        <w:rPr>
          <w:rFonts w:ascii="Abadi" w:hAnsi="Abadi" w:cs="Arial"/>
          <w:bCs/>
          <w:i/>
          <w:iCs/>
          <w:sz w:val="21"/>
          <w:szCs w:val="21"/>
        </w:rPr>
      </w:pPr>
    </w:p>
    <w:p w14:paraId="24DD574B" w14:textId="77777777" w:rsidR="00F00DF5" w:rsidRPr="00F00DF5" w:rsidRDefault="00F00DF5" w:rsidP="00B81728">
      <w:pPr>
        <w:numPr>
          <w:ilvl w:val="0"/>
          <w:numId w:val="25"/>
        </w:numPr>
        <w:ind w:left="1134" w:right="900" w:firstLine="0"/>
        <w:jc w:val="both"/>
        <w:rPr>
          <w:rFonts w:ascii="Abadi" w:hAnsi="Abadi" w:cs="Arial"/>
          <w:bCs/>
          <w:i/>
          <w:iCs/>
          <w:sz w:val="21"/>
          <w:szCs w:val="21"/>
        </w:rPr>
      </w:pPr>
      <w:r w:rsidRPr="00F00DF5">
        <w:rPr>
          <w:rFonts w:ascii="Abadi" w:hAnsi="Abadi" w:cs="Arial"/>
          <w:bCs/>
          <w:i/>
          <w:iCs/>
          <w:sz w:val="21"/>
          <w:szCs w:val="21"/>
        </w:rPr>
        <w:t xml:space="preserve">Impacto social: permitirá otorgar una mayor certeza a las personas solicitantes de </w:t>
      </w:r>
      <w:r w:rsidRPr="00F00DF5">
        <w:rPr>
          <w:rFonts w:ascii="Abadi" w:hAnsi="Abadi" w:cs="Arial"/>
          <w:bCs/>
          <w:i/>
          <w:iCs/>
          <w:sz w:val="21"/>
          <w:szCs w:val="21"/>
        </w:rPr>
        <w:lastRenderedPageBreak/>
        <w:t>los permisos para circular sin placas del servicio de transporte privado y público, o con exceso de carga o dimensiones.»</w:t>
      </w:r>
    </w:p>
    <w:p w14:paraId="5A6A8B6C" w14:textId="77777777" w:rsidR="00F00DF5" w:rsidRPr="00F00DF5" w:rsidRDefault="00F00DF5" w:rsidP="00F00DF5">
      <w:pPr>
        <w:ind w:left="709"/>
        <w:jc w:val="both"/>
        <w:rPr>
          <w:rFonts w:ascii="Abadi" w:hAnsi="Abadi" w:cs="Arial"/>
          <w:bCs/>
          <w:i/>
          <w:iCs/>
          <w:sz w:val="21"/>
          <w:szCs w:val="21"/>
        </w:rPr>
      </w:pPr>
    </w:p>
    <w:p w14:paraId="44738A65" w14:textId="77777777" w:rsidR="00F00DF5" w:rsidRPr="00F00DF5" w:rsidRDefault="00F00DF5" w:rsidP="00F00DF5">
      <w:pPr>
        <w:jc w:val="both"/>
        <w:rPr>
          <w:rFonts w:ascii="Abadi" w:hAnsi="Abadi" w:cs="Arial"/>
          <w:b/>
          <w:sz w:val="21"/>
          <w:szCs w:val="21"/>
          <w:lang w:val="es-MX"/>
        </w:rPr>
      </w:pPr>
    </w:p>
    <w:p w14:paraId="1F912E91" w14:textId="77777777" w:rsidR="00F00DF5" w:rsidRPr="00F00DF5" w:rsidRDefault="00F00DF5" w:rsidP="00F00DF5">
      <w:pPr>
        <w:jc w:val="both"/>
        <w:rPr>
          <w:rFonts w:ascii="Abadi" w:hAnsi="Abadi" w:cs="Arial"/>
          <w:b/>
          <w:sz w:val="21"/>
          <w:szCs w:val="21"/>
          <w:lang w:val="es-MX"/>
        </w:rPr>
      </w:pPr>
      <w:r w:rsidRPr="00F00DF5">
        <w:rPr>
          <w:rFonts w:ascii="Abadi" w:hAnsi="Abadi" w:cs="Arial"/>
          <w:b/>
          <w:sz w:val="21"/>
          <w:szCs w:val="21"/>
          <w:lang w:val="es-MX"/>
        </w:rPr>
        <w:t>III.</w:t>
      </w:r>
      <w:r w:rsidRPr="00F00DF5">
        <w:rPr>
          <w:rFonts w:ascii="Abadi" w:hAnsi="Abadi" w:cs="Arial"/>
          <w:b/>
          <w:sz w:val="21"/>
          <w:szCs w:val="21"/>
          <w:lang w:val="es-MX"/>
        </w:rPr>
        <w:tab/>
        <w:t>Valoración de la iniciativa.</w:t>
      </w:r>
    </w:p>
    <w:p w14:paraId="1FB43D68" w14:textId="77777777" w:rsidR="00F00DF5" w:rsidRPr="00F00DF5" w:rsidRDefault="00F00DF5" w:rsidP="00F00DF5">
      <w:pPr>
        <w:ind w:firstLine="708"/>
        <w:jc w:val="both"/>
        <w:rPr>
          <w:rFonts w:ascii="Abadi" w:hAnsi="Abadi" w:cs="Arial"/>
          <w:sz w:val="21"/>
          <w:szCs w:val="21"/>
        </w:rPr>
      </w:pPr>
    </w:p>
    <w:p w14:paraId="60A47241" w14:textId="77777777" w:rsidR="00F00DF5" w:rsidRPr="00F00DF5" w:rsidRDefault="00F00DF5" w:rsidP="00F00DF5">
      <w:pPr>
        <w:spacing w:line="276" w:lineRule="auto"/>
        <w:ind w:firstLine="708"/>
        <w:jc w:val="both"/>
        <w:rPr>
          <w:rFonts w:ascii="Abadi" w:eastAsia="Batang" w:hAnsi="Abadi" w:cs="Arial"/>
          <w:sz w:val="21"/>
          <w:szCs w:val="21"/>
        </w:rPr>
      </w:pPr>
      <w:r w:rsidRPr="00F00DF5">
        <w:rPr>
          <w:rFonts w:ascii="Abadi" w:eastAsia="Batang" w:hAnsi="Abadi" w:cs="Arial"/>
          <w:sz w:val="21"/>
          <w:szCs w:val="21"/>
        </w:rPr>
        <w:t>La iniciativa materia del presente dictamen tiene por objeto reformar los alcances del Artículo Sexto Transitorio de la Ley de Ingresos del Estado del presente ejercicio fiscal, para eliminar la referencia al artículo 25 de la misma ley, en razón de que los servicios correspondientes a la expedición de los permisos provisional para circular, ya sea sin placas del servicio de transporte privado y público; o con exceso de carga o dimensiones, no forman parte de las atribuciones que se trasladaron a la Secretaría de Seguridad Pública, como se había previsto de origen y será la Secretaría de Gobierno quien las conserve, dada la naturaleza de esos derechos.</w:t>
      </w:r>
    </w:p>
    <w:p w14:paraId="1FC01FA7" w14:textId="77777777" w:rsidR="00F00DF5" w:rsidRPr="00F00DF5" w:rsidRDefault="00F00DF5" w:rsidP="00F00DF5">
      <w:pPr>
        <w:spacing w:line="276" w:lineRule="auto"/>
        <w:jc w:val="both"/>
        <w:rPr>
          <w:rFonts w:ascii="Abadi" w:hAnsi="Abadi" w:cs="Arial"/>
          <w:sz w:val="21"/>
          <w:szCs w:val="21"/>
        </w:rPr>
      </w:pPr>
    </w:p>
    <w:p w14:paraId="288AFCB2" w14:textId="77777777" w:rsidR="00F00DF5" w:rsidRPr="00F00DF5" w:rsidRDefault="00F00DF5" w:rsidP="00F00DF5">
      <w:pPr>
        <w:spacing w:line="276" w:lineRule="auto"/>
        <w:ind w:firstLine="708"/>
        <w:jc w:val="both"/>
        <w:rPr>
          <w:rFonts w:ascii="Abadi" w:eastAsia="Batang" w:hAnsi="Abadi" w:cs="Arial"/>
          <w:sz w:val="21"/>
          <w:szCs w:val="21"/>
        </w:rPr>
      </w:pPr>
      <w:r w:rsidRPr="00F00DF5">
        <w:rPr>
          <w:rFonts w:ascii="Abadi" w:eastAsia="Batang" w:hAnsi="Abadi" w:cs="Arial"/>
          <w:sz w:val="21"/>
          <w:szCs w:val="21"/>
        </w:rPr>
        <w:t>Coincidimos en que la modificación al Artículo Sexto Transitorio busca dar claridad y certeza jurídica al servicio al cual hace uso el contribuyente de estos servicios que corresponden a la expedición de permisos provisional para circular, ya sea sin placas del servicio de transporte privado y público; o con exceso de carga o dimensiones, al ser estos derechos que deba seguir prestando la Secretaría de Gobierno, de esta manera de igual forma atendemos puntualmente a las reformas que transfieren las atribuciones en materia de expedición de licencias, permisos para conducir y la expedición de constancias de movilidad y reconocimiento en materia de tránsito, de las secretarías de Gobierno a la de Seguridad Pública del Estado.</w:t>
      </w:r>
    </w:p>
    <w:p w14:paraId="770D06E3" w14:textId="77777777" w:rsidR="00F00DF5" w:rsidRPr="00F00DF5" w:rsidRDefault="00F00DF5" w:rsidP="00F00DF5">
      <w:pPr>
        <w:spacing w:line="276" w:lineRule="auto"/>
        <w:ind w:firstLine="708"/>
        <w:jc w:val="both"/>
        <w:rPr>
          <w:rFonts w:ascii="Abadi" w:eastAsia="Batang" w:hAnsi="Abadi" w:cs="Arial"/>
          <w:sz w:val="21"/>
          <w:szCs w:val="21"/>
        </w:rPr>
      </w:pPr>
    </w:p>
    <w:p w14:paraId="49CE2495" w14:textId="77777777" w:rsidR="00F00DF5" w:rsidRPr="00F00DF5" w:rsidRDefault="00F00DF5" w:rsidP="00F00DF5">
      <w:pPr>
        <w:spacing w:line="276" w:lineRule="auto"/>
        <w:ind w:firstLine="708"/>
        <w:jc w:val="both"/>
        <w:rPr>
          <w:rFonts w:ascii="Abadi" w:eastAsia="Batang" w:hAnsi="Abadi" w:cs="Arial"/>
          <w:sz w:val="21"/>
          <w:szCs w:val="21"/>
        </w:rPr>
      </w:pPr>
      <w:r w:rsidRPr="00F00DF5">
        <w:rPr>
          <w:rFonts w:ascii="Abadi" w:eastAsia="Batang" w:hAnsi="Abadi" w:cs="Arial"/>
          <w:sz w:val="21"/>
          <w:szCs w:val="21"/>
        </w:rPr>
        <w:t xml:space="preserve">Las diputadas y los diputados que integramos estas comisiones dictaminadoras, dentro de nuestra principal función legislar, sabemos que con la aprobación de esta reforma a la Ley de ingresos se da sustento jurídico y certeza jurídica a la función recaudatoria del Estado, que le permite allegarse de recursos </w:t>
      </w:r>
      <w:r w:rsidRPr="00F00DF5">
        <w:rPr>
          <w:rFonts w:ascii="Abadi" w:eastAsia="Batang" w:hAnsi="Abadi" w:cs="Arial"/>
          <w:sz w:val="21"/>
          <w:szCs w:val="21"/>
        </w:rPr>
        <w:t>suficientes a fin de sufragar los gastos públicos, hacerles frente, satisfacer las necesidades la colectividad y, propiciar de manera autónoma y sustentable los recursos como ya lo manifestamos para atender las prioridades de los guanajuatenses.</w:t>
      </w:r>
    </w:p>
    <w:p w14:paraId="045E342F" w14:textId="77777777" w:rsidR="00F00DF5" w:rsidRPr="00F00DF5" w:rsidRDefault="00F00DF5" w:rsidP="00F00DF5">
      <w:pPr>
        <w:spacing w:line="276" w:lineRule="auto"/>
        <w:ind w:firstLine="708"/>
        <w:jc w:val="both"/>
        <w:rPr>
          <w:rFonts w:ascii="Abadi" w:eastAsia="Batang" w:hAnsi="Abadi" w:cs="Arial"/>
          <w:sz w:val="21"/>
          <w:szCs w:val="21"/>
        </w:rPr>
      </w:pPr>
    </w:p>
    <w:p w14:paraId="2D04B090" w14:textId="77777777" w:rsidR="00F00DF5" w:rsidRPr="00F00DF5" w:rsidRDefault="00F00DF5" w:rsidP="00F00DF5">
      <w:pPr>
        <w:spacing w:line="276" w:lineRule="auto"/>
        <w:ind w:firstLine="708"/>
        <w:jc w:val="both"/>
        <w:rPr>
          <w:rFonts w:ascii="Abadi" w:eastAsia="Batang" w:hAnsi="Abadi" w:cs="Arial"/>
          <w:sz w:val="21"/>
          <w:szCs w:val="21"/>
        </w:rPr>
      </w:pPr>
      <w:r w:rsidRPr="00F00DF5">
        <w:rPr>
          <w:rFonts w:ascii="Abadi" w:eastAsia="Batang" w:hAnsi="Abadi" w:cs="Arial"/>
          <w:sz w:val="21"/>
          <w:szCs w:val="21"/>
        </w:rPr>
        <w:t>Finalmente comentar que la visión de la Agenda 2030 fue considerada en el presente dictamen que contiene la reforma al Artículo Sexto Transitorio de la Ley de Ingresos del Estado de Guanajuato para el Ejercicio Fiscal de 2022, pues incide directa o indirectamente en los 17 Objetivos de Desarrollo Sostenible que la integran, al ser el mecanismo por el cual el Estado se allega de recursos para al cumplimiento de sus planes y programas, que son los instrumentos de planeación en los que se coordinan las acciones del gobierno y que contribuyen al desarrollo sostenible e incluyente en beneficio de la población, con un enfoque económico, social, medioambiental y de sustentabilidad.</w:t>
      </w:r>
    </w:p>
    <w:p w14:paraId="27F654B6" w14:textId="77777777" w:rsidR="00F00DF5" w:rsidRPr="00F00DF5" w:rsidRDefault="00F00DF5" w:rsidP="00F00DF5">
      <w:pPr>
        <w:spacing w:line="276" w:lineRule="auto"/>
        <w:ind w:firstLine="708"/>
        <w:jc w:val="both"/>
        <w:rPr>
          <w:rFonts w:ascii="Abadi" w:eastAsia="Batang" w:hAnsi="Abadi" w:cs="Arial"/>
          <w:sz w:val="21"/>
          <w:szCs w:val="21"/>
        </w:rPr>
      </w:pPr>
    </w:p>
    <w:p w14:paraId="301CA023" w14:textId="77777777" w:rsidR="00F00DF5" w:rsidRPr="00F00DF5" w:rsidRDefault="00F00DF5" w:rsidP="00F00DF5">
      <w:pPr>
        <w:spacing w:after="120" w:line="276" w:lineRule="auto"/>
        <w:ind w:firstLine="709"/>
        <w:jc w:val="both"/>
        <w:rPr>
          <w:rFonts w:ascii="Abadi" w:eastAsia="Batang" w:hAnsi="Abadi"/>
          <w:bCs/>
          <w:sz w:val="21"/>
          <w:szCs w:val="21"/>
        </w:rPr>
      </w:pPr>
      <w:r w:rsidRPr="00F00DF5">
        <w:rPr>
          <w:rFonts w:ascii="Abadi" w:eastAsia="Batang" w:hAnsi="Abadi"/>
          <w:bCs/>
          <w:sz w:val="21"/>
          <w:szCs w:val="21"/>
        </w:rPr>
        <w:t xml:space="preserve">Por lo anteriormente expuesto, y con fundamento en lo dispuesto por los artículos 171 y 204 de </w:t>
      </w:r>
      <w:smartTag w:uri="urn:schemas-microsoft-com:office:smarttags" w:element="PersonName">
        <w:smartTagPr>
          <w:attr w:name="ProductID" w:val="la Ley Org￡nica"/>
        </w:smartTagPr>
        <w:r w:rsidRPr="00F00DF5">
          <w:rPr>
            <w:rFonts w:ascii="Abadi" w:eastAsia="Batang" w:hAnsi="Abadi"/>
            <w:bCs/>
            <w:sz w:val="21"/>
            <w:szCs w:val="21"/>
          </w:rPr>
          <w:t>la Ley Orgánica</w:t>
        </w:r>
      </w:smartTag>
      <w:r w:rsidRPr="00F00DF5">
        <w:rPr>
          <w:rFonts w:ascii="Abadi" w:eastAsia="Batang" w:hAnsi="Abadi"/>
          <w:bCs/>
          <w:sz w:val="21"/>
          <w:szCs w:val="21"/>
        </w:rPr>
        <w:t xml:space="preserve"> del Poder Legislativo del Estado, quienes integramos las Comisiones Unidas de Hacienda y Fiscalización y de Gobernación y Puntos Constitucionales, sometemos a la consideración de </w:t>
      </w:r>
      <w:smartTag w:uri="urn:schemas-microsoft-com:office:smarttags" w:element="PersonName">
        <w:smartTagPr>
          <w:attr w:name="ProductID" w:val="la Asamblea"/>
        </w:smartTagPr>
        <w:r w:rsidRPr="00F00DF5">
          <w:rPr>
            <w:rFonts w:ascii="Abadi" w:eastAsia="Batang" w:hAnsi="Abadi"/>
            <w:bCs/>
            <w:sz w:val="21"/>
            <w:szCs w:val="21"/>
          </w:rPr>
          <w:t>la Asamblea</w:t>
        </w:r>
      </w:smartTag>
      <w:r w:rsidRPr="00F00DF5">
        <w:rPr>
          <w:rFonts w:ascii="Abadi" w:eastAsia="Batang" w:hAnsi="Abadi"/>
          <w:bCs/>
          <w:sz w:val="21"/>
          <w:szCs w:val="21"/>
        </w:rPr>
        <w:t>, la aprobación del siguiente:</w:t>
      </w:r>
    </w:p>
    <w:p w14:paraId="55382645" w14:textId="77777777" w:rsidR="00F00DF5" w:rsidRPr="00F00DF5" w:rsidRDefault="00F00DF5" w:rsidP="00F00DF5">
      <w:pPr>
        <w:ind w:firstLine="540"/>
        <w:jc w:val="center"/>
        <w:rPr>
          <w:rFonts w:ascii="Abadi" w:hAnsi="Abadi"/>
          <w:b/>
          <w:sz w:val="21"/>
          <w:szCs w:val="21"/>
        </w:rPr>
      </w:pPr>
    </w:p>
    <w:p w14:paraId="662110D0" w14:textId="77777777" w:rsidR="00F00DF5" w:rsidRPr="00F00DF5" w:rsidRDefault="00F00DF5" w:rsidP="00F00DF5">
      <w:pPr>
        <w:ind w:firstLine="540"/>
        <w:jc w:val="center"/>
        <w:rPr>
          <w:rFonts w:ascii="Abadi" w:hAnsi="Abadi"/>
          <w:b/>
          <w:sz w:val="21"/>
          <w:szCs w:val="21"/>
        </w:rPr>
      </w:pPr>
      <w:r w:rsidRPr="00F00DF5">
        <w:rPr>
          <w:rFonts w:ascii="Abadi" w:hAnsi="Abadi"/>
          <w:b/>
          <w:sz w:val="21"/>
          <w:szCs w:val="21"/>
        </w:rPr>
        <w:t xml:space="preserve">D e c r </w:t>
      </w:r>
      <w:proofErr w:type="gramStart"/>
      <w:r w:rsidRPr="00F00DF5">
        <w:rPr>
          <w:rFonts w:ascii="Abadi" w:hAnsi="Abadi"/>
          <w:b/>
          <w:sz w:val="21"/>
          <w:szCs w:val="21"/>
        </w:rPr>
        <w:t>e</w:t>
      </w:r>
      <w:proofErr w:type="gramEnd"/>
      <w:r w:rsidRPr="00F00DF5">
        <w:rPr>
          <w:rFonts w:ascii="Abadi" w:hAnsi="Abadi"/>
          <w:b/>
          <w:sz w:val="21"/>
          <w:szCs w:val="21"/>
        </w:rPr>
        <w:t xml:space="preserve"> t o</w:t>
      </w:r>
    </w:p>
    <w:p w14:paraId="1D8EDD0C" w14:textId="77777777" w:rsidR="00F00DF5" w:rsidRPr="00F00DF5" w:rsidRDefault="00F00DF5" w:rsidP="00F00DF5">
      <w:pPr>
        <w:ind w:firstLine="540"/>
        <w:jc w:val="both"/>
        <w:rPr>
          <w:rFonts w:ascii="Abadi" w:hAnsi="Abadi"/>
          <w:b/>
          <w:sz w:val="21"/>
          <w:szCs w:val="21"/>
        </w:rPr>
      </w:pPr>
    </w:p>
    <w:p w14:paraId="0CC2D4E7" w14:textId="77777777" w:rsidR="00F00DF5" w:rsidRPr="00F00DF5" w:rsidRDefault="00F00DF5" w:rsidP="00F00DF5">
      <w:pPr>
        <w:shd w:val="clear" w:color="auto" w:fill="FFFFFF"/>
        <w:ind w:firstLine="540"/>
        <w:jc w:val="both"/>
        <w:rPr>
          <w:rFonts w:ascii="Abadi" w:eastAsia="Batang" w:hAnsi="Abadi" w:cs="Arial"/>
          <w:sz w:val="21"/>
          <w:szCs w:val="21"/>
        </w:rPr>
      </w:pPr>
      <w:r w:rsidRPr="00F00DF5">
        <w:rPr>
          <w:rFonts w:ascii="Abadi" w:hAnsi="Abadi"/>
          <w:b/>
          <w:sz w:val="21"/>
          <w:szCs w:val="21"/>
        </w:rPr>
        <w:t>ARTÍCULO ÚNICO.</w:t>
      </w:r>
      <w:r w:rsidRPr="00F00DF5">
        <w:rPr>
          <w:rFonts w:ascii="Abadi" w:hAnsi="Abadi"/>
          <w:sz w:val="21"/>
          <w:szCs w:val="21"/>
        </w:rPr>
        <w:t xml:space="preserve"> </w:t>
      </w:r>
      <w:r w:rsidRPr="00F00DF5">
        <w:rPr>
          <w:rFonts w:ascii="Abadi" w:hAnsi="Abadi" w:cs="Arial"/>
          <w:sz w:val="21"/>
          <w:szCs w:val="21"/>
          <w:shd w:val="clear" w:color="auto" w:fill="FFFFFF"/>
        </w:rPr>
        <w:t xml:space="preserve">Se </w:t>
      </w:r>
      <w:r w:rsidRPr="00F00DF5">
        <w:rPr>
          <w:rFonts w:ascii="Abadi" w:hAnsi="Abadi" w:cs="Arial"/>
          <w:b/>
          <w:bCs/>
          <w:sz w:val="21"/>
          <w:szCs w:val="21"/>
          <w:shd w:val="clear" w:color="auto" w:fill="FFFFFF"/>
        </w:rPr>
        <w:t>reforma</w:t>
      </w:r>
      <w:r w:rsidRPr="00F00DF5">
        <w:rPr>
          <w:rFonts w:ascii="Abadi" w:hAnsi="Abadi" w:cs="Arial"/>
          <w:sz w:val="21"/>
          <w:szCs w:val="21"/>
          <w:shd w:val="clear" w:color="auto" w:fill="FFFFFF"/>
        </w:rPr>
        <w:t xml:space="preserve"> el artículo Sexto Transitorio de la </w:t>
      </w:r>
      <w:r w:rsidRPr="00F00DF5">
        <w:rPr>
          <w:rFonts w:ascii="Abadi" w:hAnsi="Abadi" w:cs="Arial"/>
          <w:b/>
          <w:bCs/>
          <w:sz w:val="21"/>
          <w:szCs w:val="21"/>
          <w:shd w:val="clear" w:color="auto" w:fill="FFFFFF"/>
        </w:rPr>
        <w:t>Ley de Ingresos del Estado de Guanajuato para el Ejercicio Fiscal de 2022</w:t>
      </w:r>
      <w:r w:rsidRPr="00F00DF5">
        <w:rPr>
          <w:rFonts w:ascii="Abadi" w:hAnsi="Abadi" w:cs="Arial"/>
          <w:sz w:val="21"/>
          <w:szCs w:val="21"/>
          <w:shd w:val="clear" w:color="auto" w:fill="FFFFFF"/>
        </w:rPr>
        <w:t>, para quedar en los siguientes términos</w:t>
      </w:r>
      <w:r w:rsidRPr="00F00DF5">
        <w:rPr>
          <w:rFonts w:ascii="Abadi" w:eastAsia="Batang" w:hAnsi="Abadi" w:cs="Arial"/>
          <w:sz w:val="21"/>
          <w:szCs w:val="21"/>
        </w:rPr>
        <w:t>:</w:t>
      </w:r>
    </w:p>
    <w:p w14:paraId="296E5698" w14:textId="77777777" w:rsidR="00F00DF5" w:rsidRPr="00F00DF5" w:rsidRDefault="00F00DF5" w:rsidP="00F00DF5">
      <w:pPr>
        <w:widowControl w:val="0"/>
        <w:ind w:firstLine="851"/>
        <w:jc w:val="both"/>
        <w:rPr>
          <w:rFonts w:ascii="Abadi" w:hAnsi="Abadi" w:cs="Arial"/>
          <w:snapToGrid w:val="0"/>
          <w:sz w:val="21"/>
          <w:szCs w:val="21"/>
          <w:lang w:val="es-MX"/>
        </w:rPr>
      </w:pPr>
    </w:p>
    <w:p w14:paraId="08FCD34C" w14:textId="77777777" w:rsidR="00F00DF5" w:rsidRPr="00F00DF5" w:rsidRDefault="00F00DF5" w:rsidP="00F00DF5">
      <w:pPr>
        <w:jc w:val="right"/>
        <w:rPr>
          <w:rFonts w:ascii="Abadi" w:hAnsi="Abadi" w:cs="Calibri"/>
          <w:b/>
          <w:bCs/>
          <w:i/>
          <w:iCs/>
          <w:color w:val="000000"/>
          <w:sz w:val="21"/>
          <w:szCs w:val="21"/>
          <w:lang w:val="es-MX" w:eastAsia="es-MX"/>
        </w:rPr>
      </w:pPr>
    </w:p>
    <w:p w14:paraId="6642C86C" w14:textId="77777777" w:rsidR="00F00DF5" w:rsidRPr="00F00DF5" w:rsidRDefault="00F00DF5" w:rsidP="00F00DF5">
      <w:pPr>
        <w:jc w:val="right"/>
        <w:rPr>
          <w:rFonts w:ascii="Abadi" w:hAnsi="Abadi" w:cs="Calibri"/>
          <w:b/>
          <w:bCs/>
          <w:i/>
          <w:iCs/>
          <w:color w:val="000000"/>
          <w:sz w:val="21"/>
          <w:szCs w:val="21"/>
          <w:lang w:val="es-MX" w:eastAsia="es-MX"/>
        </w:rPr>
      </w:pPr>
      <w:r w:rsidRPr="00F00DF5">
        <w:rPr>
          <w:rFonts w:ascii="Abadi" w:hAnsi="Abadi" w:cs="Calibri"/>
          <w:b/>
          <w:bCs/>
          <w:i/>
          <w:iCs/>
          <w:color w:val="000000"/>
          <w:sz w:val="21"/>
          <w:szCs w:val="21"/>
          <w:lang w:val="es-MX" w:eastAsia="es-MX"/>
        </w:rPr>
        <w:t>«Transferencia de supuestos…</w:t>
      </w:r>
    </w:p>
    <w:p w14:paraId="2B0FD1D2" w14:textId="77777777" w:rsidR="00F00DF5" w:rsidRPr="00F00DF5" w:rsidRDefault="00F00DF5" w:rsidP="00F00DF5">
      <w:pPr>
        <w:shd w:val="clear" w:color="auto" w:fill="FFFFFF"/>
        <w:ind w:firstLine="708"/>
        <w:jc w:val="both"/>
        <w:rPr>
          <w:rFonts w:ascii="Abadi" w:hAnsi="Abadi" w:cs="Arial"/>
          <w:sz w:val="21"/>
          <w:szCs w:val="21"/>
        </w:rPr>
      </w:pPr>
      <w:r w:rsidRPr="00F00DF5">
        <w:rPr>
          <w:rFonts w:ascii="Abadi" w:hAnsi="Abadi" w:cs="Calibri"/>
          <w:b/>
          <w:bCs/>
          <w:color w:val="000000"/>
          <w:sz w:val="21"/>
          <w:szCs w:val="21"/>
          <w:lang w:val="es-MX" w:eastAsia="es-MX"/>
        </w:rPr>
        <w:t xml:space="preserve">Artículo Sexto. </w:t>
      </w:r>
      <w:r w:rsidRPr="00F00DF5">
        <w:rPr>
          <w:rFonts w:ascii="Abadi" w:hAnsi="Abadi" w:cs="Calibri"/>
          <w:color w:val="000000"/>
          <w:sz w:val="21"/>
          <w:szCs w:val="21"/>
          <w:lang w:val="es-MX" w:eastAsia="es-MX"/>
        </w:rPr>
        <w:t xml:space="preserve">Una vez que entren en vigencia las reformas, en las que se transfieren las atribuciones en materia de expedición de licencias y permisos para conducir y la expedición de constancias de movilidad y reconocimiento en materia de tránsito, de las secretarías de Gobierno a la de Seguridad Pública del Estado, y se concluya el proceso de entrega recepción, los cobros de los derechos previstos en los artículos </w:t>
      </w:r>
      <w:r w:rsidRPr="00F00DF5">
        <w:rPr>
          <w:rFonts w:ascii="Abadi" w:hAnsi="Abadi" w:cs="Calibri"/>
          <w:color w:val="000000"/>
          <w:sz w:val="21"/>
          <w:szCs w:val="21"/>
          <w:lang w:val="es-MX" w:eastAsia="es-MX"/>
        </w:rPr>
        <w:lastRenderedPageBreak/>
        <w:t>24 y 26 de la presente Ley se entenderán conferidos a la Secretaría de Seguridad Pública</w:t>
      </w:r>
      <w:r w:rsidRPr="00F00DF5">
        <w:rPr>
          <w:rFonts w:ascii="Abadi" w:hAnsi="Abadi" w:cs="Arial"/>
          <w:sz w:val="21"/>
          <w:szCs w:val="21"/>
        </w:rPr>
        <w:t>.»</w:t>
      </w:r>
    </w:p>
    <w:p w14:paraId="18F11F10" w14:textId="77777777" w:rsidR="00F00DF5" w:rsidRPr="00F00DF5" w:rsidRDefault="00F00DF5" w:rsidP="00F00DF5">
      <w:pPr>
        <w:shd w:val="clear" w:color="auto" w:fill="FFFFFF"/>
        <w:ind w:firstLine="708"/>
        <w:jc w:val="both"/>
        <w:rPr>
          <w:rFonts w:ascii="Abadi" w:hAnsi="Abadi" w:cs="Arial"/>
          <w:sz w:val="21"/>
          <w:szCs w:val="21"/>
        </w:rPr>
      </w:pPr>
    </w:p>
    <w:p w14:paraId="75415E02" w14:textId="77777777" w:rsidR="00F00DF5" w:rsidRPr="00F00DF5" w:rsidRDefault="00F00DF5" w:rsidP="00F00DF5">
      <w:pPr>
        <w:jc w:val="center"/>
        <w:rPr>
          <w:rFonts w:ascii="Abadi" w:hAnsi="Abadi" w:cs="Arial"/>
          <w:b/>
          <w:sz w:val="21"/>
          <w:szCs w:val="21"/>
          <w:lang w:val="en-US"/>
        </w:rPr>
      </w:pPr>
    </w:p>
    <w:p w14:paraId="67C07194" w14:textId="77777777" w:rsidR="00F00DF5" w:rsidRPr="00F00DF5" w:rsidRDefault="00F00DF5" w:rsidP="00F00DF5">
      <w:pPr>
        <w:jc w:val="center"/>
        <w:rPr>
          <w:rFonts w:ascii="Abadi" w:hAnsi="Abadi" w:cs="Arial"/>
          <w:b/>
          <w:sz w:val="21"/>
          <w:szCs w:val="21"/>
          <w:lang w:val="en-US"/>
        </w:rPr>
      </w:pPr>
      <w:r w:rsidRPr="00F00DF5">
        <w:rPr>
          <w:rFonts w:ascii="Abadi" w:hAnsi="Abadi" w:cs="Arial"/>
          <w:b/>
          <w:sz w:val="21"/>
          <w:szCs w:val="21"/>
          <w:lang w:val="en-US"/>
        </w:rPr>
        <w:t>T r a n s i t o r i o</w:t>
      </w:r>
    </w:p>
    <w:p w14:paraId="5CD22889" w14:textId="77777777" w:rsidR="00F00DF5" w:rsidRPr="00F00DF5" w:rsidRDefault="00F00DF5" w:rsidP="00F00DF5">
      <w:pPr>
        <w:jc w:val="both"/>
        <w:rPr>
          <w:rFonts w:ascii="Abadi" w:hAnsi="Abadi" w:cs="Arial"/>
          <w:sz w:val="21"/>
          <w:szCs w:val="21"/>
          <w:lang w:val="en-US"/>
        </w:rPr>
      </w:pPr>
    </w:p>
    <w:p w14:paraId="0569ED95" w14:textId="77777777" w:rsidR="00F00DF5" w:rsidRPr="00F00DF5" w:rsidRDefault="00F00DF5" w:rsidP="00F00DF5">
      <w:pPr>
        <w:ind w:firstLine="708"/>
        <w:jc w:val="both"/>
        <w:rPr>
          <w:rFonts w:ascii="Abadi" w:hAnsi="Abadi" w:cs="Arial"/>
          <w:b/>
          <w:bCs/>
          <w:sz w:val="21"/>
          <w:szCs w:val="21"/>
        </w:rPr>
      </w:pPr>
      <w:r w:rsidRPr="00F00DF5">
        <w:rPr>
          <w:rFonts w:ascii="Abadi" w:hAnsi="Abadi" w:cs="Arial"/>
          <w:b/>
          <w:sz w:val="21"/>
          <w:szCs w:val="21"/>
        </w:rPr>
        <w:t>Artículo Primero.</w:t>
      </w:r>
      <w:r w:rsidRPr="00F00DF5">
        <w:rPr>
          <w:rFonts w:ascii="Abadi" w:hAnsi="Abadi" w:cs="Arial"/>
          <w:sz w:val="21"/>
          <w:szCs w:val="21"/>
        </w:rPr>
        <w:t xml:space="preserve"> El presente decreto entrará en vigencia el día siguiente al de su publicación en el Periódico Oficial del Gobierno del Estado de Guanajuato.</w:t>
      </w:r>
    </w:p>
    <w:p w14:paraId="4BCC307D" w14:textId="77777777" w:rsidR="00F00DF5" w:rsidRPr="00F00DF5" w:rsidRDefault="00F00DF5" w:rsidP="00F00DF5">
      <w:pPr>
        <w:jc w:val="center"/>
        <w:rPr>
          <w:rFonts w:ascii="Abadi" w:hAnsi="Abadi" w:cs="Arial"/>
          <w:b/>
          <w:bCs/>
          <w:sz w:val="21"/>
          <w:szCs w:val="21"/>
        </w:rPr>
      </w:pPr>
    </w:p>
    <w:p w14:paraId="736D108F" w14:textId="77777777" w:rsidR="00F00DF5" w:rsidRPr="00F00DF5" w:rsidRDefault="00F00DF5" w:rsidP="00F00DF5">
      <w:pPr>
        <w:jc w:val="center"/>
        <w:rPr>
          <w:rFonts w:ascii="Abadi" w:hAnsi="Abadi" w:cs="Arial"/>
          <w:b/>
          <w:bCs/>
          <w:sz w:val="21"/>
          <w:szCs w:val="21"/>
        </w:rPr>
      </w:pPr>
      <w:r w:rsidRPr="00F00DF5">
        <w:rPr>
          <w:rFonts w:ascii="Abadi" w:hAnsi="Abadi" w:cs="Arial"/>
          <w:b/>
          <w:bCs/>
          <w:sz w:val="21"/>
          <w:szCs w:val="21"/>
        </w:rPr>
        <w:t>Guanajuato, Gto., 20 de junio de 2022</w:t>
      </w:r>
    </w:p>
    <w:p w14:paraId="3A214665" w14:textId="77777777" w:rsidR="00F00DF5" w:rsidRPr="00F00DF5" w:rsidRDefault="00F00DF5" w:rsidP="00F00DF5">
      <w:pPr>
        <w:jc w:val="center"/>
        <w:rPr>
          <w:rFonts w:ascii="Abadi" w:hAnsi="Abadi" w:cs="Arial"/>
          <w:b/>
          <w:bCs/>
          <w:sz w:val="21"/>
          <w:szCs w:val="21"/>
        </w:rPr>
      </w:pPr>
      <w:r w:rsidRPr="00F00DF5">
        <w:rPr>
          <w:rFonts w:ascii="Abadi" w:hAnsi="Abadi" w:cs="Arial"/>
          <w:b/>
          <w:bCs/>
          <w:sz w:val="21"/>
          <w:szCs w:val="21"/>
        </w:rPr>
        <w:t>Las Comisiones Unidas de Hacienda y Fiscalización y de</w:t>
      </w:r>
    </w:p>
    <w:p w14:paraId="299661B1" w14:textId="77777777" w:rsidR="00F00DF5" w:rsidRPr="00F00DF5" w:rsidRDefault="00F00DF5" w:rsidP="00F00DF5">
      <w:pPr>
        <w:jc w:val="center"/>
        <w:rPr>
          <w:rFonts w:ascii="Abadi" w:hAnsi="Abadi" w:cs="Arial"/>
          <w:b/>
          <w:bCs/>
          <w:sz w:val="21"/>
          <w:szCs w:val="21"/>
        </w:rPr>
      </w:pPr>
      <w:r w:rsidRPr="00F00DF5">
        <w:rPr>
          <w:rFonts w:ascii="Abadi" w:hAnsi="Abadi" w:cs="Arial"/>
          <w:b/>
          <w:bCs/>
          <w:sz w:val="21"/>
          <w:szCs w:val="21"/>
        </w:rPr>
        <w:t>Gobernación y Puntos Constitucionales</w:t>
      </w:r>
    </w:p>
    <w:p w14:paraId="092E8458" w14:textId="77777777" w:rsidR="00F00DF5" w:rsidRPr="00F00DF5" w:rsidRDefault="00F00DF5" w:rsidP="00F00DF5">
      <w:pPr>
        <w:ind w:right="-702"/>
        <w:jc w:val="center"/>
        <w:rPr>
          <w:rFonts w:ascii="Abadi" w:hAnsi="Abadi" w:cs="Arial"/>
          <w:b/>
          <w:bCs/>
          <w:sz w:val="21"/>
          <w:szCs w:val="21"/>
        </w:rPr>
      </w:pPr>
    </w:p>
    <w:p w14:paraId="5897CA8E" w14:textId="77777777" w:rsidR="00F00DF5" w:rsidRPr="00F00DF5" w:rsidRDefault="00F00DF5" w:rsidP="00F00DF5">
      <w:pPr>
        <w:jc w:val="center"/>
        <w:rPr>
          <w:rFonts w:ascii="Abadi" w:hAnsi="Abadi" w:cs="Arial"/>
          <w:b/>
          <w:bCs/>
          <w:sz w:val="21"/>
          <w:szCs w:val="21"/>
        </w:rPr>
      </w:pPr>
    </w:p>
    <w:p w14:paraId="52429854" w14:textId="3B06998E" w:rsidR="00F00DF5" w:rsidRPr="00F00DF5" w:rsidRDefault="00F00DF5" w:rsidP="00F00DF5">
      <w:pPr>
        <w:jc w:val="center"/>
        <w:rPr>
          <w:rFonts w:ascii="Abadi" w:hAnsi="Abadi" w:cs="Arial"/>
          <w:b/>
          <w:bCs/>
          <w:sz w:val="21"/>
          <w:szCs w:val="21"/>
        </w:rPr>
      </w:pPr>
    </w:p>
    <w:p w14:paraId="5FDABA30" w14:textId="073DA01A" w:rsidR="00F00DF5" w:rsidRPr="00F00DF5" w:rsidRDefault="00F00DF5" w:rsidP="00F00DF5">
      <w:pPr>
        <w:jc w:val="center"/>
        <w:rPr>
          <w:rFonts w:ascii="Abadi" w:hAnsi="Abadi" w:cs="Arial"/>
          <w:b/>
          <w:bCs/>
          <w:sz w:val="21"/>
          <w:szCs w:val="21"/>
        </w:rPr>
      </w:pPr>
      <w:r w:rsidRPr="00F00DF5">
        <w:rPr>
          <w:rFonts w:ascii="Abadi" w:hAnsi="Abadi" w:cs="Arial"/>
          <w:b/>
          <w:bCs/>
          <w:sz w:val="21"/>
          <w:szCs w:val="21"/>
        </w:rPr>
        <w:t>Diputado Víctor Manuel Zanella Huerta</w:t>
      </w:r>
    </w:p>
    <w:p w14:paraId="65259DF3" w14:textId="77777777" w:rsidR="00F00DF5" w:rsidRPr="00F00DF5" w:rsidRDefault="00F00DF5" w:rsidP="00F00DF5">
      <w:pPr>
        <w:jc w:val="center"/>
        <w:rPr>
          <w:rFonts w:ascii="Abadi" w:hAnsi="Abadi" w:cs="Arial"/>
          <w:b/>
          <w:bCs/>
          <w:sz w:val="21"/>
          <w:szCs w:val="21"/>
        </w:rPr>
      </w:pPr>
      <w:r w:rsidRPr="00F00DF5">
        <w:rPr>
          <w:rFonts w:ascii="Abadi" w:hAnsi="Abadi" w:cs="Arial"/>
          <w:b/>
          <w:bCs/>
          <w:sz w:val="21"/>
          <w:szCs w:val="21"/>
        </w:rPr>
        <w:t>Diputada Susana Bermúdez Cano</w:t>
      </w:r>
    </w:p>
    <w:p w14:paraId="6F295D4C" w14:textId="77777777" w:rsidR="00F00DF5" w:rsidRPr="00F00DF5" w:rsidRDefault="00F00DF5" w:rsidP="00F00DF5">
      <w:pPr>
        <w:jc w:val="center"/>
        <w:rPr>
          <w:rFonts w:ascii="Abadi" w:hAnsi="Abadi" w:cs="Arial"/>
          <w:b/>
          <w:bCs/>
          <w:sz w:val="21"/>
          <w:szCs w:val="21"/>
        </w:rPr>
      </w:pPr>
    </w:p>
    <w:p w14:paraId="20ED2DA3" w14:textId="77777777" w:rsidR="00F00DF5" w:rsidRPr="00F00DF5" w:rsidRDefault="00F00DF5" w:rsidP="00F00DF5">
      <w:pPr>
        <w:jc w:val="center"/>
        <w:rPr>
          <w:rFonts w:ascii="Abadi" w:hAnsi="Abadi" w:cs="Arial"/>
          <w:b/>
          <w:bCs/>
          <w:sz w:val="21"/>
          <w:szCs w:val="21"/>
        </w:rPr>
      </w:pPr>
    </w:p>
    <w:p w14:paraId="45FC97F6" w14:textId="6233ABCF" w:rsidR="00F00DF5" w:rsidRPr="00F00DF5" w:rsidRDefault="00F00DF5" w:rsidP="00F00DF5">
      <w:pPr>
        <w:jc w:val="center"/>
        <w:rPr>
          <w:rFonts w:ascii="Abadi" w:hAnsi="Abadi" w:cs="Arial"/>
          <w:b/>
          <w:bCs/>
          <w:sz w:val="21"/>
          <w:szCs w:val="21"/>
        </w:rPr>
      </w:pPr>
      <w:r w:rsidRPr="00F00DF5">
        <w:rPr>
          <w:rFonts w:ascii="Abadi" w:hAnsi="Abadi" w:cs="Arial"/>
          <w:b/>
          <w:bCs/>
          <w:sz w:val="21"/>
          <w:szCs w:val="21"/>
        </w:rPr>
        <w:t>Diputada Alma Edwviges Alcaraz Hernández</w:t>
      </w:r>
    </w:p>
    <w:p w14:paraId="065E98BB" w14:textId="77777777" w:rsidR="00F00DF5" w:rsidRPr="00F00DF5" w:rsidRDefault="00F00DF5" w:rsidP="00F00DF5">
      <w:pPr>
        <w:jc w:val="center"/>
        <w:rPr>
          <w:rFonts w:ascii="Abadi" w:hAnsi="Abadi" w:cs="Arial"/>
          <w:b/>
          <w:bCs/>
          <w:sz w:val="21"/>
          <w:szCs w:val="21"/>
          <w:lang w:val="es-MX"/>
        </w:rPr>
      </w:pPr>
    </w:p>
    <w:p w14:paraId="7615E1AC" w14:textId="77777777" w:rsidR="00F00DF5" w:rsidRPr="00F00DF5" w:rsidRDefault="00F00DF5" w:rsidP="00F00DF5">
      <w:pPr>
        <w:jc w:val="center"/>
        <w:rPr>
          <w:rFonts w:ascii="Abadi" w:hAnsi="Abadi" w:cs="Arial"/>
          <w:b/>
          <w:bCs/>
          <w:sz w:val="21"/>
          <w:szCs w:val="21"/>
          <w:lang w:val="es-MX"/>
        </w:rPr>
      </w:pPr>
    </w:p>
    <w:p w14:paraId="407F75FA" w14:textId="77777777" w:rsidR="00F00DF5" w:rsidRPr="00F00DF5" w:rsidRDefault="00F00DF5" w:rsidP="00F00DF5">
      <w:pPr>
        <w:jc w:val="center"/>
        <w:rPr>
          <w:rFonts w:ascii="Abadi" w:hAnsi="Abadi" w:cs="Arial"/>
          <w:b/>
          <w:bCs/>
          <w:sz w:val="21"/>
          <w:szCs w:val="21"/>
          <w:lang w:val="es-MX"/>
        </w:rPr>
      </w:pPr>
      <w:r w:rsidRPr="00F00DF5">
        <w:rPr>
          <w:rFonts w:ascii="Abadi" w:hAnsi="Abadi" w:cs="Arial"/>
          <w:b/>
          <w:bCs/>
          <w:sz w:val="21"/>
          <w:szCs w:val="21"/>
          <w:lang w:val="es-MX"/>
        </w:rPr>
        <w:t>Diputada Briseida Anabel Magdaleno González</w:t>
      </w:r>
    </w:p>
    <w:p w14:paraId="74DDC046" w14:textId="77777777" w:rsidR="00F00DF5" w:rsidRPr="00F00DF5" w:rsidRDefault="00F00DF5" w:rsidP="00F00DF5">
      <w:pPr>
        <w:jc w:val="center"/>
        <w:rPr>
          <w:rFonts w:ascii="Abadi" w:hAnsi="Abadi" w:cs="Arial"/>
          <w:b/>
          <w:bCs/>
          <w:sz w:val="21"/>
          <w:szCs w:val="21"/>
        </w:rPr>
      </w:pPr>
    </w:p>
    <w:p w14:paraId="7A263011" w14:textId="77777777" w:rsidR="00F00DF5" w:rsidRPr="00F00DF5" w:rsidRDefault="00F00DF5" w:rsidP="00F00DF5">
      <w:pPr>
        <w:jc w:val="center"/>
        <w:rPr>
          <w:rFonts w:ascii="Abadi" w:hAnsi="Abadi" w:cs="Arial"/>
          <w:b/>
          <w:bCs/>
          <w:sz w:val="21"/>
          <w:szCs w:val="21"/>
        </w:rPr>
      </w:pPr>
    </w:p>
    <w:p w14:paraId="260EF915" w14:textId="77777777" w:rsidR="00F00DF5" w:rsidRPr="00F00DF5" w:rsidRDefault="00F00DF5" w:rsidP="00F00DF5">
      <w:pPr>
        <w:jc w:val="center"/>
        <w:rPr>
          <w:rFonts w:ascii="Abadi" w:hAnsi="Abadi" w:cs="Arial"/>
          <w:b/>
          <w:bCs/>
          <w:sz w:val="21"/>
          <w:szCs w:val="21"/>
        </w:rPr>
      </w:pPr>
      <w:r w:rsidRPr="00F00DF5">
        <w:rPr>
          <w:rFonts w:ascii="Abadi" w:hAnsi="Abadi" w:cs="Arial"/>
          <w:b/>
          <w:bCs/>
          <w:sz w:val="21"/>
          <w:szCs w:val="21"/>
        </w:rPr>
        <w:t>Diputado Miguel Ángel Salim Alle</w:t>
      </w:r>
    </w:p>
    <w:p w14:paraId="27766CAD" w14:textId="77777777" w:rsidR="00F00DF5" w:rsidRPr="00F00DF5" w:rsidRDefault="00F00DF5" w:rsidP="00F00DF5">
      <w:pPr>
        <w:jc w:val="center"/>
        <w:rPr>
          <w:rFonts w:ascii="Abadi" w:hAnsi="Abadi" w:cs="Arial"/>
          <w:b/>
          <w:bCs/>
          <w:sz w:val="21"/>
          <w:szCs w:val="21"/>
        </w:rPr>
      </w:pPr>
    </w:p>
    <w:p w14:paraId="0533FEB8" w14:textId="7352FE09" w:rsidR="00F00DF5" w:rsidRPr="00F00DF5" w:rsidRDefault="00F00DF5" w:rsidP="00F00DF5">
      <w:pPr>
        <w:jc w:val="center"/>
        <w:rPr>
          <w:rFonts w:ascii="Abadi" w:hAnsi="Abadi" w:cs="Arial"/>
          <w:b/>
          <w:bCs/>
          <w:sz w:val="21"/>
          <w:szCs w:val="21"/>
          <w:lang w:val="es-MX"/>
        </w:rPr>
      </w:pPr>
      <w:r w:rsidRPr="00F00DF5">
        <w:rPr>
          <w:rFonts w:ascii="Abadi" w:hAnsi="Abadi" w:cs="Arial"/>
          <w:b/>
          <w:bCs/>
          <w:sz w:val="21"/>
          <w:szCs w:val="21"/>
          <w:lang w:val="es-MX"/>
        </w:rPr>
        <w:t>Diputada Laura Cristina Márquez Alcalá</w:t>
      </w:r>
    </w:p>
    <w:p w14:paraId="36BF9277" w14:textId="77777777" w:rsidR="00F00DF5" w:rsidRPr="00F00DF5" w:rsidRDefault="00F00DF5" w:rsidP="00F00DF5">
      <w:pPr>
        <w:jc w:val="center"/>
        <w:rPr>
          <w:rFonts w:ascii="Abadi" w:hAnsi="Abadi" w:cs="Arial"/>
          <w:b/>
          <w:bCs/>
          <w:sz w:val="21"/>
          <w:szCs w:val="21"/>
        </w:rPr>
      </w:pPr>
    </w:p>
    <w:p w14:paraId="6E62ACDB" w14:textId="77777777" w:rsidR="00F00DF5" w:rsidRPr="00F00DF5" w:rsidRDefault="00F00DF5" w:rsidP="00F00DF5">
      <w:pPr>
        <w:jc w:val="center"/>
        <w:rPr>
          <w:rFonts w:ascii="Abadi" w:hAnsi="Abadi" w:cs="Arial"/>
          <w:b/>
          <w:bCs/>
          <w:sz w:val="21"/>
          <w:szCs w:val="21"/>
          <w:lang w:val="es-MX"/>
        </w:rPr>
      </w:pPr>
    </w:p>
    <w:p w14:paraId="5A8E2E4A" w14:textId="77777777" w:rsidR="00F00DF5" w:rsidRPr="00F00DF5" w:rsidRDefault="00F00DF5" w:rsidP="00F00DF5">
      <w:pPr>
        <w:jc w:val="center"/>
        <w:rPr>
          <w:rFonts w:ascii="Abadi" w:hAnsi="Abadi" w:cs="Arial"/>
          <w:b/>
          <w:bCs/>
          <w:sz w:val="21"/>
          <w:szCs w:val="21"/>
          <w:lang w:val="es-MX"/>
        </w:rPr>
      </w:pPr>
      <w:r w:rsidRPr="00F00DF5">
        <w:rPr>
          <w:rFonts w:ascii="Abadi" w:hAnsi="Abadi" w:cs="Arial"/>
          <w:b/>
          <w:bCs/>
          <w:sz w:val="21"/>
          <w:szCs w:val="21"/>
          <w:lang w:val="es-MX"/>
        </w:rPr>
        <w:t>Diputada Ruth Noemí Tiscareño Agoitia</w:t>
      </w:r>
    </w:p>
    <w:p w14:paraId="1B92B9E8" w14:textId="77777777" w:rsidR="00F00DF5" w:rsidRPr="00F00DF5" w:rsidRDefault="00F00DF5" w:rsidP="00F00DF5">
      <w:pPr>
        <w:jc w:val="center"/>
        <w:rPr>
          <w:rFonts w:ascii="Abadi" w:hAnsi="Abadi" w:cs="Arial"/>
          <w:b/>
          <w:bCs/>
          <w:sz w:val="21"/>
          <w:szCs w:val="21"/>
        </w:rPr>
      </w:pPr>
    </w:p>
    <w:p w14:paraId="66F2B7C5" w14:textId="77777777" w:rsidR="00F00DF5" w:rsidRPr="00F00DF5" w:rsidRDefault="00F00DF5" w:rsidP="00F00DF5">
      <w:pPr>
        <w:jc w:val="center"/>
        <w:rPr>
          <w:rFonts w:ascii="Abadi" w:hAnsi="Abadi" w:cs="Arial"/>
          <w:b/>
          <w:bCs/>
          <w:sz w:val="21"/>
          <w:szCs w:val="21"/>
        </w:rPr>
      </w:pPr>
      <w:r w:rsidRPr="00F00DF5">
        <w:rPr>
          <w:rFonts w:ascii="Abadi" w:hAnsi="Abadi" w:cs="Arial"/>
          <w:b/>
          <w:bCs/>
          <w:sz w:val="21"/>
          <w:szCs w:val="21"/>
        </w:rPr>
        <w:t>Diputada Yulma Rocha Aguilar</w:t>
      </w:r>
    </w:p>
    <w:p w14:paraId="0880ED24" w14:textId="77777777" w:rsidR="00F00DF5" w:rsidRPr="00F00DF5" w:rsidRDefault="00F00DF5" w:rsidP="00F00DF5">
      <w:pPr>
        <w:jc w:val="center"/>
        <w:rPr>
          <w:rFonts w:ascii="Abadi" w:hAnsi="Abadi" w:cs="Arial"/>
          <w:b/>
          <w:bCs/>
          <w:sz w:val="21"/>
          <w:szCs w:val="21"/>
          <w:lang w:val="es-MX"/>
        </w:rPr>
      </w:pPr>
    </w:p>
    <w:p w14:paraId="5516391F" w14:textId="77777777" w:rsidR="00F00DF5" w:rsidRPr="00F00DF5" w:rsidRDefault="00F00DF5" w:rsidP="00F00DF5">
      <w:pPr>
        <w:jc w:val="center"/>
        <w:rPr>
          <w:rFonts w:ascii="Abadi" w:hAnsi="Abadi" w:cs="Arial"/>
          <w:b/>
          <w:bCs/>
          <w:sz w:val="21"/>
          <w:szCs w:val="21"/>
          <w:lang w:val="es-MX"/>
        </w:rPr>
      </w:pPr>
    </w:p>
    <w:p w14:paraId="509A3932" w14:textId="77777777" w:rsidR="00F00DF5" w:rsidRPr="00F00DF5" w:rsidRDefault="00F00DF5" w:rsidP="00F00DF5">
      <w:pPr>
        <w:jc w:val="center"/>
        <w:rPr>
          <w:rFonts w:ascii="Abadi" w:hAnsi="Abadi" w:cs="Arial"/>
          <w:b/>
          <w:bCs/>
          <w:sz w:val="21"/>
          <w:szCs w:val="21"/>
          <w:lang w:val="es-MX"/>
        </w:rPr>
      </w:pPr>
      <w:r w:rsidRPr="00F00DF5">
        <w:rPr>
          <w:rFonts w:ascii="Abadi" w:hAnsi="Abadi" w:cs="Arial"/>
          <w:b/>
          <w:bCs/>
          <w:sz w:val="21"/>
          <w:szCs w:val="21"/>
        </w:rPr>
        <w:t>Diputado José Alfonso Borja Pimentel</w:t>
      </w:r>
    </w:p>
    <w:p w14:paraId="47911253" w14:textId="77777777" w:rsidR="00F00DF5" w:rsidRPr="00F00DF5" w:rsidRDefault="00F00DF5" w:rsidP="00F00DF5">
      <w:pPr>
        <w:jc w:val="center"/>
        <w:rPr>
          <w:rFonts w:ascii="Abadi" w:hAnsi="Abadi" w:cs="Arial"/>
          <w:b/>
          <w:bCs/>
          <w:sz w:val="21"/>
          <w:szCs w:val="21"/>
          <w:lang w:val="es-MX"/>
        </w:rPr>
      </w:pPr>
    </w:p>
    <w:p w14:paraId="2378C7DB" w14:textId="77777777" w:rsidR="00F00DF5" w:rsidRPr="00F00DF5" w:rsidRDefault="00F00DF5" w:rsidP="00F00DF5">
      <w:pPr>
        <w:jc w:val="center"/>
        <w:rPr>
          <w:rFonts w:ascii="Abadi" w:hAnsi="Abadi" w:cs="Arial"/>
          <w:b/>
          <w:bCs/>
          <w:sz w:val="21"/>
          <w:szCs w:val="21"/>
          <w:lang w:val="es-MX"/>
        </w:rPr>
      </w:pPr>
      <w:r w:rsidRPr="00F00DF5">
        <w:rPr>
          <w:rFonts w:ascii="Abadi" w:hAnsi="Abadi" w:cs="Arial"/>
          <w:b/>
          <w:bCs/>
          <w:sz w:val="21"/>
          <w:szCs w:val="21"/>
          <w:lang w:val="es-MX"/>
        </w:rPr>
        <w:t>Diputado Gerardo Fernández González</w:t>
      </w:r>
    </w:p>
    <w:p w14:paraId="6B97DDE5" w14:textId="77777777" w:rsidR="00F00DF5" w:rsidRPr="00F00DF5" w:rsidRDefault="00F00DF5" w:rsidP="00F00DF5">
      <w:pPr>
        <w:jc w:val="center"/>
        <w:rPr>
          <w:rFonts w:ascii="Abadi" w:hAnsi="Abadi" w:cs="Arial"/>
          <w:b/>
          <w:bCs/>
          <w:sz w:val="21"/>
          <w:szCs w:val="21"/>
          <w:lang w:val="es-MX"/>
        </w:rPr>
      </w:pPr>
    </w:p>
    <w:p w14:paraId="3C288304" w14:textId="77777777" w:rsidR="00F00DF5" w:rsidRPr="00F00DF5" w:rsidRDefault="00F00DF5" w:rsidP="00F00DF5">
      <w:pPr>
        <w:jc w:val="center"/>
        <w:rPr>
          <w:rFonts w:ascii="Abadi" w:hAnsi="Abadi" w:cs="Arial"/>
          <w:b/>
          <w:bCs/>
          <w:sz w:val="21"/>
          <w:szCs w:val="21"/>
          <w:lang w:val="es-MX"/>
        </w:rPr>
      </w:pPr>
    </w:p>
    <w:p w14:paraId="79370EC9" w14:textId="51E8974E" w:rsidR="00F00DF5" w:rsidRPr="00F00DF5" w:rsidRDefault="00F00DF5" w:rsidP="00F00DF5">
      <w:pPr>
        <w:jc w:val="center"/>
        <w:rPr>
          <w:rFonts w:ascii="Abadi" w:hAnsi="Abadi" w:cs="Arial"/>
          <w:b/>
          <w:bCs/>
          <w:sz w:val="21"/>
          <w:szCs w:val="21"/>
          <w:lang w:val="es-MX"/>
        </w:rPr>
      </w:pPr>
      <w:r w:rsidRPr="00F00DF5">
        <w:rPr>
          <w:rFonts w:ascii="Abadi" w:hAnsi="Abadi" w:cs="Arial"/>
          <w:b/>
          <w:bCs/>
          <w:sz w:val="21"/>
          <w:szCs w:val="21"/>
          <w:lang w:val="es-MX"/>
        </w:rPr>
        <w:t>Diputado Rolando Fortino Alcántar Rojas</w:t>
      </w:r>
    </w:p>
    <w:p w14:paraId="33BF63C2" w14:textId="5062D168" w:rsidR="00F00DF5" w:rsidRPr="00F00DF5" w:rsidRDefault="00F00DF5" w:rsidP="00F00DF5">
      <w:pPr>
        <w:tabs>
          <w:tab w:val="left" w:pos="856"/>
        </w:tabs>
        <w:kinsoku w:val="0"/>
        <w:overflowPunct w:val="0"/>
        <w:autoSpaceDE w:val="0"/>
        <w:autoSpaceDN w:val="0"/>
        <w:adjustRightInd w:val="0"/>
        <w:ind w:left="360" w:right="17"/>
        <w:jc w:val="both"/>
        <w:rPr>
          <w:rFonts w:ascii="Abadi" w:hAnsi="Abadi"/>
          <w:sz w:val="20"/>
          <w:szCs w:val="20"/>
        </w:rPr>
      </w:pPr>
    </w:p>
    <w:p w14:paraId="7A086B01" w14:textId="77777777" w:rsidR="00F00DF5" w:rsidRPr="00F00DF5" w:rsidRDefault="00F00DF5" w:rsidP="00F00DF5">
      <w:pPr>
        <w:tabs>
          <w:tab w:val="left" w:pos="856"/>
        </w:tabs>
        <w:kinsoku w:val="0"/>
        <w:overflowPunct w:val="0"/>
        <w:autoSpaceDE w:val="0"/>
        <w:autoSpaceDN w:val="0"/>
        <w:adjustRightInd w:val="0"/>
        <w:ind w:left="360" w:right="17"/>
        <w:jc w:val="both"/>
        <w:rPr>
          <w:rFonts w:ascii="Abadi" w:hAnsi="Abadi"/>
          <w:b/>
          <w:bCs/>
          <w:sz w:val="20"/>
          <w:szCs w:val="20"/>
        </w:rPr>
      </w:pPr>
    </w:p>
    <w:p w14:paraId="201F018A" w14:textId="6E47ED0B" w:rsidR="00E91205" w:rsidRDefault="00E91205" w:rsidP="005433FA">
      <w:pPr>
        <w:pStyle w:val="Prrafodelista"/>
        <w:numPr>
          <w:ilvl w:val="0"/>
          <w:numId w:val="9"/>
        </w:numPr>
        <w:tabs>
          <w:tab w:val="left" w:pos="856"/>
        </w:tabs>
        <w:kinsoku w:val="0"/>
        <w:overflowPunct w:val="0"/>
        <w:autoSpaceDE w:val="0"/>
        <w:autoSpaceDN w:val="0"/>
        <w:adjustRightInd w:val="0"/>
        <w:spacing w:before="1"/>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2"/>
          <w:sz w:val="20"/>
          <w:szCs w:val="20"/>
        </w:rPr>
        <w:t xml:space="preserve"> </w:t>
      </w:r>
      <w:r w:rsidRPr="00531B12">
        <w:rPr>
          <w:rFonts w:ascii="Abadi" w:hAnsi="Abadi"/>
          <w:b/>
          <w:bCs/>
          <w:sz w:val="20"/>
          <w:szCs w:val="20"/>
        </w:rPr>
        <w:t>Y,</w:t>
      </w:r>
      <w:r w:rsidRPr="00531B12">
        <w:rPr>
          <w:rFonts w:ascii="Abadi" w:hAnsi="Abadi"/>
          <w:b/>
          <w:bCs/>
          <w:spacing w:val="12"/>
          <w:sz w:val="20"/>
          <w:szCs w:val="20"/>
        </w:rPr>
        <w:t xml:space="preserve"> </w:t>
      </w:r>
      <w:r w:rsidRPr="00531B12">
        <w:rPr>
          <w:rFonts w:ascii="Abadi" w:hAnsi="Abadi"/>
          <w:b/>
          <w:bCs/>
          <w:sz w:val="20"/>
          <w:szCs w:val="20"/>
        </w:rPr>
        <w:t>EN</w:t>
      </w:r>
      <w:r w:rsidRPr="00531B12">
        <w:rPr>
          <w:rFonts w:ascii="Abadi" w:hAnsi="Abadi"/>
          <w:b/>
          <w:bCs/>
          <w:spacing w:val="12"/>
          <w:sz w:val="20"/>
          <w:szCs w:val="20"/>
        </w:rPr>
        <w:t xml:space="preserve"> </w:t>
      </w:r>
      <w:r w:rsidRPr="00531B12">
        <w:rPr>
          <w:rFonts w:ascii="Abadi" w:hAnsi="Abadi"/>
          <w:b/>
          <w:bCs/>
          <w:sz w:val="20"/>
          <w:szCs w:val="20"/>
        </w:rPr>
        <w:t>SU</w:t>
      </w:r>
      <w:r w:rsidRPr="00531B12">
        <w:rPr>
          <w:rFonts w:ascii="Abadi" w:hAnsi="Abadi"/>
          <w:b/>
          <w:bCs/>
          <w:spacing w:val="12"/>
          <w:sz w:val="20"/>
          <w:szCs w:val="20"/>
        </w:rPr>
        <w:t xml:space="preserve"> </w:t>
      </w:r>
      <w:r w:rsidRPr="00531B12">
        <w:rPr>
          <w:rFonts w:ascii="Abadi" w:hAnsi="Abadi"/>
          <w:b/>
          <w:bCs/>
          <w:sz w:val="20"/>
          <w:szCs w:val="20"/>
        </w:rPr>
        <w:t>CASO,</w:t>
      </w:r>
      <w:r w:rsidRPr="00531B12">
        <w:rPr>
          <w:rFonts w:ascii="Abadi" w:hAnsi="Abadi"/>
          <w:b/>
          <w:bCs/>
          <w:spacing w:val="12"/>
          <w:sz w:val="20"/>
          <w:szCs w:val="20"/>
        </w:rPr>
        <w:t xml:space="preserve"> </w:t>
      </w:r>
      <w:r w:rsidRPr="00531B12">
        <w:rPr>
          <w:rFonts w:ascii="Abadi" w:hAnsi="Abadi"/>
          <w:b/>
          <w:bCs/>
          <w:sz w:val="20"/>
          <w:szCs w:val="20"/>
        </w:rPr>
        <w:t>APROBACIÓN</w:t>
      </w:r>
      <w:r w:rsidRPr="00531B12">
        <w:rPr>
          <w:rFonts w:ascii="Abadi" w:hAnsi="Abadi"/>
          <w:b/>
          <w:bCs/>
          <w:spacing w:val="12"/>
          <w:sz w:val="20"/>
          <w:szCs w:val="20"/>
        </w:rPr>
        <w:t xml:space="preserve"> </w:t>
      </w:r>
      <w:r w:rsidRPr="00531B12">
        <w:rPr>
          <w:rFonts w:ascii="Abadi" w:hAnsi="Abadi"/>
          <w:b/>
          <w:bCs/>
          <w:sz w:val="20"/>
          <w:szCs w:val="20"/>
        </w:rPr>
        <w:t>DEL</w:t>
      </w:r>
      <w:r w:rsidRPr="00531B12">
        <w:rPr>
          <w:rFonts w:ascii="Abadi" w:hAnsi="Abadi"/>
          <w:b/>
          <w:bCs/>
          <w:spacing w:val="12"/>
          <w:sz w:val="20"/>
          <w:szCs w:val="20"/>
        </w:rPr>
        <w:t xml:space="preserve"> </w:t>
      </w:r>
      <w:r w:rsidRPr="00531B12">
        <w:rPr>
          <w:rFonts w:ascii="Abadi" w:hAnsi="Abadi"/>
          <w:b/>
          <w:bCs/>
          <w:sz w:val="20"/>
          <w:szCs w:val="20"/>
        </w:rPr>
        <w:t>DICTAMEN</w:t>
      </w:r>
      <w:r w:rsidRPr="00531B12">
        <w:rPr>
          <w:rFonts w:ascii="Abadi" w:hAnsi="Abadi"/>
          <w:b/>
          <w:bCs/>
          <w:spacing w:val="12"/>
          <w:sz w:val="20"/>
          <w:szCs w:val="20"/>
        </w:rPr>
        <w:t xml:space="preserve"> </w:t>
      </w:r>
      <w:r w:rsidRPr="00531B12">
        <w:rPr>
          <w:rFonts w:ascii="Abadi" w:hAnsi="Abadi"/>
          <w:b/>
          <w:bCs/>
          <w:sz w:val="20"/>
          <w:szCs w:val="20"/>
        </w:rPr>
        <w:t>SUSCRITO</w:t>
      </w:r>
      <w:r w:rsidRPr="00531B12">
        <w:rPr>
          <w:rFonts w:ascii="Abadi" w:hAnsi="Abadi"/>
          <w:b/>
          <w:bCs/>
          <w:spacing w:val="13"/>
          <w:sz w:val="20"/>
          <w:szCs w:val="20"/>
        </w:rPr>
        <w:t xml:space="preserve"> </w:t>
      </w:r>
      <w:r w:rsidRPr="00531B12">
        <w:rPr>
          <w:rFonts w:ascii="Abadi" w:hAnsi="Abadi"/>
          <w:b/>
          <w:bCs/>
          <w:sz w:val="20"/>
          <w:szCs w:val="20"/>
        </w:rPr>
        <w:t>POR</w:t>
      </w:r>
      <w:r w:rsidRPr="00531B12">
        <w:rPr>
          <w:rFonts w:ascii="Abadi" w:hAnsi="Abadi"/>
          <w:b/>
          <w:bCs/>
          <w:spacing w:val="12"/>
          <w:sz w:val="20"/>
          <w:szCs w:val="20"/>
        </w:rPr>
        <w:t xml:space="preserve"> </w:t>
      </w:r>
      <w:r w:rsidRPr="00531B12">
        <w:rPr>
          <w:rFonts w:ascii="Abadi" w:hAnsi="Abadi"/>
          <w:b/>
          <w:bCs/>
          <w:sz w:val="20"/>
          <w:szCs w:val="20"/>
        </w:rPr>
        <w:t>LA</w:t>
      </w:r>
      <w:r w:rsidRPr="00531B12">
        <w:rPr>
          <w:rFonts w:ascii="Abadi" w:hAnsi="Abadi"/>
          <w:b/>
          <w:bCs/>
          <w:spacing w:val="12"/>
          <w:sz w:val="20"/>
          <w:szCs w:val="20"/>
        </w:rPr>
        <w:t xml:space="preserve"> </w:t>
      </w:r>
      <w:r w:rsidRPr="00531B12">
        <w:rPr>
          <w:rFonts w:ascii="Abadi" w:hAnsi="Abadi"/>
          <w:b/>
          <w:bCs/>
          <w:sz w:val="20"/>
          <w:szCs w:val="20"/>
        </w:rPr>
        <w:t>COMISIÓN DE</w:t>
      </w:r>
      <w:r w:rsidRPr="00531B12">
        <w:rPr>
          <w:rFonts w:ascii="Abadi" w:hAnsi="Abadi"/>
          <w:b/>
          <w:bCs/>
          <w:spacing w:val="35"/>
          <w:sz w:val="20"/>
          <w:szCs w:val="20"/>
        </w:rPr>
        <w:t xml:space="preserve"> </w:t>
      </w:r>
      <w:r w:rsidRPr="00531B12">
        <w:rPr>
          <w:rFonts w:ascii="Abadi" w:hAnsi="Abadi"/>
          <w:b/>
          <w:bCs/>
          <w:sz w:val="20"/>
          <w:szCs w:val="20"/>
        </w:rPr>
        <w:t>JUSTICIA</w:t>
      </w:r>
      <w:r w:rsidRPr="00531B12">
        <w:rPr>
          <w:rFonts w:ascii="Abadi" w:hAnsi="Abadi"/>
          <w:b/>
          <w:bCs/>
          <w:spacing w:val="35"/>
          <w:sz w:val="20"/>
          <w:szCs w:val="20"/>
        </w:rPr>
        <w:t xml:space="preserve"> </w:t>
      </w:r>
      <w:r w:rsidRPr="00531B12">
        <w:rPr>
          <w:rFonts w:ascii="Abadi" w:hAnsi="Abadi"/>
          <w:b/>
          <w:bCs/>
          <w:sz w:val="20"/>
          <w:szCs w:val="20"/>
        </w:rPr>
        <w:t>RELATIVO</w:t>
      </w:r>
      <w:r w:rsidRPr="00531B12">
        <w:rPr>
          <w:rFonts w:ascii="Abadi" w:hAnsi="Abadi"/>
          <w:b/>
          <w:bCs/>
          <w:spacing w:val="35"/>
          <w:sz w:val="20"/>
          <w:szCs w:val="20"/>
        </w:rPr>
        <w:t xml:space="preserve"> </w:t>
      </w:r>
      <w:r w:rsidRPr="00531B12">
        <w:rPr>
          <w:rFonts w:ascii="Abadi" w:hAnsi="Abadi"/>
          <w:b/>
          <w:bCs/>
          <w:sz w:val="20"/>
          <w:szCs w:val="20"/>
        </w:rPr>
        <w:t>A</w:t>
      </w:r>
      <w:r w:rsidRPr="00531B12">
        <w:rPr>
          <w:rFonts w:ascii="Abadi" w:hAnsi="Abadi"/>
          <w:b/>
          <w:bCs/>
          <w:spacing w:val="35"/>
          <w:sz w:val="20"/>
          <w:szCs w:val="20"/>
        </w:rPr>
        <w:t xml:space="preserve"> </w:t>
      </w:r>
      <w:r w:rsidRPr="00531B12">
        <w:rPr>
          <w:rFonts w:ascii="Abadi" w:hAnsi="Abadi"/>
          <w:b/>
          <w:bCs/>
          <w:sz w:val="20"/>
          <w:szCs w:val="20"/>
        </w:rPr>
        <w:t>LA</w:t>
      </w:r>
      <w:r w:rsidRPr="00531B12">
        <w:rPr>
          <w:rFonts w:ascii="Abadi" w:hAnsi="Abadi"/>
          <w:b/>
          <w:bCs/>
          <w:spacing w:val="35"/>
          <w:sz w:val="20"/>
          <w:szCs w:val="20"/>
        </w:rPr>
        <w:t xml:space="preserve"> </w:t>
      </w:r>
      <w:r w:rsidRPr="00531B12">
        <w:rPr>
          <w:rFonts w:ascii="Abadi" w:hAnsi="Abadi"/>
          <w:b/>
          <w:bCs/>
          <w:sz w:val="20"/>
          <w:szCs w:val="20"/>
        </w:rPr>
        <w:t>INICIATIVA</w:t>
      </w:r>
      <w:r w:rsidRPr="00531B12">
        <w:rPr>
          <w:rFonts w:ascii="Abadi" w:hAnsi="Abadi"/>
          <w:b/>
          <w:bCs/>
          <w:spacing w:val="35"/>
          <w:sz w:val="20"/>
          <w:szCs w:val="20"/>
        </w:rPr>
        <w:t xml:space="preserve"> </w:t>
      </w:r>
      <w:r w:rsidRPr="00531B12">
        <w:rPr>
          <w:rFonts w:ascii="Abadi" w:hAnsi="Abadi"/>
          <w:b/>
          <w:bCs/>
          <w:sz w:val="20"/>
          <w:szCs w:val="20"/>
        </w:rPr>
        <w:t>A</w:t>
      </w:r>
      <w:r w:rsidRPr="00531B12">
        <w:rPr>
          <w:rFonts w:ascii="Abadi" w:hAnsi="Abadi"/>
          <w:b/>
          <w:bCs/>
          <w:spacing w:val="35"/>
          <w:sz w:val="20"/>
          <w:szCs w:val="20"/>
        </w:rPr>
        <w:t xml:space="preserve"> </w:t>
      </w:r>
      <w:r w:rsidRPr="00531B12">
        <w:rPr>
          <w:rFonts w:ascii="Abadi" w:hAnsi="Abadi"/>
          <w:b/>
          <w:bCs/>
          <w:sz w:val="20"/>
          <w:szCs w:val="20"/>
        </w:rPr>
        <w:t>EFECTO</w:t>
      </w:r>
      <w:r w:rsidRPr="00531B12">
        <w:rPr>
          <w:rFonts w:ascii="Abadi" w:hAnsi="Abadi"/>
          <w:b/>
          <w:bCs/>
          <w:spacing w:val="35"/>
          <w:sz w:val="20"/>
          <w:szCs w:val="20"/>
        </w:rPr>
        <w:t xml:space="preserve"> </w:t>
      </w:r>
      <w:r w:rsidRPr="00531B12">
        <w:rPr>
          <w:rFonts w:ascii="Abadi" w:hAnsi="Abadi"/>
          <w:b/>
          <w:bCs/>
          <w:sz w:val="20"/>
          <w:szCs w:val="20"/>
        </w:rPr>
        <w:t>DE</w:t>
      </w:r>
      <w:r w:rsidRPr="00531B12">
        <w:rPr>
          <w:rFonts w:ascii="Abadi" w:hAnsi="Abadi"/>
          <w:b/>
          <w:bCs/>
          <w:spacing w:val="35"/>
          <w:sz w:val="20"/>
          <w:szCs w:val="20"/>
        </w:rPr>
        <w:t xml:space="preserve"> </w:t>
      </w:r>
      <w:r w:rsidRPr="00531B12">
        <w:rPr>
          <w:rFonts w:ascii="Abadi" w:hAnsi="Abadi"/>
          <w:b/>
          <w:bCs/>
          <w:sz w:val="20"/>
          <w:szCs w:val="20"/>
        </w:rPr>
        <w:t>REFORMAR</w:t>
      </w:r>
      <w:r w:rsidRPr="00531B12">
        <w:rPr>
          <w:rFonts w:ascii="Abadi" w:hAnsi="Abadi"/>
          <w:b/>
          <w:bCs/>
          <w:spacing w:val="35"/>
          <w:sz w:val="20"/>
          <w:szCs w:val="20"/>
        </w:rPr>
        <w:t xml:space="preserve"> </w:t>
      </w:r>
      <w:r w:rsidRPr="00531B12">
        <w:rPr>
          <w:rFonts w:ascii="Abadi" w:hAnsi="Abadi"/>
          <w:b/>
          <w:bCs/>
          <w:sz w:val="20"/>
          <w:szCs w:val="20"/>
        </w:rPr>
        <w:t>EL</w:t>
      </w:r>
      <w:r w:rsidRPr="00531B12">
        <w:rPr>
          <w:rFonts w:ascii="Abadi" w:hAnsi="Abadi"/>
          <w:b/>
          <w:bCs/>
          <w:spacing w:val="35"/>
          <w:sz w:val="20"/>
          <w:szCs w:val="20"/>
        </w:rPr>
        <w:t xml:space="preserve"> </w:t>
      </w:r>
      <w:r w:rsidRPr="00531B12">
        <w:rPr>
          <w:rFonts w:ascii="Abadi" w:hAnsi="Abadi"/>
          <w:b/>
          <w:bCs/>
          <w:sz w:val="20"/>
          <w:szCs w:val="20"/>
        </w:rPr>
        <w:t>ARTÍCULO</w:t>
      </w:r>
      <w:r w:rsidRPr="00531B12">
        <w:rPr>
          <w:rFonts w:ascii="Abadi" w:hAnsi="Abadi"/>
          <w:b/>
          <w:bCs/>
          <w:spacing w:val="35"/>
          <w:sz w:val="20"/>
          <w:szCs w:val="20"/>
        </w:rPr>
        <w:t xml:space="preserve"> </w:t>
      </w:r>
      <w:r w:rsidRPr="00531B12">
        <w:rPr>
          <w:rFonts w:ascii="Abadi" w:hAnsi="Abadi"/>
          <w:b/>
          <w:bCs/>
          <w:sz w:val="20"/>
          <w:szCs w:val="20"/>
        </w:rPr>
        <w:t>139</w:t>
      </w:r>
      <w:r w:rsidRPr="00531B12">
        <w:rPr>
          <w:rFonts w:ascii="Abadi" w:hAnsi="Abadi"/>
          <w:b/>
          <w:bCs/>
          <w:spacing w:val="35"/>
          <w:sz w:val="20"/>
          <w:szCs w:val="20"/>
        </w:rPr>
        <w:t xml:space="preserve"> </w:t>
      </w:r>
      <w:r w:rsidRPr="00531B12">
        <w:rPr>
          <w:rFonts w:ascii="Abadi" w:hAnsi="Abadi"/>
          <w:b/>
          <w:bCs/>
          <w:sz w:val="20"/>
          <w:szCs w:val="20"/>
        </w:rPr>
        <w:t>DEL CÓDIGO</w:t>
      </w:r>
      <w:r w:rsidRPr="00531B12">
        <w:rPr>
          <w:rFonts w:ascii="Abadi" w:hAnsi="Abadi"/>
          <w:b/>
          <w:bCs/>
          <w:spacing w:val="40"/>
          <w:sz w:val="20"/>
          <w:szCs w:val="20"/>
        </w:rPr>
        <w:t xml:space="preserve"> </w:t>
      </w:r>
      <w:r w:rsidRPr="00531B12">
        <w:rPr>
          <w:rFonts w:ascii="Abadi" w:hAnsi="Abadi"/>
          <w:b/>
          <w:bCs/>
          <w:sz w:val="20"/>
          <w:szCs w:val="20"/>
        </w:rPr>
        <w:t>PENAL</w:t>
      </w:r>
      <w:r w:rsidRPr="00531B12">
        <w:rPr>
          <w:rFonts w:ascii="Abadi" w:hAnsi="Abadi"/>
          <w:b/>
          <w:bCs/>
          <w:spacing w:val="40"/>
          <w:sz w:val="20"/>
          <w:szCs w:val="20"/>
        </w:rPr>
        <w:t xml:space="preserve"> </w:t>
      </w:r>
      <w:r w:rsidRPr="00531B12">
        <w:rPr>
          <w:rFonts w:ascii="Abadi" w:hAnsi="Abadi"/>
          <w:b/>
          <w:bCs/>
          <w:sz w:val="20"/>
          <w:szCs w:val="20"/>
        </w:rPr>
        <w:t>DEL</w:t>
      </w:r>
      <w:r w:rsidRPr="00531B12">
        <w:rPr>
          <w:rFonts w:ascii="Abadi" w:hAnsi="Abadi"/>
          <w:b/>
          <w:bCs/>
          <w:spacing w:val="40"/>
          <w:sz w:val="20"/>
          <w:szCs w:val="20"/>
        </w:rPr>
        <w:t xml:space="preserve"> </w:t>
      </w:r>
      <w:r w:rsidRPr="00531B12">
        <w:rPr>
          <w:rFonts w:ascii="Abadi" w:hAnsi="Abadi"/>
          <w:b/>
          <w:bCs/>
          <w:sz w:val="20"/>
          <w:szCs w:val="20"/>
        </w:rPr>
        <w:t>ESTADO</w:t>
      </w:r>
      <w:r w:rsidRPr="00531B12">
        <w:rPr>
          <w:rFonts w:ascii="Abadi" w:hAnsi="Abadi"/>
          <w:b/>
          <w:bCs/>
          <w:spacing w:val="40"/>
          <w:sz w:val="20"/>
          <w:szCs w:val="20"/>
        </w:rPr>
        <w:t xml:space="preserve"> </w:t>
      </w:r>
      <w:r w:rsidRPr="00531B12">
        <w:rPr>
          <w:rFonts w:ascii="Abadi" w:hAnsi="Abadi"/>
          <w:b/>
          <w:bCs/>
          <w:sz w:val="20"/>
          <w:szCs w:val="20"/>
        </w:rPr>
        <w:t>DE</w:t>
      </w:r>
      <w:r w:rsidRPr="00531B12">
        <w:rPr>
          <w:rFonts w:ascii="Abadi" w:hAnsi="Abadi"/>
          <w:b/>
          <w:bCs/>
          <w:spacing w:val="49"/>
          <w:sz w:val="20"/>
          <w:szCs w:val="20"/>
        </w:rPr>
        <w:t xml:space="preserve"> </w:t>
      </w:r>
      <w:r w:rsidRPr="00531B12">
        <w:rPr>
          <w:rFonts w:ascii="Abadi" w:hAnsi="Abadi"/>
          <w:b/>
          <w:bCs/>
          <w:sz w:val="20"/>
          <w:szCs w:val="20"/>
        </w:rPr>
        <w:t>GUANAJUATO,</w:t>
      </w:r>
      <w:r w:rsidRPr="00531B12">
        <w:rPr>
          <w:rFonts w:ascii="Abadi" w:hAnsi="Abadi"/>
          <w:b/>
          <w:bCs/>
          <w:spacing w:val="40"/>
          <w:sz w:val="20"/>
          <w:szCs w:val="20"/>
        </w:rPr>
        <w:t xml:space="preserve"> </w:t>
      </w:r>
      <w:r w:rsidRPr="00531B12">
        <w:rPr>
          <w:rFonts w:ascii="Abadi" w:hAnsi="Abadi"/>
          <w:b/>
          <w:bCs/>
          <w:sz w:val="20"/>
          <w:szCs w:val="20"/>
        </w:rPr>
        <w:t>PRESENTADA</w:t>
      </w:r>
      <w:r w:rsidRPr="00531B12">
        <w:rPr>
          <w:rFonts w:ascii="Abadi" w:hAnsi="Abadi"/>
          <w:b/>
          <w:bCs/>
          <w:spacing w:val="40"/>
          <w:sz w:val="20"/>
          <w:szCs w:val="20"/>
        </w:rPr>
        <w:t xml:space="preserve"> </w:t>
      </w:r>
      <w:r w:rsidRPr="00531B12">
        <w:rPr>
          <w:rFonts w:ascii="Abadi" w:hAnsi="Abadi"/>
          <w:b/>
          <w:bCs/>
          <w:sz w:val="20"/>
          <w:szCs w:val="20"/>
        </w:rPr>
        <w:t>POR</w:t>
      </w:r>
      <w:r w:rsidRPr="00531B12">
        <w:rPr>
          <w:rFonts w:ascii="Abadi" w:hAnsi="Abadi"/>
          <w:b/>
          <w:bCs/>
          <w:spacing w:val="40"/>
          <w:sz w:val="20"/>
          <w:szCs w:val="20"/>
        </w:rPr>
        <w:t xml:space="preserve"> </w:t>
      </w:r>
      <w:r w:rsidRPr="00531B12">
        <w:rPr>
          <w:rFonts w:ascii="Abadi" w:hAnsi="Abadi"/>
          <w:b/>
          <w:bCs/>
          <w:sz w:val="20"/>
          <w:szCs w:val="20"/>
        </w:rPr>
        <w:t>DIPUTADA</w:t>
      </w:r>
      <w:r w:rsidRPr="00531B12">
        <w:rPr>
          <w:rFonts w:ascii="Abadi" w:hAnsi="Abadi"/>
          <w:b/>
          <w:bCs/>
          <w:spacing w:val="40"/>
          <w:sz w:val="20"/>
          <w:szCs w:val="20"/>
        </w:rPr>
        <w:t xml:space="preserve"> </w:t>
      </w:r>
      <w:r w:rsidRPr="00531B12">
        <w:rPr>
          <w:rFonts w:ascii="Abadi" w:hAnsi="Abadi"/>
          <w:b/>
          <w:bCs/>
          <w:sz w:val="20"/>
          <w:szCs w:val="20"/>
        </w:rPr>
        <w:t>Y</w:t>
      </w:r>
      <w:r w:rsidRPr="00531B12">
        <w:rPr>
          <w:rFonts w:ascii="Abadi" w:hAnsi="Abadi"/>
          <w:b/>
          <w:bCs/>
          <w:spacing w:val="40"/>
          <w:sz w:val="20"/>
          <w:szCs w:val="20"/>
        </w:rPr>
        <w:t xml:space="preserve"> </w:t>
      </w:r>
      <w:r w:rsidRPr="00531B12">
        <w:rPr>
          <w:rFonts w:ascii="Abadi" w:hAnsi="Abadi"/>
          <w:b/>
          <w:bCs/>
          <w:sz w:val="20"/>
          <w:szCs w:val="20"/>
        </w:rPr>
        <w:t>LOS DIPUTADOS</w:t>
      </w:r>
      <w:r w:rsidRPr="00531B12">
        <w:rPr>
          <w:rFonts w:ascii="Abadi" w:hAnsi="Abadi"/>
          <w:b/>
          <w:bCs/>
          <w:spacing w:val="27"/>
          <w:sz w:val="20"/>
          <w:szCs w:val="20"/>
        </w:rPr>
        <w:t xml:space="preserve"> </w:t>
      </w:r>
      <w:r w:rsidRPr="00531B12">
        <w:rPr>
          <w:rFonts w:ascii="Abadi" w:hAnsi="Abadi"/>
          <w:b/>
          <w:bCs/>
          <w:sz w:val="20"/>
          <w:szCs w:val="20"/>
        </w:rPr>
        <w:t>INTEGRANTES</w:t>
      </w:r>
      <w:r w:rsidRPr="00531B12">
        <w:rPr>
          <w:rFonts w:ascii="Abadi" w:hAnsi="Abadi"/>
          <w:b/>
          <w:bCs/>
          <w:spacing w:val="27"/>
          <w:sz w:val="20"/>
          <w:szCs w:val="20"/>
        </w:rPr>
        <w:t xml:space="preserve"> </w:t>
      </w:r>
      <w:r w:rsidRPr="00531B12">
        <w:rPr>
          <w:rFonts w:ascii="Abadi" w:hAnsi="Abadi"/>
          <w:b/>
          <w:bCs/>
          <w:sz w:val="20"/>
          <w:szCs w:val="20"/>
        </w:rPr>
        <w:t>DEL</w:t>
      </w:r>
      <w:r w:rsidRPr="00531B12">
        <w:rPr>
          <w:rFonts w:ascii="Abadi" w:hAnsi="Abadi"/>
          <w:b/>
          <w:bCs/>
          <w:spacing w:val="27"/>
          <w:sz w:val="20"/>
          <w:szCs w:val="20"/>
        </w:rPr>
        <w:t xml:space="preserve"> </w:t>
      </w:r>
      <w:r w:rsidRPr="00531B12">
        <w:rPr>
          <w:rFonts w:ascii="Abadi" w:hAnsi="Abadi"/>
          <w:b/>
          <w:bCs/>
          <w:sz w:val="20"/>
          <w:szCs w:val="20"/>
        </w:rPr>
        <w:t>GRUPO</w:t>
      </w:r>
      <w:r w:rsidRPr="00531B12">
        <w:rPr>
          <w:rFonts w:ascii="Abadi" w:hAnsi="Abadi"/>
          <w:b/>
          <w:bCs/>
          <w:spacing w:val="27"/>
          <w:sz w:val="20"/>
          <w:szCs w:val="20"/>
        </w:rPr>
        <w:t xml:space="preserve"> </w:t>
      </w:r>
      <w:r w:rsidRPr="00531B12">
        <w:rPr>
          <w:rFonts w:ascii="Abadi" w:hAnsi="Abadi"/>
          <w:b/>
          <w:bCs/>
          <w:sz w:val="20"/>
          <w:szCs w:val="20"/>
        </w:rPr>
        <w:t>PARLAMENTARIO</w:t>
      </w:r>
      <w:r w:rsidRPr="00531B12">
        <w:rPr>
          <w:rFonts w:ascii="Abadi" w:hAnsi="Abadi"/>
          <w:b/>
          <w:bCs/>
          <w:spacing w:val="27"/>
          <w:sz w:val="20"/>
          <w:szCs w:val="20"/>
        </w:rPr>
        <w:t xml:space="preserve"> </w:t>
      </w:r>
      <w:r w:rsidRPr="00531B12">
        <w:rPr>
          <w:rFonts w:ascii="Abadi" w:hAnsi="Abadi"/>
          <w:b/>
          <w:bCs/>
          <w:sz w:val="20"/>
          <w:szCs w:val="20"/>
        </w:rPr>
        <w:t>DEL</w:t>
      </w:r>
      <w:r w:rsidRPr="00531B12">
        <w:rPr>
          <w:rFonts w:ascii="Abadi" w:hAnsi="Abadi"/>
          <w:b/>
          <w:bCs/>
          <w:spacing w:val="27"/>
          <w:sz w:val="20"/>
          <w:szCs w:val="20"/>
        </w:rPr>
        <w:t xml:space="preserve"> </w:t>
      </w:r>
      <w:r w:rsidRPr="00531B12">
        <w:rPr>
          <w:rFonts w:ascii="Abadi" w:hAnsi="Abadi"/>
          <w:b/>
          <w:bCs/>
          <w:sz w:val="20"/>
          <w:szCs w:val="20"/>
        </w:rPr>
        <w:t>PARTIDO</w:t>
      </w:r>
      <w:r w:rsidRPr="00531B12">
        <w:rPr>
          <w:rFonts w:ascii="Abadi" w:hAnsi="Abadi"/>
          <w:b/>
          <w:bCs/>
          <w:spacing w:val="27"/>
          <w:sz w:val="20"/>
          <w:szCs w:val="20"/>
        </w:rPr>
        <w:t xml:space="preserve"> </w:t>
      </w:r>
      <w:r w:rsidRPr="00531B12">
        <w:rPr>
          <w:rFonts w:ascii="Abadi" w:hAnsi="Abadi"/>
          <w:b/>
          <w:bCs/>
          <w:sz w:val="20"/>
          <w:szCs w:val="20"/>
        </w:rPr>
        <w:t>REVOLUCIONARIO INSTITUCIONAL.</w:t>
      </w:r>
    </w:p>
    <w:p w14:paraId="1AA0315A" w14:textId="5B2621F8" w:rsidR="0047678C" w:rsidRDefault="0047678C" w:rsidP="00A73470">
      <w:pPr>
        <w:rPr>
          <w:rFonts w:ascii="Abadi" w:hAnsi="Abadi"/>
          <w:b/>
          <w:bCs/>
          <w:sz w:val="20"/>
          <w:szCs w:val="20"/>
        </w:rPr>
      </w:pPr>
    </w:p>
    <w:p w14:paraId="60F1FC83" w14:textId="3E710A20" w:rsidR="00A73470" w:rsidRDefault="00A73470" w:rsidP="00A73470">
      <w:pPr>
        <w:rPr>
          <w:rFonts w:ascii="Abadi" w:hAnsi="Abadi"/>
          <w:b/>
          <w:bCs/>
          <w:sz w:val="20"/>
          <w:szCs w:val="20"/>
        </w:rPr>
      </w:pPr>
    </w:p>
    <w:p w14:paraId="0E779514" w14:textId="77777777" w:rsidR="00A73470" w:rsidRPr="00A73470" w:rsidRDefault="00A73470" w:rsidP="00A73470">
      <w:pPr>
        <w:widowControl w:val="0"/>
        <w:autoSpaceDE w:val="0"/>
        <w:autoSpaceDN w:val="0"/>
        <w:adjustRightInd w:val="0"/>
        <w:spacing w:before="100" w:beforeAutospacing="1" w:after="100" w:afterAutospacing="1"/>
        <w:jc w:val="both"/>
        <w:rPr>
          <w:rFonts w:ascii="Abadi" w:hAnsi="Abadi" w:cs="Arial"/>
          <w:b/>
          <w:sz w:val="21"/>
          <w:szCs w:val="21"/>
        </w:rPr>
      </w:pPr>
      <w:r w:rsidRPr="00A73470">
        <w:rPr>
          <w:rFonts w:ascii="Abadi" w:hAnsi="Abadi" w:cs="Arial"/>
          <w:b/>
          <w:sz w:val="21"/>
          <w:szCs w:val="21"/>
        </w:rPr>
        <w:t>DICTAMEN QUE PRESENTA LA COMISIÓN DE JUSTICIA RELATIVO A LA INICIATIVA A EFECTO DE REFORMAR EL ARTÍCULO 139 DEL CÓDIGO PENAL DEL ESTADO DE GUANAJUATO, PRESENTADA POR DIPUTADA Y LOS DIPUTADOS INTEGRANTES DEL GRUPO PARLAMENTARIO DEL PARTIDO REVOLUCIONARIO INSTITUCIONAL.</w:t>
      </w:r>
    </w:p>
    <w:p w14:paraId="1C9EDBFC"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cs="Arial"/>
          <w:sz w:val="21"/>
          <w:szCs w:val="21"/>
        </w:rPr>
      </w:pPr>
      <w:r w:rsidRPr="00A73470">
        <w:rPr>
          <w:rFonts w:ascii="Abadi" w:hAnsi="Abadi" w:cs="Arial"/>
          <w:sz w:val="21"/>
          <w:szCs w:val="21"/>
        </w:rPr>
        <w:t xml:space="preserve">A la Comisión de Justicia de esta Sexagésima Quinta Legislatura le fue turnada la iniciativa </w:t>
      </w:r>
      <w:bookmarkStart w:id="13" w:name="_Hlk99380384"/>
      <w:bookmarkStart w:id="14" w:name="_Hlk103268463"/>
      <w:r w:rsidRPr="00A73470">
        <w:rPr>
          <w:rFonts w:ascii="Abadi" w:hAnsi="Abadi"/>
          <w:sz w:val="21"/>
          <w:szCs w:val="21"/>
        </w:rPr>
        <w:t>a efecto de reformar el artículo 139 del Código Penal del Estado de Guanajuato, presentada por d</w:t>
      </w:r>
      <w:bookmarkStart w:id="15" w:name="_Hlk104213393"/>
      <w:r w:rsidRPr="00A73470">
        <w:rPr>
          <w:rFonts w:ascii="Abadi" w:hAnsi="Abadi"/>
          <w:sz w:val="21"/>
          <w:szCs w:val="21"/>
        </w:rPr>
        <w:t>iputada y los diputados integrantes del Grupo Parlamentario del Partido Revolucionario Institucional</w:t>
      </w:r>
      <w:bookmarkEnd w:id="15"/>
      <w:r w:rsidRPr="00A73470">
        <w:rPr>
          <w:rFonts w:ascii="Abadi" w:hAnsi="Abadi"/>
          <w:sz w:val="21"/>
          <w:szCs w:val="21"/>
        </w:rPr>
        <w:t xml:space="preserve">, </w:t>
      </w:r>
      <w:bookmarkEnd w:id="13"/>
      <w:bookmarkEnd w:id="14"/>
      <w:r w:rsidRPr="00A73470">
        <w:rPr>
          <w:rFonts w:ascii="Abadi" w:hAnsi="Abadi" w:cs="Arial"/>
          <w:sz w:val="21"/>
          <w:szCs w:val="21"/>
        </w:rPr>
        <w:t>para su estudio y dictamen.</w:t>
      </w:r>
    </w:p>
    <w:p w14:paraId="156A2379"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cs="Arial"/>
          <w:sz w:val="21"/>
          <w:szCs w:val="21"/>
        </w:rPr>
      </w:pPr>
      <w:r w:rsidRPr="00A73470">
        <w:rPr>
          <w:rFonts w:ascii="Abadi" w:hAnsi="Abadi" w:cs="Arial"/>
          <w:sz w:val="21"/>
          <w:szCs w:val="21"/>
        </w:rPr>
        <w:t>Con fundamento en lo dispuesto por los artículos 113 fracción II y 171 de la Ley Orgánica del Poder Legislativo, se formula dictamen en atención a las siguientes:</w:t>
      </w:r>
    </w:p>
    <w:p w14:paraId="23DF9307" w14:textId="77777777" w:rsidR="00A73470" w:rsidRPr="00A73470" w:rsidRDefault="00A73470" w:rsidP="00A73470">
      <w:pPr>
        <w:widowControl w:val="0"/>
        <w:autoSpaceDE w:val="0"/>
        <w:autoSpaceDN w:val="0"/>
        <w:adjustRightInd w:val="0"/>
        <w:spacing w:before="100" w:beforeAutospacing="1" w:after="100" w:afterAutospacing="1" w:line="360" w:lineRule="auto"/>
        <w:jc w:val="center"/>
        <w:rPr>
          <w:rFonts w:ascii="Abadi" w:hAnsi="Abadi" w:cs="Arial"/>
          <w:b/>
          <w:sz w:val="21"/>
          <w:szCs w:val="21"/>
        </w:rPr>
      </w:pPr>
      <w:r w:rsidRPr="00A73470">
        <w:rPr>
          <w:rFonts w:ascii="Abadi" w:hAnsi="Abadi" w:cs="Arial"/>
          <w:b/>
          <w:sz w:val="21"/>
          <w:szCs w:val="21"/>
        </w:rPr>
        <w:t>CONSIDERACIONES</w:t>
      </w:r>
    </w:p>
    <w:p w14:paraId="5318449D" w14:textId="77777777" w:rsidR="00A73470" w:rsidRPr="00A73470" w:rsidRDefault="00A73470" w:rsidP="00A73470">
      <w:pPr>
        <w:widowControl w:val="0"/>
        <w:autoSpaceDE w:val="0"/>
        <w:autoSpaceDN w:val="0"/>
        <w:adjustRightInd w:val="0"/>
        <w:spacing w:before="100" w:beforeAutospacing="1" w:after="100" w:afterAutospacing="1" w:line="360" w:lineRule="auto"/>
        <w:jc w:val="both"/>
        <w:rPr>
          <w:rFonts w:ascii="Abadi" w:hAnsi="Abadi" w:cs="Arial"/>
          <w:b/>
          <w:sz w:val="21"/>
          <w:szCs w:val="21"/>
        </w:rPr>
      </w:pPr>
      <w:r w:rsidRPr="00A73470">
        <w:rPr>
          <w:rFonts w:ascii="Abadi" w:hAnsi="Abadi" w:cs="Arial"/>
          <w:b/>
          <w:sz w:val="21"/>
          <w:szCs w:val="21"/>
        </w:rPr>
        <w:t>I.</w:t>
      </w:r>
      <w:r w:rsidRPr="00A73470">
        <w:rPr>
          <w:rFonts w:ascii="Abadi" w:hAnsi="Abadi" w:cs="Arial"/>
          <w:b/>
          <w:sz w:val="21"/>
          <w:szCs w:val="21"/>
        </w:rPr>
        <w:tab/>
        <w:t>Presentación de la iniciativa.</w:t>
      </w:r>
    </w:p>
    <w:p w14:paraId="650D2967" w14:textId="77777777" w:rsidR="00A73470" w:rsidRPr="00A73470" w:rsidRDefault="00A73470" w:rsidP="00A73470">
      <w:pPr>
        <w:widowControl w:val="0"/>
        <w:autoSpaceDE w:val="0"/>
        <w:autoSpaceDN w:val="0"/>
        <w:adjustRightInd w:val="0"/>
        <w:spacing w:before="100" w:beforeAutospacing="1" w:after="100" w:afterAutospacing="1" w:line="360" w:lineRule="auto"/>
        <w:jc w:val="both"/>
        <w:rPr>
          <w:rFonts w:ascii="Abadi" w:hAnsi="Abadi" w:cs="Arial"/>
          <w:b/>
          <w:sz w:val="21"/>
          <w:szCs w:val="21"/>
        </w:rPr>
      </w:pPr>
      <w:r w:rsidRPr="00A73470">
        <w:rPr>
          <w:rFonts w:ascii="Abadi" w:hAnsi="Abadi" w:cs="Arial"/>
          <w:b/>
          <w:sz w:val="21"/>
          <w:szCs w:val="21"/>
        </w:rPr>
        <w:t>I.1.</w:t>
      </w:r>
      <w:r w:rsidRPr="00A73470">
        <w:rPr>
          <w:rFonts w:ascii="Abadi" w:hAnsi="Abadi" w:cs="Arial"/>
          <w:b/>
          <w:sz w:val="21"/>
          <w:szCs w:val="21"/>
        </w:rPr>
        <w:tab/>
        <w:t>Facultad para la presentación de iniciativas.</w:t>
      </w:r>
    </w:p>
    <w:p w14:paraId="44FA439D"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cs="Arial"/>
          <w:bCs/>
          <w:sz w:val="21"/>
          <w:szCs w:val="21"/>
        </w:rPr>
      </w:pPr>
      <w:r w:rsidRPr="00A73470">
        <w:rPr>
          <w:rFonts w:ascii="Abadi" w:hAnsi="Abadi" w:cs="Arial"/>
          <w:bCs/>
          <w:sz w:val="21"/>
          <w:szCs w:val="21"/>
        </w:rPr>
        <w:t xml:space="preserve">La diputada y los diputados iniciantes </w:t>
      </w:r>
      <w:bookmarkStart w:id="16" w:name="_Hlk94008944"/>
      <w:r w:rsidRPr="00A73470">
        <w:rPr>
          <w:rFonts w:ascii="Abadi" w:hAnsi="Abadi" w:cs="Arial"/>
          <w:bCs/>
          <w:sz w:val="21"/>
          <w:szCs w:val="21"/>
        </w:rPr>
        <w:t>en ejercicio de la facultad establecida en los artículos 56 fracción II de la Constitución Política para el Estado de Guanajuato y 167 fracción II de la Ley Orgánica del Poder Legislativo del Estado de Guanajuato, presentaron ante la Secretaría General de este Congreso del Estado, la iniciativa que se describe en el preámbulo del presente dictamen.</w:t>
      </w:r>
    </w:p>
    <w:p w14:paraId="5000A6CA" w14:textId="77777777" w:rsidR="00A73470" w:rsidRPr="00A73470" w:rsidRDefault="00A73470" w:rsidP="00A73470">
      <w:pPr>
        <w:autoSpaceDE w:val="0"/>
        <w:autoSpaceDN w:val="0"/>
        <w:adjustRightInd w:val="0"/>
        <w:spacing w:line="360" w:lineRule="auto"/>
        <w:jc w:val="both"/>
        <w:rPr>
          <w:rFonts w:ascii="Abadi" w:eastAsia="SimSun" w:hAnsi="Abadi"/>
          <w:b/>
          <w:bCs/>
          <w:sz w:val="21"/>
          <w:szCs w:val="21"/>
        </w:rPr>
      </w:pPr>
      <w:r w:rsidRPr="00A73470">
        <w:rPr>
          <w:rFonts w:ascii="Abadi" w:eastAsia="SimSun" w:hAnsi="Abadi"/>
          <w:b/>
          <w:bCs/>
          <w:sz w:val="21"/>
          <w:szCs w:val="21"/>
        </w:rPr>
        <w:lastRenderedPageBreak/>
        <w:t>I.2.</w:t>
      </w:r>
      <w:r w:rsidRPr="00A73470">
        <w:rPr>
          <w:rFonts w:ascii="Abadi" w:eastAsia="SimSun" w:hAnsi="Abadi"/>
          <w:b/>
          <w:bCs/>
          <w:sz w:val="21"/>
          <w:szCs w:val="21"/>
        </w:rPr>
        <w:tab/>
        <w:t>Objeto de la iniciativa.</w:t>
      </w:r>
    </w:p>
    <w:p w14:paraId="440B7B89" w14:textId="77777777" w:rsidR="00A73470" w:rsidRPr="00A73470" w:rsidRDefault="00A73470" w:rsidP="00A73470">
      <w:pPr>
        <w:spacing w:line="360" w:lineRule="auto"/>
        <w:ind w:right="-1"/>
        <w:jc w:val="both"/>
        <w:rPr>
          <w:rFonts w:ascii="Abadi" w:hAnsi="Abadi" w:cs="Arial"/>
          <w:sz w:val="21"/>
          <w:szCs w:val="21"/>
        </w:rPr>
      </w:pPr>
    </w:p>
    <w:p w14:paraId="078EFCAE" w14:textId="77777777" w:rsidR="00A73470" w:rsidRPr="00A73470" w:rsidRDefault="00A73470" w:rsidP="00A73470">
      <w:pPr>
        <w:spacing w:line="360" w:lineRule="auto"/>
        <w:ind w:right="-1"/>
        <w:jc w:val="both"/>
        <w:rPr>
          <w:rFonts w:ascii="Abadi" w:hAnsi="Abadi" w:cs="Arial"/>
          <w:sz w:val="21"/>
          <w:szCs w:val="21"/>
        </w:rPr>
      </w:pPr>
      <w:r w:rsidRPr="00A73470">
        <w:rPr>
          <w:rFonts w:ascii="Abadi" w:hAnsi="Abadi" w:cs="Arial"/>
          <w:sz w:val="21"/>
          <w:szCs w:val="21"/>
        </w:rPr>
        <w:tab/>
        <w:t>La iniciativa tiene por objeto incrementar la pena mínima de prisión de diez a quince años en el delito de homicidio simple doloso, a efecto de que los sentenciados por este delito no obtengan su libertad condicionada en cinco años, aun cuando se les aplica la pena mínima, conforme a la Ley Nacional de Ejecución Penal.</w:t>
      </w:r>
    </w:p>
    <w:p w14:paraId="138064BF" w14:textId="77777777" w:rsidR="00A73470" w:rsidRPr="00A73470" w:rsidRDefault="00A73470" w:rsidP="00A73470">
      <w:pPr>
        <w:spacing w:line="360" w:lineRule="auto"/>
        <w:ind w:right="-1"/>
        <w:jc w:val="both"/>
        <w:rPr>
          <w:rFonts w:ascii="Abadi" w:hAnsi="Abadi" w:cs="Arial"/>
          <w:sz w:val="21"/>
          <w:szCs w:val="21"/>
        </w:rPr>
      </w:pPr>
    </w:p>
    <w:p w14:paraId="3FA5BC71" w14:textId="77777777" w:rsidR="00A73470" w:rsidRPr="00A73470" w:rsidRDefault="00A73470" w:rsidP="00A73470">
      <w:pPr>
        <w:spacing w:line="360" w:lineRule="auto"/>
        <w:ind w:right="-1"/>
        <w:jc w:val="both"/>
        <w:rPr>
          <w:rFonts w:ascii="Abadi" w:hAnsi="Abadi" w:cs="Arial"/>
          <w:b/>
          <w:bCs/>
          <w:sz w:val="21"/>
          <w:szCs w:val="21"/>
        </w:rPr>
      </w:pPr>
      <w:r w:rsidRPr="00A73470">
        <w:rPr>
          <w:rFonts w:ascii="Abadi" w:hAnsi="Abadi" w:cs="Arial"/>
          <w:b/>
          <w:bCs/>
          <w:sz w:val="21"/>
          <w:szCs w:val="21"/>
        </w:rPr>
        <w:t>II.</w:t>
      </w:r>
      <w:r w:rsidRPr="00A73470">
        <w:rPr>
          <w:rFonts w:ascii="Abadi" w:hAnsi="Abadi" w:cs="Arial"/>
          <w:b/>
          <w:bCs/>
          <w:sz w:val="21"/>
          <w:szCs w:val="21"/>
        </w:rPr>
        <w:tab/>
      </w:r>
      <w:bookmarkStart w:id="17" w:name="_Hlk94009405"/>
      <w:r w:rsidRPr="00A73470">
        <w:rPr>
          <w:rFonts w:ascii="Abadi" w:hAnsi="Abadi" w:cs="Arial"/>
          <w:b/>
          <w:bCs/>
          <w:sz w:val="21"/>
          <w:szCs w:val="21"/>
        </w:rPr>
        <w:t>Turno de la iniciativa.</w:t>
      </w:r>
    </w:p>
    <w:bookmarkEnd w:id="17"/>
    <w:p w14:paraId="543B18B6"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color w:val="000000"/>
          <w:sz w:val="21"/>
          <w:szCs w:val="21"/>
        </w:rPr>
      </w:pPr>
      <w:r w:rsidRPr="00A73470">
        <w:rPr>
          <w:rFonts w:ascii="Abadi" w:hAnsi="Abadi" w:cs="Arial"/>
          <w:sz w:val="21"/>
          <w:szCs w:val="21"/>
        </w:rPr>
        <w:t>De acuerdo con la materia de la propuesta, la presidencia de la mesa directiva turnó a esta Comisión de Justicia la iniciativa, en sesión plenaria de fecha 17 de febrero de 2022, para su estudio</w:t>
      </w:r>
      <w:r w:rsidRPr="00A73470">
        <w:rPr>
          <w:rFonts w:ascii="Abadi" w:hAnsi="Abadi"/>
          <w:color w:val="000000"/>
          <w:sz w:val="21"/>
          <w:szCs w:val="21"/>
        </w:rPr>
        <w:t xml:space="preserve"> y dictamen, con fundamento en el artículo 113, fracción II de la Ley Orgánica del Poder Legislativo para el Estado de Guanajuato.</w:t>
      </w:r>
    </w:p>
    <w:p w14:paraId="7A2FD9E7" w14:textId="77777777" w:rsidR="00A73470" w:rsidRPr="00A73470" w:rsidRDefault="00A73470" w:rsidP="00A73470">
      <w:pPr>
        <w:widowControl w:val="0"/>
        <w:autoSpaceDE w:val="0"/>
        <w:autoSpaceDN w:val="0"/>
        <w:adjustRightInd w:val="0"/>
        <w:spacing w:before="100" w:beforeAutospacing="1" w:after="100" w:afterAutospacing="1" w:line="360" w:lineRule="auto"/>
        <w:jc w:val="both"/>
        <w:rPr>
          <w:rFonts w:ascii="Abadi" w:hAnsi="Abadi"/>
          <w:b/>
          <w:bCs/>
          <w:color w:val="000000"/>
          <w:sz w:val="21"/>
          <w:szCs w:val="21"/>
        </w:rPr>
      </w:pPr>
      <w:r w:rsidRPr="00A73470">
        <w:rPr>
          <w:rFonts w:ascii="Abadi" w:hAnsi="Abadi"/>
          <w:b/>
          <w:bCs/>
          <w:color w:val="000000"/>
          <w:sz w:val="21"/>
          <w:szCs w:val="21"/>
        </w:rPr>
        <w:t>III.</w:t>
      </w:r>
      <w:r w:rsidRPr="00A73470">
        <w:rPr>
          <w:rFonts w:ascii="Abadi" w:hAnsi="Abadi"/>
          <w:b/>
          <w:bCs/>
          <w:color w:val="000000"/>
          <w:sz w:val="21"/>
          <w:szCs w:val="21"/>
        </w:rPr>
        <w:tab/>
        <w:t>Estudio de la iniciativa.</w:t>
      </w:r>
    </w:p>
    <w:p w14:paraId="18C76051"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i/>
          <w:iCs/>
          <w:sz w:val="21"/>
          <w:szCs w:val="21"/>
        </w:rPr>
      </w:pPr>
      <w:r w:rsidRPr="00A73470">
        <w:rPr>
          <w:rFonts w:ascii="Abadi" w:hAnsi="Abadi"/>
          <w:sz w:val="21"/>
          <w:szCs w:val="21"/>
        </w:rPr>
        <w:t xml:space="preserve">Esta Comisión de Justicia radicó la iniciativa </w:t>
      </w:r>
      <w:bookmarkEnd w:id="16"/>
      <w:r w:rsidRPr="00A73470">
        <w:rPr>
          <w:rFonts w:ascii="Abadi" w:hAnsi="Abadi"/>
          <w:color w:val="000000"/>
          <w:sz w:val="21"/>
          <w:szCs w:val="21"/>
        </w:rPr>
        <w:t>el 22 de febrero de 2022, fecha misma en que se aprobó po</w:t>
      </w:r>
      <w:r w:rsidRPr="00A73470">
        <w:rPr>
          <w:rFonts w:ascii="Abadi" w:hAnsi="Abadi"/>
          <w:sz w:val="21"/>
          <w:szCs w:val="21"/>
        </w:rPr>
        <w:t xml:space="preserve">r unanimidad de votos la metodología de trabajo para estudio y dictamen de la iniciativa, en los siguientes términos: </w:t>
      </w:r>
      <w:r w:rsidRPr="00A73470">
        <w:rPr>
          <w:rFonts w:ascii="Abadi" w:hAnsi="Abadi"/>
          <w:i/>
          <w:iCs/>
          <w:sz w:val="21"/>
          <w:szCs w:val="21"/>
        </w:rPr>
        <w:t xml:space="preserve">1. Remisión de la iniciativa para solicitar opinión, por medio de correo electrónico, a: Supremo Tribunal de Justicia; Fiscalía General del Estado; Coordinación General Jurídica del Gobierno del Estado; y diputadas y diputados integrantes de esta Legislatura. Señalando como plazo para la remisión de las opiniones, 10 días hábiles contados a partir del siguiente al de la recepción de la solicitud. 2. Subir la iniciativa al portal del Congreso para consulta y participación ciudadana, por el término de 10 días hábiles. 3. </w:t>
      </w:r>
      <w:r w:rsidRPr="00A73470">
        <w:rPr>
          <w:rFonts w:ascii="Abadi" w:hAnsi="Abadi"/>
          <w:i/>
          <w:iCs/>
          <w:sz w:val="21"/>
          <w:szCs w:val="21"/>
        </w:rPr>
        <w:t>Elaboración, por parte de la secretaría técnica, de un comparativo y concentrado de observaciones que se formulen a la iniciativa. 4. Elaboración, por parte de la secretaría técnica, de una tarjeta informativa de seguimiento a la metodología de trabajo. 5. Reunión de la Comisión de Justicia para seguimiento de la metodología de trabajo y, en su caso, acuerdos.</w:t>
      </w:r>
    </w:p>
    <w:p w14:paraId="33C6BE65"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sz w:val="21"/>
          <w:szCs w:val="21"/>
        </w:rPr>
      </w:pPr>
      <w:r w:rsidRPr="00A73470">
        <w:rPr>
          <w:rFonts w:ascii="Abadi" w:hAnsi="Abadi"/>
          <w:sz w:val="21"/>
          <w:szCs w:val="21"/>
        </w:rPr>
        <w:t>Derivado de la consulta tanto a las autoridades mencionadas como a la ciudadanía, se recibió por escrito la opinión del Supremo Tribunal de Justicia, misma que transcribimos enseguida, en virtud de que no sólo el Poder Judicial, sino que la Fiscalía General y la Coordinación General Jurídica al externar sus opiniones en la reunión de análisis, coincidieron en la necesidad de reflexionar sobre la modificación propuesta por la y los iniciantes.</w:t>
      </w:r>
    </w:p>
    <w:p w14:paraId="6A8300A8"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i/>
          <w:iCs/>
          <w:sz w:val="21"/>
          <w:szCs w:val="21"/>
        </w:rPr>
      </w:pPr>
      <w:r w:rsidRPr="00A73470">
        <w:rPr>
          <w:rFonts w:ascii="Abadi" w:hAnsi="Abadi"/>
          <w:i/>
          <w:iCs/>
          <w:sz w:val="21"/>
          <w:szCs w:val="21"/>
        </w:rPr>
        <w:t>Opinión del Supremo Tribunal de Justicia.</w:t>
      </w:r>
    </w:p>
    <w:p w14:paraId="3EBD1050" w14:textId="77777777" w:rsidR="00A73470" w:rsidRPr="00A73470" w:rsidRDefault="00A73470" w:rsidP="00A73470">
      <w:pPr>
        <w:autoSpaceDE w:val="0"/>
        <w:autoSpaceDN w:val="0"/>
        <w:adjustRightInd w:val="0"/>
        <w:ind w:left="708"/>
        <w:rPr>
          <w:rFonts w:ascii="Abadi" w:eastAsia="Calibri" w:hAnsi="Abadi" w:cs="Arial"/>
          <w:color w:val="000000"/>
          <w:sz w:val="21"/>
          <w:szCs w:val="21"/>
          <w:lang w:val="es-MX" w:eastAsia="en-US"/>
        </w:rPr>
      </w:pPr>
      <w:r w:rsidRPr="00A73470">
        <w:rPr>
          <w:rFonts w:ascii="Abadi" w:eastAsia="Calibri" w:hAnsi="Abadi" w:cs="Arial"/>
          <w:color w:val="000000"/>
          <w:sz w:val="21"/>
          <w:szCs w:val="21"/>
          <w:lang w:val="es-MX" w:eastAsia="en-US"/>
        </w:rPr>
        <w:t>[…]</w:t>
      </w:r>
    </w:p>
    <w:p w14:paraId="76279A63" w14:textId="77777777" w:rsidR="00A73470" w:rsidRPr="00A73470" w:rsidRDefault="00A73470" w:rsidP="00A73470">
      <w:pPr>
        <w:autoSpaceDE w:val="0"/>
        <w:autoSpaceDN w:val="0"/>
        <w:adjustRightInd w:val="0"/>
        <w:ind w:left="708"/>
        <w:jc w:val="center"/>
        <w:rPr>
          <w:rFonts w:ascii="Abadi" w:eastAsia="Calibri" w:hAnsi="Abadi" w:cs="Arial"/>
          <w:color w:val="000000"/>
          <w:sz w:val="21"/>
          <w:szCs w:val="21"/>
          <w:lang w:val="es-MX" w:eastAsia="en-US"/>
        </w:rPr>
      </w:pPr>
      <w:r w:rsidRPr="00A73470">
        <w:rPr>
          <w:rFonts w:ascii="Abadi" w:eastAsia="Calibri" w:hAnsi="Abadi" w:cs="Arial"/>
          <w:b/>
          <w:bCs/>
          <w:color w:val="000000"/>
          <w:sz w:val="21"/>
          <w:szCs w:val="21"/>
          <w:lang w:val="es-MX" w:eastAsia="en-US"/>
        </w:rPr>
        <w:t>EXPOSICIÓN DE MOTIVOS.</w:t>
      </w:r>
    </w:p>
    <w:p w14:paraId="685AB32F" w14:textId="77777777" w:rsidR="00A73470" w:rsidRPr="00A73470" w:rsidRDefault="00A73470" w:rsidP="00A73470">
      <w:pPr>
        <w:autoSpaceDE w:val="0"/>
        <w:autoSpaceDN w:val="0"/>
        <w:adjustRightInd w:val="0"/>
        <w:ind w:left="708"/>
        <w:jc w:val="both"/>
        <w:rPr>
          <w:rFonts w:ascii="Abadi" w:eastAsia="Calibri" w:hAnsi="Abadi" w:cs="Arial"/>
          <w:b/>
          <w:bCs/>
          <w:i/>
          <w:iCs/>
          <w:color w:val="000000"/>
          <w:sz w:val="21"/>
          <w:szCs w:val="21"/>
          <w:lang w:val="es-MX" w:eastAsia="en-US"/>
        </w:rPr>
      </w:pPr>
      <w:r w:rsidRPr="00A73470">
        <w:rPr>
          <w:rFonts w:ascii="Abadi" w:eastAsia="Calibri" w:hAnsi="Abadi" w:cs="Arial"/>
          <w:color w:val="000000"/>
          <w:sz w:val="21"/>
          <w:szCs w:val="21"/>
          <w:lang w:val="es-MX" w:eastAsia="en-US"/>
        </w:rPr>
        <w:t xml:space="preserve">En la exposición de motivos de dicha iniciativa se expone, medularmente, que </w:t>
      </w:r>
      <w:r w:rsidRPr="00A73470">
        <w:rPr>
          <w:rFonts w:ascii="Abadi" w:eastAsia="Calibri" w:hAnsi="Abadi" w:cs="Arial"/>
          <w:b/>
          <w:bCs/>
          <w:i/>
          <w:iCs/>
          <w:color w:val="000000"/>
          <w:sz w:val="21"/>
          <w:szCs w:val="21"/>
          <w:lang w:val="es-MX" w:eastAsia="en-US"/>
        </w:rPr>
        <w:t>“mediante la actividad legislativa debemos apoyar a las autoridades de procuración y administración de justicia…para incrementar la pena mínima del delito de homicidio simple o básico doloso, para que los homicidas no obtengan su libertad en cinco años cuando les es aplicada la sanción mínima de diez años de prisión, que se impone por este delito…Quien priva de la vida a otra persona debe ser castigada en forma proporcional a la severidad de la lesión jurídica que causa…”</w:t>
      </w:r>
    </w:p>
    <w:p w14:paraId="7A990F93" w14:textId="77777777" w:rsidR="00A73470" w:rsidRPr="00A73470" w:rsidRDefault="00A73470" w:rsidP="00A73470">
      <w:pPr>
        <w:autoSpaceDE w:val="0"/>
        <w:autoSpaceDN w:val="0"/>
        <w:adjustRightInd w:val="0"/>
        <w:ind w:left="708"/>
        <w:jc w:val="both"/>
        <w:rPr>
          <w:rFonts w:ascii="Abadi" w:eastAsia="Calibri" w:hAnsi="Abadi" w:cs="Arial"/>
          <w:b/>
          <w:bCs/>
          <w:i/>
          <w:iCs/>
          <w:color w:val="000000"/>
          <w:sz w:val="21"/>
          <w:szCs w:val="21"/>
          <w:lang w:val="es-MX" w:eastAsia="en-US"/>
        </w:rPr>
      </w:pPr>
    </w:p>
    <w:p w14:paraId="5CF7841E" w14:textId="77777777" w:rsidR="00A73470" w:rsidRPr="00A73470" w:rsidRDefault="00A73470" w:rsidP="00A73470">
      <w:pPr>
        <w:autoSpaceDE w:val="0"/>
        <w:autoSpaceDN w:val="0"/>
        <w:adjustRightInd w:val="0"/>
        <w:ind w:left="708"/>
        <w:jc w:val="both"/>
        <w:rPr>
          <w:rFonts w:ascii="Abadi" w:eastAsia="Calibri" w:hAnsi="Abadi" w:cs="Arial"/>
          <w:color w:val="000000"/>
          <w:sz w:val="21"/>
          <w:szCs w:val="21"/>
          <w:lang w:val="es-MX" w:eastAsia="en-US"/>
        </w:rPr>
      </w:pPr>
      <w:r w:rsidRPr="00A73470">
        <w:rPr>
          <w:rFonts w:ascii="Abadi" w:eastAsia="Calibri" w:hAnsi="Abadi" w:cs="Arial"/>
          <w:color w:val="000000"/>
          <w:sz w:val="21"/>
          <w:szCs w:val="21"/>
          <w:lang w:val="es-MX" w:eastAsia="en-US"/>
        </w:rPr>
        <w:t xml:space="preserve">Luego de hacer referencia a aspectos muy generales y de forma lacónica de la evolución de las ideas penales, así como de las teorías sobre el fin de las penas y los principios rectores de penas, </w:t>
      </w:r>
      <w:r w:rsidRPr="00A73470">
        <w:rPr>
          <w:rFonts w:ascii="Abadi" w:eastAsia="Calibri" w:hAnsi="Abadi" w:cs="Arial"/>
          <w:color w:val="000000"/>
          <w:sz w:val="21"/>
          <w:szCs w:val="21"/>
          <w:lang w:val="es-MX" w:eastAsia="en-US"/>
        </w:rPr>
        <w:lastRenderedPageBreak/>
        <w:t xml:space="preserve">aludiendo al principio de legalidad, proporcionalidad, dignidad de la persona y humanidad de las penas, así como de reinserción social del delincuente y, hacer referencia, además, a la idea de la intervención mínima del derecho penal, los iniciantes aluden a los requisitos para la obtención de la libertad condicionada a que se refiere el artículo 137 de la Ley Nacional de Ejecución Penal, concretamente el contenido en la fracción VII de dicho numeral referido a </w:t>
      </w:r>
      <w:r w:rsidRPr="00A73470">
        <w:rPr>
          <w:rFonts w:ascii="Abadi" w:eastAsia="Calibri" w:hAnsi="Abadi" w:cs="Arial"/>
          <w:b/>
          <w:bCs/>
          <w:color w:val="000000"/>
          <w:sz w:val="21"/>
          <w:szCs w:val="21"/>
          <w:lang w:val="es-MX" w:eastAsia="en-US"/>
        </w:rPr>
        <w:t xml:space="preserve">que se hayan cumplido con la mitad de la pena tratándose de delitos dolosos. </w:t>
      </w:r>
    </w:p>
    <w:p w14:paraId="1E946DB5" w14:textId="77777777" w:rsidR="00A73470" w:rsidRPr="00A73470" w:rsidRDefault="00A73470" w:rsidP="00A73470">
      <w:pPr>
        <w:autoSpaceDE w:val="0"/>
        <w:autoSpaceDN w:val="0"/>
        <w:adjustRightInd w:val="0"/>
        <w:ind w:left="708"/>
        <w:jc w:val="both"/>
        <w:rPr>
          <w:rFonts w:ascii="Abadi" w:eastAsia="Calibri" w:hAnsi="Abadi" w:cs="Arial"/>
          <w:color w:val="000000"/>
          <w:sz w:val="21"/>
          <w:szCs w:val="21"/>
          <w:lang w:val="es-MX" w:eastAsia="en-US"/>
        </w:rPr>
      </w:pPr>
    </w:p>
    <w:p w14:paraId="3F41876E" w14:textId="77777777" w:rsidR="00A73470" w:rsidRPr="00A73470" w:rsidRDefault="00A73470" w:rsidP="00A73470">
      <w:pPr>
        <w:autoSpaceDE w:val="0"/>
        <w:autoSpaceDN w:val="0"/>
        <w:adjustRightInd w:val="0"/>
        <w:ind w:left="708"/>
        <w:jc w:val="both"/>
        <w:rPr>
          <w:rFonts w:ascii="Abadi" w:eastAsia="Calibri" w:hAnsi="Abadi" w:cs="Arial"/>
          <w:b/>
          <w:bCs/>
          <w:i/>
          <w:iCs/>
          <w:color w:val="000000"/>
          <w:sz w:val="21"/>
          <w:szCs w:val="21"/>
          <w:lang w:val="es-MX" w:eastAsia="en-US"/>
        </w:rPr>
      </w:pPr>
      <w:r w:rsidRPr="00A73470">
        <w:rPr>
          <w:rFonts w:ascii="Abadi" w:eastAsia="Calibri" w:hAnsi="Abadi" w:cs="Arial"/>
          <w:color w:val="000000"/>
          <w:sz w:val="21"/>
          <w:szCs w:val="21"/>
          <w:lang w:val="es-MX" w:eastAsia="en-US"/>
        </w:rPr>
        <w:t>Con base en ello la exposición de motivos de la iniciativa aduce que “…</w:t>
      </w:r>
      <w:r w:rsidRPr="00A73470">
        <w:rPr>
          <w:rFonts w:ascii="Abadi" w:eastAsia="Calibri" w:hAnsi="Abadi" w:cs="Arial"/>
          <w:b/>
          <w:bCs/>
          <w:i/>
          <w:iCs/>
          <w:color w:val="000000"/>
          <w:sz w:val="21"/>
          <w:szCs w:val="21"/>
          <w:lang w:val="es-MX" w:eastAsia="en-US"/>
        </w:rPr>
        <w:t xml:space="preserve">los sentenciados por homicidio simple doloso, a quienes se les imponga la pena mínima de diez años, al compurgar cinco, pueden obtener su libertad condicionada, cubriendo los requisitos establecidos en el numeral ya transcrito </w:t>
      </w:r>
      <w:r w:rsidRPr="00A73470">
        <w:rPr>
          <w:rFonts w:ascii="Abadi" w:eastAsia="Calibri" w:hAnsi="Abadi" w:cs="Arial"/>
          <w:color w:val="000000"/>
          <w:sz w:val="21"/>
          <w:szCs w:val="21"/>
          <w:lang w:val="es-MX" w:eastAsia="en-US"/>
        </w:rPr>
        <w:t xml:space="preserve">(se refiere al artículo 137 de la Ley Nacional de Ejecución Penal), </w:t>
      </w:r>
      <w:r w:rsidRPr="00A73470">
        <w:rPr>
          <w:rFonts w:ascii="Abadi" w:eastAsia="Calibri" w:hAnsi="Abadi" w:cs="Arial"/>
          <w:b/>
          <w:bCs/>
          <w:i/>
          <w:iCs/>
          <w:color w:val="000000"/>
          <w:sz w:val="21"/>
          <w:szCs w:val="21"/>
          <w:lang w:val="es-MX" w:eastAsia="en-US"/>
        </w:rPr>
        <w:t xml:space="preserve">lo cual resulta por demás oprobioso para la sociedad, puesto que al privar de la vida a una persona obtenga su libertad pasados tan sólo cinco años”. </w:t>
      </w:r>
    </w:p>
    <w:p w14:paraId="4FF55629" w14:textId="77777777" w:rsidR="00A73470" w:rsidRPr="00A73470" w:rsidRDefault="00A73470" w:rsidP="00A73470">
      <w:pPr>
        <w:autoSpaceDE w:val="0"/>
        <w:autoSpaceDN w:val="0"/>
        <w:adjustRightInd w:val="0"/>
        <w:ind w:left="708"/>
        <w:jc w:val="both"/>
        <w:rPr>
          <w:rFonts w:ascii="Abadi" w:eastAsia="Calibri" w:hAnsi="Abadi" w:cs="Arial"/>
          <w:color w:val="000000"/>
          <w:sz w:val="21"/>
          <w:szCs w:val="21"/>
          <w:lang w:val="es-MX" w:eastAsia="en-US"/>
        </w:rPr>
      </w:pPr>
    </w:p>
    <w:p w14:paraId="11F73C83" w14:textId="77777777" w:rsidR="00A73470" w:rsidRPr="00A73470" w:rsidRDefault="00A73470" w:rsidP="00A73470">
      <w:pPr>
        <w:autoSpaceDE w:val="0"/>
        <w:autoSpaceDN w:val="0"/>
        <w:adjustRightInd w:val="0"/>
        <w:ind w:left="708"/>
        <w:jc w:val="both"/>
        <w:rPr>
          <w:rFonts w:ascii="Abadi" w:eastAsia="Calibri" w:hAnsi="Abadi" w:cs="Arial"/>
          <w:color w:val="000000"/>
          <w:sz w:val="21"/>
          <w:szCs w:val="21"/>
          <w:lang w:val="es-MX" w:eastAsia="en-US"/>
        </w:rPr>
      </w:pPr>
      <w:r w:rsidRPr="00A73470">
        <w:rPr>
          <w:rFonts w:ascii="Abadi" w:eastAsia="Calibri" w:hAnsi="Abadi" w:cs="Arial"/>
          <w:color w:val="000000"/>
          <w:sz w:val="21"/>
          <w:szCs w:val="21"/>
          <w:lang w:val="es-MX" w:eastAsia="en-US"/>
        </w:rPr>
        <w:t>Con base en aquellas razones se propone la reforma.</w:t>
      </w:r>
    </w:p>
    <w:p w14:paraId="54D92A5B" w14:textId="77777777" w:rsidR="00A73470" w:rsidRPr="00A73470" w:rsidRDefault="00A73470" w:rsidP="00A73470">
      <w:pPr>
        <w:autoSpaceDE w:val="0"/>
        <w:autoSpaceDN w:val="0"/>
        <w:adjustRightInd w:val="0"/>
        <w:ind w:left="708"/>
        <w:jc w:val="both"/>
        <w:rPr>
          <w:rFonts w:ascii="Abadi" w:eastAsia="Calibri" w:hAnsi="Abadi" w:cs="Arial"/>
          <w:color w:val="000000"/>
          <w:sz w:val="21"/>
          <w:szCs w:val="21"/>
          <w:lang w:val="es-MX" w:eastAsia="en-US"/>
        </w:rPr>
      </w:pPr>
    </w:p>
    <w:p w14:paraId="2A3ACAD0" w14:textId="77777777" w:rsidR="00A73470" w:rsidRPr="00A73470" w:rsidRDefault="00A73470" w:rsidP="00A73470">
      <w:pPr>
        <w:autoSpaceDE w:val="0"/>
        <w:autoSpaceDN w:val="0"/>
        <w:adjustRightInd w:val="0"/>
        <w:ind w:left="708"/>
        <w:jc w:val="center"/>
        <w:rPr>
          <w:rFonts w:ascii="Abadi" w:eastAsia="Calibri" w:hAnsi="Abadi" w:cs="Arial"/>
          <w:b/>
          <w:bCs/>
          <w:color w:val="000000"/>
          <w:sz w:val="21"/>
          <w:szCs w:val="21"/>
          <w:lang w:val="es-MX" w:eastAsia="en-US"/>
        </w:rPr>
      </w:pPr>
      <w:r w:rsidRPr="00A73470">
        <w:rPr>
          <w:rFonts w:ascii="Abadi" w:eastAsia="Calibri" w:hAnsi="Abadi" w:cs="Arial"/>
          <w:b/>
          <w:bCs/>
          <w:color w:val="000000"/>
          <w:sz w:val="21"/>
          <w:szCs w:val="21"/>
          <w:lang w:val="es-MX" w:eastAsia="en-US"/>
        </w:rPr>
        <w:t>CUADRO COMPARATIVO</w:t>
      </w:r>
    </w:p>
    <w:p w14:paraId="2C835AAA" w14:textId="77777777" w:rsidR="00A73470" w:rsidRPr="00A73470" w:rsidRDefault="00A73470" w:rsidP="00A73470">
      <w:pPr>
        <w:autoSpaceDE w:val="0"/>
        <w:autoSpaceDN w:val="0"/>
        <w:adjustRightInd w:val="0"/>
        <w:ind w:left="708"/>
        <w:jc w:val="both"/>
        <w:rPr>
          <w:rFonts w:ascii="Abadi" w:eastAsia="Calibri" w:hAnsi="Abadi" w:cs="Arial"/>
          <w:color w:val="000000"/>
          <w:sz w:val="21"/>
          <w:szCs w:val="21"/>
          <w:lang w:val="es-MX" w:eastAsia="en-US"/>
        </w:rPr>
      </w:pPr>
    </w:p>
    <w:p w14:paraId="463A0213" w14:textId="77777777" w:rsidR="00A73470" w:rsidRPr="00A73470" w:rsidRDefault="00A73470" w:rsidP="00A73470">
      <w:pPr>
        <w:autoSpaceDE w:val="0"/>
        <w:autoSpaceDN w:val="0"/>
        <w:adjustRightInd w:val="0"/>
        <w:ind w:left="708"/>
        <w:jc w:val="both"/>
        <w:rPr>
          <w:rFonts w:ascii="Abadi" w:eastAsia="Calibri" w:hAnsi="Abadi" w:cs="Arial"/>
          <w:color w:val="000000"/>
          <w:sz w:val="21"/>
          <w:szCs w:val="21"/>
          <w:lang w:val="es-MX" w:eastAsia="en-US"/>
        </w:rPr>
      </w:pPr>
      <w:r w:rsidRPr="00A73470">
        <w:rPr>
          <w:rFonts w:ascii="Abadi" w:eastAsia="Calibri" w:hAnsi="Abadi" w:cs="Arial"/>
          <w:color w:val="000000"/>
          <w:sz w:val="21"/>
          <w:szCs w:val="21"/>
          <w:lang w:val="es-MX" w:eastAsia="en-US"/>
        </w:rPr>
        <w:t>[…]</w:t>
      </w:r>
    </w:p>
    <w:p w14:paraId="3A6E7655" w14:textId="77777777" w:rsidR="00A73470" w:rsidRPr="00A73470" w:rsidRDefault="00A73470" w:rsidP="00A73470">
      <w:pPr>
        <w:autoSpaceDE w:val="0"/>
        <w:autoSpaceDN w:val="0"/>
        <w:adjustRightInd w:val="0"/>
        <w:ind w:left="708"/>
        <w:jc w:val="both"/>
        <w:rPr>
          <w:rFonts w:ascii="Abadi" w:eastAsia="Calibri" w:hAnsi="Abadi" w:cs="Arial"/>
          <w:color w:val="000000"/>
          <w:sz w:val="21"/>
          <w:szCs w:val="21"/>
          <w:lang w:val="es-MX" w:eastAsia="en-US"/>
        </w:rPr>
      </w:pPr>
    </w:p>
    <w:p w14:paraId="3ABE7624" w14:textId="77777777" w:rsidR="00A73470" w:rsidRPr="00A73470" w:rsidRDefault="00A73470" w:rsidP="00A73470">
      <w:pPr>
        <w:autoSpaceDE w:val="0"/>
        <w:autoSpaceDN w:val="0"/>
        <w:adjustRightInd w:val="0"/>
        <w:ind w:left="708"/>
        <w:jc w:val="center"/>
        <w:rPr>
          <w:rFonts w:ascii="Abadi" w:eastAsia="Calibri" w:hAnsi="Abadi" w:cs="Arial"/>
          <w:color w:val="000000"/>
          <w:sz w:val="21"/>
          <w:szCs w:val="21"/>
          <w:lang w:val="es-MX" w:eastAsia="en-US"/>
        </w:rPr>
      </w:pPr>
      <w:r w:rsidRPr="00A73470">
        <w:rPr>
          <w:rFonts w:ascii="Abadi" w:eastAsia="Calibri" w:hAnsi="Abadi" w:cs="Arial"/>
          <w:b/>
          <w:bCs/>
          <w:color w:val="000000"/>
          <w:sz w:val="21"/>
          <w:szCs w:val="21"/>
          <w:lang w:val="es-MX" w:eastAsia="en-US"/>
        </w:rPr>
        <w:t>ANÁLISIS DE LA PROPUESTA.</w:t>
      </w:r>
    </w:p>
    <w:p w14:paraId="37C7260F" w14:textId="77777777" w:rsidR="00A73470" w:rsidRPr="00A73470" w:rsidRDefault="00A73470" w:rsidP="00A73470">
      <w:pPr>
        <w:autoSpaceDE w:val="0"/>
        <w:autoSpaceDN w:val="0"/>
        <w:adjustRightInd w:val="0"/>
        <w:ind w:left="708"/>
        <w:jc w:val="both"/>
        <w:rPr>
          <w:rFonts w:ascii="Abadi" w:eastAsia="Calibri" w:hAnsi="Abadi" w:cs="Arial"/>
          <w:b/>
          <w:bCs/>
          <w:color w:val="000000"/>
          <w:sz w:val="21"/>
          <w:szCs w:val="21"/>
          <w:lang w:val="es-MX" w:eastAsia="en-US"/>
        </w:rPr>
      </w:pPr>
    </w:p>
    <w:p w14:paraId="6E0BE543" w14:textId="77777777" w:rsidR="00A73470" w:rsidRPr="00A73470" w:rsidRDefault="00A73470" w:rsidP="00A73470">
      <w:pPr>
        <w:autoSpaceDE w:val="0"/>
        <w:autoSpaceDN w:val="0"/>
        <w:adjustRightInd w:val="0"/>
        <w:ind w:left="708"/>
        <w:jc w:val="both"/>
        <w:rPr>
          <w:rFonts w:ascii="Abadi" w:eastAsia="Calibri" w:hAnsi="Abadi" w:cs="Arial"/>
          <w:color w:val="000000"/>
          <w:sz w:val="21"/>
          <w:szCs w:val="21"/>
          <w:lang w:val="es-MX" w:eastAsia="en-US"/>
        </w:rPr>
      </w:pPr>
      <w:r w:rsidRPr="00A73470">
        <w:rPr>
          <w:rFonts w:ascii="Abadi" w:eastAsia="Calibri" w:hAnsi="Abadi" w:cs="Arial"/>
          <w:b/>
          <w:bCs/>
          <w:color w:val="000000"/>
          <w:sz w:val="21"/>
          <w:szCs w:val="21"/>
          <w:lang w:val="es-MX" w:eastAsia="en-US"/>
        </w:rPr>
        <w:t xml:space="preserve">El aumento en la punibilidad de los supuestos de hecho penales ha sido una tentación y constante en la labor del legislador con la finalidad de proteger los intereses de la sociedad, salvaguardándolos de los ataques más arteros por parte de algunos de sus integrantes. </w:t>
      </w:r>
    </w:p>
    <w:p w14:paraId="5967370C" w14:textId="77777777" w:rsidR="00A73470" w:rsidRPr="00A73470" w:rsidRDefault="00A73470" w:rsidP="00A73470">
      <w:pPr>
        <w:autoSpaceDE w:val="0"/>
        <w:autoSpaceDN w:val="0"/>
        <w:adjustRightInd w:val="0"/>
        <w:ind w:left="708"/>
        <w:jc w:val="both"/>
        <w:rPr>
          <w:rFonts w:ascii="Abadi" w:eastAsia="Calibri" w:hAnsi="Abadi" w:cs="Arial"/>
          <w:b/>
          <w:bCs/>
          <w:color w:val="000000"/>
          <w:sz w:val="21"/>
          <w:szCs w:val="21"/>
          <w:lang w:val="es-MX" w:eastAsia="en-US"/>
        </w:rPr>
      </w:pPr>
    </w:p>
    <w:p w14:paraId="67B79D00" w14:textId="77777777" w:rsidR="00A73470" w:rsidRPr="00A73470" w:rsidRDefault="00A73470" w:rsidP="00A73470">
      <w:pPr>
        <w:autoSpaceDE w:val="0"/>
        <w:autoSpaceDN w:val="0"/>
        <w:adjustRightInd w:val="0"/>
        <w:ind w:left="708"/>
        <w:jc w:val="both"/>
        <w:rPr>
          <w:rFonts w:ascii="Abadi" w:eastAsia="Calibri" w:hAnsi="Abadi" w:cs="Arial"/>
          <w:color w:val="000000"/>
          <w:sz w:val="21"/>
          <w:szCs w:val="21"/>
          <w:lang w:val="es-MX" w:eastAsia="en-US"/>
        </w:rPr>
      </w:pPr>
      <w:r w:rsidRPr="00A73470">
        <w:rPr>
          <w:rFonts w:ascii="Abadi" w:eastAsia="Calibri" w:hAnsi="Abadi" w:cs="Arial"/>
          <w:b/>
          <w:bCs/>
          <w:color w:val="000000"/>
          <w:sz w:val="21"/>
          <w:szCs w:val="21"/>
          <w:lang w:val="es-MX" w:eastAsia="en-US"/>
        </w:rPr>
        <w:t xml:space="preserve">Sin demeritar lo valioso de dicha finalidad, es de sobra conocido que el aumento en las punibilidades no surte el resultado esperado. El aumento de las sanciones penales no evita o disminuye las conductas tipificadas como delitos. </w:t>
      </w:r>
    </w:p>
    <w:p w14:paraId="0A0EFA72" w14:textId="77777777" w:rsidR="00A73470" w:rsidRPr="00A73470" w:rsidRDefault="00A73470" w:rsidP="00A73470">
      <w:pPr>
        <w:autoSpaceDE w:val="0"/>
        <w:autoSpaceDN w:val="0"/>
        <w:adjustRightInd w:val="0"/>
        <w:ind w:left="708"/>
        <w:jc w:val="both"/>
        <w:rPr>
          <w:rFonts w:ascii="Abadi" w:eastAsia="Calibri" w:hAnsi="Abadi" w:cs="Arial"/>
          <w:b/>
          <w:bCs/>
          <w:color w:val="000000"/>
          <w:sz w:val="21"/>
          <w:szCs w:val="21"/>
          <w:lang w:val="es-MX" w:eastAsia="en-US"/>
        </w:rPr>
      </w:pPr>
    </w:p>
    <w:p w14:paraId="7BAA9B09" w14:textId="77777777" w:rsidR="00A73470" w:rsidRPr="00A73470" w:rsidRDefault="00A73470" w:rsidP="00A73470">
      <w:pPr>
        <w:autoSpaceDE w:val="0"/>
        <w:autoSpaceDN w:val="0"/>
        <w:adjustRightInd w:val="0"/>
        <w:ind w:left="708"/>
        <w:jc w:val="both"/>
        <w:rPr>
          <w:rFonts w:ascii="Abadi" w:eastAsia="Calibri" w:hAnsi="Abadi" w:cs="Arial"/>
          <w:color w:val="000000"/>
          <w:sz w:val="21"/>
          <w:szCs w:val="21"/>
          <w:lang w:val="es-MX" w:eastAsia="en-US"/>
        </w:rPr>
      </w:pPr>
      <w:r w:rsidRPr="00A73470">
        <w:rPr>
          <w:rFonts w:ascii="Abadi" w:eastAsia="Calibri" w:hAnsi="Abadi" w:cs="Arial"/>
          <w:b/>
          <w:bCs/>
          <w:color w:val="000000"/>
          <w:sz w:val="21"/>
          <w:szCs w:val="21"/>
          <w:lang w:val="es-MX" w:eastAsia="en-US"/>
        </w:rPr>
        <w:t xml:space="preserve">Las razones de prevención general y prevención especial que sustentan las teorías relativas de la pena no son la solución de evitación de tales conductas. </w:t>
      </w:r>
    </w:p>
    <w:p w14:paraId="5B0AAE3D" w14:textId="77777777" w:rsidR="00A73470" w:rsidRPr="00A73470" w:rsidRDefault="00A73470" w:rsidP="00A73470">
      <w:pPr>
        <w:autoSpaceDE w:val="0"/>
        <w:autoSpaceDN w:val="0"/>
        <w:adjustRightInd w:val="0"/>
        <w:ind w:left="708"/>
        <w:jc w:val="both"/>
        <w:rPr>
          <w:rFonts w:ascii="Abadi" w:eastAsia="Calibri" w:hAnsi="Abadi" w:cs="Arial"/>
          <w:b/>
          <w:bCs/>
          <w:color w:val="000000"/>
          <w:sz w:val="21"/>
          <w:szCs w:val="21"/>
          <w:lang w:val="es-MX" w:eastAsia="en-US"/>
        </w:rPr>
      </w:pPr>
    </w:p>
    <w:p w14:paraId="43CB51AC" w14:textId="77777777" w:rsidR="00A73470" w:rsidRPr="00A73470" w:rsidRDefault="00A73470" w:rsidP="00A73470">
      <w:pPr>
        <w:autoSpaceDE w:val="0"/>
        <w:autoSpaceDN w:val="0"/>
        <w:adjustRightInd w:val="0"/>
        <w:ind w:left="708"/>
        <w:jc w:val="both"/>
        <w:rPr>
          <w:rFonts w:ascii="Abadi" w:eastAsia="Calibri" w:hAnsi="Abadi" w:cs="Arial"/>
          <w:b/>
          <w:bCs/>
          <w:color w:val="000000"/>
          <w:sz w:val="21"/>
          <w:szCs w:val="21"/>
          <w:lang w:val="es-MX" w:eastAsia="en-US"/>
        </w:rPr>
      </w:pPr>
      <w:r w:rsidRPr="00A73470">
        <w:rPr>
          <w:rFonts w:ascii="Abadi" w:eastAsia="Calibri" w:hAnsi="Abadi" w:cs="Arial"/>
          <w:b/>
          <w:bCs/>
          <w:color w:val="000000"/>
          <w:sz w:val="21"/>
          <w:szCs w:val="21"/>
          <w:lang w:val="es-MX" w:eastAsia="en-US"/>
        </w:rPr>
        <w:t>Por otro lado, la única razón válida para decidir aumentar la punibilidad de un delito debe tener su base en el análisis de la proporcionalidad abstracta; lo que se realiza en el momento de la creación de los tipos penales. O bien, en el caso del aumento propuesto se deberá tomar en cuenta la gravedad de la conducta tipificada como delito considerando el bien jurídico protegido por la norma, así como el grado en que éste resulta lesionado o puesto en peligro por aquella.</w:t>
      </w:r>
    </w:p>
    <w:p w14:paraId="6A090275" w14:textId="77777777" w:rsidR="00A73470" w:rsidRPr="00A73470" w:rsidRDefault="00A73470" w:rsidP="00A73470">
      <w:pPr>
        <w:autoSpaceDE w:val="0"/>
        <w:autoSpaceDN w:val="0"/>
        <w:adjustRightInd w:val="0"/>
        <w:ind w:left="708"/>
        <w:jc w:val="both"/>
        <w:rPr>
          <w:rFonts w:ascii="Abadi" w:eastAsia="Calibri" w:hAnsi="Abadi" w:cs="Arial"/>
          <w:b/>
          <w:bCs/>
          <w:color w:val="000000"/>
          <w:sz w:val="21"/>
          <w:szCs w:val="21"/>
          <w:lang w:val="es-MX" w:eastAsia="en-US"/>
        </w:rPr>
      </w:pPr>
    </w:p>
    <w:p w14:paraId="76B02D93" w14:textId="77777777" w:rsidR="00A73470" w:rsidRPr="00A73470" w:rsidRDefault="00A73470" w:rsidP="00A73470">
      <w:pPr>
        <w:autoSpaceDE w:val="0"/>
        <w:autoSpaceDN w:val="0"/>
        <w:adjustRightInd w:val="0"/>
        <w:ind w:left="708"/>
        <w:jc w:val="both"/>
        <w:rPr>
          <w:rFonts w:ascii="Abadi" w:eastAsia="Calibri" w:hAnsi="Abadi" w:cs="Arial"/>
          <w:color w:val="000000"/>
          <w:sz w:val="21"/>
          <w:szCs w:val="21"/>
          <w:lang w:val="es-MX" w:eastAsia="en-US"/>
        </w:rPr>
      </w:pPr>
      <w:r w:rsidRPr="00A73470">
        <w:rPr>
          <w:rFonts w:ascii="Abadi" w:eastAsia="Calibri" w:hAnsi="Abadi" w:cs="Arial"/>
          <w:b/>
          <w:bCs/>
          <w:color w:val="000000"/>
          <w:sz w:val="21"/>
          <w:szCs w:val="21"/>
          <w:lang w:val="es-MX" w:eastAsia="en-US"/>
        </w:rPr>
        <w:t xml:space="preserve">Si en la exposición de motivos se indica que la razón de agravación del mínimo de la punibilidad para el delito de homicidio simple doloso es para evitar que el sentenciado no obtenga el beneficio de la libertad condicionada establecida en el artículo 139 de la Ley Nacional de ejecución Penal, a los cinco años de prisión cumplidos, a nuestro entender la propuesta carece del fundamento válido suficiente para llevar a cabo dicha reforma, porque no se ajusta al principio de proporcionalidad abstracta ya citado. </w:t>
      </w:r>
    </w:p>
    <w:p w14:paraId="5FD14FE5" w14:textId="77777777" w:rsidR="00A73470" w:rsidRPr="00A73470" w:rsidRDefault="00A73470" w:rsidP="00A73470">
      <w:pPr>
        <w:autoSpaceDE w:val="0"/>
        <w:autoSpaceDN w:val="0"/>
        <w:adjustRightInd w:val="0"/>
        <w:ind w:left="708"/>
        <w:jc w:val="both"/>
        <w:rPr>
          <w:rFonts w:ascii="Abadi" w:eastAsia="Calibri" w:hAnsi="Abadi" w:cs="Arial"/>
          <w:b/>
          <w:bCs/>
          <w:color w:val="000000"/>
          <w:sz w:val="21"/>
          <w:szCs w:val="21"/>
          <w:lang w:val="es-MX" w:eastAsia="en-US"/>
        </w:rPr>
      </w:pPr>
    </w:p>
    <w:p w14:paraId="7BF2E8D1" w14:textId="77777777" w:rsidR="00A73470" w:rsidRPr="00A73470" w:rsidRDefault="00A73470" w:rsidP="00A73470">
      <w:pPr>
        <w:autoSpaceDE w:val="0"/>
        <w:autoSpaceDN w:val="0"/>
        <w:adjustRightInd w:val="0"/>
        <w:ind w:left="708"/>
        <w:jc w:val="both"/>
        <w:rPr>
          <w:rFonts w:ascii="Abadi" w:eastAsia="Calibri" w:hAnsi="Abadi" w:cs="Arial"/>
          <w:color w:val="000000"/>
          <w:sz w:val="21"/>
          <w:szCs w:val="21"/>
          <w:lang w:val="es-MX" w:eastAsia="en-US"/>
        </w:rPr>
      </w:pPr>
      <w:r w:rsidRPr="00A73470">
        <w:rPr>
          <w:rFonts w:ascii="Abadi" w:eastAsia="Calibri" w:hAnsi="Abadi" w:cs="Arial"/>
          <w:b/>
          <w:bCs/>
          <w:color w:val="000000"/>
          <w:sz w:val="21"/>
          <w:szCs w:val="21"/>
          <w:lang w:val="es-MX" w:eastAsia="en-US"/>
        </w:rPr>
        <w:t xml:space="preserve">Además, no debe soslayarse que a pesar de que en la exposición de motivos se hace alusión a doctrinas y principios garantistas en favor de los sentenciados, los iniciantes se apartan de tales principios e incluso pasan por encima de ellos porque los derechos ganados a través del tiempo se ven menoscabados con el aumento propuesto. Tal es el caso de los derechos del sentenciado a su reinserción social porque habrá casos de homicidas que requieran de un tiempo menor a cinco años para su reinserción. Lo cual significa que serán los estudios técnicos y científicos que durante la etapa de ejecución de la pena se realice al penado, los que sirvan de base para la decisión de la concesión del beneficio de que se habla en la iniciativa, porque no debe perderse de vista que dicho beneficio no exige solamente el transcurso del tiempo de privación de libertad para su concesión, sino otras </w:t>
      </w:r>
      <w:r w:rsidRPr="00A73470">
        <w:rPr>
          <w:rFonts w:ascii="Abadi" w:eastAsia="Calibri" w:hAnsi="Abadi" w:cs="Arial"/>
          <w:b/>
          <w:bCs/>
          <w:color w:val="000000"/>
          <w:sz w:val="21"/>
          <w:szCs w:val="21"/>
          <w:lang w:val="es-MX" w:eastAsia="en-US"/>
        </w:rPr>
        <w:lastRenderedPageBreak/>
        <w:t xml:space="preserve">condiciones que permiten sostener la viabilidad de ese beneficio. </w:t>
      </w:r>
    </w:p>
    <w:p w14:paraId="30DA97F5" w14:textId="77777777" w:rsidR="00A73470" w:rsidRPr="00A73470" w:rsidRDefault="00A73470" w:rsidP="00A73470">
      <w:pPr>
        <w:autoSpaceDE w:val="0"/>
        <w:autoSpaceDN w:val="0"/>
        <w:adjustRightInd w:val="0"/>
        <w:ind w:left="708"/>
        <w:jc w:val="both"/>
        <w:rPr>
          <w:rFonts w:ascii="Abadi" w:eastAsia="Calibri" w:hAnsi="Abadi" w:cs="Arial"/>
          <w:b/>
          <w:bCs/>
          <w:color w:val="000000"/>
          <w:sz w:val="21"/>
          <w:szCs w:val="21"/>
          <w:lang w:val="es-MX" w:eastAsia="en-US"/>
        </w:rPr>
      </w:pPr>
    </w:p>
    <w:p w14:paraId="4D04598F" w14:textId="77777777" w:rsidR="00A73470" w:rsidRPr="00A73470" w:rsidRDefault="00A73470" w:rsidP="00A73470">
      <w:pPr>
        <w:autoSpaceDE w:val="0"/>
        <w:autoSpaceDN w:val="0"/>
        <w:adjustRightInd w:val="0"/>
        <w:ind w:left="708"/>
        <w:jc w:val="both"/>
        <w:rPr>
          <w:rFonts w:ascii="Abadi" w:eastAsia="Calibri" w:hAnsi="Abadi" w:cs="Arial"/>
          <w:color w:val="000000"/>
          <w:sz w:val="21"/>
          <w:szCs w:val="21"/>
          <w:lang w:val="es-MX" w:eastAsia="en-US"/>
        </w:rPr>
      </w:pPr>
      <w:r w:rsidRPr="00A73470">
        <w:rPr>
          <w:rFonts w:ascii="Abadi" w:eastAsia="Calibri" w:hAnsi="Abadi" w:cs="Arial"/>
          <w:b/>
          <w:bCs/>
          <w:color w:val="000000"/>
          <w:sz w:val="21"/>
          <w:szCs w:val="21"/>
          <w:lang w:val="es-MX" w:eastAsia="en-US"/>
        </w:rPr>
        <w:t>Lo anterior nos lleva a la conclusión de que la reforma propuesta se considera inviable.</w:t>
      </w:r>
    </w:p>
    <w:p w14:paraId="3AECAEB2"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sz w:val="21"/>
          <w:szCs w:val="21"/>
        </w:rPr>
      </w:pPr>
      <w:r w:rsidRPr="00A73470">
        <w:rPr>
          <w:rFonts w:ascii="Abadi" w:hAnsi="Abadi"/>
          <w:sz w:val="21"/>
          <w:szCs w:val="21"/>
        </w:rPr>
        <w:t>En seguimiento a la metodología de trabajo aprobada, esta Comisión de Justicia acordó reunión de asesores de los grupos y representación parlamentarios con la secretaría técnica para el análisis técnico de la iniciativa, lo que aconteció el 10 de junio; así como reunión de análisis en la Comisión con las autoridades consultadas, una vez que la Junta de Gobierno y Coordinación Política otorgara la respectiva anuencia.</w:t>
      </w:r>
    </w:p>
    <w:p w14:paraId="24F6C426"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sz w:val="21"/>
          <w:szCs w:val="21"/>
        </w:rPr>
      </w:pPr>
      <w:r w:rsidRPr="00A73470">
        <w:rPr>
          <w:rFonts w:ascii="Abadi" w:hAnsi="Abadi"/>
          <w:sz w:val="21"/>
          <w:szCs w:val="21"/>
        </w:rPr>
        <w:t>El análisis en la Comisión de Justicia se realizó el 14 del mes y año en curso, reunión en la que participaron: por parte, del Poder Judicial, el maestro Plácido Álvarez Cárdenas, Magistrado de la Novena Sala Penal; de la Fiscalía General, la maestra Bernardina Elizabeth Durán Isais y el licenciado Jonathan Hazael Becerra González; y por la Coordinación General Jurídica los licenciados José Federico Ruiz Chávez y Carlos Torres Yáñez.</w:t>
      </w:r>
    </w:p>
    <w:p w14:paraId="29CFA558"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cs="Arial"/>
          <w:sz w:val="21"/>
          <w:szCs w:val="21"/>
        </w:rPr>
      </w:pPr>
      <w:r w:rsidRPr="00A73470">
        <w:rPr>
          <w:rFonts w:ascii="Abadi" w:hAnsi="Abadi" w:cs="Arial"/>
          <w:sz w:val="21"/>
          <w:szCs w:val="21"/>
        </w:rPr>
        <w:t>Al concluir el análisis, la presidencia hizo un recuento de las observaciones expresadas, por lo que propuso la elaboración de un dictamen en sentido negativo, en atención a las siguientes consideraciones, lo que fue aprobado por mayoría de votos.</w:t>
      </w:r>
    </w:p>
    <w:p w14:paraId="1E06FC02"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cs="Arial"/>
          <w:sz w:val="21"/>
          <w:szCs w:val="21"/>
        </w:rPr>
      </w:pPr>
      <w:r w:rsidRPr="00A73470">
        <w:rPr>
          <w:rFonts w:ascii="Abadi" w:hAnsi="Abadi" w:cs="Arial"/>
          <w:b/>
          <w:bCs/>
          <w:sz w:val="21"/>
          <w:szCs w:val="21"/>
        </w:rPr>
        <w:t>IV.</w:t>
      </w:r>
      <w:r w:rsidRPr="00A73470">
        <w:rPr>
          <w:rFonts w:ascii="Abadi" w:hAnsi="Abadi" w:cs="Arial"/>
          <w:b/>
          <w:bCs/>
          <w:sz w:val="21"/>
          <w:szCs w:val="21"/>
        </w:rPr>
        <w:tab/>
        <w:t>Consideraciones.</w:t>
      </w:r>
    </w:p>
    <w:p w14:paraId="0CFEA6CE"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cs="Arial"/>
          <w:sz w:val="21"/>
          <w:szCs w:val="21"/>
        </w:rPr>
      </w:pPr>
      <w:r w:rsidRPr="00A73470">
        <w:rPr>
          <w:rFonts w:ascii="Abadi" w:hAnsi="Abadi" w:cs="Arial"/>
          <w:sz w:val="21"/>
          <w:szCs w:val="21"/>
        </w:rPr>
        <w:t xml:space="preserve">Quienes integramos esta Comisión de Justicia no desestimamos el problema que, como </w:t>
      </w:r>
      <w:r w:rsidRPr="00A73470">
        <w:rPr>
          <w:rFonts w:ascii="Abadi" w:hAnsi="Abadi" w:cs="Arial"/>
          <w:sz w:val="21"/>
          <w:szCs w:val="21"/>
        </w:rPr>
        <w:t xml:space="preserve">punto de partida, exponen la y los iniciantes en la exposición de motivos de su iniciativa sobre la inseguridad y, particularmente, sobre la incidencia del delito de homicidio. </w:t>
      </w:r>
    </w:p>
    <w:p w14:paraId="2051EAA7"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cs="Arial"/>
          <w:sz w:val="21"/>
          <w:szCs w:val="21"/>
        </w:rPr>
      </w:pPr>
      <w:r w:rsidRPr="00A73470">
        <w:rPr>
          <w:rFonts w:ascii="Abadi" w:hAnsi="Abadi" w:cs="Arial"/>
          <w:sz w:val="21"/>
          <w:szCs w:val="21"/>
        </w:rPr>
        <w:t>Sin embargo, destacamos que la finalidad que persigue la iniciativa es el aumento de la pena de prisión mínima -de diez a quince años- establecida para el delito de homicidio simple, a efecto de evitar que los sentenciados por este delito obtengan el beneficio de libertad condicionada en cinco años, cumpliendo los requisitos del artículo 137, en particular el establecido en la fracción VII, de la Ley Nacional de Ejecución Penal.</w:t>
      </w:r>
    </w:p>
    <w:p w14:paraId="01A3DCE4"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cs="Arial"/>
          <w:sz w:val="21"/>
          <w:szCs w:val="21"/>
        </w:rPr>
      </w:pPr>
      <w:r w:rsidRPr="00A73470">
        <w:rPr>
          <w:rFonts w:ascii="Abadi" w:hAnsi="Abadi" w:cs="Arial"/>
          <w:sz w:val="21"/>
          <w:szCs w:val="21"/>
        </w:rPr>
        <w:t>El análisis de la propuesta que llevamos a cabo con la participación de las autoridades ya señaladas anteriormente fue a partir de dos aspectos de suma trascendencia.</w:t>
      </w:r>
    </w:p>
    <w:p w14:paraId="065DD09A"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cs="Arial"/>
          <w:sz w:val="21"/>
          <w:szCs w:val="21"/>
        </w:rPr>
      </w:pPr>
      <w:r w:rsidRPr="00A73470">
        <w:rPr>
          <w:rFonts w:ascii="Abadi" w:hAnsi="Abadi" w:cs="Arial"/>
          <w:sz w:val="21"/>
          <w:szCs w:val="21"/>
        </w:rPr>
        <w:t xml:space="preserve">El primero que tiene que ver con el tema de aumento de penas, en donde existió coincidencia en que esta acción legislativa ameritaría una base sólida para justificar, en una necesidad de política criminal, dicho incremento y, con base en el principio de proporcionalidad que establece el artículo 22 de la Constitución Política de los Estados Unidos Mexicanos, que considere la naturaleza del delito, el bien jurídico protegido, el daño que se causa al mismo, el grado de responsabilidad. Es así como, de acuerdo con este principio, la gravedad de la pena debe ser proporcional a la del hecho antijurídico y del grado de afectación al bien jurídico protegido, a fin de que la pena no sea infamante, cruel, excesiva, inusitada, trascendental o contraria a la dignidad del ser </w:t>
      </w:r>
      <w:r w:rsidRPr="00A73470">
        <w:rPr>
          <w:rFonts w:ascii="Abadi" w:hAnsi="Abadi" w:cs="Arial"/>
          <w:sz w:val="21"/>
          <w:szCs w:val="21"/>
        </w:rPr>
        <w:lastRenderedPageBreak/>
        <w:t>humano.</w:t>
      </w:r>
    </w:p>
    <w:p w14:paraId="58185925" w14:textId="77777777" w:rsidR="00A73470" w:rsidRPr="00A73470" w:rsidRDefault="00A73470" w:rsidP="00A73470">
      <w:pPr>
        <w:shd w:val="clear" w:color="auto" w:fill="FFFFFF"/>
        <w:spacing w:line="360" w:lineRule="auto"/>
        <w:ind w:firstLine="708"/>
        <w:jc w:val="both"/>
        <w:rPr>
          <w:rFonts w:ascii="Abadi" w:hAnsi="Abadi" w:cs="Arial"/>
          <w:sz w:val="21"/>
          <w:szCs w:val="21"/>
        </w:rPr>
      </w:pPr>
      <w:r w:rsidRPr="00A73470">
        <w:rPr>
          <w:rFonts w:ascii="Abadi" w:hAnsi="Abadi" w:cs="Arial"/>
          <w:sz w:val="21"/>
          <w:szCs w:val="21"/>
        </w:rPr>
        <w:t>Quienes dictaminamos estimamos que la intención de aumentar penas en ciertos supuestos jurídicos con el propósito de prevención no ha dado el resultado esperado, acción que además debe ser el resultado de un estudio profundo de proporcionalidad abstracta a través del análisis -reiteramos- de las conductas, la gravedad de las mismas, el bien jurídico afectado y la consecuencia social, para considerar y justificar el aumento en la punibilidad.</w:t>
      </w:r>
    </w:p>
    <w:p w14:paraId="3920C46E"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cs="Arial"/>
          <w:sz w:val="21"/>
          <w:szCs w:val="21"/>
        </w:rPr>
      </w:pPr>
      <w:r w:rsidRPr="00A73470">
        <w:rPr>
          <w:rFonts w:ascii="Abadi" w:hAnsi="Abadi" w:cs="Arial"/>
          <w:sz w:val="21"/>
          <w:szCs w:val="21"/>
        </w:rPr>
        <w:t>El otro aspecto tiene que ver, precisamente, con la finalidad que persigue los iniciantes con el aumento de la punibilidad mínima que es la de evitar que los sentenciados por el delito de homicidio simple obtenga el beneficio de la libertad condicionada en cinco años.</w:t>
      </w:r>
    </w:p>
    <w:p w14:paraId="391C7E56"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cs="Arial"/>
          <w:sz w:val="21"/>
          <w:szCs w:val="21"/>
        </w:rPr>
      </w:pPr>
      <w:r w:rsidRPr="00A73470">
        <w:rPr>
          <w:rFonts w:ascii="Abadi" w:hAnsi="Abadi" w:cs="Arial"/>
          <w:sz w:val="21"/>
          <w:szCs w:val="21"/>
        </w:rPr>
        <w:t xml:space="preserve">Al respecto consideramos que el aumento de la punibilidad no debe obedecer a este fin, esto es evitar que se alcance algunos de los beneficios que establece la Ley Nacional de Ejecución Penal, ya que ello representa un contrasentido con la finalidad de la reinserción social.  </w:t>
      </w:r>
    </w:p>
    <w:p w14:paraId="152782EF"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cs="Arial"/>
          <w:sz w:val="21"/>
          <w:szCs w:val="21"/>
        </w:rPr>
      </w:pPr>
      <w:r w:rsidRPr="00A73470">
        <w:rPr>
          <w:rFonts w:ascii="Abadi" w:hAnsi="Abadi" w:cs="Arial"/>
          <w:sz w:val="21"/>
          <w:szCs w:val="21"/>
        </w:rPr>
        <w:t xml:space="preserve">Cabe destacar que el beneficio de la libertad condicionada exige el cumplimiento de otros requisitos -no sólo el citado por los iniciantes- de acuerdo con lo dispuesto por el artículo 137 de la Ley Nacional de Ejecución Penal, de tal forma que la persona sentenciada, además de cumplir la mitad de la pena tratándose de delitos dolosos, deberá cumplir con las otras </w:t>
      </w:r>
      <w:r w:rsidRPr="00A73470">
        <w:rPr>
          <w:rFonts w:ascii="Abadi" w:hAnsi="Abadi" w:cs="Arial"/>
          <w:sz w:val="21"/>
          <w:szCs w:val="21"/>
        </w:rPr>
        <w:t xml:space="preserve">condiciones señaladas en dicho dispositivo, los que se van ganando a través del tiempo.  </w:t>
      </w:r>
    </w:p>
    <w:p w14:paraId="27D6CE90" w14:textId="77777777" w:rsidR="00A73470" w:rsidRPr="00A73470" w:rsidRDefault="00A73470" w:rsidP="00A73470">
      <w:pPr>
        <w:ind w:left="1416"/>
        <w:jc w:val="both"/>
        <w:rPr>
          <w:rFonts w:ascii="Abadi" w:hAnsi="Abadi"/>
          <w:b/>
          <w:bCs/>
          <w:sz w:val="21"/>
          <w:szCs w:val="21"/>
          <w:lang w:val="es-ES_tradnl"/>
        </w:rPr>
      </w:pPr>
      <w:r w:rsidRPr="00A73470">
        <w:rPr>
          <w:rFonts w:ascii="Abadi" w:hAnsi="Abadi"/>
          <w:b/>
          <w:bCs/>
          <w:sz w:val="21"/>
          <w:szCs w:val="21"/>
          <w:lang w:val="es-ES_tradnl"/>
        </w:rPr>
        <w:t xml:space="preserve">Artículo 137. Requisitos para la obtención de la libertad condicionada </w:t>
      </w:r>
    </w:p>
    <w:p w14:paraId="76BF2594" w14:textId="77777777" w:rsidR="00A73470" w:rsidRPr="00A73470" w:rsidRDefault="00A73470" w:rsidP="008C1F86">
      <w:pPr>
        <w:ind w:left="1416"/>
        <w:jc w:val="both"/>
        <w:rPr>
          <w:rFonts w:ascii="Abadi" w:hAnsi="Abadi"/>
          <w:sz w:val="21"/>
          <w:szCs w:val="21"/>
          <w:lang w:val="es-ES_tradnl"/>
        </w:rPr>
      </w:pPr>
      <w:r w:rsidRPr="00A73470">
        <w:rPr>
          <w:rFonts w:ascii="Abadi" w:hAnsi="Abadi"/>
          <w:sz w:val="21"/>
          <w:szCs w:val="21"/>
          <w:lang w:val="es-ES_tradnl"/>
        </w:rPr>
        <w:t xml:space="preserve">Para la obtención de alguna de las medidas de libertad condicionada, el Juez deberá observar que la persona sentenciada cumpla los siguientes requisitos: </w:t>
      </w:r>
    </w:p>
    <w:p w14:paraId="1E11929B" w14:textId="77777777" w:rsidR="00A73470" w:rsidRPr="00A73470" w:rsidRDefault="00A73470" w:rsidP="00A73470">
      <w:pPr>
        <w:ind w:left="708"/>
        <w:jc w:val="both"/>
        <w:rPr>
          <w:rFonts w:ascii="Abadi" w:hAnsi="Abadi"/>
          <w:sz w:val="21"/>
          <w:szCs w:val="21"/>
          <w:lang w:val="es-ES_tradnl"/>
        </w:rPr>
      </w:pPr>
    </w:p>
    <w:p w14:paraId="23321742" w14:textId="77777777" w:rsidR="00A73470" w:rsidRPr="00A73470" w:rsidRDefault="00A73470" w:rsidP="00B81728">
      <w:pPr>
        <w:numPr>
          <w:ilvl w:val="0"/>
          <w:numId w:val="26"/>
        </w:numPr>
        <w:jc w:val="both"/>
        <w:rPr>
          <w:rFonts w:ascii="Abadi" w:hAnsi="Abadi"/>
          <w:sz w:val="21"/>
          <w:szCs w:val="21"/>
          <w:lang w:val="es-ES_tradnl"/>
        </w:rPr>
      </w:pPr>
      <w:r w:rsidRPr="00A73470">
        <w:rPr>
          <w:rFonts w:ascii="Abadi" w:hAnsi="Abadi"/>
          <w:sz w:val="21"/>
          <w:szCs w:val="21"/>
          <w:lang w:val="es-ES_tradnl"/>
        </w:rPr>
        <w:t xml:space="preserve">Que no se le haya dictado diversa sentencia condenatoria firme; </w:t>
      </w:r>
    </w:p>
    <w:p w14:paraId="53B2F560" w14:textId="77777777" w:rsidR="00A73470" w:rsidRPr="00A73470" w:rsidRDefault="00A73470" w:rsidP="00A73470">
      <w:pPr>
        <w:ind w:left="708"/>
        <w:jc w:val="both"/>
        <w:rPr>
          <w:rFonts w:ascii="Abadi" w:hAnsi="Abadi"/>
          <w:sz w:val="21"/>
          <w:szCs w:val="21"/>
          <w:lang w:val="es-ES_tradnl"/>
        </w:rPr>
      </w:pPr>
    </w:p>
    <w:p w14:paraId="137C38C6" w14:textId="77777777" w:rsidR="00A73470" w:rsidRPr="00A73470" w:rsidRDefault="00A73470" w:rsidP="00A73470">
      <w:pPr>
        <w:ind w:left="2124" w:hanging="708"/>
        <w:jc w:val="both"/>
        <w:rPr>
          <w:rFonts w:ascii="Abadi" w:hAnsi="Abadi"/>
          <w:sz w:val="21"/>
          <w:szCs w:val="21"/>
          <w:lang w:val="es-ES_tradnl"/>
        </w:rPr>
      </w:pPr>
      <w:r w:rsidRPr="00A73470">
        <w:rPr>
          <w:rFonts w:ascii="Abadi" w:hAnsi="Abadi"/>
          <w:sz w:val="21"/>
          <w:szCs w:val="21"/>
          <w:lang w:val="es-ES_tradnl"/>
        </w:rPr>
        <w:t>II.</w:t>
      </w:r>
      <w:r w:rsidRPr="00A73470">
        <w:rPr>
          <w:rFonts w:ascii="Abadi" w:hAnsi="Abadi"/>
          <w:sz w:val="21"/>
          <w:szCs w:val="21"/>
          <w:lang w:val="es-ES_tradnl"/>
        </w:rPr>
        <w:tab/>
        <w:t xml:space="preserve">Que no exista un riesgo objetivo y razonable en su externamiento para la víctima u ofendido, los testigos que depusieron en su contra y para la sociedad; </w:t>
      </w:r>
    </w:p>
    <w:p w14:paraId="1F9AAFB1" w14:textId="77777777" w:rsidR="00A73470" w:rsidRPr="00A73470" w:rsidRDefault="00A73470" w:rsidP="00A73470">
      <w:pPr>
        <w:ind w:left="708"/>
        <w:jc w:val="both"/>
        <w:rPr>
          <w:rFonts w:ascii="Abadi" w:hAnsi="Abadi"/>
          <w:sz w:val="21"/>
          <w:szCs w:val="21"/>
          <w:lang w:val="es-ES_tradnl"/>
        </w:rPr>
      </w:pPr>
    </w:p>
    <w:p w14:paraId="0C52CFC7" w14:textId="152939F2" w:rsidR="00A73470" w:rsidRPr="00A73470" w:rsidRDefault="00A73470" w:rsidP="008C1F86">
      <w:pPr>
        <w:ind w:left="2124" w:hanging="708"/>
        <w:jc w:val="both"/>
        <w:rPr>
          <w:rFonts w:ascii="Abadi" w:hAnsi="Abadi"/>
          <w:sz w:val="21"/>
          <w:szCs w:val="21"/>
          <w:lang w:val="es-ES_tradnl"/>
        </w:rPr>
      </w:pPr>
      <w:r w:rsidRPr="00A73470">
        <w:rPr>
          <w:rFonts w:ascii="Abadi" w:hAnsi="Abadi"/>
          <w:sz w:val="21"/>
          <w:szCs w:val="21"/>
          <w:lang w:val="es-ES_tradnl"/>
        </w:rPr>
        <w:t>III.</w:t>
      </w:r>
      <w:r w:rsidRPr="00A73470">
        <w:rPr>
          <w:rFonts w:ascii="Abadi" w:hAnsi="Abadi"/>
          <w:sz w:val="21"/>
          <w:szCs w:val="21"/>
          <w:lang w:val="es-ES_tradnl"/>
        </w:rPr>
        <w:tab/>
        <w:t>Haber tenido buena</w:t>
      </w:r>
      <w:r w:rsidR="008C1F86">
        <w:rPr>
          <w:rFonts w:ascii="Abadi" w:hAnsi="Abadi"/>
          <w:sz w:val="21"/>
          <w:szCs w:val="21"/>
          <w:lang w:val="es-ES_tradnl"/>
        </w:rPr>
        <w:t xml:space="preserve"> </w:t>
      </w:r>
      <w:r w:rsidRPr="00A73470">
        <w:rPr>
          <w:rFonts w:ascii="Abadi" w:hAnsi="Abadi"/>
          <w:sz w:val="21"/>
          <w:szCs w:val="21"/>
          <w:lang w:val="es-ES_tradnl"/>
        </w:rPr>
        <w:t xml:space="preserve">conducta durante su internamiento; </w:t>
      </w:r>
    </w:p>
    <w:p w14:paraId="5FF9BACA" w14:textId="77777777" w:rsidR="00A73470" w:rsidRPr="00A73470" w:rsidRDefault="00A73470" w:rsidP="00A73470">
      <w:pPr>
        <w:ind w:left="708"/>
        <w:jc w:val="both"/>
        <w:rPr>
          <w:rFonts w:ascii="Abadi" w:hAnsi="Abadi"/>
          <w:sz w:val="21"/>
          <w:szCs w:val="21"/>
          <w:lang w:val="es-ES_tradnl"/>
        </w:rPr>
      </w:pPr>
    </w:p>
    <w:p w14:paraId="0A7FCBC0" w14:textId="77777777" w:rsidR="00A73470" w:rsidRPr="00A73470" w:rsidRDefault="00A73470" w:rsidP="00A73470">
      <w:pPr>
        <w:ind w:left="2124" w:hanging="708"/>
        <w:jc w:val="both"/>
        <w:rPr>
          <w:rFonts w:ascii="Abadi" w:hAnsi="Abadi"/>
          <w:sz w:val="21"/>
          <w:szCs w:val="21"/>
          <w:lang w:val="es-ES_tradnl"/>
        </w:rPr>
      </w:pPr>
      <w:r w:rsidRPr="00A73470">
        <w:rPr>
          <w:rFonts w:ascii="Abadi" w:hAnsi="Abadi"/>
          <w:sz w:val="21"/>
          <w:szCs w:val="21"/>
          <w:lang w:val="es-ES_tradnl"/>
        </w:rPr>
        <w:t>IV.</w:t>
      </w:r>
      <w:r w:rsidRPr="00A73470">
        <w:rPr>
          <w:rFonts w:ascii="Abadi" w:hAnsi="Abadi"/>
          <w:sz w:val="21"/>
          <w:szCs w:val="21"/>
          <w:lang w:val="es-ES_tradnl"/>
        </w:rPr>
        <w:tab/>
        <w:t xml:space="preserve">Haber cumplido satisfactoriamente con el Plan de Actividades al día de la solicitud; </w:t>
      </w:r>
    </w:p>
    <w:p w14:paraId="63B83B98" w14:textId="77777777" w:rsidR="00A73470" w:rsidRPr="00A73470" w:rsidRDefault="00A73470" w:rsidP="00A73470">
      <w:pPr>
        <w:ind w:left="708"/>
        <w:jc w:val="both"/>
        <w:rPr>
          <w:rFonts w:ascii="Abadi" w:hAnsi="Abadi"/>
          <w:sz w:val="21"/>
          <w:szCs w:val="21"/>
          <w:lang w:val="es-ES_tradnl"/>
        </w:rPr>
      </w:pPr>
    </w:p>
    <w:p w14:paraId="2DD334ED" w14:textId="77777777" w:rsidR="00A73470" w:rsidRPr="00A73470" w:rsidRDefault="00A73470" w:rsidP="00A73470">
      <w:pPr>
        <w:ind w:left="2124" w:hanging="708"/>
        <w:jc w:val="both"/>
        <w:rPr>
          <w:rFonts w:ascii="Abadi" w:hAnsi="Abadi"/>
          <w:sz w:val="21"/>
          <w:szCs w:val="21"/>
          <w:lang w:val="es-ES_tradnl"/>
        </w:rPr>
      </w:pPr>
      <w:r w:rsidRPr="00A73470">
        <w:rPr>
          <w:rFonts w:ascii="Abadi" w:hAnsi="Abadi"/>
          <w:sz w:val="21"/>
          <w:szCs w:val="21"/>
          <w:lang w:val="es-ES_tradnl"/>
        </w:rPr>
        <w:t>V.</w:t>
      </w:r>
      <w:r w:rsidRPr="00A73470">
        <w:rPr>
          <w:rFonts w:ascii="Abadi" w:hAnsi="Abadi"/>
          <w:sz w:val="21"/>
          <w:szCs w:val="21"/>
          <w:lang w:val="es-ES_tradnl"/>
        </w:rPr>
        <w:tab/>
        <w:t xml:space="preserve">Haber cubierto la reparación del daño y la multa, en las modalidades y con las excepciones establecidas en esta Ley; </w:t>
      </w:r>
    </w:p>
    <w:p w14:paraId="1AA2217F" w14:textId="77777777" w:rsidR="00A73470" w:rsidRPr="00A73470" w:rsidRDefault="00A73470" w:rsidP="00A73470">
      <w:pPr>
        <w:ind w:left="708"/>
        <w:jc w:val="both"/>
        <w:rPr>
          <w:rFonts w:ascii="Abadi" w:hAnsi="Abadi"/>
          <w:sz w:val="21"/>
          <w:szCs w:val="21"/>
          <w:lang w:val="es-ES_tradnl"/>
        </w:rPr>
      </w:pPr>
    </w:p>
    <w:p w14:paraId="58EBBDDB" w14:textId="77777777" w:rsidR="00A73470" w:rsidRPr="00A73470" w:rsidRDefault="00A73470" w:rsidP="00A73470">
      <w:pPr>
        <w:ind w:left="2124" w:hanging="708"/>
        <w:jc w:val="both"/>
        <w:rPr>
          <w:rFonts w:ascii="Abadi" w:hAnsi="Abadi"/>
          <w:sz w:val="21"/>
          <w:szCs w:val="21"/>
          <w:lang w:val="es-ES_tradnl"/>
        </w:rPr>
      </w:pPr>
      <w:r w:rsidRPr="00A73470">
        <w:rPr>
          <w:rFonts w:ascii="Abadi" w:hAnsi="Abadi"/>
          <w:sz w:val="21"/>
          <w:szCs w:val="21"/>
          <w:lang w:val="es-ES_tradnl"/>
        </w:rPr>
        <w:t>VI.</w:t>
      </w:r>
      <w:r w:rsidRPr="00A73470">
        <w:rPr>
          <w:rFonts w:ascii="Abadi" w:hAnsi="Abadi"/>
          <w:sz w:val="21"/>
          <w:szCs w:val="21"/>
          <w:lang w:val="es-ES_tradnl"/>
        </w:rPr>
        <w:tab/>
        <w:t xml:space="preserve">No estar sujeto a otro proceso penal del fuero común o federal por delito que amerite prisión preventiva, y </w:t>
      </w:r>
    </w:p>
    <w:p w14:paraId="66DF67A7" w14:textId="77777777" w:rsidR="00A73470" w:rsidRPr="00A73470" w:rsidRDefault="00A73470" w:rsidP="00A73470">
      <w:pPr>
        <w:ind w:left="708"/>
        <w:jc w:val="both"/>
        <w:rPr>
          <w:rFonts w:ascii="Abadi" w:hAnsi="Abadi"/>
          <w:sz w:val="21"/>
          <w:szCs w:val="21"/>
          <w:lang w:val="es-ES_tradnl"/>
        </w:rPr>
      </w:pPr>
    </w:p>
    <w:p w14:paraId="23985D7E" w14:textId="77777777" w:rsidR="00A73470" w:rsidRPr="00A73470" w:rsidRDefault="00A73470" w:rsidP="00A73470">
      <w:pPr>
        <w:ind w:left="2124" w:hanging="708"/>
        <w:jc w:val="both"/>
        <w:rPr>
          <w:rFonts w:ascii="Abadi" w:hAnsi="Abadi"/>
          <w:sz w:val="21"/>
          <w:szCs w:val="21"/>
          <w:lang w:val="es-ES_tradnl"/>
        </w:rPr>
      </w:pPr>
      <w:r w:rsidRPr="00A73470">
        <w:rPr>
          <w:rFonts w:ascii="Abadi" w:hAnsi="Abadi"/>
          <w:sz w:val="21"/>
          <w:szCs w:val="21"/>
          <w:lang w:val="es-ES_tradnl"/>
        </w:rPr>
        <w:t>VII.</w:t>
      </w:r>
      <w:r w:rsidRPr="00A73470">
        <w:rPr>
          <w:rFonts w:ascii="Abadi" w:hAnsi="Abadi"/>
          <w:sz w:val="21"/>
          <w:szCs w:val="21"/>
          <w:lang w:val="es-ES_tradnl"/>
        </w:rPr>
        <w:tab/>
        <w:t>Que se haya cumplido con la mitad de la pena tratándose de delitos dolosos.</w:t>
      </w:r>
    </w:p>
    <w:p w14:paraId="27476CDD" w14:textId="77777777" w:rsidR="00A73470" w:rsidRPr="00A73470" w:rsidRDefault="00A73470" w:rsidP="00A73470">
      <w:pPr>
        <w:ind w:left="708"/>
        <w:jc w:val="both"/>
        <w:rPr>
          <w:rFonts w:ascii="Abadi" w:hAnsi="Abadi"/>
          <w:sz w:val="21"/>
          <w:szCs w:val="21"/>
          <w:lang w:val="es-ES_tradnl"/>
        </w:rPr>
      </w:pPr>
    </w:p>
    <w:p w14:paraId="7A2815B3" w14:textId="77777777" w:rsidR="00A73470" w:rsidRPr="00A73470" w:rsidRDefault="00A73470" w:rsidP="00A73470">
      <w:pPr>
        <w:ind w:left="708" w:firstLine="708"/>
        <w:jc w:val="both"/>
        <w:rPr>
          <w:rFonts w:ascii="Abadi" w:hAnsi="Abadi"/>
          <w:sz w:val="21"/>
          <w:szCs w:val="21"/>
          <w:lang w:val="es-ES_tradnl"/>
        </w:rPr>
      </w:pPr>
      <w:r w:rsidRPr="00A73470">
        <w:rPr>
          <w:rFonts w:ascii="Abadi" w:hAnsi="Abadi"/>
          <w:sz w:val="21"/>
          <w:szCs w:val="21"/>
          <w:lang w:val="es-ES_tradnl"/>
        </w:rPr>
        <w:t xml:space="preserve">La Autoridad Penitenciaria tendrá bajo su responsabilidad la adquisición, </w:t>
      </w:r>
      <w:r w:rsidRPr="00A73470">
        <w:rPr>
          <w:rFonts w:ascii="Abadi" w:hAnsi="Abadi"/>
          <w:sz w:val="21"/>
          <w:szCs w:val="21"/>
          <w:lang w:val="es-ES_tradnl"/>
        </w:rPr>
        <w:lastRenderedPageBreak/>
        <w:t xml:space="preserve">mantenimiento y seguimiento de los sistemas de monitoreo electrónico. Excepcionalmente, cuando las condiciones económicas y familiares del beneficiario lo permitan, éste cubrirá a la Autoridad Penitenciaria el costo del dispositivo. </w:t>
      </w:r>
    </w:p>
    <w:p w14:paraId="6ED575CD" w14:textId="77777777" w:rsidR="00A73470" w:rsidRPr="00A73470" w:rsidRDefault="00A73470" w:rsidP="00A73470">
      <w:pPr>
        <w:ind w:left="708"/>
        <w:jc w:val="both"/>
        <w:rPr>
          <w:rFonts w:ascii="Abadi" w:hAnsi="Abadi"/>
          <w:sz w:val="21"/>
          <w:szCs w:val="21"/>
          <w:lang w:val="es-ES_tradnl"/>
        </w:rPr>
      </w:pPr>
    </w:p>
    <w:p w14:paraId="0E152A65" w14:textId="77777777" w:rsidR="00A73470" w:rsidRPr="00A73470" w:rsidRDefault="00A73470" w:rsidP="00A73470">
      <w:pPr>
        <w:ind w:left="708" w:firstLine="708"/>
        <w:jc w:val="both"/>
        <w:rPr>
          <w:rFonts w:ascii="Abadi" w:hAnsi="Abadi"/>
          <w:sz w:val="21"/>
          <w:szCs w:val="21"/>
          <w:lang w:val="es-ES_tradnl"/>
        </w:rPr>
      </w:pPr>
      <w:r w:rsidRPr="00A73470">
        <w:rPr>
          <w:rFonts w:ascii="Abadi" w:hAnsi="Abadi"/>
          <w:sz w:val="21"/>
          <w:szCs w:val="21"/>
          <w:lang w:val="es-ES_tradnl"/>
        </w:rPr>
        <w:t>La asignación de la medida de libertad bajo supervisión con monitoreo electrónico, así como la asignación de dispositivos, deberá responder a principios de necesidad, proporcionalidad, igualdad, legalidad y no discriminación.</w:t>
      </w:r>
    </w:p>
    <w:p w14:paraId="5D080DFA" w14:textId="77777777" w:rsidR="00A73470" w:rsidRPr="00A73470" w:rsidRDefault="00A73470" w:rsidP="00A73470">
      <w:pPr>
        <w:ind w:left="708"/>
        <w:jc w:val="both"/>
        <w:rPr>
          <w:rFonts w:ascii="Abadi" w:hAnsi="Abadi"/>
          <w:sz w:val="21"/>
          <w:szCs w:val="21"/>
          <w:lang w:val="es-ES_tradnl"/>
        </w:rPr>
      </w:pPr>
    </w:p>
    <w:p w14:paraId="190D0CE2" w14:textId="77777777" w:rsidR="00A73470" w:rsidRPr="00A73470" w:rsidRDefault="00A73470" w:rsidP="00A73470">
      <w:pPr>
        <w:ind w:left="708" w:firstLine="708"/>
        <w:jc w:val="both"/>
        <w:rPr>
          <w:rFonts w:ascii="Abadi" w:hAnsi="Abadi"/>
          <w:sz w:val="21"/>
          <w:szCs w:val="21"/>
          <w:lang w:val="es-ES_tradnl"/>
        </w:rPr>
      </w:pPr>
      <w:r w:rsidRPr="00A73470">
        <w:rPr>
          <w:rFonts w:ascii="Abadi" w:hAnsi="Abadi"/>
          <w:sz w:val="21"/>
          <w:szCs w:val="21"/>
          <w:lang w:val="es-ES_tradnl"/>
        </w:rPr>
        <w:t xml:space="preserve">No gozarán de la libertad condicionada los sentenciados por delitos en materia de delincuencia organizada, secuestro y trata de personas. </w:t>
      </w:r>
    </w:p>
    <w:p w14:paraId="24B40482" w14:textId="77777777" w:rsidR="00A73470" w:rsidRPr="00A73470" w:rsidRDefault="00A73470" w:rsidP="00A73470">
      <w:pPr>
        <w:ind w:left="708"/>
        <w:jc w:val="both"/>
        <w:rPr>
          <w:rFonts w:ascii="Abadi" w:hAnsi="Abadi"/>
          <w:sz w:val="21"/>
          <w:szCs w:val="21"/>
          <w:lang w:val="es-ES_tradnl"/>
        </w:rPr>
      </w:pPr>
    </w:p>
    <w:p w14:paraId="291DB0DE" w14:textId="77777777" w:rsidR="00A73470" w:rsidRPr="00A73470" w:rsidRDefault="00A73470" w:rsidP="00A73470">
      <w:pPr>
        <w:ind w:left="708" w:firstLine="708"/>
        <w:jc w:val="both"/>
        <w:rPr>
          <w:rFonts w:ascii="Abadi" w:hAnsi="Abadi" w:cs="Arial"/>
          <w:sz w:val="21"/>
          <w:szCs w:val="21"/>
          <w:lang w:val="es-ES_tradnl"/>
        </w:rPr>
      </w:pPr>
      <w:r w:rsidRPr="00A73470">
        <w:rPr>
          <w:rFonts w:ascii="Abadi" w:hAnsi="Abadi"/>
          <w:sz w:val="21"/>
          <w:szCs w:val="21"/>
          <w:lang w:val="es-ES_tradnl"/>
        </w:rPr>
        <w:t>La persona que obtenga la libertad condicionada, deberá comprometerse a no molestar a la víctima u ofendido y a los testigos que depusieron en su contra.</w:t>
      </w:r>
    </w:p>
    <w:p w14:paraId="7316EC9E" w14:textId="77777777" w:rsidR="00A73470" w:rsidRPr="00A73470" w:rsidRDefault="00A73470" w:rsidP="00A73470">
      <w:pPr>
        <w:widowControl w:val="0"/>
        <w:autoSpaceDE w:val="0"/>
        <w:autoSpaceDN w:val="0"/>
        <w:adjustRightInd w:val="0"/>
        <w:spacing w:before="100" w:beforeAutospacing="1" w:after="100" w:afterAutospacing="1" w:line="360" w:lineRule="auto"/>
        <w:ind w:firstLine="708"/>
        <w:jc w:val="both"/>
        <w:rPr>
          <w:rFonts w:ascii="Abadi" w:hAnsi="Abadi" w:cs="Arial"/>
          <w:sz w:val="21"/>
          <w:szCs w:val="21"/>
        </w:rPr>
      </w:pPr>
      <w:r w:rsidRPr="00A73470">
        <w:rPr>
          <w:rFonts w:ascii="Abadi" w:hAnsi="Abadi" w:cs="Arial"/>
          <w:sz w:val="21"/>
          <w:szCs w:val="21"/>
        </w:rPr>
        <w:t>Por ello estimamos que, al estar enfocada la iniciativa en la restricción del beneficio de la libertad condicionada en el caso del delito de homicidio simple -con el incremento de la pena mínima de prisión- y no a partir del principio de proporcionalidad de la pena resulta inviable la propuesta.</w:t>
      </w:r>
    </w:p>
    <w:p w14:paraId="51805D89" w14:textId="77777777" w:rsidR="00A73470" w:rsidRPr="00A73470" w:rsidRDefault="00A73470" w:rsidP="00A73470">
      <w:pPr>
        <w:widowControl w:val="0"/>
        <w:spacing w:line="360" w:lineRule="auto"/>
        <w:ind w:firstLine="708"/>
        <w:jc w:val="both"/>
        <w:rPr>
          <w:rFonts w:ascii="Abadi" w:hAnsi="Abadi"/>
          <w:sz w:val="21"/>
          <w:szCs w:val="21"/>
        </w:rPr>
      </w:pPr>
      <w:r w:rsidRPr="00A73470">
        <w:rPr>
          <w:rFonts w:ascii="Abadi" w:hAnsi="Abadi"/>
          <w:sz w:val="21"/>
          <w:szCs w:val="21"/>
        </w:rPr>
        <w:t xml:space="preserve">Por lo expuesto y con fundamento en los artículos 113 fracción II y 171 de la Ley Orgánica del Poder Legislativo, se propone a la Asamblea el siguiente: </w:t>
      </w:r>
    </w:p>
    <w:p w14:paraId="44913F97" w14:textId="77777777" w:rsidR="00A73470" w:rsidRPr="00A73470" w:rsidRDefault="00A73470" w:rsidP="00A73470">
      <w:pPr>
        <w:widowControl w:val="0"/>
        <w:spacing w:line="360" w:lineRule="auto"/>
        <w:jc w:val="both"/>
        <w:rPr>
          <w:rFonts w:ascii="Abadi" w:hAnsi="Abadi"/>
          <w:sz w:val="21"/>
          <w:szCs w:val="21"/>
        </w:rPr>
      </w:pPr>
    </w:p>
    <w:p w14:paraId="13415023" w14:textId="77777777" w:rsidR="00A73470" w:rsidRPr="00A73470" w:rsidRDefault="00A73470" w:rsidP="00A73470">
      <w:pPr>
        <w:spacing w:line="360" w:lineRule="auto"/>
        <w:jc w:val="center"/>
        <w:rPr>
          <w:rFonts w:ascii="Abadi" w:hAnsi="Abadi" w:cs="Arial"/>
          <w:b/>
          <w:sz w:val="21"/>
          <w:szCs w:val="21"/>
        </w:rPr>
      </w:pPr>
      <w:r w:rsidRPr="00A73470">
        <w:rPr>
          <w:rFonts w:ascii="Abadi" w:hAnsi="Abadi" w:cs="Arial"/>
          <w:b/>
          <w:sz w:val="21"/>
          <w:szCs w:val="21"/>
        </w:rPr>
        <w:t>ACUERDO</w:t>
      </w:r>
    </w:p>
    <w:p w14:paraId="4BABFEBE" w14:textId="77777777" w:rsidR="00A73470" w:rsidRPr="00A73470" w:rsidRDefault="00A73470" w:rsidP="00A73470">
      <w:pPr>
        <w:spacing w:line="360" w:lineRule="auto"/>
        <w:jc w:val="center"/>
        <w:rPr>
          <w:rFonts w:ascii="Abadi" w:hAnsi="Abadi" w:cs="Arial"/>
          <w:b/>
          <w:sz w:val="21"/>
          <w:szCs w:val="21"/>
        </w:rPr>
      </w:pPr>
    </w:p>
    <w:p w14:paraId="2058A96D" w14:textId="77777777" w:rsidR="00A73470" w:rsidRPr="00A73470" w:rsidRDefault="00A73470" w:rsidP="00A73470">
      <w:pPr>
        <w:spacing w:line="360" w:lineRule="auto"/>
        <w:ind w:right="-1" w:firstLine="708"/>
        <w:jc w:val="both"/>
        <w:rPr>
          <w:rFonts w:ascii="Abadi" w:hAnsi="Abadi" w:cs="Arial"/>
          <w:bCs/>
          <w:sz w:val="21"/>
          <w:szCs w:val="21"/>
        </w:rPr>
      </w:pPr>
      <w:r w:rsidRPr="00A73470">
        <w:rPr>
          <w:rFonts w:ascii="Abadi" w:hAnsi="Abadi"/>
          <w:b/>
          <w:sz w:val="21"/>
          <w:szCs w:val="21"/>
        </w:rPr>
        <w:t>Único</w:t>
      </w:r>
      <w:r w:rsidRPr="00A73470">
        <w:rPr>
          <w:rFonts w:ascii="Abadi" w:hAnsi="Abadi"/>
          <w:sz w:val="21"/>
          <w:szCs w:val="21"/>
        </w:rPr>
        <w:t xml:space="preserve">. </w:t>
      </w:r>
      <w:r w:rsidRPr="00A73470">
        <w:rPr>
          <w:rFonts w:ascii="Abadi" w:hAnsi="Abadi" w:cs="Arial"/>
          <w:bCs/>
          <w:sz w:val="21"/>
          <w:szCs w:val="21"/>
        </w:rPr>
        <w:t xml:space="preserve">No resulta procedente la propuesta a efecto de reformar el artículo 139 del Código Penal del Estado de Guanajuato, contenida en la iniciativa presentada por </w:t>
      </w:r>
      <w:r w:rsidRPr="00A73470">
        <w:rPr>
          <w:rFonts w:ascii="Abadi" w:hAnsi="Abadi" w:cs="Arial"/>
          <w:bCs/>
          <w:sz w:val="21"/>
          <w:szCs w:val="21"/>
        </w:rPr>
        <w:t xml:space="preserve">diputada y los </w:t>
      </w:r>
      <w:r w:rsidRPr="00A73470">
        <w:rPr>
          <w:rFonts w:ascii="Abadi" w:hAnsi="Abadi"/>
          <w:sz w:val="21"/>
          <w:szCs w:val="21"/>
        </w:rPr>
        <w:t xml:space="preserve">diputados integrantes del Grupo Parlamentario del Partido Revolucionario Institucional. </w:t>
      </w:r>
      <w:r w:rsidRPr="00A73470">
        <w:rPr>
          <w:rFonts w:ascii="Abadi" w:hAnsi="Abadi" w:cs="Arial"/>
          <w:bCs/>
          <w:sz w:val="21"/>
          <w:szCs w:val="21"/>
        </w:rPr>
        <w:t>De tal forma se instruye su archivo definitivo.</w:t>
      </w:r>
    </w:p>
    <w:p w14:paraId="04686B61" w14:textId="77777777" w:rsidR="00A73470" w:rsidRPr="00A73470" w:rsidRDefault="00A73470" w:rsidP="00A73470">
      <w:pPr>
        <w:widowControl w:val="0"/>
        <w:spacing w:line="360" w:lineRule="auto"/>
        <w:jc w:val="both"/>
        <w:rPr>
          <w:rFonts w:ascii="Abadi" w:hAnsi="Abadi" w:cs="Arial"/>
          <w:iCs/>
          <w:sz w:val="21"/>
          <w:szCs w:val="21"/>
        </w:rPr>
      </w:pPr>
    </w:p>
    <w:p w14:paraId="34EC253B" w14:textId="77777777" w:rsidR="00A73470" w:rsidRPr="00A73470" w:rsidRDefault="00A73470" w:rsidP="00A73470">
      <w:pPr>
        <w:jc w:val="center"/>
        <w:rPr>
          <w:rFonts w:ascii="Abadi" w:hAnsi="Abadi"/>
          <w:b/>
          <w:iCs/>
          <w:sz w:val="21"/>
          <w:szCs w:val="21"/>
          <w:lang w:val="es-ES_tradnl"/>
        </w:rPr>
      </w:pPr>
      <w:r w:rsidRPr="00A73470">
        <w:rPr>
          <w:rFonts w:ascii="Abadi" w:hAnsi="Abadi"/>
          <w:b/>
          <w:iCs/>
          <w:sz w:val="21"/>
          <w:szCs w:val="21"/>
          <w:lang w:val="es-ES_tradnl"/>
        </w:rPr>
        <w:t>Guanajuato, Gto., 21 de junio de 2022</w:t>
      </w:r>
    </w:p>
    <w:p w14:paraId="625D1CBA" w14:textId="77777777" w:rsidR="00A73470" w:rsidRPr="00A73470" w:rsidRDefault="00A73470" w:rsidP="00A73470">
      <w:pPr>
        <w:jc w:val="center"/>
        <w:rPr>
          <w:rFonts w:ascii="Abadi" w:hAnsi="Abadi"/>
          <w:b/>
          <w:i/>
          <w:iCs/>
          <w:sz w:val="21"/>
          <w:szCs w:val="21"/>
          <w:lang w:val="es-ES_tradnl"/>
        </w:rPr>
      </w:pPr>
      <w:r w:rsidRPr="00A73470">
        <w:rPr>
          <w:rFonts w:ascii="Abadi" w:hAnsi="Abadi"/>
          <w:b/>
          <w:iCs/>
          <w:sz w:val="21"/>
          <w:szCs w:val="21"/>
          <w:lang w:val="es-ES_tradnl"/>
        </w:rPr>
        <w:t>La Comisión de Justicia</w:t>
      </w:r>
    </w:p>
    <w:p w14:paraId="2923F2AC" w14:textId="77777777" w:rsidR="00A73470" w:rsidRPr="00A73470" w:rsidRDefault="00A73470" w:rsidP="00A73470">
      <w:pPr>
        <w:jc w:val="center"/>
        <w:rPr>
          <w:rFonts w:ascii="Abadi" w:hAnsi="Abadi"/>
          <w:b/>
          <w:i/>
          <w:iCs/>
          <w:sz w:val="21"/>
          <w:szCs w:val="21"/>
          <w:lang w:val="es-ES_tradnl"/>
        </w:rPr>
      </w:pPr>
    </w:p>
    <w:p w14:paraId="632187ED" w14:textId="77777777" w:rsidR="00A73470" w:rsidRPr="00A73470" w:rsidRDefault="00A73470" w:rsidP="008C1F86">
      <w:pPr>
        <w:jc w:val="center"/>
        <w:rPr>
          <w:rFonts w:ascii="Abadi" w:hAnsi="Abadi"/>
          <w:b/>
          <w:i/>
          <w:iCs/>
          <w:sz w:val="21"/>
          <w:szCs w:val="21"/>
          <w:lang w:val="es-ES_tradnl"/>
        </w:rPr>
      </w:pPr>
    </w:p>
    <w:p w14:paraId="186867F7" w14:textId="77777777" w:rsidR="00A73470" w:rsidRPr="00A73470" w:rsidRDefault="00A73470" w:rsidP="008C1F86">
      <w:pPr>
        <w:jc w:val="center"/>
        <w:rPr>
          <w:rFonts w:ascii="Abadi" w:hAnsi="Abadi"/>
          <w:b/>
          <w:i/>
          <w:iCs/>
          <w:sz w:val="21"/>
          <w:szCs w:val="21"/>
          <w:lang w:val="es-ES_tradnl"/>
        </w:rPr>
      </w:pPr>
      <w:r w:rsidRPr="00A73470">
        <w:rPr>
          <w:rFonts w:ascii="Abadi" w:hAnsi="Abadi"/>
          <w:b/>
          <w:iCs/>
          <w:sz w:val="21"/>
          <w:szCs w:val="21"/>
          <w:lang w:val="es-ES_tradnl"/>
        </w:rPr>
        <w:t>Laura Cristina Márquez Alcalá</w:t>
      </w:r>
    </w:p>
    <w:p w14:paraId="76C4C0BB" w14:textId="26C8DAF4" w:rsidR="00A73470" w:rsidRPr="00A73470" w:rsidRDefault="00A73470" w:rsidP="008C1F86">
      <w:pPr>
        <w:jc w:val="center"/>
        <w:rPr>
          <w:rFonts w:ascii="Abadi" w:hAnsi="Abadi"/>
          <w:b/>
          <w:i/>
          <w:iCs/>
          <w:sz w:val="21"/>
          <w:szCs w:val="21"/>
          <w:lang w:val="es-ES_tradnl"/>
        </w:rPr>
      </w:pPr>
      <w:r w:rsidRPr="00A73470">
        <w:rPr>
          <w:rFonts w:ascii="Abadi" w:hAnsi="Abadi"/>
          <w:b/>
          <w:iCs/>
          <w:sz w:val="21"/>
          <w:szCs w:val="21"/>
          <w:lang w:val="es-ES_tradnl"/>
        </w:rPr>
        <w:t>Diputada presidenta</w:t>
      </w:r>
    </w:p>
    <w:p w14:paraId="7522B5A6" w14:textId="77777777" w:rsidR="00A73470" w:rsidRPr="00A73470" w:rsidRDefault="00A73470" w:rsidP="008C1F86">
      <w:pPr>
        <w:jc w:val="center"/>
        <w:rPr>
          <w:rFonts w:ascii="Abadi" w:hAnsi="Abadi"/>
          <w:b/>
          <w:iCs/>
          <w:sz w:val="21"/>
          <w:szCs w:val="21"/>
          <w:lang w:val="es-ES_tradnl"/>
        </w:rPr>
      </w:pPr>
    </w:p>
    <w:p w14:paraId="649E7ABE" w14:textId="4B5F5900" w:rsidR="008C1F86" w:rsidRDefault="00A73470" w:rsidP="008C1F86">
      <w:pPr>
        <w:jc w:val="center"/>
        <w:rPr>
          <w:rFonts w:ascii="Abadi" w:hAnsi="Abadi"/>
          <w:b/>
          <w:iCs/>
          <w:sz w:val="21"/>
          <w:szCs w:val="21"/>
          <w:lang w:val="es-ES_tradnl"/>
        </w:rPr>
      </w:pPr>
      <w:r w:rsidRPr="00A73470">
        <w:rPr>
          <w:rFonts w:ascii="Abadi" w:hAnsi="Abadi"/>
          <w:b/>
          <w:iCs/>
          <w:sz w:val="21"/>
          <w:szCs w:val="21"/>
          <w:lang w:val="es-ES_tradnl"/>
        </w:rPr>
        <w:t>Susana Bermúdez Cano</w:t>
      </w:r>
    </w:p>
    <w:p w14:paraId="6C2D7405" w14:textId="0284954A" w:rsidR="008C1F86" w:rsidRDefault="008C1F86" w:rsidP="008C1F86">
      <w:pPr>
        <w:jc w:val="center"/>
        <w:rPr>
          <w:rFonts w:ascii="Abadi" w:hAnsi="Abadi"/>
          <w:b/>
          <w:iCs/>
          <w:sz w:val="21"/>
          <w:szCs w:val="21"/>
          <w:lang w:val="es-ES_tradnl"/>
        </w:rPr>
      </w:pPr>
      <w:r w:rsidRPr="00A73470">
        <w:rPr>
          <w:rFonts w:ascii="Abadi" w:hAnsi="Abadi"/>
          <w:b/>
          <w:iCs/>
          <w:sz w:val="21"/>
          <w:szCs w:val="21"/>
          <w:lang w:val="es-ES_tradnl"/>
        </w:rPr>
        <w:t>Diputada vocal</w:t>
      </w:r>
    </w:p>
    <w:p w14:paraId="335FF8C6" w14:textId="77777777" w:rsidR="008C1F86" w:rsidRDefault="008C1F86" w:rsidP="008C1F86">
      <w:pPr>
        <w:jc w:val="center"/>
        <w:rPr>
          <w:rFonts w:ascii="Abadi" w:hAnsi="Abadi"/>
          <w:b/>
          <w:iCs/>
          <w:sz w:val="21"/>
          <w:szCs w:val="21"/>
          <w:lang w:val="es-ES_tradnl"/>
        </w:rPr>
      </w:pPr>
    </w:p>
    <w:p w14:paraId="4F9F9AEA" w14:textId="63A5D6C7" w:rsidR="00A73470" w:rsidRPr="00A73470" w:rsidRDefault="00A73470" w:rsidP="008C1F86">
      <w:pPr>
        <w:jc w:val="center"/>
        <w:rPr>
          <w:rFonts w:ascii="Abadi" w:hAnsi="Abadi"/>
          <w:b/>
          <w:iCs/>
          <w:sz w:val="21"/>
          <w:szCs w:val="21"/>
          <w:lang w:val="es-ES_tradnl"/>
        </w:rPr>
      </w:pPr>
      <w:r w:rsidRPr="00A73470">
        <w:rPr>
          <w:rFonts w:ascii="Abadi" w:hAnsi="Abadi"/>
          <w:b/>
          <w:iCs/>
          <w:sz w:val="21"/>
          <w:szCs w:val="21"/>
          <w:lang w:val="es-ES_tradnl"/>
        </w:rPr>
        <w:t>Bricio Balderas Álvarez</w:t>
      </w:r>
    </w:p>
    <w:p w14:paraId="3A95C9F6" w14:textId="03D782F3" w:rsidR="00A73470" w:rsidRDefault="00A73470" w:rsidP="008C1F86">
      <w:pPr>
        <w:jc w:val="center"/>
        <w:rPr>
          <w:rFonts w:ascii="Abadi" w:hAnsi="Abadi"/>
          <w:b/>
          <w:iCs/>
          <w:sz w:val="21"/>
          <w:szCs w:val="21"/>
          <w:lang w:val="es-ES_tradnl"/>
        </w:rPr>
      </w:pPr>
      <w:r w:rsidRPr="00A73470">
        <w:rPr>
          <w:rFonts w:ascii="Abadi" w:hAnsi="Abadi"/>
          <w:b/>
          <w:iCs/>
          <w:sz w:val="21"/>
          <w:szCs w:val="21"/>
          <w:lang w:val="es-ES_tradnl"/>
        </w:rPr>
        <w:t>Diputado</w:t>
      </w:r>
      <w:r w:rsidR="008C1F86">
        <w:rPr>
          <w:rFonts w:ascii="Abadi" w:hAnsi="Abadi"/>
          <w:b/>
          <w:iCs/>
          <w:sz w:val="21"/>
          <w:szCs w:val="21"/>
          <w:lang w:val="es-ES_tradnl"/>
        </w:rPr>
        <w:t xml:space="preserve"> vocal</w:t>
      </w:r>
    </w:p>
    <w:p w14:paraId="7DC76589" w14:textId="77777777" w:rsidR="008C1F86" w:rsidRPr="00A73470" w:rsidRDefault="008C1F86" w:rsidP="008C1F86">
      <w:pPr>
        <w:jc w:val="center"/>
        <w:rPr>
          <w:rFonts w:ascii="Abadi" w:hAnsi="Abadi"/>
          <w:b/>
          <w:iCs/>
          <w:sz w:val="21"/>
          <w:szCs w:val="21"/>
          <w:lang w:val="es-ES_tradnl"/>
        </w:rPr>
      </w:pPr>
    </w:p>
    <w:p w14:paraId="63F8ACB4" w14:textId="52FB649E" w:rsidR="008C1F86" w:rsidRDefault="00A73470" w:rsidP="008C1F86">
      <w:pPr>
        <w:jc w:val="center"/>
        <w:rPr>
          <w:rFonts w:ascii="Abadi" w:hAnsi="Abadi"/>
          <w:b/>
          <w:iCs/>
          <w:sz w:val="21"/>
          <w:szCs w:val="21"/>
          <w:lang w:val="es-ES_tradnl"/>
        </w:rPr>
      </w:pPr>
      <w:r w:rsidRPr="00A73470">
        <w:rPr>
          <w:rFonts w:ascii="Abadi" w:hAnsi="Abadi"/>
          <w:b/>
          <w:iCs/>
          <w:sz w:val="21"/>
          <w:szCs w:val="21"/>
          <w:lang w:val="es-ES_tradnl"/>
        </w:rPr>
        <w:t>Gustavo Adolfo Alfaro Reyes</w:t>
      </w:r>
    </w:p>
    <w:p w14:paraId="377C0F09" w14:textId="658F40FD" w:rsidR="008C1F86" w:rsidRDefault="008C1F86" w:rsidP="008C1F86">
      <w:pPr>
        <w:jc w:val="center"/>
        <w:rPr>
          <w:rFonts w:ascii="Abadi" w:hAnsi="Abadi"/>
          <w:b/>
          <w:iCs/>
          <w:sz w:val="21"/>
          <w:szCs w:val="21"/>
          <w:lang w:val="es-ES_tradnl"/>
        </w:rPr>
      </w:pPr>
      <w:r w:rsidRPr="00A73470">
        <w:rPr>
          <w:rFonts w:ascii="Abadi" w:hAnsi="Abadi"/>
          <w:b/>
          <w:iCs/>
          <w:sz w:val="21"/>
          <w:szCs w:val="21"/>
          <w:lang w:val="es-ES_tradnl"/>
        </w:rPr>
        <w:t>Diputado</w:t>
      </w:r>
      <w:r>
        <w:rPr>
          <w:rFonts w:ascii="Abadi" w:hAnsi="Abadi"/>
          <w:b/>
          <w:iCs/>
          <w:sz w:val="21"/>
          <w:szCs w:val="21"/>
          <w:lang w:val="es-ES_tradnl"/>
        </w:rPr>
        <w:t xml:space="preserve"> </w:t>
      </w:r>
      <w:r w:rsidRPr="00A73470">
        <w:rPr>
          <w:rFonts w:ascii="Abadi" w:hAnsi="Abadi"/>
          <w:b/>
          <w:iCs/>
          <w:sz w:val="21"/>
          <w:szCs w:val="21"/>
          <w:lang w:val="es-ES_tradnl"/>
        </w:rPr>
        <w:t>vo</w:t>
      </w:r>
      <w:r>
        <w:rPr>
          <w:rFonts w:ascii="Abadi" w:hAnsi="Abadi"/>
          <w:b/>
          <w:iCs/>
          <w:sz w:val="21"/>
          <w:szCs w:val="21"/>
          <w:lang w:val="es-ES_tradnl"/>
        </w:rPr>
        <w:t>cal</w:t>
      </w:r>
    </w:p>
    <w:p w14:paraId="43BD0C71" w14:textId="77777777" w:rsidR="008C1F86" w:rsidRDefault="008C1F86" w:rsidP="008C1F86">
      <w:pPr>
        <w:jc w:val="center"/>
        <w:rPr>
          <w:rFonts w:ascii="Abadi" w:hAnsi="Abadi"/>
          <w:b/>
          <w:iCs/>
          <w:sz w:val="21"/>
          <w:szCs w:val="21"/>
          <w:lang w:val="es-ES_tradnl"/>
        </w:rPr>
      </w:pPr>
    </w:p>
    <w:p w14:paraId="1F71A342" w14:textId="1D908FCC" w:rsidR="00A73470" w:rsidRPr="00A73470" w:rsidRDefault="00A73470" w:rsidP="008C1F86">
      <w:pPr>
        <w:jc w:val="center"/>
        <w:rPr>
          <w:rFonts w:ascii="Abadi" w:hAnsi="Abadi"/>
          <w:b/>
          <w:iCs/>
          <w:sz w:val="21"/>
          <w:szCs w:val="21"/>
          <w:lang w:val="es-ES_tradnl"/>
        </w:rPr>
      </w:pPr>
      <w:r w:rsidRPr="00A73470">
        <w:rPr>
          <w:rFonts w:ascii="Abadi" w:hAnsi="Abadi"/>
          <w:b/>
          <w:iCs/>
          <w:sz w:val="21"/>
          <w:szCs w:val="21"/>
          <w:lang w:val="es-ES_tradnl"/>
        </w:rPr>
        <w:t>Cuauhtémoc Becerra González</w:t>
      </w:r>
    </w:p>
    <w:p w14:paraId="119E53FB" w14:textId="5FB4174F" w:rsidR="00A73470" w:rsidRDefault="00A73470" w:rsidP="008C1F86">
      <w:pPr>
        <w:jc w:val="center"/>
        <w:rPr>
          <w:rFonts w:ascii="Abadi" w:hAnsi="Abadi"/>
          <w:b/>
          <w:iCs/>
          <w:sz w:val="21"/>
          <w:szCs w:val="21"/>
          <w:lang w:val="es-ES_tradnl"/>
        </w:rPr>
      </w:pPr>
      <w:r w:rsidRPr="00A73470">
        <w:rPr>
          <w:rFonts w:ascii="Abadi" w:hAnsi="Abadi"/>
          <w:b/>
          <w:iCs/>
          <w:sz w:val="21"/>
          <w:szCs w:val="21"/>
          <w:lang w:val="es-ES_tradnl"/>
        </w:rPr>
        <w:t>Diputado secretario</w:t>
      </w:r>
    </w:p>
    <w:p w14:paraId="1AEF2098" w14:textId="77777777" w:rsidR="008C1F86" w:rsidRPr="008C1F86" w:rsidRDefault="008C1F86" w:rsidP="008C1F86">
      <w:pPr>
        <w:jc w:val="center"/>
        <w:rPr>
          <w:rFonts w:ascii="Abadi" w:hAnsi="Abadi"/>
          <w:b/>
          <w:iCs/>
          <w:sz w:val="21"/>
          <w:szCs w:val="21"/>
          <w:lang w:val="es-ES_tradnl"/>
        </w:rPr>
      </w:pPr>
    </w:p>
    <w:p w14:paraId="1A95980D" w14:textId="77777777" w:rsidR="00A73470" w:rsidRPr="00A73470" w:rsidRDefault="00A73470" w:rsidP="00A73470">
      <w:pPr>
        <w:rPr>
          <w:rFonts w:ascii="Abadi" w:hAnsi="Abadi"/>
          <w:b/>
          <w:bCs/>
          <w:sz w:val="20"/>
          <w:szCs w:val="20"/>
        </w:rPr>
      </w:pPr>
    </w:p>
    <w:p w14:paraId="1F23A834" w14:textId="6ACCDB21" w:rsidR="0047678C" w:rsidRDefault="0047678C" w:rsidP="005433FA">
      <w:pPr>
        <w:pStyle w:val="Prrafodelista"/>
        <w:numPr>
          <w:ilvl w:val="0"/>
          <w:numId w:val="9"/>
        </w:numPr>
        <w:tabs>
          <w:tab w:val="left" w:pos="856"/>
        </w:tabs>
        <w:kinsoku w:val="0"/>
        <w:overflowPunct w:val="0"/>
        <w:autoSpaceDE w:val="0"/>
        <w:autoSpaceDN w:val="0"/>
        <w:adjustRightInd w:val="0"/>
        <w:spacing w:before="1"/>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2"/>
          <w:sz w:val="20"/>
          <w:szCs w:val="20"/>
        </w:rPr>
        <w:t xml:space="preserve"> </w:t>
      </w:r>
      <w:r w:rsidRPr="00531B12">
        <w:rPr>
          <w:rFonts w:ascii="Abadi" w:hAnsi="Abadi"/>
          <w:b/>
          <w:bCs/>
          <w:sz w:val="20"/>
          <w:szCs w:val="20"/>
        </w:rPr>
        <w:t>Y,</w:t>
      </w:r>
      <w:r w:rsidRPr="00531B12">
        <w:rPr>
          <w:rFonts w:ascii="Abadi" w:hAnsi="Abadi"/>
          <w:b/>
          <w:bCs/>
          <w:spacing w:val="12"/>
          <w:sz w:val="20"/>
          <w:szCs w:val="20"/>
        </w:rPr>
        <w:t xml:space="preserve"> </w:t>
      </w:r>
      <w:r w:rsidRPr="00531B12">
        <w:rPr>
          <w:rFonts w:ascii="Abadi" w:hAnsi="Abadi"/>
          <w:b/>
          <w:bCs/>
          <w:sz w:val="20"/>
          <w:szCs w:val="20"/>
        </w:rPr>
        <w:t>EN</w:t>
      </w:r>
      <w:r w:rsidRPr="00531B12">
        <w:rPr>
          <w:rFonts w:ascii="Abadi" w:hAnsi="Abadi"/>
          <w:b/>
          <w:bCs/>
          <w:spacing w:val="12"/>
          <w:sz w:val="20"/>
          <w:szCs w:val="20"/>
        </w:rPr>
        <w:t xml:space="preserve"> </w:t>
      </w:r>
      <w:r w:rsidRPr="00531B12">
        <w:rPr>
          <w:rFonts w:ascii="Abadi" w:hAnsi="Abadi"/>
          <w:b/>
          <w:bCs/>
          <w:sz w:val="20"/>
          <w:szCs w:val="20"/>
        </w:rPr>
        <w:t>SU</w:t>
      </w:r>
      <w:r w:rsidRPr="00531B12">
        <w:rPr>
          <w:rFonts w:ascii="Abadi" w:hAnsi="Abadi"/>
          <w:b/>
          <w:bCs/>
          <w:spacing w:val="11"/>
          <w:sz w:val="20"/>
          <w:szCs w:val="20"/>
        </w:rPr>
        <w:t xml:space="preserve"> </w:t>
      </w:r>
      <w:r w:rsidRPr="00531B12">
        <w:rPr>
          <w:rFonts w:ascii="Abadi" w:hAnsi="Abadi"/>
          <w:b/>
          <w:bCs/>
          <w:sz w:val="20"/>
          <w:szCs w:val="20"/>
        </w:rPr>
        <w:t>CASO,</w:t>
      </w:r>
      <w:r w:rsidRPr="00531B12">
        <w:rPr>
          <w:rFonts w:ascii="Abadi" w:hAnsi="Abadi"/>
          <w:b/>
          <w:bCs/>
          <w:spacing w:val="12"/>
          <w:sz w:val="20"/>
          <w:szCs w:val="20"/>
        </w:rPr>
        <w:t xml:space="preserve"> </w:t>
      </w:r>
      <w:r w:rsidRPr="00531B12">
        <w:rPr>
          <w:rFonts w:ascii="Abadi" w:hAnsi="Abadi"/>
          <w:b/>
          <w:bCs/>
          <w:sz w:val="20"/>
          <w:szCs w:val="20"/>
        </w:rPr>
        <w:t>APROBACIÓN</w:t>
      </w:r>
      <w:r w:rsidRPr="00531B12">
        <w:rPr>
          <w:rFonts w:ascii="Abadi" w:hAnsi="Abadi"/>
          <w:b/>
          <w:bCs/>
          <w:spacing w:val="12"/>
          <w:sz w:val="20"/>
          <w:szCs w:val="20"/>
        </w:rPr>
        <w:t xml:space="preserve"> </w:t>
      </w:r>
      <w:r w:rsidRPr="00531B12">
        <w:rPr>
          <w:rFonts w:ascii="Abadi" w:hAnsi="Abadi"/>
          <w:b/>
          <w:bCs/>
          <w:sz w:val="20"/>
          <w:szCs w:val="20"/>
        </w:rPr>
        <w:t>DEL</w:t>
      </w:r>
      <w:r w:rsidRPr="00531B12">
        <w:rPr>
          <w:rFonts w:ascii="Abadi" w:hAnsi="Abadi"/>
          <w:b/>
          <w:bCs/>
          <w:spacing w:val="12"/>
          <w:sz w:val="20"/>
          <w:szCs w:val="20"/>
        </w:rPr>
        <w:t xml:space="preserve"> </w:t>
      </w:r>
      <w:r w:rsidRPr="00531B12">
        <w:rPr>
          <w:rFonts w:ascii="Abadi" w:hAnsi="Abadi"/>
          <w:b/>
          <w:bCs/>
          <w:sz w:val="20"/>
          <w:szCs w:val="20"/>
        </w:rPr>
        <w:t>DICTAMEN</w:t>
      </w:r>
      <w:r w:rsidRPr="00531B12">
        <w:rPr>
          <w:rFonts w:ascii="Abadi" w:hAnsi="Abadi"/>
          <w:b/>
          <w:bCs/>
          <w:spacing w:val="12"/>
          <w:sz w:val="20"/>
          <w:szCs w:val="20"/>
        </w:rPr>
        <w:t xml:space="preserve"> </w:t>
      </w:r>
      <w:r w:rsidRPr="00531B12">
        <w:rPr>
          <w:rFonts w:ascii="Abadi" w:hAnsi="Abadi"/>
          <w:b/>
          <w:bCs/>
          <w:sz w:val="20"/>
          <w:szCs w:val="20"/>
        </w:rPr>
        <w:t>SUSCRITO</w:t>
      </w:r>
      <w:r w:rsidRPr="00531B12">
        <w:rPr>
          <w:rFonts w:ascii="Abadi" w:hAnsi="Abadi"/>
          <w:b/>
          <w:bCs/>
          <w:spacing w:val="13"/>
          <w:sz w:val="20"/>
          <w:szCs w:val="20"/>
        </w:rPr>
        <w:t xml:space="preserve"> </w:t>
      </w:r>
      <w:r w:rsidRPr="00531B12">
        <w:rPr>
          <w:rFonts w:ascii="Abadi" w:hAnsi="Abadi"/>
          <w:b/>
          <w:bCs/>
          <w:sz w:val="20"/>
          <w:szCs w:val="20"/>
        </w:rPr>
        <w:t>POR</w:t>
      </w:r>
      <w:r w:rsidRPr="00531B12">
        <w:rPr>
          <w:rFonts w:ascii="Abadi" w:hAnsi="Abadi"/>
          <w:b/>
          <w:bCs/>
          <w:spacing w:val="12"/>
          <w:sz w:val="20"/>
          <w:szCs w:val="20"/>
        </w:rPr>
        <w:t xml:space="preserve"> </w:t>
      </w:r>
      <w:r w:rsidRPr="00531B12">
        <w:rPr>
          <w:rFonts w:ascii="Abadi" w:hAnsi="Abadi"/>
          <w:b/>
          <w:bCs/>
          <w:sz w:val="20"/>
          <w:szCs w:val="20"/>
        </w:rPr>
        <w:t>LA</w:t>
      </w:r>
      <w:r w:rsidRPr="00531B12">
        <w:rPr>
          <w:rFonts w:ascii="Abadi" w:hAnsi="Abadi"/>
          <w:b/>
          <w:bCs/>
          <w:spacing w:val="12"/>
          <w:sz w:val="20"/>
          <w:szCs w:val="20"/>
        </w:rPr>
        <w:t xml:space="preserve"> </w:t>
      </w:r>
      <w:r w:rsidRPr="00531B12">
        <w:rPr>
          <w:rFonts w:ascii="Abadi" w:hAnsi="Abadi"/>
          <w:b/>
          <w:bCs/>
          <w:sz w:val="20"/>
          <w:szCs w:val="20"/>
        </w:rPr>
        <w:t>COMISIÓN DE</w:t>
      </w:r>
      <w:r w:rsidRPr="00531B12">
        <w:rPr>
          <w:rFonts w:ascii="Abadi" w:hAnsi="Abadi"/>
          <w:b/>
          <w:bCs/>
          <w:spacing w:val="69"/>
          <w:w w:val="150"/>
          <w:sz w:val="20"/>
          <w:szCs w:val="20"/>
        </w:rPr>
        <w:t xml:space="preserve"> </w:t>
      </w:r>
      <w:r w:rsidRPr="00531B12">
        <w:rPr>
          <w:rFonts w:ascii="Abadi" w:hAnsi="Abadi"/>
          <w:b/>
          <w:bCs/>
          <w:sz w:val="20"/>
          <w:szCs w:val="20"/>
        </w:rPr>
        <w:t>HACIENDA</w:t>
      </w:r>
      <w:r w:rsidRPr="00531B12">
        <w:rPr>
          <w:rFonts w:ascii="Abadi" w:hAnsi="Abadi"/>
          <w:b/>
          <w:bCs/>
          <w:spacing w:val="69"/>
          <w:w w:val="150"/>
          <w:sz w:val="20"/>
          <w:szCs w:val="20"/>
        </w:rPr>
        <w:t xml:space="preserve"> </w:t>
      </w:r>
      <w:r w:rsidRPr="00531B12">
        <w:rPr>
          <w:rFonts w:ascii="Abadi" w:hAnsi="Abadi"/>
          <w:b/>
          <w:bCs/>
          <w:sz w:val="20"/>
          <w:szCs w:val="20"/>
        </w:rPr>
        <w:t>Y</w:t>
      </w:r>
      <w:r w:rsidRPr="00531B12">
        <w:rPr>
          <w:rFonts w:ascii="Abadi" w:hAnsi="Abadi"/>
          <w:b/>
          <w:bCs/>
          <w:spacing w:val="69"/>
          <w:w w:val="150"/>
          <w:sz w:val="20"/>
          <w:szCs w:val="20"/>
        </w:rPr>
        <w:t xml:space="preserve"> </w:t>
      </w:r>
      <w:r w:rsidRPr="00531B12">
        <w:rPr>
          <w:rFonts w:ascii="Abadi" w:hAnsi="Abadi"/>
          <w:b/>
          <w:bCs/>
          <w:sz w:val="20"/>
          <w:szCs w:val="20"/>
        </w:rPr>
        <w:t>FISCALIZACIÓN</w:t>
      </w:r>
      <w:r w:rsidRPr="00531B12">
        <w:rPr>
          <w:rFonts w:ascii="Abadi" w:hAnsi="Abadi"/>
          <w:b/>
          <w:bCs/>
          <w:spacing w:val="69"/>
          <w:w w:val="150"/>
          <w:sz w:val="20"/>
          <w:szCs w:val="20"/>
        </w:rPr>
        <w:t xml:space="preserve"> </w:t>
      </w:r>
      <w:r w:rsidRPr="00531B12">
        <w:rPr>
          <w:rFonts w:ascii="Abadi" w:hAnsi="Abadi"/>
          <w:b/>
          <w:bCs/>
          <w:sz w:val="20"/>
          <w:szCs w:val="20"/>
        </w:rPr>
        <w:t>RELATIVO</w:t>
      </w:r>
      <w:r w:rsidRPr="00531B12">
        <w:rPr>
          <w:rFonts w:ascii="Abadi" w:hAnsi="Abadi"/>
          <w:b/>
          <w:bCs/>
          <w:spacing w:val="69"/>
          <w:w w:val="150"/>
          <w:sz w:val="20"/>
          <w:szCs w:val="20"/>
        </w:rPr>
        <w:t xml:space="preserve"> </w:t>
      </w:r>
      <w:r w:rsidRPr="00531B12">
        <w:rPr>
          <w:rFonts w:ascii="Abadi" w:hAnsi="Abadi"/>
          <w:b/>
          <w:bCs/>
          <w:sz w:val="20"/>
          <w:szCs w:val="20"/>
        </w:rPr>
        <w:t>A</w:t>
      </w:r>
      <w:r w:rsidRPr="00531B12">
        <w:rPr>
          <w:rFonts w:ascii="Abadi" w:hAnsi="Abadi"/>
          <w:b/>
          <w:bCs/>
          <w:spacing w:val="69"/>
          <w:w w:val="150"/>
          <w:sz w:val="20"/>
          <w:szCs w:val="20"/>
        </w:rPr>
        <w:t xml:space="preserve"> </w:t>
      </w:r>
      <w:r w:rsidRPr="00531B12">
        <w:rPr>
          <w:rFonts w:ascii="Abadi" w:hAnsi="Abadi"/>
          <w:b/>
          <w:bCs/>
          <w:sz w:val="20"/>
          <w:szCs w:val="20"/>
        </w:rPr>
        <w:t>LA</w:t>
      </w:r>
      <w:r w:rsidRPr="00531B12">
        <w:rPr>
          <w:rFonts w:ascii="Abadi" w:hAnsi="Abadi"/>
          <w:b/>
          <w:bCs/>
          <w:spacing w:val="69"/>
          <w:w w:val="150"/>
          <w:sz w:val="20"/>
          <w:szCs w:val="20"/>
        </w:rPr>
        <w:t xml:space="preserve"> </w:t>
      </w:r>
      <w:r w:rsidRPr="00531B12">
        <w:rPr>
          <w:rFonts w:ascii="Abadi" w:hAnsi="Abadi"/>
          <w:b/>
          <w:bCs/>
          <w:sz w:val="20"/>
          <w:szCs w:val="20"/>
        </w:rPr>
        <w:t>INICIATIVA</w:t>
      </w:r>
      <w:r w:rsidRPr="00531B12">
        <w:rPr>
          <w:rFonts w:ascii="Abadi" w:hAnsi="Abadi"/>
          <w:b/>
          <w:bCs/>
          <w:spacing w:val="69"/>
          <w:w w:val="150"/>
          <w:sz w:val="20"/>
          <w:szCs w:val="20"/>
        </w:rPr>
        <w:t xml:space="preserve"> </w:t>
      </w:r>
      <w:r w:rsidRPr="00531B12">
        <w:rPr>
          <w:rFonts w:ascii="Abadi" w:hAnsi="Abadi"/>
          <w:b/>
          <w:bCs/>
          <w:sz w:val="20"/>
          <w:szCs w:val="20"/>
        </w:rPr>
        <w:t>FORMULADA</w:t>
      </w:r>
      <w:r w:rsidRPr="00531B12">
        <w:rPr>
          <w:rFonts w:ascii="Abadi" w:hAnsi="Abadi"/>
          <w:b/>
          <w:bCs/>
          <w:spacing w:val="69"/>
          <w:w w:val="150"/>
          <w:sz w:val="20"/>
          <w:szCs w:val="20"/>
        </w:rPr>
        <w:t xml:space="preserve"> </w:t>
      </w:r>
      <w:r w:rsidRPr="00531B12">
        <w:rPr>
          <w:rFonts w:ascii="Abadi" w:hAnsi="Abadi"/>
          <w:b/>
          <w:bCs/>
          <w:sz w:val="20"/>
          <w:szCs w:val="20"/>
        </w:rPr>
        <w:t>POR</w:t>
      </w:r>
      <w:r w:rsidRPr="00531B12">
        <w:rPr>
          <w:rFonts w:ascii="Abadi" w:hAnsi="Abadi"/>
          <w:b/>
          <w:bCs/>
          <w:spacing w:val="69"/>
          <w:w w:val="150"/>
          <w:sz w:val="20"/>
          <w:szCs w:val="20"/>
        </w:rPr>
        <w:t xml:space="preserve"> </w:t>
      </w:r>
      <w:r w:rsidRPr="00531B12">
        <w:rPr>
          <w:rFonts w:ascii="Abadi" w:hAnsi="Abadi"/>
          <w:b/>
          <w:bCs/>
          <w:sz w:val="20"/>
          <w:szCs w:val="20"/>
        </w:rPr>
        <w:t>EL AYUNTAMIENTO</w:t>
      </w:r>
      <w:r w:rsidRPr="00531B12">
        <w:rPr>
          <w:rFonts w:ascii="Abadi" w:hAnsi="Abadi"/>
          <w:b/>
          <w:bCs/>
          <w:spacing w:val="9"/>
          <w:sz w:val="20"/>
          <w:szCs w:val="20"/>
        </w:rPr>
        <w:t xml:space="preserve"> </w:t>
      </w:r>
      <w:r w:rsidRPr="00531B12">
        <w:rPr>
          <w:rFonts w:ascii="Abadi" w:hAnsi="Abadi"/>
          <w:b/>
          <w:bCs/>
          <w:sz w:val="20"/>
          <w:szCs w:val="20"/>
        </w:rPr>
        <w:t>DE</w:t>
      </w:r>
      <w:r w:rsidRPr="00531B12">
        <w:rPr>
          <w:rFonts w:ascii="Abadi" w:hAnsi="Abadi"/>
          <w:b/>
          <w:bCs/>
          <w:spacing w:val="9"/>
          <w:sz w:val="20"/>
          <w:szCs w:val="20"/>
        </w:rPr>
        <w:t xml:space="preserve"> </w:t>
      </w:r>
      <w:r w:rsidRPr="00531B12">
        <w:rPr>
          <w:rFonts w:ascii="Abadi" w:hAnsi="Abadi"/>
          <w:b/>
          <w:bCs/>
          <w:sz w:val="20"/>
          <w:szCs w:val="20"/>
        </w:rPr>
        <w:t>APASEO</w:t>
      </w:r>
      <w:r w:rsidRPr="00531B12">
        <w:rPr>
          <w:rFonts w:ascii="Abadi" w:hAnsi="Abadi"/>
          <w:b/>
          <w:bCs/>
          <w:spacing w:val="9"/>
          <w:sz w:val="20"/>
          <w:szCs w:val="20"/>
        </w:rPr>
        <w:t xml:space="preserve"> </w:t>
      </w:r>
      <w:r w:rsidRPr="00531B12">
        <w:rPr>
          <w:rFonts w:ascii="Abadi" w:hAnsi="Abadi"/>
          <w:b/>
          <w:bCs/>
          <w:sz w:val="20"/>
          <w:szCs w:val="20"/>
        </w:rPr>
        <w:t>EL</w:t>
      </w:r>
      <w:r w:rsidRPr="00531B12">
        <w:rPr>
          <w:rFonts w:ascii="Abadi" w:hAnsi="Abadi"/>
          <w:b/>
          <w:bCs/>
          <w:spacing w:val="9"/>
          <w:sz w:val="20"/>
          <w:szCs w:val="20"/>
        </w:rPr>
        <w:t xml:space="preserve"> </w:t>
      </w:r>
      <w:r w:rsidRPr="00531B12">
        <w:rPr>
          <w:rFonts w:ascii="Abadi" w:hAnsi="Abadi"/>
          <w:b/>
          <w:bCs/>
          <w:sz w:val="20"/>
          <w:szCs w:val="20"/>
        </w:rPr>
        <w:t>GRANDE,</w:t>
      </w:r>
      <w:r w:rsidRPr="00531B12">
        <w:rPr>
          <w:rFonts w:ascii="Abadi" w:hAnsi="Abadi"/>
          <w:b/>
          <w:bCs/>
          <w:spacing w:val="9"/>
          <w:sz w:val="20"/>
          <w:szCs w:val="20"/>
        </w:rPr>
        <w:t xml:space="preserve"> </w:t>
      </w:r>
      <w:r w:rsidRPr="00531B12">
        <w:rPr>
          <w:rFonts w:ascii="Abadi" w:hAnsi="Abadi"/>
          <w:b/>
          <w:bCs/>
          <w:sz w:val="20"/>
          <w:szCs w:val="20"/>
        </w:rPr>
        <w:t>GTO.,</w:t>
      </w:r>
      <w:r w:rsidRPr="00531B12">
        <w:rPr>
          <w:rFonts w:ascii="Abadi" w:hAnsi="Abadi"/>
          <w:b/>
          <w:bCs/>
          <w:spacing w:val="9"/>
          <w:sz w:val="20"/>
          <w:szCs w:val="20"/>
        </w:rPr>
        <w:t xml:space="preserve"> </w:t>
      </w:r>
      <w:r w:rsidRPr="00531B12">
        <w:rPr>
          <w:rFonts w:ascii="Abadi" w:hAnsi="Abadi"/>
          <w:b/>
          <w:bCs/>
          <w:sz w:val="20"/>
          <w:szCs w:val="20"/>
        </w:rPr>
        <w:t>A</w:t>
      </w:r>
      <w:r w:rsidRPr="00531B12">
        <w:rPr>
          <w:rFonts w:ascii="Abadi" w:hAnsi="Abadi"/>
          <w:b/>
          <w:bCs/>
          <w:spacing w:val="11"/>
          <w:sz w:val="20"/>
          <w:szCs w:val="20"/>
        </w:rPr>
        <w:t xml:space="preserve"> </w:t>
      </w:r>
      <w:r w:rsidRPr="00531B12">
        <w:rPr>
          <w:rFonts w:ascii="Abadi" w:hAnsi="Abadi"/>
          <w:b/>
          <w:bCs/>
          <w:sz w:val="20"/>
          <w:szCs w:val="20"/>
        </w:rPr>
        <w:t>EFECTO</w:t>
      </w:r>
      <w:r w:rsidRPr="00531B12">
        <w:rPr>
          <w:rFonts w:ascii="Abadi" w:hAnsi="Abadi"/>
          <w:b/>
          <w:bCs/>
          <w:spacing w:val="9"/>
          <w:sz w:val="20"/>
          <w:szCs w:val="20"/>
        </w:rPr>
        <w:t xml:space="preserve"> </w:t>
      </w:r>
      <w:r w:rsidRPr="00531B12">
        <w:rPr>
          <w:rFonts w:ascii="Abadi" w:hAnsi="Abadi"/>
          <w:b/>
          <w:bCs/>
          <w:sz w:val="20"/>
          <w:szCs w:val="20"/>
        </w:rPr>
        <w:t>DE</w:t>
      </w:r>
      <w:r w:rsidRPr="00531B12">
        <w:rPr>
          <w:rFonts w:ascii="Abadi" w:hAnsi="Abadi"/>
          <w:b/>
          <w:bCs/>
          <w:spacing w:val="9"/>
          <w:sz w:val="20"/>
          <w:szCs w:val="20"/>
        </w:rPr>
        <w:t xml:space="preserve"> </w:t>
      </w:r>
      <w:r w:rsidRPr="00531B12">
        <w:rPr>
          <w:rFonts w:ascii="Abadi" w:hAnsi="Abadi"/>
          <w:b/>
          <w:bCs/>
          <w:sz w:val="20"/>
          <w:szCs w:val="20"/>
        </w:rPr>
        <w:t>QUE</w:t>
      </w:r>
      <w:r w:rsidRPr="00531B12">
        <w:rPr>
          <w:rFonts w:ascii="Abadi" w:hAnsi="Abadi"/>
          <w:b/>
          <w:bCs/>
          <w:spacing w:val="9"/>
          <w:sz w:val="20"/>
          <w:szCs w:val="20"/>
        </w:rPr>
        <w:t xml:space="preserve"> </w:t>
      </w:r>
      <w:r w:rsidRPr="00531B12">
        <w:rPr>
          <w:rFonts w:ascii="Abadi" w:hAnsi="Abadi"/>
          <w:b/>
          <w:bCs/>
          <w:sz w:val="20"/>
          <w:szCs w:val="20"/>
        </w:rPr>
        <w:t>SE</w:t>
      </w:r>
      <w:r w:rsidRPr="00531B12">
        <w:rPr>
          <w:rFonts w:ascii="Abadi" w:hAnsi="Abadi"/>
          <w:b/>
          <w:bCs/>
          <w:spacing w:val="9"/>
          <w:sz w:val="20"/>
          <w:szCs w:val="20"/>
        </w:rPr>
        <w:t xml:space="preserve"> </w:t>
      </w:r>
      <w:r w:rsidRPr="00531B12">
        <w:rPr>
          <w:rFonts w:ascii="Abadi" w:hAnsi="Abadi"/>
          <w:b/>
          <w:bCs/>
          <w:sz w:val="20"/>
          <w:szCs w:val="20"/>
        </w:rPr>
        <w:t>LE</w:t>
      </w:r>
      <w:r w:rsidRPr="00531B12">
        <w:rPr>
          <w:rFonts w:ascii="Abadi" w:hAnsi="Abadi"/>
          <w:b/>
          <w:bCs/>
          <w:spacing w:val="9"/>
          <w:sz w:val="20"/>
          <w:szCs w:val="20"/>
        </w:rPr>
        <w:t xml:space="preserve"> </w:t>
      </w:r>
      <w:r w:rsidRPr="00531B12">
        <w:rPr>
          <w:rFonts w:ascii="Abadi" w:hAnsi="Abadi"/>
          <w:b/>
          <w:bCs/>
          <w:sz w:val="20"/>
          <w:szCs w:val="20"/>
        </w:rPr>
        <w:t>AUTORICE</w:t>
      </w:r>
      <w:r w:rsidRPr="00531B12">
        <w:rPr>
          <w:rFonts w:ascii="Abadi" w:hAnsi="Abadi"/>
          <w:b/>
          <w:bCs/>
          <w:spacing w:val="9"/>
          <w:sz w:val="20"/>
          <w:szCs w:val="20"/>
        </w:rPr>
        <w:t xml:space="preserve"> </w:t>
      </w:r>
      <w:r w:rsidRPr="00531B12">
        <w:rPr>
          <w:rFonts w:ascii="Abadi" w:hAnsi="Abadi"/>
          <w:b/>
          <w:bCs/>
          <w:sz w:val="20"/>
          <w:szCs w:val="20"/>
        </w:rPr>
        <w:t>LA CONTRATACIÓN</w:t>
      </w:r>
      <w:r w:rsidRPr="00531B12">
        <w:rPr>
          <w:rFonts w:ascii="Abadi" w:hAnsi="Abadi"/>
          <w:b/>
          <w:bCs/>
          <w:spacing w:val="-17"/>
          <w:sz w:val="20"/>
          <w:szCs w:val="20"/>
        </w:rPr>
        <w:t xml:space="preserve"> </w:t>
      </w:r>
      <w:r w:rsidRPr="00531B12">
        <w:rPr>
          <w:rFonts w:ascii="Abadi" w:hAnsi="Abadi"/>
          <w:b/>
          <w:bCs/>
          <w:sz w:val="20"/>
          <w:szCs w:val="20"/>
        </w:rPr>
        <w:t>DE</w:t>
      </w:r>
      <w:r w:rsidRPr="00531B12">
        <w:rPr>
          <w:rFonts w:ascii="Abadi" w:hAnsi="Abadi"/>
          <w:b/>
          <w:bCs/>
          <w:spacing w:val="-17"/>
          <w:sz w:val="20"/>
          <w:szCs w:val="20"/>
        </w:rPr>
        <w:t xml:space="preserve"> </w:t>
      </w:r>
      <w:r w:rsidRPr="00531B12">
        <w:rPr>
          <w:rFonts w:ascii="Abadi" w:hAnsi="Abadi"/>
          <w:b/>
          <w:bCs/>
          <w:sz w:val="20"/>
          <w:szCs w:val="20"/>
        </w:rPr>
        <w:t>UNO</w:t>
      </w:r>
      <w:r w:rsidRPr="00531B12">
        <w:rPr>
          <w:rFonts w:ascii="Abadi" w:hAnsi="Abadi"/>
          <w:b/>
          <w:bCs/>
          <w:spacing w:val="-17"/>
          <w:sz w:val="20"/>
          <w:szCs w:val="20"/>
        </w:rPr>
        <w:t xml:space="preserve"> </w:t>
      </w:r>
      <w:r w:rsidRPr="00531B12">
        <w:rPr>
          <w:rFonts w:ascii="Abadi" w:hAnsi="Abadi"/>
          <w:b/>
          <w:bCs/>
          <w:sz w:val="20"/>
          <w:szCs w:val="20"/>
        </w:rPr>
        <w:t>O</w:t>
      </w:r>
      <w:r w:rsidRPr="00531B12">
        <w:rPr>
          <w:rFonts w:ascii="Abadi" w:hAnsi="Abadi"/>
          <w:b/>
          <w:bCs/>
          <w:spacing w:val="-17"/>
          <w:sz w:val="20"/>
          <w:szCs w:val="20"/>
        </w:rPr>
        <w:t xml:space="preserve"> </w:t>
      </w:r>
      <w:r w:rsidRPr="00531B12">
        <w:rPr>
          <w:rFonts w:ascii="Abadi" w:hAnsi="Abadi"/>
          <w:b/>
          <w:bCs/>
          <w:sz w:val="20"/>
          <w:szCs w:val="20"/>
        </w:rPr>
        <w:t>VARIOS</w:t>
      </w:r>
      <w:r w:rsidRPr="00531B12">
        <w:rPr>
          <w:rFonts w:ascii="Abadi" w:hAnsi="Abadi"/>
          <w:b/>
          <w:bCs/>
          <w:spacing w:val="-16"/>
          <w:sz w:val="20"/>
          <w:szCs w:val="20"/>
        </w:rPr>
        <w:t xml:space="preserve"> </w:t>
      </w:r>
      <w:r w:rsidRPr="00531B12">
        <w:rPr>
          <w:rFonts w:ascii="Abadi" w:hAnsi="Abadi"/>
          <w:b/>
          <w:bCs/>
          <w:sz w:val="20"/>
          <w:szCs w:val="20"/>
        </w:rPr>
        <w:t>FINANCIAMIENTOS</w:t>
      </w:r>
      <w:r w:rsidRPr="00531B12">
        <w:rPr>
          <w:rFonts w:ascii="Abadi" w:hAnsi="Abadi"/>
          <w:b/>
          <w:bCs/>
          <w:spacing w:val="-18"/>
          <w:sz w:val="20"/>
          <w:szCs w:val="20"/>
        </w:rPr>
        <w:t xml:space="preserve"> </w:t>
      </w:r>
      <w:r w:rsidRPr="00531B12">
        <w:rPr>
          <w:rFonts w:ascii="Abadi" w:hAnsi="Abadi"/>
          <w:b/>
          <w:bCs/>
          <w:sz w:val="20"/>
          <w:szCs w:val="20"/>
        </w:rPr>
        <w:t>PARA</w:t>
      </w:r>
      <w:r w:rsidRPr="00531B12">
        <w:rPr>
          <w:rFonts w:ascii="Abadi" w:hAnsi="Abadi"/>
          <w:b/>
          <w:bCs/>
          <w:spacing w:val="-17"/>
          <w:sz w:val="20"/>
          <w:szCs w:val="20"/>
        </w:rPr>
        <w:t xml:space="preserve"> </w:t>
      </w:r>
      <w:r w:rsidRPr="00531B12">
        <w:rPr>
          <w:rFonts w:ascii="Abadi" w:hAnsi="Abadi"/>
          <w:b/>
          <w:bCs/>
          <w:sz w:val="20"/>
          <w:szCs w:val="20"/>
        </w:rPr>
        <w:t>DESTINARLOS</w:t>
      </w:r>
      <w:r w:rsidRPr="00531B12">
        <w:rPr>
          <w:rFonts w:ascii="Abadi" w:hAnsi="Abadi"/>
          <w:b/>
          <w:bCs/>
          <w:spacing w:val="-17"/>
          <w:sz w:val="20"/>
          <w:szCs w:val="20"/>
        </w:rPr>
        <w:t xml:space="preserve"> </w:t>
      </w:r>
      <w:r w:rsidRPr="00531B12">
        <w:rPr>
          <w:rFonts w:ascii="Abadi" w:hAnsi="Abadi"/>
          <w:b/>
          <w:bCs/>
          <w:sz w:val="20"/>
          <w:szCs w:val="20"/>
        </w:rPr>
        <w:t>A</w:t>
      </w:r>
      <w:r w:rsidRPr="00531B12">
        <w:rPr>
          <w:rFonts w:ascii="Abadi" w:hAnsi="Abadi"/>
          <w:b/>
          <w:bCs/>
          <w:spacing w:val="-16"/>
          <w:sz w:val="20"/>
          <w:szCs w:val="20"/>
        </w:rPr>
        <w:t xml:space="preserve"> </w:t>
      </w:r>
      <w:r w:rsidRPr="00531B12">
        <w:rPr>
          <w:rFonts w:ascii="Abadi" w:hAnsi="Abadi"/>
          <w:b/>
          <w:bCs/>
          <w:sz w:val="20"/>
          <w:szCs w:val="20"/>
        </w:rPr>
        <w:t>13</w:t>
      </w:r>
      <w:r w:rsidRPr="00531B12">
        <w:rPr>
          <w:rFonts w:ascii="Abadi" w:hAnsi="Abadi"/>
          <w:b/>
          <w:bCs/>
          <w:spacing w:val="-17"/>
          <w:sz w:val="20"/>
          <w:szCs w:val="20"/>
        </w:rPr>
        <w:t xml:space="preserve"> </w:t>
      </w:r>
      <w:r w:rsidRPr="00531B12">
        <w:rPr>
          <w:rFonts w:ascii="Abadi" w:hAnsi="Abadi"/>
          <w:b/>
          <w:bCs/>
          <w:sz w:val="20"/>
          <w:szCs w:val="20"/>
        </w:rPr>
        <w:t>PROYECTOS DE INVERSIÓN PÚBLICA PRODUCTIVA.</w:t>
      </w:r>
    </w:p>
    <w:p w14:paraId="5B08FFC4" w14:textId="17043421" w:rsidR="00146BF7" w:rsidRDefault="00146BF7" w:rsidP="008C1F86">
      <w:pPr>
        <w:rPr>
          <w:rFonts w:ascii="Abadi" w:hAnsi="Abadi"/>
          <w:sz w:val="20"/>
          <w:szCs w:val="20"/>
        </w:rPr>
      </w:pPr>
    </w:p>
    <w:p w14:paraId="6AD15A03" w14:textId="77777777" w:rsidR="00B81728" w:rsidRDefault="00B81728" w:rsidP="008F4A58">
      <w:pPr>
        <w:jc w:val="both"/>
        <w:rPr>
          <w:rFonts w:ascii="Abadi" w:hAnsi="Abadi" w:cs="Arial"/>
          <w:b/>
          <w:iCs/>
          <w:smallCaps/>
          <w:sz w:val="21"/>
          <w:szCs w:val="21"/>
        </w:rPr>
      </w:pPr>
    </w:p>
    <w:p w14:paraId="5D181FC3" w14:textId="1C3CFD62" w:rsidR="008F4A58" w:rsidRPr="008F4A58" w:rsidRDefault="008F4A58" w:rsidP="008F4A58">
      <w:pPr>
        <w:jc w:val="both"/>
        <w:rPr>
          <w:rFonts w:ascii="Abadi" w:hAnsi="Abadi" w:cs="Arial"/>
          <w:b/>
          <w:iCs/>
          <w:smallCaps/>
          <w:sz w:val="21"/>
          <w:szCs w:val="21"/>
        </w:rPr>
      </w:pPr>
      <w:r w:rsidRPr="008F4A58">
        <w:rPr>
          <w:rFonts w:ascii="Abadi" w:hAnsi="Abadi" w:cs="Arial"/>
          <w:b/>
          <w:iCs/>
          <w:smallCaps/>
          <w:sz w:val="21"/>
          <w:szCs w:val="21"/>
        </w:rPr>
        <w:t>Diputada Presidenta del Congreso del Estado</w:t>
      </w:r>
    </w:p>
    <w:p w14:paraId="01875588" w14:textId="77777777" w:rsidR="008F4A58" w:rsidRPr="008F4A58" w:rsidRDefault="008F4A58" w:rsidP="008F4A58">
      <w:pPr>
        <w:jc w:val="both"/>
        <w:rPr>
          <w:rFonts w:ascii="Abadi" w:hAnsi="Abadi" w:cs="Arial"/>
          <w:b/>
          <w:iCs/>
          <w:smallCaps/>
          <w:sz w:val="21"/>
          <w:szCs w:val="21"/>
        </w:rPr>
      </w:pPr>
      <w:r w:rsidRPr="008F4A58">
        <w:rPr>
          <w:rFonts w:ascii="Abadi" w:hAnsi="Abadi" w:cs="Arial"/>
          <w:b/>
          <w:iCs/>
          <w:smallCaps/>
          <w:sz w:val="21"/>
          <w:szCs w:val="21"/>
        </w:rPr>
        <w:t>P r e s e n t e.</w:t>
      </w:r>
    </w:p>
    <w:p w14:paraId="3FE90624" w14:textId="77777777" w:rsidR="008F4A58" w:rsidRPr="008F4A58" w:rsidRDefault="008F4A58" w:rsidP="008F4A58">
      <w:pPr>
        <w:spacing w:line="360" w:lineRule="auto"/>
        <w:jc w:val="both"/>
        <w:rPr>
          <w:rFonts w:ascii="Abadi" w:hAnsi="Abadi" w:cs="Arial"/>
          <w:iCs/>
          <w:sz w:val="21"/>
          <w:szCs w:val="21"/>
        </w:rPr>
      </w:pPr>
    </w:p>
    <w:p w14:paraId="699D74B5" w14:textId="77777777" w:rsidR="008F4A58" w:rsidRPr="008F4A58" w:rsidRDefault="008F4A58" w:rsidP="008F4A58">
      <w:pPr>
        <w:spacing w:line="360" w:lineRule="auto"/>
        <w:jc w:val="both"/>
        <w:rPr>
          <w:rFonts w:ascii="Abadi" w:hAnsi="Abadi" w:cs="Arial"/>
          <w:iCs/>
          <w:sz w:val="21"/>
          <w:szCs w:val="21"/>
        </w:rPr>
      </w:pPr>
      <w:r w:rsidRPr="008F4A58">
        <w:rPr>
          <w:rFonts w:ascii="Abadi" w:hAnsi="Abadi" w:cs="Arial"/>
          <w:sz w:val="21"/>
          <w:szCs w:val="21"/>
        </w:rPr>
        <w:tab/>
      </w:r>
      <w:r w:rsidRPr="008F4A58">
        <w:rPr>
          <w:rFonts w:ascii="Abadi" w:hAnsi="Abadi" w:cs="Arial"/>
          <w:iCs/>
          <w:sz w:val="21"/>
          <w:szCs w:val="21"/>
        </w:rPr>
        <w:t>A la Comisión de Hacienda y Fiscalización le fue turnada para su estudio y dictamen, la iniciativa formulada por el ayuntamiento de Apaseo el Grande, Gto., a efecto de que se le autorice la contratación de uno o varios financiamientos para destinarlos a 13 proyectos de inversión pública productiva.</w:t>
      </w:r>
    </w:p>
    <w:p w14:paraId="5893430E" w14:textId="77777777" w:rsidR="008F4A58" w:rsidRPr="008F4A58" w:rsidRDefault="008F4A58" w:rsidP="008F4A58">
      <w:pPr>
        <w:spacing w:line="360" w:lineRule="auto"/>
        <w:jc w:val="both"/>
        <w:rPr>
          <w:rFonts w:ascii="Abadi" w:hAnsi="Abadi" w:cs="Arial"/>
          <w:iCs/>
          <w:sz w:val="21"/>
          <w:szCs w:val="21"/>
        </w:rPr>
      </w:pPr>
    </w:p>
    <w:p w14:paraId="2480613B" w14:textId="77777777" w:rsidR="008F4A58" w:rsidRPr="008F4A58" w:rsidRDefault="008F4A58" w:rsidP="008F4A58">
      <w:pPr>
        <w:spacing w:line="360" w:lineRule="auto"/>
        <w:jc w:val="both"/>
        <w:rPr>
          <w:rFonts w:ascii="Abadi" w:hAnsi="Abadi" w:cs="Arial"/>
          <w:iCs/>
          <w:sz w:val="21"/>
          <w:szCs w:val="21"/>
        </w:rPr>
      </w:pPr>
      <w:r w:rsidRPr="008F4A58">
        <w:rPr>
          <w:rFonts w:ascii="Abadi" w:hAnsi="Abadi" w:cs="Arial"/>
          <w:iCs/>
          <w:sz w:val="21"/>
          <w:szCs w:val="21"/>
        </w:rPr>
        <w:lastRenderedPageBreak/>
        <w:tab/>
        <w:t>Analizada la iniciativa de referencia, con fundamento en lo dispuesto en los artículos 75, 89, fracción V, 112, fracción VI y 171 de la Ley Orgánica del Poder Legislativo, nos permitimos rendir el presente dictamen con base en las siguientes:</w:t>
      </w:r>
    </w:p>
    <w:p w14:paraId="6C1ED28C" w14:textId="77777777" w:rsidR="008F4A58" w:rsidRPr="008F4A58" w:rsidRDefault="008F4A58" w:rsidP="008F4A58">
      <w:pPr>
        <w:keepNext/>
        <w:jc w:val="center"/>
        <w:outlineLvl w:val="0"/>
        <w:rPr>
          <w:rFonts w:ascii="Abadi" w:hAnsi="Abadi" w:cs="Arial"/>
          <w:b/>
          <w:iCs/>
          <w:sz w:val="21"/>
          <w:szCs w:val="21"/>
        </w:rPr>
      </w:pPr>
    </w:p>
    <w:p w14:paraId="758034F3" w14:textId="77777777" w:rsidR="008F4A58" w:rsidRPr="008F4A58" w:rsidRDefault="008F4A58" w:rsidP="008F4A58">
      <w:pPr>
        <w:keepNext/>
        <w:spacing w:line="360" w:lineRule="auto"/>
        <w:jc w:val="center"/>
        <w:outlineLvl w:val="0"/>
        <w:rPr>
          <w:rFonts w:ascii="Abadi" w:hAnsi="Abadi" w:cs="Arial"/>
          <w:b/>
          <w:iCs/>
          <w:sz w:val="21"/>
          <w:szCs w:val="21"/>
        </w:rPr>
      </w:pPr>
      <w:r w:rsidRPr="008F4A58">
        <w:rPr>
          <w:rFonts w:ascii="Abadi" w:hAnsi="Abadi" w:cs="Arial"/>
          <w:b/>
          <w:iCs/>
          <w:sz w:val="21"/>
          <w:szCs w:val="21"/>
        </w:rPr>
        <w:t>C O N S I D E R A C I O N E S</w:t>
      </w:r>
    </w:p>
    <w:p w14:paraId="527C444A" w14:textId="77777777" w:rsidR="008F4A58" w:rsidRPr="008F4A58" w:rsidRDefault="008F4A58" w:rsidP="008F4A58">
      <w:pPr>
        <w:rPr>
          <w:rFonts w:ascii="Abadi" w:hAnsi="Abadi"/>
          <w:sz w:val="21"/>
          <w:szCs w:val="21"/>
        </w:rPr>
      </w:pPr>
    </w:p>
    <w:p w14:paraId="0454A806" w14:textId="77777777" w:rsidR="008F4A58" w:rsidRPr="008F4A58" w:rsidRDefault="008F4A58" w:rsidP="008F4A58">
      <w:pPr>
        <w:spacing w:line="360" w:lineRule="auto"/>
        <w:jc w:val="both"/>
        <w:rPr>
          <w:rFonts w:ascii="Abadi" w:hAnsi="Abadi" w:cs="Arial"/>
          <w:b/>
          <w:bCs/>
          <w:iCs/>
          <w:sz w:val="21"/>
          <w:szCs w:val="21"/>
        </w:rPr>
      </w:pPr>
      <w:r w:rsidRPr="008F4A58">
        <w:rPr>
          <w:rFonts w:ascii="Abadi" w:hAnsi="Abadi" w:cs="Arial"/>
          <w:iCs/>
          <w:sz w:val="21"/>
          <w:szCs w:val="21"/>
        </w:rPr>
        <w:tab/>
      </w:r>
      <w:r w:rsidRPr="008F4A58">
        <w:rPr>
          <w:rFonts w:ascii="Abadi" w:hAnsi="Abadi" w:cs="Arial"/>
          <w:b/>
          <w:bCs/>
          <w:iCs/>
          <w:sz w:val="21"/>
          <w:szCs w:val="21"/>
        </w:rPr>
        <w:t>I.</w:t>
      </w:r>
      <w:r w:rsidRPr="008F4A58">
        <w:rPr>
          <w:rFonts w:ascii="Abadi" w:hAnsi="Abadi" w:cs="Arial"/>
          <w:b/>
          <w:bCs/>
          <w:iCs/>
          <w:sz w:val="21"/>
          <w:szCs w:val="21"/>
        </w:rPr>
        <w:tab/>
        <w:t>Antecedentes</w:t>
      </w:r>
    </w:p>
    <w:p w14:paraId="3EBE9930" w14:textId="77777777" w:rsidR="008F4A58" w:rsidRPr="008F4A58" w:rsidRDefault="008F4A58" w:rsidP="008F4A58">
      <w:pPr>
        <w:jc w:val="both"/>
        <w:rPr>
          <w:rFonts w:ascii="Abadi" w:hAnsi="Abadi" w:cs="Arial"/>
          <w:b/>
          <w:bCs/>
          <w:iCs/>
          <w:sz w:val="21"/>
          <w:szCs w:val="21"/>
        </w:rPr>
      </w:pPr>
    </w:p>
    <w:p w14:paraId="3107AA51" w14:textId="77777777" w:rsidR="008F4A58" w:rsidRPr="008F4A58" w:rsidRDefault="008F4A58" w:rsidP="008F4A58">
      <w:pPr>
        <w:spacing w:line="360" w:lineRule="auto"/>
        <w:ind w:firstLine="708"/>
        <w:jc w:val="both"/>
        <w:rPr>
          <w:rFonts w:ascii="Abadi" w:hAnsi="Abadi" w:cs="Arial"/>
          <w:iCs/>
          <w:sz w:val="21"/>
          <w:szCs w:val="21"/>
        </w:rPr>
      </w:pPr>
      <w:r w:rsidRPr="008F4A58">
        <w:rPr>
          <w:rFonts w:ascii="Abadi" w:hAnsi="Abadi" w:cs="Arial"/>
          <w:iCs/>
          <w:sz w:val="21"/>
          <w:szCs w:val="21"/>
        </w:rPr>
        <w:t xml:space="preserve">El ayuntamiento de Apaseo el Grande, Gto., en la sesión ordinaria número 11 celebrada el 13 de diciembre de 2021, aprobó por unanimidad realizar las gestiones ante el Congreso del Estado para solicitar la autorización de contratación de uno o varios financiamientos hasta por un monto de $15'000,000.00 (quince millones de pesos 00/100 m.n.), sin incluir en dicho monto accesorios financiaros y comisiones, pagaderos en moneda y territorio nacionales, cuyos recursos se destinarán precisa y exclusivamente a los siguientes proyectos de inversión pública productiva: a) </w:t>
      </w:r>
      <w:r w:rsidRPr="008F4A58">
        <w:rPr>
          <w:rFonts w:ascii="Abadi" w:hAnsi="Abadi" w:cs="Arial"/>
          <w:sz w:val="21"/>
          <w:szCs w:val="21"/>
        </w:rPr>
        <w:t xml:space="preserve">Construcción de parque recreativo y adquisición de bienes asociados al equipamiento en Colonia El Guadalupano 1ra. sección (1era. etapa) en cabecera municipal, en el municipio de Apaseo el Grande, Guanajuato; b) Rehabilitación de parque recreativo y adquisición de bienes asociados al equipamiento en colonia El Pedregal, en cabecera municipal, en el municipio de Apaseo el Grande, Guanajuato; c) Construcción de parque público y adquisición de bienes asociados al equipamiento en colonia El Molino de arriba (2da. etapa) en cabecera municipal, en el municipio de Apaseo el Grande, Guanajuato; d) Rehabilitación de parque recreativo y adquisición de bienes asociados al </w:t>
      </w:r>
      <w:r w:rsidRPr="008F4A58">
        <w:rPr>
          <w:rFonts w:ascii="Abadi" w:hAnsi="Abadi" w:cs="Arial"/>
          <w:sz w:val="21"/>
          <w:szCs w:val="21"/>
        </w:rPr>
        <w:t>equipamiento en la colonia El Cerrito, en el municipio de Apaseo el Grande, Guanajuato; e) Construcción de parque recreativo y adquisición de bienes asociados al equipamiento en la colonia La Villita (1er. etapa) en el municipio de Apaseo el Grande, Guanajuato; f) Rehabilitación de cancha de usos múltiples en la colonia La Fundación, en el municipio de Apaseo el Grande, Guanajuato; g) Rehabilitación de parque recreativo y adquisición de bienes asociados al equipamiento en Casa de la Cultura Antonio Plaza, cabecera municipal, en el municipio de Apaseo el Grande, Guanajuato; h) Construcción de parque recreativo y adquisición de bienes asociados al equipamiento en la comunidad de La Labor, en el municipio de Apaseo el Grande, Guanajuato; i) Construcción de cancha de bateo y dugouts para campo de beisbol de prácticas, en la localidad de Punta de Obrajuelo, en el municipio de Apaseo el Grande, Guanajuato; j) Construcción de 40 parabuses en cabecera municipal y varias comunidades, en el municipio de Apaseo el Grande, Guanajuato; k) Construcción de descanso y cubierta metálica en el panteón municipal, en el municipio de Apaseo el Grande, Guanajuato; l) Interconexión de la red de drenaje sanitario calle constituyentes (tramo Unideg­Ignacio Allende y tramo Casas Blancas-Rancho la Concepción), en el municipio d</w:t>
      </w:r>
      <w:r w:rsidRPr="008F4A58">
        <w:rPr>
          <w:rFonts w:ascii="Abadi" w:hAnsi="Abadi" w:cs="Arial"/>
          <w:iCs/>
          <w:sz w:val="21"/>
          <w:szCs w:val="21"/>
        </w:rPr>
        <w:t>e Apaseo el Grande, Guanajuato; y m) Rehabilitación de calle Prolongación San Luis Montañez a base de carpeta asfáltica, en el municipio de Apaseo el Grande, Guanajuato.</w:t>
      </w:r>
    </w:p>
    <w:p w14:paraId="0E1DC423" w14:textId="77777777" w:rsidR="008F4A58" w:rsidRPr="008F4A58" w:rsidRDefault="008F4A58" w:rsidP="008F4A58">
      <w:pPr>
        <w:spacing w:line="360" w:lineRule="auto"/>
        <w:ind w:firstLine="708"/>
        <w:jc w:val="both"/>
        <w:rPr>
          <w:rFonts w:ascii="Abadi" w:hAnsi="Abadi" w:cs="Arial"/>
          <w:iCs/>
          <w:sz w:val="21"/>
          <w:szCs w:val="21"/>
        </w:rPr>
      </w:pPr>
    </w:p>
    <w:p w14:paraId="26FA3CF8" w14:textId="77777777" w:rsidR="008F4A58" w:rsidRPr="008F4A58" w:rsidRDefault="008F4A58" w:rsidP="008F4A58">
      <w:pPr>
        <w:spacing w:line="360" w:lineRule="auto"/>
        <w:ind w:firstLine="708"/>
        <w:jc w:val="both"/>
        <w:rPr>
          <w:rFonts w:ascii="Abadi" w:hAnsi="Abadi" w:cs="Arial"/>
          <w:iCs/>
          <w:sz w:val="21"/>
          <w:szCs w:val="21"/>
        </w:rPr>
      </w:pPr>
      <w:r w:rsidRPr="008F4A58">
        <w:rPr>
          <w:rFonts w:ascii="Abadi" w:hAnsi="Abadi" w:cs="Arial"/>
          <w:iCs/>
          <w:sz w:val="21"/>
          <w:szCs w:val="21"/>
        </w:rPr>
        <w:t xml:space="preserve">También, se acordaron los términos y condiciones de los endeudamientos, que se cubrirán en un plazo máximo de hasta 10 años, </w:t>
      </w:r>
      <w:r w:rsidRPr="008F4A58">
        <w:rPr>
          <w:rFonts w:ascii="Abadi" w:hAnsi="Abadi" w:cs="Arial"/>
          <w:iCs/>
          <w:sz w:val="21"/>
          <w:szCs w:val="21"/>
        </w:rPr>
        <w:lastRenderedPageBreak/>
        <w:t>contados a partir de la primera disposición y con una vigencia de autorización para su contratación hasta el 31 de diciembre del ejercicio fiscal 2022; autorizándose como fuente o garantía de pago de las obligaciones derivadas de la contratación de los financiamientos, la afectación del porcentaje necesario y suficiente de los recursos presentes o futuros o aquellos que tenga derecho a percibir el municipio de Apaseo el Grande, Gto., por concepto de Fondo General de Participaciones, aportaciones federales susceptibles de afectación o ingresos propios en términos de los ordenamientos aplicables, estableciendo el mecanismo legal que sea conveniente para ello.</w:t>
      </w:r>
    </w:p>
    <w:p w14:paraId="6901D028" w14:textId="77777777" w:rsidR="008F4A58" w:rsidRPr="008F4A58" w:rsidRDefault="008F4A58" w:rsidP="008F4A58">
      <w:pPr>
        <w:spacing w:line="360" w:lineRule="auto"/>
        <w:ind w:firstLine="708"/>
        <w:jc w:val="both"/>
        <w:rPr>
          <w:rFonts w:ascii="Abadi" w:hAnsi="Abadi" w:cs="Arial"/>
          <w:iCs/>
          <w:sz w:val="21"/>
          <w:szCs w:val="21"/>
        </w:rPr>
      </w:pPr>
    </w:p>
    <w:p w14:paraId="059B751D" w14:textId="77777777" w:rsidR="008F4A58" w:rsidRPr="008F4A58" w:rsidRDefault="008F4A58" w:rsidP="008F4A58">
      <w:pPr>
        <w:spacing w:line="360" w:lineRule="auto"/>
        <w:ind w:firstLine="708"/>
        <w:jc w:val="both"/>
        <w:rPr>
          <w:rFonts w:ascii="Abadi" w:hAnsi="Abadi" w:cs="Arial"/>
          <w:iCs/>
          <w:sz w:val="21"/>
          <w:szCs w:val="21"/>
        </w:rPr>
      </w:pPr>
      <w:r w:rsidRPr="008F4A58">
        <w:rPr>
          <w:rFonts w:ascii="Abadi" w:hAnsi="Abadi" w:cs="Arial"/>
          <w:iCs/>
          <w:sz w:val="21"/>
          <w:szCs w:val="21"/>
        </w:rPr>
        <w:t>En dicha sesión también se aprobó el Programa Financiero Anual 2022 para el municipio de Apaseo el Grande, Gto.</w:t>
      </w:r>
    </w:p>
    <w:p w14:paraId="37E88033" w14:textId="77777777" w:rsidR="008F4A58" w:rsidRPr="008F4A58" w:rsidRDefault="008F4A58" w:rsidP="008F4A58">
      <w:pPr>
        <w:spacing w:line="360" w:lineRule="auto"/>
        <w:ind w:firstLine="708"/>
        <w:jc w:val="both"/>
        <w:rPr>
          <w:rFonts w:ascii="Abadi" w:hAnsi="Abadi" w:cs="Arial"/>
          <w:iCs/>
          <w:sz w:val="21"/>
          <w:szCs w:val="21"/>
        </w:rPr>
      </w:pPr>
    </w:p>
    <w:p w14:paraId="6D8AF3E0" w14:textId="77777777" w:rsidR="008F4A58" w:rsidRPr="008F4A58" w:rsidRDefault="008F4A58" w:rsidP="008F4A58">
      <w:pPr>
        <w:spacing w:line="360" w:lineRule="auto"/>
        <w:jc w:val="both"/>
        <w:rPr>
          <w:rFonts w:ascii="Abadi" w:hAnsi="Abadi" w:cs="Arial"/>
          <w:iCs/>
          <w:sz w:val="21"/>
          <w:szCs w:val="21"/>
        </w:rPr>
      </w:pPr>
      <w:r w:rsidRPr="008F4A58">
        <w:rPr>
          <w:rFonts w:ascii="Abadi" w:hAnsi="Abadi" w:cs="Arial"/>
          <w:iCs/>
          <w:sz w:val="21"/>
          <w:szCs w:val="21"/>
        </w:rPr>
        <w:tab/>
        <w:t>Dicha iniciativa se turnó a esta Comisión de Hacienda y Fiscalización el 26 de enero de 2022 para efectos de su estudio y dictamen, siendo radicada el 1 de febrero del año en curso.</w:t>
      </w:r>
    </w:p>
    <w:p w14:paraId="06BABFEE" w14:textId="77777777" w:rsidR="008F4A58" w:rsidRPr="008F4A58" w:rsidRDefault="008F4A58" w:rsidP="008F4A58">
      <w:pPr>
        <w:spacing w:line="360" w:lineRule="auto"/>
        <w:ind w:firstLine="708"/>
        <w:jc w:val="both"/>
        <w:rPr>
          <w:rFonts w:ascii="Abadi" w:hAnsi="Abadi" w:cs="Arial"/>
          <w:iCs/>
          <w:sz w:val="21"/>
          <w:szCs w:val="21"/>
        </w:rPr>
      </w:pPr>
    </w:p>
    <w:p w14:paraId="4561C223" w14:textId="77777777" w:rsidR="008F4A58" w:rsidRPr="008F4A58" w:rsidRDefault="008F4A58" w:rsidP="008F4A58">
      <w:pPr>
        <w:spacing w:line="360" w:lineRule="auto"/>
        <w:ind w:firstLine="708"/>
        <w:jc w:val="both"/>
        <w:rPr>
          <w:rFonts w:ascii="Abadi" w:hAnsi="Abadi" w:cs="Arial"/>
          <w:iCs/>
          <w:sz w:val="21"/>
          <w:szCs w:val="21"/>
        </w:rPr>
      </w:pPr>
      <w:r w:rsidRPr="008F4A58">
        <w:rPr>
          <w:rFonts w:ascii="Abadi" w:hAnsi="Abadi" w:cs="Arial"/>
          <w:iCs/>
          <w:sz w:val="21"/>
          <w:szCs w:val="21"/>
        </w:rPr>
        <w:t>A la iniciativa se anexó la siguiente documentación:</w:t>
      </w:r>
    </w:p>
    <w:p w14:paraId="526186CA" w14:textId="77777777" w:rsidR="008F4A58" w:rsidRPr="008F4A58" w:rsidRDefault="008F4A58" w:rsidP="008F4A58">
      <w:pPr>
        <w:jc w:val="both"/>
        <w:rPr>
          <w:rFonts w:ascii="Abadi" w:hAnsi="Abadi" w:cs="Arial"/>
          <w:iCs/>
          <w:sz w:val="21"/>
          <w:szCs w:val="21"/>
        </w:rPr>
      </w:pPr>
    </w:p>
    <w:p w14:paraId="027CD791" w14:textId="77777777" w:rsidR="008F4A58" w:rsidRPr="008F4A58" w:rsidRDefault="008F4A58" w:rsidP="00B81728">
      <w:pPr>
        <w:numPr>
          <w:ilvl w:val="0"/>
          <w:numId w:val="28"/>
        </w:numPr>
        <w:spacing w:line="360" w:lineRule="auto"/>
        <w:jc w:val="both"/>
        <w:rPr>
          <w:rFonts w:ascii="Abadi" w:hAnsi="Abadi" w:cs="Arial"/>
          <w:iCs/>
          <w:sz w:val="21"/>
          <w:szCs w:val="21"/>
        </w:rPr>
      </w:pPr>
      <w:r w:rsidRPr="008F4A58">
        <w:rPr>
          <w:rFonts w:ascii="Abadi" w:hAnsi="Abadi" w:cs="Arial"/>
          <w:iCs/>
          <w:sz w:val="21"/>
          <w:szCs w:val="21"/>
        </w:rPr>
        <w:t xml:space="preserve">Copia certificada del acta número once de la sesión ordinaria celebrada por el ayuntamiento de Apaseo el Grande, Gto., el 13 de diciembre de 2021, en la que consta la autorización para la contratación de uno o varios financiamientos hasta por un monto de $15'000,000.00 (quince millones de pesos 00/100 m.n.), sin incluir en dicho monto accesorios financiaros y </w:t>
      </w:r>
      <w:r w:rsidRPr="008F4A58">
        <w:rPr>
          <w:rFonts w:ascii="Abadi" w:hAnsi="Abadi" w:cs="Arial"/>
          <w:iCs/>
          <w:sz w:val="21"/>
          <w:szCs w:val="21"/>
        </w:rPr>
        <w:t>comisiones, pagaderos en moneda y territorio nacionales, cuyos recursos se destinarán precisa y exclusivamente a los 13 proyectos de inversión pública productiva referidos previamente.</w:t>
      </w:r>
    </w:p>
    <w:p w14:paraId="0A668389" w14:textId="77777777" w:rsidR="008F4A58" w:rsidRPr="008F4A58" w:rsidRDefault="008F4A58" w:rsidP="008F4A58">
      <w:pPr>
        <w:spacing w:line="360" w:lineRule="auto"/>
        <w:ind w:left="720"/>
        <w:jc w:val="both"/>
        <w:rPr>
          <w:rFonts w:ascii="Abadi" w:hAnsi="Abadi" w:cs="Arial"/>
          <w:iCs/>
          <w:sz w:val="21"/>
          <w:szCs w:val="21"/>
        </w:rPr>
      </w:pPr>
    </w:p>
    <w:p w14:paraId="19D0D88B" w14:textId="77777777" w:rsidR="008F4A58" w:rsidRPr="008F4A58" w:rsidRDefault="008F4A58" w:rsidP="00B81728">
      <w:pPr>
        <w:numPr>
          <w:ilvl w:val="0"/>
          <w:numId w:val="28"/>
        </w:numPr>
        <w:spacing w:line="360" w:lineRule="auto"/>
        <w:jc w:val="both"/>
        <w:rPr>
          <w:rFonts w:ascii="Abadi" w:hAnsi="Abadi" w:cs="Arial"/>
          <w:iCs/>
          <w:sz w:val="21"/>
          <w:szCs w:val="21"/>
        </w:rPr>
      </w:pPr>
      <w:r w:rsidRPr="008F4A58">
        <w:rPr>
          <w:rFonts w:ascii="Abadi" w:hAnsi="Abadi" w:cs="Arial"/>
          <w:iCs/>
          <w:sz w:val="21"/>
          <w:szCs w:val="21"/>
        </w:rPr>
        <w:t>Copia del Periódico Oficial del Gobierno del Estado de Guanajuato número 74, segunda parte, de fecha 14 de abril de 2021, en el que se publicó el pronóstico de ingresos y presupuesto de egresos del ejercicio fiscal 2021 del municipio de Apaseo el Grande, Guanajuato.</w:t>
      </w:r>
    </w:p>
    <w:p w14:paraId="7C1018AF" w14:textId="77777777" w:rsidR="008F4A58" w:rsidRPr="008F4A58" w:rsidRDefault="008F4A58" w:rsidP="008F4A58">
      <w:pPr>
        <w:ind w:left="708"/>
        <w:rPr>
          <w:rFonts w:ascii="Abadi" w:hAnsi="Abadi" w:cs="Arial"/>
          <w:iCs/>
          <w:sz w:val="21"/>
          <w:szCs w:val="21"/>
        </w:rPr>
      </w:pPr>
    </w:p>
    <w:p w14:paraId="108FFE7B" w14:textId="77777777" w:rsidR="008F4A58" w:rsidRPr="008F4A58" w:rsidRDefault="008F4A58" w:rsidP="00B81728">
      <w:pPr>
        <w:numPr>
          <w:ilvl w:val="0"/>
          <w:numId w:val="28"/>
        </w:numPr>
        <w:spacing w:line="360" w:lineRule="auto"/>
        <w:jc w:val="both"/>
        <w:rPr>
          <w:rFonts w:ascii="Abadi" w:hAnsi="Abadi" w:cs="Arial"/>
          <w:iCs/>
          <w:sz w:val="21"/>
          <w:szCs w:val="21"/>
        </w:rPr>
      </w:pPr>
      <w:r w:rsidRPr="008F4A58">
        <w:rPr>
          <w:rFonts w:ascii="Abadi" w:hAnsi="Abadi" w:cs="Arial"/>
          <w:iCs/>
          <w:sz w:val="21"/>
          <w:szCs w:val="21"/>
        </w:rPr>
        <w:t>Copia del Periódico Oficial del Gobierno del Estado de Guanajuato número 108, segunda parte, de fecha 1 de junio de 2021, en el que se publicó el acuerdo mediante el cual se aprobó la segunda modificación de ingresos y presupuesto de egresos del ejercicio fiscal 2021 del municipio de Apaseo el Grande, Guanajuato; así como las Disposiciones Administrativas de Cobro del Municipio de Apaseo el Grande, Guanajuato, para el ejercicio fiscal 2021.</w:t>
      </w:r>
    </w:p>
    <w:p w14:paraId="7F226B27" w14:textId="77777777" w:rsidR="008F4A58" w:rsidRPr="008F4A58" w:rsidRDefault="008F4A58" w:rsidP="008F4A58">
      <w:pPr>
        <w:ind w:left="708"/>
        <w:rPr>
          <w:rFonts w:ascii="Abadi" w:hAnsi="Abadi" w:cs="Arial"/>
          <w:iCs/>
          <w:sz w:val="21"/>
          <w:szCs w:val="21"/>
        </w:rPr>
      </w:pPr>
    </w:p>
    <w:p w14:paraId="6675B964" w14:textId="77777777" w:rsidR="008F4A58" w:rsidRPr="008F4A58" w:rsidRDefault="008F4A58" w:rsidP="00B81728">
      <w:pPr>
        <w:numPr>
          <w:ilvl w:val="0"/>
          <w:numId w:val="28"/>
        </w:numPr>
        <w:spacing w:line="360" w:lineRule="auto"/>
        <w:jc w:val="both"/>
        <w:rPr>
          <w:rFonts w:ascii="Abadi" w:hAnsi="Abadi" w:cs="Arial"/>
          <w:iCs/>
          <w:sz w:val="21"/>
          <w:szCs w:val="21"/>
        </w:rPr>
      </w:pPr>
      <w:r w:rsidRPr="008F4A58">
        <w:rPr>
          <w:rFonts w:ascii="Abadi" w:hAnsi="Abadi" w:cs="Arial"/>
          <w:iCs/>
          <w:sz w:val="21"/>
          <w:szCs w:val="21"/>
        </w:rPr>
        <w:t>Programa Financiero Anual para el Ejercicio 2022.</w:t>
      </w:r>
    </w:p>
    <w:p w14:paraId="4D5625D7" w14:textId="77777777" w:rsidR="008F4A58" w:rsidRPr="008F4A58" w:rsidRDefault="008F4A58" w:rsidP="008F4A58">
      <w:pPr>
        <w:ind w:left="708"/>
        <w:rPr>
          <w:rFonts w:ascii="Abadi" w:hAnsi="Abadi" w:cs="Arial"/>
          <w:iCs/>
          <w:sz w:val="21"/>
          <w:szCs w:val="21"/>
        </w:rPr>
      </w:pPr>
    </w:p>
    <w:p w14:paraId="7CF69440" w14:textId="77777777" w:rsidR="008F4A58" w:rsidRPr="008F4A58" w:rsidRDefault="008F4A58" w:rsidP="00B81728">
      <w:pPr>
        <w:numPr>
          <w:ilvl w:val="0"/>
          <w:numId w:val="28"/>
        </w:numPr>
        <w:spacing w:line="360" w:lineRule="auto"/>
        <w:jc w:val="both"/>
        <w:rPr>
          <w:rFonts w:ascii="Abadi" w:hAnsi="Abadi" w:cs="Arial"/>
          <w:iCs/>
          <w:sz w:val="21"/>
          <w:szCs w:val="21"/>
        </w:rPr>
      </w:pPr>
      <w:r w:rsidRPr="008F4A58">
        <w:rPr>
          <w:rFonts w:ascii="Abadi" w:hAnsi="Abadi" w:cs="Arial"/>
          <w:iCs/>
          <w:sz w:val="21"/>
          <w:szCs w:val="21"/>
        </w:rPr>
        <w:t>Corrida financiera proyectada a 120 meses.</w:t>
      </w:r>
    </w:p>
    <w:p w14:paraId="1AA251B7" w14:textId="77777777" w:rsidR="008F4A58" w:rsidRPr="008F4A58" w:rsidRDefault="008F4A58" w:rsidP="008F4A58">
      <w:pPr>
        <w:spacing w:line="360" w:lineRule="auto"/>
        <w:ind w:left="720"/>
        <w:jc w:val="both"/>
        <w:rPr>
          <w:rFonts w:ascii="Abadi" w:hAnsi="Abadi" w:cs="Arial"/>
          <w:iCs/>
          <w:sz w:val="21"/>
          <w:szCs w:val="21"/>
        </w:rPr>
      </w:pPr>
    </w:p>
    <w:p w14:paraId="602593B3" w14:textId="77777777" w:rsidR="008F4A58" w:rsidRPr="008F4A58" w:rsidRDefault="008F4A58" w:rsidP="00B81728">
      <w:pPr>
        <w:numPr>
          <w:ilvl w:val="0"/>
          <w:numId w:val="28"/>
        </w:numPr>
        <w:spacing w:line="360" w:lineRule="auto"/>
        <w:jc w:val="both"/>
        <w:rPr>
          <w:rFonts w:ascii="Abadi" w:hAnsi="Abadi" w:cs="Arial"/>
          <w:iCs/>
          <w:sz w:val="21"/>
          <w:szCs w:val="21"/>
        </w:rPr>
      </w:pPr>
      <w:r w:rsidRPr="008F4A58">
        <w:rPr>
          <w:rFonts w:ascii="Abadi" w:hAnsi="Abadi" w:cs="Arial"/>
          <w:iCs/>
          <w:sz w:val="21"/>
          <w:szCs w:val="21"/>
        </w:rPr>
        <w:t>Criterios de Racionalidad, Austeridad y Disciplina Presupuestal para el Ejercicio Fiscal 2021 para la Administración Pública Municipal de Apaseo el Grande, Gto.</w:t>
      </w:r>
    </w:p>
    <w:p w14:paraId="1CA0190A" w14:textId="77777777" w:rsidR="008F4A58" w:rsidRPr="008F4A58" w:rsidRDefault="008F4A58" w:rsidP="008F4A58">
      <w:pPr>
        <w:ind w:left="708"/>
        <w:rPr>
          <w:rFonts w:ascii="Abadi" w:hAnsi="Abadi" w:cs="Arial"/>
          <w:iCs/>
          <w:sz w:val="21"/>
          <w:szCs w:val="21"/>
        </w:rPr>
      </w:pPr>
    </w:p>
    <w:p w14:paraId="44ED5466" w14:textId="77777777" w:rsidR="008F4A58" w:rsidRPr="008F4A58" w:rsidRDefault="008F4A58" w:rsidP="00B81728">
      <w:pPr>
        <w:numPr>
          <w:ilvl w:val="0"/>
          <w:numId w:val="28"/>
        </w:numPr>
        <w:spacing w:line="360" w:lineRule="auto"/>
        <w:jc w:val="both"/>
        <w:rPr>
          <w:rFonts w:ascii="Abadi" w:hAnsi="Abadi" w:cs="Arial"/>
          <w:iCs/>
          <w:sz w:val="21"/>
          <w:szCs w:val="21"/>
        </w:rPr>
      </w:pPr>
      <w:r w:rsidRPr="008F4A58">
        <w:rPr>
          <w:rFonts w:ascii="Abadi" w:hAnsi="Abadi" w:cs="Arial"/>
          <w:iCs/>
          <w:sz w:val="21"/>
          <w:szCs w:val="21"/>
        </w:rPr>
        <w:t>Los proyectos de las obras a realizar con los recursos de los financiamientos.</w:t>
      </w:r>
    </w:p>
    <w:p w14:paraId="5FCB96A2" w14:textId="77777777" w:rsidR="008F4A58" w:rsidRPr="008F4A58" w:rsidRDefault="008F4A58" w:rsidP="008F4A58">
      <w:pPr>
        <w:ind w:left="708"/>
        <w:rPr>
          <w:rFonts w:ascii="Abadi" w:hAnsi="Abadi" w:cs="Arial"/>
          <w:iCs/>
          <w:sz w:val="21"/>
          <w:szCs w:val="21"/>
        </w:rPr>
      </w:pPr>
    </w:p>
    <w:p w14:paraId="205EACEE" w14:textId="77777777" w:rsidR="008F4A58" w:rsidRPr="008F4A58" w:rsidRDefault="008F4A58" w:rsidP="00B81728">
      <w:pPr>
        <w:numPr>
          <w:ilvl w:val="0"/>
          <w:numId w:val="28"/>
        </w:numPr>
        <w:spacing w:line="360" w:lineRule="auto"/>
        <w:jc w:val="both"/>
        <w:rPr>
          <w:rFonts w:ascii="Abadi" w:hAnsi="Abadi" w:cs="Arial"/>
          <w:iCs/>
          <w:sz w:val="21"/>
          <w:szCs w:val="21"/>
        </w:rPr>
      </w:pPr>
      <w:r w:rsidRPr="008F4A58">
        <w:rPr>
          <w:rFonts w:ascii="Abadi" w:hAnsi="Abadi" w:cs="Arial"/>
          <w:sz w:val="21"/>
          <w:szCs w:val="21"/>
        </w:rPr>
        <w:t>Formatos 7 a, que contiene las proyecciones de ingresos y 7 c, referido a los resultados de ingresos, previstos por la Ley de Disciplina Financiera de las Entidades Federativas y los Municipios</w:t>
      </w:r>
      <w:r w:rsidRPr="008F4A58">
        <w:rPr>
          <w:rFonts w:ascii="Abadi" w:hAnsi="Abadi" w:cs="Arial"/>
          <w:iCs/>
          <w:sz w:val="21"/>
          <w:szCs w:val="21"/>
        </w:rPr>
        <w:t>.</w:t>
      </w:r>
    </w:p>
    <w:p w14:paraId="6B1CE566" w14:textId="77777777" w:rsidR="008F4A58" w:rsidRPr="008F4A58" w:rsidRDefault="008F4A58" w:rsidP="008F4A58">
      <w:pPr>
        <w:spacing w:line="360" w:lineRule="auto"/>
        <w:jc w:val="both"/>
        <w:rPr>
          <w:rFonts w:ascii="Abadi" w:hAnsi="Abadi" w:cs="Arial"/>
          <w:iCs/>
          <w:sz w:val="21"/>
          <w:szCs w:val="21"/>
        </w:rPr>
      </w:pPr>
    </w:p>
    <w:p w14:paraId="4E996A12" w14:textId="77777777" w:rsidR="008F4A58" w:rsidRPr="008F4A58" w:rsidRDefault="008F4A58" w:rsidP="00B81728">
      <w:pPr>
        <w:numPr>
          <w:ilvl w:val="0"/>
          <w:numId w:val="28"/>
        </w:numPr>
        <w:spacing w:line="360" w:lineRule="auto"/>
        <w:jc w:val="both"/>
        <w:rPr>
          <w:rFonts w:ascii="Abadi" w:hAnsi="Abadi" w:cs="Arial"/>
          <w:iCs/>
          <w:sz w:val="21"/>
          <w:szCs w:val="21"/>
        </w:rPr>
      </w:pPr>
      <w:r w:rsidRPr="008F4A58">
        <w:rPr>
          <w:rFonts w:ascii="Abadi" w:hAnsi="Abadi" w:cs="Arial"/>
          <w:iCs/>
          <w:sz w:val="21"/>
          <w:szCs w:val="21"/>
        </w:rPr>
        <w:t xml:space="preserve">Copia del oficio suscrito por el presidente municipal y la secretaria del ayuntamiento de Apaseo el Grande, Gto., por el que le informaron al Secretario de Finanzas, Inversión y Administración del Estado que el Ayuntamiento acordó la contratación de financiamientos hasta por la cantidad de $15'000,000.00 (quince millones de pesos 00/100 M.N.) para destinarlos a proyectos de inversión en obra pública con un plazo a 10 años, otorgando en garantía los recursos del Fondo General de Participaciones; solicitándole la afectación de las participaciones que en ingresos federales le correspondan al Municipio, para garantizar el pago total del crédito o créditos hasta su vencimiento y, en su caso, las demás obligaciones contraídas por el Municipio bajo ese mismo concepto. </w:t>
      </w:r>
    </w:p>
    <w:p w14:paraId="6E8723A8" w14:textId="77777777" w:rsidR="008F4A58" w:rsidRPr="008F4A58" w:rsidRDefault="008F4A58" w:rsidP="008F4A58">
      <w:pPr>
        <w:ind w:left="708"/>
        <w:rPr>
          <w:rFonts w:ascii="Abadi" w:hAnsi="Abadi" w:cs="Arial"/>
          <w:iCs/>
          <w:sz w:val="21"/>
          <w:szCs w:val="21"/>
        </w:rPr>
      </w:pPr>
    </w:p>
    <w:p w14:paraId="516FCC2E" w14:textId="77777777" w:rsidR="008F4A58" w:rsidRPr="008F4A58" w:rsidRDefault="008F4A58" w:rsidP="00B81728">
      <w:pPr>
        <w:numPr>
          <w:ilvl w:val="0"/>
          <w:numId w:val="28"/>
        </w:numPr>
        <w:spacing w:line="360" w:lineRule="auto"/>
        <w:jc w:val="both"/>
        <w:rPr>
          <w:rFonts w:ascii="Abadi" w:hAnsi="Abadi" w:cs="Arial"/>
          <w:iCs/>
          <w:sz w:val="21"/>
          <w:szCs w:val="21"/>
        </w:rPr>
      </w:pPr>
      <w:r w:rsidRPr="008F4A58">
        <w:rPr>
          <w:rFonts w:ascii="Abadi" w:hAnsi="Abadi" w:cs="Arial"/>
          <w:iCs/>
          <w:sz w:val="21"/>
          <w:szCs w:val="21"/>
        </w:rPr>
        <w:t>Copia del oficio mediante el cual el presidente municipal de Apaseo el Grande, Gto., le solicita al Auditor Superior del Estado</w:t>
      </w:r>
      <w:r w:rsidRPr="008F4A58">
        <w:rPr>
          <w:rFonts w:ascii="Abadi" w:hAnsi="Abadi"/>
          <w:sz w:val="21"/>
          <w:szCs w:val="21"/>
        </w:rPr>
        <w:t xml:space="preserve"> </w:t>
      </w:r>
      <w:r w:rsidRPr="008F4A58">
        <w:rPr>
          <w:rFonts w:ascii="Abadi" w:hAnsi="Abadi" w:cs="Arial"/>
          <w:iCs/>
          <w:sz w:val="21"/>
          <w:szCs w:val="21"/>
        </w:rPr>
        <w:t xml:space="preserve">la opinión técnica en los términos del artículo 51 de la Ley de Disciplina Financiera de las Entidades </w:t>
      </w:r>
      <w:r w:rsidRPr="008F4A58">
        <w:rPr>
          <w:rFonts w:ascii="Abadi" w:hAnsi="Abadi" w:cs="Arial"/>
          <w:iCs/>
          <w:sz w:val="21"/>
          <w:szCs w:val="21"/>
        </w:rPr>
        <w:t>Federativas y los Municipios, en relación a la publicación de la información financiera del Municipio de acuerdo con las disposiciones de la Ley General de Contabilidad Gubernamental y las normas expedidas por el Consejo Nacional de Armonización Contable.</w:t>
      </w:r>
    </w:p>
    <w:p w14:paraId="48F8ED22" w14:textId="77777777" w:rsidR="008F4A58" w:rsidRPr="008F4A58" w:rsidRDefault="008F4A58" w:rsidP="008F4A58">
      <w:pPr>
        <w:spacing w:line="360" w:lineRule="auto"/>
        <w:ind w:firstLine="708"/>
        <w:jc w:val="both"/>
        <w:rPr>
          <w:rFonts w:ascii="Abadi" w:hAnsi="Abadi" w:cs="Arial"/>
          <w:iCs/>
          <w:sz w:val="21"/>
          <w:szCs w:val="21"/>
        </w:rPr>
      </w:pPr>
    </w:p>
    <w:p w14:paraId="10AE04D3" w14:textId="77777777" w:rsidR="008F4A58" w:rsidRPr="008F4A58" w:rsidRDefault="008F4A58" w:rsidP="008F4A58">
      <w:pPr>
        <w:spacing w:line="360" w:lineRule="auto"/>
        <w:ind w:firstLine="708"/>
        <w:jc w:val="both"/>
        <w:rPr>
          <w:rFonts w:ascii="Abadi" w:hAnsi="Abadi" w:cs="Arial"/>
          <w:iCs/>
          <w:sz w:val="21"/>
          <w:szCs w:val="21"/>
        </w:rPr>
      </w:pPr>
      <w:r w:rsidRPr="008F4A58">
        <w:rPr>
          <w:rFonts w:ascii="Abadi" w:hAnsi="Abadi" w:cs="Arial"/>
          <w:iCs/>
          <w:sz w:val="21"/>
          <w:szCs w:val="21"/>
        </w:rPr>
        <w:t>De igual forma, mediante oficio número PM/195/2022, de fecha 26 de abril de 2022, el presidente municipal de Apaseo el Grande, Gto., remitió información adicional, consistente en los 13 expedientes técnicos de cada una de las obras que se pretenden realizar con los recursos que se obtengan de los financiamientos.</w:t>
      </w:r>
    </w:p>
    <w:p w14:paraId="7EFBD376" w14:textId="77777777" w:rsidR="008F4A58" w:rsidRPr="008F4A58" w:rsidRDefault="008F4A58" w:rsidP="008F4A58">
      <w:pPr>
        <w:spacing w:line="360" w:lineRule="auto"/>
        <w:ind w:firstLine="708"/>
        <w:jc w:val="both"/>
        <w:rPr>
          <w:rFonts w:ascii="Abadi" w:hAnsi="Abadi" w:cs="Arial"/>
          <w:iCs/>
          <w:sz w:val="21"/>
          <w:szCs w:val="21"/>
        </w:rPr>
      </w:pPr>
    </w:p>
    <w:p w14:paraId="1DEC5AA4" w14:textId="77777777" w:rsidR="008F4A58" w:rsidRPr="008F4A58" w:rsidRDefault="008F4A58" w:rsidP="008F4A58">
      <w:pPr>
        <w:spacing w:line="360" w:lineRule="auto"/>
        <w:ind w:firstLine="708"/>
        <w:jc w:val="both"/>
        <w:rPr>
          <w:rFonts w:ascii="Abadi" w:hAnsi="Abadi" w:cs="Arial"/>
          <w:iCs/>
          <w:sz w:val="21"/>
          <w:szCs w:val="21"/>
        </w:rPr>
      </w:pPr>
      <w:r w:rsidRPr="008F4A58">
        <w:rPr>
          <w:rFonts w:ascii="Abadi" w:hAnsi="Abadi" w:cs="Arial"/>
          <w:iCs/>
          <w:sz w:val="21"/>
          <w:szCs w:val="21"/>
        </w:rPr>
        <w:t>En cuanto a la justificación de los proyectos a realizar con los recursos de los financiamientos se refiere que se tiene la finalidad de fortalecer el equipamiento del Municipio y crear espacios públicos con áreas verdes para la convivencia social, recreativa, cultural y deportiva para el beneficio de los colonos y de sus alrededores; dar mayor atención y servicio a los habitantes del Municipio y sus alrededores, además de brindar un espacio digno de descanso en el panteón municipal;</w:t>
      </w:r>
      <w:r w:rsidRPr="008F4A58">
        <w:rPr>
          <w:rFonts w:ascii="Abadi" w:hAnsi="Abadi"/>
          <w:sz w:val="21"/>
          <w:szCs w:val="21"/>
        </w:rPr>
        <w:t xml:space="preserve"> </w:t>
      </w:r>
      <w:r w:rsidRPr="008F4A58">
        <w:rPr>
          <w:rFonts w:ascii="Abadi" w:hAnsi="Abadi" w:cs="Arial"/>
          <w:iCs/>
          <w:sz w:val="21"/>
          <w:szCs w:val="21"/>
        </w:rPr>
        <w:t>conectar las aguas grises, directamente a la planta tratadora del Municipio; incrementar</w:t>
      </w:r>
      <w:r w:rsidRPr="008F4A58">
        <w:rPr>
          <w:rFonts w:ascii="Abadi" w:hAnsi="Abadi" w:cs="Arial"/>
          <w:sz w:val="21"/>
          <w:szCs w:val="21"/>
        </w:rPr>
        <w:t xml:space="preserve"> el equipamiento urbano y solventar los servicios públicos y de transporte; y fortalecer e incentivar el deporte.</w:t>
      </w:r>
    </w:p>
    <w:p w14:paraId="0F5E1A53" w14:textId="77777777" w:rsidR="008F4A58" w:rsidRPr="008F4A58" w:rsidRDefault="008F4A58" w:rsidP="008F4A58">
      <w:pPr>
        <w:spacing w:line="360" w:lineRule="auto"/>
        <w:ind w:firstLine="708"/>
        <w:jc w:val="both"/>
        <w:rPr>
          <w:rFonts w:ascii="Abadi" w:hAnsi="Abadi" w:cs="Arial"/>
          <w:iCs/>
          <w:sz w:val="21"/>
          <w:szCs w:val="21"/>
        </w:rPr>
      </w:pPr>
    </w:p>
    <w:p w14:paraId="2824A657" w14:textId="77777777" w:rsidR="008F4A58" w:rsidRPr="008F4A58" w:rsidRDefault="008F4A58" w:rsidP="008F4A58">
      <w:pPr>
        <w:spacing w:line="360" w:lineRule="auto"/>
        <w:jc w:val="both"/>
        <w:rPr>
          <w:rFonts w:ascii="Abadi" w:hAnsi="Abadi" w:cs="Arial"/>
          <w:b/>
          <w:bCs/>
          <w:iCs/>
          <w:sz w:val="21"/>
          <w:szCs w:val="21"/>
        </w:rPr>
      </w:pPr>
      <w:r w:rsidRPr="008F4A58">
        <w:rPr>
          <w:rFonts w:ascii="Abadi" w:hAnsi="Abadi" w:cs="Arial"/>
          <w:iCs/>
          <w:sz w:val="21"/>
          <w:szCs w:val="21"/>
        </w:rPr>
        <w:tab/>
      </w:r>
      <w:r w:rsidRPr="008F4A58">
        <w:rPr>
          <w:rFonts w:ascii="Abadi" w:hAnsi="Abadi" w:cs="Arial"/>
          <w:b/>
          <w:bCs/>
          <w:iCs/>
          <w:sz w:val="21"/>
          <w:szCs w:val="21"/>
        </w:rPr>
        <w:t>II. Metodología para el análisis y discusión</w:t>
      </w:r>
    </w:p>
    <w:p w14:paraId="210E1653" w14:textId="77777777" w:rsidR="008F4A58" w:rsidRPr="008F4A58" w:rsidRDefault="008F4A58" w:rsidP="008F4A58">
      <w:pPr>
        <w:autoSpaceDE w:val="0"/>
        <w:autoSpaceDN w:val="0"/>
        <w:adjustRightInd w:val="0"/>
        <w:spacing w:line="360" w:lineRule="auto"/>
        <w:ind w:firstLine="708"/>
        <w:jc w:val="both"/>
        <w:rPr>
          <w:rFonts w:ascii="Abadi" w:hAnsi="Abadi" w:cs="Arial"/>
          <w:iCs/>
          <w:sz w:val="21"/>
          <w:szCs w:val="21"/>
        </w:rPr>
      </w:pPr>
    </w:p>
    <w:p w14:paraId="347B22E7" w14:textId="77777777" w:rsidR="008F4A58" w:rsidRPr="008F4A58" w:rsidRDefault="008F4A58" w:rsidP="008F4A58">
      <w:pPr>
        <w:autoSpaceDE w:val="0"/>
        <w:autoSpaceDN w:val="0"/>
        <w:adjustRightInd w:val="0"/>
        <w:spacing w:line="360" w:lineRule="auto"/>
        <w:ind w:firstLine="708"/>
        <w:jc w:val="both"/>
        <w:rPr>
          <w:rFonts w:ascii="Abadi" w:hAnsi="Abadi" w:cs="Arial"/>
          <w:iCs/>
          <w:sz w:val="21"/>
          <w:szCs w:val="21"/>
        </w:rPr>
      </w:pPr>
      <w:r w:rsidRPr="008F4A58">
        <w:rPr>
          <w:rFonts w:ascii="Abadi" w:hAnsi="Abadi" w:cs="Arial"/>
          <w:iCs/>
          <w:sz w:val="21"/>
          <w:szCs w:val="21"/>
        </w:rPr>
        <w:t>Se acordó como metodología de trabajo para el análisis de la iniciativa la siguiente:</w:t>
      </w:r>
    </w:p>
    <w:p w14:paraId="72F6CCF5" w14:textId="77777777" w:rsidR="008F4A58" w:rsidRPr="008F4A58" w:rsidRDefault="008F4A58" w:rsidP="008F4A58">
      <w:pPr>
        <w:autoSpaceDE w:val="0"/>
        <w:autoSpaceDN w:val="0"/>
        <w:adjustRightInd w:val="0"/>
        <w:ind w:firstLine="708"/>
        <w:jc w:val="both"/>
        <w:rPr>
          <w:rFonts w:ascii="Abadi" w:hAnsi="Abadi" w:cs="Arial"/>
          <w:iCs/>
          <w:sz w:val="21"/>
          <w:szCs w:val="21"/>
        </w:rPr>
      </w:pPr>
    </w:p>
    <w:p w14:paraId="0121D96E" w14:textId="77777777" w:rsidR="008F4A58" w:rsidRPr="008F4A58" w:rsidRDefault="008F4A58" w:rsidP="00B81728">
      <w:pPr>
        <w:numPr>
          <w:ilvl w:val="0"/>
          <w:numId w:val="29"/>
        </w:numPr>
        <w:autoSpaceDE w:val="0"/>
        <w:autoSpaceDN w:val="0"/>
        <w:adjustRightInd w:val="0"/>
        <w:spacing w:line="360" w:lineRule="auto"/>
        <w:jc w:val="both"/>
        <w:rPr>
          <w:rFonts w:ascii="Abadi" w:hAnsi="Abadi" w:cs="Arial"/>
          <w:iCs/>
          <w:sz w:val="21"/>
          <w:szCs w:val="21"/>
        </w:rPr>
      </w:pPr>
      <w:r w:rsidRPr="008F4A58">
        <w:rPr>
          <w:rFonts w:ascii="Abadi" w:hAnsi="Abadi" w:cs="Arial"/>
          <w:iCs/>
          <w:sz w:val="21"/>
          <w:szCs w:val="21"/>
        </w:rPr>
        <w:t>Remitir a la titular de la Unidad de Estudios de las Finanzas Públicas de este Congreso, copia del expediente de la iniciativa, solicitando el análisis técnico-financiero, considerando, entre otros aspectos:</w:t>
      </w:r>
    </w:p>
    <w:p w14:paraId="0A9EFF58" w14:textId="77777777" w:rsidR="008F4A58" w:rsidRPr="008F4A58" w:rsidRDefault="008F4A58" w:rsidP="008F4A58">
      <w:pPr>
        <w:autoSpaceDE w:val="0"/>
        <w:autoSpaceDN w:val="0"/>
        <w:adjustRightInd w:val="0"/>
        <w:ind w:firstLine="705"/>
        <w:jc w:val="both"/>
        <w:rPr>
          <w:rFonts w:ascii="Abadi" w:hAnsi="Abadi" w:cs="Arial"/>
          <w:iCs/>
          <w:sz w:val="21"/>
          <w:szCs w:val="21"/>
        </w:rPr>
      </w:pPr>
    </w:p>
    <w:p w14:paraId="10B69728" w14:textId="77777777" w:rsidR="008F4A58" w:rsidRPr="008F4A58" w:rsidRDefault="008F4A58" w:rsidP="00B81728">
      <w:pPr>
        <w:numPr>
          <w:ilvl w:val="0"/>
          <w:numId w:val="34"/>
        </w:numPr>
        <w:spacing w:line="360" w:lineRule="auto"/>
        <w:ind w:firstLine="414"/>
        <w:jc w:val="both"/>
        <w:rPr>
          <w:rFonts w:ascii="Abadi" w:hAnsi="Abadi" w:cs="Arial"/>
          <w:iCs/>
          <w:sz w:val="21"/>
          <w:szCs w:val="21"/>
        </w:rPr>
      </w:pPr>
      <w:r w:rsidRPr="008F4A58">
        <w:rPr>
          <w:rFonts w:ascii="Abadi" w:hAnsi="Abadi" w:cs="Arial"/>
          <w:iCs/>
          <w:sz w:val="21"/>
          <w:szCs w:val="21"/>
        </w:rPr>
        <w:t>Monto.</w:t>
      </w:r>
    </w:p>
    <w:p w14:paraId="47D1A3BF" w14:textId="46D4A790" w:rsidR="008F4A58" w:rsidRPr="008F4A58" w:rsidRDefault="008F4A58" w:rsidP="00B81728">
      <w:pPr>
        <w:numPr>
          <w:ilvl w:val="0"/>
          <w:numId w:val="34"/>
        </w:numPr>
        <w:spacing w:line="360" w:lineRule="auto"/>
        <w:ind w:firstLine="414"/>
        <w:jc w:val="both"/>
        <w:rPr>
          <w:rFonts w:ascii="Abadi" w:hAnsi="Abadi" w:cs="Arial"/>
          <w:iCs/>
          <w:sz w:val="21"/>
          <w:szCs w:val="21"/>
        </w:rPr>
      </w:pPr>
      <w:r w:rsidRPr="008F4A58">
        <w:rPr>
          <w:rFonts w:ascii="Abadi" w:hAnsi="Abadi" w:cs="Arial"/>
          <w:iCs/>
          <w:sz w:val="21"/>
          <w:szCs w:val="21"/>
        </w:rPr>
        <w:t>Periodo o plazo de vigencia de</w:t>
      </w:r>
      <w:r w:rsidR="00B81728">
        <w:rPr>
          <w:rFonts w:ascii="Abadi" w:hAnsi="Abadi" w:cs="Arial"/>
          <w:iCs/>
          <w:sz w:val="21"/>
          <w:szCs w:val="21"/>
        </w:rPr>
        <w:t xml:space="preserve"> </w:t>
      </w:r>
      <w:r w:rsidRPr="008F4A58">
        <w:rPr>
          <w:rFonts w:ascii="Abadi" w:hAnsi="Abadi" w:cs="Arial"/>
          <w:iCs/>
          <w:sz w:val="21"/>
          <w:szCs w:val="21"/>
        </w:rPr>
        <w:t>los financiamientos.</w:t>
      </w:r>
    </w:p>
    <w:p w14:paraId="5083C026" w14:textId="77777777" w:rsidR="008F4A58" w:rsidRPr="008F4A58" w:rsidRDefault="008F4A58" w:rsidP="00B81728">
      <w:pPr>
        <w:numPr>
          <w:ilvl w:val="0"/>
          <w:numId w:val="34"/>
        </w:numPr>
        <w:spacing w:line="360" w:lineRule="auto"/>
        <w:ind w:firstLine="414"/>
        <w:jc w:val="both"/>
        <w:rPr>
          <w:rFonts w:ascii="Abadi" w:hAnsi="Abadi" w:cs="Arial"/>
          <w:iCs/>
          <w:sz w:val="21"/>
          <w:szCs w:val="21"/>
        </w:rPr>
      </w:pPr>
      <w:r w:rsidRPr="008F4A58">
        <w:rPr>
          <w:rFonts w:ascii="Abadi" w:hAnsi="Abadi" w:cs="Arial"/>
          <w:iCs/>
          <w:sz w:val="21"/>
          <w:szCs w:val="21"/>
        </w:rPr>
        <w:t>Tasa de interés.</w:t>
      </w:r>
    </w:p>
    <w:p w14:paraId="696F4739" w14:textId="77777777" w:rsidR="008F4A58" w:rsidRPr="008F4A58" w:rsidRDefault="008F4A58" w:rsidP="00B81728">
      <w:pPr>
        <w:numPr>
          <w:ilvl w:val="0"/>
          <w:numId w:val="34"/>
        </w:numPr>
        <w:spacing w:line="360" w:lineRule="auto"/>
        <w:ind w:firstLine="414"/>
        <w:jc w:val="both"/>
        <w:rPr>
          <w:rFonts w:ascii="Abadi" w:hAnsi="Abadi" w:cs="Arial"/>
          <w:iCs/>
          <w:sz w:val="21"/>
          <w:szCs w:val="21"/>
        </w:rPr>
      </w:pPr>
      <w:r w:rsidRPr="008F4A58">
        <w:rPr>
          <w:rFonts w:ascii="Abadi" w:hAnsi="Abadi" w:cs="Arial"/>
          <w:iCs/>
          <w:sz w:val="21"/>
          <w:szCs w:val="21"/>
        </w:rPr>
        <w:t>Garantías y avales.</w:t>
      </w:r>
    </w:p>
    <w:p w14:paraId="6D0C323E" w14:textId="77777777" w:rsidR="008F4A58" w:rsidRPr="008F4A58" w:rsidRDefault="008F4A58" w:rsidP="00B81728">
      <w:pPr>
        <w:numPr>
          <w:ilvl w:val="0"/>
          <w:numId w:val="34"/>
        </w:numPr>
        <w:spacing w:line="360" w:lineRule="auto"/>
        <w:ind w:firstLine="414"/>
        <w:jc w:val="both"/>
        <w:rPr>
          <w:rFonts w:ascii="Abadi" w:hAnsi="Abadi" w:cs="Arial"/>
          <w:iCs/>
          <w:sz w:val="21"/>
          <w:szCs w:val="21"/>
        </w:rPr>
      </w:pPr>
      <w:r w:rsidRPr="008F4A58">
        <w:rPr>
          <w:rFonts w:ascii="Abadi" w:hAnsi="Abadi" w:cs="Arial"/>
          <w:iCs/>
          <w:sz w:val="21"/>
          <w:szCs w:val="21"/>
        </w:rPr>
        <w:t xml:space="preserve">Costo financiero total. </w:t>
      </w:r>
    </w:p>
    <w:p w14:paraId="07F05AE1" w14:textId="77777777" w:rsidR="008F4A58" w:rsidRPr="008F4A58" w:rsidRDefault="008F4A58" w:rsidP="00B81728">
      <w:pPr>
        <w:numPr>
          <w:ilvl w:val="0"/>
          <w:numId w:val="34"/>
        </w:numPr>
        <w:spacing w:line="360" w:lineRule="auto"/>
        <w:ind w:firstLine="414"/>
        <w:jc w:val="both"/>
        <w:rPr>
          <w:rFonts w:ascii="Abadi" w:hAnsi="Abadi" w:cs="Arial"/>
          <w:iCs/>
          <w:sz w:val="21"/>
          <w:szCs w:val="21"/>
        </w:rPr>
      </w:pPr>
      <w:r w:rsidRPr="008F4A58">
        <w:rPr>
          <w:rFonts w:ascii="Abadi" w:hAnsi="Abadi" w:cs="Arial"/>
          <w:iCs/>
          <w:sz w:val="21"/>
          <w:szCs w:val="21"/>
        </w:rPr>
        <w:t xml:space="preserve">Programa de amortización. </w:t>
      </w:r>
    </w:p>
    <w:p w14:paraId="4A1648BA" w14:textId="315EC875" w:rsidR="00B81728" w:rsidRPr="008F4A58" w:rsidRDefault="008F4A58" w:rsidP="00B81728">
      <w:pPr>
        <w:numPr>
          <w:ilvl w:val="0"/>
          <w:numId w:val="34"/>
        </w:numPr>
        <w:spacing w:line="360" w:lineRule="auto"/>
        <w:ind w:firstLine="414"/>
        <w:jc w:val="both"/>
        <w:rPr>
          <w:rFonts w:ascii="Abadi" w:hAnsi="Abadi" w:cs="Arial"/>
          <w:iCs/>
          <w:sz w:val="21"/>
          <w:szCs w:val="21"/>
        </w:rPr>
      </w:pPr>
      <w:r w:rsidRPr="008F4A58">
        <w:rPr>
          <w:rFonts w:ascii="Abadi" w:hAnsi="Abadi" w:cs="Arial"/>
          <w:iCs/>
          <w:sz w:val="21"/>
          <w:szCs w:val="21"/>
        </w:rPr>
        <w:t>Fuente de repago de los financiamientos.</w:t>
      </w:r>
    </w:p>
    <w:p w14:paraId="33B49060" w14:textId="77777777" w:rsidR="008F4A58" w:rsidRPr="008F4A58" w:rsidRDefault="008F4A58" w:rsidP="00B81728">
      <w:pPr>
        <w:numPr>
          <w:ilvl w:val="0"/>
          <w:numId w:val="34"/>
        </w:numPr>
        <w:spacing w:line="360" w:lineRule="auto"/>
        <w:ind w:firstLine="414"/>
        <w:jc w:val="both"/>
        <w:rPr>
          <w:rFonts w:ascii="Abadi" w:hAnsi="Abadi" w:cs="Arial"/>
          <w:iCs/>
          <w:sz w:val="21"/>
          <w:szCs w:val="21"/>
        </w:rPr>
      </w:pPr>
      <w:r w:rsidRPr="008F4A58">
        <w:rPr>
          <w:rFonts w:ascii="Abadi" w:hAnsi="Abadi" w:cs="Arial"/>
          <w:iCs/>
          <w:sz w:val="21"/>
          <w:szCs w:val="21"/>
        </w:rPr>
        <w:t>Destino y tipo de inversión.</w:t>
      </w:r>
    </w:p>
    <w:p w14:paraId="31139110" w14:textId="77777777" w:rsidR="008F4A58" w:rsidRPr="008F4A58" w:rsidRDefault="008F4A58" w:rsidP="00B81728">
      <w:pPr>
        <w:numPr>
          <w:ilvl w:val="0"/>
          <w:numId w:val="34"/>
        </w:numPr>
        <w:spacing w:line="360" w:lineRule="auto"/>
        <w:ind w:firstLine="414"/>
        <w:jc w:val="both"/>
        <w:rPr>
          <w:rFonts w:ascii="Abadi" w:hAnsi="Abadi" w:cs="Arial"/>
          <w:iCs/>
          <w:sz w:val="21"/>
          <w:szCs w:val="21"/>
        </w:rPr>
      </w:pPr>
      <w:r w:rsidRPr="008F4A58">
        <w:rPr>
          <w:rFonts w:ascii="Abadi" w:hAnsi="Abadi" w:cs="Arial"/>
          <w:iCs/>
          <w:sz w:val="21"/>
          <w:szCs w:val="21"/>
        </w:rPr>
        <w:t>Necesidad de la inversión y su impacto en la población.</w:t>
      </w:r>
    </w:p>
    <w:p w14:paraId="56B0D2A6" w14:textId="77777777" w:rsidR="008F4A58" w:rsidRPr="008F4A58" w:rsidRDefault="008F4A58" w:rsidP="00B81728">
      <w:pPr>
        <w:numPr>
          <w:ilvl w:val="0"/>
          <w:numId w:val="34"/>
        </w:numPr>
        <w:spacing w:line="360" w:lineRule="auto"/>
        <w:ind w:firstLine="414"/>
        <w:jc w:val="both"/>
        <w:rPr>
          <w:rFonts w:ascii="Abadi" w:hAnsi="Abadi" w:cs="Arial"/>
          <w:iCs/>
          <w:sz w:val="21"/>
          <w:szCs w:val="21"/>
        </w:rPr>
      </w:pPr>
      <w:r w:rsidRPr="008F4A58">
        <w:rPr>
          <w:rFonts w:ascii="Abadi" w:hAnsi="Abadi" w:cs="Arial"/>
          <w:iCs/>
          <w:sz w:val="21"/>
          <w:szCs w:val="21"/>
        </w:rPr>
        <w:t>Situación financiera.</w:t>
      </w:r>
    </w:p>
    <w:p w14:paraId="588E2137" w14:textId="77777777" w:rsidR="008F4A58" w:rsidRPr="008F4A58" w:rsidRDefault="008F4A58" w:rsidP="00B81728">
      <w:pPr>
        <w:numPr>
          <w:ilvl w:val="0"/>
          <w:numId w:val="34"/>
        </w:numPr>
        <w:spacing w:line="360" w:lineRule="auto"/>
        <w:ind w:firstLine="414"/>
        <w:jc w:val="both"/>
        <w:rPr>
          <w:rFonts w:ascii="Abadi" w:hAnsi="Abadi" w:cs="Arial"/>
          <w:iCs/>
          <w:sz w:val="21"/>
          <w:szCs w:val="21"/>
        </w:rPr>
      </w:pPr>
      <w:r w:rsidRPr="008F4A58">
        <w:rPr>
          <w:rFonts w:ascii="Abadi" w:hAnsi="Abadi" w:cs="Arial"/>
          <w:iCs/>
          <w:sz w:val="21"/>
          <w:szCs w:val="21"/>
        </w:rPr>
        <w:t>Estado de la situación de la deuda pública.</w:t>
      </w:r>
    </w:p>
    <w:p w14:paraId="5F9D1EEF" w14:textId="77777777" w:rsidR="008F4A58" w:rsidRPr="008F4A58" w:rsidRDefault="008F4A58" w:rsidP="00B81728">
      <w:pPr>
        <w:numPr>
          <w:ilvl w:val="0"/>
          <w:numId w:val="34"/>
        </w:numPr>
        <w:spacing w:line="360" w:lineRule="auto"/>
        <w:ind w:firstLine="414"/>
        <w:jc w:val="both"/>
        <w:rPr>
          <w:rFonts w:ascii="Abadi" w:hAnsi="Abadi" w:cs="Arial"/>
          <w:iCs/>
          <w:sz w:val="21"/>
          <w:szCs w:val="21"/>
        </w:rPr>
      </w:pPr>
      <w:r w:rsidRPr="008F4A58">
        <w:rPr>
          <w:rFonts w:ascii="Abadi" w:hAnsi="Abadi" w:cs="Arial"/>
          <w:iCs/>
          <w:sz w:val="21"/>
          <w:szCs w:val="21"/>
        </w:rPr>
        <w:t>Techo financiero.</w:t>
      </w:r>
    </w:p>
    <w:p w14:paraId="29B89C81" w14:textId="77777777" w:rsidR="008F4A58" w:rsidRPr="008F4A58" w:rsidRDefault="008F4A58" w:rsidP="00B81728">
      <w:pPr>
        <w:numPr>
          <w:ilvl w:val="0"/>
          <w:numId w:val="34"/>
        </w:numPr>
        <w:spacing w:line="360" w:lineRule="auto"/>
        <w:ind w:left="709" w:firstLine="284"/>
        <w:jc w:val="both"/>
        <w:rPr>
          <w:rFonts w:ascii="Abadi" w:hAnsi="Abadi" w:cs="Arial"/>
          <w:iCs/>
          <w:sz w:val="21"/>
          <w:szCs w:val="21"/>
        </w:rPr>
      </w:pPr>
      <w:r w:rsidRPr="008F4A58">
        <w:rPr>
          <w:rFonts w:ascii="Abadi" w:hAnsi="Abadi" w:cs="Arial"/>
          <w:iCs/>
          <w:sz w:val="21"/>
          <w:szCs w:val="21"/>
        </w:rPr>
        <w:t>Política presupuestal.</w:t>
      </w:r>
    </w:p>
    <w:p w14:paraId="2A58C6FF" w14:textId="77777777" w:rsidR="008F4A58" w:rsidRPr="008F4A58" w:rsidRDefault="008F4A58" w:rsidP="008F4A58">
      <w:pPr>
        <w:spacing w:line="360" w:lineRule="auto"/>
        <w:ind w:left="1134"/>
        <w:jc w:val="both"/>
        <w:rPr>
          <w:rFonts w:ascii="Abadi" w:hAnsi="Abadi" w:cs="Arial"/>
          <w:iCs/>
          <w:sz w:val="21"/>
          <w:szCs w:val="21"/>
        </w:rPr>
      </w:pPr>
    </w:p>
    <w:p w14:paraId="2AD6FF14" w14:textId="77777777" w:rsidR="008F4A58" w:rsidRPr="008F4A58" w:rsidRDefault="008F4A58" w:rsidP="00B81728">
      <w:pPr>
        <w:numPr>
          <w:ilvl w:val="0"/>
          <w:numId w:val="29"/>
        </w:numPr>
        <w:spacing w:line="360" w:lineRule="auto"/>
        <w:jc w:val="both"/>
        <w:rPr>
          <w:rFonts w:ascii="Abadi" w:hAnsi="Abadi" w:cs="Arial"/>
          <w:iCs/>
          <w:sz w:val="21"/>
          <w:szCs w:val="21"/>
        </w:rPr>
      </w:pPr>
      <w:r w:rsidRPr="008F4A58">
        <w:rPr>
          <w:rFonts w:ascii="Abadi" w:hAnsi="Abadi" w:cs="Arial"/>
          <w:iCs/>
          <w:sz w:val="21"/>
          <w:szCs w:val="21"/>
        </w:rPr>
        <w:t>El 8 de junio de 2022, la titular de la Unidad de Estudios de las Finanzas Públicas del Congreso del Estado expuso a esta Comisión, el análisis técnico-financiero efectuado respecto a la iniciativa que nos ocupa.</w:t>
      </w:r>
    </w:p>
    <w:p w14:paraId="15045EF6" w14:textId="77777777" w:rsidR="008F4A58" w:rsidRPr="008F4A58" w:rsidRDefault="008F4A58" w:rsidP="008F4A58">
      <w:pPr>
        <w:ind w:left="708"/>
        <w:rPr>
          <w:rFonts w:ascii="Abadi" w:hAnsi="Abadi" w:cs="Arial"/>
          <w:iCs/>
          <w:sz w:val="21"/>
          <w:szCs w:val="21"/>
        </w:rPr>
      </w:pPr>
    </w:p>
    <w:p w14:paraId="63BBBBC9" w14:textId="77777777" w:rsidR="008F4A58" w:rsidRPr="008F4A58" w:rsidRDefault="008F4A58" w:rsidP="00B81728">
      <w:pPr>
        <w:numPr>
          <w:ilvl w:val="0"/>
          <w:numId w:val="29"/>
        </w:numPr>
        <w:spacing w:line="360" w:lineRule="auto"/>
        <w:jc w:val="both"/>
        <w:rPr>
          <w:rFonts w:ascii="Abadi" w:hAnsi="Abadi" w:cs="Arial"/>
          <w:iCs/>
          <w:sz w:val="21"/>
          <w:szCs w:val="21"/>
        </w:rPr>
      </w:pPr>
      <w:r w:rsidRPr="008F4A58">
        <w:rPr>
          <w:rFonts w:ascii="Abadi" w:hAnsi="Abadi" w:cs="Arial"/>
          <w:iCs/>
          <w:sz w:val="21"/>
          <w:szCs w:val="21"/>
        </w:rPr>
        <w:t xml:space="preserve">Analizada la información remitida por el ayuntamiento de Apaseo el Grande, Gto., así como el dictamen técnico-financiero elaborado por la Unidad de Estudios de las Finanzas </w:t>
      </w:r>
      <w:r w:rsidRPr="008F4A58">
        <w:rPr>
          <w:rFonts w:ascii="Abadi" w:hAnsi="Abadi" w:cs="Arial"/>
          <w:iCs/>
          <w:sz w:val="21"/>
          <w:szCs w:val="21"/>
        </w:rPr>
        <w:t>Públicas de este Congreso</w:t>
      </w:r>
      <w:r w:rsidRPr="008F4A58">
        <w:rPr>
          <w:rFonts w:ascii="Abadi" w:hAnsi="Abadi" w:cs="Arial"/>
          <w:sz w:val="21"/>
          <w:szCs w:val="21"/>
        </w:rPr>
        <w:t>,</w:t>
      </w:r>
      <w:r w:rsidRPr="008F4A58">
        <w:rPr>
          <w:rFonts w:ascii="Abadi" w:hAnsi="Abadi" w:cs="Arial"/>
          <w:iCs/>
          <w:sz w:val="21"/>
          <w:szCs w:val="21"/>
        </w:rPr>
        <w:t xml:space="preserve"> el diputado presidente instruyó a la secretaría técnica de la Comisión para que elaborara el proyecto de dictamen, conforme lo dispuesto en el artículo 272, fracción VIII inciso e de la Ley Orgánica del Poder Legislativo del Estado, mismo que fue materia de revisión por parte de esta Comisión.</w:t>
      </w:r>
    </w:p>
    <w:p w14:paraId="3420059B" w14:textId="77777777" w:rsidR="008F4A58" w:rsidRPr="008F4A58" w:rsidRDefault="008F4A58" w:rsidP="008F4A58">
      <w:pPr>
        <w:ind w:left="708"/>
        <w:rPr>
          <w:rFonts w:ascii="Abadi" w:hAnsi="Abadi" w:cs="Arial"/>
          <w:iCs/>
          <w:sz w:val="21"/>
          <w:szCs w:val="21"/>
        </w:rPr>
      </w:pPr>
    </w:p>
    <w:p w14:paraId="4B83E140" w14:textId="77777777" w:rsidR="008F4A58" w:rsidRPr="008F4A58" w:rsidRDefault="008F4A58" w:rsidP="008F4A58">
      <w:pPr>
        <w:spacing w:line="360" w:lineRule="auto"/>
        <w:ind w:firstLine="705"/>
        <w:jc w:val="both"/>
        <w:rPr>
          <w:rFonts w:ascii="Abadi" w:hAnsi="Abadi" w:cs="Arial"/>
          <w:b/>
          <w:bCs/>
          <w:iCs/>
          <w:sz w:val="21"/>
          <w:szCs w:val="21"/>
        </w:rPr>
      </w:pPr>
      <w:r w:rsidRPr="008F4A58">
        <w:rPr>
          <w:rFonts w:ascii="Abadi" w:hAnsi="Abadi" w:cs="Arial"/>
          <w:b/>
          <w:bCs/>
          <w:iCs/>
          <w:sz w:val="21"/>
          <w:szCs w:val="21"/>
        </w:rPr>
        <w:t>III. Análisis Jurídico - Financiero</w:t>
      </w:r>
    </w:p>
    <w:p w14:paraId="1D653B34" w14:textId="77777777" w:rsidR="008F4A58" w:rsidRPr="008F4A58" w:rsidRDefault="008F4A58" w:rsidP="008F4A58">
      <w:pPr>
        <w:rPr>
          <w:rFonts w:ascii="Abadi" w:hAnsi="Abadi" w:cs="Arial"/>
          <w:sz w:val="21"/>
          <w:szCs w:val="21"/>
          <w:lang w:val="es-MX"/>
        </w:rPr>
      </w:pPr>
    </w:p>
    <w:p w14:paraId="4F9D0365" w14:textId="77777777" w:rsidR="008F4A58" w:rsidRPr="008F4A58" w:rsidRDefault="008F4A58" w:rsidP="008F4A58">
      <w:pPr>
        <w:keepNext/>
        <w:ind w:firstLine="709"/>
        <w:outlineLvl w:val="2"/>
        <w:rPr>
          <w:rFonts w:ascii="Abadi" w:hAnsi="Abadi" w:cs="Arial"/>
          <w:b/>
          <w:iCs/>
          <w:sz w:val="21"/>
          <w:szCs w:val="21"/>
        </w:rPr>
      </w:pPr>
      <w:r w:rsidRPr="008F4A58">
        <w:rPr>
          <w:rFonts w:ascii="Abadi" w:hAnsi="Abadi" w:cs="Arial"/>
          <w:b/>
          <w:iCs/>
          <w:sz w:val="21"/>
          <w:szCs w:val="21"/>
        </w:rPr>
        <w:t xml:space="preserve">    1.  Análisis jurídico</w:t>
      </w:r>
    </w:p>
    <w:p w14:paraId="55981ACC" w14:textId="77777777" w:rsidR="008F4A58" w:rsidRPr="008F4A58" w:rsidRDefault="008F4A58" w:rsidP="008F4A58">
      <w:pPr>
        <w:autoSpaceDE w:val="0"/>
        <w:autoSpaceDN w:val="0"/>
        <w:adjustRightInd w:val="0"/>
        <w:ind w:firstLine="708"/>
        <w:jc w:val="both"/>
        <w:rPr>
          <w:rFonts w:ascii="Abadi" w:hAnsi="Abadi" w:cs="Arial"/>
          <w:b/>
          <w:sz w:val="21"/>
          <w:szCs w:val="21"/>
          <w:lang w:val="es-MX"/>
        </w:rPr>
      </w:pPr>
      <w:r w:rsidRPr="008F4A58">
        <w:rPr>
          <w:rFonts w:ascii="Abadi" w:hAnsi="Abadi" w:cs="Arial"/>
          <w:b/>
          <w:sz w:val="21"/>
          <w:szCs w:val="21"/>
          <w:lang w:val="es-MX"/>
        </w:rPr>
        <w:t xml:space="preserve">  </w:t>
      </w:r>
    </w:p>
    <w:p w14:paraId="4748ED89"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sz w:val="21"/>
          <w:szCs w:val="21"/>
        </w:rPr>
        <w:t>Para proceder al análisis que nos ocupa, resulta necesario que previamente determinemos la competencia del Congreso del Estado en la materia, y, por consiguiente, la del iniciante.</w:t>
      </w:r>
    </w:p>
    <w:p w14:paraId="53CD6A0C" w14:textId="77777777" w:rsidR="008F4A58" w:rsidRPr="008F4A58" w:rsidRDefault="008F4A58" w:rsidP="008F4A58">
      <w:pPr>
        <w:spacing w:line="360" w:lineRule="auto"/>
        <w:ind w:firstLine="708"/>
        <w:jc w:val="both"/>
        <w:rPr>
          <w:rFonts w:ascii="Abadi" w:hAnsi="Abadi" w:cs="Arial"/>
          <w:sz w:val="21"/>
          <w:szCs w:val="21"/>
        </w:rPr>
      </w:pPr>
    </w:p>
    <w:p w14:paraId="0A6A40EE"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sz w:val="21"/>
          <w:szCs w:val="21"/>
        </w:rPr>
        <w:t xml:space="preserve">De conformidad con lo dispuesto por el artículo 117, fracción VIII de la Constitución Política de los Estados Unidos Mexicanos, en relación con los artículos 23 y 24 de la Ley de Disciplina Financiera de las Entidades Federativas y los Municipios; el artículo 63, fracción XIV de la Constitución Política para el Estado de Guanajuato, así como los artículos 6, 11, fracción I, 12, fracciones III y V, 16, 18 y 27 de la Ley de Deuda Pública para el Estado y los Municipios de Guanajuato, el Congreso del Estado resulta competente para conocer y dictaminar sobre la iniciativa planteada. </w:t>
      </w:r>
    </w:p>
    <w:p w14:paraId="29499386" w14:textId="77777777" w:rsidR="008F4A58" w:rsidRPr="008F4A58" w:rsidRDefault="008F4A58" w:rsidP="008F4A58">
      <w:pPr>
        <w:spacing w:line="360" w:lineRule="auto"/>
        <w:ind w:firstLine="708"/>
        <w:jc w:val="both"/>
        <w:rPr>
          <w:rFonts w:ascii="Abadi" w:hAnsi="Abadi" w:cs="Arial"/>
          <w:sz w:val="21"/>
          <w:szCs w:val="21"/>
        </w:rPr>
      </w:pPr>
    </w:p>
    <w:p w14:paraId="06AD43D7" w14:textId="77777777" w:rsidR="008F4A58" w:rsidRPr="008F4A58" w:rsidRDefault="008F4A58" w:rsidP="008F4A58">
      <w:pPr>
        <w:shd w:val="clear" w:color="auto" w:fill="FFFFFF"/>
        <w:spacing w:line="360" w:lineRule="auto"/>
        <w:ind w:firstLine="708"/>
        <w:jc w:val="both"/>
        <w:rPr>
          <w:rFonts w:ascii="Abadi" w:hAnsi="Abadi" w:cs="Arial"/>
          <w:sz w:val="21"/>
          <w:szCs w:val="21"/>
        </w:rPr>
      </w:pPr>
      <w:r w:rsidRPr="008F4A58">
        <w:rPr>
          <w:rFonts w:ascii="Abadi" w:hAnsi="Abadi" w:cs="Arial"/>
          <w:sz w:val="21"/>
          <w:szCs w:val="21"/>
        </w:rPr>
        <w:t xml:space="preserve">Cabe apuntar que el artículo 6 de la Ley de Deuda Pública para el Estado y los Municipios de Guanajuato, señala que tanto el Poder Ejecutivo del Estado, como los ayuntamientos, previa autorización del Congreso del Estado, </w:t>
      </w:r>
      <w:r w:rsidRPr="008F4A58">
        <w:rPr>
          <w:rFonts w:ascii="Abadi" w:hAnsi="Abadi" w:cs="Arial"/>
          <w:sz w:val="21"/>
          <w:szCs w:val="21"/>
        </w:rPr>
        <w:lastRenderedPageBreak/>
        <w:t>podrán contratar deuda pública, hasta los siguientes techos de financiamiento neto de acuerdo a la clasificación del Sistema de Alertas: I. Bajo un endeudamiento sostenible, corresponderá un techo de financiamiento neto de hasta el equivalente al 15% de sus ingresos de libre disposición; II. Un endeudamiento en observación tendrá como techo de financiamiento neto el equivalente al 5% de sus Ingresos de libre disposición; y III. Un nivel de endeudamiento elevado tendrá un techo de financiamiento neto igual a cero.</w:t>
      </w:r>
    </w:p>
    <w:p w14:paraId="40103F82" w14:textId="77777777" w:rsidR="008F4A58" w:rsidRPr="008F4A58" w:rsidRDefault="008F4A58" w:rsidP="008F4A58">
      <w:pPr>
        <w:shd w:val="clear" w:color="auto" w:fill="FFFFFF"/>
        <w:ind w:firstLine="708"/>
        <w:jc w:val="both"/>
        <w:rPr>
          <w:rFonts w:ascii="Abadi" w:hAnsi="Abadi"/>
          <w:sz w:val="21"/>
          <w:szCs w:val="21"/>
        </w:rPr>
      </w:pPr>
    </w:p>
    <w:p w14:paraId="4A61451A" w14:textId="77777777" w:rsidR="008F4A58" w:rsidRPr="008F4A58" w:rsidRDefault="008F4A58" w:rsidP="008F4A58">
      <w:pPr>
        <w:shd w:val="clear" w:color="auto" w:fill="FFFFFF"/>
        <w:spacing w:line="360" w:lineRule="auto"/>
        <w:ind w:firstLine="708"/>
        <w:jc w:val="both"/>
        <w:rPr>
          <w:rFonts w:ascii="Abadi" w:hAnsi="Abadi" w:cs="Arial"/>
          <w:sz w:val="21"/>
          <w:szCs w:val="21"/>
        </w:rPr>
      </w:pPr>
      <w:r w:rsidRPr="008F4A58">
        <w:rPr>
          <w:rFonts w:ascii="Abadi" w:hAnsi="Abadi" w:cs="Arial"/>
          <w:sz w:val="21"/>
          <w:szCs w:val="21"/>
        </w:rPr>
        <w:t>En caso de que exista un balance presupuestario de recursos disponible negativo, se autorizará financiamiento neto adicional al techo de financiamiento neto contemplado en dicho artículo, hasta por el monto de financiamiento neto necesario para solventar las causas que generaron el balance presupuestario de recursos disponible negativo.</w:t>
      </w:r>
    </w:p>
    <w:p w14:paraId="10A4DF59" w14:textId="77777777" w:rsidR="008F4A58" w:rsidRPr="008F4A58" w:rsidRDefault="008F4A58" w:rsidP="008F4A58">
      <w:pPr>
        <w:shd w:val="clear" w:color="auto" w:fill="FFFFFF"/>
        <w:spacing w:line="360" w:lineRule="auto"/>
        <w:ind w:firstLine="708"/>
        <w:jc w:val="both"/>
        <w:rPr>
          <w:rFonts w:ascii="Abadi" w:hAnsi="Abadi" w:cs="Arial"/>
          <w:sz w:val="21"/>
          <w:szCs w:val="21"/>
        </w:rPr>
      </w:pPr>
    </w:p>
    <w:p w14:paraId="20191833"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sz w:val="21"/>
          <w:szCs w:val="21"/>
        </w:rPr>
        <w:t>Por su parte, el ayuntamiento de Apaseo el Grande</w:t>
      </w:r>
      <w:r w:rsidRPr="008F4A58">
        <w:rPr>
          <w:rFonts w:ascii="Abadi" w:hAnsi="Abadi" w:cs="Arial"/>
          <w:iCs/>
          <w:sz w:val="21"/>
          <w:szCs w:val="21"/>
        </w:rPr>
        <w:t xml:space="preserve">, </w:t>
      </w:r>
      <w:r w:rsidRPr="008F4A58">
        <w:rPr>
          <w:rFonts w:ascii="Abadi" w:hAnsi="Abadi" w:cs="Arial"/>
          <w:sz w:val="21"/>
          <w:szCs w:val="21"/>
        </w:rPr>
        <w:t xml:space="preserve">Gto., en términos de lo dispuesto por los artículos 115, fracción IV y 117, fracción VIII de la Constitución Política Federal, en relación con los artículos 56, fracción IV de la Constitución Política para el Estado de Guanajuato; 11, fracción III, </w:t>
      </w:r>
      <w:r w:rsidRPr="008F4A58">
        <w:rPr>
          <w:rFonts w:ascii="Abadi" w:hAnsi="Abadi" w:cs="Arial"/>
          <w:iCs/>
          <w:sz w:val="21"/>
          <w:szCs w:val="21"/>
        </w:rPr>
        <w:t>15 fracciones II, III y VIII y 24 de la Ley de Deuda Pública para el Estado y los Municipios de Guanajuato; y</w:t>
      </w:r>
      <w:r w:rsidRPr="008F4A58">
        <w:rPr>
          <w:rFonts w:ascii="Abadi" w:hAnsi="Abadi" w:cs="Arial"/>
          <w:sz w:val="21"/>
          <w:szCs w:val="21"/>
        </w:rPr>
        <w:t xml:space="preserve"> 76, fracciones I, inciso a y IV, incisos a y d de la Ley Orgánica Municipal para el Estado de Guanajuato resulta facultado para formular iniciativas de decreto en la materia.</w:t>
      </w:r>
    </w:p>
    <w:p w14:paraId="7DC21F36" w14:textId="77777777" w:rsidR="008F4A58" w:rsidRPr="008F4A58" w:rsidRDefault="008F4A58" w:rsidP="008F4A58">
      <w:pPr>
        <w:ind w:firstLine="708"/>
        <w:jc w:val="both"/>
        <w:rPr>
          <w:rFonts w:ascii="Abadi" w:hAnsi="Abadi" w:cs="Arial"/>
          <w:sz w:val="21"/>
          <w:szCs w:val="21"/>
        </w:rPr>
      </w:pPr>
    </w:p>
    <w:p w14:paraId="1B344DC9"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sz w:val="21"/>
          <w:szCs w:val="21"/>
        </w:rPr>
        <w:t xml:space="preserve">De igual forma, de acuerdo a lo establecido por los artículos 115, fracción III de la Constitución Política de los Estados Unidos </w:t>
      </w:r>
      <w:r w:rsidRPr="008F4A58">
        <w:rPr>
          <w:rFonts w:ascii="Abadi" w:hAnsi="Abadi" w:cs="Arial"/>
          <w:sz w:val="21"/>
          <w:szCs w:val="21"/>
        </w:rPr>
        <w:t>Mexicanos, 117, fracción III de la Constitución Política Local y 76, fracciones III, incisos a y b de la Ley Orgánica Municipal para el Estado de Guanajuato, el ayuntamiento está obligado a la prestación de los servicios públicos a los habitantes del Municipio, instrumentando mecanismos para ampliar la cobertura y mejorar su prestación, dentro de los que encontramos calles, transporte público urbano y suburbano en ruta fija, parques, jardines, áreas ecológicas y recreativas y su equipamiento, drenaje y panteones.</w:t>
      </w:r>
    </w:p>
    <w:p w14:paraId="4098D28A" w14:textId="77777777" w:rsidR="008F4A58" w:rsidRPr="008F4A58" w:rsidRDefault="008F4A58" w:rsidP="008F4A58">
      <w:pPr>
        <w:spacing w:line="360" w:lineRule="auto"/>
        <w:ind w:firstLine="708"/>
        <w:jc w:val="both"/>
        <w:rPr>
          <w:rFonts w:ascii="Abadi" w:hAnsi="Abadi" w:cs="Arial"/>
          <w:sz w:val="21"/>
          <w:szCs w:val="21"/>
        </w:rPr>
      </w:pPr>
    </w:p>
    <w:p w14:paraId="41D1CCA7"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sz w:val="21"/>
          <w:szCs w:val="21"/>
        </w:rPr>
        <w:t>Asimismo, con base en el artículo 76, fracciones III, incisos a y b y IV, inciso a de la Ley Orgánica Municipal para el Estado de Guanajuato le corresponde al Ayuntamiento prestar servicios públicos a los habitantes del Municipio e instrumentar los mecanismos para ampliar la cobertura y mejorar la prestación de dichos servicios; así como promover el desarrollo económico, social, educativo, científico, tecnológico, cultural y recreativo del Municipio.</w:t>
      </w:r>
    </w:p>
    <w:p w14:paraId="28A4F850" w14:textId="77777777" w:rsidR="008F4A58" w:rsidRPr="008F4A58" w:rsidRDefault="008F4A58" w:rsidP="008F4A58">
      <w:pPr>
        <w:spacing w:line="360" w:lineRule="auto"/>
        <w:ind w:firstLine="705"/>
        <w:jc w:val="both"/>
        <w:rPr>
          <w:rFonts w:ascii="Abadi" w:hAnsi="Abadi" w:cs="Arial"/>
          <w:sz w:val="21"/>
          <w:szCs w:val="21"/>
        </w:rPr>
      </w:pPr>
    </w:p>
    <w:p w14:paraId="5BD6E024" w14:textId="77777777" w:rsidR="008F4A58" w:rsidRPr="008F4A58" w:rsidRDefault="008F4A58" w:rsidP="008F4A58">
      <w:pPr>
        <w:spacing w:line="360" w:lineRule="auto"/>
        <w:ind w:firstLine="705"/>
        <w:jc w:val="both"/>
        <w:rPr>
          <w:rFonts w:ascii="Abadi" w:hAnsi="Abadi" w:cs="Arial"/>
          <w:sz w:val="21"/>
          <w:szCs w:val="21"/>
        </w:rPr>
      </w:pPr>
      <w:r w:rsidRPr="008F4A58">
        <w:rPr>
          <w:rFonts w:ascii="Abadi" w:hAnsi="Abadi" w:cs="Arial"/>
          <w:sz w:val="21"/>
          <w:szCs w:val="21"/>
        </w:rPr>
        <w:t xml:space="preserve">Respecto de la Comisión de Hacienda y Fiscalización, ésta resulta competente por materia, de conformidad con lo dispuesto por el artículo 112, fracción VI de la Ley Orgánica del Poder Legislativo del Estado. </w:t>
      </w:r>
    </w:p>
    <w:p w14:paraId="5D619F11" w14:textId="77777777" w:rsidR="008F4A58" w:rsidRPr="008F4A58" w:rsidRDefault="008F4A58" w:rsidP="008F4A58">
      <w:pPr>
        <w:spacing w:line="360" w:lineRule="auto"/>
        <w:ind w:firstLine="705"/>
        <w:jc w:val="both"/>
        <w:rPr>
          <w:rFonts w:ascii="Abadi" w:hAnsi="Abadi" w:cs="Arial"/>
          <w:sz w:val="21"/>
          <w:szCs w:val="21"/>
        </w:rPr>
      </w:pPr>
    </w:p>
    <w:p w14:paraId="05202ECA" w14:textId="77777777" w:rsidR="008F4A58" w:rsidRPr="008F4A58" w:rsidRDefault="008F4A58" w:rsidP="008F4A58">
      <w:pPr>
        <w:spacing w:line="360" w:lineRule="auto"/>
        <w:ind w:firstLine="705"/>
        <w:jc w:val="both"/>
        <w:rPr>
          <w:rFonts w:ascii="Abadi" w:hAnsi="Abadi" w:cs="Arial"/>
          <w:sz w:val="21"/>
          <w:szCs w:val="21"/>
        </w:rPr>
      </w:pPr>
      <w:r w:rsidRPr="008F4A58">
        <w:rPr>
          <w:rFonts w:ascii="Abadi" w:hAnsi="Abadi" w:cs="Arial"/>
          <w:sz w:val="21"/>
          <w:szCs w:val="21"/>
        </w:rPr>
        <w:t xml:space="preserve">Derivado de lo anterior, podemos concluir que el ejercicio de contratación de empréstitos o financiamientos está supeditado a las facultades que la Constitución Política de los Estados Unidos Mexicanos en su artículo 117, fracción VIII y la Constitución Política para el estado de Guanajuato en el artículo 63 fracción </w:t>
      </w:r>
      <w:r w:rsidRPr="008F4A58">
        <w:rPr>
          <w:rFonts w:ascii="Abadi" w:hAnsi="Abadi" w:cs="Arial"/>
          <w:sz w:val="21"/>
          <w:szCs w:val="21"/>
        </w:rPr>
        <w:lastRenderedPageBreak/>
        <w:t>XIV confieren a este Poder Legislativo, además de lo previsto en la Ley de Disciplina Financiera de las Entidades Federativas y los Municipios y en la Ley de Deuda Pública</w:t>
      </w:r>
      <w:r w:rsidRPr="008F4A58">
        <w:rPr>
          <w:rFonts w:ascii="Abadi" w:hAnsi="Abadi" w:cs="Arial"/>
          <w:iCs/>
          <w:sz w:val="21"/>
          <w:szCs w:val="21"/>
        </w:rPr>
        <w:t xml:space="preserve"> para el Estado y los Municipios de Guanajuato</w:t>
      </w:r>
      <w:r w:rsidRPr="008F4A58">
        <w:rPr>
          <w:rFonts w:ascii="Abadi" w:hAnsi="Abadi" w:cs="Arial"/>
          <w:sz w:val="21"/>
          <w:szCs w:val="21"/>
        </w:rPr>
        <w:t xml:space="preserve">, teniéndose que agotar un análisis de las finanzas públicas del ente público solicitante, y resolver considerando la normatividad en la materia. </w:t>
      </w:r>
    </w:p>
    <w:p w14:paraId="3EAFA62B" w14:textId="77777777" w:rsidR="008F4A58" w:rsidRPr="008F4A58" w:rsidRDefault="008F4A58" w:rsidP="008F4A58">
      <w:pPr>
        <w:spacing w:line="360" w:lineRule="auto"/>
        <w:ind w:firstLine="705"/>
        <w:jc w:val="both"/>
        <w:rPr>
          <w:rFonts w:ascii="Abadi" w:hAnsi="Abadi" w:cs="Arial"/>
          <w:sz w:val="21"/>
          <w:szCs w:val="21"/>
        </w:rPr>
      </w:pPr>
    </w:p>
    <w:p w14:paraId="40F72E74" w14:textId="732310D1" w:rsidR="008F4A58" w:rsidRPr="008F4A58" w:rsidRDefault="008F4A58" w:rsidP="00B81728">
      <w:pPr>
        <w:spacing w:line="360" w:lineRule="auto"/>
        <w:ind w:firstLine="705"/>
        <w:jc w:val="both"/>
        <w:rPr>
          <w:rFonts w:ascii="Abadi" w:hAnsi="Abadi" w:cs="Arial"/>
          <w:sz w:val="21"/>
          <w:szCs w:val="21"/>
        </w:rPr>
      </w:pPr>
      <w:r w:rsidRPr="008F4A58">
        <w:rPr>
          <w:rFonts w:ascii="Abadi" w:hAnsi="Abadi" w:cs="Arial"/>
          <w:sz w:val="21"/>
          <w:szCs w:val="21"/>
        </w:rPr>
        <w:t>Al respecto, la Suprema Corte de Justicia de la Nación ha realizado pronunciamientos, pudiéndose citar las siguientes tesis de Jurisprudencia:</w:t>
      </w:r>
    </w:p>
    <w:p w14:paraId="65BDDD5F" w14:textId="77777777" w:rsidR="008F4A58" w:rsidRPr="008F4A58" w:rsidRDefault="008F4A58" w:rsidP="008F4A58">
      <w:pPr>
        <w:spacing w:line="360" w:lineRule="auto"/>
        <w:ind w:left="1140"/>
        <w:jc w:val="both"/>
        <w:rPr>
          <w:rFonts w:ascii="Abadi" w:hAnsi="Abadi"/>
          <w:b/>
          <w:i/>
          <w:sz w:val="21"/>
          <w:szCs w:val="21"/>
          <w:lang w:eastAsia="es-MX"/>
        </w:rPr>
      </w:pPr>
    </w:p>
    <w:p w14:paraId="3FE27F6C" w14:textId="4FFF7FD7" w:rsidR="008F4A58" w:rsidRPr="008F4A58" w:rsidRDefault="008F4A58" w:rsidP="008F4A58">
      <w:pPr>
        <w:spacing w:line="360" w:lineRule="auto"/>
        <w:ind w:left="1140"/>
        <w:jc w:val="both"/>
        <w:rPr>
          <w:rFonts w:ascii="Abadi" w:hAnsi="Abadi"/>
          <w:b/>
          <w:i/>
          <w:sz w:val="21"/>
          <w:szCs w:val="21"/>
          <w:lang w:eastAsia="es-MX"/>
        </w:rPr>
      </w:pPr>
      <w:r w:rsidRPr="008F4A58">
        <w:rPr>
          <w:rFonts w:ascii="Abadi" w:hAnsi="Abadi"/>
          <w:b/>
          <w:i/>
          <w:sz w:val="21"/>
          <w:szCs w:val="21"/>
          <w:lang w:eastAsia="es-MX"/>
        </w:rPr>
        <w:t>DEUDA PÚBLICA LOCAL. CONDICIONES CONSTITUCIONALES QUE DEBEN RESPETAR LAS ENTIDADES FEDERATIVAS PARA ADQUIRIRLA, TRATÁNDOSE DEL FINANCIAMIENTO A QUE SE REFIERE EL ARTÍCULO 117, FRACCIÓN VIII, DE LA CONSTITUCIÓN POLÍTICA DE LOS ESTADOS UNIDOS MEXICANOS.</w:t>
      </w:r>
    </w:p>
    <w:p w14:paraId="6F3F1A03" w14:textId="77777777" w:rsidR="008F4A58" w:rsidRPr="008F4A58" w:rsidRDefault="008F4A58" w:rsidP="008F4A58">
      <w:pPr>
        <w:spacing w:line="360" w:lineRule="auto"/>
        <w:ind w:left="1140"/>
        <w:jc w:val="both"/>
        <w:rPr>
          <w:rFonts w:ascii="Abadi" w:hAnsi="Abadi"/>
          <w:b/>
          <w:i/>
          <w:sz w:val="21"/>
          <w:szCs w:val="21"/>
          <w:lang w:eastAsia="es-MX"/>
        </w:rPr>
      </w:pPr>
      <w:r w:rsidRPr="008F4A58">
        <w:rPr>
          <w:rFonts w:ascii="Abadi" w:hAnsi="Abadi"/>
          <w:i/>
          <w:sz w:val="21"/>
          <w:szCs w:val="21"/>
          <w:lang w:eastAsia="es-MX"/>
        </w:rPr>
        <w:t xml:space="preserve">Los contenidos normativos de dicho precepto constitucional pueden desdoblarse en los siguientes segmentos: </w:t>
      </w:r>
      <w:r w:rsidRPr="008F4A58">
        <w:rPr>
          <w:rFonts w:ascii="Abadi" w:hAnsi="Abadi"/>
          <w:b/>
          <w:i/>
          <w:sz w:val="21"/>
          <w:szCs w:val="21"/>
          <w:lang w:eastAsia="es-MX"/>
        </w:rPr>
        <w:t xml:space="preserve">1. La prohibición de obtener endeudamiento externo, que imposibilita a los Estados y Municipios a recibir financiamiento de entidades o personas extranjeras (acreedor o acreditante); en moneda extranjera (independientemente de quién funja como acreditante); o cuyo lugar de pago sea el extranjero (con independencia de la nacionalidad de las partes o la </w:t>
      </w:r>
      <w:r w:rsidRPr="008F4A58">
        <w:rPr>
          <w:rFonts w:ascii="Abadi" w:hAnsi="Abadi"/>
          <w:b/>
          <w:i/>
          <w:sz w:val="21"/>
          <w:szCs w:val="21"/>
          <w:lang w:eastAsia="es-MX"/>
        </w:rPr>
        <w:t>moneda en que se pacte la operación); 2. La exigencia de destino necesario del financiamiento exclusivamente para inversiones públicas productivas; 3. El principio de unidad o concentración de las finanzas estatales, conforme al cual el régimen atinente a la deuda adquirida por el Estado comprende también a la administración descentralizada; y, 4.</w:t>
      </w:r>
      <w:r w:rsidRPr="008F4A58">
        <w:rPr>
          <w:rFonts w:ascii="Abadi" w:hAnsi="Abadi"/>
          <w:i/>
          <w:sz w:val="21"/>
          <w:szCs w:val="21"/>
          <w:lang w:eastAsia="es-MX"/>
        </w:rPr>
        <w:t xml:space="preserve"> </w:t>
      </w:r>
      <w:r w:rsidRPr="008F4A58">
        <w:rPr>
          <w:rFonts w:ascii="Abadi" w:hAnsi="Abadi"/>
          <w:b/>
          <w:i/>
          <w:sz w:val="21"/>
          <w:szCs w:val="21"/>
          <w:lang w:eastAsia="es-MX"/>
        </w:rPr>
        <w:t>Un esquema de coparticipación legislativo-ejecutivo en materia de endeudamiento, conforme al cual se definen facultades, tanto de ejercicio potestativo como obligatorio para ambos, y procesos de necesaria colaboración y corresponsabilidad, como manifestación de los pesos y contrapesos que exige el principio de división de poderes.</w:t>
      </w:r>
    </w:p>
    <w:p w14:paraId="62D5E5BD" w14:textId="77777777" w:rsidR="008F4A58" w:rsidRPr="008F4A58" w:rsidRDefault="008F4A58" w:rsidP="008F4A58">
      <w:pPr>
        <w:ind w:firstLine="708"/>
        <w:jc w:val="both"/>
        <w:rPr>
          <w:rFonts w:ascii="Abadi" w:hAnsi="Abadi"/>
          <w:sz w:val="21"/>
          <w:szCs w:val="21"/>
          <w:lang w:eastAsia="es-MX"/>
        </w:rPr>
      </w:pPr>
    </w:p>
    <w:p w14:paraId="42DB7F38" w14:textId="77777777" w:rsidR="008F4A58" w:rsidRPr="008F4A58" w:rsidRDefault="008F4A58" w:rsidP="008F4A58">
      <w:pPr>
        <w:ind w:firstLine="708"/>
        <w:jc w:val="both"/>
        <w:rPr>
          <w:rFonts w:ascii="Abadi" w:hAnsi="Abadi"/>
          <w:sz w:val="21"/>
          <w:szCs w:val="21"/>
          <w:lang w:eastAsia="es-MX"/>
        </w:rPr>
      </w:pPr>
      <w:r w:rsidRPr="008F4A58">
        <w:rPr>
          <w:rFonts w:ascii="Abadi" w:hAnsi="Abadi"/>
          <w:sz w:val="21"/>
          <w:szCs w:val="21"/>
          <w:lang w:eastAsia="es-MX"/>
        </w:rPr>
        <w:t>Asimismo, resulta aplicable:</w:t>
      </w:r>
    </w:p>
    <w:p w14:paraId="79AC4EF9" w14:textId="77777777" w:rsidR="008F4A58" w:rsidRPr="008F4A58" w:rsidRDefault="008F4A58" w:rsidP="008F4A58">
      <w:pPr>
        <w:spacing w:line="360" w:lineRule="auto"/>
        <w:ind w:firstLine="708"/>
        <w:jc w:val="both"/>
        <w:rPr>
          <w:rFonts w:ascii="Abadi" w:hAnsi="Abadi"/>
          <w:sz w:val="21"/>
          <w:szCs w:val="21"/>
          <w:lang w:eastAsia="es-MX"/>
        </w:rPr>
      </w:pPr>
    </w:p>
    <w:p w14:paraId="625E992C" w14:textId="77777777" w:rsidR="008F4A58" w:rsidRPr="008F4A58" w:rsidRDefault="008F4A58" w:rsidP="008F4A58">
      <w:pPr>
        <w:spacing w:line="360" w:lineRule="auto"/>
        <w:ind w:left="1140"/>
        <w:jc w:val="both"/>
        <w:rPr>
          <w:rFonts w:ascii="Abadi" w:hAnsi="Abadi"/>
          <w:b/>
          <w:i/>
          <w:sz w:val="21"/>
          <w:szCs w:val="21"/>
          <w:lang w:eastAsia="es-MX"/>
        </w:rPr>
      </w:pPr>
      <w:r w:rsidRPr="008F4A58">
        <w:rPr>
          <w:rFonts w:ascii="Abadi" w:hAnsi="Abadi"/>
          <w:b/>
          <w:i/>
          <w:sz w:val="21"/>
          <w:szCs w:val="21"/>
          <w:lang w:eastAsia="es-MX"/>
        </w:rPr>
        <w:t>DEUDA PÚBLICA LOCAL. A PARTIR DE LAS REFORMAS AL ARTÍCULO 117, FRACCIÓN VIII, DE LA CONSTITUCIÓN POLÍTICA DE LOS ESTADOS UNIDOS MEXICANOS, LAS ENTIDADES FEDERATIVAS PUEDEN OBTENER CRÉDITOS DESTINADOS A OBRAS QUE LES GENEREN DIRECTA O INDIRECTAMENTE INGRESOS.</w:t>
      </w:r>
    </w:p>
    <w:p w14:paraId="62270A6B" w14:textId="73F690D1" w:rsidR="008F4A58" w:rsidRPr="008F4A58" w:rsidRDefault="008F4A58" w:rsidP="008F4A58">
      <w:pPr>
        <w:spacing w:line="360" w:lineRule="auto"/>
        <w:ind w:left="1140"/>
        <w:jc w:val="both"/>
        <w:rPr>
          <w:rFonts w:ascii="Abadi" w:hAnsi="Abadi"/>
          <w:i/>
          <w:sz w:val="21"/>
          <w:szCs w:val="21"/>
          <w:lang w:eastAsia="es-MX"/>
        </w:rPr>
      </w:pPr>
      <w:r w:rsidRPr="008F4A58">
        <w:rPr>
          <w:rFonts w:ascii="Abadi" w:hAnsi="Abadi"/>
          <w:i/>
          <w:sz w:val="21"/>
          <w:szCs w:val="21"/>
          <w:lang w:eastAsia="es-MX"/>
        </w:rPr>
        <w:t xml:space="preserve">De la interpretación histórica y del análisis de las reformas a dicho precepto constitucional de 1942, 1946 y 1981, </w:t>
      </w:r>
      <w:r w:rsidRPr="008F4A58">
        <w:rPr>
          <w:rFonts w:ascii="Abadi" w:hAnsi="Abadi"/>
          <w:b/>
          <w:i/>
          <w:sz w:val="21"/>
          <w:szCs w:val="21"/>
          <w:lang w:eastAsia="es-MX"/>
        </w:rPr>
        <w:t xml:space="preserve">se advierte que su objeto fue fortalecer las haciendas </w:t>
      </w:r>
      <w:r w:rsidRPr="008F4A58">
        <w:rPr>
          <w:rFonts w:ascii="Abadi" w:hAnsi="Abadi"/>
          <w:b/>
          <w:i/>
          <w:sz w:val="21"/>
          <w:szCs w:val="21"/>
          <w:lang w:eastAsia="es-MX"/>
        </w:rPr>
        <w:lastRenderedPageBreak/>
        <w:t>públicas locales y promover el desarrollo regional, despojando al crédito público local de las limitaciones que hasta ese momento imperaban, por estar delimitada dicha operación a obras que "directamente" generaran rentas, ampliándose la posibilidad de acceder al crédito cuando fuera para el más amplio concepto de "inversiones públicas productivas", permitiendo así que los créditos pudieran destinarse no sólo a obras que generaran directamente ingresos, sino también a otras que en forma indirecta lograran dicho objetivo</w:t>
      </w:r>
      <w:r w:rsidRPr="008F4A58">
        <w:rPr>
          <w:rFonts w:ascii="Abadi" w:hAnsi="Abadi"/>
          <w:i/>
          <w:sz w:val="21"/>
          <w:szCs w:val="21"/>
          <w:lang w:eastAsia="es-MX"/>
        </w:rPr>
        <w:t xml:space="preserve">. Además, a la par de este mayor margen de poder de ejercicio del crédito que la reforma dio a los gobiernos locales, y con el objeto de hacer más razonado el ejercicio de esta facultad a fin de disminuir la posibilidad de actuaciones arbitrarias por parte de los Ejecutivos Locales, </w:t>
      </w:r>
      <w:r w:rsidRPr="008F4A58">
        <w:rPr>
          <w:rFonts w:ascii="Abadi" w:hAnsi="Abadi"/>
          <w:b/>
          <w:i/>
          <w:sz w:val="21"/>
          <w:szCs w:val="21"/>
          <w:lang w:eastAsia="es-MX"/>
        </w:rPr>
        <w:t>se incluyó la previsión de una necesaria intervención y colaboración del Poder Legislativo Local en el tema del crédito público</w:t>
      </w:r>
      <w:r w:rsidRPr="008F4A58">
        <w:rPr>
          <w:rFonts w:ascii="Abadi" w:hAnsi="Abadi"/>
          <w:i/>
          <w:sz w:val="21"/>
          <w:szCs w:val="21"/>
          <w:lang w:eastAsia="es-MX"/>
        </w:rPr>
        <w:t xml:space="preserve">; </w:t>
      </w:r>
      <w:r w:rsidRPr="008F4A58">
        <w:rPr>
          <w:rFonts w:ascii="Abadi" w:hAnsi="Abadi"/>
          <w:b/>
          <w:i/>
          <w:sz w:val="21"/>
          <w:szCs w:val="21"/>
          <w:lang w:eastAsia="es-MX"/>
        </w:rPr>
        <w:t>y, se fijaron los deberes expresos sobre los Ejecutivos Estatales y los Municipios</w:t>
      </w:r>
      <w:r w:rsidRPr="008F4A58">
        <w:rPr>
          <w:rFonts w:ascii="Abadi" w:hAnsi="Abadi"/>
          <w:i/>
          <w:sz w:val="21"/>
          <w:szCs w:val="21"/>
          <w:lang w:eastAsia="es-MX"/>
        </w:rPr>
        <w:t>.</w:t>
      </w:r>
      <w:r w:rsidR="00E90C7E">
        <w:rPr>
          <w:rFonts w:ascii="Abadi" w:hAnsi="Abadi"/>
          <w:i/>
          <w:sz w:val="21"/>
          <w:szCs w:val="21"/>
          <w:vertAlign w:val="superscript"/>
          <w:lang w:eastAsia="es-MX"/>
        </w:rPr>
        <w:t xml:space="preserve">        </w:t>
      </w:r>
    </w:p>
    <w:p w14:paraId="0EC7981F" w14:textId="77777777" w:rsidR="008F4A58" w:rsidRPr="008F4A58" w:rsidRDefault="008F4A58" w:rsidP="008F4A58">
      <w:pPr>
        <w:spacing w:line="360" w:lineRule="auto"/>
        <w:ind w:firstLine="705"/>
        <w:jc w:val="both"/>
        <w:rPr>
          <w:rFonts w:ascii="Abadi" w:hAnsi="Abadi" w:cs="Arial"/>
          <w:sz w:val="21"/>
          <w:szCs w:val="21"/>
        </w:rPr>
      </w:pPr>
    </w:p>
    <w:p w14:paraId="1A238A4C" w14:textId="77777777" w:rsidR="008F4A58" w:rsidRPr="008F4A58" w:rsidRDefault="008F4A58" w:rsidP="008F4A58">
      <w:pPr>
        <w:keepNext/>
        <w:ind w:firstLine="709"/>
        <w:outlineLvl w:val="2"/>
        <w:rPr>
          <w:rFonts w:ascii="Abadi" w:hAnsi="Abadi" w:cs="Arial"/>
          <w:b/>
          <w:iCs/>
          <w:sz w:val="21"/>
          <w:szCs w:val="21"/>
        </w:rPr>
      </w:pPr>
      <w:r w:rsidRPr="008F4A58">
        <w:rPr>
          <w:rFonts w:ascii="Abadi" w:hAnsi="Abadi" w:cs="Arial"/>
          <w:b/>
          <w:iCs/>
          <w:sz w:val="21"/>
          <w:szCs w:val="21"/>
        </w:rPr>
        <w:t>2. Análisis financiero</w:t>
      </w:r>
    </w:p>
    <w:p w14:paraId="607D3F74" w14:textId="77777777" w:rsidR="008F4A58" w:rsidRPr="008F4A58" w:rsidRDefault="008F4A58" w:rsidP="008F4A58">
      <w:pPr>
        <w:keepNext/>
        <w:ind w:firstLine="709"/>
        <w:outlineLvl w:val="2"/>
        <w:rPr>
          <w:rFonts w:ascii="Abadi" w:hAnsi="Abadi" w:cs="Arial"/>
          <w:b/>
          <w:iCs/>
          <w:sz w:val="21"/>
          <w:szCs w:val="21"/>
        </w:rPr>
      </w:pPr>
    </w:p>
    <w:p w14:paraId="3FF827AC"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sz w:val="21"/>
          <w:szCs w:val="21"/>
        </w:rPr>
        <w:t xml:space="preserve">Acreditada la competencia de esta Comisión Dictaminadora, corresponde iniciar el estudio del expediente bajo las condiciones y </w:t>
      </w:r>
      <w:r w:rsidRPr="008F4A58">
        <w:rPr>
          <w:rFonts w:ascii="Abadi" w:hAnsi="Abadi" w:cs="Arial"/>
          <w:sz w:val="21"/>
          <w:szCs w:val="21"/>
        </w:rPr>
        <w:t>requisitos constitucionales y legales que le aplican.</w:t>
      </w:r>
    </w:p>
    <w:p w14:paraId="2E16C5DB" w14:textId="77777777" w:rsidR="008F4A58" w:rsidRPr="008F4A58" w:rsidRDefault="008F4A58" w:rsidP="008F4A58">
      <w:pPr>
        <w:rPr>
          <w:rFonts w:ascii="Abadi" w:hAnsi="Abadi" w:cs="Arial"/>
          <w:sz w:val="21"/>
          <w:szCs w:val="21"/>
        </w:rPr>
      </w:pPr>
    </w:p>
    <w:p w14:paraId="3AB12A44"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sz w:val="21"/>
          <w:szCs w:val="21"/>
        </w:rPr>
        <w:t>De la identificación del marco jurídico aplicable a la materia de deuda pública, ubicamos las bases a las que debe sujetarse la autorización del Congreso del Estado, y por consiguiente, para el iniciante se traducen en requisitos y condiciones que debe satisfacer, tales como:</w:t>
      </w:r>
    </w:p>
    <w:p w14:paraId="39AF4606" w14:textId="77777777" w:rsidR="008F4A58" w:rsidRPr="008F4A58" w:rsidRDefault="008F4A58" w:rsidP="008F4A58">
      <w:pPr>
        <w:ind w:firstLine="708"/>
        <w:jc w:val="both"/>
        <w:rPr>
          <w:rFonts w:ascii="Abadi" w:hAnsi="Abadi" w:cs="Arial"/>
          <w:sz w:val="21"/>
          <w:szCs w:val="21"/>
        </w:rPr>
      </w:pPr>
    </w:p>
    <w:p w14:paraId="141E2D6C" w14:textId="77777777" w:rsidR="008F4A58" w:rsidRPr="008F4A58" w:rsidRDefault="008F4A58" w:rsidP="00B81728">
      <w:pPr>
        <w:numPr>
          <w:ilvl w:val="0"/>
          <w:numId w:val="27"/>
        </w:numPr>
        <w:spacing w:line="360" w:lineRule="auto"/>
        <w:rPr>
          <w:rFonts w:ascii="Abadi" w:hAnsi="Abadi" w:cs="Arial"/>
          <w:sz w:val="21"/>
          <w:szCs w:val="21"/>
        </w:rPr>
      </w:pPr>
      <w:r w:rsidRPr="008F4A58">
        <w:rPr>
          <w:rFonts w:ascii="Abadi" w:hAnsi="Abadi" w:cs="Arial"/>
          <w:sz w:val="21"/>
          <w:szCs w:val="21"/>
        </w:rPr>
        <w:t>Acuerdo del Ayuntamiento;</w:t>
      </w:r>
    </w:p>
    <w:p w14:paraId="64C14885" w14:textId="77777777" w:rsidR="008F4A58" w:rsidRPr="008F4A58" w:rsidRDefault="008F4A58" w:rsidP="00B81728">
      <w:pPr>
        <w:numPr>
          <w:ilvl w:val="0"/>
          <w:numId w:val="27"/>
        </w:numPr>
        <w:spacing w:line="360" w:lineRule="auto"/>
        <w:rPr>
          <w:rFonts w:ascii="Abadi" w:hAnsi="Abadi" w:cs="Arial"/>
          <w:sz w:val="21"/>
          <w:szCs w:val="21"/>
        </w:rPr>
      </w:pPr>
      <w:r w:rsidRPr="008F4A58">
        <w:rPr>
          <w:rFonts w:ascii="Abadi" w:hAnsi="Abadi" w:cs="Arial"/>
          <w:sz w:val="21"/>
          <w:szCs w:val="21"/>
        </w:rPr>
        <w:t>Se trate de acreditante que opere en territorio nacional;</w:t>
      </w:r>
    </w:p>
    <w:p w14:paraId="660810AC" w14:textId="77777777" w:rsidR="008F4A58" w:rsidRPr="008F4A58" w:rsidRDefault="008F4A58" w:rsidP="00B81728">
      <w:pPr>
        <w:numPr>
          <w:ilvl w:val="0"/>
          <w:numId w:val="27"/>
        </w:numPr>
        <w:spacing w:line="360" w:lineRule="auto"/>
        <w:rPr>
          <w:rFonts w:ascii="Abadi" w:hAnsi="Abadi" w:cs="Arial"/>
          <w:sz w:val="21"/>
          <w:szCs w:val="21"/>
        </w:rPr>
      </w:pPr>
      <w:r w:rsidRPr="008F4A58">
        <w:rPr>
          <w:rFonts w:ascii="Abadi" w:hAnsi="Abadi" w:cs="Arial"/>
          <w:sz w:val="21"/>
          <w:szCs w:val="21"/>
        </w:rPr>
        <w:t>Pagaderos en moneda y territorio nacionales;</w:t>
      </w:r>
    </w:p>
    <w:p w14:paraId="5E748813" w14:textId="77777777" w:rsidR="008F4A58" w:rsidRPr="008F4A58" w:rsidRDefault="008F4A58" w:rsidP="00B81728">
      <w:pPr>
        <w:numPr>
          <w:ilvl w:val="0"/>
          <w:numId w:val="27"/>
        </w:numPr>
        <w:spacing w:line="360" w:lineRule="auto"/>
        <w:rPr>
          <w:rFonts w:ascii="Abadi" w:hAnsi="Abadi" w:cs="Arial"/>
          <w:sz w:val="21"/>
          <w:szCs w:val="21"/>
        </w:rPr>
      </w:pPr>
      <w:r w:rsidRPr="008F4A58">
        <w:rPr>
          <w:rFonts w:ascii="Abadi" w:hAnsi="Abadi" w:cs="Arial"/>
          <w:sz w:val="21"/>
          <w:szCs w:val="21"/>
        </w:rPr>
        <w:t>Destino a inversión pública productiva;</w:t>
      </w:r>
    </w:p>
    <w:p w14:paraId="379528D4" w14:textId="77777777" w:rsidR="008F4A58" w:rsidRPr="008F4A58" w:rsidRDefault="008F4A58" w:rsidP="00B81728">
      <w:pPr>
        <w:numPr>
          <w:ilvl w:val="0"/>
          <w:numId w:val="27"/>
        </w:numPr>
        <w:spacing w:line="360" w:lineRule="auto"/>
        <w:rPr>
          <w:rFonts w:ascii="Abadi" w:hAnsi="Abadi" w:cs="Arial"/>
          <w:sz w:val="21"/>
          <w:szCs w:val="21"/>
        </w:rPr>
      </w:pPr>
      <w:r w:rsidRPr="008F4A58">
        <w:rPr>
          <w:rFonts w:ascii="Abadi" w:hAnsi="Abadi" w:cs="Arial"/>
          <w:sz w:val="21"/>
          <w:szCs w:val="21"/>
        </w:rPr>
        <w:t>Planeación en el presupuesto de egresos;</w:t>
      </w:r>
    </w:p>
    <w:p w14:paraId="704C2461" w14:textId="77777777" w:rsidR="008F4A58" w:rsidRPr="008F4A58" w:rsidRDefault="008F4A58" w:rsidP="00B81728">
      <w:pPr>
        <w:numPr>
          <w:ilvl w:val="0"/>
          <w:numId w:val="27"/>
        </w:numPr>
        <w:spacing w:line="360" w:lineRule="auto"/>
        <w:rPr>
          <w:rFonts w:ascii="Abadi" w:hAnsi="Abadi" w:cs="Arial"/>
          <w:sz w:val="21"/>
          <w:szCs w:val="21"/>
        </w:rPr>
      </w:pPr>
      <w:r w:rsidRPr="008F4A58">
        <w:rPr>
          <w:rFonts w:ascii="Abadi" w:hAnsi="Abadi" w:cs="Arial"/>
          <w:sz w:val="21"/>
          <w:szCs w:val="21"/>
        </w:rPr>
        <w:t>Especificar el monto, destino y condiciones del empréstito;</w:t>
      </w:r>
    </w:p>
    <w:p w14:paraId="341C9580" w14:textId="77777777" w:rsidR="008F4A58" w:rsidRPr="008F4A58" w:rsidRDefault="008F4A58" w:rsidP="00B81728">
      <w:pPr>
        <w:numPr>
          <w:ilvl w:val="0"/>
          <w:numId w:val="27"/>
        </w:numPr>
        <w:spacing w:line="360" w:lineRule="auto"/>
        <w:rPr>
          <w:rFonts w:ascii="Abadi" w:hAnsi="Abadi" w:cs="Arial"/>
          <w:sz w:val="21"/>
          <w:szCs w:val="21"/>
        </w:rPr>
      </w:pPr>
      <w:r w:rsidRPr="008F4A58">
        <w:rPr>
          <w:rFonts w:ascii="Abadi" w:hAnsi="Abadi" w:cs="Arial"/>
          <w:sz w:val="21"/>
          <w:szCs w:val="21"/>
        </w:rPr>
        <w:t>Capacidad financiera.</w:t>
      </w:r>
    </w:p>
    <w:p w14:paraId="47A01782" w14:textId="77777777" w:rsidR="008F4A58" w:rsidRPr="008F4A58" w:rsidRDefault="008F4A58" w:rsidP="008F4A58">
      <w:pPr>
        <w:ind w:firstLine="708"/>
        <w:jc w:val="both"/>
        <w:rPr>
          <w:rFonts w:ascii="Abadi" w:hAnsi="Abadi" w:cs="Arial"/>
          <w:sz w:val="21"/>
          <w:szCs w:val="21"/>
        </w:rPr>
      </w:pPr>
    </w:p>
    <w:p w14:paraId="63B29F0E"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sz w:val="21"/>
          <w:szCs w:val="21"/>
        </w:rPr>
        <w:t>Del análisis realizado de la documentación remitida por el ayuntamiento de Apaseo el Grande</w:t>
      </w:r>
      <w:r w:rsidRPr="008F4A58">
        <w:rPr>
          <w:rFonts w:ascii="Abadi" w:hAnsi="Abadi" w:cs="Arial"/>
          <w:iCs/>
          <w:sz w:val="21"/>
          <w:szCs w:val="21"/>
        </w:rPr>
        <w:t xml:space="preserve">, </w:t>
      </w:r>
      <w:r w:rsidRPr="008F4A58">
        <w:rPr>
          <w:rFonts w:ascii="Abadi" w:hAnsi="Abadi" w:cs="Arial"/>
          <w:sz w:val="21"/>
          <w:szCs w:val="21"/>
        </w:rPr>
        <w:t>Gto., se constata que se cumple con la documentación que comprueba el acuerdo del Ayuntamiento; se trata de acreditante nacional; pagadero en moneda y territorio nacionales; el destino a inversión pública productiva; previsión en el programa financiero anual; y, se especifica el monto, y condiciones del empréstito.</w:t>
      </w:r>
    </w:p>
    <w:p w14:paraId="568CCB34" w14:textId="77777777" w:rsidR="008F4A58" w:rsidRPr="008F4A58" w:rsidRDefault="008F4A58" w:rsidP="008F4A58">
      <w:pPr>
        <w:spacing w:line="360" w:lineRule="auto"/>
        <w:ind w:firstLine="708"/>
        <w:jc w:val="both"/>
        <w:rPr>
          <w:rFonts w:ascii="Abadi" w:hAnsi="Abadi" w:cs="Arial"/>
          <w:sz w:val="21"/>
          <w:szCs w:val="21"/>
        </w:rPr>
      </w:pPr>
    </w:p>
    <w:p w14:paraId="725C720A"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sz w:val="21"/>
          <w:szCs w:val="21"/>
        </w:rPr>
        <w:t>Asimismo, de acuerdo al análisis efectuado por la Unidad de Estudios de las Finanzas Públicas de este Congreso, el municipio de Apaseo el Grande</w:t>
      </w:r>
      <w:r w:rsidRPr="008F4A58">
        <w:rPr>
          <w:rFonts w:ascii="Abadi" w:hAnsi="Abadi" w:cs="Arial"/>
          <w:iCs/>
          <w:sz w:val="21"/>
          <w:szCs w:val="21"/>
        </w:rPr>
        <w:t xml:space="preserve">, </w:t>
      </w:r>
      <w:r w:rsidRPr="008F4A58">
        <w:rPr>
          <w:rFonts w:ascii="Abadi" w:hAnsi="Abadi" w:cs="Arial"/>
          <w:sz w:val="21"/>
          <w:szCs w:val="21"/>
        </w:rPr>
        <w:t xml:space="preserve">Gto., cuenta con la </w:t>
      </w:r>
      <w:r w:rsidRPr="008F4A58">
        <w:rPr>
          <w:rFonts w:ascii="Abadi" w:hAnsi="Abadi" w:cs="Arial"/>
          <w:sz w:val="21"/>
          <w:szCs w:val="21"/>
        </w:rPr>
        <w:lastRenderedPageBreak/>
        <w:t xml:space="preserve">capacidad económica y financiera para hacer frente al compromiso financiero que se adquirirá con la contratación de la deuda. </w:t>
      </w:r>
    </w:p>
    <w:p w14:paraId="5F8FD5E7" w14:textId="77777777" w:rsidR="008F4A58" w:rsidRPr="008F4A58" w:rsidRDefault="008F4A58" w:rsidP="008F4A58">
      <w:pPr>
        <w:spacing w:line="360" w:lineRule="auto"/>
        <w:ind w:firstLine="708"/>
        <w:jc w:val="both"/>
        <w:rPr>
          <w:rFonts w:ascii="Abadi" w:hAnsi="Abadi" w:cs="Arial"/>
          <w:sz w:val="21"/>
          <w:szCs w:val="21"/>
        </w:rPr>
      </w:pPr>
    </w:p>
    <w:p w14:paraId="2C0DEAE4"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sz w:val="21"/>
          <w:szCs w:val="21"/>
        </w:rPr>
        <w:t xml:space="preserve">Al respecto, cabe señalar que el análisis técnico realizado por la Unidad de Estudios de las Finanzas Públicas de este Congreso, para el análisis de la solicitud contempló los siguientes aspectos: </w:t>
      </w:r>
    </w:p>
    <w:p w14:paraId="2CF8FCDA" w14:textId="77777777" w:rsidR="008F4A58" w:rsidRPr="008F4A58" w:rsidRDefault="008F4A58" w:rsidP="008F4A58">
      <w:pPr>
        <w:spacing w:line="360" w:lineRule="auto"/>
        <w:ind w:firstLine="708"/>
        <w:jc w:val="both"/>
        <w:rPr>
          <w:rFonts w:ascii="Abadi" w:hAnsi="Abadi" w:cs="Arial"/>
          <w:sz w:val="21"/>
          <w:szCs w:val="21"/>
        </w:rPr>
      </w:pPr>
    </w:p>
    <w:p w14:paraId="670910BC" w14:textId="77777777" w:rsidR="008F4A58" w:rsidRPr="008F4A58" w:rsidRDefault="008F4A58" w:rsidP="00B81728">
      <w:pPr>
        <w:numPr>
          <w:ilvl w:val="1"/>
          <w:numId w:val="30"/>
        </w:numPr>
        <w:spacing w:line="360" w:lineRule="auto"/>
        <w:contextualSpacing/>
        <w:jc w:val="both"/>
        <w:rPr>
          <w:rFonts w:ascii="Abadi" w:hAnsi="Abadi"/>
          <w:b/>
          <w:sz w:val="21"/>
          <w:szCs w:val="21"/>
          <w:lang w:eastAsia="es-MX"/>
        </w:rPr>
      </w:pPr>
      <w:r w:rsidRPr="008F4A58">
        <w:rPr>
          <w:rFonts w:ascii="Abadi" w:hAnsi="Abadi"/>
          <w:b/>
          <w:sz w:val="21"/>
          <w:szCs w:val="21"/>
          <w:lang w:eastAsia="es-MX"/>
        </w:rPr>
        <w:t>. Situación de las finanzas públicas del Municipio de Apaseo el Grande</w:t>
      </w:r>
    </w:p>
    <w:p w14:paraId="61D3D875" w14:textId="77777777" w:rsidR="008F4A58" w:rsidRPr="008F4A58" w:rsidRDefault="008F4A58" w:rsidP="008F4A58">
      <w:pPr>
        <w:spacing w:line="360" w:lineRule="auto"/>
        <w:jc w:val="both"/>
        <w:rPr>
          <w:rFonts w:ascii="Abadi" w:hAnsi="Abadi"/>
          <w:b/>
          <w:sz w:val="21"/>
          <w:szCs w:val="21"/>
          <w:lang w:eastAsia="es-MX"/>
        </w:rPr>
      </w:pPr>
    </w:p>
    <w:p w14:paraId="1723EA61" w14:textId="77777777" w:rsidR="008F4A58" w:rsidRPr="008F4A58" w:rsidRDefault="008F4A58" w:rsidP="008F4A58">
      <w:pPr>
        <w:spacing w:after="150" w:line="360" w:lineRule="auto"/>
        <w:ind w:firstLine="708"/>
        <w:jc w:val="both"/>
        <w:rPr>
          <w:rFonts w:ascii="Abadi" w:hAnsi="Abadi"/>
          <w:b/>
          <w:bCs/>
          <w:sz w:val="21"/>
          <w:szCs w:val="21"/>
        </w:rPr>
      </w:pPr>
      <w:r w:rsidRPr="008F4A58">
        <w:rPr>
          <w:rFonts w:ascii="Abadi" w:hAnsi="Abadi"/>
          <w:b/>
          <w:bCs/>
          <w:sz w:val="21"/>
          <w:szCs w:val="21"/>
        </w:rPr>
        <w:t>2.1.1. Perfil económico del municipio de Apaseo el Grande</w:t>
      </w:r>
    </w:p>
    <w:p w14:paraId="57E357F7" w14:textId="77777777" w:rsidR="008F4A58" w:rsidRPr="008F4A58" w:rsidRDefault="008F4A58" w:rsidP="008F4A58">
      <w:pPr>
        <w:spacing w:before="100" w:beforeAutospacing="1" w:after="100" w:afterAutospacing="1" w:line="360" w:lineRule="auto"/>
        <w:ind w:firstLine="708"/>
        <w:jc w:val="both"/>
        <w:rPr>
          <w:rFonts w:ascii="Abadi" w:hAnsi="Abadi"/>
          <w:sz w:val="21"/>
          <w:szCs w:val="21"/>
          <w:lang w:val="es-MX" w:eastAsia="es-MX"/>
        </w:rPr>
      </w:pPr>
      <w:r w:rsidRPr="008F4A58">
        <w:rPr>
          <w:rFonts w:ascii="Abadi" w:hAnsi="Abadi"/>
          <w:sz w:val="21"/>
          <w:szCs w:val="21"/>
          <w:lang w:val="es-MX" w:eastAsia="es-MX"/>
        </w:rPr>
        <w:t xml:space="preserve">La superficie territorial del Municipio es de 420.4 kilómetros cuadrados, equivalentes al 1.37% de la superficie total del estado. Limita al norte con los municipios de </w:t>
      </w:r>
      <w:hyperlink r:id="rId21" w:history="1">
        <w:r w:rsidRPr="008F4A58">
          <w:rPr>
            <w:rFonts w:ascii="Abadi" w:hAnsi="Abadi"/>
            <w:sz w:val="21"/>
            <w:szCs w:val="21"/>
            <w:lang w:val="es-MX" w:eastAsia="es-MX"/>
          </w:rPr>
          <w:t>Comonfort</w:t>
        </w:r>
      </w:hyperlink>
      <w:r w:rsidRPr="008F4A58">
        <w:rPr>
          <w:rFonts w:ascii="Abadi" w:hAnsi="Abadi"/>
          <w:sz w:val="21"/>
          <w:szCs w:val="21"/>
          <w:lang w:val="es-MX" w:eastAsia="es-MX"/>
        </w:rPr>
        <w:t xml:space="preserve"> y </w:t>
      </w:r>
      <w:hyperlink r:id="rId22" w:history="1">
        <w:r w:rsidRPr="008F4A58">
          <w:rPr>
            <w:rFonts w:ascii="Abadi" w:hAnsi="Abadi"/>
            <w:sz w:val="21"/>
            <w:szCs w:val="21"/>
            <w:lang w:val="es-MX" w:eastAsia="es-MX"/>
          </w:rPr>
          <w:t>San Miguel de Allende</w:t>
        </w:r>
      </w:hyperlink>
      <w:r w:rsidRPr="008F4A58">
        <w:rPr>
          <w:rFonts w:ascii="Abadi" w:hAnsi="Abadi"/>
          <w:sz w:val="21"/>
          <w:szCs w:val="21"/>
          <w:lang w:val="es-MX" w:eastAsia="es-MX"/>
        </w:rPr>
        <w:t xml:space="preserve">; hacia el este con el estado de </w:t>
      </w:r>
      <w:hyperlink r:id="rId23" w:history="1">
        <w:r w:rsidRPr="008F4A58">
          <w:rPr>
            <w:rFonts w:ascii="Abadi" w:hAnsi="Abadi"/>
            <w:sz w:val="21"/>
            <w:szCs w:val="21"/>
            <w:lang w:val="es-MX" w:eastAsia="es-MX"/>
          </w:rPr>
          <w:t>Querétaro de Arteaga</w:t>
        </w:r>
      </w:hyperlink>
      <w:r w:rsidRPr="008F4A58">
        <w:rPr>
          <w:rFonts w:ascii="Abadi" w:hAnsi="Abadi"/>
          <w:sz w:val="21"/>
          <w:szCs w:val="21"/>
          <w:lang w:val="es-MX" w:eastAsia="es-MX"/>
        </w:rPr>
        <w:t xml:space="preserve">; al sur con el municipio de </w:t>
      </w:r>
      <w:hyperlink r:id="rId24" w:history="1">
        <w:r w:rsidRPr="008F4A58">
          <w:rPr>
            <w:rFonts w:ascii="Abadi" w:hAnsi="Abadi"/>
            <w:sz w:val="21"/>
            <w:szCs w:val="21"/>
            <w:lang w:val="es-MX" w:eastAsia="es-MX"/>
          </w:rPr>
          <w:t>Apaseo el Alto</w:t>
        </w:r>
      </w:hyperlink>
      <w:r w:rsidRPr="008F4A58">
        <w:rPr>
          <w:rFonts w:ascii="Abadi" w:hAnsi="Abadi"/>
          <w:sz w:val="21"/>
          <w:szCs w:val="21"/>
          <w:lang w:val="es-MX" w:eastAsia="es-MX"/>
        </w:rPr>
        <w:t xml:space="preserve"> y hacia el oeste con el municipio de </w:t>
      </w:r>
      <w:hyperlink r:id="rId25" w:history="1">
        <w:r w:rsidRPr="008F4A58">
          <w:rPr>
            <w:rFonts w:ascii="Abadi" w:hAnsi="Abadi"/>
            <w:sz w:val="21"/>
            <w:szCs w:val="21"/>
            <w:lang w:val="es-MX" w:eastAsia="es-MX"/>
          </w:rPr>
          <w:t>Celaya</w:t>
        </w:r>
      </w:hyperlink>
      <w:r w:rsidRPr="008F4A58">
        <w:rPr>
          <w:rFonts w:ascii="Abadi" w:hAnsi="Abadi"/>
          <w:sz w:val="21"/>
          <w:szCs w:val="21"/>
          <w:lang w:val="es-MX" w:eastAsia="es-MX"/>
        </w:rPr>
        <w:t xml:space="preserve">. En 2020, el Instituto Nacional de Estadística y Geografía contabilizó un total de 117,883 habitantes en el municipio de Apaseo el Grande, Guanajuato. </w:t>
      </w:r>
    </w:p>
    <w:p w14:paraId="47B27892" w14:textId="77777777" w:rsidR="008F4A58" w:rsidRPr="008F4A58" w:rsidRDefault="008F4A58" w:rsidP="008F4A58">
      <w:pPr>
        <w:spacing w:before="100" w:beforeAutospacing="1" w:after="100" w:afterAutospacing="1" w:line="360" w:lineRule="auto"/>
        <w:ind w:firstLine="708"/>
        <w:jc w:val="both"/>
        <w:rPr>
          <w:rFonts w:ascii="Abadi" w:hAnsi="Abadi"/>
          <w:sz w:val="21"/>
          <w:szCs w:val="21"/>
          <w:lang w:val="es-MX" w:eastAsia="es-MX"/>
        </w:rPr>
      </w:pPr>
      <w:r w:rsidRPr="008F4A58">
        <w:rPr>
          <w:rFonts w:ascii="Abadi" w:hAnsi="Abadi"/>
          <w:sz w:val="21"/>
          <w:szCs w:val="21"/>
          <w:lang w:val="es-MX" w:eastAsia="es-MX"/>
        </w:rPr>
        <w:t>De acuerdo con el tamaño de su población, el Municipio se clasifica como un municipio urbano</w:t>
      </w:r>
      <w:r w:rsidRPr="008F4A58">
        <w:rPr>
          <w:rFonts w:ascii="Abadi" w:hAnsi="Abadi"/>
          <w:sz w:val="21"/>
          <w:szCs w:val="21"/>
          <w:vertAlign w:val="superscript"/>
          <w:lang w:val="es-MX" w:eastAsia="es-MX"/>
        </w:rPr>
        <w:footnoteReference w:id="94"/>
      </w:r>
      <w:r w:rsidRPr="008F4A58">
        <w:rPr>
          <w:rFonts w:ascii="Abadi" w:hAnsi="Abadi"/>
          <w:sz w:val="21"/>
          <w:szCs w:val="21"/>
          <w:lang w:val="es-MX" w:eastAsia="es-MX"/>
        </w:rPr>
        <w:t xml:space="preserve">, ocupando la posición número catorce con mayor cantidad de habitantes en el Estado de Guanajuato, lo que equivale al 1.9% del total. Respecto al índice de rezago social, en el que se resumen carencias </w:t>
      </w:r>
      <w:r w:rsidRPr="008F4A58">
        <w:rPr>
          <w:rFonts w:ascii="Abadi" w:hAnsi="Abadi"/>
          <w:sz w:val="21"/>
          <w:szCs w:val="21"/>
          <w:lang w:val="es-MX" w:eastAsia="es-MX"/>
        </w:rPr>
        <w:t>sociales como son la educación, salud, servicios básicos y espacios de vivienda, el Consejo Nacional de Evaluación de la Política de Desarrollo Social CONEVAL lo clasifica con datos de 2020, con un grado «</w:t>
      </w:r>
      <w:r w:rsidRPr="008F4A58">
        <w:rPr>
          <w:rFonts w:ascii="Abadi" w:hAnsi="Abadi"/>
          <w:i/>
          <w:iCs/>
          <w:sz w:val="21"/>
          <w:szCs w:val="21"/>
          <w:lang w:val="es-MX" w:eastAsia="es-MX"/>
        </w:rPr>
        <w:t>Muy Bajo</w:t>
      </w:r>
      <w:r w:rsidRPr="008F4A58">
        <w:rPr>
          <w:rFonts w:ascii="Abadi" w:hAnsi="Abadi"/>
          <w:sz w:val="21"/>
          <w:szCs w:val="21"/>
          <w:lang w:val="es-MX" w:eastAsia="es-MX"/>
        </w:rPr>
        <w:t>». Este indicador es relevante para conocer el perfil socioeconómico del Municipio y se toma como referencia para la asignación de recursos de programas sociales y transferencias federales.</w:t>
      </w:r>
    </w:p>
    <w:p w14:paraId="24C84AB6"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noProof/>
          <w:sz w:val="21"/>
          <w:szCs w:val="21"/>
          <w:lang w:val="es-MX" w:eastAsia="es-MX"/>
        </w:rPr>
        <w:drawing>
          <wp:inline distT="0" distB="0" distL="0" distR="0" wp14:anchorId="108DDC1B" wp14:editId="70687A27">
            <wp:extent cx="2712713" cy="1343025"/>
            <wp:effectExtent l="0" t="0" r="0" b="0"/>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0714" cy="1351937"/>
                    </a:xfrm>
                    <a:prstGeom prst="rect">
                      <a:avLst/>
                    </a:prstGeom>
                    <a:noFill/>
                  </pic:spPr>
                </pic:pic>
              </a:graphicData>
            </a:graphic>
          </wp:inline>
        </w:drawing>
      </w:r>
    </w:p>
    <w:p w14:paraId="32E70182"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sz w:val="21"/>
          <w:szCs w:val="21"/>
          <w:lang w:val="es-MX" w:eastAsia="es-MX"/>
        </w:rPr>
        <w:t>Fuente: Elaboración propia con información del Censo 2020 del INEGI.</w:t>
      </w:r>
    </w:p>
    <w:p w14:paraId="6331A673" w14:textId="77777777" w:rsidR="008F4A58" w:rsidRPr="008F4A58" w:rsidRDefault="008F4A58" w:rsidP="008F4A58">
      <w:pPr>
        <w:spacing w:before="100" w:beforeAutospacing="1" w:after="100" w:afterAutospacing="1" w:line="360" w:lineRule="auto"/>
        <w:ind w:firstLine="708"/>
        <w:jc w:val="both"/>
        <w:rPr>
          <w:rFonts w:ascii="Abadi" w:hAnsi="Abadi"/>
          <w:sz w:val="21"/>
          <w:szCs w:val="21"/>
          <w:lang w:val="es-MX" w:eastAsia="es-MX"/>
        </w:rPr>
      </w:pPr>
      <w:r w:rsidRPr="008F4A58">
        <w:rPr>
          <w:rFonts w:ascii="Abadi" w:hAnsi="Abadi"/>
          <w:sz w:val="21"/>
          <w:szCs w:val="21"/>
          <w:lang w:val="es-MX" w:eastAsia="es-MX"/>
        </w:rPr>
        <w:t xml:space="preserve">En el Censo Económico 2018 del Instituto Nacional de Estadística y Geografía se observa que la producción bruta del municipio de Apaseo el Grande es de $36,798.93 millones de pesos, siendo el séptimo municipio con mayor producción en el Estado, representando el 2.7% del total. Destaca además que el Municipio cuenta con 2,629 unidades económicas, siendo sus principales actividades económicas la industria manufacturera, comercio al por menor, servicios de alojamiento temporal y de preparación de alimentos y bebidas y otros servicios, excepto actividades gubernamentales. Las unidades económicas cuya actividad económica corresponde a industrias </w:t>
      </w:r>
      <w:r w:rsidRPr="008F4A58">
        <w:rPr>
          <w:rFonts w:ascii="Abadi" w:hAnsi="Abadi"/>
          <w:sz w:val="21"/>
          <w:szCs w:val="21"/>
          <w:lang w:val="es-MX" w:eastAsia="es-MX"/>
        </w:rPr>
        <w:lastRenderedPageBreak/>
        <w:t>manufactureras generan una producción bruta de $34,433.08 millones de pesos, lo que representa el 93.6% de la producción bruta total del Municipio.</w:t>
      </w:r>
    </w:p>
    <w:tbl>
      <w:tblPr>
        <w:tblW w:w="4203" w:type="dxa"/>
        <w:jc w:val="center"/>
        <w:tblCellMar>
          <w:left w:w="70" w:type="dxa"/>
          <w:right w:w="70" w:type="dxa"/>
        </w:tblCellMar>
        <w:tblLook w:val="04A0" w:firstRow="1" w:lastRow="0" w:firstColumn="1" w:lastColumn="0" w:noHBand="0" w:noVBand="1"/>
      </w:tblPr>
      <w:tblGrid>
        <w:gridCol w:w="2372"/>
        <w:gridCol w:w="988"/>
        <w:gridCol w:w="1034"/>
      </w:tblGrid>
      <w:tr w:rsidR="008F4A58" w:rsidRPr="008F4A58" w14:paraId="535CCC2B" w14:textId="77777777" w:rsidTr="00B81728">
        <w:trPr>
          <w:trHeight w:val="2"/>
          <w:jc w:val="center"/>
        </w:trPr>
        <w:tc>
          <w:tcPr>
            <w:tcW w:w="4203" w:type="dxa"/>
            <w:gridSpan w:val="3"/>
            <w:tcBorders>
              <w:top w:val="nil"/>
              <w:left w:val="nil"/>
              <w:bottom w:val="nil"/>
              <w:right w:val="nil"/>
            </w:tcBorders>
            <w:shd w:val="clear" w:color="auto" w:fill="auto"/>
            <w:noWrap/>
            <w:vAlign w:val="bottom"/>
            <w:hideMark/>
          </w:tcPr>
          <w:p w14:paraId="02CB7BE6" w14:textId="77777777" w:rsidR="008F4A58" w:rsidRPr="008F4A58" w:rsidRDefault="008F4A58" w:rsidP="008F4A58">
            <w:pPr>
              <w:jc w:val="center"/>
              <w:rPr>
                <w:rFonts w:ascii="Abadi" w:hAnsi="Abadi"/>
                <w:b/>
                <w:bCs/>
                <w:color w:val="000000"/>
                <w:sz w:val="21"/>
                <w:szCs w:val="21"/>
                <w:lang w:eastAsia="es-MX"/>
              </w:rPr>
            </w:pPr>
            <w:r w:rsidRPr="008F4A58">
              <w:rPr>
                <w:rFonts w:ascii="Abadi" w:hAnsi="Abadi"/>
                <w:b/>
                <w:bCs/>
                <w:color w:val="000000"/>
                <w:sz w:val="21"/>
                <w:szCs w:val="21"/>
                <w:lang w:eastAsia="es-MX"/>
              </w:rPr>
              <w:t>Apaseo el Grande</w:t>
            </w:r>
          </w:p>
        </w:tc>
      </w:tr>
      <w:tr w:rsidR="008F4A58" w:rsidRPr="008F4A58" w14:paraId="79C93662" w14:textId="77777777" w:rsidTr="00B81728">
        <w:trPr>
          <w:trHeight w:val="2"/>
          <w:jc w:val="center"/>
        </w:trPr>
        <w:tc>
          <w:tcPr>
            <w:tcW w:w="4203" w:type="dxa"/>
            <w:gridSpan w:val="3"/>
            <w:tcBorders>
              <w:top w:val="nil"/>
              <w:left w:val="nil"/>
              <w:bottom w:val="nil"/>
              <w:right w:val="nil"/>
            </w:tcBorders>
            <w:shd w:val="clear" w:color="auto" w:fill="auto"/>
            <w:noWrap/>
            <w:vAlign w:val="bottom"/>
            <w:hideMark/>
          </w:tcPr>
          <w:p w14:paraId="2A116E82" w14:textId="77777777" w:rsidR="008F4A58" w:rsidRPr="008F4A58" w:rsidRDefault="008F4A58" w:rsidP="008F4A58">
            <w:pPr>
              <w:jc w:val="center"/>
              <w:rPr>
                <w:rFonts w:ascii="Abadi" w:hAnsi="Abadi"/>
                <w:b/>
                <w:bCs/>
                <w:color w:val="000000"/>
                <w:sz w:val="21"/>
                <w:szCs w:val="21"/>
                <w:lang w:eastAsia="es-MX"/>
              </w:rPr>
            </w:pPr>
            <w:r w:rsidRPr="008F4A58">
              <w:rPr>
                <w:rFonts w:ascii="Abadi" w:hAnsi="Abadi"/>
                <w:b/>
                <w:bCs/>
                <w:color w:val="000000"/>
                <w:sz w:val="21"/>
                <w:szCs w:val="21"/>
                <w:lang w:eastAsia="es-MX"/>
              </w:rPr>
              <w:t>Producción bruta total (millones de pesos)</w:t>
            </w:r>
          </w:p>
        </w:tc>
      </w:tr>
      <w:tr w:rsidR="008F4A58" w:rsidRPr="008F4A58" w14:paraId="44A31084" w14:textId="77777777" w:rsidTr="00B81728">
        <w:trPr>
          <w:jc w:val="center"/>
        </w:trPr>
        <w:tc>
          <w:tcPr>
            <w:tcW w:w="2884" w:type="dxa"/>
            <w:tcBorders>
              <w:top w:val="nil"/>
              <w:left w:val="nil"/>
              <w:bottom w:val="nil"/>
              <w:right w:val="nil"/>
            </w:tcBorders>
            <w:shd w:val="clear" w:color="auto" w:fill="auto"/>
            <w:noWrap/>
            <w:vAlign w:val="bottom"/>
            <w:hideMark/>
          </w:tcPr>
          <w:p w14:paraId="3738408B" w14:textId="77777777" w:rsidR="008F4A58" w:rsidRPr="008F4A58" w:rsidRDefault="008F4A58" w:rsidP="008F4A58">
            <w:pPr>
              <w:jc w:val="center"/>
              <w:rPr>
                <w:rFonts w:ascii="Abadi" w:hAnsi="Abadi"/>
                <w:b/>
                <w:bCs/>
                <w:color w:val="000000"/>
                <w:sz w:val="21"/>
                <w:szCs w:val="21"/>
                <w:lang w:eastAsia="es-MX"/>
              </w:rPr>
            </w:pPr>
          </w:p>
        </w:tc>
        <w:tc>
          <w:tcPr>
            <w:tcW w:w="644" w:type="dxa"/>
            <w:tcBorders>
              <w:top w:val="nil"/>
              <w:left w:val="nil"/>
              <w:bottom w:val="nil"/>
              <w:right w:val="nil"/>
            </w:tcBorders>
            <w:shd w:val="clear" w:color="auto" w:fill="auto"/>
            <w:noWrap/>
            <w:vAlign w:val="bottom"/>
            <w:hideMark/>
          </w:tcPr>
          <w:p w14:paraId="0410E08D" w14:textId="77777777" w:rsidR="008F4A58" w:rsidRPr="008F4A58" w:rsidRDefault="008F4A58" w:rsidP="008F4A58">
            <w:pPr>
              <w:jc w:val="center"/>
              <w:rPr>
                <w:rFonts w:ascii="Abadi" w:hAnsi="Abadi"/>
                <w:sz w:val="21"/>
                <w:szCs w:val="21"/>
                <w:lang w:eastAsia="es-MX"/>
              </w:rPr>
            </w:pPr>
          </w:p>
        </w:tc>
        <w:tc>
          <w:tcPr>
            <w:tcW w:w="674" w:type="dxa"/>
            <w:tcBorders>
              <w:top w:val="nil"/>
              <w:left w:val="nil"/>
              <w:bottom w:val="nil"/>
              <w:right w:val="nil"/>
            </w:tcBorders>
            <w:shd w:val="clear" w:color="auto" w:fill="auto"/>
            <w:noWrap/>
            <w:vAlign w:val="bottom"/>
            <w:hideMark/>
          </w:tcPr>
          <w:p w14:paraId="168342B6" w14:textId="77777777" w:rsidR="008F4A58" w:rsidRPr="008F4A58" w:rsidRDefault="008F4A58" w:rsidP="008F4A58">
            <w:pPr>
              <w:jc w:val="center"/>
              <w:rPr>
                <w:rFonts w:ascii="Abadi" w:hAnsi="Abadi"/>
                <w:sz w:val="21"/>
                <w:szCs w:val="21"/>
                <w:lang w:eastAsia="es-MX"/>
              </w:rPr>
            </w:pPr>
          </w:p>
        </w:tc>
      </w:tr>
      <w:tr w:rsidR="008F4A58" w:rsidRPr="008F4A58" w14:paraId="36E4123A" w14:textId="77777777" w:rsidTr="00B81728">
        <w:trPr>
          <w:trHeight w:val="4"/>
          <w:jc w:val="center"/>
        </w:trPr>
        <w:tc>
          <w:tcPr>
            <w:tcW w:w="2884" w:type="dxa"/>
            <w:tcBorders>
              <w:top w:val="nil"/>
              <w:left w:val="nil"/>
              <w:bottom w:val="nil"/>
              <w:right w:val="nil"/>
            </w:tcBorders>
            <w:shd w:val="clear" w:color="000000" w:fill="293241"/>
            <w:vAlign w:val="center"/>
            <w:hideMark/>
          </w:tcPr>
          <w:p w14:paraId="3EBD6DF9" w14:textId="77777777" w:rsidR="008F4A58" w:rsidRPr="008F4A58" w:rsidRDefault="008F4A58" w:rsidP="008F4A58">
            <w:pPr>
              <w:jc w:val="center"/>
              <w:rPr>
                <w:rFonts w:ascii="Abadi" w:hAnsi="Abadi"/>
                <w:b/>
                <w:bCs/>
                <w:color w:val="E7E6E6"/>
                <w:sz w:val="21"/>
                <w:szCs w:val="21"/>
                <w:lang w:eastAsia="es-MX"/>
              </w:rPr>
            </w:pPr>
            <w:r w:rsidRPr="008F4A58">
              <w:rPr>
                <w:rFonts w:ascii="Abadi" w:hAnsi="Abadi"/>
                <w:b/>
                <w:bCs/>
                <w:color w:val="E7E6E6"/>
                <w:sz w:val="21"/>
                <w:szCs w:val="21"/>
                <w:lang w:eastAsia="es-MX"/>
              </w:rPr>
              <w:t>Actividad económica</w:t>
            </w:r>
          </w:p>
        </w:tc>
        <w:tc>
          <w:tcPr>
            <w:tcW w:w="644" w:type="dxa"/>
            <w:tcBorders>
              <w:top w:val="nil"/>
              <w:left w:val="nil"/>
              <w:bottom w:val="nil"/>
              <w:right w:val="nil"/>
            </w:tcBorders>
            <w:shd w:val="clear" w:color="000000" w:fill="293241"/>
            <w:vAlign w:val="center"/>
            <w:hideMark/>
          </w:tcPr>
          <w:p w14:paraId="0430B104" w14:textId="77777777" w:rsidR="008F4A58" w:rsidRPr="008F4A58" w:rsidRDefault="008F4A58" w:rsidP="008F4A58">
            <w:pPr>
              <w:jc w:val="center"/>
              <w:rPr>
                <w:rFonts w:ascii="Abadi" w:hAnsi="Abadi"/>
                <w:b/>
                <w:bCs/>
                <w:color w:val="E7E6E6"/>
                <w:sz w:val="21"/>
                <w:szCs w:val="21"/>
                <w:lang w:eastAsia="es-MX"/>
              </w:rPr>
            </w:pPr>
            <w:r w:rsidRPr="008F4A58">
              <w:rPr>
                <w:rFonts w:ascii="Abadi" w:hAnsi="Abadi"/>
                <w:b/>
                <w:bCs/>
                <w:color w:val="E7E6E6"/>
                <w:sz w:val="21"/>
                <w:szCs w:val="21"/>
                <w:lang w:eastAsia="es-MX"/>
              </w:rPr>
              <w:t>Unidades económicas</w:t>
            </w:r>
          </w:p>
        </w:tc>
        <w:tc>
          <w:tcPr>
            <w:tcW w:w="674" w:type="dxa"/>
            <w:tcBorders>
              <w:top w:val="nil"/>
              <w:left w:val="nil"/>
              <w:bottom w:val="nil"/>
              <w:right w:val="nil"/>
            </w:tcBorders>
            <w:shd w:val="clear" w:color="000000" w:fill="293241"/>
            <w:vAlign w:val="center"/>
            <w:hideMark/>
          </w:tcPr>
          <w:p w14:paraId="5B03ABD6" w14:textId="77777777" w:rsidR="008F4A58" w:rsidRPr="008F4A58" w:rsidRDefault="008F4A58" w:rsidP="008F4A58">
            <w:pPr>
              <w:jc w:val="center"/>
              <w:rPr>
                <w:rFonts w:ascii="Abadi" w:hAnsi="Abadi"/>
                <w:b/>
                <w:bCs/>
                <w:color w:val="E7E6E6"/>
                <w:sz w:val="21"/>
                <w:szCs w:val="21"/>
                <w:lang w:eastAsia="es-MX"/>
              </w:rPr>
            </w:pPr>
            <w:r w:rsidRPr="008F4A58">
              <w:rPr>
                <w:rFonts w:ascii="Abadi" w:hAnsi="Abadi"/>
                <w:b/>
                <w:bCs/>
                <w:color w:val="E7E6E6"/>
                <w:sz w:val="21"/>
                <w:szCs w:val="21"/>
                <w:lang w:eastAsia="es-MX"/>
              </w:rPr>
              <w:t>Producción bruta total</w:t>
            </w:r>
          </w:p>
        </w:tc>
      </w:tr>
      <w:tr w:rsidR="008F4A58" w:rsidRPr="008F4A58" w14:paraId="69F8B4FA" w14:textId="77777777" w:rsidTr="00B81728">
        <w:trPr>
          <w:trHeight w:val="4"/>
          <w:jc w:val="center"/>
        </w:trPr>
        <w:tc>
          <w:tcPr>
            <w:tcW w:w="2884" w:type="dxa"/>
            <w:tcBorders>
              <w:top w:val="nil"/>
              <w:left w:val="nil"/>
              <w:bottom w:val="nil"/>
              <w:right w:val="nil"/>
            </w:tcBorders>
            <w:shd w:val="clear" w:color="auto" w:fill="auto"/>
            <w:vAlign w:val="center"/>
            <w:hideMark/>
          </w:tcPr>
          <w:p w14:paraId="669BFA9C" w14:textId="77777777" w:rsidR="008F4A58" w:rsidRPr="008F4A58" w:rsidRDefault="008F4A58" w:rsidP="008F4A58">
            <w:pPr>
              <w:rPr>
                <w:rFonts w:ascii="Abadi" w:hAnsi="Abadi"/>
                <w:color w:val="000000"/>
                <w:sz w:val="21"/>
                <w:szCs w:val="21"/>
                <w:lang w:eastAsia="es-MX"/>
              </w:rPr>
            </w:pPr>
            <w:r w:rsidRPr="008F4A58">
              <w:rPr>
                <w:rFonts w:ascii="Abadi" w:hAnsi="Abadi"/>
                <w:color w:val="000000"/>
                <w:sz w:val="21"/>
                <w:szCs w:val="21"/>
                <w:lang w:eastAsia="es-MX"/>
              </w:rPr>
              <w:t>Sector 31-33 Industrias manufactureras</w:t>
            </w:r>
          </w:p>
        </w:tc>
        <w:tc>
          <w:tcPr>
            <w:tcW w:w="644" w:type="dxa"/>
            <w:tcBorders>
              <w:top w:val="nil"/>
              <w:left w:val="nil"/>
              <w:bottom w:val="nil"/>
              <w:right w:val="nil"/>
            </w:tcBorders>
            <w:shd w:val="clear" w:color="auto" w:fill="auto"/>
            <w:noWrap/>
            <w:vAlign w:val="center"/>
            <w:hideMark/>
          </w:tcPr>
          <w:p w14:paraId="08EA0DB7"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311</w:t>
            </w:r>
          </w:p>
        </w:tc>
        <w:tc>
          <w:tcPr>
            <w:tcW w:w="674" w:type="dxa"/>
            <w:tcBorders>
              <w:top w:val="nil"/>
              <w:left w:val="nil"/>
              <w:bottom w:val="nil"/>
              <w:right w:val="nil"/>
            </w:tcBorders>
            <w:shd w:val="clear" w:color="auto" w:fill="auto"/>
            <w:noWrap/>
            <w:vAlign w:val="center"/>
            <w:hideMark/>
          </w:tcPr>
          <w:p w14:paraId="161CCD32"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$34,433.08</w:t>
            </w:r>
          </w:p>
        </w:tc>
      </w:tr>
      <w:tr w:rsidR="008F4A58" w:rsidRPr="008F4A58" w14:paraId="4A33B382" w14:textId="77777777" w:rsidTr="00B81728">
        <w:trPr>
          <w:trHeight w:val="4"/>
          <w:jc w:val="center"/>
        </w:trPr>
        <w:tc>
          <w:tcPr>
            <w:tcW w:w="2884" w:type="dxa"/>
            <w:tcBorders>
              <w:top w:val="nil"/>
              <w:left w:val="nil"/>
              <w:bottom w:val="nil"/>
              <w:right w:val="nil"/>
            </w:tcBorders>
            <w:shd w:val="clear" w:color="auto" w:fill="auto"/>
            <w:vAlign w:val="center"/>
            <w:hideMark/>
          </w:tcPr>
          <w:p w14:paraId="0543D568" w14:textId="77777777" w:rsidR="008F4A58" w:rsidRPr="008F4A58" w:rsidRDefault="008F4A58" w:rsidP="008F4A58">
            <w:pPr>
              <w:rPr>
                <w:rFonts w:ascii="Abadi" w:hAnsi="Abadi"/>
                <w:color w:val="000000"/>
                <w:sz w:val="21"/>
                <w:szCs w:val="21"/>
                <w:lang w:eastAsia="es-MX"/>
              </w:rPr>
            </w:pPr>
            <w:r w:rsidRPr="008F4A58">
              <w:rPr>
                <w:rFonts w:ascii="Abadi" w:hAnsi="Abadi"/>
                <w:color w:val="000000"/>
                <w:sz w:val="21"/>
                <w:szCs w:val="21"/>
                <w:lang w:eastAsia="es-MX"/>
              </w:rPr>
              <w:t>Sector 46 Comercio al por menor</w:t>
            </w:r>
          </w:p>
        </w:tc>
        <w:tc>
          <w:tcPr>
            <w:tcW w:w="644" w:type="dxa"/>
            <w:tcBorders>
              <w:top w:val="nil"/>
              <w:left w:val="nil"/>
              <w:bottom w:val="nil"/>
              <w:right w:val="nil"/>
            </w:tcBorders>
            <w:shd w:val="clear" w:color="auto" w:fill="auto"/>
            <w:noWrap/>
            <w:vAlign w:val="center"/>
            <w:hideMark/>
          </w:tcPr>
          <w:p w14:paraId="165EB08E"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1,353</w:t>
            </w:r>
          </w:p>
        </w:tc>
        <w:tc>
          <w:tcPr>
            <w:tcW w:w="674" w:type="dxa"/>
            <w:tcBorders>
              <w:top w:val="nil"/>
              <w:left w:val="nil"/>
              <w:bottom w:val="nil"/>
              <w:right w:val="nil"/>
            </w:tcBorders>
            <w:shd w:val="clear" w:color="auto" w:fill="auto"/>
            <w:noWrap/>
            <w:vAlign w:val="center"/>
            <w:hideMark/>
          </w:tcPr>
          <w:p w14:paraId="49A7ECC9"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$894.38</w:t>
            </w:r>
          </w:p>
        </w:tc>
      </w:tr>
      <w:tr w:rsidR="008F4A58" w:rsidRPr="008F4A58" w14:paraId="348055AB" w14:textId="77777777" w:rsidTr="00B81728">
        <w:trPr>
          <w:trHeight w:val="4"/>
          <w:jc w:val="center"/>
        </w:trPr>
        <w:tc>
          <w:tcPr>
            <w:tcW w:w="2884" w:type="dxa"/>
            <w:tcBorders>
              <w:top w:val="nil"/>
              <w:left w:val="nil"/>
              <w:bottom w:val="nil"/>
              <w:right w:val="nil"/>
            </w:tcBorders>
            <w:shd w:val="clear" w:color="auto" w:fill="auto"/>
            <w:vAlign w:val="center"/>
            <w:hideMark/>
          </w:tcPr>
          <w:p w14:paraId="3C7A6FEC" w14:textId="77777777" w:rsidR="008F4A58" w:rsidRPr="008F4A58" w:rsidRDefault="008F4A58" w:rsidP="008F4A58">
            <w:pPr>
              <w:rPr>
                <w:rFonts w:ascii="Abadi" w:hAnsi="Abadi"/>
                <w:color w:val="000000"/>
                <w:sz w:val="21"/>
                <w:szCs w:val="21"/>
                <w:lang w:eastAsia="es-MX"/>
              </w:rPr>
            </w:pPr>
            <w:r w:rsidRPr="008F4A58">
              <w:rPr>
                <w:rFonts w:ascii="Abadi" w:hAnsi="Abadi"/>
                <w:color w:val="000000"/>
                <w:sz w:val="21"/>
                <w:szCs w:val="21"/>
                <w:lang w:eastAsia="es-MX"/>
              </w:rPr>
              <w:t>Sector 72 Servicios de alojamiento temporal y de preparación de alimentos y bebidas</w:t>
            </w:r>
          </w:p>
        </w:tc>
        <w:tc>
          <w:tcPr>
            <w:tcW w:w="644" w:type="dxa"/>
            <w:tcBorders>
              <w:top w:val="nil"/>
              <w:left w:val="nil"/>
              <w:bottom w:val="nil"/>
              <w:right w:val="nil"/>
            </w:tcBorders>
            <w:shd w:val="clear" w:color="auto" w:fill="auto"/>
            <w:noWrap/>
            <w:vAlign w:val="center"/>
            <w:hideMark/>
          </w:tcPr>
          <w:p w14:paraId="40248794"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312</w:t>
            </w:r>
          </w:p>
        </w:tc>
        <w:tc>
          <w:tcPr>
            <w:tcW w:w="674" w:type="dxa"/>
            <w:tcBorders>
              <w:top w:val="nil"/>
              <w:left w:val="nil"/>
              <w:bottom w:val="nil"/>
              <w:right w:val="nil"/>
            </w:tcBorders>
            <w:shd w:val="clear" w:color="auto" w:fill="auto"/>
            <w:noWrap/>
            <w:vAlign w:val="center"/>
            <w:hideMark/>
          </w:tcPr>
          <w:p w14:paraId="5472003F"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$127.43</w:t>
            </w:r>
          </w:p>
        </w:tc>
      </w:tr>
      <w:tr w:rsidR="008F4A58" w:rsidRPr="008F4A58" w14:paraId="071CFA6D" w14:textId="77777777" w:rsidTr="00B81728">
        <w:trPr>
          <w:trHeight w:val="4"/>
          <w:jc w:val="center"/>
        </w:trPr>
        <w:tc>
          <w:tcPr>
            <w:tcW w:w="2884" w:type="dxa"/>
            <w:tcBorders>
              <w:top w:val="nil"/>
              <w:left w:val="nil"/>
              <w:bottom w:val="nil"/>
              <w:right w:val="nil"/>
            </w:tcBorders>
            <w:shd w:val="clear" w:color="auto" w:fill="auto"/>
            <w:vAlign w:val="center"/>
            <w:hideMark/>
          </w:tcPr>
          <w:p w14:paraId="3A63405C" w14:textId="77777777" w:rsidR="008F4A58" w:rsidRPr="008F4A58" w:rsidRDefault="008F4A58" w:rsidP="008F4A58">
            <w:pPr>
              <w:rPr>
                <w:rFonts w:ascii="Abadi" w:hAnsi="Abadi"/>
                <w:color w:val="000000"/>
                <w:sz w:val="21"/>
                <w:szCs w:val="21"/>
                <w:lang w:eastAsia="es-MX"/>
              </w:rPr>
            </w:pPr>
            <w:r w:rsidRPr="008F4A58">
              <w:rPr>
                <w:rFonts w:ascii="Abadi" w:hAnsi="Abadi"/>
                <w:color w:val="000000"/>
                <w:sz w:val="21"/>
                <w:szCs w:val="21"/>
                <w:lang w:eastAsia="es-MX"/>
              </w:rPr>
              <w:t>Sector 81 Otros servicios excepto actividades gubernamentales</w:t>
            </w:r>
          </w:p>
        </w:tc>
        <w:tc>
          <w:tcPr>
            <w:tcW w:w="644" w:type="dxa"/>
            <w:tcBorders>
              <w:top w:val="nil"/>
              <w:left w:val="nil"/>
              <w:bottom w:val="nil"/>
              <w:right w:val="nil"/>
            </w:tcBorders>
            <w:shd w:val="clear" w:color="auto" w:fill="auto"/>
            <w:noWrap/>
            <w:vAlign w:val="center"/>
            <w:hideMark/>
          </w:tcPr>
          <w:p w14:paraId="0CA8EEF4"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320</w:t>
            </w:r>
          </w:p>
        </w:tc>
        <w:tc>
          <w:tcPr>
            <w:tcW w:w="674" w:type="dxa"/>
            <w:tcBorders>
              <w:top w:val="nil"/>
              <w:left w:val="nil"/>
              <w:bottom w:val="nil"/>
              <w:right w:val="nil"/>
            </w:tcBorders>
            <w:shd w:val="clear" w:color="auto" w:fill="auto"/>
            <w:noWrap/>
            <w:vAlign w:val="center"/>
            <w:hideMark/>
          </w:tcPr>
          <w:p w14:paraId="47E3BED6"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$97.31</w:t>
            </w:r>
          </w:p>
        </w:tc>
      </w:tr>
      <w:tr w:rsidR="008F4A58" w:rsidRPr="008F4A58" w14:paraId="176EA1C2" w14:textId="77777777" w:rsidTr="00B81728">
        <w:trPr>
          <w:trHeight w:val="4"/>
          <w:jc w:val="center"/>
        </w:trPr>
        <w:tc>
          <w:tcPr>
            <w:tcW w:w="2884" w:type="dxa"/>
            <w:tcBorders>
              <w:top w:val="nil"/>
              <w:left w:val="nil"/>
              <w:bottom w:val="single" w:sz="4" w:space="0" w:color="404040"/>
              <w:right w:val="nil"/>
            </w:tcBorders>
            <w:shd w:val="clear" w:color="auto" w:fill="auto"/>
            <w:vAlign w:val="center"/>
            <w:hideMark/>
          </w:tcPr>
          <w:p w14:paraId="7DBFE389" w14:textId="77777777" w:rsidR="008F4A58" w:rsidRPr="008F4A58" w:rsidRDefault="008F4A58" w:rsidP="008F4A58">
            <w:pPr>
              <w:rPr>
                <w:rFonts w:ascii="Abadi" w:hAnsi="Abadi"/>
                <w:color w:val="000000"/>
                <w:sz w:val="21"/>
                <w:szCs w:val="21"/>
                <w:lang w:eastAsia="es-MX"/>
              </w:rPr>
            </w:pPr>
            <w:r w:rsidRPr="008F4A58">
              <w:rPr>
                <w:rFonts w:ascii="Abadi" w:hAnsi="Abadi"/>
                <w:color w:val="000000"/>
                <w:sz w:val="21"/>
                <w:szCs w:val="21"/>
                <w:lang w:eastAsia="es-MX"/>
              </w:rPr>
              <w:t>Otros Sectores</w:t>
            </w:r>
          </w:p>
        </w:tc>
        <w:tc>
          <w:tcPr>
            <w:tcW w:w="644" w:type="dxa"/>
            <w:tcBorders>
              <w:top w:val="nil"/>
              <w:left w:val="nil"/>
              <w:bottom w:val="single" w:sz="4" w:space="0" w:color="404040"/>
              <w:right w:val="nil"/>
            </w:tcBorders>
            <w:shd w:val="clear" w:color="auto" w:fill="auto"/>
            <w:noWrap/>
            <w:vAlign w:val="center"/>
            <w:hideMark/>
          </w:tcPr>
          <w:p w14:paraId="45890AF6"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333</w:t>
            </w:r>
          </w:p>
        </w:tc>
        <w:tc>
          <w:tcPr>
            <w:tcW w:w="674" w:type="dxa"/>
            <w:tcBorders>
              <w:top w:val="nil"/>
              <w:left w:val="nil"/>
              <w:bottom w:val="single" w:sz="4" w:space="0" w:color="404040"/>
              <w:right w:val="nil"/>
            </w:tcBorders>
            <w:shd w:val="clear" w:color="auto" w:fill="auto"/>
            <w:noWrap/>
            <w:vAlign w:val="center"/>
            <w:hideMark/>
          </w:tcPr>
          <w:p w14:paraId="35765383"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$1,141.12</w:t>
            </w:r>
          </w:p>
        </w:tc>
      </w:tr>
      <w:tr w:rsidR="008F4A58" w:rsidRPr="008F4A58" w14:paraId="5E199A2E" w14:textId="77777777" w:rsidTr="00B81728">
        <w:trPr>
          <w:trHeight w:val="2"/>
          <w:jc w:val="center"/>
        </w:trPr>
        <w:tc>
          <w:tcPr>
            <w:tcW w:w="2884" w:type="dxa"/>
            <w:tcBorders>
              <w:top w:val="nil"/>
              <w:left w:val="nil"/>
              <w:bottom w:val="nil"/>
              <w:right w:val="nil"/>
            </w:tcBorders>
            <w:shd w:val="clear" w:color="000000" w:fill="F2F2F2"/>
            <w:vAlign w:val="bottom"/>
            <w:hideMark/>
          </w:tcPr>
          <w:p w14:paraId="0A4048CD" w14:textId="77777777" w:rsidR="008F4A58" w:rsidRPr="008F4A58" w:rsidRDefault="008F4A58" w:rsidP="008F4A58">
            <w:pPr>
              <w:jc w:val="center"/>
              <w:rPr>
                <w:rFonts w:ascii="Abadi" w:hAnsi="Abadi"/>
                <w:b/>
                <w:bCs/>
                <w:color w:val="000000"/>
                <w:sz w:val="21"/>
                <w:szCs w:val="21"/>
                <w:lang w:eastAsia="es-MX"/>
              </w:rPr>
            </w:pPr>
            <w:r w:rsidRPr="008F4A58">
              <w:rPr>
                <w:rFonts w:ascii="Abadi" w:hAnsi="Abadi"/>
                <w:b/>
                <w:bCs/>
                <w:color w:val="000000"/>
                <w:sz w:val="21"/>
                <w:szCs w:val="21"/>
                <w:lang w:eastAsia="es-MX"/>
              </w:rPr>
              <w:t>Total municipal</w:t>
            </w:r>
          </w:p>
        </w:tc>
        <w:tc>
          <w:tcPr>
            <w:tcW w:w="644" w:type="dxa"/>
            <w:tcBorders>
              <w:top w:val="nil"/>
              <w:left w:val="nil"/>
              <w:bottom w:val="nil"/>
              <w:right w:val="nil"/>
            </w:tcBorders>
            <w:shd w:val="clear" w:color="000000" w:fill="F2F2F2"/>
            <w:noWrap/>
            <w:vAlign w:val="bottom"/>
            <w:hideMark/>
          </w:tcPr>
          <w:p w14:paraId="5F359239" w14:textId="77777777" w:rsidR="008F4A58" w:rsidRPr="008F4A58" w:rsidRDefault="008F4A58" w:rsidP="008F4A58">
            <w:pPr>
              <w:jc w:val="center"/>
              <w:rPr>
                <w:rFonts w:ascii="Abadi" w:hAnsi="Abadi"/>
                <w:b/>
                <w:bCs/>
                <w:color w:val="000000"/>
                <w:sz w:val="21"/>
                <w:szCs w:val="21"/>
                <w:lang w:eastAsia="es-MX"/>
              </w:rPr>
            </w:pPr>
            <w:r w:rsidRPr="008F4A58">
              <w:rPr>
                <w:rFonts w:ascii="Abadi" w:hAnsi="Abadi"/>
                <w:b/>
                <w:bCs/>
                <w:color w:val="000000"/>
                <w:sz w:val="21"/>
                <w:szCs w:val="21"/>
                <w:lang w:eastAsia="es-MX"/>
              </w:rPr>
              <w:t>2,629</w:t>
            </w:r>
          </w:p>
        </w:tc>
        <w:tc>
          <w:tcPr>
            <w:tcW w:w="674" w:type="dxa"/>
            <w:tcBorders>
              <w:top w:val="nil"/>
              <w:left w:val="nil"/>
              <w:bottom w:val="nil"/>
              <w:right w:val="nil"/>
            </w:tcBorders>
            <w:shd w:val="clear" w:color="000000" w:fill="F2F2F2"/>
            <w:noWrap/>
            <w:vAlign w:val="bottom"/>
            <w:hideMark/>
          </w:tcPr>
          <w:p w14:paraId="253785ED" w14:textId="77777777" w:rsidR="008F4A58" w:rsidRPr="008F4A58" w:rsidRDefault="008F4A58" w:rsidP="008F4A58">
            <w:pPr>
              <w:jc w:val="right"/>
              <w:rPr>
                <w:rFonts w:ascii="Abadi" w:hAnsi="Abadi"/>
                <w:b/>
                <w:bCs/>
                <w:color w:val="000000"/>
                <w:sz w:val="21"/>
                <w:szCs w:val="21"/>
                <w:lang w:eastAsia="es-MX"/>
              </w:rPr>
            </w:pPr>
            <w:r w:rsidRPr="008F4A58">
              <w:rPr>
                <w:rFonts w:ascii="Abadi" w:hAnsi="Abadi"/>
                <w:b/>
                <w:bCs/>
                <w:color w:val="000000"/>
                <w:sz w:val="21"/>
                <w:szCs w:val="21"/>
                <w:lang w:eastAsia="es-MX"/>
              </w:rPr>
              <w:t xml:space="preserve"> $36,693.31 </w:t>
            </w:r>
          </w:p>
        </w:tc>
      </w:tr>
    </w:tbl>
    <w:p w14:paraId="173CC2AF"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sz w:val="21"/>
          <w:szCs w:val="21"/>
          <w:lang w:val="es-MX" w:eastAsia="es-MX"/>
        </w:rPr>
        <w:t>Fuente: Elaboración propia con información del Censo Económico 2018 del INEGI.</w:t>
      </w:r>
    </w:p>
    <w:p w14:paraId="1105839A" w14:textId="77777777" w:rsidR="008F4A58" w:rsidRPr="008F4A58" w:rsidRDefault="008F4A58" w:rsidP="008F4A58">
      <w:pPr>
        <w:spacing w:after="150" w:line="360" w:lineRule="auto"/>
        <w:ind w:firstLine="708"/>
        <w:jc w:val="both"/>
        <w:rPr>
          <w:rFonts w:ascii="Abadi" w:hAnsi="Abadi"/>
          <w:sz w:val="21"/>
          <w:szCs w:val="21"/>
        </w:rPr>
      </w:pPr>
      <w:r w:rsidRPr="008F4A58">
        <w:rPr>
          <w:rFonts w:ascii="Abadi" w:hAnsi="Abadi"/>
          <w:b/>
          <w:bCs/>
          <w:sz w:val="21"/>
          <w:szCs w:val="21"/>
        </w:rPr>
        <w:t>2.1.2. Contexto económico</w:t>
      </w:r>
    </w:p>
    <w:p w14:paraId="1B965E20" w14:textId="77777777" w:rsidR="008F4A58" w:rsidRPr="008F4A58" w:rsidRDefault="008F4A58" w:rsidP="008F4A58">
      <w:pPr>
        <w:spacing w:before="100" w:beforeAutospacing="1" w:after="100" w:afterAutospacing="1" w:line="360" w:lineRule="auto"/>
        <w:ind w:firstLine="708"/>
        <w:jc w:val="both"/>
        <w:rPr>
          <w:rFonts w:ascii="Abadi" w:hAnsi="Abadi"/>
          <w:sz w:val="21"/>
          <w:szCs w:val="21"/>
          <w:lang w:val="es-MX" w:eastAsia="es-MX"/>
        </w:rPr>
      </w:pPr>
      <w:r w:rsidRPr="008F4A58">
        <w:rPr>
          <w:rFonts w:ascii="Abadi" w:hAnsi="Abadi"/>
          <w:sz w:val="21"/>
          <w:szCs w:val="21"/>
          <w:lang w:val="es-MX" w:eastAsia="es-MX"/>
        </w:rPr>
        <w:t xml:space="preserve">En 2021 la economía mundial tuvo una recuperación económica que permitió enfrentar los efectos provocados por la pandemia de COVID-19, sin embargo, aún persisten riesgos que pueden limitar la recuperación de los países, regiones y sectores económicos. De acuerdo con el informe trimestral del Banco de México del primer trimestre de 2022, el entorno de elevada inflación a nivel global como consecuencia de las afectaciones ocasionadas por la pandemia de COVID-19, se ha deteriorado aún más derivado del conflicto geopolítico en Ucrania, lo que </w:t>
      </w:r>
      <w:r w:rsidRPr="008F4A58">
        <w:rPr>
          <w:rFonts w:ascii="Abadi" w:hAnsi="Abadi"/>
          <w:sz w:val="21"/>
          <w:szCs w:val="21"/>
          <w:lang w:val="es-MX" w:eastAsia="es-MX"/>
        </w:rPr>
        <w:t xml:space="preserve">generó incremento en los precios de energéticos y alimentos y nuevas disrupciones en las cadenas de suministro. En este marco, los bancos centrales han aplicado una política monetaria cada vez más restrictiva al retirar estímulos ante los persistentes elevados niveles de inflación. De acuerdo con el escenario macroeconómico previsto, el Banco de México prevé para el 2022 un crecimiento del Producto Interno Bruto PIB de entre 1.6% y 2.8% con una estimación central de 2.2%. En el informe anterior, el banco central estimaba para 2022 un crecimiento de entre 1.6% a 3.2%. </w:t>
      </w:r>
    </w:p>
    <w:p w14:paraId="72A5A76C" w14:textId="77777777" w:rsidR="008F4A58" w:rsidRPr="008F4A58" w:rsidRDefault="008F4A58" w:rsidP="008F4A58">
      <w:pPr>
        <w:spacing w:before="100" w:beforeAutospacing="1" w:after="100" w:afterAutospacing="1" w:line="360" w:lineRule="auto"/>
        <w:ind w:firstLine="708"/>
        <w:jc w:val="both"/>
        <w:rPr>
          <w:rFonts w:ascii="Abadi" w:hAnsi="Abadi"/>
          <w:sz w:val="21"/>
          <w:szCs w:val="21"/>
          <w:lang w:val="es-MX" w:eastAsia="es-MX"/>
        </w:rPr>
      </w:pPr>
      <w:r w:rsidRPr="008F4A58">
        <w:rPr>
          <w:rFonts w:ascii="Abadi" w:hAnsi="Abadi"/>
          <w:sz w:val="21"/>
          <w:szCs w:val="21"/>
          <w:lang w:val="es-MX" w:eastAsia="es-MX"/>
        </w:rPr>
        <w:t>Para los próximos meses, la recuperación de la economía mundial dependerá de la evolución de la pandemia, del conflicto bélico entre Rusia y Ucrania, de las sanciones económicas impuestas a Rusia, la afectación en las cadenas globales de suministro, así como del aumento en las tasas de interés por parte de los bancos centrales del mundo.</w:t>
      </w:r>
    </w:p>
    <w:p w14:paraId="5814C41B"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noProof/>
          <w:sz w:val="21"/>
          <w:szCs w:val="21"/>
          <w:lang w:val="es-MX" w:eastAsia="es-MX"/>
        </w:rPr>
        <w:drawing>
          <wp:inline distT="0" distB="0" distL="0" distR="0" wp14:anchorId="4A01B074" wp14:editId="7A0A2B2F">
            <wp:extent cx="2830830" cy="1473710"/>
            <wp:effectExtent l="0" t="0" r="7620" b="0"/>
            <wp:docPr id="10" name="Imagen 1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líneas&#10;&#10;Descripción generada automáticamente"/>
                    <pic:cNvPicPr/>
                  </pic:nvPicPr>
                  <pic:blipFill>
                    <a:blip r:embed="rId27"/>
                    <a:stretch>
                      <a:fillRect/>
                    </a:stretch>
                  </pic:blipFill>
                  <pic:spPr>
                    <a:xfrm>
                      <a:off x="0" y="0"/>
                      <a:ext cx="2858792" cy="1488267"/>
                    </a:xfrm>
                    <a:prstGeom prst="rect">
                      <a:avLst/>
                    </a:prstGeom>
                  </pic:spPr>
                </pic:pic>
              </a:graphicData>
            </a:graphic>
          </wp:inline>
        </w:drawing>
      </w:r>
    </w:p>
    <w:p w14:paraId="2FB432FA"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sz w:val="21"/>
          <w:szCs w:val="21"/>
          <w:lang w:val="es-MX" w:eastAsia="es-MX"/>
        </w:rPr>
        <w:t>Fuente: Informe trimestral, enero-marzo 2022. Banxico</w:t>
      </w:r>
    </w:p>
    <w:p w14:paraId="2F145B44" w14:textId="77777777" w:rsidR="008F4A58" w:rsidRPr="008F4A58" w:rsidRDefault="008F4A58" w:rsidP="008F4A58">
      <w:pPr>
        <w:spacing w:before="100" w:beforeAutospacing="1" w:after="100" w:afterAutospacing="1" w:line="360" w:lineRule="auto"/>
        <w:ind w:firstLine="708"/>
        <w:jc w:val="both"/>
        <w:rPr>
          <w:rFonts w:ascii="Abadi" w:hAnsi="Abadi"/>
          <w:sz w:val="21"/>
          <w:szCs w:val="21"/>
          <w:lang w:val="es-MX" w:eastAsia="es-MX"/>
        </w:rPr>
      </w:pPr>
      <w:r w:rsidRPr="008F4A58">
        <w:rPr>
          <w:rFonts w:ascii="Abadi" w:hAnsi="Abadi"/>
          <w:sz w:val="21"/>
          <w:szCs w:val="21"/>
          <w:lang w:val="es-MX" w:eastAsia="es-MX"/>
        </w:rPr>
        <w:t xml:space="preserve">El Fondo Monetario Internacional a través del Informe de Perspectivas de la Economía Mundial (World Economic Outlook) de abril </w:t>
      </w:r>
      <w:r w:rsidRPr="008F4A58">
        <w:rPr>
          <w:rFonts w:ascii="Abadi" w:hAnsi="Abadi"/>
          <w:sz w:val="21"/>
          <w:szCs w:val="21"/>
          <w:lang w:val="es-MX" w:eastAsia="es-MX"/>
        </w:rPr>
        <w:lastRenderedPageBreak/>
        <w:t>2022</w:t>
      </w:r>
      <w:r w:rsidRPr="008F4A58">
        <w:rPr>
          <w:rFonts w:ascii="Abadi" w:hAnsi="Abadi"/>
          <w:sz w:val="21"/>
          <w:szCs w:val="21"/>
          <w:vertAlign w:val="superscript"/>
          <w:lang w:val="es-MX" w:eastAsia="es-MX"/>
        </w:rPr>
        <w:footnoteReference w:id="95"/>
      </w:r>
      <w:r w:rsidRPr="008F4A58">
        <w:rPr>
          <w:rFonts w:ascii="Abadi" w:hAnsi="Abadi"/>
          <w:sz w:val="21"/>
          <w:szCs w:val="21"/>
          <w:lang w:val="es-MX" w:eastAsia="es-MX"/>
        </w:rPr>
        <w:t>, prevé que el crecimiento mundial se desacelere significativamente en 2022, en gran medida como consecuencia del conflicto bélico entre Rusia y Ucrania. Los costos económicos de la guerra se propagarán a través de los mercados de materias primas, el comercio internacional y en menor medida, los mercados financieros. El incremento en los precios de los combustibles y de los alimentos afectará a las poblaciones vulnerables, sobre todo las de los países de bajo ingreso. La proyección para el crecimiento mundial se desacelera del 6.1% para 2021 a 3.6% en 2022. En el mediano plazo, el crecimiento mundial disminuirá alrededor de 3.3%.</w:t>
      </w:r>
    </w:p>
    <w:p w14:paraId="3AFE0D41"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noProof/>
          <w:sz w:val="21"/>
          <w:szCs w:val="21"/>
          <w:lang w:val="es-MX" w:eastAsia="es-MX"/>
        </w:rPr>
        <w:drawing>
          <wp:inline distT="0" distB="0" distL="0" distR="0" wp14:anchorId="1A44A41A" wp14:editId="50C71D35">
            <wp:extent cx="2958794" cy="1663275"/>
            <wp:effectExtent l="0" t="0" r="0" b="0"/>
            <wp:docPr id="12" name="Imagen 1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2160" cy="1682031"/>
                    </a:xfrm>
                    <a:prstGeom prst="rect">
                      <a:avLst/>
                    </a:prstGeom>
                    <a:noFill/>
                  </pic:spPr>
                </pic:pic>
              </a:graphicData>
            </a:graphic>
          </wp:inline>
        </w:drawing>
      </w:r>
    </w:p>
    <w:p w14:paraId="3F4F5061"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sz w:val="21"/>
          <w:szCs w:val="21"/>
          <w:lang w:val="es-MX" w:eastAsia="es-MX"/>
        </w:rPr>
        <w:t>Fuente: Perspectivas de la Economía Mundial. Abril 2022. FMI</w:t>
      </w:r>
    </w:p>
    <w:p w14:paraId="60CB63F1" w14:textId="77777777" w:rsidR="008F4A58" w:rsidRPr="008F4A58" w:rsidRDefault="008F4A58" w:rsidP="008F4A58">
      <w:pPr>
        <w:spacing w:before="100" w:beforeAutospacing="1" w:after="100" w:afterAutospacing="1" w:line="360" w:lineRule="auto"/>
        <w:ind w:firstLine="708"/>
        <w:jc w:val="both"/>
        <w:rPr>
          <w:rFonts w:ascii="Abadi" w:hAnsi="Abadi"/>
          <w:sz w:val="21"/>
          <w:szCs w:val="21"/>
          <w:lang w:val="es-MX" w:eastAsia="es-MX"/>
        </w:rPr>
      </w:pPr>
      <w:r w:rsidRPr="008F4A58">
        <w:rPr>
          <w:rFonts w:ascii="Abadi" w:hAnsi="Abadi"/>
          <w:sz w:val="21"/>
          <w:szCs w:val="21"/>
          <w:lang w:val="es-MX" w:eastAsia="es-MX"/>
        </w:rPr>
        <w:t>En los Pre-Criterios Generales de Política Económica 2023 (PCGPE 2023)</w:t>
      </w:r>
      <w:r w:rsidRPr="008F4A58">
        <w:rPr>
          <w:rFonts w:ascii="Abadi" w:hAnsi="Abadi"/>
          <w:sz w:val="21"/>
          <w:szCs w:val="21"/>
          <w:vertAlign w:val="superscript"/>
          <w:lang w:val="es-MX" w:eastAsia="es-MX"/>
        </w:rPr>
        <w:footnoteReference w:id="96"/>
      </w:r>
      <w:r w:rsidRPr="008F4A58">
        <w:rPr>
          <w:rFonts w:ascii="Abadi" w:hAnsi="Abadi"/>
          <w:sz w:val="21"/>
          <w:szCs w:val="21"/>
          <w:lang w:val="es-MX" w:eastAsia="es-MX"/>
        </w:rPr>
        <w:t xml:space="preserve">, el gobierno federal señala que las perspectivas de crecimiento económico en 2022 serán menores a las anticipadas, tanto para economías avanzadas, emergentes y de ingresos bajos. De esta manera, se prevé que la economía mexicana tenga un </w:t>
      </w:r>
      <w:r w:rsidRPr="008F4A58">
        <w:rPr>
          <w:rFonts w:ascii="Abadi" w:hAnsi="Abadi"/>
          <w:sz w:val="21"/>
          <w:szCs w:val="21"/>
          <w:lang w:val="es-MX" w:eastAsia="es-MX"/>
        </w:rPr>
        <w:t>crecimiento menor a lo previsto en los Criterios Generales de Política Económica 2022, al considerar que el Producto Interno Bruto PIB tenga un crecimiento anual real de 3.4% para 2022 y de 3.5% para el 2023.</w:t>
      </w:r>
    </w:p>
    <w:p w14:paraId="75C5F20F" w14:textId="77777777" w:rsidR="008F4A58" w:rsidRPr="008F4A58" w:rsidRDefault="008F4A58" w:rsidP="008F4A58">
      <w:pPr>
        <w:spacing w:before="100" w:beforeAutospacing="1" w:after="100" w:afterAutospacing="1" w:line="360" w:lineRule="auto"/>
        <w:ind w:firstLine="708"/>
        <w:jc w:val="both"/>
        <w:rPr>
          <w:rFonts w:ascii="Abadi" w:hAnsi="Abadi"/>
          <w:sz w:val="21"/>
          <w:szCs w:val="21"/>
          <w:lang w:val="es-MX" w:eastAsia="es-MX"/>
        </w:rPr>
      </w:pPr>
      <w:r w:rsidRPr="008F4A58">
        <w:rPr>
          <w:rFonts w:ascii="Abadi" w:hAnsi="Abadi"/>
          <w:sz w:val="21"/>
          <w:szCs w:val="21"/>
          <w:lang w:val="es-MX" w:eastAsia="es-MX"/>
        </w:rPr>
        <w:t>El pronóstico de crecimiento para el 2023 considera un incremento en la inversión pública derivado de los proyectos de infraestructura que se desarrollan en la región sur-sureste de México. También se incorporan las inversiones anunciadas por parte del sector privado que buscan aprovechar la ventaja comparativa de México, la ubicación estratégica del país, así como de los diversos tratados comerciales con los que cuenta.</w:t>
      </w:r>
    </w:p>
    <w:p w14:paraId="45E41DAA" w14:textId="77777777" w:rsidR="008F4A58" w:rsidRPr="008F4A58" w:rsidRDefault="008F4A58" w:rsidP="008F4A58">
      <w:pPr>
        <w:spacing w:before="100" w:beforeAutospacing="1" w:after="100" w:afterAutospacing="1" w:line="360" w:lineRule="auto"/>
        <w:ind w:firstLine="708"/>
        <w:jc w:val="both"/>
        <w:rPr>
          <w:rFonts w:ascii="Abadi" w:hAnsi="Abadi"/>
          <w:sz w:val="21"/>
          <w:szCs w:val="21"/>
          <w:lang w:val="es-MX" w:eastAsia="es-MX"/>
        </w:rPr>
      </w:pPr>
      <w:r w:rsidRPr="008F4A58">
        <w:rPr>
          <w:rFonts w:ascii="Abadi" w:hAnsi="Abadi"/>
          <w:sz w:val="21"/>
          <w:szCs w:val="21"/>
          <w:lang w:val="es-MX" w:eastAsia="es-MX"/>
        </w:rPr>
        <w:t>El gobierno federal prevé además un incremento en los flujos financieros hacia México como resultado de una mayor demanda de insumos y manufactura mexicana derivado del aumento de la comercialización en Norteamérica, que desde 2022 comenzará a sustituir una parte de la producción de Europa del Este y Asia. De forma simultánea, el consumo privado avanzará con el apoyo de programas sociales, el flujo de remesas y de las recientes reformas en materia laboral.</w:t>
      </w:r>
    </w:p>
    <w:p w14:paraId="5B52D21B" w14:textId="77777777" w:rsidR="008F4A58" w:rsidRPr="008F4A58" w:rsidRDefault="008F4A58" w:rsidP="008F4A58">
      <w:pPr>
        <w:spacing w:after="150" w:line="360" w:lineRule="auto"/>
        <w:ind w:firstLine="708"/>
        <w:jc w:val="both"/>
        <w:rPr>
          <w:rFonts w:ascii="Abadi" w:hAnsi="Abadi"/>
          <w:b/>
          <w:bCs/>
          <w:sz w:val="21"/>
          <w:szCs w:val="21"/>
        </w:rPr>
      </w:pPr>
      <w:r w:rsidRPr="008F4A58">
        <w:rPr>
          <w:rFonts w:ascii="Abadi" w:hAnsi="Abadi"/>
          <w:b/>
          <w:bCs/>
          <w:sz w:val="21"/>
          <w:szCs w:val="21"/>
        </w:rPr>
        <w:t>2.1.3. Situación financiera</w:t>
      </w:r>
    </w:p>
    <w:p w14:paraId="13533D5D" w14:textId="77777777" w:rsidR="008F4A58" w:rsidRPr="008F4A58" w:rsidRDefault="008F4A58" w:rsidP="008F4A58">
      <w:pPr>
        <w:spacing w:before="100" w:beforeAutospacing="1" w:after="100" w:afterAutospacing="1" w:line="360" w:lineRule="auto"/>
        <w:ind w:firstLine="708"/>
        <w:jc w:val="both"/>
        <w:rPr>
          <w:rFonts w:ascii="Abadi" w:hAnsi="Abadi"/>
          <w:sz w:val="21"/>
          <w:szCs w:val="21"/>
          <w:lang w:val="es-MX" w:eastAsia="es-MX"/>
        </w:rPr>
      </w:pPr>
      <w:r w:rsidRPr="008F4A58">
        <w:rPr>
          <w:rFonts w:ascii="Abadi" w:hAnsi="Abadi"/>
          <w:sz w:val="21"/>
          <w:szCs w:val="21"/>
          <w:lang w:val="es-MX" w:eastAsia="es-MX"/>
        </w:rPr>
        <w:t xml:space="preserve">De acuerdo con la iniciativa formulada por el ayuntamiento de Apaseo el Grande, Gto., los recursos que se obtengan de uno o varios financiamientos se destinarán para la ejecución </w:t>
      </w:r>
      <w:r w:rsidRPr="008F4A58">
        <w:rPr>
          <w:rFonts w:ascii="Abadi" w:hAnsi="Abadi"/>
          <w:sz w:val="21"/>
          <w:szCs w:val="21"/>
          <w:lang w:val="es-MX" w:eastAsia="es-MX"/>
        </w:rPr>
        <w:lastRenderedPageBreak/>
        <w:t xml:space="preserve">de los proyectos de inversión pública productiva enlistados en el expediente de iniciativa, cuyo monto asciende a la cantidad de </w:t>
      </w:r>
      <w:r w:rsidRPr="008F4A58">
        <w:rPr>
          <w:rFonts w:ascii="Abadi" w:hAnsi="Abadi" w:cs="Arial"/>
          <w:iCs/>
          <w:sz w:val="21"/>
          <w:szCs w:val="21"/>
          <w:lang w:val="es-MX" w:eastAsia="es-MX"/>
        </w:rPr>
        <w:t>$15'000,000.00 (quince millones de pesos 00/100 m.n.)</w:t>
      </w:r>
      <w:r w:rsidRPr="008F4A58">
        <w:rPr>
          <w:rFonts w:ascii="Abadi" w:hAnsi="Abadi"/>
          <w:sz w:val="21"/>
          <w:szCs w:val="21"/>
          <w:lang w:val="es-MX" w:eastAsia="es-MX"/>
        </w:rPr>
        <w:t>.</w:t>
      </w:r>
    </w:p>
    <w:p w14:paraId="7B65CD4E" w14:textId="77777777" w:rsidR="008F4A58" w:rsidRPr="008F4A58" w:rsidRDefault="008F4A58" w:rsidP="008F4A58">
      <w:pPr>
        <w:spacing w:before="100" w:beforeAutospacing="1" w:after="100" w:afterAutospacing="1" w:line="360" w:lineRule="auto"/>
        <w:ind w:firstLine="708"/>
        <w:jc w:val="both"/>
        <w:rPr>
          <w:rFonts w:ascii="Abadi" w:hAnsi="Abadi"/>
          <w:sz w:val="21"/>
          <w:szCs w:val="21"/>
          <w:lang w:val="es-MX" w:eastAsia="es-MX"/>
        </w:rPr>
      </w:pPr>
      <w:r w:rsidRPr="008F4A58">
        <w:rPr>
          <w:rFonts w:ascii="Abadi" w:hAnsi="Abadi"/>
          <w:sz w:val="21"/>
          <w:szCs w:val="21"/>
          <w:lang w:val="es-MX" w:eastAsia="es-MX"/>
        </w:rPr>
        <w:t>Con la finalidad de realizar el análisis del destino de los recursos que se obtengan y de la capacidad de pago del Municipio, se tomará como referencia la información presentada por el Municipio en la que se incluye lo relacionado con los ingresos, el presupuesto de egresos y la deuda pública y otros pasivos conforme a los formatos establecidos en la Ley General de Contabilidad Gubernamental y en la Ley de Disciplina Financiera de las Entidades Federativas y los Municipios.</w:t>
      </w:r>
    </w:p>
    <w:p w14:paraId="0B823634" w14:textId="77777777" w:rsidR="008F4A58" w:rsidRPr="008F4A58" w:rsidRDefault="008F4A58" w:rsidP="008F4A58">
      <w:pPr>
        <w:spacing w:before="100" w:beforeAutospacing="1" w:after="100" w:afterAutospacing="1" w:line="360" w:lineRule="auto"/>
        <w:ind w:firstLine="708"/>
        <w:jc w:val="both"/>
        <w:rPr>
          <w:rFonts w:ascii="Abadi" w:hAnsi="Abadi"/>
          <w:sz w:val="21"/>
          <w:szCs w:val="21"/>
          <w:lang w:val="es-MX" w:eastAsia="es-MX"/>
        </w:rPr>
      </w:pPr>
      <w:r w:rsidRPr="008F4A58">
        <w:rPr>
          <w:rFonts w:ascii="Abadi" w:hAnsi="Abadi"/>
          <w:sz w:val="21"/>
          <w:szCs w:val="21"/>
          <w:lang w:val="es-MX" w:eastAsia="es-MX"/>
        </w:rPr>
        <w:t>De la información referida se interpreta lo siguiente:</w:t>
      </w:r>
    </w:p>
    <w:p w14:paraId="1D662EF3" w14:textId="77777777" w:rsidR="008F4A58" w:rsidRPr="008F4A58" w:rsidRDefault="008F4A58" w:rsidP="008F4A58">
      <w:pPr>
        <w:spacing w:after="150" w:line="360" w:lineRule="auto"/>
        <w:ind w:firstLine="708"/>
        <w:jc w:val="both"/>
        <w:rPr>
          <w:rFonts w:ascii="Abadi" w:hAnsi="Abadi"/>
          <w:b/>
          <w:bCs/>
          <w:sz w:val="21"/>
          <w:szCs w:val="21"/>
        </w:rPr>
      </w:pPr>
      <w:r w:rsidRPr="008F4A58">
        <w:rPr>
          <w:rFonts w:ascii="Abadi" w:hAnsi="Abadi"/>
          <w:b/>
          <w:bCs/>
          <w:sz w:val="21"/>
          <w:szCs w:val="21"/>
        </w:rPr>
        <w:t>2.1.4. Destino de los recursos</w:t>
      </w:r>
    </w:p>
    <w:p w14:paraId="7423F3BF" w14:textId="77777777" w:rsidR="008F4A58" w:rsidRPr="008F4A58" w:rsidRDefault="008F4A58" w:rsidP="008F4A58">
      <w:pPr>
        <w:spacing w:before="100" w:beforeAutospacing="1" w:after="100" w:afterAutospacing="1" w:line="360" w:lineRule="auto"/>
        <w:ind w:firstLine="708"/>
        <w:jc w:val="both"/>
        <w:rPr>
          <w:rFonts w:ascii="Abadi" w:hAnsi="Abadi"/>
          <w:sz w:val="21"/>
          <w:szCs w:val="21"/>
          <w:lang w:val="es-MX" w:eastAsia="es-MX"/>
        </w:rPr>
      </w:pPr>
      <w:r w:rsidRPr="008F4A58">
        <w:rPr>
          <w:rFonts w:ascii="Abadi" w:hAnsi="Abadi"/>
          <w:sz w:val="21"/>
          <w:szCs w:val="21"/>
          <w:lang w:val="es-MX" w:eastAsia="es-MX"/>
        </w:rPr>
        <w:t xml:space="preserve">Los proyectos incluidos en la iniciativa materia del presente dictamen están enfocados principalmente en la construcción y rehabilitación de parques recreativos ubicados en el Municipio; conexión de la red de drenaje sanitario, construcción de parabuses, construcción y rehabilitación de espacios deportivos, así como la rehabilitación de calles. El total de los recursos que se destinarán para estas obras suman la cantidad de </w:t>
      </w:r>
      <w:r w:rsidRPr="008F4A58">
        <w:rPr>
          <w:rFonts w:ascii="Abadi" w:hAnsi="Abadi" w:cs="Arial"/>
          <w:iCs/>
          <w:sz w:val="21"/>
          <w:szCs w:val="21"/>
          <w:lang w:val="es-MX" w:eastAsia="es-MX"/>
        </w:rPr>
        <w:t>$15'000,000.00 (quince millones de pesos 00/100 m.n.)</w:t>
      </w:r>
      <w:r w:rsidRPr="008F4A58">
        <w:rPr>
          <w:rFonts w:ascii="Abadi" w:hAnsi="Abadi"/>
          <w:sz w:val="21"/>
          <w:szCs w:val="21"/>
          <w:lang w:val="es-MX" w:eastAsia="es-MX"/>
        </w:rPr>
        <w:t>. en los que se busca beneficiar a la población del municipio de Apaseo el Grande, Guanajuato.</w:t>
      </w:r>
    </w:p>
    <w:tbl>
      <w:tblPr>
        <w:tblW w:w="5000" w:type="pct"/>
        <w:tblCellMar>
          <w:left w:w="70" w:type="dxa"/>
          <w:right w:w="70" w:type="dxa"/>
        </w:tblCellMar>
        <w:tblLook w:val="04A0" w:firstRow="1" w:lastRow="0" w:firstColumn="1" w:lastColumn="0" w:noHBand="0" w:noVBand="1"/>
      </w:tblPr>
      <w:tblGrid>
        <w:gridCol w:w="381"/>
        <w:gridCol w:w="1323"/>
        <w:gridCol w:w="1465"/>
        <w:gridCol w:w="1215"/>
      </w:tblGrid>
      <w:tr w:rsidR="008F4A58" w:rsidRPr="008F4A58" w14:paraId="48F47AB7" w14:textId="77777777" w:rsidTr="007245B4">
        <w:trPr>
          <w:trHeight w:val="315"/>
        </w:trPr>
        <w:tc>
          <w:tcPr>
            <w:tcW w:w="3406" w:type="pct"/>
            <w:gridSpan w:val="2"/>
            <w:tcBorders>
              <w:top w:val="single" w:sz="8" w:space="0" w:color="808080"/>
              <w:left w:val="single" w:sz="8" w:space="0" w:color="808080"/>
              <w:bottom w:val="single" w:sz="8" w:space="0" w:color="808080"/>
              <w:right w:val="nil"/>
            </w:tcBorders>
            <w:shd w:val="clear" w:color="000000" w:fill="333F4F"/>
            <w:vAlign w:val="center"/>
            <w:hideMark/>
          </w:tcPr>
          <w:p w14:paraId="224ACD91" w14:textId="77777777" w:rsidR="008F4A58" w:rsidRPr="008F4A58" w:rsidRDefault="008F4A58" w:rsidP="008F4A58">
            <w:pPr>
              <w:jc w:val="center"/>
              <w:rPr>
                <w:rFonts w:ascii="Abadi" w:hAnsi="Abadi"/>
                <w:b/>
                <w:bCs/>
                <w:color w:val="FFFFFF"/>
                <w:sz w:val="21"/>
                <w:szCs w:val="21"/>
                <w:lang w:eastAsia="es-MX"/>
              </w:rPr>
            </w:pPr>
            <w:r w:rsidRPr="008F4A58">
              <w:rPr>
                <w:rFonts w:ascii="Abadi" w:hAnsi="Abadi"/>
                <w:b/>
                <w:bCs/>
                <w:color w:val="FFFFFF"/>
                <w:sz w:val="21"/>
                <w:szCs w:val="21"/>
                <w:lang w:eastAsia="es-MX"/>
              </w:rPr>
              <w:t>Proyecto</w:t>
            </w:r>
          </w:p>
        </w:tc>
        <w:tc>
          <w:tcPr>
            <w:tcW w:w="813" w:type="pct"/>
            <w:tcBorders>
              <w:top w:val="single" w:sz="8" w:space="0" w:color="808080"/>
              <w:left w:val="nil"/>
              <w:bottom w:val="nil"/>
              <w:right w:val="nil"/>
            </w:tcBorders>
            <w:shd w:val="clear" w:color="000000" w:fill="333F4F"/>
            <w:noWrap/>
            <w:vAlign w:val="center"/>
            <w:hideMark/>
          </w:tcPr>
          <w:p w14:paraId="2ABCEBCC" w14:textId="77777777" w:rsidR="008F4A58" w:rsidRPr="008F4A58" w:rsidRDefault="008F4A58" w:rsidP="008F4A58">
            <w:pPr>
              <w:jc w:val="center"/>
              <w:rPr>
                <w:rFonts w:ascii="Abadi" w:hAnsi="Abadi"/>
                <w:b/>
                <w:bCs/>
                <w:color w:val="FFFFFF"/>
                <w:sz w:val="21"/>
                <w:szCs w:val="21"/>
                <w:lang w:eastAsia="es-MX"/>
              </w:rPr>
            </w:pPr>
            <w:r w:rsidRPr="008F4A58">
              <w:rPr>
                <w:rFonts w:ascii="Abadi" w:hAnsi="Abadi"/>
                <w:b/>
                <w:bCs/>
                <w:color w:val="FFFFFF"/>
                <w:sz w:val="21"/>
                <w:szCs w:val="21"/>
                <w:lang w:eastAsia="es-MX"/>
              </w:rPr>
              <w:t>Monto</w:t>
            </w:r>
          </w:p>
        </w:tc>
        <w:tc>
          <w:tcPr>
            <w:tcW w:w="781" w:type="pct"/>
            <w:tcBorders>
              <w:top w:val="single" w:sz="8" w:space="0" w:color="808080"/>
              <w:left w:val="nil"/>
              <w:bottom w:val="nil"/>
              <w:right w:val="nil"/>
            </w:tcBorders>
            <w:shd w:val="clear" w:color="000000" w:fill="333F4F"/>
            <w:vAlign w:val="center"/>
            <w:hideMark/>
          </w:tcPr>
          <w:p w14:paraId="2CAECCD3" w14:textId="77777777" w:rsidR="008F4A58" w:rsidRPr="008F4A58" w:rsidRDefault="008F4A58" w:rsidP="008F4A58">
            <w:pPr>
              <w:jc w:val="center"/>
              <w:rPr>
                <w:rFonts w:ascii="Abadi" w:hAnsi="Abadi"/>
                <w:b/>
                <w:bCs/>
                <w:color w:val="FFFFFF"/>
                <w:sz w:val="21"/>
                <w:szCs w:val="21"/>
                <w:lang w:eastAsia="es-MX"/>
              </w:rPr>
            </w:pPr>
            <w:r w:rsidRPr="008F4A58">
              <w:rPr>
                <w:rFonts w:ascii="Abadi" w:hAnsi="Abadi"/>
                <w:b/>
                <w:bCs/>
                <w:color w:val="FFFFFF"/>
                <w:sz w:val="21"/>
                <w:szCs w:val="21"/>
                <w:lang w:eastAsia="es-MX"/>
              </w:rPr>
              <w:t>Beneficiarios</w:t>
            </w:r>
          </w:p>
        </w:tc>
      </w:tr>
      <w:tr w:rsidR="008F4A58" w:rsidRPr="008F4A58" w14:paraId="2444E2A9" w14:textId="77777777" w:rsidTr="007245B4">
        <w:trPr>
          <w:trHeight w:val="780"/>
        </w:trPr>
        <w:tc>
          <w:tcPr>
            <w:tcW w:w="155" w:type="pct"/>
            <w:tcBorders>
              <w:top w:val="nil"/>
              <w:left w:val="single" w:sz="8" w:space="0" w:color="808080"/>
              <w:bottom w:val="single" w:sz="8" w:space="0" w:color="808080"/>
              <w:right w:val="single" w:sz="8" w:space="0" w:color="808080"/>
            </w:tcBorders>
            <w:shd w:val="clear" w:color="auto" w:fill="auto"/>
            <w:vAlign w:val="center"/>
            <w:hideMark/>
          </w:tcPr>
          <w:p w14:paraId="6614A3EE"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1</w:t>
            </w:r>
          </w:p>
        </w:tc>
        <w:tc>
          <w:tcPr>
            <w:tcW w:w="3251" w:type="pct"/>
            <w:tcBorders>
              <w:top w:val="nil"/>
              <w:left w:val="nil"/>
              <w:bottom w:val="single" w:sz="8" w:space="0" w:color="808080"/>
              <w:right w:val="single" w:sz="8" w:space="0" w:color="808080"/>
            </w:tcBorders>
            <w:shd w:val="clear" w:color="auto" w:fill="auto"/>
            <w:vAlign w:val="center"/>
            <w:hideMark/>
          </w:tcPr>
          <w:p w14:paraId="40E1DF6A" w14:textId="77777777" w:rsidR="008F4A58" w:rsidRPr="008F4A58" w:rsidRDefault="008F4A58" w:rsidP="008F4A58">
            <w:pPr>
              <w:jc w:val="both"/>
              <w:rPr>
                <w:rFonts w:ascii="Abadi" w:hAnsi="Abadi"/>
                <w:color w:val="000000"/>
                <w:sz w:val="21"/>
                <w:szCs w:val="21"/>
                <w:lang w:eastAsia="es-MX"/>
              </w:rPr>
            </w:pPr>
            <w:r w:rsidRPr="008F4A58">
              <w:rPr>
                <w:rFonts w:ascii="Abadi" w:hAnsi="Abadi"/>
                <w:color w:val="000000"/>
                <w:sz w:val="21"/>
                <w:szCs w:val="21"/>
                <w:lang w:eastAsia="es-MX"/>
              </w:rPr>
              <w:t>Construcción del parque recreativo y adquisición de bienes asociados al equipamiento en colonia el Guadalupano 1era sección (1era etapa) en cabecera municipal, en el municipio de Apaseo el Grande, Guanajuato</w:t>
            </w:r>
          </w:p>
        </w:tc>
        <w:tc>
          <w:tcPr>
            <w:tcW w:w="813" w:type="pct"/>
            <w:tcBorders>
              <w:top w:val="single" w:sz="8" w:space="0" w:color="808080"/>
              <w:left w:val="nil"/>
              <w:bottom w:val="single" w:sz="8" w:space="0" w:color="808080"/>
              <w:right w:val="single" w:sz="8" w:space="0" w:color="808080"/>
            </w:tcBorders>
            <w:shd w:val="clear" w:color="auto" w:fill="auto"/>
            <w:noWrap/>
            <w:vAlign w:val="center"/>
            <w:hideMark/>
          </w:tcPr>
          <w:p w14:paraId="3444CC4F" w14:textId="77777777" w:rsidR="008F4A58" w:rsidRPr="008F4A58" w:rsidRDefault="008F4A58" w:rsidP="008F4A58">
            <w:pPr>
              <w:jc w:val="right"/>
              <w:rPr>
                <w:rFonts w:ascii="Abadi" w:hAnsi="Abadi"/>
                <w:color w:val="000000"/>
                <w:sz w:val="21"/>
                <w:szCs w:val="21"/>
                <w:lang w:eastAsia="es-MX"/>
              </w:rPr>
            </w:pPr>
          </w:p>
          <w:p w14:paraId="4E5ED4A1" w14:textId="77777777" w:rsidR="008F4A58" w:rsidRPr="008F4A58" w:rsidRDefault="008F4A58" w:rsidP="008F4A58">
            <w:pPr>
              <w:jc w:val="right"/>
              <w:rPr>
                <w:rFonts w:ascii="Abadi" w:hAnsi="Abadi"/>
                <w:color w:val="000000"/>
                <w:sz w:val="21"/>
                <w:szCs w:val="21"/>
                <w:lang w:eastAsia="es-MX"/>
              </w:rPr>
            </w:pPr>
          </w:p>
          <w:p w14:paraId="27100DD7"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$1’200,000.00</w:t>
            </w:r>
          </w:p>
        </w:tc>
        <w:tc>
          <w:tcPr>
            <w:tcW w:w="781" w:type="pct"/>
            <w:tcBorders>
              <w:top w:val="single" w:sz="8" w:space="0" w:color="808080"/>
              <w:left w:val="nil"/>
              <w:bottom w:val="single" w:sz="8" w:space="0" w:color="808080"/>
              <w:right w:val="single" w:sz="8" w:space="0" w:color="808080"/>
            </w:tcBorders>
            <w:shd w:val="clear" w:color="auto" w:fill="auto"/>
            <w:vAlign w:val="center"/>
            <w:hideMark/>
          </w:tcPr>
          <w:p w14:paraId="2DEFB36B" w14:textId="77777777" w:rsidR="008F4A58" w:rsidRPr="008F4A58" w:rsidRDefault="008F4A58" w:rsidP="008F4A58">
            <w:pPr>
              <w:jc w:val="center"/>
              <w:rPr>
                <w:rFonts w:ascii="Abadi" w:hAnsi="Abadi"/>
                <w:color w:val="000000"/>
                <w:sz w:val="21"/>
                <w:szCs w:val="21"/>
                <w:lang w:eastAsia="es-MX"/>
              </w:rPr>
            </w:pPr>
          </w:p>
          <w:p w14:paraId="5FC2E031" w14:textId="77777777" w:rsidR="008F4A58" w:rsidRPr="008F4A58" w:rsidRDefault="008F4A58" w:rsidP="008F4A58">
            <w:pPr>
              <w:jc w:val="center"/>
              <w:rPr>
                <w:rFonts w:ascii="Abadi" w:hAnsi="Abadi"/>
                <w:color w:val="000000"/>
                <w:sz w:val="21"/>
                <w:szCs w:val="21"/>
                <w:lang w:eastAsia="es-MX"/>
              </w:rPr>
            </w:pPr>
          </w:p>
          <w:p w14:paraId="521FAD36"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5,000</w:t>
            </w:r>
          </w:p>
        </w:tc>
      </w:tr>
      <w:tr w:rsidR="008F4A58" w:rsidRPr="008F4A58" w14:paraId="64A6E1A3" w14:textId="77777777" w:rsidTr="007245B4">
        <w:trPr>
          <w:trHeight w:val="780"/>
        </w:trPr>
        <w:tc>
          <w:tcPr>
            <w:tcW w:w="155" w:type="pct"/>
            <w:tcBorders>
              <w:top w:val="nil"/>
              <w:left w:val="single" w:sz="8" w:space="0" w:color="808080"/>
              <w:bottom w:val="single" w:sz="8" w:space="0" w:color="808080"/>
              <w:right w:val="single" w:sz="8" w:space="0" w:color="808080"/>
            </w:tcBorders>
            <w:shd w:val="clear" w:color="auto" w:fill="auto"/>
            <w:vAlign w:val="center"/>
            <w:hideMark/>
          </w:tcPr>
          <w:p w14:paraId="01B83268"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2</w:t>
            </w:r>
          </w:p>
        </w:tc>
        <w:tc>
          <w:tcPr>
            <w:tcW w:w="3251" w:type="pct"/>
            <w:tcBorders>
              <w:top w:val="nil"/>
              <w:left w:val="nil"/>
              <w:bottom w:val="single" w:sz="8" w:space="0" w:color="808080"/>
              <w:right w:val="single" w:sz="8" w:space="0" w:color="808080"/>
            </w:tcBorders>
            <w:shd w:val="clear" w:color="auto" w:fill="auto"/>
            <w:vAlign w:val="center"/>
            <w:hideMark/>
          </w:tcPr>
          <w:p w14:paraId="12727E6D" w14:textId="77777777" w:rsidR="008F4A58" w:rsidRPr="008F4A58" w:rsidRDefault="008F4A58" w:rsidP="008F4A58">
            <w:pPr>
              <w:jc w:val="both"/>
              <w:rPr>
                <w:rFonts w:ascii="Abadi" w:hAnsi="Abadi"/>
                <w:color w:val="000000"/>
                <w:sz w:val="21"/>
                <w:szCs w:val="21"/>
                <w:lang w:eastAsia="es-MX"/>
              </w:rPr>
            </w:pPr>
            <w:r w:rsidRPr="008F4A58">
              <w:rPr>
                <w:rFonts w:ascii="Abadi" w:hAnsi="Abadi"/>
                <w:color w:val="000000"/>
                <w:sz w:val="21"/>
                <w:szCs w:val="21"/>
                <w:lang w:eastAsia="es-MX"/>
              </w:rPr>
              <w:t>Rehabilitación de parque recreativo y adquisición de bienes asociados al equipamiento en colonia el Pedregal en cabecera municipal, en el municipio de Apaseo el Grande, Guanajuato</w:t>
            </w:r>
          </w:p>
        </w:tc>
        <w:tc>
          <w:tcPr>
            <w:tcW w:w="813" w:type="pct"/>
            <w:tcBorders>
              <w:top w:val="nil"/>
              <w:left w:val="nil"/>
              <w:bottom w:val="single" w:sz="8" w:space="0" w:color="808080"/>
              <w:right w:val="single" w:sz="8" w:space="0" w:color="808080"/>
            </w:tcBorders>
            <w:shd w:val="clear" w:color="auto" w:fill="auto"/>
            <w:noWrap/>
            <w:vAlign w:val="center"/>
            <w:hideMark/>
          </w:tcPr>
          <w:p w14:paraId="4D68C961" w14:textId="77777777" w:rsidR="008F4A58" w:rsidRPr="008F4A58" w:rsidRDefault="008F4A58" w:rsidP="008F4A58">
            <w:pPr>
              <w:jc w:val="right"/>
              <w:rPr>
                <w:rFonts w:ascii="Abadi" w:hAnsi="Abadi"/>
                <w:color w:val="000000"/>
                <w:sz w:val="21"/>
                <w:szCs w:val="21"/>
                <w:lang w:eastAsia="es-MX"/>
              </w:rPr>
            </w:pPr>
          </w:p>
          <w:p w14:paraId="48027E68" w14:textId="77777777" w:rsidR="008F4A58" w:rsidRPr="008F4A58" w:rsidRDefault="008F4A58" w:rsidP="008F4A58">
            <w:pPr>
              <w:jc w:val="right"/>
              <w:rPr>
                <w:rFonts w:ascii="Abadi" w:hAnsi="Abadi"/>
                <w:color w:val="000000"/>
                <w:sz w:val="21"/>
                <w:szCs w:val="21"/>
                <w:lang w:eastAsia="es-MX"/>
              </w:rPr>
            </w:pPr>
          </w:p>
          <w:p w14:paraId="22B83267"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$500,000.00</w:t>
            </w:r>
          </w:p>
        </w:tc>
        <w:tc>
          <w:tcPr>
            <w:tcW w:w="781" w:type="pct"/>
            <w:tcBorders>
              <w:top w:val="nil"/>
              <w:left w:val="nil"/>
              <w:bottom w:val="single" w:sz="8" w:space="0" w:color="808080"/>
              <w:right w:val="single" w:sz="8" w:space="0" w:color="808080"/>
            </w:tcBorders>
            <w:shd w:val="clear" w:color="auto" w:fill="auto"/>
            <w:vAlign w:val="center"/>
            <w:hideMark/>
          </w:tcPr>
          <w:p w14:paraId="0F724BFF" w14:textId="77777777" w:rsidR="008F4A58" w:rsidRPr="008F4A58" w:rsidRDefault="008F4A58" w:rsidP="008F4A58">
            <w:pPr>
              <w:jc w:val="center"/>
              <w:rPr>
                <w:rFonts w:ascii="Abadi" w:hAnsi="Abadi"/>
                <w:color w:val="000000"/>
                <w:sz w:val="21"/>
                <w:szCs w:val="21"/>
                <w:lang w:eastAsia="es-MX"/>
              </w:rPr>
            </w:pPr>
          </w:p>
          <w:p w14:paraId="2EDA406B" w14:textId="77777777" w:rsidR="008F4A58" w:rsidRPr="008F4A58" w:rsidRDefault="008F4A58" w:rsidP="008F4A58">
            <w:pPr>
              <w:jc w:val="center"/>
              <w:rPr>
                <w:rFonts w:ascii="Abadi" w:hAnsi="Abadi"/>
                <w:color w:val="000000"/>
                <w:sz w:val="21"/>
                <w:szCs w:val="21"/>
                <w:lang w:eastAsia="es-MX"/>
              </w:rPr>
            </w:pPr>
          </w:p>
          <w:p w14:paraId="05E606FE"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3,500</w:t>
            </w:r>
          </w:p>
        </w:tc>
      </w:tr>
      <w:tr w:rsidR="008F4A58" w:rsidRPr="008F4A58" w14:paraId="1301C722" w14:textId="77777777" w:rsidTr="007245B4">
        <w:trPr>
          <w:trHeight w:val="780"/>
        </w:trPr>
        <w:tc>
          <w:tcPr>
            <w:tcW w:w="155" w:type="pct"/>
            <w:tcBorders>
              <w:top w:val="nil"/>
              <w:left w:val="single" w:sz="8" w:space="0" w:color="808080"/>
              <w:bottom w:val="single" w:sz="8" w:space="0" w:color="808080"/>
              <w:right w:val="single" w:sz="8" w:space="0" w:color="808080"/>
            </w:tcBorders>
            <w:shd w:val="clear" w:color="auto" w:fill="auto"/>
            <w:vAlign w:val="center"/>
            <w:hideMark/>
          </w:tcPr>
          <w:p w14:paraId="712B2039"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3</w:t>
            </w:r>
          </w:p>
        </w:tc>
        <w:tc>
          <w:tcPr>
            <w:tcW w:w="3251" w:type="pct"/>
            <w:tcBorders>
              <w:top w:val="nil"/>
              <w:left w:val="nil"/>
              <w:bottom w:val="single" w:sz="8" w:space="0" w:color="808080"/>
              <w:right w:val="single" w:sz="8" w:space="0" w:color="808080"/>
            </w:tcBorders>
            <w:shd w:val="clear" w:color="auto" w:fill="auto"/>
            <w:vAlign w:val="center"/>
            <w:hideMark/>
          </w:tcPr>
          <w:p w14:paraId="1E802E22" w14:textId="77777777" w:rsidR="008F4A58" w:rsidRPr="008F4A58" w:rsidRDefault="008F4A58" w:rsidP="008F4A58">
            <w:pPr>
              <w:jc w:val="both"/>
              <w:rPr>
                <w:rFonts w:ascii="Abadi" w:hAnsi="Abadi"/>
                <w:color w:val="000000"/>
                <w:sz w:val="21"/>
                <w:szCs w:val="21"/>
                <w:lang w:eastAsia="es-MX"/>
              </w:rPr>
            </w:pPr>
            <w:r w:rsidRPr="008F4A58">
              <w:rPr>
                <w:rFonts w:ascii="Abadi" w:hAnsi="Abadi"/>
                <w:color w:val="000000"/>
                <w:sz w:val="21"/>
                <w:szCs w:val="21"/>
                <w:lang w:eastAsia="es-MX"/>
              </w:rPr>
              <w:t>Construcción del parque público y adquisición de bienes asociados al equipamiento en colonia Molino de Arriba (2da. Etapa), en cabecera municipal, en el municipio de Apaseo el Grande, Guanajuato</w:t>
            </w:r>
          </w:p>
        </w:tc>
        <w:tc>
          <w:tcPr>
            <w:tcW w:w="813" w:type="pct"/>
            <w:tcBorders>
              <w:top w:val="nil"/>
              <w:left w:val="nil"/>
              <w:bottom w:val="single" w:sz="8" w:space="0" w:color="808080"/>
              <w:right w:val="single" w:sz="8" w:space="0" w:color="808080"/>
            </w:tcBorders>
            <w:shd w:val="clear" w:color="auto" w:fill="auto"/>
            <w:noWrap/>
            <w:vAlign w:val="center"/>
            <w:hideMark/>
          </w:tcPr>
          <w:p w14:paraId="367698E8" w14:textId="77777777" w:rsidR="008F4A58" w:rsidRPr="008F4A58" w:rsidRDefault="008F4A58" w:rsidP="008F4A58">
            <w:pPr>
              <w:jc w:val="right"/>
              <w:rPr>
                <w:rFonts w:ascii="Abadi" w:hAnsi="Abadi"/>
                <w:color w:val="000000"/>
                <w:sz w:val="21"/>
                <w:szCs w:val="21"/>
                <w:lang w:eastAsia="es-MX"/>
              </w:rPr>
            </w:pPr>
          </w:p>
          <w:p w14:paraId="7ED4CBDA" w14:textId="77777777" w:rsidR="008F4A58" w:rsidRPr="008F4A58" w:rsidRDefault="008F4A58" w:rsidP="008F4A58">
            <w:pPr>
              <w:jc w:val="right"/>
              <w:rPr>
                <w:rFonts w:ascii="Abadi" w:hAnsi="Abadi"/>
                <w:color w:val="000000"/>
                <w:sz w:val="21"/>
                <w:szCs w:val="21"/>
                <w:lang w:eastAsia="es-MX"/>
              </w:rPr>
            </w:pPr>
          </w:p>
          <w:p w14:paraId="449D66A7" w14:textId="77777777" w:rsidR="008F4A58" w:rsidRPr="008F4A58" w:rsidRDefault="008F4A58" w:rsidP="008F4A58">
            <w:pPr>
              <w:jc w:val="right"/>
              <w:rPr>
                <w:rFonts w:ascii="Abadi" w:hAnsi="Abadi"/>
                <w:color w:val="000000"/>
                <w:sz w:val="21"/>
                <w:szCs w:val="21"/>
                <w:lang w:eastAsia="es-MX"/>
              </w:rPr>
            </w:pPr>
          </w:p>
          <w:p w14:paraId="6577E344"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$1’130,000.00</w:t>
            </w:r>
          </w:p>
        </w:tc>
        <w:tc>
          <w:tcPr>
            <w:tcW w:w="781" w:type="pct"/>
            <w:tcBorders>
              <w:top w:val="nil"/>
              <w:left w:val="nil"/>
              <w:bottom w:val="single" w:sz="8" w:space="0" w:color="808080"/>
              <w:right w:val="single" w:sz="8" w:space="0" w:color="808080"/>
            </w:tcBorders>
            <w:shd w:val="clear" w:color="auto" w:fill="auto"/>
            <w:vAlign w:val="center"/>
            <w:hideMark/>
          </w:tcPr>
          <w:p w14:paraId="4356964C" w14:textId="77777777" w:rsidR="008F4A58" w:rsidRPr="008F4A58" w:rsidRDefault="008F4A58" w:rsidP="008F4A58">
            <w:pPr>
              <w:jc w:val="center"/>
              <w:rPr>
                <w:rFonts w:ascii="Abadi" w:hAnsi="Abadi"/>
                <w:color w:val="000000"/>
                <w:sz w:val="21"/>
                <w:szCs w:val="21"/>
                <w:lang w:eastAsia="es-MX"/>
              </w:rPr>
            </w:pPr>
          </w:p>
          <w:p w14:paraId="6BD0BF58" w14:textId="77777777" w:rsidR="008F4A58" w:rsidRPr="008F4A58" w:rsidRDefault="008F4A58" w:rsidP="008F4A58">
            <w:pPr>
              <w:jc w:val="center"/>
              <w:rPr>
                <w:rFonts w:ascii="Abadi" w:hAnsi="Abadi"/>
                <w:color w:val="000000"/>
                <w:sz w:val="21"/>
                <w:szCs w:val="21"/>
                <w:lang w:eastAsia="es-MX"/>
              </w:rPr>
            </w:pPr>
          </w:p>
          <w:p w14:paraId="424975B9" w14:textId="77777777" w:rsidR="008F4A58" w:rsidRPr="008F4A58" w:rsidRDefault="008F4A58" w:rsidP="008F4A58">
            <w:pPr>
              <w:jc w:val="center"/>
              <w:rPr>
                <w:rFonts w:ascii="Abadi" w:hAnsi="Abadi"/>
                <w:color w:val="000000"/>
                <w:sz w:val="21"/>
                <w:szCs w:val="21"/>
                <w:lang w:eastAsia="es-MX"/>
              </w:rPr>
            </w:pPr>
          </w:p>
          <w:p w14:paraId="173623A2"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10,000</w:t>
            </w:r>
          </w:p>
        </w:tc>
      </w:tr>
      <w:tr w:rsidR="008F4A58" w:rsidRPr="008F4A58" w14:paraId="0BB1390A" w14:textId="77777777" w:rsidTr="007245B4">
        <w:trPr>
          <w:trHeight w:val="525"/>
        </w:trPr>
        <w:tc>
          <w:tcPr>
            <w:tcW w:w="155" w:type="pct"/>
            <w:tcBorders>
              <w:top w:val="nil"/>
              <w:left w:val="single" w:sz="8" w:space="0" w:color="808080"/>
              <w:bottom w:val="single" w:sz="8" w:space="0" w:color="808080"/>
              <w:right w:val="single" w:sz="8" w:space="0" w:color="808080"/>
            </w:tcBorders>
            <w:shd w:val="clear" w:color="auto" w:fill="auto"/>
            <w:vAlign w:val="center"/>
            <w:hideMark/>
          </w:tcPr>
          <w:p w14:paraId="46412F8E"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4</w:t>
            </w:r>
          </w:p>
        </w:tc>
        <w:tc>
          <w:tcPr>
            <w:tcW w:w="3251" w:type="pct"/>
            <w:tcBorders>
              <w:top w:val="nil"/>
              <w:left w:val="nil"/>
              <w:bottom w:val="single" w:sz="8" w:space="0" w:color="808080"/>
              <w:right w:val="single" w:sz="8" w:space="0" w:color="808080"/>
            </w:tcBorders>
            <w:shd w:val="clear" w:color="auto" w:fill="auto"/>
            <w:vAlign w:val="center"/>
            <w:hideMark/>
          </w:tcPr>
          <w:p w14:paraId="4DCA2A02" w14:textId="77777777" w:rsidR="008F4A58" w:rsidRPr="008F4A58" w:rsidRDefault="008F4A58" w:rsidP="008F4A58">
            <w:pPr>
              <w:jc w:val="both"/>
              <w:rPr>
                <w:rFonts w:ascii="Abadi" w:hAnsi="Abadi"/>
                <w:color w:val="000000"/>
                <w:sz w:val="21"/>
                <w:szCs w:val="21"/>
                <w:lang w:eastAsia="es-MX"/>
              </w:rPr>
            </w:pPr>
            <w:r w:rsidRPr="008F4A58">
              <w:rPr>
                <w:rFonts w:ascii="Abadi" w:hAnsi="Abadi"/>
                <w:color w:val="000000"/>
                <w:sz w:val="21"/>
                <w:szCs w:val="21"/>
                <w:lang w:eastAsia="es-MX"/>
              </w:rPr>
              <w:t xml:space="preserve">Rehabilitación de parque recreativo y </w:t>
            </w:r>
            <w:r w:rsidRPr="008F4A58">
              <w:rPr>
                <w:rFonts w:ascii="Abadi" w:hAnsi="Abadi"/>
                <w:color w:val="000000"/>
                <w:sz w:val="21"/>
                <w:szCs w:val="21"/>
                <w:lang w:eastAsia="es-MX"/>
              </w:rPr>
              <w:lastRenderedPageBreak/>
              <w:t>adquisición de bienes asociados al equipamiento en la colonia el Cerrito, en el municipio de Apaseo el Grande, Guanajuato</w:t>
            </w:r>
          </w:p>
        </w:tc>
        <w:tc>
          <w:tcPr>
            <w:tcW w:w="813" w:type="pct"/>
            <w:tcBorders>
              <w:top w:val="nil"/>
              <w:left w:val="nil"/>
              <w:bottom w:val="single" w:sz="8" w:space="0" w:color="808080"/>
              <w:right w:val="single" w:sz="8" w:space="0" w:color="808080"/>
            </w:tcBorders>
            <w:shd w:val="clear" w:color="auto" w:fill="auto"/>
            <w:noWrap/>
            <w:vAlign w:val="center"/>
            <w:hideMark/>
          </w:tcPr>
          <w:p w14:paraId="5FBA7D3F" w14:textId="77777777" w:rsidR="008F4A58" w:rsidRPr="008F4A58" w:rsidRDefault="008F4A58" w:rsidP="008F4A58">
            <w:pPr>
              <w:jc w:val="right"/>
              <w:rPr>
                <w:rFonts w:ascii="Abadi" w:hAnsi="Abadi"/>
                <w:color w:val="000000"/>
                <w:sz w:val="21"/>
                <w:szCs w:val="21"/>
                <w:lang w:eastAsia="es-MX"/>
              </w:rPr>
            </w:pPr>
          </w:p>
          <w:p w14:paraId="1063B0A8" w14:textId="77777777" w:rsidR="008F4A58" w:rsidRPr="008F4A58" w:rsidRDefault="008F4A58" w:rsidP="008F4A58">
            <w:pPr>
              <w:jc w:val="right"/>
              <w:rPr>
                <w:rFonts w:ascii="Abadi" w:hAnsi="Abadi"/>
                <w:color w:val="000000"/>
                <w:sz w:val="21"/>
                <w:szCs w:val="21"/>
                <w:lang w:eastAsia="es-MX"/>
              </w:rPr>
            </w:pPr>
          </w:p>
          <w:p w14:paraId="5B7CDD8B"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lastRenderedPageBreak/>
              <w:t>$1’150,000.00</w:t>
            </w:r>
          </w:p>
        </w:tc>
        <w:tc>
          <w:tcPr>
            <w:tcW w:w="781" w:type="pct"/>
            <w:tcBorders>
              <w:top w:val="nil"/>
              <w:left w:val="nil"/>
              <w:bottom w:val="single" w:sz="8" w:space="0" w:color="808080"/>
              <w:right w:val="single" w:sz="8" w:space="0" w:color="808080"/>
            </w:tcBorders>
            <w:shd w:val="clear" w:color="auto" w:fill="auto"/>
            <w:vAlign w:val="center"/>
            <w:hideMark/>
          </w:tcPr>
          <w:p w14:paraId="604C0665" w14:textId="77777777" w:rsidR="008F4A58" w:rsidRPr="008F4A58" w:rsidRDefault="008F4A58" w:rsidP="008F4A58">
            <w:pPr>
              <w:jc w:val="center"/>
              <w:rPr>
                <w:rFonts w:ascii="Abadi" w:hAnsi="Abadi"/>
                <w:color w:val="000000"/>
                <w:sz w:val="21"/>
                <w:szCs w:val="21"/>
                <w:lang w:eastAsia="es-MX"/>
              </w:rPr>
            </w:pPr>
          </w:p>
          <w:p w14:paraId="5F9E35EB" w14:textId="77777777" w:rsidR="008F4A58" w:rsidRPr="008F4A58" w:rsidRDefault="008F4A58" w:rsidP="008F4A58">
            <w:pPr>
              <w:jc w:val="center"/>
              <w:rPr>
                <w:rFonts w:ascii="Abadi" w:hAnsi="Abadi"/>
                <w:color w:val="000000"/>
                <w:sz w:val="21"/>
                <w:szCs w:val="21"/>
                <w:lang w:eastAsia="es-MX"/>
              </w:rPr>
            </w:pPr>
          </w:p>
          <w:p w14:paraId="5387616B"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5,000</w:t>
            </w:r>
          </w:p>
        </w:tc>
      </w:tr>
      <w:tr w:rsidR="008F4A58" w:rsidRPr="008F4A58" w14:paraId="1895B09B" w14:textId="77777777" w:rsidTr="007245B4">
        <w:trPr>
          <w:trHeight w:val="525"/>
        </w:trPr>
        <w:tc>
          <w:tcPr>
            <w:tcW w:w="155" w:type="pct"/>
            <w:tcBorders>
              <w:top w:val="nil"/>
              <w:left w:val="single" w:sz="8" w:space="0" w:color="808080"/>
              <w:bottom w:val="single" w:sz="8" w:space="0" w:color="808080"/>
              <w:right w:val="single" w:sz="8" w:space="0" w:color="808080"/>
            </w:tcBorders>
            <w:shd w:val="clear" w:color="auto" w:fill="auto"/>
            <w:vAlign w:val="center"/>
            <w:hideMark/>
          </w:tcPr>
          <w:p w14:paraId="28E5EF14"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5</w:t>
            </w:r>
          </w:p>
        </w:tc>
        <w:tc>
          <w:tcPr>
            <w:tcW w:w="3251" w:type="pct"/>
            <w:tcBorders>
              <w:top w:val="nil"/>
              <w:left w:val="nil"/>
              <w:bottom w:val="single" w:sz="8" w:space="0" w:color="808080"/>
              <w:right w:val="single" w:sz="8" w:space="0" w:color="808080"/>
            </w:tcBorders>
            <w:shd w:val="clear" w:color="auto" w:fill="auto"/>
            <w:vAlign w:val="center"/>
            <w:hideMark/>
          </w:tcPr>
          <w:p w14:paraId="18119FD2" w14:textId="77777777" w:rsidR="008F4A58" w:rsidRPr="008F4A58" w:rsidRDefault="008F4A58" w:rsidP="008F4A58">
            <w:pPr>
              <w:jc w:val="both"/>
              <w:rPr>
                <w:rFonts w:ascii="Abadi" w:hAnsi="Abadi"/>
                <w:color w:val="000000"/>
                <w:sz w:val="21"/>
                <w:szCs w:val="21"/>
                <w:lang w:eastAsia="es-MX"/>
              </w:rPr>
            </w:pPr>
            <w:r w:rsidRPr="008F4A58">
              <w:rPr>
                <w:rFonts w:ascii="Abadi" w:hAnsi="Abadi"/>
                <w:color w:val="000000"/>
                <w:sz w:val="21"/>
                <w:szCs w:val="21"/>
                <w:lang w:eastAsia="es-MX"/>
              </w:rPr>
              <w:t>Construcción del parque recreativo y adquisición de bienes asociados al equipamiento la colonia la Villita (1er. Etapa), en el municipio de Apaseo el Grande, Guanajuato</w:t>
            </w:r>
          </w:p>
        </w:tc>
        <w:tc>
          <w:tcPr>
            <w:tcW w:w="813" w:type="pct"/>
            <w:tcBorders>
              <w:top w:val="nil"/>
              <w:left w:val="nil"/>
              <w:bottom w:val="single" w:sz="8" w:space="0" w:color="808080"/>
              <w:right w:val="single" w:sz="8" w:space="0" w:color="808080"/>
            </w:tcBorders>
            <w:shd w:val="clear" w:color="auto" w:fill="auto"/>
            <w:noWrap/>
            <w:vAlign w:val="center"/>
            <w:hideMark/>
          </w:tcPr>
          <w:p w14:paraId="772CEEB0" w14:textId="77777777" w:rsidR="008F4A58" w:rsidRPr="008F4A58" w:rsidRDefault="008F4A58" w:rsidP="008F4A58">
            <w:pPr>
              <w:jc w:val="right"/>
              <w:rPr>
                <w:rFonts w:ascii="Abadi" w:hAnsi="Abadi"/>
                <w:color w:val="000000"/>
                <w:sz w:val="21"/>
                <w:szCs w:val="21"/>
                <w:lang w:eastAsia="es-MX"/>
              </w:rPr>
            </w:pPr>
          </w:p>
          <w:p w14:paraId="11CDC702" w14:textId="77777777" w:rsidR="008F4A58" w:rsidRPr="008F4A58" w:rsidRDefault="008F4A58" w:rsidP="008F4A58">
            <w:pPr>
              <w:jc w:val="right"/>
              <w:rPr>
                <w:rFonts w:ascii="Abadi" w:hAnsi="Abadi"/>
                <w:color w:val="000000"/>
                <w:sz w:val="21"/>
                <w:szCs w:val="21"/>
                <w:lang w:eastAsia="es-MX"/>
              </w:rPr>
            </w:pPr>
          </w:p>
          <w:p w14:paraId="1E584EF3"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$2’500,000.00</w:t>
            </w:r>
          </w:p>
        </w:tc>
        <w:tc>
          <w:tcPr>
            <w:tcW w:w="781" w:type="pct"/>
            <w:tcBorders>
              <w:top w:val="nil"/>
              <w:left w:val="nil"/>
              <w:bottom w:val="single" w:sz="8" w:space="0" w:color="808080"/>
              <w:right w:val="single" w:sz="8" w:space="0" w:color="808080"/>
            </w:tcBorders>
            <w:shd w:val="clear" w:color="auto" w:fill="auto"/>
            <w:vAlign w:val="center"/>
            <w:hideMark/>
          </w:tcPr>
          <w:p w14:paraId="3CD99519" w14:textId="77777777" w:rsidR="008F4A58" w:rsidRPr="008F4A58" w:rsidRDefault="008F4A58" w:rsidP="008F4A58">
            <w:pPr>
              <w:jc w:val="center"/>
              <w:rPr>
                <w:rFonts w:ascii="Abadi" w:hAnsi="Abadi"/>
                <w:color w:val="000000"/>
                <w:sz w:val="21"/>
                <w:szCs w:val="21"/>
                <w:lang w:eastAsia="es-MX"/>
              </w:rPr>
            </w:pPr>
          </w:p>
          <w:p w14:paraId="0239AB3D" w14:textId="77777777" w:rsidR="008F4A58" w:rsidRPr="008F4A58" w:rsidRDefault="008F4A58" w:rsidP="008F4A58">
            <w:pPr>
              <w:jc w:val="center"/>
              <w:rPr>
                <w:rFonts w:ascii="Abadi" w:hAnsi="Abadi"/>
                <w:color w:val="000000"/>
                <w:sz w:val="21"/>
                <w:szCs w:val="21"/>
                <w:lang w:eastAsia="es-MX"/>
              </w:rPr>
            </w:pPr>
          </w:p>
          <w:p w14:paraId="796AFDC0"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12,000</w:t>
            </w:r>
          </w:p>
        </w:tc>
      </w:tr>
      <w:tr w:rsidR="008F4A58" w:rsidRPr="008F4A58" w14:paraId="1C02D93E" w14:textId="77777777" w:rsidTr="007245B4">
        <w:trPr>
          <w:trHeight w:val="525"/>
        </w:trPr>
        <w:tc>
          <w:tcPr>
            <w:tcW w:w="155" w:type="pct"/>
            <w:tcBorders>
              <w:top w:val="nil"/>
              <w:left w:val="single" w:sz="8" w:space="0" w:color="808080"/>
              <w:bottom w:val="single" w:sz="8" w:space="0" w:color="808080"/>
              <w:right w:val="single" w:sz="8" w:space="0" w:color="808080"/>
            </w:tcBorders>
            <w:shd w:val="clear" w:color="auto" w:fill="auto"/>
            <w:vAlign w:val="center"/>
            <w:hideMark/>
          </w:tcPr>
          <w:p w14:paraId="41A4EC78"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6</w:t>
            </w:r>
          </w:p>
        </w:tc>
        <w:tc>
          <w:tcPr>
            <w:tcW w:w="3251" w:type="pct"/>
            <w:tcBorders>
              <w:top w:val="nil"/>
              <w:left w:val="nil"/>
              <w:bottom w:val="single" w:sz="8" w:space="0" w:color="808080"/>
              <w:right w:val="single" w:sz="8" w:space="0" w:color="808080"/>
            </w:tcBorders>
            <w:shd w:val="clear" w:color="auto" w:fill="auto"/>
            <w:vAlign w:val="center"/>
            <w:hideMark/>
          </w:tcPr>
          <w:p w14:paraId="6F10A057" w14:textId="77777777" w:rsidR="008F4A58" w:rsidRPr="008F4A58" w:rsidRDefault="008F4A58" w:rsidP="008F4A58">
            <w:pPr>
              <w:jc w:val="both"/>
              <w:rPr>
                <w:rFonts w:ascii="Abadi" w:hAnsi="Abadi"/>
                <w:color w:val="000000"/>
                <w:sz w:val="21"/>
                <w:szCs w:val="21"/>
                <w:lang w:eastAsia="es-MX"/>
              </w:rPr>
            </w:pPr>
            <w:r w:rsidRPr="008F4A58">
              <w:rPr>
                <w:rFonts w:ascii="Abadi" w:hAnsi="Abadi"/>
                <w:color w:val="000000"/>
                <w:sz w:val="21"/>
                <w:szCs w:val="21"/>
                <w:lang w:eastAsia="es-MX"/>
              </w:rPr>
              <w:t>Rehabilitación de cancha de usos múltiples en la colonia la Fundación, en el municipio de Apaseo el Grande, Guanajuato</w:t>
            </w:r>
          </w:p>
        </w:tc>
        <w:tc>
          <w:tcPr>
            <w:tcW w:w="813" w:type="pct"/>
            <w:tcBorders>
              <w:top w:val="nil"/>
              <w:left w:val="nil"/>
              <w:bottom w:val="single" w:sz="8" w:space="0" w:color="808080"/>
              <w:right w:val="single" w:sz="8" w:space="0" w:color="808080"/>
            </w:tcBorders>
            <w:shd w:val="clear" w:color="auto" w:fill="auto"/>
            <w:noWrap/>
            <w:vAlign w:val="center"/>
            <w:hideMark/>
          </w:tcPr>
          <w:p w14:paraId="6BE42742" w14:textId="77777777" w:rsidR="008F4A58" w:rsidRPr="008F4A58" w:rsidRDefault="008F4A58" w:rsidP="008F4A58">
            <w:pPr>
              <w:jc w:val="right"/>
              <w:rPr>
                <w:rFonts w:ascii="Abadi" w:hAnsi="Abadi"/>
                <w:color w:val="000000"/>
                <w:sz w:val="21"/>
                <w:szCs w:val="21"/>
                <w:lang w:eastAsia="es-MX"/>
              </w:rPr>
            </w:pPr>
          </w:p>
          <w:p w14:paraId="2AC30058"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$874,351.29</w:t>
            </w:r>
          </w:p>
        </w:tc>
        <w:tc>
          <w:tcPr>
            <w:tcW w:w="781" w:type="pct"/>
            <w:tcBorders>
              <w:top w:val="nil"/>
              <w:left w:val="nil"/>
              <w:bottom w:val="single" w:sz="8" w:space="0" w:color="808080"/>
              <w:right w:val="single" w:sz="8" w:space="0" w:color="808080"/>
            </w:tcBorders>
            <w:shd w:val="clear" w:color="auto" w:fill="auto"/>
            <w:vAlign w:val="center"/>
            <w:hideMark/>
          </w:tcPr>
          <w:p w14:paraId="15F10311" w14:textId="77777777" w:rsidR="008F4A58" w:rsidRPr="008F4A58" w:rsidRDefault="008F4A58" w:rsidP="008F4A58">
            <w:pPr>
              <w:jc w:val="center"/>
              <w:rPr>
                <w:rFonts w:ascii="Abadi" w:hAnsi="Abadi"/>
                <w:color w:val="000000"/>
                <w:sz w:val="21"/>
                <w:szCs w:val="21"/>
                <w:lang w:eastAsia="es-MX"/>
              </w:rPr>
            </w:pPr>
          </w:p>
          <w:p w14:paraId="5A0F6782"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1,050</w:t>
            </w:r>
          </w:p>
        </w:tc>
      </w:tr>
      <w:tr w:rsidR="008F4A58" w:rsidRPr="008F4A58" w14:paraId="0C3C8679" w14:textId="77777777" w:rsidTr="007245B4">
        <w:trPr>
          <w:trHeight w:val="780"/>
        </w:trPr>
        <w:tc>
          <w:tcPr>
            <w:tcW w:w="155" w:type="pct"/>
            <w:tcBorders>
              <w:top w:val="nil"/>
              <w:left w:val="single" w:sz="8" w:space="0" w:color="808080"/>
              <w:bottom w:val="single" w:sz="8" w:space="0" w:color="808080"/>
              <w:right w:val="single" w:sz="8" w:space="0" w:color="808080"/>
            </w:tcBorders>
            <w:shd w:val="clear" w:color="auto" w:fill="auto"/>
            <w:vAlign w:val="center"/>
            <w:hideMark/>
          </w:tcPr>
          <w:p w14:paraId="3454F265"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7</w:t>
            </w:r>
          </w:p>
        </w:tc>
        <w:tc>
          <w:tcPr>
            <w:tcW w:w="3251" w:type="pct"/>
            <w:tcBorders>
              <w:top w:val="nil"/>
              <w:left w:val="nil"/>
              <w:bottom w:val="single" w:sz="8" w:space="0" w:color="808080"/>
              <w:right w:val="single" w:sz="8" w:space="0" w:color="808080"/>
            </w:tcBorders>
            <w:shd w:val="clear" w:color="auto" w:fill="auto"/>
            <w:vAlign w:val="center"/>
            <w:hideMark/>
          </w:tcPr>
          <w:p w14:paraId="39E3E27C" w14:textId="77777777" w:rsidR="008F4A58" w:rsidRPr="008F4A58" w:rsidRDefault="008F4A58" w:rsidP="008F4A58">
            <w:pPr>
              <w:jc w:val="both"/>
              <w:rPr>
                <w:rFonts w:ascii="Abadi" w:hAnsi="Abadi"/>
                <w:color w:val="000000"/>
                <w:sz w:val="21"/>
                <w:szCs w:val="21"/>
                <w:lang w:eastAsia="es-MX"/>
              </w:rPr>
            </w:pPr>
            <w:r w:rsidRPr="008F4A58">
              <w:rPr>
                <w:rFonts w:ascii="Abadi" w:hAnsi="Abadi"/>
                <w:color w:val="000000"/>
                <w:sz w:val="21"/>
                <w:szCs w:val="21"/>
                <w:lang w:eastAsia="es-MX"/>
              </w:rPr>
              <w:t>Rehabilitación de parque recreativo y adquisición de bienes asociados al equipamiento en casa de la cultura Antonio Plaza, en cabecera municipal, en el municipio de Apaseo el Grande, Guanajuato</w:t>
            </w:r>
          </w:p>
        </w:tc>
        <w:tc>
          <w:tcPr>
            <w:tcW w:w="813" w:type="pct"/>
            <w:tcBorders>
              <w:top w:val="nil"/>
              <w:left w:val="nil"/>
              <w:bottom w:val="single" w:sz="8" w:space="0" w:color="808080"/>
              <w:right w:val="single" w:sz="8" w:space="0" w:color="808080"/>
            </w:tcBorders>
            <w:shd w:val="clear" w:color="auto" w:fill="auto"/>
            <w:noWrap/>
            <w:vAlign w:val="center"/>
            <w:hideMark/>
          </w:tcPr>
          <w:p w14:paraId="7674880F" w14:textId="77777777" w:rsidR="008F4A58" w:rsidRPr="008F4A58" w:rsidRDefault="008F4A58" w:rsidP="008F4A58">
            <w:pPr>
              <w:jc w:val="right"/>
              <w:rPr>
                <w:rFonts w:ascii="Abadi" w:hAnsi="Abadi"/>
                <w:color w:val="000000"/>
                <w:sz w:val="21"/>
                <w:szCs w:val="21"/>
                <w:lang w:eastAsia="es-MX"/>
              </w:rPr>
            </w:pPr>
          </w:p>
          <w:p w14:paraId="6F949F8F" w14:textId="77777777" w:rsidR="008F4A58" w:rsidRPr="008F4A58" w:rsidRDefault="008F4A58" w:rsidP="008F4A58">
            <w:pPr>
              <w:jc w:val="right"/>
              <w:rPr>
                <w:rFonts w:ascii="Abadi" w:hAnsi="Abadi"/>
                <w:color w:val="000000"/>
                <w:sz w:val="21"/>
                <w:szCs w:val="21"/>
                <w:lang w:eastAsia="es-MX"/>
              </w:rPr>
            </w:pPr>
          </w:p>
          <w:p w14:paraId="33BA1162" w14:textId="77777777" w:rsidR="008F4A58" w:rsidRPr="008F4A58" w:rsidRDefault="008F4A58" w:rsidP="008F4A58">
            <w:pPr>
              <w:jc w:val="right"/>
              <w:rPr>
                <w:rFonts w:ascii="Abadi" w:hAnsi="Abadi"/>
                <w:color w:val="000000"/>
                <w:sz w:val="21"/>
                <w:szCs w:val="21"/>
                <w:lang w:eastAsia="es-MX"/>
              </w:rPr>
            </w:pPr>
          </w:p>
          <w:p w14:paraId="0439ADC1"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$1’050,000.00</w:t>
            </w:r>
          </w:p>
        </w:tc>
        <w:tc>
          <w:tcPr>
            <w:tcW w:w="781" w:type="pct"/>
            <w:tcBorders>
              <w:top w:val="nil"/>
              <w:left w:val="nil"/>
              <w:bottom w:val="single" w:sz="8" w:space="0" w:color="808080"/>
              <w:right w:val="single" w:sz="8" w:space="0" w:color="808080"/>
            </w:tcBorders>
            <w:shd w:val="clear" w:color="auto" w:fill="auto"/>
            <w:vAlign w:val="center"/>
            <w:hideMark/>
          </w:tcPr>
          <w:p w14:paraId="33CB6DBA" w14:textId="77777777" w:rsidR="008F4A58" w:rsidRPr="008F4A58" w:rsidRDefault="008F4A58" w:rsidP="008F4A58">
            <w:pPr>
              <w:jc w:val="center"/>
              <w:rPr>
                <w:rFonts w:ascii="Abadi" w:hAnsi="Abadi"/>
                <w:color w:val="000000"/>
                <w:sz w:val="21"/>
                <w:szCs w:val="21"/>
                <w:lang w:eastAsia="es-MX"/>
              </w:rPr>
            </w:pPr>
          </w:p>
          <w:p w14:paraId="1E3D3D48" w14:textId="77777777" w:rsidR="008F4A58" w:rsidRPr="008F4A58" w:rsidRDefault="008F4A58" w:rsidP="008F4A58">
            <w:pPr>
              <w:jc w:val="center"/>
              <w:rPr>
                <w:rFonts w:ascii="Abadi" w:hAnsi="Abadi"/>
                <w:color w:val="000000"/>
                <w:sz w:val="21"/>
                <w:szCs w:val="21"/>
                <w:lang w:eastAsia="es-MX"/>
              </w:rPr>
            </w:pPr>
          </w:p>
          <w:p w14:paraId="2E64BC4A" w14:textId="77777777" w:rsidR="008F4A58" w:rsidRPr="008F4A58" w:rsidRDefault="008F4A58" w:rsidP="008F4A58">
            <w:pPr>
              <w:jc w:val="center"/>
              <w:rPr>
                <w:rFonts w:ascii="Abadi" w:hAnsi="Abadi"/>
                <w:color w:val="000000"/>
                <w:sz w:val="21"/>
                <w:szCs w:val="21"/>
                <w:lang w:eastAsia="es-MX"/>
              </w:rPr>
            </w:pPr>
          </w:p>
          <w:p w14:paraId="69982125"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31,264</w:t>
            </w:r>
          </w:p>
        </w:tc>
      </w:tr>
      <w:tr w:rsidR="008F4A58" w:rsidRPr="008F4A58" w14:paraId="20BFDB75" w14:textId="77777777" w:rsidTr="007245B4">
        <w:trPr>
          <w:trHeight w:val="525"/>
        </w:trPr>
        <w:tc>
          <w:tcPr>
            <w:tcW w:w="155" w:type="pct"/>
            <w:tcBorders>
              <w:top w:val="nil"/>
              <w:left w:val="single" w:sz="8" w:space="0" w:color="808080"/>
              <w:bottom w:val="single" w:sz="8" w:space="0" w:color="808080"/>
              <w:right w:val="single" w:sz="8" w:space="0" w:color="808080"/>
            </w:tcBorders>
            <w:shd w:val="clear" w:color="auto" w:fill="auto"/>
            <w:vAlign w:val="center"/>
            <w:hideMark/>
          </w:tcPr>
          <w:p w14:paraId="08FF975E"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8</w:t>
            </w:r>
          </w:p>
        </w:tc>
        <w:tc>
          <w:tcPr>
            <w:tcW w:w="3251" w:type="pct"/>
            <w:tcBorders>
              <w:top w:val="nil"/>
              <w:left w:val="nil"/>
              <w:bottom w:val="single" w:sz="8" w:space="0" w:color="808080"/>
              <w:right w:val="single" w:sz="8" w:space="0" w:color="808080"/>
            </w:tcBorders>
            <w:shd w:val="clear" w:color="auto" w:fill="auto"/>
            <w:vAlign w:val="center"/>
            <w:hideMark/>
          </w:tcPr>
          <w:p w14:paraId="505EA898" w14:textId="77777777" w:rsidR="008F4A58" w:rsidRPr="008F4A58" w:rsidRDefault="008F4A58" w:rsidP="008F4A58">
            <w:pPr>
              <w:jc w:val="both"/>
              <w:rPr>
                <w:rFonts w:ascii="Abadi" w:hAnsi="Abadi"/>
                <w:color w:val="000000"/>
                <w:sz w:val="21"/>
                <w:szCs w:val="21"/>
                <w:lang w:eastAsia="es-MX"/>
              </w:rPr>
            </w:pPr>
            <w:r w:rsidRPr="008F4A58">
              <w:rPr>
                <w:rFonts w:ascii="Abadi" w:hAnsi="Abadi"/>
                <w:color w:val="000000"/>
                <w:sz w:val="21"/>
                <w:szCs w:val="21"/>
                <w:lang w:eastAsia="es-MX"/>
              </w:rPr>
              <w:t xml:space="preserve">Construcción del parque </w:t>
            </w:r>
            <w:r w:rsidRPr="008F4A58">
              <w:rPr>
                <w:rFonts w:ascii="Abadi" w:hAnsi="Abadi"/>
                <w:color w:val="000000"/>
                <w:sz w:val="21"/>
                <w:szCs w:val="21"/>
                <w:lang w:eastAsia="es-MX"/>
              </w:rPr>
              <w:t>recreativo y adquisición de bienes asociados al equipamiento en la comunidad de la Labor, en el municipio de Apaseo el Grande, Guanajuato</w:t>
            </w:r>
          </w:p>
        </w:tc>
        <w:tc>
          <w:tcPr>
            <w:tcW w:w="813" w:type="pct"/>
            <w:tcBorders>
              <w:top w:val="nil"/>
              <w:left w:val="nil"/>
              <w:bottom w:val="single" w:sz="8" w:space="0" w:color="808080"/>
              <w:right w:val="single" w:sz="8" w:space="0" w:color="808080"/>
            </w:tcBorders>
            <w:shd w:val="clear" w:color="auto" w:fill="auto"/>
            <w:noWrap/>
            <w:vAlign w:val="center"/>
            <w:hideMark/>
          </w:tcPr>
          <w:p w14:paraId="5A76B8F1" w14:textId="77777777" w:rsidR="008F4A58" w:rsidRPr="008F4A58" w:rsidRDefault="008F4A58" w:rsidP="008F4A58">
            <w:pPr>
              <w:jc w:val="right"/>
              <w:rPr>
                <w:rFonts w:ascii="Abadi" w:hAnsi="Abadi"/>
                <w:color w:val="000000"/>
                <w:sz w:val="21"/>
                <w:szCs w:val="21"/>
                <w:lang w:eastAsia="es-MX"/>
              </w:rPr>
            </w:pPr>
          </w:p>
          <w:p w14:paraId="17A1DAB5" w14:textId="77777777" w:rsidR="008F4A58" w:rsidRPr="008F4A58" w:rsidRDefault="008F4A58" w:rsidP="008F4A58">
            <w:pPr>
              <w:jc w:val="right"/>
              <w:rPr>
                <w:rFonts w:ascii="Abadi" w:hAnsi="Abadi"/>
                <w:color w:val="000000"/>
                <w:sz w:val="21"/>
                <w:szCs w:val="21"/>
                <w:lang w:eastAsia="es-MX"/>
              </w:rPr>
            </w:pPr>
          </w:p>
          <w:p w14:paraId="37500D79"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$600,000.00</w:t>
            </w:r>
          </w:p>
        </w:tc>
        <w:tc>
          <w:tcPr>
            <w:tcW w:w="781" w:type="pct"/>
            <w:tcBorders>
              <w:top w:val="nil"/>
              <w:left w:val="nil"/>
              <w:bottom w:val="single" w:sz="8" w:space="0" w:color="808080"/>
              <w:right w:val="single" w:sz="8" w:space="0" w:color="808080"/>
            </w:tcBorders>
            <w:shd w:val="clear" w:color="auto" w:fill="auto"/>
            <w:vAlign w:val="center"/>
            <w:hideMark/>
          </w:tcPr>
          <w:p w14:paraId="1521ABE2" w14:textId="77777777" w:rsidR="008F4A58" w:rsidRPr="008F4A58" w:rsidRDefault="008F4A58" w:rsidP="008F4A58">
            <w:pPr>
              <w:jc w:val="center"/>
              <w:rPr>
                <w:rFonts w:ascii="Abadi" w:hAnsi="Abadi"/>
                <w:color w:val="000000"/>
                <w:sz w:val="21"/>
                <w:szCs w:val="21"/>
                <w:lang w:eastAsia="es-MX"/>
              </w:rPr>
            </w:pPr>
          </w:p>
          <w:p w14:paraId="47CBB72C" w14:textId="77777777" w:rsidR="008F4A58" w:rsidRPr="008F4A58" w:rsidRDefault="008F4A58" w:rsidP="008F4A58">
            <w:pPr>
              <w:jc w:val="center"/>
              <w:rPr>
                <w:rFonts w:ascii="Abadi" w:hAnsi="Abadi"/>
                <w:color w:val="000000"/>
                <w:sz w:val="21"/>
                <w:szCs w:val="21"/>
                <w:lang w:eastAsia="es-MX"/>
              </w:rPr>
            </w:pPr>
          </w:p>
          <w:p w14:paraId="6D3EE40E"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1,441</w:t>
            </w:r>
          </w:p>
        </w:tc>
      </w:tr>
      <w:tr w:rsidR="008F4A58" w:rsidRPr="008F4A58" w14:paraId="066BEE9D" w14:textId="77777777" w:rsidTr="007245B4">
        <w:trPr>
          <w:trHeight w:val="525"/>
        </w:trPr>
        <w:tc>
          <w:tcPr>
            <w:tcW w:w="155" w:type="pct"/>
            <w:tcBorders>
              <w:top w:val="nil"/>
              <w:left w:val="single" w:sz="8" w:space="0" w:color="808080"/>
              <w:bottom w:val="single" w:sz="8" w:space="0" w:color="808080"/>
              <w:right w:val="single" w:sz="8" w:space="0" w:color="808080"/>
            </w:tcBorders>
            <w:shd w:val="clear" w:color="auto" w:fill="auto"/>
            <w:vAlign w:val="center"/>
            <w:hideMark/>
          </w:tcPr>
          <w:p w14:paraId="7B52E068"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9</w:t>
            </w:r>
          </w:p>
        </w:tc>
        <w:tc>
          <w:tcPr>
            <w:tcW w:w="3251" w:type="pct"/>
            <w:tcBorders>
              <w:top w:val="nil"/>
              <w:left w:val="nil"/>
              <w:bottom w:val="single" w:sz="8" w:space="0" w:color="808080"/>
              <w:right w:val="single" w:sz="8" w:space="0" w:color="808080"/>
            </w:tcBorders>
            <w:shd w:val="clear" w:color="auto" w:fill="auto"/>
            <w:vAlign w:val="center"/>
            <w:hideMark/>
          </w:tcPr>
          <w:p w14:paraId="3577EBDF" w14:textId="77777777" w:rsidR="008F4A58" w:rsidRPr="008F4A58" w:rsidRDefault="008F4A58" w:rsidP="008F4A58">
            <w:pPr>
              <w:jc w:val="both"/>
              <w:rPr>
                <w:rFonts w:ascii="Abadi" w:hAnsi="Abadi"/>
                <w:color w:val="000000"/>
                <w:sz w:val="21"/>
                <w:szCs w:val="21"/>
                <w:lang w:eastAsia="es-MX"/>
              </w:rPr>
            </w:pPr>
            <w:r w:rsidRPr="008F4A58">
              <w:rPr>
                <w:rFonts w:ascii="Abadi" w:hAnsi="Abadi"/>
                <w:color w:val="000000"/>
                <w:sz w:val="21"/>
                <w:szCs w:val="21"/>
                <w:lang w:eastAsia="es-MX"/>
              </w:rPr>
              <w:t>Construcción de concha de bateo y dugouts para campo de beisbol de prácticas, en la localidad de Punta de Obrajuelo, en el municipio de Apaseo el Grande, Guanajuato</w:t>
            </w:r>
          </w:p>
        </w:tc>
        <w:tc>
          <w:tcPr>
            <w:tcW w:w="813" w:type="pct"/>
            <w:tcBorders>
              <w:top w:val="nil"/>
              <w:left w:val="nil"/>
              <w:bottom w:val="single" w:sz="8" w:space="0" w:color="808080"/>
              <w:right w:val="single" w:sz="8" w:space="0" w:color="808080"/>
            </w:tcBorders>
            <w:shd w:val="clear" w:color="auto" w:fill="auto"/>
            <w:noWrap/>
            <w:vAlign w:val="center"/>
            <w:hideMark/>
          </w:tcPr>
          <w:p w14:paraId="54A087AD" w14:textId="77777777" w:rsidR="008F4A58" w:rsidRPr="008F4A58" w:rsidRDefault="008F4A58" w:rsidP="008F4A58">
            <w:pPr>
              <w:jc w:val="right"/>
              <w:rPr>
                <w:rFonts w:ascii="Abadi" w:hAnsi="Abadi"/>
                <w:color w:val="000000"/>
                <w:sz w:val="21"/>
                <w:szCs w:val="21"/>
                <w:lang w:eastAsia="es-MX"/>
              </w:rPr>
            </w:pPr>
          </w:p>
          <w:p w14:paraId="2D81E47F" w14:textId="77777777" w:rsidR="008F4A58" w:rsidRPr="008F4A58" w:rsidRDefault="008F4A58" w:rsidP="008F4A58">
            <w:pPr>
              <w:jc w:val="right"/>
              <w:rPr>
                <w:rFonts w:ascii="Abadi" w:hAnsi="Abadi"/>
                <w:color w:val="000000"/>
                <w:sz w:val="21"/>
                <w:szCs w:val="21"/>
                <w:lang w:eastAsia="es-MX"/>
              </w:rPr>
            </w:pPr>
          </w:p>
          <w:p w14:paraId="6B279E25"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$127,760.31</w:t>
            </w:r>
          </w:p>
        </w:tc>
        <w:tc>
          <w:tcPr>
            <w:tcW w:w="781" w:type="pct"/>
            <w:tcBorders>
              <w:top w:val="nil"/>
              <w:left w:val="nil"/>
              <w:bottom w:val="single" w:sz="8" w:space="0" w:color="808080"/>
              <w:right w:val="single" w:sz="8" w:space="0" w:color="808080"/>
            </w:tcBorders>
            <w:shd w:val="clear" w:color="auto" w:fill="auto"/>
            <w:vAlign w:val="center"/>
            <w:hideMark/>
          </w:tcPr>
          <w:p w14:paraId="69EAF29E" w14:textId="77777777" w:rsidR="008F4A58" w:rsidRPr="008F4A58" w:rsidRDefault="008F4A58" w:rsidP="008F4A58">
            <w:pPr>
              <w:jc w:val="center"/>
              <w:rPr>
                <w:rFonts w:ascii="Abadi" w:hAnsi="Abadi"/>
                <w:color w:val="000000"/>
                <w:sz w:val="21"/>
                <w:szCs w:val="21"/>
                <w:lang w:eastAsia="es-MX"/>
              </w:rPr>
            </w:pPr>
          </w:p>
          <w:p w14:paraId="756A76EE" w14:textId="77777777" w:rsidR="008F4A58" w:rsidRPr="008F4A58" w:rsidRDefault="008F4A58" w:rsidP="008F4A58">
            <w:pPr>
              <w:jc w:val="center"/>
              <w:rPr>
                <w:rFonts w:ascii="Abadi" w:hAnsi="Abadi"/>
                <w:color w:val="000000"/>
                <w:sz w:val="21"/>
                <w:szCs w:val="21"/>
                <w:lang w:eastAsia="es-MX"/>
              </w:rPr>
            </w:pPr>
          </w:p>
          <w:p w14:paraId="10617902"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375</w:t>
            </w:r>
          </w:p>
        </w:tc>
      </w:tr>
      <w:tr w:rsidR="008F4A58" w:rsidRPr="008F4A58" w14:paraId="58B3BCF5" w14:textId="77777777" w:rsidTr="007245B4">
        <w:trPr>
          <w:trHeight w:val="525"/>
        </w:trPr>
        <w:tc>
          <w:tcPr>
            <w:tcW w:w="155" w:type="pct"/>
            <w:tcBorders>
              <w:top w:val="nil"/>
              <w:left w:val="single" w:sz="8" w:space="0" w:color="808080"/>
              <w:bottom w:val="single" w:sz="8" w:space="0" w:color="808080"/>
              <w:right w:val="single" w:sz="8" w:space="0" w:color="808080"/>
            </w:tcBorders>
            <w:shd w:val="clear" w:color="auto" w:fill="auto"/>
            <w:vAlign w:val="center"/>
            <w:hideMark/>
          </w:tcPr>
          <w:p w14:paraId="75ADA8F1"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10</w:t>
            </w:r>
          </w:p>
        </w:tc>
        <w:tc>
          <w:tcPr>
            <w:tcW w:w="3251" w:type="pct"/>
            <w:tcBorders>
              <w:top w:val="nil"/>
              <w:left w:val="nil"/>
              <w:bottom w:val="single" w:sz="8" w:space="0" w:color="808080"/>
              <w:right w:val="single" w:sz="8" w:space="0" w:color="808080"/>
            </w:tcBorders>
            <w:shd w:val="clear" w:color="auto" w:fill="auto"/>
            <w:vAlign w:val="center"/>
            <w:hideMark/>
          </w:tcPr>
          <w:p w14:paraId="22371053" w14:textId="77777777" w:rsidR="008F4A58" w:rsidRPr="008F4A58" w:rsidRDefault="008F4A58" w:rsidP="008F4A58">
            <w:pPr>
              <w:jc w:val="both"/>
              <w:rPr>
                <w:rFonts w:ascii="Abadi" w:hAnsi="Abadi"/>
                <w:color w:val="000000"/>
                <w:sz w:val="21"/>
                <w:szCs w:val="21"/>
                <w:lang w:eastAsia="es-MX"/>
              </w:rPr>
            </w:pPr>
            <w:r w:rsidRPr="008F4A58">
              <w:rPr>
                <w:rFonts w:ascii="Abadi" w:hAnsi="Abadi"/>
                <w:color w:val="000000"/>
                <w:sz w:val="21"/>
                <w:szCs w:val="21"/>
                <w:lang w:eastAsia="es-MX"/>
              </w:rPr>
              <w:t>Construcción de 40 parabuses en cabecera municipal y varias comunidades, en el municipio de Apaseo el Grande, Guanajuato</w:t>
            </w:r>
          </w:p>
        </w:tc>
        <w:tc>
          <w:tcPr>
            <w:tcW w:w="813" w:type="pct"/>
            <w:tcBorders>
              <w:top w:val="nil"/>
              <w:left w:val="nil"/>
              <w:bottom w:val="single" w:sz="8" w:space="0" w:color="808080"/>
              <w:right w:val="single" w:sz="8" w:space="0" w:color="808080"/>
            </w:tcBorders>
            <w:shd w:val="clear" w:color="auto" w:fill="auto"/>
            <w:noWrap/>
            <w:vAlign w:val="center"/>
            <w:hideMark/>
          </w:tcPr>
          <w:p w14:paraId="357A13D9" w14:textId="77777777" w:rsidR="008F4A58" w:rsidRPr="008F4A58" w:rsidRDefault="008F4A58" w:rsidP="008F4A58">
            <w:pPr>
              <w:jc w:val="right"/>
              <w:rPr>
                <w:rFonts w:ascii="Abadi" w:hAnsi="Abadi"/>
                <w:color w:val="000000"/>
                <w:sz w:val="21"/>
                <w:szCs w:val="21"/>
                <w:lang w:eastAsia="es-MX"/>
              </w:rPr>
            </w:pPr>
          </w:p>
          <w:p w14:paraId="2758418D"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$1’500,000.00</w:t>
            </w:r>
          </w:p>
        </w:tc>
        <w:tc>
          <w:tcPr>
            <w:tcW w:w="781" w:type="pct"/>
            <w:tcBorders>
              <w:top w:val="nil"/>
              <w:left w:val="nil"/>
              <w:bottom w:val="single" w:sz="8" w:space="0" w:color="808080"/>
              <w:right w:val="single" w:sz="8" w:space="0" w:color="808080"/>
            </w:tcBorders>
            <w:shd w:val="clear" w:color="auto" w:fill="auto"/>
            <w:vAlign w:val="center"/>
            <w:hideMark/>
          </w:tcPr>
          <w:p w14:paraId="7FD79044" w14:textId="77777777" w:rsidR="008F4A58" w:rsidRPr="008F4A58" w:rsidRDefault="008F4A58" w:rsidP="008F4A58">
            <w:pPr>
              <w:jc w:val="center"/>
              <w:rPr>
                <w:rFonts w:ascii="Abadi" w:hAnsi="Abadi"/>
                <w:color w:val="000000"/>
                <w:sz w:val="21"/>
                <w:szCs w:val="21"/>
                <w:lang w:eastAsia="es-MX"/>
              </w:rPr>
            </w:pPr>
          </w:p>
          <w:p w14:paraId="0BC67CF0"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50,000</w:t>
            </w:r>
          </w:p>
        </w:tc>
      </w:tr>
      <w:tr w:rsidR="008F4A58" w:rsidRPr="008F4A58" w14:paraId="3E01DB58" w14:textId="77777777" w:rsidTr="007245B4">
        <w:trPr>
          <w:trHeight w:val="525"/>
        </w:trPr>
        <w:tc>
          <w:tcPr>
            <w:tcW w:w="155" w:type="pct"/>
            <w:tcBorders>
              <w:top w:val="nil"/>
              <w:left w:val="single" w:sz="8" w:space="0" w:color="808080"/>
              <w:bottom w:val="single" w:sz="8" w:space="0" w:color="808080"/>
              <w:right w:val="single" w:sz="8" w:space="0" w:color="808080"/>
            </w:tcBorders>
            <w:shd w:val="clear" w:color="auto" w:fill="auto"/>
            <w:vAlign w:val="center"/>
            <w:hideMark/>
          </w:tcPr>
          <w:p w14:paraId="0264DE92"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11</w:t>
            </w:r>
          </w:p>
        </w:tc>
        <w:tc>
          <w:tcPr>
            <w:tcW w:w="3251" w:type="pct"/>
            <w:tcBorders>
              <w:top w:val="nil"/>
              <w:left w:val="nil"/>
              <w:bottom w:val="single" w:sz="8" w:space="0" w:color="808080"/>
              <w:right w:val="single" w:sz="8" w:space="0" w:color="808080"/>
            </w:tcBorders>
            <w:shd w:val="clear" w:color="auto" w:fill="auto"/>
            <w:vAlign w:val="center"/>
            <w:hideMark/>
          </w:tcPr>
          <w:p w14:paraId="72BB392A" w14:textId="77777777" w:rsidR="008F4A58" w:rsidRPr="008F4A58" w:rsidRDefault="008F4A58" w:rsidP="008F4A58">
            <w:pPr>
              <w:jc w:val="both"/>
              <w:rPr>
                <w:rFonts w:ascii="Abadi" w:hAnsi="Abadi"/>
                <w:color w:val="000000"/>
                <w:sz w:val="21"/>
                <w:szCs w:val="21"/>
                <w:lang w:eastAsia="es-MX"/>
              </w:rPr>
            </w:pPr>
            <w:r w:rsidRPr="008F4A58">
              <w:rPr>
                <w:rFonts w:ascii="Abadi" w:hAnsi="Abadi"/>
                <w:color w:val="000000"/>
                <w:sz w:val="21"/>
                <w:szCs w:val="21"/>
                <w:lang w:eastAsia="es-MX"/>
              </w:rPr>
              <w:t>Construcción de descanso y cubierta metálica en el Panteón Municipal, en el municipio de Apaseo el Grande, Guanajuato</w:t>
            </w:r>
          </w:p>
        </w:tc>
        <w:tc>
          <w:tcPr>
            <w:tcW w:w="813" w:type="pct"/>
            <w:tcBorders>
              <w:top w:val="nil"/>
              <w:left w:val="nil"/>
              <w:bottom w:val="single" w:sz="8" w:space="0" w:color="808080"/>
              <w:right w:val="single" w:sz="8" w:space="0" w:color="808080"/>
            </w:tcBorders>
            <w:shd w:val="clear" w:color="auto" w:fill="auto"/>
            <w:noWrap/>
            <w:vAlign w:val="center"/>
            <w:hideMark/>
          </w:tcPr>
          <w:p w14:paraId="138CEDF5" w14:textId="77777777" w:rsidR="008F4A58" w:rsidRPr="008F4A58" w:rsidRDefault="008F4A58" w:rsidP="008F4A58">
            <w:pPr>
              <w:jc w:val="right"/>
              <w:rPr>
                <w:rFonts w:ascii="Abadi" w:hAnsi="Abadi"/>
                <w:color w:val="000000"/>
                <w:sz w:val="21"/>
                <w:szCs w:val="21"/>
                <w:lang w:eastAsia="es-MX"/>
              </w:rPr>
            </w:pPr>
          </w:p>
          <w:p w14:paraId="20919790"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$1’074,046.30</w:t>
            </w:r>
          </w:p>
        </w:tc>
        <w:tc>
          <w:tcPr>
            <w:tcW w:w="781" w:type="pct"/>
            <w:tcBorders>
              <w:top w:val="nil"/>
              <w:left w:val="nil"/>
              <w:bottom w:val="single" w:sz="8" w:space="0" w:color="808080"/>
              <w:right w:val="single" w:sz="8" w:space="0" w:color="808080"/>
            </w:tcBorders>
            <w:shd w:val="clear" w:color="auto" w:fill="auto"/>
            <w:vAlign w:val="center"/>
            <w:hideMark/>
          </w:tcPr>
          <w:p w14:paraId="0C7034B3" w14:textId="77777777" w:rsidR="008F4A58" w:rsidRPr="008F4A58" w:rsidRDefault="008F4A58" w:rsidP="008F4A58">
            <w:pPr>
              <w:jc w:val="center"/>
              <w:rPr>
                <w:rFonts w:ascii="Abadi" w:hAnsi="Abadi"/>
                <w:color w:val="000000"/>
                <w:sz w:val="21"/>
                <w:szCs w:val="21"/>
                <w:lang w:eastAsia="es-MX"/>
              </w:rPr>
            </w:pPr>
          </w:p>
          <w:p w14:paraId="47A27225"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26,500</w:t>
            </w:r>
          </w:p>
        </w:tc>
      </w:tr>
      <w:tr w:rsidR="008F4A58" w:rsidRPr="008F4A58" w14:paraId="7EB33393" w14:textId="77777777" w:rsidTr="007245B4">
        <w:trPr>
          <w:trHeight w:val="780"/>
        </w:trPr>
        <w:tc>
          <w:tcPr>
            <w:tcW w:w="155" w:type="pct"/>
            <w:tcBorders>
              <w:top w:val="nil"/>
              <w:left w:val="single" w:sz="8" w:space="0" w:color="808080"/>
              <w:bottom w:val="single" w:sz="8" w:space="0" w:color="808080"/>
              <w:right w:val="single" w:sz="8" w:space="0" w:color="808080"/>
            </w:tcBorders>
            <w:shd w:val="clear" w:color="auto" w:fill="auto"/>
            <w:vAlign w:val="center"/>
            <w:hideMark/>
          </w:tcPr>
          <w:p w14:paraId="68489A01"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12</w:t>
            </w:r>
          </w:p>
        </w:tc>
        <w:tc>
          <w:tcPr>
            <w:tcW w:w="3251" w:type="pct"/>
            <w:tcBorders>
              <w:top w:val="nil"/>
              <w:left w:val="nil"/>
              <w:bottom w:val="single" w:sz="8" w:space="0" w:color="808080"/>
              <w:right w:val="single" w:sz="8" w:space="0" w:color="808080"/>
            </w:tcBorders>
            <w:shd w:val="clear" w:color="auto" w:fill="auto"/>
            <w:vAlign w:val="center"/>
            <w:hideMark/>
          </w:tcPr>
          <w:p w14:paraId="44490CCD" w14:textId="77777777" w:rsidR="008F4A58" w:rsidRPr="008F4A58" w:rsidRDefault="008F4A58" w:rsidP="008F4A58">
            <w:pPr>
              <w:jc w:val="both"/>
              <w:rPr>
                <w:rFonts w:ascii="Abadi" w:hAnsi="Abadi"/>
                <w:color w:val="000000"/>
                <w:sz w:val="21"/>
                <w:szCs w:val="21"/>
                <w:lang w:eastAsia="es-MX"/>
              </w:rPr>
            </w:pPr>
            <w:r w:rsidRPr="008F4A58">
              <w:rPr>
                <w:rFonts w:ascii="Abadi" w:hAnsi="Abadi"/>
                <w:color w:val="000000"/>
                <w:sz w:val="21"/>
                <w:szCs w:val="21"/>
                <w:lang w:eastAsia="es-MX"/>
              </w:rPr>
              <w:t xml:space="preserve">Interconexión de la red de drenaje sanitario calle </w:t>
            </w:r>
            <w:r w:rsidRPr="008F4A58">
              <w:rPr>
                <w:rFonts w:ascii="Abadi" w:hAnsi="Abadi"/>
                <w:color w:val="000000"/>
                <w:sz w:val="21"/>
                <w:szCs w:val="21"/>
                <w:lang w:eastAsia="es-MX"/>
              </w:rPr>
              <w:lastRenderedPageBreak/>
              <w:t>Constituyente (tramo UNIDEG-Ignacio Allende y tramo Casas Blancas-Rancho la Concepción), en el municipio de Apaseo el Grande, Guanajuato</w:t>
            </w:r>
          </w:p>
        </w:tc>
        <w:tc>
          <w:tcPr>
            <w:tcW w:w="813" w:type="pct"/>
            <w:tcBorders>
              <w:top w:val="nil"/>
              <w:left w:val="nil"/>
              <w:bottom w:val="single" w:sz="8" w:space="0" w:color="808080"/>
              <w:right w:val="single" w:sz="8" w:space="0" w:color="808080"/>
            </w:tcBorders>
            <w:shd w:val="clear" w:color="auto" w:fill="auto"/>
            <w:noWrap/>
            <w:vAlign w:val="center"/>
            <w:hideMark/>
          </w:tcPr>
          <w:p w14:paraId="417CF8A7" w14:textId="77777777" w:rsidR="008F4A58" w:rsidRPr="008F4A58" w:rsidRDefault="008F4A58" w:rsidP="008F4A58">
            <w:pPr>
              <w:jc w:val="right"/>
              <w:rPr>
                <w:rFonts w:ascii="Abadi" w:hAnsi="Abadi"/>
                <w:color w:val="000000"/>
                <w:sz w:val="21"/>
                <w:szCs w:val="21"/>
                <w:lang w:eastAsia="es-MX"/>
              </w:rPr>
            </w:pPr>
          </w:p>
          <w:p w14:paraId="725BF2E2" w14:textId="77777777" w:rsidR="008F4A58" w:rsidRPr="008F4A58" w:rsidRDefault="008F4A58" w:rsidP="008F4A58">
            <w:pPr>
              <w:jc w:val="right"/>
              <w:rPr>
                <w:rFonts w:ascii="Abadi" w:hAnsi="Abadi"/>
                <w:color w:val="000000"/>
                <w:sz w:val="21"/>
                <w:szCs w:val="21"/>
                <w:lang w:eastAsia="es-MX"/>
              </w:rPr>
            </w:pPr>
          </w:p>
          <w:p w14:paraId="4C81CE99"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$1’509,842.10</w:t>
            </w:r>
          </w:p>
        </w:tc>
        <w:tc>
          <w:tcPr>
            <w:tcW w:w="781" w:type="pct"/>
            <w:tcBorders>
              <w:top w:val="nil"/>
              <w:left w:val="nil"/>
              <w:bottom w:val="single" w:sz="8" w:space="0" w:color="808080"/>
              <w:right w:val="single" w:sz="8" w:space="0" w:color="808080"/>
            </w:tcBorders>
            <w:shd w:val="clear" w:color="auto" w:fill="auto"/>
            <w:vAlign w:val="center"/>
            <w:hideMark/>
          </w:tcPr>
          <w:p w14:paraId="2ADF9F39" w14:textId="77777777" w:rsidR="008F4A58" w:rsidRPr="008F4A58" w:rsidRDefault="008F4A58" w:rsidP="008F4A58">
            <w:pPr>
              <w:jc w:val="center"/>
              <w:rPr>
                <w:rFonts w:ascii="Abadi" w:hAnsi="Abadi"/>
                <w:color w:val="000000"/>
                <w:sz w:val="21"/>
                <w:szCs w:val="21"/>
                <w:lang w:eastAsia="es-MX"/>
              </w:rPr>
            </w:pPr>
          </w:p>
          <w:p w14:paraId="5FEC06CD" w14:textId="77777777" w:rsidR="008F4A58" w:rsidRPr="008F4A58" w:rsidRDefault="008F4A58" w:rsidP="008F4A58">
            <w:pPr>
              <w:jc w:val="center"/>
              <w:rPr>
                <w:rFonts w:ascii="Abadi" w:hAnsi="Abadi"/>
                <w:color w:val="000000"/>
                <w:sz w:val="21"/>
                <w:szCs w:val="21"/>
                <w:lang w:eastAsia="es-MX"/>
              </w:rPr>
            </w:pPr>
          </w:p>
          <w:p w14:paraId="7CCDD00B"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25,000</w:t>
            </w:r>
          </w:p>
        </w:tc>
      </w:tr>
      <w:tr w:rsidR="008F4A58" w:rsidRPr="008F4A58" w14:paraId="4AFE057C" w14:textId="77777777" w:rsidTr="007245B4">
        <w:trPr>
          <w:trHeight w:val="525"/>
        </w:trPr>
        <w:tc>
          <w:tcPr>
            <w:tcW w:w="155" w:type="pct"/>
            <w:tcBorders>
              <w:top w:val="nil"/>
              <w:left w:val="single" w:sz="8" w:space="0" w:color="808080"/>
              <w:bottom w:val="single" w:sz="8" w:space="0" w:color="808080"/>
              <w:right w:val="single" w:sz="8" w:space="0" w:color="808080"/>
            </w:tcBorders>
            <w:shd w:val="clear" w:color="auto" w:fill="auto"/>
            <w:vAlign w:val="center"/>
            <w:hideMark/>
          </w:tcPr>
          <w:p w14:paraId="3BCE78BA"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13</w:t>
            </w:r>
          </w:p>
        </w:tc>
        <w:tc>
          <w:tcPr>
            <w:tcW w:w="3251" w:type="pct"/>
            <w:tcBorders>
              <w:top w:val="nil"/>
              <w:left w:val="nil"/>
              <w:bottom w:val="single" w:sz="8" w:space="0" w:color="808080"/>
              <w:right w:val="single" w:sz="8" w:space="0" w:color="808080"/>
            </w:tcBorders>
            <w:shd w:val="clear" w:color="auto" w:fill="auto"/>
            <w:vAlign w:val="center"/>
            <w:hideMark/>
          </w:tcPr>
          <w:p w14:paraId="7AFA47D1" w14:textId="77777777" w:rsidR="008F4A58" w:rsidRPr="008F4A58" w:rsidRDefault="008F4A58" w:rsidP="008F4A58">
            <w:pPr>
              <w:jc w:val="both"/>
              <w:rPr>
                <w:rFonts w:ascii="Abadi" w:hAnsi="Abadi"/>
                <w:color w:val="000000"/>
                <w:sz w:val="21"/>
                <w:szCs w:val="21"/>
                <w:lang w:eastAsia="es-MX"/>
              </w:rPr>
            </w:pPr>
            <w:r w:rsidRPr="008F4A58">
              <w:rPr>
                <w:rFonts w:ascii="Abadi" w:hAnsi="Abadi"/>
                <w:color w:val="000000"/>
                <w:sz w:val="21"/>
                <w:szCs w:val="21"/>
                <w:lang w:eastAsia="es-MX"/>
              </w:rPr>
              <w:t>Rehabilitación de calle prolongación San Luis Montañez a base de carpeta asfáltica, en el municipio de Apaseo el Grande, Guanajuato</w:t>
            </w:r>
          </w:p>
        </w:tc>
        <w:tc>
          <w:tcPr>
            <w:tcW w:w="813" w:type="pct"/>
            <w:tcBorders>
              <w:top w:val="nil"/>
              <w:left w:val="nil"/>
              <w:bottom w:val="single" w:sz="8" w:space="0" w:color="808080"/>
              <w:right w:val="single" w:sz="8" w:space="0" w:color="808080"/>
            </w:tcBorders>
            <w:shd w:val="clear" w:color="auto" w:fill="auto"/>
            <w:noWrap/>
            <w:vAlign w:val="center"/>
            <w:hideMark/>
          </w:tcPr>
          <w:p w14:paraId="6EA20B5E" w14:textId="77777777" w:rsidR="008F4A58" w:rsidRPr="008F4A58" w:rsidRDefault="008F4A58" w:rsidP="008F4A58">
            <w:pPr>
              <w:jc w:val="right"/>
              <w:rPr>
                <w:rFonts w:ascii="Abadi" w:hAnsi="Abadi"/>
                <w:color w:val="000000"/>
                <w:sz w:val="21"/>
                <w:szCs w:val="21"/>
                <w:lang w:eastAsia="es-MX"/>
              </w:rPr>
            </w:pPr>
          </w:p>
          <w:p w14:paraId="599B0B75" w14:textId="77777777" w:rsidR="008F4A58" w:rsidRPr="008F4A58" w:rsidRDefault="008F4A58" w:rsidP="008F4A58">
            <w:pPr>
              <w:jc w:val="right"/>
              <w:rPr>
                <w:rFonts w:ascii="Abadi" w:hAnsi="Abadi"/>
                <w:color w:val="000000"/>
                <w:sz w:val="21"/>
                <w:szCs w:val="21"/>
                <w:lang w:eastAsia="es-MX"/>
              </w:rPr>
            </w:pPr>
            <w:r w:rsidRPr="008F4A58">
              <w:rPr>
                <w:rFonts w:ascii="Abadi" w:hAnsi="Abadi"/>
                <w:color w:val="000000"/>
                <w:sz w:val="21"/>
                <w:szCs w:val="21"/>
                <w:lang w:eastAsia="es-MX"/>
              </w:rPr>
              <w:t>$1’784,000.00</w:t>
            </w:r>
          </w:p>
        </w:tc>
        <w:tc>
          <w:tcPr>
            <w:tcW w:w="781" w:type="pct"/>
            <w:tcBorders>
              <w:top w:val="nil"/>
              <w:left w:val="nil"/>
              <w:bottom w:val="single" w:sz="8" w:space="0" w:color="808080"/>
              <w:right w:val="single" w:sz="8" w:space="0" w:color="808080"/>
            </w:tcBorders>
            <w:shd w:val="clear" w:color="auto" w:fill="auto"/>
            <w:vAlign w:val="center"/>
            <w:hideMark/>
          </w:tcPr>
          <w:p w14:paraId="2C138084" w14:textId="77777777" w:rsidR="008F4A58" w:rsidRPr="008F4A58" w:rsidRDefault="008F4A58" w:rsidP="008F4A58">
            <w:pPr>
              <w:jc w:val="center"/>
              <w:rPr>
                <w:rFonts w:ascii="Abadi" w:hAnsi="Abadi"/>
                <w:color w:val="000000"/>
                <w:sz w:val="21"/>
                <w:szCs w:val="21"/>
                <w:lang w:eastAsia="es-MX"/>
              </w:rPr>
            </w:pPr>
          </w:p>
          <w:p w14:paraId="033608D8" w14:textId="77777777" w:rsidR="008F4A58" w:rsidRPr="008F4A58" w:rsidRDefault="008F4A58" w:rsidP="008F4A58">
            <w:pPr>
              <w:jc w:val="center"/>
              <w:rPr>
                <w:rFonts w:ascii="Abadi" w:hAnsi="Abadi"/>
                <w:color w:val="000000"/>
                <w:sz w:val="21"/>
                <w:szCs w:val="21"/>
                <w:lang w:eastAsia="es-MX"/>
              </w:rPr>
            </w:pPr>
            <w:r w:rsidRPr="008F4A58">
              <w:rPr>
                <w:rFonts w:ascii="Abadi" w:hAnsi="Abadi"/>
                <w:color w:val="000000"/>
                <w:sz w:val="21"/>
                <w:szCs w:val="21"/>
                <w:lang w:eastAsia="es-MX"/>
              </w:rPr>
              <w:t>35,000</w:t>
            </w:r>
          </w:p>
        </w:tc>
      </w:tr>
      <w:tr w:rsidR="008F4A58" w:rsidRPr="008F4A58" w14:paraId="248E7FE3" w14:textId="77777777" w:rsidTr="007245B4">
        <w:trPr>
          <w:trHeight w:val="315"/>
        </w:trPr>
        <w:tc>
          <w:tcPr>
            <w:tcW w:w="155" w:type="pct"/>
            <w:tcBorders>
              <w:top w:val="nil"/>
              <w:left w:val="single" w:sz="8" w:space="0" w:color="808080"/>
              <w:bottom w:val="single" w:sz="8" w:space="0" w:color="808080"/>
              <w:right w:val="single" w:sz="8" w:space="0" w:color="808080"/>
            </w:tcBorders>
            <w:shd w:val="clear" w:color="auto" w:fill="auto"/>
            <w:vAlign w:val="center"/>
            <w:hideMark/>
          </w:tcPr>
          <w:p w14:paraId="0E2536AD" w14:textId="77777777" w:rsidR="008F4A58" w:rsidRPr="008F4A58" w:rsidRDefault="008F4A58" w:rsidP="008F4A58">
            <w:pPr>
              <w:rPr>
                <w:rFonts w:ascii="Abadi" w:hAnsi="Abadi"/>
                <w:b/>
                <w:bCs/>
                <w:color w:val="000000"/>
                <w:sz w:val="21"/>
                <w:szCs w:val="21"/>
                <w:lang w:eastAsia="es-MX"/>
              </w:rPr>
            </w:pPr>
            <w:r w:rsidRPr="008F4A58">
              <w:rPr>
                <w:rFonts w:ascii="Abadi" w:hAnsi="Abadi"/>
                <w:b/>
                <w:bCs/>
                <w:color w:val="000000"/>
                <w:sz w:val="21"/>
                <w:szCs w:val="21"/>
                <w:lang w:eastAsia="es-MX"/>
              </w:rPr>
              <w:t> </w:t>
            </w:r>
          </w:p>
        </w:tc>
        <w:tc>
          <w:tcPr>
            <w:tcW w:w="3251" w:type="pct"/>
            <w:tcBorders>
              <w:top w:val="nil"/>
              <w:left w:val="nil"/>
              <w:bottom w:val="single" w:sz="8" w:space="0" w:color="808080"/>
              <w:right w:val="single" w:sz="8" w:space="0" w:color="808080"/>
            </w:tcBorders>
            <w:shd w:val="clear" w:color="auto" w:fill="auto"/>
            <w:vAlign w:val="center"/>
            <w:hideMark/>
          </w:tcPr>
          <w:p w14:paraId="44AF400C" w14:textId="77777777" w:rsidR="008F4A58" w:rsidRPr="008F4A58" w:rsidRDefault="008F4A58" w:rsidP="008F4A58">
            <w:pPr>
              <w:jc w:val="center"/>
              <w:rPr>
                <w:rFonts w:ascii="Abadi" w:hAnsi="Abadi"/>
                <w:b/>
                <w:bCs/>
                <w:color w:val="000000"/>
                <w:sz w:val="21"/>
                <w:szCs w:val="21"/>
                <w:lang w:eastAsia="es-MX"/>
              </w:rPr>
            </w:pPr>
            <w:r w:rsidRPr="008F4A58">
              <w:rPr>
                <w:rFonts w:ascii="Abadi" w:hAnsi="Abadi"/>
                <w:b/>
                <w:bCs/>
                <w:color w:val="000000"/>
                <w:sz w:val="21"/>
                <w:szCs w:val="21"/>
                <w:lang w:eastAsia="es-MX"/>
              </w:rPr>
              <w:t>Total</w:t>
            </w:r>
          </w:p>
        </w:tc>
        <w:tc>
          <w:tcPr>
            <w:tcW w:w="813" w:type="pct"/>
            <w:tcBorders>
              <w:top w:val="nil"/>
              <w:left w:val="nil"/>
              <w:bottom w:val="single" w:sz="8" w:space="0" w:color="808080"/>
              <w:right w:val="single" w:sz="8" w:space="0" w:color="808080"/>
            </w:tcBorders>
            <w:shd w:val="clear" w:color="auto" w:fill="auto"/>
            <w:noWrap/>
            <w:vAlign w:val="center"/>
            <w:hideMark/>
          </w:tcPr>
          <w:p w14:paraId="1238E4DA" w14:textId="77777777" w:rsidR="008F4A58" w:rsidRPr="008F4A58" w:rsidRDefault="008F4A58" w:rsidP="008F4A58">
            <w:pPr>
              <w:jc w:val="right"/>
              <w:rPr>
                <w:rFonts w:ascii="Abadi" w:hAnsi="Abadi"/>
                <w:b/>
                <w:bCs/>
                <w:color w:val="000000"/>
                <w:sz w:val="21"/>
                <w:szCs w:val="21"/>
                <w:lang w:eastAsia="es-MX"/>
              </w:rPr>
            </w:pPr>
            <w:r w:rsidRPr="008F4A58">
              <w:rPr>
                <w:rFonts w:ascii="Abadi" w:hAnsi="Abadi"/>
                <w:b/>
                <w:bCs/>
                <w:color w:val="000000"/>
                <w:sz w:val="21"/>
                <w:szCs w:val="21"/>
                <w:lang w:eastAsia="es-MX"/>
              </w:rPr>
              <w:t>$15’000,000</w:t>
            </w:r>
          </w:p>
        </w:tc>
        <w:tc>
          <w:tcPr>
            <w:tcW w:w="781" w:type="pct"/>
            <w:tcBorders>
              <w:top w:val="nil"/>
              <w:left w:val="nil"/>
              <w:bottom w:val="single" w:sz="8" w:space="0" w:color="808080"/>
              <w:right w:val="single" w:sz="8" w:space="0" w:color="808080"/>
            </w:tcBorders>
            <w:shd w:val="clear" w:color="auto" w:fill="auto"/>
            <w:vAlign w:val="center"/>
            <w:hideMark/>
          </w:tcPr>
          <w:p w14:paraId="2BB04687" w14:textId="77777777" w:rsidR="008F4A58" w:rsidRPr="008F4A58" w:rsidRDefault="008F4A58" w:rsidP="008F4A58">
            <w:pPr>
              <w:jc w:val="right"/>
              <w:rPr>
                <w:rFonts w:ascii="Abadi" w:hAnsi="Abadi"/>
                <w:b/>
                <w:bCs/>
                <w:color w:val="000000"/>
                <w:sz w:val="21"/>
                <w:szCs w:val="21"/>
                <w:lang w:eastAsia="es-MX"/>
              </w:rPr>
            </w:pPr>
            <w:r w:rsidRPr="008F4A58">
              <w:rPr>
                <w:rFonts w:ascii="Abadi" w:hAnsi="Abadi"/>
                <w:b/>
                <w:bCs/>
                <w:color w:val="000000"/>
                <w:sz w:val="21"/>
                <w:szCs w:val="21"/>
                <w:lang w:eastAsia="es-MX"/>
              </w:rPr>
              <w:t> </w:t>
            </w:r>
          </w:p>
        </w:tc>
      </w:tr>
    </w:tbl>
    <w:p w14:paraId="09CCEEF3" w14:textId="77777777" w:rsidR="008F4A58" w:rsidRPr="008F4A58" w:rsidRDefault="008F4A58" w:rsidP="008F4A58">
      <w:pPr>
        <w:spacing w:line="360" w:lineRule="auto"/>
        <w:ind w:firstLine="708"/>
        <w:jc w:val="both"/>
        <w:rPr>
          <w:rFonts w:ascii="Abadi" w:hAnsi="Abadi"/>
          <w:sz w:val="21"/>
          <w:szCs w:val="21"/>
          <w:lang w:eastAsia="es-MX"/>
        </w:rPr>
      </w:pPr>
    </w:p>
    <w:p w14:paraId="15F79EB2" w14:textId="77777777" w:rsidR="008F4A58" w:rsidRPr="008F4A58" w:rsidRDefault="008F4A58" w:rsidP="008F4A58">
      <w:pPr>
        <w:spacing w:line="360" w:lineRule="auto"/>
        <w:ind w:firstLine="708"/>
        <w:jc w:val="both"/>
        <w:rPr>
          <w:rFonts w:ascii="Abadi" w:hAnsi="Abadi"/>
          <w:b/>
          <w:sz w:val="21"/>
          <w:szCs w:val="21"/>
          <w:lang w:eastAsia="es-MX"/>
        </w:rPr>
      </w:pPr>
      <w:r w:rsidRPr="008F4A58">
        <w:rPr>
          <w:rFonts w:ascii="Abadi" w:hAnsi="Abadi"/>
          <w:b/>
          <w:sz w:val="21"/>
          <w:szCs w:val="21"/>
          <w:lang w:eastAsia="es-MX"/>
        </w:rPr>
        <w:t>2.1.5. Ingresos</w:t>
      </w:r>
    </w:p>
    <w:p w14:paraId="578FD1E7" w14:textId="77777777" w:rsidR="008F4A58" w:rsidRPr="008F4A58" w:rsidRDefault="008F4A58" w:rsidP="008F4A58">
      <w:pPr>
        <w:spacing w:before="100" w:beforeAutospacing="1" w:after="100" w:afterAutospacing="1" w:line="360" w:lineRule="auto"/>
        <w:ind w:firstLine="708"/>
        <w:jc w:val="both"/>
        <w:rPr>
          <w:rFonts w:ascii="Abadi" w:hAnsi="Abadi"/>
          <w:sz w:val="21"/>
          <w:szCs w:val="21"/>
          <w:lang w:val="es-MX" w:eastAsia="es-MX"/>
        </w:rPr>
      </w:pPr>
      <w:r w:rsidRPr="008F4A58">
        <w:rPr>
          <w:rFonts w:ascii="Abadi" w:hAnsi="Abadi"/>
          <w:sz w:val="21"/>
          <w:szCs w:val="21"/>
          <w:lang w:val="es-MX" w:eastAsia="es-MX"/>
        </w:rPr>
        <w:t>En los últimos 5 años, los ingresos totales del Municipio presentan un crecimiento promedio del 10% derivado de un comportamiento favorable en los ingresos de libre disposición y de los ingresos provenientes de transferencias federales etiquetadas. Los ingresos de libre disposición muestran un crecimiento en promedio de 10% y las transferencias federales etiquetadas de 8%. Lo anterior puede derivarse de una mayor eficiencia recaudatoria por parte del Municipio, así como de la aplicación de estrategias recaudatorias que incentivan el cumplimiento de las obligaciones fiscales por parte de la población.</w:t>
      </w:r>
    </w:p>
    <w:p w14:paraId="43747072"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noProof/>
          <w:sz w:val="21"/>
          <w:szCs w:val="21"/>
          <w:lang w:val="es-MX" w:eastAsia="es-MX"/>
        </w:rPr>
        <w:drawing>
          <wp:inline distT="0" distB="0" distL="0" distR="0" wp14:anchorId="126C4CA1" wp14:editId="5EF96DB7">
            <wp:extent cx="2943677" cy="1765960"/>
            <wp:effectExtent l="0" t="0" r="9525" b="5715"/>
            <wp:docPr id="43" name="Imagen 4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Gráfico, Gráfico de barras&#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1223" cy="1770487"/>
                    </a:xfrm>
                    <a:prstGeom prst="rect">
                      <a:avLst/>
                    </a:prstGeom>
                    <a:noFill/>
                  </pic:spPr>
                </pic:pic>
              </a:graphicData>
            </a:graphic>
          </wp:inline>
        </w:drawing>
      </w:r>
    </w:p>
    <w:p w14:paraId="650AA3F9"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sz w:val="21"/>
          <w:szCs w:val="21"/>
          <w:lang w:val="es-MX" w:eastAsia="es-MX"/>
        </w:rPr>
        <w:t>Fuente: Elaboración propia con información financiera del municipio de Apaseo el Grande, Guanajuato</w:t>
      </w:r>
    </w:p>
    <w:p w14:paraId="64416A23" w14:textId="77777777" w:rsidR="008F4A58" w:rsidRPr="008F4A58" w:rsidRDefault="008F4A58" w:rsidP="008F4A58">
      <w:pPr>
        <w:spacing w:before="100" w:beforeAutospacing="1" w:after="100" w:afterAutospacing="1" w:line="360" w:lineRule="auto"/>
        <w:ind w:firstLine="708"/>
        <w:jc w:val="both"/>
        <w:rPr>
          <w:rFonts w:ascii="Abadi" w:hAnsi="Abadi"/>
          <w:sz w:val="21"/>
          <w:szCs w:val="21"/>
          <w:lang w:val="es-MX" w:eastAsia="es-MX"/>
        </w:rPr>
      </w:pPr>
      <w:r w:rsidRPr="008F4A58">
        <w:rPr>
          <w:rFonts w:ascii="Abadi" w:hAnsi="Abadi"/>
          <w:sz w:val="21"/>
          <w:szCs w:val="21"/>
          <w:lang w:val="es-MX" w:eastAsia="es-MX"/>
        </w:rPr>
        <w:t>Para el ejercicio fiscal 2022, los ingresos del municipio de Apaseo el Grande se estiman en 305.73 millones de pesos sin considerar recursos provenientes de financiamiento, de los cuales 196.90 millones de pesos corresponden a ingresos de libre disposición, lo que representa el 64.4% del total y 108.83 millones de pesos corresponden a transferencias federales etiquetadas que equivale al 35.6% de los ingresos totales estimados. En caso de considerarse para el ejercicio fiscal 2022 ingresos derivados de financiamiento, el monto total de ingresos estimados asciende a 320.73 millones de pesos.</w:t>
      </w:r>
    </w:p>
    <w:p w14:paraId="3C91A305"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noProof/>
          <w:sz w:val="21"/>
          <w:szCs w:val="21"/>
          <w:lang w:val="es-MX" w:eastAsia="es-MX"/>
        </w:rPr>
        <w:drawing>
          <wp:inline distT="0" distB="0" distL="0" distR="0" wp14:anchorId="10750C79" wp14:editId="7A220C7C">
            <wp:extent cx="2967616" cy="1609725"/>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3715" cy="1618458"/>
                    </a:xfrm>
                    <a:prstGeom prst="rect">
                      <a:avLst/>
                    </a:prstGeom>
                    <a:noFill/>
                    <a:ln>
                      <a:noFill/>
                    </a:ln>
                  </pic:spPr>
                </pic:pic>
              </a:graphicData>
            </a:graphic>
          </wp:inline>
        </w:drawing>
      </w:r>
    </w:p>
    <w:p w14:paraId="3A27DCA5"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sz w:val="21"/>
          <w:szCs w:val="21"/>
          <w:lang w:val="es-MX" w:eastAsia="es-MX"/>
        </w:rPr>
        <w:lastRenderedPageBreak/>
        <w:t>Fuente: Elaboración propia con información financiera del municipio de Apaseo el Grande, Guanajuato</w:t>
      </w:r>
    </w:p>
    <w:p w14:paraId="26487A03"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bCs/>
          <w:sz w:val="21"/>
          <w:szCs w:val="21"/>
          <w:lang w:eastAsia="es-MX"/>
        </w:rPr>
        <w:t xml:space="preserve">De los conceptos que integran los ingresos fiscales del municipio para el ejercicio fiscal 2022, </w:t>
      </w:r>
      <w:r w:rsidRPr="008F4A58">
        <w:rPr>
          <w:rFonts w:ascii="Abadi" w:hAnsi="Abadi"/>
          <w:sz w:val="21"/>
          <w:szCs w:val="21"/>
          <w:lang w:eastAsia="es-MX"/>
        </w:rPr>
        <w:t>los impuestos representan el 57%, seguido de los derechos con 37% y el 6% restante, se distribuye entre contribuciones de mejoras, productos y aprovechamientos.</w:t>
      </w:r>
    </w:p>
    <w:p w14:paraId="457D9749" w14:textId="77777777" w:rsidR="008F4A58" w:rsidRPr="008F4A58" w:rsidRDefault="008F4A58" w:rsidP="008F4A58">
      <w:pPr>
        <w:spacing w:line="360" w:lineRule="auto"/>
        <w:jc w:val="center"/>
        <w:rPr>
          <w:rFonts w:ascii="Abadi" w:hAnsi="Abadi"/>
          <w:bCs/>
          <w:sz w:val="21"/>
          <w:szCs w:val="21"/>
          <w:lang w:eastAsia="es-MX"/>
        </w:rPr>
      </w:pPr>
      <w:r w:rsidRPr="008F4A58">
        <w:rPr>
          <w:rFonts w:ascii="Abadi" w:hAnsi="Abadi"/>
          <w:bCs/>
          <w:noProof/>
          <w:sz w:val="21"/>
          <w:szCs w:val="21"/>
          <w:lang w:eastAsia="es-MX"/>
        </w:rPr>
        <w:drawing>
          <wp:inline distT="0" distB="0" distL="0" distR="0" wp14:anchorId="51750F39" wp14:editId="1EDB17AA">
            <wp:extent cx="3007995" cy="1804547"/>
            <wp:effectExtent l="0" t="0" r="1905"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8049" cy="1810579"/>
                    </a:xfrm>
                    <a:prstGeom prst="rect">
                      <a:avLst/>
                    </a:prstGeom>
                    <a:noFill/>
                  </pic:spPr>
                </pic:pic>
              </a:graphicData>
            </a:graphic>
          </wp:inline>
        </w:drawing>
      </w:r>
    </w:p>
    <w:p w14:paraId="7E21AF52"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sz w:val="21"/>
          <w:szCs w:val="21"/>
          <w:lang w:val="es-MX" w:eastAsia="es-MX"/>
        </w:rPr>
        <w:t>Fuente: Elaboración propia con información financiera del municipio de Apaseo el Grande, Guanajuato</w:t>
      </w:r>
    </w:p>
    <w:p w14:paraId="6D4FDAE4" w14:textId="77777777" w:rsidR="008F4A58" w:rsidRPr="008F4A58" w:rsidRDefault="008F4A58" w:rsidP="008F4A58">
      <w:pPr>
        <w:spacing w:line="360" w:lineRule="auto"/>
        <w:ind w:firstLine="708"/>
        <w:jc w:val="both"/>
        <w:rPr>
          <w:rFonts w:ascii="Abadi" w:hAnsi="Abadi"/>
          <w:bCs/>
          <w:sz w:val="21"/>
          <w:szCs w:val="21"/>
          <w:lang w:eastAsia="es-MX"/>
        </w:rPr>
      </w:pPr>
      <w:r w:rsidRPr="008F4A58">
        <w:rPr>
          <w:rFonts w:ascii="Abadi" w:hAnsi="Abadi"/>
          <w:bCs/>
          <w:sz w:val="21"/>
          <w:szCs w:val="21"/>
          <w:lang w:eastAsia="es-MX"/>
        </w:rPr>
        <w:t>Con respecto a los ingresos federales, el ramo 28 Participaciones representa el 53% del total de recursos federales, el Ramo General 33 Aportaciones representa el 45% y el 2% restante corresponde a incentivos derivados de la colaboración fiscal.</w:t>
      </w:r>
    </w:p>
    <w:p w14:paraId="2B8D51A5" w14:textId="77777777" w:rsidR="008F4A58" w:rsidRPr="008F4A58" w:rsidRDefault="008F4A58" w:rsidP="008F4A58">
      <w:pPr>
        <w:spacing w:line="360" w:lineRule="auto"/>
        <w:jc w:val="center"/>
        <w:rPr>
          <w:rFonts w:ascii="Abadi" w:hAnsi="Abadi"/>
          <w:bCs/>
          <w:sz w:val="21"/>
          <w:szCs w:val="21"/>
          <w:lang w:eastAsia="es-MX"/>
        </w:rPr>
      </w:pPr>
      <w:r w:rsidRPr="008F4A58">
        <w:rPr>
          <w:rFonts w:ascii="Abadi" w:hAnsi="Abadi"/>
          <w:bCs/>
          <w:noProof/>
          <w:sz w:val="21"/>
          <w:szCs w:val="21"/>
          <w:lang w:eastAsia="es-MX"/>
        </w:rPr>
        <w:drawing>
          <wp:inline distT="0" distB="0" distL="0" distR="0" wp14:anchorId="2F9B7477" wp14:editId="7E725D64">
            <wp:extent cx="2807615" cy="1680826"/>
            <wp:effectExtent l="0" t="0" r="0" b="0"/>
            <wp:docPr id="46" name="Imagen 4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Diagrama&#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3401" cy="1690276"/>
                    </a:xfrm>
                    <a:prstGeom prst="rect">
                      <a:avLst/>
                    </a:prstGeom>
                    <a:noFill/>
                  </pic:spPr>
                </pic:pic>
              </a:graphicData>
            </a:graphic>
          </wp:inline>
        </w:drawing>
      </w:r>
    </w:p>
    <w:p w14:paraId="6781E14F"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sz w:val="21"/>
          <w:szCs w:val="21"/>
          <w:lang w:val="es-MX" w:eastAsia="es-MX"/>
        </w:rPr>
        <w:t>Fuente: Elaboración propia con información financiera del municipio de Apaseo el Grande, Guanajuato</w:t>
      </w:r>
    </w:p>
    <w:p w14:paraId="7CAD80A4" w14:textId="77777777" w:rsidR="008F4A58" w:rsidRPr="008F4A58" w:rsidRDefault="008F4A58" w:rsidP="008F4A58">
      <w:pPr>
        <w:spacing w:line="360" w:lineRule="auto"/>
        <w:ind w:firstLine="708"/>
        <w:jc w:val="both"/>
        <w:rPr>
          <w:rFonts w:ascii="Abadi" w:hAnsi="Abadi"/>
          <w:bCs/>
          <w:sz w:val="21"/>
          <w:szCs w:val="21"/>
          <w:lang w:eastAsia="es-MX"/>
        </w:rPr>
      </w:pPr>
      <w:r w:rsidRPr="008F4A58">
        <w:rPr>
          <w:rFonts w:ascii="Abadi" w:hAnsi="Abadi"/>
          <w:bCs/>
          <w:sz w:val="21"/>
          <w:szCs w:val="21"/>
          <w:lang w:eastAsia="es-MX"/>
        </w:rPr>
        <w:t xml:space="preserve">Con la finalidad de identificar el comportamiento de los ingresos de libre disposición en los últimos años, se considera conveniente identificar de manera particular el comportamiento de los ingresos fiscales y de los recursos federales provenientes del Ramo 28 Participaciones, incentivos derivados de la coordinación fiscal, así como de otros conceptos que no tienen un fin específico de gasto (no etiquetado). </w:t>
      </w:r>
    </w:p>
    <w:p w14:paraId="272D17D4" w14:textId="77777777" w:rsidR="008F4A58" w:rsidRPr="008F4A58" w:rsidRDefault="008F4A58" w:rsidP="008F4A58">
      <w:pPr>
        <w:spacing w:line="360" w:lineRule="auto"/>
        <w:jc w:val="both"/>
        <w:rPr>
          <w:rFonts w:ascii="Abadi" w:hAnsi="Abadi"/>
          <w:bCs/>
          <w:sz w:val="21"/>
          <w:szCs w:val="21"/>
          <w:lang w:eastAsia="es-MX"/>
        </w:rPr>
      </w:pPr>
    </w:p>
    <w:p w14:paraId="07F7EA6C" w14:textId="77777777" w:rsidR="008F4A58" w:rsidRPr="008F4A58" w:rsidRDefault="008F4A58" w:rsidP="008F4A58">
      <w:pPr>
        <w:spacing w:line="360" w:lineRule="auto"/>
        <w:ind w:firstLine="708"/>
        <w:jc w:val="both"/>
        <w:rPr>
          <w:rFonts w:ascii="Abadi" w:hAnsi="Abadi"/>
          <w:bCs/>
          <w:sz w:val="21"/>
          <w:szCs w:val="21"/>
          <w:lang w:eastAsia="es-MX"/>
        </w:rPr>
      </w:pPr>
      <w:r w:rsidRPr="008F4A58">
        <w:rPr>
          <w:rFonts w:ascii="Abadi" w:hAnsi="Abadi"/>
          <w:bCs/>
          <w:sz w:val="21"/>
          <w:szCs w:val="21"/>
          <w:lang w:eastAsia="es-MX"/>
        </w:rPr>
        <w:t>Respecto al comportamiento que muestran los principales ingresos fiscales del Municipio, se identifica que los impuestos y derechos han tenido un crecimiento constante en los últimos años lo que permite fortalecer e incrementar la eficiencia recaudatoria del Municipio.</w:t>
      </w:r>
    </w:p>
    <w:p w14:paraId="4CE8F2DF" w14:textId="77777777" w:rsidR="008F4A58" w:rsidRPr="008F4A58" w:rsidRDefault="008F4A58" w:rsidP="008F4A58">
      <w:pPr>
        <w:spacing w:line="360" w:lineRule="auto"/>
        <w:jc w:val="center"/>
        <w:rPr>
          <w:rFonts w:ascii="Abadi" w:hAnsi="Abadi"/>
          <w:bCs/>
          <w:sz w:val="21"/>
          <w:szCs w:val="21"/>
          <w:lang w:eastAsia="es-MX"/>
        </w:rPr>
      </w:pPr>
      <w:r w:rsidRPr="008F4A58">
        <w:rPr>
          <w:rFonts w:ascii="Abadi" w:hAnsi="Abadi"/>
          <w:bCs/>
          <w:noProof/>
          <w:sz w:val="21"/>
          <w:szCs w:val="21"/>
          <w:lang w:eastAsia="es-MX"/>
        </w:rPr>
        <w:drawing>
          <wp:inline distT="0" distB="0" distL="0" distR="0" wp14:anchorId="33547D0F" wp14:editId="793079DD">
            <wp:extent cx="2900680" cy="1736541"/>
            <wp:effectExtent l="0" t="0" r="0" b="0"/>
            <wp:docPr id="54" name="Imagen 5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Gráfico, Gráfico de barras&#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3313" cy="1744104"/>
                    </a:xfrm>
                    <a:prstGeom prst="rect">
                      <a:avLst/>
                    </a:prstGeom>
                    <a:noFill/>
                  </pic:spPr>
                </pic:pic>
              </a:graphicData>
            </a:graphic>
          </wp:inline>
        </w:drawing>
      </w:r>
    </w:p>
    <w:p w14:paraId="1FBA3359"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sz w:val="21"/>
          <w:szCs w:val="21"/>
          <w:lang w:val="es-MX" w:eastAsia="es-MX"/>
        </w:rPr>
        <w:t>Fuente: Elaboración propia con información financiera del municipio de Apaseo el Grande, Guanajuato</w:t>
      </w:r>
    </w:p>
    <w:p w14:paraId="4550AB1C"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 xml:space="preserve">Por su parte, para los recursos federales no etiquetados, se identifica que los ingresos </w:t>
      </w:r>
      <w:r w:rsidRPr="008F4A58">
        <w:rPr>
          <w:rFonts w:ascii="Abadi" w:hAnsi="Abadi"/>
          <w:sz w:val="21"/>
          <w:szCs w:val="21"/>
          <w:lang w:eastAsia="es-MX"/>
        </w:rPr>
        <w:lastRenderedPageBreak/>
        <w:t>derivados del Ramo 28 Participaciones muestran un comportamiento positivo año con año.</w:t>
      </w:r>
    </w:p>
    <w:p w14:paraId="42C1197A" w14:textId="77777777" w:rsidR="008F4A58" w:rsidRPr="008F4A58" w:rsidRDefault="008F4A58" w:rsidP="008F4A58">
      <w:pPr>
        <w:spacing w:line="360" w:lineRule="auto"/>
        <w:jc w:val="center"/>
        <w:rPr>
          <w:rFonts w:ascii="Abadi" w:hAnsi="Abadi"/>
          <w:sz w:val="21"/>
          <w:szCs w:val="21"/>
          <w:lang w:eastAsia="es-MX"/>
        </w:rPr>
      </w:pPr>
      <w:r w:rsidRPr="008F4A58">
        <w:rPr>
          <w:rFonts w:ascii="Abadi" w:hAnsi="Abadi"/>
          <w:noProof/>
          <w:sz w:val="21"/>
          <w:szCs w:val="21"/>
          <w:lang w:eastAsia="es-MX"/>
        </w:rPr>
        <w:drawing>
          <wp:inline distT="0" distB="0" distL="0" distR="0" wp14:anchorId="1CD52EF9" wp14:editId="45AD4977">
            <wp:extent cx="2941320" cy="1764546"/>
            <wp:effectExtent l="0" t="0" r="0" b="7620"/>
            <wp:docPr id="56" name="Imagen 5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Gráfico, Gráfico de barras&#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2110" cy="1771019"/>
                    </a:xfrm>
                    <a:prstGeom prst="rect">
                      <a:avLst/>
                    </a:prstGeom>
                    <a:noFill/>
                  </pic:spPr>
                </pic:pic>
              </a:graphicData>
            </a:graphic>
          </wp:inline>
        </w:drawing>
      </w:r>
    </w:p>
    <w:p w14:paraId="04FB4207"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sz w:val="21"/>
          <w:szCs w:val="21"/>
          <w:lang w:val="es-MX" w:eastAsia="es-MX"/>
        </w:rPr>
        <w:t>Fuente: Elaboración propia con información financiera del municipio de Apaseo el Grande, Guanajuato</w:t>
      </w:r>
    </w:p>
    <w:p w14:paraId="3620BED1"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En lo que se refiere al comportamiento futuro de los ingresos municipales, el Municipio proyecta un crecimiento del 4% anual bajo un horizonte de 10 años, tiempo que corresponde al plazo de o los créditos que pretende contratar. De esta manera para el año 2032, el Municipio estima ingresos totales por un monto de 450.38 millones de pesos, de los cuales 290.06 millones de pesos corresponderán a ingresos de libre disposición y 160.32 millones de pesos a transferencias federales etiquetadas.</w:t>
      </w:r>
    </w:p>
    <w:p w14:paraId="21451B37" w14:textId="77777777" w:rsidR="008F4A58" w:rsidRPr="008F4A58" w:rsidRDefault="008F4A58" w:rsidP="008F4A58">
      <w:pPr>
        <w:spacing w:line="360" w:lineRule="auto"/>
        <w:jc w:val="center"/>
        <w:rPr>
          <w:rFonts w:ascii="Abadi" w:hAnsi="Abadi"/>
          <w:sz w:val="21"/>
          <w:szCs w:val="21"/>
          <w:lang w:eastAsia="es-MX"/>
        </w:rPr>
      </w:pPr>
      <w:r w:rsidRPr="008F4A58">
        <w:rPr>
          <w:rFonts w:ascii="Abadi" w:hAnsi="Abadi"/>
          <w:noProof/>
          <w:sz w:val="21"/>
          <w:szCs w:val="21"/>
          <w:lang w:eastAsia="es-MX"/>
        </w:rPr>
        <w:drawing>
          <wp:inline distT="0" distB="0" distL="0" distR="0" wp14:anchorId="42DF8394" wp14:editId="2C59D7E0">
            <wp:extent cx="2760345" cy="1655977"/>
            <wp:effectExtent l="0" t="0" r="1905" b="1905"/>
            <wp:docPr id="58" name="Imagen 5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Gráfico, Gráfico de barras&#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4490" cy="1664463"/>
                    </a:xfrm>
                    <a:prstGeom prst="rect">
                      <a:avLst/>
                    </a:prstGeom>
                    <a:noFill/>
                  </pic:spPr>
                </pic:pic>
              </a:graphicData>
            </a:graphic>
          </wp:inline>
        </w:drawing>
      </w:r>
    </w:p>
    <w:p w14:paraId="7331C4CD"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sz w:val="21"/>
          <w:szCs w:val="21"/>
          <w:lang w:val="es-MX" w:eastAsia="es-MX"/>
        </w:rPr>
        <w:t>Fuente: Elaboración propia con información financiera del municipio de Apaseo el Grande, Guanajuato</w:t>
      </w:r>
    </w:p>
    <w:p w14:paraId="5757D2AC" w14:textId="77777777" w:rsidR="008F4A58" w:rsidRPr="008F4A58" w:rsidRDefault="008F4A58" w:rsidP="008F4A58">
      <w:pPr>
        <w:spacing w:line="360" w:lineRule="auto"/>
        <w:ind w:left="708"/>
        <w:jc w:val="both"/>
        <w:rPr>
          <w:rFonts w:ascii="Abadi" w:hAnsi="Abadi"/>
          <w:b/>
          <w:sz w:val="21"/>
          <w:szCs w:val="21"/>
          <w:lang w:eastAsia="es-MX"/>
        </w:rPr>
      </w:pPr>
      <w:r w:rsidRPr="008F4A58">
        <w:rPr>
          <w:rFonts w:ascii="Abadi" w:hAnsi="Abadi"/>
          <w:b/>
          <w:sz w:val="21"/>
          <w:szCs w:val="21"/>
          <w:lang w:eastAsia="es-MX"/>
        </w:rPr>
        <w:t>2.1.6. Egresos</w:t>
      </w:r>
    </w:p>
    <w:p w14:paraId="5F3A0765" w14:textId="77777777" w:rsidR="008F4A58" w:rsidRPr="008F4A58" w:rsidRDefault="008F4A58" w:rsidP="008F4A58">
      <w:pPr>
        <w:spacing w:line="360" w:lineRule="auto"/>
        <w:ind w:left="708"/>
        <w:jc w:val="both"/>
        <w:rPr>
          <w:rFonts w:ascii="Abadi" w:hAnsi="Abadi"/>
          <w:b/>
          <w:sz w:val="21"/>
          <w:szCs w:val="21"/>
          <w:lang w:eastAsia="es-MX"/>
        </w:rPr>
      </w:pPr>
    </w:p>
    <w:p w14:paraId="503A91A5"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Para el ejercicio fiscal 2022, el municipio de Apaseo el Grande, Gto., aprobó un gasto de 315.73 millones de pesos en equilibrio con el ingreso estimado para el mismo ejercicio, de los cuales, el 61% corresponde a gasto no etiquetado con un monto de 196.90 millones de pesos y el 39% restante se distribuye en gasto etiquetado que equivale a un monto de 123.93 millones de pesos. Al incorporar los recursos derivados de financiamiento de hasta la cantidad de 15 millones de pesos, el gasto total queda con un monto de 320.73 millones, ya que se incrementan los recursos del gasto etiquetado para inversión pública.</w:t>
      </w:r>
    </w:p>
    <w:p w14:paraId="71F24C9E" w14:textId="77777777" w:rsidR="008F4A58" w:rsidRPr="008F4A58" w:rsidRDefault="008F4A58" w:rsidP="008F4A58">
      <w:pPr>
        <w:spacing w:line="360" w:lineRule="auto"/>
        <w:jc w:val="both"/>
        <w:rPr>
          <w:rFonts w:ascii="Abadi" w:hAnsi="Abadi"/>
          <w:sz w:val="21"/>
          <w:szCs w:val="21"/>
          <w:lang w:eastAsia="es-MX"/>
        </w:rPr>
      </w:pPr>
      <w:r w:rsidRPr="008F4A58">
        <w:rPr>
          <w:rFonts w:ascii="Abadi" w:hAnsi="Abadi"/>
          <w:noProof/>
          <w:sz w:val="21"/>
          <w:szCs w:val="21"/>
        </w:rPr>
        <w:drawing>
          <wp:inline distT="0" distB="0" distL="0" distR="0" wp14:anchorId="6EABD47E" wp14:editId="18025817">
            <wp:extent cx="2916555" cy="1594898"/>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1752" cy="1608677"/>
                    </a:xfrm>
                    <a:prstGeom prst="rect">
                      <a:avLst/>
                    </a:prstGeom>
                    <a:noFill/>
                    <a:ln>
                      <a:noFill/>
                    </a:ln>
                  </pic:spPr>
                </pic:pic>
              </a:graphicData>
            </a:graphic>
          </wp:inline>
        </w:drawing>
      </w:r>
    </w:p>
    <w:p w14:paraId="777235E4"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sz w:val="21"/>
          <w:szCs w:val="21"/>
          <w:lang w:val="es-MX" w:eastAsia="es-MX"/>
        </w:rPr>
        <w:t>Fuente: Elaboración propia con información financiera del municipio de Apaseo el Grande, Guanajuato</w:t>
      </w:r>
    </w:p>
    <w:p w14:paraId="738A6CA1"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De acuerdo con el destino del gasto, el Presupuesto de Egresos 2022 se distribuirá de la siguiente manera:</w:t>
      </w:r>
    </w:p>
    <w:p w14:paraId="20763F9F" w14:textId="77777777" w:rsidR="008F4A58" w:rsidRPr="008F4A58" w:rsidRDefault="008F4A58" w:rsidP="008F4A58">
      <w:pPr>
        <w:spacing w:line="360" w:lineRule="auto"/>
        <w:jc w:val="center"/>
        <w:rPr>
          <w:rFonts w:ascii="Abadi" w:hAnsi="Abadi"/>
          <w:sz w:val="21"/>
          <w:szCs w:val="21"/>
          <w:lang w:eastAsia="es-MX"/>
        </w:rPr>
      </w:pPr>
      <w:r w:rsidRPr="008F4A58">
        <w:rPr>
          <w:rFonts w:ascii="Abadi" w:hAnsi="Abadi"/>
          <w:noProof/>
          <w:sz w:val="21"/>
          <w:szCs w:val="21"/>
          <w:lang w:eastAsia="es-MX"/>
        </w:rPr>
        <w:lastRenderedPageBreak/>
        <w:drawing>
          <wp:inline distT="0" distB="0" distL="0" distR="0" wp14:anchorId="1AB4DAF0" wp14:editId="273FD83F">
            <wp:extent cx="3246451" cy="1947600"/>
            <wp:effectExtent l="0" t="0" r="0" b="0"/>
            <wp:docPr id="3"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6451" cy="1947600"/>
                    </a:xfrm>
                    <a:prstGeom prst="rect">
                      <a:avLst/>
                    </a:prstGeom>
                    <a:noFill/>
                  </pic:spPr>
                </pic:pic>
              </a:graphicData>
            </a:graphic>
          </wp:inline>
        </w:drawing>
      </w:r>
    </w:p>
    <w:p w14:paraId="73737639"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sz w:val="21"/>
          <w:szCs w:val="21"/>
          <w:lang w:val="es-MX" w:eastAsia="es-MX"/>
        </w:rPr>
        <w:t>Fuente: Elaboración propia con información financiera del municipio de Apaseo el Grande, Guanajuato</w:t>
      </w:r>
    </w:p>
    <w:p w14:paraId="2F8B6324"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 xml:space="preserve">Tomando como referencia los resultados de ejercicios anteriores, así como las proyecciones para el gasto de inversión, se identifica que en el ejercicio fiscal 2022 dicho gasto tendrá un incremento del 69.5% respecto a lo ejercido en el año 2021, para el 2023 se prevé una reducción del 36.2% y para los años siguientes un crecimiento del 3.95% anual. </w:t>
      </w:r>
    </w:p>
    <w:p w14:paraId="11672E6D" w14:textId="77777777" w:rsidR="008F4A58" w:rsidRPr="008F4A58" w:rsidRDefault="008F4A58" w:rsidP="008F4A58">
      <w:pPr>
        <w:spacing w:line="360" w:lineRule="auto"/>
        <w:jc w:val="center"/>
        <w:rPr>
          <w:rFonts w:ascii="Abadi" w:hAnsi="Abadi"/>
          <w:sz w:val="21"/>
          <w:szCs w:val="21"/>
          <w:lang w:eastAsia="es-MX"/>
        </w:rPr>
      </w:pPr>
      <w:r w:rsidRPr="008F4A58">
        <w:rPr>
          <w:rFonts w:ascii="Abadi" w:hAnsi="Abadi"/>
          <w:noProof/>
          <w:sz w:val="21"/>
          <w:szCs w:val="21"/>
          <w:lang w:eastAsia="es-MX"/>
        </w:rPr>
        <w:drawing>
          <wp:inline distT="0" distB="0" distL="0" distR="0" wp14:anchorId="57579F0F" wp14:editId="577DE8CD">
            <wp:extent cx="2888615" cy="1835150"/>
            <wp:effectExtent l="0" t="0" r="6985" b="0"/>
            <wp:docPr id="20" name="Imagen 20"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10;&#10;Descripción generada automáticamente con confianza m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8861" cy="1835306"/>
                    </a:xfrm>
                    <a:prstGeom prst="rect">
                      <a:avLst/>
                    </a:prstGeom>
                    <a:noFill/>
                  </pic:spPr>
                </pic:pic>
              </a:graphicData>
            </a:graphic>
          </wp:inline>
        </w:drawing>
      </w:r>
    </w:p>
    <w:p w14:paraId="3E6CD6FA"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sz w:val="21"/>
          <w:szCs w:val="21"/>
          <w:lang w:val="es-MX" w:eastAsia="es-MX"/>
        </w:rPr>
        <w:t>Fuente: Elaboración propia con información financiera del municipio de Apaseo el Grande, Guanajuato</w:t>
      </w:r>
    </w:p>
    <w:p w14:paraId="70800451"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 xml:space="preserve">El gasto financiado con recursos de libre disposición, identificado como gasto no etiquetado, muestra un comportamiento </w:t>
      </w:r>
      <w:r w:rsidRPr="008F4A58">
        <w:rPr>
          <w:rFonts w:ascii="Abadi" w:hAnsi="Abadi"/>
          <w:sz w:val="21"/>
          <w:szCs w:val="21"/>
          <w:lang w:eastAsia="es-MX"/>
        </w:rPr>
        <w:t>ascendente lo que se traduce en una menor dependencia de recursos federales etiquetados para financiar el gasto municipal, de esta manera se identifica que para el ejercicio fiscal 2022, el 59% del gasto municipal corresponderá a gasto no etiquetado y de acuerdo con las proyecciones, para el año 2032 el gasto no etiquetado será del 81% del gasto total.</w:t>
      </w:r>
    </w:p>
    <w:p w14:paraId="7A328CE9" w14:textId="77777777" w:rsidR="008F4A58" w:rsidRPr="008F4A58" w:rsidRDefault="008F4A58" w:rsidP="008F4A58">
      <w:pPr>
        <w:spacing w:line="360" w:lineRule="auto"/>
        <w:jc w:val="center"/>
        <w:rPr>
          <w:rFonts w:ascii="Abadi" w:hAnsi="Abadi"/>
          <w:sz w:val="21"/>
          <w:szCs w:val="21"/>
          <w:lang w:eastAsia="es-MX"/>
        </w:rPr>
      </w:pPr>
      <w:r w:rsidRPr="008F4A58">
        <w:rPr>
          <w:rFonts w:ascii="Abadi" w:hAnsi="Abadi"/>
          <w:noProof/>
          <w:sz w:val="21"/>
          <w:szCs w:val="21"/>
          <w:lang w:eastAsia="es-MX"/>
        </w:rPr>
        <w:drawing>
          <wp:inline distT="0" distB="0" distL="0" distR="0" wp14:anchorId="1458DEF6" wp14:editId="225C7850">
            <wp:extent cx="2928133" cy="1403350"/>
            <wp:effectExtent l="0" t="0" r="5715" b="6350"/>
            <wp:docPr id="23" name="Imagen 2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líneas&#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5936" cy="1407090"/>
                    </a:xfrm>
                    <a:prstGeom prst="rect">
                      <a:avLst/>
                    </a:prstGeom>
                    <a:noFill/>
                  </pic:spPr>
                </pic:pic>
              </a:graphicData>
            </a:graphic>
          </wp:inline>
        </w:drawing>
      </w:r>
    </w:p>
    <w:p w14:paraId="0054BFA8"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sz w:val="21"/>
          <w:szCs w:val="21"/>
          <w:lang w:val="es-MX" w:eastAsia="es-MX"/>
        </w:rPr>
        <w:t>Fuente: Elaboración propia con información financiera del municipio de Apaseo el Grande, Guanajuato</w:t>
      </w:r>
    </w:p>
    <w:p w14:paraId="4E4950FE" w14:textId="77777777" w:rsidR="008F4A58" w:rsidRPr="008F4A58" w:rsidRDefault="008F4A58" w:rsidP="008F4A58">
      <w:pPr>
        <w:spacing w:line="360" w:lineRule="auto"/>
        <w:ind w:firstLine="708"/>
        <w:jc w:val="both"/>
        <w:rPr>
          <w:rFonts w:ascii="Abadi" w:hAnsi="Abadi"/>
          <w:b/>
          <w:sz w:val="21"/>
          <w:szCs w:val="21"/>
        </w:rPr>
      </w:pPr>
      <w:r w:rsidRPr="008F4A58">
        <w:rPr>
          <w:rFonts w:ascii="Abadi" w:hAnsi="Abadi"/>
          <w:b/>
          <w:sz w:val="21"/>
          <w:szCs w:val="21"/>
        </w:rPr>
        <w:t>2.1.7. Deuda pública</w:t>
      </w:r>
    </w:p>
    <w:p w14:paraId="6DB50C9E" w14:textId="77777777" w:rsidR="008F4A58" w:rsidRPr="008F4A58" w:rsidRDefault="008F4A58" w:rsidP="008F4A58">
      <w:pPr>
        <w:spacing w:line="360" w:lineRule="auto"/>
        <w:jc w:val="both"/>
        <w:rPr>
          <w:rFonts w:ascii="Abadi" w:hAnsi="Abadi"/>
          <w:sz w:val="21"/>
          <w:szCs w:val="21"/>
        </w:rPr>
      </w:pPr>
    </w:p>
    <w:p w14:paraId="55B20AA6"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Con información al 31 de marzo de 2021 y publicada por la Secretaría de Hacienda y Crédito Público, el saldo de la deuda pública del municipio de Apaseo el Grande, Gto., es de $0.00 derivado de que no existe registro de obligaciones por financiamientos a cargo del municipio cuya fuente o garantía de pago son ingresos de libre disposición.</w:t>
      </w:r>
    </w:p>
    <w:p w14:paraId="2A4F68E2" w14:textId="77777777" w:rsidR="008F4A58" w:rsidRPr="008F4A58" w:rsidRDefault="008F4A58" w:rsidP="008F4A58">
      <w:pPr>
        <w:spacing w:line="360" w:lineRule="auto"/>
        <w:ind w:firstLine="708"/>
        <w:jc w:val="both"/>
        <w:rPr>
          <w:rFonts w:ascii="Abadi" w:hAnsi="Abadi"/>
          <w:sz w:val="21"/>
          <w:szCs w:val="21"/>
          <w:lang w:eastAsia="es-MX"/>
        </w:rPr>
      </w:pPr>
    </w:p>
    <w:p w14:paraId="43777321"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 xml:space="preserve">El antecedente inmediato sobre una obligación financiera a cargo del Municipio se deriva de un crédito simple contratado con Banobras en mayo de 2011 con un monto dispuesto de 12.60 millones de pesos y una tasa de interés TIIE + 2.53. El crédito se formalizó con </w:t>
      </w:r>
      <w:r w:rsidRPr="008F4A58">
        <w:rPr>
          <w:rFonts w:ascii="Abadi" w:hAnsi="Abadi"/>
          <w:sz w:val="21"/>
          <w:szCs w:val="21"/>
          <w:lang w:eastAsia="es-MX"/>
        </w:rPr>
        <w:lastRenderedPageBreak/>
        <w:t>un plazo de 10 años y su vencimiento fue en agosto de 2021.</w:t>
      </w:r>
    </w:p>
    <w:p w14:paraId="58888856" w14:textId="77777777" w:rsidR="008F4A58" w:rsidRPr="008F4A58" w:rsidRDefault="008F4A58" w:rsidP="008F4A58">
      <w:pPr>
        <w:spacing w:line="360" w:lineRule="auto"/>
        <w:ind w:firstLine="708"/>
        <w:jc w:val="both"/>
        <w:rPr>
          <w:rFonts w:ascii="Abadi" w:hAnsi="Abadi"/>
          <w:sz w:val="21"/>
          <w:szCs w:val="21"/>
          <w:lang w:eastAsia="es-MX"/>
        </w:rPr>
      </w:pPr>
    </w:p>
    <w:p w14:paraId="08E332CC"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 xml:space="preserve">De acuerdo con el Registro Estatal de la Deuda Pública y Obligaciones de la Secretaría de Finanzas, Inversión y Administración de Guanajuato, la obligación antes señalada quedó registrada con el folio estatal 207/11 y con número de inscripción 226/2011 de la Secretaria de Hacienda y Crédito Público. </w:t>
      </w:r>
    </w:p>
    <w:p w14:paraId="0F2070A3" w14:textId="77777777" w:rsidR="008F4A58" w:rsidRPr="008F4A58" w:rsidRDefault="008F4A58" w:rsidP="008F4A58">
      <w:pPr>
        <w:spacing w:line="360" w:lineRule="auto"/>
        <w:jc w:val="both"/>
        <w:rPr>
          <w:rFonts w:ascii="Abadi" w:hAnsi="Abadi"/>
          <w:b/>
          <w:sz w:val="21"/>
          <w:szCs w:val="21"/>
        </w:rPr>
      </w:pPr>
    </w:p>
    <w:p w14:paraId="6A8DDD5A" w14:textId="77777777" w:rsidR="008F4A58" w:rsidRPr="008F4A58" w:rsidRDefault="008F4A58" w:rsidP="008F4A58">
      <w:pPr>
        <w:spacing w:line="360" w:lineRule="auto"/>
        <w:ind w:firstLine="708"/>
        <w:jc w:val="both"/>
        <w:rPr>
          <w:rFonts w:ascii="Abadi" w:hAnsi="Abadi"/>
          <w:b/>
          <w:sz w:val="21"/>
          <w:szCs w:val="21"/>
        </w:rPr>
      </w:pPr>
      <w:r w:rsidRPr="008F4A58">
        <w:rPr>
          <w:rFonts w:ascii="Abadi" w:hAnsi="Abadi"/>
          <w:b/>
          <w:sz w:val="21"/>
          <w:szCs w:val="21"/>
        </w:rPr>
        <w:t>2.1.8. Calificaciones crediticias</w:t>
      </w:r>
    </w:p>
    <w:p w14:paraId="5F71B21D" w14:textId="77777777" w:rsidR="008F4A58" w:rsidRPr="008F4A58" w:rsidRDefault="008F4A58" w:rsidP="008F4A58">
      <w:pPr>
        <w:spacing w:line="360" w:lineRule="auto"/>
        <w:ind w:firstLine="708"/>
        <w:jc w:val="both"/>
        <w:rPr>
          <w:rFonts w:ascii="Abadi" w:hAnsi="Abadi"/>
          <w:sz w:val="21"/>
          <w:szCs w:val="21"/>
        </w:rPr>
      </w:pPr>
    </w:p>
    <w:p w14:paraId="27CAFC5F"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El municipio de Apaseo el Grande no cuenta actualmente con una calificación crediticia emitida por alguna calificadora crediticia del mercado financiero.</w:t>
      </w:r>
    </w:p>
    <w:p w14:paraId="31408953" w14:textId="77777777" w:rsidR="008F4A58" w:rsidRPr="008F4A58" w:rsidRDefault="008F4A58" w:rsidP="008F4A58">
      <w:pPr>
        <w:spacing w:line="360" w:lineRule="auto"/>
        <w:ind w:firstLine="708"/>
        <w:jc w:val="both"/>
        <w:rPr>
          <w:rFonts w:ascii="Abadi" w:hAnsi="Abadi"/>
          <w:sz w:val="21"/>
          <w:szCs w:val="21"/>
          <w:lang w:eastAsia="es-MX"/>
        </w:rPr>
      </w:pPr>
    </w:p>
    <w:p w14:paraId="13E11391"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 xml:space="preserve">Resulta importante señalar que las calificaciones crediticias son opiniones sobre el riesgo crediticio, sobre la capacidad y voluntad de un deudor, que puede ser una empresa, institución financiera, estado o municipio, para cumplir con sus obligaciones financieras en tiempo y forma; por otro lado, como las calificaciones reflejan el grado de riesgo de incumplimiento, pueden ayudar a las entidades y municipios a tener acceso al crédito y a conseguir mejores condiciones financieras con instituciones bancarias. </w:t>
      </w:r>
    </w:p>
    <w:p w14:paraId="3CB8500F"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Debido a que las calificaciones son opiniones independientes y que incorporan el análisis de la situación financiera, así como de las prácticas de administración y gobierno de los municipios, uno de los principales beneficios es que brindan una mayor transparencia a los inversionistas, la banca y la población en general.</w:t>
      </w:r>
    </w:p>
    <w:p w14:paraId="05E413A3" w14:textId="77777777" w:rsidR="008F4A58" w:rsidRPr="008F4A58" w:rsidRDefault="008F4A58" w:rsidP="008F4A58">
      <w:pPr>
        <w:spacing w:line="360" w:lineRule="auto"/>
        <w:ind w:firstLine="708"/>
        <w:jc w:val="both"/>
        <w:rPr>
          <w:rFonts w:ascii="Abadi" w:hAnsi="Abadi"/>
          <w:sz w:val="21"/>
          <w:szCs w:val="21"/>
          <w:lang w:eastAsia="es-MX"/>
        </w:rPr>
      </w:pPr>
    </w:p>
    <w:p w14:paraId="19D212EF"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Entre las ventajas de contar con calificaciones de riesgo crediticio se pueden destacar las siguientes: En materia de transparencia, brindan certeza sobre los resultados obtenidos por el Municipio, ya que son entes evaluadores ajenos al gobierno que emiten opiniones objetivas; sirven como herramienta de negociación ante las instituciones financieras para la obtención de financiamiento público; al elevar las calificaciones, la calidad crediticia del Municipio mejora y por consiguiente se pueden obtener condiciones financieras más favorables, lo que se traduce en un menor costo financiero de las obligaciones contratadas por el Municipio y por lo tanto un ahorro de recursos que pueden destinarse a proyectos de inversión.</w:t>
      </w:r>
    </w:p>
    <w:p w14:paraId="2B2D0F93" w14:textId="77777777" w:rsidR="008F4A58" w:rsidRPr="008F4A58" w:rsidRDefault="008F4A58" w:rsidP="008F4A58">
      <w:pPr>
        <w:ind w:left="708"/>
        <w:rPr>
          <w:rFonts w:ascii="Abadi" w:hAnsi="Abadi"/>
          <w:sz w:val="21"/>
          <w:szCs w:val="21"/>
        </w:rPr>
      </w:pPr>
    </w:p>
    <w:p w14:paraId="7ABB4F71" w14:textId="77777777" w:rsidR="008F4A58" w:rsidRPr="008F4A58" w:rsidRDefault="008F4A58" w:rsidP="008F4A58">
      <w:pPr>
        <w:spacing w:line="360" w:lineRule="auto"/>
        <w:ind w:firstLine="567"/>
        <w:jc w:val="both"/>
        <w:rPr>
          <w:rFonts w:ascii="Abadi" w:hAnsi="Abadi"/>
          <w:b/>
          <w:sz w:val="21"/>
          <w:szCs w:val="21"/>
        </w:rPr>
      </w:pPr>
      <w:r w:rsidRPr="008F4A58">
        <w:rPr>
          <w:rFonts w:ascii="Abadi" w:hAnsi="Abadi"/>
          <w:b/>
          <w:sz w:val="21"/>
          <w:szCs w:val="21"/>
        </w:rPr>
        <w:t>2.1.9. Sistema de alertas</w:t>
      </w:r>
    </w:p>
    <w:p w14:paraId="7EE3A878" w14:textId="77777777" w:rsidR="008F4A58" w:rsidRPr="008F4A58" w:rsidRDefault="008F4A58" w:rsidP="008F4A58">
      <w:pPr>
        <w:spacing w:line="360" w:lineRule="auto"/>
        <w:jc w:val="both"/>
        <w:rPr>
          <w:rFonts w:ascii="Abadi" w:hAnsi="Abadi"/>
          <w:sz w:val="21"/>
          <w:szCs w:val="21"/>
        </w:rPr>
      </w:pPr>
    </w:p>
    <w:p w14:paraId="19B203A7" w14:textId="5470D8D6" w:rsidR="008F4A58" w:rsidRDefault="008F4A58" w:rsidP="00CE6DCB">
      <w:pPr>
        <w:spacing w:line="360" w:lineRule="auto"/>
        <w:ind w:firstLine="567"/>
        <w:jc w:val="both"/>
        <w:rPr>
          <w:rFonts w:ascii="Abadi" w:hAnsi="Abadi"/>
          <w:sz w:val="21"/>
          <w:szCs w:val="21"/>
        </w:rPr>
      </w:pPr>
      <w:r w:rsidRPr="008F4A58">
        <w:rPr>
          <w:rFonts w:ascii="Abadi" w:hAnsi="Abadi"/>
          <w:sz w:val="21"/>
          <w:szCs w:val="21"/>
        </w:rPr>
        <w:t xml:space="preserve">El Sistema de Alertas mide el nivel de endeudamiento de los entes públicos estatales y municipales que tengan contratados financiamientos y obligaciones inscritos en el Registro Público Único (RPU). Esta medición es relevante ya que determina el Techo de Financiamiento Neto al que tendrán acceso los entes públicos. </w:t>
      </w:r>
    </w:p>
    <w:p w14:paraId="083B7831" w14:textId="77777777" w:rsidR="00CE6DCB" w:rsidRPr="008F4A58" w:rsidRDefault="00CE6DCB" w:rsidP="00CE6DCB">
      <w:pPr>
        <w:spacing w:line="360" w:lineRule="auto"/>
        <w:ind w:firstLine="567"/>
        <w:jc w:val="both"/>
        <w:rPr>
          <w:rFonts w:ascii="Abadi" w:hAnsi="Abadi"/>
          <w:sz w:val="21"/>
          <w:szCs w:val="21"/>
        </w:rPr>
      </w:pPr>
    </w:p>
    <w:p w14:paraId="6A1BAA8E" w14:textId="561A4BDF" w:rsidR="008F4A58" w:rsidRPr="008F4A58" w:rsidRDefault="008F4A58" w:rsidP="00CE6DCB">
      <w:pPr>
        <w:spacing w:line="360" w:lineRule="auto"/>
        <w:ind w:firstLine="567"/>
        <w:jc w:val="both"/>
        <w:rPr>
          <w:rFonts w:ascii="Abadi" w:hAnsi="Abadi"/>
          <w:sz w:val="21"/>
          <w:szCs w:val="21"/>
        </w:rPr>
      </w:pPr>
      <w:r w:rsidRPr="008F4A58">
        <w:rPr>
          <w:rFonts w:ascii="Abadi" w:hAnsi="Abadi"/>
          <w:sz w:val="21"/>
          <w:szCs w:val="21"/>
        </w:rPr>
        <w:t xml:space="preserve">La Secretaría de Hacienda y Crédito Público, con base en lo establecido en el Capítulo V de la Ley de Disciplina Financiera de las Entidades Federativas y los Municipios, a partir del ejercicio fiscal 2017, comenzó con la aplicación del Sistema de Alertas el cual tiene por objeto realizar una evaluación de los entes públicos de acuerdo a su nivel de endeudamiento, para ello analiza a aquellos que </w:t>
      </w:r>
      <w:r w:rsidRPr="008F4A58">
        <w:rPr>
          <w:rFonts w:ascii="Abadi" w:hAnsi="Abadi"/>
          <w:sz w:val="21"/>
          <w:szCs w:val="21"/>
        </w:rPr>
        <w:lastRenderedPageBreak/>
        <w:t xml:space="preserve">tengan contratados financiamientos y obligaciones inscritos en el Registro Público Único de Financiamientos y Obligaciones a cargo de las Entidades Federativas y Municipios, cuya fuente o garantía de pago sea de ingresos de libre disposición. </w:t>
      </w:r>
    </w:p>
    <w:p w14:paraId="426B013F" w14:textId="77777777" w:rsidR="008F4A58" w:rsidRPr="008F4A58" w:rsidRDefault="008F4A58" w:rsidP="008F4A58">
      <w:pPr>
        <w:spacing w:line="360" w:lineRule="auto"/>
        <w:ind w:firstLine="567"/>
        <w:jc w:val="both"/>
        <w:rPr>
          <w:rFonts w:ascii="Abadi" w:hAnsi="Abadi"/>
          <w:sz w:val="21"/>
          <w:szCs w:val="21"/>
        </w:rPr>
      </w:pPr>
      <w:r w:rsidRPr="008F4A58">
        <w:rPr>
          <w:rFonts w:ascii="Abadi" w:hAnsi="Abadi"/>
          <w:sz w:val="21"/>
          <w:szCs w:val="21"/>
        </w:rPr>
        <w:tab/>
      </w:r>
    </w:p>
    <w:p w14:paraId="1E1BAACD" w14:textId="77777777" w:rsidR="008F4A58" w:rsidRPr="008F4A58" w:rsidRDefault="008F4A58" w:rsidP="008F4A58">
      <w:pPr>
        <w:spacing w:line="360" w:lineRule="auto"/>
        <w:ind w:firstLine="567"/>
        <w:jc w:val="both"/>
        <w:rPr>
          <w:rFonts w:ascii="Abadi" w:hAnsi="Abadi"/>
          <w:sz w:val="21"/>
          <w:szCs w:val="21"/>
        </w:rPr>
      </w:pPr>
      <w:r w:rsidRPr="008F4A58">
        <w:rPr>
          <w:rFonts w:ascii="Abadi" w:hAnsi="Abadi"/>
          <w:sz w:val="21"/>
          <w:szCs w:val="21"/>
        </w:rPr>
        <w:t>La medición del Sistema de Alertas se realiza conforme a los siguientes tres indicadores:</w:t>
      </w:r>
    </w:p>
    <w:p w14:paraId="267436F1" w14:textId="77777777" w:rsidR="008F4A58" w:rsidRPr="008F4A58" w:rsidRDefault="008F4A58" w:rsidP="008F4A58">
      <w:pPr>
        <w:spacing w:line="360" w:lineRule="auto"/>
        <w:ind w:firstLine="567"/>
        <w:jc w:val="both"/>
        <w:rPr>
          <w:rFonts w:ascii="Abadi" w:hAnsi="Abadi"/>
          <w:sz w:val="21"/>
          <w:szCs w:val="21"/>
        </w:rPr>
      </w:pPr>
    </w:p>
    <w:p w14:paraId="536C856E" w14:textId="77777777" w:rsidR="008F4A58" w:rsidRPr="008F4A58" w:rsidRDefault="008F4A58" w:rsidP="00B81728">
      <w:pPr>
        <w:numPr>
          <w:ilvl w:val="0"/>
          <w:numId w:val="31"/>
        </w:numPr>
        <w:spacing w:line="360" w:lineRule="auto"/>
        <w:jc w:val="both"/>
        <w:rPr>
          <w:rFonts w:ascii="Abadi" w:hAnsi="Abadi"/>
          <w:sz w:val="21"/>
          <w:szCs w:val="21"/>
        </w:rPr>
      </w:pPr>
      <w:r w:rsidRPr="008F4A58">
        <w:rPr>
          <w:rFonts w:ascii="Abadi" w:hAnsi="Abadi"/>
          <w:b/>
          <w:bCs/>
          <w:sz w:val="21"/>
          <w:szCs w:val="21"/>
        </w:rPr>
        <w:t>Indicador de deuda pública y obligaciones sobre ingresos de libre disposición</w:t>
      </w:r>
      <w:r w:rsidRPr="008F4A58">
        <w:rPr>
          <w:rFonts w:ascii="Abadi" w:hAnsi="Abadi"/>
          <w:sz w:val="21"/>
          <w:szCs w:val="21"/>
        </w:rPr>
        <w:t>, vinculado con la sostenibilidad de la deuda de un ente público;</w:t>
      </w:r>
    </w:p>
    <w:p w14:paraId="0547AA8D" w14:textId="77777777" w:rsidR="008F4A58" w:rsidRPr="008F4A58" w:rsidRDefault="008F4A58" w:rsidP="008F4A58">
      <w:pPr>
        <w:spacing w:line="360" w:lineRule="auto"/>
        <w:ind w:left="720"/>
        <w:jc w:val="both"/>
        <w:rPr>
          <w:rFonts w:ascii="Abadi" w:hAnsi="Abadi"/>
          <w:sz w:val="21"/>
          <w:szCs w:val="21"/>
        </w:rPr>
      </w:pPr>
    </w:p>
    <w:p w14:paraId="296691AE" w14:textId="77777777" w:rsidR="008F4A58" w:rsidRPr="008F4A58" w:rsidRDefault="008F4A58" w:rsidP="00B81728">
      <w:pPr>
        <w:numPr>
          <w:ilvl w:val="0"/>
          <w:numId w:val="31"/>
        </w:numPr>
        <w:spacing w:line="360" w:lineRule="auto"/>
        <w:jc w:val="both"/>
        <w:rPr>
          <w:rFonts w:ascii="Abadi" w:hAnsi="Abadi"/>
          <w:sz w:val="21"/>
          <w:szCs w:val="21"/>
        </w:rPr>
      </w:pPr>
      <w:r w:rsidRPr="008F4A58">
        <w:rPr>
          <w:rFonts w:ascii="Abadi" w:hAnsi="Abadi"/>
          <w:b/>
          <w:bCs/>
          <w:sz w:val="21"/>
          <w:szCs w:val="21"/>
        </w:rPr>
        <w:t>Indicador de servicio de la deuda y de obligaciones sobre ingresos de libre disposición</w:t>
      </w:r>
      <w:r w:rsidRPr="008F4A58">
        <w:rPr>
          <w:rFonts w:ascii="Abadi" w:hAnsi="Abadi"/>
          <w:sz w:val="21"/>
          <w:szCs w:val="21"/>
        </w:rPr>
        <w:t>, el cual está vinculado con la capacidad de pago. Para su cálculo se incluirán las amortizaciones, intereses, anualidades y costos financieros atados a cada Financiamiento; y</w:t>
      </w:r>
    </w:p>
    <w:p w14:paraId="5EEF8B5D" w14:textId="77777777" w:rsidR="008F4A58" w:rsidRPr="008F4A58" w:rsidRDefault="008F4A58" w:rsidP="008F4A58">
      <w:pPr>
        <w:ind w:left="708"/>
        <w:rPr>
          <w:rFonts w:ascii="Abadi" w:hAnsi="Abadi"/>
          <w:sz w:val="21"/>
          <w:szCs w:val="21"/>
        </w:rPr>
      </w:pPr>
    </w:p>
    <w:p w14:paraId="26C24FBF" w14:textId="77777777" w:rsidR="008F4A58" w:rsidRPr="008F4A58" w:rsidRDefault="008F4A58" w:rsidP="00B81728">
      <w:pPr>
        <w:numPr>
          <w:ilvl w:val="0"/>
          <w:numId w:val="31"/>
        </w:numPr>
        <w:spacing w:line="360" w:lineRule="auto"/>
        <w:jc w:val="both"/>
        <w:rPr>
          <w:rFonts w:ascii="Abadi" w:hAnsi="Abadi"/>
          <w:sz w:val="21"/>
          <w:szCs w:val="21"/>
        </w:rPr>
      </w:pPr>
      <w:r w:rsidRPr="008F4A58">
        <w:rPr>
          <w:rFonts w:ascii="Abadi" w:hAnsi="Abadi"/>
          <w:b/>
          <w:bCs/>
          <w:sz w:val="21"/>
          <w:szCs w:val="21"/>
        </w:rPr>
        <w:t>Indicador de obligaciones a corto plazo y proveedores y contratistas</w:t>
      </w:r>
      <w:r w:rsidRPr="008F4A58">
        <w:rPr>
          <w:rFonts w:ascii="Abadi" w:hAnsi="Abadi"/>
          <w:sz w:val="21"/>
          <w:szCs w:val="21"/>
        </w:rPr>
        <w:t>, menos los montos de efectivo, bancos e inversiones temporales, sobre ingresos totales, el cual muestra la disponibilidad financiera del ente público para hacer frente a sus obligaciones contratadas a plazos menores de 12 meses en relación con los ingresos totales.</w:t>
      </w:r>
    </w:p>
    <w:p w14:paraId="077A0784" w14:textId="77777777" w:rsidR="008F4A58" w:rsidRPr="008F4A58" w:rsidRDefault="008F4A58" w:rsidP="008F4A58">
      <w:pPr>
        <w:spacing w:line="360" w:lineRule="auto"/>
        <w:jc w:val="both"/>
        <w:rPr>
          <w:rFonts w:ascii="Abadi" w:hAnsi="Abadi"/>
          <w:sz w:val="21"/>
          <w:szCs w:val="21"/>
        </w:rPr>
      </w:pPr>
    </w:p>
    <w:p w14:paraId="6F7EFE1C"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 xml:space="preserve">De los resultados obtenidos de acuerdo con la medición de los indicadores señalados, estos son publicados en el Sistema de Alertas, el cual clasifica a cada uno de los entes públicos de acuerdo con los siguientes niveles: </w:t>
      </w:r>
    </w:p>
    <w:p w14:paraId="75E769FC" w14:textId="77777777" w:rsidR="008F4A58" w:rsidRPr="008F4A58" w:rsidRDefault="008F4A58" w:rsidP="008F4A58">
      <w:pPr>
        <w:spacing w:line="360" w:lineRule="auto"/>
        <w:ind w:firstLine="708"/>
        <w:jc w:val="both"/>
        <w:rPr>
          <w:rFonts w:ascii="Abadi" w:hAnsi="Abadi"/>
          <w:sz w:val="21"/>
          <w:szCs w:val="21"/>
        </w:rPr>
      </w:pPr>
    </w:p>
    <w:p w14:paraId="49D9E574" w14:textId="11C8E8D2" w:rsidR="008F4A58" w:rsidRPr="008F4A58" w:rsidRDefault="008F4A58" w:rsidP="00CE6DCB">
      <w:pPr>
        <w:spacing w:line="360" w:lineRule="auto"/>
        <w:rPr>
          <w:rFonts w:ascii="Abadi" w:hAnsi="Abadi"/>
          <w:sz w:val="21"/>
          <w:szCs w:val="21"/>
        </w:rPr>
      </w:pPr>
      <w:r w:rsidRPr="008F4A58">
        <w:rPr>
          <w:rFonts w:ascii="Arial" w:hAnsi="Arial" w:cs="Arial"/>
          <w:sz w:val="21"/>
          <w:szCs w:val="21"/>
        </w:rPr>
        <w:t>►</w:t>
      </w:r>
      <w:r w:rsidRPr="008F4A58">
        <w:rPr>
          <w:rFonts w:ascii="Abadi" w:hAnsi="Abadi"/>
          <w:sz w:val="21"/>
          <w:szCs w:val="21"/>
        </w:rPr>
        <w:tab/>
        <w:t>Endeudamiento</w:t>
      </w:r>
      <w:r w:rsidR="00CE6DCB">
        <w:rPr>
          <w:rFonts w:ascii="Abadi" w:hAnsi="Abadi"/>
          <w:sz w:val="21"/>
          <w:szCs w:val="21"/>
        </w:rPr>
        <w:t xml:space="preserve"> </w:t>
      </w:r>
      <w:r w:rsidRPr="008F4A58">
        <w:rPr>
          <w:rFonts w:ascii="Abadi" w:hAnsi="Abadi"/>
          <w:sz w:val="21"/>
          <w:szCs w:val="21"/>
        </w:rPr>
        <w:t>sostenible;</w:t>
      </w:r>
    </w:p>
    <w:p w14:paraId="47446530" w14:textId="77777777" w:rsidR="008F4A58" w:rsidRPr="008F4A58" w:rsidRDefault="008F4A58" w:rsidP="00CE6DCB">
      <w:pPr>
        <w:spacing w:line="360" w:lineRule="auto"/>
        <w:rPr>
          <w:rFonts w:ascii="Abadi" w:hAnsi="Abadi"/>
          <w:sz w:val="21"/>
          <w:szCs w:val="21"/>
        </w:rPr>
      </w:pPr>
      <w:r w:rsidRPr="008F4A58">
        <w:rPr>
          <w:rFonts w:ascii="Arial" w:hAnsi="Arial" w:cs="Arial"/>
          <w:sz w:val="21"/>
          <w:szCs w:val="21"/>
        </w:rPr>
        <w:t>►</w:t>
      </w:r>
      <w:r w:rsidRPr="008F4A58">
        <w:rPr>
          <w:rFonts w:ascii="Abadi" w:hAnsi="Abadi"/>
          <w:sz w:val="21"/>
          <w:szCs w:val="21"/>
        </w:rPr>
        <w:tab/>
        <w:t>Endeudamiento en observaci</w:t>
      </w:r>
      <w:r w:rsidRPr="008F4A58">
        <w:rPr>
          <w:rFonts w:ascii="Abadi" w:hAnsi="Abadi" w:cs="Verdana"/>
          <w:sz w:val="21"/>
          <w:szCs w:val="21"/>
        </w:rPr>
        <w:t>ó</w:t>
      </w:r>
      <w:r w:rsidRPr="008F4A58">
        <w:rPr>
          <w:rFonts w:ascii="Abadi" w:hAnsi="Abadi"/>
          <w:sz w:val="21"/>
          <w:szCs w:val="21"/>
        </w:rPr>
        <w:t>n; y</w:t>
      </w:r>
    </w:p>
    <w:p w14:paraId="25EAB84F" w14:textId="77777777" w:rsidR="008F4A58" w:rsidRPr="008F4A58" w:rsidRDefault="008F4A58" w:rsidP="00CE6DCB">
      <w:pPr>
        <w:spacing w:line="360" w:lineRule="auto"/>
        <w:rPr>
          <w:rFonts w:ascii="Abadi" w:hAnsi="Abadi"/>
          <w:sz w:val="21"/>
          <w:szCs w:val="21"/>
        </w:rPr>
      </w:pPr>
      <w:r w:rsidRPr="008F4A58">
        <w:rPr>
          <w:rFonts w:ascii="Arial" w:hAnsi="Arial" w:cs="Arial"/>
          <w:sz w:val="21"/>
          <w:szCs w:val="21"/>
        </w:rPr>
        <w:t>►</w:t>
      </w:r>
      <w:r w:rsidRPr="008F4A58">
        <w:rPr>
          <w:rFonts w:ascii="Abadi" w:hAnsi="Abadi"/>
          <w:sz w:val="21"/>
          <w:szCs w:val="21"/>
        </w:rPr>
        <w:tab/>
        <w:t>Endeudamiento elevado.</w:t>
      </w:r>
    </w:p>
    <w:p w14:paraId="38AD6852" w14:textId="77777777" w:rsidR="008F4A58" w:rsidRPr="008F4A58" w:rsidRDefault="008F4A58" w:rsidP="008F4A58">
      <w:pPr>
        <w:spacing w:line="360" w:lineRule="auto"/>
        <w:ind w:firstLine="708"/>
        <w:jc w:val="both"/>
        <w:rPr>
          <w:rFonts w:ascii="Abadi" w:hAnsi="Abadi"/>
          <w:sz w:val="21"/>
          <w:szCs w:val="21"/>
        </w:rPr>
      </w:pPr>
    </w:p>
    <w:p w14:paraId="6F87DF6A"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 xml:space="preserve">Posteriormente y de acuerdo con la clasificación del Sistema de Alertas, cada ente público tendrá los siguientes techos de financiamiento neto: </w:t>
      </w:r>
    </w:p>
    <w:p w14:paraId="4A92C63D" w14:textId="77777777" w:rsidR="008F4A58" w:rsidRPr="008F4A58" w:rsidRDefault="008F4A58" w:rsidP="00B81728">
      <w:pPr>
        <w:numPr>
          <w:ilvl w:val="0"/>
          <w:numId w:val="32"/>
        </w:numPr>
        <w:spacing w:line="360" w:lineRule="auto"/>
        <w:jc w:val="both"/>
        <w:rPr>
          <w:rFonts w:ascii="Abadi" w:hAnsi="Abadi"/>
          <w:sz w:val="21"/>
          <w:szCs w:val="21"/>
        </w:rPr>
      </w:pPr>
      <w:r w:rsidRPr="008F4A58">
        <w:rPr>
          <w:rFonts w:ascii="Abadi" w:hAnsi="Abadi"/>
          <w:b/>
          <w:bCs/>
          <w:sz w:val="21"/>
          <w:szCs w:val="21"/>
        </w:rPr>
        <w:t>Endeudamiento sostenible</w:t>
      </w:r>
      <w:r w:rsidRPr="008F4A58">
        <w:rPr>
          <w:rFonts w:ascii="Abadi" w:hAnsi="Abadi"/>
          <w:sz w:val="21"/>
          <w:szCs w:val="21"/>
        </w:rPr>
        <w:t>, corresponderá un techo de financiamiento neto de hasta el equivalente al 15% de sus ingresos de libre disposición;</w:t>
      </w:r>
    </w:p>
    <w:p w14:paraId="7BCBFF2D" w14:textId="77777777" w:rsidR="008F4A58" w:rsidRPr="008F4A58" w:rsidRDefault="008F4A58" w:rsidP="008F4A58">
      <w:pPr>
        <w:spacing w:line="360" w:lineRule="auto"/>
        <w:ind w:left="720"/>
        <w:jc w:val="both"/>
        <w:rPr>
          <w:rFonts w:ascii="Abadi" w:hAnsi="Abadi"/>
          <w:sz w:val="21"/>
          <w:szCs w:val="21"/>
        </w:rPr>
      </w:pPr>
    </w:p>
    <w:p w14:paraId="5C096C90" w14:textId="77777777" w:rsidR="008F4A58" w:rsidRPr="008F4A58" w:rsidRDefault="008F4A58" w:rsidP="00B81728">
      <w:pPr>
        <w:numPr>
          <w:ilvl w:val="0"/>
          <w:numId w:val="32"/>
        </w:numPr>
        <w:spacing w:line="360" w:lineRule="auto"/>
        <w:jc w:val="both"/>
        <w:rPr>
          <w:rFonts w:ascii="Abadi" w:hAnsi="Abadi"/>
          <w:sz w:val="21"/>
          <w:szCs w:val="21"/>
        </w:rPr>
      </w:pPr>
      <w:r w:rsidRPr="008F4A58">
        <w:rPr>
          <w:rFonts w:ascii="Abadi" w:hAnsi="Abadi"/>
          <w:b/>
          <w:bCs/>
          <w:sz w:val="21"/>
          <w:szCs w:val="21"/>
        </w:rPr>
        <w:t>Endeudamiento en observación</w:t>
      </w:r>
      <w:r w:rsidRPr="008F4A58">
        <w:rPr>
          <w:rFonts w:ascii="Abadi" w:hAnsi="Abadi"/>
          <w:sz w:val="21"/>
          <w:szCs w:val="21"/>
        </w:rPr>
        <w:t xml:space="preserve"> tendrá como techo de financiamiento neto el equivalente al 5% de sus ingresos de libre disposición; y</w:t>
      </w:r>
    </w:p>
    <w:p w14:paraId="7096BD08" w14:textId="77777777" w:rsidR="008F4A58" w:rsidRPr="008F4A58" w:rsidRDefault="008F4A58" w:rsidP="008F4A58">
      <w:pPr>
        <w:ind w:left="708"/>
        <w:rPr>
          <w:rFonts w:ascii="Abadi" w:hAnsi="Abadi"/>
          <w:sz w:val="21"/>
          <w:szCs w:val="21"/>
        </w:rPr>
      </w:pPr>
    </w:p>
    <w:p w14:paraId="61DECB3F" w14:textId="77777777" w:rsidR="008F4A58" w:rsidRPr="008F4A58" w:rsidRDefault="008F4A58" w:rsidP="00B81728">
      <w:pPr>
        <w:numPr>
          <w:ilvl w:val="0"/>
          <w:numId w:val="32"/>
        </w:numPr>
        <w:spacing w:line="360" w:lineRule="auto"/>
        <w:jc w:val="both"/>
        <w:rPr>
          <w:rFonts w:ascii="Abadi" w:hAnsi="Abadi"/>
          <w:sz w:val="21"/>
          <w:szCs w:val="21"/>
        </w:rPr>
      </w:pPr>
      <w:r w:rsidRPr="008F4A58">
        <w:rPr>
          <w:rFonts w:ascii="Abadi" w:hAnsi="Abadi"/>
          <w:b/>
          <w:bCs/>
          <w:sz w:val="21"/>
          <w:szCs w:val="21"/>
        </w:rPr>
        <w:t>Endeudamiento elevado</w:t>
      </w:r>
      <w:r w:rsidRPr="008F4A58">
        <w:rPr>
          <w:rFonts w:ascii="Abadi" w:hAnsi="Abadi"/>
          <w:sz w:val="21"/>
          <w:szCs w:val="21"/>
        </w:rPr>
        <w:t xml:space="preserve"> tendrá un techo de financiamiento neto igual a cero.</w:t>
      </w:r>
    </w:p>
    <w:p w14:paraId="3B282D18" w14:textId="77777777" w:rsidR="008F4A58" w:rsidRPr="008F4A58" w:rsidRDefault="008F4A58" w:rsidP="008F4A58">
      <w:pPr>
        <w:spacing w:line="360" w:lineRule="auto"/>
        <w:jc w:val="both"/>
        <w:rPr>
          <w:rFonts w:ascii="Abadi" w:hAnsi="Abadi"/>
          <w:sz w:val="21"/>
          <w:szCs w:val="21"/>
        </w:rPr>
      </w:pPr>
    </w:p>
    <w:p w14:paraId="0F56B934"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Con base en lo anterior, el 30 de julio de 2021 la Secretaría de Hacienda y Crédito Público emitió el cálculo de los resultados del Sistema de Alertas para los municipios correspondiente a la cuenta pública del ejercicio fiscal 2020</w:t>
      </w:r>
      <w:r w:rsidRPr="008F4A58">
        <w:rPr>
          <w:rFonts w:ascii="Abadi" w:hAnsi="Abadi"/>
          <w:sz w:val="21"/>
          <w:szCs w:val="21"/>
          <w:vertAlign w:val="superscript"/>
        </w:rPr>
        <w:footnoteReference w:id="97"/>
      </w:r>
      <w:r w:rsidRPr="008F4A58">
        <w:rPr>
          <w:rFonts w:ascii="Abadi" w:hAnsi="Abadi"/>
          <w:sz w:val="21"/>
          <w:szCs w:val="21"/>
        </w:rPr>
        <w:t xml:space="preserve">, los cuales servirán para determinar los techos de </w:t>
      </w:r>
      <w:r w:rsidRPr="008F4A58">
        <w:rPr>
          <w:rFonts w:ascii="Abadi" w:hAnsi="Abadi"/>
          <w:sz w:val="21"/>
          <w:szCs w:val="21"/>
        </w:rPr>
        <w:lastRenderedPageBreak/>
        <w:t>financiamiento neto al que tendrán acceso los municipios durante el ejercicio fiscal 2022.</w:t>
      </w:r>
    </w:p>
    <w:p w14:paraId="0D0BBE4F" w14:textId="77777777" w:rsidR="008F4A58" w:rsidRPr="008F4A58" w:rsidRDefault="008F4A58" w:rsidP="008F4A58">
      <w:pPr>
        <w:spacing w:line="360" w:lineRule="auto"/>
        <w:ind w:firstLine="708"/>
        <w:jc w:val="both"/>
        <w:rPr>
          <w:rFonts w:ascii="Abadi" w:hAnsi="Abadi"/>
          <w:sz w:val="21"/>
          <w:szCs w:val="21"/>
        </w:rPr>
      </w:pPr>
    </w:p>
    <w:p w14:paraId="16909BF1" w14:textId="77777777" w:rsidR="008F4A58" w:rsidRPr="008F4A58" w:rsidRDefault="008F4A58" w:rsidP="008F4A58">
      <w:pPr>
        <w:spacing w:line="360" w:lineRule="auto"/>
        <w:jc w:val="center"/>
        <w:rPr>
          <w:rFonts w:ascii="Abadi" w:hAnsi="Abadi"/>
          <w:sz w:val="21"/>
          <w:szCs w:val="21"/>
        </w:rPr>
      </w:pPr>
      <w:r w:rsidRPr="008F4A58">
        <w:rPr>
          <w:rFonts w:ascii="Abadi" w:hAnsi="Abadi"/>
          <w:noProof/>
          <w:sz w:val="21"/>
          <w:szCs w:val="21"/>
        </w:rPr>
        <w:drawing>
          <wp:inline distT="0" distB="0" distL="0" distR="0" wp14:anchorId="0F82AAE9" wp14:editId="1E705284">
            <wp:extent cx="3221989" cy="814429"/>
            <wp:effectExtent l="0" t="0" r="0" b="508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83902" cy="830079"/>
                    </a:xfrm>
                    <a:prstGeom prst="rect">
                      <a:avLst/>
                    </a:prstGeom>
                    <a:noFill/>
                    <a:ln>
                      <a:noFill/>
                    </a:ln>
                  </pic:spPr>
                </pic:pic>
              </a:graphicData>
            </a:graphic>
          </wp:inline>
        </w:drawing>
      </w:r>
    </w:p>
    <w:p w14:paraId="44BB2BB7" w14:textId="77777777" w:rsidR="008F4A58" w:rsidRPr="008F4A58" w:rsidRDefault="008F4A58" w:rsidP="008F4A58">
      <w:pPr>
        <w:spacing w:before="100" w:beforeAutospacing="1" w:after="100" w:afterAutospacing="1" w:line="360" w:lineRule="auto"/>
        <w:jc w:val="center"/>
        <w:rPr>
          <w:rFonts w:ascii="Abadi" w:hAnsi="Abadi"/>
          <w:sz w:val="21"/>
          <w:szCs w:val="21"/>
          <w:lang w:val="es-MX" w:eastAsia="es-MX"/>
        </w:rPr>
      </w:pPr>
      <w:r w:rsidRPr="008F4A58">
        <w:rPr>
          <w:rFonts w:ascii="Abadi" w:hAnsi="Abadi"/>
          <w:sz w:val="21"/>
          <w:szCs w:val="21"/>
          <w:lang w:val="es-MX" w:eastAsia="es-MX"/>
        </w:rPr>
        <w:t>Fuente: Elaboración propia con información del Sistema de Alertas de la SHCP.</w:t>
      </w:r>
    </w:p>
    <w:p w14:paraId="5B88EA0A"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Con base al resultado publicado, el municipio de Apaseo el Grande, Gto., se ubica con un nivel de endeudamiento sostenible lo que le permite acceder a un techo de financiamiento neto hasta por el 15% de sus ingresos de libre disposición.</w:t>
      </w:r>
    </w:p>
    <w:p w14:paraId="2E876451" w14:textId="77777777" w:rsidR="008F4A58" w:rsidRPr="008F4A58" w:rsidRDefault="008F4A58" w:rsidP="008F4A58">
      <w:pPr>
        <w:spacing w:line="360" w:lineRule="auto"/>
        <w:ind w:firstLine="708"/>
        <w:jc w:val="both"/>
        <w:rPr>
          <w:rFonts w:ascii="Abadi" w:hAnsi="Abadi"/>
          <w:b/>
          <w:bCs/>
          <w:sz w:val="21"/>
          <w:szCs w:val="21"/>
        </w:rPr>
      </w:pPr>
      <w:r w:rsidRPr="008F4A58">
        <w:rPr>
          <w:rFonts w:ascii="Abadi" w:hAnsi="Abadi"/>
          <w:b/>
          <w:bCs/>
          <w:sz w:val="21"/>
          <w:szCs w:val="21"/>
        </w:rPr>
        <w:t xml:space="preserve">2.1.10. Determinación del Techo de Financiamiento Neto </w:t>
      </w:r>
    </w:p>
    <w:p w14:paraId="1B20335F" w14:textId="77777777" w:rsidR="008F4A58" w:rsidRPr="008F4A58" w:rsidRDefault="008F4A58" w:rsidP="008F4A58">
      <w:pPr>
        <w:spacing w:line="360" w:lineRule="auto"/>
        <w:ind w:firstLine="708"/>
        <w:jc w:val="both"/>
        <w:rPr>
          <w:rFonts w:ascii="Abadi" w:hAnsi="Abadi"/>
          <w:b/>
          <w:bCs/>
          <w:sz w:val="21"/>
          <w:szCs w:val="21"/>
        </w:rPr>
      </w:pPr>
    </w:p>
    <w:p w14:paraId="3D5F82FA"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Con el resultado obtenido en el Sistema de Alertas que permite obtener un techo de financiamiento neto con base al 15% de los ingresos de libre disposición, se determina que para el ejercicio fiscal 2022, el municipio de Apaseo el Grande, Gto., tendrá como máximo un techo de financiamiento neto de:</w:t>
      </w:r>
    </w:p>
    <w:p w14:paraId="143084E5" w14:textId="77777777" w:rsidR="008F4A58" w:rsidRPr="008F4A58" w:rsidRDefault="008F4A58" w:rsidP="008F4A58">
      <w:pPr>
        <w:spacing w:line="360" w:lineRule="auto"/>
        <w:ind w:firstLine="708"/>
        <w:jc w:val="both"/>
        <w:rPr>
          <w:rFonts w:ascii="Abadi" w:hAnsi="Abadi"/>
          <w:sz w:val="21"/>
          <w:szCs w:val="21"/>
        </w:rPr>
      </w:pPr>
    </w:p>
    <w:p w14:paraId="2466F107" w14:textId="77777777" w:rsidR="008F4A58" w:rsidRPr="008F4A58" w:rsidRDefault="008F4A58" w:rsidP="008F4A58">
      <w:pPr>
        <w:spacing w:line="360" w:lineRule="auto"/>
        <w:jc w:val="center"/>
        <w:rPr>
          <w:rFonts w:ascii="Abadi" w:hAnsi="Abadi"/>
          <w:sz w:val="21"/>
          <w:szCs w:val="21"/>
        </w:rPr>
      </w:pPr>
      <w:r w:rsidRPr="008F4A58">
        <w:rPr>
          <w:rFonts w:ascii="Abadi" w:hAnsi="Abadi"/>
          <w:noProof/>
          <w:sz w:val="21"/>
          <w:szCs w:val="21"/>
        </w:rPr>
        <w:drawing>
          <wp:inline distT="0" distB="0" distL="0" distR="0" wp14:anchorId="09A8E2E4" wp14:editId="32FF19EE">
            <wp:extent cx="2971602" cy="2497869"/>
            <wp:effectExtent l="0" t="0" r="63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9945" cy="2521694"/>
                    </a:xfrm>
                    <a:prstGeom prst="rect">
                      <a:avLst/>
                    </a:prstGeom>
                    <a:noFill/>
                    <a:ln>
                      <a:noFill/>
                    </a:ln>
                  </pic:spPr>
                </pic:pic>
              </a:graphicData>
            </a:graphic>
          </wp:inline>
        </w:drawing>
      </w:r>
    </w:p>
    <w:p w14:paraId="1C3956FD" w14:textId="77777777" w:rsidR="008F4A58" w:rsidRPr="008F4A58" w:rsidRDefault="008F4A58" w:rsidP="008F4A58">
      <w:pPr>
        <w:spacing w:line="360" w:lineRule="auto"/>
        <w:jc w:val="center"/>
        <w:rPr>
          <w:rFonts w:ascii="Abadi" w:hAnsi="Abadi"/>
          <w:sz w:val="21"/>
          <w:szCs w:val="21"/>
        </w:rPr>
      </w:pPr>
      <w:r w:rsidRPr="008F4A58">
        <w:rPr>
          <w:rFonts w:ascii="Abadi" w:hAnsi="Abadi"/>
          <w:sz w:val="21"/>
          <w:szCs w:val="21"/>
        </w:rPr>
        <w:t>Fuente: Elaboración propia con información de la Ley de Ingresos 2022 del Municipio.</w:t>
      </w:r>
    </w:p>
    <w:p w14:paraId="5ECAD949" w14:textId="77777777" w:rsidR="008F4A58" w:rsidRPr="008F4A58" w:rsidRDefault="008F4A58" w:rsidP="008F4A58">
      <w:pPr>
        <w:spacing w:line="360" w:lineRule="auto"/>
        <w:jc w:val="both"/>
        <w:rPr>
          <w:rFonts w:ascii="Abadi" w:hAnsi="Abadi"/>
          <w:b/>
          <w:sz w:val="21"/>
          <w:szCs w:val="21"/>
        </w:rPr>
      </w:pPr>
    </w:p>
    <w:p w14:paraId="26FEBA42" w14:textId="77777777" w:rsidR="008F4A58" w:rsidRPr="008F4A58" w:rsidRDefault="008F4A58" w:rsidP="008F4A58">
      <w:pPr>
        <w:spacing w:line="360" w:lineRule="auto"/>
        <w:ind w:firstLine="708"/>
        <w:jc w:val="both"/>
        <w:rPr>
          <w:rFonts w:ascii="Abadi" w:hAnsi="Abadi"/>
          <w:b/>
          <w:sz w:val="21"/>
          <w:szCs w:val="21"/>
        </w:rPr>
      </w:pPr>
      <w:r w:rsidRPr="008F4A58">
        <w:rPr>
          <w:rFonts w:ascii="Abadi" w:hAnsi="Abadi"/>
          <w:b/>
          <w:sz w:val="21"/>
          <w:szCs w:val="21"/>
        </w:rPr>
        <w:t xml:space="preserve">2.1.11. Resultado del análisis financiero </w:t>
      </w:r>
    </w:p>
    <w:p w14:paraId="153C4FAB" w14:textId="77777777" w:rsidR="008F4A58" w:rsidRPr="008F4A58" w:rsidRDefault="008F4A58" w:rsidP="008F4A58">
      <w:pPr>
        <w:spacing w:line="360" w:lineRule="auto"/>
        <w:ind w:firstLine="708"/>
        <w:jc w:val="both"/>
        <w:rPr>
          <w:rFonts w:ascii="Abadi" w:hAnsi="Abadi"/>
          <w:b/>
          <w:sz w:val="21"/>
          <w:szCs w:val="21"/>
        </w:rPr>
      </w:pPr>
    </w:p>
    <w:p w14:paraId="45C916DB"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 xml:space="preserve">Con la finalidad de identificar el impacto financiero y presupuestal de la solicitud de endeudamiento en las finanzas públicas del Municipio, se realizó un análisis financiero considerando los siguientes supuestos: </w:t>
      </w:r>
    </w:p>
    <w:p w14:paraId="4E7EB131" w14:textId="77777777" w:rsidR="008F4A58" w:rsidRPr="008F4A58" w:rsidRDefault="008F4A58" w:rsidP="008F4A58">
      <w:pPr>
        <w:spacing w:line="360" w:lineRule="auto"/>
        <w:jc w:val="both"/>
        <w:rPr>
          <w:rFonts w:ascii="Abadi" w:hAnsi="Abadi"/>
          <w:b/>
          <w:bCs/>
          <w:sz w:val="21"/>
          <w:szCs w:val="21"/>
        </w:rPr>
      </w:pPr>
    </w:p>
    <w:p w14:paraId="6D607246"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 xml:space="preserve">Monto: Hasta 15 millones de pesos; </w:t>
      </w:r>
    </w:p>
    <w:p w14:paraId="280CE097"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 xml:space="preserve">Plazo: 10 años a partir de la primera disposición; </w:t>
      </w:r>
    </w:p>
    <w:p w14:paraId="1110CFC2"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 xml:space="preserve">Tasa: TIIE de 28 días más 200 puntos base (pb); </w:t>
      </w:r>
    </w:p>
    <w:p w14:paraId="4CFF0338"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 xml:space="preserve">Sin comisiones; </w:t>
      </w:r>
    </w:p>
    <w:p w14:paraId="6E2B4898"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 xml:space="preserve">Sin fondos de reserva; </w:t>
      </w:r>
    </w:p>
    <w:p w14:paraId="0D8CD37A"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 xml:space="preserve">Sin periodos de gracia para capital ni intereses; </w:t>
      </w:r>
    </w:p>
    <w:p w14:paraId="6E99A44B"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Perfil de amortizaciones de capital: Amortizaciones mensuales iguales de capital;</w:t>
      </w:r>
    </w:p>
    <w:p w14:paraId="1740BB33"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 xml:space="preserve">Periodicidad de pago de los intereses: Mensual sobre saldos insolutos; </w:t>
      </w:r>
    </w:p>
    <w:p w14:paraId="295A4103"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 xml:space="preserve">Sin gastos adicionales; </w:t>
      </w:r>
    </w:p>
    <w:p w14:paraId="067CCD63"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 xml:space="preserve">Sin gastos adicionales contingentes; y </w:t>
      </w:r>
    </w:p>
    <w:p w14:paraId="7CDFF267"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lastRenderedPageBreak/>
        <w:t>Sin instrumentos derivados.</w:t>
      </w:r>
    </w:p>
    <w:p w14:paraId="36635666" w14:textId="77777777" w:rsidR="008F4A58" w:rsidRPr="008F4A58" w:rsidRDefault="008F4A58" w:rsidP="008F4A58">
      <w:pPr>
        <w:spacing w:line="360" w:lineRule="auto"/>
        <w:jc w:val="both"/>
        <w:rPr>
          <w:rFonts w:ascii="Abadi" w:hAnsi="Abadi"/>
          <w:sz w:val="21"/>
          <w:szCs w:val="21"/>
        </w:rPr>
      </w:pPr>
    </w:p>
    <w:p w14:paraId="1BF65FFF"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Para efectos del presente análisis, se proyecta hacer uso de la autorización en una sola disposición, para lo cual bajo estas circunstancias se realiza la siguiente corrida financiera para determinar el servicio de la deuda correspondiente del monto a autorizar. Es importante señalar que el objetivo de este ejercicio consiste en determinar de manera adicional una proyección distinta a la realizada por el Municipio, pero considerando un escenario que pudiera ser adverso a las condiciones económicas y financieras actuales.</w:t>
      </w:r>
    </w:p>
    <w:p w14:paraId="55CD846A" w14:textId="77777777" w:rsidR="008F4A58" w:rsidRPr="008F4A58" w:rsidRDefault="008F4A58" w:rsidP="008F4A58">
      <w:pPr>
        <w:spacing w:line="360" w:lineRule="auto"/>
        <w:jc w:val="center"/>
        <w:rPr>
          <w:rFonts w:ascii="Abadi" w:hAnsi="Abadi"/>
          <w:sz w:val="21"/>
          <w:szCs w:val="21"/>
        </w:rPr>
      </w:pPr>
      <w:r w:rsidRPr="008F4A58">
        <w:rPr>
          <w:rFonts w:ascii="Abadi" w:hAnsi="Abadi"/>
          <w:noProof/>
          <w:sz w:val="21"/>
          <w:szCs w:val="21"/>
        </w:rPr>
        <w:drawing>
          <wp:inline distT="0" distB="0" distL="0" distR="0" wp14:anchorId="5477E3A2" wp14:editId="620B3BCC">
            <wp:extent cx="2978301" cy="36290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1363" cy="3644940"/>
                    </a:xfrm>
                    <a:prstGeom prst="rect">
                      <a:avLst/>
                    </a:prstGeom>
                    <a:noFill/>
                    <a:ln>
                      <a:noFill/>
                    </a:ln>
                  </pic:spPr>
                </pic:pic>
              </a:graphicData>
            </a:graphic>
          </wp:inline>
        </w:drawing>
      </w:r>
    </w:p>
    <w:p w14:paraId="485DBAFD"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 xml:space="preserve">Con base en la determinación de los montos del servicio de la deuda y de los datos proyectados del ingreso y gasto hasta el ejercicio 2032, se presentan las siguientes proyecciones donde se refleja el efecto presupuestal de la disposición del crédito bajo las condiciones </w:t>
      </w:r>
      <w:r w:rsidRPr="008F4A58">
        <w:rPr>
          <w:rFonts w:ascii="Abadi" w:hAnsi="Abadi"/>
          <w:sz w:val="21"/>
          <w:szCs w:val="21"/>
        </w:rPr>
        <w:t>señaladas anteriormente en el plazo de vigencia del crédito:</w:t>
      </w:r>
    </w:p>
    <w:p w14:paraId="4EDB45A4" w14:textId="77777777" w:rsidR="008F4A58" w:rsidRPr="008F4A58" w:rsidRDefault="008F4A58" w:rsidP="008F4A58">
      <w:pPr>
        <w:spacing w:line="360" w:lineRule="auto"/>
        <w:jc w:val="both"/>
        <w:rPr>
          <w:rFonts w:ascii="Abadi" w:hAnsi="Abadi"/>
          <w:sz w:val="21"/>
          <w:szCs w:val="21"/>
        </w:rPr>
      </w:pPr>
      <w:r w:rsidRPr="008F4A58">
        <w:rPr>
          <w:rFonts w:ascii="Abadi" w:hAnsi="Abadi"/>
          <w:noProof/>
          <w:sz w:val="21"/>
          <w:szCs w:val="21"/>
        </w:rPr>
        <w:drawing>
          <wp:inline distT="0" distB="0" distL="0" distR="0" wp14:anchorId="2E6F3834" wp14:editId="1844E5FE">
            <wp:extent cx="3048525" cy="124383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78164" cy="1255925"/>
                    </a:xfrm>
                    <a:prstGeom prst="rect">
                      <a:avLst/>
                    </a:prstGeom>
                    <a:noFill/>
                    <a:ln>
                      <a:noFill/>
                    </a:ln>
                  </pic:spPr>
                </pic:pic>
              </a:graphicData>
            </a:graphic>
          </wp:inline>
        </w:drawing>
      </w:r>
    </w:p>
    <w:p w14:paraId="4D0B743A" w14:textId="77777777" w:rsidR="008F4A58" w:rsidRPr="008F4A58" w:rsidRDefault="008F4A58" w:rsidP="008F4A58">
      <w:pPr>
        <w:spacing w:line="360" w:lineRule="auto"/>
        <w:jc w:val="both"/>
        <w:rPr>
          <w:rFonts w:ascii="Abadi" w:hAnsi="Abadi"/>
          <w:sz w:val="21"/>
          <w:szCs w:val="21"/>
        </w:rPr>
      </w:pPr>
      <w:r w:rsidRPr="008F4A58">
        <w:rPr>
          <w:rFonts w:ascii="Abadi" w:hAnsi="Abadi"/>
          <w:noProof/>
          <w:sz w:val="21"/>
          <w:szCs w:val="21"/>
        </w:rPr>
        <w:drawing>
          <wp:inline distT="0" distB="0" distL="0" distR="0" wp14:anchorId="5A3E5407" wp14:editId="2525BAF2">
            <wp:extent cx="2799122" cy="1152525"/>
            <wp:effectExtent l="0" t="0" r="127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8699" cy="1177055"/>
                    </a:xfrm>
                    <a:prstGeom prst="rect">
                      <a:avLst/>
                    </a:prstGeom>
                    <a:noFill/>
                    <a:ln>
                      <a:noFill/>
                    </a:ln>
                  </pic:spPr>
                </pic:pic>
              </a:graphicData>
            </a:graphic>
          </wp:inline>
        </w:drawing>
      </w:r>
    </w:p>
    <w:p w14:paraId="4B76B222" w14:textId="77777777" w:rsidR="008F4A58" w:rsidRPr="008F4A58" w:rsidRDefault="008F4A58" w:rsidP="008F4A58">
      <w:pPr>
        <w:spacing w:line="360" w:lineRule="auto"/>
        <w:jc w:val="both"/>
        <w:rPr>
          <w:rFonts w:ascii="Abadi" w:hAnsi="Abadi"/>
          <w:sz w:val="21"/>
          <w:szCs w:val="21"/>
        </w:rPr>
      </w:pPr>
    </w:p>
    <w:p w14:paraId="239C8CC2" w14:textId="77777777"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Los saldos estimados de cierre para la deuda pública de los ejercicios 2022 al 2032 se representan de la siguiente manera, se puede apreciar que el saldo más alto es en el ejercicio 2022 por ser el año en donde se estima la contratación de la deuda para posteriormente iniciar con un descenso conforme se amorticen cada uno de los pagos:</w:t>
      </w:r>
    </w:p>
    <w:p w14:paraId="47D0B01D" w14:textId="77777777" w:rsidR="008F4A58" w:rsidRPr="008F4A58" w:rsidRDefault="008F4A58" w:rsidP="008F4A58">
      <w:pPr>
        <w:spacing w:line="360" w:lineRule="auto"/>
        <w:jc w:val="center"/>
        <w:rPr>
          <w:rFonts w:ascii="Abadi" w:hAnsi="Abadi"/>
          <w:sz w:val="21"/>
          <w:szCs w:val="21"/>
        </w:rPr>
      </w:pPr>
      <w:r w:rsidRPr="008F4A58">
        <w:rPr>
          <w:rFonts w:ascii="Abadi" w:hAnsi="Abadi"/>
          <w:noProof/>
          <w:sz w:val="21"/>
          <w:szCs w:val="21"/>
        </w:rPr>
        <w:drawing>
          <wp:inline distT="0" distB="0" distL="0" distR="0" wp14:anchorId="0DE35960" wp14:editId="2092D255">
            <wp:extent cx="2896821" cy="1737851"/>
            <wp:effectExtent l="0" t="0" r="0" b="0"/>
            <wp:docPr id="22" name="Imagen 2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 Gráfico de líneas&#10;&#10;Descripción generada automá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6904" cy="1749899"/>
                    </a:xfrm>
                    <a:prstGeom prst="rect">
                      <a:avLst/>
                    </a:prstGeom>
                    <a:noFill/>
                  </pic:spPr>
                </pic:pic>
              </a:graphicData>
            </a:graphic>
          </wp:inline>
        </w:drawing>
      </w:r>
    </w:p>
    <w:p w14:paraId="2C0126DF" w14:textId="77777777" w:rsidR="008F4A58" w:rsidRPr="008F4A58" w:rsidRDefault="008F4A58" w:rsidP="008F4A58">
      <w:pPr>
        <w:spacing w:line="360" w:lineRule="auto"/>
        <w:jc w:val="center"/>
        <w:rPr>
          <w:rFonts w:ascii="Abadi" w:hAnsi="Abadi"/>
          <w:sz w:val="21"/>
          <w:szCs w:val="21"/>
        </w:rPr>
      </w:pPr>
      <w:r w:rsidRPr="008F4A58">
        <w:rPr>
          <w:rFonts w:ascii="Abadi" w:hAnsi="Abadi"/>
          <w:sz w:val="21"/>
          <w:szCs w:val="21"/>
        </w:rPr>
        <w:t>Fuente: Elaboración propia</w:t>
      </w:r>
    </w:p>
    <w:p w14:paraId="433D06CA" w14:textId="77777777" w:rsidR="008F4A58" w:rsidRPr="008F4A58" w:rsidRDefault="008F4A58" w:rsidP="008F4A58">
      <w:pPr>
        <w:spacing w:line="360" w:lineRule="auto"/>
        <w:jc w:val="both"/>
        <w:rPr>
          <w:rFonts w:ascii="Abadi" w:hAnsi="Abadi"/>
          <w:sz w:val="21"/>
          <w:szCs w:val="21"/>
        </w:rPr>
      </w:pPr>
    </w:p>
    <w:p w14:paraId="173A3BB1" w14:textId="0EA73392" w:rsidR="008F4A58" w:rsidRDefault="008F4A58" w:rsidP="008F4A58">
      <w:pPr>
        <w:spacing w:line="360" w:lineRule="auto"/>
        <w:ind w:firstLine="708"/>
        <w:jc w:val="both"/>
        <w:rPr>
          <w:rFonts w:ascii="Abadi" w:hAnsi="Abadi"/>
          <w:sz w:val="21"/>
          <w:szCs w:val="21"/>
        </w:rPr>
      </w:pPr>
      <w:r w:rsidRPr="008F4A58">
        <w:rPr>
          <w:rFonts w:ascii="Abadi" w:hAnsi="Abadi"/>
          <w:sz w:val="21"/>
          <w:szCs w:val="21"/>
        </w:rPr>
        <w:t xml:space="preserve">En cuanto a los indicadores 1 y 2 del Sistema de Alertas y tomando en cuenta las proyecciones de ingresos de libre disposición de los ejercicios 2022 al 2032, podemos observar que el nivel de endeudamiento del municipio de </w:t>
      </w:r>
      <w:r w:rsidRPr="008F4A58">
        <w:rPr>
          <w:rFonts w:ascii="Abadi" w:hAnsi="Abadi"/>
          <w:sz w:val="21"/>
          <w:szCs w:val="21"/>
        </w:rPr>
        <w:lastRenderedPageBreak/>
        <w:t>Apaseo el Grande, Gto., continuará siendo sostenible.</w:t>
      </w:r>
    </w:p>
    <w:p w14:paraId="3F722D33" w14:textId="77777777" w:rsidR="009C7B87" w:rsidRPr="008F4A58" w:rsidRDefault="009C7B87" w:rsidP="008F4A58">
      <w:pPr>
        <w:spacing w:line="360" w:lineRule="auto"/>
        <w:ind w:firstLine="708"/>
        <w:jc w:val="both"/>
        <w:rPr>
          <w:rFonts w:ascii="Abadi" w:hAnsi="Abadi"/>
          <w:sz w:val="21"/>
          <w:szCs w:val="21"/>
        </w:rPr>
      </w:pPr>
    </w:p>
    <w:p w14:paraId="3010B3A4" w14:textId="77777777" w:rsidR="008F4A58" w:rsidRPr="008F4A58" w:rsidRDefault="008F4A58" w:rsidP="008F4A58">
      <w:pPr>
        <w:spacing w:line="360" w:lineRule="auto"/>
        <w:jc w:val="both"/>
        <w:rPr>
          <w:rFonts w:ascii="Abadi" w:hAnsi="Abadi"/>
          <w:sz w:val="21"/>
          <w:szCs w:val="21"/>
        </w:rPr>
      </w:pPr>
      <w:r w:rsidRPr="008F4A58">
        <w:rPr>
          <w:rFonts w:ascii="Abadi" w:hAnsi="Abadi"/>
          <w:noProof/>
          <w:sz w:val="21"/>
          <w:szCs w:val="21"/>
        </w:rPr>
        <w:drawing>
          <wp:inline distT="0" distB="0" distL="0" distR="0" wp14:anchorId="21796136" wp14:editId="49780E3B">
            <wp:extent cx="3068955" cy="567746"/>
            <wp:effectExtent l="0" t="0" r="0" b="381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66215" cy="585739"/>
                    </a:xfrm>
                    <a:prstGeom prst="rect">
                      <a:avLst/>
                    </a:prstGeom>
                    <a:noFill/>
                    <a:ln>
                      <a:noFill/>
                    </a:ln>
                  </pic:spPr>
                </pic:pic>
              </a:graphicData>
            </a:graphic>
          </wp:inline>
        </w:drawing>
      </w:r>
    </w:p>
    <w:p w14:paraId="0BC87937" w14:textId="77777777" w:rsidR="008F4A58" w:rsidRPr="008F4A58" w:rsidRDefault="008F4A58" w:rsidP="008F4A58">
      <w:pPr>
        <w:spacing w:line="360" w:lineRule="auto"/>
        <w:jc w:val="both"/>
        <w:rPr>
          <w:rFonts w:ascii="Abadi" w:hAnsi="Abadi"/>
          <w:sz w:val="21"/>
          <w:szCs w:val="21"/>
        </w:rPr>
      </w:pPr>
      <w:r w:rsidRPr="008F4A58">
        <w:rPr>
          <w:rFonts w:ascii="Abadi" w:hAnsi="Abadi"/>
          <w:noProof/>
          <w:sz w:val="21"/>
          <w:szCs w:val="21"/>
        </w:rPr>
        <w:drawing>
          <wp:inline distT="0" distB="0" distL="0" distR="0" wp14:anchorId="50C9176B" wp14:editId="702D2311">
            <wp:extent cx="3034328" cy="56134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64017" cy="585332"/>
                    </a:xfrm>
                    <a:prstGeom prst="rect">
                      <a:avLst/>
                    </a:prstGeom>
                    <a:noFill/>
                    <a:ln>
                      <a:noFill/>
                    </a:ln>
                  </pic:spPr>
                </pic:pic>
              </a:graphicData>
            </a:graphic>
          </wp:inline>
        </w:drawing>
      </w:r>
    </w:p>
    <w:p w14:paraId="3E03333E" w14:textId="77777777" w:rsidR="009C7B87" w:rsidRDefault="009C7B87" w:rsidP="008F4A58">
      <w:pPr>
        <w:spacing w:line="360" w:lineRule="auto"/>
        <w:ind w:firstLine="708"/>
        <w:jc w:val="both"/>
        <w:rPr>
          <w:rFonts w:ascii="Abadi" w:hAnsi="Abadi"/>
          <w:sz w:val="21"/>
          <w:szCs w:val="21"/>
        </w:rPr>
      </w:pPr>
    </w:p>
    <w:p w14:paraId="24DEF645" w14:textId="0B75B73C" w:rsidR="008F4A58" w:rsidRPr="008F4A58" w:rsidRDefault="008F4A58" w:rsidP="008F4A58">
      <w:pPr>
        <w:spacing w:line="360" w:lineRule="auto"/>
        <w:ind w:firstLine="708"/>
        <w:jc w:val="both"/>
        <w:rPr>
          <w:rFonts w:ascii="Abadi" w:hAnsi="Abadi"/>
          <w:sz w:val="21"/>
          <w:szCs w:val="21"/>
        </w:rPr>
      </w:pPr>
      <w:r w:rsidRPr="008F4A58">
        <w:rPr>
          <w:rFonts w:ascii="Abadi" w:hAnsi="Abadi"/>
          <w:sz w:val="21"/>
          <w:szCs w:val="21"/>
        </w:rPr>
        <w:t>Del análisis financiero realizado se determina que el municipio de Apaseo el Grande, Gto., mantendría niveles favorables acorde a indicadores en materia de deuda pública, reflejando la disciplina financiera, sostenibilidad y capacidad de pago de la deuda en el largo plazo.</w:t>
      </w:r>
    </w:p>
    <w:p w14:paraId="189A6CE4" w14:textId="15E0B737" w:rsid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Un fortalecimiento en la recaudación de ingresos propios, sumado a la aplicación de políticas de contención del gasto corriente le permitirían al municipio mejorar su flexibilidad financiera, con lo que se podrían destinar mayores recursos al gasto en inversión.</w:t>
      </w:r>
    </w:p>
    <w:p w14:paraId="68E169FB" w14:textId="77777777" w:rsidR="009C7B87" w:rsidRPr="008F4A58" w:rsidRDefault="009C7B87" w:rsidP="008F4A58">
      <w:pPr>
        <w:spacing w:line="360" w:lineRule="auto"/>
        <w:ind w:firstLine="708"/>
        <w:jc w:val="both"/>
        <w:rPr>
          <w:rFonts w:ascii="Abadi" w:hAnsi="Abadi"/>
          <w:sz w:val="21"/>
          <w:szCs w:val="21"/>
          <w:lang w:eastAsia="es-MX"/>
        </w:rPr>
      </w:pPr>
    </w:p>
    <w:p w14:paraId="775026AA" w14:textId="77777777" w:rsidR="008F4A58" w:rsidRPr="008F4A58" w:rsidRDefault="008F4A58" w:rsidP="008F4A58">
      <w:pPr>
        <w:spacing w:line="360" w:lineRule="auto"/>
        <w:jc w:val="both"/>
        <w:rPr>
          <w:rFonts w:ascii="Abadi" w:hAnsi="Abadi"/>
          <w:sz w:val="21"/>
          <w:szCs w:val="21"/>
          <w:lang w:eastAsia="es-MX"/>
        </w:rPr>
      </w:pPr>
      <w:r w:rsidRPr="008F4A58">
        <w:rPr>
          <w:rFonts w:ascii="Abadi" w:hAnsi="Abadi"/>
          <w:noProof/>
          <w:sz w:val="21"/>
          <w:szCs w:val="21"/>
        </w:rPr>
        <w:drawing>
          <wp:inline distT="0" distB="0" distL="0" distR="0" wp14:anchorId="4B160088" wp14:editId="40D065DD">
            <wp:extent cx="3316605" cy="83909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8596" cy="857310"/>
                    </a:xfrm>
                    <a:prstGeom prst="rect">
                      <a:avLst/>
                    </a:prstGeom>
                    <a:noFill/>
                    <a:ln>
                      <a:noFill/>
                    </a:ln>
                  </pic:spPr>
                </pic:pic>
              </a:graphicData>
            </a:graphic>
          </wp:inline>
        </w:drawing>
      </w:r>
    </w:p>
    <w:p w14:paraId="58E83EAB" w14:textId="77777777" w:rsidR="008F4A58" w:rsidRPr="008F4A58" w:rsidRDefault="008F4A58" w:rsidP="008F4A58">
      <w:pPr>
        <w:spacing w:line="360" w:lineRule="auto"/>
        <w:jc w:val="both"/>
        <w:rPr>
          <w:rFonts w:ascii="Abadi" w:hAnsi="Abadi"/>
          <w:sz w:val="21"/>
          <w:szCs w:val="21"/>
          <w:lang w:eastAsia="es-MX"/>
        </w:rPr>
      </w:pPr>
      <w:r w:rsidRPr="008F4A58">
        <w:rPr>
          <w:rFonts w:ascii="Abadi" w:hAnsi="Abadi"/>
          <w:noProof/>
          <w:sz w:val="21"/>
          <w:szCs w:val="21"/>
        </w:rPr>
        <w:drawing>
          <wp:inline distT="0" distB="0" distL="0" distR="0" wp14:anchorId="15E34090" wp14:editId="74801FC2">
            <wp:extent cx="3318399" cy="9398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6260" cy="953355"/>
                    </a:xfrm>
                    <a:prstGeom prst="rect">
                      <a:avLst/>
                    </a:prstGeom>
                    <a:noFill/>
                    <a:ln>
                      <a:noFill/>
                    </a:ln>
                  </pic:spPr>
                </pic:pic>
              </a:graphicData>
            </a:graphic>
          </wp:inline>
        </w:drawing>
      </w:r>
    </w:p>
    <w:p w14:paraId="60B90A26" w14:textId="77777777" w:rsidR="008F4A58" w:rsidRPr="008F4A58" w:rsidRDefault="008F4A58" w:rsidP="008F4A58">
      <w:pPr>
        <w:spacing w:line="360" w:lineRule="auto"/>
        <w:jc w:val="both"/>
        <w:rPr>
          <w:rFonts w:ascii="Abadi" w:hAnsi="Abadi"/>
          <w:sz w:val="21"/>
          <w:szCs w:val="21"/>
        </w:rPr>
      </w:pPr>
    </w:p>
    <w:p w14:paraId="35C74074" w14:textId="77777777" w:rsidR="008F4A58" w:rsidRPr="008F4A58" w:rsidRDefault="008F4A58" w:rsidP="008F4A58">
      <w:pPr>
        <w:ind w:firstLine="708"/>
        <w:rPr>
          <w:rFonts w:ascii="Abadi" w:hAnsi="Abadi" w:cs="Arial"/>
          <w:b/>
          <w:bCs/>
          <w:sz w:val="21"/>
          <w:szCs w:val="21"/>
        </w:rPr>
      </w:pPr>
      <w:r w:rsidRPr="008F4A58">
        <w:rPr>
          <w:rFonts w:ascii="Abadi" w:hAnsi="Abadi" w:cs="Arial"/>
          <w:b/>
          <w:bCs/>
          <w:sz w:val="21"/>
          <w:szCs w:val="21"/>
        </w:rPr>
        <w:t>3)  Perspectiva de Endeudamiento</w:t>
      </w:r>
    </w:p>
    <w:p w14:paraId="38006427" w14:textId="77777777" w:rsidR="008F4A58" w:rsidRPr="008F4A58" w:rsidRDefault="008F4A58" w:rsidP="008F4A58">
      <w:pPr>
        <w:ind w:firstLine="708"/>
        <w:rPr>
          <w:rFonts w:ascii="Abadi" w:hAnsi="Abadi" w:cs="Arial"/>
          <w:b/>
          <w:bCs/>
          <w:sz w:val="21"/>
          <w:szCs w:val="21"/>
        </w:rPr>
      </w:pPr>
    </w:p>
    <w:p w14:paraId="020F06FC"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sz w:val="21"/>
          <w:szCs w:val="21"/>
        </w:rPr>
        <w:t xml:space="preserve">De acuerdo a lo que establece el artículo 6 de la Ley de Deuda Pública para el Estado y los Municipios de Guanajuato, los ayuntamientos previa autorización del Congreso del Estado, </w:t>
      </w:r>
      <w:r w:rsidRPr="008F4A58">
        <w:rPr>
          <w:rFonts w:ascii="Abadi" w:hAnsi="Abadi" w:cs="Arial"/>
          <w:sz w:val="21"/>
          <w:szCs w:val="21"/>
        </w:rPr>
        <w:t>podrán contratar deuda pública en los términos de dicha ley y hasta los siguientes techos de financiamiento neto, de acuerdo a la clasificación del Sistema de Alertas: a) Bajo un endeudamiento sostenible, corresponderá un techo de financiamiento neto de hasta el equivalente al 15% de sus ingresos de libre disposición; b) Un endeudamiento en observación tendrá como techo de financiamiento neto el equivalente al 5% de sus Ingresos de libre disposición; y c) Un nivel de endeudamiento elevado tendrá un techo de financiamiento neto igual a cero.</w:t>
      </w:r>
    </w:p>
    <w:p w14:paraId="158BAAB8" w14:textId="77777777" w:rsidR="008F4A58" w:rsidRPr="008F4A58" w:rsidRDefault="008F4A58" w:rsidP="008F4A58">
      <w:pPr>
        <w:shd w:val="clear" w:color="auto" w:fill="FFFFFF"/>
        <w:ind w:firstLine="708"/>
        <w:jc w:val="both"/>
        <w:rPr>
          <w:rFonts w:ascii="Abadi" w:hAnsi="Abadi"/>
          <w:sz w:val="21"/>
          <w:szCs w:val="21"/>
        </w:rPr>
      </w:pPr>
    </w:p>
    <w:p w14:paraId="2A211F07" w14:textId="77777777" w:rsidR="008F4A58" w:rsidRPr="008F4A58" w:rsidRDefault="008F4A58" w:rsidP="008F4A58">
      <w:pPr>
        <w:shd w:val="clear" w:color="auto" w:fill="FFFFFF"/>
        <w:spacing w:line="360" w:lineRule="auto"/>
        <w:ind w:firstLine="708"/>
        <w:jc w:val="both"/>
        <w:rPr>
          <w:rFonts w:ascii="Abadi" w:hAnsi="Abadi" w:cs="Arial"/>
          <w:sz w:val="21"/>
          <w:szCs w:val="21"/>
        </w:rPr>
      </w:pPr>
      <w:r w:rsidRPr="008F4A58">
        <w:rPr>
          <w:rFonts w:ascii="Abadi" w:hAnsi="Abadi" w:cs="Arial"/>
          <w:sz w:val="21"/>
          <w:szCs w:val="21"/>
        </w:rPr>
        <w:t>Es así que cuando se incurra en un balance presupuestario de recursos disponible negativo, conforme a lo previsto en el artículo 7 de la Ley de Disciplina Financiera de las Entidades Federativas y los Municipios, se autorizará financiamiento neto adicional al techo de financiamiento neto contemplado en el referido artículo 6, hasta por el monto de financiamiento neto necesario para solventar las causas que generaron el balance presupuestario de recursos disponible negativo.</w:t>
      </w:r>
    </w:p>
    <w:p w14:paraId="53B01347" w14:textId="77777777" w:rsidR="008F4A58" w:rsidRPr="008F4A58" w:rsidRDefault="008F4A58" w:rsidP="008F4A58">
      <w:pPr>
        <w:tabs>
          <w:tab w:val="left" w:pos="720"/>
        </w:tabs>
        <w:spacing w:line="360" w:lineRule="auto"/>
        <w:jc w:val="both"/>
        <w:rPr>
          <w:rFonts w:ascii="Abadi" w:hAnsi="Abadi" w:cs="Arial"/>
          <w:sz w:val="21"/>
          <w:szCs w:val="21"/>
        </w:rPr>
      </w:pPr>
    </w:p>
    <w:p w14:paraId="24E06C6D" w14:textId="77777777" w:rsidR="008F4A58" w:rsidRPr="008F4A58" w:rsidRDefault="008F4A58" w:rsidP="008F4A58">
      <w:pPr>
        <w:spacing w:line="360" w:lineRule="auto"/>
        <w:jc w:val="both"/>
        <w:rPr>
          <w:rFonts w:ascii="Abadi" w:hAnsi="Abadi" w:cs="Arial"/>
          <w:sz w:val="21"/>
          <w:szCs w:val="21"/>
        </w:rPr>
      </w:pPr>
      <w:r w:rsidRPr="008F4A58">
        <w:rPr>
          <w:rFonts w:ascii="Abadi" w:hAnsi="Abadi" w:cs="Arial"/>
          <w:sz w:val="21"/>
          <w:szCs w:val="21"/>
        </w:rPr>
        <w:tab/>
        <w:t xml:space="preserve">En el presente caso y considerando lo que prevé el artículo 6 de la Ley de Deuda Pública para el Estado y los Municipios de Guanajuato y </w:t>
      </w:r>
      <w:r w:rsidRPr="008F4A58">
        <w:rPr>
          <w:rFonts w:ascii="Abadi" w:hAnsi="Abadi" w:cs="Arial"/>
          <w:iCs/>
          <w:sz w:val="21"/>
          <w:szCs w:val="21"/>
        </w:rPr>
        <w:t>50 de la Ley de Coordinación Fiscal</w:t>
      </w:r>
      <w:r w:rsidRPr="008F4A58">
        <w:rPr>
          <w:rFonts w:ascii="Abadi" w:hAnsi="Abadi" w:cs="Arial"/>
          <w:sz w:val="21"/>
          <w:szCs w:val="21"/>
        </w:rPr>
        <w:t>, resulta viable la contratación de los financiamientos por parte del ayuntamiento Apaseo el Grande, Gto.</w:t>
      </w:r>
    </w:p>
    <w:p w14:paraId="50AC5F13" w14:textId="77777777" w:rsidR="008F4A58" w:rsidRPr="008F4A58" w:rsidRDefault="008F4A58" w:rsidP="008F4A58">
      <w:pPr>
        <w:spacing w:line="360" w:lineRule="auto"/>
        <w:ind w:firstLine="709"/>
        <w:jc w:val="both"/>
        <w:rPr>
          <w:rFonts w:ascii="Abadi" w:hAnsi="Abadi" w:cs="Arial"/>
          <w:sz w:val="21"/>
          <w:szCs w:val="21"/>
        </w:rPr>
      </w:pPr>
    </w:p>
    <w:p w14:paraId="7FC82EB2" w14:textId="77777777" w:rsidR="008F4A58" w:rsidRPr="008F4A58" w:rsidRDefault="008F4A58" w:rsidP="008F4A58">
      <w:pPr>
        <w:spacing w:line="360" w:lineRule="auto"/>
        <w:ind w:firstLine="709"/>
        <w:jc w:val="both"/>
        <w:rPr>
          <w:rFonts w:ascii="Abadi" w:hAnsi="Abadi" w:cs="Arial"/>
          <w:sz w:val="21"/>
          <w:szCs w:val="21"/>
        </w:rPr>
      </w:pPr>
      <w:r w:rsidRPr="008F4A58">
        <w:rPr>
          <w:rFonts w:ascii="Abadi" w:hAnsi="Abadi" w:cs="Arial"/>
          <w:sz w:val="21"/>
          <w:szCs w:val="21"/>
        </w:rPr>
        <w:t xml:space="preserve">Asimismo, es recomendable que el Municipio documente su estrategia de fortalecimiento a la hacienda pública, soportada por lineamientos orientados a incrementar los ingresos de libre disposición y a reducir el gasto </w:t>
      </w:r>
      <w:r w:rsidRPr="008F4A58">
        <w:rPr>
          <w:rFonts w:ascii="Abadi" w:hAnsi="Abadi" w:cs="Arial"/>
          <w:sz w:val="21"/>
          <w:szCs w:val="21"/>
        </w:rPr>
        <w:lastRenderedPageBreak/>
        <w:t>de operación mediante políticas de austeridad y racionalidad.</w:t>
      </w:r>
    </w:p>
    <w:p w14:paraId="3DB457DA" w14:textId="77777777" w:rsidR="008F4A58" w:rsidRPr="008F4A58" w:rsidRDefault="008F4A58" w:rsidP="008F4A58">
      <w:pPr>
        <w:spacing w:line="360" w:lineRule="auto"/>
        <w:ind w:firstLine="708"/>
        <w:jc w:val="both"/>
        <w:rPr>
          <w:rFonts w:ascii="Abadi" w:hAnsi="Abadi" w:cs="Arial"/>
          <w:sz w:val="21"/>
          <w:szCs w:val="21"/>
        </w:rPr>
      </w:pPr>
    </w:p>
    <w:p w14:paraId="4A9B2355" w14:textId="77777777" w:rsidR="008F4A58" w:rsidRPr="008F4A58" w:rsidRDefault="008F4A58" w:rsidP="008F4A58">
      <w:pPr>
        <w:ind w:firstLine="708"/>
        <w:rPr>
          <w:rFonts w:ascii="Abadi" w:hAnsi="Abadi" w:cs="Arial"/>
          <w:b/>
          <w:bCs/>
          <w:sz w:val="21"/>
          <w:szCs w:val="21"/>
        </w:rPr>
      </w:pPr>
      <w:r w:rsidRPr="008F4A58">
        <w:rPr>
          <w:rFonts w:ascii="Abadi" w:hAnsi="Abadi" w:cs="Arial"/>
          <w:b/>
          <w:bCs/>
          <w:sz w:val="21"/>
          <w:szCs w:val="21"/>
        </w:rPr>
        <w:t>IV. Consideraciones de la Comisión</w:t>
      </w:r>
    </w:p>
    <w:p w14:paraId="3CA74540" w14:textId="77777777" w:rsidR="008F4A58" w:rsidRPr="008F4A58" w:rsidRDefault="008F4A58" w:rsidP="008F4A58">
      <w:pPr>
        <w:jc w:val="both"/>
        <w:rPr>
          <w:rFonts w:ascii="Abadi" w:hAnsi="Abadi" w:cs="Arial"/>
          <w:b/>
          <w:sz w:val="21"/>
          <w:szCs w:val="21"/>
        </w:rPr>
      </w:pPr>
    </w:p>
    <w:p w14:paraId="78188C20" w14:textId="77777777" w:rsidR="008F4A58" w:rsidRPr="008F4A58" w:rsidRDefault="008F4A58" w:rsidP="008F4A58">
      <w:pPr>
        <w:ind w:firstLine="708"/>
        <w:jc w:val="both"/>
        <w:rPr>
          <w:rFonts w:ascii="Abadi" w:hAnsi="Abadi" w:cs="Arial"/>
          <w:b/>
          <w:bCs/>
          <w:sz w:val="21"/>
          <w:szCs w:val="21"/>
        </w:rPr>
      </w:pPr>
      <w:r w:rsidRPr="008F4A58">
        <w:rPr>
          <w:rFonts w:ascii="Abadi" w:hAnsi="Abadi" w:cs="Arial"/>
          <w:b/>
          <w:bCs/>
          <w:sz w:val="21"/>
          <w:szCs w:val="21"/>
        </w:rPr>
        <w:t>1)   Aspectos Generales</w:t>
      </w:r>
    </w:p>
    <w:p w14:paraId="60C4ACB2" w14:textId="77777777" w:rsidR="008F4A58" w:rsidRPr="008F4A58" w:rsidRDefault="008F4A58" w:rsidP="008F4A58">
      <w:pPr>
        <w:jc w:val="both"/>
        <w:rPr>
          <w:rFonts w:ascii="Abadi" w:hAnsi="Abadi" w:cs="Arial"/>
          <w:bCs/>
          <w:sz w:val="21"/>
          <w:szCs w:val="21"/>
        </w:rPr>
      </w:pPr>
    </w:p>
    <w:p w14:paraId="74221947"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sz w:val="21"/>
          <w:szCs w:val="21"/>
        </w:rPr>
        <w:t>Resulta evidente que los mecanismos ordinarios para la obtención de recursos, en algunas ocasiones, se ven superados por el acelerado crecimiento del gasto público, lo que genera que se busquen esquemas de financiamiento alterno para hacer frente a las funciones y a la prestación de los servicios públicos que los municipios están obligados a prestar.</w:t>
      </w:r>
    </w:p>
    <w:p w14:paraId="5B30B938" w14:textId="77777777" w:rsidR="008F4A58" w:rsidRPr="008F4A58" w:rsidRDefault="008F4A58" w:rsidP="008F4A58">
      <w:pPr>
        <w:ind w:firstLine="708"/>
        <w:jc w:val="both"/>
        <w:rPr>
          <w:rFonts w:ascii="Abadi" w:hAnsi="Abadi" w:cs="Arial"/>
          <w:sz w:val="21"/>
          <w:szCs w:val="21"/>
        </w:rPr>
      </w:pPr>
    </w:p>
    <w:p w14:paraId="773E8011"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sz w:val="21"/>
          <w:szCs w:val="21"/>
        </w:rPr>
        <w:t>Un mecanismo extraordinario y excepcional para afrontar el gasto público es la deuda pública, misma que a pesar de considerarse como una fuente adicional de ingresos, no se traduce únicamente en incremento patrimonial, sino que tiene la dualidad de constituirse en pasivo para la administración pública; un pasivo que mal administrado puede producir más afectaciones que beneficios respecto de la prestación de servicios públicos y el ejercicio de la función pública.</w:t>
      </w:r>
    </w:p>
    <w:p w14:paraId="33C40D81" w14:textId="77777777" w:rsidR="008F4A58" w:rsidRPr="008F4A58" w:rsidRDefault="008F4A58" w:rsidP="008F4A58">
      <w:pPr>
        <w:jc w:val="both"/>
        <w:rPr>
          <w:rFonts w:ascii="Abadi" w:hAnsi="Abadi" w:cs="Arial"/>
          <w:sz w:val="21"/>
          <w:szCs w:val="21"/>
        </w:rPr>
      </w:pPr>
    </w:p>
    <w:p w14:paraId="0346D520"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sz w:val="21"/>
          <w:szCs w:val="21"/>
        </w:rPr>
        <w:t>Por esta razón, el Congreso del Estado debe ser cuidadoso de que la deuda, en principio, se constituya como la opción última de financiamiento, una vez que los mecanismos ordinarios han sido explorados y aun así resulten insuficientes para atender demandas prioritarias y urgentes en el Municipio.</w:t>
      </w:r>
    </w:p>
    <w:p w14:paraId="4F6AD622" w14:textId="77777777" w:rsidR="008F4A58" w:rsidRPr="008F4A58" w:rsidRDefault="008F4A58" w:rsidP="008F4A58">
      <w:pPr>
        <w:jc w:val="both"/>
        <w:rPr>
          <w:rFonts w:ascii="Abadi" w:hAnsi="Abadi" w:cs="Arial"/>
          <w:bCs/>
          <w:sz w:val="21"/>
          <w:szCs w:val="21"/>
        </w:rPr>
      </w:pPr>
    </w:p>
    <w:p w14:paraId="50A5C852"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sz w:val="21"/>
          <w:szCs w:val="21"/>
        </w:rPr>
        <w:t xml:space="preserve">Es decir, el Poder Legislativo debe coadyuvar al fortalecimiento de las haciendas </w:t>
      </w:r>
      <w:r w:rsidRPr="008F4A58">
        <w:rPr>
          <w:rFonts w:ascii="Abadi" w:hAnsi="Abadi" w:cs="Arial"/>
          <w:sz w:val="21"/>
          <w:szCs w:val="21"/>
        </w:rPr>
        <w:t>públicas, a través de instrumentos legales que eficienticen los recursos y los mecanismos de recaudación, racionalicen el gasto y se genere una disciplina presupuestal, como medios ordinarios de financiación, y sólo en última instancia autorizar deuda pública.</w:t>
      </w:r>
    </w:p>
    <w:p w14:paraId="0302C6D6"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p>
    <w:p w14:paraId="1C92B971"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r w:rsidRPr="008F4A58">
        <w:rPr>
          <w:rFonts w:ascii="Abadi" w:hAnsi="Abadi" w:cs="Arial"/>
          <w:sz w:val="21"/>
          <w:szCs w:val="21"/>
        </w:rPr>
        <w:t>Pero, insistimos, una vez que esos mecanismos ordinarios de financiamiento encuentran sus límites y se decide acudir al endeudamiento, se hace necesario asumir con responsabilidad el manejo de los empréstitos, por lo que el Congreso del Estado debe procurar que se garantice la continuidad en la prestación de los servicios públicos y el ejercicio pleno de la función pública por las futuras administraciones, sin que el servicio de la deuda se constituya en un impedimento para ello.</w:t>
      </w:r>
    </w:p>
    <w:p w14:paraId="43E0D249"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p>
    <w:p w14:paraId="22F007C6" w14:textId="77777777" w:rsidR="008F4A58" w:rsidRPr="008F4A58" w:rsidRDefault="008F4A58" w:rsidP="008F4A58">
      <w:pPr>
        <w:ind w:firstLine="708"/>
        <w:jc w:val="both"/>
        <w:rPr>
          <w:rFonts w:ascii="Abadi" w:hAnsi="Abadi" w:cs="Arial"/>
          <w:b/>
          <w:bCs/>
          <w:sz w:val="21"/>
          <w:szCs w:val="21"/>
        </w:rPr>
      </w:pPr>
      <w:r w:rsidRPr="008F4A58">
        <w:rPr>
          <w:rFonts w:ascii="Abadi" w:hAnsi="Abadi" w:cs="Arial"/>
          <w:b/>
          <w:bCs/>
          <w:sz w:val="21"/>
          <w:szCs w:val="21"/>
        </w:rPr>
        <w:t>2) Valoración del Expediente</w:t>
      </w:r>
    </w:p>
    <w:p w14:paraId="6D66F4D1" w14:textId="77777777" w:rsidR="008F4A58" w:rsidRPr="008F4A58" w:rsidRDefault="008F4A58" w:rsidP="008F4A58">
      <w:pPr>
        <w:autoSpaceDE w:val="0"/>
        <w:autoSpaceDN w:val="0"/>
        <w:adjustRightInd w:val="0"/>
        <w:ind w:firstLine="708"/>
        <w:jc w:val="both"/>
        <w:rPr>
          <w:rFonts w:ascii="Abadi" w:hAnsi="Abadi" w:cs="Arial"/>
          <w:sz w:val="21"/>
          <w:szCs w:val="21"/>
        </w:rPr>
      </w:pPr>
    </w:p>
    <w:p w14:paraId="21CAF77B"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r w:rsidRPr="008F4A58">
        <w:rPr>
          <w:rFonts w:ascii="Abadi" w:hAnsi="Abadi" w:cs="Arial"/>
          <w:sz w:val="21"/>
          <w:szCs w:val="21"/>
        </w:rPr>
        <w:t>Partiendo del esquema anterior, y previa valoración de la documentación e información proporcionada, el ayuntamiento de Apaseo el Grande, Gto., cumple con los requisitos constitucionales y legales en la materia.</w:t>
      </w:r>
    </w:p>
    <w:p w14:paraId="0284DF69"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p>
    <w:p w14:paraId="3E7B7BB0"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r w:rsidRPr="008F4A58">
        <w:rPr>
          <w:rFonts w:ascii="Abadi" w:hAnsi="Abadi" w:cs="Arial"/>
          <w:sz w:val="21"/>
          <w:szCs w:val="21"/>
        </w:rPr>
        <w:t xml:space="preserve">De conformidad con el análisis financiero realizado, se acredita la capacidad financiera del Municipio, sin perjuicio de la continuidad de la prestación de los servicios públicos y el ejercicio de las funciones públicas. </w:t>
      </w:r>
    </w:p>
    <w:p w14:paraId="2244DFCA"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p>
    <w:p w14:paraId="474A127D"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r w:rsidRPr="008F4A58">
        <w:rPr>
          <w:rFonts w:ascii="Abadi" w:hAnsi="Abadi" w:cs="Arial"/>
          <w:sz w:val="21"/>
          <w:szCs w:val="21"/>
        </w:rPr>
        <w:t>Cabe señalar que los 13 proyectos a desarrollar con los recursos de los financiamientos que se solicitan encuadran en el concepto de inversión pública productiva.</w:t>
      </w:r>
    </w:p>
    <w:p w14:paraId="7FB41189"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p>
    <w:p w14:paraId="3A11A397" w14:textId="77777777" w:rsidR="008F4A58" w:rsidRPr="008F4A58" w:rsidRDefault="008F4A58" w:rsidP="008F4A58">
      <w:pPr>
        <w:autoSpaceDE w:val="0"/>
        <w:autoSpaceDN w:val="0"/>
        <w:adjustRightInd w:val="0"/>
        <w:spacing w:line="360" w:lineRule="auto"/>
        <w:ind w:firstLine="708"/>
        <w:jc w:val="both"/>
        <w:rPr>
          <w:rFonts w:ascii="Abadi" w:hAnsi="Abadi"/>
          <w:b/>
          <w:sz w:val="21"/>
          <w:szCs w:val="21"/>
          <w:lang w:val="es-MX"/>
        </w:rPr>
      </w:pPr>
      <w:r w:rsidRPr="008F4A58">
        <w:rPr>
          <w:rFonts w:ascii="Abadi" w:hAnsi="Abadi" w:cs="Arial"/>
          <w:sz w:val="21"/>
          <w:szCs w:val="21"/>
        </w:rPr>
        <w:lastRenderedPageBreak/>
        <w:t>Al respecto, los artículos 2, fracción XXV de la Ley de Disciplina Financiera de las Entidades Federativas y los Municipios; y 2, fracción XVI de la Ley de Deuda Pública para el Estado y los Municipios de Guanajuato, definen el concepto de inversión pública productiva como «</w:t>
      </w:r>
      <w:r w:rsidRPr="008F4A58">
        <w:rPr>
          <w:rFonts w:ascii="Abadi" w:hAnsi="Abadi" w:cs="Arial"/>
          <w:i/>
          <w:iCs/>
          <w:sz w:val="21"/>
          <w:szCs w:val="21"/>
        </w:rPr>
        <w:t>toda erogación por la cual se genere, directa o indirectamente, un beneficio social, y adicionalmente, cuya finalidad específica sea: (i) la construcción, mejoramiento, rehabilitación y/o reposición de bienes de dominio público; (ii) la adquisición de bienes asociados al equipamiento de dichos bienes de dominio público, comprendidos de manera limitativa en los conceptos de mobiliario y equipo de administración, mobiliario y equipo educacional, equipo médico e instrumental médico y de laboratorio, equipo de defensa y seguridad, y maquinaria, de acuerdo al clasificador por objeto de gasto emitido por el Consejo Nacional de Armonización Contable, o (iii) la adquisición de bienes para la prestación de un servicio público específico, comprendidos de manera limitativa en los conceptos de vehículos de transporte público, terrenos y edificios no</w:t>
      </w:r>
      <w:r w:rsidRPr="008F4A58">
        <w:rPr>
          <w:rFonts w:ascii="Abadi" w:hAnsi="Abadi"/>
          <w:i/>
          <w:iCs/>
          <w:sz w:val="21"/>
          <w:szCs w:val="21"/>
          <w:lang w:val="es-MX"/>
        </w:rPr>
        <w:t xml:space="preserve"> residenciales, de acuerdo al clasificador por objeto de gasto emitido por el Consejo Nacional de Armonización Contable.»</w:t>
      </w:r>
    </w:p>
    <w:p w14:paraId="51BDA435"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p>
    <w:p w14:paraId="7351629D"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r w:rsidRPr="008F4A58">
        <w:rPr>
          <w:rFonts w:ascii="Abadi" w:hAnsi="Abadi" w:cs="Arial"/>
          <w:sz w:val="21"/>
          <w:szCs w:val="21"/>
        </w:rPr>
        <w:t xml:space="preserve">De acuerdo a lo anterior, los proyectos que se pretenden desarrollar con los recursos que se obtengan de los financiamientos encuadran en el concepto de inversión pública productiva, considerando que, se encuentran vinculados de manera directa a las funciones y servicios públicos, que como obligación tiene a cargo el Ayuntamiento. De lo anterior, podemos desprender que, los proyectos provocarán </w:t>
      </w:r>
      <w:r w:rsidRPr="008F4A58">
        <w:rPr>
          <w:rFonts w:ascii="Abadi" w:hAnsi="Abadi" w:cs="Arial"/>
          <w:sz w:val="21"/>
          <w:szCs w:val="21"/>
        </w:rPr>
        <w:t>directamente un beneficio social. Lo anterior, se justifica con la documentación y soporte técnico que el ayuntamiento de Apaseo el Grande, Gto., acompañó a la iniciativa materia del presente dictamen, misma que fue analizada y revisada con el objeto de identificar las características y alcances de los proyectos.</w:t>
      </w:r>
    </w:p>
    <w:p w14:paraId="14410751" w14:textId="77777777" w:rsidR="008F4A58" w:rsidRPr="008F4A58" w:rsidRDefault="008F4A58" w:rsidP="008F4A58">
      <w:pPr>
        <w:autoSpaceDE w:val="0"/>
        <w:autoSpaceDN w:val="0"/>
        <w:adjustRightInd w:val="0"/>
        <w:spacing w:line="360" w:lineRule="auto"/>
        <w:jc w:val="both"/>
        <w:rPr>
          <w:rFonts w:ascii="Abadi" w:hAnsi="Abadi" w:cs="Arial"/>
          <w:sz w:val="21"/>
          <w:szCs w:val="21"/>
        </w:rPr>
      </w:pPr>
    </w:p>
    <w:p w14:paraId="1DC25FA8"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r w:rsidRPr="008F4A58">
        <w:rPr>
          <w:rFonts w:ascii="Abadi" w:hAnsi="Abadi" w:cs="Arial"/>
          <w:sz w:val="21"/>
          <w:szCs w:val="21"/>
        </w:rPr>
        <w:t>Como se había apuntado en el apartado correspondiente, el artículo 76, fracciones III, incisos a y b y IV, inciso a de la Ley Orgánica Municipal para el Estado de Guanajuato el Ayuntamiento está obligado a la prestación de los servicios públicos a los habitantes del Municipio, instrumentando mecanismos para ampliar la cobertura y mejorar su prestación, dentro de los que encontramos calles, transporte público urbano y suburbano en ruta fija, parques, jardines, áreas ecológicas y recreativas y su equipamiento, drenaje y panteones, razón por la cual el fin primordial de los proyectos que se pretenden desarrollar es la prestación de servicios públicos a cargo del Municipio.</w:t>
      </w:r>
    </w:p>
    <w:p w14:paraId="44DC7078"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p>
    <w:p w14:paraId="57D38D86"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r w:rsidRPr="008F4A58">
        <w:rPr>
          <w:rFonts w:ascii="Abadi" w:hAnsi="Abadi" w:cs="Arial"/>
          <w:sz w:val="21"/>
          <w:szCs w:val="21"/>
        </w:rPr>
        <w:t>La documentación integrada a la iniciativa permite identificar con claridad cuáles son las condiciones de contratación y sobre las que debe construir el modelo financiero para determinar el comportamiento de la deuda y, por otra parte, los puntos sobre los que deberá versar en consecuencia, la autorización que otorgue este Congreso del Estado.</w:t>
      </w:r>
    </w:p>
    <w:p w14:paraId="69E93707"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p>
    <w:p w14:paraId="32F0F038"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r w:rsidRPr="008F4A58">
        <w:rPr>
          <w:rFonts w:ascii="Abadi" w:hAnsi="Abadi" w:cs="Arial"/>
          <w:sz w:val="21"/>
          <w:szCs w:val="21"/>
        </w:rPr>
        <w:t xml:space="preserve">Asimismo, el acuerdo del Ayuntamiento respecto a las condiciones propuestas para la contratación de los financiamientos puede ser atendido con las condiciones financieras que </w:t>
      </w:r>
      <w:r w:rsidRPr="008F4A58">
        <w:rPr>
          <w:rFonts w:ascii="Abadi" w:hAnsi="Abadi" w:cs="Arial"/>
          <w:sz w:val="21"/>
          <w:szCs w:val="21"/>
        </w:rPr>
        <w:lastRenderedPageBreak/>
        <w:t>actualmente prevalecen en el Municipio, existiendo capacidad para realizar la contratación en los términos propuestos, sin afectar su capacidad de pago.</w:t>
      </w:r>
    </w:p>
    <w:p w14:paraId="603C64AA"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p>
    <w:p w14:paraId="07EEC32D"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 xml:space="preserve">Es así que, del análisis realizado a la capacidad de pago, se </w:t>
      </w:r>
      <w:r w:rsidRPr="008F4A58">
        <w:rPr>
          <w:rFonts w:ascii="Abadi" w:hAnsi="Abadi" w:cs="Arial"/>
          <w:sz w:val="21"/>
          <w:szCs w:val="21"/>
        </w:rPr>
        <w:t>considera viable otorgar la autorización de endeudamiento al ayuntamiento de Apaseo el Grande, Gto., hasta por la cantidad de $15’000,000.00 (quince millones de pesos 00/100 M.N), que tendrá como destino el financiamiento de 13 proyectos de inversión pública productiva, monto que se encuentra dentro del techo de financiamiento aplicable para el presente ejercicio; lo anterior como resultado del nivel de endeudamiento sostenible del sistema de alertas. Dicha autorización no deberá exceder de un plazo de 10 años contados a partir de la primera disposición y deberá contratarse bajo las mejores condiciones de mercado como fecha máxima el 31 de diciembre de 2023.</w:t>
      </w:r>
    </w:p>
    <w:p w14:paraId="6DC23AA9" w14:textId="77777777" w:rsidR="008F4A58" w:rsidRPr="008F4A58" w:rsidRDefault="008F4A58" w:rsidP="008F4A58">
      <w:pPr>
        <w:spacing w:line="360" w:lineRule="auto"/>
        <w:ind w:firstLine="708"/>
        <w:jc w:val="both"/>
        <w:rPr>
          <w:rFonts w:ascii="Abadi" w:hAnsi="Abadi"/>
          <w:sz w:val="21"/>
          <w:szCs w:val="21"/>
          <w:lang w:eastAsia="es-MX"/>
        </w:rPr>
      </w:pPr>
    </w:p>
    <w:p w14:paraId="4F5150C4"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Por otra parte, los datos financieros del municipio de Apaseo el Grande, Gto., presentados en la iniciativa materia del presente dictamen demuestran que la contratación de los financiamientos no afecta la sostenibilidad de las finanzas públicas en el largo plazo, en razón de que la capacidad financiera se encuentra apegada a la normatividad en materia de disciplina financiera vigente.</w:t>
      </w:r>
    </w:p>
    <w:p w14:paraId="7D945447" w14:textId="77777777" w:rsidR="008F4A58" w:rsidRPr="008F4A58" w:rsidRDefault="008F4A58" w:rsidP="008F4A58">
      <w:pPr>
        <w:ind w:left="708"/>
        <w:rPr>
          <w:rFonts w:ascii="Abadi" w:hAnsi="Abadi"/>
          <w:sz w:val="21"/>
          <w:szCs w:val="21"/>
        </w:rPr>
      </w:pPr>
    </w:p>
    <w:p w14:paraId="3E722945"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 xml:space="preserve">En razón de que la contratación de los financiamientos deberá hacerse bajo las mejores </w:t>
      </w:r>
      <w:r w:rsidRPr="008F4A58">
        <w:rPr>
          <w:rFonts w:ascii="Abadi" w:hAnsi="Abadi"/>
          <w:sz w:val="21"/>
          <w:szCs w:val="21"/>
          <w:lang w:eastAsia="es-MX"/>
        </w:rPr>
        <w:t xml:space="preserve">condiciones de mercado, es conveniente que el ayuntamiento de Apaseo el Grande, Gto., solicite el apoyo a la Secretaría de Finanzas, Inversión y Administración a fin de que les permita utilizar el mecanismo de subasta electrónica inversa para que pueda contratar con las mejores condiciones de mercado, cumpliendo con lo establecido en los artículos 25 de la Ley de Disciplina Financiera de las Entidades Federativas y los Municipios, 25 fracción I, inciso e, del Reglamento del Registro Público Único de Financiamientos y Obligaciones de Entidades Federativas y Municipios, así como lo señalado en la </w:t>
      </w:r>
      <w:r w:rsidRPr="008F4A58">
        <w:rPr>
          <w:rFonts w:ascii="Abadi" w:hAnsi="Abadi"/>
          <w:iCs/>
          <w:sz w:val="21"/>
          <w:szCs w:val="21"/>
          <w:lang w:eastAsia="es-MX"/>
        </w:rPr>
        <w:t>Sección II de los Lineamientos de la Metodología para el Cálculo del Menor Costo Financiero y de los Procesos Competitivos de los Financiamientos y Obligaciones a contratar por parte de las Entidades Federativas, los Municipios y sus Entes Públicos</w:t>
      </w:r>
      <w:r w:rsidRPr="008F4A58">
        <w:rPr>
          <w:rFonts w:ascii="Abadi" w:hAnsi="Abadi"/>
          <w:iCs/>
          <w:sz w:val="21"/>
          <w:szCs w:val="21"/>
          <w:vertAlign w:val="superscript"/>
          <w:lang w:eastAsia="es-MX"/>
        </w:rPr>
        <w:footnoteReference w:id="98"/>
      </w:r>
      <w:r w:rsidRPr="008F4A58">
        <w:rPr>
          <w:rFonts w:ascii="Abadi" w:hAnsi="Abadi"/>
          <w:iCs/>
          <w:sz w:val="21"/>
          <w:szCs w:val="21"/>
          <w:lang w:eastAsia="es-MX"/>
        </w:rPr>
        <w:t>, publicados en el Diario Oficial de la Federación el 25 de octubre de 2016.</w:t>
      </w:r>
    </w:p>
    <w:p w14:paraId="3CA6111C" w14:textId="77777777" w:rsidR="008F4A58" w:rsidRPr="008F4A58" w:rsidRDefault="008F4A58" w:rsidP="008F4A58">
      <w:pPr>
        <w:ind w:left="708"/>
        <w:rPr>
          <w:rFonts w:ascii="Abadi" w:hAnsi="Abadi"/>
          <w:sz w:val="21"/>
          <w:szCs w:val="21"/>
          <w:lang w:eastAsia="es-MX"/>
        </w:rPr>
      </w:pPr>
    </w:p>
    <w:p w14:paraId="49EB3F3B" w14:textId="77777777" w:rsidR="008F4A58" w:rsidRPr="008F4A58" w:rsidRDefault="008F4A58" w:rsidP="008F4A58">
      <w:pPr>
        <w:spacing w:line="360" w:lineRule="auto"/>
        <w:ind w:firstLine="708"/>
        <w:jc w:val="both"/>
        <w:rPr>
          <w:rFonts w:ascii="Abadi" w:hAnsi="Abadi"/>
          <w:sz w:val="21"/>
          <w:szCs w:val="21"/>
          <w:lang w:eastAsia="es-MX"/>
        </w:rPr>
      </w:pPr>
      <w:r w:rsidRPr="008F4A58">
        <w:rPr>
          <w:rFonts w:ascii="Abadi" w:hAnsi="Abadi"/>
          <w:sz w:val="21"/>
          <w:szCs w:val="21"/>
          <w:lang w:eastAsia="es-MX"/>
        </w:rPr>
        <w:t xml:space="preserve">Respecto a los compromisos de pago para el plazo que se propone, estos deberán estar amparados en el fortalecimiento de los ingresos fiscales del Municipio, debiendo realizar esfuerzos para incrementar y diversificar sus ingresos que permitan un crecimiento sostenible incluso por arriba de las estimaciones analizadas previamente; asimismo, deberá buscar que su gasto operativo se mantenga bajo un esquema que garantice la eficiencia y eficacia en el uso y destino de los recursos públicos y sus resultados, para que a través de un programa basado en la responsabilidad y uso eficiente de los recursos </w:t>
      </w:r>
      <w:r w:rsidRPr="008F4A58">
        <w:rPr>
          <w:rFonts w:ascii="Abadi" w:hAnsi="Abadi"/>
          <w:sz w:val="21"/>
          <w:szCs w:val="21"/>
          <w:lang w:eastAsia="es-MX"/>
        </w:rPr>
        <w:lastRenderedPageBreak/>
        <w:t>públicos, la administración municipal de Apaseo el Grande, Gto., pueda cumplir las disposiciones de disciplina financiera y presupuestal que establece la Ley de Disciplina Financiera de las Entidades Federativas y los Municipios.</w:t>
      </w:r>
    </w:p>
    <w:p w14:paraId="60E58F07" w14:textId="77777777" w:rsidR="008F4A58" w:rsidRPr="008F4A58" w:rsidRDefault="008F4A58" w:rsidP="008F4A58">
      <w:pPr>
        <w:spacing w:line="360" w:lineRule="auto"/>
        <w:ind w:firstLine="708"/>
        <w:jc w:val="both"/>
        <w:rPr>
          <w:rFonts w:ascii="Abadi" w:hAnsi="Abadi"/>
          <w:sz w:val="21"/>
          <w:szCs w:val="21"/>
          <w:lang w:eastAsia="es-MX"/>
        </w:rPr>
      </w:pPr>
    </w:p>
    <w:p w14:paraId="61ACDC27" w14:textId="77777777" w:rsidR="008F4A58" w:rsidRPr="008F4A58" w:rsidRDefault="008F4A58" w:rsidP="008F4A58">
      <w:pPr>
        <w:autoSpaceDE w:val="0"/>
        <w:autoSpaceDN w:val="0"/>
        <w:adjustRightInd w:val="0"/>
        <w:spacing w:line="360" w:lineRule="auto"/>
        <w:ind w:firstLine="708"/>
        <w:jc w:val="both"/>
        <w:rPr>
          <w:rFonts w:ascii="Abadi" w:hAnsi="Abadi" w:cs="Arial"/>
          <w:sz w:val="21"/>
          <w:szCs w:val="21"/>
        </w:rPr>
      </w:pPr>
      <w:r w:rsidRPr="008F4A58">
        <w:rPr>
          <w:rFonts w:ascii="Abadi" w:hAnsi="Abadi" w:cs="Arial"/>
          <w:sz w:val="21"/>
          <w:szCs w:val="21"/>
        </w:rPr>
        <w:t>En razón de lo anteriormente señalado, quienes integramos esta Comisión determinamos procedente autorizar el endeudamiento que se solicita, considerando que la finalidad del mismo será para cumplir de manera eficiente con las funciones y servicios que tiene a su cargo el Municipio, generando con ello un beneficio social para la población. Asimismo, con fundamento en el artículo 12, fracción V de la Ley de Deuda Pública para el Estado y los Municipios de Guanajuato, se autoriza la afectación de las participaciones que en ingresos federales le correspondan al municipio de Apaseo el Grande, Gto., en garantía primaria del cumplimiento de las obligaciones derivadas del endeudamiento a contraer, estableciendo el mecanismo legal que sea conveniente para ello.</w:t>
      </w:r>
    </w:p>
    <w:p w14:paraId="3F86B17D" w14:textId="77777777" w:rsidR="008F4A58" w:rsidRPr="008F4A58" w:rsidRDefault="008F4A58" w:rsidP="008F4A58">
      <w:pPr>
        <w:autoSpaceDE w:val="0"/>
        <w:autoSpaceDN w:val="0"/>
        <w:adjustRightInd w:val="0"/>
        <w:jc w:val="both"/>
        <w:rPr>
          <w:rFonts w:ascii="Abadi" w:hAnsi="Abadi" w:cs="Arial"/>
          <w:sz w:val="21"/>
          <w:szCs w:val="21"/>
        </w:rPr>
      </w:pPr>
    </w:p>
    <w:p w14:paraId="2D53E2C6" w14:textId="77777777" w:rsidR="008F4A58" w:rsidRPr="008F4A58" w:rsidRDefault="008F4A58" w:rsidP="008F4A58">
      <w:pPr>
        <w:autoSpaceDE w:val="0"/>
        <w:autoSpaceDN w:val="0"/>
        <w:adjustRightInd w:val="0"/>
        <w:spacing w:line="360" w:lineRule="auto"/>
        <w:jc w:val="both"/>
        <w:rPr>
          <w:rFonts w:ascii="Abadi" w:hAnsi="Abadi" w:cs="Arial"/>
          <w:sz w:val="21"/>
          <w:szCs w:val="21"/>
        </w:rPr>
      </w:pPr>
      <w:r w:rsidRPr="008F4A58">
        <w:rPr>
          <w:rFonts w:ascii="Abadi" w:hAnsi="Abadi" w:cs="Arial"/>
          <w:sz w:val="21"/>
          <w:szCs w:val="21"/>
        </w:rPr>
        <w:tab/>
        <w:t>Es preciso señalar que de acuerdo a lo establecido por el artículo 4 de la Ley de Deuda Pública para el Estado y los Municipios de Guanajuato, el ayuntamiento de Apaseo el Grande, Gto., deberá destinar los recursos de los financiamientos, exclusivamente para los fines establecidos en el presente dictamen, quedando impedido para financiar el gasto corriente de la administración municipal.</w:t>
      </w:r>
    </w:p>
    <w:p w14:paraId="062FA205" w14:textId="77777777" w:rsidR="008F4A58" w:rsidRPr="008F4A58" w:rsidRDefault="008F4A58" w:rsidP="008F4A58">
      <w:pPr>
        <w:autoSpaceDE w:val="0"/>
        <w:autoSpaceDN w:val="0"/>
        <w:adjustRightInd w:val="0"/>
        <w:spacing w:line="360" w:lineRule="auto"/>
        <w:jc w:val="both"/>
        <w:rPr>
          <w:rFonts w:ascii="Abadi" w:hAnsi="Abadi" w:cs="Arial"/>
          <w:sz w:val="21"/>
          <w:szCs w:val="21"/>
        </w:rPr>
      </w:pPr>
    </w:p>
    <w:p w14:paraId="707A1E78" w14:textId="2406D9F4" w:rsidR="008F4A58" w:rsidRPr="008F4A58" w:rsidRDefault="008F4A58" w:rsidP="009C7B87">
      <w:pPr>
        <w:autoSpaceDE w:val="0"/>
        <w:autoSpaceDN w:val="0"/>
        <w:adjustRightInd w:val="0"/>
        <w:spacing w:line="360" w:lineRule="auto"/>
        <w:jc w:val="both"/>
        <w:rPr>
          <w:rFonts w:ascii="Abadi" w:hAnsi="Abadi" w:cs="Arial"/>
          <w:sz w:val="21"/>
          <w:szCs w:val="21"/>
        </w:rPr>
      </w:pPr>
      <w:r w:rsidRPr="008F4A58">
        <w:rPr>
          <w:rFonts w:ascii="Abadi" w:hAnsi="Abadi" w:cs="Arial"/>
          <w:sz w:val="21"/>
          <w:szCs w:val="21"/>
        </w:rPr>
        <w:tab/>
        <w:t xml:space="preserve">Finalmente, es de destacar que la vinculación a los Objetivos del Desarrollo Sostenible de la Agenda 2030 está presente en el dictamen puesto a su consideración, pues el </w:t>
      </w:r>
      <w:r w:rsidRPr="008F4A58">
        <w:rPr>
          <w:rFonts w:ascii="Abadi" w:hAnsi="Abadi" w:cs="Arial"/>
          <w:sz w:val="21"/>
          <w:szCs w:val="21"/>
        </w:rPr>
        <w:t>mismo incide en el Objetivo 6 denominado</w:t>
      </w:r>
      <w:r w:rsidRPr="008F4A58">
        <w:rPr>
          <w:rFonts w:ascii="Abadi" w:hAnsi="Abadi" w:cs="Arial"/>
          <w:b/>
          <w:sz w:val="21"/>
          <w:szCs w:val="21"/>
          <w:lang w:val="es-MX"/>
        </w:rPr>
        <w:t xml:space="preserve"> </w:t>
      </w:r>
      <w:r w:rsidRPr="008F4A58">
        <w:rPr>
          <w:rFonts w:ascii="Abadi" w:hAnsi="Abadi" w:cs="Arial"/>
          <w:sz w:val="21"/>
          <w:szCs w:val="21"/>
        </w:rPr>
        <w:t>Agua Limpia y Saneamiento, respecto a las metas 6.2 y 6.3; en el Objetivo 11 denominado Ciudades y Comunidades Sostenibles respecto a las metas 11.2, 11.3 y 11.7; así como en el Objetivo 16 denominado</w:t>
      </w:r>
      <w:r w:rsidRPr="008F4A58">
        <w:rPr>
          <w:rFonts w:ascii="Abadi" w:hAnsi="Abadi" w:cs="Arial"/>
          <w:b/>
          <w:sz w:val="21"/>
          <w:szCs w:val="21"/>
          <w:lang w:val="es-MX"/>
        </w:rPr>
        <w:t xml:space="preserve"> </w:t>
      </w:r>
      <w:r w:rsidRPr="008F4A58">
        <w:rPr>
          <w:rFonts w:ascii="Abadi" w:hAnsi="Abadi" w:cs="Arial"/>
          <w:bCs/>
          <w:sz w:val="21"/>
          <w:szCs w:val="21"/>
          <w:lang w:val="es-MX"/>
        </w:rPr>
        <w:t>Paz, Justicia e Instituciones Sólidas, en sus metas 16.6 y 16.7.</w:t>
      </w:r>
    </w:p>
    <w:p w14:paraId="17EFCB9F" w14:textId="77777777" w:rsidR="008F4A58" w:rsidRPr="008F4A58" w:rsidRDefault="008F4A58" w:rsidP="008F4A58">
      <w:pPr>
        <w:ind w:firstLine="708"/>
        <w:jc w:val="both"/>
        <w:rPr>
          <w:rFonts w:ascii="Abadi" w:hAnsi="Abadi" w:cs="Arial"/>
          <w:sz w:val="21"/>
          <w:szCs w:val="21"/>
        </w:rPr>
      </w:pPr>
    </w:p>
    <w:p w14:paraId="65634722" w14:textId="788260A3" w:rsidR="008F4A58" w:rsidRDefault="008F4A58" w:rsidP="008F4A58">
      <w:pPr>
        <w:spacing w:line="360" w:lineRule="auto"/>
        <w:ind w:firstLine="708"/>
        <w:jc w:val="both"/>
        <w:rPr>
          <w:rFonts w:ascii="Abadi" w:hAnsi="Abadi" w:cs="Arial"/>
          <w:sz w:val="21"/>
          <w:szCs w:val="21"/>
        </w:rPr>
      </w:pPr>
      <w:r w:rsidRPr="008F4A58">
        <w:rPr>
          <w:rFonts w:ascii="Abadi" w:hAnsi="Abadi" w:cs="Arial"/>
          <w:sz w:val="21"/>
          <w:szCs w:val="21"/>
        </w:rPr>
        <w:t xml:space="preserve">Por lo expuesto y con fundamento en los artículos </w:t>
      </w:r>
      <w:r w:rsidRPr="008F4A58">
        <w:rPr>
          <w:rFonts w:ascii="Abadi" w:hAnsi="Abadi"/>
          <w:sz w:val="21"/>
          <w:szCs w:val="21"/>
        </w:rPr>
        <w:t>117, fracción VIII de la Constitución Política de los Estados Unidos Mexicanos, 23 y 24 de la Ley de Disciplina Financiera de las Entidades Federativas y los Municipios; 63, fracción XIV de la Constitución Política para el Estado de Guanajuato; 11, fracción I, 12, fracciones III y V, 16, 18 y 27 de la Ley de Deuda Pública para el Estado y los Municipios de Guanajuato</w:t>
      </w:r>
      <w:r w:rsidRPr="008F4A58">
        <w:rPr>
          <w:rFonts w:ascii="Abadi" w:hAnsi="Abadi" w:cs="Arial"/>
          <w:sz w:val="21"/>
          <w:szCs w:val="21"/>
        </w:rPr>
        <w:t xml:space="preserve"> y 204 de la Ley Orgánica del Poder Legislativo del Estado, sometemos a la consideración de la Asamblea, la aprobación del siguiente:</w:t>
      </w:r>
    </w:p>
    <w:p w14:paraId="3CC244CD" w14:textId="77777777" w:rsidR="008F4A58" w:rsidRPr="008F4A58" w:rsidRDefault="008F4A58" w:rsidP="008F4A58">
      <w:pPr>
        <w:spacing w:line="360" w:lineRule="auto"/>
        <w:ind w:firstLine="708"/>
        <w:jc w:val="both"/>
        <w:rPr>
          <w:rFonts w:ascii="Abadi" w:hAnsi="Abadi" w:cs="Arial"/>
          <w:sz w:val="21"/>
          <w:szCs w:val="21"/>
        </w:rPr>
      </w:pPr>
    </w:p>
    <w:p w14:paraId="2CACE248" w14:textId="77777777" w:rsidR="008F4A58" w:rsidRPr="008F4A58" w:rsidRDefault="008F4A58" w:rsidP="008F4A58">
      <w:pPr>
        <w:keepNext/>
        <w:jc w:val="center"/>
        <w:outlineLvl w:val="2"/>
        <w:rPr>
          <w:rFonts w:ascii="Abadi" w:hAnsi="Abadi" w:cs="Arial"/>
          <w:b/>
          <w:bCs/>
          <w:sz w:val="21"/>
          <w:szCs w:val="21"/>
        </w:rPr>
      </w:pPr>
      <w:r w:rsidRPr="008F4A58">
        <w:rPr>
          <w:rFonts w:ascii="Abadi" w:hAnsi="Abadi" w:cs="Arial"/>
          <w:b/>
          <w:bCs/>
          <w:sz w:val="21"/>
          <w:szCs w:val="21"/>
        </w:rPr>
        <w:t xml:space="preserve">D E C R E T O </w:t>
      </w:r>
    </w:p>
    <w:p w14:paraId="7F71B274" w14:textId="77777777" w:rsidR="008F4A58" w:rsidRPr="008F4A58" w:rsidRDefault="008F4A58" w:rsidP="008F4A58">
      <w:pPr>
        <w:rPr>
          <w:rFonts w:ascii="Abadi" w:hAnsi="Abadi" w:cs="Arial"/>
          <w:sz w:val="21"/>
          <w:szCs w:val="21"/>
        </w:rPr>
      </w:pPr>
    </w:p>
    <w:p w14:paraId="47D80539" w14:textId="77777777" w:rsidR="008F4A58" w:rsidRPr="008F4A58" w:rsidRDefault="008F4A58" w:rsidP="008F4A58">
      <w:pPr>
        <w:tabs>
          <w:tab w:val="left" w:pos="1276"/>
        </w:tabs>
        <w:jc w:val="right"/>
        <w:rPr>
          <w:rFonts w:ascii="Abadi" w:hAnsi="Abadi" w:cs="Arial"/>
          <w:b/>
          <w:i/>
          <w:sz w:val="21"/>
          <w:szCs w:val="21"/>
          <w:lang w:eastAsia="en-US"/>
        </w:rPr>
      </w:pPr>
    </w:p>
    <w:p w14:paraId="454D49ED" w14:textId="77777777" w:rsidR="008F4A58" w:rsidRPr="008F4A58" w:rsidRDefault="008F4A58" w:rsidP="008F4A58">
      <w:pPr>
        <w:tabs>
          <w:tab w:val="left" w:pos="1276"/>
        </w:tabs>
        <w:jc w:val="right"/>
        <w:rPr>
          <w:rFonts w:ascii="Abadi" w:hAnsi="Abadi" w:cs="Arial"/>
          <w:b/>
          <w:i/>
          <w:sz w:val="21"/>
          <w:szCs w:val="21"/>
          <w:lang w:eastAsia="en-US"/>
        </w:rPr>
      </w:pPr>
      <w:r w:rsidRPr="008F4A58">
        <w:rPr>
          <w:rFonts w:ascii="Abadi" w:hAnsi="Abadi" w:cs="Arial"/>
          <w:b/>
          <w:i/>
          <w:sz w:val="21"/>
          <w:szCs w:val="21"/>
          <w:lang w:eastAsia="en-US"/>
        </w:rPr>
        <w:t>Autorización y monto de los financiamientos</w:t>
      </w:r>
    </w:p>
    <w:p w14:paraId="4119EA5B" w14:textId="77777777" w:rsidR="008F4A58" w:rsidRPr="008F4A58" w:rsidRDefault="008F4A58" w:rsidP="008F4A58">
      <w:pPr>
        <w:spacing w:line="360" w:lineRule="auto"/>
        <w:jc w:val="both"/>
        <w:rPr>
          <w:rFonts w:ascii="Abadi" w:hAnsi="Abadi" w:cs="Arial"/>
          <w:sz w:val="21"/>
          <w:szCs w:val="21"/>
        </w:rPr>
      </w:pPr>
      <w:r w:rsidRPr="008F4A58">
        <w:rPr>
          <w:rFonts w:ascii="Abadi" w:hAnsi="Abadi" w:cs="Arial"/>
          <w:sz w:val="21"/>
          <w:szCs w:val="21"/>
        </w:rPr>
        <w:t xml:space="preserve"> </w:t>
      </w:r>
      <w:r w:rsidRPr="008F4A58">
        <w:rPr>
          <w:rFonts w:ascii="Abadi" w:hAnsi="Abadi" w:cs="Arial"/>
          <w:sz w:val="21"/>
          <w:szCs w:val="21"/>
        </w:rPr>
        <w:tab/>
      </w:r>
      <w:r w:rsidRPr="008F4A58">
        <w:rPr>
          <w:rFonts w:ascii="Abadi" w:hAnsi="Abadi" w:cs="Arial"/>
          <w:b/>
          <w:bCs/>
          <w:sz w:val="21"/>
          <w:szCs w:val="21"/>
        </w:rPr>
        <w:t xml:space="preserve">Artículo Primero. </w:t>
      </w:r>
      <w:r w:rsidRPr="008F4A58">
        <w:rPr>
          <w:rFonts w:ascii="Abadi" w:hAnsi="Abadi"/>
          <w:sz w:val="21"/>
          <w:szCs w:val="21"/>
        </w:rPr>
        <w:t xml:space="preserve">Previo análisis del destino y capacidad de pago, se autoriza al ayuntamiento del municipio de </w:t>
      </w:r>
      <w:r w:rsidRPr="008F4A58">
        <w:rPr>
          <w:rFonts w:ascii="Abadi" w:hAnsi="Abadi" w:cs="Arial"/>
          <w:sz w:val="21"/>
          <w:szCs w:val="21"/>
        </w:rPr>
        <w:t>Apaseo el Grande</w:t>
      </w:r>
      <w:r w:rsidRPr="008F4A58">
        <w:rPr>
          <w:rFonts w:ascii="Abadi" w:hAnsi="Abadi"/>
          <w:sz w:val="21"/>
          <w:szCs w:val="21"/>
        </w:rPr>
        <w:t>, Gto., para que contrate con instituciones nacionales de banca múltiple o de desarrollo, uno o varios financiamientos hasta por la cantidad de $15’000,000.00 (quince millones de pesos 00/100 m.n.), pagaderos en moneda y territorio nacionales, mediante procesos competitivos; asimismo, para que pacte las condiciones y modalidades que resulten más convenientes</w:t>
      </w:r>
      <w:r w:rsidRPr="008F4A58">
        <w:rPr>
          <w:rFonts w:ascii="Abadi" w:hAnsi="Abadi" w:cs="Arial"/>
          <w:sz w:val="21"/>
          <w:szCs w:val="21"/>
        </w:rPr>
        <w:t>.</w:t>
      </w:r>
    </w:p>
    <w:p w14:paraId="1A40760F" w14:textId="77777777" w:rsidR="008F4A58" w:rsidRPr="008F4A58" w:rsidRDefault="008F4A58" w:rsidP="008F4A58">
      <w:pPr>
        <w:tabs>
          <w:tab w:val="left" w:pos="1276"/>
        </w:tabs>
        <w:jc w:val="right"/>
        <w:rPr>
          <w:rFonts w:ascii="Abadi" w:hAnsi="Abadi" w:cs="Arial"/>
          <w:b/>
          <w:i/>
          <w:sz w:val="21"/>
          <w:szCs w:val="21"/>
          <w:lang w:eastAsia="en-US"/>
        </w:rPr>
      </w:pPr>
    </w:p>
    <w:p w14:paraId="35FDDE7D" w14:textId="77777777" w:rsidR="008F4A58" w:rsidRPr="008F4A58" w:rsidRDefault="008F4A58" w:rsidP="008F4A58">
      <w:pPr>
        <w:tabs>
          <w:tab w:val="left" w:pos="1276"/>
        </w:tabs>
        <w:jc w:val="right"/>
        <w:rPr>
          <w:rFonts w:ascii="Abadi" w:hAnsi="Abadi" w:cs="Arial"/>
          <w:b/>
          <w:i/>
          <w:sz w:val="21"/>
          <w:szCs w:val="21"/>
          <w:lang w:eastAsia="en-US"/>
        </w:rPr>
      </w:pPr>
    </w:p>
    <w:p w14:paraId="674D2E5C" w14:textId="77777777" w:rsidR="008F4A58" w:rsidRPr="008F4A58" w:rsidRDefault="008F4A58" w:rsidP="008F4A58">
      <w:pPr>
        <w:tabs>
          <w:tab w:val="left" w:pos="1276"/>
        </w:tabs>
        <w:jc w:val="right"/>
        <w:rPr>
          <w:rFonts w:ascii="Abadi" w:hAnsi="Abadi" w:cs="Arial"/>
          <w:b/>
          <w:i/>
          <w:sz w:val="21"/>
          <w:szCs w:val="21"/>
          <w:lang w:eastAsia="en-US"/>
        </w:rPr>
      </w:pPr>
      <w:r w:rsidRPr="008F4A58">
        <w:rPr>
          <w:rFonts w:ascii="Abadi" w:hAnsi="Abadi" w:cs="Arial"/>
          <w:b/>
          <w:i/>
          <w:sz w:val="21"/>
          <w:szCs w:val="21"/>
          <w:lang w:eastAsia="en-US"/>
        </w:rPr>
        <w:t>Destino de los financiamientos</w:t>
      </w:r>
    </w:p>
    <w:p w14:paraId="16F86E2B" w14:textId="77777777" w:rsidR="008F4A58" w:rsidRPr="008F4A58" w:rsidRDefault="008F4A58" w:rsidP="008F4A58">
      <w:pPr>
        <w:spacing w:line="360" w:lineRule="auto"/>
        <w:ind w:firstLine="705"/>
        <w:jc w:val="both"/>
        <w:rPr>
          <w:rFonts w:ascii="Abadi" w:hAnsi="Abadi" w:cs="Arial"/>
          <w:sz w:val="21"/>
          <w:szCs w:val="21"/>
        </w:rPr>
      </w:pPr>
      <w:r w:rsidRPr="008F4A58">
        <w:rPr>
          <w:rFonts w:ascii="Abadi" w:hAnsi="Abadi" w:cs="Arial"/>
          <w:b/>
          <w:bCs/>
          <w:sz w:val="21"/>
          <w:szCs w:val="21"/>
        </w:rPr>
        <w:lastRenderedPageBreak/>
        <w:t xml:space="preserve">Artículo Segundo. </w:t>
      </w:r>
      <w:r w:rsidRPr="008F4A58">
        <w:rPr>
          <w:rFonts w:ascii="Abadi" w:hAnsi="Abadi" w:cs="Arial"/>
          <w:sz w:val="21"/>
          <w:szCs w:val="21"/>
        </w:rPr>
        <w:t>Los recursos monetarios que se obtengan de los financiamientos a que se refiere el artículo primero del presente decreto se destinarán precisa y exclusivamente a los siguientes proyectos de inversión pública productiva</w:t>
      </w:r>
      <w:r w:rsidRPr="008F4A58">
        <w:rPr>
          <w:rFonts w:ascii="Abadi" w:hAnsi="Abadi"/>
          <w:sz w:val="21"/>
          <w:szCs w:val="21"/>
        </w:rPr>
        <w:t xml:space="preserve"> y conforme a los montos que se refieren a continuación</w:t>
      </w:r>
      <w:r w:rsidRPr="008F4A58">
        <w:rPr>
          <w:rFonts w:ascii="Abadi" w:hAnsi="Abadi" w:cs="Arial"/>
          <w:sz w:val="21"/>
          <w:szCs w:val="21"/>
        </w:rPr>
        <w:t>:</w:t>
      </w:r>
    </w:p>
    <w:p w14:paraId="53A72CEE" w14:textId="77777777" w:rsidR="008F4A58" w:rsidRPr="008F4A58" w:rsidRDefault="008F4A58" w:rsidP="008F4A58">
      <w:pPr>
        <w:spacing w:line="360" w:lineRule="auto"/>
        <w:ind w:firstLine="705"/>
        <w:jc w:val="both"/>
        <w:rPr>
          <w:rFonts w:ascii="Abadi" w:hAnsi="Abadi" w:cs="Arial"/>
          <w:b/>
          <w:bCs/>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50"/>
        <w:gridCol w:w="1934"/>
      </w:tblGrid>
      <w:tr w:rsidR="008F4A58" w:rsidRPr="008F4A58" w14:paraId="1829DB59" w14:textId="77777777" w:rsidTr="007245B4">
        <w:trPr>
          <w:trHeight w:val="604"/>
          <w:jc w:val="center"/>
        </w:trPr>
        <w:tc>
          <w:tcPr>
            <w:tcW w:w="5707" w:type="dxa"/>
            <w:vAlign w:val="center"/>
          </w:tcPr>
          <w:p w14:paraId="4F7380F9" w14:textId="77777777" w:rsidR="008F4A58" w:rsidRPr="008F4A58" w:rsidRDefault="008F4A58" w:rsidP="008F4A58">
            <w:pPr>
              <w:jc w:val="center"/>
              <w:rPr>
                <w:rFonts w:ascii="Abadi" w:hAnsi="Abadi" w:cs="Arial"/>
                <w:b/>
                <w:bCs/>
                <w:sz w:val="21"/>
                <w:szCs w:val="21"/>
              </w:rPr>
            </w:pPr>
            <w:r w:rsidRPr="008F4A58">
              <w:rPr>
                <w:rFonts w:ascii="Abadi" w:hAnsi="Abadi" w:cs="Arial"/>
                <w:b/>
                <w:bCs/>
                <w:sz w:val="21"/>
                <w:szCs w:val="21"/>
              </w:rPr>
              <w:t>Proyectos</w:t>
            </w:r>
          </w:p>
        </w:tc>
        <w:tc>
          <w:tcPr>
            <w:tcW w:w="3077" w:type="dxa"/>
            <w:vAlign w:val="center"/>
          </w:tcPr>
          <w:p w14:paraId="1D27BA7C" w14:textId="77777777" w:rsidR="008F4A58" w:rsidRPr="008F4A58" w:rsidRDefault="008F4A58" w:rsidP="008F4A58">
            <w:pPr>
              <w:jc w:val="center"/>
              <w:rPr>
                <w:rFonts w:ascii="Abadi" w:hAnsi="Abadi" w:cs="Arial"/>
                <w:b/>
                <w:bCs/>
                <w:sz w:val="21"/>
                <w:szCs w:val="21"/>
              </w:rPr>
            </w:pPr>
            <w:r w:rsidRPr="008F4A58">
              <w:rPr>
                <w:rFonts w:ascii="Abadi" w:hAnsi="Abadi" w:cs="Arial"/>
                <w:b/>
                <w:bCs/>
                <w:sz w:val="21"/>
                <w:szCs w:val="21"/>
              </w:rPr>
              <w:t>Montos</w:t>
            </w:r>
          </w:p>
        </w:tc>
      </w:tr>
      <w:tr w:rsidR="008F4A58" w:rsidRPr="008F4A58" w14:paraId="327AE28E" w14:textId="77777777" w:rsidTr="007245B4">
        <w:trPr>
          <w:jc w:val="center"/>
        </w:trPr>
        <w:tc>
          <w:tcPr>
            <w:tcW w:w="5707" w:type="dxa"/>
            <w:vAlign w:val="center"/>
          </w:tcPr>
          <w:p w14:paraId="18D0B6EF" w14:textId="77777777" w:rsidR="008F4A58" w:rsidRPr="008F4A58" w:rsidRDefault="008F4A58" w:rsidP="00B81728">
            <w:pPr>
              <w:numPr>
                <w:ilvl w:val="0"/>
                <w:numId w:val="33"/>
              </w:numPr>
              <w:ind w:left="678" w:hanging="567"/>
              <w:jc w:val="both"/>
              <w:rPr>
                <w:rFonts w:ascii="Abadi" w:hAnsi="Abadi" w:cs="Arial"/>
                <w:sz w:val="21"/>
                <w:szCs w:val="21"/>
              </w:rPr>
            </w:pPr>
            <w:r w:rsidRPr="008F4A58">
              <w:rPr>
                <w:rFonts w:ascii="Abadi" w:hAnsi="Abadi" w:cs="Arial"/>
                <w:sz w:val="21"/>
                <w:szCs w:val="21"/>
              </w:rPr>
              <w:t>Construcción de parque recreativo y adquisición de bienes asociados al equipamiento en la colonia El Guadalupano 1ra. sección (1er. etapa) en cabecera municipal, en el municipio de Apaseo el Grande, Guanajuato</w:t>
            </w:r>
          </w:p>
          <w:p w14:paraId="1A069AE2" w14:textId="77777777" w:rsidR="008F4A58" w:rsidRPr="008F4A58" w:rsidRDefault="008F4A58" w:rsidP="008F4A58">
            <w:pPr>
              <w:ind w:left="678"/>
              <w:jc w:val="both"/>
              <w:rPr>
                <w:rFonts w:ascii="Abadi" w:hAnsi="Abadi" w:cs="Arial"/>
                <w:sz w:val="21"/>
                <w:szCs w:val="21"/>
              </w:rPr>
            </w:pPr>
          </w:p>
        </w:tc>
        <w:tc>
          <w:tcPr>
            <w:tcW w:w="3077" w:type="dxa"/>
            <w:vAlign w:val="center"/>
          </w:tcPr>
          <w:p w14:paraId="0A70A274" w14:textId="77777777" w:rsidR="008F4A58" w:rsidRPr="008F4A58" w:rsidRDefault="008F4A58" w:rsidP="008F4A58">
            <w:pPr>
              <w:tabs>
                <w:tab w:val="left" w:pos="1150"/>
              </w:tabs>
              <w:ind w:right="155"/>
              <w:jc w:val="right"/>
              <w:rPr>
                <w:rFonts w:ascii="Abadi" w:hAnsi="Abadi" w:cs="Arial"/>
                <w:sz w:val="21"/>
                <w:szCs w:val="21"/>
              </w:rPr>
            </w:pPr>
          </w:p>
          <w:p w14:paraId="1E14E128" w14:textId="77777777" w:rsidR="008F4A58" w:rsidRPr="008F4A58" w:rsidRDefault="008F4A58" w:rsidP="008F4A58">
            <w:pPr>
              <w:tabs>
                <w:tab w:val="left" w:pos="1150"/>
              </w:tabs>
              <w:ind w:right="155"/>
              <w:jc w:val="right"/>
              <w:rPr>
                <w:rFonts w:ascii="Abadi" w:hAnsi="Abadi" w:cs="Arial"/>
                <w:sz w:val="21"/>
                <w:szCs w:val="21"/>
              </w:rPr>
            </w:pPr>
          </w:p>
          <w:p w14:paraId="220E8B08" w14:textId="77777777" w:rsidR="008F4A58" w:rsidRPr="008F4A58" w:rsidRDefault="008F4A58" w:rsidP="008F4A58">
            <w:pPr>
              <w:tabs>
                <w:tab w:val="left" w:pos="1150"/>
              </w:tabs>
              <w:ind w:right="155"/>
              <w:jc w:val="right"/>
              <w:rPr>
                <w:rFonts w:ascii="Abadi" w:hAnsi="Abadi" w:cs="Arial"/>
                <w:sz w:val="21"/>
                <w:szCs w:val="21"/>
              </w:rPr>
            </w:pPr>
          </w:p>
          <w:p w14:paraId="22F88108" w14:textId="77777777" w:rsidR="008F4A58" w:rsidRPr="008F4A58" w:rsidRDefault="008F4A58" w:rsidP="008F4A58">
            <w:pPr>
              <w:tabs>
                <w:tab w:val="left" w:pos="1150"/>
              </w:tabs>
              <w:ind w:right="155"/>
              <w:jc w:val="right"/>
              <w:rPr>
                <w:rFonts w:ascii="Abadi" w:hAnsi="Abadi" w:cs="Arial"/>
                <w:sz w:val="21"/>
                <w:szCs w:val="21"/>
              </w:rPr>
            </w:pPr>
            <w:r w:rsidRPr="008F4A58">
              <w:rPr>
                <w:rFonts w:ascii="Abadi" w:hAnsi="Abadi" w:cs="Arial"/>
                <w:sz w:val="21"/>
                <w:szCs w:val="21"/>
              </w:rPr>
              <w:t>$1’200,000.00</w:t>
            </w:r>
          </w:p>
        </w:tc>
      </w:tr>
      <w:tr w:rsidR="008F4A58" w:rsidRPr="008F4A58" w14:paraId="7431FD11" w14:textId="77777777" w:rsidTr="007245B4">
        <w:trPr>
          <w:jc w:val="center"/>
        </w:trPr>
        <w:tc>
          <w:tcPr>
            <w:tcW w:w="5707" w:type="dxa"/>
            <w:vAlign w:val="center"/>
          </w:tcPr>
          <w:p w14:paraId="2F52227A" w14:textId="77777777" w:rsidR="008F4A58" w:rsidRPr="008F4A58" w:rsidRDefault="008F4A58" w:rsidP="008F4A58">
            <w:pPr>
              <w:ind w:left="629" w:hanging="629"/>
              <w:jc w:val="both"/>
              <w:rPr>
                <w:rFonts w:ascii="Abadi" w:hAnsi="Abadi" w:cs="Arial"/>
                <w:sz w:val="21"/>
                <w:szCs w:val="21"/>
              </w:rPr>
            </w:pPr>
            <w:r w:rsidRPr="008F4A58">
              <w:rPr>
                <w:rFonts w:ascii="Abadi" w:hAnsi="Abadi" w:cs="Arial"/>
                <w:b/>
                <w:bCs/>
                <w:sz w:val="21"/>
                <w:szCs w:val="21"/>
              </w:rPr>
              <w:t>II.</w:t>
            </w:r>
            <w:r w:rsidRPr="008F4A58">
              <w:rPr>
                <w:rFonts w:ascii="Abadi" w:hAnsi="Abadi" w:cs="Arial"/>
                <w:sz w:val="21"/>
                <w:szCs w:val="21"/>
              </w:rPr>
              <w:t xml:space="preserve">    Rehabilitación de parque recreativo y adquisición de bienes asociados al equipamiento en la colonia El Pedregal, en cabecera municipal, en el municipio de Apaseo el Grande, Guanajuato </w:t>
            </w:r>
          </w:p>
          <w:p w14:paraId="7D016155" w14:textId="77777777" w:rsidR="008F4A58" w:rsidRPr="008F4A58" w:rsidRDefault="008F4A58" w:rsidP="008F4A58">
            <w:pPr>
              <w:ind w:left="678"/>
              <w:jc w:val="both"/>
              <w:rPr>
                <w:rFonts w:ascii="Abadi" w:hAnsi="Abadi" w:cs="Arial"/>
                <w:sz w:val="21"/>
                <w:szCs w:val="21"/>
              </w:rPr>
            </w:pPr>
          </w:p>
        </w:tc>
        <w:tc>
          <w:tcPr>
            <w:tcW w:w="3077" w:type="dxa"/>
            <w:vAlign w:val="center"/>
          </w:tcPr>
          <w:p w14:paraId="38FFF0DE" w14:textId="77777777" w:rsidR="008F4A58" w:rsidRPr="008F4A58" w:rsidRDefault="008F4A58" w:rsidP="008F4A58">
            <w:pPr>
              <w:tabs>
                <w:tab w:val="left" w:pos="1150"/>
              </w:tabs>
              <w:ind w:right="155"/>
              <w:jc w:val="right"/>
              <w:rPr>
                <w:rFonts w:ascii="Abadi" w:hAnsi="Abadi" w:cs="Arial"/>
                <w:sz w:val="21"/>
                <w:szCs w:val="21"/>
              </w:rPr>
            </w:pPr>
          </w:p>
          <w:p w14:paraId="4DC83935" w14:textId="77777777" w:rsidR="008F4A58" w:rsidRPr="008F4A58" w:rsidRDefault="008F4A58" w:rsidP="008F4A58">
            <w:pPr>
              <w:tabs>
                <w:tab w:val="left" w:pos="1150"/>
              </w:tabs>
              <w:ind w:right="155"/>
              <w:jc w:val="right"/>
              <w:rPr>
                <w:rFonts w:ascii="Abadi" w:hAnsi="Abadi" w:cs="Arial"/>
                <w:sz w:val="21"/>
                <w:szCs w:val="21"/>
              </w:rPr>
            </w:pPr>
          </w:p>
          <w:p w14:paraId="154787D0" w14:textId="77777777" w:rsidR="008F4A58" w:rsidRPr="008F4A58" w:rsidRDefault="008F4A58" w:rsidP="008F4A58">
            <w:pPr>
              <w:tabs>
                <w:tab w:val="left" w:pos="1150"/>
              </w:tabs>
              <w:ind w:right="155"/>
              <w:jc w:val="right"/>
              <w:rPr>
                <w:rFonts w:ascii="Abadi" w:hAnsi="Abadi" w:cs="Arial"/>
                <w:sz w:val="21"/>
                <w:szCs w:val="21"/>
              </w:rPr>
            </w:pPr>
            <w:r w:rsidRPr="008F4A58">
              <w:rPr>
                <w:rFonts w:ascii="Abadi" w:hAnsi="Abadi" w:cs="Arial"/>
                <w:sz w:val="21"/>
                <w:szCs w:val="21"/>
              </w:rPr>
              <w:t>$500’000.00</w:t>
            </w:r>
          </w:p>
        </w:tc>
      </w:tr>
      <w:tr w:rsidR="008F4A58" w:rsidRPr="008F4A58" w14:paraId="61CF08B1" w14:textId="77777777" w:rsidTr="007245B4">
        <w:trPr>
          <w:jc w:val="center"/>
        </w:trPr>
        <w:tc>
          <w:tcPr>
            <w:tcW w:w="5707" w:type="dxa"/>
            <w:vAlign w:val="center"/>
          </w:tcPr>
          <w:p w14:paraId="3CC67275" w14:textId="77777777" w:rsidR="008F4A58" w:rsidRPr="008F4A58" w:rsidRDefault="008F4A58" w:rsidP="00B81728">
            <w:pPr>
              <w:numPr>
                <w:ilvl w:val="0"/>
                <w:numId w:val="35"/>
              </w:numPr>
              <w:ind w:left="629" w:hanging="567"/>
              <w:jc w:val="both"/>
              <w:rPr>
                <w:rFonts w:ascii="Abadi" w:hAnsi="Abadi" w:cs="Arial"/>
                <w:sz w:val="21"/>
                <w:szCs w:val="21"/>
              </w:rPr>
            </w:pPr>
            <w:r w:rsidRPr="008F4A58">
              <w:rPr>
                <w:rFonts w:ascii="Abadi" w:hAnsi="Abadi" w:cs="Arial"/>
                <w:sz w:val="21"/>
                <w:szCs w:val="21"/>
              </w:rPr>
              <w:t xml:space="preserve">Construcción de parque público y adquisición de bienes asociados al equipamiento en la colonia El Molino de arriba (2da. etapa) en cabecera municipal, en el municipio de </w:t>
            </w:r>
            <w:r w:rsidRPr="008F4A58">
              <w:rPr>
                <w:rFonts w:ascii="Abadi" w:hAnsi="Abadi" w:cs="Arial"/>
                <w:sz w:val="21"/>
                <w:szCs w:val="21"/>
              </w:rPr>
              <w:t>Apaseo el Grande, Guanajuato</w:t>
            </w:r>
          </w:p>
        </w:tc>
        <w:tc>
          <w:tcPr>
            <w:tcW w:w="3077" w:type="dxa"/>
            <w:vAlign w:val="center"/>
          </w:tcPr>
          <w:p w14:paraId="2421C0F5" w14:textId="77777777" w:rsidR="008F4A58" w:rsidRPr="008F4A58" w:rsidRDefault="008F4A58" w:rsidP="008F4A58">
            <w:pPr>
              <w:tabs>
                <w:tab w:val="left" w:pos="1150"/>
              </w:tabs>
              <w:ind w:right="155"/>
              <w:jc w:val="right"/>
              <w:rPr>
                <w:rFonts w:ascii="Abadi" w:hAnsi="Abadi" w:cs="Arial"/>
                <w:sz w:val="21"/>
                <w:szCs w:val="21"/>
              </w:rPr>
            </w:pPr>
          </w:p>
          <w:p w14:paraId="3DF4314C" w14:textId="77777777" w:rsidR="008F4A58" w:rsidRPr="008F4A58" w:rsidRDefault="008F4A58" w:rsidP="008F4A58">
            <w:pPr>
              <w:tabs>
                <w:tab w:val="left" w:pos="1150"/>
              </w:tabs>
              <w:ind w:right="155"/>
              <w:jc w:val="right"/>
              <w:rPr>
                <w:rFonts w:ascii="Abadi" w:hAnsi="Abadi" w:cs="Arial"/>
                <w:sz w:val="21"/>
                <w:szCs w:val="21"/>
              </w:rPr>
            </w:pPr>
          </w:p>
          <w:p w14:paraId="5C141696" w14:textId="77777777" w:rsidR="008F4A58" w:rsidRPr="008F4A58" w:rsidRDefault="008F4A58" w:rsidP="008F4A58">
            <w:pPr>
              <w:tabs>
                <w:tab w:val="left" w:pos="1150"/>
              </w:tabs>
              <w:ind w:right="155"/>
              <w:jc w:val="right"/>
              <w:rPr>
                <w:rFonts w:ascii="Abadi" w:hAnsi="Abadi" w:cs="Arial"/>
                <w:sz w:val="21"/>
                <w:szCs w:val="21"/>
              </w:rPr>
            </w:pPr>
          </w:p>
          <w:p w14:paraId="09B35A81" w14:textId="77777777" w:rsidR="008F4A58" w:rsidRPr="008F4A58" w:rsidRDefault="008F4A58" w:rsidP="008F4A58">
            <w:pPr>
              <w:tabs>
                <w:tab w:val="left" w:pos="1150"/>
              </w:tabs>
              <w:ind w:right="155"/>
              <w:jc w:val="right"/>
              <w:rPr>
                <w:rFonts w:ascii="Abadi" w:hAnsi="Abadi" w:cs="Arial"/>
                <w:sz w:val="21"/>
                <w:szCs w:val="21"/>
              </w:rPr>
            </w:pPr>
          </w:p>
          <w:p w14:paraId="40A3AA74" w14:textId="77777777" w:rsidR="008F4A58" w:rsidRPr="008F4A58" w:rsidRDefault="008F4A58" w:rsidP="008F4A58">
            <w:pPr>
              <w:tabs>
                <w:tab w:val="left" w:pos="1150"/>
              </w:tabs>
              <w:ind w:right="155"/>
              <w:jc w:val="right"/>
              <w:rPr>
                <w:rFonts w:ascii="Abadi" w:hAnsi="Abadi" w:cs="Arial"/>
                <w:sz w:val="21"/>
                <w:szCs w:val="21"/>
              </w:rPr>
            </w:pPr>
            <w:r w:rsidRPr="008F4A58">
              <w:rPr>
                <w:rFonts w:ascii="Abadi" w:hAnsi="Abadi" w:cs="Arial"/>
                <w:sz w:val="21"/>
                <w:szCs w:val="21"/>
              </w:rPr>
              <w:t>$1’130,000.00</w:t>
            </w:r>
          </w:p>
        </w:tc>
      </w:tr>
      <w:tr w:rsidR="008F4A58" w:rsidRPr="008F4A58" w14:paraId="393DA9DE" w14:textId="77777777" w:rsidTr="007245B4">
        <w:trPr>
          <w:jc w:val="center"/>
        </w:trPr>
        <w:tc>
          <w:tcPr>
            <w:tcW w:w="5707" w:type="dxa"/>
            <w:vAlign w:val="center"/>
          </w:tcPr>
          <w:p w14:paraId="5E8D655C" w14:textId="77777777" w:rsidR="008F4A58" w:rsidRPr="008F4A58" w:rsidRDefault="008F4A58" w:rsidP="00B81728">
            <w:pPr>
              <w:numPr>
                <w:ilvl w:val="0"/>
                <w:numId w:val="35"/>
              </w:numPr>
              <w:ind w:left="629" w:hanging="567"/>
              <w:jc w:val="both"/>
              <w:rPr>
                <w:rFonts w:ascii="Abadi" w:hAnsi="Abadi" w:cs="Arial"/>
                <w:sz w:val="21"/>
                <w:szCs w:val="21"/>
              </w:rPr>
            </w:pPr>
            <w:r w:rsidRPr="008F4A58">
              <w:rPr>
                <w:rFonts w:ascii="Abadi" w:hAnsi="Abadi" w:cs="Arial"/>
                <w:sz w:val="21"/>
                <w:szCs w:val="21"/>
              </w:rPr>
              <w:t>Rehabilitación de parque recreativo y adquisición de bienes asociados al equipamiento en la colonia El Cerrito, en el municipio de Apaseo el Grande, Guanajuato</w:t>
            </w:r>
          </w:p>
        </w:tc>
        <w:tc>
          <w:tcPr>
            <w:tcW w:w="3077" w:type="dxa"/>
            <w:vAlign w:val="center"/>
          </w:tcPr>
          <w:p w14:paraId="71766C4F" w14:textId="77777777" w:rsidR="008F4A58" w:rsidRPr="008F4A58" w:rsidRDefault="008F4A58" w:rsidP="008F4A58">
            <w:pPr>
              <w:tabs>
                <w:tab w:val="left" w:pos="1150"/>
              </w:tabs>
              <w:ind w:right="155"/>
              <w:jc w:val="right"/>
              <w:rPr>
                <w:rFonts w:ascii="Abadi" w:hAnsi="Abadi" w:cs="Arial"/>
                <w:sz w:val="21"/>
                <w:szCs w:val="21"/>
              </w:rPr>
            </w:pPr>
          </w:p>
          <w:p w14:paraId="6726167F" w14:textId="77777777" w:rsidR="008F4A58" w:rsidRPr="008F4A58" w:rsidRDefault="008F4A58" w:rsidP="008F4A58">
            <w:pPr>
              <w:tabs>
                <w:tab w:val="left" w:pos="1150"/>
              </w:tabs>
              <w:ind w:right="155"/>
              <w:jc w:val="right"/>
              <w:rPr>
                <w:rFonts w:ascii="Abadi" w:hAnsi="Abadi" w:cs="Arial"/>
                <w:sz w:val="21"/>
                <w:szCs w:val="21"/>
              </w:rPr>
            </w:pPr>
          </w:p>
          <w:p w14:paraId="3B39F375" w14:textId="77777777" w:rsidR="008F4A58" w:rsidRPr="008F4A58" w:rsidRDefault="008F4A58" w:rsidP="008F4A58">
            <w:pPr>
              <w:tabs>
                <w:tab w:val="left" w:pos="1150"/>
              </w:tabs>
              <w:ind w:right="155"/>
              <w:jc w:val="right"/>
              <w:rPr>
                <w:rFonts w:ascii="Abadi" w:hAnsi="Abadi" w:cs="Arial"/>
                <w:sz w:val="21"/>
                <w:szCs w:val="21"/>
              </w:rPr>
            </w:pPr>
            <w:r w:rsidRPr="008F4A58">
              <w:rPr>
                <w:rFonts w:ascii="Abadi" w:hAnsi="Abadi" w:cs="Arial"/>
                <w:sz w:val="21"/>
                <w:szCs w:val="21"/>
              </w:rPr>
              <w:t>$1’150,000.00</w:t>
            </w:r>
          </w:p>
        </w:tc>
      </w:tr>
      <w:tr w:rsidR="008F4A58" w:rsidRPr="008F4A58" w14:paraId="54BF12BC" w14:textId="77777777" w:rsidTr="007245B4">
        <w:trPr>
          <w:jc w:val="center"/>
        </w:trPr>
        <w:tc>
          <w:tcPr>
            <w:tcW w:w="5707" w:type="dxa"/>
            <w:vAlign w:val="center"/>
          </w:tcPr>
          <w:p w14:paraId="0DAA85BD" w14:textId="77777777" w:rsidR="008F4A58" w:rsidRPr="008F4A58" w:rsidRDefault="008F4A58" w:rsidP="00B81728">
            <w:pPr>
              <w:numPr>
                <w:ilvl w:val="0"/>
                <w:numId w:val="35"/>
              </w:numPr>
              <w:ind w:left="629" w:hanging="567"/>
              <w:jc w:val="both"/>
              <w:rPr>
                <w:rFonts w:ascii="Abadi" w:hAnsi="Abadi" w:cs="Arial"/>
                <w:sz w:val="21"/>
                <w:szCs w:val="21"/>
              </w:rPr>
            </w:pPr>
            <w:r w:rsidRPr="008F4A58">
              <w:rPr>
                <w:rFonts w:ascii="Abadi" w:hAnsi="Abadi" w:cs="Arial"/>
                <w:sz w:val="21"/>
                <w:szCs w:val="21"/>
              </w:rPr>
              <w:t>Construcción de parque recreativo y adquisición de bienes asociados al equipamiento en la colonia La Villita (1er etapa), en el municipio de Apaseo el Grande, Guanajuato</w:t>
            </w:r>
          </w:p>
        </w:tc>
        <w:tc>
          <w:tcPr>
            <w:tcW w:w="3077" w:type="dxa"/>
            <w:vAlign w:val="center"/>
          </w:tcPr>
          <w:p w14:paraId="61D96033" w14:textId="77777777" w:rsidR="008F4A58" w:rsidRPr="008F4A58" w:rsidRDefault="008F4A58" w:rsidP="008F4A58">
            <w:pPr>
              <w:tabs>
                <w:tab w:val="left" w:pos="1150"/>
              </w:tabs>
              <w:ind w:right="155"/>
              <w:jc w:val="right"/>
              <w:rPr>
                <w:rFonts w:ascii="Abadi" w:hAnsi="Abadi" w:cs="Arial"/>
                <w:sz w:val="21"/>
                <w:szCs w:val="21"/>
              </w:rPr>
            </w:pPr>
          </w:p>
          <w:p w14:paraId="6B4C7BBC" w14:textId="77777777" w:rsidR="008F4A58" w:rsidRPr="008F4A58" w:rsidRDefault="008F4A58" w:rsidP="008F4A58">
            <w:pPr>
              <w:tabs>
                <w:tab w:val="left" w:pos="1150"/>
              </w:tabs>
              <w:ind w:right="155"/>
              <w:jc w:val="right"/>
              <w:rPr>
                <w:rFonts w:ascii="Abadi" w:hAnsi="Abadi" w:cs="Arial"/>
                <w:sz w:val="21"/>
                <w:szCs w:val="21"/>
              </w:rPr>
            </w:pPr>
          </w:p>
          <w:p w14:paraId="7033DB1F" w14:textId="77777777" w:rsidR="008F4A58" w:rsidRPr="008F4A58" w:rsidRDefault="008F4A58" w:rsidP="008F4A58">
            <w:pPr>
              <w:tabs>
                <w:tab w:val="left" w:pos="1150"/>
              </w:tabs>
              <w:ind w:right="155"/>
              <w:jc w:val="right"/>
              <w:rPr>
                <w:rFonts w:ascii="Abadi" w:hAnsi="Abadi" w:cs="Arial"/>
                <w:sz w:val="21"/>
                <w:szCs w:val="21"/>
              </w:rPr>
            </w:pPr>
          </w:p>
          <w:p w14:paraId="106A2FF9" w14:textId="77777777" w:rsidR="008F4A58" w:rsidRPr="008F4A58" w:rsidRDefault="008F4A58" w:rsidP="008F4A58">
            <w:pPr>
              <w:tabs>
                <w:tab w:val="left" w:pos="1150"/>
              </w:tabs>
              <w:ind w:right="155"/>
              <w:jc w:val="right"/>
              <w:rPr>
                <w:rFonts w:ascii="Abadi" w:hAnsi="Abadi" w:cs="Arial"/>
                <w:sz w:val="21"/>
                <w:szCs w:val="21"/>
              </w:rPr>
            </w:pPr>
            <w:r w:rsidRPr="008F4A58">
              <w:rPr>
                <w:rFonts w:ascii="Abadi" w:hAnsi="Abadi" w:cs="Arial"/>
                <w:sz w:val="21"/>
                <w:szCs w:val="21"/>
              </w:rPr>
              <w:t>$2’500,000.00</w:t>
            </w:r>
          </w:p>
        </w:tc>
      </w:tr>
      <w:tr w:rsidR="008F4A58" w:rsidRPr="008F4A58" w14:paraId="162F1182" w14:textId="77777777" w:rsidTr="007245B4">
        <w:trPr>
          <w:jc w:val="center"/>
        </w:trPr>
        <w:tc>
          <w:tcPr>
            <w:tcW w:w="5707" w:type="dxa"/>
            <w:vAlign w:val="center"/>
          </w:tcPr>
          <w:p w14:paraId="413EA7BD" w14:textId="77777777" w:rsidR="008F4A58" w:rsidRPr="008F4A58" w:rsidRDefault="008F4A58" w:rsidP="00B81728">
            <w:pPr>
              <w:numPr>
                <w:ilvl w:val="0"/>
                <w:numId w:val="35"/>
              </w:numPr>
              <w:ind w:left="629" w:hanging="567"/>
              <w:jc w:val="both"/>
              <w:rPr>
                <w:rFonts w:ascii="Abadi" w:hAnsi="Abadi" w:cs="Arial"/>
                <w:sz w:val="21"/>
                <w:szCs w:val="21"/>
              </w:rPr>
            </w:pPr>
            <w:r w:rsidRPr="008F4A58">
              <w:rPr>
                <w:rFonts w:ascii="Abadi" w:hAnsi="Abadi" w:cs="Arial"/>
                <w:sz w:val="21"/>
                <w:szCs w:val="21"/>
              </w:rPr>
              <w:t>Rehabilitación de cancha de usos múltiples en la colonia La Fundación, en el municipio de Apaseo el Grande, Guanajuato</w:t>
            </w:r>
          </w:p>
        </w:tc>
        <w:tc>
          <w:tcPr>
            <w:tcW w:w="3077" w:type="dxa"/>
            <w:vAlign w:val="center"/>
          </w:tcPr>
          <w:p w14:paraId="1BB5D7A7" w14:textId="77777777" w:rsidR="008F4A58" w:rsidRPr="008F4A58" w:rsidRDefault="008F4A58" w:rsidP="008F4A58">
            <w:pPr>
              <w:tabs>
                <w:tab w:val="left" w:pos="1150"/>
              </w:tabs>
              <w:ind w:right="155"/>
              <w:jc w:val="right"/>
              <w:rPr>
                <w:rFonts w:ascii="Abadi" w:hAnsi="Abadi" w:cs="Arial"/>
                <w:sz w:val="21"/>
                <w:szCs w:val="21"/>
              </w:rPr>
            </w:pPr>
          </w:p>
          <w:p w14:paraId="2A1EDAEA" w14:textId="77777777" w:rsidR="008F4A58" w:rsidRPr="008F4A58" w:rsidRDefault="008F4A58" w:rsidP="008F4A58">
            <w:pPr>
              <w:tabs>
                <w:tab w:val="left" w:pos="1150"/>
              </w:tabs>
              <w:ind w:right="155"/>
              <w:jc w:val="right"/>
              <w:rPr>
                <w:rFonts w:ascii="Abadi" w:hAnsi="Abadi" w:cs="Arial"/>
                <w:sz w:val="21"/>
                <w:szCs w:val="21"/>
              </w:rPr>
            </w:pPr>
          </w:p>
          <w:p w14:paraId="7CC11427" w14:textId="77777777" w:rsidR="008F4A58" w:rsidRPr="008F4A58" w:rsidRDefault="008F4A58" w:rsidP="008F4A58">
            <w:pPr>
              <w:tabs>
                <w:tab w:val="left" w:pos="1150"/>
              </w:tabs>
              <w:ind w:right="155"/>
              <w:jc w:val="right"/>
              <w:rPr>
                <w:rFonts w:ascii="Abadi" w:hAnsi="Abadi" w:cs="Arial"/>
                <w:sz w:val="21"/>
                <w:szCs w:val="21"/>
              </w:rPr>
            </w:pPr>
            <w:r w:rsidRPr="008F4A58">
              <w:rPr>
                <w:rFonts w:ascii="Abadi" w:hAnsi="Abadi" w:cs="Arial"/>
                <w:sz w:val="21"/>
                <w:szCs w:val="21"/>
              </w:rPr>
              <w:t>$874,351.29</w:t>
            </w:r>
          </w:p>
        </w:tc>
      </w:tr>
      <w:tr w:rsidR="008F4A58" w:rsidRPr="008F4A58" w14:paraId="0E5760D0" w14:textId="77777777" w:rsidTr="007245B4">
        <w:trPr>
          <w:jc w:val="center"/>
        </w:trPr>
        <w:tc>
          <w:tcPr>
            <w:tcW w:w="5707" w:type="dxa"/>
            <w:vAlign w:val="center"/>
          </w:tcPr>
          <w:p w14:paraId="26BF6D16" w14:textId="77777777" w:rsidR="008F4A58" w:rsidRPr="008F4A58" w:rsidRDefault="008F4A58" w:rsidP="00B81728">
            <w:pPr>
              <w:numPr>
                <w:ilvl w:val="0"/>
                <w:numId w:val="35"/>
              </w:numPr>
              <w:ind w:left="678" w:hanging="567"/>
              <w:jc w:val="both"/>
              <w:rPr>
                <w:rFonts w:ascii="Abadi" w:hAnsi="Abadi" w:cs="Arial"/>
                <w:sz w:val="21"/>
                <w:szCs w:val="21"/>
              </w:rPr>
            </w:pPr>
            <w:r w:rsidRPr="008F4A58">
              <w:rPr>
                <w:rFonts w:ascii="Abadi" w:hAnsi="Abadi" w:cs="Arial"/>
                <w:iCs/>
                <w:sz w:val="21"/>
                <w:szCs w:val="21"/>
              </w:rPr>
              <w:t>Rehabilitación de parque recreativo y adquisición de bienes asociados al equipamiento en Casa de la Cultura Antonio Plaza, cabecera municipal, en el municipio de Apaseo el Grande, Guanajuato</w:t>
            </w:r>
          </w:p>
        </w:tc>
        <w:tc>
          <w:tcPr>
            <w:tcW w:w="3077" w:type="dxa"/>
            <w:vAlign w:val="center"/>
          </w:tcPr>
          <w:p w14:paraId="18C8BC10" w14:textId="77777777" w:rsidR="008F4A58" w:rsidRPr="008F4A58" w:rsidRDefault="008F4A58" w:rsidP="008F4A58">
            <w:pPr>
              <w:tabs>
                <w:tab w:val="left" w:pos="1150"/>
              </w:tabs>
              <w:ind w:right="155"/>
              <w:jc w:val="right"/>
              <w:rPr>
                <w:rFonts w:ascii="Abadi" w:hAnsi="Abadi" w:cs="Arial"/>
                <w:sz w:val="21"/>
                <w:szCs w:val="21"/>
              </w:rPr>
            </w:pPr>
          </w:p>
          <w:p w14:paraId="67E367D5" w14:textId="77777777" w:rsidR="008F4A58" w:rsidRPr="008F4A58" w:rsidRDefault="008F4A58" w:rsidP="008F4A58">
            <w:pPr>
              <w:tabs>
                <w:tab w:val="left" w:pos="1150"/>
              </w:tabs>
              <w:ind w:right="155"/>
              <w:jc w:val="right"/>
              <w:rPr>
                <w:rFonts w:ascii="Abadi" w:hAnsi="Abadi" w:cs="Arial"/>
                <w:sz w:val="21"/>
                <w:szCs w:val="21"/>
              </w:rPr>
            </w:pPr>
          </w:p>
          <w:p w14:paraId="1A135529" w14:textId="77777777" w:rsidR="008F4A58" w:rsidRPr="008F4A58" w:rsidRDefault="008F4A58" w:rsidP="008F4A58">
            <w:pPr>
              <w:tabs>
                <w:tab w:val="left" w:pos="1150"/>
              </w:tabs>
              <w:ind w:right="155"/>
              <w:jc w:val="right"/>
              <w:rPr>
                <w:rFonts w:ascii="Abadi" w:hAnsi="Abadi" w:cs="Arial"/>
                <w:sz w:val="21"/>
                <w:szCs w:val="21"/>
              </w:rPr>
            </w:pPr>
          </w:p>
          <w:p w14:paraId="72B6C641" w14:textId="77777777" w:rsidR="008F4A58" w:rsidRPr="008F4A58" w:rsidRDefault="008F4A58" w:rsidP="008F4A58">
            <w:pPr>
              <w:tabs>
                <w:tab w:val="left" w:pos="1150"/>
              </w:tabs>
              <w:ind w:right="155"/>
              <w:jc w:val="right"/>
              <w:rPr>
                <w:rFonts w:ascii="Abadi" w:hAnsi="Abadi" w:cs="Arial"/>
                <w:sz w:val="21"/>
                <w:szCs w:val="21"/>
              </w:rPr>
            </w:pPr>
          </w:p>
          <w:p w14:paraId="68E0ACF0" w14:textId="77777777" w:rsidR="008F4A58" w:rsidRPr="008F4A58" w:rsidRDefault="008F4A58" w:rsidP="008F4A58">
            <w:pPr>
              <w:tabs>
                <w:tab w:val="left" w:pos="1150"/>
              </w:tabs>
              <w:ind w:right="155"/>
              <w:jc w:val="right"/>
              <w:rPr>
                <w:rFonts w:ascii="Abadi" w:hAnsi="Abadi" w:cs="Arial"/>
                <w:sz w:val="21"/>
                <w:szCs w:val="21"/>
              </w:rPr>
            </w:pPr>
            <w:r w:rsidRPr="008F4A58">
              <w:rPr>
                <w:rFonts w:ascii="Abadi" w:hAnsi="Abadi" w:cs="Arial"/>
                <w:sz w:val="21"/>
                <w:szCs w:val="21"/>
              </w:rPr>
              <w:t>$1’050,000.00</w:t>
            </w:r>
          </w:p>
        </w:tc>
      </w:tr>
      <w:tr w:rsidR="008F4A58" w:rsidRPr="008F4A58" w14:paraId="0288FBAF" w14:textId="77777777" w:rsidTr="007245B4">
        <w:trPr>
          <w:jc w:val="center"/>
        </w:trPr>
        <w:tc>
          <w:tcPr>
            <w:tcW w:w="5707" w:type="dxa"/>
            <w:vAlign w:val="center"/>
          </w:tcPr>
          <w:p w14:paraId="4929B513" w14:textId="77777777" w:rsidR="008F4A58" w:rsidRPr="008F4A58" w:rsidRDefault="008F4A58" w:rsidP="00B81728">
            <w:pPr>
              <w:numPr>
                <w:ilvl w:val="0"/>
                <w:numId w:val="35"/>
              </w:numPr>
              <w:ind w:left="678" w:hanging="567"/>
              <w:jc w:val="both"/>
              <w:rPr>
                <w:rFonts w:ascii="Abadi" w:hAnsi="Abadi" w:cs="Arial"/>
                <w:sz w:val="21"/>
                <w:szCs w:val="21"/>
              </w:rPr>
            </w:pPr>
            <w:r w:rsidRPr="008F4A58">
              <w:rPr>
                <w:rFonts w:ascii="Abadi" w:hAnsi="Abadi" w:cs="Arial"/>
                <w:sz w:val="21"/>
                <w:szCs w:val="21"/>
              </w:rPr>
              <w:t>Construcción de parque recreativo y adquisición de bienes asociados al equipamiento</w:t>
            </w:r>
            <w:r w:rsidRPr="008F4A58">
              <w:rPr>
                <w:rFonts w:ascii="Abadi" w:hAnsi="Abadi" w:cs="Arial"/>
                <w:i/>
                <w:sz w:val="21"/>
                <w:szCs w:val="21"/>
              </w:rPr>
              <w:t xml:space="preserve"> </w:t>
            </w:r>
            <w:r w:rsidRPr="008F4A58">
              <w:rPr>
                <w:rFonts w:ascii="Abadi" w:hAnsi="Abadi" w:cs="Arial"/>
                <w:sz w:val="21"/>
                <w:szCs w:val="21"/>
              </w:rPr>
              <w:t>en la comunidad de La Labor, en el municipio de Apaseo el Grande, Guanajuato</w:t>
            </w:r>
          </w:p>
        </w:tc>
        <w:tc>
          <w:tcPr>
            <w:tcW w:w="3077" w:type="dxa"/>
            <w:vAlign w:val="center"/>
          </w:tcPr>
          <w:p w14:paraId="60146581" w14:textId="77777777" w:rsidR="008F4A58" w:rsidRPr="008F4A58" w:rsidRDefault="008F4A58" w:rsidP="008F4A58">
            <w:pPr>
              <w:tabs>
                <w:tab w:val="left" w:pos="1150"/>
              </w:tabs>
              <w:ind w:right="155"/>
              <w:jc w:val="right"/>
              <w:rPr>
                <w:rFonts w:ascii="Abadi" w:hAnsi="Abadi" w:cs="Arial"/>
                <w:sz w:val="21"/>
                <w:szCs w:val="21"/>
              </w:rPr>
            </w:pPr>
          </w:p>
          <w:p w14:paraId="0986EA45" w14:textId="77777777" w:rsidR="008F4A58" w:rsidRPr="008F4A58" w:rsidRDefault="008F4A58" w:rsidP="008F4A58">
            <w:pPr>
              <w:tabs>
                <w:tab w:val="left" w:pos="1150"/>
              </w:tabs>
              <w:ind w:right="155"/>
              <w:jc w:val="right"/>
              <w:rPr>
                <w:rFonts w:ascii="Abadi" w:hAnsi="Abadi" w:cs="Arial"/>
                <w:sz w:val="21"/>
                <w:szCs w:val="21"/>
              </w:rPr>
            </w:pPr>
          </w:p>
          <w:p w14:paraId="17D61BD5" w14:textId="77777777" w:rsidR="008F4A58" w:rsidRPr="008F4A58" w:rsidRDefault="008F4A58" w:rsidP="008F4A58">
            <w:pPr>
              <w:tabs>
                <w:tab w:val="left" w:pos="1150"/>
              </w:tabs>
              <w:ind w:right="155"/>
              <w:jc w:val="right"/>
              <w:rPr>
                <w:rFonts w:ascii="Abadi" w:hAnsi="Abadi" w:cs="Arial"/>
                <w:sz w:val="21"/>
                <w:szCs w:val="21"/>
              </w:rPr>
            </w:pPr>
          </w:p>
          <w:p w14:paraId="0BF667CA" w14:textId="77777777" w:rsidR="008F4A58" w:rsidRPr="008F4A58" w:rsidRDefault="008F4A58" w:rsidP="008F4A58">
            <w:pPr>
              <w:tabs>
                <w:tab w:val="left" w:pos="1150"/>
              </w:tabs>
              <w:ind w:right="155"/>
              <w:jc w:val="right"/>
              <w:rPr>
                <w:rFonts w:ascii="Abadi" w:hAnsi="Abadi" w:cs="Arial"/>
                <w:sz w:val="21"/>
                <w:szCs w:val="21"/>
              </w:rPr>
            </w:pPr>
          </w:p>
          <w:p w14:paraId="06F866B6" w14:textId="77777777" w:rsidR="008F4A58" w:rsidRPr="008F4A58" w:rsidRDefault="008F4A58" w:rsidP="008F4A58">
            <w:pPr>
              <w:tabs>
                <w:tab w:val="left" w:pos="1150"/>
              </w:tabs>
              <w:ind w:right="155"/>
              <w:jc w:val="right"/>
              <w:rPr>
                <w:rFonts w:ascii="Abadi" w:hAnsi="Abadi" w:cs="Arial"/>
                <w:sz w:val="21"/>
                <w:szCs w:val="21"/>
              </w:rPr>
            </w:pPr>
            <w:r w:rsidRPr="008F4A58">
              <w:rPr>
                <w:rFonts w:ascii="Abadi" w:hAnsi="Abadi" w:cs="Arial"/>
                <w:sz w:val="21"/>
                <w:szCs w:val="21"/>
              </w:rPr>
              <w:t>$600,000.00</w:t>
            </w:r>
          </w:p>
        </w:tc>
      </w:tr>
      <w:tr w:rsidR="008F4A58" w:rsidRPr="008F4A58" w14:paraId="60090B08" w14:textId="77777777" w:rsidTr="007245B4">
        <w:trPr>
          <w:jc w:val="center"/>
        </w:trPr>
        <w:tc>
          <w:tcPr>
            <w:tcW w:w="5707" w:type="dxa"/>
            <w:vAlign w:val="center"/>
          </w:tcPr>
          <w:p w14:paraId="5C2C1874" w14:textId="77777777" w:rsidR="008F4A58" w:rsidRPr="008F4A58" w:rsidRDefault="008F4A58" w:rsidP="00B81728">
            <w:pPr>
              <w:numPr>
                <w:ilvl w:val="0"/>
                <w:numId w:val="35"/>
              </w:numPr>
              <w:ind w:left="678" w:hanging="567"/>
              <w:jc w:val="both"/>
              <w:rPr>
                <w:rFonts w:ascii="Abadi" w:hAnsi="Abadi" w:cs="Arial"/>
                <w:sz w:val="21"/>
                <w:szCs w:val="21"/>
              </w:rPr>
            </w:pPr>
            <w:r w:rsidRPr="008F4A58">
              <w:rPr>
                <w:rFonts w:ascii="Abadi" w:hAnsi="Abadi" w:cs="Arial"/>
                <w:sz w:val="21"/>
                <w:szCs w:val="21"/>
              </w:rPr>
              <w:t xml:space="preserve">Construcción de cancha de bateo y dugouts para el </w:t>
            </w:r>
            <w:r w:rsidRPr="008F4A58">
              <w:rPr>
                <w:rFonts w:ascii="Abadi" w:hAnsi="Abadi" w:cs="Arial"/>
                <w:sz w:val="21"/>
                <w:szCs w:val="21"/>
              </w:rPr>
              <w:lastRenderedPageBreak/>
              <w:t>campo de beisbol de prácticas, en la localidad de Punta de Obrajuelo, en el municipio de Apaseo el Grande, Guanajuato</w:t>
            </w:r>
          </w:p>
        </w:tc>
        <w:tc>
          <w:tcPr>
            <w:tcW w:w="3077" w:type="dxa"/>
            <w:vAlign w:val="center"/>
          </w:tcPr>
          <w:p w14:paraId="22B2F69B" w14:textId="77777777" w:rsidR="008F4A58" w:rsidRPr="008F4A58" w:rsidRDefault="008F4A58" w:rsidP="008F4A58">
            <w:pPr>
              <w:tabs>
                <w:tab w:val="left" w:pos="1150"/>
              </w:tabs>
              <w:ind w:right="155"/>
              <w:jc w:val="right"/>
              <w:rPr>
                <w:rFonts w:ascii="Abadi" w:hAnsi="Abadi" w:cs="Arial"/>
                <w:sz w:val="21"/>
                <w:szCs w:val="21"/>
              </w:rPr>
            </w:pPr>
          </w:p>
          <w:p w14:paraId="46AB6855" w14:textId="77777777" w:rsidR="008F4A58" w:rsidRPr="008F4A58" w:rsidRDefault="008F4A58" w:rsidP="008F4A58">
            <w:pPr>
              <w:tabs>
                <w:tab w:val="left" w:pos="1150"/>
              </w:tabs>
              <w:ind w:right="155"/>
              <w:jc w:val="right"/>
              <w:rPr>
                <w:rFonts w:ascii="Abadi" w:hAnsi="Abadi" w:cs="Arial"/>
                <w:sz w:val="21"/>
                <w:szCs w:val="21"/>
              </w:rPr>
            </w:pPr>
          </w:p>
          <w:p w14:paraId="38CE5E6B" w14:textId="77777777" w:rsidR="008F4A58" w:rsidRPr="008F4A58" w:rsidRDefault="008F4A58" w:rsidP="008F4A58">
            <w:pPr>
              <w:tabs>
                <w:tab w:val="left" w:pos="1150"/>
              </w:tabs>
              <w:ind w:right="155"/>
              <w:jc w:val="right"/>
              <w:rPr>
                <w:rFonts w:ascii="Abadi" w:hAnsi="Abadi" w:cs="Arial"/>
                <w:sz w:val="21"/>
                <w:szCs w:val="21"/>
              </w:rPr>
            </w:pPr>
            <w:r w:rsidRPr="008F4A58">
              <w:rPr>
                <w:rFonts w:ascii="Abadi" w:hAnsi="Abadi" w:cs="Arial"/>
                <w:sz w:val="21"/>
                <w:szCs w:val="21"/>
              </w:rPr>
              <w:t>$127,760.31</w:t>
            </w:r>
          </w:p>
        </w:tc>
      </w:tr>
      <w:tr w:rsidR="008F4A58" w:rsidRPr="008F4A58" w14:paraId="4E34C799" w14:textId="77777777" w:rsidTr="007245B4">
        <w:trPr>
          <w:jc w:val="center"/>
        </w:trPr>
        <w:tc>
          <w:tcPr>
            <w:tcW w:w="5707" w:type="dxa"/>
            <w:vAlign w:val="center"/>
          </w:tcPr>
          <w:p w14:paraId="55F91BC7" w14:textId="77777777" w:rsidR="008F4A58" w:rsidRPr="008F4A58" w:rsidRDefault="008F4A58" w:rsidP="00B81728">
            <w:pPr>
              <w:numPr>
                <w:ilvl w:val="0"/>
                <w:numId w:val="35"/>
              </w:numPr>
              <w:ind w:left="678" w:hanging="567"/>
              <w:jc w:val="both"/>
              <w:rPr>
                <w:rFonts w:ascii="Abadi" w:hAnsi="Abadi" w:cs="Arial"/>
                <w:sz w:val="21"/>
                <w:szCs w:val="21"/>
              </w:rPr>
            </w:pPr>
            <w:r w:rsidRPr="008F4A58">
              <w:rPr>
                <w:rFonts w:ascii="Abadi" w:hAnsi="Abadi" w:cs="Arial"/>
                <w:sz w:val="21"/>
                <w:szCs w:val="21"/>
              </w:rPr>
              <w:t>Construcción de 40 parabuses en cabecera municipal y varias comunidades en el municipio de Apaseo el Grande, Guanajuato</w:t>
            </w:r>
          </w:p>
        </w:tc>
        <w:tc>
          <w:tcPr>
            <w:tcW w:w="3077" w:type="dxa"/>
            <w:vAlign w:val="center"/>
          </w:tcPr>
          <w:p w14:paraId="50AB9462" w14:textId="77777777" w:rsidR="008F4A58" w:rsidRPr="008F4A58" w:rsidRDefault="008F4A58" w:rsidP="008F4A58">
            <w:pPr>
              <w:tabs>
                <w:tab w:val="left" w:pos="1150"/>
              </w:tabs>
              <w:ind w:right="155"/>
              <w:jc w:val="right"/>
              <w:rPr>
                <w:rFonts w:ascii="Abadi" w:hAnsi="Abadi" w:cs="Arial"/>
                <w:sz w:val="21"/>
                <w:szCs w:val="21"/>
              </w:rPr>
            </w:pPr>
          </w:p>
          <w:p w14:paraId="61684D70" w14:textId="77777777" w:rsidR="008F4A58" w:rsidRPr="008F4A58" w:rsidRDefault="008F4A58" w:rsidP="008F4A58">
            <w:pPr>
              <w:tabs>
                <w:tab w:val="left" w:pos="1150"/>
              </w:tabs>
              <w:ind w:right="155"/>
              <w:jc w:val="right"/>
              <w:rPr>
                <w:rFonts w:ascii="Abadi" w:hAnsi="Abadi" w:cs="Arial"/>
                <w:sz w:val="21"/>
                <w:szCs w:val="21"/>
              </w:rPr>
            </w:pPr>
          </w:p>
          <w:p w14:paraId="796FB9B8" w14:textId="77777777" w:rsidR="008F4A58" w:rsidRPr="008F4A58" w:rsidRDefault="008F4A58" w:rsidP="008F4A58">
            <w:pPr>
              <w:tabs>
                <w:tab w:val="left" w:pos="1150"/>
              </w:tabs>
              <w:ind w:right="155"/>
              <w:jc w:val="right"/>
              <w:rPr>
                <w:rFonts w:ascii="Abadi" w:hAnsi="Abadi" w:cs="Arial"/>
                <w:sz w:val="21"/>
                <w:szCs w:val="21"/>
              </w:rPr>
            </w:pPr>
            <w:r w:rsidRPr="008F4A58">
              <w:rPr>
                <w:rFonts w:ascii="Abadi" w:hAnsi="Abadi" w:cs="Arial"/>
                <w:sz w:val="21"/>
                <w:szCs w:val="21"/>
              </w:rPr>
              <w:t>$1’500,000.00</w:t>
            </w:r>
          </w:p>
        </w:tc>
      </w:tr>
      <w:tr w:rsidR="008F4A58" w:rsidRPr="008F4A58" w14:paraId="15AA1366" w14:textId="77777777" w:rsidTr="007245B4">
        <w:trPr>
          <w:jc w:val="center"/>
        </w:trPr>
        <w:tc>
          <w:tcPr>
            <w:tcW w:w="5707" w:type="dxa"/>
            <w:vAlign w:val="center"/>
          </w:tcPr>
          <w:p w14:paraId="59DA06E1" w14:textId="77777777" w:rsidR="008F4A58" w:rsidRPr="008F4A58" w:rsidRDefault="008F4A58" w:rsidP="00B81728">
            <w:pPr>
              <w:numPr>
                <w:ilvl w:val="0"/>
                <w:numId w:val="35"/>
              </w:numPr>
              <w:ind w:left="633" w:hanging="567"/>
              <w:jc w:val="both"/>
              <w:rPr>
                <w:rFonts w:ascii="Abadi" w:hAnsi="Abadi" w:cs="Arial"/>
                <w:sz w:val="21"/>
                <w:szCs w:val="21"/>
              </w:rPr>
            </w:pPr>
            <w:r w:rsidRPr="008F4A58">
              <w:rPr>
                <w:rFonts w:ascii="Abadi" w:hAnsi="Abadi" w:cs="Arial"/>
                <w:sz w:val="21"/>
                <w:szCs w:val="21"/>
              </w:rPr>
              <w:t>Construcción de descanso y cubierta metálica en el panteón municipal, en el municipio de Apaseo el Grande, Guanajuato</w:t>
            </w:r>
          </w:p>
        </w:tc>
        <w:tc>
          <w:tcPr>
            <w:tcW w:w="3077" w:type="dxa"/>
            <w:vAlign w:val="center"/>
          </w:tcPr>
          <w:p w14:paraId="1C46DED3" w14:textId="77777777" w:rsidR="008F4A58" w:rsidRPr="008F4A58" w:rsidRDefault="008F4A58" w:rsidP="008F4A58">
            <w:pPr>
              <w:tabs>
                <w:tab w:val="left" w:pos="1150"/>
              </w:tabs>
              <w:ind w:right="155"/>
              <w:jc w:val="right"/>
              <w:rPr>
                <w:rFonts w:ascii="Abadi" w:hAnsi="Abadi" w:cs="Arial"/>
                <w:sz w:val="21"/>
                <w:szCs w:val="21"/>
              </w:rPr>
            </w:pPr>
          </w:p>
          <w:p w14:paraId="65DF0C82" w14:textId="77777777" w:rsidR="008F4A58" w:rsidRPr="008F4A58" w:rsidRDefault="008F4A58" w:rsidP="008F4A58">
            <w:pPr>
              <w:tabs>
                <w:tab w:val="left" w:pos="1150"/>
              </w:tabs>
              <w:ind w:right="155"/>
              <w:jc w:val="right"/>
              <w:rPr>
                <w:rFonts w:ascii="Abadi" w:hAnsi="Abadi" w:cs="Arial"/>
                <w:sz w:val="21"/>
                <w:szCs w:val="21"/>
              </w:rPr>
            </w:pPr>
          </w:p>
          <w:p w14:paraId="38EFB87C" w14:textId="77777777" w:rsidR="008F4A58" w:rsidRPr="008F4A58" w:rsidRDefault="008F4A58" w:rsidP="008F4A58">
            <w:pPr>
              <w:tabs>
                <w:tab w:val="left" w:pos="1150"/>
              </w:tabs>
              <w:ind w:right="155"/>
              <w:jc w:val="right"/>
              <w:rPr>
                <w:rFonts w:ascii="Abadi" w:hAnsi="Abadi" w:cs="Arial"/>
                <w:sz w:val="21"/>
                <w:szCs w:val="21"/>
              </w:rPr>
            </w:pPr>
          </w:p>
          <w:p w14:paraId="5F853E0B" w14:textId="77777777" w:rsidR="008F4A58" w:rsidRPr="008F4A58" w:rsidRDefault="008F4A58" w:rsidP="008F4A58">
            <w:pPr>
              <w:tabs>
                <w:tab w:val="left" w:pos="1150"/>
              </w:tabs>
              <w:ind w:right="155"/>
              <w:jc w:val="right"/>
              <w:rPr>
                <w:rFonts w:ascii="Abadi" w:hAnsi="Abadi" w:cs="Arial"/>
                <w:sz w:val="21"/>
                <w:szCs w:val="21"/>
              </w:rPr>
            </w:pPr>
            <w:r w:rsidRPr="008F4A58">
              <w:rPr>
                <w:rFonts w:ascii="Abadi" w:hAnsi="Abadi" w:cs="Arial"/>
                <w:sz w:val="21"/>
                <w:szCs w:val="21"/>
              </w:rPr>
              <w:t>$1’074,046.30</w:t>
            </w:r>
          </w:p>
        </w:tc>
      </w:tr>
      <w:tr w:rsidR="008F4A58" w:rsidRPr="008F4A58" w14:paraId="0405561B" w14:textId="77777777" w:rsidTr="007245B4">
        <w:trPr>
          <w:jc w:val="center"/>
        </w:trPr>
        <w:tc>
          <w:tcPr>
            <w:tcW w:w="5707" w:type="dxa"/>
            <w:vAlign w:val="center"/>
          </w:tcPr>
          <w:p w14:paraId="38B6FD02" w14:textId="77777777" w:rsidR="008F4A58" w:rsidRPr="008F4A58" w:rsidRDefault="008F4A58" w:rsidP="00B81728">
            <w:pPr>
              <w:numPr>
                <w:ilvl w:val="0"/>
                <w:numId w:val="35"/>
              </w:numPr>
              <w:ind w:left="678" w:hanging="567"/>
              <w:jc w:val="both"/>
              <w:rPr>
                <w:rFonts w:ascii="Abadi" w:hAnsi="Abadi" w:cs="Arial"/>
                <w:sz w:val="21"/>
                <w:szCs w:val="21"/>
              </w:rPr>
            </w:pPr>
            <w:r w:rsidRPr="008F4A58">
              <w:rPr>
                <w:rFonts w:ascii="Abadi" w:hAnsi="Abadi" w:cs="Arial"/>
                <w:sz w:val="21"/>
                <w:szCs w:val="21"/>
              </w:rPr>
              <w:t>Interconexión de la red de drenaje sanitario calle Constituyentes (tramo Unideg-Ignacio Allende y tramo Casas Blancas - Rancho La Concepción), en el municipio de Apaseo el Grande, Guanajuato</w:t>
            </w:r>
          </w:p>
        </w:tc>
        <w:tc>
          <w:tcPr>
            <w:tcW w:w="3077" w:type="dxa"/>
            <w:vAlign w:val="center"/>
          </w:tcPr>
          <w:p w14:paraId="5F14FE1B" w14:textId="77777777" w:rsidR="008F4A58" w:rsidRPr="008F4A58" w:rsidRDefault="008F4A58" w:rsidP="008F4A58">
            <w:pPr>
              <w:tabs>
                <w:tab w:val="left" w:pos="1150"/>
              </w:tabs>
              <w:ind w:right="155"/>
              <w:jc w:val="right"/>
              <w:rPr>
                <w:rFonts w:ascii="Abadi" w:hAnsi="Abadi" w:cs="Arial"/>
                <w:sz w:val="21"/>
                <w:szCs w:val="21"/>
              </w:rPr>
            </w:pPr>
          </w:p>
          <w:p w14:paraId="43653D7B" w14:textId="77777777" w:rsidR="008F4A58" w:rsidRPr="008F4A58" w:rsidRDefault="008F4A58" w:rsidP="008F4A58">
            <w:pPr>
              <w:tabs>
                <w:tab w:val="left" w:pos="1150"/>
              </w:tabs>
              <w:ind w:right="155"/>
              <w:jc w:val="right"/>
              <w:rPr>
                <w:rFonts w:ascii="Abadi" w:hAnsi="Abadi" w:cs="Arial"/>
                <w:sz w:val="21"/>
                <w:szCs w:val="21"/>
              </w:rPr>
            </w:pPr>
          </w:p>
          <w:p w14:paraId="1DF47233" w14:textId="77777777" w:rsidR="008F4A58" w:rsidRPr="008F4A58" w:rsidRDefault="008F4A58" w:rsidP="008F4A58">
            <w:pPr>
              <w:tabs>
                <w:tab w:val="left" w:pos="1150"/>
              </w:tabs>
              <w:ind w:right="155"/>
              <w:jc w:val="right"/>
              <w:rPr>
                <w:rFonts w:ascii="Abadi" w:hAnsi="Abadi" w:cs="Arial"/>
                <w:sz w:val="21"/>
                <w:szCs w:val="21"/>
              </w:rPr>
            </w:pPr>
          </w:p>
          <w:p w14:paraId="45CDD230" w14:textId="77777777" w:rsidR="008F4A58" w:rsidRPr="008F4A58" w:rsidRDefault="008F4A58" w:rsidP="008F4A58">
            <w:pPr>
              <w:tabs>
                <w:tab w:val="left" w:pos="1150"/>
              </w:tabs>
              <w:ind w:right="155"/>
              <w:jc w:val="right"/>
              <w:rPr>
                <w:rFonts w:ascii="Abadi" w:hAnsi="Abadi" w:cs="Arial"/>
                <w:sz w:val="21"/>
                <w:szCs w:val="21"/>
              </w:rPr>
            </w:pPr>
            <w:r w:rsidRPr="008F4A58">
              <w:rPr>
                <w:rFonts w:ascii="Abadi" w:hAnsi="Abadi" w:cs="Arial"/>
                <w:sz w:val="21"/>
                <w:szCs w:val="21"/>
              </w:rPr>
              <w:t>$1’509,842.10</w:t>
            </w:r>
          </w:p>
        </w:tc>
      </w:tr>
      <w:tr w:rsidR="008F4A58" w:rsidRPr="008F4A58" w14:paraId="1A92EBB5" w14:textId="77777777" w:rsidTr="007245B4">
        <w:trPr>
          <w:jc w:val="center"/>
        </w:trPr>
        <w:tc>
          <w:tcPr>
            <w:tcW w:w="5707" w:type="dxa"/>
            <w:vAlign w:val="center"/>
          </w:tcPr>
          <w:p w14:paraId="5BC4F50A" w14:textId="77777777" w:rsidR="008F4A58" w:rsidRPr="008F4A58" w:rsidRDefault="008F4A58" w:rsidP="00B81728">
            <w:pPr>
              <w:numPr>
                <w:ilvl w:val="0"/>
                <w:numId w:val="35"/>
              </w:numPr>
              <w:ind w:left="678" w:hanging="608"/>
              <w:jc w:val="both"/>
              <w:rPr>
                <w:rFonts w:ascii="Abadi" w:hAnsi="Abadi" w:cs="Arial"/>
                <w:sz w:val="21"/>
                <w:szCs w:val="21"/>
              </w:rPr>
            </w:pPr>
            <w:r w:rsidRPr="008F4A58">
              <w:rPr>
                <w:rFonts w:ascii="Abadi" w:hAnsi="Abadi" w:cs="Arial"/>
                <w:sz w:val="21"/>
                <w:szCs w:val="21"/>
              </w:rPr>
              <w:t>Rehabilitación de calle Prolongación San Luis Montañez a base de carpeta asfáltica, en el municipio de Apaseo el Grande, Guanajuato</w:t>
            </w:r>
          </w:p>
        </w:tc>
        <w:tc>
          <w:tcPr>
            <w:tcW w:w="3077" w:type="dxa"/>
            <w:vAlign w:val="center"/>
          </w:tcPr>
          <w:p w14:paraId="2DF9796B" w14:textId="77777777" w:rsidR="008F4A58" w:rsidRPr="008F4A58" w:rsidRDefault="008F4A58" w:rsidP="008F4A58">
            <w:pPr>
              <w:tabs>
                <w:tab w:val="left" w:pos="1150"/>
              </w:tabs>
              <w:ind w:right="155"/>
              <w:jc w:val="right"/>
              <w:rPr>
                <w:rFonts w:ascii="Abadi" w:hAnsi="Abadi" w:cs="Arial"/>
                <w:sz w:val="21"/>
                <w:szCs w:val="21"/>
              </w:rPr>
            </w:pPr>
          </w:p>
          <w:p w14:paraId="56B3D037" w14:textId="77777777" w:rsidR="008F4A58" w:rsidRPr="008F4A58" w:rsidRDefault="008F4A58" w:rsidP="008F4A58">
            <w:pPr>
              <w:tabs>
                <w:tab w:val="left" w:pos="1150"/>
              </w:tabs>
              <w:ind w:right="155"/>
              <w:jc w:val="right"/>
              <w:rPr>
                <w:rFonts w:ascii="Abadi" w:hAnsi="Abadi" w:cs="Arial"/>
                <w:sz w:val="21"/>
                <w:szCs w:val="21"/>
              </w:rPr>
            </w:pPr>
          </w:p>
          <w:p w14:paraId="4B47BFB9" w14:textId="77777777" w:rsidR="008F4A58" w:rsidRPr="008F4A58" w:rsidRDefault="008F4A58" w:rsidP="008F4A58">
            <w:pPr>
              <w:tabs>
                <w:tab w:val="left" w:pos="1150"/>
              </w:tabs>
              <w:ind w:right="155"/>
              <w:jc w:val="right"/>
              <w:rPr>
                <w:rFonts w:ascii="Abadi" w:hAnsi="Abadi" w:cs="Arial"/>
                <w:sz w:val="21"/>
                <w:szCs w:val="21"/>
              </w:rPr>
            </w:pPr>
            <w:r w:rsidRPr="008F4A58">
              <w:rPr>
                <w:rFonts w:ascii="Abadi" w:hAnsi="Abadi" w:cs="Arial"/>
                <w:sz w:val="21"/>
                <w:szCs w:val="21"/>
              </w:rPr>
              <w:t>$1’784,000.00</w:t>
            </w:r>
          </w:p>
        </w:tc>
      </w:tr>
      <w:tr w:rsidR="008F4A58" w:rsidRPr="008F4A58" w14:paraId="40062DDA" w14:textId="77777777" w:rsidTr="007245B4">
        <w:trPr>
          <w:jc w:val="center"/>
        </w:trPr>
        <w:tc>
          <w:tcPr>
            <w:tcW w:w="5707" w:type="dxa"/>
            <w:vAlign w:val="center"/>
          </w:tcPr>
          <w:p w14:paraId="11694DE2" w14:textId="77777777" w:rsidR="008F4A58" w:rsidRPr="008F4A58" w:rsidRDefault="008F4A58" w:rsidP="008F4A58">
            <w:pPr>
              <w:ind w:left="678"/>
              <w:jc w:val="both"/>
              <w:rPr>
                <w:rFonts w:ascii="Abadi" w:hAnsi="Abadi" w:cs="Arial"/>
                <w:b/>
                <w:sz w:val="21"/>
                <w:szCs w:val="21"/>
              </w:rPr>
            </w:pPr>
            <w:r w:rsidRPr="008F4A58">
              <w:rPr>
                <w:rFonts w:ascii="Abadi" w:hAnsi="Abadi" w:cs="Arial"/>
                <w:b/>
                <w:sz w:val="21"/>
                <w:szCs w:val="21"/>
              </w:rPr>
              <w:t>Total</w:t>
            </w:r>
          </w:p>
        </w:tc>
        <w:tc>
          <w:tcPr>
            <w:tcW w:w="3077" w:type="dxa"/>
            <w:vAlign w:val="center"/>
          </w:tcPr>
          <w:p w14:paraId="0FDD8363" w14:textId="77777777" w:rsidR="008F4A58" w:rsidRPr="008F4A58" w:rsidRDefault="008F4A58" w:rsidP="008F4A58">
            <w:pPr>
              <w:tabs>
                <w:tab w:val="left" w:pos="1150"/>
              </w:tabs>
              <w:ind w:right="155"/>
              <w:jc w:val="right"/>
              <w:rPr>
                <w:rFonts w:ascii="Abadi" w:hAnsi="Abadi" w:cs="Arial"/>
                <w:b/>
                <w:sz w:val="21"/>
                <w:szCs w:val="21"/>
              </w:rPr>
            </w:pPr>
            <w:r w:rsidRPr="008F4A58">
              <w:rPr>
                <w:rFonts w:ascii="Abadi" w:hAnsi="Abadi"/>
                <w:b/>
                <w:sz w:val="21"/>
                <w:szCs w:val="21"/>
              </w:rPr>
              <w:t>$15’000,000.00</w:t>
            </w:r>
          </w:p>
        </w:tc>
      </w:tr>
    </w:tbl>
    <w:p w14:paraId="4819E993" w14:textId="77777777" w:rsidR="008F4A58" w:rsidRPr="008F4A58" w:rsidRDefault="008F4A58" w:rsidP="008F4A58">
      <w:pPr>
        <w:tabs>
          <w:tab w:val="left" w:pos="1276"/>
        </w:tabs>
        <w:jc w:val="right"/>
        <w:rPr>
          <w:rFonts w:ascii="Abadi" w:hAnsi="Abadi" w:cs="Arial"/>
          <w:b/>
          <w:i/>
          <w:sz w:val="21"/>
          <w:szCs w:val="21"/>
          <w:lang w:eastAsia="en-US"/>
        </w:rPr>
      </w:pPr>
    </w:p>
    <w:p w14:paraId="050A5598" w14:textId="77777777" w:rsidR="008F4A58" w:rsidRDefault="008F4A58" w:rsidP="008F4A58">
      <w:pPr>
        <w:tabs>
          <w:tab w:val="left" w:pos="1276"/>
        </w:tabs>
        <w:jc w:val="right"/>
        <w:rPr>
          <w:rFonts w:ascii="Abadi" w:hAnsi="Abadi" w:cs="Arial"/>
          <w:b/>
          <w:i/>
          <w:sz w:val="21"/>
          <w:szCs w:val="21"/>
          <w:lang w:eastAsia="en-US"/>
        </w:rPr>
      </w:pPr>
    </w:p>
    <w:p w14:paraId="25227D07" w14:textId="50D7E21D" w:rsidR="008F4A58" w:rsidRPr="008F4A58" w:rsidRDefault="008F4A58" w:rsidP="008F4A58">
      <w:pPr>
        <w:tabs>
          <w:tab w:val="left" w:pos="1276"/>
        </w:tabs>
        <w:jc w:val="right"/>
        <w:rPr>
          <w:rFonts w:ascii="Abadi" w:hAnsi="Abadi" w:cs="Arial"/>
          <w:b/>
          <w:i/>
          <w:sz w:val="21"/>
          <w:szCs w:val="21"/>
          <w:lang w:eastAsia="en-US"/>
        </w:rPr>
      </w:pPr>
      <w:r w:rsidRPr="008F4A58">
        <w:rPr>
          <w:rFonts w:ascii="Abadi" w:hAnsi="Abadi" w:cs="Arial"/>
          <w:b/>
          <w:i/>
          <w:sz w:val="21"/>
          <w:szCs w:val="21"/>
          <w:lang w:eastAsia="en-US"/>
        </w:rPr>
        <w:t>Plazo de los financiamientos</w:t>
      </w:r>
    </w:p>
    <w:p w14:paraId="37233A1A" w14:textId="77777777" w:rsidR="008F4A58" w:rsidRPr="008F4A58" w:rsidRDefault="008F4A58" w:rsidP="008F4A58">
      <w:pPr>
        <w:spacing w:line="360" w:lineRule="auto"/>
        <w:ind w:firstLine="708"/>
        <w:jc w:val="both"/>
        <w:rPr>
          <w:rFonts w:ascii="Abadi" w:hAnsi="Abadi" w:cs="Arial"/>
          <w:iCs/>
          <w:sz w:val="21"/>
          <w:szCs w:val="21"/>
        </w:rPr>
      </w:pPr>
      <w:r w:rsidRPr="008F4A58">
        <w:rPr>
          <w:rFonts w:ascii="Abadi" w:hAnsi="Abadi" w:cs="Arial"/>
          <w:b/>
          <w:bCs/>
          <w:sz w:val="21"/>
          <w:szCs w:val="21"/>
        </w:rPr>
        <w:t>Artículo Tercero.</w:t>
      </w:r>
      <w:r w:rsidRPr="008F4A58">
        <w:rPr>
          <w:rFonts w:ascii="Abadi" w:hAnsi="Abadi" w:cs="Arial"/>
          <w:sz w:val="21"/>
          <w:szCs w:val="21"/>
        </w:rPr>
        <w:t xml:space="preserve"> El importe de las obligaciones que deriven a su cargo, conforme a las operaciones de financiamiento que realice en términos del presente Decreto, serán pagadas por el ayuntamiento de Apaseo el Grande, Gto., a </w:t>
      </w:r>
      <w:r w:rsidRPr="008F4A58">
        <w:rPr>
          <w:rFonts w:ascii="Abadi" w:hAnsi="Abadi" w:cs="Arial"/>
          <w:sz w:val="21"/>
          <w:szCs w:val="21"/>
        </w:rPr>
        <w:t>la correspondiente institución financiera nacional, a través del esquema jurídico y financiero que se elija y en un plazo que no excederá de 10 años, contados a partir de la primera disposición</w:t>
      </w:r>
      <w:r w:rsidRPr="008F4A58">
        <w:rPr>
          <w:rFonts w:ascii="Abadi" w:hAnsi="Abadi" w:cs="Arial"/>
          <w:iCs/>
          <w:sz w:val="21"/>
          <w:szCs w:val="21"/>
        </w:rPr>
        <w:t>.</w:t>
      </w:r>
    </w:p>
    <w:p w14:paraId="5D78D900" w14:textId="77777777" w:rsidR="008F4A58" w:rsidRPr="008F4A58" w:rsidRDefault="008F4A58" w:rsidP="008F4A58">
      <w:pPr>
        <w:tabs>
          <w:tab w:val="left" w:pos="1276"/>
        </w:tabs>
        <w:jc w:val="right"/>
        <w:rPr>
          <w:rFonts w:ascii="Abadi" w:hAnsi="Abadi" w:cs="Arial"/>
          <w:b/>
          <w:i/>
          <w:sz w:val="21"/>
          <w:szCs w:val="21"/>
          <w:lang w:eastAsia="en-US"/>
        </w:rPr>
      </w:pPr>
    </w:p>
    <w:p w14:paraId="0029C1E0" w14:textId="77777777" w:rsidR="008F4A58" w:rsidRPr="008F4A58" w:rsidRDefault="008F4A58" w:rsidP="008F4A58">
      <w:pPr>
        <w:tabs>
          <w:tab w:val="left" w:pos="1276"/>
        </w:tabs>
        <w:jc w:val="right"/>
        <w:rPr>
          <w:rFonts w:ascii="Abadi" w:hAnsi="Abadi" w:cs="Arial"/>
          <w:b/>
          <w:i/>
          <w:sz w:val="21"/>
          <w:szCs w:val="21"/>
          <w:lang w:eastAsia="en-US"/>
        </w:rPr>
      </w:pPr>
      <w:r w:rsidRPr="008F4A58">
        <w:rPr>
          <w:rFonts w:ascii="Abadi" w:hAnsi="Abadi" w:cs="Arial"/>
          <w:b/>
          <w:i/>
          <w:sz w:val="21"/>
          <w:szCs w:val="21"/>
          <w:lang w:eastAsia="en-US"/>
        </w:rPr>
        <w:t>Garantía y registros</w:t>
      </w:r>
    </w:p>
    <w:p w14:paraId="5CFF5EED" w14:textId="77777777" w:rsidR="008F4A58" w:rsidRPr="008F4A58" w:rsidRDefault="008F4A58" w:rsidP="008F4A58">
      <w:pPr>
        <w:spacing w:line="360" w:lineRule="auto"/>
        <w:ind w:firstLine="708"/>
        <w:jc w:val="both"/>
        <w:rPr>
          <w:rFonts w:ascii="Abadi" w:hAnsi="Abadi" w:cs="Arial"/>
          <w:iCs/>
          <w:sz w:val="21"/>
          <w:szCs w:val="21"/>
        </w:rPr>
      </w:pPr>
      <w:r w:rsidRPr="008F4A58">
        <w:rPr>
          <w:rFonts w:ascii="Abadi" w:hAnsi="Abadi" w:cs="Arial"/>
          <w:b/>
          <w:bCs/>
          <w:sz w:val="21"/>
          <w:szCs w:val="21"/>
        </w:rPr>
        <w:t>Artículo Cuarto.</w:t>
      </w:r>
      <w:r w:rsidRPr="008F4A58">
        <w:rPr>
          <w:rFonts w:ascii="Abadi" w:hAnsi="Abadi" w:cs="Arial"/>
          <w:sz w:val="21"/>
          <w:szCs w:val="21"/>
        </w:rPr>
        <w:t xml:space="preserve"> </w:t>
      </w:r>
      <w:r w:rsidRPr="008F4A58">
        <w:rPr>
          <w:rFonts w:ascii="Abadi" w:hAnsi="Abadi" w:cs="Arial"/>
          <w:iCs/>
          <w:sz w:val="21"/>
          <w:szCs w:val="21"/>
        </w:rPr>
        <w:t xml:space="preserve">Previo análisis del destino y capacidad de pago, se autoriza al ayuntamiento de </w:t>
      </w:r>
      <w:r w:rsidRPr="008F4A58">
        <w:rPr>
          <w:rFonts w:ascii="Abadi" w:hAnsi="Abadi" w:cs="Arial"/>
          <w:sz w:val="21"/>
          <w:szCs w:val="21"/>
        </w:rPr>
        <w:t>Apaseo el Grande</w:t>
      </w:r>
      <w:r w:rsidRPr="008F4A58">
        <w:rPr>
          <w:rFonts w:ascii="Abadi" w:hAnsi="Abadi" w:cs="Arial"/>
          <w:iCs/>
          <w:sz w:val="21"/>
          <w:szCs w:val="21"/>
        </w:rPr>
        <w:t>, Gto., para que en garantía o fuente de pago de las obligaciones a su cargo, derivadas de los financiamientos materia del presente decreto, afecte las participaciones presentes y futuras que en ingresos federales correspondan al Municipio del Fondo General o Fondo de Fomento Municipal, las aportaciones federales susceptibles de afectación o ingresos propios en términos de la legislación aplicable, sin perjuicio de afectaciones anteriores, o la modalidad que sea más conveniente a las finanzas municipales, garantía que se inscribirá en el Registro Estatal de la Deuda Pública y Obligaciones, a cargo de la Secretaría de Finanzas, Inversión y Administración, así como en el Registro Público Único de Financiamientos y Obligaciones de Entidades Federativas y Municipios a cargo de la Secretaría de Hacienda y Crédito Público.</w:t>
      </w:r>
    </w:p>
    <w:p w14:paraId="4BE99EE9" w14:textId="77777777" w:rsidR="008F4A58" w:rsidRPr="008F4A58" w:rsidRDefault="008F4A58" w:rsidP="008F4A58">
      <w:pPr>
        <w:tabs>
          <w:tab w:val="left" w:pos="1276"/>
        </w:tabs>
        <w:jc w:val="right"/>
        <w:rPr>
          <w:rFonts w:ascii="Abadi" w:hAnsi="Abadi" w:cs="Arial"/>
          <w:b/>
          <w:i/>
          <w:sz w:val="21"/>
          <w:szCs w:val="21"/>
          <w:lang w:eastAsia="en-US"/>
        </w:rPr>
      </w:pPr>
    </w:p>
    <w:p w14:paraId="5C823FB0" w14:textId="77777777" w:rsidR="008F4A58" w:rsidRPr="008F4A58" w:rsidRDefault="008F4A58" w:rsidP="008F4A58">
      <w:pPr>
        <w:tabs>
          <w:tab w:val="left" w:pos="1276"/>
        </w:tabs>
        <w:jc w:val="right"/>
        <w:rPr>
          <w:rFonts w:ascii="Abadi" w:hAnsi="Abadi" w:cs="Arial"/>
          <w:b/>
          <w:i/>
          <w:sz w:val="21"/>
          <w:szCs w:val="21"/>
          <w:lang w:eastAsia="en-US"/>
        </w:rPr>
      </w:pPr>
      <w:r w:rsidRPr="008F4A58">
        <w:rPr>
          <w:rFonts w:ascii="Abadi" w:hAnsi="Abadi" w:cs="Arial"/>
          <w:b/>
          <w:i/>
          <w:sz w:val="21"/>
          <w:szCs w:val="21"/>
          <w:lang w:eastAsia="en-US"/>
        </w:rPr>
        <w:t>Obligación de remitir información</w:t>
      </w:r>
    </w:p>
    <w:p w14:paraId="06FEF75D" w14:textId="16FBB192" w:rsidR="008F4A58" w:rsidRPr="008F4A58" w:rsidRDefault="008F4A58" w:rsidP="008F4A58">
      <w:pPr>
        <w:spacing w:line="360" w:lineRule="auto"/>
        <w:ind w:firstLine="705"/>
        <w:jc w:val="both"/>
        <w:rPr>
          <w:rFonts w:ascii="Abadi" w:hAnsi="Abadi" w:cs="Arial"/>
          <w:iCs/>
          <w:sz w:val="21"/>
          <w:szCs w:val="21"/>
        </w:rPr>
      </w:pPr>
      <w:r w:rsidRPr="008F4A58">
        <w:rPr>
          <w:rFonts w:ascii="Abadi" w:hAnsi="Abadi" w:cs="Arial"/>
          <w:b/>
          <w:bCs/>
          <w:iCs/>
          <w:sz w:val="21"/>
          <w:szCs w:val="21"/>
        </w:rPr>
        <w:t xml:space="preserve">Artículo Quinto. </w:t>
      </w:r>
      <w:r w:rsidRPr="008F4A58">
        <w:rPr>
          <w:rFonts w:ascii="Abadi" w:hAnsi="Abadi" w:cs="Arial"/>
          <w:iCs/>
          <w:sz w:val="21"/>
          <w:szCs w:val="21"/>
        </w:rPr>
        <w:t xml:space="preserve">El ayuntamiento de </w:t>
      </w:r>
      <w:r w:rsidRPr="008F4A58">
        <w:rPr>
          <w:rFonts w:ascii="Abadi" w:hAnsi="Abadi" w:cs="Arial"/>
          <w:sz w:val="21"/>
          <w:szCs w:val="21"/>
        </w:rPr>
        <w:t>Apaseo el Grande</w:t>
      </w:r>
      <w:r w:rsidRPr="008F4A58">
        <w:rPr>
          <w:rFonts w:ascii="Abadi" w:hAnsi="Abadi" w:cs="Arial"/>
          <w:iCs/>
          <w:sz w:val="21"/>
          <w:szCs w:val="21"/>
        </w:rPr>
        <w:t>, Gto., remitirá al Congreso del Estado, dentro de los treinta días siguientes a la suscripción del contrato de apertura de crédito, copia certificada del mismo, incluyendo sus anexos.</w:t>
      </w:r>
    </w:p>
    <w:p w14:paraId="7683CF32" w14:textId="77777777" w:rsidR="008F4A58" w:rsidRPr="008F4A58" w:rsidRDefault="008F4A58" w:rsidP="008F4A58">
      <w:pPr>
        <w:tabs>
          <w:tab w:val="left" w:pos="1276"/>
        </w:tabs>
        <w:jc w:val="right"/>
        <w:rPr>
          <w:rFonts w:ascii="Abadi" w:hAnsi="Abadi" w:cs="Arial"/>
          <w:b/>
          <w:i/>
          <w:sz w:val="21"/>
          <w:szCs w:val="21"/>
          <w:lang w:eastAsia="en-US"/>
        </w:rPr>
      </w:pPr>
    </w:p>
    <w:p w14:paraId="7E645052" w14:textId="77777777" w:rsidR="008F4A58" w:rsidRPr="008F4A58" w:rsidRDefault="008F4A58" w:rsidP="008F4A58">
      <w:pPr>
        <w:tabs>
          <w:tab w:val="left" w:pos="1276"/>
        </w:tabs>
        <w:jc w:val="right"/>
        <w:rPr>
          <w:rFonts w:ascii="Abadi" w:hAnsi="Abadi" w:cs="Arial"/>
          <w:b/>
          <w:i/>
          <w:sz w:val="21"/>
          <w:szCs w:val="21"/>
          <w:lang w:eastAsia="en-US"/>
        </w:rPr>
      </w:pPr>
      <w:r w:rsidRPr="008F4A58">
        <w:rPr>
          <w:rFonts w:ascii="Abadi" w:hAnsi="Abadi" w:cs="Arial"/>
          <w:b/>
          <w:i/>
          <w:sz w:val="21"/>
          <w:szCs w:val="21"/>
          <w:lang w:eastAsia="en-US"/>
        </w:rPr>
        <w:t>Plazo para ejercer la autorización</w:t>
      </w:r>
    </w:p>
    <w:p w14:paraId="696A5A10" w14:textId="77777777" w:rsidR="008F4A58" w:rsidRPr="008F4A58" w:rsidRDefault="008F4A58" w:rsidP="008F4A58">
      <w:pPr>
        <w:spacing w:line="360" w:lineRule="auto"/>
        <w:ind w:firstLine="705"/>
        <w:jc w:val="both"/>
        <w:rPr>
          <w:rFonts w:ascii="Abadi" w:hAnsi="Abadi" w:cs="Arial"/>
          <w:sz w:val="21"/>
          <w:szCs w:val="21"/>
        </w:rPr>
      </w:pPr>
      <w:r w:rsidRPr="008F4A58">
        <w:rPr>
          <w:rFonts w:ascii="Abadi" w:hAnsi="Abadi" w:cs="Arial"/>
          <w:b/>
          <w:bCs/>
          <w:iCs/>
          <w:sz w:val="21"/>
          <w:szCs w:val="21"/>
        </w:rPr>
        <w:t xml:space="preserve">Artículo Sexto. </w:t>
      </w:r>
      <w:r w:rsidRPr="008F4A58">
        <w:rPr>
          <w:rFonts w:ascii="Abadi" w:hAnsi="Abadi" w:cs="Arial"/>
          <w:sz w:val="21"/>
          <w:szCs w:val="21"/>
        </w:rPr>
        <w:t xml:space="preserve">El ayuntamiento de Apaseo el Grande, Gto., contará con un término </w:t>
      </w:r>
      <w:r w:rsidRPr="008F4A58">
        <w:rPr>
          <w:rFonts w:ascii="Abadi" w:hAnsi="Abadi" w:cs="Arial"/>
          <w:sz w:val="21"/>
          <w:szCs w:val="21"/>
        </w:rPr>
        <w:lastRenderedPageBreak/>
        <w:t>hasta el 31 de diciembre de 2023 para suscribir los contratos correspondientes, de lo contrario la autorización quedará sin efecto.</w:t>
      </w:r>
    </w:p>
    <w:p w14:paraId="300E16D1" w14:textId="77777777" w:rsidR="008F4A58" w:rsidRPr="008F4A58" w:rsidRDefault="008F4A58" w:rsidP="008F4A58">
      <w:pPr>
        <w:tabs>
          <w:tab w:val="left" w:pos="1276"/>
        </w:tabs>
        <w:jc w:val="right"/>
        <w:rPr>
          <w:rFonts w:ascii="Abadi" w:hAnsi="Abadi" w:cs="Arial"/>
          <w:b/>
          <w:i/>
          <w:sz w:val="21"/>
          <w:szCs w:val="21"/>
          <w:lang w:eastAsia="en-US"/>
        </w:rPr>
      </w:pPr>
      <w:r w:rsidRPr="008F4A58">
        <w:rPr>
          <w:rFonts w:ascii="Abadi" w:hAnsi="Abadi" w:cs="Arial"/>
          <w:b/>
          <w:i/>
          <w:sz w:val="21"/>
          <w:szCs w:val="21"/>
          <w:lang w:eastAsia="en-US"/>
        </w:rPr>
        <w:t>Recomendación de restringir el gasto corriente</w:t>
      </w:r>
    </w:p>
    <w:p w14:paraId="278E2532" w14:textId="77777777" w:rsidR="008F4A58" w:rsidRPr="008F4A58" w:rsidRDefault="008F4A58" w:rsidP="008F4A58">
      <w:pPr>
        <w:spacing w:line="360" w:lineRule="auto"/>
        <w:ind w:firstLine="705"/>
        <w:jc w:val="both"/>
        <w:rPr>
          <w:rFonts w:ascii="Abadi" w:hAnsi="Abadi" w:cs="Arial"/>
          <w:sz w:val="21"/>
          <w:szCs w:val="21"/>
        </w:rPr>
      </w:pPr>
      <w:r w:rsidRPr="008F4A58">
        <w:rPr>
          <w:rFonts w:ascii="Abadi" w:hAnsi="Abadi" w:cs="Arial"/>
          <w:b/>
          <w:sz w:val="21"/>
          <w:szCs w:val="21"/>
        </w:rPr>
        <w:t xml:space="preserve">Artículo </w:t>
      </w:r>
      <w:r w:rsidRPr="008F4A58">
        <w:rPr>
          <w:rFonts w:ascii="Abadi" w:hAnsi="Abadi" w:cs="Arial"/>
          <w:b/>
          <w:bCs/>
          <w:iCs/>
          <w:sz w:val="21"/>
          <w:szCs w:val="21"/>
        </w:rPr>
        <w:t>Séptimo</w:t>
      </w:r>
      <w:r w:rsidRPr="008F4A58">
        <w:rPr>
          <w:rFonts w:ascii="Abadi" w:hAnsi="Abadi" w:cs="Arial"/>
          <w:b/>
          <w:sz w:val="21"/>
          <w:szCs w:val="21"/>
        </w:rPr>
        <w:t>.</w:t>
      </w:r>
      <w:r w:rsidRPr="008F4A58">
        <w:rPr>
          <w:rFonts w:ascii="Abadi" w:hAnsi="Abadi" w:cs="Arial"/>
          <w:sz w:val="21"/>
          <w:szCs w:val="21"/>
        </w:rPr>
        <w:t xml:space="preserve"> Se recomienda al ayuntamiento </w:t>
      </w:r>
      <w:r w:rsidRPr="008F4A58">
        <w:rPr>
          <w:rFonts w:ascii="Abadi" w:hAnsi="Abadi" w:cs="Arial"/>
          <w:iCs/>
          <w:sz w:val="21"/>
          <w:szCs w:val="21"/>
        </w:rPr>
        <w:t xml:space="preserve">de </w:t>
      </w:r>
      <w:r w:rsidRPr="008F4A58">
        <w:rPr>
          <w:rFonts w:ascii="Abadi" w:hAnsi="Abadi" w:cs="Arial"/>
          <w:sz w:val="21"/>
          <w:szCs w:val="21"/>
        </w:rPr>
        <w:t>Apaseo el Grande</w:t>
      </w:r>
      <w:r w:rsidRPr="008F4A58">
        <w:rPr>
          <w:rFonts w:ascii="Abadi" w:hAnsi="Abadi" w:cs="Arial"/>
          <w:iCs/>
          <w:sz w:val="21"/>
          <w:szCs w:val="21"/>
        </w:rPr>
        <w:t xml:space="preserve">, Gto., </w:t>
      </w:r>
      <w:r w:rsidRPr="008F4A58">
        <w:rPr>
          <w:rFonts w:ascii="Abadi" w:hAnsi="Abadi" w:cs="Arial"/>
          <w:sz w:val="21"/>
          <w:szCs w:val="21"/>
        </w:rPr>
        <w:t>restringir las partidas de gasto corriente, a fin de que se cubran sin contratiempos los compromisos que se adquieran con la contratación del financiamiento.</w:t>
      </w:r>
    </w:p>
    <w:p w14:paraId="1335BDC4" w14:textId="77777777" w:rsidR="008F4A58" w:rsidRPr="008F4A58" w:rsidRDefault="008F4A58" w:rsidP="008F4A58">
      <w:pPr>
        <w:tabs>
          <w:tab w:val="left" w:pos="1276"/>
        </w:tabs>
        <w:jc w:val="right"/>
        <w:rPr>
          <w:rFonts w:ascii="Abadi" w:hAnsi="Abadi" w:cs="Arial"/>
          <w:b/>
          <w:i/>
          <w:sz w:val="21"/>
          <w:szCs w:val="21"/>
          <w:lang w:eastAsia="en-US"/>
        </w:rPr>
      </w:pPr>
    </w:p>
    <w:p w14:paraId="0FBDD070" w14:textId="77777777" w:rsidR="008F4A58" w:rsidRPr="008F4A58" w:rsidRDefault="008F4A58" w:rsidP="008F4A58">
      <w:pPr>
        <w:tabs>
          <w:tab w:val="left" w:pos="1276"/>
        </w:tabs>
        <w:jc w:val="right"/>
        <w:rPr>
          <w:rFonts w:ascii="Abadi" w:hAnsi="Abadi" w:cs="Arial"/>
          <w:b/>
          <w:i/>
          <w:sz w:val="21"/>
          <w:szCs w:val="21"/>
          <w:lang w:eastAsia="en-US"/>
        </w:rPr>
      </w:pPr>
      <w:r w:rsidRPr="008F4A58">
        <w:rPr>
          <w:rFonts w:ascii="Abadi" w:hAnsi="Abadi" w:cs="Arial"/>
          <w:b/>
          <w:i/>
          <w:sz w:val="21"/>
          <w:szCs w:val="21"/>
          <w:lang w:eastAsia="en-US"/>
        </w:rPr>
        <w:t>Obligación de informar en la cuenta pública</w:t>
      </w:r>
    </w:p>
    <w:p w14:paraId="7FF2100E" w14:textId="77777777" w:rsidR="008F4A58" w:rsidRPr="008F4A58" w:rsidRDefault="008F4A58" w:rsidP="008F4A58">
      <w:pPr>
        <w:spacing w:line="360" w:lineRule="auto"/>
        <w:ind w:firstLine="705"/>
        <w:jc w:val="both"/>
        <w:rPr>
          <w:rFonts w:ascii="Abadi" w:hAnsi="Abadi" w:cs="Arial"/>
          <w:sz w:val="21"/>
          <w:szCs w:val="21"/>
        </w:rPr>
      </w:pPr>
      <w:r w:rsidRPr="008F4A58">
        <w:rPr>
          <w:rFonts w:ascii="Abadi" w:hAnsi="Abadi" w:cs="Arial"/>
          <w:b/>
          <w:bCs/>
          <w:iCs/>
          <w:sz w:val="21"/>
          <w:szCs w:val="21"/>
        </w:rPr>
        <w:t>Artículo Octavo.</w:t>
      </w:r>
      <w:r w:rsidRPr="008F4A58">
        <w:rPr>
          <w:rFonts w:ascii="Abadi" w:hAnsi="Abadi" w:cs="Arial"/>
          <w:b/>
          <w:sz w:val="21"/>
          <w:szCs w:val="21"/>
        </w:rPr>
        <w:t xml:space="preserve"> </w:t>
      </w:r>
      <w:r w:rsidRPr="008F4A58">
        <w:rPr>
          <w:rFonts w:ascii="Abadi" w:hAnsi="Abadi" w:cs="Arial"/>
          <w:sz w:val="21"/>
          <w:szCs w:val="21"/>
        </w:rPr>
        <w:t>El ayuntamiento</w:t>
      </w:r>
      <w:r w:rsidRPr="008F4A58">
        <w:rPr>
          <w:rFonts w:ascii="Abadi" w:hAnsi="Abadi" w:cs="Arial"/>
          <w:iCs/>
          <w:sz w:val="21"/>
          <w:szCs w:val="21"/>
        </w:rPr>
        <w:t xml:space="preserve"> de </w:t>
      </w:r>
      <w:r w:rsidRPr="008F4A58">
        <w:rPr>
          <w:rFonts w:ascii="Abadi" w:hAnsi="Abadi" w:cs="Arial"/>
          <w:sz w:val="21"/>
          <w:szCs w:val="21"/>
        </w:rPr>
        <w:t>Apaseo el Grande</w:t>
      </w:r>
      <w:r w:rsidRPr="008F4A58">
        <w:rPr>
          <w:rFonts w:ascii="Abadi" w:hAnsi="Abadi" w:cs="Arial"/>
          <w:iCs/>
          <w:sz w:val="21"/>
          <w:szCs w:val="21"/>
        </w:rPr>
        <w:t>, Gto.,</w:t>
      </w:r>
      <w:r w:rsidRPr="008F4A58">
        <w:rPr>
          <w:rFonts w:ascii="Abadi" w:hAnsi="Abadi" w:cs="Arial"/>
          <w:sz w:val="21"/>
          <w:szCs w:val="21"/>
        </w:rPr>
        <w:t xml:space="preserve"> deberá informar en un apartado especial de los informes financieros trimestrales y de la cuenta pública anual sobre el avance físico y financiero de las obras y acciones a ejecutar con los recursos del financiamiento materia de la presente autorización.</w:t>
      </w:r>
    </w:p>
    <w:p w14:paraId="045EF235" w14:textId="77777777" w:rsidR="008F4A58" w:rsidRPr="008F4A58" w:rsidRDefault="008F4A58" w:rsidP="008F4A58">
      <w:pPr>
        <w:spacing w:line="360" w:lineRule="auto"/>
        <w:jc w:val="center"/>
        <w:rPr>
          <w:rFonts w:ascii="Abadi" w:hAnsi="Abadi" w:cs="Arial"/>
          <w:b/>
          <w:iCs/>
          <w:sz w:val="21"/>
          <w:szCs w:val="21"/>
          <w:lang w:val="es-MX"/>
        </w:rPr>
      </w:pPr>
    </w:p>
    <w:p w14:paraId="497E9E51" w14:textId="39B095F1" w:rsidR="008F4A58" w:rsidRDefault="008F4A58" w:rsidP="008F4A58">
      <w:pPr>
        <w:spacing w:line="360" w:lineRule="auto"/>
        <w:jc w:val="center"/>
        <w:rPr>
          <w:rFonts w:ascii="Abadi" w:hAnsi="Abadi" w:cs="Arial"/>
          <w:b/>
          <w:iCs/>
          <w:sz w:val="21"/>
          <w:szCs w:val="21"/>
          <w:lang w:val="es-MX"/>
        </w:rPr>
      </w:pPr>
      <w:r w:rsidRPr="008F4A58">
        <w:rPr>
          <w:rFonts w:ascii="Abadi" w:hAnsi="Abadi" w:cs="Arial"/>
          <w:b/>
          <w:iCs/>
          <w:sz w:val="21"/>
          <w:szCs w:val="21"/>
          <w:lang w:val="es-MX"/>
        </w:rPr>
        <w:t>T R A N S I T O R I O S</w:t>
      </w:r>
    </w:p>
    <w:p w14:paraId="4675243A" w14:textId="77777777" w:rsidR="008F4A58" w:rsidRPr="008F4A58" w:rsidRDefault="008F4A58" w:rsidP="008F4A58">
      <w:pPr>
        <w:spacing w:line="360" w:lineRule="auto"/>
        <w:jc w:val="center"/>
        <w:rPr>
          <w:rFonts w:ascii="Abadi" w:hAnsi="Abadi" w:cs="Arial"/>
          <w:b/>
          <w:iCs/>
          <w:sz w:val="21"/>
          <w:szCs w:val="21"/>
          <w:lang w:val="es-MX"/>
        </w:rPr>
      </w:pPr>
    </w:p>
    <w:p w14:paraId="198C52B5" w14:textId="77777777" w:rsidR="008F4A58" w:rsidRPr="008F4A58" w:rsidRDefault="008F4A58" w:rsidP="008F4A58">
      <w:pPr>
        <w:tabs>
          <w:tab w:val="left" w:pos="1276"/>
        </w:tabs>
        <w:jc w:val="right"/>
        <w:rPr>
          <w:rFonts w:ascii="Abadi" w:hAnsi="Abadi" w:cs="Arial"/>
          <w:b/>
          <w:i/>
          <w:sz w:val="21"/>
          <w:szCs w:val="21"/>
          <w:lang w:eastAsia="en-US"/>
        </w:rPr>
      </w:pPr>
      <w:r w:rsidRPr="008F4A58">
        <w:rPr>
          <w:rFonts w:ascii="Abadi" w:hAnsi="Abadi" w:cs="Arial"/>
          <w:b/>
          <w:i/>
          <w:sz w:val="21"/>
          <w:szCs w:val="21"/>
          <w:lang w:eastAsia="en-US"/>
        </w:rPr>
        <w:t>Inicio de vigencia</w:t>
      </w:r>
    </w:p>
    <w:p w14:paraId="374DB5F5" w14:textId="77777777" w:rsidR="008F4A58" w:rsidRPr="008F4A58" w:rsidRDefault="008F4A58" w:rsidP="008F4A58">
      <w:pPr>
        <w:spacing w:line="360" w:lineRule="auto"/>
        <w:ind w:firstLine="708"/>
        <w:jc w:val="both"/>
        <w:rPr>
          <w:rFonts w:ascii="Abadi" w:hAnsi="Abadi" w:cs="Arial"/>
          <w:iCs/>
          <w:sz w:val="21"/>
          <w:szCs w:val="21"/>
        </w:rPr>
      </w:pPr>
      <w:r w:rsidRPr="008F4A58">
        <w:rPr>
          <w:rFonts w:ascii="Abadi" w:hAnsi="Abadi" w:cs="Arial"/>
          <w:b/>
          <w:iCs/>
          <w:sz w:val="21"/>
          <w:szCs w:val="21"/>
        </w:rPr>
        <w:t>Artículo Primero.</w:t>
      </w:r>
      <w:r w:rsidRPr="008F4A58">
        <w:rPr>
          <w:rFonts w:ascii="Abadi" w:hAnsi="Abadi" w:cs="Arial"/>
          <w:iCs/>
          <w:sz w:val="21"/>
          <w:szCs w:val="21"/>
        </w:rPr>
        <w:t xml:space="preserve"> El presente Decreto entrará en vigor el día siguiente al de su publicación en el Periódico Oficial del Gobierno del Estado.</w:t>
      </w:r>
    </w:p>
    <w:p w14:paraId="3B4A476E" w14:textId="77777777" w:rsidR="008F4A58" w:rsidRPr="008F4A58" w:rsidRDefault="008F4A58" w:rsidP="008F4A58">
      <w:pPr>
        <w:tabs>
          <w:tab w:val="left" w:pos="1276"/>
        </w:tabs>
        <w:jc w:val="right"/>
        <w:rPr>
          <w:rFonts w:ascii="Abadi" w:hAnsi="Abadi" w:cs="Arial"/>
          <w:b/>
          <w:i/>
          <w:sz w:val="21"/>
          <w:szCs w:val="21"/>
          <w:lang w:eastAsia="en-US"/>
        </w:rPr>
      </w:pPr>
      <w:r w:rsidRPr="008F4A58">
        <w:rPr>
          <w:rFonts w:ascii="Abadi" w:hAnsi="Abadi" w:cs="Arial"/>
          <w:b/>
          <w:i/>
          <w:sz w:val="21"/>
          <w:szCs w:val="21"/>
          <w:lang w:eastAsia="en-US"/>
        </w:rPr>
        <w:t>Publicación de información</w:t>
      </w:r>
    </w:p>
    <w:p w14:paraId="2BA30F1E"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b/>
          <w:bCs/>
          <w:sz w:val="21"/>
          <w:szCs w:val="21"/>
        </w:rPr>
        <w:t xml:space="preserve">Artículo Segundo. </w:t>
      </w:r>
      <w:r w:rsidRPr="008F4A58">
        <w:rPr>
          <w:rFonts w:ascii="Abadi" w:hAnsi="Abadi" w:cs="Arial"/>
          <w:sz w:val="21"/>
          <w:szCs w:val="21"/>
        </w:rPr>
        <w:t>El ayuntamiento de Apaseo el Grande, Gto., en un plazo de treinta días contados a partir de la suscripción del contrato, deberá publicar en el Periódico Oficial del Gobierno del Estado, las condiciones del contrato, que deberán incluir: Banco acreditante, monto, destino, tasas de interés, plazo de vigencia y programa de amortización.</w:t>
      </w:r>
    </w:p>
    <w:p w14:paraId="2987C8AB" w14:textId="77777777" w:rsidR="008F4A58" w:rsidRPr="008F4A58" w:rsidRDefault="008F4A58" w:rsidP="008F4A58">
      <w:pPr>
        <w:tabs>
          <w:tab w:val="left" w:pos="1276"/>
        </w:tabs>
        <w:jc w:val="right"/>
        <w:rPr>
          <w:rFonts w:ascii="Abadi" w:hAnsi="Abadi" w:cs="Arial"/>
          <w:b/>
          <w:i/>
          <w:sz w:val="21"/>
          <w:szCs w:val="21"/>
          <w:lang w:eastAsia="en-US"/>
        </w:rPr>
      </w:pPr>
      <w:r w:rsidRPr="008F4A58">
        <w:rPr>
          <w:rFonts w:ascii="Abadi" w:hAnsi="Abadi" w:cs="Arial"/>
          <w:b/>
          <w:i/>
          <w:sz w:val="21"/>
          <w:szCs w:val="21"/>
          <w:lang w:eastAsia="en-US"/>
        </w:rPr>
        <w:t>Notificaciones</w:t>
      </w:r>
    </w:p>
    <w:p w14:paraId="592A08A2"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b/>
          <w:bCs/>
          <w:sz w:val="21"/>
          <w:szCs w:val="21"/>
        </w:rPr>
        <w:t xml:space="preserve">Artículo Tercero. </w:t>
      </w:r>
      <w:r w:rsidRPr="008F4A58">
        <w:rPr>
          <w:rFonts w:ascii="Abadi" w:hAnsi="Abadi" w:cs="Arial"/>
          <w:sz w:val="21"/>
          <w:szCs w:val="21"/>
        </w:rPr>
        <w:t>Comuníquese el presente decreto al ayuntamiento de Apaseo el Grande, Gto., para los efectos conducentes.</w:t>
      </w:r>
    </w:p>
    <w:p w14:paraId="3C9A17C0" w14:textId="77777777" w:rsidR="008F4A58" w:rsidRPr="008F4A58" w:rsidRDefault="008F4A58" w:rsidP="008F4A58">
      <w:pPr>
        <w:spacing w:line="360" w:lineRule="auto"/>
        <w:jc w:val="both"/>
        <w:rPr>
          <w:rFonts w:ascii="Abadi" w:hAnsi="Abadi" w:cs="Arial"/>
          <w:sz w:val="21"/>
          <w:szCs w:val="21"/>
        </w:rPr>
      </w:pPr>
    </w:p>
    <w:p w14:paraId="7E8E05FA" w14:textId="77777777" w:rsidR="008F4A58" w:rsidRPr="008F4A58" w:rsidRDefault="008F4A58" w:rsidP="008F4A58">
      <w:pPr>
        <w:spacing w:line="360" w:lineRule="auto"/>
        <w:ind w:firstLine="708"/>
        <w:jc w:val="both"/>
        <w:rPr>
          <w:rFonts w:ascii="Abadi" w:hAnsi="Abadi" w:cs="Arial"/>
          <w:sz w:val="21"/>
          <w:szCs w:val="21"/>
        </w:rPr>
      </w:pPr>
      <w:r w:rsidRPr="008F4A58">
        <w:rPr>
          <w:rFonts w:ascii="Abadi" w:hAnsi="Abadi" w:cs="Arial"/>
          <w:sz w:val="21"/>
          <w:szCs w:val="21"/>
        </w:rPr>
        <w:t>Asimismo, comuníquese el presente decreto al Poder Ejecutivo del Estado, a través de la Secretaría de Finanzas, Inversión y Administración, para los efectos del artículo 56 de la Ley de Deuda Pública para el Estado y los Municipios de Guanajuato. Igualmente, remítase a la Auditoría Superior del Estado, para los fines que dispone el artículo 64 del citado ordenamiento.</w:t>
      </w:r>
    </w:p>
    <w:p w14:paraId="298830DF" w14:textId="77777777" w:rsidR="008F4A58" w:rsidRPr="008F4A58" w:rsidRDefault="008F4A58" w:rsidP="008F4A58">
      <w:pPr>
        <w:jc w:val="center"/>
        <w:rPr>
          <w:rFonts w:ascii="Abadi" w:hAnsi="Abadi" w:cs="Arial"/>
          <w:b/>
          <w:bCs/>
          <w:sz w:val="21"/>
          <w:szCs w:val="21"/>
          <w:lang w:val="es-MX" w:eastAsia="x-none"/>
        </w:rPr>
      </w:pPr>
    </w:p>
    <w:p w14:paraId="68C7A7F6" w14:textId="77777777" w:rsidR="008F4A58" w:rsidRPr="008F4A58" w:rsidRDefault="008F4A58" w:rsidP="008F4A58">
      <w:pPr>
        <w:jc w:val="center"/>
        <w:rPr>
          <w:rFonts w:ascii="Abadi" w:hAnsi="Abadi"/>
          <w:b/>
          <w:bCs/>
          <w:sz w:val="21"/>
          <w:szCs w:val="21"/>
          <w:lang w:eastAsia="x-none"/>
        </w:rPr>
      </w:pPr>
      <w:r w:rsidRPr="008F4A58">
        <w:rPr>
          <w:rFonts w:ascii="Abadi" w:hAnsi="Abadi"/>
          <w:b/>
          <w:bCs/>
          <w:sz w:val="21"/>
          <w:szCs w:val="21"/>
          <w:lang w:eastAsia="x-none"/>
        </w:rPr>
        <w:t>Guanajuato, Gto., 14 de junio de 2022</w:t>
      </w:r>
    </w:p>
    <w:p w14:paraId="4E83771C" w14:textId="77777777" w:rsidR="008F4A58" w:rsidRPr="008F4A58" w:rsidRDefault="008F4A58" w:rsidP="008F4A58">
      <w:pPr>
        <w:jc w:val="center"/>
        <w:rPr>
          <w:rFonts w:ascii="Abadi" w:hAnsi="Abadi"/>
          <w:b/>
          <w:bCs/>
          <w:sz w:val="21"/>
          <w:szCs w:val="21"/>
          <w:lang w:eastAsia="x-none"/>
        </w:rPr>
      </w:pPr>
      <w:r w:rsidRPr="008F4A58">
        <w:rPr>
          <w:rFonts w:ascii="Abadi" w:hAnsi="Abadi"/>
          <w:b/>
          <w:bCs/>
          <w:sz w:val="21"/>
          <w:szCs w:val="21"/>
          <w:lang w:eastAsia="x-none"/>
        </w:rPr>
        <w:t>La Comisión de Hacienda y Fiscalización</w:t>
      </w:r>
    </w:p>
    <w:p w14:paraId="247D58D9" w14:textId="77777777" w:rsidR="008F4A58" w:rsidRPr="008F4A58" w:rsidRDefault="008F4A58" w:rsidP="008F4A58">
      <w:pPr>
        <w:jc w:val="center"/>
        <w:rPr>
          <w:rFonts w:ascii="Abadi" w:hAnsi="Abadi"/>
          <w:sz w:val="21"/>
          <w:szCs w:val="21"/>
        </w:rPr>
      </w:pPr>
    </w:p>
    <w:p w14:paraId="77C630FB" w14:textId="77777777" w:rsidR="008F4A58" w:rsidRPr="008F4A58" w:rsidRDefault="008F4A58" w:rsidP="008F4A58">
      <w:pPr>
        <w:jc w:val="center"/>
        <w:rPr>
          <w:rFonts w:ascii="Abadi" w:hAnsi="Abadi"/>
          <w:sz w:val="21"/>
          <w:szCs w:val="21"/>
        </w:rPr>
      </w:pPr>
    </w:p>
    <w:p w14:paraId="0951F736" w14:textId="07071DE6" w:rsidR="008F4A58" w:rsidRDefault="008F4A58" w:rsidP="008F4A58">
      <w:pPr>
        <w:jc w:val="center"/>
        <w:rPr>
          <w:rFonts w:ascii="Abadi" w:hAnsi="Abadi" w:cs="Arial"/>
          <w:b/>
          <w:sz w:val="21"/>
          <w:szCs w:val="21"/>
        </w:rPr>
      </w:pPr>
      <w:r w:rsidRPr="008F4A58">
        <w:rPr>
          <w:rFonts w:ascii="Abadi" w:hAnsi="Abadi" w:cs="Arial"/>
          <w:b/>
          <w:sz w:val="21"/>
          <w:szCs w:val="21"/>
        </w:rPr>
        <w:t>Diputado Víctor Manuel Zanella Huerta</w:t>
      </w:r>
    </w:p>
    <w:p w14:paraId="3712A844" w14:textId="77777777" w:rsidR="008F4A58" w:rsidRPr="008F4A58" w:rsidRDefault="008F4A58" w:rsidP="008F4A58">
      <w:pPr>
        <w:jc w:val="center"/>
        <w:rPr>
          <w:rFonts w:ascii="Abadi" w:hAnsi="Abadi" w:cs="Arial"/>
          <w:b/>
          <w:sz w:val="21"/>
          <w:szCs w:val="21"/>
        </w:rPr>
      </w:pPr>
    </w:p>
    <w:p w14:paraId="288586FE" w14:textId="61CE1CE1" w:rsidR="008F4A58" w:rsidRDefault="008F4A58" w:rsidP="008F4A58">
      <w:pPr>
        <w:ind w:right="-234"/>
        <w:jc w:val="center"/>
        <w:rPr>
          <w:rFonts w:ascii="Abadi" w:hAnsi="Abadi" w:cs="Calibri"/>
          <w:b/>
          <w:bCs/>
          <w:sz w:val="21"/>
          <w:szCs w:val="21"/>
        </w:rPr>
      </w:pPr>
      <w:r w:rsidRPr="008F4A58">
        <w:rPr>
          <w:rFonts w:ascii="Abadi" w:hAnsi="Abadi" w:cs="Calibri"/>
          <w:b/>
          <w:bCs/>
          <w:sz w:val="21"/>
          <w:szCs w:val="21"/>
        </w:rPr>
        <w:t>Diputada Ruth Noemí Tiscareño Agoitia</w:t>
      </w:r>
    </w:p>
    <w:p w14:paraId="3B36DE52" w14:textId="77777777" w:rsidR="008F4A58" w:rsidRPr="008F4A58" w:rsidRDefault="008F4A58" w:rsidP="008F4A58">
      <w:pPr>
        <w:ind w:right="-234"/>
        <w:jc w:val="center"/>
        <w:rPr>
          <w:rFonts w:ascii="Abadi" w:hAnsi="Abadi" w:cs="Calibri"/>
          <w:b/>
          <w:bCs/>
          <w:sz w:val="21"/>
          <w:szCs w:val="21"/>
        </w:rPr>
      </w:pPr>
    </w:p>
    <w:p w14:paraId="259896D7" w14:textId="42FBCFEC" w:rsidR="008F4A58" w:rsidRDefault="008F4A58" w:rsidP="008F4A58">
      <w:pPr>
        <w:ind w:right="-234"/>
        <w:jc w:val="center"/>
        <w:rPr>
          <w:rFonts w:ascii="Abadi" w:hAnsi="Abadi" w:cs="Calibri"/>
          <w:b/>
          <w:bCs/>
          <w:sz w:val="21"/>
          <w:szCs w:val="21"/>
        </w:rPr>
      </w:pPr>
      <w:r w:rsidRPr="008F4A58">
        <w:rPr>
          <w:rFonts w:ascii="Abadi" w:hAnsi="Abadi" w:cs="Calibri"/>
          <w:b/>
          <w:bCs/>
          <w:sz w:val="21"/>
          <w:szCs w:val="21"/>
        </w:rPr>
        <w:t>Diputado Miguel Ángel Salim Alle</w:t>
      </w:r>
    </w:p>
    <w:p w14:paraId="51646C4C" w14:textId="77777777" w:rsidR="008F4A58" w:rsidRPr="008F4A58" w:rsidRDefault="008F4A58" w:rsidP="008F4A58">
      <w:pPr>
        <w:ind w:right="-234"/>
        <w:jc w:val="center"/>
        <w:rPr>
          <w:rFonts w:ascii="Abadi" w:hAnsi="Abadi" w:cs="Calibri"/>
          <w:b/>
          <w:bCs/>
          <w:sz w:val="21"/>
          <w:szCs w:val="21"/>
        </w:rPr>
      </w:pPr>
    </w:p>
    <w:p w14:paraId="69DF8467" w14:textId="149B781A" w:rsidR="008F4A58" w:rsidRDefault="008F4A58" w:rsidP="008F4A58">
      <w:pPr>
        <w:jc w:val="center"/>
        <w:rPr>
          <w:rFonts w:ascii="Abadi" w:hAnsi="Abadi" w:cs="Calibri"/>
          <w:b/>
          <w:bCs/>
          <w:sz w:val="21"/>
          <w:szCs w:val="21"/>
        </w:rPr>
      </w:pPr>
      <w:r w:rsidRPr="008F4A58">
        <w:rPr>
          <w:rFonts w:ascii="Abadi" w:hAnsi="Abadi" w:cs="Calibri"/>
          <w:b/>
          <w:bCs/>
          <w:sz w:val="21"/>
          <w:szCs w:val="21"/>
        </w:rPr>
        <w:t>Diputado José Alfonso Borja Pimentel</w:t>
      </w:r>
    </w:p>
    <w:p w14:paraId="2B5B44C7" w14:textId="77777777" w:rsidR="008F4A58" w:rsidRPr="008F4A58" w:rsidRDefault="008F4A58" w:rsidP="008F4A58">
      <w:pPr>
        <w:jc w:val="center"/>
        <w:rPr>
          <w:rFonts w:ascii="Abadi" w:hAnsi="Abadi" w:cs="Calibri"/>
          <w:b/>
          <w:bCs/>
          <w:sz w:val="21"/>
          <w:szCs w:val="21"/>
        </w:rPr>
      </w:pPr>
    </w:p>
    <w:p w14:paraId="1750851F" w14:textId="0B0DEA0E" w:rsidR="008C1F86" w:rsidRPr="00973CFC" w:rsidRDefault="008F4A58" w:rsidP="00973CFC">
      <w:pPr>
        <w:ind w:right="-234"/>
        <w:jc w:val="center"/>
        <w:rPr>
          <w:rFonts w:ascii="Abadi" w:hAnsi="Abadi" w:cs="Calibri"/>
          <w:b/>
          <w:bCs/>
          <w:sz w:val="21"/>
          <w:szCs w:val="21"/>
        </w:rPr>
      </w:pPr>
      <w:r w:rsidRPr="008F4A58">
        <w:rPr>
          <w:rFonts w:ascii="Abadi" w:hAnsi="Abadi" w:cs="Calibri"/>
          <w:b/>
          <w:bCs/>
          <w:sz w:val="21"/>
          <w:szCs w:val="21"/>
        </w:rPr>
        <w:t>Diputada Alma Edwviges Alcaraz Hernández</w:t>
      </w:r>
    </w:p>
    <w:p w14:paraId="006258A7" w14:textId="77777777" w:rsidR="008C1F86" w:rsidRPr="008C1F86" w:rsidRDefault="008C1F86" w:rsidP="008C1F86">
      <w:pPr>
        <w:rPr>
          <w:rFonts w:ascii="Abadi" w:hAnsi="Abadi"/>
          <w:sz w:val="20"/>
          <w:szCs w:val="20"/>
        </w:rPr>
      </w:pPr>
    </w:p>
    <w:p w14:paraId="11EF3EAA" w14:textId="14F6B958" w:rsidR="00146BF7" w:rsidRDefault="00146BF7" w:rsidP="005433FA">
      <w:pPr>
        <w:pStyle w:val="Prrafodelista"/>
        <w:numPr>
          <w:ilvl w:val="0"/>
          <w:numId w:val="9"/>
        </w:numPr>
        <w:tabs>
          <w:tab w:val="left" w:pos="856"/>
        </w:tabs>
        <w:kinsoku w:val="0"/>
        <w:overflowPunct w:val="0"/>
        <w:autoSpaceDE w:val="0"/>
        <w:autoSpaceDN w:val="0"/>
        <w:adjustRightInd w:val="0"/>
        <w:spacing w:before="22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50"/>
          <w:w w:val="150"/>
          <w:sz w:val="20"/>
          <w:szCs w:val="20"/>
        </w:rPr>
        <w:t xml:space="preserve"> </w:t>
      </w:r>
      <w:r w:rsidRPr="00531B12">
        <w:rPr>
          <w:rFonts w:ascii="Abadi" w:hAnsi="Abadi"/>
          <w:b/>
          <w:bCs/>
          <w:sz w:val="20"/>
          <w:szCs w:val="20"/>
        </w:rPr>
        <w:t>Y,</w:t>
      </w:r>
      <w:r w:rsidRPr="00531B12">
        <w:rPr>
          <w:rFonts w:ascii="Abadi" w:hAnsi="Abadi"/>
          <w:b/>
          <w:bCs/>
          <w:spacing w:val="50"/>
          <w:w w:val="150"/>
          <w:sz w:val="20"/>
          <w:szCs w:val="20"/>
        </w:rPr>
        <w:t xml:space="preserve"> </w:t>
      </w:r>
      <w:r w:rsidRPr="00531B12">
        <w:rPr>
          <w:rFonts w:ascii="Abadi" w:hAnsi="Abadi"/>
          <w:b/>
          <w:bCs/>
          <w:sz w:val="20"/>
          <w:szCs w:val="20"/>
        </w:rPr>
        <w:t>EN</w:t>
      </w:r>
      <w:r w:rsidRPr="00531B12">
        <w:rPr>
          <w:rFonts w:ascii="Abadi" w:hAnsi="Abadi"/>
          <w:b/>
          <w:bCs/>
          <w:spacing w:val="50"/>
          <w:w w:val="150"/>
          <w:sz w:val="20"/>
          <w:szCs w:val="20"/>
        </w:rPr>
        <w:t xml:space="preserve"> </w:t>
      </w:r>
      <w:r w:rsidRPr="00531B12">
        <w:rPr>
          <w:rFonts w:ascii="Abadi" w:hAnsi="Abadi"/>
          <w:b/>
          <w:bCs/>
          <w:sz w:val="20"/>
          <w:szCs w:val="20"/>
        </w:rPr>
        <w:t>SU</w:t>
      </w:r>
      <w:r w:rsidRPr="00531B12">
        <w:rPr>
          <w:rFonts w:ascii="Abadi" w:hAnsi="Abadi"/>
          <w:b/>
          <w:bCs/>
          <w:spacing w:val="50"/>
          <w:w w:val="150"/>
          <w:sz w:val="20"/>
          <w:szCs w:val="20"/>
        </w:rPr>
        <w:t xml:space="preserve"> </w:t>
      </w:r>
      <w:r w:rsidRPr="00531B12">
        <w:rPr>
          <w:rFonts w:ascii="Abadi" w:hAnsi="Abadi"/>
          <w:b/>
          <w:bCs/>
          <w:sz w:val="20"/>
          <w:szCs w:val="20"/>
        </w:rPr>
        <w:t>CASO,</w:t>
      </w:r>
      <w:r w:rsidRPr="00531B12">
        <w:rPr>
          <w:rFonts w:ascii="Abadi" w:hAnsi="Abadi"/>
          <w:b/>
          <w:bCs/>
          <w:spacing w:val="50"/>
          <w:w w:val="150"/>
          <w:sz w:val="20"/>
          <w:szCs w:val="20"/>
        </w:rPr>
        <w:t xml:space="preserve"> </w:t>
      </w:r>
      <w:r w:rsidRPr="00531B12">
        <w:rPr>
          <w:rFonts w:ascii="Abadi" w:hAnsi="Abadi"/>
          <w:b/>
          <w:bCs/>
          <w:sz w:val="20"/>
          <w:szCs w:val="20"/>
        </w:rPr>
        <w:t>APROBACIÓN</w:t>
      </w:r>
      <w:r w:rsidRPr="00531B12">
        <w:rPr>
          <w:rFonts w:ascii="Abadi" w:hAnsi="Abadi"/>
          <w:b/>
          <w:bCs/>
          <w:spacing w:val="50"/>
          <w:w w:val="150"/>
          <w:sz w:val="20"/>
          <w:szCs w:val="20"/>
        </w:rPr>
        <w:t xml:space="preserve"> </w:t>
      </w:r>
      <w:r w:rsidRPr="00531B12">
        <w:rPr>
          <w:rFonts w:ascii="Abadi" w:hAnsi="Abadi"/>
          <w:b/>
          <w:bCs/>
          <w:sz w:val="20"/>
          <w:szCs w:val="20"/>
        </w:rPr>
        <w:t>DEL</w:t>
      </w:r>
      <w:r w:rsidRPr="00531B12">
        <w:rPr>
          <w:rFonts w:ascii="Abadi" w:hAnsi="Abadi"/>
          <w:b/>
          <w:bCs/>
          <w:spacing w:val="50"/>
          <w:w w:val="150"/>
          <w:sz w:val="20"/>
          <w:szCs w:val="20"/>
        </w:rPr>
        <w:t xml:space="preserve"> </w:t>
      </w:r>
      <w:r w:rsidRPr="00531B12">
        <w:rPr>
          <w:rFonts w:ascii="Abadi" w:hAnsi="Abadi"/>
          <w:b/>
          <w:bCs/>
          <w:sz w:val="20"/>
          <w:szCs w:val="20"/>
        </w:rPr>
        <w:t>DICTAMEN</w:t>
      </w:r>
      <w:r w:rsidRPr="00531B12">
        <w:rPr>
          <w:rFonts w:ascii="Abadi" w:hAnsi="Abadi"/>
          <w:b/>
          <w:bCs/>
          <w:spacing w:val="50"/>
          <w:w w:val="150"/>
          <w:sz w:val="20"/>
          <w:szCs w:val="20"/>
        </w:rPr>
        <w:t xml:space="preserve"> </w:t>
      </w:r>
      <w:r w:rsidRPr="00531B12">
        <w:rPr>
          <w:rFonts w:ascii="Abadi" w:hAnsi="Abadi"/>
          <w:b/>
          <w:bCs/>
          <w:sz w:val="20"/>
          <w:szCs w:val="20"/>
        </w:rPr>
        <w:t>PRESENTADO</w:t>
      </w:r>
      <w:r w:rsidRPr="00531B12">
        <w:rPr>
          <w:rFonts w:ascii="Abadi" w:hAnsi="Abadi"/>
          <w:b/>
          <w:bCs/>
          <w:spacing w:val="50"/>
          <w:w w:val="150"/>
          <w:sz w:val="20"/>
          <w:szCs w:val="20"/>
        </w:rPr>
        <w:t xml:space="preserve"> </w:t>
      </w:r>
      <w:r w:rsidRPr="00531B12">
        <w:rPr>
          <w:rFonts w:ascii="Abadi" w:hAnsi="Abadi"/>
          <w:b/>
          <w:bCs/>
          <w:sz w:val="20"/>
          <w:szCs w:val="20"/>
        </w:rPr>
        <w:t>POR</w:t>
      </w:r>
      <w:r w:rsidRPr="00531B12">
        <w:rPr>
          <w:rFonts w:ascii="Abadi" w:hAnsi="Abadi"/>
          <w:b/>
          <w:bCs/>
          <w:spacing w:val="50"/>
          <w:w w:val="150"/>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COMISIÓN</w:t>
      </w:r>
      <w:r w:rsidRPr="00531B12">
        <w:rPr>
          <w:rFonts w:ascii="Abadi" w:hAnsi="Abadi"/>
          <w:b/>
          <w:bCs/>
          <w:spacing w:val="19"/>
          <w:sz w:val="20"/>
          <w:szCs w:val="20"/>
        </w:rPr>
        <w:t xml:space="preserve"> </w:t>
      </w:r>
      <w:r w:rsidRPr="00531B12">
        <w:rPr>
          <w:rFonts w:ascii="Abadi" w:hAnsi="Abadi"/>
          <w:b/>
          <w:bCs/>
          <w:sz w:val="20"/>
          <w:szCs w:val="20"/>
        </w:rPr>
        <w:t>DE</w:t>
      </w:r>
      <w:r w:rsidRPr="00531B12">
        <w:rPr>
          <w:rFonts w:ascii="Abadi" w:hAnsi="Abadi"/>
          <w:b/>
          <w:bCs/>
          <w:spacing w:val="19"/>
          <w:sz w:val="20"/>
          <w:szCs w:val="20"/>
        </w:rPr>
        <w:t xml:space="preserve"> </w:t>
      </w:r>
      <w:r w:rsidRPr="00531B12">
        <w:rPr>
          <w:rFonts w:ascii="Abadi" w:hAnsi="Abadi"/>
          <w:b/>
          <w:bCs/>
          <w:sz w:val="20"/>
          <w:szCs w:val="20"/>
        </w:rPr>
        <w:t>HACIENDA</w:t>
      </w:r>
      <w:r w:rsidRPr="00531B12">
        <w:rPr>
          <w:rFonts w:ascii="Abadi" w:hAnsi="Abadi"/>
          <w:b/>
          <w:bCs/>
          <w:spacing w:val="19"/>
          <w:sz w:val="20"/>
          <w:szCs w:val="20"/>
        </w:rPr>
        <w:t xml:space="preserve"> </w:t>
      </w:r>
      <w:r w:rsidRPr="00531B12">
        <w:rPr>
          <w:rFonts w:ascii="Abadi" w:hAnsi="Abadi"/>
          <w:b/>
          <w:bCs/>
          <w:sz w:val="20"/>
          <w:szCs w:val="20"/>
        </w:rPr>
        <w:t>Y</w:t>
      </w:r>
      <w:r w:rsidRPr="00531B12">
        <w:rPr>
          <w:rFonts w:ascii="Abadi" w:hAnsi="Abadi"/>
          <w:b/>
          <w:bCs/>
          <w:spacing w:val="20"/>
          <w:sz w:val="20"/>
          <w:szCs w:val="20"/>
        </w:rPr>
        <w:t xml:space="preserve"> </w:t>
      </w:r>
      <w:r w:rsidRPr="00531B12">
        <w:rPr>
          <w:rFonts w:ascii="Abadi" w:hAnsi="Abadi"/>
          <w:b/>
          <w:bCs/>
          <w:sz w:val="20"/>
          <w:szCs w:val="20"/>
        </w:rPr>
        <w:t>FISCALIZACIÓN</w:t>
      </w:r>
      <w:r w:rsidRPr="00531B12">
        <w:rPr>
          <w:rFonts w:ascii="Abadi" w:hAnsi="Abadi"/>
          <w:b/>
          <w:bCs/>
          <w:spacing w:val="19"/>
          <w:sz w:val="20"/>
          <w:szCs w:val="20"/>
        </w:rPr>
        <w:t xml:space="preserve"> </w:t>
      </w:r>
      <w:r w:rsidRPr="00531B12">
        <w:rPr>
          <w:rFonts w:ascii="Abadi" w:hAnsi="Abadi"/>
          <w:b/>
          <w:bCs/>
          <w:sz w:val="20"/>
          <w:szCs w:val="20"/>
        </w:rPr>
        <w:t>RELATIVO</w:t>
      </w:r>
      <w:r w:rsidRPr="00531B12">
        <w:rPr>
          <w:rFonts w:ascii="Abadi" w:hAnsi="Abadi"/>
          <w:b/>
          <w:bCs/>
          <w:spacing w:val="19"/>
          <w:sz w:val="20"/>
          <w:szCs w:val="20"/>
        </w:rPr>
        <w:t xml:space="preserve"> </w:t>
      </w:r>
      <w:r w:rsidRPr="00531B12">
        <w:rPr>
          <w:rFonts w:ascii="Abadi" w:hAnsi="Abadi"/>
          <w:b/>
          <w:bCs/>
          <w:sz w:val="20"/>
          <w:szCs w:val="20"/>
        </w:rPr>
        <w:t>A</w:t>
      </w:r>
      <w:r w:rsidRPr="00531B12">
        <w:rPr>
          <w:rFonts w:ascii="Abadi" w:hAnsi="Abadi"/>
          <w:b/>
          <w:bCs/>
          <w:spacing w:val="19"/>
          <w:sz w:val="20"/>
          <w:szCs w:val="20"/>
        </w:rPr>
        <w:t xml:space="preserve"> </w:t>
      </w:r>
      <w:r w:rsidRPr="00531B12">
        <w:rPr>
          <w:rFonts w:ascii="Abadi" w:hAnsi="Abadi"/>
          <w:b/>
          <w:bCs/>
          <w:sz w:val="20"/>
          <w:szCs w:val="20"/>
        </w:rPr>
        <w:t>LA</w:t>
      </w:r>
      <w:r w:rsidRPr="00531B12">
        <w:rPr>
          <w:rFonts w:ascii="Abadi" w:hAnsi="Abadi"/>
          <w:b/>
          <w:bCs/>
          <w:spacing w:val="19"/>
          <w:sz w:val="20"/>
          <w:szCs w:val="20"/>
        </w:rPr>
        <w:t xml:space="preserve"> </w:t>
      </w:r>
      <w:r w:rsidRPr="00531B12">
        <w:rPr>
          <w:rFonts w:ascii="Abadi" w:hAnsi="Abadi"/>
          <w:b/>
          <w:bCs/>
          <w:sz w:val="20"/>
          <w:szCs w:val="20"/>
        </w:rPr>
        <w:t>PROPUESTA</w:t>
      </w:r>
      <w:r w:rsidRPr="00531B12">
        <w:rPr>
          <w:rFonts w:ascii="Abadi" w:hAnsi="Abadi"/>
          <w:b/>
          <w:bCs/>
          <w:spacing w:val="19"/>
          <w:sz w:val="20"/>
          <w:szCs w:val="20"/>
        </w:rPr>
        <w:t xml:space="preserve"> </w:t>
      </w:r>
      <w:r w:rsidRPr="00531B12">
        <w:rPr>
          <w:rFonts w:ascii="Abadi" w:hAnsi="Abadi"/>
          <w:b/>
          <w:bCs/>
          <w:sz w:val="20"/>
          <w:szCs w:val="20"/>
        </w:rPr>
        <w:t>DE</w:t>
      </w:r>
      <w:r w:rsidRPr="00531B12">
        <w:rPr>
          <w:rFonts w:ascii="Abadi" w:hAnsi="Abadi"/>
          <w:b/>
          <w:bCs/>
          <w:spacing w:val="19"/>
          <w:sz w:val="20"/>
          <w:szCs w:val="20"/>
        </w:rPr>
        <w:t xml:space="preserve"> </w:t>
      </w:r>
      <w:r w:rsidRPr="00531B12">
        <w:rPr>
          <w:rFonts w:ascii="Abadi" w:hAnsi="Abadi"/>
          <w:b/>
          <w:bCs/>
          <w:sz w:val="20"/>
          <w:szCs w:val="20"/>
        </w:rPr>
        <w:t>PUNTO</w:t>
      </w:r>
      <w:r w:rsidRPr="00531B12">
        <w:rPr>
          <w:rFonts w:ascii="Abadi" w:hAnsi="Abadi"/>
          <w:b/>
          <w:bCs/>
          <w:spacing w:val="19"/>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ACUERDO</w:t>
      </w:r>
      <w:r w:rsidRPr="00531B12">
        <w:rPr>
          <w:rFonts w:ascii="Abadi" w:hAnsi="Abadi"/>
          <w:b/>
          <w:bCs/>
          <w:spacing w:val="63"/>
          <w:sz w:val="20"/>
          <w:szCs w:val="20"/>
        </w:rPr>
        <w:t xml:space="preserve"> </w:t>
      </w:r>
      <w:r w:rsidRPr="00531B12">
        <w:rPr>
          <w:rFonts w:ascii="Abadi" w:hAnsi="Abadi"/>
          <w:b/>
          <w:bCs/>
          <w:sz w:val="20"/>
          <w:szCs w:val="20"/>
        </w:rPr>
        <w:t>SUSCRITA</w:t>
      </w:r>
      <w:r w:rsidRPr="00531B12">
        <w:rPr>
          <w:rFonts w:ascii="Abadi" w:hAnsi="Abadi"/>
          <w:b/>
          <w:bCs/>
          <w:spacing w:val="63"/>
          <w:sz w:val="20"/>
          <w:szCs w:val="20"/>
        </w:rPr>
        <w:t xml:space="preserve"> </w:t>
      </w:r>
      <w:r w:rsidRPr="00531B12">
        <w:rPr>
          <w:rFonts w:ascii="Abadi" w:hAnsi="Abadi"/>
          <w:b/>
          <w:bCs/>
          <w:sz w:val="20"/>
          <w:szCs w:val="20"/>
        </w:rPr>
        <w:t>POR</w:t>
      </w:r>
      <w:r w:rsidRPr="00531B12">
        <w:rPr>
          <w:rFonts w:ascii="Abadi" w:hAnsi="Abadi"/>
          <w:b/>
          <w:bCs/>
          <w:spacing w:val="63"/>
          <w:sz w:val="20"/>
          <w:szCs w:val="20"/>
        </w:rPr>
        <w:t xml:space="preserve"> </w:t>
      </w:r>
      <w:r w:rsidRPr="00531B12">
        <w:rPr>
          <w:rFonts w:ascii="Abadi" w:hAnsi="Abadi"/>
          <w:b/>
          <w:bCs/>
          <w:sz w:val="20"/>
          <w:szCs w:val="20"/>
        </w:rPr>
        <w:t>LA</w:t>
      </w:r>
      <w:r w:rsidRPr="00531B12">
        <w:rPr>
          <w:rFonts w:ascii="Abadi" w:hAnsi="Abadi"/>
          <w:b/>
          <w:bCs/>
          <w:spacing w:val="63"/>
          <w:sz w:val="20"/>
          <w:szCs w:val="20"/>
        </w:rPr>
        <w:t xml:space="preserve"> </w:t>
      </w:r>
      <w:r w:rsidRPr="00531B12">
        <w:rPr>
          <w:rFonts w:ascii="Abadi" w:hAnsi="Abadi"/>
          <w:b/>
          <w:bCs/>
          <w:sz w:val="20"/>
          <w:szCs w:val="20"/>
        </w:rPr>
        <w:t>DIPUTADA</w:t>
      </w:r>
      <w:r w:rsidRPr="00531B12">
        <w:rPr>
          <w:rFonts w:ascii="Abadi" w:hAnsi="Abadi"/>
          <w:b/>
          <w:bCs/>
          <w:spacing w:val="62"/>
          <w:sz w:val="20"/>
          <w:szCs w:val="20"/>
        </w:rPr>
        <w:t xml:space="preserve"> </w:t>
      </w:r>
      <w:r w:rsidRPr="00531B12">
        <w:rPr>
          <w:rFonts w:ascii="Abadi" w:hAnsi="Abadi"/>
          <w:b/>
          <w:bCs/>
          <w:sz w:val="20"/>
          <w:szCs w:val="20"/>
        </w:rPr>
        <w:t>MARÍA</w:t>
      </w:r>
      <w:r w:rsidRPr="00531B12">
        <w:rPr>
          <w:rFonts w:ascii="Abadi" w:hAnsi="Abadi"/>
          <w:b/>
          <w:bCs/>
          <w:spacing w:val="63"/>
          <w:sz w:val="20"/>
          <w:szCs w:val="20"/>
        </w:rPr>
        <w:t xml:space="preserve"> </w:t>
      </w:r>
      <w:r w:rsidRPr="00531B12">
        <w:rPr>
          <w:rFonts w:ascii="Abadi" w:hAnsi="Abadi"/>
          <w:b/>
          <w:bCs/>
          <w:sz w:val="20"/>
          <w:szCs w:val="20"/>
        </w:rPr>
        <w:t>MAGDALENA</w:t>
      </w:r>
      <w:r w:rsidRPr="00531B12">
        <w:rPr>
          <w:rFonts w:ascii="Abadi" w:hAnsi="Abadi"/>
          <w:b/>
          <w:bCs/>
          <w:spacing w:val="63"/>
          <w:sz w:val="20"/>
          <w:szCs w:val="20"/>
        </w:rPr>
        <w:t xml:space="preserve"> </w:t>
      </w:r>
      <w:r w:rsidRPr="00531B12">
        <w:rPr>
          <w:rFonts w:ascii="Abadi" w:hAnsi="Abadi"/>
          <w:b/>
          <w:bCs/>
          <w:sz w:val="20"/>
          <w:szCs w:val="20"/>
        </w:rPr>
        <w:t>ROSALES</w:t>
      </w:r>
      <w:r w:rsidRPr="00531B12">
        <w:rPr>
          <w:rFonts w:ascii="Abadi" w:hAnsi="Abadi"/>
          <w:b/>
          <w:bCs/>
          <w:spacing w:val="63"/>
          <w:sz w:val="20"/>
          <w:szCs w:val="20"/>
        </w:rPr>
        <w:t xml:space="preserve"> </w:t>
      </w:r>
      <w:r w:rsidRPr="00531B12">
        <w:rPr>
          <w:rFonts w:ascii="Abadi" w:hAnsi="Abadi"/>
          <w:b/>
          <w:bCs/>
          <w:sz w:val="20"/>
          <w:szCs w:val="20"/>
        </w:rPr>
        <w:t>CRUZ</w:t>
      </w:r>
      <w:r w:rsidRPr="00531B12">
        <w:rPr>
          <w:rFonts w:ascii="Abadi" w:hAnsi="Abadi"/>
          <w:b/>
          <w:bCs/>
          <w:spacing w:val="63"/>
          <w:sz w:val="20"/>
          <w:szCs w:val="20"/>
        </w:rPr>
        <w:t xml:space="preserve"> </w:t>
      </w:r>
      <w:r w:rsidRPr="00531B12">
        <w:rPr>
          <w:rFonts w:ascii="Abadi" w:hAnsi="Abadi"/>
          <w:b/>
          <w:bCs/>
          <w:sz w:val="20"/>
          <w:szCs w:val="20"/>
        </w:rPr>
        <w:t>Y</w:t>
      </w:r>
      <w:r w:rsidRPr="00531B12">
        <w:rPr>
          <w:rFonts w:ascii="Abadi" w:hAnsi="Abadi"/>
          <w:b/>
          <w:bCs/>
          <w:spacing w:val="63"/>
          <w:sz w:val="20"/>
          <w:szCs w:val="20"/>
        </w:rPr>
        <w:t xml:space="preserve"> </w:t>
      </w:r>
      <w:r w:rsidRPr="00531B12">
        <w:rPr>
          <w:rFonts w:ascii="Abadi" w:hAnsi="Abadi"/>
          <w:b/>
          <w:bCs/>
          <w:sz w:val="20"/>
          <w:szCs w:val="20"/>
        </w:rPr>
        <w:t>LOS</w:t>
      </w:r>
      <w:r w:rsidRPr="00531B12">
        <w:rPr>
          <w:rFonts w:ascii="Abadi" w:hAnsi="Abadi"/>
          <w:b/>
          <w:bCs/>
          <w:spacing w:val="-1"/>
          <w:sz w:val="20"/>
          <w:szCs w:val="20"/>
        </w:rPr>
        <w:t xml:space="preserve"> </w:t>
      </w:r>
      <w:r w:rsidRPr="00531B12">
        <w:rPr>
          <w:rFonts w:ascii="Abadi" w:hAnsi="Abadi"/>
          <w:b/>
          <w:bCs/>
          <w:sz w:val="20"/>
          <w:szCs w:val="20"/>
        </w:rPr>
        <w:t>DIPUTADOS</w:t>
      </w:r>
      <w:r w:rsidRPr="00531B12">
        <w:rPr>
          <w:rFonts w:ascii="Abadi" w:hAnsi="Abadi"/>
          <w:b/>
          <w:bCs/>
          <w:spacing w:val="34"/>
          <w:sz w:val="20"/>
          <w:szCs w:val="20"/>
        </w:rPr>
        <w:t xml:space="preserve">  </w:t>
      </w:r>
      <w:r w:rsidRPr="00531B12">
        <w:rPr>
          <w:rFonts w:ascii="Abadi" w:hAnsi="Abadi"/>
          <w:b/>
          <w:bCs/>
          <w:sz w:val="20"/>
          <w:szCs w:val="20"/>
        </w:rPr>
        <w:t>ENRIQUE</w:t>
      </w:r>
      <w:r w:rsidRPr="00531B12">
        <w:rPr>
          <w:rFonts w:ascii="Abadi" w:hAnsi="Abadi"/>
          <w:b/>
          <w:bCs/>
          <w:spacing w:val="34"/>
          <w:sz w:val="20"/>
          <w:szCs w:val="20"/>
        </w:rPr>
        <w:t xml:space="preserve">  </w:t>
      </w:r>
      <w:r w:rsidRPr="00531B12">
        <w:rPr>
          <w:rFonts w:ascii="Abadi" w:hAnsi="Abadi"/>
          <w:b/>
          <w:bCs/>
          <w:sz w:val="20"/>
          <w:szCs w:val="20"/>
        </w:rPr>
        <w:t>ALBA</w:t>
      </w:r>
      <w:r w:rsidRPr="00531B12">
        <w:rPr>
          <w:rFonts w:ascii="Abadi" w:hAnsi="Abadi"/>
          <w:b/>
          <w:bCs/>
          <w:spacing w:val="34"/>
          <w:sz w:val="20"/>
          <w:szCs w:val="20"/>
        </w:rPr>
        <w:t xml:space="preserve">  </w:t>
      </w:r>
      <w:r w:rsidRPr="00531B12">
        <w:rPr>
          <w:rFonts w:ascii="Abadi" w:hAnsi="Abadi"/>
          <w:b/>
          <w:bCs/>
          <w:sz w:val="20"/>
          <w:szCs w:val="20"/>
        </w:rPr>
        <w:t>MARTÍNEZ</w:t>
      </w:r>
      <w:r w:rsidRPr="00531B12">
        <w:rPr>
          <w:rFonts w:ascii="Abadi" w:hAnsi="Abadi"/>
          <w:b/>
          <w:bCs/>
          <w:spacing w:val="34"/>
          <w:sz w:val="20"/>
          <w:szCs w:val="20"/>
        </w:rPr>
        <w:t xml:space="preserve">  </w:t>
      </w:r>
      <w:r w:rsidRPr="00531B12">
        <w:rPr>
          <w:rFonts w:ascii="Abadi" w:hAnsi="Abadi"/>
          <w:b/>
          <w:bCs/>
          <w:sz w:val="20"/>
          <w:szCs w:val="20"/>
        </w:rPr>
        <w:t>Y</w:t>
      </w:r>
      <w:r w:rsidRPr="00531B12">
        <w:rPr>
          <w:rFonts w:ascii="Abadi" w:hAnsi="Abadi"/>
          <w:b/>
          <w:bCs/>
          <w:spacing w:val="34"/>
          <w:sz w:val="20"/>
          <w:szCs w:val="20"/>
        </w:rPr>
        <w:t xml:space="preserve">  </w:t>
      </w:r>
      <w:r w:rsidRPr="00531B12">
        <w:rPr>
          <w:rFonts w:ascii="Abadi" w:hAnsi="Abadi"/>
          <w:b/>
          <w:bCs/>
          <w:sz w:val="20"/>
          <w:szCs w:val="20"/>
        </w:rPr>
        <w:t>RAÚL</w:t>
      </w:r>
      <w:r w:rsidRPr="00531B12">
        <w:rPr>
          <w:rFonts w:ascii="Abadi" w:hAnsi="Abadi"/>
          <w:b/>
          <w:bCs/>
          <w:spacing w:val="34"/>
          <w:sz w:val="20"/>
          <w:szCs w:val="20"/>
        </w:rPr>
        <w:t xml:space="preserve">  </w:t>
      </w:r>
      <w:r w:rsidRPr="00531B12">
        <w:rPr>
          <w:rFonts w:ascii="Abadi" w:hAnsi="Abadi"/>
          <w:b/>
          <w:bCs/>
          <w:sz w:val="20"/>
          <w:szCs w:val="20"/>
        </w:rPr>
        <w:t>HUMBERTO</w:t>
      </w:r>
      <w:r w:rsidRPr="00531B12">
        <w:rPr>
          <w:rFonts w:ascii="Abadi" w:hAnsi="Abadi"/>
          <w:b/>
          <w:bCs/>
          <w:spacing w:val="34"/>
          <w:sz w:val="20"/>
          <w:szCs w:val="20"/>
        </w:rPr>
        <w:t xml:space="preserve">  </w:t>
      </w:r>
      <w:r w:rsidRPr="00531B12">
        <w:rPr>
          <w:rFonts w:ascii="Abadi" w:hAnsi="Abadi"/>
          <w:b/>
          <w:bCs/>
          <w:sz w:val="20"/>
          <w:szCs w:val="20"/>
        </w:rPr>
        <w:t>MÁRQUEZ</w:t>
      </w:r>
      <w:r w:rsidRPr="00531B12">
        <w:rPr>
          <w:rFonts w:ascii="Abadi" w:hAnsi="Abadi"/>
          <w:b/>
          <w:bCs/>
          <w:spacing w:val="34"/>
          <w:sz w:val="20"/>
          <w:szCs w:val="20"/>
        </w:rPr>
        <w:t xml:space="preserve">  </w:t>
      </w:r>
      <w:r w:rsidRPr="00531B12">
        <w:rPr>
          <w:rFonts w:ascii="Abadi" w:hAnsi="Abadi"/>
          <w:b/>
          <w:bCs/>
          <w:sz w:val="20"/>
          <w:szCs w:val="20"/>
        </w:rPr>
        <w:t>ALBO,</w:t>
      </w:r>
      <w:r w:rsidRPr="00531B12">
        <w:rPr>
          <w:rFonts w:ascii="Abadi" w:hAnsi="Abadi"/>
          <w:b/>
          <w:bCs/>
          <w:spacing w:val="-1"/>
          <w:sz w:val="20"/>
          <w:szCs w:val="20"/>
        </w:rPr>
        <w:t xml:space="preserve"> </w:t>
      </w:r>
      <w:r w:rsidRPr="00531B12">
        <w:rPr>
          <w:rFonts w:ascii="Abadi" w:hAnsi="Abadi"/>
          <w:b/>
          <w:bCs/>
          <w:sz w:val="20"/>
          <w:szCs w:val="20"/>
        </w:rPr>
        <w:t>INTEGRANTES</w:t>
      </w:r>
      <w:r w:rsidRPr="00531B12">
        <w:rPr>
          <w:rFonts w:ascii="Abadi" w:hAnsi="Abadi"/>
          <w:b/>
          <w:bCs/>
          <w:spacing w:val="-16"/>
          <w:sz w:val="20"/>
          <w:szCs w:val="20"/>
        </w:rPr>
        <w:t xml:space="preserve"> </w:t>
      </w:r>
      <w:r w:rsidRPr="00531B12">
        <w:rPr>
          <w:rFonts w:ascii="Abadi" w:hAnsi="Abadi"/>
          <w:b/>
          <w:bCs/>
          <w:sz w:val="20"/>
          <w:szCs w:val="20"/>
        </w:rPr>
        <w:t>DEL</w:t>
      </w:r>
      <w:r w:rsidRPr="00531B12">
        <w:rPr>
          <w:rFonts w:ascii="Abadi" w:hAnsi="Abadi"/>
          <w:b/>
          <w:bCs/>
          <w:spacing w:val="-17"/>
          <w:sz w:val="20"/>
          <w:szCs w:val="20"/>
        </w:rPr>
        <w:t xml:space="preserve"> </w:t>
      </w:r>
      <w:r w:rsidRPr="00531B12">
        <w:rPr>
          <w:rFonts w:ascii="Abadi" w:hAnsi="Abadi"/>
          <w:b/>
          <w:bCs/>
          <w:sz w:val="20"/>
          <w:szCs w:val="20"/>
        </w:rPr>
        <w:t>GRUPO</w:t>
      </w:r>
      <w:r w:rsidRPr="00531B12">
        <w:rPr>
          <w:rFonts w:ascii="Abadi" w:hAnsi="Abadi"/>
          <w:b/>
          <w:bCs/>
          <w:spacing w:val="-16"/>
          <w:sz w:val="20"/>
          <w:szCs w:val="20"/>
        </w:rPr>
        <w:t xml:space="preserve"> </w:t>
      </w:r>
      <w:r w:rsidRPr="00531B12">
        <w:rPr>
          <w:rFonts w:ascii="Abadi" w:hAnsi="Abadi"/>
          <w:b/>
          <w:bCs/>
          <w:sz w:val="20"/>
          <w:szCs w:val="20"/>
        </w:rPr>
        <w:t>PARLAMENTARIO</w:t>
      </w:r>
      <w:r w:rsidRPr="00531B12">
        <w:rPr>
          <w:rFonts w:ascii="Abadi" w:hAnsi="Abadi"/>
          <w:b/>
          <w:bCs/>
          <w:spacing w:val="-16"/>
          <w:sz w:val="20"/>
          <w:szCs w:val="20"/>
        </w:rPr>
        <w:t xml:space="preserve"> </w:t>
      </w:r>
      <w:r w:rsidRPr="00531B12">
        <w:rPr>
          <w:rFonts w:ascii="Abadi" w:hAnsi="Abadi"/>
          <w:b/>
          <w:bCs/>
          <w:sz w:val="20"/>
          <w:szCs w:val="20"/>
        </w:rPr>
        <w:t>DEL</w:t>
      </w:r>
      <w:r w:rsidRPr="00531B12">
        <w:rPr>
          <w:rFonts w:ascii="Abadi" w:hAnsi="Abadi"/>
          <w:b/>
          <w:bCs/>
          <w:spacing w:val="-17"/>
          <w:sz w:val="20"/>
          <w:szCs w:val="20"/>
        </w:rPr>
        <w:t xml:space="preserve"> </w:t>
      </w:r>
      <w:r w:rsidRPr="00531B12">
        <w:rPr>
          <w:rFonts w:ascii="Abadi" w:hAnsi="Abadi"/>
          <w:b/>
          <w:bCs/>
          <w:sz w:val="20"/>
          <w:szCs w:val="20"/>
        </w:rPr>
        <w:t>PARTIDO</w:t>
      </w:r>
      <w:r w:rsidRPr="00531B12">
        <w:rPr>
          <w:rFonts w:ascii="Abadi" w:hAnsi="Abadi"/>
          <w:b/>
          <w:bCs/>
          <w:spacing w:val="-16"/>
          <w:sz w:val="20"/>
          <w:szCs w:val="20"/>
        </w:rPr>
        <w:t xml:space="preserve"> </w:t>
      </w:r>
      <w:r w:rsidRPr="00531B12">
        <w:rPr>
          <w:rFonts w:ascii="Abadi" w:hAnsi="Abadi"/>
          <w:b/>
          <w:bCs/>
          <w:sz w:val="20"/>
          <w:szCs w:val="20"/>
        </w:rPr>
        <w:t>MORENA</w:t>
      </w:r>
      <w:r w:rsidRPr="00531B12">
        <w:rPr>
          <w:rFonts w:ascii="Abadi" w:hAnsi="Abadi"/>
          <w:b/>
          <w:bCs/>
          <w:spacing w:val="-16"/>
          <w:sz w:val="20"/>
          <w:szCs w:val="20"/>
        </w:rPr>
        <w:t xml:space="preserve"> </w:t>
      </w:r>
      <w:r w:rsidRPr="00531B12">
        <w:rPr>
          <w:rFonts w:ascii="Abadi" w:hAnsi="Abadi"/>
          <w:b/>
          <w:bCs/>
          <w:sz w:val="20"/>
          <w:szCs w:val="20"/>
        </w:rPr>
        <w:t>ANTE</w:t>
      </w:r>
      <w:r w:rsidRPr="00531B12">
        <w:rPr>
          <w:rFonts w:ascii="Abadi" w:hAnsi="Abadi"/>
          <w:b/>
          <w:bCs/>
          <w:spacing w:val="-16"/>
          <w:sz w:val="20"/>
          <w:szCs w:val="20"/>
        </w:rPr>
        <w:t xml:space="preserve"> </w:t>
      </w:r>
      <w:r w:rsidRPr="00531B12">
        <w:rPr>
          <w:rFonts w:ascii="Abadi" w:hAnsi="Abadi"/>
          <w:b/>
          <w:bCs/>
          <w:sz w:val="20"/>
          <w:szCs w:val="20"/>
        </w:rPr>
        <w:t>LA</w:t>
      </w:r>
      <w:r w:rsidRPr="00531B12">
        <w:rPr>
          <w:rFonts w:ascii="Abadi" w:hAnsi="Abadi"/>
          <w:b/>
          <w:bCs/>
          <w:spacing w:val="-16"/>
          <w:sz w:val="20"/>
          <w:szCs w:val="20"/>
        </w:rPr>
        <w:t xml:space="preserve"> </w:t>
      </w:r>
      <w:r w:rsidRPr="00531B12">
        <w:rPr>
          <w:rFonts w:ascii="Abadi" w:hAnsi="Abadi"/>
          <w:b/>
          <w:bCs/>
          <w:sz w:val="20"/>
          <w:szCs w:val="20"/>
        </w:rPr>
        <w:t>SEXAGÉSIMA</w:t>
      </w:r>
      <w:r w:rsidRPr="00531B12">
        <w:rPr>
          <w:rFonts w:ascii="Abadi" w:hAnsi="Abadi"/>
          <w:b/>
          <w:bCs/>
          <w:spacing w:val="-1"/>
          <w:sz w:val="20"/>
          <w:szCs w:val="20"/>
        </w:rPr>
        <w:t xml:space="preserve"> </w:t>
      </w:r>
      <w:r w:rsidRPr="00531B12">
        <w:rPr>
          <w:rFonts w:ascii="Abadi" w:hAnsi="Abadi"/>
          <w:b/>
          <w:bCs/>
          <w:sz w:val="20"/>
          <w:szCs w:val="20"/>
        </w:rPr>
        <w:t>CUARTA</w:t>
      </w:r>
      <w:r w:rsidRPr="00531B12">
        <w:rPr>
          <w:rFonts w:ascii="Abadi" w:hAnsi="Abadi"/>
          <w:b/>
          <w:bCs/>
          <w:spacing w:val="-10"/>
          <w:sz w:val="20"/>
          <w:szCs w:val="20"/>
        </w:rPr>
        <w:t xml:space="preserve"> </w:t>
      </w:r>
      <w:r w:rsidRPr="00531B12">
        <w:rPr>
          <w:rFonts w:ascii="Abadi" w:hAnsi="Abadi"/>
          <w:b/>
          <w:bCs/>
          <w:sz w:val="20"/>
          <w:szCs w:val="20"/>
        </w:rPr>
        <w:t>LEGISLATURA,</w:t>
      </w:r>
      <w:r w:rsidRPr="00531B12">
        <w:rPr>
          <w:rFonts w:ascii="Abadi" w:hAnsi="Abadi"/>
          <w:b/>
          <w:bCs/>
          <w:spacing w:val="-10"/>
          <w:sz w:val="20"/>
          <w:szCs w:val="20"/>
        </w:rPr>
        <w:t xml:space="preserve"> </w:t>
      </w:r>
      <w:r w:rsidRPr="00531B12">
        <w:rPr>
          <w:rFonts w:ascii="Abadi" w:hAnsi="Abadi"/>
          <w:b/>
          <w:bCs/>
          <w:sz w:val="20"/>
          <w:szCs w:val="20"/>
        </w:rPr>
        <w:t>A</w:t>
      </w:r>
      <w:r w:rsidRPr="00531B12">
        <w:rPr>
          <w:rFonts w:ascii="Abadi" w:hAnsi="Abadi"/>
          <w:b/>
          <w:bCs/>
          <w:spacing w:val="-10"/>
          <w:sz w:val="20"/>
          <w:szCs w:val="20"/>
        </w:rPr>
        <w:t xml:space="preserve"> </w:t>
      </w:r>
      <w:r w:rsidRPr="00531B12">
        <w:rPr>
          <w:rFonts w:ascii="Abadi" w:hAnsi="Abadi"/>
          <w:b/>
          <w:bCs/>
          <w:sz w:val="20"/>
          <w:szCs w:val="20"/>
        </w:rPr>
        <w:t>EFECTO</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EXHORTAR</w:t>
      </w:r>
      <w:r w:rsidRPr="00531B12">
        <w:rPr>
          <w:rFonts w:ascii="Abadi" w:hAnsi="Abadi"/>
          <w:b/>
          <w:bCs/>
          <w:spacing w:val="-10"/>
          <w:sz w:val="20"/>
          <w:szCs w:val="20"/>
        </w:rPr>
        <w:t xml:space="preserve"> </w:t>
      </w:r>
      <w:r w:rsidRPr="00531B12">
        <w:rPr>
          <w:rFonts w:ascii="Abadi" w:hAnsi="Abadi"/>
          <w:b/>
          <w:bCs/>
          <w:sz w:val="20"/>
          <w:szCs w:val="20"/>
        </w:rPr>
        <w:t>AL</w:t>
      </w:r>
      <w:r w:rsidRPr="00531B12">
        <w:rPr>
          <w:rFonts w:ascii="Abadi" w:hAnsi="Abadi"/>
          <w:b/>
          <w:bCs/>
          <w:spacing w:val="-10"/>
          <w:sz w:val="20"/>
          <w:szCs w:val="20"/>
        </w:rPr>
        <w:t xml:space="preserve"> </w:t>
      </w:r>
      <w:r w:rsidRPr="00531B12">
        <w:rPr>
          <w:rFonts w:ascii="Abadi" w:hAnsi="Abadi"/>
          <w:b/>
          <w:bCs/>
          <w:sz w:val="20"/>
          <w:szCs w:val="20"/>
        </w:rPr>
        <w:t>TITULAR</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AUDITORÍA</w:t>
      </w:r>
      <w:r w:rsidRPr="00531B12">
        <w:rPr>
          <w:rFonts w:ascii="Abadi" w:hAnsi="Abadi"/>
          <w:b/>
          <w:bCs/>
          <w:spacing w:val="-10"/>
          <w:sz w:val="20"/>
          <w:szCs w:val="20"/>
        </w:rPr>
        <w:t xml:space="preserve"> </w:t>
      </w:r>
      <w:r w:rsidRPr="00531B12">
        <w:rPr>
          <w:rFonts w:ascii="Abadi" w:hAnsi="Abadi"/>
          <w:b/>
          <w:bCs/>
          <w:sz w:val="20"/>
          <w:szCs w:val="20"/>
        </w:rPr>
        <w:t>SUPERIOR</w:t>
      </w:r>
      <w:r w:rsidRPr="00531B12">
        <w:rPr>
          <w:rFonts w:ascii="Abadi" w:hAnsi="Abadi"/>
          <w:b/>
          <w:bCs/>
          <w:spacing w:val="-10"/>
          <w:sz w:val="20"/>
          <w:szCs w:val="20"/>
        </w:rPr>
        <w:t xml:space="preserve"> </w:t>
      </w:r>
      <w:r w:rsidRPr="00531B12">
        <w:rPr>
          <w:rFonts w:ascii="Abadi" w:hAnsi="Abadi"/>
          <w:b/>
          <w:bCs/>
          <w:sz w:val="20"/>
          <w:szCs w:val="20"/>
        </w:rPr>
        <w:t>DEL</w:t>
      </w:r>
      <w:r w:rsidRPr="00531B12">
        <w:rPr>
          <w:rFonts w:ascii="Abadi" w:hAnsi="Abadi"/>
          <w:b/>
          <w:bCs/>
          <w:spacing w:val="-1"/>
          <w:sz w:val="20"/>
          <w:szCs w:val="20"/>
        </w:rPr>
        <w:t xml:space="preserve"> </w:t>
      </w:r>
      <w:r w:rsidRPr="00531B12">
        <w:rPr>
          <w:rFonts w:ascii="Abadi" w:hAnsi="Abadi"/>
          <w:b/>
          <w:bCs/>
          <w:sz w:val="20"/>
          <w:szCs w:val="20"/>
        </w:rPr>
        <w:t>ESTADO DE GUANAJUATO,</w:t>
      </w:r>
      <w:r w:rsidRPr="00531B12">
        <w:rPr>
          <w:rFonts w:ascii="Abadi" w:hAnsi="Abadi"/>
          <w:b/>
          <w:bCs/>
          <w:spacing w:val="-1"/>
          <w:sz w:val="20"/>
          <w:szCs w:val="20"/>
        </w:rPr>
        <w:t xml:space="preserve"> </w:t>
      </w:r>
      <w:r w:rsidRPr="00531B12">
        <w:rPr>
          <w:rFonts w:ascii="Abadi" w:hAnsi="Abadi"/>
          <w:b/>
          <w:bCs/>
          <w:sz w:val="20"/>
          <w:szCs w:val="20"/>
        </w:rPr>
        <w:t>EL</w:t>
      </w:r>
      <w:r w:rsidRPr="00531B12">
        <w:rPr>
          <w:rFonts w:ascii="Abadi" w:hAnsi="Abadi"/>
          <w:b/>
          <w:bCs/>
          <w:spacing w:val="-1"/>
          <w:sz w:val="20"/>
          <w:szCs w:val="20"/>
        </w:rPr>
        <w:t xml:space="preserve"> </w:t>
      </w:r>
      <w:r w:rsidRPr="00531B12">
        <w:rPr>
          <w:rFonts w:ascii="Abadi" w:hAnsi="Abadi"/>
          <w:b/>
          <w:bCs/>
          <w:sz w:val="20"/>
          <w:szCs w:val="20"/>
        </w:rPr>
        <w:t>CIUDADANO JAVIER</w:t>
      </w:r>
      <w:r w:rsidRPr="00531B12">
        <w:rPr>
          <w:rFonts w:ascii="Abadi" w:hAnsi="Abadi"/>
          <w:b/>
          <w:bCs/>
          <w:spacing w:val="-1"/>
          <w:sz w:val="20"/>
          <w:szCs w:val="20"/>
        </w:rPr>
        <w:t xml:space="preserve"> </w:t>
      </w:r>
      <w:r w:rsidRPr="00531B12">
        <w:rPr>
          <w:rFonts w:ascii="Abadi" w:hAnsi="Abadi"/>
          <w:b/>
          <w:bCs/>
          <w:sz w:val="20"/>
          <w:szCs w:val="20"/>
        </w:rPr>
        <w:t>PÉREZ SALAZAR, PARA QUE LLEVE A</w:t>
      </w:r>
      <w:r w:rsidRPr="00531B12">
        <w:rPr>
          <w:rFonts w:ascii="Abadi" w:hAnsi="Abadi"/>
          <w:b/>
          <w:bCs/>
          <w:spacing w:val="-1"/>
          <w:sz w:val="20"/>
          <w:szCs w:val="20"/>
        </w:rPr>
        <w:t xml:space="preserve"> </w:t>
      </w:r>
      <w:r w:rsidRPr="00531B12">
        <w:rPr>
          <w:rFonts w:ascii="Abadi" w:hAnsi="Abadi"/>
          <w:b/>
          <w:bCs/>
          <w:sz w:val="20"/>
          <w:szCs w:val="20"/>
        </w:rPr>
        <w:t>CABO</w:t>
      </w:r>
      <w:r w:rsidRPr="00531B12">
        <w:rPr>
          <w:rFonts w:ascii="Abadi" w:hAnsi="Abadi"/>
          <w:b/>
          <w:bCs/>
          <w:spacing w:val="78"/>
          <w:sz w:val="20"/>
          <w:szCs w:val="20"/>
        </w:rPr>
        <w:t xml:space="preserve"> </w:t>
      </w:r>
      <w:r w:rsidRPr="00531B12">
        <w:rPr>
          <w:rFonts w:ascii="Abadi" w:hAnsi="Abadi"/>
          <w:b/>
          <w:bCs/>
          <w:sz w:val="20"/>
          <w:szCs w:val="20"/>
        </w:rPr>
        <w:t>UNA</w:t>
      </w:r>
      <w:r w:rsidRPr="00531B12">
        <w:rPr>
          <w:rFonts w:ascii="Abadi" w:hAnsi="Abadi"/>
          <w:b/>
          <w:bCs/>
          <w:spacing w:val="78"/>
          <w:sz w:val="20"/>
          <w:szCs w:val="20"/>
        </w:rPr>
        <w:t xml:space="preserve"> </w:t>
      </w:r>
      <w:r w:rsidRPr="00531B12">
        <w:rPr>
          <w:rFonts w:ascii="Abadi" w:hAnsi="Abadi"/>
          <w:b/>
          <w:bCs/>
          <w:sz w:val="20"/>
          <w:szCs w:val="20"/>
        </w:rPr>
        <w:t>AUDITORÍA</w:t>
      </w:r>
      <w:r w:rsidRPr="00531B12">
        <w:rPr>
          <w:rFonts w:ascii="Abadi" w:hAnsi="Abadi"/>
          <w:b/>
          <w:bCs/>
          <w:spacing w:val="78"/>
          <w:sz w:val="20"/>
          <w:szCs w:val="20"/>
        </w:rPr>
        <w:t xml:space="preserve"> </w:t>
      </w:r>
      <w:r w:rsidRPr="00531B12">
        <w:rPr>
          <w:rFonts w:ascii="Abadi" w:hAnsi="Abadi"/>
          <w:b/>
          <w:bCs/>
          <w:sz w:val="20"/>
          <w:szCs w:val="20"/>
        </w:rPr>
        <w:t>ESPECÍFICA</w:t>
      </w:r>
      <w:r w:rsidRPr="00531B12">
        <w:rPr>
          <w:rFonts w:ascii="Abadi" w:hAnsi="Abadi"/>
          <w:b/>
          <w:bCs/>
          <w:spacing w:val="78"/>
          <w:sz w:val="20"/>
          <w:szCs w:val="20"/>
        </w:rPr>
        <w:t xml:space="preserve"> </w:t>
      </w:r>
      <w:r w:rsidRPr="00531B12">
        <w:rPr>
          <w:rFonts w:ascii="Abadi" w:hAnsi="Abadi"/>
          <w:b/>
          <w:bCs/>
          <w:sz w:val="20"/>
          <w:szCs w:val="20"/>
        </w:rPr>
        <w:t>DE</w:t>
      </w:r>
      <w:r w:rsidRPr="00531B12">
        <w:rPr>
          <w:rFonts w:ascii="Abadi" w:hAnsi="Abadi"/>
          <w:b/>
          <w:bCs/>
          <w:spacing w:val="78"/>
          <w:sz w:val="20"/>
          <w:szCs w:val="20"/>
        </w:rPr>
        <w:t xml:space="preserve"> </w:t>
      </w:r>
      <w:r w:rsidRPr="00531B12">
        <w:rPr>
          <w:rFonts w:ascii="Abadi" w:hAnsi="Abadi"/>
          <w:b/>
          <w:bCs/>
          <w:sz w:val="20"/>
          <w:szCs w:val="20"/>
        </w:rPr>
        <w:t>DESEMPEÑO</w:t>
      </w:r>
      <w:r w:rsidRPr="00531B12">
        <w:rPr>
          <w:rFonts w:ascii="Abadi" w:hAnsi="Abadi"/>
          <w:b/>
          <w:bCs/>
          <w:spacing w:val="78"/>
          <w:sz w:val="20"/>
          <w:szCs w:val="20"/>
        </w:rPr>
        <w:t xml:space="preserve"> </w:t>
      </w:r>
      <w:r w:rsidRPr="00531B12">
        <w:rPr>
          <w:rFonts w:ascii="Abadi" w:hAnsi="Abadi"/>
          <w:b/>
          <w:bCs/>
          <w:sz w:val="20"/>
          <w:szCs w:val="20"/>
        </w:rPr>
        <w:t>QUE</w:t>
      </w:r>
      <w:r w:rsidRPr="00531B12">
        <w:rPr>
          <w:rFonts w:ascii="Abadi" w:hAnsi="Abadi"/>
          <w:b/>
          <w:bCs/>
          <w:spacing w:val="78"/>
          <w:sz w:val="20"/>
          <w:szCs w:val="20"/>
        </w:rPr>
        <w:t xml:space="preserve"> </w:t>
      </w:r>
      <w:r w:rsidRPr="00531B12">
        <w:rPr>
          <w:rFonts w:ascii="Abadi" w:hAnsi="Abadi"/>
          <w:b/>
          <w:bCs/>
          <w:sz w:val="20"/>
          <w:szCs w:val="20"/>
        </w:rPr>
        <w:t>EVALÚE</w:t>
      </w:r>
      <w:r w:rsidRPr="00531B12">
        <w:rPr>
          <w:rFonts w:ascii="Abadi" w:hAnsi="Abadi"/>
          <w:b/>
          <w:bCs/>
          <w:spacing w:val="78"/>
          <w:sz w:val="20"/>
          <w:szCs w:val="20"/>
        </w:rPr>
        <w:t xml:space="preserve"> </w:t>
      </w:r>
      <w:r w:rsidRPr="00531B12">
        <w:rPr>
          <w:rFonts w:ascii="Abadi" w:hAnsi="Abadi"/>
          <w:b/>
          <w:bCs/>
          <w:sz w:val="20"/>
          <w:szCs w:val="20"/>
        </w:rPr>
        <w:t>LAS</w:t>
      </w:r>
      <w:r w:rsidRPr="00531B12">
        <w:rPr>
          <w:rFonts w:ascii="Abadi" w:hAnsi="Abadi"/>
          <w:b/>
          <w:bCs/>
          <w:spacing w:val="78"/>
          <w:sz w:val="20"/>
          <w:szCs w:val="20"/>
        </w:rPr>
        <w:t xml:space="preserve"> </w:t>
      </w:r>
      <w:r w:rsidRPr="00531B12">
        <w:rPr>
          <w:rFonts w:ascii="Abadi" w:hAnsi="Abadi"/>
          <w:b/>
          <w:bCs/>
          <w:sz w:val="20"/>
          <w:szCs w:val="20"/>
        </w:rPr>
        <w:t>POLÍTICAS</w:t>
      </w:r>
      <w:r w:rsidRPr="00531B12">
        <w:rPr>
          <w:rFonts w:ascii="Abadi" w:hAnsi="Abadi"/>
          <w:b/>
          <w:bCs/>
          <w:spacing w:val="-1"/>
          <w:sz w:val="20"/>
          <w:szCs w:val="20"/>
        </w:rPr>
        <w:t xml:space="preserve"> </w:t>
      </w:r>
      <w:r w:rsidRPr="00531B12">
        <w:rPr>
          <w:rFonts w:ascii="Abadi" w:hAnsi="Abadi"/>
          <w:b/>
          <w:bCs/>
          <w:sz w:val="20"/>
          <w:szCs w:val="20"/>
        </w:rPr>
        <w:t>PÚBLICAS</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DESARROLLO</w:t>
      </w:r>
      <w:r w:rsidRPr="00531B12">
        <w:rPr>
          <w:rFonts w:ascii="Abadi" w:hAnsi="Abadi"/>
          <w:b/>
          <w:bCs/>
          <w:spacing w:val="2"/>
          <w:sz w:val="20"/>
          <w:szCs w:val="20"/>
        </w:rPr>
        <w:t xml:space="preserve"> </w:t>
      </w:r>
      <w:r w:rsidRPr="00531B12">
        <w:rPr>
          <w:rFonts w:ascii="Abadi" w:hAnsi="Abadi"/>
          <w:b/>
          <w:bCs/>
          <w:sz w:val="20"/>
          <w:szCs w:val="20"/>
        </w:rPr>
        <w:t>SOCIAL</w:t>
      </w:r>
      <w:r w:rsidRPr="00531B12">
        <w:rPr>
          <w:rFonts w:ascii="Abadi" w:hAnsi="Abadi"/>
          <w:b/>
          <w:bCs/>
          <w:spacing w:val="2"/>
          <w:sz w:val="20"/>
          <w:szCs w:val="20"/>
        </w:rPr>
        <w:t xml:space="preserve"> </w:t>
      </w:r>
      <w:r w:rsidRPr="00531B12">
        <w:rPr>
          <w:rFonts w:ascii="Abadi" w:hAnsi="Abadi"/>
          <w:b/>
          <w:bCs/>
          <w:sz w:val="20"/>
          <w:szCs w:val="20"/>
        </w:rPr>
        <w:t>Y HUMANO</w:t>
      </w:r>
      <w:r w:rsidRPr="00531B12">
        <w:rPr>
          <w:rFonts w:ascii="Abadi" w:hAnsi="Abadi"/>
          <w:b/>
          <w:bCs/>
          <w:spacing w:val="2"/>
          <w:sz w:val="20"/>
          <w:szCs w:val="20"/>
        </w:rPr>
        <w:t xml:space="preserve"> </w:t>
      </w:r>
      <w:r w:rsidRPr="00531B12">
        <w:rPr>
          <w:rFonts w:ascii="Abadi" w:hAnsi="Abadi"/>
          <w:b/>
          <w:bCs/>
          <w:sz w:val="20"/>
          <w:szCs w:val="20"/>
        </w:rPr>
        <w:t>LLEVADAS</w:t>
      </w:r>
      <w:r w:rsidRPr="00531B12">
        <w:rPr>
          <w:rFonts w:ascii="Abadi" w:hAnsi="Abadi"/>
          <w:b/>
          <w:bCs/>
          <w:spacing w:val="2"/>
          <w:sz w:val="20"/>
          <w:szCs w:val="20"/>
        </w:rPr>
        <w:t xml:space="preserve"> </w:t>
      </w:r>
      <w:r w:rsidRPr="00531B12">
        <w:rPr>
          <w:rFonts w:ascii="Abadi" w:hAnsi="Abadi"/>
          <w:b/>
          <w:bCs/>
          <w:sz w:val="20"/>
          <w:szCs w:val="20"/>
        </w:rPr>
        <w:t>A</w:t>
      </w:r>
      <w:r w:rsidRPr="00531B12">
        <w:rPr>
          <w:rFonts w:ascii="Abadi" w:hAnsi="Abadi"/>
          <w:b/>
          <w:bCs/>
          <w:spacing w:val="2"/>
          <w:sz w:val="20"/>
          <w:szCs w:val="20"/>
        </w:rPr>
        <w:t xml:space="preserve"> </w:t>
      </w:r>
      <w:r w:rsidRPr="00531B12">
        <w:rPr>
          <w:rFonts w:ascii="Abadi" w:hAnsi="Abadi"/>
          <w:b/>
          <w:bCs/>
          <w:sz w:val="20"/>
          <w:szCs w:val="20"/>
        </w:rPr>
        <w:t>CABO</w:t>
      </w:r>
      <w:r w:rsidRPr="00531B12">
        <w:rPr>
          <w:rFonts w:ascii="Abadi" w:hAnsi="Abadi"/>
          <w:b/>
          <w:bCs/>
          <w:spacing w:val="2"/>
          <w:sz w:val="20"/>
          <w:szCs w:val="20"/>
        </w:rPr>
        <w:t xml:space="preserve"> </w:t>
      </w:r>
      <w:r w:rsidRPr="00531B12">
        <w:rPr>
          <w:rFonts w:ascii="Abadi" w:hAnsi="Abadi"/>
          <w:b/>
          <w:bCs/>
          <w:sz w:val="20"/>
          <w:szCs w:val="20"/>
        </w:rPr>
        <w:t>POR</w:t>
      </w:r>
      <w:r w:rsidRPr="00531B12">
        <w:rPr>
          <w:rFonts w:ascii="Abadi" w:hAnsi="Abadi"/>
          <w:b/>
          <w:bCs/>
          <w:spacing w:val="2"/>
          <w:sz w:val="20"/>
          <w:szCs w:val="20"/>
        </w:rPr>
        <w:t xml:space="preserve"> </w:t>
      </w:r>
      <w:r w:rsidRPr="00531B12">
        <w:rPr>
          <w:rFonts w:ascii="Abadi" w:hAnsi="Abadi"/>
          <w:b/>
          <w:bCs/>
          <w:sz w:val="20"/>
          <w:szCs w:val="20"/>
        </w:rPr>
        <w:t>EL GOBIERNO</w:t>
      </w:r>
      <w:r w:rsidRPr="00531B12">
        <w:rPr>
          <w:rFonts w:ascii="Abadi" w:hAnsi="Abadi"/>
          <w:b/>
          <w:bCs/>
          <w:spacing w:val="2"/>
          <w:sz w:val="20"/>
          <w:szCs w:val="20"/>
        </w:rPr>
        <w:t xml:space="preserve"> </w:t>
      </w:r>
      <w:r w:rsidRPr="00531B12">
        <w:rPr>
          <w:rFonts w:ascii="Abadi" w:hAnsi="Abadi"/>
          <w:b/>
          <w:bCs/>
          <w:sz w:val="20"/>
          <w:szCs w:val="20"/>
        </w:rPr>
        <w:t>DEL</w:t>
      </w:r>
      <w:r w:rsidRPr="00531B12">
        <w:rPr>
          <w:rFonts w:ascii="Abadi" w:hAnsi="Abadi"/>
          <w:b/>
          <w:bCs/>
          <w:spacing w:val="-1"/>
          <w:sz w:val="20"/>
          <w:szCs w:val="20"/>
        </w:rPr>
        <w:t xml:space="preserve"> </w:t>
      </w:r>
      <w:r w:rsidRPr="00531B12">
        <w:rPr>
          <w:rFonts w:ascii="Abadi" w:hAnsi="Abadi"/>
          <w:b/>
          <w:bCs/>
          <w:sz w:val="20"/>
          <w:szCs w:val="20"/>
        </w:rPr>
        <w:t>ESTADO.</w:t>
      </w:r>
    </w:p>
    <w:p w14:paraId="72B0EEF9" w14:textId="551E9996" w:rsidR="004879C6" w:rsidRDefault="004879C6" w:rsidP="00973CFC">
      <w:pPr>
        <w:rPr>
          <w:rFonts w:ascii="Abadi" w:hAnsi="Abadi"/>
          <w:b/>
          <w:bCs/>
          <w:sz w:val="20"/>
          <w:szCs w:val="20"/>
        </w:rPr>
      </w:pPr>
    </w:p>
    <w:p w14:paraId="0E8CF5CC" w14:textId="77777777" w:rsidR="00FE3B93" w:rsidRPr="0062742B" w:rsidRDefault="00FE3B93" w:rsidP="00FE3B93">
      <w:pPr>
        <w:rPr>
          <w:rFonts w:ascii="Abadi" w:hAnsi="Abadi" w:cs="Arial"/>
          <w:b/>
          <w:iCs/>
          <w:smallCaps/>
          <w:sz w:val="21"/>
          <w:szCs w:val="21"/>
        </w:rPr>
      </w:pPr>
      <w:bookmarkStart w:id="18" w:name="_Hlk90302205"/>
      <w:r w:rsidRPr="0062742B">
        <w:rPr>
          <w:rFonts w:ascii="Abadi" w:hAnsi="Abadi" w:cs="Arial"/>
          <w:b/>
          <w:iCs/>
          <w:smallCaps/>
          <w:sz w:val="21"/>
          <w:szCs w:val="21"/>
        </w:rPr>
        <w:t>C. Presidenta del Congreso del Estado.</w:t>
      </w:r>
    </w:p>
    <w:p w14:paraId="50BE527F" w14:textId="77777777" w:rsidR="00FE3B93" w:rsidRPr="0062742B" w:rsidRDefault="00FE3B93" w:rsidP="00FE3B93">
      <w:pPr>
        <w:jc w:val="both"/>
        <w:rPr>
          <w:rFonts w:ascii="Abadi" w:hAnsi="Abadi" w:cs="Arial"/>
          <w:b/>
          <w:iCs/>
          <w:smallCaps/>
          <w:sz w:val="21"/>
          <w:szCs w:val="21"/>
        </w:rPr>
      </w:pPr>
      <w:r w:rsidRPr="0062742B">
        <w:rPr>
          <w:rFonts w:ascii="Abadi" w:hAnsi="Abadi" w:cs="Arial"/>
          <w:b/>
          <w:iCs/>
          <w:smallCaps/>
          <w:sz w:val="21"/>
          <w:szCs w:val="21"/>
        </w:rPr>
        <w:t>P r e s e n t e.</w:t>
      </w:r>
    </w:p>
    <w:p w14:paraId="306FC59A" w14:textId="77777777" w:rsidR="00FE3B93" w:rsidRPr="0062742B" w:rsidRDefault="00FE3B93" w:rsidP="00FE3B93">
      <w:pPr>
        <w:pStyle w:val="Textoindependiente"/>
        <w:rPr>
          <w:rFonts w:ascii="Abadi" w:hAnsi="Abadi"/>
          <w:iCs/>
          <w:sz w:val="21"/>
          <w:szCs w:val="21"/>
        </w:rPr>
      </w:pPr>
    </w:p>
    <w:p w14:paraId="4AFC7B43" w14:textId="77777777" w:rsidR="00FE3B93" w:rsidRPr="00FE3B93" w:rsidRDefault="00FE3B93" w:rsidP="00FE3B93">
      <w:pPr>
        <w:pStyle w:val="Textoindependiente"/>
        <w:rPr>
          <w:rFonts w:ascii="Abadi" w:hAnsi="Abadi"/>
          <w:b w:val="0"/>
          <w:bCs w:val="0"/>
          <w:sz w:val="21"/>
          <w:szCs w:val="21"/>
          <w:lang w:val="es-ES_tradnl"/>
        </w:rPr>
      </w:pPr>
      <w:r w:rsidRPr="0062742B">
        <w:rPr>
          <w:rFonts w:ascii="Abadi" w:hAnsi="Abadi"/>
          <w:iCs/>
          <w:sz w:val="21"/>
          <w:szCs w:val="21"/>
        </w:rPr>
        <w:tab/>
      </w:r>
      <w:r w:rsidRPr="00FE3B93">
        <w:rPr>
          <w:rFonts w:ascii="Abadi" w:hAnsi="Abadi"/>
          <w:b w:val="0"/>
          <w:bCs w:val="0"/>
          <w:iCs/>
          <w:sz w:val="21"/>
          <w:szCs w:val="21"/>
        </w:rPr>
        <w:t xml:space="preserve">A la Comisión de Hacienda y Fiscalización de la pasada Legislatura le fue turnada para efectos de su estudio y dictamen, la propuesta de punto de acuerdo formulada </w:t>
      </w:r>
      <w:r w:rsidRPr="00FE3B93">
        <w:rPr>
          <w:rFonts w:ascii="Abadi" w:hAnsi="Abadi"/>
          <w:b w:val="0"/>
          <w:bCs w:val="0"/>
          <w:sz w:val="21"/>
          <w:szCs w:val="21"/>
          <w:lang w:val="es-ES_tradnl"/>
        </w:rPr>
        <w:t>por la diputada María Magdalena Rosales Cruz y los diputados Enrique Alba Martínez y Raúl Humberto Márquez Albo, integrantes del Grupo Parlamentario del Partido MORENA ante la Sexagésima Cuarta Legislatura, a efecto de exhortar al titular de la Auditoría Superior del Estado de Guanajuato, el ciudadano Javier Pérez Salazar, para que lleve a cabo una auditoría específica de desempeño que evalúe las políticas públicas de desarrollo social y humano llevadas a cabo por el Gobierno del Estado</w:t>
      </w:r>
      <w:r w:rsidRPr="00FE3B93">
        <w:rPr>
          <w:rFonts w:ascii="Abadi" w:hAnsi="Abadi"/>
          <w:b w:val="0"/>
          <w:bCs w:val="0"/>
          <w:iCs/>
          <w:sz w:val="21"/>
          <w:szCs w:val="21"/>
        </w:rPr>
        <w:t xml:space="preserve">, </w:t>
      </w:r>
      <w:r w:rsidRPr="00FE3B93">
        <w:rPr>
          <w:rFonts w:ascii="Abadi" w:hAnsi="Abadi"/>
          <w:b w:val="0"/>
          <w:bCs w:val="0"/>
          <w:sz w:val="21"/>
          <w:szCs w:val="21"/>
          <w:lang w:val="es-ES_tradnl"/>
        </w:rPr>
        <w:t>misma que se recibió como un pendiente legislativo.</w:t>
      </w:r>
    </w:p>
    <w:p w14:paraId="53119CC5" w14:textId="3A305010" w:rsidR="00FE3B93" w:rsidRDefault="00FE3B93" w:rsidP="00FE3B93">
      <w:pPr>
        <w:jc w:val="both"/>
        <w:rPr>
          <w:rFonts w:ascii="Abadi" w:hAnsi="Abadi" w:cs="Arial"/>
          <w:iCs/>
          <w:sz w:val="21"/>
          <w:szCs w:val="21"/>
        </w:rPr>
      </w:pPr>
      <w:r w:rsidRPr="00FE3B93">
        <w:rPr>
          <w:rFonts w:ascii="Abadi" w:hAnsi="Abadi" w:cs="Arial"/>
          <w:iCs/>
          <w:sz w:val="21"/>
          <w:szCs w:val="21"/>
        </w:rPr>
        <w:tab/>
        <w:t>Analizada la</w:t>
      </w:r>
      <w:r w:rsidRPr="0062742B">
        <w:rPr>
          <w:rFonts w:ascii="Abadi" w:hAnsi="Abadi" w:cs="Arial"/>
          <w:iCs/>
          <w:sz w:val="21"/>
          <w:szCs w:val="21"/>
        </w:rPr>
        <w:t xml:space="preserve"> propuesta de referencia, con fundamento en los artículos 75, 89, fracción V, 112, fracción XV y 171 de </w:t>
      </w:r>
      <w:smartTag w:uri="urn:schemas-microsoft-com:office:smarttags" w:element="PersonName">
        <w:smartTagPr>
          <w:attr w:name="ProductID" w:val="la Ley Org￡nica"/>
        </w:smartTagPr>
        <w:r w:rsidRPr="0062742B">
          <w:rPr>
            <w:rFonts w:ascii="Abadi" w:hAnsi="Abadi" w:cs="Arial"/>
            <w:iCs/>
            <w:sz w:val="21"/>
            <w:szCs w:val="21"/>
          </w:rPr>
          <w:t>la Ley Orgánica</w:t>
        </w:r>
      </w:smartTag>
      <w:r w:rsidRPr="0062742B">
        <w:rPr>
          <w:rFonts w:ascii="Abadi" w:hAnsi="Abadi" w:cs="Arial"/>
          <w:iCs/>
          <w:sz w:val="21"/>
          <w:szCs w:val="21"/>
        </w:rPr>
        <w:t xml:space="preserve"> del Poder Legislativo del Estado de Guanajuato, nos permitimos rendir el siguiente:</w:t>
      </w:r>
    </w:p>
    <w:p w14:paraId="6A7C4D7A" w14:textId="77777777" w:rsidR="00FE3B93" w:rsidRPr="0062742B" w:rsidRDefault="00FE3B93" w:rsidP="00FE3B93">
      <w:pPr>
        <w:jc w:val="both"/>
        <w:rPr>
          <w:rFonts w:ascii="Abadi" w:hAnsi="Abadi" w:cs="Arial"/>
          <w:iCs/>
          <w:sz w:val="21"/>
          <w:szCs w:val="21"/>
        </w:rPr>
      </w:pPr>
    </w:p>
    <w:p w14:paraId="65B80CD4" w14:textId="3530C220" w:rsidR="00FE3B93" w:rsidRDefault="00FE3B93" w:rsidP="00FE3B93">
      <w:pPr>
        <w:pStyle w:val="Ttulo1"/>
        <w:jc w:val="center"/>
        <w:rPr>
          <w:rFonts w:ascii="Abadi" w:hAnsi="Abadi" w:cs="Arial"/>
          <w:iCs w:val="0"/>
          <w:sz w:val="21"/>
          <w:szCs w:val="21"/>
        </w:rPr>
      </w:pPr>
      <w:r w:rsidRPr="0062742B">
        <w:rPr>
          <w:rFonts w:ascii="Abadi" w:hAnsi="Abadi" w:cs="Arial"/>
          <w:iCs w:val="0"/>
          <w:sz w:val="21"/>
          <w:szCs w:val="21"/>
        </w:rPr>
        <w:t>D i c t a m e n</w:t>
      </w:r>
    </w:p>
    <w:p w14:paraId="2A9409F6" w14:textId="77777777" w:rsidR="00FE3B93" w:rsidRPr="00FE3B93" w:rsidRDefault="00FE3B93" w:rsidP="00FE3B93"/>
    <w:p w14:paraId="60D103FF" w14:textId="77777777" w:rsidR="00FE3B93" w:rsidRPr="0062742B" w:rsidRDefault="00FE3B93" w:rsidP="00A36F36">
      <w:pPr>
        <w:numPr>
          <w:ilvl w:val="0"/>
          <w:numId w:val="36"/>
        </w:numPr>
        <w:spacing w:after="160"/>
        <w:jc w:val="both"/>
        <w:rPr>
          <w:rFonts w:ascii="Abadi" w:hAnsi="Abadi" w:cs="Arial"/>
          <w:b/>
          <w:bCs/>
          <w:sz w:val="21"/>
          <w:szCs w:val="21"/>
        </w:rPr>
      </w:pPr>
      <w:r w:rsidRPr="0062742B">
        <w:rPr>
          <w:rFonts w:ascii="Abadi" w:hAnsi="Abadi" w:cs="Arial"/>
          <w:b/>
          <w:bCs/>
          <w:sz w:val="21"/>
          <w:szCs w:val="21"/>
        </w:rPr>
        <w:t>Antecedentes</w:t>
      </w:r>
    </w:p>
    <w:p w14:paraId="4D932574" w14:textId="77777777" w:rsidR="00FE3B93" w:rsidRPr="0062742B" w:rsidRDefault="00FE3B93" w:rsidP="00FE3B93">
      <w:pPr>
        <w:jc w:val="center"/>
        <w:rPr>
          <w:rFonts w:ascii="Abadi" w:hAnsi="Abadi" w:cs="Arial"/>
          <w:b/>
          <w:iCs/>
          <w:sz w:val="21"/>
          <w:szCs w:val="21"/>
        </w:rPr>
      </w:pPr>
    </w:p>
    <w:p w14:paraId="2110A87C" w14:textId="77777777" w:rsidR="00FE3B93" w:rsidRPr="00FE3B93" w:rsidRDefault="00FE3B93" w:rsidP="00FE3B93">
      <w:pPr>
        <w:pStyle w:val="Textoindependiente"/>
        <w:rPr>
          <w:rFonts w:ascii="Abadi" w:hAnsi="Abadi"/>
          <w:b w:val="0"/>
          <w:bCs w:val="0"/>
          <w:iCs/>
          <w:sz w:val="21"/>
          <w:szCs w:val="21"/>
        </w:rPr>
      </w:pPr>
      <w:r w:rsidRPr="0062742B">
        <w:rPr>
          <w:rFonts w:ascii="Abadi" w:hAnsi="Abadi"/>
          <w:iCs/>
          <w:sz w:val="21"/>
          <w:szCs w:val="21"/>
        </w:rPr>
        <w:tab/>
      </w:r>
      <w:r w:rsidRPr="00FE3B93">
        <w:rPr>
          <w:rFonts w:ascii="Abadi" w:hAnsi="Abadi"/>
          <w:b w:val="0"/>
          <w:bCs w:val="0"/>
          <w:iCs/>
          <w:sz w:val="21"/>
          <w:szCs w:val="21"/>
        </w:rPr>
        <w:t xml:space="preserve">La </w:t>
      </w:r>
      <w:r w:rsidRPr="00FE3B93">
        <w:rPr>
          <w:rFonts w:ascii="Abadi" w:hAnsi="Abadi"/>
          <w:b w:val="0"/>
          <w:bCs w:val="0"/>
          <w:sz w:val="21"/>
          <w:szCs w:val="21"/>
          <w:lang w:val="es-ES_tradnl"/>
        </w:rPr>
        <w:t>diputada María Magdalena Rosales Cruz y los diputados Enrique Alba Martínez y Raúl Humberto Márquez Albo</w:t>
      </w:r>
      <w:r w:rsidRPr="00FE3B93">
        <w:rPr>
          <w:rFonts w:ascii="Abadi" w:hAnsi="Abadi"/>
          <w:b w:val="0"/>
          <w:bCs w:val="0"/>
          <w:iCs/>
          <w:sz w:val="21"/>
          <w:szCs w:val="21"/>
        </w:rPr>
        <w:t xml:space="preserve">, integrantes del Grupo Parlamentario del Partido MORENA ante la Sexagésima Cuarta Legislatura, en sesión ordinaria celebrada el 17 de junio de 2021 presentaron la propuesta de punto de acuerdo a efecto de </w:t>
      </w:r>
      <w:r w:rsidRPr="00FE3B93">
        <w:rPr>
          <w:rFonts w:ascii="Abadi" w:hAnsi="Abadi"/>
          <w:b w:val="0"/>
          <w:bCs w:val="0"/>
          <w:sz w:val="21"/>
          <w:szCs w:val="21"/>
          <w:lang w:val="es-ES_tradnl"/>
        </w:rPr>
        <w:t>exhortar al titular de la Auditoría Superior del Estado de Guanajuato</w:t>
      </w:r>
      <w:r w:rsidRPr="00FE3B93">
        <w:rPr>
          <w:rFonts w:ascii="Abadi" w:hAnsi="Abadi"/>
          <w:b w:val="0"/>
          <w:bCs w:val="0"/>
          <w:iCs/>
          <w:sz w:val="21"/>
          <w:szCs w:val="21"/>
        </w:rPr>
        <w:t xml:space="preserve"> para que lleve a cabo la auditoría referida en el proemio del presente dictamen. </w:t>
      </w:r>
    </w:p>
    <w:p w14:paraId="171C729E" w14:textId="77777777" w:rsidR="00FE3B93" w:rsidRPr="0062742B" w:rsidRDefault="00FE3B93" w:rsidP="00FE3B93">
      <w:pPr>
        <w:pStyle w:val="Textoindependiente"/>
        <w:ind w:firstLine="708"/>
        <w:rPr>
          <w:rFonts w:ascii="Abadi" w:hAnsi="Abadi"/>
          <w:sz w:val="21"/>
          <w:szCs w:val="21"/>
        </w:rPr>
      </w:pPr>
      <w:r w:rsidRPr="00FE3B93">
        <w:rPr>
          <w:rFonts w:ascii="Abadi" w:hAnsi="Abadi"/>
          <w:b w:val="0"/>
          <w:bCs w:val="0"/>
          <w:iCs/>
          <w:sz w:val="21"/>
          <w:szCs w:val="21"/>
        </w:rPr>
        <w:t>La referida propuesta</w:t>
      </w:r>
      <w:r w:rsidRPr="00FE3B93">
        <w:rPr>
          <w:rFonts w:ascii="Abadi" w:hAnsi="Abadi"/>
          <w:b w:val="0"/>
          <w:bCs w:val="0"/>
          <w:sz w:val="21"/>
          <w:szCs w:val="21"/>
        </w:rPr>
        <w:t xml:space="preserve"> se turnó por la presidencia a la Comisión de Hacienda y Fiscalización para su estudio y dictamen, con fundamento en la fracción XV del artículo 112 de la Ley Orgánica del Poder Legislativo del Estado de Guanajuato, misma que la radicó el 21 de junio de 2021. </w:t>
      </w:r>
    </w:p>
    <w:p w14:paraId="3965DB82" w14:textId="77777777" w:rsidR="00FE3B93" w:rsidRPr="00FE3B93" w:rsidRDefault="00FE3B93" w:rsidP="00FE3B93">
      <w:pPr>
        <w:pStyle w:val="Textoindependiente"/>
        <w:ind w:firstLine="708"/>
        <w:rPr>
          <w:rFonts w:ascii="Abadi" w:hAnsi="Abadi"/>
          <w:b w:val="0"/>
          <w:bCs w:val="0"/>
          <w:sz w:val="21"/>
          <w:szCs w:val="21"/>
        </w:rPr>
      </w:pPr>
      <w:r w:rsidRPr="00FE3B93">
        <w:rPr>
          <w:rFonts w:ascii="Abadi" w:hAnsi="Abadi"/>
          <w:b w:val="0"/>
          <w:bCs w:val="0"/>
          <w:sz w:val="21"/>
          <w:szCs w:val="21"/>
        </w:rPr>
        <w:t xml:space="preserve">En reunión celebrada el 26 de octubre de 2021 esta Comisión acordó requerir al Auditor Superior del Estado la elaboración de una ficha técnica respecto a dicha propuesta, misma que </w:t>
      </w:r>
      <w:r w:rsidRPr="00FE3B93">
        <w:rPr>
          <w:rFonts w:ascii="Abadi" w:hAnsi="Abadi"/>
          <w:b w:val="0"/>
          <w:bCs w:val="0"/>
          <w:sz w:val="21"/>
          <w:szCs w:val="21"/>
        </w:rPr>
        <w:t>dicho funcionario expuso en la reunión celebrada el 14 de junio del año en curso.</w:t>
      </w:r>
    </w:p>
    <w:p w14:paraId="13A2E857" w14:textId="77777777" w:rsidR="00FE3B93" w:rsidRPr="0062742B" w:rsidRDefault="00FE3B93" w:rsidP="00FE3B93">
      <w:pPr>
        <w:pStyle w:val="Textoindependiente"/>
        <w:ind w:firstLine="708"/>
        <w:rPr>
          <w:rFonts w:ascii="Abadi" w:hAnsi="Abadi"/>
          <w:sz w:val="21"/>
          <w:szCs w:val="21"/>
        </w:rPr>
      </w:pPr>
    </w:p>
    <w:p w14:paraId="7C89D3A3" w14:textId="77777777" w:rsidR="00FE3B93" w:rsidRPr="0062742B" w:rsidRDefault="00FE3B93" w:rsidP="00FE3B93">
      <w:pPr>
        <w:pStyle w:val="Textoindependiente"/>
        <w:rPr>
          <w:rFonts w:ascii="Abadi" w:hAnsi="Abadi"/>
          <w:sz w:val="21"/>
          <w:szCs w:val="21"/>
        </w:rPr>
      </w:pPr>
    </w:p>
    <w:p w14:paraId="4E890B5A" w14:textId="77777777" w:rsidR="00FE3B93" w:rsidRPr="0062742B" w:rsidRDefault="00FE3B93" w:rsidP="00A36F36">
      <w:pPr>
        <w:numPr>
          <w:ilvl w:val="0"/>
          <w:numId w:val="36"/>
        </w:numPr>
        <w:spacing w:after="160"/>
        <w:jc w:val="both"/>
        <w:rPr>
          <w:rFonts w:ascii="Abadi" w:hAnsi="Abadi" w:cs="Arial"/>
          <w:b/>
          <w:bCs/>
          <w:sz w:val="21"/>
          <w:szCs w:val="21"/>
        </w:rPr>
      </w:pPr>
      <w:r w:rsidRPr="0062742B">
        <w:rPr>
          <w:rFonts w:ascii="Abadi" w:hAnsi="Abadi" w:cs="Arial"/>
          <w:b/>
          <w:bCs/>
          <w:sz w:val="21"/>
          <w:szCs w:val="21"/>
        </w:rPr>
        <w:t>Consideraciones de la y los proponentes</w:t>
      </w:r>
    </w:p>
    <w:p w14:paraId="7A854E57" w14:textId="77777777" w:rsidR="00FE3B93" w:rsidRPr="002F4EF2" w:rsidRDefault="00FE3B93" w:rsidP="00FE3B93">
      <w:pPr>
        <w:pStyle w:val="Textoindependiente"/>
        <w:ind w:firstLine="708"/>
        <w:rPr>
          <w:rFonts w:ascii="Abadi" w:hAnsi="Abadi"/>
          <w:b w:val="0"/>
          <w:bCs w:val="0"/>
          <w:sz w:val="21"/>
          <w:szCs w:val="21"/>
        </w:rPr>
      </w:pPr>
      <w:r w:rsidRPr="002F4EF2">
        <w:rPr>
          <w:rFonts w:ascii="Abadi" w:hAnsi="Abadi"/>
          <w:b w:val="0"/>
          <w:bCs w:val="0"/>
          <w:sz w:val="21"/>
          <w:szCs w:val="21"/>
        </w:rPr>
        <w:t>En las consideraciones de la propuesta materia del presente dictamen se refiere lo siguiente:</w:t>
      </w:r>
    </w:p>
    <w:p w14:paraId="671B46DB" w14:textId="77777777" w:rsidR="00FE3B93" w:rsidRPr="002F4EF2" w:rsidRDefault="00FE3B93" w:rsidP="00FE3B93">
      <w:pPr>
        <w:pStyle w:val="Textoindependiente"/>
        <w:spacing w:before="188"/>
        <w:ind w:left="709" w:right="161"/>
        <w:rPr>
          <w:rFonts w:ascii="Abadi" w:hAnsi="Abadi"/>
          <w:b w:val="0"/>
          <w:bCs w:val="0"/>
          <w:i/>
          <w:sz w:val="21"/>
          <w:szCs w:val="21"/>
        </w:rPr>
      </w:pPr>
      <w:r w:rsidRPr="002F4EF2">
        <w:rPr>
          <w:rFonts w:ascii="Abadi" w:hAnsi="Abadi"/>
          <w:b w:val="0"/>
          <w:bCs w:val="0"/>
          <w:i/>
          <w:sz w:val="21"/>
          <w:szCs w:val="21"/>
        </w:rPr>
        <w:t xml:space="preserve">El Estado de Guanajuato lleva casi 30 años gobernado por camarillas emanadas del mismo partido político. En este periodo, fue implementado un modelo de desarrollo neoliberal favorecido por las élites cleptómanas que se apropiaban de las instituciones para obtener beneficios privados con cargo al erario. </w:t>
      </w:r>
    </w:p>
    <w:p w14:paraId="1C7A2517" w14:textId="77777777" w:rsidR="00FE3B93" w:rsidRPr="002F4EF2" w:rsidRDefault="00FE3B93" w:rsidP="00FE3B93">
      <w:pPr>
        <w:pStyle w:val="Textoindependiente"/>
        <w:spacing w:before="188"/>
        <w:ind w:left="709" w:right="161"/>
        <w:rPr>
          <w:rFonts w:ascii="Abadi" w:hAnsi="Abadi"/>
          <w:b w:val="0"/>
          <w:bCs w:val="0"/>
          <w:i/>
          <w:sz w:val="21"/>
          <w:szCs w:val="21"/>
        </w:rPr>
      </w:pPr>
      <w:r w:rsidRPr="002F4EF2">
        <w:rPr>
          <w:rFonts w:ascii="Abadi" w:hAnsi="Abadi"/>
          <w:b w:val="0"/>
          <w:bCs w:val="0"/>
          <w:i/>
          <w:sz w:val="21"/>
          <w:szCs w:val="21"/>
        </w:rPr>
        <w:t>De esta manera, el modelo neoliberal dio una importancia preponderante al crecimiento económico, a la extracción de presupuesto mediante colaboraciones público-privadas o intereses pagados por deuda con la banca privada, así como a la supuesta eficiencia del libre mercado autorregulado como solución a todos los problemas, desplazando cuestiones</w:t>
      </w:r>
      <w:r w:rsidRPr="002F4EF2">
        <w:rPr>
          <w:rFonts w:ascii="Abadi" w:hAnsi="Abadi"/>
          <w:b w:val="0"/>
          <w:bCs w:val="0"/>
          <w:sz w:val="21"/>
          <w:szCs w:val="21"/>
        </w:rPr>
        <w:t xml:space="preserve"> </w:t>
      </w:r>
      <w:r w:rsidRPr="002F4EF2">
        <w:rPr>
          <w:rFonts w:ascii="Abadi" w:hAnsi="Abadi"/>
          <w:b w:val="0"/>
          <w:bCs w:val="0"/>
          <w:i/>
          <w:sz w:val="21"/>
          <w:szCs w:val="21"/>
        </w:rPr>
        <w:t>como la pobreza o la desigualdad a un segundo plano.</w:t>
      </w:r>
      <w:r w:rsidRPr="002F4EF2">
        <w:rPr>
          <w:rStyle w:val="Refdenotaalpie"/>
          <w:rFonts w:ascii="Abadi" w:hAnsi="Abadi"/>
          <w:b w:val="0"/>
          <w:bCs w:val="0"/>
          <w:i/>
          <w:sz w:val="21"/>
          <w:szCs w:val="21"/>
        </w:rPr>
        <w:footnoteReference w:id="99"/>
      </w:r>
      <w:r w:rsidRPr="002F4EF2">
        <w:rPr>
          <w:rFonts w:ascii="Abadi" w:hAnsi="Abadi"/>
          <w:b w:val="0"/>
          <w:bCs w:val="0"/>
          <w:i/>
          <w:sz w:val="21"/>
          <w:szCs w:val="21"/>
        </w:rPr>
        <w:t xml:space="preserve"> Más que reducir el Estado, el modelo neoliberal supuso su ampliación y utilización para promoción y beneficio del mercado. </w:t>
      </w:r>
    </w:p>
    <w:p w14:paraId="14ED9B8E" w14:textId="77777777" w:rsidR="00FE3B93" w:rsidRPr="002F4EF2" w:rsidRDefault="00FE3B93" w:rsidP="00FE3B93">
      <w:pPr>
        <w:pStyle w:val="Textoindependiente"/>
        <w:spacing w:before="188"/>
        <w:ind w:left="709" w:right="161"/>
        <w:rPr>
          <w:rFonts w:ascii="Abadi" w:hAnsi="Abadi"/>
          <w:b w:val="0"/>
          <w:bCs w:val="0"/>
          <w:i/>
          <w:sz w:val="21"/>
          <w:szCs w:val="21"/>
        </w:rPr>
      </w:pPr>
      <w:r w:rsidRPr="002F4EF2">
        <w:rPr>
          <w:rFonts w:ascii="Abadi" w:hAnsi="Abadi"/>
          <w:b w:val="0"/>
          <w:bCs w:val="0"/>
          <w:i/>
          <w:sz w:val="21"/>
          <w:szCs w:val="21"/>
        </w:rPr>
        <w:t xml:space="preserve">Este modelo se tradujo en un auténtico drama social inducido que hasta hoy se mantiene, pues las soluciones de mercado a todos los problemas sociales y económicos no logran generar las supuestas condiciones de eficiencia y competitividad que se debieron traducir en bienestar social, sino que sólo propician una concentración acelerada de la propiedad y de la riqueza mediante mecanismos institucionales del poder público.  </w:t>
      </w:r>
    </w:p>
    <w:p w14:paraId="7A7552E6" w14:textId="77777777" w:rsidR="00FE3B93" w:rsidRPr="002F4EF2" w:rsidRDefault="00FE3B93" w:rsidP="00FE3B93">
      <w:pPr>
        <w:pStyle w:val="Textoindependiente"/>
        <w:spacing w:before="188"/>
        <w:ind w:left="709" w:right="161"/>
        <w:rPr>
          <w:rFonts w:ascii="Abadi" w:hAnsi="Abadi"/>
          <w:b w:val="0"/>
          <w:bCs w:val="0"/>
          <w:i/>
          <w:sz w:val="21"/>
          <w:szCs w:val="21"/>
        </w:rPr>
      </w:pPr>
      <w:r w:rsidRPr="002F4EF2">
        <w:rPr>
          <w:rFonts w:ascii="Abadi" w:hAnsi="Abadi"/>
          <w:b w:val="0"/>
          <w:bCs w:val="0"/>
          <w:i/>
          <w:sz w:val="21"/>
          <w:szCs w:val="21"/>
        </w:rPr>
        <w:t xml:space="preserve">Al mismo tiempo, a pesar de los esfuerzos del actual gobierno federal, la pobreza, la desigualdad, los salarios precarios y la exclusión de los servicios </w:t>
      </w:r>
      <w:r w:rsidRPr="002F4EF2">
        <w:rPr>
          <w:rFonts w:ascii="Abadi" w:hAnsi="Abadi"/>
          <w:b w:val="0"/>
          <w:bCs w:val="0"/>
          <w:i/>
          <w:sz w:val="21"/>
          <w:szCs w:val="21"/>
        </w:rPr>
        <w:lastRenderedPageBreak/>
        <w:t xml:space="preserve">públicos, siguen siendo un problema para la gran mayoría de la población. </w:t>
      </w:r>
    </w:p>
    <w:p w14:paraId="01FA4A3A" w14:textId="77777777" w:rsidR="00FE3B93" w:rsidRPr="002F4EF2" w:rsidRDefault="00FE3B93" w:rsidP="00FE3B93">
      <w:pPr>
        <w:pStyle w:val="Textoindependiente"/>
        <w:spacing w:before="188"/>
        <w:ind w:left="709" w:right="161"/>
        <w:rPr>
          <w:rFonts w:ascii="Abadi" w:hAnsi="Abadi"/>
          <w:b w:val="0"/>
          <w:bCs w:val="0"/>
          <w:i/>
          <w:sz w:val="21"/>
          <w:szCs w:val="21"/>
        </w:rPr>
      </w:pPr>
      <w:r w:rsidRPr="002F4EF2">
        <w:rPr>
          <w:rFonts w:ascii="Abadi" w:hAnsi="Abadi"/>
          <w:b w:val="0"/>
          <w:bCs w:val="0"/>
          <w:i/>
          <w:sz w:val="21"/>
          <w:szCs w:val="21"/>
        </w:rPr>
        <w:t>Estos problemas, hasta el momento, no han establecido una respuesta efectiva por parte de los gobiernos panistas, incluso cuando el mismo marco jurídico de la entidad recoge la necesidad de que el poder público combata dichas problemáticas. Ejemplo de esto es que, pese a que desde 2009 la Ley de Desarrollo Social y Humano de nuestra entidad señala que las políticas públicas en la materia deben tener como objetivo promover un desarrollo económico con sentido social que propicie la elevación del nivel de ingreso,</w:t>
      </w:r>
      <w:r w:rsidRPr="002F4EF2">
        <w:rPr>
          <w:rStyle w:val="Refdenotaalpie"/>
          <w:rFonts w:ascii="Abadi" w:hAnsi="Abadi"/>
          <w:b w:val="0"/>
          <w:bCs w:val="0"/>
          <w:i/>
          <w:sz w:val="21"/>
          <w:szCs w:val="21"/>
        </w:rPr>
        <w:footnoteReference w:id="100"/>
      </w:r>
      <w:r w:rsidRPr="002F4EF2">
        <w:rPr>
          <w:rFonts w:ascii="Abadi" w:hAnsi="Abadi"/>
          <w:b w:val="0"/>
          <w:bCs w:val="0"/>
          <w:i/>
          <w:sz w:val="21"/>
          <w:szCs w:val="21"/>
        </w:rPr>
        <w:t xml:space="preserve"> en el estado de Guanajuato este objetivo no se ha alcanzado. </w:t>
      </w:r>
    </w:p>
    <w:p w14:paraId="79FE5288" w14:textId="77777777" w:rsidR="00FE3B93" w:rsidRPr="002F4EF2" w:rsidRDefault="00FE3B93" w:rsidP="00FE3B93">
      <w:pPr>
        <w:pStyle w:val="Textoindependiente"/>
        <w:spacing w:before="188"/>
        <w:ind w:left="709" w:right="161"/>
        <w:rPr>
          <w:rFonts w:ascii="Abadi" w:hAnsi="Abadi"/>
          <w:b w:val="0"/>
          <w:bCs w:val="0"/>
          <w:i/>
          <w:sz w:val="21"/>
          <w:szCs w:val="21"/>
        </w:rPr>
      </w:pPr>
      <w:r w:rsidRPr="002F4EF2">
        <w:rPr>
          <w:rFonts w:ascii="Abadi" w:hAnsi="Abadi"/>
          <w:b w:val="0"/>
          <w:bCs w:val="0"/>
          <w:i/>
          <w:sz w:val="21"/>
          <w:szCs w:val="21"/>
        </w:rPr>
        <w:t>Lo anterior puede verificarse cuando se observa que entre 2008 y 2018 la población vulnerable por ingresos pasó del 4.6% al 7.5%; es decir, se dio un aumento de casi 3 puntos porcentuales</w:t>
      </w:r>
      <w:r w:rsidRPr="002F4EF2">
        <w:rPr>
          <w:rStyle w:val="Refdenotaalpie"/>
          <w:rFonts w:ascii="Abadi" w:hAnsi="Abadi"/>
          <w:b w:val="0"/>
          <w:bCs w:val="0"/>
          <w:i/>
          <w:sz w:val="21"/>
          <w:szCs w:val="21"/>
        </w:rPr>
        <w:footnoteReference w:id="101"/>
      </w:r>
      <w:r w:rsidRPr="002F4EF2">
        <w:rPr>
          <w:rFonts w:ascii="Abadi" w:hAnsi="Abadi"/>
          <w:b w:val="0"/>
          <w:bCs w:val="0"/>
          <w:i/>
          <w:sz w:val="21"/>
          <w:szCs w:val="21"/>
        </w:rPr>
        <w:t xml:space="preserve"> de guanajuatenses que contaban con un nivel de ingresos por debajo de lo mínimo requerido para el bienestar. </w:t>
      </w:r>
    </w:p>
    <w:p w14:paraId="2CB125D8" w14:textId="77777777" w:rsidR="00FE3B93" w:rsidRPr="002F4EF2" w:rsidRDefault="00FE3B93" w:rsidP="00FE3B93">
      <w:pPr>
        <w:pStyle w:val="Textoindependiente"/>
        <w:spacing w:before="188"/>
        <w:ind w:left="709" w:right="161"/>
        <w:rPr>
          <w:rFonts w:ascii="Abadi" w:hAnsi="Abadi"/>
          <w:b w:val="0"/>
          <w:bCs w:val="0"/>
          <w:i/>
          <w:sz w:val="21"/>
          <w:szCs w:val="21"/>
        </w:rPr>
      </w:pPr>
      <w:r w:rsidRPr="002F4EF2">
        <w:rPr>
          <w:rFonts w:ascii="Abadi" w:hAnsi="Abadi"/>
          <w:b w:val="0"/>
          <w:bCs w:val="0"/>
          <w:i/>
          <w:sz w:val="21"/>
          <w:szCs w:val="21"/>
        </w:rPr>
        <w:t>Asimismo, la propia ley señala que dichas políticas públicas de desarrollo social y humano deben incluir vertientes para la superación de la pobreza, para la seguridad social, el desarrollo regional, la infraestructura social básica, el desarrollo sustentable, la atención a grupos vulnerables y la igualdad de género.</w:t>
      </w:r>
      <w:r w:rsidRPr="002F4EF2">
        <w:rPr>
          <w:rStyle w:val="Refdenotaalpie"/>
          <w:rFonts w:ascii="Abadi" w:hAnsi="Abadi"/>
          <w:b w:val="0"/>
          <w:bCs w:val="0"/>
          <w:i/>
          <w:sz w:val="21"/>
          <w:szCs w:val="21"/>
        </w:rPr>
        <w:footnoteReference w:id="102"/>
      </w:r>
      <w:r w:rsidRPr="002F4EF2">
        <w:rPr>
          <w:rFonts w:ascii="Abadi" w:hAnsi="Abadi"/>
          <w:b w:val="0"/>
          <w:bCs w:val="0"/>
          <w:sz w:val="21"/>
          <w:szCs w:val="21"/>
        </w:rPr>
        <w:t xml:space="preserve"> </w:t>
      </w:r>
      <w:r w:rsidRPr="002F4EF2">
        <w:rPr>
          <w:rFonts w:ascii="Abadi" w:hAnsi="Abadi"/>
          <w:b w:val="0"/>
          <w:bCs w:val="0"/>
          <w:i/>
          <w:sz w:val="21"/>
          <w:szCs w:val="21"/>
        </w:rPr>
        <w:t xml:space="preserve">Sin embargo, igualmente existen muchos indicios que generan dudas sobre la eficacia que estas políticas han tenido.   </w:t>
      </w:r>
    </w:p>
    <w:p w14:paraId="23059262" w14:textId="77777777" w:rsidR="00FE3B93" w:rsidRPr="002F4EF2" w:rsidRDefault="00FE3B93" w:rsidP="00FE3B93">
      <w:pPr>
        <w:pStyle w:val="Textoindependiente"/>
        <w:spacing w:before="188"/>
        <w:ind w:left="709" w:right="161"/>
        <w:rPr>
          <w:rFonts w:ascii="Abadi" w:hAnsi="Abadi"/>
          <w:b w:val="0"/>
          <w:bCs w:val="0"/>
          <w:i/>
          <w:sz w:val="21"/>
          <w:szCs w:val="21"/>
        </w:rPr>
      </w:pPr>
      <w:r w:rsidRPr="002F4EF2">
        <w:rPr>
          <w:rFonts w:ascii="Abadi" w:hAnsi="Abadi"/>
          <w:b w:val="0"/>
          <w:bCs w:val="0"/>
          <w:i/>
          <w:sz w:val="21"/>
          <w:szCs w:val="21"/>
        </w:rPr>
        <w:t xml:space="preserve">Esto puede verificarse cuando nos remitimos a los datos: primeramente, entre 2008 y 2018, la población </w:t>
      </w:r>
      <w:r w:rsidRPr="002F4EF2">
        <w:rPr>
          <w:rFonts w:ascii="Abadi" w:hAnsi="Abadi"/>
          <w:b w:val="0"/>
          <w:bCs w:val="0"/>
          <w:i/>
          <w:sz w:val="21"/>
          <w:szCs w:val="21"/>
        </w:rPr>
        <w:t>guanajuatense en situación de pobreza pasó de un 44.1% a un 43.4%, es decir, tuvo una disminución relativa de apenas 0.7%, lo cual de hecho significó un aumento absoluto de 184 mil 300 personas en esta situación. Este dato coloca a Guanajuato por debajo de la media nacional, que en el mismo periodo de tiempo redujo la pobreza 2.4%.</w:t>
      </w:r>
      <w:r w:rsidRPr="002F4EF2">
        <w:rPr>
          <w:rStyle w:val="Refdenotaalpie"/>
          <w:rFonts w:ascii="Abadi" w:hAnsi="Abadi"/>
          <w:b w:val="0"/>
          <w:bCs w:val="0"/>
          <w:i/>
          <w:sz w:val="21"/>
          <w:szCs w:val="21"/>
        </w:rPr>
        <w:footnoteReference w:id="103"/>
      </w:r>
    </w:p>
    <w:p w14:paraId="27CD74F2" w14:textId="77777777" w:rsidR="00FE3B93" w:rsidRPr="002F4EF2" w:rsidRDefault="00FE3B93" w:rsidP="00FE3B93">
      <w:pPr>
        <w:pStyle w:val="Textoindependiente"/>
        <w:spacing w:before="188"/>
        <w:ind w:left="709" w:right="161"/>
        <w:rPr>
          <w:rFonts w:ascii="Abadi" w:hAnsi="Abadi"/>
          <w:b w:val="0"/>
          <w:bCs w:val="0"/>
          <w:i/>
          <w:sz w:val="21"/>
          <w:szCs w:val="21"/>
        </w:rPr>
      </w:pPr>
      <w:r w:rsidRPr="002F4EF2">
        <w:rPr>
          <w:rFonts w:ascii="Abadi" w:hAnsi="Abadi"/>
          <w:b w:val="0"/>
          <w:bCs w:val="0"/>
          <w:i/>
          <w:sz w:val="21"/>
          <w:szCs w:val="21"/>
        </w:rPr>
        <w:t>Del mismo modo, los salarios de los empleos que la política neoliberal de Guanajuato ha generado son paupérrimos. Ejemplo de esto es que a 2020, el nivel de pobreza laboral se encontró en 35.5%; es decir, más de 1 de cada 3 guanajuatenses tiene ingresos laborales insuficientes para adquirir la canasta básica.</w:t>
      </w:r>
      <w:r w:rsidRPr="002F4EF2">
        <w:rPr>
          <w:rStyle w:val="Refdenotaalpie"/>
          <w:rFonts w:ascii="Abadi" w:hAnsi="Abadi"/>
          <w:b w:val="0"/>
          <w:bCs w:val="0"/>
          <w:i/>
          <w:sz w:val="21"/>
          <w:szCs w:val="21"/>
        </w:rPr>
        <w:footnoteReference w:id="104"/>
      </w:r>
      <w:r w:rsidRPr="002F4EF2">
        <w:rPr>
          <w:rFonts w:ascii="Abadi" w:hAnsi="Abadi"/>
          <w:b w:val="0"/>
          <w:bCs w:val="0"/>
          <w:sz w:val="21"/>
          <w:szCs w:val="21"/>
        </w:rPr>
        <w:t xml:space="preserve"> </w:t>
      </w:r>
      <w:r w:rsidRPr="002F4EF2">
        <w:rPr>
          <w:rFonts w:ascii="Abadi" w:hAnsi="Abadi"/>
          <w:b w:val="0"/>
          <w:bCs w:val="0"/>
          <w:i/>
          <w:sz w:val="21"/>
          <w:szCs w:val="21"/>
        </w:rPr>
        <w:t>A esto se suma que, a inicios de 2021, el promedio de salario diario de los trabajadores asegurados en el IMSS es de 367.8 pesos, muy por debajo de la media nacional que alcanza 428 pesos.</w:t>
      </w:r>
      <w:r w:rsidRPr="002F4EF2">
        <w:rPr>
          <w:rStyle w:val="Refdenotaalpie"/>
          <w:rFonts w:ascii="Abadi" w:hAnsi="Abadi"/>
          <w:b w:val="0"/>
          <w:bCs w:val="0"/>
          <w:i/>
          <w:sz w:val="21"/>
          <w:szCs w:val="21"/>
        </w:rPr>
        <w:footnoteReference w:id="105"/>
      </w:r>
    </w:p>
    <w:p w14:paraId="100C3C5D" w14:textId="77777777" w:rsidR="00FE3B93" w:rsidRPr="002F4EF2" w:rsidRDefault="00FE3B93" w:rsidP="00FE3B93">
      <w:pPr>
        <w:pStyle w:val="Textoindependiente"/>
        <w:spacing w:before="188"/>
        <w:ind w:left="709" w:right="161"/>
        <w:rPr>
          <w:rFonts w:ascii="Abadi" w:hAnsi="Abadi"/>
          <w:b w:val="0"/>
          <w:bCs w:val="0"/>
          <w:i/>
          <w:sz w:val="21"/>
          <w:szCs w:val="21"/>
        </w:rPr>
      </w:pPr>
      <w:r w:rsidRPr="002F4EF2">
        <w:rPr>
          <w:rFonts w:ascii="Abadi" w:hAnsi="Abadi"/>
          <w:b w:val="0"/>
          <w:bCs w:val="0"/>
          <w:i/>
          <w:sz w:val="21"/>
          <w:szCs w:val="21"/>
        </w:rPr>
        <w:t>Con respecto a la igualdad de género, los datos de violencia son otra muestra de la probable ineficacia de las políticas en su dimensión de género, pues para 2019 hubo un total de 340 muertes violentas de mujeres, de las cuales solo 18 casos fueron investigados y catalogados como feminicidios.</w:t>
      </w:r>
      <w:r w:rsidRPr="002F4EF2">
        <w:rPr>
          <w:rStyle w:val="Refdenotaalpie"/>
          <w:rFonts w:ascii="Abadi" w:hAnsi="Abadi"/>
          <w:b w:val="0"/>
          <w:bCs w:val="0"/>
          <w:i/>
          <w:sz w:val="21"/>
          <w:szCs w:val="21"/>
        </w:rPr>
        <w:footnoteReference w:id="106"/>
      </w:r>
    </w:p>
    <w:p w14:paraId="40746419" w14:textId="77777777" w:rsidR="00FE3B93" w:rsidRPr="002F4EF2" w:rsidRDefault="00FE3B93" w:rsidP="00FE3B93">
      <w:pPr>
        <w:pStyle w:val="Textoindependiente"/>
        <w:spacing w:before="188"/>
        <w:ind w:left="709" w:right="161"/>
        <w:rPr>
          <w:rFonts w:ascii="Abadi" w:hAnsi="Abadi"/>
          <w:b w:val="0"/>
          <w:bCs w:val="0"/>
          <w:i/>
          <w:sz w:val="21"/>
          <w:szCs w:val="21"/>
        </w:rPr>
      </w:pPr>
      <w:r w:rsidRPr="002F4EF2">
        <w:rPr>
          <w:rFonts w:ascii="Abadi" w:hAnsi="Abadi"/>
          <w:b w:val="0"/>
          <w:bCs w:val="0"/>
          <w:i/>
          <w:sz w:val="21"/>
          <w:szCs w:val="21"/>
        </w:rPr>
        <w:t xml:space="preserve">Ahora bien, vale la pena señalar que estos pobres resultados en materia de política de desarrollo social y humano no son atribuibles a la falta de presupuesto, pues en el mismo periodo de 2008-2018, el gobierno estatal ejerció 20 mil 327 millones 507 mil 553 pesos en la Secretaría de Desarrollo Social y Humano </w:t>
      </w:r>
      <w:r w:rsidRPr="002F4EF2">
        <w:rPr>
          <w:rFonts w:ascii="Abadi" w:hAnsi="Abadi"/>
          <w:b w:val="0"/>
          <w:bCs w:val="0"/>
          <w:i/>
          <w:sz w:val="21"/>
          <w:szCs w:val="21"/>
        </w:rPr>
        <w:lastRenderedPageBreak/>
        <w:t>(SEDESHU),</w:t>
      </w:r>
      <w:r w:rsidRPr="002F4EF2">
        <w:rPr>
          <w:rStyle w:val="Refdenotaalpie"/>
          <w:rFonts w:ascii="Abadi" w:hAnsi="Abadi"/>
          <w:b w:val="0"/>
          <w:bCs w:val="0"/>
          <w:i/>
          <w:sz w:val="21"/>
          <w:szCs w:val="21"/>
        </w:rPr>
        <w:footnoteReference w:id="107"/>
      </w:r>
      <w:r w:rsidRPr="002F4EF2">
        <w:rPr>
          <w:rFonts w:ascii="Abadi" w:hAnsi="Abadi"/>
          <w:b w:val="0"/>
          <w:bCs w:val="0"/>
          <w:sz w:val="21"/>
          <w:szCs w:val="21"/>
        </w:rPr>
        <w:t xml:space="preserve"> </w:t>
      </w:r>
      <w:r w:rsidRPr="002F4EF2">
        <w:rPr>
          <w:rFonts w:ascii="Abadi" w:hAnsi="Abadi"/>
          <w:b w:val="0"/>
          <w:bCs w:val="0"/>
          <w:i/>
          <w:sz w:val="21"/>
          <w:szCs w:val="21"/>
        </w:rPr>
        <w:t>situación que ha continuado, pues con lo ejercicio en 2019 y 2020, así como lo proyectado para este 2021, se estarían añadiendo 5 mil 73 millones 315 mil 819 pesos más.</w:t>
      </w:r>
      <w:r w:rsidRPr="002F4EF2">
        <w:rPr>
          <w:rStyle w:val="Refdenotaalpie"/>
          <w:rFonts w:ascii="Abadi" w:hAnsi="Abadi"/>
          <w:b w:val="0"/>
          <w:bCs w:val="0"/>
          <w:i/>
          <w:sz w:val="21"/>
          <w:szCs w:val="21"/>
        </w:rPr>
        <w:footnoteReference w:id="108"/>
      </w:r>
      <w:r w:rsidRPr="002F4EF2">
        <w:rPr>
          <w:rFonts w:ascii="Abadi" w:hAnsi="Abadi"/>
          <w:b w:val="0"/>
          <w:bCs w:val="0"/>
          <w:i/>
          <w:sz w:val="21"/>
          <w:szCs w:val="21"/>
        </w:rPr>
        <w:t xml:space="preserve"> A este ritmo, reducir cada punto porcentual de la población en situación de pobreza, podría estar costando al Estado de Guanajuato más de 29 mil millones de pesos.</w:t>
      </w:r>
    </w:p>
    <w:p w14:paraId="4C30E248" w14:textId="77777777" w:rsidR="00FE3B93" w:rsidRPr="002F4EF2" w:rsidRDefault="00FE3B93" w:rsidP="00FE3B93">
      <w:pPr>
        <w:pStyle w:val="Textoindependiente"/>
        <w:spacing w:before="188"/>
        <w:ind w:left="709" w:right="161"/>
        <w:rPr>
          <w:rFonts w:ascii="Abadi" w:hAnsi="Abadi"/>
          <w:b w:val="0"/>
          <w:bCs w:val="0"/>
          <w:i/>
          <w:sz w:val="21"/>
          <w:szCs w:val="21"/>
        </w:rPr>
      </w:pPr>
      <w:r w:rsidRPr="002F4EF2">
        <w:rPr>
          <w:rFonts w:ascii="Abadi" w:hAnsi="Abadi"/>
          <w:b w:val="0"/>
          <w:bCs w:val="0"/>
          <w:i/>
          <w:sz w:val="21"/>
          <w:szCs w:val="21"/>
        </w:rPr>
        <w:t>Esta cifra puede ser incluso mayor cuando consideramos que no sólo la SEDESHU debe abonar a los objetivos del Desarrollo Social y Humano, pues una revisión de los presupuestos de egresos del periodo 2018-2021, permite observar que los programas de inversión social de los ejes en la materia incluyeron intermitentemente al Instituto de la Juventud Guanajuatense, al Instituto de Salud Pública del Estado de Guanajuato, al Instituto Guanajuatense para Personas con Discapacidad, al Instituto para las Mujeres Guanajuatenses, a la Secretaría del Migrante y Enlace Internacional, al Sistema para el Desarrollo Integral de la Familia del Estado de Guanajuato, e incluso a la Secretaría de Gobierno.</w:t>
      </w:r>
    </w:p>
    <w:p w14:paraId="0A65BDC6" w14:textId="77777777" w:rsidR="00FE3B93" w:rsidRPr="002F4EF2" w:rsidRDefault="00FE3B93" w:rsidP="00FE3B93">
      <w:pPr>
        <w:pStyle w:val="Textoindependiente"/>
        <w:spacing w:before="188"/>
        <w:ind w:left="709" w:right="161"/>
        <w:rPr>
          <w:rFonts w:ascii="Abadi" w:hAnsi="Abadi"/>
          <w:b w:val="0"/>
          <w:bCs w:val="0"/>
          <w:i/>
          <w:sz w:val="21"/>
          <w:szCs w:val="21"/>
        </w:rPr>
      </w:pPr>
      <w:r w:rsidRPr="002F4EF2">
        <w:rPr>
          <w:rFonts w:ascii="Abadi" w:hAnsi="Abadi"/>
          <w:b w:val="0"/>
          <w:bCs w:val="0"/>
          <w:i/>
          <w:sz w:val="21"/>
          <w:szCs w:val="21"/>
        </w:rPr>
        <w:t xml:space="preserve">Por lo anterior, desde el Grupo Parlamentario de Morena consideramos que es prioritario que las políticas públicas de desarrollo social y humano sean eficaces, basadas en evidencia y orientadas a combatir la pobreza, pues sólo así estaremos en condiciones de alcanzar un desarrollo pleno para todas y todos los guanajuatenses.  </w:t>
      </w:r>
    </w:p>
    <w:p w14:paraId="7C2E11B1" w14:textId="77777777" w:rsidR="00FE3B93" w:rsidRPr="002F4EF2" w:rsidRDefault="00FE3B93" w:rsidP="00FE3B93">
      <w:pPr>
        <w:pStyle w:val="Textoindependiente"/>
        <w:spacing w:before="188"/>
        <w:ind w:left="709" w:right="161"/>
        <w:rPr>
          <w:rFonts w:ascii="Abadi" w:hAnsi="Abadi"/>
          <w:b w:val="0"/>
          <w:bCs w:val="0"/>
          <w:i/>
          <w:sz w:val="21"/>
          <w:szCs w:val="21"/>
        </w:rPr>
      </w:pPr>
      <w:r w:rsidRPr="002F4EF2">
        <w:rPr>
          <w:rFonts w:ascii="Abadi" w:hAnsi="Abadi"/>
          <w:b w:val="0"/>
          <w:bCs w:val="0"/>
          <w:i/>
          <w:sz w:val="21"/>
          <w:szCs w:val="21"/>
        </w:rPr>
        <w:t xml:space="preserve">Por esto, estamos convencidos de que se requiere una evaluación integral de las políticas públicas de desarrollo social y humano llevadas a cabo por el Gobierno del Estado.  </w:t>
      </w:r>
    </w:p>
    <w:p w14:paraId="0E69BF6C" w14:textId="77777777" w:rsidR="00FE3B93" w:rsidRPr="00A36F36" w:rsidRDefault="00FE3B93" w:rsidP="00FE3B93">
      <w:pPr>
        <w:pStyle w:val="Textoindependiente"/>
        <w:spacing w:before="188"/>
        <w:ind w:left="709" w:right="161"/>
        <w:rPr>
          <w:rFonts w:ascii="Abadi" w:hAnsi="Abadi"/>
          <w:b w:val="0"/>
          <w:bCs w:val="0"/>
          <w:i/>
          <w:sz w:val="21"/>
          <w:szCs w:val="21"/>
        </w:rPr>
      </w:pPr>
      <w:r w:rsidRPr="0062742B">
        <w:rPr>
          <w:rFonts w:ascii="Abadi" w:hAnsi="Abadi"/>
          <w:i/>
          <w:sz w:val="21"/>
          <w:szCs w:val="21"/>
        </w:rPr>
        <w:t xml:space="preserve">Dado el amplio presupuesto erogado </w:t>
      </w:r>
      <w:r w:rsidRPr="00A36F36">
        <w:rPr>
          <w:rFonts w:ascii="Abadi" w:hAnsi="Abadi"/>
          <w:b w:val="0"/>
          <w:bCs w:val="0"/>
          <w:i/>
          <w:sz w:val="21"/>
          <w:szCs w:val="21"/>
        </w:rPr>
        <w:t xml:space="preserve">en las mismas, creemos que dicha evaluación debe contemplar una </w:t>
      </w:r>
      <w:r w:rsidRPr="00A36F36">
        <w:rPr>
          <w:rFonts w:ascii="Abadi" w:hAnsi="Abadi"/>
          <w:b w:val="0"/>
          <w:bCs w:val="0"/>
          <w:i/>
          <w:sz w:val="21"/>
          <w:szCs w:val="21"/>
        </w:rPr>
        <w:t xml:space="preserve">revisión de su integralidad en términos de evaluar la coherencia interna y externa de las intervenciones que conforman las políticas públicas materia de evaluación; es decir, un análisis de la forma en que los diferentes programas y acciones son capaces o no de complementarse, así como su orientación hacia la consecución del desarrollo social y humano.  </w:t>
      </w:r>
    </w:p>
    <w:p w14:paraId="09E13920" w14:textId="77777777" w:rsidR="00FE3B93" w:rsidRPr="00A36F36" w:rsidRDefault="00FE3B93" w:rsidP="00FE3B93">
      <w:pPr>
        <w:pStyle w:val="Textoindependiente"/>
        <w:spacing w:before="188"/>
        <w:ind w:left="709" w:right="161"/>
        <w:rPr>
          <w:rFonts w:ascii="Abadi" w:hAnsi="Abadi"/>
          <w:b w:val="0"/>
          <w:bCs w:val="0"/>
          <w:i/>
          <w:sz w:val="21"/>
          <w:szCs w:val="21"/>
        </w:rPr>
      </w:pPr>
      <w:r w:rsidRPr="00A36F36">
        <w:rPr>
          <w:rFonts w:ascii="Abadi" w:hAnsi="Abadi"/>
          <w:b w:val="0"/>
          <w:bCs w:val="0"/>
          <w:i/>
          <w:sz w:val="21"/>
          <w:szCs w:val="21"/>
        </w:rPr>
        <w:t>Asimismo, dado el interés plasmado en las leyes respecto al fomento, organización y participación ciudadana</w:t>
      </w:r>
      <w:r w:rsidRPr="00A36F36">
        <w:rPr>
          <w:rStyle w:val="Refdenotaalpie"/>
          <w:rFonts w:ascii="Abadi" w:hAnsi="Abadi"/>
          <w:b w:val="0"/>
          <w:bCs w:val="0"/>
          <w:i/>
          <w:sz w:val="21"/>
          <w:szCs w:val="21"/>
        </w:rPr>
        <w:footnoteReference w:id="109"/>
      </w:r>
      <w:r w:rsidRPr="00A36F36">
        <w:rPr>
          <w:rFonts w:ascii="Abadi" w:hAnsi="Abadi"/>
          <w:b w:val="0"/>
          <w:bCs w:val="0"/>
          <w:i/>
          <w:sz w:val="21"/>
          <w:szCs w:val="21"/>
        </w:rPr>
        <w:t xml:space="preserve">, es pertinente que la evaluación analice la capacidad de las intervenciones que conforman las políticas públicas en la materia para garantizar el derecho a la ciudadanía a participar en su formulación, ejecución y evaluación.  </w:t>
      </w:r>
    </w:p>
    <w:p w14:paraId="20593E85" w14:textId="77777777" w:rsidR="00FE3B93" w:rsidRPr="00A36F36" w:rsidRDefault="00FE3B93" w:rsidP="00FE3B93">
      <w:pPr>
        <w:pStyle w:val="Textoindependiente"/>
        <w:spacing w:before="188"/>
        <w:ind w:left="709" w:right="161"/>
        <w:rPr>
          <w:rFonts w:ascii="Abadi" w:hAnsi="Abadi"/>
          <w:b w:val="0"/>
          <w:bCs w:val="0"/>
          <w:i/>
          <w:sz w:val="21"/>
          <w:szCs w:val="21"/>
        </w:rPr>
      </w:pPr>
      <w:r w:rsidRPr="00A36F36">
        <w:rPr>
          <w:rFonts w:ascii="Abadi" w:hAnsi="Abadi"/>
          <w:b w:val="0"/>
          <w:bCs w:val="0"/>
          <w:i/>
          <w:sz w:val="21"/>
          <w:szCs w:val="21"/>
        </w:rPr>
        <w:t>Por su parte, existe consenso en la evidencia científica acerca de la importancia de la cobertura y alcance que tienen las políticas sociales como uno de los principales factores de incidencia para su efectividad.</w:t>
      </w:r>
      <w:r w:rsidRPr="00A36F36">
        <w:rPr>
          <w:rStyle w:val="Refdenotaalpie"/>
          <w:rFonts w:ascii="Abadi" w:hAnsi="Abadi"/>
          <w:b w:val="0"/>
          <w:bCs w:val="0"/>
          <w:i/>
          <w:sz w:val="21"/>
          <w:szCs w:val="21"/>
        </w:rPr>
        <w:footnoteReference w:id="110"/>
      </w:r>
      <w:r w:rsidRPr="00A36F36">
        <w:rPr>
          <w:rFonts w:ascii="Abadi" w:hAnsi="Abadi"/>
          <w:b w:val="0"/>
          <w:bCs w:val="0"/>
          <w:i/>
          <w:sz w:val="21"/>
          <w:szCs w:val="21"/>
        </w:rPr>
        <w:t xml:space="preserve"> Por esto, la evaluación necesita analizar el alcance planificado y efectivo que tuvieron las intervenciones que conforman las políticas públicas materia de evaluación.</w:t>
      </w:r>
    </w:p>
    <w:p w14:paraId="1AC02925" w14:textId="77777777" w:rsidR="00FE3B93" w:rsidRPr="00A36F36" w:rsidRDefault="00FE3B93" w:rsidP="00FE3B93">
      <w:pPr>
        <w:pStyle w:val="Textoindependiente"/>
        <w:spacing w:before="188"/>
        <w:ind w:left="709" w:right="161"/>
        <w:rPr>
          <w:rFonts w:ascii="Abadi" w:hAnsi="Abadi"/>
          <w:b w:val="0"/>
          <w:bCs w:val="0"/>
          <w:i/>
          <w:sz w:val="21"/>
          <w:szCs w:val="21"/>
        </w:rPr>
      </w:pPr>
      <w:r w:rsidRPr="00A36F36">
        <w:rPr>
          <w:rFonts w:ascii="Abadi" w:hAnsi="Abadi"/>
          <w:b w:val="0"/>
          <w:bCs w:val="0"/>
          <w:i/>
          <w:sz w:val="21"/>
          <w:szCs w:val="21"/>
        </w:rPr>
        <w:t xml:space="preserve">Asimismo, la situación política de predominio electoral de la misma fuerza política durante décadas es un factor de riesgo para que se presenten fenómenos relacionados con la corrupción como el clientelismo, el patrimonialismo, el uso político de la pobreza o la falta de transparencia y rendición de cuentas. Por esto, también es relevante para una evaluación como la que se propone analizar los mecanismos disponibles y utilizados para garantizar un uso adecuado de los recursos asignados a las políticas de desarrollo social y humano. Específicamente de la capacidad de las </w:t>
      </w:r>
      <w:r w:rsidRPr="00A36F36">
        <w:rPr>
          <w:rFonts w:ascii="Abadi" w:hAnsi="Abadi"/>
          <w:b w:val="0"/>
          <w:bCs w:val="0"/>
          <w:i/>
          <w:sz w:val="21"/>
          <w:szCs w:val="21"/>
        </w:rPr>
        <w:lastRenderedPageBreak/>
        <w:t xml:space="preserve">políticas públicas en la materia para prevenir e identificar su uso político-electoral y otras formas de corrupción. </w:t>
      </w:r>
    </w:p>
    <w:p w14:paraId="58F72617" w14:textId="77777777" w:rsidR="00FE3B93" w:rsidRPr="00A36F36" w:rsidRDefault="00FE3B93" w:rsidP="00FE3B93">
      <w:pPr>
        <w:pStyle w:val="Textoindependiente"/>
        <w:spacing w:before="188"/>
        <w:ind w:left="709" w:right="161"/>
        <w:rPr>
          <w:rFonts w:ascii="Abadi" w:hAnsi="Abadi"/>
          <w:b w:val="0"/>
          <w:bCs w:val="0"/>
          <w:i/>
          <w:sz w:val="21"/>
          <w:szCs w:val="21"/>
        </w:rPr>
      </w:pPr>
      <w:r w:rsidRPr="00A36F36">
        <w:rPr>
          <w:rFonts w:ascii="Abadi" w:hAnsi="Abadi"/>
          <w:b w:val="0"/>
          <w:bCs w:val="0"/>
          <w:i/>
          <w:sz w:val="21"/>
          <w:szCs w:val="21"/>
        </w:rPr>
        <w:t>Por último, la incidencia que tienen las políticas de desarrollo social y humano es un eje imprescindible en una evaluación de éstas, por lo cual se deben analizar los efectos que las políticas públicas materia de evaluación tuvieron sobre los niveles de desarrollo social y humano, así como si la información disponible permite inferir si dichos efectos son razonablemente atribuibles a éstas.</w:t>
      </w:r>
    </w:p>
    <w:p w14:paraId="1C7D1C4C" w14:textId="77777777" w:rsidR="00FE3B93" w:rsidRPr="00A36F36" w:rsidRDefault="00FE3B93" w:rsidP="00FE3B93">
      <w:pPr>
        <w:pStyle w:val="Textoindependiente"/>
        <w:spacing w:before="188"/>
        <w:ind w:left="709" w:right="161"/>
        <w:rPr>
          <w:rFonts w:ascii="Abadi" w:hAnsi="Abadi"/>
          <w:b w:val="0"/>
          <w:bCs w:val="0"/>
          <w:i/>
          <w:sz w:val="21"/>
          <w:szCs w:val="21"/>
        </w:rPr>
      </w:pPr>
      <w:r w:rsidRPr="00A36F36">
        <w:rPr>
          <w:rFonts w:ascii="Abadi" w:hAnsi="Abadi"/>
          <w:b w:val="0"/>
          <w:bCs w:val="0"/>
          <w:i/>
          <w:sz w:val="21"/>
          <w:szCs w:val="21"/>
        </w:rPr>
        <w:t>La competencia de la evaluación en mención correspondería a la ASEG, en función del alcance de las auditorías de desempeño normadas en la Ley de Fiscalización local13. Igualmente, debido al año base de cambio de gobierno, se propone un periodo de análisis del 2018 al 2021, con lo cual se espera que la evaluación sea presentada a más tardar en noviembre de 2022.</w:t>
      </w:r>
    </w:p>
    <w:p w14:paraId="06B33E38" w14:textId="77777777" w:rsidR="00FE3B93" w:rsidRPr="00A36F36" w:rsidRDefault="00FE3B93" w:rsidP="00FE3B93">
      <w:pPr>
        <w:pStyle w:val="Textoindependiente"/>
        <w:ind w:right="161" w:firstLine="709"/>
        <w:rPr>
          <w:rFonts w:ascii="Abadi" w:hAnsi="Abadi"/>
          <w:b w:val="0"/>
          <w:bCs w:val="0"/>
          <w:iCs/>
          <w:sz w:val="21"/>
          <w:szCs w:val="21"/>
        </w:rPr>
      </w:pPr>
    </w:p>
    <w:p w14:paraId="25669D12" w14:textId="77777777" w:rsidR="00FE3B93" w:rsidRPr="0062742B" w:rsidRDefault="00FE3B93" w:rsidP="00FE3B93">
      <w:pPr>
        <w:pStyle w:val="Textoindependiente"/>
        <w:ind w:right="161" w:firstLine="709"/>
        <w:rPr>
          <w:rFonts w:ascii="Abadi" w:hAnsi="Abadi"/>
          <w:iCs/>
          <w:sz w:val="21"/>
          <w:szCs w:val="21"/>
        </w:rPr>
      </w:pPr>
      <w:r w:rsidRPr="00A36F36">
        <w:rPr>
          <w:rFonts w:ascii="Abadi" w:hAnsi="Abadi"/>
          <w:b w:val="0"/>
          <w:bCs w:val="0"/>
          <w:iCs/>
          <w:sz w:val="21"/>
          <w:szCs w:val="21"/>
        </w:rPr>
        <w:t>Asimismo, se propone que la materia de evaluación sean las políticas públicas de desarrollo social y humano, según el análisis que para sus efectos realice el ente evaluador, considerando, al menos, los siguientes criterios de inclusión: Incluir todos los programas del ámbito estatal vinculados a los objetivos marcados por el artículo 10 de la Ley de Desarrollo Social y Humano para el Estado y los Municipios de Guanajuato, de manera directa e indirecta, que se contemplaran en los presupuestos de egresos del Estado de Guanajuato para los ejercicios fiscales de 2018 al 2021; e incluir las acciones estratégicas impulsadas por la administración pública estatal entre 2018 y 2021 que no necesariamente forman parte de la estructura programática, a partir de la revisión de informes de trabajo oficiales de las instancias vinculadas al Sistema Estatal para el Desarrollo Social y Humano, así como del propio Sistema. Que la evaluación incluya, al menos, los elementos de integralidad,</w:t>
      </w:r>
      <w:r w:rsidRPr="00A36F36">
        <w:rPr>
          <w:rFonts w:ascii="Abadi" w:hAnsi="Abadi"/>
          <w:b w:val="0"/>
          <w:bCs w:val="0"/>
          <w:sz w:val="21"/>
          <w:szCs w:val="21"/>
        </w:rPr>
        <w:t xml:space="preserve"> </w:t>
      </w:r>
      <w:r w:rsidRPr="00A36F36">
        <w:rPr>
          <w:rFonts w:ascii="Abadi" w:hAnsi="Abadi"/>
          <w:b w:val="0"/>
          <w:bCs w:val="0"/>
          <w:iCs/>
          <w:sz w:val="21"/>
          <w:szCs w:val="21"/>
        </w:rPr>
        <w:t>participación social, cobertura y alcance, rendición de cuentas y prevención de</w:t>
      </w:r>
      <w:r w:rsidRPr="0062742B">
        <w:rPr>
          <w:rFonts w:ascii="Abadi" w:hAnsi="Abadi"/>
          <w:iCs/>
          <w:sz w:val="21"/>
          <w:szCs w:val="21"/>
        </w:rPr>
        <w:t xml:space="preserve"> </w:t>
      </w:r>
      <w:r w:rsidRPr="00A36F36">
        <w:rPr>
          <w:rFonts w:ascii="Abadi" w:hAnsi="Abadi"/>
          <w:b w:val="0"/>
          <w:bCs w:val="0"/>
          <w:iCs/>
          <w:sz w:val="21"/>
          <w:szCs w:val="21"/>
        </w:rPr>
        <w:t>la corrupción e incidencia en el desarrollo social y humano. Así como incluir en la evaluación</w:t>
      </w:r>
      <w:r w:rsidRPr="00A36F36">
        <w:rPr>
          <w:rFonts w:ascii="Abadi" w:hAnsi="Abadi"/>
          <w:b w:val="0"/>
          <w:bCs w:val="0"/>
          <w:sz w:val="21"/>
          <w:szCs w:val="21"/>
        </w:rPr>
        <w:t xml:space="preserve"> </w:t>
      </w:r>
      <w:r w:rsidRPr="00A36F36">
        <w:rPr>
          <w:rFonts w:ascii="Abadi" w:hAnsi="Abadi"/>
          <w:b w:val="0"/>
          <w:bCs w:val="0"/>
          <w:iCs/>
          <w:sz w:val="21"/>
          <w:szCs w:val="21"/>
        </w:rPr>
        <w:t xml:space="preserve">un dictamen general en el que se emita una opinión fundamentada acerca de calidad de la </w:t>
      </w:r>
      <w:r w:rsidRPr="00A36F36">
        <w:rPr>
          <w:rFonts w:ascii="Abadi" w:hAnsi="Abadi"/>
          <w:b w:val="0"/>
          <w:bCs w:val="0"/>
          <w:iCs/>
          <w:sz w:val="21"/>
          <w:szCs w:val="21"/>
        </w:rPr>
        <w:t>política de desarrollo social y humano del Gobierno del Estado.</w:t>
      </w:r>
    </w:p>
    <w:p w14:paraId="6CA49440" w14:textId="77777777" w:rsidR="00FE3B93" w:rsidRPr="0062742B" w:rsidRDefault="00FE3B93" w:rsidP="00FE3B93">
      <w:pPr>
        <w:pStyle w:val="Textoindependiente"/>
        <w:ind w:left="709" w:right="161"/>
        <w:rPr>
          <w:rFonts w:ascii="Abadi" w:hAnsi="Abadi"/>
          <w:i/>
          <w:sz w:val="21"/>
          <w:szCs w:val="21"/>
        </w:rPr>
      </w:pPr>
    </w:p>
    <w:p w14:paraId="00D85DDB" w14:textId="77777777" w:rsidR="00FE3B93" w:rsidRPr="0062742B" w:rsidRDefault="00FE3B93" w:rsidP="00A36F36">
      <w:pPr>
        <w:numPr>
          <w:ilvl w:val="0"/>
          <w:numId w:val="36"/>
        </w:numPr>
        <w:jc w:val="both"/>
        <w:rPr>
          <w:rFonts w:ascii="Abadi" w:hAnsi="Abadi" w:cs="Arial"/>
          <w:b/>
          <w:bCs/>
          <w:sz w:val="21"/>
          <w:szCs w:val="21"/>
        </w:rPr>
      </w:pPr>
      <w:r w:rsidRPr="0062742B">
        <w:rPr>
          <w:rFonts w:ascii="Abadi" w:hAnsi="Abadi" w:cs="Arial"/>
          <w:b/>
          <w:bCs/>
          <w:sz w:val="21"/>
          <w:szCs w:val="21"/>
        </w:rPr>
        <w:t>Consideraciones de la Comisión</w:t>
      </w:r>
    </w:p>
    <w:p w14:paraId="07953EC1" w14:textId="77777777" w:rsidR="00FE3B93" w:rsidRPr="0062742B" w:rsidRDefault="00FE3B93" w:rsidP="00FE3B93">
      <w:pPr>
        <w:pStyle w:val="Textoindependiente"/>
        <w:ind w:firstLine="708"/>
        <w:rPr>
          <w:rFonts w:ascii="Abadi" w:hAnsi="Abadi"/>
          <w:sz w:val="21"/>
          <w:szCs w:val="21"/>
        </w:rPr>
      </w:pPr>
    </w:p>
    <w:p w14:paraId="03951B54" w14:textId="77777777" w:rsidR="00FE3B93" w:rsidRPr="00A36F36" w:rsidRDefault="00FE3B93" w:rsidP="00FE3B93">
      <w:pPr>
        <w:pStyle w:val="Textoindependiente"/>
        <w:ind w:firstLine="708"/>
        <w:rPr>
          <w:rFonts w:ascii="Abadi" w:hAnsi="Abadi"/>
          <w:b w:val="0"/>
          <w:bCs w:val="0"/>
          <w:sz w:val="21"/>
          <w:szCs w:val="21"/>
        </w:rPr>
      </w:pPr>
      <w:r w:rsidRPr="00A36F36">
        <w:rPr>
          <w:rFonts w:ascii="Abadi" w:hAnsi="Abadi"/>
          <w:b w:val="0"/>
          <w:bCs w:val="0"/>
          <w:sz w:val="21"/>
          <w:szCs w:val="21"/>
        </w:rPr>
        <w:t xml:space="preserve">Como podemos desprender de la propuesta de punto de acuerdo que se dictamina el objeto de la misma es la realización de </w:t>
      </w:r>
      <w:r w:rsidRPr="00A36F36">
        <w:rPr>
          <w:rFonts w:ascii="Abadi" w:hAnsi="Abadi"/>
          <w:b w:val="0"/>
          <w:bCs w:val="0"/>
          <w:sz w:val="21"/>
          <w:szCs w:val="21"/>
          <w:lang w:val="es-ES_tradnl"/>
        </w:rPr>
        <w:t>una auditoría específica de desempeño que evalúe las políticas públicas de desarrollo social y humano efectuadas por el Gobierno del Estado</w:t>
      </w:r>
      <w:r w:rsidRPr="00A36F36">
        <w:rPr>
          <w:rFonts w:ascii="Abadi" w:hAnsi="Abadi"/>
          <w:b w:val="0"/>
          <w:bCs w:val="0"/>
          <w:sz w:val="21"/>
          <w:szCs w:val="21"/>
        </w:rPr>
        <w:t>.</w:t>
      </w:r>
    </w:p>
    <w:p w14:paraId="0A4620C0" w14:textId="77777777" w:rsidR="00FE3B93" w:rsidRPr="00A36F36" w:rsidRDefault="00FE3B93" w:rsidP="00FE3B93">
      <w:pPr>
        <w:pStyle w:val="Textoindependiente"/>
        <w:ind w:firstLine="708"/>
        <w:rPr>
          <w:rFonts w:ascii="Abadi" w:hAnsi="Abadi"/>
          <w:b w:val="0"/>
          <w:bCs w:val="0"/>
          <w:sz w:val="21"/>
          <w:szCs w:val="21"/>
        </w:rPr>
      </w:pPr>
    </w:p>
    <w:p w14:paraId="3F631C8F" w14:textId="77777777" w:rsidR="00FE3B93" w:rsidRPr="0062742B" w:rsidRDefault="00FE3B93" w:rsidP="00FE3B93">
      <w:pPr>
        <w:ind w:firstLine="708"/>
        <w:jc w:val="both"/>
        <w:rPr>
          <w:rFonts w:ascii="Abadi" w:hAnsi="Abadi" w:cs="Tahoma"/>
          <w:sz w:val="21"/>
          <w:szCs w:val="21"/>
        </w:rPr>
      </w:pPr>
      <w:r w:rsidRPr="0062742B">
        <w:rPr>
          <w:rFonts w:ascii="Abadi" w:hAnsi="Abadi" w:cs="Tahoma"/>
          <w:sz w:val="21"/>
          <w:szCs w:val="21"/>
        </w:rPr>
        <w:t xml:space="preserve">En tal sentido, quienes integramos esta Comisión consideramos que la vigilancia y el control del ejercicio de los recursos públicos encomendados a los sujetos de fiscalización es una de las funciones primordiales que tiene el Poder Legislativo como responsable originario de esa función de control. </w:t>
      </w:r>
    </w:p>
    <w:p w14:paraId="584B81FC" w14:textId="77777777" w:rsidR="00FE3B93" w:rsidRPr="0062742B" w:rsidRDefault="00FE3B93" w:rsidP="00FE3B93">
      <w:pPr>
        <w:ind w:firstLine="720"/>
        <w:jc w:val="both"/>
        <w:rPr>
          <w:rFonts w:ascii="Abadi" w:hAnsi="Abadi" w:cs="Tahoma"/>
          <w:sz w:val="21"/>
          <w:szCs w:val="21"/>
        </w:rPr>
      </w:pPr>
    </w:p>
    <w:p w14:paraId="63C69595" w14:textId="77777777" w:rsidR="00FE3B93" w:rsidRPr="0062742B" w:rsidRDefault="00FE3B93" w:rsidP="00FE3B93">
      <w:pPr>
        <w:ind w:firstLine="720"/>
        <w:jc w:val="both"/>
        <w:rPr>
          <w:rFonts w:ascii="Abadi" w:hAnsi="Abadi" w:cs="Tahoma"/>
          <w:sz w:val="21"/>
          <w:szCs w:val="21"/>
        </w:rPr>
      </w:pPr>
      <w:r w:rsidRPr="0062742B">
        <w:rPr>
          <w:rFonts w:ascii="Abadi" w:hAnsi="Abadi" w:cs="Tahoma"/>
          <w:sz w:val="21"/>
          <w:szCs w:val="21"/>
        </w:rPr>
        <w:t>La administración, ejercicio, aplicación y control de los recursos públicos deben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w:t>
      </w:r>
    </w:p>
    <w:p w14:paraId="54656AB1" w14:textId="77777777" w:rsidR="00FE3B93" w:rsidRPr="0062742B" w:rsidRDefault="00FE3B93" w:rsidP="00FE3B93">
      <w:pPr>
        <w:ind w:firstLine="720"/>
        <w:jc w:val="both"/>
        <w:rPr>
          <w:rFonts w:ascii="Abadi" w:hAnsi="Abadi" w:cs="Tahoma"/>
          <w:sz w:val="21"/>
          <w:szCs w:val="21"/>
        </w:rPr>
      </w:pPr>
    </w:p>
    <w:p w14:paraId="51BAE1EA" w14:textId="77777777" w:rsidR="00FE3B93" w:rsidRPr="0062742B" w:rsidRDefault="00FE3B93" w:rsidP="00FE3B93">
      <w:pPr>
        <w:ind w:firstLine="720"/>
        <w:jc w:val="both"/>
        <w:rPr>
          <w:rFonts w:ascii="Abadi" w:hAnsi="Abadi" w:cs="Tahoma"/>
          <w:sz w:val="21"/>
          <w:szCs w:val="21"/>
        </w:rPr>
      </w:pPr>
      <w:r w:rsidRPr="0062742B">
        <w:rPr>
          <w:rFonts w:ascii="Abadi" w:hAnsi="Abadi" w:cs="Tahoma"/>
          <w:sz w:val="21"/>
          <w:szCs w:val="21"/>
        </w:rPr>
        <w:t>También debemos destacar dentro del tema de fiscalización la revisión del cumplimiento de las metas y objetivos de los planes y programas, conforme a los principios de eficiencia, eficacia y economía; así como la evaluación de las políticas públicas.</w:t>
      </w:r>
    </w:p>
    <w:p w14:paraId="0979B124" w14:textId="77777777" w:rsidR="00FE3B93" w:rsidRPr="0062742B" w:rsidRDefault="00FE3B93" w:rsidP="00FE3B93">
      <w:pPr>
        <w:tabs>
          <w:tab w:val="left" w:pos="708"/>
          <w:tab w:val="left" w:pos="2451"/>
        </w:tabs>
        <w:jc w:val="both"/>
        <w:rPr>
          <w:rFonts w:ascii="Abadi" w:hAnsi="Abadi" w:cs="Tahoma"/>
          <w:sz w:val="21"/>
          <w:szCs w:val="21"/>
        </w:rPr>
      </w:pPr>
      <w:r w:rsidRPr="0062742B">
        <w:rPr>
          <w:rFonts w:ascii="Abadi" w:hAnsi="Abadi" w:cs="Tahoma"/>
          <w:sz w:val="21"/>
          <w:szCs w:val="21"/>
        </w:rPr>
        <w:tab/>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1C8D7178" w14:textId="77777777" w:rsidR="00FE3B93" w:rsidRPr="0062742B" w:rsidRDefault="00FE3B93" w:rsidP="00FE3B93">
      <w:pPr>
        <w:jc w:val="both"/>
        <w:rPr>
          <w:rFonts w:ascii="Abadi" w:hAnsi="Abadi" w:cs="Tahoma"/>
          <w:sz w:val="21"/>
          <w:szCs w:val="21"/>
        </w:rPr>
      </w:pPr>
    </w:p>
    <w:p w14:paraId="7946D5B1" w14:textId="77777777" w:rsidR="00FE3B93" w:rsidRPr="0062742B" w:rsidRDefault="00FE3B93" w:rsidP="00FE3B93">
      <w:pPr>
        <w:jc w:val="both"/>
        <w:rPr>
          <w:rFonts w:ascii="Abadi" w:hAnsi="Abadi" w:cs="Tahoma"/>
          <w:sz w:val="21"/>
          <w:szCs w:val="21"/>
        </w:rPr>
      </w:pPr>
      <w:r w:rsidRPr="0062742B">
        <w:rPr>
          <w:rFonts w:ascii="Abadi" w:hAnsi="Abadi" w:cs="Tahoma"/>
          <w:sz w:val="21"/>
          <w:szCs w:val="21"/>
        </w:rPr>
        <w:tab/>
        <w:t xml:space="preserve">El artículo 116, fracción II, sexto párrafo de la Constitución Política de los Estados Unidos Mexicanos señala que: </w:t>
      </w:r>
      <w:r w:rsidRPr="0062742B">
        <w:rPr>
          <w:rFonts w:ascii="Abadi" w:hAnsi="Abadi" w:cs="Tahoma"/>
          <w:i/>
          <w:sz w:val="21"/>
          <w:szCs w:val="21"/>
        </w:rPr>
        <w:t xml:space="preserve">«Las legislaturas de los estados contarán con entidades estatales de </w:t>
      </w:r>
      <w:r w:rsidRPr="0062742B">
        <w:rPr>
          <w:rFonts w:ascii="Abadi" w:hAnsi="Abadi" w:cs="Tahoma"/>
          <w:i/>
          <w:sz w:val="21"/>
          <w:szCs w:val="21"/>
        </w:rPr>
        <w:lastRenderedPageBreak/>
        <w:t>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62742B">
        <w:rPr>
          <w:rFonts w:ascii="Abadi" w:hAnsi="Abadi" w:cs="Tahoma"/>
          <w:sz w:val="21"/>
          <w:szCs w:val="21"/>
        </w:rPr>
        <w:t xml:space="preserve"> </w:t>
      </w:r>
    </w:p>
    <w:p w14:paraId="2D80E3FC" w14:textId="77777777" w:rsidR="00FE3B93" w:rsidRPr="0062742B" w:rsidRDefault="00FE3B93" w:rsidP="00FE3B93">
      <w:pPr>
        <w:jc w:val="both"/>
        <w:rPr>
          <w:rFonts w:ascii="Abadi" w:hAnsi="Abadi" w:cs="Tahoma"/>
          <w:sz w:val="21"/>
          <w:szCs w:val="21"/>
        </w:rPr>
      </w:pPr>
    </w:p>
    <w:p w14:paraId="44B6F79D" w14:textId="77777777" w:rsidR="00FE3B93" w:rsidRPr="0062742B" w:rsidRDefault="00FE3B93" w:rsidP="00FE3B93">
      <w:pPr>
        <w:ind w:firstLine="708"/>
        <w:jc w:val="both"/>
        <w:rPr>
          <w:rFonts w:ascii="Abadi" w:hAnsi="Abadi" w:cs="Tahoma"/>
          <w:sz w:val="21"/>
          <w:szCs w:val="21"/>
        </w:rPr>
      </w:pPr>
      <w:r w:rsidRPr="0062742B">
        <w:rPr>
          <w:rFonts w:ascii="Abadi" w:hAnsi="Abadi" w:cs="Tahoma"/>
          <w:sz w:val="21"/>
          <w:szCs w:val="21"/>
        </w:rPr>
        <w:t xml:space="preserve">La Auditoría Superior del Estado, de conformidad con el artículo 66 de la Constitución Política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w:t>
      </w:r>
    </w:p>
    <w:p w14:paraId="3A461D4C" w14:textId="77777777" w:rsidR="00FE3B93" w:rsidRPr="0062742B" w:rsidRDefault="00FE3B93" w:rsidP="00FE3B93">
      <w:pPr>
        <w:spacing w:line="360" w:lineRule="auto"/>
        <w:jc w:val="both"/>
        <w:rPr>
          <w:rFonts w:ascii="Abadi" w:hAnsi="Abadi" w:cs="Tahoma"/>
          <w:sz w:val="21"/>
          <w:szCs w:val="21"/>
        </w:rPr>
      </w:pPr>
    </w:p>
    <w:p w14:paraId="2EDECF97" w14:textId="77777777" w:rsidR="00FE3B93" w:rsidRPr="0062742B" w:rsidRDefault="00FE3B93" w:rsidP="00FE3B93">
      <w:pPr>
        <w:ind w:firstLine="720"/>
        <w:jc w:val="both"/>
        <w:rPr>
          <w:rFonts w:ascii="Abadi" w:hAnsi="Abadi" w:cs="Tahoma"/>
          <w:sz w:val="21"/>
          <w:szCs w:val="21"/>
        </w:rPr>
      </w:pPr>
      <w:r w:rsidRPr="0062742B">
        <w:rPr>
          <w:rFonts w:ascii="Abadi" w:hAnsi="Abadi" w:cs="Tahoma"/>
          <w:sz w:val="21"/>
          <w:szCs w:val="21"/>
        </w:rPr>
        <w:t>El Poder Ejecutivo del Estado, así como las dependencias y entidades de la administración pública estatal son sujetos de la función de fiscalización del Congreso del Estado, según se desprende de los artículos 63 fracciones XVIII y XXVIII; y 66 de la Constitución Política local y 2, fracciones I y III de la Ley de Fiscalización Superior del Estado de Guanajuato.</w:t>
      </w:r>
    </w:p>
    <w:p w14:paraId="34CEABAC" w14:textId="77777777" w:rsidR="00FE3B93" w:rsidRPr="0062742B" w:rsidRDefault="00FE3B93" w:rsidP="00FE3B93">
      <w:pPr>
        <w:ind w:firstLine="720"/>
        <w:jc w:val="both"/>
        <w:rPr>
          <w:rFonts w:ascii="Abadi" w:hAnsi="Abadi" w:cs="Tahoma"/>
          <w:sz w:val="21"/>
          <w:szCs w:val="21"/>
        </w:rPr>
      </w:pPr>
    </w:p>
    <w:p w14:paraId="779CBAD3" w14:textId="77777777" w:rsidR="00FE3B93" w:rsidRPr="0062742B" w:rsidRDefault="00FE3B93" w:rsidP="00FE3B93">
      <w:pPr>
        <w:ind w:firstLine="720"/>
        <w:jc w:val="both"/>
        <w:rPr>
          <w:rFonts w:ascii="Abadi" w:hAnsi="Abadi" w:cs="Arial"/>
          <w:iCs/>
          <w:sz w:val="21"/>
          <w:szCs w:val="21"/>
        </w:rPr>
      </w:pPr>
      <w:r w:rsidRPr="0062742B">
        <w:rPr>
          <w:rFonts w:ascii="Abadi" w:hAnsi="Abadi" w:cs="Tahoma"/>
          <w:sz w:val="21"/>
          <w:szCs w:val="21"/>
        </w:rPr>
        <w:t xml:space="preserve">De acuerdo a lo antes señalado, coincidimos con la y los proponentes en la necesidad en evaluar la eficacia de las políticas públicas </w:t>
      </w:r>
      <w:r w:rsidRPr="0062742B">
        <w:rPr>
          <w:rFonts w:ascii="Abadi" w:hAnsi="Abadi"/>
          <w:sz w:val="21"/>
          <w:szCs w:val="21"/>
          <w:lang w:val="es-ES_tradnl"/>
        </w:rPr>
        <w:t>en materia de desarrollo social y humano</w:t>
      </w:r>
      <w:r w:rsidRPr="0062742B">
        <w:rPr>
          <w:rFonts w:ascii="Abadi" w:hAnsi="Abadi" w:cs="Arial"/>
          <w:iCs/>
          <w:sz w:val="21"/>
          <w:szCs w:val="21"/>
        </w:rPr>
        <w:t>.</w:t>
      </w:r>
    </w:p>
    <w:p w14:paraId="52B82C95" w14:textId="77777777" w:rsidR="00FE3B93" w:rsidRPr="0062742B" w:rsidRDefault="00FE3B93" w:rsidP="00FE3B93">
      <w:pPr>
        <w:jc w:val="both"/>
        <w:rPr>
          <w:rFonts w:ascii="Abadi" w:hAnsi="Abadi" w:cs="Tahoma"/>
          <w:sz w:val="21"/>
          <w:szCs w:val="21"/>
        </w:rPr>
      </w:pPr>
    </w:p>
    <w:p w14:paraId="7E933AC0" w14:textId="77777777" w:rsidR="00FE3B93" w:rsidRPr="0062742B" w:rsidRDefault="00FE3B93" w:rsidP="00FE3B93">
      <w:pPr>
        <w:ind w:firstLine="720"/>
        <w:jc w:val="both"/>
        <w:rPr>
          <w:rFonts w:ascii="Abadi" w:hAnsi="Abadi" w:cs="Tahoma"/>
          <w:sz w:val="21"/>
          <w:szCs w:val="21"/>
        </w:rPr>
      </w:pPr>
      <w:r w:rsidRPr="0062742B">
        <w:rPr>
          <w:rFonts w:ascii="Abadi" w:hAnsi="Abadi" w:cs="Tahoma"/>
          <w:sz w:val="21"/>
          <w:szCs w:val="21"/>
        </w:rPr>
        <w:t>Al respecto, es de señalar que las cifras al 2020 refieren que el porcentaje de la población guanajuatense en situación de pobreza pasó de 41.5%, en 2018, a un 42.7%, en 2020, lo que significó un incremento de 1.3 puntos porcentuales. Dicha cifra se encuentra por debajo del promedio nacional cuyo valor fue equiparable a un incremento de 2 puntos porcentuales, como se detalla en el gráfico siguiente:</w:t>
      </w:r>
    </w:p>
    <w:p w14:paraId="7141C3CB" w14:textId="77777777" w:rsidR="00FE3B93" w:rsidRPr="0062742B" w:rsidRDefault="00FE3B93" w:rsidP="00FE3B93">
      <w:pPr>
        <w:ind w:firstLine="720"/>
        <w:jc w:val="both"/>
        <w:rPr>
          <w:rFonts w:ascii="Abadi" w:hAnsi="Abadi" w:cs="Tahoma"/>
          <w:sz w:val="21"/>
          <w:szCs w:val="21"/>
        </w:rPr>
      </w:pPr>
    </w:p>
    <w:p w14:paraId="03014041" w14:textId="77777777" w:rsidR="00FE3B93" w:rsidRPr="0062742B" w:rsidRDefault="00FE3B93" w:rsidP="00FE3B93">
      <w:pPr>
        <w:jc w:val="center"/>
        <w:rPr>
          <w:rFonts w:ascii="Abadi" w:hAnsi="Abadi" w:cs="Calibri"/>
          <w:b/>
          <w:bCs/>
          <w:sz w:val="21"/>
          <w:szCs w:val="21"/>
        </w:rPr>
      </w:pPr>
      <w:r w:rsidRPr="0062742B">
        <w:rPr>
          <w:rFonts w:ascii="Abadi" w:hAnsi="Abadi" w:cs="Calibri"/>
          <w:b/>
          <w:bCs/>
          <w:sz w:val="21"/>
          <w:szCs w:val="21"/>
        </w:rPr>
        <w:t>Variación en el porcentaje de la población en situación de pobreza, 2018 - 2020</w:t>
      </w:r>
    </w:p>
    <w:p w14:paraId="620ABAAE" w14:textId="1FB1D936" w:rsidR="00FE3B93" w:rsidRPr="0062742B" w:rsidRDefault="00FE3B93" w:rsidP="00FE3B93">
      <w:pPr>
        <w:jc w:val="center"/>
        <w:rPr>
          <w:rFonts w:ascii="Abadi" w:hAnsi="Abadi" w:cs="Calibri"/>
          <w:sz w:val="21"/>
          <w:szCs w:val="21"/>
        </w:rPr>
      </w:pPr>
      <w:r w:rsidRPr="0062742B">
        <w:rPr>
          <w:rFonts w:ascii="Abadi" w:hAnsi="Abadi"/>
          <w:noProof/>
          <w:sz w:val="21"/>
          <w:szCs w:val="21"/>
          <w:u w:val="single"/>
          <w:lang w:eastAsia="es-MX"/>
        </w:rPr>
        <w:drawing>
          <wp:inline distT="0" distB="0" distL="0" distR="0" wp14:anchorId="7D46C5A1" wp14:editId="3DB31AF9">
            <wp:extent cx="3178629" cy="1776549"/>
            <wp:effectExtent l="0" t="0" r="3175" b="0"/>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0A8807A" w14:textId="77777777" w:rsidR="00FE3B93" w:rsidRPr="0062742B" w:rsidRDefault="00FE3B93" w:rsidP="00FE3B93">
      <w:pPr>
        <w:ind w:left="709" w:hanging="709"/>
        <w:jc w:val="both"/>
        <w:rPr>
          <w:rFonts w:ascii="Abadi" w:hAnsi="Abadi" w:cs="Calibri"/>
          <w:sz w:val="21"/>
          <w:szCs w:val="21"/>
        </w:rPr>
      </w:pPr>
      <w:r w:rsidRPr="0062742B">
        <w:rPr>
          <w:rFonts w:ascii="Abadi" w:hAnsi="Abadi" w:cs="Calibri"/>
          <w:sz w:val="21"/>
          <w:szCs w:val="21"/>
        </w:rPr>
        <w:t>Fuente:</w:t>
      </w:r>
      <w:r w:rsidRPr="0062742B">
        <w:rPr>
          <w:rFonts w:ascii="Abadi" w:hAnsi="Abadi" w:cs="Calibri"/>
          <w:sz w:val="21"/>
          <w:szCs w:val="21"/>
        </w:rPr>
        <w:tab/>
        <w:t>Elaborado por la ASEG, con información del Resumen Ejecutivo de Medición multidimensional de la pobreza en México 2018-2020, emitido por el CONEVAL. La variación, o diferencia, se obtiene como resultado de la resta de los porcentajes de la población en situación de pobreza del periodo actual (2020), menos el porcentaje del periodo anterior (2018). La cifra puede variar por decimales.</w:t>
      </w:r>
    </w:p>
    <w:p w14:paraId="6B559BF0" w14:textId="77777777" w:rsidR="00FE3B93" w:rsidRPr="0062742B" w:rsidRDefault="00FE3B93" w:rsidP="00FE3B93">
      <w:pPr>
        <w:rPr>
          <w:rFonts w:ascii="Abadi" w:hAnsi="Abadi" w:cs="Calibri"/>
          <w:sz w:val="21"/>
          <w:szCs w:val="21"/>
        </w:rPr>
      </w:pPr>
    </w:p>
    <w:p w14:paraId="4E4C3B4D" w14:textId="77777777" w:rsidR="00FE3B93" w:rsidRPr="0062742B" w:rsidRDefault="00FE3B93" w:rsidP="00FE3B93">
      <w:pPr>
        <w:ind w:firstLine="720"/>
        <w:jc w:val="both"/>
        <w:rPr>
          <w:rFonts w:ascii="Abadi" w:hAnsi="Abadi" w:cs="Tahoma"/>
          <w:sz w:val="21"/>
          <w:szCs w:val="21"/>
        </w:rPr>
      </w:pPr>
      <w:r w:rsidRPr="0062742B">
        <w:rPr>
          <w:rFonts w:ascii="Abadi" w:hAnsi="Abadi" w:cs="Tahoma"/>
          <w:sz w:val="21"/>
          <w:szCs w:val="21"/>
        </w:rPr>
        <w:t xml:space="preserve">En términos generales, de las 32 entidades federativas, 13 (40.6%) mostraron una disminución de los porcentajes de población en situación de pobreza, cuyos rangos de decremento oscilaron entre los 5.3 puntos porcentuales, en el caso de Nayarit, y de 0.1 en el caso de Durango. Caso contrario, para las 19 (59.4%) entidades federativas restantes, el incremento osciló entre el 0.1, en el caso de Coahuila, y el 17.3 puntos porcentuales en el de Quintana Roo. </w:t>
      </w:r>
    </w:p>
    <w:p w14:paraId="5D8BCF37" w14:textId="77777777" w:rsidR="00FE3B93" w:rsidRPr="0062742B" w:rsidRDefault="00FE3B93" w:rsidP="00FE3B93">
      <w:pPr>
        <w:ind w:firstLine="720"/>
        <w:jc w:val="both"/>
        <w:rPr>
          <w:rFonts w:ascii="Abadi" w:hAnsi="Abadi" w:cs="Tahoma"/>
          <w:sz w:val="21"/>
          <w:szCs w:val="21"/>
        </w:rPr>
      </w:pPr>
    </w:p>
    <w:p w14:paraId="57994D71" w14:textId="77777777" w:rsidR="00FE3B93" w:rsidRPr="0062742B" w:rsidRDefault="00FE3B93" w:rsidP="00FE3B93">
      <w:pPr>
        <w:ind w:firstLine="720"/>
        <w:jc w:val="both"/>
        <w:rPr>
          <w:rFonts w:ascii="Abadi" w:hAnsi="Abadi" w:cs="Tahoma"/>
          <w:sz w:val="21"/>
          <w:szCs w:val="21"/>
        </w:rPr>
      </w:pPr>
      <w:r w:rsidRPr="0062742B">
        <w:rPr>
          <w:rFonts w:ascii="Abadi" w:hAnsi="Abadi" w:cs="Tahoma"/>
          <w:sz w:val="21"/>
          <w:szCs w:val="21"/>
        </w:rPr>
        <w:t xml:space="preserve">En el grupo de entidades federativas que presentaron un incremento del porcentaje de población en situación de pobreza, el estado de Guanajuato fue el quinto con menor diferencia, con un incremento de 1.3 puntos porcentuales, respecto del año base (2018). </w:t>
      </w:r>
    </w:p>
    <w:p w14:paraId="2F3CC770" w14:textId="77777777" w:rsidR="00FE3B93" w:rsidRPr="0062742B" w:rsidRDefault="00FE3B93" w:rsidP="00FE3B93">
      <w:pPr>
        <w:ind w:firstLine="720"/>
        <w:jc w:val="both"/>
        <w:rPr>
          <w:rFonts w:ascii="Abadi" w:hAnsi="Abadi" w:cs="Tahoma"/>
          <w:sz w:val="21"/>
          <w:szCs w:val="21"/>
        </w:rPr>
      </w:pPr>
    </w:p>
    <w:p w14:paraId="49BBCFEE" w14:textId="77777777" w:rsidR="00FE3B93" w:rsidRPr="0062742B" w:rsidRDefault="00FE3B93" w:rsidP="00FE3B93">
      <w:pPr>
        <w:ind w:firstLine="720"/>
        <w:jc w:val="both"/>
        <w:rPr>
          <w:rFonts w:ascii="Abadi" w:hAnsi="Abadi" w:cs="Tahoma"/>
          <w:sz w:val="21"/>
          <w:szCs w:val="21"/>
        </w:rPr>
      </w:pPr>
      <w:r w:rsidRPr="0062742B">
        <w:rPr>
          <w:rFonts w:ascii="Abadi" w:hAnsi="Abadi" w:cs="Tahoma"/>
          <w:sz w:val="21"/>
          <w:szCs w:val="21"/>
        </w:rPr>
        <w:t xml:space="preserve">Por lo que hace a los indicadores de las carencias sociales, entendiendo éstos como aquellos que miden el enfoque de los derechos sociales incorporados en la medición multidimensional de la pobreza en México, a cargo del Consejo Nacional de Evaluación de la Política de Desarrollo Social  (CONEVAL), se tienen 6 indicadores señalados en el artículo 36 de la Ley General de Desarrollo Social que se consideran para la medición multidimensional de la pobreza en México, los cuales son: a) Rezago educativo; b) Acceso a los servicios de salud; c) Acceso a la seguridad social; d) Calidad y </w:t>
      </w:r>
      <w:r w:rsidRPr="0062742B">
        <w:rPr>
          <w:rFonts w:ascii="Abadi" w:hAnsi="Abadi" w:cs="Tahoma"/>
          <w:sz w:val="21"/>
          <w:szCs w:val="21"/>
        </w:rPr>
        <w:lastRenderedPageBreak/>
        <w:t>espacios de la vivienda; e) Acceso a los servicios básicos en la vivienda; y f) Acceso a la alimentación.</w:t>
      </w:r>
    </w:p>
    <w:p w14:paraId="4524B8CC" w14:textId="77777777" w:rsidR="00FE3B93" w:rsidRPr="0062742B" w:rsidRDefault="00FE3B93" w:rsidP="00FE3B93">
      <w:pPr>
        <w:ind w:firstLine="720"/>
        <w:jc w:val="both"/>
        <w:rPr>
          <w:rFonts w:ascii="Abadi" w:hAnsi="Abadi" w:cs="Tahoma"/>
          <w:sz w:val="21"/>
          <w:szCs w:val="21"/>
        </w:rPr>
      </w:pPr>
    </w:p>
    <w:p w14:paraId="2CD2540F" w14:textId="77777777" w:rsidR="00FE3B93" w:rsidRPr="0062742B" w:rsidRDefault="00FE3B93" w:rsidP="00FE3B93">
      <w:pPr>
        <w:ind w:firstLine="720"/>
        <w:jc w:val="both"/>
        <w:rPr>
          <w:rFonts w:ascii="Abadi" w:hAnsi="Abadi" w:cs="Tahoma"/>
          <w:sz w:val="21"/>
          <w:szCs w:val="21"/>
        </w:rPr>
      </w:pPr>
      <w:r w:rsidRPr="0062742B">
        <w:rPr>
          <w:rFonts w:ascii="Abadi" w:hAnsi="Abadi" w:cs="Tahoma"/>
          <w:sz w:val="21"/>
          <w:szCs w:val="21"/>
        </w:rPr>
        <w:t>El comportamiento de dichos indicadores se resume a que las condiciones de vulnerabilidad, ocasionadas por la carencia de los derechos sociales, han presentado una evolución favorable para el contexto local, en razón de que, para 2020, el porcentaje de personas que presentaron dichas condiciones fueron menores a los del periodo base de comparación (2008). Tal como se detalla en la tabla siguiente:</w:t>
      </w:r>
    </w:p>
    <w:p w14:paraId="1BEF9726" w14:textId="77777777" w:rsidR="00FE3B93" w:rsidRPr="0062742B" w:rsidRDefault="00FE3B93" w:rsidP="00FE3B93">
      <w:pPr>
        <w:ind w:firstLine="720"/>
        <w:jc w:val="both"/>
        <w:rPr>
          <w:rFonts w:ascii="Abadi" w:hAnsi="Abadi" w:cs="Tahoma"/>
          <w:sz w:val="21"/>
          <w:szCs w:val="21"/>
        </w:rPr>
      </w:pPr>
    </w:p>
    <w:p w14:paraId="51863C29" w14:textId="77777777" w:rsidR="00FE3B93" w:rsidRPr="0062742B" w:rsidRDefault="00FE3B93" w:rsidP="00FE3B93">
      <w:pPr>
        <w:jc w:val="center"/>
        <w:rPr>
          <w:rFonts w:ascii="Abadi" w:hAnsi="Abadi" w:cs="Calibri"/>
          <w:b/>
          <w:bCs/>
          <w:sz w:val="21"/>
          <w:szCs w:val="21"/>
        </w:rPr>
      </w:pPr>
      <w:r w:rsidRPr="0062742B">
        <w:rPr>
          <w:rFonts w:ascii="Abadi" w:hAnsi="Abadi" w:cs="Calibri"/>
          <w:b/>
          <w:bCs/>
          <w:sz w:val="21"/>
          <w:szCs w:val="21"/>
        </w:rPr>
        <w:t>Medición de la pobreza en Guanajuato, serie 2008 - 2020</w:t>
      </w:r>
    </w:p>
    <w:p w14:paraId="25BEC2F1" w14:textId="30328B43" w:rsidR="00FE3B93" w:rsidRPr="0062742B" w:rsidRDefault="00FE3B93" w:rsidP="00FE3B93">
      <w:pPr>
        <w:spacing w:line="276" w:lineRule="auto"/>
        <w:jc w:val="center"/>
        <w:rPr>
          <w:rFonts w:ascii="Abadi" w:hAnsi="Abadi" w:cs="Calibri"/>
          <w:sz w:val="21"/>
          <w:szCs w:val="21"/>
          <w:u w:val="single"/>
        </w:rPr>
      </w:pPr>
      <w:r w:rsidRPr="0062742B">
        <w:rPr>
          <w:rFonts w:ascii="Abadi" w:hAnsi="Abadi"/>
          <w:noProof/>
          <w:sz w:val="21"/>
          <w:szCs w:val="21"/>
          <w:lang w:eastAsia="es-MX"/>
        </w:rPr>
        <w:drawing>
          <wp:inline distT="0" distB="0" distL="0" distR="0" wp14:anchorId="1F189EB3" wp14:editId="4391172A">
            <wp:extent cx="2790190" cy="1298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90190" cy="1298575"/>
                    </a:xfrm>
                    <a:prstGeom prst="rect">
                      <a:avLst/>
                    </a:prstGeom>
                    <a:noFill/>
                    <a:ln>
                      <a:noFill/>
                    </a:ln>
                  </pic:spPr>
                </pic:pic>
              </a:graphicData>
            </a:graphic>
          </wp:inline>
        </w:drawing>
      </w:r>
    </w:p>
    <w:p w14:paraId="22496D6C" w14:textId="77777777" w:rsidR="00FE3B93" w:rsidRPr="0062742B" w:rsidRDefault="00FE3B93" w:rsidP="00FE3B93">
      <w:pPr>
        <w:ind w:left="709" w:hanging="709"/>
        <w:jc w:val="both"/>
        <w:rPr>
          <w:rFonts w:ascii="Abadi" w:hAnsi="Abadi" w:cs="Calibri"/>
          <w:sz w:val="21"/>
          <w:szCs w:val="21"/>
        </w:rPr>
      </w:pPr>
      <w:r w:rsidRPr="0062742B">
        <w:rPr>
          <w:rFonts w:ascii="Abadi" w:hAnsi="Abadi" w:cs="Calibri"/>
          <w:sz w:val="21"/>
          <w:szCs w:val="21"/>
        </w:rPr>
        <w:t>Fuente:</w:t>
      </w:r>
      <w:r w:rsidRPr="0062742B">
        <w:rPr>
          <w:rFonts w:ascii="Abadi" w:hAnsi="Abadi" w:cs="Calibri"/>
          <w:sz w:val="21"/>
          <w:szCs w:val="21"/>
        </w:rPr>
        <w:tab/>
        <w:t xml:space="preserve">Elaborado por la ASEG, con base en los anexos estadísticos de la medición de la pobreza por entidad federativa, emitido por el CONEVAL. </w:t>
      </w:r>
    </w:p>
    <w:p w14:paraId="75F781DA" w14:textId="77777777" w:rsidR="00FE3B93" w:rsidRPr="0062742B" w:rsidRDefault="00FE3B93" w:rsidP="00FE3B93">
      <w:pPr>
        <w:ind w:left="708" w:hanging="708"/>
        <w:jc w:val="both"/>
        <w:rPr>
          <w:rFonts w:ascii="Abadi" w:hAnsi="Abadi" w:cs="Calibri"/>
          <w:sz w:val="21"/>
          <w:szCs w:val="21"/>
        </w:rPr>
      </w:pPr>
      <w:r w:rsidRPr="0062742B">
        <w:rPr>
          <w:rFonts w:ascii="Abadi" w:hAnsi="Abadi" w:cs="Calibri"/>
          <w:sz w:val="21"/>
          <w:szCs w:val="21"/>
        </w:rPr>
        <w:t xml:space="preserve">(*) </w:t>
      </w:r>
      <w:r w:rsidRPr="0062742B">
        <w:rPr>
          <w:rFonts w:ascii="Abadi" w:hAnsi="Abadi" w:cs="Calibri"/>
          <w:sz w:val="21"/>
          <w:szCs w:val="21"/>
        </w:rPr>
        <w:tab/>
        <w:t>Las cifras corresponden a la serie 2018-2020, las cuales fueron trabajadas mediante la tercera edición de la Metodología para la medición multidimensional de la pobreza en México, la cual sufrió adecuaciones respecto de las ediciones anteriores. El resto de las cifras corresponden a la serie de pobreza 2008-2018, cumpliendo un periodo de 10 años en los que la metodología de pobreza multidimensional se mantuvo sin modificaciones, en concordancia con lo aprobado por su Comité Directivo en 2010.</w:t>
      </w:r>
    </w:p>
    <w:p w14:paraId="333D7C2F" w14:textId="77777777" w:rsidR="00FE3B93" w:rsidRPr="0062742B" w:rsidRDefault="00FE3B93" w:rsidP="00FE3B93">
      <w:pPr>
        <w:ind w:firstLine="720"/>
        <w:jc w:val="both"/>
        <w:rPr>
          <w:rFonts w:ascii="Abadi" w:hAnsi="Abadi" w:cs="Tahoma"/>
          <w:sz w:val="21"/>
          <w:szCs w:val="21"/>
        </w:rPr>
      </w:pPr>
    </w:p>
    <w:p w14:paraId="58D1F7CE" w14:textId="77777777" w:rsidR="00FE3B93" w:rsidRPr="0062742B" w:rsidRDefault="00FE3B93" w:rsidP="00FE3B93">
      <w:pPr>
        <w:ind w:firstLine="720"/>
        <w:jc w:val="both"/>
        <w:rPr>
          <w:rFonts w:ascii="Abadi" w:hAnsi="Abadi" w:cs="Tahoma"/>
          <w:sz w:val="21"/>
          <w:szCs w:val="21"/>
        </w:rPr>
      </w:pPr>
      <w:r w:rsidRPr="0062742B">
        <w:rPr>
          <w:rFonts w:ascii="Abadi" w:hAnsi="Abadi" w:cs="Tahoma"/>
          <w:sz w:val="21"/>
          <w:szCs w:val="21"/>
        </w:rPr>
        <w:t xml:space="preserve">De la tabla anterior, podemos desprender que los seis indicadores de carencias sociales presentaron cambios favorables. De acuerdo con el orden listado, el indicador de rezago educativo tuvo una disminución de 2.6 puntos porcentuales, al pasar de 25.8% en 2008 a un 23.2% en 2020. </w:t>
      </w:r>
    </w:p>
    <w:p w14:paraId="0A1C86C9" w14:textId="77777777" w:rsidR="00FE3B93" w:rsidRPr="0062742B" w:rsidRDefault="00FE3B93" w:rsidP="00FE3B93">
      <w:pPr>
        <w:ind w:firstLine="720"/>
        <w:jc w:val="both"/>
        <w:rPr>
          <w:rFonts w:ascii="Abadi" w:hAnsi="Abadi" w:cs="Tahoma"/>
          <w:sz w:val="21"/>
          <w:szCs w:val="21"/>
        </w:rPr>
      </w:pPr>
    </w:p>
    <w:p w14:paraId="036B848C" w14:textId="77777777" w:rsidR="00FE3B93" w:rsidRPr="0062742B" w:rsidRDefault="00FE3B93" w:rsidP="00FE3B93">
      <w:pPr>
        <w:ind w:firstLine="720"/>
        <w:jc w:val="both"/>
        <w:rPr>
          <w:rFonts w:ascii="Abadi" w:hAnsi="Abadi" w:cs="Tahoma"/>
          <w:sz w:val="21"/>
          <w:szCs w:val="21"/>
        </w:rPr>
      </w:pPr>
      <w:r w:rsidRPr="0062742B">
        <w:rPr>
          <w:rFonts w:ascii="Abadi" w:hAnsi="Abadi" w:cs="Tahoma"/>
          <w:sz w:val="21"/>
          <w:szCs w:val="21"/>
        </w:rPr>
        <w:t xml:space="preserve">Por su parte, el indicador de carencia por acceso a los servicios de salud pasó de 36.2% en 2008 a 24.8% en 2020, lo que significó una </w:t>
      </w:r>
      <w:r w:rsidRPr="0062742B">
        <w:rPr>
          <w:rFonts w:ascii="Abadi" w:hAnsi="Abadi" w:cs="Tahoma"/>
          <w:sz w:val="21"/>
          <w:szCs w:val="21"/>
        </w:rPr>
        <w:t>disminución de 11.3 puntos porcentuales. De la misma forma, el indicador de carencia por acceso a la seguridad social fue el que presentó la variación más amplia, equivalente a 14.8 puntos porcentuales, como resultado de pasar de 66.7% en el periodo base, a 51.9% en 2020.</w:t>
      </w:r>
    </w:p>
    <w:p w14:paraId="4EC892D3" w14:textId="77777777" w:rsidR="00FE3B93" w:rsidRPr="0062742B" w:rsidRDefault="00FE3B93" w:rsidP="00FE3B93">
      <w:pPr>
        <w:ind w:firstLine="720"/>
        <w:jc w:val="both"/>
        <w:rPr>
          <w:rFonts w:ascii="Abadi" w:hAnsi="Abadi" w:cs="Tahoma"/>
          <w:sz w:val="21"/>
          <w:szCs w:val="21"/>
        </w:rPr>
      </w:pPr>
    </w:p>
    <w:p w14:paraId="7FB589AE" w14:textId="77777777" w:rsidR="00FE3B93" w:rsidRPr="0062742B" w:rsidRDefault="00FE3B93" w:rsidP="00FE3B93">
      <w:pPr>
        <w:ind w:firstLine="720"/>
        <w:jc w:val="both"/>
        <w:rPr>
          <w:rFonts w:ascii="Abadi" w:hAnsi="Abadi" w:cs="Tahoma"/>
          <w:sz w:val="21"/>
          <w:szCs w:val="21"/>
        </w:rPr>
      </w:pPr>
      <w:r w:rsidRPr="0062742B">
        <w:rPr>
          <w:rFonts w:ascii="Abadi" w:hAnsi="Abadi" w:cs="Tahoma"/>
          <w:sz w:val="21"/>
          <w:szCs w:val="21"/>
        </w:rPr>
        <w:t>En el indicador de carencia por calidad y espacios de la vivienda, se observó una disminución de 7.3 puntos porcentuales, seguida de los 5.8 puntos del indicador de carencia por acceso a los servicios básicos en la vivienda y, finalmente, la carencia por acceso a la alimentación con una disminución de 2.4 puntos porcentuales, respectivamente.</w:t>
      </w:r>
    </w:p>
    <w:p w14:paraId="726FE107" w14:textId="77777777" w:rsidR="00FE3B93" w:rsidRPr="0062742B" w:rsidRDefault="00FE3B93" w:rsidP="00FE3B93">
      <w:pPr>
        <w:ind w:firstLine="720"/>
        <w:jc w:val="both"/>
        <w:rPr>
          <w:rFonts w:ascii="Abadi" w:hAnsi="Abadi" w:cs="Tahoma"/>
          <w:sz w:val="21"/>
          <w:szCs w:val="21"/>
        </w:rPr>
      </w:pPr>
    </w:p>
    <w:p w14:paraId="4918BD75" w14:textId="77777777" w:rsidR="00FE3B93" w:rsidRPr="0062742B" w:rsidRDefault="00FE3B93" w:rsidP="00FE3B93">
      <w:pPr>
        <w:ind w:firstLine="720"/>
        <w:jc w:val="both"/>
        <w:rPr>
          <w:rFonts w:ascii="Abadi" w:hAnsi="Abadi" w:cs="Tahoma"/>
          <w:sz w:val="21"/>
          <w:szCs w:val="21"/>
        </w:rPr>
      </w:pPr>
      <w:r w:rsidRPr="0062742B">
        <w:rPr>
          <w:rFonts w:ascii="Abadi" w:hAnsi="Abadi" w:cs="Tahoma"/>
          <w:sz w:val="21"/>
          <w:szCs w:val="21"/>
        </w:rPr>
        <w:t>Adicionalmente, se identificó que, de acuerdo con el Consejo Nacional de Evaluación de la Política de Desarrollo Social  (CONEVAL), aun cuando el número de personas en situación de pobreza en Guanajuato aumentó 0.7% en promedio anual —al pasar de 2,403.6 miles de personas, en 2008, a 2,587.8 miles, en 2018—, la proporción de personas que se encontraron en dicha condición, considerando el crecimiento poblacional del Estado, registró una disminución de 0.7 puntos porcentuales, la cual pasó de 44.1% a 43.4% en el periodo referido, lo que evidencia que, en dicho periodo, el porcentaje de la población con al menos una carencia social y con ingreso inferior a la línea de bienestar (valor total de la canasta alimentaria y no alimentaria al mes) se ha reducido.</w:t>
      </w:r>
    </w:p>
    <w:p w14:paraId="55290B58" w14:textId="77777777" w:rsidR="00FE3B93" w:rsidRPr="0062742B" w:rsidRDefault="00FE3B93" w:rsidP="00FE3B93">
      <w:pPr>
        <w:ind w:firstLine="720"/>
        <w:jc w:val="both"/>
        <w:rPr>
          <w:rFonts w:ascii="Abadi" w:hAnsi="Abadi" w:cs="Tahoma"/>
          <w:sz w:val="21"/>
          <w:szCs w:val="21"/>
        </w:rPr>
      </w:pPr>
    </w:p>
    <w:p w14:paraId="22A500A5" w14:textId="77777777" w:rsidR="00FE3B93" w:rsidRPr="0062742B" w:rsidRDefault="00FE3B93" w:rsidP="00FE3B93">
      <w:pPr>
        <w:ind w:firstLine="720"/>
        <w:jc w:val="both"/>
        <w:rPr>
          <w:rFonts w:ascii="Abadi" w:hAnsi="Abadi" w:cs="Tahoma"/>
          <w:sz w:val="21"/>
          <w:szCs w:val="21"/>
        </w:rPr>
      </w:pPr>
      <w:r w:rsidRPr="0062742B">
        <w:rPr>
          <w:rFonts w:ascii="Abadi" w:hAnsi="Abadi" w:cs="Tahoma"/>
          <w:sz w:val="21"/>
          <w:szCs w:val="21"/>
        </w:rPr>
        <w:t>También resulta relevante señalar que la pobreza extrema en el estado de Guanajuato decreció 3.7 puntos porcentuales de 2008 a 2018, al pasar de 7.9% a 4.2%, lo que denota una disminución en el número de personas con tres o más carencias sociales. No obstante, la pobreza moderada (definida como aquella que, a pesar de estar en situación de pobreza, no cae en la categoría de ser extrema) registró un aumento de 2.9 puntos porcentuales, al pasar de 36.2% a 39.1%, en esos años.</w:t>
      </w:r>
    </w:p>
    <w:p w14:paraId="2F166CF8" w14:textId="77777777" w:rsidR="00FE3B93" w:rsidRPr="0062742B" w:rsidRDefault="00FE3B93" w:rsidP="00FE3B93">
      <w:pPr>
        <w:ind w:firstLine="720"/>
        <w:jc w:val="both"/>
        <w:rPr>
          <w:rFonts w:ascii="Abadi" w:hAnsi="Abadi" w:cs="Tahoma"/>
          <w:sz w:val="21"/>
          <w:szCs w:val="21"/>
        </w:rPr>
      </w:pPr>
    </w:p>
    <w:p w14:paraId="0A5F3453" w14:textId="77777777" w:rsidR="00FE3B93" w:rsidRPr="0062742B" w:rsidRDefault="00FE3B93" w:rsidP="00FE3B93">
      <w:pPr>
        <w:ind w:firstLine="720"/>
        <w:jc w:val="both"/>
        <w:rPr>
          <w:rFonts w:ascii="Abadi" w:hAnsi="Abadi" w:cs="Tahoma"/>
          <w:sz w:val="21"/>
          <w:szCs w:val="21"/>
        </w:rPr>
      </w:pPr>
      <w:r w:rsidRPr="0062742B">
        <w:rPr>
          <w:rFonts w:ascii="Abadi" w:hAnsi="Abadi" w:cs="Tahoma"/>
          <w:sz w:val="21"/>
          <w:szCs w:val="21"/>
        </w:rPr>
        <w:t xml:space="preserve">De las cifras antes referidas, podemos desprender que la realidad social en el Estado de Guanajuato cambió en los últimos años, ya que si bien, no se ha abatido la pobreza, se ha reducido el porcentaje de la población en condición de pobreza extrema, lo que a su vez ha disminuido la vulnerabilidad de los y las guanajuatenses. </w:t>
      </w:r>
    </w:p>
    <w:p w14:paraId="0166F98C" w14:textId="77777777" w:rsidR="00FE3B93" w:rsidRPr="0062742B" w:rsidRDefault="00FE3B93" w:rsidP="00FE3B93">
      <w:pPr>
        <w:spacing w:after="200"/>
        <w:ind w:firstLine="708"/>
        <w:jc w:val="both"/>
        <w:rPr>
          <w:rFonts w:ascii="Abadi" w:hAnsi="Abadi" w:cs="Calibri"/>
          <w:sz w:val="21"/>
          <w:szCs w:val="21"/>
        </w:rPr>
      </w:pPr>
      <w:r w:rsidRPr="0062742B">
        <w:rPr>
          <w:rFonts w:ascii="Abadi" w:hAnsi="Abadi" w:cs="Tahoma"/>
          <w:sz w:val="21"/>
          <w:szCs w:val="21"/>
        </w:rPr>
        <w:t xml:space="preserve">Lo anterior no es significado de que la política pública deba mantenerse como está, sino que resulta pertinente valorar, a partir de un </w:t>
      </w:r>
      <w:r w:rsidRPr="0062742B">
        <w:rPr>
          <w:rFonts w:ascii="Abadi" w:hAnsi="Abadi" w:cs="Tahoma"/>
          <w:sz w:val="21"/>
          <w:szCs w:val="21"/>
        </w:rPr>
        <w:lastRenderedPageBreak/>
        <w:t>diagnóstico completo, qué aspectos se requieren modificar, reorientar o adecuar para atender el fenómeno problemático actual, a fin de identificar cómo dinamizar una estrategia que incentive mejores resultados. Ello, sobrepasa el alcance de las auditorías de desempeño, debido a la convergencia de múltiples programas presupuestarios</w:t>
      </w:r>
      <w:r w:rsidRPr="0062742B">
        <w:rPr>
          <w:rFonts w:ascii="Abadi" w:hAnsi="Abadi" w:cs="Calibri"/>
          <w:sz w:val="21"/>
          <w:szCs w:val="21"/>
          <w:vertAlign w:val="superscript"/>
        </w:rPr>
        <w:footnoteReference w:id="111"/>
      </w:r>
      <w:r w:rsidRPr="0062742B">
        <w:rPr>
          <w:rFonts w:ascii="Abadi" w:hAnsi="Abadi" w:cs="Calibri"/>
          <w:sz w:val="21"/>
          <w:szCs w:val="21"/>
        </w:rPr>
        <w:t xml:space="preserve">, </w:t>
      </w:r>
      <w:r w:rsidRPr="0062742B">
        <w:rPr>
          <w:rFonts w:ascii="Abadi" w:hAnsi="Abadi" w:cs="Tahoma"/>
          <w:sz w:val="21"/>
          <w:szCs w:val="21"/>
        </w:rPr>
        <w:t xml:space="preserve">así como a la necesidad de evaluar periodos más largos de tiempo, que no se circunscriban a la caducidad definida para el proceso de fiscalización mandatado para las </w:t>
      </w:r>
      <w:r w:rsidRPr="0062742B">
        <w:rPr>
          <w:rFonts w:ascii="Abadi" w:hAnsi="Abadi" w:cs="Tahoma"/>
          <w:i/>
          <w:iCs/>
          <w:sz w:val="21"/>
          <w:szCs w:val="21"/>
        </w:rPr>
        <w:t>«auditorías»</w:t>
      </w:r>
      <w:r w:rsidRPr="0062742B">
        <w:rPr>
          <w:rFonts w:ascii="Abadi" w:hAnsi="Abadi" w:cs="Tahoma"/>
          <w:sz w:val="21"/>
          <w:szCs w:val="21"/>
        </w:rPr>
        <w:t xml:space="preserve"> en el artículo 34, fracción II de la Ley de Fiscalización Superior del Estado de Guanajuato</w:t>
      </w:r>
      <w:r w:rsidRPr="0062742B">
        <w:rPr>
          <w:rFonts w:ascii="Abadi" w:hAnsi="Abadi" w:cs="Calibri"/>
          <w:sz w:val="21"/>
          <w:szCs w:val="21"/>
        </w:rPr>
        <w:t>.</w:t>
      </w:r>
    </w:p>
    <w:p w14:paraId="66801579" w14:textId="77777777" w:rsidR="00FE3B93" w:rsidRPr="0062742B" w:rsidRDefault="00FE3B93" w:rsidP="00A36F36">
      <w:pPr>
        <w:numPr>
          <w:ilvl w:val="0"/>
          <w:numId w:val="37"/>
        </w:numPr>
        <w:spacing w:after="160"/>
        <w:rPr>
          <w:rFonts w:ascii="Abadi" w:hAnsi="Abadi"/>
          <w:b/>
          <w:bCs/>
          <w:sz w:val="21"/>
          <w:szCs w:val="21"/>
        </w:rPr>
      </w:pPr>
      <w:r w:rsidRPr="0062742B">
        <w:rPr>
          <w:rFonts w:ascii="Abadi" w:hAnsi="Abadi"/>
          <w:b/>
          <w:bCs/>
          <w:sz w:val="21"/>
          <w:szCs w:val="21"/>
        </w:rPr>
        <w:t>Cobertura de revisiones previas a los programas de desarrollo social</w:t>
      </w:r>
    </w:p>
    <w:p w14:paraId="5AC4A3D7" w14:textId="77777777" w:rsidR="00FE3B93" w:rsidRPr="0062742B" w:rsidRDefault="00FE3B93" w:rsidP="00FE3B93">
      <w:pPr>
        <w:spacing w:after="200"/>
        <w:ind w:firstLine="708"/>
        <w:jc w:val="both"/>
        <w:rPr>
          <w:rFonts w:ascii="Abadi" w:hAnsi="Abadi" w:cs="Calibri"/>
          <w:sz w:val="21"/>
          <w:szCs w:val="21"/>
        </w:rPr>
      </w:pPr>
      <w:r w:rsidRPr="0062742B">
        <w:rPr>
          <w:rFonts w:ascii="Abadi" w:hAnsi="Abadi" w:cs="Calibri"/>
          <w:sz w:val="21"/>
          <w:szCs w:val="21"/>
        </w:rPr>
        <w:t>Desde el año 2015 y hasta el 2020, la Auditoría Superior del Estado ha diseñado, ejecutado e informado cerca de 296 auditorías con enfoque de desempeño, de las cuales 72 (24.3%) se han dirigido al Poder Ejecutivo del Estado. En ese contexto, se tiene que parte de la cobertura de las auditorías de desempeño realizadas ha enfocado esfuerzos en la revisión de programas y proyectos que componen la política social del Estado, por lo que llevar a cabo una nueva revisión, bajo el formato de auditoría de desempeño, pudiera arrojar resultados similares a lo ya conocido.</w:t>
      </w:r>
    </w:p>
    <w:p w14:paraId="44CE4F17" w14:textId="77777777" w:rsidR="00FE3B93" w:rsidRPr="0062742B" w:rsidRDefault="00FE3B93" w:rsidP="00FE3B93">
      <w:pPr>
        <w:spacing w:after="200"/>
        <w:ind w:firstLine="708"/>
        <w:jc w:val="both"/>
        <w:rPr>
          <w:rFonts w:ascii="Abadi" w:hAnsi="Abadi" w:cs="Calibri"/>
          <w:sz w:val="21"/>
          <w:szCs w:val="21"/>
        </w:rPr>
      </w:pPr>
      <w:r w:rsidRPr="0062742B">
        <w:rPr>
          <w:rFonts w:ascii="Abadi" w:hAnsi="Abadi" w:cs="Calibri"/>
          <w:sz w:val="21"/>
          <w:szCs w:val="21"/>
        </w:rPr>
        <w:t>En ese supuesto, se encuentran al menos 12 programas de la Secretaría de Desarrollo Social y Humano, otros 13 asociados al sector educativo, 12 sobre el eje económico y 4 más del sector salud, por mencionar algunos. Lo anterior, adicional a los trabajos que actualmente se llevan a cabo y que forman parte del Programa General de Fiscalización 2022.</w:t>
      </w:r>
    </w:p>
    <w:p w14:paraId="39BCF2FB" w14:textId="77777777" w:rsidR="00FE3B93" w:rsidRPr="0062742B" w:rsidRDefault="00FE3B93" w:rsidP="00FE3B93">
      <w:pPr>
        <w:spacing w:after="200"/>
        <w:ind w:firstLine="708"/>
        <w:jc w:val="both"/>
        <w:rPr>
          <w:rFonts w:ascii="Abadi" w:hAnsi="Abadi" w:cs="Calibri"/>
          <w:sz w:val="21"/>
          <w:szCs w:val="21"/>
        </w:rPr>
      </w:pPr>
      <w:r w:rsidRPr="0062742B">
        <w:rPr>
          <w:rFonts w:ascii="Abadi" w:hAnsi="Abadi" w:cs="Calibri"/>
          <w:sz w:val="21"/>
          <w:szCs w:val="21"/>
        </w:rPr>
        <w:t xml:space="preserve">Por lo anterior, se sugiere reconsiderar el planteamiento realizado en el exhorto, relativo a la práctica de «una auditoría específica de desempeño» que evalúe las políticas públicas de desarrollo social y humano ejecutadas por el Gobierno del Estado, y que el mismo se reoriente </w:t>
      </w:r>
      <w:r w:rsidRPr="0062742B">
        <w:rPr>
          <w:rFonts w:ascii="Abadi" w:hAnsi="Abadi" w:cs="Calibri"/>
          <w:sz w:val="21"/>
          <w:szCs w:val="21"/>
        </w:rPr>
        <w:t>a la definición de una estrategia de evaluación de política pública, en los términos siguientes:</w:t>
      </w:r>
    </w:p>
    <w:p w14:paraId="20C267EB" w14:textId="77777777" w:rsidR="00FE3B93" w:rsidRPr="0062742B" w:rsidRDefault="00FE3B93" w:rsidP="00FE3B93">
      <w:pPr>
        <w:spacing w:after="200"/>
        <w:jc w:val="both"/>
        <w:rPr>
          <w:rFonts w:ascii="Abadi" w:hAnsi="Abadi" w:cs="Calibri"/>
          <w:sz w:val="21"/>
          <w:szCs w:val="21"/>
        </w:rPr>
      </w:pPr>
    </w:p>
    <w:p w14:paraId="5D1968F4" w14:textId="77777777" w:rsidR="00FE3B93" w:rsidRPr="0062742B" w:rsidRDefault="00FE3B93" w:rsidP="00A36F36">
      <w:pPr>
        <w:numPr>
          <w:ilvl w:val="0"/>
          <w:numId w:val="37"/>
        </w:numPr>
        <w:spacing w:after="160"/>
        <w:rPr>
          <w:rFonts w:ascii="Abadi" w:hAnsi="Abadi"/>
          <w:b/>
          <w:bCs/>
          <w:sz w:val="21"/>
          <w:szCs w:val="21"/>
        </w:rPr>
      </w:pPr>
      <w:r w:rsidRPr="0062742B">
        <w:rPr>
          <w:rFonts w:ascii="Abadi" w:hAnsi="Abadi"/>
          <w:b/>
          <w:bCs/>
          <w:sz w:val="21"/>
          <w:szCs w:val="21"/>
        </w:rPr>
        <w:t>Consideraciones metodológicas de la evaluación de políticas públicas</w:t>
      </w:r>
    </w:p>
    <w:p w14:paraId="32DC3687" w14:textId="77777777" w:rsidR="00FE3B93" w:rsidRPr="0062742B" w:rsidRDefault="00FE3B93" w:rsidP="00FE3B93">
      <w:pPr>
        <w:spacing w:after="200"/>
        <w:ind w:firstLine="708"/>
        <w:jc w:val="both"/>
        <w:rPr>
          <w:rFonts w:ascii="Abadi" w:hAnsi="Abadi" w:cs="Calibri"/>
          <w:sz w:val="21"/>
          <w:szCs w:val="21"/>
        </w:rPr>
      </w:pPr>
      <w:r w:rsidRPr="0062742B">
        <w:rPr>
          <w:rFonts w:ascii="Abadi" w:hAnsi="Abadi" w:cs="Calibri"/>
          <w:sz w:val="21"/>
          <w:szCs w:val="21"/>
        </w:rPr>
        <w:t>Dentro de los compromisos asumidos por la Auditoría Superior del Estado de Guanajuato, así como por los retos plasmados en la configuración del plan estratégico institucional con visión al 2027, se encuentra la puesta en marcha de un área especializada en la práctica de análisis, investigación y evaluación de políticas públicas (Unidad de Investigación y Evaluación de Políticas Públicas), con el propósito de favorecer el uso racional y la optimización de los recursos públicos, generar información para que los entes públicos realicen un mejor diseño e implementación de sus políticas públicas y promover la cultura de la evaluación y de calidad de las mismas en la Entidad, complementando con ello a los objetivos específicos de la auditoría de desempeño</w:t>
      </w:r>
      <w:r w:rsidRPr="0062742B">
        <w:rPr>
          <w:rFonts w:ascii="Abadi" w:hAnsi="Abadi" w:cs="Calibri"/>
          <w:sz w:val="21"/>
          <w:szCs w:val="21"/>
          <w:vertAlign w:val="superscript"/>
        </w:rPr>
        <w:footnoteReference w:id="112"/>
      </w:r>
      <w:r w:rsidRPr="0062742B">
        <w:rPr>
          <w:rFonts w:ascii="Abadi" w:hAnsi="Abadi" w:cs="Calibri"/>
          <w:sz w:val="21"/>
          <w:szCs w:val="21"/>
        </w:rPr>
        <w:t>.</w:t>
      </w:r>
    </w:p>
    <w:p w14:paraId="4524A35F" w14:textId="77777777" w:rsidR="00FE3B93" w:rsidRPr="0062742B" w:rsidRDefault="00FE3B93" w:rsidP="00FE3B93">
      <w:pPr>
        <w:spacing w:after="200"/>
        <w:ind w:firstLine="708"/>
        <w:jc w:val="both"/>
        <w:rPr>
          <w:rFonts w:ascii="Abadi" w:hAnsi="Abadi" w:cs="Calibri"/>
          <w:sz w:val="21"/>
          <w:szCs w:val="21"/>
        </w:rPr>
      </w:pPr>
      <w:r w:rsidRPr="0062742B">
        <w:rPr>
          <w:rFonts w:ascii="Abadi" w:hAnsi="Abadi" w:cs="Calibri"/>
          <w:sz w:val="21"/>
          <w:szCs w:val="21"/>
        </w:rPr>
        <w:t>Para tal efecto, actualmente la Auditoría Superior del Estado se encuentra en proceso de elaboración de una propuesta para definir los aspectos institucionales, orgánicos y profesionales del área especializada, la cual formará parte de la Auditoría Especial de Evaluación y Desempeño, con la debida diferenciación de la Dirección de Auditorías de Desempeño, por su orientación hacia la investigación, análisis y evaluación de políticas públicas.</w:t>
      </w:r>
    </w:p>
    <w:p w14:paraId="299C548C" w14:textId="77777777" w:rsidR="00FE3B93" w:rsidRPr="0062742B" w:rsidRDefault="00FE3B93" w:rsidP="00FE3B93">
      <w:pPr>
        <w:spacing w:after="200"/>
        <w:ind w:firstLine="708"/>
        <w:jc w:val="both"/>
        <w:rPr>
          <w:rFonts w:ascii="Abadi" w:hAnsi="Abadi" w:cs="Calibri"/>
          <w:sz w:val="21"/>
          <w:szCs w:val="21"/>
        </w:rPr>
      </w:pPr>
      <w:r w:rsidRPr="0062742B">
        <w:rPr>
          <w:rFonts w:ascii="Abadi" w:hAnsi="Abadi" w:cs="Calibri"/>
          <w:sz w:val="21"/>
          <w:szCs w:val="21"/>
        </w:rPr>
        <w:t xml:space="preserve">En la actualidad la Auditoría Especial de Evaluación y Desempeño realiza auditorías de desempeño que tienen como finalidad fiscalizar si las acciones, programas y actividades del gobierno operan de conformidad con los principios de economía, eficiencia y eficacia, con base en un marco normativo establecido, a fin de verificar si existen áreas de mejora. Estas se realizan con información del año inmediato anterior, pudiendo incorporar datos históricos de cuentas públicas de hasta cinco años de </w:t>
      </w:r>
      <w:r w:rsidRPr="0062742B">
        <w:rPr>
          <w:rFonts w:ascii="Abadi" w:hAnsi="Abadi" w:cs="Calibri"/>
          <w:sz w:val="21"/>
          <w:szCs w:val="21"/>
        </w:rPr>
        <w:lastRenderedPageBreak/>
        <w:t xml:space="preserve">antigüedad, sin estar sujetas al proceso de fiscalización. </w:t>
      </w:r>
    </w:p>
    <w:p w14:paraId="6D643AF3" w14:textId="77777777" w:rsidR="00FE3B93" w:rsidRPr="0062742B" w:rsidRDefault="00FE3B93" w:rsidP="00FE3B93">
      <w:pPr>
        <w:spacing w:after="200"/>
        <w:ind w:firstLine="708"/>
        <w:jc w:val="both"/>
        <w:rPr>
          <w:rFonts w:ascii="Abadi" w:hAnsi="Abadi" w:cs="Calibri"/>
          <w:sz w:val="21"/>
          <w:szCs w:val="21"/>
        </w:rPr>
      </w:pPr>
      <w:r w:rsidRPr="0062742B">
        <w:rPr>
          <w:rFonts w:ascii="Abadi" w:hAnsi="Abadi" w:cs="Calibri"/>
          <w:sz w:val="21"/>
          <w:szCs w:val="21"/>
        </w:rPr>
        <w:t>Por aspectos metodológicos, en las evaluaciones de políticas públicas se requiere ampliar el alcance temporal y temático, ya que, a diferencia de una auditoría de desempeño, la evaluación de políticas públicas no se ciñe al análisis de una cuenta pública determinada sino que, dado que uno de sus objetivos es analizar las partes de una estrategia pública, su alcance temporal abarca el lapso de la estrategia en revisión; además, una estrategia estatal puede partir de varios programas presupuestarios a cargo de más de una entidad responsable, lo que amplía el alcance institucional-programático de la evaluación.</w:t>
      </w:r>
    </w:p>
    <w:p w14:paraId="3936700B" w14:textId="77777777" w:rsidR="00FE3B93" w:rsidRPr="0062742B" w:rsidRDefault="00FE3B93" w:rsidP="00FE3B93">
      <w:pPr>
        <w:spacing w:after="200"/>
        <w:ind w:firstLine="708"/>
        <w:jc w:val="both"/>
        <w:rPr>
          <w:rFonts w:ascii="Abadi" w:hAnsi="Abadi" w:cs="Calibri"/>
          <w:sz w:val="21"/>
          <w:szCs w:val="21"/>
        </w:rPr>
      </w:pPr>
      <w:r w:rsidRPr="0062742B">
        <w:rPr>
          <w:rFonts w:ascii="Abadi" w:hAnsi="Abadi" w:cs="Calibri"/>
          <w:sz w:val="21"/>
          <w:szCs w:val="21"/>
        </w:rPr>
        <w:t>Ampliando los detalles metodológicos previstos por la Auditoría Superior del Estado, las evaluaciones de políticas públicas comprenderán tanto la identificación como la evaluación del problema público que originó la intervención del Estado; el diseño de la política pública —el cual se integra por la estructura normativa, institucional, programática, presupuestal, metodológica y de evaluación, principalmente—; la implementación, para conocer el cumplimiento de las atribuciones conferidas a los entes responsables de operar la política pública; los efectos y los resultados de las estrategias, y un posicionamiento sobre la consistencia, eficiencia y eficacia de la política, así como un análisis prospectivo que permita estimar el comportamiento de las variables en estudio, en caso que la política pública continúe operando de la misma forma.</w:t>
      </w:r>
    </w:p>
    <w:p w14:paraId="787521E5" w14:textId="77777777" w:rsidR="00FE3B93" w:rsidRPr="0062742B" w:rsidRDefault="00FE3B93" w:rsidP="00FE3B93">
      <w:pPr>
        <w:spacing w:after="200"/>
        <w:ind w:firstLine="708"/>
        <w:jc w:val="both"/>
        <w:rPr>
          <w:rFonts w:ascii="Abadi" w:hAnsi="Abadi" w:cs="Calibri"/>
          <w:sz w:val="21"/>
          <w:szCs w:val="21"/>
        </w:rPr>
      </w:pPr>
      <w:r w:rsidRPr="0062742B">
        <w:rPr>
          <w:rFonts w:ascii="Abadi" w:hAnsi="Abadi" w:cs="Calibri"/>
          <w:sz w:val="21"/>
          <w:szCs w:val="21"/>
        </w:rPr>
        <w:t>Cabe señalar que, derivado del proceso de fiscalización, en las evaluaciones de políticas públicas no se dictaminan cumplimientos, ni se emiten recomendaciones al desempeño, sino que se emite una opinión sobre el grado de atención del problema público; se identifican los aspectos susceptibles de mejora (en su aproximación a las recomendaciones de desempeño), considerando el diseño de la política para determinar, entre otras cosas, si el marco normativo es adecuado, si las atribuciones son suficientes, si las estrategias y líneas de acción son congruentes y consistentes con lo que el Estado pretende resolver, si los recursos son suficientes, si existe una óptima rendición de cuentas, y si se incorporaron medios de verificación y evaluación continuos; por lo que, las sugerencias no conllevan un proceso de seguimiento.</w:t>
      </w:r>
    </w:p>
    <w:p w14:paraId="40A24E78" w14:textId="77777777" w:rsidR="00FE3B93" w:rsidRPr="0062742B" w:rsidRDefault="00FE3B93" w:rsidP="00FE3B93">
      <w:pPr>
        <w:spacing w:after="200"/>
        <w:ind w:firstLine="708"/>
        <w:jc w:val="both"/>
        <w:rPr>
          <w:rFonts w:ascii="Abadi" w:hAnsi="Abadi" w:cs="Calibri"/>
          <w:sz w:val="21"/>
          <w:szCs w:val="21"/>
        </w:rPr>
      </w:pPr>
      <w:r w:rsidRPr="0062742B">
        <w:rPr>
          <w:rFonts w:ascii="Abadi" w:hAnsi="Abadi" w:cs="Calibri"/>
          <w:sz w:val="21"/>
          <w:szCs w:val="21"/>
        </w:rPr>
        <w:t xml:space="preserve">Lo anterior, implica un proceso de trabajo previo, tanto en aspectos metodológicos, normativos y del sistema de gestión de calidad, a efecto de que el proyecto de evaluación arranque sobre bases firmes desde su inicio. Trabajo que se encuentra en proceso y pretende concretarse en el presente ejercicio fiscal. </w:t>
      </w:r>
    </w:p>
    <w:p w14:paraId="2DA92A3C" w14:textId="77777777" w:rsidR="00FE3B93" w:rsidRPr="0062742B" w:rsidRDefault="00FE3B93" w:rsidP="00FE3B93">
      <w:pPr>
        <w:spacing w:after="200"/>
        <w:ind w:firstLine="708"/>
        <w:jc w:val="both"/>
        <w:rPr>
          <w:rFonts w:ascii="Abadi" w:hAnsi="Abadi" w:cs="Calibri"/>
          <w:sz w:val="21"/>
          <w:szCs w:val="21"/>
        </w:rPr>
      </w:pPr>
      <w:r w:rsidRPr="0062742B">
        <w:rPr>
          <w:rFonts w:ascii="Abadi" w:hAnsi="Abadi" w:cs="Calibri"/>
          <w:sz w:val="21"/>
          <w:szCs w:val="21"/>
        </w:rPr>
        <w:t>Por otra parte, en lo que respecta a la política de Desarrollo Social local, se identificó que, de acuerdo con la Ley de Desarrollo Social y Humano para el Estado y los Municipios de Guanajuato, la política incluye, entre otras, las vertientes siguientes: a) Superación de la pobreza; b) Educación; c) Salud; d) Alimentación; e) Generación de empleo y capacitación; f) Infraestructura social básica; g) Fomento del sector social de la economía; h) Desarrollo sustentable; i) Atención a grupos vulnerables; e j) Igualdad de género.</w:t>
      </w:r>
    </w:p>
    <w:p w14:paraId="4DC61511" w14:textId="77777777" w:rsidR="00FE3B93" w:rsidRPr="0062742B" w:rsidRDefault="00FE3B93" w:rsidP="00FE3B93">
      <w:pPr>
        <w:spacing w:after="200"/>
        <w:ind w:firstLine="708"/>
        <w:jc w:val="both"/>
        <w:rPr>
          <w:rFonts w:ascii="Abadi" w:hAnsi="Abadi" w:cs="Calibri"/>
          <w:sz w:val="21"/>
          <w:szCs w:val="21"/>
        </w:rPr>
      </w:pPr>
      <w:r w:rsidRPr="0062742B">
        <w:rPr>
          <w:rFonts w:ascii="Abadi" w:hAnsi="Abadi" w:cs="Calibri"/>
          <w:sz w:val="21"/>
          <w:szCs w:val="21"/>
        </w:rPr>
        <w:t>En su conjunto, dichas políticas públicas tienen, entre otros objetivos, propiciar las condiciones que aseguren el disfrute de los derechos individuales y sociales; promover un desarrollo económico con sentido social que fomente el empleo y eleve el ingreso de las personas; impulsar el desarrollo social equilibrado; y garantizar la participación social en la formulación, ejecución, instrumentación, evaluación y control de los programas de desarrollo social.</w:t>
      </w:r>
    </w:p>
    <w:p w14:paraId="4322FBC7" w14:textId="77777777" w:rsidR="00FE3B93" w:rsidRPr="0062742B" w:rsidRDefault="00FE3B93" w:rsidP="00FE3B93">
      <w:pPr>
        <w:spacing w:after="200"/>
        <w:ind w:firstLine="708"/>
        <w:jc w:val="both"/>
        <w:rPr>
          <w:rFonts w:ascii="Abadi" w:hAnsi="Abadi" w:cs="Calibri"/>
          <w:sz w:val="21"/>
          <w:szCs w:val="21"/>
        </w:rPr>
      </w:pPr>
    </w:p>
    <w:p w14:paraId="3021C986" w14:textId="77777777" w:rsidR="00FE3B93" w:rsidRPr="00A36F36" w:rsidRDefault="00FE3B93" w:rsidP="00FE3B93">
      <w:pPr>
        <w:pStyle w:val="Textoindependiente"/>
        <w:ind w:firstLine="708"/>
        <w:rPr>
          <w:rFonts w:ascii="Abadi" w:hAnsi="Abadi" w:cs="Calibri"/>
          <w:b w:val="0"/>
          <w:bCs w:val="0"/>
          <w:sz w:val="21"/>
          <w:szCs w:val="21"/>
        </w:rPr>
      </w:pPr>
      <w:r w:rsidRPr="00A36F36">
        <w:rPr>
          <w:rFonts w:ascii="Abadi" w:hAnsi="Abadi"/>
          <w:b w:val="0"/>
          <w:bCs w:val="0"/>
          <w:iCs/>
          <w:sz w:val="21"/>
          <w:szCs w:val="21"/>
        </w:rPr>
        <w:t>Hecho el análisis correspondiente, atendiendo a la información proporcionada por la Auditoría Superior del Estado, para realizar una evaluación de las políticas públicas se requiere ampliar el alcance temporal y temático ya que uno de sus objetivos es analizar las partes de la estrategia pública, su alcance temporal abarca el lapso de la estrategia en revisión; además, una estrategia estatal puede partir de varios programas presupuestarios a cargo de más de una entidad responsable, lo que amplía el alcance institucional-programático de la evaluación, por lo que no se ciñe al análisis de una cuenta pública determinada, lo que im</w:t>
      </w:r>
      <w:r w:rsidRPr="00A36F36">
        <w:rPr>
          <w:rFonts w:ascii="Abadi" w:hAnsi="Abadi" w:cs="Calibri"/>
          <w:b w:val="0"/>
          <w:bCs w:val="0"/>
          <w:sz w:val="21"/>
          <w:szCs w:val="21"/>
        </w:rPr>
        <w:t xml:space="preserve">plica un proceso de trabajo previo, tanto en aspectos metodológicos, normativos y del sistema de gestión de calidad, a efecto de que el proyecto de evaluación tenga bases firmes, lo cual de acuerdo al plan estratégico institucional con visión al 2027 de la Auditoría Superior del Estado se encuentra en </w:t>
      </w:r>
      <w:r w:rsidRPr="00A36F36">
        <w:rPr>
          <w:rFonts w:ascii="Abadi" w:hAnsi="Abadi" w:cs="Calibri"/>
          <w:b w:val="0"/>
          <w:bCs w:val="0"/>
          <w:sz w:val="21"/>
          <w:szCs w:val="21"/>
        </w:rPr>
        <w:lastRenderedPageBreak/>
        <w:t>proceso y pretende concretarse en el presente ejercicio fiscal.</w:t>
      </w:r>
    </w:p>
    <w:p w14:paraId="1B3CF76B" w14:textId="77777777" w:rsidR="00FE3B93" w:rsidRPr="00A36F36" w:rsidRDefault="00FE3B93" w:rsidP="00FE3B93">
      <w:pPr>
        <w:pStyle w:val="Ttulo"/>
        <w:ind w:firstLine="708"/>
        <w:jc w:val="both"/>
        <w:rPr>
          <w:rFonts w:ascii="Abadi" w:eastAsia="Calibri" w:hAnsi="Abadi"/>
          <w:b w:val="0"/>
          <w:bCs w:val="0"/>
          <w:sz w:val="21"/>
          <w:szCs w:val="21"/>
        </w:rPr>
      </w:pPr>
      <w:r w:rsidRPr="00A36F36">
        <w:rPr>
          <w:rFonts w:ascii="Abadi" w:eastAsia="Calibri" w:hAnsi="Abadi"/>
          <w:b w:val="0"/>
          <w:bCs w:val="0"/>
          <w:sz w:val="21"/>
          <w:szCs w:val="21"/>
        </w:rPr>
        <w:t>Por otra parte, en el Programa General de Fiscalización 2022 se contemplan 272 actos de fiscalización, por lo que, de acuerdo a dicho Programa, así como al Programa Operativo Anual y la capacidad institucional instalada, la incorporación de actos de fiscalización adicionales a los ya programados, incidiría directamente en la cobertura, calidad y tiempos de la fiscalización, en detrimento del citado programa y de los actos de fiscalización previamente planificados.</w:t>
      </w:r>
    </w:p>
    <w:p w14:paraId="0CEC8044" w14:textId="77777777" w:rsidR="00FE3B93" w:rsidRPr="00A36F36" w:rsidRDefault="00FE3B93" w:rsidP="00FE3B93">
      <w:pPr>
        <w:pStyle w:val="Ttulo"/>
        <w:ind w:firstLine="708"/>
        <w:jc w:val="both"/>
        <w:rPr>
          <w:rFonts w:ascii="Abadi" w:eastAsia="Calibri" w:hAnsi="Abadi"/>
          <w:b w:val="0"/>
          <w:bCs w:val="0"/>
          <w:sz w:val="21"/>
          <w:szCs w:val="21"/>
        </w:rPr>
      </w:pPr>
    </w:p>
    <w:p w14:paraId="6801739D" w14:textId="77777777" w:rsidR="00FE3B93" w:rsidRPr="0062742B" w:rsidRDefault="00FE3B93" w:rsidP="00FE3B93">
      <w:pPr>
        <w:ind w:firstLine="720"/>
        <w:jc w:val="both"/>
        <w:rPr>
          <w:rFonts w:ascii="Abadi" w:hAnsi="Abadi" w:cs="Arial"/>
          <w:sz w:val="21"/>
          <w:szCs w:val="21"/>
        </w:rPr>
      </w:pPr>
      <w:r w:rsidRPr="0062742B">
        <w:rPr>
          <w:rFonts w:ascii="Abadi" w:eastAsia="Calibri" w:hAnsi="Abadi"/>
          <w:bCs/>
          <w:sz w:val="21"/>
          <w:szCs w:val="21"/>
        </w:rPr>
        <w:t>En razón a lo antes señalado y privilegiando la realización de los actos de fiscalización ya contemplados en el Programa General de Fiscalización de la Auditoría Superior del Estado para el presente ejercicio fiscal, mismo que consideró una planeación estratégica, así como al cumplimiento de dicho programa en tiempo y calidad de los actos programados, así como a la capacidad institucional instalada de dicho Órgano Técnico, determinamos no autorizar la realización de la auditoría propuesta, atendiendo además a que la Auditoría Superior del Estado actualmente está trabajando en la creación de un área especializada que se enfocará a la investigación, análisis y evaluación de políticas públicas, para lo cual se están analizando los aspectos metodológicos, normativos y del sistema de gestión de calidad, para que el proceso de evaluación de políticas públicas cuente con bases sólidas</w:t>
      </w:r>
      <w:r w:rsidRPr="0062742B">
        <w:rPr>
          <w:rFonts w:ascii="Abadi" w:hAnsi="Abadi" w:cs="Calibri"/>
          <w:sz w:val="21"/>
          <w:szCs w:val="21"/>
        </w:rPr>
        <w:t>, lo cual se pretende que opere a partir del ejercicio fiscal 2023.</w:t>
      </w:r>
    </w:p>
    <w:p w14:paraId="1ABD2FBF" w14:textId="77777777" w:rsidR="00FE3B93" w:rsidRPr="00A36F36" w:rsidRDefault="00FE3B93" w:rsidP="00FE3B93">
      <w:pPr>
        <w:pStyle w:val="Textoindependiente"/>
        <w:ind w:firstLine="708"/>
        <w:rPr>
          <w:rFonts w:ascii="Abadi" w:hAnsi="Abadi"/>
          <w:b w:val="0"/>
          <w:bCs w:val="0"/>
          <w:iCs/>
          <w:sz w:val="21"/>
          <w:szCs w:val="21"/>
        </w:rPr>
      </w:pPr>
      <w:r w:rsidRPr="00A36F36">
        <w:rPr>
          <w:rFonts w:ascii="Abadi" w:hAnsi="Abadi"/>
          <w:b w:val="0"/>
          <w:bCs w:val="0"/>
          <w:iCs/>
          <w:sz w:val="21"/>
          <w:szCs w:val="21"/>
        </w:rPr>
        <w:t xml:space="preserve">Por lo expuesto y con fundamento en el artículo 204 de </w:t>
      </w:r>
      <w:smartTag w:uri="urn:schemas-microsoft-com:office:smarttags" w:element="PersonName">
        <w:smartTagPr>
          <w:attr w:name="ProductID" w:val="la Ley Org￡nica"/>
        </w:smartTagPr>
        <w:r w:rsidRPr="00A36F36">
          <w:rPr>
            <w:rFonts w:ascii="Abadi" w:hAnsi="Abadi"/>
            <w:b w:val="0"/>
            <w:bCs w:val="0"/>
            <w:iCs/>
            <w:sz w:val="21"/>
            <w:szCs w:val="21"/>
          </w:rPr>
          <w:t>la Ley Orgánica</w:t>
        </w:r>
      </w:smartTag>
      <w:r w:rsidRPr="00A36F36">
        <w:rPr>
          <w:rFonts w:ascii="Abadi" w:hAnsi="Abadi"/>
          <w:b w:val="0"/>
          <w:bCs w:val="0"/>
          <w:iCs/>
          <w:sz w:val="21"/>
          <w:szCs w:val="21"/>
        </w:rPr>
        <w:t xml:space="preserve"> del Poder Legislativo del Estado, sometemos a la consideración de </w:t>
      </w:r>
      <w:smartTag w:uri="urn:schemas-microsoft-com:office:smarttags" w:element="PersonName">
        <w:smartTagPr>
          <w:attr w:name="ProductID" w:val="la Asamblea"/>
        </w:smartTagPr>
        <w:r w:rsidRPr="00A36F36">
          <w:rPr>
            <w:rFonts w:ascii="Abadi" w:hAnsi="Abadi"/>
            <w:b w:val="0"/>
            <w:bCs w:val="0"/>
            <w:iCs/>
            <w:sz w:val="21"/>
            <w:szCs w:val="21"/>
          </w:rPr>
          <w:t>la Asamblea</w:t>
        </w:r>
      </w:smartTag>
      <w:r w:rsidRPr="00A36F36">
        <w:rPr>
          <w:rFonts w:ascii="Abadi" w:hAnsi="Abadi"/>
          <w:b w:val="0"/>
          <w:bCs w:val="0"/>
          <w:iCs/>
          <w:sz w:val="21"/>
          <w:szCs w:val="21"/>
        </w:rPr>
        <w:t>, la aprobación del siguiente:</w:t>
      </w:r>
    </w:p>
    <w:p w14:paraId="66DD6077" w14:textId="77777777" w:rsidR="00FE3B93" w:rsidRPr="00A36F36" w:rsidRDefault="00FE3B93" w:rsidP="00FE3B93">
      <w:pPr>
        <w:pStyle w:val="Textoindependiente"/>
        <w:ind w:firstLine="708"/>
        <w:rPr>
          <w:rFonts w:ascii="Abadi" w:hAnsi="Abadi"/>
          <w:b w:val="0"/>
          <w:bCs w:val="0"/>
          <w:iCs/>
          <w:sz w:val="21"/>
          <w:szCs w:val="21"/>
        </w:rPr>
      </w:pPr>
    </w:p>
    <w:p w14:paraId="55CAAA44" w14:textId="77777777" w:rsidR="00FE3B93" w:rsidRPr="00A36F36" w:rsidRDefault="00FE3B93" w:rsidP="00FE3B93">
      <w:pPr>
        <w:pStyle w:val="Textoindependiente"/>
        <w:ind w:firstLine="708"/>
        <w:rPr>
          <w:rFonts w:ascii="Abadi" w:hAnsi="Abadi"/>
          <w:bCs w:val="0"/>
          <w:iCs/>
          <w:sz w:val="21"/>
          <w:szCs w:val="21"/>
        </w:rPr>
      </w:pPr>
    </w:p>
    <w:p w14:paraId="5AF2E844" w14:textId="24EA55D5" w:rsidR="00FE3B93" w:rsidRDefault="00FE3B93" w:rsidP="00FE3B93">
      <w:pPr>
        <w:pStyle w:val="Textoindependiente"/>
        <w:jc w:val="center"/>
        <w:rPr>
          <w:rFonts w:ascii="Abadi" w:hAnsi="Abadi"/>
          <w:bCs w:val="0"/>
          <w:iCs/>
          <w:sz w:val="21"/>
          <w:szCs w:val="21"/>
        </w:rPr>
      </w:pPr>
      <w:r w:rsidRPr="00A36F36">
        <w:rPr>
          <w:rFonts w:ascii="Abadi" w:hAnsi="Abadi"/>
          <w:bCs w:val="0"/>
          <w:iCs/>
          <w:sz w:val="21"/>
          <w:szCs w:val="21"/>
        </w:rPr>
        <w:t>A c u e r d o</w:t>
      </w:r>
    </w:p>
    <w:p w14:paraId="4CEB8A7E" w14:textId="77777777" w:rsidR="00A36F36" w:rsidRPr="00A36F36" w:rsidRDefault="00A36F36" w:rsidP="00FE3B93">
      <w:pPr>
        <w:pStyle w:val="Textoindependiente"/>
        <w:jc w:val="center"/>
        <w:rPr>
          <w:rFonts w:ascii="Abadi" w:hAnsi="Abadi"/>
          <w:bCs w:val="0"/>
          <w:iCs/>
          <w:sz w:val="21"/>
          <w:szCs w:val="21"/>
        </w:rPr>
      </w:pPr>
    </w:p>
    <w:p w14:paraId="33C55252" w14:textId="77777777" w:rsidR="00FE3B93" w:rsidRPr="0062742B" w:rsidRDefault="00FE3B93" w:rsidP="00FE3B93">
      <w:pPr>
        <w:ind w:firstLine="708"/>
        <w:jc w:val="both"/>
        <w:rPr>
          <w:rFonts w:ascii="Abadi" w:hAnsi="Abadi" w:cs="Arial"/>
          <w:sz w:val="21"/>
          <w:szCs w:val="21"/>
        </w:rPr>
      </w:pPr>
      <w:r w:rsidRPr="0062742B">
        <w:rPr>
          <w:rFonts w:ascii="Abadi" w:hAnsi="Abadi" w:cs="Arial"/>
          <w:b/>
          <w:iCs/>
          <w:sz w:val="21"/>
          <w:szCs w:val="21"/>
        </w:rPr>
        <w:t>Único.</w:t>
      </w:r>
      <w:r w:rsidRPr="0062742B">
        <w:rPr>
          <w:rFonts w:ascii="Abadi" w:hAnsi="Abadi" w:cs="Arial"/>
          <w:b/>
          <w:sz w:val="21"/>
          <w:szCs w:val="21"/>
        </w:rPr>
        <w:t xml:space="preserve"> </w:t>
      </w:r>
      <w:r w:rsidRPr="0062742B">
        <w:rPr>
          <w:rFonts w:ascii="Abadi" w:hAnsi="Abadi" w:cs="Arial"/>
          <w:sz w:val="21"/>
          <w:szCs w:val="21"/>
        </w:rPr>
        <w:t xml:space="preserve">Se determina improcedente la propuesta </w:t>
      </w:r>
      <w:r w:rsidRPr="0062742B">
        <w:rPr>
          <w:rFonts w:ascii="Abadi" w:hAnsi="Abadi"/>
          <w:sz w:val="21"/>
          <w:szCs w:val="21"/>
        </w:rPr>
        <w:t xml:space="preserve">de punto de acuerdo </w:t>
      </w:r>
      <w:r w:rsidRPr="0062742B">
        <w:rPr>
          <w:rFonts w:ascii="Abadi" w:eastAsia="Batang" w:hAnsi="Abadi" w:cs="Arial"/>
          <w:sz w:val="21"/>
          <w:szCs w:val="21"/>
        </w:rPr>
        <w:t xml:space="preserve">formulada </w:t>
      </w:r>
      <w:r w:rsidRPr="0062742B">
        <w:rPr>
          <w:rFonts w:ascii="Abadi" w:hAnsi="Abadi"/>
          <w:sz w:val="21"/>
          <w:szCs w:val="21"/>
          <w:lang w:val="es-ES_tradnl"/>
        </w:rPr>
        <w:t xml:space="preserve">por la diputada María Magdalena Rosales Cruz y los diputados Enrique Alba Martínez y Raúl Humberto Márquez Albo, integrantes del Grupo Parlamentario del Partido MORENA ante la Sexagésima Cuarta Legislatura, a efecto de exhortar al titular de la Auditoría Superior del Estado de Guanajuato, el ciudadano Javier Pérez Salazar, para que lleve a cabo una auditoría específica de desempeño que evalúe las políticas </w:t>
      </w:r>
      <w:r w:rsidRPr="0062742B">
        <w:rPr>
          <w:rFonts w:ascii="Abadi" w:hAnsi="Abadi"/>
          <w:sz w:val="21"/>
          <w:szCs w:val="21"/>
          <w:lang w:val="es-ES_tradnl"/>
        </w:rPr>
        <w:t>públicas de desarrollo social y humano llevadas a cabo por el Gobierno del Estado. Por lo tanto, se ordena su archivo definitivo</w:t>
      </w:r>
      <w:r w:rsidRPr="0062742B">
        <w:rPr>
          <w:rFonts w:ascii="Abadi" w:hAnsi="Abadi" w:cs="Arial"/>
          <w:sz w:val="21"/>
          <w:szCs w:val="21"/>
        </w:rPr>
        <w:t xml:space="preserve">. </w:t>
      </w:r>
    </w:p>
    <w:p w14:paraId="33F3D08F" w14:textId="032CF3DF" w:rsidR="00FE3B93" w:rsidRDefault="00FE3B93" w:rsidP="00FE3B93">
      <w:pPr>
        <w:ind w:firstLine="708"/>
        <w:jc w:val="both"/>
        <w:rPr>
          <w:rFonts w:ascii="Abadi" w:hAnsi="Abadi" w:cs="Arial"/>
          <w:sz w:val="21"/>
          <w:szCs w:val="21"/>
        </w:rPr>
      </w:pPr>
      <w:r w:rsidRPr="0062742B">
        <w:rPr>
          <w:rFonts w:ascii="Abadi" w:hAnsi="Abadi" w:cs="Arial"/>
          <w:sz w:val="21"/>
          <w:szCs w:val="21"/>
        </w:rPr>
        <w:t>Comuníquese el presente acuerdo al Secretario General del Congreso de Estado, para los efectos conducentes.</w:t>
      </w:r>
    </w:p>
    <w:p w14:paraId="6E945B4B" w14:textId="77777777" w:rsidR="00A36F36" w:rsidRPr="0062742B" w:rsidRDefault="00A36F36" w:rsidP="00FE3B93">
      <w:pPr>
        <w:ind w:firstLine="708"/>
        <w:jc w:val="both"/>
        <w:rPr>
          <w:rFonts w:ascii="Abadi" w:hAnsi="Abadi"/>
          <w:b/>
          <w:bCs/>
          <w:sz w:val="21"/>
          <w:szCs w:val="21"/>
          <w:lang w:eastAsia="x-none"/>
        </w:rPr>
      </w:pPr>
    </w:p>
    <w:p w14:paraId="2B94BD57" w14:textId="77777777" w:rsidR="00FE3B93" w:rsidRPr="0062742B" w:rsidRDefault="00FE3B93" w:rsidP="00FE3B93">
      <w:pPr>
        <w:jc w:val="center"/>
        <w:rPr>
          <w:rFonts w:ascii="Abadi" w:hAnsi="Abadi"/>
          <w:b/>
          <w:bCs/>
          <w:sz w:val="21"/>
          <w:szCs w:val="21"/>
          <w:lang w:eastAsia="x-none"/>
        </w:rPr>
      </w:pPr>
      <w:r w:rsidRPr="0062742B">
        <w:rPr>
          <w:rFonts w:ascii="Abadi" w:hAnsi="Abadi"/>
          <w:b/>
          <w:bCs/>
          <w:sz w:val="21"/>
          <w:szCs w:val="21"/>
          <w:lang w:eastAsia="x-none"/>
        </w:rPr>
        <w:t>Guanajuato, Gto., 16 de junio de 2022</w:t>
      </w:r>
    </w:p>
    <w:p w14:paraId="04307FB6" w14:textId="77777777" w:rsidR="00FE3B93" w:rsidRPr="0062742B" w:rsidRDefault="00FE3B93" w:rsidP="00FE3B93">
      <w:pPr>
        <w:jc w:val="center"/>
        <w:rPr>
          <w:rFonts w:ascii="Abadi" w:hAnsi="Abadi"/>
          <w:b/>
          <w:bCs/>
          <w:sz w:val="21"/>
          <w:szCs w:val="21"/>
          <w:lang w:eastAsia="x-none"/>
        </w:rPr>
      </w:pPr>
      <w:smartTag w:uri="urn:schemas-microsoft-com:office:smarttags" w:element="PersonName">
        <w:smartTagPr>
          <w:attr w:name="ProductID" w:val="La Comisi￳n"/>
        </w:smartTagPr>
        <w:r w:rsidRPr="0062742B">
          <w:rPr>
            <w:rFonts w:ascii="Abadi" w:hAnsi="Abadi"/>
            <w:b/>
            <w:bCs/>
            <w:sz w:val="21"/>
            <w:szCs w:val="21"/>
            <w:lang w:eastAsia="x-none"/>
          </w:rPr>
          <w:t>La Comisión</w:t>
        </w:r>
      </w:smartTag>
      <w:r w:rsidRPr="0062742B">
        <w:rPr>
          <w:rFonts w:ascii="Abadi" w:hAnsi="Abadi"/>
          <w:b/>
          <w:bCs/>
          <w:sz w:val="21"/>
          <w:szCs w:val="21"/>
          <w:lang w:eastAsia="x-none"/>
        </w:rPr>
        <w:t xml:space="preserve"> de Hacienda y Fiscalización</w:t>
      </w:r>
    </w:p>
    <w:p w14:paraId="53A01912" w14:textId="77777777" w:rsidR="00FE3B93" w:rsidRPr="0062742B" w:rsidRDefault="00FE3B93" w:rsidP="00FE3B93">
      <w:pPr>
        <w:jc w:val="center"/>
        <w:rPr>
          <w:rFonts w:ascii="Abadi" w:hAnsi="Abadi"/>
          <w:sz w:val="21"/>
          <w:szCs w:val="21"/>
        </w:rPr>
      </w:pPr>
    </w:p>
    <w:p w14:paraId="4221C75B" w14:textId="77777777" w:rsidR="00FE3B93" w:rsidRPr="0062742B" w:rsidRDefault="00FE3B93" w:rsidP="00FE3B93">
      <w:pPr>
        <w:jc w:val="center"/>
        <w:rPr>
          <w:rFonts w:ascii="Abadi" w:hAnsi="Abadi"/>
          <w:b/>
          <w:bCs/>
          <w:sz w:val="21"/>
          <w:szCs w:val="21"/>
        </w:rPr>
      </w:pPr>
    </w:p>
    <w:p w14:paraId="24E9D10A" w14:textId="77777777" w:rsidR="00FE3B93" w:rsidRPr="0062742B" w:rsidRDefault="00FE3B93" w:rsidP="00FE3B93">
      <w:pPr>
        <w:rPr>
          <w:rFonts w:ascii="Abadi" w:hAnsi="Abadi"/>
          <w:b/>
          <w:bCs/>
          <w:sz w:val="21"/>
          <w:szCs w:val="21"/>
        </w:rPr>
      </w:pPr>
      <w:r w:rsidRPr="0062742B">
        <w:rPr>
          <w:rFonts w:ascii="Abadi" w:hAnsi="Abadi"/>
          <w:b/>
          <w:bCs/>
          <w:sz w:val="21"/>
          <w:szCs w:val="21"/>
        </w:rPr>
        <w:t>Diputado Víctor Manuel Zanella Huerta</w:t>
      </w:r>
    </w:p>
    <w:p w14:paraId="39054473" w14:textId="77777777" w:rsidR="00FE3B93" w:rsidRPr="0062742B" w:rsidRDefault="00FE3B93" w:rsidP="00FE3B93">
      <w:pPr>
        <w:rPr>
          <w:rFonts w:ascii="Abadi" w:hAnsi="Abadi"/>
          <w:b/>
          <w:bCs/>
          <w:sz w:val="21"/>
          <w:szCs w:val="21"/>
        </w:rPr>
      </w:pPr>
      <w:r w:rsidRPr="0062742B">
        <w:rPr>
          <w:rFonts w:ascii="Abadi" w:hAnsi="Abadi"/>
          <w:b/>
          <w:bCs/>
          <w:sz w:val="21"/>
          <w:szCs w:val="21"/>
        </w:rPr>
        <w:t>Diputada Ruth Noemí Tiscareño Agoitia</w:t>
      </w:r>
    </w:p>
    <w:p w14:paraId="1A1FC520" w14:textId="77777777" w:rsidR="00FE3B93" w:rsidRPr="0062742B" w:rsidRDefault="00FE3B93" w:rsidP="00FE3B93">
      <w:pPr>
        <w:rPr>
          <w:rFonts w:ascii="Abadi" w:hAnsi="Abadi"/>
          <w:b/>
          <w:bCs/>
          <w:sz w:val="21"/>
          <w:szCs w:val="21"/>
        </w:rPr>
      </w:pPr>
      <w:r w:rsidRPr="0062742B">
        <w:rPr>
          <w:rFonts w:ascii="Abadi" w:hAnsi="Abadi"/>
          <w:b/>
          <w:bCs/>
          <w:sz w:val="21"/>
          <w:szCs w:val="21"/>
        </w:rPr>
        <w:t>Diputado Miguel Ángel Salim Alle</w:t>
      </w:r>
    </w:p>
    <w:p w14:paraId="4FDA0BD4" w14:textId="77777777" w:rsidR="00FE3B93" w:rsidRPr="0062742B" w:rsidRDefault="00FE3B93" w:rsidP="00FE3B93">
      <w:pPr>
        <w:rPr>
          <w:rFonts w:ascii="Abadi" w:hAnsi="Abadi"/>
          <w:b/>
          <w:bCs/>
          <w:sz w:val="21"/>
          <w:szCs w:val="21"/>
        </w:rPr>
      </w:pPr>
      <w:r w:rsidRPr="0062742B">
        <w:rPr>
          <w:rFonts w:ascii="Abadi" w:hAnsi="Abadi"/>
          <w:b/>
          <w:bCs/>
          <w:sz w:val="21"/>
          <w:szCs w:val="21"/>
        </w:rPr>
        <w:t>Diputado José Alfonso Bora Pimentel</w:t>
      </w:r>
    </w:p>
    <w:p w14:paraId="7B04AE7C" w14:textId="77777777" w:rsidR="00FE3B93" w:rsidRPr="0062742B" w:rsidRDefault="00FE3B93" w:rsidP="00FE3B93">
      <w:pPr>
        <w:rPr>
          <w:rFonts w:ascii="Abadi" w:hAnsi="Abadi"/>
          <w:b/>
          <w:bCs/>
          <w:sz w:val="21"/>
          <w:szCs w:val="21"/>
          <w:lang w:eastAsia="en-US"/>
        </w:rPr>
      </w:pPr>
      <w:r w:rsidRPr="0062742B">
        <w:rPr>
          <w:rFonts w:ascii="Abadi" w:hAnsi="Abadi"/>
          <w:b/>
          <w:bCs/>
          <w:sz w:val="21"/>
          <w:szCs w:val="21"/>
        </w:rPr>
        <w:t xml:space="preserve">Diputada Alma Edwviges Alcaraz </w:t>
      </w:r>
      <w:bookmarkEnd w:id="18"/>
      <w:r w:rsidRPr="0062742B">
        <w:rPr>
          <w:rFonts w:ascii="Abadi" w:hAnsi="Abadi"/>
          <w:b/>
          <w:bCs/>
          <w:sz w:val="21"/>
          <w:szCs w:val="21"/>
        </w:rPr>
        <w:t>Hernández</w:t>
      </w:r>
    </w:p>
    <w:p w14:paraId="11F6EC7B" w14:textId="77777777" w:rsidR="00E90C7E" w:rsidRDefault="00E90C7E" w:rsidP="00973CFC">
      <w:pPr>
        <w:rPr>
          <w:rFonts w:ascii="Abadi" w:hAnsi="Abadi"/>
          <w:b/>
          <w:bCs/>
          <w:sz w:val="20"/>
          <w:szCs w:val="20"/>
        </w:rPr>
      </w:pPr>
    </w:p>
    <w:p w14:paraId="4E29760A" w14:textId="01046B4F" w:rsidR="00973CFC" w:rsidRDefault="00973CFC" w:rsidP="00973CFC">
      <w:pPr>
        <w:rPr>
          <w:rFonts w:ascii="Abadi" w:hAnsi="Abadi"/>
          <w:sz w:val="20"/>
          <w:szCs w:val="20"/>
        </w:rPr>
      </w:pPr>
    </w:p>
    <w:p w14:paraId="21957218" w14:textId="77777777" w:rsidR="00FE3B93" w:rsidRPr="00973CFC" w:rsidRDefault="00FE3B93" w:rsidP="00973CFC">
      <w:pPr>
        <w:rPr>
          <w:rFonts w:ascii="Abadi" w:hAnsi="Abadi"/>
          <w:sz w:val="20"/>
          <w:szCs w:val="20"/>
        </w:rPr>
      </w:pPr>
    </w:p>
    <w:p w14:paraId="159B8A1B" w14:textId="77777777" w:rsidR="00973CFC" w:rsidRPr="00973CFC" w:rsidRDefault="00973CFC" w:rsidP="00973CFC">
      <w:pPr>
        <w:rPr>
          <w:rFonts w:ascii="Abadi" w:hAnsi="Abadi"/>
          <w:b/>
          <w:bCs/>
          <w:sz w:val="20"/>
          <w:szCs w:val="20"/>
        </w:rPr>
      </w:pPr>
    </w:p>
    <w:p w14:paraId="50ED5B64" w14:textId="09188C9E" w:rsidR="004879C6" w:rsidRDefault="004879C6"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9"/>
          <w:sz w:val="20"/>
          <w:szCs w:val="20"/>
        </w:rPr>
        <w:t xml:space="preserve"> </w:t>
      </w:r>
      <w:r w:rsidRPr="00531B12">
        <w:rPr>
          <w:rFonts w:ascii="Abadi" w:hAnsi="Abadi"/>
          <w:b/>
          <w:bCs/>
          <w:sz w:val="20"/>
          <w:szCs w:val="20"/>
        </w:rPr>
        <w:t>Y,</w:t>
      </w:r>
      <w:r w:rsidRPr="00531B12">
        <w:rPr>
          <w:rFonts w:ascii="Abadi" w:hAnsi="Abadi"/>
          <w:b/>
          <w:bCs/>
          <w:spacing w:val="9"/>
          <w:sz w:val="20"/>
          <w:szCs w:val="20"/>
        </w:rPr>
        <w:t xml:space="preserve"> </w:t>
      </w:r>
      <w:r w:rsidRPr="00531B12">
        <w:rPr>
          <w:rFonts w:ascii="Abadi" w:hAnsi="Abadi"/>
          <w:b/>
          <w:bCs/>
          <w:sz w:val="20"/>
          <w:szCs w:val="20"/>
        </w:rPr>
        <w:t>EN</w:t>
      </w:r>
      <w:r w:rsidRPr="00531B12">
        <w:rPr>
          <w:rFonts w:ascii="Abadi" w:hAnsi="Abadi"/>
          <w:b/>
          <w:bCs/>
          <w:spacing w:val="9"/>
          <w:sz w:val="20"/>
          <w:szCs w:val="20"/>
        </w:rPr>
        <w:t xml:space="preserve"> </w:t>
      </w:r>
      <w:r w:rsidRPr="00531B12">
        <w:rPr>
          <w:rFonts w:ascii="Abadi" w:hAnsi="Abadi"/>
          <w:b/>
          <w:bCs/>
          <w:sz w:val="20"/>
          <w:szCs w:val="20"/>
        </w:rPr>
        <w:t>SU</w:t>
      </w:r>
      <w:r w:rsidRPr="00531B12">
        <w:rPr>
          <w:rFonts w:ascii="Abadi" w:hAnsi="Abadi"/>
          <w:b/>
          <w:bCs/>
          <w:spacing w:val="9"/>
          <w:sz w:val="20"/>
          <w:szCs w:val="20"/>
        </w:rPr>
        <w:t xml:space="preserve"> </w:t>
      </w:r>
      <w:r w:rsidRPr="00531B12">
        <w:rPr>
          <w:rFonts w:ascii="Abadi" w:hAnsi="Abadi"/>
          <w:b/>
          <w:bCs/>
          <w:sz w:val="20"/>
          <w:szCs w:val="20"/>
        </w:rPr>
        <w:t>CASO,</w:t>
      </w:r>
      <w:r w:rsidRPr="00531B12">
        <w:rPr>
          <w:rFonts w:ascii="Abadi" w:hAnsi="Abadi"/>
          <w:b/>
          <w:bCs/>
          <w:spacing w:val="9"/>
          <w:sz w:val="20"/>
          <w:szCs w:val="20"/>
        </w:rPr>
        <w:t xml:space="preserve"> </w:t>
      </w:r>
      <w:r w:rsidRPr="00531B12">
        <w:rPr>
          <w:rFonts w:ascii="Abadi" w:hAnsi="Abadi"/>
          <w:b/>
          <w:bCs/>
          <w:sz w:val="20"/>
          <w:szCs w:val="20"/>
        </w:rPr>
        <w:t>APROBACIÓN</w:t>
      </w:r>
      <w:r w:rsidRPr="00531B12">
        <w:rPr>
          <w:rFonts w:ascii="Abadi" w:hAnsi="Abadi"/>
          <w:b/>
          <w:bCs/>
          <w:spacing w:val="9"/>
          <w:sz w:val="20"/>
          <w:szCs w:val="20"/>
        </w:rPr>
        <w:t xml:space="preserve"> </w:t>
      </w:r>
      <w:r w:rsidRPr="00531B12">
        <w:rPr>
          <w:rFonts w:ascii="Abadi" w:hAnsi="Abadi"/>
          <w:b/>
          <w:bCs/>
          <w:sz w:val="20"/>
          <w:szCs w:val="20"/>
        </w:rPr>
        <w:t>DEL</w:t>
      </w:r>
      <w:r w:rsidRPr="00531B12">
        <w:rPr>
          <w:rFonts w:ascii="Abadi" w:hAnsi="Abadi"/>
          <w:b/>
          <w:bCs/>
          <w:spacing w:val="9"/>
          <w:sz w:val="20"/>
          <w:szCs w:val="20"/>
        </w:rPr>
        <w:t xml:space="preserve"> </w:t>
      </w:r>
      <w:r w:rsidRPr="00531B12">
        <w:rPr>
          <w:rFonts w:ascii="Abadi" w:hAnsi="Abadi"/>
          <w:b/>
          <w:bCs/>
          <w:sz w:val="20"/>
          <w:szCs w:val="20"/>
        </w:rPr>
        <w:t>DICTAMEN</w:t>
      </w:r>
      <w:r w:rsidRPr="00531B12">
        <w:rPr>
          <w:rFonts w:ascii="Abadi" w:hAnsi="Abadi"/>
          <w:b/>
          <w:bCs/>
          <w:spacing w:val="9"/>
          <w:sz w:val="20"/>
          <w:szCs w:val="20"/>
        </w:rPr>
        <w:t xml:space="preserve"> </w:t>
      </w:r>
      <w:r w:rsidRPr="00531B12">
        <w:rPr>
          <w:rFonts w:ascii="Abadi" w:hAnsi="Abadi"/>
          <w:b/>
          <w:bCs/>
          <w:sz w:val="20"/>
          <w:szCs w:val="20"/>
        </w:rPr>
        <w:t>SIGNADO</w:t>
      </w:r>
      <w:r w:rsidRPr="00531B12">
        <w:rPr>
          <w:rFonts w:ascii="Abadi" w:hAnsi="Abadi"/>
          <w:b/>
          <w:bCs/>
          <w:spacing w:val="9"/>
          <w:sz w:val="20"/>
          <w:szCs w:val="20"/>
        </w:rPr>
        <w:t xml:space="preserve"> </w:t>
      </w:r>
      <w:r w:rsidRPr="00531B12">
        <w:rPr>
          <w:rFonts w:ascii="Abadi" w:hAnsi="Abadi"/>
          <w:b/>
          <w:bCs/>
          <w:sz w:val="20"/>
          <w:szCs w:val="20"/>
        </w:rPr>
        <w:t>POR</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9"/>
          <w:sz w:val="20"/>
          <w:szCs w:val="20"/>
        </w:rPr>
        <w:t xml:space="preserve"> </w:t>
      </w:r>
      <w:r w:rsidRPr="00531B12">
        <w:rPr>
          <w:rFonts w:ascii="Abadi" w:hAnsi="Abadi"/>
          <w:b/>
          <w:bCs/>
          <w:sz w:val="20"/>
          <w:szCs w:val="20"/>
        </w:rPr>
        <w:t>COMISIÓN</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33"/>
          <w:sz w:val="20"/>
          <w:szCs w:val="20"/>
        </w:rPr>
        <w:t xml:space="preserve"> </w:t>
      </w:r>
      <w:r w:rsidRPr="00531B12">
        <w:rPr>
          <w:rFonts w:ascii="Abadi" w:hAnsi="Abadi"/>
          <w:b/>
          <w:bCs/>
          <w:sz w:val="20"/>
          <w:szCs w:val="20"/>
        </w:rPr>
        <w:t>HACIENDA</w:t>
      </w:r>
      <w:r w:rsidRPr="00531B12">
        <w:rPr>
          <w:rFonts w:ascii="Abadi" w:hAnsi="Abadi"/>
          <w:b/>
          <w:bCs/>
          <w:spacing w:val="33"/>
          <w:sz w:val="20"/>
          <w:szCs w:val="20"/>
        </w:rPr>
        <w:t xml:space="preserve"> </w:t>
      </w:r>
      <w:r w:rsidRPr="00531B12">
        <w:rPr>
          <w:rFonts w:ascii="Abadi" w:hAnsi="Abadi"/>
          <w:b/>
          <w:bCs/>
          <w:sz w:val="20"/>
          <w:szCs w:val="20"/>
        </w:rPr>
        <w:t>Y</w:t>
      </w:r>
      <w:r w:rsidRPr="00531B12">
        <w:rPr>
          <w:rFonts w:ascii="Abadi" w:hAnsi="Abadi"/>
          <w:b/>
          <w:bCs/>
          <w:spacing w:val="33"/>
          <w:sz w:val="20"/>
          <w:szCs w:val="20"/>
        </w:rPr>
        <w:t xml:space="preserve"> </w:t>
      </w:r>
      <w:r w:rsidRPr="00531B12">
        <w:rPr>
          <w:rFonts w:ascii="Abadi" w:hAnsi="Abadi"/>
          <w:b/>
          <w:bCs/>
          <w:sz w:val="20"/>
          <w:szCs w:val="20"/>
        </w:rPr>
        <w:t>FISCALIZACIÓN</w:t>
      </w:r>
      <w:r w:rsidRPr="00531B12">
        <w:rPr>
          <w:rFonts w:ascii="Abadi" w:hAnsi="Abadi"/>
          <w:b/>
          <w:bCs/>
          <w:spacing w:val="32"/>
          <w:sz w:val="20"/>
          <w:szCs w:val="20"/>
        </w:rPr>
        <w:t xml:space="preserve"> </w:t>
      </w:r>
      <w:r w:rsidRPr="00531B12">
        <w:rPr>
          <w:rFonts w:ascii="Abadi" w:hAnsi="Abadi"/>
          <w:b/>
          <w:bCs/>
          <w:sz w:val="20"/>
          <w:szCs w:val="20"/>
        </w:rPr>
        <w:t>RELATIVO</w:t>
      </w:r>
      <w:r w:rsidRPr="00531B12">
        <w:rPr>
          <w:rFonts w:ascii="Abadi" w:hAnsi="Abadi"/>
          <w:b/>
          <w:bCs/>
          <w:spacing w:val="33"/>
          <w:sz w:val="20"/>
          <w:szCs w:val="20"/>
        </w:rPr>
        <w:t xml:space="preserve"> </w:t>
      </w:r>
      <w:r w:rsidRPr="00531B12">
        <w:rPr>
          <w:rFonts w:ascii="Abadi" w:hAnsi="Abadi"/>
          <w:b/>
          <w:bCs/>
          <w:sz w:val="20"/>
          <w:szCs w:val="20"/>
        </w:rPr>
        <w:t>A</w:t>
      </w:r>
      <w:r w:rsidRPr="00531B12">
        <w:rPr>
          <w:rFonts w:ascii="Abadi" w:hAnsi="Abadi"/>
          <w:b/>
          <w:bCs/>
          <w:spacing w:val="32"/>
          <w:sz w:val="20"/>
          <w:szCs w:val="20"/>
        </w:rPr>
        <w:t xml:space="preserve"> </w:t>
      </w:r>
      <w:r w:rsidRPr="00531B12">
        <w:rPr>
          <w:rFonts w:ascii="Abadi" w:hAnsi="Abadi"/>
          <w:b/>
          <w:bCs/>
          <w:sz w:val="20"/>
          <w:szCs w:val="20"/>
        </w:rPr>
        <w:t>LA</w:t>
      </w:r>
      <w:r w:rsidRPr="00531B12">
        <w:rPr>
          <w:rFonts w:ascii="Abadi" w:hAnsi="Abadi"/>
          <w:b/>
          <w:bCs/>
          <w:spacing w:val="33"/>
          <w:sz w:val="20"/>
          <w:szCs w:val="20"/>
        </w:rPr>
        <w:t xml:space="preserve"> </w:t>
      </w:r>
      <w:r w:rsidRPr="00531B12">
        <w:rPr>
          <w:rFonts w:ascii="Abadi" w:hAnsi="Abadi"/>
          <w:b/>
          <w:bCs/>
          <w:sz w:val="20"/>
          <w:szCs w:val="20"/>
        </w:rPr>
        <w:t>PROPUESTA</w:t>
      </w:r>
      <w:r w:rsidRPr="00531B12">
        <w:rPr>
          <w:rFonts w:ascii="Abadi" w:hAnsi="Abadi"/>
          <w:b/>
          <w:bCs/>
          <w:spacing w:val="32"/>
          <w:sz w:val="20"/>
          <w:szCs w:val="20"/>
        </w:rPr>
        <w:t xml:space="preserve"> </w:t>
      </w:r>
      <w:r w:rsidRPr="00531B12">
        <w:rPr>
          <w:rFonts w:ascii="Abadi" w:hAnsi="Abadi"/>
          <w:b/>
          <w:bCs/>
          <w:sz w:val="20"/>
          <w:szCs w:val="20"/>
        </w:rPr>
        <w:t>DE</w:t>
      </w:r>
      <w:r w:rsidRPr="00531B12">
        <w:rPr>
          <w:rFonts w:ascii="Abadi" w:hAnsi="Abadi"/>
          <w:b/>
          <w:bCs/>
          <w:spacing w:val="32"/>
          <w:sz w:val="20"/>
          <w:szCs w:val="20"/>
        </w:rPr>
        <w:t xml:space="preserve"> </w:t>
      </w:r>
      <w:r w:rsidRPr="00531B12">
        <w:rPr>
          <w:rFonts w:ascii="Abadi" w:hAnsi="Abadi"/>
          <w:b/>
          <w:bCs/>
          <w:sz w:val="20"/>
          <w:szCs w:val="20"/>
        </w:rPr>
        <w:t>PUNTO</w:t>
      </w:r>
      <w:r w:rsidRPr="00531B12">
        <w:rPr>
          <w:rFonts w:ascii="Abadi" w:hAnsi="Abadi"/>
          <w:b/>
          <w:bCs/>
          <w:spacing w:val="32"/>
          <w:sz w:val="20"/>
          <w:szCs w:val="20"/>
        </w:rPr>
        <w:t xml:space="preserve"> </w:t>
      </w:r>
      <w:r w:rsidRPr="00531B12">
        <w:rPr>
          <w:rFonts w:ascii="Abadi" w:hAnsi="Abadi"/>
          <w:b/>
          <w:bCs/>
          <w:sz w:val="20"/>
          <w:szCs w:val="20"/>
        </w:rPr>
        <w:t>DE</w:t>
      </w:r>
      <w:r w:rsidRPr="00531B12">
        <w:rPr>
          <w:rFonts w:ascii="Abadi" w:hAnsi="Abadi"/>
          <w:b/>
          <w:bCs/>
          <w:spacing w:val="32"/>
          <w:sz w:val="20"/>
          <w:szCs w:val="20"/>
        </w:rPr>
        <w:t xml:space="preserve"> </w:t>
      </w:r>
      <w:r w:rsidRPr="00531B12">
        <w:rPr>
          <w:rFonts w:ascii="Abadi" w:hAnsi="Abadi"/>
          <w:b/>
          <w:bCs/>
          <w:sz w:val="20"/>
          <w:szCs w:val="20"/>
        </w:rPr>
        <w:t>ACUERDO</w:t>
      </w:r>
      <w:r w:rsidRPr="00531B12">
        <w:rPr>
          <w:rFonts w:ascii="Abadi" w:hAnsi="Abadi"/>
          <w:b/>
          <w:bCs/>
          <w:spacing w:val="-2"/>
          <w:sz w:val="20"/>
          <w:szCs w:val="20"/>
        </w:rPr>
        <w:t xml:space="preserve"> </w:t>
      </w:r>
      <w:r w:rsidRPr="00531B12">
        <w:rPr>
          <w:rFonts w:ascii="Abadi" w:hAnsi="Abadi"/>
          <w:b/>
          <w:bCs/>
          <w:sz w:val="20"/>
          <w:szCs w:val="20"/>
        </w:rPr>
        <w:t>FORMULADA</w:t>
      </w:r>
      <w:r w:rsidRPr="00531B12">
        <w:rPr>
          <w:rFonts w:ascii="Abadi" w:hAnsi="Abadi"/>
          <w:b/>
          <w:bCs/>
          <w:spacing w:val="6"/>
          <w:sz w:val="20"/>
          <w:szCs w:val="20"/>
        </w:rPr>
        <w:t xml:space="preserve"> </w:t>
      </w:r>
      <w:r w:rsidRPr="00531B12">
        <w:rPr>
          <w:rFonts w:ascii="Abadi" w:hAnsi="Abadi"/>
          <w:b/>
          <w:bCs/>
          <w:sz w:val="20"/>
          <w:szCs w:val="20"/>
        </w:rPr>
        <w:t>POR</w:t>
      </w:r>
      <w:r w:rsidRPr="00531B12">
        <w:rPr>
          <w:rFonts w:ascii="Abadi" w:hAnsi="Abadi"/>
          <w:b/>
          <w:bCs/>
          <w:spacing w:val="6"/>
          <w:sz w:val="20"/>
          <w:szCs w:val="20"/>
        </w:rPr>
        <w:t xml:space="preserve"> </w:t>
      </w:r>
      <w:r w:rsidRPr="00531B12">
        <w:rPr>
          <w:rFonts w:ascii="Abadi" w:hAnsi="Abadi"/>
          <w:b/>
          <w:bCs/>
          <w:sz w:val="20"/>
          <w:szCs w:val="20"/>
        </w:rPr>
        <w:t>EL</w:t>
      </w:r>
      <w:r w:rsidRPr="00531B12">
        <w:rPr>
          <w:rFonts w:ascii="Abadi" w:hAnsi="Abadi"/>
          <w:b/>
          <w:bCs/>
          <w:spacing w:val="6"/>
          <w:sz w:val="20"/>
          <w:szCs w:val="20"/>
        </w:rPr>
        <w:t xml:space="preserve"> </w:t>
      </w:r>
      <w:r w:rsidRPr="00531B12">
        <w:rPr>
          <w:rFonts w:ascii="Abadi" w:hAnsi="Abadi"/>
          <w:b/>
          <w:bCs/>
          <w:sz w:val="20"/>
          <w:szCs w:val="20"/>
        </w:rPr>
        <w:t>DIPUTADO</w:t>
      </w:r>
      <w:r w:rsidRPr="00531B12">
        <w:rPr>
          <w:rFonts w:ascii="Abadi" w:hAnsi="Abadi"/>
          <w:b/>
          <w:bCs/>
          <w:spacing w:val="6"/>
          <w:sz w:val="20"/>
          <w:szCs w:val="20"/>
        </w:rPr>
        <w:t xml:space="preserve"> </w:t>
      </w:r>
      <w:r w:rsidRPr="00531B12">
        <w:rPr>
          <w:rFonts w:ascii="Abadi" w:hAnsi="Abadi"/>
          <w:b/>
          <w:bCs/>
          <w:sz w:val="20"/>
          <w:szCs w:val="20"/>
        </w:rPr>
        <w:t>ERNESTO</w:t>
      </w:r>
      <w:r w:rsidRPr="00531B12">
        <w:rPr>
          <w:rFonts w:ascii="Abadi" w:hAnsi="Abadi"/>
          <w:b/>
          <w:bCs/>
          <w:spacing w:val="6"/>
          <w:sz w:val="20"/>
          <w:szCs w:val="20"/>
        </w:rPr>
        <w:t xml:space="preserve"> </w:t>
      </w:r>
      <w:r w:rsidRPr="00531B12">
        <w:rPr>
          <w:rFonts w:ascii="Abadi" w:hAnsi="Abadi"/>
          <w:b/>
          <w:bCs/>
          <w:sz w:val="20"/>
          <w:szCs w:val="20"/>
        </w:rPr>
        <w:t>ALEJANDRO</w:t>
      </w:r>
      <w:r w:rsidRPr="00531B12">
        <w:rPr>
          <w:rFonts w:ascii="Abadi" w:hAnsi="Abadi"/>
          <w:b/>
          <w:bCs/>
          <w:spacing w:val="6"/>
          <w:sz w:val="20"/>
          <w:szCs w:val="20"/>
        </w:rPr>
        <w:t xml:space="preserve"> </w:t>
      </w:r>
      <w:r w:rsidRPr="00531B12">
        <w:rPr>
          <w:rFonts w:ascii="Abadi" w:hAnsi="Abadi"/>
          <w:b/>
          <w:bCs/>
          <w:sz w:val="20"/>
          <w:szCs w:val="20"/>
        </w:rPr>
        <w:t>PRIETO</w:t>
      </w:r>
      <w:r w:rsidRPr="00531B12">
        <w:rPr>
          <w:rFonts w:ascii="Abadi" w:hAnsi="Abadi"/>
          <w:b/>
          <w:bCs/>
          <w:spacing w:val="7"/>
          <w:sz w:val="20"/>
          <w:szCs w:val="20"/>
        </w:rPr>
        <w:t xml:space="preserve"> </w:t>
      </w:r>
      <w:r w:rsidRPr="00531B12">
        <w:rPr>
          <w:rFonts w:ascii="Abadi" w:hAnsi="Abadi"/>
          <w:b/>
          <w:bCs/>
          <w:sz w:val="20"/>
          <w:szCs w:val="20"/>
        </w:rPr>
        <w:t>GALLARDO,</w:t>
      </w:r>
      <w:r w:rsidRPr="00531B12">
        <w:rPr>
          <w:rFonts w:ascii="Abadi" w:hAnsi="Abadi"/>
          <w:b/>
          <w:bCs/>
          <w:spacing w:val="6"/>
          <w:sz w:val="20"/>
          <w:szCs w:val="20"/>
        </w:rPr>
        <w:t xml:space="preserve"> </w:t>
      </w:r>
      <w:r w:rsidRPr="00531B12">
        <w:rPr>
          <w:rFonts w:ascii="Abadi" w:hAnsi="Abadi"/>
          <w:b/>
          <w:bCs/>
          <w:sz w:val="20"/>
          <w:szCs w:val="20"/>
        </w:rPr>
        <w:t>INTEGRANTE</w:t>
      </w:r>
      <w:r w:rsidRPr="00531B12">
        <w:rPr>
          <w:rFonts w:ascii="Abadi" w:hAnsi="Abadi"/>
          <w:b/>
          <w:bCs/>
          <w:spacing w:val="6"/>
          <w:sz w:val="20"/>
          <w:szCs w:val="20"/>
        </w:rPr>
        <w:t xml:space="preserve"> </w:t>
      </w:r>
      <w:r w:rsidRPr="00531B12">
        <w:rPr>
          <w:rFonts w:ascii="Abadi" w:hAnsi="Abadi"/>
          <w:b/>
          <w:bCs/>
          <w:sz w:val="20"/>
          <w:szCs w:val="20"/>
        </w:rPr>
        <w:t>DEL</w:t>
      </w:r>
      <w:r w:rsidRPr="00531B12">
        <w:rPr>
          <w:rFonts w:ascii="Abadi" w:hAnsi="Abadi"/>
          <w:b/>
          <w:bCs/>
          <w:spacing w:val="-2"/>
          <w:sz w:val="20"/>
          <w:szCs w:val="20"/>
        </w:rPr>
        <w:t xml:space="preserve"> </w:t>
      </w:r>
      <w:r w:rsidRPr="00531B12">
        <w:rPr>
          <w:rFonts w:ascii="Abadi" w:hAnsi="Abadi"/>
          <w:b/>
          <w:bCs/>
          <w:sz w:val="20"/>
          <w:szCs w:val="20"/>
        </w:rPr>
        <w:t>GRUPO PARLAMENTARIO DEL</w:t>
      </w:r>
      <w:r w:rsidRPr="00531B12">
        <w:rPr>
          <w:rFonts w:ascii="Abadi" w:hAnsi="Abadi"/>
          <w:b/>
          <w:bCs/>
          <w:spacing w:val="-1"/>
          <w:sz w:val="20"/>
          <w:szCs w:val="20"/>
        </w:rPr>
        <w:t xml:space="preserve"> </w:t>
      </w:r>
      <w:r w:rsidRPr="00531B12">
        <w:rPr>
          <w:rFonts w:ascii="Abadi" w:hAnsi="Abadi"/>
          <w:b/>
          <w:bCs/>
          <w:sz w:val="20"/>
          <w:szCs w:val="20"/>
        </w:rPr>
        <w:t>PARTIDO</w:t>
      </w:r>
      <w:r w:rsidRPr="00531B12">
        <w:rPr>
          <w:rFonts w:ascii="Abadi" w:hAnsi="Abadi"/>
          <w:b/>
          <w:bCs/>
          <w:spacing w:val="-1"/>
          <w:sz w:val="20"/>
          <w:szCs w:val="20"/>
        </w:rPr>
        <w:t xml:space="preserve"> </w:t>
      </w:r>
      <w:r w:rsidRPr="00531B12">
        <w:rPr>
          <w:rFonts w:ascii="Abadi" w:hAnsi="Abadi"/>
          <w:b/>
          <w:bCs/>
          <w:sz w:val="20"/>
          <w:szCs w:val="20"/>
        </w:rPr>
        <w:t>MORENA, A EFECTO DE SOLICITAR AL TITULAR DE</w:t>
      </w:r>
      <w:r w:rsidRPr="00531B12">
        <w:rPr>
          <w:rFonts w:ascii="Abadi" w:hAnsi="Abadi"/>
          <w:b/>
          <w:bCs/>
          <w:spacing w:val="-2"/>
          <w:sz w:val="20"/>
          <w:szCs w:val="20"/>
        </w:rPr>
        <w:t xml:space="preserve"> </w:t>
      </w:r>
      <w:r w:rsidRPr="00531B12">
        <w:rPr>
          <w:rFonts w:ascii="Abadi" w:hAnsi="Abadi"/>
          <w:b/>
          <w:bCs/>
          <w:sz w:val="20"/>
          <w:szCs w:val="20"/>
        </w:rPr>
        <w:t>LA</w:t>
      </w:r>
      <w:r w:rsidRPr="00531B12">
        <w:rPr>
          <w:rFonts w:ascii="Abadi" w:hAnsi="Abadi"/>
          <w:b/>
          <w:bCs/>
          <w:spacing w:val="29"/>
          <w:sz w:val="20"/>
          <w:szCs w:val="20"/>
        </w:rPr>
        <w:t xml:space="preserve"> </w:t>
      </w:r>
      <w:r w:rsidRPr="00531B12">
        <w:rPr>
          <w:rFonts w:ascii="Abadi" w:hAnsi="Abadi"/>
          <w:b/>
          <w:bCs/>
          <w:sz w:val="20"/>
          <w:szCs w:val="20"/>
        </w:rPr>
        <w:t>SECRETARÍA</w:t>
      </w:r>
      <w:r w:rsidRPr="00531B12">
        <w:rPr>
          <w:rFonts w:ascii="Abadi" w:hAnsi="Abadi"/>
          <w:b/>
          <w:bCs/>
          <w:spacing w:val="29"/>
          <w:sz w:val="20"/>
          <w:szCs w:val="20"/>
        </w:rPr>
        <w:t xml:space="preserve"> </w:t>
      </w:r>
      <w:r w:rsidRPr="00531B12">
        <w:rPr>
          <w:rFonts w:ascii="Abadi" w:hAnsi="Abadi"/>
          <w:b/>
          <w:bCs/>
          <w:sz w:val="20"/>
          <w:szCs w:val="20"/>
        </w:rPr>
        <w:t>DE</w:t>
      </w:r>
      <w:r w:rsidRPr="00531B12">
        <w:rPr>
          <w:rFonts w:ascii="Abadi" w:hAnsi="Abadi"/>
          <w:b/>
          <w:bCs/>
          <w:spacing w:val="29"/>
          <w:sz w:val="20"/>
          <w:szCs w:val="20"/>
        </w:rPr>
        <w:t xml:space="preserve"> </w:t>
      </w:r>
      <w:r w:rsidRPr="00531B12">
        <w:rPr>
          <w:rFonts w:ascii="Abadi" w:hAnsi="Abadi"/>
          <w:b/>
          <w:bCs/>
          <w:sz w:val="20"/>
          <w:szCs w:val="20"/>
        </w:rPr>
        <w:t>DESARROLLO</w:t>
      </w:r>
      <w:r w:rsidRPr="00531B12">
        <w:rPr>
          <w:rFonts w:ascii="Abadi" w:hAnsi="Abadi"/>
          <w:b/>
          <w:bCs/>
          <w:spacing w:val="29"/>
          <w:sz w:val="20"/>
          <w:szCs w:val="20"/>
        </w:rPr>
        <w:t xml:space="preserve"> </w:t>
      </w:r>
      <w:r w:rsidRPr="00531B12">
        <w:rPr>
          <w:rFonts w:ascii="Abadi" w:hAnsi="Abadi"/>
          <w:b/>
          <w:bCs/>
          <w:sz w:val="20"/>
          <w:szCs w:val="20"/>
        </w:rPr>
        <w:t>SOCIAL</w:t>
      </w:r>
      <w:r w:rsidRPr="00531B12">
        <w:rPr>
          <w:rFonts w:ascii="Abadi" w:hAnsi="Abadi"/>
          <w:b/>
          <w:bCs/>
          <w:spacing w:val="28"/>
          <w:sz w:val="20"/>
          <w:szCs w:val="20"/>
        </w:rPr>
        <w:t xml:space="preserve"> </w:t>
      </w:r>
      <w:r w:rsidRPr="00531B12">
        <w:rPr>
          <w:rFonts w:ascii="Abadi" w:hAnsi="Abadi"/>
          <w:b/>
          <w:bCs/>
          <w:sz w:val="20"/>
          <w:szCs w:val="20"/>
        </w:rPr>
        <w:t>Y</w:t>
      </w:r>
      <w:r w:rsidRPr="00531B12">
        <w:rPr>
          <w:rFonts w:ascii="Abadi" w:hAnsi="Abadi"/>
          <w:b/>
          <w:bCs/>
          <w:spacing w:val="29"/>
          <w:sz w:val="20"/>
          <w:szCs w:val="20"/>
        </w:rPr>
        <w:t xml:space="preserve"> </w:t>
      </w:r>
      <w:r w:rsidRPr="00531B12">
        <w:rPr>
          <w:rFonts w:ascii="Abadi" w:hAnsi="Abadi"/>
          <w:b/>
          <w:bCs/>
          <w:sz w:val="20"/>
          <w:szCs w:val="20"/>
        </w:rPr>
        <w:t>HUMANO</w:t>
      </w:r>
      <w:r w:rsidRPr="00531B12">
        <w:rPr>
          <w:rFonts w:ascii="Abadi" w:hAnsi="Abadi"/>
          <w:b/>
          <w:bCs/>
          <w:spacing w:val="29"/>
          <w:sz w:val="20"/>
          <w:szCs w:val="20"/>
        </w:rPr>
        <w:t xml:space="preserve"> </w:t>
      </w:r>
      <w:r w:rsidRPr="00531B12">
        <w:rPr>
          <w:rFonts w:ascii="Abadi" w:hAnsi="Abadi"/>
          <w:b/>
          <w:bCs/>
          <w:sz w:val="20"/>
          <w:szCs w:val="20"/>
        </w:rPr>
        <w:t>DEL</w:t>
      </w:r>
      <w:r w:rsidRPr="00531B12">
        <w:rPr>
          <w:rFonts w:ascii="Abadi" w:hAnsi="Abadi"/>
          <w:b/>
          <w:bCs/>
          <w:spacing w:val="28"/>
          <w:sz w:val="20"/>
          <w:szCs w:val="20"/>
        </w:rPr>
        <w:t xml:space="preserve"> </w:t>
      </w:r>
      <w:r w:rsidRPr="00531B12">
        <w:rPr>
          <w:rFonts w:ascii="Abadi" w:hAnsi="Abadi"/>
          <w:b/>
          <w:bCs/>
          <w:sz w:val="20"/>
          <w:szCs w:val="20"/>
        </w:rPr>
        <w:t>GOBIERNO</w:t>
      </w:r>
      <w:r w:rsidRPr="00531B12">
        <w:rPr>
          <w:rFonts w:ascii="Abadi" w:hAnsi="Abadi"/>
          <w:b/>
          <w:bCs/>
          <w:spacing w:val="28"/>
          <w:sz w:val="20"/>
          <w:szCs w:val="20"/>
        </w:rPr>
        <w:t xml:space="preserve"> </w:t>
      </w:r>
      <w:r w:rsidRPr="00531B12">
        <w:rPr>
          <w:rFonts w:ascii="Abadi" w:hAnsi="Abadi"/>
          <w:b/>
          <w:bCs/>
          <w:sz w:val="20"/>
          <w:szCs w:val="20"/>
        </w:rPr>
        <w:t>DEL</w:t>
      </w:r>
      <w:r w:rsidRPr="00531B12">
        <w:rPr>
          <w:rFonts w:ascii="Abadi" w:hAnsi="Abadi"/>
          <w:b/>
          <w:bCs/>
          <w:spacing w:val="28"/>
          <w:sz w:val="20"/>
          <w:szCs w:val="20"/>
        </w:rPr>
        <w:t xml:space="preserve"> </w:t>
      </w:r>
      <w:r w:rsidRPr="00531B12">
        <w:rPr>
          <w:rFonts w:ascii="Abadi" w:hAnsi="Abadi"/>
          <w:b/>
          <w:bCs/>
          <w:sz w:val="20"/>
          <w:szCs w:val="20"/>
        </w:rPr>
        <w:t>ESTADO</w:t>
      </w:r>
      <w:r w:rsidRPr="00531B12">
        <w:rPr>
          <w:rFonts w:ascii="Abadi" w:hAnsi="Abadi"/>
          <w:b/>
          <w:bCs/>
          <w:spacing w:val="29"/>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GUANAJUATO</w:t>
      </w:r>
      <w:r w:rsidRPr="00531B12">
        <w:rPr>
          <w:rFonts w:ascii="Abadi" w:hAnsi="Abadi"/>
          <w:b/>
          <w:bCs/>
          <w:spacing w:val="-15"/>
          <w:sz w:val="20"/>
          <w:szCs w:val="20"/>
        </w:rPr>
        <w:t xml:space="preserve"> </w:t>
      </w:r>
      <w:r w:rsidRPr="00531B12">
        <w:rPr>
          <w:rFonts w:ascii="Abadi" w:hAnsi="Abadi"/>
          <w:b/>
          <w:bCs/>
          <w:sz w:val="20"/>
          <w:szCs w:val="20"/>
        </w:rPr>
        <w:t>INFORME</w:t>
      </w:r>
      <w:r w:rsidRPr="00531B12">
        <w:rPr>
          <w:rFonts w:ascii="Abadi" w:hAnsi="Abadi"/>
          <w:b/>
          <w:bCs/>
          <w:spacing w:val="-15"/>
          <w:sz w:val="20"/>
          <w:szCs w:val="20"/>
        </w:rPr>
        <w:t xml:space="preserve"> </w:t>
      </w:r>
      <w:r w:rsidRPr="00531B12">
        <w:rPr>
          <w:rFonts w:ascii="Abadi" w:hAnsi="Abadi"/>
          <w:b/>
          <w:bCs/>
          <w:sz w:val="20"/>
          <w:szCs w:val="20"/>
        </w:rPr>
        <w:t>SOBRE</w:t>
      </w:r>
      <w:r w:rsidRPr="00531B12">
        <w:rPr>
          <w:rFonts w:ascii="Abadi" w:hAnsi="Abadi"/>
          <w:b/>
          <w:bCs/>
          <w:spacing w:val="-14"/>
          <w:sz w:val="20"/>
          <w:szCs w:val="20"/>
        </w:rPr>
        <w:t xml:space="preserve"> </w:t>
      </w:r>
      <w:r w:rsidRPr="00531B12">
        <w:rPr>
          <w:rFonts w:ascii="Abadi" w:hAnsi="Abadi"/>
          <w:b/>
          <w:bCs/>
          <w:sz w:val="20"/>
          <w:szCs w:val="20"/>
        </w:rPr>
        <w:t>PRESUNTAS</w:t>
      </w:r>
      <w:r w:rsidRPr="00531B12">
        <w:rPr>
          <w:rFonts w:ascii="Abadi" w:hAnsi="Abadi"/>
          <w:b/>
          <w:bCs/>
          <w:spacing w:val="-15"/>
          <w:sz w:val="20"/>
          <w:szCs w:val="20"/>
        </w:rPr>
        <w:t xml:space="preserve"> </w:t>
      </w:r>
      <w:r w:rsidRPr="00531B12">
        <w:rPr>
          <w:rFonts w:ascii="Abadi" w:hAnsi="Abadi"/>
          <w:b/>
          <w:bCs/>
          <w:sz w:val="20"/>
          <w:szCs w:val="20"/>
        </w:rPr>
        <w:t>IRREGULARIDADES</w:t>
      </w:r>
      <w:r w:rsidRPr="00531B12">
        <w:rPr>
          <w:rFonts w:ascii="Abadi" w:hAnsi="Abadi"/>
          <w:b/>
          <w:bCs/>
          <w:spacing w:val="-15"/>
          <w:sz w:val="20"/>
          <w:szCs w:val="20"/>
        </w:rPr>
        <w:t xml:space="preserve"> </w:t>
      </w:r>
      <w:r w:rsidRPr="00531B12">
        <w:rPr>
          <w:rFonts w:ascii="Abadi" w:hAnsi="Abadi"/>
          <w:b/>
          <w:bCs/>
          <w:sz w:val="20"/>
          <w:szCs w:val="20"/>
        </w:rPr>
        <w:t>Y</w:t>
      </w:r>
      <w:r w:rsidRPr="00531B12">
        <w:rPr>
          <w:rFonts w:ascii="Abadi" w:hAnsi="Abadi"/>
          <w:b/>
          <w:bCs/>
          <w:spacing w:val="-15"/>
          <w:sz w:val="20"/>
          <w:szCs w:val="20"/>
        </w:rPr>
        <w:t xml:space="preserve"> </w:t>
      </w:r>
      <w:r w:rsidRPr="00531B12">
        <w:rPr>
          <w:rFonts w:ascii="Abadi" w:hAnsi="Abadi"/>
          <w:b/>
          <w:bCs/>
          <w:sz w:val="20"/>
          <w:szCs w:val="20"/>
        </w:rPr>
        <w:t>VIOLACIÓN</w:t>
      </w:r>
      <w:r w:rsidRPr="00531B12">
        <w:rPr>
          <w:rFonts w:ascii="Abadi" w:hAnsi="Abadi"/>
          <w:b/>
          <w:bCs/>
          <w:spacing w:val="-15"/>
          <w:sz w:val="20"/>
          <w:szCs w:val="20"/>
        </w:rPr>
        <w:t xml:space="preserve"> </w:t>
      </w:r>
      <w:r w:rsidRPr="00531B12">
        <w:rPr>
          <w:rFonts w:ascii="Abadi" w:hAnsi="Abadi"/>
          <w:b/>
          <w:bCs/>
          <w:sz w:val="20"/>
          <w:szCs w:val="20"/>
        </w:rPr>
        <w:t>A</w:t>
      </w:r>
      <w:r w:rsidRPr="00531B12">
        <w:rPr>
          <w:rFonts w:ascii="Abadi" w:hAnsi="Abadi"/>
          <w:b/>
          <w:bCs/>
          <w:spacing w:val="-15"/>
          <w:sz w:val="20"/>
          <w:szCs w:val="20"/>
        </w:rPr>
        <w:t xml:space="preserve"> </w:t>
      </w:r>
      <w:r w:rsidRPr="00531B12">
        <w:rPr>
          <w:rFonts w:ascii="Abadi" w:hAnsi="Abadi"/>
          <w:b/>
          <w:bCs/>
          <w:sz w:val="20"/>
          <w:szCs w:val="20"/>
        </w:rPr>
        <w:t>LAS</w:t>
      </w:r>
      <w:r w:rsidRPr="00531B12">
        <w:rPr>
          <w:rFonts w:ascii="Abadi" w:hAnsi="Abadi"/>
          <w:b/>
          <w:bCs/>
          <w:spacing w:val="-15"/>
          <w:sz w:val="20"/>
          <w:szCs w:val="20"/>
        </w:rPr>
        <w:t xml:space="preserve"> </w:t>
      </w:r>
      <w:r w:rsidRPr="00531B12">
        <w:rPr>
          <w:rFonts w:ascii="Abadi" w:hAnsi="Abadi"/>
          <w:b/>
          <w:bCs/>
          <w:sz w:val="20"/>
          <w:szCs w:val="20"/>
        </w:rPr>
        <w:t>REGLAS</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12"/>
          <w:sz w:val="20"/>
          <w:szCs w:val="20"/>
        </w:rPr>
        <w:t xml:space="preserve"> </w:t>
      </w:r>
      <w:r w:rsidRPr="00531B12">
        <w:rPr>
          <w:rFonts w:ascii="Abadi" w:hAnsi="Abadi"/>
          <w:b/>
          <w:bCs/>
          <w:sz w:val="20"/>
          <w:szCs w:val="20"/>
        </w:rPr>
        <w:t>OPERACIÓN</w:t>
      </w:r>
      <w:r w:rsidRPr="00531B12">
        <w:rPr>
          <w:rFonts w:ascii="Abadi" w:hAnsi="Abadi"/>
          <w:b/>
          <w:bCs/>
          <w:spacing w:val="-12"/>
          <w:sz w:val="20"/>
          <w:szCs w:val="20"/>
        </w:rPr>
        <w:t xml:space="preserve"> </w:t>
      </w:r>
      <w:r w:rsidRPr="00531B12">
        <w:rPr>
          <w:rFonts w:ascii="Abadi" w:hAnsi="Abadi"/>
          <w:b/>
          <w:bCs/>
          <w:sz w:val="20"/>
          <w:szCs w:val="20"/>
        </w:rPr>
        <w:t>DEL</w:t>
      </w:r>
      <w:r w:rsidRPr="00531B12">
        <w:rPr>
          <w:rFonts w:ascii="Abadi" w:hAnsi="Abadi"/>
          <w:b/>
          <w:bCs/>
          <w:spacing w:val="-12"/>
          <w:sz w:val="20"/>
          <w:szCs w:val="20"/>
        </w:rPr>
        <w:t xml:space="preserve"> </w:t>
      </w:r>
      <w:r w:rsidRPr="00531B12">
        <w:rPr>
          <w:rFonts w:ascii="Abadi" w:hAnsi="Abadi"/>
          <w:b/>
          <w:bCs/>
          <w:sz w:val="20"/>
          <w:szCs w:val="20"/>
        </w:rPr>
        <w:t>PROGRAMA</w:t>
      </w:r>
      <w:r w:rsidRPr="00531B12">
        <w:rPr>
          <w:rFonts w:ascii="Abadi" w:hAnsi="Abadi"/>
          <w:b/>
          <w:bCs/>
          <w:spacing w:val="-12"/>
          <w:sz w:val="20"/>
          <w:szCs w:val="20"/>
        </w:rPr>
        <w:t xml:space="preserve"> </w:t>
      </w:r>
      <w:r w:rsidRPr="00531B12">
        <w:rPr>
          <w:rFonts w:ascii="Abadi" w:hAnsi="Abadi"/>
          <w:b/>
          <w:bCs/>
          <w:sz w:val="20"/>
          <w:szCs w:val="20"/>
        </w:rPr>
        <w:t>VALE</w:t>
      </w:r>
      <w:r w:rsidRPr="00531B12">
        <w:rPr>
          <w:rFonts w:ascii="Abadi" w:hAnsi="Abadi"/>
          <w:b/>
          <w:bCs/>
          <w:spacing w:val="-12"/>
          <w:sz w:val="20"/>
          <w:szCs w:val="20"/>
        </w:rPr>
        <w:t xml:space="preserve"> </w:t>
      </w:r>
      <w:r w:rsidRPr="00531B12">
        <w:rPr>
          <w:rFonts w:ascii="Abadi" w:hAnsi="Abadi"/>
          <w:b/>
          <w:bCs/>
          <w:sz w:val="20"/>
          <w:szCs w:val="20"/>
        </w:rPr>
        <w:t>GRANDEZA</w:t>
      </w:r>
      <w:r w:rsidRPr="00531B12">
        <w:rPr>
          <w:rFonts w:ascii="Abadi" w:hAnsi="Abadi"/>
          <w:b/>
          <w:bCs/>
          <w:spacing w:val="-12"/>
          <w:sz w:val="20"/>
          <w:szCs w:val="20"/>
        </w:rPr>
        <w:t xml:space="preserve"> </w:t>
      </w:r>
      <w:r w:rsidRPr="00531B12">
        <w:rPr>
          <w:rFonts w:ascii="Abadi" w:hAnsi="Abadi"/>
          <w:b/>
          <w:bCs/>
          <w:sz w:val="20"/>
          <w:szCs w:val="20"/>
        </w:rPr>
        <w:t>–</w:t>
      </w:r>
      <w:r w:rsidRPr="00531B12">
        <w:rPr>
          <w:rFonts w:ascii="Abadi" w:hAnsi="Abadi"/>
          <w:b/>
          <w:bCs/>
          <w:spacing w:val="-12"/>
          <w:sz w:val="20"/>
          <w:szCs w:val="20"/>
        </w:rPr>
        <w:t xml:space="preserve"> </w:t>
      </w:r>
      <w:r w:rsidRPr="00531B12">
        <w:rPr>
          <w:rFonts w:ascii="Abadi" w:hAnsi="Abadi"/>
          <w:b/>
          <w:bCs/>
          <w:sz w:val="20"/>
          <w:szCs w:val="20"/>
        </w:rPr>
        <w:t>COMPRA</w:t>
      </w:r>
      <w:r w:rsidRPr="00531B12">
        <w:rPr>
          <w:rFonts w:ascii="Abadi" w:hAnsi="Abadi"/>
          <w:b/>
          <w:bCs/>
          <w:spacing w:val="-12"/>
          <w:sz w:val="20"/>
          <w:szCs w:val="20"/>
        </w:rPr>
        <w:t xml:space="preserve"> </w:t>
      </w:r>
      <w:r w:rsidRPr="00531B12">
        <w:rPr>
          <w:rFonts w:ascii="Abadi" w:hAnsi="Abadi"/>
          <w:b/>
          <w:bCs/>
          <w:sz w:val="20"/>
          <w:szCs w:val="20"/>
        </w:rPr>
        <w:t>LOCAL</w:t>
      </w:r>
      <w:r w:rsidRPr="00531B12">
        <w:rPr>
          <w:rFonts w:ascii="Abadi" w:hAnsi="Abadi"/>
          <w:b/>
          <w:bCs/>
          <w:spacing w:val="-12"/>
          <w:sz w:val="20"/>
          <w:szCs w:val="20"/>
        </w:rPr>
        <w:t xml:space="preserve"> </w:t>
      </w:r>
      <w:r w:rsidRPr="00531B12">
        <w:rPr>
          <w:rFonts w:ascii="Abadi" w:hAnsi="Abadi"/>
          <w:b/>
          <w:bCs/>
          <w:sz w:val="20"/>
          <w:szCs w:val="20"/>
        </w:rPr>
        <w:t>PARA</w:t>
      </w:r>
      <w:r w:rsidRPr="00531B12">
        <w:rPr>
          <w:rFonts w:ascii="Abadi" w:hAnsi="Abadi"/>
          <w:b/>
          <w:bCs/>
          <w:spacing w:val="-12"/>
          <w:sz w:val="20"/>
          <w:szCs w:val="20"/>
        </w:rPr>
        <w:t xml:space="preserve"> </w:t>
      </w:r>
      <w:r w:rsidRPr="00531B12">
        <w:rPr>
          <w:rFonts w:ascii="Abadi" w:hAnsi="Abadi"/>
          <w:b/>
          <w:bCs/>
          <w:sz w:val="20"/>
          <w:szCs w:val="20"/>
        </w:rPr>
        <w:t>EL</w:t>
      </w:r>
      <w:r w:rsidRPr="00531B12">
        <w:rPr>
          <w:rFonts w:ascii="Abadi" w:hAnsi="Abadi"/>
          <w:b/>
          <w:bCs/>
          <w:spacing w:val="-12"/>
          <w:sz w:val="20"/>
          <w:szCs w:val="20"/>
        </w:rPr>
        <w:t xml:space="preserve"> </w:t>
      </w:r>
      <w:r w:rsidRPr="00531B12">
        <w:rPr>
          <w:rFonts w:ascii="Abadi" w:hAnsi="Abadi"/>
          <w:b/>
          <w:bCs/>
          <w:sz w:val="20"/>
          <w:szCs w:val="20"/>
        </w:rPr>
        <w:t>EJERCICIO</w:t>
      </w:r>
      <w:r w:rsidRPr="00531B12">
        <w:rPr>
          <w:rFonts w:ascii="Abadi" w:hAnsi="Abadi"/>
          <w:b/>
          <w:bCs/>
          <w:spacing w:val="-2"/>
          <w:sz w:val="20"/>
          <w:szCs w:val="20"/>
        </w:rPr>
        <w:t xml:space="preserve"> </w:t>
      </w:r>
      <w:r w:rsidRPr="00531B12">
        <w:rPr>
          <w:rFonts w:ascii="Abadi" w:hAnsi="Abadi"/>
          <w:b/>
          <w:bCs/>
          <w:sz w:val="20"/>
          <w:szCs w:val="20"/>
        </w:rPr>
        <w:t>FISCAL</w:t>
      </w:r>
      <w:r w:rsidRPr="00531B12">
        <w:rPr>
          <w:rFonts w:ascii="Abadi" w:hAnsi="Abadi"/>
          <w:b/>
          <w:bCs/>
          <w:spacing w:val="-16"/>
          <w:sz w:val="20"/>
          <w:szCs w:val="20"/>
        </w:rPr>
        <w:t xml:space="preserve"> </w:t>
      </w:r>
      <w:r w:rsidRPr="00531B12">
        <w:rPr>
          <w:rFonts w:ascii="Abadi" w:hAnsi="Abadi"/>
          <w:b/>
          <w:bCs/>
          <w:sz w:val="20"/>
          <w:szCs w:val="20"/>
        </w:rPr>
        <w:t>DE</w:t>
      </w:r>
      <w:r w:rsidRPr="00531B12">
        <w:rPr>
          <w:rFonts w:ascii="Abadi" w:hAnsi="Abadi"/>
          <w:b/>
          <w:bCs/>
          <w:spacing w:val="-16"/>
          <w:sz w:val="20"/>
          <w:szCs w:val="20"/>
        </w:rPr>
        <w:t xml:space="preserve"> </w:t>
      </w:r>
      <w:r w:rsidRPr="00531B12">
        <w:rPr>
          <w:rFonts w:ascii="Abadi" w:hAnsi="Abadi"/>
          <w:b/>
          <w:bCs/>
          <w:sz w:val="20"/>
          <w:szCs w:val="20"/>
        </w:rPr>
        <w:t>2021</w:t>
      </w:r>
      <w:r w:rsidRPr="00531B12">
        <w:rPr>
          <w:rFonts w:ascii="Abadi" w:hAnsi="Abadi"/>
          <w:b/>
          <w:bCs/>
          <w:spacing w:val="-16"/>
          <w:sz w:val="20"/>
          <w:szCs w:val="20"/>
        </w:rPr>
        <w:t xml:space="preserve"> </w:t>
      </w:r>
      <w:r w:rsidRPr="00531B12">
        <w:rPr>
          <w:rFonts w:ascii="Abadi" w:hAnsi="Abadi"/>
          <w:b/>
          <w:bCs/>
          <w:sz w:val="20"/>
          <w:szCs w:val="20"/>
        </w:rPr>
        <w:t>Y</w:t>
      </w:r>
      <w:r w:rsidRPr="00531B12">
        <w:rPr>
          <w:rFonts w:ascii="Abadi" w:hAnsi="Abadi"/>
          <w:b/>
          <w:bCs/>
          <w:spacing w:val="-16"/>
          <w:sz w:val="20"/>
          <w:szCs w:val="20"/>
        </w:rPr>
        <w:t xml:space="preserve"> </w:t>
      </w:r>
      <w:r w:rsidRPr="00531B12">
        <w:rPr>
          <w:rFonts w:ascii="Abadi" w:hAnsi="Abadi"/>
          <w:b/>
          <w:bCs/>
          <w:sz w:val="20"/>
          <w:szCs w:val="20"/>
        </w:rPr>
        <w:t>HACERLO</w:t>
      </w:r>
      <w:r w:rsidRPr="00531B12">
        <w:rPr>
          <w:rFonts w:ascii="Abadi" w:hAnsi="Abadi"/>
          <w:b/>
          <w:bCs/>
          <w:spacing w:val="-16"/>
          <w:sz w:val="20"/>
          <w:szCs w:val="20"/>
        </w:rPr>
        <w:t xml:space="preserve"> </w:t>
      </w:r>
      <w:r w:rsidRPr="00531B12">
        <w:rPr>
          <w:rFonts w:ascii="Abadi" w:hAnsi="Abadi"/>
          <w:b/>
          <w:bCs/>
          <w:sz w:val="20"/>
          <w:szCs w:val="20"/>
        </w:rPr>
        <w:t>DEL</w:t>
      </w:r>
      <w:r w:rsidRPr="00531B12">
        <w:rPr>
          <w:rFonts w:ascii="Abadi" w:hAnsi="Abadi"/>
          <w:b/>
          <w:bCs/>
          <w:spacing w:val="-16"/>
          <w:sz w:val="20"/>
          <w:szCs w:val="20"/>
        </w:rPr>
        <w:t xml:space="preserve"> </w:t>
      </w:r>
      <w:r w:rsidRPr="00531B12">
        <w:rPr>
          <w:rFonts w:ascii="Abadi" w:hAnsi="Abadi"/>
          <w:b/>
          <w:bCs/>
          <w:sz w:val="20"/>
          <w:szCs w:val="20"/>
        </w:rPr>
        <w:t>CONOCIMIENTO</w:t>
      </w:r>
      <w:r w:rsidRPr="00531B12">
        <w:rPr>
          <w:rFonts w:ascii="Abadi" w:hAnsi="Abadi"/>
          <w:b/>
          <w:bCs/>
          <w:spacing w:val="-16"/>
          <w:sz w:val="20"/>
          <w:szCs w:val="20"/>
        </w:rPr>
        <w:t xml:space="preserve"> </w:t>
      </w:r>
      <w:r w:rsidRPr="00531B12">
        <w:rPr>
          <w:rFonts w:ascii="Abadi" w:hAnsi="Abadi"/>
          <w:b/>
          <w:bCs/>
          <w:sz w:val="20"/>
          <w:szCs w:val="20"/>
        </w:rPr>
        <w:t>DE</w:t>
      </w:r>
      <w:r w:rsidRPr="00531B12">
        <w:rPr>
          <w:rFonts w:ascii="Abadi" w:hAnsi="Abadi"/>
          <w:b/>
          <w:bCs/>
          <w:spacing w:val="-16"/>
          <w:sz w:val="20"/>
          <w:szCs w:val="20"/>
        </w:rPr>
        <w:t xml:space="preserve"> </w:t>
      </w:r>
      <w:r w:rsidRPr="00531B12">
        <w:rPr>
          <w:rFonts w:ascii="Abadi" w:hAnsi="Abadi"/>
          <w:b/>
          <w:bCs/>
          <w:sz w:val="20"/>
          <w:szCs w:val="20"/>
        </w:rPr>
        <w:t>LA</w:t>
      </w:r>
      <w:r w:rsidRPr="00531B12">
        <w:rPr>
          <w:rFonts w:ascii="Abadi" w:hAnsi="Abadi"/>
          <w:b/>
          <w:bCs/>
          <w:spacing w:val="-16"/>
          <w:sz w:val="20"/>
          <w:szCs w:val="20"/>
        </w:rPr>
        <w:t xml:space="preserve"> </w:t>
      </w:r>
      <w:r w:rsidRPr="00531B12">
        <w:rPr>
          <w:rFonts w:ascii="Abadi" w:hAnsi="Abadi"/>
          <w:b/>
          <w:bCs/>
          <w:sz w:val="20"/>
          <w:szCs w:val="20"/>
        </w:rPr>
        <w:t>AUDITORÍA</w:t>
      </w:r>
      <w:r w:rsidRPr="00531B12">
        <w:rPr>
          <w:rFonts w:ascii="Abadi" w:hAnsi="Abadi"/>
          <w:b/>
          <w:bCs/>
          <w:spacing w:val="-16"/>
          <w:sz w:val="20"/>
          <w:szCs w:val="20"/>
        </w:rPr>
        <w:t xml:space="preserve"> </w:t>
      </w:r>
      <w:r w:rsidRPr="00531B12">
        <w:rPr>
          <w:rFonts w:ascii="Abadi" w:hAnsi="Abadi"/>
          <w:b/>
          <w:bCs/>
          <w:sz w:val="20"/>
          <w:szCs w:val="20"/>
        </w:rPr>
        <w:t>SUPERIOR</w:t>
      </w:r>
      <w:r w:rsidRPr="00531B12">
        <w:rPr>
          <w:rFonts w:ascii="Abadi" w:hAnsi="Abadi"/>
          <w:b/>
          <w:bCs/>
          <w:spacing w:val="-16"/>
          <w:sz w:val="20"/>
          <w:szCs w:val="20"/>
        </w:rPr>
        <w:t xml:space="preserve"> </w:t>
      </w:r>
      <w:r w:rsidRPr="00531B12">
        <w:rPr>
          <w:rFonts w:ascii="Abadi" w:hAnsi="Abadi"/>
          <w:b/>
          <w:bCs/>
          <w:sz w:val="20"/>
          <w:szCs w:val="20"/>
        </w:rPr>
        <w:t>DEL</w:t>
      </w:r>
      <w:r w:rsidRPr="00531B12">
        <w:rPr>
          <w:rFonts w:ascii="Abadi" w:hAnsi="Abadi"/>
          <w:b/>
          <w:bCs/>
          <w:spacing w:val="-16"/>
          <w:sz w:val="20"/>
          <w:szCs w:val="20"/>
        </w:rPr>
        <w:t xml:space="preserve"> </w:t>
      </w:r>
      <w:r w:rsidRPr="00531B12">
        <w:rPr>
          <w:rFonts w:ascii="Abadi" w:hAnsi="Abadi"/>
          <w:b/>
          <w:bCs/>
          <w:sz w:val="20"/>
          <w:szCs w:val="20"/>
        </w:rPr>
        <w:t>ESTADO</w:t>
      </w:r>
      <w:r w:rsidRPr="00531B12">
        <w:rPr>
          <w:rFonts w:ascii="Abadi" w:hAnsi="Abadi"/>
          <w:b/>
          <w:bCs/>
          <w:spacing w:val="-2"/>
          <w:sz w:val="20"/>
          <w:szCs w:val="20"/>
        </w:rPr>
        <w:t xml:space="preserve"> </w:t>
      </w:r>
      <w:r w:rsidRPr="00531B12">
        <w:rPr>
          <w:rFonts w:ascii="Abadi" w:hAnsi="Abadi"/>
          <w:b/>
          <w:bCs/>
          <w:sz w:val="20"/>
          <w:szCs w:val="20"/>
        </w:rPr>
        <w:t>PARA</w:t>
      </w:r>
      <w:r w:rsidRPr="00531B12">
        <w:rPr>
          <w:rFonts w:ascii="Abadi" w:hAnsi="Abadi"/>
          <w:b/>
          <w:bCs/>
          <w:spacing w:val="49"/>
          <w:sz w:val="20"/>
          <w:szCs w:val="20"/>
        </w:rPr>
        <w:t xml:space="preserve"> </w:t>
      </w:r>
      <w:r w:rsidRPr="00531B12">
        <w:rPr>
          <w:rFonts w:ascii="Abadi" w:hAnsi="Abadi"/>
          <w:b/>
          <w:bCs/>
          <w:sz w:val="20"/>
          <w:szCs w:val="20"/>
        </w:rPr>
        <w:t>QUE</w:t>
      </w:r>
      <w:r w:rsidRPr="00531B12">
        <w:rPr>
          <w:rFonts w:ascii="Abadi" w:hAnsi="Abadi"/>
          <w:b/>
          <w:bCs/>
          <w:spacing w:val="49"/>
          <w:sz w:val="20"/>
          <w:szCs w:val="20"/>
        </w:rPr>
        <w:t xml:space="preserve"> </w:t>
      </w:r>
      <w:r w:rsidRPr="00531B12">
        <w:rPr>
          <w:rFonts w:ascii="Abadi" w:hAnsi="Abadi"/>
          <w:b/>
          <w:bCs/>
          <w:sz w:val="20"/>
          <w:szCs w:val="20"/>
        </w:rPr>
        <w:t>INVESTIGUE</w:t>
      </w:r>
      <w:r w:rsidRPr="00531B12">
        <w:rPr>
          <w:rFonts w:ascii="Abadi" w:hAnsi="Abadi"/>
          <w:b/>
          <w:bCs/>
          <w:spacing w:val="49"/>
          <w:sz w:val="20"/>
          <w:szCs w:val="20"/>
        </w:rPr>
        <w:t xml:space="preserve"> </w:t>
      </w:r>
      <w:r w:rsidRPr="00531B12">
        <w:rPr>
          <w:rFonts w:ascii="Abadi" w:hAnsi="Abadi"/>
          <w:b/>
          <w:bCs/>
          <w:sz w:val="20"/>
          <w:szCs w:val="20"/>
        </w:rPr>
        <w:t>Y</w:t>
      </w:r>
      <w:r w:rsidRPr="00531B12">
        <w:rPr>
          <w:rFonts w:ascii="Abadi" w:hAnsi="Abadi"/>
          <w:b/>
          <w:bCs/>
          <w:spacing w:val="50"/>
          <w:sz w:val="20"/>
          <w:szCs w:val="20"/>
        </w:rPr>
        <w:t xml:space="preserve"> </w:t>
      </w:r>
      <w:r w:rsidRPr="00531B12">
        <w:rPr>
          <w:rFonts w:ascii="Abadi" w:hAnsi="Abadi"/>
          <w:b/>
          <w:bCs/>
          <w:sz w:val="20"/>
          <w:szCs w:val="20"/>
        </w:rPr>
        <w:t>AUDITE</w:t>
      </w:r>
      <w:r w:rsidRPr="00531B12">
        <w:rPr>
          <w:rFonts w:ascii="Abadi" w:hAnsi="Abadi"/>
          <w:b/>
          <w:bCs/>
          <w:spacing w:val="49"/>
          <w:sz w:val="20"/>
          <w:szCs w:val="20"/>
        </w:rPr>
        <w:t xml:space="preserve"> </w:t>
      </w:r>
      <w:r w:rsidRPr="00531B12">
        <w:rPr>
          <w:rFonts w:ascii="Abadi" w:hAnsi="Abadi"/>
          <w:b/>
          <w:bCs/>
          <w:sz w:val="20"/>
          <w:szCs w:val="20"/>
        </w:rPr>
        <w:t>LA</w:t>
      </w:r>
      <w:r w:rsidRPr="00531B12">
        <w:rPr>
          <w:rFonts w:ascii="Abadi" w:hAnsi="Abadi"/>
          <w:b/>
          <w:bCs/>
          <w:spacing w:val="49"/>
          <w:sz w:val="20"/>
          <w:szCs w:val="20"/>
        </w:rPr>
        <w:t xml:space="preserve"> </w:t>
      </w:r>
      <w:r w:rsidRPr="00531B12">
        <w:rPr>
          <w:rFonts w:ascii="Abadi" w:hAnsi="Abadi"/>
          <w:b/>
          <w:bCs/>
          <w:sz w:val="20"/>
          <w:szCs w:val="20"/>
        </w:rPr>
        <w:t>FALTA</w:t>
      </w:r>
      <w:r w:rsidRPr="00531B12">
        <w:rPr>
          <w:rFonts w:ascii="Abadi" w:hAnsi="Abadi"/>
          <w:b/>
          <w:bCs/>
          <w:spacing w:val="49"/>
          <w:sz w:val="20"/>
          <w:szCs w:val="20"/>
        </w:rPr>
        <w:t xml:space="preserve"> </w:t>
      </w:r>
      <w:r w:rsidRPr="00531B12">
        <w:rPr>
          <w:rFonts w:ascii="Abadi" w:hAnsi="Abadi"/>
          <w:b/>
          <w:bCs/>
          <w:sz w:val="20"/>
          <w:szCs w:val="20"/>
        </w:rPr>
        <w:t>DE</w:t>
      </w:r>
      <w:r w:rsidRPr="00531B12">
        <w:rPr>
          <w:rFonts w:ascii="Abadi" w:hAnsi="Abadi"/>
          <w:b/>
          <w:bCs/>
          <w:spacing w:val="49"/>
          <w:sz w:val="20"/>
          <w:szCs w:val="20"/>
        </w:rPr>
        <w:t xml:space="preserve"> </w:t>
      </w:r>
      <w:r w:rsidRPr="00531B12">
        <w:rPr>
          <w:rFonts w:ascii="Abadi" w:hAnsi="Abadi"/>
          <w:b/>
          <w:bCs/>
          <w:sz w:val="20"/>
          <w:szCs w:val="20"/>
        </w:rPr>
        <w:t>INFORMACIÓN</w:t>
      </w:r>
      <w:r w:rsidRPr="00531B12">
        <w:rPr>
          <w:rFonts w:ascii="Abadi" w:hAnsi="Abadi"/>
          <w:b/>
          <w:bCs/>
          <w:spacing w:val="49"/>
          <w:sz w:val="20"/>
          <w:szCs w:val="20"/>
        </w:rPr>
        <w:t xml:space="preserve"> </w:t>
      </w:r>
      <w:r w:rsidRPr="00531B12">
        <w:rPr>
          <w:rFonts w:ascii="Abadi" w:hAnsi="Abadi"/>
          <w:b/>
          <w:bCs/>
          <w:sz w:val="20"/>
          <w:szCs w:val="20"/>
        </w:rPr>
        <w:t>DE</w:t>
      </w:r>
      <w:r w:rsidRPr="00531B12">
        <w:rPr>
          <w:rFonts w:ascii="Abadi" w:hAnsi="Abadi"/>
          <w:b/>
          <w:bCs/>
          <w:spacing w:val="49"/>
          <w:sz w:val="20"/>
          <w:szCs w:val="20"/>
        </w:rPr>
        <w:t xml:space="preserve"> </w:t>
      </w:r>
      <w:r w:rsidRPr="00531B12">
        <w:rPr>
          <w:rFonts w:ascii="Abadi" w:hAnsi="Abadi"/>
          <w:b/>
          <w:bCs/>
          <w:sz w:val="20"/>
          <w:szCs w:val="20"/>
        </w:rPr>
        <w:t>BENEFICIARIOS</w:t>
      </w:r>
      <w:r w:rsidRPr="00531B12">
        <w:rPr>
          <w:rFonts w:ascii="Abadi" w:hAnsi="Abadi"/>
          <w:b/>
          <w:bCs/>
          <w:spacing w:val="49"/>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DIVERSOS</w:t>
      </w:r>
      <w:r w:rsidRPr="00531B12">
        <w:rPr>
          <w:rFonts w:ascii="Abadi" w:hAnsi="Abadi"/>
          <w:b/>
          <w:bCs/>
          <w:spacing w:val="75"/>
          <w:w w:val="150"/>
          <w:sz w:val="20"/>
          <w:szCs w:val="20"/>
        </w:rPr>
        <w:t xml:space="preserve"> </w:t>
      </w:r>
      <w:r w:rsidRPr="00531B12">
        <w:rPr>
          <w:rFonts w:ascii="Abadi" w:hAnsi="Abadi"/>
          <w:b/>
          <w:bCs/>
          <w:sz w:val="20"/>
          <w:szCs w:val="20"/>
        </w:rPr>
        <w:t>MUNICIPIOS</w:t>
      </w:r>
      <w:r w:rsidRPr="00531B12">
        <w:rPr>
          <w:rFonts w:ascii="Abadi" w:hAnsi="Abadi"/>
          <w:b/>
          <w:bCs/>
          <w:spacing w:val="75"/>
          <w:w w:val="150"/>
          <w:sz w:val="20"/>
          <w:szCs w:val="20"/>
        </w:rPr>
        <w:t xml:space="preserve"> </w:t>
      </w:r>
      <w:r w:rsidRPr="00531B12">
        <w:rPr>
          <w:rFonts w:ascii="Abadi" w:hAnsi="Abadi"/>
          <w:b/>
          <w:bCs/>
          <w:sz w:val="20"/>
          <w:szCs w:val="20"/>
        </w:rPr>
        <w:t>EN</w:t>
      </w:r>
      <w:r w:rsidRPr="00531B12">
        <w:rPr>
          <w:rFonts w:ascii="Abadi" w:hAnsi="Abadi"/>
          <w:b/>
          <w:bCs/>
          <w:spacing w:val="75"/>
          <w:w w:val="150"/>
          <w:sz w:val="20"/>
          <w:szCs w:val="20"/>
        </w:rPr>
        <w:t xml:space="preserve"> </w:t>
      </w:r>
      <w:r w:rsidRPr="00531B12">
        <w:rPr>
          <w:rFonts w:ascii="Abadi" w:hAnsi="Abadi"/>
          <w:b/>
          <w:bCs/>
          <w:sz w:val="20"/>
          <w:szCs w:val="20"/>
        </w:rPr>
        <w:t>EL</w:t>
      </w:r>
      <w:r w:rsidRPr="00531B12">
        <w:rPr>
          <w:rFonts w:ascii="Abadi" w:hAnsi="Abadi"/>
          <w:b/>
          <w:bCs/>
          <w:spacing w:val="75"/>
          <w:w w:val="150"/>
          <w:sz w:val="20"/>
          <w:szCs w:val="20"/>
        </w:rPr>
        <w:t xml:space="preserve"> </w:t>
      </w:r>
      <w:r w:rsidRPr="00531B12">
        <w:rPr>
          <w:rFonts w:ascii="Abadi" w:hAnsi="Abadi"/>
          <w:b/>
          <w:bCs/>
          <w:sz w:val="20"/>
          <w:szCs w:val="20"/>
        </w:rPr>
        <w:t>PADRÓN</w:t>
      </w:r>
      <w:r w:rsidRPr="00531B12">
        <w:rPr>
          <w:rFonts w:ascii="Abadi" w:hAnsi="Abadi"/>
          <w:b/>
          <w:bCs/>
          <w:spacing w:val="75"/>
          <w:w w:val="150"/>
          <w:sz w:val="20"/>
          <w:szCs w:val="20"/>
        </w:rPr>
        <w:t xml:space="preserve"> </w:t>
      </w:r>
      <w:r w:rsidRPr="00531B12">
        <w:rPr>
          <w:rFonts w:ascii="Abadi" w:hAnsi="Abadi"/>
          <w:b/>
          <w:bCs/>
          <w:sz w:val="20"/>
          <w:szCs w:val="20"/>
        </w:rPr>
        <w:t>ESTATAL</w:t>
      </w:r>
      <w:r w:rsidRPr="00531B12">
        <w:rPr>
          <w:rFonts w:ascii="Abadi" w:hAnsi="Abadi"/>
          <w:b/>
          <w:bCs/>
          <w:spacing w:val="75"/>
          <w:w w:val="150"/>
          <w:sz w:val="20"/>
          <w:szCs w:val="20"/>
        </w:rPr>
        <w:t xml:space="preserve"> </w:t>
      </w:r>
      <w:r w:rsidRPr="00531B12">
        <w:rPr>
          <w:rFonts w:ascii="Abadi" w:hAnsi="Abadi"/>
          <w:b/>
          <w:bCs/>
          <w:sz w:val="20"/>
          <w:szCs w:val="20"/>
        </w:rPr>
        <w:t>DE</w:t>
      </w:r>
      <w:r w:rsidRPr="00531B12">
        <w:rPr>
          <w:rFonts w:ascii="Abadi" w:hAnsi="Abadi"/>
          <w:b/>
          <w:bCs/>
          <w:spacing w:val="75"/>
          <w:w w:val="150"/>
          <w:sz w:val="20"/>
          <w:szCs w:val="20"/>
        </w:rPr>
        <w:t xml:space="preserve"> </w:t>
      </w:r>
      <w:r w:rsidRPr="00531B12">
        <w:rPr>
          <w:rFonts w:ascii="Abadi" w:hAnsi="Abadi"/>
          <w:b/>
          <w:bCs/>
          <w:sz w:val="20"/>
          <w:szCs w:val="20"/>
        </w:rPr>
        <w:t>BENEFICIARIOS</w:t>
      </w:r>
      <w:r w:rsidRPr="00531B12">
        <w:rPr>
          <w:rFonts w:ascii="Abadi" w:hAnsi="Abadi"/>
          <w:b/>
          <w:bCs/>
          <w:spacing w:val="75"/>
          <w:w w:val="150"/>
          <w:sz w:val="20"/>
          <w:szCs w:val="20"/>
        </w:rPr>
        <w:t xml:space="preserve"> </w:t>
      </w:r>
      <w:r w:rsidRPr="00531B12">
        <w:rPr>
          <w:rFonts w:ascii="Abadi" w:hAnsi="Abadi"/>
          <w:b/>
          <w:bCs/>
          <w:sz w:val="20"/>
          <w:szCs w:val="20"/>
        </w:rPr>
        <w:t>DE</w:t>
      </w:r>
      <w:r w:rsidRPr="00531B12">
        <w:rPr>
          <w:rFonts w:ascii="Abadi" w:hAnsi="Abadi"/>
          <w:b/>
          <w:bCs/>
          <w:spacing w:val="75"/>
          <w:w w:val="150"/>
          <w:sz w:val="20"/>
          <w:szCs w:val="20"/>
        </w:rPr>
        <w:t xml:space="preserve"> </w:t>
      </w:r>
      <w:r w:rsidRPr="00531B12">
        <w:rPr>
          <w:rFonts w:ascii="Abadi" w:hAnsi="Abadi"/>
          <w:b/>
          <w:bCs/>
          <w:sz w:val="20"/>
          <w:szCs w:val="20"/>
        </w:rPr>
        <w:t>DICHO</w:t>
      </w:r>
      <w:r w:rsidRPr="00531B12">
        <w:rPr>
          <w:rFonts w:ascii="Abadi" w:hAnsi="Abadi"/>
          <w:b/>
          <w:bCs/>
          <w:spacing w:val="-2"/>
          <w:sz w:val="20"/>
          <w:szCs w:val="20"/>
        </w:rPr>
        <w:t xml:space="preserve"> </w:t>
      </w:r>
      <w:r w:rsidRPr="00531B12">
        <w:rPr>
          <w:rFonts w:ascii="Abadi" w:hAnsi="Abadi"/>
          <w:b/>
          <w:bCs/>
          <w:sz w:val="20"/>
          <w:szCs w:val="20"/>
        </w:rPr>
        <w:t>PROGRAMA.</w:t>
      </w:r>
    </w:p>
    <w:p w14:paraId="16BFBE1C" w14:textId="6F0BF19F" w:rsidR="00A64851" w:rsidRDefault="00A64851" w:rsidP="006839E3">
      <w:pPr>
        <w:rPr>
          <w:rFonts w:ascii="Abadi" w:hAnsi="Abadi"/>
          <w:b/>
          <w:bCs/>
          <w:sz w:val="20"/>
          <w:szCs w:val="20"/>
        </w:rPr>
      </w:pPr>
    </w:p>
    <w:p w14:paraId="6A4E5F45" w14:textId="77777777" w:rsidR="00B013E0" w:rsidRDefault="00B013E0" w:rsidP="0089392A">
      <w:pPr>
        <w:rPr>
          <w:rFonts w:ascii="Abadi" w:hAnsi="Abadi" w:cs="Arial"/>
          <w:b/>
          <w:iCs/>
          <w:smallCaps/>
          <w:sz w:val="21"/>
          <w:szCs w:val="21"/>
          <w:lang w:val="es-MX" w:eastAsia="en-US"/>
        </w:rPr>
      </w:pPr>
    </w:p>
    <w:p w14:paraId="0FBCBF8A" w14:textId="0A61F05A" w:rsidR="0089392A" w:rsidRPr="0089392A" w:rsidRDefault="0089392A" w:rsidP="0089392A">
      <w:pPr>
        <w:rPr>
          <w:rFonts w:ascii="Abadi" w:hAnsi="Abadi" w:cs="Arial"/>
          <w:b/>
          <w:iCs/>
          <w:smallCaps/>
          <w:sz w:val="21"/>
          <w:szCs w:val="21"/>
          <w:lang w:val="es-MX" w:eastAsia="en-US"/>
        </w:rPr>
      </w:pPr>
      <w:r w:rsidRPr="0089392A">
        <w:rPr>
          <w:rFonts w:ascii="Abadi" w:hAnsi="Abadi" w:cs="Arial"/>
          <w:b/>
          <w:iCs/>
          <w:smallCaps/>
          <w:sz w:val="21"/>
          <w:szCs w:val="21"/>
          <w:lang w:val="es-MX" w:eastAsia="en-US"/>
        </w:rPr>
        <w:t>C. Presidenta del Congreso del Estado.</w:t>
      </w:r>
    </w:p>
    <w:p w14:paraId="570CB938" w14:textId="77777777" w:rsidR="0089392A" w:rsidRPr="0089392A" w:rsidRDefault="0089392A" w:rsidP="0089392A">
      <w:pPr>
        <w:jc w:val="both"/>
        <w:rPr>
          <w:rFonts w:ascii="Abadi" w:hAnsi="Abadi" w:cs="Arial"/>
          <w:b/>
          <w:iCs/>
          <w:smallCaps/>
          <w:sz w:val="21"/>
          <w:szCs w:val="21"/>
          <w:lang w:val="es-MX" w:eastAsia="en-US"/>
        </w:rPr>
      </w:pPr>
      <w:r w:rsidRPr="0089392A">
        <w:rPr>
          <w:rFonts w:ascii="Abadi" w:hAnsi="Abadi" w:cs="Arial"/>
          <w:b/>
          <w:iCs/>
          <w:smallCaps/>
          <w:sz w:val="21"/>
          <w:szCs w:val="21"/>
          <w:lang w:val="es-MX" w:eastAsia="en-US"/>
        </w:rPr>
        <w:t>P r e s e n t e.</w:t>
      </w:r>
    </w:p>
    <w:p w14:paraId="1E2A7A01" w14:textId="77777777" w:rsidR="0089392A" w:rsidRPr="0089392A" w:rsidRDefault="0089392A" w:rsidP="0089392A">
      <w:pPr>
        <w:spacing w:after="160" w:line="360" w:lineRule="auto"/>
        <w:jc w:val="both"/>
        <w:rPr>
          <w:rFonts w:ascii="Abadi" w:hAnsi="Abadi" w:cs="Arial"/>
          <w:iCs/>
          <w:sz w:val="21"/>
          <w:szCs w:val="21"/>
          <w:lang w:val="es-MX" w:eastAsia="en-US"/>
        </w:rPr>
      </w:pPr>
    </w:p>
    <w:p w14:paraId="5E9737FA" w14:textId="77777777" w:rsidR="0089392A" w:rsidRPr="0089392A" w:rsidRDefault="0089392A" w:rsidP="0089392A">
      <w:pPr>
        <w:spacing w:after="160"/>
        <w:jc w:val="both"/>
        <w:rPr>
          <w:rFonts w:ascii="Abadi" w:hAnsi="Abadi" w:cs="Arial"/>
          <w:iCs/>
          <w:sz w:val="21"/>
          <w:szCs w:val="21"/>
          <w:lang w:val="es-MX" w:eastAsia="en-US"/>
        </w:rPr>
      </w:pPr>
      <w:r w:rsidRPr="0089392A">
        <w:rPr>
          <w:rFonts w:ascii="Abadi" w:hAnsi="Abadi" w:cs="Arial"/>
          <w:iCs/>
          <w:sz w:val="21"/>
          <w:szCs w:val="21"/>
          <w:lang w:val="es-MX" w:eastAsia="en-US"/>
        </w:rPr>
        <w:tab/>
        <w:t xml:space="preserve">A esta Comisión de Hacienda y Fiscalización le fue turnada para efectos de su estudio y dictamen, la propuesta de punto de acuerdo formulada por el diputado Ernesto Alejandro Prieto Gallardo, integrante del Grupo Parlamentario del Partido MORENA, </w:t>
      </w:r>
      <w:bookmarkStart w:id="19" w:name="_Hlk85450109"/>
      <w:r w:rsidRPr="0089392A">
        <w:rPr>
          <w:rFonts w:ascii="Abadi" w:hAnsi="Abadi" w:cs="Arial"/>
          <w:iCs/>
          <w:sz w:val="21"/>
          <w:szCs w:val="21"/>
          <w:lang w:val="es-MX" w:eastAsia="en-US"/>
        </w:rPr>
        <w:t xml:space="preserve">a efecto de </w:t>
      </w:r>
      <w:bookmarkEnd w:id="19"/>
      <w:r w:rsidRPr="0089392A">
        <w:rPr>
          <w:rFonts w:ascii="Abadi" w:hAnsi="Abadi"/>
          <w:sz w:val="21"/>
          <w:szCs w:val="21"/>
          <w:lang w:val="es-ES_tradnl" w:eastAsia="en-US"/>
        </w:rPr>
        <w:lastRenderedPageBreak/>
        <w:t xml:space="preserve">solicitar al titular de la Secretaría de Desarrollo Social y Humano del Gobierno del Estado de Guanajuato informe sobre presuntas irregularidades y violación a las Reglas de Operación del Programa </w:t>
      </w:r>
      <w:r w:rsidRPr="0089392A">
        <w:rPr>
          <w:rFonts w:ascii="Abadi" w:hAnsi="Abadi"/>
          <w:i/>
          <w:iCs/>
          <w:sz w:val="21"/>
          <w:szCs w:val="21"/>
          <w:lang w:val="es-ES_tradnl" w:eastAsia="en-US"/>
        </w:rPr>
        <w:t>Vale Grandeza – Compra Local</w:t>
      </w:r>
      <w:r w:rsidRPr="0089392A">
        <w:rPr>
          <w:rFonts w:ascii="Abadi" w:hAnsi="Abadi"/>
          <w:sz w:val="21"/>
          <w:szCs w:val="21"/>
          <w:lang w:val="es-ES_tradnl" w:eastAsia="en-US"/>
        </w:rPr>
        <w:t xml:space="preserve"> para el ejercicio fiscal de 2021</w:t>
      </w:r>
      <w:r w:rsidRPr="0089392A">
        <w:rPr>
          <w:rFonts w:ascii="Abadi" w:hAnsi="Abadi" w:cs="Arial"/>
          <w:iCs/>
          <w:sz w:val="21"/>
          <w:szCs w:val="21"/>
          <w:lang w:val="es-MX" w:eastAsia="en-US"/>
        </w:rPr>
        <w:t xml:space="preserve"> y hacerlo del conocimiento de la Auditoría Superior del Estado</w:t>
      </w:r>
      <w:r w:rsidRPr="0089392A">
        <w:rPr>
          <w:rFonts w:ascii="Abadi" w:hAnsi="Abadi"/>
          <w:sz w:val="21"/>
          <w:szCs w:val="21"/>
          <w:lang w:val="es-ES_tradnl" w:eastAsia="en-US"/>
        </w:rPr>
        <w:t xml:space="preserve"> para que investigue y audite la falta de información de beneficiarios de diversos municipios en el Padrón Estatal de Beneficiarios de dicho Programa.</w:t>
      </w:r>
    </w:p>
    <w:p w14:paraId="6A4B53D3" w14:textId="77777777" w:rsidR="0089392A" w:rsidRPr="0089392A" w:rsidRDefault="0089392A" w:rsidP="0089392A">
      <w:pPr>
        <w:spacing w:after="160"/>
        <w:jc w:val="both"/>
        <w:rPr>
          <w:rFonts w:ascii="Abadi" w:hAnsi="Abadi" w:cs="Arial"/>
          <w:iCs/>
          <w:sz w:val="21"/>
          <w:szCs w:val="21"/>
          <w:lang w:val="es-MX" w:eastAsia="en-US"/>
        </w:rPr>
      </w:pPr>
      <w:r w:rsidRPr="0089392A">
        <w:rPr>
          <w:rFonts w:ascii="Abadi" w:hAnsi="Abadi" w:cs="Arial"/>
          <w:iCs/>
          <w:sz w:val="21"/>
          <w:szCs w:val="21"/>
          <w:lang w:val="es-MX" w:eastAsia="en-US"/>
        </w:rPr>
        <w:tab/>
        <w:t xml:space="preserve">Analizada la propuesta de referencia, con fundamento en los artículos 75, 89, fracción V, 112, fracción XV y 171 de </w:t>
      </w:r>
      <w:smartTag w:uri="urn:schemas-microsoft-com:office:smarttags" w:element="PersonName">
        <w:smartTagPr>
          <w:attr w:name="ProductID" w:val="la Ley Org￡nica"/>
        </w:smartTagPr>
        <w:r w:rsidRPr="0089392A">
          <w:rPr>
            <w:rFonts w:ascii="Abadi" w:hAnsi="Abadi" w:cs="Arial"/>
            <w:iCs/>
            <w:sz w:val="21"/>
            <w:szCs w:val="21"/>
            <w:lang w:val="es-MX" w:eastAsia="en-US"/>
          </w:rPr>
          <w:t>la Ley Orgánica</w:t>
        </w:r>
      </w:smartTag>
      <w:r w:rsidRPr="0089392A">
        <w:rPr>
          <w:rFonts w:ascii="Abadi" w:hAnsi="Abadi" w:cs="Arial"/>
          <w:iCs/>
          <w:sz w:val="21"/>
          <w:szCs w:val="21"/>
          <w:lang w:val="es-MX" w:eastAsia="en-US"/>
        </w:rPr>
        <w:t xml:space="preserve"> del Poder Legislativo del Estado de Guanajuato, nos permitimos rendir el siguiente:</w:t>
      </w:r>
    </w:p>
    <w:p w14:paraId="7BAF2D18" w14:textId="77777777" w:rsidR="00B013E0" w:rsidRDefault="00B013E0" w:rsidP="0089392A">
      <w:pPr>
        <w:keepNext/>
        <w:spacing w:after="160" w:line="360" w:lineRule="auto"/>
        <w:jc w:val="center"/>
        <w:outlineLvl w:val="0"/>
        <w:rPr>
          <w:rFonts w:ascii="Abadi" w:hAnsi="Abadi" w:cs="Arial"/>
          <w:b/>
          <w:iCs/>
          <w:sz w:val="21"/>
          <w:szCs w:val="21"/>
          <w:lang w:val="es-MX" w:eastAsia="en-US"/>
        </w:rPr>
      </w:pPr>
    </w:p>
    <w:p w14:paraId="66DBB5F8" w14:textId="46A67A50" w:rsidR="0089392A" w:rsidRPr="0089392A" w:rsidRDefault="0089392A" w:rsidP="0089392A">
      <w:pPr>
        <w:keepNext/>
        <w:spacing w:after="160" w:line="360" w:lineRule="auto"/>
        <w:jc w:val="center"/>
        <w:outlineLvl w:val="0"/>
        <w:rPr>
          <w:rFonts w:ascii="Abadi" w:hAnsi="Abadi" w:cs="Arial"/>
          <w:b/>
          <w:iCs/>
          <w:sz w:val="21"/>
          <w:szCs w:val="21"/>
          <w:lang w:val="es-MX" w:eastAsia="en-US"/>
        </w:rPr>
      </w:pPr>
      <w:r w:rsidRPr="0089392A">
        <w:rPr>
          <w:rFonts w:ascii="Abadi" w:hAnsi="Abadi" w:cs="Arial"/>
          <w:b/>
          <w:iCs/>
          <w:sz w:val="21"/>
          <w:szCs w:val="21"/>
          <w:lang w:val="es-MX" w:eastAsia="en-US"/>
        </w:rPr>
        <w:t xml:space="preserve">D i c t a m e n </w:t>
      </w:r>
    </w:p>
    <w:p w14:paraId="15E0CFA7" w14:textId="77777777" w:rsidR="0089392A" w:rsidRPr="0089392A" w:rsidRDefault="0089392A" w:rsidP="0089392A">
      <w:pPr>
        <w:numPr>
          <w:ilvl w:val="0"/>
          <w:numId w:val="36"/>
        </w:numPr>
        <w:spacing w:after="160" w:line="259" w:lineRule="auto"/>
        <w:jc w:val="both"/>
        <w:rPr>
          <w:rFonts w:ascii="Abadi" w:hAnsi="Abadi" w:cs="Arial"/>
          <w:b/>
          <w:bCs/>
          <w:sz w:val="21"/>
          <w:szCs w:val="21"/>
          <w:lang w:val="es-MX" w:eastAsia="en-US"/>
        </w:rPr>
      </w:pPr>
      <w:r w:rsidRPr="0089392A">
        <w:rPr>
          <w:rFonts w:ascii="Abadi" w:hAnsi="Abadi" w:cs="Arial"/>
          <w:b/>
          <w:bCs/>
          <w:sz w:val="21"/>
          <w:szCs w:val="21"/>
          <w:lang w:val="es-MX" w:eastAsia="en-US"/>
        </w:rPr>
        <w:t>Antecedentes</w:t>
      </w:r>
    </w:p>
    <w:p w14:paraId="6C8AE400" w14:textId="77777777" w:rsidR="0089392A" w:rsidRPr="0089392A" w:rsidRDefault="0089392A" w:rsidP="0089392A">
      <w:pPr>
        <w:spacing w:after="160"/>
        <w:jc w:val="both"/>
        <w:rPr>
          <w:rFonts w:ascii="Abadi" w:hAnsi="Abadi" w:cs="Arial"/>
          <w:iCs/>
          <w:sz w:val="21"/>
          <w:szCs w:val="21"/>
          <w:lang w:val="es-MX" w:eastAsia="en-US"/>
        </w:rPr>
      </w:pPr>
      <w:r w:rsidRPr="0089392A">
        <w:rPr>
          <w:rFonts w:ascii="Abadi" w:hAnsi="Abadi" w:cs="Arial"/>
          <w:iCs/>
          <w:sz w:val="21"/>
          <w:szCs w:val="21"/>
          <w:lang w:val="es-MX" w:eastAsia="en-US"/>
        </w:rPr>
        <w:tab/>
        <w:t xml:space="preserve">El diputado Ernesto Alejandro Prieto Gallardo, integrante del Grupo Parlamentario del Partido MORENA, en sesión ordinaria celebrada el 14 de octubre de 2021 presentó la propuesta de punto de acuerdo a efecto de </w:t>
      </w:r>
      <w:r w:rsidRPr="0089392A">
        <w:rPr>
          <w:rFonts w:ascii="Abadi" w:hAnsi="Abadi"/>
          <w:sz w:val="21"/>
          <w:szCs w:val="21"/>
          <w:lang w:val="es-ES_tradnl" w:eastAsia="en-US"/>
        </w:rPr>
        <w:t xml:space="preserve">solicitar al titular de la Secretaría de Desarrollo Social y Humano del Gobierno del Estado de Guanajuato, informe sobre la irregularidad y violación a las Reglas de Operación del Programa </w:t>
      </w:r>
      <w:r w:rsidRPr="0089392A">
        <w:rPr>
          <w:rFonts w:ascii="Abadi" w:hAnsi="Abadi"/>
          <w:i/>
          <w:iCs/>
          <w:sz w:val="21"/>
          <w:szCs w:val="21"/>
          <w:lang w:val="es-ES_tradnl" w:eastAsia="en-US"/>
        </w:rPr>
        <w:t>Vale Grandeza – Compra Local</w:t>
      </w:r>
      <w:r w:rsidRPr="0089392A">
        <w:rPr>
          <w:rFonts w:ascii="Abadi" w:hAnsi="Abadi"/>
          <w:sz w:val="21"/>
          <w:szCs w:val="21"/>
          <w:lang w:val="es-ES_tradnl" w:eastAsia="en-US"/>
        </w:rPr>
        <w:t xml:space="preserve"> para el ejercicio fiscal de 2021, al haberse ampliado injustificadamente el número de beneficiarios, pasando de 12,400, conforme al artículo 11 de las Reglas de Operación que pudieron recibir el apoyo sustancial de hasta $6,000.00 (doce ocasiones de $500.00), a un total reportado en el Padrón Estatal de Beneficiarios de 54,483 personas, que se reporta han recibido un apoyo por única ocasión de $500.00, con el que evidentemente no se cumple con la eficiencia, eficacia, economía, transparencia y honradez con que deben administrarse los recursos públicos. Asimismo, informe sobre la falta de información de beneficiarios en los doce municipios que no aparecen al consultarse por Municipio, el Padrón Estatal de Beneficiarios en lo referente al Programa </w:t>
      </w:r>
      <w:r w:rsidRPr="0089392A">
        <w:rPr>
          <w:rFonts w:ascii="Abadi" w:hAnsi="Abadi"/>
          <w:i/>
          <w:iCs/>
          <w:sz w:val="21"/>
          <w:szCs w:val="21"/>
          <w:lang w:val="es-ES_tradnl" w:eastAsia="en-US"/>
        </w:rPr>
        <w:t>Vale Grandeza – compra local</w:t>
      </w:r>
      <w:r w:rsidRPr="0089392A">
        <w:rPr>
          <w:rFonts w:ascii="Abadi" w:hAnsi="Abadi"/>
          <w:sz w:val="21"/>
          <w:szCs w:val="21"/>
          <w:lang w:val="es-ES_tradnl" w:eastAsia="en-US"/>
        </w:rPr>
        <w:t xml:space="preserve">, ejercido en el año 2021; así como hacer de conocimiento a la Auditoría Superior del Estado de Guanajuato la irregularidad y violación a las Reglas de Operación del Programa </w:t>
      </w:r>
      <w:r w:rsidRPr="0089392A">
        <w:rPr>
          <w:rFonts w:ascii="Abadi" w:hAnsi="Abadi"/>
          <w:i/>
          <w:iCs/>
          <w:sz w:val="21"/>
          <w:szCs w:val="21"/>
          <w:lang w:val="es-ES_tradnl" w:eastAsia="en-US"/>
        </w:rPr>
        <w:t>Vale Grandeza – Compra Local</w:t>
      </w:r>
      <w:r w:rsidRPr="0089392A">
        <w:rPr>
          <w:rFonts w:ascii="Abadi" w:hAnsi="Abadi"/>
          <w:sz w:val="21"/>
          <w:szCs w:val="21"/>
          <w:lang w:val="es-ES_tradnl" w:eastAsia="en-US"/>
        </w:rPr>
        <w:t xml:space="preserve"> para el ejercicio fiscal de 2021, en que ha incurrido la Secretaría de Desarrollo </w:t>
      </w:r>
      <w:r w:rsidRPr="0089392A">
        <w:rPr>
          <w:rFonts w:ascii="Abadi" w:hAnsi="Abadi"/>
          <w:sz w:val="21"/>
          <w:szCs w:val="21"/>
          <w:lang w:val="es-ES_tradnl" w:eastAsia="en-US"/>
        </w:rPr>
        <w:t xml:space="preserve">Social y Humano del Gobierno del Estado de Guanajuato, al haberse ampliado injustificadamente el número de beneficiarios, pasando de 12,400 conforme al artículo 11 de las Reglas de Operación que pudieron recibir el apoyo sustancial de hasta $6,000.00 (doce ocasiones de $500.00), a un total reportado en el Padrón Estatal de Beneficiarios de 54,483 personas, que se reporta han recibido un apoyo por única ocasión de $500.00, con el que evidentemente no se cumple con la eficiencia, eficacia, economía, transparencia y honradez con que deben administrarse los recursos públicos. Asimismo, para que investigue y audite la falta de información de beneficiarios en los doce municipios que no aparecen al consultarse por Municipio, el Padrón Estatal de Beneficiarios en lo referente al programa Vale </w:t>
      </w:r>
      <w:r w:rsidRPr="0089392A">
        <w:rPr>
          <w:rFonts w:ascii="Abadi" w:hAnsi="Abadi"/>
          <w:i/>
          <w:iCs/>
          <w:sz w:val="21"/>
          <w:szCs w:val="21"/>
          <w:lang w:val="es-ES_tradnl" w:eastAsia="en-US"/>
        </w:rPr>
        <w:t>Grandeza – compra local</w:t>
      </w:r>
      <w:r w:rsidRPr="0089392A">
        <w:rPr>
          <w:rFonts w:ascii="Abadi" w:hAnsi="Abadi"/>
          <w:sz w:val="21"/>
          <w:szCs w:val="21"/>
          <w:lang w:val="es-ES_tradnl" w:eastAsia="en-US"/>
        </w:rPr>
        <w:t>, ejercido en el año 2021</w:t>
      </w:r>
      <w:r w:rsidRPr="0089392A">
        <w:rPr>
          <w:rFonts w:ascii="Abadi" w:hAnsi="Abadi" w:cs="Arial"/>
          <w:iCs/>
          <w:sz w:val="21"/>
          <w:szCs w:val="21"/>
          <w:lang w:val="es-MX" w:eastAsia="en-US"/>
        </w:rPr>
        <w:t xml:space="preserve">. </w:t>
      </w:r>
    </w:p>
    <w:p w14:paraId="2759C5E5" w14:textId="77777777" w:rsidR="0089392A" w:rsidRPr="0089392A" w:rsidRDefault="0089392A" w:rsidP="0089392A">
      <w:pPr>
        <w:spacing w:after="160"/>
        <w:ind w:firstLine="708"/>
        <w:jc w:val="both"/>
        <w:rPr>
          <w:rFonts w:ascii="Abadi" w:hAnsi="Abadi"/>
          <w:sz w:val="21"/>
          <w:szCs w:val="21"/>
          <w:lang w:val="es-MX" w:eastAsia="en-US"/>
        </w:rPr>
      </w:pPr>
      <w:r w:rsidRPr="0089392A">
        <w:rPr>
          <w:rFonts w:ascii="Abadi" w:hAnsi="Abadi" w:cs="Arial"/>
          <w:iCs/>
          <w:sz w:val="21"/>
          <w:szCs w:val="21"/>
          <w:lang w:val="es-MX" w:eastAsia="en-US"/>
        </w:rPr>
        <w:t>La referida propuesta</w:t>
      </w:r>
      <w:r w:rsidRPr="0089392A">
        <w:rPr>
          <w:rFonts w:ascii="Abadi" w:hAnsi="Abadi"/>
          <w:sz w:val="21"/>
          <w:szCs w:val="21"/>
          <w:lang w:val="es-MX" w:eastAsia="en-US"/>
        </w:rPr>
        <w:t xml:space="preserve"> se turnó por la presidencia a esta Comisión de Hacienda y Fiscalización para su estudio y dictamen, con fundamento en la fracción XV del artículo 112 de la Ley Orgánica del Poder Legislativo del Estado de Guanajuato, misma que se radicó en la reunión celebrada el 19 de octubre de 2021. En dicha reunión se acordó requerir al Auditor Superior del Estado la elaboración de una ficha técnica respecto a dicha propuesta, misma que dicho funcionario expuso a esta Comisión en la reunión celebrada el 14 de junio del año en curso.</w:t>
      </w:r>
    </w:p>
    <w:p w14:paraId="6DA90EFB" w14:textId="77777777" w:rsidR="00C4562C" w:rsidRDefault="00C4562C" w:rsidP="00C4562C">
      <w:pPr>
        <w:spacing w:after="160" w:line="259" w:lineRule="auto"/>
        <w:ind w:left="1080"/>
        <w:jc w:val="both"/>
        <w:rPr>
          <w:rFonts w:ascii="Abadi" w:hAnsi="Abadi" w:cs="Arial"/>
          <w:b/>
          <w:bCs/>
          <w:sz w:val="21"/>
          <w:szCs w:val="21"/>
          <w:lang w:val="es-MX" w:eastAsia="en-US"/>
        </w:rPr>
      </w:pPr>
    </w:p>
    <w:p w14:paraId="3A099944" w14:textId="267B9252" w:rsidR="0089392A" w:rsidRPr="0089392A" w:rsidRDefault="0089392A" w:rsidP="0089392A">
      <w:pPr>
        <w:numPr>
          <w:ilvl w:val="0"/>
          <w:numId w:val="36"/>
        </w:numPr>
        <w:spacing w:after="160" w:line="259" w:lineRule="auto"/>
        <w:jc w:val="both"/>
        <w:rPr>
          <w:rFonts w:ascii="Abadi" w:hAnsi="Abadi" w:cs="Arial"/>
          <w:b/>
          <w:bCs/>
          <w:sz w:val="21"/>
          <w:szCs w:val="21"/>
          <w:lang w:val="es-MX" w:eastAsia="en-US"/>
        </w:rPr>
      </w:pPr>
      <w:r w:rsidRPr="0089392A">
        <w:rPr>
          <w:rFonts w:ascii="Abadi" w:hAnsi="Abadi" w:cs="Arial"/>
          <w:b/>
          <w:bCs/>
          <w:sz w:val="21"/>
          <w:szCs w:val="21"/>
          <w:lang w:val="es-MX" w:eastAsia="en-US"/>
        </w:rPr>
        <w:t>Consideraciones del proponente</w:t>
      </w:r>
    </w:p>
    <w:p w14:paraId="1D498C96" w14:textId="77777777" w:rsidR="0089392A" w:rsidRPr="0089392A" w:rsidRDefault="0089392A" w:rsidP="0089392A">
      <w:pPr>
        <w:spacing w:after="160" w:line="360" w:lineRule="auto"/>
        <w:ind w:firstLine="708"/>
        <w:jc w:val="both"/>
        <w:rPr>
          <w:rFonts w:ascii="Abadi" w:hAnsi="Abadi"/>
          <w:sz w:val="21"/>
          <w:szCs w:val="21"/>
          <w:lang w:val="es-MX" w:eastAsia="en-US"/>
        </w:rPr>
      </w:pPr>
      <w:r w:rsidRPr="0089392A">
        <w:rPr>
          <w:rFonts w:ascii="Abadi" w:hAnsi="Abadi"/>
          <w:sz w:val="21"/>
          <w:szCs w:val="21"/>
          <w:lang w:val="es-MX" w:eastAsia="en-US"/>
        </w:rPr>
        <w:t>En las consideraciones expuestas por el proponente se refiere:</w:t>
      </w:r>
    </w:p>
    <w:p w14:paraId="29A329E4"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El artículo 134 de la Constitución Federal establece que los recursos económicos de que dispongan las entidades federativas deben administrarse con eficiencia, eficacia, economía, transparencia y honradez. </w:t>
      </w:r>
    </w:p>
    <w:p w14:paraId="738AC9AC"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El Gobierno del Estado de Guanajuato creó en el año 2020 el programa “Vale Grandeza – compra local”, al que dio continuidad para el ejercicio 2021, publicándose el 31 de diciembre del 2020, en el periódico oficial las “Reglas de operación del Programa Vale </w:t>
      </w:r>
      <w:r w:rsidRPr="0089392A">
        <w:rPr>
          <w:rFonts w:ascii="Abadi" w:hAnsi="Abadi" w:cs="Arial"/>
          <w:i/>
          <w:sz w:val="21"/>
          <w:szCs w:val="21"/>
          <w:lang w:val="es-MX" w:eastAsia="en-US"/>
        </w:rPr>
        <w:lastRenderedPageBreak/>
        <w:t xml:space="preserve">Grandeza – Compra Local para el Ejercicio Fiscal de 2021” (sic). </w:t>
      </w:r>
    </w:p>
    <w:p w14:paraId="2E67AE04"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En las consideraciones expuestas al emitirse las Reglas de operación, en el párrafo cuarto se reconoce que con base en el Informe de Evaluación de la Política de Desarrollo Social (IEPDS), que emitió CONEVAL en el 2018, se tenía un 4.2% de la población en pobreza extrema. Esta cantidad significa un aproximado de 240,000 personas guanajuatenses. </w:t>
      </w:r>
    </w:p>
    <w:p w14:paraId="5A8BA3E5"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Como “Contexto del Programa” se estableció en esas Reglas de operación que el programa “Vale Grandeza – compra local” servía para complementar la Estrategia impulso económico Gto, que a su vez era parte del Plan de Acción GTO, exponiendo que se implementó “para salir adelante ante la contingencia de salud provocada por el virus SARS-COV-2 o COVID-19, apoyando a los guanajuatenses que se encuentran en situación de vulnerabilidad por falta de ingresos, de forma oportuna, rápida y eficaz, mediante el otorgamiento de vales económicos, para adquirir productos de primera necesidad, que permitan satisfacer sus necesidades básicas, coadyuvando al mejoramiento de la calidad de vida de las personas, familias y de la comunidad…”</w:t>
      </w:r>
    </w:p>
    <w:p w14:paraId="3A1B7D3B"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Por otra parte, se tiene que el artículo 11 de las Reglas de operación establece a la letra:</w:t>
      </w:r>
    </w:p>
    <w:p w14:paraId="4BA00FA2"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Artículo 11. El programa tiene como meta beneficiar a 12,400 doce mil cuatrocientos personas con el otorgamiento de apoyos Vales Grandeza.</w:t>
      </w:r>
    </w:p>
    <w:p w14:paraId="56849377"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A su vez, el artículo 10 de las Reglas de operación especifica que el tipo de apoyo es el consistente en la entrega de 10 Vales Grandeza con un valor de $50.00 (cincuenta pesos 00/100 M.N.), los que suman un total de $500.00 (quinientos pesos 00/100 M.N.), que se entregan a la </w:t>
      </w:r>
      <w:r w:rsidRPr="0089392A">
        <w:rPr>
          <w:rFonts w:ascii="Abadi" w:hAnsi="Abadi" w:cs="Arial"/>
          <w:i/>
          <w:sz w:val="21"/>
          <w:szCs w:val="21"/>
          <w:lang w:val="es-MX" w:eastAsia="en-US"/>
        </w:rPr>
        <w:t>persona beneficiaria, hasta por doce ocasiones.</w:t>
      </w:r>
    </w:p>
    <w:p w14:paraId="371A1F5D"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Artículo 10. El Programa oferta los siguientes tipos de apoyos: </w:t>
      </w:r>
    </w:p>
    <w:p w14:paraId="0031F22E"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La entrega de 10 Vales Grandeza con un valor equivalente cada uno de $50.00 (cincuenta pesos 00/100 M.N), siendo la suma total de $500.00 (quinientos pesos 00/100 M.N.) que se entrega a la persona beneficiaria, hasta por doce ocasiones, canjeables por productos básicos en los comercios locales participantes del Programa.</w:t>
      </w:r>
    </w:p>
    <w:p w14:paraId="17247574"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Bajo la regla de recibir el apoyo hasta por doce ocasiones, se tiene que los beneficiarios llegarían a recibir hasta $6,000.00 seis mil pesos en total. </w:t>
      </w:r>
    </w:p>
    <w:p w14:paraId="6CBA9318"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Con los datos citados, bajo un análisis sencillo, se advierten claras inconsistencias.</w:t>
      </w:r>
    </w:p>
    <w:p w14:paraId="4CA9F184"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Considerando que de acuerdo al Censo de Población y Vivienda 2020 del Instituto Nacional de Estadística y Geografía (INEGI), el Estado de Guanajuato tiene 6´166,934 seis millones ciento sesenta y seis mil novecientos treinta y cuatro habitantes.</w:t>
      </w:r>
      <w:r w:rsidRPr="0089392A">
        <w:rPr>
          <w:rFonts w:ascii="Abadi" w:hAnsi="Abadi" w:cs="Arial"/>
          <w:i/>
          <w:sz w:val="21"/>
          <w:szCs w:val="21"/>
          <w:vertAlign w:val="superscript"/>
          <w:lang w:val="es-MX" w:eastAsia="en-US"/>
        </w:rPr>
        <w:footnoteReference w:id="113"/>
      </w:r>
    </w:p>
    <w:p w14:paraId="2EA3334A"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Primeramente podemos establecer que un programa social como el descrito, cuya meta establecida fue beneficiar 12,400 doce mil cuatrocientos ciudadanos, representa solo el 0.20% del total de población, lo que es un porcentaje muy mínimo. </w:t>
      </w:r>
    </w:p>
    <w:p w14:paraId="45F36BA9"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A su vez, de acuerdo con el Informe de pobreza y evaluación 2020 Guanajuato2 elaborado por el Consejo Nacional de Evaluación de la Política Social (CONEVAL), se tiene como información lo siguiente, en la página 14 de este informe:</w:t>
      </w:r>
    </w:p>
    <w:p w14:paraId="2675FAB4"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“En 2018, el 80.3% de la población en #Guanajuato estaba en situación de </w:t>
      </w:r>
      <w:r w:rsidRPr="0089392A">
        <w:rPr>
          <w:rFonts w:ascii="Abadi" w:hAnsi="Abadi" w:cs="Arial"/>
          <w:i/>
          <w:sz w:val="21"/>
          <w:szCs w:val="21"/>
          <w:lang w:val="es-MX" w:eastAsia="en-US"/>
        </w:rPr>
        <w:lastRenderedPageBreak/>
        <w:t xml:space="preserve">#pobreza o de #vulnerabilidad por carencias o ingresos. </w:t>
      </w:r>
    </w:p>
    <w:p w14:paraId="171F89BC"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De acuerdo con los resultados de la medición de la pobreza 2018, el 43.4% de la población de la entidad vivía en situación de pobreza, es decir, 2,587,800 personas, aproximadamente. De este universo, el 39.1% (cerca de 2,334,600 personas) estaba en situación de pobreza moderada, mientras que el 4.2% de la población se encontraba en situación de pobreza extrema (alrededor de 253,300 personas). </w:t>
      </w:r>
      <w:r w:rsidRPr="0089392A">
        <w:rPr>
          <w:rFonts w:ascii="Abadi" w:hAnsi="Abadi" w:cs="Arial"/>
          <w:b/>
          <w:bCs/>
          <w:i/>
          <w:sz w:val="21"/>
          <w:szCs w:val="21"/>
          <w:lang w:val="es-MX" w:eastAsia="en-US"/>
        </w:rPr>
        <w:t>El porcentaje de pobreza en Guanajuato es 1.5 puntos porcentuales mayor que el porcentaje nacional (41.9%).</w:t>
      </w:r>
      <w:r w:rsidRPr="0089392A">
        <w:rPr>
          <w:rFonts w:ascii="Abadi" w:hAnsi="Abadi" w:cs="Arial"/>
          <w:i/>
          <w:sz w:val="21"/>
          <w:szCs w:val="21"/>
          <w:lang w:val="es-MX" w:eastAsia="en-US"/>
        </w:rPr>
        <w:t xml:space="preserve"> </w:t>
      </w:r>
    </w:p>
    <w:p w14:paraId="2FF3A992" w14:textId="77777777" w:rsidR="0089392A" w:rsidRPr="0089392A" w:rsidRDefault="0089392A" w:rsidP="0089392A">
      <w:pPr>
        <w:spacing w:after="160" w:line="259" w:lineRule="auto"/>
        <w:ind w:left="709"/>
        <w:jc w:val="both"/>
        <w:rPr>
          <w:rFonts w:ascii="Abadi" w:hAnsi="Abadi" w:cs="Arial"/>
          <w:i/>
          <w:sz w:val="21"/>
          <w:szCs w:val="21"/>
          <w:lang w:val="es-MX" w:eastAsia="en-US"/>
        </w:rPr>
      </w:pPr>
    </w:p>
    <w:p w14:paraId="31BD0953"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En ese mismo año, el porcentaje de población vulnerable por carencias sociales en Guanajuato fue de 29.4%, es decir, 1,755,000 personas, aproximadamente, presentaron al menos una carencia. Al mismo tiempo, </w:t>
      </w:r>
      <w:r w:rsidRPr="0089392A">
        <w:rPr>
          <w:rFonts w:ascii="Abadi" w:hAnsi="Abadi" w:cs="Arial"/>
          <w:b/>
          <w:bCs/>
          <w:i/>
          <w:sz w:val="21"/>
          <w:szCs w:val="21"/>
          <w:lang w:val="es-MX" w:eastAsia="en-US"/>
        </w:rPr>
        <w:t>7.5% de la población era vulnerable por ingresos</w:t>
      </w:r>
      <w:r w:rsidRPr="0089392A">
        <w:rPr>
          <w:rFonts w:ascii="Abadi" w:hAnsi="Abadi" w:cs="Arial"/>
          <w:i/>
          <w:sz w:val="21"/>
          <w:szCs w:val="21"/>
          <w:lang w:val="es-MX" w:eastAsia="en-US"/>
        </w:rPr>
        <w:t>, lo que significa que alrededor de 445,600 personas no tenían los ingresos suficientes para satisfacer sus necesidades básicas.”</w:t>
      </w:r>
    </w:p>
    <w:p w14:paraId="3C1B9356"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(El resaltado en negrita y subrayado es propio).</w:t>
      </w:r>
    </w:p>
    <w:p w14:paraId="08F03073"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w:t>
      </w:r>
    </w:p>
    <w:p w14:paraId="017F55F7"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Considerando la información anterior del CONEVAL, la población vulnerable por carencias sociales en Guanajuato es de 1´755,000 un millón setecientas cincuenta y cinco mil personas, que representan un 29.4% de la población total, de las que a su vez 445,600 cuatrocientas cuarenta y cinco mil seiscientas personas, son población vulnerable por ingresos.  </w:t>
      </w:r>
    </w:p>
    <w:p w14:paraId="0D11A253"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Bajo esta línea de análisis, los 12,400 doce mil cuatrocientos beneficiarios como meta del programa social “Vale Grandeza – compra local” solo representan un 2.78% del total de la </w:t>
      </w:r>
      <w:r w:rsidRPr="0089392A">
        <w:rPr>
          <w:rFonts w:ascii="Abadi" w:hAnsi="Abadi" w:cs="Arial"/>
          <w:i/>
          <w:sz w:val="21"/>
          <w:szCs w:val="21"/>
          <w:lang w:val="es-MX" w:eastAsia="en-US"/>
        </w:rPr>
        <w:t xml:space="preserve">población reconocida en estado de vulnerabilidad. </w:t>
      </w:r>
    </w:p>
    <w:p w14:paraId="788D0977"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Sin embargo, al día de hoy, al consultarse el Padrón Estatal de Beneficiarios (PEB), en la página oficial siguiente:</w:t>
      </w:r>
    </w:p>
    <w:p w14:paraId="55B1123A" w14:textId="77777777" w:rsidR="0089392A" w:rsidRPr="0089392A" w:rsidRDefault="00E03B29" w:rsidP="0089392A">
      <w:pPr>
        <w:spacing w:after="160" w:line="259" w:lineRule="auto"/>
        <w:ind w:left="709"/>
        <w:jc w:val="both"/>
        <w:rPr>
          <w:rFonts w:ascii="Abadi" w:hAnsi="Abadi" w:cs="Arial"/>
          <w:i/>
          <w:sz w:val="21"/>
          <w:szCs w:val="21"/>
          <w:lang w:val="es-MX" w:eastAsia="en-US"/>
        </w:rPr>
      </w:pPr>
      <w:hyperlink r:id="rId52" w:history="1">
        <w:r w:rsidR="0089392A" w:rsidRPr="0089392A">
          <w:rPr>
            <w:rFonts w:ascii="Abadi" w:hAnsi="Abadi" w:cs="Arial"/>
            <w:i/>
            <w:color w:val="0563C1"/>
            <w:sz w:val="21"/>
            <w:szCs w:val="21"/>
            <w:u w:val="single"/>
            <w:lang w:val="es-MX" w:eastAsia="en-US"/>
          </w:rPr>
          <w:t>https://peb.guanajuato.gob.mx/Busquedas/Programas</w:t>
        </w:r>
      </w:hyperlink>
    </w:p>
    <w:p w14:paraId="05152433"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Al buscar información sobre el programa “Vale Grandeza – Compra local” en dicho padrón estatal, arroja como total de registro de beneficiarios, la cantidad de 54,483 cincuenta y cuatro mil cuatrocientos ochenta y tres personas, y todos ellos con un reporte de “Apoyo/Servicio/Acciones” de $500.00 quinientos pesos, es decir, un apoyo por una sola ocasión. </w:t>
      </w:r>
    </w:p>
    <w:p w14:paraId="171A65F0"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Esta información evidencia una aplicación irregular del programa, porque de acuerdo a sus Reglas de operación estaba destinado a beneficiar a 12,400 doce mil cuatrocientas personas hasta en doce ocasiones, y violentando las reglas previstas, se tiene que en el ejercicio del año 2021 de este programa se entregó por única ocasión un apoyo de $500.00 quinientos pesos a 54,483 cincuenta y cuatro mil cuatrocientos ochenta y tres personas. </w:t>
      </w:r>
    </w:p>
    <w:p w14:paraId="6AC55E82"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Bien podría en principio pensarse que beneficiar a más personas es positivo, sin embargo no es correcta tal conclusión, porque si atendemos al “Contexto del Programa” expuesto en las Reglas de operación, así como el Objetivo general del Programa (artículo 4), Objetivos específicos del programa (artículo 5); Población potencial (artículo 6); Población objetivo (artículo 7), y; Población beneficiada (artículo 8), resulta evidente conocer que este programa estaba dirigido a personas “que se encuentran en situación de vulnerabilidad por falta de ingresos económicos provocados por la contingencia sanitaria generada por el COVID-19”. </w:t>
      </w:r>
    </w:p>
    <w:p w14:paraId="30C79584" w14:textId="77777777" w:rsidR="0089392A" w:rsidRPr="0089392A" w:rsidRDefault="0089392A" w:rsidP="0089392A">
      <w:pPr>
        <w:spacing w:after="160" w:line="259" w:lineRule="auto"/>
        <w:ind w:left="709"/>
        <w:jc w:val="both"/>
        <w:rPr>
          <w:rFonts w:ascii="Abadi" w:hAnsi="Abadi" w:cs="Arial"/>
          <w:i/>
          <w:sz w:val="21"/>
          <w:szCs w:val="21"/>
          <w:lang w:val="es-MX" w:eastAsia="en-US"/>
        </w:rPr>
      </w:pPr>
    </w:p>
    <w:p w14:paraId="73BFBF31" w14:textId="77777777" w:rsidR="0089392A" w:rsidRPr="0089392A" w:rsidRDefault="0089392A" w:rsidP="0089392A">
      <w:pPr>
        <w:spacing w:after="160" w:line="259" w:lineRule="auto"/>
        <w:ind w:left="709"/>
        <w:jc w:val="both"/>
        <w:rPr>
          <w:rFonts w:ascii="Abadi" w:hAnsi="Abadi" w:cs="Arial"/>
          <w:i/>
          <w:sz w:val="21"/>
          <w:szCs w:val="21"/>
          <w:lang w:val="es-MX" w:eastAsia="en-US"/>
        </w:rPr>
      </w:pPr>
    </w:p>
    <w:p w14:paraId="1E16BDA1"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Como ya se ha expuesto supra líneas, en tal situación existen en el Estado de Guanajuato 1´755,000 un millón setecientas cincuenta y cinco mil personas, que representan un 29.4% de la</w:t>
      </w:r>
      <w:r w:rsidRPr="0089392A">
        <w:rPr>
          <w:rFonts w:ascii="Abadi" w:hAnsi="Abadi"/>
          <w:sz w:val="21"/>
          <w:szCs w:val="21"/>
          <w:lang w:val="es-MX" w:eastAsia="en-US"/>
        </w:rPr>
        <w:t xml:space="preserve"> </w:t>
      </w:r>
      <w:r w:rsidRPr="0089392A">
        <w:rPr>
          <w:rFonts w:ascii="Abadi" w:hAnsi="Abadi" w:cs="Arial"/>
          <w:i/>
          <w:sz w:val="21"/>
          <w:szCs w:val="21"/>
          <w:lang w:val="es-MX" w:eastAsia="en-US"/>
        </w:rPr>
        <w:t xml:space="preserve">población total, de las que a su vez 445,600 cuatrocientas cuarenta y cinco mil seiscientas personas, son población vulnerable por ingresos. </w:t>
      </w:r>
    </w:p>
    <w:p w14:paraId="697582A8"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Aunque fuera limitado el alcance establecido en las Reglas de operación, con una cantidad de 12,400 doce mil cuatrocientos beneficiarios, la característica de otorgar hasta en doce ocasiones el apoyo, significaba atender con algún grado de eficacia el objetivo, pero contrario a ello, al violentarse las Reglas de operación y haber injustificadamente entregado por única ocasión un apoyo de $500.00 quinientos pesos a un total que hasta este momento reporta la Secretaría de Desarrollo Social y Humano es de 54,483 cincuenta y cuatro mil cuatrocientos ochenta y tres personas, ha hecho ineficaz el programa, lo que hace necesario que esta Asamblea en ejercicio de sus facultades de fiscalización, investigue los motivos de violación evidente de las Reglas de operación del programa “Vale Grandeza – compra local”; además para </w:t>
      </w:r>
      <w:r w:rsidRPr="0089392A">
        <w:rPr>
          <w:rFonts w:ascii="Abadi" w:hAnsi="Abadi" w:cs="Arial"/>
          <w:b/>
          <w:bCs/>
          <w:i/>
          <w:sz w:val="21"/>
          <w:szCs w:val="21"/>
          <w:lang w:val="es-MX" w:eastAsia="en-US"/>
        </w:rPr>
        <w:t>verificar que los beneficiarios reportados sean personas con las características de vulnerabilidad económica, a quienes se dirigió el programa</w:t>
      </w:r>
      <w:r w:rsidRPr="0089392A">
        <w:rPr>
          <w:rFonts w:ascii="Abadi" w:hAnsi="Abadi" w:cs="Arial"/>
          <w:i/>
          <w:sz w:val="21"/>
          <w:szCs w:val="21"/>
          <w:lang w:val="es-MX" w:eastAsia="en-US"/>
        </w:rPr>
        <w:t xml:space="preserve">. </w:t>
      </w:r>
    </w:p>
    <w:p w14:paraId="5C225792"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Por otra parte, la información visible en el Padrón Estatal de Beneficiarios, hoy en día es incompleta y evidencia posibles irregularidades que deben ser aclaradas. Tiene la opción de mostrar el total de beneficiarios, y también en forma particular por municipios, utilizando para identificar estos, las claves asignadas por el INEGI.</w:t>
      </w:r>
    </w:p>
    <w:p w14:paraId="2C867580"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Al revisar las claves que aparecen, no existe información de 12 municipios, lo que hace suponer que ahí no se aplicó el programa, lo que en todo caso debe ser </w:t>
      </w:r>
      <w:r w:rsidRPr="0089392A">
        <w:rPr>
          <w:rFonts w:ascii="Abadi" w:hAnsi="Abadi" w:cs="Arial"/>
          <w:i/>
          <w:sz w:val="21"/>
          <w:szCs w:val="21"/>
          <w:lang w:val="es-MX" w:eastAsia="en-US"/>
        </w:rPr>
        <w:t>de interés para este Pleno conocer, por tratarse de recursos públicos, que en todo caso deben aplicarse en forma equitativa.</w:t>
      </w:r>
    </w:p>
    <w:p w14:paraId="3D5673D6"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w:t>
      </w:r>
    </w:p>
    <w:p w14:paraId="38A6A565"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Haciendo un análisis de lo anterior se tiene el siguiente reporte de municipios en que sí hay información de beneficiarios y en los que no, atendiendo al número de clave de cada municipio asignado por INEGI:</w:t>
      </w:r>
    </w:p>
    <w:p w14:paraId="6C23E68F"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w:t>
      </w:r>
    </w:p>
    <w:p w14:paraId="3850F81B" w14:textId="77777777" w:rsidR="0089392A" w:rsidRPr="0089392A" w:rsidRDefault="0089392A" w:rsidP="0089392A">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 xml:space="preserve">Lo anterior, sin demérito de hacer de conocimiento de la Auditoría Superior del Estado, la irregularidad que se configura de la información que tiene disponible la Secretaría de Desarrollo Social y Humano sobre el programa social “Vale Grandeza – compra local”, aplicado en este ejercicio fiscal 2021. </w:t>
      </w:r>
    </w:p>
    <w:p w14:paraId="78D4DC44" w14:textId="218A1264" w:rsidR="0089392A" w:rsidRDefault="0089392A" w:rsidP="00B013E0">
      <w:pPr>
        <w:spacing w:after="160" w:line="259" w:lineRule="auto"/>
        <w:ind w:left="709"/>
        <w:jc w:val="both"/>
        <w:rPr>
          <w:rFonts w:ascii="Abadi" w:hAnsi="Abadi" w:cs="Arial"/>
          <w:i/>
          <w:sz w:val="21"/>
          <w:szCs w:val="21"/>
          <w:lang w:val="es-MX" w:eastAsia="en-US"/>
        </w:rPr>
      </w:pPr>
      <w:r w:rsidRPr="0089392A">
        <w:rPr>
          <w:rFonts w:ascii="Abadi" w:hAnsi="Abadi" w:cs="Arial"/>
          <w:i/>
          <w:sz w:val="21"/>
          <w:szCs w:val="21"/>
          <w:lang w:val="es-MX" w:eastAsia="en-US"/>
        </w:rPr>
        <w:t>Debiendo así mismo conocerse el convenio firmado entre el Ejecutivo del Estado a través de la Secretaría de Desarrollo Social y Humano con el Instituto de Seguridad Social del Estado de Guanajuato (ISSEG), porque es a través de esa institución que se ha pagado y canjeado los vales, además de los comercios locales autorizados que a su vez son pagados por el mismo ISSEG.</w:t>
      </w:r>
    </w:p>
    <w:p w14:paraId="48F052D4" w14:textId="77777777" w:rsidR="00B013E0" w:rsidRPr="0089392A" w:rsidRDefault="00B013E0" w:rsidP="00B013E0">
      <w:pPr>
        <w:spacing w:after="160" w:line="259" w:lineRule="auto"/>
        <w:ind w:left="709"/>
        <w:jc w:val="both"/>
        <w:rPr>
          <w:rFonts w:ascii="Abadi" w:hAnsi="Abadi" w:cs="Arial"/>
          <w:i/>
          <w:sz w:val="21"/>
          <w:szCs w:val="21"/>
          <w:lang w:val="es-MX" w:eastAsia="en-US"/>
        </w:rPr>
      </w:pPr>
    </w:p>
    <w:p w14:paraId="19131F4E" w14:textId="77777777" w:rsidR="0089392A" w:rsidRPr="0089392A" w:rsidRDefault="0089392A" w:rsidP="0089392A">
      <w:pPr>
        <w:numPr>
          <w:ilvl w:val="0"/>
          <w:numId w:val="36"/>
        </w:numPr>
        <w:spacing w:after="160" w:line="259" w:lineRule="auto"/>
        <w:jc w:val="both"/>
        <w:rPr>
          <w:rFonts w:ascii="Abadi" w:hAnsi="Abadi" w:cs="Arial"/>
          <w:b/>
          <w:bCs/>
          <w:sz w:val="21"/>
          <w:szCs w:val="21"/>
          <w:lang w:val="es-MX" w:eastAsia="en-US"/>
        </w:rPr>
      </w:pPr>
      <w:r w:rsidRPr="0089392A">
        <w:rPr>
          <w:rFonts w:ascii="Abadi" w:hAnsi="Abadi" w:cs="Arial"/>
          <w:b/>
          <w:bCs/>
          <w:sz w:val="21"/>
          <w:szCs w:val="21"/>
          <w:lang w:val="es-MX" w:eastAsia="en-US"/>
        </w:rPr>
        <w:t>Consideraciones de la Comisión</w:t>
      </w:r>
    </w:p>
    <w:p w14:paraId="0DA4BDE5" w14:textId="77777777" w:rsidR="0089392A" w:rsidRPr="0089392A" w:rsidRDefault="0089392A" w:rsidP="0089392A">
      <w:pPr>
        <w:spacing w:line="259" w:lineRule="auto"/>
        <w:ind w:firstLine="708"/>
        <w:jc w:val="both"/>
        <w:rPr>
          <w:rFonts w:ascii="Abadi" w:hAnsi="Abadi"/>
          <w:sz w:val="21"/>
          <w:szCs w:val="21"/>
          <w:lang w:val="es-MX" w:eastAsia="en-US"/>
        </w:rPr>
      </w:pPr>
      <w:r w:rsidRPr="0089392A">
        <w:rPr>
          <w:rFonts w:ascii="Abadi" w:hAnsi="Abadi"/>
          <w:sz w:val="21"/>
          <w:szCs w:val="21"/>
          <w:lang w:val="es-MX" w:eastAsia="en-US"/>
        </w:rPr>
        <w:t>En las consideraciones expuestas en la propuesta que se dictamina se señala la necesidad de investigar y auditar la falta de información relativa</w:t>
      </w:r>
      <w:r w:rsidRPr="0089392A">
        <w:rPr>
          <w:rFonts w:ascii="Abadi" w:hAnsi="Abadi"/>
          <w:sz w:val="21"/>
          <w:szCs w:val="21"/>
          <w:lang w:val="es-ES_tradnl" w:eastAsia="en-US"/>
        </w:rPr>
        <w:t xml:space="preserve"> a la operación del Programa </w:t>
      </w:r>
      <w:r w:rsidRPr="0089392A">
        <w:rPr>
          <w:rFonts w:ascii="Abadi" w:hAnsi="Abadi"/>
          <w:i/>
          <w:iCs/>
          <w:sz w:val="21"/>
          <w:szCs w:val="21"/>
          <w:lang w:val="es-ES_tradnl" w:eastAsia="en-US"/>
        </w:rPr>
        <w:t>Vale Grandeza – Compra Local, el padrón de beneficiarios y sus reglas de operación.</w:t>
      </w:r>
    </w:p>
    <w:p w14:paraId="0415A368" w14:textId="77777777" w:rsidR="0089392A" w:rsidRPr="0089392A" w:rsidRDefault="0089392A" w:rsidP="0089392A">
      <w:pPr>
        <w:spacing w:line="259" w:lineRule="auto"/>
        <w:ind w:firstLine="708"/>
        <w:jc w:val="both"/>
        <w:rPr>
          <w:rFonts w:ascii="Abadi" w:hAnsi="Abadi"/>
          <w:sz w:val="21"/>
          <w:szCs w:val="21"/>
          <w:lang w:val="es-MX" w:eastAsia="en-US"/>
        </w:rPr>
      </w:pPr>
    </w:p>
    <w:p w14:paraId="4D2A7C83" w14:textId="77777777" w:rsidR="0089392A" w:rsidRPr="0089392A" w:rsidRDefault="0089392A" w:rsidP="0089392A">
      <w:pPr>
        <w:spacing w:line="259" w:lineRule="auto"/>
        <w:ind w:firstLine="708"/>
        <w:jc w:val="both"/>
        <w:rPr>
          <w:rFonts w:ascii="Abadi" w:hAnsi="Abadi" w:cs="Tahoma"/>
          <w:sz w:val="21"/>
          <w:szCs w:val="21"/>
          <w:lang w:val="es-MX" w:eastAsia="en-US"/>
        </w:rPr>
      </w:pPr>
      <w:r w:rsidRPr="0089392A">
        <w:rPr>
          <w:rFonts w:ascii="Abadi" w:hAnsi="Abadi" w:cs="Tahoma"/>
          <w:sz w:val="21"/>
          <w:szCs w:val="21"/>
          <w:lang w:val="es-MX" w:eastAsia="en-US"/>
        </w:rPr>
        <w:t xml:space="preserve">En tal sentido, quienes integramos esta Comisión consideramos que la vigilancia y el control del ejercicio de los recursos públicos encomendados a los sujetos de fiscalización es una de las funciones primordiales que tiene el Poder Legislativo como responsable originario de esa función de control. </w:t>
      </w:r>
    </w:p>
    <w:p w14:paraId="71F77C1D" w14:textId="77777777" w:rsidR="0089392A" w:rsidRPr="0089392A" w:rsidRDefault="0089392A" w:rsidP="0089392A">
      <w:pPr>
        <w:spacing w:line="259" w:lineRule="auto"/>
        <w:ind w:firstLine="720"/>
        <w:jc w:val="both"/>
        <w:rPr>
          <w:rFonts w:ascii="Abadi" w:hAnsi="Abadi" w:cs="Tahoma"/>
          <w:sz w:val="21"/>
          <w:szCs w:val="21"/>
          <w:lang w:val="es-MX" w:eastAsia="en-US"/>
        </w:rPr>
      </w:pPr>
    </w:p>
    <w:p w14:paraId="3E614C29" w14:textId="77777777" w:rsidR="0089392A" w:rsidRPr="0089392A" w:rsidRDefault="0089392A" w:rsidP="0089392A">
      <w:pPr>
        <w:spacing w:line="259" w:lineRule="auto"/>
        <w:ind w:firstLine="720"/>
        <w:jc w:val="both"/>
        <w:rPr>
          <w:rFonts w:ascii="Abadi" w:hAnsi="Abadi" w:cs="Tahoma"/>
          <w:sz w:val="21"/>
          <w:szCs w:val="21"/>
          <w:lang w:val="es-MX" w:eastAsia="en-US"/>
        </w:rPr>
      </w:pPr>
      <w:r w:rsidRPr="0089392A">
        <w:rPr>
          <w:rFonts w:ascii="Abadi" w:hAnsi="Abadi" w:cs="Tahoma"/>
          <w:sz w:val="21"/>
          <w:szCs w:val="21"/>
          <w:lang w:val="es-MX" w:eastAsia="en-US"/>
        </w:rPr>
        <w:t>La administración, ejercicio, aplicación y control de los recursos públicos deben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w:t>
      </w:r>
    </w:p>
    <w:p w14:paraId="35B3A2D4" w14:textId="77777777" w:rsidR="0089392A" w:rsidRPr="0089392A" w:rsidRDefault="0089392A" w:rsidP="0089392A">
      <w:pPr>
        <w:spacing w:line="259" w:lineRule="auto"/>
        <w:ind w:firstLine="720"/>
        <w:jc w:val="both"/>
        <w:rPr>
          <w:rFonts w:ascii="Abadi" w:hAnsi="Abadi" w:cs="Tahoma"/>
          <w:sz w:val="21"/>
          <w:szCs w:val="21"/>
          <w:lang w:val="es-MX" w:eastAsia="en-US"/>
        </w:rPr>
      </w:pPr>
    </w:p>
    <w:p w14:paraId="477A6200" w14:textId="77777777" w:rsidR="0089392A" w:rsidRPr="0089392A" w:rsidRDefault="0089392A" w:rsidP="0089392A">
      <w:pPr>
        <w:spacing w:after="160" w:line="259" w:lineRule="auto"/>
        <w:ind w:firstLine="720"/>
        <w:jc w:val="both"/>
        <w:rPr>
          <w:rFonts w:ascii="Abadi" w:hAnsi="Abadi" w:cs="Tahoma"/>
          <w:sz w:val="21"/>
          <w:szCs w:val="21"/>
          <w:lang w:val="es-MX" w:eastAsia="en-US"/>
        </w:rPr>
      </w:pPr>
      <w:r w:rsidRPr="0089392A">
        <w:rPr>
          <w:rFonts w:ascii="Abadi" w:hAnsi="Abadi" w:cs="Tahoma"/>
          <w:sz w:val="21"/>
          <w:szCs w:val="21"/>
          <w:lang w:val="es-MX" w:eastAsia="en-US"/>
        </w:rPr>
        <w:t>También debemos destacar dentro del tema de fiscalización la revisión del cumplimiento de las metas y objetivos de los planes y programas, conforme a los principios de eficiencia, eficacia y economía; así como la evaluación de las políticas públicas.</w:t>
      </w:r>
    </w:p>
    <w:p w14:paraId="3D0E82AD" w14:textId="77777777" w:rsidR="0089392A" w:rsidRPr="0089392A" w:rsidRDefault="0089392A" w:rsidP="0089392A">
      <w:pPr>
        <w:spacing w:line="259" w:lineRule="auto"/>
        <w:ind w:firstLine="708"/>
        <w:jc w:val="both"/>
        <w:rPr>
          <w:rFonts w:ascii="Abadi" w:hAnsi="Abadi" w:cs="Tahoma"/>
          <w:sz w:val="21"/>
          <w:szCs w:val="21"/>
          <w:lang w:val="es-MX" w:eastAsia="en-US"/>
        </w:rPr>
      </w:pPr>
      <w:r w:rsidRPr="0089392A">
        <w:rPr>
          <w:rFonts w:ascii="Abadi" w:hAnsi="Abadi" w:cs="Tahoma"/>
          <w:sz w:val="21"/>
          <w:szCs w:val="21"/>
          <w:lang w:val="es-MX" w:eastAsia="en-US"/>
        </w:rPr>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70B7F72B" w14:textId="77777777" w:rsidR="0089392A" w:rsidRPr="0089392A" w:rsidRDefault="0089392A" w:rsidP="0089392A">
      <w:pPr>
        <w:spacing w:line="360" w:lineRule="auto"/>
        <w:jc w:val="both"/>
        <w:rPr>
          <w:rFonts w:ascii="Abadi" w:hAnsi="Abadi" w:cs="Tahoma"/>
          <w:sz w:val="21"/>
          <w:szCs w:val="21"/>
          <w:lang w:val="es-MX" w:eastAsia="en-US"/>
        </w:rPr>
      </w:pPr>
    </w:p>
    <w:p w14:paraId="5C922208" w14:textId="77777777" w:rsidR="0089392A" w:rsidRPr="0089392A" w:rsidRDefault="0089392A" w:rsidP="0089392A">
      <w:pPr>
        <w:spacing w:line="259" w:lineRule="auto"/>
        <w:jc w:val="both"/>
        <w:rPr>
          <w:rFonts w:ascii="Abadi" w:hAnsi="Abadi" w:cs="Tahoma"/>
          <w:sz w:val="21"/>
          <w:szCs w:val="21"/>
          <w:lang w:val="es-MX" w:eastAsia="en-US"/>
        </w:rPr>
      </w:pPr>
      <w:r w:rsidRPr="0089392A">
        <w:rPr>
          <w:rFonts w:ascii="Abadi" w:hAnsi="Abadi" w:cs="Tahoma"/>
          <w:sz w:val="21"/>
          <w:szCs w:val="21"/>
          <w:lang w:val="es-MX" w:eastAsia="en-US"/>
        </w:rPr>
        <w:tab/>
        <w:t xml:space="preserve">El artículo 116, fracción II, sexto párrafo de la Constitución Política de los Estados Unidos Mexicanos señala que: </w:t>
      </w:r>
      <w:r w:rsidRPr="0089392A">
        <w:rPr>
          <w:rFonts w:ascii="Abadi" w:hAnsi="Abadi" w:cs="Tahoma"/>
          <w:i/>
          <w:sz w:val="21"/>
          <w:szCs w:val="21"/>
          <w:lang w:val="es-MX" w:eastAsia="en-US"/>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89392A">
        <w:rPr>
          <w:rFonts w:ascii="Abadi" w:hAnsi="Abadi" w:cs="Tahoma"/>
          <w:sz w:val="21"/>
          <w:szCs w:val="21"/>
          <w:lang w:val="es-MX" w:eastAsia="en-US"/>
        </w:rPr>
        <w:t xml:space="preserve"> </w:t>
      </w:r>
    </w:p>
    <w:p w14:paraId="414F4090" w14:textId="77777777" w:rsidR="0089392A" w:rsidRPr="0089392A" w:rsidRDefault="0089392A" w:rsidP="0089392A">
      <w:pPr>
        <w:spacing w:line="259" w:lineRule="auto"/>
        <w:jc w:val="both"/>
        <w:rPr>
          <w:rFonts w:ascii="Abadi" w:hAnsi="Abadi" w:cs="Tahoma"/>
          <w:sz w:val="21"/>
          <w:szCs w:val="21"/>
          <w:lang w:val="es-MX" w:eastAsia="en-US"/>
        </w:rPr>
      </w:pPr>
    </w:p>
    <w:p w14:paraId="186CB6D9" w14:textId="77777777" w:rsidR="0089392A" w:rsidRPr="0089392A" w:rsidRDefault="0089392A" w:rsidP="0089392A">
      <w:pPr>
        <w:spacing w:line="259" w:lineRule="auto"/>
        <w:ind w:firstLine="708"/>
        <w:jc w:val="both"/>
        <w:rPr>
          <w:rFonts w:ascii="Abadi" w:hAnsi="Abadi" w:cs="Tahoma"/>
          <w:sz w:val="21"/>
          <w:szCs w:val="21"/>
          <w:lang w:val="es-MX" w:eastAsia="en-US"/>
        </w:rPr>
      </w:pPr>
      <w:r w:rsidRPr="0089392A">
        <w:rPr>
          <w:rFonts w:ascii="Abadi" w:hAnsi="Abadi" w:cs="Tahoma"/>
          <w:sz w:val="21"/>
          <w:szCs w:val="21"/>
          <w:lang w:val="es-MX" w:eastAsia="en-US"/>
        </w:rPr>
        <w:t xml:space="preserve">La Auditoría Superior del Estado, de conformidad con el artículo 66 de la Constitución Política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w:t>
      </w:r>
    </w:p>
    <w:p w14:paraId="1DAF50D7" w14:textId="77777777" w:rsidR="0089392A" w:rsidRPr="0089392A" w:rsidRDefault="0089392A" w:rsidP="0089392A">
      <w:pPr>
        <w:spacing w:line="259" w:lineRule="auto"/>
        <w:ind w:firstLine="720"/>
        <w:jc w:val="both"/>
        <w:rPr>
          <w:rFonts w:ascii="Abadi" w:hAnsi="Abadi" w:cs="Tahoma"/>
          <w:sz w:val="21"/>
          <w:szCs w:val="21"/>
          <w:lang w:val="es-MX" w:eastAsia="en-US"/>
        </w:rPr>
      </w:pPr>
    </w:p>
    <w:p w14:paraId="69BD0FCF" w14:textId="77777777" w:rsidR="0089392A" w:rsidRPr="0089392A" w:rsidRDefault="0089392A" w:rsidP="0089392A">
      <w:pPr>
        <w:spacing w:line="259" w:lineRule="auto"/>
        <w:ind w:firstLine="720"/>
        <w:jc w:val="both"/>
        <w:rPr>
          <w:rFonts w:ascii="Abadi" w:hAnsi="Abadi" w:cs="Tahoma"/>
          <w:sz w:val="21"/>
          <w:szCs w:val="21"/>
          <w:lang w:val="es-MX" w:eastAsia="en-US"/>
        </w:rPr>
      </w:pPr>
      <w:r w:rsidRPr="0089392A">
        <w:rPr>
          <w:rFonts w:ascii="Abadi" w:hAnsi="Abadi" w:cs="Tahoma"/>
          <w:sz w:val="21"/>
          <w:szCs w:val="21"/>
          <w:lang w:val="es-MX" w:eastAsia="en-US"/>
        </w:rPr>
        <w:t>El Poder Ejecutivo del Estado, así como las dependencias y entidades de la administración pública estatal son sujetos de la función de fiscalización del Congreso del Estado, según se desprende de los artículos 63 fracciones XVIII y XXVIII; y 66 de la Constitución Política local y 2, fracciones I y III de la Ley de Fiscalización Superior del Estado de Guanajuato.</w:t>
      </w:r>
    </w:p>
    <w:p w14:paraId="151471E3" w14:textId="77777777" w:rsidR="0089392A" w:rsidRPr="0089392A" w:rsidRDefault="0089392A" w:rsidP="0089392A">
      <w:pPr>
        <w:spacing w:line="259" w:lineRule="auto"/>
        <w:ind w:firstLine="720"/>
        <w:jc w:val="both"/>
        <w:rPr>
          <w:rFonts w:ascii="Abadi" w:hAnsi="Abadi" w:cs="Tahoma"/>
          <w:sz w:val="21"/>
          <w:szCs w:val="21"/>
          <w:lang w:val="es-MX" w:eastAsia="en-US"/>
        </w:rPr>
      </w:pPr>
    </w:p>
    <w:p w14:paraId="4C61C457" w14:textId="77777777" w:rsidR="0089392A" w:rsidRPr="0089392A" w:rsidRDefault="0089392A" w:rsidP="0089392A">
      <w:pPr>
        <w:spacing w:line="259" w:lineRule="auto"/>
        <w:ind w:firstLine="720"/>
        <w:jc w:val="both"/>
        <w:rPr>
          <w:rFonts w:ascii="Abadi" w:hAnsi="Abadi" w:cs="Arial"/>
          <w:iCs/>
          <w:sz w:val="21"/>
          <w:szCs w:val="21"/>
          <w:lang w:val="es-MX" w:eastAsia="en-US"/>
        </w:rPr>
      </w:pPr>
      <w:r w:rsidRPr="0089392A">
        <w:rPr>
          <w:rFonts w:ascii="Abadi" w:hAnsi="Abadi" w:cs="Tahoma"/>
          <w:sz w:val="21"/>
          <w:szCs w:val="21"/>
          <w:lang w:val="es-MX" w:eastAsia="en-US"/>
        </w:rPr>
        <w:t xml:space="preserve">De acuerdo a lo antes señalado, coincidimos con el proponente en la </w:t>
      </w:r>
      <w:r w:rsidRPr="0089392A">
        <w:rPr>
          <w:rFonts w:ascii="Abadi" w:hAnsi="Abadi"/>
          <w:sz w:val="21"/>
          <w:szCs w:val="21"/>
          <w:lang w:val="es-MX" w:eastAsia="en-US"/>
        </w:rPr>
        <w:t>necesidad de garantizar la transparencia y rendición de cuentas en el ejercicio de recursos públicos</w:t>
      </w:r>
      <w:r w:rsidRPr="0089392A">
        <w:rPr>
          <w:rFonts w:ascii="Abadi" w:hAnsi="Abadi" w:cs="Arial"/>
          <w:iCs/>
          <w:sz w:val="21"/>
          <w:szCs w:val="21"/>
          <w:lang w:val="es-MX" w:eastAsia="en-US"/>
        </w:rPr>
        <w:t>.</w:t>
      </w:r>
    </w:p>
    <w:p w14:paraId="5DB62441" w14:textId="77777777" w:rsidR="0089392A" w:rsidRPr="0089392A" w:rsidRDefault="0089392A" w:rsidP="0089392A">
      <w:pPr>
        <w:spacing w:line="259" w:lineRule="auto"/>
        <w:ind w:firstLine="720"/>
        <w:jc w:val="both"/>
        <w:rPr>
          <w:rFonts w:ascii="Abadi" w:hAnsi="Abadi" w:cs="Tahoma"/>
          <w:sz w:val="21"/>
          <w:szCs w:val="21"/>
          <w:lang w:val="es-MX" w:eastAsia="en-US"/>
        </w:rPr>
      </w:pPr>
    </w:p>
    <w:p w14:paraId="2F99CBF9" w14:textId="77777777" w:rsidR="0089392A" w:rsidRPr="0089392A" w:rsidRDefault="0089392A" w:rsidP="0089392A">
      <w:pPr>
        <w:spacing w:line="259" w:lineRule="auto"/>
        <w:ind w:firstLine="720"/>
        <w:jc w:val="both"/>
        <w:rPr>
          <w:rFonts w:ascii="Abadi" w:hAnsi="Abadi" w:cs="Arial"/>
          <w:iCs/>
          <w:sz w:val="21"/>
          <w:szCs w:val="21"/>
          <w:lang w:val="es-MX" w:eastAsia="en-US"/>
        </w:rPr>
      </w:pPr>
      <w:r w:rsidRPr="0089392A">
        <w:rPr>
          <w:rFonts w:ascii="Abadi" w:hAnsi="Abadi" w:cs="Tahoma"/>
          <w:sz w:val="21"/>
          <w:szCs w:val="21"/>
          <w:lang w:val="es-MX" w:eastAsia="en-US"/>
        </w:rPr>
        <w:t xml:space="preserve">De la propuesta podemos desprender la pretensión de </w:t>
      </w:r>
      <w:r w:rsidRPr="0089392A">
        <w:rPr>
          <w:rFonts w:ascii="Abadi" w:hAnsi="Abadi"/>
          <w:sz w:val="21"/>
          <w:szCs w:val="21"/>
          <w:lang w:val="es-ES_tradnl" w:eastAsia="en-US"/>
        </w:rPr>
        <w:t xml:space="preserve">solicitar al Secretario de Desarrollo Social y Humano del Estado un informe sobre presuntas irregularidades y violación a las Reglas de Operación del Programa </w:t>
      </w:r>
      <w:r w:rsidRPr="0089392A">
        <w:rPr>
          <w:rFonts w:ascii="Abadi" w:hAnsi="Abadi"/>
          <w:i/>
          <w:iCs/>
          <w:sz w:val="21"/>
          <w:szCs w:val="21"/>
          <w:lang w:val="es-ES_tradnl" w:eastAsia="en-US"/>
        </w:rPr>
        <w:t>Vale Grandeza – Compra Local</w:t>
      </w:r>
      <w:r w:rsidRPr="0089392A">
        <w:rPr>
          <w:rFonts w:ascii="Abadi" w:hAnsi="Abadi"/>
          <w:sz w:val="21"/>
          <w:szCs w:val="21"/>
          <w:lang w:val="es-ES_tradnl" w:eastAsia="en-US"/>
        </w:rPr>
        <w:t xml:space="preserve"> para el ejercicio fiscal de 2021</w:t>
      </w:r>
      <w:r w:rsidRPr="0089392A">
        <w:rPr>
          <w:rFonts w:ascii="Abadi" w:hAnsi="Abadi" w:cs="Arial"/>
          <w:iCs/>
          <w:sz w:val="21"/>
          <w:szCs w:val="21"/>
          <w:lang w:val="es-MX" w:eastAsia="en-US"/>
        </w:rPr>
        <w:t xml:space="preserve"> y hacerlo del conocimiento de la Auditoría Superior del Estado</w:t>
      </w:r>
      <w:r w:rsidRPr="0089392A">
        <w:rPr>
          <w:rFonts w:ascii="Abadi" w:hAnsi="Abadi"/>
          <w:sz w:val="21"/>
          <w:szCs w:val="21"/>
          <w:lang w:val="es-ES_tradnl" w:eastAsia="en-US"/>
        </w:rPr>
        <w:t xml:space="preserve"> para que investigue y audite la falta de información de beneficiarios de diversos municipios en el Padrón Estatal de Beneficiarios de dicho Programa</w:t>
      </w:r>
      <w:r w:rsidRPr="0089392A">
        <w:rPr>
          <w:rFonts w:ascii="Abadi" w:hAnsi="Abadi" w:cs="Arial"/>
          <w:iCs/>
          <w:sz w:val="21"/>
          <w:szCs w:val="21"/>
          <w:lang w:val="es-MX" w:eastAsia="en-US"/>
        </w:rPr>
        <w:t>.</w:t>
      </w:r>
    </w:p>
    <w:p w14:paraId="3A32DAB0" w14:textId="77777777" w:rsidR="0089392A" w:rsidRPr="0089392A" w:rsidRDefault="0089392A" w:rsidP="0089392A">
      <w:pPr>
        <w:spacing w:line="259" w:lineRule="auto"/>
        <w:ind w:firstLine="720"/>
        <w:jc w:val="both"/>
        <w:rPr>
          <w:rFonts w:ascii="Abadi" w:eastAsia="Arial" w:hAnsi="Abadi" w:cs="Arial"/>
          <w:color w:val="4A4843"/>
          <w:sz w:val="21"/>
          <w:szCs w:val="21"/>
          <w:lang w:val="es-MX" w:eastAsia="en-US"/>
        </w:rPr>
      </w:pPr>
    </w:p>
    <w:p w14:paraId="4BFC5380" w14:textId="77777777" w:rsidR="0089392A" w:rsidRPr="0089392A" w:rsidRDefault="0089392A" w:rsidP="0089392A">
      <w:pPr>
        <w:spacing w:line="259" w:lineRule="auto"/>
        <w:ind w:firstLine="720"/>
        <w:jc w:val="both"/>
        <w:rPr>
          <w:rFonts w:ascii="Abadi" w:hAnsi="Abadi" w:cs="Arial"/>
          <w:iCs/>
          <w:sz w:val="21"/>
          <w:szCs w:val="21"/>
          <w:lang w:val="es-MX" w:eastAsia="en-US"/>
        </w:rPr>
      </w:pPr>
      <w:r w:rsidRPr="0089392A">
        <w:rPr>
          <w:rFonts w:ascii="Abadi" w:hAnsi="Abadi" w:cs="Arial"/>
          <w:iCs/>
          <w:sz w:val="21"/>
          <w:szCs w:val="21"/>
          <w:lang w:val="es-MX" w:eastAsia="en-US"/>
        </w:rPr>
        <w:t>En la información proporcionada por la Auditoría Superior del Estado, se señala que en los ejercicios 2021 y 2022 se incluyeron las siguientes revisiones y auditorías vinculadas con el Programa referido en la propuesta de punto de acuerdo que nos ocupa:</w:t>
      </w:r>
    </w:p>
    <w:p w14:paraId="2A1C2CDE" w14:textId="77777777" w:rsidR="0089392A" w:rsidRPr="0089392A" w:rsidRDefault="0089392A" w:rsidP="0089392A">
      <w:pPr>
        <w:contextualSpacing/>
        <w:jc w:val="center"/>
        <w:rPr>
          <w:rFonts w:ascii="Abadi" w:hAnsi="Abadi" w:cs="Calibri"/>
          <w:sz w:val="21"/>
          <w:szCs w:val="21"/>
          <w:lang w:val="es-MX"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884"/>
        <w:gridCol w:w="1164"/>
        <w:gridCol w:w="1451"/>
      </w:tblGrid>
      <w:tr w:rsidR="0089392A" w:rsidRPr="0089392A" w14:paraId="7B2B23A2" w14:textId="77777777" w:rsidTr="004E6068">
        <w:tc>
          <w:tcPr>
            <w:tcW w:w="507" w:type="pct"/>
            <w:shd w:val="clear" w:color="auto" w:fill="auto"/>
          </w:tcPr>
          <w:p w14:paraId="15F2128C" w14:textId="77777777" w:rsidR="0089392A" w:rsidRPr="0089392A" w:rsidRDefault="0089392A" w:rsidP="0089392A">
            <w:pPr>
              <w:spacing w:after="160" w:line="360" w:lineRule="auto"/>
              <w:contextualSpacing/>
              <w:jc w:val="center"/>
              <w:rPr>
                <w:rFonts w:ascii="Abadi" w:hAnsi="Abadi" w:cs="Calibri"/>
                <w:b/>
                <w:bCs/>
                <w:sz w:val="21"/>
                <w:szCs w:val="21"/>
                <w:lang w:val="es-MX" w:eastAsia="en-US"/>
              </w:rPr>
            </w:pPr>
            <w:r w:rsidRPr="0089392A">
              <w:rPr>
                <w:rFonts w:ascii="Abadi" w:hAnsi="Abadi" w:cs="Calibri"/>
                <w:b/>
                <w:bCs/>
                <w:sz w:val="21"/>
                <w:szCs w:val="21"/>
                <w:lang w:val="es-MX" w:eastAsia="en-US"/>
              </w:rPr>
              <w:t>Programa</w:t>
            </w:r>
          </w:p>
        </w:tc>
        <w:tc>
          <w:tcPr>
            <w:tcW w:w="1095" w:type="pct"/>
            <w:shd w:val="clear" w:color="auto" w:fill="auto"/>
          </w:tcPr>
          <w:p w14:paraId="02BE4CCB" w14:textId="77777777" w:rsidR="0089392A" w:rsidRPr="0089392A" w:rsidRDefault="0089392A" w:rsidP="0089392A">
            <w:pPr>
              <w:spacing w:after="160" w:line="360" w:lineRule="auto"/>
              <w:contextualSpacing/>
              <w:jc w:val="center"/>
              <w:rPr>
                <w:rFonts w:ascii="Abadi" w:hAnsi="Abadi" w:cs="Calibri"/>
                <w:b/>
                <w:bCs/>
                <w:sz w:val="21"/>
                <w:szCs w:val="21"/>
                <w:lang w:val="es-MX" w:eastAsia="en-US"/>
              </w:rPr>
            </w:pPr>
            <w:r w:rsidRPr="0089392A">
              <w:rPr>
                <w:rFonts w:ascii="Abadi" w:hAnsi="Abadi" w:cs="Calibri"/>
                <w:b/>
                <w:bCs/>
                <w:sz w:val="21"/>
                <w:szCs w:val="21"/>
                <w:lang w:val="es-MX" w:eastAsia="en-US"/>
              </w:rPr>
              <w:t>Materia</w:t>
            </w:r>
          </w:p>
        </w:tc>
        <w:tc>
          <w:tcPr>
            <w:tcW w:w="2168" w:type="pct"/>
            <w:shd w:val="clear" w:color="auto" w:fill="auto"/>
          </w:tcPr>
          <w:p w14:paraId="5994C99B" w14:textId="77777777" w:rsidR="0089392A" w:rsidRPr="0089392A" w:rsidRDefault="0089392A" w:rsidP="0089392A">
            <w:pPr>
              <w:spacing w:after="160" w:line="360" w:lineRule="auto"/>
              <w:contextualSpacing/>
              <w:jc w:val="center"/>
              <w:rPr>
                <w:rFonts w:ascii="Abadi" w:hAnsi="Abadi" w:cs="Calibri"/>
                <w:b/>
                <w:bCs/>
                <w:sz w:val="21"/>
                <w:szCs w:val="21"/>
                <w:lang w:val="es-MX" w:eastAsia="en-US"/>
              </w:rPr>
            </w:pPr>
            <w:r w:rsidRPr="0089392A">
              <w:rPr>
                <w:rFonts w:ascii="Abadi" w:hAnsi="Abadi" w:cs="Calibri"/>
                <w:b/>
                <w:bCs/>
                <w:sz w:val="21"/>
                <w:szCs w:val="21"/>
                <w:lang w:val="es-MX" w:eastAsia="en-US"/>
              </w:rPr>
              <w:t>Objetivo</w:t>
            </w:r>
          </w:p>
        </w:tc>
        <w:tc>
          <w:tcPr>
            <w:tcW w:w="1229" w:type="pct"/>
            <w:shd w:val="clear" w:color="auto" w:fill="auto"/>
          </w:tcPr>
          <w:p w14:paraId="3C07328D" w14:textId="77777777" w:rsidR="0089392A" w:rsidRPr="0089392A" w:rsidRDefault="0089392A" w:rsidP="0089392A">
            <w:pPr>
              <w:spacing w:after="160" w:line="360" w:lineRule="auto"/>
              <w:contextualSpacing/>
              <w:jc w:val="center"/>
              <w:rPr>
                <w:rFonts w:ascii="Abadi" w:hAnsi="Abadi" w:cs="Calibri"/>
                <w:b/>
                <w:bCs/>
                <w:sz w:val="21"/>
                <w:szCs w:val="21"/>
                <w:lang w:val="es-MX" w:eastAsia="en-US"/>
              </w:rPr>
            </w:pPr>
            <w:r w:rsidRPr="0089392A">
              <w:rPr>
                <w:rFonts w:ascii="Abadi" w:hAnsi="Abadi" w:cs="Calibri"/>
                <w:b/>
                <w:bCs/>
                <w:sz w:val="21"/>
                <w:szCs w:val="21"/>
                <w:lang w:val="es-MX" w:eastAsia="en-US"/>
              </w:rPr>
              <w:t>Hitos</w:t>
            </w:r>
          </w:p>
        </w:tc>
      </w:tr>
      <w:tr w:rsidR="0089392A" w:rsidRPr="0089392A" w14:paraId="268D46BF" w14:textId="77777777" w:rsidTr="004E6068">
        <w:tc>
          <w:tcPr>
            <w:tcW w:w="507" w:type="pct"/>
            <w:shd w:val="clear" w:color="auto" w:fill="auto"/>
          </w:tcPr>
          <w:p w14:paraId="41030AF1" w14:textId="77777777" w:rsidR="0089392A" w:rsidRPr="0089392A" w:rsidRDefault="0089392A" w:rsidP="0089392A">
            <w:pPr>
              <w:spacing w:after="160" w:line="276" w:lineRule="auto"/>
              <w:contextualSpacing/>
              <w:jc w:val="center"/>
              <w:rPr>
                <w:rFonts w:ascii="Abadi" w:hAnsi="Abadi" w:cs="Calibri"/>
                <w:sz w:val="21"/>
                <w:szCs w:val="21"/>
                <w:lang w:val="es-MX" w:eastAsia="en-US"/>
              </w:rPr>
            </w:pPr>
            <w:r w:rsidRPr="0089392A">
              <w:rPr>
                <w:rFonts w:ascii="Abadi" w:hAnsi="Abadi" w:cs="Calibri"/>
                <w:sz w:val="21"/>
                <w:szCs w:val="21"/>
                <w:lang w:val="es-MX" w:eastAsia="en-US"/>
              </w:rPr>
              <w:t>2021</w:t>
            </w:r>
          </w:p>
        </w:tc>
        <w:tc>
          <w:tcPr>
            <w:tcW w:w="1095" w:type="pct"/>
            <w:shd w:val="clear" w:color="auto" w:fill="auto"/>
          </w:tcPr>
          <w:p w14:paraId="2CC79A97" w14:textId="77777777" w:rsidR="0089392A" w:rsidRPr="0089392A" w:rsidRDefault="0089392A" w:rsidP="0089392A">
            <w:pPr>
              <w:spacing w:after="160"/>
              <w:contextualSpacing/>
              <w:jc w:val="both"/>
              <w:rPr>
                <w:rFonts w:ascii="Abadi" w:hAnsi="Abadi" w:cs="Calibri"/>
                <w:sz w:val="21"/>
                <w:szCs w:val="21"/>
                <w:lang w:val="es-MX" w:eastAsia="en-US"/>
              </w:rPr>
            </w:pPr>
            <w:r w:rsidRPr="0089392A">
              <w:rPr>
                <w:rFonts w:ascii="Abadi" w:hAnsi="Abadi" w:cs="Calibri"/>
                <w:sz w:val="21"/>
                <w:szCs w:val="21"/>
                <w:lang w:val="es-MX" w:eastAsia="en-US"/>
              </w:rPr>
              <w:t xml:space="preserve">Programa </w:t>
            </w:r>
            <w:r w:rsidRPr="0089392A">
              <w:rPr>
                <w:rFonts w:ascii="Abadi" w:hAnsi="Abadi" w:cs="Calibri"/>
                <w:sz w:val="21"/>
                <w:szCs w:val="21"/>
                <w:lang w:val="es-MX" w:eastAsia="en-US"/>
              </w:rPr>
              <w:lastRenderedPageBreak/>
              <w:t>Vale Grandeza - Compra Local (Q3391)</w:t>
            </w:r>
          </w:p>
        </w:tc>
        <w:tc>
          <w:tcPr>
            <w:tcW w:w="2168" w:type="pct"/>
            <w:shd w:val="clear" w:color="auto" w:fill="auto"/>
          </w:tcPr>
          <w:p w14:paraId="008260EF" w14:textId="77777777" w:rsidR="0089392A" w:rsidRPr="0089392A" w:rsidRDefault="0089392A" w:rsidP="0089392A">
            <w:pPr>
              <w:spacing w:after="160"/>
              <w:contextualSpacing/>
              <w:jc w:val="both"/>
              <w:rPr>
                <w:rFonts w:ascii="Abadi" w:hAnsi="Abadi" w:cs="Calibri"/>
                <w:sz w:val="21"/>
                <w:szCs w:val="21"/>
                <w:lang w:val="es-MX" w:eastAsia="en-US"/>
              </w:rPr>
            </w:pPr>
            <w:r w:rsidRPr="0089392A">
              <w:rPr>
                <w:rFonts w:ascii="Abadi" w:hAnsi="Abadi" w:cs="Calibri"/>
                <w:sz w:val="21"/>
                <w:szCs w:val="21"/>
                <w:lang w:val="es-MX" w:eastAsia="en-US"/>
              </w:rPr>
              <w:lastRenderedPageBreak/>
              <w:t xml:space="preserve">Fiscalizar la </w:t>
            </w:r>
            <w:r w:rsidRPr="0089392A">
              <w:rPr>
                <w:rFonts w:ascii="Abadi" w:hAnsi="Abadi" w:cs="Calibri"/>
                <w:sz w:val="21"/>
                <w:szCs w:val="21"/>
                <w:lang w:val="es-MX" w:eastAsia="en-US"/>
              </w:rPr>
              <w:lastRenderedPageBreak/>
              <w:t>contribución de la entrega y canje de los Vales Grandeza como programa emergente para reducir los riesgos económicos provocados por la contingencia sanitaria del COVID-19 a la población vulnerable por ingresos y los comercios locales.</w:t>
            </w:r>
          </w:p>
        </w:tc>
        <w:tc>
          <w:tcPr>
            <w:tcW w:w="1229" w:type="pct"/>
            <w:shd w:val="clear" w:color="auto" w:fill="auto"/>
          </w:tcPr>
          <w:p w14:paraId="24CD6EA4" w14:textId="77777777" w:rsidR="0089392A" w:rsidRPr="0089392A" w:rsidRDefault="0089392A" w:rsidP="0089392A">
            <w:pPr>
              <w:spacing w:after="160"/>
              <w:contextualSpacing/>
              <w:jc w:val="both"/>
              <w:rPr>
                <w:rFonts w:ascii="Abadi" w:hAnsi="Abadi" w:cs="Calibri"/>
                <w:sz w:val="21"/>
                <w:szCs w:val="21"/>
                <w:lang w:val="es-MX" w:eastAsia="en-US"/>
              </w:rPr>
            </w:pPr>
            <w:r w:rsidRPr="0089392A">
              <w:rPr>
                <w:rFonts w:ascii="Abadi" w:hAnsi="Abadi" w:cs="Calibri"/>
                <w:sz w:val="21"/>
                <w:szCs w:val="21"/>
                <w:lang w:val="es-MX" w:eastAsia="en-US"/>
              </w:rPr>
              <w:lastRenderedPageBreak/>
              <w:t xml:space="preserve">Se emitieron 6 </w:t>
            </w:r>
            <w:r w:rsidRPr="0089392A">
              <w:rPr>
                <w:rFonts w:ascii="Abadi" w:hAnsi="Abadi" w:cs="Calibri"/>
                <w:sz w:val="21"/>
                <w:szCs w:val="21"/>
                <w:lang w:val="es-MX" w:eastAsia="en-US"/>
              </w:rPr>
              <w:lastRenderedPageBreak/>
              <w:t xml:space="preserve">recomendaciones, mismas que fueron valoradas bajo el estatus de </w:t>
            </w:r>
            <w:r w:rsidRPr="0089392A">
              <w:rPr>
                <w:rFonts w:ascii="Abadi" w:hAnsi="Abadi" w:cs="Calibri"/>
                <w:i/>
                <w:iCs/>
                <w:sz w:val="21"/>
                <w:szCs w:val="21"/>
                <w:lang w:val="es-MX" w:eastAsia="en-US"/>
              </w:rPr>
              <w:t>«Realizará»</w:t>
            </w:r>
            <w:r w:rsidRPr="0089392A">
              <w:rPr>
                <w:rFonts w:ascii="Abadi" w:hAnsi="Abadi" w:cs="Calibri"/>
                <w:sz w:val="21"/>
                <w:szCs w:val="21"/>
                <w:lang w:val="es-MX" w:eastAsia="en-US"/>
              </w:rPr>
              <w:t>.</w:t>
            </w:r>
          </w:p>
          <w:p w14:paraId="781A5DCC" w14:textId="77777777" w:rsidR="0089392A" w:rsidRPr="0089392A" w:rsidRDefault="0089392A" w:rsidP="0089392A">
            <w:pPr>
              <w:spacing w:after="160"/>
              <w:contextualSpacing/>
              <w:jc w:val="both"/>
              <w:rPr>
                <w:rFonts w:ascii="Abadi" w:hAnsi="Abadi" w:cs="Calibri"/>
                <w:sz w:val="21"/>
                <w:szCs w:val="21"/>
                <w:lang w:val="es-MX" w:eastAsia="en-US"/>
              </w:rPr>
            </w:pPr>
            <w:r w:rsidRPr="0089392A">
              <w:rPr>
                <w:rFonts w:ascii="Abadi" w:hAnsi="Abadi" w:cs="Calibri"/>
                <w:sz w:val="21"/>
                <w:szCs w:val="21"/>
                <w:lang w:val="es-MX" w:eastAsia="en-US"/>
              </w:rPr>
              <w:t>Al respecto, el Poder Ejecutivo diseñó un plan de acción para mejorar el desempeño del programa.</w:t>
            </w:r>
          </w:p>
        </w:tc>
      </w:tr>
      <w:tr w:rsidR="0089392A" w:rsidRPr="0089392A" w14:paraId="25F2C34E" w14:textId="77777777" w:rsidTr="004E6068">
        <w:trPr>
          <w:trHeight w:val="1811"/>
        </w:trPr>
        <w:tc>
          <w:tcPr>
            <w:tcW w:w="507" w:type="pct"/>
            <w:shd w:val="clear" w:color="auto" w:fill="auto"/>
          </w:tcPr>
          <w:p w14:paraId="14DFD15A" w14:textId="77777777" w:rsidR="0089392A" w:rsidRPr="0089392A" w:rsidRDefault="0089392A" w:rsidP="0089392A">
            <w:pPr>
              <w:spacing w:after="160"/>
              <w:contextualSpacing/>
              <w:jc w:val="center"/>
              <w:rPr>
                <w:rFonts w:ascii="Abadi" w:hAnsi="Abadi" w:cs="Calibri"/>
                <w:sz w:val="21"/>
                <w:szCs w:val="21"/>
                <w:lang w:val="es-MX" w:eastAsia="en-US"/>
              </w:rPr>
            </w:pPr>
            <w:r w:rsidRPr="0089392A">
              <w:rPr>
                <w:rFonts w:ascii="Abadi" w:hAnsi="Abadi" w:cs="Calibri"/>
                <w:sz w:val="21"/>
                <w:szCs w:val="21"/>
                <w:lang w:val="es-MX" w:eastAsia="en-US"/>
              </w:rPr>
              <w:lastRenderedPageBreak/>
              <w:t>2022</w:t>
            </w:r>
          </w:p>
        </w:tc>
        <w:tc>
          <w:tcPr>
            <w:tcW w:w="1095" w:type="pct"/>
            <w:shd w:val="clear" w:color="auto" w:fill="auto"/>
          </w:tcPr>
          <w:p w14:paraId="696F1381" w14:textId="77777777" w:rsidR="0089392A" w:rsidRPr="0089392A" w:rsidRDefault="0089392A" w:rsidP="0089392A">
            <w:pPr>
              <w:spacing w:after="160"/>
              <w:contextualSpacing/>
              <w:jc w:val="both"/>
              <w:rPr>
                <w:rFonts w:ascii="Abadi" w:hAnsi="Abadi" w:cs="Calibri"/>
                <w:sz w:val="21"/>
                <w:szCs w:val="21"/>
                <w:lang w:val="es-MX" w:eastAsia="en-US"/>
              </w:rPr>
            </w:pPr>
            <w:r w:rsidRPr="0089392A">
              <w:rPr>
                <w:rFonts w:ascii="Abadi" w:hAnsi="Abadi" w:cs="Calibri"/>
                <w:sz w:val="21"/>
                <w:szCs w:val="21"/>
                <w:lang w:val="es-MX" w:eastAsia="en-US"/>
              </w:rPr>
              <w:t xml:space="preserve">Revisión de la cuenta pública 2021 del Poder Ejecutivo. </w:t>
            </w:r>
          </w:p>
        </w:tc>
        <w:tc>
          <w:tcPr>
            <w:tcW w:w="2168" w:type="pct"/>
            <w:shd w:val="clear" w:color="auto" w:fill="auto"/>
          </w:tcPr>
          <w:p w14:paraId="654C2356" w14:textId="77777777" w:rsidR="0089392A" w:rsidRPr="0089392A" w:rsidRDefault="0089392A" w:rsidP="0089392A">
            <w:pPr>
              <w:spacing w:after="160"/>
              <w:contextualSpacing/>
              <w:jc w:val="both"/>
              <w:rPr>
                <w:rFonts w:ascii="Abadi" w:hAnsi="Abadi" w:cs="Calibri"/>
                <w:sz w:val="21"/>
                <w:szCs w:val="21"/>
                <w:lang w:val="es-MX" w:eastAsia="en-US"/>
              </w:rPr>
            </w:pPr>
            <w:r w:rsidRPr="0089392A">
              <w:rPr>
                <w:rFonts w:ascii="Abadi" w:hAnsi="Abadi" w:cs="Calibri"/>
                <w:sz w:val="21"/>
                <w:szCs w:val="21"/>
                <w:lang w:val="es-MX" w:eastAsia="en-US"/>
              </w:rPr>
              <w:t>Los trabajos corresponden al Programa General de Fiscalización 2022 se encuentran en fase de planificación.</w:t>
            </w:r>
            <w:r w:rsidRPr="0089392A">
              <w:rPr>
                <w:rFonts w:ascii="Abadi" w:hAnsi="Abadi" w:cs="Calibri"/>
                <w:sz w:val="21"/>
                <w:szCs w:val="21"/>
                <w:lang w:val="es-MX" w:eastAsia="en-US"/>
              </w:rPr>
              <w:br/>
            </w:r>
            <w:r w:rsidRPr="0089392A">
              <w:rPr>
                <w:rFonts w:ascii="Abadi" w:hAnsi="Abadi" w:cs="Calibri"/>
                <w:sz w:val="21"/>
                <w:szCs w:val="21"/>
                <w:lang w:val="es-MX" w:eastAsia="en-US"/>
              </w:rPr>
              <w:br/>
              <w:t xml:space="preserve">Entre los trabajos por realizar se considerará la revisión al cumplimiento de diversos </w:t>
            </w:r>
            <w:r w:rsidRPr="0089392A">
              <w:rPr>
                <w:rFonts w:ascii="Abadi" w:hAnsi="Abadi" w:cs="Calibri"/>
                <w:sz w:val="21"/>
                <w:szCs w:val="21"/>
                <w:lang w:val="es-MX" w:eastAsia="en-US"/>
              </w:rPr>
              <w:t>artículos de las Reglas de Operación del Programa Vale Grandeza – Compra Local (Q3450).</w:t>
            </w:r>
          </w:p>
        </w:tc>
        <w:tc>
          <w:tcPr>
            <w:tcW w:w="1229" w:type="pct"/>
            <w:shd w:val="clear" w:color="auto" w:fill="auto"/>
          </w:tcPr>
          <w:p w14:paraId="34F49487" w14:textId="77777777" w:rsidR="0089392A" w:rsidRPr="0089392A" w:rsidRDefault="0089392A" w:rsidP="0089392A">
            <w:pPr>
              <w:spacing w:after="160"/>
              <w:contextualSpacing/>
              <w:jc w:val="both"/>
              <w:rPr>
                <w:rFonts w:ascii="Abadi" w:hAnsi="Abadi" w:cs="Calibri"/>
                <w:sz w:val="21"/>
                <w:szCs w:val="21"/>
                <w:lang w:val="es-MX" w:eastAsia="en-US"/>
              </w:rPr>
            </w:pPr>
            <w:r w:rsidRPr="0089392A">
              <w:rPr>
                <w:rFonts w:ascii="Abadi" w:hAnsi="Abadi" w:cs="Calibri"/>
                <w:sz w:val="21"/>
                <w:szCs w:val="21"/>
                <w:lang w:val="es-MX" w:eastAsia="en-US"/>
              </w:rPr>
              <w:t>No aplica.</w:t>
            </w:r>
          </w:p>
        </w:tc>
      </w:tr>
    </w:tbl>
    <w:p w14:paraId="6D3B4D04" w14:textId="77777777" w:rsidR="0089392A" w:rsidRPr="0089392A" w:rsidRDefault="0089392A" w:rsidP="0089392A">
      <w:pPr>
        <w:spacing w:line="360" w:lineRule="auto"/>
        <w:contextualSpacing/>
        <w:jc w:val="both"/>
        <w:rPr>
          <w:rFonts w:ascii="Abadi" w:hAnsi="Abadi" w:cs="Calibri"/>
          <w:sz w:val="21"/>
          <w:szCs w:val="21"/>
          <w:lang w:val="es-MX" w:eastAsia="en-US"/>
        </w:rPr>
      </w:pPr>
      <w:r w:rsidRPr="0089392A">
        <w:rPr>
          <w:rFonts w:ascii="Abadi" w:hAnsi="Abadi" w:cs="Calibri"/>
          <w:sz w:val="21"/>
          <w:szCs w:val="21"/>
          <w:lang w:val="es-MX" w:eastAsia="en-US"/>
        </w:rPr>
        <w:t>Fuente: Elaboración propia.</w:t>
      </w:r>
    </w:p>
    <w:p w14:paraId="17068FD0" w14:textId="77777777" w:rsidR="0089392A" w:rsidRPr="0089392A" w:rsidRDefault="0089392A" w:rsidP="0089392A">
      <w:pPr>
        <w:spacing w:line="259" w:lineRule="auto"/>
        <w:ind w:firstLine="720"/>
        <w:jc w:val="both"/>
        <w:rPr>
          <w:rFonts w:ascii="Abadi" w:hAnsi="Abadi" w:cs="Arial"/>
          <w:iCs/>
          <w:sz w:val="21"/>
          <w:szCs w:val="21"/>
          <w:lang w:val="es-MX" w:eastAsia="en-US"/>
        </w:rPr>
      </w:pPr>
    </w:p>
    <w:p w14:paraId="71C7CDB1" w14:textId="77777777" w:rsidR="0089392A" w:rsidRPr="0089392A" w:rsidRDefault="0089392A" w:rsidP="0089392A">
      <w:pPr>
        <w:spacing w:line="259" w:lineRule="auto"/>
        <w:ind w:firstLine="720"/>
        <w:jc w:val="both"/>
        <w:rPr>
          <w:rFonts w:ascii="Abadi" w:hAnsi="Abadi" w:cs="Arial"/>
          <w:iCs/>
          <w:sz w:val="21"/>
          <w:szCs w:val="21"/>
          <w:lang w:val="es-MX" w:eastAsia="en-US"/>
        </w:rPr>
      </w:pPr>
      <w:r w:rsidRPr="0089392A">
        <w:rPr>
          <w:rFonts w:ascii="Abadi" w:hAnsi="Abadi" w:cs="Arial"/>
          <w:iCs/>
          <w:sz w:val="21"/>
          <w:szCs w:val="21"/>
          <w:lang w:val="es-MX" w:eastAsia="en-US"/>
        </w:rPr>
        <w:t xml:space="preserve">Aunado a lo anterior, de la auditoría de desempeño practicada al Poder Ejecutivo del Estado, con enfoque de resultados del Programa </w:t>
      </w:r>
      <w:r w:rsidRPr="0089392A">
        <w:rPr>
          <w:rFonts w:ascii="Abadi" w:hAnsi="Abadi" w:cs="Arial"/>
          <w:i/>
          <w:sz w:val="21"/>
          <w:szCs w:val="21"/>
          <w:lang w:val="es-MX" w:eastAsia="en-US"/>
        </w:rPr>
        <w:t>Q3391 Vale Grandeza-Compra Local</w:t>
      </w:r>
      <w:r w:rsidRPr="0089392A">
        <w:rPr>
          <w:rFonts w:ascii="Abadi" w:hAnsi="Abadi" w:cs="Arial"/>
          <w:iCs/>
          <w:sz w:val="21"/>
          <w:szCs w:val="21"/>
          <w:lang w:val="es-MX" w:eastAsia="en-US"/>
        </w:rPr>
        <w:t>, por el periodo comprendido del 1 de enero al 31 de diciembre del ejercicio fiscal del año 2020, incluida en el Programa General de Fiscalización del ejercicio 2021, cuyo informe de resultados se aprobó por el Pleno el Congreso en la sesión ordinaria celebrada el 12 de mayo de 2022, se generaron las siguientes conclusiones en el citado informe de resultados:</w:t>
      </w:r>
    </w:p>
    <w:p w14:paraId="192AE2CF" w14:textId="77777777" w:rsidR="0089392A" w:rsidRPr="0089392A" w:rsidRDefault="0089392A" w:rsidP="0089392A">
      <w:pPr>
        <w:spacing w:line="360" w:lineRule="auto"/>
        <w:contextualSpacing/>
        <w:jc w:val="both"/>
        <w:rPr>
          <w:rFonts w:ascii="Abadi" w:hAnsi="Abadi" w:cs="Calibri"/>
          <w:sz w:val="21"/>
          <w:szCs w:val="21"/>
          <w:lang w:val="es-MX" w:eastAsia="en-US"/>
        </w:rPr>
      </w:pPr>
    </w:p>
    <w:p w14:paraId="1D4BDB12" w14:textId="77777777" w:rsidR="0089392A" w:rsidRPr="0089392A" w:rsidRDefault="0089392A" w:rsidP="0089392A">
      <w:pPr>
        <w:contextualSpacing/>
        <w:jc w:val="both"/>
        <w:rPr>
          <w:rFonts w:ascii="Abadi" w:hAnsi="Abadi" w:cs="Calibri"/>
          <w:b/>
          <w:bCs/>
          <w:sz w:val="21"/>
          <w:szCs w:val="21"/>
          <w:u w:val="single"/>
          <w:lang w:val="es-MX" w:eastAsia="en-US"/>
        </w:rPr>
      </w:pPr>
      <w:r w:rsidRPr="0089392A">
        <w:rPr>
          <w:rFonts w:ascii="Abadi" w:hAnsi="Abadi" w:cs="Calibri"/>
          <w:b/>
          <w:bCs/>
          <w:sz w:val="21"/>
          <w:szCs w:val="21"/>
          <w:u w:val="single"/>
          <w:lang w:val="es-MX" w:eastAsia="en-US"/>
        </w:rPr>
        <w:t>Respecto de la integración del padrón de beneficiarios</w:t>
      </w:r>
    </w:p>
    <w:p w14:paraId="021FFA0A" w14:textId="77777777" w:rsidR="0089392A" w:rsidRPr="0089392A" w:rsidRDefault="0089392A" w:rsidP="0089392A">
      <w:pPr>
        <w:contextualSpacing/>
        <w:jc w:val="both"/>
        <w:rPr>
          <w:rFonts w:ascii="Abadi" w:hAnsi="Abadi" w:cs="Calibri"/>
          <w:sz w:val="21"/>
          <w:szCs w:val="21"/>
          <w:u w:val="single"/>
          <w:lang w:val="es-MX" w:eastAsia="en-US"/>
        </w:rPr>
      </w:pPr>
    </w:p>
    <w:p w14:paraId="1FC80376" w14:textId="77777777" w:rsidR="0089392A" w:rsidRPr="0089392A" w:rsidRDefault="0089392A" w:rsidP="001A28E5">
      <w:pPr>
        <w:numPr>
          <w:ilvl w:val="0"/>
          <w:numId w:val="40"/>
        </w:numPr>
        <w:spacing w:after="160" w:line="259" w:lineRule="auto"/>
        <w:contextualSpacing/>
        <w:jc w:val="both"/>
        <w:rPr>
          <w:rFonts w:ascii="Abadi" w:hAnsi="Abadi" w:cs="Calibri"/>
          <w:i/>
          <w:iCs/>
          <w:sz w:val="21"/>
          <w:szCs w:val="21"/>
          <w:lang w:val="es-MX" w:eastAsia="en-US"/>
        </w:rPr>
      </w:pPr>
      <w:r w:rsidRPr="0089392A">
        <w:rPr>
          <w:rFonts w:ascii="Abadi" w:hAnsi="Abadi" w:cs="Calibri"/>
          <w:i/>
          <w:iCs/>
          <w:sz w:val="21"/>
          <w:szCs w:val="21"/>
          <w:lang w:val="es-MX" w:eastAsia="en-US"/>
        </w:rPr>
        <w:t xml:space="preserve">Se identificaron deficiencias en la integración de la información de las fechas de aprobación y entrega de los vales, por lo que se considera que la información generada por el sujeto fiscalizado careció de los controles para garantizar la calidad de los datos. </w:t>
      </w:r>
    </w:p>
    <w:p w14:paraId="573997B1" w14:textId="77777777" w:rsidR="0089392A" w:rsidRPr="0089392A" w:rsidRDefault="0089392A" w:rsidP="0089392A">
      <w:pPr>
        <w:ind w:left="708"/>
        <w:jc w:val="both"/>
        <w:rPr>
          <w:rFonts w:ascii="Abadi" w:hAnsi="Abadi" w:cs="Calibri"/>
          <w:i/>
          <w:iCs/>
          <w:sz w:val="21"/>
          <w:szCs w:val="21"/>
          <w:lang w:val="es-MX" w:eastAsia="en-US"/>
        </w:rPr>
      </w:pPr>
    </w:p>
    <w:p w14:paraId="577D3944" w14:textId="77777777" w:rsidR="0089392A" w:rsidRPr="0089392A" w:rsidRDefault="0089392A" w:rsidP="0089392A">
      <w:pPr>
        <w:ind w:left="708"/>
        <w:jc w:val="both"/>
        <w:rPr>
          <w:rFonts w:ascii="Abadi" w:hAnsi="Abadi" w:cs="Calibri"/>
          <w:sz w:val="21"/>
          <w:szCs w:val="21"/>
          <w:lang w:val="es-MX" w:eastAsia="en-US"/>
        </w:rPr>
      </w:pPr>
      <w:r w:rsidRPr="0089392A">
        <w:rPr>
          <w:rFonts w:ascii="Abadi" w:hAnsi="Abadi" w:cs="Calibri"/>
          <w:i/>
          <w:iCs/>
          <w:sz w:val="21"/>
          <w:szCs w:val="21"/>
          <w:lang w:val="es-MX" w:eastAsia="en-US"/>
        </w:rPr>
        <w:t xml:space="preserve">Con base en la información analizada durante la auditoría, se evidenciaron </w:t>
      </w:r>
      <w:r w:rsidRPr="0089392A">
        <w:rPr>
          <w:rFonts w:ascii="Abadi" w:hAnsi="Abadi" w:cs="Calibri"/>
          <w:b/>
          <w:bCs/>
          <w:i/>
          <w:iCs/>
          <w:sz w:val="21"/>
          <w:szCs w:val="21"/>
          <w:lang w:val="es-MX" w:eastAsia="en-US"/>
        </w:rPr>
        <w:t>deficiencias en los mecanismos de control utilizados para</w:t>
      </w:r>
      <w:r w:rsidRPr="0089392A">
        <w:rPr>
          <w:rFonts w:ascii="Abadi" w:hAnsi="Abadi" w:cs="Calibri"/>
          <w:i/>
          <w:iCs/>
          <w:sz w:val="21"/>
          <w:szCs w:val="21"/>
          <w:lang w:val="es-MX" w:eastAsia="en-US"/>
        </w:rPr>
        <w:t xml:space="preserve"> garantizar que los sistemas de información de la SEDESHU, como responsable de </w:t>
      </w:r>
      <w:r w:rsidRPr="0089392A">
        <w:rPr>
          <w:rFonts w:ascii="Abadi" w:hAnsi="Abadi" w:cs="Calibri"/>
          <w:b/>
          <w:bCs/>
          <w:i/>
          <w:iCs/>
          <w:sz w:val="21"/>
          <w:szCs w:val="21"/>
          <w:lang w:val="es-MX" w:eastAsia="en-US"/>
        </w:rPr>
        <w:t>la</w:t>
      </w:r>
      <w:r w:rsidRPr="0089392A">
        <w:rPr>
          <w:rFonts w:ascii="Abadi" w:hAnsi="Abadi" w:cs="Calibri"/>
          <w:i/>
          <w:iCs/>
          <w:sz w:val="21"/>
          <w:szCs w:val="21"/>
          <w:lang w:val="es-MX" w:eastAsia="en-US"/>
        </w:rPr>
        <w:t xml:space="preserve"> </w:t>
      </w:r>
      <w:r w:rsidRPr="0089392A">
        <w:rPr>
          <w:rFonts w:ascii="Abadi" w:hAnsi="Abadi" w:cs="Calibri"/>
          <w:b/>
          <w:bCs/>
          <w:i/>
          <w:iCs/>
          <w:sz w:val="21"/>
          <w:szCs w:val="21"/>
          <w:lang w:val="es-MX" w:eastAsia="en-US"/>
        </w:rPr>
        <w:t>integración del padrón de beneficiarios</w:t>
      </w:r>
      <w:r w:rsidRPr="0089392A">
        <w:rPr>
          <w:rFonts w:ascii="Abadi" w:hAnsi="Abadi" w:cs="Calibri"/>
          <w:i/>
          <w:iCs/>
          <w:sz w:val="21"/>
          <w:szCs w:val="21"/>
          <w:lang w:val="es-MX" w:eastAsia="en-US"/>
        </w:rPr>
        <w:t xml:space="preserve"> del programa, estuvieran integrados por información clara, relevante y confiable de los datos de los beneficiarios que fueron autorizados para recibir el apoyo otorgado por el programa, las fechas en las que se recibió, analizó y autorizó su solicitud, así como los datos de las fechas en las que fueron entregados los vales correspondientes, por lo que se </w:t>
      </w:r>
      <w:r w:rsidRPr="0089392A">
        <w:rPr>
          <w:rFonts w:ascii="Abadi" w:hAnsi="Abadi" w:cs="Calibri"/>
          <w:i/>
          <w:iCs/>
          <w:sz w:val="21"/>
          <w:szCs w:val="21"/>
          <w:lang w:val="es-MX" w:eastAsia="en-US"/>
        </w:rPr>
        <w:lastRenderedPageBreak/>
        <w:t>considera que no dispuso de los elementos necesarios para administrar y mitigar cualquier riesgo relacionado con la selección y entrega de los apoyos ofertados por el programa «Vale Grandeza-Compra Local</w:t>
      </w:r>
      <w:r w:rsidRPr="0089392A">
        <w:rPr>
          <w:rFonts w:ascii="Abadi" w:hAnsi="Abadi" w:cs="Calibri"/>
          <w:sz w:val="21"/>
          <w:szCs w:val="21"/>
          <w:lang w:val="es-MX" w:eastAsia="en-US"/>
        </w:rPr>
        <w:t>».</w:t>
      </w:r>
    </w:p>
    <w:p w14:paraId="5BCE0AA4" w14:textId="77777777" w:rsidR="0089392A" w:rsidRPr="0089392A" w:rsidRDefault="0089392A" w:rsidP="00E34FAB">
      <w:pPr>
        <w:contextualSpacing/>
        <w:jc w:val="both"/>
        <w:rPr>
          <w:rFonts w:ascii="Abadi" w:hAnsi="Abadi" w:cs="Calibri"/>
          <w:sz w:val="21"/>
          <w:szCs w:val="21"/>
          <w:u w:val="single"/>
          <w:lang w:val="es-MX" w:eastAsia="en-US"/>
        </w:rPr>
      </w:pPr>
    </w:p>
    <w:p w14:paraId="0A7B1411" w14:textId="77777777" w:rsidR="0089392A" w:rsidRPr="0089392A" w:rsidRDefault="0089392A" w:rsidP="0089392A">
      <w:pPr>
        <w:contextualSpacing/>
        <w:jc w:val="both"/>
        <w:rPr>
          <w:rFonts w:ascii="Abadi" w:hAnsi="Abadi" w:cs="Calibri"/>
          <w:b/>
          <w:bCs/>
          <w:sz w:val="21"/>
          <w:szCs w:val="21"/>
          <w:u w:val="single"/>
          <w:lang w:val="es-MX" w:eastAsia="en-US"/>
        </w:rPr>
      </w:pPr>
      <w:r w:rsidRPr="0089392A">
        <w:rPr>
          <w:rFonts w:ascii="Abadi" w:hAnsi="Abadi" w:cs="Calibri"/>
          <w:b/>
          <w:bCs/>
          <w:sz w:val="21"/>
          <w:szCs w:val="21"/>
          <w:u w:val="single"/>
          <w:lang w:val="es-MX" w:eastAsia="en-US"/>
        </w:rPr>
        <w:t>Respecto de la entrega de los vales</w:t>
      </w:r>
    </w:p>
    <w:p w14:paraId="2EBD8587" w14:textId="77777777" w:rsidR="0089392A" w:rsidRPr="0089392A" w:rsidRDefault="0089392A" w:rsidP="0089392A">
      <w:pPr>
        <w:contextualSpacing/>
        <w:jc w:val="both"/>
        <w:rPr>
          <w:rFonts w:ascii="Abadi" w:hAnsi="Abadi" w:cs="Calibri"/>
          <w:b/>
          <w:bCs/>
          <w:sz w:val="21"/>
          <w:szCs w:val="21"/>
          <w:u w:val="single"/>
          <w:lang w:val="es-MX" w:eastAsia="en-US"/>
        </w:rPr>
      </w:pPr>
    </w:p>
    <w:p w14:paraId="37B84C1C" w14:textId="77777777" w:rsidR="0089392A" w:rsidRPr="0089392A" w:rsidRDefault="0089392A" w:rsidP="001A28E5">
      <w:pPr>
        <w:numPr>
          <w:ilvl w:val="0"/>
          <w:numId w:val="40"/>
        </w:numPr>
        <w:spacing w:after="160" w:line="259" w:lineRule="auto"/>
        <w:contextualSpacing/>
        <w:jc w:val="both"/>
        <w:rPr>
          <w:rFonts w:ascii="Abadi" w:hAnsi="Abadi" w:cs="Calibri"/>
          <w:i/>
          <w:iCs/>
          <w:sz w:val="21"/>
          <w:szCs w:val="21"/>
          <w:lang w:val="es-MX" w:eastAsia="en-US"/>
        </w:rPr>
      </w:pPr>
      <w:r w:rsidRPr="0089392A">
        <w:rPr>
          <w:rFonts w:ascii="Abadi" w:hAnsi="Abadi" w:cs="Calibri"/>
          <w:i/>
          <w:iCs/>
          <w:sz w:val="21"/>
          <w:szCs w:val="21"/>
          <w:lang w:val="es-MX" w:eastAsia="en-US"/>
        </w:rPr>
        <w:t xml:space="preserve">Con base en los registros del padrón de beneficiarios, se constató que </w:t>
      </w:r>
      <w:r w:rsidRPr="0089392A">
        <w:rPr>
          <w:rFonts w:ascii="Abadi" w:hAnsi="Abadi" w:cs="Calibri"/>
          <w:b/>
          <w:bCs/>
          <w:i/>
          <w:iCs/>
          <w:sz w:val="21"/>
          <w:szCs w:val="21"/>
          <w:lang w:val="es-MX" w:eastAsia="en-US"/>
        </w:rPr>
        <w:t>el 94.3% (97,649)</w:t>
      </w:r>
      <w:r w:rsidRPr="0089392A">
        <w:rPr>
          <w:rFonts w:ascii="Abadi" w:hAnsi="Abadi" w:cs="Calibri"/>
          <w:i/>
          <w:iCs/>
          <w:sz w:val="21"/>
          <w:szCs w:val="21"/>
          <w:lang w:val="es-MX" w:eastAsia="en-US"/>
        </w:rPr>
        <w:t xml:space="preserve"> de los casos los apoyos </w:t>
      </w:r>
      <w:r w:rsidRPr="0089392A">
        <w:rPr>
          <w:rFonts w:ascii="Abadi" w:hAnsi="Abadi" w:cs="Calibri"/>
          <w:b/>
          <w:bCs/>
          <w:i/>
          <w:iCs/>
          <w:sz w:val="21"/>
          <w:szCs w:val="21"/>
          <w:lang w:val="es-MX" w:eastAsia="en-US"/>
        </w:rPr>
        <w:t>se entregaron dentro de la vigencia</w:t>
      </w:r>
      <w:r w:rsidRPr="0089392A">
        <w:rPr>
          <w:rFonts w:ascii="Abadi" w:hAnsi="Abadi" w:cs="Calibri"/>
          <w:i/>
          <w:iCs/>
          <w:sz w:val="21"/>
          <w:szCs w:val="21"/>
          <w:lang w:val="es-MX" w:eastAsia="en-US"/>
        </w:rPr>
        <w:t xml:space="preserve"> de las reglas de operación; no obstante, en el caso del 5.7% (5.929) los vales se entregaron hasta enero de 2021. </w:t>
      </w:r>
    </w:p>
    <w:p w14:paraId="344C8D43" w14:textId="77777777" w:rsidR="0089392A" w:rsidRPr="0089392A" w:rsidRDefault="0089392A" w:rsidP="0089392A">
      <w:pPr>
        <w:ind w:left="720"/>
        <w:contextualSpacing/>
        <w:jc w:val="both"/>
        <w:rPr>
          <w:rFonts w:ascii="Abadi" w:hAnsi="Abadi" w:cs="Calibri"/>
          <w:i/>
          <w:iCs/>
          <w:sz w:val="21"/>
          <w:szCs w:val="21"/>
          <w:lang w:val="es-MX" w:eastAsia="en-US"/>
        </w:rPr>
      </w:pPr>
    </w:p>
    <w:p w14:paraId="77D41AEE" w14:textId="77777777" w:rsidR="0089392A" w:rsidRPr="0089392A" w:rsidRDefault="0089392A" w:rsidP="001A28E5">
      <w:pPr>
        <w:numPr>
          <w:ilvl w:val="0"/>
          <w:numId w:val="40"/>
        </w:numPr>
        <w:spacing w:after="160" w:line="259" w:lineRule="auto"/>
        <w:contextualSpacing/>
        <w:jc w:val="both"/>
        <w:rPr>
          <w:rFonts w:ascii="Abadi" w:hAnsi="Abadi" w:cs="Calibri"/>
          <w:i/>
          <w:iCs/>
          <w:sz w:val="21"/>
          <w:szCs w:val="21"/>
          <w:lang w:val="es-MX" w:eastAsia="en-US"/>
        </w:rPr>
      </w:pPr>
      <w:r w:rsidRPr="0089392A">
        <w:rPr>
          <w:rFonts w:ascii="Abadi" w:hAnsi="Abadi" w:cs="Calibri"/>
          <w:i/>
          <w:iCs/>
          <w:sz w:val="21"/>
          <w:szCs w:val="21"/>
          <w:lang w:val="es-MX" w:eastAsia="en-US"/>
        </w:rPr>
        <w:t xml:space="preserve">En cuanto a la distribución y entrega de los apoyos otorgados por el programa «Vale Grandeza-Compra Local», se constató que éste benefició a 103,578 personas </w:t>
      </w:r>
      <w:r w:rsidRPr="0089392A">
        <w:rPr>
          <w:rFonts w:ascii="Abadi" w:hAnsi="Abadi" w:cs="Calibri"/>
          <w:b/>
          <w:bCs/>
          <w:i/>
          <w:iCs/>
          <w:sz w:val="21"/>
          <w:szCs w:val="21"/>
          <w:lang w:val="es-MX" w:eastAsia="en-US"/>
        </w:rPr>
        <w:t>distribuidas en los 46 municipios</w:t>
      </w:r>
      <w:r w:rsidRPr="0089392A">
        <w:rPr>
          <w:rFonts w:ascii="Abadi" w:hAnsi="Abadi" w:cs="Calibri"/>
          <w:i/>
          <w:iCs/>
          <w:sz w:val="21"/>
          <w:szCs w:val="21"/>
          <w:lang w:val="es-MX" w:eastAsia="en-US"/>
        </w:rPr>
        <w:t xml:space="preserve"> que conforman el Estado de Guanajuato, como se muestra en el siguiente mapa:</w:t>
      </w:r>
    </w:p>
    <w:p w14:paraId="1F1A0344" w14:textId="77777777" w:rsidR="0089392A" w:rsidRPr="0089392A" w:rsidRDefault="0089392A" w:rsidP="0089392A">
      <w:pPr>
        <w:spacing w:after="160" w:line="259" w:lineRule="auto"/>
        <w:ind w:left="720"/>
        <w:contextualSpacing/>
        <w:rPr>
          <w:rFonts w:ascii="Abadi" w:hAnsi="Abadi" w:cs="Calibri"/>
          <w:sz w:val="21"/>
          <w:szCs w:val="21"/>
          <w:lang w:val="es-MX" w:eastAsia="en-US"/>
        </w:rPr>
      </w:pPr>
    </w:p>
    <w:p w14:paraId="43FC0345" w14:textId="03B15544" w:rsidR="0089392A" w:rsidRPr="0089392A" w:rsidRDefault="0089392A" w:rsidP="0089392A">
      <w:pPr>
        <w:spacing w:after="160" w:line="259" w:lineRule="auto"/>
        <w:ind w:left="720"/>
        <w:contextualSpacing/>
        <w:rPr>
          <w:rFonts w:ascii="Abadi" w:hAnsi="Abadi" w:cs="Calibri"/>
          <w:sz w:val="21"/>
          <w:szCs w:val="21"/>
          <w:lang w:val="es-MX" w:eastAsia="en-US"/>
        </w:rPr>
      </w:pPr>
      <w:r w:rsidRPr="0089392A">
        <w:rPr>
          <w:rFonts w:ascii="Abadi" w:hAnsi="Abadi"/>
          <w:noProof/>
          <w:sz w:val="21"/>
          <w:szCs w:val="21"/>
          <w:u w:val="single"/>
          <w:lang w:val="es-MX" w:eastAsia="en-US"/>
        </w:rPr>
        <w:drawing>
          <wp:inline distT="0" distB="0" distL="0" distR="0" wp14:anchorId="35080536" wp14:editId="40A92A87">
            <wp:extent cx="2425555" cy="1593668"/>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36827" cy="1601074"/>
                    </a:xfrm>
                    <a:prstGeom prst="rect">
                      <a:avLst/>
                    </a:prstGeom>
                    <a:noFill/>
                    <a:ln>
                      <a:noFill/>
                    </a:ln>
                  </pic:spPr>
                </pic:pic>
              </a:graphicData>
            </a:graphic>
          </wp:inline>
        </w:drawing>
      </w:r>
    </w:p>
    <w:p w14:paraId="3616576B" w14:textId="77777777" w:rsidR="0089392A" w:rsidRPr="0089392A" w:rsidRDefault="0089392A" w:rsidP="0089392A">
      <w:pPr>
        <w:spacing w:after="160" w:line="259" w:lineRule="auto"/>
        <w:ind w:left="1416" w:hanging="696"/>
        <w:contextualSpacing/>
        <w:rPr>
          <w:rFonts w:ascii="Abadi" w:hAnsi="Abadi" w:cs="Calibri"/>
          <w:sz w:val="21"/>
          <w:szCs w:val="21"/>
          <w:lang w:val="es-MX" w:eastAsia="en-US"/>
        </w:rPr>
      </w:pPr>
      <w:r w:rsidRPr="0089392A">
        <w:rPr>
          <w:rFonts w:ascii="Abadi" w:hAnsi="Abadi" w:cs="Calibri"/>
          <w:sz w:val="21"/>
          <w:szCs w:val="21"/>
          <w:lang w:val="es-MX" w:eastAsia="en-US"/>
        </w:rPr>
        <w:t>Fuente:</w:t>
      </w:r>
      <w:r w:rsidRPr="0089392A">
        <w:rPr>
          <w:rFonts w:ascii="Abadi" w:hAnsi="Abadi" w:cs="Calibri"/>
          <w:sz w:val="21"/>
          <w:szCs w:val="21"/>
          <w:lang w:val="es-MX" w:eastAsia="en-US"/>
        </w:rPr>
        <w:tab/>
        <w:t>Informe de Resultados de la Auditoría de Desempeño al Programa Q3391 Vale Grandeza – Compra Local, correspondiente a la cuenta pública 2020.</w:t>
      </w:r>
    </w:p>
    <w:p w14:paraId="12246630" w14:textId="77777777" w:rsidR="0089392A" w:rsidRPr="0089392A" w:rsidRDefault="0089392A" w:rsidP="0089392A">
      <w:pPr>
        <w:spacing w:line="360" w:lineRule="auto"/>
        <w:jc w:val="both"/>
        <w:rPr>
          <w:rFonts w:ascii="Abadi" w:hAnsi="Abadi" w:cs="Calibri"/>
          <w:sz w:val="21"/>
          <w:szCs w:val="21"/>
          <w:lang w:val="es-MX" w:eastAsia="en-US"/>
        </w:rPr>
      </w:pPr>
    </w:p>
    <w:p w14:paraId="4C81807C" w14:textId="77777777" w:rsidR="0089392A" w:rsidRPr="0089392A" w:rsidRDefault="0089392A" w:rsidP="00E34FAB">
      <w:pPr>
        <w:spacing w:line="360" w:lineRule="auto"/>
        <w:jc w:val="both"/>
        <w:rPr>
          <w:rFonts w:ascii="Abadi" w:hAnsi="Abadi" w:cs="Calibri"/>
          <w:sz w:val="21"/>
          <w:szCs w:val="21"/>
          <w:lang w:val="es-MX" w:eastAsia="en-US"/>
        </w:rPr>
      </w:pPr>
    </w:p>
    <w:p w14:paraId="1F2B006C" w14:textId="77777777" w:rsidR="0089392A" w:rsidRPr="0089392A" w:rsidRDefault="0089392A" w:rsidP="0089392A">
      <w:pPr>
        <w:ind w:firstLine="708"/>
        <w:jc w:val="both"/>
        <w:rPr>
          <w:rFonts w:ascii="Abadi" w:eastAsia="Calibri" w:hAnsi="Abadi"/>
          <w:bCs/>
          <w:sz w:val="21"/>
          <w:szCs w:val="21"/>
          <w:lang w:val="es-MX" w:eastAsia="en-US"/>
        </w:rPr>
      </w:pPr>
      <w:r w:rsidRPr="0089392A">
        <w:rPr>
          <w:rFonts w:ascii="Abadi" w:eastAsia="Calibri" w:hAnsi="Abadi"/>
          <w:bCs/>
          <w:sz w:val="21"/>
          <w:szCs w:val="21"/>
          <w:lang w:val="es-MX" w:eastAsia="en-US"/>
        </w:rPr>
        <w:t xml:space="preserve">De manera general, se puso a consideración de las autoridades competentes que, en caso de optar por mantener el programa en operación una vez superados los efectos de la </w:t>
      </w:r>
      <w:r w:rsidRPr="0089392A">
        <w:rPr>
          <w:rFonts w:ascii="Abadi" w:eastAsia="Calibri" w:hAnsi="Abadi"/>
          <w:bCs/>
          <w:sz w:val="21"/>
          <w:szCs w:val="21"/>
          <w:lang w:val="es-MX" w:eastAsia="en-US"/>
        </w:rPr>
        <w:t>pandemia por Covid-19, se estima conveniente realizar un análisis para verificar si hay fragmentaciones</w:t>
      </w:r>
      <w:r w:rsidRPr="0089392A">
        <w:rPr>
          <w:rFonts w:ascii="Abadi" w:hAnsi="Abadi" w:cs="Calibri"/>
          <w:sz w:val="21"/>
          <w:szCs w:val="21"/>
          <w:lang w:val="es-MX" w:eastAsia="en-US"/>
        </w:rPr>
        <w:t>,</w:t>
      </w:r>
      <w:r w:rsidRPr="0089392A">
        <w:rPr>
          <w:rFonts w:ascii="Abadi" w:hAnsi="Abadi" w:cs="Calibri"/>
          <w:sz w:val="21"/>
          <w:szCs w:val="21"/>
          <w:vertAlign w:val="superscript"/>
          <w:lang w:val="es-MX" w:eastAsia="en-US"/>
        </w:rPr>
        <w:footnoteReference w:id="114"/>
      </w:r>
      <w:r w:rsidRPr="0089392A">
        <w:rPr>
          <w:rFonts w:ascii="Abadi" w:hAnsi="Abadi" w:cs="Calibri"/>
          <w:sz w:val="21"/>
          <w:szCs w:val="21"/>
          <w:lang w:val="es-MX" w:eastAsia="en-US"/>
        </w:rPr>
        <w:t xml:space="preserve"> </w:t>
      </w:r>
      <w:r w:rsidRPr="0089392A">
        <w:rPr>
          <w:rFonts w:ascii="Abadi" w:eastAsia="Calibri" w:hAnsi="Abadi"/>
          <w:bCs/>
          <w:sz w:val="21"/>
          <w:szCs w:val="21"/>
          <w:lang w:val="es-MX" w:eastAsia="en-US"/>
        </w:rPr>
        <w:t>superposiciones</w:t>
      </w:r>
      <w:r w:rsidRPr="0089392A">
        <w:rPr>
          <w:rFonts w:ascii="Abadi" w:hAnsi="Abadi" w:cs="Calibri"/>
          <w:sz w:val="21"/>
          <w:szCs w:val="21"/>
          <w:vertAlign w:val="superscript"/>
          <w:lang w:val="es-MX" w:eastAsia="en-US"/>
        </w:rPr>
        <w:footnoteReference w:id="115"/>
      </w:r>
      <w:r w:rsidRPr="0089392A">
        <w:rPr>
          <w:rFonts w:ascii="Abadi" w:hAnsi="Abadi" w:cs="Calibri"/>
          <w:sz w:val="21"/>
          <w:szCs w:val="21"/>
          <w:lang w:val="es-MX" w:eastAsia="en-US"/>
        </w:rPr>
        <w:t xml:space="preserve"> </w:t>
      </w:r>
      <w:r w:rsidRPr="0089392A">
        <w:rPr>
          <w:rFonts w:ascii="Abadi" w:eastAsia="Calibri" w:hAnsi="Abadi"/>
          <w:bCs/>
          <w:sz w:val="21"/>
          <w:szCs w:val="21"/>
          <w:lang w:val="es-MX" w:eastAsia="en-US"/>
        </w:rPr>
        <w:t>o duplicaciones</w:t>
      </w:r>
      <w:r w:rsidRPr="0089392A">
        <w:rPr>
          <w:rFonts w:ascii="Abadi" w:hAnsi="Abadi" w:cs="Calibri"/>
          <w:sz w:val="21"/>
          <w:szCs w:val="21"/>
          <w:vertAlign w:val="superscript"/>
          <w:lang w:val="es-MX" w:eastAsia="en-US"/>
        </w:rPr>
        <w:footnoteReference w:id="116"/>
      </w:r>
      <w:r w:rsidRPr="0089392A">
        <w:rPr>
          <w:rFonts w:ascii="Abadi" w:hAnsi="Abadi" w:cs="Calibri"/>
          <w:sz w:val="21"/>
          <w:szCs w:val="21"/>
          <w:lang w:val="es-MX" w:eastAsia="en-US"/>
        </w:rPr>
        <w:t xml:space="preserve"> </w:t>
      </w:r>
      <w:r w:rsidRPr="0089392A">
        <w:rPr>
          <w:rFonts w:ascii="Abadi" w:eastAsia="Calibri" w:hAnsi="Abadi"/>
          <w:bCs/>
          <w:sz w:val="21"/>
          <w:szCs w:val="21"/>
          <w:lang w:val="es-MX" w:eastAsia="en-US"/>
        </w:rPr>
        <w:t>en los programas ofertados por el Estado que buscan atender la seguridad alimentaria desde una perspectiva de acceso.</w:t>
      </w:r>
    </w:p>
    <w:p w14:paraId="4FBBEDE0" w14:textId="77777777" w:rsidR="0089392A" w:rsidRPr="0089392A" w:rsidRDefault="0089392A" w:rsidP="0089392A">
      <w:pPr>
        <w:spacing w:line="259" w:lineRule="auto"/>
        <w:ind w:firstLine="720"/>
        <w:jc w:val="both"/>
        <w:rPr>
          <w:rFonts w:ascii="Abadi" w:hAnsi="Abadi" w:cs="Arial"/>
          <w:iCs/>
          <w:sz w:val="21"/>
          <w:szCs w:val="21"/>
          <w:lang w:val="es-MX" w:eastAsia="en-US"/>
        </w:rPr>
      </w:pPr>
    </w:p>
    <w:p w14:paraId="77A17E84" w14:textId="77777777" w:rsidR="0089392A" w:rsidRPr="0089392A" w:rsidRDefault="0089392A" w:rsidP="0089392A">
      <w:pPr>
        <w:spacing w:line="259" w:lineRule="auto"/>
        <w:ind w:firstLine="708"/>
        <w:jc w:val="both"/>
        <w:rPr>
          <w:rFonts w:ascii="Abadi" w:hAnsi="Abadi" w:cs="Arial"/>
          <w:iCs/>
          <w:sz w:val="21"/>
          <w:szCs w:val="21"/>
          <w:lang w:val="es-MX" w:eastAsia="en-US"/>
        </w:rPr>
      </w:pPr>
      <w:r w:rsidRPr="0089392A">
        <w:rPr>
          <w:rFonts w:ascii="Abadi" w:hAnsi="Abadi" w:cs="Arial"/>
          <w:iCs/>
          <w:sz w:val="21"/>
          <w:szCs w:val="21"/>
          <w:lang w:val="es-MX" w:eastAsia="en-US"/>
        </w:rPr>
        <w:t xml:space="preserve">Es así, que de la información proporcionada por la Auditoría Superior del Estado podemos desprender que, en la revisión de la cuenta pública del Poder Ejecutivo del Estado de 2021, se considerará la revisión al cumplimiento de diversos artículos de las Reglas de Operación del Programa </w:t>
      </w:r>
      <w:r w:rsidRPr="0089392A">
        <w:rPr>
          <w:rFonts w:ascii="Abadi" w:hAnsi="Abadi" w:cs="Arial"/>
          <w:i/>
          <w:sz w:val="21"/>
          <w:szCs w:val="21"/>
          <w:lang w:val="es-MX" w:eastAsia="en-US"/>
        </w:rPr>
        <w:t>Vale Grandeza – Compra Local (Q3450</w:t>
      </w:r>
      <w:r w:rsidRPr="0089392A">
        <w:rPr>
          <w:rFonts w:ascii="Abadi" w:hAnsi="Abadi" w:cs="Arial"/>
          <w:iCs/>
          <w:sz w:val="21"/>
          <w:szCs w:val="21"/>
          <w:lang w:val="es-MX" w:eastAsia="en-US"/>
        </w:rPr>
        <w:t xml:space="preserve">). Asimismo, en su momento, se sancionó por este Poder Legislativo el informe de resultados de la auditoría de desempeño practicada al Poder Ejecutivo del Estado, con enfoque de resultados del Programa </w:t>
      </w:r>
      <w:r w:rsidRPr="0089392A">
        <w:rPr>
          <w:rFonts w:ascii="Abadi" w:hAnsi="Abadi" w:cs="Arial"/>
          <w:i/>
          <w:sz w:val="21"/>
          <w:szCs w:val="21"/>
          <w:lang w:val="es-MX" w:eastAsia="en-US"/>
        </w:rPr>
        <w:t>Q3391 Vale Grandeza-Compra Local</w:t>
      </w:r>
      <w:r w:rsidRPr="0089392A">
        <w:rPr>
          <w:rFonts w:ascii="Abadi" w:hAnsi="Abadi" w:cs="Arial"/>
          <w:iCs/>
          <w:sz w:val="21"/>
          <w:szCs w:val="21"/>
          <w:lang w:val="es-MX" w:eastAsia="en-US"/>
        </w:rPr>
        <w:t>, a cargo de la Secretaría de Desarrollo Económico Sustentable, correspondiente al ejercicio fiscal del año 2020 en el que se formularon diversas recomendaciones en relación al padrón de beneficiarios.</w:t>
      </w:r>
    </w:p>
    <w:p w14:paraId="097F8D7C" w14:textId="77777777" w:rsidR="0089392A" w:rsidRPr="0089392A" w:rsidRDefault="0089392A" w:rsidP="0089392A">
      <w:pPr>
        <w:spacing w:line="259" w:lineRule="auto"/>
        <w:ind w:firstLine="708"/>
        <w:jc w:val="both"/>
        <w:rPr>
          <w:rFonts w:ascii="Abadi" w:hAnsi="Abadi" w:cs="Arial"/>
          <w:iCs/>
          <w:sz w:val="21"/>
          <w:szCs w:val="21"/>
          <w:lang w:val="es-MX" w:eastAsia="en-US"/>
        </w:rPr>
      </w:pPr>
    </w:p>
    <w:p w14:paraId="7D638783" w14:textId="77777777" w:rsidR="0089392A" w:rsidRPr="0089392A" w:rsidRDefault="0089392A" w:rsidP="0089392A">
      <w:pPr>
        <w:ind w:firstLine="708"/>
        <w:contextualSpacing/>
        <w:jc w:val="both"/>
        <w:rPr>
          <w:rFonts w:ascii="Abadi" w:eastAsia="Calibri" w:hAnsi="Abadi"/>
          <w:bCs/>
          <w:sz w:val="21"/>
          <w:szCs w:val="21"/>
          <w:lang w:val="es-MX" w:eastAsia="en-US"/>
        </w:rPr>
      </w:pPr>
      <w:r w:rsidRPr="0089392A">
        <w:rPr>
          <w:rFonts w:ascii="Abadi" w:eastAsia="Calibri" w:hAnsi="Abadi"/>
          <w:bCs/>
          <w:sz w:val="21"/>
          <w:szCs w:val="21"/>
          <w:lang w:val="es-MX" w:eastAsia="en-US"/>
        </w:rPr>
        <w:t>Aunado a lo anterior, en el Programa General de Fiscalización 2022 se contemplan 272 actos de fiscalización, por lo que, de acuerdo a dicho Programa, así como al Programa Operativo Anual y la capacidad institucional instalada, la incorporación de actos de fiscalización adicionales a los ya programados, incidiría directamente en la cobertura, calidad y tiempos de la fiscalización, en detrimento del citado programa y de los actos de fiscalización previamente planificados.</w:t>
      </w:r>
    </w:p>
    <w:p w14:paraId="6E52B901" w14:textId="77777777" w:rsidR="0089392A" w:rsidRPr="0089392A" w:rsidRDefault="0089392A" w:rsidP="0089392A">
      <w:pPr>
        <w:spacing w:line="259" w:lineRule="auto"/>
        <w:rPr>
          <w:rFonts w:ascii="Abadi" w:eastAsia="Calibri" w:hAnsi="Abadi"/>
          <w:sz w:val="21"/>
          <w:szCs w:val="21"/>
          <w:lang w:val="es-MX" w:eastAsia="en-US"/>
        </w:rPr>
      </w:pPr>
    </w:p>
    <w:p w14:paraId="7690447C" w14:textId="77777777" w:rsidR="0089392A" w:rsidRPr="0089392A" w:rsidRDefault="0089392A" w:rsidP="0089392A">
      <w:pPr>
        <w:spacing w:after="160"/>
        <w:ind w:firstLine="720"/>
        <w:jc w:val="both"/>
        <w:rPr>
          <w:rFonts w:ascii="Abadi" w:eastAsia="Calibri" w:hAnsi="Abadi"/>
          <w:sz w:val="21"/>
          <w:szCs w:val="21"/>
          <w:lang w:val="es-MX" w:eastAsia="en-US"/>
        </w:rPr>
      </w:pPr>
      <w:r w:rsidRPr="0089392A">
        <w:rPr>
          <w:rFonts w:ascii="Abadi" w:hAnsi="Abadi" w:cs="Arial"/>
          <w:sz w:val="21"/>
          <w:szCs w:val="21"/>
          <w:lang w:val="es-MX" w:eastAsia="en-US"/>
        </w:rPr>
        <w:t xml:space="preserve">En razón a lo antes señalado y privilegiando la realización de los actos de fiscalización ya contemplados en el Programa General de Fiscalización de la Auditoría Superior del Estado para el presente ejercicio fiscal, mismo que consideró una planeación estratégica, así como al cumplimiento de dicho programa en tiempo y calidad de los actos programados, así como a la capacidad institucional instalada de dicho Órgano Técnico, determinamos no autorizar la realización de la auditoría propuesta, </w:t>
      </w:r>
      <w:r w:rsidRPr="0089392A">
        <w:rPr>
          <w:rFonts w:ascii="Abadi" w:hAnsi="Abadi" w:cs="Arial"/>
          <w:sz w:val="21"/>
          <w:szCs w:val="21"/>
          <w:lang w:val="es-MX" w:eastAsia="en-US"/>
        </w:rPr>
        <w:lastRenderedPageBreak/>
        <w:t xml:space="preserve">atendiendo además a que en la revisión de la cuenta pública del Poder Ejecutivo del Estado del ejercicio 2021 </w:t>
      </w:r>
      <w:r w:rsidRPr="0089392A">
        <w:rPr>
          <w:rFonts w:ascii="Abadi" w:hAnsi="Abadi" w:cs="Arial"/>
          <w:iCs/>
          <w:sz w:val="21"/>
          <w:szCs w:val="21"/>
          <w:lang w:val="es-MX" w:eastAsia="en-US"/>
        </w:rPr>
        <w:t xml:space="preserve">se considerará la revisión al cumplimiento de diversos artículos de las Reglas de Operación del Programa </w:t>
      </w:r>
      <w:r w:rsidRPr="0089392A">
        <w:rPr>
          <w:rFonts w:ascii="Abadi" w:hAnsi="Abadi" w:cs="Arial"/>
          <w:i/>
          <w:sz w:val="21"/>
          <w:szCs w:val="21"/>
          <w:lang w:val="es-MX" w:eastAsia="en-US"/>
        </w:rPr>
        <w:t>Vale Grandeza – Compra Local (Q3450</w:t>
      </w:r>
      <w:r w:rsidRPr="0089392A">
        <w:rPr>
          <w:rFonts w:ascii="Abadi" w:hAnsi="Abadi" w:cs="Arial"/>
          <w:iCs/>
          <w:sz w:val="21"/>
          <w:szCs w:val="21"/>
          <w:lang w:val="es-MX" w:eastAsia="en-US"/>
        </w:rPr>
        <w:t>), en la que podrán considerarse los hechos</w:t>
      </w:r>
      <w:r w:rsidRPr="0089392A">
        <w:rPr>
          <w:rFonts w:ascii="Abadi" w:hAnsi="Abadi"/>
          <w:bCs/>
          <w:sz w:val="21"/>
          <w:szCs w:val="21"/>
          <w:lang w:val="es-MX" w:eastAsia="en-US"/>
        </w:rPr>
        <w:t xml:space="preserve"> planteados por el proponente.</w:t>
      </w:r>
    </w:p>
    <w:p w14:paraId="17A04342" w14:textId="77777777" w:rsidR="0089392A" w:rsidRPr="0089392A" w:rsidRDefault="0089392A" w:rsidP="0089392A">
      <w:pPr>
        <w:spacing w:line="259" w:lineRule="auto"/>
        <w:ind w:firstLine="720"/>
        <w:jc w:val="both"/>
        <w:rPr>
          <w:rFonts w:ascii="Abadi" w:hAnsi="Abadi" w:cs="Arial"/>
          <w:sz w:val="21"/>
          <w:szCs w:val="21"/>
          <w:lang w:val="es-MX" w:eastAsia="en-US"/>
        </w:rPr>
      </w:pPr>
    </w:p>
    <w:p w14:paraId="7A40F857" w14:textId="77777777" w:rsidR="0089392A" w:rsidRPr="0089392A" w:rsidRDefault="0089392A" w:rsidP="0089392A">
      <w:pPr>
        <w:spacing w:line="259" w:lineRule="auto"/>
        <w:ind w:firstLine="708"/>
        <w:jc w:val="both"/>
        <w:rPr>
          <w:rFonts w:ascii="Abadi" w:hAnsi="Abadi" w:cs="Arial"/>
          <w:iCs/>
          <w:sz w:val="21"/>
          <w:szCs w:val="21"/>
          <w:lang w:val="es-MX" w:eastAsia="en-US"/>
        </w:rPr>
      </w:pPr>
      <w:r w:rsidRPr="0089392A">
        <w:rPr>
          <w:rFonts w:ascii="Abadi" w:hAnsi="Abadi" w:cs="Arial"/>
          <w:iCs/>
          <w:sz w:val="21"/>
          <w:szCs w:val="21"/>
          <w:lang w:val="es-MX" w:eastAsia="en-US"/>
        </w:rPr>
        <w:t xml:space="preserve">Por lo expuesto y con fundamento en el artículo 204 de </w:t>
      </w:r>
      <w:smartTag w:uri="urn:schemas-microsoft-com:office:smarttags" w:element="PersonName">
        <w:smartTagPr>
          <w:attr w:name="ProductID" w:val="la Ley Org￡nica"/>
        </w:smartTagPr>
        <w:r w:rsidRPr="0089392A">
          <w:rPr>
            <w:rFonts w:ascii="Abadi" w:hAnsi="Abadi" w:cs="Arial"/>
            <w:iCs/>
            <w:sz w:val="21"/>
            <w:szCs w:val="21"/>
            <w:lang w:val="es-MX" w:eastAsia="en-US"/>
          </w:rPr>
          <w:t>la Ley Orgánica</w:t>
        </w:r>
      </w:smartTag>
      <w:r w:rsidRPr="0089392A">
        <w:rPr>
          <w:rFonts w:ascii="Abadi" w:hAnsi="Abadi" w:cs="Arial"/>
          <w:iCs/>
          <w:sz w:val="21"/>
          <w:szCs w:val="21"/>
          <w:lang w:val="es-MX" w:eastAsia="en-US"/>
        </w:rPr>
        <w:t xml:space="preserve"> del Poder Legislativo del Estado, sometemos a la consideración de </w:t>
      </w:r>
      <w:smartTag w:uri="urn:schemas-microsoft-com:office:smarttags" w:element="PersonName">
        <w:smartTagPr>
          <w:attr w:name="ProductID" w:val="la Asamblea"/>
        </w:smartTagPr>
        <w:r w:rsidRPr="0089392A">
          <w:rPr>
            <w:rFonts w:ascii="Abadi" w:hAnsi="Abadi" w:cs="Arial"/>
            <w:iCs/>
            <w:sz w:val="21"/>
            <w:szCs w:val="21"/>
            <w:lang w:val="es-MX" w:eastAsia="en-US"/>
          </w:rPr>
          <w:t>la Asamblea</w:t>
        </w:r>
      </w:smartTag>
      <w:r w:rsidRPr="0089392A">
        <w:rPr>
          <w:rFonts w:ascii="Abadi" w:hAnsi="Abadi" w:cs="Arial"/>
          <w:iCs/>
          <w:sz w:val="21"/>
          <w:szCs w:val="21"/>
          <w:lang w:val="es-MX" w:eastAsia="en-US"/>
        </w:rPr>
        <w:t>, la aprobación del siguiente:</w:t>
      </w:r>
    </w:p>
    <w:p w14:paraId="298418BE" w14:textId="77777777" w:rsidR="0089392A" w:rsidRPr="0089392A" w:rsidRDefault="0089392A" w:rsidP="0089392A">
      <w:pPr>
        <w:spacing w:after="160" w:line="259" w:lineRule="auto"/>
        <w:jc w:val="center"/>
        <w:rPr>
          <w:rFonts w:ascii="Abadi" w:hAnsi="Abadi" w:cs="Arial"/>
          <w:b/>
          <w:iCs/>
          <w:sz w:val="21"/>
          <w:szCs w:val="21"/>
          <w:lang w:val="es-MX" w:eastAsia="en-US"/>
        </w:rPr>
      </w:pPr>
      <w:r w:rsidRPr="0089392A">
        <w:rPr>
          <w:rFonts w:ascii="Abadi" w:hAnsi="Abadi" w:cs="Arial"/>
          <w:b/>
          <w:iCs/>
          <w:sz w:val="21"/>
          <w:szCs w:val="21"/>
          <w:lang w:val="es-MX" w:eastAsia="en-US"/>
        </w:rPr>
        <w:t>A c u e r d o</w:t>
      </w:r>
    </w:p>
    <w:p w14:paraId="6AD86BFD" w14:textId="556D3D7F" w:rsidR="0089392A" w:rsidRPr="0089392A" w:rsidRDefault="0089392A" w:rsidP="00E34FAB">
      <w:pPr>
        <w:spacing w:after="160"/>
        <w:ind w:firstLine="708"/>
        <w:jc w:val="both"/>
        <w:rPr>
          <w:rFonts w:ascii="Abadi" w:hAnsi="Abadi" w:cs="Arial"/>
          <w:sz w:val="21"/>
          <w:szCs w:val="21"/>
          <w:lang w:val="es-MX" w:eastAsia="en-US"/>
        </w:rPr>
      </w:pPr>
      <w:r w:rsidRPr="0089392A">
        <w:rPr>
          <w:rFonts w:ascii="Abadi" w:hAnsi="Abadi" w:cs="Arial"/>
          <w:b/>
          <w:iCs/>
          <w:sz w:val="21"/>
          <w:szCs w:val="21"/>
          <w:lang w:val="es-MX" w:eastAsia="en-US"/>
        </w:rPr>
        <w:t>Único.</w:t>
      </w:r>
      <w:r w:rsidRPr="0089392A">
        <w:rPr>
          <w:rFonts w:ascii="Abadi" w:hAnsi="Abadi" w:cs="Arial"/>
          <w:b/>
          <w:sz w:val="21"/>
          <w:szCs w:val="21"/>
          <w:lang w:val="es-MX" w:eastAsia="en-US"/>
        </w:rPr>
        <w:t xml:space="preserve"> </w:t>
      </w:r>
      <w:r w:rsidRPr="0089392A">
        <w:rPr>
          <w:rFonts w:ascii="Abadi" w:hAnsi="Abadi" w:cs="Arial"/>
          <w:sz w:val="21"/>
          <w:szCs w:val="21"/>
          <w:lang w:val="es-MX" w:eastAsia="en-US"/>
        </w:rPr>
        <w:t xml:space="preserve">Se determina improcedente la propuesta </w:t>
      </w:r>
      <w:r w:rsidRPr="0089392A">
        <w:rPr>
          <w:rFonts w:ascii="Abadi" w:hAnsi="Abadi"/>
          <w:sz w:val="21"/>
          <w:szCs w:val="21"/>
          <w:lang w:val="es-MX" w:eastAsia="en-US"/>
        </w:rPr>
        <w:t xml:space="preserve">de punto de acuerdo </w:t>
      </w:r>
      <w:r w:rsidRPr="0089392A">
        <w:rPr>
          <w:rFonts w:ascii="Abadi" w:eastAsia="Batang" w:hAnsi="Abadi" w:cs="Arial"/>
          <w:sz w:val="21"/>
          <w:szCs w:val="21"/>
          <w:lang w:val="es-MX" w:eastAsia="en-US"/>
        </w:rPr>
        <w:t xml:space="preserve">formulada por el diputado Ernesto Alejandro Prieto Gallardo </w:t>
      </w:r>
      <w:r w:rsidRPr="0089392A">
        <w:rPr>
          <w:rFonts w:ascii="Abadi" w:hAnsi="Abadi" w:cs="Arial"/>
          <w:iCs/>
          <w:sz w:val="21"/>
          <w:szCs w:val="21"/>
          <w:lang w:val="es-MX" w:eastAsia="en-US"/>
        </w:rPr>
        <w:t xml:space="preserve">a efecto de </w:t>
      </w:r>
      <w:r w:rsidRPr="0089392A">
        <w:rPr>
          <w:rFonts w:ascii="Abadi" w:hAnsi="Abadi"/>
          <w:sz w:val="21"/>
          <w:szCs w:val="21"/>
          <w:lang w:val="es-ES_tradnl" w:eastAsia="en-US"/>
        </w:rPr>
        <w:t xml:space="preserve">solicitar al titular de la Secretaría de Desarrollo Social y Humano del Gobierno del Estado de Guanajuato, informe sobre la irregularidad y violación a las Reglas de Operación del Programa </w:t>
      </w:r>
      <w:r w:rsidRPr="0089392A">
        <w:rPr>
          <w:rFonts w:ascii="Abadi" w:hAnsi="Abadi"/>
          <w:i/>
          <w:iCs/>
          <w:sz w:val="21"/>
          <w:szCs w:val="21"/>
          <w:lang w:val="es-ES_tradnl" w:eastAsia="en-US"/>
        </w:rPr>
        <w:t>Vale Grandeza – Compra Local</w:t>
      </w:r>
      <w:r w:rsidRPr="0089392A">
        <w:rPr>
          <w:rFonts w:ascii="Abadi" w:hAnsi="Abadi"/>
          <w:sz w:val="21"/>
          <w:szCs w:val="21"/>
          <w:lang w:val="es-ES_tradnl" w:eastAsia="en-US"/>
        </w:rPr>
        <w:t xml:space="preserve"> para el ejercicio fiscal de 2021, al haberse ampliado injustificadamente el número de beneficiarios, pasando de 12,400, conforme al artículo 11 de las Reglas de Operación que pudieron recibir el apoyo sustancial de hasta $6,000.00 (doce ocasiones de $500.00), a un total reportado en el Padrón Estatal de Beneficiarios de 54,483 personas, que se reporta han recibido un apoyo por única ocasión de $500.00, con el que evidentemente no se cumple con la eficiencia, eficacia, economía, transparencia y honradez con que deben administrarse los recursos públicos. Asimismo, informe sobre la falta de información de beneficiarios en los doce municipios que no aparecen al consultarse por Municipio, el Padrón Estatal de Beneficiarios en lo referente al Programa </w:t>
      </w:r>
      <w:r w:rsidRPr="0089392A">
        <w:rPr>
          <w:rFonts w:ascii="Abadi" w:hAnsi="Abadi"/>
          <w:i/>
          <w:iCs/>
          <w:sz w:val="21"/>
          <w:szCs w:val="21"/>
          <w:lang w:val="es-ES_tradnl" w:eastAsia="en-US"/>
        </w:rPr>
        <w:t>Vale Grandeza – compra local</w:t>
      </w:r>
      <w:r w:rsidRPr="0089392A">
        <w:rPr>
          <w:rFonts w:ascii="Abadi" w:hAnsi="Abadi"/>
          <w:sz w:val="21"/>
          <w:szCs w:val="21"/>
          <w:lang w:val="es-ES_tradnl" w:eastAsia="en-US"/>
        </w:rPr>
        <w:t xml:space="preserve">, ejercido en el año 2021; así como hacer de conocimiento a la Auditoría Superior del Estado de Guanajuato la irregularidad y violación a las Reglas de Operación del Programa </w:t>
      </w:r>
      <w:r w:rsidRPr="0089392A">
        <w:rPr>
          <w:rFonts w:ascii="Abadi" w:hAnsi="Abadi"/>
          <w:i/>
          <w:iCs/>
          <w:sz w:val="21"/>
          <w:szCs w:val="21"/>
          <w:lang w:val="es-ES_tradnl" w:eastAsia="en-US"/>
        </w:rPr>
        <w:t>Vale Grandeza – Compra Local</w:t>
      </w:r>
      <w:r w:rsidRPr="0089392A">
        <w:rPr>
          <w:rFonts w:ascii="Abadi" w:hAnsi="Abadi"/>
          <w:sz w:val="21"/>
          <w:szCs w:val="21"/>
          <w:lang w:val="es-ES_tradnl" w:eastAsia="en-US"/>
        </w:rPr>
        <w:t xml:space="preserve"> para el ejercicio fiscal de 2021, en que ha incurrido la Secretaría de Desarrollo Social y Humano del Gobierno del Estado de Guanajuato, al haberse ampliado injustificadamente el número de beneficiarios, pasando de 12,400 conforme al artículo 11 de las Reglas de Operación que pudieron recibir el apoyo sustancial de hasta $6,000.00 (doce ocasiones de $500.00), a un total reportado en el Padrón Estatal de Beneficiarios de 54,483 </w:t>
      </w:r>
      <w:r w:rsidRPr="0089392A">
        <w:rPr>
          <w:rFonts w:ascii="Abadi" w:hAnsi="Abadi"/>
          <w:sz w:val="21"/>
          <w:szCs w:val="21"/>
          <w:lang w:val="es-ES_tradnl" w:eastAsia="en-US"/>
        </w:rPr>
        <w:t xml:space="preserve">personas, que se reporta han recibido un apoyo por única ocasión de $500.00, con el que evidentemente no se cumple con la eficiencia, eficacia, economía, transparencia y honradez con que deben administrarse los recursos públicos. Asimismo, para que investigue y audite la falta de información de beneficiarios en los doce municipios que no aparecen al consultarse por Municipio, el Padrón Estatal de Beneficiarios en lo referente al programa Vale </w:t>
      </w:r>
      <w:r w:rsidRPr="0089392A">
        <w:rPr>
          <w:rFonts w:ascii="Abadi" w:hAnsi="Abadi"/>
          <w:i/>
          <w:iCs/>
          <w:sz w:val="21"/>
          <w:szCs w:val="21"/>
          <w:lang w:val="es-ES_tradnl" w:eastAsia="en-US"/>
        </w:rPr>
        <w:t>Grandeza – compra local</w:t>
      </w:r>
      <w:r w:rsidRPr="0089392A">
        <w:rPr>
          <w:rFonts w:ascii="Abadi" w:hAnsi="Abadi"/>
          <w:sz w:val="21"/>
          <w:szCs w:val="21"/>
          <w:lang w:val="es-ES_tradnl" w:eastAsia="en-US"/>
        </w:rPr>
        <w:t>, ejercido en el año 2021</w:t>
      </w:r>
      <w:r w:rsidRPr="0089392A">
        <w:rPr>
          <w:rFonts w:ascii="Abadi" w:eastAsia="Batang" w:hAnsi="Abadi" w:cs="Arial"/>
          <w:sz w:val="21"/>
          <w:szCs w:val="21"/>
          <w:lang w:val="es-MX" w:eastAsia="en-US"/>
        </w:rPr>
        <w:t xml:space="preserve">. Por lo tanto, se </w:t>
      </w:r>
      <w:r w:rsidRPr="0089392A">
        <w:rPr>
          <w:rFonts w:ascii="Abadi" w:hAnsi="Abadi" w:cs="Arial"/>
          <w:sz w:val="21"/>
          <w:szCs w:val="21"/>
          <w:lang w:val="es-MX" w:eastAsia="en-US"/>
        </w:rPr>
        <w:t xml:space="preserve">ordena su archivo definitivo. </w:t>
      </w:r>
    </w:p>
    <w:p w14:paraId="0BB3C4B2" w14:textId="77777777" w:rsidR="0089392A" w:rsidRPr="0089392A" w:rsidRDefault="0089392A" w:rsidP="0089392A">
      <w:pPr>
        <w:spacing w:after="160"/>
        <w:ind w:firstLine="708"/>
        <w:jc w:val="both"/>
        <w:rPr>
          <w:rFonts w:ascii="Abadi" w:hAnsi="Abadi"/>
          <w:b/>
          <w:bCs/>
          <w:sz w:val="21"/>
          <w:szCs w:val="21"/>
          <w:lang w:val="es-MX" w:eastAsia="x-none"/>
        </w:rPr>
      </w:pPr>
      <w:r w:rsidRPr="0089392A">
        <w:rPr>
          <w:rFonts w:ascii="Abadi" w:hAnsi="Abadi" w:cs="Arial"/>
          <w:sz w:val="21"/>
          <w:szCs w:val="21"/>
          <w:lang w:val="es-MX" w:eastAsia="en-US"/>
        </w:rPr>
        <w:t>Comuníquese el presente acuerdo al Secretario General del Congreso de Estado, para los efectos conducentes.</w:t>
      </w:r>
    </w:p>
    <w:p w14:paraId="0A8D96D7" w14:textId="77777777" w:rsidR="0089392A" w:rsidRPr="0089392A" w:rsidRDefault="0089392A" w:rsidP="00E34FAB">
      <w:pPr>
        <w:jc w:val="center"/>
        <w:rPr>
          <w:rFonts w:ascii="Abadi" w:hAnsi="Abadi"/>
          <w:b/>
          <w:bCs/>
          <w:sz w:val="21"/>
          <w:szCs w:val="21"/>
          <w:lang w:val="es-MX" w:eastAsia="x-none"/>
        </w:rPr>
      </w:pPr>
      <w:r w:rsidRPr="0089392A">
        <w:rPr>
          <w:rFonts w:ascii="Abadi" w:hAnsi="Abadi"/>
          <w:b/>
          <w:bCs/>
          <w:sz w:val="21"/>
          <w:szCs w:val="21"/>
          <w:lang w:val="es-MX" w:eastAsia="x-none"/>
        </w:rPr>
        <w:t>Guanajuato, Gto., 16 de junio de 2022</w:t>
      </w:r>
    </w:p>
    <w:p w14:paraId="74E07617" w14:textId="77777777" w:rsidR="0089392A" w:rsidRPr="0089392A" w:rsidRDefault="0089392A" w:rsidP="00E34FAB">
      <w:pPr>
        <w:jc w:val="center"/>
        <w:rPr>
          <w:rFonts w:ascii="Abadi" w:hAnsi="Abadi"/>
          <w:b/>
          <w:bCs/>
          <w:sz w:val="21"/>
          <w:szCs w:val="21"/>
          <w:lang w:val="es-MX" w:eastAsia="x-none"/>
        </w:rPr>
      </w:pPr>
      <w:smartTag w:uri="urn:schemas-microsoft-com:office:smarttags" w:element="PersonName">
        <w:smartTagPr>
          <w:attr w:name="ProductID" w:val="La Comisi￳n"/>
        </w:smartTagPr>
        <w:r w:rsidRPr="0089392A">
          <w:rPr>
            <w:rFonts w:ascii="Abadi" w:hAnsi="Abadi"/>
            <w:b/>
            <w:bCs/>
            <w:sz w:val="21"/>
            <w:szCs w:val="21"/>
            <w:lang w:val="es-MX" w:eastAsia="x-none"/>
          </w:rPr>
          <w:t>La Comisión</w:t>
        </w:r>
      </w:smartTag>
      <w:r w:rsidRPr="0089392A">
        <w:rPr>
          <w:rFonts w:ascii="Abadi" w:hAnsi="Abadi"/>
          <w:b/>
          <w:bCs/>
          <w:sz w:val="21"/>
          <w:szCs w:val="21"/>
          <w:lang w:val="es-MX" w:eastAsia="x-none"/>
        </w:rPr>
        <w:t xml:space="preserve"> de Hacienda y Fiscalización</w:t>
      </w:r>
    </w:p>
    <w:p w14:paraId="621F5534" w14:textId="77777777" w:rsidR="0089392A" w:rsidRPr="0089392A" w:rsidRDefault="0089392A" w:rsidP="00E34FAB">
      <w:pPr>
        <w:spacing w:after="160" w:line="259" w:lineRule="auto"/>
        <w:jc w:val="center"/>
        <w:rPr>
          <w:rFonts w:ascii="Abadi" w:hAnsi="Abadi"/>
          <w:sz w:val="21"/>
          <w:szCs w:val="21"/>
          <w:lang w:val="es-MX" w:eastAsia="en-US"/>
        </w:rPr>
      </w:pPr>
    </w:p>
    <w:p w14:paraId="671487AD" w14:textId="77777777" w:rsidR="0089392A" w:rsidRPr="0089392A" w:rsidRDefault="0089392A" w:rsidP="00E34FAB">
      <w:pPr>
        <w:spacing w:line="259" w:lineRule="auto"/>
        <w:jc w:val="center"/>
        <w:rPr>
          <w:rFonts w:ascii="Abadi" w:hAnsi="Abadi"/>
          <w:sz w:val="21"/>
          <w:szCs w:val="21"/>
          <w:lang w:val="es-MX" w:eastAsia="en-US"/>
        </w:rPr>
      </w:pPr>
      <w:r w:rsidRPr="0089392A">
        <w:rPr>
          <w:rFonts w:ascii="Abadi" w:hAnsi="Abadi"/>
          <w:b/>
          <w:sz w:val="21"/>
          <w:szCs w:val="21"/>
          <w:lang w:val="es-MX" w:eastAsia="x-none"/>
        </w:rPr>
        <w:t>Diputado Víctor Manuel Zanella Huerta</w:t>
      </w:r>
    </w:p>
    <w:p w14:paraId="0C585CDC" w14:textId="77777777" w:rsidR="0089392A" w:rsidRPr="0089392A" w:rsidRDefault="0089392A" w:rsidP="00E34FAB">
      <w:pPr>
        <w:spacing w:line="259" w:lineRule="auto"/>
        <w:rPr>
          <w:rFonts w:ascii="Abadi" w:hAnsi="Abadi"/>
          <w:sz w:val="21"/>
          <w:szCs w:val="21"/>
          <w:lang w:val="es-MX" w:eastAsia="x-none"/>
        </w:rPr>
      </w:pPr>
    </w:p>
    <w:p w14:paraId="34EF1587" w14:textId="6FEAB1E2" w:rsidR="0089392A" w:rsidRPr="0089392A" w:rsidRDefault="0089392A" w:rsidP="00E34FAB">
      <w:pPr>
        <w:spacing w:line="259" w:lineRule="auto"/>
        <w:jc w:val="center"/>
        <w:rPr>
          <w:rFonts w:ascii="Abadi" w:hAnsi="Abadi"/>
          <w:b/>
          <w:sz w:val="21"/>
          <w:szCs w:val="21"/>
          <w:lang w:val="es-MX" w:eastAsia="x-none"/>
        </w:rPr>
      </w:pPr>
      <w:r w:rsidRPr="0089392A">
        <w:rPr>
          <w:rFonts w:ascii="Abadi" w:hAnsi="Abadi"/>
          <w:b/>
          <w:sz w:val="21"/>
          <w:szCs w:val="21"/>
          <w:lang w:val="es-MX" w:eastAsia="x-none"/>
        </w:rPr>
        <w:t>Diputada Ruth Noemí Tiscareño Agoitia</w:t>
      </w:r>
    </w:p>
    <w:p w14:paraId="531998F5" w14:textId="77777777" w:rsidR="0089392A" w:rsidRPr="0089392A" w:rsidRDefault="0089392A" w:rsidP="00E34FAB">
      <w:pPr>
        <w:spacing w:line="259" w:lineRule="auto"/>
        <w:jc w:val="center"/>
        <w:rPr>
          <w:rFonts w:ascii="Abadi" w:hAnsi="Abadi"/>
          <w:b/>
          <w:sz w:val="21"/>
          <w:szCs w:val="21"/>
          <w:lang w:val="es-MX" w:eastAsia="x-none"/>
        </w:rPr>
      </w:pPr>
    </w:p>
    <w:p w14:paraId="180DE2B2" w14:textId="19B70D43" w:rsidR="0089392A" w:rsidRPr="0089392A" w:rsidRDefault="0089392A" w:rsidP="00E34FAB">
      <w:pPr>
        <w:spacing w:line="259" w:lineRule="auto"/>
        <w:jc w:val="center"/>
        <w:rPr>
          <w:rFonts w:ascii="Abadi" w:hAnsi="Abadi"/>
          <w:b/>
          <w:sz w:val="21"/>
          <w:szCs w:val="21"/>
          <w:lang w:val="es-MX" w:eastAsia="x-none"/>
        </w:rPr>
      </w:pPr>
      <w:r w:rsidRPr="0089392A">
        <w:rPr>
          <w:rFonts w:ascii="Abadi" w:hAnsi="Abadi"/>
          <w:b/>
          <w:sz w:val="21"/>
          <w:szCs w:val="21"/>
          <w:lang w:val="es-MX" w:eastAsia="x-none"/>
        </w:rPr>
        <w:t>Diputado Miguel Ángel Salim Alle</w:t>
      </w:r>
    </w:p>
    <w:p w14:paraId="67BE8B85" w14:textId="77777777" w:rsidR="0089392A" w:rsidRPr="0089392A" w:rsidRDefault="0089392A" w:rsidP="00E34FAB">
      <w:pPr>
        <w:spacing w:line="259" w:lineRule="auto"/>
        <w:jc w:val="center"/>
        <w:rPr>
          <w:rFonts w:ascii="Abadi" w:hAnsi="Abadi"/>
          <w:b/>
          <w:sz w:val="21"/>
          <w:szCs w:val="21"/>
          <w:lang w:val="es-MX" w:eastAsia="x-none"/>
        </w:rPr>
      </w:pPr>
    </w:p>
    <w:p w14:paraId="13FB6AC0" w14:textId="77777777" w:rsidR="0089392A" w:rsidRPr="0089392A" w:rsidRDefault="0089392A" w:rsidP="00E34FAB">
      <w:pPr>
        <w:spacing w:line="259" w:lineRule="auto"/>
        <w:jc w:val="center"/>
        <w:rPr>
          <w:rFonts w:ascii="Abadi" w:hAnsi="Abadi"/>
          <w:b/>
          <w:sz w:val="21"/>
          <w:szCs w:val="21"/>
          <w:lang w:val="es-MX" w:eastAsia="x-none"/>
        </w:rPr>
      </w:pPr>
    </w:p>
    <w:p w14:paraId="2F3AFDC6" w14:textId="1E847505" w:rsidR="0089392A" w:rsidRPr="0089392A" w:rsidRDefault="0089392A" w:rsidP="00E34FAB">
      <w:pPr>
        <w:spacing w:line="259" w:lineRule="auto"/>
        <w:jc w:val="center"/>
        <w:rPr>
          <w:rFonts w:ascii="Abadi" w:hAnsi="Abadi"/>
          <w:b/>
          <w:sz w:val="21"/>
          <w:szCs w:val="21"/>
          <w:lang w:val="es-MX" w:eastAsia="x-none"/>
        </w:rPr>
      </w:pPr>
      <w:r w:rsidRPr="0089392A">
        <w:rPr>
          <w:rFonts w:ascii="Abadi" w:hAnsi="Abadi"/>
          <w:b/>
          <w:sz w:val="21"/>
          <w:szCs w:val="21"/>
          <w:lang w:val="es-MX" w:eastAsia="x-none"/>
        </w:rPr>
        <w:t>Diputado José Alfonso Borja Pimentel</w:t>
      </w:r>
    </w:p>
    <w:p w14:paraId="05266D59" w14:textId="77777777" w:rsidR="0089392A" w:rsidRPr="0089392A" w:rsidRDefault="0089392A" w:rsidP="00E34FAB">
      <w:pPr>
        <w:spacing w:line="259" w:lineRule="auto"/>
        <w:ind w:firstLine="708"/>
        <w:jc w:val="center"/>
        <w:rPr>
          <w:rFonts w:ascii="Abadi" w:hAnsi="Abadi"/>
          <w:b/>
          <w:sz w:val="21"/>
          <w:szCs w:val="21"/>
          <w:lang w:val="es-MX" w:eastAsia="x-none"/>
        </w:rPr>
      </w:pPr>
    </w:p>
    <w:p w14:paraId="2E3DAFB2" w14:textId="77777777" w:rsidR="0089392A" w:rsidRPr="0089392A" w:rsidRDefault="0089392A" w:rsidP="00E34FAB">
      <w:pPr>
        <w:spacing w:line="259" w:lineRule="auto"/>
        <w:ind w:firstLine="708"/>
        <w:jc w:val="center"/>
        <w:rPr>
          <w:rFonts w:ascii="Abadi" w:hAnsi="Abadi"/>
          <w:sz w:val="21"/>
          <w:szCs w:val="21"/>
          <w:lang w:val="es-MX" w:eastAsia="en-US"/>
        </w:rPr>
      </w:pPr>
      <w:r w:rsidRPr="0089392A">
        <w:rPr>
          <w:rFonts w:ascii="Abadi" w:hAnsi="Abadi"/>
          <w:b/>
          <w:sz w:val="21"/>
          <w:szCs w:val="21"/>
          <w:lang w:val="es-MX" w:eastAsia="x-none"/>
        </w:rPr>
        <w:t>Diputada Alma Edwviges Alcaraz Hernández</w:t>
      </w:r>
    </w:p>
    <w:p w14:paraId="38415833" w14:textId="455AF665" w:rsidR="006839E3" w:rsidRDefault="006839E3" w:rsidP="006839E3">
      <w:pPr>
        <w:rPr>
          <w:rFonts w:ascii="Abadi" w:hAnsi="Abadi"/>
          <w:sz w:val="20"/>
          <w:szCs w:val="20"/>
        </w:rPr>
      </w:pPr>
    </w:p>
    <w:p w14:paraId="4DAB5B21" w14:textId="77777777" w:rsidR="006839E3" w:rsidRPr="006839E3" w:rsidRDefault="006839E3" w:rsidP="006839E3">
      <w:pPr>
        <w:rPr>
          <w:rFonts w:ascii="Abadi" w:hAnsi="Abadi"/>
          <w:sz w:val="20"/>
          <w:szCs w:val="20"/>
        </w:rPr>
      </w:pPr>
    </w:p>
    <w:p w14:paraId="0DD746B1" w14:textId="77777777" w:rsidR="00A64851" w:rsidRPr="00531B12" w:rsidRDefault="00A64851" w:rsidP="00A64851">
      <w:pPr>
        <w:pStyle w:val="Prrafodelista"/>
        <w:tabs>
          <w:tab w:val="left" w:pos="856"/>
        </w:tabs>
        <w:kinsoku w:val="0"/>
        <w:overflowPunct w:val="0"/>
        <w:autoSpaceDE w:val="0"/>
        <w:autoSpaceDN w:val="0"/>
        <w:adjustRightInd w:val="0"/>
        <w:ind w:left="720" w:right="17"/>
        <w:jc w:val="both"/>
        <w:rPr>
          <w:rFonts w:ascii="Abadi" w:hAnsi="Abadi"/>
          <w:b/>
          <w:bCs/>
          <w:sz w:val="20"/>
          <w:szCs w:val="20"/>
        </w:rPr>
      </w:pPr>
    </w:p>
    <w:p w14:paraId="5AC11AA8" w14:textId="2BFAC8D4" w:rsidR="00A64851" w:rsidRDefault="00A64851"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6"/>
          <w:sz w:val="20"/>
          <w:szCs w:val="20"/>
        </w:rPr>
        <w:t xml:space="preserve"> </w:t>
      </w:r>
      <w:r w:rsidRPr="00531B12">
        <w:rPr>
          <w:rFonts w:ascii="Abadi" w:hAnsi="Abadi"/>
          <w:b/>
          <w:bCs/>
          <w:sz w:val="20"/>
          <w:szCs w:val="20"/>
        </w:rPr>
        <w:t>Y,</w:t>
      </w:r>
      <w:r w:rsidRPr="00531B12">
        <w:rPr>
          <w:rFonts w:ascii="Abadi" w:hAnsi="Abadi"/>
          <w:b/>
          <w:bCs/>
          <w:spacing w:val="15"/>
          <w:sz w:val="20"/>
          <w:szCs w:val="20"/>
        </w:rPr>
        <w:t xml:space="preserve"> </w:t>
      </w:r>
      <w:r w:rsidRPr="00531B12">
        <w:rPr>
          <w:rFonts w:ascii="Abadi" w:hAnsi="Abadi"/>
          <w:b/>
          <w:bCs/>
          <w:sz w:val="20"/>
          <w:szCs w:val="20"/>
        </w:rPr>
        <w:t>EN</w:t>
      </w:r>
      <w:r w:rsidRPr="00531B12">
        <w:rPr>
          <w:rFonts w:ascii="Abadi" w:hAnsi="Abadi"/>
          <w:b/>
          <w:bCs/>
          <w:spacing w:val="16"/>
          <w:sz w:val="20"/>
          <w:szCs w:val="20"/>
        </w:rPr>
        <w:t xml:space="preserve"> </w:t>
      </w:r>
      <w:r w:rsidRPr="00531B12">
        <w:rPr>
          <w:rFonts w:ascii="Abadi" w:hAnsi="Abadi"/>
          <w:b/>
          <w:bCs/>
          <w:sz w:val="20"/>
          <w:szCs w:val="20"/>
        </w:rPr>
        <w:t>SU</w:t>
      </w:r>
      <w:r w:rsidRPr="00531B12">
        <w:rPr>
          <w:rFonts w:ascii="Abadi" w:hAnsi="Abadi"/>
          <w:b/>
          <w:bCs/>
          <w:spacing w:val="15"/>
          <w:sz w:val="20"/>
          <w:szCs w:val="20"/>
        </w:rPr>
        <w:t xml:space="preserve"> </w:t>
      </w:r>
      <w:r w:rsidRPr="00531B12">
        <w:rPr>
          <w:rFonts w:ascii="Abadi" w:hAnsi="Abadi"/>
          <w:b/>
          <w:bCs/>
          <w:sz w:val="20"/>
          <w:szCs w:val="20"/>
        </w:rPr>
        <w:t>CASO,</w:t>
      </w:r>
      <w:r w:rsidRPr="00531B12">
        <w:rPr>
          <w:rFonts w:ascii="Abadi" w:hAnsi="Abadi"/>
          <w:b/>
          <w:bCs/>
          <w:spacing w:val="16"/>
          <w:sz w:val="20"/>
          <w:szCs w:val="20"/>
        </w:rPr>
        <w:t xml:space="preserve"> </w:t>
      </w:r>
      <w:r w:rsidRPr="00531B12">
        <w:rPr>
          <w:rFonts w:ascii="Abadi" w:hAnsi="Abadi"/>
          <w:b/>
          <w:bCs/>
          <w:sz w:val="20"/>
          <w:szCs w:val="20"/>
        </w:rPr>
        <w:t>APROBACIÓN</w:t>
      </w:r>
      <w:r w:rsidRPr="00531B12">
        <w:rPr>
          <w:rFonts w:ascii="Abadi" w:hAnsi="Abadi"/>
          <w:b/>
          <w:bCs/>
          <w:spacing w:val="16"/>
          <w:sz w:val="20"/>
          <w:szCs w:val="20"/>
        </w:rPr>
        <w:t xml:space="preserve"> </w:t>
      </w:r>
      <w:r w:rsidRPr="00531B12">
        <w:rPr>
          <w:rFonts w:ascii="Abadi" w:hAnsi="Abadi"/>
          <w:b/>
          <w:bCs/>
          <w:sz w:val="20"/>
          <w:szCs w:val="20"/>
        </w:rPr>
        <w:t>DEL</w:t>
      </w:r>
      <w:r w:rsidRPr="00531B12">
        <w:rPr>
          <w:rFonts w:ascii="Abadi" w:hAnsi="Abadi"/>
          <w:b/>
          <w:bCs/>
          <w:spacing w:val="15"/>
          <w:sz w:val="20"/>
          <w:szCs w:val="20"/>
        </w:rPr>
        <w:t xml:space="preserve"> </w:t>
      </w:r>
      <w:r w:rsidRPr="00531B12">
        <w:rPr>
          <w:rFonts w:ascii="Abadi" w:hAnsi="Abadi"/>
          <w:b/>
          <w:bCs/>
          <w:sz w:val="20"/>
          <w:szCs w:val="20"/>
        </w:rPr>
        <w:t>DICTAMEN</w:t>
      </w:r>
      <w:r w:rsidRPr="00531B12">
        <w:rPr>
          <w:rFonts w:ascii="Abadi" w:hAnsi="Abadi"/>
          <w:b/>
          <w:bCs/>
          <w:spacing w:val="16"/>
          <w:sz w:val="20"/>
          <w:szCs w:val="20"/>
        </w:rPr>
        <w:t xml:space="preserve"> </w:t>
      </w:r>
      <w:r w:rsidRPr="00531B12">
        <w:rPr>
          <w:rFonts w:ascii="Abadi" w:hAnsi="Abadi"/>
          <w:b/>
          <w:bCs/>
          <w:sz w:val="20"/>
          <w:szCs w:val="20"/>
        </w:rPr>
        <w:t>EMITIDO</w:t>
      </w:r>
      <w:r w:rsidRPr="00531B12">
        <w:rPr>
          <w:rFonts w:ascii="Abadi" w:hAnsi="Abadi"/>
          <w:b/>
          <w:bCs/>
          <w:spacing w:val="16"/>
          <w:sz w:val="20"/>
          <w:szCs w:val="20"/>
        </w:rPr>
        <w:t xml:space="preserve"> </w:t>
      </w:r>
      <w:r w:rsidRPr="00531B12">
        <w:rPr>
          <w:rFonts w:ascii="Abadi" w:hAnsi="Abadi"/>
          <w:b/>
          <w:bCs/>
          <w:sz w:val="20"/>
          <w:szCs w:val="20"/>
        </w:rPr>
        <w:t>POR</w:t>
      </w:r>
      <w:r w:rsidRPr="00531B12">
        <w:rPr>
          <w:rFonts w:ascii="Abadi" w:hAnsi="Abadi"/>
          <w:b/>
          <w:bCs/>
          <w:spacing w:val="15"/>
          <w:sz w:val="20"/>
          <w:szCs w:val="20"/>
        </w:rPr>
        <w:t xml:space="preserve"> </w:t>
      </w:r>
      <w:r w:rsidRPr="00531B12">
        <w:rPr>
          <w:rFonts w:ascii="Abadi" w:hAnsi="Abadi"/>
          <w:b/>
          <w:bCs/>
          <w:sz w:val="20"/>
          <w:szCs w:val="20"/>
        </w:rPr>
        <w:t>LA</w:t>
      </w:r>
      <w:r w:rsidRPr="00531B12">
        <w:rPr>
          <w:rFonts w:ascii="Abadi" w:hAnsi="Abadi"/>
          <w:b/>
          <w:bCs/>
          <w:spacing w:val="16"/>
          <w:sz w:val="20"/>
          <w:szCs w:val="20"/>
        </w:rPr>
        <w:t xml:space="preserve"> </w:t>
      </w:r>
      <w:r w:rsidRPr="00531B12">
        <w:rPr>
          <w:rFonts w:ascii="Abadi" w:hAnsi="Abadi"/>
          <w:b/>
          <w:bCs/>
          <w:sz w:val="20"/>
          <w:szCs w:val="20"/>
        </w:rPr>
        <w:t>COMISIÓN</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32"/>
          <w:sz w:val="20"/>
          <w:szCs w:val="20"/>
        </w:rPr>
        <w:t xml:space="preserve"> </w:t>
      </w:r>
      <w:r w:rsidRPr="00531B12">
        <w:rPr>
          <w:rFonts w:ascii="Abadi" w:hAnsi="Abadi"/>
          <w:b/>
          <w:bCs/>
          <w:sz w:val="20"/>
          <w:szCs w:val="20"/>
        </w:rPr>
        <w:t>HACIENDA</w:t>
      </w:r>
      <w:r w:rsidRPr="00531B12">
        <w:rPr>
          <w:rFonts w:ascii="Abadi" w:hAnsi="Abadi"/>
          <w:b/>
          <w:bCs/>
          <w:spacing w:val="32"/>
          <w:sz w:val="20"/>
          <w:szCs w:val="20"/>
        </w:rPr>
        <w:t xml:space="preserve"> </w:t>
      </w:r>
      <w:r w:rsidRPr="00531B12">
        <w:rPr>
          <w:rFonts w:ascii="Abadi" w:hAnsi="Abadi"/>
          <w:b/>
          <w:bCs/>
          <w:sz w:val="20"/>
          <w:szCs w:val="20"/>
        </w:rPr>
        <w:t>Y</w:t>
      </w:r>
      <w:r w:rsidRPr="00531B12">
        <w:rPr>
          <w:rFonts w:ascii="Abadi" w:hAnsi="Abadi"/>
          <w:b/>
          <w:bCs/>
          <w:spacing w:val="33"/>
          <w:sz w:val="20"/>
          <w:szCs w:val="20"/>
        </w:rPr>
        <w:t xml:space="preserve"> </w:t>
      </w:r>
      <w:r w:rsidRPr="00531B12">
        <w:rPr>
          <w:rFonts w:ascii="Abadi" w:hAnsi="Abadi"/>
          <w:b/>
          <w:bCs/>
          <w:sz w:val="20"/>
          <w:szCs w:val="20"/>
        </w:rPr>
        <w:t>FISCALIZACIÓN</w:t>
      </w:r>
      <w:r w:rsidRPr="00531B12">
        <w:rPr>
          <w:rFonts w:ascii="Abadi" w:hAnsi="Abadi"/>
          <w:b/>
          <w:bCs/>
          <w:spacing w:val="32"/>
          <w:sz w:val="20"/>
          <w:szCs w:val="20"/>
        </w:rPr>
        <w:t xml:space="preserve"> </w:t>
      </w:r>
      <w:r w:rsidRPr="00531B12">
        <w:rPr>
          <w:rFonts w:ascii="Abadi" w:hAnsi="Abadi"/>
          <w:b/>
          <w:bCs/>
          <w:sz w:val="20"/>
          <w:szCs w:val="20"/>
        </w:rPr>
        <w:t>RELATIVO</w:t>
      </w:r>
      <w:r w:rsidRPr="00531B12">
        <w:rPr>
          <w:rFonts w:ascii="Abadi" w:hAnsi="Abadi"/>
          <w:b/>
          <w:bCs/>
          <w:spacing w:val="33"/>
          <w:sz w:val="20"/>
          <w:szCs w:val="20"/>
        </w:rPr>
        <w:t xml:space="preserve"> </w:t>
      </w:r>
      <w:r w:rsidRPr="00531B12">
        <w:rPr>
          <w:rFonts w:ascii="Abadi" w:hAnsi="Abadi"/>
          <w:b/>
          <w:bCs/>
          <w:sz w:val="20"/>
          <w:szCs w:val="20"/>
        </w:rPr>
        <w:t>A</w:t>
      </w:r>
      <w:r w:rsidRPr="00531B12">
        <w:rPr>
          <w:rFonts w:ascii="Abadi" w:hAnsi="Abadi"/>
          <w:b/>
          <w:bCs/>
          <w:spacing w:val="33"/>
          <w:sz w:val="20"/>
          <w:szCs w:val="20"/>
        </w:rPr>
        <w:t xml:space="preserve"> </w:t>
      </w:r>
      <w:r w:rsidRPr="00531B12">
        <w:rPr>
          <w:rFonts w:ascii="Abadi" w:hAnsi="Abadi"/>
          <w:b/>
          <w:bCs/>
          <w:sz w:val="20"/>
          <w:szCs w:val="20"/>
        </w:rPr>
        <w:t>LA</w:t>
      </w:r>
      <w:r w:rsidRPr="00531B12">
        <w:rPr>
          <w:rFonts w:ascii="Abadi" w:hAnsi="Abadi"/>
          <w:b/>
          <w:bCs/>
          <w:spacing w:val="33"/>
          <w:sz w:val="20"/>
          <w:szCs w:val="20"/>
        </w:rPr>
        <w:t xml:space="preserve"> </w:t>
      </w:r>
      <w:r w:rsidRPr="00531B12">
        <w:rPr>
          <w:rFonts w:ascii="Abadi" w:hAnsi="Abadi"/>
          <w:b/>
          <w:bCs/>
          <w:sz w:val="20"/>
          <w:szCs w:val="20"/>
        </w:rPr>
        <w:t>PROPUESTA</w:t>
      </w:r>
      <w:r w:rsidRPr="00531B12">
        <w:rPr>
          <w:rFonts w:ascii="Abadi" w:hAnsi="Abadi"/>
          <w:b/>
          <w:bCs/>
          <w:spacing w:val="32"/>
          <w:sz w:val="20"/>
          <w:szCs w:val="20"/>
        </w:rPr>
        <w:t xml:space="preserve"> </w:t>
      </w:r>
      <w:r w:rsidRPr="00531B12">
        <w:rPr>
          <w:rFonts w:ascii="Abadi" w:hAnsi="Abadi"/>
          <w:b/>
          <w:bCs/>
          <w:sz w:val="20"/>
          <w:szCs w:val="20"/>
        </w:rPr>
        <w:t>DE</w:t>
      </w:r>
      <w:r w:rsidRPr="00531B12">
        <w:rPr>
          <w:rFonts w:ascii="Abadi" w:hAnsi="Abadi"/>
          <w:b/>
          <w:bCs/>
          <w:spacing w:val="32"/>
          <w:sz w:val="20"/>
          <w:szCs w:val="20"/>
        </w:rPr>
        <w:t xml:space="preserve"> </w:t>
      </w:r>
      <w:r w:rsidRPr="00531B12">
        <w:rPr>
          <w:rFonts w:ascii="Abadi" w:hAnsi="Abadi"/>
          <w:b/>
          <w:bCs/>
          <w:sz w:val="20"/>
          <w:szCs w:val="20"/>
        </w:rPr>
        <w:t>PUNTO</w:t>
      </w:r>
      <w:r w:rsidRPr="00531B12">
        <w:rPr>
          <w:rFonts w:ascii="Abadi" w:hAnsi="Abadi"/>
          <w:b/>
          <w:bCs/>
          <w:spacing w:val="32"/>
          <w:sz w:val="20"/>
          <w:szCs w:val="20"/>
        </w:rPr>
        <w:t xml:space="preserve"> </w:t>
      </w:r>
      <w:r w:rsidRPr="00531B12">
        <w:rPr>
          <w:rFonts w:ascii="Abadi" w:hAnsi="Abadi"/>
          <w:b/>
          <w:bCs/>
          <w:sz w:val="20"/>
          <w:szCs w:val="20"/>
        </w:rPr>
        <w:t>DE</w:t>
      </w:r>
      <w:r w:rsidRPr="00531B12">
        <w:rPr>
          <w:rFonts w:ascii="Abadi" w:hAnsi="Abadi"/>
          <w:b/>
          <w:bCs/>
          <w:spacing w:val="32"/>
          <w:sz w:val="20"/>
          <w:szCs w:val="20"/>
        </w:rPr>
        <w:t xml:space="preserve"> </w:t>
      </w:r>
      <w:r w:rsidRPr="00531B12">
        <w:rPr>
          <w:rFonts w:ascii="Abadi" w:hAnsi="Abadi"/>
          <w:b/>
          <w:bCs/>
          <w:sz w:val="20"/>
          <w:szCs w:val="20"/>
        </w:rPr>
        <w:t>ACUERDO</w:t>
      </w:r>
      <w:r w:rsidRPr="00531B12">
        <w:rPr>
          <w:rFonts w:ascii="Abadi" w:hAnsi="Abadi"/>
          <w:b/>
          <w:bCs/>
          <w:spacing w:val="-1"/>
          <w:sz w:val="20"/>
          <w:szCs w:val="20"/>
        </w:rPr>
        <w:t xml:space="preserve"> </w:t>
      </w:r>
      <w:r w:rsidRPr="00531B12">
        <w:rPr>
          <w:rFonts w:ascii="Abadi" w:hAnsi="Abadi"/>
          <w:b/>
          <w:bCs/>
          <w:sz w:val="20"/>
          <w:szCs w:val="20"/>
        </w:rPr>
        <w:t>FORMULADA</w:t>
      </w:r>
      <w:r w:rsidRPr="00531B12">
        <w:rPr>
          <w:rFonts w:ascii="Abadi" w:hAnsi="Abadi"/>
          <w:b/>
          <w:bCs/>
          <w:spacing w:val="-15"/>
          <w:sz w:val="20"/>
          <w:szCs w:val="20"/>
        </w:rPr>
        <w:t xml:space="preserve"> </w:t>
      </w:r>
      <w:r w:rsidRPr="00531B12">
        <w:rPr>
          <w:rFonts w:ascii="Abadi" w:hAnsi="Abadi"/>
          <w:b/>
          <w:bCs/>
          <w:sz w:val="20"/>
          <w:szCs w:val="20"/>
        </w:rPr>
        <w:t>POR</w:t>
      </w:r>
      <w:r w:rsidRPr="00531B12">
        <w:rPr>
          <w:rFonts w:ascii="Abadi" w:hAnsi="Abadi"/>
          <w:b/>
          <w:bCs/>
          <w:spacing w:val="-15"/>
          <w:sz w:val="20"/>
          <w:szCs w:val="20"/>
        </w:rPr>
        <w:t xml:space="preserve"> </w:t>
      </w:r>
      <w:r w:rsidRPr="00531B12">
        <w:rPr>
          <w:rFonts w:ascii="Abadi" w:hAnsi="Abadi"/>
          <w:b/>
          <w:bCs/>
          <w:sz w:val="20"/>
          <w:szCs w:val="20"/>
        </w:rPr>
        <w:t>LA</w:t>
      </w:r>
      <w:r w:rsidRPr="00531B12">
        <w:rPr>
          <w:rFonts w:ascii="Abadi" w:hAnsi="Abadi"/>
          <w:b/>
          <w:bCs/>
          <w:spacing w:val="-15"/>
          <w:sz w:val="20"/>
          <w:szCs w:val="20"/>
        </w:rPr>
        <w:t xml:space="preserve"> </w:t>
      </w:r>
      <w:r w:rsidRPr="00531B12">
        <w:rPr>
          <w:rFonts w:ascii="Abadi" w:hAnsi="Abadi"/>
          <w:b/>
          <w:bCs/>
          <w:sz w:val="20"/>
          <w:szCs w:val="20"/>
        </w:rPr>
        <w:t>DIPUTADA</w:t>
      </w:r>
      <w:r w:rsidRPr="00531B12">
        <w:rPr>
          <w:rFonts w:ascii="Abadi" w:hAnsi="Abadi"/>
          <w:b/>
          <w:bCs/>
          <w:spacing w:val="-15"/>
          <w:sz w:val="20"/>
          <w:szCs w:val="20"/>
        </w:rPr>
        <w:t xml:space="preserve"> </w:t>
      </w:r>
      <w:r w:rsidRPr="00531B12">
        <w:rPr>
          <w:rFonts w:ascii="Abadi" w:hAnsi="Abadi"/>
          <w:b/>
          <w:bCs/>
          <w:sz w:val="20"/>
          <w:szCs w:val="20"/>
        </w:rPr>
        <w:t>ALMA</w:t>
      </w:r>
      <w:r w:rsidRPr="00531B12">
        <w:rPr>
          <w:rFonts w:ascii="Abadi" w:hAnsi="Abadi"/>
          <w:b/>
          <w:bCs/>
          <w:spacing w:val="-15"/>
          <w:sz w:val="20"/>
          <w:szCs w:val="20"/>
        </w:rPr>
        <w:t xml:space="preserve"> </w:t>
      </w:r>
      <w:r w:rsidRPr="00531B12">
        <w:rPr>
          <w:rFonts w:ascii="Abadi" w:hAnsi="Abadi"/>
          <w:b/>
          <w:bCs/>
          <w:sz w:val="20"/>
          <w:szCs w:val="20"/>
        </w:rPr>
        <w:t>EDWVIGES</w:t>
      </w:r>
      <w:r w:rsidRPr="00531B12">
        <w:rPr>
          <w:rFonts w:ascii="Abadi" w:hAnsi="Abadi"/>
          <w:b/>
          <w:bCs/>
          <w:spacing w:val="-15"/>
          <w:sz w:val="20"/>
          <w:szCs w:val="20"/>
        </w:rPr>
        <w:t xml:space="preserve"> </w:t>
      </w:r>
      <w:r w:rsidRPr="00531B12">
        <w:rPr>
          <w:rFonts w:ascii="Abadi" w:hAnsi="Abadi"/>
          <w:b/>
          <w:bCs/>
          <w:sz w:val="20"/>
          <w:szCs w:val="20"/>
        </w:rPr>
        <w:t>ALCARAZ</w:t>
      </w:r>
      <w:r w:rsidRPr="00531B12">
        <w:rPr>
          <w:rFonts w:ascii="Abadi" w:hAnsi="Abadi"/>
          <w:b/>
          <w:bCs/>
          <w:spacing w:val="-15"/>
          <w:sz w:val="20"/>
          <w:szCs w:val="20"/>
        </w:rPr>
        <w:t xml:space="preserve"> </w:t>
      </w:r>
      <w:r w:rsidRPr="00531B12">
        <w:rPr>
          <w:rFonts w:ascii="Abadi" w:hAnsi="Abadi"/>
          <w:b/>
          <w:bCs/>
          <w:sz w:val="20"/>
          <w:szCs w:val="20"/>
        </w:rPr>
        <w:t>HERNÁNDEZ,</w:t>
      </w:r>
      <w:r w:rsidRPr="00531B12">
        <w:rPr>
          <w:rFonts w:ascii="Abadi" w:hAnsi="Abadi"/>
          <w:b/>
          <w:bCs/>
          <w:spacing w:val="-15"/>
          <w:sz w:val="20"/>
          <w:szCs w:val="20"/>
        </w:rPr>
        <w:t xml:space="preserve"> </w:t>
      </w:r>
      <w:r w:rsidRPr="00531B12">
        <w:rPr>
          <w:rFonts w:ascii="Abadi" w:hAnsi="Abadi"/>
          <w:b/>
          <w:bCs/>
          <w:sz w:val="20"/>
          <w:szCs w:val="20"/>
        </w:rPr>
        <w:t>INTEGRANTE</w:t>
      </w:r>
      <w:r w:rsidRPr="00531B12">
        <w:rPr>
          <w:rFonts w:ascii="Abadi" w:hAnsi="Abadi"/>
          <w:b/>
          <w:bCs/>
          <w:spacing w:val="-14"/>
          <w:sz w:val="20"/>
          <w:szCs w:val="20"/>
        </w:rPr>
        <w:t xml:space="preserve"> </w:t>
      </w:r>
      <w:r w:rsidRPr="00531B12">
        <w:rPr>
          <w:rFonts w:ascii="Abadi" w:hAnsi="Abadi"/>
          <w:b/>
          <w:bCs/>
          <w:sz w:val="20"/>
          <w:szCs w:val="20"/>
        </w:rPr>
        <w:t>DEL</w:t>
      </w:r>
      <w:r w:rsidRPr="00531B12">
        <w:rPr>
          <w:rFonts w:ascii="Abadi" w:hAnsi="Abadi"/>
          <w:b/>
          <w:bCs/>
          <w:spacing w:val="-1"/>
          <w:sz w:val="20"/>
          <w:szCs w:val="20"/>
        </w:rPr>
        <w:t xml:space="preserve"> </w:t>
      </w:r>
      <w:r w:rsidRPr="00531B12">
        <w:rPr>
          <w:rFonts w:ascii="Abadi" w:hAnsi="Abadi"/>
          <w:b/>
          <w:bCs/>
          <w:sz w:val="20"/>
          <w:szCs w:val="20"/>
        </w:rPr>
        <w:t>GRUPO</w:t>
      </w:r>
      <w:r w:rsidRPr="00531B12">
        <w:rPr>
          <w:rFonts w:ascii="Abadi" w:hAnsi="Abadi"/>
          <w:b/>
          <w:bCs/>
          <w:spacing w:val="12"/>
          <w:sz w:val="20"/>
          <w:szCs w:val="20"/>
        </w:rPr>
        <w:t xml:space="preserve"> </w:t>
      </w:r>
      <w:r w:rsidRPr="00531B12">
        <w:rPr>
          <w:rFonts w:ascii="Abadi" w:hAnsi="Abadi"/>
          <w:b/>
          <w:bCs/>
          <w:sz w:val="20"/>
          <w:szCs w:val="20"/>
        </w:rPr>
        <w:t>PARLAMENTARIO</w:t>
      </w:r>
      <w:r w:rsidRPr="00531B12">
        <w:rPr>
          <w:rFonts w:ascii="Abadi" w:hAnsi="Abadi"/>
          <w:b/>
          <w:bCs/>
          <w:spacing w:val="12"/>
          <w:sz w:val="20"/>
          <w:szCs w:val="20"/>
        </w:rPr>
        <w:t xml:space="preserve"> </w:t>
      </w:r>
      <w:r w:rsidRPr="00531B12">
        <w:rPr>
          <w:rFonts w:ascii="Abadi" w:hAnsi="Abadi"/>
          <w:b/>
          <w:bCs/>
          <w:sz w:val="20"/>
          <w:szCs w:val="20"/>
        </w:rPr>
        <w:t>DEL</w:t>
      </w:r>
      <w:r w:rsidRPr="00531B12">
        <w:rPr>
          <w:rFonts w:ascii="Abadi" w:hAnsi="Abadi"/>
          <w:b/>
          <w:bCs/>
          <w:spacing w:val="11"/>
          <w:sz w:val="20"/>
          <w:szCs w:val="20"/>
        </w:rPr>
        <w:t xml:space="preserve"> </w:t>
      </w:r>
      <w:r w:rsidRPr="00531B12">
        <w:rPr>
          <w:rFonts w:ascii="Abadi" w:hAnsi="Abadi"/>
          <w:b/>
          <w:bCs/>
          <w:sz w:val="20"/>
          <w:szCs w:val="20"/>
        </w:rPr>
        <w:t>PARTIDO</w:t>
      </w:r>
      <w:r w:rsidRPr="00531B12">
        <w:rPr>
          <w:rFonts w:ascii="Abadi" w:hAnsi="Abadi"/>
          <w:b/>
          <w:bCs/>
          <w:spacing w:val="12"/>
          <w:sz w:val="20"/>
          <w:szCs w:val="20"/>
        </w:rPr>
        <w:t xml:space="preserve"> </w:t>
      </w:r>
      <w:r w:rsidRPr="00531B12">
        <w:rPr>
          <w:rFonts w:ascii="Abadi" w:hAnsi="Abadi"/>
          <w:b/>
          <w:bCs/>
          <w:sz w:val="20"/>
          <w:szCs w:val="20"/>
        </w:rPr>
        <w:t>MORENA</w:t>
      </w:r>
      <w:r w:rsidRPr="00531B12">
        <w:rPr>
          <w:rFonts w:ascii="Abadi" w:hAnsi="Abadi"/>
          <w:b/>
          <w:bCs/>
          <w:spacing w:val="12"/>
          <w:sz w:val="20"/>
          <w:szCs w:val="20"/>
        </w:rPr>
        <w:t xml:space="preserve"> </w:t>
      </w:r>
      <w:r w:rsidRPr="00531B12">
        <w:rPr>
          <w:rFonts w:ascii="Abadi" w:hAnsi="Abadi"/>
          <w:b/>
          <w:bCs/>
          <w:sz w:val="20"/>
          <w:szCs w:val="20"/>
        </w:rPr>
        <w:t>A</w:t>
      </w:r>
      <w:r w:rsidRPr="00531B12">
        <w:rPr>
          <w:rFonts w:ascii="Abadi" w:hAnsi="Abadi"/>
          <w:b/>
          <w:bCs/>
          <w:spacing w:val="12"/>
          <w:sz w:val="20"/>
          <w:szCs w:val="20"/>
        </w:rPr>
        <w:t xml:space="preserve"> </w:t>
      </w:r>
      <w:r w:rsidRPr="00531B12">
        <w:rPr>
          <w:rFonts w:ascii="Abadi" w:hAnsi="Abadi"/>
          <w:b/>
          <w:bCs/>
          <w:sz w:val="20"/>
          <w:szCs w:val="20"/>
        </w:rPr>
        <w:t>EFECTO</w:t>
      </w:r>
      <w:r w:rsidRPr="00531B12">
        <w:rPr>
          <w:rFonts w:ascii="Abadi" w:hAnsi="Abadi"/>
          <w:b/>
          <w:bCs/>
          <w:spacing w:val="12"/>
          <w:sz w:val="20"/>
          <w:szCs w:val="20"/>
        </w:rPr>
        <w:t xml:space="preserve"> </w:t>
      </w:r>
      <w:r w:rsidRPr="00531B12">
        <w:rPr>
          <w:rFonts w:ascii="Abadi" w:hAnsi="Abadi"/>
          <w:b/>
          <w:bCs/>
          <w:sz w:val="20"/>
          <w:szCs w:val="20"/>
        </w:rPr>
        <w:t>DE</w:t>
      </w:r>
      <w:r w:rsidRPr="00531B12">
        <w:rPr>
          <w:rFonts w:ascii="Abadi" w:hAnsi="Abadi"/>
          <w:b/>
          <w:bCs/>
          <w:spacing w:val="12"/>
          <w:sz w:val="20"/>
          <w:szCs w:val="20"/>
        </w:rPr>
        <w:t xml:space="preserve"> </w:t>
      </w:r>
      <w:r w:rsidRPr="00531B12">
        <w:rPr>
          <w:rFonts w:ascii="Abadi" w:hAnsi="Abadi"/>
          <w:b/>
          <w:bCs/>
          <w:sz w:val="20"/>
          <w:szCs w:val="20"/>
        </w:rPr>
        <w:t>QUE</w:t>
      </w:r>
      <w:r w:rsidRPr="00531B12">
        <w:rPr>
          <w:rFonts w:ascii="Abadi" w:hAnsi="Abadi"/>
          <w:b/>
          <w:bCs/>
          <w:spacing w:val="12"/>
          <w:sz w:val="20"/>
          <w:szCs w:val="20"/>
        </w:rPr>
        <w:t xml:space="preserve"> </w:t>
      </w:r>
      <w:r w:rsidRPr="00531B12">
        <w:rPr>
          <w:rFonts w:ascii="Abadi" w:hAnsi="Abadi"/>
          <w:b/>
          <w:bCs/>
          <w:sz w:val="20"/>
          <w:szCs w:val="20"/>
        </w:rPr>
        <w:t>SE</w:t>
      </w:r>
      <w:r w:rsidRPr="00531B12">
        <w:rPr>
          <w:rFonts w:ascii="Abadi" w:hAnsi="Abadi"/>
          <w:b/>
          <w:bCs/>
          <w:spacing w:val="12"/>
          <w:sz w:val="20"/>
          <w:szCs w:val="20"/>
        </w:rPr>
        <w:t xml:space="preserve"> </w:t>
      </w:r>
      <w:r w:rsidRPr="00531B12">
        <w:rPr>
          <w:rFonts w:ascii="Abadi" w:hAnsi="Abadi"/>
          <w:b/>
          <w:bCs/>
          <w:sz w:val="20"/>
          <w:szCs w:val="20"/>
        </w:rPr>
        <w:t>ORDENE</w:t>
      </w:r>
      <w:r w:rsidRPr="00531B12">
        <w:rPr>
          <w:rFonts w:ascii="Abadi" w:hAnsi="Abadi"/>
          <w:b/>
          <w:bCs/>
          <w:spacing w:val="12"/>
          <w:sz w:val="20"/>
          <w:szCs w:val="20"/>
        </w:rPr>
        <w:t xml:space="preserve"> </w:t>
      </w:r>
      <w:r w:rsidRPr="00531B12">
        <w:rPr>
          <w:rFonts w:ascii="Abadi" w:hAnsi="Abadi"/>
          <w:b/>
          <w:bCs/>
          <w:sz w:val="20"/>
          <w:szCs w:val="20"/>
        </w:rPr>
        <w:t>A</w:t>
      </w:r>
      <w:r w:rsidRPr="00531B12">
        <w:rPr>
          <w:rFonts w:ascii="Abadi" w:hAnsi="Abadi"/>
          <w:b/>
          <w:bCs/>
          <w:spacing w:val="12"/>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AUDITORÍA</w:t>
      </w:r>
      <w:r w:rsidRPr="00531B12">
        <w:rPr>
          <w:rFonts w:ascii="Abadi" w:hAnsi="Abadi"/>
          <w:b/>
          <w:bCs/>
          <w:spacing w:val="-5"/>
          <w:sz w:val="20"/>
          <w:szCs w:val="20"/>
        </w:rPr>
        <w:t xml:space="preserve"> </w:t>
      </w:r>
      <w:r w:rsidRPr="00531B12">
        <w:rPr>
          <w:rFonts w:ascii="Abadi" w:hAnsi="Abadi"/>
          <w:b/>
          <w:bCs/>
          <w:sz w:val="20"/>
          <w:szCs w:val="20"/>
        </w:rPr>
        <w:t>SUPERIOR</w:t>
      </w:r>
      <w:r w:rsidRPr="00531B12">
        <w:rPr>
          <w:rFonts w:ascii="Abadi" w:hAnsi="Abadi"/>
          <w:b/>
          <w:bCs/>
          <w:spacing w:val="-5"/>
          <w:sz w:val="20"/>
          <w:szCs w:val="20"/>
        </w:rPr>
        <w:t xml:space="preserve"> </w:t>
      </w:r>
      <w:r w:rsidRPr="00531B12">
        <w:rPr>
          <w:rFonts w:ascii="Abadi" w:hAnsi="Abadi"/>
          <w:b/>
          <w:bCs/>
          <w:sz w:val="20"/>
          <w:szCs w:val="20"/>
        </w:rPr>
        <w:t>DEL</w:t>
      </w:r>
      <w:r w:rsidRPr="00531B12">
        <w:rPr>
          <w:rFonts w:ascii="Abadi" w:hAnsi="Abadi"/>
          <w:b/>
          <w:bCs/>
          <w:spacing w:val="-5"/>
          <w:sz w:val="20"/>
          <w:szCs w:val="20"/>
        </w:rPr>
        <w:t xml:space="preserve"> </w:t>
      </w:r>
      <w:r w:rsidRPr="00531B12">
        <w:rPr>
          <w:rFonts w:ascii="Abadi" w:hAnsi="Abadi"/>
          <w:b/>
          <w:bCs/>
          <w:sz w:val="20"/>
          <w:szCs w:val="20"/>
        </w:rPr>
        <w:t>ESTADO</w:t>
      </w:r>
      <w:r w:rsidRPr="00531B12">
        <w:rPr>
          <w:rFonts w:ascii="Abadi" w:hAnsi="Abadi"/>
          <w:b/>
          <w:bCs/>
          <w:spacing w:val="-5"/>
          <w:sz w:val="20"/>
          <w:szCs w:val="20"/>
        </w:rPr>
        <w:t xml:space="preserve"> </w:t>
      </w:r>
      <w:r w:rsidRPr="00531B12">
        <w:rPr>
          <w:rFonts w:ascii="Abadi" w:hAnsi="Abadi"/>
          <w:b/>
          <w:bCs/>
          <w:sz w:val="20"/>
          <w:szCs w:val="20"/>
        </w:rPr>
        <w:t>DE</w:t>
      </w:r>
      <w:r w:rsidRPr="00531B12">
        <w:rPr>
          <w:rFonts w:ascii="Abadi" w:hAnsi="Abadi"/>
          <w:b/>
          <w:bCs/>
          <w:spacing w:val="-5"/>
          <w:sz w:val="20"/>
          <w:szCs w:val="20"/>
        </w:rPr>
        <w:t xml:space="preserve"> </w:t>
      </w:r>
      <w:r w:rsidRPr="00531B12">
        <w:rPr>
          <w:rFonts w:ascii="Abadi" w:hAnsi="Abadi"/>
          <w:b/>
          <w:bCs/>
          <w:sz w:val="20"/>
          <w:szCs w:val="20"/>
        </w:rPr>
        <w:t>GUANAJUATO</w:t>
      </w:r>
      <w:r w:rsidRPr="00531B12">
        <w:rPr>
          <w:rFonts w:ascii="Abadi" w:hAnsi="Abadi"/>
          <w:b/>
          <w:bCs/>
          <w:spacing w:val="-5"/>
          <w:sz w:val="20"/>
          <w:szCs w:val="20"/>
        </w:rPr>
        <w:t xml:space="preserve"> </w:t>
      </w:r>
      <w:r w:rsidRPr="00531B12">
        <w:rPr>
          <w:rFonts w:ascii="Abadi" w:hAnsi="Abadi"/>
          <w:b/>
          <w:bCs/>
          <w:sz w:val="20"/>
          <w:szCs w:val="20"/>
        </w:rPr>
        <w:t>LA</w:t>
      </w:r>
      <w:r w:rsidRPr="00531B12">
        <w:rPr>
          <w:rFonts w:ascii="Abadi" w:hAnsi="Abadi"/>
          <w:b/>
          <w:bCs/>
          <w:spacing w:val="-5"/>
          <w:sz w:val="20"/>
          <w:szCs w:val="20"/>
        </w:rPr>
        <w:t xml:space="preserve"> </w:t>
      </w:r>
      <w:r w:rsidRPr="00531B12">
        <w:rPr>
          <w:rFonts w:ascii="Abadi" w:hAnsi="Abadi"/>
          <w:b/>
          <w:bCs/>
          <w:sz w:val="20"/>
          <w:szCs w:val="20"/>
        </w:rPr>
        <w:t>REALIZACIÓN</w:t>
      </w:r>
      <w:r w:rsidRPr="00531B12">
        <w:rPr>
          <w:rFonts w:ascii="Abadi" w:hAnsi="Abadi"/>
          <w:b/>
          <w:bCs/>
          <w:spacing w:val="-5"/>
          <w:sz w:val="20"/>
          <w:szCs w:val="20"/>
        </w:rPr>
        <w:t xml:space="preserve"> </w:t>
      </w:r>
      <w:r w:rsidRPr="00531B12">
        <w:rPr>
          <w:rFonts w:ascii="Abadi" w:hAnsi="Abadi"/>
          <w:b/>
          <w:bCs/>
          <w:sz w:val="20"/>
          <w:szCs w:val="20"/>
        </w:rPr>
        <w:t>DE</w:t>
      </w:r>
      <w:r w:rsidRPr="00531B12">
        <w:rPr>
          <w:rFonts w:ascii="Abadi" w:hAnsi="Abadi"/>
          <w:b/>
          <w:bCs/>
          <w:spacing w:val="-5"/>
          <w:sz w:val="20"/>
          <w:szCs w:val="20"/>
        </w:rPr>
        <w:t xml:space="preserve"> </w:t>
      </w:r>
      <w:r w:rsidRPr="00531B12">
        <w:rPr>
          <w:rFonts w:ascii="Abadi" w:hAnsi="Abadi"/>
          <w:b/>
          <w:bCs/>
          <w:sz w:val="20"/>
          <w:szCs w:val="20"/>
        </w:rPr>
        <w:t>UNA</w:t>
      </w:r>
      <w:r w:rsidRPr="00531B12">
        <w:rPr>
          <w:rFonts w:ascii="Abadi" w:hAnsi="Abadi"/>
          <w:b/>
          <w:bCs/>
          <w:spacing w:val="-5"/>
          <w:sz w:val="20"/>
          <w:szCs w:val="20"/>
        </w:rPr>
        <w:t xml:space="preserve"> </w:t>
      </w:r>
      <w:r w:rsidRPr="00531B12">
        <w:rPr>
          <w:rFonts w:ascii="Abadi" w:hAnsi="Abadi"/>
          <w:b/>
          <w:bCs/>
          <w:sz w:val="20"/>
          <w:szCs w:val="20"/>
        </w:rPr>
        <w:t>AUDITORÍA</w:t>
      </w:r>
      <w:r w:rsidRPr="00531B12">
        <w:rPr>
          <w:rFonts w:ascii="Abadi" w:hAnsi="Abadi"/>
          <w:b/>
          <w:bCs/>
          <w:spacing w:val="-1"/>
          <w:sz w:val="20"/>
          <w:szCs w:val="20"/>
        </w:rPr>
        <w:t xml:space="preserve"> </w:t>
      </w:r>
      <w:r w:rsidRPr="00531B12">
        <w:rPr>
          <w:rFonts w:ascii="Abadi" w:hAnsi="Abadi"/>
          <w:b/>
          <w:bCs/>
          <w:sz w:val="20"/>
          <w:szCs w:val="20"/>
        </w:rPr>
        <w:t>ESPECÍFICA</w:t>
      </w:r>
      <w:r w:rsidRPr="00531B12">
        <w:rPr>
          <w:rFonts w:ascii="Abadi" w:hAnsi="Abadi"/>
          <w:b/>
          <w:bCs/>
          <w:spacing w:val="14"/>
          <w:sz w:val="20"/>
          <w:szCs w:val="20"/>
        </w:rPr>
        <w:t xml:space="preserve"> </w:t>
      </w:r>
      <w:r w:rsidRPr="00531B12">
        <w:rPr>
          <w:rFonts w:ascii="Abadi" w:hAnsi="Abadi"/>
          <w:b/>
          <w:bCs/>
          <w:sz w:val="20"/>
          <w:szCs w:val="20"/>
        </w:rPr>
        <w:t>RESPECTO</w:t>
      </w:r>
      <w:r w:rsidRPr="00531B12">
        <w:rPr>
          <w:rFonts w:ascii="Abadi" w:hAnsi="Abadi"/>
          <w:b/>
          <w:bCs/>
          <w:spacing w:val="14"/>
          <w:sz w:val="20"/>
          <w:szCs w:val="20"/>
        </w:rPr>
        <w:t xml:space="preserve"> </w:t>
      </w:r>
      <w:r w:rsidRPr="00531B12">
        <w:rPr>
          <w:rFonts w:ascii="Abadi" w:hAnsi="Abadi"/>
          <w:b/>
          <w:bCs/>
          <w:sz w:val="20"/>
          <w:szCs w:val="20"/>
        </w:rPr>
        <w:t>DE</w:t>
      </w:r>
      <w:r w:rsidRPr="00531B12">
        <w:rPr>
          <w:rFonts w:ascii="Abadi" w:hAnsi="Abadi"/>
          <w:b/>
          <w:bCs/>
          <w:spacing w:val="14"/>
          <w:sz w:val="20"/>
          <w:szCs w:val="20"/>
        </w:rPr>
        <w:t xml:space="preserve"> </w:t>
      </w:r>
      <w:r w:rsidRPr="00531B12">
        <w:rPr>
          <w:rFonts w:ascii="Abadi" w:hAnsi="Abadi"/>
          <w:b/>
          <w:bCs/>
          <w:sz w:val="20"/>
          <w:szCs w:val="20"/>
        </w:rPr>
        <w:t>TODAS</w:t>
      </w:r>
      <w:r w:rsidRPr="00531B12">
        <w:rPr>
          <w:rFonts w:ascii="Abadi" w:hAnsi="Abadi"/>
          <w:b/>
          <w:bCs/>
          <w:spacing w:val="14"/>
          <w:sz w:val="20"/>
          <w:szCs w:val="20"/>
        </w:rPr>
        <w:t xml:space="preserve"> </w:t>
      </w:r>
      <w:r w:rsidRPr="00531B12">
        <w:rPr>
          <w:rFonts w:ascii="Abadi" w:hAnsi="Abadi"/>
          <w:b/>
          <w:bCs/>
          <w:sz w:val="20"/>
          <w:szCs w:val="20"/>
        </w:rPr>
        <w:t>LAS</w:t>
      </w:r>
      <w:r w:rsidRPr="00531B12">
        <w:rPr>
          <w:rFonts w:ascii="Abadi" w:hAnsi="Abadi"/>
          <w:b/>
          <w:bCs/>
          <w:spacing w:val="14"/>
          <w:sz w:val="20"/>
          <w:szCs w:val="20"/>
        </w:rPr>
        <w:t xml:space="preserve"> </w:t>
      </w:r>
      <w:r w:rsidRPr="00531B12">
        <w:rPr>
          <w:rFonts w:ascii="Abadi" w:hAnsi="Abadi"/>
          <w:b/>
          <w:bCs/>
          <w:sz w:val="20"/>
          <w:szCs w:val="20"/>
        </w:rPr>
        <w:t>OPERACIONES</w:t>
      </w:r>
      <w:r w:rsidRPr="00531B12">
        <w:rPr>
          <w:rFonts w:ascii="Abadi" w:hAnsi="Abadi"/>
          <w:b/>
          <w:bCs/>
          <w:spacing w:val="14"/>
          <w:sz w:val="20"/>
          <w:szCs w:val="20"/>
        </w:rPr>
        <w:t xml:space="preserve"> </w:t>
      </w:r>
      <w:r w:rsidRPr="00531B12">
        <w:rPr>
          <w:rFonts w:ascii="Abadi" w:hAnsi="Abadi"/>
          <w:b/>
          <w:bCs/>
          <w:sz w:val="20"/>
          <w:szCs w:val="20"/>
        </w:rPr>
        <w:t>REALIZADAS</w:t>
      </w:r>
      <w:r w:rsidRPr="00531B12">
        <w:rPr>
          <w:rFonts w:ascii="Abadi" w:hAnsi="Abadi"/>
          <w:b/>
          <w:bCs/>
          <w:spacing w:val="14"/>
          <w:sz w:val="20"/>
          <w:szCs w:val="20"/>
        </w:rPr>
        <w:t xml:space="preserve"> </w:t>
      </w:r>
      <w:r w:rsidRPr="00531B12">
        <w:rPr>
          <w:rFonts w:ascii="Abadi" w:hAnsi="Abadi"/>
          <w:b/>
          <w:bCs/>
          <w:sz w:val="20"/>
          <w:szCs w:val="20"/>
        </w:rPr>
        <w:t>POR</w:t>
      </w:r>
      <w:r w:rsidRPr="00531B12">
        <w:rPr>
          <w:rFonts w:ascii="Abadi" w:hAnsi="Abadi"/>
          <w:b/>
          <w:bCs/>
          <w:spacing w:val="14"/>
          <w:sz w:val="20"/>
          <w:szCs w:val="20"/>
        </w:rPr>
        <w:t xml:space="preserve"> </w:t>
      </w:r>
      <w:r w:rsidRPr="00531B12">
        <w:rPr>
          <w:rFonts w:ascii="Abadi" w:hAnsi="Abadi"/>
          <w:b/>
          <w:bCs/>
          <w:sz w:val="20"/>
          <w:szCs w:val="20"/>
        </w:rPr>
        <w:t>EL</w:t>
      </w:r>
      <w:r w:rsidRPr="00531B12">
        <w:rPr>
          <w:rFonts w:ascii="Abadi" w:hAnsi="Abadi"/>
          <w:b/>
          <w:bCs/>
          <w:spacing w:val="14"/>
          <w:sz w:val="20"/>
          <w:szCs w:val="20"/>
        </w:rPr>
        <w:t xml:space="preserve"> </w:t>
      </w:r>
      <w:r w:rsidRPr="00531B12">
        <w:rPr>
          <w:rFonts w:ascii="Abadi" w:hAnsi="Abadi"/>
          <w:b/>
          <w:bCs/>
          <w:sz w:val="20"/>
          <w:szCs w:val="20"/>
        </w:rPr>
        <w:t>INSTITUTO</w:t>
      </w:r>
      <w:r w:rsidRPr="00531B12">
        <w:rPr>
          <w:rFonts w:ascii="Abadi" w:hAnsi="Abadi"/>
          <w:b/>
          <w:bCs/>
          <w:spacing w:val="14"/>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LA</w:t>
      </w:r>
      <w:r w:rsidRPr="00531B12">
        <w:rPr>
          <w:rFonts w:ascii="Abadi" w:hAnsi="Abadi"/>
          <w:b/>
          <w:bCs/>
          <w:spacing w:val="-2"/>
          <w:sz w:val="20"/>
          <w:szCs w:val="20"/>
        </w:rPr>
        <w:t xml:space="preserve"> </w:t>
      </w:r>
      <w:r w:rsidRPr="00531B12">
        <w:rPr>
          <w:rFonts w:ascii="Abadi" w:hAnsi="Abadi"/>
          <w:b/>
          <w:bCs/>
          <w:sz w:val="20"/>
          <w:szCs w:val="20"/>
        </w:rPr>
        <w:t>JUVENTUD</w:t>
      </w:r>
      <w:r w:rsidRPr="00531B12">
        <w:rPr>
          <w:rFonts w:ascii="Abadi" w:hAnsi="Abadi"/>
          <w:b/>
          <w:bCs/>
          <w:spacing w:val="-2"/>
          <w:sz w:val="20"/>
          <w:szCs w:val="20"/>
        </w:rPr>
        <w:t xml:space="preserve"> </w:t>
      </w:r>
      <w:r w:rsidRPr="00531B12">
        <w:rPr>
          <w:rFonts w:ascii="Abadi" w:hAnsi="Abadi"/>
          <w:b/>
          <w:bCs/>
          <w:sz w:val="20"/>
          <w:szCs w:val="20"/>
        </w:rPr>
        <w:t>GUANAJUATENSE</w:t>
      </w:r>
      <w:r w:rsidRPr="00531B12">
        <w:rPr>
          <w:rFonts w:ascii="Abadi" w:hAnsi="Abadi"/>
          <w:b/>
          <w:bCs/>
          <w:spacing w:val="-2"/>
          <w:sz w:val="20"/>
          <w:szCs w:val="20"/>
        </w:rPr>
        <w:t xml:space="preserve"> </w:t>
      </w:r>
      <w:r w:rsidRPr="00531B12">
        <w:rPr>
          <w:rFonts w:ascii="Abadi" w:hAnsi="Abadi"/>
          <w:b/>
          <w:bCs/>
          <w:sz w:val="20"/>
          <w:szCs w:val="20"/>
        </w:rPr>
        <w:t>CORRESPONDIENTES</w:t>
      </w:r>
      <w:r w:rsidRPr="00531B12">
        <w:rPr>
          <w:rFonts w:ascii="Abadi" w:hAnsi="Abadi"/>
          <w:b/>
          <w:bCs/>
          <w:spacing w:val="-2"/>
          <w:sz w:val="20"/>
          <w:szCs w:val="20"/>
        </w:rPr>
        <w:t xml:space="preserve"> </w:t>
      </w:r>
      <w:r w:rsidRPr="00531B12">
        <w:rPr>
          <w:rFonts w:ascii="Abadi" w:hAnsi="Abadi"/>
          <w:b/>
          <w:bCs/>
          <w:sz w:val="20"/>
          <w:szCs w:val="20"/>
        </w:rPr>
        <w:t>AL</w:t>
      </w:r>
      <w:r w:rsidRPr="00531B12">
        <w:rPr>
          <w:rFonts w:ascii="Abadi" w:hAnsi="Abadi"/>
          <w:b/>
          <w:bCs/>
          <w:spacing w:val="-2"/>
          <w:sz w:val="20"/>
          <w:szCs w:val="20"/>
        </w:rPr>
        <w:t xml:space="preserve"> </w:t>
      </w:r>
      <w:r w:rsidRPr="00531B12">
        <w:rPr>
          <w:rFonts w:ascii="Abadi" w:hAnsi="Abadi"/>
          <w:b/>
          <w:bCs/>
          <w:sz w:val="20"/>
          <w:szCs w:val="20"/>
        </w:rPr>
        <w:t>PERIODO</w:t>
      </w:r>
      <w:r w:rsidRPr="00531B12">
        <w:rPr>
          <w:rFonts w:ascii="Abadi" w:hAnsi="Abadi"/>
          <w:b/>
          <w:bCs/>
          <w:spacing w:val="-2"/>
          <w:sz w:val="20"/>
          <w:szCs w:val="20"/>
        </w:rPr>
        <w:t xml:space="preserve"> </w:t>
      </w:r>
      <w:r w:rsidRPr="00531B12">
        <w:rPr>
          <w:rFonts w:ascii="Abadi" w:hAnsi="Abadi"/>
          <w:b/>
          <w:bCs/>
          <w:sz w:val="20"/>
          <w:szCs w:val="20"/>
        </w:rPr>
        <w:t>COMPRENDIDO</w:t>
      </w:r>
      <w:r w:rsidRPr="00531B12">
        <w:rPr>
          <w:rFonts w:ascii="Abadi" w:hAnsi="Abadi"/>
          <w:b/>
          <w:bCs/>
          <w:spacing w:val="-2"/>
          <w:sz w:val="20"/>
          <w:szCs w:val="20"/>
        </w:rPr>
        <w:t xml:space="preserve"> </w:t>
      </w:r>
      <w:r w:rsidRPr="00531B12">
        <w:rPr>
          <w:rFonts w:ascii="Abadi" w:hAnsi="Abadi"/>
          <w:b/>
          <w:bCs/>
          <w:sz w:val="20"/>
          <w:szCs w:val="20"/>
        </w:rPr>
        <w:t>ENTRE</w:t>
      </w:r>
      <w:r w:rsidRPr="00531B12">
        <w:rPr>
          <w:rFonts w:ascii="Abadi" w:hAnsi="Abadi"/>
          <w:b/>
          <w:bCs/>
          <w:spacing w:val="-1"/>
          <w:sz w:val="20"/>
          <w:szCs w:val="20"/>
        </w:rPr>
        <w:t xml:space="preserve"> </w:t>
      </w:r>
      <w:r w:rsidRPr="00531B12">
        <w:rPr>
          <w:rFonts w:ascii="Abadi" w:hAnsi="Abadi"/>
          <w:b/>
          <w:bCs/>
          <w:sz w:val="20"/>
          <w:szCs w:val="20"/>
        </w:rPr>
        <w:t>LOS</w:t>
      </w:r>
      <w:r w:rsidRPr="00531B12">
        <w:rPr>
          <w:rFonts w:ascii="Abadi" w:hAnsi="Abadi"/>
          <w:b/>
          <w:bCs/>
          <w:spacing w:val="-1"/>
          <w:sz w:val="20"/>
          <w:szCs w:val="20"/>
        </w:rPr>
        <w:t xml:space="preserve"> </w:t>
      </w:r>
      <w:r w:rsidRPr="00531B12">
        <w:rPr>
          <w:rFonts w:ascii="Abadi" w:hAnsi="Abadi"/>
          <w:b/>
          <w:bCs/>
          <w:sz w:val="20"/>
          <w:szCs w:val="20"/>
        </w:rPr>
        <w:t>AÑOS</w:t>
      </w:r>
      <w:r w:rsidRPr="00531B12">
        <w:rPr>
          <w:rFonts w:ascii="Abadi" w:hAnsi="Abadi"/>
          <w:b/>
          <w:bCs/>
          <w:spacing w:val="-1"/>
          <w:sz w:val="20"/>
          <w:szCs w:val="20"/>
        </w:rPr>
        <w:t xml:space="preserve"> </w:t>
      </w:r>
      <w:r w:rsidRPr="00531B12">
        <w:rPr>
          <w:rFonts w:ascii="Abadi" w:hAnsi="Abadi"/>
          <w:b/>
          <w:bCs/>
          <w:sz w:val="20"/>
          <w:szCs w:val="20"/>
        </w:rPr>
        <w:t>2015</w:t>
      </w:r>
      <w:r w:rsidRPr="00531B12">
        <w:rPr>
          <w:rFonts w:ascii="Abadi" w:hAnsi="Abadi"/>
          <w:b/>
          <w:bCs/>
          <w:spacing w:val="-1"/>
          <w:sz w:val="20"/>
          <w:szCs w:val="20"/>
        </w:rPr>
        <w:t xml:space="preserve"> </w:t>
      </w:r>
      <w:r w:rsidRPr="00531B12">
        <w:rPr>
          <w:rFonts w:ascii="Abadi" w:hAnsi="Abadi"/>
          <w:b/>
          <w:bCs/>
          <w:sz w:val="20"/>
          <w:szCs w:val="20"/>
        </w:rPr>
        <w:t>AL</w:t>
      </w:r>
      <w:r w:rsidRPr="00531B12">
        <w:rPr>
          <w:rFonts w:ascii="Abadi" w:hAnsi="Abadi"/>
          <w:b/>
          <w:bCs/>
          <w:spacing w:val="-1"/>
          <w:sz w:val="20"/>
          <w:szCs w:val="20"/>
        </w:rPr>
        <w:t xml:space="preserve"> </w:t>
      </w:r>
      <w:r w:rsidRPr="00531B12">
        <w:rPr>
          <w:rFonts w:ascii="Abadi" w:hAnsi="Abadi"/>
          <w:b/>
          <w:bCs/>
          <w:sz w:val="20"/>
          <w:szCs w:val="20"/>
        </w:rPr>
        <w:t>2020.</w:t>
      </w:r>
    </w:p>
    <w:p w14:paraId="4EF72A9B" w14:textId="55371E0B" w:rsidR="00FE399C" w:rsidRDefault="00FE399C" w:rsidP="008021C6">
      <w:pPr>
        <w:tabs>
          <w:tab w:val="left" w:pos="856"/>
        </w:tabs>
        <w:kinsoku w:val="0"/>
        <w:overflowPunct w:val="0"/>
        <w:autoSpaceDE w:val="0"/>
        <w:autoSpaceDN w:val="0"/>
        <w:adjustRightInd w:val="0"/>
        <w:ind w:right="17"/>
        <w:jc w:val="both"/>
        <w:rPr>
          <w:rFonts w:ascii="Abadi" w:hAnsi="Abadi"/>
          <w:sz w:val="20"/>
          <w:szCs w:val="20"/>
        </w:rPr>
      </w:pPr>
    </w:p>
    <w:p w14:paraId="00C548E5" w14:textId="77777777" w:rsidR="007B4E9E" w:rsidRPr="007B4E9E" w:rsidRDefault="007B4E9E" w:rsidP="007B4E9E">
      <w:pPr>
        <w:rPr>
          <w:rFonts w:ascii="Abadi" w:hAnsi="Abadi" w:cs="Arial"/>
          <w:b/>
          <w:iCs/>
          <w:smallCaps/>
          <w:sz w:val="21"/>
          <w:szCs w:val="21"/>
        </w:rPr>
      </w:pPr>
      <w:r w:rsidRPr="007B4E9E">
        <w:rPr>
          <w:rFonts w:ascii="Abadi" w:hAnsi="Abadi" w:cs="Arial"/>
          <w:b/>
          <w:iCs/>
          <w:smallCaps/>
          <w:sz w:val="21"/>
          <w:szCs w:val="21"/>
        </w:rPr>
        <w:t>C. Presidenta del Congreso del Estado</w:t>
      </w:r>
    </w:p>
    <w:p w14:paraId="2B8A3B21" w14:textId="77777777" w:rsidR="007B4E9E" w:rsidRPr="007B4E9E" w:rsidRDefault="007B4E9E" w:rsidP="007B4E9E">
      <w:pPr>
        <w:jc w:val="both"/>
        <w:rPr>
          <w:rFonts w:ascii="Abadi" w:hAnsi="Abadi" w:cs="Arial"/>
          <w:b/>
          <w:iCs/>
          <w:smallCaps/>
          <w:sz w:val="21"/>
          <w:szCs w:val="21"/>
        </w:rPr>
      </w:pPr>
      <w:r w:rsidRPr="007B4E9E">
        <w:rPr>
          <w:rFonts w:ascii="Abadi" w:hAnsi="Abadi" w:cs="Arial"/>
          <w:b/>
          <w:iCs/>
          <w:smallCaps/>
          <w:sz w:val="21"/>
          <w:szCs w:val="21"/>
        </w:rPr>
        <w:t>P r e s e n t e.</w:t>
      </w:r>
    </w:p>
    <w:p w14:paraId="710B34D5" w14:textId="77777777" w:rsidR="007B4E9E" w:rsidRPr="007B4E9E" w:rsidRDefault="007B4E9E" w:rsidP="007B4E9E">
      <w:pPr>
        <w:spacing w:line="360" w:lineRule="auto"/>
        <w:jc w:val="both"/>
        <w:rPr>
          <w:rFonts w:ascii="Abadi" w:hAnsi="Abadi" w:cs="Arial"/>
          <w:iCs/>
          <w:sz w:val="21"/>
          <w:szCs w:val="21"/>
        </w:rPr>
      </w:pPr>
    </w:p>
    <w:p w14:paraId="75F86642" w14:textId="1219FDB6" w:rsidR="007B4E9E" w:rsidRPr="007B4E9E" w:rsidRDefault="007B4E9E" w:rsidP="007B4E9E">
      <w:pPr>
        <w:spacing w:line="360" w:lineRule="auto"/>
        <w:jc w:val="both"/>
        <w:rPr>
          <w:rFonts w:ascii="Abadi" w:hAnsi="Abadi" w:cs="Arial"/>
          <w:iCs/>
          <w:sz w:val="21"/>
          <w:szCs w:val="21"/>
        </w:rPr>
      </w:pPr>
      <w:r w:rsidRPr="007B4E9E">
        <w:rPr>
          <w:rFonts w:ascii="Abadi" w:hAnsi="Abadi" w:cs="Arial"/>
          <w:iCs/>
          <w:sz w:val="21"/>
          <w:szCs w:val="21"/>
        </w:rPr>
        <w:lastRenderedPageBreak/>
        <w:tab/>
        <w:t xml:space="preserve">A esta Comisión de Hacienda y Fiscalización le fue turnada para efectos de su estudio y dictamen, la propuesta de punto de acuerdo formulada por la diputada </w:t>
      </w:r>
      <w:r w:rsidRPr="007B4E9E">
        <w:rPr>
          <w:rFonts w:ascii="Abadi" w:hAnsi="Abadi"/>
          <w:sz w:val="21"/>
          <w:szCs w:val="21"/>
          <w:lang w:val="es-ES_tradnl"/>
        </w:rPr>
        <w:t xml:space="preserve">Alma Edwviges Alcaraz Hernández, integrante del Grupo Parlamentario del </w:t>
      </w:r>
      <w:r w:rsidRPr="007B4E9E">
        <w:rPr>
          <w:rFonts w:ascii="Abadi" w:hAnsi="Abadi" w:cs="Arial"/>
          <w:iCs/>
          <w:sz w:val="21"/>
          <w:szCs w:val="21"/>
        </w:rPr>
        <w:t>Partido MORENA a efecto de que se ordene a la Auditoría Superior del Estado de Guanajuato la realización de una auditoría específica respecto de todas las operaciones realizadas por el Instituto de la Juventud Guanajuatense, correspondientes al periodo comprendido entre los años 2015 al 2020.</w:t>
      </w:r>
    </w:p>
    <w:p w14:paraId="5577DFAC" w14:textId="77777777" w:rsidR="007B4E9E" w:rsidRPr="007B4E9E" w:rsidRDefault="007B4E9E" w:rsidP="007B4E9E">
      <w:pPr>
        <w:spacing w:line="360" w:lineRule="auto"/>
        <w:jc w:val="both"/>
        <w:rPr>
          <w:rFonts w:ascii="Abadi" w:hAnsi="Abadi" w:cs="Arial"/>
          <w:iCs/>
          <w:sz w:val="21"/>
          <w:szCs w:val="21"/>
        </w:rPr>
      </w:pPr>
      <w:r w:rsidRPr="007B4E9E">
        <w:rPr>
          <w:rFonts w:ascii="Abadi" w:hAnsi="Abadi" w:cs="Arial"/>
          <w:iCs/>
          <w:sz w:val="21"/>
          <w:szCs w:val="21"/>
        </w:rPr>
        <w:tab/>
        <w:t xml:space="preserve">Analizada la propuesta de referencia, con fundamento en los artículos 75, 89, fracción V, 112, fracción XV y 171 de </w:t>
      </w:r>
      <w:smartTag w:uri="urn:schemas-microsoft-com:office:smarttags" w:element="PersonName">
        <w:smartTagPr>
          <w:attr w:name="ProductID" w:val="la Ley Org￡nica"/>
        </w:smartTagPr>
        <w:r w:rsidRPr="007B4E9E">
          <w:rPr>
            <w:rFonts w:ascii="Abadi" w:hAnsi="Abadi" w:cs="Arial"/>
            <w:iCs/>
            <w:sz w:val="21"/>
            <w:szCs w:val="21"/>
          </w:rPr>
          <w:t>la Ley Orgánica</w:t>
        </w:r>
      </w:smartTag>
      <w:r w:rsidRPr="007B4E9E">
        <w:rPr>
          <w:rFonts w:ascii="Abadi" w:hAnsi="Abadi" w:cs="Arial"/>
          <w:iCs/>
          <w:sz w:val="21"/>
          <w:szCs w:val="21"/>
        </w:rPr>
        <w:t xml:space="preserve"> del Poder Legislativo del Estado de Guanajuato nos permitimos rendir el siguiente:</w:t>
      </w:r>
    </w:p>
    <w:p w14:paraId="72CCA053" w14:textId="77777777" w:rsidR="007B4E9E" w:rsidRPr="007B4E9E" w:rsidRDefault="007B4E9E" w:rsidP="007B4E9E">
      <w:pPr>
        <w:spacing w:line="360" w:lineRule="auto"/>
        <w:jc w:val="both"/>
        <w:rPr>
          <w:rFonts w:ascii="Abadi" w:hAnsi="Abadi" w:cs="Arial"/>
          <w:iCs/>
          <w:sz w:val="21"/>
          <w:szCs w:val="21"/>
        </w:rPr>
      </w:pPr>
    </w:p>
    <w:p w14:paraId="2F2F7E00" w14:textId="0A26F10F" w:rsidR="007B4E9E" w:rsidRDefault="007B4E9E" w:rsidP="007B4E9E">
      <w:pPr>
        <w:keepNext/>
        <w:spacing w:line="360" w:lineRule="auto"/>
        <w:jc w:val="center"/>
        <w:outlineLvl w:val="0"/>
        <w:rPr>
          <w:rFonts w:ascii="Abadi" w:hAnsi="Abadi" w:cs="Arial"/>
          <w:b/>
          <w:iCs/>
          <w:sz w:val="21"/>
          <w:szCs w:val="21"/>
        </w:rPr>
      </w:pPr>
      <w:r w:rsidRPr="007B4E9E">
        <w:rPr>
          <w:rFonts w:ascii="Abadi" w:hAnsi="Abadi" w:cs="Arial"/>
          <w:b/>
          <w:iCs/>
          <w:sz w:val="21"/>
          <w:szCs w:val="21"/>
        </w:rPr>
        <w:t xml:space="preserve">D i c t a m e n </w:t>
      </w:r>
    </w:p>
    <w:p w14:paraId="12FA79EF" w14:textId="77777777" w:rsidR="00CA7296" w:rsidRPr="007B4E9E" w:rsidRDefault="00CA7296" w:rsidP="007B4E9E">
      <w:pPr>
        <w:keepNext/>
        <w:spacing w:line="360" w:lineRule="auto"/>
        <w:jc w:val="center"/>
        <w:outlineLvl w:val="0"/>
        <w:rPr>
          <w:rFonts w:ascii="Abadi" w:hAnsi="Abadi" w:cs="Arial"/>
          <w:b/>
          <w:iCs/>
          <w:sz w:val="21"/>
          <w:szCs w:val="21"/>
        </w:rPr>
      </w:pPr>
    </w:p>
    <w:p w14:paraId="4C018491" w14:textId="77777777" w:rsidR="007B4E9E" w:rsidRPr="007B4E9E" w:rsidRDefault="007B4E9E" w:rsidP="001A28E5">
      <w:pPr>
        <w:numPr>
          <w:ilvl w:val="0"/>
          <w:numId w:val="41"/>
        </w:numPr>
        <w:jc w:val="both"/>
        <w:rPr>
          <w:rFonts w:ascii="Abadi" w:hAnsi="Abadi" w:cs="Arial"/>
          <w:b/>
          <w:bCs/>
          <w:sz w:val="21"/>
          <w:szCs w:val="21"/>
        </w:rPr>
      </w:pPr>
      <w:r w:rsidRPr="007B4E9E">
        <w:rPr>
          <w:rFonts w:ascii="Abadi" w:hAnsi="Abadi" w:cs="Arial"/>
          <w:b/>
          <w:bCs/>
          <w:sz w:val="21"/>
          <w:szCs w:val="21"/>
        </w:rPr>
        <w:t>Antecedentes</w:t>
      </w:r>
    </w:p>
    <w:p w14:paraId="71477BD9" w14:textId="77777777" w:rsidR="007B4E9E" w:rsidRPr="007B4E9E" w:rsidRDefault="007B4E9E" w:rsidP="007B4E9E">
      <w:pPr>
        <w:spacing w:line="360" w:lineRule="auto"/>
        <w:jc w:val="center"/>
        <w:rPr>
          <w:rFonts w:ascii="Abadi" w:hAnsi="Abadi" w:cs="Arial"/>
          <w:b/>
          <w:iCs/>
          <w:sz w:val="21"/>
          <w:szCs w:val="21"/>
        </w:rPr>
      </w:pPr>
    </w:p>
    <w:p w14:paraId="5E67377B" w14:textId="77777777" w:rsidR="007B4E9E" w:rsidRPr="007B4E9E" w:rsidRDefault="007B4E9E" w:rsidP="007B4E9E">
      <w:pPr>
        <w:spacing w:line="360" w:lineRule="auto"/>
        <w:jc w:val="both"/>
        <w:rPr>
          <w:rFonts w:ascii="Abadi" w:hAnsi="Abadi" w:cs="Arial"/>
          <w:iCs/>
          <w:sz w:val="21"/>
          <w:szCs w:val="21"/>
        </w:rPr>
      </w:pPr>
      <w:r w:rsidRPr="007B4E9E">
        <w:rPr>
          <w:rFonts w:ascii="Abadi" w:hAnsi="Abadi" w:cs="Arial"/>
          <w:iCs/>
          <w:sz w:val="21"/>
          <w:szCs w:val="21"/>
        </w:rPr>
        <w:tab/>
        <w:t xml:space="preserve">La diputada </w:t>
      </w:r>
      <w:r w:rsidRPr="007B4E9E">
        <w:rPr>
          <w:rFonts w:ascii="Abadi" w:hAnsi="Abadi"/>
          <w:sz w:val="21"/>
          <w:szCs w:val="21"/>
          <w:lang w:val="es-ES_tradnl"/>
        </w:rPr>
        <w:t>Alma Edwviges Alcaraz Hernández</w:t>
      </w:r>
      <w:r w:rsidRPr="007B4E9E">
        <w:rPr>
          <w:rFonts w:ascii="Abadi" w:hAnsi="Abadi" w:cs="Arial"/>
          <w:iCs/>
          <w:sz w:val="21"/>
          <w:szCs w:val="21"/>
        </w:rPr>
        <w:t xml:space="preserve">, integrante del Grupo Parlamentario del Partido MORENA, en sesión ordinaria celebrada el 9 de diciembre de 2021 presentó la propuesta de punto de acuerdo a efecto de que se ordene a la Auditoría Superior del Estado de Guanajuato, a que realice a la brevedad posible una auditoría específica respecto de todas las operaciones realizadas por el Instituto de la Juventud Guanajuatense correspondientes al periodo comprendido entre los años 2015 al 2020. </w:t>
      </w:r>
    </w:p>
    <w:p w14:paraId="38C84911" w14:textId="77777777" w:rsidR="007B4E9E" w:rsidRPr="007B4E9E" w:rsidRDefault="007B4E9E" w:rsidP="007B4E9E">
      <w:pPr>
        <w:spacing w:line="360" w:lineRule="auto"/>
        <w:jc w:val="both"/>
        <w:rPr>
          <w:rFonts w:ascii="Abadi" w:hAnsi="Abadi" w:cs="Arial"/>
          <w:iCs/>
          <w:sz w:val="21"/>
          <w:szCs w:val="21"/>
        </w:rPr>
      </w:pPr>
    </w:p>
    <w:p w14:paraId="76A7F3C7" w14:textId="77777777" w:rsidR="007B4E9E" w:rsidRPr="007B4E9E" w:rsidRDefault="007B4E9E" w:rsidP="007B4E9E">
      <w:pPr>
        <w:spacing w:line="360" w:lineRule="auto"/>
        <w:ind w:firstLine="708"/>
        <w:jc w:val="both"/>
        <w:rPr>
          <w:rFonts w:ascii="Abadi" w:hAnsi="Abadi"/>
          <w:sz w:val="21"/>
          <w:szCs w:val="21"/>
          <w:lang w:val="es-MX"/>
        </w:rPr>
      </w:pPr>
      <w:r w:rsidRPr="007B4E9E">
        <w:rPr>
          <w:rFonts w:ascii="Abadi" w:hAnsi="Abadi" w:cs="Arial"/>
          <w:iCs/>
          <w:sz w:val="21"/>
          <w:szCs w:val="21"/>
        </w:rPr>
        <w:t>La referida propuesta</w:t>
      </w:r>
      <w:r w:rsidRPr="007B4E9E">
        <w:rPr>
          <w:rFonts w:ascii="Abadi" w:hAnsi="Abadi"/>
          <w:sz w:val="21"/>
          <w:szCs w:val="21"/>
          <w:lang w:val="es-MX"/>
        </w:rPr>
        <w:t xml:space="preserve"> se turnó por la presidencia a esta Comisión de Hacienda y </w:t>
      </w:r>
      <w:r w:rsidRPr="007B4E9E">
        <w:rPr>
          <w:rFonts w:ascii="Abadi" w:hAnsi="Abadi"/>
          <w:sz w:val="21"/>
          <w:szCs w:val="21"/>
          <w:lang w:val="es-MX"/>
        </w:rPr>
        <w:t>Fiscalización para su estudio y dictamen con fundamento en la fracción XV del artículo 112 de la Ley Orgánica del Poder Legislativo del Estado de Guanajuato, misma que se radicó el 9 de diciembre de 2021. En dicha fecha se requirió al Auditor Superior del Estado, la elaboración de una ficha técnica respecto a dicha propuesta, misma que se expuso a esta Comisión el 14 de junio del año en curso, por dicho funcionario.</w:t>
      </w:r>
    </w:p>
    <w:p w14:paraId="24401AFF" w14:textId="77777777" w:rsidR="007B4E9E" w:rsidRPr="007B4E9E" w:rsidRDefault="007B4E9E" w:rsidP="007B4E9E">
      <w:pPr>
        <w:spacing w:line="360" w:lineRule="auto"/>
        <w:ind w:firstLine="708"/>
        <w:jc w:val="both"/>
        <w:rPr>
          <w:rFonts w:ascii="Abadi" w:hAnsi="Abadi"/>
          <w:sz w:val="21"/>
          <w:szCs w:val="21"/>
          <w:lang w:val="es-MX"/>
        </w:rPr>
      </w:pPr>
    </w:p>
    <w:p w14:paraId="4A586C4C" w14:textId="77777777" w:rsidR="007B4E9E" w:rsidRPr="007B4E9E" w:rsidRDefault="007B4E9E" w:rsidP="001A28E5">
      <w:pPr>
        <w:numPr>
          <w:ilvl w:val="0"/>
          <w:numId w:val="41"/>
        </w:numPr>
        <w:jc w:val="both"/>
        <w:rPr>
          <w:rFonts w:ascii="Abadi" w:hAnsi="Abadi" w:cs="Arial"/>
          <w:b/>
          <w:bCs/>
          <w:sz w:val="21"/>
          <w:szCs w:val="21"/>
        </w:rPr>
      </w:pPr>
      <w:r w:rsidRPr="007B4E9E">
        <w:rPr>
          <w:rFonts w:ascii="Abadi" w:hAnsi="Abadi" w:cs="Arial"/>
          <w:b/>
          <w:bCs/>
          <w:sz w:val="21"/>
          <w:szCs w:val="21"/>
        </w:rPr>
        <w:t>Consideraciones de la proponente</w:t>
      </w:r>
    </w:p>
    <w:p w14:paraId="3D3F7A46" w14:textId="77777777" w:rsidR="007B4E9E" w:rsidRPr="007B4E9E" w:rsidRDefault="007B4E9E" w:rsidP="007B4E9E">
      <w:pPr>
        <w:jc w:val="both"/>
        <w:rPr>
          <w:rFonts w:ascii="Abadi" w:hAnsi="Abadi" w:cs="Arial"/>
          <w:b/>
          <w:bCs/>
          <w:sz w:val="21"/>
          <w:szCs w:val="21"/>
        </w:rPr>
      </w:pPr>
    </w:p>
    <w:p w14:paraId="4742A107" w14:textId="77777777" w:rsidR="007B4E9E" w:rsidRPr="007B4E9E" w:rsidRDefault="007B4E9E" w:rsidP="007B4E9E">
      <w:pPr>
        <w:spacing w:line="360" w:lineRule="auto"/>
        <w:ind w:firstLine="708"/>
        <w:jc w:val="both"/>
        <w:rPr>
          <w:rFonts w:ascii="Abadi" w:hAnsi="Abadi"/>
          <w:sz w:val="21"/>
          <w:szCs w:val="21"/>
          <w:lang w:val="es-MX"/>
        </w:rPr>
      </w:pPr>
      <w:r w:rsidRPr="007B4E9E">
        <w:rPr>
          <w:rFonts w:ascii="Abadi" w:hAnsi="Abadi"/>
          <w:sz w:val="21"/>
          <w:szCs w:val="21"/>
          <w:lang w:val="es-MX"/>
        </w:rPr>
        <w:t>En las consideraciones expuestas por la proponente se refiere lo siguiente:</w:t>
      </w:r>
    </w:p>
    <w:p w14:paraId="62285BF6"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t xml:space="preserve">En el Periódico Oficial del Gobierno del Estado número 114, de fecha 17 de julio del año 2007, se publicó el Decreto Gubernativo número 36, mediante el cual se creó el Instituto Estatal de la Juventud de Guanajuato, como un órgano desconcentrado de la Comisión Estatal del Deporte y Atención a la Juventud, con el fin de promover y tutelar los derechos de los jóvenes. </w:t>
      </w:r>
    </w:p>
    <w:p w14:paraId="415CE514"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t xml:space="preserve">Posteriormente, la Sexagésima Legislatura del Congreso del Estado emitió el Decreto número 266 mediante el cual se expidió la Ley para la Juventud del Estado de Guanajuato, publicado en el Periódico Oficial del Gobierno del Estado número 142, Segunda Parte, del 4 de septiembre de 2009. </w:t>
      </w:r>
    </w:p>
    <w:p w14:paraId="23CCFBA5"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t>Con base en dicha ley, el 28 de diciembre del año 2009 fue decretada la extinción del Órgano Desconcentrado denominado Instituto Estatal de la Juventud de</w:t>
      </w:r>
      <w:r w:rsidRPr="007B4E9E">
        <w:rPr>
          <w:rFonts w:ascii="Abadi" w:hAnsi="Abadi"/>
          <w:sz w:val="21"/>
          <w:szCs w:val="21"/>
        </w:rPr>
        <w:t xml:space="preserve"> </w:t>
      </w:r>
      <w:r w:rsidRPr="007B4E9E">
        <w:rPr>
          <w:rFonts w:ascii="Abadi" w:hAnsi="Abadi" w:cs="Arial"/>
          <w:i/>
          <w:sz w:val="21"/>
          <w:szCs w:val="21"/>
        </w:rPr>
        <w:t xml:space="preserve">Guanajuato, mismo que fue sustituido por el Instituto de la Juventud Guanajuatense, que fue creado mediante el mismo decreto Gubernativo número 130. </w:t>
      </w:r>
    </w:p>
    <w:p w14:paraId="09DEB872"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t xml:space="preserve">El Instituto de la Juventud Guanajuatense es un Organismo Público Descentralizado de la </w:t>
      </w:r>
      <w:r w:rsidRPr="007B4E9E">
        <w:rPr>
          <w:rFonts w:ascii="Abadi" w:hAnsi="Abadi" w:cs="Arial"/>
          <w:i/>
          <w:sz w:val="21"/>
          <w:szCs w:val="21"/>
        </w:rPr>
        <w:lastRenderedPageBreak/>
        <w:t xml:space="preserve">Administración Pública Estatal, encargado de la ejecución, promoción e impulso de las acciones en materia de juventud del Gobierno del Estado.  Posteriormente, el 16 de diciembre del año 2014, mediante el Decreto Número 205 fue expedida la Ley para la juventud del Estado de Guanajuato. </w:t>
      </w:r>
    </w:p>
    <w:p w14:paraId="4056962D"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t xml:space="preserve">Dicho Instituto, conocido como Guanajuve, tuvo entre sus objetivos el coadyuvar a la reconstrucción del tejido social a fin de garantizar la seguridad, la justicia y la paz social del Estado, mediante el empoderamiento de la sociedad y la creación de oportunidades para que los grupos vulnerables tengan una juventud sana. </w:t>
      </w:r>
    </w:p>
    <w:p w14:paraId="54CC0EFE"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t>En el año 2015, el entonces gobernador Constitucional del Estado Miguel Márquez Márquez, nombró a Jorge Romero Vázquez como director del Instituto de la Juventud Guanajuatense y el actual gobernador Diego Sinhue Rodríguez Vallejo lo ratificó en dicho cargo; por lo que Jorge Romero continuó ocupando la dirección del Guanajuve hasta el año 2020.</w:t>
      </w:r>
    </w:p>
    <w:p w14:paraId="33680D87"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t xml:space="preserve">Durante los 5 años en que Jorge Romero se mantuvo en el cargo, tuvo bajo su responsabilidad el manejo de cuantiosas sumas de recursos públicos destinados a la creación y seguimiento de políticas públicas destinadas a lograr el reconocimiento y ejercicio de los derechos de las y los jóvenes guanajuatenses, garantizando con ello un desarrollo integral que les permita cumplir su proyecto de vida. </w:t>
      </w:r>
    </w:p>
    <w:p w14:paraId="39DBB30F"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t xml:space="preserve">Para poner solo algunos ejemplos, para el ejercicio fiscal del año 2020 en la Ley del Presupuesto General de Egresos del Estado fueron etiquetados recursos por un total de $29’069,077.67, en el ejercicio fiscal del año 2019 fueron $29’956,899.25 y en 2018 se asignaron $29’390,909.25 </w:t>
      </w:r>
    </w:p>
    <w:p w14:paraId="3C711713"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t xml:space="preserve">Durante el ejercicio 2020 el presupuesto contempló asignaciones para el proyecto denominado “Q0300 Desafío Joven”, mismo que estuvo a cargo del Instituto y que tuvo como objetivo contribuir a la participación activa de los jóvenes en los ámbitos de desarrollo, buscando que lo hagan ser más competitivo en su entorno.  </w:t>
      </w:r>
    </w:p>
    <w:p w14:paraId="598EF876"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t>Asimismo, buscaba contribuir a elevar el nivel de competitividad de la juventud, considerando las condiciones y habilidades particulares de cada aspirante para poder generar un mayor impacto en su crecimiento profesional</w:t>
      </w:r>
      <w:r w:rsidRPr="007B4E9E">
        <w:rPr>
          <w:rFonts w:ascii="Abadi" w:hAnsi="Abadi" w:cs="Arial"/>
          <w:i/>
          <w:sz w:val="21"/>
          <w:szCs w:val="21"/>
          <w:vertAlign w:val="superscript"/>
        </w:rPr>
        <w:footnoteReference w:id="117"/>
      </w:r>
      <w:r w:rsidRPr="007B4E9E">
        <w:rPr>
          <w:rFonts w:ascii="Abadi" w:hAnsi="Abadi" w:cs="Arial"/>
          <w:i/>
          <w:sz w:val="21"/>
          <w:szCs w:val="21"/>
        </w:rPr>
        <w:t xml:space="preserve">. A través de este programa se entregaban apoyos directamente a los beneficiarios a través de becas, premios y proyectos. </w:t>
      </w:r>
    </w:p>
    <w:p w14:paraId="5CDEA86C"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t>Igualmente, en el año 2020 el Guanajuve implementó el “Programa Q0302 Sé Jóven, Sé Tú”</w:t>
      </w:r>
      <w:r w:rsidRPr="007B4E9E">
        <w:rPr>
          <w:rFonts w:ascii="Abadi" w:hAnsi="Abadi" w:cs="Arial"/>
          <w:i/>
          <w:sz w:val="21"/>
          <w:szCs w:val="21"/>
          <w:vertAlign w:val="superscript"/>
        </w:rPr>
        <w:footnoteReference w:id="118"/>
      </w:r>
      <w:r w:rsidRPr="007B4E9E">
        <w:rPr>
          <w:rFonts w:ascii="Abadi" w:hAnsi="Abadi" w:cs="Arial"/>
          <w:i/>
          <w:sz w:val="21"/>
          <w:szCs w:val="21"/>
        </w:rPr>
        <w:t xml:space="preserve">; cuyo objetivo fue posicionar la atención de los jóvenes a través de acciones ejecutadas por las instancias de juventud dependientes de los gobiernos municipales, considerando las condiciones particulares y el contexto específico de la comunidad, mediante acciones que contribuyan a la prevención de riesgos psicosociales, al fortalecimiento de su identidad y valores, a la generación de proyectos de vida para la población joven del Estado. </w:t>
      </w:r>
    </w:p>
    <w:p w14:paraId="64F0241A"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t>En el mismo sentido, en el ejercicio 2020 fue ejecutado por el Instituto el programa “Q0401 Juventud de Grandeza”</w:t>
      </w:r>
      <w:r w:rsidRPr="007B4E9E">
        <w:rPr>
          <w:rFonts w:ascii="Abadi" w:hAnsi="Abadi" w:cs="Arial"/>
          <w:i/>
          <w:sz w:val="21"/>
          <w:szCs w:val="21"/>
          <w:vertAlign w:val="superscript"/>
        </w:rPr>
        <w:footnoteReference w:id="119"/>
      </w:r>
      <w:r w:rsidRPr="007B4E9E">
        <w:rPr>
          <w:rFonts w:ascii="Abadi" w:hAnsi="Abadi" w:cs="Arial"/>
          <w:i/>
          <w:sz w:val="21"/>
          <w:szCs w:val="21"/>
        </w:rPr>
        <w:t xml:space="preserve">, con la finalidad de fortalecer la formación de los Jóvenes, su integración y participación en la sociedad, mediante la realización de acciones que contribuyan a la prevención de riesgos psicosociales, al fortalecimiento de su identidad y valores, así como a la generación de proyectos de vida para la población Joven del Estado. </w:t>
      </w:r>
    </w:p>
    <w:p w14:paraId="6BA5F6B9"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lastRenderedPageBreak/>
        <w:t>Asimismo, a lo largo de su existencia, el Guanajuve celebró diversos convenios de coordinación y alianzas con otras instituciones del estado y de la Federación, que le permitieron implementar acciones, programas y manejar recursos para llevar a cabo sus funciones y ampliar sus áreas de atención.</w:t>
      </w:r>
    </w:p>
    <w:p w14:paraId="58F70C05"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t xml:space="preserve">Siendo de tal magnitud el ámbito de acción del Instituto que dirigía Jorge Romero Vázquez y la cantidad de recursos públicos de carácter estatal y federal que él tenía a su cargo, es que resulta necesario que la Auditoría Superior del Estado realice una revisión a las operaciones realizadas por el Instituto de la Juventud Guanajuatense durante su gestión.  </w:t>
      </w:r>
    </w:p>
    <w:p w14:paraId="1894FC8D"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t xml:space="preserve">Lo anterior en virtud de que durante las últimas semanas el entonces Director del Instituto y ahora Diputado Federal electo, ha sido acusado de cometer cuando menos dos delitos de violación; acusaciones que sin lugar a dudas ponen en entredicho su honorabilidad, objetividad y probidad para desempeñar cualquier cargo público; máxime uno que le permitía amplios márgenes de discrecionalidad en el manejo de programas, acciones y recursos. </w:t>
      </w:r>
    </w:p>
    <w:p w14:paraId="26A973CF"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t>Al respecto, es importante destacar que además de las denuncias formalmente interpuestas ante la Fiscalía General del Estado, hay otras víctimas que han manifestado haber sido coaccionadas a realizar actividades en contra de su voluntad a cambio de obtener becas o programas del Instituto de la Juventud Guanajuatense.</w:t>
      </w:r>
    </w:p>
    <w:p w14:paraId="4DCC83B8"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t xml:space="preserve">Sin lugar a dudas, todas esas acusaciones ponen en tela de juicio el manejo que se dio a Guanajuve durante el tiempo que duró la titularidad de Jorge Romero y permiten suponer la existencia de tráfico de influencias, el desvío de recursos públicos y el uso indebido de atribuciones y facultades por parte del funcionario. Si bien es cierto que el multicitado Instituto ya no existe, pues con la aprobación de la Ley </w:t>
      </w:r>
      <w:r w:rsidRPr="007B4E9E">
        <w:rPr>
          <w:rFonts w:ascii="Abadi" w:hAnsi="Abadi" w:cs="Arial"/>
          <w:i/>
          <w:sz w:val="21"/>
          <w:szCs w:val="21"/>
        </w:rPr>
        <w:t>de las Juventudes del Estado de Guanajuato en septiembre de 2020, se creó el organismo denominado Instituto de Atención y Desarrollo de las Juventudes de Guanajuato o Juventudes Gto; mismo que fusionó al Instituto de Financiamiento e Información para la Educación con el Instituto de la Juventud Guanajuatense.  Este nuevo instituto absorbió las funciones, programas y proyectos de Educafin y Guanajoven, intentando optimizar los recursos públicos, aumentar la cobertura y potencializar el impacto social que pudieran generar.  También lo es, que el Instituto de la Juventud Guanajuatense tuvo durante muchos años un amplio presupuesto, sin</w:t>
      </w:r>
      <w:r w:rsidRPr="007B4E9E">
        <w:rPr>
          <w:rFonts w:ascii="Abadi" w:hAnsi="Abadi"/>
          <w:sz w:val="21"/>
          <w:szCs w:val="21"/>
        </w:rPr>
        <w:t xml:space="preserve"> </w:t>
      </w:r>
      <w:r w:rsidRPr="007B4E9E">
        <w:rPr>
          <w:rFonts w:ascii="Abadi" w:hAnsi="Abadi" w:cs="Arial"/>
          <w:i/>
          <w:sz w:val="21"/>
          <w:szCs w:val="21"/>
        </w:rPr>
        <w:t xml:space="preserve">que hasta el momento se cuente con una revisión integral de la aplicación de los recursos y los resultados obtenidos. </w:t>
      </w:r>
    </w:p>
    <w:p w14:paraId="39E61A89" w14:textId="77777777" w:rsidR="007B4E9E" w:rsidRPr="007B4E9E" w:rsidRDefault="007B4E9E" w:rsidP="007B4E9E">
      <w:pPr>
        <w:spacing w:before="188"/>
        <w:ind w:left="709" w:right="161"/>
        <w:jc w:val="both"/>
        <w:rPr>
          <w:rFonts w:ascii="Abadi" w:hAnsi="Abadi" w:cs="Arial"/>
          <w:i/>
          <w:sz w:val="21"/>
          <w:szCs w:val="21"/>
        </w:rPr>
      </w:pPr>
      <w:r w:rsidRPr="007B4E9E">
        <w:rPr>
          <w:rFonts w:ascii="Abadi" w:hAnsi="Abadi" w:cs="Arial"/>
          <w:i/>
          <w:sz w:val="21"/>
          <w:szCs w:val="21"/>
        </w:rPr>
        <w:t>Al respecto, una auditoría como la que se pretende se lleve a cabo, permitiría conocer a este Congreso cuál fue el manejo que durante todos esos años se le dio a los recursos públicos encomendados para el funcionamiento del Instituto y en su caso si el ex funcionario responsable de ese manejo actuó de acuerdo con los valores que exige el servicio público.</w:t>
      </w:r>
    </w:p>
    <w:p w14:paraId="4B94DACD" w14:textId="77777777" w:rsidR="007B4E9E" w:rsidRPr="007B4E9E" w:rsidRDefault="007B4E9E" w:rsidP="007B4E9E">
      <w:pPr>
        <w:spacing w:before="188"/>
        <w:ind w:left="709" w:right="161"/>
        <w:jc w:val="both"/>
        <w:rPr>
          <w:rFonts w:ascii="Abadi" w:hAnsi="Abadi"/>
          <w:sz w:val="21"/>
          <w:szCs w:val="21"/>
        </w:rPr>
      </w:pPr>
    </w:p>
    <w:p w14:paraId="289ACCEE" w14:textId="77777777" w:rsidR="007B4E9E" w:rsidRPr="007B4E9E" w:rsidRDefault="007B4E9E" w:rsidP="001A28E5">
      <w:pPr>
        <w:numPr>
          <w:ilvl w:val="0"/>
          <w:numId w:val="41"/>
        </w:numPr>
        <w:jc w:val="both"/>
        <w:rPr>
          <w:rFonts w:ascii="Abadi" w:hAnsi="Abadi" w:cs="Arial"/>
          <w:b/>
          <w:bCs/>
          <w:sz w:val="21"/>
          <w:szCs w:val="21"/>
        </w:rPr>
      </w:pPr>
      <w:r w:rsidRPr="007B4E9E">
        <w:rPr>
          <w:rFonts w:ascii="Abadi" w:hAnsi="Abadi" w:cs="Arial"/>
          <w:b/>
          <w:bCs/>
          <w:sz w:val="21"/>
          <w:szCs w:val="21"/>
        </w:rPr>
        <w:t>Consideraciones de la Comisión</w:t>
      </w:r>
    </w:p>
    <w:p w14:paraId="55B493DC" w14:textId="77777777" w:rsidR="007B4E9E" w:rsidRPr="007B4E9E" w:rsidRDefault="007B4E9E" w:rsidP="007B4E9E">
      <w:pPr>
        <w:spacing w:line="360" w:lineRule="auto"/>
        <w:ind w:firstLine="708"/>
        <w:jc w:val="both"/>
        <w:rPr>
          <w:rFonts w:ascii="Abadi" w:hAnsi="Abadi" w:cs="Tahoma"/>
          <w:sz w:val="21"/>
          <w:szCs w:val="21"/>
        </w:rPr>
      </w:pPr>
    </w:p>
    <w:p w14:paraId="0B99511E" w14:textId="77777777" w:rsidR="007B4E9E" w:rsidRPr="007B4E9E" w:rsidRDefault="007B4E9E" w:rsidP="007B4E9E">
      <w:pPr>
        <w:spacing w:line="360" w:lineRule="auto"/>
        <w:ind w:firstLine="708"/>
        <w:jc w:val="both"/>
        <w:rPr>
          <w:rFonts w:ascii="Abadi" w:hAnsi="Abadi"/>
          <w:sz w:val="21"/>
          <w:szCs w:val="21"/>
          <w:lang w:val="es-MX"/>
        </w:rPr>
      </w:pPr>
      <w:r w:rsidRPr="007B4E9E">
        <w:rPr>
          <w:rFonts w:ascii="Abadi" w:hAnsi="Abadi"/>
          <w:sz w:val="21"/>
          <w:szCs w:val="21"/>
          <w:lang w:val="es-MX"/>
        </w:rPr>
        <w:t>En las consideraciones expuestas en la propuesta que se dictamina se señala la necesidad de fiscalizar los recursos asignados en su momento al Instituto de la Juventud Guanajuatense para los diversos programas destinados a la atención de las y los jóvenes del Estado.</w:t>
      </w:r>
    </w:p>
    <w:p w14:paraId="13C9987C" w14:textId="77777777" w:rsidR="007B4E9E" w:rsidRPr="007B4E9E" w:rsidRDefault="007B4E9E" w:rsidP="007B4E9E">
      <w:pPr>
        <w:spacing w:line="360" w:lineRule="auto"/>
        <w:ind w:firstLine="708"/>
        <w:jc w:val="both"/>
        <w:rPr>
          <w:rFonts w:ascii="Abadi" w:hAnsi="Abadi"/>
          <w:sz w:val="21"/>
          <w:szCs w:val="21"/>
          <w:lang w:val="es-MX"/>
        </w:rPr>
      </w:pPr>
    </w:p>
    <w:p w14:paraId="37EB8372" w14:textId="77777777" w:rsidR="007B4E9E" w:rsidRPr="007B4E9E" w:rsidRDefault="007B4E9E" w:rsidP="007B4E9E">
      <w:pPr>
        <w:spacing w:line="360" w:lineRule="auto"/>
        <w:ind w:firstLine="708"/>
        <w:jc w:val="both"/>
        <w:rPr>
          <w:rFonts w:ascii="Abadi" w:hAnsi="Abadi"/>
          <w:sz w:val="21"/>
          <w:szCs w:val="21"/>
          <w:lang w:val="es-MX"/>
        </w:rPr>
      </w:pPr>
      <w:r w:rsidRPr="007B4E9E">
        <w:rPr>
          <w:rFonts w:ascii="Abadi" w:hAnsi="Abadi" w:cs="Arial"/>
          <w:iCs/>
          <w:sz w:val="21"/>
          <w:szCs w:val="21"/>
        </w:rPr>
        <w:t xml:space="preserve">En razón de lo anterior, se propone la práctica de una auditoría </w:t>
      </w:r>
      <w:r w:rsidRPr="007B4E9E">
        <w:rPr>
          <w:rFonts w:ascii="Abadi" w:hAnsi="Abadi"/>
          <w:sz w:val="21"/>
          <w:szCs w:val="21"/>
          <w:lang w:val="es-MX"/>
        </w:rPr>
        <w:t xml:space="preserve">específica </w:t>
      </w:r>
      <w:r w:rsidRPr="007B4E9E">
        <w:rPr>
          <w:rFonts w:ascii="Abadi" w:hAnsi="Abadi" w:cs="Arial"/>
          <w:iCs/>
          <w:sz w:val="21"/>
          <w:szCs w:val="21"/>
        </w:rPr>
        <w:t>respecto a las operaciones realizadas por dicho Instituto, correspondientes al periodo comprendido entre los años 2015 al 2020</w:t>
      </w:r>
      <w:r w:rsidRPr="007B4E9E">
        <w:rPr>
          <w:rFonts w:ascii="Abadi" w:hAnsi="Abadi"/>
          <w:sz w:val="21"/>
          <w:szCs w:val="21"/>
          <w:lang w:val="es-MX"/>
        </w:rPr>
        <w:t>.</w:t>
      </w:r>
    </w:p>
    <w:p w14:paraId="611E814E" w14:textId="77777777" w:rsidR="007B4E9E" w:rsidRPr="007B4E9E" w:rsidRDefault="007B4E9E" w:rsidP="007B4E9E">
      <w:pPr>
        <w:spacing w:line="360" w:lineRule="auto"/>
        <w:ind w:firstLine="708"/>
        <w:jc w:val="both"/>
        <w:rPr>
          <w:rFonts w:ascii="Abadi" w:hAnsi="Abadi"/>
          <w:sz w:val="21"/>
          <w:szCs w:val="21"/>
          <w:lang w:val="es-MX"/>
        </w:rPr>
      </w:pPr>
    </w:p>
    <w:p w14:paraId="6A5385D2" w14:textId="77777777" w:rsidR="007B4E9E" w:rsidRPr="007B4E9E" w:rsidRDefault="007B4E9E" w:rsidP="007B4E9E">
      <w:pPr>
        <w:spacing w:line="360" w:lineRule="auto"/>
        <w:ind w:firstLine="708"/>
        <w:jc w:val="both"/>
        <w:rPr>
          <w:rFonts w:ascii="Abadi" w:hAnsi="Abadi" w:cs="Tahoma"/>
          <w:sz w:val="21"/>
          <w:szCs w:val="21"/>
        </w:rPr>
      </w:pPr>
      <w:r w:rsidRPr="007B4E9E">
        <w:rPr>
          <w:rFonts w:ascii="Abadi" w:hAnsi="Abadi"/>
          <w:sz w:val="21"/>
          <w:szCs w:val="21"/>
          <w:lang w:val="es-MX"/>
        </w:rPr>
        <w:t xml:space="preserve"> </w:t>
      </w:r>
      <w:r w:rsidRPr="007B4E9E">
        <w:rPr>
          <w:rFonts w:ascii="Abadi" w:hAnsi="Abadi" w:cs="Tahoma"/>
          <w:sz w:val="21"/>
          <w:szCs w:val="21"/>
        </w:rPr>
        <w:t xml:space="preserve">En tal sentido, quienes integramos esta Comisión consideramos que la vigilancia y el control del ejercicio de los recursos públicos encomendados a los sujetos de fiscalización es una de las funciones primordiales que tiene el Poder Legislativo como responsable originario de esa función de control. </w:t>
      </w:r>
    </w:p>
    <w:p w14:paraId="2141A621" w14:textId="77777777" w:rsidR="007B4E9E" w:rsidRPr="007B4E9E" w:rsidRDefault="007B4E9E" w:rsidP="007B4E9E">
      <w:pPr>
        <w:spacing w:line="360" w:lineRule="auto"/>
        <w:ind w:firstLine="720"/>
        <w:jc w:val="both"/>
        <w:rPr>
          <w:rFonts w:ascii="Abadi" w:hAnsi="Abadi" w:cs="Tahoma"/>
          <w:sz w:val="21"/>
          <w:szCs w:val="21"/>
        </w:rPr>
      </w:pPr>
    </w:p>
    <w:p w14:paraId="6E8EF57C" w14:textId="77777777" w:rsidR="007B4E9E" w:rsidRPr="007B4E9E" w:rsidRDefault="007B4E9E" w:rsidP="007B4E9E">
      <w:pPr>
        <w:spacing w:line="360" w:lineRule="auto"/>
        <w:ind w:firstLine="720"/>
        <w:jc w:val="both"/>
        <w:rPr>
          <w:rFonts w:ascii="Abadi" w:hAnsi="Abadi" w:cs="Tahoma"/>
          <w:sz w:val="21"/>
          <w:szCs w:val="21"/>
        </w:rPr>
      </w:pPr>
      <w:r w:rsidRPr="007B4E9E">
        <w:rPr>
          <w:rFonts w:ascii="Abadi" w:hAnsi="Abadi" w:cs="Tahoma"/>
          <w:sz w:val="21"/>
          <w:szCs w:val="21"/>
        </w:rPr>
        <w:t>La administración, ejercicio, aplicación y control de los recursos públicos deben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w:t>
      </w:r>
    </w:p>
    <w:p w14:paraId="7D6C8A68" w14:textId="77777777" w:rsidR="007B4E9E" w:rsidRPr="007B4E9E" w:rsidRDefault="007B4E9E" w:rsidP="007B4E9E">
      <w:pPr>
        <w:spacing w:line="360" w:lineRule="auto"/>
        <w:jc w:val="both"/>
        <w:rPr>
          <w:rFonts w:ascii="Abadi" w:hAnsi="Abadi" w:cs="Tahoma"/>
          <w:sz w:val="21"/>
          <w:szCs w:val="21"/>
        </w:rPr>
      </w:pPr>
      <w:r w:rsidRPr="007B4E9E">
        <w:rPr>
          <w:rFonts w:ascii="Abadi" w:hAnsi="Abadi" w:cs="Tahoma"/>
          <w:sz w:val="21"/>
          <w:szCs w:val="21"/>
        </w:rPr>
        <w:tab/>
      </w:r>
    </w:p>
    <w:p w14:paraId="4806BB6E" w14:textId="77777777" w:rsidR="007B4E9E" w:rsidRPr="007B4E9E" w:rsidRDefault="007B4E9E" w:rsidP="007B4E9E">
      <w:pPr>
        <w:spacing w:line="360" w:lineRule="auto"/>
        <w:ind w:firstLine="708"/>
        <w:jc w:val="both"/>
        <w:rPr>
          <w:rFonts w:ascii="Abadi" w:hAnsi="Abadi" w:cs="Tahoma"/>
          <w:sz w:val="21"/>
          <w:szCs w:val="21"/>
        </w:rPr>
      </w:pPr>
      <w:r w:rsidRPr="007B4E9E">
        <w:rPr>
          <w:rFonts w:ascii="Abadi" w:hAnsi="Abadi" w:cs="Tahoma"/>
          <w:sz w:val="21"/>
          <w:szCs w:val="21"/>
        </w:rPr>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45514A58" w14:textId="77777777" w:rsidR="007B4E9E" w:rsidRPr="007B4E9E" w:rsidRDefault="007B4E9E" w:rsidP="007B4E9E">
      <w:pPr>
        <w:spacing w:line="360" w:lineRule="auto"/>
        <w:jc w:val="both"/>
        <w:rPr>
          <w:rFonts w:ascii="Abadi" w:hAnsi="Abadi" w:cs="Tahoma"/>
          <w:sz w:val="21"/>
          <w:szCs w:val="21"/>
        </w:rPr>
      </w:pPr>
    </w:p>
    <w:p w14:paraId="5A9DF493" w14:textId="77777777" w:rsidR="007B4E9E" w:rsidRPr="007B4E9E" w:rsidRDefault="007B4E9E" w:rsidP="007B4E9E">
      <w:pPr>
        <w:spacing w:line="360" w:lineRule="auto"/>
        <w:jc w:val="both"/>
        <w:rPr>
          <w:rFonts w:ascii="Abadi" w:hAnsi="Abadi" w:cs="Tahoma"/>
          <w:sz w:val="21"/>
          <w:szCs w:val="21"/>
        </w:rPr>
      </w:pPr>
      <w:r w:rsidRPr="007B4E9E">
        <w:rPr>
          <w:rFonts w:ascii="Abadi" w:hAnsi="Abadi" w:cs="Tahoma"/>
          <w:sz w:val="21"/>
          <w:szCs w:val="21"/>
        </w:rPr>
        <w:tab/>
        <w:t xml:space="preserve">El artículo 116, fracción II, sexto párrafo de la Constitución Política de los Estados Unidos </w:t>
      </w:r>
      <w:r w:rsidRPr="007B4E9E">
        <w:rPr>
          <w:rFonts w:ascii="Abadi" w:hAnsi="Abadi" w:cs="Tahoma"/>
          <w:sz w:val="21"/>
          <w:szCs w:val="21"/>
        </w:rPr>
        <w:t xml:space="preserve">Mexicanos señala que: </w:t>
      </w:r>
      <w:r w:rsidRPr="007B4E9E">
        <w:rPr>
          <w:rFonts w:ascii="Abadi" w:hAnsi="Abadi" w:cs="Tahoma"/>
          <w:i/>
          <w:sz w:val="21"/>
          <w:szCs w:val="21"/>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7B4E9E">
        <w:rPr>
          <w:rFonts w:ascii="Abadi" w:hAnsi="Abadi" w:cs="Tahoma"/>
          <w:sz w:val="21"/>
          <w:szCs w:val="21"/>
        </w:rPr>
        <w:t xml:space="preserve"> </w:t>
      </w:r>
    </w:p>
    <w:p w14:paraId="78BC86BD" w14:textId="77777777" w:rsidR="007B4E9E" w:rsidRPr="007B4E9E" w:rsidRDefault="007B4E9E" w:rsidP="007B4E9E">
      <w:pPr>
        <w:jc w:val="both"/>
        <w:rPr>
          <w:rFonts w:ascii="Abadi" w:hAnsi="Abadi" w:cs="Tahoma"/>
          <w:sz w:val="21"/>
          <w:szCs w:val="21"/>
        </w:rPr>
      </w:pPr>
    </w:p>
    <w:p w14:paraId="7389EA9B" w14:textId="77777777" w:rsidR="007B4E9E" w:rsidRPr="007B4E9E" w:rsidRDefault="007B4E9E" w:rsidP="007B4E9E">
      <w:pPr>
        <w:spacing w:line="360" w:lineRule="auto"/>
        <w:ind w:firstLine="708"/>
        <w:jc w:val="both"/>
        <w:rPr>
          <w:rFonts w:ascii="Abadi" w:hAnsi="Abadi" w:cs="Tahoma"/>
          <w:sz w:val="21"/>
          <w:szCs w:val="21"/>
        </w:rPr>
      </w:pPr>
      <w:r w:rsidRPr="007B4E9E">
        <w:rPr>
          <w:rFonts w:ascii="Abadi" w:hAnsi="Abadi" w:cs="Tahoma"/>
          <w:sz w:val="21"/>
          <w:szCs w:val="21"/>
        </w:rPr>
        <w:t xml:space="preserve">La Auditoría Superior del Estado, de conformidad con el artículo 66 de la Constitución Política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w:t>
      </w:r>
    </w:p>
    <w:p w14:paraId="0CFA3685" w14:textId="77777777" w:rsidR="007B4E9E" w:rsidRPr="007B4E9E" w:rsidRDefault="007B4E9E" w:rsidP="007B4E9E">
      <w:pPr>
        <w:spacing w:line="360" w:lineRule="auto"/>
        <w:ind w:firstLine="708"/>
        <w:jc w:val="both"/>
        <w:rPr>
          <w:rFonts w:ascii="Abadi" w:hAnsi="Abadi" w:cs="Tahoma"/>
          <w:sz w:val="21"/>
          <w:szCs w:val="21"/>
        </w:rPr>
      </w:pPr>
    </w:p>
    <w:p w14:paraId="760A49AE" w14:textId="77777777" w:rsidR="007B4E9E" w:rsidRPr="007B4E9E" w:rsidRDefault="007B4E9E" w:rsidP="007B4E9E">
      <w:pPr>
        <w:spacing w:line="360" w:lineRule="auto"/>
        <w:ind w:firstLine="720"/>
        <w:jc w:val="both"/>
        <w:rPr>
          <w:rFonts w:ascii="Abadi" w:hAnsi="Abadi" w:cs="Tahoma"/>
          <w:sz w:val="21"/>
          <w:szCs w:val="21"/>
        </w:rPr>
      </w:pPr>
      <w:r w:rsidRPr="007B4E9E">
        <w:rPr>
          <w:rFonts w:ascii="Abadi" w:hAnsi="Abadi" w:cs="Tahoma"/>
          <w:sz w:val="21"/>
          <w:szCs w:val="21"/>
        </w:rPr>
        <w:t>Las dependencias y entidades de la administración pública estatal son sujetos de la función de fiscalización del Congreso del Estado, según se desprende de los artículos 63 fracciones XVIII y XXVIII; y 66 de la Constitución Política local y 2, fracción III de la Ley de Fiscalización Superior del Estado de Guanajuato.</w:t>
      </w:r>
    </w:p>
    <w:p w14:paraId="03B98F5A" w14:textId="77777777" w:rsidR="007B4E9E" w:rsidRPr="007B4E9E" w:rsidRDefault="007B4E9E" w:rsidP="007B4E9E">
      <w:pPr>
        <w:spacing w:line="360" w:lineRule="auto"/>
        <w:ind w:firstLine="720"/>
        <w:jc w:val="both"/>
        <w:rPr>
          <w:rFonts w:ascii="Abadi" w:hAnsi="Abadi" w:cs="Tahoma"/>
          <w:sz w:val="21"/>
          <w:szCs w:val="21"/>
        </w:rPr>
      </w:pPr>
    </w:p>
    <w:p w14:paraId="00BD1BFB" w14:textId="77777777" w:rsidR="007B4E9E" w:rsidRPr="007B4E9E" w:rsidRDefault="007B4E9E" w:rsidP="007B4E9E">
      <w:pPr>
        <w:spacing w:line="360" w:lineRule="auto"/>
        <w:ind w:firstLine="720"/>
        <w:jc w:val="both"/>
        <w:rPr>
          <w:rFonts w:ascii="Abadi" w:hAnsi="Abadi" w:cs="Arial"/>
          <w:iCs/>
          <w:sz w:val="21"/>
          <w:szCs w:val="21"/>
        </w:rPr>
      </w:pPr>
      <w:r w:rsidRPr="007B4E9E">
        <w:rPr>
          <w:rFonts w:ascii="Abadi" w:hAnsi="Abadi" w:cs="Tahoma"/>
          <w:sz w:val="21"/>
          <w:szCs w:val="21"/>
        </w:rPr>
        <w:lastRenderedPageBreak/>
        <w:t xml:space="preserve">De acuerdo a lo antes señalado, coincidimos con la proponente en la </w:t>
      </w:r>
      <w:r w:rsidRPr="007B4E9E">
        <w:rPr>
          <w:rFonts w:ascii="Abadi" w:hAnsi="Abadi"/>
          <w:sz w:val="21"/>
          <w:szCs w:val="21"/>
          <w:lang w:val="es-MX"/>
        </w:rPr>
        <w:t>necesidad de fiscalizar los recursos públicos para verificar que los mismos se apliquen de conformidad con la legislación aplicable</w:t>
      </w:r>
      <w:r w:rsidRPr="007B4E9E">
        <w:rPr>
          <w:rFonts w:ascii="Abadi" w:hAnsi="Abadi" w:cs="Arial"/>
          <w:iCs/>
          <w:sz w:val="21"/>
          <w:szCs w:val="21"/>
        </w:rPr>
        <w:t>.</w:t>
      </w:r>
    </w:p>
    <w:p w14:paraId="71E72D12" w14:textId="77777777" w:rsidR="007B4E9E" w:rsidRPr="007B4E9E" w:rsidRDefault="007B4E9E" w:rsidP="007B4E9E">
      <w:pPr>
        <w:spacing w:line="360" w:lineRule="auto"/>
        <w:ind w:firstLine="720"/>
        <w:jc w:val="both"/>
        <w:rPr>
          <w:rFonts w:ascii="Abadi" w:hAnsi="Abadi" w:cs="Tahoma"/>
          <w:sz w:val="21"/>
          <w:szCs w:val="21"/>
        </w:rPr>
      </w:pPr>
    </w:p>
    <w:p w14:paraId="4CB8F0EB" w14:textId="77777777" w:rsidR="007B4E9E" w:rsidRPr="007B4E9E" w:rsidRDefault="007B4E9E" w:rsidP="007B4E9E">
      <w:pPr>
        <w:spacing w:line="360" w:lineRule="auto"/>
        <w:ind w:firstLine="720"/>
        <w:jc w:val="both"/>
        <w:rPr>
          <w:rFonts w:ascii="Abadi" w:hAnsi="Abadi" w:cs="Tahoma"/>
          <w:sz w:val="21"/>
          <w:szCs w:val="21"/>
        </w:rPr>
      </w:pPr>
      <w:r w:rsidRPr="007B4E9E">
        <w:rPr>
          <w:rFonts w:ascii="Abadi" w:hAnsi="Abadi" w:cs="Tahoma"/>
          <w:sz w:val="21"/>
          <w:szCs w:val="21"/>
        </w:rPr>
        <w:t>De la propuesta podemos desprender la pretensión de la realización de una auditoría específica con enfoque financiero y de cumplimiento al entonces denominado Instituto de la Juventud Guanajuatense, por los ejercicios fiscales de 2015, 2016, 2017, 2018, 2019 y 2020.</w:t>
      </w:r>
    </w:p>
    <w:p w14:paraId="6DFF439B" w14:textId="77777777" w:rsidR="007B4E9E" w:rsidRPr="007B4E9E" w:rsidRDefault="007B4E9E" w:rsidP="007B4E9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88" w:lineRule="auto"/>
        <w:jc w:val="both"/>
        <w:rPr>
          <w:rFonts w:ascii="Abadi" w:eastAsia="Arial" w:hAnsi="Abadi" w:cs="Arial"/>
          <w:color w:val="4A4843"/>
          <w:sz w:val="21"/>
          <w:szCs w:val="21"/>
        </w:rPr>
      </w:pPr>
    </w:p>
    <w:p w14:paraId="74D18226" w14:textId="77777777" w:rsidR="007B4E9E" w:rsidRPr="007B4E9E" w:rsidRDefault="007B4E9E" w:rsidP="007B4E9E">
      <w:pPr>
        <w:pBdr>
          <w:top w:val="nil"/>
          <w:left w:val="nil"/>
          <w:bottom w:val="nil"/>
          <w:right w:val="nil"/>
          <w:between w:val="nil"/>
        </w:pBdr>
        <w:spacing w:after="240" w:line="360" w:lineRule="auto"/>
        <w:jc w:val="both"/>
        <w:rPr>
          <w:rFonts w:ascii="Abadi" w:hAnsi="Abadi" w:cs="Tahoma"/>
          <w:sz w:val="21"/>
          <w:szCs w:val="21"/>
        </w:rPr>
      </w:pPr>
      <w:r w:rsidRPr="007B4E9E">
        <w:rPr>
          <w:rFonts w:ascii="Abadi" w:eastAsia="Arial" w:hAnsi="Abadi" w:cs="Arial"/>
          <w:color w:val="4A4843"/>
          <w:sz w:val="21"/>
          <w:szCs w:val="21"/>
        </w:rPr>
        <w:tab/>
      </w:r>
      <w:r w:rsidRPr="007B4E9E">
        <w:rPr>
          <w:rFonts w:ascii="Abadi" w:hAnsi="Abadi" w:cs="Tahoma"/>
          <w:sz w:val="21"/>
          <w:szCs w:val="21"/>
        </w:rPr>
        <w:t xml:space="preserve">En la información proporcionada por la Auditoría Superior del Estado, se señala que durante los ejercicios fiscales de 2015, 2016, 2017, 2018 y 2020, el Instituto de la Juventud Guanajuatense no fue sujeto a revisión bajo procedimientos sustantivos por parte de dicho órgano técnico, en razón de la selección y revisión de los riesgos aplicados; refiriendo que los análisis realizados en planeación están vinculados con la generalidad del sujeto fiscalizado, los sistemas transaccionales, de control interno, de materialidad presupuestal, de visibilidad y relevancia, así como de posibles riesgos asociados, entre los que destacan:  Actas de órgano de gobierno y adquisiciones, notas periodísticas, publicaciones en el Periódico Oficial de Gobierno del Estado, análisis de demandas, informes de auditoría emitidos por Órganos Internos de Control, auditorías externas y por la propia Auditoría Superior del Estado, sistemas transaccionales (Tesorería, ingresos, bienes muebles e inmuebles, servicios personales, ayudas y subsidios, deuda, entre otros); </w:t>
      </w:r>
      <w:r w:rsidRPr="007B4E9E">
        <w:rPr>
          <w:rFonts w:ascii="Abadi" w:hAnsi="Abadi" w:cs="Tahoma"/>
          <w:sz w:val="21"/>
          <w:szCs w:val="21"/>
        </w:rPr>
        <w:t>variaciones presupuestales, saldos de cuenta de balance y resultados, bancos, proveedores y contratistas, enajenación y adquisición de bienes muebles e inmuebles, procesamiento de CFDI (XML). La realización de dichos análisis contempla la generalidad de las diversas unidades responsables en el Poder Ejecutivo, incluyendo al propio Instituto de la Juventud Guanajuatense.</w:t>
      </w:r>
    </w:p>
    <w:p w14:paraId="247ADAED" w14:textId="77777777" w:rsidR="007B4E9E" w:rsidRPr="007B4E9E" w:rsidRDefault="007B4E9E" w:rsidP="007B4E9E">
      <w:pPr>
        <w:pBdr>
          <w:top w:val="nil"/>
          <w:left w:val="nil"/>
          <w:bottom w:val="nil"/>
          <w:right w:val="nil"/>
          <w:between w:val="nil"/>
        </w:pBdr>
        <w:spacing w:after="240" w:line="360" w:lineRule="auto"/>
        <w:ind w:firstLine="708"/>
        <w:jc w:val="both"/>
        <w:rPr>
          <w:rFonts w:ascii="Abadi" w:eastAsia="Arial" w:hAnsi="Abadi" w:cs="Arial"/>
          <w:color w:val="4A4843"/>
          <w:sz w:val="21"/>
          <w:szCs w:val="21"/>
        </w:rPr>
      </w:pPr>
      <w:r w:rsidRPr="007B4E9E">
        <w:rPr>
          <w:rFonts w:ascii="Abadi" w:eastAsia="Arial" w:hAnsi="Abadi" w:cs="Arial"/>
          <w:color w:val="4A4843"/>
          <w:sz w:val="21"/>
          <w:szCs w:val="21"/>
        </w:rPr>
        <w:t>Por lo que respecta al ejercicio fiscal de 2019, se incluyó en la revisión de la cuenta Pública del Poder Ejecutivo del Estado al Instituto de la Juventud Guanajuatense con el siguiente alcance: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1113"/>
        <w:gridCol w:w="1157"/>
        <w:gridCol w:w="1157"/>
      </w:tblGrid>
      <w:tr w:rsidR="007B4E9E" w:rsidRPr="007B4E9E" w14:paraId="7A8AD421" w14:textId="77777777" w:rsidTr="004E6068">
        <w:trPr>
          <w:jc w:val="center"/>
        </w:trPr>
        <w:tc>
          <w:tcPr>
            <w:tcW w:w="1271" w:type="dxa"/>
            <w:shd w:val="clear" w:color="auto" w:fill="auto"/>
          </w:tcPr>
          <w:p w14:paraId="182D77F6" w14:textId="77777777" w:rsidR="007B4E9E" w:rsidRPr="007B4E9E" w:rsidRDefault="007B4E9E" w:rsidP="007B4E9E">
            <w:pPr>
              <w:jc w:val="center"/>
              <w:rPr>
                <w:rFonts w:ascii="Abadi" w:hAnsi="Abadi"/>
                <w:b/>
                <w:sz w:val="21"/>
                <w:szCs w:val="21"/>
                <w:lang w:val="es-MX" w:eastAsia="en-US"/>
              </w:rPr>
            </w:pPr>
            <w:r w:rsidRPr="007B4E9E">
              <w:rPr>
                <w:rFonts w:ascii="Abadi" w:hAnsi="Abadi"/>
                <w:b/>
                <w:sz w:val="21"/>
                <w:szCs w:val="21"/>
                <w:lang w:val="es-MX" w:eastAsia="en-US"/>
              </w:rPr>
              <w:t>Ejercicio</w:t>
            </w:r>
          </w:p>
        </w:tc>
        <w:tc>
          <w:tcPr>
            <w:tcW w:w="3404" w:type="dxa"/>
            <w:shd w:val="clear" w:color="auto" w:fill="auto"/>
          </w:tcPr>
          <w:p w14:paraId="235FE53F" w14:textId="77777777" w:rsidR="007B4E9E" w:rsidRPr="007B4E9E" w:rsidRDefault="007B4E9E" w:rsidP="007B4E9E">
            <w:pPr>
              <w:jc w:val="center"/>
              <w:rPr>
                <w:rFonts w:ascii="Abadi" w:hAnsi="Abadi"/>
                <w:b/>
                <w:sz w:val="21"/>
                <w:szCs w:val="21"/>
                <w:lang w:val="es-MX" w:eastAsia="en-US"/>
              </w:rPr>
            </w:pPr>
            <w:r w:rsidRPr="007B4E9E">
              <w:rPr>
                <w:rFonts w:ascii="Abadi" w:hAnsi="Abadi"/>
                <w:b/>
                <w:sz w:val="21"/>
                <w:szCs w:val="21"/>
                <w:lang w:val="es-MX" w:eastAsia="en-US"/>
              </w:rPr>
              <w:t>Tipo de Revisión</w:t>
            </w:r>
          </w:p>
          <w:p w14:paraId="30EA634D" w14:textId="77777777" w:rsidR="007B4E9E" w:rsidRPr="007B4E9E" w:rsidRDefault="007B4E9E" w:rsidP="007B4E9E">
            <w:pPr>
              <w:jc w:val="center"/>
              <w:rPr>
                <w:rFonts w:ascii="Abadi" w:hAnsi="Abadi"/>
                <w:b/>
                <w:sz w:val="21"/>
                <w:szCs w:val="21"/>
                <w:lang w:val="es-MX" w:eastAsia="en-US"/>
              </w:rPr>
            </w:pPr>
            <w:r w:rsidRPr="007B4E9E">
              <w:rPr>
                <w:rFonts w:ascii="Abadi" w:hAnsi="Abadi"/>
                <w:b/>
                <w:sz w:val="21"/>
                <w:szCs w:val="21"/>
                <w:lang w:val="es-MX" w:eastAsia="en-US"/>
              </w:rPr>
              <w:t>/Auditoría</w:t>
            </w:r>
          </w:p>
        </w:tc>
        <w:tc>
          <w:tcPr>
            <w:tcW w:w="1431" w:type="dxa"/>
            <w:shd w:val="clear" w:color="auto" w:fill="auto"/>
          </w:tcPr>
          <w:p w14:paraId="2AF04A67" w14:textId="77777777" w:rsidR="007B4E9E" w:rsidRPr="007B4E9E" w:rsidRDefault="007B4E9E" w:rsidP="007B4E9E">
            <w:pPr>
              <w:jc w:val="center"/>
              <w:rPr>
                <w:rFonts w:ascii="Abadi" w:hAnsi="Abadi"/>
                <w:b/>
                <w:sz w:val="21"/>
                <w:szCs w:val="21"/>
                <w:lang w:val="es-MX" w:eastAsia="en-US"/>
              </w:rPr>
            </w:pPr>
            <w:r w:rsidRPr="007B4E9E">
              <w:rPr>
                <w:rFonts w:ascii="Abadi" w:hAnsi="Abadi"/>
                <w:b/>
                <w:sz w:val="21"/>
                <w:szCs w:val="21"/>
                <w:lang w:val="es-MX" w:eastAsia="en-US"/>
              </w:rPr>
              <w:t>Porcentaje revisado de ingresos</w:t>
            </w:r>
          </w:p>
        </w:tc>
        <w:tc>
          <w:tcPr>
            <w:tcW w:w="1431" w:type="dxa"/>
            <w:shd w:val="clear" w:color="auto" w:fill="auto"/>
          </w:tcPr>
          <w:p w14:paraId="5F632B8E" w14:textId="77777777" w:rsidR="007B4E9E" w:rsidRPr="007B4E9E" w:rsidRDefault="007B4E9E" w:rsidP="007B4E9E">
            <w:pPr>
              <w:jc w:val="center"/>
              <w:rPr>
                <w:rFonts w:ascii="Abadi" w:hAnsi="Abadi"/>
                <w:b/>
                <w:sz w:val="21"/>
                <w:szCs w:val="21"/>
                <w:lang w:val="es-MX" w:eastAsia="en-US"/>
              </w:rPr>
            </w:pPr>
            <w:r w:rsidRPr="007B4E9E">
              <w:rPr>
                <w:rFonts w:ascii="Abadi" w:hAnsi="Abadi"/>
                <w:b/>
                <w:sz w:val="21"/>
                <w:szCs w:val="21"/>
                <w:lang w:val="es-MX" w:eastAsia="en-US"/>
              </w:rPr>
              <w:t>Porcentaje revisado de egresos</w:t>
            </w:r>
          </w:p>
        </w:tc>
      </w:tr>
      <w:tr w:rsidR="007B4E9E" w:rsidRPr="007B4E9E" w14:paraId="10913284" w14:textId="77777777" w:rsidTr="004E6068">
        <w:trPr>
          <w:jc w:val="center"/>
        </w:trPr>
        <w:tc>
          <w:tcPr>
            <w:tcW w:w="1271" w:type="dxa"/>
            <w:shd w:val="clear" w:color="auto" w:fill="auto"/>
          </w:tcPr>
          <w:p w14:paraId="3AF8E542" w14:textId="77777777" w:rsidR="007B4E9E" w:rsidRPr="007B4E9E" w:rsidRDefault="007B4E9E" w:rsidP="007B4E9E">
            <w:pPr>
              <w:jc w:val="center"/>
              <w:rPr>
                <w:rFonts w:ascii="Abadi" w:hAnsi="Abadi"/>
                <w:bCs/>
                <w:sz w:val="21"/>
                <w:szCs w:val="21"/>
                <w:lang w:val="es-MX" w:eastAsia="en-US"/>
              </w:rPr>
            </w:pPr>
            <w:r w:rsidRPr="007B4E9E">
              <w:rPr>
                <w:rFonts w:ascii="Abadi" w:hAnsi="Abadi"/>
                <w:sz w:val="21"/>
                <w:szCs w:val="21"/>
              </w:rPr>
              <w:t>2019</w:t>
            </w:r>
          </w:p>
        </w:tc>
        <w:tc>
          <w:tcPr>
            <w:tcW w:w="3404" w:type="dxa"/>
            <w:shd w:val="clear" w:color="auto" w:fill="auto"/>
            <w:vAlign w:val="center"/>
          </w:tcPr>
          <w:p w14:paraId="797FE4C6" w14:textId="77777777" w:rsidR="007B4E9E" w:rsidRPr="007B4E9E" w:rsidRDefault="007B4E9E" w:rsidP="007B4E9E">
            <w:pPr>
              <w:rPr>
                <w:rFonts w:ascii="Abadi" w:hAnsi="Abadi"/>
                <w:bCs/>
                <w:sz w:val="21"/>
                <w:szCs w:val="21"/>
                <w:lang w:val="es-MX" w:eastAsia="en-US"/>
              </w:rPr>
            </w:pPr>
            <w:r w:rsidRPr="007B4E9E">
              <w:rPr>
                <w:rFonts w:ascii="Abadi" w:hAnsi="Abadi"/>
                <w:sz w:val="21"/>
                <w:szCs w:val="21"/>
              </w:rPr>
              <w:t>Revisión de cuenta pública</w:t>
            </w:r>
          </w:p>
        </w:tc>
        <w:tc>
          <w:tcPr>
            <w:tcW w:w="1431" w:type="dxa"/>
            <w:shd w:val="clear" w:color="auto" w:fill="auto"/>
            <w:vAlign w:val="center"/>
          </w:tcPr>
          <w:p w14:paraId="3A786AEE" w14:textId="77777777" w:rsidR="007B4E9E" w:rsidRPr="007B4E9E" w:rsidRDefault="007B4E9E" w:rsidP="007B4E9E">
            <w:pPr>
              <w:jc w:val="center"/>
              <w:rPr>
                <w:rFonts w:ascii="Abadi" w:hAnsi="Abadi"/>
                <w:bCs/>
                <w:sz w:val="21"/>
                <w:szCs w:val="21"/>
                <w:lang w:val="es-MX" w:eastAsia="en-US"/>
              </w:rPr>
            </w:pPr>
            <w:r w:rsidRPr="007B4E9E">
              <w:rPr>
                <w:rFonts w:ascii="Abadi" w:hAnsi="Abadi"/>
                <w:bCs/>
                <w:sz w:val="21"/>
                <w:szCs w:val="21"/>
              </w:rPr>
              <w:t>100*</w:t>
            </w:r>
          </w:p>
        </w:tc>
        <w:tc>
          <w:tcPr>
            <w:tcW w:w="1431" w:type="dxa"/>
            <w:shd w:val="clear" w:color="auto" w:fill="auto"/>
            <w:vAlign w:val="center"/>
          </w:tcPr>
          <w:p w14:paraId="38AAEEA0" w14:textId="77777777" w:rsidR="007B4E9E" w:rsidRPr="007B4E9E" w:rsidRDefault="007B4E9E" w:rsidP="007B4E9E">
            <w:pPr>
              <w:jc w:val="center"/>
              <w:rPr>
                <w:rFonts w:ascii="Abadi" w:hAnsi="Abadi"/>
                <w:bCs/>
                <w:sz w:val="21"/>
                <w:szCs w:val="21"/>
                <w:lang w:val="es-MX" w:eastAsia="en-US"/>
              </w:rPr>
            </w:pPr>
            <w:r w:rsidRPr="007B4E9E">
              <w:rPr>
                <w:rFonts w:ascii="Abadi" w:hAnsi="Abadi"/>
                <w:bCs/>
                <w:sz w:val="21"/>
                <w:szCs w:val="21"/>
              </w:rPr>
              <w:t>70*</w:t>
            </w:r>
          </w:p>
        </w:tc>
      </w:tr>
    </w:tbl>
    <w:p w14:paraId="2D4BA2E2" w14:textId="77777777" w:rsidR="007B4E9E" w:rsidRPr="007B4E9E" w:rsidRDefault="007B4E9E" w:rsidP="007B4E9E">
      <w:pPr>
        <w:pBdr>
          <w:top w:val="nil"/>
          <w:left w:val="nil"/>
          <w:bottom w:val="nil"/>
          <w:right w:val="nil"/>
          <w:between w:val="nil"/>
        </w:pBdr>
        <w:spacing w:line="360" w:lineRule="auto"/>
        <w:ind w:firstLine="708"/>
        <w:jc w:val="both"/>
        <w:rPr>
          <w:rFonts w:ascii="Abadi" w:eastAsia="Arial" w:hAnsi="Abadi" w:cs="Arial"/>
          <w:color w:val="4A4843"/>
          <w:sz w:val="21"/>
          <w:szCs w:val="21"/>
        </w:rPr>
      </w:pPr>
    </w:p>
    <w:p w14:paraId="49B48308" w14:textId="77777777" w:rsidR="007B4E9E" w:rsidRPr="007B4E9E" w:rsidRDefault="007B4E9E" w:rsidP="007B4E9E">
      <w:pPr>
        <w:pBdr>
          <w:top w:val="nil"/>
          <w:left w:val="nil"/>
          <w:bottom w:val="nil"/>
          <w:right w:val="nil"/>
          <w:between w:val="nil"/>
        </w:pBdr>
        <w:spacing w:after="240"/>
        <w:ind w:left="993" w:hanging="142"/>
        <w:jc w:val="both"/>
        <w:rPr>
          <w:rFonts w:ascii="Abadi" w:eastAsia="Arial" w:hAnsi="Abadi" w:cs="Arial"/>
          <w:color w:val="4A4843"/>
          <w:sz w:val="21"/>
          <w:szCs w:val="21"/>
        </w:rPr>
      </w:pPr>
      <w:r w:rsidRPr="007B4E9E">
        <w:rPr>
          <w:rFonts w:ascii="Abadi" w:eastAsia="Arial" w:hAnsi="Abadi" w:cs="Arial"/>
          <w:color w:val="4A4843"/>
          <w:sz w:val="21"/>
          <w:szCs w:val="21"/>
        </w:rPr>
        <w:t>*</w:t>
      </w:r>
      <w:r w:rsidRPr="007B4E9E">
        <w:rPr>
          <w:rFonts w:ascii="Abadi" w:hAnsi="Abadi"/>
          <w:i/>
          <w:iCs/>
          <w:sz w:val="21"/>
          <w:szCs w:val="21"/>
        </w:rPr>
        <w:t>El detalle de los alcances se muestran en el Anexo 13_Alcances_Paraestatal_INJUVE del Informe de Resultados de la Revisión de Cuenta Pública 2019 del Poder Ejecutivo</w:t>
      </w:r>
    </w:p>
    <w:p w14:paraId="461CBA0B" w14:textId="313A49D9" w:rsidR="007B4E9E" w:rsidRPr="007B4E9E" w:rsidRDefault="007B4E9E" w:rsidP="00C324CE">
      <w:pPr>
        <w:spacing w:line="360" w:lineRule="auto"/>
        <w:ind w:firstLine="708"/>
        <w:jc w:val="both"/>
        <w:rPr>
          <w:rFonts w:ascii="Abadi" w:hAnsi="Abadi"/>
          <w:sz w:val="21"/>
          <w:szCs w:val="21"/>
          <w:lang w:val="es-MX" w:eastAsia="en-US"/>
        </w:rPr>
      </w:pPr>
      <w:r w:rsidRPr="007B4E9E">
        <w:rPr>
          <w:rFonts w:ascii="Abadi" w:hAnsi="Abadi"/>
          <w:sz w:val="21"/>
          <w:szCs w:val="21"/>
          <w:lang w:val="es-MX" w:eastAsia="en-US"/>
        </w:rPr>
        <w:t>Entre otros conceptos, se seleccionaron erogaciones de la cuenta 5241441000 denominada «</w:t>
      </w:r>
      <w:r w:rsidRPr="007B4E9E">
        <w:rPr>
          <w:rFonts w:ascii="Abadi" w:hAnsi="Abadi"/>
          <w:i/>
          <w:iCs/>
          <w:sz w:val="21"/>
          <w:szCs w:val="21"/>
          <w:lang w:val="es-MX" w:eastAsia="en-US"/>
        </w:rPr>
        <w:t>Ayudas Sociales a Personas</w:t>
      </w:r>
      <w:r w:rsidRPr="007B4E9E">
        <w:rPr>
          <w:rFonts w:ascii="Abadi" w:hAnsi="Abadi"/>
          <w:sz w:val="21"/>
          <w:szCs w:val="21"/>
          <w:lang w:val="es-MX" w:eastAsia="en-US"/>
        </w:rPr>
        <w:t xml:space="preserve">» del Programa </w:t>
      </w:r>
      <w:r w:rsidRPr="007B4E9E">
        <w:rPr>
          <w:rFonts w:ascii="Abadi" w:hAnsi="Abadi"/>
          <w:i/>
          <w:iCs/>
          <w:sz w:val="21"/>
          <w:szCs w:val="21"/>
          <w:lang w:val="es-MX" w:eastAsia="en-US"/>
        </w:rPr>
        <w:t>Q0300 «Desafío Joven»</w:t>
      </w:r>
      <w:r w:rsidRPr="007B4E9E">
        <w:rPr>
          <w:rFonts w:ascii="Abadi" w:hAnsi="Abadi"/>
          <w:sz w:val="21"/>
          <w:szCs w:val="21"/>
          <w:lang w:val="es-MX" w:eastAsia="en-US"/>
        </w:rPr>
        <w:t>, en el que se encuentran las siguientes vertientes: I. Impulso Joven; II. Hecho Joven; III. Espacios de Participación Juvenil; y IV. Premio Estatal de la Juventud.</w:t>
      </w:r>
    </w:p>
    <w:p w14:paraId="571A197A" w14:textId="77777777" w:rsidR="007B4E9E" w:rsidRPr="007B4E9E" w:rsidRDefault="007B4E9E" w:rsidP="007B4E9E">
      <w:pPr>
        <w:jc w:val="both"/>
        <w:rPr>
          <w:rFonts w:ascii="Abadi" w:hAnsi="Abadi"/>
          <w:sz w:val="21"/>
          <w:szCs w:val="21"/>
          <w:lang w:val="es-MX" w:eastAsia="en-US"/>
        </w:rPr>
      </w:pPr>
    </w:p>
    <w:p w14:paraId="1F50433A" w14:textId="77777777" w:rsidR="007B4E9E" w:rsidRPr="007B4E9E" w:rsidRDefault="007B4E9E" w:rsidP="007B4E9E">
      <w:pPr>
        <w:pBdr>
          <w:top w:val="nil"/>
          <w:left w:val="nil"/>
          <w:bottom w:val="nil"/>
          <w:right w:val="nil"/>
          <w:between w:val="nil"/>
        </w:pBdr>
        <w:spacing w:after="240" w:line="360" w:lineRule="auto"/>
        <w:ind w:firstLine="708"/>
        <w:jc w:val="both"/>
        <w:rPr>
          <w:rFonts w:ascii="Abadi" w:eastAsia="Calibri" w:hAnsi="Abadi"/>
          <w:bCs/>
          <w:sz w:val="21"/>
          <w:szCs w:val="21"/>
        </w:rPr>
      </w:pPr>
      <w:r w:rsidRPr="007B4E9E">
        <w:rPr>
          <w:rFonts w:ascii="Abadi" w:eastAsia="Calibri" w:hAnsi="Abadi"/>
          <w:bCs/>
          <w:sz w:val="21"/>
          <w:szCs w:val="21"/>
        </w:rPr>
        <w:t xml:space="preserve">De </w:t>
      </w:r>
      <w:r w:rsidRPr="007B4E9E">
        <w:rPr>
          <w:rFonts w:ascii="Abadi" w:hAnsi="Abadi" w:cs="Tahoma"/>
          <w:sz w:val="21"/>
          <w:szCs w:val="21"/>
        </w:rPr>
        <w:t xml:space="preserve">conformidad con lo establecido en los artículos 33 y 34 de la Ley de Fiscalización Superior del Estado de Guanajuato, no pueden fiscalizarse los conceptos de las cuentas públicas </w:t>
      </w:r>
      <w:r w:rsidRPr="007B4E9E">
        <w:rPr>
          <w:rFonts w:ascii="Abadi" w:hAnsi="Abadi" w:cs="Tahoma"/>
          <w:sz w:val="21"/>
          <w:szCs w:val="21"/>
        </w:rPr>
        <w:lastRenderedPageBreak/>
        <w:t>o realizarse auditorías, cuando excedan los cinco años previos al inicio de su revisión o práctica y que el proceso de fiscalización caduca en un plazo de cinco años, contados a partir del día siguiente de la fecha señalada para su inicio, por lo que resulta improcedente una auditoría a los ejercicio fiscales de 2015, 2016 y 2017; y respecto al ejercicio 2019 en la cuenta pública del Poder Ejecutivo del Estado se revisó el 100% de los ingresos del referido Instituto, entre otras erogaciones.</w:t>
      </w:r>
    </w:p>
    <w:p w14:paraId="652FBCBE" w14:textId="77777777" w:rsidR="007B4E9E" w:rsidRPr="007B4E9E" w:rsidRDefault="007B4E9E" w:rsidP="007B4E9E">
      <w:pPr>
        <w:pBdr>
          <w:top w:val="nil"/>
          <w:left w:val="nil"/>
          <w:bottom w:val="nil"/>
          <w:right w:val="nil"/>
          <w:between w:val="nil"/>
        </w:pBdr>
        <w:spacing w:after="240" w:line="360" w:lineRule="auto"/>
        <w:ind w:firstLine="708"/>
        <w:jc w:val="both"/>
        <w:rPr>
          <w:rFonts w:ascii="Abadi" w:eastAsia="Calibri" w:hAnsi="Abadi"/>
          <w:bCs/>
          <w:sz w:val="21"/>
          <w:szCs w:val="21"/>
        </w:rPr>
      </w:pPr>
      <w:r w:rsidRPr="007B4E9E">
        <w:rPr>
          <w:rFonts w:ascii="Abadi" w:eastAsia="Calibri" w:hAnsi="Abadi"/>
          <w:bCs/>
          <w:sz w:val="21"/>
          <w:szCs w:val="21"/>
        </w:rPr>
        <w:t xml:space="preserve"> </w:t>
      </w:r>
      <w:r w:rsidRPr="007B4E9E">
        <w:rPr>
          <w:rFonts w:ascii="Abadi" w:hAnsi="Abadi" w:cs="Tahoma"/>
          <w:sz w:val="21"/>
          <w:szCs w:val="21"/>
        </w:rPr>
        <w:t>Derivado de lo anterior y atendiendo a que</w:t>
      </w:r>
      <w:r w:rsidRPr="007B4E9E">
        <w:rPr>
          <w:rFonts w:ascii="Abadi" w:eastAsia="Calibri" w:hAnsi="Abadi"/>
          <w:bCs/>
          <w:sz w:val="21"/>
          <w:szCs w:val="21"/>
        </w:rPr>
        <w:t xml:space="preserve"> en el Programa General de Fiscalización 2022 se contemplan 272 actos de fiscalización, por lo que, de acuerdo a dicho Programa, así como al Programa Operativo Anual y la capacidad institucional instalada, la incorporación de actos de fiscalización adicionales a los ya programados, incidiría directamente en la cobertura, calidad y tiempos de la fiscalización, en detrimento del citado programa y de los actos de fiscalización previamente planificados.</w:t>
      </w:r>
    </w:p>
    <w:p w14:paraId="73CA48A7" w14:textId="03F6B143" w:rsidR="007B4E9E" w:rsidRPr="007B4E9E" w:rsidRDefault="007B4E9E" w:rsidP="00C324CE">
      <w:pPr>
        <w:spacing w:line="360" w:lineRule="auto"/>
        <w:ind w:firstLine="720"/>
        <w:jc w:val="both"/>
        <w:rPr>
          <w:rFonts w:ascii="Abadi" w:hAnsi="Abadi"/>
          <w:sz w:val="21"/>
          <w:szCs w:val="21"/>
          <w:lang w:val="es-MX" w:eastAsia="en-US"/>
        </w:rPr>
      </w:pPr>
      <w:r w:rsidRPr="007B4E9E">
        <w:rPr>
          <w:rFonts w:ascii="Abadi" w:hAnsi="Abadi" w:cs="Arial"/>
          <w:sz w:val="21"/>
          <w:szCs w:val="21"/>
        </w:rPr>
        <w:t xml:space="preserve">En razón a lo antes señalado y privilegiando la realización de los actos de fiscalización ya contemplados en el Programa General de Fiscalización de la Auditoría Superior del Estado para el presente ejercicio fiscal, mismo que consideró una planeación estratégica, así como al cumplimiento de dicho programa en tiempo y calidad de los actos programados, así como a la capacidad institucional instalada de dicho Órgano Técnico, determinamos no autorizar la realización de la auditoría propuesta, atendiendo además a que en la revisión de la cuenta pública del Poder Ejecutivo del Estado del ejercicio 2021 la Auditoría Superior del Estado </w:t>
      </w:r>
      <w:r w:rsidRPr="007B4E9E">
        <w:rPr>
          <w:rFonts w:ascii="Abadi" w:hAnsi="Abadi"/>
          <w:bCs/>
          <w:sz w:val="21"/>
          <w:szCs w:val="21"/>
        </w:rPr>
        <w:t>podrá incluir los hechos que correspondan a dicho ejercicio planteados por la proponente en la planeación y ejecución de dicha revisión</w:t>
      </w:r>
      <w:r w:rsidRPr="007B4E9E">
        <w:rPr>
          <w:rFonts w:ascii="Abadi" w:hAnsi="Abadi"/>
          <w:sz w:val="21"/>
          <w:szCs w:val="21"/>
          <w:lang w:val="es-MX" w:eastAsia="en-US"/>
        </w:rPr>
        <w:t>, lo cual se contendrá en el informe de resultados de la revisión de la citada cuenta pública.</w:t>
      </w:r>
    </w:p>
    <w:p w14:paraId="325215C5" w14:textId="77777777" w:rsidR="007B4E9E" w:rsidRPr="007B4E9E" w:rsidRDefault="007B4E9E" w:rsidP="007B4E9E">
      <w:pPr>
        <w:spacing w:line="360" w:lineRule="auto"/>
        <w:ind w:firstLine="708"/>
        <w:jc w:val="both"/>
        <w:rPr>
          <w:rFonts w:ascii="Abadi" w:hAnsi="Abadi" w:cs="Arial"/>
          <w:iCs/>
          <w:sz w:val="21"/>
          <w:szCs w:val="21"/>
        </w:rPr>
      </w:pPr>
    </w:p>
    <w:p w14:paraId="1219FE03" w14:textId="77777777" w:rsidR="007B4E9E" w:rsidRPr="007B4E9E" w:rsidRDefault="007B4E9E" w:rsidP="007B4E9E">
      <w:pPr>
        <w:spacing w:line="360" w:lineRule="auto"/>
        <w:ind w:firstLine="708"/>
        <w:jc w:val="both"/>
        <w:rPr>
          <w:rFonts w:ascii="Abadi" w:hAnsi="Abadi" w:cs="Arial"/>
          <w:iCs/>
          <w:sz w:val="21"/>
          <w:szCs w:val="21"/>
        </w:rPr>
      </w:pPr>
      <w:r w:rsidRPr="007B4E9E">
        <w:rPr>
          <w:rFonts w:ascii="Abadi" w:hAnsi="Abadi" w:cs="Arial"/>
          <w:iCs/>
          <w:sz w:val="21"/>
          <w:szCs w:val="21"/>
        </w:rPr>
        <w:t xml:space="preserve">Por lo expuesto y con fundamento en el artículo 204 de </w:t>
      </w:r>
      <w:smartTag w:uri="urn:schemas-microsoft-com:office:smarttags" w:element="PersonName">
        <w:smartTagPr>
          <w:attr w:name="ProductID" w:val="la Ley Org￡nica"/>
        </w:smartTagPr>
        <w:r w:rsidRPr="007B4E9E">
          <w:rPr>
            <w:rFonts w:ascii="Abadi" w:hAnsi="Abadi" w:cs="Arial"/>
            <w:iCs/>
            <w:sz w:val="21"/>
            <w:szCs w:val="21"/>
          </w:rPr>
          <w:t>la Ley Orgánica</w:t>
        </w:r>
      </w:smartTag>
      <w:r w:rsidRPr="007B4E9E">
        <w:rPr>
          <w:rFonts w:ascii="Abadi" w:hAnsi="Abadi" w:cs="Arial"/>
          <w:iCs/>
          <w:sz w:val="21"/>
          <w:szCs w:val="21"/>
        </w:rPr>
        <w:t xml:space="preserve"> del Poder Legislativo del Estado, sometemos a la consideración de </w:t>
      </w:r>
      <w:smartTag w:uri="urn:schemas-microsoft-com:office:smarttags" w:element="PersonName">
        <w:smartTagPr>
          <w:attr w:name="ProductID" w:val="la Asamblea"/>
        </w:smartTagPr>
        <w:r w:rsidRPr="007B4E9E">
          <w:rPr>
            <w:rFonts w:ascii="Abadi" w:hAnsi="Abadi" w:cs="Arial"/>
            <w:iCs/>
            <w:sz w:val="21"/>
            <w:szCs w:val="21"/>
          </w:rPr>
          <w:t>la Asamblea</w:t>
        </w:r>
      </w:smartTag>
      <w:r w:rsidRPr="007B4E9E">
        <w:rPr>
          <w:rFonts w:ascii="Abadi" w:hAnsi="Abadi" w:cs="Arial"/>
          <w:iCs/>
          <w:sz w:val="21"/>
          <w:szCs w:val="21"/>
        </w:rPr>
        <w:t>, la aprobación del siguiente:</w:t>
      </w:r>
    </w:p>
    <w:p w14:paraId="0A326B98" w14:textId="77777777" w:rsidR="007B4E9E" w:rsidRPr="007B4E9E" w:rsidRDefault="007B4E9E" w:rsidP="007B4E9E">
      <w:pPr>
        <w:jc w:val="center"/>
        <w:rPr>
          <w:rFonts w:ascii="Abadi" w:hAnsi="Abadi" w:cs="Arial"/>
          <w:b/>
          <w:iCs/>
          <w:sz w:val="21"/>
          <w:szCs w:val="21"/>
        </w:rPr>
      </w:pPr>
      <w:r w:rsidRPr="007B4E9E">
        <w:rPr>
          <w:rFonts w:ascii="Abadi" w:hAnsi="Abadi" w:cs="Arial"/>
          <w:b/>
          <w:iCs/>
          <w:sz w:val="21"/>
          <w:szCs w:val="21"/>
        </w:rPr>
        <w:t>A c u e r d o</w:t>
      </w:r>
    </w:p>
    <w:p w14:paraId="4B566A07" w14:textId="77777777" w:rsidR="007B4E9E" w:rsidRPr="007B4E9E" w:rsidRDefault="007B4E9E" w:rsidP="007B4E9E">
      <w:pPr>
        <w:jc w:val="center"/>
        <w:rPr>
          <w:rFonts w:ascii="Abadi" w:hAnsi="Abadi" w:cs="Arial"/>
          <w:b/>
          <w:iCs/>
          <w:sz w:val="21"/>
          <w:szCs w:val="21"/>
        </w:rPr>
      </w:pPr>
    </w:p>
    <w:p w14:paraId="4D2E7724" w14:textId="77777777" w:rsidR="007B4E9E" w:rsidRPr="007B4E9E" w:rsidRDefault="007B4E9E" w:rsidP="007B4E9E">
      <w:pPr>
        <w:spacing w:line="360" w:lineRule="auto"/>
        <w:ind w:firstLine="708"/>
        <w:jc w:val="both"/>
        <w:rPr>
          <w:rFonts w:ascii="Abadi" w:hAnsi="Abadi" w:cs="Arial"/>
          <w:sz w:val="21"/>
          <w:szCs w:val="21"/>
        </w:rPr>
      </w:pPr>
      <w:r w:rsidRPr="007B4E9E">
        <w:rPr>
          <w:rFonts w:ascii="Abadi" w:hAnsi="Abadi" w:cs="Arial"/>
          <w:b/>
          <w:iCs/>
          <w:sz w:val="21"/>
          <w:szCs w:val="21"/>
        </w:rPr>
        <w:t>Único.</w:t>
      </w:r>
      <w:r w:rsidRPr="007B4E9E">
        <w:rPr>
          <w:rFonts w:ascii="Abadi" w:hAnsi="Abadi" w:cs="Arial"/>
          <w:b/>
          <w:sz w:val="21"/>
          <w:szCs w:val="21"/>
        </w:rPr>
        <w:t xml:space="preserve"> </w:t>
      </w:r>
      <w:r w:rsidRPr="007B4E9E">
        <w:rPr>
          <w:rFonts w:ascii="Abadi" w:hAnsi="Abadi" w:cs="Arial"/>
          <w:sz w:val="21"/>
          <w:szCs w:val="21"/>
        </w:rPr>
        <w:t xml:space="preserve">Se determina improcedente la propuesta </w:t>
      </w:r>
      <w:r w:rsidRPr="007B4E9E">
        <w:rPr>
          <w:rFonts w:ascii="Abadi" w:hAnsi="Abadi"/>
          <w:sz w:val="21"/>
          <w:szCs w:val="21"/>
        </w:rPr>
        <w:t xml:space="preserve">de punto de acuerdo </w:t>
      </w:r>
      <w:r w:rsidRPr="007B4E9E">
        <w:rPr>
          <w:rFonts w:ascii="Abadi" w:eastAsia="Batang" w:hAnsi="Abadi" w:cs="Arial"/>
          <w:sz w:val="21"/>
          <w:szCs w:val="21"/>
        </w:rPr>
        <w:t xml:space="preserve">formulada </w:t>
      </w:r>
      <w:r w:rsidRPr="007B4E9E">
        <w:rPr>
          <w:rFonts w:ascii="Abadi" w:hAnsi="Abadi"/>
          <w:sz w:val="21"/>
          <w:szCs w:val="21"/>
          <w:lang w:val="es-ES_tradnl"/>
        </w:rPr>
        <w:t>por la diputada Alma Edwviges Alcaraz Hernández, integrante del Grupo Parlamentario del Partido MORENA, a efecto de ordenar a la Auditoría Superior del Estado de Guanajuato a que realice a la brevedad posible una auditoría específica respecto de todas las operaciones realizadas por el Instituto de la Juventud Guanajuatense correspondientes al periodo comprendido entre los años 2015 al 2020</w:t>
      </w:r>
      <w:r w:rsidRPr="007B4E9E">
        <w:rPr>
          <w:rFonts w:ascii="Abadi" w:hAnsi="Abadi" w:cs="Arial"/>
          <w:sz w:val="21"/>
          <w:szCs w:val="21"/>
        </w:rPr>
        <w:t>. En consecuencia, se ordena su archivo definitivo.</w:t>
      </w:r>
    </w:p>
    <w:p w14:paraId="0A9D8FCD" w14:textId="77777777" w:rsidR="007B4E9E" w:rsidRPr="007B4E9E" w:rsidRDefault="007B4E9E" w:rsidP="007B4E9E">
      <w:pPr>
        <w:spacing w:line="360" w:lineRule="auto"/>
        <w:ind w:firstLine="708"/>
        <w:jc w:val="both"/>
        <w:rPr>
          <w:rFonts w:ascii="Abadi" w:hAnsi="Abadi" w:cs="Arial"/>
          <w:sz w:val="21"/>
          <w:szCs w:val="21"/>
        </w:rPr>
      </w:pPr>
    </w:p>
    <w:p w14:paraId="59A25847" w14:textId="26387C4A" w:rsidR="007B4E9E" w:rsidRDefault="007B4E9E" w:rsidP="007B4E9E">
      <w:pPr>
        <w:spacing w:line="360" w:lineRule="auto"/>
        <w:ind w:firstLine="708"/>
        <w:jc w:val="both"/>
        <w:rPr>
          <w:rFonts w:ascii="Abadi" w:hAnsi="Abadi" w:cs="Arial"/>
          <w:sz w:val="21"/>
          <w:szCs w:val="21"/>
        </w:rPr>
      </w:pPr>
      <w:r w:rsidRPr="007B4E9E">
        <w:rPr>
          <w:rFonts w:ascii="Abadi" w:hAnsi="Abadi" w:cs="Arial"/>
          <w:sz w:val="21"/>
          <w:szCs w:val="21"/>
        </w:rPr>
        <w:t xml:space="preserve">Comuníquese el presente acuerdo al Secretario General del Congreso de Estado, para los efectos conducentes. </w:t>
      </w:r>
    </w:p>
    <w:p w14:paraId="6004F587" w14:textId="77777777" w:rsidR="00C324CE" w:rsidRPr="007B4E9E" w:rsidRDefault="00C324CE" w:rsidP="007B4E9E">
      <w:pPr>
        <w:spacing w:line="360" w:lineRule="auto"/>
        <w:ind w:firstLine="708"/>
        <w:jc w:val="both"/>
        <w:rPr>
          <w:rFonts w:ascii="Abadi" w:hAnsi="Abadi" w:cs="Arial"/>
          <w:sz w:val="21"/>
          <w:szCs w:val="21"/>
        </w:rPr>
      </w:pPr>
    </w:p>
    <w:p w14:paraId="44218D76" w14:textId="77777777" w:rsidR="007B4E9E" w:rsidRPr="007B4E9E" w:rsidRDefault="007B4E9E" w:rsidP="00C324CE">
      <w:pPr>
        <w:jc w:val="center"/>
        <w:rPr>
          <w:rFonts w:ascii="Abadi" w:hAnsi="Abadi"/>
          <w:b/>
          <w:bCs/>
          <w:sz w:val="21"/>
          <w:szCs w:val="21"/>
          <w:lang w:eastAsia="x-none"/>
        </w:rPr>
      </w:pPr>
      <w:r w:rsidRPr="007B4E9E">
        <w:rPr>
          <w:rFonts w:ascii="Abadi" w:hAnsi="Abadi"/>
          <w:b/>
          <w:bCs/>
          <w:sz w:val="21"/>
          <w:szCs w:val="21"/>
          <w:lang w:eastAsia="x-none"/>
        </w:rPr>
        <w:t>Guanajuato, Gto., 16 de junio de 2022</w:t>
      </w:r>
    </w:p>
    <w:p w14:paraId="563CB066" w14:textId="77777777" w:rsidR="007B4E9E" w:rsidRPr="007B4E9E" w:rsidRDefault="007B4E9E" w:rsidP="00C324CE">
      <w:pPr>
        <w:jc w:val="center"/>
        <w:rPr>
          <w:rFonts w:ascii="Abadi" w:hAnsi="Abadi"/>
          <w:b/>
          <w:bCs/>
          <w:sz w:val="21"/>
          <w:szCs w:val="21"/>
          <w:lang w:eastAsia="x-none"/>
        </w:rPr>
      </w:pPr>
      <w:smartTag w:uri="urn:schemas-microsoft-com:office:smarttags" w:element="PersonName">
        <w:smartTagPr>
          <w:attr w:name="ProductID" w:val="La Comisi￳n"/>
        </w:smartTagPr>
        <w:r w:rsidRPr="007B4E9E">
          <w:rPr>
            <w:rFonts w:ascii="Abadi" w:hAnsi="Abadi"/>
            <w:b/>
            <w:bCs/>
            <w:sz w:val="21"/>
            <w:szCs w:val="21"/>
            <w:lang w:eastAsia="x-none"/>
          </w:rPr>
          <w:t>La Comisión</w:t>
        </w:r>
      </w:smartTag>
      <w:r w:rsidRPr="007B4E9E">
        <w:rPr>
          <w:rFonts w:ascii="Abadi" w:hAnsi="Abadi"/>
          <w:b/>
          <w:bCs/>
          <w:sz w:val="21"/>
          <w:szCs w:val="21"/>
          <w:lang w:eastAsia="x-none"/>
        </w:rPr>
        <w:t xml:space="preserve"> de Hacienda y Fiscalización</w:t>
      </w:r>
    </w:p>
    <w:p w14:paraId="71480C4C" w14:textId="77777777" w:rsidR="007B4E9E" w:rsidRPr="007B4E9E" w:rsidRDefault="007B4E9E" w:rsidP="00C324CE">
      <w:pPr>
        <w:jc w:val="center"/>
        <w:rPr>
          <w:rFonts w:ascii="Abadi" w:hAnsi="Abadi"/>
          <w:sz w:val="21"/>
          <w:szCs w:val="21"/>
        </w:rPr>
      </w:pPr>
    </w:p>
    <w:p w14:paraId="740CB83E" w14:textId="77777777" w:rsidR="007B4E9E" w:rsidRPr="007B4E9E" w:rsidRDefault="007B4E9E" w:rsidP="00C324CE">
      <w:pPr>
        <w:jc w:val="center"/>
        <w:rPr>
          <w:rFonts w:ascii="Abadi" w:hAnsi="Abadi"/>
          <w:sz w:val="21"/>
          <w:szCs w:val="21"/>
        </w:rPr>
      </w:pPr>
    </w:p>
    <w:p w14:paraId="27050D73" w14:textId="77777777" w:rsidR="007B4E9E" w:rsidRPr="007B4E9E" w:rsidRDefault="007B4E9E" w:rsidP="00C324CE">
      <w:pPr>
        <w:jc w:val="center"/>
        <w:rPr>
          <w:rFonts w:ascii="Abadi" w:hAnsi="Abadi"/>
          <w:sz w:val="21"/>
          <w:szCs w:val="21"/>
          <w:lang w:val="es-MX"/>
        </w:rPr>
      </w:pPr>
      <w:r w:rsidRPr="007B4E9E">
        <w:rPr>
          <w:rFonts w:ascii="Abadi" w:hAnsi="Abadi"/>
          <w:b/>
          <w:sz w:val="21"/>
          <w:szCs w:val="21"/>
          <w:lang w:eastAsia="x-none"/>
        </w:rPr>
        <w:t>Diputado Víctor Manuel Zanella Huerta</w:t>
      </w:r>
    </w:p>
    <w:p w14:paraId="782B89D5" w14:textId="77777777" w:rsidR="007B4E9E" w:rsidRPr="007B4E9E" w:rsidRDefault="007B4E9E" w:rsidP="00C324CE">
      <w:pPr>
        <w:rPr>
          <w:rFonts w:ascii="Abadi" w:hAnsi="Abadi"/>
          <w:sz w:val="21"/>
          <w:szCs w:val="21"/>
          <w:lang w:eastAsia="x-none"/>
        </w:rPr>
      </w:pPr>
    </w:p>
    <w:p w14:paraId="3953A98A" w14:textId="77777777" w:rsidR="007B4E9E" w:rsidRPr="007B4E9E" w:rsidRDefault="007B4E9E" w:rsidP="00C324CE">
      <w:pPr>
        <w:jc w:val="center"/>
        <w:rPr>
          <w:rFonts w:ascii="Abadi" w:hAnsi="Abadi"/>
          <w:b/>
          <w:bCs/>
          <w:sz w:val="21"/>
          <w:szCs w:val="21"/>
          <w:lang w:eastAsia="x-none"/>
        </w:rPr>
      </w:pPr>
    </w:p>
    <w:p w14:paraId="599BE208" w14:textId="23965D0C" w:rsidR="007B4E9E" w:rsidRPr="007B4E9E" w:rsidRDefault="007B4E9E" w:rsidP="00C324CE">
      <w:pPr>
        <w:jc w:val="center"/>
        <w:rPr>
          <w:rFonts w:ascii="Abadi" w:hAnsi="Abadi"/>
          <w:b/>
          <w:sz w:val="21"/>
          <w:szCs w:val="21"/>
          <w:lang w:eastAsia="x-none"/>
        </w:rPr>
      </w:pPr>
      <w:r w:rsidRPr="007B4E9E">
        <w:rPr>
          <w:rFonts w:ascii="Abadi" w:hAnsi="Abadi"/>
          <w:b/>
          <w:sz w:val="21"/>
          <w:szCs w:val="21"/>
          <w:lang w:eastAsia="x-none"/>
        </w:rPr>
        <w:t>Diputada Ruth Noemí Tiscareño Agoitia</w:t>
      </w:r>
    </w:p>
    <w:p w14:paraId="4C3B3103" w14:textId="77777777" w:rsidR="007B4E9E" w:rsidRPr="007B4E9E" w:rsidRDefault="007B4E9E" w:rsidP="00C324CE">
      <w:pPr>
        <w:jc w:val="center"/>
        <w:rPr>
          <w:rFonts w:ascii="Abadi" w:hAnsi="Abadi"/>
          <w:b/>
          <w:sz w:val="21"/>
          <w:szCs w:val="21"/>
          <w:lang w:eastAsia="x-none"/>
        </w:rPr>
      </w:pPr>
    </w:p>
    <w:p w14:paraId="15D40D58" w14:textId="77777777" w:rsidR="007B4E9E" w:rsidRPr="007B4E9E" w:rsidRDefault="007B4E9E" w:rsidP="00C324CE">
      <w:pPr>
        <w:jc w:val="center"/>
        <w:rPr>
          <w:rFonts w:ascii="Abadi" w:hAnsi="Abadi"/>
          <w:b/>
          <w:sz w:val="21"/>
          <w:szCs w:val="21"/>
          <w:lang w:eastAsia="x-none"/>
        </w:rPr>
      </w:pPr>
    </w:p>
    <w:p w14:paraId="0310A6DD" w14:textId="5A7C54E6" w:rsidR="007B4E9E" w:rsidRPr="007B4E9E" w:rsidRDefault="007B4E9E" w:rsidP="00C324CE">
      <w:pPr>
        <w:jc w:val="center"/>
        <w:rPr>
          <w:rFonts w:ascii="Abadi" w:hAnsi="Abadi"/>
          <w:b/>
          <w:sz w:val="21"/>
          <w:szCs w:val="21"/>
          <w:lang w:eastAsia="x-none"/>
        </w:rPr>
      </w:pPr>
      <w:r w:rsidRPr="007B4E9E">
        <w:rPr>
          <w:rFonts w:ascii="Abadi" w:hAnsi="Abadi"/>
          <w:b/>
          <w:sz w:val="21"/>
          <w:szCs w:val="21"/>
          <w:lang w:eastAsia="x-none"/>
        </w:rPr>
        <w:t>Diputado Miguel Ángel Salim Alle</w:t>
      </w:r>
    </w:p>
    <w:p w14:paraId="30DE211C" w14:textId="77777777" w:rsidR="007B4E9E" w:rsidRPr="007B4E9E" w:rsidRDefault="007B4E9E" w:rsidP="00C324CE">
      <w:pPr>
        <w:jc w:val="center"/>
        <w:rPr>
          <w:rFonts w:ascii="Abadi" w:hAnsi="Abadi"/>
          <w:b/>
          <w:sz w:val="21"/>
          <w:szCs w:val="21"/>
          <w:lang w:eastAsia="x-none"/>
        </w:rPr>
      </w:pPr>
    </w:p>
    <w:p w14:paraId="54A90B2F" w14:textId="77777777" w:rsidR="007B4E9E" w:rsidRPr="007B4E9E" w:rsidRDefault="007B4E9E" w:rsidP="00C324CE">
      <w:pPr>
        <w:jc w:val="center"/>
        <w:rPr>
          <w:rFonts w:ascii="Abadi" w:hAnsi="Abadi"/>
          <w:b/>
          <w:sz w:val="21"/>
          <w:szCs w:val="21"/>
          <w:lang w:eastAsia="x-none"/>
        </w:rPr>
      </w:pPr>
    </w:p>
    <w:p w14:paraId="741EFD03" w14:textId="6ED1D697" w:rsidR="007B4E9E" w:rsidRPr="007B4E9E" w:rsidRDefault="007B4E9E" w:rsidP="00C324CE">
      <w:pPr>
        <w:jc w:val="center"/>
        <w:rPr>
          <w:rFonts w:ascii="Abadi" w:hAnsi="Abadi"/>
          <w:b/>
          <w:sz w:val="21"/>
          <w:szCs w:val="21"/>
          <w:lang w:eastAsia="x-none"/>
        </w:rPr>
      </w:pPr>
      <w:r w:rsidRPr="007B4E9E">
        <w:rPr>
          <w:rFonts w:ascii="Abadi" w:hAnsi="Abadi"/>
          <w:b/>
          <w:sz w:val="21"/>
          <w:szCs w:val="21"/>
          <w:lang w:eastAsia="x-none"/>
        </w:rPr>
        <w:t>Diputado José Alfonso Borja Pimentel</w:t>
      </w:r>
    </w:p>
    <w:p w14:paraId="63DD4E5B" w14:textId="77777777" w:rsidR="007B4E9E" w:rsidRPr="007B4E9E" w:rsidRDefault="007B4E9E" w:rsidP="00C324CE">
      <w:pPr>
        <w:jc w:val="center"/>
        <w:rPr>
          <w:rFonts w:ascii="Abadi" w:hAnsi="Abadi"/>
          <w:b/>
          <w:sz w:val="21"/>
          <w:szCs w:val="21"/>
          <w:lang w:eastAsia="x-none"/>
        </w:rPr>
      </w:pPr>
    </w:p>
    <w:p w14:paraId="3C13D30C" w14:textId="77777777" w:rsidR="007B4E9E" w:rsidRPr="007B4E9E" w:rsidRDefault="007B4E9E" w:rsidP="00C324CE">
      <w:pPr>
        <w:jc w:val="center"/>
        <w:rPr>
          <w:rFonts w:ascii="Abadi" w:hAnsi="Abadi"/>
          <w:b/>
          <w:sz w:val="21"/>
          <w:szCs w:val="21"/>
          <w:lang w:eastAsia="x-none"/>
        </w:rPr>
      </w:pPr>
    </w:p>
    <w:p w14:paraId="5A3ADA9F" w14:textId="1FE3EF33" w:rsidR="008021C6" w:rsidRPr="003B76C0" w:rsidRDefault="007B4E9E" w:rsidP="003B76C0">
      <w:pPr>
        <w:ind w:firstLine="708"/>
        <w:jc w:val="center"/>
        <w:rPr>
          <w:rFonts w:ascii="Abadi" w:hAnsi="Abadi"/>
          <w:b/>
          <w:sz w:val="21"/>
          <w:szCs w:val="21"/>
          <w:lang w:eastAsia="x-none"/>
        </w:rPr>
      </w:pPr>
      <w:r w:rsidRPr="007B4E9E">
        <w:rPr>
          <w:rFonts w:ascii="Abadi" w:hAnsi="Abadi"/>
          <w:b/>
          <w:sz w:val="21"/>
          <w:szCs w:val="21"/>
          <w:lang w:eastAsia="x-none"/>
        </w:rPr>
        <w:t>Diputada Alma Edwviges Alcaraz Hernández</w:t>
      </w:r>
    </w:p>
    <w:p w14:paraId="1606DCE7" w14:textId="205552AD" w:rsidR="00881528" w:rsidRPr="00881528" w:rsidRDefault="00881528" w:rsidP="00881528">
      <w:pPr>
        <w:tabs>
          <w:tab w:val="left" w:pos="856"/>
        </w:tabs>
        <w:kinsoku w:val="0"/>
        <w:overflowPunct w:val="0"/>
        <w:autoSpaceDE w:val="0"/>
        <w:autoSpaceDN w:val="0"/>
        <w:adjustRightInd w:val="0"/>
        <w:ind w:left="360" w:right="17"/>
        <w:jc w:val="both"/>
        <w:rPr>
          <w:rFonts w:ascii="Abadi" w:hAnsi="Abadi"/>
          <w:sz w:val="20"/>
          <w:szCs w:val="20"/>
        </w:rPr>
      </w:pPr>
    </w:p>
    <w:p w14:paraId="045178A3" w14:textId="77777777" w:rsidR="00881528" w:rsidRPr="00881528" w:rsidRDefault="00881528" w:rsidP="00881528">
      <w:pPr>
        <w:tabs>
          <w:tab w:val="left" w:pos="856"/>
        </w:tabs>
        <w:kinsoku w:val="0"/>
        <w:overflowPunct w:val="0"/>
        <w:autoSpaceDE w:val="0"/>
        <w:autoSpaceDN w:val="0"/>
        <w:adjustRightInd w:val="0"/>
        <w:ind w:left="360" w:right="17"/>
        <w:jc w:val="both"/>
        <w:rPr>
          <w:rFonts w:ascii="Abadi" w:hAnsi="Abadi"/>
          <w:b/>
          <w:bCs/>
          <w:sz w:val="20"/>
          <w:szCs w:val="20"/>
        </w:rPr>
      </w:pPr>
    </w:p>
    <w:p w14:paraId="7918C0E9" w14:textId="77777777" w:rsidR="00FE399C" w:rsidRPr="00531B12" w:rsidRDefault="00FE399C"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0"/>
          <w:sz w:val="20"/>
          <w:szCs w:val="20"/>
        </w:rPr>
        <w:t xml:space="preserve"> </w:t>
      </w:r>
      <w:r w:rsidRPr="00531B12">
        <w:rPr>
          <w:rFonts w:ascii="Abadi" w:hAnsi="Abadi"/>
          <w:b/>
          <w:bCs/>
          <w:sz w:val="20"/>
          <w:szCs w:val="20"/>
        </w:rPr>
        <w:t>EN</w:t>
      </w:r>
      <w:r w:rsidRPr="00531B12">
        <w:rPr>
          <w:rFonts w:ascii="Abadi" w:hAnsi="Abadi"/>
          <w:b/>
          <w:bCs/>
          <w:spacing w:val="10"/>
          <w:sz w:val="20"/>
          <w:szCs w:val="20"/>
        </w:rPr>
        <w:t xml:space="preserve"> </w:t>
      </w:r>
      <w:r w:rsidRPr="00531B12">
        <w:rPr>
          <w:rFonts w:ascii="Abadi" w:hAnsi="Abadi"/>
          <w:b/>
          <w:bCs/>
          <w:sz w:val="20"/>
          <w:szCs w:val="20"/>
        </w:rPr>
        <w:t>SU</w:t>
      </w:r>
      <w:r w:rsidRPr="00531B12">
        <w:rPr>
          <w:rFonts w:ascii="Abadi" w:hAnsi="Abadi"/>
          <w:b/>
          <w:bCs/>
          <w:spacing w:val="10"/>
          <w:sz w:val="20"/>
          <w:szCs w:val="20"/>
        </w:rPr>
        <w:t xml:space="preserve"> </w:t>
      </w:r>
      <w:r w:rsidRPr="00531B12">
        <w:rPr>
          <w:rFonts w:ascii="Abadi" w:hAnsi="Abadi"/>
          <w:b/>
          <w:bCs/>
          <w:sz w:val="20"/>
          <w:szCs w:val="20"/>
        </w:rPr>
        <w:t>CASO,</w:t>
      </w:r>
      <w:r w:rsidRPr="00531B12">
        <w:rPr>
          <w:rFonts w:ascii="Abadi" w:hAnsi="Abadi"/>
          <w:b/>
          <w:bCs/>
          <w:spacing w:val="10"/>
          <w:sz w:val="20"/>
          <w:szCs w:val="20"/>
        </w:rPr>
        <w:t xml:space="preserve"> </w:t>
      </w:r>
      <w:r w:rsidRPr="00531B12">
        <w:rPr>
          <w:rFonts w:ascii="Abadi" w:hAnsi="Abadi"/>
          <w:b/>
          <w:bCs/>
          <w:sz w:val="20"/>
          <w:szCs w:val="20"/>
        </w:rPr>
        <w:t>APROBACIÓN</w:t>
      </w:r>
      <w:r w:rsidRPr="00531B12">
        <w:rPr>
          <w:rFonts w:ascii="Abadi" w:hAnsi="Abadi"/>
          <w:b/>
          <w:bCs/>
          <w:spacing w:val="10"/>
          <w:sz w:val="20"/>
          <w:szCs w:val="20"/>
        </w:rPr>
        <w:t xml:space="preserve"> </w:t>
      </w:r>
      <w:r w:rsidRPr="00531B12">
        <w:rPr>
          <w:rFonts w:ascii="Abadi" w:hAnsi="Abadi"/>
          <w:b/>
          <w:bCs/>
          <w:sz w:val="20"/>
          <w:szCs w:val="20"/>
        </w:rPr>
        <w:t>DEL</w:t>
      </w:r>
      <w:r w:rsidRPr="00531B12">
        <w:rPr>
          <w:rFonts w:ascii="Abadi" w:hAnsi="Abadi"/>
          <w:b/>
          <w:bCs/>
          <w:spacing w:val="10"/>
          <w:sz w:val="20"/>
          <w:szCs w:val="20"/>
        </w:rPr>
        <w:t xml:space="preserve"> </w:t>
      </w:r>
      <w:r w:rsidRPr="00531B12">
        <w:rPr>
          <w:rFonts w:ascii="Abadi" w:hAnsi="Abadi"/>
          <w:b/>
          <w:bCs/>
          <w:sz w:val="20"/>
          <w:szCs w:val="20"/>
        </w:rPr>
        <w:t>DICTAMEN</w:t>
      </w:r>
      <w:r w:rsidRPr="00531B12">
        <w:rPr>
          <w:rFonts w:ascii="Abadi" w:hAnsi="Abadi"/>
          <w:b/>
          <w:bCs/>
          <w:spacing w:val="10"/>
          <w:sz w:val="20"/>
          <w:szCs w:val="20"/>
        </w:rPr>
        <w:t xml:space="preserve"> </w:t>
      </w:r>
      <w:r w:rsidRPr="00531B12">
        <w:rPr>
          <w:rFonts w:ascii="Abadi" w:hAnsi="Abadi"/>
          <w:b/>
          <w:bCs/>
          <w:sz w:val="20"/>
          <w:szCs w:val="20"/>
        </w:rPr>
        <w:t>SUSCRITO</w:t>
      </w:r>
      <w:r w:rsidRPr="00531B12">
        <w:rPr>
          <w:rFonts w:ascii="Abadi" w:hAnsi="Abadi"/>
          <w:b/>
          <w:bCs/>
          <w:spacing w:val="11"/>
          <w:sz w:val="20"/>
          <w:szCs w:val="20"/>
        </w:rPr>
        <w:t xml:space="preserve"> </w:t>
      </w:r>
      <w:r w:rsidRPr="00531B12">
        <w:rPr>
          <w:rFonts w:ascii="Abadi" w:hAnsi="Abadi"/>
          <w:b/>
          <w:bCs/>
          <w:sz w:val="20"/>
          <w:szCs w:val="20"/>
        </w:rPr>
        <w:t>POR</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COMISIÓN</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11"/>
          <w:sz w:val="20"/>
          <w:szCs w:val="20"/>
        </w:rPr>
        <w:t xml:space="preserve"> </w:t>
      </w:r>
      <w:r w:rsidRPr="00531B12">
        <w:rPr>
          <w:rFonts w:ascii="Abadi" w:hAnsi="Abadi"/>
          <w:b/>
          <w:bCs/>
          <w:sz w:val="20"/>
          <w:szCs w:val="20"/>
        </w:rPr>
        <w:t>HACIENDA</w:t>
      </w:r>
      <w:r w:rsidRPr="00531B12">
        <w:rPr>
          <w:rFonts w:ascii="Abadi" w:hAnsi="Abadi"/>
          <w:b/>
          <w:bCs/>
          <w:spacing w:val="-11"/>
          <w:sz w:val="20"/>
          <w:szCs w:val="20"/>
        </w:rPr>
        <w:t xml:space="preserve"> </w:t>
      </w:r>
      <w:r w:rsidRPr="00531B12">
        <w:rPr>
          <w:rFonts w:ascii="Abadi" w:hAnsi="Abadi"/>
          <w:b/>
          <w:bCs/>
          <w:sz w:val="20"/>
          <w:szCs w:val="20"/>
        </w:rPr>
        <w:t>Y</w:t>
      </w:r>
      <w:r w:rsidRPr="00531B12">
        <w:rPr>
          <w:rFonts w:ascii="Abadi" w:hAnsi="Abadi"/>
          <w:b/>
          <w:bCs/>
          <w:spacing w:val="-11"/>
          <w:sz w:val="20"/>
          <w:szCs w:val="20"/>
        </w:rPr>
        <w:t xml:space="preserve"> </w:t>
      </w:r>
      <w:r w:rsidRPr="00531B12">
        <w:rPr>
          <w:rFonts w:ascii="Abadi" w:hAnsi="Abadi"/>
          <w:b/>
          <w:bCs/>
          <w:sz w:val="20"/>
          <w:szCs w:val="20"/>
        </w:rPr>
        <w:t>FISCALIZACIÓN</w:t>
      </w:r>
      <w:r w:rsidRPr="00531B12">
        <w:rPr>
          <w:rFonts w:ascii="Abadi" w:hAnsi="Abadi"/>
          <w:b/>
          <w:bCs/>
          <w:spacing w:val="-11"/>
          <w:sz w:val="20"/>
          <w:szCs w:val="20"/>
        </w:rPr>
        <w:t xml:space="preserve"> </w:t>
      </w:r>
      <w:r w:rsidRPr="00531B12">
        <w:rPr>
          <w:rFonts w:ascii="Abadi" w:hAnsi="Abadi"/>
          <w:b/>
          <w:bCs/>
          <w:sz w:val="20"/>
          <w:szCs w:val="20"/>
        </w:rPr>
        <w:t>RELATIVO</w:t>
      </w:r>
      <w:r w:rsidRPr="00531B12">
        <w:rPr>
          <w:rFonts w:ascii="Abadi" w:hAnsi="Abadi"/>
          <w:b/>
          <w:bCs/>
          <w:spacing w:val="-11"/>
          <w:sz w:val="20"/>
          <w:szCs w:val="20"/>
        </w:rPr>
        <w:t xml:space="preserve"> </w:t>
      </w:r>
      <w:r w:rsidRPr="00531B12">
        <w:rPr>
          <w:rFonts w:ascii="Abadi" w:hAnsi="Abadi"/>
          <w:b/>
          <w:bCs/>
          <w:sz w:val="20"/>
          <w:szCs w:val="20"/>
        </w:rPr>
        <w:t>A</w:t>
      </w:r>
      <w:r w:rsidRPr="00531B12">
        <w:rPr>
          <w:rFonts w:ascii="Abadi" w:hAnsi="Abadi"/>
          <w:b/>
          <w:bCs/>
          <w:spacing w:val="-11"/>
          <w:sz w:val="20"/>
          <w:szCs w:val="20"/>
        </w:rPr>
        <w:t xml:space="preserve"> </w:t>
      </w:r>
      <w:r w:rsidRPr="00531B12">
        <w:rPr>
          <w:rFonts w:ascii="Abadi" w:hAnsi="Abadi"/>
          <w:b/>
          <w:bCs/>
          <w:sz w:val="20"/>
          <w:szCs w:val="20"/>
        </w:rPr>
        <w:t>DOS</w:t>
      </w:r>
      <w:r w:rsidRPr="00531B12">
        <w:rPr>
          <w:rFonts w:ascii="Abadi" w:hAnsi="Abadi"/>
          <w:b/>
          <w:bCs/>
          <w:spacing w:val="-11"/>
          <w:sz w:val="20"/>
          <w:szCs w:val="20"/>
        </w:rPr>
        <w:t xml:space="preserve"> </w:t>
      </w:r>
      <w:r w:rsidRPr="00531B12">
        <w:rPr>
          <w:rFonts w:ascii="Abadi" w:hAnsi="Abadi"/>
          <w:b/>
          <w:bCs/>
          <w:sz w:val="20"/>
          <w:szCs w:val="20"/>
        </w:rPr>
        <w:t>PROPUESTAS</w:t>
      </w:r>
      <w:r w:rsidRPr="00531B12">
        <w:rPr>
          <w:rFonts w:ascii="Abadi" w:hAnsi="Abadi"/>
          <w:b/>
          <w:bCs/>
          <w:spacing w:val="-11"/>
          <w:sz w:val="20"/>
          <w:szCs w:val="20"/>
        </w:rPr>
        <w:t xml:space="preserve"> </w:t>
      </w:r>
      <w:r w:rsidRPr="00531B12">
        <w:rPr>
          <w:rFonts w:ascii="Abadi" w:hAnsi="Abadi"/>
          <w:b/>
          <w:bCs/>
          <w:sz w:val="20"/>
          <w:szCs w:val="20"/>
        </w:rPr>
        <w:t>DE</w:t>
      </w:r>
      <w:r w:rsidRPr="00531B12">
        <w:rPr>
          <w:rFonts w:ascii="Abadi" w:hAnsi="Abadi"/>
          <w:b/>
          <w:bCs/>
          <w:spacing w:val="-11"/>
          <w:sz w:val="20"/>
          <w:szCs w:val="20"/>
        </w:rPr>
        <w:t xml:space="preserve"> </w:t>
      </w:r>
      <w:r w:rsidRPr="00531B12">
        <w:rPr>
          <w:rFonts w:ascii="Abadi" w:hAnsi="Abadi"/>
          <w:b/>
          <w:bCs/>
          <w:sz w:val="20"/>
          <w:szCs w:val="20"/>
        </w:rPr>
        <w:t>PUNTOS</w:t>
      </w:r>
      <w:r w:rsidRPr="00531B12">
        <w:rPr>
          <w:rFonts w:ascii="Abadi" w:hAnsi="Abadi"/>
          <w:b/>
          <w:bCs/>
          <w:spacing w:val="-11"/>
          <w:sz w:val="20"/>
          <w:szCs w:val="20"/>
        </w:rPr>
        <w:t xml:space="preserve"> </w:t>
      </w:r>
      <w:r w:rsidRPr="00531B12">
        <w:rPr>
          <w:rFonts w:ascii="Abadi" w:hAnsi="Abadi"/>
          <w:b/>
          <w:bCs/>
          <w:sz w:val="20"/>
          <w:szCs w:val="20"/>
        </w:rPr>
        <w:t>DE</w:t>
      </w:r>
      <w:r w:rsidRPr="00531B12">
        <w:rPr>
          <w:rFonts w:ascii="Abadi" w:hAnsi="Abadi"/>
          <w:b/>
          <w:bCs/>
          <w:spacing w:val="-11"/>
          <w:sz w:val="20"/>
          <w:szCs w:val="20"/>
        </w:rPr>
        <w:t xml:space="preserve"> </w:t>
      </w:r>
      <w:r w:rsidRPr="00531B12">
        <w:rPr>
          <w:rFonts w:ascii="Abadi" w:hAnsi="Abadi"/>
          <w:b/>
          <w:bCs/>
          <w:sz w:val="20"/>
          <w:szCs w:val="20"/>
        </w:rPr>
        <w:t>ACUERDO</w:t>
      </w:r>
      <w:r w:rsidRPr="00531B12">
        <w:rPr>
          <w:rFonts w:ascii="Abadi" w:hAnsi="Abadi"/>
          <w:b/>
          <w:bCs/>
          <w:spacing w:val="-2"/>
          <w:sz w:val="20"/>
          <w:szCs w:val="20"/>
        </w:rPr>
        <w:t xml:space="preserve"> </w:t>
      </w:r>
      <w:r w:rsidRPr="00531B12">
        <w:rPr>
          <w:rFonts w:ascii="Abadi" w:hAnsi="Abadi"/>
          <w:b/>
          <w:bCs/>
          <w:sz w:val="20"/>
          <w:szCs w:val="20"/>
        </w:rPr>
        <w:t>FORMULADAS,</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9"/>
          <w:sz w:val="20"/>
          <w:szCs w:val="20"/>
        </w:rPr>
        <w:t xml:space="preserve"> </w:t>
      </w:r>
      <w:r w:rsidRPr="00531B12">
        <w:rPr>
          <w:rFonts w:ascii="Abadi" w:hAnsi="Abadi"/>
          <w:b/>
          <w:bCs/>
          <w:sz w:val="20"/>
          <w:szCs w:val="20"/>
        </w:rPr>
        <w:t>PRIMERA,</w:t>
      </w:r>
      <w:r w:rsidRPr="00531B12">
        <w:rPr>
          <w:rFonts w:ascii="Abadi" w:hAnsi="Abadi"/>
          <w:b/>
          <w:bCs/>
          <w:spacing w:val="9"/>
          <w:sz w:val="20"/>
          <w:szCs w:val="20"/>
        </w:rPr>
        <w:t xml:space="preserve"> </w:t>
      </w:r>
      <w:r w:rsidRPr="00531B12">
        <w:rPr>
          <w:rFonts w:ascii="Abadi" w:hAnsi="Abadi"/>
          <w:b/>
          <w:bCs/>
          <w:sz w:val="20"/>
          <w:szCs w:val="20"/>
        </w:rPr>
        <w:t>POR</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9"/>
          <w:sz w:val="20"/>
          <w:szCs w:val="20"/>
        </w:rPr>
        <w:t xml:space="preserve"> </w:t>
      </w:r>
      <w:r w:rsidRPr="00531B12">
        <w:rPr>
          <w:rFonts w:ascii="Abadi" w:hAnsi="Abadi"/>
          <w:b/>
          <w:bCs/>
          <w:sz w:val="20"/>
          <w:szCs w:val="20"/>
        </w:rPr>
        <w:t>DIPUTADA</w:t>
      </w:r>
      <w:r w:rsidRPr="00531B12">
        <w:rPr>
          <w:rFonts w:ascii="Abadi" w:hAnsi="Abadi"/>
          <w:b/>
          <w:bCs/>
          <w:spacing w:val="9"/>
          <w:sz w:val="20"/>
          <w:szCs w:val="20"/>
        </w:rPr>
        <w:t xml:space="preserve"> </w:t>
      </w:r>
      <w:r w:rsidRPr="00531B12">
        <w:rPr>
          <w:rFonts w:ascii="Abadi" w:hAnsi="Abadi"/>
          <w:b/>
          <w:bCs/>
          <w:sz w:val="20"/>
          <w:szCs w:val="20"/>
        </w:rPr>
        <w:t>Y</w:t>
      </w:r>
      <w:r w:rsidRPr="00531B12">
        <w:rPr>
          <w:rFonts w:ascii="Abadi" w:hAnsi="Abadi"/>
          <w:b/>
          <w:bCs/>
          <w:spacing w:val="9"/>
          <w:sz w:val="20"/>
          <w:szCs w:val="20"/>
        </w:rPr>
        <w:t xml:space="preserve"> </w:t>
      </w:r>
      <w:r w:rsidRPr="00531B12">
        <w:rPr>
          <w:rFonts w:ascii="Abadi" w:hAnsi="Abadi"/>
          <w:b/>
          <w:bCs/>
          <w:sz w:val="20"/>
          <w:szCs w:val="20"/>
        </w:rPr>
        <w:t>EL</w:t>
      </w:r>
      <w:r w:rsidRPr="00531B12">
        <w:rPr>
          <w:rFonts w:ascii="Abadi" w:hAnsi="Abadi"/>
          <w:b/>
          <w:bCs/>
          <w:spacing w:val="9"/>
          <w:sz w:val="20"/>
          <w:szCs w:val="20"/>
        </w:rPr>
        <w:t xml:space="preserve"> </w:t>
      </w:r>
      <w:r w:rsidRPr="00531B12">
        <w:rPr>
          <w:rFonts w:ascii="Abadi" w:hAnsi="Abadi"/>
          <w:b/>
          <w:bCs/>
          <w:sz w:val="20"/>
          <w:szCs w:val="20"/>
        </w:rPr>
        <w:t>DIPUTADO</w:t>
      </w:r>
      <w:r w:rsidRPr="00531B12">
        <w:rPr>
          <w:rFonts w:ascii="Abadi" w:hAnsi="Abadi"/>
          <w:b/>
          <w:bCs/>
          <w:spacing w:val="9"/>
          <w:sz w:val="20"/>
          <w:szCs w:val="20"/>
        </w:rPr>
        <w:t xml:space="preserve"> </w:t>
      </w:r>
      <w:r w:rsidRPr="00531B12">
        <w:rPr>
          <w:rFonts w:ascii="Abadi" w:hAnsi="Abadi"/>
          <w:b/>
          <w:bCs/>
          <w:sz w:val="20"/>
          <w:szCs w:val="20"/>
        </w:rPr>
        <w:t>INTEGRANTES</w:t>
      </w:r>
      <w:r w:rsidRPr="00531B12">
        <w:rPr>
          <w:rFonts w:ascii="Abadi" w:hAnsi="Abadi"/>
          <w:b/>
          <w:bCs/>
          <w:spacing w:val="9"/>
          <w:sz w:val="20"/>
          <w:szCs w:val="20"/>
        </w:rPr>
        <w:t xml:space="preserve"> </w:t>
      </w:r>
      <w:r w:rsidRPr="00531B12">
        <w:rPr>
          <w:rFonts w:ascii="Abadi" w:hAnsi="Abadi"/>
          <w:b/>
          <w:bCs/>
          <w:sz w:val="20"/>
          <w:szCs w:val="20"/>
        </w:rPr>
        <w:t>DEL</w:t>
      </w:r>
      <w:r w:rsidRPr="00531B12">
        <w:rPr>
          <w:rFonts w:ascii="Abadi" w:hAnsi="Abadi"/>
          <w:b/>
          <w:bCs/>
          <w:spacing w:val="9"/>
          <w:sz w:val="20"/>
          <w:szCs w:val="20"/>
        </w:rPr>
        <w:t xml:space="preserve"> </w:t>
      </w:r>
      <w:r w:rsidRPr="00531B12">
        <w:rPr>
          <w:rFonts w:ascii="Abadi" w:hAnsi="Abadi"/>
          <w:b/>
          <w:bCs/>
          <w:sz w:val="20"/>
          <w:szCs w:val="20"/>
        </w:rPr>
        <w:t>GRUPO</w:t>
      </w:r>
      <w:r w:rsidRPr="00531B12">
        <w:rPr>
          <w:rFonts w:ascii="Abadi" w:hAnsi="Abadi"/>
          <w:b/>
          <w:bCs/>
          <w:spacing w:val="-2"/>
          <w:sz w:val="20"/>
          <w:szCs w:val="20"/>
        </w:rPr>
        <w:t xml:space="preserve"> </w:t>
      </w:r>
      <w:r w:rsidRPr="00531B12">
        <w:rPr>
          <w:rFonts w:ascii="Abadi" w:hAnsi="Abadi"/>
          <w:b/>
          <w:bCs/>
          <w:sz w:val="20"/>
          <w:szCs w:val="20"/>
        </w:rPr>
        <w:t>PARLAMENTARIO DEL PARTIDO VERDE ECOLOGISTA DE</w:t>
      </w:r>
      <w:r w:rsidRPr="00531B12">
        <w:rPr>
          <w:rFonts w:ascii="Abadi" w:hAnsi="Abadi"/>
          <w:b/>
          <w:bCs/>
          <w:spacing w:val="3"/>
          <w:sz w:val="20"/>
          <w:szCs w:val="20"/>
        </w:rPr>
        <w:t xml:space="preserve"> </w:t>
      </w:r>
      <w:r w:rsidRPr="00531B12">
        <w:rPr>
          <w:rFonts w:ascii="Abadi" w:hAnsi="Abadi"/>
          <w:b/>
          <w:bCs/>
          <w:sz w:val="20"/>
          <w:szCs w:val="20"/>
        </w:rPr>
        <w:t>MÉXICO; Y LA SEGUNDA, POR LA</w:t>
      </w:r>
      <w:r w:rsidRPr="00531B12">
        <w:rPr>
          <w:rFonts w:ascii="Abadi" w:hAnsi="Abadi"/>
          <w:b/>
          <w:bCs/>
          <w:spacing w:val="-2"/>
          <w:sz w:val="20"/>
          <w:szCs w:val="20"/>
        </w:rPr>
        <w:t xml:space="preserve"> </w:t>
      </w:r>
      <w:r w:rsidRPr="00531B12">
        <w:rPr>
          <w:rFonts w:ascii="Abadi" w:hAnsi="Abadi"/>
          <w:b/>
          <w:bCs/>
          <w:sz w:val="20"/>
          <w:szCs w:val="20"/>
        </w:rPr>
        <w:t>DIPUTADA</w:t>
      </w:r>
      <w:r w:rsidRPr="00531B12">
        <w:rPr>
          <w:rFonts w:ascii="Abadi" w:hAnsi="Abadi"/>
          <w:b/>
          <w:bCs/>
          <w:spacing w:val="36"/>
          <w:sz w:val="20"/>
          <w:szCs w:val="20"/>
        </w:rPr>
        <w:t xml:space="preserve">  </w:t>
      </w:r>
      <w:r w:rsidRPr="00531B12">
        <w:rPr>
          <w:rFonts w:ascii="Abadi" w:hAnsi="Abadi"/>
          <w:b/>
          <w:bCs/>
          <w:sz w:val="20"/>
          <w:szCs w:val="20"/>
        </w:rPr>
        <w:t>ALMA</w:t>
      </w:r>
      <w:r w:rsidRPr="00531B12">
        <w:rPr>
          <w:rFonts w:ascii="Abadi" w:hAnsi="Abadi"/>
          <w:b/>
          <w:bCs/>
          <w:spacing w:val="36"/>
          <w:sz w:val="20"/>
          <w:szCs w:val="20"/>
        </w:rPr>
        <w:t xml:space="preserve">  </w:t>
      </w:r>
      <w:r w:rsidRPr="00531B12">
        <w:rPr>
          <w:rFonts w:ascii="Abadi" w:hAnsi="Abadi"/>
          <w:b/>
          <w:bCs/>
          <w:sz w:val="20"/>
          <w:szCs w:val="20"/>
        </w:rPr>
        <w:t>EDWVIGES</w:t>
      </w:r>
      <w:r w:rsidRPr="00531B12">
        <w:rPr>
          <w:rFonts w:ascii="Abadi" w:hAnsi="Abadi"/>
          <w:b/>
          <w:bCs/>
          <w:spacing w:val="36"/>
          <w:sz w:val="20"/>
          <w:szCs w:val="20"/>
        </w:rPr>
        <w:t xml:space="preserve">  </w:t>
      </w:r>
      <w:r w:rsidRPr="00531B12">
        <w:rPr>
          <w:rFonts w:ascii="Abadi" w:hAnsi="Abadi"/>
          <w:b/>
          <w:bCs/>
          <w:sz w:val="20"/>
          <w:szCs w:val="20"/>
        </w:rPr>
        <w:t>ALCARAZ</w:t>
      </w:r>
      <w:r w:rsidRPr="00531B12">
        <w:rPr>
          <w:rFonts w:ascii="Abadi" w:hAnsi="Abadi"/>
          <w:b/>
          <w:bCs/>
          <w:spacing w:val="36"/>
          <w:sz w:val="20"/>
          <w:szCs w:val="20"/>
        </w:rPr>
        <w:t xml:space="preserve">  </w:t>
      </w:r>
      <w:r w:rsidRPr="00531B12">
        <w:rPr>
          <w:rFonts w:ascii="Abadi" w:hAnsi="Abadi"/>
          <w:b/>
          <w:bCs/>
          <w:sz w:val="20"/>
          <w:szCs w:val="20"/>
        </w:rPr>
        <w:t>HERNÁNDEZ,</w:t>
      </w:r>
      <w:r w:rsidRPr="00531B12">
        <w:rPr>
          <w:rFonts w:ascii="Abadi" w:hAnsi="Abadi"/>
          <w:b/>
          <w:bCs/>
          <w:spacing w:val="36"/>
          <w:sz w:val="20"/>
          <w:szCs w:val="20"/>
        </w:rPr>
        <w:t xml:space="preserve">  </w:t>
      </w:r>
      <w:r w:rsidRPr="00531B12">
        <w:rPr>
          <w:rFonts w:ascii="Abadi" w:hAnsi="Abadi"/>
          <w:b/>
          <w:bCs/>
          <w:sz w:val="20"/>
          <w:szCs w:val="20"/>
        </w:rPr>
        <w:t>INTEGRANTE</w:t>
      </w:r>
      <w:r w:rsidRPr="00531B12">
        <w:rPr>
          <w:rFonts w:ascii="Abadi" w:hAnsi="Abadi"/>
          <w:b/>
          <w:bCs/>
          <w:spacing w:val="36"/>
          <w:sz w:val="20"/>
          <w:szCs w:val="20"/>
        </w:rPr>
        <w:t xml:space="preserve">  </w:t>
      </w:r>
      <w:r w:rsidRPr="00531B12">
        <w:rPr>
          <w:rFonts w:ascii="Abadi" w:hAnsi="Abadi"/>
          <w:b/>
          <w:bCs/>
          <w:sz w:val="20"/>
          <w:szCs w:val="20"/>
        </w:rPr>
        <w:t>DEL</w:t>
      </w:r>
      <w:r w:rsidRPr="00531B12">
        <w:rPr>
          <w:rFonts w:ascii="Abadi" w:hAnsi="Abadi"/>
          <w:b/>
          <w:bCs/>
          <w:spacing w:val="36"/>
          <w:sz w:val="20"/>
          <w:szCs w:val="20"/>
        </w:rPr>
        <w:t xml:space="preserve">  </w:t>
      </w:r>
      <w:r w:rsidRPr="00531B12">
        <w:rPr>
          <w:rFonts w:ascii="Abadi" w:hAnsi="Abadi"/>
          <w:b/>
          <w:bCs/>
          <w:sz w:val="20"/>
          <w:szCs w:val="20"/>
        </w:rPr>
        <w:t>GRUPO</w:t>
      </w:r>
      <w:r w:rsidRPr="00531B12">
        <w:rPr>
          <w:rFonts w:ascii="Abadi" w:hAnsi="Abadi"/>
          <w:b/>
          <w:bCs/>
          <w:spacing w:val="-2"/>
          <w:sz w:val="20"/>
          <w:szCs w:val="20"/>
        </w:rPr>
        <w:t xml:space="preserve"> </w:t>
      </w:r>
      <w:r w:rsidRPr="00531B12">
        <w:rPr>
          <w:rFonts w:ascii="Abadi" w:hAnsi="Abadi"/>
          <w:b/>
          <w:bCs/>
          <w:sz w:val="20"/>
          <w:szCs w:val="20"/>
        </w:rPr>
        <w:t>PARLAMENTARIO</w:t>
      </w:r>
      <w:r w:rsidRPr="00531B12">
        <w:rPr>
          <w:rFonts w:ascii="Abadi" w:hAnsi="Abadi"/>
          <w:b/>
          <w:bCs/>
          <w:spacing w:val="34"/>
          <w:sz w:val="20"/>
          <w:szCs w:val="20"/>
        </w:rPr>
        <w:t xml:space="preserve"> </w:t>
      </w:r>
      <w:r w:rsidRPr="00531B12">
        <w:rPr>
          <w:rFonts w:ascii="Abadi" w:hAnsi="Abadi"/>
          <w:b/>
          <w:bCs/>
          <w:sz w:val="20"/>
          <w:szCs w:val="20"/>
        </w:rPr>
        <w:t>DEL</w:t>
      </w:r>
      <w:r w:rsidRPr="00531B12">
        <w:rPr>
          <w:rFonts w:ascii="Abadi" w:hAnsi="Abadi"/>
          <w:b/>
          <w:bCs/>
          <w:spacing w:val="34"/>
          <w:sz w:val="20"/>
          <w:szCs w:val="20"/>
        </w:rPr>
        <w:t xml:space="preserve"> </w:t>
      </w:r>
      <w:r w:rsidRPr="00531B12">
        <w:rPr>
          <w:rFonts w:ascii="Abadi" w:hAnsi="Abadi"/>
          <w:b/>
          <w:bCs/>
          <w:sz w:val="20"/>
          <w:szCs w:val="20"/>
        </w:rPr>
        <w:t>PARTIDO</w:t>
      </w:r>
      <w:r w:rsidRPr="00531B12">
        <w:rPr>
          <w:rFonts w:ascii="Abadi" w:hAnsi="Abadi"/>
          <w:b/>
          <w:bCs/>
          <w:spacing w:val="35"/>
          <w:sz w:val="20"/>
          <w:szCs w:val="20"/>
        </w:rPr>
        <w:t xml:space="preserve"> </w:t>
      </w:r>
      <w:r w:rsidRPr="00531B12">
        <w:rPr>
          <w:rFonts w:ascii="Abadi" w:hAnsi="Abadi"/>
          <w:b/>
          <w:bCs/>
          <w:sz w:val="20"/>
          <w:szCs w:val="20"/>
        </w:rPr>
        <w:t>MORENA,</w:t>
      </w:r>
      <w:r w:rsidRPr="00531B12">
        <w:rPr>
          <w:rFonts w:ascii="Abadi" w:hAnsi="Abadi"/>
          <w:b/>
          <w:bCs/>
          <w:spacing w:val="34"/>
          <w:sz w:val="20"/>
          <w:szCs w:val="20"/>
        </w:rPr>
        <w:t xml:space="preserve"> </w:t>
      </w:r>
      <w:r w:rsidRPr="00531B12">
        <w:rPr>
          <w:rFonts w:ascii="Abadi" w:hAnsi="Abadi"/>
          <w:b/>
          <w:bCs/>
          <w:sz w:val="20"/>
          <w:szCs w:val="20"/>
        </w:rPr>
        <w:t>AMBAS</w:t>
      </w:r>
      <w:r w:rsidRPr="00531B12">
        <w:rPr>
          <w:rFonts w:ascii="Abadi" w:hAnsi="Abadi"/>
          <w:b/>
          <w:bCs/>
          <w:spacing w:val="34"/>
          <w:sz w:val="20"/>
          <w:szCs w:val="20"/>
        </w:rPr>
        <w:t xml:space="preserve"> </w:t>
      </w:r>
      <w:r w:rsidRPr="00531B12">
        <w:rPr>
          <w:rFonts w:ascii="Abadi" w:hAnsi="Abadi"/>
          <w:b/>
          <w:bCs/>
          <w:sz w:val="20"/>
          <w:szCs w:val="20"/>
        </w:rPr>
        <w:t>A</w:t>
      </w:r>
      <w:r w:rsidRPr="00531B12">
        <w:rPr>
          <w:rFonts w:ascii="Abadi" w:hAnsi="Abadi"/>
          <w:b/>
          <w:bCs/>
          <w:spacing w:val="34"/>
          <w:sz w:val="20"/>
          <w:szCs w:val="20"/>
        </w:rPr>
        <w:t xml:space="preserve"> </w:t>
      </w:r>
      <w:r w:rsidRPr="00531B12">
        <w:rPr>
          <w:rFonts w:ascii="Abadi" w:hAnsi="Abadi"/>
          <w:b/>
          <w:bCs/>
          <w:sz w:val="20"/>
          <w:szCs w:val="20"/>
        </w:rPr>
        <w:t>EFECTO</w:t>
      </w:r>
      <w:r w:rsidRPr="00531B12">
        <w:rPr>
          <w:rFonts w:ascii="Abadi" w:hAnsi="Abadi"/>
          <w:b/>
          <w:bCs/>
          <w:spacing w:val="35"/>
          <w:sz w:val="20"/>
          <w:szCs w:val="20"/>
        </w:rPr>
        <w:t xml:space="preserve"> </w:t>
      </w:r>
      <w:r w:rsidRPr="00531B12">
        <w:rPr>
          <w:rFonts w:ascii="Abadi" w:hAnsi="Abadi"/>
          <w:b/>
          <w:bCs/>
          <w:sz w:val="20"/>
          <w:szCs w:val="20"/>
        </w:rPr>
        <w:t>DE</w:t>
      </w:r>
      <w:r w:rsidRPr="00531B12">
        <w:rPr>
          <w:rFonts w:ascii="Abadi" w:hAnsi="Abadi"/>
          <w:b/>
          <w:bCs/>
          <w:spacing w:val="34"/>
          <w:sz w:val="20"/>
          <w:szCs w:val="20"/>
        </w:rPr>
        <w:t xml:space="preserve"> </w:t>
      </w:r>
      <w:r w:rsidRPr="00531B12">
        <w:rPr>
          <w:rFonts w:ascii="Abadi" w:hAnsi="Abadi"/>
          <w:b/>
          <w:bCs/>
          <w:sz w:val="20"/>
          <w:szCs w:val="20"/>
        </w:rPr>
        <w:t>QUE</w:t>
      </w:r>
      <w:r w:rsidRPr="00531B12">
        <w:rPr>
          <w:rFonts w:ascii="Abadi" w:hAnsi="Abadi"/>
          <w:b/>
          <w:bCs/>
          <w:spacing w:val="34"/>
          <w:sz w:val="20"/>
          <w:szCs w:val="20"/>
        </w:rPr>
        <w:t xml:space="preserve"> </w:t>
      </w:r>
      <w:r w:rsidRPr="00531B12">
        <w:rPr>
          <w:rFonts w:ascii="Abadi" w:hAnsi="Abadi"/>
          <w:b/>
          <w:bCs/>
          <w:sz w:val="20"/>
          <w:szCs w:val="20"/>
        </w:rPr>
        <w:t>LA</w:t>
      </w:r>
      <w:r w:rsidRPr="00531B12">
        <w:rPr>
          <w:rFonts w:ascii="Abadi" w:hAnsi="Abadi"/>
          <w:b/>
          <w:bCs/>
          <w:spacing w:val="35"/>
          <w:sz w:val="20"/>
          <w:szCs w:val="20"/>
        </w:rPr>
        <w:t xml:space="preserve"> </w:t>
      </w:r>
      <w:r w:rsidRPr="00531B12">
        <w:rPr>
          <w:rFonts w:ascii="Abadi" w:hAnsi="Abadi"/>
          <w:b/>
          <w:bCs/>
          <w:sz w:val="20"/>
          <w:szCs w:val="20"/>
        </w:rPr>
        <w:t>AUDITORÍA</w:t>
      </w:r>
      <w:r w:rsidRPr="00531B12">
        <w:rPr>
          <w:rFonts w:ascii="Abadi" w:hAnsi="Abadi"/>
          <w:b/>
          <w:bCs/>
          <w:spacing w:val="-2"/>
          <w:sz w:val="20"/>
          <w:szCs w:val="20"/>
        </w:rPr>
        <w:t xml:space="preserve"> </w:t>
      </w:r>
      <w:r w:rsidRPr="00531B12">
        <w:rPr>
          <w:rFonts w:ascii="Abadi" w:hAnsi="Abadi"/>
          <w:b/>
          <w:bCs/>
          <w:sz w:val="20"/>
          <w:szCs w:val="20"/>
        </w:rPr>
        <w:t>SUPERIOR</w:t>
      </w:r>
      <w:r w:rsidRPr="00531B12">
        <w:rPr>
          <w:rFonts w:ascii="Abadi" w:hAnsi="Abadi"/>
          <w:b/>
          <w:bCs/>
          <w:spacing w:val="11"/>
          <w:sz w:val="20"/>
          <w:szCs w:val="20"/>
        </w:rPr>
        <w:t xml:space="preserve"> </w:t>
      </w:r>
      <w:r w:rsidRPr="00531B12">
        <w:rPr>
          <w:rFonts w:ascii="Abadi" w:hAnsi="Abadi"/>
          <w:b/>
          <w:bCs/>
          <w:sz w:val="20"/>
          <w:szCs w:val="20"/>
        </w:rPr>
        <w:t>DEL</w:t>
      </w:r>
      <w:r w:rsidRPr="00531B12">
        <w:rPr>
          <w:rFonts w:ascii="Abadi" w:hAnsi="Abadi"/>
          <w:b/>
          <w:bCs/>
          <w:spacing w:val="11"/>
          <w:sz w:val="20"/>
          <w:szCs w:val="20"/>
        </w:rPr>
        <w:t xml:space="preserve"> </w:t>
      </w:r>
      <w:r w:rsidRPr="00531B12">
        <w:rPr>
          <w:rFonts w:ascii="Abadi" w:hAnsi="Abadi"/>
          <w:b/>
          <w:bCs/>
          <w:sz w:val="20"/>
          <w:szCs w:val="20"/>
        </w:rPr>
        <w:t>ESTADO</w:t>
      </w:r>
      <w:r w:rsidRPr="00531B12">
        <w:rPr>
          <w:rFonts w:ascii="Abadi" w:hAnsi="Abadi"/>
          <w:b/>
          <w:bCs/>
          <w:spacing w:val="11"/>
          <w:sz w:val="20"/>
          <w:szCs w:val="20"/>
        </w:rPr>
        <w:t xml:space="preserve"> </w:t>
      </w:r>
      <w:r w:rsidRPr="00531B12">
        <w:rPr>
          <w:rFonts w:ascii="Abadi" w:hAnsi="Abadi"/>
          <w:b/>
          <w:bCs/>
          <w:sz w:val="20"/>
          <w:szCs w:val="20"/>
        </w:rPr>
        <w:t>DE</w:t>
      </w:r>
      <w:r w:rsidRPr="00531B12">
        <w:rPr>
          <w:rFonts w:ascii="Abadi" w:hAnsi="Abadi"/>
          <w:b/>
          <w:bCs/>
          <w:spacing w:val="12"/>
          <w:sz w:val="20"/>
          <w:szCs w:val="20"/>
        </w:rPr>
        <w:t xml:space="preserve"> </w:t>
      </w:r>
      <w:r w:rsidRPr="00531B12">
        <w:rPr>
          <w:rFonts w:ascii="Abadi" w:hAnsi="Abadi"/>
          <w:b/>
          <w:bCs/>
          <w:sz w:val="20"/>
          <w:szCs w:val="20"/>
        </w:rPr>
        <w:t>GUANAJUATO</w:t>
      </w:r>
      <w:r w:rsidRPr="00531B12">
        <w:rPr>
          <w:rFonts w:ascii="Abadi" w:hAnsi="Abadi"/>
          <w:b/>
          <w:bCs/>
          <w:spacing w:val="12"/>
          <w:sz w:val="20"/>
          <w:szCs w:val="20"/>
        </w:rPr>
        <w:t xml:space="preserve"> </w:t>
      </w:r>
      <w:r w:rsidRPr="00531B12">
        <w:rPr>
          <w:rFonts w:ascii="Abadi" w:hAnsi="Abadi"/>
          <w:b/>
          <w:bCs/>
          <w:sz w:val="20"/>
          <w:szCs w:val="20"/>
        </w:rPr>
        <w:t>LLEVE</w:t>
      </w:r>
      <w:r w:rsidRPr="00531B12">
        <w:rPr>
          <w:rFonts w:ascii="Abadi" w:hAnsi="Abadi"/>
          <w:b/>
          <w:bCs/>
          <w:spacing w:val="12"/>
          <w:sz w:val="20"/>
          <w:szCs w:val="20"/>
        </w:rPr>
        <w:t xml:space="preserve"> </w:t>
      </w:r>
      <w:r w:rsidRPr="00531B12">
        <w:rPr>
          <w:rFonts w:ascii="Abadi" w:hAnsi="Abadi"/>
          <w:b/>
          <w:bCs/>
          <w:sz w:val="20"/>
          <w:szCs w:val="20"/>
        </w:rPr>
        <w:t>A</w:t>
      </w:r>
      <w:r w:rsidRPr="00531B12">
        <w:rPr>
          <w:rFonts w:ascii="Abadi" w:hAnsi="Abadi"/>
          <w:b/>
          <w:bCs/>
          <w:spacing w:val="12"/>
          <w:sz w:val="20"/>
          <w:szCs w:val="20"/>
        </w:rPr>
        <w:t xml:space="preserve"> </w:t>
      </w:r>
      <w:r w:rsidRPr="00531B12">
        <w:rPr>
          <w:rFonts w:ascii="Abadi" w:hAnsi="Abadi"/>
          <w:b/>
          <w:bCs/>
          <w:sz w:val="20"/>
          <w:szCs w:val="20"/>
        </w:rPr>
        <w:t>CABO</w:t>
      </w:r>
      <w:r w:rsidRPr="00531B12">
        <w:rPr>
          <w:rFonts w:ascii="Abadi" w:hAnsi="Abadi"/>
          <w:b/>
          <w:bCs/>
          <w:spacing w:val="12"/>
          <w:sz w:val="20"/>
          <w:szCs w:val="20"/>
        </w:rPr>
        <w:t xml:space="preserve"> </w:t>
      </w:r>
      <w:r w:rsidRPr="00531B12">
        <w:rPr>
          <w:rFonts w:ascii="Abadi" w:hAnsi="Abadi"/>
          <w:b/>
          <w:bCs/>
          <w:sz w:val="20"/>
          <w:szCs w:val="20"/>
        </w:rPr>
        <w:t>UNA</w:t>
      </w:r>
      <w:r w:rsidRPr="00531B12">
        <w:rPr>
          <w:rFonts w:ascii="Abadi" w:hAnsi="Abadi"/>
          <w:b/>
          <w:bCs/>
          <w:spacing w:val="12"/>
          <w:sz w:val="20"/>
          <w:szCs w:val="20"/>
        </w:rPr>
        <w:t xml:space="preserve"> </w:t>
      </w:r>
      <w:r w:rsidRPr="00531B12">
        <w:rPr>
          <w:rFonts w:ascii="Abadi" w:hAnsi="Abadi"/>
          <w:b/>
          <w:bCs/>
          <w:sz w:val="20"/>
          <w:szCs w:val="20"/>
        </w:rPr>
        <w:t>AUDITORÍA</w:t>
      </w:r>
      <w:r w:rsidRPr="00531B12">
        <w:rPr>
          <w:rFonts w:ascii="Abadi" w:hAnsi="Abadi"/>
          <w:b/>
          <w:bCs/>
          <w:spacing w:val="12"/>
          <w:sz w:val="20"/>
          <w:szCs w:val="20"/>
        </w:rPr>
        <w:t xml:space="preserve"> </w:t>
      </w:r>
      <w:r w:rsidRPr="00531B12">
        <w:rPr>
          <w:rFonts w:ascii="Abadi" w:hAnsi="Abadi"/>
          <w:b/>
          <w:bCs/>
          <w:sz w:val="20"/>
          <w:szCs w:val="20"/>
        </w:rPr>
        <w:t>INTEGRAL</w:t>
      </w:r>
      <w:r w:rsidRPr="00531B12">
        <w:rPr>
          <w:rFonts w:ascii="Abadi" w:hAnsi="Abadi"/>
          <w:b/>
          <w:bCs/>
          <w:spacing w:val="11"/>
          <w:sz w:val="20"/>
          <w:szCs w:val="20"/>
        </w:rPr>
        <w:t xml:space="preserve"> </w:t>
      </w:r>
      <w:r w:rsidRPr="00531B12">
        <w:rPr>
          <w:rFonts w:ascii="Abadi" w:hAnsi="Abadi"/>
          <w:b/>
          <w:bCs/>
          <w:sz w:val="20"/>
          <w:szCs w:val="20"/>
        </w:rPr>
        <w:t>A</w:t>
      </w:r>
      <w:r w:rsidRPr="00531B12">
        <w:rPr>
          <w:rFonts w:ascii="Abadi" w:hAnsi="Abadi"/>
          <w:b/>
          <w:bCs/>
          <w:spacing w:val="12"/>
          <w:sz w:val="20"/>
          <w:szCs w:val="20"/>
        </w:rPr>
        <w:t xml:space="preserve"> </w:t>
      </w:r>
      <w:r w:rsidRPr="00531B12">
        <w:rPr>
          <w:rFonts w:ascii="Abadi" w:hAnsi="Abadi"/>
          <w:b/>
          <w:bCs/>
          <w:sz w:val="20"/>
          <w:szCs w:val="20"/>
        </w:rPr>
        <w:t>LA</w:t>
      </w:r>
      <w:r w:rsidRPr="00531B12">
        <w:rPr>
          <w:rFonts w:ascii="Abadi" w:hAnsi="Abadi"/>
          <w:b/>
          <w:bCs/>
          <w:spacing w:val="-2"/>
          <w:sz w:val="20"/>
          <w:szCs w:val="20"/>
        </w:rPr>
        <w:t xml:space="preserve"> </w:t>
      </w:r>
      <w:r w:rsidRPr="00531B12">
        <w:rPr>
          <w:rFonts w:ascii="Abadi" w:hAnsi="Abadi"/>
          <w:b/>
          <w:bCs/>
          <w:sz w:val="20"/>
          <w:szCs w:val="20"/>
        </w:rPr>
        <w:t>ADMINISTRACIÓN</w:t>
      </w:r>
      <w:r w:rsidRPr="00531B12">
        <w:rPr>
          <w:rFonts w:ascii="Abadi" w:hAnsi="Abadi"/>
          <w:b/>
          <w:bCs/>
          <w:spacing w:val="24"/>
          <w:sz w:val="20"/>
          <w:szCs w:val="20"/>
        </w:rPr>
        <w:t xml:space="preserve"> </w:t>
      </w:r>
      <w:r w:rsidRPr="00531B12">
        <w:rPr>
          <w:rFonts w:ascii="Abadi" w:hAnsi="Abadi"/>
          <w:b/>
          <w:bCs/>
          <w:sz w:val="20"/>
          <w:szCs w:val="20"/>
        </w:rPr>
        <w:t>PÚBLICA</w:t>
      </w:r>
      <w:r w:rsidRPr="00531B12">
        <w:rPr>
          <w:rFonts w:ascii="Abadi" w:hAnsi="Abadi"/>
          <w:b/>
          <w:bCs/>
          <w:spacing w:val="24"/>
          <w:sz w:val="20"/>
          <w:szCs w:val="20"/>
        </w:rPr>
        <w:t xml:space="preserve"> </w:t>
      </w:r>
      <w:r w:rsidRPr="00531B12">
        <w:rPr>
          <w:rFonts w:ascii="Abadi" w:hAnsi="Abadi"/>
          <w:b/>
          <w:bCs/>
          <w:sz w:val="20"/>
          <w:szCs w:val="20"/>
        </w:rPr>
        <w:t>MUNICIPAL</w:t>
      </w:r>
      <w:r w:rsidRPr="00531B12">
        <w:rPr>
          <w:rFonts w:ascii="Abadi" w:hAnsi="Abadi"/>
          <w:b/>
          <w:bCs/>
          <w:spacing w:val="24"/>
          <w:sz w:val="20"/>
          <w:szCs w:val="20"/>
        </w:rPr>
        <w:t xml:space="preserve"> </w:t>
      </w:r>
      <w:r w:rsidRPr="00531B12">
        <w:rPr>
          <w:rFonts w:ascii="Abadi" w:hAnsi="Abadi"/>
          <w:b/>
          <w:bCs/>
          <w:sz w:val="20"/>
          <w:szCs w:val="20"/>
        </w:rPr>
        <w:t>DE</w:t>
      </w:r>
      <w:r w:rsidRPr="00531B12">
        <w:rPr>
          <w:rFonts w:ascii="Abadi" w:hAnsi="Abadi"/>
          <w:b/>
          <w:bCs/>
          <w:spacing w:val="24"/>
          <w:sz w:val="20"/>
          <w:szCs w:val="20"/>
        </w:rPr>
        <w:t xml:space="preserve"> </w:t>
      </w:r>
      <w:r w:rsidRPr="00531B12">
        <w:rPr>
          <w:rFonts w:ascii="Abadi" w:hAnsi="Abadi"/>
          <w:b/>
          <w:bCs/>
          <w:sz w:val="20"/>
          <w:szCs w:val="20"/>
        </w:rPr>
        <w:t>LEÓN,</w:t>
      </w:r>
      <w:r w:rsidRPr="00531B12">
        <w:rPr>
          <w:rFonts w:ascii="Abadi" w:hAnsi="Abadi"/>
          <w:b/>
          <w:bCs/>
          <w:spacing w:val="24"/>
          <w:sz w:val="20"/>
          <w:szCs w:val="20"/>
        </w:rPr>
        <w:t xml:space="preserve"> </w:t>
      </w:r>
      <w:r w:rsidRPr="00531B12">
        <w:rPr>
          <w:rFonts w:ascii="Abadi" w:hAnsi="Abadi"/>
          <w:b/>
          <w:bCs/>
          <w:sz w:val="20"/>
          <w:szCs w:val="20"/>
        </w:rPr>
        <w:t>GTO.,</w:t>
      </w:r>
      <w:r w:rsidRPr="00531B12">
        <w:rPr>
          <w:rFonts w:ascii="Abadi" w:hAnsi="Abadi"/>
          <w:b/>
          <w:bCs/>
          <w:spacing w:val="24"/>
          <w:sz w:val="20"/>
          <w:szCs w:val="20"/>
        </w:rPr>
        <w:t xml:space="preserve"> </w:t>
      </w:r>
      <w:r w:rsidRPr="00531B12">
        <w:rPr>
          <w:rFonts w:ascii="Abadi" w:hAnsi="Abadi"/>
          <w:b/>
          <w:bCs/>
          <w:sz w:val="20"/>
          <w:szCs w:val="20"/>
        </w:rPr>
        <w:t>LA</w:t>
      </w:r>
      <w:r w:rsidRPr="00531B12">
        <w:rPr>
          <w:rFonts w:ascii="Abadi" w:hAnsi="Abadi"/>
          <w:b/>
          <w:bCs/>
          <w:spacing w:val="24"/>
          <w:sz w:val="20"/>
          <w:szCs w:val="20"/>
        </w:rPr>
        <w:t xml:space="preserve"> </w:t>
      </w:r>
      <w:r w:rsidRPr="00531B12">
        <w:rPr>
          <w:rFonts w:ascii="Abadi" w:hAnsi="Abadi"/>
          <w:b/>
          <w:bCs/>
          <w:sz w:val="20"/>
          <w:szCs w:val="20"/>
        </w:rPr>
        <w:t>PRIMERA,</w:t>
      </w:r>
      <w:r w:rsidRPr="00531B12">
        <w:rPr>
          <w:rFonts w:ascii="Abadi" w:hAnsi="Abadi"/>
          <w:b/>
          <w:bCs/>
          <w:spacing w:val="24"/>
          <w:sz w:val="20"/>
          <w:szCs w:val="20"/>
        </w:rPr>
        <w:t xml:space="preserve"> </w:t>
      </w:r>
      <w:r w:rsidRPr="00531B12">
        <w:rPr>
          <w:rFonts w:ascii="Abadi" w:hAnsi="Abadi"/>
          <w:b/>
          <w:bCs/>
          <w:sz w:val="20"/>
          <w:szCs w:val="20"/>
        </w:rPr>
        <w:t>POR</w:t>
      </w:r>
      <w:r w:rsidRPr="00531B12">
        <w:rPr>
          <w:rFonts w:ascii="Abadi" w:hAnsi="Abadi"/>
          <w:b/>
          <w:bCs/>
          <w:spacing w:val="24"/>
          <w:sz w:val="20"/>
          <w:szCs w:val="20"/>
        </w:rPr>
        <w:t xml:space="preserve"> </w:t>
      </w:r>
      <w:r w:rsidRPr="00531B12">
        <w:rPr>
          <w:rFonts w:ascii="Abadi" w:hAnsi="Abadi"/>
          <w:b/>
          <w:bCs/>
          <w:sz w:val="20"/>
          <w:szCs w:val="20"/>
        </w:rPr>
        <w:t>EL</w:t>
      </w:r>
      <w:r w:rsidRPr="00531B12">
        <w:rPr>
          <w:rFonts w:ascii="Abadi" w:hAnsi="Abadi"/>
          <w:b/>
          <w:bCs/>
          <w:spacing w:val="24"/>
          <w:sz w:val="20"/>
          <w:szCs w:val="20"/>
        </w:rPr>
        <w:t xml:space="preserve"> </w:t>
      </w:r>
      <w:r w:rsidRPr="00531B12">
        <w:rPr>
          <w:rFonts w:ascii="Abadi" w:hAnsi="Abadi"/>
          <w:b/>
          <w:bCs/>
          <w:sz w:val="20"/>
          <w:szCs w:val="20"/>
        </w:rPr>
        <w:t>PERIODO</w:t>
      </w:r>
      <w:r w:rsidRPr="00531B12">
        <w:rPr>
          <w:rFonts w:ascii="Abadi" w:hAnsi="Abadi"/>
          <w:b/>
          <w:bCs/>
          <w:spacing w:val="-2"/>
          <w:sz w:val="20"/>
          <w:szCs w:val="20"/>
        </w:rPr>
        <w:t xml:space="preserve"> </w:t>
      </w:r>
      <w:r w:rsidRPr="00531B12">
        <w:rPr>
          <w:rFonts w:ascii="Abadi" w:hAnsi="Abadi"/>
          <w:b/>
          <w:bCs/>
          <w:sz w:val="20"/>
          <w:szCs w:val="20"/>
        </w:rPr>
        <w:t>COMPRENDIDO</w:t>
      </w:r>
      <w:r w:rsidRPr="00531B12">
        <w:rPr>
          <w:rFonts w:ascii="Abadi" w:hAnsi="Abadi"/>
          <w:b/>
          <w:bCs/>
          <w:spacing w:val="11"/>
          <w:sz w:val="20"/>
          <w:szCs w:val="20"/>
        </w:rPr>
        <w:t xml:space="preserve"> </w:t>
      </w:r>
      <w:r w:rsidRPr="00531B12">
        <w:rPr>
          <w:rFonts w:ascii="Abadi" w:hAnsi="Abadi"/>
          <w:b/>
          <w:bCs/>
          <w:sz w:val="20"/>
          <w:szCs w:val="20"/>
        </w:rPr>
        <w:t>DE</w:t>
      </w:r>
      <w:r w:rsidRPr="00531B12">
        <w:rPr>
          <w:rFonts w:ascii="Abadi" w:hAnsi="Abadi"/>
          <w:b/>
          <w:bCs/>
          <w:spacing w:val="11"/>
          <w:sz w:val="20"/>
          <w:szCs w:val="20"/>
        </w:rPr>
        <w:t xml:space="preserve"> </w:t>
      </w:r>
      <w:r w:rsidRPr="00531B12">
        <w:rPr>
          <w:rFonts w:ascii="Abadi" w:hAnsi="Abadi"/>
          <w:b/>
          <w:bCs/>
          <w:sz w:val="20"/>
          <w:szCs w:val="20"/>
        </w:rPr>
        <w:t>OCTUBRE</w:t>
      </w:r>
      <w:r w:rsidRPr="00531B12">
        <w:rPr>
          <w:rFonts w:ascii="Abadi" w:hAnsi="Abadi"/>
          <w:b/>
          <w:bCs/>
          <w:spacing w:val="11"/>
          <w:sz w:val="20"/>
          <w:szCs w:val="20"/>
        </w:rPr>
        <w:t xml:space="preserve"> </w:t>
      </w:r>
      <w:r w:rsidRPr="00531B12">
        <w:rPr>
          <w:rFonts w:ascii="Abadi" w:hAnsi="Abadi"/>
          <w:b/>
          <w:bCs/>
          <w:sz w:val="20"/>
          <w:szCs w:val="20"/>
        </w:rPr>
        <w:t>DE</w:t>
      </w:r>
      <w:r w:rsidRPr="00531B12">
        <w:rPr>
          <w:rFonts w:ascii="Abadi" w:hAnsi="Abadi"/>
          <w:b/>
          <w:bCs/>
          <w:spacing w:val="11"/>
          <w:sz w:val="20"/>
          <w:szCs w:val="20"/>
        </w:rPr>
        <w:t xml:space="preserve"> </w:t>
      </w:r>
      <w:r w:rsidRPr="00531B12">
        <w:rPr>
          <w:rFonts w:ascii="Abadi" w:hAnsi="Abadi"/>
          <w:b/>
          <w:bCs/>
          <w:sz w:val="20"/>
          <w:szCs w:val="20"/>
        </w:rPr>
        <w:t>2018</w:t>
      </w:r>
      <w:r w:rsidRPr="00531B12">
        <w:rPr>
          <w:rFonts w:ascii="Abadi" w:hAnsi="Abadi"/>
          <w:b/>
          <w:bCs/>
          <w:spacing w:val="11"/>
          <w:sz w:val="20"/>
          <w:szCs w:val="20"/>
        </w:rPr>
        <w:t xml:space="preserve"> </w:t>
      </w:r>
      <w:r w:rsidRPr="00531B12">
        <w:rPr>
          <w:rFonts w:ascii="Abadi" w:hAnsi="Abadi"/>
          <w:b/>
          <w:bCs/>
          <w:sz w:val="20"/>
          <w:szCs w:val="20"/>
        </w:rPr>
        <w:t>A</w:t>
      </w:r>
      <w:r w:rsidRPr="00531B12">
        <w:rPr>
          <w:rFonts w:ascii="Abadi" w:hAnsi="Abadi"/>
          <w:b/>
          <w:bCs/>
          <w:spacing w:val="11"/>
          <w:sz w:val="20"/>
          <w:szCs w:val="20"/>
        </w:rPr>
        <w:t xml:space="preserve"> </w:t>
      </w:r>
      <w:r w:rsidRPr="00531B12">
        <w:rPr>
          <w:rFonts w:ascii="Abadi" w:hAnsi="Abadi"/>
          <w:b/>
          <w:bCs/>
          <w:sz w:val="20"/>
          <w:szCs w:val="20"/>
        </w:rPr>
        <w:t>OCTUBRE</w:t>
      </w:r>
      <w:r w:rsidRPr="00531B12">
        <w:rPr>
          <w:rFonts w:ascii="Abadi" w:hAnsi="Abadi"/>
          <w:b/>
          <w:bCs/>
          <w:spacing w:val="11"/>
          <w:sz w:val="20"/>
          <w:szCs w:val="20"/>
        </w:rPr>
        <w:t xml:space="preserve"> </w:t>
      </w:r>
      <w:r w:rsidRPr="00531B12">
        <w:rPr>
          <w:rFonts w:ascii="Abadi" w:hAnsi="Abadi"/>
          <w:b/>
          <w:bCs/>
          <w:sz w:val="20"/>
          <w:szCs w:val="20"/>
        </w:rPr>
        <w:t>DE</w:t>
      </w:r>
      <w:r w:rsidRPr="00531B12">
        <w:rPr>
          <w:rFonts w:ascii="Abadi" w:hAnsi="Abadi"/>
          <w:b/>
          <w:bCs/>
          <w:spacing w:val="11"/>
          <w:sz w:val="20"/>
          <w:szCs w:val="20"/>
        </w:rPr>
        <w:t xml:space="preserve"> </w:t>
      </w:r>
      <w:r w:rsidRPr="00531B12">
        <w:rPr>
          <w:rFonts w:ascii="Abadi" w:hAnsi="Abadi"/>
          <w:b/>
          <w:bCs/>
          <w:sz w:val="20"/>
          <w:szCs w:val="20"/>
        </w:rPr>
        <w:t>2021;</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1"/>
          <w:sz w:val="20"/>
          <w:szCs w:val="20"/>
        </w:rPr>
        <w:t xml:space="preserve"> </w:t>
      </w:r>
      <w:r w:rsidRPr="00531B12">
        <w:rPr>
          <w:rFonts w:ascii="Abadi" w:hAnsi="Abadi"/>
          <w:b/>
          <w:bCs/>
          <w:sz w:val="20"/>
          <w:szCs w:val="20"/>
        </w:rPr>
        <w:t>LA</w:t>
      </w:r>
      <w:r w:rsidRPr="00531B12">
        <w:rPr>
          <w:rFonts w:ascii="Abadi" w:hAnsi="Abadi"/>
          <w:b/>
          <w:bCs/>
          <w:spacing w:val="11"/>
          <w:sz w:val="20"/>
          <w:szCs w:val="20"/>
        </w:rPr>
        <w:t xml:space="preserve"> </w:t>
      </w:r>
      <w:r w:rsidRPr="00531B12">
        <w:rPr>
          <w:rFonts w:ascii="Abadi" w:hAnsi="Abadi"/>
          <w:b/>
          <w:bCs/>
          <w:sz w:val="20"/>
          <w:szCs w:val="20"/>
        </w:rPr>
        <w:t>SEGUNDA,</w:t>
      </w:r>
      <w:r w:rsidRPr="00531B12">
        <w:rPr>
          <w:rFonts w:ascii="Abadi" w:hAnsi="Abadi"/>
          <w:b/>
          <w:bCs/>
          <w:spacing w:val="10"/>
          <w:sz w:val="20"/>
          <w:szCs w:val="20"/>
        </w:rPr>
        <w:t xml:space="preserve"> </w:t>
      </w:r>
      <w:r w:rsidRPr="00531B12">
        <w:rPr>
          <w:rFonts w:ascii="Abadi" w:hAnsi="Abadi"/>
          <w:b/>
          <w:bCs/>
          <w:sz w:val="20"/>
          <w:szCs w:val="20"/>
        </w:rPr>
        <w:t>POR</w:t>
      </w:r>
      <w:r w:rsidRPr="00531B12">
        <w:rPr>
          <w:rFonts w:ascii="Abadi" w:hAnsi="Abadi"/>
          <w:b/>
          <w:bCs/>
          <w:spacing w:val="10"/>
          <w:sz w:val="20"/>
          <w:szCs w:val="20"/>
        </w:rPr>
        <w:t xml:space="preserve"> </w:t>
      </w:r>
      <w:r w:rsidRPr="00531B12">
        <w:rPr>
          <w:rFonts w:ascii="Abadi" w:hAnsi="Abadi"/>
          <w:b/>
          <w:bCs/>
          <w:sz w:val="20"/>
          <w:szCs w:val="20"/>
        </w:rPr>
        <w:t>LOS</w:t>
      </w:r>
      <w:r w:rsidRPr="00531B12">
        <w:rPr>
          <w:rFonts w:ascii="Abadi" w:hAnsi="Abadi"/>
          <w:b/>
          <w:bCs/>
          <w:spacing w:val="-2"/>
          <w:sz w:val="20"/>
          <w:szCs w:val="20"/>
        </w:rPr>
        <w:t xml:space="preserve"> </w:t>
      </w:r>
      <w:r w:rsidRPr="00531B12">
        <w:rPr>
          <w:rFonts w:ascii="Abadi" w:hAnsi="Abadi"/>
          <w:b/>
          <w:bCs/>
          <w:sz w:val="20"/>
          <w:szCs w:val="20"/>
        </w:rPr>
        <w:t>EJERCICIOS</w:t>
      </w:r>
      <w:r w:rsidRPr="00531B12">
        <w:rPr>
          <w:rFonts w:ascii="Abadi" w:hAnsi="Abadi"/>
          <w:b/>
          <w:bCs/>
          <w:spacing w:val="-1"/>
          <w:sz w:val="20"/>
          <w:szCs w:val="20"/>
        </w:rPr>
        <w:t xml:space="preserve"> </w:t>
      </w:r>
      <w:r w:rsidRPr="00531B12">
        <w:rPr>
          <w:rFonts w:ascii="Abadi" w:hAnsi="Abadi"/>
          <w:b/>
          <w:bCs/>
          <w:sz w:val="20"/>
          <w:szCs w:val="20"/>
        </w:rPr>
        <w:t>FISCALES</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2019,</w:t>
      </w:r>
      <w:r w:rsidRPr="00531B12">
        <w:rPr>
          <w:rFonts w:ascii="Abadi" w:hAnsi="Abadi"/>
          <w:b/>
          <w:bCs/>
          <w:spacing w:val="-1"/>
          <w:sz w:val="20"/>
          <w:szCs w:val="20"/>
        </w:rPr>
        <w:t xml:space="preserve"> </w:t>
      </w:r>
      <w:r w:rsidRPr="00531B12">
        <w:rPr>
          <w:rFonts w:ascii="Abadi" w:hAnsi="Abadi"/>
          <w:b/>
          <w:bCs/>
          <w:sz w:val="20"/>
          <w:szCs w:val="20"/>
        </w:rPr>
        <w:t>2020</w:t>
      </w:r>
      <w:r w:rsidRPr="00531B12">
        <w:rPr>
          <w:rFonts w:ascii="Abadi" w:hAnsi="Abadi"/>
          <w:b/>
          <w:bCs/>
          <w:spacing w:val="-1"/>
          <w:sz w:val="20"/>
          <w:szCs w:val="20"/>
        </w:rPr>
        <w:t xml:space="preserve"> </w:t>
      </w:r>
      <w:r w:rsidRPr="00531B12">
        <w:rPr>
          <w:rFonts w:ascii="Abadi" w:hAnsi="Abadi"/>
          <w:b/>
          <w:bCs/>
          <w:sz w:val="20"/>
          <w:szCs w:val="20"/>
        </w:rPr>
        <w:t>Y</w:t>
      </w:r>
      <w:r w:rsidRPr="00531B12">
        <w:rPr>
          <w:rFonts w:ascii="Abadi" w:hAnsi="Abadi"/>
          <w:b/>
          <w:bCs/>
          <w:spacing w:val="-1"/>
          <w:sz w:val="20"/>
          <w:szCs w:val="20"/>
        </w:rPr>
        <w:t xml:space="preserve"> </w:t>
      </w:r>
      <w:r w:rsidRPr="00531B12">
        <w:rPr>
          <w:rFonts w:ascii="Abadi" w:hAnsi="Abadi"/>
          <w:b/>
          <w:bCs/>
          <w:sz w:val="20"/>
          <w:szCs w:val="20"/>
        </w:rPr>
        <w:t>2021.</w:t>
      </w:r>
    </w:p>
    <w:p w14:paraId="64C6A3F0" w14:textId="212FDAED" w:rsidR="00FE399C" w:rsidRDefault="00FE399C" w:rsidP="00FE399C">
      <w:pPr>
        <w:tabs>
          <w:tab w:val="left" w:pos="856"/>
        </w:tabs>
        <w:kinsoku w:val="0"/>
        <w:overflowPunct w:val="0"/>
        <w:autoSpaceDE w:val="0"/>
        <w:autoSpaceDN w:val="0"/>
        <w:adjustRightInd w:val="0"/>
        <w:ind w:right="17"/>
        <w:jc w:val="both"/>
        <w:rPr>
          <w:rFonts w:ascii="Abadi" w:hAnsi="Abadi"/>
          <w:sz w:val="20"/>
          <w:szCs w:val="20"/>
        </w:rPr>
      </w:pPr>
    </w:p>
    <w:p w14:paraId="35D60604" w14:textId="77777777" w:rsidR="0027514C" w:rsidRPr="0027514C" w:rsidRDefault="0027514C" w:rsidP="0027514C">
      <w:pPr>
        <w:rPr>
          <w:rFonts w:ascii="Abadi" w:hAnsi="Abadi" w:cs="Arial"/>
          <w:b/>
          <w:iCs/>
          <w:smallCaps/>
          <w:sz w:val="21"/>
          <w:szCs w:val="21"/>
          <w:lang w:val="es-MX" w:eastAsia="es-MX"/>
        </w:rPr>
      </w:pPr>
      <w:r w:rsidRPr="0027514C">
        <w:rPr>
          <w:rFonts w:ascii="Abadi" w:hAnsi="Abadi" w:cs="Arial"/>
          <w:b/>
          <w:iCs/>
          <w:smallCaps/>
          <w:sz w:val="21"/>
          <w:szCs w:val="21"/>
          <w:lang w:val="es-MX" w:eastAsia="es-MX"/>
        </w:rPr>
        <w:t>C. Presidenta del Congreso del Estado.</w:t>
      </w:r>
    </w:p>
    <w:p w14:paraId="6EB1A0FD" w14:textId="77777777" w:rsidR="0027514C" w:rsidRPr="0027514C" w:rsidRDefault="0027514C" w:rsidP="0027514C">
      <w:pPr>
        <w:jc w:val="both"/>
        <w:rPr>
          <w:rFonts w:ascii="Abadi" w:hAnsi="Abadi" w:cs="Arial"/>
          <w:b/>
          <w:iCs/>
          <w:smallCaps/>
          <w:sz w:val="21"/>
          <w:szCs w:val="21"/>
          <w:lang w:val="es-MX" w:eastAsia="es-MX"/>
        </w:rPr>
      </w:pPr>
      <w:r w:rsidRPr="0027514C">
        <w:rPr>
          <w:rFonts w:ascii="Abadi" w:hAnsi="Abadi" w:cs="Arial"/>
          <w:b/>
          <w:iCs/>
          <w:smallCaps/>
          <w:sz w:val="21"/>
          <w:szCs w:val="21"/>
          <w:lang w:val="es-MX" w:eastAsia="es-MX"/>
        </w:rPr>
        <w:t>P r e s e n t e.</w:t>
      </w:r>
    </w:p>
    <w:p w14:paraId="2F7A0C70" w14:textId="77777777" w:rsidR="0027514C" w:rsidRPr="0027514C" w:rsidRDefault="0027514C" w:rsidP="0027514C">
      <w:pPr>
        <w:spacing w:line="360" w:lineRule="auto"/>
        <w:jc w:val="both"/>
        <w:rPr>
          <w:rFonts w:ascii="Abadi" w:hAnsi="Abadi" w:cs="Arial"/>
          <w:iCs/>
          <w:sz w:val="21"/>
          <w:szCs w:val="21"/>
          <w:lang w:val="es-MX" w:eastAsia="es-MX"/>
        </w:rPr>
      </w:pPr>
    </w:p>
    <w:p w14:paraId="783BE858" w14:textId="77777777" w:rsidR="0027514C" w:rsidRPr="0027514C" w:rsidRDefault="0027514C" w:rsidP="0027514C">
      <w:pPr>
        <w:jc w:val="both"/>
        <w:rPr>
          <w:rFonts w:ascii="Abadi" w:hAnsi="Abadi" w:cs="Arial"/>
          <w:iCs/>
          <w:sz w:val="21"/>
          <w:szCs w:val="21"/>
          <w:lang w:val="es-MX" w:eastAsia="es-MX"/>
        </w:rPr>
      </w:pPr>
      <w:r w:rsidRPr="0027514C">
        <w:rPr>
          <w:rFonts w:ascii="Abadi" w:hAnsi="Abadi" w:cs="Arial"/>
          <w:iCs/>
          <w:sz w:val="21"/>
          <w:szCs w:val="21"/>
          <w:lang w:val="es-MX" w:eastAsia="es-MX"/>
        </w:rPr>
        <w:tab/>
        <w:t>A esta Comisión de Hacienda y Fiscalización le fueron turnadas para efectos de su estudio y dictamen, dos propuestas de puntos de acuerdo formuladas, la primera, por la diputada y el diputado integrantes del Grupo Parlamentario del Partido Verde Ecologista de México; y la segunda, por la diputada Alma Edwviges Alcaraz Hernández, integrante del Grupo Parlamentario del Partido MORENA, ambas a efecto de que la Auditoría Superior del Estado de Guanajuato lleve a cabo una auditoría integral a la administración pública municipal de León, Gto., la primera, por el periodo comprendido de octubre de 2018 a octubre de 2021; y la segunda, por los ejercicios fiscales de 2019, 2020 y 2021.</w:t>
      </w:r>
    </w:p>
    <w:p w14:paraId="2D4D78FF" w14:textId="77777777" w:rsidR="0027514C" w:rsidRPr="0027514C" w:rsidRDefault="0027514C" w:rsidP="0027514C">
      <w:pPr>
        <w:jc w:val="both"/>
        <w:rPr>
          <w:rFonts w:ascii="Abadi" w:hAnsi="Abadi" w:cs="Arial"/>
          <w:iCs/>
          <w:sz w:val="21"/>
          <w:szCs w:val="21"/>
          <w:lang w:val="es-MX" w:eastAsia="es-MX"/>
        </w:rPr>
      </w:pPr>
    </w:p>
    <w:p w14:paraId="1027A063" w14:textId="77777777" w:rsidR="0027514C" w:rsidRPr="0027514C" w:rsidRDefault="0027514C" w:rsidP="0027514C">
      <w:pPr>
        <w:jc w:val="both"/>
        <w:rPr>
          <w:rFonts w:ascii="Abadi" w:hAnsi="Abadi" w:cs="Arial"/>
          <w:iCs/>
          <w:sz w:val="21"/>
          <w:szCs w:val="21"/>
          <w:lang w:val="es-MX" w:eastAsia="es-MX"/>
        </w:rPr>
      </w:pPr>
      <w:r w:rsidRPr="0027514C">
        <w:rPr>
          <w:rFonts w:ascii="Abadi" w:hAnsi="Abadi" w:cs="Arial"/>
          <w:iCs/>
          <w:sz w:val="21"/>
          <w:szCs w:val="21"/>
          <w:lang w:val="es-MX" w:eastAsia="es-MX"/>
        </w:rPr>
        <w:tab/>
        <w:t xml:space="preserve">Analizadas las propuestas de referencia, con fundamento en los artículos 75, 89, fracción V, 112, fracción XV y 171 de </w:t>
      </w:r>
      <w:smartTag w:uri="urn:schemas-microsoft-com:office:smarttags" w:element="PersonName">
        <w:smartTagPr>
          <w:attr w:name="ProductID" w:val="la Ley Org￡nica"/>
        </w:smartTagPr>
        <w:r w:rsidRPr="0027514C">
          <w:rPr>
            <w:rFonts w:ascii="Abadi" w:hAnsi="Abadi" w:cs="Arial"/>
            <w:iCs/>
            <w:sz w:val="21"/>
            <w:szCs w:val="21"/>
            <w:lang w:val="es-MX" w:eastAsia="es-MX"/>
          </w:rPr>
          <w:t>la Ley Orgánica</w:t>
        </w:r>
      </w:smartTag>
      <w:r w:rsidRPr="0027514C">
        <w:rPr>
          <w:rFonts w:ascii="Abadi" w:hAnsi="Abadi" w:cs="Arial"/>
          <w:iCs/>
          <w:sz w:val="21"/>
          <w:szCs w:val="21"/>
          <w:lang w:val="es-MX" w:eastAsia="es-MX"/>
        </w:rPr>
        <w:t xml:space="preserve"> del Poder Legislativo del Estado de Guanajuato, nos permitimos rendir el siguiente:</w:t>
      </w:r>
    </w:p>
    <w:p w14:paraId="5B40AFF5" w14:textId="77777777" w:rsidR="0027514C" w:rsidRPr="0027514C" w:rsidRDefault="0027514C" w:rsidP="0027514C">
      <w:pPr>
        <w:jc w:val="both"/>
        <w:rPr>
          <w:rFonts w:ascii="Abadi" w:hAnsi="Abadi" w:cs="Arial"/>
          <w:iCs/>
          <w:sz w:val="21"/>
          <w:szCs w:val="21"/>
          <w:lang w:val="es-MX" w:eastAsia="es-MX"/>
        </w:rPr>
      </w:pPr>
    </w:p>
    <w:p w14:paraId="5BAB3A78" w14:textId="77777777" w:rsidR="0027514C" w:rsidRPr="0027514C" w:rsidRDefault="0027514C" w:rsidP="0027514C">
      <w:pPr>
        <w:keepNext/>
        <w:jc w:val="center"/>
        <w:outlineLvl w:val="0"/>
        <w:rPr>
          <w:rFonts w:ascii="Abadi" w:hAnsi="Abadi" w:cs="Arial"/>
          <w:b/>
          <w:iCs/>
          <w:sz w:val="21"/>
          <w:szCs w:val="21"/>
          <w:lang w:val="es-MX" w:eastAsia="es-MX"/>
        </w:rPr>
      </w:pPr>
      <w:r w:rsidRPr="0027514C">
        <w:rPr>
          <w:rFonts w:ascii="Abadi" w:hAnsi="Abadi" w:cs="Arial"/>
          <w:b/>
          <w:iCs/>
          <w:sz w:val="21"/>
          <w:szCs w:val="21"/>
          <w:lang w:val="es-MX" w:eastAsia="es-MX"/>
        </w:rPr>
        <w:t xml:space="preserve">D i c t a m e n </w:t>
      </w:r>
    </w:p>
    <w:p w14:paraId="52EF0015" w14:textId="77777777" w:rsidR="0027514C" w:rsidRPr="0027514C" w:rsidRDefault="0027514C" w:rsidP="001A28E5">
      <w:pPr>
        <w:numPr>
          <w:ilvl w:val="0"/>
          <w:numId w:val="52"/>
        </w:numPr>
        <w:jc w:val="both"/>
        <w:rPr>
          <w:rFonts w:ascii="Abadi" w:hAnsi="Abadi" w:cs="Arial"/>
          <w:b/>
          <w:bCs/>
          <w:sz w:val="21"/>
          <w:szCs w:val="21"/>
          <w:lang w:val="es-MX" w:eastAsia="es-MX"/>
        </w:rPr>
      </w:pPr>
      <w:r w:rsidRPr="0027514C">
        <w:rPr>
          <w:rFonts w:ascii="Abadi" w:hAnsi="Abadi" w:cs="Arial"/>
          <w:b/>
          <w:bCs/>
          <w:sz w:val="21"/>
          <w:szCs w:val="21"/>
          <w:lang w:val="es-MX" w:eastAsia="es-MX"/>
        </w:rPr>
        <w:t>Antecedentes</w:t>
      </w:r>
    </w:p>
    <w:p w14:paraId="35E31473" w14:textId="77777777" w:rsidR="0027514C" w:rsidRPr="0027514C" w:rsidRDefault="0027514C" w:rsidP="0027514C">
      <w:pPr>
        <w:jc w:val="center"/>
        <w:rPr>
          <w:rFonts w:ascii="Abadi" w:hAnsi="Abadi" w:cs="Arial"/>
          <w:b/>
          <w:iCs/>
          <w:sz w:val="21"/>
          <w:szCs w:val="21"/>
          <w:lang w:val="es-MX" w:eastAsia="es-MX"/>
        </w:rPr>
      </w:pPr>
    </w:p>
    <w:p w14:paraId="63944C0D" w14:textId="77777777" w:rsidR="0027514C" w:rsidRPr="0027514C" w:rsidRDefault="0027514C" w:rsidP="0027514C">
      <w:pPr>
        <w:jc w:val="both"/>
        <w:rPr>
          <w:rFonts w:ascii="Abadi" w:hAnsi="Abadi" w:cs="Arial"/>
          <w:iCs/>
          <w:sz w:val="21"/>
          <w:szCs w:val="21"/>
          <w:lang w:val="es-MX" w:eastAsia="es-MX"/>
        </w:rPr>
      </w:pPr>
      <w:r w:rsidRPr="0027514C">
        <w:rPr>
          <w:rFonts w:ascii="Abadi" w:hAnsi="Abadi" w:cs="Arial"/>
          <w:iCs/>
          <w:sz w:val="21"/>
          <w:szCs w:val="21"/>
          <w:lang w:val="es-MX" w:eastAsia="es-MX"/>
        </w:rPr>
        <w:tab/>
        <w:t>En la sesión ordinaria celebrada el 15 de febrero de 2022, se presentaron las siguientes propuestas de puntos de acuerdo:</w:t>
      </w:r>
    </w:p>
    <w:p w14:paraId="4B368B7A" w14:textId="77777777" w:rsidR="0027514C" w:rsidRPr="0027514C" w:rsidRDefault="0027514C" w:rsidP="0027514C">
      <w:pPr>
        <w:jc w:val="both"/>
        <w:rPr>
          <w:rFonts w:ascii="Abadi" w:hAnsi="Abadi" w:cs="Arial"/>
          <w:iCs/>
          <w:sz w:val="21"/>
          <w:szCs w:val="21"/>
          <w:lang w:val="es-MX" w:eastAsia="es-MX"/>
        </w:rPr>
      </w:pPr>
    </w:p>
    <w:p w14:paraId="0691B1B9" w14:textId="77777777" w:rsidR="0027514C" w:rsidRPr="0027514C" w:rsidRDefault="0027514C" w:rsidP="001A28E5">
      <w:pPr>
        <w:numPr>
          <w:ilvl w:val="0"/>
          <w:numId w:val="46"/>
        </w:numPr>
        <w:jc w:val="both"/>
        <w:rPr>
          <w:rFonts w:ascii="Abadi" w:hAnsi="Abadi" w:cs="Arial"/>
          <w:iCs/>
          <w:sz w:val="21"/>
          <w:szCs w:val="21"/>
          <w:lang w:eastAsia="es-MX"/>
        </w:rPr>
      </w:pPr>
      <w:r w:rsidRPr="0027514C">
        <w:rPr>
          <w:rFonts w:ascii="Abadi" w:hAnsi="Abadi" w:cs="Arial"/>
          <w:iCs/>
          <w:sz w:val="21"/>
          <w:szCs w:val="21"/>
          <w:lang w:val="es-MX" w:eastAsia="es-MX"/>
        </w:rPr>
        <w:t xml:space="preserve">Formulada </w:t>
      </w:r>
      <w:r w:rsidRPr="0027514C">
        <w:rPr>
          <w:rFonts w:ascii="Abadi" w:hAnsi="Abadi"/>
          <w:sz w:val="21"/>
          <w:szCs w:val="21"/>
          <w:lang w:val="es-ES_tradnl"/>
        </w:rPr>
        <w:t>por la diputada y el diputado integrantes del Grupo Parlamentario del Partido Verde Ecologista de México a efecto de ordenar a la Auditoría Superior del Estado de Guanajuato la práctica de una auditoría integral a la administración pública de León, Gto., por los meses de octubre, noviembre y diciembre del ejercicio fiscal del año 2018, por los ejercicios fiscales de los años 2019 y 2020, así como por el periodo comprendido de enero a octubre del ejercicio fiscal del año 2021, en la que se comprenda, la revisión legal, económica, financiera, administrativa y contable del ingreso y gasto público, abarcando todos los aspectos relativos a la situación financiera, presupuestal, patrimonial y programática de la administración municipal; así como a la deuda pública, la obra pública, el manejo de fondos y valores, la adquisición de bienes, la contratación de servicios y la administración de los recursos humanos</w:t>
      </w:r>
      <w:r w:rsidRPr="0027514C">
        <w:rPr>
          <w:rFonts w:ascii="Abadi" w:hAnsi="Abadi"/>
          <w:sz w:val="21"/>
          <w:szCs w:val="21"/>
          <w:lang w:val="es-ES_tradnl" w:eastAsia="es-MX"/>
        </w:rPr>
        <w:t>; y</w:t>
      </w:r>
    </w:p>
    <w:p w14:paraId="1E5BB6FD" w14:textId="77777777" w:rsidR="0027514C" w:rsidRPr="0027514C" w:rsidRDefault="0027514C" w:rsidP="0027514C">
      <w:pPr>
        <w:ind w:left="720"/>
        <w:jc w:val="both"/>
        <w:rPr>
          <w:rFonts w:ascii="Abadi" w:hAnsi="Abadi" w:cs="Arial"/>
          <w:iCs/>
          <w:sz w:val="21"/>
          <w:szCs w:val="21"/>
          <w:lang w:val="es-MX" w:eastAsia="es-MX"/>
        </w:rPr>
      </w:pPr>
    </w:p>
    <w:p w14:paraId="3F87C4E7" w14:textId="77777777" w:rsidR="0027514C" w:rsidRPr="0027514C" w:rsidRDefault="0027514C" w:rsidP="001A28E5">
      <w:pPr>
        <w:numPr>
          <w:ilvl w:val="0"/>
          <w:numId w:val="46"/>
        </w:numPr>
        <w:jc w:val="both"/>
        <w:rPr>
          <w:rFonts w:ascii="Abadi" w:hAnsi="Abadi" w:cs="Arial"/>
          <w:iCs/>
          <w:sz w:val="21"/>
          <w:szCs w:val="21"/>
          <w:lang w:eastAsia="es-MX"/>
        </w:rPr>
      </w:pPr>
      <w:r w:rsidRPr="0027514C">
        <w:rPr>
          <w:rFonts w:ascii="Abadi" w:hAnsi="Abadi" w:cs="Arial"/>
          <w:iCs/>
          <w:sz w:val="21"/>
          <w:szCs w:val="21"/>
          <w:lang w:val="es-MX" w:eastAsia="es-MX"/>
        </w:rPr>
        <w:t xml:space="preserve">Formulada por la diputada </w:t>
      </w:r>
      <w:r w:rsidRPr="0027514C">
        <w:rPr>
          <w:rFonts w:ascii="Abadi" w:hAnsi="Abadi"/>
          <w:sz w:val="21"/>
          <w:szCs w:val="21"/>
          <w:lang w:val="es-ES_tradnl" w:eastAsia="es-MX"/>
        </w:rPr>
        <w:t>Alma Edwviges Alcaraz Hernández</w:t>
      </w:r>
      <w:r w:rsidRPr="0027514C">
        <w:rPr>
          <w:rFonts w:ascii="Abadi" w:hAnsi="Abadi" w:cs="Arial"/>
          <w:iCs/>
          <w:sz w:val="21"/>
          <w:szCs w:val="21"/>
          <w:lang w:val="es-MX" w:eastAsia="es-MX"/>
        </w:rPr>
        <w:t xml:space="preserve">, integrante del Grupo Parlamentario del Partido MORENA, </w:t>
      </w:r>
      <w:r w:rsidRPr="0027514C">
        <w:rPr>
          <w:rFonts w:ascii="Abadi" w:hAnsi="Abadi"/>
          <w:sz w:val="21"/>
          <w:szCs w:val="21"/>
          <w:lang w:val="es-ES_tradnl"/>
        </w:rPr>
        <w:t>a efecto de exhortar al titular de la Auditoría Superior del Estado de Guanajuato, para que lleve a cabo a la brevedad posible una auditoría financiera integral al municipio de León, que incluya todas las partidas no revisadas en auditorías previas, la que deberá incluir al menos, la verificación del apego a la legalidad de la adjudicación y contratación de bienes y servicios que corresponda, así como el cumplimiento de las cláusulas contractuales de los mismos, por los ejercicios fiscales de 2019, 2020 y 2021</w:t>
      </w:r>
      <w:r w:rsidRPr="0027514C">
        <w:rPr>
          <w:rFonts w:ascii="Abadi" w:hAnsi="Abadi"/>
          <w:sz w:val="21"/>
          <w:szCs w:val="21"/>
          <w:lang w:val="es-ES_tradnl" w:eastAsia="es-MX"/>
        </w:rPr>
        <w:t>.</w:t>
      </w:r>
    </w:p>
    <w:p w14:paraId="5699A636" w14:textId="77777777" w:rsidR="0027514C" w:rsidRPr="0027514C" w:rsidRDefault="0027514C" w:rsidP="0027514C">
      <w:pPr>
        <w:widowControl w:val="0"/>
        <w:spacing w:after="200" w:line="276" w:lineRule="auto"/>
        <w:ind w:left="720"/>
        <w:contextualSpacing/>
        <w:rPr>
          <w:rFonts w:ascii="Abadi" w:eastAsia="Calibri" w:hAnsi="Abadi" w:cs="Arial"/>
          <w:iCs/>
          <w:sz w:val="21"/>
          <w:szCs w:val="21"/>
          <w:lang w:val="es-MX" w:eastAsia="en-US"/>
        </w:rPr>
      </w:pPr>
    </w:p>
    <w:p w14:paraId="5F8A4CB8" w14:textId="77777777" w:rsidR="0027514C" w:rsidRPr="0027514C" w:rsidRDefault="0027514C" w:rsidP="0027514C">
      <w:pPr>
        <w:ind w:firstLine="708"/>
        <w:jc w:val="both"/>
        <w:rPr>
          <w:rFonts w:ascii="Abadi" w:hAnsi="Abadi"/>
          <w:sz w:val="21"/>
          <w:szCs w:val="21"/>
          <w:lang w:val="es-MX" w:eastAsia="es-MX"/>
        </w:rPr>
      </w:pPr>
      <w:r w:rsidRPr="0027514C">
        <w:rPr>
          <w:rFonts w:ascii="Abadi" w:hAnsi="Abadi" w:cs="Arial"/>
          <w:iCs/>
          <w:sz w:val="21"/>
          <w:szCs w:val="21"/>
          <w:lang w:val="es-MX" w:eastAsia="es-MX"/>
        </w:rPr>
        <w:t>Las referidas propuestas</w:t>
      </w:r>
      <w:r w:rsidRPr="0027514C">
        <w:rPr>
          <w:rFonts w:ascii="Abadi" w:hAnsi="Abadi"/>
          <w:sz w:val="21"/>
          <w:szCs w:val="21"/>
          <w:lang w:val="es-MX" w:eastAsia="es-MX"/>
        </w:rPr>
        <w:t xml:space="preserve"> se turnaron por la presidencia a esta Comisión de Hacienda y Fiscalización para su estudio y dictamen con </w:t>
      </w:r>
      <w:r w:rsidRPr="0027514C">
        <w:rPr>
          <w:rFonts w:ascii="Abadi" w:hAnsi="Abadi"/>
          <w:sz w:val="21"/>
          <w:szCs w:val="21"/>
          <w:lang w:val="es-MX" w:eastAsia="es-MX"/>
        </w:rPr>
        <w:lastRenderedPageBreak/>
        <w:t>fundamento en la fracción XV del artículo 112 de la Ley Orgánica del Poder Legislativo del Estado de Guanajuato, mismas que se radicaron el 16 de febrero de 2022. En dicha fecha se requirió al Auditor Superior del Estado, la elaboración de fichas técnicas respecto a dichas propuestas, mismas que se expusieron a esta Comisión el 14 de junio del año en curso, por dicho funcionario.</w:t>
      </w:r>
    </w:p>
    <w:p w14:paraId="57AE0649" w14:textId="77777777" w:rsidR="0027514C" w:rsidRPr="0027514C" w:rsidRDefault="0027514C" w:rsidP="0027514C">
      <w:pPr>
        <w:spacing w:line="360" w:lineRule="auto"/>
        <w:ind w:firstLine="708"/>
        <w:jc w:val="both"/>
        <w:rPr>
          <w:rFonts w:ascii="Abadi" w:hAnsi="Abadi"/>
          <w:sz w:val="21"/>
          <w:szCs w:val="21"/>
          <w:lang w:val="es-MX" w:eastAsia="es-MX"/>
        </w:rPr>
      </w:pPr>
    </w:p>
    <w:p w14:paraId="4A33F762" w14:textId="77777777" w:rsidR="0027514C" w:rsidRPr="0027514C" w:rsidRDefault="0027514C" w:rsidP="001A28E5">
      <w:pPr>
        <w:numPr>
          <w:ilvl w:val="0"/>
          <w:numId w:val="52"/>
        </w:numPr>
        <w:jc w:val="both"/>
        <w:rPr>
          <w:rFonts w:ascii="Abadi" w:hAnsi="Abadi" w:cs="Arial"/>
          <w:b/>
          <w:bCs/>
          <w:sz w:val="21"/>
          <w:szCs w:val="21"/>
          <w:lang w:val="es-MX" w:eastAsia="es-MX"/>
        </w:rPr>
      </w:pPr>
      <w:r w:rsidRPr="0027514C">
        <w:rPr>
          <w:rFonts w:ascii="Abadi" w:hAnsi="Abadi" w:cs="Arial"/>
          <w:b/>
          <w:bCs/>
          <w:sz w:val="21"/>
          <w:szCs w:val="21"/>
          <w:lang w:val="es-MX" w:eastAsia="es-MX"/>
        </w:rPr>
        <w:t>Consideraciones de las propuestas</w:t>
      </w:r>
    </w:p>
    <w:p w14:paraId="46A654C6" w14:textId="77777777" w:rsidR="0027514C" w:rsidRPr="0027514C" w:rsidRDefault="0027514C" w:rsidP="0027514C">
      <w:pPr>
        <w:jc w:val="both"/>
        <w:rPr>
          <w:rFonts w:ascii="Abadi" w:hAnsi="Abadi" w:cs="Arial"/>
          <w:b/>
          <w:bCs/>
          <w:sz w:val="21"/>
          <w:szCs w:val="21"/>
          <w:lang w:val="es-MX" w:eastAsia="es-MX"/>
        </w:rPr>
      </w:pPr>
    </w:p>
    <w:p w14:paraId="760F1887" w14:textId="77777777" w:rsidR="0027514C" w:rsidRPr="0027514C" w:rsidRDefault="0027514C" w:rsidP="001A28E5">
      <w:pPr>
        <w:numPr>
          <w:ilvl w:val="0"/>
          <w:numId w:val="48"/>
        </w:numPr>
        <w:jc w:val="both"/>
        <w:rPr>
          <w:rFonts w:ascii="Abadi" w:hAnsi="Abadi"/>
          <w:sz w:val="21"/>
          <w:szCs w:val="21"/>
          <w:lang w:val="es-MX" w:eastAsia="es-MX"/>
        </w:rPr>
      </w:pPr>
      <w:r w:rsidRPr="0027514C">
        <w:rPr>
          <w:rFonts w:ascii="Abadi" w:hAnsi="Abadi"/>
          <w:sz w:val="21"/>
          <w:szCs w:val="21"/>
          <w:lang w:val="es-MX" w:eastAsia="es-MX"/>
        </w:rPr>
        <w:t xml:space="preserve">En las consideraciones expuestas por </w:t>
      </w:r>
      <w:r w:rsidRPr="0027514C">
        <w:rPr>
          <w:rFonts w:ascii="Abadi" w:hAnsi="Abadi"/>
          <w:sz w:val="21"/>
          <w:szCs w:val="21"/>
          <w:lang w:val="es-ES_tradnl"/>
        </w:rPr>
        <w:t xml:space="preserve">la diputada y el diputado integrantes del Grupo Parlamentario del Partido Verde Ecologista de México </w:t>
      </w:r>
      <w:r w:rsidRPr="0027514C">
        <w:rPr>
          <w:rFonts w:ascii="Abadi" w:hAnsi="Abadi"/>
          <w:sz w:val="21"/>
          <w:szCs w:val="21"/>
          <w:lang w:val="es-MX" w:eastAsia="es-MX"/>
        </w:rPr>
        <w:t>se refiere lo siguiente:</w:t>
      </w:r>
    </w:p>
    <w:p w14:paraId="3C2CE2C3" w14:textId="77777777" w:rsidR="0027514C" w:rsidRPr="0027514C" w:rsidRDefault="0027514C" w:rsidP="0027514C">
      <w:pPr>
        <w:spacing w:before="188"/>
        <w:ind w:left="709" w:right="161"/>
        <w:jc w:val="both"/>
        <w:rPr>
          <w:rFonts w:ascii="Abadi" w:hAnsi="Abadi" w:cs="Arial"/>
          <w:i/>
          <w:sz w:val="21"/>
          <w:szCs w:val="21"/>
          <w:lang w:val="es-MX" w:eastAsia="es-MX"/>
        </w:rPr>
      </w:pPr>
      <w:r w:rsidRPr="0027514C">
        <w:rPr>
          <w:rFonts w:ascii="Abadi" w:hAnsi="Abadi" w:cs="Arial"/>
          <w:i/>
          <w:sz w:val="21"/>
          <w:szCs w:val="21"/>
          <w:lang w:val="es-MX" w:eastAsia="es-MX"/>
        </w:rPr>
        <w:t xml:space="preserve">… es importante y vital emprender acciones fiscalizadoras por órganos competentes y confiables a la administraciones municipales y en este caso nos referimos a la administración pública municipal de León, Gto., sabemos que este municipio se ha distinguido por las funciones y servicios hacia la ciudadanía, llegando a ser ejemplo nacional y de experiencias exitosas; sin embargo, el crecimiento trae consigo una gran responsabilidad de operación en todos los sentidos, y en los últimos años su prestigio, desempeño, honorabilidad y diligencia han sido puestos en tela de juicio.  </w:t>
      </w:r>
    </w:p>
    <w:p w14:paraId="21042616" w14:textId="77777777" w:rsidR="0027514C" w:rsidRPr="0027514C" w:rsidRDefault="0027514C" w:rsidP="0027514C">
      <w:pPr>
        <w:spacing w:before="188"/>
        <w:ind w:left="709" w:right="161"/>
        <w:jc w:val="both"/>
        <w:rPr>
          <w:rFonts w:ascii="Abadi" w:hAnsi="Abadi" w:cs="Arial"/>
          <w:i/>
          <w:sz w:val="21"/>
          <w:szCs w:val="21"/>
          <w:lang w:val="es-MX" w:eastAsia="es-MX"/>
        </w:rPr>
      </w:pPr>
      <w:r w:rsidRPr="0027514C">
        <w:rPr>
          <w:rFonts w:ascii="Abadi" w:hAnsi="Abadi" w:cs="Arial"/>
          <w:i/>
          <w:sz w:val="21"/>
          <w:szCs w:val="21"/>
          <w:lang w:val="es-MX" w:eastAsia="es-MX"/>
        </w:rPr>
        <w:t xml:space="preserve">Concretamente hablamos de la ADMINISTRACIÓN PÚBLICA MUNICIPAL 2018-2021 SIENDO PRESIDENTE MUNICIPAL HÉCTOR GERMÁN RENÉ LÓPEZ SANTILLANA, administración que ha sido manchada por acciones y decisiones que, a la luz de las denuncias públicas se puede presumir corrupción, egos, ideologías, conflictos internos y muchas otras circunstancias que han afectado su efectividad, eficiencia y transparencia en el ejercicio de los recursos públicos.  </w:t>
      </w:r>
    </w:p>
    <w:p w14:paraId="3735EC44" w14:textId="77777777" w:rsidR="0027514C" w:rsidRPr="0027514C" w:rsidRDefault="0027514C" w:rsidP="0027514C">
      <w:pPr>
        <w:spacing w:before="188"/>
        <w:ind w:left="709" w:right="161"/>
        <w:jc w:val="both"/>
        <w:rPr>
          <w:rFonts w:ascii="Abadi" w:hAnsi="Abadi" w:cs="Arial"/>
          <w:i/>
          <w:sz w:val="21"/>
          <w:szCs w:val="21"/>
          <w:lang w:val="es-MX" w:eastAsia="es-MX"/>
        </w:rPr>
      </w:pPr>
      <w:r w:rsidRPr="0027514C">
        <w:rPr>
          <w:rFonts w:ascii="Abadi" w:hAnsi="Abadi" w:cs="Arial"/>
          <w:i/>
          <w:sz w:val="21"/>
          <w:szCs w:val="21"/>
          <w:lang w:val="es-MX" w:eastAsia="es-MX"/>
        </w:rPr>
        <w:t>No podemos pasar por alto, las notas periodísticas en donde se publican y destacan entre muchos otros, los siguientes acontecimientos:</w:t>
      </w:r>
    </w:p>
    <w:p w14:paraId="2AB5B11D" w14:textId="77777777" w:rsidR="0027514C" w:rsidRPr="0027514C" w:rsidRDefault="0027514C" w:rsidP="0027514C">
      <w:pPr>
        <w:spacing w:before="188"/>
        <w:ind w:left="709" w:right="161"/>
        <w:jc w:val="both"/>
        <w:rPr>
          <w:rFonts w:ascii="Abadi" w:hAnsi="Abadi" w:cs="Arial"/>
          <w:i/>
          <w:sz w:val="21"/>
          <w:szCs w:val="21"/>
          <w:lang w:val="es-MX" w:eastAsia="es-MX"/>
        </w:rPr>
      </w:pPr>
      <w:r w:rsidRPr="0027514C">
        <w:rPr>
          <w:rFonts w:ascii="Abadi" w:hAnsi="Abadi" w:cs="Arial"/>
          <w:i/>
          <w:sz w:val="21"/>
          <w:szCs w:val="21"/>
          <w:lang w:val="es-MX" w:eastAsia="es-MX"/>
        </w:rPr>
        <w:t>•</w:t>
      </w:r>
      <w:r w:rsidRPr="0027514C">
        <w:rPr>
          <w:rFonts w:ascii="Abadi" w:hAnsi="Abadi" w:cs="Arial"/>
          <w:i/>
          <w:sz w:val="21"/>
          <w:szCs w:val="21"/>
          <w:lang w:val="es-MX" w:eastAsia="es-MX"/>
        </w:rPr>
        <w:tab/>
        <w:t>Faltante de 97 mil 327 pesos en la Dirección General de Desarrollo Institucional, por un posible caso de corrupción, donde se presume que se entregaba dinero de forma ilegal de proveedores, como parte de un acuerdo de contratación presuntamente legalizando los moches a través</w:t>
      </w:r>
      <w:r w:rsidRPr="0027514C">
        <w:rPr>
          <w:rFonts w:ascii="Abadi" w:hAnsi="Abadi" w:cs="Arial"/>
          <w:i/>
          <w:sz w:val="21"/>
          <w:szCs w:val="21"/>
          <w:lang w:val="es-MX" w:eastAsia="es-MX"/>
        </w:rPr>
        <w:footnoteReference w:id="120"/>
      </w:r>
      <w:r w:rsidRPr="0027514C">
        <w:rPr>
          <w:rFonts w:ascii="Abadi" w:hAnsi="Abadi" w:cs="Arial"/>
          <w:i/>
          <w:sz w:val="21"/>
          <w:szCs w:val="21"/>
          <w:lang w:val="es-MX" w:eastAsia="es-MX"/>
        </w:rPr>
        <w:t xml:space="preserve"> del nombre de "reciprocidades".</w:t>
      </w:r>
    </w:p>
    <w:p w14:paraId="17587928" w14:textId="77777777" w:rsidR="0027514C" w:rsidRPr="0027514C" w:rsidRDefault="0027514C" w:rsidP="0027514C">
      <w:pPr>
        <w:spacing w:before="188"/>
        <w:ind w:left="709" w:right="161"/>
        <w:jc w:val="both"/>
        <w:rPr>
          <w:rFonts w:ascii="Abadi" w:hAnsi="Abadi"/>
          <w:sz w:val="21"/>
          <w:szCs w:val="21"/>
          <w:lang w:val="es-MX" w:eastAsia="es-MX"/>
        </w:rPr>
      </w:pPr>
      <w:r w:rsidRPr="0027514C">
        <w:rPr>
          <w:rFonts w:ascii="Abadi" w:hAnsi="Abadi"/>
          <w:sz w:val="21"/>
          <w:szCs w:val="21"/>
          <w:lang w:val="es-MX" w:eastAsia="es-MX"/>
        </w:rPr>
        <w:t>•</w:t>
      </w:r>
      <w:r w:rsidRPr="0027514C">
        <w:rPr>
          <w:rFonts w:ascii="Abadi" w:hAnsi="Abadi"/>
          <w:sz w:val="21"/>
          <w:szCs w:val="21"/>
          <w:lang w:val="es-MX" w:eastAsia="es-MX"/>
        </w:rPr>
        <w:tab/>
        <w:t>Despojo de mil metros cuadrados al Jardín de Niños Juan Aldama, para venta y beneficio de una propiedad residencial de un empresario y que presuntamente fue operado por el Tesorero de Héctor López</w:t>
      </w:r>
      <w:r w:rsidRPr="0027514C">
        <w:rPr>
          <w:rFonts w:ascii="Abadi" w:hAnsi="Abadi"/>
          <w:sz w:val="21"/>
          <w:szCs w:val="21"/>
          <w:vertAlign w:val="superscript"/>
          <w:lang w:val="es-MX" w:eastAsia="es-MX"/>
        </w:rPr>
        <w:footnoteReference w:id="121"/>
      </w:r>
      <w:r w:rsidRPr="0027514C">
        <w:rPr>
          <w:rFonts w:ascii="Abadi" w:hAnsi="Abadi"/>
          <w:sz w:val="21"/>
          <w:szCs w:val="21"/>
          <w:lang w:val="es-MX" w:eastAsia="es-MX"/>
        </w:rPr>
        <w:t>.</w:t>
      </w:r>
    </w:p>
    <w:p w14:paraId="382CC248" w14:textId="77777777" w:rsidR="0027514C" w:rsidRPr="0027514C" w:rsidRDefault="0027514C" w:rsidP="0027514C">
      <w:pPr>
        <w:jc w:val="both"/>
        <w:rPr>
          <w:rFonts w:ascii="Abadi" w:hAnsi="Abadi"/>
          <w:sz w:val="21"/>
          <w:szCs w:val="21"/>
          <w:lang w:val="es-MX" w:eastAsia="es-MX"/>
        </w:rPr>
      </w:pPr>
    </w:p>
    <w:p w14:paraId="28261A53" w14:textId="77777777" w:rsidR="0027514C" w:rsidRPr="0027514C" w:rsidRDefault="0027514C" w:rsidP="001A28E5">
      <w:pPr>
        <w:numPr>
          <w:ilvl w:val="0"/>
          <w:numId w:val="47"/>
        </w:numPr>
        <w:jc w:val="both"/>
        <w:rPr>
          <w:rFonts w:ascii="Abadi" w:hAnsi="Abadi"/>
          <w:sz w:val="21"/>
          <w:szCs w:val="21"/>
          <w:lang w:val="es-MX" w:eastAsia="es-MX"/>
        </w:rPr>
      </w:pPr>
      <w:r w:rsidRPr="0027514C">
        <w:rPr>
          <w:rFonts w:ascii="Abadi" w:hAnsi="Abadi"/>
          <w:sz w:val="21"/>
          <w:szCs w:val="21"/>
          <w:lang w:val="es-MX" w:eastAsia="es-MX"/>
        </w:rPr>
        <w:t>Condonación de 2 millones de pesos en predial del Club Campestre de León</w:t>
      </w:r>
      <w:r w:rsidRPr="0027514C">
        <w:rPr>
          <w:rFonts w:ascii="Abadi" w:hAnsi="Abadi"/>
          <w:sz w:val="21"/>
          <w:szCs w:val="21"/>
          <w:vertAlign w:val="superscript"/>
          <w:lang w:val="es-MX" w:eastAsia="es-MX"/>
        </w:rPr>
        <w:footnoteReference w:id="122"/>
      </w:r>
      <w:r w:rsidRPr="0027514C">
        <w:rPr>
          <w:rFonts w:ascii="Abadi" w:hAnsi="Abadi"/>
          <w:sz w:val="21"/>
          <w:szCs w:val="21"/>
          <w:lang w:val="es-MX" w:eastAsia="es-MX"/>
        </w:rPr>
        <w:t>.</w:t>
      </w:r>
    </w:p>
    <w:p w14:paraId="58CCB7A5" w14:textId="77777777" w:rsidR="0027514C" w:rsidRPr="0027514C" w:rsidRDefault="0027514C" w:rsidP="0027514C">
      <w:pPr>
        <w:jc w:val="both"/>
        <w:rPr>
          <w:rFonts w:ascii="Abadi" w:hAnsi="Abadi"/>
          <w:sz w:val="21"/>
          <w:szCs w:val="21"/>
          <w:lang w:val="es-MX" w:eastAsia="es-MX"/>
        </w:rPr>
      </w:pPr>
    </w:p>
    <w:p w14:paraId="40AE1872" w14:textId="77777777" w:rsidR="0027514C" w:rsidRPr="0027514C" w:rsidRDefault="0027514C" w:rsidP="0027514C">
      <w:pPr>
        <w:spacing w:before="188"/>
        <w:ind w:left="709" w:right="161"/>
        <w:jc w:val="both"/>
        <w:rPr>
          <w:rFonts w:ascii="Abadi" w:hAnsi="Abadi" w:cs="Arial"/>
          <w:i/>
          <w:sz w:val="21"/>
          <w:szCs w:val="21"/>
          <w:lang w:eastAsia="es-MX"/>
        </w:rPr>
      </w:pPr>
      <w:r w:rsidRPr="0027514C">
        <w:rPr>
          <w:rFonts w:ascii="Abadi" w:hAnsi="Abadi" w:cs="Arial"/>
          <w:i/>
          <w:sz w:val="21"/>
          <w:szCs w:val="21"/>
          <w:lang w:eastAsia="es-MX"/>
        </w:rPr>
        <w:t xml:space="preserve">Así podemos ir sumando una serie de acontecimientos y decisiones en los que indudablemente se pone en tela de juicio el uso y destino de recursos públicos de la administración pública municipal 2018-2021. </w:t>
      </w:r>
    </w:p>
    <w:p w14:paraId="71ECAFA4" w14:textId="77777777" w:rsidR="0027514C" w:rsidRPr="0027514C" w:rsidRDefault="0027514C" w:rsidP="0027514C">
      <w:pPr>
        <w:spacing w:before="188"/>
        <w:ind w:left="709" w:right="161"/>
        <w:jc w:val="both"/>
        <w:rPr>
          <w:rFonts w:ascii="Abadi" w:hAnsi="Abadi" w:cs="Arial"/>
          <w:i/>
          <w:sz w:val="21"/>
          <w:szCs w:val="21"/>
          <w:lang w:val="es-MX" w:eastAsia="es-MX"/>
        </w:rPr>
      </w:pPr>
      <w:r w:rsidRPr="0027514C">
        <w:rPr>
          <w:rFonts w:ascii="Abadi" w:hAnsi="Abadi" w:cs="Arial"/>
          <w:i/>
          <w:sz w:val="21"/>
          <w:szCs w:val="21"/>
          <w:lang w:eastAsia="es-MX"/>
        </w:rPr>
        <w:t>Es por ello que, la diputada y el diputado que integramos el Grupo Parlamentario del Partido Verde Ecologista de México, consideramos necesario solicitar la intervención inmediata de la Auditoría Superior del Estado de Guanajuato, cuya trayectoria, precedentes de auditoría y el cumplimiento de la observancia de los principios de objetividad, definitividad, confiabilidad, imparcialidad, independencia, transparencia, legalidad y profesionalismo lo respaldan para que de verdad practique una AUDITORÍA INTEGRAL a la ADMINISTRACIÓN PÚBLICA CENTRALIZADA MUNICIPAL 2018-2021 SIENDO PRESIDENTE MUNICIPAL HÉCTOR GERMÁN RENÉ LÓPEZ SANTILLANA, es momento de hacer un alto, reflexionar, investigar y en su caso sancionar los posibles actos de corrupción.</w:t>
      </w:r>
    </w:p>
    <w:p w14:paraId="201B2BCE" w14:textId="77777777" w:rsidR="0027514C" w:rsidRPr="0027514C" w:rsidRDefault="0027514C" w:rsidP="0027514C">
      <w:pPr>
        <w:spacing w:before="188"/>
        <w:ind w:left="709" w:right="161"/>
        <w:jc w:val="both"/>
        <w:rPr>
          <w:rFonts w:ascii="Abadi" w:hAnsi="Abadi" w:cs="Arial"/>
          <w:i/>
          <w:sz w:val="21"/>
          <w:szCs w:val="21"/>
          <w:lang w:val="es-MX" w:eastAsia="es-MX"/>
        </w:rPr>
      </w:pPr>
      <w:r w:rsidRPr="0027514C">
        <w:rPr>
          <w:rFonts w:ascii="Abadi" w:hAnsi="Abadi" w:cs="Arial"/>
          <w:i/>
          <w:sz w:val="21"/>
          <w:szCs w:val="21"/>
          <w:lang w:val="es-MX" w:eastAsia="es-MX"/>
        </w:rPr>
        <w:lastRenderedPageBreak/>
        <w:t>La auditoría integral comprende la revisión legal, económica, financiera,</w:t>
      </w:r>
      <w:r w:rsidRPr="0027514C">
        <w:rPr>
          <w:rFonts w:ascii="Abadi" w:hAnsi="Abadi"/>
          <w:sz w:val="21"/>
          <w:szCs w:val="21"/>
          <w:lang w:val="es-MX" w:eastAsia="es-MX"/>
        </w:rPr>
        <w:t xml:space="preserve"> </w:t>
      </w:r>
      <w:r w:rsidRPr="0027514C">
        <w:rPr>
          <w:rFonts w:ascii="Abadi" w:hAnsi="Abadi" w:cs="Arial"/>
          <w:i/>
          <w:sz w:val="21"/>
          <w:szCs w:val="21"/>
          <w:lang w:val="es-MX" w:eastAsia="es-MX"/>
        </w:rPr>
        <w:t>administrativa y contable del ingreso y gasto público, abarcando todos los</w:t>
      </w:r>
      <w:r w:rsidRPr="0027514C">
        <w:rPr>
          <w:rFonts w:ascii="Abadi" w:hAnsi="Abadi"/>
          <w:sz w:val="21"/>
          <w:szCs w:val="21"/>
          <w:lang w:val="es-MX" w:eastAsia="es-MX"/>
        </w:rPr>
        <w:t xml:space="preserve"> </w:t>
      </w:r>
      <w:r w:rsidRPr="0027514C">
        <w:rPr>
          <w:rFonts w:ascii="Abadi" w:hAnsi="Abadi" w:cs="Arial"/>
          <w:i/>
          <w:sz w:val="21"/>
          <w:szCs w:val="21"/>
          <w:lang w:val="es-MX" w:eastAsia="es-MX"/>
        </w:rPr>
        <w:t>aspectos relativos a la situación financiera, presupuestal, patrimonial y</w:t>
      </w:r>
      <w:r w:rsidRPr="0027514C">
        <w:rPr>
          <w:rFonts w:ascii="Abadi" w:hAnsi="Abadi"/>
          <w:sz w:val="21"/>
          <w:szCs w:val="21"/>
          <w:lang w:val="es-MX" w:eastAsia="es-MX"/>
        </w:rPr>
        <w:t xml:space="preserve"> </w:t>
      </w:r>
      <w:r w:rsidRPr="0027514C">
        <w:rPr>
          <w:rFonts w:ascii="Abadi" w:hAnsi="Abadi" w:cs="Arial"/>
          <w:i/>
          <w:sz w:val="21"/>
          <w:szCs w:val="21"/>
          <w:lang w:val="es-MX" w:eastAsia="es-MX"/>
        </w:rPr>
        <w:t>programática de la administración municipal; así como a la deuda pública, la</w:t>
      </w:r>
      <w:r w:rsidRPr="0027514C">
        <w:rPr>
          <w:rFonts w:ascii="Abadi" w:hAnsi="Abadi"/>
          <w:sz w:val="21"/>
          <w:szCs w:val="21"/>
          <w:lang w:val="es-MX" w:eastAsia="es-MX"/>
        </w:rPr>
        <w:t xml:space="preserve"> </w:t>
      </w:r>
      <w:r w:rsidRPr="0027514C">
        <w:rPr>
          <w:rFonts w:ascii="Abadi" w:hAnsi="Abadi" w:cs="Arial"/>
          <w:i/>
          <w:sz w:val="21"/>
          <w:szCs w:val="21"/>
          <w:lang w:val="es-MX" w:eastAsia="es-MX"/>
        </w:rPr>
        <w:t>obra pública, el manejo de fondos y valores, la adquisición de bienes, la</w:t>
      </w:r>
      <w:r w:rsidRPr="0027514C">
        <w:rPr>
          <w:rFonts w:ascii="Abadi" w:hAnsi="Abadi"/>
          <w:sz w:val="21"/>
          <w:szCs w:val="21"/>
          <w:lang w:val="es-MX" w:eastAsia="es-MX"/>
        </w:rPr>
        <w:t xml:space="preserve"> </w:t>
      </w:r>
      <w:r w:rsidRPr="0027514C">
        <w:rPr>
          <w:rFonts w:ascii="Abadi" w:hAnsi="Abadi" w:cs="Arial"/>
          <w:i/>
          <w:sz w:val="21"/>
          <w:szCs w:val="21"/>
          <w:lang w:val="es-MX" w:eastAsia="es-MX"/>
        </w:rPr>
        <w:t>contratación de servicios y la administración de los recursos humanos.</w:t>
      </w:r>
    </w:p>
    <w:p w14:paraId="4D6C2FD0" w14:textId="77777777" w:rsidR="0027514C" w:rsidRPr="0027514C" w:rsidRDefault="0027514C" w:rsidP="0027514C">
      <w:pPr>
        <w:spacing w:before="188"/>
        <w:ind w:left="709" w:right="161"/>
        <w:jc w:val="both"/>
        <w:rPr>
          <w:rFonts w:ascii="Abadi" w:hAnsi="Abadi" w:cs="Arial"/>
          <w:i/>
          <w:sz w:val="21"/>
          <w:szCs w:val="21"/>
          <w:lang w:val="es-MX" w:eastAsia="es-MX"/>
        </w:rPr>
      </w:pPr>
      <w:r w:rsidRPr="0027514C">
        <w:rPr>
          <w:rFonts w:ascii="Abadi" w:hAnsi="Abadi" w:cs="Arial"/>
          <w:i/>
          <w:sz w:val="21"/>
          <w:szCs w:val="21"/>
          <w:lang w:val="es-MX" w:eastAsia="es-MX"/>
        </w:rPr>
        <w:t>Una vez concluida la auditoría, la ASEG en su momento y en su caso, emita lo siguiente:</w:t>
      </w:r>
    </w:p>
    <w:p w14:paraId="4A731E52" w14:textId="77777777" w:rsidR="0027514C" w:rsidRPr="0027514C" w:rsidRDefault="0027514C" w:rsidP="0027514C">
      <w:pPr>
        <w:spacing w:before="188"/>
        <w:ind w:left="709" w:right="161"/>
        <w:jc w:val="both"/>
        <w:rPr>
          <w:rFonts w:ascii="Abadi" w:hAnsi="Abadi" w:cs="Arial"/>
          <w:i/>
          <w:sz w:val="21"/>
          <w:szCs w:val="21"/>
          <w:lang w:val="es-MX" w:eastAsia="es-MX"/>
        </w:rPr>
      </w:pPr>
      <w:r w:rsidRPr="0027514C">
        <w:rPr>
          <w:rFonts w:ascii="Abadi" w:hAnsi="Abadi" w:cs="Arial"/>
          <w:i/>
          <w:sz w:val="21"/>
          <w:szCs w:val="21"/>
          <w:lang w:val="es-MX" w:eastAsia="es-MX"/>
        </w:rPr>
        <w:t>•</w:t>
      </w:r>
      <w:r w:rsidRPr="0027514C">
        <w:rPr>
          <w:rFonts w:ascii="Abadi" w:hAnsi="Abadi" w:cs="Arial"/>
          <w:i/>
          <w:sz w:val="21"/>
          <w:szCs w:val="21"/>
          <w:lang w:val="es-MX" w:eastAsia="es-MX"/>
        </w:rPr>
        <w:tab/>
        <w:t>Las observaciones correspondientes.</w:t>
      </w:r>
    </w:p>
    <w:p w14:paraId="3D5F0EE0" w14:textId="77777777" w:rsidR="0027514C" w:rsidRPr="0027514C" w:rsidRDefault="0027514C" w:rsidP="0027514C">
      <w:pPr>
        <w:spacing w:before="188"/>
        <w:ind w:left="709" w:right="161"/>
        <w:jc w:val="both"/>
        <w:rPr>
          <w:rFonts w:ascii="Abadi" w:hAnsi="Abadi" w:cs="Arial"/>
          <w:i/>
          <w:sz w:val="21"/>
          <w:szCs w:val="21"/>
          <w:lang w:val="es-MX" w:eastAsia="es-MX"/>
        </w:rPr>
      </w:pPr>
      <w:r w:rsidRPr="0027514C">
        <w:rPr>
          <w:rFonts w:ascii="Abadi" w:hAnsi="Abadi" w:cs="Arial"/>
          <w:i/>
          <w:sz w:val="21"/>
          <w:szCs w:val="21"/>
          <w:lang w:val="es-MX" w:eastAsia="es-MX"/>
        </w:rPr>
        <w:t>•</w:t>
      </w:r>
      <w:r w:rsidRPr="0027514C">
        <w:rPr>
          <w:rFonts w:ascii="Abadi" w:hAnsi="Abadi" w:cs="Arial"/>
          <w:i/>
          <w:sz w:val="21"/>
          <w:szCs w:val="21"/>
          <w:lang w:val="es-MX" w:eastAsia="es-MX"/>
        </w:rPr>
        <w:tab/>
        <w:t>El tipo de responsabilidad ya sea administrativa, civil, penal o fiscal.</w:t>
      </w:r>
    </w:p>
    <w:p w14:paraId="02CA6E1D" w14:textId="77777777" w:rsidR="0027514C" w:rsidRPr="0027514C" w:rsidRDefault="0027514C" w:rsidP="0027514C">
      <w:pPr>
        <w:spacing w:before="188"/>
        <w:ind w:left="709" w:right="161"/>
        <w:jc w:val="both"/>
        <w:rPr>
          <w:rFonts w:ascii="Abadi" w:hAnsi="Abadi" w:cs="Arial"/>
          <w:i/>
          <w:sz w:val="21"/>
          <w:szCs w:val="21"/>
          <w:lang w:val="es-MX" w:eastAsia="es-MX"/>
        </w:rPr>
      </w:pPr>
      <w:r w:rsidRPr="0027514C">
        <w:rPr>
          <w:rFonts w:ascii="Abadi" w:hAnsi="Abadi" w:cs="Arial"/>
          <w:i/>
          <w:sz w:val="21"/>
          <w:szCs w:val="21"/>
          <w:lang w:val="es-MX" w:eastAsia="es-MX"/>
        </w:rPr>
        <w:t>•</w:t>
      </w:r>
      <w:r w:rsidRPr="0027514C">
        <w:rPr>
          <w:rFonts w:ascii="Abadi" w:hAnsi="Abadi" w:cs="Arial"/>
          <w:i/>
          <w:sz w:val="21"/>
          <w:szCs w:val="21"/>
          <w:lang w:val="es-MX" w:eastAsia="es-MX"/>
        </w:rPr>
        <w:tab/>
        <w:t>Los presuntos responsables.</w:t>
      </w:r>
    </w:p>
    <w:p w14:paraId="2AEEEDA2" w14:textId="77777777" w:rsidR="0027514C" w:rsidRPr="0027514C" w:rsidRDefault="0027514C" w:rsidP="0027514C">
      <w:pPr>
        <w:spacing w:before="188"/>
        <w:ind w:left="709" w:right="161"/>
        <w:jc w:val="both"/>
        <w:rPr>
          <w:rFonts w:ascii="Abadi" w:hAnsi="Abadi" w:cs="Arial"/>
          <w:i/>
          <w:sz w:val="21"/>
          <w:szCs w:val="21"/>
          <w:lang w:val="es-MX" w:eastAsia="es-MX"/>
        </w:rPr>
      </w:pPr>
      <w:r w:rsidRPr="0027514C">
        <w:rPr>
          <w:rFonts w:ascii="Abadi" w:hAnsi="Abadi" w:cs="Arial"/>
          <w:i/>
          <w:sz w:val="21"/>
          <w:szCs w:val="21"/>
          <w:lang w:val="es-MX" w:eastAsia="es-MX"/>
        </w:rPr>
        <w:t>•</w:t>
      </w:r>
      <w:r w:rsidRPr="0027514C">
        <w:rPr>
          <w:rFonts w:ascii="Abadi" w:hAnsi="Abadi" w:cs="Arial"/>
          <w:i/>
          <w:sz w:val="21"/>
          <w:szCs w:val="21"/>
          <w:lang w:val="es-MX" w:eastAsia="es-MX"/>
        </w:rPr>
        <w:tab/>
        <w:t>Motivación y fundamento de las acciones que deberán promoverse.</w:t>
      </w:r>
    </w:p>
    <w:p w14:paraId="2B1F21F1" w14:textId="77777777" w:rsidR="0027514C" w:rsidRPr="0027514C" w:rsidRDefault="0027514C" w:rsidP="0027514C">
      <w:pPr>
        <w:spacing w:before="188"/>
        <w:ind w:left="709" w:right="161"/>
        <w:jc w:val="both"/>
        <w:rPr>
          <w:rFonts w:ascii="Abadi" w:hAnsi="Abadi" w:cs="Arial"/>
          <w:i/>
          <w:sz w:val="21"/>
          <w:szCs w:val="21"/>
          <w:lang w:val="es-MX" w:eastAsia="es-MX"/>
        </w:rPr>
      </w:pPr>
      <w:r w:rsidRPr="0027514C">
        <w:rPr>
          <w:rFonts w:ascii="Abadi" w:hAnsi="Abadi" w:cs="Arial"/>
          <w:i/>
          <w:sz w:val="21"/>
          <w:szCs w:val="21"/>
          <w:lang w:val="es-MX" w:eastAsia="es-MX"/>
        </w:rPr>
        <w:t>Y una vez que el Pleno del Congreso del Estado apruebe los informes de resultados derivado del procedimiento de fiscalización que nos ocupa, la Auditoría Superior del Estado emprenda las acciones de responsabilidad conducentes en los términos de las leyes aplicables, y promueva el seguimiento a observaciones y recomendaciones, informando a esta Asamblea en el momento oportuno lo siguiente:</w:t>
      </w:r>
    </w:p>
    <w:p w14:paraId="6465ECF8" w14:textId="77777777" w:rsidR="0027514C" w:rsidRPr="0027514C" w:rsidRDefault="0027514C" w:rsidP="0027514C">
      <w:pPr>
        <w:spacing w:before="188"/>
        <w:ind w:left="709" w:right="161"/>
        <w:jc w:val="both"/>
        <w:rPr>
          <w:rFonts w:ascii="Abadi" w:hAnsi="Abadi" w:cs="Arial"/>
          <w:i/>
          <w:sz w:val="21"/>
          <w:szCs w:val="21"/>
          <w:lang w:val="es-MX" w:eastAsia="es-MX"/>
        </w:rPr>
      </w:pPr>
      <w:r w:rsidRPr="0027514C">
        <w:rPr>
          <w:rFonts w:ascii="Abadi" w:hAnsi="Abadi" w:cs="Arial"/>
          <w:i/>
          <w:sz w:val="21"/>
          <w:szCs w:val="21"/>
          <w:lang w:val="es-MX" w:eastAsia="es-MX"/>
        </w:rPr>
        <w:t>•</w:t>
      </w:r>
      <w:r w:rsidRPr="0027514C">
        <w:rPr>
          <w:rFonts w:ascii="Abadi" w:hAnsi="Abadi" w:cs="Arial"/>
          <w:i/>
          <w:sz w:val="21"/>
          <w:szCs w:val="21"/>
          <w:lang w:val="es-MX" w:eastAsia="es-MX"/>
        </w:rPr>
        <w:tab/>
        <w:t>El estatus de la imposición de responsabilidades administrativas, así como el seguimiento de las presuntas responsabilidades civiles, penales y fiscales.</w:t>
      </w:r>
    </w:p>
    <w:p w14:paraId="3540DECE" w14:textId="77777777" w:rsidR="0027514C" w:rsidRPr="0027514C" w:rsidRDefault="0027514C" w:rsidP="0027514C">
      <w:pPr>
        <w:spacing w:before="188"/>
        <w:ind w:left="709" w:right="161"/>
        <w:jc w:val="both"/>
        <w:rPr>
          <w:rFonts w:ascii="Abadi" w:hAnsi="Abadi" w:cs="Arial"/>
          <w:i/>
          <w:sz w:val="21"/>
          <w:szCs w:val="21"/>
          <w:lang w:val="es-MX" w:eastAsia="es-MX"/>
        </w:rPr>
      </w:pPr>
      <w:r w:rsidRPr="0027514C">
        <w:rPr>
          <w:rFonts w:ascii="Abadi" w:hAnsi="Abadi" w:cs="Arial"/>
          <w:i/>
          <w:sz w:val="21"/>
          <w:szCs w:val="21"/>
          <w:lang w:val="es-MX" w:eastAsia="es-MX"/>
        </w:rPr>
        <w:t>•</w:t>
      </w:r>
      <w:r w:rsidRPr="0027514C">
        <w:rPr>
          <w:rFonts w:ascii="Abadi" w:hAnsi="Abadi" w:cs="Arial"/>
          <w:i/>
          <w:sz w:val="21"/>
          <w:szCs w:val="21"/>
          <w:lang w:val="es-MX" w:eastAsia="es-MX"/>
        </w:rPr>
        <w:tab/>
        <w:t>El estatus que guarda la solventación de observaciones y acciones promovidas.</w:t>
      </w:r>
    </w:p>
    <w:p w14:paraId="14B05037" w14:textId="77777777" w:rsidR="0027514C" w:rsidRPr="0027514C" w:rsidRDefault="0027514C" w:rsidP="0027514C">
      <w:pPr>
        <w:spacing w:before="188"/>
        <w:ind w:left="709" w:right="161"/>
        <w:jc w:val="both"/>
        <w:rPr>
          <w:rFonts w:ascii="Abadi" w:hAnsi="Abadi" w:cs="Arial"/>
          <w:i/>
          <w:sz w:val="21"/>
          <w:szCs w:val="21"/>
          <w:lang w:val="es-MX" w:eastAsia="es-MX"/>
        </w:rPr>
      </w:pPr>
      <w:r w:rsidRPr="0027514C">
        <w:rPr>
          <w:rFonts w:ascii="Abadi" w:hAnsi="Abadi" w:cs="Arial"/>
          <w:i/>
          <w:sz w:val="21"/>
          <w:szCs w:val="21"/>
          <w:lang w:val="es-MX" w:eastAsia="es-MX"/>
        </w:rPr>
        <w:t>•</w:t>
      </w:r>
      <w:r w:rsidRPr="0027514C">
        <w:rPr>
          <w:rFonts w:ascii="Abadi" w:hAnsi="Abadi" w:cs="Arial"/>
          <w:i/>
          <w:sz w:val="21"/>
          <w:szCs w:val="21"/>
          <w:lang w:val="es-MX" w:eastAsia="es-MX"/>
        </w:rPr>
        <w:tab/>
        <w:t xml:space="preserve">La cuantía de daños y perjuicios derivada de los procedimientos </w:t>
      </w:r>
      <w:r w:rsidRPr="0027514C">
        <w:rPr>
          <w:rFonts w:ascii="Abadi" w:hAnsi="Abadi" w:cs="Arial"/>
          <w:i/>
          <w:sz w:val="21"/>
          <w:szCs w:val="21"/>
          <w:lang w:val="es-MX" w:eastAsia="es-MX"/>
        </w:rPr>
        <w:t>respectivos por parte de las autoridades competentes.</w:t>
      </w:r>
    </w:p>
    <w:p w14:paraId="4B021D7B" w14:textId="77777777" w:rsidR="0027514C" w:rsidRPr="0027514C" w:rsidRDefault="0027514C" w:rsidP="0027514C">
      <w:pPr>
        <w:spacing w:before="188"/>
        <w:ind w:left="709" w:right="161"/>
        <w:jc w:val="both"/>
        <w:rPr>
          <w:rFonts w:ascii="Abadi" w:hAnsi="Abadi" w:cs="Arial"/>
          <w:i/>
          <w:sz w:val="21"/>
          <w:szCs w:val="21"/>
          <w:lang w:val="es-MX" w:eastAsia="es-MX"/>
        </w:rPr>
      </w:pPr>
      <w:r w:rsidRPr="0027514C">
        <w:rPr>
          <w:rFonts w:ascii="Abadi" w:hAnsi="Abadi" w:cs="Arial"/>
          <w:i/>
          <w:sz w:val="21"/>
          <w:szCs w:val="21"/>
          <w:lang w:val="es-MX" w:eastAsia="es-MX"/>
        </w:rPr>
        <w:t>•</w:t>
      </w:r>
      <w:r w:rsidRPr="0027514C">
        <w:rPr>
          <w:rFonts w:ascii="Abadi" w:hAnsi="Abadi" w:cs="Arial"/>
          <w:i/>
          <w:sz w:val="21"/>
          <w:szCs w:val="21"/>
          <w:lang w:val="es-MX" w:eastAsia="es-MX"/>
        </w:rPr>
        <w:tab/>
        <w:t>Las acciones correctivas realizadas por el órgano de control interno del Ayuntamiento de León, Gto.</w:t>
      </w:r>
    </w:p>
    <w:p w14:paraId="2B31C6CF" w14:textId="77777777" w:rsidR="0027514C" w:rsidRPr="0027514C" w:rsidRDefault="0027514C" w:rsidP="0027514C">
      <w:pPr>
        <w:spacing w:before="188"/>
        <w:ind w:left="709" w:right="161"/>
        <w:jc w:val="both"/>
        <w:rPr>
          <w:rFonts w:ascii="Abadi" w:hAnsi="Abadi" w:cs="Arial"/>
          <w:i/>
          <w:sz w:val="21"/>
          <w:szCs w:val="21"/>
          <w:lang w:val="es-MX" w:eastAsia="es-MX"/>
        </w:rPr>
      </w:pPr>
      <w:r w:rsidRPr="0027514C">
        <w:rPr>
          <w:rFonts w:ascii="Abadi" w:hAnsi="Abadi" w:cs="Arial"/>
          <w:i/>
          <w:sz w:val="21"/>
          <w:szCs w:val="21"/>
          <w:lang w:val="es-MX" w:eastAsia="es-MX"/>
        </w:rPr>
        <w:t>•</w:t>
      </w:r>
      <w:r w:rsidRPr="0027514C">
        <w:rPr>
          <w:rFonts w:ascii="Abadi" w:hAnsi="Abadi" w:cs="Arial"/>
          <w:i/>
          <w:sz w:val="21"/>
          <w:szCs w:val="21"/>
          <w:lang w:val="es-MX" w:eastAsia="es-MX"/>
        </w:rPr>
        <w:tab/>
        <w:t>Las acciones que se han implementado para solventar las recomendaciones derivadas de los procedimientos de fiscalización.</w:t>
      </w:r>
    </w:p>
    <w:p w14:paraId="2FA4C5D9" w14:textId="77777777" w:rsidR="0027514C" w:rsidRPr="0027514C" w:rsidRDefault="0027514C" w:rsidP="001A28E5">
      <w:pPr>
        <w:numPr>
          <w:ilvl w:val="0"/>
          <w:numId w:val="48"/>
        </w:numPr>
        <w:spacing w:before="188"/>
        <w:ind w:right="161"/>
        <w:jc w:val="both"/>
        <w:rPr>
          <w:rFonts w:ascii="Abadi" w:hAnsi="Abadi" w:cs="Arial"/>
          <w:i/>
          <w:sz w:val="21"/>
          <w:szCs w:val="21"/>
          <w:lang w:eastAsia="es-MX"/>
        </w:rPr>
      </w:pPr>
      <w:r w:rsidRPr="0027514C">
        <w:rPr>
          <w:rFonts w:ascii="Abadi" w:hAnsi="Abadi"/>
          <w:sz w:val="21"/>
          <w:szCs w:val="21"/>
          <w:lang w:val="es-MX" w:eastAsia="es-MX"/>
        </w:rPr>
        <w:t xml:space="preserve">En las consideraciones expuestas por </w:t>
      </w:r>
      <w:r w:rsidRPr="0027514C">
        <w:rPr>
          <w:rFonts w:ascii="Abadi" w:hAnsi="Abadi"/>
          <w:sz w:val="21"/>
          <w:szCs w:val="21"/>
          <w:lang w:val="es-ES_tradnl"/>
        </w:rPr>
        <w:t xml:space="preserve">la diputada </w:t>
      </w:r>
      <w:r w:rsidRPr="0027514C">
        <w:rPr>
          <w:rFonts w:ascii="Abadi" w:hAnsi="Abadi"/>
          <w:sz w:val="21"/>
          <w:szCs w:val="21"/>
          <w:lang w:val="es-ES_tradnl" w:eastAsia="es-MX"/>
        </w:rPr>
        <w:t>Alma Edwviges Alcaraz Hernández se refiere:</w:t>
      </w:r>
    </w:p>
    <w:p w14:paraId="5F46D6B8" w14:textId="77777777" w:rsidR="0027514C" w:rsidRPr="0027514C" w:rsidRDefault="0027514C" w:rsidP="0027514C">
      <w:pPr>
        <w:jc w:val="both"/>
        <w:rPr>
          <w:rFonts w:ascii="Abadi" w:hAnsi="Abadi"/>
          <w:sz w:val="21"/>
          <w:szCs w:val="21"/>
          <w:lang w:val="es-MX" w:eastAsia="es-MX"/>
        </w:rPr>
      </w:pPr>
    </w:p>
    <w:p w14:paraId="3BA83639" w14:textId="77777777" w:rsidR="0027514C" w:rsidRPr="0027514C" w:rsidRDefault="0027514C" w:rsidP="0027514C">
      <w:pPr>
        <w:ind w:left="709"/>
        <w:jc w:val="both"/>
        <w:rPr>
          <w:rFonts w:ascii="Abadi" w:hAnsi="Abadi" w:cs="Arial"/>
          <w:i/>
          <w:sz w:val="21"/>
          <w:szCs w:val="21"/>
          <w:lang w:val="es-MX" w:eastAsia="es-MX"/>
        </w:rPr>
      </w:pPr>
      <w:r w:rsidRPr="0027514C">
        <w:rPr>
          <w:rFonts w:ascii="Abadi" w:hAnsi="Abadi" w:cs="Arial"/>
          <w:i/>
          <w:sz w:val="21"/>
          <w:szCs w:val="21"/>
          <w:lang w:val="es-MX" w:eastAsia="es-MX"/>
        </w:rPr>
        <w:t>El municipio de León es uno de los que más presupuesto ejerce en todo el estado de Guanajuato. Tan sólo durante la segunda administración de Héctor López Santillana, el presupuesto ejercido ascendió a más de 19 mil millones de pesos</w:t>
      </w:r>
      <w:r w:rsidRPr="0027514C">
        <w:rPr>
          <w:rFonts w:ascii="Abadi" w:hAnsi="Abadi"/>
          <w:i/>
          <w:sz w:val="21"/>
          <w:szCs w:val="21"/>
          <w:vertAlign w:val="superscript"/>
          <w:lang w:val="es-MX" w:eastAsia="es-MX"/>
        </w:rPr>
        <w:footnoteReference w:id="123"/>
      </w:r>
      <w:r w:rsidRPr="0027514C">
        <w:rPr>
          <w:rFonts w:ascii="Abadi" w:hAnsi="Abadi" w:cs="Arial"/>
          <w:i/>
          <w:sz w:val="21"/>
          <w:szCs w:val="21"/>
          <w:lang w:val="es-MX" w:eastAsia="es-MX"/>
        </w:rPr>
        <w:t xml:space="preserve">, es decir, alrededor de 6 mil 339 millones de pesos por año.  </w:t>
      </w:r>
    </w:p>
    <w:p w14:paraId="3F34F955" w14:textId="77777777" w:rsidR="0027514C" w:rsidRPr="0027514C" w:rsidRDefault="0027514C" w:rsidP="0027514C">
      <w:pPr>
        <w:ind w:left="709"/>
        <w:jc w:val="both"/>
        <w:rPr>
          <w:rFonts w:ascii="Abadi" w:hAnsi="Abadi" w:cs="Arial"/>
          <w:i/>
          <w:sz w:val="21"/>
          <w:szCs w:val="21"/>
          <w:lang w:val="es-MX" w:eastAsia="es-MX"/>
        </w:rPr>
      </w:pPr>
    </w:p>
    <w:p w14:paraId="6E4DF670" w14:textId="77777777" w:rsidR="0027514C" w:rsidRPr="0027514C" w:rsidRDefault="0027514C" w:rsidP="0027514C">
      <w:pPr>
        <w:ind w:left="709"/>
        <w:jc w:val="both"/>
        <w:rPr>
          <w:rFonts w:ascii="Abadi" w:hAnsi="Abadi" w:cs="Arial"/>
          <w:i/>
          <w:sz w:val="21"/>
          <w:szCs w:val="21"/>
          <w:lang w:val="es-MX" w:eastAsia="es-MX"/>
        </w:rPr>
      </w:pPr>
      <w:r w:rsidRPr="0027514C">
        <w:rPr>
          <w:rFonts w:ascii="Abadi" w:hAnsi="Abadi" w:cs="Arial"/>
          <w:i/>
          <w:sz w:val="21"/>
          <w:szCs w:val="21"/>
          <w:lang w:val="es-MX" w:eastAsia="es-MX"/>
        </w:rPr>
        <w:t xml:space="preserve">Sin embargo, lejos de que el ejercicio de dichos recursos haya sido pulcro, existen casos de corrupción tan evidentes que la Contraloría de la actual administración del Ayuntamiento no ha tenido más opción que llamar la atención sobre algunos de los sucedidos durante el periodo de López Santillana. </w:t>
      </w:r>
    </w:p>
    <w:p w14:paraId="3FF4083F" w14:textId="77777777" w:rsidR="0027514C" w:rsidRPr="0027514C" w:rsidRDefault="0027514C" w:rsidP="0027514C">
      <w:pPr>
        <w:ind w:left="709"/>
        <w:jc w:val="both"/>
        <w:rPr>
          <w:rFonts w:ascii="Abadi" w:hAnsi="Abadi" w:cs="Arial"/>
          <w:i/>
          <w:sz w:val="21"/>
          <w:szCs w:val="21"/>
          <w:lang w:val="es-MX" w:eastAsia="es-MX"/>
        </w:rPr>
      </w:pPr>
    </w:p>
    <w:p w14:paraId="0FED1F8C" w14:textId="77777777" w:rsidR="0027514C" w:rsidRPr="0027514C" w:rsidRDefault="0027514C" w:rsidP="0027514C">
      <w:pPr>
        <w:ind w:left="709"/>
        <w:jc w:val="both"/>
        <w:rPr>
          <w:rFonts w:ascii="Abadi" w:hAnsi="Abadi" w:cs="Arial"/>
          <w:i/>
          <w:sz w:val="21"/>
          <w:szCs w:val="21"/>
          <w:lang w:val="es-MX" w:eastAsia="es-MX"/>
        </w:rPr>
      </w:pPr>
      <w:r w:rsidRPr="0027514C">
        <w:rPr>
          <w:rFonts w:ascii="Abadi" w:hAnsi="Abadi" w:cs="Arial"/>
          <w:i/>
          <w:sz w:val="21"/>
          <w:szCs w:val="21"/>
          <w:lang w:val="es-MX" w:eastAsia="es-MX"/>
        </w:rPr>
        <w:t>Ejemplo de lo anterior es el caso del despojo al jardín de niños Juan Aldama por parte de un empresario cercano a las cúpulas panistas, mismo que Morena ha denunciado tanto desde esta tribuna, como desde el Ayuntamiento del propio municipio.</w:t>
      </w:r>
    </w:p>
    <w:p w14:paraId="16DFFC5A" w14:textId="77777777" w:rsidR="0027514C" w:rsidRPr="0027514C" w:rsidRDefault="0027514C" w:rsidP="0027514C">
      <w:pPr>
        <w:ind w:left="709"/>
        <w:jc w:val="both"/>
        <w:rPr>
          <w:rFonts w:ascii="Abadi" w:hAnsi="Abadi" w:cs="Arial"/>
          <w:i/>
          <w:sz w:val="21"/>
          <w:szCs w:val="21"/>
          <w:lang w:val="es-MX" w:eastAsia="es-MX"/>
        </w:rPr>
      </w:pPr>
    </w:p>
    <w:p w14:paraId="29E0CEE8" w14:textId="77777777" w:rsidR="0027514C" w:rsidRPr="0027514C" w:rsidRDefault="0027514C" w:rsidP="0027514C">
      <w:pPr>
        <w:ind w:left="709"/>
        <w:jc w:val="both"/>
        <w:rPr>
          <w:rFonts w:ascii="Abadi" w:hAnsi="Abadi" w:cs="Arial"/>
          <w:i/>
          <w:sz w:val="21"/>
          <w:szCs w:val="21"/>
          <w:lang w:val="es-MX" w:eastAsia="es-MX"/>
        </w:rPr>
      </w:pPr>
      <w:r w:rsidRPr="0027514C">
        <w:rPr>
          <w:rFonts w:ascii="Abadi" w:hAnsi="Abadi" w:cs="Arial"/>
          <w:i/>
          <w:sz w:val="21"/>
          <w:szCs w:val="21"/>
          <w:lang w:eastAsia="es-MX"/>
        </w:rPr>
        <w:t>Otro ejemplo lo constituyen los moches que varias empresas entregaban a funcionarios de la dirección general de desarrollo institucional para firmar contratos de prestación de servicios o venta de bienes para los más de 7 mil</w:t>
      </w:r>
      <w:r w:rsidRPr="0027514C">
        <w:rPr>
          <w:rFonts w:ascii="Abadi" w:hAnsi="Abadi" w:cs="Arial"/>
          <w:i/>
          <w:sz w:val="21"/>
          <w:szCs w:val="21"/>
          <w:lang w:val="es-MX" w:eastAsia="es-MX"/>
        </w:rPr>
        <w:t xml:space="preserve"> empleados del ayuntamiento. En este caso, incluso se estableció denuncia penal con número 131271/2021 que ahora debe resolver la Fiscalía. </w:t>
      </w:r>
    </w:p>
    <w:p w14:paraId="306E5553" w14:textId="77777777" w:rsidR="0027514C" w:rsidRPr="0027514C" w:rsidRDefault="0027514C" w:rsidP="0027514C">
      <w:pPr>
        <w:ind w:left="709"/>
        <w:jc w:val="both"/>
        <w:rPr>
          <w:rFonts w:ascii="Abadi" w:hAnsi="Abadi" w:cs="Arial"/>
          <w:i/>
          <w:sz w:val="21"/>
          <w:szCs w:val="21"/>
          <w:lang w:val="es-MX" w:eastAsia="es-MX"/>
        </w:rPr>
      </w:pPr>
    </w:p>
    <w:p w14:paraId="13CC3017" w14:textId="77777777" w:rsidR="0027514C" w:rsidRPr="0027514C" w:rsidRDefault="0027514C" w:rsidP="0027514C">
      <w:pPr>
        <w:ind w:left="709"/>
        <w:jc w:val="both"/>
        <w:rPr>
          <w:rFonts w:ascii="Abadi" w:hAnsi="Abadi" w:cs="Arial"/>
          <w:i/>
          <w:sz w:val="21"/>
          <w:szCs w:val="21"/>
          <w:lang w:val="es-MX" w:eastAsia="es-MX"/>
        </w:rPr>
      </w:pPr>
      <w:r w:rsidRPr="0027514C">
        <w:rPr>
          <w:rFonts w:ascii="Abadi" w:hAnsi="Abadi" w:cs="Arial"/>
          <w:i/>
          <w:sz w:val="21"/>
          <w:szCs w:val="21"/>
          <w:lang w:val="es-MX" w:eastAsia="es-MX"/>
        </w:rPr>
        <w:lastRenderedPageBreak/>
        <w:t xml:space="preserve">Un ejemplo más es la condonación de 2.5 millones de pesos de impuesto predial que la administración panista intentó condonar al campo de golf Club Campestre, haciéndolo pasar por predio de uso agrícola. </w:t>
      </w:r>
    </w:p>
    <w:p w14:paraId="1B5D9B27" w14:textId="77777777" w:rsidR="0027514C" w:rsidRPr="0027514C" w:rsidRDefault="0027514C" w:rsidP="0027514C">
      <w:pPr>
        <w:ind w:left="709"/>
        <w:jc w:val="both"/>
        <w:rPr>
          <w:rFonts w:ascii="Abadi" w:hAnsi="Abadi" w:cs="Arial"/>
          <w:i/>
          <w:sz w:val="21"/>
          <w:szCs w:val="21"/>
          <w:lang w:val="es-MX" w:eastAsia="es-MX"/>
        </w:rPr>
      </w:pPr>
    </w:p>
    <w:p w14:paraId="7115F4DE" w14:textId="77777777" w:rsidR="0027514C" w:rsidRPr="0027514C" w:rsidRDefault="0027514C" w:rsidP="0027514C">
      <w:pPr>
        <w:ind w:left="709"/>
        <w:jc w:val="both"/>
        <w:rPr>
          <w:rFonts w:ascii="Abadi" w:hAnsi="Abadi" w:cs="Arial"/>
          <w:i/>
          <w:sz w:val="21"/>
          <w:szCs w:val="21"/>
          <w:lang w:val="es-MX" w:eastAsia="es-MX"/>
        </w:rPr>
      </w:pPr>
      <w:r w:rsidRPr="0027514C">
        <w:rPr>
          <w:rFonts w:ascii="Abadi" w:hAnsi="Abadi" w:cs="Arial"/>
          <w:i/>
          <w:sz w:val="21"/>
          <w:szCs w:val="21"/>
          <w:lang w:val="es-MX" w:eastAsia="es-MX"/>
        </w:rPr>
        <w:t>Pese a que los anteriores ejemplos están lejos de constituir un listado exhaustivo, sirven para ilustrar la duda razonable que tiene la ciudadanía sobre la legalidad del ejercicio presupuestal de toda la administración de López Santillana. Al respecto, incluso a Diego Sinhue no le ha quedado más remedio que aceptar que, pese a su confianza en Santillana, “todas las acciones de gobierno deben ser auditadas, haya o no denuncias o sospechas; para eso están las contralorías, la gestión pública y la Auditoría Superior del Estado”</w:t>
      </w:r>
      <w:r w:rsidRPr="0027514C">
        <w:rPr>
          <w:rFonts w:ascii="Abadi" w:hAnsi="Abadi"/>
          <w:i/>
          <w:sz w:val="21"/>
          <w:szCs w:val="21"/>
          <w:vertAlign w:val="superscript"/>
          <w:lang w:val="es-MX" w:eastAsia="es-MX"/>
        </w:rPr>
        <w:footnoteReference w:id="124"/>
      </w:r>
      <w:r w:rsidRPr="0027514C">
        <w:rPr>
          <w:rFonts w:ascii="Abadi" w:hAnsi="Abadi" w:cs="Arial"/>
          <w:i/>
          <w:sz w:val="21"/>
          <w:szCs w:val="21"/>
          <w:lang w:val="es-MX" w:eastAsia="es-MX"/>
        </w:rPr>
        <w:t>.</w:t>
      </w:r>
    </w:p>
    <w:p w14:paraId="725FD059" w14:textId="77777777" w:rsidR="0027514C" w:rsidRPr="0027514C" w:rsidRDefault="0027514C" w:rsidP="0027514C">
      <w:pPr>
        <w:ind w:left="709"/>
        <w:jc w:val="both"/>
        <w:rPr>
          <w:rFonts w:ascii="Abadi" w:hAnsi="Abadi" w:cs="Arial"/>
          <w:i/>
          <w:sz w:val="21"/>
          <w:szCs w:val="21"/>
          <w:lang w:val="es-MX" w:eastAsia="es-MX"/>
        </w:rPr>
      </w:pPr>
    </w:p>
    <w:p w14:paraId="60C8CF28" w14:textId="77777777" w:rsidR="0027514C" w:rsidRPr="0027514C" w:rsidRDefault="0027514C" w:rsidP="0027514C">
      <w:pPr>
        <w:ind w:left="709"/>
        <w:jc w:val="both"/>
        <w:rPr>
          <w:rFonts w:ascii="Abadi" w:hAnsi="Abadi" w:cs="Arial"/>
          <w:i/>
          <w:sz w:val="21"/>
          <w:szCs w:val="21"/>
          <w:lang w:val="es-MX" w:eastAsia="es-MX"/>
        </w:rPr>
      </w:pPr>
      <w:r w:rsidRPr="0027514C">
        <w:rPr>
          <w:rFonts w:ascii="Abadi" w:hAnsi="Abadi" w:cs="Arial"/>
          <w:i/>
          <w:sz w:val="21"/>
          <w:szCs w:val="21"/>
          <w:lang w:val="es-MX" w:eastAsia="es-MX"/>
        </w:rPr>
        <w:t xml:space="preserve">Lamentablemente, la capacidad de rendición de cuentas respecto recursos públicos en el ámbito del control interno del propio municipio es limitada. Por un lado, porque existe una campaña publicitaria permanente acerca de la autoproclamada pulcritud de las autoridades leonesas, tal como se demuestra cuando observamos que, durante el periodo 2019-2021, se destinaron más de 259 millones de pesos a servicios de comunicación social y publicidad, esto es, 236 mil 935 pesos diarios. Este recurso, con la discrecionalidad que supone su ejercicio, se ha orientado durante años para tratar de construir una imagen que debilita la legitimidad de la fiscalización, limitando así el alcance que pudieran tener algunas acciones correctivas del municipio.  </w:t>
      </w:r>
    </w:p>
    <w:p w14:paraId="12C00FDE" w14:textId="77777777" w:rsidR="0027514C" w:rsidRPr="0027514C" w:rsidRDefault="0027514C" w:rsidP="0027514C">
      <w:pPr>
        <w:ind w:left="709"/>
        <w:jc w:val="both"/>
        <w:rPr>
          <w:rFonts w:ascii="Abadi" w:hAnsi="Abadi" w:cs="Arial"/>
          <w:i/>
          <w:sz w:val="21"/>
          <w:szCs w:val="21"/>
          <w:lang w:val="es-MX" w:eastAsia="es-MX"/>
        </w:rPr>
      </w:pPr>
    </w:p>
    <w:p w14:paraId="6D2D856C" w14:textId="77777777" w:rsidR="0027514C" w:rsidRPr="0027514C" w:rsidRDefault="0027514C" w:rsidP="0027514C">
      <w:pPr>
        <w:ind w:left="709"/>
        <w:jc w:val="both"/>
        <w:rPr>
          <w:rFonts w:ascii="Abadi" w:hAnsi="Abadi" w:cs="Arial"/>
          <w:i/>
          <w:sz w:val="21"/>
          <w:szCs w:val="21"/>
          <w:lang w:val="es-MX" w:eastAsia="es-MX"/>
        </w:rPr>
      </w:pPr>
      <w:r w:rsidRPr="0027514C">
        <w:rPr>
          <w:rFonts w:ascii="Abadi" w:hAnsi="Abadi" w:cs="Arial"/>
          <w:i/>
          <w:sz w:val="21"/>
          <w:szCs w:val="21"/>
          <w:lang w:val="es-MX" w:eastAsia="es-MX"/>
        </w:rPr>
        <w:t xml:space="preserve">Por otro lado, las capacidades con las que cuenta la Contraloría Municipal para detectar la corrupción son escasos. Esto debido a que no se ha dado la alternancia partidista en la presidencia, con lo cual se compromete la total independencia que requiere la fiscalización; al mismo tiempo, y sin contar sus limitaciones presupuestales, su diseño organizacional </w:t>
      </w:r>
      <w:r w:rsidRPr="0027514C">
        <w:rPr>
          <w:rFonts w:ascii="Abadi" w:hAnsi="Abadi" w:cs="Arial"/>
          <w:i/>
          <w:sz w:val="21"/>
          <w:szCs w:val="21"/>
          <w:lang w:val="es-MX" w:eastAsia="es-MX"/>
        </w:rPr>
        <w:t>pone en duda sus capacidades correctivas pues, tal como señala su propia descripción, se trata de “un órgano fiscalizador preventivo más que correctivo”</w:t>
      </w:r>
      <w:r w:rsidRPr="0027514C">
        <w:rPr>
          <w:rFonts w:ascii="Abadi" w:hAnsi="Abadi"/>
          <w:i/>
          <w:sz w:val="21"/>
          <w:szCs w:val="21"/>
          <w:vertAlign w:val="superscript"/>
          <w:lang w:val="es-MX" w:eastAsia="es-MX"/>
        </w:rPr>
        <w:footnoteReference w:id="125"/>
      </w:r>
      <w:r w:rsidRPr="0027514C">
        <w:rPr>
          <w:rFonts w:ascii="Abadi" w:hAnsi="Abadi" w:cs="Arial"/>
          <w:i/>
          <w:sz w:val="21"/>
          <w:szCs w:val="21"/>
          <w:lang w:val="es-MX" w:eastAsia="es-MX"/>
        </w:rPr>
        <w:t xml:space="preserve">. </w:t>
      </w:r>
    </w:p>
    <w:p w14:paraId="06646EE8" w14:textId="77777777" w:rsidR="0027514C" w:rsidRPr="0027514C" w:rsidRDefault="0027514C" w:rsidP="0027514C">
      <w:pPr>
        <w:ind w:left="709"/>
        <w:jc w:val="both"/>
        <w:rPr>
          <w:rFonts w:ascii="Abadi" w:hAnsi="Abadi" w:cs="Arial"/>
          <w:i/>
          <w:sz w:val="21"/>
          <w:szCs w:val="21"/>
          <w:lang w:val="es-MX" w:eastAsia="es-MX"/>
        </w:rPr>
      </w:pPr>
    </w:p>
    <w:p w14:paraId="55FF78B2" w14:textId="77777777" w:rsidR="0027514C" w:rsidRPr="0027514C" w:rsidRDefault="0027514C" w:rsidP="0027514C">
      <w:pPr>
        <w:ind w:left="709"/>
        <w:jc w:val="both"/>
        <w:rPr>
          <w:rFonts w:ascii="Abadi" w:hAnsi="Abadi" w:cs="Arial"/>
          <w:i/>
          <w:sz w:val="21"/>
          <w:szCs w:val="21"/>
          <w:lang w:val="es-MX" w:eastAsia="es-MX"/>
        </w:rPr>
      </w:pPr>
      <w:r w:rsidRPr="0027514C">
        <w:rPr>
          <w:rFonts w:ascii="Abadi" w:hAnsi="Abadi" w:cs="Arial"/>
          <w:i/>
          <w:sz w:val="21"/>
          <w:szCs w:val="21"/>
          <w:lang w:val="es-MX" w:eastAsia="es-MX"/>
        </w:rPr>
        <w:t>De esta manera, reconociendo la importancia que tiene el combate a la corrupción para la transformación de la vida pública de nuestro estado, desde el Grupo Parlamentario de Morena consideramos pertinente que la organización que debe funcionar como el brazo técnico del Poder Legislativo para llevar a cabo sus labores de fiscalización, intervenga para contribuir a fiscalizar los recursos públicos ejercidos durante la última administración de Héctor López Santillana.</w:t>
      </w:r>
    </w:p>
    <w:p w14:paraId="44C62A44" w14:textId="77777777" w:rsidR="0027514C" w:rsidRPr="0027514C" w:rsidRDefault="0027514C" w:rsidP="0027514C">
      <w:pPr>
        <w:ind w:left="709"/>
        <w:jc w:val="both"/>
        <w:rPr>
          <w:rFonts w:ascii="Abadi" w:hAnsi="Abadi" w:cs="Arial"/>
          <w:i/>
          <w:sz w:val="21"/>
          <w:szCs w:val="21"/>
          <w:lang w:eastAsia="es-MX"/>
        </w:rPr>
      </w:pPr>
    </w:p>
    <w:p w14:paraId="0150583C" w14:textId="77777777" w:rsidR="0027514C" w:rsidRPr="0027514C" w:rsidRDefault="0027514C" w:rsidP="001A28E5">
      <w:pPr>
        <w:numPr>
          <w:ilvl w:val="0"/>
          <w:numId w:val="52"/>
        </w:numPr>
        <w:jc w:val="both"/>
        <w:rPr>
          <w:rFonts w:ascii="Abadi" w:hAnsi="Abadi" w:cs="Arial"/>
          <w:b/>
          <w:bCs/>
          <w:sz w:val="21"/>
          <w:szCs w:val="21"/>
          <w:lang w:val="es-MX" w:eastAsia="es-MX"/>
        </w:rPr>
      </w:pPr>
      <w:r w:rsidRPr="0027514C">
        <w:rPr>
          <w:rFonts w:ascii="Abadi" w:hAnsi="Abadi" w:cs="Arial"/>
          <w:b/>
          <w:bCs/>
          <w:sz w:val="21"/>
          <w:szCs w:val="21"/>
          <w:lang w:val="es-MX" w:eastAsia="es-MX"/>
        </w:rPr>
        <w:t>Consideraciones de la Comisión</w:t>
      </w:r>
    </w:p>
    <w:p w14:paraId="0255ADFF" w14:textId="77777777" w:rsidR="0027514C" w:rsidRPr="0027514C" w:rsidRDefault="0027514C" w:rsidP="0027514C">
      <w:pPr>
        <w:ind w:left="1080"/>
        <w:jc w:val="both"/>
        <w:rPr>
          <w:rFonts w:ascii="Abadi" w:eastAsia="Batang" w:hAnsi="Abadi" w:cs="Arial"/>
          <w:sz w:val="21"/>
          <w:szCs w:val="21"/>
          <w:lang w:val="es-MX" w:eastAsia="es-MX"/>
        </w:rPr>
      </w:pPr>
    </w:p>
    <w:p w14:paraId="2C00CBF5" w14:textId="77777777" w:rsidR="0027514C" w:rsidRPr="0027514C" w:rsidRDefault="0027514C" w:rsidP="0027514C">
      <w:pPr>
        <w:ind w:firstLine="708"/>
        <w:jc w:val="both"/>
        <w:rPr>
          <w:rFonts w:ascii="Abadi" w:hAnsi="Abadi"/>
          <w:sz w:val="21"/>
          <w:szCs w:val="21"/>
          <w:lang w:val="es-MX" w:eastAsia="es-MX"/>
        </w:rPr>
      </w:pPr>
      <w:r w:rsidRPr="0027514C">
        <w:rPr>
          <w:rFonts w:ascii="Abadi" w:hAnsi="Abadi"/>
          <w:sz w:val="21"/>
          <w:szCs w:val="21"/>
          <w:lang w:val="es-MX" w:eastAsia="es-MX"/>
        </w:rPr>
        <w:t>En las consideraciones expuestas en las propuestas que se dictamina se señala la necesidad de verificar el uso y destino de recursos públicos de la administración pública municipal de León, Gto., 2018-2021.</w:t>
      </w:r>
    </w:p>
    <w:p w14:paraId="359D3D72" w14:textId="77777777" w:rsidR="0027514C" w:rsidRPr="0027514C" w:rsidRDefault="0027514C" w:rsidP="0027514C">
      <w:pPr>
        <w:ind w:firstLine="708"/>
        <w:jc w:val="both"/>
        <w:rPr>
          <w:rFonts w:ascii="Abadi" w:hAnsi="Abadi" w:cs="Tahoma"/>
          <w:sz w:val="21"/>
          <w:szCs w:val="21"/>
          <w:lang w:val="es-MX" w:eastAsia="es-MX"/>
        </w:rPr>
      </w:pPr>
    </w:p>
    <w:p w14:paraId="6C4B1BE2" w14:textId="77777777" w:rsidR="0027514C" w:rsidRPr="0027514C" w:rsidRDefault="0027514C" w:rsidP="0027514C">
      <w:pPr>
        <w:ind w:firstLine="708"/>
        <w:jc w:val="both"/>
        <w:rPr>
          <w:rFonts w:ascii="Abadi" w:hAnsi="Abadi" w:cs="Tahoma"/>
          <w:sz w:val="21"/>
          <w:szCs w:val="21"/>
          <w:lang w:val="es-MX" w:eastAsia="es-MX"/>
        </w:rPr>
      </w:pPr>
      <w:r w:rsidRPr="0027514C">
        <w:rPr>
          <w:rFonts w:ascii="Abadi" w:hAnsi="Abadi" w:cs="Tahoma"/>
          <w:sz w:val="21"/>
          <w:szCs w:val="21"/>
          <w:lang w:val="es-MX" w:eastAsia="es-MX"/>
        </w:rPr>
        <w:t xml:space="preserve">Al respecto quienes integramos esta Comisión consideramos que la función de control es uno de los mecanismos que preservan el equilibrio entre los poderes públicos y asegura la vigencia de la ley como un instrumento que somete toda actuación de la autoridad y preserva las garantías y derechos de los ciudadanos. La vigilancia y el control sobre el ejercicio de los recursos públicos encomendados a las autoridades es una de las funciones primordiales que tiene el Poder Legislativo como responsable originario de esa función de control. </w:t>
      </w:r>
    </w:p>
    <w:p w14:paraId="1879B0FA" w14:textId="77777777" w:rsidR="0027514C" w:rsidRPr="0027514C" w:rsidRDefault="0027514C" w:rsidP="0027514C">
      <w:pPr>
        <w:ind w:firstLine="720"/>
        <w:jc w:val="both"/>
        <w:rPr>
          <w:rFonts w:ascii="Abadi" w:hAnsi="Abadi" w:cs="Tahoma"/>
          <w:sz w:val="21"/>
          <w:szCs w:val="21"/>
          <w:lang w:val="es-MX" w:eastAsia="es-MX"/>
        </w:rPr>
      </w:pPr>
    </w:p>
    <w:p w14:paraId="0F8734AD" w14:textId="77777777" w:rsidR="0027514C" w:rsidRPr="0027514C" w:rsidRDefault="0027514C" w:rsidP="0027514C">
      <w:pPr>
        <w:ind w:firstLine="720"/>
        <w:jc w:val="both"/>
        <w:rPr>
          <w:rFonts w:ascii="Abadi" w:hAnsi="Abadi" w:cs="Tahoma"/>
          <w:sz w:val="21"/>
          <w:szCs w:val="21"/>
          <w:lang w:val="es-MX" w:eastAsia="es-MX"/>
        </w:rPr>
      </w:pPr>
      <w:r w:rsidRPr="0027514C">
        <w:rPr>
          <w:rFonts w:ascii="Abadi" w:hAnsi="Abadi" w:cs="Tahoma"/>
          <w:sz w:val="21"/>
          <w:szCs w:val="21"/>
          <w:lang w:val="es-MX" w:eastAsia="es-MX"/>
        </w:rPr>
        <w:t xml:space="preserve">La administración, ejercicio, aplicación y control de los recursos públicos tienen que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w:t>
      </w:r>
      <w:r w:rsidRPr="0027514C">
        <w:rPr>
          <w:rFonts w:ascii="Abadi" w:hAnsi="Abadi" w:cs="Tahoma"/>
          <w:sz w:val="21"/>
          <w:szCs w:val="21"/>
          <w:lang w:val="es-MX" w:eastAsia="es-MX"/>
        </w:rPr>
        <w:lastRenderedPageBreak/>
        <w:t>quebrantado por las acciones u omisiones de los servidores públicos responsables.</w:t>
      </w:r>
    </w:p>
    <w:p w14:paraId="50FC79C2" w14:textId="77777777" w:rsidR="0027514C" w:rsidRPr="0027514C" w:rsidRDefault="0027514C" w:rsidP="0027514C">
      <w:pPr>
        <w:jc w:val="both"/>
        <w:rPr>
          <w:rFonts w:ascii="Abadi" w:hAnsi="Abadi" w:cs="Tahoma"/>
          <w:sz w:val="21"/>
          <w:szCs w:val="21"/>
          <w:lang w:val="es-MX" w:eastAsia="es-MX"/>
        </w:rPr>
      </w:pPr>
      <w:r w:rsidRPr="0027514C">
        <w:rPr>
          <w:rFonts w:ascii="Abadi" w:hAnsi="Abadi" w:cs="Tahoma"/>
          <w:sz w:val="21"/>
          <w:szCs w:val="21"/>
          <w:lang w:val="es-MX" w:eastAsia="es-MX"/>
        </w:rPr>
        <w:tab/>
      </w:r>
    </w:p>
    <w:p w14:paraId="00D7E810" w14:textId="77777777" w:rsidR="0027514C" w:rsidRPr="0027514C" w:rsidRDefault="0027514C" w:rsidP="0027514C">
      <w:pPr>
        <w:ind w:firstLine="708"/>
        <w:jc w:val="both"/>
        <w:rPr>
          <w:rFonts w:ascii="Abadi" w:hAnsi="Abadi" w:cs="Tahoma"/>
          <w:sz w:val="21"/>
          <w:szCs w:val="21"/>
          <w:lang w:val="es-MX" w:eastAsia="es-MX"/>
        </w:rPr>
      </w:pPr>
      <w:r w:rsidRPr="0027514C">
        <w:rPr>
          <w:rFonts w:ascii="Abadi" w:hAnsi="Abadi" w:cs="Tahoma"/>
          <w:sz w:val="21"/>
          <w:szCs w:val="21"/>
          <w:lang w:val="es-MX" w:eastAsia="es-MX"/>
        </w:rPr>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75EE6675" w14:textId="77777777" w:rsidR="0027514C" w:rsidRPr="0027514C" w:rsidRDefault="0027514C" w:rsidP="0027514C">
      <w:pPr>
        <w:jc w:val="both"/>
        <w:rPr>
          <w:rFonts w:ascii="Abadi" w:hAnsi="Abadi" w:cs="Tahoma"/>
          <w:sz w:val="21"/>
          <w:szCs w:val="21"/>
          <w:lang w:val="es-MX" w:eastAsia="es-MX"/>
        </w:rPr>
      </w:pPr>
    </w:p>
    <w:p w14:paraId="55DD7CA2" w14:textId="77777777" w:rsidR="0027514C" w:rsidRPr="0027514C" w:rsidRDefault="0027514C" w:rsidP="0027514C">
      <w:pPr>
        <w:jc w:val="both"/>
        <w:rPr>
          <w:rFonts w:ascii="Abadi" w:hAnsi="Abadi" w:cs="Tahoma"/>
          <w:sz w:val="21"/>
          <w:szCs w:val="21"/>
          <w:lang w:val="es-MX" w:eastAsia="es-MX"/>
        </w:rPr>
      </w:pPr>
      <w:r w:rsidRPr="0027514C">
        <w:rPr>
          <w:rFonts w:ascii="Abadi" w:hAnsi="Abadi" w:cs="Tahoma"/>
          <w:sz w:val="21"/>
          <w:szCs w:val="21"/>
          <w:lang w:val="es-MX" w:eastAsia="es-MX"/>
        </w:rPr>
        <w:tab/>
        <w:t xml:space="preserve">El artículo 116, fracción II, sexto párrafo de la Constitución Política de los Estados Unidos Mexicanos señala que: </w:t>
      </w:r>
      <w:r w:rsidRPr="0027514C">
        <w:rPr>
          <w:rFonts w:ascii="Abadi" w:hAnsi="Abadi" w:cs="Tahoma"/>
          <w:i/>
          <w:sz w:val="21"/>
          <w:szCs w:val="21"/>
          <w:lang w:val="es-MX" w:eastAsia="es-MX"/>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27514C">
        <w:rPr>
          <w:rFonts w:ascii="Abadi" w:hAnsi="Abadi" w:cs="Tahoma"/>
          <w:sz w:val="21"/>
          <w:szCs w:val="21"/>
          <w:lang w:val="es-MX" w:eastAsia="es-MX"/>
        </w:rPr>
        <w:t xml:space="preserve"> </w:t>
      </w:r>
    </w:p>
    <w:p w14:paraId="2D03280C" w14:textId="77777777" w:rsidR="0027514C" w:rsidRPr="0027514C" w:rsidRDefault="0027514C" w:rsidP="0027514C">
      <w:pPr>
        <w:jc w:val="both"/>
        <w:rPr>
          <w:rFonts w:ascii="Abadi" w:hAnsi="Abadi" w:cs="Tahoma"/>
          <w:sz w:val="21"/>
          <w:szCs w:val="21"/>
          <w:lang w:val="es-MX" w:eastAsia="es-MX"/>
        </w:rPr>
      </w:pPr>
    </w:p>
    <w:p w14:paraId="078EF690" w14:textId="0A8B0D90" w:rsidR="0027514C" w:rsidRPr="0027514C" w:rsidRDefault="0027514C" w:rsidP="00813592">
      <w:pPr>
        <w:ind w:firstLine="708"/>
        <w:jc w:val="both"/>
        <w:rPr>
          <w:rFonts w:ascii="Abadi" w:hAnsi="Abadi" w:cs="Tahoma"/>
          <w:sz w:val="21"/>
          <w:szCs w:val="21"/>
          <w:lang w:val="es-MX" w:eastAsia="es-MX"/>
        </w:rPr>
      </w:pPr>
      <w:r w:rsidRPr="0027514C">
        <w:rPr>
          <w:rFonts w:ascii="Abadi" w:hAnsi="Abadi" w:cs="Tahoma"/>
          <w:sz w:val="21"/>
          <w:szCs w:val="21"/>
          <w:lang w:val="es-MX" w:eastAsia="es-MX"/>
        </w:rPr>
        <w:t xml:space="preserve">La Auditoría Superior del Estado, de conformidad con el artículo 66 de la Constitución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mientras que la fracción IV del mismo precepto establece que la Auditoría Superior del Estado podrá acordar y practicar auditorías conforme a su programa anual y ejecutar las que acuerde el Congreso del Estado en los términos de la fracción XXVIII del artículo 63 de la propia Constitución Local. </w:t>
      </w:r>
    </w:p>
    <w:p w14:paraId="1295B933" w14:textId="77777777" w:rsidR="0027514C" w:rsidRPr="0027514C" w:rsidRDefault="0027514C" w:rsidP="0027514C">
      <w:pPr>
        <w:ind w:firstLine="708"/>
        <w:jc w:val="both"/>
        <w:rPr>
          <w:rFonts w:ascii="Abadi" w:hAnsi="Abadi" w:cs="Tahoma"/>
          <w:sz w:val="21"/>
          <w:szCs w:val="21"/>
          <w:lang w:val="es-MX" w:eastAsia="es-MX"/>
        </w:rPr>
      </w:pPr>
    </w:p>
    <w:p w14:paraId="14EE8690" w14:textId="77777777" w:rsidR="0027514C" w:rsidRPr="0027514C" w:rsidRDefault="0027514C" w:rsidP="0027514C">
      <w:pPr>
        <w:ind w:firstLine="720"/>
        <w:jc w:val="both"/>
        <w:rPr>
          <w:rFonts w:ascii="Abadi" w:hAnsi="Abadi" w:cs="Tahoma"/>
          <w:sz w:val="21"/>
          <w:szCs w:val="21"/>
          <w:lang w:val="es-MX" w:eastAsia="es-MX"/>
        </w:rPr>
      </w:pPr>
      <w:r w:rsidRPr="0027514C">
        <w:rPr>
          <w:rFonts w:ascii="Abadi" w:hAnsi="Abadi" w:cs="Tahoma"/>
          <w:sz w:val="21"/>
          <w:szCs w:val="21"/>
          <w:lang w:val="es-MX" w:eastAsia="es-MX"/>
        </w:rPr>
        <w:t xml:space="preserve">El ayuntamiento de León, Gto., es sujeto de la función de fiscalización del Congreso del Estado, según se desprende de los artículos 63 </w:t>
      </w:r>
      <w:r w:rsidRPr="0027514C">
        <w:rPr>
          <w:rFonts w:ascii="Abadi" w:hAnsi="Abadi" w:cs="Tahoma"/>
          <w:sz w:val="21"/>
          <w:szCs w:val="21"/>
          <w:lang w:val="es-MX" w:eastAsia="es-MX"/>
        </w:rPr>
        <w:t>fracciones XIX y XXVIII; y 66 de la Constitución Política local y 2, fracción II de la Ley de Fiscalización Superior del Estado de Guanajuato.</w:t>
      </w:r>
    </w:p>
    <w:p w14:paraId="1DACFC29" w14:textId="77777777" w:rsidR="0027514C" w:rsidRPr="0027514C" w:rsidRDefault="0027514C" w:rsidP="0027514C">
      <w:pPr>
        <w:ind w:firstLine="720"/>
        <w:jc w:val="both"/>
        <w:rPr>
          <w:rFonts w:ascii="Abadi" w:hAnsi="Abadi" w:cs="Tahoma"/>
          <w:sz w:val="21"/>
          <w:szCs w:val="21"/>
          <w:lang w:val="es-MX" w:eastAsia="es-MX"/>
        </w:rPr>
      </w:pPr>
    </w:p>
    <w:p w14:paraId="10526D11" w14:textId="77777777" w:rsidR="0027514C" w:rsidRPr="0027514C" w:rsidRDefault="0027514C" w:rsidP="0027514C">
      <w:pPr>
        <w:ind w:firstLine="720"/>
        <w:jc w:val="both"/>
        <w:rPr>
          <w:rFonts w:ascii="Abadi" w:hAnsi="Abadi" w:cs="Tahoma"/>
          <w:sz w:val="21"/>
          <w:szCs w:val="21"/>
          <w:lang w:val="es-MX" w:eastAsia="es-MX"/>
        </w:rPr>
      </w:pPr>
      <w:r w:rsidRPr="0027514C">
        <w:rPr>
          <w:rFonts w:ascii="Abadi" w:hAnsi="Abadi" w:cs="Tahoma"/>
          <w:sz w:val="21"/>
          <w:szCs w:val="21"/>
          <w:lang w:val="es-MX" w:eastAsia="es-MX"/>
        </w:rPr>
        <w:t>En este orden de ideas, de acuerdo a la información proporcionada por la Auditoría Superior del Estado, durante los ejercicios fiscales 2018, 2019 y 2020 se efectuaron las siguientes revisiones y auditorías a la administración pública de León, Gto.:</w:t>
      </w:r>
    </w:p>
    <w:p w14:paraId="452ED32F" w14:textId="77777777" w:rsidR="0027514C" w:rsidRPr="0027514C" w:rsidRDefault="0027514C" w:rsidP="0027514C">
      <w:pPr>
        <w:rPr>
          <w:rFonts w:ascii="Abadi" w:hAnsi="Abadi"/>
          <w:b/>
          <w:sz w:val="21"/>
          <w:szCs w:val="21"/>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78"/>
        <w:gridCol w:w="1027"/>
        <w:gridCol w:w="1027"/>
      </w:tblGrid>
      <w:tr w:rsidR="0027514C" w:rsidRPr="0027514C" w14:paraId="07461548" w14:textId="77777777" w:rsidTr="004E6068">
        <w:trPr>
          <w:jc w:val="center"/>
        </w:trPr>
        <w:tc>
          <w:tcPr>
            <w:tcW w:w="1271" w:type="dxa"/>
            <w:shd w:val="clear" w:color="auto" w:fill="auto"/>
          </w:tcPr>
          <w:p w14:paraId="306879C8" w14:textId="77777777" w:rsidR="0027514C" w:rsidRPr="0027514C" w:rsidRDefault="0027514C" w:rsidP="0027514C">
            <w:pPr>
              <w:jc w:val="center"/>
              <w:rPr>
                <w:rFonts w:ascii="Abadi" w:hAnsi="Abadi"/>
                <w:b/>
                <w:sz w:val="21"/>
                <w:szCs w:val="21"/>
                <w:lang w:val="es-MX" w:eastAsia="en-US"/>
              </w:rPr>
            </w:pPr>
            <w:r w:rsidRPr="0027514C">
              <w:rPr>
                <w:rFonts w:ascii="Abadi" w:hAnsi="Abadi"/>
                <w:b/>
                <w:sz w:val="21"/>
                <w:szCs w:val="21"/>
                <w:lang w:val="es-MX" w:eastAsia="en-US"/>
              </w:rPr>
              <w:t>Ejercicio</w:t>
            </w:r>
          </w:p>
        </w:tc>
        <w:tc>
          <w:tcPr>
            <w:tcW w:w="3404" w:type="dxa"/>
            <w:shd w:val="clear" w:color="auto" w:fill="auto"/>
          </w:tcPr>
          <w:p w14:paraId="3314C0FA" w14:textId="77777777" w:rsidR="0027514C" w:rsidRPr="0027514C" w:rsidRDefault="0027514C" w:rsidP="0027514C">
            <w:pPr>
              <w:jc w:val="center"/>
              <w:rPr>
                <w:rFonts w:ascii="Abadi" w:hAnsi="Abadi"/>
                <w:b/>
                <w:sz w:val="21"/>
                <w:szCs w:val="21"/>
                <w:lang w:val="es-MX" w:eastAsia="en-US"/>
              </w:rPr>
            </w:pPr>
            <w:r w:rsidRPr="0027514C">
              <w:rPr>
                <w:rFonts w:ascii="Abadi" w:hAnsi="Abadi"/>
                <w:b/>
                <w:sz w:val="21"/>
                <w:szCs w:val="21"/>
                <w:lang w:val="es-MX" w:eastAsia="en-US"/>
              </w:rPr>
              <w:t>Tipo de Revisión</w:t>
            </w:r>
          </w:p>
          <w:p w14:paraId="3E3C100F" w14:textId="77777777" w:rsidR="0027514C" w:rsidRPr="0027514C" w:rsidRDefault="0027514C" w:rsidP="0027514C">
            <w:pPr>
              <w:jc w:val="center"/>
              <w:rPr>
                <w:rFonts w:ascii="Abadi" w:hAnsi="Abadi"/>
                <w:b/>
                <w:sz w:val="21"/>
                <w:szCs w:val="21"/>
                <w:lang w:val="es-MX" w:eastAsia="en-US"/>
              </w:rPr>
            </w:pPr>
            <w:r w:rsidRPr="0027514C">
              <w:rPr>
                <w:rFonts w:ascii="Abadi" w:hAnsi="Abadi"/>
                <w:b/>
                <w:sz w:val="21"/>
                <w:szCs w:val="21"/>
                <w:lang w:val="es-MX" w:eastAsia="en-US"/>
              </w:rPr>
              <w:t>/Auditoría</w:t>
            </w:r>
          </w:p>
        </w:tc>
        <w:tc>
          <w:tcPr>
            <w:tcW w:w="1431" w:type="dxa"/>
            <w:shd w:val="clear" w:color="auto" w:fill="auto"/>
          </w:tcPr>
          <w:p w14:paraId="2140F61A" w14:textId="77777777" w:rsidR="0027514C" w:rsidRPr="0027514C" w:rsidRDefault="0027514C" w:rsidP="0027514C">
            <w:pPr>
              <w:jc w:val="center"/>
              <w:rPr>
                <w:rFonts w:ascii="Abadi" w:hAnsi="Abadi"/>
                <w:b/>
                <w:sz w:val="21"/>
                <w:szCs w:val="21"/>
                <w:lang w:val="es-MX" w:eastAsia="en-US"/>
              </w:rPr>
            </w:pPr>
            <w:r w:rsidRPr="0027514C">
              <w:rPr>
                <w:rFonts w:ascii="Abadi" w:hAnsi="Abadi"/>
                <w:b/>
                <w:sz w:val="21"/>
                <w:szCs w:val="21"/>
                <w:lang w:val="es-MX" w:eastAsia="en-US"/>
              </w:rPr>
              <w:t>Porcentaje revisado de ingresos</w:t>
            </w:r>
          </w:p>
        </w:tc>
        <w:tc>
          <w:tcPr>
            <w:tcW w:w="1431" w:type="dxa"/>
            <w:shd w:val="clear" w:color="auto" w:fill="auto"/>
          </w:tcPr>
          <w:p w14:paraId="542E1770" w14:textId="77777777" w:rsidR="0027514C" w:rsidRPr="0027514C" w:rsidRDefault="0027514C" w:rsidP="0027514C">
            <w:pPr>
              <w:jc w:val="center"/>
              <w:rPr>
                <w:rFonts w:ascii="Abadi" w:hAnsi="Abadi"/>
                <w:b/>
                <w:sz w:val="21"/>
                <w:szCs w:val="21"/>
                <w:lang w:val="es-MX" w:eastAsia="en-US"/>
              </w:rPr>
            </w:pPr>
            <w:r w:rsidRPr="0027514C">
              <w:rPr>
                <w:rFonts w:ascii="Abadi" w:hAnsi="Abadi"/>
                <w:b/>
                <w:sz w:val="21"/>
                <w:szCs w:val="21"/>
                <w:lang w:val="es-MX" w:eastAsia="en-US"/>
              </w:rPr>
              <w:t>Porcentaje revisado de egresos</w:t>
            </w:r>
          </w:p>
        </w:tc>
      </w:tr>
      <w:tr w:rsidR="0027514C" w:rsidRPr="0027514C" w14:paraId="3EB9A854" w14:textId="77777777" w:rsidTr="004E6068">
        <w:trPr>
          <w:jc w:val="center"/>
        </w:trPr>
        <w:tc>
          <w:tcPr>
            <w:tcW w:w="1271" w:type="dxa"/>
            <w:shd w:val="clear" w:color="auto" w:fill="auto"/>
          </w:tcPr>
          <w:p w14:paraId="26AB2CB8" w14:textId="77777777" w:rsidR="0027514C" w:rsidRPr="0027514C" w:rsidRDefault="0027514C" w:rsidP="0027514C">
            <w:pPr>
              <w:jc w:val="center"/>
              <w:rPr>
                <w:rFonts w:ascii="Abadi" w:hAnsi="Abadi"/>
                <w:bCs/>
                <w:sz w:val="21"/>
                <w:szCs w:val="21"/>
                <w:lang w:val="es-MX" w:eastAsia="en-US"/>
              </w:rPr>
            </w:pPr>
            <w:r w:rsidRPr="0027514C">
              <w:rPr>
                <w:rFonts w:ascii="Abadi" w:hAnsi="Abadi"/>
                <w:b/>
                <w:bCs/>
                <w:sz w:val="21"/>
                <w:szCs w:val="21"/>
                <w:lang w:val="es-MX" w:eastAsia="es-MX"/>
              </w:rPr>
              <w:t>2018</w:t>
            </w:r>
          </w:p>
        </w:tc>
        <w:tc>
          <w:tcPr>
            <w:tcW w:w="3404" w:type="dxa"/>
            <w:shd w:val="clear" w:color="auto" w:fill="auto"/>
          </w:tcPr>
          <w:p w14:paraId="0FDF6637" w14:textId="77777777" w:rsidR="0027514C" w:rsidRPr="0027514C" w:rsidRDefault="0027514C" w:rsidP="0027514C">
            <w:pPr>
              <w:rPr>
                <w:rFonts w:ascii="Abadi" w:hAnsi="Abadi"/>
                <w:bCs/>
                <w:sz w:val="21"/>
                <w:szCs w:val="21"/>
                <w:lang w:val="es-MX" w:eastAsia="en-US"/>
              </w:rPr>
            </w:pPr>
            <w:r w:rsidRPr="0027514C">
              <w:rPr>
                <w:rFonts w:ascii="Abadi" w:hAnsi="Abadi"/>
                <w:b/>
                <w:bCs/>
                <w:sz w:val="21"/>
                <w:szCs w:val="21"/>
                <w:lang w:val="es-MX" w:eastAsia="es-MX"/>
              </w:rPr>
              <w:t>Revisión de cuenta pública</w:t>
            </w:r>
          </w:p>
        </w:tc>
        <w:tc>
          <w:tcPr>
            <w:tcW w:w="1431" w:type="dxa"/>
            <w:shd w:val="clear" w:color="auto" w:fill="auto"/>
            <w:vAlign w:val="center"/>
          </w:tcPr>
          <w:p w14:paraId="0860F784" w14:textId="77777777" w:rsidR="0027514C" w:rsidRPr="0027514C" w:rsidRDefault="0027514C" w:rsidP="0027514C">
            <w:pPr>
              <w:jc w:val="center"/>
              <w:rPr>
                <w:rFonts w:ascii="Abadi" w:hAnsi="Abadi"/>
                <w:bCs/>
                <w:sz w:val="21"/>
                <w:szCs w:val="21"/>
                <w:lang w:val="es-MX" w:eastAsia="en-US"/>
              </w:rPr>
            </w:pPr>
          </w:p>
        </w:tc>
        <w:tc>
          <w:tcPr>
            <w:tcW w:w="1431" w:type="dxa"/>
            <w:shd w:val="clear" w:color="auto" w:fill="auto"/>
            <w:vAlign w:val="center"/>
          </w:tcPr>
          <w:p w14:paraId="0B044AE3" w14:textId="77777777" w:rsidR="0027514C" w:rsidRPr="0027514C" w:rsidRDefault="0027514C" w:rsidP="0027514C">
            <w:pPr>
              <w:jc w:val="center"/>
              <w:rPr>
                <w:rFonts w:ascii="Abadi" w:hAnsi="Abadi"/>
                <w:bCs/>
                <w:sz w:val="21"/>
                <w:szCs w:val="21"/>
                <w:lang w:val="es-MX" w:eastAsia="en-US"/>
              </w:rPr>
            </w:pPr>
          </w:p>
        </w:tc>
      </w:tr>
      <w:tr w:rsidR="0027514C" w:rsidRPr="0027514C" w14:paraId="4A030D0B" w14:textId="77777777" w:rsidTr="004E6068">
        <w:trPr>
          <w:jc w:val="center"/>
        </w:trPr>
        <w:tc>
          <w:tcPr>
            <w:tcW w:w="1271" w:type="dxa"/>
            <w:shd w:val="clear" w:color="auto" w:fill="auto"/>
          </w:tcPr>
          <w:p w14:paraId="737B6B64" w14:textId="77777777" w:rsidR="0027514C" w:rsidRPr="0027514C" w:rsidRDefault="0027514C" w:rsidP="0027514C">
            <w:pPr>
              <w:jc w:val="center"/>
              <w:rPr>
                <w:rFonts w:ascii="Abadi" w:hAnsi="Abadi"/>
                <w:b/>
                <w:sz w:val="21"/>
                <w:szCs w:val="21"/>
                <w:lang w:val="es-MX" w:eastAsia="en-US"/>
              </w:rPr>
            </w:pPr>
          </w:p>
        </w:tc>
        <w:tc>
          <w:tcPr>
            <w:tcW w:w="3404" w:type="dxa"/>
            <w:shd w:val="clear" w:color="auto" w:fill="auto"/>
          </w:tcPr>
          <w:p w14:paraId="60D3C31A" w14:textId="77777777" w:rsidR="0027514C" w:rsidRPr="0027514C" w:rsidRDefault="0027514C" w:rsidP="0027514C">
            <w:pPr>
              <w:rPr>
                <w:rFonts w:ascii="Abadi" w:hAnsi="Abadi"/>
                <w:b/>
                <w:sz w:val="21"/>
                <w:szCs w:val="21"/>
                <w:lang w:val="es-MX" w:eastAsia="en-US"/>
              </w:rPr>
            </w:pPr>
            <w:r w:rsidRPr="0027514C">
              <w:rPr>
                <w:rFonts w:ascii="Abadi" w:hAnsi="Abadi"/>
                <w:bCs/>
                <w:sz w:val="21"/>
                <w:szCs w:val="21"/>
                <w:lang w:val="es-MX" w:eastAsia="es-MX"/>
              </w:rPr>
              <w:t>Sector Central</w:t>
            </w:r>
          </w:p>
        </w:tc>
        <w:tc>
          <w:tcPr>
            <w:tcW w:w="1431" w:type="dxa"/>
            <w:shd w:val="clear" w:color="auto" w:fill="auto"/>
          </w:tcPr>
          <w:p w14:paraId="36F0AC50" w14:textId="77777777" w:rsidR="0027514C" w:rsidRPr="0027514C" w:rsidRDefault="0027514C" w:rsidP="0027514C">
            <w:pPr>
              <w:jc w:val="center"/>
              <w:rPr>
                <w:rFonts w:ascii="Abadi" w:hAnsi="Abadi"/>
                <w:bCs/>
                <w:sz w:val="21"/>
                <w:szCs w:val="21"/>
                <w:lang w:val="es-MX" w:eastAsia="en-US"/>
              </w:rPr>
            </w:pPr>
            <w:r w:rsidRPr="0027514C">
              <w:rPr>
                <w:rFonts w:ascii="Abadi" w:hAnsi="Abadi" w:cs="Calibri"/>
                <w:sz w:val="21"/>
                <w:szCs w:val="21"/>
                <w:lang w:eastAsia="es-MX"/>
              </w:rPr>
              <w:t>37</w:t>
            </w:r>
          </w:p>
        </w:tc>
        <w:tc>
          <w:tcPr>
            <w:tcW w:w="1431" w:type="dxa"/>
            <w:shd w:val="clear" w:color="auto" w:fill="auto"/>
          </w:tcPr>
          <w:p w14:paraId="4A0F5A2B" w14:textId="77777777" w:rsidR="0027514C" w:rsidRPr="0027514C" w:rsidRDefault="0027514C" w:rsidP="0027514C">
            <w:pPr>
              <w:jc w:val="center"/>
              <w:rPr>
                <w:rFonts w:ascii="Abadi" w:hAnsi="Abadi"/>
                <w:bCs/>
                <w:sz w:val="21"/>
                <w:szCs w:val="21"/>
                <w:lang w:val="es-MX" w:eastAsia="en-US"/>
              </w:rPr>
            </w:pPr>
            <w:r w:rsidRPr="0027514C">
              <w:rPr>
                <w:rFonts w:ascii="Abadi" w:hAnsi="Abadi" w:cs="Calibri"/>
                <w:sz w:val="21"/>
                <w:szCs w:val="21"/>
                <w:lang w:eastAsia="es-MX"/>
              </w:rPr>
              <w:t>34</w:t>
            </w:r>
          </w:p>
        </w:tc>
      </w:tr>
      <w:tr w:rsidR="0027514C" w:rsidRPr="0027514C" w14:paraId="7CC3B975" w14:textId="77777777" w:rsidTr="004E6068">
        <w:trPr>
          <w:jc w:val="center"/>
        </w:trPr>
        <w:tc>
          <w:tcPr>
            <w:tcW w:w="1271" w:type="dxa"/>
            <w:shd w:val="clear" w:color="auto" w:fill="auto"/>
          </w:tcPr>
          <w:p w14:paraId="72184EA3" w14:textId="77777777" w:rsidR="0027514C" w:rsidRPr="0027514C" w:rsidRDefault="0027514C" w:rsidP="0027514C">
            <w:pPr>
              <w:jc w:val="center"/>
              <w:rPr>
                <w:rFonts w:ascii="Abadi" w:hAnsi="Abadi"/>
                <w:bCs/>
                <w:sz w:val="21"/>
                <w:szCs w:val="21"/>
                <w:lang w:val="es-MX" w:eastAsia="en-US"/>
              </w:rPr>
            </w:pPr>
          </w:p>
        </w:tc>
        <w:tc>
          <w:tcPr>
            <w:tcW w:w="3404" w:type="dxa"/>
            <w:shd w:val="clear" w:color="auto" w:fill="auto"/>
          </w:tcPr>
          <w:p w14:paraId="298DB5C8" w14:textId="77777777" w:rsidR="0027514C" w:rsidRPr="0027514C" w:rsidRDefault="0027514C" w:rsidP="0027514C">
            <w:pPr>
              <w:jc w:val="both"/>
              <w:rPr>
                <w:rFonts w:ascii="Abadi" w:hAnsi="Abadi"/>
                <w:bCs/>
                <w:sz w:val="21"/>
                <w:szCs w:val="21"/>
                <w:lang w:val="es-MX" w:eastAsia="en-US"/>
              </w:rPr>
            </w:pPr>
            <w:r w:rsidRPr="0027514C">
              <w:rPr>
                <w:rFonts w:ascii="Abadi" w:hAnsi="Abadi" w:cs="Calibri"/>
                <w:sz w:val="21"/>
                <w:szCs w:val="21"/>
                <w:lang w:val="es-MX" w:eastAsia="es-MX"/>
              </w:rPr>
              <w:t>Sistema de Agua Potable y Alcantarillado en la Zona Rural del Municipio de León, Guanajuato (SAPAL)</w:t>
            </w:r>
          </w:p>
        </w:tc>
        <w:tc>
          <w:tcPr>
            <w:tcW w:w="1431" w:type="dxa"/>
            <w:shd w:val="clear" w:color="auto" w:fill="auto"/>
          </w:tcPr>
          <w:p w14:paraId="3C838928" w14:textId="77777777" w:rsidR="0027514C" w:rsidRPr="0027514C" w:rsidRDefault="0027514C" w:rsidP="0027514C">
            <w:pPr>
              <w:jc w:val="center"/>
              <w:rPr>
                <w:rFonts w:ascii="Abadi" w:hAnsi="Abadi" w:cs="Calibri"/>
                <w:sz w:val="21"/>
                <w:szCs w:val="21"/>
                <w:lang w:val="es-MX" w:eastAsia="es-MX"/>
              </w:rPr>
            </w:pPr>
          </w:p>
          <w:p w14:paraId="1D3192A8" w14:textId="77777777" w:rsidR="0027514C" w:rsidRPr="0027514C" w:rsidRDefault="0027514C" w:rsidP="0027514C">
            <w:pPr>
              <w:jc w:val="center"/>
              <w:rPr>
                <w:rFonts w:ascii="Abadi" w:hAnsi="Abadi"/>
                <w:bCs/>
                <w:sz w:val="21"/>
                <w:szCs w:val="21"/>
                <w:lang w:val="es-MX" w:eastAsia="en-US"/>
              </w:rPr>
            </w:pPr>
            <w:r w:rsidRPr="0027514C">
              <w:rPr>
                <w:rFonts w:ascii="Abadi" w:hAnsi="Abadi" w:cs="Calibri"/>
                <w:sz w:val="21"/>
                <w:szCs w:val="21"/>
                <w:lang w:eastAsia="es-MX"/>
              </w:rPr>
              <w:t>79</w:t>
            </w:r>
          </w:p>
        </w:tc>
        <w:tc>
          <w:tcPr>
            <w:tcW w:w="1431" w:type="dxa"/>
            <w:shd w:val="clear" w:color="auto" w:fill="auto"/>
          </w:tcPr>
          <w:p w14:paraId="11D409AE" w14:textId="77777777" w:rsidR="0027514C" w:rsidRPr="0027514C" w:rsidRDefault="0027514C" w:rsidP="0027514C">
            <w:pPr>
              <w:jc w:val="center"/>
              <w:rPr>
                <w:rFonts w:ascii="Abadi" w:hAnsi="Abadi" w:cs="Calibri"/>
                <w:sz w:val="21"/>
                <w:szCs w:val="21"/>
                <w:lang w:val="es-MX" w:eastAsia="es-MX"/>
              </w:rPr>
            </w:pPr>
          </w:p>
          <w:p w14:paraId="0E84191A" w14:textId="77777777" w:rsidR="0027514C" w:rsidRPr="0027514C" w:rsidRDefault="0027514C" w:rsidP="0027514C">
            <w:pPr>
              <w:jc w:val="center"/>
              <w:rPr>
                <w:rFonts w:ascii="Abadi" w:hAnsi="Abadi"/>
                <w:bCs/>
                <w:sz w:val="21"/>
                <w:szCs w:val="21"/>
                <w:lang w:val="es-MX" w:eastAsia="en-US"/>
              </w:rPr>
            </w:pPr>
            <w:r w:rsidRPr="0027514C">
              <w:rPr>
                <w:rFonts w:ascii="Abadi" w:hAnsi="Abadi" w:cs="Calibri"/>
                <w:sz w:val="21"/>
                <w:szCs w:val="21"/>
                <w:lang w:eastAsia="es-MX"/>
              </w:rPr>
              <w:t>24</w:t>
            </w:r>
          </w:p>
        </w:tc>
      </w:tr>
      <w:tr w:rsidR="0027514C" w:rsidRPr="0027514C" w14:paraId="3FE9162C" w14:textId="77777777" w:rsidTr="004E6068">
        <w:trPr>
          <w:jc w:val="center"/>
        </w:trPr>
        <w:tc>
          <w:tcPr>
            <w:tcW w:w="1271" w:type="dxa"/>
            <w:shd w:val="clear" w:color="auto" w:fill="auto"/>
          </w:tcPr>
          <w:p w14:paraId="7BAEB47D" w14:textId="77777777" w:rsidR="0027514C" w:rsidRPr="0027514C" w:rsidRDefault="0027514C" w:rsidP="0027514C">
            <w:pPr>
              <w:jc w:val="center"/>
              <w:rPr>
                <w:rFonts w:ascii="Abadi" w:hAnsi="Abadi"/>
                <w:bCs/>
                <w:sz w:val="21"/>
                <w:szCs w:val="21"/>
                <w:lang w:val="es-MX" w:eastAsia="en-US"/>
              </w:rPr>
            </w:pPr>
          </w:p>
        </w:tc>
        <w:tc>
          <w:tcPr>
            <w:tcW w:w="3404" w:type="dxa"/>
            <w:shd w:val="clear" w:color="auto" w:fill="auto"/>
          </w:tcPr>
          <w:p w14:paraId="784F0A54" w14:textId="77777777" w:rsidR="0027514C" w:rsidRPr="0027514C" w:rsidRDefault="0027514C" w:rsidP="0027514C">
            <w:pPr>
              <w:jc w:val="both"/>
              <w:rPr>
                <w:rFonts w:ascii="Abadi" w:hAnsi="Abadi"/>
                <w:bCs/>
                <w:sz w:val="21"/>
                <w:szCs w:val="21"/>
                <w:lang w:val="es-MX" w:eastAsia="en-US"/>
              </w:rPr>
            </w:pPr>
            <w:r w:rsidRPr="0027514C">
              <w:rPr>
                <w:rFonts w:ascii="Abadi" w:hAnsi="Abadi" w:cs="Calibri"/>
                <w:sz w:val="21"/>
                <w:szCs w:val="21"/>
                <w:lang w:val="es-MX" w:eastAsia="es-MX"/>
              </w:rPr>
              <w:t>Patronato de la Feria Estatal de León y Parque Ecológico</w:t>
            </w:r>
          </w:p>
        </w:tc>
        <w:tc>
          <w:tcPr>
            <w:tcW w:w="1431" w:type="dxa"/>
            <w:shd w:val="clear" w:color="auto" w:fill="auto"/>
          </w:tcPr>
          <w:p w14:paraId="0B4C4084" w14:textId="77777777" w:rsidR="0027514C" w:rsidRPr="0027514C" w:rsidRDefault="0027514C" w:rsidP="0027514C">
            <w:pPr>
              <w:jc w:val="center"/>
              <w:rPr>
                <w:rFonts w:ascii="Abadi" w:hAnsi="Abadi" w:cs="Calibri"/>
                <w:sz w:val="21"/>
                <w:szCs w:val="21"/>
                <w:lang w:val="es-MX" w:eastAsia="es-MX"/>
              </w:rPr>
            </w:pPr>
          </w:p>
          <w:p w14:paraId="0753AF25" w14:textId="77777777" w:rsidR="0027514C" w:rsidRPr="0027514C" w:rsidRDefault="0027514C" w:rsidP="0027514C">
            <w:pPr>
              <w:jc w:val="center"/>
              <w:rPr>
                <w:rFonts w:ascii="Abadi" w:hAnsi="Abadi"/>
                <w:bCs/>
                <w:sz w:val="21"/>
                <w:szCs w:val="21"/>
                <w:lang w:val="es-MX" w:eastAsia="en-US"/>
              </w:rPr>
            </w:pPr>
            <w:r w:rsidRPr="0027514C">
              <w:rPr>
                <w:rFonts w:ascii="Abadi" w:hAnsi="Abadi" w:cs="Calibri"/>
                <w:sz w:val="21"/>
                <w:szCs w:val="21"/>
                <w:lang w:eastAsia="es-MX"/>
              </w:rPr>
              <w:t>26</w:t>
            </w:r>
          </w:p>
        </w:tc>
        <w:tc>
          <w:tcPr>
            <w:tcW w:w="1431" w:type="dxa"/>
            <w:shd w:val="clear" w:color="auto" w:fill="auto"/>
            <w:vAlign w:val="center"/>
          </w:tcPr>
          <w:p w14:paraId="3072D1D8" w14:textId="77777777" w:rsidR="0027514C" w:rsidRPr="0027514C" w:rsidRDefault="0027514C" w:rsidP="0027514C">
            <w:pPr>
              <w:jc w:val="center"/>
              <w:rPr>
                <w:rFonts w:ascii="Abadi" w:hAnsi="Abadi"/>
                <w:bCs/>
                <w:sz w:val="21"/>
                <w:szCs w:val="21"/>
                <w:lang w:val="es-MX" w:eastAsia="en-US"/>
              </w:rPr>
            </w:pPr>
            <w:r w:rsidRPr="0027514C">
              <w:rPr>
                <w:rFonts w:ascii="Abadi" w:hAnsi="Abadi"/>
                <w:sz w:val="21"/>
                <w:szCs w:val="21"/>
                <w:lang w:val="es-MX" w:eastAsia="es-MX"/>
              </w:rPr>
              <w:t>NA</w:t>
            </w:r>
          </w:p>
        </w:tc>
      </w:tr>
      <w:tr w:rsidR="0027514C" w:rsidRPr="0027514C" w14:paraId="63C6FF4C" w14:textId="77777777" w:rsidTr="004E6068">
        <w:trPr>
          <w:jc w:val="center"/>
        </w:trPr>
        <w:tc>
          <w:tcPr>
            <w:tcW w:w="1271" w:type="dxa"/>
            <w:shd w:val="clear" w:color="auto" w:fill="auto"/>
          </w:tcPr>
          <w:p w14:paraId="6C04737E" w14:textId="77777777" w:rsidR="0027514C" w:rsidRPr="0027514C" w:rsidRDefault="0027514C" w:rsidP="0027514C">
            <w:pPr>
              <w:jc w:val="center"/>
              <w:rPr>
                <w:rFonts w:ascii="Abadi" w:hAnsi="Abadi"/>
                <w:b/>
                <w:sz w:val="21"/>
                <w:szCs w:val="21"/>
                <w:lang w:val="es-MX" w:eastAsia="en-US"/>
              </w:rPr>
            </w:pPr>
          </w:p>
        </w:tc>
        <w:tc>
          <w:tcPr>
            <w:tcW w:w="3404" w:type="dxa"/>
            <w:shd w:val="clear" w:color="auto" w:fill="auto"/>
            <w:vAlign w:val="center"/>
          </w:tcPr>
          <w:p w14:paraId="01CF9CFE" w14:textId="77777777" w:rsidR="0027514C" w:rsidRPr="0027514C" w:rsidRDefault="0027514C" w:rsidP="0027514C">
            <w:pPr>
              <w:jc w:val="both"/>
              <w:rPr>
                <w:rFonts w:ascii="Abadi" w:hAnsi="Abadi"/>
                <w:b/>
                <w:sz w:val="21"/>
                <w:szCs w:val="21"/>
                <w:lang w:val="es-MX" w:eastAsia="en-US"/>
              </w:rPr>
            </w:pPr>
            <w:r w:rsidRPr="0027514C">
              <w:rPr>
                <w:rFonts w:ascii="Abadi" w:hAnsi="Abadi"/>
                <w:b/>
                <w:sz w:val="21"/>
                <w:szCs w:val="21"/>
                <w:lang w:val="es-MX" w:eastAsia="es-MX"/>
              </w:rPr>
              <w:t>Auditoría al Ramo General 33 y Obra Pública</w:t>
            </w:r>
          </w:p>
        </w:tc>
        <w:tc>
          <w:tcPr>
            <w:tcW w:w="1431" w:type="dxa"/>
            <w:shd w:val="clear" w:color="auto" w:fill="auto"/>
            <w:vAlign w:val="center"/>
          </w:tcPr>
          <w:p w14:paraId="14C66543" w14:textId="77777777" w:rsidR="0027514C" w:rsidRPr="0027514C" w:rsidRDefault="0027514C" w:rsidP="0027514C">
            <w:pPr>
              <w:jc w:val="center"/>
              <w:rPr>
                <w:rFonts w:ascii="Abadi" w:hAnsi="Abadi"/>
                <w:bCs/>
                <w:sz w:val="21"/>
                <w:szCs w:val="21"/>
                <w:lang w:val="es-MX" w:eastAsia="es-MX"/>
              </w:rPr>
            </w:pPr>
          </w:p>
          <w:p w14:paraId="1A277C88" w14:textId="77777777" w:rsidR="0027514C" w:rsidRPr="0027514C" w:rsidRDefault="0027514C" w:rsidP="0027514C">
            <w:pPr>
              <w:jc w:val="center"/>
              <w:rPr>
                <w:rFonts w:ascii="Abadi" w:hAnsi="Abadi"/>
                <w:bCs/>
                <w:sz w:val="21"/>
                <w:szCs w:val="21"/>
                <w:lang w:val="es-MX" w:eastAsia="en-US"/>
              </w:rPr>
            </w:pPr>
            <w:r w:rsidRPr="0027514C">
              <w:rPr>
                <w:rFonts w:ascii="Abadi" w:hAnsi="Abadi"/>
                <w:bCs/>
                <w:sz w:val="21"/>
                <w:szCs w:val="21"/>
                <w:lang w:val="es-MX" w:eastAsia="es-MX"/>
              </w:rPr>
              <w:t>100*</w:t>
            </w:r>
          </w:p>
        </w:tc>
        <w:tc>
          <w:tcPr>
            <w:tcW w:w="1431" w:type="dxa"/>
            <w:shd w:val="clear" w:color="auto" w:fill="auto"/>
            <w:vAlign w:val="center"/>
          </w:tcPr>
          <w:p w14:paraId="77E138EE" w14:textId="77777777" w:rsidR="0027514C" w:rsidRPr="0027514C" w:rsidRDefault="0027514C" w:rsidP="0027514C">
            <w:pPr>
              <w:jc w:val="center"/>
              <w:rPr>
                <w:rFonts w:ascii="Abadi" w:hAnsi="Abadi"/>
                <w:bCs/>
                <w:sz w:val="21"/>
                <w:szCs w:val="21"/>
                <w:lang w:val="es-MX" w:eastAsia="es-MX"/>
              </w:rPr>
            </w:pPr>
          </w:p>
          <w:p w14:paraId="16520643" w14:textId="77777777" w:rsidR="0027514C" w:rsidRPr="0027514C" w:rsidRDefault="0027514C" w:rsidP="0027514C">
            <w:pPr>
              <w:jc w:val="center"/>
              <w:rPr>
                <w:rFonts w:ascii="Abadi" w:hAnsi="Abadi"/>
                <w:b/>
                <w:sz w:val="21"/>
                <w:szCs w:val="21"/>
                <w:lang w:val="es-MX" w:eastAsia="en-US"/>
              </w:rPr>
            </w:pPr>
            <w:r w:rsidRPr="0027514C">
              <w:rPr>
                <w:rFonts w:ascii="Abadi" w:hAnsi="Abadi"/>
                <w:bCs/>
                <w:sz w:val="21"/>
                <w:szCs w:val="21"/>
                <w:lang w:val="es-MX" w:eastAsia="es-MX"/>
              </w:rPr>
              <w:t>32</w:t>
            </w:r>
          </w:p>
        </w:tc>
      </w:tr>
      <w:tr w:rsidR="0027514C" w:rsidRPr="0027514C" w14:paraId="329BB52B" w14:textId="77777777" w:rsidTr="004E6068">
        <w:trPr>
          <w:jc w:val="center"/>
        </w:trPr>
        <w:tc>
          <w:tcPr>
            <w:tcW w:w="1271" w:type="dxa"/>
            <w:shd w:val="clear" w:color="auto" w:fill="auto"/>
          </w:tcPr>
          <w:p w14:paraId="643CE0F9" w14:textId="77777777" w:rsidR="0027514C" w:rsidRPr="0027514C" w:rsidRDefault="0027514C" w:rsidP="0027514C">
            <w:pPr>
              <w:jc w:val="center"/>
              <w:rPr>
                <w:rFonts w:ascii="Abadi" w:hAnsi="Abadi"/>
                <w:bCs/>
                <w:sz w:val="21"/>
                <w:szCs w:val="21"/>
                <w:lang w:val="es-MX" w:eastAsia="en-US"/>
              </w:rPr>
            </w:pPr>
            <w:r w:rsidRPr="0027514C">
              <w:rPr>
                <w:rFonts w:ascii="Abadi" w:hAnsi="Abadi"/>
                <w:b/>
                <w:bCs/>
                <w:sz w:val="21"/>
                <w:szCs w:val="21"/>
                <w:lang w:val="es-MX" w:eastAsia="es-MX"/>
              </w:rPr>
              <w:t>2019</w:t>
            </w:r>
          </w:p>
        </w:tc>
        <w:tc>
          <w:tcPr>
            <w:tcW w:w="3404" w:type="dxa"/>
            <w:shd w:val="clear" w:color="auto" w:fill="auto"/>
          </w:tcPr>
          <w:p w14:paraId="0E8F8C8C" w14:textId="77777777" w:rsidR="0027514C" w:rsidRPr="0027514C" w:rsidRDefault="0027514C" w:rsidP="0027514C">
            <w:pPr>
              <w:jc w:val="both"/>
              <w:rPr>
                <w:rFonts w:ascii="Abadi" w:hAnsi="Abadi"/>
                <w:bCs/>
                <w:sz w:val="21"/>
                <w:szCs w:val="21"/>
                <w:lang w:val="es-MX" w:eastAsia="en-US"/>
              </w:rPr>
            </w:pPr>
            <w:r w:rsidRPr="0027514C">
              <w:rPr>
                <w:rFonts w:ascii="Abadi" w:hAnsi="Abadi"/>
                <w:b/>
                <w:bCs/>
                <w:sz w:val="21"/>
                <w:szCs w:val="21"/>
                <w:lang w:val="es-MX" w:eastAsia="es-MX"/>
              </w:rPr>
              <w:t>Revisión de cuenta pública</w:t>
            </w:r>
          </w:p>
        </w:tc>
        <w:tc>
          <w:tcPr>
            <w:tcW w:w="1431" w:type="dxa"/>
            <w:shd w:val="clear" w:color="auto" w:fill="auto"/>
            <w:vAlign w:val="center"/>
          </w:tcPr>
          <w:p w14:paraId="340F9367" w14:textId="77777777" w:rsidR="0027514C" w:rsidRPr="0027514C" w:rsidRDefault="0027514C" w:rsidP="0027514C">
            <w:pPr>
              <w:jc w:val="center"/>
              <w:rPr>
                <w:rFonts w:ascii="Abadi" w:hAnsi="Abadi"/>
                <w:b/>
                <w:sz w:val="21"/>
                <w:szCs w:val="21"/>
                <w:lang w:val="es-MX" w:eastAsia="en-US"/>
              </w:rPr>
            </w:pPr>
          </w:p>
        </w:tc>
        <w:tc>
          <w:tcPr>
            <w:tcW w:w="1431" w:type="dxa"/>
            <w:shd w:val="clear" w:color="auto" w:fill="auto"/>
            <w:vAlign w:val="center"/>
          </w:tcPr>
          <w:p w14:paraId="5496A744" w14:textId="77777777" w:rsidR="0027514C" w:rsidRPr="0027514C" w:rsidRDefault="0027514C" w:rsidP="0027514C">
            <w:pPr>
              <w:jc w:val="center"/>
              <w:rPr>
                <w:rFonts w:ascii="Abadi" w:hAnsi="Abadi"/>
                <w:b/>
                <w:sz w:val="21"/>
                <w:szCs w:val="21"/>
                <w:lang w:val="es-MX" w:eastAsia="en-US"/>
              </w:rPr>
            </w:pPr>
          </w:p>
        </w:tc>
      </w:tr>
      <w:tr w:rsidR="0027514C" w:rsidRPr="0027514C" w14:paraId="564FCC28" w14:textId="77777777" w:rsidTr="004E6068">
        <w:trPr>
          <w:jc w:val="center"/>
        </w:trPr>
        <w:tc>
          <w:tcPr>
            <w:tcW w:w="1271" w:type="dxa"/>
            <w:shd w:val="clear" w:color="auto" w:fill="auto"/>
          </w:tcPr>
          <w:p w14:paraId="1A8207D1" w14:textId="77777777" w:rsidR="0027514C" w:rsidRPr="0027514C" w:rsidRDefault="0027514C" w:rsidP="0027514C">
            <w:pPr>
              <w:jc w:val="center"/>
              <w:rPr>
                <w:rFonts w:ascii="Abadi" w:hAnsi="Abadi"/>
                <w:bCs/>
                <w:sz w:val="21"/>
                <w:szCs w:val="21"/>
                <w:lang w:val="es-MX" w:eastAsia="en-US"/>
              </w:rPr>
            </w:pPr>
          </w:p>
        </w:tc>
        <w:tc>
          <w:tcPr>
            <w:tcW w:w="3404" w:type="dxa"/>
            <w:shd w:val="clear" w:color="auto" w:fill="auto"/>
          </w:tcPr>
          <w:p w14:paraId="0972A490" w14:textId="77777777" w:rsidR="0027514C" w:rsidRPr="0027514C" w:rsidRDefault="0027514C" w:rsidP="0027514C">
            <w:pPr>
              <w:jc w:val="both"/>
              <w:rPr>
                <w:rFonts w:ascii="Abadi" w:hAnsi="Abadi"/>
                <w:sz w:val="21"/>
                <w:szCs w:val="21"/>
                <w:lang w:val="es-MX" w:eastAsia="es-MX"/>
              </w:rPr>
            </w:pPr>
            <w:r w:rsidRPr="0027514C">
              <w:rPr>
                <w:rFonts w:ascii="Abadi" w:hAnsi="Abadi"/>
                <w:bCs/>
                <w:sz w:val="21"/>
                <w:szCs w:val="21"/>
                <w:lang w:val="es-MX" w:eastAsia="es-MX"/>
              </w:rPr>
              <w:t>Sector Central</w:t>
            </w:r>
          </w:p>
        </w:tc>
        <w:tc>
          <w:tcPr>
            <w:tcW w:w="1431" w:type="dxa"/>
            <w:shd w:val="clear" w:color="auto" w:fill="auto"/>
          </w:tcPr>
          <w:p w14:paraId="0E1FCE4E" w14:textId="77777777" w:rsidR="0027514C" w:rsidRPr="0027514C" w:rsidRDefault="0027514C" w:rsidP="0027514C">
            <w:pPr>
              <w:jc w:val="center"/>
              <w:rPr>
                <w:rFonts w:ascii="Abadi" w:hAnsi="Abadi"/>
                <w:sz w:val="21"/>
                <w:szCs w:val="21"/>
                <w:lang w:val="es-MX" w:eastAsia="es-MX"/>
              </w:rPr>
            </w:pPr>
            <w:r w:rsidRPr="0027514C">
              <w:rPr>
                <w:rFonts w:ascii="Abadi" w:hAnsi="Abadi" w:cs="Calibri"/>
                <w:sz w:val="21"/>
                <w:szCs w:val="21"/>
                <w:lang w:eastAsia="es-MX"/>
              </w:rPr>
              <w:t>65</w:t>
            </w:r>
          </w:p>
        </w:tc>
        <w:tc>
          <w:tcPr>
            <w:tcW w:w="1431" w:type="dxa"/>
            <w:shd w:val="clear" w:color="auto" w:fill="auto"/>
            <w:vAlign w:val="center"/>
          </w:tcPr>
          <w:p w14:paraId="753A3D55" w14:textId="77777777" w:rsidR="0027514C" w:rsidRPr="0027514C" w:rsidRDefault="0027514C" w:rsidP="0027514C">
            <w:pPr>
              <w:jc w:val="center"/>
              <w:rPr>
                <w:rFonts w:ascii="Abadi" w:hAnsi="Abadi"/>
                <w:sz w:val="21"/>
                <w:szCs w:val="21"/>
                <w:lang w:val="es-MX" w:eastAsia="es-MX"/>
              </w:rPr>
            </w:pPr>
            <w:r w:rsidRPr="0027514C">
              <w:rPr>
                <w:rFonts w:ascii="Abadi" w:hAnsi="Abadi" w:cs="Calibri"/>
                <w:sz w:val="21"/>
                <w:szCs w:val="21"/>
                <w:lang w:eastAsia="es-MX"/>
              </w:rPr>
              <w:t>47</w:t>
            </w:r>
          </w:p>
        </w:tc>
      </w:tr>
      <w:tr w:rsidR="0027514C" w:rsidRPr="0027514C" w14:paraId="05E390E5" w14:textId="77777777" w:rsidTr="004E6068">
        <w:trPr>
          <w:jc w:val="center"/>
        </w:trPr>
        <w:tc>
          <w:tcPr>
            <w:tcW w:w="1271" w:type="dxa"/>
            <w:shd w:val="clear" w:color="auto" w:fill="auto"/>
          </w:tcPr>
          <w:p w14:paraId="4E57F21F" w14:textId="77777777" w:rsidR="0027514C" w:rsidRPr="0027514C" w:rsidRDefault="0027514C" w:rsidP="0027514C">
            <w:pPr>
              <w:jc w:val="center"/>
              <w:rPr>
                <w:rFonts w:ascii="Abadi" w:hAnsi="Abadi"/>
                <w:bCs/>
                <w:sz w:val="21"/>
                <w:szCs w:val="21"/>
                <w:lang w:val="es-MX" w:eastAsia="en-US"/>
              </w:rPr>
            </w:pPr>
          </w:p>
        </w:tc>
        <w:tc>
          <w:tcPr>
            <w:tcW w:w="3404" w:type="dxa"/>
            <w:shd w:val="clear" w:color="auto" w:fill="auto"/>
          </w:tcPr>
          <w:p w14:paraId="1EF07611" w14:textId="77777777" w:rsidR="0027514C" w:rsidRPr="0027514C" w:rsidRDefault="0027514C" w:rsidP="0027514C">
            <w:pPr>
              <w:jc w:val="both"/>
              <w:rPr>
                <w:rFonts w:ascii="Abadi" w:hAnsi="Abadi"/>
                <w:bCs/>
                <w:sz w:val="21"/>
                <w:szCs w:val="21"/>
                <w:lang w:val="es-MX" w:eastAsia="en-US"/>
              </w:rPr>
            </w:pPr>
            <w:r w:rsidRPr="0027514C">
              <w:rPr>
                <w:rFonts w:ascii="Abadi" w:hAnsi="Abadi" w:cs="Calibri"/>
                <w:sz w:val="21"/>
                <w:szCs w:val="21"/>
                <w:lang w:val="es-MX" w:eastAsia="es-MX"/>
              </w:rPr>
              <w:t>Sistema de Agua Potable y Alcantarillado en la Zona Rural del Municipio de León, Guanajuato (SAPAL)</w:t>
            </w:r>
          </w:p>
        </w:tc>
        <w:tc>
          <w:tcPr>
            <w:tcW w:w="1431" w:type="dxa"/>
            <w:shd w:val="clear" w:color="auto" w:fill="auto"/>
          </w:tcPr>
          <w:p w14:paraId="09EE25BF" w14:textId="77777777" w:rsidR="0027514C" w:rsidRPr="0027514C" w:rsidRDefault="0027514C" w:rsidP="0027514C">
            <w:pPr>
              <w:jc w:val="center"/>
              <w:rPr>
                <w:rFonts w:ascii="Abadi" w:hAnsi="Abadi" w:cs="Calibri"/>
                <w:sz w:val="21"/>
                <w:szCs w:val="21"/>
                <w:lang w:val="es-MX" w:eastAsia="es-MX"/>
              </w:rPr>
            </w:pPr>
          </w:p>
          <w:p w14:paraId="102AD360" w14:textId="77777777" w:rsidR="0027514C" w:rsidRPr="0027514C" w:rsidRDefault="0027514C" w:rsidP="0027514C">
            <w:pPr>
              <w:jc w:val="center"/>
              <w:rPr>
                <w:rFonts w:ascii="Abadi" w:hAnsi="Abadi"/>
                <w:bCs/>
                <w:sz w:val="21"/>
                <w:szCs w:val="21"/>
                <w:lang w:val="es-MX" w:eastAsia="en-US"/>
              </w:rPr>
            </w:pPr>
            <w:r w:rsidRPr="0027514C">
              <w:rPr>
                <w:rFonts w:ascii="Abadi" w:hAnsi="Abadi" w:cs="Calibri"/>
                <w:sz w:val="21"/>
                <w:szCs w:val="21"/>
                <w:lang w:eastAsia="es-MX"/>
              </w:rPr>
              <w:t>15</w:t>
            </w:r>
          </w:p>
        </w:tc>
        <w:tc>
          <w:tcPr>
            <w:tcW w:w="1431" w:type="dxa"/>
            <w:shd w:val="clear" w:color="auto" w:fill="auto"/>
          </w:tcPr>
          <w:p w14:paraId="55FBCC2F" w14:textId="77777777" w:rsidR="0027514C" w:rsidRPr="0027514C" w:rsidRDefault="0027514C" w:rsidP="0027514C">
            <w:pPr>
              <w:jc w:val="center"/>
              <w:rPr>
                <w:rFonts w:ascii="Abadi" w:hAnsi="Abadi"/>
                <w:sz w:val="21"/>
                <w:szCs w:val="21"/>
                <w:lang w:val="es-MX" w:eastAsia="es-MX"/>
              </w:rPr>
            </w:pPr>
          </w:p>
          <w:p w14:paraId="37D51DC3" w14:textId="77777777" w:rsidR="0027514C" w:rsidRPr="0027514C" w:rsidRDefault="0027514C" w:rsidP="0027514C">
            <w:pPr>
              <w:jc w:val="center"/>
              <w:rPr>
                <w:rFonts w:ascii="Abadi" w:hAnsi="Abadi"/>
                <w:bCs/>
                <w:sz w:val="21"/>
                <w:szCs w:val="21"/>
                <w:lang w:val="es-MX" w:eastAsia="en-US"/>
              </w:rPr>
            </w:pPr>
            <w:r w:rsidRPr="0027514C">
              <w:rPr>
                <w:rFonts w:ascii="Abadi" w:hAnsi="Abadi"/>
                <w:sz w:val="21"/>
                <w:szCs w:val="21"/>
                <w:lang w:val="es-MX" w:eastAsia="es-MX"/>
              </w:rPr>
              <w:t>NA</w:t>
            </w:r>
          </w:p>
        </w:tc>
      </w:tr>
      <w:tr w:rsidR="0027514C" w:rsidRPr="0027514C" w14:paraId="3C253A90" w14:textId="77777777" w:rsidTr="004E6068">
        <w:trPr>
          <w:jc w:val="center"/>
        </w:trPr>
        <w:tc>
          <w:tcPr>
            <w:tcW w:w="1271" w:type="dxa"/>
            <w:shd w:val="clear" w:color="auto" w:fill="auto"/>
          </w:tcPr>
          <w:p w14:paraId="063A4682" w14:textId="77777777" w:rsidR="0027514C" w:rsidRPr="0027514C" w:rsidRDefault="0027514C" w:rsidP="0027514C">
            <w:pPr>
              <w:jc w:val="center"/>
              <w:rPr>
                <w:rFonts w:ascii="Abadi" w:hAnsi="Abadi"/>
                <w:b/>
                <w:sz w:val="21"/>
                <w:szCs w:val="21"/>
                <w:lang w:val="es-MX" w:eastAsia="en-US"/>
              </w:rPr>
            </w:pPr>
            <w:r w:rsidRPr="0027514C">
              <w:rPr>
                <w:rFonts w:ascii="Abadi" w:hAnsi="Abadi"/>
                <w:b/>
                <w:bCs/>
                <w:sz w:val="21"/>
                <w:szCs w:val="21"/>
                <w:lang w:val="es-MX" w:eastAsia="es-MX"/>
              </w:rPr>
              <w:t>2019-2020</w:t>
            </w:r>
          </w:p>
        </w:tc>
        <w:tc>
          <w:tcPr>
            <w:tcW w:w="3404" w:type="dxa"/>
            <w:shd w:val="clear" w:color="auto" w:fill="auto"/>
            <w:vAlign w:val="center"/>
          </w:tcPr>
          <w:p w14:paraId="04AFAE3D" w14:textId="77777777" w:rsidR="0027514C" w:rsidRPr="0027514C" w:rsidRDefault="0027514C" w:rsidP="0027514C">
            <w:pPr>
              <w:jc w:val="both"/>
              <w:rPr>
                <w:rFonts w:ascii="Abadi" w:hAnsi="Abadi"/>
                <w:b/>
                <w:sz w:val="21"/>
                <w:szCs w:val="21"/>
                <w:lang w:val="es-MX" w:eastAsia="en-US"/>
              </w:rPr>
            </w:pPr>
            <w:r w:rsidRPr="0027514C">
              <w:rPr>
                <w:rFonts w:ascii="Abadi" w:hAnsi="Abadi"/>
                <w:b/>
                <w:sz w:val="21"/>
                <w:szCs w:val="21"/>
                <w:lang w:val="es-MX" w:eastAsia="es-MX"/>
              </w:rPr>
              <w:t xml:space="preserve">Auditoría Específica al </w:t>
            </w:r>
            <w:r w:rsidRPr="0027514C">
              <w:rPr>
                <w:rFonts w:ascii="Abadi" w:hAnsi="Abadi"/>
                <w:b/>
                <w:sz w:val="21"/>
                <w:szCs w:val="21"/>
                <w:lang w:val="es-MX" w:eastAsia="es-MX"/>
              </w:rPr>
              <w:lastRenderedPageBreak/>
              <w:t>organismo descentralizado del municipio de León, Gto., Sistema de Agua Potable y Alcantarillado de León (SAPAL), respecto a los procedimientos de planeación, programación, presupuestación y adjudicación, que derivó en el contrato SAPAL 760-340/2019, relativo a la obra civil «</w:t>
            </w:r>
            <w:r w:rsidRPr="0027514C">
              <w:rPr>
                <w:rFonts w:ascii="Abadi" w:hAnsi="Abadi"/>
                <w:b/>
                <w:i/>
                <w:iCs/>
                <w:sz w:val="21"/>
                <w:szCs w:val="21"/>
                <w:lang w:val="es-MX" w:eastAsia="es-MX"/>
              </w:rPr>
              <w:t>INGENIERÍA DE DETALLE Y CONSTRUCCIÓN DEL SISTEMA DE RETENCIÓN DE AGUAS PLUVIALES TIMOTEO LOZANO</w:t>
            </w:r>
            <w:r w:rsidRPr="0027514C">
              <w:rPr>
                <w:rFonts w:ascii="Abadi" w:hAnsi="Abadi"/>
                <w:b/>
                <w:sz w:val="21"/>
                <w:szCs w:val="21"/>
                <w:lang w:val="es-MX" w:eastAsia="es-MX"/>
              </w:rPr>
              <w:t>»</w:t>
            </w:r>
          </w:p>
        </w:tc>
        <w:tc>
          <w:tcPr>
            <w:tcW w:w="1431" w:type="dxa"/>
            <w:shd w:val="clear" w:color="auto" w:fill="auto"/>
          </w:tcPr>
          <w:p w14:paraId="62BC18CC" w14:textId="77777777" w:rsidR="0027514C" w:rsidRPr="0027514C" w:rsidRDefault="0027514C" w:rsidP="0027514C">
            <w:pPr>
              <w:jc w:val="center"/>
              <w:rPr>
                <w:rFonts w:ascii="Abadi" w:hAnsi="Abadi"/>
                <w:bCs/>
                <w:sz w:val="21"/>
                <w:szCs w:val="21"/>
                <w:lang w:val="es-MX" w:eastAsia="en-US"/>
              </w:rPr>
            </w:pPr>
            <w:r w:rsidRPr="0027514C">
              <w:rPr>
                <w:rFonts w:ascii="Abadi" w:hAnsi="Abadi" w:cs="Calibri"/>
                <w:sz w:val="21"/>
                <w:szCs w:val="21"/>
                <w:lang w:eastAsia="es-MX"/>
              </w:rPr>
              <w:lastRenderedPageBreak/>
              <w:t>N/A</w:t>
            </w:r>
          </w:p>
        </w:tc>
        <w:tc>
          <w:tcPr>
            <w:tcW w:w="1431" w:type="dxa"/>
            <w:shd w:val="clear" w:color="auto" w:fill="auto"/>
          </w:tcPr>
          <w:p w14:paraId="6510449D" w14:textId="77777777" w:rsidR="0027514C" w:rsidRPr="0027514C" w:rsidRDefault="0027514C" w:rsidP="0027514C">
            <w:pPr>
              <w:jc w:val="center"/>
              <w:rPr>
                <w:rFonts w:ascii="Abadi" w:hAnsi="Abadi"/>
                <w:b/>
                <w:sz w:val="21"/>
                <w:szCs w:val="21"/>
                <w:lang w:val="es-MX" w:eastAsia="en-US"/>
              </w:rPr>
            </w:pPr>
            <w:r w:rsidRPr="0027514C">
              <w:rPr>
                <w:rFonts w:ascii="Abadi" w:hAnsi="Abadi"/>
                <w:sz w:val="21"/>
                <w:szCs w:val="21"/>
                <w:lang w:val="es-MX" w:eastAsia="es-MX"/>
              </w:rPr>
              <w:t>N/A</w:t>
            </w:r>
          </w:p>
        </w:tc>
      </w:tr>
      <w:tr w:rsidR="0027514C" w:rsidRPr="0027514C" w14:paraId="18323E52" w14:textId="77777777" w:rsidTr="004E6068">
        <w:trPr>
          <w:jc w:val="center"/>
        </w:trPr>
        <w:tc>
          <w:tcPr>
            <w:tcW w:w="1271" w:type="dxa"/>
            <w:shd w:val="clear" w:color="auto" w:fill="auto"/>
          </w:tcPr>
          <w:p w14:paraId="7B4485FE" w14:textId="77777777" w:rsidR="0027514C" w:rsidRPr="0027514C" w:rsidRDefault="0027514C" w:rsidP="0027514C">
            <w:pPr>
              <w:jc w:val="center"/>
              <w:rPr>
                <w:rFonts w:ascii="Abadi" w:hAnsi="Abadi"/>
                <w:bCs/>
                <w:sz w:val="21"/>
                <w:szCs w:val="21"/>
                <w:lang w:val="es-MX" w:eastAsia="en-US"/>
              </w:rPr>
            </w:pPr>
          </w:p>
        </w:tc>
        <w:tc>
          <w:tcPr>
            <w:tcW w:w="3404" w:type="dxa"/>
            <w:shd w:val="clear" w:color="auto" w:fill="auto"/>
            <w:vAlign w:val="center"/>
          </w:tcPr>
          <w:p w14:paraId="0ED55FC1" w14:textId="77777777" w:rsidR="0027514C" w:rsidRPr="0027514C" w:rsidRDefault="0027514C" w:rsidP="0027514C">
            <w:pPr>
              <w:jc w:val="both"/>
              <w:rPr>
                <w:rFonts w:ascii="Abadi" w:hAnsi="Abadi"/>
                <w:sz w:val="21"/>
                <w:szCs w:val="21"/>
                <w:lang w:val="es-MX" w:eastAsia="es-MX"/>
              </w:rPr>
            </w:pPr>
            <w:r w:rsidRPr="0027514C">
              <w:rPr>
                <w:rFonts w:ascii="Abadi" w:hAnsi="Abadi"/>
                <w:b/>
                <w:sz w:val="21"/>
                <w:szCs w:val="21"/>
                <w:lang w:val="es-MX" w:eastAsia="es-MX"/>
              </w:rPr>
              <w:t>Auditoría al Ramo General 33 y Obra Pública</w:t>
            </w:r>
          </w:p>
        </w:tc>
        <w:tc>
          <w:tcPr>
            <w:tcW w:w="1431" w:type="dxa"/>
            <w:shd w:val="clear" w:color="auto" w:fill="auto"/>
            <w:vAlign w:val="center"/>
          </w:tcPr>
          <w:p w14:paraId="2AC739F8" w14:textId="77777777" w:rsidR="0027514C" w:rsidRPr="0027514C" w:rsidRDefault="0027514C" w:rsidP="0027514C">
            <w:pPr>
              <w:jc w:val="center"/>
              <w:rPr>
                <w:rFonts w:ascii="Abadi" w:hAnsi="Abadi"/>
                <w:sz w:val="21"/>
                <w:szCs w:val="21"/>
                <w:lang w:val="es-MX" w:eastAsia="es-MX"/>
              </w:rPr>
            </w:pPr>
            <w:r w:rsidRPr="0027514C">
              <w:rPr>
                <w:rFonts w:ascii="Abadi" w:hAnsi="Abadi"/>
                <w:bCs/>
                <w:sz w:val="21"/>
                <w:szCs w:val="21"/>
                <w:lang w:val="es-MX" w:eastAsia="es-MX"/>
              </w:rPr>
              <w:t>100*</w:t>
            </w:r>
          </w:p>
        </w:tc>
        <w:tc>
          <w:tcPr>
            <w:tcW w:w="1431" w:type="dxa"/>
            <w:shd w:val="clear" w:color="auto" w:fill="auto"/>
            <w:vAlign w:val="center"/>
          </w:tcPr>
          <w:p w14:paraId="3807A42E" w14:textId="77777777" w:rsidR="0027514C" w:rsidRPr="0027514C" w:rsidRDefault="0027514C" w:rsidP="0027514C">
            <w:pPr>
              <w:jc w:val="center"/>
              <w:rPr>
                <w:rFonts w:ascii="Abadi" w:hAnsi="Abadi"/>
                <w:sz w:val="21"/>
                <w:szCs w:val="21"/>
                <w:lang w:val="es-MX" w:eastAsia="es-MX"/>
              </w:rPr>
            </w:pPr>
            <w:r w:rsidRPr="0027514C">
              <w:rPr>
                <w:rFonts w:ascii="Abadi" w:hAnsi="Abadi"/>
                <w:bCs/>
                <w:sz w:val="21"/>
                <w:szCs w:val="21"/>
                <w:lang w:val="es-MX" w:eastAsia="es-MX"/>
              </w:rPr>
              <w:t>39</w:t>
            </w:r>
          </w:p>
        </w:tc>
      </w:tr>
      <w:tr w:rsidR="0027514C" w:rsidRPr="0027514C" w14:paraId="5B2DFE4F" w14:textId="77777777" w:rsidTr="004E6068">
        <w:trPr>
          <w:jc w:val="center"/>
        </w:trPr>
        <w:tc>
          <w:tcPr>
            <w:tcW w:w="1271" w:type="dxa"/>
            <w:shd w:val="clear" w:color="auto" w:fill="auto"/>
          </w:tcPr>
          <w:p w14:paraId="5A8D9FD0" w14:textId="77777777" w:rsidR="0027514C" w:rsidRPr="0027514C" w:rsidRDefault="0027514C" w:rsidP="0027514C">
            <w:pPr>
              <w:jc w:val="center"/>
              <w:rPr>
                <w:rFonts w:ascii="Abadi" w:hAnsi="Abadi"/>
                <w:bCs/>
                <w:sz w:val="21"/>
                <w:szCs w:val="21"/>
                <w:lang w:val="es-MX" w:eastAsia="en-US"/>
              </w:rPr>
            </w:pPr>
            <w:r w:rsidRPr="0027514C">
              <w:rPr>
                <w:rFonts w:ascii="Abadi" w:hAnsi="Abadi"/>
                <w:b/>
                <w:bCs/>
                <w:sz w:val="21"/>
                <w:szCs w:val="21"/>
                <w:lang w:val="es-MX" w:eastAsia="es-MX"/>
              </w:rPr>
              <w:t>2020</w:t>
            </w:r>
          </w:p>
        </w:tc>
        <w:tc>
          <w:tcPr>
            <w:tcW w:w="3404" w:type="dxa"/>
            <w:shd w:val="clear" w:color="auto" w:fill="auto"/>
          </w:tcPr>
          <w:p w14:paraId="0638C81B" w14:textId="77777777" w:rsidR="0027514C" w:rsidRPr="0027514C" w:rsidRDefault="0027514C" w:rsidP="0027514C">
            <w:pPr>
              <w:jc w:val="center"/>
              <w:rPr>
                <w:rFonts w:ascii="Abadi" w:hAnsi="Abadi"/>
                <w:b/>
                <w:sz w:val="21"/>
                <w:szCs w:val="21"/>
                <w:lang w:val="es-MX" w:eastAsia="es-MX"/>
              </w:rPr>
            </w:pPr>
            <w:r w:rsidRPr="0027514C">
              <w:rPr>
                <w:rFonts w:ascii="Abadi" w:hAnsi="Abadi"/>
                <w:b/>
                <w:sz w:val="21"/>
                <w:szCs w:val="21"/>
                <w:lang w:val="es-MX" w:eastAsia="es-MX"/>
              </w:rPr>
              <w:t xml:space="preserve">Revisión de cuenta pública </w:t>
            </w:r>
          </w:p>
          <w:p w14:paraId="4B61699B" w14:textId="77777777" w:rsidR="0027514C" w:rsidRPr="0027514C" w:rsidRDefault="0027514C" w:rsidP="0027514C">
            <w:pPr>
              <w:jc w:val="both"/>
              <w:rPr>
                <w:rFonts w:ascii="Abadi" w:hAnsi="Abadi"/>
                <w:bCs/>
                <w:sz w:val="21"/>
                <w:szCs w:val="21"/>
                <w:lang w:val="es-MX" w:eastAsia="es-MX"/>
              </w:rPr>
            </w:pPr>
            <w:r w:rsidRPr="0027514C">
              <w:rPr>
                <w:rFonts w:ascii="Abadi" w:hAnsi="Abadi"/>
                <w:bCs/>
                <w:sz w:val="21"/>
                <w:szCs w:val="21"/>
                <w:lang w:val="es-MX" w:eastAsia="es-MX"/>
              </w:rPr>
              <w:t>(En proceso: Informe de resultados)</w:t>
            </w:r>
          </w:p>
        </w:tc>
        <w:tc>
          <w:tcPr>
            <w:tcW w:w="1431" w:type="dxa"/>
            <w:shd w:val="clear" w:color="auto" w:fill="auto"/>
            <w:vAlign w:val="center"/>
          </w:tcPr>
          <w:p w14:paraId="731D492E" w14:textId="77777777" w:rsidR="0027514C" w:rsidRPr="0027514C" w:rsidRDefault="0027514C" w:rsidP="0027514C">
            <w:pPr>
              <w:jc w:val="center"/>
              <w:rPr>
                <w:rFonts w:ascii="Abadi" w:hAnsi="Abadi"/>
                <w:sz w:val="21"/>
                <w:szCs w:val="21"/>
                <w:lang w:val="es-MX" w:eastAsia="es-MX"/>
              </w:rPr>
            </w:pPr>
          </w:p>
        </w:tc>
        <w:tc>
          <w:tcPr>
            <w:tcW w:w="1431" w:type="dxa"/>
            <w:shd w:val="clear" w:color="auto" w:fill="auto"/>
            <w:vAlign w:val="center"/>
          </w:tcPr>
          <w:p w14:paraId="458D5CCD" w14:textId="77777777" w:rsidR="0027514C" w:rsidRPr="0027514C" w:rsidRDefault="0027514C" w:rsidP="0027514C">
            <w:pPr>
              <w:jc w:val="center"/>
              <w:rPr>
                <w:rFonts w:ascii="Abadi" w:hAnsi="Abadi"/>
                <w:sz w:val="21"/>
                <w:szCs w:val="21"/>
                <w:lang w:val="es-MX" w:eastAsia="es-MX"/>
              </w:rPr>
            </w:pPr>
          </w:p>
        </w:tc>
      </w:tr>
      <w:tr w:rsidR="0027514C" w:rsidRPr="0027514C" w14:paraId="38132511" w14:textId="77777777" w:rsidTr="004E6068">
        <w:trPr>
          <w:jc w:val="center"/>
        </w:trPr>
        <w:tc>
          <w:tcPr>
            <w:tcW w:w="1271" w:type="dxa"/>
            <w:shd w:val="clear" w:color="auto" w:fill="auto"/>
          </w:tcPr>
          <w:p w14:paraId="0E8214BD" w14:textId="77777777" w:rsidR="0027514C" w:rsidRPr="0027514C" w:rsidRDefault="0027514C" w:rsidP="0027514C">
            <w:pPr>
              <w:jc w:val="center"/>
              <w:rPr>
                <w:rFonts w:ascii="Abadi" w:hAnsi="Abadi"/>
                <w:b/>
                <w:sz w:val="21"/>
                <w:szCs w:val="21"/>
                <w:lang w:val="es-MX" w:eastAsia="en-US"/>
              </w:rPr>
            </w:pPr>
          </w:p>
        </w:tc>
        <w:tc>
          <w:tcPr>
            <w:tcW w:w="3404" w:type="dxa"/>
            <w:shd w:val="clear" w:color="auto" w:fill="auto"/>
          </w:tcPr>
          <w:p w14:paraId="2F6249B0" w14:textId="77777777" w:rsidR="0027514C" w:rsidRPr="0027514C" w:rsidRDefault="0027514C" w:rsidP="0027514C">
            <w:pPr>
              <w:jc w:val="both"/>
              <w:rPr>
                <w:rFonts w:ascii="Abadi" w:hAnsi="Abadi"/>
                <w:sz w:val="21"/>
                <w:szCs w:val="21"/>
                <w:lang w:val="es-MX" w:eastAsia="es-MX"/>
              </w:rPr>
            </w:pPr>
            <w:r w:rsidRPr="0027514C">
              <w:rPr>
                <w:rFonts w:ascii="Abadi" w:hAnsi="Abadi"/>
                <w:bCs/>
                <w:sz w:val="21"/>
                <w:szCs w:val="21"/>
                <w:lang w:val="es-MX" w:eastAsia="es-MX"/>
              </w:rPr>
              <w:t>Sector Central</w:t>
            </w:r>
          </w:p>
        </w:tc>
        <w:tc>
          <w:tcPr>
            <w:tcW w:w="1431" w:type="dxa"/>
            <w:shd w:val="clear" w:color="auto" w:fill="auto"/>
          </w:tcPr>
          <w:p w14:paraId="68B1B329" w14:textId="77777777" w:rsidR="0027514C" w:rsidRPr="0027514C" w:rsidRDefault="0027514C" w:rsidP="0027514C">
            <w:pPr>
              <w:jc w:val="center"/>
              <w:rPr>
                <w:rFonts w:ascii="Abadi" w:hAnsi="Abadi"/>
                <w:sz w:val="21"/>
                <w:szCs w:val="21"/>
                <w:lang w:val="es-MX" w:eastAsia="es-MX"/>
              </w:rPr>
            </w:pPr>
            <w:r w:rsidRPr="0027514C">
              <w:rPr>
                <w:rFonts w:ascii="Abadi" w:hAnsi="Abadi" w:cs="Calibri"/>
                <w:sz w:val="21"/>
                <w:szCs w:val="21"/>
                <w:lang w:eastAsia="es-MX"/>
              </w:rPr>
              <w:t>62</w:t>
            </w:r>
          </w:p>
        </w:tc>
        <w:tc>
          <w:tcPr>
            <w:tcW w:w="1431" w:type="dxa"/>
            <w:shd w:val="clear" w:color="auto" w:fill="auto"/>
            <w:vAlign w:val="center"/>
          </w:tcPr>
          <w:p w14:paraId="04331E04" w14:textId="77777777" w:rsidR="0027514C" w:rsidRPr="0027514C" w:rsidRDefault="0027514C" w:rsidP="0027514C">
            <w:pPr>
              <w:jc w:val="center"/>
              <w:rPr>
                <w:rFonts w:ascii="Abadi" w:hAnsi="Abadi"/>
                <w:sz w:val="21"/>
                <w:szCs w:val="21"/>
                <w:lang w:val="es-MX" w:eastAsia="es-MX"/>
              </w:rPr>
            </w:pPr>
            <w:r w:rsidRPr="0027514C">
              <w:rPr>
                <w:rFonts w:ascii="Abadi" w:hAnsi="Abadi" w:cs="Calibri"/>
                <w:sz w:val="21"/>
                <w:szCs w:val="21"/>
                <w:lang w:eastAsia="es-MX"/>
              </w:rPr>
              <w:t>38</w:t>
            </w:r>
          </w:p>
        </w:tc>
      </w:tr>
      <w:tr w:rsidR="0027514C" w:rsidRPr="0027514C" w14:paraId="5901EEF4" w14:textId="77777777" w:rsidTr="004E6068">
        <w:trPr>
          <w:jc w:val="center"/>
        </w:trPr>
        <w:tc>
          <w:tcPr>
            <w:tcW w:w="1271" w:type="dxa"/>
            <w:shd w:val="clear" w:color="auto" w:fill="auto"/>
          </w:tcPr>
          <w:p w14:paraId="5181DE0F" w14:textId="77777777" w:rsidR="0027514C" w:rsidRPr="0027514C" w:rsidRDefault="0027514C" w:rsidP="0027514C">
            <w:pPr>
              <w:jc w:val="center"/>
              <w:rPr>
                <w:rFonts w:ascii="Abadi" w:hAnsi="Abadi"/>
                <w:b/>
                <w:sz w:val="21"/>
                <w:szCs w:val="21"/>
                <w:lang w:val="es-MX" w:eastAsia="en-US"/>
              </w:rPr>
            </w:pPr>
          </w:p>
        </w:tc>
        <w:tc>
          <w:tcPr>
            <w:tcW w:w="3404" w:type="dxa"/>
            <w:shd w:val="clear" w:color="auto" w:fill="auto"/>
          </w:tcPr>
          <w:p w14:paraId="7E30B9F7" w14:textId="77777777" w:rsidR="0027514C" w:rsidRPr="0027514C" w:rsidRDefault="0027514C" w:rsidP="0027514C">
            <w:pPr>
              <w:jc w:val="both"/>
              <w:rPr>
                <w:rFonts w:ascii="Abadi" w:hAnsi="Abadi"/>
                <w:sz w:val="21"/>
                <w:szCs w:val="21"/>
                <w:lang w:val="es-MX" w:eastAsia="es-MX"/>
              </w:rPr>
            </w:pPr>
            <w:r w:rsidRPr="0027514C">
              <w:rPr>
                <w:rFonts w:ascii="Abadi" w:hAnsi="Abadi" w:cs="Calibri"/>
                <w:sz w:val="21"/>
                <w:szCs w:val="21"/>
                <w:lang w:val="es-MX" w:eastAsia="es-MX"/>
              </w:rPr>
              <w:t xml:space="preserve">Sistema de Agua Potable y Alcantarillado en la Zona Rural del Municipio de </w:t>
            </w:r>
            <w:r w:rsidRPr="0027514C">
              <w:rPr>
                <w:rFonts w:ascii="Abadi" w:hAnsi="Abadi" w:cs="Calibri"/>
                <w:sz w:val="21"/>
                <w:szCs w:val="21"/>
                <w:lang w:val="es-MX" w:eastAsia="es-MX"/>
              </w:rPr>
              <w:t>León, Guanajuato (SAPAL)</w:t>
            </w:r>
          </w:p>
        </w:tc>
        <w:tc>
          <w:tcPr>
            <w:tcW w:w="1431" w:type="dxa"/>
            <w:shd w:val="clear" w:color="auto" w:fill="auto"/>
          </w:tcPr>
          <w:p w14:paraId="2E5B34BD" w14:textId="77777777" w:rsidR="0027514C" w:rsidRPr="0027514C" w:rsidRDefault="0027514C" w:rsidP="0027514C">
            <w:pPr>
              <w:jc w:val="center"/>
              <w:rPr>
                <w:rFonts w:ascii="Abadi" w:hAnsi="Abadi"/>
                <w:bCs/>
                <w:sz w:val="21"/>
                <w:szCs w:val="21"/>
                <w:lang w:val="es-MX" w:eastAsia="es-MX"/>
              </w:rPr>
            </w:pPr>
          </w:p>
          <w:p w14:paraId="7C0301CF" w14:textId="77777777" w:rsidR="0027514C" w:rsidRPr="0027514C" w:rsidRDefault="0027514C" w:rsidP="0027514C">
            <w:pPr>
              <w:jc w:val="center"/>
              <w:rPr>
                <w:rFonts w:ascii="Abadi" w:hAnsi="Abadi"/>
                <w:sz w:val="21"/>
                <w:szCs w:val="21"/>
                <w:lang w:val="es-MX" w:eastAsia="es-MX"/>
              </w:rPr>
            </w:pPr>
            <w:r w:rsidRPr="0027514C">
              <w:rPr>
                <w:rFonts w:ascii="Abadi" w:hAnsi="Abadi"/>
                <w:bCs/>
                <w:sz w:val="21"/>
                <w:szCs w:val="21"/>
                <w:lang w:val="es-MX" w:eastAsia="es-MX"/>
              </w:rPr>
              <w:t>N/A</w:t>
            </w:r>
          </w:p>
        </w:tc>
        <w:tc>
          <w:tcPr>
            <w:tcW w:w="1431" w:type="dxa"/>
            <w:shd w:val="clear" w:color="auto" w:fill="auto"/>
            <w:vAlign w:val="center"/>
          </w:tcPr>
          <w:p w14:paraId="1A696986" w14:textId="77777777" w:rsidR="0027514C" w:rsidRPr="0027514C" w:rsidRDefault="0027514C" w:rsidP="0027514C">
            <w:pPr>
              <w:jc w:val="center"/>
              <w:rPr>
                <w:rFonts w:ascii="Abadi" w:hAnsi="Abadi"/>
                <w:sz w:val="21"/>
                <w:szCs w:val="21"/>
                <w:lang w:val="es-MX" w:eastAsia="es-MX"/>
              </w:rPr>
            </w:pPr>
            <w:r w:rsidRPr="0027514C">
              <w:rPr>
                <w:rFonts w:ascii="Abadi" w:hAnsi="Abadi"/>
                <w:bCs/>
                <w:sz w:val="21"/>
                <w:szCs w:val="21"/>
                <w:lang w:val="es-MX" w:eastAsia="es-MX"/>
              </w:rPr>
              <w:t>9</w:t>
            </w:r>
          </w:p>
        </w:tc>
      </w:tr>
      <w:tr w:rsidR="0027514C" w:rsidRPr="0027514C" w14:paraId="511428CA" w14:textId="77777777" w:rsidTr="004E6068">
        <w:trPr>
          <w:jc w:val="center"/>
        </w:trPr>
        <w:tc>
          <w:tcPr>
            <w:tcW w:w="1271" w:type="dxa"/>
            <w:shd w:val="clear" w:color="auto" w:fill="auto"/>
          </w:tcPr>
          <w:p w14:paraId="3A38E61A" w14:textId="77777777" w:rsidR="0027514C" w:rsidRPr="0027514C" w:rsidRDefault="0027514C" w:rsidP="0027514C">
            <w:pPr>
              <w:jc w:val="center"/>
              <w:rPr>
                <w:rFonts w:ascii="Abadi" w:hAnsi="Abadi"/>
                <w:b/>
                <w:sz w:val="21"/>
                <w:szCs w:val="21"/>
                <w:lang w:val="es-MX" w:eastAsia="en-US"/>
              </w:rPr>
            </w:pPr>
          </w:p>
        </w:tc>
        <w:tc>
          <w:tcPr>
            <w:tcW w:w="3404" w:type="dxa"/>
            <w:shd w:val="clear" w:color="auto" w:fill="auto"/>
          </w:tcPr>
          <w:p w14:paraId="33E036A8" w14:textId="77777777" w:rsidR="0027514C" w:rsidRPr="0027514C" w:rsidRDefault="0027514C" w:rsidP="0027514C">
            <w:pPr>
              <w:jc w:val="both"/>
              <w:rPr>
                <w:rFonts w:ascii="Abadi" w:hAnsi="Abadi"/>
                <w:sz w:val="21"/>
                <w:szCs w:val="21"/>
                <w:lang w:val="es-MX" w:eastAsia="es-MX"/>
              </w:rPr>
            </w:pPr>
            <w:r w:rsidRPr="0027514C">
              <w:rPr>
                <w:rFonts w:ascii="Abadi" w:hAnsi="Abadi"/>
                <w:b/>
                <w:bCs/>
                <w:sz w:val="21"/>
                <w:szCs w:val="21"/>
                <w:lang w:val="es-MX" w:eastAsia="es-MX"/>
              </w:rPr>
              <w:t>Auditoría a la infraestructura pública municipal</w:t>
            </w:r>
          </w:p>
        </w:tc>
        <w:tc>
          <w:tcPr>
            <w:tcW w:w="1431" w:type="dxa"/>
            <w:shd w:val="clear" w:color="auto" w:fill="auto"/>
            <w:vAlign w:val="center"/>
          </w:tcPr>
          <w:p w14:paraId="3B9DA240" w14:textId="77777777" w:rsidR="0027514C" w:rsidRPr="0027514C" w:rsidRDefault="0027514C" w:rsidP="0027514C">
            <w:pPr>
              <w:jc w:val="center"/>
              <w:rPr>
                <w:rFonts w:ascii="Abadi" w:hAnsi="Abadi"/>
                <w:sz w:val="21"/>
                <w:szCs w:val="21"/>
                <w:lang w:val="es-MX" w:eastAsia="es-MX"/>
              </w:rPr>
            </w:pPr>
            <w:r w:rsidRPr="0027514C">
              <w:rPr>
                <w:rFonts w:ascii="Abadi" w:hAnsi="Abadi"/>
                <w:bCs/>
                <w:sz w:val="21"/>
                <w:szCs w:val="21"/>
                <w:lang w:val="es-MX" w:eastAsia="es-MX"/>
              </w:rPr>
              <w:t>0*</w:t>
            </w:r>
          </w:p>
        </w:tc>
        <w:tc>
          <w:tcPr>
            <w:tcW w:w="1431" w:type="dxa"/>
            <w:shd w:val="clear" w:color="auto" w:fill="auto"/>
            <w:vAlign w:val="center"/>
          </w:tcPr>
          <w:p w14:paraId="29663536" w14:textId="77777777" w:rsidR="0027514C" w:rsidRPr="0027514C" w:rsidRDefault="0027514C" w:rsidP="0027514C">
            <w:pPr>
              <w:jc w:val="center"/>
              <w:rPr>
                <w:rFonts w:ascii="Abadi" w:hAnsi="Abadi"/>
                <w:sz w:val="21"/>
                <w:szCs w:val="21"/>
                <w:lang w:val="es-MX" w:eastAsia="es-MX"/>
              </w:rPr>
            </w:pPr>
            <w:r w:rsidRPr="0027514C">
              <w:rPr>
                <w:rFonts w:ascii="Abadi" w:hAnsi="Abadi"/>
                <w:bCs/>
                <w:sz w:val="21"/>
                <w:szCs w:val="21"/>
                <w:lang w:val="es-MX" w:eastAsia="es-MX"/>
              </w:rPr>
              <w:t>32</w:t>
            </w:r>
          </w:p>
        </w:tc>
      </w:tr>
      <w:tr w:rsidR="0027514C" w:rsidRPr="0027514C" w14:paraId="471AE064" w14:textId="77777777" w:rsidTr="004E6068">
        <w:trPr>
          <w:jc w:val="center"/>
        </w:trPr>
        <w:tc>
          <w:tcPr>
            <w:tcW w:w="1271" w:type="dxa"/>
            <w:shd w:val="clear" w:color="auto" w:fill="auto"/>
          </w:tcPr>
          <w:p w14:paraId="0D6DB4DD" w14:textId="77777777" w:rsidR="0027514C" w:rsidRPr="0027514C" w:rsidRDefault="0027514C" w:rsidP="0027514C">
            <w:pPr>
              <w:jc w:val="center"/>
              <w:rPr>
                <w:rFonts w:ascii="Abadi" w:hAnsi="Abadi"/>
                <w:bCs/>
                <w:sz w:val="21"/>
                <w:szCs w:val="21"/>
                <w:lang w:val="es-MX" w:eastAsia="en-US"/>
              </w:rPr>
            </w:pPr>
            <w:r w:rsidRPr="0027514C">
              <w:rPr>
                <w:rFonts w:ascii="Abadi" w:hAnsi="Abadi"/>
                <w:b/>
                <w:bCs/>
                <w:sz w:val="21"/>
                <w:szCs w:val="21"/>
                <w:lang w:val="es-MX" w:eastAsia="es-MX"/>
              </w:rPr>
              <w:t>2021</w:t>
            </w:r>
          </w:p>
        </w:tc>
        <w:tc>
          <w:tcPr>
            <w:tcW w:w="3404" w:type="dxa"/>
            <w:shd w:val="clear" w:color="auto" w:fill="auto"/>
          </w:tcPr>
          <w:p w14:paraId="44C02FD7" w14:textId="77777777" w:rsidR="0027514C" w:rsidRPr="0027514C" w:rsidRDefault="0027514C" w:rsidP="0027514C">
            <w:pPr>
              <w:jc w:val="both"/>
              <w:rPr>
                <w:rFonts w:ascii="Abadi" w:hAnsi="Abadi"/>
                <w:sz w:val="21"/>
                <w:szCs w:val="21"/>
                <w:lang w:val="es-MX" w:eastAsia="es-MX"/>
              </w:rPr>
            </w:pPr>
            <w:r w:rsidRPr="0027514C">
              <w:rPr>
                <w:rFonts w:ascii="Abadi" w:hAnsi="Abadi" w:cs="Calibri"/>
                <w:b/>
                <w:bCs/>
                <w:sz w:val="21"/>
                <w:szCs w:val="21"/>
                <w:lang w:val="es-MX" w:eastAsia="es-MX"/>
              </w:rPr>
              <w:t>Revisión de cuenta pública</w:t>
            </w:r>
          </w:p>
        </w:tc>
        <w:tc>
          <w:tcPr>
            <w:tcW w:w="1431" w:type="dxa"/>
            <w:shd w:val="clear" w:color="auto" w:fill="auto"/>
          </w:tcPr>
          <w:p w14:paraId="1BF835BB" w14:textId="77777777" w:rsidR="0027514C" w:rsidRPr="0027514C" w:rsidRDefault="0027514C" w:rsidP="0027514C">
            <w:pPr>
              <w:jc w:val="center"/>
              <w:rPr>
                <w:rFonts w:ascii="Abadi" w:hAnsi="Abadi"/>
                <w:sz w:val="21"/>
                <w:szCs w:val="21"/>
                <w:lang w:val="es-MX" w:eastAsia="es-MX"/>
              </w:rPr>
            </w:pPr>
          </w:p>
        </w:tc>
        <w:tc>
          <w:tcPr>
            <w:tcW w:w="1431" w:type="dxa"/>
            <w:shd w:val="clear" w:color="auto" w:fill="auto"/>
            <w:vAlign w:val="center"/>
          </w:tcPr>
          <w:p w14:paraId="1C320C9F" w14:textId="77777777" w:rsidR="0027514C" w:rsidRPr="0027514C" w:rsidRDefault="0027514C" w:rsidP="0027514C">
            <w:pPr>
              <w:jc w:val="center"/>
              <w:rPr>
                <w:rFonts w:ascii="Abadi" w:hAnsi="Abadi"/>
                <w:sz w:val="21"/>
                <w:szCs w:val="21"/>
                <w:lang w:val="es-MX" w:eastAsia="es-MX"/>
              </w:rPr>
            </w:pPr>
          </w:p>
        </w:tc>
      </w:tr>
      <w:tr w:rsidR="0027514C" w:rsidRPr="0027514C" w14:paraId="63804C60" w14:textId="77777777" w:rsidTr="004E6068">
        <w:trPr>
          <w:jc w:val="center"/>
        </w:trPr>
        <w:tc>
          <w:tcPr>
            <w:tcW w:w="1271" w:type="dxa"/>
            <w:shd w:val="clear" w:color="auto" w:fill="auto"/>
          </w:tcPr>
          <w:p w14:paraId="6D1F31BE" w14:textId="77777777" w:rsidR="0027514C" w:rsidRPr="0027514C" w:rsidRDefault="0027514C" w:rsidP="0027514C">
            <w:pPr>
              <w:jc w:val="center"/>
              <w:rPr>
                <w:rFonts w:ascii="Abadi" w:hAnsi="Abadi"/>
                <w:bCs/>
                <w:sz w:val="21"/>
                <w:szCs w:val="21"/>
                <w:lang w:val="es-MX" w:eastAsia="en-US"/>
              </w:rPr>
            </w:pPr>
          </w:p>
        </w:tc>
        <w:tc>
          <w:tcPr>
            <w:tcW w:w="3404" w:type="dxa"/>
            <w:shd w:val="clear" w:color="auto" w:fill="auto"/>
          </w:tcPr>
          <w:p w14:paraId="60C448EC" w14:textId="77777777" w:rsidR="0027514C" w:rsidRPr="0027514C" w:rsidRDefault="0027514C" w:rsidP="0027514C">
            <w:pPr>
              <w:jc w:val="both"/>
              <w:rPr>
                <w:rFonts w:ascii="Abadi" w:hAnsi="Abadi"/>
                <w:sz w:val="21"/>
                <w:szCs w:val="21"/>
                <w:lang w:val="es-MX" w:eastAsia="es-MX"/>
              </w:rPr>
            </w:pPr>
            <w:r w:rsidRPr="0027514C">
              <w:rPr>
                <w:rFonts w:ascii="Abadi" w:hAnsi="Abadi" w:cs="Calibri"/>
                <w:sz w:val="21"/>
                <w:szCs w:val="21"/>
                <w:lang w:val="es-MX" w:eastAsia="es-MX"/>
              </w:rPr>
              <w:t>En etapa de análisis de información financiera del periodo de enero a junio de 2021 y julio a diciembre 2021</w:t>
            </w:r>
          </w:p>
        </w:tc>
        <w:tc>
          <w:tcPr>
            <w:tcW w:w="1431" w:type="dxa"/>
            <w:shd w:val="clear" w:color="auto" w:fill="auto"/>
          </w:tcPr>
          <w:p w14:paraId="652E6C29" w14:textId="77777777" w:rsidR="0027514C" w:rsidRPr="0027514C" w:rsidRDefault="0027514C" w:rsidP="0027514C">
            <w:pPr>
              <w:jc w:val="center"/>
              <w:rPr>
                <w:rFonts w:ascii="Abadi" w:hAnsi="Abadi" w:cs="Calibri"/>
                <w:sz w:val="21"/>
                <w:szCs w:val="21"/>
                <w:lang w:val="es-MX" w:eastAsia="es-MX"/>
              </w:rPr>
            </w:pPr>
          </w:p>
          <w:p w14:paraId="40F84659" w14:textId="77777777" w:rsidR="0027514C" w:rsidRPr="0027514C" w:rsidRDefault="0027514C" w:rsidP="0027514C">
            <w:pPr>
              <w:jc w:val="center"/>
              <w:rPr>
                <w:rFonts w:ascii="Abadi" w:hAnsi="Abadi" w:cs="Calibri"/>
                <w:sz w:val="21"/>
                <w:szCs w:val="21"/>
                <w:lang w:val="es-MX" w:eastAsia="es-MX"/>
              </w:rPr>
            </w:pPr>
          </w:p>
          <w:p w14:paraId="0FAF9BED" w14:textId="77777777" w:rsidR="0027514C" w:rsidRPr="0027514C" w:rsidRDefault="0027514C" w:rsidP="0027514C">
            <w:pPr>
              <w:jc w:val="center"/>
              <w:rPr>
                <w:rFonts w:ascii="Abadi" w:hAnsi="Abadi"/>
                <w:sz w:val="21"/>
                <w:szCs w:val="21"/>
                <w:lang w:val="es-MX" w:eastAsia="es-MX"/>
              </w:rPr>
            </w:pPr>
            <w:r w:rsidRPr="0027514C">
              <w:rPr>
                <w:rFonts w:ascii="Abadi" w:hAnsi="Abadi" w:cs="Calibri"/>
                <w:sz w:val="21"/>
                <w:szCs w:val="21"/>
                <w:lang w:eastAsia="es-MX"/>
              </w:rPr>
              <w:t>Proceso</w:t>
            </w:r>
          </w:p>
        </w:tc>
        <w:tc>
          <w:tcPr>
            <w:tcW w:w="1431" w:type="dxa"/>
            <w:shd w:val="clear" w:color="auto" w:fill="auto"/>
            <w:vAlign w:val="center"/>
          </w:tcPr>
          <w:p w14:paraId="5EFD9389" w14:textId="77777777" w:rsidR="0027514C" w:rsidRPr="0027514C" w:rsidRDefault="0027514C" w:rsidP="0027514C">
            <w:pPr>
              <w:jc w:val="center"/>
              <w:rPr>
                <w:rFonts w:ascii="Abadi" w:hAnsi="Abadi"/>
                <w:bCs/>
                <w:sz w:val="21"/>
                <w:szCs w:val="21"/>
                <w:lang w:val="es-MX" w:eastAsia="es-MX"/>
              </w:rPr>
            </w:pPr>
          </w:p>
          <w:p w14:paraId="4111D0B3" w14:textId="77777777" w:rsidR="0027514C" w:rsidRPr="0027514C" w:rsidRDefault="0027514C" w:rsidP="0027514C">
            <w:pPr>
              <w:jc w:val="center"/>
              <w:rPr>
                <w:rFonts w:ascii="Abadi" w:hAnsi="Abadi"/>
                <w:sz w:val="21"/>
                <w:szCs w:val="21"/>
                <w:lang w:val="es-MX" w:eastAsia="es-MX"/>
              </w:rPr>
            </w:pPr>
            <w:r w:rsidRPr="0027514C">
              <w:rPr>
                <w:rFonts w:ascii="Abadi" w:hAnsi="Abadi"/>
                <w:bCs/>
                <w:sz w:val="21"/>
                <w:szCs w:val="21"/>
                <w:lang w:val="es-MX" w:eastAsia="es-MX"/>
              </w:rPr>
              <w:t>Proceso</w:t>
            </w:r>
          </w:p>
        </w:tc>
      </w:tr>
      <w:tr w:rsidR="0027514C" w:rsidRPr="0027514C" w14:paraId="6F5B7029" w14:textId="77777777" w:rsidTr="004E6068">
        <w:trPr>
          <w:jc w:val="center"/>
        </w:trPr>
        <w:tc>
          <w:tcPr>
            <w:tcW w:w="1271" w:type="dxa"/>
            <w:shd w:val="clear" w:color="auto" w:fill="auto"/>
          </w:tcPr>
          <w:p w14:paraId="4BFEE78D" w14:textId="77777777" w:rsidR="0027514C" w:rsidRPr="0027514C" w:rsidRDefault="0027514C" w:rsidP="0027514C">
            <w:pPr>
              <w:jc w:val="center"/>
              <w:rPr>
                <w:rFonts w:ascii="Abadi" w:hAnsi="Abadi"/>
                <w:bCs/>
                <w:sz w:val="21"/>
                <w:szCs w:val="21"/>
                <w:lang w:val="es-MX" w:eastAsia="en-US"/>
              </w:rPr>
            </w:pPr>
          </w:p>
        </w:tc>
        <w:tc>
          <w:tcPr>
            <w:tcW w:w="3404" w:type="dxa"/>
            <w:shd w:val="clear" w:color="auto" w:fill="auto"/>
          </w:tcPr>
          <w:p w14:paraId="0D05DC8D" w14:textId="77777777" w:rsidR="0027514C" w:rsidRPr="0027514C" w:rsidRDefault="0027514C" w:rsidP="0027514C">
            <w:pPr>
              <w:jc w:val="both"/>
              <w:rPr>
                <w:rFonts w:ascii="Abadi" w:hAnsi="Abadi"/>
                <w:sz w:val="21"/>
                <w:szCs w:val="21"/>
                <w:lang w:val="es-MX" w:eastAsia="es-MX"/>
              </w:rPr>
            </w:pPr>
            <w:r w:rsidRPr="0027514C">
              <w:rPr>
                <w:rFonts w:ascii="Abadi" w:hAnsi="Abadi" w:cs="Calibri"/>
                <w:b/>
                <w:bCs/>
                <w:sz w:val="21"/>
                <w:szCs w:val="21"/>
                <w:lang w:val="es-MX" w:eastAsia="es-MX"/>
              </w:rPr>
              <w:t>Auditoría específica (En proceso: En etapa de ejecución)</w:t>
            </w:r>
          </w:p>
        </w:tc>
        <w:tc>
          <w:tcPr>
            <w:tcW w:w="1431" w:type="dxa"/>
            <w:shd w:val="clear" w:color="auto" w:fill="auto"/>
          </w:tcPr>
          <w:p w14:paraId="34EAB5E9" w14:textId="77777777" w:rsidR="0027514C" w:rsidRPr="0027514C" w:rsidRDefault="0027514C" w:rsidP="0027514C">
            <w:pPr>
              <w:jc w:val="center"/>
              <w:rPr>
                <w:rFonts w:ascii="Abadi" w:hAnsi="Abadi"/>
                <w:sz w:val="21"/>
                <w:szCs w:val="21"/>
                <w:lang w:val="es-MX" w:eastAsia="es-MX"/>
              </w:rPr>
            </w:pPr>
          </w:p>
        </w:tc>
        <w:tc>
          <w:tcPr>
            <w:tcW w:w="1431" w:type="dxa"/>
            <w:shd w:val="clear" w:color="auto" w:fill="auto"/>
            <w:vAlign w:val="center"/>
          </w:tcPr>
          <w:p w14:paraId="2B517753" w14:textId="77777777" w:rsidR="0027514C" w:rsidRPr="0027514C" w:rsidRDefault="0027514C" w:rsidP="0027514C">
            <w:pPr>
              <w:jc w:val="center"/>
              <w:rPr>
                <w:rFonts w:ascii="Abadi" w:hAnsi="Abadi"/>
                <w:sz w:val="21"/>
                <w:szCs w:val="21"/>
                <w:lang w:val="es-MX" w:eastAsia="es-MX"/>
              </w:rPr>
            </w:pPr>
          </w:p>
        </w:tc>
      </w:tr>
      <w:tr w:rsidR="0027514C" w:rsidRPr="0027514C" w14:paraId="7958F803" w14:textId="77777777" w:rsidTr="004E6068">
        <w:trPr>
          <w:jc w:val="center"/>
        </w:trPr>
        <w:tc>
          <w:tcPr>
            <w:tcW w:w="1271" w:type="dxa"/>
            <w:shd w:val="clear" w:color="auto" w:fill="auto"/>
          </w:tcPr>
          <w:p w14:paraId="21EAB9E6" w14:textId="77777777" w:rsidR="0027514C" w:rsidRPr="0027514C" w:rsidRDefault="0027514C" w:rsidP="0027514C">
            <w:pPr>
              <w:jc w:val="center"/>
              <w:rPr>
                <w:rFonts w:ascii="Abadi" w:hAnsi="Abadi"/>
                <w:bCs/>
                <w:sz w:val="21"/>
                <w:szCs w:val="21"/>
                <w:lang w:val="es-MX" w:eastAsia="en-US"/>
              </w:rPr>
            </w:pPr>
          </w:p>
        </w:tc>
        <w:tc>
          <w:tcPr>
            <w:tcW w:w="3404" w:type="dxa"/>
            <w:shd w:val="clear" w:color="auto" w:fill="auto"/>
          </w:tcPr>
          <w:p w14:paraId="44EA80B3" w14:textId="77777777" w:rsidR="0027514C" w:rsidRPr="0027514C" w:rsidRDefault="0027514C" w:rsidP="0027514C">
            <w:pPr>
              <w:jc w:val="both"/>
              <w:rPr>
                <w:rFonts w:ascii="Abadi" w:hAnsi="Abadi"/>
                <w:sz w:val="21"/>
                <w:szCs w:val="21"/>
                <w:lang w:val="es-MX" w:eastAsia="es-MX"/>
              </w:rPr>
            </w:pPr>
            <w:r w:rsidRPr="0027514C">
              <w:rPr>
                <w:rFonts w:ascii="Abadi" w:hAnsi="Abadi"/>
                <w:sz w:val="21"/>
                <w:szCs w:val="21"/>
                <w:lang w:val="es-MX" w:eastAsia="es-MX"/>
              </w:rPr>
              <w:t xml:space="preserve">Ejecución y control del contrato de prestación de servicios, sus respectivos modificatorios y anexos relacionados con la concesión otorgada por el Ayuntamiento de León, Guanajuato, a la empresa </w:t>
            </w:r>
            <w:r w:rsidRPr="0027514C">
              <w:rPr>
                <w:rFonts w:ascii="Abadi" w:hAnsi="Abadi"/>
                <w:i/>
                <w:iCs/>
                <w:sz w:val="21"/>
                <w:szCs w:val="21"/>
                <w:lang w:val="es-MX" w:eastAsia="es-MX"/>
              </w:rPr>
              <w:t>ECOSYS III, S.A. de C.V.,</w:t>
            </w:r>
            <w:r w:rsidRPr="0027514C">
              <w:rPr>
                <w:rFonts w:ascii="Abadi" w:hAnsi="Abadi"/>
                <w:sz w:val="21"/>
                <w:szCs w:val="21"/>
                <w:lang w:val="es-MX" w:eastAsia="es-MX"/>
              </w:rPr>
              <w:t xml:space="preserve"> para la prestación del servicio público de tratamiento de aguas residuales provenientes del drenaje y alcantarillado de la ciudad </w:t>
            </w:r>
            <w:r w:rsidRPr="0027514C">
              <w:rPr>
                <w:rFonts w:ascii="Abadi" w:hAnsi="Abadi"/>
                <w:sz w:val="21"/>
                <w:szCs w:val="21"/>
                <w:lang w:val="es-MX" w:eastAsia="es-MX"/>
              </w:rPr>
              <w:lastRenderedPageBreak/>
              <w:t>de León, Guanajuato, hasta la fecha de conclusión de su vigencia</w:t>
            </w:r>
          </w:p>
        </w:tc>
        <w:tc>
          <w:tcPr>
            <w:tcW w:w="1431" w:type="dxa"/>
            <w:shd w:val="clear" w:color="auto" w:fill="auto"/>
          </w:tcPr>
          <w:p w14:paraId="73582C30" w14:textId="77777777" w:rsidR="0027514C" w:rsidRPr="0027514C" w:rsidRDefault="0027514C" w:rsidP="0027514C">
            <w:pPr>
              <w:jc w:val="center"/>
              <w:rPr>
                <w:rFonts w:ascii="Abadi" w:hAnsi="Abadi" w:cs="Calibri"/>
                <w:sz w:val="21"/>
                <w:szCs w:val="21"/>
                <w:lang w:val="es-MX" w:eastAsia="es-MX"/>
              </w:rPr>
            </w:pPr>
          </w:p>
          <w:p w14:paraId="18A4337D" w14:textId="77777777" w:rsidR="0027514C" w:rsidRPr="0027514C" w:rsidRDefault="0027514C" w:rsidP="0027514C">
            <w:pPr>
              <w:jc w:val="center"/>
              <w:rPr>
                <w:rFonts w:ascii="Abadi" w:hAnsi="Abadi" w:cs="Calibri"/>
                <w:sz w:val="21"/>
                <w:szCs w:val="21"/>
                <w:lang w:val="es-MX" w:eastAsia="es-MX"/>
              </w:rPr>
            </w:pPr>
          </w:p>
          <w:p w14:paraId="6E57F43C" w14:textId="77777777" w:rsidR="0027514C" w:rsidRPr="0027514C" w:rsidRDefault="0027514C" w:rsidP="0027514C">
            <w:pPr>
              <w:jc w:val="center"/>
              <w:rPr>
                <w:rFonts w:ascii="Abadi" w:hAnsi="Abadi" w:cs="Calibri"/>
                <w:sz w:val="21"/>
                <w:szCs w:val="21"/>
                <w:lang w:val="es-MX" w:eastAsia="es-MX"/>
              </w:rPr>
            </w:pPr>
          </w:p>
          <w:p w14:paraId="3F4199FB" w14:textId="77777777" w:rsidR="0027514C" w:rsidRPr="0027514C" w:rsidRDefault="0027514C" w:rsidP="0027514C">
            <w:pPr>
              <w:jc w:val="center"/>
              <w:rPr>
                <w:rFonts w:ascii="Abadi" w:hAnsi="Abadi"/>
                <w:sz w:val="21"/>
                <w:szCs w:val="21"/>
                <w:lang w:val="es-MX" w:eastAsia="es-MX"/>
              </w:rPr>
            </w:pPr>
            <w:r w:rsidRPr="0027514C">
              <w:rPr>
                <w:rFonts w:ascii="Abadi" w:hAnsi="Abadi" w:cs="Calibri"/>
                <w:sz w:val="21"/>
                <w:szCs w:val="21"/>
                <w:lang w:eastAsia="es-MX"/>
              </w:rPr>
              <w:t>Proceso</w:t>
            </w:r>
          </w:p>
        </w:tc>
        <w:tc>
          <w:tcPr>
            <w:tcW w:w="1431" w:type="dxa"/>
            <w:shd w:val="clear" w:color="auto" w:fill="auto"/>
          </w:tcPr>
          <w:p w14:paraId="52BD1982" w14:textId="77777777" w:rsidR="0027514C" w:rsidRPr="0027514C" w:rsidRDefault="0027514C" w:rsidP="0027514C">
            <w:pPr>
              <w:jc w:val="center"/>
              <w:rPr>
                <w:rFonts w:ascii="Abadi" w:hAnsi="Abadi"/>
                <w:bCs/>
                <w:sz w:val="21"/>
                <w:szCs w:val="21"/>
                <w:lang w:val="es-MX" w:eastAsia="es-MX"/>
              </w:rPr>
            </w:pPr>
          </w:p>
          <w:p w14:paraId="3B887C93" w14:textId="77777777" w:rsidR="0027514C" w:rsidRPr="0027514C" w:rsidRDefault="0027514C" w:rsidP="0027514C">
            <w:pPr>
              <w:jc w:val="center"/>
              <w:rPr>
                <w:rFonts w:ascii="Abadi" w:hAnsi="Abadi"/>
                <w:bCs/>
                <w:sz w:val="21"/>
                <w:szCs w:val="21"/>
                <w:lang w:val="es-MX" w:eastAsia="es-MX"/>
              </w:rPr>
            </w:pPr>
          </w:p>
          <w:p w14:paraId="7E1FDFE7" w14:textId="77777777" w:rsidR="0027514C" w:rsidRPr="0027514C" w:rsidRDefault="0027514C" w:rsidP="0027514C">
            <w:pPr>
              <w:jc w:val="center"/>
              <w:rPr>
                <w:rFonts w:ascii="Abadi" w:hAnsi="Abadi"/>
                <w:bCs/>
                <w:sz w:val="21"/>
                <w:szCs w:val="21"/>
                <w:lang w:val="es-MX" w:eastAsia="es-MX"/>
              </w:rPr>
            </w:pPr>
          </w:p>
          <w:p w14:paraId="27DD8C38" w14:textId="77777777" w:rsidR="0027514C" w:rsidRPr="0027514C" w:rsidRDefault="0027514C" w:rsidP="0027514C">
            <w:pPr>
              <w:jc w:val="center"/>
              <w:rPr>
                <w:rFonts w:ascii="Abadi" w:hAnsi="Abadi"/>
                <w:sz w:val="21"/>
                <w:szCs w:val="21"/>
                <w:lang w:val="es-MX" w:eastAsia="es-MX"/>
              </w:rPr>
            </w:pPr>
            <w:r w:rsidRPr="0027514C">
              <w:rPr>
                <w:rFonts w:ascii="Abadi" w:hAnsi="Abadi"/>
                <w:bCs/>
                <w:sz w:val="21"/>
                <w:szCs w:val="21"/>
                <w:lang w:val="es-MX" w:eastAsia="es-MX"/>
              </w:rPr>
              <w:t>Proceso</w:t>
            </w:r>
          </w:p>
        </w:tc>
      </w:tr>
    </w:tbl>
    <w:p w14:paraId="652F89B7" w14:textId="77777777" w:rsidR="0027514C" w:rsidRPr="0027514C" w:rsidRDefault="0027514C" w:rsidP="0027514C">
      <w:pPr>
        <w:rPr>
          <w:rFonts w:ascii="Abadi" w:hAnsi="Abadi"/>
          <w:b/>
          <w:sz w:val="21"/>
          <w:szCs w:val="21"/>
          <w:lang w:val="es-MX" w:eastAsia="en-US"/>
        </w:rPr>
      </w:pPr>
    </w:p>
    <w:p w14:paraId="6BC330C8" w14:textId="77777777" w:rsidR="0027514C" w:rsidRPr="0027514C" w:rsidRDefault="0027514C" w:rsidP="0027514C">
      <w:pPr>
        <w:rPr>
          <w:rFonts w:ascii="Abadi" w:hAnsi="Abadi"/>
          <w:b/>
          <w:bCs/>
          <w:sz w:val="21"/>
          <w:szCs w:val="21"/>
          <w:lang w:val="es-MX" w:eastAsia="en-US"/>
        </w:rPr>
      </w:pPr>
      <w:r w:rsidRPr="0027514C">
        <w:rPr>
          <w:rFonts w:ascii="Abadi" w:hAnsi="Abadi"/>
          <w:b/>
          <w:bCs/>
          <w:sz w:val="21"/>
          <w:szCs w:val="21"/>
          <w:lang w:val="es-MX" w:eastAsia="en-US"/>
        </w:rPr>
        <w:t>Notas:</w:t>
      </w:r>
    </w:p>
    <w:p w14:paraId="3A3359CC" w14:textId="77777777" w:rsidR="0027514C" w:rsidRPr="0027514C" w:rsidRDefault="0027514C" w:rsidP="001A28E5">
      <w:pPr>
        <w:numPr>
          <w:ilvl w:val="0"/>
          <w:numId w:val="44"/>
        </w:numPr>
        <w:contextualSpacing/>
        <w:rPr>
          <w:rFonts w:ascii="Abadi" w:hAnsi="Abadi"/>
          <w:sz w:val="21"/>
          <w:szCs w:val="21"/>
          <w:lang w:val="es-MX" w:eastAsia="en-US"/>
        </w:rPr>
      </w:pPr>
      <w:r w:rsidRPr="0027514C">
        <w:rPr>
          <w:rFonts w:ascii="Abadi" w:hAnsi="Abadi"/>
          <w:sz w:val="21"/>
          <w:szCs w:val="21"/>
          <w:lang w:val="es-MX" w:eastAsia="es-MX"/>
        </w:rPr>
        <w:t>Los alcances se determinaron considerando los registros contables de cada periodo reportado</w:t>
      </w:r>
      <w:r w:rsidRPr="0027514C">
        <w:rPr>
          <w:rFonts w:ascii="Abadi" w:hAnsi="Abadi"/>
          <w:sz w:val="21"/>
          <w:szCs w:val="21"/>
          <w:lang w:val="es-MX" w:eastAsia="en-US"/>
        </w:rPr>
        <w:t>.</w:t>
      </w:r>
    </w:p>
    <w:p w14:paraId="5F08CBBD" w14:textId="77777777" w:rsidR="0027514C" w:rsidRPr="0027514C" w:rsidRDefault="0027514C" w:rsidP="0027514C">
      <w:pPr>
        <w:rPr>
          <w:rFonts w:ascii="Abadi" w:hAnsi="Abadi"/>
          <w:sz w:val="21"/>
          <w:szCs w:val="21"/>
          <w:lang w:val="es-MX" w:eastAsia="en-US"/>
        </w:rPr>
      </w:pPr>
    </w:p>
    <w:p w14:paraId="6F7CE953" w14:textId="77777777" w:rsidR="0027514C" w:rsidRPr="0027514C" w:rsidRDefault="0027514C" w:rsidP="0027514C">
      <w:pPr>
        <w:ind w:firstLine="720"/>
        <w:jc w:val="both"/>
        <w:rPr>
          <w:rFonts w:ascii="Abadi" w:hAnsi="Abadi" w:cs="Tahoma"/>
          <w:sz w:val="21"/>
          <w:szCs w:val="21"/>
          <w:lang w:val="es-MX" w:eastAsia="es-MX"/>
        </w:rPr>
      </w:pPr>
      <w:r w:rsidRPr="0027514C">
        <w:rPr>
          <w:rFonts w:ascii="Abadi" w:hAnsi="Abadi" w:cs="Tahoma"/>
          <w:sz w:val="21"/>
          <w:szCs w:val="21"/>
          <w:lang w:val="es-MX" w:eastAsia="es-MX"/>
        </w:rPr>
        <w:t>De acuerdo a la información proporcionada por la Auditoría Superior del Estado para la realización de los procesos de fiscalización se determinan con base en los riesgos identificados durante la etapa de planeación. Los análisis realizados en la planeación están vinculados con la generalidad del sujeto de fiscalización, con los sistemas transaccionales, de control interno, de materialidad presupuestal, de visibilidad y relevancia, así como de posibles riesgos asociados, entre los que destacan: Actas de órgano de gobierno y adquisiciones, notas periodísticas, publicaciones en el Periódico Oficial de Gobierno del Estado, análisis de demandas, informes de auditoría emitidos por órganos internos de control, auditorías externas y realizadas por la propia Auditoría Superior del Estado, sistemas transaccionales (tesorería, ingresos, bienes muebles e inmuebles, servicios personales, ayudas y subsidios, deuda, entre otros); variaciones presupuestales, saldos de cuenta de balance y resultados, bancos, proveedores y contratistas, enajenación y adquisición de bienes muebles e inmuebles y procesamiento de CFDI (XML).</w:t>
      </w:r>
    </w:p>
    <w:p w14:paraId="261002ED" w14:textId="77777777" w:rsidR="0027514C" w:rsidRPr="0027514C" w:rsidRDefault="0027514C" w:rsidP="0027514C">
      <w:pPr>
        <w:ind w:firstLine="720"/>
        <w:jc w:val="both"/>
        <w:rPr>
          <w:rFonts w:ascii="Abadi" w:hAnsi="Abadi" w:cs="Tahoma"/>
          <w:sz w:val="21"/>
          <w:szCs w:val="21"/>
          <w:lang w:val="es-MX" w:eastAsia="es-MX"/>
        </w:rPr>
      </w:pPr>
    </w:p>
    <w:p w14:paraId="4F4CF59E" w14:textId="77777777" w:rsidR="0027514C" w:rsidRPr="0027514C" w:rsidRDefault="0027514C" w:rsidP="0027514C">
      <w:pPr>
        <w:ind w:firstLine="720"/>
        <w:jc w:val="both"/>
        <w:rPr>
          <w:rFonts w:ascii="Abadi" w:hAnsi="Abadi" w:cs="Tahoma"/>
          <w:sz w:val="21"/>
          <w:szCs w:val="21"/>
          <w:lang w:val="es-MX" w:eastAsia="es-MX"/>
        </w:rPr>
      </w:pPr>
      <w:r w:rsidRPr="0027514C">
        <w:rPr>
          <w:rFonts w:ascii="Abadi" w:hAnsi="Abadi" w:cs="Tahoma"/>
          <w:sz w:val="21"/>
          <w:szCs w:val="21"/>
          <w:lang w:val="es-MX" w:eastAsia="es-MX"/>
        </w:rPr>
        <w:t xml:space="preserve">El alcance y procedimientos referidos forman parte de los análisis que realiza la Auditoría Superior del Estado para efecto de determinar la materialidad y la extensión de los procedimientos de auditoría a aplicar en la etapa de ejecución, situación por la cual, los alcances establecidos en los respectivos informes de resultados se complementan con los procedimientos de planeación específica, mismos que forman parte integral del análisis que realiza dicho ente auditor.  </w:t>
      </w:r>
    </w:p>
    <w:p w14:paraId="56779F17" w14:textId="77777777" w:rsidR="0027514C" w:rsidRPr="0027514C" w:rsidRDefault="0027514C" w:rsidP="0027514C">
      <w:pPr>
        <w:ind w:firstLine="720"/>
        <w:jc w:val="both"/>
        <w:rPr>
          <w:rFonts w:ascii="Abadi" w:hAnsi="Abadi" w:cs="Tahoma"/>
          <w:sz w:val="21"/>
          <w:szCs w:val="21"/>
          <w:lang w:val="es-MX" w:eastAsia="es-MX"/>
        </w:rPr>
      </w:pPr>
    </w:p>
    <w:p w14:paraId="461F1663" w14:textId="77777777" w:rsidR="0027514C" w:rsidRPr="0027514C" w:rsidRDefault="0027514C" w:rsidP="0027514C">
      <w:pPr>
        <w:ind w:firstLine="720"/>
        <w:jc w:val="both"/>
        <w:rPr>
          <w:rFonts w:ascii="Abadi" w:hAnsi="Abadi" w:cs="Tahoma"/>
          <w:sz w:val="21"/>
          <w:szCs w:val="21"/>
          <w:lang w:val="es-MX" w:eastAsia="es-MX"/>
        </w:rPr>
      </w:pPr>
      <w:r w:rsidRPr="0027514C">
        <w:rPr>
          <w:rFonts w:ascii="Abadi" w:hAnsi="Abadi" w:cs="Tahoma"/>
          <w:sz w:val="21"/>
          <w:szCs w:val="21"/>
          <w:lang w:val="es-MX" w:eastAsia="es-MX"/>
        </w:rPr>
        <w:t>Por lo que hace a la revisión de la cuenta pública correspondiente al ejercicio fiscal del año 2018 se revisaron los siguientes rubros:</w:t>
      </w:r>
    </w:p>
    <w:p w14:paraId="31AAB66C" w14:textId="77777777" w:rsidR="0027514C" w:rsidRPr="0027514C" w:rsidRDefault="0027514C" w:rsidP="0027514C">
      <w:pPr>
        <w:ind w:firstLine="720"/>
        <w:jc w:val="both"/>
        <w:rPr>
          <w:rFonts w:ascii="Abadi" w:hAnsi="Abadi" w:cs="Tahoma"/>
          <w:sz w:val="21"/>
          <w:szCs w:val="21"/>
          <w:lang w:val="es-MX" w:eastAsia="es-MX"/>
        </w:rPr>
      </w:pPr>
    </w:p>
    <w:p w14:paraId="7D251AA2" w14:textId="77777777" w:rsidR="0027514C" w:rsidRPr="0027514C" w:rsidRDefault="0027514C" w:rsidP="0027514C">
      <w:pPr>
        <w:ind w:left="360" w:firstLine="708"/>
        <w:rPr>
          <w:rFonts w:ascii="Abadi" w:hAnsi="Abadi"/>
          <w:b/>
          <w:bCs/>
          <w:sz w:val="21"/>
          <w:szCs w:val="21"/>
          <w:lang w:val="es-MX" w:eastAsia="es-MX"/>
        </w:rPr>
      </w:pPr>
      <w:r w:rsidRPr="0027514C">
        <w:rPr>
          <w:rFonts w:ascii="Abadi" w:hAnsi="Abadi"/>
          <w:b/>
          <w:bCs/>
          <w:sz w:val="21"/>
          <w:szCs w:val="21"/>
          <w:lang w:val="es-MX" w:eastAsia="es-MX"/>
        </w:rPr>
        <w:t>Sector Central:</w:t>
      </w:r>
    </w:p>
    <w:p w14:paraId="137BAB0C" w14:textId="77777777" w:rsidR="0027514C" w:rsidRPr="0027514C" w:rsidRDefault="0027514C" w:rsidP="001A28E5">
      <w:pPr>
        <w:numPr>
          <w:ilvl w:val="0"/>
          <w:numId w:val="42"/>
        </w:numPr>
        <w:ind w:left="1080"/>
        <w:contextualSpacing/>
        <w:jc w:val="both"/>
        <w:rPr>
          <w:rFonts w:ascii="Abadi" w:hAnsi="Abadi"/>
          <w:sz w:val="21"/>
          <w:szCs w:val="21"/>
          <w:lang w:val="es-MX" w:eastAsia="es-MX"/>
        </w:rPr>
      </w:pPr>
      <w:r w:rsidRPr="0027514C">
        <w:rPr>
          <w:rFonts w:ascii="Abadi" w:hAnsi="Abadi"/>
          <w:sz w:val="21"/>
          <w:szCs w:val="21"/>
          <w:u w:val="single"/>
          <w:lang w:val="es-MX" w:eastAsia="es-MX"/>
        </w:rPr>
        <w:t>Activo:</w:t>
      </w:r>
      <w:r w:rsidRPr="0027514C">
        <w:rPr>
          <w:rFonts w:ascii="Abadi" w:hAnsi="Abadi"/>
          <w:sz w:val="21"/>
          <w:szCs w:val="21"/>
          <w:lang w:val="es-MX" w:eastAsia="es-MX"/>
        </w:rPr>
        <w:t xml:space="preserve"> Adquisiciones de terrenos, </w:t>
      </w:r>
      <w:r w:rsidRPr="0027514C">
        <w:rPr>
          <w:rFonts w:ascii="Abadi" w:hAnsi="Abadi" w:cs="Calibri"/>
          <w:sz w:val="21"/>
          <w:szCs w:val="21"/>
          <w:lang w:val="es-MX" w:eastAsia="es-MX"/>
        </w:rPr>
        <w:t>vehículos y equipo terrestre, equipo de cómputo y de tecnologías de la información, entre otros.</w:t>
      </w:r>
    </w:p>
    <w:p w14:paraId="0A5D97F2" w14:textId="77777777" w:rsidR="0027514C" w:rsidRPr="0027514C" w:rsidRDefault="0027514C" w:rsidP="001A28E5">
      <w:pPr>
        <w:numPr>
          <w:ilvl w:val="0"/>
          <w:numId w:val="42"/>
        </w:numPr>
        <w:ind w:left="1080"/>
        <w:contextualSpacing/>
        <w:jc w:val="both"/>
        <w:rPr>
          <w:rFonts w:ascii="Abadi" w:hAnsi="Abadi"/>
          <w:sz w:val="21"/>
          <w:szCs w:val="21"/>
          <w:lang w:val="es-MX" w:eastAsia="es-MX"/>
        </w:rPr>
      </w:pPr>
      <w:r w:rsidRPr="0027514C">
        <w:rPr>
          <w:rFonts w:ascii="Abadi" w:hAnsi="Abadi"/>
          <w:bCs/>
          <w:sz w:val="21"/>
          <w:szCs w:val="21"/>
          <w:u w:val="single"/>
          <w:lang w:val="es-MX" w:eastAsia="es-MX"/>
        </w:rPr>
        <w:t>Ingresos:</w:t>
      </w:r>
      <w:r w:rsidRPr="0027514C">
        <w:rPr>
          <w:rFonts w:ascii="Abadi" w:hAnsi="Abadi"/>
          <w:bCs/>
          <w:sz w:val="21"/>
          <w:szCs w:val="21"/>
          <w:lang w:val="es-MX" w:eastAsia="es-MX"/>
        </w:rPr>
        <w:t xml:space="preserve"> </w:t>
      </w:r>
      <w:r w:rsidRPr="0027514C">
        <w:rPr>
          <w:rFonts w:ascii="Abadi" w:hAnsi="Abadi" w:cs="Calibri"/>
          <w:sz w:val="21"/>
          <w:szCs w:val="21"/>
          <w:lang w:val="es-MX" w:eastAsia="es-MX"/>
        </w:rPr>
        <w:t>Impuesto predial</w:t>
      </w:r>
      <w:r w:rsidRPr="0027514C">
        <w:rPr>
          <w:rFonts w:ascii="Abadi" w:hAnsi="Abadi"/>
          <w:bCs/>
          <w:sz w:val="21"/>
          <w:szCs w:val="21"/>
          <w:lang w:val="es-MX" w:eastAsia="es-MX"/>
        </w:rPr>
        <w:t xml:space="preserve">, rezagos de impuesto predial, multas de tránsito municipal, entre otros. </w:t>
      </w:r>
    </w:p>
    <w:p w14:paraId="439AD550" w14:textId="77777777" w:rsidR="0027514C" w:rsidRPr="0027514C" w:rsidRDefault="0027514C" w:rsidP="001A28E5">
      <w:pPr>
        <w:numPr>
          <w:ilvl w:val="0"/>
          <w:numId w:val="42"/>
        </w:numPr>
        <w:ind w:left="1080"/>
        <w:contextualSpacing/>
        <w:jc w:val="both"/>
        <w:rPr>
          <w:rFonts w:ascii="Abadi" w:hAnsi="Abadi"/>
          <w:bCs/>
          <w:sz w:val="21"/>
          <w:szCs w:val="21"/>
          <w:lang w:val="es-MX" w:eastAsia="es-MX"/>
        </w:rPr>
      </w:pPr>
      <w:r w:rsidRPr="0027514C">
        <w:rPr>
          <w:rFonts w:ascii="Abadi" w:hAnsi="Abadi"/>
          <w:sz w:val="21"/>
          <w:szCs w:val="21"/>
          <w:u w:val="single"/>
          <w:lang w:val="es-MX" w:eastAsia="es-MX"/>
        </w:rPr>
        <w:t>Egresos:</w:t>
      </w:r>
      <w:r w:rsidRPr="0027514C">
        <w:rPr>
          <w:rFonts w:ascii="Abadi" w:hAnsi="Abadi" w:cs="Calibri"/>
          <w:sz w:val="21"/>
          <w:szCs w:val="21"/>
          <w:lang w:val="es-MX" w:eastAsia="es-MX"/>
        </w:rPr>
        <w:t xml:space="preserve"> </w:t>
      </w:r>
      <w:r w:rsidRPr="0027514C">
        <w:rPr>
          <w:rFonts w:ascii="Abadi" w:hAnsi="Abadi"/>
          <w:bCs/>
          <w:sz w:val="21"/>
          <w:szCs w:val="21"/>
          <w:lang w:val="es-MX" w:eastAsia="es-MX"/>
        </w:rPr>
        <w:t xml:space="preserve">Transferencias a entidades, otros arrendamientos, difusión por radio, televisión y otros medios, donativos a instituciones sin fines de lucro, servicios de consultoría administrativa, procesos, técnica y en tecnologías de la información y otros arrendamientos, </w:t>
      </w:r>
      <w:r w:rsidRPr="0027514C">
        <w:rPr>
          <w:rFonts w:ascii="Abadi" w:hAnsi="Abadi"/>
          <w:sz w:val="21"/>
          <w:szCs w:val="21"/>
          <w:lang w:val="es-MX" w:eastAsia="es-MX"/>
        </w:rPr>
        <w:t>entre otros.</w:t>
      </w:r>
    </w:p>
    <w:p w14:paraId="25F632F5" w14:textId="77777777" w:rsidR="0027514C" w:rsidRPr="0027514C" w:rsidRDefault="0027514C" w:rsidP="0027514C">
      <w:pPr>
        <w:ind w:left="1068"/>
        <w:jc w:val="both"/>
        <w:rPr>
          <w:rFonts w:ascii="Abadi" w:hAnsi="Abadi"/>
          <w:bCs/>
          <w:sz w:val="21"/>
          <w:szCs w:val="21"/>
          <w:lang w:val="es-MX" w:eastAsia="es-MX"/>
        </w:rPr>
      </w:pPr>
      <w:r w:rsidRPr="0027514C">
        <w:rPr>
          <w:rFonts w:ascii="Abadi" w:hAnsi="Abadi"/>
          <w:b/>
          <w:bCs/>
          <w:sz w:val="21"/>
          <w:szCs w:val="21"/>
          <w:lang w:val="es-MX" w:eastAsia="es-MX"/>
        </w:rPr>
        <w:t>*</w:t>
      </w:r>
      <w:r w:rsidRPr="0027514C">
        <w:rPr>
          <w:rFonts w:ascii="Abadi" w:hAnsi="Abadi"/>
          <w:i/>
          <w:iCs/>
          <w:sz w:val="21"/>
          <w:szCs w:val="21"/>
          <w:lang w:val="es-MX" w:eastAsia="es-MX"/>
        </w:rPr>
        <w:t xml:space="preserve">Se revisó la </w:t>
      </w:r>
      <w:r w:rsidRPr="0027514C">
        <w:rPr>
          <w:rFonts w:ascii="Abadi" w:hAnsi="Abadi"/>
          <w:bCs/>
          <w:i/>
          <w:iCs/>
          <w:sz w:val="21"/>
          <w:szCs w:val="21"/>
          <w:lang w:val="es-MX" w:eastAsia="es-MX"/>
        </w:rPr>
        <w:t>subasta pública de 254 vehículos propiedad municipal, las alteraciones en cuentas de predial y multas perdonadas, diversas desafectaciones, así como el proceso para retirar dos inmuebles donados a la asociación Voluntariado del Hospital Regional de Alta Especialidad del Bajío.</w:t>
      </w:r>
    </w:p>
    <w:p w14:paraId="710DB31F" w14:textId="77777777" w:rsidR="0027514C" w:rsidRPr="0027514C" w:rsidRDefault="0027514C" w:rsidP="0027514C">
      <w:pPr>
        <w:widowControl w:val="0"/>
        <w:spacing w:after="200"/>
        <w:ind w:left="372" w:firstLine="696"/>
        <w:contextualSpacing/>
        <w:jc w:val="both"/>
        <w:rPr>
          <w:rFonts w:ascii="Abadi" w:eastAsia="Calibri" w:hAnsi="Abadi"/>
          <w:b/>
          <w:bCs/>
          <w:sz w:val="21"/>
          <w:szCs w:val="21"/>
          <w:lang w:eastAsia="en-US"/>
        </w:rPr>
      </w:pPr>
    </w:p>
    <w:p w14:paraId="359DAF76" w14:textId="77777777" w:rsidR="0027514C" w:rsidRPr="0027514C" w:rsidRDefault="0027514C" w:rsidP="0027514C">
      <w:pPr>
        <w:widowControl w:val="0"/>
        <w:spacing w:after="200"/>
        <w:ind w:left="372" w:firstLine="696"/>
        <w:contextualSpacing/>
        <w:jc w:val="both"/>
        <w:rPr>
          <w:rFonts w:ascii="Abadi" w:eastAsia="Calibri" w:hAnsi="Abadi"/>
          <w:sz w:val="21"/>
          <w:szCs w:val="21"/>
          <w:lang w:eastAsia="en-US"/>
        </w:rPr>
      </w:pPr>
      <w:r w:rsidRPr="0027514C">
        <w:rPr>
          <w:rFonts w:ascii="Abadi" w:eastAsia="Calibri" w:hAnsi="Abadi"/>
          <w:b/>
          <w:bCs/>
          <w:sz w:val="21"/>
          <w:szCs w:val="21"/>
          <w:lang w:eastAsia="en-US"/>
        </w:rPr>
        <w:t>SAPAL:</w:t>
      </w:r>
      <w:r w:rsidRPr="0027514C">
        <w:rPr>
          <w:rFonts w:ascii="Abadi" w:eastAsia="Calibri" w:hAnsi="Abadi"/>
          <w:sz w:val="21"/>
          <w:szCs w:val="21"/>
          <w:lang w:eastAsia="en-US"/>
        </w:rPr>
        <w:t xml:space="preserve"> </w:t>
      </w:r>
    </w:p>
    <w:p w14:paraId="7D611DCD" w14:textId="77777777" w:rsidR="0027514C" w:rsidRPr="0027514C" w:rsidRDefault="0027514C" w:rsidP="001A28E5">
      <w:pPr>
        <w:numPr>
          <w:ilvl w:val="0"/>
          <w:numId w:val="42"/>
        </w:numPr>
        <w:ind w:left="1080"/>
        <w:contextualSpacing/>
        <w:jc w:val="both"/>
        <w:rPr>
          <w:rFonts w:ascii="Abadi" w:hAnsi="Abadi"/>
          <w:bCs/>
          <w:sz w:val="21"/>
          <w:szCs w:val="21"/>
          <w:lang w:val="es-MX" w:eastAsia="es-MX"/>
        </w:rPr>
      </w:pPr>
      <w:r w:rsidRPr="0027514C">
        <w:rPr>
          <w:rFonts w:ascii="Abadi" w:hAnsi="Abadi"/>
          <w:sz w:val="21"/>
          <w:szCs w:val="21"/>
          <w:u w:val="single"/>
          <w:lang w:val="es-MX" w:eastAsia="es-MX"/>
        </w:rPr>
        <w:t>Pasivo</w:t>
      </w:r>
      <w:r w:rsidRPr="0027514C">
        <w:rPr>
          <w:rFonts w:ascii="Abadi" w:hAnsi="Abadi"/>
          <w:sz w:val="21"/>
          <w:szCs w:val="21"/>
          <w:lang w:val="es-MX" w:eastAsia="es-MX"/>
        </w:rPr>
        <w:t xml:space="preserve">: Cuentas de proveedores y de contratistas. </w:t>
      </w:r>
    </w:p>
    <w:p w14:paraId="11C13CCF" w14:textId="77777777" w:rsidR="0027514C" w:rsidRPr="0027514C" w:rsidRDefault="0027514C" w:rsidP="001A28E5">
      <w:pPr>
        <w:numPr>
          <w:ilvl w:val="0"/>
          <w:numId w:val="43"/>
        </w:numPr>
        <w:contextualSpacing/>
        <w:jc w:val="both"/>
        <w:rPr>
          <w:rFonts w:ascii="Abadi" w:hAnsi="Abadi"/>
          <w:bCs/>
          <w:sz w:val="21"/>
          <w:szCs w:val="21"/>
          <w:lang w:val="es-MX" w:eastAsia="es-MX"/>
        </w:rPr>
      </w:pPr>
      <w:r w:rsidRPr="0027514C">
        <w:rPr>
          <w:rFonts w:ascii="Abadi" w:hAnsi="Abadi"/>
          <w:bCs/>
          <w:sz w:val="21"/>
          <w:szCs w:val="21"/>
          <w:u w:val="single"/>
          <w:lang w:val="es-MX" w:eastAsia="es-MX"/>
        </w:rPr>
        <w:t>Ingresos:</w:t>
      </w:r>
      <w:r w:rsidRPr="0027514C">
        <w:rPr>
          <w:rFonts w:ascii="Abadi" w:hAnsi="Abadi"/>
          <w:bCs/>
          <w:sz w:val="21"/>
          <w:szCs w:val="21"/>
          <w:lang w:val="es-MX" w:eastAsia="es-MX"/>
        </w:rPr>
        <w:t xml:space="preserve"> </w:t>
      </w:r>
      <w:r w:rsidRPr="0027514C">
        <w:rPr>
          <w:rFonts w:ascii="Abadi" w:hAnsi="Abadi"/>
          <w:sz w:val="21"/>
          <w:szCs w:val="21"/>
          <w:lang w:val="es-MX" w:eastAsia="es-MX"/>
        </w:rPr>
        <w:t xml:space="preserve">Ingresos por servicios de agua potable, </w:t>
      </w:r>
      <w:r w:rsidRPr="0027514C">
        <w:rPr>
          <w:rFonts w:ascii="Abadi" w:hAnsi="Abadi" w:cs="Calibri"/>
          <w:sz w:val="21"/>
          <w:szCs w:val="21"/>
          <w:lang w:val="es-MX" w:eastAsia="es-MX"/>
        </w:rPr>
        <w:t>convenios aportaciones SAPAL, Convenios municipio de León.</w:t>
      </w:r>
    </w:p>
    <w:p w14:paraId="3D468413" w14:textId="77777777" w:rsidR="0027514C" w:rsidRPr="0027514C" w:rsidRDefault="0027514C" w:rsidP="001A28E5">
      <w:pPr>
        <w:numPr>
          <w:ilvl w:val="0"/>
          <w:numId w:val="42"/>
        </w:numPr>
        <w:ind w:left="1080"/>
        <w:contextualSpacing/>
        <w:jc w:val="both"/>
        <w:rPr>
          <w:rFonts w:ascii="Abadi" w:hAnsi="Abadi"/>
          <w:bCs/>
          <w:sz w:val="21"/>
          <w:szCs w:val="21"/>
          <w:lang w:val="es-MX" w:eastAsia="es-MX"/>
        </w:rPr>
      </w:pPr>
      <w:r w:rsidRPr="0027514C">
        <w:rPr>
          <w:rFonts w:ascii="Abadi" w:hAnsi="Abadi"/>
          <w:sz w:val="21"/>
          <w:szCs w:val="21"/>
          <w:u w:val="single"/>
          <w:lang w:val="es-MX" w:eastAsia="es-MX"/>
        </w:rPr>
        <w:t>Egresos:</w:t>
      </w:r>
      <w:r w:rsidRPr="0027514C">
        <w:rPr>
          <w:rFonts w:ascii="Abadi" w:hAnsi="Abadi"/>
          <w:sz w:val="21"/>
          <w:szCs w:val="21"/>
          <w:lang w:val="es-MX" w:eastAsia="es-MX"/>
        </w:rPr>
        <w:t xml:space="preserve"> Servicios integrales y otros servicios.</w:t>
      </w:r>
    </w:p>
    <w:p w14:paraId="5545B38E" w14:textId="77777777" w:rsidR="0027514C" w:rsidRPr="0027514C" w:rsidRDefault="0027514C" w:rsidP="0027514C">
      <w:pPr>
        <w:ind w:left="1080"/>
        <w:contextualSpacing/>
        <w:jc w:val="both"/>
        <w:rPr>
          <w:rFonts w:ascii="Abadi" w:hAnsi="Abadi"/>
          <w:bCs/>
          <w:sz w:val="21"/>
          <w:szCs w:val="21"/>
          <w:lang w:val="es-MX" w:eastAsia="es-MX"/>
        </w:rPr>
      </w:pPr>
    </w:p>
    <w:p w14:paraId="6E062294" w14:textId="77777777" w:rsidR="0027514C" w:rsidRPr="0027514C" w:rsidRDefault="0027514C" w:rsidP="0027514C">
      <w:pPr>
        <w:spacing w:after="160"/>
        <w:ind w:left="1080"/>
        <w:contextualSpacing/>
        <w:jc w:val="both"/>
        <w:rPr>
          <w:rFonts w:ascii="Abadi" w:eastAsia="Calibri" w:hAnsi="Abadi"/>
          <w:i/>
          <w:iCs/>
          <w:sz w:val="21"/>
          <w:szCs w:val="21"/>
          <w:lang w:eastAsia="en-US"/>
        </w:rPr>
      </w:pPr>
      <w:r w:rsidRPr="0027514C">
        <w:rPr>
          <w:rFonts w:ascii="Abadi" w:hAnsi="Abadi"/>
          <w:bCs/>
          <w:i/>
          <w:iCs/>
          <w:sz w:val="21"/>
          <w:szCs w:val="21"/>
          <w:lang w:val="es-MX" w:eastAsia="es-MX"/>
        </w:rPr>
        <w:t>*</w:t>
      </w:r>
      <w:r w:rsidRPr="0027514C">
        <w:rPr>
          <w:rFonts w:ascii="Abadi" w:hAnsi="Abadi"/>
          <w:i/>
          <w:iCs/>
          <w:sz w:val="21"/>
          <w:szCs w:val="21"/>
          <w:lang w:val="es-MX" w:eastAsia="es-MX"/>
        </w:rPr>
        <w:t>Se investigó la falta de coordinación de las paramunicipales porque vuelven a empedrar una vía después de arreglo de drenaje, a pesar de que el año previo los industriales entregaron sus aportaciones para que la pavimentaran.</w:t>
      </w:r>
    </w:p>
    <w:p w14:paraId="7C69795B" w14:textId="77777777" w:rsidR="0027514C" w:rsidRPr="0027514C" w:rsidRDefault="0027514C" w:rsidP="0027514C">
      <w:pPr>
        <w:widowControl w:val="0"/>
        <w:spacing w:after="200"/>
        <w:ind w:left="1080"/>
        <w:contextualSpacing/>
        <w:jc w:val="both"/>
        <w:rPr>
          <w:rFonts w:ascii="Abadi" w:eastAsia="Calibri" w:hAnsi="Abadi"/>
          <w:i/>
          <w:iCs/>
          <w:color w:val="FF0000"/>
          <w:sz w:val="21"/>
          <w:szCs w:val="21"/>
          <w:lang w:eastAsia="en-US"/>
        </w:rPr>
      </w:pPr>
    </w:p>
    <w:p w14:paraId="75617FFB" w14:textId="77777777" w:rsidR="0027514C" w:rsidRPr="0027514C" w:rsidRDefault="0027514C" w:rsidP="0027514C">
      <w:pPr>
        <w:widowControl w:val="0"/>
        <w:spacing w:after="200"/>
        <w:ind w:left="372" w:firstLine="696"/>
        <w:contextualSpacing/>
        <w:jc w:val="both"/>
        <w:rPr>
          <w:rFonts w:ascii="Abadi" w:eastAsia="Calibri" w:hAnsi="Abadi"/>
          <w:sz w:val="21"/>
          <w:szCs w:val="21"/>
          <w:lang w:eastAsia="en-US"/>
        </w:rPr>
      </w:pPr>
      <w:r w:rsidRPr="0027514C">
        <w:rPr>
          <w:rFonts w:ascii="Abadi" w:eastAsia="Calibri" w:hAnsi="Abadi"/>
          <w:b/>
          <w:bCs/>
          <w:sz w:val="21"/>
          <w:szCs w:val="21"/>
          <w:lang w:eastAsia="en-US"/>
        </w:rPr>
        <w:t>PATRONATO DE LA FERIA:</w:t>
      </w:r>
      <w:r w:rsidRPr="0027514C">
        <w:rPr>
          <w:rFonts w:ascii="Abadi" w:eastAsia="Calibri" w:hAnsi="Abadi"/>
          <w:sz w:val="21"/>
          <w:szCs w:val="21"/>
          <w:lang w:eastAsia="en-US"/>
        </w:rPr>
        <w:t xml:space="preserve"> </w:t>
      </w:r>
    </w:p>
    <w:p w14:paraId="3877BDFD" w14:textId="77777777" w:rsidR="0027514C" w:rsidRPr="0027514C" w:rsidRDefault="0027514C" w:rsidP="001A28E5">
      <w:pPr>
        <w:numPr>
          <w:ilvl w:val="0"/>
          <w:numId w:val="42"/>
        </w:numPr>
        <w:ind w:left="1080"/>
        <w:contextualSpacing/>
        <w:jc w:val="both"/>
        <w:rPr>
          <w:rFonts w:ascii="Abadi" w:hAnsi="Abadi"/>
          <w:sz w:val="21"/>
          <w:szCs w:val="21"/>
          <w:u w:val="single"/>
          <w:lang w:val="es-MX" w:eastAsia="es-MX"/>
        </w:rPr>
      </w:pPr>
      <w:r w:rsidRPr="0027514C">
        <w:rPr>
          <w:rFonts w:ascii="Abadi" w:hAnsi="Abadi"/>
          <w:sz w:val="21"/>
          <w:szCs w:val="21"/>
          <w:u w:val="single"/>
          <w:lang w:val="es-MX" w:eastAsia="es-MX"/>
        </w:rPr>
        <w:t>Egresos</w:t>
      </w:r>
      <w:r w:rsidRPr="0027514C">
        <w:rPr>
          <w:rFonts w:ascii="Abadi" w:hAnsi="Abadi"/>
          <w:sz w:val="21"/>
          <w:szCs w:val="21"/>
          <w:lang w:val="es-MX" w:eastAsia="es-MX"/>
        </w:rPr>
        <w:t>: Gastos de orden social y cultural.</w:t>
      </w:r>
    </w:p>
    <w:p w14:paraId="64C06BD9" w14:textId="77777777" w:rsidR="0027514C" w:rsidRPr="0027514C" w:rsidRDefault="0027514C" w:rsidP="0027514C">
      <w:pPr>
        <w:ind w:left="1080"/>
        <w:jc w:val="both"/>
        <w:rPr>
          <w:rFonts w:ascii="Abadi" w:hAnsi="Abadi"/>
          <w:bCs/>
          <w:i/>
          <w:iCs/>
          <w:sz w:val="21"/>
          <w:szCs w:val="21"/>
          <w:lang w:val="es-MX" w:eastAsia="es-MX"/>
        </w:rPr>
      </w:pPr>
    </w:p>
    <w:p w14:paraId="44F654F9" w14:textId="77777777" w:rsidR="0027514C" w:rsidRPr="0027514C" w:rsidRDefault="0027514C" w:rsidP="0027514C">
      <w:pPr>
        <w:ind w:left="1080"/>
        <w:jc w:val="both"/>
        <w:rPr>
          <w:rFonts w:ascii="Abadi" w:hAnsi="Abadi"/>
          <w:bCs/>
          <w:i/>
          <w:iCs/>
          <w:color w:val="FF0000"/>
          <w:sz w:val="21"/>
          <w:szCs w:val="21"/>
          <w:lang w:val="es-MX" w:eastAsia="es-MX"/>
        </w:rPr>
      </w:pPr>
      <w:r w:rsidRPr="0027514C">
        <w:rPr>
          <w:rFonts w:ascii="Abadi" w:hAnsi="Abadi"/>
          <w:bCs/>
          <w:i/>
          <w:iCs/>
          <w:sz w:val="21"/>
          <w:szCs w:val="21"/>
          <w:lang w:val="es-MX" w:eastAsia="es-MX"/>
        </w:rPr>
        <w:t xml:space="preserve">*Se investigó el destino de 60 millones del presupuesto para contratar los espectáculos internacionales, </w:t>
      </w:r>
    </w:p>
    <w:p w14:paraId="3926B8F0" w14:textId="77777777" w:rsidR="0027514C" w:rsidRPr="0027514C" w:rsidRDefault="0027514C" w:rsidP="0027514C">
      <w:pPr>
        <w:widowControl w:val="0"/>
        <w:spacing w:after="200"/>
        <w:ind w:left="372" w:firstLine="696"/>
        <w:contextualSpacing/>
        <w:jc w:val="both"/>
        <w:rPr>
          <w:rFonts w:ascii="Abadi" w:eastAsia="Calibri" w:hAnsi="Abadi"/>
          <w:sz w:val="21"/>
          <w:szCs w:val="21"/>
          <w:lang w:eastAsia="en-US"/>
        </w:rPr>
      </w:pPr>
    </w:p>
    <w:p w14:paraId="1D9198EB" w14:textId="77777777" w:rsidR="0027514C" w:rsidRPr="0027514C" w:rsidRDefault="0027514C" w:rsidP="0027514C">
      <w:pPr>
        <w:spacing w:after="160"/>
        <w:ind w:firstLine="709"/>
        <w:contextualSpacing/>
        <w:jc w:val="both"/>
        <w:rPr>
          <w:rFonts w:ascii="Abadi" w:eastAsia="Calibri" w:hAnsi="Abadi"/>
          <w:sz w:val="21"/>
          <w:szCs w:val="21"/>
          <w:lang w:eastAsia="en-US"/>
        </w:rPr>
      </w:pPr>
      <w:r w:rsidRPr="0027514C">
        <w:rPr>
          <w:rFonts w:ascii="Abadi" w:eastAsia="Calibri" w:hAnsi="Abadi"/>
          <w:sz w:val="21"/>
          <w:szCs w:val="21"/>
          <w:lang w:eastAsia="en-US"/>
        </w:rPr>
        <w:t>De la cuenta pública correspondiente al ejercicio fiscal 2019 se revisaron los siguientes apartados:</w:t>
      </w:r>
    </w:p>
    <w:p w14:paraId="75A43F04" w14:textId="77777777" w:rsidR="0027514C" w:rsidRPr="0027514C" w:rsidRDefault="0027514C" w:rsidP="0027514C">
      <w:pPr>
        <w:widowControl w:val="0"/>
        <w:spacing w:after="200"/>
        <w:ind w:left="360"/>
        <w:contextualSpacing/>
        <w:jc w:val="both"/>
        <w:rPr>
          <w:rFonts w:ascii="Abadi" w:eastAsia="Calibri" w:hAnsi="Abadi"/>
          <w:sz w:val="21"/>
          <w:szCs w:val="21"/>
          <w:lang w:eastAsia="en-US"/>
        </w:rPr>
      </w:pPr>
    </w:p>
    <w:p w14:paraId="39127FE1" w14:textId="77777777" w:rsidR="0027514C" w:rsidRPr="0027514C" w:rsidRDefault="0027514C" w:rsidP="0027514C">
      <w:pPr>
        <w:widowControl w:val="0"/>
        <w:spacing w:after="200"/>
        <w:ind w:left="360" w:firstLine="696"/>
        <w:contextualSpacing/>
        <w:jc w:val="both"/>
        <w:rPr>
          <w:rFonts w:ascii="Abadi" w:hAnsi="Abadi"/>
          <w:sz w:val="21"/>
          <w:szCs w:val="21"/>
          <w:lang w:eastAsia="en-US"/>
        </w:rPr>
      </w:pPr>
      <w:r w:rsidRPr="0027514C">
        <w:rPr>
          <w:rFonts w:ascii="Abadi" w:eastAsia="Calibri" w:hAnsi="Abadi"/>
          <w:b/>
          <w:bCs/>
          <w:sz w:val="21"/>
          <w:szCs w:val="21"/>
          <w:lang w:eastAsia="en-US"/>
        </w:rPr>
        <w:t>Sector Central:</w:t>
      </w:r>
      <w:r w:rsidRPr="0027514C">
        <w:rPr>
          <w:rFonts w:ascii="Abadi" w:eastAsia="Calibri" w:hAnsi="Abadi"/>
          <w:sz w:val="21"/>
          <w:szCs w:val="21"/>
          <w:lang w:eastAsia="en-US"/>
        </w:rPr>
        <w:t xml:space="preserve"> </w:t>
      </w:r>
    </w:p>
    <w:p w14:paraId="15C0A54B" w14:textId="77777777" w:rsidR="0027514C" w:rsidRPr="0027514C" w:rsidRDefault="0027514C" w:rsidP="001A28E5">
      <w:pPr>
        <w:numPr>
          <w:ilvl w:val="0"/>
          <w:numId w:val="43"/>
        </w:numPr>
        <w:ind w:left="1068"/>
        <w:contextualSpacing/>
        <w:jc w:val="both"/>
        <w:rPr>
          <w:rFonts w:ascii="Abadi" w:hAnsi="Abadi"/>
          <w:bCs/>
          <w:sz w:val="21"/>
          <w:szCs w:val="21"/>
          <w:lang w:val="es-MX" w:eastAsia="es-MX"/>
        </w:rPr>
      </w:pPr>
      <w:r w:rsidRPr="0027514C">
        <w:rPr>
          <w:rFonts w:ascii="Abadi" w:hAnsi="Abadi"/>
          <w:sz w:val="21"/>
          <w:szCs w:val="21"/>
          <w:u w:val="single"/>
          <w:lang w:val="es-MX" w:eastAsia="es-MX"/>
        </w:rPr>
        <w:t>Activo</w:t>
      </w:r>
      <w:r w:rsidRPr="0027514C">
        <w:rPr>
          <w:rFonts w:ascii="Abadi" w:hAnsi="Abadi"/>
          <w:sz w:val="21"/>
          <w:szCs w:val="21"/>
          <w:lang w:val="es-MX" w:eastAsia="es-MX"/>
        </w:rPr>
        <w:t>: Adquisición de vehículos y equipo terrestre, equipo de comunicación y telecomunicación, licencias informáticas e intelectuales, equipo de cómputo y tecnologías de la información y terrenos.</w:t>
      </w:r>
    </w:p>
    <w:p w14:paraId="1A91FDD3" w14:textId="77777777" w:rsidR="0027514C" w:rsidRPr="0027514C" w:rsidRDefault="0027514C" w:rsidP="001A28E5">
      <w:pPr>
        <w:numPr>
          <w:ilvl w:val="0"/>
          <w:numId w:val="43"/>
        </w:numPr>
        <w:ind w:left="1068"/>
        <w:contextualSpacing/>
        <w:jc w:val="both"/>
        <w:rPr>
          <w:rFonts w:ascii="Abadi" w:hAnsi="Abadi"/>
          <w:bCs/>
          <w:sz w:val="21"/>
          <w:szCs w:val="21"/>
          <w:lang w:val="es-MX" w:eastAsia="es-MX"/>
        </w:rPr>
      </w:pPr>
      <w:r w:rsidRPr="0027514C">
        <w:rPr>
          <w:rFonts w:ascii="Abadi" w:hAnsi="Abadi"/>
          <w:bCs/>
          <w:sz w:val="21"/>
          <w:szCs w:val="21"/>
          <w:u w:val="single"/>
          <w:lang w:val="es-MX" w:eastAsia="es-MX"/>
        </w:rPr>
        <w:t>Ingresos:</w:t>
      </w:r>
      <w:r w:rsidRPr="0027514C">
        <w:rPr>
          <w:rFonts w:ascii="Abadi" w:hAnsi="Abadi"/>
          <w:bCs/>
          <w:sz w:val="21"/>
          <w:szCs w:val="21"/>
          <w:lang w:val="es-MX" w:eastAsia="es-MX"/>
        </w:rPr>
        <w:t xml:space="preserve"> Participaciones, aportaciones, rezagos y recargos de impuesto predial.</w:t>
      </w:r>
    </w:p>
    <w:p w14:paraId="6DC33761" w14:textId="77777777" w:rsidR="0027514C" w:rsidRPr="0027514C" w:rsidRDefault="0027514C" w:rsidP="001A28E5">
      <w:pPr>
        <w:numPr>
          <w:ilvl w:val="0"/>
          <w:numId w:val="42"/>
        </w:numPr>
        <w:ind w:left="1068"/>
        <w:contextualSpacing/>
        <w:jc w:val="both"/>
        <w:rPr>
          <w:rFonts w:ascii="Abadi" w:hAnsi="Abadi"/>
          <w:bCs/>
          <w:sz w:val="21"/>
          <w:szCs w:val="21"/>
          <w:lang w:val="es-MX" w:eastAsia="es-MX"/>
        </w:rPr>
      </w:pPr>
      <w:r w:rsidRPr="0027514C">
        <w:rPr>
          <w:rFonts w:ascii="Abadi" w:hAnsi="Abadi"/>
          <w:sz w:val="21"/>
          <w:szCs w:val="21"/>
          <w:u w:val="single"/>
          <w:lang w:val="es-MX" w:eastAsia="es-MX"/>
        </w:rPr>
        <w:t>Egresos:</w:t>
      </w:r>
      <w:r w:rsidRPr="0027514C">
        <w:rPr>
          <w:rFonts w:ascii="Abadi" w:hAnsi="Abadi"/>
          <w:sz w:val="21"/>
          <w:szCs w:val="21"/>
          <w:lang w:val="es-MX" w:eastAsia="es-MX"/>
        </w:rPr>
        <w:t xml:space="preserve"> Servicios personales, indemnizaciones, transferencias a entidades, </w:t>
      </w:r>
      <w:r w:rsidRPr="0027514C">
        <w:rPr>
          <w:rFonts w:ascii="Abadi" w:hAnsi="Abadi" w:cs="Calibri"/>
          <w:sz w:val="21"/>
          <w:szCs w:val="21"/>
          <w:lang w:val="es-MX" w:eastAsia="es-MX"/>
        </w:rPr>
        <w:t>seguro de bienes patrimoniales y becas y otras ayudas para programas de capacitación, entre otros.</w:t>
      </w:r>
    </w:p>
    <w:p w14:paraId="75307920" w14:textId="77777777" w:rsidR="0027514C" w:rsidRPr="0027514C" w:rsidRDefault="0027514C" w:rsidP="0027514C">
      <w:pPr>
        <w:spacing w:after="160"/>
        <w:ind w:left="1068"/>
        <w:contextualSpacing/>
        <w:jc w:val="both"/>
        <w:rPr>
          <w:rFonts w:ascii="Abadi" w:eastAsia="Calibri" w:hAnsi="Abadi"/>
          <w:sz w:val="21"/>
          <w:szCs w:val="21"/>
          <w:lang w:eastAsia="en-US"/>
        </w:rPr>
      </w:pPr>
    </w:p>
    <w:p w14:paraId="5FA3A840" w14:textId="77777777" w:rsidR="0027514C" w:rsidRPr="0027514C" w:rsidRDefault="0027514C" w:rsidP="0027514C">
      <w:pPr>
        <w:spacing w:after="160"/>
        <w:ind w:left="1068"/>
        <w:contextualSpacing/>
        <w:jc w:val="both"/>
        <w:rPr>
          <w:rFonts w:ascii="Abadi" w:eastAsia="Calibri" w:hAnsi="Abadi"/>
          <w:sz w:val="21"/>
          <w:szCs w:val="21"/>
          <w:lang w:eastAsia="en-US"/>
        </w:rPr>
      </w:pPr>
      <w:r w:rsidRPr="0027514C">
        <w:rPr>
          <w:rFonts w:ascii="Abadi" w:hAnsi="Abadi"/>
          <w:bCs/>
          <w:i/>
          <w:iCs/>
          <w:sz w:val="21"/>
          <w:szCs w:val="21"/>
          <w:lang w:val="es-MX" w:eastAsia="es-MX"/>
        </w:rPr>
        <w:t>*Se revisaron liquidaciones a funcionarios de la Administración Municipal de León, Gto., durante el ejercicio fiscal 2019</w:t>
      </w:r>
      <w:r w:rsidRPr="0027514C">
        <w:rPr>
          <w:rFonts w:ascii="Abadi" w:eastAsia="Calibri" w:hAnsi="Abadi"/>
          <w:sz w:val="21"/>
          <w:szCs w:val="21"/>
          <w:lang w:eastAsia="en-US"/>
        </w:rPr>
        <w:t xml:space="preserve">. </w:t>
      </w:r>
    </w:p>
    <w:p w14:paraId="247A812F" w14:textId="77777777" w:rsidR="0027514C" w:rsidRPr="0027514C" w:rsidRDefault="0027514C" w:rsidP="0027514C">
      <w:pPr>
        <w:spacing w:after="160"/>
        <w:ind w:left="1068"/>
        <w:contextualSpacing/>
        <w:jc w:val="both"/>
        <w:rPr>
          <w:rFonts w:ascii="Abadi" w:eastAsia="Calibri" w:hAnsi="Abadi"/>
          <w:sz w:val="21"/>
          <w:szCs w:val="21"/>
          <w:lang w:eastAsia="en-US"/>
        </w:rPr>
      </w:pPr>
    </w:p>
    <w:p w14:paraId="36414720" w14:textId="77777777" w:rsidR="0027514C" w:rsidRPr="0027514C" w:rsidRDefault="0027514C" w:rsidP="00270BE5">
      <w:pPr>
        <w:spacing w:after="160"/>
        <w:contextualSpacing/>
        <w:jc w:val="both"/>
        <w:rPr>
          <w:rFonts w:ascii="Abadi" w:eastAsia="Calibri" w:hAnsi="Abadi"/>
          <w:sz w:val="21"/>
          <w:szCs w:val="21"/>
          <w:lang w:eastAsia="en-US"/>
        </w:rPr>
      </w:pPr>
    </w:p>
    <w:p w14:paraId="015266F4" w14:textId="77777777" w:rsidR="0027514C" w:rsidRPr="0027514C" w:rsidRDefault="0027514C" w:rsidP="0027514C">
      <w:pPr>
        <w:widowControl w:val="0"/>
        <w:spacing w:after="200"/>
        <w:ind w:left="372" w:firstLine="696"/>
        <w:contextualSpacing/>
        <w:jc w:val="both"/>
        <w:rPr>
          <w:rFonts w:ascii="Abadi" w:eastAsia="Calibri" w:hAnsi="Abadi"/>
          <w:sz w:val="21"/>
          <w:szCs w:val="21"/>
          <w:lang w:eastAsia="en-US"/>
        </w:rPr>
      </w:pPr>
      <w:r w:rsidRPr="0027514C">
        <w:rPr>
          <w:rFonts w:ascii="Abadi" w:eastAsia="Calibri" w:hAnsi="Abadi"/>
          <w:b/>
          <w:bCs/>
          <w:sz w:val="21"/>
          <w:szCs w:val="21"/>
          <w:lang w:eastAsia="en-US"/>
        </w:rPr>
        <w:t>SAPAL:</w:t>
      </w:r>
      <w:r w:rsidRPr="0027514C">
        <w:rPr>
          <w:rFonts w:ascii="Abadi" w:eastAsia="Calibri" w:hAnsi="Abadi"/>
          <w:sz w:val="21"/>
          <w:szCs w:val="21"/>
          <w:lang w:eastAsia="en-US"/>
        </w:rPr>
        <w:t xml:space="preserve"> </w:t>
      </w:r>
    </w:p>
    <w:p w14:paraId="51444753" w14:textId="77777777" w:rsidR="0027514C" w:rsidRPr="0027514C" w:rsidRDefault="0027514C" w:rsidP="001A28E5">
      <w:pPr>
        <w:numPr>
          <w:ilvl w:val="0"/>
          <w:numId w:val="42"/>
        </w:numPr>
        <w:ind w:left="708"/>
        <w:contextualSpacing/>
        <w:jc w:val="both"/>
        <w:rPr>
          <w:rFonts w:ascii="Abadi" w:hAnsi="Abadi"/>
          <w:bCs/>
          <w:sz w:val="21"/>
          <w:szCs w:val="21"/>
          <w:lang w:val="es-MX" w:eastAsia="es-MX"/>
        </w:rPr>
      </w:pPr>
      <w:r w:rsidRPr="0027514C">
        <w:rPr>
          <w:rFonts w:ascii="Abadi" w:hAnsi="Abadi"/>
          <w:sz w:val="21"/>
          <w:szCs w:val="21"/>
          <w:u w:val="single"/>
          <w:lang w:val="es-MX" w:eastAsia="es-MX"/>
        </w:rPr>
        <w:t>Egresos</w:t>
      </w:r>
      <w:r w:rsidRPr="0027514C">
        <w:rPr>
          <w:rFonts w:ascii="Abadi" w:hAnsi="Abadi"/>
          <w:sz w:val="21"/>
          <w:szCs w:val="21"/>
          <w:lang w:val="es-MX" w:eastAsia="es-MX"/>
        </w:rPr>
        <w:t xml:space="preserve">: </w:t>
      </w:r>
      <w:r w:rsidRPr="0027514C">
        <w:rPr>
          <w:rFonts w:ascii="Abadi" w:hAnsi="Abadi"/>
          <w:bCs/>
          <w:sz w:val="21"/>
          <w:szCs w:val="21"/>
          <w:lang w:val="es-MX" w:eastAsia="es-MX"/>
        </w:rPr>
        <w:t>Otros productos químicos, así como mantenimiento de edificios y construcciones.</w:t>
      </w:r>
    </w:p>
    <w:p w14:paraId="43712D32" w14:textId="77777777" w:rsidR="0027514C" w:rsidRPr="0027514C" w:rsidRDefault="0027514C" w:rsidP="0027514C">
      <w:pPr>
        <w:ind w:left="720"/>
        <w:contextualSpacing/>
        <w:jc w:val="both"/>
        <w:rPr>
          <w:rFonts w:ascii="Abadi" w:hAnsi="Abadi"/>
          <w:bCs/>
          <w:i/>
          <w:iCs/>
          <w:sz w:val="21"/>
          <w:szCs w:val="21"/>
          <w:lang w:val="es-MX" w:eastAsia="es-MX"/>
        </w:rPr>
      </w:pPr>
    </w:p>
    <w:p w14:paraId="67DFA7A3" w14:textId="77777777" w:rsidR="0027514C" w:rsidRPr="0027514C" w:rsidRDefault="0027514C" w:rsidP="0027514C">
      <w:pPr>
        <w:ind w:left="720"/>
        <w:contextualSpacing/>
        <w:jc w:val="both"/>
        <w:rPr>
          <w:rFonts w:ascii="Abadi" w:hAnsi="Abadi"/>
          <w:bCs/>
          <w:i/>
          <w:iCs/>
          <w:sz w:val="21"/>
          <w:szCs w:val="21"/>
          <w:lang w:val="es-MX" w:eastAsia="es-MX"/>
        </w:rPr>
      </w:pPr>
      <w:r w:rsidRPr="0027514C">
        <w:rPr>
          <w:rFonts w:ascii="Abadi" w:hAnsi="Abadi"/>
          <w:bCs/>
          <w:i/>
          <w:iCs/>
          <w:sz w:val="21"/>
          <w:szCs w:val="21"/>
          <w:lang w:val="es-MX" w:eastAsia="es-MX"/>
        </w:rPr>
        <w:t xml:space="preserve">* Revisión pagos y soporte documental relacionado con los contratos, empresa </w:t>
      </w:r>
      <w:r w:rsidRPr="0027514C">
        <w:rPr>
          <w:rFonts w:ascii="Abadi" w:hAnsi="Abadi"/>
          <w:bCs/>
          <w:sz w:val="21"/>
          <w:szCs w:val="21"/>
          <w:lang w:val="es-MX" w:eastAsia="es-MX"/>
        </w:rPr>
        <w:t>ECOSYS III, S.A. de C.V</w:t>
      </w:r>
      <w:r w:rsidRPr="0027514C">
        <w:rPr>
          <w:rFonts w:ascii="Abadi" w:hAnsi="Abadi"/>
          <w:bCs/>
          <w:i/>
          <w:iCs/>
          <w:sz w:val="21"/>
          <w:szCs w:val="21"/>
          <w:lang w:val="es-MX" w:eastAsia="es-MX"/>
        </w:rPr>
        <w:t>, presuntas Empresas que Facturan Operaciones Simuladas (EFOS) publicados por el Sistema de Administración Tributaria.</w:t>
      </w:r>
    </w:p>
    <w:p w14:paraId="0A2EF534" w14:textId="77777777" w:rsidR="0027514C" w:rsidRPr="0027514C" w:rsidRDefault="0027514C" w:rsidP="0027514C">
      <w:pPr>
        <w:ind w:left="720"/>
        <w:contextualSpacing/>
        <w:jc w:val="both"/>
        <w:rPr>
          <w:rFonts w:ascii="Abadi" w:hAnsi="Abadi"/>
          <w:bCs/>
          <w:sz w:val="21"/>
          <w:szCs w:val="21"/>
          <w:lang w:val="es-MX" w:eastAsia="es-MX"/>
        </w:rPr>
      </w:pPr>
    </w:p>
    <w:p w14:paraId="46818F53" w14:textId="77777777" w:rsidR="0027514C" w:rsidRPr="0027514C" w:rsidRDefault="0027514C" w:rsidP="0027514C">
      <w:pPr>
        <w:ind w:firstLine="709"/>
        <w:contextualSpacing/>
        <w:jc w:val="both"/>
        <w:rPr>
          <w:rFonts w:ascii="Abadi" w:hAnsi="Abadi" w:cs="Calibri"/>
          <w:sz w:val="21"/>
          <w:szCs w:val="21"/>
          <w:lang w:val="es-MX" w:eastAsia="es-MX"/>
        </w:rPr>
      </w:pPr>
      <w:r w:rsidRPr="0027514C">
        <w:rPr>
          <w:rFonts w:ascii="Abadi" w:hAnsi="Abadi" w:cs="Calibri"/>
          <w:sz w:val="21"/>
          <w:szCs w:val="21"/>
          <w:lang w:val="es-MX" w:eastAsia="es-MX"/>
        </w:rPr>
        <w:t xml:space="preserve">En la </w:t>
      </w:r>
      <w:r w:rsidRPr="0027514C">
        <w:rPr>
          <w:rFonts w:ascii="Abadi" w:hAnsi="Abadi"/>
          <w:bCs/>
          <w:sz w:val="21"/>
          <w:szCs w:val="21"/>
          <w:lang w:val="es-MX" w:eastAsia="es-MX"/>
        </w:rPr>
        <w:t xml:space="preserve">Auditoría específica al organismo descentralizado del municipio de León, Gto., denominado Sistema de Agua Potable y Alcantarillado de León (SAPAL), respecto a los procedimientos de planeación, programación, presupuestación y adjudicación, que derivó en el contrato SAPAL 760-340/2019, relativo a la obra civil </w:t>
      </w:r>
      <w:r w:rsidRPr="0027514C">
        <w:rPr>
          <w:rFonts w:ascii="Abadi" w:hAnsi="Abadi"/>
          <w:bCs/>
          <w:i/>
          <w:iCs/>
          <w:sz w:val="21"/>
          <w:szCs w:val="21"/>
          <w:lang w:val="es-MX" w:eastAsia="es-MX"/>
        </w:rPr>
        <w:t>«INGENIERÍA DE DETALLE Y CONSTRUCCIÓN DEL SISTEMA DE RETENCIÓN DE AGUAS PLUVIALES TIMOTEO LOZANO</w:t>
      </w:r>
      <w:r w:rsidRPr="0027514C">
        <w:rPr>
          <w:rFonts w:ascii="Abadi" w:hAnsi="Abadi"/>
          <w:bCs/>
          <w:sz w:val="21"/>
          <w:szCs w:val="21"/>
          <w:lang w:val="es-MX" w:eastAsia="es-MX"/>
        </w:rPr>
        <w:t>», se fiscalizaron l</w:t>
      </w:r>
      <w:r w:rsidRPr="0027514C">
        <w:rPr>
          <w:rFonts w:ascii="Abadi" w:hAnsi="Abadi" w:cs="Calibri"/>
          <w:sz w:val="21"/>
          <w:szCs w:val="21"/>
          <w:lang w:val="es-MX" w:eastAsia="es-MX"/>
        </w:rPr>
        <w:t xml:space="preserve">os procedimientos de planeación, programación, presupuestación y adjudicación, que derivó en el contrato SAPAL 760-340/2019, relativo a la obra civil </w:t>
      </w:r>
      <w:r w:rsidRPr="0027514C">
        <w:rPr>
          <w:rFonts w:ascii="Abadi" w:hAnsi="Abadi"/>
          <w:bCs/>
          <w:i/>
          <w:iCs/>
          <w:sz w:val="21"/>
          <w:szCs w:val="21"/>
          <w:lang w:val="es-MX" w:eastAsia="es-MX"/>
        </w:rPr>
        <w:t>«INGENIERÍA DE DETALLE Y CONSTRUCCIÓN DEL SISTEMA DE RETENCIÓN DE AGUAS PLUVIALES TIMOTEO LOZANO</w:t>
      </w:r>
      <w:r w:rsidRPr="0027514C">
        <w:rPr>
          <w:rFonts w:ascii="Abadi" w:hAnsi="Abadi"/>
          <w:bCs/>
          <w:sz w:val="21"/>
          <w:szCs w:val="21"/>
          <w:lang w:val="es-MX" w:eastAsia="es-MX"/>
        </w:rPr>
        <w:t>»</w:t>
      </w:r>
      <w:r w:rsidRPr="0027514C">
        <w:rPr>
          <w:rFonts w:ascii="Abadi" w:hAnsi="Abadi" w:cs="Calibri"/>
          <w:sz w:val="21"/>
          <w:szCs w:val="21"/>
          <w:lang w:val="es-MX" w:eastAsia="es-MX"/>
        </w:rPr>
        <w:t>, correspondiente al periodo comprendido por los ejercicios fiscales 2019 y 2020.</w:t>
      </w:r>
    </w:p>
    <w:p w14:paraId="73644F45" w14:textId="77777777" w:rsidR="0027514C" w:rsidRPr="0027514C" w:rsidRDefault="0027514C" w:rsidP="0027514C">
      <w:pPr>
        <w:spacing w:after="160"/>
        <w:ind w:left="1068"/>
        <w:contextualSpacing/>
        <w:jc w:val="both"/>
        <w:rPr>
          <w:rFonts w:ascii="Abadi" w:eastAsia="Calibri" w:hAnsi="Abadi"/>
          <w:sz w:val="21"/>
          <w:szCs w:val="21"/>
          <w:lang w:eastAsia="en-US"/>
        </w:rPr>
      </w:pPr>
    </w:p>
    <w:p w14:paraId="6A420E63" w14:textId="77777777" w:rsidR="0027514C" w:rsidRPr="0027514C" w:rsidRDefault="0027514C" w:rsidP="0027514C">
      <w:pPr>
        <w:spacing w:after="160"/>
        <w:ind w:firstLine="708"/>
        <w:contextualSpacing/>
        <w:jc w:val="both"/>
        <w:rPr>
          <w:rFonts w:ascii="Abadi" w:eastAsia="Calibri" w:hAnsi="Abadi"/>
          <w:sz w:val="21"/>
          <w:szCs w:val="21"/>
          <w:lang w:eastAsia="en-US"/>
        </w:rPr>
      </w:pPr>
      <w:r w:rsidRPr="0027514C">
        <w:rPr>
          <w:rFonts w:ascii="Abadi" w:eastAsia="Calibri" w:hAnsi="Abadi"/>
          <w:sz w:val="21"/>
          <w:szCs w:val="21"/>
          <w:lang w:eastAsia="en-US"/>
        </w:rPr>
        <w:t xml:space="preserve">Por lo que hace a la cuenta pública correspondiente al ejercicio fiscal 2020 se revisaron los siguientes rubros: </w:t>
      </w:r>
    </w:p>
    <w:p w14:paraId="032EE3C7" w14:textId="77777777" w:rsidR="0027514C" w:rsidRPr="0027514C" w:rsidRDefault="0027514C" w:rsidP="0027514C">
      <w:pPr>
        <w:spacing w:after="160"/>
        <w:ind w:firstLine="708"/>
        <w:contextualSpacing/>
        <w:jc w:val="both"/>
        <w:rPr>
          <w:rFonts w:ascii="Abadi" w:eastAsia="Calibri" w:hAnsi="Abadi"/>
          <w:sz w:val="21"/>
          <w:szCs w:val="21"/>
          <w:lang w:eastAsia="en-US"/>
        </w:rPr>
      </w:pPr>
    </w:p>
    <w:p w14:paraId="38E50DC7" w14:textId="77777777" w:rsidR="0027514C" w:rsidRPr="0027514C" w:rsidRDefault="0027514C" w:rsidP="0027514C">
      <w:pPr>
        <w:widowControl w:val="0"/>
        <w:spacing w:after="200"/>
        <w:ind w:left="360" w:firstLine="696"/>
        <w:contextualSpacing/>
        <w:jc w:val="both"/>
        <w:rPr>
          <w:rFonts w:ascii="Abadi" w:eastAsia="Calibri" w:hAnsi="Abadi"/>
          <w:sz w:val="21"/>
          <w:szCs w:val="21"/>
          <w:lang w:eastAsia="en-US"/>
        </w:rPr>
      </w:pPr>
      <w:r w:rsidRPr="0027514C">
        <w:rPr>
          <w:rFonts w:ascii="Abadi" w:eastAsia="Calibri" w:hAnsi="Abadi"/>
          <w:b/>
          <w:bCs/>
          <w:sz w:val="21"/>
          <w:szCs w:val="21"/>
          <w:lang w:eastAsia="en-US"/>
        </w:rPr>
        <w:t>Sector Central:</w:t>
      </w:r>
      <w:r w:rsidRPr="0027514C">
        <w:rPr>
          <w:rFonts w:ascii="Abadi" w:eastAsia="Calibri" w:hAnsi="Abadi"/>
          <w:sz w:val="21"/>
          <w:szCs w:val="21"/>
          <w:lang w:eastAsia="en-US"/>
        </w:rPr>
        <w:t xml:space="preserve"> </w:t>
      </w:r>
    </w:p>
    <w:p w14:paraId="464E65E2" w14:textId="77777777" w:rsidR="0027514C" w:rsidRPr="0027514C" w:rsidRDefault="0027514C" w:rsidP="0027514C">
      <w:pPr>
        <w:widowControl w:val="0"/>
        <w:spacing w:after="200"/>
        <w:ind w:left="360" w:firstLine="696"/>
        <w:contextualSpacing/>
        <w:jc w:val="both"/>
        <w:rPr>
          <w:rFonts w:ascii="Abadi" w:eastAsia="Calibri" w:hAnsi="Abadi"/>
          <w:sz w:val="21"/>
          <w:szCs w:val="21"/>
          <w:lang w:eastAsia="en-US"/>
        </w:rPr>
      </w:pPr>
    </w:p>
    <w:p w14:paraId="48A770BC" w14:textId="77777777" w:rsidR="0027514C" w:rsidRPr="0027514C" w:rsidRDefault="0027514C" w:rsidP="001A28E5">
      <w:pPr>
        <w:numPr>
          <w:ilvl w:val="0"/>
          <w:numId w:val="42"/>
        </w:numPr>
        <w:ind w:left="1068"/>
        <w:contextualSpacing/>
        <w:jc w:val="both"/>
        <w:rPr>
          <w:rFonts w:ascii="Abadi" w:hAnsi="Abadi"/>
          <w:bCs/>
          <w:sz w:val="21"/>
          <w:szCs w:val="21"/>
          <w:lang w:val="es-MX" w:eastAsia="es-MX"/>
        </w:rPr>
      </w:pPr>
      <w:r w:rsidRPr="0027514C">
        <w:rPr>
          <w:rFonts w:ascii="Abadi" w:hAnsi="Abadi"/>
          <w:sz w:val="21"/>
          <w:szCs w:val="21"/>
          <w:u w:val="single"/>
          <w:lang w:val="es-MX" w:eastAsia="es-MX"/>
        </w:rPr>
        <w:t>Activo</w:t>
      </w:r>
      <w:r w:rsidRPr="0027514C">
        <w:rPr>
          <w:rFonts w:ascii="Abadi" w:hAnsi="Abadi"/>
          <w:sz w:val="21"/>
          <w:szCs w:val="21"/>
          <w:lang w:val="es-MX" w:eastAsia="es-MX"/>
        </w:rPr>
        <w:t xml:space="preserve">: Anticipos a proveedores, </w:t>
      </w:r>
      <w:r w:rsidRPr="0027514C">
        <w:rPr>
          <w:rFonts w:ascii="Abadi" w:hAnsi="Abadi" w:cs="Calibri"/>
          <w:sz w:val="21"/>
          <w:szCs w:val="21"/>
          <w:lang w:val="es-MX" w:eastAsia="es-MX"/>
        </w:rPr>
        <w:t>alta de terrenos recibidos en donación</w:t>
      </w:r>
      <w:r w:rsidRPr="0027514C">
        <w:rPr>
          <w:rFonts w:ascii="Abadi" w:hAnsi="Abadi"/>
          <w:sz w:val="21"/>
          <w:szCs w:val="21"/>
          <w:lang w:val="es-MX" w:eastAsia="es-MX"/>
        </w:rPr>
        <w:t xml:space="preserve">, así como las adquisiciones de </w:t>
      </w:r>
      <w:r w:rsidRPr="0027514C">
        <w:rPr>
          <w:rFonts w:ascii="Abadi" w:hAnsi="Abadi" w:cs="Calibri"/>
          <w:sz w:val="21"/>
          <w:szCs w:val="21"/>
          <w:lang w:val="es-MX" w:eastAsia="es-MX"/>
        </w:rPr>
        <w:t xml:space="preserve">vehículos y equipo de transporte, equipo de comunicación y telecomunicación, licencias informáticas e intelectuales y equipo de cómputo y tecnologías de la información, entre otros. </w:t>
      </w:r>
    </w:p>
    <w:p w14:paraId="5A9CA9C5" w14:textId="77777777" w:rsidR="0027514C" w:rsidRPr="0027514C" w:rsidRDefault="0027514C" w:rsidP="001A28E5">
      <w:pPr>
        <w:numPr>
          <w:ilvl w:val="0"/>
          <w:numId w:val="43"/>
        </w:numPr>
        <w:ind w:left="1068"/>
        <w:contextualSpacing/>
        <w:jc w:val="both"/>
        <w:rPr>
          <w:rFonts w:ascii="Abadi" w:hAnsi="Abadi"/>
          <w:bCs/>
          <w:sz w:val="21"/>
          <w:szCs w:val="21"/>
          <w:lang w:val="es-MX" w:eastAsia="es-MX"/>
        </w:rPr>
      </w:pPr>
      <w:r w:rsidRPr="0027514C">
        <w:rPr>
          <w:rFonts w:ascii="Abadi" w:hAnsi="Abadi"/>
          <w:bCs/>
          <w:sz w:val="21"/>
          <w:szCs w:val="21"/>
          <w:u w:val="single"/>
          <w:lang w:val="es-MX" w:eastAsia="es-MX"/>
        </w:rPr>
        <w:t>Ingresos:</w:t>
      </w:r>
      <w:r w:rsidRPr="0027514C">
        <w:rPr>
          <w:rFonts w:ascii="Abadi" w:hAnsi="Abadi"/>
          <w:bCs/>
          <w:sz w:val="21"/>
          <w:szCs w:val="21"/>
          <w:lang w:val="es-MX" w:eastAsia="es-MX"/>
        </w:rPr>
        <w:t xml:space="preserve"> Participaciones y aportaciones, entre otros.</w:t>
      </w:r>
    </w:p>
    <w:p w14:paraId="4729E3BA" w14:textId="77777777" w:rsidR="0027514C" w:rsidRPr="0027514C" w:rsidRDefault="0027514C" w:rsidP="001A28E5">
      <w:pPr>
        <w:numPr>
          <w:ilvl w:val="0"/>
          <w:numId w:val="42"/>
        </w:numPr>
        <w:ind w:left="1068"/>
        <w:contextualSpacing/>
        <w:jc w:val="both"/>
        <w:rPr>
          <w:rFonts w:ascii="Abadi" w:hAnsi="Abadi" w:cs="Calibri"/>
          <w:sz w:val="21"/>
          <w:szCs w:val="21"/>
          <w:lang w:val="es-MX" w:eastAsia="es-MX"/>
        </w:rPr>
      </w:pPr>
      <w:r w:rsidRPr="0027514C">
        <w:rPr>
          <w:rFonts w:ascii="Abadi" w:hAnsi="Abadi"/>
          <w:sz w:val="21"/>
          <w:szCs w:val="21"/>
          <w:u w:val="single"/>
          <w:lang w:val="es-MX" w:eastAsia="es-MX"/>
        </w:rPr>
        <w:t>Egresos:</w:t>
      </w:r>
      <w:r w:rsidRPr="0027514C">
        <w:rPr>
          <w:rFonts w:ascii="Abadi" w:hAnsi="Abadi"/>
          <w:sz w:val="21"/>
          <w:szCs w:val="21"/>
          <w:lang w:val="es-MX" w:eastAsia="es-MX"/>
        </w:rPr>
        <w:t xml:space="preserve"> Servicios personales, indemnizaciones, </w:t>
      </w:r>
      <w:r w:rsidRPr="0027514C">
        <w:rPr>
          <w:rFonts w:ascii="Abadi" w:hAnsi="Abadi" w:cs="Calibri"/>
          <w:sz w:val="21"/>
          <w:szCs w:val="21"/>
          <w:lang w:val="es-MX" w:eastAsia="es-MX"/>
        </w:rPr>
        <w:t xml:space="preserve">servicios de consultoría administrativa, procesos, técnica y en tecnologías de la información, servicios profesionales, científicos y técnicos integrales, vestuario y uniformes destinados a actividades operativas, entre otros. </w:t>
      </w:r>
    </w:p>
    <w:p w14:paraId="2D122565" w14:textId="77777777" w:rsidR="0027514C" w:rsidRPr="0027514C" w:rsidRDefault="0027514C" w:rsidP="0027514C">
      <w:pPr>
        <w:jc w:val="both"/>
        <w:rPr>
          <w:rFonts w:ascii="Abadi" w:hAnsi="Abadi" w:cs="Calibri"/>
          <w:sz w:val="21"/>
          <w:szCs w:val="21"/>
          <w:lang w:val="es-MX" w:eastAsia="es-MX"/>
        </w:rPr>
      </w:pPr>
    </w:p>
    <w:p w14:paraId="2C3170D4" w14:textId="77777777" w:rsidR="0027514C" w:rsidRPr="0027514C" w:rsidRDefault="0027514C" w:rsidP="0027514C">
      <w:pPr>
        <w:spacing w:after="160"/>
        <w:ind w:left="1068"/>
        <w:contextualSpacing/>
        <w:jc w:val="both"/>
        <w:rPr>
          <w:rFonts w:ascii="Abadi" w:eastAsia="Calibri" w:hAnsi="Abadi"/>
          <w:sz w:val="21"/>
          <w:szCs w:val="21"/>
          <w:lang w:eastAsia="en-US"/>
        </w:rPr>
      </w:pPr>
      <w:r w:rsidRPr="0027514C">
        <w:rPr>
          <w:rFonts w:ascii="Abadi" w:hAnsi="Abadi"/>
          <w:bCs/>
          <w:i/>
          <w:iCs/>
          <w:sz w:val="21"/>
          <w:szCs w:val="21"/>
          <w:lang w:val="es-MX" w:eastAsia="es-MX"/>
        </w:rPr>
        <w:t>*</w:t>
      </w:r>
      <w:r w:rsidRPr="0027514C">
        <w:rPr>
          <w:rFonts w:ascii="Abadi" w:hAnsi="Abadi"/>
          <w:b/>
          <w:i/>
          <w:iCs/>
          <w:sz w:val="21"/>
          <w:szCs w:val="21"/>
          <w:lang w:val="es-MX" w:eastAsia="es-MX"/>
        </w:rPr>
        <w:t xml:space="preserve"> </w:t>
      </w:r>
      <w:r w:rsidRPr="0027514C">
        <w:rPr>
          <w:rFonts w:ascii="Abadi" w:hAnsi="Abadi"/>
          <w:bCs/>
          <w:i/>
          <w:iCs/>
          <w:sz w:val="21"/>
          <w:szCs w:val="21"/>
          <w:lang w:val="es-MX" w:eastAsia="es-MX"/>
        </w:rPr>
        <w:t>Se revisaron diversas liquidaciones a ex-empleados de seguridad pública, así como la subasta de diversos bienes inmuebles.</w:t>
      </w:r>
    </w:p>
    <w:p w14:paraId="7FC24662" w14:textId="77777777" w:rsidR="0027514C" w:rsidRPr="0027514C" w:rsidRDefault="0027514C" w:rsidP="0027514C">
      <w:pPr>
        <w:widowControl w:val="0"/>
        <w:spacing w:after="200"/>
        <w:ind w:left="372" w:firstLine="696"/>
        <w:contextualSpacing/>
        <w:jc w:val="both"/>
        <w:rPr>
          <w:rFonts w:ascii="Abadi" w:eastAsia="Calibri" w:hAnsi="Abadi"/>
          <w:b/>
          <w:bCs/>
          <w:sz w:val="21"/>
          <w:szCs w:val="21"/>
          <w:lang w:eastAsia="en-US"/>
        </w:rPr>
      </w:pPr>
    </w:p>
    <w:p w14:paraId="08EC6842" w14:textId="77777777" w:rsidR="0027514C" w:rsidRPr="0027514C" w:rsidRDefault="0027514C" w:rsidP="00270BE5">
      <w:pPr>
        <w:widowControl w:val="0"/>
        <w:spacing w:after="200"/>
        <w:contextualSpacing/>
        <w:jc w:val="both"/>
        <w:rPr>
          <w:rFonts w:ascii="Abadi" w:eastAsia="Calibri" w:hAnsi="Abadi"/>
          <w:b/>
          <w:bCs/>
          <w:sz w:val="21"/>
          <w:szCs w:val="21"/>
          <w:lang w:eastAsia="en-US"/>
        </w:rPr>
      </w:pPr>
    </w:p>
    <w:p w14:paraId="706856D5" w14:textId="77777777" w:rsidR="0027514C" w:rsidRPr="0027514C" w:rsidRDefault="0027514C" w:rsidP="0027514C">
      <w:pPr>
        <w:widowControl w:val="0"/>
        <w:spacing w:after="200"/>
        <w:ind w:left="372" w:firstLine="696"/>
        <w:contextualSpacing/>
        <w:jc w:val="both"/>
        <w:rPr>
          <w:rFonts w:ascii="Abadi" w:eastAsia="Calibri" w:hAnsi="Abadi"/>
          <w:sz w:val="21"/>
          <w:szCs w:val="21"/>
          <w:lang w:eastAsia="en-US"/>
        </w:rPr>
      </w:pPr>
      <w:r w:rsidRPr="0027514C">
        <w:rPr>
          <w:rFonts w:ascii="Abadi" w:eastAsia="Calibri" w:hAnsi="Abadi"/>
          <w:b/>
          <w:bCs/>
          <w:sz w:val="21"/>
          <w:szCs w:val="21"/>
          <w:lang w:eastAsia="en-US"/>
        </w:rPr>
        <w:t>SAPAL:</w:t>
      </w:r>
      <w:r w:rsidRPr="0027514C">
        <w:rPr>
          <w:rFonts w:ascii="Abadi" w:eastAsia="Calibri" w:hAnsi="Abadi"/>
          <w:sz w:val="21"/>
          <w:szCs w:val="21"/>
          <w:lang w:eastAsia="en-US"/>
        </w:rPr>
        <w:t xml:space="preserve"> </w:t>
      </w:r>
    </w:p>
    <w:p w14:paraId="6DD825AF" w14:textId="77777777" w:rsidR="0027514C" w:rsidRPr="0027514C" w:rsidRDefault="0027514C" w:rsidP="001A28E5">
      <w:pPr>
        <w:numPr>
          <w:ilvl w:val="0"/>
          <w:numId w:val="42"/>
        </w:numPr>
        <w:ind w:left="1056"/>
        <w:contextualSpacing/>
        <w:jc w:val="both"/>
        <w:rPr>
          <w:rFonts w:ascii="Abadi" w:hAnsi="Abadi"/>
          <w:b/>
          <w:sz w:val="21"/>
          <w:szCs w:val="21"/>
          <w:lang w:val="es-MX" w:eastAsia="es-MX"/>
        </w:rPr>
      </w:pPr>
      <w:r w:rsidRPr="0027514C">
        <w:rPr>
          <w:rFonts w:ascii="Abadi" w:eastAsia="Calibri" w:hAnsi="Abadi"/>
          <w:sz w:val="21"/>
          <w:szCs w:val="21"/>
          <w:u w:val="single"/>
          <w:lang w:val="es-MX" w:eastAsia="en-US"/>
        </w:rPr>
        <w:t>Activo</w:t>
      </w:r>
      <w:r w:rsidRPr="0027514C">
        <w:rPr>
          <w:rFonts w:ascii="Abadi" w:eastAsia="Calibri" w:hAnsi="Abadi"/>
          <w:sz w:val="21"/>
          <w:szCs w:val="21"/>
          <w:lang w:val="es-MX" w:eastAsia="en-US"/>
        </w:rPr>
        <w:t xml:space="preserve">: </w:t>
      </w:r>
      <w:r w:rsidRPr="0027514C">
        <w:rPr>
          <w:rFonts w:ascii="Abadi" w:hAnsi="Abadi"/>
          <w:sz w:val="21"/>
          <w:szCs w:val="21"/>
          <w:lang w:val="es-MX" w:eastAsia="es-MX"/>
        </w:rPr>
        <w:t xml:space="preserve">IVA por acreditar y </w:t>
      </w:r>
      <w:r w:rsidRPr="0027514C">
        <w:rPr>
          <w:rFonts w:ascii="Abadi" w:hAnsi="Abadi"/>
          <w:bCs/>
          <w:sz w:val="21"/>
          <w:szCs w:val="21"/>
          <w:lang w:val="es-MX" w:eastAsia="es-MX"/>
        </w:rPr>
        <w:t>construcciones en proceso.</w:t>
      </w:r>
    </w:p>
    <w:p w14:paraId="182A919A" w14:textId="77777777" w:rsidR="0027514C" w:rsidRPr="0027514C" w:rsidRDefault="0027514C" w:rsidP="0027514C">
      <w:pPr>
        <w:ind w:left="720"/>
        <w:contextualSpacing/>
        <w:jc w:val="both"/>
        <w:rPr>
          <w:rFonts w:ascii="Abadi" w:hAnsi="Abadi"/>
          <w:b/>
          <w:sz w:val="21"/>
          <w:szCs w:val="21"/>
          <w:lang w:val="es-MX" w:eastAsia="es-MX"/>
        </w:rPr>
      </w:pPr>
    </w:p>
    <w:p w14:paraId="3420917F" w14:textId="77777777" w:rsidR="0027514C" w:rsidRPr="0027514C" w:rsidRDefault="0027514C" w:rsidP="0027514C">
      <w:pPr>
        <w:ind w:left="1056"/>
        <w:contextualSpacing/>
        <w:jc w:val="both"/>
        <w:rPr>
          <w:rFonts w:ascii="Abadi" w:hAnsi="Abadi" w:cs="Calibri"/>
          <w:bCs/>
          <w:i/>
          <w:iCs/>
          <w:sz w:val="21"/>
          <w:szCs w:val="21"/>
          <w:lang w:val="es-MX" w:eastAsia="es-MX"/>
        </w:rPr>
      </w:pPr>
      <w:r w:rsidRPr="0027514C">
        <w:rPr>
          <w:rFonts w:ascii="Abadi" w:hAnsi="Abadi"/>
          <w:bCs/>
          <w:i/>
          <w:iCs/>
          <w:sz w:val="21"/>
          <w:szCs w:val="21"/>
          <w:lang w:val="es-MX" w:eastAsia="es-MX"/>
        </w:rPr>
        <w:t xml:space="preserve">*Se reviso lo relacionado con el </w:t>
      </w:r>
      <w:r w:rsidRPr="0027514C">
        <w:rPr>
          <w:rFonts w:ascii="Abadi" w:hAnsi="Abadi" w:cs="Calibri"/>
          <w:bCs/>
          <w:i/>
          <w:iCs/>
          <w:sz w:val="21"/>
          <w:szCs w:val="21"/>
          <w:lang w:val="es-MX" w:eastAsia="es-MX"/>
        </w:rPr>
        <w:t xml:space="preserve">Contrato SAPAL 760-340/2019 </w:t>
      </w:r>
      <w:r w:rsidRPr="0027514C">
        <w:rPr>
          <w:rFonts w:ascii="Abadi" w:hAnsi="Abadi"/>
          <w:bCs/>
          <w:i/>
          <w:iCs/>
          <w:sz w:val="21"/>
          <w:szCs w:val="21"/>
          <w:lang w:val="es-MX" w:eastAsia="es-MX"/>
        </w:rPr>
        <w:t>«INGENIERÍA DE DETALLE Y CONSTRUCCIÓN DEL SISTEMA DE RETENCIÓN DE AGUAS PLUVIALES TIMOTEO LOZANO</w:t>
      </w:r>
      <w:r w:rsidRPr="0027514C">
        <w:rPr>
          <w:rFonts w:ascii="Abadi" w:hAnsi="Abadi"/>
          <w:bCs/>
          <w:sz w:val="21"/>
          <w:szCs w:val="21"/>
          <w:lang w:val="es-MX" w:eastAsia="es-MX"/>
        </w:rPr>
        <w:t>»</w:t>
      </w:r>
      <w:r w:rsidRPr="0027514C">
        <w:rPr>
          <w:rFonts w:ascii="Abadi" w:hAnsi="Abadi" w:cs="Calibri"/>
          <w:bCs/>
          <w:i/>
          <w:iCs/>
          <w:sz w:val="21"/>
          <w:szCs w:val="21"/>
          <w:lang w:val="es-MX" w:eastAsia="es-MX"/>
        </w:rPr>
        <w:t xml:space="preserve">, derivado de la su inclusión en el programa. </w:t>
      </w:r>
    </w:p>
    <w:p w14:paraId="607A72BA" w14:textId="77777777" w:rsidR="0027514C" w:rsidRPr="0027514C" w:rsidRDefault="0027514C" w:rsidP="0027514C">
      <w:pPr>
        <w:ind w:left="708"/>
        <w:contextualSpacing/>
        <w:jc w:val="both"/>
        <w:rPr>
          <w:rFonts w:ascii="Abadi" w:hAnsi="Abadi"/>
          <w:bCs/>
          <w:sz w:val="21"/>
          <w:szCs w:val="21"/>
          <w:lang w:val="es-MX" w:eastAsia="es-MX"/>
        </w:rPr>
      </w:pPr>
    </w:p>
    <w:p w14:paraId="54902F3F" w14:textId="77777777" w:rsidR="0027514C" w:rsidRPr="0027514C" w:rsidRDefault="0027514C" w:rsidP="0027514C">
      <w:pPr>
        <w:ind w:firstLine="708"/>
        <w:jc w:val="both"/>
        <w:rPr>
          <w:rFonts w:ascii="Abadi" w:hAnsi="Abadi" w:cs="Calibri"/>
          <w:sz w:val="21"/>
          <w:szCs w:val="21"/>
          <w:lang w:val="es-MX" w:eastAsia="es-MX"/>
        </w:rPr>
      </w:pPr>
      <w:bookmarkStart w:id="20" w:name="_Hlk103158653"/>
      <w:r w:rsidRPr="0027514C">
        <w:rPr>
          <w:rFonts w:ascii="Abadi" w:hAnsi="Abadi" w:cs="Calibri"/>
          <w:sz w:val="21"/>
          <w:szCs w:val="21"/>
          <w:lang w:val="es-MX" w:eastAsia="es-MX"/>
        </w:rPr>
        <w:t>Al respecto, se establece que la selección de las cuentas a revisar durante los referidos ejercicios se realizó con base en los riesgos identificados durante la etapa de planeación.</w:t>
      </w:r>
    </w:p>
    <w:p w14:paraId="3A717062" w14:textId="77777777" w:rsidR="0027514C" w:rsidRPr="0027514C" w:rsidRDefault="0027514C" w:rsidP="0027514C">
      <w:pPr>
        <w:rPr>
          <w:rFonts w:ascii="Abadi" w:hAnsi="Abadi"/>
          <w:sz w:val="21"/>
          <w:szCs w:val="21"/>
          <w:lang w:val="es-MX" w:eastAsia="es-MX"/>
        </w:rPr>
      </w:pPr>
    </w:p>
    <w:p w14:paraId="2CF13A0B" w14:textId="77777777" w:rsidR="0027514C" w:rsidRPr="0027514C" w:rsidRDefault="0027514C" w:rsidP="0027514C">
      <w:pPr>
        <w:ind w:firstLine="708"/>
        <w:jc w:val="both"/>
        <w:rPr>
          <w:rFonts w:ascii="Abadi" w:hAnsi="Abadi"/>
          <w:sz w:val="21"/>
          <w:szCs w:val="21"/>
          <w:lang w:val="es-MX" w:eastAsia="es-MX"/>
        </w:rPr>
      </w:pPr>
      <w:r w:rsidRPr="0027514C">
        <w:rPr>
          <w:rFonts w:ascii="Abadi" w:hAnsi="Abadi"/>
          <w:sz w:val="21"/>
          <w:szCs w:val="21"/>
          <w:lang w:val="es-MX" w:eastAsia="es-MX"/>
        </w:rPr>
        <w:t xml:space="preserve">En tal sentido, en la planeación de los periodos revisados se consideró entre otros, a) Identificar a los contratistas con mayor número de obras adjudicadas, y en su caso verificar si cuentan con la capacidad suficiente para la ejecución de estas; b) Identificar los contratos de </w:t>
      </w:r>
      <w:r w:rsidRPr="0027514C">
        <w:rPr>
          <w:rFonts w:ascii="Abadi" w:hAnsi="Abadi"/>
          <w:sz w:val="21"/>
          <w:szCs w:val="21"/>
          <w:lang w:val="es-MX" w:eastAsia="es-MX"/>
        </w:rPr>
        <w:lastRenderedPageBreak/>
        <w:t>mayor importe y verificar el proceso de adjudicación; c) Verificar si los contratistas que ejecutaron obras o servicios en el Municipio han sido observados anteriormente; d) Revisar obras de urbanización y edificación de mayor importe, que, por la complejidad, magnitud y volumetría de los trabajos ejecutados, origina un alto riesgo relacionado a la ejecución y supervisión de estos, pudiendo derivar en observaciones ligadas a calidad de obra, precios unitarios, cantidades de obra, soporte documental, cierre administrativo, etc; e) Revisar los servicios de supervisión externa ligados a cada una de las obras que integran la muestra de auditoría; f)</w:t>
      </w:r>
      <w:bookmarkEnd w:id="20"/>
      <w:r w:rsidRPr="0027514C">
        <w:rPr>
          <w:rFonts w:ascii="Abadi" w:hAnsi="Abadi"/>
          <w:sz w:val="21"/>
          <w:szCs w:val="21"/>
          <w:lang w:val="es-MX" w:eastAsia="es-MX"/>
        </w:rPr>
        <w:t xml:space="preserve"> Realizar análisis previos de planeación relativos a la facturación electrónica, así como de personas físicas y morales que tuvieron relaciones comerciales o contractuales con el sujeto fiscalizado. (a partir de la revisión del ejercicio fiscal 2018 en adelante; y g) Revisar la información contable para identificar saldos pendientes por amortizar de anticipos otorgados en ejercicios anteriores.</w:t>
      </w:r>
    </w:p>
    <w:p w14:paraId="3D4C74B0" w14:textId="77777777" w:rsidR="0027514C" w:rsidRPr="0027514C" w:rsidRDefault="0027514C" w:rsidP="0027514C">
      <w:pPr>
        <w:ind w:left="720"/>
        <w:contextualSpacing/>
        <w:jc w:val="both"/>
        <w:rPr>
          <w:rFonts w:ascii="Abadi" w:hAnsi="Abadi"/>
          <w:sz w:val="21"/>
          <w:szCs w:val="21"/>
          <w:lang w:val="es-MX" w:eastAsia="es-MX"/>
        </w:rPr>
      </w:pPr>
    </w:p>
    <w:p w14:paraId="392562B9" w14:textId="77777777" w:rsidR="0027514C" w:rsidRPr="0027514C" w:rsidRDefault="0027514C" w:rsidP="0027514C">
      <w:pPr>
        <w:ind w:firstLine="708"/>
        <w:jc w:val="both"/>
        <w:rPr>
          <w:rFonts w:ascii="Abadi" w:hAnsi="Abadi"/>
          <w:sz w:val="21"/>
          <w:szCs w:val="21"/>
          <w:lang w:val="es-MX" w:eastAsia="es-MX"/>
        </w:rPr>
      </w:pPr>
      <w:r w:rsidRPr="0027514C">
        <w:rPr>
          <w:rFonts w:ascii="Abadi" w:hAnsi="Abadi"/>
          <w:sz w:val="21"/>
          <w:szCs w:val="21"/>
          <w:lang w:val="es-MX" w:eastAsia="es-MX"/>
        </w:rPr>
        <w:t>Adicionalmente, se informó que se llevaron a cabo diversas revisiones por parte de la Auditoría Superior de la Federación</w:t>
      </w:r>
      <w:r w:rsidRPr="0027514C">
        <w:rPr>
          <w:rFonts w:ascii="Abadi" w:hAnsi="Abadi"/>
          <w:sz w:val="21"/>
          <w:szCs w:val="21"/>
          <w:vertAlign w:val="superscript"/>
          <w:lang w:val="es-MX" w:eastAsia="es-MX"/>
        </w:rPr>
        <w:footnoteReference w:id="126"/>
      </w:r>
      <w:r w:rsidRPr="0027514C">
        <w:rPr>
          <w:rFonts w:ascii="Abadi" w:hAnsi="Abadi"/>
          <w:sz w:val="21"/>
          <w:szCs w:val="21"/>
          <w:lang w:val="es-MX" w:eastAsia="es-MX"/>
        </w:rPr>
        <w:t>, las cuales se detallan a continuación:</w:t>
      </w:r>
    </w:p>
    <w:p w14:paraId="6A49246D" w14:textId="40E925B2" w:rsidR="0027514C" w:rsidRDefault="0027514C" w:rsidP="0027514C">
      <w:pPr>
        <w:rPr>
          <w:rFonts w:ascii="Abadi" w:hAnsi="Abadi"/>
          <w:sz w:val="21"/>
          <w:szCs w:val="21"/>
          <w:lang w:val="es-MX" w:eastAsia="es-MX"/>
        </w:rPr>
      </w:pPr>
      <w:r w:rsidRPr="0027514C">
        <w:rPr>
          <w:rFonts w:ascii="Abadi" w:hAnsi="Abadi"/>
          <w:sz w:val="21"/>
          <w:szCs w:val="21"/>
          <w:lang w:val="es-MX" w:eastAsia="es-MX"/>
        </w:rPr>
        <w:t xml:space="preserve"> </w:t>
      </w:r>
    </w:p>
    <w:p w14:paraId="4B5801B1" w14:textId="30A09FF5" w:rsidR="001B3CEE" w:rsidRDefault="001A61E9" w:rsidP="0027514C">
      <w:pPr>
        <w:rPr>
          <w:rFonts w:ascii="Abadi" w:hAnsi="Abadi"/>
          <w:sz w:val="21"/>
          <w:szCs w:val="21"/>
          <w:lang w:val="es-MX" w:eastAsia="es-MX"/>
        </w:rPr>
      </w:pPr>
      <w:r w:rsidRPr="001A61E9">
        <w:rPr>
          <w:noProof/>
        </w:rPr>
        <w:drawing>
          <wp:inline distT="0" distB="0" distL="0" distR="0" wp14:anchorId="274EADC2" wp14:editId="41284087">
            <wp:extent cx="2995116" cy="159366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14056" cy="1603747"/>
                    </a:xfrm>
                    <a:prstGeom prst="rect">
                      <a:avLst/>
                    </a:prstGeom>
                    <a:noFill/>
                    <a:ln>
                      <a:noFill/>
                    </a:ln>
                  </pic:spPr>
                </pic:pic>
              </a:graphicData>
            </a:graphic>
          </wp:inline>
        </w:drawing>
      </w:r>
    </w:p>
    <w:p w14:paraId="2CC872E4" w14:textId="20EC6B5F" w:rsidR="001B3CEE" w:rsidRDefault="001B3CEE" w:rsidP="0027514C">
      <w:pPr>
        <w:rPr>
          <w:rFonts w:ascii="Abadi" w:hAnsi="Abadi"/>
          <w:sz w:val="21"/>
          <w:szCs w:val="21"/>
          <w:lang w:val="es-MX" w:eastAsia="es-MX"/>
        </w:rPr>
      </w:pPr>
    </w:p>
    <w:p w14:paraId="215D1BE7" w14:textId="77777777" w:rsidR="0027514C" w:rsidRPr="0027514C" w:rsidRDefault="0027514C" w:rsidP="0027514C">
      <w:pPr>
        <w:jc w:val="both"/>
        <w:rPr>
          <w:rFonts w:ascii="Abadi" w:hAnsi="Abadi"/>
          <w:b/>
          <w:bCs/>
          <w:color w:val="ED7D31"/>
          <w:sz w:val="21"/>
          <w:szCs w:val="21"/>
          <w:lang w:val="es-MX" w:eastAsia="es-MX"/>
        </w:rPr>
      </w:pPr>
    </w:p>
    <w:p w14:paraId="0C0427E4" w14:textId="77777777" w:rsidR="0027514C" w:rsidRPr="0027514C" w:rsidRDefault="0027514C" w:rsidP="0027514C">
      <w:pPr>
        <w:ind w:firstLine="708"/>
        <w:contextualSpacing/>
        <w:jc w:val="both"/>
        <w:rPr>
          <w:rFonts w:ascii="Abadi" w:eastAsia="Calibri" w:hAnsi="Abadi"/>
          <w:bCs/>
          <w:sz w:val="21"/>
          <w:szCs w:val="21"/>
          <w:lang w:val="es-MX" w:eastAsia="en-US"/>
        </w:rPr>
      </w:pPr>
      <w:r w:rsidRPr="0027514C">
        <w:rPr>
          <w:rFonts w:ascii="Abadi" w:eastAsia="Calibri" w:hAnsi="Abadi"/>
          <w:bCs/>
          <w:sz w:val="21"/>
          <w:szCs w:val="21"/>
          <w:lang w:val="es-MX" w:eastAsia="en-US"/>
        </w:rPr>
        <w:t xml:space="preserve">De acuerdo a la información antes señalada, la Auditoría Superior del Estado ha realizado 3 revisiones de cuenta pública, 3 auditorías practicadas </w:t>
      </w:r>
      <w:r w:rsidRPr="0027514C">
        <w:rPr>
          <w:rFonts w:ascii="Abadi" w:hAnsi="Abadi" w:cs="Tahoma"/>
          <w:spacing w:val="-10"/>
          <w:kern w:val="28"/>
          <w:sz w:val="21"/>
          <w:szCs w:val="21"/>
          <w:lang w:val="es-MX" w:eastAsia="en-US"/>
        </w:rPr>
        <w:t>a la infraestructura pública municipal y 2 auditorías especiales</w:t>
      </w:r>
      <w:r w:rsidRPr="0027514C">
        <w:rPr>
          <w:rFonts w:ascii="Abadi" w:eastAsia="Calibri" w:hAnsi="Abadi"/>
          <w:bCs/>
          <w:sz w:val="21"/>
          <w:szCs w:val="21"/>
          <w:lang w:val="es-MX" w:eastAsia="en-US"/>
        </w:rPr>
        <w:t>. Asimismo, se realizaron 12 auditorías y revisiones por parte de la Auditoría Superior de la Federación.</w:t>
      </w:r>
    </w:p>
    <w:p w14:paraId="167B076F" w14:textId="77777777" w:rsidR="0027514C" w:rsidRPr="0027514C" w:rsidRDefault="0027514C" w:rsidP="0027514C">
      <w:pPr>
        <w:rPr>
          <w:rFonts w:ascii="Abadi" w:eastAsia="Calibri" w:hAnsi="Abadi"/>
          <w:sz w:val="21"/>
          <w:szCs w:val="21"/>
          <w:lang w:val="es-MX" w:eastAsia="en-US"/>
        </w:rPr>
      </w:pPr>
    </w:p>
    <w:p w14:paraId="08D8EA3F" w14:textId="77777777" w:rsidR="0027514C" w:rsidRPr="0027514C" w:rsidRDefault="0027514C" w:rsidP="0027514C">
      <w:pPr>
        <w:ind w:firstLine="708"/>
        <w:contextualSpacing/>
        <w:jc w:val="both"/>
        <w:rPr>
          <w:rFonts w:ascii="Abadi" w:eastAsia="Calibri" w:hAnsi="Abadi"/>
          <w:bCs/>
          <w:sz w:val="21"/>
          <w:szCs w:val="21"/>
          <w:lang w:val="es-MX" w:eastAsia="en-US"/>
        </w:rPr>
      </w:pPr>
      <w:r w:rsidRPr="0027514C">
        <w:rPr>
          <w:rFonts w:ascii="Abadi" w:eastAsia="Calibri" w:hAnsi="Abadi"/>
          <w:bCs/>
          <w:sz w:val="21"/>
          <w:szCs w:val="21"/>
          <w:lang w:val="es-MX" w:eastAsia="en-US"/>
        </w:rPr>
        <w:t xml:space="preserve">En esta parte también cabe apuntar que los hechos referidos al faltante de recursos -7 mil 327 pesos- en la Dirección General de Desarrollo Institucional, así como al Jardín de Niños Juan Aldama y la condonación del impuesto predial del </w:t>
      </w:r>
      <w:r w:rsidRPr="0027514C">
        <w:rPr>
          <w:rFonts w:ascii="Abadi" w:eastAsia="Calibri" w:hAnsi="Abadi"/>
          <w:bCs/>
          <w:sz w:val="21"/>
          <w:szCs w:val="21"/>
          <w:lang w:val="es-MX" w:eastAsia="en-US"/>
        </w:rPr>
        <w:t>Club Campestre de León, los mismos son materia de investigación por el Órgano Interno de Control del municipio de Léon, Gto.</w:t>
      </w:r>
    </w:p>
    <w:p w14:paraId="4DE58D13" w14:textId="77777777" w:rsidR="0027514C" w:rsidRPr="0027514C" w:rsidRDefault="0027514C" w:rsidP="00067895">
      <w:pPr>
        <w:contextualSpacing/>
        <w:jc w:val="both"/>
        <w:rPr>
          <w:rFonts w:ascii="Abadi" w:eastAsia="Calibri" w:hAnsi="Abadi"/>
          <w:bCs/>
          <w:sz w:val="21"/>
          <w:szCs w:val="21"/>
          <w:lang w:val="es-MX" w:eastAsia="en-US"/>
        </w:rPr>
      </w:pPr>
    </w:p>
    <w:p w14:paraId="7A61FF98" w14:textId="77777777" w:rsidR="0027514C" w:rsidRPr="0027514C" w:rsidRDefault="0027514C" w:rsidP="0027514C">
      <w:pPr>
        <w:ind w:firstLine="708"/>
        <w:contextualSpacing/>
        <w:jc w:val="both"/>
        <w:rPr>
          <w:rFonts w:ascii="Abadi" w:eastAsia="Calibri" w:hAnsi="Abadi"/>
          <w:bCs/>
          <w:sz w:val="21"/>
          <w:szCs w:val="21"/>
          <w:lang w:val="es-MX" w:eastAsia="en-US"/>
        </w:rPr>
      </w:pPr>
      <w:r w:rsidRPr="0027514C">
        <w:rPr>
          <w:rFonts w:ascii="Abadi" w:eastAsia="Calibri" w:hAnsi="Abadi"/>
          <w:bCs/>
          <w:sz w:val="21"/>
          <w:szCs w:val="21"/>
          <w:lang w:val="es-MX" w:eastAsia="en-US"/>
        </w:rPr>
        <w:t>Aunado a lo anterior, en el Programa General de Fiscalización 2022 se contemplan 272 actos de fiscalización, por lo que, de acuerdo a dicho Programa, así como al Programa Operativo Anual y la capacidad institucional instalada, la incorporación de actos de fiscalización adicionales a los ya programados, incidiría directamente en la cobertura, calidad y tiempos de la fiscalización, en detrimento del citado programa y de los actos de fiscalización previamente planificados.</w:t>
      </w:r>
    </w:p>
    <w:p w14:paraId="1C97676D" w14:textId="77777777" w:rsidR="0027514C" w:rsidRPr="0027514C" w:rsidRDefault="0027514C" w:rsidP="0027514C">
      <w:pPr>
        <w:ind w:firstLine="708"/>
        <w:contextualSpacing/>
        <w:jc w:val="both"/>
        <w:rPr>
          <w:rFonts w:ascii="Abadi" w:eastAsia="Calibri" w:hAnsi="Abadi"/>
          <w:bCs/>
          <w:sz w:val="21"/>
          <w:szCs w:val="21"/>
          <w:lang w:val="es-MX" w:eastAsia="en-US"/>
        </w:rPr>
      </w:pPr>
    </w:p>
    <w:p w14:paraId="77678827" w14:textId="77777777" w:rsidR="0027514C" w:rsidRPr="0027514C" w:rsidRDefault="0027514C" w:rsidP="0027514C">
      <w:pPr>
        <w:ind w:firstLine="720"/>
        <w:jc w:val="both"/>
        <w:rPr>
          <w:rFonts w:ascii="Abadi" w:hAnsi="Abadi" w:cs="Arial"/>
          <w:sz w:val="21"/>
          <w:szCs w:val="21"/>
          <w:lang w:val="es-MX" w:eastAsia="es-MX"/>
        </w:rPr>
      </w:pPr>
      <w:r w:rsidRPr="0027514C">
        <w:rPr>
          <w:rFonts w:ascii="Abadi" w:hAnsi="Abadi" w:cs="Arial"/>
          <w:sz w:val="21"/>
          <w:szCs w:val="21"/>
          <w:lang w:val="es-MX" w:eastAsia="es-MX"/>
        </w:rPr>
        <w:t>En razón a lo antes señalado y privilegiando la realización de los actos de fiscalización ya contemplados en el Programa General de Fiscalización de la Auditoría Superior del Estado para el presente ejercicio fiscal, mismo que consideró una planeación estratégica, así como al cumplimiento de dicho programa en tiempo y calidad de los actos programados, así como a la capacidad institucional instalada de dicho Órgano Técnico, determinamos no autorizar la realización de la auditoría propuesta, atendiendo además a que ya se realizaron diversos actos de fiscalización a la administración municipal de León, Gto., por parte tanto de la Auditoría Superior del Estado como de la Auditoría Superior de la Federación a los ejercicios fiscales que se propone auditar.</w:t>
      </w:r>
    </w:p>
    <w:p w14:paraId="59DF2BEA" w14:textId="77777777" w:rsidR="0027514C" w:rsidRPr="0027514C" w:rsidRDefault="0027514C" w:rsidP="0027514C">
      <w:pPr>
        <w:ind w:firstLine="720"/>
        <w:jc w:val="both"/>
        <w:rPr>
          <w:rFonts w:ascii="Abadi" w:hAnsi="Abadi" w:cs="Arial"/>
          <w:sz w:val="21"/>
          <w:szCs w:val="21"/>
          <w:lang w:val="es-MX" w:eastAsia="es-MX"/>
        </w:rPr>
      </w:pPr>
    </w:p>
    <w:p w14:paraId="61A491A3" w14:textId="77777777" w:rsidR="0027514C" w:rsidRPr="0027514C" w:rsidRDefault="0027514C" w:rsidP="0027514C">
      <w:pPr>
        <w:widowControl w:val="0"/>
        <w:spacing w:after="200"/>
        <w:ind w:firstLine="708"/>
        <w:contextualSpacing/>
        <w:jc w:val="both"/>
        <w:rPr>
          <w:rFonts w:ascii="Abadi" w:eastAsia="Calibri" w:hAnsi="Abadi"/>
          <w:bCs/>
          <w:sz w:val="21"/>
          <w:szCs w:val="21"/>
          <w:lang w:val="es-MX" w:eastAsia="en-US"/>
        </w:rPr>
      </w:pPr>
      <w:r w:rsidRPr="0027514C">
        <w:rPr>
          <w:rFonts w:ascii="Abadi" w:eastAsia="Calibri" w:hAnsi="Abadi"/>
          <w:bCs/>
          <w:sz w:val="21"/>
          <w:szCs w:val="21"/>
          <w:lang w:val="es-MX" w:eastAsia="en-US"/>
        </w:rPr>
        <w:t xml:space="preserve">No obstante, la Auditoría Superior del Estado podrá considerar los hechos que correspondan al ejercicio 2021 planteados en las propuestas materia del presente dictamen en la planeación y ejecución de la revisión de la cuenta </w:t>
      </w:r>
      <w:bookmarkStart w:id="21" w:name="_Hlk87019959"/>
      <w:r w:rsidRPr="0027514C">
        <w:rPr>
          <w:rFonts w:ascii="Abadi" w:eastAsia="Calibri" w:hAnsi="Abadi"/>
          <w:bCs/>
          <w:sz w:val="21"/>
          <w:szCs w:val="21"/>
          <w:lang w:val="es-MX" w:eastAsia="en-US"/>
        </w:rPr>
        <w:t xml:space="preserve">pública de dicho ejercicio. </w:t>
      </w:r>
    </w:p>
    <w:bookmarkEnd w:id="21"/>
    <w:p w14:paraId="01740E0F" w14:textId="77777777" w:rsidR="0027514C" w:rsidRPr="0027514C" w:rsidRDefault="0027514C" w:rsidP="0027514C">
      <w:pPr>
        <w:ind w:firstLine="708"/>
        <w:jc w:val="both"/>
        <w:rPr>
          <w:rFonts w:ascii="Abadi" w:hAnsi="Abadi" w:cs="Arial"/>
          <w:iCs/>
          <w:sz w:val="21"/>
          <w:szCs w:val="21"/>
          <w:lang w:val="es-MX" w:eastAsia="es-MX"/>
        </w:rPr>
      </w:pPr>
      <w:r w:rsidRPr="0027514C">
        <w:rPr>
          <w:rFonts w:ascii="Abadi" w:hAnsi="Abadi" w:cs="Arial"/>
          <w:iCs/>
          <w:sz w:val="21"/>
          <w:szCs w:val="21"/>
          <w:lang w:val="es-MX" w:eastAsia="es-MX"/>
        </w:rPr>
        <w:t xml:space="preserve">Por lo expuesto y con fundamento en el artículo 204 de </w:t>
      </w:r>
      <w:smartTag w:uri="urn:schemas-microsoft-com:office:smarttags" w:element="PersonName">
        <w:smartTagPr>
          <w:attr w:name="ProductID" w:val="la Ley Org￡nica"/>
        </w:smartTagPr>
        <w:r w:rsidRPr="0027514C">
          <w:rPr>
            <w:rFonts w:ascii="Abadi" w:hAnsi="Abadi" w:cs="Arial"/>
            <w:iCs/>
            <w:sz w:val="21"/>
            <w:szCs w:val="21"/>
            <w:lang w:val="es-MX" w:eastAsia="es-MX"/>
          </w:rPr>
          <w:t>la Ley Orgánica</w:t>
        </w:r>
      </w:smartTag>
      <w:r w:rsidRPr="0027514C">
        <w:rPr>
          <w:rFonts w:ascii="Abadi" w:hAnsi="Abadi" w:cs="Arial"/>
          <w:iCs/>
          <w:sz w:val="21"/>
          <w:szCs w:val="21"/>
          <w:lang w:val="es-MX" w:eastAsia="es-MX"/>
        </w:rPr>
        <w:t xml:space="preserve"> del Poder Legislativo del Estado, sometemos a la consideración de </w:t>
      </w:r>
      <w:smartTag w:uri="urn:schemas-microsoft-com:office:smarttags" w:element="PersonName">
        <w:smartTagPr>
          <w:attr w:name="ProductID" w:val="la Asamblea"/>
        </w:smartTagPr>
        <w:r w:rsidRPr="0027514C">
          <w:rPr>
            <w:rFonts w:ascii="Abadi" w:hAnsi="Abadi" w:cs="Arial"/>
            <w:iCs/>
            <w:sz w:val="21"/>
            <w:szCs w:val="21"/>
            <w:lang w:val="es-MX" w:eastAsia="es-MX"/>
          </w:rPr>
          <w:t>la Asamblea</w:t>
        </w:r>
      </w:smartTag>
      <w:r w:rsidRPr="0027514C">
        <w:rPr>
          <w:rFonts w:ascii="Abadi" w:hAnsi="Abadi" w:cs="Arial"/>
          <w:iCs/>
          <w:sz w:val="21"/>
          <w:szCs w:val="21"/>
          <w:lang w:val="es-MX" w:eastAsia="es-MX"/>
        </w:rPr>
        <w:t>, la aprobación del siguiente:</w:t>
      </w:r>
    </w:p>
    <w:p w14:paraId="5C4C01E1" w14:textId="77777777" w:rsidR="0027514C" w:rsidRPr="0027514C" w:rsidRDefault="0027514C" w:rsidP="0027514C">
      <w:pPr>
        <w:jc w:val="center"/>
        <w:rPr>
          <w:rFonts w:ascii="Abadi" w:hAnsi="Abadi" w:cs="Arial"/>
          <w:b/>
          <w:iCs/>
          <w:sz w:val="21"/>
          <w:szCs w:val="21"/>
          <w:lang w:val="es-MX" w:eastAsia="es-MX"/>
        </w:rPr>
      </w:pPr>
      <w:r w:rsidRPr="0027514C">
        <w:rPr>
          <w:rFonts w:ascii="Abadi" w:hAnsi="Abadi" w:cs="Arial"/>
          <w:b/>
          <w:iCs/>
          <w:sz w:val="21"/>
          <w:szCs w:val="21"/>
          <w:lang w:val="es-MX" w:eastAsia="es-MX"/>
        </w:rPr>
        <w:t>A c u e r d o</w:t>
      </w:r>
    </w:p>
    <w:p w14:paraId="6AF109ED" w14:textId="77777777" w:rsidR="0027514C" w:rsidRPr="0027514C" w:rsidRDefault="0027514C" w:rsidP="0027514C">
      <w:pPr>
        <w:jc w:val="center"/>
        <w:rPr>
          <w:rFonts w:ascii="Abadi" w:hAnsi="Abadi" w:cs="Arial"/>
          <w:b/>
          <w:iCs/>
          <w:sz w:val="21"/>
          <w:szCs w:val="21"/>
          <w:lang w:val="es-MX" w:eastAsia="es-MX"/>
        </w:rPr>
      </w:pPr>
    </w:p>
    <w:p w14:paraId="3C16B1B3" w14:textId="77777777" w:rsidR="0027514C" w:rsidRPr="0027514C" w:rsidRDefault="0027514C" w:rsidP="0027514C">
      <w:pPr>
        <w:ind w:firstLine="708"/>
        <w:jc w:val="both"/>
        <w:rPr>
          <w:rFonts w:ascii="Abadi" w:hAnsi="Abadi" w:cs="Arial"/>
          <w:iCs/>
          <w:sz w:val="21"/>
          <w:szCs w:val="21"/>
          <w:lang w:val="es-MX" w:eastAsia="es-MX"/>
        </w:rPr>
      </w:pPr>
      <w:r w:rsidRPr="0027514C">
        <w:rPr>
          <w:rFonts w:ascii="Abadi" w:hAnsi="Abadi" w:cs="Arial"/>
          <w:b/>
          <w:iCs/>
          <w:sz w:val="21"/>
          <w:szCs w:val="21"/>
          <w:lang w:val="es-MX" w:eastAsia="es-MX"/>
        </w:rPr>
        <w:t>Único.</w:t>
      </w:r>
      <w:r w:rsidRPr="0027514C">
        <w:rPr>
          <w:rFonts w:ascii="Abadi" w:hAnsi="Abadi" w:cs="Arial"/>
          <w:b/>
          <w:sz w:val="21"/>
          <w:szCs w:val="21"/>
          <w:lang w:val="es-MX" w:eastAsia="es-MX"/>
        </w:rPr>
        <w:t xml:space="preserve"> </w:t>
      </w:r>
      <w:r w:rsidRPr="0027514C">
        <w:rPr>
          <w:rFonts w:ascii="Abadi" w:hAnsi="Abadi" w:cs="Arial"/>
          <w:sz w:val="21"/>
          <w:szCs w:val="21"/>
          <w:lang w:val="es-MX" w:eastAsia="es-MX"/>
        </w:rPr>
        <w:t xml:space="preserve">Se determinan improcedentes </w:t>
      </w:r>
      <w:r w:rsidRPr="0027514C">
        <w:rPr>
          <w:rFonts w:ascii="Abadi" w:hAnsi="Abadi" w:cs="Arial"/>
          <w:iCs/>
          <w:sz w:val="21"/>
          <w:szCs w:val="21"/>
          <w:lang w:val="es-MX" w:eastAsia="es-MX"/>
        </w:rPr>
        <w:t>las siguientes propuestas de puntos de acuerdo:</w:t>
      </w:r>
    </w:p>
    <w:p w14:paraId="4DABE962" w14:textId="77777777" w:rsidR="0027514C" w:rsidRPr="0027514C" w:rsidRDefault="0027514C" w:rsidP="0027514C">
      <w:pPr>
        <w:ind w:firstLine="708"/>
        <w:jc w:val="both"/>
        <w:rPr>
          <w:rFonts w:ascii="Abadi" w:hAnsi="Abadi" w:cs="Arial"/>
          <w:iCs/>
          <w:sz w:val="21"/>
          <w:szCs w:val="21"/>
          <w:lang w:val="es-MX" w:eastAsia="es-MX"/>
        </w:rPr>
      </w:pPr>
    </w:p>
    <w:p w14:paraId="572527C5" w14:textId="77777777" w:rsidR="0027514C" w:rsidRPr="0027514C" w:rsidRDefault="0027514C" w:rsidP="001A28E5">
      <w:pPr>
        <w:numPr>
          <w:ilvl w:val="0"/>
          <w:numId w:val="45"/>
        </w:numPr>
        <w:jc w:val="both"/>
        <w:rPr>
          <w:rFonts w:ascii="Abadi" w:hAnsi="Abadi" w:cs="Arial"/>
          <w:sz w:val="21"/>
          <w:szCs w:val="21"/>
          <w:lang w:eastAsia="es-MX"/>
        </w:rPr>
      </w:pPr>
      <w:r w:rsidRPr="0027514C">
        <w:rPr>
          <w:rFonts w:ascii="Abadi" w:hAnsi="Abadi" w:cs="Arial"/>
          <w:iCs/>
          <w:sz w:val="21"/>
          <w:szCs w:val="21"/>
          <w:lang w:val="es-MX" w:eastAsia="es-MX"/>
        </w:rPr>
        <w:t xml:space="preserve">Formulada </w:t>
      </w:r>
      <w:r w:rsidRPr="0027514C">
        <w:rPr>
          <w:rFonts w:ascii="Abadi" w:hAnsi="Abadi"/>
          <w:sz w:val="21"/>
          <w:szCs w:val="21"/>
          <w:lang w:val="es-ES_tradnl"/>
        </w:rPr>
        <w:t xml:space="preserve">por la diputada y el diputado integrantes del Grupo Parlamentario del Partido Verde Ecologista de México a efecto de </w:t>
      </w:r>
      <w:r w:rsidRPr="0027514C">
        <w:rPr>
          <w:rFonts w:ascii="Abadi" w:hAnsi="Abadi"/>
          <w:sz w:val="21"/>
          <w:szCs w:val="21"/>
          <w:lang w:val="es-ES_tradnl"/>
        </w:rPr>
        <w:lastRenderedPageBreak/>
        <w:t>ordenar a la Auditoría Superior del Estado de Guanajuato la práctica de una auditoría integral a la administración pública de León, Gto., por los meses de octubre, noviembre y diciembre del ejercicio fiscal del año 2018, por los ejercicios fiscales de los años 2019 y 2020, así como por el periodo comprendido de enero a octubre del ejercicio fiscal del año 2021, en la que se comprenda, la revisión legal, económica, financiera, administrativa y contable del ingreso y gasto público, abarcando todos los aspectos relativos a la situación financiera, presupuestal, patrimonial y programática de la administración municipal; así como a la deuda pública, la obra pública, el manejo de fondos y valores, la adquisición de bienes, la contratación de servicios y la administración de los recursos humanos</w:t>
      </w:r>
      <w:r w:rsidRPr="0027514C">
        <w:rPr>
          <w:rFonts w:ascii="Abadi" w:hAnsi="Abadi"/>
          <w:sz w:val="21"/>
          <w:szCs w:val="21"/>
          <w:lang w:val="es-ES_tradnl" w:eastAsia="es-MX"/>
        </w:rPr>
        <w:t>; y</w:t>
      </w:r>
    </w:p>
    <w:p w14:paraId="4773A23C" w14:textId="77777777" w:rsidR="0027514C" w:rsidRPr="0027514C" w:rsidRDefault="0027514C" w:rsidP="0027514C">
      <w:pPr>
        <w:ind w:left="1428"/>
        <w:jc w:val="both"/>
        <w:rPr>
          <w:rFonts w:ascii="Abadi" w:hAnsi="Abadi" w:cs="Arial"/>
          <w:sz w:val="21"/>
          <w:szCs w:val="21"/>
          <w:lang w:eastAsia="es-MX"/>
        </w:rPr>
      </w:pPr>
    </w:p>
    <w:p w14:paraId="3A23A054" w14:textId="77777777" w:rsidR="0027514C" w:rsidRPr="0027514C" w:rsidRDefault="0027514C" w:rsidP="001A28E5">
      <w:pPr>
        <w:numPr>
          <w:ilvl w:val="0"/>
          <w:numId w:val="45"/>
        </w:numPr>
        <w:jc w:val="both"/>
        <w:rPr>
          <w:rFonts w:ascii="Abadi" w:hAnsi="Abadi" w:cs="Arial"/>
          <w:sz w:val="21"/>
          <w:szCs w:val="21"/>
          <w:lang w:val="es-MX" w:eastAsia="es-MX"/>
        </w:rPr>
      </w:pPr>
      <w:r w:rsidRPr="0027514C">
        <w:rPr>
          <w:rFonts w:ascii="Abadi" w:hAnsi="Abadi"/>
          <w:sz w:val="21"/>
          <w:szCs w:val="21"/>
          <w:lang w:val="es-ES_tradnl" w:eastAsia="es-MX"/>
        </w:rPr>
        <w:t xml:space="preserve">Formulada </w:t>
      </w:r>
      <w:r w:rsidRPr="0027514C">
        <w:rPr>
          <w:rFonts w:ascii="Abadi" w:hAnsi="Abadi"/>
          <w:sz w:val="21"/>
          <w:szCs w:val="21"/>
          <w:lang w:val="es-ES_tradnl"/>
        </w:rPr>
        <w:t xml:space="preserve">por la diputada Alma Edwviges Alcaraz Hernández, integrante del Grupo Parlamentario del Partido MORENA </w:t>
      </w:r>
      <w:bookmarkStart w:id="22" w:name="_Hlk95732972"/>
      <w:r w:rsidRPr="0027514C">
        <w:rPr>
          <w:rFonts w:ascii="Abadi" w:hAnsi="Abadi"/>
          <w:sz w:val="21"/>
          <w:szCs w:val="21"/>
          <w:lang w:val="es-ES_tradnl"/>
        </w:rPr>
        <w:t>a efecto de exhortar al titular de la Auditoría Superior del Estado de Guanajuato, para que lleve a cabo a la brevedad posible una auditoría financiera integral al municipio de León, que incluya todas las partidas no revisadas en auditorías previas, la que deberá incluir al menos, la verificación del apego a la legalidad de la adjudicación y contratación de bienes y servicios que corresponda, así como el cumplimiento de las cláusulas contractuales de los mismos, por los ejercicios fiscales de 2019, 2020 y 2021</w:t>
      </w:r>
      <w:bookmarkEnd w:id="22"/>
      <w:r w:rsidRPr="0027514C">
        <w:rPr>
          <w:rFonts w:ascii="Abadi" w:hAnsi="Abadi" w:cs="Arial"/>
          <w:sz w:val="21"/>
          <w:szCs w:val="21"/>
          <w:lang w:val="es-MX" w:eastAsia="es-MX"/>
        </w:rPr>
        <w:t>.</w:t>
      </w:r>
    </w:p>
    <w:p w14:paraId="03CA89C4" w14:textId="77777777" w:rsidR="0027514C" w:rsidRPr="0027514C" w:rsidRDefault="0027514C" w:rsidP="0027514C">
      <w:pPr>
        <w:ind w:firstLine="708"/>
        <w:jc w:val="both"/>
        <w:rPr>
          <w:rFonts w:ascii="Abadi" w:hAnsi="Abadi" w:cs="Arial"/>
          <w:sz w:val="21"/>
          <w:szCs w:val="21"/>
          <w:lang w:val="es-MX" w:eastAsia="es-MX"/>
        </w:rPr>
      </w:pPr>
    </w:p>
    <w:p w14:paraId="0C13D01D" w14:textId="77777777" w:rsidR="0027514C" w:rsidRPr="0027514C" w:rsidRDefault="0027514C" w:rsidP="00454FBF">
      <w:pPr>
        <w:ind w:firstLine="708"/>
        <w:jc w:val="both"/>
        <w:rPr>
          <w:rFonts w:ascii="Abadi" w:hAnsi="Abadi" w:cs="Arial"/>
          <w:sz w:val="21"/>
          <w:szCs w:val="21"/>
          <w:lang w:val="es-MX" w:eastAsia="es-MX"/>
        </w:rPr>
      </w:pPr>
      <w:r w:rsidRPr="0027514C">
        <w:rPr>
          <w:rFonts w:ascii="Abadi" w:hAnsi="Abadi"/>
          <w:sz w:val="21"/>
          <w:szCs w:val="21"/>
          <w:lang w:val="es-ES_tradnl" w:eastAsia="es-MX"/>
        </w:rPr>
        <w:t>En consecuencia, se ordena su archivo definitivo.</w:t>
      </w:r>
    </w:p>
    <w:p w14:paraId="6F23ACF1" w14:textId="77777777" w:rsidR="0027514C" w:rsidRPr="0027514C" w:rsidRDefault="0027514C" w:rsidP="0027514C">
      <w:pPr>
        <w:ind w:firstLine="708"/>
        <w:jc w:val="both"/>
        <w:rPr>
          <w:rFonts w:ascii="Abadi" w:hAnsi="Abadi" w:cs="Arial"/>
          <w:sz w:val="21"/>
          <w:szCs w:val="21"/>
          <w:lang w:val="es-MX" w:eastAsia="es-MX"/>
        </w:rPr>
      </w:pPr>
    </w:p>
    <w:p w14:paraId="46AE9389" w14:textId="67D1114D" w:rsidR="0027514C" w:rsidRDefault="0027514C" w:rsidP="0027514C">
      <w:pPr>
        <w:ind w:firstLine="708"/>
        <w:jc w:val="both"/>
        <w:rPr>
          <w:rFonts w:ascii="Abadi" w:hAnsi="Abadi" w:cs="Arial"/>
          <w:sz w:val="21"/>
          <w:szCs w:val="21"/>
          <w:lang w:val="es-MX" w:eastAsia="es-MX"/>
        </w:rPr>
      </w:pPr>
      <w:r w:rsidRPr="0027514C">
        <w:rPr>
          <w:rFonts w:ascii="Abadi" w:hAnsi="Abadi" w:cs="Arial"/>
          <w:sz w:val="21"/>
          <w:szCs w:val="21"/>
          <w:lang w:val="es-MX" w:eastAsia="es-MX"/>
        </w:rPr>
        <w:t xml:space="preserve">Comuníquese el presente acuerdo al Secretario General del Congreso de Estado, para los efectos conducentes. </w:t>
      </w:r>
    </w:p>
    <w:p w14:paraId="5A91B24E" w14:textId="77777777" w:rsidR="0027514C" w:rsidRPr="0027514C" w:rsidRDefault="0027514C" w:rsidP="0027514C">
      <w:pPr>
        <w:ind w:firstLine="708"/>
        <w:jc w:val="both"/>
        <w:rPr>
          <w:rFonts w:ascii="Abadi" w:hAnsi="Abadi" w:cs="Arial"/>
          <w:sz w:val="21"/>
          <w:szCs w:val="21"/>
          <w:lang w:val="es-MX" w:eastAsia="es-MX"/>
        </w:rPr>
      </w:pPr>
    </w:p>
    <w:p w14:paraId="325EBD85" w14:textId="77777777" w:rsidR="0027514C" w:rsidRPr="0027514C" w:rsidRDefault="0027514C" w:rsidP="0027514C">
      <w:pPr>
        <w:jc w:val="center"/>
        <w:rPr>
          <w:rFonts w:ascii="Abadi" w:hAnsi="Abadi"/>
          <w:b/>
          <w:bCs/>
          <w:sz w:val="21"/>
          <w:szCs w:val="21"/>
          <w:lang w:val="es-MX" w:eastAsia="x-none"/>
        </w:rPr>
      </w:pPr>
    </w:p>
    <w:p w14:paraId="77996D7B" w14:textId="77777777" w:rsidR="0027514C" w:rsidRPr="0027514C" w:rsidRDefault="0027514C" w:rsidP="0027514C">
      <w:pPr>
        <w:jc w:val="center"/>
        <w:rPr>
          <w:rFonts w:ascii="Abadi" w:hAnsi="Abadi"/>
          <w:b/>
          <w:bCs/>
          <w:sz w:val="21"/>
          <w:szCs w:val="21"/>
          <w:lang w:val="es-MX" w:eastAsia="x-none"/>
        </w:rPr>
      </w:pPr>
      <w:r w:rsidRPr="0027514C">
        <w:rPr>
          <w:rFonts w:ascii="Abadi" w:hAnsi="Abadi"/>
          <w:b/>
          <w:bCs/>
          <w:sz w:val="21"/>
          <w:szCs w:val="21"/>
          <w:lang w:val="es-MX" w:eastAsia="x-none"/>
        </w:rPr>
        <w:t>Guanajuato, Gto., 16 de junio de 2022</w:t>
      </w:r>
    </w:p>
    <w:p w14:paraId="540A038A" w14:textId="77777777" w:rsidR="0027514C" w:rsidRPr="0027514C" w:rsidRDefault="0027514C" w:rsidP="0027514C">
      <w:pPr>
        <w:jc w:val="center"/>
        <w:rPr>
          <w:rFonts w:ascii="Abadi" w:hAnsi="Abadi"/>
          <w:b/>
          <w:bCs/>
          <w:sz w:val="21"/>
          <w:szCs w:val="21"/>
          <w:lang w:val="es-MX" w:eastAsia="x-none"/>
        </w:rPr>
      </w:pPr>
      <w:smartTag w:uri="urn:schemas-microsoft-com:office:smarttags" w:element="PersonName">
        <w:smartTagPr>
          <w:attr w:name="ProductID" w:val="La Comisi￳n"/>
        </w:smartTagPr>
        <w:r w:rsidRPr="0027514C">
          <w:rPr>
            <w:rFonts w:ascii="Abadi" w:hAnsi="Abadi"/>
            <w:b/>
            <w:bCs/>
            <w:sz w:val="21"/>
            <w:szCs w:val="21"/>
            <w:lang w:val="es-MX" w:eastAsia="x-none"/>
          </w:rPr>
          <w:t>La Comisión</w:t>
        </w:r>
      </w:smartTag>
      <w:r w:rsidRPr="0027514C">
        <w:rPr>
          <w:rFonts w:ascii="Abadi" w:hAnsi="Abadi"/>
          <w:b/>
          <w:bCs/>
          <w:sz w:val="21"/>
          <w:szCs w:val="21"/>
          <w:lang w:val="es-MX" w:eastAsia="x-none"/>
        </w:rPr>
        <w:t xml:space="preserve"> de Hacienda y Fiscalización</w:t>
      </w:r>
    </w:p>
    <w:p w14:paraId="1F36A8B7" w14:textId="77777777" w:rsidR="0027514C" w:rsidRPr="0027514C" w:rsidRDefault="0027514C" w:rsidP="0027514C">
      <w:pPr>
        <w:jc w:val="center"/>
        <w:rPr>
          <w:rFonts w:ascii="Abadi" w:hAnsi="Abadi"/>
          <w:sz w:val="21"/>
          <w:szCs w:val="21"/>
          <w:lang w:val="es-MX" w:eastAsia="es-MX"/>
        </w:rPr>
      </w:pPr>
    </w:p>
    <w:p w14:paraId="0EF33752" w14:textId="77777777" w:rsidR="0027514C" w:rsidRPr="0027514C" w:rsidRDefault="0027514C" w:rsidP="0027514C">
      <w:pPr>
        <w:jc w:val="center"/>
        <w:rPr>
          <w:rFonts w:ascii="Abadi" w:hAnsi="Abadi"/>
          <w:sz w:val="21"/>
          <w:szCs w:val="21"/>
          <w:lang w:val="es-MX" w:eastAsia="es-MX"/>
        </w:rPr>
      </w:pPr>
    </w:p>
    <w:p w14:paraId="7E6C98D2" w14:textId="46283648" w:rsidR="0027514C" w:rsidRPr="0027514C" w:rsidRDefault="0027514C" w:rsidP="0027514C">
      <w:pPr>
        <w:jc w:val="center"/>
        <w:rPr>
          <w:rFonts w:ascii="Abadi" w:hAnsi="Abadi"/>
          <w:sz w:val="21"/>
          <w:szCs w:val="21"/>
          <w:lang w:val="es-MX" w:eastAsia="es-MX"/>
        </w:rPr>
      </w:pPr>
      <w:r w:rsidRPr="0027514C">
        <w:rPr>
          <w:rFonts w:ascii="Abadi" w:hAnsi="Abadi"/>
          <w:b/>
          <w:sz w:val="21"/>
          <w:szCs w:val="21"/>
          <w:lang w:val="es-MX" w:eastAsia="x-none"/>
        </w:rPr>
        <w:t>Diputado Víctor Manuel Zanella Huerta</w:t>
      </w:r>
    </w:p>
    <w:p w14:paraId="69D7F76F" w14:textId="77777777" w:rsidR="0027514C" w:rsidRPr="0027514C" w:rsidRDefault="0027514C" w:rsidP="0027514C">
      <w:pPr>
        <w:jc w:val="center"/>
        <w:rPr>
          <w:rFonts w:ascii="Abadi" w:hAnsi="Abadi"/>
          <w:b/>
          <w:bCs/>
          <w:sz w:val="21"/>
          <w:szCs w:val="21"/>
          <w:lang w:val="es-MX" w:eastAsia="x-none"/>
        </w:rPr>
      </w:pPr>
    </w:p>
    <w:p w14:paraId="1D3C5284" w14:textId="6EFD9B07" w:rsidR="0027514C" w:rsidRPr="0027514C" w:rsidRDefault="0027514C" w:rsidP="0027514C">
      <w:pPr>
        <w:jc w:val="center"/>
        <w:rPr>
          <w:rFonts w:ascii="Abadi" w:hAnsi="Abadi"/>
          <w:b/>
          <w:sz w:val="21"/>
          <w:szCs w:val="21"/>
          <w:lang w:val="es-MX" w:eastAsia="x-none"/>
        </w:rPr>
      </w:pPr>
      <w:r w:rsidRPr="0027514C">
        <w:rPr>
          <w:rFonts w:ascii="Abadi" w:hAnsi="Abadi"/>
          <w:b/>
          <w:sz w:val="21"/>
          <w:szCs w:val="21"/>
          <w:lang w:val="es-MX" w:eastAsia="x-none"/>
        </w:rPr>
        <w:t>Diputada Ruth Noemí Tiscareño Agoitia</w:t>
      </w:r>
    </w:p>
    <w:p w14:paraId="2E3648BA" w14:textId="77777777" w:rsidR="0027514C" w:rsidRPr="0027514C" w:rsidRDefault="0027514C" w:rsidP="0027514C">
      <w:pPr>
        <w:jc w:val="center"/>
        <w:rPr>
          <w:rFonts w:ascii="Abadi" w:hAnsi="Abadi"/>
          <w:b/>
          <w:sz w:val="21"/>
          <w:szCs w:val="21"/>
          <w:lang w:val="es-MX" w:eastAsia="x-none"/>
        </w:rPr>
      </w:pPr>
    </w:p>
    <w:p w14:paraId="7390D8F1" w14:textId="123144D2" w:rsidR="0027514C" w:rsidRPr="0027514C" w:rsidRDefault="0027514C" w:rsidP="0027514C">
      <w:pPr>
        <w:jc w:val="center"/>
        <w:rPr>
          <w:rFonts w:ascii="Abadi" w:hAnsi="Abadi"/>
          <w:b/>
          <w:sz w:val="21"/>
          <w:szCs w:val="21"/>
          <w:lang w:val="es-MX" w:eastAsia="x-none"/>
        </w:rPr>
      </w:pPr>
      <w:r w:rsidRPr="0027514C">
        <w:rPr>
          <w:rFonts w:ascii="Abadi" w:hAnsi="Abadi"/>
          <w:b/>
          <w:sz w:val="21"/>
          <w:szCs w:val="21"/>
          <w:lang w:val="es-MX" w:eastAsia="x-none"/>
        </w:rPr>
        <w:t>Diputado Miguel Ángel Salim Alle</w:t>
      </w:r>
    </w:p>
    <w:p w14:paraId="16DF796F" w14:textId="77777777" w:rsidR="0027514C" w:rsidRPr="0027514C" w:rsidRDefault="0027514C" w:rsidP="0027514C">
      <w:pPr>
        <w:jc w:val="center"/>
        <w:rPr>
          <w:rFonts w:ascii="Abadi" w:hAnsi="Abadi"/>
          <w:b/>
          <w:sz w:val="21"/>
          <w:szCs w:val="21"/>
          <w:lang w:val="es-MX" w:eastAsia="x-none"/>
        </w:rPr>
      </w:pPr>
    </w:p>
    <w:p w14:paraId="16424FC0" w14:textId="0729E7B6" w:rsidR="0027514C" w:rsidRPr="0027514C" w:rsidRDefault="0027514C" w:rsidP="0027514C">
      <w:pPr>
        <w:jc w:val="center"/>
        <w:rPr>
          <w:rFonts w:ascii="Abadi" w:hAnsi="Abadi"/>
          <w:b/>
          <w:sz w:val="21"/>
          <w:szCs w:val="21"/>
          <w:lang w:val="es-MX" w:eastAsia="x-none"/>
        </w:rPr>
      </w:pPr>
      <w:r w:rsidRPr="0027514C">
        <w:rPr>
          <w:rFonts w:ascii="Abadi" w:hAnsi="Abadi"/>
          <w:b/>
          <w:sz w:val="21"/>
          <w:szCs w:val="21"/>
          <w:lang w:val="es-MX" w:eastAsia="x-none"/>
        </w:rPr>
        <w:t>Diputado José Alfonso Borja Pimentel</w:t>
      </w:r>
    </w:p>
    <w:p w14:paraId="08FA239D" w14:textId="77777777" w:rsidR="0027514C" w:rsidRPr="0027514C" w:rsidRDefault="0027514C" w:rsidP="0027514C">
      <w:pPr>
        <w:jc w:val="center"/>
        <w:rPr>
          <w:rFonts w:ascii="Abadi" w:hAnsi="Abadi"/>
          <w:b/>
          <w:sz w:val="21"/>
          <w:szCs w:val="21"/>
          <w:lang w:val="es-MX" w:eastAsia="x-none"/>
        </w:rPr>
      </w:pPr>
    </w:p>
    <w:p w14:paraId="7F34ED9C" w14:textId="77777777" w:rsidR="0027514C" w:rsidRPr="0027514C" w:rsidRDefault="0027514C" w:rsidP="0027514C">
      <w:pPr>
        <w:jc w:val="center"/>
        <w:rPr>
          <w:rFonts w:ascii="Abadi" w:hAnsi="Abadi"/>
          <w:b/>
          <w:sz w:val="21"/>
          <w:szCs w:val="21"/>
          <w:lang w:val="es-MX" w:eastAsia="x-none"/>
        </w:rPr>
      </w:pPr>
    </w:p>
    <w:p w14:paraId="2C8C86FD" w14:textId="77777777" w:rsidR="0027514C" w:rsidRPr="0027514C" w:rsidRDefault="0027514C" w:rsidP="0027514C">
      <w:pPr>
        <w:ind w:firstLine="708"/>
        <w:jc w:val="center"/>
        <w:rPr>
          <w:rFonts w:ascii="Abadi" w:hAnsi="Abadi" w:cs="Arial"/>
          <w:b/>
          <w:bCs/>
          <w:sz w:val="21"/>
          <w:szCs w:val="21"/>
          <w:lang w:val="es-MX" w:eastAsia="x-none"/>
        </w:rPr>
      </w:pPr>
      <w:r w:rsidRPr="0027514C">
        <w:rPr>
          <w:rFonts w:ascii="Abadi" w:hAnsi="Abadi"/>
          <w:b/>
          <w:sz w:val="21"/>
          <w:szCs w:val="21"/>
          <w:lang w:val="es-MX" w:eastAsia="x-none"/>
        </w:rPr>
        <w:t>Diputada Alma Edwviges Alcaraz Hernández</w:t>
      </w:r>
    </w:p>
    <w:p w14:paraId="43EE6C92" w14:textId="77777777" w:rsidR="0027514C" w:rsidRPr="0027514C" w:rsidRDefault="0027514C" w:rsidP="00FE399C">
      <w:pPr>
        <w:tabs>
          <w:tab w:val="left" w:pos="856"/>
        </w:tabs>
        <w:kinsoku w:val="0"/>
        <w:overflowPunct w:val="0"/>
        <w:autoSpaceDE w:val="0"/>
        <w:autoSpaceDN w:val="0"/>
        <w:adjustRightInd w:val="0"/>
        <w:ind w:right="17"/>
        <w:jc w:val="both"/>
        <w:rPr>
          <w:rFonts w:ascii="Abadi" w:hAnsi="Abadi"/>
          <w:sz w:val="20"/>
          <w:szCs w:val="20"/>
        </w:rPr>
      </w:pPr>
    </w:p>
    <w:p w14:paraId="455973BB" w14:textId="27F83622" w:rsidR="00A74DC3" w:rsidRDefault="00A74DC3" w:rsidP="005433FA">
      <w:pPr>
        <w:pStyle w:val="Prrafodelista"/>
        <w:numPr>
          <w:ilvl w:val="0"/>
          <w:numId w:val="9"/>
        </w:numPr>
        <w:tabs>
          <w:tab w:val="left" w:pos="856"/>
        </w:tabs>
        <w:kinsoku w:val="0"/>
        <w:overflowPunct w:val="0"/>
        <w:autoSpaceDE w:val="0"/>
        <w:autoSpaceDN w:val="0"/>
        <w:adjustRightInd w:val="0"/>
        <w:spacing w:before="22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50"/>
          <w:w w:val="150"/>
          <w:sz w:val="20"/>
          <w:szCs w:val="20"/>
        </w:rPr>
        <w:t xml:space="preserve"> </w:t>
      </w:r>
      <w:r w:rsidRPr="00531B12">
        <w:rPr>
          <w:rFonts w:ascii="Abadi" w:hAnsi="Abadi"/>
          <w:b/>
          <w:bCs/>
          <w:sz w:val="20"/>
          <w:szCs w:val="20"/>
        </w:rPr>
        <w:t>Y,</w:t>
      </w:r>
      <w:r w:rsidRPr="00531B12">
        <w:rPr>
          <w:rFonts w:ascii="Abadi" w:hAnsi="Abadi"/>
          <w:b/>
          <w:bCs/>
          <w:spacing w:val="50"/>
          <w:w w:val="150"/>
          <w:sz w:val="20"/>
          <w:szCs w:val="20"/>
        </w:rPr>
        <w:t xml:space="preserve"> </w:t>
      </w:r>
      <w:r w:rsidRPr="00531B12">
        <w:rPr>
          <w:rFonts w:ascii="Abadi" w:hAnsi="Abadi"/>
          <w:b/>
          <w:bCs/>
          <w:sz w:val="20"/>
          <w:szCs w:val="20"/>
        </w:rPr>
        <w:t>EN</w:t>
      </w:r>
      <w:r w:rsidRPr="00531B12">
        <w:rPr>
          <w:rFonts w:ascii="Abadi" w:hAnsi="Abadi"/>
          <w:b/>
          <w:bCs/>
          <w:spacing w:val="50"/>
          <w:w w:val="150"/>
          <w:sz w:val="20"/>
          <w:szCs w:val="20"/>
        </w:rPr>
        <w:t xml:space="preserve"> </w:t>
      </w:r>
      <w:r w:rsidRPr="00531B12">
        <w:rPr>
          <w:rFonts w:ascii="Abadi" w:hAnsi="Abadi"/>
          <w:b/>
          <w:bCs/>
          <w:sz w:val="20"/>
          <w:szCs w:val="20"/>
        </w:rPr>
        <w:t>SU</w:t>
      </w:r>
      <w:r w:rsidRPr="00531B12">
        <w:rPr>
          <w:rFonts w:ascii="Abadi" w:hAnsi="Abadi"/>
          <w:b/>
          <w:bCs/>
          <w:spacing w:val="50"/>
          <w:w w:val="150"/>
          <w:sz w:val="20"/>
          <w:szCs w:val="20"/>
        </w:rPr>
        <w:t xml:space="preserve"> </w:t>
      </w:r>
      <w:r w:rsidRPr="00531B12">
        <w:rPr>
          <w:rFonts w:ascii="Abadi" w:hAnsi="Abadi"/>
          <w:b/>
          <w:bCs/>
          <w:sz w:val="20"/>
          <w:szCs w:val="20"/>
        </w:rPr>
        <w:t>CASO,</w:t>
      </w:r>
      <w:r w:rsidRPr="00531B12">
        <w:rPr>
          <w:rFonts w:ascii="Abadi" w:hAnsi="Abadi"/>
          <w:b/>
          <w:bCs/>
          <w:spacing w:val="50"/>
          <w:w w:val="150"/>
          <w:sz w:val="20"/>
          <w:szCs w:val="20"/>
        </w:rPr>
        <w:t xml:space="preserve"> </w:t>
      </w:r>
      <w:r w:rsidRPr="00531B12">
        <w:rPr>
          <w:rFonts w:ascii="Abadi" w:hAnsi="Abadi"/>
          <w:b/>
          <w:bCs/>
          <w:sz w:val="20"/>
          <w:szCs w:val="20"/>
        </w:rPr>
        <w:t>APROBACIÓN</w:t>
      </w:r>
      <w:r w:rsidRPr="00531B12">
        <w:rPr>
          <w:rFonts w:ascii="Abadi" w:hAnsi="Abadi"/>
          <w:b/>
          <w:bCs/>
          <w:spacing w:val="50"/>
          <w:w w:val="150"/>
          <w:sz w:val="20"/>
          <w:szCs w:val="20"/>
        </w:rPr>
        <w:t xml:space="preserve"> </w:t>
      </w:r>
      <w:r w:rsidRPr="00531B12">
        <w:rPr>
          <w:rFonts w:ascii="Abadi" w:hAnsi="Abadi"/>
          <w:b/>
          <w:bCs/>
          <w:sz w:val="20"/>
          <w:szCs w:val="20"/>
        </w:rPr>
        <w:t>DEL</w:t>
      </w:r>
      <w:r w:rsidRPr="00531B12">
        <w:rPr>
          <w:rFonts w:ascii="Abadi" w:hAnsi="Abadi"/>
          <w:b/>
          <w:bCs/>
          <w:spacing w:val="50"/>
          <w:w w:val="150"/>
          <w:sz w:val="20"/>
          <w:szCs w:val="20"/>
        </w:rPr>
        <w:t xml:space="preserve"> </w:t>
      </w:r>
      <w:r w:rsidRPr="00531B12">
        <w:rPr>
          <w:rFonts w:ascii="Abadi" w:hAnsi="Abadi"/>
          <w:b/>
          <w:bCs/>
          <w:sz w:val="20"/>
          <w:szCs w:val="20"/>
        </w:rPr>
        <w:t>DICTAMEN</w:t>
      </w:r>
      <w:r w:rsidRPr="00531B12">
        <w:rPr>
          <w:rFonts w:ascii="Abadi" w:hAnsi="Abadi"/>
          <w:b/>
          <w:bCs/>
          <w:spacing w:val="50"/>
          <w:w w:val="150"/>
          <w:sz w:val="20"/>
          <w:szCs w:val="20"/>
        </w:rPr>
        <w:t xml:space="preserve"> </w:t>
      </w:r>
      <w:r w:rsidRPr="00531B12">
        <w:rPr>
          <w:rFonts w:ascii="Abadi" w:hAnsi="Abadi"/>
          <w:b/>
          <w:bCs/>
          <w:sz w:val="20"/>
          <w:szCs w:val="20"/>
        </w:rPr>
        <w:t>PRESENTADO</w:t>
      </w:r>
      <w:r w:rsidRPr="00531B12">
        <w:rPr>
          <w:rFonts w:ascii="Abadi" w:hAnsi="Abadi"/>
          <w:b/>
          <w:bCs/>
          <w:spacing w:val="50"/>
          <w:w w:val="150"/>
          <w:sz w:val="20"/>
          <w:szCs w:val="20"/>
        </w:rPr>
        <w:t xml:space="preserve"> </w:t>
      </w:r>
      <w:r w:rsidRPr="00531B12">
        <w:rPr>
          <w:rFonts w:ascii="Abadi" w:hAnsi="Abadi"/>
          <w:b/>
          <w:bCs/>
          <w:sz w:val="20"/>
          <w:szCs w:val="20"/>
        </w:rPr>
        <w:t>POR</w:t>
      </w:r>
      <w:r w:rsidRPr="00531B12">
        <w:rPr>
          <w:rFonts w:ascii="Abadi" w:hAnsi="Abadi"/>
          <w:b/>
          <w:bCs/>
          <w:spacing w:val="50"/>
          <w:w w:val="150"/>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COMISIÓN</w:t>
      </w:r>
      <w:r w:rsidRPr="00531B12">
        <w:rPr>
          <w:rFonts w:ascii="Abadi" w:hAnsi="Abadi"/>
          <w:b/>
          <w:bCs/>
          <w:spacing w:val="20"/>
          <w:sz w:val="20"/>
          <w:szCs w:val="20"/>
        </w:rPr>
        <w:t xml:space="preserve"> </w:t>
      </w:r>
      <w:r w:rsidRPr="00531B12">
        <w:rPr>
          <w:rFonts w:ascii="Abadi" w:hAnsi="Abadi"/>
          <w:b/>
          <w:bCs/>
          <w:sz w:val="20"/>
          <w:szCs w:val="20"/>
        </w:rPr>
        <w:t>DE</w:t>
      </w:r>
      <w:r w:rsidRPr="00531B12">
        <w:rPr>
          <w:rFonts w:ascii="Abadi" w:hAnsi="Abadi"/>
          <w:b/>
          <w:bCs/>
          <w:spacing w:val="20"/>
          <w:sz w:val="20"/>
          <w:szCs w:val="20"/>
        </w:rPr>
        <w:t xml:space="preserve"> </w:t>
      </w:r>
      <w:r w:rsidRPr="00531B12">
        <w:rPr>
          <w:rFonts w:ascii="Abadi" w:hAnsi="Abadi"/>
          <w:b/>
          <w:bCs/>
          <w:sz w:val="20"/>
          <w:szCs w:val="20"/>
        </w:rPr>
        <w:t>HACIENDA</w:t>
      </w:r>
      <w:r w:rsidRPr="00531B12">
        <w:rPr>
          <w:rFonts w:ascii="Abadi" w:hAnsi="Abadi"/>
          <w:b/>
          <w:bCs/>
          <w:spacing w:val="20"/>
          <w:sz w:val="20"/>
          <w:szCs w:val="20"/>
        </w:rPr>
        <w:t xml:space="preserve"> </w:t>
      </w:r>
      <w:r w:rsidRPr="00531B12">
        <w:rPr>
          <w:rFonts w:ascii="Abadi" w:hAnsi="Abadi"/>
          <w:b/>
          <w:bCs/>
          <w:sz w:val="20"/>
          <w:szCs w:val="20"/>
        </w:rPr>
        <w:t>Y</w:t>
      </w:r>
      <w:r w:rsidRPr="00531B12">
        <w:rPr>
          <w:rFonts w:ascii="Abadi" w:hAnsi="Abadi"/>
          <w:b/>
          <w:bCs/>
          <w:spacing w:val="21"/>
          <w:sz w:val="20"/>
          <w:szCs w:val="20"/>
        </w:rPr>
        <w:t xml:space="preserve"> </w:t>
      </w:r>
      <w:r w:rsidRPr="00531B12">
        <w:rPr>
          <w:rFonts w:ascii="Abadi" w:hAnsi="Abadi"/>
          <w:b/>
          <w:bCs/>
          <w:sz w:val="20"/>
          <w:szCs w:val="20"/>
        </w:rPr>
        <w:t>FISCALIZACIÓN</w:t>
      </w:r>
      <w:r w:rsidRPr="00531B12">
        <w:rPr>
          <w:rFonts w:ascii="Abadi" w:hAnsi="Abadi"/>
          <w:b/>
          <w:bCs/>
          <w:spacing w:val="20"/>
          <w:sz w:val="20"/>
          <w:szCs w:val="20"/>
        </w:rPr>
        <w:t xml:space="preserve"> </w:t>
      </w:r>
      <w:r w:rsidRPr="00531B12">
        <w:rPr>
          <w:rFonts w:ascii="Abadi" w:hAnsi="Abadi"/>
          <w:b/>
          <w:bCs/>
          <w:sz w:val="20"/>
          <w:szCs w:val="20"/>
        </w:rPr>
        <w:t>RELATIVO</w:t>
      </w:r>
      <w:r w:rsidRPr="00531B12">
        <w:rPr>
          <w:rFonts w:ascii="Abadi" w:hAnsi="Abadi"/>
          <w:b/>
          <w:bCs/>
          <w:spacing w:val="20"/>
          <w:sz w:val="20"/>
          <w:szCs w:val="20"/>
        </w:rPr>
        <w:t xml:space="preserve"> </w:t>
      </w:r>
      <w:r w:rsidRPr="00531B12">
        <w:rPr>
          <w:rFonts w:ascii="Abadi" w:hAnsi="Abadi"/>
          <w:b/>
          <w:bCs/>
          <w:sz w:val="20"/>
          <w:szCs w:val="20"/>
        </w:rPr>
        <w:t>A</w:t>
      </w:r>
      <w:r w:rsidRPr="00531B12">
        <w:rPr>
          <w:rFonts w:ascii="Abadi" w:hAnsi="Abadi"/>
          <w:b/>
          <w:bCs/>
          <w:spacing w:val="20"/>
          <w:sz w:val="20"/>
          <w:szCs w:val="20"/>
        </w:rPr>
        <w:t xml:space="preserve"> </w:t>
      </w:r>
      <w:r w:rsidRPr="00531B12">
        <w:rPr>
          <w:rFonts w:ascii="Abadi" w:hAnsi="Abadi"/>
          <w:b/>
          <w:bCs/>
          <w:sz w:val="20"/>
          <w:szCs w:val="20"/>
        </w:rPr>
        <w:t>LA</w:t>
      </w:r>
      <w:r w:rsidRPr="00531B12">
        <w:rPr>
          <w:rFonts w:ascii="Abadi" w:hAnsi="Abadi"/>
          <w:b/>
          <w:bCs/>
          <w:spacing w:val="20"/>
          <w:sz w:val="20"/>
          <w:szCs w:val="20"/>
        </w:rPr>
        <w:t xml:space="preserve"> </w:t>
      </w:r>
      <w:r w:rsidRPr="00531B12">
        <w:rPr>
          <w:rFonts w:ascii="Abadi" w:hAnsi="Abadi"/>
          <w:b/>
          <w:bCs/>
          <w:sz w:val="20"/>
          <w:szCs w:val="20"/>
        </w:rPr>
        <w:t>PROPUESTA</w:t>
      </w:r>
      <w:r w:rsidRPr="00531B12">
        <w:rPr>
          <w:rFonts w:ascii="Abadi" w:hAnsi="Abadi"/>
          <w:b/>
          <w:bCs/>
          <w:spacing w:val="20"/>
          <w:sz w:val="20"/>
          <w:szCs w:val="20"/>
        </w:rPr>
        <w:t xml:space="preserve"> </w:t>
      </w:r>
      <w:r w:rsidRPr="00531B12">
        <w:rPr>
          <w:rFonts w:ascii="Abadi" w:hAnsi="Abadi"/>
          <w:b/>
          <w:bCs/>
          <w:sz w:val="20"/>
          <w:szCs w:val="20"/>
        </w:rPr>
        <w:t>DE</w:t>
      </w:r>
      <w:r w:rsidRPr="00531B12">
        <w:rPr>
          <w:rFonts w:ascii="Abadi" w:hAnsi="Abadi"/>
          <w:b/>
          <w:bCs/>
          <w:spacing w:val="20"/>
          <w:sz w:val="20"/>
          <w:szCs w:val="20"/>
        </w:rPr>
        <w:t xml:space="preserve"> </w:t>
      </w:r>
      <w:r w:rsidRPr="00531B12">
        <w:rPr>
          <w:rFonts w:ascii="Abadi" w:hAnsi="Abadi"/>
          <w:b/>
          <w:bCs/>
          <w:sz w:val="20"/>
          <w:szCs w:val="20"/>
        </w:rPr>
        <w:t>PUNTO</w:t>
      </w:r>
      <w:r w:rsidRPr="00531B12">
        <w:rPr>
          <w:rFonts w:ascii="Abadi" w:hAnsi="Abadi"/>
          <w:b/>
          <w:bCs/>
          <w:spacing w:val="20"/>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ACUERDO</w:t>
      </w:r>
      <w:r w:rsidRPr="00531B12">
        <w:rPr>
          <w:rFonts w:ascii="Abadi" w:hAnsi="Abadi"/>
          <w:b/>
          <w:bCs/>
          <w:spacing w:val="64"/>
          <w:sz w:val="20"/>
          <w:szCs w:val="20"/>
        </w:rPr>
        <w:t xml:space="preserve"> </w:t>
      </w:r>
      <w:r w:rsidRPr="00531B12">
        <w:rPr>
          <w:rFonts w:ascii="Abadi" w:hAnsi="Abadi"/>
          <w:b/>
          <w:bCs/>
          <w:sz w:val="20"/>
          <w:szCs w:val="20"/>
        </w:rPr>
        <w:t>FORMULADA</w:t>
      </w:r>
      <w:r w:rsidRPr="00531B12">
        <w:rPr>
          <w:rFonts w:ascii="Abadi" w:hAnsi="Abadi"/>
          <w:b/>
          <w:bCs/>
          <w:spacing w:val="64"/>
          <w:sz w:val="20"/>
          <w:szCs w:val="20"/>
        </w:rPr>
        <w:t xml:space="preserve"> </w:t>
      </w:r>
      <w:r w:rsidRPr="00531B12">
        <w:rPr>
          <w:rFonts w:ascii="Abadi" w:hAnsi="Abadi"/>
          <w:b/>
          <w:bCs/>
          <w:sz w:val="20"/>
          <w:szCs w:val="20"/>
        </w:rPr>
        <w:t>POR</w:t>
      </w:r>
      <w:r w:rsidRPr="00531B12">
        <w:rPr>
          <w:rFonts w:ascii="Abadi" w:hAnsi="Abadi"/>
          <w:b/>
          <w:bCs/>
          <w:spacing w:val="64"/>
          <w:sz w:val="20"/>
          <w:szCs w:val="20"/>
        </w:rPr>
        <w:t xml:space="preserve"> </w:t>
      </w:r>
      <w:r w:rsidRPr="00531B12">
        <w:rPr>
          <w:rFonts w:ascii="Abadi" w:hAnsi="Abadi"/>
          <w:b/>
          <w:bCs/>
          <w:sz w:val="20"/>
          <w:szCs w:val="20"/>
        </w:rPr>
        <w:t>LA</w:t>
      </w:r>
      <w:r w:rsidRPr="00531B12">
        <w:rPr>
          <w:rFonts w:ascii="Abadi" w:hAnsi="Abadi"/>
          <w:b/>
          <w:bCs/>
          <w:spacing w:val="64"/>
          <w:sz w:val="20"/>
          <w:szCs w:val="20"/>
        </w:rPr>
        <w:t xml:space="preserve"> </w:t>
      </w:r>
      <w:r w:rsidRPr="00531B12">
        <w:rPr>
          <w:rFonts w:ascii="Abadi" w:hAnsi="Abadi"/>
          <w:b/>
          <w:bCs/>
          <w:sz w:val="20"/>
          <w:szCs w:val="20"/>
        </w:rPr>
        <w:t>DIPUTADA</w:t>
      </w:r>
      <w:r w:rsidRPr="00531B12">
        <w:rPr>
          <w:rFonts w:ascii="Abadi" w:hAnsi="Abadi"/>
          <w:b/>
          <w:bCs/>
          <w:spacing w:val="64"/>
          <w:sz w:val="20"/>
          <w:szCs w:val="20"/>
        </w:rPr>
        <w:t xml:space="preserve"> </w:t>
      </w:r>
      <w:r w:rsidRPr="00531B12">
        <w:rPr>
          <w:rFonts w:ascii="Abadi" w:hAnsi="Abadi"/>
          <w:b/>
          <w:bCs/>
          <w:sz w:val="20"/>
          <w:szCs w:val="20"/>
        </w:rPr>
        <w:t>ALMA</w:t>
      </w:r>
      <w:r w:rsidRPr="00531B12">
        <w:rPr>
          <w:rFonts w:ascii="Abadi" w:hAnsi="Abadi"/>
          <w:b/>
          <w:bCs/>
          <w:spacing w:val="64"/>
          <w:sz w:val="20"/>
          <w:szCs w:val="20"/>
        </w:rPr>
        <w:t xml:space="preserve"> </w:t>
      </w:r>
      <w:r w:rsidRPr="00531B12">
        <w:rPr>
          <w:rFonts w:ascii="Abadi" w:hAnsi="Abadi"/>
          <w:b/>
          <w:bCs/>
          <w:sz w:val="20"/>
          <w:szCs w:val="20"/>
        </w:rPr>
        <w:t>EDWVIGES</w:t>
      </w:r>
      <w:r w:rsidRPr="00531B12">
        <w:rPr>
          <w:rFonts w:ascii="Abadi" w:hAnsi="Abadi"/>
          <w:b/>
          <w:bCs/>
          <w:spacing w:val="64"/>
          <w:sz w:val="20"/>
          <w:szCs w:val="20"/>
        </w:rPr>
        <w:t xml:space="preserve"> </w:t>
      </w:r>
      <w:r w:rsidRPr="00531B12">
        <w:rPr>
          <w:rFonts w:ascii="Abadi" w:hAnsi="Abadi"/>
          <w:b/>
          <w:bCs/>
          <w:sz w:val="20"/>
          <w:szCs w:val="20"/>
        </w:rPr>
        <w:t>ALCARAZ</w:t>
      </w:r>
      <w:r w:rsidRPr="00531B12">
        <w:rPr>
          <w:rFonts w:ascii="Abadi" w:hAnsi="Abadi"/>
          <w:b/>
          <w:bCs/>
          <w:spacing w:val="64"/>
          <w:sz w:val="20"/>
          <w:szCs w:val="20"/>
        </w:rPr>
        <w:t xml:space="preserve"> </w:t>
      </w:r>
      <w:r w:rsidRPr="00531B12">
        <w:rPr>
          <w:rFonts w:ascii="Abadi" w:hAnsi="Abadi"/>
          <w:b/>
          <w:bCs/>
          <w:sz w:val="20"/>
          <w:szCs w:val="20"/>
        </w:rPr>
        <w:t>HERNÁNDEZ,</w:t>
      </w:r>
      <w:r w:rsidRPr="00531B12">
        <w:rPr>
          <w:rFonts w:ascii="Abadi" w:hAnsi="Abadi"/>
          <w:b/>
          <w:bCs/>
          <w:spacing w:val="-1"/>
          <w:sz w:val="20"/>
          <w:szCs w:val="20"/>
        </w:rPr>
        <w:t xml:space="preserve"> </w:t>
      </w:r>
      <w:r w:rsidRPr="00531B12">
        <w:rPr>
          <w:rFonts w:ascii="Abadi" w:hAnsi="Abadi"/>
          <w:b/>
          <w:bCs/>
          <w:sz w:val="20"/>
          <w:szCs w:val="20"/>
        </w:rPr>
        <w:t>INTEGRANTE</w:t>
      </w:r>
      <w:r w:rsidRPr="00531B12">
        <w:rPr>
          <w:rFonts w:ascii="Abadi" w:hAnsi="Abadi"/>
          <w:b/>
          <w:bCs/>
          <w:spacing w:val="73"/>
          <w:sz w:val="20"/>
          <w:szCs w:val="20"/>
        </w:rPr>
        <w:t xml:space="preserve"> </w:t>
      </w:r>
      <w:r w:rsidRPr="00531B12">
        <w:rPr>
          <w:rFonts w:ascii="Abadi" w:hAnsi="Abadi"/>
          <w:b/>
          <w:bCs/>
          <w:sz w:val="20"/>
          <w:szCs w:val="20"/>
        </w:rPr>
        <w:t>DEL</w:t>
      </w:r>
      <w:r w:rsidRPr="00531B12">
        <w:rPr>
          <w:rFonts w:ascii="Abadi" w:hAnsi="Abadi"/>
          <w:b/>
          <w:bCs/>
          <w:spacing w:val="73"/>
          <w:sz w:val="20"/>
          <w:szCs w:val="20"/>
        </w:rPr>
        <w:t xml:space="preserve"> </w:t>
      </w:r>
      <w:r w:rsidRPr="00531B12">
        <w:rPr>
          <w:rFonts w:ascii="Abadi" w:hAnsi="Abadi"/>
          <w:b/>
          <w:bCs/>
          <w:sz w:val="20"/>
          <w:szCs w:val="20"/>
        </w:rPr>
        <w:t>GRUPO</w:t>
      </w:r>
      <w:r w:rsidRPr="00531B12">
        <w:rPr>
          <w:rFonts w:ascii="Abadi" w:hAnsi="Abadi"/>
          <w:b/>
          <w:bCs/>
          <w:spacing w:val="73"/>
          <w:sz w:val="20"/>
          <w:szCs w:val="20"/>
        </w:rPr>
        <w:t xml:space="preserve"> </w:t>
      </w:r>
      <w:r w:rsidRPr="00531B12">
        <w:rPr>
          <w:rFonts w:ascii="Abadi" w:hAnsi="Abadi"/>
          <w:b/>
          <w:bCs/>
          <w:sz w:val="20"/>
          <w:szCs w:val="20"/>
        </w:rPr>
        <w:t>PARLAMENTARIO</w:t>
      </w:r>
      <w:r w:rsidRPr="00531B12">
        <w:rPr>
          <w:rFonts w:ascii="Abadi" w:hAnsi="Abadi"/>
          <w:b/>
          <w:bCs/>
          <w:spacing w:val="73"/>
          <w:sz w:val="20"/>
          <w:szCs w:val="20"/>
        </w:rPr>
        <w:t xml:space="preserve"> </w:t>
      </w:r>
      <w:r w:rsidRPr="00531B12">
        <w:rPr>
          <w:rFonts w:ascii="Abadi" w:hAnsi="Abadi"/>
          <w:b/>
          <w:bCs/>
          <w:sz w:val="20"/>
          <w:szCs w:val="20"/>
        </w:rPr>
        <w:t>DEL</w:t>
      </w:r>
      <w:r w:rsidRPr="00531B12">
        <w:rPr>
          <w:rFonts w:ascii="Abadi" w:hAnsi="Abadi"/>
          <w:b/>
          <w:bCs/>
          <w:spacing w:val="73"/>
          <w:sz w:val="20"/>
          <w:szCs w:val="20"/>
        </w:rPr>
        <w:t xml:space="preserve"> </w:t>
      </w:r>
      <w:r w:rsidRPr="00531B12">
        <w:rPr>
          <w:rFonts w:ascii="Abadi" w:hAnsi="Abadi"/>
          <w:b/>
          <w:bCs/>
          <w:sz w:val="20"/>
          <w:szCs w:val="20"/>
        </w:rPr>
        <w:t>PARTIDO</w:t>
      </w:r>
      <w:r w:rsidRPr="00531B12">
        <w:rPr>
          <w:rFonts w:ascii="Abadi" w:hAnsi="Abadi"/>
          <w:b/>
          <w:bCs/>
          <w:spacing w:val="73"/>
          <w:sz w:val="20"/>
          <w:szCs w:val="20"/>
        </w:rPr>
        <w:t xml:space="preserve"> </w:t>
      </w:r>
      <w:r w:rsidRPr="00531B12">
        <w:rPr>
          <w:rFonts w:ascii="Abadi" w:hAnsi="Abadi"/>
          <w:b/>
          <w:bCs/>
          <w:sz w:val="20"/>
          <w:szCs w:val="20"/>
        </w:rPr>
        <w:t>MORENA,</w:t>
      </w:r>
      <w:r w:rsidRPr="00531B12">
        <w:rPr>
          <w:rFonts w:ascii="Abadi" w:hAnsi="Abadi"/>
          <w:b/>
          <w:bCs/>
          <w:spacing w:val="73"/>
          <w:sz w:val="20"/>
          <w:szCs w:val="20"/>
        </w:rPr>
        <w:t xml:space="preserve"> </w:t>
      </w:r>
      <w:r w:rsidRPr="00531B12">
        <w:rPr>
          <w:rFonts w:ascii="Abadi" w:hAnsi="Abadi"/>
          <w:b/>
          <w:bCs/>
          <w:sz w:val="20"/>
          <w:szCs w:val="20"/>
        </w:rPr>
        <w:t>A</w:t>
      </w:r>
      <w:r w:rsidRPr="00531B12">
        <w:rPr>
          <w:rFonts w:ascii="Abadi" w:hAnsi="Abadi"/>
          <w:b/>
          <w:bCs/>
          <w:spacing w:val="73"/>
          <w:sz w:val="20"/>
          <w:szCs w:val="20"/>
        </w:rPr>
        <w:t xml:space="preserve"> </w:t>
      </w:r>
      <w:r w:rsidRPr="00531B12">
        <w:rPr>
          <w:rFonts w:ascii="Abadi" w:hAnsi="Abadi"/>
          <w:b/>
          <w:bCs/>
          <w:sz w:val="20"/>
          <w:szCs w:val="20"/>
        </w:rPr>
        <w:t>EFECTO</w:t>
      </w:r>
      <w:r w:rsidRPr="00531B12">
        <w:rPr>
          <w:rFonts w:ascii="Abadi" w:hAnsi="Abadi"/>
          <w:b/>
          <w:bCs/>
          <w:spacing w:val="73"/>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EXHORTAR</w:t>
      </w:r>
      <w:r w:rsidRPr="00531B12">
        <w:rPr>
          <w:rFonts w:ascii="Abadi" w:hAnsi="Abadi"/>
          <w:b/>
          <w:bCs/>
          <w:spacing w:val="18"/>
          <w:sz w:val="20"/>
          <w:szCs w:val="20"/>
        </w:rPr>
        <w:t xml:space="preserve"> </w:t>
      </w:r>
      <w:r w:rsidRPr="00531B12">
        <w:rPr>
          <w:rFonts w:ascii="Abadi" w:hAnsi="Abadi"/>
          <w:b/>
          <w:bCs/>
          <w:sz w:val="20"/>
          <w:szCs w:val="20"/>
        </w:rPr>
        <w:t>AL</w:t>
      </w:r>
      <w:r w:rsidRPr="00531B12">
        <w:rPr>
          <w:rFonts w:ascii="Abadi" w:hAnsi="Abadi"/>
          <w:b/>
          <w:bCs/>
          <w:spacing w:val="18"/>
          <w:sz w:val="20"/>
          <w:szCs w:val="20"/>
        </w:rPr>
        <w:t xml:space="preserve"> </w:t>
      </w:r>
      <w:r w:rsidRPr="00531B12">
        <w:rPr>
          <w:rFonts w:ascii="Abadi" w:hAnsi="Abadi"/>
          <w:b/>
          <w:bCs/>
          <w:sz w:val="20"/>
          <w:szCs w:val="20"/>
        </w:rPr>
        <w:t>TITULAR</w:t>
      </w:r>
      <w:r w:rsidRPr="00531B12">
        <w:rPr>
          <w:rFonts w:ascii="Abadi" w:hAnsi="Abadi"/>
          <w:b/>
          <w:bCs/>
          <w:spacing w:val="18"/>
          <w:sz w:val="20"/>
          <w:szCs w:val="20"/>
        </w:rPr>
        <w:t xml:space="preserve"> </w:t>
      </w:r>
      <w:r w:rsidRPr="00531B12">
        <w:rPr>
          <w:rFonts w:ascii="Abadi" w:hAnsi="Abadi"/>
          <w:b/>
          <w:bCs/>
          <w:sz w:val="20"/>
          <w:szCs w:val="20"/>
        </w:rPr>
        <w:t>DE</w:t>
      </w:r>
      <w:r w:rsidRPr="00531B12">
        <w:rPr>
          <w:rFonts w:ascii="Abadi" w:hAnsi="Abadi"/>
          <w:b/>
          <w:bCs/>
          <w:spacing w:val="18"/>
          <w:sz w:val="20"/>
          <w:szCs w:val="20"/>
        </w:rPr>
        <w:t xml:space="preserve"> </w:t>
      </w:r>
      <w:r w:rsidRPr="00531B12">
        <w:rPr>
          <w:rFonts w:ascii="Abadi" w:hAnsi="Abadi"/>
          <w:b/>
          <w:bCs/>
          <w:sz w:val="20"/>
          <w:szCs w:val="20"/>
        </w:rPr>
        <w:t>LA</w:t>
      </w:r>
      <w:r w:rsidRPr="00531B12">
        <w:rPr>
          <w:rFonts w:ascii="Abadi" w:hAnsi="Abadi"/>
          <w:b/>
          <w:bCs/>
          <w:spacing w:val="17"/>
          <w:sz w:val="20"/>
          <w:szCs w:val="20"/>
        </w:rPr>
        <w:t xml:space="preserve"> </w:t>
      </w:r>
      <w:r w:rsidRPr="00531B12">
        <w:rPr>
          <w:rFonts w:ascii="Abadi" w:hAnsi="Abadi"/>
          <w:b/>
          <w:bCs/>
          <w:sz w:val="20"/>
          <w:szCs w:val="20"/>
        </w:rPr>
        <w:t>AUDITORÍA</w:t>
      </w:r>
      <w:r w:rsidRPr="00531B12">
        <w:rPr>
          <w:rFonts w:ascii="Abadi" w:hAnsi="Abadi"/>
          <w:b/>
          <w:bCs/>
          <w:spacing w:val="18"/>
          <w:sz w:val="20"/>
          <w:szCs w:val="20"/>
        </w:rPr>
        <w:t xml:space="preserve"> </w:t>
      </w:r>
      <w:r w:rsidRPr="00531B12">
        <w:rPr>
          <w:rFonts w:ascii="Abadi" w:hAnsi="Abadi"/>
          <w:b/>
          <w:bCs/>
          <w:sz w:val="20"/>
          <w:szCs w:val="20"/>
        </w:rPr>
        <w:t>SUPERIOR</w:t>
      </w:r>
      <w:r w:rsidRPr="00531B12">
        <w:rPr>
          <w:rFonts w:ascii="Abadi" w:hAnsi="Abadi"/>
          <w:b/>
          <w:bCs/>
          <w:spacing w:val="17"/>
          <w:sz w:val="20"/>
          <w:szCs w:val="20"/>
        </w:rPr>
        <w:t xml:space="preserve"> </w:t>
      </w:r>
      <w:r w:rsidRPr="00531B12">
        <w:rPr>
          <w:rFonts w:ascii="Abadi" w:hAnsi="Abadi"/>
          <w:b/>
          <w:bCs/>
          <w:sz w:val="20"/>
          <w:szCs w:val="20"/>
        </w:rPr>
        <w:t>DEL</w:t>
      </w:r>
      <w:r w:rsidRPr="00531B12">
        <w:rPr>
          <w:rFonts w:ascii="Abadi" w:hAnsi="Abadi"/>
          <w:b/>
          <w:bCs/>
          <w:spacing w:val="17"/>
          <w:sz w:val="20"/>
          <w:szCs w:val="20"/>
        </w:rPr>
        <w:t xml:space="preserve"> </w:t>
      </w:r>
      <w:r w:rsidRPr="00531B12">
        <w:rPr>
          <w:rFonts w:ascii="Abadi" w:hAnsi="Abadi"/>
          <w:b/>
          <w:bCs/>
          <w:sz w:val="20"/>
          <w:szCs w:val="20"/>
        </w:rPr>
        <w:t>ESTADO</w:t>
      </w:r>
      <w:r w:rsidRPr="00531B12">
        <w:rPr>
          <w:rFonts w:ascii="Abadi" w:hAnsi="Abadi"/>
          <w:b/>
          <w:bCs/>
          <w:spacing w:val="18"/>
          <w:sz w:val="20"/>
          <w:szCs w:val="20"/>
        </w:rPr>
        <w:t xml:space="preserve"> </w:t>
      </w:r>
      <w:r w:rsidRPr="00531B12">
        <w:rPr>
          <w:rFonts w:ascii="Abadi" w:hAnsi="Abadi"/>
          <w:b/>
          <w:bCs/>
          <w:sz w:val="20"/>
          <w:szCs w:val="20"/>
        </w:rPr>
        <w:t>DE</w:t>
      </w:r>
      <w:r w:rsidRPr="00531B12">
        <w:rPr>
          <w:rFonts w:ascii="Abadi" w:hAnsi="Abadi"/>
          <w:b/>
          <w:bCs/>
          <w:spacing w:val="18"/>
          <w:sz w:val="20"/>
          <w:szCs w:val="20"/>
        </w:rPr>
        <w:t xml:space="preserve"> </w:t>
      </w:r>
      <w:r w:rsidRPr="00531B12">
        <w:rPr>
          <w:rFonts w:ascii="Abadi" w:hAnsi="Abadi"/>
          <w:b/>
          <w:bCs/>
          <w:sz w:val="20"/>
          <w:szCs w:val="20"/>
        </w:rPr>
        <w:t>GUANAJUATO,</w:t>
      </w:r>
      <w:r w:rsidRPr="00531B12">
        <w:rPr>
          <w:rFonts w:ascii="Abadi" w:hAnsi="Abadi"/>
          <w:b/>
          <w:bCs/>
          <w:spacing w:val="18"/>
          <w:sz w:val="20"/>
          <w:szCs w:val="20"/>
        </w:rPr>
        <w:t xml:space="preserve"> </w:t>
      </w:r>
      <w:r w:rsidRPr="00531B12">
        <w:rPr>
          <w:rFonts w:ascii="Abadi" w:hAnsi="Abadi"/>
          <w:b/>
          <w:bCs/>
          <w:sz w:val="20"/>
          <w:szCs w:val="20"/>
        </w:rPr>
        <w:t>PARA</w:t>
      </w:r>
      <w:r w:rsidRPr="00531B12">
        <w:rPr>
          <w:rFonts w:ascii="Abadi" w:hAnsi="Abadi"/>
          <w:b/>
          <w:bCs/>
          <w:spacing w:val="-1"/>
          <w:sz w:val="20"/>
          <w:szCs w:val="20"/>
        </w:rPr>
        <w:t xml:space="preserve"> </w:t>
      </w:r>
      <w:r w:rsidRPr="00531B12">
        <w:rPr>
          <w:rFonts w:ascii="Abadi" w:hAnsi="Abadi"/>
          <w:b/>
          <w:bCs/>
          <w:sz w:val="20"/>
          <w:szCs w:val="20"/>
        </w:rPr>
        <w:t>QUE</w:t>
      </w:r>
      <w:r w:rsidRPr="00531B12">
        <w:rPr>
          <w:rFonts w:ascii="Abadi" w:hAnsi="Abadi"/>
          <w:b/>
          <w:bCs/>
          <w:spacing w:val="26"/>
          <w:sz w:val="20"/>
          <w:szCs w:val="20"/>
        </w:rPr>
        <w:t xml:space="preserve">  </w:t>
      </w:r>
      <w:r w:rsidRPr="00531B12">
        <w:rPr>
          <w:rFonts w:ascii="Abadi" w:hAnsi="Abadi"/>
          <w:b/>
          <w:bCs/>
          <w:sz w:val="20"/>
          <w:szCs w:val="20"/>
        </w:rPr>
        <w:t>LLEVE</w:t>
      </w:r>
      <w:r w:rsidRPr="00531B12">
        <w:rPr>
          <w:rFonts w:ascii="Abadi" w:hAnsi="Abadi"/>
          <w:b/>
          <w:bCs/>
          <w:spacing w:val="26"/>
          <w:sz w:val="20"/>
          <w:szCs w:val="20"/>
        </w:rPr>
        <w:t xml:space="preserve">  </w:t>
      </w:r>
      <w:r w:rsidRPr="00531B12">
        <w:rPr>
          <w:rFonts w:ascii="Abadi" w:hAnsi="Abadi"/>
          <w:b/>
          <w:bCs/>
          <w:sz w:val="20"/>
          <w:szCs w:val="20"/>
        </w:rPr>
        <w:t>A</w:t>
      </w:r>
      <w:r w:rsidRPr="00531B12">
        <w:rPr>
          <w:rFonts w:ascii="Abadi" w:hAnsi="Abadi"/>
          <w:b/>
          <w:bCs/>
          <w:spacing w:val="26"/>
          <w:sz w:val="20"/>
          <w:szCs w:val="20"/>
        </w:rPr>
        <w:t xml:space="preserve">  </w:t>
      </w:r>
      <w:r w:rsidRPr="00531B12">
        <w:rPr>
          <w:rFonts w:ascii="Abadi" w:hAnsi="Abadi"/>
          <w:b/>
          <w:bCs/>
          <w:sz w:val="20"/>
          <w:szCs w:val="20"/>
        </w:rPr>
        <w:t>CABO</w:t>
      </w:r>
      <w:r w:rsidRPr="00531B12">
        <w:rPr>
          <w:rFonts w:ascii="Abadi" w:hAnsi="Abadi"/>
          <w:b/>
          <w:bCs/>
          <w:spacing w:val="26"/>
          <w:sz w:val="20"/>
          <w:szCs w:val="20"/>
        </w:rPr>
        <w:t xml:space="preserve">  </w:t>
      </w:r>
      <w:r w:rsidRPr="00531B12">
        <w:rPr>
          <w:rFonts w:ascii="Abadi" w:hAnsi="Abadi"/>
          <w:b/>
          <w:bCs/>
          <w:sz w:val="20"/>
          <w:szCs w:val="20"/>
        </w:rPr>
        <w:t>UNA</w:t>
      </w:r>
      <w:r w:rsidRPr="00531B12">
        <w:rPr>
          <w:rFonts w:ascii="Abadi" w:hAnsi="Abadi"/>
          <w:b/>
          <w:bCs/>
          <w:spacing w:val="26"/>
          <w:sz w:val="20"/>
          <w:szCs w:val="20"/>
        </w:rPr>
        <w:t xml:space="preserve">  </w:t>
      </w:r>
      <w:r w:rsidRPr="00531B12">
        <w:rPr>
          <w:rFonts w:ascii="Abadi" w:hAnsi="Abadi"/>
          <w:b/>
          <w:bCs/>
          <w:sz w:val="20"/>
          <w:szCs w:val="20"/>
        </w:rPr>
        <w:t>AUDITORÍA</w:t>
      </w:r>
      <w:r w:rsidRPr="00531B12">
        <w:rPr>
          <w:rFonts w:ascii="Abadi" w:hAnsi="Abadi"/>
          <w:b/>
          <w:bCs/>
          <w:spacing w:val="26"/>
          <w:sz w:val="20"/>
          <w:szCs w:val="20"/>
        </w:rPr>
        <w:t xml:space="preserve">  </w:t>
      </w:r>
      <w:r w:rsidRPr="00531B12">
        <w:rPr>
          <w:rFonts w:ascii="Abadi" w:hAnsi="Abadi"/>
          <w:b/>
          <w:bCs/>
          <w:sz w:val="20"/>
          <w:szCs w:val="20"/>
        </w:rPr>
        <w:t>FINANCIERA</w:t>
      </w:r>
      <w:r w:rsidRPr="00531B12">
        <w:rPr>
          <w:rFonts w:ascii="Abadi" w:hAnsi="Abadi"/>
          <w:b/>
          <w:bCs/>
          <w:spacing w:val="26"/>
          <w:sz w:val="20"/>
          <w:szCs w:val="20"/>
        </w:rPr>
        <w:t xml:space="preserve">  </w:t>
      </w:r>
      <w:r w:rsidRPr="00531B12">
        <w:rPr>
          <w:rFonts w:ascii="Abadi" w:hAnsi="Abadi"/>
          <w:b/>
          <w:bCs/>
          <w:sz w:val="20"/>
          <w:szCs w:val="20"/>
        </w:rPr>
        <w:t>INTEGRAL</w:t>
      </w:r>
      <w:r w:rsidRPr="00531B12">
        <w:rPr>
          <w:rFonts w:ascii="Abadi" w:hAnsi="Abadi"/>
          <w:b/>
          <w:bCs/>
          <w:spacing w:val="26"/>
          <w:sz w:val="20"/>
          <w:szCs w:val="20"/>
        </w:rPr>
        <w:t xml:space="preserve">  </w:t>
      </w:r>
      <w:r w:rsidRPr="00531B12">
        <w:rPr>
          <w:rFonts w:ascii="Abadi" w:hAnsi="Abadi"/>
          <w:b/>
          <w:bCs/>
          <w:sz w:val="20"/>
          <w:szCs w:val="20"/>
        </w:rPr>
        <w:t>AL</w:t>
      </w:r>
      <w:r w:rsidRPr="00531B12">
        <w:rPr>
          <w:rFonts w:ascii="Abadi" w:hAnsi="Abadi"/>
          <w:b/>
          <w:bCs/>
          <w:spacing w:val="26"/>
          <w:sz w:val="20"/>
          <w:szCs w:val="20"/>
        </w:rPr>
        <w:t xml:space="preserve">  </w:t>
      </w:r>
      <w:r w:rsidRPr="00531B12">
        <w:rPr>
          <w:rFonts w:ascii="Abadi" w:hAnsi="Abadi"/>
          <w:b/>
          <w:bCs/>
          <w:sz w:val="20"/>
          <w:szCs w:val="20"/>
        </w:rPr>
        <w:t>MUNICIPIO</w:t>
      </w:r>
      <w:r w:rsidRPr="00531B12">
        <w:rPr>
          <w:rFonts w:ascii="Abadi" w:hAnsi="Abadi"/>
          <w:b/>
          <w:bCs/>
          <w:spacing w:val="26"/>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GUANAJUATO,</w:t>
      </w:r>
      <w:r w:rsidRPr="00531B12">
        <w:rPr>
          <w:rFonts w:ascii="Abadi" w:hAnsi="Abadi"/>
          <w:b/>
          <w:bCs/>
          <w:spacing w:val="-9"/>
          <w:sz w:val="20"/>
          <w:szCs w:val="20"/>
        </w:rPr>
        <w:t xml:space="preserve"> </w:t>
      </w:r>
      <w:r w:rsidRPr="00531B12">
        <w:rPr>
          <w:rFonts w:ascii="Abadi" w:hAnsi="Abadi"/>
          <w:b/>
          <w:bCs/>
          <w:sz w:val="20"/>
          <w:szCs w:val="20"/>
        </w:rPr>
        <w:t>POR</w:t>
      </w:r>
      <w:r w:rsidRPr="00531B12">
        <w:rPr>
          <w:rFonts w:ascii="Abadi" w:hAnsi="Abadi"/>
          <w:b/>
          <w:bCs/>
          <w:spacing w:val="-9"/>
          <w:sz w:val="20"/>
          <w:szCs w:val="20"/>
        </w:rPr>
        <w:t xml:space="preserve"> </w:t>
      </w:r>
      <w:r w:rsidRPr="00531B12">
        <w:rPr>
          <w:rFonts w:ascii="Abadi" w:hAnsi="Abadi"/>
          <w:b/>
          <w:bCs/>
          <w:sz w:val="20"/>
          <w:szCs w:val="20"/>
        </w:rPr>
        <w:t>LOS</w:t>
      </w:r>
      <w:r w:rsidRPr="00531B12">
        <w:rPr>
          <w:rFonts w:ascii="Abadi" w:hAnsi="Abadi"/>
          <w:b/>
          <w:bCs/>
          <w:spacing w:val="-8"/>
          <w:sz w:val="20"/>
          <w:szCs w:val="20"/>
        </w:rPr>
        <w:t xml:space="preserve"> </w:t>
      </w:r>
      <w:r w:rsidRPr="00531B12">
        <w:rPr>
          <w:rFonts w:ascii="Abadi" w:hAnsi="Abadi"/>
          <w:b/>
          <w:bCs/>
          <w:sz w:val="20"/>
          <w:szCs w:val="20"/>
        </w:rPr>
        <w:t>EJERCICIOS</w:t>
      </w:r>
      <w:r w:rsidRPr="00531B12">
        <w:rPr>
          <w:rFonts w:ascii="Abadi" w:hAnsi="Abadi"/>
          <w:b/>
          <w:bCs/>
          <w:spacing w:val="-9"/>
          <w:sz w:val="20"/>
          <w:szCs w:val="20"/>
        </w:rPr>
        <w:t xml:space="preserve"> </w:t>
      </w:r>
      <w:r w:rsidRPr="00531B12">
        <w:rPr>
          <w:rFonts w:ascii="Abadi" w:hAnsi="Abadi"/>
          <w:b/>
          <w:bCs/>
          <w:sz w:val="20"/>
          <w:szCs w:val="20"/>
        </w:rPr>
        <w:t>FISCALES</w:t>
      </w:r>
      <w:r w:rsidRPr="00531B12">
        <w:rPr>
          <w:rFonts w:ascii="Abadi" w:hAnsi="Abadi"/>
          <w:b/>
          <w:bCs/>
          <w:spacing w:val="-9"/>
          <w:sz w:val="20"/>
          <w:szCs w:val="20"/>
        </w:rPr>
        <w:t xml:space="preserve"> </w:t>
      </w:r>
      <w:r w:rsidRPr="00531B12">
        <w:rPr>
          <w:rFonts w:ascii="Abadi" w:hAnsi="Abadi"/>
          <w:b/>
          <w:bCs/>
          <w:sz w:val="20"/>
          <w:szCs w:val="20"/>
        </w:rPr>
        <w:t>DE</w:t>
      </w:r>
      <w:r w:rsidRPr="00531B12">
        <w:rPr>
          <w:rFonts w:ascii="Abadi" w:hAnsi="Abadi"/>
          <w:b/>
          <w:bCs/>
          <w:spacing w:val="-9"/>
          <w:sz w:val="20"/>
          <w:szCs w:val="20"/>
        </w:rPr>
        <w:t xml:space="preserve"> </w:t>
      </w:r>
      <w:r w:rsidRPr="00531B12">
        <w:rPr>
          <w:rFonts w:ascii="Abadi" w:hAnsi="Abadi"/>
          <w:b/>
          <w:bCs/>
          <w:sz w:val="20"/>
          <w:szCs w:val="20"/>
        </w:rPr>
        <w:t>2019,</w:t>
      </w:r>
      <w:r w:rsidRPr="00531B12">
        <w:rPr>
          <w:rFonts w:ascii="Abadi" w:hAnsi="Abadi"/>
          <w:b/>
          <w:bCs/>
          <w:spacing w:val="-9"/>
          <w:sz w:val="20"/>
          <w:szCs w:val="20"/>
        </w:rPr>
        <w:t xml:space="preserve"> </w:t>
      </w:r>
      <w:r w:rsidRPr="00531B12">
        <w:rPr>
          <w:rFonts w:ascii="Abadi" w:hAnsi="Abadi"/>
          <w:b/>
          <w:bCs/>
          <w:sz w:val="20"/>
          <w:szCs w:val="20"/>
        </w:rPr>
        <w:t>2020</w:t>
      </w:r>
      <w:r w:rsidRPr="00531B12">
        <w:rPr>
          <w:rFonts w:ascii="Abadi" w:hAnsi="Abadi"/>
          <w:b/>
          <w:bCs/>
          <w:spacing w:val="-8"/>
          <w:sz w:val="20"/>
          <w:szCs w:val="20"/>
        </w:rPr>
        <w:t xml:space="preserve"> </w:t>
      </w:r>
      <w:r w:rsidRPr="00531B12">
        <w:rPr>
          <w:rFonts w:ascii="Abadi" w:hAnsi="Abadi"/>
          <w:b/>
          <w:bCs/>
          <w:sz w:val="20"/>
          <w:szCs w:val="20"/>
        </w:rPr>
        <w:t>Y</w:t>
      </w:r>
      <w:r w:rsidRPr="00531B12">
        <w:rPr>
          <w:rFonts w:ascii="Abadi" w:hAnsi="Abadi"/>
          <w:b/>
          <w:bCs/>
          <w:spacing w:val="-9"/>
          <w:sz w:val="20"/>
          <w:szCs w:val="20"/>
        </w:rPr>
        <w:t xml:space="preserve"> </w:t>
      </w:r>
      <w:r w:rsidRPr="00531B12">
        <w:rPr>
          <w:rFonts w:ascii="Abadi" w:hAnsi="Abadi"/>
          <w:b/>
          <w:bCs/>
          <w:sz w:val="20"/>
          <w:szCs w:val="20"/>
        </w:rPr>
        <w:t>2021</w:t>
      </w:r>
      <w:r w:rsidRPr="00531B12">
        <w:rPr>
          <w:rFonts w:ascii="Abadi" w:hAnsi="Abadi"/>
          <w:b/>
          <w:bCs/>
          <w:spacing w:val="-9"/>
          <w:sz w:val="20"/>
          <w:szCs w:val="20"/>
        </w:rPr>
        <w:t xml:space="preserve"> </w:t>
      </w:r>
      <w:r w:rsidRPr="00531B12">
        <w:rPr>
          <w:rFonts w:ascii="Abadi" w:hAnsi="Abadi"/>
          <w:b/>
          <w:bCs/>
          <w:sz w:val="20"/>
          <w:szCs w:val="20"/>
        </w:rPr>
        <w:t>Y</w:t>
      </w:r>
      <w:r w:rsidRPr="00531B12">
        <w:rPr>
          <w:rFonts w:ascii="Abadi" w:hAnsi="Abadi"/>
          <w:b/>
          <w:bCs/>
          <w:spacing w:val="-9"/>
          <w:sz w:val="20"/>
          <w:szCs w:val="20"/>
        </w:rPr>
        <w:t xml:space="preserve"> </w:t>
      </w:r>
      <w:r w:rsidRPr="00531B12">
        <w:rPr>
          <w:rFonts w:ascii="Abadi" w:hAnsi="Abadi"/>
          <w:b/>
          <w:bCs/>
          <w:sz w:val="20"/>
          <w:szCs w:val="20"/>
        </w:rPr>
        <w:t>CONCOMITANTE</w:t>
      </w:r>
      <w:r w:rsidRPr="00531B12">
        <w:rPr>
          <w:rFonts w:ascii="Abadi" w:hAnsi="Abadi"/>
          <w:b/>
          <w:bCs/>
          <w:spacing w:val="-1"/>
          <w:sz w:val="20"/>
          <w:szCs w:val="20"/>
        </w:rPr>
        <w:t xml:space="preserve"> </w:t>
      </w:r>
      <w:r w:rsidRPr="00531B12">
        <w:rPr>
          <w:rFonts w:ascii="Abadi" w:hAnsi="Abadi"/>
          <w:b/>
          <w:bCs/>
          <w:sz w:val="20"/>
          <w:szCs w:val="20"/>
        </w:rPr>
        <w:t>A 2022.</w:t>
      </w:r>
    </w:p>
    <w:p w14:paraId="03E9D4A3" w14:textId="1535DF5E" w:rsidR="005F4285" w:rsidRDefault="005F4285" w:rsidP="00597603">
      <w:pPr>
        <w:rPr>
          <w:rFonts w:ascii="Abadi" w:hAnsi="Abadi"/>
          <w:b/>
          <w:bCs/>
          <w:sz w:val="20"/>
          <w:szCs w:val="20"/>
        </w:rPr>
      </w:pPr>
    </w:p>
    <w:p w14:paraId="524FBF3D" w14:textId="77777777" w:rsidR="00597603" w:rsidRPr="00C159D3" w:rsidRDefault="00597603" w:rsidP="00597603">
      <w:pPr>
        <w:rPr>
          <w:rFonts w:ascii="Abadi" w:hAnsi="Abadi" w:cs="Arial"/>
          <w:b/>
          <w:iCs/>
          <w:smallCaps/>
          <w:sz w:val="21"/>
          <w:szCs w:val="21"/>
          <w:lang w:val="es-MX" w:eastAsia="es-MX"/>
        </w:rPr>
      </w:pPr>
      <w:r w:rsidRPr="00C159D3">
        <w:rPr>
          <w:rFonts w:ascii="Abadi" w:hAnsi="Abadi" w:cs="Arial"/>
          <w:b/>
          <w:iCs/>
          <w:smallCaps/>
          <w:sz w:val="21"/>
          <w:szCs w:val="21"/>
          <w:lang w:val="es-MX" w:eastAsia="es-MX"/>
        </w:rPr>
        <w:t>C. Presidenta del Congreso del Estado.</w:t>
      </w:r>
    </w:p>
    <w:p w14:paraId="58685E9A" w14:textId="77777777" w:rsidR="00597603" w:rsidRPr="00C159D3" w:rsidRDefault="00597603" w:rsidP="00597603">
      <w:pPr>
        <w:jc w:val="both"/>
        <w:rPr>
          <w:rFonts w:ascii="Abadi" w:hAnsi="Abadi" w:cs="Arial"/>
          <w:b/>
          <w:iCs/>
          <w:smallCaps/>
          <w:sz w:val="21"/>
          <w:szCs w:val="21"/>
          <w:lang w:val="es-MX" w:eastAsia="es-MX"/>
        </w:rPr>
      </w:pPr>
      <w:r w:rsidRPr="00C159D3">
        <w:rPr>
          <w:rFonts w:ascii="Abadi" w:hAnsi="Abadi" w:cs="Arial"/>
          <w:b/>
          <w:iCs/>
          <w:smallCaps/>
          <w:sz w:val="21"/>
          <w:szCs w:val="21"/>
          <w:lang w:val="es-MX" w:eastAsia="es-MX"/>
        </w:rPr>
        <w:t>P r e s e n t e.</w:t>
      </w:r>
    </w:p>
    <w:p w14:paraId="370212D0" w14:textId="77777777" w:rsidR="00597603" w:rsidRPr="00C159D3" w:rsidRDefault="00597603" w:rsidP="00597603">
      <w:pPr>
        <w:spacing w:line="360" w:lineRule="auto"/>
        <w:jc w:val="both"/>
        <w:rPr>
          <w:rFonts w:ascii="Abadi" w:hAnsi="Abadi" w:cs="Arial"/>
          <w:iCs/>
          <w:sz w:val="21"/>
          <w:szCs w:val="21"/>
          <w:lang w:val="es-MX" w:eastAsia="es-MX"/>
        </w:rPr>
      </w:pPr>
    </w:p>
    <w:p w14:paraId="6598795F" w14:textId="77777777" w:rsidR="00597603" w:rsidRPr="00C159D3" w:rsidRDefault="00597603" w:rsidP="00597603">
      <w:pPr>
        <w:jc w:val="both"/>
        <w:rPr>
          <w:rFonts w:ascii="Abadi" w:hAnsi="Abadi" w:cs="Arial"/>
          <w:iCs/>
          <w:sz w:val="21"/>
          <w:szCs w:val="21"/>
          <w:lang w:val="es-MX" w:eastAsia="es-MX"/>
        </w:rPr>
      </w:pPr>
      <w:r w:rsidRPr="00C159D3">
        <w:rPr>
          <w:rFonts w:ascii="Abadi" w:hAnsi="Abadi" w:cs="Arial"/>
          <w:iCs/>
          <w:sz w:val="21"/>
          <w:szCs w:val="21"/>
          <w:lang w:val="es-MX" w:eastAsia="es-MX"/>
        </w:rPr>
        <w:tab/>
        <w:t xml:space="preserve">A esta Comisión de Hacienda y Fiscalización le fue turnada para efectos de su estudio y dictamen, la propuesta de punto de acuerdo formulada por la diputada Alma Edwviges Alcaraz Hernández, integrante del Grupo Parlamentario del Partido MORENA, a efecto de </w:t>
      </w:r>
      <w:r w:rsidRPr="00C159D3">
        <w:rPr>
          <w:rFonts w:ascii="Abadi" w:hAnsi="Abadi"/>
          <w:sz w:val="21"/>
          <w:szCs w:val="21"/>
          <w:lang w:val="es-ES_tradnl"/>
        </w:rPr>
        <w:t>exhortar al titular de la Auditoría Superior del Estado de Guanajuato, para que lleve a cabo una auditoría financiera integral al municipio de Guanajuato, por los ejercicios fiscales de 2019, 2020 y 2021 y concomitante a 2022</w:t>
      </w:r>
      <w:r w:rsidRPr="00C159D3">
        <w:rPr>
          <w:rFonts w:ascii="Abadi" w:hAnsi="Abadi" w:cs="Arial"/>
          <w:iCs/>
          <w:sz w:val="21"/>
          <w:szCs w:val="21"/>
          <w:lang w:val="es-MX" w:eastAsia="es-MX"/>
        </w:rPr>
        <w:t>.</w:t>
      </w:r>
    </w:p>
    <w:p w14:paraId="25751A1D" w14:textId="77777777" w:rsidR="00597603" w:rsidRPr="00C159D3" w:rsidRDefault="00597603" w:rsidP="00597603">
      <w:pPr>
        <w:jc w:val="both"/>
        <w:rPr>
          <w:rFonts w:ascii="Abadi" w:hAnsi="Abadi" w:cs="Arial"/>
          <w:iCs/>
          <w:sz w:val="21"/>
          <w:szCs w:val="21"/>
          <w:lang w:val="es-MX" w:eastAsia="es-MX"/>
        </w:rPr>
      </w:pPr>
    </w:p>
    <w:p w14:paraId="187793E5" w14:textId="77777777" w:rsidR="00597603" w:rsidRPr="00C159D3" w:rsidRDefault="00597603" w:rsidP="00597603">
      <w:pPr>
        <w:jc w:val="both"/>
        <w:rPr>
          <w:rFonts w:ascii="Abadi" w:hAnsi="Abadi" w:cs="Arial"/>
          <w:iCs/>
          <w:sz w:val="21"/>
          <w:szCs w:val="21"/>
          <w:lang w:val="es-MX" w:eastAsia="es-MX"/>
        </w:rPr>
      </w:pPr>
      <w:r w:rsidRPr="00C159D3">
        <w:rPr>
          <w:rFonts w:ascii="Abadi" w:hAnsi="Abadi" w:cs="Arial"/>
          <w:iCs/>
          <w:sz w:val="21"/>
          <w:szCs w:val="21"/>
          <w:lang w:val="es-MX" w:eastAsia="es-MX"/>
        </w:rPr>
        <w:tab/>
        <w:t xml:space="preserve">Analizada la propuesta de referencia, con fundamento en los artículos 75, 89, fracción V, 112, fracción XV y 171 de </w:t>
      </w:r>
      <w:smartTag w:uri="urn:schemas-microsoft-com:office:smarttags" w:element="PersonName">
        <w:smartTagPr>
          <w:attr w:name="ProductID" w:val="la Ley Org￡nica"/>
        </w:smartTagPr>
        <w:r w:rsidRPr="00C159D3">
          <w:rPr>
            <w:rFonts w:ascii="Abadi" w:hAnsi="Abadi" w:cs="Arial"/>
            <w:iCs/>
            <w:sz w:val="21"/>
            <w:szCs w:val="21"/>
            <w:lang w:val="es-MX" w:eastAsia="es-MX"/>
          </w:rPr>
          <w:t>la Ley Orgánica</w:t>
        </w:r>
      </w:smartTag>
      <w:r w:rsidRPr="00C159D3">
        <w:rPr>
          <w:rFonts w:ascii="Abadi" w:hAnsi="Abadi" w:cs="Arial"/>
          <w:iCs/>
          <w:sz w:val="21"/>
          <w:szCs w:val="21"/>
          <w:lang w:val="es-MX" w:eastAsia="es-MX"/>
        </w:rPr>
        <w:t xml:space="preserve"> del </w:t>
      </w:r>
      <w:r w:rsidRPr="00C159D3">
        <w:rPr>
          <w:rFonts w:ascii="Abadi" w:hAnsi="Abadi" w:cs="Arial"/>
          <w:iCs/>
          <w:sz w:val="21"/>
          <w:szCs w:val="21"/>
          <w:lang w:val="es-MX" w:eastAsia="es-MX"/>
        </w:rPr>
        <w:lastRenderedPageBreak/>
        <w:t>Poder Legislativo del Estado de Guanajuato, nos permitimos rendir el siguiente:</w:t>
      </w:r>
    </w:p>
    <w:p w14:paraId="3E716500" w14:textId="77777777" w:rsidR="00597603" w:rsidRPr="00C159D3" w:rsidRDefault="00597603" w:rsidP="00597603">
      <w:pPr>
        <w:jc w:val="both"/>
        <w:rPr>
          <w:rFonts w:ascii="Abadi" w:hAnsi="Abadi" w:cs="Arial"/>
          <w:iCs/>
          <w:sz w:val="21"/>
          <w:szCs w:val="21"/>
          <w:lang w:val="es-MX" w:eastAsia="es-MX"/>
        </w:rPr>
      </w:pPr>
    </w:p>
    <w:p w14:paraId="1F3C7C4E" w14:textId="77777777" w:rsidR="00597603" w:rsidRPr="00C159D3" w:rsidRDefault="00597603" w:rsidP="00597603">
      <w:pPr>
        <w:keepNext/>
        <w:jc w:val="center"/>
        <w:outlineLvl w:val="0"/>
        <w:rPr>
          <w:rFonts w:ascii="Abadi" w:hAnsi="Abadi" w:cs="Arial"/>
          <w:b/>
          <w:iCs/>
          <w:sz w:val="21"/>
          <w:szCs w:val="21"/>
          <w:lang w:val="es-MX" w:eastAsia="es-MX"/>
        </w:rPr>
      </w:pPr>
      <w:r w:rsidRPr="00C159D3">
        <w:rPr>
          <w:rFonts w:ascii="Abadi" w:hAnsi="Abadi" w:cs="Arial"/>
          <w:b/>
          <w:iCs/>
          <w:sz w:val="21"/>
          <w:szCs w:val="21"/>
          <w:lang w:val="es-MX" w:eastAsia="es-MX"/>
        </w:rPr>
        <w:t xml:space="preserve">D i c t a m e n </w:t>
      </w:r>
    </w:p>
    <w:p w14:paraId="6E7984DD" w14:textId="77777777" w:rsidR="00597603" w:rsidRPr="00C159D3" w:rsidRDefault="00597603" w:rsidP="001A28E5">
      <w:pPr>
        <w:numPr>
          <w:ilvl w:val="0"/>
          <w:numId w:val="51"/>
        </w:numPr>
        <w:jc w:val="both"/>
        <w:rPr>
          <w:rFonts w:ascii="Abadi" w:hAnsi="Abadi" w:cs="Arial"/>
          <w:b/>
          <w:bCs/>
          <w:sz w:val="21"/>
          <w:szCs w:val="21"/>
          <w:lang w:val="es-MX" w:eastAsia="es-MX"/>
        </w:rPr>
      </w:pPr>
      <w:r w:rsidRPr="00C159D3">
        <w:rPr>
          <w:rFonts w:ascii="Abadi" w:hAnsi="Abadi" w:cs="Arial"/>
          <w:b/>
          <w:bCs/>
          <w:sz w:val="21"/>
          <w:szCs w:val="21"/>
          <w:lang w:val="es-MX" w:eastAsia="es-MX"/>
        </w:rPr>
        <w:t>Antecedentes</w:t>
      </w:r>
    </w:p>
    <w:p w14:paraId="46EB0BE5" w14:textId="77777777" w:rsidR="00597603" w:rsidRPr="00C159D3" w:rsidRDefault="00597603" w:rsidP="00597603">
      <w:pPr>
        <w:jc w:val="center"/>
        <w:rPr>
          <w:rFonts w:ascii="Abadi" w:hAnsi="Abadi" w:cs="Arial"/>
          <w:b/>
          <w:iCs/>
          <w:sz w:val="21"/>
          <w:szCs w:val="21"/>
          <w:lang w:val="es-MX" w:eastAsia="es-MX"/>
        </w:rPr>
      </w:pPr>
    </w:p>
    <w:p w14:paraId="4234228A" w14:textId="77777777" w:rsidR="00597603" w:rsidRPr="00C159D3" w:rsidRDefault="00597603" w:rsidP="00597603">
      <w:pPr>
        <w:jc w:val="both"/>
        <w:rPr>
          <w:rFonts w:ascii="Abadi" w:hAnsi="Abadi"/>
          <w:sz w:val="21"/>
          <w:szCs w:val="21"/>
          <w:lang w:val="es-ES_tradnl" w:eastAsia="es-MX"/>
        </w:rPr>
      </w:pPr>
      <w:r w:rsidRPr="00C159D3">
        <w:rPr>
          <w:rFonts w:ascii="Abadi" w:hAnsi="Abadi" w:cs="Arial"/>
          <w:iCs/>
          <w:sz w:val="21"/>
          <w:szCs w:val="21"/>
          <w:lang w:val="es-MX" w:eastAsia="es-MX"/>
        </w:rPr>
        <w:tab/>
        <w:t xml:space="preserve">La diputada </w:t>
      </w:r>
      <w:r w:rsidRPr="00C159D3">
        <w:rPr>
          <w:rFonts w:ascii="Abadi" w:hAnsi="Abadi"/>
          <w:sz w:val="21"/>
          <w:szCs w:val="21"/>
          <w:lang w:val="es-ES_tradnl" w:eastAsia="es-MX"/>
        </w:rPr>
        <w:t>Alma Edwviges Alcaraz Hernández</w:t>
      </w:r>
      <w:r w:rsidRPr="00C159D3">
        <w:rPr>
          <w:rFonts w:ascii="Abadi" w:hAnsi="Abadi" w:cs="Arial"/>
          <w:iCs/>
          <w:sz w:val="21"/>
          <w:szCs w:val="21"/>
          <w:lang w:val="es-MX" w:eastAsia="es-MX"/>
        </w:rPr>
        <w:t xml:space="preserve">, integrante del Grupo Parlamentario del Partido MORENA, en la </w:t>
      </w:r>
      <w:r w:rsidRPr="00C159D3">
        <w:rPr>
          <w:rFonts w:ascii="Abadi" w:hAnsi="Abadi"/>
          <w:sz w:val="21"/>
          <w:szCs w:val="21"/>
          <w:lang w:val="es-ES_tradnl" w:eastAsia="es-MX"/>
        </w:rPr>
        <w:t xml:space="preserve">sesión ordinaria celebrada el 17 de febrero de 2022 presentó la propuesta de punto de acuerdo a efecto de exhortar al titular de la Auditoría Superior del Estado de Guanajuato, para que lleve a cabo a la brevedad posible una auditoría financiera integral al municipio de Guanajuato, que incluya todas las partidas no revisadas en auditorías previas, en cuya planeación se considere la verificación de posibles conflictos de interés, que incluya al menos, la verificación del apego a la legalidad de la adjudicación y contratación de bienes y servicios que corresponda, así como el cumplimiento de las cláusulas contractuales de los mismos, y privilegie las inspecciones físicas para validar la inspección documental, en los casos que sea viable hacerlo, por los ejercicios fiscales de 2019, 2020 y 2021 y concomitante a 2022. </w:t>
      </w:r>
    </w:p>
    <w:p w14:paraId="651DD382" w14:textId="77777777" w:rsidR="00597603" w:rsidRPr="00C159D3" w:rsidRDefault="00597603" w:rsidP="00597603">
      <w:pPr>
        <w:jc w:val="both"/>
        <w:rPr>
          <w:rFonts w:ascii="Abadi" w:hAnsi="Abadi"/>
          <w:sz w:val="21"/>
          <w:szCs w:val="21"/>
          <w:lang w:val="es-ES_tradnl" w:eastAsia="es-MX"/>
        </w:rPr>
      </w:pPr>
    </w:p>
    <w:p w14:paraId="44481817" w14:textId="77777777" w:rsidR="00597603" w:rsidRPr="00C159D3" w:rsidRDefault="00597603" w:rsidP="00597603">
      <w:pPr>
        <w:ind w:firstLine="708"/>
        <w:jc w:val="both"/>
        <w:rPr>
          <w:rFonts w:ascii="Abadi" w:hAnsi="Abadi"/>
          <w:sz w:val="21"/>
          <w:szCs w:val="21"/>
          <w:lang w:val="es-MX" w:eastAsia="es-MX"/>
        </w:rPr>
      </w:pPr>
      <w:r w:rsidRPr="00C159D3">
        <w:rPr>
          <w:rFonts w:ascii="Abadi" w:hAnsi="Abadi"/>
          <w:sz w:val="21"/>
          <w:szCs w:val="21"/>
          <w:lang w:val="es-ES_tradnl" w:eastAsia="es-MX"/>
        </w:rPr>
        <w:t>La referida propuesta se turnó por la</w:t>
      </w:r>
      <w:r w:rsidRPr="00C159D3">
        <w:rPr>
          <w:rFonts w:ascii="Abadi" w:hAnsi="Abadi"/>
          <w:sz w:val="21"/>
          <w:szCs w:val="21"/>
          <w:lang w:val="es-MX" w:eastAsia="es-MX"/>
        </w:rPr>
        <w:t xml:space="preserve"> presidencia a esta Comisión de Hacienda y Fiscalización para su estudio y dictamen con fundamento en la fracción XV del artículo 112 de la Ley Orgánica del Poder Legislativo del Estado de Guanajuato, misma que se radicó el 22 de febrero de 2022. En dicha fecha se requirió al Auditor Superior del Estado, la elaboración de una ficha técnica respecto a dicha propuesta, misma que se expuso a esta Comisión el 14 de junio del año en curso, por dicho funcionario.</w:t>
      </w:r>
    </w:p>
    <w:p w14:paraId="1CD0F97B" w14:textId="77777777" w:rsidR="00597603" w:rsidRPr="00C159D3" w:rsidRDefault="00597603" w:rsidP="00597603">
      <w:pPr>
        <w:jc w:val="both"/>
        <w:rPr>
          <w:rFonts w:ascii="Abadi" w:hAnsi="Abadi"/>
          <w:sz w:val="21"/>
          <w:szCs w:val="21"/>
          <w:lang w:val="es-MX" w:eastAsia="es-MX"/>
        </w:rPr>
      </w:pPr>
    </w:p>
    <w:p w14:paraId="17FFB655" w14:textId="77777777" w:rsidR="00597603" w:rsidRPr="00C159D3" w:rsidRDefault="00597603" w:rsidP="001A28E5">
      <w:pPr>
        <w:numPr>
          <w:ilvl w:val="0"/>
          <w:numId w:val="51"/>
        </w:numPr>
        <w:jc w:val="both"/>
        <w:rPr>
          <w:rFonts w:ascii="Abadi" w:hAnsi="Abadi" w:cs="Arial"/>
          <w:b/>
          <w:bCs/>
          <w:sz w:val="21"/>
          <w:szCs w:val="21"/>
          <w:lang w:val="es-MX" w:eastAsia="es-MX"/>
        </w:rPr>
      </w:pPr>
      <w:r w:rsidRPr="00C159D3">
        <w:rPr>
          <w:rFonts w:ascii="Abadi" w:hAnsi="Abadi" w:cs="Arial"/>
          <w:b/>
          <w:bCs/>
          <w:sz w:val="21"/>
          <w:szCs w:val="21"/>
          <w:lang w:val="es-MX" w:eastAsia="es-MX"/>
        </w:rPr>
        <w:t>Consideraciones de la proponente</w:t>
      </w:r>
    </w:p>
    <w:p w14:paraId="48029BC4" w14:textId="77777777" w:rsidR="00597603" w:rsidRPr="00C159D3" w:rsidRDefault="00597603" w:rsidP="00597603">
      <w:pPr>
        <w:jc w:val="both"/>
        <w:rPr>
          <w:rFonts w:ascii="Abadi" w:hAnsi="Abadi" w:cs="Arial"/>
          <w:b/>
          <w:bCs/>
          <w:sz w:val="21"/>
          <w:szCs w:val="21"/>
          <w:lang w:val="es-MX" w:eastAsia="es-MX"/>
        </w:rPr>
      </w:pPr>
    </w:p>
    <w:p w14:paraId="271E9395" w14:textId="77777777" w:rsidR="00597603" w:rsidRPr="00C159D3" w:rsidRDefault="00597603" w:rsidP="00597603">
      <w:pPr>
        <w:spacing w:line="360" w:lineRule="auto"/>
        <w:ind w:firstLine="708"/>
        <w:jc w:val="both"/>
        <w:rPr>
          <w:rFonts w:ascii="Abadi" w:hAnsi="Abadi"/>
          <w:sz w:val="21"/>
          <w:szCs w:val="21"/>
          <w:lang w:val="es-MX" w:eastAsia="es-MX"/>
        </w:rPr>
      </w:pPr>
      <w:r w:rsidRPr="00C159D3">
        <w:rPr>
          <w:rFonts w:ascii="Abadi" w:hAnsi="Abadi"/>
          <w:sz w:val="21"/>
          <w:szCs w:val="21"/>
          <w:lang w:val="es-MX" w:eastAsia="es-MX"/>
        </w:rPr>
        <w:t>En las consideraciones expuestas por la proponente se refiere lo siguiente:</w:t>
      </w:r>
    </w:p>
    <w:p w14:paraId="5B108BC0" w14:textId="77777777" w:rsidR="00597603" w:rsidRPr="00C159D3" w:rsidRDefault="00597603" w:rsidP="00597603">
      <w:pPr>
        <w:ind w:left="709"/>
        <w:jc w:val="both"/>
        <w:rPr>
          <w:rFonts w:ascii="Abadi" w:hAnsi="Abadi" w:cs="Arial"/>
          <w:i/>
          <w:sz w:val="21"/>
          <w:szCs w:val="21"/>
          <w:lang w:val="es-MX" w:eastAsia="es-MX"/>
        </w:rPr>
      </w:pPr>
      <w:r w:rsidRPr="00C159D3">
        <w:rPr>
          <w:rFonts w:ascii="Abadi" w:hAnsi="Abadi" w:cs="Arial"/>
          <w:i/>
          <w:sz w:val="21"/>
          <w:szCs w:val="21"/>
          <w:lang w:val="es-MX" w:eastAsia="es-MX"/>
        </w:rPr>
        <w:t xml:space="preserve">En la historia reciente, la capital del estado de Guanajuato ha sido escenario de múltiples casos de corrupción. Sin embargo, durante la pasada administración de Navarro, que lamentablemente gobernará un segundo periodo, los casos de corrupción se dispararon de una forma escandalosa.  </w:t>
      </w:r>
    </w:p>
    <w:p w14:paraId="24CE2FAD" w14:textId="77777777" w:rsidR="00597603" w:rsidRPr="00C159D3" w:rsidRDefault="00597603" w:rsidP="00597603">
      <w:pPr>
        <w:ind w:left="709"/>
        <w:jc w:val="both"/>
        <w:rPr>
          <w:rFonts w:ascii="Abadi" w:hAnsi="Abadi" w:cs="Arial"/>
          <w:i/>
          <w:sz w:val="21"/>
          <w:szCs w:val="21"/>
          <w:lang w:val="es-MX" w:eastAsia="es-MX"/>
        </w:rPr>
      </w:pPr>
      <w:r w:rsidRPr="00C159D3">
        <w:rPr>
          <w:rFonts w:ascii="Abadi" w:hAnsi="Abadi" w:cs="Arial"/>
          <w:i/>
          <w:sz w:val="21"/>
          <w:szCs w:val="21"/>
          <w:lang w:val="es-MX" w:eastAsia="es-MX"/>
        </w:rPr>
        <w:t xml:space="preserve">Ejemplo de lo anterior puede encontrarse al revisar algunas de las auditorías más recientes, realizadas por la Auditoría </w:t>
      </w:r>
      <w:r w:rsidRPr="00C159D3">
        <w:rPr>
          <w:rFonts w:ascii="Abadi" w:hAnsi="Abadi" w:cs="Arial"/>
          <w:i/>
          <w:sz w:val="21"/>
          <w:szCs w:val="21"/>
          <w:lang w:val="es-MX" w:eastAsia="es-MX"/>
        </w:rPr>
        <w:t>Superior del Estado de Guanajuato, que se han difundido sobre el municipio.</w:t>
      </w:r>
    </w:p>
    <w:p w14:paraId="1507BB0B" w14:textId="77777777" w:rsidR="00597603" w:rsidRPr="00C159D3" w:rsidRDefault="00597603" w:rsidP="00597603">
      <w:pPr>
        <w:ind w:left="709"/>
        <w:jc w:val="both"/>
        <w:rPr>
          <w:rFonts w:ascii="Abadi" w:hAnsi="Abadi" w:cs="Arial"/>
          <w:i/>
          <w:sz w:val="21"/>
          <w:szCs w:val="21"/>
          <w:lang w:val="es-MX" w:eastAsia="es-MX"/>
        </w:rPr>
      </w:pPr>
    </w:p>
    <w:p w14:paraId="649F5B80" w14:textId="77777777" w:rsidR="00597603" w:rsidRPr="00C159D3" w:rsidRDefault="00597603" w:rsidP="00597603">
      <w:pPr>
        <w:ind w:left="709"/>
        <w:jc w:val="both"/>
        <w:rPr>
          <w:rFonts w:ascii="Abadi" w:hAnsi="Abadi" w:cs="Arial"/>
          <w:i/>
          <w:sz w:val="21"/>
          <w:szCs w:val="21"/>
          <w:lang w:val="es-MX" w:eastAsia="es-MX"/>
        </w:rPr>
      </w:pPr>
      <w:r w:rsidRPr="00C159D3">
        <w:rPr>
          <w:rFonts w:ascii="Abadi" w:hAnsi="Abadi" w:cs="Arial"/>
          <w:i/>
          <w:sz w:val="21"/>
          <w:szCs w:val="21"/>
          <w:lang w:val="es-MX" w:eastAsia="es-MX"/>
        </w:rPr>
        <w:t xml:space="preserve">Una de estas auditorías fue la realizada al ramo general 33 y obra pública del municipio para el ejercicio fiscal de 2019, cuando encontramos que, con una revisión de apenas el 31% de los egresos, se observaron $382,087.02 (trescientos ochenta y dos mil ochenta y siete pesos) de recursos mal ejercidos. Dichos recursos se observaron debido a obra pública que se pagó y no se ejerció, así como a la bajísima calidad de la obra de pavimentación de calles aledañas al Centro de Estudios de Bachillerato 86 del municipio.  </w:t>
      </w:r>
    </w:p>
    <w:p w14:paraId="50863AC8" w14:textId="77777777" w:rsidR="00597603" w:rsidRPr="00C159D3" w:rsidRDefault="00597603" w:rsidP="00597603">
      <w:pPr>
        <w:ind w:left="709"/>
        <w:jc w:val="both"/>
        <w:rPr>
          <w:rFonts w:ascii="Abadi" w:hAnsi="Abadi" w:cs="Arial"/>
          <w:i/>
          <w:sz w:val="21"/>
          <w:szCs w:val="21"/>
          <w:lang w:val="es-MX" w:eastAsia="es-MX"/>
        </w:rPr>
      </w:pPr>
    </w:p>
    <w:p w14:paraId="4889D91B" w14:textId="77777777" w:rsidR="00597603" w:rsidRPr="00C159D3" w:rsidRDefault="00597603" w:rsidP="00597603">
      <w:pPr>
        <w:ind w:left="709"/>
        <w:jc w:val="both"/>
        <w:rPr>
          <w:rFonts w:ascii="Abadi" w:hAnsi="Abadi" w:cs="Arial"/>
          <w:i/>
          <w:sz w:val="21"/>
          <w:szCs w:val="21"/>
          <w:lang w:val="es-MX" w:eastAsia="es-MX"/>
        </w:rPr>
      </w:pPr>
      <w:r w:rsidRPr="00C159D3">
        <w:rPr>
          <w:rFonts w:ascii="Abadi" w:hAnsi="Abadi" w:cs="Arial"/>
          <w:i/>
          <w:sz w:val="21"/>
          <w:szCs w:val="21"/>
          <w:lang w:val="es-MX" w:eastAsia="es-MX"/>
        </w:rPr>
        <w:t xml:space="preserve">Otra de las auditorías en mención es la revisión a la Cuenta Pública 2019, cuando con un 58% de revisión se encontraron malas prácticas de pago de prestaciones a algunos trabajadores, así como la exhibición ilegal de momias. </w:t>
      </w:r>
    </w:p>
    <w:p w14:paraId="6B5AC177" w14:textId="77777777" w:rsidR="00597603" w:rsidRPr="00C159D3" w:rsidRDefault="00597603" w:rsidP="00597603">
      <w:pPr>
        <w:ind w:left="709"/>
        <w:jc w:val="both"/>
        <w:rPr>
          <w:rFonts w:ascii="Abadi" w:hAnsi="Abadi" w:cs="Arial"/>
          <w:i/>
          <w:sz w:val="21"/>
          <w:szCs w:val="21"/>
          <w:lang w:val="es-MX" w:eastAsia="es-MX"/>
        </w:rPr>
      </w:pPr>
    </w:p>
    <w:p w14:paraId="13BCD836" w14:textId="77777777" w:rsidR="00597603" w:rsidRPr="00C159D3" w:rsidRDefault="00597603" w:rsidP="00597603">
      <w:pPr>
        <w:ind w:left="709"/>
        <w:jc w:val="both"/>
        <w:rPr>
          <w:rFonts w:ascii="Abadi" w:hAnsi="Abadi" w:cs="Arial"/>
          <w:i/>
          <w:sz w:val="21"/>
          <w:szCs w:val="21"/>
          <w:lang w:val="es-MX" w:eastAsia="es-MX"/>
        </w:rPr>
      </w:pPr>
      <w:r w:rsidRPr="00C159D3">
        <w:rPr>
          <w:rFonts w:ascii="Abadi" w:hAnsi="Abadi" w:cs="Arial"/>
          <w:i/>
          <w:sz w:val="21"/>
          <w:szCs w:val="21"/>
          <w:lang w:val="es-MX" w:eastAsia="es-MX"/>
        </w:rPr>
        <w:t xml:space="preserve">Sin embargo, los casos de corrupción no investigada y perseguida con diligencia en el municipio son muchos más. Tan sólo por recordar algunas de las denuncias que se han realizado por diferentes faltas cometidas en la administración panista de Alejandro Navarro, conviene mencionar las siguientes derivadas en carpetas de investigación estancadas en la Fiscalía Especializada en Combate a la Corrupción:  </w:t>
      </w:r>
    </w:p>
    <w:p w14:paraId="4EBF4B56" w14:textId="77777777" w:rsidR="00597603" w:rsidRPr="00C159D3" w:rsidRDefault="00597603" w:rsidP="00597603">
      <w:pPr>
        <w:ind w:left="709"/>
        <w:jc w:val="both"/>
        <w:rPr>
          <w:rFonts w:ascii="Abadi" w:hAnsi="Abadi" w:cs="Arial"/>
          <w:i/>
          <w:sz w:val="21"/>
          <w:szCs w:val="21"/>
          <w:lang w:val="es-MX" w:eastAsia="es-MX"/>
        </w:rPr>
      </w:pPr>
    </w:p>
    <w:p w14:paraId="1BB9F32B" w14:textId="77777777" w:rsidR="00597603" w:rsidRPr="00C159D3" w:rsidRDefault="00597603" w:rsidP="00597603">
      <w:pPr>
        <w:ind w:left="709"/>
        <w:jc w:val="both"/>
        <w:rPr>
          <w:rFonts w:ascii="Abadi" w:hAnsi="Abadi" w:cs="Arial"/>
          <w:i/>
          <w:sz w:val="21"/>
          <w:szCs w:val="21"/>
          <w:lang w:val="es-MX" w:eastAsia="es-MX"/>
        </w:rPr>
      </w:pPr>
      <w:r w:rsidRPr="00C159D3">
        <w:rPr>
          <w:rFonts w:ascii="Abadi" w:hAnsi="Abadi" w:cs="Arial"/>
          <w:i/>
          <w:sz w:val="21"/>
          <w:szCs w:val="21"/>
          <w:lang w:val="es-MX" w:eastAsia="es-MX"/>
        </w:rPr>
        <w:t>•</w:t>
      </w:r>
      <w:r w:rsidRPr="00C159D3">
        <w:rPr>
          <w:rFonts w:ascii="Abadi" w:hAnsi="Abadi" w:cs="Arial"/>
          <w:i/>
          <w:sz w:val="21"/>
          <w:szCs w:val="21"/>
          <w:lang w:val="es-MX" w:eastAsia="es-MX"/>
        </w:rPr>
        <w:tab/>
        <w:t>Ejercicio ilícito del servicio público por no proteger el patrimonio público, derivada en la carpeta de investigación 69065/2020.</w:t>
      </w:r>
    </w:p>
    <w:p w14:paraId="47B272B1" w14:textId="77777777" w:rsidR="00597603" w:rsidRPr="00C159D3" w:rsidRDefault="00597603" w:rsidP="00597603">
      <w:pPr>
        <w:ind w:left="709"/>
        <w:jc w:val="both"/>
        <w:rPr>
          <w:rFonts w:ascii="Abadi" w:hAnsi="Abadi" w:cs="Arial"/>
          <w:i/>
          <w:sz w:val="21"/>
          <w:szCs w:val="21"/>
          <w:lang w:val="es-MX" w:eastAsia="es-MX"/>
        </w:rPr>
      </w:pPr>
      <w:r w:rsidRPr="00C159D3">
        <w:rPr>
          <w:rFonts w:ascii="Abadi" w:hAnsi="Abadi" w:cs="Arial"/>
          <w:i/>
          <w:sz w:val="21"/>
          <w:szCs w:val="21"/>
          <w:lang w:val="es-MX" w:eastAsia="es-MX"/>
        </w:rPr>
        <w:t>•</w:t>
      </w:r>
      <w:r w:rsidRPr="00C159D3">
        <w:rPr>
          <w:rFonts w:ascii="Abadi" w:hAnsi="Abadi" w:cs="Arial"/>
          <w:i/>
          <w:sz w:val="21"/>
          <w:szCs w:val="21"/>
          <w:lang w:val="es-MX" w:eastAsia="es-MX"/>
        </w:rPr>
        <w:tab/>
        <w:t>Tráfico de influencias por promover incrementos al costo de museos públicos con el fin de obtener ventajas comerciales para empresas de la familia política de Navarro, derivada en la carpeta de investigación 99470/2020.</w:t>
      </w:r>
    </w:p>
    <w:p w14:paraId="23E6C160" w14:textId="77777777" w:rsidR="00597603" w:rsidRPr="00C159D3" w:rsidRDefault="00597603" w:rsidP="00597603">
      <w:pPr>
        <w:ind w:left="709"/>
        <w:jc w:val="both"/>
        <w:rPr>
          <w:rFonts w:ascii="Abadi" w:hAnsi="Abadi" w:cs="Arial"/>
          <w:i/>
          <w:sz w:val="21"/>
          <w:szCs w:val="21"/>
          <w:lang w:val="es-MX" w:eastAsia="es-MX"/>
        </w:rPr>
      </w:pPr>
      <w:r w:rsidRPr="00C159D3">
        <w:rPr>
          <w:rFonts w:ascii="Abadi" w:hAnsi="Abadi" w:cs="Arial"/>
          <w:i/>
          <w:sz w:val="21"/>
          <w:szCs w:val="21"/>
          <w:lang w:val="es-MX" w:eastAsia="es-MX"/>
        </w:rPr>
        <w:t>•</w:t>
      </w:r>
      <w:r w:rsidRPr="00C159D3">
        <w:rPr>
          <w:rFonts w:ascii="Abadi" w:hAnsi="Abadi" w:cs="Arial"/>
          <w:i/>
          <w:sz w:val="21"/>
          <w:szCs w:val="21"/>
          <w:lang w:val="es-MX" w:eastAsia="es-MX"/>
        </w:rPr>
        <w:tab/>
        <w:t>Abuso de autoridad y uso ilícito de atribuciones por acaparar facultades plenipotenciarias contra la normativa en el manejo de bienes patrimoniales del municipio, derivada en la carpeta de investigación 116870/2020.</w:t>
      </w:r>
    </w:p>
    <w:p w14:paraId="669547E1" w14:textId="77777777" w:rsidR="00597603" w:rsidRPr="00C159D3" w:rsidRDefault="00597603" w:rsidP="00597603">
      <w:pPr>
        <w:ind w:left="709"/>
        <w:jc w:val="both"/>
        <w:rPr>
          <w:rFonts w:ascii="Abadi" w:hAnsi="Abadi" w:cs="Arial"/>
          <w:i/>
          <w:sz w:val="21"/>
          <w:szCs w:val="21"/>
          <w:lang w:val="es-MX" w:eastAsia="es-MX"/>
        </w:rPr>
      </w:pPr>
    </w:p>
    <w:p w14:paraId="07F371F0" w14:textId="77777777" w:rsidR="00597603" w:rsidRPr="00C159D3" w:rsidRDefault="00597603" w:rsidP="00597603">
      <w:pPr>
        <w:ind w:left="709"/>
        <w:jc w:val="both"/>
        <w:rPr>
          <w:rFonts w:ascii="Abadi" w:hAnsi="Abadi" w:cs="Arial"/>
          <w:i/>
          <w:sz w:val="21"/>
          <w:szCs w:val="21"/>
          <w:lang w:val="es-MX" w:eastAsia="es-MX"/>
        </w:rPr>
      </w:pPr>
      <w:r w:rsidRPr="00C159D3">
        <w:rPr>
          <w:rFonts w:ascii="Abadi" w:hAnsi="Abadi" w:cs="Arial"/>
          <w:i/>
          <w:sz w:val="21"/>
          <w:szCs w:val="21"/>
          <w:lang w:val="es-MX" w:eastAsia="es-MX"/>
        </w:rPr>
        <w:t xml:space="preserve">Estos son sólo ejemplos, pues en realidad el todavía alcalde acumula 18 denuncias </w:t>
      </w:r>
      <w:r w:rsidRPr="00C159D3">
        <w:rPr>
          <w:rFonts w:ascii="Abadi" w:hAnsi="Abadi" w:cs="Arial"/>
          <w:i/>
          <w:sz w:val="21"/>
          <w:szCs w:val="21"/>
          <w:lang w:val="es-MX" w:eastAsia="es-MX"/>
        </w:rPr>
        <w:lastRenderedPageBreak/>
        <w:t xml:space="preserve">por conductas relacionadas con violaciones al marco legal, actos de corrupción, violencia de género, actos anticipados de campaña y violaciones a derechos humanos.  </w:t>
      </w:r>
    </w:p>
    <w:p w14:paraId="2166A695" w14:textId="77777777" w:rsidR="00597603" w:rsidRPr="00C159D3" w:rsidRDefault="00597603" w:rsidP="00597603">
      <w:pPr>
        <w:ind w:left="709"/>
        <w:jc w:val="both"/>
        <w:rPr>
          <w:rFonts w:ascii="Abadi" w:hAnsi="Abadi" w:cs="Arial"/>
          <w:i/>
          <w:sz w:val="21"/>
          <w:szCs w:val="21"/>
          <w:lang w:val="es-MX" w:eastAsia="es-MX"/>
        </w:rPr>
      </w:pPr>
    </w:p>
    <w:p w14:paraId="7A1163EA" w14:textId="77777777" w:rsidR="00597603" w:rsidRPr="00C159D3" w:rsidRDefault="00597603" w:rsidP="00597603">
      <w:pPr>
        <w:ind w:left="709"/>
        <w:jc w:val="both"/>
        <w:rPr>
          <w:rFonts w:ascii="Abadi" w:hAnsi="Abadi" w:cs="Arial"/>
          <w:i/>
          <w:sz w:val="21"/>
          <w:szCs w:val="21"/>
          <w:lang w:val="es-MX" w:eastAsia="es-MX"/>
        </w:rPr>
      </w:pPr>
      <w:r w:rsidRPr="00C159D3">
        <w:rPr>
          <w:rFonts w:ascii="Abadi" w:hAnsi="Abadi" w:cs="Arial"/>
          <w:i/>
          <w:sz w:val="21"/>
          <w:szCs w:val="21"/>
          <w:lang w:val="es-MX" w:eastAsia="es-MX"/>
        </w:rPr>
        <w:t xml:space="preserve">Pese a lo anterior, todas estas denuncias no son producto de instituciones fiscalizadoras y de rendición de cuentas eficaces; sino de una ciudadanía incapaz de ignorar la corrupción desbordada de la administración pública municipal que encabeza Alejandro Navarro.  </w:t>
      </w:r>
    </w:p>
    <w:p w14:paraId="0832F448" w14:textId="77777777" w:rsidR="00597603" w:rsidRPr="00C159D3" w:rsidRDefault="00597603" w:rsidP="00597603">
      <w:pPr>
        <w:ind w:left="709"/>
        <w:jc w:val="both"/>
        <w:rPr>
          <w:rFonts w:ascii="Abadi" w:hAnsi="Abadi" w:cs="Arial"/>
          <w:i/>
          <w:sz w:val="21"/>
          <w:szCs w:val="21"/>
          <w:lang w:val="es-MX" w:eastAsia="es-MX"/>
        </w:rPr>
      </w:pPr>
    </w:p>
    <w:p w14:paraId="25D233C4" w14:textId="77777777" w:rsidR="00597603" w:rsidRPr="00C159D3" w:rsidRDefault="00597603" w:rsidP="00597603">
      <w:pPr>
        <w:ind w:left="709"/>
        <w:jc w:val="both"/>
        <w:rPr>
          <w:rFonts w:ascii="Abadi" w:hAnsi="Abadi" w:cs="Arial"/>
          <w:i/>
          <w:sz w:val="21"/>
          <w:szCs w:val="21"/>
          <w:lang w:val="es-MX" w:eastAsia="es-MX"/>
        </w:rPr>
      </w:pPr>
      <w:r w:rsidRPr="00C159D3">
        <w:rPr>
          <w:rFonts w:ascii="Abadi" w:hAnsi="Abadi" w:cs="Arial"/>
          <w:i/>
          <w:sz w:val="21"/>
          <w:szCs w:val="21"/>
          <w:lang w:val="es-MX" w:eastAsia="es-MX"/>
        </w:rPr>
        <w:t>Adicionalmente a la experiencia acumulada de la probable corrupción panista de la capital del estado, se acumula el hecho de que el suegro de Alejandro Navarro es un importante empresario que en los últimos años se ha acostumbrado a hacer negocios al amparo del poder público. Ejemplo de esto se encuentra en el caso de Quinta Marfil, cuando la zona fue deforestada para abrir un camino sin permisos, beneficiando a dueños de terrenos como el suegro de Navarro.</w:t>
      </w:r>
    </w:p>
    <w:p w14:paraId="0C18B63B" w14:textId="77777777" w:rsidR="00597603" w:rsidRPr="00C159D3" w:rsidRDefault="00597603" w:rsidP="00597603">
      <w:pPr>
        <w:ind w:left="709"/>
        <w:jc w:val="both"/>
        <w:rPr>
          <w:rFonts w:ascii="Abadi" w:hAnsi="Abadi" w:cs="Arial"/>
          <w:i/>
          <w:sz w:val="21"/>
          <w:szCs w:val="21"/>
          <w:lang w:val="es-MX" w:eastAsia="es-MX"/>
        </w:rPr>
      </w:pPr>
    </w:p>
    <w:p w14:paraId="2B13A89C" w14:textId="77777777" w:rsidR="00597603" w:rsidRPr="00C159D3" w:rsidRDefault="00597603" w:rsidP="00597603">
      <w:pPr>
        <w:ind w:left="709"/>
        <w:jc w:val="both"/>
        <w:rPr>
          <w:rFonts w:ascii="Abadi" w:hAnsi="Abadi" w:cs="Arial"/>
          <w:i/>
          <w:sz w:val="21"/>
          <w:szCs w:val="21"/>
          <w:lang w:val="es-MX" w:eastAsia="es-MX"/>
        </w:rPr>
      </w:pPr>
    </w:p>
    <w:p w14:paraId="2C3844D6" w14:textId="77777777" w:rsidR="00597603" w:rsidRPr="00C159D3" w:rsidRDefault="00597603" w:rsidP="00597603">
      <w:pPr>
        <w:ind w:left="709"/>
        <w:jc w:val="both"/>
        <w:rPr>
          <w:rFonts w:ascii="Abadi" w:hAnsi="Abadi" w:cs="Arial"/>
          <w:i/>
          <w:sz w:val="21"/>
          <w:szCs w:val="21"/>
          <w:lang w:val="es-MX" w:eastAsia="es-MX"/>
        </w:rPr>
      </w:pPr>
    </w:p>
    <w:p w14:paraId="05B58942" w14:textId="77777777" w:rsidR="00597603" w:rsidRPr="00C159D3" w:rsidRDefault="00597603" w:rsidP="00597603">
      <w:pPr>
        <w:ind w:left="709"/>
        <w:jc w:val="both"/>
        <w:rPr>
          <w:rFonts w:ascii="Abadi" w:hAnsi="Abadi" w:cs="Arial"/>
          <w:i/>
          <w:sz w:val="21"/>
          <w:szCs w:val="21"/>
          <w:lang w:val="es-MX" w:eastAsia="es-MX"/>
        </w:rPr>
      </w:pPr>
      <w:r w:rsidRPr="00C159D3">
        <w:rPr>
          <w:rFonts w:ascii="Abadi" w:hAnsi="Abadi" w:cs="Arial"/>
          <w:i/>
          <w:sz w:val="21"/>
          <w:szCs w:val="21"/>
          <w:lang w:val="es-MX" w:eastAsia="es-MX"/>
        </w:rPr>
        <w:t>De esta manera, desde el Grupo Parlamentario de Morena consideramos que, en un ejercicio de contribución al combate a la corrupción, es imprescindible que elevemos el alcance de las auditorías que la Auditoría Superior del Estado ha realizado a la administración de la capital del estado.</w:t>
      </w:r>
    </w:p>
    <w:p w14:paraId="205F4F58" w14:textId="77777777" w:rsidR="00597603" w:rsidRPr="00C159D3" w:rsidRDefault="00597603" w:rsidP="00597603">
      <w:pPr>
        <w:ind w:left="709"/>
        <w:jc w:val="both"/>
        <w:rPr>
          <w:rFonts w:ascii="Abadi" w:hAnsi="Abadi" w:cs="Arial"/>
          <w:i/>
          <w:sz w:val="21"/>
          <w:szCs w:val="21"/>
          <w:lang w:eastAsia="es-MX"/>
        </w:rPr>
      </w:pPr>
    </w:p>
    <w:p w14:paraId="03739673" w14:textId="77777777" w:rsidR="00597603" w:rsidRPr="00C159D3" w:rsidRDefault="00597603" w:rsidP="001A28E5">
      <w:pPr>
        <w:numPr>
          <w:ilvl w:val="0"/>
          <w:numId w:val="51"/>
        </w:numPr>
        <w:jc w:val="both"/>
        <w:rPr>
          <w:rFonts w:ascii="Abadi" w:hAnsi="Abadi" w:cs="Arial"/>
          <w:b/>
          <w:bCs/>
          <w:sz w:val="21"/>
          <w:szCs w:val="21"/>
          <w:lang w:val="es-MX" w:eastAsia="es-MX"/>
        </w:rPr>
      </w:pPr>
      <w:r w:rsidRPr="00C159D3">
        <w:rPr>
          <w:rFonts w:ascii="Abadi" w:hAnsi="Abadi" w:cs="Arial"/>
          <w:b/>
          <w:bCs/>
          <w:sz w:val="21"/>
          <w:szCs w:val="21"/>
          <w:lang w:val="es-MX" w:eastAsia="es-MX"/>
        </w:rPr>
        <w:t>Consideraciones de la Comisión</w:t>
      </w:r>
    </w:p>
    <w:p w14:paraId="045F6517" w14:textId="77777777" w:rsidR="00597603" w:rsidRPr="00C159D3" w:rsidRDefault="00597603" w:rsidP="00597603">
      <w:pPr>
        <w:ind w:left="1080"/>
        <w:jc w:val="both"/>
        <w:rPr>
          <w:rFonts w:ascii="Abadi" w:eastAsia="Batang" w:hAnsi="Abadi" w:cs="Arial"/>
          <w:sz w:val="21"/>
          <w:szCs w:val="21"/>
          <w:lang w:val="es-MX" w:eastAsia="es-MX"/>
        </w:rPr>
      </w:pPr>
    </w:p>
    <w:p w14:paraId="5AB5D661" w14:textId="77777777" w:rsidR="00597603" w:rsidRPr="00C159D3" w:rsidRDefault="00597603" w:rsidP="00597603">
      <w:pPr>
        <w:ind w:firstLine="708"/>
        <w:contextualSpacing/>
        <w:jc w:val="both"/>
        <w:rPr>
          <w:rFonts w:ascii="Abadi" w:hAnsi="Abadi"/>
          <w:spacing w:val="-10"/>
          <w:kern w:val="28"/>
          <w:sz w:val="21"/>
          <w:szCs w:val="21"/>
          <w:lang w:val="es-MX" w:eastAsia="en-US"/>
        </w:rPr>
      </w:pPr>
      <w:r w:rsidRPr="00C159D3">
        <w:rPr>
          <w:rFonts w:ascii="Abadi" w:hAnsi="Abadi" w:cs="Tahoma"/>
          <w:sz w:val="21"/>
          <w:szCs w:val="21"/>
          <w:lang w:val="es-MX" w:eastAsia="es-MX"/>
        </w:rPr>
        <w:t xml:space="preserve">En las consideraciones expuestas en la propuesta que se dictamina se señala la necesidad de fiscalizar el uso y destino de recursos públicos de la administración pública municipal de Guanajuato, Gto., 2018-2021 y concomitante a 2022; aludiendo a 3 denuncias presentadas en la Fiscalía Especializada en Combate a la Corrupción, así como la existencia de casos de corrupción no investigada con relación a diversos hechos. </w:t>
      </w:r>
    </w:p>
    <w:p w14:paraId="0CEE3BD5" w14:textId="77777777" w:rsidR="00597603" w:rsidRPr="00C159D3" w:rsidRDefault="00597603" w:rsidP="00597603">
      <w:pPr>
        <w:ind w:firstLine="708"/>
        <w:jc w:val="both"/>
        <w:rPr>
          <w:rFonts w:ascii="Abadi" w:hAnsi="Abadi" w:cs="Tahoma"/>
          <w:sz w:val="21"/>
          <w:szCs w:val="21"/>
          <w:lang w:val="es-MX" w:eastAsia="es-MX"/>
        </w:rPr>
      </w:pPr>
    </w:p>
    <w:p w14:paraId="2A79FFC5" w14:textId="77777777" w:rsidR="00597603" w:rsidRPr="00C159D3" w:rsidRDefault="00597603" w:rsidP="00597603">
      <w:pPr>
        <w:ind w:firstLine="708"/>
        <w:jc w:val="both"/>
        <w:rPr>
          <w:rFonts w:ascii="Abadi" w:hAnsi="Abadi" w:cs="Tahoma"/>
          <w:sz w:val="21"/>
          <w:szCs w:val="21"/>
          <w:lang w:val="es-MX" w:eastAsia="es-MX"/>
        </w:rPr>
      </w:pPr>
      <w:r w:rsidRPr="00C159D3">
        <w:rPr>
          <w:rFonts w:ascii="Abadi" w:hAnsi="Abadi" w:cs="Tahoma"/>
          <w:sz w:val="21"/>
          <w:szCs w:val="21"/>
          <w:lang w:val="es-MX" w:eastAsia="es-MX"/>
        </w:rPr>
        <w:t xml:space="preserve">Al respecto quienes integramos esta Comisión consideramos que la función de control es uno de los mecanismos que preservan el equilibrio entre los poderes públicos y asegura la </w:t>
      </w:r>
      <w:r w:rsidRPr="00C159D3">
        <w:rPr>
          <w:rFonts w:ascii="Abadi" w:hAnsi="Abadi" w:cs="Tahoma"/>
          <w:sz w:val="21"/>
          <w:szCs w:val="21"/>
          <w:lang w:val="es-MX" w:eastAsia="es-MX"/>
        </w:rPr>
        <w:t xml:space="preserve">vigencia de la ley como un instrumento que somete toda actuación de la autoridad y preserva las garantías y derechos de los ciudadanos. La vigilancia y el control sobre el ejercicio de los recursos públicos encomendados a las autoridades es una de las funciones primordiales que tiene el Poder Legislativo como responsable originario de esa función de control. </w:t>
      </w:r>
    </w:p>
    <w:p w14:paraId="2555F48C" w14:textId="77777777" w:rsidR="00597603" w:rsidRPr="00C159D3" w:rsidRDefault="00597603" w:rsidP="00597603">
      <w:pPr>
        <w:ind w:firstLine="720"/>
        <w:jc w:val="both"/>
        <w:rPr>
          <w:rFonts w:ascii="Abadi" w:hAnsi="Abadi" w:cs="Tahoma"/>
          <w:sz w:val="21"/>
          <w:szCs w:val="21"/>
          <w:lang w:val="es-MX" w:eastAsia="es-MX"/>
        </w:rPr>
      </w:pPr>
    </w:p>
    <w:p w14:paraId="6D935960" w14:textId="77777777" w:rsidR="00597603" w:rsidRPr="00C159D3" w:rsidRDefault="00597603" w:rsidP="00597603">
      <w:pPr>
        <w:ind w:firstLine="720"/>
        <w:jc w:val="both"/>
        <w:rPr>
          <w:rFonts w:ascii="Abadi" w:hAnsi="Abadi" w:cs="Tahoma"/>
          <w:sz w:val="21"/>
          <w:szCs w:val="21"/>
          <w:lang w:val="es-MX" w:eastAsia="es-MX"/>
        </w:rPr>
      </w:pPr>
      <w:r w:rsidRPr="00C159D3">
        <w:rPr>
          <w:rFonts w:ascii="Abadi" w:hAnsi="Abadi" w:cs="Tahoma"/>
          <w:sz w:val="21"/>
          <w:szCs w:val="21"/>
          <w:lang w:val="es-MX" w:eastAsia="es-MX"/>
        </w:rPr>
        <w:t>La administración, ejercicio, aplicación y control de los recursos públicos tienen que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w:t>
      </w:r>
    </w:p>
    <w:p w14:paraId="48D8B2C2" w14:textId="77777777" w:rsidR="00597603" w:rsidRPr="00C159D3" w:rsidRDefault="00597603" w:rsidP="00597603">
      <w:pPr>
        <w:jc w:val="both"/>
        <w:rPr>
          <w:rFonts w:ascii="Abadi" w:hAnsi="Abadi" w:cs="Tahoma"/>
          <w:sz w:val="21"/>
          <w:szCs w:val="21"/>
          <w:lang w:val="es-MX" w:eastAsia="es-MX"/>
        </w:rPr>
      </w:pPr>
      <w:r w:rsidRPr="00C159D3">
        <w:rPr>
          <w:rFonts w:ascii="Abadi" w:hAnsi="Abadi" w:cs="Tahoma"/>
          <w:sz w:val="21"/>
          <w:szCs w:val="21"/>
          <w:lang w:val="es-MX" w:eastAsia="es-MX"/>
        </w:rPr>
        <w:tab/>
      </w:r>
    </w:p>
    <w:p w14:paraId="3C4E921F" w14:textId="77777777" w:rsidR="00597603" w:rsidRPr="00C159D3" w:rsidRDefault="00597603" w:rsidP="00597603">
      <w:pPr>
        <w:ind w:firstLine="708"/>
        <w:jc w:val="both"/>
        <w:rPr>
          <w:rFonts w:ascii="Abadi" w:hAnsi="Abadi" w:cs="Tahoma"/>
          <w:sz w:val="21"/>
          <w:szCs w:val="21"/>
          <w:lang w:val="es-MX" w:eastAsia="es-MX"/>
        </w:rPr>
      </w:pPr>
      <w:r w:rsidRPr="00C159D3">
        <w:rPr>
          <w:rFonts w:ascii="Abadi" w:hAnsi="Abadi" w:cs="Tahoma"/>
          <w:sz w:val="21"/>
          <w:szCs w:val="21"/>
          <w:lang w:val="es-MX" w:eastAsia="es-MX"/>
        </w:rPr>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2D487A57" w14:textId="77777777" w:rsidR="00597603" w:rsidRPr="00C159D3" w:rsidRDefault="00597603" w:rsidP="00597603">
      <w:pPr>
        <w:jc w:val="both"/>
        <w:rPr>
          <w:rFonts w:ascii="Abadi" w:hAnsi="Abadi" w:cs="Tahoma"/>
          <w:sz w:val="21"/>
          <w:szCs w:val="21"/>
          <w:lang w:val="es-MX" w:eastAsia="es-MX"/>
        </w:rPr>
      </w:pPr>
    </w:p>
    <w:p w14:paraId="508A3598" w14:textId="77777777" w:rsidR="00597603" w:rsidRPr="00C159D3" w:rsidRDefault="00597603" w:rsidP="00597603">
      <w:pPr>
        <w:jc w:val="both"/>
        <w:rPr>
          <w:rFonts w:ascii="Abadi" w:hAnsi="Abadi" w:cs="Tahoma"/>
          <w:sz w:val="21"/>
          <w:szCs w:val="21"/>
          <w:lang w:val="es-MX" w:eastAsia="es-MX"/>
        </w:rPr>
      </w:pPr>
      <w:r w:rsidRPr="00C159D3">
        <w:rPr>
          <w:rFonts w:ascii="Abadi" w:hAnsi="Abadi" w:cs="Tahoma"/>
          <w:sz w:val="21"/>
          <w:szCs w:val="21"/>
          <w:lang w:val="es-MX" w:eastAsia="es-MX"/>
        </w:rPr>
        <w:tab/>
        <w:t xml:space="preserve">El artículo 116, fracción II, sexto párrafo de la Constitución Política de los Estados Unidos Mexicanos señala que: </w:t>
      </w:r>
      <w:r w:rsidRPr="00C159D3">
        <w:rPr>
          <w:rFonts w:ascii="Abadi" w:hAnsi="Abadi" w:cs="Tahoma"/>
          <w:i/>
          <w:sz w:val="21"/>
          <w:szCs w:val="21"/>
          <w:lang w:val="es-MX" w:eastAsia="es-MX"/>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C159D3">
        <w:rPr>
          <w:rFonts w:ascii="Abadi" w:hAnsi="Abadi" w:cs="Tahoma"/>
          <w:sz w:val="21"/>
          <w:szCs w:val="21"/>
          <w:lang w:val="es-MX" w:eastAsia="es-MX"/>
        </w:rPr>
        <w:t xml:space="preserve"> </w:t>
      </w:r>
    </w:p>
    <w:p w14:paraId="6136E7D3" w14:textId="77777777" w:rsidR="00597603" w:rsidRPr="00C159D3" w:rsidRDefault="00597603" w:rsidP="00597603">
      <w:pPr>
        <w:jc w:val="both"/>
        <w:rPr>
          <w:rFonts w:ascii="Abadi" w:hAnsi="Abadi" w:cs="Tahoma"/>
          <w:sz w:val="21"/>
          <w:szCs w:val="21"/>
          <w:lang w:val="es-MX" w:eastAsia="es-MX"/>
        </w:rPr>
      </w:pPr>
    </w:p>
    <w:p w14:paraId="1268812B" w14:textId="77777777" w:rsidR="00597603" w:rsidRPr="00C159D3" w:rsidRDefault="00597603" w:rsidP="00597603">
      <w:pPr>
        <w:ind w:firstLine="708"/>
        <w:jc w:val="both"/>
        <w:rPr>
          <w:rFonts w:ascii="Abadi" w:hAnsi="Abadi" w:cs="Tahoma"/>
          <w:sz w:val="21"/>
          <w:szCs w:val="21"/>
          <w:lang w:val="es-MX" w:eastAsia="es-MX"/>
        </w:rPr>
      </w:pPr>
      <w:r w:rsidRPr="00C159D3">
        <w:rPr>
          <w:rFonts w:ascii="Abadi" w:hAnsi="Abadi" w:cs="Tahoma"/>
          <w:sz w:val="21"/>
          <w:szCs w:val="21"/>
          <w:lang w:val="es-MX" w:eastAsia="es-MX"/>
        </w:rPr>
        <w:t xml:space="preserve">La Auditoría Superior del Estado, de conformidad con el artículo 66 de la Constitución Local, tiene autonomía técnica, de gestión y </w:t>
      </w:r>
      <w:r w:rsidRPr="00C159D3">
        <w:rPr>
          <w:rFonts w:ascii="Abadi" w:hAnsi="Abadi" w:cs="Tahoma"/>
          <w:sz w:val="21"/>
          <w:szCs w:val="21"/>
          <w:lang w:val="es-MX" w:eastAsia="es-MX"/>
        </w:rPr>
        <w:lastRenderedPageBreak/>
        <w:t xml:space="preserve">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mientras que la fracción IV del mismo precepto establece que la Auditoría Superior del Estado podrá acordar y practicar auditorías conforme a su programa anual y ejecutar las que acuerde el Congreso del Estado en los términos de la fracción XXVIII del artículo 63 de la propia Constitución Local. </w:t>
      </w:r>
    </w:p>
    <w:p w14:paraId="4E2FF73B" w14:textId="77777777" w:rsidR="00597603" w:rsidRPr="00C159D3" w:rsidRDefault="00597603" w:rsidP="00597603">
      <w:pPr>
        <w:ind w:firstLine="708"/>
        <w:jc w:val="both"/>
        <w:rPr>
          <w:rFonts w:ascii="Abadi" w:hAnsi="Abadi" w:cs="Tahoma"/>
          <w:sz w:val="21"/>
          <w:szCs w:val="21"/>
          <w:lang w:val="es-MX" w:eastAsia="es-MX"/>
        </w:rPr>
      </w:pPr>
    </w:p>
    <w:p w14:paraId="212C7D82" w14:textId="77777777" w:rsidR="00597603" w:rsidRPr="00C159D3" w:rsidRDefault="00597603" w:rsidP="00597603">
      <w:pPr>
        <w:ind w:firstLine="720"/>
        <w:jc w:val="both"/>
        <w:rPr>
          <w:rFonts w:ascii="Abadi" w:hAnsi="Abadi" w:cs="Tahoma"/>
          <w:sz w:val="21"/>
          <w:szCs w:val="21"/>
          <w:lang w:val="es-MX" w:eastAsia="es-MX"/>
        </w:rPr>
      </w:pPr>
      <w:r w:rsidRPr="00C159D3">
        <w:rPr>
          <w:rFonts w:ascii="Abadi" w:hAnsi="Abadi" w:cs="Tahoma"/>
          <w:sz w:val="21"/>
          <w:szCs w:val="21"/>
          <w:lang w:val="es-MX" w:eastAsia="es-MX"/>
        </w:rPr>
        <w:t>El ayuntamiento de Guanajuato, Gto., es sujeto de la función de fiscalización del Congreso del Estado, según se desprende de los artículos 63 fracciones XIX y XXVIII; y 66 de la Constitución Política local y 2, fracción II de la Ley de Fiscalización Superior del Estado de Guanajuato.</w:t>
      </w:r>
    </w:p>
    <w:p w14:paraId="42D7AD5B" w14:textId="77777777" w:rsidR="00597603" w:rsidRPr="00C159D3" w:rsidRDefault="00597603" w:rsidP="00597603">
      <w:pPr>
        <w:ind w:firstLine="720"/>
        <w:jc w:val="both"/>
        <w:rPr>
          <w:rFonts w:ascii="Abadi" w:hAnsi="Abadi" w:cs="Tahoma"/>
          <w:sz w:val="21"/>
          <w:szCs w:val="21"/>
          <w:lang w:val="es-MX" w:eastAsia="es-MX"/>
        </w:rPr>
      </w:pPr>
    </w:p>
    <w:p w14:paraId="672260AF" w14:textId="77777777" w:rsidR="00597603" w:rsidRPr="00C159D3" w:rsidRDefault="00597603" w:rsidP="00597603">
      <w:pPr>
        <w:ind w:firstLine="720"/>
        <w:jc w:val="both"/>
        <w:rPr>
          <w:rFonts w:ascii="Abadi" w:hAnsi="Abadi" w:cs="Tahoma"/>
          <w:sz w:val="21"/>
          <w:szCs w:val="21"/>
          <w:lang w:val="es-MX" w:eastAsia="es-MX"/>
        </w:rPr>
      </w:pPr>
      <w:r w:rsidRPr="00C159D3">
        <w:rPr>
          <w:rFonts w:ascii="Abadi" w:hAnsi="Abadi" w:cs="Tahoma"/>
          <w:sz w:val="21"/>
          <w:szCs w:val="21"/>
          <w:lang w:val="es-MX" w:eastAsia="es-MX"/>
        </w:rPr>
        <w:t>En este orden de ideas, de acuerdo a la información proporcionada por la Auditoría Superior del Estado, durante los ejercicios fiscales 2019 y 2020 se efectuaron las siguientes revisiones y auditorías a la administración pública de Guanajuato, Gto.:</w:t>
      </w:r>
    </w:p>
    <w:p w14:paraId="2CE4179B" w14:textId="77777777" w:rsidR="00597603" w:rsidRPr="00C159D3" w:rsidRDefault="00597603" w:rsidP="00597603">
      <w:pPr>
        <w:rPr>
          <w:rFonts w:ascii="Abadi" w:hAnsi="Abadi"/>
          <w:b/>
          <w:sz w:val="21"/>
          <w:szCs w:val="21"/>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1377"/>
        <w:gridCol w:w="1063"/>
        <w:gridCol w:w="1063"/>
      </w:tblGrid>
      <w:tr w:rsidR="00597603" w:rsidRPr="00C159D3" w14:paraId="6A147833" w14:textId="77777777" w:rsidTr="004E6068">
        <w:trPr>
          <w:jc w:val="center"/>
        </w:trPr>
        <w:tc>
          <w:tcPr>
            <w:tcW w:w="1271" w:type="dxa"/>
            <w:shd w:val="clear" w:color="auto" w:fill="auto"/>
          </w:tcPr>
          <w:p w14:paraId="456A5CB7" w14:textId="77777777" w:rsidR="00597603" w:rsidRPr="00C159D3" w:rsidRDefault="00597603" w:rsidP="004E6068">
            <w:pPr>
              <w:jc w:val="center"/>
              <w:rPr>
                <w:rFonts w:ascii="Abadi" w:hAnsi="Abadi"/>
                <w:b/>
                <w:sz w:val="21"/>
                <w:szCs w:val="21"/>
                <w:lang w:val="es-MX" w:eastAsia="en-US"/>
              </w:rPr>
            </w:pPr>
            <w:r w:rsidRPr="00C159D3">
              <w:rPr>
                <w:rFonts w:ascii="Abadi" w:hAnsi="Abadi"/>
                <w:b/>
                <w:sz w:val="21"/>
                <w:szCs w:val="21"/>
                <w:lang w:val="es-MX" w:eastAsia="en-US"/>
              </w:rPr>
              <w:t>Ejercicio</w:t>
            </w:r>
          </w:p>
        </w:tc>
        <w:tc>
          <w:tcPr>
            <w:tcW w:w="3404" w:type="dxa"/>
            <w:shd w:val="clear" w:color="auto" w:fill="auto"/>
          </w:tcPr>
          <w:p w14:paraId="1C73B64B" w14:textId="77777777" w:rsidR="00597603" w:rsidRPr="00C159D3" w:rsidRDefault="00597603" w:rsidP="004E6068">
            <w:pPr>
              <w:jc w:val="center"/>
              <w:rPr>
                <w:rFonts w:ascii="Abadi" w:hAnsi="Abadi"/>
                <w:b/>
                <w:sz w:val="21"/>
                <w:szCs w:val="21"/>
                <w:lang w:val="es-MX" w:eastAsia="en-US"/>
              </w:rPr>
            </w:pPr>
            <w:r w:rsidRPr="00C159D3">
              <w:rPr>
                <w:rFonts w:ascii="Abadi" w:hAnsi="Abadi"/>
                <w:b/>
                <w:sz w:val="21"/>
                <w:szCs w:val="21"/>
                <w:lang w:val="es-MX" w:eastAsia="en-US"/>
              </w:rPr>
              <w:t>Tipo de Revisión</w:t>
            </w:r>
          </w:p>
          <w:p w14:paraId="1E251E9C" w14:textId="77777777" w:rsidR="00597603" w:rsidRPr="00C159D3" w:rsidRDefault="00597603" w:rsidP="004E6068">
            <w:pPr>
              <w:jc w:val="center"/>
              <w:rPr>
                <w:rFonts w:ascii="Abadi" w:hAnsi="Abadi"/>
                <w:b/>
                <w:sz w:val="21"/>
                <w:szCs w:val="21"/>
                <w:lang w:val="es-MX" w:eastAsia="en-US"/>
              </w:rPr>
            </w:pPr>
            <w:r w:rsidRPr="00C159D3">
              <w:rPr>
                <w:rFonts w:ascii="Abadi" w:hAnsi="Abadi"/>
                <w:b/>
                <w:sz w:val="21"/>
                <w:szCs w:val="21"/>
                <w:lang w:val="es-MX" w:eastAsia="en-US"/>
              </w:rPr>
              <w:t>/Auditoría</w:t>
            </w:r>
          </w:p>
        </w:tc>
        <w:tc>
          <w:tcPr>
            <w:tcW w:w="1431" w:type="dxa"/>
            <w:shd w:val="clear" w:color="auto" w:fill="auto"/>
          </w:tcPr>
          <w:p w14:paraId="11140577" w14:textId="77777777" w:rsidR="00597603" w:rsidRPr="00C159D3" w:rsidRDefault="00597603" w:rsidP="004E6068">
            <w:pPr>
              <w:jc w:val="center"/>
              <w:rPr>
                <w:rFonts w:ascii="Abadi" w:hAnsi="Abadi"/>
                <w:b/>
                <w:sz w:val="21"/>
                <w:szCs w:val="21"/>
                <w:lang w:val="es-MX" w:eastAsia="en-US"/>
              </w:rPr>
            </w:pPr>
            <w:r w:rsidRPr="00C159D3">
              <w:rPr>
                <w:rFonts w:ascii="Abadi" w:hAnsi="Abadi"/>
                <w:b/>
                <w:sz w:val="21"/>
                <w:szCs w:val="21"/>
                <w:lang w:val="es-MX" w:eastAsia="en-US"/>
              </w:rPr>
              <w:t>Porcentaje revisado de ingresos</w:t>
            </w:r>
          </w:p>
        </w:tc>
        <w:tc>
          <w:tcPr>
            <w:tcW w:w="1431" w:type="dxa"/>
            <w:shd w:val="clear" w:color="auto" w:fill="auto"/>
          </w:tcPr>
          <w:p w14:paraId="482261F3" w14:textId="77777777" w:rsidR="00597603" w:rsidRPr="00C159D3" w:rsidRDefault="00597603" w:rsidP="004E6068">
            <w:pPr>
              <w:jc w:val="center"/>
              <w:rPr>
                <w:rFonts w:ascii="Abadi" w:hAnsi="Abadi"/>
                <w:b/>
                <w:sz w:val="21"/>
                <w:szCs w:val="21"/>
                <w:lang w:val="es-MX" w:eastAsia="en-US"/>
              </w:rPr>
            </w:pPr>
            <w:r w:rsidRPr="00C159D3">
              <w:rPr>
                <w:rFonts w:ascii="Abadi" w:hAnsi="Abadi"/>
                <w:b/>
                <w:sz w:val="21"/>
                <w:szCs w:val="21"/>
                <w:lang w:val="es-MX" w:eastAsia="en-US"/>
              </w:rPr>
              <w:t>Porcentaje revisado de egresos</w:t>
            </w:r>
          </w:p>
        </w:tc>
      </w:tr>
      <w:tr w:rsidR="00597603" w:rsidRPr="00C159D3" w14:paraId="5A074BC8" w14:textId="77777777" w:rsidTr="004E6068">
        <w:trPr>
          <w:jc w:val="center"/>
        </w:trPr>
        <w:tc>
          <w:tcPr>
            <w:tcW w:w="1271" w:type="dxa"/>
            <w:shd w:val="clear" w:color="auto" w:fill="auto"/>
          </w:tcPr>
          <w:p w14:paraId="2E541CF6" w14:textId="77777777" w:rsidR="00597603" w:rsidRPr="00C159D3" w:rsidRDefault="00597603" w:rsidP="004E6068">
            <w:pPr>
              <w:jc w:val="center"/>
              <w:rPr>
                <w:rFonts w:ascii="Abadi" w:hAnsi="Abadi"/>
                <w:bCs/>
                <w:sz w:val="21"/>
                <w:szCs w:val="21"/>
                <w:lang w:val="es-MX" w:eastAsia="en-US"/>
              </w:rPr>
            </w:pPr>
            <w:r w:rsidRPr="00C159D3">
              <w:rPr>
                <w:rFonts w:ascii="Abadi" w:hAnsi="Abadi"/>
                <w:b/>
                <w:bCs/>
                <w:sz w:val="21"/>
                <w:szCs w:val="21"/>
                <w:lang w:val="es-MX" w:eastAsia="es-MX"/>
              </w:rPr>
              <w:t>2019</w:t>
            </w:r>
          </w:p>
        </w:tc>
        <w:tc>
          <w:tcPr>
            <w:tcW w:w="3404" w:type="dxa"/>
            <w:shd w:val="clear" w:color="auto" w:fill="auto"/>
          </w:tcPr>
          <w:p w14:paraId="6BE7DA70" w14:textId="77777777" w:rsidR="00597603" w:rsidRPr="00C159D3" w:rsidRDefault="00597603" w:rsidP="004E6068">
            <w:pPr>
              <w:rPr>
                <w:rFonts w:ascii="Abadi" w:hAnsi="Abadi"/>
                <w:bCs/>
                <w:sz w:val="21"/>
                <w:szCs w:val="21"/>
                <w:lang w:val="es-MX" w:eastAsia="en-US"/>
              </w:rPr>
            </w:pPr>
            <w:r w:rsidRPr="00C159D3">
              <w:rPr>
                <w:rFonts w:ascii="Abadi" w:hAnsi="Abadi"/>
                <w:b/>
                <w:bCs/>
                <w:sz w:val="21"/>
                <w:szCs w:val="21"/>
                <w:lang w:val="es-MX" w:eastAsia="es-MX"/>
              </w:rPr>
              <w:t>Revisión de cuenta pública</w:t>
            </w:r>
          </w:p>
        </w:tc>
        <w:tc>
          <w:tcPr>
            <w:tcW w:w="1431" w:type="dxa"/>
            <w:shd w:val="clear" w:color="auto" w:fill="auto"/>
            <w:vAlign w:val="center"/>
          </w:tcPr>
          <w:p w14:paraId="38B3E90F" w14:textId="77777777" w:rsidR="00597603" w:rsidRPr="00C159D3" w:rsidRDefault="00597603" w:rsidP="004E6068">
            <w:pPr>
              <w:jc w:val="center"/>
              <w:rPr>
                <w:rFonts w:ascii="Abadi" w:hAnsi="Abadi"/>
                <w:bCs/>
                <w:sz w:val="21"/>
                <w:szCs w:val="21"/>
                <w:lang w:val="es-MX" w:eastAsia="en-US"/>
              </w:rPr>
            </w:pPr>
          </w:p>
        </w:tc>
        <w:tc>
          <w:tcPr>
            <w:tcW w:w="1431" w:type="dxa"/>
            <w:shd w:val="clear" w:color="auto" w:fill="auto"/>
            <w:vAlign w:val="center"/>
          </w:tcPr>
          <w:p w14:paraId="6900AD5A" w14:textId="77777777" w:rsidR="00597603" w:rsidRPr="00C159D3" w:rsidRDefault="00597603" w:rsidP="004E6068">
            <w:pPr>
              <w:jc w:val="center"/>
              <w:rPr>
                <w:rFonts w:ascii="Abadi" w:hAnsi="Abadi"/>
                <w:bCs/>
                <w:sz w:val="21"/>
                <w:szCs w:val="21"/>
                <w:lang w:val="es-MX" w:eastAsia="en-US"/>
              </w:rPr>
            </w:pPr>
          </w:p>
        </w:tc>
      </w:tr>
      <w:tr w:rsidR="00597603" w:rsidRPr="00C159D3" w14:paraId="33A21A91" w14:textId="77777777" w:rsidTr="004E6068">
        <w:trPr>
          <w:jc w:val="center"/>
        </w:trPr>
        <w:tc>
          <w:tcPr>
            <w:tcW w:w="1271" w:type="dxa"/>
            <w:shd w:val="clear" w:color="auto" w:fill="auto"/>
          </w:tcPr>
          <w:p w14:paraId="64F31BAF" w14:textId="77777777" w:rsidR="00597603" w:rsidRPr="00C159D3" w:rsidRDefault="00597603" w:rsidP="004E6068">
            <w:pPr>
              <w:jc w:val="center"/>
              <w:rPr>
                <w:rFonts w:ascii="Abadi" w:hAnsi="Abadi"/>
                <w:b/>
                <w:sz w:val="21"/>
                <w:szCs w:val="21"/>
                <w:lang w:val="es-MX" w:eastAsia="en-US"/>
              </w:rPr>
            </w:pPr>
          </w:p>
        </w:tc>
        <w:tc>
          <w:tcPr>
            <w:tcW w:w="3404" w:type="dxa"/>
            <w:shd w:val="clear" w:color="auto" w:fill="auto"/>
          </w:tcPr>
          <w:p w14:paraId="5D79F538" w14:textId="77777777" w:rsidR="00597603" w:rsidRPr="00C159D3" w:rsidRDefault="00597603" w:rsidP="004E6068">
            <w:pPr>
              <w:rPr>
                <w:rFonts w:ascii="Abadi" w:hAnsi="Abadi"/>
                <w:b/>
                <w:sz w:val="21"/>
                <w:szCs w:val="21"/>
                <w:lang w:val="es-MX" w:eastAsia="en-US"/>
              </w:rPr>
            </w:pPr>
            <w:r w:rsidRPr="00C159D3">
              <w:rPr>
                <w:rFonts w:ascii="Abadi" w:hAnsi="Abadi" w:cs="Calibri"/>
                <w:sz w:val="21"/>
                <w:szCs w:val="21"/>
                <w:lang w:val="es-MX" w:eastAsia="es-MX"/>
              </w:rPr>
              <w:t>Sector Central</w:t>
            </w:r>
          </w:p>
        </w:tc>
        <w:tc>
          <w:tcPr>
            <w:tcW w:w="1431" w:type="dxa"/>
            <w:shd w:val="clear" w:color="auto" w:fill="auto"/>
          </w:tcPr>
          <w:p w14:paraId="2AC14DB8" w14:textId="77777777" w:rsidR="00597603" w:rsidRPr="00C159D3" w:rsidRDefault="00597603" w:rsidP="004E6068">
            <w:pPr>
              <w:jc w:val="center"/>
              <w:rPr>
                <w:rFonts w:ascii="Abadi" w:hAnsi="Abadi"/>
                <w:bCs/>
                <w:sz w:val="21"/>
                <w:szCs w:val="21"/>
                <w:lang w:val="es-MX" w:eastAsia="en-US"/>
              </w:rPr>
            </w:pPr>
            <w:r w:rsidRPr="00C159D3">
              <w:rPr>
                <w:rFonts w:ascii="Abadi" w:hAnsi="Abadi" w:cs="Calibri"/>
                <w:sz w:val="21"/>
                <w:szCs w:val="21"/>
                <w:lang w:eastAsia="es-MX"/>
              </w:rPr>
              <w:t>55</w:t>
            </w:r>
          </w:p>
        </w:tc>
        <w:tc>
          <w:tcPr>
            <w:tcW w:w="1431" w:type="dxa"/>
            <w:shd w:val="clear" w:color="auto" w:fill="auto"/>
            <w:vAlign w:val="center"/>
          </w:tcPr>
          <w:p w14:paraId="54CF66A8" w14:textId="77777777" w:rsidR="00597603" w:rsidRPr="00C159D3" w:rsidRDefault="00597603" w:rsidP="004E6068">
            <w:pPr>
              <w:jc w:val="center"/>
              <w:rPr>
                <w:rFonts w:ascii="Abadi" w:hAnsi="Abadi"/>
                <w:bCs/>
                <w:sz w:val="21"/>
                <w:szCs w:val="21"/>
                <w:lang w:val="es-MX" w:eastAsia="en-US"/>
              </w:rPr>
            </w:pPr>
            <w:r w:rsidRPr="00C159D3">
              <w:rPr>
                <w:rFonts w:ascii="Abadi" w:hAnsi="Abadi" w:cs="Calibri"/>
                <w:sz w:val="21"/>
                <w:szCs w:val="21"/>
                <w:lang w:eastAsia="es-MX"/>
              </w:rPr>
              <w:t>58</w:t>
            </w:r>
          </w:p>
        </w:tc>
      </w:tr>
      <w:tr w:rsidR="00597603" w:rsidRPr="00C159D3" w14:paraId="515E4121" w14:textId="77777777" w:rsidTr="004E6068">
        <w:trPr>
          <w:jc w:val="center"/>
        </w:trPr>
        <w:tc>
          <w:tcPr>
            <w:tcW w:w="1271" w:type="dxa"/>
            <w:shd w:val="clear" w:color="auto" w:fill="auto"/>
          </w:tcPr>
          <w:p w14:paraId="6CE1F6DA" w14:textId="77777777" w:rsidR="00597603" w:rsidRPr="00C159D3" w:rsidRDefault="00597603" w:rsidP="004E6068">
            <w:pPr>
              <w:jc w:val="center"/>
              <w:rPr>
                <w:rFonts w:ascii="Abadi" w:hAnsi="Abadi"/>
                <w:bCs/>
                <w:sz w:val="21"/>
                <w:szCs w:val="21"/>
                <w:lang w:val="es-MX" w:eastAsia="en-US"/>
              </w:rPr>
            </w:pPr>
          </w:p>
        </w:tc>
        <w:tc>
          <w:tcPr>
            <w:tcW w:w="3404" w:type="dxa"/>
            <w:shd w:val="clear" w:color="auto" w:fill="auto"/>
          </w:tcPr>
          <w:p w14:paraId="33C802A8" w14:textId="77777777" w:rsidR="00597603" w:rsidRPr="00C159D3" w:rsidRDefault="00597603" w:rsidP="004E6068">
            <w:pPr>
              <w:jc w:val="both"/>
              <w:rPr>
                <w:rFonts w:ascii="Abadi" w:hAnsi="Abadi"/>
                <w:bCs/>
                <w:sz w:val="21"/>
                <w:szCs w:val="21"/>
                <w:lang w:val="es-MX" w:eastAsia="en-US"/>
              </w:rPr>
            </w:pPr>
            <w:r w:rsidRPr="00C159D3">
              <w:rPr>
                <w:rFonts w:ascii="Abadi" w:hAnsi="Abadi" w:cs="Calibri"/>
                <w:sz w:val="21"/>
                <w:szCs w:val="21"/>
                <w:lang w:val="es-MX" w:eastAsia="es-MX"/>
              </w:rPr>
              <w:t xml:space="preserve">Sistema Municipal de Agua Potable y Alcantarillado de Guanajuato </w:t>
            </w:r>
          </w:p>
        </w:tc>
        <w:tc>
          <w:tcPr>
            <w:tcW w:w="1431" w:type="dxa"/>
            <w:shd w:val="clear" w:color="auto" w:fill="auto"/>
          </w:tcPr>
          <w:p w14:paraId="1B1AAB72" w14:textId="77777777" w:rsidR="00597603" w:rsidRPr="00C159D3" w:rsidRDefault="00597603" w:rsidP="004E6068">
            <w:pPr>
              <w:jc w:val="center"/>
              <w:rPr>
                <w:rFonts w:ascii="Abadi" w:hAnsi="Abadi"/>
                <w:bCs/>
                <w:sz w:val="21"/>
                <w:szCs w:val="21"/>
                <w:lang w:val="es-MX" w:eastAsia="es-MX"/>
              </w:rPr>
            </w:pPr>
          </w:p>
          <w:p w14:paraId="692FE1AB" w14:textId="77777777" w:rsidR="00597603" w:rsidRPr="00C159D3" w:rsidRDefault="00597603" w:rsidP="004E6068">
            <w:pPr>
              <w:jc w:val="center"/>
              <w:rPr>
                <w:rFonts w:ascii="Abadi" w:hAnsi="Abadi"/>
                <w:bCs/>
                <w:sz w:val="21"/>
                <w:szCs w:val="21"/>
                <w:lang w:val="es-MX" w:eastAsia="es-MX"/>
              </w:rPr>
            </w:pPr>
          </w:p>
          <w:p w14:paraId="6CF1523B" w14:textId="77777777" w:rsidR="00597603" w:rsidRPr="00C159D3" w:rsidRDefault="00597603" w:rsidP="004E6068">
            <w:pPr>
              <w:jc w:val="center"/>
              <w:rPr>
                <w:rFonts w:ascii="Abadi" w:hAnsi="Abadi"/>
                <w:bCs/>
                <w:sz w:val="21"/>
                <w:szCs w:val="21"/>
                <w:lang w:val="es-MX" w:eastAsia="en-US"/>
              </w:rPr>
            </w:pPr>
            <w:r w:rsidRPr="00C159D3">
              <w:rPr>
                <w:rFonts w:ascii="Abadi" w:hAnsi="Abadi"/>
                <w:bCs/>
                <w:sz w:val="21"/>
                <w:szCs w:val="21"/>
                <w:lang w:val="es-MX" w:eastAsia="es-MX"/>
              </w:rPr>
              <w:t>N/A</w:t>
            </w:r>
          </w:p>
        </w:tc>
        <w:tc>
          <w:tcPr>
            <w:tcW w:w="1431" w:type="dxa"/>
            <w:shd w:val="clear" w:color="auto" w:fill="auto"/>
          </w:tcPr>
          <w:p w14:paraId="00EC9DF8" w14:textId="77777777" w:rsidR="00597603" w:rsidRPr="00C159D3" w:rsidRDefault="00597603" w:rsidP="004E6068">
            <w:pPr>
              <w:jc w:val="center"/>
              <w:rPr>
                <w:rFonts w:ascii="Abadi" w:hAnsi="Abadi"/>
                <w:sz w:val="21"/>
                <w:szCs w:val="21"/>
                <w:lang w:val="es-MX" w:eastAsia="es-MX"/>
              </w:rPr>
            </w:pPr>
          </w:p>
          <w:p w14:paraId="1074E260" w14:textId="77777777" w:rsidR="00597603" w:rsidRPr="00C159D3" w:rsidRDefault="00597603" w:rsidP="004E6068">
            <w:pPr>
              <w:jc w:val="center"/>
              <w:rPr>
                <w:rFonts w:ascii="Abadi" w:hAnsi="Abadi"/>
                <w:sz w:val="21"/>
                <w:szCs w:val="21"/>
                <w:lang w:val="es-MX" w:eastAsia="es-MX"/>
              </w:rPr>
            </w:pPr>
          </w:p>
          <w:p w14:paraId="6F1D47F4" w14:textId="77777777" w:rsidR="00597603" w:rsidRPr="00C159D3" w:rsidRDefault="00597603" w:rsidP="004E6068">
            <w:pPr>
              <w:jc w:val="center"/>
              <w:rPr>
                <w:rFonts w:ascii="Abadi" w:hAnsi="Abadi"/>
                <w:bCs/>
                <w:sz w:val="21"/>
                <w:szCs w:val="21"/>
                <w:lang w:val="es-MX" w:eastAsia="en-US"/>
              </w:rPr>
            </w:pPr>
            <w:r w:rsidRPr="00C159D3">
              <w:rPr>
                <w:rFonts w:ascii="Abadi" w:hAnsi="Abadi"/>
                <w:sz w:val="21"/>
                <w:szCs w:val="21"/>
                <w:lang w:val="es-MX" w:eastAsia="es-MX"/>
              </w:rPr>
              <w:t>A</w:t>
            </w:r>
          </w:p>
        </w:tc>
      </w:tr>
      <w:tr w:rsidR="00597603" w:rsidRPr="00C159D3" w14:paraId="50F6865B" w14:textId="77777777" w:rsidTr="004E6068">
        <w:trPr>
          <w:jc w:val="center"/>
        </w:trPr>
        <w:tc>
          <w:tcPr>
            <w:tcW w:w="1271" w:type="dxa"/>
            <w:shd w:val="clear" w:color="auto" w:fill="auto"/>
          </w:tcPr>
          <w:p w14:paraId="27F57D5C" w14:textId="77777777" w:rsidR="00597603" w:rsidRPr="00C159D3" w:rsidRDefault="00597603" w:rsidP="004E6068">
            <w:pPr>
              <w:jc w:val="center"/>
              <w:rPr>
                <w:rFonts w:ascii="Abadi" w:hAnsi="Abadi"/>
                <w:bCs/>
                <w:sz w:val="21"/>
                <w:szCs w:val="21"/>
                <w:lang w:val="es-MX" w:eastAsia="en-US"/>
              </w:rPr>
            </w:pPr>
          </w:p>
        </w:tc>
        <w:tc>
          <w:tcPr>
            <w:tcW w:w="3404" w:type="dxa"/>
            <w:shd w:val="clear" w:color="auto" w:fill="auto"/>
          </w:tcPr>
          <w:p w14:paraId="0FD6FB41" w14:textId="77777777" w:rsidR="00597603" w:rsidRPr="00C159D3" w:rsidRDefault="00597603" w:rsidP="004E6068">
            <w:pPr>
              <w:jc w:val="both"/>
              <w:rPr>
                <w:rFonts w:ascii="Abadi" w:hAnsi="Abadi"/>
                <w:bCs/>
                <w:sz w:val="21"/>
                <w:szCs w:val="21"/>
                <w:lang w:val="es-MX" w:eastAsia="en-US"/>
              </w:rPr>
            </w:pPr>
            <w:r w:rsidRPr="00C159D3">
              <w:rPr>
                <w:rFonts w:ascii="Abadi" w:hAnsi="Abadi" w:cs="Calibri"/>
                <w:sz w:val="21"/>
                <w:szCs w:val="21"/>
                <w:lang w:val="es-MX" w:eastAsia="es-MX"/>
              </w:rPr>
              <w:t>Instituto Municipal de Planeación del Municipio de Guanajuato, Gto</w:t>
            </w:r>
          </w:p>
        </w:tc>
        <w:tc>
          <w:tcPr>
            <w:tcW w:w="1431" w:type="dxa"/>
            <w:shd w:val="clear" w:color="auto" w:fill="auto"/>
          </w:tcPr>
          <w:p w14:paraId="4571B55E" w14:textId="77777777" w:rsidR="00597603" w:rsidRPr="00C159D3" w:rsidRDefault="00597603" w:rsidP="004E6068">
            <w:pPr>
              <w:jc w:val="center"/>
              <w:rPr>
                <w:rFonts w:ascii="Abadi" w:hAnsi="Abadi"/>
                <w:bCs/>
                <w:sz w:val="21"/>
                <w:szCs w:val="21"/>
                <w:lang w:val="es-MX" w:eastAsia="es-MX"/>
              </w:rPr>
            </w:pPr>
          </w:p>
          <w:p w14:paraId="3647BF4D" w14:textId="77777777" w:rsidR="00597603" w:rsidRPr="00C159D3" w:rsidRDefault="00597603" w:rsidP="004E6068">
            <w:pPr>
              <w:jc w:val="center"/>
              <w:rPr>
                <w:rFonts w:ascii="Abadi" w:hAnsi="Abadi"/>
                <w:bCs/>
                <w:sz w:val="21"/>
                <w:szCs w:val="21"/>
                <w:lang w:val="es-MX" w:eastAsia="es-MX"/>
              </w:rPr>
            </w:pPr>
          </w:p>
          <w:p w14:paraId="7982B2E1" w14:textId="77777777" w:rsidR="00597603" w:rsidRPr="00C159D3" w:rsidRDefault="00597603" w:rsidP="004E6068">
            <w:pPr>
              <w:jc w:val="center"/>
              <w:rPr>
                <w:rFonts w:ascii="Abadi" w:hAnsi="Abadi"/>
                <w:bCs/>
                <w:sz w:val="21"/>
                <w:szCs w:val="21"/>
                <w:lang w:val="es-MX" w:eastAsia="en-US"/>
              </w:rPr>
            </w:pPr>
            <w:r w:rsidRPr="00C159D3">
              <w:rPr>
                <w:rFonts w:ascii="Abadi" w:hAnsi="Abadi"/>
                <w:bCs/>
                <w:sz w:val="21"/>
                <w:szCs w:val="21"/>
                <w:lang w:val="es-MX" w:eastAsia="es-MX"/>
              </w:rPr>
              <w:t>N/A</w:t>
            </w:r>
          </w:p>
        </w:tc>
        <w:tc>
          <w:tcPr>
            <w:tcW w:w="1431" w:type="dxa"/>
            <w:shd w:val="clear" w:color="auto" w:fill="auto"/>
          </w:tcPr>
          <w:p w14:paraId="26154DA3" w14:textId="77777777" w:rsidR="00597603" w:rsidRPr="00C159D3" w:rsidRDefault="00597603" w:rsidP="004E6068">
            <w:pPr>
              <w:jc w:val="center"/>
              <w:rPr>
                <w:rFonts w:ascii="Abadi" w:hAnsi="Abadi"/>
                <w:sz w:val="21"/>
                <w:szCs w:val="21"/>
                <w:lang w:val="es-MX" w:eastAsia="es-MX"/>
              </w:rPr>
            </w:pPr>
          </w:p>
          <w:p w14:paraId="1A502F46" w14:textId="77777777" w:rsidR="00597603" w:rsidRPr="00C159D3" w:rsidRDefault="00597603" w:rsidP="004E6068">
            <w:pPr>
              <w:jc w:val="center"/>
              <w:rPr>
                <w:rFonts w:ascii="Abadi" w:hAnsi="Abadi"/>
                <w:sz w:val="21"/>
                <w:szCs w:val="21"/>
                <w:lang w:val="es-MX" w:eastAsia="es-MX"/>
              </w:rPr>
            </w:pPr>
          </w:p>
          <w:p w14:paraId="113247BB" w14:textId="77777777" w:rsidR="00597603" w:rsidRPr="00C159D3" w:rsidRDefault="00597603" w:rsidP="004E6068">
            <w:pPr>
              <w:jc w:val="center"/>
              <w:rPr>
                <w:rFonts w:ascii="Abadi" w:hAnsi="Abadi"/>
                <w:bCs/>
                <w:sz w:val="21"/>
                <w:szCs w:val="21"/>
                <w:lang w:val="es-MX" w:eastAsia="en-US"/>
              </w:rPr>
            </w:pPr>
            <w:r w:rsidRPr="00C159D3">
              <w:rPr>
                <w:rFonts w:ascii="Abadi" w:hAnsi="Abadi"/>
                <w:sz w:val="21"/>
                <w:szCs w:val="21"/>
                <w:lang w:val="es-MX" w:eastAsia="es-MX"/>
              </w:rPr>
              <w:t>B</w:t>
            </w:r>
          </w:p>
        </w:tc>
      </w:tr>
      <w:tr w:rsidR="00597603" w:rsidRPr="00C159D3" w14:paraId="5D983185" w14:textId="77777777" w:rsidTr="004E6068">
        <w:trPr>
          <w:jc w:val="center"/>
        </w:trPr>
        <w:tc>
          <w:tcPr>
            <w:tcW w:w="1271" w:type="dxa"/>
            <w:shd w:val="clear" w:color="auto" w:fill="auto"/>
          </w:tcPr>
          <w:p w14:paraId="1C8D3E75" w14:textId="77777777" w:rsidR="00597603" w:rsidRPr="00C159D3" w:rsidRDefault="00597603" w:rsidP="004E6068">
            <w:pPr>
              <w:jc w:val="center"/>
              <w:rPr>
                <w:rFonts w:ascii="Abadi" w:hAnsi="Abadi"/>
                <w:b/>
                <w:sz w:val="21"/>
                <w:szCs w:val="21"/>
                <w:lang w:val="es-MX" w:eastAsia="en-US"/>
              </w:rPr>
            </w:pPr>
          </w:p>
        </w:tc>
        <w:tc>
          <w:tcPr>
            <w:tcW w:w="3404" w:type="dxa"/>
            <w:shd w:val="clear" w:color="auto" w:fill="auto"/>
          </w:tcPr>
          <w:p w14:paraId="71A1C978" w14:textId="77777777" w:rsidR="00597603" w:rsidRPr="00C159D3" w:rsidRDefault="00597603" w:rsidP="004E6068">
            <w:pPr>
              <w:jc w:val="both"/>
              <w:rPr>
                <w:rFonts w:ascii="Abadi" w:hAnsi="Abadi"/>
                <w:b/>
                <w:sz w:val="21"/>
                <w:szCs w:val="21"/>
                <w:lang w:val="es-MX" w:eastAsia="en-US"/>
              </w:rPr>
            </w:pPr>
            <w:r w:rsidRPr="00C159D3">
              <w:rPr>
                <w:rFonts w:ascii="Abadi" w:hAnsi="Abadi"/>
                <w:b/>
                <w:sz w:val="21"/>
                <w:szCs w:val="21"/>
                <w:lang w:val="es-MX" w:eastAsia="es-MX"/>
              </w:rPr>
              <w:t>Auditoría al Ramo General 33 y Obra Púbica</w:t>
            </w:r>
          </w:p>
        </w:tc>
        <w:tc>
          <w:tcPr>
            <w:tcW w:w="1431" w:type="dxa"/>
            <w:shd w:val="clear" w:color="auto" w:fill="auto"/>
            <w:vAlign w:val="center"/>
          </w:tcPr>
          <w:p w14:paraId="66BAFEEC" w14:textId="77777777" w:rsidR="00597603" w:rsidRPr="00C159D3" w:rsidRDefault="00597603" w:rsidP="004E6068">
            <w:pPr>
              <w:jc w:val="center"/>
              <w:rPr>
                <w:rFonts w:ascii="Abadi" w:hAnsi="Abadi"/>
                <w:bCs/>
                <w:sz w:val="21"/>
                <w:szCs w:val="21"/>
                <w:lang w:val="es-MX" w:eastAsia="en-US"/>
              </w:rPr>
            </w:pPr>
          </w:p>
        </w:tc>
        <w:tc>
          <w:tcPr>
            <w:tcW w:w="1431" w:type="dxa"/>
            <w:shd w:val="clear" w:color="auto" w:fill="auto"/>
            <w:vAlign w:val="center"/>
          </w:tcPr>
          <w:p w14:paraId="2ED2872A" w14:textId="77777777" w:rsidR="00597603" w:rsidRPr="00C159D3" w:rsidRDefault="00597603" w:rsidP="004E6068">
            <w:pPr>
              <w:jc w:val="center"/>
              <w:rPr>
                <w:rFonts w:ascii="Abadi" w:hAnsi="Abadi"/>
                <w:b/>
                <w:sz w:val="21"/>
                <w:szCs w:val="21"/>
                <w:lang w:val="es-MX" w:eastAsia="en-US"/>
              </w:rPr>
            </w:pPr>
          </w:p>
        </w:tc>
      </w:tr>
      <w:tr w:rsidR="00597603" w:rsidRPr="00C159D3" w14:paraId="3027CF5F" w14:textId="77777777" w:rsidTr="004E6068">
        <w:trPr>
          <w:jc w:val="center"/>
        </w:trPr>
        <w:tc>
          <w:tcPr>
            <w:tcW w:w="1271" w:type="dxa"/>
            <w:shd w:val="clear" w:color="auto" w:fill="auto"/>
          </w:tcPr>
          <w:p w14:paraId="32B09E4C" w14:textId="77777777" w:rsidR="00597603" w:rsidRPr="00C159D3" w:rsidRDefault="00597603" w:rsidP="004E6068">
            <w:pPr>
              <w:jc w:val="center"/>
              <w:rPr>
                <w:rFonts w:ascii="Abadi" w:hAnsi="Abadi"/>
                <w:bCs/>
                <w:sz w:val="21"/>
                <w:szCs w:val="21"/>
                <w:lang w:val="es-MX" w:eastAsia="en-US"/>
              </w:rPr>
            </w:pPr>
          </w:p>
        </w:tc>
        <w:tc>
          <w:tcPr>
            <w:tcW w:w="3404" w:type="dxa"/>
            <w:shd w:val="clear" w:color="auto" w:fill="auto"/>
            <w:vAlign w:val="center"/>
          </w:tcPr>
          <w:p w14:paraId="3CB5A16D" w14:textId="77777777" w:rsidR="00597603" w:rsidRPr="00C159D3" w:rsidRDefault="00597603" w:rsidP="004E6068">
            <w:pPr>
              <w:jc w:val="both"/>
              <w:rPr>
                <w:rFonts w:ascii="Abadi" w:hAnsi="Abadi"/>
                <w:bCs/>
                <w:sz w:val="21"/>
                <w:szCs w:val="21"/>
                <w:lang w:val="es-MX" w:eastAsia="en-US"/>
              </w:rPr>
            </w:pPr>
            <w:r w:rsidRPr="00C159D3">
              <w:rPr>
                <w:rFonts w:ascii="Abadi" w:hAnsi="Abadi"/>
                <w:bCs/>
                <w:sz w:val="21"/>
                <w:szCs w:val="21"/>
                <w:lang w:val="es-MX" w:eastAsia="es-MX"/>
              </w:rPr>
              <w:t>Auditoría al Ramo General 33 y Obra Pública</w:t>
            </w:r>
          </w:p>
        </w:tc>
        <w:tc>
          <w:tcPr>
            <w:tcW w:w="1431" w:type="dxa"/>
            <w:shd w:val="clear" w:color="auto" w:fill="auto"/>
            <w:vAlign w:val="center"/>
          </w:tcPr>
          <w:p w14:paraId="1EFEA7F1" w14:textId="77777777" w:rsidR="00597603" w:rsidRPr="00C159D3" w:rsidRDefault="00597603" w:rsidP="004E6068">
            <w:pPr>
              <w:jc w:val="center"/>
              <w:rPr>
                <w:rFonts w:ascii="Abadi" w:hAnsi="Abadi"/>
                <w:b/>
                <w:sz w:val="21"/>
                <w:szCs w:val="21"/>
                <w:lang w:val="es-MX" w:eastAsia="en-US"/>
              </w:rPr>
            </w:pPr>
            <w:r w:rsidRPr="00C159D3">
              <w:rPr>
                <w:rFonts w:ascii="Abadi" w:hAnsi="Abadi"/>
                <w:bCs/>
                <w:sz w:val="21"/>
                <w:szCs w:val="21"/>
                <w:lang w:val="es-MX" w:eastAsia="es-MX"/>
              </w:rPr>
              <w:t>100 (1)</w:t>
            </w:r>
          </w:p>
        </w:tc>
        <w:tc>
          <w:tcPr>
            <w:tcW w:w="1431" w:type="dxa"/>
            <w:shd w:val="clear" w:color="auto" w:fill="auto"/>
            <w:vAlign w:val="center"/>
          </w:tcPr>
          <w:p w14:paraId="2A7D9E1F" w14:textId="77777777" w:rsidR="00597603" w:rsidRPr="00C159D3" w:rsidRDefault="00597603" w:rsidP="004E6068">
            <w:pPr>
              <w:jc w:val="center"/>
              <w:rPr>
                <w:rFonts w:ascii="Abadi" w:hAnsi="Abadi"/>
                <w:b/>
                <w:sz w:val="21"/>
                <w:szCs w:val="21"/>
                <w:lang w:val="es-MX" w:eastAsia="en-US"/>
              </w:rPr>
            </w:pPr>
            <w:r w:rsidRPr="00C159D3">
              <w:rPr>
                <w:rFonts w:ascii="Abadi" w:hAnsi="Abadi"/>
                <w:bCs/>
                <w:sz w:val="21"/>
                <w:szCs w:val="21"/>
                <w:lang w:val="es-MX" w:eastAsia="es-MX"/>
              </w:rPr>
              <w:t>31 (2)</w:t>
            </w:r>
          </w:p>
        </w:tc>
      </w:tr>
      <w:tr w:rsidR="00597603" w:rsidRPr="00C159D3" w14:paraId="0FD0D382" w14:textId="77777777" w:rsidTr="004E6068">
        <w:trPr>
          <w:jc w:val="center"/>
        </w:trPr>
        <w:tc>
          <w:tcPr>
            <w:tcW w:w="1271" w:type="dxa"/>
            <w:shd w:val="clear" w:color="auto" w:fill="auto"/>
          </w:tcPr>
          <w:p w14:paraId="024B4DA0" w14:textId="77777777" w:rsidR="00597603" w:rsidRPr="00C159D3" w:rsidRDefault="00597603" w:rsidP="004E6068">
            <w:pPr>
              <w:jc w:val="center"/>
              <w:rPr>
                <w:rFonts w:ascii="Abadi" w:hAnsi="Abadi"/>
                <w:bCs/>
                <w:sz w:val="21"/>
                <w:szCs w:val="21"/>
                <w:lang w:val="es-MX" w:eastAsia="en-US"/>
              </w:rPr>
            </w:pPr>
            <w:r w:rsidRPr="00C159D3">
              <w:rPr>
                <w:rFonts w:ascii="Abadi" w:hAnsi="Abadi"/>
                <w:b/>
                <w:bCs/>
                <w:sz w:val="21"/>
                <w:szCs w:val="21"/>
                <w:lang w:val="es-MX" w:eastAsia="es-MX"/>
              </w:rPr>
              <w:t>2020</w:t>
            </w:r>
          </w:p>
        </w:tc>
        <w:tc>
          <w:tcPr>
            <w:tcW w:w="3404" w:type="dxa"/>
            <w:shd w:val="clear" w:color="auto" w:fill="auto"/>
          </w:tcPr>
          <w:p w14:paraId="1DEDABFF" w14:textId="77777777" w:rsidR="00597603" w:rsidRPr="00C159D3" w:rsidRDefault="00597603" w:rsidP="004E6068">
            <w:pPr>
              <w:jc w:val="both"/>
              <w:rPr>
                <w:rFonts w:ascii="Abadi" w:hAnsi="Abadi"/>
                <w:sz w:val="21"/>
                <w:szCs w:val="21"/>
                <w:lang w:val="es-MX" w:eastAsia="es-MX"/>
              </w:rPr>
            </w:pPr>
            <w:r w:rsidRPr="00C159D3">
              <w:rPr>
                <w:rFonts w:ascii="Abadi" w:hAnsi="Abadi"/>
                <w:b/>
                <w:sz w:val="21"/>
                <w:szCs w:val="21"/>
                <w:lang w:val="es-MX" w:eastAsia="es-MX"/>
              </w:rPr>
              <w:t xml:space="preserve">Revisión de cuenta pública </w:t>
            </w:r>
          </w:p>
        </w:tc>
        <w:tc>
          <w:tcPr>
            <w:tcW w:w="1431" w:type="dxa"/>
            <w:shd w:val="clear" w:color="auto" w:fill="auto"/>
            <w:vAlign w:val="center"/>
          </w:tcPr>
          <w:p w14:paraId="41EC2A4F" w14:textId="77777777" w:rsidR="00597603" w:rsidRPr="00C159D3" w:rsidRDefault="00597603" w:rsidP="004E6068">
            <w:pPr>
              <w:jc w:val="center"/>
              <w:rPr>
                <w:rFonts w:ascii="Abadi" w:hAnsi="Abadi"/>
                <w:sz w:val="21"/>
                <w:szCs w:val="21"/>
                <w:lang w:val="es-MX" w:eastAsia="es-MX"/>
              </w:rPr>
            </w:pPr>
          </w:p>
        </w:tc>
        <w:tc>
          <w:tcPr>
            <w:tcW w:w="1431" w:type="dxa"/>
            <w:shd w:val="clear" w:color="auto" w:fill="auto"/>
            <w:vAlign w:val="center"/>
          </w:tcPr>
          <w:p w14:paraId="1C1FECEC" w14:textId="77777777" w:rsidR="00597603" w:rsidRPr="00C159D3" w:rsidRDefault="00597603" w:rsidP="004E6068">
            <w:pPr>
              <w:jc w:val="center"/>
              <w:rPr>
                <w:rFonts w:ascii="Abadi" w:hAnsi="Abadi"/>
                <w:sz w:val="21"/>
                <w:szCs w:val="21"/>
                <w:lang w:val="es-MX" w:eastAsia="es-MX"/>
              </w:rPr>
            </w:pPr>
          </w:p>
        </w:tc>
      </w:tr>
      <w:tr w:rsidR="00597603" w:rsidRPr="00C159D3" w14:paraId="4A9F8C23" w14:textId="77777777" w:rsidTr="004E6068">
        <w:trPr>
          <w:jc w:val="center"/>
        </w:trPr>
        <w:tc>
          <w:tcPr>
            <w:tcW w:w="1271" w:type="dxa"/>
            <w:shd w:val="clear" w:color="auto" w:fill="auto"/>
          </w:tcPr>
          <w:p w14:paraId="594ED76D" w14:textId="77777777" w:rsidR="00597603" w:rsidRPr="00C159D3" w:rsidRDefault="00597603" w:rsidP="004E6068">
            <w:pPr>
              <w:jc w:val="center"/>
              <w:rPr>
                <w:rFonts w:ascii="Abadi" w:hAnsi="Abadi"/>
                <w:bCs/>
                <w:sz w:val="21"/>
                <w:szCs w:val="21"/>
                <w:lang w:val="es-MX" w:eastAsia="en-US"/>
              </w:rPr>
            </w:pPr>
          </w:p>
        </w:tc>
        <w:tc>
          <w:tcPr>
            <w:tcW w:w="3404" w:type="dxa"/>
            <w:shd w:val="clear" w:color="auto" w:fill="auto"/>
          </w:tcPr>
          <w:p w14:paraId="40AB4917" w14:textId="77777777" w:rsidR="00597603" w:rsidRPr="00C159D3" w:rsidRDefault="00597603" w:rsidP="004E6068">
            <w:pPr>
              <w:jc w:val="both"/>
              <w:rPr>
                <w:rFonts w:ascii="Abadi" w:hAnsi="Abadi"/>
                <w:bCs/>
                <w:sz w:val="21"/>
                <w:szCs w:val="21"/>
                <w:lang w:val="es-MX" w:eastAsia="en-US"/>
              </w:rPr>
            </w:pPr>
            <w:r w:rsidRPr="00C159D3">
              <w:rPr>
                <w:rFonts w:ascii="Abadi" w:hAnsi="Abadi" w:cs="Calibri"/>
                <w:sz w:val="21"/>
                <w:szCs w:val="21"/>
                <w:lang w:val="es-MX" w:eastAsia="es-MX"/>
              </w:rPr>
              <w:t>Sector Central</w:t>
            </w:r>
          </w:p>
        </w:tc>
        <w:tc>
          <w:tcPr>
            <w:tcW w:w="1431" w:type="dxa"/>
            <w:shd w:val="clear" w:color="auto" w:fill="auto"/>
          </w:tcPr>
          <w:p w14:paraId="061FBEB1" w14:textId="77777777" w:rsidR="00597603" w:rsidRPr="00C159D3" w:rsidRDefault="00597603" w:rsidP="004E6068">
            <w:pPr>
              <w:jc w:val="center"/>
              <w:rPr>
                <w:rFonts w:ascii="Abadi" w:hAnsi="Abadi"/>
                <w:bCs/>
                <w:sz w:val="21"/>
                <w:szCs w:val="21"/>
                <w:lang w:val="es-MX" w:eastAsia="en-US"/>
              </w:rPr>
            </w:pPr>
            <w:r w:rsidRPr="00C159D3">
              <w:rPr>
                <w:rFonts w:ascii="Abadi" w:hAnsi="Abadi" w:cs="Calibri"/>
                <w:sz w:val="21"/>
                <w:szCs w:val="21"/>
                <w:lang w:eastAsia="es-MX"/>
              </w:rPr>
              <w:t>53</w:t>
            </w:r>
          </w:p>
        </w:tc>
        <w:tc>
          <w:tcPr>
            <w:tcW w:w="1431" w:type="dxa"/>
            <w:shd w:val="clear" w:color="auto" w:fill="auto"/>
            <w:vAlign w:val="center"/>
          </w:tcPr>
          <w:p w14:paraId="0AE33CC8" w14:textId="77777777" w:rsidR="00597603" w:rsidRPr="00C159D3" w:rsidRDefault="00597603" w:rsidP="004E6068">
            <w:pPr>
              <w:jc w:val="center"/>
              <w:rPr>
                <w:rFonts w:ascii="Abadi" w:hAnsi="Abadi"/>
                <w:bCs/>
                <w:sz w:val="21"/>
                <w:szCs w:val="21"/>
                <w:lang w:val="es-MX" w:eastAsia="en-US"/>
              </w:rPr>
            </w:pPr>
            <w:r w:rsidRPr="00C159D3">
              <w:rPr>
                <w:rFonts w:ascii="Abadi" w:hAnsi="Abadi" w:cs="Calibri"/>
                <w:sz w:val="21"/>
                <w:szCs w:val="21"/>
                <w:lang w:eastAsia="es-MX"/>
              </w:rPr>
              <w:t>60</w:t>
            </w:r>
          </w:p>
        </w:tc>
      </w:tr>
      <w:tr w:rsidR="00597603" w:rsidRPr="00C159D3" w14:paraId="6D039AC1" w14:textId="77777777" w:rsidTr="004E6068">
        <w:trPr>
          <w:jc w:val="center"/>
        </w:trPr>
        <w:tc>
          <w:tcPr>
            <w:tcW w:w="1271" w:type="dxa"/>
            <w:shd w:val="clear" w:color="auto" w:fill="auto"/>
          </w:tcPr>
          <w:p w14:paraId="65CFFF7E" w14:textId="77777777" w:rsidR="00597603" w:rsidRPr="00C159D3" w:rsidRDefault="00597603" w:rsidP="004E6068">
            <w:pPr>
              <w:jc w:val="center"/>
              <w:rPr>
                <w:rFonts w:ascii="Abadi" w:hAnsi="Abadi"/>
                <w:b/>
                <w:sz w:val="21"/>
                <w:szCs w:val="21"/>
                <w:lang w:val="es-MX" w:eastAsia="en-US"/>
              </w:rPr>
            </w:pPr>
          </w:p>
        </w:tc>
        <w:tc>
          <w:tcPr>
            <w:tcW w:w="3404" w:type="dxa"/>
            <w:shd w:val="clear" w:color="auto" w:fill="auto"/>
          </w:tcPr>
          <w:p w14:paraId="77896A60" w14:textId="77777777" w:rsidR="00597603" w:rsidRPr="00C159D3" w:rsidRDefault="00597603" w:rsidP="004E6068">
            <w:pPr>
              <w:jc w:val="both"/>
              <w:rPr>
                <w:rFonts w:ascii="Abadi" w:hAnsi="Abadi"/>
                <w:b/>
                <w:sz w:val="21"/>
                <w:szCs w:val="21"/>
                <w:lang w:val="es-MX" w:eastAsia="en-US"/>
              </w:rPr>
            </w:pPr>
            <w:r w:rsidRPr="00C159D3">
              <w:rPr>
                <w:rFonts w:ascii="Abadi" w:hAnsi="Abadi" w:cs="Calibri"/>
                <w:sz w:val="21"/>
                <w:szCs w:val="21"/>
                <w:lang w:val="es-MX" w:eastAsia="es-MX"/>
              </w:rPr>
              <w:t xml:space="preserve">Sistema Municipal de Agua Potable y Alcantarillado de Guanajuato </w:t>
            </w:r>
          </w:p>
        </w:tc>
        <w:tc>
          <w:tcPr>
            <w:tcW w:w="1431" w:type="dxa"/>
            <w:shd w:val="clear" w:color="auto" w:fill="auto"/>
          </w:tcPr>
          <w:p w14:paraId="6DC2CA66" w14:textId="77777777" w:rsidR="00597603" w:rsidRPr="00C159D3" w:rsidRDefault="00597603" w:rsidP="004E6068">
            <w:pPr>
              <w:jc w:val="center"/>
              <w:rPr>
                <w:rFonts w:ascii="Abadi" w:hAnsi="Abadi"/>
                <w:bCs/>
                <w:sz w:val="21"/>
                <w:szCs w:val="21"/>
                <w:lang w:val="es-MX" w:eastAsia="es-MX"/>
              </w:rPr>
            </w:pPr>
          </w:p>
          <w:p w14:paraId="64DBB00D" w14:textId="77777777" w:rsidR="00597603" w:rsidRPr="00C159D3" w:rsidRDefault="00597603" w:rsidP="004E6068">
            <w:pPr>
              <w:jc w:val="center"/>
              <w:rPr>
                <w:rFonts w:ascii="Abadi" w:hAnsi="Abadi"/>
                <w:bCs/>
                <w:sz w:val="21"/>
                <w:szCs w:val="21"/>
                <w:lang w:val="es-MX" w:eastAsia="es-MX"/>
              </w:rPr>
            </w:pPr>
          </w:p>
          <w:p w14:paraId="5AFDCC72" w14:textId="77777777" w:rsidR="00597603" w:rsidRPr="00C159D3" w:rsidRDefault="00597603" w:rsidP="004E6068">
            <w:pPr>
              <w:jc w:val="center"/>
              <w:rPr>
                <w:rFonts w:ascii="Abadi" w:hAnsi="Abadi"/>
                <w:bCs/>
                <w:sz w:val="21"/>
                <w:szCs w:val="21"/>
                <w:lang w:val="es-MX" w:eastAsia="en-US"/>
              </w:rPr>
            </w:pPr>
            <w:r w:rsidRPr="00C159D3">
              <w:rPr>
                <w:rFonts w:ascii="Abadi" w:hAnsi="Abadi"/>
                <w:bCs/>
                <w:sz w:val="21"/>
                <w:szCs w:val="21"/>
                <w:lang w:val="es-MX" w:eastAsia="es-MX"/>
              </w:rPr>
              <w:t>N/A</w:t>
            </w:r>
          </w:p>
        </w:tc>
        <w:tc>
          <w:tcPr>
            <w:tcW w:w="1431" w:type="dxa"/>
            <w:shd w:val="clear" w:color="auto" w:fill="auto"/>
            <w:vAlign w:val="center"/>
          </w:tcPr>
          <w:p w14:paraId="55991691" w14:textId="77777777" w:rsidR="00597603" w:rsidRPr="00C159D3" w:rsidRDefault="00597603" w:rsidP="004E6068">
            <w:pPr>
              <w:jc w:val="center"/>
              <w:rPr>
                <w:rFonts w:ascii="Abadi" w:hAnsi="Abadi"/>
                <w:b/>
                <w:sz w:val="21"/>
                <w:szCs w:val="21"/>
                <w:lang w:val="es-MX" w:eastAsia="en-US"/>
              </w:rPr>
            </w:pPr>
            <w:r w:rsidRPr="00C159D3">
              <w:rPr>
                <w:rFonts w:ascii="Abadi" w:hAnsi="Abadi"/>
                <w:bCs/>
                <w:sz w:val="21"/>
                <w:szCs w:val="21"/>
                <w:lang w:val="es-MX" w:eastAsia="es-MX"/>
              </w:rPr>
              <w:t>C</w:t>
            </w:r>
          </w:p>
        </w:tc>
      </w:tr>
      <w:tr w:rsidR="00597603" w:rsidRPr="00C159D3" w14:paraId="1EEC48EB" w14:textId="77777777" w:rsidTr="004E6068">
        <w:trPr>
          <w:jc w:val="center"/>
        </w:trPr>
        <w:tc>
          <w:tcPr>
            <w:tcW w:w="1271" w:type="dxa"/>
            <w:shd w:val="clear" w:color="auto" w:fill="auto"/>
          </w:tcPr>
          <w:p w14:paraId="3E54D566" w14:textId="77777777" w:rsidR="00597603" w:rsidRPr="00C159D3" w:rsidRDefault="00597603" w:rsidP="004E6068">
            <w:pPr>
              <w:jc w:val="center"/>
              <w:rPr>
                <w:rFonts w:ascii="Abadi" w:hAnsi="Abadi"/>
                <w:bCs/>
                <w:sz w:val="21"/>
                <w:szCs w:val="21"/>
                <w:lang w:val="es-MX" w:eastAsia="en-US"/>
              </w:rPr>
            </w:pPr>
          </w:p>
        </w:tc>
        <w:tc>
          <w:tcPr>
            <w:tcW w:w="3404" w:type="dxa"/>
            <w:shd w:val="clear" w:color="auto" w:fill="auto"/>
          </w:tcPr>
          <w:p w14:paraId="578B8A7C" w14:textId="77777777" w:rsidR="00597603" w:rsidRPr="00C159D3" w:rsidRDefault="00597603" w:rsidP="004E6068">
            <w:pPr>
              <w:jc w:val="both"/>
              <w:rPr>
                <w:rFonts w:ascii="Abadi" w:hAnsi="Abadi"/>
                <w:sz w:val="21"/>
                <w:szCs w:val="21"/>
                <w:lang w:val="es-MX" w:eastAsia="es-MX"/>
              </w:rPr>
            </w:pPr>
            <w:r w:rsidRPr="00C159D3">
              <w:rPr>
                <w:rFonts w:ascii="Abadi" w:hAnsi="Abadi"/>
                <w:b/>
                <w:sz w:val="21"/>
                <w:szCs w:val="21"/>
                <w:lang w:val="es-MX" w:eastAsia="es-MX"/>
              </w:rPr>
              <w:t>Auditoría a la infraestructura púbica municipal</w:t>
            </w:r>
          </w:p>
        </w:tc>
        <w:tc>
          <w:tcPr>
            <w:tcW w:w="1431" w:type="dxa"/>
            <w:shd w:val="clear" w:color="auto" w:fill="auto"/>
          </w:tcPr>
          <w:p w14:paraId="1F4CAE7C" w14:textId="77777777" w:rsidR="00597603" w:rsidRPr="00C159D3" w:rsidRDefault="00597603" w:rsidP="004E6068">
            <w:pPr>
              <w:jc w:val="center"/>
              <w:rPr>
                <w:rFonts w:ascii="Abadi" w:hAnsi="Abadi"/>
                <w:sz w:val="21"/>
                <w:szCs w:val="21"/>
                <w:lang w:val="es-MX" w:eastAsia="es-MX"/>
              </w:rPr>
            </w:pPr>
          </w:p>
        </w:tc>
        <w:tc>
          <w:tcPr>
            <w:tcW w:w="1431" w:type="dxa"/>
            <w:shd w:val="clear" w:color="auto" w:fill="auto"/>
            <w:vAlign w:val="center"/>
          </w:tcPr>
          <w:p w14:paraId="5BCE930D" w14:textId="77777777" w:rsidR="00597603" w:rsidRPr="00C159D3" w:rsidRDefault="00597603" w:rsidP="004E6068">
            <w:pPr>
              <w:jc w:val="center"/>
              <w:rPr>
                <w:rFonts w:ascii="Abadi" w:hAnsi="Abadi"/>
                <w:sz w:val="21"/>
                <w:szCs w:val="21"/>
                <w:lang w:val="es-MX" w:eastAsia="es-MX"/>
              </w:rPr>
            </w:pPr>
          </w:p>
        </w:tc>
      </w:tr>
      <w:tr w:rsidR="00597603" w:rsidRPr="00C159D3" w14:paraId="299DEDA8" w14:textId="77777777" w:rsidTr="004E6068">
        <w:trPr>
          <w:jc w:val="center"/>
        </w:trPr>
        <w:tc>
          <w:tcPr>
            <w:tcW w:w="1271" w:type="dxa"/>
            <w:shd w:val="clear" w:color="auto" w:fill="auto"/>
          </w:tcPr>
          <w:p w14:paraId="69B62820" w14:textId="77777777" w:rsidR="00597603" w:rsidRPr="00C159D3" w:rsidRDefault="00597603" w:rsidP="004E6068">
            <w:pPr>
              <w:jc w:val="center"/>
              <w:rPr>
                <w:rFonts w:ascii="Abadi" w:hAnsi="Abadi"/>
                <w:bCs/>
                <w:sz w:val="21"/>
                <w:szCs w:val="21"/>
                <w:lang w:val="es-MX" w:eastAsia="en-US"/>
              </w:rPr>
            </w:pPr>
          </w:p>
        </w:tc>
        <w:tc>
          <w:tcPr>
            <w:tcW w:w="3404" w:type="dxa"/>
            <w:shd w:val="clear" w:color="auto" w:fill="auto"/>
          </w:tcPr>
          <w:p w14:paraId="0C2E3BC7" w14:textId="77777777" w:rsidR="00597603" w:rsidRPr="00C159D3" w:rsidRDefault="00597603" w:rsidP="004E6068">
            <w:pPr>
              <w:jc w:val="both"/>
              <w:rPr>
                <w:rFonts w:ascii="Abadi" w:hAnsi="Abadi"/>
                <w:bCs/>
                <w:sz w:val="21"/>
                <w:szCs w:val="21"/>
                <w:lang w:val="es-MX" w:eastAsia="es-MX"/>
              </w:rPr>
            </w:pPr>
            <w:r w:rsidRPr="00C159D3">
              <w:rPr>
                <w:rFonts w:ascii="Abadi" w:hAnsi="Abadi"/>
                <w:sz w:val="21"/>
                <w:szCs w:val="21"/>
                <w:lang w:val="es-MX" w:eastAsia="es-MX"/>
              </w:rPr>
              <w:t xml:space="preserve">Auditoría a la infraestructura pública municipal </w:t>
            </w:r>
          </w:p>
        </w:tc>
        <w:tc>
          <w:tcPr>
            <w:tcW w:w="1431" w:type="dxa"/>
            <w:shd w:val="clear" w:color="auto" w:fill="auto"/>
            <w:vAlign w:val="center"/>
          </w:tcPr>
          <w:p w14:paraId="64B80733" w14:textId="77777777" w:rsidR="00597603" w:rsidRPr="00C159D3" w:rsidRDefault="00597603" w:rsidP="004E6068">
            <w:pPr>
              <w:jc w:val="center"/>
              <w:rPr>
                <w:rFonts w:ascii="Abadi" w:hAnsi="Abadi"/>
                <w:bCs/>
                <w:sz w:val="21"/>
                <w:szCs w:val="21"/>
                <w:lang w:val="es-MX" w:eastAsia="es-MX"/>
              </w:rPr>
            </w:pPr>
            <w:r w:rsidRPr="00C159D3">
              <w:rPr>
                <w:rFonts w:ascii="Abadi" w:hAnsi="Abadi"/>
                <w:bCs/>
                <w:sz w:val="21"/>
                <w:szCs w:val="21"/>
                <w:lang w:val="es-MX" w:eastAsia="es-MX"/>
              </w:rPr>
              <w:t>100 (1)</w:t>
            </w:r>
          </w:p>
        </w:tc>
        <w:tc>
          <w:tcPr>
            <w:tcW w:w="1431" w:type="dxa"/>
            <w:shd w:val="clear" w:color="auto" w:fill="auto"/>
            <w:vAlign w:val="center"/>
          </w:tcPr>
          <w:p w14:paraId="02F91B6E" w14:textId="77777777" w:rsidR="00597603" w:rsidRPr="00C159D3" w:rsidRDefault="00597603" w:rsidP="004E6068">
            <w:pPr>
              <w:jc w:val="center"/>
              <w:rPr>
                <w:rFonts w:ascii="Abadi" w:hAnsi="Abadi"/>
                <w:bCs/>
                <w:sz w:val="21"/>
                <w:szCs w:val="21"/>
                <w:lang w:val="es-MX" w:eastAsia="es-MX"/>
              </w:rPr>
            </w:pPr>
            <w:r w:rsidRPr="00C159D3">
              <w:rPr>
                <w:rFonts w:ascii="Abadi" w:hAnsi="Abadi"/>
                <w:bCs/>
                <w:sz w:val="21"/>
                <w:szCs w:val="21"/>
                <w:lang w:val="es-MX" w:eastAsia="es-MX"/>
              </w:rPr>
              <w:t>45 (2)</w:t>
            </w:r>
          </w:p>
        </w:tc>
      </w:tr>
      <w:tr w:rsidR="00597603" w:rsidRPr="00C159D3" w14:paraId="66A465E6" w14:textId="77777777" w:rsidTr="004E6068">
        <w:trPr>
          <w:jc w:val="center"/>
        </w:trPr>
        <w:tc>
          <w:tcPr>
            <w:tcW w:w="1271" w:type="dxa"/>
            <w:shd w:val="clear" w:color="auto" w:fill="auto"/>
          </w:tcPr>
          <w:p w14:paraId="2AB2FD55" w14:textId="77777777" w:rsidR="00597603" w:rsidRPr="00C159D3" w:rsidRDefault="00597603" w:rsidP="004E6068">
            <w:pPr>
              <w:jc w:val="center"/>
              <w:rPr>
                <w:rFonts w:ascii="Abadi" w:hAnsi="Abadi"/>
                <w:b/>
                <w:sz w:val="21"/>
                <w:szCs w:val="21"/>
                <w:lang w:val="es-MX" w:eastAsia="en-US"/>
              </w:rPr>
            </w:pPr>
            <w:r w:rsidRPr="00C159D3">
              <w:rPr>
                <w:rFonts w:ascii="Abadi" w:hAnsi="Abadi"/>
                <w:b/>
                <w:bCs/>
                <w:sz w:val="21"/>
                <w:szCs w:val="21"/>
                <w:lang w:val="es-MX" w:eastAsia="es-MX"/>
              </w:rPr>
              <w:t>2021</w:t>
            </w:r>
          </w:p>
        </w:tc>
        <w:tc>
          <w:tcPr>
            <w:tcW w:w="3404" w:type="dxa"/>
            <w:shd w:val="clear" w:color="auto" w:fill="auto"/>
          </w:tcPr>
          <w:p w14:paraId="2FAD724F" w14:textId="77777777" w:rsidR="00597603" w:rsidRPr="00C159D3" w:rsidRDefault="00597603" w:rsidP="004E6068">
            <w:pPr>
              <w:jc w:val="both"/>
              <w:rPr>
                <w:rFonts w:ascii="Abadi" w:hAnsi="Abadi"/>
                <w:sz w:val="21"/>
                <w:szCs w:val="21"/>
                <w:lang w:val="es-MX" w:eastAsia="es-MX"/>
              </w:rPr>
            </w:pPr>
            <w:r w:rsidRPr="00C159D3">
              <w:rPr>
                <w:rFonts w:ascii="Abadi" w:hAnsi="Abadi" w:cs="Calibri"/>
                <w:b/>
                <w:bCs/>
                <w:sz w:val="21"/>
                <w:szCs w:val="21"/>
                <w:lang w:val="es-MX" w:eastAsia="es-MX"/>
              </w:rPr>
              <w:t>Revisión de cuenta pública y auditoría a la infraestructura pública municipal</w:t>
            </w:r>
          </w:p>
        </w:tc>
        <w:tc>
          <w:tcPr>
            <w:tcW w:w="1431" w:type="dxa"/>
            <w:shd w:val="clear" w:color="auto" w:fill="auto"/>
          </w:tcPr>
          <w:p w14:paraId="2C06FEAB" w14:textId="77777777" w:rsidR="00597603" w:rsidRPr="00C159D3" w:rsidRDefault="00597603" w:rsidP="004E6068">
            <w:pPr>
              <w:jc w:val="center"/>
              <w:rPr>
                <w:rFonts w:ascii="Abadi" w:hAnsi="Abadi"/>
                <w:sz w:val="21"/>
                <w:szCs w:val="21"/>
                <w:lang w:val="es-MX" w:eastAsia="es-MX"/>
              </w:rPr>
            </w:pPr>
          </w:p>
        </w:tc>
        <w:tc>
          <w:tcPr>
            <w:tcW w:w="1431" w:type="dxa"/>
            <w:shd w:val="clear" w:color="auto" w:fill="auto"/>
            <w:vAlign w:val="center"/>
          </w:tcPr>
          <w:p w14:paraId="2364A1EA" w14:textId="77777777" w:rsidR="00597603" w:rsidRPr="00C159D3" w:rsidRDefault="00597603" w:rsidP="004E6068">
            <w:pPr>
              <w:jc w:val="center"/>
              <w:rPr>
                <w:rFonts w:ascii="Abadi" w:hAnsi="Abadi"/>
                <w:sz w:val="21"/>
                <w:szCs w:val="21"/>
                <w:lang w:val="es-MX" w:eastAsia="es-MX"/>
              </w:rPr>
            </w:pPr>
          </w:p>
        </w:tc>
      </w:tr>
      <w:tr w:rsidR="00597603" w:rsidRPr="00C159D3" w14:paraId="1B13B507" w14:textId="77777777" w:rsidTr="004E6068">
        <w:trPr>
          <w:jc w:val="center"/>
        </w:trPr>
        <w:tc>
          <w:tcPr>
            <w:tcW w:w="1271" w:type="dxa"/>
            <w:shd w:val="clear" w:color="auto" w:fill="auto"/>
          </w:tcPr>
          <w:p w14:paraId="4BE604DE" w14:textId="77777777" w:rsidR="00597603" w:rsidRPr="00C159D3" w:rsidRDefault="00597603" w:rsidP="004E6068">
            <w:pPr>
              <w:jc w:val="center"/>
              <w:rPr>
                <w:rFonts w:ascii="Abadi" w:hAnsi="Abadi"/>
                <w:b/>
                <w:sz w:val="21"/>
                <w:szCs w:val="21"/>
                <w:lang w:val="es-MX" w:eastAsia="en-US"/>
              </w:rPr>
            </w:pPr>
          </w:p>
        </w:tc>
        <w:tc>
          <w:tcPr>
            <w:tcW w:w="3404" w:type="dxa"/>
            <w:shd w:val="clear" w:color="auto" w:fill="auto"/>
          </w:tcPr>
          <w:p w14:paraId="52558A18" w14:textId="77777777" w:rsidR="00597603" w:rsidRPr="00C159D3" w:rsidRDefault="00597603" w:rsidP="004E6068">
            <w:pPr>
              <w:jc w:val="both"/>
              <w:rPr>
                <w:rFonts w:ascii="Abadi" w:hAnsi="Abadi"/>
                <w:sz w:val="21"/>
                <w:szCs w:val="21"/>
                <w:lang w:val="es-MX" w:eastAsia="es-MX"/>
              </w:rPr>
            </w:pPr>
            <w:r w:rsidRPr="00C159D3">
              <w:rPr>
                <w:rFonts w:ascii="Abadi" w:hAnsi="Abadi" w:cs="Calibri"/>
                <w:sz w:val="21"/>
                <w:szCs w:val="21"/>
                <w:lang w:val="es-MX" w:eastAsia="es-MX"/>
              </w:rPr>
              <w:t>En etapa de análisis de la información financiera del periodo de enero a junio de 2021</w:t>
            </w:r>
          </w:p>
        </w:tc>
        <w:tc>
          <w:tcPr>
            <w:tcW w:w="1431" w:type="dxa"/>
            <w:shd w:val="clear" w:color="auto" w:fill="auto"/>
          </w:tcPr>
          <w:p w14:paraId="369FA591" w14:textId="77777777" w:rsidR="00597603" w:rsidRPr="00C159D3" w:rsidRDefault="00597603" w:rsidP="004E6068">
            <w:pPr>
              <w:jc w:val="center"/>
              <w:rPr>
                <w:rFonts w:ascii="Abadi" w:hAnsi="Abadi" w:cs="Calibri"/>
                <w:sz w:val="21"/>
                <w:szCs w:val="21"/>
                <w:lang w:eastAsia="es-MX"/>
              </w:rPr>
            </w:pPr>
          </w:p>
          <w:p w14:paraId="259F8644" w14:textId="77777777" w:rsidR="00597603" w:rsidRPr="00C159D3" w:rsidRDefault="00597603" w:rsidP="004E6068">
            <w:pPr>
              <w:jc w:val="center"/>
              <w:rPr>
                <w:rFonts w:ascii="Abadi" w:hAnsi="Abadi" w:cs="Calibri"/>
                <w:sz w:val="21"/>
                <w:szCs w:val="21"/>
                <w:lang w:eastAsia="es-MX"/>
              </w:rPr>
            </w:pPr>
          </w:p>
          <w:p w14:paraId="73EEA954" w14:textId="77777777" w:rsidR="00597603" w:rsidRPr="00C159D3" w:rsidRDefault="00597603" w:rsidP="004E6068">
            <w:pPr>
              <w:jc w:val="center"/>
              <w:rPr>
                <w:rFonts w:ascii="Abadi" w:hAnsi="Abadi"/>
                <w:sz w:val="21"/>
                <w:szCs w:val="21"/>
                <w:lang w:val="es-MX" w:eastAsia="es-MX"/>
              </w:rPr>
            </w:pPr>
            <w:r w:rsidRPr="00C159D3">
              <w:rPr>
                <w:rFonts w:ascii="Abadi" w:hAnsi="Abadi" w:cs="Calibri"/>
                <w:sz w:val="21"/>
                <w:szCs w:val="21"/>
                <w:lang w:eastAsia="es-MX"/>
              </w:rPr>
              <w:t>Proceso</w:t>
            </w:r>
          </w:p>
        </w:tc>
        <w:tc>
          <w:tcPr>
            <w:tcW w:w="1431" w:type="dxa"/>
            <w:shd w:val="clear" w:color="auto" w:fill="auto"/>
            <w:vAlign w:val="center"/>
          </w:tcPr>
          <w:p w14:paraId="25E2F86C" w14:textId="77777777" w:rsidR="00597603" w:rsidRPr="00C159D3" w:rsidRDefault="00597603" w:rsidP="004E6068">
            <w:pPr>
              <w:jc w:val="center"/>
              <w:rPr>
                <w:rFonts w:ascii="Abadi" w:hAnsi="Abadi"/>
                <w:bCs/>
                <w:sz w:val="21"/>
                <w:szCs w:val="21"/>
                <w:lang w:val="es-MX" w:eastAsia="es-MX"/>
              </w:rPr>
            </w:pPr>
          </w:p>
          <w:p w14:paraId="0F611949" w14:textId="77777777" w:rsidR="00597603" w:rsidRPr="00C159D3" w:rsidRDefault="00597603" w:rsidP="004E6068">
            <w:pPr>
              <w:jc w:val="center"/>
              <w:rPr>
                <w:rFonts w:ascii="Abadi" w:hAnsi="Abadi"/>
                <w:sz w:val="21"/>
                <w:szCs w:val="21"/>
                <w:lang w:val="es-MX" w:eastAsia="es-MX"/>
              </w:rPr>
            </w:pPr>
            <w:r w:rsidRPr="00C159D3">
              <w:rPr>
                <w:rFonts w:ascii="Abadi" w:hAnsi="Abadi"/>
                <w:bCs/>
                <w:sz w:val="21"/>
                <w:szCs w:val="21"/>
                <w:lang w:val="es-MX" w:eastAsia="es-MX"/>
              </w:rPr>
              <w:t>Proceso</w:t>
            </w:r>
          </w:p>
        </w:tc>
      </w:tr>
    </w:tbl>
    <w:p w14:paraId="5E148729" w14:textId="77777777" w:rsidR="00597603" w:rsidRPr="00C159D3" w:rsidRDefault="00597603" w:rsidP="00597603">
      <w:pPr>
        <w:rPr>
          <w:rFonts w:ascii="Abadi" w:hAnsi="Abadi"/>
          <w:b/>
          <w:sz w:val="21"/>
          <w:szCs w:val="21"/>
          <w:lang w:val="es-MX" w:eastAsia="en-US"/>
        </w:rPr>
      </w:pPr>
    </w:p>
    <w:p w14:paraId="549223E2" w14:textId="77777777" w:rsidR="00597603" w:rsidRPr="00C159D3" w:rsidRDefault="00597603" w:rsidP="00597603">
      <w:pPr>
        <w:rPr>
          <w:rFonts w:ascii="Abadi" w:hAnsi="Abadi"/>
          <w:b/>
          <w:bCs/>
          <w:sz w:val="21"/>
          <w:szCs w:val="21"/>
          <w:lang w:val="es-MX" w:eastAsia="en-US"/>
        </w:rPr>
      </w:pPr>
      <w:r w:rsidRPr="00C159D3">
        <w:rPr>
          <w:rFonts w:ascii="Abadi" w:hAnsi="Abadi"/>
          <w:b/>
          <w:bCs/>
          <w:sz w:val="21"/>
          <w:szCs w:val="21"/>
          <w:lang w:val="es-MX" w:eastAsia="en-US"/>
        </w:rPr>
        <w:t>Notas:</w:t>
      </w:r>
    </w:p>
    <w:p w14:paraId="057775D6" w14:textId="77777777" w:rsidR="00597603" w:rsidRPr="00C159D3" w:rsidRDefault="00597603" w:rsidP="00597603">
      <w:pPr>
        <w:rPr>
          <w:rFonts w:ascii="Abadi" w:hAnsi="Abadi"/>
          <w:b/>
          <w:bCs/>
          <w:sz w:val="21"/>
          <w:szCs w:val="21"/>
          <w:lang w:val="es-MX" w:eastAsia="en-US"/>
        </w:rPr>
      </w:pPr>
    </w:p>
    <w:p w14:paraId="52F05953" w14:textId="77777777" w:rsidR="00597603" w:rsidRPr="00C159D3" w:rsidRDefault="00597603" w:rsidP="001A28E5">
      <w:pPr>
        <w:numPr>
          <w:ilvl w:val="0"/>
          <w:numId w:val="49"/>
        </w:numPr>
        <w:jc w:val="both"/>
        <w:rPr>
          <w:rFonts w:ascii="Abadi" w:hAnsi="Abadi"/>
          <w:b/>
          <w:bCs/>
          <w:sz w:val="21"/>
          <w:szCs w:val="21"/>
          <w:lang w:val="es-MX" w:eastAsia="en-US"/>
        </w:rPr>
      </w:pPr>
      <w:r w:rsidRPr="00C159D3">
        <w:rPr>
          <w:rFonts w:ascii="Abadi" w:hAnsi="Abadi"/>
          <w:sz w:val="21"/>
          <w:szCs w:val="21"/>
          <w:lang w:val="es-MX" w:eastAsia="es-MX"/>
        </w:rPr>
        <w:t xml:space="preserve">Se revisó el 30% de la cuenta </w:t>
      </w:r>
      <w:bookmarkStart w:id="23" w:name="_Hlk96524512"/>
      <w:r w:rsidRPr="00C159D3">
        <w:rPr>
          <w:rFonts w:ascii="Abadi" w:hAnsi="Abadi"/>
          <w:sz w:val="21"/>
          <w:szCs w:val="21"/>
          <w:lang w:val="es-MX" w:eastAsia="es-MX"/>
        </w:rPr>
        <w:t>513603611 Difusión e información de mensajes y actividades gubernamentales</w:t>
      </w:r>
      <w:bookmarkEnd w:id="23"/>
      <w:r w:rsidRPr="00C159D3">
        <w:rPr>
          <w:rFonts w:ascii="Abadi" w:hAnsi="Abadi"/>
          <w:sz w:val="21"/>
          <w:szCs w:val="21"/>
          <w:lang w:val="es-MX" w:eastAsia="es-MX"/>
        </w:rPr>
        <w:t>.</w:t>
      </w:r>
    </w:p>
    <w:p w14:paraId="699FA309" w14:textId="77777777" w:rsidR="00597603" w:rsidRPr="00C159D3" w:rsidRDefault="00597603" w:rsidP="001A28E5">
      <w:pPr>
        <w:numPr>
          <w:ilvl w:val="0"/>
          <w:numId w:val="49"/>
        </w:numPr>
        <w:jc w:val="both"/>
        <w:rPr>
          <w:rFonts w:ascii="Abadi" w:hAnsi="Abadi"/>
          <w:b/>
          <w:bCs/>
          <w:sz w:val="21"/>
          <w:szCs w:val="21"/>
          <w:lang w:val="es-MX" w:eastAsia="en-US"/>
        </w:rPr>
      </w:pPr>
      <w:r w:rsidRPr="00C159D3">
        <w:rPr>
          <w:rFonts w:ascii="Abadi" w:hAnsi="Abadi"/>
          <w:sz w:val="21"/>
          <w:szCs w:val="21"/>
          <w:lang w:val="es-MX" w:eastAsia="es-MX"/>
        </w:rPr>
        <w:t>Se revisó el 78% de la cuenta 513303321 Servicios de diseño arquitectura, ingeniería y actividades relacionadas.</w:t>
      </w:r>
    </w:p>
    <w:p w14:paraId="2C3E80F7" w14:textId="77777777" w:rsidR="00597603" w:rsidRPr="00C159D3" w:rsidRDefault="00597603" w:rsidP="001A28E5">
      <w:pPr>
        <w:numPr>
          <w:ilvl w:val="0"/>
          <w:numId w:val="49"/>
        </w:numPr>
        <w:jc w:val="both"/>
        <w:rPr>
          <w:rFonts w:ascii="Abadi" w:hAnsi="Abadi"/>
          <w:b/>
          <w:bCs/>
          <w:sz w:val="21"/>
          <w:szCs w:val="21"/>
          <w:lang w:val="es-MX" w:eastAsia="en-US"/>
        </w:rPr>
      </w:pPr>
      <w:r w:rsidRPr="00C159D3">
        <w:rPr>
          <w:rFonts w:ascii="Abadi" w:hAnsi="Abadi"/>
          <w:sz w:val="21"/>
          <w:szCs w:val="21"/>
          <w:lang w:val="es-MX" w:eastAsia="es-MX"/>
        </w:rPr>
        <w:lastRenderedPageBreak/>
        <w:t>Se revisó el 26% de la cuenta 513603611 Difusión e información de mensajes y actividades gubernamentales.</w:t>
      </w:r>
    </w:p>
    <w:p w14:paraId="74E63E65" w14:textId="77777777" w:rsidR="00597603" w:rsidRPr="00C159D3" w:rsidRDefault="00597603" w:rsidP="00597603">
      <w:pPr>
        <w:ind w:left="720"/>
        <w:jc w:val="both"/>
        <w:rPr>
          <w:rFonts w:ascii="Abadi" w:hAnsi="Abadi"/>
          <w:b/>
          <w:bCs/>
          <w:sz w:val="21"/>
          <w:szCs w:val="21"/>
          <w:lang w:val="es-MX" w:eastAsia="en-US"/>
        </w:rPr>
      </w:pPr>
    </w:p>
    <w:p w14:paraId="3FF4B183" w14:textId="77777777" w:rsidR="00597603" w:rsidRPr="00C159D3" w:rsidRDefault="00597603" w:rsidP="001A28E5">
      <w:pPr>
        <w:numPr>
          <w:ilvl w:val="0"/>
          <w:numId w:val="57"/>
        </w:numPr>
        <w:contextualSpacing/>
        <w:rPr>
          <w:rFonts w:ascii="Abadi" w:hAnsi="Abadi"/>
          <w:sz w:val="21"/>
          <w:szCs w:val="21"/>
          <w:lang w:val="es-MX" w:eastAsia="en-US"/>
        </w:rPr>
      </w:pPr>
      <w:r w:rsidRPr="00C159D3">
        <w:rPr>
          <w:rFonts w:ascii="Abadi" w:hAnsi="Abadi"/>
          <w:sz w:val="21"/>
          <w:szCs w:val="21"/>
          <w:lang w:val="es-MX" w:eastAsia="es-MX"/>
        </w:rPr>
        <w:t>De los recursos del Fondo de Infraestructura Social Municipal</w:t>
      </w:r>
      <w:r w:rsidRPr="00C159D3">
        <w:rPr>
          <w:rFonts w:ascii="Abadi" w:hAnsi="Abadi"/>
          <w:sz w:val="21"/>
          <w:szCs w:val="21"/>
          <w:lang w:val="es-MX" w:eastAsia="en-US"/>
        </w:rPr>
        <w:t>.</w:t>
      </w:r>
    </w:p>
    <w:p w14:paraId="294ABC24" w14:textId="77777777" w:rsidR="00597603" w:rsidRPr="00C159D3" w:rsidRDefault="00597603" w:rsidP="001A28E5">
      <w:pPr>
        <w:numPr>
          <w:ilvl w:val="0"/>
          <w:numId w:val="57"/>
        </w:numPr>
        <w:contextualSpacing/>
        <w:rPr>
          <w:rFonts w:ascii="Abadi" w:hAnsi="Abadi"/>
          <w:sz w:val="21"/>
          <w:szCs w:val="21"/>
          <w:lang w:val="es-MX" w:eastAsia="en-US"/>
        </w:rPr>
      </w:pPr>
      <w:r w:rsidRPr="00C159D3">
        <w:rPr>
          <w:rFonts w:ascii="Abadi" w:hAnsi="Abadi"/>
          <w:sz w:val="21"/>
          <w:szCs w:val="21"/>
          <w:lang w:val="es-MX" w:eastAsia="es-MX"/>
        </w:rPr>
        <w:t>De los recursos devengados en obra pública.</w:t>
      </w:r>
    </w:p>
    <w:p w14:paraId="33208AD8" w14:textId="77777777" w:rsidR="00597603" w:rsidRPr="00C159D3" w:rsidRDefault="00597603" w:rsidP="00597603">
      <w:pPr>
        <w:contextualSpacing/>
        <w:rPr>
          <w:rFonts w:ascii="Abadi" w:hAnsi="Abadi"/>
          <w:sz w:val="21"/>
          <w:szCs w:val="21"/>
          <w:lang w:val="es-MX" w:eastAsia="es-MX"/>
        </w:rPr>
      </w:pPr>
    </w:p>
    <w:p w14:paraId="6A4759F4" w14:textId="1EF747E8" w:rsidR="00597603" w:rsidRPr="00C159D3" w:rsidRDefault="00597603" w:rsidP="00E80232">
      <w:pPr>
        <w:ind w:firstLine="720"/>
        <w:jc w:val="both"/>
        <w:rPr>
          <w:rFonts w:ascii="Abadi" w:hAnsi="Abadi" w:cs="Tahoma"/>
          <w:sz w:val="21"/>
          <w:szCs w:val="21"/>
          <w:lang w:val="es-MX" w:eastAsia="es-MX"/>
        </w:rPr>
      </w:pPr>
      <w:r w:rsidRPr="00C159D3">
        <w:rPr>
          <w:rFonts w:ascii="Abadi" w:hAnsi="Abadi" w:cs="Tahoma"/>
          <w:sz w:val="21"/>
          <w:szCs w:val="21"/>
          <w:lang w:val="es-MX" w:eastAsia="es-MX"/>
        </w:rPr>
        <w:t>De acuerdo a la información proporcionada por la Auditoría Superior del Estado para la realización de los procesos de fiscalización se determinan con base en los riesgos identificados durante la etapa de planeación. Los análisis realizados en la planeación están vinculados con la generalidad del sujeto de fiscalización, con los sistemas transaccionales, de control interno, de materialidad presupuestal, de visibilidad y relevancia, así como de posibles riesgos asociados, entre los que destacan: Actas de órgano de gobierno y adquisiciones, notas periodísticas, publicaciones en el Periódico Oficial de Gobierno del Estado, análisis de demandas, informes de auditoría emitidos por órganos internos de control, auditorías externas y realizadas por la propia Auditoría Superior del Estado, sistemas transaccionales (tesorería, ingresos, bienes muebles e inmuebles, servicios personales, ayudas y subsidios, deuda, entre otros); variaciones presupuestales, saldos de cuenta de balance y resultados, bancos, proveedores y contratistas, enajenación y adquisición de bienes muebles e inmuebles y procesamiento de CFDI (XML).</w:t>
      </w:r>
    </w:p>
    <w:p w14:paraId="4E52C579" w14:textId="77777777" w:rsidR="00597603" w:rsidRPr="00C159D3" w:rsidRDefault="00597603" w:rsidP="00597603">
      <w:pPr>
        <w:ind w:firstLine="720"/>
        <w:jc w:val="both"/>
        <w:rPr>
          <w:rFonts w:ascii="Abadi" w:hAnsi="Abadi" w:cs="Tahoma"/>
          <w:sz w:val="21"/>
          <w:szCs w:val="21"/>
          <w:lang w:val="es-MX" w:eastAsia="es-MX"/>
        </w:rPr>
      </w:pPr>
    </w:p>
    <w:p w14:paraId="586E9902" w14:textId="77777777" w:rsidR="00597603" w:rsidRPr="00C159D3" w:rsidRDefault="00597603" w:rsidP="00597603">
      <w:pPr>
        <w:ind w:firstLine="720"/>
        <w:jc w:val="both"/>
        <w:rPr>
          <w:rFonts w:ascii="Abadi" w:hAnsi="Abadi" w:cs="Tahoma"/>
          <w:sz w:val="21"/>
          <w:szCs w:val="21"/>
          <w:lang w:val="es-MX" w:eastAsia="es-MX"/>
        </w:rPr>
      </w:pPr>
      <w:r w:rsidRPr="00C159D3">
        <w:rPr>
          <w:rFonts w:ascii="Abadi" w:hAnsi="Abadi" w:cs="Tahoma"/>
          <w:sz w:val="21"/>
          <w:szCs w:val="21"/>
          <w:lang w:val="es-MX" w:eastAsia="es-MX"/>
        </w:rPr>
        <w:t xml:space="preserve">El alcance y procedimientos referidos forman parte de los análisis que realiza la Auditoría Superior del Estado para efecto de determinar la materialidad y la extensión de los procedimientos de auditoría a aplicar en la etapa de ejecución, situación por la cual, los alcances establecidos en los respectivos informes de resultados se complementan con los procedimientos de planeación específica, mismos que forman parte integral del análisis que realiza dicho ente auditor.  </w:t>
      </w:r>
    </w:p>
    <w:p w14:paraId="25F0CAB4" w14:textId="77777777" w:rsidR="00597603" w:rsidRPr="00C159D3" w:rsidRDefault="00597603" w:rsidP="00597603">
      <w:pPr>
        <w:ind w:firstLine="720"/>
        <w:jc w:val="both"/>
        <w:rPr>
          <w:rFonts w:ascii="Abadi" w:hAnsi="Abadi" w:cs="Tahoma"/>
          <w:sz w:val="21"/>
          <w:szCs w:val="21"/>
          <w:lang w:val="es-MX" w:eastAsia="es-MX"/>
        </w:rPr>
      </w:pPr>
    </w:p>
    <w:p w14:paraId="219D213A" w14:textId="77777777" w:rsidR="00597603" w:rsidRPr="00C159D3" w:rsidRDefault="00597603" w:rsidP="00597603">
      <w:pPr>
        <w:ind w:firstLine="720"/>
        <w:jc w:val="both"/>
        <w:rPr>
          <w:rFonts w:ascii="Abadi" w:hAnsi="Abadi" w:cs="Tahoma"/>
          <w:sz w:val="21"/>
          <w:szCs w:val="21"/>
          <w:lang w:val="es-MX" w:eastAsia="es-MX"/>
        </w:rPr>
      </w:pPr>
      <w:r w:rsidRPr="00C159D3">
        <w:rPr>
          <w:rFonts w:ascii="Abadi" w:hAnsi="Abadi" w:cs="Tahoma"/>
          <w:sz w:val="21"/>
          <w:szCs w:val="21"/>
          <w:lang w:val="es-MX" w:eastAsia="es-MX"/>
        </w:rPr>
        <w:t>Por lo que hace a la revisión de la cuenta pública correspondiente al ejercicio fiscal del año 2019 se revisaron los siguientes rubros:</w:t>
      </w:r>
    </w:p>
    <w:p w14:paraId="24106CA3" w14:textId="77777777" w:rsidR="00597603" w:rsidRPr="00C159D3" w:rsidRDefault="00597603" w:rsidP="00597603">
      <w:pPr>
        <w:ind w:firstLine="720"/>
        <w:jc w:val="both"/>
        <w:rPr>
          <w:rFonts w:ascii="Abadi" w:hAnsi="Abadi" w:cs="Tahoma"/>
          <w:sz w:val="21"/>
          <w:szCs w:val="21"/>
          <w:lang w:val="es-MX" w:eastAsia="es-MX"/>
        </w:rPr>
      </w:pPr>
    </w:p>
    <w:p w14:paraId="25247665" w14:textId="77777777" w:rsidR="00597603" w:rsidRPr="00C159D3" w:rsidRDefault="00597603" w:rsidP="00597603">
      <w:pPr>
        <w:ind w:left="360" w:firstLine="708"/>
        <w:rPr>
          <w:rFonts w:ascii="Abadi" w:hAnsi="Abadi"/>
          <w:b/>
          <w:bCs/>
          <w:sz w:val="21"/>
          <w:szCs w:val="21"/>
          <w:lang w:val="es-MX" w:eastAsia="es-MX"/>
        </w:rPr>
      </w:pPr>
      <w:r w:rsidRPr="00C159D3">
        <w:rPr>
          <w:rFonts w:ascii="Abadi" w:hAnsi="Abadi"/>
          <w:b/>
          <w:bCs/>
          <w:sz w:val="21"/>
          <w:szCs w:val="21"/>
          <w:lang w:val="es-MX" w:eastAsia="es-MX"/>
        </w:rPr>
        <w:t>Sector Central:</w:t>
      </w:r>
    </w:p>
    <w:p w14:paraId="02DEB79E" w14:textId="77777777" w:rsidR="00597603" w:rsidRPr="00C159D3" w:rsidRDefault="00597603" w:rsidP="00597603">
      <w:pPr>
        <w:ind w:left="360" w:firstLine="708"/>
        <w:rPr>
          <w:rFonts w:ascii="Abadi" w:hAnsi="Abadi"/>
          <w:b/>
          <w:bCs/>
          <w:sz w:val="21"/>
          <w:szCs w:val="21"/>
          <w:lang w:val="es-MX" w:eastAsia="es-MX"/>
        </w:rPr>
      </w:pPr>
    </w:p>
    <w:p w14:paraId="3536E158" w14:textId="77777777" w:rsidR="00597603" w:rsidRPr="00C159D3" w:rsidRDefault="00597603" w:rsidP="001A28E5">
      <w:pPr>
        <w:numPr>
          <w:ilvl w:val="0"/>
          <w:numId w:val="42"/>
        </w:numPr>
        <w:spacing w:after="160" w:line="259" w:lineRule="auto"/>
        <w:contextualSpacing/>
        <w:jc w:val="both"/>
        <w:rPr>
          <w:rFonts w:ascii="Abadi" w:hAnsi="Abadi"/>
          <w:sz w:val="21"/>
          <w:szCs w:val="21"/>
          <w:lang w:val="es-MX" w:eastAsia="es-MX"/>
        </w:rPr>
      </w:pPr>
      <w:r w:rsidRPr="00C159D3">
        <w:rPr>
          <w:rFonts w:ascii="Abadi" w:hAnsi="Abadi"/>
          <w:b/>
          <w:bCs/>
          <w:sz w:val="21"/>
          <w:szCs w:val="21"/>
          <w:u w:val="single"/>
          <w:lang w:val="es-MX" w:eastAsia="es-MX"/>
        </w:rPr>
        <w:t>Activo:</w:t>
      </w:r>
      <w:r w:rsidRPr="00C159D3">
        <w:rPr>
          <w:rFonts w:ascii="Abadi" w:hAnsi="Abadi"/>
          <w:sz w:val="21"/>
          <w:szCs w:val="21"/>
          <w:lang w:val="es-MX" w:eastAsia="es-MX"/>
        </w:rPr>
        <w:t xml:space="preserve"> Anticipos de nómina, adquisiciones de:</w:t>
      </w:r>
      <w:r w:rsidRPr="00C159D3">
        <w:rPr>
          <w:rFonts w:ascii="Abadi" w:hAnsi="Abadi" w:cs="Calibri"/>
          <w:sz w:val="21"/>
          <w:szCs w:val="21"/>
          <w:lang w:val="es-MX" w:eastAsia="es-MX"/>
        </w:rPr>
        <w:t xml:space="preserve"> equipo de cómputo y tecnologías de la información; automóviles y camiones; carrocerías y remolques, maquinaria y equipo agropecuario, así como bienes intangibles (software).</w:t>
      </w:r>
    </w:p>
    <w:p w14:paraId="156FC89C" w14:textId="77777777" w:rsidR="00597603" w:rsidRPr="00C159D3" w:rsidRDefault="00597603" w:rsidP="001A28E5">
      <w:pPr>
        <w:numPr>
          <w:ilvl w:val="0"/>
          <w:numId w:val="42"/>
        </w:numPr>
        <w:spacing w:after="160" w:line="259" w:lineRule="auto"/>
        <w:contextualSpacing/>
        <w:jc w:val="both"/>
        <w:rPr>
          <w:rFonts w:ascii="Abadi" w:hAnsi="Abadi"/>
          <w:sz w:val="21"/>
          <w:szCs w:val="21"/>
          <w:lang w:val="es-MX" w:eastAsia="es-MX"/>
        </w:rPr>
      </w:pPr>
      <w:r w:rsidRPr="00C159D3">
        <w:rPr>
          <w:rFonts w:ascii="Abadi" w:hAnsi="Abadi"/>
          <w:b/>
          <w:sz w:val="21"/>
          <w:szCs w:val="21"/>
          <w:u w:val="single"/>
          <w:lang w:val="es-MX" w:eastAsia="en-US"/>
        </w:rPr>
        <w:t>Ingresos:</w:t>
      </w:r>
      <w:r w:rsidRPr="00C159D3">
        <w:rPr>
          <w:rFonts w:ascii="Abadi" w:hAnsi="Abadi"/>
          <w:bCs/>
          <w:sz w:val="21"/>
          <w:szCs w:val="21"/>
          <w:lang w:val="es-MX" w:eastAsia="en-US"/>
        </w:rPr>
        <w:t xml:space="preserve"> Participaciones y aportaciones. </w:t>
      </w:r>
    </w:p>
    <w:p w14:paraId="7C6FD8C4" w14:textId="77777777" w:rsidR="00597603" w:rsidRPr="00C159D3" w:rsidRDefault="00597603" w:rsidP="001A28E5">
      <w:pPr>
        <w:numPr>
          <w:ilvl w:val="0"/>
          <w:numId w:val="42"/>
        </w:numPr>
        <w:spacing w:after="160" w:line="259" w:lineRule="auto"/>
        <w:contextualSpacing/>
        <w:jc w:val="both"/>
        <w:rPr>
          <w:rFonts w:ascii="Abadi" w:hAnsi="Abadi"/>
          <w:bCs/>
          <w:sz w:val="21"/>
          <w:szCs w:val="21"/>
          <w:lang w:val="es-MX" w:eastAsia="en-US"/>
        </w:rPr>
      </w:pPr>
      <w:r w:rsidRPr="00C159D3">
        <w:rPr>
          <w:rFonts w:ascii="Abadi" w:hAnsi="Abadi"/>
          <w:b/>
          <w:bCs/>
          <w:sz w:val="21"/>
          <w:szCs w:val="21"/>
          <w:u w:val="single"/>
          <w:lang w:val="es-MX" w:eastAsia="es-MX"/>
        </w:rPr>
        <w:t>Egresos:</w:t>
      </w:r>
      <w:r w:rsidRPr="00C159D3">
        <w:rPr>
          <w:rFonts w:ascii="Abadi" w:hAnsi="Abadi" w:cs="Calibri"/>
          <w:sz w:val="21"/>
          <w:szCs w:val="21"/>
          <w:lang w:val="es-MX" w:eastAsia="es-MX"/>
        </w:rPr>
        <w:t xml:space="preserve"> Servicios personales como sueldos, honorarios, remuneraciones de eventuales, liquidaciones por indemnización, capacitación, entre otros más. Servicios generales como alumbrado público, otros arrendamientos*, gastos de orden social y cultural*, fletes y maniobras*, servicios de consultoría, auditoría, comunicación y publicidad**entre otros, transferencias internas al sector público y ayudas sociales.</w:t>
      </w:r>
    </w:p>
    <w:p w14:paraId="69DBDE12" w14:textId="77777777" w:rsidR="00597603" w:rsidRPr="00C159D3" w:rsidRDefault="00597603" w:rsidP="00597603">
      <w:pPr>
        <w:spacing w:after="160" w:line="259" w:lineRule="auto"/>
        <w:ind w:left="720"/>
        <w:contextualSpacing/>
        <w:jc w:val="both"/>
        <w:rPr>
          <w:rFonts w:ascii="Abadi" w:hAnsi="Abadi" w:cs="Calibri"/>
          <w:i/>
          <w:iCs/>
          <w:sz w:val="21"/>
          <w:szCs w:val="21"/>
          <w:lang w:val="es-MX" w:eastAsia="es-MX"/>
        </w:rPr>
      </w:pPr>
    </w:p>
    <w:p w14:paraId="32E356F2" w14:textId="77777777" w:rsidR="00597603" w:rsidRPr="00C159D3" w:rsidRDefault="00597603" w:rsidP="00597603">
      <w:pPr>
        <w:spacing w:after="160" w:line="259" w:lineRule="auto"/>
        <w:ind w:left="720"/>
        <w:contextualSpacing/>
        <w:jc w:val="both"/>
        <w:rPr>
          <w:rFonts w:ascii="Abadi" w:hAnsi="Abadi" w:cs="Calibri"/>
          <w:i/>
          <w:iCs/>
          <w:sz w:val="21"/>
          <w:szCs w:val="21"/>
          <w:lang w:val="es-MX" w:eastAsia="es-MX"/>
        </w:rPr>
      </w:pPr>
      <w:r w:rsidRPr="00C159D3">
        <w:rPr>
          <w:rFonts w:ascii="Abadi" w:hAnsi="Abadi" w:cs="Calibri"/>
          <w:i/>
          <w:iCs/>
          <w:sz w:val="21"/>
          <w:szCs w:val="21"/>
          <w:lang w:val="es-MX" w:eastAsia="es-MX"/>
        </w:rPr>
        <w:t xml:space="preserve">* </w:t>
      </w:r>
      <w:r w:rsidRPr="00C159D3">
        <w:rPr>
          <w:rFonts w:ascii="Abadi" w:hAnsi="Abadi" w:cs="Calibri"/>
          <w:sz w:val="21"/>
          <w:szCs w:val="21"/>
          <w:lang w:val="es-MX" w:eastAsia="es-MX"/>
        </w:rPr>
        <w:t>Se investigaron los hechos relacionados con la Denuncia de Investigación de Situación Excepcional ASEG/DGAJ/DISE/01/2020, respecto de las posibles irregularidades de las momias de Guanajuato que incluyó la verificación física de 117 momias y la revisión de varias cuentas de gasto relacionadas, mismas que se consideran en el detalle del rubro de egresos</w:t>
      </w:r>
      <w:r w:rsidRPr="00C159D3">
        <w:rPr>
          <w:rFonts w:ascii="Abadi" w:hAnsi="Abadi" w:cs="Calibri"/>
          <w:i/>
          <w:iCs/>
          <w:sz w:val="21"/>
          <w:szCs w:val="21"/>
          <w:lang w:val="es-MX" w:eastAsia="es-MX"/>
        </w:rPr>
        <w:t>.</w:t>
      </w:r>
    </w:p>
    <w:p w14:paraId="568B45CC" w14:textId="77777777" w:rsidR="00597603" w:rsidRPr="00C159D3" w:rsidRDefault="00597603" w:rsidP="00597603">
      <w:pPr>
        <w:spacing w:after="160" w:line="259" w:lineRule="auto"/>
        <w:ind w:left="720"/>
        <w:contextualSpacing/>
        <w:jc w:val="both"/>
        <w:rPr>
          <w:rFonts w:ascii="Abadi" w:hAnsi="Abadi" w:cs="Calibri"/>
          <w:i/>
          <w:iCs/>
          <w:sz w:val="21"/>
          <w:szCs w:val="21"/>
          <w:lang w:val="es-MX" w:eastAsia="es-MX"/>
        </w:rPr>
      </w:pPr>
    </w:p>
    <w:p w14:paraId="380192AE" w14:textId="77777777" w:rsidR="00597603" w:rsidRPr="00C159D3" w:rsidRDefault="00597603" w:rsidP="00597603">
      <w:pPr>
        <w:spacing w:after="160" w:line="259" w:lineRule="auto"/>
        <w:ind w:left="720"/>
        <w:contextualSpacing/>
        <w:jc w:val="both"/>
        <w:rPr>
          <w:rFonts w:ascii="Abadi" w:hAnsi="Abadi" w:cs="Calibri"/>
          <w:i/>
          <w:iCs/>
          <w:sz w:val="21"/>
          <w:szCs w:val="21"/>
          <w:lang w:val="es-MX" w:eastAsia="es-MX"/>
        </w:rPr>
      </w:pPr>
      <w:r w:rsidRPr="00C159D3">
        <w:rPr>
          <w:rFonts w:ascii="Abadi" w:hAnsi="Abadi"/>
          <w:bCs/>
          <w:i/>
          <w:iCs/>
          <w:sz w:val="21"/>
          <w:szCs w:val="21"/>
          <w:lang w:val="es-MX" w:eastAsia="en-US"/>
        </w:rPr>
        <w:t>**</w:t>
      </w:r>
      <w:r w:rsidRPr="00C159D3">
        <w:rPr>
          <w:rFonts w:ascii="Abadi" w:hAnsi="Abadi"/>
          <w:bCs/>
          <w:sz w:val="21"/>
          <w:szCs w:val="21"/>
          <w:lang w:val="es-MX" w:eastAsia="en-US"/>
        </w:rPr>
        <w:t>Se investigaron los contratos de servicios de publicidad de 3 proveedores</w:t>
      </w:r>
      <w:r w:rsidRPr="00C159D3">
        <w:rPr>
          <w:rFonts w:ascii="Abadi" w:hAnsi="Abadi" w:cs="Calibri"/>
          <w:i/>
          <w:iCs/>
          <w:sz w:val="21"/>
          <w:szCs w:val="21"/>
          <w:lang w:val="es-MX" w:eastAsia="es-MX"/>
        </w:rPr>
        <w:t xml:space="preserve">, </w:t>
      </w:r>
      <w:r w:rsidRPr="00C159D3">
        <w:rPr>
          <w:rFonts w:ascii="Abadi" w:hAnsi="Abadi" w:cs="Calibri"/>
          <w:sz w:val="21"/>
          <w:szCs w:val="21"/>
          <w:lang w:val="es-MX" w:eastAsia="es-MX"/>
        </w:rPr>
        <w:t>en relación con la denuncia de investigación de situación excepcional con número de expediente ASEG/DGAJ/DISE/11/2019</w:t>
      </w:r>
      <w:r w:rsidRPr="00C159D3">
        <w:rPr>
          <w:rFonts w:ascii="Abadi" w:hAnsi="Abadi" w:cs="Calibri"/>
          <w:i/>
          <w:iCs/>
          <w:sz w:val="21"/>
          <w:szCs w:val="21"/>
          <w:lang w:val="es-MX" w:eastAsia="es-MX"/>
        </w:rPr>
        <w:t>.</w:t>
      </w:r>
    </w:p>
    <w:p w14:paraId="2F64E272" w14:textId="77777777" w:rsidR="00597603" w:rsidRDefault="00597603" w:rsidP="00597603">
      <w:pPr>
        <w:widowControl w:val="0"/>
        <w:spacing w:after="200"/>
        <w:ind w:left="372" w:firstLine="696"/>
        <w:contextualSpacing/>
        <w:jc w:val="both"/>
        <w:rPr>
          <w:rFonts w:ascii="Abadi" w:hAnsi="Abadi"/>
          <w:b/>
          <w:bCs/>
          <w:sz w:val="21"/>
          <w:szCs w:val="21"/>
          <w:lang w:val="es-MX" w:eastAsia="es-MX"/>
        </w:rPr>
      </w:pPr>
    </w:p>
    <w:p w14:paraId="4C5002F5" w14:textId="77777777" w:rsidR="00597603" w:rsidRPr="00C159D3" w:rsidRDefault="00597603" w:rsidP="00597603">
      <w:pPr>
        <w:widowControl w:val="0"/>
        <w:spacing w:after="200"/>
        <w:ind w:left="372" w:firstLine="696"/>
        <w:contextualSpacing/>
        <w:jc w:val="both"/>
        <w:rPr>
          <w:rFonts w:ascii="Abadi" w:eastAsia="Calibri" w:hAnsi="Abadi"/>
          <w:sz w:val="21"/>
          <w:szCs w:val="21"/>
          <w:lang w:eastAsia="en-US"/>
        </w:rPr>
      </w:pPr>
      <w:r w:rsidRPr="00C159D3">
        <w:rPr>
          <w:rFonts w:ascii="Abadi" w:hAnsi="Abadi"/>
          <w:b/>
          <w:bCs/>
          <w:sz w:val="21"/>
          <w:szCs w:val="21"/>
          <w:lang w:val="es-MX" w:eastAsia="es-MX"/>
        </w:rPr>
        <w:t>Sistema Municipal de Agua Potable y Alcantarillado de Guanajuato</w:t>
      </w:r>
      <w:r w:rsidRPr="00C159D3">
        <w:rPr>
          <w:rFonts w:ascii="Abadi" w:eastAsia="Calibri" w:hAnsi="Abadi"/>
          <w:b/>
          <w:bCs/>
          <w:sz w:val="21"/>
          <w:szCs w:val="21"/>
          <w:lang w:eastAsia="en-US"/>
        </w:rPr>
        <w:t>:</w:t>
      </w:r>
      <w:r w:rsidRPr="00C159D3">
        <w:rPr>
          <w:rFonts w:ascii="Abadi" w:eastAsia="Calibri" w:hAnsi="Abadi"/>
          <w:sz w:val="21"/>
          <w:szCs w:val="21"/>
          <w:lang w:eastAsia="en-US"/>
        </w:rPr>
        <w:t xml:space="preserve"> </w:t>
      </w:r>
    </w:p>
    <w:p w14:paraId="348E5F26" w14:textId="77777777" w:rsidR="00597603" w:rsidRPr="00C159D3" w:rsidRDefault="00597603" w:rsidP="001A28E5">
      <w:pPr>
        <w:numPr>
          <w:ilvl w:val="0"/>
          <w:numId w:val="42"/>
        </w:numPr>
        <w:ind w:left="1080"/>
        <w:contextualSpacing/>
        <w:jc w:val="both"/>
        <w:rPr>
          <w:rFonts w:ascii="Abadi" w:hAnsi="Abadi"/>
          <w:bCs/>
          <w:sz w:val="21"/>
          <w:szCs w:val="21"/>
          <w:lang w:val="es-MX" w:eastAsia="es-MX"/>
        </w:rPr>
      </w:pPr>
      <w:r w:rsidRPr="00C159D3">
        <w:rPr>
          <w:rFonts w:ascii="Abadi" w:hAnsi="Abadi"/>
          <w:b/>
          <w:bCs/>
          <w:sz w:val="21"/>
          <w:szCs w:val="21"/>
          <w:u w:val="single"/>
          <w:lang w:val="es-MX" w:eastAsia="es-MX"/>
        </w:rPr>
        <w:t>Egresos</w:t>
      </w:r>
      <w:r w:rsidRPr="00C159D3">
        <w:rPr>
          <w:rFonts w:ascii="Abadi" w:hAnsi="Abadi"/>
          <w:sz w:val="21"/>
          <w:szCs w:val="21"/>
          <w:u w:val="single"/>
          <w:lang w:val="es-MX" w:eastAsia="es-MX"/>
        </w:rPr>
        <w:t>:</w:t>
      </w:r>
      <w:r w:rsidRPr="00C159D3">
        <w:rPr>
          <w:rFonts w:ascii="Abadi" w:hAnsi="Abadi"/>
          <w:sz w:val="21"/>
          <w:szCs w:val="21"/>
          <w:lang w:val="es-MX" w:eastAsia="es-MX"/>
        </w:rPr>
        <w:t xml:space="preserve"> Servicios de comunicación social y publicidad</w:t>
      </w:r>
      <w:r w:rsidRPr="00C159D3">
        <w:rPr>
          <w:rFonts w:ascii="Abadi" w:hAnsi="Abadi"/>
          <w:bCs/>
          <w:i/>
          <w:iCs/>
          <w:sz w:val="21"/>
          <w:szCs w:val="21"/>
          <w:lang w:val="es-MX" w:eastAsia="es-MX"/>
        </w:rPr>
        <w:t>*</w:t>
      </w:r>
      <w:r w:rsidRPr="00C159D3">
        <w:rPr>
          <w:rFonts w:ascii="Abadi" w:hAnsi="Abadi"/>
          <w:sz w:val="21"/>
          <w:szCs w:val="21"/>
          <w:lang w:val="es-MX" w:eastAsia="es-MX"/>
        </w:rPr>
        <w:t>.</w:t>
      </w:r>
    </w:p>
    <w:p w14:paraId="54E50F18" w14:textId="77777777" w:rsidR="00597603" w:rsidRPr="00C159D3" w:rsidRDefault="00597603" w:rsidP="00597603">
      <w:pPr>
        <w:ind w:left="1080"/>
        <w:contextualSpacing/>
        <w:jc w:val="both"/>
        <w:rPr>
          <w:rFonts w:ascii="Abadi" w:hAnsi="Abadi"/>
          <w:bCs/>
          <w:sz w:val="21"/>
          <w:szCs w:val="21"/>
          <w:lang w:val="es-MX" w:eastAsia="es-MX"/>
        </w:rPr>
      </w:pPr>
    </w:p>
    <w:p w14:paraId="7280E0D6" w14:textId="77777777" w:rsidR="00597603" w:rsidRPr="00C159D3" w:rsidRDefault="00597603" w:rsidP="00597603">
      <w:pPr>
        <w:spacing w:after="160"/>
        <w:ind w:left="1080"/>
        <w:contextualSpacing/>
        <w:jc w:val="both"/>
        <w:rPr>
          <w:rFonts w:ascii="Abadi" w:eastAsia="Calibri" w:hAnsi="Abadi"/>
          <w:i/>
          <w:iCs/>
          <w:sz w:val="21"/>
          <w:szCs w:val="21"/>
          <w:lang w:eastAsia="en-US"/>
        </w:rPr>
      </w:pPr>
      <w:r w:rsidRPr="00C159D3">
        <w:rPr>
          <w:rFonts w:ascii="Abadi" w:hAnsi="Abadi"/>
          <w:bCs/>
          <w:i/>
          <w:iCs/>
          <w:sz w:val="21"/>
          <w:szCs w:val="21"/>
          <w:lang w:val="es-MX" w:eastAsia="es-MX"/>
        </w:rPr>
        <w:t>*</w:t>
      </w:r>
      <w:r w:rsidRPr="00C159D3">
        <w:rPr>
          <w:rFonts w:ascii="Abadi" w:hAnsi="Abadi"/>
          <w:bCs/>
          <w:sz w:val="21"/>
          <w:szCs w:val="21"/>
          <w:lang w:val="es-MX" w:eastAsia="en-US"/>
        </w:rPr>
        <w:t>Se investigaron los contratos de servicios de publicidad de dos proveedores</w:t>
      </w:r>
      <w:r w:rsidRPr="00C159D3">
        <w:rPr>
          <w:rFonts w:ascii="Abadi" w:eastAsia="Calibri" w:hAnsi="Abadi" w:cs="Calibri"/>
          <w:i/>
          <w:iCs/>
          <w:sz w:val="21"/>
          <w:szCs w:val="21"/>
          <w:lang w:val="es-MX" w:eastAsia="es-MX"/>
        </w:rPr>
        <w:t xml:space="preserve"> </w:t>
      </w:r>
      <w:r w:rsidRPr="00C159D3">
        <w:rPr>
          <w:rFonts w:ascii="Abadi" w:eastAsia="Calibri" w:hAnsi="Abadi" w:cs="Calibri"/>
          <w:sz w:val="21"/>
          <w:szCs w:val="21"/>
          <w:lang w:val="es-MX" w:eastAsia="es-MX"/>
        </w:rPr>
        <w:t xml:space="preserve">con el organismo operador del agua, en relación con la </w:t>
      </w:r>
      <w:r w:rsidRPr="00C159D3">
        <w:rPr>
          <w:rFonts w:ascii="Abadi" w:eastAsia="Calibri" w:hAnsi="Abadi" w:cs="Calibri"/>
          <w:sz w:val="21"/>
          <w:szCs w:val="21"/>
          <w:lang w:val="es-MX" w:eastAsia="es-MX"/>
        </w:rPr>
        <w:lastRenderedPageBreak/>
        <w:t>denuncia de investigación de situación excepcional con número de expediente ASEG/DGAJ/DISE/11/2019</w:t>
      </w:r>
      <w:r w:rsidRPr="00C159D3">
        <w:rPr>
          <w:rFonts w:ascii="Abadi" w:hAnsi="Abadi"/>
          <w:i/>
          <w:iCs/>
          <w:sz w:val="21"/>
          <w:szCs w:val="21"/>
          <w:lang w:val="es-MX" w:eastAsia="es-MX"/>
        </w:rPr>
        <w:t>.</w:t>
      </w:r>
    </w:p>
    <w:p w14:paraId="553E58C5" w14:textId="77777777" w:rsidR="00597603" w:rsidRPr="00C159D3" w:rsidRDefault="00597603" w:rsidP="00597603">
      <w:pPr>
        <w:widowControl w:val="0"/>
        <w:spacing w:after="200"/>
        <w:ind w:left="1080"/>
        <w:contextualSpacing/>
        <w:jc w:val="both"/>
        <w:rPr>
          <w:rFonts w:ascii="Abadi" w:eastAsia="Calibri" w:hAnsi="Abadi"/>
          <w:i/>
          <w:iCs/>
          <w:color w:val="FF0000"/>
          <w:sz w:val="21"/>
          <w:szCs w:val="21"/>
          <w:lang w:eastAsia="en-US"/>
        </w:rPr>
      </w:pPr>
    </w:p>
    <w:p w14:paraId="53E04E1D" w14:textId="77777777" w:rsidR="00597603" w:rsidRPr="00C159D3" w:rsidRDefault="00597603" w:rsidP="00597603">
      <w:pPr>
        <w:widowControl w:val="0"/>
        <w:spacing w:after="200"/>
        <w:ind w:left="1080"/>
        <w:contextualSpacing/>
        <w:jc w:val="both"/>
        <w:rPr>
          <w:rFonts w:ascii="Abadi" w:eastAsia="Calibri" w:hAnsi="Abadi"/>
          <w:i/>
          <w:iCs/>
          <w:color w:val="FF0000"/>
          <w:sz w:val="21"/>
          <w:szCs w:val="21"/>
          <w:lang w:eastAsia="en-US"/>
        </w:rPr>
      </w:pPr>
    </w:p>
    <w:p w14:paraId="5F21927D" w14:textId="77777777" w:rsidR="00597603" w:rsidRPr="00C159D3" w:rsidRDefault="00597603" w:rsidP="00597603">
      <w:pPr>
        <w:widowControl w:val="0"/>
        <w:spacing w:after="200"/>
        <w:ind w:left="1080"/>
        <w:contextualSpacing/>
        <w:jc w:val="both"/>
        <w:rPr>
          <w:rFonts w:ascii="Abadi" w:eastAsia="Calibri" w:hAnsi="Abadi"/>
          <w:i/>
          <w:iCs/>
          <w:color w:val="FF0000"/>
          <w:sz w:val="21"/>
          <w:szCs w:val="21"/>
          <w:lang w:eastAsia="en-US"/>
        </w:rPr>
      </w:pPr>
    </w:p>
    <w:p w14:paraId="25FDAB17" w14:textId="77777777" w:rsidR="00597603" w:rsidRPr="00C159D3" w:rsidRDefault="00597603" w:rsidP="00597603">
      <w:pPr>
        <w:widowControl w:val="0"/>
        <w:spacing w:after="200"/>
        <w:ind w:left="372" w:firstLine="696"/>
        <w:contextualSpacing/>
        <w:jc w:val="both"/>
        <w:rPr>
          <w:rFonts w:ascii="Abadi" w:eastAsia="Calibri" w:hAnsi="Abadi"/>
          <w:sz w:val="21"/>
          <w:szCs w:val="21"/>
          <w:lang w:eastAsia="en-US"/>
        </w:rPr>
      </w:pPr>
      <w:r w:rsidRPr="00C159D3">
        <w:rPr>
          <w:rFonts w:ascii="Abadi" w:eastAsia="Calibri" w:hAnsi="Abadi"/>
          <w:b/>
          <w:bCs/>
          <w:sz w:val="21"/>
          <w:szCs w:val="21"/>
          <w:lang w:val="es-MX" w:eastAsia="en-US"/>
        </w:rPr>
        <w:t>Instituto Municipal de Planeación del Municipio de Guanajuato, Gto</w:t>
      </w:r>
      <w:r w:rsidRPr="00C159D3">
        <w:rPr>
          <w:rFonts w:ascii="Abadi" w:eastAsia="Calibri" w:hAnsi="Abadi"/>
          <w:b/>
          <w:bCs/>
          <w:sz w:val="21"/>
          <w:szCs w:val="21"/>
          <w:lang w:eastAsia="en-US"/>
        </w:rPr>
        <w:t>.:</w:t>
      </w:r>
      <w:r w:rsidRPr="00C159D3">
        <w:rPr>
          <w:rFonts w:ascii="Abadi" w:eastAsia="Calibri" w:hAnsi="Abadi"/>
          <w:sz w:val="21"/>
          <w:szCs w:val="21"/>
          <w:lang w:eastAsia="en-US"/>
        </w:rPr>
        <w:t xml:space="preserve"> </w:t>
      </w:r>
    </w:p>
    <w:p w14:paraId="0F99577E" w14:textId="77777777" w:rsidR="00597603" w:rsidRPr="00C159D3" w:rsidRDefault="00597603" w:rsidP="001A28E5">
      <w:pPr>
        <w:numPr>
          <w:ilvl w:val="0"/>
          <w:numId w:val="42"/>
        </w:numPr>
        <w:ind w:left="1080"/>
        <w:contextualSpacing/>
        <w:jc w:val="both"/>
        <w:rPr>
          <w:rFonts w:ascii="Abadi" w:hAnsi="Abadi"/>
          <w:sz w:val="21"/>
          <w:szCs w:val="21"/>
          <w:u w:val="single"/>
          <w:lang w:val="es-MX" w:eastAsia="es-MX"/>
        </w:rPr>
      </w:pPr>
      <w:r w:rsidRPr="00C159D3">
        <w:rPr>
          <w:rFonts w:ascii="Abadi" w:hAnsi="Abadi"/>
          <w:b/>
          <w:bCs/>
          <w:sz w:val="21"/>
          <w:szCs w:val="21"/>
          <w:u w:val="single"/>
          <w:lang w:val="es-MX" w:eastAsia="es-MX"/>
        </w:rPr>
        <w:t>Egresos</w:t>
      </w:r>
      <w:r w:rsidRPr="00C159D3">
        <w:rPr>
          <w:rFonts w:ascii="Abadi" w:hAnsi="Abadi"/>
          <w:sz w:val="21"/>
          <w:szCs w:val="21"/>
          <w:lang w:val="es-MX" w:eastAsia="es-MX"/>
        </w:rPr>
        <w:t>: Servicios profesionales, científicos y técnicos*.</w:t>
      </w:r>
    </w:p>
    <w:p w14:paraId="08BE30DA" w14:textId="77777777" w:rsidR="00597603" w:rsidRPr="00C159D3" w:rsidRDefault="00597603" w:rsidP="00597603">
      <w:pPr>
        <w:ind w:left="1080"/>
        <w:jc w:val="both"/>
        <w:rPr>
          <w:rFonts w:ascii="Abadi" w:hAnsi="Abadi"/>
          <w:bCs/>
          <w:i/>
          <w:iCs/>
          <w:sz w:val="21"/>
          <w:szCs w:val="21"/>
          <w:lang w:val="es-MX" w:eastAsia="es-MX"/>
        </w:rPr>
      </w:pPr>
    </w:p>
    <w:p w14:paraId="0364D7E4" w14:textId="77777777" w:rsidR="00597603" w:rsidRPr="00C159D3" w:rsidRDefault="00597603" w:rsidP="00597603">
      <w:pPr>
        <w:ind w:left="1080"/>
        <w:jc w:val="both"/>
        <w:rPr>
          <w:rFonts w:ascii="Abadi" w:hAnsi="Abadi"/>
          <w:bCs/>
          <w:i/>
          <w:iCs/>
          <w:color w:val="FF0000"/>
          <w:sz w:val="21"/>
          <w:szCs w:val="21"/>
          <w:lang w:val="es-MX" w:eastAsia="es-MX"/>
        </w:rPr>
      </w:pPr>
      <w:r w:rsidRPr="00C159D3">
        <w:rPr>
          <w:rFonts w:ascii="Abadi" w:hAnsi="Abadi"/>
          <w:bCs/>
          <w:i/>
          <w:iCs/>
          <w:sz w:val="21"/>
          <w:szCs w:val="21"/>
          <w:lang w:val="es-MX" w:eastAsia="es-MX"/>
        </w:rPr>
        <w:t>*</w:t>
      </w:r>
      <w:r w:rsidRPr="00C159D3">
        <w:rPr>
          <w:rFonts w:ascii="Abadi" w:hAnsi="Abadi"/>
          <w:bCs/>
          <w:sz w:val="21"/>
          <w:szCs w:val="21"/>
          <w:lang w:val="es-MX" w:eastAsia="es-MX"/>
        </w:rPr>
        <w:t>Se investigaron los hechos de la denuncia de investigación de situación excepcional con número de expediente ASEG/DGAJ/DISE/08/2020, respecto a que el Instituto Municipal de Planeación en 2019 gastó más de 5 millones de pesos en diversos estudios de supuesta prefactibilidad técnica y pre inversión para cinco proyectos de tercerización referentes a la construcción del nuevo Museo de las Momias y su estacionamiento, recolección de basura, instalación de parquímetros, alumbrado público y el nuevo edificio de Presidencia Municipal</w:t>
      </w:r>
      <w:r w:rsidRPr="00C159D3">
        <w:rPr>
          <w:rFonts w:ascii="Abadi" w:hAnsi="Abadi"/>
          <w:bCs/>
          <w:i/>
          <w:iCs/>
          <w:sz w:val="21"/>
          <w:szCs w:val="21"/>
          <w:lang w:val="es-MX" w:eastAsia="es-MX"/>
        </w:rPr>
        <w:t xml:space="preserve">. </w:t>
      </w:r>
    </w:p>
    <w:p w14:paraId="4EBAFE40" w14:textId="77777777" w:rsidR="00597603" w:rsidRPr="00C159D3" w:rsidRDefault="00597603" w:rsidP="00597603">
      <w:pPr>
        <w:widowControl w:val="0"/>
        <w:spacing w:after="200"/>
        <w:ind w:left="372" w:firstLine="696"/>
        <w:contextualSpacing/>
        <w:jc w:val="both"/>
        <w:rPr>
          <w:rFonts w:ascii="Abadi" w:eastAsia="Calibri" w:hAnsi="Abadi"/>
          <w:sz w:val="21"/>
          <w:szCs w:val="21"/>
          <w:lang w:eastAsia="en-US"/>
        </w:rPr>
      </w:pPr>
    </w:p>
    <w:p w14:paraId="76B8AE78" w14:textId="77777777" w:rsidR="00597603" w:rsidRPr="00C159D3" w:rsidRDefault="00597603" w:rsidP="00597603">
      <w:pPr>
        <w:spacing w:after="160"/>
        <w:ind w:firstLine="709"/>
        <w:contextualSpacing/>
        <w:jc w:val="both"/>
        <w:rPr>
          <w:rFonts w:ascii="Abadi" w:eastAsia="Calibri" w:hAnsi="Abadi"/>
          <w:sz w:val="21"/>
          <w:szCs w:val="21"/>
          <w:lang w:eastAsia="en-US"/>
        </w:rPr>
      </w:pPr>
      <w:r w:rsidRPr="00C159D3">
        <w:rPr>
          <w:rFonts w:ascii="Abadi" w:eastAsia="Calibri" w:hAnsi="Abadi"/>
          <w:sz w:val="21"/>
          <w:szCs w:val="21"/>
          <w:lang w:eastAsia="en-US"/>
        </w:rPr>
        <w:t>De la cuenta pública correspondiente al ejercicio fiscal 2020 se revisaron los siguientes apartados:</w:t>
      </w:r>
    </w:p>
    <w:p w14:paraId="260A2DE7" w14:textId="13434A0C" w:rsidR="00597603" w:rsidRPr="00C159D3" w:rsidRDefault="00597603" w:rsidP="00597603">
      <w:pPr>
        <w:widowControl w:val="0"/>
        <w:spacing w:after="200"/>
        <w:ind w:left="360"/>
        <w:contextualSpacing/>
        <w:jc w:val="both"/>
        <w:rPr>
          <w:rFonts w:ascii="Abadi" w:eastAsia="Calibri" w:hAnsi="Abadi"/>
          <w:sz w:val="21"/>
          <w:szCs w:val="21"/>
          <w:lang w:eastAsia="en-US"/>
        </w:rPr>
      </w:pPr>
    </w:p>
    <w:p w14:paraId="6F8FB794" w14:textId="77777777" w:rsidR="00597603" w:rsidRPr="00C159D3" w:rsidRDefault="00597603" w:rsidP="00597603">
      <w:pPr>
        <w:widowControl w:val="0"/>
        <w:spacing w:after="200"/>
        <w:ind w:left="360" w:firstLine="696"/>
        <w:contextualSpacing/>
        <w:jc w:val="both"/>
        <w:rPr>
          <w:rFonts w:ascii="Abadi" w:hAnsi="Abadi"/>
          <w:sz w:val="21"/>
          <w:szCs w:val="21"/>
          <w:lang w:eastAsia="en-US"/>
        </w:rPr>
      </w:pPr>
      <w:r w:rsidRPr="00C159D3">
        <w:rPr>
          <w:rFonts w:ascii="Abadi" w:eastAsia="Calibri" w:hAnsi="Abadi"/>
          <w:b/>
          <w:bCs/>
          <w:sz w:val="21"/>
          <w:szCs w:val="21"/>
          <w:lang w:eastAsia="en-US"/>
        </w:rPr>
        <w:t>Sector Central:</w:t>
      </w:r>
      <w:r w:rsidRPr="00C159D3">
        <w:rPr>
          <w:rFonts w:ascii="Abadi" w:eastAsia="Calibri" w:hAnsi="Abadi"/>
          <w:sz w:val="21"/>
          <w:szCs w:val="21"/>
          <w:lang w:eastAsia="en-US"/>
        </w:rPr>
        <w:t xml:space="preserve"> </w:t>
      </w:r>
    </w:p>
    <w:p w14:paraId="77829F99" w14:textId="77777777" w:rsidR="00597603" w:rsidRPr="00C159D3" w:rsidRDefault="00597603" w:rsidP="001A28E5">
      <w:pPr>
        <w:numPr>
          <w:ilvl w:val="0"/>
          <w:numId w:val="42"/>
        </w:numPr>
        <w:spacing w:after="160" w:line="259" w:lineRule="auto"/>
        <w:ind w:left="1080"/>
        <w:contextualSpacing/>
        <w:jc w:val="both"/>
        <w:rPr>
          <w:rFonts w:ascii="Abadi" w:hAnsi="Abadi"/>
          <w:bCs/>
          <w:sz w:val="21"/>
          <w:szCs w:val="21"/>
          <w:lang w:val="es-MX" w:eastAsia="en-US"/>
        </w:rPr>
      </w:pPr>
      <w:r w:rsidRPr="00C159D3">
        <w:rPr>
          <w:rFonts w:ascii="Abadi" w:hAnsi="Abadi"/>
          <w:b/>
          <w:bCs/>
          <w:sz w:val="21"/>
          <w:szCs w:val="21"/>
          <w:u w:val="single"/>
          <w:lang w:val="es-MX" w:eastAsia="es-MX"/>
        </w:rPr>
        <w:t>Activo:</w:t>
      </w:r>
      <w:r w:rsidRPr="00C159D3">
        <w:rPr>
          <w:rFonts w:ascii="Abadi" w:hAnsi="Abadi"/>
          <w:sz w:val="21"/>
          <w:szCs w:val="21"/>
          <w:lang w:val="es-MX" w:eastAsia="es-MX"/>
        </w:rPr>
        <w:t xml:space="preserve"> Otros deudores (pagos de las cuotas obrero-patronales del seguro social del COMUDAJ), adquisiciones de:</w:t>
      </w:r>
      <w:r w:rsidRPr="00C159D3">
        <w:rPr>
          <w:rFonts w:ascii="Abadi" w:hAnsi="Abadi" w:cs="Calibri"/>
          <w:sz w:val="21"/>
          <w:szCs w:val="21"/>
          <w:lang w:val="es-MX" w:eastAsia="es-MX"/>
        </w:rPr>
        <w:t xml:space="preserve"> equipo de cómputo y tecnologías de la información; automóviles y camiones; equipo de comunicación y telecomunicación.</w:t>
      </w:r>
    </w:p>
    <w:p w14:paraId="6931B414" w14:textId="77777777" w:rsidR="00597603" w:rsidRPr="00C159D3" w:rsidRDefault="00597603" w:rsidP="00597603">
      <w:pPr>
        <w:spacing w:after="160" w:line="259" w:lineRule="auto"/>
        <w:ind w:left="1080"/>
        <w:contextualSpacing/>
        <w:jc w:val="both"/>
        <w:rPr>
          <w:rFonts w:ascii="Abadi" w:hAnsi="Abadi"/>
          <w:bCs/>
          <w:sz w:val="21"/>
          <w:szCs w:val="21"/>
          <w:lang w:val="es-MX" w:eastAsia="en-US"/>
        </w:rPr>
      </w:pPr>
      <w:r w:rsidRPr="00C159D3">
        <w:rPr>
          <w:rFonts w:ascii="Abadi" w:hAnsi="Abadi" w:cs="Calibri"/>
          <w:sz w:val="21"/>
          <w:szCs w:val="21"/>
          <w:lang w:val="es-MX" w:eastAsia="es-MX"/>
        </w:rPr>
        <w:t xml:space="preserve"> </w:t>
      </w:r>
    </w:p>
    <w:p w14:paraId="32D65B14" w14:textId="77777777" w:rsidR="00597603" w:rsidRPr="00C159D3" w:rsidRDefault="00597603" w:rsidP="001A28E5">
      <w:pPr>
        <w:numPr>
          <w:ilvl w:val="0"/>
          <w:numId w:val="42"/>
        </w:numPr>
        <w:spacing w:after="160" w:line="259" w:lineRule="auto"/>
        <w:ind w:left="1080"/>
        <w:contextualSpacing/>
        <w:jc w:val="both"/>
        <w:rPr>
          <w:rFonts w:ascii="Abadi" w:hAnsi="Abadi"/>
          <w:bCs/>
          <w:sz w:val="21"/>
          <w:szCs w:val="21"/>
          <w:lang w:val="es-MX" w:eastAsia="en-US"/>
        </w:rPr>
      </w:pPr>
      <w:r w:rsidRPr="00C159D3">
        <w:rPr>
          <w:rFonts w:ascii="Abadi" w:hAnsi="Abadi"/>
          <w:b/>
          <w:sz w:val="21"/>
          <w:szCs w:val="21"/>
          <w:u w:val="single"/>
          <w:lang w:val="es-MX" w:eastAsia="en-US"/>
        </w:rPr>
        <w:t>Ingresos:</w:t>
      </w:r>
      <w:r w:rsidRPr="00C159D3">
        <w:rPr>
          <w:rFonts w:ascii="Abadi" w:hAnsi="Abadi"/>
          <w:bCs/>
          <w:sz w:val="21"/>
          <w:szCs w:val="21"/>
          <w:lang w:val="es-MX" w:eastAsia="en-US"/>
        </w:rPr>
        <w:t xml:space="preserve"> Participaciones, aportaciones e incentivos derivados de la colaboración fiscal.</w:t>
      </w:r>
    </w:p>
    <w:p w14:paraId="6470D2C0" w14:textId="77777777" w:rsidR="00597603" w:rsidRPr="00C159D3" w:rsidRDefault="00597603" w:rsidP="00597603">
      <w:pPr>
        <w:spacing w:after="160" w:line="259" w:lineRule="auto"/>
        <w:ind w:left="720"/>
        <w:contextualSpacing/>
        <w:rPr>
          <w:rFonts w:ascii="Abadi" w:hAnsi="Abadi"/>
          <w:bCs/>
          <w:sz w:val="21"/>
          <w:szCs w:val="21"/>
          <w:lang w:val="es-MX" w:eastAsia="en-US"/>
        </w:rPr>
      </w:pPr>
    </w:p>
    <w:p w14:paraId="5751EA56" w14:textId="77777777" w:rsidR="00597603" w:rsidRPr="00C159D3" w:rsidRDefault="00597603" w:rsidP="001A28E5">
      <w:pPr>
        <w:numPr>
          <w:ilvl w:val="0"/>
          <w:numId w:val="42"/>
        </w:numPr>
        <w:spacing w:after="160" w:line="259" w:lineRule="auto"/>
        <w:ind w:left="1080"/>
        <w:contextualSpacing/>
        <w:jc w:val="both"/>
        <w:rPr>
          <w:rFonts w:ascii="Abadi" w:hAnsi="Abadi"/>
          <w:bCs/>
          <w:sz w:val="21"/>
          <w:szCs w:val="21"/>
          <w:lang w:val="es-MX" w:eastAsia="en-US"/>
        </w:rPr>
      </w:pPr>
      <w:r w:rsidRPr="00C159D3">
        <w:rPr>
          <w:rFonts w:ascii="Abadi" w:hAnsi="Abadi"/>
          <w:b/>
          <w:bCs/>
          <w:sz w:val="21"/>
          <w:szCs w:val="21"/>
          <w:u w:val="single"/>
          <w:lang w:val="es-MX" w:eastAsia="es-MX"/>
        </w:rPr>
        <w:t>Egresos:</w:t>
      </w:r>
      <w:r w:rsidRPr="00C159D3">
        <w:rPr>
          <w:rFonts w:ascii="Abadi" w:hAnsi="Abadi" w:cs="Calibri"/>
          <w:sz w:val="21"/>
          <w:szCs w:val="21"/>
          <w:lang w:val="es-MX" w:eastAsia="es-MX"/>
        </w:rPr>
        <w:t xml:space="preserve"> Servicios personales* como sueldos, honorarios, remuneraciones de eventuales, liquidaciones por indemnización, capacitación, entre otros. Servicios generales como alumbrado público, servicios legales, servicios de contabilidad, seguros de </w:t>
      </w:r>
      <w:r w:rsidRPr="00C159D3">
        <w:rPr>
          <w:rFonts w:ascii="Abadi" w:hAnsi="Abadi" w:cs="Calibri"/>
          <w:sz w:val="21"/>
          <w:szCs w:val="21"/>
          <w:lang w:val="es-MX" w:eastAsia="es-MX"/>
        </w:rPr>
        <w:t>bienes patrimoniales, servicios de comunicación y publicidad**, entre otros. Transferencias, subsidios y ayudas.</w:t>
      </w:r>
    </w:p>
    <w:p w14:paraId="7C97D63B" w14:textId="77777777" w:rsidR="00597603" w:rsidRPr="00C159D3" w:rsidRDefault="00597603" w:rsidP="00597603">
      <w:pPr>
        <w:spacing w:after="160"/>
        <w:ind w:left="1068"/>
        <w:contextualSpacing/>
        <w:jc w:val="both"/>
        <w:rPr>
          <w:rFonts w:ascii="Abadi" w:hAnsi="Abadi"/>
          <w:bCs/>
          <w:i/>
          <w:iCs/>
          <w:sz w:val="21"/>
          <w:szCs w:val="21"/>
          <w:lang w:val="es-MX" w:eastAsia="en-US"/>
        </w:rPr>
      </w:pPr>
    </w:p>
    <w:p w14:paraId="68029256" w14:textId="77777777" w:rsidR="00597603" w:rsidRPr="00C159D3" w:rsidRDefault="00597603" w:rsidP="00597603">
      <w:pPr>
        <w:spacing w:after="160"/>
        <w:ind w:left="1068"/>
        <w:contextualSpacing/>
        <w:jc w:val="both"/>
        <w:rPr>
          <w:rFonts w:ascii="Abadi" w:eastAsia="Calibri" w:hAnsi="Abadi"/>
          <w:sz w:val="21"/>
          <w:szCs w:val="21"/>
          <w:lang w:eastAsia="en-US"/>
        </w:rPr>
      </w:pPr>
      <w:r w:rsidRPr="00C159D3">
        <w:rPr>
          <w:rFonts w:ascii="Abadi" w:hAnsi="Abadi"/>
          <w:bCs/>
          <w:i/>
          <w:iCs/>
          <w:sz w:val="21"/>
          <w:szCs w:val="21"/>
          <w:lang w:val="es-MX" w:eastAsia="en-US"/>
        </w:rPr>
        <w:t>**</w:t>
      </w:r>
      <w:r w:rsidRPr="00C159D3">
        <w:rPr>
          <w:rFonts w:ascii="Abadi" w:hAnsi="Abadi"/>
          <w:bCs/>
          <w:sz w:val="21"/>
          <w:szCs w:val="21"/>
          <w:lang w:val="es-MX" w:eastAsia="en-US"/>
        </w:rPr>
        <w:t>Se investigaron los contratos de servicios de publicidad de dos proveedores</w:t>
      </w:r>
      <w:r w:rsidRPr="00C159D3">
        <w:rPr>
          <w:rFonts w:ascii="Abadi" w:hAnsi="Abadi" w:cs="Calibri"/>
          <w:i/>
          <w:iCs/>
          <w:sz w:val="21"/>
          <w:szCs w:val="21"/>
          <w:lang w:val="es-MX" w:eastAsia="es-MX"/>
        </w:rPr>
        <w:t xml:space="preserve">, </w:t>
      </w:r>
      <w:r w:rsidRPr="00C159D3">
        <w:rPr>
          <w:rFonts w:ascii="Abadi" w:hAnsi="Abadi" w:cs="Calibri"/>
          <w:sz w:val="21"/>
          <w:szCs w:val="21"/>
          <w:lang w:val="es-MX" w:eastAsia="es-MX"/>
        </w:rPr>
        <w:t>como seguimiento a la denuncia de investigación de situación excepcional con número de expediente ASEG/DGAJ/DISE/11/2019 relacionada con el tema de publicidad</w:t>
      </w:r>
      <w:r w:rsidRPr="00C159D3">
        <w:rPr>
          <w:rFonts w:ascii="Abadi" w:eastAsia="Calibri" w:hAnsi="Abadi"/>
          <w:sz w:val="21"/>
          <w:szCs w:val="21"/>
          <w:lang w:eastAsia="en-US"/>
        </w:rPr>
        <w:t xml:space="preserve">. </w:t>
      </w:r>
    </w:p>
    <w:p w14:paraId="45B4E5A7" w14:textId="77777777" w:rsidR="00597603" w:rsidRPr="00C159D3" w:rsidRDefault="00597603" w:rsidP="00597603">
      <w:pPr>
        <w:spacing w:after="160"/>
        <w:ind w:left="1068"/>
        <w:contextualSpacing/>
        <w:jc w:val="both"/>
        <w:rPr>
          <w:rFonts w:ascii="Abadi" w:eastAsia="Calibri" w:hAnsi="Abadi"/>
          <w:sz w:val="21"/>
          <w:szCs w:val="21"/>
          <w:lang w:eastAsia="en-US"/>
        </w:rPr>
      </w:pPr>
    </w:p>
    <w:p w14:paraId="47DB0D89" w14:textId="77777777" w:rsidR="00597603" w:rsidRPr="00C159D3" w:rsidRDefault="00597603" w:rsidP="00597603">
      <w:pPr>
        <w:widowControl w:val="0"/>
        <w:spacing w:after="200"/>
        <w:ind w:left="372" w:firstLine="696"/>
        <w:contextualSpacing/>
        <w:jc w:val="both"/>
        <w:rPr>
          <w:rFonts w:ascii="Abadi" w:eastAsia="Calibri" w:hAnsi="Abadi"/>
          <w:sz w:val="21"/>
          <w:szCs w:val="21"/>
          <w:lang w:eastAsia="en-US"/>
        </w:rPr>
      </w:pPr>
      <w:r w:rsidRPr="00C159D3">
        <w:rPr>
          <w:rFonts w:ascii="Abadi" w:hAnsi="Abadi"/>
          <w:b/>
          <w:bCs/>
          <w:sz w:val="21"/>
          <w:szCs w:val="21"/>
          <w:lang w:val="es-MX" w:eastAsia="es-MX"/>
        </w:rPr>
        <w:t>Sistema Municipal de Agua Potable y Alcantarillado de Guanajuato</w:t>
      </w:r>
      <w:r w:rsidRPr="00C159D3">
        <w:rPr>
          <w:rFonts w:ascii="Abadi" w:eastAsia="Calibri" w:hAnsi="Abadi"/>
          <w:b/>
          <w:bCs/>
          <w:sz w:val="21"/>
          <w:szCs w:val="21"/>
          <w:lang w:eastAsia="en-US"/>
        </w:rPr>
        <w:t>:</w:t>
      </w:r>
      <w:r w:rsidRPr="00C159D3">
        <w:rPr>
          <w:rFonts w:ascii="Abadi" w:eastAsia="Calibri" w:hAnsi="Abadi"/>
          <w:sz w:val="21"/>
          <w:szCs w:val="21"/>
          <w:lang w:eastAsia="en-US"/>
        </w:rPr>
        <w:t xml:space="preserve"> </w:t>
      </w:r>
    </w:p>
    <w:p w14:paraId="39A320C1" w14:textId="77777777" w:rsidR="00597603" w:rsidRPr="00C159D3" w:rsidRDefault="00597603" w:rsidP="001A28E5">
      <w:pPr>
        <w:numPr>
          <w:ilvl w:val="0"/>
          <w:numId w:val="50"/>
        </w:numPr>
        <w:ind w:left="1418" w:hanging="720"/>
        <w:contextualSpacing/>
        <w:jc w:val="both"/>
        <w:rPr>
          <w:rFonts w:ascii="Abadi" w:hAnsi="Abadi"/>
          <w:bCs/>
          <w:sz w:val="21"/>
          <w:szCs w:val="21"/>
          <w:lang w:val="es-MX" w:eastAsia="es-MX"/>
        </w:rPr>
      </w:pPr>
      <w:r w:rsidRPr="00C159D3">
        <w:rPr>
          <w:rFonts w:ascii="Abadi" w:hAnsi="Abadi"/>
          <w:sz w:val="21"/>
          <w:szCs w:val="21"/>
          <w:u w:val="single"/>
          <w:lang w:val="es-MX" w:eastAsia="es-MX"/>
        </w:rPr>
        <w:t>Egresos</w:t>
      </w:r>
      <w:r w:rsidRPr="00C159D3">
        <w:rPr>
          <w:rFonts w:ascii="Abadi" w:hAnsi="Abadi"/>
          <w:sz w:val="21"/>
          <w:szCs w:val="21"/>
          <w:lang w:val="es-MX" w:eastAsia="es-MX"/>
        </w:rPr>
        <w:t>: Servicios de comunicación social y publicidad</w:t>
      </w:r>
      <w:r w:rsidRPr="00C159D3">
        <w:rPr>
          <w:rFonts w:ascii="Abadi" w:hAnsi="Abadi"/>
          <w:bCs/>
          <w:i/>
          <w:iCs/>
          <w:sz w:val="21"/>
          <w:szCs w:val="21"/>
          <w:lang w:val="es-MX" w:eastAsia="es-MX"/>
        </w:rPr>
        <w:t>*</w:t>
      </w:r>
      <w:r w:rsidRPr="00C159D3">
        <w:rPr>
          <w:rFonts w:ascii="Abadi" w:hAnsi="Abadi"/>
          <w:sz w:val="21"/>
          <w:szCs w:val="21"/>
          <w:lang w:val="es-MX" w:eastAsia="es-MX"/>
        </w:rPr>
        <w:t>.</w:t>
      </w:r>
    </w:p>
    <w:p w14:paraId="422C59BD" w14:textId="77777777" w:rsidR="00597603" w:rsidRPr="00C159D3" w:rsidRDefault="00597603" w:rsidP="00597603">
      <w:pPr>
        <w:ind w:left="720"/>
        <w:contextualSpacing/>
        <w:jc w:val="both"/>
        <w:rPr>
          <w:rFonts w:ascii="Abadi" w:hAnsi="Abadi"/>
          <w:bCs/>
          <w:i/>
          <w:iCs/>
          <w:sz w:val="21"/>
          <w:szCs w:val="21"/>
          <w:lang w:val="es-MX" w:eastAsia="es-MX"/>
        </w:rPr>
      </w:pPr>
    </w:p>
    <w:p w14:paraId="3A7B8865" w14:textId="77777777" w:rsidR="00597603" w:rsidRPr="00C159D3" w:rsidRDefault="00597603" w:rsidP="00597603">
      <w:pPr>
        <w:ind w:left="720"/>
        <w:contextualSpacing/>
        <w:jc w:val="both"/>
        <w:rPr>
          <w:rFonts w:ascii="Abadi" w:hAnsi="Abadi"/>
          <w:bCs/>
          <w:i/>
          <w:iCs/>
          <w:sz w:val="21"/>
          <w:szCs w:val="21"/>
          <w:lang w:val="es-MX" w:eastAsia="es-MX"/>
        </w:rPr>
      </w:pPr>
    </w:p>
    <w:p w14:paraId="302C5146" w14:textId="77777777" w:rsidR="00597603" w:rsidRPr="00C159D3" w:rsidRDefault="00597603" w:rsidP="00597603">
      <w:pPr>
        <w:ind w:left="720"/>
        <w:contextualSpacing/>
        <w:jc w:val="both"/>
        <w:rPr>
          <w:rFonts w:ascii="Abadi" w:hAnsi="Abadi"/>
          <w:bCs/>
          <w:i/>
          <w:iCs/>
          <w:sz w:val="21"/>
          <w:szCs w:val="21"/>
          <w:lang w:val="es-MX" w:eastAsia="es-MX"/>
        </w:rPr>
      </w:pPr>
      <w:r w:rsidRPr="00C159D3">
        <w:rPr>
          <w:rFonts w:ascii="Abadi" w:hAnsi="Abadi"/>
          <w:bCs/>
          <w:i/>
          <w:iCs/>
          <w:sz w:val="21"/>
          <w:szCs w:val="21"/>
          <w:lang w:val="es-MX" w:eastAsia="es-MX"/>
        </w:rPr>
        <w:t xml:space="preserve">* </w:t>
      </w:r>
      <w:r w:rsidRPr="00C159D3">
        <w:rPr>
          <w:rFonts w:ascii="Abadi" w:hAnsi="Abadi"/>
          <w:bCs/>
          <w:sz w:val="21"/>
          <w:szCs w:val="21"/>
          <w:lang w:val="es-MX" w:eastAsia="en-US"/>
        </w:rPr>
        <w:t>Se investigaron los contratos de servicios de publicidad de 3 proveedores, como seguimiento a la denuncia de investigación de situación excepcional con número de expediente ASEG/DGAJ/DISE/11/2019</w:t>
      </w:r>
      <w:r w:rsidRPr="00C159D3">
        <w:rPr>
          <w:rFonts w:ascii="Abadi" w:hAnsi="Abadi"/>
          <w:bCs/>
          <w:i/>
          <w:iCs/>
          <w:sz w:val="21"/>
          <w:szCs w:val="21"/>
          <w:lang w:val="es-MX" w:eastAsia="es-MX"/>
        </w:rPr>
        <w:t>.</w:t>
      </w:r>
    </w:p>
    <w:p w14:paraId="2F36C851" w14:textId="77777777" w:rsidR="00597603" w:rsidRPr="00C159D3" w:rsidRDefault="00597603" w:rsidP="00597603">
      <w:pPr>
        <w:ind w:left="720"/>
        <w:contextualSpacing/>
        <w:jc w:val="both"/>
        <w:rPr>
          <w:rFonts w:ascii="Abadi" w:hAnsi="Abadi"/>
          <w:bCs/>
          <w:sz w:val="21"/>
          <w:szCs w:val="21"/>
          <w:lang w:val="es-MX" w:eastAsia="es-MX"/>
        </w:rPr>
      </w:pPr>
    </w:p>
    <w:p w14:paraId="63AF95C1" w14:textId="77777777" w:rsidR="00597603" w:rsidRPr="00C159D3" w:rsidRDefault="00597603" w:rsidP="00597603">
      <w:pPr>
        <w:ind w:firstLine="708"/>
        <w:jc w:val="both"/>
        <w:rPr>
          <w:rFonts w:ascii="Abadi" w:hAnsi="Abadi" w:cs="Calibri"/>
          <w:sz w:val="21"/>
          <w:szCs w:val="21"/>
          <w:lang w:val="es-MX" w:eastAsia="es-MX"/>
        </w:rPr>
      </w:pPr>
      <w:r w:rsidRPr="00C159D3">
        <w:rPr>
          <w:rFonts w:ascii="Abadi" w:hAnsi="Abadi" w:cs="Calibri"/>
          <w:sz w:val="21"/>
          <w:szCs w:val="21"/>
          <w:lang w:val="es-MX" w:eastAsia="es-MX"/>
        </w:rPr>
        <w:t>Al respecto, se establece que la selección de las cuentas a revisar durante los referidos ejercicios se realizó con base en los riesgos identificados durante la etapa de planeación.</w:t>
      </w:r>
    </w:p>
    <w:p w14:paraId="6210EE25" w14:textId="14E07723" w:rsidR="00597603" w:rsidRPr="00C159D3" w:rsidRDefault="00597603" w:rsidP="00597603">
      <w:pPr>
        <w:rPr>
          <w:rFonts w:ascii="Abadi" w:hAnsi="Abadi"/>
          <w:sz w:val="21"/>
          <w:szCs w:val="21"/>
          <w:lang w:val="es-MX" w:eastAsia="es-MX"/>
        </w:rPr>
      </w:pPr>
    </w:p>
    <w:p w14:paraId="3E8CE3E6" w14:textId="5E74367F" w:rsidR="00597603" w:rsidRPr="00C159D3" w:rsidRDefault="00597603" w:rsidP="00597603">
      <w:pPr>
        <w:ind w:firstLine="708"/>
        <w:jc w:val="both"/>
        <w:rPr>
          <w:rFonts w:ascii="Abadi" w:hAnsi="Abadi" w:cs="Calibri"/>
          <w:sz w:val="21"/>
          <w:szCs w:val="21"/>
          <w:lang w:val="es-MX" w:eastAsia="es-MX"/>
        </w:rPr>
      </w:pPr>
      <w:r w:rsidRPr="00C159D3">
        <w:rPr>
          <w:rFonts w:ascii="Abadi" w:hAnsi="Abadi" w:cs="Calibri"/>
          <w:sz w:val="21"/>
          <w:szCs w:val="21"/>
          <w:lang w:val="es-MX" w:eastAsia="es-MX"/>
        </w:rPr>
        <w:t xml:space="preserve">Asimismo, en la auditoría practicada al Ramo General 33 y Obra Pública del ejercicio fiscal 2019 se revisaron 7 obras y en la auditoría realizada a la infraestructura pública municipal del ejercicio fiscal 2020 se revisaron 11 obras, en las que se verificó que las inversiones en obra pública se hayan realizado de conformidad con las leyes, normas, reglamentos y demás disposiciones legales que la regulan; que los presupuestos considerados para la ejecución de las obras se hayan aplicado correctamente, y que las modificaciones ocurridas se justifiquen mediante los convenios correspondientes; que la adjudicación y contratación de la obra pública, se hayan realizado con estricto apego a lo dispuesto en la legislación vigente y que no existiera conflicto de interés entre los contratistas y los funcionarios públicos que decidieron las adjudicaciones; que los sistemas de control interno, operativo y contable que regulan la función, aseguren la protección de los recursos y </w:t>
      </w:r>
      <w:r w:rsidRPr="00C159D3">
        <w:rPr>
          <w:rFonts w:ascii="Abadi" w:hAnsi="Abadi" w:cs="Calibri"/>
          <w:sz w:val="21"/>
          <w:szCs w:val="21"/>
          <w:lang w:val="es-MX" w:eastAsia="es-MX"/>
        </w:rPr>
        <w:lastRenderedPageBreak/>
        <w:t>su efectiva utilización, la calidad de los trabajos, la razonabilidad de los costos y la confiabilidad de la información en la ejecución de la obra pública; que los contratistas hayan cumplido con las cláusulas contractuales, las especificaciones de obra, los procedimientos de construcción y la calendarización de los trabajos; en una obra de la muestra que así lo requería, se verificó el cumplimiento de la calidad de los materiales empleados y de los procedimientos constructivos en la ejecución de la obra pública, a través de la práctica de pruebas de laboratorio en observancia de las normas, estándares, procedimientos técnicos y de fiscalización aplicables y se emitieron los dictámenes respectivos con apoyo de la Unidad de Laboratorio de Obra Pública de la Auditoría Superior del Estado de Guanajuato; y se revisó un contrato administrado por el Sistema Municipal de Agua Potable y Alcantarillado de Guanajuato, ejecutado en el mismo lugar en el que se ejecutó una obra administrada por la administración central.</w:t>
      </w:r>
    </w:p>
    <w:p w14:paraId="3E0FBBF5" w14:textId="77777777" w:rsidR="00597603" w:rsidRPr="00C159D3" w:rsidRDefault="00597603" w:rsidP="00597603">
      <w:pPr>
        <w:ind w:firstLine="708"/>
        <w:jc w:val="both"/>
        <w:rPr>
          <w:rFonts w:ascii="Abadi" w:hAnsi="Abadi" w:cs="Calibri"/>
          <w:sz w:val="21"/>
          <w:szCs w:val="21"/>
          <w:lang w:val="es-MX" w:eastAsia="es-MX"/>
        </w:rPr>
      </w:pPr>
    </w:p>
    <w:p w14:paraId="7CAA71D4" w14:textId="77777777" w:rsidR="00597603" w:rsidRPr="00C159D3" w:rsidRDefault="00597603" w:rsidP="00597603">
      <w:pPr>
        <w:ind w:firstLine="708"/>
        <w:jc w:val="both"/>
        <w:rPr>
          <w:rFonts w:ascii="Abadi" w:hAnsi="Abadi"/>
          <w:sz w:val="21"/>
          <w:szCs w:val="21"/>
          <w:lang w:val="es-MX" w:eastAsia="es-MX"/>
        </w:rPr>
      </w:pPr>
      <w:r w:rsidRPr="00C159D3">
        <w:rPr>
          <w:rFonts w:ascii="Abadi" w:hAnsi="Abadi"/>
          <w:sz w:val="21"/>
          <w:szCs w:val="21"/>
          <w:lang w:val="es-MX" w:eastAsia="es-MX"/>
        </w:rPr>
        <w:t>Adicionalmente, se informó que se llevaron a cabo diversas revisiones por parte de la Auditoría Superior de la Federación</w:t>
      </w:r>
      <w:r w:rsidRPr="00C159D3">
        <w:rPr>
          <w:rFonts w:ascii="Abadi" w:hAnsi="Abadi"/>
          <w:sz w:val="21"/>
          <w:szCs w:val="21"/>
          <w:vertAlign w:val="superscript"/>
          <w:lang w:val="es-MX" w:eastAsia="es-MX"/>
        </w:rPr>
        <w:footnoteReference w:id="127"/>
      </w:r>
      <w:r w:rsidRPr="00C159D3">
        <w:rPr>
          <w:rFonts w:ascii="Abadi" w:hAnsi="Abadi"/>
          <w:sz w:val="21"/>
          <w:szCs w:val="21"/>
          <w:lang w:val="es-MX" w:eastAsia="es-MX"/>
        </w:rPr>
        <w:t>, las cuales se detallan a continuación:</w:t>
      </w:r>
    </w:p>
    <w:p w14:paraId="31DDCB53" w14:textId="2A2258A7" w:rsidR="00597603" w:rsidRDefault="00E964E7" w:rsidP="00597603">
      <w:pPr>
        <w:rPr>
          <w:rFonts w:ascii="Abadi" w:hAnsi="Abadi"/>
          <w:sz w:val="21"/>
          <w:szCs w:val="21"/>
          <w:lang w:val="es-MX" w:eastAsia="es-MX"/>
        </w:rPr>
      </w:pPr>
      <w:r w:rsidRPr="006D4A36">
        <w:rPr>
          <w:noProof/>
        </w:rPr>
        <w:drawing>
          <wp:anchor distT="0" distB="0" distL="114300" distR="114300" simplePos="0" relativeHeight="251736064" behindDoc="1" locked="0" layoutInCell="1" allowOverlap="1" wp14:anchorId="74BED905" wp14:editId="02AFB8BE">
            <wp:simplePos x="0" y="0"/>
            <wp:positionH relativeFrom="margin">
              <wp:align>left</wp:align>
            </wp:positionH>
            <wp:positionV relativeFrom="paragraph">
              <wp:posOffset>300990</wp:posOffset>
            </wp:positionV>
            <wp:extent cx="2689860" cy="1175385"/>
            <wp:effectExtent l="0" t="0" r="0" b="5715"/>
            <wp:wrapTight wrapText="bothSides">
              <wp:wrapPolygon edited="0">
                <wp:start x="0" y="0"/>
                <wp:lineTo x="0" y="21355"/>
                <wp:lineTo x="21416" y="21355"/>
                <wp:lineTo x="21416" y="0"/>
                <wp:lineTo x="0" y="0"/>
              </wp:wrapPolygon>
            </wp:wrapTight>
            <wp:docPr id="33" name="Imagen 3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Tabla&#10;&#10;Descripción generada automáticamente"/>
                    <pic:cNvPicPr/>
                  </pic:nvPicPr>
                  <pic:blipFill rotWithShape="1">
                    <a:blip r:embed="rId55">
                      <a:extLst>
                        <a:ext uri="{28A0092B-C50C-407E-A947-70E740481C1C}">
                          <a14:useLocalDpi xmlns:a14="http://schemas.microsoft.com/office/drawing/2010/main" val="0"/>
                        </a:ext>
                      </a:extLst>
                    </a:blip>
                    <a:srcRect l="32782" t="41643" r="30057" b="29470"/>
                    <a:stretch/>
                  </pic:blipFill>
                  <pic:spPr bwMode="auto">
                    <a:xfrm>
                      <a:off x="0" y="0"/>
                      <a:ext cx="2689860" cy="1175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7603" w:rsidRPr="00C159D3">
        <w:rPr>
          <w:rFonts w:ascii="Abadi" w:hAnsi="Abadi"/>
          <w:sz w:val="21"/>
          <w:szCs w:val="21"/>
          <w:lang w:val="es-MX" w:eastAsia="es-MX"/>
        </w:rPr>
        <w:t xml:space="preserve"> </w:t>
      </w:r>
    </w:p>
    <w:p w14:paraId="24CE0BFE" w14:textId="77777777" w:rsidR="00597603" w:rsidRPr="00C159D3" w:rsidRDefault="00597603" w:rsidP="00597603">
      <w:pPr>
        <w:jc w:val="both"/>
        <w:rPr>
          <w:rFonts w:ascii="Abadi" w:hAnsi="Abadi"/>
          <w:b/>
          <w:bCs/>
          <w:color w:val="ED7D31"/>
          <w:sz w:val="21"/>
          <w:szCs w:val="21"/>
          <w:lang w:val="es-MX" w:eastAsia="es-MX"/>
        </w:rPr>
      </w:pPr>
    </w:p>
    <w:p w14:paraId="0FAEC4C7" w14:textId="77777777" w:rsidR="00597603" w:rsidRPr="00C159D3" w:rsidRDefault="00597603" w:rsidP="00597603">
      <w:pPr>
        <w:ind w:firstLine="708"/>
        <w:contextualSpacing/>
        <w:jc w:val="both"/>
        <w:rPr>
          <w:rFonts w:ascii="Abadi" w:eastAsia="Calibri" w:hAnsi="Abadi"/>
          <w:bCs/>
          <w:sz w:val="21"/>
          <w:szCs w:val="21"/>
          <w:lang w:val="es-MX" w:eastAsia="en-US"/>
        </w:rPr>
      </w:pPr>
      <w:r w:rsidRPr="00C159D3">
        <w:rPr>
          <w:rFonts w:ascii="Abadi" w:eastAsia="Calibri" w:hAnsi="Abadi"/>
          <w:bCs/>
          <w:sz w:val="21"/>
          <w:szCs w:val="21"/>
          <w:lang w:val="es-MX" w:eastAsia="en-US"/>
        </w:rPr>
        <w:t xml:space="preserve">De acuerdo a la información antes señalada, la Auditoría Superior del Estado ha realizado 2 revisiones de cuenta pública y 2 auditorías practicadas </w:t>
      </w:r>
      <w:r w:rsidRPr="00C159D3">
        <w:rPr>
          <w:rFonts w:ascii="Abadi" w:hAnsi="Abadi" w:cs="Tahoma"/>
          <w:spacing w:val="-10"/>
          <w:kern w:val="28"/>
          <w:sz w:val="21"/>
          <w:szCs w:val="21"/>
          <w:lang w:val="es-MX" w:eastAsia="en-US"/>
        </w:rPr>
        <w:t>a la infraestructura pública municipal</w:t>
      </w:r>
      <w:r w:rsidRPr="00C159D3">
        <w:rPr>
          <w:rFonts w:ascii="Abadi" w:eastAsia="Calibri" w:hAnsi="Abadi"/>
          <w:bCs/>
          <w:sz w:val="21"/>
          <w:szCs w:val="21"/>
          <w:lang w:val="es-MX" w:eastAsia="en-US"/>
        </w:rPr>
        <w:t>. Asimismo, se realizaron 3 revisiones por parte de la Auditoría Superior de la Federación.</w:t>
      </w:r>
    </w:p>
    <w:p w14:paraId="3EBFADEE" w14:textId="77777777" w:rsidR="00597603" w:rsidRPr="00C159D3" w:rsidRDefault="00597603" w:rsidP="00597603">
      <w:pPr>
        <w:rPr>
          <w:rFonts w:ascii="Abadi" w:eastAsia="Calibri" w:hAnsi="Abadi"/>
          <w:sz w:val="21"/>
          <w:szCs w:val="21"/>
          <w:lang w:val="es-MX" w:eastAsia="en-US"/>
        </w:rPr>
      </w:pPr>
    </w:p>
    <w:p w14:paraId="5A8060AC" w14:textId="77777777" w:rsidR="00597603" w:rsidRPr="00C159D3" w:rsidRDefault="00597603" w:rsidP="00597603">
      <w:pPr>
        <w:ind w:firstLine="708"/>
        <w:contextualSpacing/>
        <w:jc w:val="both"/>
        <w:rPr>
          <w:rFonts w:ascii="Abadi" w:eastAsia="Calibri" w:hAnsi="Abadi"/>
          <w:bCs/>
          <w:sz w:val="21"/>
          <w:szCs w:val="21"/>
          <w:lang w:val="es-MX" w:eastAsia="en-US"/>
        </w:rPr>
      </w:pPr>
      <w:r w:rsidRPr="00C159D3">
        <w:rPr>
          <w:rFonts w:ascii="Abadi" w:eastAsia="Calibri" w:hAnsi="Abadi"/>
          <w:bCs/>
          <w:sz w:val="21"/>
          <w:szCs w:val="21"/>
          <w:lang w:val="es-MX" w:eastAsia="en-US"/>
        </w:rPr>
        <w:t xml:space="preserve">Aunado a lo anterior, en el Programa General de Fiscalización 2022 se contemplan 272 actos de fiscalización, por lo que, de acuerdo a dicho Programa, así como al Programa Operativo Anual y la capacidad institucional instalada, la incorporación de actos de fiscalización adicionales a los ya programados, </w:t>
      </w:r>
      <w:r w:rsidRPr="00C159D3">
        <w:rPr>
          <w:rFonts w:ascii="Abadi" w:eastAsia="Calibri" w:hAnsi="Abadi"/>
          <w:bCs/>
          <w:sz w:val="21"/>
          <w:szCs w:val="21"/>
          <w:lang w:val="es-MX" w:eastAsia="en-US"/>
        </w:rPr>
        <w:t>incidiría directamente en la cobertura, calidad y tiempos de la fiscalización, en detrimento del citado programa y de los actos de fiscalización previamente planificados.</w:t>
      </w:r>
    </w:p>
    <w:p w14:paraId="0A097ED4" w14:textId="77777777" w:rsidR="00597603" w:rsidRPr="00C159D3" w:rsidRDefault="00597603" w:rsidP="00597603">
      <w:pPr>
        <w:ind w:firstLine="708"/>
        <w:contextualSpacing/>
        <w:jc w:val="both"/>
        <w:rPr>
          <w:rFonts w:ascii="Abadi" w:eastAsia="Calibri" w:hAnsi="Abadi"/>
          <w:bCs/>
          <w:sz w:val="21"/>
          <w:szCs w:val="21"/>
          <w:lang w:val="es-MX" w:eastAsia="en-US"/>
        </w:rPr>
      </w:pPr>
    </w:p>
    <w:p w14:paraId="2953446A" w14:textId="77777777" w:rsidR="00597603" w:rsidRPr="00C159D3" w:rsidRDefault="00597603" w:rsidP="00597603">
      <w:pPr>
        <w:ind w:firstLine="708"/>
        <w:contextualSpacing/>
        <w:jc w:val="both"/>
        <w:rPr>
          <w:rFonts w:ascii="Abadi" w:eastAsia="Calibri" w:hAnsi="Abadi"/>
          <w:bCs/>
          <w:sz w:val="21"/>
          <w:szCs w:val="21"/>
          <w:lang w:val="es-MX" w:eastAsia="en-US"/>
        </w:rPr>
      </w:pPr>
      <w:r w:rsidRPr="00C159D3">
        <w:rPr>
          <w:rFonts w:ascii="Abadi" w:eastAsia="Calibri" w:hAnsi="Abadi"/>
          <w:bCs/>
          <w:sz w:val="21"/>
          <w:szCs w:val="21"/>
          <w:lang w:val="es-MX" w:eastAsia="en-US"/>
        </w:rPr>
        <w:t>En razón a lo antes señalado y privilegiando la realización de los actos de fiscalización ya contemplados en el Programa General de Fiscalización de la Auditoría Superior del Estado para el presente ejercicio fiscal, mismo que consideró una planeación estratégica, así como al cumplimiento de dicho programa en tiempo y calidad de los actos programados, así como a la capacidad institucional instalada de dicho Órgano Técnico, determinamos no autorizar la realización de la auditoría propuesta, atendiendo además a que ya se realizaron diversos actos de fiscalización a la administración municipal de Guanajuato, Gto., por parte tanto de la Auditoría Superior del Estado como de la Auditoría Superior de la Federación a los ejercicios fiscales que se propone auditar. Aunado a lo anterior, respecto a algunos hechos referidos en la propuesta existen denuncias ya presentadas ante la Fiscalía Especializada en Combate a la Corrupción por ser el órgano competente para tal efecto.</w:t>
      </w:r>
    </w:p>
    <w:p w14:paraId="7A744F3A" w14:textId="77777777" w:rsidR="00597603" w:rsidRPr="00C159D3" w:rsidRDefault="00597603" w:rsidP="00597603">
      <w:pPr>
        <w:rPr>
          <w:rFonts w:ascii="Abadi" w:hAnsi="Abadi"/>
          <w:sz w:val="21"/>
          <w:szCs w:val="21"/>
          <w:lang w:val="es-MX" w:eastAsia="en-US"/>
        </w:rPr>
      </w:pPr>
    </w:p>
    <w:p w14:paraId="5B10512A" w14:textId="77777777" w:rsidR="00597603" w:rsidRPr="00C159D3" w:rsidRDefault="00597603" w:rsidP="00597603">
      <w:pPr>
        <w:widowControl w:val="0"/>
        <w:spacing w:after="200"/>
        <w:ind w:firstLine="708"/>
        <w:contextualSpacing/>
        <w:jc w:val="both"/>
        <w:rPr>
          <w:rFonts w:ascii="Abadi" w:eastAsia="Calibri" w:hAnsi="Abadi"/>
          <w:bCs/>
          <w:sz w:val="21"/>
          <w:szCs w:val="21"/>
          <w:lang w:val="es-MX" w:eastAsia="en-US"/>
        </w:rPr>
      </w:pPr>
      <w:r w:rsidRPr="00C159D3">
        <w:rPr>
          <w:rFonts w:ascii="Abadi" w:eastAsia="Calibri" w:hAnsi="Abadi"/>
          <w:bCs/>
          <w:sz w:val="21"/>
          <w:szCs w:val="21"/>
          <w:lang w:val="es-MX" w:eastAsia="en-US"/>
        </w:rPr>
        <w:t xml:space="preserve">No obstante, la Auditoría Superior del Estado podrá considerar los hechos que correspondan al ejercicio 2021 planteados por la proponente en la planeación y ejecución de la revisión de la cuenta pública de dicho ejercicio. </w:t>
      </w:r>
    </w:p>
    <w:p w14:paraId="1C06A415" w14:textId="77777777" w:rsidR="00597603" w:rsidRPr="00C159D3" w:rsidRDefault="00597603" w:rsidP="00597603">
      <w:pPr>
        <w:ind w:firstLine="708"/>
        <w:jc w:val="both"/>
        <w:rPr>
          <w:rFonts w:ascii="Abadi" w:hAnsi="Abadi" w:cs="Arial"/>
          <w:iCs/>
          <w:sz w:val="21"/>
          <w:szCs w:val="21"/>
          <w:lang w:val="es-MX" w:eastAsia="es-MX"/>
        </w:rPr>
      </w:pPr>
      <w:r w:rsidRPr="00C159D3">
        <w:rPr>
          <w:rFonts w:ascii="Abadi" w:hAnsi="Abadi" w:cs="Arial"/>
          <w:iCs/>
          <w:sz w:val="21"/>
          <w:szCs w:val="21"/>
          <w:lang w:val="es-MX" w:eastAsia="es-MX"/>
        </w:rPr>
        <w:t xml:space="preserve">Por lo expuesto y con fundamento en el artículo 204 de </w:t>
      </w:r>
      <w:smartTag w:uri="urn:schemas-microsoft-com:office:smarttags" w:element="PersonName">
        <w:smartTagPr>
          <w:attr w:name="ProductID" w:val="la Ley Org￡nica"/>
        </w:smartTagPr>
        <w:r w:rsidRPr="00C159D3">
          <w:rPr>
            <w:rFonts w:ascii="Abadi" w:hAnsi="Abadi" w:cs="Arial"/>
            <w:iCs/>
            <w:sz w:val="21"/>
            <w:szCs w:val="21"/>
            <w:lang w:val="es-MX" w:eastAsia="es-MX"/>
          </w:rPr>
          <w:t>la Ley Orgánica</w:t>
        </w:r>
      </w:smartTag>
      <w:r w:rsidRPr="00C159D3">
        <w:rPr>
          <w:rFonts w:ascii="Abadi" w:hAnsi="Abadi" w:cs="Arial"/>
          <w:iCs/>
          <w:sz w:val="21"/>
          <w:szCs w:val="21"/>
          <w:lang w:val="es-MX" w:eastAsia="es-MX"/>
        </w:rPr>
        <w:t xml:space="preserve"> del Poder Legislativo del Estado, sometemos a la consideración de </w:t>
      </w:r>
      <w:smartTag w:uri="urn:schemas-microsoft-com:office:smarttags" w:element="PersonName">
        <w:smartTagPr>
          <w:attr w:name="ProductID" w:val="la Asamblea"/>
        </w:smartTagPr>
        <w:r w:rsidRPr="00C159D3">
          <w:rPr>
            <w:rFonts w:ascii="Abadi" w:hAnsi="Abadi" w:cs="Arial"/>
            <w:iCs/>
            <w:sz w:val="21"/>
            <w:szCs w:val="21"/>
            <w:lang w:val="es-MX" w:eastAsia="es-MX"/>
          </w:rPr>
          <w:t>la Asamblea</w:t>
        </w:r>
      </w:smartTag>
      <w:r w:rsidRPr="00C159D3">
        <w:rPr>
          <w:rFonts w:ascii="Abadi" w:hAnsi="Abadi" w:cs="Arial"/>
          <w:iCs/>
          <w:sz w:val="21"/>
          <w:szCs w:val="21"/>
          <w:lang w:val="es-MX" w:eastAsia="es-MX"/>
        </w:rPr>
        <w:t>, la aprobación del siguiente:</w:t>
      </w:r>
    </w:p>
    <w:p w14:paraId="45D17BB7" w14:textId="77777777" w:rsidR="00597603" w:rsidRPr="00C159D3" w:rsidRDefault="00597603" w:rsidP="00597603">
      <w:pPr>
        <w:ind w:firstLine="708"/>
        <w:jc w:val="both"/>
        <w:rPr>
          <w:rFonts w:ascii="Abadi" w:hAnsi="Abadi" w:cs="Arial"/>
          <w:iCs/>
          <w:sz w:val="21"/>
          <w:szCs w:val="21"/>
          <w:lang w:val="es-MX" w:eastAsia="es-MX"/>
        </w:rPr>
      </w:pPr>
    </w:p>
    <w:p w14:paraId="1083FD44" w14:textId="77777777" w:rsidR="00597603" w:rsidRPr="00C159D3" w:rsidRDefault="00597603" w:rsidP="00597603">
      <w:pPr>
        <w:jc w:val="center"/>
        <w:rPr>
          <w:rFonts w:ascii="Abadi" w:hAnsi="Abadi" w:cs="Arial"/>
          <w:b/>
          <w:iCs/>
          <w:sz w:val="21"/>
          <w:szCs w:val="21"/>
          <w:lang w:val="es-MX" w:eastAsia="es-MX"/>
        </w:rPr>
      </w:pPr>
      <w:r w:rsidRPr="00C159D3">
        <w:rPr>
          <w:rFonts w:ascii="Abadi" w:hAnsi="Abadi" w:cs="Arial"/>
          <w:b/>
          <w:iCs/>
          <w:sz w:val="21"/>
          <w:szCs w:val="21"/>
          <w:lang w:val="es-MX" w:eastAsia="es-MX"/>
        </w:rPr>
        <w:t>A c u e r d o</w:t>
      </w:r>
    </w:p>
    <w:p w14:paraId="3297CEC1" w14:textId="77777777" w:rsidR="00597603" w:rsidRPr="00C159D3" w:rsidRDefault="00597603" w:rsidP="00597603">
      <w:pPr>
        <w:jc w:val="center"/>
        <w:rPr>
          <w:rFonts w:ascii="Abadi" w:hAnsi="Abadi" w:cs="Arial"/>
          <w:b/>
          <w:iCs/>
          <w:sz w:val="21"/>
          <w:szCs w:val="21"/>
          <w:lang w:val="es-MX" w:eastAsia="es-MX"/>
        </w:rPr>
      </w:pPr>
    </w:p>
    <w:p w14:paraId="04E38CAC" w14:textId="77777777" w:rsidR="00597603" w:rsidRPr="00C159D3" w:rsidRDefault="00597603" w:rsidP="00597603">
      <w:pPr>
        <w:ind w:firstLine="708"/>
        <w:jc w:val="both"/>
        <w:rPr>
          <w:rFonts w:ascii="Abadi" w:hAnsi="Abadi" w:cs="Arial"/>
          <w:sz w:val="21"/>
          <w:szCs w:val="21"/>
          <w:lang w:val="es-MX" w:eastAsia="es-MX"/>
        </w:rPr>
      </w:pPr>
      <w:r w:rsidRPr="00C159D3">
        <w:rPr>
          <w:rFonts w:ascii="Abadi" w:hAnsi="Abadi" w:cs="Arial"/>
          <w:b/>
          <w:iCs/>
          <w:sz w:val="21"/>
          <w:szCs w:val="21"/>
          <w:lang w:val="es-MX" w:eastAsia="es-MX"/>
        </w:rPr>
        <w:t>Único.</w:t>
      </w:r>
      <w:r w:rsidRPr="00C159D3">
        <w:rPr>
          <w:rFonts w:ascii="Abadi" w:hAnsi="Abadi" w:cs="Arial"/>
          <w:b/>
          <w:sz w:val="21"/>
          <w:szCs w:val="21"/>
          <w:lang w:val="es-MX" w:eastAsia="es-MX"/>
        </w:rPr>
        <w:t xml:space="preserve"> </w:t>
      </w:r>
      <w:r w:rsidRPr="00C159D3">
        <w:rPr>
          <w:rFonts w:ascii="Abadi" w:hAnsi="Abadi" w:cs="Arial"/>
          <w:sz w:val="21"/>
          <w:szCs w:val="21"/>
          <w:lang w:val="es-MX" w:eastAsia="es-MX"/>
        </w:rPr>
        <w:t xml:space="preserve">Se determina improcedente la propuesta </w:t>
      </w:r>
      <w:r w:rsidRPr="00C159D3">
        <w:rPr>
          <w:rFonts w:ascii="Abadi" w:hAnsi="Abadi"/>
          <w:sz w:val="21"/>
          <w:szCs w:val="21"/>
          <w:lang w:val="es-MX" w:eastAsia="es-MX"/>
        </w:rPr>
        <w:t xml:space="preserve">de punto de acuerdo </w:t>
      </w:r>
      <w:r w:rsidRPr="00C159D3">
        <w:rPr>
          <w:rFonts w:ascii="Abadi" w:eastAsia="Batang" w:hAnsi="Abadi" w:cs="Arial"/>
          <w:sz w:val="21"/>
          <w:szCs w:val="21"/>
          <w:lang w:val="es-MX" w:eastAsia="es-MX"/>
        </w:rPr>
        <w:t xml:space="preserve">formulada por </w:t>
      </w:r>
      <w:r w:rsidRPr="00C159D3">
        <w:rPr>
          <w:rFonts w:ascii="Abadi" w:hAnsi="Abadi" w:cs="Arial"/>
          <w:iCs/>
          <w:sz w:val="21"/>
          <w:szCs w:val="21"/>
          <w:lang w:val="es-MX" w:eastAsia="es-MX"/>
        </w:rPr>
        <w:t>la diputada Alma Edwviges Alcaraz Hernández, integrante del Grupo Parlamentario del Partido MORENA</w:t>
      </w:r>
      <w:r w:rsidRPr="00C159D3">
        <w:rPr>
          <w:rFonts w:ascii="Abadi" w:hAnsi="Abadi"/>
          <w:sz w:val="21"/>
          <w:szCs w:val="21"/>
          <w:lang w:val="es-ES_tradnl" w:eastAsia="es-MX"/>
        </w:rPr>
        <w:t xml:space="preserve"> a efecto de exhortar al titular de la Auditoría Superior del Estado de Guanajuato, para que lleve a cabo a la brevedad posible una auditoría financiera integral al municipio de Guanajuato, que incluya todas las partidas no revisadas en auditorías previas, en cuya planeación se considere la verificación de posibles conflictos de interés, que incluya al menos, la verificación del apego a la legalidad de </w:t>
      </w:r>
      <w:r w:rsidRPr="00C159D3">
        <w:rPr>
          <w:rFonts w:ascii="Abadi" w:hAnsi="Abadi"/>
          <w:sz w:val="21"/>
          <w:szCs w:val="21"/>
          <w:lang w:val="es-ES_tradnl" w:eastAsia="es-MX"/>
        </w:rPr>
        <w:lastRenderedPageBreak/>
        <w:t>la adjudicación y contratación de bienes y servicios que corresponda, así como el cumplimiento de las cláusulas contractuales de los mismos, y privilegie las inspecciones físicas para validar la inspección documental, en los casos que sea viable hacerlo, por los ejercicios fiscales de 2019, 2020 y 2021 y concomitante a 2022</w:t>
      </w:r>
      <w:r w:rsidRPr="00C159D3">
        <w:rPr>
          <w:rFonts w:ascii="Abadi" w:hAnsi="Abadi" w:cs="Arial"/>
          <w:sz w:val="21"/>
          <w:szCs w:val="21"/>
          <w:lang w:val="es-MX" w:eastAsia="es-MX"/>
        </w:rPr>
        <w:t xml:space="preserve">. </w:t>
      </w:r>
      <w:r w:rsidRPr="00C159D3">
        <w:rPr>
          <w:rFonts w:ascii="Abadi" w:hAnsi="Abadi"/>
          <w:sz w:val="21"/>
          <w:szCs w:val="21"/>
          <w:lang w:val="es-ES_tradnl" w:eastAsia="es-MX"/>
        </w:rPr>
        <w:t>En consecuencia, se ordena su archivo definitivo</w:t>
      </w:r>
      <w:r w:rsidRPr="00C159D3">
        <w:rPr>
          <w:rFonts w:ascii="Abadi" w:hAnsi="Abadi" w:cs="Arial"/>
          <w:sz w:val="21"/>
          <w:szCs w:val="21"/>
          <w:lang w:val="es-MX" w:eastAsia="es-MX"/>
        </w:rPr>
        <w:t>.</w:t>
      </w:r>
    </w:p>
    <w:p w14:paraId="28984BB2" w14:textId="77777777" w:rsidR="00597603" w:rsidRPr="00C159D3" w:rsidRDefault="00597603" w:rsidP="00597603">
      <w:pPr>
        <w:ind w:firstLine="708"/>
        <w:jc w:val="both"/>
        <w:rPr>
          <w:rFonts w:ascii="Abadi" w:hAnsi="Abadi" w:cs="Arial"/>
          <w:sz w:val="21"/>
          <w:szCs w:val="21"/>
          <w:lang w:val="es-MX" w:eastAsia="es-MX"/>
        </w:rPr>
      </w:pPr>
    </w:p>
    <w:p w14:paraId="759CC1C1" w14:textId="77777777" w:rsidR="00597603" w:rsidRPr="00C159D3" w:rsidRDefault="00597603" w:rsidP="00597603">
      <w:pPr>
        <w:ind w:firstLine="708"/>
        <w:jc w:val="both"/>
        <w:rPr>
          <w:rFonts w:ascii="Abadi" w:hAnsi="Abadi" w:cs="Arial"/>
          <w:sz w:val="21"/>
          <w:szCs w:val="21"/>
          <w:lang w:val="es-MX" w:eastAsia="es-MX"/>
        </w:rPr>
      </w:pPr>
      <w:r w:rsidRPr="00C159D3">
        <w:rPr>
          <w:rFonts w:ascii="Abadi" w:hAnsi="Abadi" w:cs="Arial"/>
          <w:sz w:val="21"/>
          <w:szCs w:val="21"/>
          <w:lang w:val="es-MX" w:eastAsia="es-MX"/>
        </w:rPr>
        <w:t xml:space="preserve">Comuníquese el presente acuerdo al Secretario General del Congreso de Estado, para los efectos conducentes. </w:t>
      </w:r>
    </w:p>
    <w:p w14:paraId="19C1FE01" w14:textId="77777777" w:rsidR="00597603" w:rsidRPr="00C159D3" w:rsidRDefault="00597603" w:rsidP="00597603">
      <w:pPr>
        <w:jc w:val="center"/>
        <w:rPr>
          <w:rFonts w:ascii="Abadi" w:hAnsi="Abadi"/>
          <w:b/>
          <w:bCs/>
          <w:sz w:val="21"/>
          <w:szCs w:val="21"/>
          <w:lang w:val="es-MX" w:eastAsia="x-none"/>
        </w:rPr>
      </w:pPr>
    </w:p>
    <w:p w14:paraId="423A2DA0" w14:textId="77777777" w:rsidR="00597603" w:rsidRPr="00C159D3" w:rsidRDefault="00597603" w:rsidP="00597603">
      <w:pPr>
        <w:jc w:val="center"/>
        <w:rPr>
          <w:rFonts w:ascii="Abadi" w:hAnsi="Abadi"/>
          <w:b/>
          <w:bCs/>
          <w:sz w:val="21"/>
          <w:szCs w:val="21"/>
          <w:lang w:val="es-MX" w:eastAsia="x-none"/>
        </w:rPr>
      </w:pPr>
      <w:r w:rsidRPr="00C159D3">
        <w:rPr>
          <w:rFonts w:ascii="Abadi" w:hAnsi="Abadi"/>
          <w:b/>
          <w:bCs/>
          <w:sz w:val="21"/>
          <w:szCs w:val="21"/>
          <w:lang w:val="es-MX" w:eastAsia="x-none"/>
        </w:rPr>
        <w:t>Guanajuato, Gto., 16 de junio de 2022</w:t>
      </w:r>
    </w:p>
    <w:p w14:paraId="4CF534FB" w14:textId="77777777" w:rsidR="00597603" w:rsidRPr="00C159D3" w:rsidRDefault="00597603" w:rsidP="00597603">
      <w:pPr>
        <w:jc w:val="center"/>
        <w:rPr>
          <w:rFonts w:ascii="Abadi" w:hAnsi="Abadi"/>
          <w:b/>
          <w:bCs/>
          <w:sz w:val="21"/>
          <w:szCs w:val="21"/>
          <w:lang w:val="es-MX" w:eastAsia="x-none"/>
        </w:rPr>
      </w:pPr>
      <w:smartTag w:uri="urn:schemas-microsoft-com:office:smarttags" w:element="PersonName">
        <w:smartTagPr>
          <w:attr w:name="ProductID" w:val="La Comisi￳n"/>
        </w:smartTagPr>
        <w:r w:rsidRPr="00C159D3">
          <w:rPr>
            <w:rFonts w:ascii="Abadi" w:hAnsi="Abadi"/>
            <w:b/>
            <w:bCs/>
            <w:sz w:val="21"/>
            <w:szCs w:val="21"/>
            <w:lang w:val="es-MX" w:eastAsia="x-none"/>
          </w:rPr>
          <w:t>La Comisión</w:t>
        </w:r>
      </w:smartTag>
      <w:r w:rsidRPr="00C159D3">
        <w:rPr>
          <w:rFonts w:ascii="Abadi" w:hAnsi="Abadi"/>
          <w:b/>
          <w:bCs/>
          <w:sz w:val="21"/>
          <w:szCs w:val="21"/>
          <w:lang w:val="es-MX" w:eastAsia="x-none"/>
        </w:rPr>
        <w:t xml:space="preserve"> de Hacienda y Fiscalización</w:t>
      </w:r>
    </w:p>
    <w:p w14:paraId="75FE6390" w14:textId="77777777" w:rsidR="00597603" w:rsidRPr="00C159D3" w:rsidRDefault="00597603" w:rsidP="00597603">
      <w:pPr>
        <w:jc w:val="center"/>
        <w:rPr>
          <w:rFonts w:ascii="Abadi" w:hAnsi="Abadi"/>
          <w:sz w:val="21"/>
          <w:szCs w:val="21"/>
          <w:lang w:val="es-MX" w:eastAsia="es-MX"/>
        </w:rPr>
      </w:pPr>
    </w:p>
    <w:p w14:paraId="3B3E781C" w14:textId="77777777" w:rsidR="00597603" w:rsidRPr="00C159D3" w:rsidRDefault="00597603" w:rsidP="00597603">
      <w:pPr>
        <w:jc w:val="center"/>
        <w:rPr>
          <w:rFonts w:ascii="Abadi" w:hAnsi="Abadi"/>
          <w:sz w:val="21"/>
          <w:szCs w:val="21"/>
          <w:lang w:val="es-MX" w:eastAsia="es-MX"/>
        </w:rPr>
      </w:pPr>
    </w:p>
    <w:p w14:paraId="66929A1E" w14:textId="77777777" w:rsidR="00597603" w:rsidRPr="00C159D3" w:rsidRDefault="00597603" w:rsidP="00597603">
      <w:pPr>
        <w:jc w:val="center"/>
        <w:rPr>
          <w:rFonts w:ascii="Abadi" w:hAnsi="Abadi"/>
          <w:sz w:val="21"/>
          <w:szCs w:val="21"/>
          <w:lang w:val="es-MX" w:eastAsia="es-MX"/>
        </w:rPr>
      </w:pPr>
      <w:r w:rsidRPr="00C159D3">
        <w:rPr>
          <w:rFonts w:ascii="Abadi" w:hAnsi="Abadi"/>
          <w:b/>
          <w:sz w:val="21"/>
          <w:szCs w:val="21"/>
          <w:lang w:val="es-MX" w:eastAsia="x-none"/>
        </w:rPr>
        <w:t>Diputado Víctor Manuel Zanella Huerta</w:t>
      </w:r>
    </w:p>
    <w:p w14:paraId="212F69D6" w14:textId="77777777" w:rsidR="00597603" w:rsidRPr="00C159D3" w:rsidRDefault="00597603" w:rsidP="00597603">
      <w:pPr>
        <w:jc w:val="center"/>
        <w:rPr>
          <w:rFonts w:ascii="Abadi" w:hAnsi="Abadi"/>
          <w:sz w:val="21"/>
          <w:szCs w:val="21"/>
          <w:lang w:val="es-MX" w:eastAsia="x-none"/>
        </w:rPr>
      </w:pPr>
    </w:p>
    <w:p w14:paraId="32FBF0AA" w14:textId="77777777" w:rsidR="00597603" w:rsidRPr="00C159D3" w:rsidRDefault="00597603" w:rsidP="00597603">
      <w:pPr>
        <w:jc w:val="center"/>
        <w:rPr>
          <w:rFonts w:ascii="Abadi" w:hAnsi="Abadi"/>
          <w:sz w:val="21"/>
          <w:szCs w:val="21"/>
          <w:lang w:val="es-MX" w:eastAsia="x-none"/>
        </w:rPr>
      </w:pPr>
    </w:p>
    <w:p w14:paraId="064C6CE6" w14:textId="77777777" w:rsidR="00597603" w:rsidRPr="00C159D3" w:rsidRDefault="00597603" w:rsidP="00597603">
      <w:pPr>
        <w:jc w:val="center"/>
        <w:rPr>
          <w:rFonts w:ascii="Abadi" w:hAnsi="Abadi"/>
          <w:b/>
          <w:bCs/>
          <w:sz w:val="21"/>
          <w:szCs w:val="21"/>
          <w:lang w:val="es-MX" w:eastAsia="x-none"/>
        </w:rPr>
      </w:pPr>
    </w:p>
    <w:p w14:paraId="3CFA5D71" w14:textId="77777777" w:rsidR="00597603" w:rsidRPr="00C159D3" w:rsidRDefault="00597603" w:rsidP="00597603">
      <w:pPr>
        <w:jc w:val="center"/>
        <w:rPr>
          <w:rFonts w:ascii="Abadi" w:hAnsi="Abadi"/>
          <w:b/>
          <w:sz w:val="21"/>
          <w:szCs w:val="21"/>
          <w:lang w:val="es-MX" w:eastAsia="x-none"/>
        </w:rPr>
      </w:pPr>
      <w:r w:rsidRPr="00C159D3">
        <w:rPr>
          <w:rFonts w:ascii="Abadi" w:hAnsi="Abadi"/>
          <w:b/>
          <w:sz w:val="21"/>
          <w:szCs w:val="21"/>
          <w:lang w:val="es-MX" w:eastAsia="x-none"/>
        </w:rPr>
        <w:t>Diputada Ruth Noemí Tiscareño Agoitia</w:t>
      </w:r>
    </w:p>
    <w:p w14:paraId="6BDF8021" w14:textId="77777777" w:rsidR="00597603" w:rsidRPr="00C159D3" w:rsidRDefault="00597603" w:rsidP="00597603">
      <w:pPr>
        <w:jc w:val="center"/>
        <w:rPr>
          <w:rFonts w:ascii="Abadi" w:hAnsi="Abadi"/>
          <w:b/>
          <w:sz w:val="21"/>
          <w:szCs w:val="21"/>
          <w:lang w:val="es-MX" w:eastAsia="x-none"/>
        </w:rPr>
      </w:pPr>
    </w:p>
    <w:p w14:paraId="78436826" w14:textId="77777777" w:rsidR="00597603" w:rsidRPr="00C159D3" w:rsidRDefault="00597603" w:rsidP="00597603">
      <w:pPr>
        <w:jc w:val="center"/>
        <w:rPr>
          <w:rFonts w:ascii="Abadi" w:hAnsi="Abadi"/>
          <w:b/>
          <w:sz w:val="21"/>
          <w:szCs w:val="21"/>
          <w:lang w:val="es-MX" w:eastAsia="x-none"/>
        </w:rPr>
      </w:pPr>
      <w:r w:rsidRPr="00C159D3">
        <w:rPr>
          <w:rFonts w:ascii="Abadi" w:hAnsi="Abadi"/>
          <w:b/>
          <w:sz w:val="21"/>
          <w:szCs w:val="21"/>
          <w:lang w:val="es-MX" w:eastAsia="x-none"/>
        </w:rPr>
        <w:t>Diputado Miguel Ángel Salim Alle</w:t>
      </w:r>
    </w:p>
    <w:p w14:paraId="4CFF64E0" w14:textId="77777777" w:rsidR="00597603" w:rsidRPr="00C159D3" w:rsidRDefault="00597603" w:rsidP="00597603">
      <w:pPr>
        <w:jc w:val="center"/>
        <w:rPr>
          <w:rFonts w:ascii="Abadi" w:hAnsi="Abadi"/>
          <w:b/>
          <w:sz w:val="21"/>
          <w:szCs w:val="21"/>
          <w:lang w:val="es-MX" w:eastAsia="x-none"/>
        </w:rPr>
      </w:pPr>
    </w:p>
    <w:p w14:paraId="7CCDD4F1" w14:textId="77777777" w:rsidR="00597603" w:rsidRPr="00C159D3" w:rsidRDefault="00597603" w:rsidP="00597603">
      <w:pPr>
        <w:jc w:val="center"/>
        <w:rPr>
          <w:rFonts w:ascii="Abadi" w:hAnsi="Abadi"/>
          <w:b/>
          <w:sz w:val="21"/>
          <w:szCs w:val="21"/>
          <w:lang w:val="es-MX" w:eastAsia="x-none"/>
        </w:rPr>
      </w:pPr>
      <w:r w:rsidRPr="00C159D3">
        <w:rPr>
          <w:rFonts w:ascii="Abadi" w:hAnsi="Abadi"/>
          <w:b/>
          <w:sz w:val="21"/>
          <w:szCs w:val="21"/>
          <w:lang w:val="es-MX" w:eastAsia="x-none"/>
        </w:rPr>
        <w:t>Diputado José Alfonso Borja Pimentel</w:t>
      </w:r>
    </w:p>
    <w:p w14:paraId="7F6F0D25" w14:textId="77777777" w:rsidR="00597603" w:rsidRPr="00C159D3" w:rsidRDefault="00597603" w:rsidP="00597603">
      <w:pPr>
        <w:jc w:val="center"/>
        <w:rPr>
          <w:rFonts w:ascii="Abadi" w:hAnsi="Abadi"/>
          <w:b/>
          <w:sz w:val="21"/>
          <w:szCs w:val="21"/>
          <w:lang w:val="es-MX" w:eastAsia="x-none"/>
        </w:rPr>
      </w:pPr>
    </w:p>
    <w:p w14:paraId="62583E59" w14:textId="77777777" w:rsidR="00597603" w:rsidRPr="00C159D3" w:rsidRDefault="00597603" w:rsidP="00597603">
      <w:pPr>
        <w:jc w:val="center"/>
        <w:rPr>
          <w:rFonts w:ascii="Abadi" w:hAnsi="Abadi"/>
          <w:b/>
          <w:sz w:val="21"/>
          <w:szCs w:val="21"/>
          <w:lang w:val="es-MX" w:eastAsia="x-none"/>
        </w:rPr>
      </w:pPr>
    </w:p>
    <w:p w14:paraId="6E5CCA8D" w14:textId="77777777" w:rsidR="00597603" w:rsidRPr="00C159D3" w:rsidRDefault="00597603" w:rsidP="00597603">
      <w:pPr>
        <w:ind w:firstLine="708"/>
        <w:jc w:val="center"/>
        <w:rPr>
          <w:rFonts w:ascii="Abadi" w:hAnsi="Abadi" w:cs="Arial"/>
          <w:b/>
          <w:bCs/>
          <w:sz w:val="21"/>
          <w:szCs w:val="21"/>
          <w:lang w:val="es-MX" w:eastAsia="x-none"/>
        </w:rPr>
      </w:pPr>
      <w:r w:rsidRPr="00C159D3">
        <w:rPr>
          <w:rFonts w:ascii="Abadi" w:hAnsi="Abadi"/>
          <w:b/>
          <w:sz w:val="21"/>
          <w:szCs w:val="21"/>
          <w:lang w:val="es-MX" w:eastAsia="x-none"/>
        </w:rPr>
        <w:t>Diputada Alma Edwviges Alcaraz Hernández</w:t>
      </w:r>
    </w:p>
    <w:p w14:paraId="4EC6E4AD" w14:textId="3F3F9E49" w:rsidR="00597603" w:rsidRPr="00597603" w:rsidRDefault="00597603" w:rsidP="00597603">
      <w:pPr>
        <w:rPr>
          <w:rFonts w:ascii="Abadi" w:hAnsi="Abadi"/>
          <w:sz w:val="20"/>
          <w:szCs w:val="20"/>
        </w:rPr>
      </w:pPr>
    </w:p>
    <w:p w14:paraId="06A81D68" w14:textId="77777777" w:rsidR="00597603" w:rsidRPr="00597603" w:rsidRDefault="00597603" w:rsidP="00597603">
      <w:pPr>
        <w:rPr>
          <w:rFonts w:ascii="Abadi" w:hAnsi="Abadi"/>
          <w:b/>
          <w:bCs/>
          <w:sz w:val="20"/>
          <w:szCs w:val="20"/>
        </w:rPr>
      </w:pPr>
    </w:p>
    <w:p w14:paraId="35C90CE4" w14:textId="37A60DA3" w:rsidR="005F4285" w:rsidRDefault="005F4285"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0"/>
          <w:sz w:val="20"/>
          <w:szCs w:val="20"/>
        </w:rPr>
        <w:t xml:space="preserve"> </w:t>
      </w:r>
      <w:r w:rsidRPr="00531B12">
        <w:rPr>
          <w:rFonts w:ascii="Abadi" w:hAnsi="Abadi"/>
          <w:b/>
          <w:bCs/>
          <w:sz w:val="20"/>
          <w:szCs w:val="20"/>
        </w:rPr>
        <w:t>EN</w:t>
      </w:r>
      <w:r w:rsidRPr="00531B12">
        <w:rPr>
          <w:rFonts w:ascii="Abadi" w:hAnsi="Abadi"/>
          <w:b/>
          <w:bCs/>
          <w:spacing w:val="9"/>
          <w:sz w:val="20"/>
          <w:szCs w:val="20"/>
        </w:rPr>
        <w:t xml:space="preserve"> </w:t>
      </w:r>
      <w:r w:rsidRPr="00531B12">
        <w:rPr>
          <w:rFonts w:ascii="Abadi" w:hAnsi="Abadi"/>
          <w:b/>
          <w:bCs/>
          <w:sz w:val="20"/>
          <w:szCs w:val="20"/>
        </w:rPr>
        <w:t>SU</w:t>
      </w:r>
      <w:r w:rsidRPr="00531B12">
        <w:rPr>
          <w:rFonts w:ascii="Abadi" w:hAnsi="Abadi"/>
          <w:b/>
          <w:bCs/>
          <w:spacing w:val="10"/>
          <w:sz w:val="20"/>
          <w:szCs w:val="20"/>
        </w:rPr>
        <w:t xml:space="preserve"> </w:t>
      </w:r>
      <w:r w:rsidRPr="00531B12">
        <w:rPr>
          <w:rFonts w:ascii="Abadi" w:hAnsi="Abadi"/>
          <w:b/>
          <w:bCs/>
          <w:sz w:val="20"/>
          <w:szCs w:val="20"/>
        </w:rPr>
        <w:t>CASO,</w:t>
      </w:r>
      <w:r w:rsidRPr="00531B12">
        <w:rPr>
          <w:rFonts w:ascii="Abadi" w:hAnsi="Abadi"/>
          <w:b/>
          <w:bCs/>
          <w:spacing w:val="10"/>
          <w:sz w:val="20"/>
          <w:szCs w:val="20"/>
        </w:rPr>
        <w:t xml:space="preserve"> </w:t>
      </w:r>
      <w:r w:rsidRPr="00531B12">
        <w:rPr>
          <w:rFonts w:ascii="Abadi" w:hAnsi="Abadi"/>
          <w:b/>
          <w:bCs/>
          <w:sz w:val="20"/>
          <w:szCs w:val="20"/>
        </w:rPr>
        <w:t>APROBACIÓN</w:t>
      </w:r>
      <w:r w:rsidRPr="00531B12">
        <w:rPr>
          <w:rFonts w:ascii="Abadi" w:hAnsi="Abadi"/>
          <w:b/>
          <w:bCs/>
          <w:spacing w:val="9"/>
          <w:sz w:val="20"/>
          <w:szCs w:val="20"/>
        </w:rPr>
        <w:t xml:space="preserve"> </w:t>
      </w:r>
      <w:r w:rsidRPr="00531B12">
        <w:rPr>
          <w:rFonts w:ascii="Abadi" w:hAnsi="Abadi"/>
          <w:b/>
          <w:bCs/>
          <w:sz w:val="20"/>
          <w:szCs w:val="20"/>
        </w:rPr>
        <w:t>DEL</w:t>
      </w:r>
      <w:r w:rsidRPr="00531B12">
        <w:rPr>
          <w:rFonts w:ascii="Abadi" w:hAnsi="Abadi"/>
          <w:b/>
          <w:bCs/>
          <w:spacing w:val="10"/>
          <w:sz w:val="20"/>
          <w:szCs w:val="20"/>
        </w:rPr>
        <w:t xml:space="preserve"> </w:t>
      </w:r>
      <w:r w:rsidRPr="00531B12">
        <w:rPr>
          <w:rFonts w:ascii="Abadi" w:hAnsi="Abadi"/>
          <w:b/>
          <w:bCs/>
          <w:sz w:val="20"/>
          <w:szCs w:val="20"/>
        </w:rPr>
        <w:t>DICTAMEN</w:t>
      </w:r>
      <w:r w:rsidRPr="00531B12">
        <w:rPr>
          <w:rFonts w:ascii="Abadi" w:hAnsi="Abadi"/>
          <w:b/>
          <w:bCs/>
          <w:spacing w:val="10"/>
          <w:sz w:val="20"/>
          <w:szCs w:val="20"/>
        </w:rPr>
        <w:t xml:space="preserve"> </w:t>
      </w:r>
      <w:r w:rsidRPr="00531B12">
        <w:rPr>
          <w:rFonts w:ascii="Abadi" w:hAnsi="Abadi"/>
          <w:b/>
          <w:bCs/>
          <w:sz w:val="20"/>
          <w:szCs w:val="20"/>
        </w:rPr>
        <w:t>SIGNADO</w:t>
      </w:r>
      <w:r w:rsidRPr="00531B12">
        <w:rPr>
          <w:rFonts w:ascii="Abadi" w:hAnsi="Abadi"/>
          <w:b/>
          <w:bCs/>
          <w:spacing w:val="9"/>
          <w:sz w:val="20"/>
          <w:szCs w:val="20"/>
        </w:rPr>
        <w:t xml:space="preserve"> </w:t>
      </w:r>
      <w:r w:rsidRPr="00531B12">
        <w:rPr>
          <w:rFonts w:ascii="Abadi" w:hAnsi="Abadi"/>
          <w:b/>
          <w:bCs/>
          <w:sz w:val="20"/>
          <w:szCs w:val="20"/>
        </w:rPr>
        <w:t>POR</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COMISIÓN</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33"/>
          <w:sz w:val="20"/>
          <w:szCs w:val="20"/>
        </w:rPr>
        <w:t xml:space="preserve"> </w:t>
      </w:r>
      <w:r w:rsidRPr="00531B12">
        <w:rPr>
          <w:rFonts w:ascii="Abadi" w:hAnsi="Abadi"/>
          <w:b/>
          <w:bCs/>
          <w:sz w:val="20"/>
          <w:szCs w:val="20"/>
        </w:rPr>
        <w:t>HACIENDA</w:t>
      </w:r>
      <w:r w:rsidRPr="00531B12">
        <w:rPr>
          <w:rFonts w:ascii="Abadi" w:hAnsi="Abadi"/>
          <w:b/>
          <w:bCs/>
          <w:spacing w:val="32"/>
          <w:sz w:val="20"/>
          <w:szCs w:val="20"/>
        </w:rPr>
        <w:t xml:space="preserve"> </w:t>
      </w:r>
      <w:r w:rsidRPr="00531B12">
        <w:rPr>
          <w:rFonts w:ascii="Abadi" w:hAnsi="Abadi"/>
          <w:b/>
          <w:bCs/>
          <w:sz w:val="20"/>
          <w:szCs w:val="20"/>
        </w:rPr>
        <w:t>Y</w:t>
      </w:r>
      <w:r w:rsidRPr="00531B12">
        <w:rPr>
          <w:rFonts w:ascii="Abadi" w:hAnsi="Abadi"/>
          <w:b/>
          <w:bCs/>
          <w:spacing w:val="33"/>
          <w:sz w:val="20"/>
          <w:szCs w:val="20"/>
        </w:rPr>
        <w:t xml:space="preserve"> </w:t>
      </w:r>
      <w:r w:rsidRPr="00531B12">
        <w:rPr>
          <w:rFonts w:ascii="Abadi" w:hAnsi="Abadi"/>
          <w:b/>
          <w:bCs/>
          <w:sz w:val="20"/>
          <w:szCs w:val="20"/>
        </w:rPr>
        <w:t>FISCALIZACIÓN</w:t>
      </w:r>
      <w:r w:rsidRPr="00531B12">
        <w:rPr>
          <w:rFonts w:ascii="Abadi" w:hAnsi="Abadi"/>
          <w:b/>
          <w:bCs/>
          <w:spacing w:val="32"/>
          <w:sz w:val="20"/>
          <w:szCs w:val="20"/>
        </w:rPr>
        <w:t xml:space="preserve"> </w:t>
      </w:r>
      <w:r w:rsidRPr="00531B12">
        <w:rPr>
          <w:rFonts w:ascii="Abadi" w:hAnsi="Abadi"/>
          <w:b/>
          <w:bCs/>
          <w:sz w:val="20"/>
          <w:szCs w:val="20"/>
        </w:rPr>
        <w:t>RELATIVO</w:t>
      </w:r>
      <w:r w:rsidRPr="00531B12">
        <w:rPr>
          <w:rFonts w:ascii="Abadi" w:hAnsi="Abadi"/>
          <w:b/>
          <w:bCs/>
          <w:spacing w:val="33"/>
          <w:sz w:val="20"/>
          <w:szCs w:val="20"/>
        </w:rPr>
        <w:t xml:space="preserve"> </w:t>
      </w:r>
      <w:r w:rsidRPr="00531B12">
        <w:rPr>
          <w:rFonts w:ascii="Abadi" w:hAnsi="Abadi"/>
          <w:b/>
          <w:bCs/>
          <w:sz w:val="20"/>
          <w:szCs w:val="20"/>
        </w:rPr>
        <w:t>A</w:t>
      </w:r>
      <w:r w:rsidRPr="00531B12">
        <w:rPr>
          <w:rFonts w:ascii="Abadi" w:hAnsi="Abadi"/>
          <w:b/>
          <w:bCs/>
          <w:spacing w:val="33"/>
          <w:sz w:val="20"/>
          <w:szCs w:val="20"/>
        </w:rPr>
        <w:t xml:space="preserve"> </w:t>
      </w:r>
      <w:r w:rsidRPr="00531B12">
        <w:rPr>
          <w:rFonts w:ascii="Abadi" w:hAnsi="Abadi"/>
          <w:b/>
          <w:bCs/>
          <w:sz w:val="20"/>
          <w:szCs w:val="20"/>
        </w:rPr>
        <w:t>LA</w:t>
      </w:r>
      <w:r w:rsidRPr="00531B12">
        <w:rPr>
          <w:rFonts w:ascii="Abadi" w:hAnsi="Abadi"/>
          <w:b/>
          <w:bCs/>
          <w:spacing w:val="34"/>
          <w:sz w:val="20"/>
          <w:szCs w:val="20"/>
        </w:rPr>
        <w:t xml:space="preserve"> </w:t>
      </w:r>
      <w:r w:rsidRPr="00531B12">
        <w:rPr>
          <w:rFonts w:ascii="Abadi" w:hAnsi="Abadi"/>
          <w:b/>
          <w:bCs/>
          <w:sz w:val="20"/>
          <w:szCs w:val="20"/>
        </w:rPr>
        <w:t>PROPUESTA</w:t>
      </w:r>
      <w:r w:rsidRPr="00531B12">
        <w:rPr>
          <w:rFonts w:ascii="Abadi" w:hAnsi="Abadi"/>
          <w:b/>
          <w:bCs/>
          <w:spacing w:val="33"/>
          <w:sz w:val="20"/>
          <w:szCs w:val="20"/>
        </w:rPr>
        <w:t xml:space="preserve"> </w:t>
      </w:r>
      <w:r w:rsidRPr="00531B12">
        <w:rPr>
          <w:rFonts w:ascii="Abadi" w:hAnsi="Abadi"/>
          <w:b/>
          <w:bCs/>
          <w:sz w:val="20"/>
          <w:szCs w:val="20"/>
        </w:rPr>
        <w:t>DE</w:t>
      </w:r>
      <w:r w:rsidRPr="00531B12">
        <w:rPr>
          <w:rFonts w:ascii="Abadi" w:hAnsi="Abadi"/>
          <w:b/>
          <w:bCs/>
          <w:spacing w:val="33"/>
          <w:sz w:val="20"/>
          <w:szCs w:val="20"/>
        </w:rPr>
        <w:t xml:space="preserve"> </w:t>
      </w:r>
      <w:r w:rsidRPr="00531B12">
        <w:rPr>
          <w:rFonts w:ascii="Abadi" w:hAnsi="Abadi"/>
          <w:b/>
          <w:bCs/>
          <w:sz w:val="20"/>
          <w:szCs w:val="20"/>
        </w:rPr>
        <w:t>PUNTO</w:t>
      </w:r>
      <w:r w:rsidRPr="00531B12">
        <w:rPr>
          <w:rFonts w:ascii="Abadi" w:hAnsi="Abadi"/>
          <w:b/>
          <w:bCs/>
          <w:spacing w:val="33"/>
          <w:sz w:val="20"/>
          <w:szCs w:val="20"/>
        </w:rPr>
        <w:t xml:space="preserve"> </w:t>
      </w:r>
      <w:r w:rsidRPr="00531B12">
        <w:rPr>
          <w:rFonts w:ascii="Abadi" w:hAnsi="Abadi"/>
          <w:b/>
          <w:bCs/>
          <w:sz w:val="20"/>
          <w:szCs w:val="20"/>
        </w:rPr>
        <w:t>DE</w:t>
      </w:r>
      <w:r w:rsidRPr="00531B12">
        <w:rPr>
          <w:rFonts w:ascii="Abadi" w:hAnsi="Abadi"/>
          <w:b/>
          <w:bCs/>
          <w:spacing w:val="34"/>
          <w:sz w:val="20"/>
          <w:szCs w:val="20"/>
        </w:rPr>
        <w:t xml:space="preserve"> </w:t>
      </w:r>
      <w:r w:rsidRPr="00531B12">
        <w:rPr>
          <w:rFonts w:ascii="Abadi" w:hAnsi="Abadi"/>
          <w:b/>
          <w:bCs/>
          <w:sz w:val="20"/>
          <w:szCs w:val="20"/>
        </w:rPr>
        <w:t>ACUERDO</w:t>
      </w:r>
      <w:r w:rsidRPr="00531B12">
        <w:rPr>
          <w:rFonts w:ascii="Abadi" w:hAnsi="Abadi"/>
          <w:b/>
          <w:bCs/>
          <w:spacing w:val="-1"/>
          <w:sz w:val="20"/>
          <w:szCs w:val="20"/>
        </w:rPr>
        <w:t xml:space="preserve"> </w:t>
      </w:r>
      <w:r w:rsidRPr="00531B12">
        <w:rPr>
          <w:rFonts w:ascii="Abadi" w:hAnsi="Abadi"/>
          <w:b/>
          <w:bCs/>
          <w:sz w:val="20"/>
          <w:szCs w:val="20"/>
        </w:rPr>
        <w:t>FORMULADA</w:t>
      </w:r>
      <w:r w:rsidRPr="00531B12">
        <w:rPr>
          <w:rFonts w:ascii="Abadi" w:hAnsi="Abadi"/>
          <w:b/>
          <w:bCs/>
          <w:spacing w:val="-13"/>
          <w:sz w:val="20"/>
          <w:szCs w:val="20"/>
        </w:rPr>
        <w:t xml:space="preserve"> </w:t>
      </w:r>
      <w:r w:rsidRPr="00531B12">
        <w:rPr>
          <w:rFonts w:ascii="Abadi" w:hAnsi="Abadi"/>
          <w:b/>
          <w:bCs/>
          <w:sz w:val="20"/>
          <w:szCs w:val="20"/>
        </w:rPr>
        <w:t>POR</w:t>
      </w:r>
      <w:r w:rsidRPr="00531B12">
        <w:rPr>
          <w:rFonts w:ascii="Abadi" w:hAnsi="Abadi"/>
          <w:b/>
          <w:bCs/>
          <w:spacing w:val="-14"/>
          <w:sz w:val="20"/>
          <w:szCs w:val="20"/>
        </w:rPr>
        <w:t xml:space="preserve"> </w:t>
      </w:r>
      <w:r w:rsidRPr="00531B12">
        <w:rPr>
          <w:rFonts w:ascii="Abadi" w:hAnsi="Abadi"/>
          <w:b/>
          <w:bCs/>
          <w:sz w:val="20"/>
          <w:szCs w:val="20"/>
        </w:rPr>
        <w:t>LA</w:t>
      </w:r>
      <w:r w:rsidRPr="00531B12">
        <w:rPr>
          <w:rFonts w:ascii="Abadi" w:hAnsi="Abadi"/>
          <w:b/>
          <w:bCs/>
          <w:spacing w:val="-15"/>
          <w:sz w:val="20"/>
          <w:szCs w:val="20"/>
        </w:rPr>
        <w:t xml:space="preserve"> </w:t>
      </w:r>
      <w:r w:rsidRPr="00531B12">
        <w:rPr>
          <w:rFonts w:ascii="Abadi" w:hAnsi="Abadi"/>
          <w:b/>
          <w:bCs/>
          <w:sz w:val="20"/>
          <w:szCs w:val="20"/>
        </w:rPr>
        <w:t>DIPUTADA</w:t>
      </w:r>
      <w:r w:rsidRPr="00531B12">
        <w:rPr>
          <w:rFonts w:ascii="Abadi" w:hAnsi="Abadi"/>
          <w:b/>
          <w:bCs/>
          <w:spacing w:val="-14"/>
          <w:sz w:val="20"/>
          <w:szCs w:val="20"/>
        </w:rPr>
        <w:t xml:space="preserve"> </w:t>
      </w:r>
      <w:r w:rsidRPr="00531B12">
        <w:rPr>
          <w:rFonts w:ascii="Abadi" w:hAnsi="Abadi"/>
          <w:b/>
          <w:bCs/>
          <w:sz w:val="20"/>
          <w:szCs w:val="20"/>
        </w:rPr>
        <w:t>ALMA</w:t>
      </w:r>
      <w:r w:rsidRPr="00531B12">
        <w:rPr>
          <w:rFonts w:ascii="Abadi" w:hAnsi="Abadi"/>
          <w:b/>
          <w:bCs/>
          <w:spacing w:val="-14"/>
          <w:sz w:val="20"/>
          <w:szCs w:val="20"/>
        </w:rPr>
        <w:t xml:space="preserve"> </w:t>
      </w:r>
      <w:r w:rsidRPr="00531B12">
        <w:rPr>
          <w:rFonts w:ascii="Abadi" w:hAnsi="Abadi"/>
          <w:b/>
          <w:bCs/>
          <w:sz w:val="20"/>
          <w:szCs w:val="20"/>
        </w:rPr>
        <w:t>EDWVIGES</w:t>
      </w:r>
      <w:r w:rsidRPr="00531B12">
        <w:rPr>
          <w:rFonts w:ascii="Abadi" w:hAnsi="Abadi"/>
          <w:b/>
          <w:bCs/>
          <w:spacing w:val="-15"/>
          <w:sz w:val="20"/>
          <w:szCs w:val="20"/>
        </w:rPr>
        <w:t xml:space="preserve"> </w:t>
      </w:r>
      <w:r w:rsidRPr="00531B12">
        <w:rPr>
          <w:rFonts w:ascii="Abadi" w:hAnsi="Abadi"/>
          <w:b/>
          <w:bCs/>
          <w:sz w:val="20"/>
          <w:szCs w:val="20"/>
        </w:rPr>
        <w:t>ALCARAZ</w:t>
      </w:r>
      <w:r w:rsidRPr="00531B12">
        <w:rPr>
          <w:rFonts w:ascii="Abadi" w:hAnsi="Abadi"/>
          <w:b/>
          <w:bCs/>
          <w:spacing w:val="-14"/>
          <w:sz w:val="20"/>
          <w:szCs w:val="20"/>
        </w:rPr>
        <w:t xml:space="preserve"> </w:t>
      </w:r>
      <w:r w:rsidRPr="00531B12">
        <w:rPr>
          <w:rFonts w:ascii="Abadi" w:hAnsi="Abadi"/>
          <w:b/>
          <w:bCs/>
          <w:sz w:val="20"/>
          <w:szCs w:val="20"/>
        </w:rPr>
        <w:t>HERNÁNDEZ,</w:t>
      </w:r>
      <w:r w:rsidRPr="00531B12">
        <w:rPr>
          <w:rFonts w:ascii="Abadi" w:hAnsi="Abadi"/>
          <w:b/>
          <w:bCs/>
          <w:spacing w:val="-14"/>
          <w:sz w:val="20"/>
          <w:szCs w:val="20"/>
        </w:rPr>
        <w:t xml:space="preserve"> </w:t>
      </w:r>
      <w:r w:rsidRPr="00531B12">
        <w:rPr>
          <w:rFonts w:ascii="Abadi" w:hAnsi="Abadi"/>
          <w:b/>
          <w:bCs/>
          <w:sz w:val="20"/>
          <w:szCs w:val="20"/>
        </w:rPr>
        <w:t>INTEGRANTE</w:t>
      </w:r>
      <w:r w:rsidRPr="00531B12">
        <w:rPr>
          <w:rFonts w:ascii="Abadi" w:hAnsi="Abadi"/>
          <w:b/>
          <w:bCs/>
          <w:spacing w:val="-14"/>
          <w:sz w:val="20"/>
          <w:szCs w:val="20"/>
        </w:rPr>
        <w:t xml:space="preserve"> </w:t>
      </w:r>
      <w:r w:rsidRPr="00531B12">
        <w:rPr>
          <w:rFonts w:ascii="Abadi" w:hAnsi="Abadi"/>
          <w:b/>
          <w:bCs/>
          <w:sz w:val="20"/>
          <w:szCs w:val="20"/>
        </w:rPr>
        <w:t>DEL</w:t>
      </w:r>
      <w:r w:rsidRPr="00531B12">
        <w:rPr>
          <w:rFonts w:ascii="Abadi" w:hAnsi="Abadi"/>
          <w:b/>
          <w:bCs/>
          <w:spacing w:val="-1"/>
          <w:sz w:val="20"/>
          <w:szCs w:val="20"/>
        </w:rPr>
        <w:t xml:space="preserve"> </w:t>
      </w:r>
      <w:r w:rsidRPr="00531B12">
        <w:rPr>
          <w:rFonts w:ascii="Abadi" w:hAnsi="Abadi"/>
          <w:b/>
          <w:bCs/>
          <w:sz w:val="20"/>
          <w:szCs w:val="20"/>
        </w:rPr>
        <w:t>GRUPO</w:t>
      </w:r>
      <w:r w:rsidRPr="00531B12">
        <w:rPr>
          <w:rFonts w:ascii="Abadi" w:hAnsi="Abadi"/>
          <w:b/>
          <w:bCs/>
          <w:spacing w:val="-6"/>
          <w:sz w:val="20"/>
          <w:szCs w:val="20"/>
        </w:rPr>
        <w:t xml:space="preserve"> </w:t>
      </w:r>
      <w:r w:rsidRPr="00531B12">
        <w:rPr>
          <w:rFonts w:ascii="Abadi" w:hAnsi="Abadi"/>
          <w:b/>
          <w:bCs/>
          <w:sz w:val="20"/>
          <w:szCs w:val="20"/>
        </w:rPr>
        <w:t>PARLAMENTARIO</w:t>
      </w:r>
      <w:r w:rsidRPr="00531B12">
        <w:rPr>
          <w:rFonts w:ascii="Abadi" w:hAnsi="Abadi"/>
          <w:b/>
          <w:bCs/>
          <w:spacing w:val="-6"/>
          <w:sz w:val="20"/>
          <w:szCs w:val="20"/>
        </w:rPr>
        <w:t xml:space="preserve"> </w:t>
      </w:r>
      <w:r w:rsidRPr="00531B12">
        <w:rPr>
          <w:rFonts w:ascii="Abadi" w:hAnsi="Abadi"/>
          <w:b/>
          <w:bCs/>
          <w:sz w:val="20"/>
          <w:szCs w:val="20"/>
        </w:rPr>
        <w:t>DEL</w:t>
      </w:r>
      <w:r w:rsidRPr="00531B12">
        <w:rPr>
          <w:rFonts w:ascii="Abadi" w:hAnsi="Abadi"/>
          <w:b/>
          <w:bCs/>
          <w:spacing w:val="-7"/>
          <w:sz w:val="20"/>
          <w:szCs w:val="20"/>
        </w:rPr>
        <w:t xml:space="preserve"> </w:t>
      </w:r>
      <w:r w:rsidRPr="00531B12">
        <w:rPr>
          <w:rFonts w:ascii="Abadi" w:hAnsi="Abadi"/>
          <w:b/>
          <w:bCs/>
          <w:sz w:val="20"/>
          <w:szCs w:val="20"/>
        </w:rPr>
        <w:t>PARTIDO</w:t>
      </w:r>
      <w:r w:rsidRPr="00531B12">
        <w:rPr>
          <w:rFonts w:ascii="Abadi" w:hAnsi="Abadi"/>
          <w:b/>
          <w:bCs/>
          <w:spacing w:val="-6"/>
          <w:sz w:val="20"/>
          <w:szCs w:val="20"/>
        </w:rPr>
        <w:t xml:space="preserve"> </w:t>
      </w:r>
      <w:r w:rsidRPr="00531B12">
        <w:rPr>
          <w:rFonts w:ascii="Abadi" w:hAnsi="Abadi"/>
          <w:b/>
          <w:bCs/>
          <w:sz w:val="20"/>
          <w:szCs w:val="20"/>
        </w:rPr>
        <w:t>MORENA,</w:t>
      </w:r>
      <w:r w:rsidRPr="00531B12">
        <w:rPr>
          <w:rFonts w:ascii="Abadi" w:hAnsi="Abadi"/>
          <w:b/>
          <w:bCs/>
          <w:spacing w:val="-6"/>
          <w:sz w:val="20"/>
          <w:szCs w:val="20"/>
        </w:rPr>
        <w:t xml:space="preserve"> </w:t>
      </w:r>
      <w:r w:rsidRPr="00531B12">
        <w:rPr>
          <w:rFonts w:ascii="Abadi" w:hAnsi="Abadi"/>
          <w:b/>
          <w:bCs/>
          <w:sz w:val="20"/>
          <w:szCs w:val="20"/>
        </w:rPr>
        <w:t>A</w:t>
      </w:r>
      <w:r w:rsidRPr="00531B12">
        <w:rPr>
          <w:rFonts w:ascii="Abadi" w:hAnsi="Abadi"/>
          <w:b/>
          <w:bCs/>
          <w:spacing w:val="-7"/>
          <w:sz w:val="20"/>
          <w:szCs w:val="20"/>
        </w:rPr>
        <w:t xml:space="preserve"> </w:t>
      </w:r>
      <w:r w:rsidRPr="00531B12">
        <w:rPr>
          <w:rFonts w:ascii="Abadi" w:hAnsi="Abadi"/>
          <w:b/>
          <w:bCs/>
          <w:sz w:val="20"/>
          <w:szCs w:val="20"/>
        </w:rPr>
        <w:t>EFECTO</w:t>
      </w:r>
      <w:r w:rsidRPr="00531B12">
        <w:rPr>
          <w:rFonts w:ascii="Abadi" w:hAnsi="Abadi"/>
          <w:b/>
          <w:bCs/>
          <w:spacing w:val="-6"/>
          <w:sz w:val="20"/>
          <w:szCs w:val="20"/>
        </w:rPr>
        <w:t xml:space="preserve"> </w:t>
      </w:r>
      <w:r w:rsidRPr="00531B12">
        <w:rPr>
          <w:rFonts w:ascii="Abadi" w:hAnsi="Abadi"/>
          <w:b/>
          <w:bCs/>
          <w:sz w:val="20"/>
          <w:szCs w:val="20"/>
        </w:rPr>
        <w:t>DE</w:t>
      </w:r>
      <w:r w:rsidRPr="00531B12">
        <w:rPr>
          <w:rFonts w:ascii="Abadi" w:hAnsi="Abadi"/>
          <w:b/>
          <w:bCs/>
          <w:spacing w:val="-6"/>
          <w:sz w:val="20"/>
          <w:szCs w:val="20"/>
        </w:rPr>
        <w:t xml:space="preserve"> </w:t>
      </w:r>
      <w:r w:rsidRPr="00531B12">
        <w:rPr>
          <w:rFonts w:ascii="Abadi" w:hAnsi="Abadi"/>
          <w:b/>
          <w:bCs/>
          <w:sz w:val="20"/>
          <w:szCs w:val="20"/>
        </w:rPr>
        <w:t>EXHORTAR</w:t>
      </w:r>
      <w:r w:rsidRPr="00531B12">
        <w:rPr>
          <w:rFonts w:ascii="Abadi" w:hAnsi="Abadi"/>
          <w:b/>
          <w:bCs/>
          <w:spacing w:val="-7"/>
          <w:sz w:val="20"/>
          <w:szCs w:val="20"/>
        </w:rPr>
        <w:t xml:space="preserve"> </w:t>
      </w:r>
      <w:r w:rsidRPr="00531B12">
        <w:rPr>
          <w:rFonts w:ascii="Abadi" w:hAnsi="Abadi"/>
          <w:b/>
          <w:bCs/>
          <w:sz w:val="20"/>
          <w:szCs w:val="20"/>
        </w:rPr>
        <w:t>AL</w:t>
      </w:r>
      <w:r w:rsidRPr="00531B12">
        <w:rPr>
          <w:rFonts w:ascii="Abadi" w:hAnsi="Abadi"/>
          <w:b/>
          <w:bCs/>
          <w:spacing w:val="-6"/>
          <w:sz w:val="20"/>
          <w:szCs w:val="20"/>
        </w:rPr>
        <w:t xml:space="preserve"> </w:t>
      </w:r>
      <w:r w:rsidRPr="00531B12">
        <w:rPr>
          <w:rFonts w:ascii="Abadi" w:hAnsi="Abadi"/>
          <w:b/>
          <w:bCs/>
          <w:sz w:val="20"/>
          <w:szCs w:val="20"/>
        </w:rPr>
        <w:t>TITULAR</w:t>
      </w:r>
      <w:r w:rsidRPr="00531B12">
        <w:rPr>
          <w:rFonts w:ascii="Abadi" w:hAnsi="Abadi"/>
          <w:b/>
          <w:bCs/>
          <w:spacing w:val="-6"/>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LA</w:t>
      </w:r>
      <w:r w:rsidRPr="00531B12">
        <w:rPr>
          <w:rFonts w:ascii="Abadi" w:hAnsi="Abadi"/>
          <w:b/>
          <w:bCs/>
          <w:spacing w:val="8"/>
          <w:sz w:val="20"/>
          <w:szCs w:val="20"/>
        </w:rPr>
        <w:t xml:space="preserve"> </w:t>
      </w:r>
      <w:r w:rsidRPr="00531B12">
        <w:rPr>
          <w:rFonts w:ascii="Abadi" w:hAnsi="Abadi"/>
          <w:b/>
          <w:bCs/>
          <w:sz w:val="20"/>
          <w:szCs w:val="20"/>
        </w:rPr>
        <w:t>AUDITORÍA</w:t>
      </w:r>
      <w:r w:rsidRPr="00531B12">
        <w:rPr>
          <w:rFonts w:ascii="Abadi" w:hAnsi="Abadi"/>
          <w:b/>
          <w:bCs/>
          <w:spacing w:val="8"/>
          <w:sz w:val="20"/>
          <w:szCs w:val="20"/>
        </w:rPr>
        <w:t xml:space="preserve"> </w:t>
      </w:r>
      <w:r w:rsidRPr="00531B12">
        <w:rPr>
          <w:rFonts w:ascii="Abadi" w:hAnsi="Abadi"/>
          <w:b/>
          <w:bCs/>
          <w:sz w:val="20"/>
          <w:szCs w:val="20"/>
        </w:rPr>
        <w:t>SUPERIOR</w:t>
      </w:r>
      <w:r w:rsidRPr="00531B12">
        <w:rPr>
          <w:rFonts w:ascii="Abadi" w:hAnsi="Abadi"/>
          <w:b/>
          <w:bCs/>
          <w:spacing w:val="7"/>
          <w:sz w:val="20"/>
          <w:szCs w:val="20"/>
        </w:rPr>
        <w:t xml:space="preserve"> </w:t>
      </w:r>
      <w:r w:rsidRPr="00531B12">
        <w:rPr>
          <w:rFonts w:ascii="Abadi" w:hAnsi="Abadi"/>
          <w:b/>
          <w:bCs/>
          <w:sz w:val="20"/>
          <w:szCs w:val="20"/>
        </w:rPr>
        <w:t>DEL</w:t>
      </w:r>
      <w:r w:rsidRPr="00531B12">
        <w:rPr>
          <w:rFonts w:ascii="Abadi" w:hAnsi="Abadi"/>
          <w:b/>
          <w:bCs/>
          <w:spacing w:val="7"/>
          <w:sz w:val="20"/>
          <w:szCs w:val="20"/>
        </w:rPr>
        <w:t xml:space="preserve"> </w:t>
      </w:r>
      <w:r w:rsidRPr="00531B12">
        <w:rPr>
          <w:rFonts w:ascii="Abadi" w:hAnsi="Abadi"/>
          <w:b/>
          <w:bCs/>
          <w:sz w:val="20"/>
          <w:szCs w:val="20"/>
        </w:rPr>
        <w:t>ESTADO</w:t>
      </w:r>
      <w:r w:rsidRPr="00531B12">
        <w:rPr>
          <w:rFonts w:ascii="Abadi" w:hAnsi="Abadi"/>
          <w:b/>
          <w:bCs/>
          <w:spacing w:val="8"/>
          <w:sz w:val="20"/>
          <w:szCs w:val="20"/>
        </w:rPr>
        <w:t xml:space="preserve"> </w:t>
      </w:r>
      <w:r w:rsidRPr="00531B12">
        <w:rPr>
          <w:rFonts w:ascii="Abadi" w:hAnsi="Abadi"/>
          <w:b/>
          <w:bCs/>
          <w:sz w:val="20"/>
          <w:szCs w:val="20"/>
        </w:rPr>
        <w:t>DE</w:t>
      </w:r>
      <w:r w:rsidRPr="00531B12">
        <w:rPr>
          <w:rFonts w:ascii="Abadi" w:hAnsi="Abadi"/>
          <w:b/>
          <w:bCs/>
          <w:spacing w:val="7"/>
          <w:sz w:val="20"/>
          <w:szCs w:val="20"/>
        </w:rPr>
        <w:t xml:space="preserve"> </w:t>
      </w:r>
      <w:r w:rsidRPr="00531B12">
        <w:rPr>
          <w:rFonts w:ascii="Abadi" w:hAnsi="Abadi"/>
          <w:b/>
          <w:bCs/>
          <w:sz w:val="20"/>
          <w:szCs w:val="20"/>
        </w:rPr>
        <w:t>GUANAJUATO,</w:t>
      </w:r>
      <w:r w:rsidRPr="00531B12">
        <w:rPr>
          <w:rFonts w:ascii="Abadi" w:hAnsi="Abadi"/>
          <w:b/>
          <w:bCs/>
          <w:spacing w:val="8"/>
          <w:sz w:val="20"/>
          <w:szCs w:val="20"/>
        </w:rPr>
        <w:t xml:space="preserve"> </w:t>
      </w:r>
      <w:r w:rsidRPr="00531B12">
        <w:rPr>
          <w:rFonts w:ascii="Abadi" w:hAnsi="Abadi"/>
          <w:b/>
          <w:bCs/>
          <w:sz w:val="20"/>
          <w:szCs w:val="20"/>
        </w:rPr>
        <w:t>PARA</w:t>
      </w:r>
      <w:r w:rsidRPr="00531B12">
        <w:rPr>
          <w:rFonts w:ascii="Abadi" w:hAnsi="Abadi"/>
          <w:b/>
          <w:bCs/>
          <w:spacing w:val="8"/>
          <w:sz w:val="20"/>
          <w:szCs w:val="20"/>
        </w:rPr>
        <w:t xml:space="preserve"> </w:t>
      </w:r>
      <w:r w:rsidRPr="00531B12">
        <w:rPr>
          <w:rFonts w:ascii="Abadi" w:hAnsi="Abadi"/>
          <w:b/>
          <w:bCs/>
          <w:sz w:val="20"/>
          <w:szCs w:val="20"/>
        </w:rPr>
        <w:t>QUE</w:t>
      </w:r>
      <w:r w:rsidRPr="00531B12">
        <w:rPr>
          <w:rFonts w:ascii="Abadi" w:hAnsi="Abadi"/>
          <w:b/>
          <w:bCs/>
          <w:spacing w:val="7"/>
          <w:sz w:val="20"/>
          <w:szCs w:val="20"/>
        </w:rPr>
        <w:t xml:space="preserve"> </w:t>
      </w:r>
      <w:r w:rsidRPr="00531B12">
        <w:rPr>
          <w:rFonts w:ascii="Abadi" w:hAnsi="Abadi"/>
          <w:b/>
          <w:bCs/>
          <w:sz w:val="20"/>
          <w:szCs w:val="20"/>
        </w:rPr>
        <w:t>LLEVE</w:t>
      </w:r>
      <w:r w:rsidRPr="00531B12">
        <w:rPr>
          <w:rFonts w:ascii="Abadi" w:hAnsi="Abadi"/>
          <w:b/>
          <w:bCs/>
          <w:spacing w:val="7"/>
          <w:sz w:val="20"/>
          <w:szCs w:val="20"/>
        </w:rPr>
        <w:t xml:space="preserve"> </w:t>
      </w:r>
      <w:r w:rsidRPr="00531B12">
        <w:rPr>
          <w:rFonts w:ascii="Abadi" w:hAnsi="Abadi"/>
          <w:b/>
          <w:bCs/>
          <w:sz w:val="20"/>
          <w:szCs w:val="20"/>
        </w:rPr>
        <w:t>A</w:t>
      </w:r>
      <w:r w:rsidRPr="00531B12">
        <w:rPr>
          <w:rFonts w:ascii="Abadi" w:hAnsi="Abadi"/>
          <w:b/>
          <w:bCs/>
          <w:spacing w:val="8"/>
          <w:sz w:val="20"/>
          <w:szCs w:val="20"/>
        </w:rPr>
        <w:t xml:space="preserve"> </w:t>
      </w:r>
      <w:r w:rsidRPr="00531B12">
        <w:rPr>
          <w:rFonts w:ascii="Abadi" w:hAnsi="Abadi"/>
          <w:b/>
          <w:bCs/>
          <w:sz w:val="20"/>
          <w:szCs w:val="20"/>
        </w:rPr>
        <w:t>CABO</w:t>
      </w:r>
      <w:r w:rsidRPr="00531B12">
        <w:rPr>
          <w:rFonts w:ascii="Abadi" w:hAnsi="Abadi"/>
          <w:b/>
          <w:bCs/>
          <w:spacing w:val="7"/>
          <w:sz w:val="20"/>
          <w:szCs w:val="20"/>
        </w:rPr>
        <w:t xml:space="preserve"> </w:t>
      </w:r>
      <w:r w:rsidRPr="00531B12">
        <w:rPr>
          <w:rFonts w:ascii="Abadi" w:hAnsi="Abadi"/>
          <w:b/>
          <w:bCs/>
          <w:sz w:val="20"/>
          <w:szCs w:val="20"/>
        </w:rPr>
        <w:t>UNA</w:t>
      </w:r>
      <w:r w:rsidRPr="00531B12">
        <w:rPr>
          <w:rFonts w:ascii="Abadi" w:hAnsi="Abadi"/>
          <w:b/>
          <w:bCs/>
          <w:spacing w:val="-1"/>
          <w:sz w:val="20"/>
          <w:szCs w:val="20"/>
        </w:rPr>
        <w:t xml:space="preserve"> </w:t>
      </w:r>
      <w:r w:rsidRPr="00531B12">
        <w:rPr>
          <w:rFonts w:ascii="Abadi" w:hAnsi="Abadi"/>
          <w:b/>
          <w:bCs/>
          <w:sz w:val="20"/>
          <w:szCs w:val="20"/>
        </w:rPr>
        <w:t>AUDITORÍA</w:t>
      </w:r>
      <w:r w:rsidRPr="00531B12">
        <w:rPr>
          <w:rFonts w:ascii="Abadi" w:hAnsi="Abadi"/>
          <w:b/>
          <w:bCs/>
          <w:spacing w:val="-9"/>
          <w:sz w:val="20"/>
          <w:szCs w:val="20"/>
        </w:rPr>
        <w:t xml:space="preserve"> </w:t>
      </w:r>
      <w:r w:rsidRPr="00531B12">
        <w:rPr>
          <w:rFonts w:ascii="Abadi" w:hAnsi="Abadi"/>
          <w:b/>
          <w:bCs/>
          <w:sz w:val="20"/>
          <w:szCs w:val="20"/>
        </w:rPr>
        <w:t>FINANCIERA</w:t>
      </w:r>
      <w:r w:rsidRPr="00531B12">
        <w:rPr>
          <w:rFonts w:ascii="Abadi" w:hAnsi="Abadi"/>
          <w:b/>
          <w:bCs/>
          <w:spacing w:val="-8"/>
          <w:sz w:val="20"/>
          <w:szCs w:val="20"/>
        </w:rPr>
        <w:t xml:space="preserve"> </w:t>
      </w:r>
      <w:r w:rsidRPr="00531B12">
        <w:rPr>
          <w:rFonts w:ascii="Abadi" w:hAnsi="Abadi"/>
          <w:b/>
          <w:bCs/>
          <w:sz w:val="20"/>
          <w:szCs w:val="20"/>
        </w:rPr>
        <w:t>INTEGRAL</w:t>
      </w:r>
      <w:r w:rsidRPr="00531B12">
        <w:rPr>
          <w:rFonts w:ascii="Abadi" w:hAnsi="Abadi"/>
          <w:b/>
          <w:bCs/>
          <w:spacing w:val="-10"/>
          <w:sz w:val="20"/>
          <w:szCs w:val="20"/>
        </w:rPr>
        <w:t xml:space="preserve"> </w:t>
      </w:r>
      <w:r w:rsidRPr="00531B12">
        <w:rPr>
          <w:rFonts w:ascii="Abadi" w:hAnsi="Abadi"/>
          <w:b/>
          <w:bCs/>
          <w:sz w:val="20"/>
          <w:szCs w:val="20"/>
        </w:rPr>
        <w:t>AL</w:t>
      </w:r>
      <w:r w:rsidRPr="00531B12">
        <w:rPr>
          <w:rFonts w:ascii="Abadi" w:hAnsi="Abadi"/>
          <w:b/>
          <w:bCs/>
          <w:spacing w:val="-9"/>
          <w:sz w:val="20"/>
          <w:szCs w:val="20"/>
        </w:rPr>
        <w:t xml:space="preserve"> </w:t>
      </w:r>
      <w:r w:rsidRPr="00531B12">
        <w:rPr>
          <w:rFonts w:ascii="Abadi" w:hAnsi="Abadi"/>
          <w:b/>
          <w:bCs/>
          <w:sz w:val="20"/>
          <w:szCs w:val="20"/>
        </w:rPr>
        <w:t>MUNICIPIO</w:t>
      </w:r>
      <w:r w:rsidRPr="00531B12">
        <w:rPr>
          <w:rFonts w:ascii="Abadi" w:hAnsi="Abadi"/>
          <w:b/>
          <w:bCs/>
          <w:spacing w:val="-9"/>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SAN</w:t>
      </w:r>
      <w:r w:rsidRPr="00531B12">
        <w:rPr>
          <w:rFonts w:ascii="Abadi" w:hAnsi="Abadi"/>
          <w:b/>
          <w:bCs/>
          <w:spacing w:val="-9"/>
          <w:sz w:val="20"/>
          <w:szCs w:val="20"/>
        </w:rPr>
        <w:t xml:space="preserve"> </w:t>
      </w:r>
      <w:r w:rsidRPr="00531B12">
        <w:rPr>
          <w:rFonts w:ascii="Abadi" w:hAnsi="Abadi"/>
          <w:b/>
          <w:bCs/>
          <w:sz w:val="20"/>
          <w:szCs w:val="20"/>
        </w:rPr>
        <w:t>MIGUEL</w:t>
      </w:r>
      <w:r w:rsidRPr="00531B12">
        <w:rPr>
          <w:rFonts w:ascii="Abadi" w:hAnsi="Abadi"/>
          <w:b/>
          <w:bCs/>
          <w:spacing w:val="-9"/>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ALLENDE,</w:t>
      </w:r>
      <w:r w:rsidRPr="00531B12">
        <w:rPr>
          <w:rFonts w:ascii="Abadi" w:hAnsi="Abadi"/>
          <w:b/>
          <w:bCs/>
          <w:spacing w:val="-9"/>
          <w:sz w:val="20"/>
          <w:szCs w:val="20"/>
        </w:rPr>
        <w:t xml:space="preserve"> </w:t>
      </w:r>
      <w:r w:rsidRPr="00531B12">
        <w:rPr>
          <w:rFonts w:ascii="Abadi" w:hAnsi="Abadi"/>
          <w:b/>
          <w:bCs/>
          <w:sz w:val="20"/>
          <w:szCs w:val="20"/>
        </w:rPr>
        <w:t>GTO.,</w:t>
      </w:r>
      <w:r w:rsidRPr="00531B12">
        <w:rPr>
          <w:rFonts w:ascii="Abadi" w:hAnsi="Abadi"/>
          <w:b/>
          <w:bCs/>
          <w:spacing w:val="-8"/>
          <w:sz w:val="20"/>
          <w:szCs w:val="20"/>
        </w:rPr>
        <w:t xml:space="preserve"> </w:t>
      </w:r>
      <w:r w:rsidRPr="00531B12">
        <w:rPr>
          <w:rFonts w:ascii="Abadi" w:hAnsi="Abadi"/>
          <w:b/>
          <w:bCs/>
          <w:sz w:val="20"/>
          <w:szCs w:val="20"/>
        </w:rPr>
        <w:t>POR</w:t>
      </w:r>
      <w:r w:rsidRPr="00531B12">
        <w:rPr>
          <w:rFonts w:ascii="Abadi" w:hAnsi="Abadi"/>
          <w:b/>
          <w:bCs/>
          <w:spacing w:val="-1"/>
          <w:sz w:val="20"/>
          <w:szCs w:val="20"/>
        </w:rPr>
        <w:t xml:space="preserve"> </w:t>
      </w:r>
      <w:r w:rsidRPr="00531B12">
        <w:rPr>
          <w:rFonts w:ascii="Abadi" w:hAnsi="Abadi"/>
          <w:b/>
          <w:bCs/>
          <w:sz w:val="20"/>
          <w:szCs w:val="20"/>
        </w:rPr>
        <w:t>LOS EJERCICIOS FISCALES</w:t>
      </w:r>
      <w:r w:rsidRPr="00531B12">
        <w:rPr>
          <w:rFonts w:ascii="Abadi" w:hAnsi="Abadi"/>
          <w:b/>
          <w:bCs/>
          <w:spacing w:val="-1"/>
          <w:sz w:val="20"/>
          <w:szCs w:val="20"/>
        </w:rPr>
        <w:t xml:space="preserve"> </w:t>
      </w:r>
      <w:r w:rsidRPr="00531B12">
        <w:rPr>
          <w:rFonts w:ascii="Abadi" w:hAnsi="Abadi"/>
          <w:b/>
          <w:bCs/>
          <w:sz w:val="20"/>
          <w:szCs w:val="20"/>
        </w:rPr>
        <w:t>DE 2019, 2020</w:t>
      </w:r>
      <w:r w:rsidRPr="00531B12">
        <w:rPr>
          <w:rFonts w:ascii="Abadi" w:hAnsi="Abadi"/>
          <w:b/>
          <w:bCs/>
          <w:spacing w:val="-1"/>
          <w:sz w:val="20"/>
          <w:szCs w:val="20"/>
        </w:rPr>
        <w:t xml:space="preserve"> </w:t>
      </w:r>
      <w:r w:rsidRPr="00531B12">
        <w:rPr>
          <w:rFonts w:ascii="Abadi" w:hAnsi="Abadi"/>
          <w:b/>
          <w:bCs/>
          <w:sz w:val="20"/>
          <w:szCs w:val="20"/>
        </w:rPr>
        <w:t>Y 2021.</w:t>
      </w:r>
    </w:p>
    <w:p w14:paraId="7866030C" w14:textId="7E518B26" w:rsidR="00AD7A9F" w:rsidRDefault="00AD7A9F" w:rsidP="00CD493D">
      <w:pPr>
        <w:tabs>
          <w:tab w:val="left" w:pos="856"/>
        </w:tabs>
        <w:kinsoku w:val="0"/>
        <w:overflowPunct w:val="0"/>
        <w:autoSpaceDE w:val="0"/>
        <w:autoSpaceDN w:val="0"/>
        <w:adjustRightInd w:val="0"/>
        <w:ind w:left="360" w:right="17"/>
        <w:jc w:val="both"/>
        <w:rPr>
          <w:rFonts w:ascii="Abadi" w:hAnsi="Abadi"/>
          <w:b/>
          <w:bCs/>
          <w:sz w:val="20"/>
          <w:szCs w:val="20"/>
        </w:rPr>
      </w:pPr>
    </w:p>
    <w:p w14:paraId="39959668" w14:textId="77777777" w:rsidR="006D2070" w:rsidRPr="006D2070" w:rsidRDefault="006D2070" w:rsidP="006D2070">
      <w:pPr>
        <w:rPr>
          <w:rFonts w:ascii="Abadi" w:hAnsi="Abadi" w:cs="Arial"/>
          <w:b/>
          <w:iCs/>
          <w:smallCaps/>
          <w:sz w:val="21"/>
          <w:szCs w:val="21"/>
          <w:lang w:val="es-MX" w:eastAsia="en-US"/>
        </w:rPr>
      </w:pPr>
      <w:r w:rsidRPr="006D2070">
        <w:rPr>
          <w:rFonts w:ascii="Abadi" w:hAnsi="Abadi" w:cs="Arial"/>
          <w:b/>
          <w:iCs/>
          <w:smallCaps/>
          <w:sz w:val="21"/>
          <w:szCs w:val="21"/>
          <w:lang w:val="es-MX" w:eastAsia="en-US"/>
        </w:rPr>
        <w:t>C. Presidenta del Congreso del Estado.</w:t>
      </w:r>
    </w:p>
    <w:p w14:paraId="3AB7E30E" w14:textId="77777777" w:rsidR="006D2070" w:rsidRPr="006D2070" w:rsidRDefault="006D2070" w:rsidP="006D2070">
      <w:pPr>
        <w:jc w:val="both"/>
        <w:rPr>
          <w:rFonts w:ascii="Abadi" w:hAnsi="Abadi" w:cs="Arial"/>
          <w:b/>
          <w:iCs/>
          <w:smallCaps/>
          <w:sz w:val="21"/>
          <w:szCs w:val="21"/>
          <w:lang w:val="es-MX" w:eastAsia="en-US"/>
        </w:rPr>
      </w:pPr>
      <w:r w:rsidRPr="006D2070">
        <w:rPr>
          <w:rFonts w:ascii="Abadi" w:hAnsi="Abadi" w:cs="Arial"/>
          <w:b/>
          <w:iCs/>
          <w:smallCaps/>
          <w:sz w:val="21"/>
          <w:szCs w:val="21"/>
          <w:lang w:val="es-MX" w:eastAsia="en-US"/>
        </w:rPr>
        <w:t>P r e s e n t e.</w:t>
      </w:r>
    </w:p>
    <w:p w14:paraId="3B8E70AB" w14:textId="77777777" w:rsidR="006D2070" w:rsidRPr="006D2070" w:rsidRDefault="006D2070" w:rsidP="006D2070">
      <w:pPr>
        <w:spacing w:after="160" w:line="360" w:lineRule="auto"/>
        <w:jc w:val="both"/>
        <w:rPr>
          <w:rFonts w:ascii="Abadi" w:hAnsi="Abadi" w:cs="Arial"/>
          <w:iCs/>
          <w:sz w:val="21"/>
          <w:szCs w:val="21"/>
          <w:lang w:val="es-MX" w:eastAsia="en-US"/>
        </w:rPr>
      </w:pPr>
    </w:p>
    <w:p w14:paraId="62852F21" w14:textId="77777777" w:rsidR="006D2070" w:rsidRPr="006D2070" w:rsidRDefault="006D2070" w:rsidP="006D2070">
      <w:pPr>
        <w:spacing w:after="160" w:line="259" w:lineRule="auto"/>
        <w:jc w:val="both"/>
        <w:rPr>
          <w:rFonts w:ascii="Abadi" w:hAnsi="Abadi" w:cs="Arial"/>
          <w:iCs/>
          <w:sz w:val="21"/>
          <w:szCs w:val="21"/>
          <w:lang w:val="es-MX" w:eastAsia="en-US"/>
        </w:rPr>
      </w:pPr>
      <w:r w:rsidRPr="006D2070">
        <w:rPr>
          <w:rFonts w:ascii="Abadi" w:hAnsi="Abadi" w:cs="Arial"/>
          <w:iCs/>
          <w:sz w:val="21"/>
          <w:szCs w:val="21"/>
          <w:lang w:val="es-MX" w:eastAsia="en-US"/>
        </w:rPr>
        <w:tab/>
        <w:t xml:space="preserve">A esta Comisión de Hacienda y Fiscalización le fue turnada para efectos de su </w:t>
      </w:r>
      <w:r w:rsidRPr="006D2070">
        <w:rPr>
          <w:rFonts w:ascii="Abadi" w:hAnsi="Abadi" w:cs="Arial"/>
          <w:iCs/>
          <w:sz w:val="21"/>
          <w:szCs w:val="21"/>
          <w:lang w:val="es-MX" w:eastAsia="en-US"/>
        </w:rPr>
        <w:t xml:space="preserve">estudio y dictamen, la propuesta de punto de acuerdo formulada por la diputada Alma Edwviges Alcaraz Hernández, integrante del Grupo Parlamentario del Partido MORENA, a efecto de </w:t>
      </w:r>
      <w:r w:rsidRPr="006D2070">
        <w:rPr>
          <w:rFonts w:ascii="Abadi" w:hAnsi="Abadi"/>
          <w:sz w:val="21"/>
          <w:szCs w:val="21"/>
          <w:lang w:val="es-ES_tradnl"/>
        </w:rPr>
        <w:t>exhortar al titular de la Auditoría Superior del Estado de Guanajuato, para que lleve a cabo una auditoría financiera integral al municipio de San Miguel de Allende, Gto., por los ejercicios fiscales de 2019, 2020 y 2021</w:t>
      </w:r>
      <w:r w:rsidRPr="006D2070">
        <w:rPr>
          <w:rFonts w:ascii="Abadi" w:hAnsi="Abadi" w:cs="Arial"/>
          <w:iCs/>
          <w:sz w:val="21"/>
          <w:szCs w:val="21"/>
          <w:lang w:val="es-MX" w:eastAsia="en-US"/>
        </w:rPr>
        <w:t>.</w:t>
      </w:r>
    </w:p>
    <w:p w14:paraId="2A6DEB1E" w14:textId="77777777" w:rsidR="006D2070" w:rsidRPr="006D2070" w:rsidRDefault="006D2070" w:rsidP="006D2070">
      <w:pPr>
        <w:spacing w:after="160" w:line="259" w:lineRule="auto"/>
        <w:jc w:val="both"/>
        <w:rPr>
          <w:rFonts w:ascii="Abadi" w:hAnsi="Abadi" w:cs="Arial"/>
          <w:iCs/>
          <w:sz w:val="21"/>
          <w:szCs w:val="21"/>
          <w:lang w:val="es-MX" w:eastAsia="en-US"/>
        </w:rPr>
      </w:pPr>
      <w:r w:rsidRPr="006D2070">
        <w:rPr>
          <w:rFonts w:ascii="Abadi" w:hAnsi="Abadi" w:cs="Arial"/>
          <w:iCs/>
          <w:sz w:val="21"/>
          <w:szCs w:val="21"/>
          <w:lang w:val="es-MX" w:eastAsia="en-US"/>
        </w:rPr>
        <w:tab/>
        <w:t xml:space="preserve">Analizada la propuesta de referencia, con fundamento en los artículos 75, 89, fracción V, 112, fracción XV y 171 de </w:t>
      </w:r>
      <w:smartTag w:uri="urn:schemas-microsoft-com:office:smarttags" w:element="PersonName">
        <w:smartTagPr>
          <w:attr w:name="ProductID" w:val="la Ley Org￡nica"/>
        </w:smartTagPr>
        <w:r w:rsidRPr="006D2070">
          <w:rPr>
            <w:rFonts w:ascii="Abadi" w:hAnsi="Abadi" w:cs="Arial"/>
            <w:iCs/>
            <w:sz w:val="21"/>
            <w:szCs w:val="21"/>
            <w:lang w:val="es-MX" w:eastAsia="en-US"/>
          </w:rPr>
          <w:t>la Ley Orgánica</w:t>
        </w:r>
      </w:smartTag>
      <w:r w:rsidRPr="006D2070">
        <w:rPr>
          <w:rFonts w:ascii="Abadi" w:hAnsi="Abadi" w:cs="Arial"/>
          <w:iCs/>
          <w:sz w:val="21"/>
          <w:szCs w:val="21"/>
          <w:lang w:val="es-MX" w:eastAsia="en-US"/>
        </w:rPr>
        <w:t xml:space="preserve"> del Poder Legislativo del Estado de Guanajuato, nos permitimos rendir el siguiente:</w:t>
      </w:r>
    </w:p>
    <w:p w14:paraId="55E1A77A" w14:textId="77777777" w:rsidR="006D2070" w:rsidRPr="006D2070" w:rsidRDefault="006D2070" w:rsidP="006D2070">
      <w:pPr>
        <w:spacing w:after="160" w:line="259" w:lineRule="auto"/>
        <w:jc w:val="both"/>
        <w:rPr>
          <w:rFonts w:ascii="Abadi" w:hAnsi="Abadi" w:cs="Arial"/>
          <w:iCs/>
          <w:sz w:val="21"/>
          <w:szCs w:val="21"/>
          <w:lang w:val="es-MX" w:eastAsia="en-US"/>
        </w:rPr>
      </w:pPr>
    </w:p>
    <w:p w14:paraId="4CE2DB65" w14:textId="77777777" w:rsidR="006D2070" w:rsidRPr="006D2070" w:rsidRDefault="006D2070" w:rsidP="006D2070">
      <w:pPr>
        <w:keepNext/>
        <w:spacing w:after="160" w:line="259" w:lineRule="auto"/>
        <w:jc w:val="center"/>
        <w:outlineLvl w:val="0"/>
        <w:rPr>
          <w:rFonts w:ascii="Abadi" w:hAnsi="Abadi" w:cs="Arial"/>
          <w:b/>
          <w:iCs/>
          <w:sz w:val="21"/>
          <w:szCs w:val="21"/>
          <w:lang w:val="es-MX" w:eastAsia="en-US"/>
        </w:rPr>
      </w:pPr>
      <w:r w:rsidRPr="006D2070">
        <w:rPr>
          <w:rFonts w:ascii="Abadi" w:hAnsi="Abadi" w:cs="Arial"/>
          <w:b/>
          <w:iCs/>
          <w:sz w:val="21"/>
          <w:szCs w:val="21"/>
          <w:lang w:val="es-MX" w:eastAsia="en-US"/>
        </w:rPr>
        <w:t xml:space="preserve">D i c t a m e n </w:t>
      </w:r>
    </w:p>
    <w:p w14:paraId="360796FF" w14:textId="77777777" w:rsidR="006D2070" w:rsidRPr="006D2070" w:rsidRDefault="006D2070" w:rsidP="001A28E5">
      <w:pPr>
        <w:numPr>
          <w:ilvl w:val="0"/>
          <w:numId w:val="56"/>
        </w:numPr>
        <w:spacing w:after="160" w:line="259" w:lineRule="auto"/>
        <w:jc w:val="both"/>
        <w:rPr>
          <w:rFonts w:ascii="Abadi" w:hAnsi="Abadi" w:cs="Arial"/>
          <w:b/>
          <w:bCs/>
          <w:sz w:val="21"/>
          <w:szCs w:val="21"/>
          <w:lang w:val="es-MX" w:eastAsia="en-US"/>
        </w:rPr>
      </w:pPr>
      <w:r w:rsidRPr="006D2070">
        <w:rPr>
          <w:rFonts w:ascii="Abadi" w:hAnsi="Abadi" w:cs="Arial"/>
          <w:b/>
          <w:bCs/>
          <w:sz w:val="21"/>
          <w:szCs w:val="21"/>
          <w:lang w:val="es-MX" w:eastAsia="en-US"/>
        </w:rPr>
        <w:t>Antecedentes</w:t>
      </w:r>
    </w:p>
    <w:p w14:paraId="5C387E4A" w14:textId="77777777" w:rsidR="006D2070" w:rsidRPr="006D2070" w:rsidRDefault="006D2070" w:rsidP="006D2070">
      <w:pPr>
        <w:spacing w:after="160" w:line="259" w:lineRule="auto"/>
        <w:jc w:val="both"/>
        <w:rPr>
          <w:rFonts w:ascii="Abadi" w:hAnsi="Abadi"/>
          <w:sz w:val="21"/>
          <w:szCs w:val="21"/>
          <w:lang w:val="es-ES_tradnl" w:eastAsia="en-US"/>
        </w:rPr>
      </w:pPr>
      <w:r w:rsidRPr="006D2070">
        <w:rPr>
          <w:rFonts w:ascii="Abadi" w:hAnsi="Abadi" w:cs="Arial"/>
          <w:iCs/>
          <w:sz w:val="21"/>
          <w:szCs w:val="21"/>
          <w:lang w:val="es-MX" w:eastAsia="en-US"/>
        </w:rPr>
        <w:tab/>
        <w:t xml:space="preserve">La diputada </w:t>
      </w:r>
      <w:r w:rsidRPr="006D2070">
        <w:rPr>
          <w:rFonts w:ascii="Abadi" w:hAnsi="Abadi"/>
          <w:sz w:val="21"/>
          <w:szCs w:val="21"/>
          <w:lang w:val="es-ES_tradnl" w:eastAsia="en-US"/>
        </w:rPr>
        <w:t>Alma Edwviges Alcaraz Hernández</w:t>
      </w:r>
      <w:r w:rsidRPr="006D2070">
        <w:rPr>
          <w:rFonts w:ascii="Abadi" w:hAnsi="Abadi" w:cs="Arial"/>
          <w:iCs/>
          <w:sz w:val="21"/>
          <w:szCs w:val="21"/>
          <w:lang w:val="es-MX" w:eastAsia="en-US"/>
        </w:rPr>
        <w:t xml:space="preserve">, integrante del Grupo Parlamentario del Partido MORENA, en la </w:t>
      </w:r>
      <w:r w:rsidRPr="006D2070">
        <w:rPr>
          <w:rFonts w:ascii="Abadi" w:hAnsi="Abadi"/>
          <w:sz w:val="21"/>
          <w:szCs w:val="21"/>
          <w:lang w:val="es-ES_tradnl" w:eastAsia="en-US"/>
        </w:rPr>
        <w:t xml:space="preserve">sesión ordinaria celebrada el 3 de marzo de 2022 presentó la propuesta de punto de acuerdo a efecto de exhortar al titular de la Auditoría Superior del Estado de Guanajuato, para que inicie a la brevedad una auditoría financiera integral al municipio de San Miguel de Allende, Gto., que incluya al menos, la verificación del apego a la legalidad de la adjudicación y contratación de bienes y servicios que corresponda, así como el cumplimiento de las cláusulas contractuales de los mismos, por los ejercicios fiscales de 2019, 2020 y 2021. </w:t>
      </w:r>
    </w:p>
    <w:p w14:paraId="7E51CBEC" w14:textId="77777777" w:rsidR="006D2070" w:rsidRPr="006D2070" w:rsidRDefault="006D2070" w:rsidP="006D2070">
      <w:pPr>
        <w:spacing w:after="160" w:line="259" w:lineRule="auto"/>
        <w:ind w:firstLine="708"/>
        <w:jc w:val="both"/>
        <w:rPr>
          <w:rFonts w:ascii="Abadi" w:hAnsi="Abadi"/>
          <w:sz w:val="21"/>
          <w:szCs w:val="21"/>
          <w:lang w:val="es-MX" w:eastAsia="en-US"/>
        </w:rPr>
      </w:pPr>
      <w:r w:rsidRPr="006D2070">
        <w:rPr>
          <w:rFonts w:ascii="Abadi" w:hAnsi="Abadi"/>
          <w:sz w:val="21"/>
          <w:szCs w:val="21"/>
          <w:lang w:val="es-ES_tradnl" w:eastAsia="en-US"/>
        </w:rPr>
        <w:t>La referida propuesta se turnó por la</w:t>
      </w:r>
      <w:r w:rsidRPr="006D2070">
        <w:rPr>
          <w:rFonts w:ascii="Abadi" w:hAnsi="Abadi"/>
          <w:sz w:val="21"/>
          <w:szCs w:val="21"/>
          <w:lang w:val="es-MX" w:eastAsia="en-US"/>
        </w:rPr>
        <w:t xml:space="preserve"> presidencia a esta Comisión de Hacienda y Fiscalización para su estudio y dictamen con fundamento en la fracción XV del artículo 112 de la Ley Orgánica del Poder Legislativo del Estado de Guanajuato, misma que se radicó el 8 de marzo de 2022. En dicha fecha se requirió al Auditor Superior del Estado, la elaboración de una ficha técnica respecto a dicha propuesta, misma que se expuso a esta Comisión el 14 de junio del año en curso, por dicho funcionario.</w:t>
      </w:r>
    </w:p>
    <w:p w14:paraId="6F436A0C" w14:textId="77777777" w:rsidR="006D2070" w:rsidRPr="006D2070" w:rsidRDefault="006D2070" w:rsidP="006D2070">
      <w:pPr>
        <w:spacing w:after="160" w:line="259" w:lineRule="auto"/>
        <w:jc w:val="both"/>
        <w:rPr>
          <w:rFonts w:ascii="Abadi" w:hAnsi="Abadi"/>
          <w:sz w:val="21"/>
          <w:szCs w:val="21"/>
          <w:lang w:val="es-MX" w:eastAsia="en-US"/>
        </w:rPr>
      </w:pPr>
    </w:p>
    <w:p w14:paraId="08484101" w14:textId="77777777" w:rsidR="006D2070" w:rsidRPr="006D2070" w:rsidRDefault="006D2070" w:rsidP="001A28E5">
      <w:pPr>
        <w:numPr>
          <w:ilvl w:val="0"/>
          <w:numId w:val="56"/>
        </w:numPr>
        <w:spacing w:after="160" w:line="259" w:lineRule="auto"/>
        <w:jc w:val="both"/>
        <w:rPr>
          <w:rFonts w:ascii="Abadi" w:hAnsi="Abadi" w:cs="Arial"/>
          <w:b/>
          <w:bCs/>
          <w:sz w:val="21"/>
          <w:szCs w:val="21"/>
          <w:lang w:val="es-MX" w:eastAsia="en-US"/>
        </w:rPr>
      </w:pPr>
      <w:r w:rsidRPr="006D2070">
        <w:rPr>
          <w:rFonts w:ascii="Abadi" w:hAnsi="Abadi" w:cs="Arial"/>
          <w:b/>
          <w:bCs/>
          <w:sz w:val="21"/>
          <w:szCs w:val="21"/>
          <w:lang w:val="es-MX" w:eastAsia="en-US"/>
        </w:rPr>
        <w:t>Consideraciones de la proponente</w:t>
      </w:r>
    </w:p>
    <w:p w14:paraId="56F2738B" w14:textId="77777777" w:rsidR="006D2070" w:rsidRPr="006D2070" w:rsidRDefault="006D2070" w:rsidP="006D2070">
      <w:pPr>
        <w:spacing w:after="160" w:line="360" w:lineRule="auto"/>
        <w:ind w:firstLine="708"/>
        <w:jc w:val="both"/>
        <w:rPr>
          <w:rFonts w:ascii="Abadi" w:hAnsi="Abadi"/>
          <w:sz w:val="21"/>
          <w:szCs w:val="21"/>
          <w:lang w:val="es-MX" w:eastAsia="en-US"/>
        </w:rPr>
      </w:pPr>
      <w:r w:rsidRPr="006D2070">
        <w:rPr>
          <w:rFonts w:ascii="Abadi" w:hAnsi="Abadi"/>
          <w:sz w:val="21"/>
          <w:szCs w:val="21"/>
          <w:lang w:val="es-MX" w:eastAsia="en-US"/>
        </w:rPr>
        <w:lastRenderedPageBreak/>
        <w:t>En las consideraciones expuestas por la proponente se refiere lo siguiente:</w:t>
      </w:r>
    </w:p>
    <w:p w14:paraId="2E476D78" w14:textId="77777777" w:rsidR="006D2070" w:rsidRPr="006D2070" w:rsidRDefault="006D2070" w:rsidP="006D2070">
      <w:pPr>
        <w:spacing w:after="160" w:line="259" w:lineRule="auto"/>
        <w:ind w:left="709"/>
        <w:jc w:val="both"/>
        <w:rPr>
          <w:rFonts w:ascii="Abadi" w:hAnsi="Abadi" w:cs="Arial"/>
          <w:i/>
          <w:sz w:val="21"/>
          <w:szCs w:val="21"/>
          <w:lang w:val="es-MX" w:eastAsia="en-US"/>
        </w:rPr>
      </w:pPr>
      <w:r w:rsidRPr="006D2070">
        <w:rPr>
          <w:rFonts w:ascii="Abadi" w:hAnsi="Abadi" w:cs="Arial"/>
          <w:i/>
          <w:sz w:val="21"/>
          <w:szCs w:val="21"/>
          <w:lang w:val="es-MX" w:eastAsia="en-US"/>
        </w:rPr>
        <w:t xml:space="preserve">El municipio de San Miguel de Allende es uno de los principales paradores turísticos del Estado de Guanajuato, por lo cual la efectividad, transparencia y honradez de su administración pública es una pieza clave para el desarrollo de la entidad. </w:t>
      </w:r>
    </w:p>
    <w:p w14:paraId="053F637F" w14:textId="77777777" w:rsidR="006D2070" w:rsidRPr="006D2070" w:rsidRDefault="006D2070" w:rsidP="006D2070">
      <w:pPr>
        <w:spacing w:after="160" w:line="259" w:lineRule="auto"/>
        <w:ind w:left="709"/>
        <w:jc w:val="both"/>
        <w:rPr>
          <w:rFonts w:ascii="Abadi" w:hAnsi="Abadi" w:cs="Arial"/>
          <w:i/>
          <w:sz w:val="21"/>
          <w:szCs w:val="21"/>
          <w:lang w:val="es-MX" w:eastAsia="en-US"/>
        </w:rPr>
      </w:pPr>
      <w:r w:rsidRPr="006D2070">
        <w:rPr>
          <w:rFonts w:ascii="Abadi" w:hAnsi="Abadi" w:cs="Arial"/>
          <w:i/>
          <w:sz w:val="21"/>
          <w:szCs w:val="21"/>
          <w:lang w:val="es-MX" w:eastAsia="en-US"/>
        </w:rPr>
        <w:t xml:space="preserve"> Aquí radica precisamente el problema, pues desde 1991 han venido ganando fuerza administraciones encabezadas por el partido político dominante en el Estado desde hace justamente 30 años. En este periodo, el municipio ha quedado por un lapso intermitente de 9 años, a merced de la familia Villarreal García: de 2003 a 2006, de 2015 a 2018, y de 2018 a 2021, periodos en que la presidencia municipal se alternó entre los hermanos Luis Alberto y Ricardo Villarreal.  </w:t>
      </w:r>
    </w:p>
    <w:p w14:paraId="6BD8BCE0" w14:textId="77777777" w:rsidR="006D2070" w:rsidRPr="006D2070" w:rsidRDefault="006D2070" w:rsidP="006D2070">
      <w:pPr>
        <w:spacing w:after="160" w:line="259" w:lineRule="auto"/>
        <w:ind w:left="709"/>
        <w:jc w:val="both"/>
        <w:rPr>
          <w:rFonts w:ascii="Abadi" w:hAnsi="Abadi" w:cs="Arial"/>
          <w:i/>
          <w:sz w:val="21"/>
          <w:szCs w:val="21"/>
          <w:lang w:val="es-MX" w:eastAsia="en-US"/>
        </w:rPr>
      </w:pPr>
      <w:r w:rsidRPr="006D2070">
        <w:rPr>
          <w:rFonts w:ascii="Abadi" w:hAnsi="Abadi" w:cs="Arial"/>
          <w:i/>
          <w:sz w:val="21"/>
          <w:szCs w:val="21"/>
          <w:lang w:val="es-MX" w:eastAsia="en-US"/>
        </w:rPr>
        <w:t xml:space="preserve">Y si bien en cada trienio se han dado casos de corrupción evidente, durante la última administración de Luis Alberto Villareal (2018 a 2021) San Miguel se vio especialmente envuelto en una serie de actos que apuntan hacia una descarada trama de corrupción y realización de negocios al amparo del poder público. </w:t>
      </w:r>
    </w:p>
    <w:p w14:paraId="74D2D0FD" w14:textId="77777777" w:rsidR="006D2070" w:rsidRPr="006D2070" w:rsidRDefault="006D2070" w:rsidP="006D2070">
      <w:pPr>
        <w:spacing w:after="160" w:line="259" w:lineRule="auto"/>
        <w:ind w:left="709"/>
        <w:jc w:val="both"/>
        <w:rPr>
          <w:rFonts w:ascii="Abadi" w:hAnsi="Abadi" w:cs="Arial"/>
          <w:i/>
          <w:sz w:val="21"/>
          <w:szCs w:val="21"/>
          <w:lang w:val="es-MX" w:eastAsia="en-US"/>
        </w:rPr>
      </w:pPr>
      <w:r w:rsidRPr="006D2070">
        <w:rPr>
          <w:rFonts w:ascii="Abadi" w:hAnsi="Abadi" w:cs="Arial"/>
          <w:i/>
          <w:sz w:val="21"/>
          <w:szCs w:val="21"/>
          <w:lang w:val="es-MX" w:eastAsia="en-US"/>
        </w:rPr>
        <w:t>De igual forma, durante el periodo de la administración de Luis Alberto Villareal, el alcance de los procesos de revisión de Cuenta Pública ha tenido alcances muy limitados: en el periodo 2018, el alcance fue de apenas 15% de los ingresos y 31% de los egresos, es decir, quedó el 75% de los ingresos y el 69% de los egresos sin revisarse. Para el ejercicio 2019, por su parte,</w:t>
      </w:r>
      <w:r w:rsidRPr="006D2070">
        <w:rPr>
          <w:rFonts w:ascii="Abadi" w:hAnsi="Abadi"/>
          <w:sz w:val="21"/>
          <w:szCs w:val="21"/>
          <w:lang w:val="es-MX" w:eastAsia="en-US"/>
        </w:rPr>
        <w:t xml:space="preserve"> </w:t>
      </w:r>
      <w:r w:rsidRPr="006D2070">
        <w:rPr>
          <w:rFonts w:ascii="Abadi" w:hAnsi="Abadi" w:cs="Arial"/>
          <w:i/>
          <w:sz w:val="21"/>
          <w:szCs w:val="21"/>
          <w:lang w:val="es-MX" w:eastAsia="en-US"/>
        </w:rPr>
        <w:t>el alcance de la revisión se elevó hacia el 33% de los ingresos y el 40% de los egresos, quedando pendientes de revisión el 67% de los ingresos y el 60% de los egresos</w:t>
      </w:r>
      <w:r w:rsidRPr="006D2070">
        <w:rPr>
          <w:rFonts w:ascii="Abadi" w:hAnsi="Abadi" w:cs="Arial"/>
          <w:i/>
          <w:sz w:val="21"/>
          <w:szCs w:val="21"/>
          <w:vertAlign w:val="superscript"/>
          <w:lang w:val="es-MX" w:eastAsia="en-US"/>
        </w:rPr>
        <w:footnoteReference w:id="128"/>
      </w:r>
      <w:r w:rsidRPr="006D2070">
        <w:rPr>
          <w:rFonts w:ascii="Abadi" w:hAnsi="Abadi" w:cs="Arial"/>
          <w:i/>
          <w:sz w:val="21"/>
          <w:szCs w:val="21"/>
          <w:lang w:val="es-MX" w:eastAsia="en-US"/>
        </w:rPr>
        <w:t>.</w:t>
      </w:r>
    </w:p>
    <w:p w14:paraId="56A85E3D" w14:textId="77777777" w:rsidR="006D2070" w:rsidRPr="006D2070" w:rsidRDefault="006D2070" w:rsidP="006D2070">
      <w:pPr>
        <w:spacing w:after="160" w:line="259" w:lineRule="auto"/>
        <w:ind w:left="709"/>
        <w:jc w:val="both"/>
        <w:rPr>
          <w:rFonts w:ascii="Abadi" w:hAnsi="Abadi" w:cs="Arial"/>
          <w:i/>
          <w:sz w:val="21"/>
          <w:szCs w:val="21"/>
          <w:lang w:val="es-MX" w:eastAsia="en-US"/>
        </w:rPr>
      </w:pPr>
      <w:r w:rsidRPr="006D2070">
        <w:rPr>
          <w:rFonts w:ascii="Abadi" w:hAnsi="Abadi" w:cs="Arial"/>
          <w:i/>
          <w:sz w:val="21"/>
          <w:szCs w:val="21"/>
          <w:lang w:val="es-MX" w:eastAsia="en-US"/>
        </w:rPr>
        <w:t xml:space="preserve">Pese al escaso alcance de las revisiones de Cuenta Pública en mención, las irregularidades fueron tantas, que no todas pudieron escapar al ojo auditor. En 2018, por ejemplo, se realizaron adquisiciones de vehículos por 3.9 millones de pesos sin que las adquisiciones se consolidaran y se llevara a cabo una licitación pública, tal como marca la Ley; se realizaron modificaciones a contratos para ampliar los pagos a empresas sin justificación de por medio; se llevaron a cabo contratos con proveedores que no se encontraban en el padrón oficial; se hizo un mal ejercicio de recursos FORTASEG; se dieron irregularidades en procedimientos de venta de inmuebles, entre otros.  </w:t>
      </w:r>
    </w:p>
    <w:p w14:paraId="14342C65" w14:textId="77777777" w:rsidR="006D2070" w:rsidRPr="006D2070" w:rsidRDefault="006D2070" w:rsidP="006D2070">
      <w:pPr>
        <w:spacing w:after="160" w:line="259" w:lineRule="auto"/>
        <w:ind w:left="709"/>
        <w:jc w:val="both"/>
        <w:rPr>
          <w:rFonts w:ascii="Abadi" w:hAnsi="Abadi" w:cs="Arial"/>
          <w:i/>
          <w:sz w:val="21"/>
          <w:szCs w:val="21"/>
          <w:lang w:val="es-MX" w:eastAsia="en-US"/>
        </w:rPr>
      </w:pPr>
    </w:p>
    <w:p w14:paraId="3097D730" w14:textId="77777777" w:rsidR="006D2070" w:rsidRPr="006D2070" w:rsidRDefault="006D2070" w:rsidP="006D2070">
      <w:pPr>
        <w:spacing w:after="160" w:line="259" w:lineRule="auto"/>
        <w:ind w:left="709"/>
        <w:jc w:val="both"/>
        <w:rPr>
          <w:rFonts w:ascii="Abadi" w:hAnsi="Abadi" w:cs="Arial"/>
          <w:i/>
          <w:sz w:val="21"/>
          <w:szCs w:val="21"/>
          <w:lang w:val="es-MX" w:eastAsia="en-US"/>
        </w:rPr>
      </w:pPr>
      <w:r w:rsidRPr="006D2070">
        <w:rPr>
          <w:rFonts w:ascii="Abadi" w:hAnsi="Abadi" w:cs="Arial"/>
          <w:i/>
          <w:sz w:val="21"/>
          <w:szCs w:val="21"/>
          <w:lang w:val="es-MX" w:eastAsia="en-US"/>
        </w:rPr>
        <w:t xml:space="preserve">En 2019, como hemos señalado en ocasiones anteriores, se hicieron negocios al amparo del poder público mediante semáforos fantasma que arrendaron por montos millonarios y que nunca funcionaron, causando una afectación de 5.7 millones de pesos que, en la revisión de cuenta pública 2020, pudiera determinarse un daño aún mayor.  </w:t>
      </w:r>
    </w:p>
    <w:p w14:paraId="4C2724A1" w14:textId="77777777" w:rsidR="006D2070" w:rsidRPr="006D2070" w:rsidRDefault="006D2070" w:rsidP="006D2070">
      <w:pPr>
        <w:spacing w:after="160" w:line="259" w:lineRule="auto"/>
        <w:ind w:left="709"/>
        <w:jc w:val="both"/>
        <w:rPr>
          <w:rFonts w:ascii="Abadi" w:hAnsi="Abadi" w:cs="Arial"/>
          <w:i/>
          <w:sz w:val="21"/>
          <w:szCs w:val="21"/>
          <w:lang w:val="es-MX" w:eastAsia="en-US"/>
        </w:rPr>
      </w:pPr>
      <w:r w:rsidRPr="006D2070">
        <w:rPr>
          <w:rFonts w:ascii="Abadi" w:hAnsi="Abadi" w:cs="Arial"/>
          <w:i/>
          <w:sz w:val="21"/>
          <w:szCs w:val="21"/>
          <w:lang w:val="es-MX" w:eastAsia="en-US"/>
        </w:rPr>
        <w:t xml:space="preserve">Si estas irregularidades salieron a la luz con un alcance tan limitado, desde el Grupo Parlamentario de Morena consideramos que una ampliación del alcance pudiera revelar nuevos desfalcos que, de momento, la ASEG ha sido incapaz de detectar, pero que no por eso dejarían de ser afectaciones a la hacienda pública sanmiguelense.  </w:t>
      </w:r>
    </w:p>
    <w:p w14:paraId="14B50650" w14:textId="77777777" w:rsidR="006D2070" w:rsidRPr="006D2070" w:rsidRDefault="006D2070" w:rsidP="006D2070">
      <w:pPr>
        <w:spacing w:after="160" w:line="259" w:lineRule="auto"/>
        <w:ind w:left="709"/>
        <w:jc w:val="both"/>
        <w:rPr>
          <w:rFonts w:ascii="Abadi" w:hAnsi="Abadi" w:cs="Arial"/>
          <w:i/>
          <w:sz w:val="21"/>
          <w:szCs w:val="21"/>
          <w:lang w:val="es-MX" w:eastAsia="en-US"/>
        </w:rPr>
      </w:pPr>
      <w:r w:rsidRPr="006D2070">
        <w:rPr>
          <w:rFonts w:ascii="Abadi" w:hAnsi="Abadi" w:cs="Arial"/>
          <w:i/>
          <w:sz w:val="21"/>
          <w:szCs w:val="21"/>
          <w:lang w:val="es-MX" w:eastAsia="en-US"/>
        </w:rPr>
        <w:t xml:space="preserve">En tal supuesto puede estar el caso de corrupción generado por los antiguos miembros del Consejo Directivo del Sistema de Agua Potable, que condonaron pagos hasta por 15 millones de pesos sin informar al Ayuntamiento, con la finalidad de beneficiar a desarrolladores inmobiliarios que especulan con el derecho a la vivienda y </w:t>
      </w:r>
      <w:r w:rsidRPr="006D2070">
        <w:rPr>
          <w:rFonts w:ascii="Abadi" w:hAnsi="Abadi" w:cs="Arial"/>
          <w:i/>
          <w:sz w:val="21"/>
          <w:szCs w:val="21"/>
          <w:lang w:val="es-MX" w:eastAsia="en-US"/>
        </w:rPr>
        <w:lastRenderedPageBreak/>
        <w:t xml:space="preserve">únicamente terminan inflando los costos de la vida en San Miguel de Allende.  </w:t>
      </w:r>
    </w:p>
    <w:p w14:paraId="7FBFEC06" w14:textId="77777777" w:rsidR="006D2070" w:rsidRPr="006D2070" w:rsidRDefault="006D2070" w:rsidP="006D2070">
      <w:pPr>
        <w:spacing w:after="160" w:line="259" w:lineRule="auto"/>
        <w:ind w:left="709"/>
        <w:jc w:val="both"/>
        <w:rPr>
          <w:rFonts w:ascii="Abadi" w:hAnsi="Abadi" w:cs="Arial"/>
          <w:i/>
          <w:sz w:val="21"/>
          <w:szCs w:val="21"/>
          <w:lang w:val="es-MX" w:eastAsia="en-US"/>
        </w:rPr>
      </w:pPr>
      <w:r w:rsidRPr="006D2070">
        <w:rPr>
          <w:rFonts w:ascii="Abadi" w:hAnsi="Abadi" w:cs="Arial"/>
          <w:i/>
          <w:sz w:val="21"/>
          <w:szCs w:val="21"/>
          <w:lang w:val="es-MX" w:eastAsia="en-US"/>
        </w:rPr>
        <w:t>En el mismo caso se encuentra la comisión de operaciones con recursos de procedencia ilícita, presuntamente dada durante la misma administración del panista Luis Alberto Villarreal, lo cual ha sido denunciado desde la sociedad civil.</w:t>
      </w:r>
    </w:p>
    <w:p w14:paraId="00CE8E88" w14:textId="77777777" w:rsidR="006D2070" w:rsidRPr="006D2070" w:rsidRDefault="006D2070" w:rsidP="006D2070">
      <w:pPr>
        <w:spacing w:after="160" w:line="259" w:lineRule="auto"/>
        <w:ind w:left="709"/>
        <w:jc w:val="both"/>
        <w:rPr>
          <w:rFonts w:ascii="Abadi" w:hAnsi="Abadi" w:cs="Arial"/>
          <w:i/>
          <w:sz w:val="21"/>
          <w:szCs w:val="21"/>
          <w:lang w:val="es-MX" w:eastAsia="en-US"/>
        </w:rPr>
      </w:pPr>
      <w:r w:rsidRPr="006D2070">
        <w:rPr>
          <w:rFonts w:ascii="Abadi" w:hAnsi="Abadi" w:cs="Arial"/>
          <w:i/>
          <w:sz w:val="21"/>
          <w:szCs w:val="21"/>
          <w:lang w:val="es-MX" w:eastAsia="en-US"/>
        </w:rPr>
        <w:t xml:space="preserve">Existen múltiples procedimientos a revisar: desde la posible condonación de impuestos como favor político-electoral a las cúpulas empresariales afines al panismo, hasta la probable venta ilegal de bienes inmuebles del municipio que fueran donados o enajenados con avalúos deficientes o a precios inferiores a los de mercado, pasando por el posible desvío de fondos mediante mecanismos similares al arrendamiento de los semáforos fantasma.  </w:t>
      </w:r>
    </w:p>
    <w:p w14:paraId="0F3E9DB3" w14:textId="77777777" w:rsidR="006D2070" w:rsidRPr="006D2070" w:rsidRDefault="006D2070" w:rsidP="006D2070">
      <w:pPr>
        <w:spacing w:after="160" w:line="259" w:lineRule="auto"/>
        <w:ind w:left="709"/>
        <w:jc w:val="both"/>
        <w:rPr>
          <w:rFonts w:ascii="Abadi" w:hAnsi="Abadi" w:cs="Arial"/>
          <w:i/>
          <w:sz w:val="21"/>
          <w:szCs w:val="21"/>
          <w:lang w:val="es-MX" w:eastAsia="en-US"/>
        </w:rPr>
      </w:pPr>
      <w:r w:rsidRPr="006D2070">
        <w:rPr>
          <w:rFonts w:ascii="Abadi" w:hAnsi="Abadi" w:cs="Arial"/>
          <w:i/>
          <w:sz w:val="21"/>
          <w:szCs w:val="21"/>
          <w:lang w:val="es-MX" w:eastAsia="en-US"/>
        </w:rPr>
        <w:t>Por lo anterior, desde el Grupo Parlamentario de Morena, consideramos necesario que la Auditoría Superior del Estado de Guanajuato intervenga para fiscalizar los recursos públicos ingresados y ejercidos durante la administración de Villarreal, uno de los referentes políticos y morales del PAN.</w:t>
      </w:r>
    </w:p>
    <w:p w14:paraId="70348889" w14:textId="77777777" w:rsidR="006D2070" w:rsidRPr="006D2070" w:rsidRDefault="006D2070" w:rsidP="001A28E5">
      <w:pPr>
        <w:numPr>
          <w:ilvl w:val="0"/>
          <w:numId w:val="56"/>
        </w:numPr>
        <w:spacing w:after="160" w:line="259" w:lineRule="auto"/>
        <w:jc w:val="both"/>
        <w:rPr>
          <w:rFonts w:ascii="Abadi" w:hAnsi="Abadi" w:cs="Arial"/>
          <w:b/>
          <w:bCs/>
          <w:sz w:val="21"/>
          <w:szCs w:val="21"/>
          <w:lang w:val="es-MX" w:eastAsia="en-US"/>
        </w:rPr>
      </w:pPr>
      <w:r w:rsidRPr="006D2070">
        <w:rPr>
          <w:rFonts w:ascii="Abadi" w:hAnsi="Abadi" w:cs="Arial"/>
          <w:b/>
          <w:bCs/>
          <w:sz w:val="21"/>
          <w:szCs w:val="21"/>
          <w:lang w:val="es-MX" w:eastAsia="en-US"/>
        </w:rPr>
        <w:t>Consideraciones de la Comisión</w:t>
      </w:r>
    </w:p>
    <w:p w14:paraId="2A66D111" w14:textId="77777777" w:rsidR="006D2070" w:rsidRPr="006D2070" w:rsidRDefault="006D2070" w:rsidP="006D2070">
      <w:pPr>
        <w:spacing w:after="160" w:line="259" w:lineRule="auto"/>
        <w:ind w:firstLine="708"/>
        <w:contextualSpacing/>
        <w:jc w:val="both"/>
        <w:rPr>
          <w:rFonts w:ascii="Abadi" w:hAnsi="Abadi" w:cs="Tahoma"/>
          <w:sz w:val="21"/>
          <w:szCs w:val="21"/>
          <w:lang w:val="es-MX" w:eastAsia="es-MX"/>
        </w:rPr>
      </w:pPr>
      <w:r w:rsidRPr="006D2070">
        <w:rPr>
          <w:rFonts w:ascii="Abadi" w:hAnsi="Abadi" w:cs="Tahoma"/>
          <w:sz w:val="21"/>
          <w:szCs w:val="21"/>
          <w:lang w:val="es-MX" w:eastAsia="es-MX"/>
        </w:rPr>
        <w:t>En las consideraciones expuestas en la propuesta que se dictamina se señala la necesidad de fiscalizar el uso y destino de recursos públicos de la administración pública municipal de San Miguel de Allende, Gto., con relación a diversos hechos referidos en la propuesta.</w:t>
      </w:r>
    </w:p>
    <w:p w14:paraId="20D7D6A9" w14:textId="77777777" w:rsidR="006D2070" w:rsidRPr="006D2070" w:rsidRDefault="006D2070" w:rsidP="00E80232">
      <w:pPr>
        <w:spacing w:after="160" w:line="259" w:lineRule="auto"/>
        <w:jc w:val="both"/>
        <w:rPr>
          <w:rFonts w:ascii="Abadi" w:hAnsi="Abadi" w:cs="Tahoma"/>
          <w:sz w:val="21"/>
          <w:szCs w:val="21"/>
          <w:lang w:val="es-MX" w:eastAsia="en-US"/>
        </w:rPr>
      </w:pPr>
    </w:p>
    <w:p w14:paraId="1352D894" w14:textId="77777777" w:rsidR="006D2070" w:rsidRPr="006D2070" w:rsidRDefault="006D2070" w:rsidP="006D2070">
      <w:pPr>
        <w:spacing w:after="160" w:line="259" w:lineRule="auto"/>
        <w:ind w:firstLine="708"/>
        <w:jc w:val="both"/>
        <w:rPr>
          <w:rFonts w:ascii="Abadi" w:hAnsi="Abadi" w:cs="Tahoma"/>
          <w:sz w:val="21"/>
          <w:szCs w:val="21"/>
          <w:lang w:val="es-MX" w:eastAsia="en-US"/>
        </w:rPr>
      </w:pPr>
      <w:r w:rsidRPr="006D2070">
        <w:rPr>
          <w:rFonts w:ascii="Abadi" w:hAnsi="Abadi" w:cs="Tahoma"/>
          <w:sz w:val="21"/>
          <w:szCs w:val="21"/>
          <w:lang w:val="es-MX" w:eastAsia="en-US"/>
        </w:rPr>
        <w:t xml:space="preserve">Al respecto quienes integramos esta Comisión consideramos que la función de control es uno de los mecanismos que preservan el equilibrio entre los poderes públicos y asegura la vigencia de la ley como un instrumento que somete toda actuación de la autoridad y preserva las garantías y derechos de los ciudadanos. La vigilancia y el control sobre el ejercicio de los recursos públicos encomendados a las autoridades es una de las funciones primordiales </w:t>
      </w:r>
      <w:r w:rsidRPr="006D2070">
        <w:rPr>
          <w:rFonts w:ascii="Abadi" w:hAnsi="Abadi" w:cs="Tahoma"/>
          <w:sz w:val="21"/>
          <w:szCs w:val="21"/>
          <w:lang w:val="es-MX" w:eastAsia="en-US"/>
        </w:rPr>
        <w:t xml:space="preserve">que tiene el Poder Legislativo como responsable originario de esa función de control. </w:t>
      </w:r>
    </w:p>
    <w:p w14:paraId="6C4B6EAB" w14:textId="77777777" w:rsidR="006D2070" w:rsidRPr="006D2070" w:rsidRDefault="006D2070" w:rsidP="006D2070">
      <w:pPr>
        <w:spacing w:after="160" w:line="259" w:lineRule="auto"/>
        <w:ind w:firstLine="720"/>
        <w:jc w:val="both"/>
        <w:rPr>
          <w:rFonts w:ascii="Abadi" w:hAnsi="Abadi" w:cs="Tahoma"/>
          <w:sz w:val="21"/>
          <w:szCs w:val="21"/>
          <w:lang w:val="es-MX" w:eastAsia="en-US"/>
        </w:rPr>
      </w:pPr>
      <w:r w:rsidRPr="006D2070">
        <w:rPr>
          <w:rFonts w:ascii="Abadi" w:hAnsi="Abadi" w:cs="Tahoma"/>
          <w:sz w:val="21"/>
          <w:szCs w:val="21"/>
          <w:lang w:val="es-MX" w:eastAsia="en-US"/>
        </w:rPr>
        <w:t>La administración, ejercicio, aplicación y control de los recursos públicos tienen que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w:t>
      </w:r>
    </w:p>
    <w:p w14:paraId="24E18C36" w14:textId="77777777" w:rsidR="006D2070" w:rsidRPr="006D2070" w:rsidRDefault="006D2070" w:rsidP="006D2070">
      <w:pPr>
        <w:spacing w:after="160" w:line="259" w:lineRule="auto"/>
        <w:jc w:val="both"/>
        <w:rPr>
          <w:rFonts w:ascii="Abadi" w:hAnsi="Abadi" w:cs="Tahoma"/>
          <w:sz w:val="21"/>
          <w:szCs w:val="21"/>
          <w:lang w:val="es-MX" w:eastAsia="en-US"/>
        </w:rPr>
      </w:pPr>
      <w:r w:rsidRPr="006D2070">
        <w:rPr>
          <w:rFonts w:ascii="Abadi" w:hAnsi="Abadi" w:cs="Tahoma"/>
          <w:sz w:val="21"/>
          <w:szCs w:val="21"/>
          <w:lang w:val="es-MX" w:eastAsia="en-US"/>
        </w:rPr>
        <w:tab/>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7BCCB148" w14:textId="77777777" w:rsidR="006D2070" w:rsidRPr="006D2070" w:rsidRDefault="006D2070" w:rsidP="006D2070">
      <w:pPr>
        <w:spacing w:line="259" w:lineRule="auto"/>
        <w:jc w:val="both"/>
        <w:rPr>
          <w:rFonts w:ascii="Abadi" w:hAnsi="Abadi" w:cs="Tahoma"/>
          <w:sz w:val="21"/>
          <w:szCs w:val="21"/>
          <w:lang w:val="es-MX" w:eastAsia="en-US"/>
        </w:rPr>
      </w:pPr>
    </w:p>
    <w:p w14:paraId="1AA57F21" w14:textId="5BF01045" w:rsidR="006D2070" w:rsidRDefault="006D2070" w:rsidP="00E80232">
      <w:pPr>
        <w:spacing w:line="259" w:lineRule="auto"/>
        <w:jc w:val="both"/>
        <w:rPr>
          <w:rFonts w:ascii="Abadi" w:hAnsi="Abadi" w:cs="Tahoma"/>
          <w:sz w:val="21"/>
          <w:szCs w:val="21"/>
          <w:lang w:val="es-MX" w:eastAsia="en-US"/>
        </w:rPr>
      </w:pPr>
      <w:r w:rsidRPr="006D2070">
        <w:rPr>
          <w:rFonts w:ascii="Abadi" w:hAnsi="Abadi" w:cs="Tahoma"/>
          <w:sz w:val="21"/>
          <w:szCs w:val="21"/>
          <w:lang w:val="es-MX" w:eastAsia="en-US"/>
        </w:rPr>
        <w:tab/>
        <w:t xml:space="preserve">El artículo 116, fracción II, sexto párrafo de la Constitución Política de los Estados Unidos Mexicanos señala que: </w:t>
      </w:r>
      <w:r w:rsidRPr="006D2070">
        <w:rPr>
          <w:rFonts w:ascii="Abadi" w:hAnsi="Abadi" w:cs="Tahoma"/>
          <w:i/>
          <w:sz w:val="21"/>
          <w:szCs w:val="21"/>
          <w:lang w:val="es-MX" w:eastAsia="en-US"/>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6D2070">
        <w:rPr>
          <w:rFonts w:ascii="Abadi" w:hAnsi="Abadi" w:cs="Tahoma"/>
          <w:sz w:val="21"/>
          <w:szCs w:val="21"/>
          <w:lang w:val="es-MX" w:eastAsia="en-US"/>
        </w:rPr>
        <w:t xml:space="preserve"> </w:t>
      </w:r>
    </w:p>
    <w:p w14:paraId="23AD0BD9" w14:textId="77777777" w:rsidR="00E80232" w:rsidRPr="006D2070" w:rsidRDefault="00E80232" w:rsidP="00E80232">
      <w:pPr>
        <w:spacing w:line="259" w:lineRule="auto"/>
        <w:jc w:val="both"/>
        <w:rPr>
          <w:rFonts w:ascii="Abadi" w:hAnsi="Abadi" w:cs="Tahoma"/>
          <w:sz w:val="21"/>
          <w:szCs w:val="21"/>
          <w:lang w:val="es-MX" w:eastAsia="en-US"/>
        </w:rPr>
      </w:pPr>
    </w:p>
    <w:p w14:paraId="5A0ADBCB" w14:textId="77777777" w:rsidR="006D2070" w:rsidRPr="006D2070" w:rsidRDefault="006D2070" w:rsidP="006D2070">
      <w:pPr>
        <w:spacing w:after="160" w:line="259" w:lineRule="auto"/>
        <w:ind w:firstLine="708"/>
        <w:jc w:val="both"/>
        <w:rPr>
          <w:rFonts w:ascii="Abadi" w:hAnsi="Abadi" w:cs="Tahoma"/>
          <w:sz w:val="21"/>
          <w:szCs w:val="21"/>
          <w:lang w:val="es-MX" w:eastAsia="en-US"/>
        </w:rPr>
      </w:pPr>
      <w:r w:rsidRPr="006D2070">
        <w:rPr>
          <w:rFonts w:ascii="Abadi" w:hAnsi="Abadi" w:cs="Tahoma"/>
          <w:sz w:val="21"/>
          <w:szCs w:val="21"/>
          <w:lang w:val="es-MX" w:eastAsia="en-US"/>
        </w:rPr>
        <w:t xml:space="preserve">La Auditoría Superior del Estado, de conformidad con el artículo 66 de la Constitución Local, tiene autonomía técnica, de gestión y presupuestaria en el ejercicio de sus atribuciones y para decidir sobre su organización interna, </w:t>
      </w:r>
      <w:r w:rsidRPr="006D2070">
        <w:rPr>
          <w:rFonts w:ascii="Abadi" w:hAnsi="Abadi" w:cs="Tahoma"/>
          <w:sz w:val="21"/>
          <w:szCs w:val="21"/>
          <w:lang w:val="es-MX" w:eastAsia="en-US"/>
        </w:rPr>
        <w:lastRenderedPageBreak/>
        <w:t xml:space="preserve">funcionamiento y resoluciones, en los términos que disponga la Ley; señalando además que la función de fiscalización será ejercida conforme a los principios de objetividad, independencia, transparencia, legalidad, definitividad, imparcialidad, confiabilidad y profesionalismo; mientras que la fracción IV del mismo precepto establece que la Auditoría Superior del Estado podrá acordar y practicar auditorías conforme a su programa anual y ejecutar las que acuerde el Congreso del Estado en los términos de la fracción XXVIII del artículo 63 de la propia Constitución Local. </w:t>
      </w:r>
    </w:p>
    <w:p w14:paraId="6D9EED89" w14:textId="77777777" w:rsidR="006D2070" w:rsidRPr="006D2070" w:rsidRDefault="006D2070" w:rsidP="006D2070">
      <w:pPr>
        <w:spacing w:line="259" w:lineRule="auto"/>
        <w:ind w:firstLine="720"/>
        <w:jc w:val="both"/>
        <w:rPr>
          <w:rFonts w:ascii="Abadi" w:hAnsi="Abadi" w:cs="Tahoma"/>
          <w:sz w:val="21"/>
          <w:szCs w:val="21"/>
          <w:lang w:val="es-MX" w:eastAsia="en-US"/>
        </w:rPr>
      </w:pPr>
      <w:r w:rsidRPr="006D2070">
        <w:rPr>
          <w:rFonts w:ascii="Abadi" w:hAnsi="Abadi" w:cs="Tahoma"/>
          <w:sz w:val="21"/>
          <w:szCs w:val="21"/>
          <w:lang w:val="es-MX" w:eastAsia="en-US"/>
        </w:rPr>
        <w:t>El ayuntamiento de San Miguel de Allende, Gto., es sujeto de la función de fiscalización del Congreso del Estado, según se desprende de los artículos 63 fracciones XIX y XXVIII; y 66 de la Constitución Política local y 2, fracción II de la Ley de Fiscalización Superior del Estado de Guanajuato.</w:t>
      </w:r>
    </w:p>
    <w:p w14:paraId="050B851A" w14:textId="77777777" w:rsidR="006D2070" w:rsidRPr="006D2070" w:rsidRDefault="006D2070" w:rsidP="006D2070">
      <w:pPr>
        <w:spacing w:line="259" w:lineRule="auto"/>
        <w:ind w:firstLine="720"/>
        <w:jc w:val="both"/>
        <w:rPr>
          <w:rFonts w:ascii="Abadi" w:hAnsi="Abadi" w:cs="Tahoma"/>
          <w:sz w:val="21"/>
          <w:szCs w:val="21"/>
          <w:lang w:val="es-MX" w:eastAsia="en-US"/>
        </w:rPr>
      </w:pPr>
    </w:p>
    <w:p w14:paraId="25FDF251" w14:textId="77777777" w:rsidR="006D2070" w:rsidRPr="006D2070" w:rsidRDefault="006D2070" w:rsidP="006D2070">
      <w:pPr>
        <w:spacing w:after="160" w:line="259" w:lineRule="auto"/>
        <w:ind w:firstLine="720"/>
        <w:jc w:val="both"/>
        <w:rPr>
          <w:rFonts w:ascii="Abadi" w:hAnsi="Abadi" w:cs="Tahoma"/>
          <w:sz w:val="21"/>
          <w:szCs w:val="21"/>
          <w:lang w:val="es-MX" w:eastAsia="en-US"/>
        </w:rPr>
      </w:pPr>
      <w:r w:rsidRPr="006D2070">
        <w:rPr>
          <w:rFonts w:ascii="Abadi" w:hAnsi="Abadi" w:cs="Tahoma"/>
          <w:sz w:val="21"/>
          <w:szCs w:val="21"/>
          <w:lang w:val="es-MX" w:eastAsia="en-US"/>
        </w:rPr>
        <w:t>En este orden de ideas, de acuerdo a la información proporcionada por la Auditoría Superior del Estado, durante los ejercicios fiscales 2019 y 2020 se efectuaron las siguientes revisiones y auditorías a la administración pública de San Miguel de Allende, Gto.:</w:t>
      </w:r>
    </w:p>
    <w:p w14:paraId="1A45C5ED" w14:textId="77777777" w:rsidR="006D2070" w:rsidRPr="006D2070" w:rsidRDefault="006D2070" w:rsidP="006D2070">
      <w:pPr>
        <w:spacing w:after="160" w:line="259" w:lineRule="auto"/>
        <w:rPr>
          <w:rFonts w:ascii="Abadi" w:hAnsi="Abadi"/>
          <w:b/>
          <w:sz w:val="21"/>
          <w:szCs w:val="21"/>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376"/>
        <w:gridCol w:w="1063"/>
        <w:gridCol w:w="1063"/>
      </w:tblGrid>
      <w:tr w:rsidR="006D2070" w:rsidRPr="006D2070" w14:paraId="2A40D597" w14:textId="77777777" w:rsidTr="004E6068">
        <w:trPr>
          <w:jc w:val="center"/>
        </w:trPr>
        <w:tc>
          <w:tcPr>
            <w:tcW w:w="1271" w:type="dxa"/>
            <w:shd w:val="clear" w:color="auto" w:fill="auto"/>
          </w:tcPr>
          <w:p w14:paraId="01C6C6EE" w14:textId="77777777" w:rsidR="006D2070" w:rsidRPr="006D2070" w:rsidRDefault="006D2070" w:rsidP="006D2070">
            <w:pPr>
              <w:spacing w:after="160" w:line="259" w:lineRule="auto"/>
              <w:jc w:val="center"/>
              <w:rPr>
                <w:rFonts w:ascii="Abadi" w:hAnsi="Abadi"/>
                <w:b/>
                <w:sz w:val="21"/>
                <w:szCs w:val="21"/>
                <w:lang w:val="es-MX" w:eastAsia="en-US"/>
              </w:rPr>
            </w:pPr>
            <w:r w:rsidRPr="006D2070">
              <w:rPr>
                <w:rFonts w:ascii="Abadi" w:hAnsi="Abadi"/>
                <w:b/>
                <w:sz w:val="21"/>
                <w:szCs w:val="21"/>
                <w:lang w:val="es-MX" w:eastAsia="en-US"/>
              </w:rPr>
              <w:t>Ejercicio</w:t>
            </w:r>
          </w:p>
        </w:tc>
        <w:tc>
          <w:tcPr>
            <w:tcW w:w="3404" w:type="dxa"/>
            <w:shd w:val="clear" w:color="auto" w:fill="auto"/>
          </w:tcPr>
          <w:p w14:paraId="41CA43EB" w14:textId="77777777" w:rsidR="006D2070" w:rsidRPr="006D2070" w:rsidRDefault="006D2070" w:rsidP="006D2070">
            <w:pPr>
              <w:spacing w:after="160" w:line="259" w:lineRule="auto"/>
              <w:jc w:val="center"/>
              <w:rPr>
                <w:rFonts w:ascii="Abadi" w:hAnsi="Abadi"/>
                <w:b/>
                <w:sz w:val="21"/>
                <w:szCs w:val="21"/>
                <w:lang w:val="es-MX" w:eastAsia="en-US"/>
              </w:rPr>
            </w:pPr>
            <w:r w:rsidRPr="006D2070">
              <w:rPr>
                <w:rFonts w:ascii="Abadi" w:hAnsi="Abadi"/>
                <w:b/>
                <w:sz w:val="21"/>
                <w:szCs w:val="21"/>
                <w:lang w:val="es-MX" w:eastAsia="en-US"/>
              </w:rPr>
              <w:t>Tipo de Revisión</w:t>
            </w:r>
          </w:p>
          <w:p w14:paraId="079C75B4" w14:textId="77777777" w:rsidR="006D2070" w:rsidRPr="006D2070" w:rsidRDefault="006D2070" w:rsidP="006D2070">
            <w:pPr>
              <w:spacing w:after="160" w:line="259" w:lineRule="auto"/>
              <w:jc w:val="center"/>
              <w:rPr>
                <w:rFonts w:ascii="Abadi" w:hAnsi="Abadi"/>
                <w:b/>
                <w:sz w:val="21"/>
                <w:szCs w:val="21"/>
                <w:lang w:val="es-MX" w:eastAsia="en-US"/>
              </w:rPr>
            </w:pPr>
            <w:r w:rsidRPr="006D2070">
              <w:rPr>
                <w:rFonts w:ascii="Abadi" w:hAnsi="Abadi"/>
                <w:b/>
                <w:sz w:val="21"/>
                <w:szCs w:val="21"/>
                <w:lang w:val="es-MX" w:eastAsia="en-US"/>
              </w:rPr>
              <w:t>/Auditoría</w:t>
            </w:r>
          </w:p>
        </w:tc>
        <w:tc>
          <w:tcPr>
            <w:tcW w:w="1431" w:type="dxa"/>
            <w:shd w:val="clear" w:color="auto" w:fill="auto"/>
          </w:tcPr>
          <w:p w14:paraId="185C3104" w14:textId="77777777" w:rsidR="006D2070" w:rsidRPr="006D2070" w:rsidRDefault="006D2070" w:rsidP="006D2070">
            <w:pPr>
              <w:spacing w:after="160" w:line="259" w:lineRule="auto"/>
              <w:jc w:val="center"/>
              <w:rPr>
                <w:rFonts w:ascii="Abadi" w:hAnsi="Abadi"/>
                <w:b/>
                <w:sz w:val="21"/>
                <w:szCs w:val="21"/>
                <w:lang w:val="es-MX" w:eastAsia="en-US"/>
              </w:rPr>
            </w:pPr>
            <w:r w:rsidRPr="006D2070">
              <w:rPr>
                <w:rFonts w:ascii="Abadi" w:hAnsi="Abadi"/>
                <w:b/>
                <w:sz w:val="21"/>
                <w:szCs w:val="21"/>
                <w:lang w:val="es-MX" w:eastAsia="en-US"/>
              </w:rPr>
              <w:t>Porcentaje revisado de ingresos</w:t>
            </w:r>
          </w:p>
        </w:tc>
        <w:tc>
          <w:tcPr>
            <w:tcW w:w="1431" w:type="dxa"/>
            <w:shd w:val="clear" w:color="auto" w:fill="auto"/>
          </w:tcPr>
          <w:p w14:paraId="23D129E4" w14:textId="77777777" w:rsidR="006D2070" w:rsidRPr="006D2070" w:rsidRDefault="006D2070" w:rsidP="006D2070">
            <w:pPr>
              <w:spacing w:after="160" w:line="259" w:lineRule="auto"/>
              <w:jc w:val="center"/>
              <w:rPr>
                <w:rFonts w:ascii="Abadi" w:hAnsi="Abadi"/>
                <w:b/>
                <w:sz w:val="21"/>
                <w:szCs w:val="21"/>
                <w:lang w:val="es-MX" w:eastAsia="en-US"/>
              </w:rPr>
            </w:pPr>
            <w:r w:rsidRPr="006D2070">
              <w:rPr>
                <w:rFonts w:ascii="Abadi" w:hAnsi="Abadi"/>
                <w:b/>
                <w:sz w:val="21"/>
                <w:szCs w:val="21"/>
                <w:lang w:val="es-MX" w:eastAsia="en-US"/>
              </w:rPr>
              <w:t>Porcentaje revisado de egresos</w:t>
            </w:r>
          </w:p>
        </w:tc>
      </w:tr>
      <w:tr w:rsidR="006D2070" w:rsidRPr="006D2070" w14:paraId="1939D164" w14:textId="77777777" w:rsidTr="004E6068">
        <w:trPr>
          <w:jc w:val="center"/>
        </w:trPr>
        <w:tc>
          <w:tcPr>
            <w:tcW w:w="1271" w:type="dxa"/>
            <w:shd w:val="clear" w:color="auto" w:fill="auto"/>
            <w:vAlign w:val="center"/>
          </w:tcPr>
          <w:p w14:paraId="144EB975" w14:textId="77777777" w:rsidR="006D2070" w:rsidRPr="006D2070" w:rsidRDefault="006D2070" w:rsidP="006D2070">
            <w:pPr>
              <w:spacing w:after="160" w:line="259" w:lineRule="auto"/>
              <w:jc w:val="center"/>
              <w:rPr>
                <w:rFonts w:ascii="Abadi" w:hAnsi="Abadi"/>
                <w:bCs/>
                <w:sz w:val="21"/>
                <w:szCs w:val="21"/>
                <w:lang w:val="es-MX" w:eastAsia="en-US"/>
              </w:rPr>
            </w:pPr>
            <w:r w:rsidRPr="006D2070">
              <w:rPr>
                <w:rFonts w:ascii="Abadi" w:hAnsi="Abadi"/>
                <w:sz w:val="21"/>
                <w:szCs w:val="21"/>
                <w:lang w:val="es-MX" w:eastAsia="en-US"/>
              </w:rPr>
              <w:t>2019</w:t>
            </w:r>
          </w:p>
        </w:tc>
        <w:tc>
          <w:tcPr>
            <w:tcW w:w="3404" w:type="dxa"/>
            <w:shd w:val="clear" w:color="auto" w:fill="auto"/>
            <w:vAlign w:val="center"/>
          </w:tcPr>
          <w:p w14:paraId="2B2D6870" w14:textId="77777777" w:rsidR="006D2070" w:rsidRPr="006D2070" w:rsidRDefault="006D2070" w:rsidP="006D2070">
            <w:pPr>
              <w:spacing w:after="160" w:line="259" w:lineRule="auto"/>
              <w:rPr>
                <w:rFonts w:ascii="Abadi" w:hAnsi="Abadi"/>
                <w:bCs/>
                <w:sz w:val="21"/>
                <w:szCs w:val="21"/>
                <w:lang w:val="es-MX" w:eastAsia="en-US"/>
              </w:rPr>
            </w:pPr>
            <w:r w:rsidRPr="006D2070">
              <w:rPr>
                <w:rFonts w:ascii="Abadi" w:hAnsi="Abadi"/>
                <w:sz w:val="21"/>
                <w:szCs w:val="21"/>
                <w:lang w:val="es-MX" w:eastAsia="en-US"/>
              </w:rPr>
              <w:t>Auditoría al Ramo General 33 y Obra Pública</w:t>
            </w:r>
          </w:p>
        </w:tc>
        <w:tc>
          <w:tcPr>
            <w:tcW w:w="1431" w:type="dxa"/>
            <w:shd w:val="clear" w:color="auto" w:fill="auto"/>
            <w:vAlign w:val="center"/>
          </w:tcPr>
          <w:p w14:paraId="080C6D9A" w14:textId="77777777" w:rsidR="006D2070" w:rsidRPr="006D2070" w:rsidRDefault="006D2070" w:rsidP="006D2070">
            <w:pPr>
              <w:spacing w:after="160" w:line="259" w:lineRule="auto"/>
              <w:jc w:val="center"/>
              <w:rPr>
                <w:rFonts w:ascii="Abadi" w:hAnsi="Abadi"/>
                <w:sz w:val="21"/>
                <w:szCs w:val="21"/>
                <w:lang w:val="es-MX" w:eastAsia="en-US"/>
              </w:rPr>
            </w:pPr>
            <w:r w:rsidRPr="006D2070">
              <w:rPr>
                <w:rFonts w:ascii="Abadi" w:hAnsi="Abadi"/>
                <w:sz w:val="21"/>
                <w:szCs w:val="21"/>
                <w:lang w:val="es-MX" w:eastAsia="en-US"/>
              </w:rPr>
              <w:t>100 (1)</w:t>
            </w:r>
          </w:p>
        </w:tc>
        <w:tc>
          <w:tcPr>
            <w:tcW w:w="1431" w:type="dxa"/>
            <w:shd w:val="clear" w:color="auto" w:fill="auto"/>
            <w:vAlign w:val="center"/>
          </w:tcPr>
          <w:p w14:paraId="5FD56969" w14:textId="77777777" w:rsidR="006D2070" w:rsidRPr="006D2070" w:rsidRDefault="006D2070" w:rsidP="006D2070">
            <w:pPr>
              <w:spacing w:after="160" w:line="259" w:lineRule="auto"/>
              <w:jc w:val="center"/>
              <w:rPr>
                <w:rFonts w:ascii="Abadi" w:hAnsi="Abadi"/>
                <w:sz w:val="21"/>
                <w:szCs w:val="21"/>
                <w:lang w:val="es-MX" w:eastAsia="en-US"/>
              </w:rPr>
            </w:pPr>
            <w:r w:rsidRPr="006D2070">
              <w:rPr>
                <w:rFonts w:ascii="Abadi" w:hAnsi="Abadi"/>
                <w:sz w:val="21"/>
                <w:szCs w:val="21"/>
                <w:lang w:val="es-MX" w:eastAsia="en-US"/>
              </w:rPr>
              <w:t>33 (2)</w:t>
            </w:r>
          </w:p>
        </w:tc>
      </w:tr>
      <w:tr w:rsidR="006D2070" w:rsidRPr="006D2070" w14:paraId="3FDA2533" w14:textId="77777777" w:rsidTr="004E6068">
        <w:trPr>
          <w:jc w:val="center"/>
        </w:trPr>
        <w:tc>
          <w:tcPr>
            <w:tcW w:w="1271" w:type="dxa"/>
            <w:shd w:val="clear" w:color="auto" w:fill="auto"/>
          </w:tcPr>
          <w:p w14:paraId="5A22A08D" w14:textId="77777777" w:rsidR="006D2070" w:rsidRPr="006D2070" w:rsidRDefault="006D2070" w:rsidP="006D2070">
            <w:pPr>
              <w:spacing w:after="160" w:line="259" w:lineRule="auto"/>
              <w:jc w:val="center"/>
              <w:rPr>
                <w:rFonts w:ascii="Abadi" w:hAnsi="Abadi"/>
                <w:b/>
                <w:sz w:val="21"/>
                <w:szCs w:val="21"/>
                <w:lang w:val="es-MX" w:eastAsia="en-US"/>
              </w:rPr>
            </w:pPr>
            <w:r w:rsidRPr="006D2070">
              <w:rPr>
                <w:rFonts w:ascii="Abadi" w:hAnsi="Abadi"/>
                <w:sz w:val="21"/>
                <w:szCs w:val="21"/>
                <w:lang w:val="es-MX" w:eastAsia="en-US"/>
              </w:rPr>
              <w:t>2019</w:t>
            </w:r>
          </w:p>
        </w:tc>
        <w:tc>
          <w:tcPr>
            <w:tcW w:w="3404" w:type="dxa"/>
            <w:shd w:val="clear" w:color="auto" w:fill="auto"/>
          </w:tcPr>
          <w:p w14:paraId="7D76160A" w14:textId="77777777" w:rsidR="006D2070" w:rsidRPr="006D2070" w:rsidRDefault="006D2070" w:rsidP="006D2070">
            <w:pPr>
              <w:spacing w:after="160" w:line="259" w:lineRule="auto"/>
              <w:rPr>
                <w:rFonts w:ascii="Abadi" w:hAnsi="Abadi"/>
                <w:b/>
                <w:sz w:val="21"/>
                <w:szCs w:val="21"/>
                <w:lang w:val="es-MX" w:eastAsia="en-US"/>
              </w:rPr>
            </w:pPr>
            <w:r w:rsidRPr="006D2070">
              <w:rPr>
                <w:rFonts w:ascii="Abadi" w:hAnsi="Abadi"/>
                <w:sz w:val="21"/>
                <w:szCs w:val="21"/>
                <w:lang w:val="es-MX" w:eastAsia="en-US"/>
              </w:rPr>
              <w:t>Revisión de cuenta pública</w:t>
            </w:r>
          </w:p>
        </w:tc>
        <w:tc>
          <w:tcPr>
            <w:tcW w:w="1431" w:type="dxa"/>
            <w:shd w:val="clear" w:color="auto" w:fill="auto"/>
            <w:vAlign w:val="center"/>
          </w:tcPr>
          <w:p w14:paraId="36386F26" w14:textId="77777777" w:rsidR="006D2070" w:rsidRPr="006D2070" w:rsidRDefault="006D2070" w:rsidP="006D2070">
            <w:pPr>
              <w:spacing w:after="160" w:line="259" w:lineRule="auto"/>
              <w:jc w:val="center"/>
              <w:rPr>
                <w:rFonts w:ascii="Abadi" w:hAnsi="Abadi"/>
                <w:sz w:val="21"/>
                <w:szCs w:val="21"/>
                <w:lang w:val="es-MX" w:eastAsia="en-US"/>
              </w:rPr>
            </w:pPr>
          </w:p>
        </w:tc>
        <w:tc>
          <w:tcPr>
            <w:tcW w:w="1431" w:type="dxa"/>
            <w:shd w:val="clear" w:color="auto" w:fill="auto"/>
            <w:vAlign w:val="center"/>
          </w:tcPr>
          <w:p w14:paraId="2E0CE5D7" w14:textId="77777777" w:rsidR="006D2070" w:rsidRPr="006D2070" w:rsidRDefault="006D2070" w:rsidP="006D2070">
            <w:pPr>
              <w:spacing w:after="160" w:line="259" w:lineRule="auto"/>
              <w:jc w:val="center"/>
              <w:rPr>
                <w:rFonts w:ascii="Abadi" w:hAnsi="Abadi"/>
                <w:sz w:val="21"/>
                <w:szCs w:val="21"/>
                <w:lang w:val="es-MX" w:eastAsia="en-US"/>
              </w:rPr>
            </w:pPr>
          </w:p>
        </w:tc>
      </w:tr>
      <w:tr w:rsidR="006D2070" w:rsidRPr="006D2070" w14:paraId="6F7BE530" w14:textId="77777777" w:rsidTr="004E6068">
        <w:trPr>
          <w:jc w:val="center"/>
        </w:trPr>
        <w:tc>
          <w:tcPr>
            <w:tcW w:w="1271" w:type="dxa"/>
            <w:shd w:val="clear" w:color="auto" w:fill="auto"/>
          </w:tcPr>
          <w:p w14:paraId="2ED1E2EE" w14:textId="77777777" w:rsidR="006D2070" w:rsidRPr="006D2070" w:rsidRDefault="006D2070" w:rsidP="006D2070">
            <w:pPr>
              <w:spacing w:after="160" w:line="259" w:lineRule="auto"/>
              <w:jc w:val="center"/>
              <w:rPr>
                <w:rFonts w:ascii="Abadi" w:hAnsi="Abadi"/>
                <w:bCs/>
                <w:sz w:val="21"/>
                <w:szCs w:val="21"/>
                <w:lang w:val="es-MX" w:eastAsia="en-US"/>
              </w:rPr>
            </w:pPr>
          </w:p>
        </w:tc>
        <w:tc>
          <w:tcPr>
            <w:tcW w:w="3404" w:type="dxa"/>
            <w:shd w:val="clear" w:color="auto" w:fill="auto"/>
          </w:tcPr>
          <w:p w14:paraId="44FB904A" w14:textId="77777777" w:rsidR="006D2070" w:rsidRPr="006D2070" w:rsidRDefault="006D2070" w:rsidP="006D2070">
            <w:pPr>
              <w:spacing w:after="160" w:line="259" w:lineRule="auto"/>
              <w:jc w:val="both"/>
              <w:rPr>
                <w:rFonts w:ascii="Abadi" w:hAnsi="Abadi"/>
                <w:bCs/>
                <w:sz w:val="21"/>
                <w:szCs w:val="21"/>
                <w:lang w:val="es-MX" w:eastAsia="en-US"/>
              </w:rPr>
            </w:pPr>
            <w:r w:rsidRPr="006D2070">
              <w:rPr>
                <w:rFonts w:ascii="Abadi" w:hAnsi="Abadi" w:cs="Calibri"/>
                <w:sz w:val="21"/>
                <w:szCs w:val="21"/>
                <w:lang w:val="es-MX" w:eastAsia="en-US"/>
              </w:rPr>
              <w:t>Sector central</w:t>
            </w:r>
          </w:p>
        </w:tc>
        <w:tc>
          <w:tcPr>
            <w:tcW w:w="1431" w:type="dxa"/>
            <w:shd w:val="clear" w:color="auto" w:fill="auto"/>
          </w:tcPr>
          <w:p w14:paraId="01DB39D5" w14:textId="77777777" w:rsidR="006D2070" w:rsidRPr="006D2070" w:rsidRDefault="006D2070" w:rsidP="006D2070">
            <w:pPr>
              <w:spacing w:after="160" w:line="259" w:lineRule="auto"/>
              <w:jc w:val="center"/>
              <w:rPr>
                <w:rFonts w:ascii="Abadi" w:hAnsi="Abadi"/>
                <w:sz w:val="21"/>
                <w:szCs w:val="21"/>
                <w:lang w:val="es-MX" w:eastAsia="en-US"/>
              </w:rPr>
            </w:pPr>
            <w:r w:rsidRPr="006D2070">
              <w:rPr>
                <w:rFonts w:ascii="Abadi" w:hAnsi="Abadi" w:cs="Calibri"/>
                <w:sz w:val="21"/>
                <w:szCs w:val="21"/>
                <w:lang w:eastAsia="en-US"/>
              </w:rPr>
              <w:t>33</w:t>
            </w:r>
          </w:p>
        </w:tc>
        <w:tc>
          <w:tcPr>
            <w:tcW w:w="1431" w:type="dxa"/>
            <w:shd w:val="clear" w:color="auto" w:fill="auto"/>
            <w:vAlign w:val="center"/>
          </w:tcPr>
          <w:p w14:paraId="524656C7" w14:textId="77777777" w:rsidR="006D2070" w:rsidRPr="006D2070" w:rsidRDefault="006D2070" w:rsidP="006D2070">
            <w:pPr>
              <w:spacing w:after="160" w:line="259" w:lineRule="auto"/>
              <w:jc w:val="center"/>
              <w:rPr>
                <w:rFonts w:ascii="Abadi" w:hAnsi="Abadi"/>
                <w:sz w:val="21"/>
                <w:szCs w:val="21"/>
                <w:lang w:val="es-MX" w:eastAsia="en-US"/>
              </w:rPr>
            </w:pPr>
            <w:r w:rsidRPr="006D2070">
              <w:rPr>
                <w:rFonts w:ascii="Abadi" w:hAnsi="Abadi" w:cs="Calibri"/>
                <w:sz w:val="21"/>
                <w:szCs w:val="21"/>
                <w:lang w:eastAsia="en-US"/>
              </w:rPr>
              <w:t>40</w:t>
            </w:r>
          </w:p>
        </w:tc>
      </w:tr>
      <w:tr w:rsidR="006D2070" w:rsidRPr="006D2070" w14:paraId="12386F09" w14:textId="77777777" w:rsidTr="004E6068">
        <w:trPr>
          <w:jc w:val="center"/>
        </w:trPr>
        <w:tc>
          <w:tcPr>
            <w:tcW w:w="1271" w:type="dxa"/>
            <w:shd w:val="clear" w:color="auto" w:fill="auto"/>
          </w:tcPr>
          <w:p w14:paraId="7F144B8F" w14:textId="77777777" w:rsidR="006D2070" w:rsidRPr="006D2070" w:rsidRDefault="006D2070" w:rsidP="006D2070">
            <w:pPr>
              <w:spacing w:after="160" w:line="259" w:lineRule="auto"/>
              <w:jc w:val="center"/>
              <w:rPr>
                <w:rFonts w:ascii="Abadi" w:hAnsi="Abadi"/>
                <w:bCs/>
                <w:sz w:val="21"/>
                <w:szCs w:val="21"/>
                <w:lang w:val="es-MX" w:eastAsia="en-US"/>
              </w:rPr>
            </w:pPr>
            <w:r w:rsidRPr="006D2070">
              <w:rPr>
                <w:rFonts w:ascii="Abadi" w:hAnsi="Abadi"/>
                <w:sz w:val="21"/>
                <w:szCs w:val="21"/>
                <w:lang w:val="es-MX" w:eastAsia="en-US"/>
              </w:rPr>
              <w:t>2020</w:t>
            </w:r>
          </w:p>
        </w:tc>
        <w:tc>
          <w:tcPr>
            <w:tcW w:w="3404" w:type="dxa"/>
            <w:shd w:val="clear" w:color="auto" w:fill="auto"/>
          </w:tcPr>
          <w:p w14:paraId="48A3A728" w14:textId="77777777" w:rsidR="006D2070" w:rsidRPr="006D2070" w:rsidRDefault="006D2070" w:rsidP="006D2070">
            <w:pPr>
              <w:spacing w:after="160" w:line="259" w:lineRule="auto"/>
              <w:jc w:val="both"/>
              <w:rPr>
                <w:rFonts w:ascii="Abadi" w:hAnsi="Abadi"/>
                <w:bCs/>
                <w:sz w:val="21"/>
                <w:szCs w:val="21"/>
                <w:lang w:val="es-MX" w:eastAsia="en-US"/>
              </w:rPr>
            </w:pPr>
            <w:r w:rsidRPr="006D2070">
              <w:rPr>
                <w:rFonts w:ascii="Abadi" w:hAnsi="Abadi"/>
                <w:sz w:val="21"/>
                <w:szCs w:val="21"/>
                <w:lang w:val="es-MX" w:eastAsia="en-US"/>
              </w:rPr>
              <w:t>Auditoría a la infraestructu</w:t>
            </w:r>
            <w:r w:rsidRPr="006D2070">
              <w:rPr>
                <w:rFonts w:ascii="Abadi" w:hAnsi="Abadi"/>
                <w:sz w:val="21"/>
                <w:szCs w:val="21"/>
                <w:lang w:val="es-MX" w:eastAsia="en-US"/>
              </w:rPr>
              <w:t xml:space="preserve">ra pública municipal </w:t>
            </w:r>
          </w:p>
        </w:tc>
        <w:tc>
          <w:tcPr>
            <w:tcW w:w="1431" w:type="dxa"/>
            <w:shd w:val="clear" w:color="auto" w:fill="auto"/>
            <w:vAlign w:val="center"/>
          </w:tcPr>
          <w:p w14:paraId="49508D43" w14:textId="77777777" w:rsidR="006D2070" w:rsidRPr="006D2070" w:rsidRDefault="006D2070" w:rsidP="006D2070">
            <w:pPr>
              <w:spacing w:after="160" w:line="259" w:lineRule="auto"/>
              <w:jc w:val="center"/>
              <w:rPr>
                <w:rFonts w:ascii="Abadi" w:hAnsi="Abadi"/>
                <w:sz w:val="21"/>
                <w:szCs w:val="21"/>
                <w:lang w:val="es-MX" w:eastAsia="en-US"/>
              </w:rPr>
            </w:pPr>
            <w:r w:rsidRPr="006D2070">
              <w:rPr>
                <w:rFonts w:ascii="Abadi" w:hAnsi="Abadi"/>
                <w:sz w:val="21"/>
                <w:szCs w:val="21"/>
                <w:lang w:val="es-MX" w:eastAsia="en-US"/>
              </w:rPr>
              <w:t>100 (1)</w:t>
            </w:r>
          </w:p>
        </w:tc>
        <w:tc>
          <w:tcPr>
            <w:tcW w:w="1431" w:type="dxa"/>
            <w:shd w:val="clear" w:color="auto" w:fill="auto"/>
            <w:vAlign w:val="center"/>
          </w:tcPr>
          <w:p w14:paraId="3248141D" w14:textId="77777777" w:rsidR="006D2070" w:rsidRPr="006D2070" w:rsidRDefault="006D2070" w:rsidP="006D2070">
            <w:pPr>
              <w:spacing w:after="160" w:line="259" w:lineRule="auto"/>
              <w:jc w:val="center"/>
              <w:rPr>
                <w:rFonts w:ascii="Abadi" w:hAnsi="Abadi"/>
                <w:sz w:val="21"/>
                <w:szCs w:val="21"/>
                <w:lang w:val="es-MX" w:eastAsia="en-US"/>
              </w:rPr>
            </w:pPr>
            <w:r w:rsidRPr="006D2070">
              <w:rPr>
                <w:rFonts w:ascii="Abadi" w:hAnsi="Abadi"/>
                <w:sz w:val="21"/>
                <w:szCs w:val="21"/>
                <w:lang w:val="es-MX" w:eastAsia="en-US"/>
              </w:rPr>
              <w:t>33 (2)</w:t>
            </w:r>
          </w:p>
        </w:tc>
      </w:tr>
      <w:tr w:rsidR="006D2070" w:rsidRPr="006D2070" w14:paraId="50AA6F0C" w14:textId="77777777" w:rsidTr="004E6068">
        <w:trPr>
          <w:jc w:val="center"/>
        </w:trPr>
        <w:tc>
          <w:tcPr>
            <w:tcW w:w="1271" w:type="dxa"/>
            <w:shd w:val="clear" w:color="auto" w:fill="auto"/>
          </w:tcPr>
          <w:p w14:paraId="1A085F39" w14:textId="77777777" w:rsidR="006D2070" w:rsidRPr="006D2070" w:rsidRDefault="006D2070" w:rsidP="006D2070">
            <w:pPr>
              <w:spacing w:after="160" w:line="259" w:lineRule="auto"/>
              <w:jc w:val="center"/>
              <w:rPr>
                <w:rFonts w:ascii="Abadi" w:hAnsi="Abadi"/>
                <w:b/>
                <w:sz w:val="21"/>
                <w:szCs w:val="21"/>
                <w:lang w:val="es-MX" w:eastAsia="en-US"/>
              </w:rPr>
            </w:pPr>
            <w:r w:rsidRPr="006D2070">
              <w:rPr>
                <w:rFonts w:ascii="Abadi" w:hAnsi="Abadi"/>
                <w:sz w:val="21"/>
                <w:szCs w:val="21"/>
                <w:lang w:val="es-MX" w:eastAsia="en-US"/>
              </w:rPr>
              <w:t>2020</w:t>
            </w:r>
          </w:p>
        </w:tc>
        <w:tc>
          <w:tcPr>
            <w:tcW w:w="3404" w:type="dxa"/>
            <w:shd w:val="clear" w:color="auto" w:fill="auto"/>
          </w:tcPr>
          <w:p w14:paraId="4E39D4F7" w14:textId="77777777" w:rsidR="006D2070" w:rsidRPr="006D2070" w:rsidRDefault="006D2070" w:rsidP="006D2070">
            <w:pPr>
              <w:spacing w:after="160" w:line="259" w:lineRule="auto"/>
              <w:jc w:val="both"/>
              <w:rPr>
                <w:rFonts w:ascii="Abadi" w:hAnsi="Abadi"/>
                <w:b/>
                <w:sz w:val="21"/>
                <w:szCs w:val="21"/>
                <w:lang w:val="es-MX" w:eastAsia="en-US"/>
              </w:rPr>
            </w:pPr>
            <w:r w:rsidRPr="006D2070">
              <w:rPr>
                <w:rFonts w:ascii="Abadi" w:hAnsi="Abadi"/>
                <w:sz w:val="21"/>
                <w:szCs w:val="21"/>
                <w:lang w:val="es-MX" w:eastAsia="en-US"/>
              </w:rPr>
              <w:t xml:space="preserve">Revisión de cuenta pública </w:t>
            </w:r>
          </w:p>
        </w:tc>
        <w:tc>
          <w:tcPr>
            <w:tcW w:w="1431" w:type="dxa"/>
            <w:shd w:val="clear" w:color="auto" w:fill="auto"/>
            <w:vAlign w:val="center"/>
          </w:tcPr>
          <w:p w14:paraId="1BABD79B" w14:textId="77777777" w:rsidR="006D2070" w:rsidRPr="006D2070" w:rsidRDefault="006D2070" w:rsidP="006D2070">
            <w:pPr>
              <w:spacing w:after="160" w:line="259" w:lineRule="auto"/>
              <w:jc w:val="center"/>
              <w:rPr>
                <w:rFonts w:ascii="Abadi" w:hAnsi="Abadi"/>
                <w:sz w:val="21"/>
                <w:szCs w:val="21"/>
                <w:lang w:val="es-MX" w:eastAsia="en-US"/>
              </w:rPr>
            </w:pPr>
          </w:p>
        </w:tc>
        <w:tc>
          <w:tcPr>
            <w:tcW w:w="1431" w:type="dxa"/>
            <w:shd w:val="clear" w:color="auto" w:fill="auto"/>
            <w:vAlign w:val="center"/>
          </w:tcPr>
          <w:p w14:paraId="2A7B20EA" w14:textId="77777777" w:rsidR="006D2070" w:rsidRPr="006D2070" w:rsidRDefault="006D2070" w:rsidP="006D2070">
            <w:pPr>
              <w:spacing w:after="160" w:line="259" w:lineRule="auto"/>
              <w:jc w:val="center"/>
              <w:rPr>
                <w:rFonts w:ascii="Abadi" w:hAnsi="Abadi"/>
                <w:sz w:val="21"/>
                <w:szCs w:val="21"/>
                <w:lang w:val="es-MX" w:eastAsia="en-US"/>
              </w:rPr>
            </w:pPr>
          </w:p>
        </w:tc>
      </w:tr>
      <w:tr w:rsidR="006D2070" w:rsidRPr="006D2070" w14:paraId="5580E59C" w14:textId="77777777" w:rsidTr="004E6068">
        <w:trPr>
          <w:jc w:val="center"/>
        </w:trPr>
        <w:tc>
          <w:tcPr>
            <w:tcW w:w="1271" w:type="dxa"/>
            <w:shd w:val="clear" w:color="auto" w:fill="auto"/>
          </w:tcPr>
          <w:p w14:paraId="3573087C" w14:textId="77777777" w:rsidR="006D2070" w:rsidRPr="006D2070" w:rsidRDefault="006D2070" w:rsidP="006D2070">
            <w:pPr>
              <w:spacing w:after="160" w:line="259" w:lineRule="auto"/>
              <w:jc w:val="center"/>
              <w:rPr>
                <w:rFonts w:ascii="Abadi" w:hAnsi="Abadi"/>
                <w:bCs/>
                <w:sz w:val="21"/>
                <w:szCs w:val="21"/>
                <w:lang w:val="es-MX" w:eastAsia="en-US"/>
              </w:rPr>
            </w:pPr>
          </w:p>
        </w:tc>
        <w:tc>
          <w:tcPr>
            <w:tcW w:w="3404" w:type="dxa"/>
            <w:shd w:val="clear" w:color="auto" w:fill="auto"/>
          </w:tcPr>
          <w:p w14:paraId="191950D2" w14:textId="77777777" w:rsidR="006D2070" w:rsidRPr="006D2070" w:rsidRDefault="006D2070" w:rsidP="006D2070">
            <w:pPr>
              <w:spacing w:after="160" w:line="259" w:lineRule="auto"/>
              <w:jc w:val="both"/>
              <w:rPr>
                <w:rFonts w:ascii="Abadi" w:hAnsi="Abadi"/>
                <w:bCs/>
                <w:sz w:val="21"/>
                <w:szCs w:val="21"/>
                <w:lang w:val="es-MX" w:eastAsia="en-US"/>
              </w:rPr>
            </w:pPr>
            <w:r w:rsidRPr="006D2070">
              <w:rPr>
                <w:rFonts w:ascii="Abadi" w:hAnsi="Abadi" w:cs="Calibri"/>
                <w:sz w:val="21"/>
                <w:szCs w:val="21"/>
                <w:lang w:val="es-MX" w:eastAsia="en-US"/>
              </w:rPr>
              <w:t>Sector central</w:t>
            </w:r>
          </w:p>
        </w:tc>
        <w:tc>
          <w:tcPr>
            <w:tcW w:w="1431" w:type="dxa"/>
            <w:shd w:val="clear" w:color="auto" w:fill="auto"/>
          </w:tcPr>
          <w:p w14:paraId="7B3E3E9C" w14:textId="77777777" w:rsidR="006D2070" w:rsidRPr="006D2070" w:rsidRDefault="006D2070" w:rsidP="006D2070">
            <w:pPr>
              <w:spacing w:after="160" w:line="259" w:lineRule="auto"/>
              <w:jc w:val="center"/>
              <w:rPr>
                <w:rFonts w:ascii="Abadi" w:hAnsi="Abadi"/>
                <w:sz w:val="21"/>
                <w:szCs w:val="21"/>
                <w:lang w:val="es-MX" w:eastAsia="en-US"/>
              </w:rPr>
            </w:pPr>
            <w:r w:rsidRPr="006D2070">
              <w:rPr>
                <w:rFonts w:ascii="Abadi" w:hAnsi="Abadi" w:cs="Calibri"/>
                <w:sz w:val="21"/>
                <w:szCs w:val="21"/>
                <w:lang w:eastAsia="en-US"/>
              </w:rPr>
              <w:t>36</w:t>
            </w:r>
          </w:p>
        </w:tc>
        <w:tc>
          <w:tcPr>
            <w:tcW w:w="1431" w:type="dxa"/>
            <w:shd w:val="clear" w:color="auto" w:fill="auto"/>
            <w:vAlign w:val="center"/>
          </w:tcPr>
          <w:p w14:paraId="1DF4DAF7" w14:textId="77777777" w:rsidR="006D2070" w:rsidRPr="006D2070" w:rsidRDefault="006D2070" w:rsidP="006D2070">
            <w:pPr>
              <w:spacing w:after="160" w:line="259" w:lineRule="auto"/>
              <w:jc w:val="center"/>
              <w:rPr>
                <w:rFonts w:ascii="Abadi" w:hAnsi="Abadi"/>
                <w:sz w:val="21"/>
                <w:szCs w:val="21"/>
                <w:lang w:val="es-MX" w:eastAsia="en-US"/>
              </w:rPr>
            </w:pPr>
            <w:r w:rsidRPr="006D2070">
              <w:rPr>
                <w:rFonts w:ascii="Abadi" w:hAnsi="Abadi" w:cs="Calibri"/>
                <w:sz w:val="21"/>
                <w:szCs w:val="21"/>
                <w:lang w:eastAsia="en-US"/>
              </w:rPr>
              <w:t>33</w:t>
            </w:r>
          </w:p>
        </w:tc>
      </w:tr>
      <w:tr w:rsidR="006D2070" w:rsidRPr="006D2070" w14:paraId="14D03B91" w14:textId="77777777" w:rsidTr="004E6068">
        <w:trPr>
          <w:jc w:val="center"/>
        </w:trPr>
        <w:tc>
          <w:tcPr>
            <w:tcW w:w="1271" w:type="dxa"/>
            <w:shd w:val="clear" w:color="auto" w:fill="auto"/>
          </w:tcPr>
          <w:p w14:paraId="4CF56E22" w14:textId="77777777" w:rsidR="006D2070" w:rsidRPr="006D2070" w:rsidRDefault="006D2070" w:rsidP="006D2070">
            <w:pPr>
              <w:spacing w:after="160" w:line="259" w:lineRule="auto"/>
              <w:jc w:val="center"/>
              <w:rPr>
                <w:rFonts w:ascii="Abadi" w:hAnsi="Abadi"/>
                <w:bCs/>
                <w:sz w:val="21"/>
                <w:szCs w:val="21"/>
                <w:lang w:val="es-MX" w:eastAsia="en-US"/>
              </w:rPr>
            </w:pPr>
          </w:p>
        </w:tc>
        <w:tc>
          <w:tcPr>
            <w:tcW w:w="3404" w:type="dxa"/>
            <w:shd w:val="clear" w:color="auto" w:fill="auto"/>
          </w:tcPr>
          <w:p w14:paraId="7E8EEDBB" w14:textId="77777777" w:rsidR="006D2070" w:rsidRPr="006D2070" w:rsidRDefault="006D2070" w:rsidP="006D2070">
            <w:pPr>
              <w:spacing w:after="160" w:line="259" w:lineRule="auto"/>
              <w:jc w:val="both"/>
              <w:rPr>
                <w:rFonts w:ascii="Abadi" w:hAnsi="Abadi"/>
                <w:sz w:val="21"/>
                <w:szCs w:val="21"/>
                <w:lang w:val="es-MX" w:eastAsia="en-US"/>
              </w:rPr>
            </w:pPr>
            <w:r w:rsidRPr="006D2070">
              <w:rPr>
                <w:rFonts w:ascii="Abadi" w:hAnsi="Abadi" w:cs="Calibri"/>
                <w:sz w:val="21"/>
                <w:szCs w:val="21"/>
                <w:lang w:val="es-MX" w:eastAsia="en-US"/>
              </w:rPr>
              <w:t>Revisión de cuenta pública y auditoría de infraestructura Pública</w:t>
            </w:r>
          </w:p>
        </w:tc>
        <w:tc>
          <w:tcPr>
            <w:tcW w:w="1431" w:type="dxa"/>
            <w:shd w:val="clear" w:color="auto" w:fill="auto"/>
          </w:tcPr>
          <w:p w14:paraId="4C4327E7" w14:textId="77777777" w:rsidR="006D2070" w:rsidRPr="006D2070" w:rsidRDefault="006D2070" w:rsidP="006D2070">
            <w:pPr>
              <w:spacing w:after="160" w:line="259" w:lineRule="auto"/>
              <w:jc w:val="center"/>
              <w:rPr>
                <w:rFonts w:ascii="Abadi" w:hAnsi="Abadi"/>
                <w:sz w:val="21"/>
                <w:szCs w:val="21"/>
                <w:lang w:val="es-MX" w:eastAsia="en-US"/>
              </w:rPr>
            </w:pPr>
          </w:p>
        </w:tc>
        <w:tc>
          <w:tcPr>
            <w:tcW w:w="1431" w:type="dxa"/>
            <w:shd w:val="clear" w:color="auto" w:fill="auto"/>
            <w:vAlign w:val="center"/>
          </w:tcPr>
          <w:p w14:paraId="475EA441" w14:textId="77777777" w:rsidR="006D2070" w:rsidRPr="006D2070" w:rsidRDefault="006D2070" w:rsidP="006D2070">
            <w:pPr>
              <w:spacing w:after="160" w:line="259" w:lineRule="auto"/>
              <w:jc w:val="center"/>
              <w:rPr>
                <w:rFonts w:ascii="Abadi" w:hAnsi="Abadi"/>
                <w:sz w:val="21"/>
                <w:szCs w:val="21"/>
                <w:lang w:val="es-MX" w:eastAsia="en-US"/>
              </w:rPr>
            </w:pPr>
          </w:p>
        </w:tc>
      </w:tr>
      <w:tr w:rsidR="006D2070" w:rsidRPr="006D2070" w14:paraId="2736C53D" w14:textId="77777777" w:rsidTr="004E6068">
        <w:trPr>
          <w:jc w:val="center"/>
        </w:trPr>
        <w:tc>
          <w:tcPr>
            <w:tcW w:w="1271" w:type="dxa"/>
            <w:shd w:val="clear" w:color="auto" w:fill="auto"/>
            <w:vAlign w:val="center"/>
          </w:tcPr>
          <w:p w14:paraId="1389D703" w14:textId="77777777" w:rsidR="006D2070" w:rsidRPr="006D2070" w:rsidRDefault="006D2070" w:rsidP="006D2070">
            <w:pPr>
              <w:spacing w:after="160" w:line="259" w:lineRule="auto"/>
              <w:jc w:val="center"/>
              <w:rPr>
                <w:rFonts w:ascii="Abadi" w:hAnsi="Abadi"/>
                <w:sz w:val="21"/>
                <w:szCs w:val="21"/>
                <w:lang w:val="es-MX" w:eastAsia="en-US"/>
              </w:rPr>
            </w:pPr>
            <w:r w:rsidRPr="006D2070">
              <w:rPr>
                <w:rFonts w:ascii="Abadi" w:hAnsi="Abadi"/>
                <w:sz w:val="21"/>
                <w:szCs w:val="21"/>
                <w:lang w:val="es-MX" w:eastAsia="en-US"/>
              </w:rPr>
              <w:t>2021</w:t>
            </w:r>
          </w:p>
        </w:tc>
        <w:tc>
          <w:tcPr>
            <w:tcW w:w="3404" w:type="dxa"/>
            <w:shd w:val="clear" w:color="auto" w:fill="auto"/>
            <w:vAlign w:val="center"/>
          </w:tcPr>
          <w:p w14:paraId="2A0A3D72" w14:textId="77777777" w:rsidR="006D2070" w:rsidRPr="006D2070" w:rsidRDefault="006D2070" w:rsidP="006D2070">
            <w:pPr>
              <w:spacing w:after="160" w:line="259" w:lineRule="auto"/>
              <w:jc w:val="both"/>
              <w:rPr>
                <w:rFonts w:ascii="Abadi" w:hAnsi="Abadi"/>
                <w:bCs/>
                <w:sz w:val="21"/>
                <w:szCs w:val="21"/>
                <w:lang w:val="es-MX" w:eastAsia="en-US"/>
              </w:rPr>
            </w:pPr>
            <w:r w:rsidRPr="006D2070">
              <w:rPr>
                <w:rFonts w:ascii="Abadi" w:hAnsi="Abadi" w:cs="Calibri"/>
                <w:sz w:val="21"/>
                <w:szCs w:val="21"/>
                <w:lang w:val="es-MX" w:eastAsia="en-US"/>
              </w:rPr>
              <w:t xml:space="preserve">En etapa de análisis de información financiera del periodo de enero a junio y julio a diciembre del ejercicio fiscal 2021. </w:t>
            </w:r>
          </w:p>
        </w:tc>
        <w:tc>
          <w:tcPr>
            <w:tcW w:w="1431" w:type="dxa"/>
            <w:shd w:val="clear" w:color="auto" w:fill="auto"/>
            <w:vAlign w:val="center"/>
          </w:tcPr>
          <w:p w14:paraId="65E41075" w14:textId="77777777" w:rsidR="006D2070" w:rsidRPr="006D2070" w:rsidRDefault="006D2070" w:rsidP="006D2070">
            <w:pPr>
              <w:spacing w:after="160" w:line="259" w:lineRule="auto"/>
              <w:jc w:val="center"/>
              <w:rPr>
                <w:rFonts w:ascii="Abadi" w:hAnsi="Abadi" w:cs="Calibri"/>
                <w:sz w:val="21"/>
                <w:szCs w:val="21"/>
                <w:lang w:eastAsia="en-US"/>
              </w:rPr>
            </w:pPr>
          </w:p>
          <w:p w14:paraId="795854BB" w14:textId="77777777" w:rsidR="006D2070" w:rsidRPr="006D2070" w:rsidRDefault="006D2070" w:rsidP="006D2070">
            <w:pPr>
              <w:spacing w:after="160" w:line="259" w:lineRule="auto"/>
              <w:jc w:val="center"/>
              <w:rPr>
                <w:rFonts w:ascii="Abadi" w:hAnsi="Abadi" w:cs="Calibri"/>
                <w:sz w:val="21"/>
                <w:szCs w:val="21"/>
                <w:lang w:eastAsia="en-US"/>
              </w:rPr>
            </w:pPr>
          </w:p>
          <w:p w14:paraId="4CB79048" w14:textId="77777777" w:rsidR="006D2070" w:rsidRPr="006D2070" w:rsidRDefault="006D2070" w:rsidP="006D2070">
            <w:pPr>
              <w:spacing w:after="160" w:line="259" w:lineRule="auto"/>
              <w:jc w:val="center"/>
              <w:rPr>
                <w:rFonts w:ascii="Abadi" w:hAnsi="Abadi" w:cs="Calibri"/>
                <w:sz w:val="21"/>
                <w:szCs w:val="21"/>
                <w:lang w:eastAsia="en-US"/>
              </w:rPr>
            </w:pPr>
          </w:p>
          <w:p w14:paraId="3926E7DC" w14:textId="77777777" w:rsidR="006D2070" w:rsidRPr="006D2070" w:rsidRDefault="006D2070" w:rsidP="006D2070">
            <w:pPr>
              <w:spacing w:after="160" w:line="259" w:lineRule="auto"/>
              <w:jc w:val="center"/>
              <w:rPr>
                <w:rFonts w:ascii="Abadi" w:hAnsi="Abadi"/>
                <w:bCs/>
                <w:sz w:val="21"/>
                <w:szCs w:val="21"/>
                <w:lang w:val="es-MX" w:eastAsia="en-US"/>
              </w:rPr>
            </w:pPr>
            <w:r w:rsidRPr="006D2070">
              <w:rPr>
                <w:rFonts w:ascii="Abadi" w:hAnsi="Abadi" w:cs="Calibri"/>
                <w:sz w:val="21"/>
                <w:szCs w:val="21"/>
                <w:lang w:eastAsia="en-US"/>
              </w:rPr>
              <w:t>Proceso</w:t>
            </w:r>
          </w:p>
        </w:tc>
        <w:tc>
          <w:tcPr>
            <w:tcW w:w="1431" w:type="dxa"/>
            <w:shd w:val="clear" w:color="auto" w:fill="auto"/>
            <w:vAlign w:val="center"/>
          </w:tcPr>
          <w:p w14:paraId="2499A443" w14:textId="77777777" w:rsidR="006D2070" w:rsidRPr="006D2070" w:rsidRDefault="006D2070" w:rsidP="006D2070">
            <w:pPr>
              <w:spacing w:after="160" w:line="259" w:lineRule="auto"/>
              <w:jc w:val="center"/>
              <w:rPr>
                <w:rFonts w:ascii="Abadi" w:hAnsi="Abadi"/>
                <w:bCs/>
                <w:sz w:val="21"/>
                <w:szCs w:val="21"/>
                <w:lang w:val="es-MX" w:eastAsia="en-US"/>
              </w:rPr>
            </w:pPr>
          </w:p>
          <w:p w14:paraId="353F60CD" w14:textId="77777777" w:rsidR="006D2070" w:rsidRPr="006D2070" w:rsidRDefault="006D2070" w:rsidP="006D2070">
            <w:pPr>
              <w:spacing w:after="160" w:line="259" w:lineRule="auto"/>
              <w:jc w:val="center"/>
              <w:rPr>
                <w:rFonts w:ascii="Abadi" w:hAnsi="Abadi"/>
                <w:bCs/>
                <w:sz w:val="21"/>
                <w:szCs w:val="21"/>
                <w:lang w:val="es-MX" w:eastAsia="en-US"/>
              </w:rPr>
            </w:pPr>
          </w:p>
          <w:p w14:paraId="5B7176BB" w14:textId="77777777" w:rsidR="006D2070" w:rsidRPr="006D2070" w:rsidRDefault="006D2070" w:rsidP="006D2070">
            <w:pPr>
              <w:spacing w:after="160" w:line="259" w:lineRule="auto"/>
              <w:jc w:val="center"/>
              <w:rPr>
                <w:rFonts w:ascii="Abadi" w:hAnsi="Abadi"/>
                <w:bCs/>
                <w:sz w:val="21"/>
                <w:szCs w:val="21"/>
                <w:lang w:val="es-MX" w:eastAsia="en-US"/>
              </w:rPr>
            </w:pPr>
          </w:p>
          <w:p w14:paraId="2AE4D11B" w14:textId="77777777" w:rsidR="006D2070" w:rsidRPr="006D2070" w:rsidRDefault="006D2070" w:rsidP="006D2070">
            <w:pPr>
              <w:spacing w:after="160" w:line="259" w:lineRule="auto"/>
              <w:jc w:val="center"/>
              <w:rPr>
                <w:rFonts w:ascii="Abadi" w:hAnsi="Abadi"/>
                <w:bCs/>
                <w:sz w:val="21"/>
                <w:szCs w:val="21"/>
                <w:lang w:val="es-MX" w:eastAsia="en-US"/>
              </w:rPr>
            </w:pPr>
            <w:r w:rsidRPr="006D2070">
              <w:rPr>
                <w:rFonts w:ascii="Abadi" w:hAnsi="Abadi"/>
                <w:bCs/>
                <w:sz w:val="21"/>
                <w:szCs w:val="21"/>
                <w:lang w:val="es-MX" w:eastAsia="en-US"/>
              </w:rPr>
              <w:t>Proceso</w:t>
            </w:r>
          </w:p>
        </w:tc>
      </w:tr>
    </w:tbl>
    <w:p w14:paraId="7B39731F" w14:textId="77777777" w:rsidR="006D2070" w:rsidRPr="006D2070" w:rsidRDefault="006D2070" w:rsidP="006D2070">
      <w:pPr>
        <w:spacing w:after="160" w:line="259" w:lineRule="auto"/>
        <w:rPr>
          <w:rFonts w:ascii="Abadi" w:hAnsi="Abadi"/>
          <w:b/>
          <w:bCs/>
          <w:sz w:val="21"/>
          <w:szCs w:val="21"/>
          <w:lang w:val="es-MX" w:eastAsia="en-US"/>
        </w:rPr>
      </w:pPr>
    </w:p>
    <w:p w14:paraId="660274C7" w14:textId="77777777" w:rsidR="006D2070" w:rsidRPr="006D2070" w:rsidRDefault="006D2070" w:rsidP="006D2070">
      <w:pPr>
        <w:spacing w:after="160" w:line="259" w:lineRule="auto"/>
        <w:rPr>
          <w:rFonts w:ascii="Abadi" w:hAnsi="Abadi"/>
          <w:b/>
          <w:bCs/>
          <w:sz w:val="21"/>
          <w:szCs w:val="21"/>
          <w:lang w:val="es-MX" w:eastAsia="en-US"/>
        </w:rPr>
      </w:pPr>
      <w:r w:rsidRPr="006D2070">
        <w:rPr>
          <w:rFonts w:ascii="Abadi" w:hAnsi="Abadi"/>
          <w:b/>
          <w:bCs/>
          <w:sz w:val="21"/>
          <w:szCs w:val="21"/>
          <w:lang w:val="es-MX" w:eastAsia="en-US"/>
        </w:rPr>
        <w:t>Notas:</w:t>
      </w:r>
    </w:p>
    <w:p w14:paraId="0746F4B3" w14:textId="77777777" w:rsidR="006D2070" w:rsidRPr="006D2070" w:rsidRDefault="006D2070" w:rsidP="001A28E5">
      <w:pPr>
        <w:numPr>
          <w:ilvl w:val="0"/>
          <w:numId w:val="55"/>
        </w:numPr>
        <w:spacing w:after="160" w:line="259" w:lineRule="auto"/>
        <w:contextualSpacing/>
        <w:rPr>
          <w:rFonts w:ascii="Abadi" w:hAnsi="Abadi"/>
          <w:sz w:val="21"/>
          <w:szCs w:val="21"/>
          <w:lang w:val="es-MX" w:eastAsia="en-US"/>
        </w:rPr>
      </w:pPr>
      <w:r w:rsidRPr="006D2070">
        <w:rPr>
          <w:rFonts w:ascii="Abadi" w:hAnsi="Abadi"/>
          <w:sz w:val="21"/>
          <w:szCs w:val="21"/>
          <w:lang w:val="es-MX" w:eastAsia="en-US"/>
        </w:rPr>
        <w:t>De los recursos del Fondo de Infraestructura Social Municipal.</w:t>
      </w:r>
    </w:p>
    <w:p w14:paraId="48263AEA" w14:textId="77777777" w:rsidR="006D2070" w:rsidRPr="006D2070" w:rsidRDefault="006D2070" w:rsidP="001A28E5">
      <w:pPr>
        <w:numPr>
          <w:ilvl w:val="0"/>
          <w:numId w:val="55"/>
        </w:numPr>
        <w:spacing w:after="160" w:line="259" w:lineRule="auto"/>
        <w:contextualSpacing/>
        <w:rPr>
          <w:rFonts w:ascii="Abadi" w:hAnsi="Abadi"/>
          <w:sz w:val="21"/>
          <w:szCs w:val="21"/>
          <w:lang w:val="es-MX" w:eastAsia="en-US"/>
        </w:rPr>
      </w:pPr>
      <w:r w:rsidRPr="006D2070">
        <w:rPr>
          <w:rFonts w:ascii="Abadi" w:hAnsi="Abadi"/>
          <w:sz w:val="21"/>
          <w:szCs w:val="21"/>
          <w:lang w:val="es-MX" w:eastAsia="en-US"/>
        </w:rPr>
        <w:t>De los recursos devengados en obra pública.</w:t>
      </w:r>
    </w:p>
    <w:p w14:paraId="7DAEEC36" w14:textId="77777777" w:rsidR="006D2070" w:rsidRPr="006D2070" w:rsidRDefault="006D2070" w:rsidP="006D2070">
      <w:pPr>
        <w:spacing w:after="160" w:line="259" w:lineRule="auto"/>
        <w:contextualSpacing/>
        <w:rPr>
          <w:rFonts w:ascii="Abadi" w:hAnsi="Abadi"/>
          <w:sz w:val="21"/>
          <w:szCs w:val="21"/>
          <w:lang w:val="es-MX" w:eastAsia="en-US"/>
        </w:rPr>
      </w:pPr>
    </w:p>
    <w:p w14:paraId="3AA8BF37" w14:textId="77777777" w:rsidR="006D2070" w:rsidRPr="006D2070" w:rsidRDefault="006D2070" w:rsidP="006D2070">
      <w:pPr>
        <w:spacing w:line="259" w:lineRule="auto"/>
        <w:ind w:firstLine="720"/>
        <w:jc w:val="both"/>
        <w:rPr>
          <w:rFonts w:ascii="Abadi" w:hAnsi="Abadi" w:cs="Tahoma"/>
          <w:sz w:val="21"/>
          <w:szCs w:val="21"/>
          <w:lang w:val="es-MX" w:eastAsia="en-US"/>
        </w:rPr>
      </w:pPr>
      <w:r w:rsidRPr="006D2070">
        <w:rPr>
          <w:rFonts w:ascii="Abadi" w:hAnsi="Abadi" w:cs="Tahoma"/>
          <w:sz w:val="21"/>
          <w:szCs w:val="21"/>
          <w:lang w:val="es-MX" w:eastAsia="en-US"/>
        </w:rPr>
        <w:t xml:space="preserve">De acuerdo a la información proporcionada por la Auditoría Superior del Estado para la realización de los procesos de fiscalización se determinan con base en los riesgos identificados durante la etapa de planeación. Los análisis realizados en la planeación están vinculados con la generalidad del sujeto de fiscalización, con los sistemas transaccionales, de control interno, de materialidad presupuestal, de visibilidad y relevancia, así como de posibles riesgos asociados, entre los que destacan: Actas de órgano de gobierno y adquisiciones, notas periodísticas, publicaciones en el Periódico Oficial de Gobierno del Estado, análisis de demandas, informes de auditoría emitidos por órganos internos de control, auditorías externas y </w:t>
      </w:r>
      <w:r w:rsidRPr="006D2070">
        <w:rPr>
          <w:rFonts w:ascii="Abadi" w:hAnsi="Abadi" w:cs="Tahoma"/>
          <w:sz w:val="21"/>
          <w:szCs w:val="21"/>
          <w:lang w:val="es-MX" w:eastAsia="en-US"/>
        </w:rPr>
        <w:lastRenderedPageBreak/>
        <w:t>realizadas por la propia Auditoría Superior del Estado, sistemas transaccionales (tesorería, ingresos, bienes muebles e inmuebles, servicios personales, ayudas y subsidios, deuda, entre otros); variaciones presupuestales, saldos de cuenta de balance y resultados, bancos, proveedores y contratistas, enajenación y adquisición de bienes muebles e inmuebles y procesamiento de CFDI (XML).</w:t>
      </w:r>
    </w:p>
    <w:p w14:paraId="76BC7486" w14:textId="77777777" w:rsidR="006D2070" w:rsidRPr="006D2070" w:rsidRDefault="006D2070" w:rsidP="006D2070">
      <w:pPr>
        <w:spacing w:line="259" w:lineRule="auto"/>
        <w:ind w:firstLine="720"/>
        <w:jc w:val="both"/>
        <w:rPr>
          <w:rFonts w:ascii="Abadi" w:hAnsi="Abadi" w:cs="Tahoma"/>
          <w:sz w:val="21"/>
          <w:szCs w:val="21"/>
          <w:lang w:val="es-MX" w:eastAsia="en-US"/>
        </w:rPr>
      </w:pPr>
    </w:p>
    <w:p w14:paraId="36CF26D3" w14:textId="77777777" w:rsidR="006D2070" w:rsidRPr="006D2070" w:rsidRDefault="006D2070" w:rsidP="006D2070">
      <w:pPr>
        <w:spacing w:line="259" w:lineRule="auto"/>
        <w:ind w:firstLine="720"/>
        <w:jc w:val="both"/>
        <w:rPr>
          <w:rFonts w:ascii="Abadi" w:hAnsi="Abadi" w:cs="Tahoma"/>
          <w:sz w:val="21"/>
          <w:szCs w:val="21"/>
          <w:lang w:val="es-MX" w:eastAsia="en-US"/>
        </w:rPr>
      </w:pPr>
      <w:r w:rsidRPr="006D2070">
        <w:rPr>
          <w:rFonts w:ascii="Abadi" w:hAnsi="Abadi" w:cs="Tahoma"/>
          <w:sz w:val="21"/>
          <w:szCs w:val="21"/>
          <w:lang w:val="es-MX" w:eastAsia="en-US"/>
        </w:rPr>
        <w:t xml:space="preserve">El alcance y procedimientos referidos forman parte de los análisis que realiza la Auditoría Superior del Estado para efecto de determinar la materialidad y la extensión de los procedimientos de auditoría a aplicar en la etapa de ejecución, situación por la cual, los alcances establecidos en los respectivos informes de resultados se complementan con los procedimientos de planeación específica, mismos que forman parte integral del análisis que realiza dicho ente auditor.  </w:t>
      </w:r>
    </w:p>
    <w:p w14:paraId="08A53AEF" w14:textId="77777777" w:rsidR="006D2070" w:rsidRPr="006D2070" w:rsidRDefault="006D2070" w:rsidP="00737A40">
      <w:pPr>
        <w:jc w:val="both"/>
        <w:rPr>
          <w:rFonts w:ascii="Abadi" w:hAnsi="Abadi" w:cs="Tahoma"/>
          <w:sz w:val="21"/>
          <w:szCs w:val="21"/>
          <w:lang w:val="es-MX" w:eastAsia="en-US"/>
        </w:rPr>
      </w:pPr>
    </w:p>
    <w:p w14:paraId="45D28DAF" w14:textId="77777777" w:rsidR="006D2070" w:rsidRPr="006D2070" w:rsidRDefault="006D2070" w:rsidP="006D2070">
      <w:pPr>
        <w:ind w:firstLine="720"/>
        <w:jc w:val="both"/>
        <w:rPr>
          <w:rFonts w:ascii="Abadi" w:hAnsi="Abadi" w:cs="Tahoma"/>
          <w:sz w:val="21"/>
          <w:szCs w:val="21"/>
          <w:lang w:val="es-MX" w:eastAsia="en-US"/>
        </w:rPr>
      </w:pPr>
      <w:r w:rsidRPr="006D2070">
        <w:rPr>
          <w:rFonts w:ascii="Abadi" w:hAnsi="Abadi" w:cs="Tahoma"/>
          <w:sz w:val="21"/>
          <w:szCs w:val="21"/>
          <w:lang w:val="es-MX" w:eastAsia="en-US"/>
        </w:rPr>
        <w:t>En cuanto a las auditorías practicadas al Ramo General 33 y obra pública y a la infraestructura pública municipal de los ejercicios fiscales 2019 y 2020 se revisaron 12 obras del ejercicio fiscal 2019; y 13 obras del ejercicio fiscal 2020; verificándose que las inversiones en obra pública se hayan realizado de conformidad con las leyes, normas, reglamentos y demás disposiciones legales que la regulan; que los presupuestos considerados para la ejecución de las obras se hayan aplicado correctamente, y que las modificaciones ocurridas se justifiquen mediante los convenios correspondientes; que la adjudicación y contratación de la obra pública se hayan realizado con estricto apego a lo dispuesto en la legislación vigente y que no existiera conflicto de interés entre los contratistas y los funcionarios públicos que decidieron las adjudicaciones; que los sistemas de control interno, operativo y contable que regulan la función, aseguren la protección de los recursos y su efectiva utilización, la calidad de los trabajos, la razonabilidad de los costos y la confiabilidad de la información en la ejecución de la obra pública; y que los contratistas hayan cumplido con las cláusulas contractuales, las especificaciones de obra, los procedimientos de construcción y la calendarización de los trabajos.</w:t>
      </w:r>
    </w:p>
    <w:p w14:paraId="39924885" w14:textId="77777777" w:rsidR="006D2070" w:rsidRPr="006D2070" w:rsidRDefault="006D2070" w:rsidP="006D2070">
      <w:pPr>
        <w:spacing w:line="259" w:lineRule="auto"/>
        <w:jc w:val="both"/>
        <w:rPr>
          <w:rFonts w:ascii="Abadi" w:hAnsi="Abadi"/>
          <w:sz w:val="21"/>
          <w:szCs w:val="21"/>
          <w:lang w:val="es-MX" w:eastAsia="en-US"/>
        </w:rPr>
      </w:pPr>
    </w:p>
    <w:p w14:paraId="3BF4D6E8" w14:textId="77777777" w:rsidR="006D2070" w:rsidRPr="006D2070" w:rsidRDefault="006D2070" w:rsidP="006D2070">
      <w:pPr>
        <w:ind w:firstLine="720"/>
        <w:jc w:val="both"/>
        <w:rPr>
          <w:rFonts w:ascii="Abadi" w:hAnsi="Abadi" w:cs="Tahoma"/>
          <w:sz w:val="21"/>
          <w:szCs w:val="21"/>
          <w:lang w:val="es-MX" w:eastAsia="en-US"/>
        </w:rPr>
      </w:pPr>
      <w:r w:rsidRPr="006D2070">
        <w:rPr>
          <w:rFonts w:ascii="Abadi" w:hAnsi="Abadi" w:cs="Tahoma"/>
          <w:sz w:val="21"/>
          <w:szCs w:val="21"/>
          <w:lang w:val="es-MX" w:eastAsia="en-US"/>
        </w:rPr>
        <w:t xml:space="preserve">Destacando que en las referidas auditorías se contempló la revisión de una muestra de las obras y acciones ejercidas por la </w:t>
      </w:r>
      <w:r w:rsidRPr="006D2070">
        <w:rPr>
          <w:rFonts w:ascii="Abadi" w:hAnsi="Abadi" w:cs="Tahoma"/>
          <w:sz w:val="21"/>
          <w:szCs w:val="21"/>
          <w:lang w:val="es-MX" w:eastAsia="en-US"/>
        </w:rPr>
        <w:t>administración municipal en los periodos auditados, las cuales se determinaron con base en una planeación basada en riesgos, entre cuyos análisis se contemplan los temas de interés de la sociedad reflejados en notas periodísticas y el interés parlamentario, entre otros. De igual forma, a las obras de la muestra de auditoría se les aplicaron los procedimientos señalados previamente y derivado de las consideraciones de la proponente no se identificaron riesgos específicos relacionados a obra pública.</w:t>
      </w:r>
    </w:p>
    <w:p w14:paraId="3AE54BC9" w14:textId="77777777" w:rsidR="006D2070" w:rsidRPr="006D2070" w:rsidRDefault="006D2070" w:rsidP="006D2070">
      <w:pPr>
        <w:spacing w:line="259" w:lineRule="auto"/>
        <w:ind w:firstLine="720"/>
        <w:jc w:val="both"/>
        <w:rPr>
          <w:rFonts w:ascii="Abadi" w:hAnsi="Abadi" w:cs="Tahoma"/>
          <w:sz w:val="21"/>
          <w:szCs w:val="21"/>
          <w:lang w:val="es-MX" w:eastAsia="en-US"/>
        </w:rPr>
      </w:pPr>
    </w:p>
    <w:p w14:paraId="09993F21" w14:textId="77777777" w:rsidR="006D2070" w:rsidRPr="006D2070" w:rsidRDefault="006D2070" w:rsidP="006D2070">
      <w:pPr>
        <w:spacing w:after="160" w:line="259" w:lineRule="auto"/>
        <w:ind w:firstLine="720"/>
        <w:jc w:val="both"/>
        <w:rPr>
          <w:rFonts w:ascii="Abadi" w:hAnsi="Abadi" w:cs="Tahoma"/>
          <w:sz w:val="21"/>
          <w:szCs w:val="21"/>
          <w:lang w:val="es-MX" w:eastAsia="en-US"/>
        </w:rPr>
      </w:pPr>
      <w:r w:rsidRPr="006D2070">
        <w:rPr>
          <w:rFonts w:ascii="Abadi" w:hAnsi="Abadi" w:cs="Tahoma"/>
          <w:sz w:val="21"/>
          <w:szCs w:val="21"/>
          <w:lang w:val="es-MX" w:eastAsia="en-US"/>
        </w:rPr>
        <w:t>Por lo que hace a la revisión de la cuenta pública correspondiente al ejercicio fiscal del año 2019 se revisaron los siguientes rubros:</w:t>
      </w:r>
    </w:p>
    <w:p w14:paraId="5717980C" w14:textId="77777777" w:rsidR="006D2070" w:rsidRPr="006D2070" w:rsidRDefault="006D2070" w:rsidP="006D2070">
      <w:pPr>
        <w:spacing w:after="160" w:line="259" w:lineRule="auto"/>
        <w:ind w:left="360" w:firstLine="708"/>
        <w:rPr>
          <w:rFonts w:ascii="Abadi" w:hAnsi="Abadi"/>
          <w:b/>
          <w:bCs/>
          <w:sz w:val="21"/>
          <w:szCs w:val="21"/>
          <w:lang w:val="es-MX" w:eastAsia="en-US"/>
        </w:rPr>
      </w:pPr>
      <w:r w:rsidRPr="006D2070">
        <w:rPr>
          <w:rFonts w:ascii="Abadi" w:hAnsi="Abadi"/>
          <w:b/>
          <w:bCs/>
          <w:sz w:val="21"/>
          <w:szCs w:val="21"/>
          <w:lang w:val="es-MX" w:eastAsia="en-US"/>
        </w:rPr>
        <w:t>Sector Central:</w:t>
      </w:r>
    </w:p>
    <w:p w14:paraId="3F30F401" w14:textId="77777777" w:rsidR="006D2070" w:rsidRPr="006D2070" w:rsidRDefault="006D2070" w:rsidP="001A28E5">
      <w:pPr>
        <w:numPr>
          <w:ilvl w:val="0"/>
          <w:numId w:val="42"/>
        </w:numPr>
        <w:spacing w:after="160" w:line="259" w:lineRule="auto"/>
        <w:ind w:left="1080"/>
        <w:contextualSpacing/>
        <w:jc w:val="both"/>
        <w:rPr>
          <w:rFonts w:ascii="Abadi" w:hAnsi="Abadi"/>
          <w:sz w:val="21"/>
          <w:szCs w:val="21"/>
          <w:lang w:val="es-MX" w:eastAsia="en-US"/>
        </w:rPr>
      </w:pPr>
      <w:r w:rsidRPr="006D2070">
        <w:rPr>
          <w:rFonts w:ascii="Abadi" w:hAnsi="Abadi"/>
          <w:b/>
          <w:bCs/>
          <w:sz w:val="21"/>
          <w:szCs w:val="21"/>
          <w:u w:val="single"/>
          <w:lang w:val="es-MX" w:eastAsia="en-US"/>
        </w:rPr>
        <w:t>Activo:</w:t>
      </w:r>
      <w:r w:rsidRPr="006D2070">
        <w:rPr>
          <w:rFonts w:ascii="Abadi" w:hAnsi="Abadi"/>
          <w:sz w:val="21"/>
          <w:szCs w:val="21"/>
          <w:lang w:val="es-MX" w:eastAsia="en-US"/>
        </w:rPr>
        <w:t xml:space="preserve"> Cuentas bancarias relacionadas con servicios personales, adquisiciones de maquinaria y equipo de construcción (motoniveladora, excavadora hidráulica, retroexcavadoras, compactador de rodillos, etc.). De la adquisición de los bienes señalados se verificó el proceso de adjudicación, análisis de contratos y verificaciones físicas de bienes. </w:t>
      </w:r>
    </w:p>
    <w:p w14:paraId="540D9691" w14:textId="77777777" w:rsidR="006D2070" w:rsidRPr="006D2070" w:rsidRDefault="006D2070" w:rsidP="006D2070">
      <w:pPr>
        <w:spacing w:after="160" w:line="259" w:lineRule="auto"/>
        <w:ind w:left="1080"/>
        <w:contextualSpacing/>
        <w:jc w:val="both"/>
        <w:rPr>
          <w:rFonts w:ascii="Abadi" w:hAnsi="Abadi"/>
          <w:sz w:val="21"/>
          <w:szCs w:val="21"/>
          <w:lang w:val="es-MX" w:eastAsia="en-US"/>
        </w:rPr>
      </w:pPr>
    </w:p>
    <w:p w14:paraId="2856081A" w14:textId="77777777" w:rsidR="006D2070" w:rsidRPr="006D2070" w:rsidRDefault="006D2070" w:rsidP="001A28E5">
      <w:pPr>
        <w:numPr>
          <w:ilvl w:val="0"/>
          <w:numId w:val="42"/>
        </w:numPr>
        <w:spacing w:after="160" w:line="259" w:lineRule="auto"/>
        <w:ind w:left="1080"/>
        <w:contextualSpacing/>
        <w:jc w:val="both"/>
        <w:rPr>
          <w:rFonts w:ascii="Abadi" w:hAnsi="Abadi"/>
          <w:sz w:val="21"/>
          <w:szCs w:val="21"/>
          <w:lang w:val="es-MX" w:eastAsia="en-US"/>
        </w:rPr>
      </w:pPr>
      <w:r w:rsidRPr="006D2070">
        <w:rPr>
          <w:rFonts w:ascii="Abadi" w:hAnsi="Abadi"/>
          <w:b/>
          <w:bCs/>
          <w:sz w:val="21"/>
          <w:szCs w:val="21"/>
          <w:u w:val="single"/>
          <w:lang w:val="es-MX" w:eastAsia="en-US"/>
        </w:rPr>
        <w:t>Pasivo</w:t>
      </w:r>
      <w:r w:rsidRPr="006D2070">
        <w:rPr>
          <w:rFonts w:ascii="Abadi" w:hAnsi="Abadi"/>
          <w:b/>
          <w:bCs/>
          <w:sz w:val="21"/>
          <w:szCs w:val="21"/>
          <w:lang w:val="es-MX" w:eastAsia="en-US"/>
        </w:rPr>
        <w:t>:</w:t>
      </w:r>
      <w:r w:rsidRPr="006D2070">
        <w:rPr>
          <w:rFonts w:ascii="Abadi" w:hAnsi="Abadi"/>
          <w:sz w:val="21"/>
          <w:szCs w:val="21"/>
          <w:lang w:val="es-MX" w:eastAsia="en-US"/>
        </w:rPr>
        <w:t xml:space="preserve"> Adquisiciones de bienes realizadas en el ejercicio 2018 y cuyo pago se realizó en el ejercicio 2019 (compra de motocicletas), así como amortizaciones de deuda pública.</w:t>
      </w:r>
    </w:p>
    <w:p w14:paraId="0781959B" w14:textId="77777777" w:rsidR="006D2070" w:rsidRPr="006D2070" w:rsidRDefault="006D2070" w:rsidP="001A28E5">
      <w:pPr>
        <w:numPr>
          <w:ilvl w:val="0"/>
          <w:numId w:val="42"/>
        </w:numPr>
        <w:spacing w:after="160" w:line="259" w:lineRule="auto"/>
        <w:ind w:left="1080"/>
        <w:contextualSpacing/>
        <w:jc w:val="both"/>
        <w:rPr>
          <w:rFonts w:ascii="Abadi" w:hAnsi="Abadi" w:cs="Calibri"/>
          <w:sz w:val="21"/>
          <w:szCs w:val="21"/>
          <w:lang w:val="es-MX" w:eastAsia="es-MX"/>
        </w:rPr>
      </w:pPr>
      <w:r w:rsidRPr="006D2070">
        <w:rPr>
          <w:rFonts w:ascii="Abadi" w:hAnsi="Abadi"/>
          <w:b/>
          <w:sz w:val="21"/>
          <w:szCs w:val="21"/>
          <w:u w:val="single"/>
          <w:lang w:val="es-MX" w:eastAsia="en-US"/>
        </w:rPr>
        <w:t>Ingresos:</w:t>
      </w:r>
      <w:r w:rsidRPr="006D2070">
        <w:rPr>
          <w:rFonts w:ascii="Abadi" w:hAnsi="Abadi"/>
          <w:bCs/>
          <w:sz w:val="21"/>
          <w:szCs w:val="21"/>
          <w:lang w:val="es-MX" w:eastAsia="en-US"/>
        </w:rPr>
        <w:t xml:space="preserve"> Seguimiento a créditos fiscales determinados por el Municipio para el cobro de rezago del impuesto predial urbano y rústico; </w:t>
      </w:r>
      <w:r w:rsidRPr="006D2070">
        <w:rPr>
          <w:rFonts w:ascii="Abadi" w:hAnsi="Abadi" w:cs="Calibri"/>
          <w:sz w:val="21"/>
          <w:szCs w:val="21"/>
          <w:lang w:val="es-MX" w:eastAsia="en-US"/>
        </w:rPr>
        <w:t xml:space="preserve">incluyéndose en el pliego de observaciones y recomendaciones del ejercicio 2019 la recomendación correspondiente, así como </w:t>
      </w:r>
      <w:r w:rsidRPr="006D2070">
        <w:rPr>
          <w:rFonts w:ascii="Abadi" w:hAnsi="Abadi"/>
          <w:bCs/>
          <w:sz w:val="21"/>
          <w:szCs w:val="21"/>
          <w:lang w:val="es-MX" w:eastAsia="en-US"/>
        </w:rPr>
        <w:t xml:space="preserve">participaciones y aportaciones. </w:t>
      </w:r>
    </w:p>
    <w:p w14:paraId="11550BB7" w14:textId="77777777" w:rsidR="006D2070" w:rsidRPr="006D2070" w:rsidRDefault="006D2070" w:rsidP="006D2070">
      <w:pPr>
        <w:spacing w:after="160" w:line="259" w:lineRule="auto"/>
        <w:ind w:left="1080"/>
        <w:contextualSpacing/>
        <w:jc w:val="both"/>
        <w:rPr>
          <w:rFonts w:ascii="Abadi" w:hAnsi="Abadi" w:cs="Calibri"/>
          <w:sz w:val="21"/>
          <w:szCs w:val="21"/>
          <w:lang w:val="es-MX" w:eastAsia="en-US"/>
        </w:rPr>
      </w:pPr>
    </w:p>
    <w:p w14:paraId="06AF2BFF" w14:textId="77777777" w:rsidR="006D2070" w:rsidRPr="006D2070" w:rsidRDefault="006D2070" w:rsidP="001A28E5">
      <w:pPr>
        <w:numPr>
          <w:ilvl w:val="0"/>
          <w:numId w:val="42"/>
        </w:numPr>
        <w:spacing w:after="160" w:line="259" w:lineRule="auto"/>
        <w:ind w:left="1080"/>
        <w:contextualSpacing/>
        <w:jc w:val="both"/>
        <w:rPr>
          <w:rFonts w:ascii="Abadi" w:hAnsi="Abadi"/>
          <w:bCs/>
          <w:sz w:val="21"/>
          <w:szCs w:val="21"/>
          <w:lang w:val="es-MX" w:eastAsia="en-US"/>
        </w:rPr>
      </w:pPr>
      <w:r w:rsidRPr="006D2070">
        <w:rPr>
          <w:rFonts w:ascii="Abadi" w:hAnsi="Abadi"/>
          <w:b/>
          <w:bCs/>
          <w:sz w:val="21"/>
          <w:szCs w:val="21"/>
          <w:u w:val="single"/>
          <w:lang w:val="es-MX" w:eastAsia="en-US"/>
        </w:rPr>
        <w:t>Egresos:</w:t>
      </w:r>
      <w:r w:rsidRPr="006D2070">
        <w:rPr>
          <w:rFonts w:ascii="Abadi" w:hAnsi="Abadi" w:cs="Calibri"/>
          <w:sz w:val="21"/>
          <w:szCs w:val="21"/>
          <w:lang w:val="es-MX" w:eastAsia="en-US"/>
        </w:rPr>
        <w:t xml:space="preserve"> Servicios personales como sueldos, prima vacacional, gratificación de fin de año, remuneraciones por horas extraordinarias, liquidaciones por indemnización y sueldos y salarios caídos, servicio de alumbrado público, arrendamiento de vehículos </w:t>
      </w:r>
      <w:r w:rsidRPr="006D2070">
        <w:rPr>
          <w:rFonts w:ascii="Abadi" w:hAnsi="Abadi" w:cs="Calibri"/>
          <w:sz w:val="21"/>
          <w:szCs w:val="21"/>
          <w:lang w:val="es-MX" w:eastAsia="en-US"/>
        </w:rPr>
        <w:lastRenderedPageBreak/>
        <w:t>de servicios administrativos, otros arrendamientos, servicios profesionales científicos y tecnológicos integrales, servicios de limpieza y manejo de desechos, otros gastos por responsabilidades, transferencias internas y asignaciones al sector público (servicios personales, materiales y suministros, servicios básicos, subsidios y otras ayudas y bienes inmuebles e intangibles).</w:t>
      </w:r>
    </w:p>
    <w:p w14:paraId="0937982D" w14:textId="77777777" w:rsidR="006D2070" w:rsidRPr="006D2070" w:rsidRDefault="006D2070" w:rsidP="006D2070">
      <w:pPr>
        <w:spacing w:after="160" w:line="259" w:lineRule="auto"/>
        <w:ind w:left="1080"/>
        <w:contextualSpacing/>
        <w:jc w:val="both"/>
        <w:rPr>
          <w:rFonts w:ascii="Abadi" w:hAnsi="Abadi"/>
          <w:bCs/>
          <w:sz w:val="21"/>
          <w:szCs w:val="21"/>
          <w:lang w:val="es-MX" w:eastAsia="en-US"/>
        </w:rPr>
      </w:pPr>
    </w:p>
    <w:p w14:paraId="34D5B537" w14:textId="77777777" w:rsidR="006D2070" w:rsidRPr="006D2070" w:rsidRDefault="006D2070" w:rsidP="006D2070">
      <w:pPr>
        <w:spacing w:after="160" w:line="259" w:lineRule="auto"/>
        <w:ind w:firstLine="708"/>
        <w:contextualSpacing/>
        <w:jc w:val="both"/>
        <w:rPr>
          <w:rFonts w:ascii="Abadi" w:hAnsi="Abadi" w:cs="Calibri"/>
          <w:sz w:val="21"/>
          <w:szCs w:val="21"/>
          <w:lang w:val="es-MX" w:eastAsia="en-US"/>
        </w:rPr>
      </w:pPr>
      <w:r w:rsidRPr="006D2070">
        <w:rPr>
          <w:rFonts w:ascii="Abadi" w:hAnsi="Abadi" w:cs="Calibri"/>
          <w:sz w:val="21"/>
          <w:szCs w:val="21"/>
          <w:lang w:val="es-MX" w:eastAsia="en-US"/>
        </w:rPr>
        <w:t>Asimismo, se dio seguimiento a los siguientes títulos de concesión en cuanto a pagos realizados y el cumplimiento de las obligaciones contractuales, aplicable al periodo 2019.</w:t>
      </w:r>
    </w:p>
    <w:p w14:paraId="0595C1AC" w14:textId="77777777" w:rsidR="006D2070" w:rsidRPr="006D2070" w:rsidRDefault="006D2070" w:rsidP="006D2070">
      <w:pPr>
        <w:spacing w:after="160" w:line="259" w:lineRule="auto"/>
        <w:ind w:left="1440"/>
        <w:contextualSpacing/>
        <w:jc w:val="both"/>
        <w:rPr>
          <w:rFonts w:ascii="Abadi" w:hAnsi="Abadi" w:cs="Calibri"/>
          <w:sz w:val="21"/>
          <w:szCs w:val="21"/>
          <w:lang w:val="es-MX" w:eastAsia="en-US"/>
        </w:rPr>
      </w:pPr>
    </w:p>
    <w:p w14:paraId="5D3389EC" w14:textId="77777777" w:rsidR="006D2070" w:rsidRPr="006D2070" w:rsidRDefault="006D2070" w:rsidP="001A28E5">
      <w:pPr>
        <w:numPr>
          <w:ilvl w:val="0"/>
          <w:numId w:val="53"/>
        </w:numPr>
        <w:spacing w:after="160" w:line="259" w:lineRule="auto"/>
        <w:contextualSpacing/>
        <w:jc w:val="both"/>
        <w:rPr>
          <w:rFonts w:ascii="Abadi" w:hAnsi="Abadi" w:cs="Calibri"/>
          <w:sz w:val="21"/>
          <w:szCs w:val="21"/>
          <w:lang w:val="es-MX" w:eastAsia="en-US"/>
        </w:rPr>
      </w:pPr>
      <w:r w:rsidRPr="006D2070">
        <w:rPr>
          <w:rFonts w:ascii="Abadi" w:hAnsi="Abadi" w:cs="Calibri"/>
          <w:sz w:val="21"/>
          <w:szCs w:val="21"/>
          <w:lang w:val="es-MX" w:eastAsia="en-US"/>
        </w:rPr>
        <w:t>Título concesión para la prestación de servicio público de limpieza mecánica y servicio de recolección y traslado al relleno sanitario ubicado en la comunidad de Palo Colorado, de los residuos sólidos urbanos del municipio de San Miguel de Allende.</w:t>
      </w:r>
    </w:p>
    <w:p w14:paraId="1D3F038B" w14:textId="77777777" w:rsidR="006D2070" w:rsidRPr="006D2070" w:rsidRDefault="006D2070" w:rsidP="006D2070">
      <w:pPr>
        <w:spacing w:after="160" w:line="259" w:lineRule="auto"/>
        <w:ind w:left="720"/>
        <w:contextualSpacing/>
        <w:jc w:val="both"/>
        <w:rPr>
          <w:rFonts w:ascii="Abadi" w:hAnsi="Abadi" w:cs="Calibri"/>
          <w:sz w:val="21"/>
          <w:szCs w:val="21"/>
          <w:lang w:val="es-MX" w:eastAsia="en-US"/>
        </w:rPr>
      </w:pPr>
    </w:p>
    <w:p w14:paraId="1577B90D" w14:textId="77777777" w:rsidR="006D2070" w:rsidRPr="006D2070" w:rsidRDefault="006D2070" w:rsidP="001A28E5">
      <w:pPr>
        <w:numPr>
          <w:ilvl w:val="0"/>
          <w:numId w:val="53"/>
        </w:numPr>
        <w:spacing w:after="160" w:line="259" w:lineRule="auto"/>
        <w:contextualSpacing/>
        <w:jc w:val="both"/>
        <w:rPr>
          <w:rFonts w:ascii="Abadi" w:hAnsi="Abadi" w:cs="Calibri"/>
          <w:sz w:val="21"/>
          <w:szCs w:val="21"/>
          <w:lang w:val="es-MX" w:eastAsia="en-US"/>
        </w:rPr>
      </w:pPr>
      <w:r w:rsidRPr="006D2070">
        <w:rPr>
          <w:rFonts w:ascii="Abadi" w:hAnsi="Abadi" w:cs="Calibri"/>
          <w:sz w:val="21"/>
          <w:szCs w:val="21"/>
          <w:lang w:val="es-MX" w:eastAsia="en-US"/>
        </w:rPr>
        <w:t>Títulos concesión para la prestación de servicio público de tratamiento y disposición final de los residuos sólidos urbanos del municipio de San Miguel de Allende.</w:t>
      </w:r>
    </w:p>
    <w:p w14:paraId="2D02DB20" w14:textId="77777777" w:rsidR="006D2070" w:rsidRPr="006D2070" w:rsidRDefault="006D2070" w:rsidP="006D2070">
      <w:pPr>
        <w:spacing w:after="160" w:line="259" w:lineRule="auto"/>
        <w:ind w:left="1440"/>
        <w:contextualSpacing/>
        <w:jc w:val="both"/>
        <w:rPr>
          <w:rFonts w:ascii="Abadi" w:hAnsi="Abadi" w:cs="Calibri"/>
          <w:sz w:val="21"/>
          <w:szCs w:val="21"/>
          <w:lang w:val="es-MX" w:eastAsia="en-US"/>
        </w:rPr>
      </w:pPr>
    </w:p>
    <w:p w14:paraId="619D2554" w14:textId="77777777" w:rsidR="006D2070" w:rsidRPr="006D2070" w:rsidRDefault="006D2070" w:rsidP="006D2070">
      <w:pPr>
        <w:spacing w:after="160" w:line="259" w:lineRule="auto"/>
        <w:ind w:firstLine="708"/>
        <w:contextualSpacing/>
        <w:jc w:val="both"/>
        <w:rPr>
          <w:rFonts w:ascii="Abadi" w:hAnsi="Abadi" w:cs="Calibri"/>
          <w:sz w:val="21"/>
          <w:szCs w:val="21"/>
          <w:lang w:val="es-MX" w:eastAsia="en-US"/>
        </w:rPr>
      </w:pPr>
      <w:r w:rsidRPr="006D2070">
        <w:rPr>
          <w:rFonts w:ascii="Abadi" w:hAnsi="Abadi" w:cs="Calibri"/>
          <w:sz w:val="21"/>
          <w:szCs w:val="21"/>
          <w:lang w:val="es-MX" w:eastAsia="en-US"/>
        </w:rPr>
        <w:t>También se revisaron los siguientes puntos:</w:t>
      </w:r>
    </w:p>
    <w:p w14:paraId="64ADE506" w14:textId="77777777" w:rsidR="006D2070" w:rsidRPr="006D2070" w:rsidRDefault="006D2070" w:rsidP="006D2070">
      <w:pPr>
        <w:spacing w:after="160" w:line="259" w:lineRule="auto"/>
        <w:ind w:firstLine="708"/>
        <w:contextualSpacing/>
        <w:jc w:val="both"/>
        <w:rPr>
          <w:rFonts w:ascii="Abadi" w:hAnsi="Abadi" w:cs="Calibri"/>
          <w:sz w:val="21"/>
          <w:szCs w:val="21"/>
          <w:lang w:val="es-MX" w:eastAsia="en-US"/>
        </w:rPr>
      </w:pPr>
    </w:p>
    <w:p w14:paraId="7E380B64" w14:textId="77777777" w:rsidR="006D2070" w:rsidRPr="006D2070" w:rsidRDefault="006D2070" w:rsidP="001A28E5">
      <w:pPr>
        <w:numPr>
          <w:ilvl w:val="0"/>
          <w:numId w:val="54"/>
        </w:numPr>
        <w:spacing w:after="160" w:line="259" w:lineRule="auto"/>
        <w:contextualSpacing/>
        <w:jc w:val="both"/>
        <w:rPr>
          <w:rFonts w:ascii="Abadi" w:hAnsi="Abadi" w:cs="Calibri"/>
          <w:sz w:val="21"/>
          <w:szCs w:val="21"/>
          <w:lang w:val="es-MX" w:eastAsia="en-US"/>
        </w:rPr>
      </w:pPr>
      <w:r w:rsidRPr="006D2070">
        <w:rPr>
          <w:rFonts w:ascii="Abadi" w:hAnsi="Abadi" w:cs="Calibri"/>
          <w:sz w:val="21"/>
          <w:szCs w:val="21"/>
          <w:lang w:val="es-MX" w:eastAsia="en-US"/>
        </w:rPr>
        <w:t>Contrato número ADQ-DSPyCV-001-03-2019 y su adendum, derivado de la Licitación Pública Nacional número LPN/DRM-009/2018 para la adquisición e instalación de 11,974 luminarias para la Dirección de Servicios Públicos del municipio de San Miguel de Allende, Gto., así como los pagos correspondientes.</w:t>
      </w:r>
    </w:p>
    <w:p w14:paraId="4719F0F7" w14:textId="77777777" w:rsidR="006D2070" w:rsidRPr="006D2070" w:rsidRDefault="006D2070" w:rsidP="006D2070">
      <w:pPr>
        <w:spacing w:after="160" w:line="259" w:lineRule="auto"/>
        <w:ind w:left="1068"/>
        <w:contextualSpacing/>
        <w:jc w:val="both"/>
        <w:rPr>
          <w:rFonts w:ascii="Abadi" w:hAnsi="Abadi" w:cs="Calibri"/>
          <w:sz w:val="21"/>
          <w:szCs w:val="21"/>
          <w:lang w:val="es-MX" w:eastAsia="en-US"/>
        </w:rPr>
      </w:pPr>
    </w:p>
    <w:p w14:paraId="493E1476" w14:textId="77777777" w:rsidR="006D2070" w:rsidRPr="006D2070" w:rsidRDefault="006D2070" w:rsidP="001A28E5">
      <w:pPr>
        <w:numPr>
          <w:ilvl w:val="0"/>
          <w:numId w:val="54"/>
        </w:numPr>
        <w:spacing w:after="160" w:line="259" w:lineRule="auto"/>
        <w:contextualSpacing/>
        <w:jc w:val="both"/>
        <w:rPr>
          <w:rFonts w:ascii="Abadi" w:hAnsi="Abadi" w:cs="Calibri"/>
          <w:sz w:val="21"/>
          <w:szCs w:val="21"/>
          <w:lang w:val="es-MX" w:eastAsia="en-US"/>
        </w:rPr>
      </w:pPr>
      <w:r w:rsidRPr="006D2070">
        <w:rPr>
          <w:rFonts w:ascii="Abadi" w:hAnsi="Abadi" w:cs="Calibri"/>
          <w:sz w:val="21"/>
          <w:szCs w:val="21"/>
          <w:lang w:val="es-MX" w:eastAsia="en-US"/>
        </w:rPr>
        <w:t xml:space="preserve">Contrato </w:t>
      </w:r>
      <w:r w:rsidRPr="006D2070">
        <w:rPr>
          <w:rFonts w:ascii="Abadi" w:hAnsi="Abadi" w:cs="Calibri"/>
          <w:i/>
          <w:iCs/>
          <w:sz w:val="21"/>
          <w:szCs w:val="21"/>
          <w:lang w:val="es-MX" w:eastAsia="en-US"/>
        </w:rPr>
        <w:t xml:space="preserve">DIOP-ADQ/011/082019 </w:t>
      </w:r>
      <w:r w:rsidRPr="006D2070">
        <w:rPr>
          <w:rFonts w:ascii="Abadi" w:hAnsi="Abadi" w:cs="Calibri"/>
          <w:sz w:val="21"/>
          <w:szCs w:val="21"/>
          <w:lang w:val="es-MX" w:eastAsia="en-US"/>
        </w:rPr>
        <w:t xml:space="preserve">derivado de la Licitación Pública Nacional Presencial número LPN/DRM-010/2019, «Adquisición de maquinaria pesada usada para la Dirección de Infraestructura y Obras </w:t>
      </w:r>
      <w:r w:rsidRPr="006D2070">
        <w:rPr>
          <w:rFonts w:ascii="Abadi" w:hAnsi="Abadi" w:cs="Calibri"/>
          <w:sz w:val="21"/>
          <w:szCs w:val="21"/>
          <w:lang w:val="es-MX" w:eastAsia="en-US"/>
        </w:rPr>
        <w:t>Públicas del municipio de San Miguel de Allende. Guanajuato», así como los pagos correspondientes.</w:t>
      </w:r>
    </w:p>
    <w:p w14:paraId="6DA3DFCF" w14:textId="77777777" w:rsidR="006D2070" w:rsidRPr="006D2070" w:rsidRDefault="006D2070" w:rsidP="001A28E5">
      <w:pPr>
        <w:numPr>
          <w:ilvl w:val="0"/>
          <w:numId w:val="54"/>
        </w:numPr>
        <w:spacing w:after="160" w:line="259" w:lineRule="auto"/>
        <w:contextualSpacing/>
        <w:jc w:val="both"/>
        <w:rPr>
          <w:rFonts w:ascii="Abadi" w:hAnsi="Abadi" w:cs="Calibri"/>
          <w:sz w:val="21"/>
          <w:szCs w:val="21"/>
          <w:lang w:val="es-MX" w:eastAsia="es-MX"/>
        </w:rPr>
      </w:pPr>
      <w:r w:rsidRPr="006D2070">
        <w:rPr>
          <w:rFonts w:ascii="Abadi" w:hAnsi="Abadi" w:cs="Calibri"/>
          <w:sz w:val="21"/>
          <w:szCs w:val="21"/>
          <w:lang w:val="es-MX" w:eastAsia="en-US"/>
        </w:rPr>
        <w:t xml:space="preserve">Procedimiento de adjudicación y el contrato </w:t>
      </w:r>
      <w:r w:rsidRPr="006D2070">
        <w:rPr>
          <w:rFonts w:ascii="Abadi" w:hAnsi="Abadi"/>
          <w:sz w:val="21"/>
          <w:szCs w:val="21"/>
          <w:lang w:val="es-MX" w:eastAsia="en-US"/>
        </w:rPr>
        <w:t xml:space="preserve">puro SSP-001-07-2019 entre el Municipio y las personas morales Bercale Services, S.A. de C.V. y </w:t>
      </w:r>
      <w:r w:rsidRPr="006D2070">
        <w:rPr>
          <w:rFonts w:ascii="Abadi" w:hAnsi="Abadi"/>
          <w:i/>
          <w:iCs/>
          <w:sz w:val="21"/>
          <w:szCs w:val="21"/>
          <w:lang w:val="es-MX" w:eastAsia="en-US"/>
        </w:rPr>
        <w:t>Lumo Financiera del Centro, S.A. de C.V. SOFOM. ENR.</w:t>
      </w:r>
      <w:r w:rsidRPr="006D2070">
        <w:rPr>
          <w:rFonts w:ascii="Abadi" w:hAnsi="Abadi"/>
          <w:sz w:val="21"/>
          <w:szCs w:val="21"/>
          <w:lang w:val="es-MX" w:eastAsia="en-US"/>
        </w:rPr>
        <w:t xml:space="preserve">, derivado de la Licitación LPN/DRM-006/2019 </w:t>
      </w:r>
      <w:r w:rsidRPr="006D2070">
        <w:rPr>
          <w:rFonts w:ascii="Abadi" w:hAnsi="Abadi" w:cs="Calibri"/>
          <w:sz w:val="21"/>
          <w:szCs w:val="21"/>
          <w:lang w:val="es-MX" w:eastAsia="en-US"/>
        </w:rPr>
        <w:t>«</w:t>
      </w:r>
      <w:r w:rsidRPr="006D2070">
        <w:rPr>
          <w:rFonts w:ascii="Abadi" w:hAnsi="Abadi"/>
          <w:sz w:val="21"/>
          <w:szCs w:val="21"/>
          <w:lang w:val="es-MX" w:eastAsia="en-US"/>
        </w:rPr>
        <w:t>Contratación de Servicio Integral de Arrendamiento puro, Suministro, Mantenimiento y Puesta en Operación de Equipos de Alta Tecnología en Materia de Movilidad y Seguridad Pública por 27 meses» para el municipio de San Miguel de Allende, Gto.</w:t>
      </w:r>
    </w:p>
    <w:p w14:paraId="42CE0C73" w14:textId="77777777" w:rsidR="006D2070" w:rsidRPr="006D2070" w:rsidRDefault="006D2070" w:rsidP="006D2070">
      <w:pPr>
        <w:spacing w:after="160" w:line="259" w:lineRule="auto"/>
        <w:ind w:left="1068"/>
        <w:contextualSpacing/>
        <w:jc w:val="both"/>
        <w:rPr>
          <w:rFonts w:ascii="Abadi" w:hAnsi="Abadi" w:cs="Calibri"/>
          <w:sz w:val="21"/>
          <w:szCs w:val="21"/>
          <w:lang w:val="es-MX" w:eastAsia="es-MX"/>
        </w:rPr>
      </w:pPr>
    </w:p>
    <w:p w14:paraId="75C0622E" w14:textId="77777777" w:rsidR="006D2070" w:rsidRPr="006D2070" w:rsidRDefault="006D2070" w:rsidP="001A28E5">
      <w:pPr>
        <w:numPr>
          <w:ilvl w:val="0"/>
          <w:numId w:val="54"/>
        </w:numPr>
        <w:spacing w:after="160" w:line="259" w:lineRule="auto"/>
        <w:contextualSpacing/>
        <w:jc w:val="both"/>
        <w:rPr>
          <w:rFonts w:ascii="Abadi" w:hAnsi="Abadi" w:cs="Calibri"/>
          <w:sz w:val="21"/>
          <w:szCs w:val="21"/>
          <w:lang w:val="es-MX" w:eastAsia="en-US"/>
        </w:rPr>
      </w:pPr>
      <w:r w:rsidRPr="006D2070">
        <w:rPr>
          <w:rFonts w:ascii="Abadi" w:hAnsi="Abadi"/>
          <w:sz w:val="21"/>
          <w:szCs w:val="21"/>
          <w:lang w:val="es-MX" w:eastAsia="en-US"/>
        </w:rPr>
        <w:t>Procedimiento de adjudicación y el contrato SSP-001-07-2019, derivado de la Licitación LPN-DRM-006-2019 «Contratación de Servicio de Arrendamiento Puro por 29 meses, de 65 vehículos para las diferentes direcciones de la Administración Pública Municipal».</w:t>
      </w:r>
    </w:p>
    <w:p w14:paraId="514045CA" w14:textId="77777777" w:rsidR="00737A40" w:rsidRDefault="00737A40" w:rsidP="006D2070">
      <w:pPr>
        <w:spacing w:after="160"/>
        <w:ind w:firstLine="709"/>
        <w:contextualSpacing/>
        <w:jc w:val="both"/>
        <w:rPr>
          <w:rFonts w:ascii="Abadi" w:eastAsia="Calibri" w:hAnsi="Abadi"/>
          <w:sz w:val="21"/>
          <w:szCs w:val="21"/>
          <w:lang w:eastAsia="en-US"/>
        </w:rPr>
      </w:pPr>
    </w:p>
    <w:p w14:paraId="708366B5" w14:textId="01DB3300" w:rsidR="006D2070" w:rsidRPr="006D2070" w:rsidRDefault="006D2070" w:rsidP="006D2070">
      <w:pPr>
        <w:spacing w:after="160"/>
        <w:ind w:firstLine="709"/>
        <w:contextualSpacing/>
        <w:jc w:val="both"/>
        <w:rPr>
          <w:rFonts w:ascii="Abadi" w:eastAsia="Calibri" w:hAnsi="Abadi"/>
          <w:sz w:val="21"/>
          <w:szCs w:val="21"/>
          <w:lang w:eastAsia="en-US"/>
        </w:rPr>
      </w:pPr>
      <w:r w:rsidRPr="006D2070">
        <w:rPr>
          <w:rFonts w:ascii="Abadi" w:eastAsia="Calibri" w:hAnsi="Abadi"/>
          <w:sz w:val="21"/>
          <w:szCs w:val="21"/>
          <w:lang w:eastAsia="en-US"/>
        </w:rPr>
        <w:t>De la cuenta pública correspondiente al ejercicio fiscal 2020 se revisaron los siguientes apartados:</w:t>
      </w:r>
    </w:p>
    <w:p w14:paraId="7C083273" w14:textId="77777777" w:rsidR="006D2070" w:rsidRPr="006D2070" w:rsidRDefault="006D2070" w:rsidP="006D2070">
      <w:pPr>
        <w:widowControl w:val="0"/>
        <w:spacing w:after="200"/>
        <w:ind w:left="360"/>
        <w:contextualSpacing/>
        <w:jc w:val="both"/>
        <w:rPr>
          <w:rFonts w:ascii="Abadi" w:eastAsia="Calibri" w:hAnsi="Abadi"/>
          <w:sz w:val="21"/>
          <w:szCs w:val="21"/>
          <w:lang w:eastAsia="en-US"/>
        </w:rPr>
      </w:pPr>
    </w:p>
    <w:p w14:paraId="618459FD" w14:textId="77777777" w:rsidR="006D2070" w:rsidRPr="006D2070" w:rsidRDefault="006D2070" w:rsidP="006D2070">
      <w:pPr>
        <w:widowControl w:val="0"/>
        <w:spacing w:after="200"/>
        <w:ind w:left="360" w:firstLine="696"/>
        <w:contextualSpacing/>
        <w:jc w:val="both"/>
        <w:rPr>
          <w:rFonts w:ascii="Abadi" w:hAnsi="Abadi"/>
          <w:sz w:val="21"/>
          <w:szCs w:val="21"/>
          <w:lang w:eastAsia="en-US"/>
        </w:rPr>
      </w:pPr>
      <w:r w:rsidRPr="006D2070">
        <w:rPr>
          <w:rFonts w:ascii="Abadi" w:eastAsia="Calibri" w:hAnsi="Abadi"/>
          <w:b/>
          <w:bCs/>
          <w:sz w:val="21"/>
          <w:szCs w:val="21"/>
          <w:lang w:eastAsia="en-US"/>
        </w:rPr>
        <w:t>Sector Central:</w:t>
      </w:r>
      <w:r w:rsidRPr="006D2070">
        <w:rPr>
          <w:rFonts w:ascii="Abadi" w:eastAsia="Calibri" w:hAnsi="Abadi"/>
          <w:sz w:val="21"/>
          <w:szCs w:val="21"/>
          <w:lang w:eastAsia="en-US"/>
        </w:rPr>
        <w:t xml:space="preserve"> </w:t>
      </w:r>
    </w:p>
    <w:p w14:paraId="2D7D34A0" w14:textId="77777777" w:rsidR="006D2070" w:rsidRPr="006D2070" w:rsidRDefault="006D2070" w:rsidP="001A28E5">
      <w:pPr>
        <w:numPr>
          <w:ilvl w:val="0"/>
          <w:numId w:val="42"/>
        </w:numPr>
        <w:spacing w:after="160" w:line="259" w:lineRule="auto"/>
        <w:ind w:left="1080"/>
        <w:contextualSpacing/>
        <w:jc w:val="both"/>
        <w:rPr>
          <w:rFonts w:ascii="Abadi" w:hAnsi="Abadi"/>
          <w:sz w:val="21"/>
          <w:szCs w:val="21"/>
          <w:lang w:val="es-MX" w:eastAsia="es-MX"/>
        </w:rPr>
      </w:pPr>
      <w:r w:rsidRPr="006D2070">
        <w:rPr>
          <w:rFonts w:ascii="Abadi" w:hAnsi="Abadi"/>
          <w:b/>
          <w:bCs/>
          <w:sz w:val="21"/>
          <w:szCs w:val="21"/>
          <w:u w:val="single"/>
          <w:lang w:val="es-MX" w:eastAsia="es-MX"/>
        </w:rPr>
        <w:t>Activo:</w:t>
      </w:r>
      <w:r w:rsidRPr="006D2070">
        <w:rPr>
          <w:rFonts w:ascii="Abadi" w:hAnsi="Abadi"/>
          <w:sz w:val="21"/>
          <w:szCs w:val="21"/>
          <w:lang w:val="es-MX" w:eastAsia="es-MX"/>
        </w:rPr>
        <w:t xml:space="preserve"> Terrenos (donación de bienes inmuebles), adquisiciones de (otros mobiliarios y equipos de construcción, automóviles, camiones y carrocerías y remolques) así como, adquisición de software.  </w:t>
      </w:r>
    </w:p>
    <w:p w14:paraId="37589F50" w14:textId="77777777" w:rsidR="006D2070" w:rsidRPr="006D2070" w:rsidRDefault="006D2070" w:rsidP="006D2070">
      <w:pPr>
        <w:spacing w:after="160" w:line="259" w:lineRule="auto"/>
        <w:ind w:left="1080"/>
        <w:contextualSpacing/>
        <w:jc w:val="both"/>
        <w:rPr>
          <w:rFonts w:ascii="Abadi" w:hAnsi="Abadi"/>
          <w:sz w:val="21"/>
          <w:szCs w:val="21"/>
          <w:lang w:val="es-MX" w:eastAsia="es-MX"/>
        </w:rPr>
      </w:pPr>
    </w:p>
    <w:p w14:paraId="5DE49AF3" w14:textId="77777777" w:rsidR="006D2070" w:rsidRPr="006D2070" w:rsidRDefault="006D2070" w:rsidP="001A28E5">
      <w:pPr>
        <w:numPr>
          <w:ilvl w:val="0"/>
          <w:numId w:val="42"/>
        </w:numPr>
        <w:spacing w:after="160" w:line="259" w:lineRule="auto"/>
        <w:ind w:left="1080"/>
        <w:contextualSpacing/>
        <w:jc w:val="both"/>
        <w:rPr>
          <w:rFonts w:ascii="Abadi" w:hAnsi="Abadi"/>
          <w:sz w:val="21"/>
          <w:szCs w:val="21"/>
          <w:lang w:val="es-MX" w:eastAsia="es-MX"/>
        </w:rPr>
      </w:pPr>
      <w:r w:rsidRPr="006D2070">
        <w:rPr>
          <w:rFonts w:ascii="Abadi" w:hAnsi="Abadi"/>
          <w:b/>
          <w:bCs/>
          <w:sz w:val="21"/>
          <w:szCs w:val="21"/>
          <w:u w:val="single"/>
          <w:lang w:val="es-MX" w:eastAsia="es-MX"/>
        </w:rPr>
        <w:t>Pasivo</w:t>
      </w:r>
      <w:r w:rsidRPr="006D2070">
        <w:rPr>
          <w:rFonts w:ascii="Abadi" w:hAnsi="Abadi"/>
          <w:b/>
          <w:bCs/>
          <w:sz w:val="21"/>
          <w:szCs w:val="21"/>
          <w:lang w:val="es-MX" w:eastAsia="es-MX"/>
        </w:rPr>
        <w:t>:</w:t>
      </w:r>
      <w:r w:rsidRPr="006D2070">
        <w:rPr>
          <w:rFonts w:ascii="Abadi" w:hAnsi="Abadi"/>
          <w:sz w:val="21"/>
          <w:szCs w:val="21"/>
          <w:lang w:val="es-MX" w:eastAsia="es-MX"/>
        </w:rPr>
        <w:t xml:space="preserve"> Pagos derivados del contrato </w:t>
      </w:r>
      <w:r w:rsidRPr="006D2070">
        <w:rPr>
          <w:rFonts w:ascii="Abadi" w:hAnsi="Abadi"/>
          <w:bCs/>
          <w:sz w:val="21"/>
          <w:szCs w:val="21"/>
          <w:lang w:val="es-MX" w:eastAsia="en-US"/>
        </w:rPr>
        <w:t xml:space="preserve">de arrendamiento puro con las empresas </w:t>
      </w:r>
      <w:r w:rsidRPr="006D2070">
        <w:rPr>
          <w:rFonts w:ascii="Abadi" w:hAnsi="Abadi"/>
          <w:bCs/>
          <w:i/>
          <w:iCs/>
          <w:sz w:val="21"/>
          <w:szCs w:val="21"/>
          <w:lang w:val="es-MX" w:eastAsia="en-US"/>
        </w:rPr>
        <w:t>Bercale Services, S.A. de C.V.</w:t>
      </w:r>
      <w:r w:rsidRPr="006D2070">
        <w:rPr>
          <w:rFonts w:ascii="Abadi" w:hAnsi="Abadi"/>
          <w:bCs/>
          <w:sz w:val="21"/>
          <w:szCs w:val="21"/>
          <w:lang w:val="es-MX" w:eastAsia="en-US"/>
        </w:rPr>
        <w:t xml:space="preserve"> y </w:t>
      </w:r>
      <w:r w:rsidRPr="006D2070">
        <w:rPr>
          <w:rFonts w:ascii="Abadi" w:hAnsi="Abadi"/>
          <w:bCs/>
          <w:i/>
          <w:iCs/>
          <w:sz w:val="21"/>
          <w:szCs w:val="21"/>
          <w:lang w:val="es-MX" w:eastAsia="en-US"/>
        </w:rPr>
        <w:t>Lumo Financiera del Centro, S.A. de C.V.</w:t>
      </w:r>
      <w:r w:rsidRPr="006D2070">
        <w:rPr>
          <w:rFonts w:ascii="Abadi" w:hAnsi="Abadi"/>
          <w:bCs/>
          <w:sz w:val="21"/>
          <w:szCs w:val="21"/>
          <w:lang w:val="es-MX" w:eastAsia="en-US"/>
        </w:rPr>
        <w:t xml:space="preserve">, número SSP-001-07-2019 del 22 de julio de 2019 y su modificatorio del 5 de agosto del mismo año. </w:t>
      </w:r>
    </w:p>
    <w:p w14:paraId="261942C8" w14:textId="77777777" w:rsidR="006D2070" w:rsidRPr="006D2070" w:rsidRDefault="006D2070" w:rsidP="006D2070">
      <w:pPr>
        <w:spacing w:after="160" w:line="259" w:lineRule="auto"/>
        <w:ind w:left="1080"/>
        <w:contextualSpacing/>
        <w:jc w:val="both"/>
        <w:rPr>
          <w:rFonts w:ascii="Abadi" w:hAnsi="Abadi"/>
          <w:sz w:val="21"/>
          <w:szCs w:val="21"/>
          <w:lang w:val="es-MX" w:eastAsia="es-MX"/>
        </w:rPr>
      </w:pPr>
    </w:p>
    <w:p w14:paraId="3223B8B7" w14:textId="77777777" w:rsidR="006D2070" w:rsidRPr="006D2070" w:rsidRDefault="006D2070" w:rsidP="001A28E5">
      <w:pPr>
        <w:numPr>
          <w:ilvl w:val="0"/>
          <w:numId w:val="42"/>
        </w:numPr>
        <w:spacing w:after="160" w:line="259" w:lineRule="auto"/>
        <w:ind w:left="1080"/>
        <w:contextualSpacing/>
        <w:jc w:val="both"/>
        <w:rPr>
          <w:rFonts w:ascii="Abadi" w:hAnsi="Abadi"/>
          <w:sz w:val="21"/>
          <w:szCs w:val="21"/>
          <w:lang w:val="es-MX" w:eastAsia="es-MX"/>
        </w:rPr>
      </w:pPr>
      <w:r w:rsidRPr="006D2070">
        <w:rPr>
          <w:rFonts w:ascii="Abadi" w:hAnsi="Abadi"/>
          <w:b/>
          <w:sz w:val="21"/>
          <w:szCs w:val="21"/>
          <w:u w:val="single"/>
          <w:lang w:val="es-MX" w:eastAsia="en-US"/>
        </w:rPr>
        <w:t>Ingresos:</w:t>
      </w:r>
      <w:r w:rsidRPr="006D2070">
        <w:rPr>
          <w:rFonts w:ascii="Abadi" w:hAnsi="Abadi"/>
          <w:bCs/>
          <w:sz w:val="21"/>
          <w:szCs w:val="21"/>
          <w:lang w:val="es-MX" w:eastAsia="en-US"/>
        </w:rPr>
        <w:t xml:space="preserve"> Servicio de alumbrado público y participaciones y aportaciones.</w:t>
      </w:r>
    </w:p>
    <w:p w14:paraId="1F7217F4" w14:textId="77777777" w:rsidR="006D2070" w:rsidRPr="006D2070" w:rsidRDefault="006D2070" w:rsidP="006D2070">
      <w:pPr>
        <w:spacing w:after="160" w:line="259" w:lineRule="auto"/>
        <w:ind w:left="1080"/>
        <w:contextualSpacing/>
        <w:jc w:val="both"/>
        <w:rPr>
          <w:rFonts w:ascii="Abadi" w:hAnsi="Abadi"/>
          <w:sz w:val="21"/>
          <w:szCs w:val="21"/>
          <w:lang w:val="es-MX" w:eastAsia="es-MX"/>
        </w:rPr>
      </w:pPr>
      <w:r w:rsidRPr="006D2070">
        <w:rPr>
          <w:rFonts w:ascii="Abadi" w:hAnsi="Abadi"/>
          <w:bCs/>
          <w:sz w:val="21"/>
          <w:szCs w:val="21"/>
          <w:lang w:val="es-MX" w:eastAsia="en-US"/>
        </w:rPr>
        <w:lastRenderedPageBreak/>
        <w:t xml:space="preserve"> </w:t>
      </w:r>
    </w:p>
    <w:p w14:paraId="770DAC73" w14:textId="77777777" w:rsidR="006D2070" w:rsidRPr="006D2070" w:rsidRDefault="006D2070" w:rsidP="001A28E5">
      <w:pPr>
        <w:numPr>
          <w:ilvl w:val="0"/>
          <w:numId w:val="42"/>
        </w:numPr>
        <w:spacing w:after="160" w:line="259" w:lineRule="auto"/>
        <w:ind w:left="1080"/>
        <w:contextualSpacing/>
        <w:jc w:val="both"/>
        <w:rPr>
          <w:rFonts w:ascii="Abadi" w:hAnsi="Abadi"/>
          <w:bCs/>
          <w:sz w:val="21"/>
          <w:szCs w:val="21"/>
          <w:lang w:val="es-MX" w:eastAsia="es-MX"/>
        </w:rPr>
      </w:pPr>
      <w:r w:rsidRPr="006D2070">
        <w:rPr>
          <w:rFonts w:ascii="Abadi" w:hAnsi="Abadi"/>
          <w:b/>
          <w:bCs/>
          <w:sz w:val="21"/>
          <w:szCs w:val="21"/>
          <w:u w:val="single"/>
          <w:lang w:val="es-MX" w:eastAsia="es-MX"/>
        </w:rPr>
        <w:t>Egresos:</w:t>
      </w:r>
      <w:r w:rsidRPr="006D2070">
        <w:rPr>
          <w:rFonts w:ascii="Abadi" w:hAnsi="Abadi" w:cs="Calibri"/>
          <w:sz w:val="21"/>
          <w:szCs w:val="21"/>
          <w:lang w:val="es-MX" w:eastAsia="es-MX"/>
        </w:rPr>
        <w:t xml:space="preserve"> Servicios personales como sueldos, prima vacacional, gratificación de fin de año, remuneraciones por horas extraordinarias, servicio de alumbrado público, arrendamiento de vehículos de servicios administrativos, otros arrendamientos, servicios de procesos técnica y en tecnologías de información, servicios de recaudación traslado y custodia de valores, gastos de orden social y cultural, ayudas a personas, ayudas a instituciones sin fines de lucro, jubilaciones y otras pensiones y jubilaciones. </w:t>
      </w:r>
    </w:p>
    <w:p w14:paraId="629DBC8C" w14:textId="77777777" w:rsidR="006D2070" w:rsidRPr="006D2070" w:rsidRDefault="006D2070" w:rsidP="006D2070">
      <w:pPr>
        <w:spacing w:after="160" w:line="259" w:lineRule="auto"/>
        <w:ind w:left="1080"/>
        <w:contextualSpacing/>
        <w:jc w:val="both"/>
        <w:rPr>
          <w:rFonts w:ascii="Abadi" w:hAnsi="Abadi"/>
          <w:sz w:val="21"/>
          <w:szCs w:val="21"/>
          <w:lang w:val="es-MX" w:eastAsia="es-MX"/>
        </w:rPr>
      </w:pPr>
    </w:p>
    <w:p w14:paraId="585741F7" w14:textId="77777777" w:rsidR="006D2070" w:rsidRPr="006D2070" w:rsidRDefault="006D2070" w:rsidP="006D2070">
      <w:pPr>
        <w:spacing w:after="160" w:line="259" w:lineRule="auto"/>
        <w:ind w:firstLine="708"/>
        <w:contextualSpacing/>
        <w:jc w:val="both"/>
        <w:rPr>
          <w:rFonts w:ascii="Abadi" w:hAnsi="Abadi"/>
          <w:sz w:val="21"/>
          <w:szCs w:val="21"/>
          <w:lang w:val="es-MX" w:eastAsia="en-US"/>
        </w:rPr>
      </w:pPr>
      <w:r w:rsidRPr="006D2070">
        <w:rPr>
          <w:rFonts w:ascii="Abadi" w:hAnsi="Abadi" w:cs="Calibri"/>
          <w:sz w:val="21"/>
          <w:szCs w:val="21"/>
          <w:lang w:val="es-MX" w:eastAsia="es-MX"/>
        </w:rPr>
        <w:t xml:space="preserve">También se dio seguimiento a los pagos derivados del contrato </w:t>
      </w:r>
      <w:r w:rsidRPr="006D2070">
        <w:rPr>
          <w:rFonts w:ascii="Abadi" w:hAnsi="Abadi"/>
          <w:sz w:val="21"/>
          <w:szCs w:val="21"/>
          <w:lang w:val="es-MX" w:eastAsia="en-US"/>
        </w:rPr>
        <w:t xml:space="preserve">puro SSP-001-07-2019 entre el Municipio y las personas morales </w:t>
      </w:r>
      <w:r w:rsidRPr="006D2070">
        <w:rPr>
          <w:rFonts w:ascii="Abadi" w:hAnsi="Abadi"/>
          <w:i/>
          <w:iCs/>
          <w:sz w:val="21"/>
          <w:szCs w:val="21"/>
          <w:lang w:val="es-MX" w:eastAsia="en-US"/>
        </w:rPr>
        <w:t>Bercale Services, S.A. de C.V.</w:t>
      </w:r>
      <w:r w:rsidRPr="006D2070">
        <w:rPr>
          <w:rFonts w:ascii="Abadi" w:hAnsi="Abadi"/>
          <w:sz w:val="21"/>
          <w:szCs w:val="21"/>
          <w:lang w:val="es-MX" w:eastAsia="en-US"/>
        </w:rPr>
        <w:t xml:space="preserve"> y </w:t>
      </w:r>
      <w:r w:rsidRPr="006D2070">
        <w:rPr>
          <w:rFonts w:ascii="Abadi" w:hAnsi="Abadi"/>
          <w:i/>
          <w:iCs/>
          <w:sz w:val="21"/>
          <w:szCs w:val="21"/>
          <w:lang w:val="es-MX" w:eastAsia="en-US"/>
        </w:rPr>
        <w:t>Lumo Financiera del Centro, S.A. de C.V. SOFOM. ENR.,</w:t>
      </w:r>
      <w:r w:rsidRPr="006D2070">
        <w:rPr>
          <w:rFonts w:ascii="Abadi" w:hAnsi="Abadi"/>
          <w:sz w:val="21"/>
          <w:szCs w:val="21"/>
          <w:lang w:val="es-MX" w:eastAsia="en-US"/>
        </w:rPr>
        <w:t xml:space="preserve"> así como el cumplimiento del mismo.</w:t>
      </w:r>
    </w:p>
    <w:p w14:paraId="268A8B48" w14:textId="77777777" w:rsidR="006D2070" w:rsidRPr="006D2070" w:rsidRDefault="006D2070" w:rsidP="006D2070">
      <w:pPr>
        <w:spacing w:after="160" w:line="259" w:lineRule="auto"/>
        <w:ind w:firstLine="708"/>
        <w:contextualSpacing/>
        <w:jc w:val="both"/>
        <w:rPr>
          <w:rFonts w:ascii="Abadi" w:hAnsi="Abadi" w:cs="Calibri"/>
          <w:sz w:val="21"/>
          <w:szCs w:val="21"/>
          <w:lang w:val="es-MX" w:eastAsia="es-MX"/>
        </w:rPr>
      </w:pPr>
    </w:p>
    <w:p w14:paraId="2C0E07DF" w14:textId="77777777" w:rsidR="006D2070" w:rsidRPr="006D2070" w:rsidRDefault="006D2070" w:rsidP="006D2070">
      <w:pPr>
        <w:spacing w:line="259" w:lineRule="auto"/>
        <w:ind w:firstLine="708"/>
        <w:jc w:val="both"/>
        <w:rPr>
          <w:rFonts w:ascii="Abadi" w:hAnsi="Abadi" w:cs="Calibri"/>
          <w:sz w:val="21"/>
          <w:szCs w:val="21"/>
          <w:lang w:val="es-MX" w:eastAsia="en-US"/>
        </w:rPr>
      </w:pPr>
      <w:r w:rsidRPr="006D2070">
        <w:rPr>
          <w:rFonts w:ascii="Abadi" w:hAnsi="Abadi"/>
          <w:sz w:val="21"/>
          <w:szCs w:val="21"/>
          <w:lang w:val="es-MX" w:eastAsia="en-US"/>
        </w:rPr>
        <w:t>De igual forma, se dio seguimiento a los pagos derivados del contrato SSP-001-07-2019, respecto de la Licitación LPN-DRM-006-2019 «Contratación de Servicio de Arrendamiento Puro por 29 meses, de 65 vehículos para las diferentes direcciones de la administración pública municipal», así como el cumplimiento de mismo</w:t>
      </w:r>
      <w:r w:rsidRPr="006D2070">
        <w:rPr>
          <w:rFonts w:ascii="Abadi" w:hAnsi="Abadi" w:cs="Calibri"/>
          <w:sz w:val="21"/>
          <w:szCs w:val="21"/>
          <w:lang w:val="es-MX" w:eastAsia="en-US"/>
        </w:rPr>
        <w:t>.</w:t>
      </w:r>
    </w:p>
    <w:p w14:paraId="3150D120" w14:textId="77777777" w:rsidR="006D2070" w:rsidRPr="006D2070" w:rsidRDefault="006D2070" w:rsidP="006D2070">
      <w:pPr>
        <w:spacing w:line="259" w:lineRule="auto"/>
        <w:ind w:firstLine="708"/>
        <w:jc w:val="both"/>
        <w:rPr>
          <w:rFonts w:ascii="Abadi" w:hAnsi="Abadi"/>
          <w:sz w:val="21"/>
          <w:szCs w:val="21"/>
          <w:lang w:val="es-MX" w:eastAsia="en-US"/>
        </w:rPr>
      </w:pPr>
    </w:p>
    <w:p w14:paraId="6ADBAA27" w14:textId="11906F46" w:rsidR="00685345" w:rsidRPr="00685345" w:rsidRDefault="006D2070" w:rsidP="00685345">
      <w:pPr>
        <w:spacing w:after="160" w:line="259" w:lineRule="auto"/>
        <w:ind w:firstLine="708"/>
        <w:jc w:val="both"/>
        <w:rPr>
          <w:rFonts w:ascii="Abadi" w:hAnsi="Abadi"/>
          <w:sz w:val="21"/>
          <w:szCs w:val="21"/>
          <w:lang w:val="es-MX" w:eastAsia="en-US"/>
        </w:rPr>
      </w:pPr>
      <w:r w:rsidRPr="006D2070">
        <w:rPr>
          <w:rFonts w:ascii="Abadi" w:hAnsi="Abadi"/>
          <w:sz w:val="21"/>
          <w:szCs w:val="21"/>
          <w:lang w:val="es-MX" w:eastAsia="en-US"/>
        </w:rPr>
        <w:t>Adicionalmente, se informó que se llevaron a cabo diversas revisiones por parte de la Auditoría Superior de la Federación</w:t>
      </w:r>
      <w:r w:rsidRPr="006D2070">
        <w:rPr>
          <w:rFonts w:ascii="Abadi" w:hAnsi="Abadi"/>
          <w:sz w:val="21"/>
          <w:szCs w:val="21"/>
          <w:vertAlign w:val="superscript"/>
          <w:lang w:val="es-MX" w:eastAsia="en-US"/>
        </w:rPr>
        <w:footnoteReference w:id="129"/>
      </w:r>
      <w:r w:rsidRPr="006D2070">
        <w:rPr>
          <w:rFonts w:ascii="Abadi" w:hAnsi="Abadi"/>
          <w:sz w:val="21"/>
          <w:szCs w:val="21"/>
          <w:lang w:val="es-MX" w:eastAsia="en-US"/>
        </w:rPr>
        <w:t>, las cuales se detallan a continuación</w:t>
      </w:r>
      <w:r w:rsidR="00685345">
        <w:rPr>
          <w:rFonts w:ascii="Abadi" w:hAnsi="Abadi"/>
          <w:sz w:val="21"/>
          <w:szCs w:val="21"/>
          <w:lang w:val="es-MX" w:eastAsia="en-US"/>
        </w:rPr>
        <w:t>:</w:t>
      </w:r>
    </w:p>
    <w:p w14:paraId="37ED5302" w14:textId="5DE9CB40" w:rsidR="006D2070" w:rsidRPr="006D2070" w:rsidRDefault="00685345" w:rsidP="00685345">
      <w:pPr>
        <w:spacing w:after="160" w:line="259" w:lineRule="auto"/>
        <w:jc w:val="both"/>
        <w:rPr>
          <w:rFonts w:ascii="Abadi" w:hAnsi="Abadi"/>
          <w:b/>
          <w:bCs/>
          <w:color w:val="ED7D31"/>
          <w:sz w:val="21"/>
          <w:szCs w:val="21"/>
          <w:lang w:val="es-MX" w:eastAsia="en-US"/>
        </w:rPr>
      </w:pPr>
      <w:r>
        <w:rPr>
          <w:noProof/>
        </w:rPr>
        <w:drawing>
          <wp:anchor distT="0" distB="0" distL="114300" distR="114300" simplePos="0" relativeHeight="251737088" behindDoc="1" locked="0" layoutInCell="1" allowOverlap="1" wp14:anchorId="46B252D2" wp14:editId="6CCC995D">
            <wp:simplePos x="0" y="0"/>
            <wp:positionH relativeFrom="column">
              <wp:posOffset>4354</wp:posOffset>
            </wp:positionH>
            <wp:positionV relativeFrom="paragraph">
              <wp:posOffset>3266</wp:posOffset>
            </wp:positionV>
            <wp:extent cx="2872203" cy="1349828"/>
            <wp:effectExtent l="0" t="0" r="4445" b="3175"/>
            <wp:wrapTight wrapText="bothSides">
              <wp:wrapPolygon edited="0">
                <wp:start x="0" y="0"/>
                <wp:lineTo x="0" y="21346"/>
                <wp:lineTo x="21490" y="21346"/>
                <wp:lineTo x="21490" y="0"/>
                <wp:lineTo x="0" y="0"/>
              </wp:wrapPolygon>
            </wp:wrapTight>
            <wp:docPr id="34" name="Imagen 3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Aplicación, Word&#10;&#10;Descripción generada automáticamente"/>
                    <pic:cNvPicPr/>
                  </pic:nvPicPr>
                  <pic:blipFill rotWithShape="1">
                    <a:blip r:embed="rId56">
                      <a:extLst>
                        <a:ext uri="{28A0092B-C50C-407E-A947-70E740481C1C}">
                          <a14:useLocalDpi xmlns:a14="http://schemas.microsoft.com/office/drawing/2010/main" val="0"/>
                        </a:ext>
                      </a:extLst>
                    </a:blip>
                    <a:srcRect l="33411" t="45549" r="30087" b="23934"/>
                    <a:stretch/>
                  </pic:blipFill>
                  <pic:spPr bwMode="auto">
                    <a:xfrm>
                      <a:off x="0" y="0"/>
                      <a:ext cx="2872203" cy="1349828"/>
                    </a:xfrm>
                    <a:prstGeom prst="rect">
                      <a:avLst/>
                    </a:prstGeom>
                    <a:ln>
                      <a:noFill/>
                    </a:ln>
                    <a:extLst>
                      <a:ext uri="{53640926-AAD7-44D8-BBD7-CCE9431645EC}">
                        <a14:shadowObscured xmlns:a14="http://schemas.microsoft.com/office/drawing/2010/main"/>
                      </a:ext>
                    </a:extLst>
                  </pic:spPr>
                </pic:pic>
              </a:graphicData>
            </a:graphic>
          </wp:anchor>
        </w:drawing>
      </w:r>
    </w:p>
    <w:p w14:paraId="6F55A368" w14:textId="67D3C903" w:rsidR="006D2070" w:rsidRPr="006D2070" w:rsidRDefault="006D2070" w:rsidP="00037C57">
      <w:pPr>
        <w:spacing w:after="160" w:line="259" w:lineRule="auto"/>
        <w:ind w:firstLine="708"/>
        <w:contextualSpacing/>
        <w:jc w:val="both"/>
        <w:rPr>
          <w:rFonts w:ascii="Abadi" w:eastAsia="Calibri" w:hAnsi="Abadi"/>
          <w:bCs/>
          <w:sz w:val="21"/>
          <w:szCs w:val="21"/>
          <w:lang w:val="es-MX" w:eastAsia="en-US"/>
        </w:rPr>
      </w:pPr>
      <w:r w:rsidRPr="006D2070">
        <w:rPr>
          <w:rFonts w:ascii="Abadi" w:eastAsia="Calibri" w:hAnsi="Abadi"/>
          <w:bCs/>
          <w:sz w:val="21"/>
          <w:szCs w:val="21"/>
          <w:lang w:val="es-MX" w:eastAsia="en-US"/>
        </w:rPr>
        <w:t xml:space="preserve">Es así, que de acuerdo a la información antes señalada, la Auditoría Superior del Estado </w:t>
      </w:r>
      <w:r w:rsidRPr="006D2070">
        <w:rPr>
          <w:rFonts w:ascii="Abadi" w:eastAsia="Calibri" w:hAnsi="Abadi"/>
          <w:bCs/>
          <w:sz w:val="21"/>
          <w:szCs w:val="21"/>
          <w:lang w:val="es-MX" w:eastAsia="en-US"/>
        </w:rPr>
        <w:t xml:space="preserve">ha realizado 2 revisiones de cuenta pública y 2 auditorías practicadas </w:t>
      </w:r>
      <w:r w:rsidRPr="006D2070">
        <w:rPr>
          <w:rFonts w:ascii="Abadi" w:hAnsi="Abadi" w:cs="Tahoma"/>
          <w:spacing w:val="-10"/>
          <w:kern w:val="28"/>
          <w:sz w:val="21"/>
          <w:szCs w:val="21"/>
          <w:lang w:val="es-MX" w:eastAsia="en-US"/>
        </w:rPr>
        <w:t>a la infraestructura pública municipal</w:t>
      </w:r>
      <w:r w:rsidRPr="006D2070">
        <w:rPr>
          <w:rFonts w:ascii="Abadi" w:eastAsia="Calibri" w:hAnsi="Abadi"/>
          <w:bCs/>
          <w:sz w:val="21"/>
          <w:szCs w:val="21"/>
          <w:lang w:val="es-MX" w:eastAsia="en-US"/>
        </w:rPr>
        <w:t>. Asimismo, se realizaron 3 revisiones por parte de la Auditoría Superior de la Federación.</w:t>
      </w:r>
    </w:p>
    <w:p w14:paraId="436AB515" w14:textId="77777777" w:rsidR="006D2070" w:rsidRPr="006D2070" w:rsidRDefault="006D2070" w:rsidP="006D2070">
      <w:pPr>
        <w:spacing w:after="160" w:line="259" w:lineRule="auto"/>
        <w:ind w:firstLine="708"/>
        <w:contextualSpacing/>
        <w:jc w:val="both"/>
        <w:rPr>
          <w:rFonts w:ascii="Abadi" w:eastAsia="Calibri" w:hAnsi="Abadi"/>
          <w:bCs/>
          <w:sz w:val="21"/>
          <w:szCs w:val="21"/>
          <w:lang w:val="es-MX" w:eastAsia="en-US"/>
        </w:rPr>
      </w:pPr>
    </w:p>
    <w:p w14:paraId="6FB1BA79" w14:textId="77777777" w:rsidR="006D2070" w:rsidRPr="006D2070" w:rsidRDefault="006D2070" w:rsidP="006D2070">
      <w:pPr>
        <w:spacing w:after="160" w:line="259" w:lineRule="auto"/>
        <w:ind w:firstLine="708"/>
        <w:contextualSpacing/>
        <w:jc w:val="both"/>
        <w:rPr>
          <w:rFonts w:ascii="Abadi" w:eastAsia="Calibri" w:hAnsi="Abadi"/>
          <w:bCs/>
          <w:sz w:val="21"/>
          <w:szCs w:val="21"/>
          <w:lang w:val="es-MX" w:eastAsia="en-US"/>
        </w:rPr>
      </w:pPr>
      <w:r w:rsidRPr="006D2070">
        <w:rPr>
          <w:rFonts w:ascii="Abadi" w:eastAsia="Calibri" w:hAnsi="Abadi"/>
          <w:bCs/>
          <w:sz w:val="21"/>
          <w:szCs w:val="21"/>
          <w:lang w:val="es-MX" w:eastAsia="en-US"/>
        </w:rPr>
        <w:t>Aunado a lo anterior, en el Programa General de Fiscalización 2022 se contemplan 272 actos de fiscalización, por lo que, de acuerdo a dicho Programa, así como al Programa Operativo Anual y la capacidad institucional instalada, la incorporación de actos de fiscalización adicionales a los ya programados, incidiría directamente en la cobertura, calidad y tiempos de la fiscalización, en detrimento del citado programa y de los actos de fiscalización previamente planificados.</w:t>
      </w:r>
    </w:p>
    <w:p w14:paraId="104B979D" w14:textId="77777777" w:rsidR="006D2070" w:rsidRPr="006D2070" w:rsidRDefault="006D2070" w:rsidP="006D2070">
      <w:pPr>
        <w:spacing w:after="160" w:line="259" w:lineRule="auto"/>
        <w:ind w:firstLine="708"/>
        <w:contextualSpacing/>
        <w:jc w:val="both"/>
        <w:rPr>
          <w:rFonts w:ascii="Abadi" w:eastAsia="Calibri" w:hAnsi="Abadi"/>
          <w:bCs/>
          <w:sz w:val="21"/>
          <w:szCs w:val="21"/>
          <w:lang w:val="es-MX" w:eastAsia="en-US"/>
        </w:rPr>
      </w:pPr>
    </w:p>
    <w:p w14:paraId="3F042BFD" w14:textId="77777777" w:rsidR="006D2070" w:rsidRPr="006D2070" w:rsidRDefault="006D2070" w:rsidP="006D2070">
      <w:pPr>
        <w:spacing w:after="160"/>
        <w:ind w:firstLine="708"/>
        <w:contextualSpacing/>
        <w:jc w:val="both"/>
        <w:rPr>
          <w:rFonts w:ascii="Abadi" w:eastAsia="Calibri" w:hAnsi="Abadi"/>
          <w:bCs/>
          <w:sz w:val="21"/>
          <w:szCs w:val="21"/>
          <w:lang w:val="es-MX" w:eastAsia="en-US"/>
        </w:rPr>
      </w:pPr>
      <w:r w:rsidRPr="006D2070">
        <w:rPr>
          <w:rFonts w:ascii="Abadi" w:eastAsia="Calibri" w:hAnsi="Abadi"/>
          <w:bCs/>
          <w:sz w:val="21"/>
          <w:szCs w:val="21"/>
          <w:lang w:val="es-MX" w:eastAsia="en-US"/>
        </w:rPr>
        <w:t xml:space="preserve">En razón a lo antes señalado y privilegiando la realización de los actos de fiscalización ya contemplados en el Programa General de Fiscalización de la Auditoría Superior del Estado para el presente ejercicio fiscal, mismo que consideró una planeación estratégica, así como al cumplimiento de dicho programa en tiempo y calidad de los actos programados, así como a la capacidad institucional instalada de dicho Órgano Técnico, determinamos no autorizar la realización de la auditoría propuesta, atendiendo además a que ya se realizaron diversos actos de fiscalización a la administración municipal de San Miguel de Allende, Gto., por parte tanto de la Auditoría Superior del Estado como de la Auditoría Superior de la Federación a los ejercicios fiscales que se propone auditar. </w:t>
      </w:r>
    </w:p>
    <w:p w14:paraId="1E186D77" w14:textId="77777777" w:rsidR="006D2070" w:rsidRPr="006D2070" w:rsidRDefault="006D2070" w:rsidP="006D2070">
      <w:pPr>
        <w:widowControl w:val="0"/>
        <w:spacing w:after="200"/>
        <w:ind w:firstLine="708"/>
        <w:contextualSpacing/>
        <w:jc w:val="both"/>
        <w:rPr>
          <w:rFonts w:ascii="Abadi" w:eastAsia="Calibri" w:hAnsi="Abadi"/>
          <w:bCs/>
          <w:sz w:val="21"/>
          <w:szCs w:val="21"/>
          <w:lang w:val="es-MX" w:eastAsia="en-US"/>
        </w:rPr>
      </w:pPr>
      <w:r w:rsidRPr="006D2070">
        <w:rPr>
          <w:rFonts w:ascii="Abadi" w:eastAsia="Calibri" w:hAnsi="Abadi"/>
          <w:bCs/>
          <w:sz w:val="21"/>
          <w:szCs w:val="21"/>
          <w:lang w:val="es-MX" w:eastAsia="en-US"/>
        </w:rPr>
        <w:t xml:space="preserve">No obstante, la Auditoría Superior del Estado podrá considerar los hechos que correspondan al ejercicio 2021 planteados por la proponente en la planeación y ejecución de la revisión de la cuenta pública de dicho ejercicio. </w:t>
      </w:r>
    </w:p>
    <w:p w14:paraId="2A2C3EEE" w14:textId="77777777" w:rsidR="006D2070" w:rsidRPr="006D2070" w:rsidRDefault="006D2070" w:rsidP="006D2070">
      <w:pPr>
        <w:spacing w:after="160" w:line="259" w:lineRule="auto"/>
        <w:ind w:firstLine="708"/>
        <w:jc w:val="both"/>
        <w:rPr>
          <w:rFonts w:ascii="Abadi" w:hAnsi="Abadi" w:cs="Arial"/>
          <w:iCs/>
          <w:sz w:val="21"/>
          <w:szCs w:val="21"/>
          <w:lang w:val="es-MX" w:eastAsia="en-US"/>
        </w:rPr>
      </w:pPr>
      <w:r w:rsidRPr="006D2070">
        <w:rPr>
          <w:rFonts w:ascii="Abadi" w:hAnsi="Abadi" w:cs="Arial"/>
          <w:iCs/>
          <w:sz w:val="21"/>
          <w:szCs w:val="21"/>
          <w:lang w:val="es-MX" w:eastAsia="en-US"/>
        </w:rPr>
        <w:t xml:space="preserve">Por lo expuesto y con fundamento en el artículo 204 de </w:t>
      </w:r>
      <w:smartTag w:uri="urn:schemas-microsoft-com:office:smarttags" w:element="PersonName">
        <w:smartTagPr>
          <w:attr w:name="ProductID" w:val="la Ley Org￡nica"/>
        </w:smartTagPr>
        <w:r w:rsidRPr="006D2070">
          <w:rPr>
            <w:rFonts w:ascii="Abadi" w:hAnsi="Abadi" w:cs="Arial"/>
            <w:iCs/>
            <w:sz w:val="21"/>
            <w:szCs w:val="21"/>
            <w:lang w:val="es-MX" w:eastAsia="en-US"/>
          </w:rPr>
          <w:t>la Ley Orgánica</w:t>
        </w:r>
      </w:smartTag>
      <w:r w:rsidRPr="006D2070">
        <w:rPr>
          <w:rFonts w:ascii="Abadi" w:hAnsi="Abadi" w:cs="Arial"/>
          <w:iCs/>
          <w:sz w:val="21"/>
          <w:szCs w:val="21"/>
          <w:lang w:val="es-MX" w:eastAsia="en-US"/>
        </w:rPr>
        <w:t xml:space="preserve"> del Poder Legislativo del Estado, sometemos a la consideración de </w:t>
      </w:r>
      <w:smartTag w:uri="urn:schemas-microsoft-com:office:smarttags" w:element="PersonName">
        <w:smartTagPr>
          <w:attr w:name="ProductID" w:val="la Asamblea"/>
        </w:smartTagPr>
        <w:r w:rsidRPr="006D2070">
          <w:rPr>
            <w:rFonts w:ascii="Abadi" w:hAnsi="Abadi" w:cs="Arial"/>
            <w:iCs/>
            <w:sz w:val="21"/>
            <w:szCs w:val="21"/>
            <w:lang w:val="es-MX" w:eastAsia="en-US"/>
          </w:rPr>
          <w:t>la Asamblea</w:t>
        </w:r>
      </w:smartTag>
      <w:r w:rsidRPr="006D2070">
        <w:rPr>
          <w:rFonts w:ascii="Abadi" w:hAnsi="Abadi" w:cs="Arial"/>
          <w:iCs/>
          <w:sz w:val="21"/>
          <w:szCs w:val="21"/>
          <w:lang w:val="es-MX" w:eastAsia="en-US"/>
        </w:rPr>
        <w:t>, la aprobación del siguiente:</w:t>
      </w:r>
    </w:p>
    <w:p w14:paraId="7E76FBFC" w14:textId="77777777" w:rsidR="006D2070" w:rsidRPr="006D2070" w:rsidRDefault="006D2070" w:rsidP="006D2070">
      <w:pPr>
        <w:spacing w:after="160" w:line="259" w:lineRule="auto"/>
        <w:jc w:val="center"/>
        <w:rPr>
          <w:rFonts w:ascii="Abadi" w:hAnsi="Abadi" w:cs="Arial"/>
          <w:b/>
          <w:iCs/>
          <w:sz w:val="21"/>
          <w:szCs w:val="21"/>
          <w:lang w:val="es-MX" w:eastAsia="en-US"/>
        </w:rPr>
      </w:pPr>
      <w:r w:rsidRPr="006D2070">
        <w:rPr>
          <w:rFonts w:ascii="Abadi" w:hAnsi="Abadi" w:cs="Arial"/>
          <w:b/>
          <w:iCs/>
          <w:sz w:val="21"/>
          <w:szCs w:val="21"/>
          <w:lang w:val="es-MX" w:eastAsia="en-US"/>
        </w:rPr>
        <w:t>A c u e r d o</w:t>
      </w:r>
    </w:p>
    <w:p w14:paraId="7216A03E" w14:textId="250F97D6" w:rsidR="006D2070" w:rsidRPr="006D2070" w:rsidRDefault="006D2070" w:rsidP="00384CC9">
      <w:pPr>
        <w:spacing w:after="160" w:line="259" w:lineRule="auto"/>
        <w:ind w:firstLine="708"/>
        <w:jc w:val="both"/>
        <w:rPr>
          <w:rFonts w:ascii="Abadi" w:hAnsi="Abadi" w:cs="Arial"/>
          <w:sz w:val="21"/>
          <w:szCs w:val="21"/>
          <w:lang w:val="es-MX" w:eastAsia="en-US"/>
        </w:rPr>
      </w:pPr>
      <w:r w:rsidRPr="006D2070">
        <w:rPr>
          <w:rFonts w:ascii="Abadi" w:hAnsi="Abadi" w:cs="Arial"/>
          <w:b/>
          <w:iCs/>
          <w:sz w:val="21"/>
          <w:szCs w:val="21"/>
          <w:lang w:val="es-MX" w:eastAsia="en-US"/>
        </w:rPr>
        <w:t>Único.</w:t>
      </w:r>
      <w:r w:rsidRPr="006D2070">
        <w:rPr>
          <w:rFonts w:ascii="Abadi" w:hAnsi="Abadi" w:cs="Arial"/>
          <w:b/>
          <w:sz w:val="21"/>
          <w:szCs w:val="21"/>
          <w:lang w:val="es-MX" w:eastAsia="en-US"/>
        </w:rPr>
        <w:t xml:space="preserve"> </w:t>
      </w:r>
      <w:r w:rsidRPr="006D2070">
        <w:rPr>
          <w:rFonts w:ascii="Abadi" w:hAnsi="Abadi" w:cs="Arial"/>
          <w:sz w:val="21"/>
          <w:szCs w:val="21"/>
          <w:lang w:val="es-MX" w:eastAsia="en-US"/>
        </w:rPr>
        <w:t xml:space="preserve">Se determina improcedente la propuesta </w:t>
      </w:r>
      <w:r w:rsidRPr="006D2070">
        <w:rPr>
          <w:rFonts w:ascii="Abadi" w:hAnsi="Abadi"/>
          <w:sz w:val="21"/>
          <w:szCs w:val="21"/>
          <w:lang w:val="es-MX" w:eastAsia="en-US"/>
        </w:rPr>
        <w:t xml:space="preserve">de punto de acuerdo </w:t>
      </w:r>
      <w:r w:rsidRPr="006D2070">
        <w:rPr>
          <w:rFonts w:ascii="Abadi" w:eastAsia="Batang" w:hAnsi="Abadi" w:cs="Arial"/>
          <w:sz w:val="21"/>
          <w:szCs w:val="21"/>
          <w:lang w:val="es-MX" w:eastAsia="en-US"/>
        </w:rPr>
        <w:t xml:space="preserve">formulada por </w:t>
      </w:r>
      <w:r w:rsidRPr="006D2070">
        <w:rPr>
          <w:rFonts w:ascii="Abadi" w:hAnsi="Abadi" w:cs="Arial"/>
          <w:iCs/>
          <w:sz w:val="21"/>
          <w:szCs w:val="21"/>
          <w:lang w:val="es-MX" w:eastAsia="en-US"/>
        </w:rPr>
        <w:t xml:space="preserve">la diputada Alma Edwviges </w:t>
      </w:r>
      <w:r w:rsidRPr="006D2070">
        <w:rPr>
          <w:rFonts w:ascii="Abadi" w:hAnsi="Abadi" w:cs="Arial"/>
          <w:sz w:val="21"/>
          <w:szCs w:val="21"/>
          <w:lang w:val="es-MX" w:eastAsia="en-US"/>
        </w:rPr>
        <w:t xml:space="preserve">Alcaraz Hernández, integrante del Grupo Parlamentario del Partido </w:t>
      </w:r>
      <w:r w:rsidRPr="006D2070">
        <w:rPr>
          <w:rFonts w:ascii="Abadi" w:hAnsi="Abadi" w:cs="Arial"/>
          <w:sz w:val="21"/>
          <w:szCs w:val="21"/>
          <w:lang w:val="es-MX" w:eastAsia="en-US"/>
        </w:rPr>
        <w:lastRenderedPageBreak/>
        <w:t xml:space="preserve">MORENA a efecto de exhortar al titular de la Auditoría Superior del Estado de Guanajuato, para que </w:t>
      </w:r>
      <w:r w:rsidRPr="006D2070">
        <w:rPr>
          <w:rFonts w:ascii="Abadi" w:hAnsi="Abadi" w:cs="Arial"/>
          <w:sz w:val="21"/>
          <w:szCs w:val="21"/>
          <w:lang w:val="es-MX" w:eastAsia="es-MX"/>
        </w:rPr>
        <w:t>inicie a la brevedad una auditoría financiera integral al municipio de San Miguel de Allende, Gto., que incluya al menos, la verificación del apego a la legalidad de la adjudicación y contratación de bienes y servicios que corresponda, así como el cumplimiento de las cláusulas contractuales de los mismos, por los ejercicios fiscales de 2019, 2020 y 2021</w:t>
      </w:r>
      <w:r w:rsidRPr="006D2070">
        <w:rPr>
          <w:rFonts w:ascii="Abadi" w:hAnsi="Abadi" w:cs="Arial"/>
          <w:sz w:val="21"/>
          <w:szCs w:val="21"/>
          <w:lang w:val="es-MX" w:eastAsia="en-US"/>
        </w:rPr>
        <w:t>. En consecuencia, se ordena su archivo definitivo.</w:t>
      </w:r>
    </w:p>
    <w:p w14:paraId="690E6D1F" w14:textId="77777777" w:rsidR="006D2070" w:rsidRPr="006D2070" w:rsidRDefault="006D2070" w:rsidP="006D2070">
      <w:pPr>
        <w:spacing w:after="160" w:line="259" w:lineRule="auto"/>
        <w:ind w:firstLine="708"/>
        <w:jc w:val="both"/>
        <w:rPr>
          <w:rFonts w:ascii="Abadi" w:hAnsi="Abadi" w:cs="Arial"/>
          <w:sz w:val="21"/>
          <w:szCs w:val="21"/>
          <w:lang w:val="es-MX" w:eastAsia="en-US"/>
        </w:rPr>
      </w:pPr>
      <w:r w:rsidRPr="006D2070">
        <w:rPr>
          <w:rFonts w:ascii="Abadi" w:hAnsi="Abadi" w:cs="Arial"/>
          <w:sz w:val="21"/>
          <w:szCs w:val="21"/>
          <w:lang w:val="es-MX" w:eastAsia="en-US"/>
        </w:rPr>
        <w:t xml:space="preserve">Comuníquese el presente acuerdo al Secretario General del Congreso de Estado, para los efectos conducentes. </w:t>
      </w:r>
    </w:p>
    <w:p w14:paraId="697D2F2D" w14:textId="77777777" w:rsidR="006D2070" w:rsidRPr="006D2070" w:rsidRDefault="006D2070" w:rsidP="00384CC9">
      <w:pPr>
        <w:jc w:val="center"/>
        <w:rPr>
          <w:rFonts w:ascii="Abadi" w:hAnsi="Abadi"/>
          <w:b/>
          <w:bCs/>
          <w:sz w:val="21"/>
          <w:szCs w:val="21"/>
          <w:lang w:val="es-MX" w:eastAsia="x-none"/>
        </w:rPr>
      </w:pPr>
      <w:r w:rsidRPr="006D2070">
        <w:rPr>
          <w:rFonts w:ascii="Abadi" w:hAnsi="Abadi"/>
          <w:b/>
          <w:bCs/>
          <w:sz w:val="21"/>
          <w:szCs w:val="21"/>
          <w:lang w:val="es-MX" w:eastAsia="x-none"/>
        </w:rPr>
        <w:t>Guanajuato, Gto., 16 de junio de 2022</w:t>
      </w:r>
    </w:p>
    <w:p w14:paraId="0287C74A" w14:textId="77777777" w:rsidR="006D2070" w:rsidRPr="006D2070" w:rsidRDefault="006D2070" w:rsidP="00384CC9">
      <w:pPr>
        <w:jc w:val="center"/>
        <w:rPr>
          <w:rFonts w:ascii="Abadi" w:hAnsi="Abadi"/>
          <w:b/>
          <w:bCs/>
          <w:sz w:val="21"/>
          <w:szCs w:val="21"/>
          <w:lang w:val="es-MX" w:eastAsia="x-none"/>
        </w:rPr>
      </w:pPr>
      <w:smartTag w:uri="urn:schemas-microsoft-com:office:smarttags" w:element="PersonName">
        <w:smartTagPr>
          <w:attr w:name="ProductID" w:val="La Comisi￳n"/>
        </w:smartTagPr>
        <w:r w:rsidRPr="006D2070">
          <w:rPr>
            <w:rFonts w:ascii="Abadi" w:hAnsi="Abadi"/>
            <w:b/>
            <w:bCs/>
            <w:sz w:val="21"/>
            <w:szCs w:val="21"/>
            <w:lang w:val="es-MX" w:eastAsia="x-none"/>
          </w:rPr>
          <w:t>La Comisión</w:t>
        </w:r>
      </w:smartTag>
      <w:r w:rsidRPr="006D2070">
        <w:rPr>
          <w:rFonts w:ascii="Abadi" w:hAnsi="Abadi"/>
          <w:b/>
          <w:bCs/>
          <w:sz w:val="21"/>
          <w:szCs w:val="21"/>
          <w:lang w:val="es-MX" w:eastAsia="x-none"/>
        </w:rPr>
        <w:t xml:space="preserve"> de Hacienda y Fiscalización</w:t>
      </w:r>
    </w:p>
    <w:p w14:paraId="2DB18290" w14:textId="77777777" w:rsidR="006D2070" w:rsidRPr="006D2070" w:rsidRDefault="006D2070" w:rsidP="00384CC9">
      <w:pPr>
        <w:spacing w:after="160" w:line="259" w:lineRule="auto"/>
        <w:rPr>
          <w:rFonts w:ascii="Abadi" w:hAnsi="Abadi"/>
          <w:sz w:val="21"/>
          <w:szCs w:val="21"/>
          <w:lang w:val="es-MX" w:eastAsia="en-US"/>
        </w:rPr>
      </w:pPr>
    </w:p>
    <w:p w14:paraId="2D89AECB" w14:textId="023CC1DB" w:rsidR="006D2070" w:rsidRPr="006D2070" w:rsidRDefault="006D2070" w:rsidP="00384CC9">
      <w:pPr>
        <w:spacing w:after="160" w:line="259" w:lineRule="auto"/>
        <w:jc w:val="center"/>
        <w:rPr>
          <w:rFonts w:ascii="Abadi" w:hAnsi="Abadi"/>
          <w:sz w:val="21"/>
          <w:szCs w:val="21"/>
          <w:lang w:val="es-MX" w:eastAsia="en-US"/>
        </w:rPr>
      </w:pPr>
      <w:r w:rsidRPr="006D2070">
        <w:rPr>
          <w:rFonts w:ascii="Abadi" w:hAnsi="Abadi"/>
          <w:b/>
          <w:sz w:val="21"/>
          <w:szCs w:val="21"/>
          <w:lang w:val="es-MX" w:eastAsia="x-none"/>
        </w:rPr>
        <w:t>Diputado Víctor Manuel Zanella Huerta</w:t>
      </w:r>
    </w:p>
    <w:p w14:paraId="1603681B" w14:textId="2EF2E485" w:rsidR="006D2070" w:rsidRPr="006D2070" w:rsidRDefault="006D2070" w:rsidP="00384CC9">
      <w:pPr>
        <w:spacing w:after="160" w:line="259" w:lineRule="auto"/>
        <w:jc w:val="center"/>
        <w:rPr>
          <w:rFonts w:ascii="Abadi" w:hAnsi="Abadi"/>
          <w:b/>
          <w:sz w:val="21"/>
          <w:szCs w:val="21"/>
          <w:lang w:val="es-MX" w:eastAsia="x-none"/>
        </w:rPr>
      </w:pPr>
      <w:r w:rsidRPr="006D2070">
        <w:rPr>
          <w:rFonts w:ascii="Abadi" w:hAnsi="Abadi"/>
          <w:b/>
          <w:sz w:val="21"/>
          <w:szCs w:val="21"/>
          <w:lang w:val="es-MX" w:eastAsia="x-none"/>
        </w:rPr>
        <w:t>Diputada Ruth Noemí Tiscareño Agoitia</w:t>
      </w:r>
    </w:p>
    <w:p w14:paraId="5434C813" w14:textId="0AFF095B" w:rsidR="006D2070" w:rsidRPr="006D2070" w:rsidRDefault="006D2070" w:rsidP="00384CC9">
      <w:pPr>
        <w:spacing w:after="160" w:line="259" w:lineRule="auto"/>
        <w:jc w:val="center"/>
        <w:rPr>
          <w:rFonts w:ascii="Abadi" w:hAnsi="Abadi"/>
          <w:b/>
          <w:sz w:val="21"/>
          <w:szCs w:val="21"/>
          <w:lang w:val="es-MX" w:eastAsia="x-none"/>
        </w:rPr>
      </w:pPr>
      <w:r w:rsidRPr="006D2070">
        <w:rPr>
          <w:rFonts w:ascii="Abadi" w:hAnsi="Abadi"/>
          <w:b/>
          <w:sz w:val="21"/>
          <w:szCs w:val="21"/>
          <w:lang w:val="es-MX" w:eastAsia="x-none"/>
        </w:rPr>
        <w:t>Diputado Miguel Ángel Salim Alle</w:t>
      </w:r>
    </w:p>
    <w:p w14:paraId="124AD239" w14:textId="5280D0F2" w:rsidR="006D2070" w:rsidRPr="006D2070" w:rsidRDefault="006D2070" w:rsidP="00384CC9">
      <w:pPr>
        <w:spacing w:after="160" w:line="259" w:lineRule="auto"/>
        <w:jc w:val="center"/>
        <w:rPr>
          <w:rFonts w:ascii="Abadi" w:hAnsi="Abadi"/>
          <w:b/>
          <w:sz w:val="21"/>
          <w:szCs w:val="21"/>
          <w:lang w:val="es-MX" w:eastAsia="x-none"/>
        </w:rPr>
      </w:pPr>
      <w:r w:rsidRPr="006D2070">
        <w:rPr>
          <w:rFonts w:ascii="Abadi" w:hAnsi="Abadi"/>
          <w:b/>
          <w:sz w:val="21"/>
          <w:szCs w:val="21"/>
          <w:lang w:val="es-MX" w:eastAsia="x-none"/>
        </w:rPr>
        <w:t>Diputado José Alfonso Borja Pimentel</w:t>
      </w:r>
    </w:p>
    <w:p w14:paraId="5B6F9332" w14:textId="77777777" w:rsidR="006D2070" w:rsidRPr="006D2070" w:rsidRDefault="006D2070" w:rsidP="00384CC9">
      <w:pPr>
        <w:spacing w:after="160" w:line="259" w:lineRule="auto"/>
        <w:jc w:val="center"/>
        <w:rPr>
          <w:rFonts w:ascii="Abadi" w:hAnsi="Abadi"/>
          <w:b/>
          <w:sz w:val="21"/>
          <w:szCs w:val="21"/>
          <w:lang w:val="es-MX" w:eastAsia="x-none"/>
        </w:rPr>
      </w:pPr>
      <w:r w:rsidRPr="006D2070">
        <w:rPr>
          <w:rFonts w:ascii="Abadi" w:hAnsi="Abadi"/>
          <w:b/>
          <w:sz w:val="21"/>
          <w:szCs w:val="21"/>
          <w:lang w:val="es-MX" w:eastAsia="x-none"/>
        </w:rPr>
        <w:t>Diputada Alma Edwviges Alcaraz Hernández</w:t>
      </w:r>
    </w:p>
    <w:p w14:paraId="1954368E" w14:textId="4EBDA1E7" w:rsidR="00CD493D" w:rsidRPr="00CD493D" w:rsidRDefault="00CD493D" w:rsidP="00CD493D">
      <w:pPr>
        <w:tabs>
          <w:tab w:val="left" w:pos="856"/>
        </w:tabs>
        <w:kinsoku w:val="0"/>
        <w:overflowPunct w:val="0"/>
        <w:autoSpaceDE w:val="0"/>
        <w:autoSpaceDN w:val="0"/>
        <w:adjustRightInd w:val="0"/>
        <w:ind w:left="360" w:right="17"/>
        <w:jc w:val="both"/>
        <w:rPr>
          <w:rFonts w:ascii="Abadi" w:hAnsi="Abadi"/>
          <w:sz w:val="20"/>
          <w:szCs w:val="20"/>
        </w:rPr>
      </w:pPr>
    </w:p>
    <w:p w14:paraId="5BF8FD39" w14:textId="77777777" w:rsidR="00CD493D" w:rsidRPr="00CD493D" w:rsidRDefault="00CD493D" w:rsidP="00CD493D">
      <w:pPr>
        <w:tabs>
          <w:tab w:val="left" w:pos="856"/>
        </w:tabs>
        <w:kinsoku w:val="0"/>
        <w:overflowPunct w:val="0"/>
        <w:autoSpaceDE w:val="0"/>
        <w:autoSpaceDN w:val="0"/>
        <w:adjustRightInd w:val="0"/>
        <w:ind w:left="360" w:right="17"/>
        <w:jc w:val="both"/>
        <w:rPr>
          <w:rFonts w:ascii="Abadi" w:hAnsi="Abadi"/>
          <w:b/>
          <w:bCs/>
          <w:sz w:val="20"/>
          <w:szCs w:val="20"/>
        </w:rPr>
      </w:pPr>
    </w:p>
    <w:p w14:paraId="2E60FD35" w14:textId="23EC3AC3" w:rsidR="00AD7A9F" w:rsidRDefault="00AD7A9F"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6"/>
          <w:sz w:val="20"/>
          <w:szCs w:val="20"/>
        </w:rPr>
        <w:t xml:space="preserve"> </w:t>
      </w:r>
      <w:r w:rsidRPr="00531B12">
        <w:rPr>
          <w:rFonts w:ascii="Abadi" w:hAnsi="Abadi"/>
          <w:b/>
          <w:bCs/>
          <w:sz w:val="20"/>
          <w:szCs w:val="20"/>
        </w:rPr>
        <w:t>Y,</w:t>
      </w:r>
      <w:r w:rsidRPr="00531B12">
        <w:rPr>
          <w:rFonts w:ascii="Abadi" w:hAnsi="Abadi"/>
          <w:b/>
          <w:bCs/>
          <w:spacing w:val="15"/>
          <w:sz w:val="20"/>
          <w:szCs w:val="20"/>
        </w:rPr>
        <w:t xml:space="preserve"> </w:t>
      </w:r>
      <w:r w:rsidRPr="00531B12">
        <w:rPr>
          <w:rFonts w:ascii="Abadi" w:hAnsi="Abadi"/>
          <w:b/>
          <w:bCs/>
          <w:sz w:val="20"/>
          <w:szCs w:val="20"/>
        </w:rPr>
        <w:t>EN</w:t>
      </w:r>
      <w:r w:rsidRPr="00531B12">
        <w:rPr>
          <w:rFonts w:ascii="Abadi" w:hAnsi="Abadi"/>
          <w:b/>
          <w:bCs/>
          <w:spacing w:val="16"/>
          <w:sz w:val="20"/>
          <w:szCs w:val="20"/>
        </w:rPr>
        <w:t xml:space="preserve"> </w:t>
      </w:r>
      <w:r w:rsidRPr="00531B12">
        <w:rPr>
          <w:rFonts w:ascii="Abadi" w:hAnsi="Abadi"/>
          <w:b/>
          <w:bCs/>
          <w:sz w:val="20"/>
          <w:szCs w:val="20"/>
        </w:rPr>
        <w:t>SU</w:t>
      </w:r>
      <w:r w:rsidRPr="00531B12">
        <w:rPr>
          <w:rFonts w:ascii="Abadi" w:hAnsi="Abadi"/>
          <w:b/>
          <w:bCs/>
          <w:spacing w:val="16"/>
          <w:sz w:val="20"/>
          <w:szCs w:val="20"/>
        </w:rPr>
        <w:t xml:space="preserve"> </w:t>
      </w:r>
      <w:r w:rsidRPr="00531B12">
        <w:rPr>
          <w:rFonts w:ascii="Abadi" w:hAnsi="Abadi"/>
          <w:b/>
          <w:bCs/>
          <w:sz w:val="20"/>
          <w:szCs w:val="20"/>
        </w:rPr>
        <w:t>CASO,</w:t>
      </w:r>
      <w:r w:rsidRPr="00531B12">
        <w:rPr>
          <w:rFonts w:ascii="Abadi" w:hAnsi="Abadi"/>
          <w:b/>
          <w:bCs/>
          <w:spacing w:val="15"/>
          <w:sz w:val="20"/>
          <w:szCs w:val="20"/>
        </w:rPr>
        <w:t xml:space="preserve"> </w:t>
      </w:r>
      <w:r w:rsidRPr="00531B12">
        <w:rPr>
          <w:rFonts w:ascii="Abadi" w:hAnsi="Abadi"/>
          <w:b/>
          <w:bCs/>
          <w:sz w:val="20"/>
          <w:szCs w:val="20"/>
        </w:rPr>
        <w:t>APROBACIÓN</w:t>
      </w:r>
      <w:r w:rsidRPr="00531B12">
        <w:rPr>
          <w:rFonts w:ascii="Abadi" w:hAnsi="Abadi"/>
          <w:b/>
          <w:bCs/>
          <w:spacing w:val="16"/>
          <w:sz w:val="20"/>
          <w:szCs w:val="20"/>
        </w:rPr>
        <w:t xml:space="preserve"> </w:t>
      </w:r>
      <w:r w:rsidRPr="00531B12">
        <w:rPr>
          <w:rFonts w:ascii="Abadi" w:hAnsi="Abadi"/>
          <w:b/>
          <w:bCs/>
          <w:sz w:val="20"/>
          <w:szCs w:val="20"/>
        </w:rPr>
        <w:t>DEL</w:t>
      </w:r>
      <w:r w:rsidRPr="00531B12">
        <w:rPr>
          <w:rFonts w:ascii="Abadi" w:hAnsi="Abadi"/>
          <w:b/>
          <w:bCs/>
          <w:spacing w:val="15"/>
          <w:sz w:val="20"/>
          <w:szCs w:val="20"/>
        </w:rPr>
        <w:t xml:space="preserve"> </w:t>
      </w:r>
      <w:r w:rsidRPr="00531B12">
        <w:rPr>
          <w:rFonts w:ascii="Abadi" w:hAnsi="Abadi"/>
          <w:b/>
          <w:bCs/>
          <w:sz w:val="20"/>
          <w:szCs w:val="20"/>
        </w:rPr>
        <w:t>DICTAMEN</w:t>
      </w:r>
      <w:r w:rsidRPr="00531B12">
        <w:rPr>
          <w:rFonts w:ascii="Abadi" w:hAnsi="Abadi"/>
          <w:b/>
          <w:bCs/>
          <w:spacing w:val="16"/>
          <w:sz w:val="20"/>
          <w:szCs w:val="20"/>
        </w:rPr>
        <w:t xml:space="preserve"> </w:t>
      </w:r>
      <w:r w:rsidRPr="00531B12">
        <w:rPr>
          <w:rFonts w:ascii="Abadi" w:hAnsi="Abadi"/>
          <w:b/>
          <w:bCs/>
          <w:sz w:val="20"/>
          <w:szCs w:val="20"/>
        </w:rPr>
        <w:t>EMITIDO</w:t>
      </w:r>
      <w:r w:rsidRPr="00531B12">
        <w:rPr>
          <w:rFonts w:ascii="Abadi" w:hAnsi="Abadi"/>
          <w:b/>
          <w:bCs/>
          <w:spacing w:val="15"/>
          <w:sz w:val="20"/>
          <w:szCs w:val="20"/>
        </w:rPr>
        <w:t xml:space="preserve"> </w:t>
      </w:r>
      <w:r w:rsidRPr="00531B12">
        <w:rPr>
          <w:rFonts w:ascii="Abadi" w:hAnsi="Abadi"/>
          <w:b/>
          <w:bCs/>
          <w:sz w:val="20"/>
          <w:szCs w:val="20"/>
        </w:rPr>
        <w:t>POR</w:t>
      </w:r>
      <w:r w:rsidRPr="00531B12">
        <w:rPr>
          <w:rFonts w:ascii="Abadi" w:hAnsi="Abadi"/>
          <w:b/>
          <w:bCs/>
          <w:spacing w:val="15"/>
          <w:sz w:val="20"/>
          <w:szCs w:val="20"/>
        </w:rPr>
        <w:t xml:space="preserve"> </w:t>
      </w:r>
      <w:r w:rsidRPr="00531B12">
        <w:rPr>
          <w:rFonts w:ascii="Abadi" w:hAnsi="Abadi"/>
          <w:b/>
          <w:bCs/>
          <w:sz w:val="20"/>
          <w:szCs w:val="20"/>
        </w:rPr>
        <w:t>LA</w:t>
      </w:r>
      <w:r w:rsidRPr="00531B12">
        <w:rPr>
          <w:rFonts w:ascii="Abadi" w:hAnsi="Abadi"/>
          <w:b/>
          <w:bCs/>
          <w:spacing w:val="16"/>
          <w:sz w:val="20"/>
          <w:szCs w:val="20"/>
        </w:rPr>
        <w:t xml:space="preserve"> </w:t>
      </w:r>
      <w:r w:rsidRPr="00531B12">
        <w:rPr>
          <w:rFonts w:ascii="Abadi" w:hAnsi="Abadi"/>
          <w:b/>
          <w:bCs/>
          <w:sz w:val="20"/>
          <w:szCs w:val="20"/>
        </w:rPr>
        <w:t>COMISIÓN</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32"/>
          <w:sz w:val="20"/>
          <w:szCs w:val="20"/>
        </w:rPr>
        <w:t xml:space="preserve"> </w:t>
      </w:r>
      <w:r w:rsidRPr="00531B12">
        <w:rPr>
          <w:rFonts w:ascii="Abadi" w:hAnsi="Abadi"/>
          <w:b/>
          <w:bCs/>
          <w:sz w:val="20"/>
          <w:szCs w:val="20"/>
        </w:rPr>
        <w:t>HACIENDA</w:t>
      </w:r>
      <w:r w:rsidRPr="00531B12">
        <w:rPr>
          <w:rFonts w:ascii="Abadi" w:hAnsi="Abadi"/>
          <w:b/>
          <w:bCs/>
          <w:spacing w:val="32"/>
          <w:sz w:val="20"/>
          <w:szCs w:val="20"/>
        </w:rPr>
        <w:t xml:space="preserve"> </w:t>
      </w:r>
      <w:r w:rsidRPr="00531B12">
        <w:rPr>
          <w:rFonts w:ascii="Abadi" w:hAnsi="Abadi"/>
          <w:b/>
          <w:bCs/>
          <w:sz w:val="20"/>
          <w:szCs w:val="20"/>
        </w:rPr>
        <w:t>Y</w:t>
      </w:r>
      <w:r w:rsidRPr="00531B12">
        <w:rPr>
          <w:rFonts w:ascii="Abadi" w:hAnsi="Abadi"/>
          <w:b/>
          <w:bCs/>
          <w:spacing w:val="32"/>
          <w:sz w:val="20"/>
          <w:szCs w:val="20"/>
        </w:rPr>
        <w:t xml:space="preserve"> </w:t>
      </w:r>
      <w:r w:rsidRPr="00531B12">
        <w:rPr>
          <w:rFonts w:ascii="Abadi" w:hAnsi="Abadi"/>
          <w:b/>
          <w:bCs/>
          <w:sz w:val="20"/>
          <w:szCs w:val="20"/>
        </w:rPr>
        <w:t>FISCALIZACIÓN</w:t>
      </w:r>
      <w:r w:rsidRPr="00531B12">
        <w:rPr>
          <w:rFonts w:ascii="Abadi" w:hAnsi="Abadi"/>
          <w:b/>
          <w:bCs/>
          <w:spacing w:val="32"/>
          <w:sz w:val="20"/>
          <w:szCs w:val="20"/>
        </w:rPr>
        <w:t xml:space="preserve"> </w:t>
      </w:r>
      <w:r w:rsidRPr="00531B12">
        <w:rPr>
          <w:rFonts w:ascii="Abadi" w:hAnsi="Abadi"/>
          <w:b/>
          <w:bCs/>
          <w:sz w:val="20"/>
          <w:szCs w:val="20"/>
        </w:rPr>
        <w:t>RELATIVO</w:t>
      </w:r>
      <w:r w:rsidRPr="00531B12">
        <w:rPr>
          <w:rFonts w:ascii="Abadi" w:hAnsi="Abadi"/>
          <w:b/>
          <w:bCs/>
          <w:spacing w:val="32"/>
          <w:sz w:val="20"/>
          <w:szCs w:val="20"/>
        </w:rPr>
        <w:t xml:space="preserve"> </w:t>
      </w:r>
      <w:r w:rsidRPr="00531B12">
        <w:rPr>
          <w:rFonts w:ascii="Abadi" w:hAnsi="Abadi"/>
          <w:b/>
          <w:bCs/>
          <w:sz w:val="20"/>
          <w:szCs w:val="20"/>
        </w:rPr>
        <w:t>A</w:t>
      </w:r>
      <w:r w:rsidRPr="00531B12">
        <w:rPr>
          <w:rFonts w:ascii="Abadi" w:hAnsi="Abadi"/>
          <w:b/>
          <w:bCs/>
          <w:spacing w:val="33"/>
          <w:sz w:val="20"/>
          <w:szCs w:val="20"/>
        </w:rPr>
        <w:t xml:space="preserve"> </w:t>
      </w:r>
      <w:r w:rsidRPr="00531B12">
        <w:rPr>
          <w:rFonts w:ascii="Abadi" w:hAnsi="Abadi"/>
          <w:b/>
          <w:bCs/>
          <w:sz w:val="20"/>
          <w:szCs w:val="20"/>
        </w:rPr>
        <w:t>LA</w:t>
      </w:r>
      <w:r w:rsidRPr="00531B12">
        <w:rPr>
          <w:rFonts w:ascii="Abadi" w:hAnsi="Abadi"/>
          <w:b/>
          <w:bCs/>
          <w:spacing w:val="33"/>
          <w:sz w:val="20"/>
          <w:szCs w:val="20"/>
        </w:rPr>
        <w:t xml:space="preserve"> </w:t>
      </w:r>
      <w:r w:rsidRPr="00531B12">
        <w:rPr>
          <w:rFonts w:ascii="Abadi" w:hAnsi="Abadi"/>
          <w:b/>
          <w:bCs/>
          <w:sz w:val="20"/>
          <w:szCs w:val="20"/>
        </w:rPr>
        <w:t>PROPUESTA</w:t>
      </w:r>
      <w:r w:rsidRPr="00531B12">
        <w:rPr>
          <w:rFonts w:ascii="Abadi" w:hAnsi="Abadi"/>
          <w:b/>
          <w:bCs/>
          <w:spacing w:val="33"/>
          <w:sz w:val="20"/>
          <w:szCs w:val="20"/>
        </w:rPr>
        <w:t xml:space="preserve"> </w:t>
      </w:r>
      <w:r w:rsidRPr="00531B12">
        <w:rPr>
          <w:rFonts w:ascii="Abadi" w:hAnsi="Abadi"/>
          <w:b/>
          <w:bCs/>
          <w:sz w:val="20"/>
          <w:szCs w:val="20"/>
        </w:rPr>
        <w:t>DE</w:t>
      </w:r>
      <w:r w:rsidRPr="00531B12">
        <w:rPr>
          <w:rFonts w:ascii="Abadi" w:hAnsi="Abadi"/>
          <w:b/>
          <w:bCs/>
          <w:spacing w:val="33"/>
          <w:sz w:val="20"/>
          <w:szCs w:val="20"/>
        </w:rPr>
        <w:t xml:space="preserve"> </w:t>
      </w:r>
      <w:r w:rsidRPr="00531B12">
        <w:rPr>
          <w:rFonts w:ascii="Abadi" w:hAnsi="Abadi"/>
          <w:b/>
          <w:bCs/>
          <w:sz w:val="20"/>
          <w:szCs w:val="20"/>
        </w:rPr>
        <w:t>PUNTO</w:t>
      </w:r>
      <w:r w:rsidRPr="00531B12">
        <w:rPr>
          <w:rFonts w:ascii="Abadi" w:hAnsi="Abadi"/>
          <w:b/>
          <w:bCs/>
          <w:spacing w:val="33"/>
          <w:sz w:val="20"/>
          <w:szCs w:val="20"/>
        </w:rPr>
        <w:t xml:space="preserve"> </w:t>
      </w:r>
      <w:r w:rsidRPr="00531B12">
        <w:rPr>
          <w:rFonts w:ascii="Abadi" w:hAnsi="Abadi"/>
          <w:b/>
          <w:bCs/>
          <w:sz w:val="20"/>
          <w:szCs w:val="20"/>
        </w:rPr>
        <w:t>DE</w:t>
      </w:r>
      <w:r w:rsidRPr="00531B12">
        <w:rPr>
          <w:rFonts w:ascii="Abadi" w:hAnsi="Abadi"/>
          <w:b/>
          <w:bCs/>
          <w:spacing w:val="33"/>
          <w:sz w:val="20"/>
          <w:szCs w:val="20"/>
        </w:rPr>
        <w:t xml:space="preserve"> </w:t>
      </w:r>
      <w:r w:rsidRPr="00531B12">
        <w:rPr>
          <w:rFonts w:ascii="Abadi" w:hAnsi="Abadi"/>
          <w:b/>
          <w:bCs/>
          <w:sz w:val="20"/>
          <w:szCs w:val="20"/>
        </w:rPr>
        <w:t>ACUERDO</w:t>
      </w:r>
      <w:r w:rsidRPr="00531B12">
        <w:rPr>
          <w:rFonts w:ascii="Abadi" w:hAnsi="Abadi"/>
          <w:b/>
          <w:bCs/>
          <w:spacing w:val="-2"/>
          <w:sz w:val="20"/>
          <w:szCs w:val="20"/>
        </w:rPr>
        <w:t xml:space="preserve"> </w:t>
      </w:r>
      <w:r w:rsidRPr="00531B12">
        <w:rPr>
          <w:rFonts w:ascii="Abadi" w:hAnsi="Abadi"/>
          <w:b/>
          <w:bCs/>
          <w:sz w:val="20"/>
          <w:szCs w:val="20"/>
        </w:rPr>
        <w:t>FORMULADA</w:t>
      </w:r>
      <w:r w:rsidRPr="00531B12">
        <w:rPr>
          <w:rFonts w:ascii="Abadi" w:hAnsi="Abadi"/>
          <w:b/>
          <w:bCs/>
          <w:spacing w:val="-14"/>
          <w:sz w:val="20"/>
          <w:szCs w:val="20"/>
        </w:rPr>
        <w:t xml:space="preserve"> </w:t>
      </w:r>
      <w:r w:rsidRPr="00531B12">
        <w:rPr>
          <w:rFonts w:ascii="Abadi" w:hAnsi="Abadi"/>
          <w:b/>
          <w:bCs/>
          <w:sz w:val="20"/>
          <w:szCs w:val="20"/>
        </w:rPr>
        <w:t>POR</w:t>
      </w:r>
      <w:r w:rsidRPr="00531B12">
        <w:rPr>
          <w:rFonts w:ascii="Abadi" w:hAnsi="Abadi"/>
          <w:b/>
          <w:bCs/>
          <w:spacing w:val="-15"/>
          <w:sz w:val="20"/>
          <w:szCs w:val="20"/>
        </w:rPr>
        <w:t xml:space="preserve"> </w:t>
      </w:r>
      <w:r w:rsidRPr="00531B12">
        <w:rPr>
          <w:rFonts w:ascii="Abadi" w:hAnsi="Abadi"/>
          <w:b/>
          <w:bCs/>
          <w:sz w:val="20"/>
          <w:szCs w:val="20"/>
        </w:rPr>
        <w:t>LA</w:t>
      </w:r>
      <w:r w:rsidRPr="00531B12">
        <w:rPr>
          <w:rFonts w:ascii="Abadi" w:hAnsi="Abadi"/>
          <w:b/>
          <w:bCs/>
          <w:spacing w:val="-15"/>
          <w:sz w:val="20"/>
          <w:szCs w:val="20"/>
        </w:rPr>
        <w:t xml:space="preserve"> </w:t>
      </w:r>
      <w:r w:rsidRPr="00531B12">
        <w:rPr>
          <w:rFonts w:ascii="Abadi" w:hAnsi="Abadi"/>
          <w:b/>
          <w:bCs/>
          <w:sz w:val="20"/>
          <w:szCs w:val="20"/>
        </w:rPr>
        <w:t>DIPUTADA</w:t>
      </w:r>
      <w:r w:rsidRPr="00531B12">
        <w:rPr>
          <w:rFonts w:ascii="Abadi" w:hAnsi="Abadi"/>
          <w:b/>
          <w:bCs/>
          <w:spacing w:val="-15"/>
          <w:sz w:val="20"/>
          <w:szCs w:val="20"/>
        </w:rPr>
        <w:t xml:space="preserve"> </w:t>
      </w:r>
      <w:r w:rsidRPr="00531B12">
        <w:rPr>
          <w:rFonts w:ascii="Abadi" w:hAnsi="Abadi"/>
          <w:b/>
          <w:bCs/>
          <w:sz w:val="20"/>
          <w:szCs w:val="20"/>
        </w:rPr>
        <w:t>ALMA</w:t>
      </w:r>
      <w:r w:rsidRPr="00531B12">
        <w:rPr>
          <w:rFonts w:ascii="Abadi" w:hAnsi="Abadi"/>
          <w:b/>
          <w:bCs/>
          <w:spacing w:val="-15"/>
          <w:sz w:val="20"/>
          <w:szCs w:val="20"/>
        </w:rPr>
        <w:t xml:space="preserve"> </w:t>
      </w:r>
      <w:r w:rsidRPr="00531B12">
        <w:rPr>
          <w:rFonts w:ascii="Abadi" w:hAnsi="Abadi"/>
          <w:b/>
          <w:bCs/>
          <w:sz w:val="20"/>
          <w:szCs w:val="20"/>
        </w:rPr>
        <w:t>EDWVIGES</w:t>
      </w:r>
      <w:r w:rsidRPr="00531B12">
        <w:rPr>
          <w:rFonts w:ascii="Abadi" w:hAnsi="Abadi"/>
          <w:b/>
          <w:bCs/>
          <w:spacing w:val="-15"/>
          <w:sz w:val="20"/>
          <w:szCs w:val="20"/>
        </w:rPr>
        <w:t xml:space="preserve"> </w:t>
      </w:r>
      <w:r w:rsidRPr="00531B12">
        <w:rPr>
          <w:rFonts w:ascii="Abadi" w:hAnsi="Abadi"/>
          <w:b/>
          <w:bCs/>
          <w:sz w:val="20"/>
          <w:szCs w:val="20"/>
        </w:rPr>
        <w:t>ALCARAZ</w:t>
      </w:r>
      <w:r w:rsidRPr="00531B12">
        <w:rPr>
          <w:rFonts w:ascii="Abadi" w:hAnsi="Abadi"/>
          <w:b/>
          <w:bCs/>
          <w:spacing w:val="-15"/>
          <w:sz w:val="20"/>
          <w:szCs w:val="20"/>
        </w:rPr>
        <w:t xml:space="preserve"> </w:t>
      </w:r>
      <w:r w:rsidRPr="00531B12">
        <w:rPr>
          <w:rFonts w:ascii="Abadi" w:hAnsi="Abadi"/>
          <w:b/>
          <w:bCs/>
          <w:sz w:val="20"/>
          <w:szCs w:val="20"/>
        </w:rPr>
        <w:t>HERNÁNDEZ,</w:t>
      </w:r>
      <w:r w:rsidRPr="00531B12">
        <w:rPr>
          <w:rFonts w:ascii="Abadi" w:hAnsi="Abadi"/>
          <w:b/>
          <w:bCs/>
          <w:spacing w:val="-15"/>
          <w:sz w:val="20"/>
          <w:szCs w:val="20"/>
        </w:rPr>
        <w:t xml:space="preserve"> </w:t>
      </w:r>
      <w:r w:rsidRPr="00531B12">
        <w:rPr>
          <w:rFonts w:ascii="Abadi" w:hAnsi="Abadi"/>
          <w:b/>
          <w:bCs/>
          <w:sz w:val="20"/>
          <w:szCs w:val="20"/>
        </w:rPr>
        <w:t>INTEGRANTE</w:t>
      </w:r>
      <w:r w:rsidRPr="00531B12">
        <w:rPr>
          <w:rFonts w:ascii="Abadi" w:hAnsi="Abadi"/>
          <w:b/>
          <w:bCs/>
          <w:spacing w:val="-15"/>
          <w:sz w:val="20"/>
          <w:szCs w:val="20"/>
        </w:rPr>
        <w:t xml:space="preserve"> </w:t>
      </w:r>
      <w:r w:rsidRPr="00531B12">
        <w:rPr>
          <w:rFonts w:ascii="Abadi" w:hAnsi="Abadi"/>
          <w:b/>
          <w:bCs/>
          <w:sz w:val="20"/>
          <w:szCs w:val="20"/>
        </w:rPr>
        <w:t>DEL</w:t>
      </w:r>
      <w:r w:rsidRPr="00531B12">
        <w:rPr>
          <w:rFonts w:ascii="Abadi" w:hAnsi="Abadi"/>
          <w:b/>
          <w:bCs/>
          <w:spacing w:val="-2"/>
          <w:sz w:val="20"/>
          <w:szCs w:val="20"/>
        </w:rPr>
        <w:t xml:space="preserve"> </w:t>
      </w:r>
      <w:r w:rsidRPr="00531B12">
        <w:rPr>
          <w:rFonts w:ascii="Abadi" w:hAnsi="Abadi"/>
          <w:b/>
          <w:bCs/>
          <w:sz w:val="20"/>
          <w:szCs w:val="20"/>
        </w:rPr>
        <w:t>GRUPO PARLAMENTARIO DEL</w:t>
      </w:r>
      <w:r w:rsidRPr="00531B12">
        <w:rPr>
          <w:rFonts w:ascii="Abadi" w:hAnsi="Abadi"/>
          <w:b/>
          <w:bCs/>
          <w:spacing w:val="-1"/>
          <w:sz w:val="20"/>
          <w:szCs w:val="20"/>
        </w:rPr>
        <w:t xml:space="preserve"> </w:t>
      </w:r>
      <w:r w:rsidRPr="00531B12">
        <w:rPr>
          <w:rFonts w:ascii="Abadi" w:hAnsi="Abadi"/>
          <w:b/>
          <w:bCs/>
          <w:sz w:val="20"/>
          <w:szCs w:val="20"/>
        </w:rPr>
        <w:t>PARTIDO MORENA</w:t>
      </w:r>
      <w:r w:rsidRPr="00531B12">
        <w:rPr>
          <w:rFonts w:ascii="Abadi" w:hAnsi="Abadi"/>
          <w:b/>
          <w:bCs/>
          <w:spacing w:val="-1"/>
          <w:sz w:val="20"/>
          <w:szCs w:val="20"/>
        </w:rPr>
        <w:t xml:space="preserve"> </w:t>
      </w:r>
      <w:r w:rsidRPr="00531B12">
        <w:rPr>
          <w:rFonts w:ascii="Abadi" w:hAnsi="Abadi"/>
          <w:b/>
          <w:bCs/>
          <w:sz w:val="20"/>
          <w:szCs w:val="20"/>
        </w:rPr>
        <w:t>A EFECTO DE EXHORTAR AL TITULAR DE</w:t>
      </w:r>
      <w:r w:rsidRPr="00531B12">
        <w:rPr>
          <w:rFonts w:ascii="Abadi" w:hAnsi="Abadi"/>
          <w:b/>
          <w:bCs/>
          <w:spacing w:val="-2"/>
          <w:sz w:val="20"/>
          <w:szCs w:val="20"/>
        </w:rPr>
        <w:t xml:space="preserve"> </w:t>
      </w:r>
      <w:r w:rsidRPr="00531B12">
        <w:rPr>
          <w:rFonts w:ascii="Abadi" w:hAnsi="Abadi"/>
          <w:b/>
          <w:bCs/>
          <w:sz w:val="20"/>
          <w:szCs w:val="20"/>
        </w:rPr>
        <w:t>LA</w:t>
      </w:r>
      <w:r w:rsidRPr="00531B12">
        <w:rPr>
          <w:rFonts w:ascii="Abadi" w:hAnsi="Abadi"/>
          <w:b/>
          <w:bCs/>
          <w:spacing w:val="7"/>
          <w:sz w:val="20"/>
          <w:szCs w:val="20"/>
        </w:rPr>
        <w:t xml:space="preserve"> </w:t>
      </w:r>
      <w:r w:rsidRPr="00531B12">
        <w:rPr>
          <w:rFonts w:ascii="Abadi" w:hAnsi="Abadi"/>
          <w:b/>
          <w:bCs/>
          <w:sz w:val="20"/>
          <w:szCs w:val="20"/>
        </w:rPr>
        <w:t>AUDITORÍA</w:t>
      </w:r>
      <w:r w:rsidRPr="00531B12">
        <w:rPr>
          <w:rFonts w:ascii="Abadi" w:hAnsi="Abadi"/>
          <w:b/>
          <w:bCs/>
          <w:spacing w:val="7"/>
          <w:sz w:val="20"/>
          <w:szCs w:val="20"/>
        </w:rPr>
        <w:t xml:space="preserve"> </w:t>
      </w:r>
      <w:r w:rsidRPr="00531B12">
        <w:rPr>
          <w:rFonts w:ascii="Abadi" w:hAnsi="Abadi"/>
          <w:b/>
          <w:bCs/>
          <w:sz w:val="20"/>
          <w:szCs w:val="20"/>
        </w:rPr>
        <w:t>SUPERIOR</w:t>
      </w:r>
      <w:r w:rsidRPr="00531B12">
        <w:rPr>
          <w:rFonts w:ascii="Abadi" w:hAnsi="Abadi"/>
          <w:b/>
          <w:bCs/>
          <w:spacing w:val="7"/>
          <w:sz w:val="20"/>
          <w:szCs w:val="20"/>
        </w:rPr>
        <w:t xml:space="preserve"> </w:t>
      </w:r>
      <w:r w:rsidRPr="00531B12">
        <w:rPr>
          <w:rFonts w:ascii="Abadi" w:hAnsi="Abadi"/>
          <w:b/>
          <w:bCs/>
          <w:sz w:val="20"/>
          <w:szCs w:val="20"/>
        </w:rPr>
        <w:t>DEL</w:t>
      </w:r>
      <w:r w:rsidRPr="00531B12">
        <w:rPr>
          <w:rFonts w:ascii="Abadi" w:hAnsi="Abadi"/>
          <w:b/>
          <w:bCs/>
          <w:spacing w:val="7"/>
          <w:sz w:val="20"/>
          <w:szCs w:val="20"/>
        </w:rPr>
        <w:t xml:space="preserve"> </w:t>
      </w:r>
      <w:r w:rsidRPr="00531B12">
        <w:rPr>
          <w:rFonts w:ascii="Abadi" w:hAnsi="Abadi"/>
          <w:b/>
          <w:bCs/>
          <w:sz w:val="20"/>
          <w:szCs w:val="20"/>
        </w:rPr>
        <w:t>ESTADO</w:t>
      </w:r>
      <w:r w:rsidRPr="00531B12">
        <w:rPr>
          <w:rFonts w:ascii="Abadi" w:hAnsi="Abadi"/>
          <w:b/>
          <w:bCs/>
          <w:spacing w:val="7"/>
          <w:sz w:val="20"/>
          <w:szCs w:val="20"/>
        </w:rPr>
        <w:t xml:space="preserve"> </w:t>
      </w:r>
      <w:r w:rsidRPr="00531B12">
        <w:rPr>
          <w:rFonts w:ascii="Abadi" w:hAnsi="Abadi"/>
          <w:b/>
          <w:bCs/>
          <w:sz w:val="20"/>
          <w:szCs w:val="20"/>
        </w:rPr>
        <w:t>DE</w:t>
      </w:r>
      <w:r w:rsidRPr="00531B12">
        <w:rPr>
          <w:rFonts w:ascii="Abadi" w:hAnsi="Abadi"/>
          <w:b/>
          <w:bCs/>
          <w:spacing w:val="7"/>
          <w:sz w:val="20"/>
          <w:szCs w:val="20"/>
        </w:rPr>
        <w:t xml:space="preserve"> </w:t>
      </w:r>
      <w:r w:rsidRPr="00531B12">
        <w:rPr>
          <w:rFonts w:ascii="Abadi" w:hAnsi="Abadi"/>
          <w:b/>
          <w:bCs/>
          <w:sz w:val="20"/>
          <w:szCs w:val="20"/>
        </w:rPr>
        <w:t>GUANAJUATO,</w:t>
      </w:r>
      <w:r w:rsidRPr="00531B12">
        <w:rPr>
          <w:rFonts w:ascii="Abadi" w:hAnsi="Abadi"/>
          <w:b/>
          <w:bCs/>
          <w:spacing w:val="7"/>
          <w:sz w:val="20"/>
          <w:szCs w:val="20"/>
        </w:rPr>
        <w:t xml:space="preserve"> </w:t>
      </w:r>
      <w:r w:rsidRPr="00531B12">
        <w:rPr>
          <w:rFonts w:ascii="Abadi" w:hAnsi="Abadi"/>
          <w:b/>
          <w:bCs/>
          <w:sz w:val="20"/>
          <w:szCs w:val="20"/>
        </w:rPr>
        <w:t>PARA</w:t>
      </w:r>
      <w:r w:rsidRPr="00531B12">
        <w:rPr>
          <w:rFonts w:ascii="Abadi" w:hAnsi="Abadi"/>
          <w:b/>
          <w:bCs/>
          <w:spacing w:val="7"/>
          <w:sz w:val="20"/>
          <w:szCs w:val="20"/>
        </w:rPr>
        <w:t xml:space="preserve"> </w:t>
      </w:r>
      <w:r w:rsidRPr="00531B12">
        <w:rPr>
          <w:rFonts w:ascii="Abadi" w:hAnsi="Abadi"/>
          <w:b/>
          <w:bCs/>
          <w:sz w:val="20"/>
          <w:szCs w:val="20"/>
        </w:rPr>
        <w:t>QUE</w:t>
      </w:r>
      <w:r w:rsidRPr="00531B12">
        <w:rPr>
          <w:rFonts w:ascii="Abadi" w:hAnsi="Abadi"/>
          <w:b/>
          <w:bCs/>
          <w:spacing w:val="7"/>
          <w:sz w:val="20"/>
          <w:szCs w:val="20"/>
        </w:rPr>
        <w:t xml:space="preserve"> </w:t>
      </w:r>
      <w:r w:rsidRPr="00531B12">
        <w:rPr>
          <w:rFonts w:ascii="Abadi" w:hAnsi="Abadi"/>
          <w:b/>
          <w:bCs/>
          <w:sz w:val="20"/>
          <w:szCs w:val="20"/>
        </w:rPr>
        <w:t>LLEVE</w:t>
      </w:r>
      <w:r w:rsidRPr="00531B12">
        <w:rPr>
          <w:rFonts w:ascii="Abadi" w:hAnsi="Abadi"/>
          <w:b/>
          <w:bCs/>
          <w:spacing w:val="7"/>
          <w:sz w:val="20"/>
          <w:szCs w:val="20"/>
        </w:rPr>
        <w:t xml:space="preserve"> </w:t>
      </w:r>
      <w:r w:rsidRPr="00531B12">
        <w:rPr>
          <w:rFonts w:ascii="Abadi" w:hAnsi="Abadi"/>
          <w:b/>
          <w:bCs/>
          <w:sz w:val="20"/>
          <w:szCs w:val="20"/>
        </w:rPr>
        <w:t>A</w:t>
      </w:r>
      <w:r w:rsidRPr="00531B12">
        <w:rPr>
          <w:rFonts w:ascii="Abadi" w:hAnsi="Abadi"/>
          <w:b/>
          <w:bCs/>
          <w:spacing w:val="7"/>
          <w:sz w:val="20"/>
          <w:szCs w:val="20"/>
        </w:rPr>
        <w:t xml:space="preserve"> </w:t>
      </w:r>
      <w:r w:rsidRPr="00531B12">
        <w:rPr>
          <w:rFonts w:ascii="Abadi" w:hAnsi="Abadi"/>
          <w:b/>
          <w:bCs/>
          <w:sz w:val="20"/>
          <w:szCs w:val="20"/>
        </w:rPr>
        <w:t>CABO</w:t>
      </w:r>
      <w:r w:rsidRPr="00531B12">
        <w:rPr>
          <w:rFonts w:ascii="Abadi" w:hAnsi="Abadi"/>
          <w:b/>
          <w:bCs/>
          <w:spacing w:val="7"/>
          <w:sz w:val="20"/>
          <w:szCs w:val="20"/>
        </w:rPr>
        <w:t xml:space="preserve"> </w:t>
      </w:r>
      <w:r w:rsidRPr="00531B12">
        <w:rPr>
          <w:rFonts w:ascii="Abadi" w:hAnsi="Abadi"/>
          <w:b/>
          <w:bCs/>
          <w:sz w:val="20"/>
          <w:szCs w:val="20"/>
        </w:rPr>
        <w:t>UNA</w:t>
      </w:r>
      <w:r w:rsidRPr="00531B12">
        <w:rPr>
          <w:rFonts w:ascii="Abadi" w:hAnsi="Abadi"/>
          <w:b/>
          <w:bCs/>
          <w:spacing w:val="-2"/>
          <w:sz w:val="20"/>
          <w:szCs w:val="20"/>
        </w:rPr>
        <w:t xml:space="preserve"> </w:t>
      </w:r>
      <w:r w:rsidRPr="00531B12">
        <w:rPr>
          <w:rFonts w:ascii="Abadi" w:hAnsi="Abadi"/>
          <w:b/>
          <w:bCs/>
          <w:sz w:val="20"/>
          <w:szCs w:val="20"/>
        </w:rPr>
        <w:t>AUDITORÍA AL FIDEICOMISO DE ADMINISTRACIÓN E INVERSIÓN PARA FINANCIAR OBRAS,</w:t>
      </w:r>
      <w:r w:rsidRPr="00531B12">
        <w:rPr>
          <w:rFonts w:ascii="Abadi" w:hAnsi="Abadi"/>
          <w:b/>
          <w:bCs/>
          <w:spacing w:val="-2"/>
          <w:sz w:val="20"/>
          <w:szCs w:val="20"/>
        </w:rPr>
        <w:t xml:space="preserve"> </w:t>
      </w:r>
      <w:r w:rsidRPr="00531B12">
        <w:rPr>
          <w:rFonts w:ascii="Abadi" w:hAnsi="Abadi"/>
          <w:b/>
          <w:bCs/>
          <w:sz w:val="20"/>
          <w:szCs w:val="20"/>
        </w:rPr>
        <w:t>INFRAESTRUCTURA,</w:t>
      </w:r>
      <w:r w:rsidRPr="00531B12">
        <w:rPr>
          <w:rFonts w:ascii="Abadi" w:hAnsi="Abadi"/>
          <w:b/>
          <w:bCs/>
          <w:spacing w:val="34"/>
          <w:sz w:val="20"/>
          <w:szCs w:val="20"/>
        </w:rPr>
        <w:t xml:space="preserve"> </w:t>
      </w:r>
      <w:r w:rsidRPr="00531B12">
        <w:rPr>
          <w:rFonts w:ascii="Abadi" w:hAnsi="Abadi"/>
          <w:b/>
          <w:bCs/>
          <w:sz w:val="20"/>
          <w:szCs w:val="20"/>
        </w:rPr>
        <w:t>PROYECTOS</w:t>
      </w:r>
      <w:r w:rsidRPr="00531B12">
        <w:rPr>
          <w:rFonts w:ascii="Abadi" w:hAnsi="Abadi"/>
          <w:b/>
          <w:bCs/>
          <w:spacing w:val="34"/>
          <w:sz w:val="20"/>
          <w:szCs w:val="20"/>
        </w:rPr>
        <w:t xml:space="preserve"> </w:t>
      </w:r>
      <w:r w:rsidRPr="00531B12">
        <w:rPr>
          <w:rFonts w:ascii="Abadi" w:hAnsi="Abadi"/>
          <w:b/>
          <w:bCs/>
          <w:sz w:val="20"/>
          <w:szCs w:val="20"/>
        </w:rPr>
        <w:t>Y</w:t>
      </w:r>
      <w:r w:rsidRPr="00531B12">
        <w:rPr>
          <w:rFonts w:ascii="Abadi" w:hAnsi="Abadi"/>
          <w:b/>
          <w:bCs/>
          <w:spacing w:val="34"/>
          <w:sz w:val="20"/>
          <w:szCs w:val="20"/>
        </w:rPr>
        <w:t xml:space="preserve"> </w:t>
      </w:r>
      <w:r w:rsidRPr="00531B12">
        <w:rPr>
          <w:rFonts w:ascii="Abadi" w:hAnsi="Abadi"/>
          <w:b/>
          <w:bCs/>
          <w:sz w:val="20"/>
          <w:szCs w:val="20"/>
        </w:rPr>
        <w:t>ACCIONES</w:t>
      </w:r>
      <w:r w:rsidRPr="00531B12">
        <w:rPr>
          <w:rFonts w:ascii="Abadi" w:hAnsi="Abadi"/>
          <w:b/>
          <w:bCs/>
          <w:spacing w:val="34"/>
          <w:sz w:val="20"/>
          <w:szCs w:val="20"/>
        </w:rPr>
        <w:t xml:space="preserve"> </w:t>
      </w:r>
      <w:r w:rsidRPr="00531B12">
        <w:rPr>
          <w:rFonts w:ascii="Abadi" w:hAnsi="Abadi"/>
          <w:b/>
          <w:bCs/>
          <w:sz w:val="20"/>
          <w:szCs w:val="20"/>
        </w:rPr>
        <w:t>PRIORITARIAS</w:t>
      </w:r>
      <w:r w:rsidRPr="00531B12">
        <w:rPr>
          <w:rFonts w:ascii="Abadi" w:hAnsi="Abadi"/>
          <w:b/>
          <w:bCs/>
          <w:spacing w:val="34"/>
          <w:sz w:val="20"/>
          <w:szCs w:val="20"/>
        </w:rPr>
        <w:t xml:space="preserve"> </w:t>
      </w:r>
      <w:r w:rsidRPr="00531B12">
        <w:rPr>
          <w:rFonts w:ascii="Abadi" w:hAnsi="Abadi"/>
          <w:b/>
          <w:bCs/>
          <w:sz w:val="20"/>
          <w:szCs w:val="20"/>
        </w:rPr>
        <w:t>EN</w:t>
      </w:r>
      <w:r w:rsidRPr="00531B12">
        <w:rPr>
          <w:rFonts w:ascii="Abadi" w:hAnsi="Abadi"/>
          <w:b/>
          <w:bCs/>
          <w:spacing w:val="34"/>
          <w:sz w:val="20"/>
          <w:szCs w:val="20"/>
        </w:rPr>
        <w:t xml:space="preserve"> </w:t>
      </w:r>
      <w:r w:rsidRPr="00531B12">
        <w:rPr>
          <w:rFonts w:ascii="Abadi" w:hAnsi="Abadi"/>
          <w:b/>
          <w:bCs/>
          <w:sz w:val="20"/>
          <w:szCs w:val="20"/>
        </w:rPr>
        <w:t>MATERIA</w:t>
      </w:r>
      <w:r w:rsidRPr="00531B12">
        <w:rPr>
          <w:rFonts w:ascii="Abadi" w:hAnsi="Abadi"/>
          <w:b/>
          <w:bCs/>
          <w:spacing w:val="34"/>
          <w:sz w:val="20"/>
          <w:szCs w:val="20"/>
        </w:rPr>
        <w:t xml:space="preserve"> </w:t>
      </w:r>
      <w:r w:rsidRPr="00531B12">
        <w:rPr>
          <w:rFonts w:ascii="Abadi" w:hAnsi="Abadi"/>
          <w:b/>
          <w:bCs/>
          <w:sz w:val="20"/>
          <w:szCs w:val="20"/>
        </w:rPr>
        <w:t>DE</w:t>
      </w:r>
      <w:r w:rsidRPr="00531B12">
        <w:rPr>
          <w:rFonts w:ascii="Abadi" w:hAnsi="Abadi"/>
          <w:b/>
          <w:bCs/>
          <w:spacing w:val="34"/>
          <w:sz w:val="20"/>
          <w:szCs w:val="20"/>
        </w:rPr>
        <w:t xml:space="preserve"> </w:t>
      </w:r>
      <w:r w:rsidRPr="00531B12">
        <w:rPr>
          <w:rFonts w:ascii="Abadi" w:hAnsi="Abadi"/>
          <w:b/>
          <w:bCs/>
          <w:sz w:val="20"/>
          <w:szCs w:val="20"/>
        </w:rPr>
        <w:t>DESARROLLO</w:t>
      </w:r>
      <w:r w:rsidRPr="00531B12">
        <w:rPr>
          <w:rFonts w:ascii="Abadi" w:hAnsi="Abadi"/>
          <w:b/>
          <w:bCs/>
          <w:spacing w:val="-2"/>
          <w:sz w:val="20"/>
          <w:szCs w:val="20"/>
        </w:rPr>
        <w:t xml:space="preserve"> </w:t>
      </w:r>
      <w:r w:rsidRPr="00531B12">
        <w:rPr>
          <w:rFonts w:ascii="Abadi" w:hAnsi="Abadi"/>
          <w:b/>
          <w:bCs/>
          <w:sz w:val="20"/>
          <w:szCs w:val="20"/>
        </w:rPr>
        <w:t>SOCIAL</w:t>
      </w:r>
      <w:r w:rsidRPr="00531B12">
        <w:rPr>
          <w:rFonts w:ascii="Abadi" w:hAnsi="Abadi"/>
          <w:b/>
          <w:bCs/>
          <w:spacing w:val="7"/>
          <w:sz w:val="20"/>
          <w:szCs w:val="20"/>
        </w:rPr>
        <w:t xml:space="preserve"> </w:t>
      </w:r>
      <w:r w:rsidRPr="00531B12">
        <w:rPr>
          <w:rFonts w:ascii="Abadi" w:hAnsi="Abadi"/>
          <w:b/>
          <w:bCs/>
          <w:sz w:val="20"/>
          <w:szCs w:val="20"/>
        </w:rPr>
        <w:t>Y</w:t>
      </w:r>
      <w:r w:rsidRPr="00531B12">
        <w:rPr>
          <w:rFonts w:ascii="Abadi" w:hAnsi="Abadi"/>
          <w:b/>
          <w:bCs/>
          <w:spacing w:val="7"/>
          <w:sz w:val="20"/>
          <w:szCs w:val="20"/>
        </w:rPr>
        <w:t xml:space="preserve"> </w:t>
      </w:r>
      <w:r w:rsidRPr="00531B12">
        <w:rPr>
          <w:rFonts w:ascii="Abadi" w:hAnsi="Abadi"/>
          <w:b/>
          <w:bCs/>
          <w:sz w:val="20"/>
          <w:szCs w:val="20"/>
        </w:rPr>
        <w:t>SEGURIDAD</w:t>
      </w:r>
      <w:r w:rsidRPr="00531B12">
        <w:rPr>
          <w:rFonts w:ascii="Abadi" w:hAnsi="Abadi"/>
          <w:b/>
          <w:bCs/>
          <w:spacing w:val="8"/>
          <w:sz w:val="20"/>
          <w:szCs w:val="20"/>
        </w:rPr>
        <w:t xml:space="preserve"> </w:t>
      </w:r>
      <w:r w:rsidRPr="00531B12">
        <w:rPr>
          <w:rFonts w:ascii="Abadi" w:hAnsi="Abadi"/>
          <w:b/>
          <w:bCs/>
          <w:sz w:val="20"/>
          <w:szCs w:val="20"/>
        </w:rPr>
        <w:t>PÚBLICA</w:t>
      </w:r>
      <w:r w:rsidRPr="00531B12">
        <w:rPr>
          <w:rFonts w:ascii="Abadi" w:hAnsi="Abadi"/>
          <w:b/>
          <w:bCs/>
          <w:spacing w:val="7"/>
          <w:sz w:val="20"/>
          <w:szCs w:val="20"/>
        </w:rPr>
        <w:t xml:space="preserve"> </w:t>
      </w:r>
      <w:r w:rsidRPr="00531B12">
        <w:rPr>
          <w:rFonts w:ascii="Abadi" w:hAnsi="Abadi"/>
          <w:b/>
          <w:bCs/>
          <w:sz w:val="20"/>
          <w:szCs w:val="20"/>
        </w:rPr>
        <w:t>(FIDESSEG),</w:t>
      </w:r>
      <w:r w:rsidRPr="00531B12">
        <w:rPr>
          <w:rFonts w:ascii="Abadi" w:hAnsi="Abadi"/>
          <w:b/>
          <w:bCs/>
          <w:spacing w:val="7"/>
          <w:sz w:val="20"/>
          <w:szCs w:val="20"/>
        </w:rPr>
        <w:t xml:space="preserve"> </w:t>
      </w:r>
      <w:r w:rsidRPr="00531B12">
        <w:rPr>
          <w:rFonts w:ascii="Abadi" w:hAnsi="Abadi"/>
          <w:b/>
          <w:bCs/>
          <w:sz w:val="20"/>
          <w:szCs w:val="20"/>
        </w:rPr>
        <w:t>LA</w:t>
      </w:r>
      <w:r w:rsidRPr="00531B12">
        <w:rPr>
          <w:rFonts w:ascii="Abadi" w:hAnsi="Abadi"/>
          <w:b/>
          <w:bCs/>
          <w:spacing w:val="7"/>
          <w:sz w:val="20"/>
          <w:szCs w:val="20"/>
        </w:rPr>
        <w:t xml:space="preserve"> </w:t>
      </w:r>
      <w:r w:rsidRPr="00531B12">
        <w:rPr>
          <w:rFonts w:ascii="Abadi" w:hAnsi="Abadi"/>
          <w:b/>
          <w:bCs/>
          <w:sz w:val="20"/>
          <w:szCs w:val="20"/>
        </w:rPr>
        <w:t>CUAL</w:t>
      </w:r>
      <w:r w:rsidRPr="00531B12">
        <w:rPr>
          <w:rFonts w:ascii="Abadi" w:hAnsi="Abadi"/>
          <w:b/>
          <w:bCs/>
          <w:spacing w:val="7"/>
          <w:sz w:val="20"/>
          <w:szCs w:val="20"/>
        </w:rPr>
        <w:t xml:space="preserve"> </w:t>
      </w:r>
      <w:r w:rsidRPr="00531B12">
        <w:rPr>
          <w:rFonts w:ascii="Abadi" w:hAnsi="Abadi"/>
          <w:b/>
          <w:bCs/>
          <w:sz w:val="20"/>
          <w:szCs w:val="20"/>
        </w:rPr>
        <w:t>DEBERÁ</w:t>
      </w:r>
      <w:r w:rsidRPr="00531B12">
        <w:rPr>
          <w:rFonts w:ascii="Abadi" w:hAnsi="Abadi"/>
          <w:b/>
          <w:bCs/>
          <w:spacing w:val="7"/>
          <w:sz w:val="20"/>
          <w:szCs w:val="20"/>
        </w:rPr>
        <w:t xml:space="preserve"> </w:t>
      </w:r>
      <w:r w:rsidRPr="00531B12">
        <w:rPr>
          <w:rFonts w:ascii="Abadi" w:hAnsi="Abadi"/>
          <w:b/>
          <w:bCs/>
          <w:sz w:val="20"/>
          <w:szCs w:val="20"/>
        </w:rPr>
        <w:t>ABARCAR</w:t>
      </w:r>
      <w:r w:rsidRPr="00531B12">
        <w:rPr>
          <w:rFonts w:ascii="Abadi" w:hAnsi="Abadi"/>
          <w:b/>
          <w:bCs/>
          <w:spacing w:val="7"/>
          <w:sz w:val="20"/>
          <w:szCs w:val="20"/>
        </w:rPr>
        <w:t xml:space="preserve"> </w:t>
      </w:r>
      <w:r w:rsidRPr="00531B12">
        <w:rPr>
          <w:rFonts w:ascii="Abadi" w:hAnsi="Abadi"/>
          <w:b/>
          <w:bCs/>
          <w:sz w:val="20"/>
          <w:szCs w:val="20"/>
        </w:rPr>
        <w:t>LA</w:t>
      </w:r>
      <w:r w:rsidRPr="00531B12">
        <w:rPr>
          <w:rFonts w:ascii="Abadi" w:hAnsi="Abadi"/>
          <w:b/>
          <w:bCs/>
          <w:spacing w:val="7"/>
          <w:sz w:val="20"/>
          <w:szCs w:val="20"/>
        </w:rPr>
        <w:t xml:space="preserve"> </w:t>
      </w:r>
      <w:r w:rsidRPr="00531B12">
        <w:rPr>
          <w:rFonts w:ascii="Abadi" w:hAnsi="Abadi"/>
          <w:b/>
          <w:bCs/>
          <w:sz w:val="20"/>
          <w:szCs w:val="20"/>
        </w:rPr>
        <w:t>TOTALIDAD</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27"/>
          <w:sz w:val="20"/>
          <w:szCs w:val="20"/>
        </w:rPr>
        <w:t xml:space="preserve">  </w:t>
      </w:r>
      <w:r w:rsidRPr="00531B12">
        <w:rPr>
          <w:rFonts w:ascii="Abadi" w:hAnsi="Abadi"/>
          <w:b/>
          <w:bCs/>
          <w:sz w:val="20"/>
          <w:szCs w:val="20"/>
        </w:rPr>
        <w:t>LOS</w:t>
      </w:r>
      <w:r w:rsidRPr="00531B12">
        <w:rPr>
          <w:rFonts w:ascii="Abadi" w:hAnsi="Abadi"/>
          <w:b/>
          <w:bCs/>
          <w:spacing w:val="27"/>
          <w:sz w:val="20"/>
          <w:szCs w:val="20"/>
        </w:rPr>
        <w:t xml:space="preserve">  </w:t>
      </w:r>
      <w:r w:rsidRPr="00531B12">
        <w:rPr>
          <w:rFonts w:ascii="Abadi" w:hAnsi="Abadi"/>
          <w:b/>
          <w:bCs/>
          <w:sz w:val="20"/>
          <w:szCs w:val="20"/>
        </w:rPr>
        <w:t>RECURSOS</w:t>
      </w:r>
      <w:r w:rsidRPr="00531B12">
        <w:rPr>
          <w:rFonts w:ascii="Abadi" w:hAnsi="Abadi"/>
          <w:b/>
          <w:bCs/>
          <w:spacing w:val="26"/>
          <w:sz w:val="20"/>
          <w:szCs w:val="20"/>
        </w:rPr>
        <w:t xml:space="preserve">  </w:t>
      </w:r>
      <w:r w:rsidRPr="00531B12">
        <w:rPr>
          <w:rFonts w:ascii="Abadi" w:hAnsi="Abadi"/>
          <w:b/>
          <w:bCs/>
          <w:sz w:val="20"/>
          <w:szCs w:val="20"/>
        </w:rPr>
        <w:t>EJERCIDOS</w:t>
      </w:r>
      <w:r w:rsidRPr="00531B12">
        <w:rPr>
          <w:rFonts w:ascii="Abadi" w:hAnsi="Abadi"/>
          <w:b/>
          <w:bCs/>
          <w:spacing w:val="26"/>
          <w:sz w:val="20"/>
          <w:szCs w:val="20"/>
        </w:rPr>
        <w:t xml:space="preserve">  </w:t>
      </w:r>
      <w:r w:rsidRPr="00531B12">
        <w:rPr>
          <w:rFonts w:ascii="Abadi" w:hAnsi="Abadi"/>
          <w:b/>
          <w:bCs/>
          <w:sz w:val="20"/>
          <w:szCs w:val="20"/>
        </w:rPr>
        <w:t>POR</w:t>
      </w:r>
      <w:r w:rsidRPr="00531B12">
        <w:rPr>
          <w:rFonts w:ascii="Abadi" w:hAnsi="Abadi"/>
          <w:b/>
          <w:bCs/>
          <w:spacing w:val="26"/>
          <w:sz w:val="20"/>
          <w:szCs w:val="20"/>
        </w:rPr>
        <w:t xml:space="preserve">  </w:t>
      </w:r>
      <w:r w:rsidRPr="00531B12">
        <w:rPr>
          <w:rFonts w:ascii="Abadi" w:hAnsi="Abadi"/>
          <w:b/>
          <w:bCs/>
          <w:sz w:val="20"/>
          <w:szCs w:val="20"/>
        </w:rPr>
        <w:t>LOS</w:t>
      </w:r>
      <w:r w:rsidRPr="00531B12">
        <w:rPr>
          <w:rFonts w:ascii="Abadi" w:hAnsi="Abadi"/>
          <w:b/>
          <w:bCs/>
          <w:spacing w:val="27"/>
          <w:sz w:val="20"/>
          <w:szCs w:val="20"/>
        </w:rPr>
        <w:t xml:space="preserve">  </w:t>
      </w:r>
      <w:r w:rsidRPr="00531B12">
        <w:rPr>
          <w:rFonts w:ascii="Abadi" w:hAnsi="Abadi"/>
          <w:b/>
          <w:bCs/>
          <w:sz w:val="20"/>
          <w:szCs w:val="20"/>
        </w:rPr>
        <w:t>EJERCICIOS</w:t>
      </w:r>
      <w:r w:rsidRPr="00531B12">
        <w:rPr>
          <w:rFonts w:ascii="Abadi" w:hAnsi="Abadi"/>
          <w:b/>
          <w:bCs/>
          <w:spacing w:val="26"/>
          <w:sz w:val="20"/>
          <w:szCs w:val="20"/>
        </w:rPr>
        <w:t xml:space="preserve">  </w:t>
      </w:r>
      <w:r w:rsidRPr="00531B12">
        <w:rPr>
          <w:rFonts w:ascii="Abadi" w:hAnsi="Abadi"/>
          <w:b/>
          <w:bCs/>
          <w:sz w:val="20"/>
          <w:szCs w:val="20"/>
        </w:rPr>
        <w:t>FISCALES</w:t>
      </w:r>
      <w:r w:rsidRPr="00531B12">
        <w:rPr>
          <w:rFonts w:ascii="Abadi" w:hAnsi="Abadi"/>
          <w:b/>
          <w:bCs/>
          <w:spacing w:val="27"/>
          <w:sz w:val="20"/>
          <w:szCs w:val="20"/>
        </w:rPr>
        <w:t xml:space="preserve">  </w:t>
      </w:r>
      <w:r w:rsidRPr="00531B12">
        <w:rPr>
          <w:rFonts w:ascii="Abadi" w:hAnsi="Abadi"/>
          <w:b/>
          <w:bCs/>
          <w:sz w:val="20"/>
          <w:szCs w:val="20"/>
        </w:rPr>
        <w:t>2020,</w:t>
      </w:r>
      <w:r w:rsidRPr="00531B12">
        <w:rPr>
          <w:rFonts w:ascii="Abadi" w:hAnsi="Abadi"/>
          <w:b/>
          <w:bCs/>
          <w:spacing w:val="26"/>
          <w:sz w:val="20"/>
          <w:szCs w:val="20"/>
        </w:rPr>
        <w:t xml:space="preserve">  </w:t>
      </w:r>
      <w:r w:rsidRPr="00531B12">
        <w:rPr>
          <w:rFonts w:ascii="Abadi" w:hAnsi="Abadi"/>
          <w:b/>
          <w:bCs/>
          <w:sz w:val="20"/>
          <w:szCs w:val="20"/>
        </w:rPr>
        <w:t>2021</w:t>
      </w:r>
      <w:r w:rsidRPr="00531B12">
        <w:rPr>
          <w:rFonts w:ascii="Abadi" w:hAnsi="Abadi"/>
          <w:b/>
          <w:bCs/>
          <w:spacing w:val="27"/>
          <w:sz w:val="20"/>
          <w:szCs w:val="20"/>
        </w:rPr>
        <w:t xml:space="preserve">  </w:t>
      </w:r>
      <w:r w:rsidRPr="00531B12">
        <w:rPr>
          <w:rFonts w:ascii="Abadi" w:hAnsi="Abadi"/>
          <w:b/>
          <w:bCs/>
          <w:sz w:val="20"/>
          <w:szCs w:val="20"/>
        </w:rPr>
        <w:t>Y</w:t>
      </w:r>
      <w:r w:rsidRPr="00531B12">
        <w:rPr>
          <w:rFonts w:ascii="Abadi" w:hAnsi="Abadi"/>
          <w:b/>
          <w:bCs/>
          <w:spacing w:val="-2"/>
          <w:sz w:val="20"/>
          <w:szCs w:val="20"/>
        </w:rPr>
        <w:t xml:space="preserve"> </w:t>
      </w:r>
      <w:r w:rsidRPr="00531B12">
        <w:rPr>
          <w:rFonts w:ascii="Abadi" w:hAnsi="Abadi"/>
          <w:b/>
          <w:bCs/>
          <w:sz w:val="20"/>
          <w:szCs w:val="20"/>
        </w:rPr>
        <w:t>CONCOMITANTE</w:t>
      </w:r>
      <w:r w:rsidRPr="00531B12">
        <w:rPr>
          <w:rFonts w:ascii="Abadi" w:hAnsi="Abadi"/>
          <w:b/>
          <w:bCs/>
          <w:spacing w:val="-1"/>
          <w:sz w:val="20"/>
          <w:szCs w:val="20"/>
        </w:rPr>
        <w:t xml:space="preserve"> </w:t>
      </w:r>
      <w:r w:rsidRPr="00531B12">
        <w:rPr>
          <w:rFonts w:ascii="Abadi" w:hAnsi="Abadi"/>
          <w:b/>
          <w:bCs/>
          <w:sz w:val="20"/>
          <w:szCs w:val="20"/>
        </w:rPr>
        <w:t>A</w:t>
      </w:r>
      <w:r w:rsidRPr="00531B12">
        <w:rPr>
          <w:rFonts w:ascii="Abadi" w:hAnsi="Abadi"/>
          <w:b/>
          <w:bCs/>
          <w:spacing w:val="-1"/>
          <w:sz w:val="20"/>
          <w:szCs w:val="20"/>
        </w:rPr>
        <w:t xml:space="preserve"> </w:t>
      </w:r>
      <w:r w:rsidRPr="00531B12">
        <w:rPr>
          <w:rFonts w:ascii="Abadi" w:hAnsi="Abadi"/>
          <w:b/>
          <w:bCs/>
          <w:sz w:val="20"/>
          <w:szCs w:val="20"/>
        </w:rPr>
        <w:t>2022.</w:t>
      </w:r>
    </w:p>
    <w:p w14:paraId="1713F3A8" w14:textId="30C751D0" w:rsidR="000442E9" w:rsidRDefault="000442E9" w:rsidP="00BD1F7F">
      <w:pPr>
        <w:rPr>
          <w:rFonts w:ascii="Abadi" w:hAnsi="Abadi"/>
          <w:b/>
          <w:bCs/>
          <w:sz w:val="20"/>
          <w:szCs w:val="20"/>
        </w:rPr>
      </w:pPr>
    </w:p>
    <w:p w14:paraId="689014FD" w14:textId="77777777" w:rsidR="00BD1F7F" w:rsidRPr="00BD1F7F" w:rsidRDefault="00BD1F7F" w:rsidP="00BD1F7F">
      <w:pPr>
        <w:rPr>
          <w:rFonts w:ascii="Abadi" w:hAnsi="Abadi" w:cs="Arial"/>
          <w:b/>
          <w:iCs/>
          <w:smallCaps/>
          <w:sz w:val="21"/>
          <w:szCs w:val="21"/>
        </w:rPr>
      </w:pPr>
      <w:r w:rsidRPr="00BD1F7F">
        <w:rPr>
          <w:rFonts w:ascii="Abadi" w:hAnsi="Abadi" w:cs="Arial"/>
          <w:b/>
          <w:iCs/>
          <w:smallCaps/>
          <w:sz w:val="21"/>
          <w:szCs w:val="21"/>
        </w:rPr>
        <w:t>C. Presidenta del Congreso del Estado</w:t>
      </w:r>
    </w:p>
    <w:p w14:paraId="7A821023" w14:textId="77777777" w:rsidR="00BD1F7F" w:rsidRPr="00BD1F7F" w:rsidRDefault="00BD1F7F" w:rsidP="00BD1F7F">
      <w:pPr>
        <w:jc w:val="both"/>
        <w:rPr>
          <w:rFonts w:ascii="Abadi" w:hAnsi="Abadi" w:cs="Arial"/>
          <w:b/>
          <w:iCs/>
          <w:smallCaps/>
          <w:sz w:val="21"/>
          <w:szCs w:val="21"/>
        </w:rPr>
      </w:pPr>
      <w:r w:rsidRPr="00BD1F7F">
        <w:rPr>
          <w:rFonts w:ascii="Abadi" w:hAnsi="Abadi" w:cs="Arial"/>
          <w:b/>
          <w:iCs/>
          <w:smallCaps/>
          <w:sz w:val="21"/>
          <w:szCs w:val="21"/>
        </w:rPr>
        <w:t>P r e s e n t e.</w:t>
      </w:r>
    </w:p>
    <w:p w14:paraId="6AB213EF" w14:textId="77777777" w:rsidR="00BD1F7F" w:rsidRPr="00BD1F7F" w:rsidRDefault="00BD1F7F" w:rsidP="00BD1F7F">
      <w:pPr>
        <w:spacing w:line="360" w:lineRule="auto"/>
        <w:jc w:val="both"/>
        <w:rPr>
          <w:rFonts w:ascii="Abadi" w:hAnsi="Abadi" w:cs="Arial"/>
          <w:iCs/>
          <w:sz w:val="21"/>
          <w:szCs w:val="21"/>
        </w:rPr>
      </w:pPr>
    </w:p>
    <w:p w14:paraId="4CB3B687" w14:textId="77777777" w:rsidR="00BD1F7F" w:rsidRPr="00BD1F7F" w:rsidRDefault="00BD1F7F" w:rsidP="00BD1F7F">
      <w:pPr>
        <w:jc w:val="both"/>
        <w:rPr>
          <w:rFonts w:ascii="Abadi" w:hAnsi="Abadi" w:cs="Arial"/>
          <w:iCs/>
          <w:sz w:val="21"/>
          <w:szCs w:val="21"/>
        </w:rPr>
      </w:pPr>
      <w:r w:rsidRPr="00BD1F7F">
        <w:rPr>
          <w:rFonts w:ascii="Abadi" w:hAnsi="Abadi" w:cs="Arial"/>
          <w:iCs/>
          <w:sz w:val="21"/>
          <w:szCs w:val="21"/>
        </w:rPr>
        <w:tab/>
        <w:t>A esta Comisión de Hacienda y Fiscalización le fue turnada para efectos de su estudio y dictamen, la propuesta de punto de acuerdo formulada por la diputada Alma Edwviges Alcaraz Hernández, integrante del Grupo Parlamentario del Partido MORENA a efecto de exhortar al titular de la Auditoría Superior del Estado de Guanajuato, para que lleve a cabo una auditoría al Fideicomiso de Administración e Inversión para financiar obras, infraestructura, proyectos y acciones prioritarias en materia de desarrollo social y seguridad pública (FIDESSEG), la cual deberá abarcar la totalidad de los recursos ejercidos por los ejercicios fiscales 2020, 2021 y concomitante a 2022.</w:t>
      </w:r>
    </w:p>
    <w:p w14:paraId="256E38CE" w14:textId="77777777" w:rsidR="00BD1F7F" w:rsidRPr="00BD1F7F" w:rsidRDefault="00BD1F7F" w:rsidP="00BD1F7F">
      <w:pPr>
        <w:jc w:val="both"/>
        <w:rPr>
          <w:rFonts w:ascii="Abadi" w:hAnsi="Abadi" w:cs="Arial"/>
          <w:iCs/>
          <w:sz w:val="21"/>
          <w:szCs w:val="21"/>
        </w:rPr>
      </w:pPr>
    </w:p>
    <w:p w14:paraId="1085EF8F" w14:textId="77777777" w:rsidR="00BD1F7F" w:rsidRPr="00BD1F7F" w:rsidRDefault="00BD1F7F" w:rsidP="00BD1F7F">
      <w:pPr>
        <w:jc w:val="both"/>
        <w:rPr>
          <w:rFonts w:ascii="Abadi" w:hAnsi="Abadi" w:cs="Arial"/>
          <w:iCs/>
          <w:sz w:val="21"/>
          <w:szCs w:val="21"/>
        </w:rPr>
      </w:pPr>
      <w:r w:rsidRPr="00BD1F7F">
        <w:rPr>
          <w:rFonts w:ascii="Abadi" w:hAnsi="Abadi" w:cs="Arial"/>
          <w:iCs/>
          <w:sz w:val="21"/>
          <w:szCs w:val="21"/>
        </w:rPr>
        <w:tab/>
        <w:t xml:space="preserve">Analizada la propuesta de referencia, con fundamento en los artículos 75, 89, fracción V, 112, fracción XV y 171 de </w:t>
      </w:r>
      <w:smartTag w:uri="urn:schemas-microsoft-com:office:smarttags" w:element="PersonName">
        <w:smartTagPr>
          <w:attr w:name="ProductID" w:val="la Ley Org￡nica"/>
        </w:smartTagPr>
        <w:r w:rsidRPr="00BD1F7F">
          <w:rPr>
            <w:rFonts w:ascii="Abadi" w:hAnsi="Abadi" w:cs="Arial"/>
            <w:iCs/>
            <w:sz w:val="21"/>
            <w:szCs w:val="21"/>
          </w:rPr>
          <w:t>la Ley Orgánica</w:t>
        </w:r>
      </w:smartTag>
      <w:r w:rsidRPr="00BD1F7F">
        <w:rPr>
          <w:rFonts w:ascii="Abadi" w:hAnsi="Abadi" w:cs="Arial"/>
          <w:iCs/>
          <w:sz w:val="21"/>
          <w:szCs w:val="21"/>
        </w:rPr>
        <w:t xml:space="preserve"> del Poder Legislativo del Estado de Guanajuato nos permitimos rendir el siguiente:</w:t>
      </w:r>
    </w:p>
    <w:p w14:paraId="7D4407AE" w14:textId="77777777" w:rsidR="00BD1F7F" w:rsidRPr="00BD1F7F" w:rsidRDefault="00BD1F7F" w:rsidP="00BD1F7F">
      <w:pPr>
        <w:spacing w:line="360" w:lineRule="auto"/>
        <w:jc w:val="both"/>
        <w:rPr>
          <w:rFonts w:ascii="Abadi" w:hAnsi="Abadi" w:cs="Arial"/>
          <w:iCs/>
          <w:sz w:val="21"/>
          <w:szCs w:val="21"/>
        </w:rPr>
      </w:pPr>
    </w:p>
    <w:p w14:paraId="35E78A09" w14:textId="77777777" w:rsidR="00BD1F7F" w:rsidRPr="00BD1F7F" w:rsidRDefault="00BD1F7F" w:rsidP="00BD1F7F">
      <w:pPr>
        <w:keepNext/>
        <w:spacing w:line="360" w:lineRule="auto"/>
        <w:jc w:val="center"/>
        <w:outlineLvl w:val="0"/>
        <w:rPr>
          <w:rFonts w:ascii="Abadi" w:hAnsi="Abadi" w:cs="Arial"/>
          <w:b/>
          <w:iCs/>
          <w:sz w:val="21"/>
          <w:szCs w:val="21"/>
        </w:rPr>
      </w:pPr>
      <w:r w:rsidRPr="00BD1F7F">
        <w:rPr>
          <w:rFonts w:ascii="Abadi" w:hAnsi="Abadi" w:cs="Arial"/>
          <w:b/>
          <w:iCs/>
          <w:sz w:val="21"/>
          <w:szCs w:val="21"/>
        </w:rPr>
        <w:t xml:space="preserve">D i c t a m e n </w:t>
      </w:r>
    </w:p>
    <w:p w14:paraId="0EA73D6F" w14:textId="77777777" w:rsidR="00BD1F7F" w:rsidRPr="00BD1F7F" w:rsidRDefault="00BD1F7F" w:rsidP="001A28E5">
      <w:pPr>
        <w:numPr>
          <w:ilvl w:val="0"/>
          <w:numId w:val="58"/>
        </w:numPr>
        <w:jc w:val="both"/>
        <w:rPr>
          <w:rFonts w:ascii="Abadi" w:hAnsi="Abadi" w:cs="Arial"/>
          <w:b/>
          <w:bCs/>
          <w:sz w:val="21"/>
          <w:szCs w:val="21"/>
        </w:rPr>
      </w:pPr>
      <w:r w:rsidRPr="00BD1F7F">
        <w:rPr>
          <w:rFonts w:ascii="Abadi" w:hAnsi="Abadi" w:cs="Arial"/>
          <w:b/>
          <w:bCs/>
          <w:sz w:val="21"/>
          <w:szCs w:val="21"/>
        </w:rPr>
        <w:t>Antecedentes</w:t>
      </w:r>
    </w:p>
    <w:p w14:paraId="40EC8DB6" w14:textId="77777777" w:rsidR="00BD1F7F" w:rsidRPr="00BD1F7F" w:rsidRDefault="00BD1F7F" w:rsidP="00BD1F7F">
      <w:pPr>
        <w:spacing w:line="360" w:lineRule="auto"/>
        <w:jc w:val="center"/>
        <w:rPr>
          <w:rFonts w:ascii="Abadi" w:hAnsi="Abadi" w:cs="Arial"/>
          <w:b/>
          <w:iCs/>
          <w:sz w:val="21"/>
          <w:szCs w:val="21"/>
        </w:rPr>
      </w:pPr>
    </w:p>
    <w:p w14:paraId="4E055668" w14:textId="77777777" w:rsidR="00BD1F7F" w:rsidRPr="00BD1F7F" w:rsidRDefault="00BD1F7F" w:rsidP="00BD1F7F">
      <w:pPr>
        <w:jc w:val="both"/>
        <w:rPr>
          <w:rFonts w:ascii="Abadi" w:hAnsi="Abadi"/>
          <w:sz w:val="21"/>
          <w:szCs w:val="21"/>
          <w:lang w:val="es-ES_tradnl"/>
        </w:rPr>
      </w:pPr>
      <w:r w:rsidRPr="00BD1F7F">
        <w:rPr>
          <w:rFonts w:ascii="Abadi" w:hAnsi="Abadi" w:cs="Arial"/>
          <w:iCs/>
          <w:sz w:val="21"/>
          <w:szCs w:val="21"/>
        </w:rPr>
        <w:tab/>
        <w:t xml:space="preserve">La diputada </w:t>
      </w:r>
      <w:r w:rsidRPr="00BD1F7F">
        <w:rPr>
          <w:rFonts w:ascii="Abadi" w:hAnsi="Abadi"/>
          <w:sz w:val="21"/>
          <w:szCs w:val="21"/>
          <w:lang w:val="es-ES_tradnl"/>
        </w:rPr>
        <w:t>Alma Edwviges Alcaraz Hernández</w:t>
      </w:r>
      <w:r w:rsidRPr="00BD1F7F">
        <w:rPr>
          <w:rFonts w:ascii="Abadi" w:hAnsi="Abadi" w:cs="Arial"/>
          <w:iCs/>
          <w:sz w:val="21"/>
          <w:szCs w:val="21"/>
        </w:rPr>
        <w:t xml:space="preserve">, integrante del Grupo Parlamentario del Partido MORENA, en sesión ordinaria celebrada el 3 de marzo de 2022 presentó la propuesta de punto de acuerdo a efecto </w:t>
      </w:r>
      <w:r w:rsidRPr="00BD1F7F">
        <w:rPr>
          <w:rFonts w:ascii="Abadi" w:hAnsi="Abadi"/>
          <w:sz w:val="21"/>
          <w:szCs w:val="21"/>
          <w:lang w:val="es-ES_tradnl"/>
        </w:rPr>
        <w:t xml:space="preserve">de exhortar al titular de la Auditoría Superior del Estado de Guanajuato, para que a más tardar el 16 de junio de 2022 inicie una auditoría al Fideicomiso de Administración e Inversión para financiar obras, infraestructura, proyectos y acciones prioritarias en materia de desarrollo social y seguridad pública (FIDESSEG), la cual deberá abarcar la totalidad de los recursos ejercidos por los ejercicios fiscales 2020, 2021 y concomitante a 2022. </w:t>
      </w:r>
    </w:p>
    <w:p w14:paraId="3DD0C513" w14:textId="77777777" w:rsidR="00BD1F7F" w:rsidRPr="00BD1F7F" w:rsidRDefault="00BD1F7F" w:rsidP="00BD1F7F">
      <w:pPr>
        <w:jc w:val="both"/>
        <w:rPr>
          <w:rFonts w:ascii="Abadi" w:hAnsi="Abadi" w:cs="Arial"/>
          <w:iCs/>
          <w:sz w:val="21"/>
          <w:szCs w:val="21"/>
        </w:rPr>
      </w:pPr>
    </w:p>
    <w:p w14:paraId="0D2535F5" w14:textId="77777777" w:rsidR="00BD1F7F" w:rsidRPr="00BD1F7F" w:rsidRDefault="00BD1F7F" w:rsidP="00BD1F7F">
      <w:pPr>
        <w:ind w:firstLine="708"/>
        <w:jc w:val="both"/>
        <w:rPr>
          <w:rFonts w:ascii="Abadi" w:hAnsi="Abadi"/>
          <w:sz w:val="21"/>
          <w:szCs w:val="21"/>
          <w:lang w:val="es-MX"/>
        </w:rPr>
      </w:pPr>
      <w:r w:rsidRPr="00BD1F7F">
        <w:rPr>
          <w:rFonts w:ascii="Abadi" w:hAnsi="Abadi" w:cs="Arial"/>
          <w:iCs/>
          <w:sz w:val="21"/>
          <w:szCs w:val="21"/>
        </w:rPr>
        <w:t>La referida propuesta</w:t>
      </w:r>
      <w:r w:rsidRPr="00BD1F7F">
        <w:rPr>
          <w:rFonts w:ascii="Abadi" w:hAnsi="Abadi"/>
          <w:sz w:val="21"/>
          <w:szCs w:val="21"/>
          <w:lang w:val="es-MX"/>
        </w:rPr>
        <w:t xml:space="preserve"> se turnó por la presidencia a esta Comisión de Hacienda y Fiscalización para su estudio y dictamen con fundamento en la fracción XV del artículo 112 de la Ley Orgánica del Poder Legislativo del Estado de Guanajuato, misma que se radicó el 8 de marzo de 2022. En dicha fecha se requirió al Auditor Superior del Estado, la elaboración de una ficha técnica respecto a dicha propuesta, misma que se expuso a esta Comisión el 14 de junio del año en curso, por dicho funcionario.</w:t>
      </w:r>
    </w:p>
    <w:p w14:paraId="6793B97D" w14:textId="77777777" w:rsidR="00BD1F7F" w:rsidRPr="00BD1F7F" w:rsidRDefault="00BD1F7F" w:rsidP="00BD1F7F">
      <w:pPr>
        <w:spacing w:line="360" w:lineRule="auto"/>
        <w:ind w:firstLine="708"/>
        <w:jc w:val="both"/>
        <w:rPr>
          <w:rFonts w:ascii="Abadi" w:hAnsi="Abadi"/>
          <w:sz w:val="21"/>
          <w:szCs w:val="21"/>
          <w:lang w:val="es-MX"/>
        </w:rPr>
      </w:pPr>
    </w:p>
    <w:p w14:paraId="293FE72C" w14:textId="77777777" w:rsidR="00BD1F7F" w:rsidRPr="00BD1F7F" w:rsidRDefault="00BD1F7F" w:rsidP="001A28E5">
      <w:pPr>
        <w:numPr>
          <w:ilvl w:val="0"/>
          <w:numId w:val="58"/>
        </w:numPr>
        <w:jc w:val="both"/>
        <w:rPr>
          <w:rFonts w:ascii="Abadi" w:hAnsi="Abadi" w:cs="Arial"/>
          <w:b/>
          <w:bCs/>
          <w:sz w:val="21"/>
          <w:szCs w:val="21"/>
        </w:rPr>
      </w:pPr>
      <w:r w:rsidRPr="00BD1F7F">
        <w:rPr>
          <w:rFonts w:ascii="Abadi" w:hAnsi="Abadi" w:cs="Arial"/>
          <w:b/>
          <w:bCs/>
          <w:sz w:val="21"/>
          <w:szCs w:val="21"/>
        </w:rPr>
        <w:lastRenderedPageBreak/>
        <w:t>Consideraciones de la proponente</w:t>
      </w:r>
    </w:p>
    <w:p w14:paraId="13945901" w14:textId="77777777" w:rsidR="00BD1F7F" w:rsidRPr="00BD1F7F" w:rsidRDefault="00BD1F7F" w:rsidP="00BD1F7F">
      <w:pPr>
        <w:jc w:val="both"/>
        <w:rPr>
          <w:rFonts w:ascii="Abadi" w:hAnsi="Abadi" w:cs="Arial"/>
          <w:b/>
          <w:bCs/>
          <w:sz w:val="21"/>
          <w:szCs w:val="21"/>
        </w:rPr>
      </w:pPr>
    </w:p>
    <w:p w14:paraId="47A21424" w14:textId="606D3E85" w:rsidR="00BD1F7F" w:rsidRPr="00BD1F7F" w:rsidRDefault="00BD1F7F" w:rsidP="002B23AA">
      <w:pPr>
        <w:spacing w:line="360" w:lineRule="auto"/>
        <w:ind w:firstLine="708"/>
        <w:jc w:val="both"/>
        <w:rPr>
          <w:rFonts w:ascii="Abadi" w:hAnsi="Abadi"/>
          <w:sz w:val="21"/>
          <w:szCs w:val="21"/>
          <w:lang w:val="es-MX"/>
        </w:rPr>
      </w:pPr>
      <w:r w:rsidRPr="00BD1F7F">
        <w:rPr>
          <w:rFonts w:ascii="Abadi" w:hAnsi="Abadi"/>
          <w:sz w:val="21"/>
          <w:szCs w:val="21"/>
          <w:lang w:val="es-MX"/>
        </w:rPr>
        <w:t>En las consideraciones expuestas por la proponente se refiere lo siguiente:</w:t>
      </w:r>
    </w:p>
    <w:p w14:paraId="2FEB841E"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 xml:space="preserve">El Fideicomiso de Administración e Inversión para financiar obras, infraestructura, proyectos y acciones prioritarias en materia de desarrollo social y seguridad pública, también conocido como FIDESSEG, es un fideicomiso que se encuentra sectorizado a la Secretaría de Gobierno del Estado de Guanajuato. </w:t>
      </w:r>
    </w:p>
    <w:p w14:paraId="793840F8"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El sustento jurídico que tiene el FIDESSEG es un decreto</w:t>
      </w:r>
      <w:r w:rsidRPr="00BD1F7F">
        <w:rPr>
          <w:rFonts w:ascii="Abadi" w:hAnsi="Abadi" w:cs="Arial"/>
          <w:i/>
          <w:sz w:val="21"/>
          <w:szCs w:val="21"/>
          <w:vertAlign w:val="superscript"/>
        </w:rPr>
        <w:footnoteReference w:id="130"/>
      </w:r>
      <w:r w:rsidRPr="00BD1F7F">
        <w:rPr>
          <w:rFonts w:ascii="Abadi" w:hAnsi="Abadi" w:cs="Arial"/>
          <w:i/>
          <w:sz w:val="21"/>
          <w:szCs w:val="21"/>
        </w:rPr>
        <w:t xml:space="preserve"> emitido por el Gobernador del Estado en 2019. Dicho decreto surgió explícitamente como un acuerdo entre las cúpulas de un sector empresarial muy concreto (el Consejo Coordinador Empresarial) y el gobierno panista, para aceptar una subida al Impuesto Sobre Nóminas que en ese momento modificó su tasa de un 2% a un 2.3%.  </w:t>
      </w:r>
    </w:p>
    <w:p w14:paraId="7E2174A2"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 xml:space="preserve">Ese incremento de 0.3% al Impuesto sobre Nóminas, se aceptó con la condición de que todo lo recaudado por el incremento se ejerciera mediante un fideicomiso creado específicamente para eso: el FIDESSEG, cuyo patrimonio termina estando constituido por el 13.04% de lo recaudado por dicho impuesto. </w:t>
      </w:r>
    </w:p>
    <w:p w14:paraId="64846582"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De esta manera, para 2020, luego de modificaciones presupuestales el FIDESSEG tuvo asignado un presupuesto de 539.9 millones de pesos</w:t>
      </w:r>
      <w:r w:rsidRPr="00BD1F7F">
        <w:rPr>
          <w:rFonts w:ascii="Abadi" w:hAnsi="Abadi" w:cs="Arial"/>
          <w:i/>
          <w:sz w:val="21"/>
          <w:szCs w:val="21"/>
          <w:vertAlign w:val="superscript"/>
        </w:rPr>
        <w:footnoteReference w:id="131"/>
      </w:r>
      <w:r w:rsidRPr="00BD1F7F">
        <w:rPr>
          <w:rFonts w:ascii="Abadi" w:hAnsi="Abadi" w:cs="Arial"/>
          <w:i/>
          <w:sz w:val="21"/>
          <w:szCs w:val="21"/>
        </w:rPr>
        <w:t>, de los cuales se ejercieron 443.1 millones</w:t>
      </w:r>
      <w:r w:rsidRPr="00BD1F7F">
        <w:rPr>
          <w:rFonts w:ascii="Abadi" w:hAnsi="Abadi" w:cs="Arial"/>
          <w:i/>
          <w:sz w:val="21"/>
          <w:szCs w:val="21"/>
          <w:vertAlign w:val="superscript"/>
        </w:rPr>
        <w:footnoteReference w:id="132"/>
      </w:r>
      <w:r w:rsidRPr="00BD1F7F">
        <w:rPr>
          <w:rFonts w:ascii="Abadi" w:hAnsi="Abadi" w:cs="Arial"/>
          <w:i/>
          <w:sz w:val="21"/>
          <w:szCs w:val="21"/>
        </w:rPr>
        <w:t xml:space="preserve">, es decir, el 82%. </w:t>
      </w:r>
    </w:p>
    <w:p w14:paraId="46371367"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Para 2021, el presupuesto modificado ascendió hasta los 607.2 millones</w:t>
      </w:r>
      <w:r w:rsidRPr="00BD1F7F">
        <w:rPr>
          <w:rFonts w:ascii="Abadi" w:hAnsi="Abadi" w:cs="Arial"/>
          <w:i/>
          <w:sz w:val="21"/>
          <w:szCs w:val="21"/>
          <w:vertAlign w:val="superscript"/>
        </w:rPr>
        <w:footnoteReference w:id="133"/>
      </w:r>
      <w:r w:rsidRPr="00BD1F7F">
        <w:rPr>
          <w:rFonts w:ascii="Abadi" w:hAnsi="Abadi" w:cs="Arial"/>
          <w:i/>
          <w:sz w:val="21"/>
          <w:szCs w:val="21"/>
        </w:rPr>
        <w:t>, de los cuales únicamente se ejercieron 162.8 millones de pesos</w:t>
      </w:r>
      <w:r w:rsidRPr="00BD1F7F">
        <w:rPr>
          <w:rFonts w:ascii="Abadi" w:hAnsi="Abadi" w:cs="Arial"/>
          <w:i/>
          <w:sz w:val="21"/>
          <w:szCs w:val="21"/>
          <w:vertAlign w:val="superscript"/>
        </w:rPr>
        <w:footnoteReference w:id="134"/>
      </w:r>
      <w:r w:rsidRPr="00BD1F7F">
        <w:rPr>
          <w:rFonts w:ascii="Abadi" w:hAnsi="Abadi" w:cs="Arial"/>
          <w:i/>
          <w:sz w:val="21"/>
          <w:szCs w:val="21"/>
        </w:rPr>
        <w:t xml:space="preserve">, es decir, </w:t>
      </w:r>
      <w:r w:rsidRPr="00BD1F7F">
        <w:rPr>
          <w:rFonts w:ascii="Abadi" w:hAnsi="Abadi" w:cs="Arial"/>
          <w:i/>
          <w:sz w:val="21"/>
          <w:szCs w:val="21"/>
        </w:rPr>
        <w:t>apenas el 26.8%. Así, hasta el momento se han ejercido 606 millones de pesos</w:t>
      </w:r>
      <w:r w:rsidRPr="00BD1F7F">
        <w:rPr>
          <w:rFonts w:ascii="Abadi" w:hAnsi="Abadi" w:cs="Arial"/>
          <w:i/>
          <w:sz w:val="21"/>
          <w:szCs w:val="21"/>
          <w:vertAlign w:val="superscript"/>
        </w:rPr>
        <w:footnoteReference w:id="135"/>
      </w:r>
      <w:r w:rsidRPr="00BD1F7F">
        <w:rPr>
          <w:rFonts w:ascii="Abadi" w:hAnsi="Abadi" w:cs="Arial"/>
          <w:i/>
          <w:sz w:val="21"/>
          <w:szCs w:val="21"/>
        </w:rPr>
        <w:t xml:space="preserve"> mediante el FIDESSEG, sin que la Cuenta Pública especifique qué obras, programas o acciones se llevaron a cabo, con qué resultados, con qué contratistas, ni con qué intereses de por medio. </w:t>
      </w:r>
    </w:p>
    <w:p w14:paraId="49F034D4"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Del mismo modo, al cierre de 2021 en el FIDESSEG quedó un saldo de 444.4 millones de pesos</w:t>
      </w:r>
      <w:r w:rsidRPr="00BD1F7F">
        <w:rPr>
          <w:rFonts w:ascii="Abadi" w:hAnsi="Abadi" w:cs="Arial"/>
          <w:i/>
          <w:sz w:val="21"/>
          <w:szCs w:val="21"/>
          <w:vertAlign w:val="superscript"/>
        </w:rPr>
        <w:footnoteReference w:id="136"/>
      </w:r>
      <w:r w:rsidRPr="00BD1F7F">
        <w:rPr>
          <w:rFonts w:ascii="Abadi" w:hAnsi="Abadi" w:cs="Arial"/>
          <w:i/>
          <w:sz w:val="21"/>
          <w:szCs w:val="21"/>
        </w:rPr>
        <w:t>, a lo cual se sumarán por lo menos 615.8 millones</w:t>
      </w:r>
      <w:r w:rsidRPr="00BD1F7F">
        <w:rPr>
          <w:rFonts w:ascii="Abadi" w:hAnsi="Abadi" w:cs="Arial"/>
          <w:i/>
          <w:sz w:val="21"/>
          <w:szCs w:val="21"/>
          <w:vertAlign w:val="superscript"/>
        </w:rPr>
        <w:footnoteReference w:id="137"/>
      </w:r>
      <w:r w:rsidRPr="00BD1F7F">
        <w:rPr>
          <w:rFonts w:ascii="Abadi" w:hAnsi="Abadi" w:cs="Arial"/>
          <w:i/>
          <w:sz w:val="21"/>
          <w:szCs w:val="21"/>
        </w:rPr>
        <w:t xml:space="preserve"> adicionales mediante el proyecto Q3081, con lo cual este año se estaría llegando a 1,060.2 millones de pesos</w:t>
      </w:r>
      <w:r w:rsidRPr="00BD1F7F">
        <w:rPr>
          <w:rFonts w:ascii="Abadi" w:hAnsi="Abadi" w:cs="Arial"/>
          <w:i/>
          <w:sz w:val="21"/>
          <w:szCs w:val="21"/>
          <w:vertAlign w:val="superscript"/>
        </w:rPr>
        <w:footnoteReference w:id="138"/>
      </w:r>
      <w:r w:rsidRPr="00BD1F7F">
        <w:rPr>
          <w:rFonts w:ascii="Abadi" w:hAnsi="Abadi" w:cs="Arial"/>
          <w:i/>
          <w:sz w:val="21"/>
          <w:szCs w:val="21"/>
        </w:rPr>
        <w:t xml:space="preserve"> manejados al amparo del FIDESSEG.  </w:t>
      </w:r>
    </w:p>
    <w:p w14:paraId="1F277DC3"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Uno de los problemas fundamentales de operar los recursos públicos mediante fideicomisos se encuentra en su carácter contractual que implica la carencia de personalidad jurídica del instrumento financiero</w:t>
      </w:r>
      <w:r w:rsidRPr="00BD1F7F">
        <w:rPr>
          <w:rFonts w:ascii="Abadi" w:hAnsi="Abadi" w:cs="Arial"/>
          <w:i/>
          <w:sz w:val="21"/>
          <w:szCs w:val="21"/>
          <w:vertAlign w:val="superscript"/>
        </w:rPr>
        <w:footnoteReference w:id="139"/>
      </w:r>
      <w:r w:rsidRPr="00BD1F7F">
        <w:rPr>
          <w:rFonts w:ascii="Abadi" w:hAnsi="Abadi" w:cs="Arial"/>
          <w:i/>
          <w:sz w:val="21"/>
          <w:szCs w:val="21"/>
        </w:rPr>
        <w:t>, por lo cual la mayor parte de reglamentación jurídica que se le aplican son normas de derecho mercantil, y puesto que en el derecho privado todo lo que no está expresamente prohibido se asume permitido, se genera un riesgo de deficiencias en la rendición de cuentas</w:t>
      </w:r>
      <w:r w:rsidRPr="00BD1F7F">
        <w:rPr>
          <w:rFonts w:ascii="Abadi" w:hAnsi="Abadi" w:cs="Arial"/>
          <w:i/>
          <w:sz w:val="21"/>
          <w:szCs w:val="21"/>
          <w:vertAlign w:val="superscript"/>
        </w:rPr>
        <w:footnoteReference w:id="140"/>
      </w:r>
      <w:r w:rsidRPr="00BD1F7F">
        <w:rPr>
          <w:rFonts w:ascii="Abadi" w:hAnsi="Abadi" w:cs="Arial"/>
          <w:i/>
          <w:sz w:val="21"/>
          <w:szCs w:val="21"/>
        </w:rPr>
        <w:t xml:space="preserve">. </w:t>
      </w:r>
    </w:p>
    <w:p w14:paraId="49106606"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 xml:space="preserve">En el caso particular de la estructura institucional que se construyó para el funcionamiento del FIDESSEG, se presentan grandes espacios de oportunidad para el mal ejercicio de recursos públicos. </w:t>
      </w:r>
    </w:p>
    <w:p w14:paraId="1526D943"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 xml:space="preserve">Primero, la máxima autoridad del fideicomiso es un comité técnico conformado de la siguiente manera:  </w:t>
      </w:r>
    </w:p>
    <w:p w14:paraId="0E699418"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 5 titulares de Secretarías de Estado (Finanzas, Gobierno, Desarrollo Social, Rendición de Cuentas, y Seguridad Pública).</w:t>
      </w:r>
    </w:p>
    <w:p w14:paraId="03630B67"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lastRenderedPageBreak/>
        <w:t>• La persona titular del DIF estatal.</w:t>
      </w:r>
    </w:p>
    <w:p w14:paraId="09B9281E"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 5 miembros de la sociedad civil que específicamente son designados por los representantes de las sedes del Consejo Coordinador Empresarial de León, Irapuato, Celaya, Salamanca y San Miguel de Allende.</w:t>
      </w:r>
    </w:p>
    <w:p w14:paraId="1F44B522"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En segundo término, las reglas de operación (que permanecen sin cambio alguno desde su generación en 2019) otorgan al Comité Técnico la facultad amplia, exclusiva e inmediata de aprobar la liberación de recursos y la celebración de actos, contratos y convenios del Fideicomiso, e incluso ampliar los calendarios y montos de ejecución de los proyectos aprobados</w:t>
      </w:r>
      <w:r w:rsidRPr="00BD1F7F">
        <w:rPr>
          <w:rFonts w:ascii="Abadi" w:hAnsi="Abadi" w:cs="Arial"/>
          <w:i/>
          <w:sz w:val="21"/>
          <w:szCs w:val="21"/>
          <w:vertAlign w:val="superscript"/>
        </w:rPr>
        <w:footnoteReference w:id="141"/>
      </w:r>
      <w:r w:rsidRPr="00BD1F7F">
        <w:rPr>
          <w:rFonts w:ascii="Abadi" w:hAnsi="Abadi" w:cs="Arial"/>
          <w:i/>
          <w:sz w:val="21"/>
          <w:szCs w:val="21"/>
        </w:rPr>
        <w:t xml:space="preserve">, por lo cual hay un espacio muy importante de discrecionalidad. </w:t>
      </w:r>
    </w:p>
    <w:p w14:paraId="29E58F9A"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 xml:space="preserve">En tercer lugar, es necesario señalar que a ese espacio de discrecionalidad se le suma una carencia de mecanismos adecuados de control interno: la Secretaría de Transparencia y Rendición de Cuentas forma parte del Comité Técnico, pero también nombra al comisario propietario y suplente encargados del control y vigilancia del FIDESSEG.  </w:t>
      </w:r>
    </w:p>
    <w:p w14:paraId="66C2CDE6"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 xml:space="preserve">Por otro lado, sumado al ejercicio presupuestario y a la cuestionable estructura institucional del fideicomiso, es pertinente señalar que existen deficiencias y desapego a la normativa dignas de investigarse. </w:t>
      </w:r>
    </w:p>
    <w:p w14:paraId="7A72333D" w14:textId="3A36BAA5" w:rsidR="00BD1F7F" w:rsidRPr="00BD1F7F" w:rsidRDefault="00BD1F7F" w:rsidP="00750EF9">
      <w:pPr>
        <w:spacing w:before="188"/>
        <w:ind w:left="709" w:right="161"/>
        <w:jc w:val="both"/>
        <w:rPr>
          <w:rFonts w:ascii="Abadi" w:hAnsi="Abadi" w:cs="Arial"/>
          <w:i/>
          <w:sz w:val="21"/>
          <w:szCs w:val="21"/>
        </w:rPr>
      </w:pPr>
      <w:r w:rsidRPr="00BD1F7F">
        <w:rPr>
          <w:rFonts w:ascii="Abadi" w:hAnsi="Abadi" w:cs="Arial"/>
          <w:i/>
          <w:sz w:val="21"/>
          <w:szCs w:val="21"/>
        </w:rPr>
        <w:t xml:space="preserve">Primero, el artículo 67 de la Ley Orgánica del Poder Ejecutivo señala que los fideicomisos que constituya el Gobernador deben contar con un estudio previo que justifique su creación; sin embargo, la realidad es que el FIDESSEG no contó con dicho estudio previo a su constitución.  </w:t>
      </w:r>
    </w:p>
    <w:p w14:paraId="0A24B46F"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 xml:space="preserve">De hecho, el propio gobierno del estado ha señalado que “la justificación </w:t>
      </w:r>
      <w:r w:rsidRPr="00BD1F7F">
        <w:rPr>
          <w:rFonts w:ascii="Abadi" w:hAnsi="Abadi" w:cs="Arial"/>
          <w:i/>
          <w:sz w:val="21"/>
          <w:szCs w:val="21"/>
        </w:rPr>
        <w:t>de creación del fideicomiso se expuso en el apartado de considerandos del decreto gubernativo número 21”</w:t>
      </w:r>
      <w:r w:rsidRPr="00BD1F7F">
        <w:rPr>
          <w:rFonts w:ascii="Abadi" w:hAnsi="Abadi" w:cs="Arial"/>
          <w:i/>
          <w:sz w:val="21"/>
          <w:szCs w:val="21"/>
          <w:vertAlign w:val="superscript"/>
        </w:rPr>
        <w:footnoteReference w:id="142"/>
      </w:r>
      <w:r w:rsidRPr="00BD1F7F">
        <w:rPr>
          <w:rFonts w:ascii="Abadi" w:hAnsi="Abadi" w:cs="Arial"/>
          <w:i/>
          <w:sz w:val="21"/>
          <w:szCs w:val="21"/>
        </w:rPr>
        <w:t>. No obstante, dicha justificación se da al mismo tiempo de su creación, incumpliendo la característica de anterioridad a la creación del mismo; además, el</w:t>
      </w:r>
      <w:r w:rsidRPr="00BD1F7F">
        <w:rPr>
          <w:rFonts w:ascii="Abadi" w:hAnsi="Abadi"/>
          <w:sz w:val="21"/>
          <w:szCs w:val="21"/>
        </w:rPr>
        <w:t xml:space="preserve"> </w:t>
      </w:r>
      <w:r w:rsidRPr="00BD1F7F">
        <w:rPr>
          <w:rFonts w:ascii="Abadi" w:hAnsi="Abadi" w:cs="Arial"/>
          <w:i/>
          <w:sz w:val="21"/>
          <w:szCs w:val="21"/>
        </w:rPr>
        <w:t xml:space="preserve">apartado referido del decreto de creación consta de escasos 7 párrafos que están lejos de constituir un estudio.  </w:t>
      </w:r>
    </w:p>
    <w:p w14:paraId="3D2AB0CF"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 xml:space="preserve">Además, lo cierto es que en dicho apartado jamás se contempla un apartado de análisis de alternativas, ni se da cuenta acerca de las razones técnicas que acrediten que era necesario constituir un fideicomiso en vez de hacer un ejercicio directo del presupuesto para los fines descritos en el decreto. </w:t>
      </w:r>
    </w:p>
    <w:p w14:paraId="29CDCEAA"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Por su parte, pese a que el artículo 13 fracción I del decreto de creación del FIDESSEG otorga al Comité Técnico la facultad de aprobar el programa anual de trabajo, el gobierno del estado ha referido que no se ha elaborado ningún documento que estrictamente corresponda a un programa anual de trabajo</w:t>
      </w:r>
      <w:r w:rsidRPr="00BD1F7F">
        <w:rPr>
          <w:rFonts w:ascii="Abadi" w:hAnsi="Abadi" w:cs="Arial"/>
          <w:i/>
          <w:sz w:val="21"/>
          <w:szCs w:val="21"/>
          <w:vertAlign w:val="superscript"/>
        </w:rPr>
        <w:footnoteReference w:id="143"/>
      </w:r>
      <w:r w:rsidRPr="00BD1F7F">
        <w:rPr>
          <w:rFonts w:ascii="Abadi" w:hAnsi="Abadi" w:cs="Arial"/>
          <w:i/>
          <w:sz w:val="21"/>
          <w:szCs w:val="21"/>
        </w:rPr>
        <w:t xml:space="preserve">. Con esto, se confirma el carácter discrecional de la actuación del Comité Técnico gobernado, en los hechos, por el sector privado. </w:t>
      </w:r>
    </w:p>
    <w:p w14:paraId="577E24F3"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Adicionalmente, pese a que el artículo 11 del decreto de creación se abre la posibilidad de que el Comité Técnico invite a participar en sus sesiones a representantes de los órdenes de gobierno federal, académicos o miembros de la sociedad civil organizada, entre otros, que puedan contribuir a enriquecer el objeto del FIDESSEG, lo cierto es que el gobierno del estado ha manifestado</w:t>
      </w:r>
      <w:r w:rsidRPr="00BD1F7F">
        <w:rPr>
          <w:rFonts w:ascii="Abadi" w:hAnsi="Abadi" w:cs="Arial"/>
          <w:i/>
          <w:sz w:val="21"/>
          <w:szCs w:val="21"/>
          <w:vertAlign w:val="superscript"/>
        </w:rPr>
        <w:footnoteReference w:id="144"/>
      </w:r>
      <w:r w:rsidRPr="00BD1F7F">
        <w:rPr>
          <w:rFonts w:ascii="Abadi" w:hAnsi="Abadi" w:cs="Arial"/>
          <w:i/>
          <w:sz w:val="21"/>
          <w:szCs w:val="21"/>
        </w:rPr>
        <w:t xml:space="preserve"> que no se ha dado la participación de ningún invitado, lo cual vulnera la pretensión de incorporar a la ciudadanía en el proceso de toma de decisiones más allá de la cúpula empresarial cercana al gobernador.   </w:t>
      </w:r>
    </w:p>
    <w:p w14:paraId="1D5C6C46"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lastRenderedPageBreak/>
        <w:t xml:space="preserve">Todo lo anterior se suma al problema de origen de este fideicomiso: no es legítimo regresar a los empresarios los impuestos que se les cobran para que ellos mismos administren lo recaudado. Evidentemente, esto vulnera el carácter unilateral de las contribuciones sin que necesariamente se acredite que dichos recursos se están ejerciendo en favor del interés público más allá del coto empresarial que decide cómo ejercerlos. Es un privilegio fiscal que el resto de la ciudadanía no tiene. </w:t>
      </w:r>
    </w:p>
    <w:p w14:paraId="7DB285C7" w14:textId="77777777" w:rsidR="00BD1F7F" w:rsidRPr="00BD1F7F" w:rsidRDefault="00BD1F7F" w:rsidP="00BD1F7F">
      <w:pPr>
        <w:spacing w:before="188"/>
        <w:ind w:left="709" w:right="161"/>
        <w:jc w:val="both"/>
        <w:rPr>
          <w:rFonts w:ascii="Abadi" w:hAnsi="Abadi" w:cs="Arial"/>
          <w:i/>
          <w:sz w:val="21"/>
          <w:szCs w:val="21"/>
        </w:rPr>
      </w:pPr>
      <w:r w:rsidRPr="00BD1F7F">
        <w:rPr>
          <w:rFonts w:ascii="Abadi" w:hAnsi="Abadi" w:cs="Arial"/>
          <w:i/>
          <w:sz w:val="21"/>
          <w:szCs w:val="21"/>
        </w:rPr>
        <w:t>Por todo lo anterior, desde el Grupo Parlamentario de Morena consideramos pertinente que la Auditoría Superior del Estado de Guanajuato lleve a cabo una revisión a los recursos públicos ingresados y ejercidos mediante el FIDESSEG.</w:t>
      </w:r>
    </w:p>
    <w:p w14:paraId="19F45F32" w14:textId="77777777" w:rsidR="00BD1F7F" w:rsidRPr="00BD1F7F" w:rsidRDefault="00BD1F7F" w:rsidP="00750EF9">
      <w:pPr>
        <w:spacing w:before="188"/>
        <w:ind w:right="161"/>
        <w:jc w:val="both"/>
        <w:rPr>
          <w:rFonts w:ascii="Abadi" w:hAnsi="Abadi" w:cs="Arial"/>
          <w:i/>
          <w:sz w:val="21"/>
          <w:szCs w:val="21"/>
        </w:rPr>
      </w:pPr>
    </w:p>
    <w:p w14:paraId="4EF4B264" w14:textId="77777777" w:rsidR="00BD1F7F" w:rsidRPr="00BD1F7F" w:rsidRDefault="00BD1F7F" w:rsidP="001A28E5">
      <w:pPr>
        <w:numPr>
          <w:ilvl w:val="0"/>
          <w:numId w:val="58"/>
        </w:numPr>
        <w:jc w:val="both"/>
        <w:rPr>
          <w:rFonts w:ascii="Abadi" w:hAnsi="Abadi" w:cs="Arial"/>
          <w:b/>
          <w:bCs/>
          <w:sz w:val="21"/>
          <w:szCs w:val="21"/>
        </w:rPr>
      </w:pPr>
      <w:r w:rsidRPr="00BD1F7F">
        <w:rPr>
          <w:rFonts w:ascii="Abadi" w:hAnsi="Abadi" w:cs="Arial"/>
          <w:b/>
          <w:bCs/>
          <w:sz w:val="21"/>
          <w:szCs w:val="21"/>
        </w:rPr>
        <w:t>Consideraciones de la Comisión</w:t>
      </w:r>
    </w:p>
    <w:p w14:paraId="1C6C8D22" w14:textId="77777777" w:rsidR="00BD1F7F" w:rsidRPr="00BD1F7F" w:rsidRDefault="00BD1F7F" w:rsidP="00BD1F7F">
      <w:pPr>
        <w:spacing w:line="360" w:lineRule="auto"/>
        <w:ind w:firstLine="708"/>
        <w:jc w:val="both"/>
        <w:rPr>
          <w:rFonts w:ascii="Abadi" w:hAnsi="Abadi" w:cs="Tahoma"/>
          <w:sz w:val="21"/>
          <w:szCs w:val="21"/>
        </w:rPr>
      </w:pPr>
    </w:p>
    <w:p w14:paraId="0B6F0CEC" w14:textId="77777777" w:rsidR="00BD1F7F" w:rsidRPr="00BD1F7F" w:rsidRDefault="00BD1F7F" w:rsidP="00BD1F7F">
      <w:pPr>
        <w:ind w:firstLine="708"/>
        <w:jc w:val="both"/>
        <w:rPr>
          <w:rFonts w:ascii="Abadi" w:hAnsi="Abadi"/>
          <w:sz w:val="21"/>
          <w:szCs w:val="21"/>
          <w:lang w:val="es-MX"/>
        </w:rPr>
      </w:pPr>
      <w:r w:rsidRPr="00BD1F7F">
        <w:rPr>
          <w:rFonts w:ascii="Abadi" w:hAnsi="Abadi"/>
          <w:sz w:val="21"/>
          <w:szCs w:val="21"/>
          <w:lang w:val="es-MX"/>
        </w:rPr>
        <w:t xml:space="preserve">En las consideraciones expuestas en la propuesta que se dictamina se señala la necesidad de fiscalizar una auditoría específica los recursos ejercidos por el </w:t>
      </w:r>
      <w:r w:rsidRPr="00BD1F7F">
        <w:rPr>
          <w:rFonts w:ascii="Abadi" w:hAnsi="Abadi" w:cs="Arial"/>
          <w:iCs/>
          <w:sz w:val="21"/>
          <w:szCs w:val="21"/>
        </w:rPr>
        <w:t>Fideicomiso de Administración e Inversión para financiar obras, infraestructura, proyectos y acciones prioritarias en materia de desarrollo social y seguridad pública (FIDESSEG)</w:t>
      </w:r>
      <w:r w:rsidRPr="00BD1F7F">
        <w:rPr>
          <w:rFonts w:ascii="Abadi" w:hAnsi="Abadi"/>
          <w:sz w:val="21"/>
          <w:szCs w:val="21"/>
          <w:lang w:val="es-MX"/>
        </w:rPr>
        <w:t xml:space="preserve"> </w:t>
      </w:r>
      <w:r w:rsidRPr="00BD1F7F">
        <w:rPr>
          <w:rFonts w:ascii="Abadi" w:hAnsi="Abadi" w:cs="Arial"/>
          <w:iCs/>
          <w:sz w:val="21"/>
          <w:szCs w:val="21"/>
        </w:rPr>
        <w:t>por los ejercicios fiscales 2020 y 2021 y concomitante a 2022.</w:t>
      </w:r>
    </w:p>
    <w:p w14:paraId="3E4F7CB8" w14:textId="77777777" w:rsidR="00BD1F7F" w:rsidRPr="00BD1F7F" w:rsidRDefault="00BD1F7F" w:rsidP="00BD1F7F">
      <w:pPr>
        <w:ind w:firstLine="708"/>
        <w:jc w:val="both"/>
        <w:rPr>
          <w:rFonts w:ascii="Abadi" w:hAnsi="Abadi"/>
          <w:sz w:val="21"/>
          <w:szCs w:val="21"/>
          <w:lang w:val="es-MX"/>
        </w:rPr>
      </w:pPr>
    </w:p>
    <w:p w14:paraId="0A708786" w14:textId="167225E1" w:rsidR="00BD1F7F" w:rsidRPr="00BD1F7F" w:rsidRDefault="00BD1F7F" w:rsidP="00BD1F7F">
      <w:pPr>
        <w:ind w:firstLine="708"/>
        <w:jc w:val="both"/>
        <w:rPr>
          <w:rFonts w:ascii="Abadi" w:hAnsi="Abadi" w:cs="Tahoma"/>
          <w:sz w:val="21"/>
          <w:szCs w:val="21"/>
        </w:rPr>
      </w:pPr>
      <w:r w:rsidRPr="00BD1F7F">
        <w:rPr>
          <w:rFonts w:ascii="Abadi" w:hAnsi="Abadi"/>
          <w:sz w:val="21"/>
          <w:szCs w:val="21"/>
          <w:lang w:val="es-MX"/>
        </w:rPr>
        <w:t xml:space="preserve"> </w:t>
      </w:r>
      <w:r w:rsidRPr="00BD1F7F">
        <w:rPr>
          <w:rFonts w:ascii="Abadi" w:hAnsi="Abadi" w:cs="Tahoma"/>
          <w:sz w:val="21"/>
          <w:szCs w:val="21"/>
        </w:rPr>
        <w:t>En tal sentido, quienes integramos esta Comisión consideramos que la vigilancia y el control del ejercicio de los recursos públicos encomendados a los sujetos de fiscalización son primordiales pa</w:t>
      </w:r>
      <w:r w:rsidR="00750EF9">
        <w:rPr>
          <w:rFonts w:ascii="Abadi" w:hAnsi="Abadi" w:cs="Tahoma"/>
          <w:sz w:val="21"/>
          <w:szCs w:val="21"/>
        </w:rPr>
        <w:t>r</w:t>
      </w:r>
      <w:r w:rsidRPr="00BD1F7F">
        <w:rPr>
          <w:rFonts w:ascii="Abadi" w:hAnsi="Abadi" w:cs="Tahoma"/>
          <w:sz w:val="21"/>
          <w:szCs w:val="21"/>
        </w:rPr>
        <w:t xml:space="preserve">a el Poder Legislativo como responsable originario de la función de control. </w:t>
      </w:r>
    </w:p>
    <w:p w14:paraId="1A0BC9A4" w14:textId="77777777" w:rsidR="00BD1F7F" w:rsidRPr="00BD1F7F" w:rsidRDefault="00BD1F7F" w:rsidP="00BD1F7F">
      <w:pPr>
        <w:ind w:firstLine="720"/>
        <w:jc w:val="both"/>
        <w:rPr>
          <w:rFonts w:ascii="Abadi" w:hAnsi="Abadi" w:cs="Tahoma"/>
          <w:sz w:val="21"/>
          <w:szCs w:val="21"/>
        </w:rPr>
      </w:pPr>
    </w:p>
    <w:p w14:paraId="514367A0" w14:textId="77777777" w:rsidR="00BD1F7F" w:rsidRPr="00BD1F7F" w:rsidRDefault="00BD1F7F" w:rsidP="00BD1F7F">
      <w:pPr>
        <w:ind w:firstLine="720"/>
        <w:jc w:val="both"/>
        <w:rPr>
          <w:rFonts w:ascii="Abadi" w:hAnsi="Abadi" w:cs="Tahoma"/>
          <w:sz w:val="21"/>
          <w:szCs w:val="21"/>
        </w:rPr>
      </w:pPr>
      <w:r w:rsidRPr="00BD1F7F">
        <w:rPr>
          <w:rFonts w:ascii="Abadi" w:hAnsi="Abadi" w:cs="Tahoma"/>
          <w:sz w:val="21"/>
          <w:szCs w:val="21"/>
        </w:rPr>
        <w:t>La administración, ejercicio, aplicación y control de los recursos públicos deben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w:t>
      </w:r>
    </w:p>
    <w:p w14:paraId="21EB572B" w14:textId="77777777" w:rsidR="00BD1F7F" w:rsidRPr="00BD1F7F" w:rsidRDefault="00BD1F7F" w:rsidP="00BD1F7F">
      <w:pPr>
        <w:jc w:val="both"/>
        <w:rPr>
          <w:rFonts w:ascii="Abadi" w:hAnsi="Abadi" w:cs="Tahoma"/>
          <w:sz w:val="21"/>
          <w:szCs w:val="21"/>
        </w:rPr>
      </w:pPr>
      <w:r w:rsidRPr="00BD1F7F">
        <w:rPr>
          <w:rFonts w:ascii="Abadi" w:hAnsi="Abadi" w:cs="Tahoma"/>
          <w:sz w:val="21"/>
          <w:szCs w:val="21"/>
        </w:rPr>
        <w:tab/>
      </w:r>
    </w:p>
    <w:p w14:paraId="5C7BD1A1" w14:textId="77777777" w:rsidR="00BD1F7F" w:rsidRPr="00BD1F7F" w:rsidRDefault="00BD1F7F" w:rsidP="00BD1F7F">
      <w:pPr>
        <w:ind w:firstLine="708"/>
        <w:jc w:val="both"/>
        <w:rPr>
          <w:rFonts w:ascii="Abadi" w:hAnsi="Abadi" w:cs="Tahoma"/>
          <w:sz w:val="21"/>
          <w:szCs w:val="21"/>
        </w:rPr>
      </w:pPr>
      <w:r w:rsidRPr="00BD1F7F">
        <w:rPr>
          <w:rFonts w:ascii="Abadi" w:hAnsi="Abadi" w:cs="Tahoma"/>
          <w:sz w:val="21"/>
          <w:szCs w:val="21"/>
        </w:rPr>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1525F27F" w14:textId="77777777" w:rsidR="00BD1F7F" w:rsidRPr="00BD1F7F" w:rsidRDefault="00BD1F7F" w:rsidP="00BD1F7F">
      <w:pPr>
        <w:jc w:val="both"/>
        <w:rPr>
          <w:rFonts w:ascii="Abadi" w:hAnsi="Abadi" w:cs="Tahoma"/>
          <w:sz w:val="21"/>
          <w:szCs w:val="21"/>
        </w:rPr>
      </w:pPr>
    </w:p>
    <w:p w14:paraId="747C0FFF" w14:textId="06BBABDB" w:rsidR="00BD1F7F" w:rsidRPr="00BD1F7F" w:rsidRDefault="00BD1F7F" w:rsidP="00BD1F7F">
      <w:pPr>
        <w:jc w:val="both"/>
        <w:rPr>
          <w:rFonts w:ascii="Abadi" w:hAnsi="Abadi" w:cs="Tahoma"/>
          <w:sz w:val="21"/>
          <w:szCs w:val="21"/>
        </w:rPr>
      </w:pPr>
      <w:r w:rsidRPr="00BD1F7F">
        <w:rPr>
          <w:rFonts w:ascii="Abadi" w:hAnsi="Abadi" w:cs="Tahoma"/>
          <w:sz w:val="21"/>
          <w:szCs w:val="21"/>
        </w:rPr>
        <w:tab/>
        <w:t xml:space="preserve">El artículo 116, fracción II, sexto párrafo de la Constitución Política de los Estados Unidos Mexicanos señala que: </w:t>
      </w:r>
      <w:r w:rsidRPr="00BD1F7F">
        <w:rPr>
          <w:rFonts w:ascii="Abadi" w:hAnsi="Abadi" w:cs="Tahoma"/>
          <w:i/>
          <w:sz w:val="21"/>
          <w:szCs w:val="21"/>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BD1F7F">
        <w:rPr>
          <w:rFonts w:ascii="Abadi" w:hAnsi="Abadi" w:cs="Tahoma"/>
          <w:sz w:val="21"/>
          <w:szCs w:val="21"/>
        </w:rPr>
        <w:t xml:space="preserve"> </w:t>
      </w:r>
    </w:p>
    <w:p w14:paraId="567E929C" w14:textId="77777777" w:rsidR="00BD1F7F" w:rsidRPr="00BD1F7F" w:rsidRDefault="00BD1F7F" w:rsidP="00BD1F7F">
      <w:pPr>
        <w:jc w:val="both"/>
        <w:rPr>
          <w:rFonts w:ascii="Abadi" w:hAnsi="Abadi" w:cs="Tahoma"/>
          <w:sz w:val="21"/>
          <w:szCs w:val="21"/>
        </w:rPr>
      </w:pPr>
    </w:p>
    <w:p w14:paraId="50CB56F1" w14:textId="77777777" w:rsidR="00BD1F7F" w:rsidRPr="00BD1F7F" w:rsidRDefault="00BD1F7F" w:rsidP="00BD1F7F">
      <w:pPr>
        <w:ind w:firstLine="708"/>
        <w:jc w:val="both"/>
        <w:rPr>
          <w:rFonts w:ascii="Abadi" w:hAnsi="Abadi" w:cs="Tahoma"/>
          <w:sz w:val="21"/>
          <w:szCs w:val="21"/>
        </w:rPr>
      </w:pPr>
      <w:r w:rsidRPr="00BD1F7F">
        <w:rPr>
          <w:rFonts w:ascii="Abadi" w:hAnsi="Abadi" w:cs="Tahoma"/>
          <w:sz w:val="21"/>
          <w:szCs w:val="21"/>
        </w:rPr>
        <w:t xml:space="preserve">La Auditoría Superior del Estado, de conformidad con el artículo 66 de la Constitución Política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w:t>
      </w:r>
    </w:p>
    <w:p w14:paraId="23D34773" w14:textId="77777777" w:rsidR="00BD1F7F" w:rsidRPr="00BD1F7F" w:rsidRDefault="00BD1F7F" w:rsidP="00BD1F7F">
      <w:pPr>
        <w:ind w:firstLine="708"/>
        <w:jc w:val="both"/>
        <w:rPr>
          <w:rFonts w:ascii="Abadi" w:hAnsi="Abadi" w:cs="Tahoma"/>
          <w:sz w:val="21"/>
          <w:szCs w:val="21"/>
        </w:rPr>
      </w:pPr>
    </w:p>
    <w:p w14:paraId="7B68CFD4" w14:textId="77777777" w:rsidR="00BD1F7F" w:rsidRPr="00BD1F7F" w:rsidRDefault="00BD1F7F" w:rsidP="00BD1F7F">
      <w:pPr>
        <w:ind w:firstLine="720"/>
        <w:jc w:val="both"/>
        <w:rPr>
          <w:rFonts w:ascii="Abadi" w:hAnsi="Abadi" w:cs="Tahoma"/>
          <w:sz w:val="21"/>
          <w:szCs w:val="21"/>
        </w:rPr>
      </w:pPr>
      <w:r w:rsidRPr="00BD1F7F">
        <w:rPr>
          <w:rFonts w:ascii="Abadi" w:hAnsi="Abadi" w:cs="Tahoma"/>
          <w:sz w:val="21"/>
          <w:szCs w:val="21"/>
        </w:rPr>
        <w:t>Las dependencias y entidades de la administración pública estatal son sujetos de la función de fiscalización del Congreso del Estado, según se desprende de los artículos 63 fracciones XVIII y XXVIII; y 66 de la Constitución Política local y 2, fracción III de la Ley de Fiscalización Superior del Estado de Guanajuato.</w:t>
      </w:r>
    </w:p>
    <w:p w14:paraId="7EF9FC09" w14:textId="77777777" w:rsidR="00BD1F7F" w:rsidRPr="00BD1F7F" w:rsidRDefault="00BD1F7F" w:rsidP="00BD1F7F">
      <w:pPr>
        <w:ind w:firstLine="720"/>
        <w:jc w:val="both"/>
        <w:rPr>
          <w:rFonts w:ascii="Abadi" w:hAnsi="Abadi" w:cs="Tahoma"/>
          <w:sz w:val="21"/>
          <w:szCs w:val="21"/>
        </w:rPr>
      </w:pPr>
    </w:p>
    <w:p w14:paraId="5746E792" w14:textId="77777777" w:rsidR="00BD1F7F" w:rsidRPr="00BD1F7F" w:rsidRDefault="00BD1F7F" w:rsidP="00BD1F7F">
      <w:pPr>
        <w:ind w:firstLine="720"/>
        <w:jc w:val="both"/>
        <w:rPr>
          <w:rFonts w:ascii="Abadi" w:hAnsi="Abadi" w:cs="Tahoma"/>
          <w:sz w:val="21"/>
          <w:szCs w:val="21"/>
        </w:rPr>
      </w:pPr>
      <w:r w:rsidRPr="00BD1F7F">
        <w:rPr>
          <w:rFonts w:ascii="Abadi" w:hAnsi="Abadi" w:cs="Tahoma"/>
          <w:sz w:val="21"/>
          <w:szCs w:val="21"/>
        </w:rPr>
        <w:t xml:space="preserve">De la propuesta podemos desprender la pretensión de la realización de una auditoría específica con enfoque financiero y de cumplimiento al </w:t>
      </w:r>
      <w:r w:rsidRPr="00BD1F7F">
        <w:rPr>
          <w:rFonts w:ascii="Abadi" w:hAnsi="Abadi" w:cs="Arial"/>
          <w:iCs/>
          <w:sz w:val="21"/>
          <w:szCs w:val="21"/>
        </w:rPr>
        <w:t xml:space="preserve">Fideicomiso de Administración e </w:t>
      </w:r>
      <w:r w:rsidRPr="00BD1F7F">
        <w:rPr>
          <w:rFonts w:ascii="Abadi" w:hAnsi="Abadi" w:cs="Arial"/>
          <w:iCs/>
          <w:sz w:val="21"/>
          <w:szCs w:val="21"/>
        </w:rPr>
        <w:lastRenderedPageBreak/>
        <w:t>Inversión para financiar obras, infraestructura, proyectos y acciones prioritarias en materia de desarrollo social y seguridad pública (FIDESSEG)</w:t>
      </w:r>
      <w:r w:rsidRPr="00BD1F7F">
        <w:rPr>
          <w:rFonts w:ascii="Abadi" w:hAnsi="Abadi" w:cs="Tahoma"/>
          <w:sz w:val="21"/>
          <w:szCs w:val="21"/>
        </w:rPr>
        <w:t>, por los ejercicios fiscales de 2020 y 2021 y concomitante por lo que respecta al ejercicio fiscal de 2022.</w:t>
      </w:r>
    </w:p>
    <w:p w14:paraId="562EA115" w14:textId="77777777" w:rsidR="00BD1F7F" w:rsidRPr="00BD1F7F" w:rsidRDefault="00BD1F7F" w:rsidP="00BD1F7F">
      <w:pPr>
        <w:ind w:firstLine="720"/>
        <w:jc w:val="both"/>
        <w:rPr>
          <w:rFonts w:ascii="Abadi" w:hAnsi="Abadi" w:cs="Tahoma"/>
          <w:sz w:val="21"/>
          <w:szCs w:val="21"/>
        </w:rPr>
      </w:pPr>
    </w:p>
    <w:p w14:paraId="55E682B0" w14:textId="77777777" w:rsidR="00BD1F7F" w:rsidRPr="00BD1F7F" w:rsidRDefault="00BD1F7F" w:rsidP="00BD1F7F">
      <w:pPr>
        <w:ind w:firstLine="720"/>
        <w:jc w:val="both"/>
        <w:rPr>
          <w:rFonts w:ascii="Abadi" w:hAnsi="Abadi" w:cs="Arial"/>
          <w:iCs/>
          <w:sz w:val="21"/>
          <w:szCs w:val="21"/>
        </w:rPr>
      </w:pPr>
      <w:r w:rsidRPr="00BD1F7F">
        <w:rPr>
          <w:rFonts w:ascii="Abadi" w:hAnsi="Abadi" w:cs="Arial"/>
          <w:iCs/>
          <w:sz w:val="21"/>
          <w:szCs w:val="21"/>
        </w:rPr>
        <w:t xml:space="preserve">Al respecto, cabe mencionar que a través del decreto gubernativo número 21 publicado en el Periódico Oficial del Gobierno del Estado número 75, tercera parte, de fecha 15 de abril de 2019, se autorizó la constitución del </w:t>
      </w:r>
      <w:r w:rsidRPr="00BD1F7F">
        <w:rPr>
          <w:rFonts w:ascii="Abadi" w:hAnsi="Abadi" w:cs="Arial"/>
          <w:i/>
          <w:sz w:val="21"/>
          <w:szCs w:val="21"/>
        </w:rPr>
        <w:t xml:space="preserve">«Fideicomiso de Administración e Inversión para Financiar Obras, Infraestructura, Proyectos y Acciones Prioritarias en Materia de Desarrollo Social y Seguridad Pública para el Estado de Guanajuato» </w:t>
      </w:r>
      <w:r w:rsidRPr="00BD1F7F">
        <w:rPr>
          <w:rFonts w:ascii="Abadi" w:hAnsi="Abadi" w:cs="Arial"/>
          <w:iCs/>
          <w:sz w:val="21"/>
          <w:szCs w:val="21"/>
        </w:rPr>
        <w:t>(FIDESSEG). El 17 de diciembre de 2019 en el Periódico Oficial del Gobierno del Estado número 251, tercera parte se publicaron las Reglas de Operación de dicho fideicomiso.</w:t>
      </w:r>
    </w:p>
    <w:p w14:paraId="07306E89" w14:textId="77777777" w:rsidR="00BD1F7F" w:rsidRPr="00BD1F7F" w:rsidRDefault="00BD1F7F" w:rsidP="00BD1F7F">
      <w:pPr>
        <w:ind w:firstLine="720"/>
        <w:jc w:val="both"/>
        <w:rPr>
          <w:rFonts w:ascii="Abadi" w:hAnsi="Abadi" w:cs="Arial"/>
          <w:iCs/>
          <w:sz w:val="21"/>
          <w:szCs w:val="21"/>
        </w:rPr>
      </w:pPr>
      <w:r w:rsidRPr="00BD1F7F">
        <w:rPr>
          <w:rFonts w:ascii="Abadi" w:hAnsi="Abadi" w:cs="Arial"/>
          <w:iCs/>
          <w:sz w:val="21"/>
          <w:szCs w:val="21"/>
        </w:rPr>
        <w:t xml:space="preserve"> </w:t>
      </w:r>
    </w:p>
    <w:p w14:paraId="680D3404" w14:textId="77777777" w:rsidR="00BD1F7F" w:rsidRPr="00BD1F7F" w:rsidRDefault="00BD1F7F" w:rsidP="00BD1F7F">
      <w:pPr>
        <w:ind w:firstLine="720"/>
        <w:jc w:val="both"/>
        <w:rPr>
          <w:rFonts w:ascii="Abadi" w:hAnsi="Abadi" w:cs="Arial"/>
          <w:iCs/>
          <w:sz w:val="21"/>
          <w:szCs w:val="21"/>
        </w:rPr>
      </w:pPr>
      <w:r w:rsidRPr="00BD1F7F">
        <w:rPr>
          <w:rFonts w:ascii="Abadi" w:hAnsi="Abadi" w:cs="Arial"/>
          <w:iCs/>
          <w:sz w:val="21"/>
          <w:szCs w:val="21"/>
        </w:rPr>
        <w:t>El 9 de agosto de 2019 se firmó el contrato de fideicomiso público identificado con el número 23425.</w:t>
      </w:r>
    </w:p>
    <w:p w14:paraId="5D916AC6" w14:textId="77777777" w:rsidR="00BD1F7F" w:rsidRPr="00BD1F7F" w:rsidRDefault="00BD1F7F" w:rsidP="00BD1F7F">
      <w:pPr>
        <w:ind w:firstLine="720"/>
        <w:jc w:val="both"/>
        <w:rPr>
          <w:rFonts w:ascii="Abadi" w:hAnsi="Abadi" w:cs="Arial"/>
          <w:iCs/>
          <w:sz w:val="21"/>
          <w:szCs w:val="21"/>
        </w:rPr>
      </w:pPr>
    </w:p>
    <w:p w14:paraId="2EBA084B" w14:textId="77777777" w:rsidR="00BD1F7F" w:rsidRPr="00BD1F7F" w:rsidRDefault="00BD1F7F" w:rsidP="00BD1F7F">
      <w:pPr>
        <w:ind w:firstLine="708"/>
        <w:jc w:val="both"/>
        <w:rPr>
          <w:rFonts w:ascii="Abadi" w:hAnsi="Abadi" w:cs="Segoe UI"/>
          <w:bCs/>
          <w:color w:val="000000"/>
          <w:sz w:val="21"/>
          <w:szCs w:val="21"/>
          <w:lang w:val="es-MX" w:eastAsia="es-MX"/>
        </w:rPr>
      </w:pPr>
      <w:r w:rsidRPr="00BD1F7F">
        <w:rPr>
          <w:rFonts w:ascii="Abadi" w:hAnsi="Abadi" w:cs="Arial"/>
          <w:iCs/>
          <w:sz w:val="21"/>
          <w:szCs w:val="21"/>
        </w:rPr>
        <w:t xml:space="preserve">Respecto al Objeto del Fideicomiso, se establece: El </w:t>
      </w:r>
      <w:r w:rsidRPr="00BD1F7F">
        <w:rPr>
          <w:rFonts w:ascii="Abadi" w:hAnsi="Abadi" w:cs="Arial"/>
          <w:i/>
          <w:sz w:val="21"/>
          <w:szCs w:val="21"/>
        </w:rPr>
        <w:t>«Fideicomitente»</w:t>
      </w:r>
      <w:r w:rsidRPr="00BD1F7F">
        <w:rPr>
          <w:rFonts w:ascii="Abadi" w:hAnsi="Abadi" w:cs="Arial"/>
          <w:iCs/>
          <w:sz w:val="21"/>
          <w:szCs w:val="21"/>
        </w:rPr>
        <w:t xml:space="preserve"> establece que el «</w:t>
      </w:r>
      <w:r w:rsidRPr="00BD1F7F">
        <w:rPr>
          <w:rFonts w:ascii="Abadi" w:hAnsi="Abadi" w:cs="Arial"/>
          <w:i/>
          <w:sz w:val="21"/>
          <w:szCs w:val="21"/>
        </w:rPr>
        <w:t>FIDESSEG»</w:t>
      </w:r>
      <w:r w:rsidRPr="00BD1F7F">
        <w:rPr>
          <w:rFonts w:ascii="Abadi" w:hAnsi="Abadi" w:cs="Arial"/>
          <w:iCs/>
          <w:sz w:val="21"/>
          <w:szCs w:val="21"/>
        </w:rPr>
        <w:t xml:space="preserve"> tiene como objeto el constituir y administrar un patrimonio autónomo destinado a financiar obras, infraestructura, proyectos y acciones prioritarias en materia de desarrollo social y seguridad pública para el Estado de Guanajuato</w:t>
      </w:r>
      <w:r w:rsidRPr="00BD1F7F">
        <w:rPr>
          <w:rFonts w:ascii="Abadi" w:hAnsi="Abadi" w:cs="Segoe UI"/>
          <w:bCs/>
          <w:color w:val="000000"/>
          <w:sz w:val="21"/>
          <w:szCs w:val="21"/>
          <w:lang w:val="es-MX" w:eastAsia="es-MX"/>
        </w:rPr>
        <w:t>.</w:t>
      </w:r>
      <w:r w:rsidRPr="00BD1F7F">
        <w:rPr>
          <w:rFonts w:ascii="Abadi" w:hAnsi="Abadi" w:cs="Segoe UI"/>
          <w:bCs/>
          <w:color w:val="000000"/>
          <w:sz w:val="21"/>
          <w:szCs w:val="21"/>
          <w:vertAlign w:val="superscript"/>
          <w:lang w:val="es-MX" w:eastAsia="es-MX"/>
        </w:rPr>
        <w:footnoteReference w:id="145"/>
      </w:r>
    </w:p>
    <w:p w14:paraId="45381B91" w14:textId="77777777" w:rsidR="00BD1F7F" w:rsidRPr="00BD1F7F" w:rsidRDefault="00BD1F7F" w:rsidP="00750EF9">
      <w:pPr>
        <w:jc w:val="both"/>
        <w:rPr>
          <w:rFonts w:ascii="Abadi" w:hAnsi="Abadi" w:cs="Arial"/>
          <w:iCs/>
          <w:sz w:val="21"/>
          <w:szCs w:val="21"/>
        </w:rPr>
      </w:pPr>
    </w:p>
    <w:p w14:paraId="14865608" w14:textId="77777777" w:rsidR="00BD1F7F" w:rsidRPr="00BD1F7F" w:rsidRDefault="00BD1F7F" w:rsidP="00BD1F7F">
      <w:pPr>
        <w:pBdr>
          <w:top w:val="nil"/>
          <w:left w:val="nil"/>
          <w:bottom w:val="nil"/>
          <w:right w:val="nil"/>
          <w:between w:val="nil"/>
        </w:pBdr>
        <w:spacing w:after="240"/>
        <w:ind w:firstLine="708"/>
        <w:jc w:val="both"/>
        <w:rPr>
          <w:rFonts w:ascii="Abadi" w:hAnsi="Abadi" w:cs="Segoe UI"/>
          <w:bCs/>
          <w:color w:val="000000"/>
          <w:sz w:val="21"/>
          <w:szCs w:val="21"/>
          <w:lang w:val="es-MX" w:eastAsia="es-MX"/>
        </w:rPr>
      </w:pPr>
      <w:r w:rsidRPr="00BD1F7F">
        <w:rPr>
          <w:rFonts w:ascii="Abadi" w:eastAsia="Calibri" w:hAnsi="Abadi"/>
          <w:bCs/>
          <w:sz w:val="21"/>
          <w:szCs w:val="21"/>
        </w:rPr>
        <w:t>Por lo que hace al tipo de apoyo que otorgará dicho fideicomiso, se apoyará a las asociaciones civiles legalmente constituidas y registradas, fundaciones con modelo de responsabilidad social compartida, así como dependencias y entidades de la administración pública estatal con una aportación económica no recuperable (recursos líquidos), pudiendo</w:t>
      </w:r>
      <w:r w:rsidRPr="00BD1F7F">
        <w:rPr>
          <w:rFonts w:ascii="Abadi" w:eastAsia="Arial" w:hAnsi="Abadi" w:cs="Arial"/>
          <w:color w:val="4A4843"/>
          <w:sz w:val="21"/>
          <w:szCs w:val="21"/>
        </w:rPr>
        <w:t xml:space="preserve"> </w:t>
      </w:r>
      <w:r w:rsidRPr="00BD1F7F">
        <w:rPr>
          <w:rFonts w:ascii="Abadi" w:eastAsia="Calibri" w:hAnsi="Abadi"/>
          <w:bCs/>
          <w:sz w:val="21"/>
          <w:szCs w:val="21"/>
        </w:rPr>
        <w:t>ser el 100% de los recursos requeridos para el proyecto o bajo el esquema de coinversión, según lo determine el Comité Técnico</w:t>
      </w:r>
      <w:r w:rsidRPr="00BD1F7F">
        <w:rPr>
          <w:rFonts w:ascii="Abadi" w:hAnsi="Abadi" w:cs="Segoe UI"/>
          <w:bCs/>
          <w:color w:val="000000"/>
          <w:sz w:val="21"/>
          <w:szCs w:val="21"/>
          <w:lang w:val="es-MX" w:eastAsia="es-MX"/>
        </w:rPr>
        <w:t>.</w:t>
      </w:r>
      <w:r w:rsidRPr="00BD1F7F">
        <w:rPr>
          <w:rFonts w:ascii="Abadi" w:hAnsi="Abadi" w:cs="Segoe UI"/>
          <w:bCs/>
          <w:color w:val="000000"/>
          <w:sz w:val="21"/>
          <w:szCs w:val="21"/>
          <w:vertAlign w:val="superscript"/>
          <w:lang w:val="es-MX" w:eastAsia="es-MX"/>
        </w:rPr>
        <w:footnoteReference w:id="146"/>
      </w:r>
    </w:p>
    <w:p w14:paraId="009F27E8" w14:textId="77777777" w:rsidR="00BD1F7F" w:rsidRPr="00BD1F7F" w:rsidRDefault="00BD1F7F" w:rsidP="00BD1F7F">
      <w:pPr>
        <w:pBdr>
          <w:top w:val="nil"/>
          <w:left w:val="nil"/>
          <w:bottom w:val="nil"/>
          <w:right w:val="nil"/>
          <w:between w:val="nil"/>
        </w:pBdr>
        <w:spacing w:after="240"/>
        <w:ind w:firstLine="708"/>
        <w:jc w:val="both"/>
        <w:rPr>
          <w:rFonts w:ascii="Abadi" w:eastAsia="Arial" w:hAnsi="Abadi" w:cs="Arial"/>
          <w:color w:val="4A4843"/>
          <w:sz w:val="21"/>
          <w:szCs w:val="21"/>
        </w:rPr>
      </w:pPr>
      <w:r w:rsidRPr="00BD1F7F">
        <w:rPr>
          <w:rFonts w:ascii="Abadi" w:eastAsia="Calibri" w:hAnsi="Abadi"/>
          <w:bCs/>
          <w:sz w:val="21"/>
          <w:szCs w:val="21"/>
        </w:rPr>
        <w:t>En la información proporcionada por la Auditoría Superior del Estado, se señala que</w:t>
      </w:r>
      <w:r w:rsidRPr="00BD1F7F" w:rsidDel="004A2F6A">
        <w:rPr>
          <w:rFonts w:ascii="Abadi" w:eastAsia="Calibri" w:hAnsi="Abadi"/>
          <w:bCs/>
          <w:sz w:val="21"/>
          <w:szCs w:val="21"/>
        </w:rPr>
        <w:t xml:space="preserve"> </w:t>
      </w:r>
      <w:r w:rsidRPr="00BD1F7F">
        <w:rPr>
          <w:rFonts w:ascii="Abadi" w:eastAsia="Calibri" w:hAnsi="Abadi"/>
          <w:bCs/>
          <w:sz w:val="21"/>
          <w:szCs w:val="21"/>
        </w:rPr>
        <w:t xml:space="preserve">en la revisión de la cuenta pública del Poder Ejecutivo del Estado correspondiente al ejercicio </w:t>
      </w:r>
      <w:r w:rsidRPr="00BD1F7F">
        <w:rPr>
          <w:rFonts w:ascii="Abadi" w:eastAsia="Calibri" w:hAnsi="Abadi"/>
          <w:bCs/>
          <w:sz w:val="21"/>
          <w:szCs w:val="21"/>
        </w:rPr>
        <w:t>fiscal de 2019 se realizaron procedimientos analíticos preliminares de planeación; por lo que hace al ejercicio fiscal de 2020 se realizaron procedimientos analíticos respecto a las aportaciones al Fideicomiso; y en el avance para 2021, se han realizado procedimientos analíticos preliminares de planeación</w:t>
      </w:r>
      <w:r w:rsidRPr="00BD1F7F">
        <w:rPr>
          <w:rFonts w:ascii="Abadi" w:eastAsia="Arial" w:hAnsi="Abadi" w:cs="Arial"/>
          <w:color w:val="4A4843"/>
          <w:sz w:val="21"/>
          <w:szCs w:val="21"/>
        </w:rPr>
        <w:t xml:space="preserve">. </w:t>
      </w:r>
    </w:p>
    <w:p w14:paraId="74CAAF31" w14:textId="77777777" w:rsidR="00BD1F7F" w:rsidRPr="00BD1F7F" w:rsidRDefault="00BD1F7F" w:rsidP="00BD1F7F">
      <w:pPr>
        <w:ind w:firstLine="720"/>
        <w:jc w:val="both"/>
        <w:rPr>
          <w:rFonts w:ascii="Abadi" w:eastAsia="Calibri" w:hAnsi="Abadi"/>
          <w:bCs/>
          <w:sz w:val="21"/>
          <w:szCs w:val="21"/>
        </w:rPr>
      </w:pPr>
      <w:r w:rsidRPr="00BD1F7F">
        <w:rPr>
          <w:rFonts w:ascii="Abadi" w:hAnsi="Abadi" w:cs="Tahoma"/>
          <w:sz w:val="21"/>
          <w:szCs w:val="21"/>
        </w:rPr>
        <w:t>Derivado de lo anterior y atendiendo a que</w:t>
      </w:r>
      <w:r w:rsidRPr="00BD1F7F">
        <w:rPr>
          <w:rFonts w:ascii="Abadi" w:eastAsia="Calibri" w:hAnsi="Abadi"/>
          <w:bCs/>
          <w:sz w:val="21"/>
          <w:szCs w:val="21"/>
        </w:rPr>
        <w:t xml:space="preserve"> en el Programa General de Fiscalización 2022 se contemplan 272 actos de fiscalización, por lo que, de acuerdo a dicho Programa, así como al Programa Operativo Anual y la capacidad institucional instalada, la incorporación de actos de fiscalización adicionales a los ya programados, incidiría directamente en la cobertura, calidad y tiempos de la fiscalización, en detrimento del citado programa y de los actos de fiscalización previamente planificados.</w:t>
      </w:r>
    </w:p>
    <w:p w14:paraId="1EAFE8AF" w14:textId="77777777" w:rsidR="00BD1F7F" w:rsidRPr="00BD1F7F" w:rsidRDefault="00BD1F7F" w:rsidP="00BD1F7F">
      <w:pPr>
        <w:rPr>
          <w:rFonts w:ascii="Abadi" w:eastAsia="Calibri" w:hAnsi="Abadi"/>
          <w:sz w:val="21"/>
          <w:szCs w:val="21"/>
          <w:lang w:val="es-MX" w:eastAsia="en-US"/>
        </w:rPr>
      </w:pPr>
    </w:p>
    <w:p w14:paraId="5D7E4695" w14:textId="77777777" w:rsidR="00BD1F7F" w:rsidRPr="00BD1F7F" w:rsidRDefault="00BD1F7F" w:rsidP="00BD1F7F">
      <w:pPr>
        <w:ind w:firstLine="720"/>
        <w:jc w:val="both"/>
        <w:rPr>
          <w:rFonts w:ascii="Abadi" w:hAnsi="Abadi"/>
          <w:sz w:val="21"/>
          <w:szCs w:val="21"/>
          <w:lang w:val="es-MX" w:eastAsia="en-US"/>
        </w:rPr>
      </w:pPr>
      <w:r w:rsidRPr="00BD1F7F">
        <w:rPr>
          <w:rFonts w:ascii="Abadi" w:hAnsi="Abadi" w:cs="Arial"/>
          <w:sz w:val="21"/>
          <w:szCs w:val="21"/>
        </w:rPr>
        <w:t xml:space="preserve">En razón a lo antes señalado y privilegiando la realización de los actos de fiscalización ya contemplados en el Programa General de Fiscalización de la Auditoría Superior del Estado para el presente ejercicio fiscal, mismo que consideró una planeación estratégica, así como al cumplimiento de dicho programa en tiempo y calidad de los actos programados, así como a la capacidad institucional instalada de dicho Órgano Técnico, determinamos no autorizar la realización de la auditoría propuesta, atendiendo además a que en la revisión de la cuenta pública del Poder Ejecutivo del Estado del ejercicio 2021 la Auditoría Superior del Estado </w:t>
      </w:r>
      <w:r w:rsidRPr="00BD1F7F">
        <w:rPr>
          <w:rFonts w:ascii="Abadi" w:hAnsi="Abadi"/>
          <w:bCs/>
          <w:sz w:val="21"/>
          <w:szCs w:val="21"/>
        </w:rPr>
        <w:t>podrá incluir los hechos que correspondan a dicho ejercicio planteados por la proponente en la planeación y ejecución de dicha revisión</w:t>
      </w:r>
      <w:r w:rsidRPr="00BD1F7F">
        <w:rPr>
          <w:rFonts w:ascii="Abadi" w:hAnsi="Abadi"/>
          <w:sz w:val="21"/>
          <w:szCs w:val="21"/>
          <w:lang w:val="es-MX" w:eastAsia="en-US"/>
        </w:rPr>
        <w:t>, lo cual se contendrá en el informe de resultados de la revisión de la citada cuenta pública.</w:t>
      </w:r>
    </w:p>
    <w:p w14:paraId="0D269780" w14:textId="77777777" w:rsidR="00BD1F7F" w:rsidRPr="00BD1F7F" w:rsidRDefault="00BD1F7F" w:rsidP="00750EF9">
      <w:pPr>
        <w:jc w:val="both"/>
        <w:rPr>
          <w:rFonts w:ascii="Abadi" w:hAnsi="Abadi" w:cs="Arial"/>
          <w:sz w:val="21"/>
          <w:szCs w:val="21"/>
        </w:rPr>
      </w:pPr>
    </w:p>
    <w:p w14:paraId="1C8EBC4E" w14:textId="77777777" w:rsidR="00BD1F7F" w:rsidRPr="00BD1F7F" w:rsidRDefault="00BD1F7F" w:rsidP="00BD1F7F">
      <w:pPr>
        <w:ind w:firstLine="720"/>
        <w:jc w:val="both"/>
        <w:rPr>
          <w:rFonts w:ascii="Abadi" w:hAnsi="Abadi" w:cs="Tahoma"/>
          <w:sz w:val="21"/>
          <w:szCs w:val="21"/>
        </w:rPr>
      </w:pPr>
    </w:p>
    <w:p w14:paraId="2ADAB5A8" w14:textId="1327425D" w:rsidR="00BD1F7F" w:rsidRDefault="00BD1F7F" w:rsidP="00BD1F7F">
      <w:pPr>
        <w:ind w:firstLine="708"/>
        <w:jc w:val="both"/>
        <w:rPr>
          <w:rFonts w:ascii="Abadi" w:hAnsi="Abadi" w:cs="Arial"/>
          <w:iCs/>
          <w:sz w:val="21"/>
          <w:szCs w:val="21"/>
        </w:rPr>
      </w:pPr>
      <w:r w:rsidRPr="00BD1F7F">
        <w:rPr>
          <w:rFonts w:ascii="Abadi" w:hAnsi="Abadi" w:cs="Arial"/>
          <w:iCs/>
          <w:sz w:val="21"/>
          <w:szCs w:val="21"/>
        </w:rPr>
        <w:t xml:space="preserve">Por lo expuesto y con fundamento en el artículo 204 de </w:t>
      </w:r>
      <w:smartTag w:uri="urn:schemas-microsoft-com:office:smarttags" w:element="PersonName">
        <w:smartTagPr>
          <w:attr w:name="ProductID" w:val="la Ley Org￡nica"/>
        </w:smartTagPr>
        <w:r w:rsidRPr="00BD1F7F">
          <w:rPr>
            <w:rFonts w:ascii="Abadi" w:hAnsi="Abadi" w:cs="Arial"/>
            <w:iCs/>
            <w:sz w:val="21"/>
            <w:szCs w:val="21"/>
          </w:rPr>
          <w:t>la Ley Orgánica</w:t>
        </w:r>
      </w:smartTag>
      <w:r w:rsidRPr="00BD1F7F">
        <w:rPr>
          <w:rFonts w:ascii="Abadi" w:hAnsi="Abadi" w:cs="Arial"/>
          <w:iCs/>
          <w:sz w:val="21"/>
          <w:szCs w:val="21"/>
        </w:rPr>
        <w:t xml:space="preserve"> del Poder Legislativo del Estado, sometemos a la consideración de </w:t>
      </w:r>
      <w:smartTag w:uri="urn:schemas-microsoft-com:office:smarttags" w:element="PersonName">
        <w:smartTagPr>
          <w:attr w:name="ProductID" w:val="la Asamblea"/>
        </w:smartTagPr>
        <w:r w:rsidRPr="00BD1F7F">
          <w:rPr>
            <w:rFonts w:ascii="Abadi" w:hAnsi="Abadi" w:cs="Arial"/>
            <w:iCs/>
            <w:sz w:val="21"/>
            <w:szCs w:val="21"/>
          </w:rPr>
          <w:t>la Asamblea</w:t>
        </w:r>
      </w:smartTag>
      <w:r w:rsidRPr="00BD1F7F">
        <w:rPr>
          <w:rFonts w:ascii="Abadi" w:hAnsi="Abadi" w:cs="Arial"/>
          <w:iCs/>
          <w:sz w:val="21"/>
          <w:szCs w:val="21"/>
        </w:rPr>
        <w:t>, la aprobación del siguiente:</w:t>
      </w:r>
    </w:p>
    <w:p w14:paraId="6429B576" w14:textId="77777777" w:rsidR="00750EF9" w:rsidRPr="00BD1F7F" w:rsidRDefault="00750EF9" w:rsidP="00BD1F7F">
      <w:pPr>
        <w:ind w:firstLine="708"/>
        <w:jc w:val="both"/>
        <w:rPr>
          <w:rFonts w:ascii="Abadi" w:hAnsi="Abadi" w:cs="Arial"/>
          <w:iCs/>
          <w:sz w:val="21"/>
          <w:szCs w:val="21"/>
        </w:rPr>
      </w:pPr>
    </w:p>
    <w:p w14:paraId="2377C626" w14:textId="77777777" w:rsidR="00BD1F7F" w:rsidRPr="00BD1F7F" w:rsidRDefault="00BD1F7F" w:rsidP="00BD1F7F">
      <w:pPr>
        <w:jc w:val="center"/>
        <w:rPr>
          <w:rFonts w:ascii="Abadi" w:hAnsi="Abadi" w:cs="Arial"/>
          <w:b/>
          <w:iCs/>
          <w:sz w:val="21"/>
          <w:szCs w:val="21"/>
        </w:rPr>
      </w:pPr>
      <w:r w:rsidRPr="00BD1F7F">
        <w:rPr>
          <w:rFonts w:ascii="Abadi" w:hAnsi="Abadi" w:cs="Arial"/>
          <w:b/>
          <w:iCs/>
          <w:sz w:val="21"/>
          <w:szCs w:val="21"/>
        </w:rPr>
        <w:t>A c u e r d o</w:t>
      </w:r>
    </w:p>
    <w:p w14:paraId="44F96AA8" w14:textId="77777777" w:rsidR="00BD1F7F" w:rsidRPr="00BD1F7F" w:rsidRDefault="00BD1F7F" w:rsidP="00BD1F7F">
      <w:pPr>
        <w:jc w:val="center"/>
        <w:rPr>
          <w:rFonts w:ascii="Abadi" w:hAnsi="Abadi" w:cs="Arial"/>
          <w:b/>
          <w:iCs/>
          <w:sz w:val="21"/>
          <w:szCs w:val="21"/>
        </w:rPr>
      </w:pPr>
    </w:p>
    <w:p w14:paraId="2F7D9A7B" w14:textId="77777777" w:rsidR="00BD1F7F" w:rsidRPr="00BD1F7F" w:rsidRDefault="00BD1F7F" w:rsidP="00BD1F7F">
      <w:pPr>
        <w:ind w:firstLine="708"/>
        <w:jc w:val="both"/>
        <w:rPr>
          <w:rFonts w:ascii="Abadi" w:hAnsi="Abadi" w:cs="Arial"/>
          <w:sz w:val="21"/>
          <w:szCs w:val="21"/>
        </w:rPr>
      </w:pPr>
      <w:r w:rsidRPr="00BD1F7F">
        <w:rPr>
          <w:rFonts w:ascii="Abadi" w:hAnsi="Abadi" w:cs="Arial"/>
          <w:b/>
          <w:iCs/>
          <w:sz w:val="21"/>
          <w:szCs w:val="21"/>
        </w:rPr>
        <w:lastRenderedPageBreak/>
        <w:t>Único.</w:t>
      </w:r>
      <w:r w:rsidRPr="00BD1F7F">
        <w:rPr>
          <w:rFonts w:ascii="Abadi" w:hAnsi="Abadi" w:cs="Arial"/>
          <w:b/>
          <w:sz w:val="21"/>
          <w:szCs w:val="21"/>
        </w:rPr>
        <w:t xml:space="preserve"> </w:t>
      </w:r>
      <w:r w:rsidRPr="00BD1F7F">
        <w:rPr>
          <w:rFonts w:ascii="Abadi" w:hAnsi="Abadi" w:cs="Arial"/>
          <w:sz w:val="21"/>
          <w:szCs w:val="21"/>
        </w:rPr>
        <w:t xml:space="preserve">Se determina improcedente </w:t>
      </w:r>
      <w:r w:rsidRPr="00BD1F7F">
        <w:rPr>
          <w:rFonts w:ascii="Abadi" w:hAnsi="Abadi"/>
          <w:sz w:val="21"/>
          <w:szCs w:val="21"/>
          <w:lang w:val="es-ES_tradnl"/>
        </w:rPr>
        <w:t>la propuesta de punto de acuerdo formulada por la diputada Alma Edwviges Alcaraz Hernández, integrante del Grupo Parlamentario del Partido MORENA, a efecto de exhortar al titular de la Auditoría Superior del Estado de Guanajuato, para que a más tardar el 16 de junio de 2022 inicie una auditoría al Fideicomiso de Administración e Inversión para financiar obras, infraestructura, proyectos y acciones prioritarias en materia de desarrollo social y seguridad pública (FIDESSEG), la cual deberá abarcar la totalidad de los recursos ejercidos por los ejercicios fiscales 2020, 2021 y concomitante a 2022</w:t>
      </w:r>
      <w:r w:rsidRPr="00BD1F7F">
        <w:rPr>
          <w:rFonts w:ascii="Abadi" w:hAnsi="Abadi" w:cs="Arial"/>
          <w:sz w:val="21"/>
          <w:szCs w:val="21"/>
        </w:rPr>
        <w:t>. En consecuencia, se ordena su archivo definitivo.</w:t>
      </w:r>
    </w:p>
    <w:p w14:paraId="009C264C" w14:textId="77777777" w:rsidR="00BD1F7F" w:rsidRPr="00BD1F7F" w:rsidRDefault="00BD1F7F" w:rsidP="00BD1F7F">
      <w:pPr>
        <w:ind w:firstLine="708"/>
        <w:jc w:val="both"/>
        <w:rPr>
          <w:rFonts w:ascii="Abadi" w:hAnsi="Abadi" w:cs="Arial"/>
          <w:sz w:val="21"/>
          <w:szCs w:val="21"/>
        </w:rPr>
      </w:pPr>
    </w:p>
    <w:p w14:paraId="0175DB46" w14:textId="02EB4058" w:rsidR="00BD1F7F" w:rsidRDefault="00BD1F7F" w:rsidP="00BD1F7F">
      <w:pPr>
        <w:ind w:firstLine="708"/>
        <w:jc w:val="both"/>
        <w:rPr>
          <w:rFonts w:ascii="Abadi" w:hAnsi="Abadi" w:cs="Arial"/>
          <w:sz w:val="21"/>
          <w:szCs w:val="21"/>
        </w:rPr>
      </w:pPr>
      <w:r w:rsidRPr="00BD1F7F">
        <w:rPr>
          <w:rFonts w:ascii="Abadi" w:hAnsi="Abadi" w:cs="Arial"/>
          <w:sz w:val="21"/>
          <w:szCs w:val="21"/>
        </w:rPr>
        <w:t xml:space="preserve">Comuníquese el presente acuerdo al Secretario General del Congreso de Estado, para los efectos conducentes. </w:t>
      </w:r>
    </w:p>
    <w:p w14:paraId="16101AC1" w14:textId="02DF2D18" w:rsidR="002C41F1" w:rsidRDefault="002C41F1" w:rsidP="00BD1F7F">
      <w:pPr>
        <w:ind w:firstLine="708"/>
        <w:jc w:val="both"/>
        <w:rPr>
          <w:rFonts w:ascii="Abadi" w:hAnsi="Abadi" w:cs="Arial"/>
          <w:sz w:val="21"/>
          <w:szCs w:val="21"/>
        </w:rPr>
      </w:pPr>
    </w:p>
    <w:p w14:paraId="46D1A711" w14:textId="77777777" w:rsidR="002C41F1" w:rsidRPr="00BD1F7F" w:rsidRDefault="002C41F1" w:rsidP="00BD1F7F">
      <w:pPr>
        <w:ind w:firstLine="708"/>
        <w:jc w:val="both"/>
        <w:rPr>
          <w:rFonts w:ascii="Abadi" w:hAnsi="Abadi" w:cs="Arial"/>
          <w:sz w:val="21"/>
          <w:szCs w:val="21"/>
        </w:rPr>
      </w:pPr>
    </w:p>
    <w:p w14:paraId="2169BF9C" w14:textId="77777777" w:rsidR="00BD1F7F" w:rsidRPr="00BD1F7F" w:rsidRDefault="00BD1F7F" w:rsidP="002C41F1">
      <w:pPr>
        <w:jc w:val="center"/>
        <w:rPr>
          <w:rFonts w:ascii="Abadi" w:hAnsi="Abadi"/>
          <w:b/>
          <w:bCs/>
          <w:sz w:val="21"/>
          <w:szCs w:val="21"/>
          <w:lang w:eastAsia="x-none"/>
        </w:rPr>
      </w:pPr>
      <w:r w:rsidRPr="00BD1F7F">
        <w:rPr>
          <w:rFonts w:ascii="Abadi" w:hAnsi="Abadi"/>
          <w:b/>
          <w:bCs/>
          <w:sz w:val="21"/>
          <w:szCs w:val="21"/>
          <w:lang w:eastAsia="x-none"/>
        </w:rPr>
        <w:t>Guanajuato, Gto., 16 de junio de 2022</w:t>
      </w:r>
    </w:p>
    <w:p w14:paraId="70E884F8" w14:textId="77777777" w:rsidR="00BD1F7F" w:rsidRPr="00BD1F7F" w:rsidRDefault="00BD1F7F" w:rsidP="002C41F1">
      <w:pPr>
        <w:jc w:val="center"/>
        <w:rPr>
          <w:rFonts w:ascii="Abadi" w:hAnsi="Abadi"/>
          <w:b/>
          <w:bCs/>
          <w:sz w:val="21"/>
          <w:szCs w:val="21"/>
          <w:lang w:eastAsia="x-none"/>
        </w:rPr>
      </w:pPr>
      <w:smartTag w:uri="urn:schemas-microsoft-com:office:smarttags" w:element="PersonName">
        <w:smartTagPr>
          <w:attr w:name="ProductID" w:val="La Comisi￳n"/>
        </w:smartTagPr>
        <w:r w:rsidRPr="00BD1F7F">
          <w:rPr>
            <w:rFonts w:ascii="Abadi" w:hAnsi="Abadi"/>
            <w:b/>
            <w:bCs/>
            <w:sz w:val="21"/>
            <w:szCs w:val="21"/>
            <w:lang w:eastAsia="x-none"/>
          </w:rPr>
          <w:t>La Comisión</w:t>
        </w:r>
      </w:smartTag>
      <w:r w:rsidRPr="00BD1F7F">
        <w:rPr>
          <w:rFonts w:ascii="Abadi" w:hAnsi="Abadi"/>
          <w:b/>
          <w:bCs/>
          <w:sz w:val="21"/>
          <w:szCs w:val="21"/>
          <w:lang w:eastAsia="x-none"/>
        </w:rPr>
        <w:t xml:space="preserve"> de Hacienda y Fiscalización</w:t>
      </w:r>
    </w:p>
    <w:p w14:paraId="2341FF9D" w14:textId="77777777" w:rsidR="00BD1F7F" w:rsidRPr="00BD1F7F" w:rsidRDefault="00BD1F7F" w:rsidP="002C41F1">
      <w:pPr>
        <w:jc w:val="center"/>
        <w:rPr>
          <w:rFonts w:ascii="Abadi" w:hAnsi="Abadi"/>
          <w:sz w:val="21"/>
          <w:szCs w:val="21"/>
        </w:rPr>
      </w:pPr>
    </w:p>
    <w:p w14:paraId="35F80047" w14:textId="77777777" w:rsidR="00BD1F7F" w:rsidRPr="00BD1F7F" w:rsidRDefault="00BD1F7F" w:rsidP="002C41F1">
      <w:pPr>
        <w:jc w:val="center"/>
        <w:rPr>
          <w:rFonts w:ascii="Abadi" w:hAnsi="Abadi"/>
          <w:sz w:val="21"/>
          <w:szCs w:val="21"/>
        </w:rPr>
      </w:pPr>
    </w:p>
    <w:p w14:paraId="062F8042" w14:textId="77777777" w:rsidR="00BD1F7F" w:rsidRPr="00BD1F7F" w:rsidRDefault="00BD1F7F" w:rsidP="002C41F1">
      <w:pPr>
        <w:jc w:val="center"/>
        <w:rPr>
          <w:rFonts w:ascii="Abadi" w:hAnsi="Abadi"/>
          <w:sz w:val="21"/>
          <w:szCs w:val="21"/>
          <w:lang w:val="es-MX"/>
        </w:rPr>
      </w:pPr>
      <w:r w:rsidRPr="00BD1F7F">
        <w:rPr>
          <w:rFonts w:ascii="Abadi" w:hAnsi="Abadi"/>
          <w:b/>
          <w:sz w:val="21"/>
          <w:szCs w:val="21"/>
          <w:lang w:eastAsia="x-none"/>
        </w:rPr>
        <w:t>Diputado Víctor Manuel Zanella Huerta</w:t>
      </w:r>
    </w:p>
    <w:p w14:paraId="3A5D453E" w14:textId="77777777" w:rsidR="00BD1F7F" w:rsidRPr="00BD1F7F" w:rsidRDefault="00BD1F7F" w:rsidP="002C41F1">
      <w:pPr>
        <w:rPr>
          <w:rFonts w:ascii="Abadi" w:hAnsi="Abadi"/>
          <w:sz w:val="21"/>
          <w:szCs w:val="21"/>
          <w:lang w:eastAsia="x-none"/>
        </w:rPr>
      </w:pPr>
    </w:p>
    <w:p w14:paraId="273636DD" w14:textId="77777777" w:rsidR="00BD1F7F" w:rsidRPr="00BD1F7F" w:rsidRDefault="00BD1F7F" w:rsidP="002C41F1">
      <w:pPr>
        <w:jc w:val="center"/>
        <w:rPr>
          <w:rFonts w:ascii="Abadi" w:hAnsi="Abadi"/>
          <w:b/>
          <w:bCs/>
          <w:sz w:val="21"/>
          <w:szCs w:val="21"/>
          <w:lang w:eastAsia="x-none"/>
        </w:rPr>
      </w:pPr>
    </w:p>
    <w:p w14:paraId="65E37FDE" w14:textId="6429E71E" w:rsidR="00BD1F7F" w:rsidRPr="00BD1F7F" w:rsidRDefault="00BD1F7F" w:rsidP="002C41F1">
      <w:pPr>
        <w:jc w:val="center"/>
        <w:rPr>
          <w:rFonts w:ascii="Abadi" w:hAnsi="Abadi"/>
          <w:b/>
          <w:sz w:val="21"/>
          <w:szCs w:val="21"/>
          <w:lang w:eastAsia="x-none"/>
        </w:rPr>
      </w:pPr>
      <w:r w:rsidRPr="00BD1F7F">
        <w:rPr>
          <w:rFonts w:ascii="Abadi" w:hAnsi="Abadi"/>
          <w:b/>
          <w:sz w:val="21"/>
          <w:szCs w:val="21"/>
          <w:lang w:eastAsia="x-none"/>
        </w:rPr>
        <w:t>Diputada Ruth Noemí Tiscareño Agoitia</w:t>
      </w:r>
    </w:p>
    <w:p w14:paraId="63AD61B4" w14:textId="77777777" w:rsidR="00BD1F7F" w:rsidRPr="00BD1F7F" w:rsidRDefault="00BD1F7F" w:rsidP="002C41F1">
      <w:pPr>
        <w:jc w:val="center"/>
        <w:rPr>
          <w:rFonts w:ascii="Abadi" w:hAnsi="Abadi"/>
          <w:b/>
          <w:sz w:val="21"/>
          <w:szCs w:val="21"/>
          <w:lang w:eastAsia="x-none"/>
        </w:rPr>
      </w:pPr>
    </w:p>
    <w:p w14:paraId="0D8A327A" w14:textId="77777777" w:rsidR="00BD1F7F" w:rsidRPr="00BD1F7F" w:rsidRDefault="00BD1F7F" w:rsidP="002C41F1">
      <w:pPr>
        <w:jc w:val="center"/>
        <w:rPr>
          <w:rFonts w:ascii="Abadi" w:hAnsi="Abadi"/>
          <w:b/>
          <w:sz w:val="21"/>
          <w:szCs w:val="21"/>
          <w:lang w:eastAsia="x-none"/>
        </w:rPr>
      </w:pPr>
    </w:p>
    <w:p w14:paraId="09BF1E02" w14:textId="36946708" w:rsidR="00BD1F7F" w:rsidRPr="00BD1F7F" w:rsidRDefault="00BD1F7F" w:rsidP="002C41F1">
      <w:pPr>
        <w:jc w:val="center"/>
        <w:rPr>
          <w:rFonts w:ascii="Abadi" w:hAnsi="Abadi"/>
          <w:b/>
          <w:sz w:val="21"/>
          <w:szCs w:val="21"/>
          <w:lang w:eastAsia="x-none"/>
        </w:rPr>
      </w:pPr>
      <w:r w:rsidRPr="00BD1F7F">
        <w:rPr>
          <w:rFonts w:ascii="Abadi" w:hAnsi="Abadi"/>
          <w:b/>
          <w:sz w:val="21"/>
          <w:szCs w:val="21"/>
          <w:lang w:eastAsia="x-none"/>
        </w:rPr>
        <w:t>Diputado Miguel Ángel Salim Alle</w:t>
      </w:r>
    </w:p>
    <w:p w14:paraId="03EEE23C" w14:textId="77777777" w:rsidR="00BD1F7F" w:rsidRPr="00BD1F7F" w:rsidRDefault="00BD1F7F" w:rsidP="002C41F1">
      <w:pPr>
        <w:jc w:val="center"/>
        <w:rPr>
          <w:rFonts w:ascii="Abadi" w:hAnsi="Abadi"/>
          <w:b/>
          <w:sz w:val="21"/>
          <w:szCs w:val="21"/>
          <w:lang w:eastAsia="x-none"/>
        </w:rPr>
      </w:pPr>
    </w:p>
    <w:p w14:paraId="7E69D16A" w14:textId="77777777" w:rsidR="00BD1F7F" w:rsidRPr="00BD1F7F" w:rsidRDefault="00BD1F7F" w:rsidP="002C41F1">
      <w:pPr>
        <w:jc w:val="center"/>
        <w:rPr>
          <w:rFonts w:ascii="Abadi" w:hAnsi="Abadi"/>
          <w:b/>
          <w:sz w:val="21"/>
          <w:szCs w:val="21"/>
          <w:lang w:eastAsia="x-none"/>
        </w:rPr>
      </w:pPr>
    </w:p>
    <w:p w14:paraId="3C93C37F" w14:textId="76415E6B" w:rsidR="00BD1F7F" w:rsidRPr="00BD1F7F" w:rsidRDefault="00BD1F7F" w:rsidP="002C41F1">
      <w:pPr>
        <w:jc w:val="center"/>
        <w:rPr>
          <w:rFonts w:ascii="Abadi" w:hAnsi="Abadi"/>
          <w:b/>
          <w:sz w:val="21"/>
          <w:szCs w:val="21"/>
          <w:lang w:eastAsia="x-none"/>
        </w:rPr>
      </w:pPr>
      <w:r w:rsidRPr="00BD1F7F">
        <w:rPr>
          <w:rFonts w:ascii="Abadi" w:hAnsi="Abadi"/>
          <w:b/>
          <w:sz w:val="21"/>
          <w:szCs w:val="21"/>
          <w:lang w:eastAsia="x-none"/>
        </w:rPr>
        <w:t>Diputado José Alfonso Borja Pimentel</w:t>
      </w:r>
    </w:p>
    <w:p w14:paraId="0BBFBFDF" w14:textId="77777777" w:rsidR="00BD1F7F" w:rsidRPr="00BD1F7F" w:rsidRDefault="00BD1F7F" w:rsidP="002C41F1">
      <w:pPr>
        <w:jc w:val="center"/>
        <w:rPr>
          <w:rFonts w:ascii="Abadi" w:hAnsi="Abadi"/>
          <w:b/>
          <w:sz w:val="21"/>
          <w:szCs w:val="21"/>
          <w:lang w:eastAsia="x-none"/>
        </w:rPr>
      </w:pPr>
    </w:p>
    <w:p w14:paraId="56309498" w14:textId="77777777" w:rsidR="00BD1F7F" w:rsidRPr="00BD1F7F" w:rsidRDefault="00BD1F7F" w:rsidP="00750EF9">
      <w:pPr>
        <w:jc w:val="center"/>
        <w:rPr>
          <w:rFonts w:ascii="Abadi" w:hAnsi="Abadi"/>
          <w:b/>
          <w:sz w:val="21"/>
          <w:szCs w:val="21"/>
          <w:lang w:eastAsia="x-none"/>
        </w:rPr>
      </w:pPr>
    </w:p>
    <w:p w14:paraId="20C1691B" w14:textId="77777777" w:rsidR="00BD1F7F" w:rsidRPr="00BD1F7F" w:rsidRDefault="00BD1F7F" w:rsidP="00750EF9">
      <w:pPr>
        <w:jc w:val="center"/>
        <w:rPr>
          <w:rFonts w:ascii="Abadi" w:hAnsi="Abadi"/>
          <w:b/>
          <w:sz w:val="21"/>
          <w:szCs w:val="21"/>
          <w:lang w:eastAsia="x-none"/>
        </w:rPr>
      </w:pPr>
      <w:r w:rsidRPr="00BD1F7F">
        <w:rPr>
          <w:rFonts w:ascii="Abadi" w:hAnsi="Abadi"/>
          <w:b/>
          <w:sz w:val="21"/>
          <w:szCs w:val="21"/>
          <w:lang w:eastAsia="x-none"/>
        </w:rPr>
        <w:t>Diputada Alma Edwviges Alcaraz Hernández</w:t>
      </w:r>
    </w:p>
    <w:p w14:paraId="699A5B06" w14:textId="61A2D370" w:rsidR="00BD1F7F" w:rsidRPr="00BD1F7F" w:rsidRDefault="00BD1F7F" w:rsidP="00BD1F7F">
      <w:pPr>
        <w:rPr>
          <w:rFonts w:ascii="Abadi" w:hAnsi="Abadi"/>
          <w:sz w:val="20"/>
          <w:szCs w:val="20"/>
        </w:rPr>
      </w:pPr>
    </w:p>
    <w:p w14:paraId="3E965CDC" w14:textId="77777777" w:rsidR="00BD1F7F" w:rsidRPr="00BD1F7F" w:rsidRDefault="00BD1F7F" w:rsidP="00BD1F7F">
      <w:pPr>
        <w:rPr>
          <w:rFonts w:ascii="Abadi" w:hAnsi="Abadi"/>
          <w:b/>
          <w:bCs/>
          <w:sz w:val="20"/>
          <w:szCs w:val="20"/>
        </w:rPr>
      </w:pPr>
    </w:p>
    <w:p w14:paraId="29475ECD" w14:textId="163AA4A5" w:rsidR="000442E9" w:rsidRDefault="000442E9"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49"/>
          <w:w w:val="150"/>
          <w:sz w:val="20"/>
          <w:szCs w:val="20"/>
        </w:rPr>
        <w:t xml:space="preserve"> </w:t>
      </w:r>
      <w:r w:rsidRPr="00531B12">
        <w:rPr>
          <w:rFonts w:ascii="Abadi" w:hAnsi="Abadi"/>
          <w:b/>
          <w:bCs/>
          <w:sz w:val="20"/>
          <w:szCs w:val="20"/>
        </w:rPr>
        <w:t>Y,</w:t>
      </w:r>
      <w:r w:rsidRPr="00531B12">
        <w:rPr>
          <w:rFonts w:ascii="Abadi" w:hAnsi="Abadi"/>
          <w:b/>
          <w:bCs/>
          <w:spacing w:val="49"/>
          <w:w w:val="150"/>
          <w:sz w:val="20"/>
          <w:szCs w:val="20"/>
        </w:rPr>
        <w:t xml:space="preserve"> </w:t>
      </w:r>
      <w:r w:rsidRPr="00531B12">
        <w:rPr>
          <w:rFonts w:ascii="Abadi" w:hAnsi="Abadi"/>
          <w:b/>
          <w:bCs/>
          <w:sz w:val="20"/>
          <w:szCs w:val="20"/>
        </w:rPr>
        <w:t>EN</w:t>
      </w:r>
      <w:r w:rsidRPr="00531B12">
        <w:rPr>
          <w:rFonts w:ascii="Abadi" w:hAnsi="Abadi"/>
          <w:b/>
          <w:bCs/>
          <w:spacing w:val="49"/>
          <w:w w:val="150"/>
          <w:sz w:val="20"/>
          <w:szCs w:val="20"/>
        </w:rPr>
        <w:t xml:space="preserve"> </w:t>
      </w:r>
      <w:r w:rsidRPr="00531B12">
        <w:rPr>
          <w:rFonts w:ascii="Abadi" w:hAnsi="Abadi"/>
          <w:b/>
          <w:bCs/>
          <w:sz w:val="20"/>
          <w:szCs w:val="20"/>
        </w:rPr>
        <w:t>SU</w:t>
      </w:r>
      <w:r w:rsidRPr="00531B12">
        <w:rPr>
          <w:rFonts w:ascii="Abadi" w:hAnsi="Abadi"/>
          <w:b/>
          <w:bCs/>
          <w:spacing w:val="49"/>
          <w:w w:val="150"/>
          <w:sz w:val="20"/>
          <w:szCs w:val="20"/>
        </w:rPr>
        <w:t xml:space="preserve"> </w:t>
      </w:r>
      <w:r w:rsidRPr="00531B12">
        <w:rPr>
          <w:rFonts w:ascii="Abadi" w:hAnsi="Abadi"/>
          <w:b/>
          <w:bCs/>
          <w:sz w:val="20"/>
          <w:szCs w:val="20"/>
        </w:rPr>
        <w:t>CASO,</w:t>
      </w:r>
      <w:r w:rsidRPr="00531B12">
        <w:rPr>
          <w:rFonts w:ascii="Abadi" w:hAnsi="Abadi"/>
          <w:b/>
          <w:bCs/>
          <w:spacing w:val="49"/>
          <w:w w:val="150"/>
          <w:sz w:val="20"/>
          <w:szCs w:val="20"/>
        </w:rPr>
        <w:t xml:space="preserve"> </w:t>
      </w:r>
      <w:r w:rsidRPr="00531B12">
        <w:rPr>
          <w:rFonts w:ascii="Abadi" w:hAnsi="Abadi"/>
          <w:b/>
          <w:bCs/>
          <w:sz w:val="20"/>
          <w:szCs w:val="20"/>
        </w:rPr>
        <w:t>APROBACIÓN</w:t>
      </w:r>
      <w:r w:rsidRPr="00531B12">
        <w:rPr>
          <w:rFonts w:ascii="Abadi" w:hAnsi="Abadi"/>
          <w:b/>
          <w:bCs/>
          <w:spacing w:val="49"/>
          <w:w w:val="150"/>
          <w:sz w:val="20"/>
          <w:szCs w:val="20"/>
        </w:rPr>
        <w:t xml:space="preserve"> </w:t>
      </w:r>
      <w:r w:rsidRPr="00531B12">
        <w:rPr>
          <w:rFonts w:ascii="Abadi" w:hAnsi="Abadi"/>
          <w:b/>
          <w:bCs/>
          <w:sz w:val="20"/>
          <w:szCs w:val="20"/>
        </w:rPr>
        <w:t>DEL</w:t>
      </w:r>
      <w:r w:rsidRPr="00531B12">
        <w:rPr>
          <w:rFonts w:ascii="Abadi" w:hAnsi="Abadi"/>
          <w:b/>
          <w:bCs/>
          <w:spacing w:val="49"/>
          <w:w w:val="150"/>
          <w:sz w:val="20"/>
          <w:szCs w:val="20"/>
        </w:rPr>
        <w:t xml:space="preserve"> </w:t>
      </w:r>
      <w:r w:rsidRPr="00531B12">
        <w:rPr>
          <w:rFonts w:ascii="Abadi" w:hAnsi="Abadi"/>
          <w:b/>
          <w:bCs/>
          <w:sz w:val="20"/>
          <w:szCs w:val="20"/>
        </w:rPr>
        <w:t>DICTAMEN</w:t>
      </w:r>
      <w:r w:rsidRPr="00531B12">
        <w:rPr>
          <w:rFonts w:ascii="Abadi" w:hAnsi="Abadi"/>
          <w:b/>
          <w:bCs/>
          <w:spacing w:val="49"/>
          <w:w w:val="150"/>
          <w:sz w:val="20"/>
          <w:szCs w:val="20"/>
        </w:rPr>
        <w:t xml:space="preserve"> </w:t>
      </w:r>
      <w:r w:rsidRPr="00531B12">
        <w:rPr>
          <w:rFonts w:ascii="Abadi" w:hAnsi="Abadi"/>
          <w:b/>
          <w:bCs/>
          <w:sz w:val="20"/>
          <w:szCs w:val="20"/>
        </w:rPr>
        <w:t>PRESENTADO</w:t>
      </w:r>
      <w:r w:rsidRPr="00531B12">
        <w:rPr>
          <w:rFonts w:ascii="Abadi" w:hAnsi="Abadi"/>
          <w:b/>
          <w:bCs/>
          <w:spacing w:val="49"/>
          <w:w w:val="150"/>
          <w:sz w:val="20"/>
          <w:szCs w:val="20"/>
        </w:rPr>
        <w:t xml:space="preserve"> </w:t>
      </w:r>
      <w:r w:rsidRPr="00531B12">
        <w:rPr>
          <w:rFonts w:ascii="Abadi" w:hAnsi="Abadi"/>
          <w:b/>
          <w:bCs/>
          <w:sz w:val="20"/>
          <w:szCs w:val="20"/>
        </w:rPr>
        <w:t>POR</w:t>
      </w:r>
      <w:r w:rsidRPr="00531B12">
        <w:rPr>
          <w:rFonts w:ascii="Abadi" w:hAnsi="Abadi"/>
          <w:b/>
          <w:bCs/>
          <w:spacing w:val="49"/>
          <w:w w:val="150"/>
          <w:sz w:val="20"/>
          <w:szCs w:val="20"/>
        </w:rPr>
        <w:t xml:space="preserve"> </w:t>
      </w:r>
      <w:r w:rsidRPr="00531B12">
        <w:rPr>
          <w:rFonts w:ascii="Abadi" w:hAnsi="Abadi"/>
          <w:b/>
          <w:bCs/>
          <w:sz w:val="20"/>
          <w:szCs w:val="20"/>
        </w:rPr>
        <w:t>LA</w:t>
      </w:r>
      <w:r w:rsidRPr="00531B12">
        <w:rPr>
          <w:rFonts w:ascii="Abadi" w:hAnsi="Abadi"/>
          <w:b/>
          <w:bCs/>
          <w:spacing w:val="-2"/>
          <w:sz w:val="20"/>
          <w:szCs w:val="20"/>
        </w:rPr>
        <w:t xml:space="preserve"> </w:t>
      </w:r>
      <w:r w:rsidRPr="00531B12">
        <w:rPr>
          <w:rFonts w:ascii="Abadi" w:hAnsi="Abadi"/>
          <w:b/>
          <w:bCs/>
          <w:sz w:val="20"/>
          <w:szCs w:val="20"/>
        </w:rPr>
        <w:t>COMISIÓN</w:t>
      </w:r>
      <w:r w:rsidRPr="00531B12">
        <w:rPr>
          <w:rFonts w:ascii="Abadi" w:hAnsi="Abadi"/>
          <w:b/>
          <w:bCs/>
          <w:spacing w:val="19"/>
          <w:sz w:val="20"/>
          <w:szCs w:val="20"/>
        </w:rPr>
        <w:t xml:space="preserve"> </w:t>
      </w:r>
      <w:r w:rsidRPr="00531B12">
        <w:rPr>
          <w:rFonts w:ascii="Abadi" w:hAnsi="Abadi"/>
          <w:b/>
          <w:bCs/>
          <w:sz w:val="20"/>
          <w:szCs w:val="20"/>
        </w:rPr>
        <w:t>DE</w:t>
      </w:r>
      <w:r w:rsidRPr="00531B12">
        <w:rPr>
          <w:rFonts w:ascii="Abadi" w:hAnsi="Abadi"/>
          <w:b/>
          <w:bCs/>
          <w:spacing w:val="19"/>
          <w:sz w:val="20"/>
          <w:szCs w:val="20"/>
        </w:rPr>
        <w:t xml:space="preserve"> </w:t>
      </w:r>
      <w:r w:rsidRPr="00531B12">
        <w:rPr>
          <w:rFonts w:ascii="Abadi" w:hAnsi="Abadi"/>
          <w:b/>
          <w:bCs/>
          <w:sz w:val="20"/>
          <w:szCs w:val="20"/>
        </w:rPr>
        <w:t>HACIENDA</w:t>
      </w:r>
      <w:r w:rsidRPr="00531B12">
        <w:rPr>
          <w:rFonts w:ascii="Abadi" w:hAnsi="Abadi"/>
          <w:b/>
          <w:bCs/>
          <w:spacing w:val="19"/>
          <w:sz w:val="20"/>
          <w:szCs w:val="20"/>
        </w:rPr>
        <w:t xml:space="preserve"> </w:t>
      </w:r>
      <w:r w:rsidRPr="00531B12">
        <w:rPr>
          <w:rFonts w:ascii="Abadi" w:hAnsi="Abadi"/>
          <w:b/>
          <w:bCs/>
          <w:sz w:val="20"/>
          <w:szCs w:val="20"/>
        </w:rPr>
        <w:t>Y</w:t>
      </w:r>
      <w:r w:rsidRPr="00531B12">
        <w:rPr>
          <w:rFonts w:ascii="Abadi" w:hAnsi="Abadi"/>
          <w:b/>
          <w:bCs/>
          <w:spacing w:val="20"/>
          <w:sz w:val="20"/>
          <w:szCs w:val="20"/>
        </w:rPr>
        <w:t xml:space="preserve"> </w:t>
      </w:r>
      <w:r w:rsidRPr="00531B12">
        <w:rPr>
          <w:rFonts w:ascii="Abadi" w:hAnsi="Abadi"/>
          <w:b/>
          <w:bCs/>
          <w:sz w:val="20"/>
          <w:szCs w:val="20"/>
        </w:rPr>
        <w:t>FISCALIZACIÓN</w:t>
      </w:r>
      <w:r w:rsidRPr="00531B12">
        <w:rPr>
          <w:rFonts w:ascii="Abadi" w:hAnsi="Abadi"/>
          <w:b/>
          <w:bCs/>
          <w:spacing w:val="19"/>
          <w:sz w:val="20"/>
          <w:szCs w:val="20"/>
        </w:rPr>
        <w:t xml:space="preserve"> </w:t>
      </w:r>
      <w:r w:rsidRPr="00531B12">
        <w:rPr>
          <w:rFonts w:ascii="Abadi" w:hAnsi="Abadi"/>
          <w:b/>
          <w:bCs/>
          <w:sz w:val="20"/>
          <w:szCs w:val="20"/>
        </w:rPr>
        <w:t>RELATIVO</w:t>
      </w:r>
      <w:r w:rsidRPr="00531B12">
        <w:rPr>
          <w:rFonts w:ascii="Abadi" w:hAnsi="Abadi"/>
          <w:b/>
          <w:bCs/>
          <w:spacing w:val="19"/>
          <w:sz w:val="20"/>
          <w:szCs w:val="20"/>
        </w:rPr>
        <w:t xml:space="preserve"> </w:t>
      </w:r>
      <w:r w:rsidRPr="00531B12">
        <w:rPr>
          <w:rFonts w:ascii="Abadi" w:hAnsi="Abadi"/>
          <w:b/>
          <w:bCs/>
          <w:sz w:val="20"/>
          <w:szCs w:val="20"/>
        </w:rPr>
        <w:t>A</w:t>
      </w:r>
      <w:r w:rsidRPr="00531B12">
        <w:rPr>
          <w:rFonts w:ascii="Abadi" w:hAnsi="Abadi"/>
          <w:b/>
          <w:bCs/>
          <w:spacing w:val="19"/>
          <w:sz w:val="20"/>
          <w:szCs w:val="20"/>
        </w:rPr>
        <w:t xml:space="preserve"> </w:t>
      </w:r>
      <w:r w:rsidRPr="00531B12">
        <w:rPr>
          <w:rFonts w:ascii="Abadi" w:hAnsi="Abadi"/>
          <w:b/>
          <w:bCs/>
          <w:sz w:val="20"/>
          <w:szCs w:val="20"/>
        </w:rPr>
        <w:t>LA</w:t>
      </w:r>
      <w:r w:rsidRPr="00531B12">
        <w:rPr>
          <w:rFonts w:ascii="Abadi" w:hAnsi="Abadi"/>
          <w:b/>
          <w:bCs/>
          <w:spacing w:val="19"/>
          <w:sz w:val="20"/>
          <w:szCs w:val="20"/>
        </w:rPr>
        <w:t xml:space="preserve"> </w:t>
      </w:r>
      <w:r w:rsidRPr="00531B12">
        <w:rPr>
          <w:rFonts w:ascii="Abadi" w:hAnsi="Abadi"/>
          <w:b/>
          <w:bCs/>
          <w:sz w:val="20"/>
          <w:szCs w:val="20"/>
        </w:rPr>
        <w:t>PROPUESTA</w:t>
      </w:r>
      <w:r w:rsidRPr="00531B12">
        <w:rPr>
          <w:rFonts w:ascii="Abadi" w:hAnsi="Abadi"/>
          <w:b/>
          <w:bCs/>
          <w:spacing w:val="19"/>
          <w:sz w:val="20"/>
          <w:szCs w:val="20"/>
        </w:rPr>
        <w:t xml:space="preserve"> </w:t>
      </w:r>
      <w:r w:rsidRPr="00531B12">
        <w:rPr>
          <w:rFonts w:ascii="Abadi" w:hAnsi="Abadi"/>
          <w:b/>
          <w:bCs/>
          <w:sz w:val="20"/>
          <w:szCs w:val="20"/>
        </w:rPr>
        <w:t>DE</w:t>
      </w:r>
      <w:r w:rsidRPr="00531B12">
        <w:rPr>
          <w:rFonts w:ascii="Abadi" w:hAnsi="Abadi"/>
          <w:b/>
          <w:bCs/>
          <w:spacing w:val="19"/>
          <w:sz w:val="20"/>
          <w:szCs w:val="20"/>
        </w:rPr>
        <w:t xml:space="preserve"> </w:t>
      </w:r>
      <w:r w:rsidRPr="00531B12">
        <w:rPr>
          <w:rFonts w:ascii="Abadi" w:hAnsi="Abadi"/>
          <w:b/>
          <w:bCs/>
          <w:sz w:val="20"/>
          <w:szCs w:val="20"/>
        </w:rPr>
        <w:t>PUNTO</w:t>
      </w:r>
      <w:r w:rsidRPr="00531B12">
        <w:rPr>
          <w:rFonts w:ascii="Abadi" w:hAnsi="Abadi"/>
          <w:b/>
          <w:bCs/>
          <w:spacing w:val="19"/>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ACUERDO</w:t>
      </w:r>
      <w:r w:rsidRPr="00531B12">
        <w:rPr>
          <w:rFonts w:ascii="Abadi" w:hAnsi="Abadi"/>
          <w:b/>
          <w:bCs/>
          <w:spacing w:val="63"/>
          <w:sz w:val="20"/>
          <w:szCs w:val="20"/>
        </w:rPr>
        <w:t xml:space="preserve"> </w:t>
      </w:r>
      <w:r w:rsidRPr="00531B12">
        <w:rPr>
          <w:rFonts w:ascii="Abadi" w:hAnsi="Abadi"/>
          <w:b/>
          <w:bCs/>
          <w:sz w:val="20"/>
          <w:szCs w:val="20"/>
        </w:rPr>
        <w:t>FORMULADA</w:t>
      </w:r>
      <w:r w:rsidRPr="00531B12">
        <w:rPr>
          <w:rFonts w:ascii="Abadi" w:hAnsi="Abadi"/>
          <w:b/>
          <w:bCs/>
          <w:spacing w:val="63"/>
          <w:sz w:val="20"/>
          <w:szCs w:val="20"/>
        </w:rPr>
        <w:t xml:space="preserve"> </w:t>
      </w:r>
      <w:r w:rsidRPr="00531B12">
        <w:rPr>
          <w:rFonts w:ascii="Abadi" w:hAnsi="Abadi"/>
          <w:b/>
          <w:bCs/>
          <w:sz w:val="20"/>
          <w:szCs w:val="20"/>
        </w:rPr>
        <w:t>POR</w:t>
      </w:r>
      <w:r w:rsidRPr="00531B12">
        <w:rPr>
          <w:rFonts w:ascii="Abadi" w:hAnsi="Abadi"/>
          <w:b/>
          <w:bCs/>
          <w:spacing w:val="63"/>
          <w:sz w:val="20"/>
          <w:szCs w:val="20"/>
        </w:rPr>
        <w:t xml:space="preserve"> </w:t>
      </w:r>
      <w:r w:rsidRPr="00531B12">
        <w:rPr>
          <w:rFonts w:ascii="Abadi" w:hAnsi="Abadi"/>
          <w:b/>
          <w:bCs/>
          <w:sz w:val="20"/>
          <w:szCs w:val="20"/>
        </w:rPr>
        <w:t>LA</w:t>
      </w:r>
      <w:r w:rsidRPr="00531B12">
        <w:rPr>
          <w:rFonts w:ascii="Abadi" w:hAnsi="Abadi"/>
          <w:b/>
          <w:bCs/>
          <w:spacing w:val="63"/>
          <w:sz w:val="20"/>
          <w:szCs w:val="20"/>
        </w:rPr>
        <w:t xml:space="preserve"> </w:t>
      </w:r>
      <w:r w:rsidRPr="00531B12">
        <w:rPr>
          <w:rFonts w:ascii="Abadi" w:hAnsi="Abadi"/>
          <w:b/>
          <w:bCs/>
          <w:sz w:val="20"/>
          <w:szCs w:val="20"/>
        </w:rPr>
        <w:t>DIPUTADA</w:t>
      </w:r>
      <w:r w:rsidRPr="00531B12">
        <w:rPr>
          <w:rFonts w:ascii="Abadi" w:hAnsi="Abadi"/>
          <w:b/>
          <w:bCs/>
          <w:spacing w:val="63"/>
          <w:sz w:val="20"/>
          <w:szCs w:val="20"/>
        </w:rPr>
        <w:t xml:space="preserve"> </w:t>
      </w:r>
      <w:r w:rsidRPr="00531B12">
        <w:rPr>
          <w:rFonts w:ascii="Abadi" w:hAnsi="Abadi"/>
          <w:b/>
          <w:bCs/>
          <w:sz w:val="20"/>
          <w:szCs w:val="20"/>
        </w:rPr>
        <w:t>ALMA</w:t>
      </w:r>
      <w:r w:rsidRPr="00531B12">
        <w:rPr>
          <w:rFonts w:ascii="Abadi" w:hAnsi="Abadi"/>
          <w:b/>
          <w:bCs/>
          <w:spacing w:val="63"/>
          <w:sz w:val="20"/>
          <w:szCs w:val="20"/>
        </w:rPr>
        <w:t xml:space="preserve"> </w:t>
      </w:r>
      <w:r w:rsidRPr="00531B12">
        <w:rPr>
          <w:rFonts w:ascii="Abadi" w:hAnsi="Abadi"/>
          <w:b/>
          <w:bCs/>
          <w:sz w:val="20"/>
          <w:szCs w:val="20"/>
        </w:rPr>
        <w:t>EDWVIGES</w:t>
      </w:r>
      <w:r w:rsidRPr="00531B12">
        <w:rPr>
          <w:rFonts w:ascii="Abadi" w:hAnsi="Abadi"/>
          <w:b/>
          <w:bCs/>
          <w:spacing w:val="63"/>
          <w:sz w:val="20"/>
          <w:szCs w:val="20"/>
        </w:rPr>
        <w:t xml:space="preserve"> </w:t>
      </w:r>
      <w:r w:rsidRPr="00531B12">
        <w:rPr>
          <w:rFonts w:ascii="Abadi" w:hAnsi="Abadi"/>
          <w:b/>
          <w:bCs/>
          <w:sz w:val="20"/>
          <w:szCs w:val="20"/>
        </w:rPr>
        <w:t>ALCARAZ</w:t>
      </w:r>
      <w:r w:rsidRPr="00531B12">
        <w:rPr>
          <w:rFonts w:ascii="Abadi" w:hAnsi="Abadi"/>
          <w:b/>
          <w:bCs/>
          <w:spacing w:val="63"/>
          <w:sz w:val="20"/>
          <w:szCs w:val="20"/>
        </w:rPr>
        <w:t xml:space="preserve"> </w:t>
      </w:r>
      <w:r w:rsidRPr="00531B12">
        <w:rPr>
          <w:rFonts w:ascii="Abadi" w:hAnsi="Abadi"/>
          <w:b/>
          <w:bCs/>
          <w:sz w:val="20"/>
          <w:szCs w:val="20"/>
        </w:rPr>
        <w:t>HERNÁNDEZ,</w:t>
      </w:r>
      <w:r w:rsidRPr="00531B12">
        <w:rPr>
          <w:rFonts w:ascii="Abadi" w:hAnsi="Abadi"/>
          <w:b/>
          <w:bCs/>
          <w:spacing w:val="-2"/>
          <w:sz w:val="20"/>
          <w:szCs w:val="20"/>
        </w:rPr>
        <w:t xml:space="preserve"> </w:t>
      </w:r>
      <w:r w:rsidRPr="00531B12">
        <w:rPr>
          <w:rFonts w:ascii="Abadi" w:hAnsi="Abadi"/>
          <w:b/>
          <w:bCs/>
          <w:sz w:val="20"/>
          <w:szCs w:val="20"/>
        </w:rPr>
        <w:t>INTEGRANTE</w:t>
      </w:r>
      <w:r w:rsidRPr="00531B12">
        <w:rPr>
          <w:rFonts w:ascii="Abadi" w:hAnsi="Abadi"/>
          <w:b/>
          <w:bCs/>
          <w:spacing w:val="80"/>
          <w:sz w:val="20"/>
          <w:szCs w:val="20"/>
        </w:rPr>
        <w:t xml:space="preserve"> </w:t>
      </w:r>
      <w:r w:rsidRPr="00531B12">
        <w:rPr>
          <w:rFonts w:ascii="Abadi" w:hAnsi="Abadi"/>
          <w:b/>
          <w:bCs/>
          <w:sz w:val="20"/>
          <w:szCs w:val="20"/>
        </w:rPr>
        <w:t>DEL</w:t>
      </w:r>
      <w:r w:rsidRPr="00531B12">
        <w:rPr>
          <w:rFonts w:ascii="Abadi" w:hAnsi="Abadi"/>
          <w:b/>
          <w:bCs/>
          <w:spacing w:val="80"/>
          <w:sz w:val="20"/>
          <w:szCs w:val="20"/>
        </w:rPr>
        <w:t xml:space="preserve"> </w:t>
      </w:r>
      <w:r w:rsidRPr="00531B12">
        <w:rPr>
          <w:rFonts w:ascii="Abadi" w:hAnsi="Abadi"/>
          <w:b/>
          <w:bCs/>
          <w:sz w:val="20"/>
          <w:szCs w:val="20"/>
        </w:rPr>
        <w:t>GRUPO</w:t>
      </w:r>
      <w:r w:rsidRPr="00531B12">
        <w:rPr>
          <w:rFonts w:ascii="Abadi" w:hAnsi="Abadi"/>
          <w:b/>
          <w:bCs/>
          <w:spacing w:val="80"/>
          <w:sz w:val="20"/>
          <w:szCs w:val="20"/>
        </w:rPr>
        <w:t xml:space="preserve"> </w:t>
      </w:r>
      <w:r w:rsidRPr="00531B12">
        <w:rPr>
          <w:rFonts w:ascii="Abadi" w:hAnsi="Abadi"/>
          <w:b/>
          <w:bCs/>
          <w:sz w:val="20"/>
          <w:szCs w:val="20"/>
        </w:rPr>
        <w:t>PARLAMENTARIO</w:t>
      </w:r>
      <w:r w:rsidRPr="00531B12">
        <w:rPr>
          <w:rFonts w:ascii="Abadi" w:hAnsi="Abadi"/>
          <w:b/>
          <w:bCs/>
          <w:spacing w:val="80"/>
          <w:sz w:val="20"/>
          <w:szCs w:val="20"/>
        </w:rPr>
        <w:t xml:space="preserve"> </w:t>
      </w:r>
      <w:r w:rsidRPr="00531B12">
        <w:rPr>
          <w:rFonts w:ascii="Abadi" w:hAnsi="Abadi"/>
          <w:b/>
          <w:bCs/>
          <w:sz w:val="20"/>
          <w:szCs w:val="20"/>
        </w:rPr>
        <w:t>DEL</w:t>
      </w:r>
      <w:r w:rsidRPr="00531B12">
        <w:rPr>
          <w:rFonts w:ascii="Abadi" w:hAnsi="Abadi"/>
          <w:b/>
          <w:bCs/>
          <w:spacing w:val="80"/>
          <w:sz w:val="20"/>
          <w:szCs w:val="20"/>
        </w:rPr>
        <w:t xml:space="preserve"> </w:t>
      </w:r>
      <w:r w:rsidRPr="00531B12">
        <w:rPr>
          <w:rFonts w:ascii="Abadi" w:hAnsi="Abadi"/>
          <w:b/>
          <w:bCs/>
          <w:sz w:val="20"/>
          <w:szCs w:val="20"/>
        </w:rPr>
        <w:t>PARTIDO</w:t>
      </w:r>
      <w:r w:rsidRPr="00531B12">
        <w:rPr>
          <w:rFonts w:ascii="Abadi" w:hAnsi="Abadi"/>
          <w:b/>
          <w:bCs/>
          <w:spacing w:val="80"/>
          <w:sz w:val="20"/>
          <w:szCs w:val="20"/>
        </w:rPr>
        <w:t xml:space="preserve"> </w:t>
      </w:r>
      <w:r w:rsidRPr="00531B12">
        <w:rPr>
          <w:rFonts w:ascii="Abadi" w:hAnsi="Abadi"/>
          <w:b/>
          <w:bCs/>
          <w:sz w:val="20"/>
          <w:szCs w:val="20"/>
        </w:rPr>
        <w:t>MORENA</w:t>
      </w:r>
      <w:r w:rsidRPr="00531B12">
        <w:rPr>
          <w:rFonts w:ascii="Abadi" w:hAnsi="Abadi"/>
          <w:b/>
          <w:bCs/>
          <w:spacing w:val="80"/>
          <w:sz w:val="20"/>
          <w:szCs w:val="20"/>
        </w:rPr>
        <w:t xml:space="preserve"> </w:t>
      </w:r>
      <w:r w:rsidRPr="00531B12">
        <w:rPr>
          <w:rFonts w:ascii="Abadi" w:hAnsi="Abadi"/>
          <w:b/>
          <w:bCs/>
          <w:sz w:val="20"/>
          <w:szCs w:val="20"/>
        </w:rPr>
        <w:t>A</w:t>
      </w:r>
      <w:r w:rsidRPr="00531B12">
        <w:rPr>
          <w:rFonts w:ascii="Abadi" w:hAnsi="Abadi"/>
          <w:b/>
          <w:bCs/>
          <w:spacing w:val="80"/>
          <w:sz w:val="20"/>
          <w:szCs w:val="20"/>
        </w:rPr>
        <w:t xml:space="preserve"> </w:t>
      </w:r>
      <w:r w:rsidRPr="00531B12">
        <w:rPr>
          <w:rFonts w:ascii="Abadi" w:hAnsi="Abadi"/>
          <w:b/>
          <w:bCs/>
          <w:sz w:val="20"/>
          <w:szCs w:val="20"/>
        </w:rPr>
        <w:t>EFECTO</w:t>
      </w:r>
      <w:r w:rsidRPr="00531B12">
        <w:rPr>
          <w:rFonts w:ascii="Abadi" w:hAnsi="Abadi"/>
          <w:b/>
          <w:bCs/>
          <w:spacing w:val="80"/>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EXHORTAR</w:t>
      </w:r>
      <w:r w:rsidRPr="00531B12">
        <w:rPr>
          <w:rFonts w:ascii="Abadi" w:hAnsi="Abadi"/>
          <w:b/>
          <w:bCs/>
          <w:spacing w:val="23"/>
          <w:sz w:val="20"/>
          <w:szCs w:val="20"/>
        </w:rPr>
        <w:t xml:space="preserve"> </w:t>
      </w:r>
      <w:r w:rsidRPr="00531B12">
        <w:rPr>
          <w:rFonts w:ascii="Abadi" w:hAnsi="Abadi"/>
          <w:b/>
          <w:bCs/>
          <w:sz w:val="20"/>
          <w:szCs w:val="20"/>
        </w:rPr>
        <w:t>AL</w:t>
      </w:r>
      <w:r w:rsidRPr="00531B12">
        <w:rPr>
          <w:rFonts w:ascii="Abadi" w:hAnsi="Abadi"/>
          <w:b/>
          <w:bCs/>
          <w:spacing w:val="23"/>
          <w:sz w:val="20"/>
          <w:szCs w:val="20"/>
        </w:rPr>
        <w:t xml:space="preserve"> </w:t>
      </w:r>
      <w:r w:rsidRPr="00531B12">
        <w:rPr>
          <w:rFonts w:ascii="Abadi" w:hAnsi="Abadi"/>
          <w:b/>
          <w:bCs/>
          <w:sz w:val="20"/>
          <w:szCs w:val="20"/>
        </w:rPr>
        <w:t>TITULAR</w:t>
      </w:r>
      <w:r w:rsidRPr="00531B12">
        <w:rPr>
          <w:rFonts w:ascii="Abadi" w:hAnsi="Abadi"/>
          <w:b/>
          <w:bCs/>
          <w:spacing w:val="23"/>
          <w:sz w:val="20"/>
          <w:szCs w:val="20"/>
        </w:rPr>
        <w:t xml:space="preserve"> </w:t>
      </w:r>
      <w:r w:rsidRPr="00531B12">
        <w:rPr>
          <w:rFonts w:ascii="Abadi" w:hAnsi="Abadi"/>
          <w:b/>
          <w:bCs/>
          <w:sz w:val="20"/>
          <w:szCs w:val="20"/>
        </w:rPr>
        <w:t>DE</w:t>
      </w:r>
      <w:r w:rsidRPr="00531B12">
        <w:rPr>
          <w:rFonts w:ascii="Abadi" w:hAnsi="Abadi"/>
          <w:b/>
          <w:bCs/>
          <w:spacing w:val="23"/>
          <w:sz w:val="20"/>
          <w:szCs w:val="20"/>
        </w:rPr>
        <w:t xml:space="preserve"> </w:t>
      </w:r>
      <w:r w:rsidRPr="00531B12">
        <w:rPr>
          <w:rFonts w:ascii="Abadi" w:hAnsi="Abadi"/>
          <w:b/>
          <w:bCs/>
          <w:sz w:val="20"/>
          <w:szCs w:val="20"/>
        </w:rPr>
        <w:t>LA</w:t>
      </w:r>
      <w:r w:rsidRPr="00531B12">
        <w:rPr>
          <w:rFonts w:ascii="Abadi" w:hAnsi="Abadi"/>
          <w:b/>
          <w:bCs/>
          <w:spacing w:val="23"/>
          <w:sz w:val="20"/>
          <w:szCs w:val="20"/>
        </w:rPr>
        <w:t xml:space="preserve"> </w:t>
      </w:r>
      <w:r w:rsidRPr="00531B12">
        <w:rPr>
          <w:rFonts w:ascii="Abadi" w:hAnsi="Abadi"/>
          <w:b/>
          <w:bCs/>
          <w:sz w:val="20"/>
          <w:szCs w:val="20"/>
        </w:rPr>
        <w:t>AUDITORÍA</w:t>
      </w:r>
      <w:r w:rsidRPr="00531B12">
        <w:rPr>
          <w:rFonts w:ascii="Abadi" w:hAnsi="Abadi"/>
          <w:b/>
          <w:bCs/>
          <w:spacing w:val="23"/>
          <w:sz w:val="20"/>
          <w:szCs w:val="20"/>
        </w:rPr>
        <w:t xml:space="preserve"> </w:t>
      </w:r>
      <w:r w:rsidRPr="00531B12">
        <w:rPr>
          <w:rFonts w:ascii="Abadi" w:hAnsi="Abadi"/>
          <w:b/>
          <w:bCs/>
          <w:sz w:val="20"/>
          <w:szCs w:val="20"/>
        </w:rPr>
        <w:t>SUPERIOR</w:t>
      </w:r>
      <w:r w:rsidRPr="00531B12">
        <w:rPr>
          <w:rFonts w:ascii="Abadi" w:hAnsi="Abadi"/>
          <w:b/>
          <w:bCs/>
          <w:spacing w:val="23"/>
          <w:sz w:val="20"/>
          <w:szCs w:val="20"/>
        </w:rPr>
        <w:t xml:space="preserve"> </w:t>
      </w:r>
      <w:r w:rsidRPr="00531B12">
        <w:rPr>
          <w:rFonts w:ascii="Abadi" w:hAnsi="Abadi"/>
          <w:b/>
          <w:bCs/>
          <w:sz w:val="20"/>
          <w:szCs w:val="20"/>
        </w:rPr>
        <w:t>DEL</w:t>
      </w:r>
      <w:r w:rsidRPr="00531B12">
        <w:rPr>
          <w:rFonts w:ascii="Abadi" w:hAnsi="Abadi"/>
          <w:b/>
          <w:bCs/>
          <w:spacing w:val="23"/>
          <w:sz w:val="20"/>
          <w:szCs w:val="20"/>
        </w:rPr>
        <w:t xml:space="preserve"> </w:t>
      </w:r>
      <w:r w:rsidRPr="00531B12">
        <w:rPr>
          <w:rFonts w:ascii="Abadi" w:hAnsi="Abadi"/>
          <w:b/>
          <w:bCs/>
          <w:sz w:val="20"/>
          <w:szCs w:val="20"/>
        </w:rPr>
        <w:t>ESTADO</w:t>
      </w:r>
      <w:r w:rsidRPr="00531B12">
        <w:rPr>
          <w:rFonts w:ascii="Abadi" w:hAnsi="Abadi"/>
          <w:b/>
          <w:bCs/>
          <w:spacing w:val="23"/>
          <w:sz w:val="20"/>
          <w:szCs w:val="20"/>
        </w:rPr>
        <w:t xml:space="preserve"> </w:t>
      </w:r>
      <w:r w:rsidRPr="00531B12">
        <w:rPr>
          <w:rFonts w:ascii="Abadi" w:hAnsi="Abadi"/>
          <w:b/>
          <w:bCs/>
          <w:sz w:val="20"/>
          <w:szCs w:val="20"/>
        </w:rPr>
        <w:t>DE</w:t>
      </w:r>
      <w:r w:rsidRPr="00531B12">
        <w:rPr>
          <w:rFonts w:ascii="Abadi" w:hAnsi="Abadi"/>
          <w:b/>
          <w:bCs/>
          <w:spacing w:val="23"/>
          <w:sz w:val="20"/>
          <w:szCs w:val="20"/>
        </w:rPr>
        <w:t xml:space="preserve"> </w:t>
      </w:r>
      <w:r w:rsidRPr="00531B12">
        <w:rPr>
          <w:rFonts w:ascii="Abadi" w:hAnsi="Abadi"/>
          <w:b/>
          <w:bCs/>
          <w:sz w:val="20"/>
          <w:szCs w:val="20"/>
        </w:rPr>
        <w:t>GUANAJUATO</w:t>
      </w:r>
      <w:r w:rsidRPr="00531B12">
        <w:rPr>
          <w:rFonts w:ascii="Abadi" w:hAnsi="Abadi"/>
          <w:b/>
          <w:bCs/>
          <w:spacing w:val="23"/>
          <w:sz w:val="20"/>
          <w:szCs w:val="20"/>
        </w:rPr>
        <w:t xml:space="preserve"> </w:t>
      </w:r>
      <w:r w:rsidRPr="00531B12">
        <w:rPr>
          <w:rFonts w:ascii="Abadi" w:hAnsi="Abadi"/>
          <w:b/>
          <w:bCs/>
          <w:sz w:val="20"/>
          <w:szCs w:val="20"/>
        </w:rPr>
        <w:t>PARA</w:t>
      </w:r>
      <w:r w:rsidRPr="00531B12">
        <w:rPr>
          <w:rFonts w:ascii="Abadi" w:hAnsi="Abadi"/>
          <w:b/>
          <w:bCs/>
          <w:spacing w:val="-2"/>
          <w:sz w:val="20"/>
          <w:szCs w:val="20"/>
        </w:rPr>
        <w:t xml:space="preserve"> </w:t>
      </w:r>
      <w:r w:rsidRPr="00531B12">
        <w:rPr>
          <w:rFonts w:ascii="Abadi" w:hAnsi="Abadi"/>
          <w:b/>
          <w:bCs/>
          <w:sz w:val="20"/>
          <w:szCs w:val="20"/>
        </w:rPr>
        <w:t>QUE</w:t>
      </w:r>
      <w:r w:rsidRPr="00531B12">
        <w:rPr>
          <w:rFonts w:ascii="Abadi" w:hAnsi="Abadi"/>
          <w:b/>
          <w:bCs/>
          <w:spacing w:val="21"/>
          <w:sz w:val="20"/>
          <w:szCs w:val="20"/>
        </w:rPr>
        <w:t xml:space="preserve"> </w:t>
      </w:r>
      <w:r w:rsidRPr="00531B12">
        <w:rPr>
          <w:rFonts w:ascii="Abadi" w:hAnsi="Abadi"/>
          <w:b/>
          <w:bCs/>
          <w:sz w:val="20"/>
          <w:szCs w:val="20"/>
        </w:rPr>
        <w:t>INCORPORE</w:t>
      </w:r>
      <w:r w:rsidRPr="00531B12">
        <w:rPr>
          <w:rFonts w:ascii="Abadi" w:hAnsi="Abadi"/>
          <w:b/>
          <w:bCs/>
          <w:spacing w:val="22"/>
          <w:sz w:val="20"/>
          <w:szCs w:val="20"/>
        </w:rPr>
        <w:t xml:space="preserve"> </w:t>
      </w:r>
      <w:r w:rsidRPr="00531B12">
        <w:rPr>
          <w:rFonts w:ascii="Abadi" w:hAnsi="Abadi"/>
          <w:b/>
          <w:bCs/>
          <w:sz w:val="20"/>
          <w:szCs w:val="20"/>
        </w:rPr>
        <w:t>AL</w:t>
      </w:r>
      <w:r w:rsidRPr="00531B12">
        <w:rPr>
          <w:rFonts w:ascii="Abadi" w:hAnsi="Abadi"/>
          <w:b/>
          <w:bCs/>
          <w:spacing w:val="21"/>
          <w:sz w:val="20"/>
          <w:szCs w:val="20"/>
        </w:rPr>
        <w:t xml:space="preserve"> </w:t>
      </w:r>
      <w:r w:rsidRPr="00531B12">
        <w:rPr>
          <w:rFonts w:ascii="Abadi" w:hAnsi="Abadi"/>
          <w:b/>
          <w:bCs/>
          <w:sz w:val="20"/>
          <w:szCs w:val="20"/>
        </w:rPr>
        <w:t>PROGRAMA</w:t>
      </w:r>
      <w:r w:rsidRPr="00531B12">
        <w:rPr>
          <w:rFonts w:ascii="Abadi" w:hAnsi="Abadi"/>
          <w:b/>
          <w:bCs/>
          <w:spacing w:val="21"/>
          <w:sz w:val="20"/>
          <w:szCs w:val="20"/>
        </w:rPr>
        <w:t xml:space="preserve"> </w:t>
      </w:r>
      <w:r w:rsidRPr="00531B12">
        <w:rPr>
          <w:rFonts w:ascii="Abadi" w:hAnsi="Abadi"/>
          <w:b/>
          <w:bCs/>
          <w:sz w:val="20"/>
          <w:szCs w:val="20"/>
        </w:rPr>
        <w:t>GENERAL</w:t>
      </w:r>
      <w:r w:rsidRPr="00531B12">
        <w:rPr>
          <w:rFonts w:ascii="Abadi" w:hAnsi="Abadi"/>
          <w:b/>
          <w:bCs/>
          <w:spacing w:val="21"/>
          <w:sz w:val="20"/>
          <w:szCs w:val="20"/>
        </w:rPr>
        <w:t xml:space="preserve"> </w:t>
      </w:r>
      <w:r w:rsidRPr="00531B12">
        <w:rPr>
          <w:rFonts w:ascii="Abadi" w:hAnsi="Abadi"/>
          <w:b/>
          <w:bCs/>
          <w:sz w:val="20"/>
          <w:szCs w:val="20"/>
        </w:rPr>
        <w:t>DE</w:t>
      </w:r>
      <w:r w:rsidRPr="00531B12">
        <w:rPr>
          <w:rFonts w:ascii="Abadi" w:hAnsi="Abadi"/>
          <w:b/>
          <w:bCs/>
          <w:spacing w:val="21"/>
          <w:sz w:val="20"/>
          <w:szCs w:val="20"/>
        </w:rPr>
        <w:t xml:space="preserve"> </w:t>
      </w:r>
      <w:r w:rsidRPr="00531B12">
        <w:rPr>
          <w:rFonts w:ascii="Abadi" w:hAnsi="Abadi"/>
          <w:b/>
          <w:bCs/>
          <w:sz w:val="20"/>
          <w:szCs w:val="20"/>
        </w:rPr>
        <w:t>FISCALIZACIÓN</w:t>
      </w:r>
      <w:r w:rsidRPr="00531B12">
        <w:rPr>
          <w:rFonts w:ascii="Abadi" w:hAnsi="Abadi"/>
          <w:b/>
          <w:bCs/>
          <w:spacing w:val="21"/>
          <w:sz w:val="20"/>
          <w:szCs w:val="20"/>
        </w:rPr>
        <w:t xml:space="preserve"> </w:t>
      </w:r>
      <w:r w:rsidRPr="00531B12">
        <w:rPr>
          <w:rFonts w:ascii="Abadi" w:hAnsi="Abadi"/>
          <w:b/>
          <w:bCs/>
          <w:sz w:val="20"/>
          <w:szCs w:val="20"/>
        </w:rPr>
        <w:t>2022</w:t>
      </w:r>
      <w:r w:rsidRPr="00531B12">
        <w:rPr>
          <w:rFonts w:ascii="Abadi" w:hAnsi="Abadi"/>
          <w:b/>
          <w:bCs/>
          <w:spacing w:val="22"/>
          <w:sz w:val="20"/>
          <w:szCs w:val="20"/>
        </w:rPr>
        <w:t xml:space="preserve"> </w:t>
      </w:r>
      <w:r w:rsidRPr="00531B12">
        <w:rPr>
          <w:rFonts w:ascii="Abadi" w:hAnsi="Abadi"/>
          <w:b/>
          <w:bCs/>
          <w:sz w:val="20"/>
          <w:szCs w:val="20"/>
        </w:rPr>
        <w:t>LA</w:t>
      </w:r>
      <w:r w:rsidRPr="00531B12">
        <w:rPr>
          <w:rFonts w:ascii="Abadi" w:hAnsi="Abadi"/>
          <w:b/>
          <w:bCs/>
          <w:spacing w:val="22"/>
          <w:sz w:val="20"/>
          <w:szCs w:val="20"/>
        </w:rPr>
        <w:t xml:space="preserve"> </w:t>
      </w:r>
      <w:r w:rsidRPr="00531B12">
        <w:rPr>
          <w:rFonts w:ascii="Abadi" w:hAnsi="Abadi"/>
          <w:b/>
          <w:bCs/>
          <w:sz w:val="20"/>
          <w:szCs w:val="20"/>
        </w:rPr>
        <w:t>EVALUACIÓN</w:t>
      </w:r>
      <w:r w:rsidRPr="00531B12">
        <w:rPr>
          <w:rFonts w:ascii="Abadi" w:hAnsi="Abadi"/>
          <w:b/>
          <w:bCs/>
          <w:spacing w:val="22"/>
          <w:sz w:val="20"/>
          <w:szCs w:val="20"/>
        </w:rPr>
        <w:t xml:space="preserve"> </w:t>
      </w:r>
      <w:r w:rsidRPr="00531B12">
        <w:rPr>
          <w:rFonts w:ascii="Abadi" w:hAnsi="Abadi"/>
          <w:b/>
          <w:bCs/>
          <w:sz w:val="20"/>
          <w:szCs w:val="20"/>
        </w:rPr>
        <w:t>A</w:t>
      </w:r>
      <w:r w:rsidRPr="00531B12">
        <w:rPr>
          <w:rFonts w:ascii="Abadi" w:hAnsi="Abadi"/>
          <w:b/>
          <w:bCs/>
          <w:spacing w:val="-2"/>
          <w:sz w:val="20"/>
          <w:szCs w:val="20"/>
        </w:rPr>
        <w:t xml:space="preserve"> </w:t>
      </w:r>
      <w:r w:rsidRPr="00531B12">
        <w:rPr>
          <w:rFonts w:ascii="Abadi" w:hAnsi="Abadi"/>
          <w:b/>
          <w:bCs/>
          <w:sz w:val="20"/>
          <w:szCs w:val="20"/>
        </w:rPr>
        <w:t>LAS</w:t>
      </w:r>
      <w:r w:rsidRPr="00531B12">
        <w:rPr>
          <w:rFonts w:ascii="Abadi" w:hAnsi="Abadi"/>
          <w:b/>
          <w:bCs/>
          <w:spacing w:val="32"/>
          <w:sz w:val="20"/>
          <w:szCs w:val="20"/>
        </w:rPr>
        <w:t xml:space="preserve"> </w:t>
      </w:r>
      <w:r w:rsidRPr="00531B12">
        <w:rPr>
          <w:rFonts w:ascii="Abadi" w:hAnsi="Abadi"/>
          <w:b/>
          <w:bCs/>
          <w:sz w:val="20"/>
          <w:szCs w:val="20"/>
        </w:rPr>
        <w:t>INTERVENCIONES</w:t>
      </w:r>
      <w:r w:rsidRPr="00531B12">
        <w:rPr>
          <w:rFonts w:ascii="Abadi" w:hAnsi="Abadi"/>
          <w:b/>
          <w:bCs/>
          <w:spacing w:val="32"/>
          <w:sz w:val="20"/>
          <w:szCs w:val="20"/>
        </w:rPr>
        <w:t xml:space="preserve"> </w:t>
      </w:r>
      <w:r w:rsidRPr="00531B12">
        <w:rPr>
          <w:rFonts w:ascii="Abadi" w:hAnsi="Abadi"/>
          <w:b/>
          <w:bCs/>
          <w:sz w:val="20"/>
          <w:szCs w:val="20"/>
        </w:rPr>
        <w:t>PÚBLICAS</w:t>
      </w:r>
      <w:r w:rsidRPr="00531B12">
        <w:rPr>
          <w:rFonts w:ascii="Abadi" w:hAnsi="Abadi"/>
          <w:b/>
          <w:bCs/>
          <w:spacing w:val="32"/>
          <w:sz w:val="20"/>
          <w:szCs w:val="20"/>
        </w:rPr>
        <w:t xml:space="preserve"> </w:t>
      </w:r>
      <w:r w:rsidRPr="00531B12">
        <w:rPr>
          <w:rFonts w:ascii="Abadi" w:hAnsi="Abadi"/>
          <w:b/>
          <w:bCs/>
          <w:sz w:val="20"/>
          <w:szCs w:val="20"/>
        </w:rPr>
        <w:t>PARA</w:t>
      </w:r>
      <w:r w:rsidRPr="00531B12">
        <w:rPr>
          <w:rFonts w:ascii="Abadi" w:hAnsi="Abadi"/>
          <w:b/>
          <w:bCs/>
          <w:spacing w:val="32"/>
          <w:sz w:val="20"/>
          <w:szCs w:val="20"/>
        </w:rPr>
        <w:t xml:space="preserve"> </w:t>
      </w:r>
      <w:r w:rsidRPr="00531B12">
        <w:rPr>
          <w:rFonts w:ascii="Abadi" w:hAnsi="Abadi"/>
          <w:b/>
          <w:bCs/>
          <w:sz w:val="20"/>
          <w:szCs w:val="20"/>
        </w:rPr>
        <w:t>GARANTIZAR</w:t>
      </w:r>
      <w:r w:rsidRPr="00531B12">
        <w:rPr>
          <w:rFonts w:ascii="Abadi" w:hAnsi="Abadi"/>
          <w:b/>
          <w:bCs/>
          <w:spacing w:val="32"/>
          <w:sz w:val="20"/>
          <w:szCs w:val="20"/>
        </w:rPr>
        <w:t xml:space="preserve"> </w:t>
      </w:r>
      <w:r w:rsidRPr="00531B12">
        <w:rPr>
          <w:rFonts w:ascii="Abadi" w:hAnsi="Abadi"/>
          <w:b/>
          <w:bCs/>
          <w:sz w:val="20"/>
          <w:szCs w:val="20"/>
        </w:rPr>
        <w:t>LOS</w:t>
      </w:r>
      <w:r w:rsidRPr="00531B12">
        <w:rPr>
          <w:rFonts w:ascii="Abadi" w:hAnsi="Abadi"/>
          <w:b/>
          <w:bCs/>
          <w:spacing w:val="32"/>
          <w:sz w:val="20"/>
          <w:szCs w:val="20"/>
        </w:rPr>
        <w:t xml:space="preserve"> </w:t>
      </w:r>
      <w:r w:rsidRPr="00531B12">
        <w:rPr>
          <w:rFonts w:ascii="Abadi" w:hAnsi="Abadi"/>
          <w:b/>
          <w:bCs/>
          <w:sz w:val="20"/>
          <w:szCs w:val="20"/>
        </w:rPr>
        <w:t>DERECHOS</w:t>
      </w:r>
      <w:r w:rsidRPr="00531B12">
        <w:rPr>
          <w:rFonts w:ascii="Abadi" w:hAnsi="Abadi"/>
          <w:b/>
          <w:bCs/>
          <w:spacing w:val="32"/>
          <w:sz w:val="20"/>
          <w:szCs w:val="20"/>
        </w:rPr>
        <w:t xml:space="preserve"> </w:t>
      </w:r>
      <w:r w:rsidRPr="00531B12">
        <w:rPr>
          <w:rFonts w:ascii="Abadi" w:hAnsi="Abadi"/>
          <w:b/>
          <w:bCs/>
          <w:sz w:val="20"/>
          <w:szCs w:val="20"/>
        </w:rPr>
        <w:t>HUMANOS</w:t>
      </w:r>
      <w:r w:rsidRPr="00531B12">
        <w:rPr>
          <w:rFonts w:ascii="Abadi" w:hAnsi="Abadi"/>
          <w:b/>
          <w:bCs/>
          <w:spacing w:val="32"/>
          <w:sz w:val="20"/>
          <w:szCs w:val="20"/>
        </w:rPr>
        <w:t xml:space="preserve"> </w:t>
      </w:r>
      <w:r w:rsidRPr="00531B12">
        <w:rPr>
          <w:rFonts w:ascii="Abadi" w:hAnsi="Abadi"/>
          <w:b/>
          <w:bCs/>
          <w:sz w:val="20"/>
          <w:szCs w:val="20"/>
        </w:rPr>
        <w:t>DE</w:t>
      </w:r>
      <w:r w:rsidRPr="00531B12">
        <w:rPr>
          <w:rFonts w:ascii="Abadi" w:hAnsi="Abadi"/>
          <w:b/>
          <w:bCs/>
          <w:spacing w:val="32"/>
          <w:sz w:val="20"/>
          <w:szCs w:val="20"/>
        </w:rPr>
        <w:t xml:space="preserve"> </w:t>
      </w:r>
      <w:r w:rsidRPr="00531B12">
        <w:rPr>
          <w:rFonts w:ascii="Abadi" w:hAnsi="Abadi"/>
          <w:b/>
          <w:bCs/>
          <w:sz w:val="20"/>
          <w:szCs w:val="20"/>
        </w:rPr>
        <w:t>LAS</w:t>
      </w:r>
      <w:r w:rsidRPr="00531B12">
        <w:rPr>
          <w:rFonts w:ascii="Abadi" w:hAnsi="Abadi"/>
          <w:b/>
          <w:bCs/>
          <w:spacing w:val="-2"/>
          <w:sz w:val="20"/>
          <w:szCs w:val="20"/>
        </w:rPr>
        <w:t xml:space="preserve"> </w:t>
      </w:r>
      <w:r w:rsidRPr="00531B12">
        <w:rPr>
          <w:rFonts w:ascii="Abadi" w:hAnsi="Abadi"/>
          <w:b/>
          <w:bCs/>
          <w:sz w:val="20"/>
          <w:szCs w:val="20"/>
        </w:rPr>
        <w:t>MUJERES</w:t>
      </w:r>
      <w:r w:rsidRPr="00531B12">
        <w:rPr>
          <w:rFonts w:ascii="Abadi" w:hAnsi="Abadi"/>
          <w:b/>
          <w:bCs/>
          <w:spacing w:val="43"/>
          <w:sz w:val="20"/>
          <w:szCs w:val="20"/>
        </w:rPr>
        <w:t xml:space="preserve"> </w:t>
      </w:r>
      <w:r w:rsidRPr="00531B12">
        <w:rPr>
          <w:rFonts w:ascii="Abadi" w:hAnsi="Abadi"/>
          <w:b/>
          <w:bCs/>
          <w:sz w:val="20"/>
          <w:szCs w:val="20"/>
        </w:rPr>
        <w:t>EN</w:t>
      </w:r>
      <w:r w:rsidRPr="00531B12">
        <w:rPr>
          <w:rFonts w:ascii="Abadi" w:hAnsi="Abadi"/>
          <w:b/>
          <w:bCs/>
          <w:spacing w:val="43"/>
          <w:sz w:val="20"/>
          <w:szCs w:val="20"/>
        </w:rPr>
        <w:t xml:space="preserve"> </w:t>
      </w:r>
      <w:r w:rsidRPr="00531B12">
        <w:rPr>
          <w:rFonts w:ascii="Abadi" w:hAnsi="Abadi"/>
          <w:b/>
          <w:bCs/>
          <w:sz w:val="20"/>
          <w:szCs w:val="20"/>
        </w:rPr>
        <w:t>LA</w:t>
      </w:r>
      <w:r w:rsidRPr="00531B12">
        <w:rPr>
          <w:rFonts w:ascii="Abadi" w:hAnsi="Abadi"/>
          <w:b/>
          <w:bCs/>
          <w:spacing w:val="43"/>
          <w:sz w:val="20"/>
          <w:szCs w:val="20"/>
        </w:rPr>
        <w:t xml:space="preserve"> </w:t>
      </w:r>
      <w:r w:rsidRPr="00531B12">
        <w:rPr>
          <w:rFonts w:ascii="Abadi" w:hAnsi="Abadi"/>
          <w:b/>
          <w:bCs/>
          <w:sz w:val="20"/>
          <w:szCs w:val="20"/>
        </w:rPr>
        <w:t>CUAL</w:t>
      </w:r>
      <w:r w:rsidRPr="00531B12">
        <w:rPr>
          <w:rFonts w:ascii="Abadi" w:hAnsi="Abadi"/>
          <w:b/>
          <w:bCs/>
          <w:spacing w:val="43"/>
          <w:sz w:val="20"/>
          <w:szCs w:val="20"/>
        </w:rPr>
        <w:t xml:space="preserve"> </w:t>
      </w:r>
      <w:r w:rsidRPr="00531B12">
        <w:rPr>
          <w:rFonts w:ascii="Abadi" w:hAnsi="Abadi"/>
          <w:b/>
          <w:bCs/>
          <w:sz w:val="20"/>
          <w:szCs w:val="20"/>
        </w:rPr>
        <w:t>EL</w:t>
      </w:r>
      <w:r w:rsidRPr="00531B12">
        <w:rPr>
          <w:rFonts w:ascii="Abadi" w:hAnsi="Abadi"/>
          <w:b/>
          <w:bCs/>
          <w:spacing w:val="43"/>
          <w:sz w:val="20"/>
          <w:szCs w:val="20"/>
        </w:rPr>
        <w:t xml:space="preserve"> </w:t>
      </w:r>
      <w:r w:rsidRPr="00531B12">
        <w:rPr>
          <w:rFonts w:ascii="Abadi" w:hAnsi="Abadi"/>
          <w:b/>
          <w:bCs/>
          <w:sz w:val="20"/>
          <w:szCs w:val="20"/>
        </w:rPr>
        <w:t>SUJETO</w:t>
      </w:r>
      <w:r w:rsidRPr="00531B12">
        <w:rPr>
          <w:rFonts w:ascii="Abadi" w:hAnsi="Abadi"/>
          <w:b/>
          <w:bCs/>
          <w:spacing w:val="43"/>
          <w:sz w:val="20"/>
          <w:szCs w:val="20"/>
        </w:rPr>
        <w:t xml:space="preserve"> </w:t>
      </w:r>
      <w:r w:rsidRPr="00531B12">
        <w:rPr>
          <w:rFonts w:ascii="Abadi" w:hAnsi="Abadi"/>
          <w:b/>
          <w:bCs/>
          <w:sz w:val="20"/>
          <w:szCs w:val="20"/>
        </w:rPr>
        <w:t>DE</w:t>
      </w:r>
      <w:r w:rsidRPr="00531B12">
        <w:rPr>
          <w:rFonts w:ascii="Abadi" w:hAnsi="Abadi"/>
          <w:b/>
          <w:bCs/>
          <w:spacing w:val="43"/>
          <w:sz w:val="20"/>
          <w:szCs w:val="20"/>
        </w:rPr>
        <w:t xml:space="preserve"> </w:t>
      </w:r>
      <w:r w:rsidRPr="00531B12">
        <w:rPr>
          <w:rFonts w:ascii="Abadi" w:hAnsi="Abadi"/>
          <w:b/>
          <w:bCs/>
          <w:sz w:val="20"/>
          <w:szCs w:val="20"/>
        </w:rPr>
        <w:t>FISCALIZACIÓN</w:t>
      </w:r>
      <w:r w:rsidRPr="00531B12">
        <w:rPr>
          <w:rFonts w:ascii="Abadi" w:hAnsi="Abadi"/>
          <w:b/>
          <w:bCs/>
          <w:spacing w:val="43"/>
          <w:sz w:val="20"/>
          <w:szCs w:val="20"/>
        </w:rPr>
        <w:t xml:space="preserve"> </w:t>
      </w:r>
      <w:r w:rsidRPr="00531B12">
        <w:rPr>
          <w:rFonts w:ascii="Abadi" w:hAnsi="Abadi"/>
          <w:b/>
          <w:bCs/>
          <w:sz w:val="20"/>
          <w:szCs w:val="20"/>
        </w:rPr>
        <w:t>SERÁ</w:t>
      </w:r>
      <w:r w:rsidRPr="00531B12">
        <w:rPr>
          <w:rFonts w:ascii="Abadi" w:hAnsi="Abadi"/>
          <w:b/>
          <w:bCs/>
          <w:spacing w:val="43"/>
          <w:sz w:val="20"/>
          <w:szCs w:val="20"/>
        </w:rPr>
        <w:t xml:space="preserve"> </w:t>
      </w:r>
      <w:r w:rsidRPr="00531B12">
        <w:rPr>
          <w:rFonts w:ascii="Abadi" w:hAnsi="Abadi"/>
          <w:b/>
          <w:bCs/>
          <w:sz w:val="20"/>
          <w:szCs w:val="20"/>
        </w:rPr>
        <w:t>EL</w:t>
      </w:r>
      <w:r w:rsidRPr="00531B12">
        <w:rPr>
          <w:rFonts w:ascii="Abadi" w:hAnsi="Abadi"/>
          <w:b/>
          <w:bCs/>
          <w:spacing w:val="43"/>
          <w:sz w:val="20"/>
          <w:szCs w:val="20"/>
        </w:rPr>
        <w:t xml:space="preserve"> </w:t>
      </w:r>
      <w:r w:rsidRPr="00531B12">
        <w:rPr>
          <w:rFonts w:ascii="Abadi" w:hAnsi="Abadi"/>
          <w:b/>
          <w:bCs/>
          <w:sz w:val="20"/>
          <w:szCs w:val="20"/>
        </w:rPr>
        <w:t>PODER</w:t>
      </w:r>
      <w:r w:rsidRPr="00531B12">
        <w:rPr>
          <w:rFonts w:ascii="Abadi" w:hAnsi="Abadi"/>
          <w:b/>
          <w:bCs/>
          <w:spacing w:val="43"/>
          <w:sz w:val="20"/>
          <w:szCs w:val="20"/>
        </w:rPr>
        <w:t xml:space="preserve"> </w:t>
      </w:r>
      <w:r w:rsidRPr="00531B12">
        <w:rPr>
          <w:rFonts w:ascii="Abadi" w:hAnsi="Abadi"/>
          <w:b/>
          <w:bCs/>
          <w:sz w:val="20"/>
          <w:szCs w:val="20"/>
        </w:rPr>
        <w:t>EJECUTIVO</w:t>
      </w:r>
      <w:r w:rsidRPr="00531B12">
        <w:rPr>
          <w:rFonts w:ascii="Abadi" w:hAnsi="Abadi"/>
          <w:b/>
          <w:bCs/>
          <w:spacing w:val="43"/>
          <w:sz w:val="20"/>
          <w:szCs w:val="20"/>
        </w:rPr>
        <w:t xml:space="preserve"> </w:t>
      </w:r>
      <w:r w:rsidRPr="00531B12">
        <w:rPr>
          <w:rFonts w:ascii="Abadi" w:hAnsi="Abadi"/>
          <w:b/>
          <w:bCs/>
          <w:sz w:val="20"/>
          <w:szCs w:val="20"/>
        </w:rPr>
        <w:t>DEL</w:t>
      </w:r>
      <w:r w:rsidRPr="00531B12">
        <w:rPr>
          <w:rFonts w:ascii="Abadi" w:hAnsi="Abadi"/>
          <w:b/>
          <w:bCs/>
          <w:spacing w:val="-2"/>
          <w:sz w:val="20"/>
          <w:szCs w:val="20"/>
        </w:rPr>
        <w:t xml:space="preserve"> </w:t>
      </w:r>
      <w:r w:rsidRPr="00531B12">
        <w:rPr>
          <w:rFonts w:ascii="Abadi" w:hAnsi="Abadi"/>
          <w:b/>
          <w:bCs/>
          <w:sz w:val="20"/>
          <w:szCs w:val="20"/>
        </w:rPr>
        <w:t>ESTADO</w:t>
      </w:r>
      <w:r w:rsidRPr="00531B12">
        <w:rPr>
          <w:rFonts w:ascii="Abadi" w:hAnsi="Abadi"/>
          <w:b/>
          <w:bCs/>
          <w:spacing w:val="62"/>
          <w:w w:val="150"/>
          <w:sz w:val="20"/>
          <w:szCs w:val="20"/>
        </w:rPr>
        <w:t xml:space="preserve"> </w:t>
      </w:r>
      <w:r w:rsidRPr="00531B12">
        <w:rPr>
          <w:rFonts w:ascii="Abadi" w:hAnsi="Abadi"/>
          <w:b/>
          <w:bCs/>
          <w:sz w:val="20"/>
          <w:szCs w:val="20"/>
        </w:rPr>
        <w:t>Y</w:t>
      </w:r>
      <w:r w:rsidRPr="00531B12">
        <w:rPr>
          <w:rFonts w:ascii="Abadi" w:hAnsi="Abadi"/>
          <w:b/>
          <w:bCs/>
          <w:spacing w:val="62"/>
          <w:w w:val="150"/>
          <w:sz w:val="20"/>
          <w:szCs w:val="20"/>
        </w:rPr>
        <w:t xml:space="preserve"> </w:t>
      </w:r>
      <w:r w:rsidRPr="00531B12">
        <w:rPr>
          <w:rFonts w:ascii="Abadi" w:hAnsi="Abadi"/>
          <w:b/>
          <w:bCs/>
          <w:sz w:val="20"/>
          <w:szCs w:val="20"/>
        </w:rPr>
        <w:t>LA</w:t>
      </w:r>
      <w:r w:rsidRPr="00531B12">
        <w:rPr>
          <w:rFonts w:ascii="Abadi" w:hAnsi="Abadi"/>
          <w:b/>
          <w:bCs/>
          <w:spacing w:val="62"/>
          <w:w w:val="150"/>
          <w:sz w:val="20"/>
          <w:szCs w:val="20"/>
        </w:rPr>
        <w:t xml:space="preserve"> </w:t>
      </w:r>
      <w:r w:rsidRPr="00531B12">
        <w:rPr>
          <w:rFonts w:ascii="Abadi" w:hAnsi="Abadi"/>
          <w:b/>
          <w:bCs/>
          <w:sz w:val="20"/>
          <w:szCs w:val="20"/>
        </w:rPr>
        <w:t>MATERIA</w:t>
      </w:r>
      <w:r w:rsidRPr="00531B12">
        <w:rPr>
          <w:rFonts w:ascii="Abadi" w:hAnsi="Abadi"/>
          <w:b/>
          <w:bCs/>
          <w:spacing w:val="63"/>
          <w:w w:val="150"/>
          <w:sz w:val="20"/>
          <w:szCs w:val="20"/>
        </w:rPr>
        <w:t xml:space="preserve"> </w:t>
      </w:r>
      <w:r w:rsidRPr="00531B12">
        <w:rPr>
          <w:rFonts w:ascii="Abadi" w:hAnsi="Abadi"/>
          <w:b/>
          <w:bCs/>
          <w:sz w:val="20"/>
          <w:szCs w:val="20"/>
        </w:rPr>
        <w:t>LOS</w:t>
      </w:r>
      <w:r w:rsidRPr="00531B12">
        <w:rPr>
          <w:rFonts w:ascii="Abadi" w:hAnsi="Abadi"/>
          <w:b/>
          <w:bCs/>
          <w:spacing w:val="62"/>
          <w:w w:val="150"/>
          <w:sz w:val="20"/>
          <w:szCs w:val="20"/>
        </w:rPr>
        <w:t xml:space="preserve"> </w:t>
      </w:r>
      <w:r w:rsidRPr="00531B12">
        <w:rPr>
          <w:rFonts w:ascii="Abadi" w:hAnsi="Abadi"/>
          <w:b/>
          <w:bCs/>
          <w:sz w:val="20"/>
          <w:szCs w:val="20"/>
        </w:rPr>
        <w:t>PROYECTOS</w:t>
      </w:r>
      <w:r w:rsidRPr="00531B12">
        <w:rPr>
          <w:rFonts w:ascii="Abadi" w:hAnsi="Abadi"/>
          <w:b/>
          <w:bCs/>
          <w:spacing w:val="62"/>
          <w:w w:val="150"/>
          <w:sz w:val="20"/>
          <w:szCs w:val="20"/>
        </w:rPr>
        <w:t xml:space="preserve"> </w:t>
      </w:r>
      <w:r w:rsidRPr="00531B12">
        <w:rPr>
          <w:rFonts w:ascii="Abadi" w:hAnsi="Abadi"/>
          <w:b/>
          <w:bCs/>
          <w:i/>
          <w:iCs/>
          <w:sz w:val="20"/>
          <w:szCs w:val="20"/>
        </w:rPr>
        <w:t>Q3189</w:t>
      </w:r>
      <w:r w:rsidRPr="00531B12">
        <w:rPr>
          <w:rFonts w:ascii="Abadi" w:hAnsi="Abadi"/>
          <w:b/>
          <w:bCs/>
          <w:i/>
          <w:iCs/>
          <w:spacing w:val="63"/>
          <w:w w:val="150"/>
          <w:sz w:val="20"/>
          <w:szCs w:val="20"/>
        </w:rPr>
        <w:t xml:space="preserve"> </w:t>
      </w:r>
      <w:r w:rsidRPr="00531B12">
        <w:rPr>
          <w:rFonts w:ascii="Abadi" w:hAnsi="Abadi"/>
          <w:b/>
          <w:bCs/>
          <w:i/>
          <w:iCs/>
          <w:sz w:val="20"/>
          <w:szCs w:val="20"/>
        </w:rPr>
        <w:t>ACCIONES</w:t>
      </w:r>
      <w:r w:rsidRPr="00531B12">
        <w:rPr>
          <w:rFonts w:ascii="Abadi" w:hAnsi="Abadi"/>
          <w:b/>
          <w:bCs/>
          <w:i/>
          <w:iCs/>
          <w:spacing w:val="62"/>
          <w:w w:val="150"/>
          <w:sz w:val="20"/>
          <w:szCs w:val="20"/>
        </w:rPr>
        <w:t xml:space="preserve"> </w:t>
      </w:r>
      <w:r w:rsidRPr="00531B12">
        <w:rPr>
          <w:rFonts w:ascii="Abadi" w:hAnsi="Abadi"/>
          <w:b/>
          <w:bCs/>
          <w:i/>
          <w:iCs/>
          <w:sz w:val="20"/>
          <w:szCs w:val="20"/>
        </w:rPr>
        <w:t>PARA</w:t>
      </w:r>
      <w:r w:rsidRPr="00531B12">
        <w:rPr>
          <w:rFonts w:ascii="Abadi" w:hAnsi="Abadi"/>
          <w:b/>
          <w:bCs/>
          <w:i/>
          <w:iCs/>
          <w:spacing w:val="61"/>
          <w:w w:val="150"/>
          <w:sz w:val="20"/>
          <w:szCs w:val="20"/>
        </w:rPr>
        <w:t xml:space="preserve"> </w:t>
      </w:r>
      <w:r w:rsidRPr="00531B12">
        <w:rPr>
          <w:rFonts w:ascii="Abadi" w:hAnsi="Abadi"/>
          <w:b/>
          <w:bCs/>
          <w:i/>
          <w:iCs/>
          <w:sz w:val="20"/>
          <w:szCs w:val="20"/>
        </w:rPr>
        <w:t>REDUCIR</w:t>
      </w:r>
      <w:r w:rsidRPr="00531B12">
        <w:rPr>
          <w:rFonts w:ascii="Abadi" w:hAnsi="Abadi"/>
          <w:b/>
          <w:bCs/>
          <w:i/>
          <w:iCs/>
          <w:spacing w:val="62"/>
          <w:w w:val="150"/>
          <w:sz w:val="20"/>
          <w:szCs w:val="20"/>
        </w:rPr>
        <w:t xml:space="preserve"> </w:t>
      </w:r>
      <w:r w:rsidRPr="00531B12">
        <w:rPr>
          <w:rFonts w:ascii="Abadi" w:hAnsi="Abadi"/>
          <w:b/>
          <w:bCs/>
          <w:i/>
          <w:iCs/>
          <w:sz w:val="20"/>
          <w:szCs w:val="20"/>
        </w:rPr>
        <w:t>LAS</w:t>
      </w:r>
      <w:r w:rsidRPr="00531B12">
        <w:rPr>
          <w:rFonts w:ascii="Abadi" w:hAnsi="Abadi"/>
          <w:b/>
          <w:bCs/>
          <w:i/>
          <w:iCs/>
          <w:spacing w:val="-2"/>
          <w:sz w:val="20"/>
          <w:szCs w:val="20"/>
        </w:rPr>
        <w:t xml:space="preserve"> </w:t>
      </w:r>
      <w:r w:rsidRPr="00531B12">
        <w:rPr>
          <w:rFonts w:ascii="Abadi" w:hAnsi="Abadi"/>
          <w:b/>
          <w:bCs/>
          <w:i/>
          <w:iCs/>
          <w:sz w:val="20"/>
          <w:szCs w:val="20"/>
        </w:rPr>
        <w:t>MANIFESTACIONES</w:t>
      </w:r>
      <w:r w:rsidRPr="00531B12">
        <w:rPr>
          <w:rFonts w:ascii="Abadi" w:hAnsi="Abadi"/>
          <w:b/>
          <w:bCs/>
          <w:i/>
          <w:iCs/>
          <w:spacing w:val="6"/>
          <w:sz w:val="20"/>
          <w:szCs w:val="20"/>
        </w:rPr>
        <w:t xml:space="preserve"> </w:t>
      </w:r>
      <w:r w:rsidRPr="00531B12">
        <w:rPr>
          <w:rFonts w:ascii="Abadi" w:hAnsi="Abadi"/>
          <w:b/>
          <w:bCs/>
          <w:i/>
          <w:iCs/>
          <w:sz w:val="20"/>
          <w:szCs w:val="20"/>
        </w:rPr>
        <w:t>DE</w:t>
      </w:r>
      <w:r w:rsidRPr="00531B12">
        <w:rPr>
          <w:rFonts w:ascii="Abadi" w:hAnsi="Abadi"/>
          <w:b/>
          <w:bCs/>
          <w:i/>
          <w:iCs/>
          <w:spacing w:val="6"/>
          <w:sz w:val="20"/>
          <w:szCs w:val="20"/>
        </w:rPr>
        <w:t xml:space="preserve"> </w:t>
      </w:r>
      <w:r w:rsidRPr="00531B12">
        <w:rPr>
          <w:rFonts w:ascii="Abadi" w:hAnsi="Abadi"/>
          <w:b/>
          <w:bCs/>
          <w:i/>
          <w:iCs/>
          <w:sz w:val="20"/>
          <w:szCs w:val="20"/>
        </w:rPr>
        <w:t>VIOLENCIA</w:t>
      </w:r>
      <w:r w:rsidRPr="00531B12">
        <w:rPr>
          <w:rFonts w:ascii="Abadi" w:hAnsi="Abadi"/>
          <w:b/>
          <w:bCs/>
          <w:i/>
          <w:iCs/>
          <w:spacing w:val="6"/>
          <w:sz w:val="20"/>
          <w:szCs w:val="20"/>
        </w:rPr>
        <w:t xml:space="preserve"> </w:t>
      </w:r>
      <w:r w:rsidRPr="00531B12">
        <w:rPr>
          <w:rFonts w:ascii="Abadi" w:hAnsi="Abadi"/>
          <w:b/>
          <w:bCs/>
          <w:i/>
          <w:iCs/>
          <w:sz w:val="20"/>
          <w:szCs w:val="20"/>
        </w:rPr>
        <w:t>EN</w:t>
      </w:r>
      <w:r w:rsidRPr="00531B12">
        <w:rPr>
          <w:rFonts w:ascii="Abadi" w:hAnsi="Abadi"/>
          <w:b/>
          <w:bCs/>
          <w:i/>
          <w:iCs/>
          <w:spacing w:val="6"/>
          <w:sz w:val="20"/>
          <w:szCs w:val="20"/>
        </w:rPr>
        <w:t xml:space="preserve"> </w:t>
      </w:r>
      <w:r w:rsidRPr="00531B12">
        <w:rPr>
          <w:rFonts w:ascii="Abadi" w:hAnsi="Abadi"/>
          <w:b/>
          <w:bCs/>
          <w:i/>
          <w:iCs/>
          <w:sz w:val="20"/>
          <w:szCs w:val="20"/>
        </w:rPr>
        <w:t>CONTRA</w:t>
      </w:r>
      <w:r w:rsidRPr="00531B12">
        <w:rPr>
          <w:rFonts w:ascii="Abadi" w:hAnsi="Abadi"/>
          <w:b/>
          <w:bCs/>
          <w:i/>
          <w:iCs/>
          <w:spacing w:val="6"/>
          <w:sz w:val="20"/>
          <w:szCs w:val="20"/>
        </w:rPr>
        <w:t xml:space="preserve"> </w:t>
      </w:r>
      <w:r w:rsidRPr="00531B12">
        <w:rPr>
          <w:rFonts w:ascii="Abadi" w:hAnsi="Abadi"/>
          <w:b/>
          <w:bCs/>
          <w:i/>
          <w:iCs/>
          <w:sz w:val="20"/>
          <w:szCs w:val="20"/>
        </w:rPr>
        <w:t>DE</w:t>
      </w:r>
      <w:r w:rsidRPr="00531B12">
        <w:rPr>
          <w:rFonts w:ascii="Abadi" w:hAnsi="Abadi"/>
          <w:b/>
          <w:bCs/>
          <w:i/>
          <w:iCs/>
          <w:spacing w:val="6"/>
          <w:sz w:val="20"/>
          <w:szCs w:val="20"/>
        </w:rPr>
        <w:t xml:space="preserve"> </w:t>
      </w:r>
      <w:r w:rsidRPr="00531B12">
        <w:rPr>
          <w:rFonts w:ascii="Abadi" w:hAnsi="Abadi"/>
          <w:b/>
          <w:bCs/>
          <w:i/>
          <w:iCs/>
          <w:sz w:val="20"/>
          <w:szCs w:val="20"/>
        </w:rPr>
        <w:t>NIÑAS,</w:t>
      </w:r>
      <w:r w:rsidRPr="00531B12">
        <w:rPr>
          <w:rFonts w:ascii="Abadi" w:hAnsi="Abadi"/>
          <w:b/>
          <w:bCs/>
          <w:i/>
          <w:iCs/>
          <w:spacing w:val="5"/>
          <w:sz w:val="20"/>
          <w:szCs w:val="20"/>
        </w:rPr>
        <w:t xml:space="preserve"> </w:t>
      </w:r>
      <w:r w:rsidRPr="00531B12">
        <w:rPr>
          <w:rFonts w:ascii="Abadi" w:hAnsi="Abadi"/>
          <w:b/>
          <w:bCs/>
          <w:i/>
          <w:iCs/>
          <w:sz w:val="20"/>
          <w:szCs w:val="20"/>
        </w:rPr>
        <w:t>ADOLESCENTES</w:t>
      </w:r>
      <w:r w:rsidRPr="00531B12">
        <w:rPr>
          <w:rFonts w:ascii="Abadi" w:hAnsi="Abadi"/>
          <w:b/>
          <w:bCs/>
          <w:i/>
          <w:iCs/>
          <w:spacing w:val="5"/>
          <w:sz w:val="20"/>
          <w:szCs w:val="20"/>
        </w:rPr>
        <w:t xml:space="preserve"> </w:t>
      </w:r>
      <w:r w:rsidRPr="00531B12">
        <w:rPr>
          <w:rFonts w:ascii="Abadi" w:hAnsi="Abadi"/>
          <w:b/>
          <w:bCs/>
          <w:i/>
          <w:iCs/>
          <w:sz w:val="20"/>
          <w:szCs w:val="20"/>
        </w:rPr>
        <w:t>Y</w:t>
      </w:r>
      <w:r w:rsidRPr="00531B12">
        <w:rPr>
          <w:rFonts w:ascii="Abadi" w:hAnsi="Abadi"/>
          <w:b/>
          <w:bCs/>
          <w:i/>
          <w:iCs/>
          <w:spacing w:val="6"/>
          <w:sz w:val="20"/>
          <w:szCs w:val="20"/>
        </w:rPr>
        <w:t xml:space="preserve"> </w:t>
      </w:r>
      <w:r w:rsidRPr="00531B12">
        <w:rPr>
          <w:rFonts w:ascii="Abadi" w:hAnsi="Abadi"/>
          <w:b/>
          <w:bCs/>
          <w:i/>
          <w:iCs/>
          <w:sz w:val="20"/>
          <w:szCs w:val="20"/>
        </w:rPr>
        <w:t>MUJERES</w:t>
      </w:r>
      <w:r w:rsidRPr="00531B12">
        <w:rPr>
          <w:rFonts w:ascii="Abadi" w:hAnsi="Abadi"/>
          <w:b/>
          <w:bCs/>
          <w:i/>
          <w:iCs/>
          <w:spacing w:val="6"/>
          <w:sz w:val="20"/>
          <w:szCs w:val="20"/>
        </w:rPr>
        <w:t xml:space="preserve"> </w:t>
      </w:r>
      <w:r w:rsidRPr="00531B12">
        <w:rPr>
          <w:rFonts w:ascii="Abadi" w:hAnsi="Abadi"/>
          <w:b/>
          <w:bCs/>
          <w:i/>
          <w:iCs/>
          <w:sz w:val="20"/>
          <w:szCs w:val="20"/>
        </w:rPr>
        <w:t>Y</w:t>
      </w:r>
      <w:r w:rsidRPr="00531B12">
        <w:rPr>
          <w:rFonts w:ascii="Abadi" w:hAnsi="Abadi"/>
          <w:b/>
          <w:bCs/>
          <w:i/>
          <w:iCs/>
          <w:spacing w:val="-2"/>
          <w:sz w:val="20"/>
          <w:szCs w:val="20"/>
        </w:rPr>
        <w:t xml:space="preserve"> </w:t>
      </w:r>
      <w:r w:rsidRPr="00531B12">
        <w:rPr>
          <w:rFonts w:ascii="Abadi" w:hAnsi="Abadi"/>
          <w:b/>
          <w:bCs/>
          <w:i/>
          <w:iCs/>
          <w:sz w:val="20"/>
          <w:szCs w:val="20"/>
        </w:rPr>
        <w:t>Q3128</w:t>
      </w:r>
      <w:r w:rsidRPr="00531B12">
        <w:rPr>
          <w:rFonts w:ascii="Abadi" w:hAnsi="Abadi"/>
          <w:b/>
          <w:bCs/>
          <w:i/>
          <w:iCs/>
          <w:spacing w:val="-1"/>
          <w:sz w:val="20"/>
          <w:szCs w:val="20"/>
        </w:rPr>
        <w:t xml:space="preserve"> </w:t>
      </w:r>
      <w:r w:rsidRPr="00531B12">
        <w:rPr>
          <w:rFonts w:ascii="Abadi" w:hAnsi="Abadi"/>
          <w:b/>
          <w:bCs/>
          <w:i/>
          <w:iCs/>
          <w:sz w:val="20"/>
          <w:szCs w:val="20"/>
        </w:rPr>
        <w:t>REFUGIO</w:t>
      </w:r>
      <w:r w:rsidRPr="00531B12">
        <w:rPr>
          <w:rFonts w:ascii="Abadi" w:hAnsi="Abadi"/>
          <w:b/>
          <w:bCs/>
          <w:i/>
          <w:iCs/>
          <w:spacing w:val="-1"/>
          <w:sz w:val="20"/>
          <w:szCs w:val="20"/>
        </w:rPr>
        <w:t xml:space="preserve"> </w:t>
      </w:r>
      <w:r w:rsidRPr="00531B12">
        <w:rPr>
          <w:rFonts w:ascii="Abadi" w:hAnsi="Abadi"/>
          <w:b/>
          <w:bCs/>
          <w:i/>
          <w:iCs/>
          <w:sz w:val="20"/>
          <w:szCs w:val="20"/>
        </w:rPr>
        <w:t>PARA</w:t>
      </w:r>
      <w:r w:rsidRPr="00531B12">
        <w:rPr>
          <w:rFonts w:ascii="Abadi" w:hAnsi="Abadi"/>
          <w:b/>
          <w:bCs/>
          <w:i/>
          <w:iCs/>
          <w:spacing w:val="-1"/>
          <w:sz w:val="20"/>
          <w:szCs w:val="20"/>
        </w:rPr>
        <w:t xml:space="preserve"> </w:t>
      </w:r>
      <w:r w:rsidRPr="00531B12">
        <w:rPr>
          <w:rFonts w:ascii="Abadi" w:hAnsi="Abadi"/>
          <w:b/>
          <w:bCs/>
          <w:i/>
          <w:iCs/>
          <w:sz w:val="20"/>
          <w:szCs w:val="20"/>
        </w:rPr>
        <w:t>MUJERES,</w:t>
      </w:r>
      <w:r w:rsidRPr="00531B12">
        <w:rPr>
          <w:rFonts w:ascii="Abadi" w:hAnsi="Abadi"/>
          <w:b/>
          <w:bCs/>
          <w:i/>
          <w:iCs/>
          <w:spacing w:val="-1"/>
          <w:sz w:val="20"/>
          <w:szCs w:val="20"/>
        </w:rPr>
        <w:t xml:space="preserve"> </w:t>
      </w:r>
      <w:r w:rsidRPr="00531B12">
        <w:rPr>
          <w:rFonts w:ascii="Abadi" w:hAnsi="Abadi"/>
          <w:b/>
          <w:bCs/>
          <w:i/>
          <w:iCs/>
          <w:sz w:val="20"/>
          <w:szCs w:val="20"/>
        </w:rPr>
        <w:t>SUS</w:t>
      </w:r>
      <w:r w:rsidRPr="00531B12">
        <w:rPr>
          <w:rFonts w:ascii="Abadi" w:hAnsi="Abadi"/>
          <w:b/>
          <w:bCs/>
          <w:i/>
          <w:iCs/>
          <w:spacing w:val="-1"/>
          <w:sz w:val="20"/>
          <w:szCs w:val="20"/>
        </w:rPr>
        <w:t xml:space="preserve"> </w:t>
      </w:r>
      <w:r w:rsidRPr="00531B12">
        <w:rPr>
          <w:rFonts w:ascii="Abadi" w:hAnsi="Abadi"/>
          <w:b/>
          <w:bCs/>
          <w:i/>
          <w:iCs/>
          <w:sz w:val="20"/>
          <w:szCs w:val="20"/>
        </w:rPr>
        <w:t>HIJAS</w:t>
      </w:r>
      <w:r w:rsidRPr="00531B12">
        <w:rPr>
          <w:rFonts w:ascii="Abadi" w:hAnsi="Abadi"/>
          <w:b/>
          <w:bCs/>
          <w:i/>
          <w:iCs/>
          <w:spacing w:val="-1"/>
          <w:sz w:val="20"/>
          <w:szCs w:val="20"/>
        </w:rPr>
        <w:t xml:space="preserve"> </w:t>
      </w:r>
      <w:r w:rsidRPr="00531B12">
        <w:rPr>
          <w:rFonts w:ascii="Abadi" w:hAnsi="Abadi"/>
          <w:b/>
          <w:bCs/>
          <w:i/>
          <w:iCs/>
          <w:sz w:val="20"/>
          <w:szCs w:val="20"/>
        </w:rPr>
        <w:t>E</w:t>
      </w:r>
      <w:r w:rsidRPr="00531B12">
        <w:rPr>
          <w:rFonts w:ascii="Abadi" w:hAnsi="Abadi"/>
          <w:b/>
          <w:bCs/>
          <w:i/>
          <w:iCs/>
          <w:spacing w:val="-1"/>
          <w:sz w:val="20"/>
          <w:szCs w:val="20"/>
        </w:rPr>
        <w:t xml:space="preserve"> </w:t>
      </w:r>
      <w:r w:rsidRPr="00531B12">
        <w:rPr>
          <w:rFonts w:ascii="Abadi" w:hAnsi="Abadi"/>
          <w:b/>
          <w:bCs/>
          <w:i/>
          <w:iCs/>
          <w:sz w:val="20"/>
          <w:szCs w:val="20"/>
        </w:rPr>
        <w:t>HIJOS</w:t>
      </w:r>
      <w:r w:rsidRPr="00531B12">
        <w:rPr>
          <w:rFonts w:ascii="Abadi" w:hAnsi="Abadi"/>
          <w:b/>
          <w:bCs/>
          <w:i/>
          <w:iCs/>
          <w:spacing w:val="-1"/>
          <w:sz w:val="20"/>
          <w:szCs w:val="20"/>
        </w:rPr>
        <w:t xml:space="preserve"> </w:t>
      </w:r>
      <w:r w:rsidRPr="00531B12">
        <w:rPr>
          <w:rFonts w:ascii="Abadi" w:hAnsi="Abadi"/>
          <w:b/>
          <w:bCs/>
          <w:i/>
          <w:iCs/>
          <w:sz w:val="20"/>
          <w:szCs w:val="20"/>
        </w:rPr>
        <w:t>EN</w:t>
      </w:r>
      <w:r w:rsidRPr="00531B12">
        <w:rPr>
          <w:rFonts w:ascii="Abadi" w:hAnsi="Abadi"/>
          <w:b/>
          <w:bCs/>
          <w:i/>
          <w:iCs/>
          <w:spacing w:val="-1"/>
          <w:sz w:val="20"/>
          <w:szCs w:val="20"/>
        </w:rPr>
        <w:t xml:space="preserve"> </w:t>
      </w:r>
      <w:r w:rsidRPr="00531B12">
        <w:rPr>
          <w:rFonts w:ascii="Abadi" w:hAnsi="Abadi"/>
          <w:b/>
          <w:bCs/>
          <w:i/>
          <w:iCs/>
          <w:sz w:val="20"/>
          <w:szCs w:val="20"/>
        </w:rPr>
        <w:t>SITUACIÓN</w:t>
      </w:r>
      <w:r w:rsidRPr="00531B12">
        <w:rPr>
          <w:rFonts w:ascii="Abadi" w:hAnsi="Abadi"/>
          <w:b/>
          <w:bCs/>
          <w:i/>
          <w:iCs/>
          <w:spacing w:val="-1"/>
          <w:sz w:val="20"/>
          <w:szCs w:val="20"/>
        </w:rPr>
        <w:t xml:space="preserve"> </w:t>
      </w:r>
      <w:r w:rsidRPr="00531B12">
        <w:rPr>
          <w:rFonts w:ascii="Abadi" w:hAnsi="Abadi"/>
          <w:b/>
          <w:bCs/>
          <w:i/>
          <w:iCs/>
          <w:sz w:val="20"/>
          <w:szCs w:val="20"/>
        </w:rPr>
        <w:t>DE</w:t>
      </w:r>
      <w:r w:rsidRPr="00531B12">
        <w:rPr>
          <w:rFonts w:ascii="Abadi" w:hAnsi="Abadi"/>
          <w:b/>
          <w:bCs/>
          <w:i/>
          <w:iCs/>
          <w:spacing w:val="-1"/>
          <w:sz w:val="20"/>
          <w:szCs w:val="20"/>
        </w:rPr>
        <w:t xml:space="preserve"> </w:t>
      </w:r>
      <w:r w:rsidRPr="00531B12">
        <w:rPr>
          <w:rFonts w:ascii="Abadi" w:hAnsi="Abadi"/>
          <w:b/>
          <w:bCs/>
          <w:i/>
          <w:iCs/>
          <w:sz w:val="20"/>
          <w:szCs w:val="20"/>
        </w:rPr>
        <w:t>VIOLENCIA</w:t>
      </w:r>
      <w:r w:rsidRPr="00531B12">
        <w:rPr>
          <w:rFonts w:ascii="Abadi" w:hAnsi="Abadi"/>
          <w:b/>
          <w:bCs/>
          <w:sz w:val="20"/>
          <w:szCs w:val="20"/>
        </w:rPr>
        <w:t>.</w:t>
      </w:r>
    </w:p>
    <w:p w14:paraId="229A652E" w14:textId="1887C724" w:rsidR="00BA072D" w:rsidRDefault="00BA072D" w:rsidP="00A04284">
      <w:pPr>
        <w:rPr>
          <w:rFonts w:ascii="Abadi" w:hAnsi="Abadi"/>
          <w:b/>
          <w:bCs/>
          <w:sz w:val="20"/>
          <w:szCs w:val="20"/>
        </w:rPr>
      </w:pPr>
    </w:p>
    <w:p w14:paraId="7E89ACBC" w14:textId="77777777" w:rsidR="00553A82" w:rsidRPr="00553A82" w:rsidRDefault="00553A82" w:rsidP="00553A82">
      <w:pPr>
        <w:rPr>
          <w:rFonts w:ascii="Abadi" w:hAnsi="Abadi" w:cs="Arial"/>
          <w:b/>
          <w:iCs/>
          <w:smallCaps/>
          <w:sz w:val="21"/>
          <w:szCs w:val="21"/>
        </w:rPr>
      </w:pPr>
      <w:r w:rsidRPr="00553A82">
        <w:rPr>
          <w:rFonts w:ascii="Abadi" w:hAnsi="Abadi" w:cs="Arial"/>
          <w:b/>
          <w:iCs/>
          <w:smallCaps/>
          <w:sz w:val="21"/>
          <w:szCs w:val="21"/>
        </w:rPr>
        <w:t>C. Presidenta del Congreso del Estado</w:t>
      </w:r>
    </w:p>
    <w:p w14:paraId="02B4B205" w14:textId="77777777" w:rsidR="00553A82" w:rsidRPr="00553A82" w:rsidRDefault="00553A82" w:rsidP="00553A82">
      <w:pPr>
        <w:jc w:val="both"/>
        <w:rPr>
          <w:rFonts w:ascii="Abadi" w:hAnsi="Abadi" w:cs="Arial"/>
          <w:b/>
          <w:iCs/>
          <w:smallCaps/>
          <w:sz w:val="21"/>
          <w:szCs w:val="21"/>
        </w:rPr>
      </w:pPr>
      <w:r w:rsidRPr="00553A82">
        <w:rPr>
          <w:rFonts w:ascii="Abadi" w:hAnsi="Abadi" w:cs="Arial"/>
          <w:b/>
          <w:iCs/>
          <w:smallCaps/>
          <w:sz w:val="21"/>
          <w:szCs w:val="21"/>
        </w:rPr>
        <w:t>P r e s e n t e.</w:t>
      </w:r>
    </w:p>
    <w:p w14:paraId="691E17E5" w14:textId="77777777" w:rsidR="00553A82" w:rsidRPr="00553A82" w:rsidRDefault="00553A82" w:rsidP="00553A82">
      <w:pPr>
        <w:jc w:val="both"/>
        <w:rPr>
          <w:rFonts w:ascii="Abadi" w:hAnsi="Abadi" w:cs="Arial"/>
          <w:iCs/>
          <w:sz w:val="21"/>
          <w:szCs w:val="21"/>
        </w:rPr>
      </w:pPr>
    </w:p>
    <w:p w14:paraId="4287A13B" w14:textId="77777777" w:rsidR="00553A82" w:rsidRPr="00553A82" w:rsidRDefault="00553A82" w:rsidP="00553A82">
      <w:pPr>
        <w:jc w:val="both"/>
        <w:rPr>
          <w:rFonts w:ascii="Abadi" w:hAnsi="Abadi" w:cs="Arial"/>
          <w:iCs/>
          <w:sz w:val="21"/>
          <w:szCs w:val="21"/>
        </w:rPr>
      </w:pPr>
      <w:r w:rsidRPr="00553A82">
        <w:rPr>
          <w:rFonts w:ascii="Abadi" w:hAnsi="Abadi" w:cs="Arial"/>
          <w:iCs/>
          <w:sz w:val="21"/>
          <w:szCs w:val="21"/>
        </w:rPr>
        <w:tab/>
        <w:t xml:space="preserve">A esta Comisión de Hacienda y Fiscalización le fue turnada para efectos de su estudio y dictamen, la propuesta de punto de acuerdo formulada por la diputada Alma Edwviges Alcaraz Hernández, integrante del Grupo Parlamentario del Partido MORENA a efecto de exhortar al titular de la Auditoría Superior del Estado de Guanajuato para que incorpore al Programa General de Fiscalización 2022 la evaluación a las intervenciones públicas para garantizar los derechos humanos de las mujeres en la cual el sujeto de fiscalización será el Poder Ejecutivo del Estado y la materia los proyectos </w:t>
      </w:r>
      <w:r w:rsidRPr="00553A82">
        <w:rPr>
          <w:rFonts w:ascii="Abadi" w:hAnsi="Abadi" w:cs="Arial"/>
          <w:i/>
          <w:sz w:val="21"/>
          <w:szCs w:val="21"/>
        </w:rPr>
        <w:t xml:space="preserve">Q3189 Acciones para reducir las manifestaciones de violencia en contra de niñas, adolescentes y mujeres </w:t>
      </w:r>
      <w:r w:rsidRPr="00553A82">
        <w:rPr>
          <w:rFonts w:ascii="Abadi" w:hAnsi="Abadi" w:cs="Arial"/>
          <w:iCs/>
          <w:sz w:val="21"/>
          <w:szCs w:val="21"/>
        </w:rPr>
        <w:t xml:space="preserve">y </w:t>
      </w:r>
      <w:r w:rsidRPr="00553A82">
        <w:rPr>
          <w:rFonts w:ascii="Abadi" w:hAnsi="Abadi" w:cs="Arial"/>
          <w:i/>
          <w:sz w:val="21"/>
          <w:szCs w:val="21"/>
        </w:rPr>
        <w:t>Q3128 Refugio para mujeres, sus hijas e hijos en situación de violencia</w:t>
      </w:r>
      <w:r w:rsidRPr="00553A82">
        <w:rPr>
          <w:rFonts w:ascii="Abadi" w:hAnsi="Abadi" w:cs="Arial"/>
          <w:iCs/>
          <w:sz w:val="21"/>
          <w:szCs w:val="21"/>
        </w:rPr>
        <w:t>.</w:t>
      </w:r>
    </w:p>
    <w:p w14:paraId="68413AA2" w14:textId="77777777" w:rsidR="00553A82" w:rsidRPr="00553A82" w:rsidRDefault="00553A82" w:rsidP="00553A82">
      <w:pPr>
        <w:spacing w:line="360" w:lineRule="auto"/>
        <w:jc w:val="both"/>
        <w:rPr>
          <w:rFonts w:ascii="Abadi" w:hAnsi="Abadi" w:cs="Arial"/>
          <w:iCs/>
          <w:sz w:val="21"/>
          <w:szCs w:val="21"/>
        </w:rPr>
      </w:pPr>
    </w:p>
    <w:p w14:paraId="29734FC4" w14:textId="77777777" w:rsidR="00553A82" w:rsidRPr="00553A82" w:rsidRDefault="00553A82" w:rsidP="00553A82">
      <w:pPr>
        <w:jc w:val="both"/>
        <w:rPr>
          <w:rFonts w:ascii="Abadi" w:hAnsi="Abadi" w:cs="Arial"/>
          <w:iCs/>
          <w:sz w:val="21"/>
          <w:szCs w:val="21"/>
        </w:rPr>
      </w:pPr>
      <w:r w:rsidRPr="00553A82">
        <w:rPr>
          <w:rFonts w:ascii="Abadi" w:hAnsi="Abadi" w:cs="Arial"/>
          <w:iCs/>
          <w:sz w:val="21"/>
          <w:szCs w:val="21"/>
        </w:rPr>
        <w:tab/>
        <w:t xml:space="preserve">Analizada la propuesta de referencia, con fundamento en los artículos 75, 89, fracción V, 112, fracción XV y 171 de </w:t>
      </w:r>
      <w:smartTag w:uri="urn:schemas-microsoft-com:office:smarttags" w:element="PersonName">
        <w:smartTagPr>
          <w:attr w:name="ProductID" w:val="la Ley Org￡nica"/>
        </w:smartTagPr>
        <w:r w:rsidRPr="00553A82">
          <w:rPr>
            <w:rFonts w:ascii="Abadi" w:hAnsi="Abadi" w:cs="Arial"/>
            <w:iCs/>
            <w:sz w:val="21"/>
            <w:szCs w:val="21"/>
          </w:rPr>
          <w:t>la Ley Orgánica</w:t>
        </w:r>
      </w:smartTag>
      <w:r w:rsidRPr="00553A82">
        <w:rPr>
          <w:rFonts w:ascii="Abadi" w:hAnsi="Abadi" w:cs="Arial"/>
          <w:iCs/>
          <w:sz w:val="21"/>
          <w:szCs w:val="21"/>
        </w:rPr>
        <w:t xml:space="preserve"> del Poder Legislativo del Estado de Guanajuato nos permitimos rendir el siguiente:</w:t>
      </w:r>
    </w:p>
    <w:p w14:paraId="47C7CFCB" w14:textId="77777777" w:rsidR="00553A82" w:rsidRPr="00553A82" w:rsidRDefault="00553A82" w:rsidP="00553A82">
      <w:pPr>
        <w:spacing w:line="360" w:lineRule="auto"/>
        <w:jc w:val="both"/>
        <w:rPr>
          <w:rFonts w:ascii="Abadi" w:hAnsi="Abadi" w:cs="Arial"/>
          <w:iCs/>
          <w:sz w:val="21"/>
          <w:szCs w:val="21"/>
        </w:rPr>
      </w:pPr>
    </w:p>
    <w:p w14:paraId="577B846C" w14:textId="77777777" w:rsidR="00553A82" w:rsidRPr="00553A82" w:rsidRDefault="00553A82" w:rsidP="00553A82">
      <w:pPr>
        <w:keepNext/>
        <w:spacing w:line="360" w:lineRule="auto"/>
        <w:jc w:val="center"/>
        <w:outlineLvl w:val="0"/>
        <w:rPr>
          <w:rFonts w:ascii="Abadi" w:hAnsi="Abadi" w:cs="Arial"/>
          <w:b/>
          <w:iCs/>
          <w:sz w:val="21"/>
          <w:szCs w:val="21"/>
        </w:rPr>
      </w:pPr>
      <w:r w:rsidRPr="00553A82">
        <w:rPr>
          <w:rFonts w:ascii="Abadi" w:hAnsi="Abadi" w:cs="Arial"/>
          <w:b/>
          <w:iCs/>
          <w:sz w:val="21"/>
          <w:szCs w:val="21"/>
        </w:rPr>
        <w:t xml:space="preserve">D i c t a m e n </w:t>
      </w:r>
    </w:p>
    <w:p w14:paraId="38940FBB" w14:textId="77777777" w:rsidR="00553A82" w:rsidRPr="00553A82" w:rsidRDefault="00553A82" w:rsidP="001A28E5">
      <w:pPr>
        <w:numPr>
          <w:ilvl w:val="0"/>
          <w:numId w:val="61"/>
        </w:numPr>
        <w:jc w:val="both"/>
        <w:rPr>
          <w:rFonts w:ascii="Abadi" w:hAnsi="Abadi" w:cs="Arial"/>
          <w:b/>
          <w:bCs/>
          <w:sz w:val="21"/>
          <w:szCs w:val="21"/>
        </w:rPr>
      </w:pPr>
      <w:r w:rsidRPr="00553A82">
        <w:rPr>
          <w:rFonts w:ascii="Abadi" w:hAnsi="Abadi" w:cs="Arial"/>
          <w:b/>
          <w:bCs/>
          <w:sz w:val="21"/>
          <w:szCs w:val="21"/>
        </w:rPr>
        <w:t>Antecedentes</w:t>
      </w:r>
    </w:p>
    <w:p w14:paraId="232C5360" w14:textId="77777777" w:rsidR="00553A82" w:rsidRPr="00553A82" w:rsidRDefault="00553A82" w:rsidP="00553A82">
      <w:pPr>
        <w:jc w:val="both"/>
        <w:rPr>
          <w:rFonts w:ascii="Abadi" w:hAnsi="Abadi" w:cs="Arial"/>
          <w:iCs/>
          <w:sz w:val="21"/>
          <w:szCs w:val="21"/>
        </w:rPr>
      </w:pPr>
    </w:p>
    <w:p w14:paraId="76874690" w14:textId="77777777" w:rsidR="00553A82" w:rsidRPr="00553A82" w:rsidRDefault="00553A82" w:rsidP="00553A82">
      <w:pPr>
        <w:jc w:val="both"/>
        <w:rPr>
          <w:rFonts w:ascii="Abadi" w:hAnsi="Abadi" w:cs="Arial"/>
          <w:iCs/>
          <w:sz w:val="21"/>
          <w:szCs w:val="21"/>
        </w:rPr>
      </w:pPr>
      <w:r w:rsidRPr="00553A82">
        <w:rPr>
          <w:rFonts w:ascii="Abadi" w:hAnsi="Abadi" w:cs="Arial"/>
          <w:iCs/>
          <w:sz w:val="21"/>
          <w:szCs w:val="21"/>
        </w:rPr>
        <w:tab/>
        <w:t xml:space="preserve">La diputada Alma Edwviges Alcaraz Hernández, integrante del Grupo Parlamentario del Partido MORENA, en sesión ordinaria celebrada el 10 de marzo de 2022 presentó la propuesta de punto de acuerdo a efecto de exhortar al titular de la Auditoría Superior del Estado de Guanajuato para que incorpore al Programa General de Fiscalización 2022 la evaluación a las intervenciones públicas para garantizar los derechos humanos de las mujeres en la cual el sujeto de fiscalización será el Poder Ejecutivo del Estado y la materia los proyectos </w:t>
      </w:r>
      <w:r w:rsidRPr="00553A82">
        <w:rPr>
          <w:rFonts w:ascii="Abadi" w:hAnsi="Abadi" w:cs="Arial"/>
          <w:i/>
          <w:sz w:val="21"/>
          <w:szCs w:val="21"/>
        </w:rPr>
        <w:t xml:space="preserve">Q3189 Acciones para reducir las manifestaciones </w:t>
      </w:r>
      <w:r w:rsidRPr="00553A82">
        <w:rPr>
          <w:rFonts w:ascii="Abadi" w:hAnsi="Abadi" w:cs="Arial"/>
          <w:i/>
          <w:sz w:val="21"/>
          <w:szCs w:val="21"/>
        </w:rPr>
        <w:lastRenderedPageBreak/>
        <w:t xml:space="preserve">de violencia en contra de niñas, adolescentes y mujeres </w:t>
      </w:r>
      <w:r w:rsidRPr="00553A82">
        <w:rPr>
          <w:rFonts w:ascii="Abadi" w:hAnsi="Abadi" w:cs="Arial"/>
          <w:iCs/>
          <w:sz w:val="21"/>
          <w:szCs w:val="21"/>
        </w:rPr>
        <w:t xml:space="preserve">y </w:t>
      </w:r>
      <w:r w:rsidRPr="00553A82">
        <w:rPr>
          <w:rFonts w:ascii="Abadi" w:hAnsi="Abadi" w:cs="Arial"/>
          <w:i/>
          <w:sz w:val="21"/>
          <w:szCs w:val="21"/>
        </w:rPr>
        <w:t>Q3128 Refugio para mujeres, sus hijas e hijos en situación de violencia</w:t>
      </w:r>
      <w:r w:rsidRPr="00553A82">
        <w:rPr>
          <w:rFonts w:ascii="Abadi" w:hAnsi="Abadi" w:cs="Arial"/>
          <w:iCs/>
          <w:sz w:val="21"/>
          <w:szCs w:val="21"/>
        </w:rPr>
        <w:t xml:space="preserve">. </w:t>
      </w:r>
    </w:p>
    <w:p w14:paraId="3EAB0776" w14:textId="77777777" w:rsidR="00553A82" w:rsidRPr="00553A82" w:rsidRDefault="00553A82" w:rsidP="00553A82">
      <w:pPr>
        <w:spacing w:line="360" w:lineRule="auto"/>
        <w:ind w:firstLine="708"/>
        <w:jc w:val="both"/>
        <w:rPr>
          <w:rFonts w:ascii="Abadi" w:hAnsi="Abadi" w:cs="Arial"/>
          <w:iCs/>
          <w:sz w:val="21"/>
          <w:szCs w:val="21"/>
        </w:rPr>
      </w:pPr>
    </w:p>
    <w:p w14:paraId="424A0B2A" w14:textId="77777777" w:rsidR="00553A82" w:rsidRPr="00553A82" w:rsidRDefault="00553A82" w:rsidP="00553A82">
      <w:pPr>
        <w:ind w:firstLine="708"/>
        <w:jc w:val="both"/>
        <w:rPr>
          <w:rFonts w:ascii="Abadi" w:hAnsi="Abadi"/>
          <w:sz w:val="21"/>
          <w:szCs w:val="21"/>
          <w:lang w:val="es-MX"/>
        </w:rPr>
      </w:pPr>
      <w:r w:rsidRPr="00553A82">
        <w:rPr>
          <w:rFonts w:ascii="Abadi" w:hAnsi="Abadi" w:cs="Arial"/>
          <w:iCs/>
          <w:sz w:val="21"/>
          <w:szCs w:val="21"/>
        </w:rPr>
        <w:t>La referida propuesta</w:t>
      </w:r>
      <w:r w:rsidRPr="00553A82">
        <w:rPr>
          <w:rFonts w:ascii="Abadi" w:hAnsi="Abadi"/>
          <w:sz w:val="21"/>
          <w:szCs w:val="21"/>
          <w:lang w:val="es-MX"/>
        </w:rPr>
        <w:t xml:space="preserve"> se turnó por la presidencia a esta Comisión de Hacienda y Fiscalización para su estudio y dictamen con fundamento en la fracción XV del artículo 112 de la Ley Orgánica del Poder Legislativo del Estado de Guanajuato, misma que se radicó el 15 de marzo de 2022. En dicha fecha se requirió al Auditor Superior del Estado, la elaboración de una ficha técnica respecto a dicha propuesta, misma que se expuso a esta Comisión el 14 de junio del año en curso, por dicho funcionario.</w:t>
      </w:r>
    </w:p>
    <w:p w14:paraId="2D9B272C" w14:textId="77777777" w:rsidR="00553A82" w:rsidRPr="00553A82" w:rsidRDefault="00553A82" w:rsidP="00553A82">
      <w:pPr>
        <w:spacing w:line="360" w:lineRule="auto"/>
        <w:ind w:firstLine="708"/>
        <w:jc w:val="both"/>
        <w:rPr>
          <w:rFonts w:ascii="Abadi" w:hAnsi="Abadi"/>
          <w:sz w:val="21"/>
          <w:szCs w:val="21"/>
          <w:lang w:val="es-MX"/>
        </w:rPr>
      </w:pPr>
    </w:p>
    <w:p w14:paraId="343A7F74" w14:textId="77777777" w:rsidR="00553A82" w:rsidRPr="00553A82" w:rsidRDefault="00553A82" w:rsidP="001A28E5">
      <w:pPr>
        <w:numPr>
          <w:ilvl w:val="0"/>
          <w:numId w:val="61"/>
        </w:numPr>
        <w:jc w:val="both"/>
        <w:rPr>
          <w:rFonts w:ascii="Abadi" w:hAnsi="Abadi" w:cs="Arial"/>
          <w:b/>
          <w:bCs/>
          <w:sz w:val="21"/>
          <w:szCs w:val="21"/>
        </w:rPr>
      </w:pPr>
      <w:r w:rsidRPr="00553A82">
        <w:rPr>
          <w:rFonts w:ascii="Abadi" w:hAnsi="Abadi" w:cs="Arial"/>
          <w:b/>
          <w:bCs/>
          <w:sz w:val="21"/>
          <w:szCs w:val="21"/>
        </w:rPr>
        <w:t>Consideraciones de la proponente</w:t>
      </w:r>
    </w:p>
    <w:p w14:paraId="43384F05" w14:textId="77777777" w:rsidR="00553A82" w:rsidRPr="00553A82" w:rsidRDefault="00553A82" w:rsidP="00553A82">
      <w:pPr>
        <w:jc w:val="both"/>
        <w:rPr>
          <w:rFonts w:ascii="Abadi" w:hAnsi="Abadi" w:cs="Arial"/>
          <w:b/>
          <w:bCs/>
          <w:sz w:val="21"/>
          <w:szCs w:val="21"/>
        </w:rPr>
      </w:pPr>
    </w:p>
    <w:p w14:paraId="623C5066" w14:textId="77777777" w:rsidR="00553A82" w:rsidRPr="00553A82" w:rsidRDefault="00553A82" w:rsidP="00553A82">
      <w:pPr>
        <w:ind w:firstLine="708"/>
        <w:jc w:val="both"/>
        <w:rPr>
          <w:rFonts w:ascii="Abadi" w:hAnsi="Abadi"/>
          <w:sz w:val="21"/>
          <w:szCs w:val="21"/>
          <w:lang w:val="es-MX"/>
        </w:rPr>
      </w:pPr>
      <w:r w:rsidRPr="00553A82">
        <w:rPr>
          <w:rFonts w:ascii="Abadi" w:hAnsi="Abadi"/>
          <w:sz w:val="21"/>
          <w:szCs w:val="21"/>
          <w:lang w:val="es-MX"/>
        </w:rPr>
        <w:t>En las consideraciones expuestas en la propuesta de punto de acuerdo materia del presente dictamen se refiere lo siguiente:</w:t>
      </w:r>
    </w:p>
    <w:p w14:paraId="7EDD734F" w14:textId="77777777" w:rsidR="00553A82" w:rsidRPr="00553A82" w:rsidRDefault="00553A82" w:rsidP="00394F0B">
      <w:pPr>
        <w:jc w:val="both"/>
        <w:rPr>
          <w:rFonts w:ascii="Abadi" w:hAnsi="Abadi"/>
          <w:sz w:val="21"/>
          <w:szCs w:val="21"/>
          <w:lang w:val="es-MX"/>
        </w:rPr>
      </w:pPr>
    </w:p>
    <w:p w14:paraId="109DA506" w14:textId="77777777" w:rsidR="00553A82" w:rsidRPr="00553A82" w:rsidRDefault="00553A82" w:rsidP="00553A82">
      <w:pPr>
        <w:spacing w:before="188"/>
        <w:ind w:left="709" w:right="161"/>
        <w:jc w:val="both"/>
        <w:rPr>
          <w:rFonts w:ascii="Abadi" w:hAnsi="Abadi" w:cs="Arial"/>
          <w:i/>
          <w:sz w:val="21"/>
          <w:szCs w:val="21"/>
        </w:rPr>
      </w:pPr>
      <w:r w:rsidRPr="00553A82">
        <w:rPr>
          <w:rFonts w:ascii="Abadi" w:hAnsi="Abadi" w:cs="Arial"/>
          <w:i/>
          <w:sz w:val="21"/>
          <w:szCs w:val="21"/>
        </w:rPr>
        <w:t xml:space="preserve">Los avances en el reconocimiento de los derechos humanos de las mujeres se han dado gracias al impulso del movimiento feminista en todo el mundo, incluyendo a quienes, surgidas de este movimiento, han ocupado cargos estratégicos en las administraciones y en los diferentes espacios del poder público.  </w:t>
      </w:r>
    </w:p>
    <w:p w14:paraId="0AD08C75" w14:textId="77777777" w:rsidR="00553A82" w:rsidRPr="00553A82" w:rsidRDefault="00553A82" w:rsidP="00553A82">
      <w:pPr>
        <w:spacing w:before="188"/>
        <w:ind w:left="709" w:right="161"/>
        <w:jc w:val="both"/>
        <w:rPr>
          <w:rFonts w:ascii="Abadi" w:hAnsi="Abadi" w:cs="Arial"/>
          <w:i/>
          <w:sz w:val="21"/>
          <w:szCs w:val="21"/>
        </w:rPr>
      </w:pPr>
      <w:r w:rsidRPr="00553A82">
        <w:rPr>
          <w:rFonts w:ascii="Abadi" w:hAnsi="Abadi" w:cs="Arial"/>
          <w:i/>
          <w:sz w:val="21"/>
          <w:szCs w:val="21"/>
        </w:rPr>
        <w:t xml:space="preserve">Pese a lo anterior, quienes suscribimos esta propuesta estamos conscientes de que el proceso hacia la garantía y exigibilidad de los derechos humanos de las mujeres sigue siendo un camino que aún estamos transitando, y está lejos de concluir.  </w:t>
      </w:r>
    </w:p>
    <w:p w14:paraId="7DA91D99" w14:textId="77777777" w:rsidR="00553A82" w:rsidRPr="00553A82" w:rsidRDefault="00553A82" w:rsidP="00553A82">
      <w:pPr>
        <w:spacing w:before="188"/>
        <w:ind w:left="709" w:right="161"/>
        <w:jc w:val="both"/>
        <w:rPr>
          <w:rFonts w:ascii="Abadi" w:hAnsi="Abadi" w:cs="Arial"/>
          <w:i/>
          <w:sz w:val="21"/>
          <w:szCs w:val="21"/>
        </w:rPr>
      </w:pPr>
      <w:r w:rsidRPr="00553A82">
        <w:rPr>
          <w:rFonts w:ascii="Abadi" w:hAnsi="Abadi" w:cs="Arial"/>
          <w:i/>
          <w:sz w:val="21"/>
          <w:szCs w:val="21"/>
        </w:rPr>
        <w:t xml:space="preserve">En nuestro país, el reconocimiento de los derechos humanos de las mujeres se ha traducido en una serie de garantías encaminadas a la consecución de la igualdad sustantiva, así como al combate de obstáculos estructurales que impiden el disfrute de las libertades de las mujeres, tales como la violencia de género.  </w:t>
      </w:r>
    </w:p>
    <w:p w14:paraId="5BE16028" w14:textId="77777777" w:rsidR="00553A82" w:rsidRPr="00553A82" w:rsidRDefault="00553A82" w:rsidP="00553A82">
      <w:pPr>
        <w:spacing w:before="188"/>
        <w:ind w:left="709" w:right="161"/>
        <w:jc w:val="both"/>
        <w:rPr>
          <w:rFonts w:ascii="Abadi" w:hAnsi="Abadi" w:cs="Arial"/>
          <w:i/>
          <w:sz w:val="21"/>
          <w:szCs w:val="21"/>
        </w:rPr>
      </w:pPr>
      <w:r w:rsidRPr="00553A82">
        <w:rPr>
          <w:rFonts w:ascii="Abadi" w:hAnsi="Abadi" w:cs="Arial"/>
          <w:i/>
          <w:sz w:val="21"/>
          <w:szCs w:val="21"/>
        </w:rPr>
        <w:t xml:space="preserve">De esta manera, por ejemplo, tenemos un marco jurídico compuesto por instrumentos como la Ley General de Acceso de las Mujeres a Una Vida Libre de Violencia, o la Ley General para la Igualdad entre Mujeres y Hombres, de las cuales se desprenden instrumentos jurídicos en el ámbito local que concretan los mandatos generales en la esfera de competencias de las entidades.  </w:t>
      </w:r>
    </w:p>
    <w:p w14:paraId="7032B5D2" w14:textId="77777777" w:rsidR="00553A82" w:rsidRPr="00553A82" w:rsidRDefault="00553A82" w:rsidP="00553A82">
      <w:pPr>
        <w:spacing w:before="188"/>
        <w:ind w:left="709" w:right="161"/>
        <w:jc w:val="both"/>
        <w:rPr>
          <w:rFonts w:ascii="Abadi" w:hAnsi="Abadi" w:cs="Arial"/>
          <w:i/>
          <w:sz w:val="21"/>
          <w:szCs w:val="21"/>
        </w:rPr>
      </w:pPr>
      <w:r w:rsidRPr="00553A82">
        <w:rPr>
          <w:rFonts w:ascii="Abadi" w:hAnsi="Abadi" w:cs="Arial"/>
          <w:i/>
          <w:sz w:val="21"/>
          <w:szCs w:val="21"/>
        </w:rPr>
        <w:t xml:space="preserve">Evidentemente, la mera existencia de estos ordenamientos no garantiza su efectivo cumplimiento. Para su correcta ejecución, son necesarias políticas públicas eficaces que se traduzcan en intervenciones públicas que, mediante bienes y servicios otorgados por el Estado, atiendan y resuelvan los problemas públicos que se interponen entre las mujeres y la garantía de sus derechos.  </w:t>
      </w:r>
    </w:p>
    <w:p w14:paraId="64762A94" w14:textId="77777777" w:rsidR="00553A82" w:rsidRPr="00553A82" w:rsidRDefault="00553A82" w:rsidP="00553A82">
      <w:pPr>
        <w:spacing w:before="188"/>
        <w:ind w:left="709" w:right="161"/>
        <w:jc w:val="both"/>
        <w:rPr>
          <w:rFonts w:ascii="Abadi" w:hAnsi="Abadi" w:cs="Arial"/>
          <w:i/>
          <w:sz w:val="21"/>
          <w:szCs w:val="21"/>
        </w:rPr>
      </w:pPr>
      <w:r w:rsidRPr="00553A82">
        <w:rPr>
          <w:rFonts w:ascii="Abadi" w:hAnsi="Abadi" w:cs="Arial"/>
          <w:i/>
          <w:sz w:val="21"/>
          <w:szCs w:val="21"/>
        </w:rPr>
        <w:t>En este sentido, en el estado de Guanajuato, desde hace varios años se cuenta con el programa E045 denominado Acceso Equitativo y Oportunidades de Desarrollo para Mujeres y Hombres, a cargo del Instituto para las Mujeres Guanajuatenses (IMUG). El propósito dicho programa, según su propio diseño, es lograr que disminuya la desigualdad, la discriminación y la violencia ejercida hacia las niñas, adolescentes y mujeres en el estado de Guanajuato</w:t>
      </w:r>
      <w:r w:rsidRPr="00553A82">
        <w:rPr>
          <w:rFonts w:ascii="Abadi" w:hAnsi="Abadi" w:cs="Arial"/>
          <w:i/>
          <w:sz w:val="21"/>
          <w:szCs w:val="21"/>
          <w:vertAlign w:val="superscript"/>
        </w:rPr>
        <w:footnoteReference w:id="147"/>
      </w:r>
      <w:r w:rsidRPr="00553A82">
        <w:rPr>
          <w:rFonts w:ascii="Abadi" w:hAnsi="Abadi" w:cs="Arial"/>
          <w:i/>
          <w:sz w:val="21"/>
          <w:szCs w:val="21"/>
        </w:rPr>
        <w:t xml:space="preserve">.  </w:t>
      </w:r>
    </w:p>
    <w:p w14:paraId="244C622F" w14:textId="77777777" w:rsidR="00553A82" w:rsidRPr="00553A82" w:rsidRDefault="00553A82" w:rsidP="00553A82">
      <w:pPr>
        <w:spacing w:before="188"/>
        <w:ind w:left="709" w:right="161"/>
        <w:jc w:val="both"/>
        <w:rPr>
          <w:rFonts w:ascii="Abadi" w:hAnsi="Abadi" w:cs="Arial"/>
          <w:i/>
          <w:sz w:val="21"/>
          <w:szCs w:val="21"/>
        </w:rPr>
      </w:pPr>
      <w:r w:rsidRPr="00553A82">
        <w:rPr>
          <w:rFonts w:ascii="Abadi" w:hAnsi="Abadi" w:cs="Arial"/>
          <w:i/>
          <w:sz w:val="21"/>
          <w:szCs w:val="21"/>
        </w:rPr>
        <w:t xml:space="preserve">Lamentablemente, el propósito del programa parece estar lejos de lograrse cuando recordamos que, del 2017 al 2021 la cifra de denuncias por violencia contra la mujer se disparó, incrementando un 331%. Todo esto, sin que existiera una variación muy baja en la cifra negra, es decir, en los delitos no denunciados, al mantenerse por encima del 92%.  </w:t>
      </w:r>
    </w:p>
    <w:p w14:paraId="215F6690" w14:textId="77777777" w:rsidR="00553A82" w:rsidRPr="00553A82" w:rsidRDefault="00553A82" w:rsidP="00553A82">
      <w:pPr>
        <w:spacing w:before="188"/>
        <w:ind w:left="709" w:right="161"/>
        <w:jc w:val="both"/>
        <w:rPr>
          <w:rFonts w:ascii="Abadi" w:hAnsi="Abadi" w:cs="Arial"/>
          <w:i/>
          <w:sz w:val="21"/>
          <w:szCs w:val="21"/>
        </w:rPr>
      </w:pPr>
      <w:r w:rsidRPr="00553A82">
        <w:rPr>
          <w:rFonts w:ascii="Abadi" w:hAnsi="Abadi" w:cs="Arial"/>
          <w:i/>
          <w:sz w:val="21"/>
          <w:szCs w:val="21"/>
        </w:rPr>
        <w:t xml:space="preserve">Según información de la propia Fiscalía General del Estado de Guanajuato, tan sólo en 2021, 1,484 mujeres </w:t>
      </w:r>
      <w:r w:rsidRPr="00553A82">
        <w:rPr>
          <w:rFonts w:ascii="Abadi" w:hAnsi="Abadi" w:cs="Arial"/>
          <w:i/>
          <w:sz w:val="21"/>
          <w:szCs w:val="21"/>
        </w:rPr>
        <w:lastRenderedPageBreak/>
        <w:t>denunciaron algún tipo de violencia</w:t>
      </w:r>
      <w:r w:rsidRPr="00553A82">
        <w:rPr>
          <w:rFonts w:ascii="Abadi" w:hAnsi="Abadi" w:cs="Arial"/>
          <w:i/>
          <w:sz w:val="21"/>
          <w:szCs w:val="21"/>
          <w:vertAlign w:val="superscript"/>
        </w:rPr>
        <w:footnoteReference w:id="148"/>
      </w:r>
      <w:r w:rsidRPr="00553A82">
        <w:rPr>
          <w:rFonts w:ascii="Abadi" w:hAnsi="Abadi" w:cs="Arial"/>
          <w:i/>
          <w:sz w:val="21"/>
          <w:szCs w:val="21"/>
        </w:rPr>
        <w:t>.</w:t>
      </w:r>
      <w:r w:rsidRPr="00553A82">
        <w:rPr>
          <w:rFonts w:ascii="Abadi" w:hAnsi="Abadi"/>
          <w:sz w:val="21"/>
          <w:szCs w:val="21"/>
        </w:rPr>
        <w:t xml:space="preserve"> </w:t>
      </w:r>
      <w:r w:rsidRPr="00553A82">
        <w:rPr>
          <w:rFonts w:ascii="Abadi" w:hAnsi="Abadi" w:cs="Arial"/>
          <w:i/>
          <w:sz w:val="21"/>
          <w:szCs w:val="21"/>
        </w:rPr>
        <w:t>Tomando en cuenta el nivel de cifra negra de 92%</w:t>
      </w:r>
      <w:r w:rsidRPr="00553A82">
        <w:rPr>
          <w:rFonts w:ascii="Abadi" w:hAnsi="Abadi" w:cs="Arial"/>
          <w:i/>
          <w:sz w:val="21"/>
          <w:szCs w:val="21"/>
          <w:vertAlign w:val="superscript"/>
        </w:rPr>
        <w:footnoteReference w:id="149"/>
      </w:r>
      <w:r w:rsidRPr="00553A82">
        <w:rPr>
          <w:rFonts w:ascii="Abadi" w:hAnsi="Abadi" w:cs="Arial"/>
          <w:i/>
          <w:sz w:val="21"/>
          <w:szCs w:val="21"/>
        </w:rPr>
        <w:t xml:space="preserve"> que prevalece en nuestro estado, es posible estimar que adicionalmente vivieron violencia no denunciada aproximadamente 17,066 mujeres durante 2021, esto es, un estimado total de 18,550 mujeres vivieron algún tipo de violencia en nuestra entidad a lo largo del año.</w:t>
      </w:r>
    </w:p>
    <w:p w14:paraId="63EE72B5" w14:textId="77777777" w:rsidR="00553A82" w:rsidRPr="00553A82" w:rsidRDefault="00553A82" w:rsidP="00553A82">
      <w:pPr>
        <w:spacing w:before="188"/>
        <w:ind w:left="709" w:right="161"/>
        <w:jc w:val="both"/>
        <w:rPr>
          <w:rFonts w:ascii="Abadi" w:hAnsi="Abadi" w:cs="Arial"/>
          <w:i/>
          <w:sz w:val="21"/>
          <w:szCs w:val="21"/>
        </w:rPr>
      </w:pPr>
      <w:r w:rsidRPr="00553A82">
        <w:rPr>
          <w:rFonts w:ascii="Abadi" w:hAnsi="Abadi" w:cs="Arial"/>
          <w:i/>
          <w:sz w:val="21"/>
          <w:szCs w:val="21"/>
        </w:rPr>
        <w:t xml:space="preserve">Esto representa un incremento notable, pues cuando vemos que en 2017 las mujeres que denunciaron algún tipo de violencia fueron apenas 448, con un nivel de cifra negra de 92.4%, podemos observar un estimado de 5,894 mujeres que sufrieron algún tipo de violencia durante 2017. El incremento es claro: en 5 años se pasó de 5,894 a 18,550 mujeres viviendo violencia en Guanajuato, un incremento de 12,656 mujeres víctimas de violencia, 314.7% más mujeres a quienes su derecho a una vida libre de violencia les ha sido negado en el estado de Guanajuato. </w:t>
      </w:r>
    </w:p>
    <w:p w14:paraId="4DB38622" w14:textId="77777777" w:rsidR="00553A82" w:rsidRPr="00553A82" w:rsidRDefault="00553A82" w:rsidP="00553A82">
      <w:pPr>
        <w:spacing w:before="188"/>
        <w:ind w:left="709" w:right="161"/>
        <w:jc w:val="both"/>
        <w:rPr>
          <w:rFonts w:ascii="Abadi" w:hAnsi="Abadi" w:cs="Arial"/>
          <w:i/>
          <w:sz w:val="21"/>
          <w:szCs w:val="21"/>
        </w:rPr>
      </w:pPr>
      <w:r w:rsidRPr="00553A82">
        <w:rPr>
          <w:rFonts w:ascii="Abadi" w:hAnsi="Abadi" w:cs="Arial"/>
          <w:i/>
          <w:sz w:val="21"/>
          <w:szCs w:val="21"/>
        </w:rPr>
        <w:t xml:space="preserve">De este modo, con el convencimiento de que lo que se mide se puede mejorar, las y los iniciantes consideramos pertinente llevar a cabo una evaluación del programa Acceso Equitativo y Oportunidades de Desarrollo para Mujeres y Hombres que se está llevando a cabo en nuestro estado.  </w:t>
      </w:r>
    </w:p>
    <w:p w14:paraId="7B2DB445" w14:textId="77777777" w:rsidR="00553A82" w:rsidRPr="00553A82" w:rsidRDefault="00553A82" w:rsidP="00553A82">
      <w:pPr>
        <w:spacing w:before="188"/>
        <w:ind w:left="709" w:right="161"/>
        <w:jc w:val="both"/>
        <w:rPr>
          <w:rFonts w:ascii="Abadi" w:hAnsi="Abadi" w:cs="Arial"/>
          <w:i/>
          <w:sz w:val="21"/>
          <w:szCs w:val="21"/>
        </w:rPr>
      </w:pPr>
      <w:r w:rsidRPr="00553A82">
        <w:rPr>
          <w:rFonts w:ascii="Abadi" w:hAnsi="Abadi" w:cs="Arial"/>
          <w:i/>
          <w:sz w:val="21"/>
          <w:szCs w:val="21"/>
        </w:rPr>
        <w:t xml:space="preserve">Esta preocupación no es exclusivamente nuestra, pues como puede verificarse en el Programa General de Fiscalización 2022, la Auditoría Superior del Estado de Guanajuato, orientada por la sociedad civil, tiene contemplado evaluar el proyecto Q3195 denominado Acceso de las mujeres a oportunidades de desarrollo en condiciones de igualdad, mismo que forma parte del programa presupuestario E045 en mención.  </w:t>
      </w:r>
    </w:p>
    <w:p w14:paraId="2369A6D1" w14:textId="77777777" w:rsidR="00553A82" w:rsidRPr="00553A82" w:rsidRDefault="00553A82" w:rsidP="00553A82">
      <w:pPr>
        <w:spacing w:before="188"/>
        <w:ind w:left="709" w:right="161"/>
        <w:jc w:val="both"/>
        <w:rPr>
          <w:rFonts w:ascii="Abadi" w:hAnsi="Abadi" w:cs="Arial"/>
          <w:i/>
          <w:sz w:val="21"/>
          <w:szCs w:val="21"/>
        </w:rPr>
      </w:pPr>
      <w:r w:rsidRPr="00553A82">
        <w:rPr>
          <w:rFonts w:ascii="Abadi" w:hAnsi="Abadi" w:cs="Arial"/>
          <w:i/>
          <w:sz w:val="21"/>
          <w:szCs w:val="21"/>
        </w:rPr>
        <w:t xml:space="preserve">Sin embargo, existen otros proyectos dentro del mismo programa presupuestario que, si desde este Congreso no incorporamos, quedarán fuera del alcance de la evaluación que ya se plantea realizar la ASEG. En este sentido, dentro del propio E045 se encuentran el proyecto Acciones para reducir las manifestaciones de violencia en contra de niñas, adolescentes y mujeres, con clave Q3189, así como el proyecto Refugio para mujeres, sus hijas e hijos en situación de violencia, con clave Q3128. </w:t>
      </w:r>
    </w:p>
    <w:p w14:paraId="27315B32" w14:textId="77777777" w:rsidR="00553A82" w:rsidRPr="00553A82" w:rsidRDefault="00553A82" w:rsidP="00553A82">
      <w:pPr>
        <w:spacing w:before="188"/>
        <w:ind w:left="709" w:right="161"/>
        <w:jc w:val="both"/>
        <w:rPr>
          <w:rFonts w:ascii="Abadi" w:hAnsi="Abadi" w:cs="Arial"/>
          <w:i/>
          <w:sz w:val="21"/>
          <w:szCs w:val="21"/>
        </w:rPr>
      </w:pPr>
      <w:r w:rsidRPr="00553A82">
        <w:rPr>
          <w:rFonts w:ascii="Abadi" w:hAnsi="Abadi" w:cs="Arial"/>
          <w:i/>
          <w:sz w:val="21"/>
          <w:szCs w:val="21"/>
        </w:rPr>
        <w:t xml:space="preserve">Evidentemente, los proyectos mencionados son imprescindibles para atender el grave problema de violencia que viven las mujeres en nuestra entidad, por lo cual todas y todos quienes nos preocupamos por un mundo más igualitario debemos reconocer el interés público intrínseco a evaluar el funcionamiento de dichos proyectos.  </w:t>
      </w:r>
    </w:p>
    <w:p w14:paraId="2B845AA4" w14:textId="77777777" w:rsidR="00553A82" w:rsidRPr="00553A82" w:rsidRDefault="00553A82" w:rsidP="00553A82">
      <w:pPr>
        <w:spacing w:before="188"/>
        <w:ind w:left="709" w:right="161"/>
        <w:jc w:val="both"/>
        <w:rPr>
          <w:rFonts w:ascii="Abadi" w:hAnsi="Abadi" w:cs="Arial"/>
          <w:i/>
          <w:sz w:val="21"/>
          <w:szCs w:val="21"/>
        </w:rPr>
      </w:pPr>
    </w:p>
    <w:p w14:paraId="0F961861" w14:textId="77777777" w:rsidR="00553A82" w:rsidRPr="00553A82" w:rsidRDefault="00553A82" w:rsidP="001A28E5">
      <w:pPr>
        <w:numPr>
          <w:ilvl w:val="0"/>
          <w:numId w:val="61"/>
        </w:numPr>
        <w:jc w:val="both"/>
        <w:rPr>
          <w:rFonts w:ascii="Abadi" w:hAnsi="Abadi" w:cs="Arial"/>
          <w:b/>
          <w:bCs/>
          <w:sz w:val="21"/>
          <w:szCs w:val="21"/>
        </w:rPr>
      </w:pPr>
      <w:r w:rsidRPr="00553A82">
        <w:rPr>
          <w:rFonts w:ascii="Abadi" w:hAnsi="Abadi" w:cs="Arial"/>
          <w:b/>
          <w:bCs/>
          <w:sz w:val="21"/>
          <w:szCs w:val="21"/>
        </w:rPr>
        <w:t>Consideraciones de la Comisión</w:t>
      </w:r>
    </w:p>
    <w:p w14:paraId="0C31E9B4" w14:textId="77777777" w:rsidR="00553A82" w:rsidRPr="00553A82" w:rsidRDefault="00553A82" w:rsidP="00553A82">
      <w:pPr>
        <w:spacing w:line="360" w:lineRule="auto"/>
        <w:ind w:firstLine="708"/>
        <w:jc w:val="both"/>
        <w:rPr>
          <w:rFonts w:ascii="Abadi" w:hAnsi="Abadi" w:cs="Tahoma"/>
          <w:sz w:val="21"/>
          <w:szCs w:val="21"/>
        </w:rPr>
      </w:pPr>
    </w:p>
    <w:p w14:paraId="7A9CCD99" w14:textId="5D849170" w:rsidR="00553A82" w:rsidRPr="00553A82" w:rsidRDefault="00553A82" w:rsidP="00394F0B">
      <w:pPr>
        <w:ind w:firstLine="708"/>
        <w:jc w:val="both"/>
        <w:rPr>
          <w:rFonts w:ascii="Abadi" w:hAnsi="Abadi" w:cs="Arial"/>
          <w:iCs/>
          <w:sz w:val="21"/>
          <w:szCs w:val="21"/>
        </w:rPr>
      </w:pPr>
      <w:r w:rsidRPr="00553A82">
        <w:rPr>
          <w:rFonts w:ascii="Abadi" w:hAnsi="Abadi"/>
          <w:sz w:val="21"/>
          <w:szCs w:val="21"/>
          <w:lang w:val="es-MX"/>
        </w:rPr>
        <w:t xml:space="preserve">En las consideraciones expuestas en la propuesta que se dictamina se señala la necesidad de evaluar otros proyectos del programa E045, </w:t>
      </w:r>
      <w:r w:rsidRPr="00553A82">
        <w:rPr>
          <w:rFonts w:ascii="Abadi" w:hAnsi="Abadi"/>
          <w:i/>
          <w:iCs/>
          <w:sz w:val="21"/>
          <w:szCs w:val="21"/>
          <w:lang w:val="es-MX"/>
        </w:rPr>
        <w:t>Acceso Equitativo y Oportunidades de Desarrollo para Mujeres y Hombres</w:t>
      </w:r>
      <w:r w:rsidRPr="00553A82">
        <w:rPr>
          <w:rFonts w:ascii="Abadi" w:hAnsi="Abadi"/>
          <w:sz w:val="21"/>
          <w:szCs w:val="21"/>
          <w:lang w:val="es-MX"/>
        </w:rPr>
        <w:t>, como lo son</w:t>
      </w:r>
      <w:r w:rsidRPr="00553A82">
        <w:rPr>
          <w:rFonts w:ascii="Abadi" w:hAnsi="Abadi" w:cs="Arial"/>
          <w:iCs/>
          <w:sz w:val="21"/>
          <w:szCs w:val="21"/>
        </w:rPr>
        <w:t xml:space="preserve"> los proyectos </w:t>
      </w:r>
      <w:r w:rsidRPr="00553A82">
        <w:rPr>
          <w:rFonts w:ascii="Abadi" w:hAnsi="Abadi" w:cs="Arial"/>
          <w:i/>
          <w:sz w:val="21"/>
          <w:szCs w:val="21"/>
        </w:rPr>
        <w:t xml:space="preserve">Q3189 Acciones para reducir las manifestaciones de violencia en contra de niñas, adolescentes y mujeres </w:t>
      </w:r>
      <w:r w:rsidRPr="00553A82">
        <w:rPr>
          <w:rFonts w:ascii="Abadi" w:hAnsi="Abadi" w:cs="Arial"/>
          <w:iCs/>
          <w:sz w:val="21"/>
          <w:szCs w:val="21"/>
        </w:rPr>
        <w:t xml:space="preserve">y </w:t>
      </w:r>
      <w:r w:rsidRPr="00553A82">
        <w:rPr>
          <w:rFonts w:ascii="Abadi" w:hAnsi="Abadi" w:cs="Arial"/>
          <w:i/>
          <w:sz w:val="21"/>
          <w:szCs w:val="21"/>
        </w:rPr>
        <w:t xml:space="preserve">Q3128 Refugio para mujeres, sus hijas e hijos en situación de violencia, </w:t>
      </w:r>
      <w:r w:rsidRPr="00553A82">
        <w:rPr>
          <w:rFonts w:ascii="Abadi" w:hAnsi="Abadi" w:cs="Arial"/>
          <w:iCs/>
          <w:sz w:val="21"/>
          <w:szCs w:val="21"/>
        </w:rPr>
        <w:t xml:space="preserve">a fin de evaluar las políticas públicas enfocadas a garantizar los derechos de las mujeres. </w:t>
      </w:r>
    </w:p>
    <w:p w14:paraId="6C884F1B" w14:textId="77777777" w:rsidR="00553A82" w:rsidRPr="00553A82" w:rsidRDefault="00553A82" w:rsidP="00553A82">
      <w:pPr>
        <w:ind w:firstLine="708"/>
        <w:jc w:val="both"/>
        <w:rPr>
          <w:rFonts w:ascii="Abadi" w:hAnsi="Abadi" w:cs="Tahoma"/>
          <w:sz w:val="21"/>
          <w:szCs w:val="21"/>
        </w:rPr>
      </w:pPr>
    </w:p>
    <w:p w14:paraId="444FA7A2" w14:textId="77777777" w:rsidR="00553A82" w:rsidRPr="00553A82" w:rsidRDefault="00553A82" w:rsidP="00553A82">
      <w:pPr>
        <w:ind w:firstLine="708"/>
        <w:jc w:val="both"/>
        <w:rPr>
          <w:rFonts w:ascii="Abadi" w:hAnsi="Abadi" w:cs="Tahoma"/>
          <w:sz w:val="21"/>
          <w:szCs w:val="21"/>
        </w:rPr>
      </w:pPr>
      <w:r w:rsidRPr="00553A82">
        <w:rPr>
          <w:rFonts w:ascii="Abadi" w:hAnsi="Abadi" w:cs="Tahoma"/>
          <w:sz w:val="21"/>
          <w:szCs w:val="21"/>
        </w:rPr>
        <w:t xml:space="preserve">En tal sentido, quienes integramos esta Comisión consideramos que la vigilancia y el control del ejercicio de los recursos públicos encomendados a los sujetos de fiscalización es una de las funciones primordiales que tiene el Poder Legislativo como responsable originario de esa función de control. </w:t>
      </w:r>
    </w:p>
    <w:p w14:paraId="3EDED030" w14:textId="77777777" w:rsidR="00553A82" w:rsidRPr="00553A82" w:rsidRDefault="00553A82" w:rsidP="00553A82">
      <w:pPr>
        <w:ind w:firstLine="720"/>
        <w:jc w:val="both"/>
        <w:rPr>
          <w:rFonts w:ascii="Abadi" w:hAnsi="Abadi" w:cs="Tahoma"/>
          <w:sz w:val="21"/>
          <w:szCs w:val="21"/>
        </w:rPr>
      </w:pPr>
    </w:p>
    <w:p w14:paraId="04E58F38" w14:textId="77777777" w:rsidR="00553A82" w:rsidRPr="00553A82" w:rsidRDefault="00553A82" w:rsidP="00553A82">
      <w:pPr>
        <w:ind w:firstLine="720"/>
        <w:jc w:val="both"/>
        <w:rPr>
          <w:rFonts w:ascii="Abadi" w:hAnsi="Abadi" w:cs="Tahoma"/>
          <w:sz w:val="21"/>
          <w:szCs w:val="21"/>
        </w:rPr>
      </w:pPr>
      <w:r w:rsidRPr="00553A82">
        <w:rPr>
          <w:rFonts w:ascii="Abadi" w:hAnsi="Abadi" w:cs="Tahoma"/>
          <w:sz w:val="21"/>
          <w:szCs w:val="21"/>
        </w:rPr>
        <w:t>La administración, ejercicio, aplicación y control de los recursos públicos deben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w:t>
      </w:r>
    </w:p>
    <w:p w14:paraId="75B3F949" w14:textId="77777777" w:rsidR="00553A82" w:rsidRPr="00553A82" w:rsidRDefault="00553A82" w:rsidP="00553A82">
      <w:pPr>
        <w:ind w:firstLine="720"/>
        <w:jc w:val="both"/>
        <w:rPr>
          <w:rFonts w:ascii="Abadi" w:hAnsi="Abadi" w:cs="Tahoma"/>
          <w:sz w:val="21"/>
          <w:szCs w:val="21"/>
        </w:rPr>
      </w:pPr>
    </w:p>
    <w:p w14:paraId="146F4A3A" w14:textId="77777777" w:rsidR="00553A82" w:rsidRPr="00553A82" w:rsidRDefault="00553A82" w:rsidP="00553A82">
      <w:pPr>
        <w:ind w:firstLine="720"/>
        <w:jc w:val="both"/>
        <w:rPr>
          <w:rFonts w:ascii="Abadi" w:hAnsi="Abadi" w:cs="Tahoma"/>
          <w:sz w:val="21"/>
          <w:szCs w:val="21"/>
        </w:rPr>
      </w:pPr>
      <w:r w:rsidRPr="00553A82">
        <w:rPr>
          <w:rFonts w:ascii="Abadi" w:hAnsi="Abadi" w:cs="Tahoma"/>
          <w:sz w:val="21"/>
          <w:szCs w:val="21"/>
        </w:rPr>
        <w:t>También debemos destacar dentro del tema de fiscalización la revisión del cumplimiento de las metas y objetivos de los planes y programas, conforme a los principios de eficiencia, eficacia y economía; así como la evaluación de las políticas públicas.</w:t>
      </w:r>
    </w:p>
    <w:p w14:paraId="0C7F4B58" w14:textId="77777777" w:rsidR="00553A82" w:rsidRPr="00553A82" w:rsidRDefault="00553A82" w:rsidP="00553A82">
      <w:pPr>
        <w:ind w:firstLine="720"/>
        <w:jc w:val="both"/>
        <w:rPr>
          <w:rFonts w:ascii="Abadi" w:hAnsi="Abadi" w:cs="Tahoma"/>
          <w:sz w:val="21"/>
          <w:szCs w:val="21"/>
        </w:rPr>
      </w:pPr>
    </w:p>
    <w:p w14:paraId="0A7A3242" w14:textId="77777777" w:rsidR="00553A82" w:rsidRPr="00553A82" w:rsidRDefault="00553A82" w:rsidP="00553A82">
      <w:pPr>
        <w:jc w:val="both"/>
        <w:rPr>
          <w:rFonts w:ascii="Abadi" w:hAnsi="Abadi" w:cs="Tahoma"/>
          <w:sz w:val="21"/>
          <w:szCs w:val="21"/>
        </w:rPr>
      </w:pPr>
      <w:r w:rsidRPr="00553A82">
        <w:rPr>
          <w:rFonts w:ascii="Abadi" w:hAnsi="Abadi" w:cs="Tahoma"/>
          <w:sz w:val="21"/>
          <w:szCs w:val="21"/>
        </w:rPr>
        <w:tab/>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0CE6C5CD" w14:textId="77777777" w:rsidR="00553A82" w:rsidRPr="00553A82" w:rsidRDefault="00553A82" w:rsidP="00553A82">
      <w:pPr>
        <w:spacing w:line="360" w:lineRule="auto"/>
        <w:jc w:val="both"/>
        <w:rPr>
          <w:rFonts w:ascii="Abadi" w:hAnsi="Abadi" w:cs="Tahoma"/>
          <w:sz w:val="21"/>
          <w:szCs w:val="21"/>
        </w:rPr>
      </w:pPr>
    </w:p>
    <w:p w14:paraId="0C3F0951" w14:textId="77777777" w:rsidR="00553A82" w:rsidRPr="00553A82" w:rsidRDefault="00553A82" w:rsidP="00553A82">
      <w:pPr>
        <w:jc w:val="both"/>
        <w:rPr>
          <w:rFonts w:ascii="Abadi" w:hAnsi="Abadi" w:cs="Tahoma"/>
          <w:sz w:val="21"/>
          <w:szCs w:val="21"/>
        </w:rPr>
      </w:pPr>
      <w:r w:rsidRPr="00553A82">
        <w:rPr>
          <w:rFonts w:ascii="Abadi" w:hAnsi="Abadi" w:cs="Tahoma"/>
          <w:sz w:val="21"/>
          <w:szCs w:val="21"/>
        </w:rPr>
        <w:tab/>
        <w:t xml:space="preserve">El artículo 116, fracción II, sexto párrafo de la Constitución Política de los Estados Unidos Mexicanos señala que: </w:t>
      </w:r>
      <w:r w:rsidRPr="00553A82">
        <w:rPr>
          <w:rFonts w:ascii="Abadi" w:hAnsi="Abadi" w:cs="Tahoma"/>
          <w:i/>
          <w:sz w:val="21"/>
          <w:szCs w:val="21"/>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553A82">
        <w:rPr>
          <w:rFonts w:ascii="Abadi" w:hAnsi="Abadi" w:cs="Tahoma"/>
          <w:sz w:val="21"/>
          <w:szCs w:val="21"/>
        </w:rPr>
        <w:t xml:space="preserve"> </w:t>
      </w:r>
    </w:p>
    <w:p w14:paraId="6955129C" w14:textId="77777777" w:rsidR="00553A82" w:rsidRPr="00553A82" w:rsidRDefault="00553A82" w:rsidP="00553A82">
      <w:pPr>
        <w:jc w:val="both"/>
        <w:rPr>
          <w:rFonts w:ascii="Abadi" w:hAnsi="Abadi" w:cs="Tahoma"/>
          <w:sz w:val="21"/>
          <w:szCs w:val="21"/>
        </w:rPr>
      </w:pPr>
    </w:p>
    <w:p w14:paraId="7FB7CE9F" w14:textId="77777777" w:rsidR="00553A82" w:rsidRPr="00553A82" w:rsidRDefault="00553A82" w:rsidP="00553A82">
      <w:pPr>
        <w:ind w:firstLine="708"/>
        <w:jc w:val="both"/>
        <w:rPr>
          <w:rFonts w:ascii="Abadi" w:hAnsi="Abadi" w:cs="Tahoma"/>
          <w:sz w:val="21"/>
          <w:szCs w:val="21"/>
        </w:rPr>
      </w:pPr>
      <w:r w:rsidRPr="00553A82">
        <w:rPr>
          <w:rFonts w:ascii="Abadi" w:hAnsi="Abadi" w:cs="Tahoma"/>
          <w:sz w:val="21"/>
          <w:szCs w:val="21"/>
        </w:rPr>
        <w:t xml:space="preserve">La Auditoría Superior del Estado, de conformidad con el artículo 66 de la Constitución Política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w:t>
      </w:r>
    </w:p>
    <w:p w14:paraId="3F849567" w14:textId="77777777" w:rsidR="00553A82" w:rsidRPr="00553A82" w:rsidRDefault="00553A82" w:rsidP="00394F0B">
      <w:pPr>
        <w:spacing w:line="360" w:lineRule="auto"/>
        <w:jc w:val="both"/>
        <w:rPr>
          <w:rFonts w:ascii="Abadi" w:hAnsi="Abadi" w:cs="Tahoma"/>
          <w:sz w:val="21"/>
          <w:szCs w:val="21"/>
        </w:rPr>
      </w:pPr>
    </w:p>
    <w:p w14:paraId="5C646F5A" w14:textId="77777777" w:rsidR="00553A82" w:rsidRPr="00553A82" w:rsidRDefault="00553A82" w:rsidP="00553A82">
      <w:pPr>
        <w:ind w:firstLine="720"/>
        <w:jc w:val="both"/>
        <w:rPr>
          <w:rFonts w:ascii="Abadi" w:hAnsi="Abadi" w:cs="Tahoma"/>
          <w:sz w:val="21"/>
          <w:szCs w:val="21"/>
        </w:rPr>
      </w:pPr>
      <w:r w:rsidRPr="00553A82">
        <w:rPr>
          <w:rFonts w:ascii="Abadi" w:hAnsi="Abadi" w:cs="Tahoma"/>
          <w:sz w:val="21"/>
          <w:szCs w:val="21"/>
        </w:rPr>
        <w:t>El Poder Ejecutivo del Estado, así como las dependencias y entidades de la administración pública estatal son sujetos de la función de fiscalización del Congreso del Estado, según se desprende de los artículos 63 fracciones XVIII y XXVIII; y 66 de la Constitución Política local y 2, fracciones I y III de la Ley de Fiscalización Superior del Estado de Guanajuato.</w:t>
      </w:r>
    </w:p>
    <w:p w14:paraId="1410AEDB" w14:textId="77777777" w:rsidR="00553A82" w:rsidRPr="00553A82" w:rsidRDefault="00553A82" w:rsidP="00553A82">
      <w:pPr>
        <w:spacing w:line="360" w:lineRule="auto"/>
        <w:ind w:firstLine="720"/>
        <w:jc w:val="both"/>
        <w:rPr>
          <w:rFonts w:ascii="Abadi" w:hAnsi="Abadi" w:cs="Tahoma"/>
          <w:sz w:val="21"/>
          <w:szCs w:val="21"/>
        </w:rPr>
      </w:pPr>
    </w:p>
    <w:p w14:paraId="5F10D542" w14:textId="77777777" w:rsidR="00553A82" w:rsidRPr="00553A82" w:rsidRDefault="00553A82" w:rsidP="00553A82">
      <w:pPr>
        <w:ind w:firstLine="720"/>
        <w:jc w:val="both"/>
        <w:rPr>
          <w:rFonts w:ascii="Abadi" w:hAnsi="Abadi" w:cs="Arial"/>
          <w:iCs/>
          <w:sz w:val="21"/>
          <w:szCs w:val="21"/>
        </w:rPr>
      </w:pPr>
      <w:r w:rsidRPr="00553A82">
        <w:rPr>
          <w:rFonts w:ascii="Abadi" w:hAnsi="Abadi" w:cs="Tahoma"/>
          <w:sz w:val="21"/>
          <w:szCs w:val="21"/>
        </w:rPr>
        <w:t>De acuerdo a lo antes señalado, coincidimos con la proponente en evaluar la eficacia de las políticas públicas enfocadas a garantizar los derechos de las mujeres</w:t>
      </w:r>
      <w:r w:rsidRPr="00553A82">
        <w:rPr>
          <w:rFonts w:ascii="Abadi" w:hAnsi="Abadi" w:cs="Arial"/>
          <w:iCs/>
          <w:sz w:val="21"/>
          <w:szCs w:val="21"/>
        </w:rPr>
        <w:t>.</w:t>
      </w:r>
    </w:p>
    <w:p w14:paraId="23D22CAE" w14:textId="77777777" w:rsidR="00553A82" w:rsidRPr="00553A82" w:rsidRDefault="00553A82" w:rsidP="00553A82">
      <w:pPr>
        <w:jc w:val="both"/>
        <w:rPr>
          <w:rFonts w:ascii="Abadi" w:hAnsi="Abadi" w:cs="Tahoma"/>
          <w:sz w:val="21"/>
          <w:szCs w:val="21"/>
        </w:rPr>
      </w:pPr>
    </w:p>
    <w:p w14:paraId="5108D1AC" w14:textId="77777777" w:rsidR="00553A82" w:rsidRPr="00553A82" w:rsidRDefault="00553A82" w:rsidP="00553A82">
      <w:pPr>
        <w:ind w:firstLine="708"/>
        <w:jc w:val="both"/>
        <w:rPr>
          <w:rFonts w:ascii="Abadi" w:hAnsi="Abadi"/>
          <w:spacing w:val="-5"/>
          <w:sz w:val="21"/>
          <w:szCs w:val="21"/>
        </w:rPr>
      </w:pPr>
      <w:r w:rsidRPr="00553A82">
        <w:rPr>
          <w:rFonts w:ascii="Abadi" w:hAnsi="Abadi" w:cs="Tahoma"/>
          <w:sz w:val="21"/>
          <w:szCs w:val="21"/>
        </w:rPr>
        <w:t>De la propuesta podemos desprender la pretensión de la realización de auditorías al desempeño</w:t>
      </w:r>
      <w:r w:rsidRPr="00553A82">
        <w:rPr>
          <w:rFonts w:ascii="Abadi" w:hAnsi="Abadi" w:cs="Arial"/>
          <w:iCs/>
          <w:sz w:val="21"/>
          <w:szCs w:val="21"/>
        </w:rPr>
        <w:t xml:space="preserve"> a los proyectos </w:t>
      </w:r>
      <w:r w:rsidRPr="00553A82">
        <w:rPr>
          <w:rFonts w:ascii="Abadi" w:hAnsi="Abadi" w:cs="Arial"/>
          <w:i/>
          <w:sz w:val="21"/>
          <w:szCs w:val="21"/>
        </w:rPr>
        <w:t xml:space="preserve">Q3189 Acciones para reducir las manifestaciones de violencia en contra de niñas, adolescentes y mujeres </w:t>
      </w:r>
      <w:r w:rsidRPr="00553A82">
        <w:rPr>
          <w:rFonts w:ascii="Abadi" w:hAnsi="Abadi" w:cs="Arial"/>
          <w:iCs/>
          <w:sz w:val="21"/>
          <w:szCs w:val="21"/>
        </w:rPr>
        <w:t xml:space="preserve">y </w:t>
      </w:r>
      <w:r w:rsidRPr="00553A82">
        <w:rPr>
          <w:rFonts w:ascii="Abadi" w:hAnsi="Abadi" w:cs="Arial"/>
          <w:i/>
          <w:sz w:val="21"/>
          <w:szCs w:val="21"/>
        </w:rPr>
        <w:t xml:space="preserve">Q3128 Refugio para mujeres, sus hijas e hijos en situación de violencia, que forman parte del Programa </w:t>
      </w:r>
      <w:r w:rsidRPr="00553A82">
        <w:rPr>
          <w:rFonts w:ascii="Abadi" w:hAnsi="Abadi"/>
          <w:sz w:val="21"/>
          <w:szCs w:val="21"/>
          <w:lang w:val="es-MX"/>
        </w:rPr>
        <w:t xml:space="preserve">E045, </w:t>
      </w:r>
      <w:r w:rsidRPr="00553A82">
        <w:rPr>
          <w:rFonts w:ascii="Abadi" w:hAnsi="Abadi"/>
          <w:i/>
          <w:iCs/>
          <w:sz w:val="21"/>
          <w:szCs w:val="21"/>
          <w:lang w:val="es-MX"/>
        </w:rPr>
        <w:t xml:space="preserve">Acceso Equitativo y Oportunidades de Desarrollo para Mujeres y Hombres </w:t>
      </w:r>
      <w:r w:rsidRPr="00553A82">
        <w:rPr>
          <w:rFonts w:ascii="Abadi" w:hAnsi="Abadi"/>
          <w:spacing w:val="-5"/>
          <w:sz w:val="21"/>
          <w:szCs w:val="21"/>
        </w:rPr>
        <w:t>a cargo del Instituto para las Mujeres Guanajuatenses</w:t>
      </w:r>
    </w:p>
    <w:p w14:paraId="5A6091BE" w14:textId="77777777" w:rsidR="00553A82" w:rsidRPr="00553A82" w:rsidRDefault="00553A82" w:rsidP="00553A82">
      <w:pPr>
        <w:ind w:firstLine="708"/>
        <w:jc w:val="both"/>
        <w:rPr>
          <w:rFonts w:ascii="Abadi" w:eastAsia="Arial" w:hAnsi="Abadi" w:cs="Arial"/>
          <w:color w:val="4A4843"/>
          <w:sz w:val="21"/>
          <w:szCs w:val="21"/>
        </w:rPr>
      </w:pPr>
    </w:p>
    <w:p w14:paraId="45C41332" w14:textId="77777777" w:rsidR="00553A82" w:rsidRPr="00553A82" w:rsidRDefault="00553A82" w:rsidP="00553A82">
      <w:pPr>
        <w:ind w:firstLine="720"/>
        <w:jc w:val="both"/>
        <w:rPr>
          <w:rFonts w:ascii="Abadi" w:hAnsi="Abadi" w:cs="Tahoma"/>
          <w:sz w:val="21"/>
          <w:szCs w:val="21"/>
        </w:rPr>
      </w:pPr>
      <w:r w:rsidRPr="00553A82">
        <w:rPr>
          <w:rFonts w:ascii="Abadi" w:hAnsi="Abadi" w:cs="Tahoma"/>
          <w:sz w:val="21"/>
          <w:szCs w:val="21"/>
        </w:rPr>
        <w:t>En la información proporcionada por la Auditoría Superior del Estado, se señala que se han realizado las siguientes auditorías que es encuentran relacionadas con la materia propuesta, de conformidad con la siguiente tabla:</w:t>
      </w:r>
    </w:p>
    <w:p w14:paraId="0E213198" w14:textId="77777777" w:rsidR="00553A82" w:rsidRPr="00553A82" w:rsidRDefault="00553A82" w:rsidP="00553A82">
      <w:pPr>
        <w:spacing w:line="360" w:lineRule="auto"/>
        <w:ind w:firstLine="708"/>
        <w:jc w:val="both"/>
        <w:rPr>
          <w:rFonts w:ascii="Abadi" w:hAnsi="Abadi"/>
          <w:sz w:val="21"/>
          <w:szCs w:val="21"/>
          <w:lang w:val="es-MX"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1138"/>
        <w:gridCol w:w="1192"/>
        <w:gridCol w:w="1325"/>
      </w:tblGrid>
      <w:tr w:rsidR="00553A82" w:rsidRPr="00553A82" w14:paraId="50953CAD" w14:textId="77777777" w:rsidTr="004E6068">
        <w:tc>
          <w:tcPr>
            <w:tcW w:w="507" w:type="pct"/>
            <w:shd w:val="clear" w:color="auto" w:fill="D9D9D9"/>
          </w:tcPr>
          <w:p w14:paraId="2A785230" w14:textId="77777777" w:rsidR="00553A82" w:rsidRPr="00553A82" w:rsidRDefault="00553A82" w:rsidP="00553A82">
            <w:pPr>
              <w:spacing w:after="160" w:line="360" w:lineRule="auto"/>
              <w:contextualSpacing/>
              <w:jc w:val="center"/>
              <w:rPr>
                <w:rFonts w:ascii="Abadi" w:hAnsi="Abadi" w:cs="Calibri"/>
                <w:b/>
                <w:bCs/>
                <w:sz w:val="21"/>
                <w:szCs w:val="21"/>
                <w:lang w:val="es-MX" w:eastAsia="en-US"/>
              </w:rPr>
            </w:pPr>
            <w:r w:rsidRPr="00553A82">
              <w:rPr>
                <w:rFonts w:ascii="Abadi" w:hAnsi="Abadi" w:cs="Calibri"/>
                <w:b/>
                <w:bCs/>
                <w:sz w:val="21"/>
                <w:szCs w:val="21"/>
                <w:lang w:val="es-MX" w:eastAsia="en-US"/>
              </w:rPr>
              <w:t>Ejercicio</w:t>
            </w:r>
          </w:p>
        </w:tc>
        <w:tc>
          <w:tcPr>
            <w:tcW w:w="1095" w:type="pct"/>
            <w:shd w:val="clear" w:color="auto" w:fill="D9D9D9"/>
          </w:tcPr>
          <w:p w14:paraId="64F5B73A" w14:textId="77777777" w:rsidR="00553A82" w:rsidRPr="00553A82" w:rsidRDefault="00553A82" w:rsidP="00553A82">
            <w:pPr>
              <w:spacing w:after="160" w:line="360" w:lineRule="auto"/>
              <w:contextualSpacing/>
              <w:jc w:val="center"/>
              <w:rPr>
                <w:rFonts w:ascii="Abadi" w:hAnsi="Abadi" w:cs="Calibri"/>
                <w:b/>
                <w:bCs/>
                <w:sz w:val="21"/>
                <w:szCs w:val="21"/>
                <w:lang w:val="es-MX" w:eastAsia="en-US"/>
              </w:rPr>
            </w:pPr>
            <w:r w:rsidRPr="00553A82">
              <w:rPr>
                <w:rFonts w:ascii="Abadi" w:hAnsi="Abadi" w:cs="Calibri"/>
                <w:b/>
                <w:bCs/>
                <w:sz w:val="21"/>
                <w:szCs w:val="21"/>
                <w:lang w:val="es-MX" w:eastAsia="en-US"/>
              </w:rPr>
              <w:t>Materia</w:t>
            </w:r>
          </w:p>
        </w:tc>
        <w:tc>
          <w:tcPr>
            <w:tcW w:w="2168" w:type="pct"/>
            <w:shd w:val="clear" w:color="auto" w:fill="D9D9D9"/>
          </w:tcPr>
          <w:p w14:paraId="41832A53" w14:textId="77777777" w:rsidR="00553A82" w:rsidRPr="00553A82" w:rsidRDefault="00553A82" w:rsidP="00553A82">
            <w:pPr>
              <w:spacing w:after="160" w:line="360" w:lineRule="auto"/>
              <w:contextualSpacing/>
              <w:jc w:val="center"/>
              <w:rPr>
                <w:rFonts w:ascii="Abadi" w:hAnsi="Abadi" w:cs="Calibri"/>
                <w:b/>
                <w:bCs/>
                <w:sz w:val="21"/>
                <w:szCs w:val="21"/>
                <w:lang w:val="es-MX" w:eastAsia="en-US"/>
              </w:rPr>
            </w:pPr>
            <w:r w:rsidRPr="00553A82">
              <w:rPr>
                <w:rFonts w:ascii="Abadi" w:hAnsi="Abadi" w:cs="Calibri"/>
                <w:b/>
                <w:bCs/>
                <w:sz w:val="21"/>
                <w:szCs w:val="21"/>
                <w:lang w:val="es-MX" w:eastAsia="en-US"/>
              </w:rPr>
              <w:t>Objetivo</w:t>
            </w:r>
          </w:p>
        </w:tc>
        <w:tc>
          <w:tcPr>
            <w:tcW w:w="1229" w:type="pct"/>
            <w:shd w:val="clear" w:color="auto" w:fill="D9D9D9"/>
          </w:tcPr>
          <w:p w14:paraId="5FFB8E76" w14:textId="77777777" w:rsidR="00553A82" w:rsidRPr="00553A82" w:rsidRDefault="00553A82" w:rsidP="00553A82">
            <w:pPr>
              <w:spacing w:after="160" w:line="360" w:lineRule="auto"/>
              <w:contextualSpacing/>
              <w:jc w:val="center"/>
              <w:rPr>
                <w:rFonts w:ascii="Abadi" w:hAnsi="Abadi" w:cs="Calibri"/>
                <w:b/>
                <w:bCs/>
                <w:sz w:val="21"/>
                <w:szCs w:val="21"/>
                <w:lang w:val="es-MX" w:eastAsia="en-US"/>
              </w:rPr>
            </w:pPr>
            <w:r w:rsidRPr="00553A82">
              <w:rPr>
                <w:rFonts w:ascii="Abadi" w:hAnsi="Abadi" w:cs="Calibri"/>
                <w:b/>
                <w:bCs/>
                <w:sz w:val="21"/>
                <w:szCs w:val="21"/>
                <w:lang w:val="es-MX" w:eastAsia="en-US"/>
              </w:rPr>
              <w:t>Hitos</w:t>
            </w:r>
          </w:p>
        </w:tc>
      </w:tr>
      <w:tr w:rsidR="00553A82" w:rsidRPr="00553A82" w14:paraId="6DC4D925" w14:textId="77777777" w:rsidTr="004E6068">
        <w:tc>
          <w:tcPr>
            <w:tcW w:w="507" w:type="pct"/>
            <w:shd w:val="clear" w:color="auto" w:fill="auto"/>
          </w:tcPr>
          <w:p w14:paraId="0845A3B3" w14:textId="77777777" w:rsidR="00553A82" w:rsidRPr="00553A82" w:rsidRDefault="00553A82" w:rsidP="00553A82">
            <w:pPr>
              <w:spacing w:after="160"/>
              <w:contextualSpacing/>
              <w:jc w:val="center"/>
              <w:rPr>
                <w:rFonts w:ascii="Abadi" w:hAnsi="Abadi" w:cs="Calibri"/>
                <w:sz w:val="21"/>
                <w:szCs w:val="21"/>
                <w:lang w:val="es-MX" w:eastAsia="en-US"/>
              </w:rPr>
            </w:pPr>
            <w:r w:rsidRPr="00553A82">
              <w:rPr>
                <w:rFonts w:ascii="Abadi" w:hAnsi="Abadi" w:cs="Calibri"/>
                <w:sz w:val="21"/>
                <w:szCs w:val="21"/>
                <w:lang w:val="es-MX" w:eastAsia="en-US"/>
              </w:rPr>
              <w:t>2017</w:t>
            </w:r>
          </w:p>
        </w:tc>
        <w:tc>
          <w:tcPr>
            <w:tcW w:w="1095" w:type="pct"/>
            <w:shd w:val="clear" w:color="auto" w:fill="auto"/>
          </w:tcPr>
          <w:p w14:paraId="72A5BE40" w14:textId="77777777" w:rsidR="00553A82" w:rsidRPr="00553A82" w:rsidRDefault="00553A82" w:rsidP="00553A82">
            <w:pPr>
              <w:spacing w:after="160"/>
              <w:contextualSpacing/>
              <w:jc w:val="both"/>
              <w:rPr>
                <w:rFonts w:ascii="Abadi" w:hAnsi="Abadi" w:cs="Calibri"/>
                <w:sz w:val="21"/>
                <w:szCs w:val="21"/>
                <w:lang w:val="es-MX" w:eastAsia="en-US"/>
              </w:rPr>
            </w:pPr>
            <w:r w:rsidRPr="00553A82">
              <w:rPr>
                <w:rFonts w:ascii="Abadi" w:hAnsi="Abadi" w:cs="Calibri"/>
                <w:sz w:val="21"/>
                <w:szCs w:val="21"/>
                <w:lang w:val="es-MX" w:eastAsia="en-US"/>
              </w:rPr>
              <w:t>Acceso equitativo y oportunidades de desarrollo para mujeres y hombres (E045)</w:t>
            </w:r>
          </w:p>
        </w:tc>
        <w:tc>
          <w:tcPr>
            <w:tcW w:w="2168" w:type="pct"/>
            <w:shd w:val="clear" w:color="auto" w:fill="auto"/>
          </w:tcPr>
          <w:p w14:paraId="5B808E3E" w14:textId="77777777" w:rsidR="00553A82" w:rsidRPr="00553A82" w:rsidRDefault="00553A82" w:rsidP="00553A82">
            <w:pPr>
              <w:spacing w:after="160"/>
              <w:contextualSpacing/>
              <w:jc w:val="both"/>
              <w:rPr>
                <w:rFonts w:ascii="Abadi" w:hAnsi="Abadi" w:cs="Calibri"/>
                <w:sz w:val="21"/>
                <w:szCs w:val="21"/>
                <w:lang w:val="es-MX" w:eastAsia="en-US"/>
              </w:rPr>
            </w:pPr>
            <w:r w:rsidRPr="00553A82">
              <w:rPr>
                <w:rFonts w:ascii="Abadi" w:hAnsi="Abadi" w:cs="Calibri"/>
                <w:sz w:val="21"/>
                <w:szCs w:val="21"/>
                <w:lang w:val="es-MX" w:eastAsia="en-US"/>
              </w:rPr>
              <w:t>Verificar el desempeño del IMUG en cuanto a la implementación de acciones de prevención de la violencia contra las mujeres en las fases primaria y secundaria, mediante la eficiencia en el desarrollo de sus procesos y la eficacia en la cobertura de estas, así como el resultado de su implementación en la población participante.</w:t>
            </w:r>
          </w:p>
        </w:tc>
        <w:tc>
          <w:tcPr>
            <w:tcW w:w="1229" w:type="pct"/>
            <w:shd w:val="clear" w:color="auto" w:fill="auto"/>
          </w:tcPr>
          <w:p w14:paraId="6DDDB710" w14:textId="77777777" w:rsidR="00553A82" w:rsidRPr="00553A82" w:rsidRDefault="00553A82" w:rsidP="00553A82">
            <w:pPr>
              <w:spacing w:after="160"/>
              <w:contextualSpacing/>
              <w:jc w:val="both"/>
              <w:rPr>
                <w:rFonts w:ascii="Abadi" w:hAnsi="Abadi" w:cs="Calibri"/>
                <w:sz w:val="21"/>
                <w:szCs w:val="21"/>
                <w:lang w:val="es-MX" w:eastAsia="en-US"/>
              </w:rPr>
            </w:pPr>
            <w:r w:rsidRPr="00553A82">
              <w:rPr>
                <w:rFonts w:ascii="Abadi" w:hAnsi="Abadi" w:cs="Calibri"/>
                <w:sz w:val="21"/>
                <w:szCs w:val="21"/>
                <w:lang w:val="es-MX" w:eastAsia="en-US"/>
              </w:rPr>
              <w:t>Se emitieron 15 recomendaciones, de las cuales 14 fueron valoradas bajo la categoría de «persiste», mientras que una restante se dio por atendida (realizó).</w:t>
            </w:r>
          </w:p>
        </w:tc>
      </w:tr>
      <w:tr w:rsidR="00553A82" w:rsidRPr="00553A82" w14:paraId="6533C38C" w14:textId="77777777" w:rsidTr="004E6068">
        <w:tc>
          <w:tcPr>
            <w:tcW w:w="507" w:type="pct"/>
            <w:shd w:val="clear" w:color="auto" w:fill="auto"/>
          </w:tcPr>
          <w:p w14:paraId="33CB55DB" w14:textId="77777777" w:rsidR="00553A82" w:rsidRPr="00553A82" w:rsidRDefault="00553A82" w:rsidP="00553A82">
            <w:pPr>
              <w:spacing w:after="160"/>
              <w:contextualSpacing/>
              <w:jc w:val="center"/>
              <w:rPr>
                <w:rFonts w:ascii="Abadi" w:hAnsi="Abadi" w:cs="Calibri"/>
                <w:sz w:val="21"/>
                <w:szCs w:val="21"/>
                <w:lang w:val="es-MX" w:eastAsia="en-US"/>
              </w:rPr>
            </w:pPr>
            <w:r w:rsidRPr="00553A82">
              <w:rPr>
                <w:rFonts w:ascii="Abadi" w:hAnsi="Abadi" w:cs="Calibri"/>
                <w:sz w:val="21"/>
                <w:szCs w:val="21"/>
                <w:lang w:val="es-MX" w:eastAsia="en-US"/>
              </w:rPr>
              <w:t>2021</w:t>
            </w:r>
          </w:p>
        </w:tc>
        <w:tc>
          <w:tcPr>
            <w:tcW w:w="1095" w:type="pct"/>
            <w:shd w:val="clear" w:color="auto" w:fill="auto"/>
          </w:tcPr>
          <w:p w14:paraId="1AA97E50" w14:textId="77777777" w:rsidR="00553A82" w:rsidRPr="00553A82" w:rsidRDefault="00553A82" w:rsidP="00553A82">
            <w:pPr>
              <w:spacing w:after="160"/>
              <w:contextualSpacing/>
              <w:jc w:val="both"/>
              <w:rPr>
                <w:rFonts w:ascii="Abadi" w:hAnsi="Abadi" w:cs="Calibri"/>
                <w:sz w:val="21"/>
                <w:szCs w:val="21"/>
                <w:lang w:val="es-MX" w:eastAsia="en-US"/>
              </w:rPr>
            </w:pPr>
            <w:r w:rsidRPr="00553A82">
              <w:rPr>
                <w:rFonts w:ascii="Abadi" w:hAnsi="Abadi" w:cs="Calibri"/>
                <w:sz w:val="21"/>
                <w:szCs w:val="21"/>
                <w:lang w:val="es-MX" w:eastAsia="en-US"/>
              </w:rPr>
              <w:t>E045 Acceso Equitativo y Oportunidades de Desarrollo para Mujeres y Hombres (E045).</w:t>
            </w:r>
          </w:p>
        </w:tc>
        <w:tc>
          <w:tcPr>
            <w:tcW w:w="2168" w:type="pct"/>
            <w:shd w:val="clear" w:color="auto" w:fill="auto"/>
          </w:tcPr>
          <w:p w14:paraId="735F8F09" w14:textId="77777777" w:rsidR="00553A82" w:rsidRPr="00553A82" w:rsidRDefault="00553A82" w:rsidP="00553A82">
            <w:pPr>
              <w:spacing w:after="160"/>
              <w:contextualSpacing/>
              <w:jc w:val="both"/>
              <w:rPr>
                <w:rFonts w:ascii="Abadi" w:hAnsi="Abadi" w:cs="Calibri"/>
                <w:sz w:val="21"/>
                <w:szCs w:val="21"/>
                <w:lang w:val="es-MX" w:eastAsia="en-US"/>
              </w:rPr>
            </w:pPr>
            <w:r w:rsidRPr="00553A82">
              <w:rPr>
                <w:rFonts w:ascii="Abadi" w:hAnsi="Abadi" w:cs="Calibri"/>
                <w:sz w:val="21"/>
                <w:szCs w:val="21"/>
                <w:lang w:val="es-MX" w:eastAsia="en-US"/>
              </w:rPr>
              <w:t>Sin definir. Los trabajos corresponden al Programa General de Fiscalización 2022 y se encuentran en fase de planificación.</w:t>
            </w:r>
          </w:p>
        </w:tc>
        <w:tc>
          <w:tcPr>
            <w:tcW w:w="1229" w:type="pct"/>
            <w:shd w:val="clear" w:color="auto" w:fill="auto"/>
          </w:tcPr>
          <w:p w14:paraId="33FF5384" w14:textId="77777777" w:rsidR="00553A82" w:rsidRPr="00553A82" w:rsidRDefault="00553A82" w:rsidP="00553A82">
            <w:pPr>
              <w:spacing w:after="160"/>
              <w:contextualSpacing/>
              <w:jc w:val="both"/>
              <w:rPr>
                <w:rFonts w:ascii="Abadi" w:hAnsi="Abadi" w:cs="Calibri"/>
                <w:sz w:val="21"/>
                <w:szCs w:val="21"/>
                <w:lang w:val="es-MX" w:eastAsia="en-US"/>
              </w:rPr>
            </w:pPr>
            <w:r w:rsidRPr="00553A82">
              <w:rPr>
                <w:rFonts w:ascii="Abadi" w:hAnsi="Abadi" w:cs="Calibri"/>
                <w:sz w:val="21"/>
                <w:szCs w:val="21"/>
                <w:lang w:val="es-MX" w:eastAsia="en-US"/>
              </w:rPr>
              <w:t>No aplica.</w:t>
            </w:r>
          </w:p>
        </w:tc>
      </w:tr>
    </w:tbl>
    <w:p w14:paraId="0DE1AE79" w14:textId="77777777" w:rsidR="00553A82" w:rsidRPr="00553A82" w:rsidRDefault="00553A82" w:rsidP="00553A82">
      <w:pPr>
        <w:spacing w:line="360" w:lineRule="auto"/>
        <w:contextualSpacing/>
        <w:jc w:val="both"/>
        <w:rPr>
          <w:rFonts w:ascii="Abadi" w:hAnsi="Abadi" w:cs="Calibri"/>
          <w:sz w:val="21"/>
          <w:szCs w:val="21"/>
          <w:lang w:val="es-MX" w:eastAsia="en-US"/>
        </w:rPr>
      </w:pPr>
      <w:r w:rsidRPr="00553A82">
        <w:rPr>
          <w:rFonts w:ascii="Abadi" w:hAnsi="Abadi" w:cs="Tahoma"/>
          <w:sz w:val="21"/>
          <w:szCs w:val="21"/>
        </w:rPr>
        <w:t>Fuente: Elaboración propia</w:t>
      </w:r>
      <w:r w:rsidRPr="00553A82">
        <w:rPr>
          <w:rFonts w:ascii="Abadi" w:hAnsi="Abadi" w:cs="Calibri"/>
          <w:sz w:val="21"/>
          <w:szCs w:val="21"/>
          <w:lang w:val="es-MX" w:eastAsia="en-US"/>
        </w:rPr>
        <w:t>.</w:t>
      </w:r>
    </w:p>
    <w:p w14:paraId="25EF1EEB" w14:textId="77777777" w:rsidR="00553A82" w:rsidRPr="00553A82" w:rsidRDefault="00553A82" w:rsidP="00553A82">
      <w:pPr>
        <w:ind w:firstLine="720"/>
        <w:jc w:val="both"/>
        <w:rPr>
          <w:rFonts w:ascii="Abadi" w:hAnsi="Abadi" w:cs="Arial"/>
          <w:iCs/>
          <w:sz w:val="21"/>
          <w:szCs w:val="21"/>
        </w:rPr>
      </w:pPr>
    </w:p>
    <w:p w14:paraId="6181D15F" w14:textId="77777777" w:rsidR="00553A82" w:rsidRPr="00553A82" w:rsidRDefault="00553A82" w:rsidP="00553A82">
      <w:pPr>
        <w:ind w:firstLine="720"/>
        <w:jc w:val="both"/>
        <w:rPr>
          <w:rFonts w:ascii="Abadi" w:hAnsi="Abadi" w:cs="Arial"/>
          <w:iCs/>
          <w:sz w:val="21"/>
          <w:szCs w:val="21"/>
        </w:rPr>
      </w:pPr>
    </w:p>
    <w:p w14:paraId="4C4A0599" w14:textId="77777777" w:rsidR="00553A82" w:rsidRPr="00553A82" w:rsidRDefault="00553A82" w:rsidP="00553A82">
      <w:pPr>
        <w:ind w:firstLine="708"/>
        <w:contextualSpacing/>
        <w:jc w:val="both"/>
        <w:rPr>
          <w:rFonts w:ascii="Abadi" w:hAnsi="Abadi" w:cs="Calibri"/>
          <w:sz w:val="21"/>
          <w:szCs w:val="21"/>
          <w:lang w:val="es-MX" w:eastAsia="en-US"/>
        </w:rPr>
      </w:pPr>
      <w:r w:rsidRPr="00553A82">
        <w:rPr>
          <w:rFonts w:ascii="Abadi" w:hAnsi="Abadi" w:cs="Tahoma"/>
          <w:sz w:val="21"/>
          <w:szCs w:val="21"/>
        </w:rPr>
        <w:t xml:space="preserve">En este orden de ideas, para la Auditoría Superior del Estado de Guanajuato, la perspectiva de género es la </w:t>
      </w:r>
      <w:r w:rsidRPr="00553A82">
        <w:rPr>
          <w:rFonts w:ascii="Abadi" w:hAnsi="Abadi" w:cs="Tahoma"/>
          <w:i/>
          <w:iCs/>
          <w:sz w:val="21"/>
          <w:szCs w:val="21"/>
        </w:rPr>
        <w:t>«metodología que permite identificar, cuestionar y valorar la discriminación, desigualdad y exclusión de las mujeres y los hombres, que se pretende justificar con base en las diferencias biológicas entre mujeres y hombres, así como las acciones que deben emprenderse para actuar sobre los factores de género y crear las condiciones de cambio que permitan avanzar en la construcción de la equidad de género</w:t>
      </w:r>
      <w:r w:rsidRPr="00553A82">
        <w:rPr>
          <w:rFonts w:ascii="Abadi" w:hAnsi="Abadi" w:cs="Tahoma"/>
          <w:sz w:val="21"/>
          <w:szCs w:val="21"/>
        </w:rPr>
        <w:t>»</w:t>
      </w:r>
      <w:r w:rsidRPr="00553A82">
        <w:rPr>
          <w:rFonts w:ascii="Abadi" w:hAnsi="Abadi" w:cs="Calibri"/>
          <w:sz w:val="21"/>
          <w:szCs w:val="21"/>
          <w:vertAlign w:val="superscript"/>
          <w:lang w:val="es-MX" w:eastAsia="en-US"/>
        </w:rPr>
        <w:footnoteReference w:id="150"/>
      </w:r>
      <w:r w:rsidRPr="00553A82">
        <w:rPr>
          <w:rFonts w:ascii="Abadi" w:hAnsi="Abadi" w:cs="Calibri"/>
          <w:sz w:val="21"/>
          <w:szCs w:val="21"/>
          <w:lang w:val="es-MX" w:eastAsia="en-US"/>
        </w:rPr>
        <w:t>.</w:t>
      </w:r>
    </w:p>
    <w:p w14:paraId="4EC5A17D" w14:textId="77777777" w:rsidR="00553A82" w:rsidRPr="00553A82" w:rsidRDefault="00553A82" w:rsidP="00553A82">
      <w:pPr>
        <w:ind w:firstLine="720"/>
        <w:jc w:val="both"/>
        <w:rPr>
          <w:rFonts w:ascii="Abadi" w:hAnsi="Abadi" w:cs="Tahoma"/>
          <w:sz w:val="21"/>
          <w:szCs w:val="21"/>
        </w:rPr>
      </w:pPr>
    </w:p>
    <w:p w14:paraId="0ED10943" w14:textId="77777777" w:rsidR="00553A82" w:rsidRPr="00553A82" w:rsidRDefault="00553A82" w:rsidP="00553A82">
      <w:pPr>
        <w:ind w:firstLine="720"/>
        <w:jc w:val="both"/>
        <w:rPr>
          <w:rFonts w:ascii="Abadi" w:hAnsi="Abadi" w:cs="Tahoma"/>
          <w:sz w:val="21"/>
          <w:szCs w:val="21"/>
        </w:rPr>
      </w:pPr>
      <w:r w:rsidRPr="00553A82">
        <w:rPr>
          <w:rFonts w:ascii="Abadi" w:hAnsi="Abadi" w:cs="Tahoma"/>
          <w:sz w:val="21"/>
          <w:szCs w:val="21"/>
        </w:rPr>
        <w:t>Razón por la cual, la auditoría al desempeño tiene un gran potencial de desarrollo, pues además de observar la eficiencia, la economía, la eficacia y la calidad de los planes y programas, su campo de actuación se ha ampliado a nuevos horizontes (según se reconoce en el Plan Estratégico 2021-2027 de la Auditoría Superior del Estado) como la revisión de temas transversales, la sustentabilidad (desarrollo sostenible), la gobernanza, el medio ambiente, los derechos humanos y la igualdad de género.</w:t>
      </w:r>
    </w:p>
    <w:p w14:paraId="045D0272" w14:textId="77777777" w:rsidR="00553A82" w:rsidRPr="00553A82" w:rsidRDefault="00553A82" w:rsidP="00553A82">
      <w:pPr>
        <w:ind w:firstLine="720"/>
        <w:jc w:val="both"/>
        <w:rPr>
          <w:rFonts w:ascii="Abadi" w:hAnsi="Abadi" w:cs="Tahoma"/>
          <w:sz w:val="21"/>
          <w:szCs w:val="21"/>
        </w:rPr>
      </w:pPr>
    </w:p>
    <w:p w14:paraId="7F337E3E" w14:textId="77777777" w:rsidR="00553A82" w:rsidRPr="00553A82" w:rsidRDefault="00553A82" w:rsidP="00553A82">
      <w:pPr>
        <w:ind w:firstLine="720"/>
        <w:jc w:val="both"/>
        <w:rPr>
          <w:rFonts w:ascii="Abadi" w:hAnsi="Abadi" w:cs="Tahoma"/>
          <w:sz w:val="21"/>
          <w:szCs w:val="21"/>
        </w:rPr>
      </w:pPr>
      <w:r w:rsidRPr="00553A82">
        <w:rPr>
          <w:rFonts w:ascii="Abadi" w:hAnsi="Abadi" w:cs="Tahoma"/>
          <w:sz w:val="21"/>
          <w:szCs w:val="21"/>
        </w:rPr>
        <w:t xml:space="preserve">En particular, sobre el objetivo de las auditorías de desempeño que integran la perspectiva de género en su proceso fiscalizador, se distinguirá por su orientación a determinar el grado de cumplimiento con los compromisos en materia de igualdad, en efecto, las auditorías de desempeño con perspectiva de género son una herramienta para el monitoreo y control de los programas, proyectos y acciones públicas, mediante las cuales se busca fortalecer los cambios institucionales que se requieren para lograr la transversalidad de la perspectiva de género en las políticas públicas durante las fases de planeación, programación, presupuestación y evaluación. Al igual que con el resto de los enfoques de las auditorías de desempeño, se emitirán las recomendaciones que conduzcan a mejoras en el diseño, la implementación y los resultados de las políticas y programas gubernamentales, lo que contribuye a mejores resultados en materia de igualdad de género. </w:t>
      </w:r>
    </w:p>
    <w:p w14:paraId="757EFE84" w14:textId="77777777" w:rsidR="00553A82" w:rsidRPr="00553A82" w:rsidRDefault="00553A82" w:rsidP="00553A82">
      <w:pPr>
        <w:ind w:firstLine="720"/>
        <w:jc w:val="both"/>
        <w:rPr>
          <w:rFonts w:ascii="Abadi" w:hAnsi="Abadi" w:cs="Calibri"/>
          <w:b/>
          <w:bCs/>
          <w:sz w:val="21"/>
          <w:szCs w:val="21"/>
          <w:lang w:val="es-MX" w:eastAsia="en-US"/>
        </w:rPr>
      </w:pPr>
    </w:p>
    <w:p w14:paraId="23F700AC" w14:textId="77777777" w:rsidR="00553A82" w:rsidRPr="00553A82" w:rsidRDefault="00553A82" w:rsidP="001A28E5">
      <w:pPr>
        <w:numPr>
          <w:ilvl w:val="0"/>
          <w:numId w:val="59"/>
        </w:numPr>
        <w:spacing w:line="360" w:lineRule="auto"/>
        <w:contextualSpacing/>
        <w:jc w:val="both"/>
        <w:rPr>
          <w:rFonts w:ascii="Abadi" w:hAnsi="Abadi" w:cs="Calibri"/>
          <w:b/>
          <w:bCs/>
          <w:sz w:val="21"/>
          <w:szCs w:val="21"/>
          <w:lang w:val="es-MX" w:eastAsia="en-US"/>
        </w:rPr>
      </w:pPr>
      <w:r w:rsidRPr="00553A82">
        <w:rPr>
          <w:rFonts w:ascii="Abadi" w:hAnsi="Abadi" w:cs="Calibri"/>
          <w:b/>
          <w:bCs/>
          <w:sz w:val="21"/>
          <w:szCs w:val="21"/>
          <w:lang w:val="es-MX" w:eastAsia="en-US"/>
        </w:rPr>
        <w:t>Perspectiva de género en las labores de fiscalización</w:t>
      </w:r>
    </w:p>
    <w:p w14:paraId="55E17D8E" w14:textId="77777777" w:rsidR="00553A82" w:rsidRPr="00553A82" w:rsidRDefault="00553A82" w:rsidP="00553A82">
      <w:pPr>
        <w:ind w:firstLine="720"/>
        <w:jc w:val="both"/>
        <w:rPr>
          <w:rFonts w:ascii="Abadi" w:hAnsi="Abadi" w:cs="Tahoma"/>
          <w:sz w:val="21"/>
          <w:szCs w:val="21"/>
        </w:rPr>
      </w:pPr>
      <w:r w:rsidRPr="00553A82">
        <w:rPr>
          <w:rFonts w:ascii="Abadi" w:hAnsi="Abadi" w:cs="Tahoma"/>
          <w:sz w:val="21"/>
          <w:szCs w:val="21"/>
        </w:rPr>
        <w:t>Conscientes de la trascendencia de incorporar la perspectiva de género en las labores de fiscalización, la Auditoría Superior del Estado de Guanajuato en su filosofía institucional estableció, entre otros, el valor de la equidad (entendido como el compromiso institucional por garantizar que tanto mujeres como hombres accedan a las mismas condiciones, posibilidades y oportunidades.) y, la igualdad y no discriminación (que nos compromete a actuar sin distinción, exclusión, restricción, o preferencia alguna), mismos que se encuentran reconocidos en el Plan Estratégico de la Auditoría Superior del Estado de Guanajuato 2021-2027.</w:t>
      </w:r>
    </w:p>
    <w:p w14:paraId="34A5C7C6" w14:textId="77777777" w:rsidR="00553A82" w:rsidRPr="00553A82" w:rsidRDefault="00553A82" w:rsidP="00394F0B">
      <w:pPr>
        <w:jc w:val="both"/>
        <w:rPr>
          <w:rFonts w:ascii="Abadi" w:hAnsi="Abadi" w:cs="Tahoma"/>
          <w:sz w:val="21"/>
          <w:szCs w:val="21"/>
        </w:rPr>
      </w:pPr>
    </w:p>
    <w:p w14:paraId="56EDD723" w14:textId="77777777" w:rsidR="00553A82" w:rsidRPr="00553A82" w:rsidRDefault="00553A82" w:rsidP="00553A82">
      <w:pPr>
        <w:ind w:firstLine="720"/>
        <w:jc w:val="both"/>
        <w:rPr>
          <w:rFonts w:ascii="Abadi" w:hAnsi="Abadi" w:cs="Tahoma"/>
          <w:sz w:val="21"/>
          <w:szCs w:val="21"/>
        </w:rPr>
      </w:pPr>
    </w:p>
    <w:p w14:paraId="7D633C3E" w14:textId="77777777" w:rsidR="00553A82" w:rsidRPr="00553A82" w:rsidRDefault="00553A82" w:rsidP="00553A82">
      <w:pPr>
        <w:ind w:firstLine="720"/>
        <w:jc w:val="both"/>
        <w:rPr>
          <w:rFonts w:ascii="Abadi" w:hAnsi="Abadi" w:cs="Tahoma"/>
          <w:sz w:val="21"/>
          <w:szCs w:val="21"/>
        </w:rPr>
      </w:pPr>
      <w:r w:rsidRPr="00553A82">
        <w:rPr>
          <w:rFonts w:ascii="Abadi" w:hAnsi="Abadi" w:cs="Tahoma"/>
          <w:sz w:val="21"/>
          <w:szCs w:val="21"/>
        </w:rPr>
        <w:t>A efecto de materializar los valores mencionados, la Auditoría Superior del Estado en su Plan Estratégico desdobla una serie de estrategias que tienen por objetivo generar «</w:t>
      </w:r>
      <w:r w:rsidRPr="00553A82">
        <w:rPr>
          <w:rFonts w:ascii="Abadi" w:hAnsi="Abadi" w:cs="Tahoma"/>
          <w:i/>
          <w:iCs/>
          <w:sz w:val="21"/>
          <w:szCs w:val="21"/>
        </w:rPr>
        <w:t>Resultados de Valor</w:t>
      </w:r>
      <w:r w:rsidRPr="00553A82">
        <w:rPr>
          <w:rFonts w:ascii="Abadi" w:hAnsi="Abadi" w:cs="Tahoma"/>
          <w:sz w:val="21"/>
          <w:szCs w:val="21"/>
        </w:rPr>
        <w:t xml:space="preserve">», por lo que se pretende implementar prácticas institucionales de fiscalización disruptiva de alto impacto y generar las capacidades ciudadanas para su participación e incidencia para la integridad pública. Es así que, para lograr tales resultados se estructuraron estrategias operativas, destacando la estrategia </w:t>
      </w:r>
      <w:r w:rsidRPr="00553A82">
        <w:rPr>
          <w:rFonts w:ascii="Abadi" w:hAnsi="Abadi" w:cs="Tahoma"/>
          <w:i/>
          <w:iCs/>
          <w:sz w:val="21"/>
          <w:szCs w:val="21"/>
        </w:rPr>
        <w:t>«EO8 - fiscalizar con un enfoque de DD.HH. y Género»,</w:t>
      </w:r>
      <w:r w:rsidRPr="00553A82">
        <w:rPr>
          <w:rFonts w:ascii="Abadi" w:hAnsi="Abadi" w:cs="Tahoma"/>
          <w:sz w:val="21"/>
          <w:szCs w:val="21"/>
        </w:rPr>
        <w:t xml:space="preserve"> las cuales buscan posicionar las prácticas institucionales en materia de derechos humanos y género.</w:t>
      </w:r>
    </w:p>
    <w:p w14:paraId="630B1141" w14:textId="77777777" w:rsidR="00553A82" w:rsidRPr="00553A82" w:rsidRDefault="00553A82" w:rsidP="00553A82">
      <w:pPr>
        <w:ind w:firstLine="720"/>
        <w:jc w:val="both"/>
        <w:rPr>
          <w:rFonts w:ascii="Abadi" w:hAnsi="Abadi" w:cs="Tahoma"/>
          <w:sz w:val="21"/>
          <w:szCs w:val="21"/>
        </w:rPr>
      </w:pPr>
    </w:p>
    <w:p w14:paraId="3AA1D8D5" w14:textId="77777777" w:rsidR="00553A82" w:rsidRPr="00553A82" w:rsidRDefault="00553A82" w:rsidP="00553A82">
      <w:pPr>
        <w:ind w:firstLine="720"/>
        <w:jc w:val="both"/>
        <w:rPr>
          <w:rFonts w:ascii="Abadi" w:hAnsi="Abadi" w:cs="Tahoma"/>
          <w:sz w:val="21"/>
          <w:szCs w:val="21"/>
        </w:rPr>
      </w:pPr>
      <w:r w:rsidRPr="00553A82">
        <w:rPr>
          <w:rFonts w:ascii="Abadi" w:hAnsi="Abadi" w:cs="Tahoma"/>
          <w:sz w:val="21"/>
          <w:szCs w:val="21"/>
        </w:rPr>
        <w:t xml:space="preserve">Para la materialización de la estrategia operativa estrategia </w:t>
      </w:r>
      <w:r w:rsidRPr="00553A82">
        <w:rPr>
          <w:rFonts w:ascii="Abadi" w:hAnsi="Abadi" w:cs="Tahoma"/>
          <w:i/>
          <w:iCs/>
          <w:sz w:val="21"/>
          <w:szCs w:val="21"/>
        </w:rPr>
        <w:t>«EO8 - fiscalizar con un enfoque de DD.HH. y Género»,</w:t>
      </w:r>
      <w:r w:rsidRPr="00553A82">
        <w:rPr>
          <w:rFonts w:ascii="Abadi" w:hAnsi="Abadi" w:cs="Tahoma"/>
          <w:sz w:val="21"/>
          <w:szCs w:val="21"/>
        </w:rPr>
        <w:t xml:space="preserve"> se consideraron, entre otras, dos líneas de acción:</w:t>
      </w:r>
    </w:p>
    <w:p w14:paraId="6E0844A2" w14:textId="77777777" w:rsidR="00553A82" w:rsidRPr="00553A82" w:rsidRDefault="00553A82" w:rsidP="00553A82">
      <w:pPr>
        <w:spacing w:line="360" w:lineRule="auto"/>
        <w:contextualSpacing/>
        <w:jc w:val="both"/>
        <w:rPr>
          <w:rFonts w:ascii="Abadi" w:hAnsi="Abadi" w:cs="Calibri"/>
          <w:sz w:val="21"/>
          <w:szCs w:val="21"/>
          <w:lang w:val="es-MX" w:eastAsia="en-US"/>
        </w:rPr>
      </w:pPr>
    </w:p>
    <w:p w14:paraId="4E3DF236" w14:textId="77777777" w:rsidR="00553A82" w:rsidRPr="00553A82" w:rsidRDefault="00553A82" w:rsidP="001A28E5">
      <w:pPr>
        <w:numPr>
          <w:ilvl w:val="0"/>
          <w:numId w:val="60"/>
        </w:numPr>
        <w:ind w:left="709" w:hanging="425"/>
        <w:contextualSpacing/>
        <w:jc w:val="both"/>
        <w:rPr>
          <w:rFonts w:ascii="Abadi" w:hAnsi="Abadi" w:cs="Calibri"/>
          <w:sz w:val="21"/>
          <w:szCs w:val="21"/>
          <w:lang w:val="es-MX" w:eastAsia="en-US"/>
        </w:rPr>
      </w:pPr>
      <w:r w:rsidRPr="00553A82">
        <w:rPr>
          <w:rFonts w:ascii="Abadi" w:hAnsi="Abadi" w:cs="Calibri"/>
          <w:sz w:val="21"/>
          <w:szCs w:val="21"/>
          <w:lang w:val="es-MX" w:eastAsia="en-US"/>
        </w:rPr>
        <w:t>Desarrollar metodologías innovadoras que permitan incorporar perspectivas de derechos humanos y género en las labores de fiscalización.</w:t>
      </w:r>
    </w:p>
    <w:p w14:paraId="3981E918" w14:textId="77777777" w:rsidR="00553A82" w:rsidRPr="00553A82" w:rsidRDefault="00553A82" w:rsidP="00553A82">
      <w:pPr>
        <w:ind w:left="709"/>
        <w:contextualSpacing/>
        <w:jc w:val="both"/>
        <w:rPr>
          <w:rFonts w:ascii="Abadi" w:hAnsi="Abadi" w:cs="Calibri"/>
          <w:sz w:val="21"/>
          <w:szCs w:val="21"/>
          <w:lang w:val="es-MX" w:eastAsia="en-US"/>
        </w:rPr>
      </w:pPr>
    </w:p>
    <w:p w14:paraId="47D811A3" w14:textId="77777777" w:rsidR="00553A82" w:rsidRPr="00553A82" w:rsidRDefault="00553A82" w:rsidP="001A28E5">
      <w:pPr>
        <w:numPr>
          <w:ilvl w:val="0"/>
          <w:numId w:val="60"/>
        </w:numPr>
        <w:ind w:left="709" w:hanging="425"/>
        <w:contextualSpacing/>
        <w:jc w:val="both"/>
        <w:rPr>
          <w:rFonts w:ascii="Abadi" w:hAnsi="Abadi" w:cs="Calibri"/>
          <w:sz w:val="21"/>
          <w:szCs w:val="21"/>
          <w:lang w:val="es-MX" w:eastAsia="en-US"/>
        </w:rPr>
      </w:pPr>
      <w:r w:rsidRPr="00553A82">
        <w:rPr>
          <w:rFonts w:ascii="Abadi" w:hAnsi="Abadi" w:cs="Calibri"/>
          <w:sz w:val="21"/>
          <w:szCs w:val="21"/>
          <w:lang w:val="es-MX" w:eastAsia="en-US"/>
        </w:rPr>
        <w:t>Impulsar progresivamente mecanismos de colaboración para el desarrollo de labores de fiscalización con perspectiva de género y de derechos humanos.</w:t>
      </w:r>
    </w:p>
    <w:p w14:paraId="472984D6" w14:textId="77777777" w:rsidR="00553A82" w:rsidRPr="00553A82" w:rsidRDefault="00553A82" w:rsidP="00553A82">
      <w:pPr>
        <w:ind w:left="720"/>
        <w:contextualSpacing/>
        <w:jc w:val="both"/>
        <w:rPr>
          <w:rFonts w:ascii="Abadi" w:hAnsi="Abadi" w:cs="Calibri"/>
          <w:sz w:val="21"/>
          <w:szCs w:val="21"/>
          <w:lang w:val="es-MX" w:eastAsia="en-US"/>
        </w:rPr>
      </w:pPr>
    </w:p>
    <w:p w14:paraId="1ED9F1CB" w14:textId="77777777" w:rsidR="00553A82" w:rsidRPr="00553A82" w:rsidRDefault="00553A82" w:rsidP="00553A82">
      <w:pPr>
        <w:ind w:firstLine="708"/>
        <w:contextualSpacing/>
        <w:jc w:val="both"/>
        <w:rPr>
          <w:rFonts w:ascii="Abadi" w:hAnsi="Abadi" w:cs="Calibri"/>
          <w:sz w:val="21"/>
          <w:szCs w:val="21"/>
          <w:lang w:val="es-MX" w:eastAsia="en-US"/>
        </w:rPr>
      </w:pPr>
      <w:r w:rsidRPr="00553A82">
        <w:rPr>
          <w:rFonts w:ascii="Abadi" w:hAnsi="Abadi" w:cs="Calibri"/>
          <w:sz w:val="21"/>
          <w:szCs w:val="21"/>
          <w:lang w:val="es-MX" w:eastAsia="en-US"/>
        </w:rPr>
        <w:t>De lo anterior, podemos desprender la importancia y el valor que tienen para la Auditoría Superior del Estado las auditorías de desempeño con perspectiva de género, ya que a través de las mismas se contribuye, en una acción proactiva, en el avance constante de la construcción de la equidad de género en el Estado.</w:t>
      </w:r>
    </w:p>
    <w:p w14:paraId="2A1DA960" w14:textId="77777777" w:rsidR="00553A82" w:rsidRPr="00553A82" w:rsidRDefault="00553A82" w:rsidP="00553A82">
      <w:pPr>
        <w:ind w:firstLine="708"/>
        <w:contextualSpacing/>
        <w:jc w:val="both"/>
        <w:rPr>
          <w:rFonts w:ascii="Abadi" w:hAnsi="Abadi" w:cs="Calibri"/>
          <w:sz w:val="21"/>
          <w:szCs w:val="21"/>
          <w:lang w:val="es-MX" w:eastAsia="en-US"/>
        </w:rPr>
      </w:pPr>
    </w:p>
    <w:p w14:paraId="4EF79D4B" w14:textId="77777777" w:rsidR="00553A82" w:rsidRPr="00553A82" w:rsidRDefault="00553A82" w:rsidP="001A28E5">
      <w:pPr>
        <w:numPr>
          <w:ilvl w:val="0"/>
          <w:numId w:val="59"/>
        </w:numPr>
        <w:spacing w:line="360" w:lineRule="auto"/>
        <w:contextualSpacing/>
        <w:jc w:val="both"/>
        <w:rPr>
          <w:rFonts w:ascii="Abadi" w:hAnsi="Abadi" w:cs="Calibri"/>
          <w:b/>
          <w:bCs/>
          <w:sz w:val="21"/>
          <w:szCs w:val="21"/>
          <w:lang w:val="es-MX" w:eastAsia="en-US"/>
        </w:rPr>
      </w:pPr>
      <w:r w:rsidRPr="00553A82">
        <w:rPr>
          <w:rFonts w:ascii="Abadi" w:hAnsi="Abadi" w:cs="Calibri"/>
          <w:b/>
          <w:bCs/>
          <w:sz w:val="21"/>
          <w:szCs w:val="21"/>
          <w:lang w:val="es-MX" w:eastAsia="en-US"/>
        </w:rPr>
        <w:t>Programa General de Fiscalización para el ejercicio 2022</w:t>
      </w:r>
    </w:p>
    <w:p w14:paraId="0C5A22C9" w14:textId="77777777" w:rsidR="00553A82" w:rsidRPr="00553A82" w:rsidRDefault="00553A82" w:rsidP="00553A82">
      <w:pPr>
        <w:ind w:firstLine="708"/>
        <w:contextualSpacing/>
        <w:jc w:val="both"/>
        <w:rPr>
          <w:rFonts w:ascii="Abadi" w:hAnsi="Abadi" w:cs="Calibri"/>
          <w:sz w:val="21"/>
          <w:szCs w:val="21"/>
          <w:lang w:val="es-MX" w:eastAsia="en-US"/>
        </w:rPr>
      </w:pPr>
      <w:r w:rsidRPr="00553A82">
        <w:rPr>
          <w:rFonts w:ascii="Abadi" w:hAnsi="Abadi" w:cs="Calibri"/>
          <w:sz w:val="21"/>
          <w:szCs w:val="21"/>
          <w:lang w:val="es-MX" w:eastAsia="en-US"/>
        </w:rPr>
        <w:t xml:space="preserve">En congruencia con los valores institucionales y el Plan Estratégico </w:t>
      </w:r>
      <w:r w:rsidRPr="00553A82">
        <w:rPr>
          <w:rFonts w:ascii="Abadi" w:hAnsi="Abadi"/>
          <w:sz w:val="21"/>
          <w:szCs w:val="21"/>
          <w:lang w:val="es-MX" w:eastAsia="en-US"/>
        </w:rPr>
        <w:t xml:space="preserve">2021-2027, la </w:t>
      </w:r>
      <w:r w:rsidRPr="00553A82">
        <w:rPr>
          <w:rFonts w:ascii="Abadi" w:hAnsi="Abadi" w:cs="Calibri"/>
          <w:sz w:val="21"/>
          <w:szCs w:val="21"/>
          <w:lang w:val="es-MX" w:eastAsia="en-US"/>
        </w:rPr>
        <w:t>Auditoría Superior del Estado</w:t>
      </w:r>
      <w:r w:rsidRPr="00553A82">
        <w:rPr>
          <w:rFonts w:ascii="Abadi" w:hAnsi="Abadi"/>
          <w:sz w:val="21"/>
          <w:szCs w:val="21"/>
          <w:lang w:val="es-MX" w:eastAsia="en-US"/>
        </w:rPr>
        <w:t xml:space="preserve"> dispuso de los elementos normativos y materiales a fin de que la ciudadanía tuviera un espacio accesible para realizar propuestas de temas para la co-construcción del Programa General de Fiscalización con carácter ciudadano, siendo el del año</w:t>
      </w:r>
      <w:r w:rsidRPr="00553A82">
        <w:rPr>
          <w:rFonts w:ascii="Abadi" w:hAnsi="Abadi" w:cs="Calibri"/>
          <w:sz w:val="21"/>
          <w:szCs w:val="21"/>
          <w:lang w:val="es-MX" w:eastAsia="en-US"/>
        </w:rPr>
        <w:t xml:space="preserve"> 2022 el primer programa en considerar los intereses ciudadanos como un insumo para la programación de los actos de fiscalización.</w:t>
      </w:r>
    </w:p>
    <w:p w14:paraId="78F53901" w14:textId="77777777" w:rsidR="00553A82" w:rsidRPr="00553A82" w:rsidRDefault="00553A82" w:rsidP="00553A82">
      <w:pPr>
        <w:contextualSpacing/>
        <w:jc w:val="both"/>
        <w:rPr>
          <w:rFonts w:ascii="Abadi" w:hAnsi="Abadi" w:cs="Calibri"/>
          <w:sz w:val="21"/>
          <w:szCs w:val="21"/>
          <w:lang w:val="es-MX" w:eastAsia="en-US"/>
        </w:rPr>
      </w:pPr>
    </w:p>
    <w:p w14:paraId="7298E035" w14:textId="77777777" w:rsidR="00553A82" w:rsidRPr="00553A82" w:rsidRDefault="00553A82" w:rsidP="00553A82">
      <w:pPr>
        <w:ind w:firstLine="708"/>
        <w:contextualSpacing/>
        <w:jc w:val="both"/>
        <w:rPr>
          <w:rFonts w:ascii="Abadi" w:hAnsi="Abadi" w:cs="Calibri"/>
          <w:sz w:val="21"/>
          <w:szCs w:val="21"/>
          <w:lang w:val="es-MX" w:eastAsia="en-US"/>
        </w:rPr>
      </w:pPr>
      <w:r w:rsidRPr="00553A82">
        <w:rPr>
          <w:rFonts w:ascii="Abadi" w:hAnsi="Abadi" w:cs="Calibri"/>
          <w:sz w:val="21"/>
          <w:szCs w:val="21"/>
          <w:lang w:val="es-MX" w:eastAsia="en-US"/>
        </w:rPr>
        <w:t xml:space="preserve">En tal sentido, una de las temáticas incluidas al </w:t>
      </w:r>
      <w:r w:rsidRPr="00553A82">
        <w:rPr>
          <w:rFonts w:ascii="Abadi" w:hAnsi="Abadi"/>
          <w:sz w:val="21"/>
          <w:szCs w:val="21"/>
          <w:lang w:val="es-MX" w:eastAsia="en-US"/>
        </w:rPr>
        <w:t xml:space="preserve">Programa General de Fiscalización </w:t>
      </w:r>
      <w:r w:rsidRPr="00553A82">
        <w:rPr>
          <w:rFonts w:ascii="Abadi" w:hAnsi="Abadi" w:cs="Calibri"/>
          <w:sz w:val="21"/>
          <w:szCs w:val="21"/>
          <w:lang w:val="es-MX" w:eastAsia="en-US"/>
        </w:rPr>
        <w:t xml:space="preserve">2022 sugerida por la ciudadanía, es la auditoría de desempeño al programa presupuestario </w:t>
      </w:r>
      <w:r w:rsidRPr="00553A82">
        <w:rPr>
          <w:rFonts w:ascii="Abadi" w:hAnsi="Abadi" w:cs="Calibri"/>
          <w:i/>
          <w:iCs/>
          <w:sz w:val="21"/>
          <w:szCs w:val="21"/>
          <w:lang w:val="es-MX" w:eastAsia="en-US"/>
        </w:rPr>
        <w:t>E045 de «Acceso a las Mujeres a Oportunidades de Desarrollo en Condiciones de Igualdad»</w:t>
      </w:r>
      <w:r w:rsidRPr="00553A82">
        <w:rPr>
          <w:rFonts w:ascii="Abadi" w:hAnsi="Abadi" w:cs="Calibri"/>
          <w:sz w:val="21"/>
          <w:szCs w:val="21"/>
          <w:lang w:val="es-MX" w:eastAsia="en-US"/>
        </w:rPr>
        <w:t xml:space="preserve">. De manera particular, con alcance al proyecto </w:t>
      </w:r>
      <w:r w:rsidRPr="00553A82">
        <w:rPr>
          <w:rFonts w:ascii="Abadi" w:hAnsi="Abadi" w:cs="Calibri"/>
          <w:i/>
          <w:iCs/>
          <w:sz w:val="21"/>
          <w:szCs w:val="21"/>
          <w:lang w:val="es-MX" w:eastAsia="en-US"/>
        </w:rPr>
        <w:t>Q3195 denominado: «Acceso de las mujeres a oportunidades de desarrollo en condiciones de igualdad»,</w:t>
      </w:r>
      <w:r w:rsidRPr="00553A82">
        <w:rPr>
          <w:rFonts w:ascii="Abadi" w:hAnsi="Abadi" w:cs="Calibri"/>
          <w:sz w:val="21"/>
          <w:szCs w:val="21"/>
          <w:lang w:val="es-MX" w:eastAsia="en-US"/>
        </w:rPr>
        <w:t xml:space="preserve"> que tiene como objetivos específicos mejorar las condiciones económicas de vida y el acceso a una vida libre de violencia de las mujeres en situación de alta vulnerabilidad y/o violencia, a través del otorgamiento de apoyos de tipo económico, e impulsar el acceso de las mujeres a oportunidades de desarrollo, mediante la entrega de medidas compensatorias que les permita solventar los gastos emergentes en rubros en los que presenten algún rezago social».</w:t>
      </w:r>
    </w:p>
    <w:p w14:paraId="6DDE5367" w14:textId="77777777" w:rsidR="00553A82" w:rsidRPr="00553A82" w:rsidRDefault="00553A82" w:rsidP="00553A82">
      <w:pPr>
        <w:ind w:firstLine="708"/>
        <w:contextualSpacing/>
        <w:jc w:val="both"/>
        <w:rPr>
          <w:rFonts w:ascii="Abadi" w:hAnsi="Abadi" w:cs="Calibri"/>
          <w:sz w:val="21"/>
          <w:szCs w:val="21"/>
          <w:lang w:val="es-MX" w:eastAsia="en-US"/>
        </w:rPr>
      </w:pPr>
    </w:p>
    <w:p w14:paraId="053283E4" w14:textId="77777777" w:rsidR="00553A82" w:rsidRPr="00553A82" w:rsidRDefault="00553A82" w:rsidP="001A28E5">
      <w:pPr>
        <w:numPr>
          <w:ilvl w:val="0"/>
          <w:numId w:val="59"/>
        </w:numPr>
        <w:contextualSpacing/>
        <w:jc w:val="both"/>
        <w:rPr>
          <w:rFonts w:ascii="Abadi" w:hAnsi="Abadi" w:cs="Calibri"/>
          <w:b/>
          <w:bCs/>
          <w:sz w:val="21"/>
          <w:szCs w:val="21"/>
          <w:lang w:val="es-MX" w:eastAsia="en-US"/>
        </w:rPr>
      </w:pPr>
      <w:r w:rsidRPr="00553A82">
        <w:rPr>
          <w:rFonts w:ascii="Abadi" w:hAnsi="Abadi" w:cs="Calibri"/>
          <w:b/>
          <w:bCs/>
          <w:sz w:val="21"/>
          <w:szCs w:val="21"/>
          <w:lang w:val="es-MX" w:eastAsia="en-US"/>
        </w:rPr>
        <w:t xml:space="preserve">Estrategia de la incorporación de la perspectiva de género en las auditorías de desempeño </w:t>
      </w:r>
    </w:p>
    <w:p w14:paraId="7DFA83D6" w14:textId="77777777" w:rsidR="00553A82" w:rsidRPr="00553A82" w:rsidRDefault="00553A82" w:rsidP="00553A82">
      <w:pPr>
        <w:spacing w:line="360" w:lineRule="auto"/>
        <w:ind w:left="1080"/>
        <w:contextualSpacing/>
        <w:jc w:val="both"/>
        <w:rPr>
          <w:rFonts w:ascii="Abadi" w:hAnsi="Abadi" w:cs="Calibri"/>
          <w:b/>
          <w:bCs/>
          <w:sz w:val="21"/>
          <w:szCs w:val="21"/>
          <w:lang w:val="es-MX" w:eastAsia="en-US"/>
        </w:rPr>
      </w:pPr>
    </w:p>
    <w:p w14:paraId="0EA0A9EC" w14:textId="77777777" w:rsidR="00553A82" w:rsidRPr="00553A82" w:rsidRDefault="00553A82" w:rsidP="00553A82">
      <w:pPr>
        <w:ind w:firstLine="708"/>
        <w:contextualSpacing/>
        <w:jc w:val="both"/>
        <w:rPr>
          <w:rFonts w:ascii="Abadi" w:hAnsi="Abadi" w:cs="Calibri"/>
          <w:sz w:val="21"/>
          <w:szCs w:val="21"/>
          <w:lang w:val="es-MX" w:eastAsia="en-US"/>
        </w:rPr>
      </w:pPr>
      <w:r w:rsidRPr="00553A82">
        <w:rPr>
          <w:rFonts w:ascii="Abadi" w:hAnsi="Abadi" w:cs="Calibri"/>
          <w:sz w:val="21"/>
          <w:szCs w:val="21"/>
          <w:lang w:val="es-MX" w:eastAsia="en-US"/>
        </w:rPr>
        <w:t>Dada la relevancia de la incorporación de la perspectiva de género en las auditorías de desempeño, y la trascendencia de que dicha incorporación sea aplicable a cualquier política, programa o proyecto, aportando con ello elementos y conocimiento que permita mejorar la inclusividad y la equidad de las políticas públicas en favor de la población, la Auditoría Superior del Estado se ha propuesto realizar una estrategia que conlleve la realización de una serie de acciones complementarias durante el ejercicio 2022 que permitan incorporar, definitivamente, la perspectiva de género en los trabajos de fiscalización, de acuerdo a lo que se establece a continuación:</w:t>
      </w:r>
    </w:p>
    <w:p w14:paraId="44A37BE8" w14:textId="77777777" w:rsidR="00553A82" w:rsidRPr="00553A82" w:rsidRDefault="00553A82" w:rsidP="00553A82">
      <w:pPr>
        <w:ind w:firstLine="708"/>
        <w:contextualSpacing/>
        <w:jc w:val="both"/>
        <w:rPr>
          <w:rFonts w:ascii="Abadi" w:hAnsi="Abadi" w:cs="Calibri"/>
          <w:sz w:val="21"/>
          <w:szCs w:val="21"/>
          <w:lang w:val="es-MX" w:eastAsia="en-US"/>
        </w:rPr>
      </w:pPr>
    </w:p>
    <w:p w14:paraId="4ED53D76" w14:textId="77777777" w:rsidR="00553A82" w:rsidRPr="00553A82" w:rsidRDefault="00553A82" w:rsidP="00553A8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jc w:val="center"/>
        <w:rPr>
          <w:rFonts w:ascii="Abadi" w:hAnsi="Abadi" w:cs="Calibri"/>
          <w:b/>
          <w:bCs/>
          <w:sz w:val="21"/>
          <w:szCs w:val="21"/>
          <w:lang w:val="es-MX" w:eastAsia="en-US"/>
        </w:rPr>
      </w:pPr>
      <w:r w:rsidRPr="00553A82">
        <w:rPr>
          <w:rFonts w:ascii="Abadi" w:hAnsi="Abadi" w:cs="Calibri"/>
          <w:b/>
          <w:bCs/>
          <w:sz w:val="21"/>
          <w:szCs w:val="21"/>
          <w:lang w:val="es-MX" w:eastAsia="en-US"/>
        </w:rPr>
        <w:t>Estrategia operativa 2022, sobre la incorporación de la Perspectiva de Género</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717"/>
        <w:gridCol w:w="2667"/>
      </w:tblGrid>
      <w:tr w:rsidR="00553A82" w:rsidRPr="00553A82" w14:paraId="57D77AD4" w14:textId="77777777" w:rsidTr="004E6068">
        <w:tc>
          <w:tcPr>
            <w:tcW w:w="1958" w:type="pct"/>
            <w:tcBorders>
              <w:left w:val="single" w:sz="4" w:space="0" w:color="auto"/>
              <w:bottom w:val="single" w:sz="4" w:space="0" w:color="auto"/>
              <w:right w:val="single" w:sz="4" w:space="0" w:color="auto"/>
            </w:tcBorders>
            <w:shd w:val="clear" w:color="auto" w:fill="auto"/>
            <w:vAlign w:val="center"/>
          </w:tcPr>
          <w:p w14:paraId="65A3AAF6" w14:textId="77777777" w:rsidR="00553A82" w:rsidRPr="00553A82" w:rsidRDefault="00553A82" w:rsidP="00553A82">
            <w:pPr>
              <w:spacing w:after="160" w:line="360" w:lineRule="auto"/>
              <w:contextualSpacing/>
              <w:jc w:val="center"/>
              <w:rPr>
                <w:rFonts w:ascii="Abadi" w:hAnsi="Abadi" w:cs="Calibri"/>
                <w:b/>
                <w:bCs/>
                <w:sz w:val="21"/>
                <w:szCs w:val="21"/>
                <w:lang w:val="es-MX" w:eastAsia="en-US"/>
              </w:rPr>
            </w:pPr>
            <w:r w:rsidRPr="00553A82">
              <w:rPr>
                <w:rFonts w:ascii="Abadi" w:hAnsi="Abadi" w:cs="Calibri"/>
                <w:b/>
                <w:bCs/>
                <w:sz w:val="21"/>
                <w:szCs w:val="21"/>
                <w:lang w:val="es-MX" w:eastAsia="en-US"/>
              </w:rPr>
              <w:t>Acciones</w:t>
            </w:r>
          </w:p>
        </w:tc>
        <w:tc>
          <w:tcPr>
            <w:tcW w:w="3042" w:type="pct"/>
            <w:tcBorders>
              <w:left w:val="single" w:sz="4" w:space="0" w:color="auto"/>
              <w:bottom w:val="single" w:sz="4" w:space="0" w:color="auto"/>
              <w:right w:val="single" w:sz="4" w:space="0" w:color="auto"/>
            </w:tcBorders>
            <w:shd w:val="clear" w:color="auto" w:fill="auto"/>
            <w:vAlign w:val="center"/>
          </w:tcPr>
          <w:p w14:paraId="52E28A10" w14:textId="77777777" w:rsidR="00553A82" w:rsidRPr="00553A82" w:rsidRDefault="00553A82" w:rsidP="00553A82">
            <w:pPr>
              <w:spacing w:after="160" w:line="360" w:lineRule="auto"/>
              <w:contextualSpacing/>
              <w:jc w:val="center"/>
              <w:rPr>
                <w:rFonts w:ascii="Abadi" w:hAnsi="Abadi" w:cs="Calibri"/>
                <w:b/>
                <w:bCs/>
                <w:sz w:val="21"/>
                <w:szCs w:val="21"/>
                <w:lang w:val="es-MX" w:eastAsia="en-US"/>
              </w:rPr>
            </w:pPr>
            <w:r w:rsidRPr="00553A82">
              <w:rPr>
                <w:rFonts w:ascii="Abadi" w:hAnsi="Abadi" w:cs="Calibri"/>
                <w:b/>
                <w:bCs/>
                <w:sz w:val="21"/>
                <w:szCs w:val="21"/>
                <w:lang w:val="es-MX" w:eastAsia="en-US"/>
              </w:rPr>
              <w:t>Justificación</w:t>
            </w:r>
          </w:p>
        </w:tc>
      </w:tr>
      <w:tr w:rsidR="00553A82" w:rsidRPr="00553A82" w14:paraId="767ADFFD" w14:textId="77777777" w:rsidTr="004E6068">
        <w:tc>
          <w:tcPr>
            <w:tcW w:w="1958" w:type="pct"/>
            <w:tcBorders>
              <w:left w:val="single" w:sz="4" w:space="0" w:color="auto"/>
              <w:right w:val="single" w:sz="4" w:space="0" w:color="auto"/>
            </w:tcBorders>
            <w:shd w:val="clear" w:color="auto" w:fill="auto"/>
            <w:tcMar>
              <w:top w:w="85" w:type="dxa"/>
              <w:left w:w="85" w:type="dxa"/>
              <w:bottom w:w="85" w:type="dxa"/>
              <w:right w:w="85" w:type="dxa"/>
            </w:tcMar>
          </w:tcPr>
          <w:p w14:paraId="008FE9E4" w14:textId="77777777" w:rsidR="00553A82" w:rsidRPr="00553A82" w:rsidRDefault="00553A82" w:rsidP="00553A82">
            <w:pPr>
              <w:spacing w:after="160" w:line="276" w:lineRule="auto"/>
              <w:contextualSpacing/>
              <w:jc w:val="both"/>
              <w:rPr>
                <w:rFonts w:ascii="Abadi" w:hAnsi="Abadi" w:cs="Calibri"/>
                <w:sz w:val="21"/>
                <w:szCs w:val="21"/>
                <w:lang w:val="es-MX" w:eastAsia="en-US"/>
              </w:rPr>
            </w:pPr>
            <w:r w:rsidRPr="00553A82">
              <w:rPr>
                <w:rFonts w:ascii="Abadi" w:hAnsi="Abadi" w:cs="Calibri"/>
                <w:sz w:val="21"/>
                <w:szCs w:val="21"/>
                <w:lang w:val="es-MX" w:eastAsia="en-US"/>
              </w:rPr>
              <w:t>Desarrollo de capacidades profesionales en materia de género</w:t>
            </w:r>
          </w:p>
        </w:tc>
        <w:tc>
          <w:tcPr>
            <w:tcW w:w="3042" w:type="pct"/>
            <w:tcBorders>
              <w:left w:val="single" w:sz="4" w:space="0" w:color="auto"/>
              <w:right w:val="single" w:sz="4" w:space="0" w:color="auto"/>
            </w:tcBorders>
            <w:shd w:val="clear" w:color="auto" w:fill="auto"/>
            <w:tcMar>
              <w:top w:w="85" w:type="dxa"/>
              <w:left w:w="85" w:type="dxa"/>
              <w:bottom w:w="85" w:type="dxa"/>
              <w:right w:w="85" w:type="dxa"/>
            </w:tcMar>
          </w:tcPr>
          <w:p w14:paraId="2C0C7F42" w14:textId="77777777" w:rsidR="00553A82" w:rsidRPr="00553A82" w:rsidRDefault="00553A82" w:rsidP="00553A82">
            <w:pPr>
              <w:spacing w:after="160" w:line="276" w:lineRule="auto"/>
              <w:contextualSpacing/>
              <w:jc w:val="both"/>
              <w:rPr>
                <w:rFonts w:ascii="Abadi" w:hAnsi="Abadi" w:cs="Calibri"/>
                <w:sz w:val="21"/>
                <w:szCs w:val="21"/>
                <w:lang w:val="es-MX" w:eastAsia="en-US"/>
              </w:rPr>
            </w:pPr>
            <w:r w:rsidRPr="00553A82">
              <w:rPr>
                <w:rFonts w:ascii="Abadi" w:hAnsi="Abadi" w:cs="Calibri"/>
                <w:sz w:val="21"/>
                <w:szCs w:val="21"/>
                <w:lang w:val="es-MX" w:eastAsia="en-US"/>
              </w:rPr>
              <w:t>Consolidar un equipo especializado en materia de elaboración de auditorías de género.</w:t>
            </w:r>
          </w:p>
        </w:tc>
      </w:tr>
      <w:tr w:rsidR="00553A82" w:rsidRPr="00553A82" w14:paraId="396F437A" w14:textId="77777777" w:rsidTr="004E6068">
        <w:tc>
          <w:tcPr>
            <w:tcW w:w="1958" w:type="pct"/>
            <w:tcBorders>
              <w:left w:val="single" w:sz="4" w:space="0" w:color="auto"/>
              <w:right w:val="single" w:sz="4" w:space="0" w:color="auto"/>
            </w:tcBorders>
            <w:shd w:val="clear" w:color="auto" w:fill="auto"/>
            <w:tcMar>
              <w:top w:w="85" w:type="dxa"/>
              <w:left w:w="85" w:type="dxa"/>
              <w:bottom w:w="85" w:type="dxa"/>
              <w:right w:w="85" w:type="dxa"/>
            </w:tcMar>
          </w:tcPr>
          <w:p w14:paraId="62EFF085" w14:textId="77777777" w:rsidR="00553A82" w:rsidRPr="00553A82" w:rsidRDefault="00553A82" w:rsidP="00553A82">
            <w:pPr>
              <w:spacing w:after="160" w:line="276" w:lineRule="auto"/>
              <w:contextualSpacing/>
              <w:jc w:val="both"/>
              <w:rPr>
                <w:rFonts w:ascii="Abadi" w:hAnsi="Abadi" w:cs="Calibri"/>
                <w:sz w:val="21"/>
                <w:szCs w:val="21"/>
                <w:lang w:val="es-MX" w:eastAsia="en-US"/>
              </w:rPr>
            </w:pPr>
            <w:r w:rsidRPr="00553A82">
              <w:rPr>
                <w:rFonts w:ascii="Abadi" w:hAnsi="Abadi" w:cs="Calibri"/>
                <w:sz w:val="21"/>
                <w:szCs w:val="21"/>
                <w:lang w:val="es-MX" w:eastAsia="en-US"/>
              </w:rPr>
              <w:t xml:space="preserve">Auditoría de Desempeño con Perspectiva de Género al Programa Q3195 </w:t>
            </w:r>
            <w:r w:rsidRPr="00553A82">
              <w:rPr>
                <w:rFonts w:ascii="Abadi" w:hAnsi="Abadi" w:cs="Calibri"/>
                <w:i/>
                <w:iCs/>
                <w:sz w:val="21"/>
                <w:szCs w:val="21"/>
                <w:lang w:val="es-MX" w:eastAsia="en-US"/>
              </w:rPr>
              <w:t>«Acceso de las Mujeres a Oportunidades de Desarrollo en Condiciones de Igualdad»,</w:t>
            </w:r>
            <w:r w:rsidRPr="00553A82">
              <w:rPr>
                <w:rFonts w:ascii="Abadi" w:hAnsi="Abadi" w:cs="Calibri"/>
                <w:sz w:val="21"/>
                <w:szCs w:val="21"/>
                <w:lang w:val="es-MX" w:eastAsia="en-US"/>
              </w:rPr>
              <w:t xml:space="preserve"> del ejercicio 2021</w:t>
            </w:r>
          </w:p>
        </w:tc>
        <w:tc>
          <w:tcPr>
            <w:tcW w:w="3042" w:type="pct"/>
            <w:tcBorders>
              <w:left w:val="single" w:sz="4" w:space="0" w:color="auto"/>
              <w:right w:val="single" w:sz="4" w:space="0" w:color="auto"/>
            </w:tcBorders>
            <w:shd w:val="clear" w:color="auto" w:fill="auto"/>
            <w:tcMar>
              <w:top w:w="85" w:type="dxa"/>
              <w:left w:w="85" w:type="dxa"/>
              <w:bottom w:w="85" w:type="dxa"/>
              <w:right w:w="85" w:type="dxa"/>
            </w:tcMar>
          </w:tcPr>
          <w:p w14:paraId="29EB0D70" w14:textId="77777777" w:rsidR="00553A82" w:rsidRPr="00553A82" w:rsidRDefault="00553A82" w:rsidP="00553A82">
            <w:pPr>
              <w:spacing w:after="160" w:line="276" w:lineRule="auto"/>
              <w:contextualSpacing/>
              <w:jc w:val="both"/>
              <w:rPr>
                <w:rFonts w:ascii="Abadi" w:hAnsi="Abadi" w:cs="Calibri"/>
                <w:sz w:val="21"/>
                <w:szCs w:val="21"/>
                <w:lang w:val="es-MX" w:eastAsia="en-US"/>
              </w:rPr>
            </w:pPr>
            <w:r w:rsidRPr="00553A82">
              <w:rPr>
                <w:rFonts w:ascii="Abadi" w:hAnsi="Abadi" w:cs="Calibri"/>
                <w:sz w:val="21"/>
                <w:szCs w:val="21"/>
                <w:lang w:val="es-MX" w:eastAsia="en-US"/>
              </w:rPr>
              <w:t>Comenzar a explorar metodologías de auditoría con perspectiva de género que atiendan a los valores, objetivos y estrategias del Plan Estratégico 2021-2027.</w:t>
            </w:r>
          </w:p>
        </w:tc>
      </w:tr>
      <w:tr w:rsidR="00553A82" w:rsidRPr="00553A82" w14:paraId="166FEC27" w14:textId="77777777" w:rsidTr="004E6068">
        <w:tc>
          <w:tcPr>
            <w:tcW w:w="1958" w:type="pct"/>
            <w:tcBorders>
              <w:left w:val="single" w:sz="4" w:space="0" w:color="auto"/>
              <w:right w:val="single" w:sz="4" w:space="0" w:color="auto"/>
            </w:tcBorders>
            <w:shd w:val="clear" w:color="auto" w:fill="auto"/>
            <w:tcMar>
              <w:top w:w="85" w:type="dxa"/>
              <w:left w:w="85" w:type="dxa"/>
              <w:bottom w:w="85" w:type="dxa"/>
              <w:right w:w="85" w:type="dxa"/>
            </w:tcMar>
          </w:tcPr>
          <w:p w14:paraId="7C7C653A" w14:textId="77777777" w:rsidR="00553A82" w:rsidRPr="00553A82" w:rsidRDefault="00553A82" w:rsidP="00553A82">
            <w:pPr>
              <w:spacing w:after="160" w:line="276" w:lineRule="auto"/>
              <w:contextualSpacing/>
              <w:jc w:val="both"/>
              <w:rPr>
                <w:rFonts w:ascii="Abadi" w:hAnsi="Abadi" w:cs="Calibri"/>
                <w:sz w:val="21"/>
                <w:szCs w:val="21"/>
                <w:lang w:val="es-MX" w:eastAsia="en-US"/>
              </w:rPr>
            </w:pPr>
            <w:r w:rsidRPr="00553A82">
              <w:rPr>
                <w:rFonts w:ascii="Abadi" w:hAnsi="Abadi" w:cs="Calibri"/>
                <w:sz w:val="21"/>
                <w:szCs w:val="21"/>
                <w:lang w:val="es-MX" w:eastAsia="en-US"/>
              </w:rPr>
              <w:t>Elaboración de Lineamientos para la incorporación de la perspectiva de género en las labores de fiscalización</w:t>
            </w:r>
          </w:p>
        </w:tc>
        <w:tc>
          <w:tcPr>
            <w:tcW w:w="3042" w:type="pct"/>
            <w:tcBorders>
              <w:left w:val="single" w:sz="4" w:space="0" w:color="auto"/>
              <w:bottom w:val="single" w:sz="4" w:space="0" w:color="auto"/>
              <w:right w:val="single" w:sz="4" w:space="0" w:color="auto"/>
            </w:tcBorders>
            <w:shd w:val="clear" w:color="auto" w:fill="auto"/>
            <w:tcMar>
              <w:top w:w="85" w:type="dxa"/>
              <w:left w:w="85" w:type="dxa"/>
              <w:bottom w:w="85" w:type="dxa"/>
              <w:right w:w="85" w:type="dxa"/>
            </w:tcMar>
          </w:tcPr>
          <w:p w14:paraId="4B444DF7" w14:textId="77777777" w:rsidR="00553A82" w:rsidRPr="00553A82" w:rsidRDefault="00553A82" w:rsidP="00553A82">
            <w:pPr>
              <w:spacing w:after="160" w:line="276" w:lineRule="auto"/>
              <w:contextualSpacing/>
              <w:jc w:val="both"/>
              <w:rPr>
                <w:rFonts w:ascii="Abadi" w:hAnsi="Abadi" w:cs="Calibri"/>
                <w:sz w:val="21"/>
                <w:szCs w:val="21"/>
                <w:lang w:val="es-MX" w:eastAsia="en-US"/>
              </w:rPr>
            </w:pPr>
            <w:r w:rsidRPr="00553A82">
              <w:rPr>
                <w:rFonts w:ascii="Abadi" w:hAnsi="Abadi" w:cs="Calibri"/>
                <w:sz w:val="21"/>
                <w:szCs w:val="21"/>
                <w:lang w:val="es-MX" w:eastAsia="en-US"/>
              </w:rPr>
              <w:t>Sistematizar la primera experiencia institucional sobre la perspectiva de género, a efecto de determinar principios generales y procesales para replicar la perspectiva de género en futuros ejercicios de auditoría.</w:t>
            </w:r>
          </w:p>
        </w:tc>
      </w:tr>
      <w:tr w:rsidR="00553A82" w:rsidRPr="00553A82" w14:paraId="0E2EB6DA" w14:textId="77777777" w:rsidTr="004E6068">
        <w:tc>
          <w:tcPr>
            <w:tcW w:w="1958" w:type="pct"/>
            <w:tcBorders>
              <w:left w:val="single" w:sz="4" w:space="0" w:color="auto"/>
              <w:right w:val="single" w:sz="4" w:space="0" w:color="auto"/>
            </w:tcBorders>
            <w:shd w:val="clear" w:color="auto" w:fill="auto"/>
            <w:tcMar>
              <w:top w:w="85" w:type="dxa"/>
              <w:left w:w="85" w:type="dxa"/>
              <w:bottom w:w="85" w:type="dxa"/>
              <w:right w:w="85" w:type="dxa"/>
            </w:tcMar>
          </w:tcPr>
          <w:p w14:paraId="5EC34B77" w14:textId="77777777" w:rsidR="00553A82" w:rsidRPr="00553A82" w:rsidRDefault="00553A82" w:rsidP="00553A82">
            <w:pPr>
              <w:spacing w:after="160" w:line="276" w:lineRule="auto"/>
              <w:contextualSpacing/>
              <w:jc w:val="both"/>
              <w:rPr>
                <w:rFonts w:ascii="Abadi" w:hAnsi="Abadi" w:cs="Calibri"/>
                <w:sz w:val="21"/>
                <w:szCs w:val="21"/>
                <w:lang w:val="es-MX" w:eastAsia="en-US"/>
              </w:rPr>
            </w:pPr>
            <w:r w:rsidRPr="00553A82">
              <w:rPr>
                <w:rFonts w:ascii="Abadi" w:hAnsi="Abadi" w:cs="Calibri"/>
                <w:sz w:val="21"/>
                <w:szCs w:val="21"/>
                <w:lang w:val="es-MX" w:eastAsia="en-US"/>
              </w:rPr>
              <w:t>Espacios de colaboración y participación sobre la fiscalización con rostro de mujer</w:t>
            </w:r>
          </w:p>
        </w:tc>
        <w:tc>
          <w:tcPr>
            <w:tcW w:w="3042" w:type="pct"/>
            <w:tcBorders>
              <w:left w:val="single" w:sz="4" w:space="0" w:color="auto"/>
              <w:right w:val="single" w:sz="4" w:space="0" w:color="auto"/>
            </w:tcBorders>
            <w:shd w:val="clear" w:color="auto" w:fill="auto"/>
            <w:tcMar>
              <w:top w:w="85" w:type="dxa"/>
              <w:left w:w="85" w:type="dxa"/>
              <w:bottom w:w="85" w:type="dxa"/>
              <w:right w:w="85" w:type="dxa"/>
            </w:tcMar>
          </w:tcPr>
          <w:p w14:paraId="0532F006" w14:textId="77777777" w:rsidR="00553A82" w:rsidRPr="00553A82" w:rsidRDefault="00553A82" w:rsidP="00553A82">
            <w:pPr>
              <w:spacing w:after="160" w:line="276" w:lineRule="auto"/>
              <w:contextualSpacing/>
              <w:jc w:val="both"/>
              <w:rPr>
                <w:rFonts w:ascii="Abadi" w:hAnsi="Abadi" w:cs="Calibri"/>
                <w:sz w:val="21"/>
                <w:szCs w:val="21"/>
                <w:lang w:val="es-MX" w:eastAsia="en-US"/>
              </w:rPr>
            </w:pPr>
            <w:r w:rsidRPr="00553A82">
              <w:rPr>
                <w:rFonts w:ascii="Abadi" w:hAnsi="Abadi" w:cs="Calibri"/>
                <w:sz w:val="21"/>
                <w:szCs w:val="21"/>
                <w:lang w:val="es-MX" w:eastAsia="en-US"/>
              </w:rPr>
              <w:t>Sensibilización sobre la fiscalización con perspectiva de género, dirigida tanto a los actores internos y externos, de manera que se contribuya a su institucionalización.</w:t>
            </w:r>
          </w:p>
        </w:tc>
      </w:tr>
    </w:tbl>
    <w:p w14:paraId="20C0173A" w14:textId="290431A8" w:rsidR="00553A82" w:rsidRPr="00553A82" w:rsidRDefault="00553A82" w:rsidP="00553A82">
      <w:pPr>
        <w:spacing w:line="360" w:lineRule="auto"/>
        <w:contextualSpacing/>
        <w:jc w:val="both"/>
        <w:rPr>
          <w:rFonts w:ascii="Abadi" w:hAnsi="Abadi" w:cs="Calibri"/>
          <w:sz w:val="21"/>
          <w:szCs w:val="21"/>
          <w:lang w:val="es-MX" w:eastAsia="en-US"/>
        </w:rPr>
      </w:pPr>
      <w:r w:rsidRPr="00553A82">
        <w:rPr>
          <w:rFonts w:ascii="Abadi" w:hAnsi="Abadi" w:cs="Calibri"/>
          <w:sz w:val="21"/>
          <w:szCs w:val="21"/>
          <w:lang w:val="es-MX" w:eastAsia="en-US"/>
        </w:rPr>
        <w:t>Fuente: Elaboración propia.</w:t>
      </w:r>
    </w:p>
    <w:p w14:paraId="0447C8FE" w14:textId="77777777" w:rsidR="00553A82" w:rsidRPr="00553A82" w:rsidRDefault="00553A82" w:rsidP="00553A82">
      <w:pPr>
        <w:ind w:firstLine="708"/>
        <w:contextualSpacing/>
        <w:jc w:val="both"/>
        <w:rPr>
          <w:rFonts w:ascii="Abadi" w:eastAsia="Calibri" w:hAnsi="Abadi"/>
          <w:bCs/>
          <w:sz w:val="21"/>
          <w:szCs w:val="21"/>
          <w:lang w:val="es-MX" w:eastAsia="en-US"/>
        </w:rPr>
      </w:pPr>
    </w:p>
    <w:p w14:paraId="50F65F3C" w14:textId="77777777" w:rsidR="00553A82" w:rsidRPr="00553A82" w:rsidRDefault="00553A82" w:rsidP="00553A82">
      <w:pPr>
        <w:ind w:firstLine="708"/>
        <w:contextualSpacing/>
        <w:jc w:val="both"/>
        <w:rPr>
          <w:rFonts w:ascii="Abadi" w:eastAsia="Calibri" w:hAnsi="Abadi"/>
          <w:bCs/>
          <w:sz w:val="21"/>
          <w:szCs w:val="21"/>
          <w:lang w:val="es-MX" w:eastAsia="en-US"/>
        </w:rPr>
      </w:pPr>
      <w:r w:rsidRPr="00553A82">
        <w:rPr>
          <w:rFonts w:ascii="Abadi" w:eastAsia="Calibri" w:hAnsi="Abadi"/>
          <w:bCs/>
          <w:sz w:val="21"/>
          <w:szCs w:val="21"/>
          <w:lang w:val="es-MX" w:eastAsia="en-US"/>
        </w:rPr>
        <w:t xml:space="preserve">Lo antes señalado implica que los trabajos programados para el ejercicio 2022, en materia de igualdad (perspectiva de género), no se limitan a la realización de la auditoría de desempeño al proyecto Q3195 </w:t>
      </w:r>
      <w:r w:rsidRPr="00553A82">
        <w:rPr>
          <w:rFonts w:ascii="Abadi" w:eastAsia="Calibri" w:hAnsi="Abadi"/>
          <w:bCs/>
          <w:i/>
          <w:iCs/>
          <w:sz w:val="21"/>
          <w:szCs w:val="21"/>
          <w:lang w:val="es-MX" w:eastAsia="en-US"/>
        </w:rPr>
        <w:t>«Acceso de las Mujeres a Oportunidades de Desarrollo en Condiciones de Igualdad»</w:t>
      </w:r>
      <w:r w:rsidRPr="00553A82">
        <w:rPr>
          <w:rFonts w:ascii="Abadi" w:eastAsia="Calibri" w:hAnsi="Abadi"/>
          <w:bCs/>
          <w:sz w:val="21"/>
          <w:szCs w:val="21"/>
          <w:lang w:val="es-MX" w:eastAsia="en-US"/>
        </w:rPr>
        <w:t>, sino que, el compromiso institucional es tener un mayor alcance, a partir del desarrollo de las actividades complementarias relativas a la profesionalización, sistematización (documentación) de las experiencias, así como a su difusión e institucionalización.</w:t>
      </w:r>
    </w:p>
    <w:p w14:paraId="16B06C06" w14:textId="77777777" w:rsidR="00553A82" w:rsidRPr="00553A82" w:rsidRDefault="00553A82" w:rsidP="00553A82">
      <w:pPr>
        <w:rPr>
          <w:rFonts w:ascii="Abadi" w:hAnsi="Abadi"/>
          <w:sz w:val="21"/>
          <w:szCs w:val="21"/>
          <w:lang w:val="es-MX" w:eastAsia="en-US"/>
        </w:rPr>
      </w:pPr>
    </w:p>
    <w:p w14:paraId="092CD2E3" w14:textId="77777777" w:rsidR="00553A82" w:rsidRPr="00553A82" w:rsidRDefault="00553A82" w:rsidP="00553A82">
      <w:pPr>
        <w:ind w:firstLine="708"/>
        <w:contextualSpacing/>
        <w:jc w:val="both"/>
        <w:rPr>
          <w:rFonts w:ascii="Abadi" w:eastAsia="Calibri" w:hAnsi="Abadi"/>
          <w:bCs/>
          <w:sz w:val="21"/>
          <w:szCs w:val="21"/>
          <w:lang w:val="es-MX" w:eastAsia="en-US"/>
        </w:rPr>
      </w:pPr>
      <w:r w:rsidRPr="00553A82">
        <w:rPr>
          <w:rFonts w:ascii="Abadi" w:eastAsia="Calibri" w:hAnsi="Abadi"/>
          <w:bCs/>
          <w:sz w:val="21"/>
          <w:szCs w:val="21"/>
          <w:lang w:val="es-MX" w:eastAsia="en-US"/>
        </w:rPr>
        <w:t>Cabe apuntar que en el Programa General de Fiscalización 2022 se contemplan 272 actos de fiscalización, por lo que, de acuerdo a dicho Programa, así como al Programa Operativo Anual y la capacidad institucional instalada, la incorporación de actos de fiscalización adicionales a los ya programados, incidiría directamente en la cobertura, calidad y tiempos de la fiscalización, en detrimento del citado programa y de los actos de fiscalización previamente planificados.</w:t>
      </w:r>
    </w:p>
    <w:p w14:paraId="17A3047E" w14:textId="77777777" w:rsidR="00553A82" w:rsidRPr="00553A82" w:rsidRDefault="00553A82" w:rsidP="00553A82">
      <w:pPr>
        <w:ind w:firstLine="708"/>
        <w:contextualSpacing/>
        <w:jc w:val="both"/>
        <w:rPr>
          <w:rFonts w:ascii="Abadi" w:eastAsia="Calibri" w:hAnsi="Abadi"/>
          <w:bCs/>
          <w:sz w:val="21"/>
          <w:szCs w:val="21"/>
          <w:lang w:val="es-MX" w:eastAsia="en-US"/>
        </w:rPr>
      </w:pPr>
    </w:p>
    <w:p w14:paraId="63F007D3" w14:textId="77777777" w:rsidR="00553A82" w:rsidRPr="00553A82" w:rsidRDefault="00553A82" w:rsidP="00553A82">
      <w:pPr>
        <w:ind w:firstLine="720"/>
        <w:jc w:val="both"/>
        <w:rPr>
          <w:rFonts w:ascii="Abadi" w:hAnsi="Abadi" w:cs="Arial"/>
          <w:sz w:val="21"/>
          <w:szCs w:val="21"/>
        </w:rPr>
      </w:pPr>
      <w:r w:rsidRPr="00553A82">
        <w:rPr>
          <w:rFonts w:ascii="Abadi" w:hAnsi="Abadi" w:cs="Arial"/>
          <w:sz w:val="21"/>
          <w:szCs w:val="21"/>
        </w:rPr>
        <w:t xml:space="preserve">En razón a lo antes señalado y privilegiando la realización de los actos de fiscalización ya contemplados en el Programa General de Fiscalización de la Auditoría Superior del Estado para el presente ejercicio fiscal, mismo que consideró una planeación estratégica, así como al cumplimiento de dicho programa en tiempo y calidad de los actos programados, así como a la capacidad institucional instalada de dicho Órgano Técnico, determinamos no autorizar la realización de la auditoría propuesta, atendiendo además a que de acuerdo a lo informado por la Auditoría Superior del Estado, las acciones de fiscalización </w:t>
      </w:r>
      <w:r w:rsidRPr="00553A82">
        <w:rPr>
          <w:rFonts w:ascii="Abadi" w:eastAsia="Calibri" w:hAnsi="Abadi"/>
          <w:bCs/>
          <w:sz w:val="21"/>
          <w:szCs w:val="21"/>
          <w:lang w:val="es-MX" w:eastAsia="en-US"/>
        </w:rPr>
        <w:t xml:space="preserve">en materia de perspectiva de género no se limitan a la realización de la auditoría de desempeño programada para este ejercicio, sino que, se buscará </w:t>
      </w:r>
      <w:r w:rsidRPr="00553A82">
        <w:rPr>
          <w:rFonts w:ascii="Abadi" w:eastAsia="Calibri" w:hAnsi="Abadi"/>
          <w:bCs/>
          <w:sz w:val="21"/>
          <w:szCs w:val="21"/>
        </w:rPr>
        <w:t>tener un</w:t>
      </w:r>
      <w:r w:rsidRPr="00553A82">
        <w:rPr>
          <w:rFonts w:ascii="Abadi" w:eastAsia="Calibri" w:hAnsi="Abadi"/>
          <w:bCs/>
          <w:sz w:val="21"/>
          <w:szCs w:val="21"/>
          <w:lang w:val="es-MX" w:eastAsia="en-US"/>
        </w:rPr>
        <w:t xml:space="preserve"> mayor alcance, a partir del desarrollo de actividades complementarias tendientes a d</w:t>
      </w:r>
      <w:r w:rsidRPr="00553A82">
        <w:rPr>
          <w:rFonts w:ascii="Abadi" w:hAnsi="Abadi" w:cs="Calibri"/>
          <w:sz w:val="21"/>
          <w:szCs w:val="21"/>
          <w:lang w:val="es-MX" w:eastAsia="en-US"/>
        </w:rPr>
        <w:t xml:space="preserve">esarrollar metodologías que permitan incorporar perspectivas de derechos humanos y género en las labores de fiscalización e impulsar progresivamente </w:t>
      </w:r>
      <w:r w:rsidRPr="00553A82">
        <w:rPr>
          <w:rFonts w:ascii="Abadi" w:hAnsi="Abadi" w:cs="Arial"/>
          <w:sz w:val="21"/>
          <w:szCs w:val="21"/>
        </w:rPr>
        <w:t>mecanismos de colaboración para el desarrollo de labores de fiscalización con perspectiva de género y de derechos humanos, lo cual se irá dando de manera progresiva y sostenible, lo cual implicará que en los Programas Generales de Fiscalización de los años 2023 a 2027 será observará la progresividad de actos de fiscalización con perspectiva de género, principalmente mediante auditorías de desempeño, sin limitar a otros tipos de auditoría en los que también se adopte dicha perspectiva.</w:t>
      </w:r>
    </w:p>
    <w:p w14:paraId="0A691062" w14:textId="77777777" w:rsidR="00553A82" w:rsidRPr="00553A82" w:rsidRDefault="00553A82" w:rsidP="00553A82">
      <w:pPr>
        <w:ind w:firstLine="720"/>
        <w:jc w:val="both"/>
        <w:rPr>
          <w:rFonts w:ascii="Abadi" w:hAnsi="Abadi" w:cs="Arial"/>
          <w:sz w:val="21"/>
          <w:szCs w:val="21"/>
        </w:rPr>
      </w:pPr>
    </w:p>
    <w:p w14:paraId="7BA63433" w14:textId="77777777" w:rsidR="00553A82" w:rsidRPr="00553A82" w:rsidRDefault="00553A82" w:rsidP="00553A82">
      <w:pPr>
        <w:ind w:firstLine="708"/>
        <w:jc w:val="both"/>
        <w:rPr>
          <w:rFonts w:ascii="Abadi" w:hAnsi="Abadi" w:cs="Arial"/>
          <w:iCs/>
          <w:sz w:val="21"/>
          <w:szCs w:val="21"/>
        </w:rPr>
      </w:pPr>
      <w:r w:rsidRPr="00553A82">
        <w:rPr>
          <w:rFonts w:ascii="Abadi" w:hAnsi="Abadi" w:cs="Arial"/>
          <w:iCs/>
          <w:sz w:val="21"/>
          <w:szCs w:val="21"/>
        </w:rPr>
        <w:t xml:space="preserve">Por lo expuesto y con fundamento en el artículo 204 de </w:t>
      </w:r>
      <w:smartTag w:uri="urn:schemas-microsoft-com:office:smarttags" w:element="PersonName">
        <w:smartTagPr>
          <w:attr w:name="ProductID" w:val="la Ley Org￡nica"/>
        </w:smartTagPr>
        <w:r w:rsidRPr="00553A82">
          <w:rPr>
            <w:rFonts w:ascii="Abadi" w:hAnsi="Abadi" w:cs="Arial"/>
            <w:iCs/>
            <w:sz w:val="21"/>
            <w:szCs w:val="21"/>
          </w:rPr>
          <w:t>la Ley Orgánica</w:t>
        </w:r>
      </w:smartTag>
      <w:r w:rsidRPr="00553A82">
        <w:rPr>
          <w:rFonts w:ascii="Abadi" w:hAnsi="Abadi" w:cs="Arial"/>
          <w:iCs/>
          <w:sz w:val="21"/>
          <w:szCs w:val="21"/>
        </w:rPr>
        <w:t xml:space="preserve"> del Poder Legislativo del Estado, sometemos a la consideración de </w:t>
      </w:r>
      <w:smartTag w:uri="urn:schemas-microsoft-com:office:smarttags" w:element="PersonName">
        <w:smartTagPr>
          <w:attr w:name="ProductID" w:val="la Asamblea"/>
        </w:smartTagPr>
        <w:r w:rsidRPr="00553A82">
          <w:rPr>
            <w:rFonts w:ascii="Abadi" w:hAnsi="Abadi" w:cs="Arial"/>
            <w:iCs/>
            <w:sz w:val="21"/>
            <w:szCs w:val="21"/>
          </w:rPr>
          <w:t>la Asamblea</w:t>
        </w:r>
      </w:smartTag>
      <w:r w:rsidRPr="00553A82">
        <w:rPr>
          <w:rFonts w:ascii="Abadi" w:hAnsi="Abadi" w:cs="Arial"/>
          <w:iCs/>
          <w:sz w:val="21"/>
          <w:szCs w:val="21"/>
        </w:rPr>
        <w:t>, la aprobación del siguiente:</w:t>
      </w:r>
    </w:p>
    <w:p w14:paraId="34A6EEE0" w14:textId="6C63538D" w:rsidR="00553A82" w:rsidRDefault="00553A82" w:rsidP="00394F0B">
      <w:pPr>
        <w:jc w:val="both"/>
        <w:rPr>
          <w:rFonts w:ascii="Abadi" w:hAnsi="Abadi" w:cs="Arial"/>
          <w:iCs/>
          <w:sz w:val="21"/>
          <w:szCs w:val="21"/>
        </w:rPr>
      </w:pPr>
    </w:p>
    <w:p w14:paraId="3989297B" w14:textId="77777777" w:rsidR="00394F0B" w:rsidRPr="00553A82" w:rsidRDefault="00394F0B" w:rsidP="00394F0B">
      <w:pPr>
        <w:jc w:val="both"/>
        <w:rPr>
          <w:rFonts w:ascii="Abadi" w:hAnsi="Abadi" w:cs="Arial"/>
          <w:iCs/>
          <w:sz w:val="21"/>
          <w:szCs w:val="21"/>
        </w:rPr>
      </w:pPr>
    </w:p>
    <w:p w14:paraId="0326DB13" w14:textId="77777777" w:rsidR="00553A82" w:rsidRPr="00553A82" w:rsidRDefault="00553A82" w:rsidP="00553A82">
      <w:pPr>
        <w:jc w:val="center"/>
        <w:rPr>
          <w:rFonts w:ascii="Abadi" w:hAnsi="Abadi" w:cs="Arial"/>
          <w:b/>
          <w:iCs/>
          <w:sz w:val="21"/>
          <w:szCs w:val="21"/>
        </w:rPr>
      </w:pPr>
      <w:r w:rsidRPr="00553A82">
        <w:rPr>
          <w:rFonts w:ascii="Abadi" w:hAnsi="Abadi" w:cs="Arial"/>
          <w:b/>
          <w:iCs/>
          <w:sz w:val="21"/>
          <w:szCs w:val="21"/>
        </w:rPr>
        <w:t>A c u e r d o</w:t>
      </w:r>
    </w:p>
    <w:p w14:paraId="04AF1743" w14:textId="77777777" w:rsidR="00553A82" w:rsidRPr="00553A82" w:rsidRDefault="00553A82" w:rsidP="00553A82">
      <w:pPr>
        <w:jc w:val="center"/>
        <w:rPr>
          <w:rFonts w:ascii="Abadi" w:hAnsi="Abadi" w:cs="Arial"/>
          <w:b/>
          <w:iCs/>
          <w:sz w:val="21"/>
          <w:szCs w:val="21"/>
        </w:rPr>
      </w:pPr>
    </w:p>
    <w:p w14:paraId="4C1C1106" w14:textId="77777777" w:rsidR="00553A82" w:rsidRPr="00553A82" w:rsidRDefault="00553A82" w:rsidP="00553A82">
      <w:pPr>
        <w:ind w:left="-142" w:firstLine="708"/>
        <w:jc w:val="both"/>
        <w:rPr>
          <w:rFonts w:ascii="Abadi" w:hAnsi="Abadi" w:cs="Arial"/>
          <w:sz w:val="21"/>
          <w:szCs w:val="21"/>
        </w:rPr>
      </w:pPr>
      <w:r w:rsidRPr="00553A82">
        <w:rPr>
          <w:rFonts w:ascii="Abadi" w:hAnsi="Abadi" w:cs="Arial"/>
          <w:b/>
          <w:iCs/>
          <w:sz w:val="21"/>
          <w:szCs w:val="21"/>
        </w:rPr>
        <w:t>Único.</w:t>
      </w:r>
      <w:r w:rsidRPr="00553A82">
        <w:rPr>
          <w:rFonts w:ascii="Abadi" w:hAnsi="Abadi" w:cs="Arial"/>
          <w:b/>
          <w:sz w:val="21"/>
          <w:szCs w:val="21"/>
        </w:rPr>
        <w:t xml:space="preserve"> </w:t>
      </w:r>
      <w:r w:rsidRPr="00553A82">
        <w:rPr>
          <w:rFonts w:ascii="Abadi" w:hAnsi="Abadi" w:cs="Arial"/>
          <w:iCs/>
          <w:sz w:val="21"/>
          <w:szCs w:val="21"/>
        </w:rPr>
        <w:t xml:space="preserve">Se determina improcedente la propuesta de punto de acuerdo formulada por la diputada Alma Edwviges Alcaraz Hernández, integrante del Grupo Parlamentario del Partido MORENA a efecto de exhortar al titular de la Auditoría Superior del Estado de Guanajuato para que incorpore al Programa General de Fiscalización 2022 la evaluación a las intervenciones públicas para garantizar los derechos humanos de las mujeres en la cual el sujeto de fiscalización será el Poder Ejecutivo del Estado y la materia los proyectos </w:t>
      </w:r>
      <w:r w:rsidRPr="00553A82">
        <w:rPr>
          <w:rFonts w:ascii="Abadi" w:hAnsi="Abadi" w:cs="Arial"/>
          <w:i/>
          <w:sz w:val="21"/>
          <w:szCs w:val="21"/>
        </w:rPr>
        <w:t xml:space="preserve">Q3189 Acciones para reducir las manifestaciones de violencia en contra de niñas, adolescentes y mujeres </w:t>
      </w:r>
      <w:r w:rsidRPr="00553A82">
        <w:rPr>
          <w:rFonts w:ascii="Abadi" w:hAnsi="Abadi" w:cs="Arial"/>
          <w:iCs/>
          <w:sz w:val="21"/>
          <w:szCs w:val="21"/>
        </w:rPr>
        <w:t xml:space="preserve">y </w:t>
      </w:r>
      <w:r w:rsidRPr="00553A82">
        <w:rPr>
          <w:rFonts w:ascii="Abadi" w:hAnsi="Abadi" w:cs="Arial"/>
          <w:i/>
          <w:sz w:val="21"/>
          <w:szCs w:val="21"/>
        </w:rPr>
        <w:t>Q3128 Refugio para mujeres, sus hijas e hijos en situación de violencia</w:t>
      </w:r>
      <w:r w:rsidRPr="00553A82">
        <w:rPr>
          <w:rFonts w:ascii="Abadi" w:hAnsi="Abadi" w:cs="Arial"/>
          <w:iCs/>
          <w:sz w:val="21"/>
          <w:szCs w:val="21"/>
        </w:rPr>
        <w:t>.</w:t>
      </w:r>
      <w:r w:rsidRPr="00553A82">
        <w:rPr>
          <w:rFonts w:ascii="Abadi" w:hAnsi="Abadi"/>
          <w:sz w:val="21"/>
          <w:szCs w:val="21"/>
          <w:lang w:val="es-ES_tradnl"/>
        </w:rPr>
        <w:t xml:space="preserve"> En consecuencia, se ordena su archivo definitivo.</w:t>
      </w:r>
    </w:p>
    <w:p w14:paraId="6BC6000A" w14:textId="77777777" w:rsidR="00553A82" w:rsidRPr="00553A82" w:rsidRDefault="00553A82" w:rsidP="00553A82">
      <w:pPr>
        <w:ind w:firstLine="708"/>
        <w:jc w:val="both"/>
        <w:rPr>
          <w:rFonts w:ascii="Abadi" w:hAnsi="Abadi" w:cs="Arial"/>
          <w:sz w:val="21"/>
          <w:szCs w:val="21"/>
        </w:rPr>
      </w:pPr>
    </w:p>
    <w:p w14:paraId="25FC6DA1" w14:textId="77777777" w:rsidR="00553A82" w:rsidRPr="00553A82" w:rsidRDefault="00553A82" w:rsidP="00553A82">
      <w:pPr>
        <w:ind w:firstLine="708"/>
        <w:jc w:val="both"/>
        <w:rPr>
          <w:rFonts w:ascii="Abadi" w:hAnsi="Abadi" w:cs="Arial"/>
          <w:iCs/>
          <w:sz w:val="21"/>
          <w:szCs w:val="21"/>
        </w:rPr>
      </w:pPr>
      <w:r w:rsidRPr="00553A82">
        <w:rPr>
          <w:rFonts w:ascii="Abadi" w:hAnsi="Abadi" w:cs="Arial"/>
          <w:sz w:val="21"/>
          <w:szCs w:val="21"/>
        </w:rPr>
        <w:t>Comuníquese el presente acuerdo al Secretario General del Congreso de Estado, para los efectos conducentes</w:t>
      </w:r>
    </w:p>
    <w:p w14:paraId="600685D7" w14:textId="77777777" w:rsidR="00553A82" w:rsidRPr="00553A82" w:rsidRDefault="00553A82" w:rsidP="00394F0B">
      <w:pPr>
        <w:spacing w:line="360" w:lineRule="auto"/>
        <w:ind w:firstLine="708"/>
        <w:jc w:val="center"/>
        <w:rPr>
          <w:rFonts w:ascii="Abadi" w:hAnsi="Abadi" w:cs="Arial"/>
          <w:iCs/>
          <w:sz w:val="21"/>
          <w:szCs w:val="21"/>
        </w:rPr>
      </w:pPr>
    </w:p>
    <w:p w14:paraId="75496677" w14:textId="77777777" w:rsidR="00553A82" w:rsidRPr="00553A82" w:rsidRDefault="00553A82" w:rsidP="00394F0B">
      <w:pPr>
        <w:jc w:val="center"/>
        <w:rPr>
          <w:rFonts w:ascii="Abadi" w:hAnsi="Abadi"/>
          <w:b/>
          <w:bCs/>
          <w:sz w:val="21"/>
          <w:szCs w:val="21"/>
          <w:lang w:eastAsia="x-none"/>
        </w:rPr>
      </w:pPr>
      <w:r w:rsidRPr="00553A82">
        <w:rPr>
          <w:rFonts w:ascii="Abadi" w:hAnsi="Abadi"/>
          <w:b/>
          <w:bCs/>
          <w:sz w:val="21"/>
          <w:szCs w:val="21"/>
          <w:lang w:eastAsia="x-none"/>
        </w:rPr>
        <w:t>Guanajuato, Gto., 16 de junio de 2022</w:t>
      </w:r>
    </w:p>
    <w:p w14:paraId="1BECC983" w14:textId="77777777" w:rsidR="00553A82" w:rsidRPr="00553A82" w:rsidRDefault="00553A82" w:rsidP="00394F0B">
      <w:pPr>
        <w:jc w:val="center"/>
        <w:rPr>
          <w:rFonts w:ascii="Abadi" w:hAnsi="Abadi"/>
          <w:b/>
          <w:bCs/>
          <w:sz w:val="21"/>
          <w:szCs w:val="21"/>
          <w:lang w:eastAsia="x-none"/>
        </w:rPr>
      </w:pPr>
      <w:smartTag w:uri="urn:schemas-microsoft-com:office:smarttags" w:element="PersonName">
        <w:smartTagPr>
          <w:attr w:name="ProductID" w:val="La Comisi￳n"/>
        </w:smartTagPr>
        <w:r w:rsidRPr="00553A82">
          <w:rPr>
            <w:rFonts w:ascii="Abadi" w:hAnsi="Abadi"/>
            <w:b/>
            <w:bCs/>
            <w:sz w:val="21"/>
            <w:szCs w:val="21"/>
            <w:lang w:eastAsia="x-none"/>
          </w:rPr>
          <w:t>La Comisión</w:t>
        </w:r>
      </w:smartTag>
      <w:r w:rsidRPr="00553A82">
        <w:rPr>
          <w:rFonts w:ascii="Abadi" w:hAnsi="Abadi"/>
          <w:b/>
          <w:bCs/>
          <w:sz w:val="21"/>
          <w:szCs w:val="21"/>
          <w:lang w:eastAsia="x-none"/>
        </w:rPr>
        <w:t xml:space="preserve"> de Hacienda y Fiscalización</w:t>
      </w:r>
    </w:p>
    <w:p w14:paraId="65FB57D1" w14:textId="77777777" w:rsidR="00553A82" w:rsidRPr="00553A82" w:rsidRDefault="00553A82" w:rsidP="00394F0B">
      <w:pPr>
        <w:jc w:val="center"/>
        <w:rPr>
          <w:rFonts w:ascii="Abadi" w:hAnsi="Abadi"/>
          <w:sz w:val="21"/>
          <w:szCs w:val="21"/>
        </w:rPr>
      </w:pPr>
    </w:p>
    <w:p w14:paraId="7664D3B9" w14:textId="11EF7714" w:rsidR="00553A82" w:rsidRDefault="00553A82" w:rsidP="00394F0B">
      <w:pPr>
        <w:jc w:val="center"/>
        <w:rPr>
          <w:rFonts w:ascii="Abadi" w:hAnsi="Abadi"/>
          <w:sz w:val="21"/>
          <w:szCs w:val="21"/>
        </w:rPr>
      </w:pPr>
    </w:p>
    <w:p w14:paraId="2AB802A6" w14:textId="77777777" w:rsidR="00394F0B" w:rsidRPr="00553A82" w:rsidRDefault="00394F0B" w:rsidP="00394F0B">
      <w:pPr>
        <w:jc w:val="center"/>
        <w:rPr>
          <w:rFonts w:ascii="Abadi" w:hAnsi="Abadi"/>
          <w:sz w:val="21"/>
          <w:szCs w:val="21"/>
        </w:rPr>
      </w:pPr>
    </w:p>
    <w:p w14:paraId="151B6881" w14:textId="77777777" w:rsidR="00553A82" w:rsidRPr="00553A82" w:rsidRDefault="00553A82" w:rsidP="00394F0B">
      <w:pPr>
        <w:jc w:val="center"/>
        <w:rPr>
          <w:rFonts w:ascii="Abadi" w:hAnsi="Abadi"/>
          <w:sz w:val="21"/>
          <w:szCs w:val="21"/>
          <w:lang w:val="es-MX"/>
        </w:rPr>
      </w:pPr>
      <w:r w:rsidRPr="00553A82">
        <w:rPr>
          <w:rFonts w:ascii="Abadi" w:hAnsi="Abadi"/>
          <w:b/>
          <w:sz w:val="21"/>
          <w:szCs w:val="21"/>
          <w:lang w:eastAsia="x-none"/>
        </w:rPr>
        <w:t>Diputado Víctor Manuel Zanella Huerta</w:t>
      </w:r>
    </w:p>
    <w:p w14:paraId="1F8F5061" w14:textId="77777777" w:rsidR="00553A82" w:rsidRPr="00553A82" w:rsidRDefault="00553A82" w:rsidP="00394F0B">
      <w:pPr>
        <w:rPr>
          <w:rFonts w:ascii="Abadi" w:hAnsi="Abadi"/>
          <w:sz w:val="21"/>
          <w:szCs w:val="21"/>
          <w:lang w:eastAsia="x-none"/>
        </w:rPr>
      </w:pPr>
    </w:p>
    <w:p w14:paraId="580B6570" w14:textId="77777777" w:rsidR="00553A82" w:rsidRPr="00553A82" w:rsidRDefault="00553A82" w:rsidP="00394F0B">
      <w:pPr>
        <w:jc w:val="center"/>
        <w:rPr>
          <w:rFonts w:ascii="Abadi" w:hAnsi="Abadi"/>
          <w:b/>
          <w:bCs/>
          <w:sz w:val="21"/>
          <w:szCs w:val="21"/>
          <w:lang w:eastAsia="x-none"/>
        </w:rPr>
      </w:pPr>
    </w:p>
    <w:p w14:paraId="483F6F79" w14:textId="11A9383C" w:rsidR="00553A82" w:rsidRPr="00553A82" w:rsidRDefault="00553A82" w:rsidP="00394F0B">
      <w:pPr>
        <w:jc w:val="center"/>
        <w:rPr>
          <w:rFonts w:ascii="Abadi" w:hAnsi="Abadi"/>
          <w:b/>
          <w:sz w:val="21"/>
          <w:szCs w:val="21"/>
          <w:lang w:eastAsia="x-none"/>
        </w:rPr>
      </w:pPr>
      <w:r w:rsidRPr="00553A82">
        <w:rPr>
          <w:rFonts w:ascii="Abadi" w:hAnsi="Abadi"/>
          <w:b/>
          <w:sz w:val="21"/>
          <w:szCs w:val="21"/>
          <w:lang w:eastAsia="x-none"/>
        </w:rPr>
        <w:t>Diputada Ruth Noemí Tiscareño Agoitia</w:t>
      </w:r>
    </w:p>
    <w:p w14:paraId="44A4637A" w14:textId="77777777" w:rsidR="00553A82" w:rsidRPr="00553A82" w:rsidRDefault="00553A82" w:rsidP="00394F0B">
      <w:pPr>
        <w:jc w:val="center"/>
        <w:rPr>
          <w:rFonts w:ascii="Abadi" w:hAnsi="Abadi"/>
          <w:b/>
          <w:sz w:val="21"/>
          <w:szCs w:val="21"/>
          <w:lang w:eastAsia="x-none"/>
        </w:rPr>
      </w:pPr>
    </w:p>
    <w:p w14:paraId="71891616" w14:textId="77777777" w:rsidR="00553A82" w:rsidRPr="00553A82" w:rsidRDefault="00553A82" w:rsidP="00394F0B">
      <w:pPr>
        <w:jc w:val="center"/>
        <w:rPr>
          <w:rFonts w:ascii="Abadi" w:hAnsi="Abadi"/>
          <w:b/>
          <w:sz w:val="21"/>
          <w:szCs w:val="21"/>
          <w:lang w:eastAsia="x-none"/>
        </w:rPr>
      </w:pPr>
    </w:p>
    <w:p w14:paraId="332130DF" w14:textId="23DF169D" w:rsidR="00553A82" w:rsidRPr="00553A82" w:rsidRDefault="00553A82" w:rsidP="00394F0B">
      <w:pPr>
        <w:jc w:val="center"/>
        <w:rPr>
          <w:rFonts w:ascii="Abadi" w:hAnsi="Abadi"/>
          <w:b/>
          <w:sz w:val="21"/>
          <w:szCs w:val="21"/>
          <w:lang w:eastAsia="x-none"/>
        </w:rPr>
      </w:pPr>
      <w:r w:rsidRPr="00553A82">
        <w:rPr>
          <w:rFonts w:ascii="Abadi" w:hAnsi="Abadi"/>
          <w:b/>
          <w:sz w:val="21"/>
          <w:szCs w:val="21"/>
          <w:lang w:eastAsia="x-none"/>
        </w:rPr>
        <w:t>Diputado Miguel Ángel Salim Alle</w:t>
      </w:r>
    </w:p>
    <w:p w14:paraId="1B5C9DA0" w14:textId="77777777" w:rsidR="00553A82" w:rsidRPr="00553A82" w:rsidRDefault="00553A82" w:rsidP="00394F0B">
      <w:pPr>
        <w:jc w:val="center"/>
        <w:rPr>
          <w:rFonts w:ascii="Abadi" w:hAnsi="Abadi"/>
          <w:b/>
          <w:sz w:val="21"/>
          <w:szCs w:val="21"/>
          <w:lang w:eastAsia="x-none"/>
        </w:rPr>
      </w:pPr>
    </w:p>
    <w:p w14:paraId="4B17C8F5" w14:textId="77777777" w:rsidR="00553A82" w:rsidRPr="00553A82" w:rsidRDefault="00553A82" w:rsidP="00394F0B">
      <w:pPr>
        <w:jc w:val="center"/>
        <w:rPr>
          <w:rFonts w:ascii="Abadi" w:hAnsi="Abadi"/>
          <w:b/>
          <w:sz w:val="21"/>
          <w:szCs w:val="21"/>
          <w:lang w:eastAsia="x-none"/>
        </w:rPr>
      </w:pPr>
    </w:p>
    <w:p w14:paraId="6A8543EE" w14:textId="40733D15" w:rsidR="00553A82" w:rsidRPr="00553A82" w:rsidRDefault="00553A82" w:rsidP="00394F0B">
      <w:pPr>
        <w:jc w:val="center"/>
        <w:rPr>
          <w:rFonts w:ascii="Abadi" w:hAnsi="Abadi"/>
          <w:b/>
          <w:sz w:val="21"/>
          <w:szCs w:val="21"/>
          <w:lang w:eastAsia="x-none"/>
        </w:rPr>
      </w:pPr>
      <w:r w:rsidRPr="00553A82">
        <w:rPr>
          <w:rFonts w:ascii="Abadi" w:hAnsi="Abadi"/>
          <w:b/>
          <w:sz w:val="21"/>
          <w:szCs w:val="21"/>
          <w:lang w:eastAsia="x-none"/>
        </w:rPr>
        <w:t>Diputado José Alfonso Borja Pimentel</w:t>
      </w:r>
    </w:p>
    <w:p w14:paraId="158BF501" w14:textId="77777777" w:rsidR="00553A82" w:rsidRPr="00553A82" w:rsidRDefault="00553A82" w:rsidP="00394F0B">
      <w:pPr>
        <w:jc w:val="center"/>
        <w:rPr>
          <w:rFonts w:ascii="Abadi" w:hAnsi="Abadi"/>
          <w:b/>
          <w:sz w:val="21"/>
          <w:szCs w:val="21"/>
          <w:lang w:eastAsia="x-none"/>
        </w:rPr>
      </w:pPr>
    </w:p>
    <w:p w14:paraId="3542DE49" w14:textId="77777777" w:rsidR="00553A82" w:rsidRPr="00553A82" w:rsidRDefault="00553A82" w:rsidP="00394F0B">
      <w:pPr>
        <w:jc w:val="center"/>
        <w:rPr>
          <w:rFonts w:ascii="Abadi" w:hAnsi="Abadi"/>
          <w:b/>
          <w:sz w:val="21"/>
          <w:szCs w:val="21"/>
          <w:lang w:eastAsia="x-none"/>
        </w:rPr>
      </w:pPr>
    </w:p>
    <w:p w14:paraId="615675D4" w14:textId="77777777" w:rsidR="00553A82" w:rsidRPr="00553A82" w:rsidRDefault="00553A82" w:rsidP="00394F0B">
      <w:pPr>
        <w:ind w:firstLine="708"/>
        <w:jc w:val="center"/>
        <w:rPr>
          <w:rFonts w:ascii="Abadi" w:hAnsi="Abadi"/>
          <w:b/>
          <w:sz w:val="21"/>
          <w:szCs w:val="21"/>
          <w:lang w:eastAsia="x-none"/>
        </w:rPr>
      </w:pPr>
      <w:r w:rsidRPr="00553A82">
        <w:rPr>
          <w:rFonts w:ascii="Abadi" w:hAnsi="Abadi"/>
          <w:b/>
          <w:sz w:val="21"/>
          <w:szCs w:val="21"/>
          <w:lang w:eastAsia="x-none"/>
        </w:rPr>
        <w:t>Diputada Alma Edwviges Alcaraz Hernández</w:t>
      </w:r>
    </w:p>
    <w:p w14:paraId="2BEF68F3" w14:textId="1A9A06F3" w:rsidR="00A04284" w:rsidRDefault="00A04284" w:rsidP="00A04284">
      <w:pPr>
        <w:rPr>
          <w:rFonts w:ascii="Abadi" w:hAnsi="Abadi"/>
          <w:sz w:val="20"/>
          <w:szCs w:val="20"/>
        </w:rPr>
      </w:pPr>
    </w:p>
    <w:p w14:paraId="2209557F" w14:textId="77777777" w:rsidR="00A04284" w:rsidRPr="00A04284" w:rsidRDefault="00A04284" w:rsidP="00A04284">
      <w:pPr>
        <w:rPr>
          <w:rFonts w:ascii="Abadi" w:hAnsi="Abadi"/>
          <w:sz w:val="20"/>
          <w:szCs w:val="20"/>
        </w:rPr>
      </w:pPr>
    </w:p>
    <w:p w14:paraId="15393B44" w14:textId="592B33A3" w:rsidR="00BA072D" w:rsidRDefault="00BA072D" w:rsidP="005433FA">
      <w:pPr>
        <w:pStyle w:val="Prrafodelista"/>
        <w:numPr>
          <w:ilvl w:val="0"/>
          <w:numId w:val="9"/>
        </w:numPr>
        <w:tabs>
          <w:tab w:val="left" w:pos="856"/>
        </w:tabs>
        <w:kinsoku w:val="0"/>
        <w:overflowPunct w:val="0"/>
        <w:autoSpaceDE w:val="0"/>
        <w:autoSpaceDN w:val="0"/>
        <w:adjustRightInd w:val="0"/>
        <w:spacing w:before="22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2"/>
          <w:sz w:val="20"/>
          <w:szCs w:val="20"/>
        </w:rPr>
        <w:t xml:space="preserve"> </w:t>
      </w:r>
      <w:r w:rsidRPr="00531B12">
        <w:rPr>
          <w:rFonts w:ascii="Abadi" w:hAnsi="Abadi"/>
          <w:b/>
          <w:bCs/>
          <w:sz w:val="20"/>
          <w:szCs w:val="20"/>
        </w:rPr>
        <w:t>Y,</w:t>
      </w:r>
      <w:r w:rsidRPr="00531B12">
        <w:rPr>
          <w:rFonts w:ascii="Abadi" w:hAnsi="Abadi"/>
          <w:b/>
          <w:bCs/>
          <w:spacing w:val="12"/>
          <w:sz w:val="20"/>
          <w:szCs w:val="20"/>
        </w:rPr>
        <w:t xml:space="preserve"> </w:t>
      </w:r>
      <w:r w:rsidRPr="00531B12">
        <w:rPr>
          <w:rFonts w:ascii="Abadi" w:hAnsi="Abadi"/>
          <w:b/>
          <w:bCs/>
          <w:sz w:val="20"/>
          <w:szCs w:val="20"/>
        </w:rPr>
        <w:t>EN</w:t>
      </w:r>
      <w:r w:rsidRPr="00531B12">
        <w:rPr>
          <w:rFonts w:ascii="Abadi" w:hAnsi="Abadi"/>
          <w:b/>
          <w:bCs/>
          <w:spacing w:val="12"/>
          <w:sz w:val="20"/>
          <w:szCs w:val="20"/>
        </w:rPr>
        <w:t xml:space="preserve"> </w:t>
      </w:r>
      <w:r w:rsidRPr="00531B12">
        <w:rPr>
          <w:rFonts w:ascii="Abadi" w:hAnsi="Abadi"/>
          <w:b/>
          <w:bCs/>
          <w:sz w:val="20"/>
          <w:szCs w:val="20"/>
        </w:rPr>
        <w:t>SU</w:t>
      </w:r>
      <w:r w:rsidRPr="00531B12">
        <w:rPr>
          <w:rFonts w:ascii="Abadi" w:hAnsi="Abadi"/>
          <w:b/>
          <w:bCs/>
          <w:spacing w:val="12"/>
          <w:sz w:val="20"/>
          <w:szCs w:val="20"/>
        </w:rPr>
        <w:t xml:space="preserve"> </w:t>
      </w:r>
      <w:r w:rsidRPr="00531B12">
        <w:rPr>
          <w:rFonts w:ascii="Abadi" w:hAnsi="Abadi"/>
          <w:b/>
          <w:bCs/>
          <w:sz w:val="20"/>
          <w:szCs w:val="20"/>
        </w:rPr>
        <w:t>CASO,</w:t>
      </w:r>
      <w:r w:rsidRPr="00531B12">
        <w:rPr>
          <w:rFonts w:ascii="Abadi" w:hAnsi="Abadi"/>
          <w:b/>
          <w:bCs/>
          <w:spacing w:val="12"/>
          <w:sz w:val="20"/>
          <w:szCs w:val="20"/>
        </w:rPr>
        <w:t xml:space="preserve"> </w:t>
      </w:r>
      <w:r w:rsidRPr="00531B12">
        <w:rPr>
          <w:rFonts w:ascii="Abadi" w:hAnsi="Abadi"/>
          <w:b/>
          <w:bCs/>
          <w:sz w:val="20"/>
          <w:szCs w:val="20"/>
        </w:rPr>
        <w:t>APROBACIÓN</w:t>
      </w:r>
      <w:r w:rsidRPr="00531B12">
        <w:rPr>
          <w:rFonts w:ascii="Abadi" w:hAnsi="Abadi"/>
          <w:b/>
          <w:bCs/>
          <w:spacing w:val="12"/>
          <w:sz w:val="20"/>
          <w:szCs w:val="20"/>
        </w:rPr>
        <w:t xml:space="preserve"> </w:t>
      </w:r>
      <w:r w:rsidRPr="00531B12">
        <w:rPr>
          <w:rFonts w:ascii="Abadi" w:hAnsi="Abadi"/>
          <w:b/>
          <w:bCs/>
          <w:sz w:val="20"/>
          <w:szCs w:val="20"/>
        </w:rPr>
        <w:t>DEL</w:t>
      </w:r>
      <w:r w:rsidRPr="00531B12">
        <w:rPr>
          <w:rFonts w:ascii="Abadi" w:hAnsi="Abadi"/>
          <w:b/>
          <w:bCs/>
          <w:spacing w:val="12"/>
          <w:sz w:val="20"/>
          <w:szCs w:val="20"/>
        </w:rPr>
        <w:t xml:space="preserve"> </w:t>
      </w:r>
      <w:r w:rsidRPr="00531B12">
        <w:rPr>
          <w:rFonts w:ascii="Abadi" w:hAnsi="Abadi"/>
          <w:b/>
          <w:bCs/>
          <w:sz w:val="20"/>
          <w:szCs w:val="20"/>
        </w:rPr>
        <w:t>DICTAMEN</w:t>
      </w:r>
      <w:r w:rsidRPr="00531B12">
        <w:rPr>
          <w:rFonts w:ascii="Abadi" w:hAnsi="Abadi"/>
          <w:b/>
          <w:bCs/>
          <w:spacing w:val="12"/>
          <w:sz w:val="20"/>
          <w:szCs w:val="20"/>
        </w:rPr>
        <w:t xml:space="preserve"> </w:t>
      </w:r>
      <w:r w:rsidRPr="00531B12">
        <w:rPr>
          <w:rFonts w:ascii="Abadi" w:hAnsi="Abadi"/>
          <w:b/>
          <w:bCs/>
          <w:sz w:val="20"/>
          <w:szCs w:val="20"/>
        </w:rPr>
        <w:t>SUSCRITO</w:t>
      </w:r>
      <w:r w:rsidRPr="00531B12">
        <w:rPr>
          <w:rFonts w:ascii="Abadi" w:hAnsi="Abadi"/>
          <w:b/>
          <w:bCs/>
          <w:spacing w:val="13"/>
          <w:sz w:val="20"/>
          <w:szCs w:val="20"/>
        </w:rPr>
        <w:t xml:space="preserve"> </w:t>
      </w:r>
      <w:r w:rsidRPr="00531B12">
        <w:rPr>
          <w:rFonts w:ascii="Abadi" w:hAnsi="Abadi"/>
          <w:b/>
          <w:bCs/>
          <w:sz w:val="20"/>
          <w:szCs w:val="20"/>
        </w:rPr>
        <w:t>POR</w:t>
      </w:r>
      <w:r w:rsidRPr="00531B12">
        <w:rPr>
          <w:rFonts w:ascii="Abadi" w:hAnsi="Abadi"/>
          <w:b/>
          <w:bCs/>
          <w:spacing w:val="12"/>
          <w:sz w:val="20"/>
          <w:szCs w:val="20"/>
        </w:rPr>
        <w:t xml:space="preserve"> </w:t>
      </w:r>
      <w:r w:rsidRPr="00531B12">
        <w:rPr>
          <w:rFonts w:ascii="Abadi" w:hAnsi="Abadi"/>
          <w:b/>
          <w:bCs/>
          <w:sz w:val="20"/>
          <w:szCs w:val="20"/>
        </w:rPr>
        <w:t>LA</w:t>
      </w:r>
      <w:r w:rsidRPr="00531B12">
        <w:rPr>
          <w:rFonts w:ascii="Abadi" w:hAnsi="Abadi"/>
          <w:b/>
          <w:bCs/>
          <w:spacing w:val="12"/>
          <w:sz w:val="20"/>
          <w:szCs w:val="20"/>
        </w:rPr>
        <w:t xml:space="preserve"> </w:t>
      </w:r>
      <w:r w:rsidRPr="00531B12">
        <w:rPr>
          <w:rFonts w:ascii="Abadi" w:hAnsi="Abadi"/>
          <w:b/>
          <w:bCs/>
          <w:sz w:val="20"/>
          <w:szCs w:val="20"/>
        </w:rPr>
        <w:t>COMISIÓN DE</w:t>
      </w:r>
      <w:r w:rsidRPr="00531B12">
        <w:rPr>
          <w:rFonts w:ascii="Abadi" w:hAnsi="Abadi"/>
          <w:b/>
          <w:bCs/>
          <w:spacing w:val="80"/>
          <w:sz w:val="20"/>
          <w:szCs w:val="20"/>
        </w:rPr>
        <w:t xml:space="preserve"> </w:t>
      </w:r>
      <w:r w:rsidRPr="00531B12">
        <w:rPr>
          <w:rFonts w:ascii="Abadi" w:hAnsi="Abadi"/>
          <w:b/>
          <w:bCs/>
          <w:sz w:val="20"/>
          <w:szCs w:val="20"/>
        </w:rPr>
        <w:t>HACIENDA</w:t>
      </w:r>
      <w:r w:rsidRPr="00531B12">
        <w:rPr>
          <w:rFonts w:ascii="Abadi" w:hAnsi="Abadi"/>
          <w:b/>
          <w:bCs/>
          <w:spacing w:val="80"/>
          <w:sz w:val="20"/>
          <w:szCs w:val="20"/>
        </w:rPr>
        <w:t xml:space="preserve"> </w:t>
      </w:r>
      <w:r w:rsidRPr="00531B12">
        <w:rPr>
          <w:rFonts w:ascii="Abadi" w:hAnsi="Abadi"/>
          <w:b/>
          <w:bCs/>
          <w:sz w:val="20"/>
          <w:szCs w:val="20"/>
        </w:rPr>
        <w:t>Y</w:t>
      </w:r>
      <w:r w:rsidRPr="00531B12">
        <w:rPr>
          <w:rFonts w:ascii="Abadi" w:hAnsi="Abadi"/>
          <w:b/>
          <w:bCs/>
          <w:spacing w:val="80"/>
          <w:sz w:val="20"/>
          <w:szCs w:val="20"/>
        </w:rPr>
        <w:t xml:space="preserve"> </w:t>
      </w:r>
      <w:r w:rsidRPr="00531B12">
        <w:rPr>
          <w:rFonts w:ascii="Abadi" w:hAnsi="Abadi"/>
          <w:b/>
          <w:bCs/>
          <w:sz w:val="20"/>
          <w:szCs w:val="20"/>
        </w:rPr>
        <w:t>FISCALIZACIÓN</w:t>
      </w:r>
      <w:r w:rsidRPr="00531B12">
        <w:rPr>
          <w:rFonts w:ascii="Abadi" w:hAnsi="Abadi"/>
          <w:b/>
          <w:bCs/>
          <w:spacing w:val="80"/>
          <w:sz w:val="20"/>
          <w:szCs w:val="20"/>
        </w:rPr>
        <w:t xml:space="preserve"> </w:t>
      </w:r>
      <w:r w:rsidRPr="00531B12">
        <w:rPr>
          <w:rFonts w:ascii="Abadi" w:hAnsi="Abadi"/>
          <w:b/>
          <w:bCs/>
          <w:sz w:val="20"/>
          <w:szCs w:val="20"/>
        </w:rPr>
        <w:t>RELATIVO</w:t>
      </w:r>
      <w:r w:rsidRPr="00531B12">
        <w:rPr>
          <w:rFonts w:ascii="Abadi" w:hAnsi="Abadi"/>
          <w:b/>
          <w:bCs/>
          <w:spacing w:val="80"/>
          <w:sz w:val="20"/>
          <w:szCs w:val="20"/>
        </w:rPr>
        <w:t xml:space="preserve"> </w:t>
      </w:r>
      <w:r w:rsidRPr="00531B12">
        <w:rPr>
          <w:rFonts w:ascii="Abadi" w:hAnsi="Abadi"/>
          <w:b/>
          <w:bCs/>
          <w:sz w:val="20"/>
          <w:szCs w:val="20"/>
        </w:rPr>
        <w:t>A</w:t>
      </w:r>
      <w:r w:rsidRPr="00531B12">
        <w:rPr>
          <w:rFonts w:ascii="Abadi" w:hAnsi="Abadi"/>
          <w:b/>
          <w:bCs/>
          <w:spacing w:val="80"/>
          <w:sz w:val="20"/>
          <w:szCs w:val="20"/>
        </w:rPr>
        <w:t xml:space="preserve"> </w:t>
      </w:r>
      <w:r w:rsidRPr="00531B12">
        <w:rPr>
          <w:rFonts w:ascii="Abadi" w:hAnsi="Abadi"/>
          <w:b/>
          <w:bCs/>
          <w:sz w:val="20"/>
          <w:szCs w:val="20"/>
        </w:rPr>
        <w:t>LA</w:t>
      </w:r>
      <w:r w:rsidRPr="00531B12">
        <w:rPr>
          <w:rFonts w:ascii="Abadi" w:hAnsi="Abadi"/>
          <w:b/>
          <w:bCs/>
          <w:spacing w:val="80"/>
          <w:sz w:val="20"/>
          <w:szCs w:val="20"/>
        </w:rPr>
        <w:t xml:space="preserve"> </w:t>
      </w:r>
      <w:r w:rsidRPr="00531B12">
        <w:rPr>
          <w:rFonts w:ascii="Abadi" w:hAnsi="Abadi"/>
          <w:b/>
          <w:bCs/>
          <w:sz w:val="20"/>
          <w:szCs w:val="20"/>
        </w:rPr>
        <w:t>PROPUESTA</w:t>
      </w:r>
      <w:r w:rsidRPr="00531B12">
        <w:rPr>
          <w:rFonts w:ascii="Abadi" w:hAnsi="Abadi"/>
          <w:b/>
          <w:bCs/>
          <w:spacing w:val="80"/>
          <w:sz w:val="20"/>
          <w:szCs w:val="20"/>
        </w:rPr>
        <w:t xml:space="preserve"> </w:t>
      </w:r>
      <w:r w:rsidRPr="00531B12">
        <w:rPr>
          <w:rFonts w:ascii="Abadi" w:hAnsi="Abadi"/>
          <w:b/>
          <w:bCs/>
          <w:sz w:val="20"/>
          <w:szCs w:val="20"/>
        </w:rPr>
        <w:t>FORMULADA</w:t>
      </w:r>
      <w:r w:rsidRPr="00531B12">
        <w:rPr>
          <w:rFonts w:ascii="Abadi" w:hAnsi="Abadi"/>
          <w:b/>
          <w:bCs/>
          <w:spacing w:val="80"/>
          <w:sz w:val="20"/>
          <w:szCs w:val="20"/>
        </w:rPr>
        <w:t xml:space="preserve"> </w:t>
      </w:r>
      <w:r w:rsidRPr="00531B12">
        <w:rPr>
          <w:rFonts w:ascii="Abadi" w:hAnsi="Abadi"/>
          <w:b/>
          <w:bCs/>
          <w:sz w:val="20"/>
          <w:szCs w:val="20"/>
        </w:rPr>
        <w:t>POR</w:t>
      </w:r>
      <w:r w:rsidRPr="00531B12">
        <w:rPr>
          <w:rFonts w:ascii="Abadi" w:hAnsi="Abadi"/>
          <w:b/>
          <w:bCs/>
          <w:spacing w:val="80"/>
          <w:sz w:val="20"/>
          <w:szCs w:val="20"/>
        </w:rPr>
        <w:t xml:space="preserve"> </w:t>
      </w:r>
      <w:r w:rsidRPr="00531B12">
        <w:rPr>
          <w:rFonts w:ascii="Abadi" w:hAnsi="Abadi"/>
          <w:b/>
          <w:bCs/>
          <w:sz w:val="20"/>
          <w:szCs w:val="20"/>
        </w:rPr>
        <w:t>EL AYUNTAMIENTO</w:t>
      </w:r>
      <w:r w:rsidRPr="00531B12">
        <w:rPr>
          <w:rFonts w:ascii="Abadi" w:hAnsi="Abadi"/>
          <w:b/>
          <w:bCs/>
          <w:spacing w:val="23"/>
          <w:sz w:val="20"/>
          <w:szCs w:val="20"/>
        </w:rPr>
        <w:t xml:space="preserve"> </w:t>
      </w:r>
      <w:r w:rsidRPr="00531B12">
        <w:rPr>
          <w:rFonts w:ascii="Abadi" w:hAnsi="Abadi"/>
          <w:b/>
          <w:bCs/>
          <w:sz w:val="20"/>
          <w:szCs w:val="20"/>
        </w:rPr>
        <w:t>DE</w:t>
      </w:r>
      <w:r w:rsidRPr="00531B12">
        <w:rPr>
          <w:rFonts w:ascii="Abadi" w:hAnsi="Abadi"/>
          <w:b/>
          <w:bCs/>
          <w:spacing w:val="23"/>
          <w:sz w:val="20"/>
          <w:szCs w:val="20"/>
        </w:rPr>
        <w:t xml:space="preserve"> </w:t>
      </w:r>
      <w:r w:rsidRPr="00531B12">
        <w:rPr>
          <w:rFonts w:ascii="Abadi" w:hAnsi="Abadi"/>
          <w:b/>
          <w:bCs/>
          <w:sz w:val="20"/>
          <w:szCs w:val="20"/>
        </w:rPr>
        <w:t>SAN</w:t>
      </w:r>
      <w:r w:rsidRPr="00531B12">
        <w:rPr>
          <w:rFonts w:ascii="Abadi" w:hAnsi="Abadi"/>
          <w:b/>
          <w:bCs/>
          <w:spacing w:val="23"/>
          <w:sz w:val="20"/>
          <w:szCs w:val="20"/>
        </w:rPr>
        <w:t xml:space="preserve"> </w:t>
      </w:r>
      <w:r w:rsidRPr="00531B12">
        <w:rPr>
          <w:rFonts w:ascii="Abadi" w:hAnsi="Abadi"/>
          <w:b/>
          <w:bCs/>
          <w:sz w:val="20"/>
          <w:szCs w:val="20"/>
        </w:rPr>
        <w:t>JOSÉ</w:t>
      </w:r>
      <w:r w:rsidRPr="00531B12">
        <w:rPr>
          <w:rFonts w:ascii="Abadi" w:hAnsi="Abadi"/>
          <w:b/>
          <w:bCs/>
          <w:spacing w:val="23"/>
          <w:sz w:val="20"/>
          <w:szCs w:val="20"/>
        </w:rPr>
        <w:t xml:space="preserve"> </w:t>
      </w:r>
      <w:r w:rsidRPr="00531B12">
        <w:rPr>
          <w:rFonts w:ascii="Abadi" w:hAnsi="Abadi"/>
          <w:b/>
          <w:bCs/>
          <w:sz w:val="20"/>
          <w:szCs w:val="20"/>
        </w:rPr>
        <w:t>ITURBIDE,</w:t>
      </w:r>
      <w:r w:rsidRPr="00531B12">
        <w:rPr>
          <w:rFonts w:ascii="Abadi" w:hAnsi="Abadi"/>
          <w:b/>
          <w:bCs/>
          <w:spacing w:val="23"/>
          <w:sz w:val="20"/>
          <w:szCs w:val="20"/>
        </w:rPr>
        <w:t xml:space="preserve"> </w:t>
      </w:r>
      <w:r w:rsidRPr="00531B12">
        <w:rPr>
          <w:rFonts w:ascii="Abadi" w:hAnsi="Abadi"/>
          <w:b/>
          <w:bCs/>
          <w:sz w:val="20"/>
          <w:szCs w:val="20"/>
        </w:rPr>
        <w:t>GTO.,</w:t>
      </w:r>
      <w:r w:rsidRPr="00531B12">
        <w:rPr>
          <w:rFonts w:ascii="Abadi" w:hAnsi="Abadi"/>
          <w:b/>
          <w:bCs/>
          <w:spacing w:val="22"/>
          <w:sz w:val="20"/>
          <w:szCs w:val="20"/>
        </w:rPr>
        <w:t xml:space="preserve"> </w:t>
      </w:r>
      <w:r w:rsidRPr="00531B12">
        <w:rPr>
          <w:rFonts w:ascii="Abadi" w:hAnsi="Abadi"/>
          <w:b/>
          <w:bCs/>
          <w:sz w:val="20"/>
          <w:szCs w:val="20"/>
        </w:rPr>
        <w:t>A</w:t>
      </w:r>
      <w:r w:rsidRPr="00531B12">
        <w:rPr>
          <w:rFonts w:ascii="Abadi" w:hAnsi="Abadi"/>
          <w:b/>
          <w:bCs/>
          <w:spacing w:val="23"/>
          <w:sz w:val="20"/>
          <w:szCs w:val="20"/>
        </w:rPr>
        <w:t xml:space="preserve"> </w:t>
      </w:r>
      <w:r w:rsidRPr="00531B12">
        <w:rPr>
          <w:rFonts w:ascii="Abadi" w:hAnsi="Abadi"/>
          <w:b/>
          <w:bCs/>
          <w:sz w:val="20"/>
          <w:szCs w:val="20"/>
        </w:rPr>
        <w:t>EFECTO</w:t>
      </w:r>
      <w:r w:rsidRPr="00531B12">
        <w:rPr>
          <w:rFonts w:ascii="Abadi" w:hAnsi="Abadi"/>
          <w:b/>
          <w:bCs/>
          <w:spacing w:val="23"/>
          <w:sz w:val="20"/>
          <w:szCs w:val="20"/>
        </w:rPr>
        <w:t xml:space="preserve"> </w:t>
      </w:r>
      <w:r w:rsidRPr="00531B12">
        <w:rPr>
          <w:rFonts w:ascii="Abadi" w:hAnsi="Abadi"/>
          <w:b/>
          <w:bCs/>
          <w:sz w:val="20"/>
          <w:szCs w:val="20"/>
        </w:rPr>
        <w:t>DE</w:t>
      </w:r>
      <w:r w:rsidRPr="00531B12">
        <w:rPr>
          <w:rFonts w:ascii="Abadi" w:hAnsi="Abadi"/>
          <w:b/>
          <w:bCs/>
          <w:spacing w:val="23"/>
          <w:sz w:val="20"/>
          <w:szCs w:val="20"/>
        </w:rPr>
        <w:t xml:space="preserve"> </w:t>
      </w:r>
      <w:r w:rsidRPr="00531B12">
        <w:rPr>
          <w:rFonts w:ascii="Abadi" w:hAnsi="Abadi"/>
          <w:b/>
          <w:bCs/>
          <w:sz w:val="20"/>
          <w:szCs w:val="20"/>
        </w:rPr>
        <w:t>QUE</w:t>
      </w:r>
      <w:r w:rsidRPr="00531B12">
        <w:rPr>
          <w:rFonts w:ascii="Abadi" w:hAnsi="Abadi"/>
          <w:b/>
          <w:bCs/>
          <w:spacing w:val="23"/>
          <w:sz w:val="20"/>
          <w:szCs w:val="20"/>
        </w:rPr>
        <w:t xml:space="preserve"> </w:t>
      </w:r>
      <w:r w:rsidRPr="00531B12">
        <w:rPr>
          <w:rFonts w:ascii="Abadi" w:hAnsi="Abadi"/>
          <w:b/>
          <w:bCs/>
          <w:sz w:val="20"/>
          <w:szCs w:val="20"/>
        </w:rPr>
        <w:t>SE</w:t>
      </w:r>
      <w:r w:rsidRPr="00531B12">
        <w:rPr>
          <w:rFonts w:ascii="Abadi" w:hAnsi="Abadi"/>
          <w:b/>
          <w:bCs/>
          <w:spacing w:val="23"/>
          <w:sz w:val="20"/>
          <w:szCs w:val="20"/>
        </w:rPr>
        <w:t xml:space="preserve"> </w:t>
      </w:r>
      <w:r w:rsidRPr="00531B12">
        <w:rPr>
          <w:rFonts w:ascii="Abadi" w:hAnsi="Abadi"/>
          <w:b/>
          <w:bCs/>
          <w:sz w:val="20"/>
          <w:szCs w:val="20"/>
        </w:rPr>
        <w:t>LLEVE</w:t>
      </w:r>
      <w:r w:rsidRPr="00531B12">
        <w:rPr>
          <w:rFonts w:ascii="Abadi" w:hAnsi="Abadi"/>
          <w:b/>
          <w:bCs/>
          <w:spacing w:val="23"/>
          <w:sz w:val="20"/>
          <w:szCs w:val="20"/>
        </w:rPr>
        <w:t xml:space="preserve"> </w:t>
      </w:r>
      <w:r w:rsidRPr="00531B12">
        <w:rPr>
          <w:rFonts w:ascii="Abadi" w:hAnsi="Abadi"/>
          <w:b/>
          <w:bCs/>
          <w:sz w:val="20"/>
          <w:szCs w:val="20"/>
        </w:rPr>
        <w:t>A</w:t>
      </w:r>
      <w:r w:rsidRPr="00531B12">
        <w:rPr>
          <w:rFonts w:ascii="Abadi" w:hAnsi="Abadi"/>
          <w:b/>
          <w:bCs/>
          <w:spacing w:val="22"/>
          <w:sz w:val="20"/>
          <w:szCs w:val="20"/>
        </w:rPr>
        <w:t xml:space="preserve"> </w:t>
      </w:r>
      <w:r w:rsidRPr="00531B12">
        <w:rPr>
          <w:rFonts w:ascii="Abadi" w:hAnsi="Abadi"/>
          <w:b/>
          <w:bCs/>
          <w:sz w:val="20"/>
          <w:szCs w:val="20"/>
        </w:rPr>
        <w:t>CABO UNA</w:t>
      </w:r>
      <w:r w:rsidRPr="00531B12">
        <w:rPr>
          <w:rFonts w:ascii="Abadi" w:hAnsi="Abadi"/>
          <w:b/>
          <w:bCs/>
          <w:spacing w:val="51"/>
          <w:sz w:val="20"/>
          <w:szCs w:val="20"/>
        </w:rPr>
        <w:t xml:space="preserve"> </w:t>
      </w:r>
      <w:r w:rsidRPr="00531B12">
        <w:rPr>
          <w:rFonts w:ascii="Abadi" w:hAnsi="Abadi"/>
          <w:b/>
          <w:bCs/>
          <w:sz w:val="20"/>
          <w:szCs w:val="20"/>
        </w:rPr>
        <w:t>AUDITORÍA</w:t>
      </w:r>
      <w:r w:rsidRPr="00531B12">
        <w:rPr>
          <w:rFonts w:ascii="Abadi" w:hAnsi="Abadi"/>
          <w:b/>
          <w:bCs/>
          <w:spacing w:val="51"/>
          <w:sz w:val="20"/>
          <w:szCs w:val="20"/>
        </w:rPr>
        <w:t xml:space="preserve"> </w:t>
      </w:r>
      <w:r w:rsidRPr="00531B12">
        <w:rPr>
          <w:rFonts w:ascii="Abadi" w:hAnsi="Abadi"/>
          <w:b/>
          <w:bCs/>
          <w:sz w:val="20"/>
          <w:szCs w:val="20"/>
        </w:rPr>
        <w:t>INTEGRAL</w:t>
      </w:r>
      <w:r w:rsidRPr="00531B12">
        <w:rPr>
          <w:rFonts w:ascii="Abadi" w:hAnsi="Abadi"/>
          <w:b/>
          <w:bCs/>
          <w:spacing w:val="51"/>
          <w:sz w:val="20"/>
          <w:szCs w:val="20"/>
        </w:rPr>
        <w:t xml:space="preserve"> </w:t>
      </w:r>
      <w:r w:rsidRPr="00531B12">
        <w:rPr>
          <w:rFonts w:ascii="Abadi" w:hAnsi="Abadi"/>
          <w:b/>
          <w:bCs/>
          <w:sz w:val="20"/>
          <w:szCs w:val="20"/>
        </w:rPr>
        <w:t>A</w:t>
      </w:r>
      <w:r w:rsidRPr="00531B12">
        <w:rPr>
          <w:rFonts w:ascii="Abadi" w:hAnsi="Abadi"/>
          <w:b/>
          <w:bCs/>
          <w:spacing w:val="52"/>
          <w:sz w:val="20"/>
          <w:szCs w:val="20"/>
        </w:rPr>
        <w:t xml:space="preserve"> </w:t>
      </w:r>
      <w:r w:rsidRPr="00531B12">
        <w:rPr>
          <w:rFonts w:ascii="Abadi" w:hAnsi="Abadi"/>
          <w:b/>
          <w:bCs/>
          <w:sz w:val="20"/>
          <w:szCs w:val="20"/>
        </w:rPr>
        <w:t>LA</w:t>
      </w:r>
      <w:r w:rsidRPr="00531B12">
        <w:rPr>
          <w:rFonts w:ascii="Abadi" w:hAnsi="Abadi"/>
          <w:b/>
          <w:bCs/>
          <w:spacing w:val="51"/>
          <w:sz w:val="20"/>
          <w:szCs w:val="20"/>
        </w:rPr>
        <w:t xml:space="preserve"> </w:t>
      </w:r>
      <w:r w:rsidRPr="00531B12">
        <w:rPr>
          <w:rFonts w:ascii="Abadi" w:hAnsi="Abadi"/>
          <w:b/>
          <w:bCs/>
          <w:sz w:val="20"/>
          <w:szCs w:val="20"/>
        </w:rPr>
        <w:t>ADMINISTRACIÓN</w:t>
      </w:r>
      <w:r w:rsidRPr="00531B12">
        <w:rPr>
          <w:rFonts w:ascii="Abadi" w:hAnsi="Abadi"/>
          <w:b/>
          <w:bCs/>
          <w:spacing w:val="51"/>
          <w:sz w:val="20"/>
          <w:szCs w:val="20"/>
        </w:rPr>
        <w:t xml:space="preserve"> </w:t>
      </w:r>
      <w:r w:rsidRPr="00531B12">
        <w:rPr>
          <w:rFonts w:ascii="Abadi" w:hAnsi="Abadi"/>
          <w:b/>
          <w:bCs/>
          <w:sz w:val="20"/>
          <w:szCs w:val="20"/>
        </w:rPr>
        <w:t>MUNICIPAL</w:t>
      </w:r>
      <w:r w:rsidRPr="00531B12">
        <w:rPr>
          <w:rFonts w:ascii="Abadi" w:hAnsi="Abadi"/>
          <w:b/>
          <w:bCs/>
          <w:spacing w:val="51"/>
          <w:sz w:val="20"/>
          <w:szCs w:val="20"/>
        </w:rPr>
        <w:t xml:space="preserve"> </w:t>
      </w:r>
      <w:r w:rsidRPr="00531B12">
        <w:rPr>
          <w:rFonts w:ascii="Abadi" w:hAnsi="Abadi"/>
          <w:b/>
          <w:bCs/>
          <w:sz w:val="20"/>
          <w:szCs w:val="20"/>
        </w:rPr>
        <w:t>2018-2021</w:t>
      </w:r>
      <w:r w:rsidRPr="00531B12">
        <w:rPr>
          <w:rFonts w:ascii="Abadi" w:hAnsi="Abadi"/>
          <w:b/>
          <w:bCs/>
          <w:spacing w:val="51"/>
          <w:sz w:val="20"/>
          <w:szCs w:val="20"/>
        </w:rPr>
        <w:t xml:space="preserve"> </w:t>
      </w:r>
      <w:r w:rsidRPr="00531B12">
        <w:rPr>
          <w:rFonts w:ascii="Abadi" w:hAnsi="Abadi"/>
          <w:b/>
          <w:bCs/>
          <w:sz w:val="20"/>
          <w:szCs w:val="20"/>
        </w:rPr>
        <w:t>DE</w:t>
      </w:r>
      <w:r w:rsidRPr="00531B12">
        <w:rPr>
          <w:rFonts w:ascii="Abadi" w:hAnsi="Abadi"/>
          <w:b/>
          <w:bCs/>
          <w:spacing w:val="51"/>
          <w:sz w:val="20"/>
          <w:szCs w:val="20"/>
        </w:rPr>
        <w:t xml:space="preserve"> </w:t>
      </w:r>
      <w:r w:rsidRPr="00531B12">
        <w:rPr>
          <w:rFonts w:ascii="Abadi" w:hAnsi="Abadi"/>
          <w:b/>
          <w:bCs/>
          <w:sz w:val="20"/>
          <w:szCs w:val="20"/>
        </w:rPr>
        <w:t>DICHO MUNICIPIO.</w:t>
      </w:r>
    </w:p>
    <w:p w14:paraId="78D7912A" w14:textId="342D6739" w:rsidR="004964F1" w:rsidRDefault="004964F1" w:rsidP="00573B46">
      <w:pPr>
        <w:rPr>
          <w:rFonts w:ascii="Abadi" w:hAnsi="Abadi"/>
          <w:sz w:val="20"/>
          <w:szCs w:val="20"/>
        </w:rPr>
      </w:pPr>
    </w:p>
    <w:p w14:paraId="322360EE" w14:textId="77777777" w:rsidR="00CA18DF" w:rsidRPr="00CA18DF" w:rsidRDefault="00CA18DF" w:rsidP="00CA18DF">
      <w:pPr>
        <w:rPr>
          <w:rFonts w:ascii="Abadi" w:hAnsi="Abadi" w:cs="Arial"/>
          <w:b/>
          <w:iCs/>
          <w:smallCaps/>
          <w:sz w:val="21"/>
          <w:szCs w:val="21"/>
        </w:rPr>
      </w:pPr>
      <w:r w:rsidRPr="00CA18DF">
        <w:rPr>
          <w:rFonts w:ascii="Abadi" w:hAnsi="Abadi" w:cs="Arial"/>
          <w:b/>
          <w:iCs/>
          <w:smallCaps/>
          <w:sz w:val="21"/>
          <w:szCs w:val="21"/>
        </w:rPr>
        <w:t>C. Presidenta del Congreso del Estado.</w:t>
      </w:r>
    </w:p>
    <w:p w14:paraId="124A4728" w14:textId="77777777" w:rsidR="00CA18DF" w:rsidRPr="00CA18DF" w:rsidRDefault="00CA18DF" w:rsidP="00CA18DF">
      <w:pPr>
        <w:jc w:val="both"/>
        <w:rPr>
          <w:rFonts w:ascii="Abadi" w:hAnsi="Abadi" w:cs="Arial"/>
          <w:b/>
          <w:iCs/>
          <w:smallCaps/>
          <w:sz w:val="21"/>
          <w:szCs w:val="21"/>
        </w:rPr>
      </w:pPr>
      <w:r w:rsidRPr="00CA18DF">
        <w:rPr>
          <w:rFonts w:ascii="Abadi" w:hAnsi="Abadi" w:cs="Arial"/>
          <w:b/>
          <w:iCs/>
          <w:smallCaps/>
          <w:sz w:val="21"/>
          <w:szCs w:val="21"/>
        </w:rPr>
        <w:t>P r e s e n t e.</w:t>
      </w:r>
    </w:p>
    <w:p w14:paraId="469881F4" w14:textId="77777777" w:rsidR="00CA18DF" w:rsidRPr="00CA18DF" w:rsidRDefault="00CA18DF" w:rsidP="00CA18DF">
      <w:pPr>
        <w:spacing w:line="360" w:lineRule="auto"/>
        <w:jc w:val="both"/>
        <w:rPr>
          <w:rFonts w:ascii="Abadi" w:hAnsi="Abadi" w:cs="Arial"/>
          <w:iCs/>
          <w:sz w:val="21"/>
          <w:szCs w:val="21"/>
        </w:rPr>
      </w:pPr>
    </w:p>
    <w:p w14:paraId="63BE3EDC" w14:textId="77777777" w:rsidR="00CA18DF" w:rsidRPr="00CA18DF" w:rsidRDefault="00CA18DF" w:rsidP="00CA18DF">
      <w:pPr>
        <w:jc w:val="both"/>
        <w:rPr>
          <w:rFonts w:ascii="Abadi" w:hAnsi="Abadi" w:cs="Arial"/>
          <w:iCs/>
          <w:sz w:val="21"/>
          <w:szCs w:val="21"/>
        </w:rPr>
      </w:pPr>
      <w:r w:rsidRPr="00CA18DF">
        <w:rPr>
          <w:rFonts w:ascii="Abadi" w:hAnsi="Abadi" w:cs="Arial"/>
          <w:iCs/>
          <w:sz w:val="21"/>
          <w:szCs w:val="21"/>
        </w:rPr>
        <w:tab/>
        <w:t>A esta Comisión de Hacienda y Fiscalización le fue turnada para efectos de su estudio y dictamen, la propuesta formulada por el ayuntamiento de San José Iturbide, Gto., a efecto de que se lleve a cabo una auditoría integral a la administración municipal 2018-2021 de dicho Municipio.</w:t>
      </w:r>
    </w:p>
    <w:p w14:paraId="147E7A3B" w14:textId="77777777" w:rsidR="00CA18DF" w:rsidRPr="00CA18DF" w:rsidRDefault="00CA18DF" w:rsidP="00CA18DF">
      <w:pPr>
        <w:jc w:val="both"/>
        <w:rPr>
          <w:rFonts w:ascii="Abadi" w:hAnsi="Abadi" w:cs="Arial"/>
          <w:iCs/>
          <w:sz w:val="21"/>
          <w:szCs w:val="21"/>
        </w:rPr>
      </w:pPr>
    </w:p>
    <w:p w14:paraId="5323EA05" w14:textId="77777777" w:rsidR="00CA18DF" w:rsidRPr="00CA18DF" w:rsidRDefault="00CA18DF" w:rsidP="00CA18DF">
      <w:pPr>
        <w:jc w:val="both"/>
        <w:rPr>
          <w:rFonts w:ascii="Abadi" w:hAnsi="Abadi" w:cs="Arial"/>
          <w:iCs/>
          <w:sz w:val="21"/>
          <w:szCs w:val="21"/>
        </w:rPr>
      </w:pPr>
      <w:r w:rsidRPr="00CA18DF">
        <w:rPr>
          <w:rFonts w:ascii="Abadi" w:hAnsi="Abadi" w:cs="Arial"/>
          <w:iCs/>
          <w:sz w:val="21"/>
          <w:szCs w:val="21"/>
        </w:rPr>
        <w:tab/>
        <w:t xml:space="preserve">Analizada la propuesta de referencia, con fundamento en los artículos 75, 89, fracción V, 112, fracción XV y 171 de </w:t>
      </w:r>
      <w:smartTag w:uri="urn:schemas-microsoft-com:office:smarttags" w:element="PersonName">
        <w:smartTagPr>
          <w:attr w:name="ProductID" w:val="la Ley Org￡nica"/>
        </w:smartTagPr>
        <w:r w:rsidRPr="00CA18DF">
          <w:rPr>
            <w:rFonts w:ascii="Abadi" w:hAnsi="Abadi" w:cs="Arial"/>
            <w:iCs/>
            <w:sz w:val="21"/>
            <w:szCs w:val="21"/>
          </w:rPr>
          <w:t>la Ley Orgánica</w:t>
        </w:r>
      </w:smartTag>
      <w:r w:rsidRPr="00CA18DF">
        <w:rPr>
          <w:rFonts w:ascii="Abadi" w:hAnsi="Abadi" w:cs="Arial"/>
          <w:iCs/>
          <w:sz w:val="21"/>
          <w:szCs w:val="21"/>
        </w:rPr>
        <w:t xml:space="preserve"> del Poder Legislativo del Estado de Guanajuato, nos permitimos rendir el siguiente:</w:t>
      </w:r>
    </w:p>
    <w:p w14:paraId="23D5B1B0" w14:textId="77777777" w:rsidR="00CA18DF" w:rsidRPr="00CA18DF" w:rsidRDefault="00CA18DF" w:rsidP="00CA18DF">
      <w:pPr>
        <w:spacing w:line="360" w:lineRule="auto"/>
        <w:jc w:val="both"/>
        <w:rPr>
          <w:rFonts w:ascii="Abadi" w:hAnsi="Abadi" w:cs="Arial"/>
          <w:iCs/>
          <w:sz w:val="21"/>
          <w:szCs w:val="21"/>
        </w:rPr>
      </w:pPr>
    </w:p>
    <w:p w14:paraId="580E67AE" w14:textId="77777777" w:rsidR="00CA18DF" w:rsidRPr="00CA18DF" w:rsidRDefault="00CA18DF" w:rsidP="00CA18DF">
      <w:pPr>
        <w:keepNext/>
        <w:spacing w:line="360" w:lineRule="auto"/>
        <w:jc w:val="center"/>
        <w:outlineLvl w:val="0"/>
        <w:rPr>
          <w:rFonts w:ascii="Abadi" w:hAnsi="Abadi" w:cs="Arial"/>
          <w:b/>
          <w:iCs/>
          <w:sz w:val="21"/>
          <w:szCs w:val="21"/>
        </w:rPr>
      </w:pPr>
      <w:r w:rsidRPr="00CA18DF">
        <w:rPr>
          <w:rFonts w:ascii="Abadi" w:hAnsi="Abadi" w:cs="Arial"/>
          <w:b/>
          <w:iCs/>
          <w:sz w:val="21"/>
          <w:szCs w:val="21"/>
        </w:rPr>
        <w:t xml:space="preserve">D i c t a m e n </w:t>
      </w:r>
    </w:p>
    <w:p w14:paraId="3BAC67A3" w14:textId="77777777" w:rsidR="00CA18DF" w:rsidRPr="00CA18DF" w:rsidRDefault="00CA18DF" w:rsidP="001A28E5">
      <w:pPr>
        <w:numPr>
          <w:ilvl w:val="0"/>
          <w:numId w:val="62"/>
        </w:numPr>
        <w:jc w:val="both"/>
        <w:rPr>
          <w:rFonts w:ascii="Abadi" w:hAnsi="Abadi" w:cs="Arial"/>
          <w:b/>
          <w:bCs/>
          <w:sz w:val="21"/>
          <w:szCs w:val="21"/>
        </w:rPr>
      </w:pPr>
      <w:r w:rsidRPr="00CA18DF">
        <w:rPr>
          <w:rFonts w:ascii="Abadi" w:hAnsi="Abadi" w:cs="Arial"/>
          <w:b/>
          <w:bCs/>
          <w:sz w:val="21"/>
          <w:szCs w:val="21"/>
        </w:rPr>
        <w:t>Antecedentes</w:t>
      </w:r>
    </w:p>
    <w:p w14:paraId="6010A17E" w14:textId="77777777" w:rsidR="00CA18DF" w:rsidRPr="00CA18DF" w:rsidRDefault="00CA18DF" w:rsidP="00CA18DF">
      <w:pPr>
        <w:jc w:val="center"/>
        <w:rPr>
          <w:rFonts w:ascii="Abadi" w:hAnsi="Abadi" w:cs="Arial"/>
          <w:b/>
          <w:iCs/>
          <w:sz w:val="21"/>
          <w:szCs w:val="21"/>
        </w:rPr>
      </w:pPr>
    </w:p>
    <w:p w14:paraId="79105156" w14:textId="77777777" w:rsidR="00CA18DF" w:rsidRPr="00CA18DF" w:rsidRDefault="00CA18DF" w:rsidP="00CA18DF">
      <w:pPr>
        <w:jc w:val="both"/>
        <w:rPr>
          <w:rFonts w:ascii="Abadi" w:hAnsi="Abadi" w:cs="Arial"/>
          <w:iCs/>
          <w:sz w:val="21"/>
          <w:szCs w:val="21"/>
        </w:rPr>
      </w:pPr>
      <w:r w:rsidRPr="00CA18DF">
        <w:rPr>
          <w:rFonts w:ascii="Abadi" w:hAnsi="Abadi" w:cs="Arial"/>
          <w:iCs/>
          <w:sz w:val="21"/>
          <w:szCs w:val="21"/>
        </w:rPr>
        <w:tab/>
        <w:t xml:space="preserve">El ayuntamiento de San José Iturbide, Gto., en sesión extraordinaria celebrada el 15 de febrero de 2022 aprobó por unanimidad de votos solicitar al Congreso del Estado </w:t>
      </w:r>
      <w:r w:rsidRPr="00CA18DF">
        <w:rPr>
          <w:rFonts w:ascii="Abadi" w:hAnsi="Abadi" w:cs="Arial"/>
          <w:sz w:val="21"/>
          <w:szCs w:val="21"/>
        </w:rPr>
        <w:t>llevar a cabo una auditoría integral a la Administración Pública Municipal 2018-2021</w:t>
      </w:r>
      <w:r w:rsidRPr="00CA18DF">
        <w:rPr>
          <w:rFonts w:ascii="Abadi" w:hAnsi="Abadi" w:cs="Arial"/>
          <w:iCs/>
          <w:sz w:val="21"/>
          <w:szCs w:val="21"/>
        </w:rPr>
        <w:t xml:space="preserve">, con base en el artículo 10 de la Ley de Fiscalización Superior del Estado de Guanajuato. </w:t>
      </w:r>
    </w:p>
    <w:p w14:paraId="020D4609" w14:textId="77777777" w:rsidR="00CA18DF" w:rsidRPr="00CA18DF" w:rsidRDefault="00CA18DF" w:rsidP="00CA18DF">
      <w:pPr>
        <w:ind w:firstLine="708"/>
        <w:jc w:val="both"/>
        <w:rPr>
          <w:rFonts w:ascii="Abadi" w:hAnsi="Abadi"/>
          <w:sz w:val="21"/>
          <w:szCs w:val="21"/>
          <w:lang w:val="es-MX"/>
        </w:rPr>
      </w:pPr>
    </w:p>
    <w:p w14:paraId="52446910" w14:textId="77777777" w:rsidR="00CA18DF" w:rsidRPr="00CA18DF" w:rsidRDefault="00CA18DF" w:rsidP="00CA18DF">
      <w:pPr>
        <w:ind w:firstLine="708"/>
        <w:jc w:val="both"/>
        <w:rPr>
          <w:rFonts w:ascii="Abadi" w:hAnsi="Abadi"/>
          <w:sz w:val="21"/>
          <w:szCs w:val="21"/>
          <w:lang w:val="es-MX"/>
        </w:rPr>
      </w:pPr>
      <w:r w:rsidRPr="00CA18DF">
        <w:rPr>
          <w:rFonts w:ascii="Abadi" w:hAnsi="Abadi"/>
          <w:sz w:val="21"/>
          <w:szCs w:val="21"/>
          <w:lang w:val="es-MX"/>
        </w:rPr>
        <w:t>El 17 de marzo de 2022, la referida propuesta se turnó por la presidencia a esta Comisión de Hacienda y Fiscalización para su estudio y dictamen, con fundamento en la fracción XV del artículo 112 de la Ley Orgánica del Poder Legislativo del Estado de Guanajuato.</w:t>
      </w:r>
    </w:p>
    <w:p w14:paraId="257F6195" w14:textId="77777777" w:rsidR="00CA18DF" w:rsidRPr="00CA18DF" w:rsidRDefault="00CA18DF" w:rsidP="00CA18DF">
      <w:pPr>
        <w:ind w:firstLine="708"/>
        <w:jc w:val="both"/>
        <w:rPr>
          <w:rFonts w:ascii="Abadi" w:hAnsi="Abadi"/>
          <w:sz w:val="21"/>
          <w:szCs w:val="21"/>
          <w:lang w:val="es-MX"/>
        </w:rPr>
      </w:pPr>
    </w:p>
    <w:p w14:paraId="22CF68A6" w14:textId="77777777" w:rsidR="00CA18DF" w:rsidRPr="00CA18DF" w:rsidRDefault="00CA18DF" w:rsidP="00CA18DF">
      <w:pPr>
        <w:ind w:firstLine="708"/>
        <w:jc w:val="both"/>
        <w:rPr>
          <w:rFonts w:ascii="Abadi" w:hAnsi="Abadi"/>
          <w:sz w:val="21"/>
          <w:szCs w:val="21"/>
          <w:lang w:val="es-MX"/>
        </w:rPr>
      </w:pPr>
      <w:r w:rsidRPr="00CA18DF">
        <w:rPr>
          <w:rFonts w:ascii="Abadi" w:hAnsi="Abadi"/>
          <w:sz w:val="21"/>
          <w:szCs w:val="21"/>
          <w:lang w:val="es-MX"/>
        </w:rPr>
        <w:t>En la reunión de esta Comisión celebrada el 24 de marzo de 2022, se dio cuenta y se radicó la propuesta y se requirió al Auditor Superior del Estado, la elaboración de una ficha técnica respecto a dicha propuesta, misma que se expuso a esta Comisión el 14 de junio del año en curso.</w:t>
      </w:r>
    </w:p>
    <w:p w14:paraId="09EE61C7" w14:textId="77777777" w:rsidR="00CA18DF" w:rsidRPr="00CA18DF" w:rsidRDefault="00CA18DF" w:rsidP="00CA18DF">
      <w:pPr>
        <w:spacing w:line="360" w:lineRule="auto"/>
        <w:ind w:firstLine="708"/>
        <w:jc w:val="both"/>
        <w:rPr>
          <w:rFonts w:ascii="Abadi" w:hAnsi="Abadi"/>
          <w:sz w:val="21"/>
          <w:szCs w:val="21"/>
          <w:lang w:val="es-MX"/>
        </w:rPr>
      </w:pPr>
    </w:p>
    <w:p w14:paraId="1929CEFC" w14:textId="77777777" w:rsidR="00CA18DF" w:rsidRPr="00CA18DF" w:rsidRDefault="00CA18DF" w:rsidP="001A28E5">
      <w:pPr>
        <w:numPr>
          <w:ilvl w:val="0"/>
          <w:numId w:val="62"/>
        </w:numPr>
        <w:jc w:val="both"/>
        <w:rPr>
          <w:rFonts w:ascii="Abadi" w:hAnsi="Abadi" w:cs="Arial"/>
          <w:b/>
          <w:bCs/>
          <w:sz w:val="21"/>
          <w:szCs w:val="21"/>
        </w:rPr>
      </w:pPr>
      <w:r w:rsidRPr="00CA18DF">
        <w:rPr>
          <w:rFonts w:ascii="Abadi" w:hAnsi="Abadi" w:cs="Arial"/>
          <w:b/>
          <w:bCs/>
          <w:sz w:val="21"/>
          <w:szCs w:val="21"/>
        </w:rPr>
        <w:t xml:space="preserve">Consideraciones </w:t>
      </w:r>
    </w:p>
    <w:p w14:paraId="73F65C28" w14:textId="77777777" w:rsidR="00CA18DF" w:rsidRPr="00CA18DF" w:rsidRDefault="00CA18DF" w:rsidP="00CA18DF">
      <w:pPr>
        <w:ind w:left="1080"/>
        <w:jc w:val="both"/>
        <w:rPr>
          <w:rFonts w:ascii="Abadi" w:eastAsia="Batang" w:hAnsi="Abadi" w:cs="Arial"/>
          <w:sz w:val="21"/>
          <w:szCs w:val="21"/>
        </w:rPr>
      </w:pPr>
    </w:p>
    <w:p w14:paraId="19B676AA" w14:textId="477D80B4" w:rsidR="00CA18DF" w:rsidRDefault="00CA18DF" w:rsidP="007C6468">
      <w:pPr>
        <w:ind w:firstLine="708"/>
        <w:jc w:val="both"/>
        <w:rPr>
          <w:rFonts w:ascii="Abadi" w:hAnsi="Abadi" w:cs="Arial"/>
          <w:i/>
          <w:sz w:val="21"/>
          <w:szCs w:val="21"/>
        </w:rPr>
      </w:pPr>
      <w:r w:rsidRPr="00CA18DF">
        <w:rPr>
          <w:rFonts w:ascii="Abadi" w:hAnsi="Abadi"/>
          <w:sz w:val="21"/>
          <w:szCs w:val="21"/>
          <w:lang w:val="es-MX"/>
        </w:rPr>
        <w:t>Del contenido del acta de la sesión extraordinaria del ayuntamiento de San José Iturbide, Gto., celebrada el 15 de febrero de 2022, se desprende que la propuesta materia del presente dictamen tiene por objeto solicitar la realización de una auditoría integral a la administración municipal 2018-2021.</w:t>
      </w:r>
    </w:p>
    <w:p w14:paraId="34BF5C4C" w14:textId="77777777" w:rsidR="007C6468" w:rsidRPr="00CA18DF" w:rsidRDefault="007C6468" w:rsidP="007C6468">
      <w:pPr>
        <w:ind w:firstLine="708"/>
        <w:jc w:val="both"/>
        <w:rPr>
          <w:rFonts w:ascii="Abadi" w:hAnsi="Abadi" w:cs="Arial"/>
          <w:i/>
          <w:sz w:val="21"/>
          <w:szCs w:val="21"/>
        </w:rPr>
      </w:pPr>
    </w:p>
    <w:p w14:paraId="07F30D09" w14:textId="77777777" w:rsidR="00CA18DF" w:rsidRPr="00CA18DF" w:rsidRDefault="00CA18DF" w:rsidP="00CA18DF">
      <w:pPr>
        <w:ind w:firstLine="708"/>
        <w:jc w:val="both"/>
        <w:rPr>
          <w:rFonts w:ascii="Abadi" w:hAnsi="Abadi" w:cs="Tahoma"/>
          <w:sz w:val="21"/>
          <w:szCs w:val="21"/>
        </w:rPr>
      </w:pPr>
      <w:r w:rsidRPr="00CA18DF">
        <w:rPr>
          <w:rFonts w:ascii="Abadi" w:hAnsi="Abadi" w:cs="Tahoma"/>
          <w:sz w:val="21"/>
          <w:szCs w:val="21"/>
        </w:rPr>
        <w:t xml:space="preserve">Al respecto quienes integramos esta Comisión consideramos que la función de control es uno de los mecanismos que preservan el equilibrio entre los poderes públicos y asegura la vigencia de la ley como un instrumento que somete toda actuación de la autoridad y preserva las garantías y derechos de los ciudadanos. La vigilancia y el control sobre el ejercicio de los recursos públicos encomendados a las autoridades es una de las funciones primordiales que tiene el Poder Legislativo como responsable originario de esa función de control. </w:t>
      </w:r>
    </w:p>
    <w:p w14:paraId="1247CB5E" w14:textId="77777777" w:rsidR="00CA18DF" w:rsidRPr="00CA18DF" w:rsidRDefault="00CA18DF" w:rsidP="00CA18DF">
      <w:pPr>
        <w:spacing w:line="360" w:lineRule="auto"/>
        <w:ind w:firstLine="720"/>
        <w:jc w:val="both"/>
        <w:rPr>
          <w:rFonts w:ascii="Abadi" w:hAnsi="Abadi" w:cs="Tahoma"/>
          <w:sz w:val="21"/>
          <w:szCs w:val="21"/>
        </w:rPr>
      </w:pPr>
    </w:p>
    <w:p w14:paraId="6751985B" w14:textId="77777777" w:rsidR="00CA18DF" w:rsidRPr="00CA18DF" w:rsidRDefault="00CA18DF" w:rsidP="00CA18DF">
      <w:pPr>
        <w:ind w:firstLine="720"/>
        <w:jc w:val="both"/>
        <w:rPr>
          <w:rFonts w:ascii="Abadi" w:hAnsi="Abadi" w:cs="Tahoma"/>
          <w:sz w:val="21"/>
          <w:szCs w:val="21"/>
        </w:rPr>
      </w:pPr>
      <w:r w:rsidRPr="00CA18DF">
        <w:rPr>
          <w:rFonts w:ascii="Abadi" w:hAnsi="Abadi" w:cs="Tahoma"/>
          <w:sz w:val="21"/>
          <w:szCs w:val="21"/>
        </w:rPr>
        <w:t>La administración, ejercicio, aplicación y control de los recursos públicos tienen que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w:t>
      </w:r>
    </w:p>
    <w:p w14:paraId="404ED8A4" w14:textId="77777777" w:rsidR="00CA18DF" w:rsidRPr="00CA18DF" w:rsidRDefault="00CA18DF" w:rsidP="00CA18DF">
      <w:pPr>
        <w:jc w:val="both"/>
        <w:rPr>
          <w:rFonts w:ascii="Abadi" w:hAnsi="Abadi" w:cs="Tahoma"/>
          <w:sz w:val="21"/>
          <w:szCs w:val="21"/>
        </w:rPr>
      </w:pPr>
      <w:r w:rsidRPr="00CA18DF">
        <w:rPr>
          <w:rFonts w:ascii="Abadi" w:hAnsi="Abadi" w:cs="Tahoma"/>
          <w:sz w:val="21"/>
          <w:szCs w:val="21"/>
        </w:rPr>
        <w:tab/>
      </w:r>
    </w:p>
    <w:p w14:paraId="2BD9CF8A" w14:textId="77777777" w:rsidR="00CA18DF" w:rsidRPr="00CA18DF" w:rsidRDefault="00CA18DF" w:rsidP="00CA18DF">
      <w:pPr>
        <w:ind w:firstLine="708"/>
        <w:jc w:val="both"/>
        <w:rPr>
          <w:rFonts w:ascii="Abadi" w:hAnsi="Abadi" w:cs="Tahoma"/>
          <w:sz w:val="21"/>
          <w:szCs w:val="21"/>
        </w:rPr>
      </w:pPr>
      <w:r w:rsidRPr="00CA18DF">
        <w:rPr>
          <w:rFonts w:ascii="Abadi" w:hAnsi="Abadi" w:cs="Tahoma"/>
          <w:sz w:val="21"/>
          <w:szCs w:val="21"/>
        </w:rPr>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5DFBB14E" w14:textId="77777777" w:rsidR="00CA18DF" w:rsidRPr="00CA18DF" w:rsidRDefault="00CA18DF" w:rsidP="00CA18DF">
      <w:pPr>
        <w:jc w:val="both"/>
        <w:rPr>
          <w:rFonts w:ascii="Abadi" w:hAnsi="Abadi" w:cs="Tahoma"/>
          <w:sz w:val="21"/>
          <w:szCs w:val="21"/>
        </w:rPr>
      </w:pPr>
    </w:p>
    <w:p w14:paraId="1BCDE4D0" w14:textId="77777777" w:rsidR="00CA18DF" w:rsidRPr="00CA18DF" w:rsidRDefault="00CA18DF" w:rsidP="00CA18DF">
      <w:pPr>
        <w:jc w:val="both"/>
        <w:rPr>
          <w:rFonts w:ascii="Abadi" w:hAnsi="Abadi" w:cs="Tahoma"/>
          <w:sz w:val="21"/>
          <w:szCs w:val="21"/>
        </w:rPr>
      </w:pPr>
      <w:r w:rsidRPr="00CA18DF">
        <w:rPr>
          <w:rFonts w:ascii="Abadi" w:hAnsi="Abadi" w:cs="Tahoma"/>
          <w:sz w:val="21"/>
          <w:szCs w:val="21"/>
        </w:rPr>
        <w:tab/>
        <w:t xml:space="preserve">El artículo 116, fracción II, sexto párrafo de la Constitución Política de los Estados Unidos Mexicanos señala que: </w:t>
      </w:r>
      <w:r w:rsidRPr="00CA18DF">
        <w:rPr>
          <w:rFonts w:ascii="Abadi" w:hAnsi="Abadi" w:cs="Tahoma"/>
          <w:i/>
          <w:sz w:val="21"/>
          <w:szCs w:val="21"/>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CA18DF">
        <w:rPr>
          <w:rFonts w:ascii="Abadi" w:hAnsi="Abadi" w:cs="Tahoma"/>
          <w:sz w:val="21"/>
          <w:szCs w:val="21"/>
        </w:rPr>
        <w:t xml:space="preserve"> </w:t>
      </w:r>
    </w:p>
    <w:p w14:paraId="44CFD37B" w14:textId="77777777" w:rsidR="00CA18DF" w:rsidRPr="00CA18DF" w:rsidRDefault="00CA18DF" w:rsidP="00CA18DF">
      <w:pPr>
        <w:jc w:val="both"/>
        <w:rPr>
          <w:rFonts w:ascii="Abadi" w:hAnsi="Abadi" w:cs="Tahoma"/>
          <w:sz w:val="21"/>
          <w:szCs w:val="21"/>
        </w:rPr>
      </w:pPr>
    </w:p>
    <w:p w14:paraId="73F1004E" w14:textId="77777777" w:rsidR="00CA18DF" w:rsidRPr="00CA18DF" w:rsidRDefault="00CA18DF" w:rsidP="00CA18DF">
      <w:pPr>
        <w:ind w:firstLine="708"/>
        <w:jc w:val="both"/>
        <w:rPr>
          <w:rFonts w:ascii="Abadi" w:hAnsi="Abadi" w:cs="Tahoma"/>
          <w:sz w:val="21"/>
          <w:szCs w:val="21"/>
        </w:rPr>
      </w:pPr>
      <w:r w:rsidRPr="00CA18DF">
        <w:rPr>
          <w:rFonts w:ascii="Abadi" w:hAnsi="Abadi" w:cs="Tahoma"/>
          <w:sz w:val="21"/>
          <w:szCs w:val="21"/>
        </w:rPr>
        <w:t xml:space="preserve">La Auditoría Superior del Estado, de conformidad con el artículo 66 de la Constitución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mientras que la fracción IV del mismo precepto establece que la Auditoría Superior del Estado podrá acordar y practicar auditorías conforme a su programa anual y ejecutar las que acuerde el Congreso del Estado en los términos de la fracción XXVIII del artículo 63 de la propia Constitución Local. </w:t>
      </w:r>
    </w:p>
    <w:p w14:paraId="7FA59C61" w14:textId="77777777" w:rsidR="00CA18DF" w:rsidRPr="00CA18DF" w:rsidRDefault="00CA18DF" w:rsidP="00CA18DF">
      <w:pPr>
        <w:spacing w:line="360" w:lineRule="auto"/>
        <w:ind w:firstLine="708"/>
        <w:jc w:val="both"/>
        <w:rPr>
          <w:rFonts w:ascii="Abadi" w:hAnsi="Abadi" w:cs="Tahoma"/>
          <w:sz w:val="21"/>
          <w:szCs w:val="21"/>
        </w:rPr>
      </w:pPr>
    </w:p>
    <w:p w14:paraId="0F6D32BF" w14:textId="77777777" w:rsidR="00CA18DF" w:rsidRPr="00CA18DF" w:rsidRDefault="00CA18DF" w:rsidP="00CA18DF">
      <w:pPr>
        <w:ind w:firstLine="720"/>
        <w:jc w:val="both"/>
        <w:rPr>
          <w:rFonts w:ascii="Abadi" w:hAnsi="Abadi" w:cs="Tahoma"/>
          <w:sz w:val="21"/>
          <w:szCs w:val="21"/>
        </w:rPr>
      </w:pPr>
      <w:r w:rsidRPr="00CA18DF">
        <w:rPr>
          <w:rFonts w:ascii="Abadi" w:hAnsi="Abadi" w:cs="Tahoma"/>
          <w:sz w:val="21"/>
          <w:szCs w:val="21"/>
        </w:rPr>
        <w:t>El ayuntamiento de San José Iturbide, Gto., es sujeto de la función de fiscalización del Congreso del Estado, según se desprende de los artículos 63 fracciones XIX y XXVIII; y 66 de la Constitución Política local y 2, fracción II de la Ley de Fiscalización Superior del Estado de Guanajuato.</w:t>
      </w:r>
    </w:p>
    <w:p w14:paraId="6B408673" w14:textId="77777777" w:rsidR="00CA18DF" w:rsidRPr="00CA18DF" w:rsidRDefault="00CA18DF" w:rsidP="00CA18DF">
      <w:pPr>
        <w:ind w:firstLine="720"/>
        <w:jc w:val="both"/>
        <w:rPr>
          <w:rFonts w:ascii="Abadi" w:hAnsi="Abadi" w:cs="Tahoma"/>
          <w:sz w:val="21"/>
          <w:szCs w:val="21"/>
        </w:rPr>
      </w:pPr>
    </w:p>
    <w:p w14:paraId="2572EB68" w14:textId="77777777" w:rsidR="00CA18DF" w:rsidRPr="00CA18DF" w:rsidRDefault="00CA18DF" w:rsidP="00CA18DF">
      <w:pPr>
        <w:ind w:firstLine="720"/>
        <w:jc w:val="both"/>
        <w:rPr>
          <w:rFonts w:ascii="Abadi" w:hAnsi="Abadi" w:cs="Tahoma"/>
          <w:sz w:val="21"/>
          <w:szCs w:val="21"/>
        </w:rPr>
      </w:pPr>
      <w:r w:rsidRPr="00CA18DF">
        <w:rPr>
          <w:rFonts w:ascii="Abadi" w:hAnsi="Abadi" w:cs="Tahoma"/>
          <w:sz w:val="21"/>
          <w:szCs w:val="21"/>
        </w:rPr>
        <w:t>En este orden de ideas, de acuerdo a la información proporcionada por la Auditoría Superior del Estado, durante los ejercicios fiscales 2018, 2019 y 2020 se efectuaron las siguientes revisiones y auditorías a la administración pública de San José Iturbide, Gto.:</w:t>
      </w:r>
    </w:p>
    <w:p w14:paraId="44BDB18C" w14:textId="77777777" w:rsidR="00CA18DF" w:rsidRPr="00CA18DF" w:rsidRDefault="00CA18DF" w:rsidP="00CA18DF">
      <w:pPr>
        <w:rPr>
          <w:rFonts w:ascii="Abadi" w:hAnsi="Abadi"/>
          <w:b/>
          <w:sz w:val="21"/>
          <w:szCs w:val="21"/>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376"/>
        <w:gridCol w:w="1063"/>
        <w:gridCol w:w="1063"/>
      </w:tblGrid>
      <w:tr w:rsidR="00CA18DF" w:rsidRPr="00CA18DF" w14:paraId="1B6529D9" w14:textId="77777777" w:rsidTr="004E6068">
        <w:trPr>
          <w:jc w:val="center"/>
        </w:trPr>
        <w:tc>
          <w:tcPr>
            <w:tcW w:w="1271" w:type="dxa"/>
            <w:shd w:val="clear" w:color="auto" w:fill="auto"/>
          </w:tcPr>
          <w:p w14:paraId="3C512D9D" w14:textId="77777777" w:rsidR="00CA18DF" w:rsidRPr="00CA18DF" w:rsidRDefault="00CA18DF" w:rsidP="00CA18DF">
            <w:pPr>
              <w:jc w:val="center"/>
              <w:rPr>
                <w:rFonts w:ascii="Abadi" w:hAnsi="Abadi"/>
                <w:b/>
                <w:sz w:val="21"/>
                <w:szCs w:val="21"/>
                <w:lang w:val="es-MX" w:eastAsia="en-US"/>
              </w:rPr>
            </w:pPr>
            <w:r w:rsidRPr="00CA18DF">
              <w:rPr>
                <w:rFonts w:ascii="Abadi" w:hAnsi="Abadi"/>
                <w:b/>
                <w:sz w:val="21"/>
                <w:szCs w:val="21"/>
                <w:lang w:val="es-MX" w:eastAsia="en-US"/>
              </w:rPr>
              <w:t>Ejercicio</w:t>
            </w:r>
          </w:p>
        </w:tc>
        <w:tc>
          <w:tcPr>
            <w:tcW w:w="3404" w:type="dxa"/>
            <w:shd w:val="clear" w:color="auto" w:fill="auto"/>
          </w:tcPr>
          <w:p w14:paraId="114FAD24" w14:textId="77777777" w:rsidR="00CA18DF" w:rsidRPr="00CA18DF" w:rsidRDefault="00CA18DF" w:rsidP="00CA18DF">
            <w:pPr>
              <w:jc w:val="center"/>
              <w:rPr>
                <w:rFonts w:ascii="Abadi" w:hAnsi="Abadi"/>
                <w:b/>
                <w:sz w:val="21"/>
                <w:szCs w:val="21"/>
                <w:lang w:val="es-MX" w:eastAsia="en-US"/>
              </w:rPr>
            </w:pPr>
            <w:r w:rsidRPr="00CA18DF">
              <w:rPr>
                <w:rFonts w:ascii="Abadi" w:hAnsi="Abadi"/>
                <w:b/>
                <w:sz w:val="21"/>
                <w:szCs w:val="21"/>
                <w:lang w:val="es-MX" w:eastAsia="en-US"/>
              </w:rPr>
              <w:t>Tipo de Revisión</w:t>
            </w:r>
          </w:p>
          <w:p w14:paraId="38B1EE08" w14:textId="77777777" w:rsidR="00CA18DF" w:rsidRPr="00CA18DF" w:rsidRDefault="00CA18DF" w:rsidP="00CA18DF">
            <w:pPr>
              <w:jc w:val="center"/>
              <w:rPr>
                <w:rFonts w:ascii="Abadi" w:hAnsi="Abadi"/>
                <w:b/>
                <w:sz w:val="21"/>
                <w:szCs w:val="21"/>
                <w:lang w:val="es-MX" w:eastAsia="en-US"/>
              </w:rPr>
            </w:pPr>
            <w:r w:rsidRPr="00CA18DF">
              <w:rPr>
                <w:rFonts w:ascii="Abadi" w:hAnsi="Abadi"/>
                <w:b/>
                <w:sz w:val="21"/>
                <w:szCs w:val="21"/>
                <w:lang w:val="es-MX" w:eastAsia="en-US"/>
              </w:rPr>
              <w:t>/Auditoría</w:t>
            </w:r>
          </w:p>
        </w:tc>
        <w:tc>
          <w:tcPr>
            <w:tcW w:w="1431" w:type="dxa"/>
            <w:shd w:val="clear" w:color="auto" w:fill="auto"/>
          </w:tcPr>
          <w:p w14:paraId="1D058C57" w14:textId="77777777" w:rsidR="00CA18DF" w:rsidRPr="00CA18DF" w:rsidRDefault="00CA18DF" w:rsidP="00CA18DF">
            <w:pPr>
              <w:jc w:val="center"/>
              <w:rPr>
                <w:rFonts w:ascii="Abadi" w:hAnsi="Abadi"/>
                <w:b/>
                <w:sz w:val="21"/>
                <w:szCs w:val="21"/>
                <w:lang w:val="es-MX" w:eastAsia="en-US"/>
              </w:rPr>
            </w:pPr>
            <w:r w:rsidRPr="00CA18DF">
              <w:rPr>
                <w:rFonts w:ascii="Abadi" w:hAnsi="Abadi"/>
                <w:b/>
                <w:sz w:val="21"/>
                <w:szCs w:val="21"/>
                <w:lang w:val="es-MX" w:eastAsia="en-US"/>
              </w:rPr>
              <w:t>Porcentaje revisado de ingresos</w:t>
            </w:r>
          </w:p>
        </w:tc>
        <w:tc>
          <w:tcPr>
            <w:tcW w:w="1431" w:type="dxa"/>
            <w:shd w:val="clear" w:color="auto" w:fill="auto"/>
          </w:tcPr>
          <w:p w14:paraId="78E59A80" w14:textId="77777777" w:rsidR="00CA18DF" w:rsidRPr="00CA18DF" w:rsidRDefault="00CA18DF" w:rsidP="00CA18DF">
            <w:pPr>
              <w:jc w:val="center"/>
              <w:rPr>
                <w:rFonts w:ascii="Abadi" w:hAnsi="Abadi"/>
                <w:b/>
                <w:sz w:val="21"/>
                <w:szCs w:val="21"/>
                <w:lang w:val="es-MX" w:eastAsia="en-US"/>
              </w:rPr>
            </w:pPr>
            <w:r w:rsidRPr="00CA18DF">
              <w:rPr>
                <w:rFonts w:ascii="Abadi" w:hAnsi="Abadi"/>
                <w:b/>
                <w:sz w:val="21"/>
                <w:szCs w:val="21"/>
                <w:lang w:val="es-MX" w:eastAsia="en-US"/>
              </w:rPr>
              <w:t>Porcentaje revisado de egresos</w:t>
            </w:r>
          </w:p>
        </w:tc>
      </w:tr>
      <w:tr w:rsidR="00CA18DF" w:rsidRPr="00CA18DF" w14:paraId="73B70578" w14:textId="77777777" w:rsidTr="004E6068">
        <w:trPr>
          <w:jc w:val="center"/>
        </w:trPr>
        <w:tc>
          <w:tcPr>
            <w:tcW w:w="1271" w:type="dxa"/>
            <w:shd w:val="clear" w:color="auto" w:fill="auto"/>
          </w:tcPr>
          <w:p w14:paraId="13031B5D" w14:textId="77777777" w:rsidR="00CA18DF" w:rsidRPr="00CA18DF" w:rsidRDefault="00CA18DF" w:rsidP="00CA18DF">
            <w:pPr>
              <w:jc w:val="center"/>
              <w:rPr>
                <w:rFonts w:ascii="Abadi" w:hAnsi="Abadi"/>
                <w:bCs/>
                <w:sz w:val="21"/>
                <w:szCs w:val="21"/>
                <w:lang w:val="es-MX" w:eastAsia="en-US"/>
              </w:rPr>
            </w:pPr>
            <w:r w:rsidRPr="00CA18DF">
              <w:rPr>
                <w:rFonts w:ascii="Abadi" w:hAnsi="Abadi"/>
                <w:b/>
                <w:bCs/>
                <w:sz w:val="21"/>
                <w:szCs w:val="21"/>
              </w:rPr>
              <w:t>2018</w:t>
            </w:r>
          </w:p>
        </w:tc>
        <w:tc>
          <w:tcPr>
            <w:tcW w:w="3404" w:type="dxa"/>
            <w:shd w:val="clear" w:color="auto" w:fill="auto"/>
          </w:tcPr>
          <w:p w14:paraId="793D74BB" w14:textId="77777777" w:rsidR="00CA18DF" w:rsidRPr="00CA18DF" w:rsidRDefault="00CA18DF" w:rsidP="00CA18DF">
            <w:pPr>
              <w:rPr>
                <w:rFonts w:ascii="Abadi" w:hAnsi="Abadi"/>
                <w:bCs/>
                <w:sz w:val="21"/>
                <w:szCs w:val="21"/>
                <w:lang w:val="es-MX" w:eastAsia="en-US"/>
              </w:rPr>
            </w:pPr>
            <w:r w:rsidRPr="00CA18DF">
              <w:rPr>
                <w:rFonts w:ascii="Abadi" w:hAnsi="Abadi"/>
                <w:b/>
                <w:bCs/>
                <w:sz w:val="21"/>
                <w:szCs w:val="21"/>
              </w:rPr>
              <w:t>Revisión de Cuenta Pública</w:t>
            </w:r>
          </w:p>
        </w:tc>
        <w:tc>
          <w:tcPr>
            <w:tcW w:w="1431" w:type="dxa"/>
            <w:shd w:val="clear" w:color="auto" w:fill="auto"/>
            <w:vAlign w:val="center"/>
          </w:tcPr>
          <w:p w14:paraId="45B421BE" w14:textId="77777777" w:rsidR="00CA18DF" w:rsidRPr="00CA18DF" w:rsidRDefault="00CA18DF" w:rsidP="00CA18DF">
            <w:pPr>
              <w:jc w:val="center"/>
              <w:rPr>
                <w:rFonts w:ascii="Abadi" w:hAnsi="Abadi"/>
                <w:bCs/>
                <w:sz w:val="21"/>
                <w:szCs w:val="21"/>
                <w:lang w:val="es-MX" w:eastAsia="en-US"/>
              </w:rPr>
            </w:pPr>
          </w:p>
        </w:tc>
        <w:tc>
          <w:tcPr>
            <w:tcW w:w="1431" w:type="dxa"/>
            <w:shd w:val="clear" w:color="auto" w:fill="auto"/>
            <w:vAlign w:val="center"/>
          </w:tcPr>
          <w:p w14:paraId="2A7F60F3" w14:textId="77777777" w:rsidR="00CA18DF" w:rsidRPr="00CA18DF" w:rsidRDefault="00CA18DF" w:rsidP="00CA18DF">
            <w:pPr>
              <w:jc w:val="center"/>
              <w:rPr>
                <w:rFonts w:ascii="Abadi" w:hAnsi="Abadi"/>
                <w:bCs/>
                <w:sz w:val="21"/>
                <w:szCs w:val="21"/>
                <w:lang w:val="es-MX" w:eastAsia="en-US"/>
              </w:rPr>
            </w:pPr>
          </w:p>
        </w:tc>
      </w:tr>
      <w:tr w:rsidR="00CA18DF" w:rsidRPr="00CA18DF" w14:paraId="7EBDD83E" w14:textId="77777777" w:rsidTr="004E6068">
        <w:trPr>
          <w:jc w:val="center"/>
        </w:trPr>
        <w:tc>
          <w:tcPr>
            <w:tcW w:w="1271" w:type="dxa"/>
            <w:shd w:val="clear" w:color="auto" w:fill="auto"/>
          </w:tcPr>
          <w:p w14:paraId="4F59B977" w14:textId="77777777" w:rsidR="00CA18DF" w:rsidRPr="00CA18DF" w:rsidRDefault="00CA18DF" w:rsidP="00CA18DF">
            <w:pPr>
              <w:jc w:val="center"/>
              <w:rPr>
                <w:rFonts w:ascii="Abadi" w:hAnsi="Abadi"/>
                <w:b/>
                <w:sz w:val="21"/>
                <w:szCs w:val="21"/>
                <w:lang w:val="es-MX" w:eastAsia="en-US"/>
              </w:rPr>
            </w:pPr>
          </w:p>
        </w:tc>
        <w:tc>
          <w:tcPr>
            <w:tcW w:w="3404" w:type="dxa"/>
            <w:shd w:val="clear" w:color="auto" w:fill="auto"/>
          </w:tcPr>
          <w:p w14:paraId="402CE139" w14:textId="77777777" w:rsidR="00CA18DF" w:rsidRPr="00CA18DF" w:rsidRDefault="00CA18DF" w:rsidP="00CA18DF">
            <w:pPr>
              <w:rPr>
                <w:rFonts w:ascii="Abadi" w:hAnsi="Abadi"/>
                <w:b/>
                <w:sz w:val="21"/>
                <w:szCs w:val="21"/>
                <w:lang w:val="es-MX" w:eastAsia="en-US"/>
              </w:rPr>
            </w:pPr>
            <w:r w:rsidRPr="00CA18DF">
              <w:rPr>
                <w:rFonts w:ascii="Abadi" w:hAnsi="Abadi"/>
                <w:sz w:val="21"/>
                <w:szCs w:val="21"/>
              </w:rPr>
              <w:t>Sector Central</w:t>
            </w:r>
          </w:p>
        </w:tc>
        <w:tc>
          <w:tcPr>
            <w:tcW w:w="1431" w:type="dxa"/>
            <w:shd w:val="clear" w:color="auto" w:fill="auto"/>
          </w:tcPr>
          <w:p w14:paraId="14C91D21" w14:textId="77777777" w:rsidR="00CA18DF" w:rsidRPr="00CA18DF" w:rsidRDefault="00CA18DF" w:rsidP="00CA18DF">
            <w:pPr>
              <w:jc w:val="center"/>
              <w:rPr>
                <w:rFonts w:ascii="Abadi" w:hAnsi="Abadi"/>
                <w:b/>
                <w:sz w:val="21"/>
                <w:szCs w:val="21"/>
                <w:lang w:val="es-MX" w:eastAsia="en-US"/>
              </w:rPr>
            </w:pPr>
            <w:r w:rsidRPr="00CA18DF">
              <w:rPr>
                <w:rFonts w:ascii="Abadi" w:hAnsi="Abadi"/>
                <w:sz w:val="21"/>
                <w:szCs w:val="21"/>
              </w:rPr>
              <w:t>48</w:t>
            </w:r>
          </w:p>
        </w:tc>
        <w:tc>
          <w:tcPr>
            <w:tcW w:w="1431" w:type="dxa"/>
            <w:shd w:val="clear" w:color="auto" w:fill="auto"/>
          </w:tcPr>
          <w:p w14:paraId="026F312A" w14:textId="77777777" w:rsidR="00CA18DF" w:rsidRPr="00CA18DF" w:rsidRDefault="00CA18DF" w:rsidP="00CA18DF">
            <w:pPr>
              <w:jc w:val="center"/>
              <w:rPr>
                <w:rFonts w:ascii="Abadi" w:hAnsi="Abadi"/>
                <w:b/>
                <w:sz w:val="21"/>
                <w:szCs w:val="21"/>
                <w:lang w:val="es-MX" w:eastAsia="en-US"/>
              </w:rPr>
            </w:pPr>
            <w:r w:rsidRPr="00CA18DF">
              <w:rPr>
                <w:rFonts w:ascii="Abadi" w:hAnsi="Abadi"/>
                <w:sz w:val="21"/>
                <w:szCs w:val="21"/>
              </w:rPr>
              <w:t>56</w:t>
            </w:r>
          </w:p>
        </w:tc>
      </w:tr>
      <w:tr w:rsidR="00CA18DF" w:rsidRPr="00CA18DF" w14:paraId="79B175C0" w14:textId="77777777" w:rsidTr="004E6068">
        <w:trPr>
          <w:jc w:val="center"/>
        </w:trPr>
        <w:tc>
          <w:tcPr>
            <w:tcW w:w="1271" w:type="dxa"/>
            <w:shd w:val="clear" w:color="auto" w:fill="auto"/>
          </w:tcPr>
          <w:p w14:paraId="541DC75F" w14:textId="77777777" w:rsidR="00CA18DF" w:rsidRPr="00CA18DF" w:rsidRDefault="00CA18DF" w:rsidP="00CA18DF">
            <w:pPr>
              <w:jc w:val="center"/>
              <w:rPr>
                <w:rFonts w:ascii="Abadi" w:hAnsi="Abadi"/>
                <w:bCs/>
                <w:sz w:val="21"/>
                <w:szCs w:val="21"/>
                <w:lang w:val="es-MX" w:eastAsia="en-US"/>
              </w:rPr>
            </w:pPr>
          </w:p>
        </w:tc>
        <w:tc>
          <w:tcPr>
            <w:tcW w:w="3404" w:type="dxa"/>
            <w:shd w:val="clear" w:color="auto" w:fill="auto"/>
          </w:tcPr>
          <w:p w14:paraId="15767A3B" w14:textId="77777777" w:rsidR="00CA18DF" w:rsidRPr="00CA18DF" w:rsidRDefault="00CA18DF" w:rsidP="00CA18DF">
            <w:pPr>
              <w:jc w:val="both"/>
              <w:rPr>
                <w:rFonts w:ascii="Abadi" w:hAnsi="Abadi"/>
                <w:bCs/>
                <w:sz w:val="21"/>
                <w:szCs w:val="21"/>
                <w:lang w:val="es-MX" w:eastAsia="en-US"/>
              </w:rPr>
            </w:pPr>
            <w:r w:rsidRPr="00CA18DF">
              <w:rPr>
                <w:rFonts w:ascii="Abadi" w:hAnsi="Abadi"/>
                <w:sz w:val="21"/>
                <w:szCs w:val="21"/>
              </w:rPr>
              <w:t>Sistema para el Desarrollo Integral de la Familia del Municipio de San José Iturbide, Gto.</w:t>
            </w:r>
          </w:p>
        </w:tc>
        <w:tc>
          <w:tcPr>
            <w:tcW w:w="1431" w:type="dxa"/>
            <w:shd w:val="clear" w:color="auto" w:fill="auto"/>
          </w:tcPr>
          <w:p w14:paraId="7D3BE06D" w14:textId="77777777" w:rsidR="00CA18DF" w:rsidRPr="00CA18DF" w:rsidRDefault="00CA18DF" w:rsidP="00CA18DF">
            <w:pPr>
              <w:jc w:val="center"/>
              <w:rPr>
                <w:rFonts w:ascii="Abadi" w:hAnsi="Abadi"/>
                <w:bCs/>
                <w:sz w:val="21"/>
                <w:szCs w:val="21"/>
                <w:lang w:val="es-MX" w:eastAsia="en-US"/>
              </w:rPr>
            </w:pPr>
            <w:r w:rsidRPr="00CA18DF">
              <w:rPr>
                <w:rFonts w:ascii="Abadi" w:hAnsi="Abadi"/>
                <w:sz w:val="21"/>
                <w:szCs w:val="21"/>
              </w:rPr>
              <w:t>55</w:t>
            </w:r>
          </w:p>
        </w:tc>
        <w:tc>
          <w:tcPr>
            <w:tcW w:w="1431" w:type="dxa"/>
            <w:shd w:val="clear" w:color="auto" w:fill="auto"/>
          </w:tcPr>
          <w:p w14:paraId="7D1DC23C" w14:textId="77777777" w:rsidR="00CA18DF" w:rsidRPr="00CA18DF" w:rsidRDefault="00CA18DF" w:rsidP="00CA18DF">
            <w:pPr>
              <w:jc w:val="center"/>
              <w:rPr>
                <w:rFonts w:ascii="Abadi" w:hAnsi="Abadi"/>
                <w:bCs/>
                <w:sz w:val="21"/>
                <w:szCs w:val="21"/>
                <w:lang w:val="es-MX" w:eastAsia="en-US"/>
              </w:rPr>
            </w:pPr>
            <w:r w:rsidRPr="00CA18DF">
              <w:rPr>
                <w:rFonts w:ascii="Abadi" w:hAnsi="Abadi"/>
                <w:sz w:val="21"/>
                <w:szCs w:val="21"/>
              </w:rPr>
              <w:t>26</w:t>
            </w:r>
          </w:p>
        </w:tc>
      </w:tr>
      <w:tr w:rsidR="00CA18DF" w:rsidRPr="00CA18DF" w14:paraId="78B95D61" w14:textId="77777777" w:rsidTr="004E6068">
        <w:trPr>
          <w:jc w:val="center"/>
        </w:trPr>
        <w:tc>
          <w:tcPr>
            <w:tcW w:w="1271" w:type="dxa"/>
            <w:shd w:val="clear" w:color="auto" w:fill="auto"/>
          </w:tcPr>
          <w:p w14:paraId="27FF2DA1" w14:textId="77777777" w:rsidR="00CA18DF" w:rsidRPr="00CA18DF" w:rsidRDefault="00CA18DF" w:rsidP="00CA18DF">
            <w:pPr>
              <w:jc w:val="center"/>
              <w:rPr>
                <w:rFonts w:ascii="Abadi" w:hAnsi="Abadi"/>
                <w:b/>
                <w:sz w:val="21"/>
                <w:szCs w:val="21"/>
                <w:lang w:val="es-MX" w:eastAsia="en-US"/>
              </w:rPr>
            </w:pPr>
          </w:p>
        </w:tc>
        <w:tc>
          <w:tcPr>
            <w:tcW w:w="3404" w:type="dxa"/>
            <w:shd w:val="clear" w:color="auto" w:fill="auto"/>
            <w:vAlign w:val="center"/>
          </w:tcPr>
          <w:p w14:paraId="03863C1B" w14:textId="77777777" w:rsidR="00CA18DF" w:rsidRPr="00CA18DF" w:rsidRDefault="00CA18DF" w:rsidP="00CA18DF">
            <w:pPr>
              <w:jc w:val="both"/>
              <w:rPr>
                <w:rFonts w:ascii="Abadi" w:hAnsi="Abadi"/>
                <w:b/>
                <w:sz w:val="21"/>
                <w:szCs w:val="21"/>
                <w:lang w:val="es-MX" w:eastAsia="en-US"/>
              </w:rPr>
            </w:pPr>
            <w:r w:rsidRPr="00CA18DF">
              <w:rPr>
                <w:rFonts w:ascii="Abadi" w:hAnsi="Abadi"/>
                <w:sz w:val="21"/>
                <w:szCs w:val="21"/>
              </w:rPr>
              <w:t>Patronato de Feria, Fiestas Patrias y Tradicionales del Municipio de San José Iturbide, Gto.</w:t>
            </w:r>
          </w:p>
        </w:tc>
        <w:tc>
          <w:tcPr>
            <w:tcW w:w="1431" w:type="dxa"/>
            <w:shd w:val="clear" w:color="auto" w:fill="auto"/>
            <w:vAlign w:val="center"/>
          </w:tcPr>
          <w:p w14:paraId="4FBC7747" w14:textId="77777777" w:rsidR="00CA18DF" w:rsidRPr="00CA18DF" w:rsidRDefault="00CA18DF" w:rsidP="00CA18DF">
            <w:pPr>
              <w:jc w:val="center"/>
              <w:rPr>
                <w:rFonts w:ascii="Abadi" w:hAnsi="Abadi"/>
                <w:b/>
                <w:sz w:val="21"/>
                <w:szCs w:val="21"/>
                <w:lang w:val="es-MX" w:eastAsia="en-US"/>
              </w:rPr>
            </w:pPr>
            <w:r w:rsidRPr="00CA18DF">
              <w:rPr>
                <w:rFonts w:ascii="Abadi" w:hAnsi="Abadi"/>
                <w:bCs/>
                <w:sz w:val="21"/>
                <w:szCs w:val="21"/>
              </w:rPr>
              <w:t>100</w:t>
            </w:r>
          </w:p>
        </w:tc>
        <w:tc>
          <w:tcPr>
            <w:tcW w:w="1431" w:type="dxa"/>
            <w:shd w:val="clear" w:color="auto" w:fill="auto"/>
            <w:vAlign w:val="center"/>
          </w:tcPr>
          <w:p w14:paraId="0C38C3BA" w14:textId="77777777" w:rsidR="00CA18DF" w:rsidRPr="00CA18DF" w:rsidRDefault="00CA18DF" w:rsidP="00CA18DF">
            <w:pPr>
              <w:jc w:val="center"/>
              <w:rPr>
                <w:rFonts w:ascii="Abadi" w:hAnsi="Abadi"/>
                <w:b/>
                <w:sz w:val="21"/>
                <w:szCs w:val="21"/>
                <w:lang w:val="es-MX" w:eastAsia="en-US"/>
              </w:rPr>
            </w:pPr>
            <w:r w:rsidRPr="00CA18DF">
              <w:rPr>
                <w:rFonts w:ascii="Abadi" w:hAnsi="Abadi"/>
                <w:bCs/>
                <w:sz w:val="21"/>
                <w:szCs w:val="21"/>
              </w:rPr>
              <w:t>98</w:t>
            </w:r>
          </w:p>
        </w:tc>
      </w:tr>
      <w:tr w:rsidR="00CA18DF" w:rsidRPr="00CA18DF" w14:paraId="111C8106" w14:textId="77777777" w:rsidTr="004E6068">
        <w:trPr>
          <w:jc w:val="center"/>
        </w:trPr>
        <w:tc>
          <w:tcPr>
            <w:tcW w:w="1271" w:type="dxa"/>
            <w:shd w:val="clear" w:color="auto" w:fill="auto"/>
          </w:tcPr>
          <w:p w14:paraId="7A4055E2" w14:textId="77777777" w:rsidR="00CA18DF" w:rsidRPr="00CA18DF" w:rsidRDefault="00CA18DF" w:rsidP="00CA18DF">
            <w:pPr>
              <w:jc w:val="center"/>
              <w:rPr>
                <w:rFonts w:ascii="Abadi" w:hAnsi="Abadi"/>
                <w:bCs/>
                <w:sz w:val="21"/>
                <w:szCs w:val="21"/>
                <w:lang w:val="es-MX" w:eastAsia="en-US"/>
              </w:rPr>
            </w:pPr>
          </w:p>
        </w:tc>
        <w:tc>
          <w:tcPr>
            <w:tcW w:w="3404" w:type="dxa"/>
            <w:shd w:val="clear" w:color="auto" w:fill="auto"/>
            <w:vAlign w:val="center"/>
          </w:tcPr>
          <w:p w14:paraId="112BC4DA" w14:textId="77777777" w:rsidR="00CA18DF" w:rsidRPr="00CA18DF" w:rsidRDefault="00CA18DF" w:rsidP="00CA18DF">
            <w:pPr>
              <w:jc w:val="both"/>
              <w:rPr>
                <w:rFonts w:ascii="Abadi" w:hAnsi="Abadi"/>
                <w:bCs/>
                <w:sz w:val="21"/>
                <w:szCs w:val="21"/>
                <w:lang w:val="es-MX" w:eastAsia="en-US"/>
              </w:rPr>
            </w:pPr>
            <w:r w:rsidRPr="00CA18DF">
              <w:rPr>
                <w:rFonts w:ascii="Abadi" w:hAnsi="Abadi"/>
                <w:b/>
                <w:bCs/>
                <w:sz w:val="21"/>
                <w:szCs w:val="21"/>
              </w:rPr>
              <w:t>Auditoría al Ramo General 33 y Obra Pública</w:t>
            </w:r>
          </w:p>
        </w:tc>
        <w:tc>
          <w:tcPr>
            <w:tcW w:w="1431" w:type="dxa"/>
            <w:shd w:val="clear" w:color="auto" w:fill="auto"/>
            <w:vAlign w:val="center"/>
          </w:tcPr>
          <w:p w14:paraId="572B9B83" w14:textId="77777777" w:rsidR="00CA18DF" w:rsidRPr="00CA18DF" w:rsidRDefault="00CA18DF" w:rsidP="00CA18DF">
            <w:pPr>
              <w:jc w:val="center"/>
              <w:rPr>
                <w:rFonts w:ascii="Abadi" w:hAnsi="Abadi"/>
                <w:bCs/>
                <w:sz w:val="21"/>
                <w:szCs w:val="21"/>
                <w:lang w:val="es-MX" w:eastAsia="en-US"/>
              </w:rPr>
            </w:pPr>
            <w:r w:rsidRPr="00CA18DF">
              <w:rPr>
                <w:rFonts w:ascii="Abadi" w:hAnsi="Abadi"/>
                <w:sz w:val="21"/>
                <w:szCs w:val="21"/>
              </w:rPr>
              <w:t>100</w:t>
            </w:r>
          </w:p>
        </w:tc>
        <w:tc>
          <w:tcPr>
            <w:tcW w:w="1431" w:type="dxa"/>
            <w:shd w:val="clear" w:color="auto" w:fill="auto"/>
            <w:vAlign w:val="center"/>
          </w:tcPr>
          <w:p w14:paraId="3EF9D2E5" w14:textId="77777777" w:rsidR="00CA18DF" w:rsidRPr="00CA18DF" w:rsidRDefault="00CA18DF" w:rsidP="00CA18DF">
            <w:pPr>
              <w:jc w:val="center"/>
              <w:rPr>
                <w:rFonts w:ascii="Abadi" w:hAnsi="Abadi"/>
                <w:bCs/>
                <w:sz w:val="21"/>
                <w:szCs w:val="21"/>
                <w:lang w:val="es-MX" w:eastAsia="en-US"/>
              </w:rPr>
            </w:pPr>
            <w:r w:rsidRPr="00CA18DF">
              <w:rPr>
                <w:rFonts w:ascii="Abadi" w:hAnsi="Abadi"/>
                <w:sz w:val="21"/>
                <w:szCs w:val="21"/>
              </w:rPr>
              <w:t>63</w:t>
            </w:r>
          </w:p>
        </w:tc>
      </w:tr>
      <w:tr w:rsidR="00CA18DF" w:rsidRPr="00CA18DF" w14:paraId="6DFFFE70" w14:textId="77777777" w:rsidTr="004E6068">
        <w:trPr>
          <w:jc w:val="center"/>
        </w:trPr>
        <w:tc>
          <w:tcPr>
            <w:tcW w:w="1271" w:type="dxa"/>
            <w:shd w:val="clear" w:color="auto" w:fill="auto"/>
          </w:tcPr>
          <w:p w14:paraId="0D8E70E4" w14:textId="77777777" w:rsidR="00CA18DF" w:rsidRPr="00CA18DF" w:rsidRDefault="00CA18DF" w:rsidP="00CA18DF">
            <w:pPr>
              <w:jc w:val="center"/>
              <w:rPr>
                <w:rFonts w:ascii="Abadi" w:hAnsi="Abadi"/>
                <w:b/>
                <w:sz w:val="21"/>
                <w:szCs w:val="21"/>
                <w:lang w:val="es-MX" w:eastAsia="en-US"/>
              </w:rPr>
            </w:pPr>
            <w:r w:rsidRPr="00CA18DF">
              <w:rPr>
                <w:rFonts w:ascii="Abadi" w:hAnsi="Abadi"/>
                <w:b/>
                <w:bCs/>
                <w:sz w:val="21"/>
                <w:szCs w:val="21"/>
              </w:rPr>
              <w:t>2019</w:t>
            </w:r>
          </w:p>
        </w:tc>
        <w:tc>
          <w:tcPr>
            <w:tcW w:w="3404" w:type="dxa"/>
            <w:shd w:val="clear" w:color="auto" w:fill="auto"/>
          </w:tcPr>
          <w:p w14:paraId="2C8D86AA" w14:textId="77777777" w:rsidR="00CA18DF" w:rsidRPr="00CA18DF" w:rsidRDefault="00CA18DF" w:rsidP="00CA18DF">
            <w:pPr>
              <w:rPr>
                <w:rFonts w:ascii="Abadi" w:hAnsi="Abadi"/>
                <w:b/>
                <w:sz w:val="21"/>
                <w:szCs w:val="21"/>
                <w:lang w:val="es-MX" w:eastAsia="en-US"/>
              </w:rPr>
            </w:pPr>
            <w:r w:rsidRPr="00CA18DF">
              <w:rPr>
                <w:rFonts w:ascii="Abadi" w:hAnsi="Abadi"/>
                <w:b/>
                <w:bCs/>
                <w:sz w:val="21"/>
                <w:szCs w:val="21"/>
              </w:rPr>
              <w:t>Revisión de Cuenta Pública</w:t>
            </w:r>
          </w:p>
        </w:tc>
        <w:tc>
          <w:tcPr>
            <w:tcW w:w="1431" w:type="dxa"/>
            <w:shd w:val="clear" w:color="auto" w:fill="auto"/>
            <w:vAlign w:val="center"/>
          </w:tcPr>
          <w:p w14:paraId="4C73E533" w14:textId="77777777" w:rsidR="00CA18DF" w:rsidRPr="00CA18DF" w:rsidRDefault="00CA18DF" w:rsidP="00CA18DF">
            <w:pPr>
              <w:jc w:val="center"/>
              <w:rPr>
                <w:rFonts w:ascii="Abadi" w:hAnsi="Abadi"/>
                <w:bCs/>
                <w:sz w:val="21"/>
                <w:szCs w:val="21"/>
                <w:lang w:val="es-MX" w:eastAsia="en-US"/>
              </w:rPr>
            </w:pPr>
          </w:p>
        </w:tc>
        <w:tc>
          <w:tcPr>
            <w:tcW w:w="1431" w:type="dxa"/>
            <w:shd w:val="clear" w:color="auto" w:fill="auto"/>
            <w:vAlign w:val="center"/>
          </w:tcPr>
          <w:p w14:paraId="152CAD45" w14:textId="77777777" w:rsidR="00CA18DF" w:rsidRPr="00CA18DF" w:rsidRDefault="00CA18DF" w:rsidP="00CA18DF">
            <w:pPr>
              <w:jc w:val="center"/>
              <w:rPr>
                <w:rFonts w:ascii="Abadi" w:hAnsi="Abadi"/>
                <w:b/>
                <w:sz w:val="21"/>
                <w:szCs w:val="21"/>
                <w:lang w:val="es-MX" w:eastAsia="en-US"/>
              </w:rPr>
            </w:pPr>
          </w:p>
        </w:tc>
      </w:tr>
      <w:tr w:rsidR="00CA18DF" w:rsidRPr="00CA18DF" w14:paraId="1C89D44E" w14:textId="77777777" w:rsidTr="004E6068">
        <w:trPr>
          <w:jc w:val="center"/>
        </w:trPr>
        <w:tc>
          <w:tcPr>
            <w:tcW w:w="1271" w:type="dxa"/>
            <w:shd w:val="clear" w:color="auto" w:fill="auto"/>
          </w:tcPr>
          <w:p w14:paraId="10D10EBE" w14:textId="77777777" w:rsidR="00CA18DF" w:rsidRPr="00CA18DF" w:rsidRDefault="00CA18DF" w:rsidP="00CA18DF">
            <w:pPr>
              <w:jc w:val="center"/>
              <w:rPr>
                <w:rFonts w:ascii="Abadi" w:hAnsi="Abadi"/>
                <w:bCs/>
                <w:sz w:val="21"/>
                <w:szCs w:val="21"/>
                <w:lang w:val="es-MX" w:eastAsia="en-US"/>
              </w:rPr>
            </w:pPr>
          </w:p>
        </w:tc>
        <w:tc>
          <w:tcPr>
            <w:tcW w:w="3404" w:type="dxa"/>
            <w:shd w:val="clear" w:color="auto" w:fill="auto"/>
          </w:tcPr>
          <w:p w14:paraId="3F2F52D5" w14:textId="77777777" w:rsidR="00CA18DF" w:rsidRPr="00CA18DF" w:rsidRDefault="00CA18DF" w:rsidP="00CA18DF">
            <w:pPr>
              <w:jc w:val="both"/>
              <w:rPr>
                <w:rFonts w:ascii="Abadi" w:hAnsi="Abadi"/>
                <w:bCs/>
                <w:sz w:val="21"/>
                <w:szCs w:val="21"/>
                <w:lang w:val="es-MX" w:eastAsia="en-US"/>
              </w:rPr>
            </w:pPr>
            <w:r w:rsidRPr="00CA18DF">
              <w:rPr>
                <w:rFonts w:ascii="Abadi" w:hAnsi="Abadi"/>
                <w:sz w:val="21"/>
                <w:szCs w:val="21"/>
              </w:rPr>
              <w:t>Sector Central</w:t>
            </w:r>
          </w:p>
        </w:tc>
        <w:tc>
          <w:tcPr>
            <w:tcW w:w="1431" w:type="dxa"/>
            <w:shd w:val="clear" w:color="auto" w:fill="auto"/>
          </w:tcPr>
          <w:p w14:paraId="15899DFB" w14:textId="77777777" w:rsidR="00CA18DF" w:rsidRPr="00CA18DF" w:rsidRDefault="00CA18DF" w:rsidP="00CA18DF">
            <w:pPr>
              <w:jc w:val="center"/>
              <w:rPr>
                <w:rFonts w:ascii="Abadi" w:hAnsi="Abadi"/>
                <w:b/>
                <w:sz w:val="21"/>
                <w:szCs w:val="21"/>
                <w:lang w:val="es-MX" w:eastAsia="en-US"/>
              </w:rPr>
            </w:pPr>
            <w:r w:rsidRPr="00CA18DF">
              <w:rPr>
                <w:rFonts w:ascii="Abadi" w:hAnsi="Abadi"/>
                <w:sz w:val="21"/>
                <w:szCs w:val="21"/>
              </w:rPr>
              <w:t>76</w:t>
            </w:r>
          </w:p>
        </w:tc>
        <w:tc>
          <w:tcPr>
            <w:tcW w:w="1431" w:type="dxa"/>
            <w:shd w:val="clear" w:color="auto" w:fill="auto"/>
            <w:vAlign w:val="center"/>
          </w:tcPr>
          <w:p w14:paraId="5B7E6F89" w14:textId="77777777" w:rsidR="00CA18DF" w:rsidRPr="00CA18DF" w:rsidRDefault="00CA18DF" w:rsidP="00CA18DF">
            <w:pPr>
              <w:jc w:val="center"/>
              <w:rPr>
                <w:rFonts w:ascii="Abadi" w:hAnsi="Abadi"/>
                <w:b/>
                <w:sz w:val="21"/>
                <w:szCs w:val="21"/>
                <w:lang w:val="es-MX" w:eastAsia="en-US"/>
              </w:rPr>
            </w:pPr>
            <w:r w:rsidRPr="00CA18DF">
              <w:rPr>
                <w:rFonts w:ascii="Abadi" w:hAnsi="Abadi"/>
                <w:sz w:val="21"/>
                <w:szCs w:val="21"/>
              </w:rPr>
              <w:t>53</w:t>
            </w:r>
          </w:p>
        </w:tc>
      </w:tr>
      <w:tr w:rsidR="00CA18DF" w:rsidRPr="00CA18DF" w14:paraId="687E26B8" w14:textId="77777777" w:rsidTr="004E6068">
        <w:trPr>
          <w:jc w:val="center"/>
        </w:trPr>
        <w:tc>
          <w:tcPr>
            <w:tcW w:w="1271" w:type="dxa"/>
            <w:shd w:val="clear" w:color="auto" w:fill="auto"/>
          </w:tcPr>
          <w:p w14:paraId="6EA27FA3" w14:textId="77777777" w:rsidR="00CA18DF" w:rsidRPr="00CA18DF" w:rsidRDefault="00CA18DF" w:rsidP="00CA18DF">
            <w:pPr>
              <w:jc w:val="center"/>
              <w:rPr>
                <w:rFonts w:ascii="Abadi" w:hAnsi="Abadi"/>
                <w:bCs/>
                <w:sz w:val="21"/>
                <w:szCs w:val="21"/>
                <w:lang w:val="es-MX" w:eastAsia="en-US"/>
              </w:rPr>
            </w:pPr>
          </w:p>
        </w:tc>
        <w:tc>
          <w:tcPr>
            <w:tcW w:w="3404" w:type="dxa"/>
            <w:shd w:val="clear" w:color="auto" w:fill="auto"/>
            <w:vAlign w:val="center"/>
          </w:tcPr>
          <w:p w14:paraId="6B077F1B" w14:textId="77777777" w:rsidR="00CA18DF" w:rsidRPr="00CA18DF" w:rsidRDefault="00CA18DF" w:rsidP="00CA18DF">
            <w:pPr>
              <w:jc w:val="both"/>
              <w:rPr>
                <w:rFonts w:ascii="Abadi" w:hAnsi="Abadi"/>
                <w:bCs/>
                <w:sz w:val="21"/>
                <w:szCs w:val="21"/>
                <w:lang w:val="es-MX" w:eastAsia="en-US"/>
              </w:rPr>
            </w:pPr>
            <w:r w:rsidRPr="00CA18DF">
              <w:rPr>
                <w:rFonts w:ascii="Abadi" w:hAnsi="Abadi"/>
                <w:b/>
                <w:bCs/>
                <w:sz w:val="21"/>
                <w:szCs w:val="21"/>
              </w:rPr>
              <w:t>Auditoría al Ramo General 33 y Obra Pública</w:t>
            </w:r>
          </w:p>
        </w:tc>
        <w:tc>
          <w:tcPr>
            <w:tcW w:w="1431" w:type="dxa"/>
            <w:shd w:val="clear" w:color="auto" w:fill="auto"/>
            <w:vAlign w:val="center"/>
          </w:tcPr>
          <w:p w14:paraId="19A4286B" w14:textId="77777777" w:rsidR="00CA18DF" w:rsidRPr="00CA18DF" w:rsidRDefault="00CA18DF" w:rsidP="00CA18DF">
            <w:pPr>
              <w:jc w:val="center"/>
              <w:rPr>
                <w:rFonts w:ascii="Abadi" w:hAnsi="Abadi"/>
                <w:bCs/>
                <w:sz w:val="21"/>
                <w:szCs w:val="21"/>
                <w:lang w:val="es-MX" w:eastAsia="en-US"/>
              </w:rPr>
            </w:pPr>
            <w:r w:rsidRPr="00CA18DF">
              <w:rPr>
                <w:rFonts w:ascii="Abadi" w:hAnsi="Abadi"/>
                <w:sz w:val="21"/>
                <w:szCs w:val="21"/>
              </w:rPr>
              <w:t>100</w:t>
            </w:r>
          </w:p>
        </w:tc>
        <w:tc>
          <w:tcPr>
            <w:tcW w:w="1431" w:type="dxa"/>
            <w:shd w:val="clear" w:color="auto" w:fill="auto"/>
            <w:vAlign w:val="center"/>
          </w:tcPr>
          <w:p w14:paraId="49AF6338" w14:textId="77777777" w:rsidR="00CA18DF" w:rsidRPr="00CA18DF" w:rsidRDefault="00CA18DF" w:rsidP="00CA18DF">
            <w:pPr>
              <w:jc w:val="center"/>
              <w:rPr>
                <w:rFonts w:ascii="Abadi" w:hAnsi="Abadi"/>
                <w:bCs/>
                <w:sz w:val="21"/>
                <w:szCs w:val="21"/>
                <w:lang w:val="es-MX" w:eastAsia="en-US"/>
              </w:rPr>
            </w:pPr>
            <w:r w:rsidRPr="00CA18DF">
              <w:rPr>
                <w:rFonts w:ascii="Abadi" w:hAnsi="Abadi"/>
                <w:bCs/>
                <w:sz w:val="21"/>
                <w:szCs w:val="21"/>
              </w:rPr>
              <w:t>49</w:t>
            </w:r>
          </w:p>
        </w:tc>
      </w:tr>
      <w:tr w:rsidR="00CA18DF" w:rsidRPr="00CA18DF" w14:paraId="491B4493" w14:textId="77777777" w:rsidTr="004E6068">
        <w:trPr>
          <w:jc w:val="center"/>
        </w:trPr>
        <w:tc>
          <w:tcPr>
            <w:tcW w:w="1271" w:type="dxa"/>
            <w:shd w:val="clear" w:color="auto" w:fill="auto"/>
          </w:tcPr>
          <w:p w14:paraId="4AA056B5" w14:textId="77777777" w:rsidR="00CA18DF" w:rsidRPr="00CA18DF" w:rsidRDefault="00CA18DF" w:rsidP="00CA18DF">
            <w:pPr>
              <w:jc w:val="center"/>
              <w:rPr>
                <w:rFonts w:ascii="Abadi" w:hAnsi="Abadi"/>
                <w:b/>
                <w:sz w:val="21"/>
                <w:szCs w:val="21"/>
                <w:lang w:val="es-MX" w:eastAsia="en-US"/>
              </w:rPr>
            </w:pPr>
            <w:r w:rsidRPr="00CA18DF">
              <w:rPr>
                <w:rFonts w:ascii="Abadi" w:hAnsi="Abadi"/>
                <w:b/>
                <w:bCs/>
                <w:sz w:val="21"/>
                <w:szCs w:val="21"/>
              </w:rPr>
              <w:t>2020</w:t>
            </w:r>
          </w:p>
        </w:tc>
        <w:tc>
          <w:tcPr>
            <w:tcW w:w="3404" w:type="dxa"/>
            <w:shd w:val="clear" w:color="auto" w:fill="auto"/>
          </w:tcPr>
          <w:p w14:paraId="042B2CE2" w14:textId="77777777" w:rsidR="00CA18DF" w:rsidRPr="00CA18DF" w:rsidRDefault="00CA18DF" w:rsidP="00CA18DF">
            <w:pPr>
              <w:rPr>
                <w:rFonts w:ascii="Abadi" w:hAnsi="Abadi"/>
                <w:b/>
                <w:sz w:val="21"/>
                <w:szCs w:val="21"/>
                <w:lang w:val="es-MX" w:eastAsia="en-US"/>
              </w:rPr>
            </w:pPr>
            <w:r w:rsidRPr="00CA18DF">
              <w:rPr>
                <w:rFonts w:ascii="Abadi" w:hAnsi="Abadi"/>
                <w:b/>
                <w:bCs/>
                <w:sz w:val="21"/>
                <w:szCs w:val="21"/>
              </w:rPr>
              <w:t>Revisión de Cuenta Pública</w:t>
            </w:r>
          </w:p>
        </w:tc>
        <w:tc>
          <w:tcPr>
            <w:tcW w:w="1431" w:type="dxa"/>
            <w:shd w:val="clear" w:color="auto" w:fill="auto"/>
            <w:vAlign w:val="center"/>
          </w:tcPr>
          <w:p w14:paraId="07658663" w14:textId="77777777" w:rsidR="00CA18DF" w:rsidRPr="00CA18DF" w:rsidRDefault="00CA18DF" w:rsidP="00CA18DF">
            <w:pPr>
              <w:jc w:val="center"/>
              <w:rPr>
                <w:rFonts w:ascii="Abadi" w:hAnsi="Abadi"/>
                <w:bCs/>
                <w:sz w:val="21"/>
                <w:szCs w:val="21"/>
                <w:lang w:val="es-MX" w:eastAsia="en-US"/>
              </w:rPr>
            </w:pPr>
          </w:p>
        </w:tc>
        <w:tc>
          <w:tcPr>
            <w:tcW w:w="1431" w:type="dxa"/>
            <w:shd w:val="clear" w:color="auto" w:fill="auto"/>
            <w:vAlign w:val="center"/>
          </w:tcPr>
          <w:p w14:paraId="5CE144DA" w14:textId="77777777" w:rsidR="00CA18DF" w:rsidRPr="00CA18DF" w:rsidRDefault="00CA18DF" w:rsidP="00CA18DF">
            <w:pPr>
              <w:jc w:val="center"/>
              <w:rPr>
                <w:rFonts w:ascii="Abadi" w:hAnsi="Abadi"/>
                <w:b/>
                <w:sz w:val="21"/>
                <w:szCs w:val="21"/>
                <w:lang w:val="es-MX" w:eastAsia="en-US"/>
              </w:rPr>
            </w:pPr>
          </w:p>
        </w:tc>
      </w:tr>
      <w:tr w:rsidR="00CA18DF" w:rsidRPr="00CA18DF" w14:paraId="24149E01" w14:textId="77777777" w:rsidTr="004E6068">
        <w:trPr>
          <w:jc w:val="center"/>
        </w:trPr>
        <w:tc>
          <w:tcPr>
            <w:tcW w:w="1271" w:type="dxa"/>
            <w:shd w:val="clear" w:color="auto" w:fill="auto"/>
          </w:tcPr>
          <w:p w14:paraId="36228C07" w14:textId="77777777" w:rsidR="00CA18DF" w:rsidRPr="00CA18DF" w:rsidRDefault="00CA18DF" w:rsidP="00CA18DF">
            <w:pPr>
              <w:jc w:val="center"/>
              <w:rPr>
                <w:rFonts w:ascii="Abadi" w:hAnsi="Abadi"/>
                <w:bCs/>
                <w:sz w:val="21"/>
                <w:szCs w:val="21"/>
                <w:lang w:val="es-MX" w:eastAsia="en-US"/>
              </w:rPr>
            </w:pPr>
          </w:p>
        </w:tc>
        <w:tc>
          <w:tcPr>
            <w:tcW w:w="3404" w:type="dxa"/>
            <w:shd w:val="clear" w:color="auto" w:fill="auto"/>
          </w:tcPr>
          <w:p w14:paraId="6662AD1A" w14:textId="77777777" w:rsidR="00CA18DF" w:rsidRPr="00CA18DF" w:rsidRDefault="00CA18DF" w:rsidP="00CA18DF">
            <w:pPr>
              <w:jc w:val="both"/>
              <w:rPr>
                <w:rFonts w:ascii="Abadi" w:hAnsi="Abadi"/>
                <w:sz w:val="21"/>
                <w:szCs w:val="21"/>
              </w:rPr>
            </w:pPr>
            <w:r w:rsidRPr="00CA18DF">
              <w:rPr>
                <w:rFonts w:ascii="Abadi" w:hAnsi="Abadi"/>
                <w:sz w:val="21"/>
                <w:szCs w:val="21"/>
              </w:rPr>
              <w:t>Sector Central</w:t>
            </w:r>
          </w:p>
        </w:tc>
        <w:tc>
          <w:tcPr>
            <w:tcW w:w="1431" w:type="dxa"/>
            <w:shd w:val="clear" w:color="auto" w:fill="auto"/>
          </w:tcPr>
          <w:p w14:paraId="7297A000" w14:textId="77777777" w:rsidR="00CA18DF" w:rsidRPr="00CA18DF" w:rsidRDefault="00CA18DF" w:rsidP="00CA18DF">
            <w:pPr>
              <w:jc w:val="center"/>
              <w:rPr>
                <w:rFonts w:ascii="Abadi" w:hAnsi="Abadi"/>
                <w:sz w:val="21"/>
                <w:szCs w:val="21"/>
              </w:rPr>
            </w:pPr>
            <w:r w:rsidRPr="00CA18DF">
              <w:rPr>
                <w:rFonts w:ascii="Abadi" w:hAnsi="Abadi"/>
                <w:sz w:val="21"/>
                <w:szCs w:val="21"/>
              </w:rPr>
              <w:t>64</w:t>
            </w:r>
          </w:p>
        </w:tc>
        <w:tc>
          <w:tcPr>
            <w:tcW w:w="1431" w:type="dxa"/>
            <w:shd w:val="clear" w:color="auto" w:fill="auto"/>
            <w:vAlign w:val="center"/>
          </w:tcPr>
          <w:p w14:paraId="3DE20CDF" w14:textId="77777777" w:rsidR="00CA18DF" w:rsidRPr="00CA18DF" w:rsidRDefault="00CA18DF" w:rsidP="00CA18DF">
            <w:pPr>
              <w:jc w:val="center"/>
              <w:rPr>
                <w:rFonts w:ascii="Abadi" w:hAnsi="Abadi"/>
                <w:sz w:val="21"/>
                <w:szCs w:val="21"/>
              </w:rPr>
            </w:pPr>
            <w:r w:rsidRPr="00CA18DF">
              <w:rPr>
                <w:rFonts w:ascii="Abadi" w:hAnsi="Abadi"/>
                <w:sz w:val="21"/>
                <w:szCs w:val="21"/>
              </w:rPr>
              <w:t>62</w:t>
            </w:r>
          </w:p>
        </w:tc>
      </w:tr>
      <w:tr w:rsidR="00CA18DF" w:rsidRPr="00CA18DF" w14:paraId="4E37641A" w14:textId="77777777" w:rsidTr="004E6068">
        <w:trPr>
          <w:jc w:val="center"/>
        </w:trPr>
        <w:tc>
          <w:tcPr>
            <w:tcW w:w="1271" w:type="dxa"/>
            <w:shd w:val="clear" w:color="auto" w:fill="auto"/>
          </w:tcPr>
          <w:p w14:paraId="45FE61C8" w14:textId="77777777" w:rsidR="00CA18DF" w:rsidRPr="00CA18DF" w:rsidRDefault="00CA18DF" w:rsidP="00CA18DF">
            <w:pPr>
              <w:jc w:val="center"/>
              <w:rPr>
                <w:rFonts w:ascii="Abadi" w:hAnsi="Abadi"/>
                <w:bCs/>
                <w:sz w:val="21"/>
                <w:szCs w:val="21"/>
                <w:lang w:val="es-MX" w:eastAsia="en-US"/>
              </w:rPr>
            </w:pPr>
          </w:p>
        </w:tc>
        <w:tc>
          <w:tcPr>
            <w:tcW w:w="3404" w:type="dxa"/>
            <w:shd w:val="clear" w:color="auto" w:fill="auto"/>
          </w:tcPr>
          <w:p w14:paraId="4AFA1231" w14:textId="77777777" w:rsidR="00CA18DF" w:rsidRPr="00CA18DF" w:rsidRDefault="00CA18DF" w:rsidP="00CA18DF">
            <w:pPr>
              <w:jc w:val="both"/>
              <w:rPr>
                <w:rFonts w:ascii="Abadi" w:hAnsi="Abadi"/>
                <w:sz w:val="21"/>
                <w:szCs w:val="21"/>
              </w:rPr>
            </w:pPr>
            <w:r w:rsidRPr="00CA18DF">
              <w:rPr>
                <w:rFonts w:ascii="Abadi" w:hAnsi="Abadi"/>
                <w:b/>
                <w:bCs/>
                <w:sz w:val="21"/>
                <w:szCs w:val="21"/>
              </w:rPr>
              <w:t>Auditoría a la Infraestructura Pública Municipal</w:t>
            </w:r>
          </w:p>
        </w:tc>
        <w:tc>
          <w:tcPr>
            <w:tcW w:w="1431" w:type="dxa"/>
            <w:shd w:val="clear" w:color="auto" w:fill="auto"/>
          </w:tcPr>
          <w:p w14:paraId="7698C826" w14:textId="77777777" w:rsidR="00CA18DF" w:rsidRPr="00CA18DF" w:rsidRDefault="00CA18DF" w:rsidP="00CA18DF">
            <w:pPr>
              <w:jc w:val="center"/>
              <w:rPr>
                <w:rFonts w:ascii="Abadi" w:hAnsi="Abadi"/>
                <w:sz w:val="21"/>
                <w:szCs w:val="21"/>
              </w:rPr>
            </w:pPr>
          </w:p>
          <w:p w14:paraId="5E435EA7" w14:textId="77777777" w:rsidR="00CA18DF" w:rsidRPr="00CA18DF" w:rsidRDefault="00CA18DF" w:rsidP="00CA18DF">
            <w:pPr>
              <w:jc w:val="center"/>
              <w:rPr>
                <w:rFonts w:ascii="Abadi" w:hAnsi="Abadi"/>
                <w:sz w:val="21"/>
                <w:szCs w:val="21"/>
              </w:rPr>
            </w:pPr>
            <w:r w:rsidRPr="00CA18DF">
              <w:rPr>
                <w:rFonts w:ascii="Abadi" w:hAnsi="Abadi"/>
                <w:sz w:val="21"/>
                <w:szCs w:val="21"/>
              </w:rPr>
              <w:t>100</w:t>
            </w:r>
          </w:p>
          <w:p w14:paraId="59930874" w14:textId="77777777" w:rsidR="00CA18DF" w:rsidRPr="00CA18DF" w:rsidRDefault="00CA18DF" w:rsidP="00CA18DF">
            <w:pPr>
              <w:jc w:val="center"/>
              <w:rPr>
                <w:rFonts w:ascii="Abadi" w:hAnsi="Abadi"/>
                <w:sz w:val="21"/>
                <w:szCs w:val="21"/>
              </w:rPr>
            </w:pPr>
          </w:p>
        </w:tc>
        <w:tc>
          <w:tcPr>
            <w:tcW w:w="1431" w:type="dxa"/>
            <w:shd w:val="clear" w:color="auto" w:fill="auto"/>
            <w:vAlign w:val="center"/>
          </w:tcPr>
          <w:p w14:paraId="78B83788" w14:textId="77777777" w:rsidR="00CA18DF" w:rsidRPr="00CA18DF" w:rsidRDefault="00CA18DF" w:rsidP="00CA18DF">
            <w:pPr>
              <w:jc w:val="center"/>
              <w:rPr>
                <w:rFonts w:ascii="Abadi" w:hAnsi="Abadi"/>
                <w:sz w:val="21"/>
                <w:szCs w:val="21"/>
              </w:rPr>
            </w:pPr>
            <w:r w:rsidRPr="00CA18DF">
              <w:rPr>
                <w:rFonts w:ascii="Abadi" w:hAnsi="Abadi"/>
                <w:sz w:val="21"/>
                <w:szCs w:val="21"/>
              </w:rPr>
              <w:t>39</w:t>
            </w:r>
          </w:p>
        </w:tc>
      </w:tr>
      <w:tr w:rsidR="00CA18DF" w:rsidRPr="00CA18DF" w14:paraId="4B3A3B70" w14:textId="77777777" w:rsidTr="004E6068">
        <w:trPr>
          <w:jc w:val="center"/>
        </w:trPr>
        <w:tc>
          <w:tcPr>
            <w:tcW w:w="1271" w:type="dxa"/>
            <w:shd w:val="clear" w:color="auto" w:fill="auto"/>
          </w:tcPr>
          <w:p w14:paraId="3E08117D" w14:textId="77777777" w:rsidR="00CA18DF" w:rsidRPr="00CA18DF" w:rsidRDefault="00CA18DF" w:rsidP="00CA18DF">
            <w:pPr>
              <w:jc w:val="center"/>
              <w:rPr>
                <w:rFonts w:ascii="Abadi" w:hAnsi="Abadi"/>
                <w:b/>
                <w:sz w:val="21"/>
                <w:szCs w:val="21"/>
                <w:lang w:val="es-MX" w:eastAsia="en-US"/>
              </w:rPr>
            </w:pPr>
            <w:r w:rsidRPr="00CA18DF">
              <w:rPr>
                <w:rFonts w:ascii="Abadi" w:hAnsi="Abadi"/>
                <w:b/>
                <w:sz w:val="21"/>
                <w:szCs w:val="21"/>
                <w:lang w:val="es-MX" w:eastAsia="en-US"/>
              </w:rPr>
              <w:t>2021</w:t>
            </w:r>
          </w:p>
        </w:tc>
        <w:tc>
          <w:tcPr>
            <w:tcW w:w="3404" w:type="dxa"/>
            <w:shd w:val="clear" w:color="auto" w:fill="auto"/>
          </w:tcPr>
          <w:p w14:paraId="5693AC4B" w14:textId="77777777" w:rsidR="00CA18DF" w:rsidRPr="00CA18DF" w:rsidRDefault="00CA18DF" w:rsidP="00CA18DF">
            <w:pPr>
              <w:jc w:val="both"/>
              <w:rPr>
                <w:rFonts w:ascii="Abadi" w:hAnsi="Abadi"/>
                <w:sz w:val="21"/>
                <w:szCs w:val="21"/>
              </w:rPr>
            </w:pPr>
            <w:r w:rsidRPr="00CA18DF">
              <w:rPr>
                <w:rFonts w:ascii="Abadi" w:hAnsi="Abadi"/>
                <w:b/>
                <w:bCs/>
                <w:sz w:val="21"/>
                <w:szCs w:val="21"/>
              </w:rPr>
              <w:t>Revisión de Cuenta Pública</w:t>
            </w:r>
          </w:p>
        </w:tc>
        <w:tc>
          <w:tcPr>
            <w:tcW w:w="1431" w:type="dxa"/>
            <w:shd w:val="clear" w:color="auto" w:fill="auto"/>
          </w:tcPr>
          <w:p w14:paraId="7A45A8D0" w14:textId="77777777" w:rsidR="00CA18DF" w:rsidRPr="00CA18DF" w:rsidRDefault="00CA18DF" w:rsidP="00CA18DF">
            <w:pPr>
              <w:jc w:val="center"/>
              <w:rPr>
                <w:rFonts w:ascii="Abadi" w:hAnsi="Abadi"/>
                <w:sz w:val="21"/>
                <w:szCs w:val="21"/>
              </w:rPr>
            </w:pPr>
          </w:p>
        </w:tc>
        <w:tc>
          <w:tcPr>
            <w:tcW w:w="1431" w:type="dxa"/>
            <w:shd w:val="clear" w:color="auto" w:fill="auto"/>
            <w:vAlign w:val="center"/>
          </w:tcPr>
          <w:p w14:paraId="5D6A1F28" w14:textId="77777777" w:rsidR="00CA18DF" w:rsidRPr="00CA18DF" w:rsidRDefault="00CA18DF" w:rsidP="00CA18DF">
            <w:pPr>
              <w:jc w:val="center"/>
              <w:rPr>
                <w:rFonts w:ascii="Abadi" w:hAnsi="Abadi"/>
                <w:sz w:val="21"/>
                <w:szCs w:val="21"/>
              </w:rPr>
            </w:pPr>
          </w:p>
        </w:tc>
      </w:tr>
      <w:tr w:rsidR="00CA18DF" w:rsidRPr="00CA18DF" w14:paraId="6DC926A1" w14:textId="77777777" w:rsidTr="004E6068">
        <w:trPr>
          <w:jc w:val="center"/>
        </w:trPr>
        <w:tc>
          <w:tcPr>
            <w:tcW w:w="1271" w:type="dxa"/>
            <w:shd w:val="clear" w:color="auto" w:fill="auto"/>
          </w:tcPr>
          <w:p w14:paraId="140725D6" w14:textId="77777777" w:rsidR="00CA18DF" w:rsidRPr="00CA18DF" w:rsidRDefault="00CA18DF" w:rsidP="00CA18DF">
            <w:pPr>
              <w:jc w:val="center"/>
              <w:rPr>
                <w:rFonts w:ascii="Abadi" w:hAnsi="Abadi"/>
                <w:bCs/>
                <w:sz w:val="21"/>
                <w:szCs w:val="21"/>
                <w:lang w:val="es-MX" w:eastAsia="en-US"/>
              </w:rPr>
            </w:pPr>
          </w:p>
        </w:tc>
        <w:tc>
          <w:tcPr>
            <w:tcW w:w="3404" w:type="dxa"/>
            <w:shd w:val="clear" w:color="auto" w:fill="auto"/>
          </w:tcPr>
          <w:p w14:paraId="714336AA" w14:textId="77777777" w:rsidR="00CA18DF" w:rsidRPr="00CA18DF" w:rsidRDefault="00CA18DF" w:rsidP="00CA18DF">
            <w:pPr>
              <w:jc w:val="both"/>
              <w:rPr>
                <w:rFonts w:ascii="Abadi" w:hAnsi="Abadi"/>
                <w:sz w:val="21"/>
                <w:szCs w:val="21"/>
              </w:rPr>
            </w:pPr>
            <w:r w:rsidRPr="00CA18DF">
              <w:rPr>
                <w:rFonts w:ascii="Abadi" w:hAnsi="Abadi"/>
                <w:sz w:val="21"/>
                <w:szCs w:val="21"/>
              </w:rPr>
              <w:t>En etapa de análisis de información financiera del periodo de enero a junio y julio a diciembre 2021</w:t>
            </w:r>
          </w:p>
        </w:tc>
        <w:tc>
          <w:tcPr>
            <w:tcW w:w="1431" w:type="dxa"/>
            <w:shd w:val="clear" w:color="auto" w:fill="auto"/>
          </w:tcPr>
          <w:p w14:paraId="3A95133E" w14:textId="77777777" w:rsidR="00CA18DF" w:rsidRPr="00CA18DF" w:rsidRDefault="00CA18DF" w:rsidP="00CA18DF">
            <w:pPr>
              <w:jc w:val="center"/>
              <w:rPr>
                <w:rFonts w:ascii="Abadi" w:hAnsi="Abadi"/>
                <w:sz w:val="21"/>
                <w:szCs w:val="21"/>
              </w:rPr>
            </w:pPr>
          </w:p>
          <w:p w14:paraId="040FF231" w14:textId="77777777" w:rsidR="00CA18DF" w:rsidRPr="00CA18DF" w:rsidRDefault="00CA18DF" w:rsidP="00CA18DF">
            <w:pPr>
              <w:jc w:val="center"/>
              <w:rPr>
                <w:rFonts w:ascii="Abadi" w:hAnsi="Abadi"/>
                <w:sz w:val="21"/>
                <w:szCs w:val="21"/>
              </w:rPr>
            </w:pPr>
            <w:r w:rsidRPr="00CA18DF">
              <w:rPr>
                <w:rFonts w:ascii="Abadi" w:hAnsi="Abadi"/>
                <w:sz w:val="21"/>
                <w:szCs w:val="21"/>
              </w:rPr>
              <w:t>Proceso</w:t>
            </w:r>
          </w:p>
        </w:tc>
        <w:tc>
          <w:tcPr>
            <w:tcW w:w="1431" w:type="dxa"/>
            <w:shd w:val="clear" w:color="auto" w:fill="auto"/>
            <w:vAlign w:val="center"/>
          </w:tcPr>
          <w:p w14:paraId="72CAEBE8" w14:textId="77777777" w:rsidR="00CA18DF" w:rsidRPr="00CA18DF" w:rsidRDefault="00CA18DF" w:rsidP="00CA18DF">
            <w:pPr>
              <w:jc w:val="center"/>
              <w:rPr>
                <w:rFonts w:ascii="Abadi" w:hAnsi="Abadi"/>
                <w:sz w:val="21"/>
                <w:szCs w:val="21"/>
              </w:rPr>
            </w:pPr>
            <w:r w:rsidRPr="00CA18DF">
              <w:rPr>
                <w:rFonts w:ascii="Abadi" w:hAnsi="Abadi"/>
                <w:sz w:val="21"/>
                <w:szCs w:val="21"/>
              </w:rPr>
              <w:t>Proceso</w:t>
            </w:r>
          </w:p>
        </w:tc>
      </w:tr>
    </w:tbl>
    <w:p w14:paraId="58DBD85C" w14:textId="77777777" w:rsidR="00CA18DF" w:rsidRPr="00CA18DF" w:rsidRDefault="00CA18DF" w:rsidP="00CA18DF">
      <w:pPr>
        <w:rPr>
          <w:rFonts w:ascii="Abadi" w:hAnsi="Abadi"/>
          <w:b/>
          <w:sz w:val="21"/>
          <w:szCs w:val="21"/>
          <w:lang w:val="es-MX" w:eastAsia="en-US"/>
        </w:rPr>
      </w:pPr>
    </w:p>
    <w:p w14:paraId="05083497" w14:textId="77777777" w:rsidR="00CA18DF" w:rsidRPr="00CA18DF" w:rsidRDefault="00CA18DF" w:rsidP="00CA18DF">
      <w:pPr>
        <w:rPr>
          <w:rFonts w:ascii="Abadi" w:hAnsi="Abadi"/>
          <w:b/>
          <w:sz w:val="21"/>
          <w:szCs w:val="21"/>
          <w:lang w:val="es-MX" w:eastAsia="en-US"/>
        </w:rPr>
      </w:pPr>
    </w:p>
    <w:p w14:paraId="26D63F4D" w14:textId="77777777" w:rsidR="00CA18DF" w:rsidRPr="00CA18DF" w:rsidRDefault="00CA18DF" w:rsidP="00CA18DF">
      <w:pPr>
        <w:rPr>
          <w:rFonts w:ascii="Abadi" w:hAnsi="Abadi"/>
          <w:b/>
          <w:sz w:val="21"/>
          <w:szCs w:val="21"/>
          <w:lang w:val="es-MX" w:eastAsia="en-US"/>
        </w:rPr>
      </w:pPr>
    </w:p>
    <w:p w14:paraId="04473A87" w14:textId="77777777" w:rsidR="00CA18DF" w:rsidRPr="00CA18DF" w:rsidRDefault="00CA18DF" w:rsidP="00CA18DF">
      <w:pPr>
        <w:ind w:firstLine="720"/>
        <w:jc w:val="both"/>
        <w:rPr>
          <w:rFonts w:ascii="Abadi" w:hAnsi="Abadi" w:cs="Tahoma"/>
          <w:sz w:val="21"/>
          <w:szCs w:val="21"/>
        </w:rPr>
      </w:pPr>
      <w:r w:rsidRPr="00CA18DF">
        <w:rPr>
          <w:rFonts w:ascii="Abadi" w:hAnsi="Abadi" w:cs="Tahoma"/>
          <w:sz w:val="21"/>
          <w:szCs w:val="21"/>
        </w:rPr>
        <w:t>De acuerdo a la información proporcionada por la Auditoría Superior del Estado para la realización de los procesos de fiscalización se determinan con base en los riesgos identificados durante la etapa de planeación. Los análisis realizados en la planeación están vinculados con la generalidad del sujeto de fiscalización, con los sistemas transaccionales, de control interno, de materialidad presupuestal, de visibilidad y relevancia, así como de posibles riesgos asociados, entre los que destacan: Actas de órgano de gobierno y adquisiciones, notas periodísticas, publicaciones en el Periódico Oficial de Gobierno del Estado, análisis de demandas, informes de auditoría emitidos por órganos internos de control, auditorías externas y realizadas por la propia Auditoría Superior del Estado, sistemas transaccionales (tesorería, ingresos, bienes muebles e inmuebles, servicios personales, ayudas y subsidios, deuda, entre otros); variaciones presupuestales, saldos de cuenta de balance y resultados, bancos, proveedores y contratistas, enajenación y adquisición de bienes muebles e inmuebles y procesamiento de CFDI (XML).</w:t>
      </w:r>
    </w:p>
    <w:p w14:paraId="3B9D0072" w14:textId="77777777" w:rsidR="00CA18DF" w:rsidRPr="00CA18DF" w:rsidRDefault="00CA18DF" w:rsidP="00CA18DF">
      <w:pPr>
        <w:spacing w:line="360" w:lineRule="auto"/>
        <w:ind w:firstLine="720"/>
        <w:jc w:val="both"/>
        <w:rPr>
          <w:rFonts w:ascii="Abadi" w:hAnsi="Abadi" w:cs="Tahoma"/>
          <w:sz w:val="21"/>
          <w:szCs w:val="21"/>
        </w:rPr>
      </w:pPr>
    </w:p>
    <w:p w14:paraId="1126E01F" w14:textId="77777777" w:rsidR="00CA18DF" w:rsidRPr="00CA18DF" w:rsidRDefault="00CA18DF" w:rsidP="00CA18DF">
      <w:pPr>
        <w:ind w:firstLine="720"/>
        <w:jc w:val="both"/>
        <w:rPr>
          <w:rFonts w:ascii="Abadi" w:hAnsi="Abadi" w:cs="Tahoma"/>
          <w:sz w:val="21"/>
          <w:szCs w:val="21"/>
        </w:rPr>
      </w:pPr>
      <w:r w:rsidRPr="00CA18DF">
        <w:rPr>
          <w:rFonts w:ascii="Abadi" w:hAnsi="Abadi" w:cs="Tahoma"/>
          <w:sz w:val="21"/>
          <w:szCs w:val="21"/>
        </w:rPr>
        <w:t xml:space="preserve">El alcance y procedimientos referidos forman parte de los análisis que realiza la Auditoría Superior del Estado para efecto de determinar la materialidad y la extensión de los procedimientos de auditoría a aplicar en la etapa de ejecución, situación por la cual, los alcances establecidos en los respectivos informes de resultados se complementan con los procedimientos de planeación específica, mismos que forman parte integral del análisis que realiza dicho ente auditor.  </w:t>
      </w:r>
    </w:p>
    <w:p w14:paraId="1B70BC69" w14:textId="77777777" w:rsidR="00CA18DF" w:rsidRPr="00CA18DF" w:rsidRDefault="00CA18DF" w:rsidP="00CA18DF">
      <w:pPr>
        <w:spacing w:line="360" w:lineRule="auto"/>
        <w:ind w:firstLine="720"/>
        <w:jc w:val="both"/>
        <w:rPr>
          <w:rFonts w:ascii="Abadi" w:hAnsi="Abadi" w:cs="Tahoma"/>
          <w:sz w:val="21"/>
          <w:szCs w:val="21"/>
        </w:rPr>
      </w:pPr>
    </w:p>
    <w:p w14:paraId="756A9664" w14:textId="41AF7B35" w:rsidR="00CA18DF" w:rsidRPr="00CA18DF" w:rsidRDefault="00CA18DF" w:rsidP="007C6468">
      <w:pPr>
        <w:ind w:firstLine="720"/>
        <w:jc w:val="both"/>
        <w:rPr>
          <w:rFonts w:ascii="Abadi" w:hAnsi="Abadi" w:cs="Tahoma"/>
          <w:sz w:val="21"/>
          <w:szCs w:val="21"/>
        </w:rPr>
      </w:pPr>
      <w:r w:rsidRPr="00CA18DF">
        <w:rPr>
          <w:rFonts w:ascii="Abadi" w:hAnsi="Abadi" w:cs="Tahoma"/>
          <w:sz w:val="21"/>
          <w:szCs w:val="21"/>
        </w:rPr>
        <w:t>En el caso de la administración municipal de San José Iturbide, Gto., en cuanto a las auditorías practicadas al Ramo General 33 y obra pública y a la infraestructura pública municipal de los ejercicios fiscales 2018, 2019 y 2020 se revisaron obras y servicios relacionados con la misma; verificándose que las inversiones en obra pública se hayan realizado de conformidad con las leyes, normas, reglamentos y demás disposiciones legales que la regulan; que los presupuestos considerados para la ejecución de las obras se hayan aplicado correctamente, y que las modificaciones ocurridas se justifiquen mediante los convenios correspondientes; que la adjudicación y contratación de la obra pública se hayan realizado con estricto apego a lo dispuesto en la legislación vigente y que no existiera conflicto de interés entre los contratistas y los funcionarios públicos que decidieron las adjudicaciones; que los sistemas de control interno, operativo y contable que regulan la función, aseguren la protección de los recursos y su efectiva utilización, la calidad de los trabajos, la razonabilidad de los costos y la confiabilidad de la información en la ejecución de la obra pública; y que los contratistas hayan cumplido con las cláusulas contractuales, las especificaciones de obra, los procedimientos de construcción y la calendarización de los trabajos.</w:t>
      </w:r>
    </w:p>
    <w:p w14:paraId="15186A46" w14:textId="77777777" w:rsidR="00CA18DF" w:rsidRPr="00CA18DF" w:rsidRDefault="00CA18DF" w:rsidP="00CA18DF">
      <w:pPr>
        <w:ind w:firstLine="720"/>
        <w:jc w:val="both"/>
        <w:rPr>
          <w:rFonts w:ascii="Abadi" w:hAnsi="Abadi" w:cs="Tahoma"/>
          <w:sz w:val="21"/>
          <w:szCs w:val="21"/>
        </w:rPr>
      </w:pPr>
      <w:r w:rsidRPr="00CA18DF">
        <w:rPr>
          <w:rFonts w:ascii="Abadi" w:hAnsi="Abadi" w:cs="Tahoma"/>
          <w:sz w:val="21"/>
          <w:szCs w:val="21"/>
        </w:rPr>
        <w:t>Destacando que en las referidas auditorías se contempló la revisión de una muestra de las obras y acciones ejercidas por la administración municipal en los periodos auditados, las cuales se determinaron con base en una planeación basada en riesgos, entre cuyos análisis se contemplan los temas de interés de la sociedad reflejados en notas periodísticas y el interés parlamentario, entre otros.</w:t>
      </w:r>
    </w:p>
    <w:p w14:paraId="64B1C14A" w14:textId="77777777" w:rsidR="00CA18DF" w:rsidRPr="00CA18DF" w:rsidRDefault="00CA18DF" w:rsidP="00CA18DF">
      <w:pPr>
        <w:ind w:firstLine="720"/>
        <w:jc w:val="both"/>
        <w:rPr>
          <w:rFonts w:ascii="Abadi" w:hAnsi="Abadi" w:cs="Tahoma"/>
          <w:sz w:val="21"/>
          <w:szCs w:val="21"/>
        </w:rPr>
      </w:pPr>
    </w:p>
    <w:p w14:paraId="12512720" w14:textId="77777777" w:rsidR="00CA18DF" w:rsidRPr="00CA18DF" w:rsidRDefault="00CA18DF" w:rsidP="00CA18DF">
      <w:pPr>
        <w:ind w:firstLine="720"/>
        <w:jc w:val="both"/>
        <w:rPr>
          <w:rFonts w:ascii="Abadi" w:hAnsi="Abadi" w:cs="Tahoma"/>
          <w:sz w:val="21"/>
          <w:szCs w:val="21"/>
        </w:rPr>
      </w:pPr>
      <w:r w:rsidRPr="00CA18DF">
        <w:rPr>
          <w:rFonts w:ascii="Abadi" w:hAnsi="Abadi" w:cs="Tahoma"/>
          <w:sz w:val="21"/>
          <w:szCs w:val="21"/>
        </w:rPr>
        <w:t>Por lo que hace a la revisión de la cuenta pública correspondiente al ejercicio fiscal del año 2018 se revisaron los siguientes rubros:</w:t>
      </w:r>
    </w:p>
    <w:p w14:paraId="4E56B809" w14:textId="77777777" w:rsidR="00CA18DF" w:rsidRPr="00CA18DF" w:rsidRDefault="00CA18DF" w:rsidP="00CA18DF">
      <w:pPr>
        <w:spacing w:line="360" w:lineRule="auto"/>
        <w:ind w:firstLine="720"/>
        <w:jc w:val="both"/>
        <w:rPr>
          <w:rFonts w:ascii="Abadi" w:hAnsi="Abadi" w:cs="Tahoma"/>
          <w:sz w:val="21"/>
          <w:szCs w:val="21"/>
        </w:rPr>
      </w:pPr>
    </w:p>
    <w:p w14:paraId="6FDF210F" w14:textId="77777777" w:rsidR="00CA18DF" w:rsidRPr="00CA18DF" w:rsidRDefault="00CA18DF" w:rsidP="00CA18DF">
      <w:pPr>
        <w:spacing w:line="360" w:lineRule="auto"/>
        <w:ind w:left="360" w:firstLine="708"/>
        <w:rPr>
          <w:rFonts w:ascii="Abadi" w:hAnsi="Abadi"/>
          <w:b/>
          <w:bCs/>
          <w:sz w:val="21"/>
          <w:szCs w:val="21"/>
        </w:rPr>
      </w:pPr>
      <w:r w:rsidRPr="00CA18DF">
        <w:rPr>
          <w:rFonts w:ascii="Abadi" w:hAnsi="Abadi"/>
          <w:b/>
          <w:bCs/>
          <w:sz w:val="21"/>
          <w:szCs w:val="21"/>
        </w:rPr>
        <w:t>Sector Central:</w:t>
      </w:r>
    </w:p>
    <w:p w14:paraId="5E043CF3" w14:textId="77777777" w:rsidR="00CA18DF" w:rsidRPr="00CA18DF" w:rsidRDefault="00CA18DF" w:rsidP="001A28E5">
      <w:pPr>
        <w:numPr>
          <w:ilvl w:val="0"/>
          <w:numId w:val="42"/>
        </w:numPr>
        <w:spacing w:after="160"/>
        <w:ind w:left="1080" w:hanging="229"/>
        <w:contextualSpacing/>
        <w:jc w:val="both"/>
        <w:rPr>
          <w:rFonts w:ascii="Abadi" w:eastAsia="Calibri" w:hAnsi="Abadi"/>
          <w:sz w:val="21"/>
          <w:szCs w:val="21"/>
          <w:lang w:eastAsia="en-US"/>
        </w:rPr>
      </w:pPr>
      <w:r w:rsidRPr="00CA18DF">
        <w:rPr>
          <w:rFonts w:ascii="Abadi" w:eastAsia="Calibri" w:hAnsi="Abadi"/>
          <w:sz w:val="21"/>
          <w:szCs w:val="21"/>
          <w:u w:val="single"/>
          <w:lang w:eastAsia="en-US"/>
        </w:rPr>
        <w:t>Activo:</w:t>
      </w:r>
      <w:r w:rsidRPr="00CA18DF">
        <w:rPr>
          <w:rFonts w:ascii="Abadi" w:eastAsia="Calibri" w:hAnsi="Abadi"/>
          <w:sz w:val="21"/>
          <w:szCs w:val="21"/>
          <w:lang w:eastAsia="en-US"/>
        </w:rPr>
        <w:t xml:space="preserve"> Computadoras y equipo periférico, automóviles y camiones. </w:t>
      </w:r>
    </w:p>
    <w:p w14:paraId="63A323E5" w14:textId="77777777" w:rsidR="00CA18DF" w:rsidRPr="00CA18DF" w:rsidRDefault="00CA18DF" w:rsidP="001A28E5">
      <w:pPr>
        <w:numPr>
          <w:ilvl w:val="0"/>
          <w:numId w:val="42"/>
        </w:numPr>
        <w:spacing w:after="160"/>
        <w:ind w:left="1080" w:hanging="229"/>
        <w:contextualSpacing/>
        <w:jc w:val="both"/>
        <w:rPr>
          <w:rFonts w:ascii="Abadi" w:eastAsia="Calibri" w:hAnsi="Abadi"/>
          <w:sz w:val="21"/>
          <w:szCs w:val="21"/>
          <w:lang w:eastAsia="en-US"/>
        </w:rPr>
      </w:pPr>
      <w:r w:rsidRPr="00CA18DF">
        <w:rPr>
          <w:rFonts w:ascii="Abadi" w:eastAsia="Calibri" w:hAnsi="Abadi"/>
          <w:sz w:val="21"/>
          <w:szCs w:val="21"/>
          <w:u w:val="single"/>
          <w:lang w:eastAsia="en-US"/>
        </w:rPr>
        <w:t>Ingresos:</w:t>
      </w:r>
      <w:r w:rsidRPr="00CA18DF">
        <w:rPr>
          <w:rFonts w:ascii="Abadi" w:eastAsia="Calibri" w:hAnsi="Abadi"/>
          <w:sz w:val="21"/>
          <w:szCs w:val="21"/>
          <w:lang w:eastAsia="en-US"/>
        </w:rPr>
        <w:t xml:space="preserve"> Impuesto sobre diversiones y espectáculos públicos, expedición de permisos eventuales para bebidas alcohólicas, servicios de limpia y recolección de basura, participaciones y aportaciones.</w:t>
      </w:r>
    </w:p>
    <w:p w14:paraId="04A4FE6F" w14:textId="77777777" w:rsidR="00CA18DF" w:rsidRPr="00CA18DF" w:rsidRDefault="00CA18DF" w:rsidP="001A28E5">
      <w:pPr>
        <w:numPr>
          <w:ilvl w:val="0"/>
          <w:numId w:val="42"/>
        </w:numPr>
        <w:spacing w:after="160"/>
        <w:ind w:left="1080" w:hanging="229"/>
        <w:contextualSpacing/>
        <w:jc w:val="both"/>
        <w:rPr>
          <w:rFonts w:ascii="Abadi" w:eastAsia="Calibri" w:hAnsi="Abadi"/>
          <w:sz w:val="21"/>
          <w:szCs w:val="21"/>
          <w:lang w:eastAsia="en-US"/>
        </w:rPr>
      </w:pPr>
      <w:r w:rsidRPr="00CA18DF">
        <w:rPr>
          <w:rFonts w:ascii="Abadi" w:eastAsia="Calibri" w:hAnsi="Abadi"/>
          <w:sz w:val="21"/>
          <w:szCs w:val="21"/>
          <w:u w:val="single"/>
          <w:lang w:eastAsia="en-US"/>
        </w:rPr>
        <w:t>Egresos:</w:t>
      </w:r>
      <w:r w:rsidRPr="00CA18DF">
        <w:rPr>
          <w:rFonts w:ascii="Abadi" w:eastAsia="Calibri" w:hAnsi="Abadi"/>
          <w:sz w:val="21"/>
          <w:szCs w:val="21"/>
          <w:lang w:eastAsia="en-US"/>
        </w:rPr>
        <w:t xml:space="preserve"> Sueldos base, antigüedad, liquidación por indemnización y sueldos y salarios caídos, material eléctrico y electrónico, vestuarios y uniformes, prendas de protección para seguridad pública, servicios integrales, servicios de capacitación, difusión e información de mensajes y actividades gubernamentales, transferencias, asignaciones, subsidios y otras ayudas, subsidios a la prestación de servicios públicos.</w:t>
      </w:r>
    </w:p>
    <w:p w14:paraId="48C18D90" w14:textId="77777777" w:rsidR="00CA18DF" w:rsidRPr="00CA18DF" w:rsidRDefault="00CA18DF" w:rsidP="00CA18DF">
      <w:pPr>
        <w:widowControl w:val="0"/>
        <w:spacing w:after="200" w:line="360" w:lineRule="auto"/>
        <w:ind w:left="372" w:firstLine="696"/>
        <w:contextualSpacing/>
        <w:jc w:val="both"/>
        <w:rPr>
          <w:rFonts w:ascii="Abadi" w:eastAsia="Calibri" w:hAnsi="Abadi"/>
          <w:b/>
          <w:bCs/>
          <w:sz w:val="21"/>
          <w:szCs w:val="21"/>
          <w:lang w:eastAsia="en-US"/>
        </w:rPr>
      </w:pPr>
    </w:p>
    <w:p w14:paraId="4460B1B7" w14:textId="77777777" w:rsidR="00CA18DF" w:rsidRPr="00CA18DF" w:rsidRDefault="00CA18DF" w:rsidP="00CA18DF">
      <w:pPr>
        <w:widowControl w:val="0"/>
        <w:spacing w:after="200" w:line="360" w:lineRule="auto"/>
        <w:ind w:left="372" w:firstLine="696"/>
        <w:contextualSpacing/>
        <w:jc w:val="both"/>
        <w:rPr>
          <w:rFonts w:ascii="Abadi" w:eastAsia="Calibri" w:hAnsi="Abadi"/>
          <w:sz w:val="21"/>
          <w:szCs w:val="21"/>
          <w:lang w:eastAsia="en-US"/>
        </w:rPr>
      </w:pPr>
      <w:r w:rsidRPr="00CA18DF">
        <w:rPr>
          <w:rFonts w:ascii="Abadi" w:eastAsia="Calibri" w:hAnsi="Abadi"/>
          <w:b/>
          <w:bCs/>
          <w:sz w:val="21"/>
          <w:szCs w:val="21"/>
          <w:lang w:eastAsia="en-US"/>
        </w:rPr>
        <w:t>DIF:</w:t>
      </w:r>
      <w:r w:rsidRPr="00CA18DF">
        <w:rPr>
          <w:rFonts w:ascii="Abadi" w:eastAsia="Calibri" w:hAnsi="Abadi"/>
          <w:sz w:val="21"/>
          <w:szCs w:val="21"/>
          <w:lang w:eastAsia="en-US"/>
        </w:rPr>
        <w:t xml:space="preserve"> </w:t>
      </w:r>
    </w:p>
    <w:p w14:paraId="4C8EA29B" w14:textId="77777777" w:rsidR="00CA18DF" w:rsidRPr="00CA18DF" w:rsidRDefault="00CA18DF" w:rsidP="001A28E5">
      <w:pPr>
        <w:numPr>
          <w:ilvl w:val="0"/>
          <w:numId w:val="42"/>
        </w:numPr>
        <w:spacing w:after="160"/>
        <w:ind w:left="1080"/>
        <w:contextualSpacing/>
        <w:jc w:val="both"/>
        <w:rPr>
          <w:rFonts w:ascii="Abadi" w:eastAsia="Calibri" w:hAnsi="Abadi"/>
          <w:sz w:val="21"/>
          <w:szCs w:val="21"/>
          <w:lang w:eastAsia="en-US"/>
        </w:rPr>
      </w:pPr>
      <w:r w:rsidRPr="00CA18DF">
        <w:rPr>
          <w:rFonts w:ascii="Abadi" w:eastAsia="Calibri" w:hAnsi="Abadi"/>
          <w:sz w:val="21"/>
          <w:szCs w:val="21"/>
          <w:u w:val="single"/>
          <w:lang w:eastAsia="en-US"/>
        </w:rPr>
        <w:t>Ingresos:</w:t>
      </w:r>
      <w:r w:rsidRPr="00CA18DF">
        <w:rPr>
          <w:rFonts w:ascii="Abadi" w:eastAsia="Calibri" w:hAnsi="Abadi"/>
          <w:sz w:val="21"/>
          <w:szCs w:val="21"/>
          <w:lang w:eastAsia="en-US"/>
        </w:rPr>
        <w:t xml:space="preserve"> Transferencias de Tesorería Municipal.</w:t>
      </w:r>
    </w:p>
    <w:p w14:paraId="1700E815" w14:textId="77777777" w:rsidR="00CA18DF" w:rsidRPr="00CA18DF" w:rsidRDefault="00CA18DF" w:rsidP="001A28E5">
      <w:pPr>
        <w:numPr>
          <w:ilvl w:val="0"/>
          <w:numId w:val="42"/>
        </w:numPr>
        <w:spacing w:after="160"/>
        <w:ind w:left="1080"/>
        <w:contextualSpacing/>
        <w:jc w:val="both"/>
        <w:rPr>
          <w:rFonts w:ascii="Abadi" w:eastAsia="Calibri" w:hAnsi="Abadi"/>
          <w:i/>
          <w:iCs/>
          <w:sz w:val="21"/>
          <w:szCs w:val="21"/>
          <w:lang w:eastAsia="en-US"/>
        </w:rPr>
      </w:pPr>
      <w:r w:rsidRPr="00CA18DF">
        <w:rPr>
          <w:rFonts w:ascii="Abadi" w:eastAsia="Calibri" w:hAnsi="Abadi"/>
          <w:sz w:val="21"/>
          <w:szCs w:val="21"/>
          <w:u w:val="single"/>
          <w:lang w:eastAsia="en-US"/>
        </w:rPr>
        <w:t>Egresos:</w:t>
      </w:r>
      <w:r w:rsidRPr="00CA18DF">
        <w:rPr>
          <w:rFonts w:ascii="Abadi" w:eastAsia="Calibri" w:hAnsi="Abadi"/>
          <w:sz w:val="21"/>
          <w:szCs w:val="21"/>
          <w:lang w:eastAsia="en-US"/>
        </w:rPr>
        <w:t xml:space="preserve"> Medicinas y productos farmacéuticos.</w:t>
      </w:r>
    </w:p>
    <w:p w14:paraId="18D423F4" w14:textId="77777777" w:rsidR="00CA18DF" w:rsidRPr="00CA18DF" w:rsidRDefault="00CA18DF" w:rsidP="00CA18DF">
      <w:pPr>
        <w:widowControl w:val="0"/>
        <w:spacing w:after="200" w:line="360" w:lineRule="auto"/>
        <w:ind w:left="1080"/>
        <w:contextualSpacing/>
        <w:jc w:val="both"/>
        <w:rPr>
          <w:rFonts w:ascii="Abadi" w:eastAsia="Calibri" w:hAnsi="Abadi"/>
          <w:i/>
          <w:iCs/>
          <w:color w:val="FF0000"/>
          <w:sz w:val="21"/>
          <w:szCs w:val="21"/>
          <w:lang w:eastAsia="en-US"/>
        </w:rPr>
      </w:pPr>
    </w:p>
    <w:p w14:paraId="1D741592" w14:textId="77777777" w:rsidR="00CA18DF" w:rsidRPr="00CA18DF" w:rsidRDefault="00CA18DF" w:rsidP="00CA18DF">
      <w:pPr>
        <w:widowControl w:val="0"/>
        <w:spacing w:after="200" w:line="360" w:lineRule="auto"/>
        <w:ind w:left="372" w:firstLine="696"/>
        <w:contextualSpacing/>
        <w:jc w:val="both"/>
        <w:rPr>
          <w:rFonts w:ascii="Abadi" w:eastAsia="Calibri" w:hAnsi="Abadi"/>
          <w:sz w:val="21"/>
          <w:szCs w:val="21"/>
          <w:lang w:eastAsia="en-US"/>
        </w:rPr>
      </w:pPr>
      <w:r w:rsidRPr="00CA18DF">
        <w:rPr>
          <w:rFonts w:ascii="Abadi" w:eastAsia="Calibri" w:hAnsi="Abadi"/>
          <w:b/>
          <w:bCs/>
          <w:sz w:val="21"/>
          <w:szCs w:val="21"/>
          <w:lang w:eastAsia="en-US"/>
        </w:rPr>
        <w:t>Patronato de Feria:</w:t>
      </w:r>
      <w:r w:rsidRPr="00CA18DF">
        <w:rPr>
          <w:rFonts w:ascii="Abadi" w:eastAsia="Calibri" w:hAnsi="Abadi"/>
          <w:sz w:val="21"/>
          <w:szCs w:val="21"/>
          <w:lang w:eastAsia="en-US"/>
        </w:rPr>
        <w:t xml:space="preserve"> </w:t>
      </w:r>
    </w:p>
    <w:p w14:paraId="096C31EC" w14:textId="77777777" w:rsidR="00CA18DF" w:rsidRPr="00CA18DF" w:rsidRDefault="00CA18DF" w:rsidP="001A28E5">
      <w:pPr>
        <w:numPr>
          <w:ilvl w:val="0"/>
          <w:numId w:val="42"/>
        </w:numPr>
        <w:spacing w:after="160"/>
        <w:ind w:left="1080"/>
        <w:contextualSpacing/>
        <w:jc w:val="both"/>
        <w:rPr>
          <w:rFonts w:ascii="Abadi" w:eastAsia="Calibri" w:hAnsi="Abadi"/>
          <w:sz w:val="21"/>
          <w:szCs w:val="21"/>
          <w:lang w:eastAsia="en-US"/>
        </w:rPr>
      </w:pPr>
      <w:r w:rsidRPr="00CA18DF">
        <w:rPr>
          <w:rFonts w:ascii="Abadi" w:eastAsia="Calibri" w:hAnsi="Abadi"/>
          <w:sz w:val="21"/>
          <w:szCs w:val="21"/>
          <w:u w:val="single"/>
          <w:lang w:eastAsia="en-US"/>
        </w:rPr>
        <w:t>Ingresos:</w:t>
      </w:r>
      <w:r w:rsidRPr="00CA18DF">
        <w:rPr>
          <w:rFonts w:ascii="Abadi" w:eastAsia="Calibri" w:hAnsi="Abadi"/>
          <w:sz w:val="21"/>
          <w:szCs w:val="21"/>
          <w:lang w:eastAsia="en-US"/>
        </w:rPr>
        <w:t xml:space="preserve"> Transferencias y asignaciones.</w:t>
      </w:r>
    </w:p>
    <w:p w14:paraId="16C3E0D6" w14:textId="77777777" w:rsidR="00CA18DF" w:rsidRPr="00CA18DF" w:rsidRDefault="00CA18DF" w:rsidP="001A28E5">
      <w:pPr>
        <w:numPr>
          <w:ilvl w:val="0"/>
          <w:numId w:val="42"/>
        </w:numPr>
        <w:spacing w:after="160"/>
        <w:ind w:left="1080"/>
        <w:contextualSpacing/>
        <w:jc w:val="both"/>
        <w:rPr>
          <w:rFonts w:ascii="Abadi" w:eastAsia="Calibri" w:hAnsi="Abadi"/>
          <w:i/>
          <w:iCs/>
          <w:sz w:val="21"/>
          <w:szCs w:val="21"/>
          <w:lang w:eastAsia="en-US"/>
        </w:rPr>
      </w:pPr>
      <w:r w:rsidRPr="00CA18DF">
        <w:rPr>
          <w:rFonts w:ascii="Abadi" w:eastAsia="Calibri" w:hAnsi="Abadi"/>
          <w:sz w:val="21"/>
          <w:szCs w:val="21"/>
          <w:u w:val="single"/>
          <w:lang w:eastAsia="en-US"/>
        </w:rPr>
        <w:t>Egresos:</w:t>
      </w:r>
      <w:r w:rsidRPr="00CA18DF">
        <w:rPr>
          <w:rFonts w:ascii="Abadi" w:eastAsia="Calibri" w:hAnsi="Abadi"/>
          <w:sz w:val="21"/>
          <w:szCs w:val="21"/>
          <w:lang w:eastAsia="en-US"/>
        </w:rPr>
        <w:t xml:space="preserve"> Gastos de orden social y cultural.</w:t>
      </w:r>
    </w:p>
    <w:p w14:paraId="73952AC3" w14:textId="77777777" w:rsidR="00CA18DF" w:rsidRPr="00CA18DF" w:rsidRDefault="00CA18DF" w:rsidP="00CA18DF">
      <w:pPr>
        <w:spacing w:after="160" w:line="360" w:lineRule="auto"/>
        <w:ind w:firstLine="709"/>
        <w:contextualSpacing/>
        <w:jc w:val="both"/>
        <w:rPr>
          <w:rFonts w:ascii="Abadi" w:eastAsia="Calibri" w:hAnsi="Abadi"/>
          <w:sz w:val="21"/>
          <w:szCs w:val="21"/>
          <w:lang w:eastAsia="en-US"/>
        </w:rPr>
      </w:pPr>
    </w:p>
    <w:p w14:paraId="3C965D72" w14:textId="77777777" w:rsidR="00CA18DF" w:rsidRPr="00CA18DF" w:rsidRDefault="00CA18DF" w:rsidP="00CA18DF">
      <w:pPr>
        <w:spacing w:after="160"/>
        <w:ind w:firstLine="709"/>
        <w:contextualSpacing/>
        <w:jc w:val="both"/>
        <w:rPr>
          <w:rFonts w:ascii="Abadi" w:eastAsia="Calibri" w:hAnsi="Abadi"/>
          <w:sz w:val="21"/>
          <w:szCs w:val="21"/>
          <w:lang w:eastAsia="en-US"/>
        </w:rPr>
      </w:pPr>
      <w:r w:rsidRPr="00CA18DF">
        <w:rPr>
          <w:rFonts w:ascii="Abadi" w:eastAsia="Calibri" w:hAnsi="Abadi"/>
          <w:sz w:val="21"/>
          <w:szCs w:val="21"/>
          <w:lang w:eastAsia="en-US"/>
        </w:rPr>
        <w:t>De la cuenta pública correspondiente al ejercicio fiscal 2019 se revisaron los siguientes apartados:</w:t>
      </w:r>
    </w:p>
    <w:p w14:paraId="6F8BB9C0" w14:textId="77777777" w:rsidR="00CA18DF" w:rsidRPr="00CA18DF" w:rsidRDefault="00CA18DF" w:rsidP="00CA18DF">
      <w:pPr>
        <w:widowControl w:val="0"/>
        <w:spacing w:after="200" w:line="360" w:lineRule="auto"/>
        <w:ind w:left="360"/>
        <w:contextualSpacing/>
        <w:jc w:val="both"/>
        <w:rPr>
          <w:rFonts w:ascii="Abadi" w:eastAsia="Calibri" w:hAnsi="Abadi"/>
          <w:sz w:val="21"/>
          <w:szCs w:val="21"/>
          <w:lang w:eastAsia="en-US"/>
        </w:rPr>
      </w:pPr>
    </w:p>
    <w:p w14:paraId="5E61E4B2" w14:textId="77777777" w:rsidR="00CA18DF" w:rsidRPr="00CA18DF" w:rsidRDefault="00CA18DF" w:rsidP="00CA18DF">
      <w:pPr>
        <w:widowControl w:val="0"/>
        <w:spacing w:after="200" w:line="360" w:lineRule="auto"/>
        <w:ind w:left="360" w:firstLine="696"/>
        <w:contextualSpacing/>
        <w:jc w:val="both"/>
        <w:rPr>
          <w:rFonts w:ascii="Abadi" w:hAnsi="Abadi"/>
          <w:sz w:val="21"/>
          <w:szCs w:val="21"/>
          <w:lang w:eastAsia="en-US"/>
        </w:rPr>
      </w:pPr>
      <w:r w:rsidRPr="00CA18DF">
        <w:rPr>
          <w:rFonts w:ascii="Abadi" w:eastAsia="Calibri" w:hAnsi="Abadi"/>
          <w:b/>
          <w:bCs/>
          <w:sz w:val="21"/>
          <w:szCs w:val="21"/>
          <w:lang w:eastAsia="en-US"/>
        </w:rPr>
        <w:t>Sector Central:</w:t>
      </w:r>
      <w:r w:rsidRPr="00CA18DF">
        <w:rPr>
          <w:rFonts w:ascii="Abadi" w:eastAsia="Calibri" w:hAnsi="Abadi"/>
          <w:sz w:val="21"/>
          <w:szCs w:val="21"/>
          <w:lang w:eastAsia="en-US"/>
        </w:rPr>
        <w:t xml:space="preserve"> </w:t>
      </w:r>
    </w:p>
    <w:p w14:paraId="6C8F7ADF" w14:textId="77777777" w:rsidR="00CA18DF" w:rsidRPr="00CA18DF" w:rsidRDefault="00CA18DF" w:rsidP="001A28E5">
      <w:pPr>
        <w:numPr>
          <w:ilvl w:val="0"/>
          <w:numId w:val="43"/>
        </w:numPr>
        <w:spacing w:after="160"/>
        <w:ind w:left="1068"/>
        <w:contextualSpacing/>
        <w:jc w:val="both"/>
        <w:rPr>
          <w:rFonts w:ascii="Abadi" w:eastAsia="Calibri" w:hAnsi="Abadi"/>
          <w:sz w:val="21"/>
          <w:szCs w:val="21"/>
          <w:lang w:eastAsia="en-US"/>
        </w:rPr>
      </w:pPr>
      <w:r w:rsidRPr="00CA18DF">
        <w:rPr>
          <w:rFonts w:ascii="Abadi" w:eastAsia="Calibri" w:hAnsi="Abadi"/>
          <w:sz w:val="21"/>
          <w:szCs w:val="21"/>
          <w:u w:val="single"/>
          <w:lang w:eastAsia="en-US"/>
        </w:rPr>
        <w:t>Activo</w:t>
      </w:r>
      <w:r w:rsidRPr="00CA18DF">
        <w:rPr>
          <w:rFonts w:ascii="Abadi" w:eastAsia="Calibri" w:hAnsi="Abadi"/>
          <w:sz w:val="21"/>
          <w:szCs w:val="21"/>
          <w:lang w:eastAsia="en-US"/>
        </w:rPr>
        <w:t>:</w:t>
      </w:r>
      <w:r w:rsidRPr="00CA18DF">
        <w:rPr>
          <w:rFonts w:ascii="Abadi" w:eastAsia="Calibri" w:hAnsi="Abadi"/>
          <w:sz w:val="21"/>
          <w:szCs w:val="21"/>
          <w:lang w:val="es-MX" w:eastAsia="en-US"/>
        </w:rPr>
        <w:t xml:space="preserve"> </w:t>
      </w:r>
      <w:r w:rsidRPr="00CA18DF">
        <w:rPr>
          <w:rFonts w:ascii="Abadi" w:eastAsia="Calibri" w:hAnsi="Abadi"/>
          <w:sz w:val="21"/>
          <w:szCs w:val="21"/>
          <w:lang w:eastAsia="en-US"/>
        </w:rPr>
        <w:t xml:space="preserve">Banorte 0860648972 Nómina, cuentas por cobrar, computadoras, otros mobiliarios, automóviles y camiones, equipo de defensa y seguridad, maquinaria y equipo de construcción y equipo de comunicación. </w:t>
      </w:r>
    </w:p>
    <w:p w14:paraId="5769A0AA" w14:textId="77777777" w:rsidR="00CA18DF" w:rsidRPr="00CA18DF" w:rsidRDefault="00CA18DF" w:rsidP="001A28E5">
      <w:pPr>
        <w:numPr>
          <w:ilvl w:val="0"/>
          <w:numId w:val="42"/>
        </w:numPr>
        <w:spacing w:after="160"/>
        <w:ind w:left="1068"/>
        <w:contextualSpacing/>
        <w:jc w:val="both"/>
        <w:rPr>
          <w:rFonts w:ascii="Abadi" w:eastAsia="Calibri" w:hAnsi="Abadi"/>
          <w:sz w:val="21"/>
          <w:szCs w:val="21"/>
          <w:lang w:eastAsia="en-US"/>
        </w:rPr>
      </w:pPr>
      <w:r w:rsidRPr="00CA18DF">
        <w:rPr>
          <w:rFonts w:ascii="Abadi" w:eastAsia="Calibri" w:hAnsi="Abadi"/>
          <w:sz w:val="21"/>
          <w:szCs w:val="21"/>
          <w:u w:val="single"/>
          <w:lang w:eastAsia="en-US"/>
        </w:rPr>
        <w:t>Ingresos:</w:t>
      </w:r>
      <w:r w:rsidRPr="00CA18DF">
        <w:rPr>
          <w:rFonts w:ascii="Abadi" w:eastAsia="Calibri" w:hAnsi="Abadi"/>
          <w:sz w:val="21"/>
          <w:szCs w:val="21"/>
          <w:lang w:eastAsia="en-US"/>
        </w:rPr>
        <w:t xml:space="preserve"> Impuestos sobre diversiones y espectáculos, impuesto sobre adquisición de bienes inmuebles, impuesto predial, participaciones y aportaciones.</w:t>
      </w:r>
    </w:p>
    <w:p w14:paraId="0A458A14" w14:textId="77777777" w:rsidR="00CA18DF" w:rsidRPr="00CA18DF" w:rsidRDefault="00CA18DF" w:rsidP="00CA18DF">
      <w:pPr>
        <w:spacing w:after="160"/>
        <w:ind w:left="1068"/>
        <w:contextualSpacing/>
        <w:jc w:val="both"/>
        <w:rPr>
          <w:rFonts w:ascii="Abadi" w:eastAsia="Calibri" w:hAnsi="Abadi"/>
          <w:sz w:val="21"/>
          <w:szCs w:val="21"/>
          <w:u w:val="single"/>
          <w:lang w:eastAsia="en-US"/>
        </w:rPr>
      </w:pPr>
    </w:p>
    <w:p w14:paraId="28CEDF75" w14:textId="77777777" w:rsidR="00CA18DF" w:rsidRPr="00CA18DF" w:rsidRDefault="00CA18DF" w:rsidP="00CA18DF">
      <w:pPr>
        <w:spacing w:after="160"/>
        <w:ind w:left="1068"/>
        <w:contextualSpacing/>
        <w:jc w:val="both"/>
        <w:rPr>
          <w:rFonts w:ascii="Abadi" w:eastAsia="Calibri" w:hAnsi="Abadi"/>
          <w:sz w:val="21"/>
          <w:szCs w:val="21"/>
          <w:lang w:eastAsia="en-US"/>
        </w:rPr>
      </w:pPr>
    </w:p>
    <w:p w14:paraId="235F5C34" w14:textId="77777777" w:rsidR="00CA18DF" w:rsidRPr="00CA18DF" w:rsidRDefault="00CA18DF" w:rsidP="001A28E5">
      <w:pPr>
        <w:numPr>
          <w:ilvl w:val="0"/>
          <w:numId w:val="42"/>
        </w:numPr>
        <w:spacing w:after="160"/>
        <w:ind w:left="1068"/>
        <w:contextualSpacing/>
        <w:jc w:val="both"/>
        <w:rPr>
          <w:rFonts w:ascii="Abadi" w:eastAsia="Calibri" w:hAnsi="Abadi"/>
          <w:b/>
          <w:bCs/>
          <w:sz w:val="21"/>
          <w:szCs w:val="21"/>
          <w:lang w:eastAsia="en-US"/>
        </w:rPr>
      </w:pPr>
      <w:r w:rsidRPr="00CA18DF">
        <w:rPr>
          <w:rFonts w:ascii="Abadi" w:eastAsia="Calibri" w:hAnsi="Abadi"/>
          <w:sz w:val="21"/>
          <w:szCs w:val="21"/>
          <w:u w:val="single"/>
          <w:lang w:eastAsia="en-US"/>
        </w:rPr>
        <w:t>Egresos:</w:t>
      </w:r>
      <w:r w:rsidRPr="00CA18DF">
        <w:rPr>
          <w:rFonts w:ascii="Abadi" w:eastAsia="Calibri" w:hAnsi="Abadi"/>
          <w:sz w:val="21"/>
          <w:szCs w:val="21"/>
          <w:lang w:eastAsia="en-US"/>
        </w:rPr>
        <w:t xml:space="preserve"> Dietas, sueldos base, prima quinquenal, prima vacacional, gratificaciones de fin de año, compensaciones por servicios, seguros, liquidaciones por indemnizaciones, prestaciones establecidas en las Condiciones Generales de Trabajo, material eléctrico, vestuario y uniformes, servicios legales, servicios de consultoría administrativa, difusión de actividad gubernamental, viáticos al extranjero, transferencias y asignaciones, ayudas sociales a instituciones de enseñanza y jubilaciones. </w:t>
      </w:r>
    </w:p>
    <w:p w14:paraId="1C61026C" w14:textId="77777777" w:rsidR="00CA18DF" w:rsidRPr="00CA18DF" w:rsidRDefault="00CA18DF" w:rsidP="00CA18DF">
      <w:pPr>
        <w:widowControl w:val="0"/>
        <w:spacing w:after="200" w:line="360" w:lineRule="auto"/>
        <w:ind w:left="1068"/>
        <w:contextualSpacing/>
        <w:jc w:val="both"/>
        <w:rPr>
          <w:rFonts w:ascii="Abadi" w:eastAsia="Calibri" w:hAnsi="Abadi"/>
          <w:b/>
          <w:bCs/>
          <w:sz w:val="21"/>
          <w:szCs w:val="21"/>
          <w:lang w:eastAsia="en-US"/>
        </w:rPr>
      </w:pPr>
    </w:p>
    <w:p w14:paraId="50A6A04E" w14:textId="77777777" w:rsidR="00CA18DF" w:rsidRPr="00CA18DF" w:rsidRDefault="00CA18DF" w:rsidP="00CA18DF">
      <w:pPr>
        <w:spacing w:after="160"/>
        <w:ind w:firstLine="708"/>
        <w:contextualSpacing/>
        <w:jc w:val="both"/>
        <w:rPr>
          <w:rFonts w:ascii="Abadi" w:eastAsia="Calibri" w:hAnsi="Abadi"/>
          <w:sz w:val="21"/>
          <w:szCs w:val="21"/>
          <w:lang w:eastAsia="en-US"/>
        </w:rPr>
      </w:pPr>
      <w:r w:rsidRPr="00CA18DF">
        <w:rPr>
          <w:rFonts w:ascii="Abadi" w:eastAsia="Calibri" w:hAnsi="Abadi"/>
          <w:sz w:val="21"/>
          <w:szCs w:val="21"/>
          <w:lang w:eastAsia="en-US"/>
        </w:rPr>
        <w:t xml:space="preserve">Por lo que hace a la cuenta pública correspondiente al ejercicio fiscal 2020 se revisaron los siguientes rubros: </w:t>
      </w:r>
    </w:p>
    <w:p w14:paraId="2360BD95" w14:textId="77777777" w:rsidR="00CA18DF" w:rsidRPr="00CA18DF" w:rsidRDefault="00CA18DF" w:rsidP="00CA18DF">
      <w:pPr>
        <w:spacing w:after="160" w:line="360" w:lineRule="auto"/>
        <w:ind w:firstLine="708"/>
        <w:contextualSpacing/>
        <w:jc w:val="both"/>
        <w:rPr>
          <w:rFonts w:ascii="Abadi" w:eastAsia="Calibri" w:hAnsi="Abadi"/>
          <w:sz w:val="21"/>
          <w:szCs w:val="21"/>
          <w:lang w:eastAsia="en-US"/>
        </w:rPr>
      </w:pPr>
    </w:p>
    <w:p w14:paraId="5155D086" w14:textId="77777777" w:rsidR="00CA18DF" w:rsidRPr="00CA18DF" w:rsidRDefault="00CA18DF" w:rsidP="00CA18DF">
      <w:pPr>
        <w:widowControl w:val="0"/>
        <w:spacing w:after="200"/>
        <w:ind w:left="360" w:firstLine="696"/>
        <w:contextualSpacing/>
        <w:jc w:val="both"/>
        <w:rPr>
          <w:rFonts w:ascii="Abadi" w:eastAsia="Calibri" w:hAnsi="Abadi"/>
          <w:sz w:val="21"/>
          <w:szCs w:val="21"/>
          <w:lang w:eastAsia="en-US"/>
        </w:rPr>
      </w:pPr>
      <w:r w:rsidRPr="00CA18DF">
        <w:rPr>
          <w:rFonts w:ascii="Abadi" w:eastAsia="Calibri" w:hAnsi="Abadi"/>
          <w:b/>
          <w:bCs/>
          <w:sz w:val="21"/>
          <w:szCs w:val="21"/>
          <w:lang w:eastAsia="en-US"/>
        </w:rPr>
        <w:t>Sector Central:</w:t>
      </w:r>
      <w:r w:rsidRPr="00CA18DF">
        <w:rPr>
          <w:rFonts w:ascii="Abadi" w:eastAsia="Calibri" w:hAnsi="Abadi"/>
          <w:sz w:val="21"/>
          <w:szCs w:val="21"/>
          <w:lang w:eastAsia="en-US"/>
        </w:rPr>
        <w:t xml:space="preserve"> </w:t>
      </w:r>
    </w:p>
    <w:p w14:paraId="642D84E3" w14:textId="77777777" w:rsidR="00CA18DF" w:rsidRPr="00CA18DF" w:rsidRDefault="00CA18DF" w:rsidP="001A28E5">
      <w:pPr>
        <w:numPr>
          <w:ilvl w:val="0"/>
          <w:numId w:val="42"/>
        </w:numPr>
        <w:spacing w:after="160"/>
        <w:ind w:left="1068"/>
        <w:contextualSpacing/>
        <w:jc w:val="both"/>
        <w:rPr>
          <w:rFonts w:ascii="Abadi" w:hAnsi="Abadi"/>
          <w:sz w:val="21"/>
          <w:szCs w:val="21"/>
          <w:lang w:eastAsia="es-MX"/>
        </w:rPr>
      </w:pPr>
      <w:r w:rsidRPr="00CA18DF">
        <w:rPr>
          <w:rFonts w:ascii="Abadi" w:eastAsia="Calibri" w:hAnsi="Abadi"/>
          <w:sz w:val="21"/>
          <w:szCs w:val="21"/>
          <w:u w:val="single"/>
          <w:lang w:eastAsia="en-US"/>
        </w:rPr>
        <w:t>Activo</w:t>
      </w:r>
      <w:r w:rsidRPr="00CA18DF">
        <w:rPr>
          <w:rFonts w:ascii="Abadi" w:eastAsia="Calibri" w:hAnsi="Abadi"/>
          <w:sz w:val="21"/>
          <w:szCs w:val="21"/>
          <w:lang w:eastAsia="en-US"/>
        </w:rPr>
        <w:t xml:space="preserve">: Computadoras y equipo periférico, otro mobiliario y equipos de administración, automóviles y camiones, equipo de defensa y seguridad. </w:t>
      </w:r>
    </w:p>
    <w:p w14:paraId="414FDAFF" w14:textId="77777777" w:rsidR="00CA18DF" w:rsidRPr="00CA18DF" w:rsidRDefault="00CA18DF" w:rsidP="001A28E5">
      <w:pPr>
        <w:numPr>
          <w:ilvl w:val="0"/>
          <w:numId w:val="43"/>
        </w:numPr>
        <w:spacing w:after="160"/>
        <w:ind w:left="1068"/>
        <w:contextualSpacing/>
        <w:jc w:val="both"/>
        <w:rPr>
          <w:rFonts w:ascii="Abadi" w:eastAsia="Calibri" w:hAnsi="Abadi"/>
          <w:sz w:val="21"/>
          <w:szCs w:val="21"/>
          <w:lang w:eastAsia="en-US"/>
        </w:rPr>
      </w:pPr>
      <w:r w:rsidRPr="00CA18DF">
        <w:rPr>
          <w:rFonts w:ascii="Abadi" w:eastAsia="Calibri" w:hAnsi="Abadi"/>
          <w:sz w:val="21"/>
          <w:szCs w:val="21"/>
          <w:u w:val="single"/>
          <w:lang w:eastAsia="en-US"/>
        </w:rPr>
        <w:t>Ingresos:</w:t>
      </w:r>
      <w:r w:rsidRPr="00CA18DF">
        <w:rPr>
          <w:rFonts w:ascii="Abadi" w:eastAsia="Calibri" w:hAnsi="Abadi"/>
          <w:sz w:val="21"/>
          <w:szCs w:val="21"/>
          <w:lang w:eastAsia="en-US"/>
        </w:rPr>
        <w:t xml:space="preserve"> Participaciones y aportaciones, </w:t>
      </w:r>
    </w:p>
    <w:p w14:paraId="2F913D02" w14:textId="77777777" w:rsidR="00CA18DF" w:rsidRPr="00CA18DF" w:rsidRDefault="00CA18DF" w:rsidP="001A28E5">
      <w:pPr>
        <w:numPr>
          <w:ilvl w:val="0"/>
          <w:numId w:val="43"/>
        </w:numPr>
        <w:spacing w:after="160"/>
        <w:ind w:left="1068"/>
        <w:contextualSpacing/>
        <w:jc w:val="both"/>
        <w:rPr>
          <w:rFonts w:ascii="Abadi" w:eastAsia="Calibri" w:hAnsi="Abadi"/>
          <w:sz w:val="21"/>
          <w:szCs w:val="21"/>
          <w:lang w:eastAsia="en-US"/>
        </w:rPr>
      </w:pPr>
      <w:r w:rsidRPr="00CA18DF">
        <w:rPr>
          <w:rFonts w:ascii="Abadi" w:eastAsia="Calibri" w:hAnsi="Abadi"/>
          <w:sz w:val="21"/>
          <w:szCs w:val="21"/>
          <w:u w:val="single"/>
          <w:lang w:eastAsia="en-US"/>
        </w:rPr>
        <w:t>Egresos:</w:t>
      </w:r>
      <w:r w:rsidRPr="00CA18DF">
        <w:rPr>
          <w:rFonts w:ascii="Abadi" w:eastAsia="Calibri" w:hAnsi="Abadi"/>
          <w:sz w:val="21"/>
          <w:szCs w:val="21"/>
          <w:lang w:eastAsia="en-US"/>
        </w:rPr>
        <w:t xml:space="preserve"> Dietas, sueldos base, prima quinquenal, prima vacacional, gratificaciones de fin de año, compensaciones por servicios, seguros, liquidaciones por indemnizaciones, sueldos y salarios caídos, prestaciones establecidas en las Condiciones Generales de Trabajo, material para el registro e identificación de personas, material eléctrico, servicios de consultoría administrativa, difusión e información de mensajes y actividades gubernamentales, gastos de orden social y cultural, otros gastos por responsabilidades, transferencias, asignaciones, subsidios y otras ayudas, transferencias para inversión pública, gastos relacionados con actividades culturales, deportivas y ayudas, ayudas por desastres naturales y otros siniestros y jubilaciones.</w:t>
      </w:r>
    </w:p>
    <w:p w14:paraId="71DE3D6E" w14:textId="77777777" w:rsidR="00CA18DF" w:rsidRPr="00CA18DF" w:rsidRDefault="00CA18DF" w:rsidP="00CA18DF">
      <w:pPr>
        <w:ind w:firstLine="708"/>
        <w:contextualSpacing/>
        <w:jc w:val="both"/>
        <w:rPr>
          <w:rFonts w:ascii="Abadi" w:eastAsia="Calibri" w:hAnsi="Abadi"/>
          <w:bCs/>
          <w:sz w:val="21"/>
          <w:szCs w:val="21"/>
          <w:lang w:val="es-MX" w:eastAsia="en-US"/>
        </w:rPr>
      </w:pPr>
    </w:p>
    <w:p w14:paraId="75E79EA4" w14:textId="77777777" w:rsidR="00CA18DF" w:rsidRPr="00CA18DF" w:rsidRDefault="00CA18DF" w:rsidP="00CA18DF">
      <w:pPr>
        <w:ind w:firstLine="708"/>
        <w:contextualSpacing/>
        <w:jc w:val="both"/>
        <w:rPr>
          <w:rFonts w:ascii="Abadi" w:eastAsia="Calibri" w:hAnsi="Abadi"/>
          <w:bCs/>
          <w:sz w:val="21"/>
          <w:szCs w:val="21"/>
          <w:lang w:val="es-MX" w:eastAsia="en-US"/>
        </w:rPr>
      </w:pPr>
      <w:r w:rsidRPr="00CA18DF">
        <w:rPr>
          <w:rFonts w:ascii="Abadi" w:eastAsia="Calibri" w:hAnsi="Abadi"/>
          <w:bCs/>
          <w:sz w:val="21"/>
          <w:szCs w:val="21"/>
          <w:lang w:val="es-MX" w:eastAsia="en-US"/>
        </w:rPr>
        <w:t xml:space="preserve">Es así, que de acuerdo a la información antes señalada, la Auditoría Superior del Estado ha realizado 3 revisiones de cuenta pública y 3 auditorías practicadas al </w:t>
      </w:r>
      <w:r w:rsidRPr="00CA18DF">
        <w:rPr>
          <w:rFonts w:ascii="Abadi" w:hAnsi="Abadi" w:cs="Tahoma"/>
          <w:spacing w:val="-10"/>
          <w:kern w:val="28"/>
          <w:sz w:val="21"/>
          <w:szCs w:val="21"/>
          <w:lang w:val="es-MX" w:eastAsia="en-US"/>
        </w:rPr>
        <w:t>Ramo General 33 y obra pública y a la infraestructura pública municipal</w:t>
      </w:r>
      <w:r w:rsidRPr="00CA18DF">
        <w:rPr>
          <w:rFonts w:ascii="Abadi" w:eastAsia="Calibri" w:hAnsi="Abadi"/>
          <w:bCs/>
          <w:sz w:val="21"/>
          <w:szCs w:val="21"/>
          <w:lang w:val="es-MX" w:eastAsia="en-US"/>
        </w:rPr>
        <w:t>.</w:t>
      </w:r>
    </w:p>
    <w:p w14:paraId="51BDF92E" w14:textId="77777777" w:rsidR="00CA18DF" w:rsidRPr="00CA18DF" w:rsidRDefault="00CA18DF" w:rsidP="00CA18DF">
      <w:pPr>
        <w:rPr>
          <w:rFonts w:ascii="Abadi" w:eastAsia="Calibri" w:hAnsi="Abadi"/>
          <w:sz w:val="21"/>
          <w:szCs w:val="21"/>
          <w:lang w:val="es-MX" w:eastAsia="en-US"/>
        </w:rPr>
      </w:pPr>
    </w:p>
    <w:p w14:paraId="6DC344C6" w14:textId="3C25AEF2" w:rsidR="00CA18DF" w:rsidRPr="00CA18DF" w:rsidRDefault="00CA18DF" w:rsidP="007C6468">
      <w:pPr>
        <w:ind w:firstLine="708"/>
        <w:contextualSpacing/>
        <w:jc w:val="both"/>
        <w:rPr>
          <w:rFonts w:ascii="Abadi" w:eastAsia="Calibri" w:hAnsi="Abadi"/>
          <w:bCs/>
          <w:sz w:val="21"/>
          <w:szCs w:val="21"/>
          <w:lang w:val="es-MX" w:eastAsia="en-US"/>
        </w:rPr>
      </w:pPr>
      <w:r w:rsidRPr="00CA18DF">
        <w:rPr>
          <w:rFonts w:ascii="Abadi" w:eastAsia="Calibri" w:hAnsi="Abadi"/>
          <w:bCs/>
          <w:sz w:val="21"/>
          <w:szCs w:val="21"/>
          <w:lang w:val="es-MX" w:eastAsia="en-US"/>
        </w:rPr>
        <w:t>Aunado a lo anterior, en el Programa General de Fiscalización 2022 se contemplan 272 actos de fiscalización, por lo que, de acuerdo a dicho Programa, así como al Programa Operativo Anual y la capacidad institucional instalada, la incorporación de actos de fiscalización adicionales a los ya programados, incidiría directamente en la cobertura, calidad y tiempos de la fiscalización, en detrimento del citado programa y de los actos de fiscalización previamente planificados.</w:t>
      </w:r>
    </w:p>
    <w:p w14:paraId="773255E2" w14:textId="77777777" w:rsidR="00CA18DF" w:rsidRPr="00CA18DF" w:rsidRDefault="00CA18DF" w:rsidP="00CA18DF">
      <w:pPr>
        <w:widowControl w:val="0"/>
        <w:spacing w:after="200" w:line="360" w:lineRule="auto"/>
        <w:ind w:firstLine="708"/>
        <w:contextualSpacing/>
        <w:jc w:val="both"/>
        <w:rPr>
          <w:rFonts w:ascii="Abadi" w:eastAsia="Calibri" w:hAnsi="Abadi"/>
          <w:bCs/>
          <w:sz w:val="21"/>
          <w:szCs w:val="21"/>
          <w:lang w:val="es-MX" w:eastAsia="en-US"/>
        </w:rPr>
      </w:pPr>
    </w:p>
    <w:p w14:paraId="6115B3C3" w14:textId="77777777" w:rsidR="00CA18DF" w:rsidRPr="00CA18DF" w:rsidRDefault="00CA18DF" w:rsidP="00CA18DF">
      <w:pPr>
        <w:ind w:firstLine="720"/>
        <w:jc w:val="both"/>
        <w:rPr>
          <w:rFonts w:ascii="Abadi" w:hAnsi="Abadi" w:cs="Arial"/>
          <w:sz w:val="21"/>
          <w:szCs w:val="21"/>
        </w:rPr>
      </w:pPr>
      <w:r w:rsidRPr="00CA18DF">
        <w:rPr>
          <w:rFonts w:ascii="Abadi" w:hAnsi="Abadi" w:cs="Arial"/>
          <w:sz w:val="21"/>
          <w:szCs w:val="21"/>
        </w:rPr>
        <w:t>En razón a lo antes señalado y privilegiando la realización de los actos de fiscalización ya contemplados en el Programa General de Fiscalización de la Auditoría Superior del Estado para el presente ejercicio fiscal, mismo que consideró una planeación estratégica, así como al cumplimiento de dicho programa en tiempo y calidad de los actos programados, así como a la capacidad institucional instalada de dicho Órgano Técnico, determinamos no autorizar la realización de la auditoría propuesta, atendiendo además a que ya se realizaron diversos actos de fiscalización a la administración municipal de San José Iturbide, Gto., por parte de la Auditoría Superior del Estado a los ejercicios fiscales que se propone auditar.</w:t>
      </w:r>
    </w:p>
    <w:p w14:paraId="189E3900" w14:textId="77777777" w:rsidR="00CA18DF" w:rsidRPr="00CA18DF" w:rsidRDefault="00CA18DF" w:rsidP="00CA18DF">
      <w:pPr>
        <w:ind w:firstLine="720"/>
        <w:jc w:val="both"/>
        <w:rPr>
          <w:rFonts w:ascii="Abadi" w:hAnsi="Abadi" w:cs="Arial"/>
          <w:sz w:val="21"/>
          <w:szCs w:val="21"/>
        </w:rPr>
      </w:pPr>
    </w:p>
    <w:p w14:paraId="08FD83D4" w14:textId="77777777" w:rsidR="00CA18DF" w:rsidRPr="00CA18DF" w:rsidRDefault="00CA18DF" w:rsidP="00CA18DF">
      <w:pPr>
        <w:widowControl w:val="0"/>
        <w:spacing w:after="200"/>
        <w:ind w:firstLine="708"/>
        <w:contextualSpacing/>
        <w:jc w:val="both"/>
        <w:rPr>
          <w:rFonts w:ascii="Abadi" w:eastAsia="Calibri" w:hAnsi="Abadi"/>
          <w:bCs/>
          <w:sz w:val="21"/>
          <w:szCs w:val="21"/>
          <w:lang w:val="es-MX" w:eastAsia="en-US"/>
        </w:rPr>
      </w:pPr>
      <w:r w:rsidRPr="00CA18DF">
        <w:rPr>
          <w:rFonts w:ascii="Abadi" w:eastAsia="Calibri" w:hAnsi="Abadi"/>
          <w:bCs/>
          <w:sz w:val="21"/>
          <w:szCs w:val="21"/>
          <w:lang w:val="es-MX" w:eastAsia="en-US"/>
        </w:rPr>
        <w:t xml:space="preserve">No obstante, la Auditoría Superior del Estado podrá considerar los hechos que correspondan al ejercicio 2021 planteados por el ayuntamiento de San José Iturbide, Gto., en la planeación y ejecución de la revisión de la cuenta pública de dicho ejercicio. Asimismo, el informe general del proceso de entrega-recepción correspondiente a dicha administración pública municipal, en el que se establecen las observaciones derivadas de dicho proceso será considerado por la Auditoría Superior del Estado de Guanajuato, para efecto de revisión de la cuenta pública municipal y se hará del conocimiento de la Contraloría Municipal de San José Iturbide, Gto., para los efectos del artículo 10 de la Ley de Responsabilidades Administrativas para el Estado de Guanajuato y de la Ley General de Responsabilidades Administrativas.  </w:t>
      </w:r>
    </w:p>
    <w:p w14:paraId="00B712CB" w14:textId="77777777" w:rsidR="00CA18DF" w:rsidRPr="00CA18DF" w:rsidRDefault="00CA18DF" w:rsidP="00CA18DF">
      <w:pPr>
        <w:ind w:firstLine="708"/>
        <w:jc w:val="both"/>
        <w:rPr>
          <w:rFonts w:ascii="Abadi" w:hAnsi="Abadi" w:cs="Arial"/>
          <w:iCs/>
          <w:sz w:val="21"/>
          <w:szCs w:val="21"/>
        </w:rPr>
      </w:pPr>
      <w:r w:rsidRPr="00CA18DF">
        <w:rPr>
          <w:rFonts w:ascii="Abadi" w:hAnsi="Abadi" w:cs="Arial"/>
          <w:iCs/>
          <w:sz w:val="21"/>
          <w:szCs w:val="21"/>
        </w:rPr>
        <w:t xml:space="preserve">Por lo expuesto y con fundamento en el artículo 204 de </w:t>
      </w:r>
      <w:smartTag w:uri="urn:schemas-microsoft-com:office:smarttags" w:element="PersonName">
        <w:smartTagPr>
          <w:attr w:name="ProductID" w:val="la Ley Org￡nica"/>
        </w:smartTagPr>
        <w:r w:rsidRPr="00CA18DF">
          <w:rPr>
            <w:rFonts w:ascii="Abadi" w:hAnsi="Abadi" w:cs="Arial"/>
            <w:iCs/>
            <w:sz w:val="21"/>
            <w:szCs w:val="21"/>
          </w:rPr>
          <w:t>la Ley Orgánica</w:t>
        </w:r>
      </w:smartTag>
      <w:r w:rsidRPr="00CA18DF">
        <w:rPr>
          <w:rFonts w:ascii="Abadi" w:hAnsi="Abadi" w:cs="Arial"/>
          <w:iCs/>
          <w:sz w:val="21"/>
          <w:szCs w:val="21"/>
        </w:rPr>
        <w:t xml:space="preserve"> del Poder Legislativo del Estado, sometemos a la consideración de </w:t>
      </w:r>
      <w:smartTag w:uri="urn:schemas-microsoft-com:office:smarttags" w:element="PersonName">
        <w:smartTagPr>
          <w:attr w:name="ProductID" w:val="la Asamblea"/>
        </w:smartTagPr>
        <w:r w:rsidRPr="00CA18DF">
          <w:rPr>
            <w:rFonts w:ascii="Abadi" w:hAnsi="Abadi" w:cs="Arial"/>
            <w:iCs/>
            <w:sz w:val="21"/>
            <w:szCs w:val="21"/>
          </w:rPr>
          <w:t>la Asamblea</w:t>
        </w:r>
      </w:smartTag>
      <w:r w:rsidRPr="00CA18DF">
        <w:rPr>
          <w:rFonts w:ascii="Abadi" w:hAnsi="Abadi" w:cs="Arial"/>
          <w:iCs/>
          <w:sz w:val="21"/>
          <w:szCs w:val="21"/>
        </w:rPr>
        <w:t>, la aprobación del siguiente:</w:t>
      </w:r>
    </w:p>
    <w:p w14:paraId="0A58A0C2" w14:textId="77777777" w:rsidR="00CA18DF" w:rsidRPr="00CA18DF" w:rsidRDefault="00CA18DF" w:rsidP="00CA18DF">
      <w:pPr>
        <w:spacing w:line="360" w:lineRule="auto"/>
        <w:ind w:firstLine="708"/>
        <w:jc w:val="both"/>
        <w:rPr>
          <w:rFonts w:ascii="Abadi" w:hAnsi="Abadi" w:cs="Arial"/>
          <w:iCs/>
          <w:sz w:val="21"/>
          <w:szCs w:val="21"/>
        </w:rPr>
      </w:pPr>
    </w:p>
    <w:p w14:paraId="051BEFFF" w14:textId="77777777" w:rsidR="00CA18DF" w:rsidRPr="00CA18DF" w:rsidRDefault="00CA18DF" w:rsidP="00CA18DF">
      <w:pPr>
        <w:jc w:val="center"/>
        <w:rPr>
          <w:rFonts w:ascii="Abadi" w:hAnsi="Abadi" w:cs="Arial"/>
          <w:b/>
          <w:iCs/>
          <w:sz w:val="21"/>
          <w:szCs w:val="21"/>
        </w:rPr>
      </w:pPr>
      <w:r w:rsidRPr="00CA18DF">
        <w:rPr>
          <w:rFonts w:ascii="Abadi" w:hAnsi="Abadi" w:cs="Arial"/>
          <w:b/>
          <w:iCs/>
          <w:sz w:val="21"/>
          <w:szCs w:val="21"/>
        </w:rPr>
        <w:t>A c u e r d o</w:t>
      </w:r>
    </w:p>
    <w:p w14:paraId="1BD2CD7D" w14:textId="77777777" w:rsidR="00CA18DF" w:rsidRPr="00CA18DF" w:rsidRDefault="00CA18DF" w:rsidP="00CA18DF">
      <w:pPr>
        <w:jc w:val="center"/>
        <w:rPr>
          <w:rFonts w:ascii="Abadi" w:hAnsi="Abadi" w:cs="Arial"/>
          <w:b/>
          <w:iCs/>
          <w:sz w:val="21"/>
          <w:szCs w:val="21"/>
        </w:rPr>
      </w:pPr>
    </w:p>
    <w:p w14:paraId="0121E6F4" w14:textId="77777777" w:rsidR="00CA18DF" w:rsidRPr="00CA18DF" w:rsidRDefault="00CA18DF" w:rsidP="00CA18DF">
      <w:pPr>
        <w:ind w:firstLine="708"/>
        <w:jc w:val="both"/>
        <w:rPr>
          <w:rFonts w:ascii="Abadi" w:hAnsi="Abadi" w:cs="Arial"/>
          <w:sz w:val="21"/>
          <w:szCs w:val="21"/>
        </w:rPr>
      </w:pPr>
      <w:r w:rsidRPr="00CA18DF">
        <w:rPr>
          <w:rFonts w:ascii="Abadi" w:hAnsi="Abadi" w:cs="Arial"/>
          <w:b/>
          <w:iCs/>
          <w:sz w:val="21"/>
          <w:szCs w:val="21"/>
        </w:rPr>
        <w:t>Único.</w:t>
      </w:r>
      <w:r w:rsidRPr="00CA18DF">
        <w:rPr>
          <w:rFonts w:ascii="Abadi" w:hAnsi="Abadi" w:cs="Arial"/>
          <w:b/>
          <w:sz w:val="21"/>
          <w:szCs w:val="21"/>
        </w:rPr>
        <w:t xml:space="preserve"> </w:t>
      </w:r>
      <w:r w:rsidRPr="00CA18DF">
        <w:rPr>
          <w:rFonts w:ascii="Abadi" w:hAnsi="Abadi" w:cs="Arial"/>
          <w:sz w:val="21"/>
          <w:szCs w:val="21"/>
        </w:rPr>
        <w:t xml:space="preserve">Se determina improcedente </w:t>
      </w:r>
      <w:r w:rsidRPr="00CA18DF">
        <w:rPr>
          <w:rFonts w:ascii="Abadi" w:hAnsi="Abadi" w:cs="Arial"/>
          <w:iCs/>
          <w:sz w:val="21"/>
          <w:szCs w:val="21"/>
        </w:rPr>
        <w:t>la propuesta formulada por el ayuntamiento de San José Iturbide, Gto., a efecto de que se lleve a cabo una auditoría integral a la administración municipal 2018-2021 de dicho Municipio, con base en el artículo 10 de la Ley de Fiscalización Superior del Estado de Guanajuato</w:t>
      </w:r>
      <w:r w:rsidRPr="00CA18DF">
        <w:rPr>
          <w:rFonts w:ascii="Abadi" w:hAnsi="Abadi"/>
          <w:sz w:val="21"/>
          <w:szCs w:val="21"/>
          <w:lang w:val="es-ES_tradnl"/>
        </w:rPr>
        <w:t>. Por lo tanto, se ordena su archivo definitivo</w:t>
      </w:r>
      <w:r w:rsidRPr="00CA18DF">
        <w:rPr>
          <w:rFonts w:ascii="Abadi" w:hAnsi="Abadi" w:cs="Arial"/>
          <w:sz w:val="21"/>
          <w:szCs w:val="21"/>
        </w:rPr>
        <w:t>.</w:t>
      </w:r>
    </w:p>
    <w:p w14:paraId="676AF9DB" w14:textId="77777777" w:rsidR="00CA18DF" w:rsidRPr="00CA18DF" w:rsidRDefault="00CA18DF" w:rsidP="007C6468">
      <w:pPr>
        <w:spacing w:line="360" w:lineRule="auto"/>
        <w:jc w:val="both"/>
        <w:rPr>
          <w:rFonts w:ascii="Abadi" w:hAnsi="Abadi" w:cs="Arial"/>
          <w:sz w:val="21"/>
          <w:szCs w:val="21"/>
        </w:rPr>
      </w:pPr>
    </w:p>
    <w:p w14:paraId="0E00421E" w14:textId="77777777" w:rsidR="00CA18DF" w:rsidRPr="00CA18DF" w:rsidRDefault="00CA18DF" w:rsidP="00CA18DF">
      <w:pPr>
        <w:ind w:firstLine="708"/>
        <w:jc w:val="both"/>
        <w:rPr>
          <w:rFonts w:ascii="Abadi" w:hAnsi="Abadi" w:cs="Arial"/>
          <w:sz w:val="21"/>
          <w:szCs w:val="21"/>
        </w:rPr>
      </w:pPr>
      <w:r w:rsidRPr="00CA18DF">
        <w:rPr>
          <w:rFonts w:ascii="Abadi" w:hAnsi="Abadi" w:cs="Arial"/>
          <w:sz w:val="21"/>
          <w:szCs w:val="21"/>
        </w:rPr>
        <w:t xml:space="preserve">Comuníquese el presente acuerdo al ayuntamiento de San José Iturbide, Gto., junto con su dictamen para su conocimiento; así como al Secretario General del Congreso de Estado, para los efectos conducentes. </w:t>
      </w:r>
    </w:p>
    <w:p w14:paraId="3AF54088" w14:textId="77777777" w:rsidR="00CA18DF" w:rsidRPr="00CA18DF" w:rsidRDefault="00CA18DF" w:rsidP="00CA18DF">
      <w:pPr>
        <w:spacing w:line="360" w:lineRule="auto"/>
        <w:ind w:firstLine="708"/>
        <w:jc w:val="both"/>
        <w:rPr>
          <w:rFonts w:ascii="Abadi" w:hAnsi="Abadi" w:cs="Arial"/>
          <w:sz w:val="21"/>
          <w:szCs w:val="21"/>
        </w:rPr>
      </w:pPr>
    </w:p>
    <w:p w14:paraId="6DB96DC1" w14:textId="77777777" w:rsidR="00CA18DF" w:rsidRPr="00CA18DF" w:rsidRDefault="00CA18DF" w:rsidP="006355B0">
      <w:pPr>
        <w:jc w:val="center"/>
        <w:rPr>
          <w:rFonts w:ascii="Abadi" w:hAnsi="Abadi"/>
          <w:b/>
          <w:bCs/>
          <w:sz w:val="21"/>
          <w:szCs w:val="21"/>
          <w:lang w:eastAsia="x-none"/>
        </w:rPr>
      </w:pPr>
      <w:r w:rsidRPr="00CA18DF">
        <w:rPr>
          <w:rFonts w:ascii="Abadi" w:hAnsi="Abadi"/>
          <w:b/>
          <w:bCs/>
          <w:sz w:val="21"/>
          <w:szCs w:val="21"/>
          <w:lang w:eastAsia="x-none"/>
        </w:rPr>
        <w:t>Guanajuato, Gto., 16 de junio de 2022</w:t>
      </w:r>
    </w:p>
    <w:p w14:paraId="7DB488D5" w14:textId="77777777" w:rsidR="00CA18DF" w:rsidRPr="00CA18DF" w:rsidRDefault="00CA18DF" w:rsidP="006355B0">
      <w:pPr>
        <w:jc w:val="center"/>
        <w:rPr>
          <w:rFonts w:ascii="Abadi" w:hAnsi="Abadi"/>
          <w:b/>
          <w:bCs/>
          <w:sz w:val="21"/>
          <w:szCs w:val="21"/>
          <w:lang w:eastAsia="x-none"/>
        </w:rPr>
      </w:pPr>
      <w:smartTag w:uri="urn:schemas-microsoft-com:office:smarttags" w:element="PersonName">
        <w:smartTagPr>
          <w:attr w:name="ProductID" w:val="La Comisi￳n"/>
        </w:smartTagPr>
        <w:r w:rsidRPr="00CA18DF">
          <w:rPr>
            <w:rFonts w:ascii="Abadi" w:hAnsi="Abadi"/>
            <w:b/>
            <w:bCs/>
            <w:sz w:val="21"/>
            <w:szCs w:val="21"/>
            <w:lang w:eastAsia="x-none"/>
          </w:rPr>
          <w:t>La Comisión</w:t>
        </w:r>
      </w:smartTag>
      <w:r w:rsidRPr="00CA18DF">
        <w:rPr>
          <w:rFonts w:ascii="Abadi" w:hAnsi="Abadi"/>
          <w:b/>
          <w:bCs/>
          <w:sz w:val="21"/>
          <w:szCs w:val="21"/>
          <w:lang w:eastAsia="x-none"/>
        </w:rPr>
        <w:t xml:space="preserve"> de Hacienda y Fiscalización</w:t>
      </w:r>
    </w:p>
    <w:p w14:paraId="11F2602C" w14:textId="77777777" w:rsidR="00CA18DF" w:rsidRPr="00CA18DF" w:rsidRDefault="00CA18DF" w:rsidP="006355B0">
      <w:pPr>
        <w:jc w:val="center"/>
        <w:rPr>
          <w:rFonts w:ascii="Abadi" w:hAnsi="Abadi"/>
          <w:sz w:val="21"/>
          <w:szCs w:val="21"/>
        </w:rPr>
      </w:pPr>
    </w:p>
    <w:p w14:paraId="1A603727" w14:textId="77777777" w:rsidR="00CA18DF" w:rsidRPr="00CA18DF" w:rsidRDefault="00CA18DF" w:rsidP="006355B0">
      <w:pPr>
        <w:jc w:val="center"/>
        <w:rPr>
          <w:rFonts w:ascii="Abadi" w:hAnsi="Abadi"/>
          <w:sz w:val="21"/>
          <w:szCs w:val="21"/>
        </w:rPr>
      </w:pPr>
    </w:p>
    <w:p w14:paraId="78308B5C" w14:textId="77777777" w:rsidR="00CA18DF" w:rsidRPr="00CA18DF" w:rsidRDefault="00CA18DF" w:rsidP="006355B0">
      <w:pPr>
        <w:jc w:val="center"/>
        <w:rPr>
          <w:rFonts w:ascii="Abadi" w:hAnsi="Abadi"/>
          <w:sz w:val="21"/>
          <w:szCs w:val="21"/>
          <w:lang w:val="es-MX"/>
        </w:rPr>
      </w:pPr>
      <w:r w:rsidRPr="00CA18DF">
        <w:rPr>
          <w:rFonts w:ascii="Abadi" w:hAnsi="Abadi"/>
          <w:b/>
          <w:sz w:val="21"/>
          <w:szCs w:val="21"/>
          <w:lang w:eastAsia="x-none"/>
        </w:rPr>
        <w:t>Diputado Víctor Manuel Zanella Huerta</w:t>
      </w:r>
    </w:p>
    <w:p w14:paraId="58C5249C" w14:textId="77777777" w:rsidR="00CA18DF" w:rsidRPr="00CA18DF" w:rsidRDefault="00CA18DF" w:rsidP="006355B0">
      <w:pPr>
        <w:rPr>
          <w:rFonts w:ascii="Abadi" w:hAnsi="Abadi"/>
          <w:sz w:val="21"/>
          <w:szCs w:val="21"/>
          <w:lang w:eastAsia="x-none"/>
        </w:rPr>
      </w:pPr>
    </w:p>
    <w:p w14:paraId="1E1A618C" w14:textId="77777777" w:rsidR="00CA18DF" w:rsidRPr="00CA18DF" w:rsidRDefault="00CA18DF" w:rsidP="006355B0">
      <w:pPr>
        <w:jc w:val="center"/>
        <w:rPr>
          <w:rFonts w:ascii="Abadi" w:hAnsi="Abadi"/>
          <w:b/>
          <w:bCs/>
          <w:sz w:val="21"/>
          <w:szCs w:val="21"/>
          <w:lang w:eastAsia="x-none"/>
        </w:rPr>
      </w:pPr>
    </w:p>
    <w:p w14:paraId="751CE869" w14:textId="47EFF3DC" w:rsidR="00CA18DF" w:rsidRPr="00CA18DF" w:rsidRDefault="00CA18DF" w:rsidP="006355B0">
      <w:pPr>
        <w:jc w:val="center"/>
        <w:rPr>
          <w:rFonts w:ascii="Abadi" w:hAnsi="Abadi"/>
          <w:b/>
          <w:sz w:val="21"/>
          <w:szCs w:val="21"/>
          <w:lang w:eastAsia="x-none"/>
        </w:rPr>
      </w:pPr>
      <w:r w:rsidRPr="00CA18DF">
        <w:rPr>
          <w:rFonts w:ascii="Abadi" w:hAnsi="Abadi"/>
          <w:b/>
          <w:sz w:val="21"/>
          <w:szCs w:val="21"/>
          <w:lang w:eastAsia="x-none"/>
        </w:rPr>
        <w:t>Diputada Ruth Noemí Tiscareño Agoitia</w:t>
      </w:r>
    </w:p>
    <w:p w14:paraId="710CF8F4" w14:textId="77777777" w:rsidR="00CA18DF" w:rsidRPr="00CA18DF" w:rsidRDefault="00CA18DF" w:rsidP="006355B0">
      <w:pPr>
        <w:jc w:val="center"/>
        <w:rPr>
          <w:rFonts w:ascii="Abadi" w:hAnsi="Abadi"/>
          <w:b/>
          <w:sz w:val="21"/>
          <w:szCs w:val="21"/>
          <w:lang w:eastAsia="x-none"/>
        </w:rPr>
      </w:pPr>
    </w:p>
    <w:p w14:paraId="19B7AFBD" w14:textId="77777777" w:rsidR="00CA18DF" w:rsidRPr="00CA18DF" w:rsidRDefault="00CA18DF" w:rsidP="006355B0">
      <w:pPr>
        <w:jc w:val="center"/>
        <w:rPr>
          <w:rFonts w:ascii="Abadi" w:hAnsi="Abadi"/>
          <w:b/>
          <w:sz w:val="21"/>
          <w:szCs w:val="21"/>
          <w:lang w:eastAsia="x-none"/>
        </w:rPr>
      </w:pPr>
    </w:p>
    <w:p w14:paraId="36DDAC52" w14:textId="058A6F8F" w:rsidR="00CA18DF" w:rsidRPr="00CA18DF" w:rsidRDefault="00CA18DF" w:rsidP="006355B0">
      <w:pPr>
        <w:jc w:val="center"/>
        <w:rPr>
          <w:rFonts w:ascii="Abadi" w:hAnsi="Abadi"/>
          <w:b/>
          <w:sz w:val="21"/>
          <w:szCs w:val="21"/>
          <w:lang w:eastAsia="x-none"/>
        </w:rPr>
      </w:pPr>
      <w:r w:rsidRPr="00CA18DF">
        <w:rPr>
          <w:rFonts w:ascii="Abadi" w:hAnsi="Abadi"/>
          <w:b/>
          <w:sz w:val="21"/>
          <w:szCs w:val="21"/>
          <w:lang w:eastAsia="x-none"/>
        </w:rPr>
        <w:t>Diputado Miguel Ángel Salim Alle</w:t>
      </w:r>
    </w:p>
    <w:p w14:paraId="71288447" w14:textId="77777777" w:rsidR="00CA18DF" w:rsidRPr="00CA18DF" w:rsidRDefault="00CA18DF" w:rsidP="006355B0">
      <w:pPr>
        <w:jc w:val="center"/>
        <w:rPr>
          <w:rFonts w:ascii="Abadi" w:hAnsi="Abadi"/>
          <w:b/>
          <w:sz w:val="21"/>
          <w:szCs w:val="21"/>
          <w:lang w:eastAsia="x-none"/>
        </w:rPr>
      </w:pPr>
    </w:p>
    <w:p w14:paraId="3A67845D" w14:textId="77777777" w:rsidR="00CA18DF" w:rsidRPr="00CA18DF" w:rsidRDefault="00CA18DF" w:rsidP="006355B0">
      <w:pPr>
        <w:jc w:val="center"/>
        <w:rPr>
          <w:rFonts w:ascii="Abadi" w:hAnsi="Abadi"/>
          <w:b/>
          <w:sz w:val="21"/>
          <w:szCs w:val="21"/>
          <w:lang w:eastAsia="x-none"/>
        </w:rPr>
      </w:pPr>
    </w:p>
    <w:p w14:paraId="304DC545" w14:textId="5B6B2BA4" w:rsidR="00CA18DF" w:rsidRPr="00CA18DF" w:rsidRDefault="00CA18DF" w:rsidP="006355B0">
      <w:pPr>
        <w:jc w:val="center"/>
        <w:rPr>
          <w:rFonts w:ascii="Abadi" w:hAnsi="Abadi"/>
          <w:b/>
          <w:sz w:val="21"/>
          <w:szCs w:val="21"/>
          <w:lang w:eastAsia="x-none"/>
        </w:rPr>
      </w:pPr>
      <w:r w:rsidRPr="00CA18DF">
        <w:rPr>
          <w:rFonts w:ascii="Abadi" w:hAnsi="Abadi"/>
          <w:b/>
          <w:sz w:val="21"/>
          <w:szCs w:val="21"/>
          <w:lang w:eastAsia="x-none"/>
        </w:rPr>
        <w:t>Diputado José Alfonso Borja Pimentel</w:t>
      </w:r>
    </w:p>
    <w:p w14:paraId="3295A79B" w14:textId="77777777" w:rsidR="00CA18DF" w:rsidRPr="00CA18DF" w:rsidRDefault="00CA18DF" w:rsidP="006355B0">
      <w:pPr>
        <w:jc w:val="center"/>
        <w:rPr>
          <w:rFonts w:ascii="Abadi" w:hAnsi="Abadi"/>
          <w:b/>
          <w:sz w:val="21"/>
          <w:szCs w:val="21"/>
          <w:lang w:eastAsia="x-none"/>
        </w:rPr>
      </w:pPr>
    </w:p>
    <w:p w14:paraId="324BC059" w14:textId="77777777" w:rsidR="00CA18DF" w:rsidRPr="00CA18DF" w:rsidRDefault="00CA18DF" w:rsidP="006355B0">
      <w:pPr>
        <w:jc w:val="center"/>
        <w:rPr>
          <w:rFonts w:ascii="Abadi" w:hAnsi="Abadi"/>
          <w:b/>
          <w:sz w:val="21"/>
          <w:szCs w:val="21"/>
          <w:lang w:eastAsia="x-none"/>
        </w:rPr>
      </w:pPr>
    </w:p>
    <w:p w14:paraId="1F1EE469" w14:textId="77777777" w:rsidR="00CA18DF" w:rsidRPr="00CA18DF" w:rsidRDefault="00CA18DF" w:rsidP="006355B0">
      <w:pPr>
        <w:jc w:val="center"/>
        <w:rPr>
          <w:rFonts w:ascii="Abadi" w:hAnsi="Abadi"/>
          <w:b/>
          <w:sz w:val="21"/>
          <w:szCs w:val="21"/>
          <w:lang w:eastAsia="x-none"/>
        </w:rPr>
      </w:pPr>
      <w:r w:rsidRPr="00CA18DF">
        <w:rPr>
          <w:rFonts w:ascii="Abadi" w:hAnsi="Abadi"/>
          <w:b/>
          <w:sz w:val="21"/>
          <w:szCs w:val="21"/>
          <w:lang w:eastAsia="x-none"/>
        </w:rPr>
        <w:t>Diputada Alma Edwviges Alcaraz Hernández</w:t>
      </w:r>
    </w:p>
    <w:p w14:paraId="4CDDC009" w14:textId="721CFA4D" w:rsidR="00573B46" w:rsidRDefault="00573B46" w:rsidP="00573B46">
      <w:pPr>
        <w:rPr>
          <w:rFonts w:ascii="Abadi" w:hAnsi="Abadi"/>
          <w:sz w:val="20"/>
          <w:szCs w:val="20"/>
        </w:rPr>
      </w:pPr>
    </w:p>
    <w:p w14:paraId="5CBB3E6D" w14:textId="472BF620" w:rsidR="00573B46" w:rsidRDefault="00573B46" w:rsidP="00573B46">
      <w:pPr>
        <w:rPr>
          <w:rFonts w:ascii="Abadi" w:hAnsi="Abadi"/>
          <w:sz w:val="20"/>
          <w:szCs w:val="20"/>
        </w:rPr>
      </w:pPr>
    </w:p>
    <w:p w14:paraId="7C8E0CE7" w14:textId="77777777" w:rsidR="006355B0" w:rsidRPr="00573B46" w:rsidRDefault="006355B0" w:rsidP="00573B46">
      <w:pPr>
        <w:rPr>
          <w:rFonts w:ascii="Abadi" w:hAnsi="Abadi"/>
          <w:sz w:val="20"/>
          <w:szCs w:val="20"/>
        </w:rPr>
      </w:pPr>
    </w:p>
    <w:p w14:paraId="1C861D8A" w14:textId="6BA7450B" w:rsidR="004964F1" w:rsidRDefault="004964F1"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9"/>
          <w:sz w:val="20"/>
          <w:szCs w:val="20"/>
        </w:rPr>
        <w:t xml:space="preserve"> </w:t>
      </w:r>
      <w:r w:rsidRPr="00531B12">
        <w:rPr>
          <w:rFonts w:ascii="Abadi" w:hAnsi="Abadi"/>
          <w:b/>
          <w:bCs/>
          <w:sz w:val="20"/>
          <w:szCs w:val="20"/>
        </w:rPr>
        <w:t>Y,</w:t>
      </w:r>
      <w:r w:rsidRPr="00531B12">
        <w:rPr>
          <w:rFonts w:ascii="Abadi" w:hAnsi="Abadi"/>
          <w:b/>
          <w:bCs/>
          <w:spacing w:val="9"/>
          <w:sz w:val="20"/>
          <w:szCs w:val="20"/>
        </w:rPr>
        <w:t xml:space="preserve"> </w:t>
      </w:r>
      <w:r w:rsidRPr="00531B12">
        <w:rPr>
          <w:rFonts w:ascii="Abadi" w:hAnsi="Abadi"/>
          <w:b/>
          <w:bCs/>
          <w:sz w:val="20"/>
          <w:szCs w:val="20"/>
        </w:rPr>
        <w:t>EN</w:t>
      </w:r>
      <w:r w:rsidRPr="00531B12">
        <w:rPr>
          <w:rFonts w:ascii="Abadi" w:hAnsi="Abadi"/>
          <w:b/>
          <w:bCs/>
          <w:spacing w:val="9"/>
          <w:sz w:val="20"/>
          <w:szCs w:val="20"/>
        </w:rPr>
        <w:t xml:space="preserve"> </w:t>
      </w:r>
      <w:r w:rsidRPr="00531B12">
        <w:rPr>
          <w:rFonts w:ascii="Abadi" w:hAnsi="Abadi"/>
          <w:b/>
          <w:bCs/>
          <w:sz w:val="20"/>
          <w:szCs w:val="20"/>
        </w:rPr>
        <w:t>SU</w:t>
      </w:r>
      <w:r w:rsidRPr="00531B12">
        <w:rPr>
          <w:rFonts w:ascii="Abadi" w:hAnsi="Abadi"/>
          <w:b/>
          <w:bCs/>
          <w:spacing w:val="9"/>
          <w:sz w:val="20"/>
          <w:szCs w:val="20"/>
        </w:rPr>
        <w:t xml:space="preserve"> </w:t>
      </w:r>
      <w:r w:rsidRPr="00531B12">
        <w:rPr>
          <w:rFonts w:ascii="Abadi" w:hAnsi="Abadi"/>
          <w:b/>
          <w:bCs/>
          <w:sz w:val="20"/>
          <w:szCs w:val="20"/>
        </w:rPr>
        <w:t>CASO,</w:t>
      </w:r>
      <w:r w:rsidRPr="00531B12">
        <w:rPr>
          <w:rFonts w:ascii="Abadi" w:hAnsi="Abadi"/>
          <w:b/>
          <w:bCs/>
          <w:spacing w:val="9"/>
          <w:sz w:val="20"/>
          <w:szCs w:val="20"/>
        </w:rPr>
        <w:t xml:space="preserve"> </w:t>
      </w:r>
      <w:r w:rsidRPr="00531B12">
        <w:rPr>
          <w:rFonts w:ascii="Abadi" w:hAnsi="Abadi"/>
          <w:b/>
          <w:bCs/>
          <w:sz w:val="20"/>
          <w:szCs w:val="20"/>
        </w:rPr>
        <w:t>APROBACIÓN</w:t>
      </w:r>
      <w:r w:rsidRPr="00531B12">
        <w:rPr>
          <w:rFonts w:ascii="Abadi" w:hAnsi="Abadi"/>
          <w:b/>
          <w:bCs/>
          <w:spacing w:val="9"/>
          <w:sz w:val="20"/>
          <w:szCs w:val="20"/>
        </w:rPr>
        <w:t xml:space="preserve"> </w:t>
      </w:r>
      <w:r w:rsidRPr="00531B12">
        <w:rPr>
          <w:rFonts w:ascii="Abadi" w:hAnsi="Abadi"/>
          <w:b/>
          <w:bCs/>
          <w:sz w:val="20"/>
          <w:szCs w:val="20"/>
        </w:rPr>
        <w:t>DEL</w:t>
      </w:r>
      <w:r w:rsidRPr="00531B12">
        <w:rPr>
          <w:rFonts w:ascii="Abadi" w:hAnsi="Abadi"/>
          <w:b/>
          <w:bCs/>
          <w:spacing w:val="9"/>
          <w:sz w:val="20"/>
          <w:szCs w:val="20"/>
        </w:rPr>
        <w:t xml:space="preserve"> </w:t>
      </w:r>
      <w:r w:rsidRPr="00531B12">
        <w:rPr>
          <w:rFonts w:ascii="Abadi" w:hAnsi="Abadi"/>
          <w:b/>
          <w:bCs/>
          <w:sz w:val="20"/>
          <w:szCs w:val="20"/>
        </w:rPr>
        <w:t>DICTAMEN</w:t>
      </w:r>
      <w:r w:rsidRPr="00531B12">
        <w:rPr>
          <w:rFonts w:ascii="Abadi" w:hAnsi="Abadi"/>
          <w:b/>
          <w:bCs/>
          <w:spacing w:val="9"/>
          <w:sz w:val="20"/>
          <w:szCs w:val="20"/>
        </w:rPr>
        <w:t xml:space="preserve"> </w:t>
      </w:r>
      <w:r w:rsidRPr="00531B12">
        <w:rPr>
          <w:rFonts w:ascii="Abadi" w:hAnsi="Abadi"/>
          <w:b/>
          <w:bCs/>
          <w:sz w:val="20"/>
          <w:szCs w:val="20"/>
        </w:rPr>
        <w:t>SIGNADO</w:t>
      </w:r>
      <w:r w:rsidRPr="00531B12">
        <w:rPr>
          <w:rFonts w:ascii="Abadi" w:hAnsi="Abadi"/>
          <w:b/>
          <w:bCs/>
          <w:spacing w:val="9"/>
          <w:sz w:val="20"/>
          <w:szCs w:val="20"/>
        </w:rPr>
        <w:t xml:space="preserve"> </w:t>
      </w:r>
      <w:r w:rsidRPr="00531B12">
        <w:rPr>
          <w:rFonts w:ascii="Abadi" w:hAnsi="Abadi"/>
          <w:b/>
          <w:bCs/>
          <w:sz w:val="20"/>
          <w:szCs w:val="20"/>
        </w:rPr>
        <w:t>POR</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9"/>
          <w:sz w:val="20"/>
          <w:szCs w:val="20"/>
        </w:rPr>
        <w:t xml:space="preserve"> </w:t>
      </w:r>
      <w:r w:rsidRPr="00531B12">
        <w:rPr>
          <w:rFonts w:ascii="Abadi" w:hAnsi="Abadi"/>
          <w:b/>
          <w:bCs/>
          <w:sz w:val="20"/>
          <w:szCs w:val="20"/>
        </w:rPr>
        <w:t>COMISIÓN</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33"/>
          <w:sz w:val="20"/>
          <w:szCs w:val="20"/>
        </w:rPr>
        <w:t xml:space="preserve"> </w:t>
      </w:r>
      <w:r w:rsidRPr="00531B12">
        <w:rPr>
          <w:rFonts w:ascii="Abadi" w:hAnsi="Abadi"/>
          <w:b/>
          <w:bCs/>
          <w:sz w:val="20"/>
          <w:szCs w:val="20"/>
        </w:rPr>
        <w:t>HACIENDA</w:t>
      </w:r>
      <w:r w:rsidRPr="00531B12">
        <w:rPr>
          <w:rFonts w:ascii="Abadi" w:hAnsi="Abadi"/>
          <w:b/>
          <w:bCs/>
          <w:spacing w:val="33"/>
          <w:sz w:val="20"/>
          <w:szCs w:val="20"/>
        </w:rPr>
        <w:t xml:space="preserve"> </w:t>
      </w:r>
      <w:r w:rsidRPr="00531B12">
        <w:rPr>
          <w:rFonts w:ascii="Abadi" w:hAnsi="Abadi"/>
          <w:b/>
          <w:bCs/>
          <w:sz w:val="20"/>
          <w:szCs w:val="20"/>
        </w:rPr>
        <w:t>Y</w:t>
      </w:r>
      <w:r w:rsidRPr="00531B12">
        <w:rPr>
          <w:rFonts w:ascii="Abadi" w:hAnsi="Abadi"/>
          <w:b/>
          <w:bCs/>
          <w:spacing w:val="33"/>
          <w:sz w:val="20"/>
          <w:szCs w:val="20"/>
        </w:rPr>
        <w:t xml:space="preserve"> </w:t>
      </w:r>
      <w:r w:rsidRPr="00531B12">
        <w:rPr>
          <w:rFonts w:ascii="Abadi" w:hAnsi="Abadi"/>
          <w:b/>
          <w:bCs/>
          <w:sz w:val="20"/>
          <w:szCs w:val="20"/>
        </w:rPr>
        <w:t>FISCALIZACIÓN</w:t>
      </w:r>
      <w:r w:rsidRPr="00531B12">
        <w:rPr>
          <w:rFonts w:ascii="Abadi" w:hAnsi="Abadi"/>
          <w:b/>
          <w:bCs/>
          <w:spacing w:val="32"/>
          <w:sz w:val="20"/>
          <w:szCs w:val="20"/>
        </w:rPr>
        <w:t xml:space="preserve"> </w:t>
      </w:r>
      <w:r w:rsidRPr="00531B12">
        <w:rPr>
          <w:rFonts w:ascii="Abadi" w:hAnsi="Abadi"/>
          <w:b/>
          <w:bCs/>
          <w:sz w:val="20"/>
          <w:szCs w:val="20"/>
        </w:rPr>
        <w:t>RELATIVO</w:t>
      </w:r>
      <w:r w:rsidRPr="00531B12">
        <w:rPr>
          <w:rFonts w:ascii="Abadi" w:hAnsi="Abadi"/>
          <w:b/>
          <w:bCs/>
          <w:spacing w:val="32"/>
          <w:sz w:val="20"/>
          <w:szCs w:val="20"/>
        </w:rPr>
        <w:t xml:space="preserve"> </w:t>
      </w:r>
      <w:r w:rsidRPr="00531B12">
        <w:rPr>
          <w:rFonts w:ascii="Abadi" w:hAnsi="Abadi"/>
          <w:b/>
          <w:bCs/>
          <w:sz w:val="20"/>
          <w:szCs w:val="20"/>
        </w:rPr>
        <w:t>A</w:t>
      </w:r>
      <w:r w:rsidRPr="00531B12">
        <w:rPr>
          <w:rFonts w:ascii="Abadi" w:hAnsi="Abadi"/>
          <w:b/>
          <w:bCs/>
          <w:spacing w:val="33"/>
          <w:sz w:val="20"/>
          <w:szCs w:val="20"/>
        </w:rPr>
        <w:t xml:space="preserve"> </w:t>
      </w:r>
      <w:r w:rsidRPr="00531B12">
        <w:rPr>
          <w:rFonts w:ascii="Abadi" w:hAnsi="Abadi"/>
          <w:b/>
          <w:bCs/>
          <w:sz w:val="20"/>
          <w:szCs w:val="20"/>
        </w:rPr>
        <w:t>LA</w:t>
      </w:r>
      <w:r w:rsidRPr="00531B12">
        <w:rPr>
          <w:rFonts w:ascii="Abadi" w:hAnsi="Abadi"/>
          <w:b/>
          <w:bCs/>
          <w:spacing w:val="33"/>
          <w:sz w:val="20"/>
          <w:szCs w:val="20"/>
        </w:rPr>
        <w:t xml:space="preserve"> </w:t>
      </w:r>
      <w:r w:rsidRPr="00531B12">
        <w:rPr>
          <w:rFonts w:ascii="Abadi" w:hAnsi="Abadi"/>
          <w:b/>
          <w:bCs/>
          <w:sz w:val="20"/>
          <w:szCs w:val="20"/>
        </w:rPr>
        <w:t>PROPUESTA</w:t>
      </w:r>
      <w:r w:rsidRPr="00531B12">
        <w:rPr>
          <w:rFonts w:ascii="Abadi" w:hAnsi="Abadi"/>
          <w:b/>
          <w:bCs/>
          <w:spacing w:val="32"/>
          <w:sz w:val="20"/>
          <w:szCs w:val="20"/>
        </w:rPr>
        <w:t xml:space="preserve"> </w:t>
      </w:r>
      <w:r w:rsidRPr="00531B12">
        <w:rPr>
          <w:rFonts w:ascii="Abadi" w:hAnsi="Abadi"/>
          <w:b/>
          <w:bCs/>
          <w:sz w:val="20"/>
          <w:szCs w:val="20"/>
        </w:rPr>
        <w:t>DE</w:t>
      </w:r>
      <w:r w:rsidRPr="00531B12">
        <w:rPr>
          <w:rFonts w:ascii="Abadi" w:hAnsi="Abadi"/>
          <w:b/>
          <w:bCs/>
          <w:spacing w:val="32"/>
          <w:sz w:val="20"/>
          <w:szCs w:val="20"/>
        </w:rPr>
        <w:t xml:space="preserve"> </w:t>
      </w:r>
      <w:r w:rsidRPr="00531B12">
        <w:rPr>
          <w:rFonts w:ascii="Abadi" w:hAnsi="Abadi"/>
          <w:b/>
          <w:bCs/>
          <w:sz w:val="20"/>
          <w:szCs w:val="20"/>
        </w:rPr>
        <w:t>PUNTO</w:t>
      </w:r>
      <w:r w:rsidRPr="00531B12">
        <w:rPr>
          <w:rFonts w:ascii="Abadi" w:hAnsi="Abadi"/>
          <w:b/>
          <w:bCs/>
          <w:spacing w:val="32"/>
          <w:sz w:val="20"/>
          <w:szCs w:val="20"/>
        </w:rPr>
        <w:t xml:space="preserve"> </w:t>
      </w:r>
      <w:r w:rsidRPr="00531B12">
        <w:rPr>
          <w:rFonts w:ascii="Abadi" w:hAnsi="Abadi"/>
          <w:b/>
          <w:bCs/>
          <w:sz w:val="20"/>
          <w:szCs w:val="20"/>
        </w:rPr>
        <w:t>DE</w:t>
      </w:r>
      <w:r w:rsidRPr="00531B12">
        <w:rPr>
          <w:rFonts w:ascii="Abadi" w:hAnsi="Abadi"/>
          <w:b/>
          <w:bCs/>
          <w:spacing w:val="32"/>
          <w:sz w:val="20"/>
          <w:szCs w:val="20"/>
        </w:rPr>
        <w:t xml:space="preserve"> </w:t>
      </w:r>
      <w:r w:rsidRPr="00531B12">
        <w:rPr>
          <w:rFonts w:ascii="Abadi" w:hAnsi="Abadi"/>
          <w:b/>
          <w:bCs/>
          <w:sz w:val="20"/>
          <w:szCs w:val="20"/>
        </w:rPr>
        <w:t>ACUERDO</w:t>
      </w:r>
      <w:r w:rsidRPr="00531B12">
        <w:rPr>
          <w:rFonts w:ascii="Abadi" w:hAnsi="Abadi"/>
          <w:b/>
          <w:bCs/>
          <w:spacing w:val="-2"/>
          <w:sz w:val="20"/>
          <w:szCs w:val="20"/>
        </w:rPr>
        <w:t xml:space="preserve"> </w:t>
      </w:r>
      <w:r w:rsidRPr="00531B12">
        <w:rPr>
          <w:rFonts w:ascii="Abadi" w:hAnsi="Abadi"/>
          <w:b/>
          <w:bCs/>
          <w:sz w:val="20"/>
          <w:szCs w:val="20"/>
        </w:rPr>
        <w:t>FORMULADA</w:t>
      </w:r>
      <w:r w:rsidRPr="00531B12">
        <w:rPr>
          <w:rFonts w:ascii="Abadi" w:hAnsi="Abadi"/>
          <w:b/>
          <w:bCs/>
          <w:spacing w:val="18"/>
          <w:sz w:val="20"/>
          <w:szCs w:val="20"/>
        </w:rPr>
        <w:t xml:space="preserve"> </w:t>
      </w:r>
      <w:r w:rsidRPr="00531B12">
        <w:rPr>
          <w:rFonts w:ascii="Abadi" w:hAnsi="Abadi"/>
          <w:b/>
          <w:bCs/>
          <w:sz w:val="20"/>
          <w:szCs w:val="20"/>
        </w:rPr>
        <w:t>POR</w:t>
      </w:r>
      <w:r w:rsidRPr="00531B12">
        <w:rPr>
          <w:rFonts w:ascii="Abadi" w:hAnsi="Abadi"/>
          <w:b/>
          <w:bCs/>
          <w:spacing w:val="17"/>
          <w:sz w:val="20"/>
          <w:szCs w:val="20"/>
        </w:rPr>
        <w:t xml:space="preserve"> </w:t>
      </w:r>
      <w:r w:rsidRPr="00531B12">
        <w:rPr>
          <w:rFonts w:ascii="Abadi" w:hAnsi="Abadi"/>
          <w:b/>
          <w:bCs/>
          <w:sz w:val="20"/>
          <w:szCs w:val="20"/>
        </w:rPr>
        <w:t>EL</w:t>
      </w:r>
      <w:r w:rsidRPr="00531B12">
        <w:rPr>
          <w:rFonts w:ascii="Abadi" w:hAnsi="Abadi"/>
          <w:b/>
          <w:bCs/>
          <w:spacing w:val="17"/>
          <w:sz w:val="20"/>
          <w:szCs w:val="20"/>
        </w:rPr>
        <w:t xml:space="preserve"> </w:t>
      </w:r>
      <w:r w:rsidRPr="00531B12">
        <w:rPr>
          <w:rFonts w:ascii="Abadi" w:hAnsi="Abadi"/>
          <w:b/>
          <w:bCs/>
          <w:sz w:val="20"/>
          <w:szCs w:val="20"/>
        </w:rPr>
        <w:t>DIPUTADO</w:t>
      </w:r>
      <w:r w:rsidRPr="00531B12">
        <w:rPr>
          <w:rFonts w:ascii="Abadi" w:hAnsi="Abadi"/>
          <w:b/>
          <w:bCs/>
          <w:spacing w:val="18"/>
          <w:sz w:val="20"/>
          <w:szCs w:val="20"/>
        </w:rPr>
        <w:t xml:space="preserve"> </w:t>
      </w:r>
      <w:r w:rsidRPr="00531B12">
        <w:rPr>
          <w:rFonts w:ascii="Abadi" w:hAnsi="Abadi"/>
          <w:b/>
          <w:bCs/>
          <w:sz w:val="20"/>
          <w:szCs w:val="20"/>
        </w:rPr>
        <w:t>ERNESTO</w:t>
      </w:r>
      <w:r w:rsidRPr="00531B12">
        <w:rPr>
          <w:rFonts w:ascii="Abadi" w:hAnsi="Abadi"/>
          <w:b/>
          <w:bCs/>
          <w:spacing w:val="18"/>
          <w:sz w:val="20"/>
          <w:szCs w:val="20"/>
        </w:rPr>
        <w:t xml:space="preserve"> </w:t>
      </w:r>
      <w:r w:rsidRPr="00531B12">
        <w:rPr>
          <w:rFonts w:ascii="Abadi" w:hAnsi="Abadi"/>
          <w:b/>
          <w:bCs/>
          <w:sz w:val="20"/>
          <w:szCs w:val="20"/>
        </w:rPr>
        <w:t>MILLÁN</w:t>
      </w:r>
      <w:r w:rsidRPr="00531B12">
        <w:rPr>
          <w:rFonts w:ascii="Abadi" w:hAnsi="Abadi"/>
          <w:b/>
          <w:bCs/>
          <w:spacing w:val="18"/>
          <w:sz w:val="20"/>
          <w:szCs w:val="20"/>
        </w:rPr>
        <w:t xml:space="preserve"> </w:t>
      </w:r>
      <w:r w:rsidRPr="00531B12">
        <w:rPr>
          <w:rFonts w:ascii="Abadi" w:hAnsi="Abadi"/>
          <w:b/>
          <w:bCs/>
          <w:sz w:val="20"/>
          <w:szCs w:val="20"/>
        </w:rPr>
        <w:t>SOBERANES,</w:t>
      </w:r>
      <w:r w:rsidRPr="00531B12">
        <w:rPr>
          <w:rFonts w:ascii="Abadi" w:hAnsi="Abadi"/>
          <w:b/>
          <w:bCs/>
          <w:spacing w:val="17"/>
          <w:sz w:val="20"/>
          <w:szCs w:val="20"/>
        </w:rPr>
        <w:t xml:space="preserve"> </w:t>
      </w:r>
      <w:r w:rsidRPr="00531B12">
        <w:rPr>
          <w:rFonts w:ascii="Abadi" w:hAnsi="Abadi"/>
          <w:b/>
          <w:bCs/>
          <w:sz w:val="20"/>
          <w:szCs w:val="20"/>
        </w:rPr>
        <w:t>INTEGRANTE</w:t>
      </w:r>
      <w:r w:rsidRPr="00531B12">
        <w:rPr>
          <w:rFonts w:ascii="Abadi" w:hAnsi="Abadi"/>
          <w:b/>
          <w:bCs/>
          <w:spacing w:val="17"/>
          <w:sz w:val="20"/>
          <w:szCs w:val="20"/>
        </w:rPr>
        <w:t xml:space="preserve"> </w:t>
      </w:r>
      <w:r w:rsidRPr="00531B12">
        <w:rPr>
          <w:rFonts w:ascii="Abadi" w:hAnsi="Abadi"/>
          <w:b/>
          <w:bCs/>
          <w:sz w:val="20"/>
          <w:szCs w:val="20"/>
        </w:rPr>
        <w:t>DEL</w:t>
      </w:r>
      <w:r w:rsidRPr="00531B12">
        <w:rPr>
          <w:rFonts w:ascii="Abadi" w:hAnsi="Abadi"/>
          <w:b/>
          <w:bCs/>
          <w:spacing w:val="17"/>
          <w:sz w:val="20"/>
          <w:szCs w:val="20"/>
        </w:rPr>
        <w:t xml:space="preserve"> </w:t>
      </w:r>
      <w:r w:rsidRPr="00531B12">
        <w:rPr>
          <w:rFonts w:ascii="Abadi" w:hAnsi="Abadi"/>
          <w:b/>
          <w:bCs/>
          <w:sz w:val="20"/>
          <w:szCs w:val="20"/>
        </w:rPr>
        <w:t>GRUPO</w:t>
      </w:r>
      <w:r w:rsidRPr="00531B12">
        <w:rPr>
          <w:rFonts w:ascii="Abadi" w:hAnsi="Abadi"/>
          <w:b/>
          <w:bCs/>
          <w:spacing w:val="-2"/>
          <w:sz w:val="20"/>
          <w:szCs w:val="20"/>
        </w:rPr>
        <w:t xml:space="preserve"> </w:t>
      </w:r>
      <w:r w:rsidRPr="00531B12">
        <w:rPr>
          <w:rFonts w:ascii="Abadi" w:hAnsi="Abadi"/>
          <w:b/>
          <w:bCs/>
          <w:sz w:val="20"/>
          <w:szCs w:val="20"/>
        </w:rPr>
        <w:t>PARLAMENTARIO</w:t>
      </w:r>
      <w:r w:rsidRPr="00531B12">
        <w:rPr>
          <w:rFonts w:ascii="Abadi" w:hAnsi="Abadi"/>
          <w:b/>
          <w:bCs/>
          <w:spacing w:val="40"/>
          <w:sz w:val="20"/>
          <w:szCs w:val="20"/>
        </w:rPr>
        <w:t xml:space="preserve"> </w:t>
      </w:r>
      <w:r w:rsidRPr="00531B12">
        <w:rPr>
          <w:rFonts w:ascii="Abadi" w:hAnsi="Abadi"/>
          <w:b/>
          <w:bCs/>
          <w:sz w:val="20"/>
          <w:szCs w:val="20"/>
        </w:rPr>
        <w:t>DEL</w:t>
      </w:r>
      <w:r w:rsidRPr="00531B12">
        <w:rPr>
          <w:rFonts w:ascii="Abadi" w:hAnsi="Abadi"/>
          <w:b/>
          <w:bCs/>
          <w:spacing w:val="40"/>
          <w:sz w:val="20"/>
          <w:szCs w:val="20"/>
        </w:rPr>
        <w:t xml:space="preserve"> </w:t>
      </w:r>
      <w:r w:rsidRPr="00531B12">
        <w:rPr>
          <w:rFonts w:ascii="Abadi" w:hAnsi="Abadi"/>
          <w:b/>
          <w:bCs/>
          <w:sz w:val="20"/>
          <w:szCs w:val="20"/>
        </w:rPr>
        <w:t>PARTIDO</w:t>
      </w:r>
      <w:r w:rsidRPr="00531B12">
        <w:rPr>
          <w:rFonts w:ascii="Abadi" w:hAnsi="Abadi"/>
          <w:b/>
          <w:bCs/>
          <w:spacing w:val="40"/>
          <w:sz w:val="20"/>
          <w:szCs w:val="20"/>
        </w:rPr>
        <w:t xml:space="preserve"> </w:t>
      </w:r>
      <w:r w:rsidRPr="00531B12">
        <w:rPr>
          <w:rFonts w:ascii="Abadi" w:hAnsi="Abadi"/>
          <w:b/>
          <w:bCs/>
          <w:sz w:val="20"/>
          <w:szCs w:val="20"/>
        </w:rPr>
        <w:t>MORENA,</w:t>
      </w:r>
      <w:r w:rsidRPr="00531B12">
        <w:rPr>
          <w:rFonts w:ascii="Abadi" w:hAnsi="Abadi"/>
          <w:b/>
          <w:bCs/>
          <w:spacing w:val="40"/>
          <w:sz w:val="20"/>
          <w:szCs w:val="20"/>
        </w:rPr>
        <w:t xml:space="preserve"> </w:t>
      </w:r>
      <w:r w:rsidRPr="00531B12">
        <w:rPr>
          <w:rFonts w:ascii="Abadi" w:hAnsi="Abadi"/>
          <w:b/>
          <w:bCs/>
          <w:sz w:val="20"/>
          <w:szCs w:val="20"/>
        </w:rPr>
        <w:t>A</w:t>
      </w:r>
      <w:r w:rsidRPr="00531B12">
        <w:rPr>
          <w:rFonts w:ascii="Abadi" w:hAnsi="Abadi"/>
          <w:b/>
          <w:bCs/>
          <w:spacing w:val="39"/>
          <w:sz w:val="20"/>
          <w:szCs w:val="20"/>
        </w:rPr>
        <w:t xml:space="preserve"> </w:t>
      </w:r>
      <w:r w:rsidRPr="00531B12">
        <w:rPr>
          <w:rFonts w:ascii="Abadi" w:hAnsi="Abadi"/>
          <w:b/>
          <w:bCs/>
          <w:sz w:val="20"/>
          <w:szCs w:val="20"/>
        </w:rPr>
        <w:t>EFECTO</w:t>
      </w:r>
      <w:r w:rsidRPr="00531B12">
        <w:rPr>
          <w:rFonts w:ascii="Abadi" w:hAnsi="Abadi"/>
          <w:b/>
          <w:bCs/>
          <w:spacing w:val="40"/>
          <w:sz w:val="20"/>
          <w:szCs w:val="20"/>
        </w:rPr>
        <w:t xml:space="preserve"> </w:t>
      </w:r>
      <w:r w:rsidRPr="00531B12">
        <w:rPr>
          <w:rFonts w:ascii="Abadi" w:hAnsi="Abadi"/>
          <w:b/>
          <w:bCs/>
          <w:sz w:val="20"/>
          <w:szCs w:val="20"/>
        </w:rPr>
        <w:t>DE</w:t>
      </w:r>
      <w:r w:rsidRPr="00531B12">
        <w:rPr>
          <w:rFonts w:ascii="Abadi" w:hAnsi="Abadi"/>
          <w:b/>
          <w:bCs/>
          <w:spacing w:val="40"/>
          <w:sz w:val="20"/>
          <w:szCs w:val="20"/>
        </w:rPr>
        <w:t xml:space="preserve"> </w:t>
      </w:r>
      <w:r w:rsidRPr="00531B12">
        <w:rPr>
          <w:rFonts w:ascii="Abadi" w:hAnsi="Abadi"/>
          <w:b/>
          <w:bCs/>
          <w:sz w:val="20"/>
          <w:szCs w:val="20"/>
        </w:rPr>
        <w:t>EXHORTAR</w:t>
      </w:r>
      <w:r w:rsidRPr="00531B12">
        <w:rPr>
          <w:rFonts w:ascii="Abadi" w:hAnsi="Abadi"/>
          <w:b/>
          <w:bCs/>
          <w:spacing w:val="40"/>
          <w:sz w:val="20"/>
          <w:szCs w:val="20"/>
        </w:rPr>
        <w:t xml:space="preserve"> </w:t>
      </w:r>
      <w:r w:rsidRPr="00531B12">
        <w:rPr>
          <w:rFonts w:ascii="Abadi" w:hAnsi="Abadi"/>
          <w:b/>
          <w:bCs/>
          <w:sz w:val="20"/>
          <w:szCs w:val="20"/>
        </w:rPr>
        <w:t>AL</w:t>
      </w:r>
      <w:r w:rsidRPr="00531B12">
        <w:rPr>
          <w:rFonts w:ascii="Abadi" w:hAnsi="Abadi"/>
          <w:b/>
          <w:bCs/>
          <w:spacing w:val="40"/>
          <w:sz w:val="20"/>
          <w:szCs w:val="20"/>
        </w:rPr>
        <w:t xml:space="preserve"> </w:t>
      </w:r>
      <w:r w:rsidRPr="00531B12">
        <w:rPr>
          <w:rFonts w:ascii="Abadi" w:hAnsi="Abadi"/>
          <w:b/>
          <w:bCs/>
          <w:sz w:val="20"/>
          <w:szCs w:val="20"/>
        </w:rPr>
        <w:t>TITULAR</w:t>
      </w:r>
      <w:r w:rsidRPr="00531B12">
        <w:rPr>
          <w:rFonts w:ascii="Abadi" w:hAnsi="Abadi"/>
          <w:b/>
          <w:bCs/>
          <w:spacing w:val="40"/>
          <w:sz w:val="20"/>
          <w:szCs w:val="20"/>
        </w:rPr>
        <w:t xml:space="preserve"> </w:t>
      </w:r>
      <w:r w:rsidRPr="00531B12">
        <w:rPr>
          <w:rFonts w:ascii="Abadi" w:hAnsi="Abadi"/>
          <w:b/>
          <w:bCs/>
          <w:sz w:val="20"/>
          <w:szCs w:val="20"/>
        </w:rPr>
        <w:t>DE</w:t>
      </w:r>
      <w:r w:rsidRPr="00531B12">
        <w:rPr>
          <w:rFonts w:ascii="Abadi" w:hAnsi="Abadi"/>
          <w:b/>
          <w:bCs/>
          <w:spacing w:val="40"/>
          <w:sz w:val="20"/>
          <w:szCs w:val="20"/>
        </w:rPr>
        <w:t xml:space="preserve"> </w:t>
      </w:r>
      <w:r w:rsidRPr="00531B12">
        <w:rPr>
          <w:rFonts w:ascii="Abadi" w:hAnsi="Abadi"/>
          <w:b/>
          <w:bCs/>
          <w:sz w:val="20"/>
          <w:szCs w:val="20"/>
        </w:rPr>
        <w:t>LA</w:t>
      </w:r>
      <w:r w:rsidRPr="00531B12">
        <w:rPr>
          <w:rFonts w:ascii="Abadi" w:hAnsi="Abadi"/>
          <w:b/>
          <w:bCs/>
          <w:spacing w:val="-2"/>
          <w:sz w:val="20"/>
          <w:szCs w:val="20"/>
        </w:rPr>
        <w:t xml:space="preserve"> </w:t>
      </w:r>
      <w:r w:rsidRPr="00531B12">
        <w:rPr>
          <w:rFonts w:ascii="Abadi" w:hAnsi="Abadi"/>
          <w:b/>
          <w:bCs/>
          <w:sz w:val="20"/>
          <w:szCs w:val="20"/>
        </w:rPr>
        <w:t>AUDITORÍA</w:t>
      </w:r>
      <w:r w:rsidRPr="00531B12">
        <w:rPr>
          <w:rFonts w:ascii="Abadi" w:hAnsi="Abadi"/>
          <w:b/>
          <w:bCs/>
          <w:spacing w:val="32"/>
          <w:sz w:val="20"/>
          <w:szCs w:val="20"/>
        </w:rPr>
        <w:t xml:space="preserve"> </w:t>
      </w:r>
      <w:r w:rsidRPr="00531B12">
        <w:rPr>
          <w:rFonts w:ascii="Abadi" w:hAnsi="Abadi"/>
          <w:b/>
          <w:bCs/>
          <w:sz w:val="20"/>
          <w:szCs w:val="20"/>
        </w:rPr>
        <w:t>SUPERIOR</w:t>
      </w:r>
      <w:r w:rsidRPr="00531B12">
        <w:rPr>
          <w:rFonts w:ascii="Abadi" w:hAnsi="Abadi"/>
          <w:b/>
          <w:bCs/>
          <w:spacing w:val="32"/>
          <w:sz w:val="20"/>
          <w:szCs w:val="20"/>
        </w:rPr>
        <w:t xml:space="preserve"> </w:t>
      </w:r>
      <w:r w:rsidRPr="00531B12">
        <w:rPr>
          <w:rFonts w:ascii="Abadi" w:hAnsi="Abadi"/>
          <w:b/>
          <w:bCs/>
          <w:sz w:val="20"/>
          <w:szCs w:val="20"/>
        </w:rPr>
        <w:t>DEL</w:t>
      </w:r>
      <w:r w:rsidRPr="00531B12">
        <w:rPr>
          <w:rFonts w:ascii="Abadi" w:hAnsi="Abadi"/>
          <w:b/>
          <w:bCs/>
          <w:spacing w:val="32"/>
          <w:sz w:val="20"/>
          <w:szCs w:val="20"/>
        </w:rPr>
        <w:t xml:space="preserve"> </w:t>
      </w:r>
      <w:r w:rsidRPr="00531B12">
        <w:rPr>
          <w:rFonts w:ascii="Abadi" w:hAnsi="Abadi"/>
          <w:b/>
          <w:bCs/>
          <w:sz w:val="20"/>
          <w:szCs w:val="20"/>
        </w:rPr>
        <w:t>ESTADO</w:t>
      </w:r>
      <w:r w:rsidRPr="00531B12">
        <w:rPr>
          <w:rFonts w:ascii="Abadi" w:hAnsi="Abadi"/>
          <w:b/>
          <w:bCs/>
          <w:spacing w:val="32"/>
          <w:sz w:val="20"/>
          <w:szCs w:val="20"/>
        </w:rPr>
        <w:t xml:space="preserve"> </w:t>
      </w:r>
      <w:r w:rsidRPr="00531B12">
        <w:rPr>
          <w:rFonts w:ascii="Abadi" w:hAnsi="Abadi"/>
          <w:b/>
          <w:bCs/>
          <w:sz w:val="20"/>
          <w:szCs w:val="20"/>
        </w:rPr>
        <w:t>DE</w:t>
      </w:r>
      <w:r w:rsidRPr="00531B12">
        <w:rPr>
          <w:rFonts w:ascii="Abadi" w:hAnsi="Abadi"/>
          <w:b/>
          <w:bCs/>
          <w:spacing w:val="32"/>
          <w:sz w:val="20"/>
          <w:szCs w:val="20"/>
        </w:rPr>
        <w:t xml:space="preserve"> </w:t>
      </w:r>
      <w:r w:rsidRPr="00531B12">
        <w:rPr>
          <w:rFonts w:ascii="Abadi" w:hAnsi="Abadi"/>
          <w:b/>
          <w:bCs/>
          <w:sz w:val="20"/>
          <w:szCs w:val="20"/>
        </w:rPr>
        <w:t>GUANAJUATO,</w:t>
      </w:r>
      <w:r w:rsidRPr="00531B12">
        <w:rPr>
          <w:rFonts w:ascii="Abadi" w:hAnsi="Abadi"/>
          <w:b/>
          <w:bCs/>
          <w:spacing w:val="32"/>
          <w:sz w:val="20"/>
          <w:szCs w:val="20"/>
        </w:rPr>
        <w:t xml:space="preserve"> </w:t>
      </w:r>
      <w:r w:rsidRPr="00531B12">
        <w:rPr>
          <w:rFonts w:ascii="Abadi" w:hAnsi="Abadi"/>
          <w:b/>
          <w:bCs/>
          <w:sz w:val="20"/>
          <w:szCs w:val="20"/>
        </w:rPr>
        <w:t>PARA</w:t>
      </w:r>
      <w:r w:rsidRPr="00531B12">
        <w:rPr>
          <w:rFonts w:ascii="Abadi" w:hAnsi="Abadi"/>
          <w:b/>
          <w:bCs/>
          <w:spacing w:val="33"/>
          <w:sz w:val="20"/>
          <w:szCs w:val="20"/>
        </w:rPr>
        <w:t xml:space="preserve"> </w:t>
      </w:r>
      <w:r w:rsidRPr="00531B12">
        <w:rPr>
          <w:rFonts w:ascii="Abadi" w:hAnsi="Abadi"/>
          <w:b/>
          <w:bCs/>
          <w:sz w:val="20"/>
          <w:szCs w:val="20"/>
        </w:rPr>
        <w:t>QUE</w:t>
      </w:r>
      <w:r w:rsidRPr="00531B12">
        <w:rPr>
          <w:rFonts w:ascii="Abadi" w:hAnsi="Abadi"/>
          <w:b/>
          <w:bCs/>
          <w:spacing w:val="33"/>
          <w:sz w:val="20"/>
          <w:szCs w:val="20"/>
        </w:rPr>
        <w:t xml:space="preserve"> </w:t>
      </w:r>
      <w:r w:rsidRPr="00531B12">
        <w:rPr>
          <w:rFonts w:ascii="Abadi" w:hAnsi="Abadi"/>
          <w:b/>
          <w:bCs/>
          <w:sz w:val="20"/>
          <w:szCs w:val="20"/>
        </w:rPr>
        <w:t>LLEVE</w:t>
      </w:r>
      <w:r w:rsidRPr="00531B12">
        <w:rPr>
          <w:rFonts w:ascii="Abadi" w:hAnsi="Abadi"/>
          <w:b/>
          <w:bCs/>
          <w:spacing w:val="32"/>
          <w:sz w:val="20"/>
          <w:szCs w:val="20"/>
        </w:rPr>
        <w:t xml:space="preserve"> </w:t>
      </w:r>
      <w:r w:rsidRPr="00531B12">
        <w:rPr>
          <w:rFonts w:ascii="Abadi" w:hAnsi="Abadi"/>
          <w:b/>
          <w:bCs/>
          <w:sz w:val="20"/>
          <w:szCs w:val="20"/>
        </w:rPr>
        <w:t>A</w:t>
      </w:r>
      <w:r w:rsidRPr="00531B12">
        <w:rPr>
          <w:rFonts w:ascii="Abadi" w:hAnsi="Abadi"/>
          <w:b/>
          <w:bCs/>
          <w:spacing w:val="32"/>
          <w:sz w:val="20"/>
          <w:szCs w:val="20"/>
        </w:rPr>
        <w:t xml:space="preserve"> </w:t>
      </w:r>
      <w:r w:rsidRPr="00531B12">
        <w:rPr>
          <w:rFonts w:ascii="Abadi" w:hAnsi="Abadi"/>
          <w:b/>
          <w:bCs/>
          <w:sz w:val="20"/>
          <w:szCs w:val="20"/>
        </w:rPr>
        <w:t>CABO</w:t>
      </w:r>
      <w:r w:rsidRPr="00531B12">
        <w:rPr>
          <w:rFonts w:ascii="Abadi" w:hAnsi="Abadi"/>
          <w:b/>
          <w:bCs/>
          <w:spacing w:val="32"/>
          <w:sz w:val="20"/>
          <w:szCs w:val="20"/>
        </w:rPr>
        <w:t xml:space="preserve"> </w:t>
      </w:r>
      <w:r w:rsidRPr="00531B12">
        <w:rPr>
          <w:rFonts w:ascii="Abadi" w:hAnsi="Abadi"/>
          <w:b/>
          <w:bCs/>
          <w:sz w:val="20"/>
          <w:szCs w:val="20"/>
        </w:rPr>
        <w:t>UNA</w:t>
      </w:r>
      <w:r w:rsidRPr="00531B12">
        <w:rPr>
          <w:rFonts w:ascii="Abadi" w:hAnsi="Abadi"/>
          <w:b/>
          <w:bCs/>
          <w:spacing w:val="-2"/>
          <w:sz w:val="20"/>
          <w:szCs w:val="20"/>
        </w:rPr>
        <w:t xml:space="preserve"> </w:t>
      </w:r>
      <w:r w:rsidRPr="00531B12">
        <w:rPr>
          <w:rFonts w:ascii="Abadi" w:hAnsi="Abadi"/>
          <w:b/>
          <w:bCs/>
          <w:sz w:val="20"/>
          <w:szCs w:val="20"/>
        </w:rPr>
        <w:t>AUDITORÍA</w:t>
      </w:r>
      <w:r w:rsidRPr="00531B12">
        <w:rPr>
          <w:rFonts w:ascii="Abadi" w:hAnsi="Abadi"/>
          <w:b/>
          <w:bCs/>
          <w:spacing w:val="36"/>
          <w:sz w:val="20"/>
          <w:szCs w:val="20"/>
        </w:rPr>
        <w:t xml:space="preserve"> </w:t>
      </w:r>
      <w:r w:rsidRPr="00531B12">
        <w:rPr>
          <w:rFonts w:ascii="Abadi" w:hAnsi="Abadi"/>
          <w:b/>
          <w:bCs/>
          <w:sz w:val="20"/>
          <w:szCs w:val="20"/>
        </w:rPr>
        <w:t>FINANCIERA</w:t>
      </w:r>
      <w:r w:rsidRPr="00531B12">
        <w:rPr>
          <w:rFonts w:ascii="Abadi" w:hAnsi="Abadi"/>
          <w:b/>
          <w:bCs/>
          <w:spacing w:val="36"/>
          <w:sz w:val="20"/>
          <w:szCs w:val="20"/>
        </w:rPr>
        <w:t xml:space="preserve"> </w:t>
      </w:r>
      <w:r w:rsidRPr="00531B12">
        <w:rPr>
          <w:rFonts w:ascii="Abadi" w:hAnsi="Abadi"/>
          <w:b/>
          <w:bCs/>
          <w:sz w:val="20"/>
          <w:szCs w:val="20"/>
        </w:rPr>
        <w:t>INTEGRAL</w:t>
      </w:r>
      <w:r w:rsidRPr="00531B12">
        <w:rPr>
          <w:rFonts w:ascii="Abadi" w:hAnsi="Abadi"/>
          <w:b/>
          <w:bCs/>
          <w:spacing w:val="35"/>
          <w:sz w:val="20"/>
          <w:szCs w:val="20"/>
        </w:rPr>
        <w:t xml:space="preserve"> </w:t>
      </w:r>
      <w:r w:rsidRPr="00531B12">
        <w:rPr>
          <w:rFonts w:ascii="Abadi" w:hAnsi="Abadi"/>
          <w:b/>
          <w:bCs/>
          <w:sz w:val="20"/>
          <w:szCs w:val="20"/>
        </w:rPr>
        <w:t>AL</w:t>
      </w:r>
      <w:r w:rsidRPr="00531B12">
        <w:rPr>
          <w:rFonts w:ascii="Abadi" w:hAnsi="Abadi"/>
          <w:b/>
          <w:bCs/>
          <w:spacing w:val="35"/>
          <w:sz w:val="20"/>
          <w:szCs w:val="20"/>
        </w:rPr>
        <w:t xml:space="preserve"> </w:t>
      </w:r>
      <w:r w:rsidRPr="00531B12">
        <w:rPr>
          <w:rFonts w:ascii="Abadi" w:hAnsi="Abadi"/>
          <w:b/>
          <w:bCs/>
          <w:sz w:val="20"/>
          <w:szCs w:val="20"/>
        </w:rPr>
        <w:t>MUNICIPIO</w:t>
      </w:r>
      <w:r w:rsidRPr="00531B12">
        <w:rPr>
          <w:rFonts w:ascii="Abadi" w:hAnsi="Abadi"/>
          <w:b/>
          <w:bCs/>
          <w:spacing w:val="36"/>
          <w:sz w:val="20"/>
          <w:szCs w:val="20"/>
        </w:rPr>
        <w:t xml:space="preserve"> </w:t>
      </w:r>
      <w:r w:rsidRPr="00531B12">
        <w:rPr>
          <w:rFonts w:ascii="Abadi" w:hAnsi="Abadi"/>
          <w:b/>
          <w:bCs/>
          <w:sz w:val="20"/>
          <w:szCs w:val="20"/>
        </w:rPr>
        <w:t>DE</w:t>
      </w:r>
      <w:r w:rsidRPr="00531B12">
        <w:rPr>
          <w:rFonts w:ascii="Abadi" w:hAnsi="Abadi"/>
          <w:b/>
          <w:bCs/>
          <w:spacing w:val="36"/>
          <w:sz w:val="20"/>
          <w:szCs w:val="20"/>
        </w:rPr>
        <w:t xml:space="preserve"> </w:t>
      </w:r>
      <w:r w:rsidRPr="00531B12">
        <w:rPr>
          <w:rFonts w:ascii="Abadi" w:hAnsi="Abadi"/>
          <w:b/>
          <w:bCs/>
          <w:sz w:val="20"/>
          <w:szCs w:val="20"/>
        </w:rPr>
        <w:t>SILAO,</w:t>
      </w:r>
      <w:r w:rsidRPr="00531B12">
        <w:rPr>
          <w:rFonts w:ascii="Abadi" w:hAnsi="Abadi"/>
          <w:b/>
          <w:bCs/>
          <w:spacing w:val="36"/>
          <w:sz w:val="20"/>
          <w:szCs w:val="20"/>
        </w:rPr>
        <w:t xml:space="preserve"> </w:t>
      </w:r>
      <w:r w:rsidRPr="00531B12">
        <w:rPr>
          <w:rFonts w:ascii="Abadi" w:hAnsi="Abadi"/>
          <w:b/>
          <w:bCs/>
          <w:sz w:val="20"/>
          <w:szCs w:val="20"/>
        </w:rPr>
        <w:t>GTO.,</w:t>
      </w:r>
      <w:r w:rsidRPr="00531B12">
        <w:rPr>
          <w:rFonts w:ascii="Abadi" w:hAnsi="Abadi"/>
          <w:b/>
          <w:bCs/>
          <w:spacing w:val="36"/>
          <w:sz w:val="20"/>
          <w:szCs w:val="20"/>
        </w:rPr>
        <w:t xml:space="preserve"> </w:t>
      </w:r>
      <w:r w:rsidRPr="00531B12">
        <w:rPr>
          <w:rFonts w:ascii="Abadi" w:hAnsi="Abadi"/>
          <w:b/>
          <w:bCs/>
          <w:sz w:val="20"/>
          <w:szCs w:val="20"/>
        </w:rPr>
        <w:t>POR</w:t>
      </w:r>
      <w:r w:rsidRPr="00531B12">
        <w:rPr>
          <w:rFonts w:ascii="Abadi" w:hAnsi="Abadi"/>
          <w:b/>
          <w:bCs/>
          <w:spacing w:val="36"/>
          <w:sz w:val="20"/>
          <w:szCs w:val="20"/>
        </w:rPr>
        <w:t xml:space="preserve"> </w:t>
      </w:r>
      <w:r w:rsidRPr="00531B12">
        <w:rPr>
          <w:rFonts w:ascii="Abadi" w:hAnsi="Abadi"/>
          <w:b/>
          <w:bCs/>
          <w:sz w:val="20"/>
          <w:szCs w:val="20"/>
        </w:rPr>
        <w:t>LOS</w:t>
      </w:r>
      <w:r w:rsidRPr="00531B12">
        <w:rPr>
          <w:rFonts w:ascii="Abadi" w:hAnsi="Abadi"/>
          <w:b/>
          <w:bCs/>
          <w:spacing w:val="36"/>
          <w:sz w:val="20"/>
          <w:szCs w:val="20"/>
        </w:rPr>
        <w:t xml:space="preserve"> </w:t>
      </w:r>
      <w:r w:rsidRPr="00531B12">
        <w:rPr>
          <w:rFonts w:ascii="Abadi" w:hAnsi="Abadi"/>
          <w:b/>
          <w:bCs/>
          <w:sz w:val="20"/>
          <w:szCs w:val="20"/>
        </w:rPr>
        <w:t>EJERCICIOS</w:t>
      </w:r>
      <w:r w:rsidRPr="00531B12">
        <w:rPr>
          <w:rFonts w:ascii="Abadi" w:hAnsi="Abadi"/>
          <w:b/>
          <w:bCs/>
          <w:spacing w:val="-2"/>
          <w:sz w:val="20"/>
          <w:szCs w:val="20"/>
        </w:rPr>
        <w:t xml:space="preserve"> </w:t>
      </w:r>
      <w:r w:rsidRPr="00531B12">
        <w:rPr>
          <w:rFonts w:ascii="Abadi" w:hAnsi="Abadi"/>
          <w:b/>
          <w:bCs/>
          <w:sz w:val="20"/>
          <w:szCs w:val="20"/>
        </w:rPr>
        <w:t>FISCALES</w:t>
      </w:r>
      <w:r w:rsidRPr="00531B12">
        <w:rPr>
          <w:rFonts w:ascii="Abadi" w:hAnsi="Abadi"/>
          <w:b/>
          <w:bCs/>
          <w:spacing w:val="27"/>
          <w:sz w:val="20"/>
          <w:szCs w:val="20"/>
        </w:rPr>
        <w:t xml:space="preserve"> </w:t>
      </w:r>
      <w:r w:rsidRPr="00531B12">
        <w:rPr>
          <w:rFonts w:ascii="Abadi" w:hAnsi="Abadi"/>
          <w:b/>
          <w:bCs/>
          <w:sz w:val="20"/>
          <w:szCs w:val="20"/>
        </w:rPr>
        <w:t>DE</w:t>
      </w:r>
      <w:r w:rsidRPr="00531B12">
        <w:rPr>
          <w:rFonts w:ascii="Abadi" w:hAnsi="Abadi"/>
          <w:b/>
          <w:bCs/>
          <w:spacing w:val="27"/>
          <w:sz w:val="20"/>
          <w:szCs w:val="20"/>
        </w:rPr>
        <w:t xml:space="preserve"> </w:t>
      </w:r>
      <w:r w:rsidRPr="00531B12">
        <w:rPr>
          <w:rFonts w:ascii="Abadi" w:hAnsi="Abadi"/>
          <w:b/>
          <w:bCs/>
          <w:sz w:val="20"/>
          <w:szCs w:val="20"/>
        </w:rPr>
        <w:t>2019,</w:t>
      </w:r>
      <w:r w:rsidRPr="00531B12">
        <w:rPr>
          <w:rFonts w:ascii="Abadi" w:hAnsi="Abadi"/>
          <w:b/>
          <w:bCs/>
          <w:spacing w:val="27"/>
          <w:sz w:val="20"/>
          <w:szCs w:val="20"/>
        </w:rPr>
        <w:t xml:space="preserve"> </w:t>
      </w:r>
      <w:r w:rsidRPr="00531B12">
        <w:rPr>
          <w:rFonts w:ascii="Abadi" w:hAnsi="Abadi"/>
          <w:b/>
          <w:bCs/>
          <w:sz w:val="20"/>
          <w:szCs w:val="20"/>
        </w:rPr>
        <w:t>2020</w:t>
      </w:r>
      <w:r w:rsidRPr="00531B12">
        <w:rPr>
          <w:rFonts w:ascii="Abadi" w:hAnsi="Abadi"/>
          <w:b/>
          <w:bCs/>
          <w:spacing w:val="27"/>
          <w:sz w:val="20"/>
          <w:szCs w:val="20"/>
        </w:rPr>
        <w:t xml:space="preserve"> </w:t>
      </w:r>
      <w:r w:rsidRPr="00531B12">
        <w:rPr>
          <w:rFonts w:ascii="Abadi" w:hAnsi="Abadi"/>
          <w:b/>
          <w:bCs/>
          <w:sz w:val="20"/>
          <w:szCs w:val="20"/>
        </w:rPr>
        <w:t>Y</w:t>
      </w:r>
      <w:r w:rsidRPr="00531B12">
        <w:rPr>
          <w:rFonts w:ascii="Abadi" w:hAnsi="Abadi"/>
          <w:b/>
          <w:bCs/>
          <w:spacing w:val="27"/>
          <w:sz w:val="20"/>
          <w:szCs w:val="20"/>
        </w:rPr>
        <w:t xml:space="preserve"> </w:t>
      </w:r>
      <w:r w:rsidRPr="00531B12">
        <w:rPr>
          <w:rFonts w:ascii="Abadi" w:hAnsi="Abadi"/>
          <w:b/>
          <w:bCs/>
          <w:sz w:val="20"/>
          <w:szCs w:val="20"/>
        </w:rPr>
        <w:t>2021;</w:t>
      </w:r>
      <w:r w:rsidRPr="00531B12">
        <w:rPr>
          <w:rFonts w:ascii="Abadi" w:hAnsi="Abadi"/>
          <w:b/>
          <w:bCs/>
          <w:spacing w:val="27"/>
          <w:sz w:val="20"/>
          <w:szCs w:val="20"/>
        </w:rPr>
        <w:t xml:space="preserve"> </w:t>
      </w:r>
      <w:r w:rsidRPr="00531B12">
        <w:rPr>
          <w:rFonts w:ascii="Abadi" w:hAnsi="Abadi"/>
          <w:b/>
          <w:bCs/>
          <w:sz w:val="20"/>
          <w:szCs w:val="20"/>
        </w:rPr>
        <w:t>Y</w:t>
      </w:r>
      <w:r w:rsidRPr="00531B12">
        <w:rPr>
          <w:rFonts w:ascii="Abadi" w:hAnsi="Abadi"/>
          <w:b/>
          <w:bCs/>
          <w:spacing w:val="27"/>
          <w:sz w:val="20"/>
          <w:szCs w:val="20"/>
        </w:rPr>
        <w:t xml:space="preserve"> </w:t>
      </w:r>
      <w:r w:rsidRPr="00531B12">
        <w:rPr>
          <w:rFonts w:ascii="Abadi" w:hAnsi="Abadi"/>
          <w:b/>
          <w:bCs/>
          <w:sz w:val="20"/>
          <w:szCs w:val="20"/>
        </w:rPr>
        <w:t>REALICE</w:t>
      </w:r>
      <w:r w:rsidRPr="00531B12">
        <w:rPr>
          <w:rFonts w:ascii="Abadi" w:hAnsi="Abadi"/>
          <w:b/>
          <w:bCs/>
          <w:spacing w:val="27"/>
          <w:sz w:val="20"/>
          <w:szCs w:val="20"/>
        </w:rPr>
        <w:t xml:space="preserve"> </w:t>
      </w:r>
      <w:r w:rsidRPr="00531B12">
        <w:rPr>
          <w:rFonts w:ascii="Abadi" w:hAnsi="Abadi"/>
          <w:b/>
          <w:bCs/>
          <w:sz w:val="20"/>
          <w:szCs w:val="20"/>
        </w:rPr>
        <w:t>LAS</w:t>
      </w:r>
      <w:r w:rsidRPr="00531B12">
        <w:rPr>
          <w:rFonts w:ascii="Abadi" w:hAnsi="Abadi"/>
          <w:b/>
          <w:bCs/>
          <w:spacing w:val="27"/>
          <w:sz w:val="20"/>
          <w:szCs w:val="20"/>
        </w:rPr>
        <w:t xml:space="preserve"> </w:t>
      </w:r>
      <w:r w:rsidRPr="00531B12">
        <w:rPr>
          <w:rFonts w:ascii="Abadi" w:hAnsi="Abadi"/>
          <w:b/>
          <w:bCs/>
          <w:sz w:val="20"/>
          <w:szCs w:val="20"/>
        </w:rPr>
        <w:t>INVESTIGACIONES</w:t>
      </w:r>
      <w:r w:rsidRPr="00531B12">
        <w:rPr>
          <w:rFonts w:ascii="Abadi" w:hAnsi="Abadi"/>
          <w:b/>
          <w:bCs/>
          <w:spacing w:val="27"/>
          <w:sz w:val="20"/>
          <w:szCs w:val="20"/>
        </w:rPr>
        <w:t xml:space="preserve"> </w:t>
      </w:r>
      <w:r w:rsidRPr="00531B12">
        <w:rPr>
          <w:rFonts w:ascii="Abadi" w:hAnsi="Abadi"/>
          <w:b/>
          <w:bCs/>
          <w:sz w:val="20"/>
          <w:szCs w:val="20"/>
        </w:rPr>
        <w:t>NECESARIAS</w:t>
      </w:r>
      <w:r w:rsidRPr="00531B12">
        <w:rPr>
          <w:rFonts w:ascii="Abadi" w:hAnsi="Abadi"/>
          <w:b/>
          <w:bCs/>
          <w:spacing w:val="27"/>
          <w:sz w:val="20"/>
          <w:szCs w:val="20"/>
        </w:rPr>
        <w:t xml:space="preserve"> </w:t>
      </w:r>
      <w:r w:rsidRPr="00531B12">
        <w:rPr>
          <w:rFonts w:ascii="Abadi" w:hAnsi="Abadi"/>
          <w:b/>
          <w:bCs/>
          <w:sz w:val="20"/>
          <w:szCs w:val="20"/>
        </w:rPr>
        <w:t>E</w:t>
      </w:r>
      <w:r w:rsidRPr="00531B12">
        <w:rPr>
          <w:rFonts w:ascii="Abadi" w:hAnsi="Abadi"/>
          <w:b/>
          <w:bCs/>
          <w:spacing w:val="-2"/>
          <w:sz w:val="20"/>
          <w:szCs w:val="20"/>
        </w:rPr>
        <w:t xml:space="preserve"> </w:t>
      </w:r>
      <w:r w:rsidRPr="00531B12">
        <w:rPr>
          <w:rFonts w:ascii="Abadi" w:hAnsi="Abadi"/>
          <w:b/>
          <w:bCs/>
          <w:sz w:val="20"/>
          <w:szCs w:val="20"/>
        </w:rPr>
        <w:t>INFORME</w:t>
      </w:r>
      <w:r w:rsidRPr="00531B12">
        <w:rPr>
          <w:rFonts w:ascii="Abadi" w:hAnsi="Abadi"/>
          <w:b/>
          <w:bCs/>
          <w:spacing w:val="53"/>
          <w:w w:val="150"/>
          <w:sz w:val="20"/>
          <w:szCs w:val="20"/>
        </w:rPr>
        <w:t xml:space="preserve"> </w:t>
      </w:r>
      <w:r w:rsidRPr="00531B12">
        <w:rPr>
          <w:rFonts w:ascii="Abadi" w:hAnsi="Abadi"/>
          <w:b/>
          <w:bCs/>
          <w:sz w:val="20"/>
          <w:szCs w:val="20"/>
        </w:rPr>
        <w:t>A</w:t>
      </w:r>
      <w:r w:rsidRPr="00531B12">
        <w:rPr>
          <w:rFonts w:ascii="Abadi" w:hAnsi="Abadi"/>
          <w:b/>
          <w:bCs/>
          <w:spacing w:val="53"/>
          <w:w w:val="150"/>
          <w:sz w:val="20"/>
          <w:szCs w:val="20"/>
        </w:rPr>
        <w:t xml:space="preserve"> </w:t>
      </w:r>
      <w:r w:rsidRPr="00531B12">
        <w:rPr>
          <w:rFonts w:ascii="Abadi" w:hAnsi="Abadi"/>
          <w:b/>
          <w:bCs/>
          <w:sz w:val="20"/>
          <w:szCs w:val="20"/>
        </w:rPr>
        <w:t>LA</w:t>
      </w:r>
      <w:r w:rsidRPr="00531B12">
        <w:rPr>
          <w:rFonts w:ascii="Abadi" w:hAnsi="Abadi"/>
          <w:b/>
          <w:bCs/>
          <w:spacing w:val="53"/>
          <w:w w:val="150"/>
          <w:sz w:val="20"/>
          <w:szCs w:val="20"/>
        </w:rPr>
        <w:t xml:space="preserve"> </w:t>
      </w:r>
      <w:r w:rsidRPr="00531B12">
        <w:rPr>
          <w:rFonts w:ascii="Abadi" w:hAnsi="Abadi"/>
          <w:b/>
          <w:bCs/>
          <w:sz w:val="20"/>
          <w:szCs w:val="20"/>
        </w:rPr>
        <w:t>BREVEDAD</w:t>
      </w:r>
      <w:r w:rsidRPr="00531B12">
        <w:rPr>
          <w:rFonts w:ascii="Abadi" w:hAnsi="Abadi"/>
          <w:b/>
          <w:bCs/>
          <w:spacing w:val="53"/>
          <w:w w:val="150"/>
          <w:sz w:val="20"/>
          <w:szCs w:val="20"/>
        </w:rPr>
        <w:t xml:space="preserve"> </w:t>
      </w:r>
      <w:r w:rsidRPr="00531B12">
        <w:rPr>
          <w:rFonts w:ascii="Abadi" w:hAnsi="Abadi"/>
          <w:b/>
          <w:bCs/>
          <w:sz w:val="20"/>
          <w:szCs w:val="20"/>
        </w:rPr>
        <w:t>AL</w:t>
      </w:r>
      <w:r w:rsidRPr="00531B12">
        <w:rPr>
          <w:rFonts w:ascii="Abadi" w:hAnsi="Abadi"/>
          <w:b/>
          <w:bCs/>
          <w:spacing w:val="53"/>
          <w:w w:val="150"/>
          <w:sz w:val="20"/>
          <w:szCs w:val="20"/>
        </w:rPr>
        <w:t xml:space="preserve"> </w:t>
      </w:r>
      <w:r w:rsidRPr="00531B12">
        <w:rPr>
          <w:rFonts w:ascii="Abadi" w:hAnsi="Abadi"/>
          <w:b/>
          <w:bCs/>
          <w:sz w:val="20"/>
          <w:szCs w:val="20"/>
        </w:rPr>
        <w:t>CONGRESO</w:t>
      </w:r>
      <w:r w:rsidRPr="00531B12">
        <w:rPr>
          <w:rFonts w:ascii="Abadi" w:hAnsi="Abadi"/>
          <w:b/>
          <w:bCs/>
          <w:spacing w:val="53"/>
          <w:w w:val="150"/>
          <w:sz w:val="20"/>
          <w:szCs w:val="20"/>
        </w:rPr>
        <w:t xml:space="preserve"> </w:t>
      </w:r>
      <w:r w:rsidRPr="00531B12">
        <w:rPr>
          <w:rFonts w:ascii="Abadi" w:hAnsi="Abadi"/>
          <w:b/>
          <w:bCs/>
          <w:sz w:val="20"/>
          <w:szCs w:val="20"/>
        </w:rPr>
        <w:t>DEL</w:t>
      </w:r>
      <w:r w:rsidRPr="00531B12">
        <w:rPr>
          <w:rFonts w:ascii="Abadi" w:hAnsi="Abadi"/>
          <w:b/>
          <w:bCs/>
          <w:spacing w:val="53"/>
          <w:w w:val="150"/>
          <w:sz w:val="20"/>
          <w:szCs w:val="20"/>
        </w:rPr>
        <w:t xml:space="preserve"> </w:t>
      </w:r>
      <w:r w:rsidRPr="00531B12">
        <w:rPr>
          <w:rFonts w:ascii="Abadi" w:hAnsi="Abadi"/>
          <w:b/>
          <w:bCs/>
          <w:sz w:val="20"/>
          <w:szCs w:val="20"/>
        </w:rPr>
        <w:t>ESTADO</w:t>
      </w:r>
      <w:r w:rsidRPr="00531B12">
        <w:rPr>
          <w:rFonts w:ascii="Abadi" w:hAnsi="Abadi"/>
          <w:b/>
          <w:bCs/>
          <w:spacing w:val="53"/>
          <w:w w:val="150"/>
          <w:sz w:val="20"/>
          <w:szCs w:val="20"/>
        </w:rPr>
        <w:t xml:space="preserve"> </w:t>
      </w:r>
      <w:r w:rsidRPr="00531B12">
        <w:rPr>
          <w:rFonts w:ascii="Abadi" w:hAnsi="Abadi"/>
          <w:b/>
          <w:bCs/>
          <w:sz w:val="20"/>
          <w:szCs w:val="20"/>
        </w:rPr>
        <w:t>DE</w:t>
      </w:r>
      <w:r w:rsidRPr="00531B12">
        <w:rPr>
          <w:rFonts w:ascii="Abadi" w:hAnsi="Abadi"/>
          <w:b/>
          <w:bCs/>
          <w:spacing w:val="53"/>
          <w:w w:val="150"/>
          <w:sz w:val="20"/>
          <w:szCs w:val="20"/>
        </w:rPr>
        <w:t xml:space="preserve"> </w:t>
      </w:r>
      <w:r w:rsidRPr="00531B12">
        <w:rPr>
          <w:rFonts w:ascii="Abadi" w:hAnsi="Abadi"/>
          <w:b/>
          <w:bCs/>
          <w:sz w:val="20"/>
          <w:szCs w:val="20"/>
        </w:rPr>
        <w:t>GUANAJUATO,</w:t>
      </w:r>
      <w:r w:rsidRPr="00531B12">
        <w:rPr>
          <w:rFonts w:ascii="Abadi" w:hAnsi="Abadi"/>
          <w:b/>
          <w:bCs/>
          <w:spacing w:val="53"/>
          <w:w w:val="150"/>
          <w:sz w:val="20"/>
          <w:szCs w:val="20"/>
        </w:rPr>
        <w:t xml:space="preserve"> </w:t>
      </w:r>
      <w:r w:rsidRPr="00531B12">
        <w:rPr>
          <w:rFonts w:ascii="Abadi" w:hAnsi="Abadi"/>
          <w:b/>
          <w:bCs/>
          <w:sz w:val="20"/>
          <w:szCs w:val="20"/>
        </w:rPr>
        <w:t>SI</w:t>
      </w:r>
      <w:r w:rsidRPr="00531B12">
        <w:rPr>
          <w:rFonts w:ascii="Abadi" w:hAnsi="Abadi"/>
          <w:b/>
          <w:bCs/>
          <w:spacing w:val="53"/>
          <w:w w:val="150"/>
          <w:sz w:val="20"/>
          <w:szCs w:val="20"/>
        </w:rPr>
        <w:t xml:space="preserve"> </w:t>
      </w:r>
      <w:r w:rsidRPr="00531B12">
        <w:rPr>
          <w:rFonts w:ascii="Abadi" w:hAnsi="Abadi"/>
          <w:b/>
          <w:bCs/>
          <w:sz w:val="20"/>
          <w:szCs w:val="20"/>
        </w:rPr>
        <w:t>LA</w:t>
      </w:r>
      <w:r w:rsidRPr="00531B12">
        <w:rPr>
          <w:rFonts w:ascii="Abadi" w:hAnsi="Abadi"/>
          <w:b/>
          <w:bCs/>
          <w:spacing w:val="-2"/>
          <w:sz w:val="20"/>
          <w:szCs w:val="20"/>
        </w:rPr>
        <w:t xml:space="preserve"> </w:t>
      </w:r>
      <w:r w:rsidRPr="00531B12">
        <w:rPr>
          <w:rFonts w:ascii="Abadi" w:hAnsi="Abadi"/>
          <w:b/>
          <w:bCs/>
          <w:sz w:val="20"/>
          <w:szCs w:val="20"/>
        </w:rPr>
        <w:t>CONTRALORÍA</w:t>
      </w:r>
      <w:r w:rsidRPr="00531B12">
        <w:rPr>
          <w:rFonts w:ascii="Abadi" w:hAnsi="Abadi"/>
          <w:b/>
          <w:bCs/>
          <w:spacing w:val="48"/>
          <w:w w:val="150"/>
          <w:sz w:val="20"/>
          <w:szCs w:val="20"/>
        </w:rPr>
        <w:t xml:space="preserve"> </w:t>
      </w:r>
      <w:r w:rsidRPr="00531B12">
        <w:rPr>
          <w:rFonts w:ascii="Abadi" w:hAnsi="Abadi"/>
          <w:b/>
          <w:bCs/>
          <w:sz w:val="20"/>
          <w:szCs w:val="20"/>
        </w:rPr>
        <w:t>DEL</w:t>
      </w:r>
      <w:r w:rsidRPr="00531B12">
        <w:rPr>
          <w:rFonts w:ascii="Abadi" w:hAnsi="Abadi"/>
          <w:b/>
          <w:bCs/>
          <w:spacing w:val="48"/>
          <w:w w:val="150"/>
          <w:sz w:val="20"/>
          <w:szCs w:val="20"/>
        </w:rPr>
        <w:t xml:space="preserve"> </w:t>
      </w:r>
      <w:r w:rsidRPr="00531B12">
        <w:rPr>
          <w:rFonts w:ascii="Abadi" w:hAnsi="Abadi"/>
          <w:b/>
          <w:bCs/>
          <w:sz w:val="20"/>
          <w:szCs w:val="20"/>
        </w:rPr>
        <w:t>MUNICIPIO</w:t>
      </w:r>
      <w:r w:rsidRPr="00531B12">
        <w:rPr>
          <w:rFonts w:ascii="Abadi" w:hAnsi="Abadi"/>
          <w:b/>
          <w:bCs/>
          <w:spacing w:val="48"/>
          <w:w w:val="150"/>
          <w:sz w:val="20"/>
          <w:szCs w:val="20"/>
        </w:rPr>
        <w:t xml:space="preserve"> </w:t>
      </w:r>
      <w:r w:rsidRPr="00531B12">
        <w:rPr>
          <w:rFonts w:ascii="Abadi" w:hAnsi="Abadi"/>
          <w:b/>
          <w:bCs/>
          <w:sz w:val="20"/>
          <w:szCs w:val="20"/>
        </w:rPr>
        <w:t>DE</w:t>
      </w:r>
      <w:r w:rsidRPr="00531B12">
        <w:rPr>
          <w:rFonts w:ascii="Abadi" w:hAnsi="Abadi"/>
          <w:b/>
          <w:bCs/>
          <w:spacing w:val="48"/>
          <w:w w:val="150"/>
          <w:sz w:val="20"/>
          <w:szCs w:val="20"/>
        </w:rPr>
        <w:t xml:space="preserve"> </w:t>
      </w:r>
      <w:r w:rsidRPr="00531B12">
        <w:rPr>
          <w:rFonts w:ascii="Abadi" w:hAnsi="Abadi"/>
          <w:b/>
          <w:bCs/>
          <w:sz w:val="20"/>
          <w:szCs w:val="20"/>
        </w:rPr>
        <w:t>SILAO</w:t>
      </w:r>
      <w:r w:rsidRPr="00531B12">
        <w:rPr>
          <w:rFonts w:ascii="Abadi" w:hAnsi="Abadi"/>
          <w:b/>
          <w:bCs/>
          <w:spacing w:val="48"/>
          <w:w w:val="150"/>
          <w:sz w:val="20"/>
          <w:szCs w:val="20"/>
        </w:rPr>
        <w:t xml:space="preserve"> </w:t>
      </w:r>
      <w:r w:rsidRPr="00531B12">
        <w:rPr>
          <w:rFonts w:ascii="Abadi" w:hAnsi="Abadi"/>
          <w:b/>
          <w:bCs/>
          <w:sz w:val="20"/>
          <w:szCs w:val="20"/>
        </w:rPr>
        <w:t>INICIÓ</w:t>
      </w:r>
      <w:r w:rsidRPr="00531B12">
        <w:rPr>
          <w:rFonts w:ascii="Abadi" w:hAnsi="Abadi"/>
          <w:b/>
          <w:bCs/>
          <w:spacing w:val="80"/>
          <w:sz w:val="20"/>
          <w:szCs w:val="20"/>
        </w:rPr>
        <w:t xml:space="preserve"> </w:t>
      </w:r>
      <w:r w:rsidRPr="00531B12">
        <w:rPr>
          <w:rFonts w:ascii="Abadi" w:hAnsi="Abadi"/>
          <w:b/>
          <w:bCs/>
          <w:sz w:val="20"/>
          <w:szCs w:val="20"/>
        </w:rPr>
        <w:t>PROCESO</w:t>
      </w:r>
      <w:r w:rsidRPr="00531B12">
        <w:rPr>
          <w:rFonts w:ascii="Abadi" w:hAnsi="Abadi"/>
          <w:b/>
          <w:bCs/>
          <w:spacing w:val="48"/>
          <w:w w:val="150"/>
          <w:sz w:val="20"/>
          <w:szCs w:val="20"/>
        </w:rPr>
        <w:t xml:space="preserve"> </w:t>
      </w:r>
      <w:r w:rsidRPr="00531B12">
        <w:rPr>
          <w:rFonts w:ascii="Abadi" w:hAnsi="Abadi"/>
          <w:b/>
          <w:bCs/>
          <w:sz w:val="20"/>
          <w:szCs w:val="20"/>
        </w:rPr>
        <w:t>ALGUNO</w:t>
      </w:r>
      <w:r w:rsidRPr="00531B12">
        <w:rPr>
          <w:rFonts w:ascii="Abadi" w:hAnsi="Abadi"/>
          <w:b/>
          <w:bCs/>
          <w:spacing w:val="48"/>
          <w:w w:val="150"/>
          <w:sz w:val="20"/>
          <w:szCs w:val="20"/>
        </w:rPr>
        <w:t xml:space="preserve"> </w:t>
      </w:r>
      <w:r w:rsidRPr="00531B12">
        <w:rPr>
          <w:rFonts w:ascii="Abadi" w:hAnsi="Abadi"/>
          <w:b/>
          <w:bCs/>
          <w:sz w:val="20"/>
          <w:szCs w:val="20"/>
        </w:rPr>
        <w:t>CONTRA</w:t>
      </w:r>
      <w:r w:rsidRPr="00531B12">
        <w:rPr>
          <w:rFonts w:ascii="Abadi" w:hAnsi="Abadi"/>
          <w:b/>
          <w:bCs/>
          <w:spacing w:val="48"/>
          <w:w w:val="150"/>
          <w:sz w:val="20"/>
          <w:szCs w:val="20"/>
        </w:rPr>
        <w:t xml:space="preserve"> </w:t>
      </w:r>
      <w:r w:rsidRPr="00531B12">
        <w:rPr>
          <w:rFonts w:ascii="Abadi" w:hAnsi="Abadi"/>
          <w:b/>
          <w:bCs/>
          <w:sz w:val="20"/>
          <w:szCs w:val="20"/>
        </w:rPr>
        <w:t>QUIEN</w:t>
      </w:r>
      <w:r w:rsidRPr="00531B12">
        <w:rPr>
          <w:rFonts w:ascii="Abadi" w:hAnsi="Abadi"/>
          <w:b/>
          <w:bCs/>
          <w:spacing w:val="-2"/>
          <w:sz w:val="20"/>
          <w:szCs w:val="20"/>
        </w:rPr>
        <w:t xml:space="preserve"> </w:t>
      </w:r>
      <w:r w:rsidRPr="00531B12">
        <w:rPr>
          <w:rFonts w:ascii="Abadi" w:hAnsi="Abadi"/>
          <w:b/>
          <w:bCs/>
          <w:sz w:val="20"/>
          <w:szCs w:val="20"/>
        </w:rPr>
        <w:t>RESULTARA</w:t>
      </w:r>
      <w:r w:rsidRPr="00531B12">
        <w:rPr>
          <w:rFonts w:ascii="Abadi" w:hAnsi="Abadi"/>
          <w:b/>
          <w:bCs/>
          <w:spacing w:val="25"/>
          <w:sz w:val="20"/>
          <w:szCs w:val="20"/>
        </w:rPr>
        <w:t xml:space="preserve">  </w:t>
      </w:r>
      <w:r w:rsidRPr="00531B12">
        <w:rPr>
          <w:rFonts w:ascii="Abadi" w:hAnsi="Abadi"/>
          <w:b/>
          <w:bCs/>
          <w:sz w:val="20"/>
          <w:szCs w:val="20"/>
        </w:rPr>
        <w:t>RESPONSABLE</w:t>
      </w:r>
      <w:r w:rsidRPr="00531B12">
        <w:rPr>
          <w:rFonts w:ascii="Abadi" w:hAnsi="Abadi"/>
          <w:b/>
          <w:bCs/>
          <w:spacing w:val="24"/>
          <w:sz w:val="20"/>
          <w:szCs w:val="20"/>
        </w:rPr>
        <w:t xml:space="preserve">  </w:t>
      </w:r>
      <w:r w:rsidRPr="00531B12">
        <w:rPr>
          <w:rFonts w:ascii="Abadi" w:hAnsi="Abadi"/>
          <w:b/>
          <w:bCs/>
          <w:sz w:val="20"/>
          <w:szCs w:val="20"/>
        </w:rPr>
        <w:t>POR</w:t>
      </w:r>
      <w:r w:rsidRPr="00531B12">
        <w:rPr>
          <w:rFonts w:ascii="Abadi" w:hAnsi="Abadi"/>
          <w:b/>
          <w:bCs/>
          <w:spacing w:val="24"/>
          <w:sz w:val="20"/>
          <w:szCs w:val="20"/>
        </w:rPr>
        <w:t xml:space="preserve">  </w:t>
      </w:r>
      <w:r w:rsidRPr="00531B12">
        <w:rPr>
          <w:rFonts w:ascii="Abadi" w:hAnsi="Abadi"/>
          <w:b/>
          <w:bCs/>
          <w:sz w:val="20"/>
          <w:szCs w:val="20"/>
        </w:rPr>
        <w:t>LAS</w:t>
      </w:r>
      <w:r w:rsidRPr="00531B12">
        <w:rPr>
          <w:rFonts w:ascii="Abadi" w:hAnsi="Abadi"/>
          <w:b/>
          <w:bCs/>
          <w:spacing w:val="25"/>
          <w:sz w:val="20"/>
          <w:szCs w:val="20"/>
        </w:rPr>
        <w:t xml:space="preserve">  </w:t>
      </w:r>
      <w:r w:rsidRPr="00531B12">
        <w:rPr>
          <w:rFonts w:ascii="Abadi" w:hAnsi="Abadi"/>
          <w:b/>
          <w:bCs/>
          <w:sz w:val="20"/>
          <w:szCs w:val="20"/>
        </w:rPr>
        <w:t>OBSERVACIONES</w:t>
      </w:r>
      <w:r w:rsidRPr="00531B12">
        <w:rPr>
          <w:rFonts w:ascii="Abadi" w:hAnsi="Abadi"/>
          <w:b/>
          <w:bCs/>
          <w:spacing w:val="25"/>
          <w:sz w:val="20"/>
          <w:szCs w:val="20"/>
        </w:rPr>
        <w:t xml:space="preserve">  </w:t>
      </w:r>
      <w:r w:rsidRPr="00531B12">
        <w:rPr>
          <w:rFonts w:ascii="Abadi" w:hAnsi="Abadi"/>
          <w:b/>
          <w:bCs/>
          <w:sz w:val="20"/>
          <w:szCs w:val="20"/>
        </w:rPr>
        <w:t>NO</w:t>
      </w:r>
      <w:r w:rsidRPr="00531B12">
        <w:rPr>
          <w:rFonts w:ascii="Abadi" w:hAnsi="Abadi"/>
          <w:b/>
          <w:bCs/>
          <w:spacing w:val="24"/>
          <w:sz w:val="20"/>
          <w:szCs w:val="20"/>
        </w:rPr>
        <w:t xml:space="preserve">  </w:t>
      </w:r>
      <w:r w:rsidRPr="00531B12">
        <w:rPr>
          <w:rFonts w:ascii="Abadi" w:hAnsi="Abadi"/>
          <w:b/>
          <w:bCs/>
          <w:sz w:val="20"/>
          <w:szCs w:val="20"/>
        </w:rPr>
        <w:t>SOLVENTADAS</w:t>
      </w:r>
      <w:r w:rsidRPr="00531B12">
        <w:rPr>
          <w:rFonts w:ascii="Abadi" w:hAnsi="Abadi"/>
          <w:b/>
          <w:bCs/>
          <w:spacing w:val="24"/>
          <w:sz w:val="20"/>
          <w:szCs w:val="20"/>
        </w:rPr>
        <w:t xml:space="preserve">  </w:t>
      </w:r>
      <w:r w:rsidRPr="00531B12">
        <w:rPr>
          <w:rFonts w:ascii="Abadi" w:hAnsi="Abadi"/>
          <w:b/>
          <w:bCs/>
          <w:sz w:val="20"/>
          <w:szCs w:val="20"/>
        </w:rPr>
        <w:t>DE</w:t>
      </w:r>
      <w:r w:rsidRPr="00531B12">
        <w:rPr>
          <w:rFonts w:ascii="Abadi" w:hAnsi="Abadi"/>
          <w:b/>
          <w:bCs/>
          <w:spacing w:val="24"/>
          <w:sz w:val="20"/>
          <w:szCs w:val="20"/>
        </w:rPr>
        <w:t xml:space="preserve">  </w:t>
      </w:r>
      <w:r w:rsidRPr="00531B12">
        <w:rPr>
          <w:rFonts w:ascii="Abadi" w:hAnsi="Abadi"/>
          <w:b/>
          <w:bCs/>
          <w:sz w:val="20"/>
          <w:szCs w:val="20"/>
        </w:rPr>
        <w:t>LAS</w:t>
      </w:r>
      <w:r w:rsidRPr="00531B12">
        <w:rPr>
          <w:rFonts w:ascii="Abadi" w:hAnsi="Abadi"/>
          <w:b/>
          <w:bCs/>
          <w:spacing w:val="-2"/>
          <w:sz w:val="20"/>
          <w:szCs w:val="20"/>
        </w:rPr>
        <w:t xml:space="preserve"> </w:t>
      </w:r>
      <w:r w:rsidRPr="00531B12">
        <w:rPr>
          <w:rFonts w:ascii="Abadi" w:hAnsi="Abadi"/>
          <w:b/>
          <w:bCs/>
          <w:sz w:val="20"/>
          <w:szCs w:val="20"/>
        </w:rPr>
        <w:t>AUDITORÍAS</w:t>
      </w:r>
      <w:r w:rsidRPr="00531B12">
        <w:rPr>
          <w:rFonts w:ascii="Abadi" w:hAnsi="Abadi"/>
          <w:b/>
          <w:bCs/>
          <w:spacing w:val="-1"/>
          <w:sz w:val="20"/>
          <w:szCs w:val="20"/>
        </w:rPr>
        <w:t xml:space="preserve"> </w:t>
      </w:r>
      <w:r w:rsidRPr="00531B12">
        <w:rPr>
          <w:rFonts w:ascii="Abadi" w:hAnsi="Abadi"/>
          <w:b/>
          <w:bCs/>
          <w:sz w:val="20"/>
          <w:szCs w:val="20"/>
        </w:rPr>
        <w:t>PRACTICADAS</w:t>
      </w:r>
      <w:r w:rsidRPr="00531B12">
        <w:rPr>
          <w:rFonts w:ascii="Abadi" w:hAnsi="Abadi"/>
          <w:b/>
          <w:bCs/>
          <w:spacing w:val="-1"/>
          <w:sz w:val="20"/>
          <w:szCs w:val="20"/>
        </w:rPr>
        <w:t xml:space="preserve"> </w:t>
      </w:r>
      <w:r w:rsidRPr="00531B12">
        <w:rPr>
          <w:rFonts w:ascii="Abadi" w:hAnsi="Abadi"/>
          <w:b/>
          <w:bCs/>
          <w:sz w:val="20"/>
          <w:szCs w:val="20"/>
        </w:rPr>
        <w:t>A</w:t>
      </w:r>
      <w:r w:rsidRPr="00531B12">
        <w:rPr>
          <w:rFonts w:ascii="Abadi" w:hAnsi="Abadi"/>
          <w:b/>
          <w:bCs/>
          <w:spacing w:val="-1"/>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ADMINISTRACIÓN</w:t>
      </w:r>
      <w:r w:rsidRPr="00531B12">
        <w:rPr>
          <w:rFonts w:ascii="Abadi" w:hAnsi="Abadi"/>
          <w:b/>
          <w:bCs/>
          <w:spacing w:val="-1"/>
          <w:sz w:val="20"/>
          <w:szCs w:val="20"/>
        </w:rPr>
        <w:t xml:space="preserve"> </w:t>
      </w:r>
      <w:r w:rsidRPr="00531B12">
        <w:rPr>
          <w:rFonts w:ascii="Abadi" w:hAnsi="Abadi"/>
          <w:b/>
          <w:bCs/>
          <w:sz w:val="20"/>
          <w:szCs w:val="20"/>
        </w:rPr>
        <w:t>2018-2021</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DICHO</w:t>
      </w:r>
      <w:r w:rsidRPr="00531B12">
        <w:rPr>
          <w:rFonts w:ascii="Abadi" w:hAnsi="Abadi"/>
          <w:b/>
          <w:bCs/>
          <w:spacing w:val="-1"/>
          <w:sz w:val="20"/>
          <w:szCs w:val="20"/>
        </w:rPr>
        <w:t xml:space="preserve"> </w:t>
      </w:r>
      <w:r w:rsidRPr="00531B12">
        <w:rPr>
          <w:rFonts w:ascii="Abadi" w:hAnsi="Abadi"/>
          <w:b/>
          <w:bCs/>
          <w:sz w:val="20"/>
          <w:szCs w:val="20"/>
        </w:rPr>
        <w:t>MUNICIPIO.</w:t>
      </w:r>
    </w:p>
    <w:p w14:paraId="1AC58796" w14:textId="0ED5EAF2" w:rsidR="00B60092" w:rsidRDefault="00B60092" w:rsidP="00AB0472">
      <w:pPr>
        <w:rPr>
          <w:rFonts w:ascii="Abadi" w:hAnsi="Abadi"/>
          <w:sz w:val="20"/>
          <w:szCs w:val="20"/>
        </w:rPr>
      </w:pPr>
    </w:p>
    <w:p w14:paraId="26F4AC75" w14:textId="77777777" w:rsidR="009E1A38" w:rsidRPr="009E1A38" w:rsidRDefault="009E1A38" w:rsidP="009E1A38">
      <w:pPr>
        <w:rPr>
          <w:rFonts w:ascii="Abadi" w:hAnsi="Abadi"/>
          <w:b/>
          <w:iCs/>
          <w:sz w:val="20"/>
          <w:szCs w:val="20"/>
          <w:lang w:val="es-MX"/>
        </w:rPr>
      </w:pPr>
      <w:r w:rsidRPr="009E1A38">
        <w:rPr>
          <w:rFonts w:ascii="Abadi" w:hAnsi="Abadi"/>
          <w:b/>
          <w:iCs/>
          <w:sz w:val="20"/>
          <w:szCs w:val="20"/>
          <w:lang w:val="es-MX"/>
        </w:rPr>
        <w:t>C. Presidenta del Congreso del Estado.</w:t>
      </w:r>
    </w:p>
    <w:p w14:paraId="1388C878" w14:textId="77777777" w:rsidR="009E1A38" w:rsidRPr="009E1A38" w:rsidRDefault="009E1A38" w:rsidP="009E1A38">
      <w:pPr>
        <w:rPr>
          <w:rFonts w:ascii="Abadi" w:hAnsi="Abadi"/>
          <w:b/>
          <w:iCs/>
          <w:sz w:val="20"/>
          <w:szCs w:val="20"/>
          <w:lang w:val="es-MX"/>
        </w:rPr>
      </w:pPr>
      <w:r w:rsidRPr="009E1A38">
        <w:rPr>
          <w:rFonts w:ascii="Abadi" w:hAnsi="Abadi"/>
          <w:b/>
          <w:iCs/>
          <w:sz w:val="20"/>
          <w:szCs w:val="20"/>
          <w:lang w:val="es-MX"/>
        </w:rPr>
        <w:t>P r e s e n t e.</w:t>
      </w:r>
    </w:p>
    <w:p w14:paraId="017F4D68" w14:textId="77777777" w:rsidR="009E1A38" w:rsidRPr="009E1A38" w:rsidRDefault="009E1A38" w:rsidP="009E1A38">
      <w:pPr>
        <w:rPr>
          <w:rFonts w:ascii="Abadi" w:hAnsi="Abadi"/>
          <w:iCs/>
          <w:sz w:val="20"/>
          <w:szCs w:val="20"/>
          <w:lang w:val="es-MX"/>
        </w:rPr>
      </w:pPr>
    </w:p>
    <w:p w14:paraId="0BC94FE6" w14:textId="7966F105" w:rsidR="009E1A38" w:rsidRDefault="009E1A38" w:rsidP="007A2E58">
      <w:pPr>
        <w:jc w:val="both"/>
        <w:rPr>
          <w:rFonts w:ascii="Abadi" w:hAnsi="Abadi"/>
          <w:iCs/>
          <w:sz w:val="20"/>
          <w:szCs w:val="20"/>
          <w:lang w:val="es-MX"/>
        </w:rPr>
      </w:pPr>
      <w:r w:rsidRPr="009E1A38">
        <w:rPr>
          <w:rFonts w:ascii="Abadi" w:hAnsi="Abadi"/>
          <w:iCs/>
          <w:sz w:val="20"/>
          <w:szCs w:val="20"/>
          <w:lang w:val="es-MX"/>
        </w:rPr>
        <w:tab/>
        <w:t xml:space="preserve">A esta Comisión de Hacienda y Fiscalización le fue turnada para efectos de su estudio y dictamen, la propuesta de punto de acuerdo formulada por el diputado Ernesto Millán Soberanes, integrante del Grupo Parlamentario del Partido MORENA, a efecto de </w:t>
      </w:r>
      <w:r w:rsidRPr="009E1A38">
        <w:rPr>
          <w:rFonts w:ascii="Abadi" w:hAnsi="Abadi"/>
          <w:sz w:val="20"/>
          <w:szCs w:val="20"/>
          <w:lang w:val="es-ES_tradnl"/>
        </w:rPr>
        <w:t>exhortar al titular de la Auditoría Superior del Estado de Guanajuato, para que lleve a cabo una auditoría financiera integral al municipio de Silao, Gto., por los ejercicios fiscales de 2019, 2020 y 2021</w:t>
      </w:r>
      <w:r w:rsidRPr="009E1A38">
        <w:rPr>
          <w:rFonts w:ascii="Abadi" w:hAnsi="Abadi"/>
          <w:iCs/>
          <w:sz w:val="20"/>
          <w:szCs w:val="20"/>
          <w:lang w:val="es-MX"/>
        </w:rPr>
        <w:t>; y realice las investigaciones necesarias e informe a la brevedad al Congreso del Estado de Guanajuato, si la Contraloría del municipio de Silao inició proceso alguno contra quien resultara responsable por las observaciones no solventadas de las auditorías practicadas a la administración 2018-2021 de dicho Municipio.</w:t>
      </w:r>
    </w:p>
    <w:p w14:paraId="7D3952C9" w14:textId="77777777" w:rsidR="007A2E58" w:rsidRPr="009E1A38" w:rsidRDefault="007A2E58" w:rsidP="007A2E58">
      <w:pPr>
        <w:jc w:val="both"/>
        <w:rPr>
          <w:rFonts w:ascii="Abadi" w:hAnsi="Abadi"/>
          <w:iCs/>
          <w:sz w:val="20"/>
          <w:szCs w:val="20"/>
          <w:lang w:val="es-MX"/>
        </w:rPr>
      </w:pPr>
    </w:p>
    <w:p w14:paraId="450AD81D" w14:textId="77777777" w:rsidR="009E1A38" w:rsidRPr="009E1A38" w:rsidRDefault="009E1A38" w:rsidP="007A2E58">
      <w:pPr>
        <w:jc w:val="both"/>
        <w:rPr>
          <w:rFonts w:ascii="Abadi" w:hAnsi="Abadi"/>
          <w:iCs/>
          <w:sz w:val="20"/>
          <w:szCs w:val="20"/>
          <w:lang w:val="es-MX"/>
        </w:rPr>
      </w:pPr>
      <w:r w:rsidRPr="009E1A38">
        <w:rPr>
          <w:rFonts w:ascii="Abadi" w:hAnsi="Abadi"/>
          <w:iCs/>
          <w:sz w:val="20"/>
          <w:szCs w:val="20"/>
          <w:lang w:val="es-MX"/>
        </w:rPr>
        <w:tab/>
        <w:t>Analizada la propuesta de referencia, con fundamento en los artículos 75, 89, fracción V, 112, fracción XV y 171 de la Ley Orgánica del Poder Legislativo del Estado de Guanajuato, nos permitimos rendir el siguiente:</w:t>
      </w:r>
    </w:p>
    <w:p w14:paraId="4C11A04C" w14:textId="77777777" w:rsidR="009E1A38" w:rsidRPr="009E1A38" w:rsidRDefault="009E1A38" w:rsidP="009E1A38">
      <w:pPr>
        <w:rPr>
          <w:rFonts w:ascii="Abadi" w:hAnsi="Abadi"/>
          <w:b/>
          <w:iCs/>
          <w:sz w:val="20"/>
          <w:szCs w:val="20"/>
          <w:lang w:val="es-MX"/>
        </w:rPr>
      </w:pPr>
    </w:p>
    <w:p w14:paraId="5B3F57FA" w14:textId="200901D8" w:rsidR="009E1A38" w:rsidRDefault="009E1A38" w:rsidP="007A2E58">
      <w:pPr>
        <w:jc w:val="center"/>
        <w:rPr>
          <w:rFonts w:ascii="Abadi" w:hAnsi="Abadi"/>
          <w:b/>
          <w:iCs/>
          <w:sz w:val="20"/>
          <w:szCs w:val="20"/>
          <w:lang w:val="es-MX"/>
        </w:rPr>
      </w:pPr>
      <w:r w:rsidRPr="009E1A38">
        <w:rPr>
          <w:rFonts w:ascii="Abadi" w:hAnsi="Abadi"/>
          <w:b/>
          <w:iCs/>
          <w:sz w:val="20"/>
          <w:szCs w:val="20"/>
          <w:lang w:val="es-MX"/>
        </w:rPr>
        <w:t>D i c t a m e n</w:t>
      </w:r>
    </w:p>
    <w:p w14:paraId="71172590" w14:textId="77777777" w:rsidR="007A2E58" w:rsidRPr="009E1A38" w:rsidRDefault="007A2E58" w:rsidP="009E1A38">
      <w:pPr>
        <w:rPr>
          <w:rFonts w:ascii="Abadi" w:hAnsi="Abadi"/>
          <w:b/>
          <w:iCs/>
          <w:sz w:val="20"/>
          <w:szCs w:val="20"/>
          <w:lang w:val="es-MX"/>
        </w:rPr>
      </w:pPr>
    </w:p>
    <w:p w14:paraId="281EFFE4" w14:textId="77777777" w:rsidR="009E1A38" w:rsidRPr="009E1A38" w:rsidRDefault="009E1A38" w:rsidP="001A28E5">
      <w:pPr>
        <w:numPr>
          <w:ilvl w:val="0"/>
          <w:numId w:val="63"/>
        </w:numPr>
        <w:jc w:val="both"/>
        <w:rPr>
          <w:rFonts w:ascii="Abadi" w:hAnsi="Abadi"/>
          <w:b/>
          <w:bCs/>
          <w:sz w:val="20"/>
          <w:szCs w:val="20"/>
          <w:lang w:val="es-MX"/>
        </w:rPr>
      </w:pPr>
      <w:r w:rsidRPr="009E1A38">
        <w:rPr>
          <w:rFonts w:ascii="Abadi" w:hAnsi="Abadi"/>
          <w:b/>
          <w:bCs/>
          <w:sz w:val="20"/>
          <w:szCs w:val="20"/>
          <w:lang w:val="es-MX"/>
        </w:rPr>
        <w:t>Antecedentes</w:t>
      </w:r>
    </w:p>
    <w:p w14:paraId="484BA126" w14:textId="77777777" w:rsidR="009E1A38" w:rsidRPr="009E1A38" w:rsidRDefault="009E1A38" w:rsidP="007A2E58">
      <w:pPr>
        <w:jc w:val="both"/>
        <w:rPr>
          <w:rFonts w:ascii="Abadi" w:hAnsi="Abadi"/>
          <w:b/>
          <w:iCs/>
          <w:sz w:val="20"/>
          <w:szCs w:val="20"/>
          <w:lang w:val="es-MX"/>
        </w:rPr>
      </w:pPr>
    </w:p>
    <w:p w14:paraId="1872080C" w14:textId="47048073" w:rsidR="009E1A38" w:rsidRDefault="009E1A38" w:rsidP="003F22AC">
      <w:pPr>
        <w:ind w:firstLine="360"/>
        <w:jc w:val="both"/>
        <w:rPr>
          <w:rFonts w:ascii="Abadi" w:hAnsi="Abadi"/>
          <w:sz w:val="20"/>
          <w:szCs w:val="20"/>
          <w:lang w:val="es-ES_tradnl"/>
        </w:rPr>
      </w:pPr>
      <w:r w:rsidRPr="009E1A38">
        <w:rPr>
          <w:rFonts w:ascii="Abadi" w:hAnsi="Abadi"/>
          <w:iCs/>
          <w:sz w:val="20"/>
          <w:szCs w:val="20"/>
          <w:lang w:val="es-MX"/>
        </w:rPr>
        <w:t xml:space="preserve">El diputado Ernesto Millán Soberanes, integrante del Grupo Parlamentario del Partido MORENA, en la </w:t>
      </w:r>
      <w:r w:rsidRPr="009E1A38">
        <w:rPr>
          <w:rFonts w:ascii="Abadi" w:hAnsi="Abadi"/>
          <w:sz w:val="20"/>
          <w:szCs w:val="20"/>
          <w:lang w:val="es-ES_tradnl"/>
        </w:rPr>
        <w:t xml:space="preserve">sesión ordinaria celebrada el 17 de marzo de 2022 presentó la propuesta de punto de acuerdo a efecto de exhortar al titular de la Auditoría Superior del Estado de Guanajuato, para que lleve a cabo una auditoría financiera integral al municipio de Silao, que incluya todas las partidas no revisadas en auditorías previas, la que deberá incluir al menos, la verificación del apego a la legalidad de la adjudicación y contratación de bienes y servicios que corresponda, así como el cumplimiento de las cláusulas contractuales de los mismos, por los ejercicios fiscales de 2019, 2020 y 2021; asimismo, para que lleve a cabo las investigaciones necesarias e informe a la brevedad al Congreso del Estado de Guanajuato, si la Contraloría del municipio de Silao inició proceso alguno contra quien resultara responsable por las observaciones no solventadas de las auditorías practicadas a la administración 2018-2021 de dicho Municipio. </w:t>
      </w:r>
    </w:p>
    <w:p w14:paraId="00774100" w14:textId="77777777" w:rsidR="007A2E58" w:rsidRPr="009E1A38" w:rsidRDefault="007A2E58" w:rsidP="007A2E58">
      <w:pPr>
        <w:jc w:val="both"/>
        <w:rPr>
          <w:rFonts w:ascii="Abadi" w:hAnsi="Abadi"/>
          <w:sz w:val="20"/>
          <w:szCs w:val="20"/>
          <w:lang w:val="es-ES_tradnl"/>
        </w:rPr>
      </w:pPr>
    </w:p>
    <w:p w14:paraId="69AB74A5" w14:textId="1498911D" w:rsidR="009E1A38" w:rsidRDefault="009E1A38" w:rsidP="003F22AC">
      <w:pPr>
        <w:ind w:firstLine="360"/>
        <w:jc w:val="both"/>
        <w:rPr>
          <w:rFonts w:ascii="Abadi" w:hAnsi="Abadi"/>
          <w:sz w:val="20"/>
          <w:szCs w:val="20"/>
          <w:lang w:val="es-MX"/>
        </w:rPr>
      </w:pPr>
      <w:r w:rsidRPr="009E1A38">
        <w:rPr>
          <w:rFonts w:ascii="Abadi" w:hAnsi="Abadi"/>
          <w:sz w:val="20"/>
          <w:szCs w:val="20"/>
          <w:lang w:val="es-ES_tradnl"/>
        </w:rPr>
        <w:t>La referida propuesta se turnó por la</w:t>
      </w:r>
      <w:r w:rsidRPr="009E1A38">
        <w:rPr>
          <w:rFonts w:ascii="Abadi" w:hAnsi="Abadi"/>
          <w:sz w:val="20"/>
          <w:szCs w:val="20"/>
          <w:lang w:val="es-MX"/>
        </w:rPr>
        <w:t xml:space="preserve"> presidencia a esta Comisión de Hacienda y Fiscalización para su estudio y dictamen con fundamento en la fracción XV del artículo 112 de la Ley Orgánica del Poder Legislativo del Estado de Guanajuato, misma que se radicó el 24 de marzo de 2022. En dicha fecha se requirió al Auditor Superior del Estado, la elaboración de una ficha técnica respecto a dicha propuesta, misma que se expuso a esta Comisión el 14 de junio del año en curso, por dicho funcionario.</w:t>
      </w:r>
    </w:p>
    <w:p w14:paraId="3C03D09D" w14:textId="77777777" w:rsidR="007A2E58" w:rsidRPr="009E1A38" w:rsidRDefault="007A2E58" w:rsidP="007A2E58">
      <w:pPr>
        <w:jc w:val="both"/>
        <w:rPr>
          <w:rFonts w:ascii="Abadi" w:hAnsi="Abadi"/>
          <w:sz w:val="20"/>
          <w:szCs w:val="20"/>
          <w:lang w:val="es-MX"/>
        </w:rPr>
      </w:pPr>
    </w:p>
    <w:p w14:paraId="71A6D84C" w14:textId="77777777" w:rsidR="009E1A38" w:rsidRPr="009E1A38" w:rsidRDefault="009E1A38" w:rsidP="001A28E5">
      <w:pPr>
        <w:numPr>
          <w:ilvl w:val="0"/>
          <w:numId w:val="63"/>
        </w:numPr>
        <w:jc w:val="both"/>
        <w:rPr>
          <w:rFonts w:ascii="Abadi" w:hAnsi="Abadi"/>
          <w:b/>
          <w:bCs/>
          <w:sz w:val="20"/>
          <w:szCs w:val="20"/>
          <w:lang w:val="es-MX"/>
        </w:rPr>
      </w:pPr>
      <w:r w:rsidRPr="009E1A38">
        <w:rPr>
          <w:rFonts w:ascii="Abadi" w:hAnsi="Abadi"/>
          <w:b/>
          <w:bCs/>
          <w:sz w:val="20"/>
          <w:szCs w:val="20"/>
          <w:lang w:val="es-MX"/>
        </w:rPr>
        <w:t>Consideraciones del proponente</w:t>
      </w:r>
    </w:p>
    <w:p w14:paraId="38D34B28" w14:textId="77777777" w:rsidR="007A2E58" w:rsidRDefault="007A2E58" w:rsidP="007A2E58">
      <w:pPr>
        <w:jc w:val="both"/>
        <w:rPr>
          <w:rFonts w:ascii="Abadi" w:hAnsi="Abadi"/>
          <w:sz w:val="20"/>
          <w:szCs w:val="20"/>
          <w:lang w:val="es-MX"/>
        </w:rPr>
      </w:pPr>
    </w:p>
    <w:p w14:paraId="28C4CD34" w14:textId="7A054FCC" w:rsidR="009E1A38" w:rsidRDefault="009E1A38" w:rsidP="003F22AC">
      <w:pPr>
        <w:ind w:firstLine="360"/>
        <w:jc w:val="both"/>
        <w:rPr>
          <w:rFonts w:ascii="Abadi" w:hAnsi="Abadi"/>
          <w:sz w:val="20"/>
          <w:szCs w:val="20"/>
          <w:lang w:val="es-MX"/>
        </w:rPr>
      </w:pPr>
      <w:r w:rsidRPr="009E1A38">
        <w:rPr>
          <w:rFonts w:ascii="Abadi" w:hAnsi="Abadi"/>
          <w:sz w:val="20"/>
          <w:szCs w:val="20"/>
          <w:lang w:val="es-MX"/>
        </w:rPr>
        <w:t>En las consideraciones expuestas por el proponente se refiere lo siguiente:</w:t>
      </w:r>
    </w:p>
    <w:p w14:paraId="30979075" w14:textId="77777777" w:rsidR="007A2E58" w:rsidRPr="009E1A38" w:rsidRDefault="007A2E58" w:rsidP="007A2E58">
      <w:pPr>
        <w:jc w:val="both"/>
        <w:rPr>
          <w:rFonts w:ascii="Abadi" w:hAnsi="Abadi"/>
          <w:sz w:val="20"/>
          <w:szCs w:val="20"/>
          <w:lang w:val="es-MX"/>
        </w:rPr>
      </w:pPr>
    </w:p>
    <w:p w14:paraId="21010575" w14:textId="418DA42F" w:rsidR="009E1A38" w:rsidRDefault="009E1A38" w:rsidP="003F22AC">
      <w:pPr>
        <w:ind w:firstLine="360"/>
        <w:jc w:val="both"/>
        <w:rPr>
          <w:rFonts w:ascii="Abadi" w:hAnsi="Abadi"/>
          <w:i/>
          <w:sz w:val="20"/>
          <w:szCs w:val="20"/>
          <w:lang w:val="es-MX"/>
        </w:rPr>
      </w:pPr>
      <w:r w:rsidRPr="009E1A38">
        <w:rPr>
          <w:rFonts w:ascii="Abadi" w:hAnsi="Abadi"/>
          <w:i/>
          <w:sz w:val="20"/>
          <w:szCs w:val="20"/>
          <w:lang w:val="es-MX"/>
        </w:rPr>
        <w:t xml:space="preserve">Gracias a las últimas dos administraciones públicas municipales que, consecutivamente, fueron emanadas del PAN, el municipio de Silao entró en un proceso de degradación de la vida pública que se ha traducido en una fuerte limitación de las capacidades institucionales del propio municipio, generando así servicios públicos deficientes y un halo de corrupción que por años ha impactado negativamente la vida de todas y todos los ciudadanos.  </w:t>
      </w:r>
    </w:p>
    <w:p w14:paraId="71E06415" w14:textId="77777777" w:rsidR="007A2E58" w:rsidRPr="009E1A38" w:rsidRDefault="007A2E58" w:rsidP="007A2E58">
      <w:pPr>
        <w:jc w:val="both"/>
        <w:rPr>
          <w:rFonts w:ascii="Abadi" w:hAnsi="Abadi"/>
          <w:i/>
          <w:sz w:val="20"/>
          <w:szCs w:val="20"/>
          <w:lang w:val="es-MX"/>
        </w:rPr>
      </w:pPr>
    </w:p>
    <w:p w14:paraId="3F3B0A82" w14:textId="77777777" w:rsidR="009E1A38" w:rsidRPr="009E1A38" w:rsidRDefault="009E1A38" w:rsidP="003F22AC">
      <w:pPr>
        <w:ind w:firstLine="360"/>
        <w:jc w:val="both"/>
        <w:rPr>
          <w:rFonts w:ascii="Abadi" w:hAnsi="Abadi"/>
          <w:i/>
          <w:sz w:val="20"/>
          <w:szCs w:val="20"/>
          <w:lang w:val="es-MX"/>
        </w:rPr>
      </w:pPr>
      <w:r w:rsidRPr="009E1A38">
        <w:rPr>
          <w:rFonts w:ascii="Abadi" w:hAnsi="Abadi"/>
          <w:i/>
          <w:sz w:val="20"/>
          <w:szCs w:val="20"/>
          <w:lang w:val="es-MX"/>
        </w:rPr>
        <w:t>Los ejemplos abundan. Uno de ellos es el antiguo director de protección civil, Eduardo Maldonado Galván, quien puso a su nombre una motobomba, una ambulancia y equipo de rescate donados para el beneficio de Silao por migrantes de los clubes de Migrantes Bajío de Bonillas y Bajío Nueva Era, luego de lo cual el exfuncionario se adueñó de las donaciones.</w:t>
      </w:r>
    </w:p>
    <w:p w14:paraId="570EEF1F" w14:textId="1CF72143" w:rsidR="009E1A38" w:rsidRDefault="009E1A38" w:rsidP="003F22AC">
      <w:pPr>
        <w:ind w:firstLine="360"/>
        <w:jc w:val="both"/>
        <w:rPr>
          <w:rFonts w:ascii="Abadi" w:hAnsi="Abadi"/>
          <w:i/>
          <w:sz w:val="20"/>
          <w:szCs w:val="20"/>
          <w:lang w:val="es-MX"/>
        </w:rPr>
      </w:pPr>
      <w:r w:rsidRPr="009E1A38">
        <w:rPr>
          <w:rFonts w:ascii="Abadi" w:hAnsi="Abadi"/>
          <w:i/>
          <w:sz w:val="20"/>
          <w:szCs w:val="20"/>
          <w:lang w:val="es-MX"/>
        </w:rPr>
        <w:t>Otro ejemplo es que el 52% de los camiones de transporte público están en malas condiciones, pues la actual administración encontró que de los 137 en circulación, sólo 65 cumplieron con la revisión mecánica, sin que en la administración panista se hubiese hecho algo por cumplir con las obligaciones de inspección y protección a la ciudadanía por parte del poder público.</w:t>
      </w:r>
    </w:p>
    <w:p w14:paraId="4FC3D81D" w14:textId="77777777" w:rsidR="007A2E58" w:rsidRPr="009E1A38" w:rsidRDefault="007A2E58" w:rsidP="007A2E58">
      <w:pPr>
        <w:jc w:val="both"/>
        <w:rPr>
          <w:rFonts w:ascii="Abadi" w:hAnsi="Abadi"/>
          <w:i/>
          <w:sz w:val="20"/>
          <w:szCs w:val="20"/>
          <w:lang w:val="es-MX"/>
        </w:rPr>
      </w:pPr>
    </w:p>
    <w:p w14:paraId="72F8668E" w14:textId="77777777" w:rsidR="009E1A38" w:rsidRPr="009E1A38" w:rsidRDefault="009E1A38" w:rsidP="003F22AC">
      <w:pPr>
        <w:ind w:firstLine="360"/>
        <w:jc w:val="both"/>
        <w:rPr>
          <w:rFonts w:ascii="Abadi" w:hAnsi="Abadi"/>
          <w:i/>
          <w:sz w:val="20"/>
          <w:szCs w:val="20"/>
          <w:lang w:val="es-MX"/>
        </w:rPr>
      </w:pPr>
      <w:r w:rsidRPr="009E1A38">
        <w:rPr>
          <w:rFonts w:ascii="Abadi" w:hAnsi="Abadi"/>
          <w:i/>
          <w:sz w:val="20"/>
          <w:szCs w:val="20"/>
          <w:lang w:val="es-MX"/>
        </w:rPr>
        <w:t xml:space="preserve">Un ejemplo más está en la plena irregularidad con la que operaba el rastro municipal, pues en la inspección realizada el 7 de octubre de 2021, la Secretaría de Salud estatal realizó más de 30 observaciones por deficiencias normativas a la adecuada higiene que, a la fecha, y gracias al esfuerzo y trabajo que ha realizado la administración actual, se han podido solventar 80% de las mismas.  </w:t>
      </w:r>
    </w:p>
    <w:p w14:paraId="5BE94338" w14:textId="77777777" w:rsidR="007A2E58" w:rsidRDefault="007A2E58" w:rsidP="007A2E58">
      <w:pPr>
        <w:jc w:val="both"/>
        <w:rPr>
          <w:rFonts w:ascii="Abadi" w:hAnsi="Abadi"/>
          <w:i/>
          <w:sz w:val="20"/>
          <w:szCs w:val="20"/>
          <w:lang w:val="es-MX"/>
        </w:rPr>
      </w:pPr>
    </w:p>
    <w:p w14:paraId="3E833DD0" w14:textId="2746A308" w:rsidR="009E1A38" w:rsidRPr="009E1A38" w:rsidRDefault="009E1A38" w:rsidP="003F22AC">
      <w:pPr>
        <w:ind w:firstLine="360"/>
        <w:jc w:val="both"/>
        <w:rPr>
          <w:rFonts w:ascii="Abadi" w:hAnsi="Abadi"/>
          <w:i/>
          <w:sz w:val="20"/>
          <w:szCs w:val="20"/>
          <w:lang w:val="es-MX"/>
        </w:rPr>
      </w:pPr>
      <w:r w:rsidRPr="009E1A38">
        <w:rPr>
          <w:rFonts w:ascii="Abadi" w:hAnsi="Abadi"/>
          <w:i/>
          <w:sz w:val="20"/>
          <w:szCs w:val="20"/>
          <w:lang w:val="es-MX"/>
        </w:rPr>
        <w:t xml:space="preserve">Asimismo, los informes de auditoría llevados a cabo durante la última administración encabezada por el panista José Antonio Trejo Valdepeña, dan cuenta del nivel de degradación y corrupción que se generó en las instituciones durante su gestión.  </w:t>
      </w:r>
    </w:p>
    <w:p w14:paraId="7992DB9A" w14:textId="77777777" w:rsidR="007A2E58" w:rsidRDefault="007A2E58" w:rsidP="007A2E58">
      <w:pPr>
        <w:jc w:val="both"/>
        <w:rPr>
          <w:rFonts w:ascii="Abadi" w:hAnsi="Abadi"/>
          <w:i/>
          <w:sz w:val="20"/>
          <w:szCs w:val="20"/>
          <w:lang w:val="es-MX"/>
        </w:rPr>
      </w:pPr>
    </w:p>
    <w:p w14:paraId="4BE72183" w14:textId="1EC4A8F7" w:rsidR="009E1A38" w:rsidRPr="009E1A38" w:rsidRDefault="009E1A38" w:rsidP="003F22AC">
      <w:pPr>
        <w:ind w:firstLine="360"/>
        <w:jc w:val="both"/>
        <w:rPr>
          <w:rFonts w:ascii="Abadi" w:hAnsi="Abadi"/>
          <w:i/>
          <w:sz w:val="20"/>
          <w:szCs w:val="20"/>
          <w:lang w:val="es-MX"/>
        </w:rPr>
      </w:pPr>
      <w:r w:rsidRPr="009E1A38">
        <w:rPr>
          <w:rFonts w:ascii="Abadi" w:hAnsi="Abadi"/>
          <w:i/>
          <w:sz w:val="20"/>
          <w:szCs w:val="20"/>
          <w:lang w:val="es-MX"/>
        </w:rPr>
        <w:t xml:space="preserve">En 2019, la revisión de cuenta pública de Silao tuvo un alcance del 49% de los egresos, y pese a ser menos de la mitad del gasto, se encontraron pagos a empleados municipales por encima de lo marcado por el tabulador respectivo, modificaciones ilegales de las bases de concurso para la adjudicación de chalecos balísticos para beneficiar con un contrato de un millón trescientos sesenta y seis mil pesos a un proveedor amigo, así como irregularidades en la extinción del Instituto Municipal de Vivienda (IMUVI), en existen las actas de Ayuntamiento que lo extinguieran ni los documentos que acreditaran que había pasado por los bienes muebles e inmuebles del mismo.  </w:t>
      </w:r>
    </w:p>
    <w:p w14:paraId="7CFD8D55" w14:textId="77777777" w:rsidR="009E1A38" w:rsidRPr="009E1A38" w:rsidRDefault="009E1A38" w:rsidP="007A2E58">
      <w:pPr>
        <w:jc w:val="both"/>
        <w:rPr>
          <w:rFonts w:ascii="Abadi" w:hAnsi="Abadi"/>
          <w:i/>
          <w:sz w:val="20"/>
          <w:szCs w:val="20"/>
          <w:lang w:val="es-MX"/>
        </w:rPr>
      </w:pPr>
    </w:p>
    <w:p w14:paraId="2623E18E" w14:textId="77777777" w:rsidR="009E1A38" w:rsidRPr="009E1A38" w:rsidRDefault="009E1A38" w:rsidP="003F22AC">
      <w:pPr>
        <w:ind w:firstLine="360"/>
        <w:jc w:val="both"/>
        <w:rPr>
          <w:rFonts w:ascii="Abadi" w:hAnsi="Abadi"/>
          <w:i/>
          <w:sz w:val="20"/>
          <w:szCs w:val="20"/>
          <w:lang w:val="es-MX"/>
        </w:rPr>
      </w:pPr>
      <w:r w:rsidRPr="009E1A38">
        <w:rPr>
          <w:rFonts w:ascii="Abadi" w:hAnsi="Abadi"/>
          <w:i/>
          <w:sz w:val="20"/>
          <w:szCs w:val="20"/>
          <w:lang w:val="es-MX"/>
        </w:rPr>
        <w:t>Por su parte, la auditoría a obra pública y recursos del ramo 33 para el propio ejercicio fiscal de 2019, con un alcance del 46% de los egresos, arrojó múltiples irregularidades en obras como la pavimentación del camino rural a Santa Fe de Guadalupe, la fallida rehabilitación del Cine Montes, con la compra de las butacas que no están en posesión del municipio, pero fueron pagadas en su totalidad al proveedor, o la construcción del drenaje sanitario en Comanjilla, entre otras, observaciones que en suma dan la cantidad de más de dos millones de pesos, que no fueron comprobados por el Ayuntamiento encabezado por el alcalde Toño Trejo.</w:t>
      </w:r>
    </w:p>
    <w:p w14:paraId="15009320" w14:textId="77777777" w:rsidR="007A2E58" w:rsidRDefault="007A2E58" w:rsidP="007A2E58">
      <w:pPr>
        <w:jc w:val="both"/>
        <w:rPr>
          <w:rFonts w:ascii="Abadi" w:hAnsi="Abadi"/>
          <w:i/>
          <w:sz w:val="20"/>
          <w:szCs w:val="20"/>
          <w:lang w:val="es-MX"/>
        </w:rPr>
      </w:pPr>
    </w:p>
    <w:p w14:paraId="4990B8D0" w14:textId="11FF94EA" w:rsidR="009E1A38" w:rsidRPr="009E1A38" w:rsidRDefault="009E1A38" w:rsidP="003F22AC">
      <w:pPr>
        <w:ind w:firstLine="360"/>
        <w:jc w:val="both"/>
        <w:rPr>
          <w:rFonts w:ascii="Abadi" w:hAnsi="Abadi"/>
          <w:i/>
          <w:sz w:val="20"/>
          <w:szCs w:val="20"/>
          <w:lang w:val="es-MX"/>
        </w:rPr>
      </w:pPr>
      <w:r w:rsidRPr="009E1A38">
        <w:rPr>
          <w:rFonts w:ascii="Abadi" w:hAnsi="Abadi"/>
          <w:i/>
          <w:sz w:val="20"/>
          <w:szCs w:val="20"/>
          <w:lang w:val="es-MX"/>
        </w:rPr>
        <w:t xml:space="preserve">En el mismo sentido, en la revisión de cuenta pública 2020 del propio municipio de Silao, con un alcance del 53% de los egresos, se encontró que la administración panista contrató servicios de consultoría de forma irregular, para la elaboración de un diagnóstico de comunicación institucional por más de 400 mil pesos. Sin embargo, el supuesto prestador de servicios manifestó no conocer ni la prestación del servicio, ni las firmas plasmadas en el contrato espurio, estando en este tema la comisión de un probable delito por falsificación de documentos.  </w:t>
      </w:r>
    </w:p>
    <w:p w14:paraId="42344A8A" w14:textId="77777777" w:rsidR="007A2E58" w:rsidRDefault="007A2E58" w:rsidP="007A2E58">
      <w:pPr>
        <w:jc w:val="both"/>
        <w:rPr>
          <w:rFonts w:ascii="Abadi" w:hAnsi="Abadi"/>
          <w:i/>
          <w:sz w:val="20"/>
          <w:szCs w:val="20"/>
          <w:lang w:val="es-MX"/>
        </w:rPr>
      </w:pPr>
    </w:p>
    <w:p w14:paraId="500ECE31" w14:textId="498D0637" w:rsidR="009E1A38" w:rsidRPr="009E1A38" w:rsidRDefault="009E1A38" w:rsidP="003F22AC">
      <w:pPr>
        <w:ind w:firstLine="360"/>
        <w:jc w:val="both"/>
        <w:rPr>
          <w:rFonts w:ascii="Abadi" w:hAnsi="Abadi"/>
          <w:i/>
          <w:sz w:val="20"/>
          <w:szCs w:val="20"/>
          <w:lang w:val="es-MX"/>
        </w:rPr>
      </w:pPr>
      <w:r w:rsidRPr="009E1A38">
        <w:rPr>
          <w:rFonts w:ascii="Abadi" w:hAnsi="Abadi"/>
          <w:i/>
          <w:sz w:val="20"/>
          <w:szCs w:val="20"/>
          <w:lang w:val="es-MX"/>
        </w:rPr>
        <w:t>Y claro que no podemos olvidar otros actos ocurridos en la administración panista que son la “pérdida” de veintiocho mil balas y el robo a las arcas de Presidencia Municipal, dinero que quien sabe a los bolsillos de quien fueron a parar, ambos asuntos que ya han sido expuestos en esta tribuna.</w:t>
      </w:r>
    </w:p>
    <w:p w14:paraId="63090457" w14:textId="77777777" w:rsidR="009E1A38" w:rsidRPr="009E1A38" w:rsidRDefault="009E1A38" w:rsidP="007A2E58">
      <w:pPr>
        <w:jc w:val="both"/>
        <w:rPr>
          <w:rFonts w:ascii="Abadi" w:hAnsi="Abadi"/>
          <w:i/>
          <w:sz w:val="20"/>
          <w:szCs w:val="20"/>
          <w:lang w:val="es-MX"/>
        </w:rPr>
      </w:pPr>
      <w:r w:rsidRPr="009E1A38">
        <w:rPr>
          <w:rFonts w:ascii="Abadi" w:hAnsi="Abadi"/>
          <w:i/>
          <w:sz w:val="20"/>
          <w:szCs w:val="20"/>
          <w:lang w:val="es-MX"/>
        </w:rPr>
        <w:t xml:space="preserve">Como puede observarse en el alcance de las revisiones llevadas a cabo hasta el momento, pese a los múltiples casos de corrupción evidenciados hasta el momento, aún existe un espacio susceptible de investigación muy amplio, en el que pudieron desarrollarse desvíos de recursos, uso patrimonial de las instituciones, y diversas afectaciones a la Hacienda Pública municipal de Silao.  </w:t>
      </w:r>
    </w:p>
    <w:p w14:paraId="67873870" w14:textId="77777777" w:rsidR="007A2E58" w:rsidRDefault="007A2E58" w:rsidP="007A2E58">
      <w:pPr>
        <w:jc w:val="both"/>
        <w:rPr>
          <w:rFonts w:ascii="Abadi" w:hAnsi="Abadi"/>
          <w:i/>
          <w:sz w:val="20"/>
          <w:szCs w:val="20"/>
          <w:lang w:val="es-MX"/>
        </w:rPr>
      </w:pPr>
    </w:p>
    <w:p w14:paraId="6BF875F0" w14:textId="7AAA04CD" w:rsidR="009E1A38" w:rsidRDefault="009E1A38" w:rsidP="003F22AC">
      <w:pPr>
        <w:ind w:firstLine="360"/>
        <w:jc w:val="both"/>
        <w:rPr>
          <w:rFonts w:ascii="Abadi" w:hAnsi="Abadi"/>
          <w:i/>
          <w:sz w:val="20"/>
          <w:szCs w:val="20"/>
          <w:lang w:val="es-MX"/>
        </w:rPr>
      </w:pPr>
      <w:r w:rsidRPr="009E1A38">
        <w:rPr>
          <w:rFonts w:ascii="Abadi" w:hAnsi="Abadi"/>
          <w:i/>
          <w:sz w:val="20"/>
          <w:szCs w:val="20"/>
          <w:lang w:val="es-MX"/>
        </w:rPr>
        <w:t>Por lo anterior, desde el Grupo Parlamentario de Morena consideramos pertinente la intervención de la Auditoría Superior del Estado de Guanajuato, con la finalidad de que lleve a cabo una auditoría de todas aquellas partidas no revisadas mediante los procesos de fiscalización llevados a cabo para los ejercicios fiscales de 2019, 2020 y 2021 y realice las investigaciones necesarias para conocer si se iniciaron los procesos pertinentes por las observaciones no solventadas por el Municipio de Silao en el periodo 2019, 2021 y 2021.</w:t>
      </w:r>
    </w:p>
    <w:p w14:paraId="112CB1B4" w14:textId="77777777" w:rsidR="007A2E58" w:rsidRPr="009E1A38" w:rsidRDefault="007A2E58" w:rsidP="007A2E58">
      <w:pPr>
        <w:jc w:val="both"/>
        <w:rPr>
          <w:rFonts w:ascii="Abadi" w:hAnsi="Abadi"/>
          <w:i/>
          <w:sz w:val="20"/>
          <w:szCs w:val="20"/>
          <w:lang w:val="es-MX"/>
        </w:rPr>
      </w:pPr>
    </w:p>
    <w:p w14:paraId="35D16D74" w14:textId="77777777" w:rsidR="009E1A38" w:rsidRPr="009E1A38" w:rsidRDefault="009E1A38" w:rsidP="001A28E5">
      <w:pPr>
        <w:numPr>
          <w:ilvl w:val="0"/>
          <w:numId w:val="63"/>
        </w:numPr>
        <w:jc w:val="both"/>
        <w:rPr>
          <w:rFonts w:ascii="Abadi" w:hAnsi="Abadi"/>
          <w:b/>
          <w:bCs/>
          <w:sz w:val="20"/>
          <w:szCs w:val="20"/>
          <w:lang w:val="es-MX"/>
        </w:rPr>
      </w:pPr>
      <w:r w:rsidRPr="009E1A38">
        <w:rPr>
          <w:rFonts w:ascii="Abadi" w:hAnsi="Abadi"/>
          <w:b/>
          <w:bCs/>
          <w:sz w:val="20"/>
          <w:szCs w:val="20"/>
          <w:lang w:val="es-MX"/>
        </w:rPr>
        <w:t>Consideraciones de la Comisión</w:t>
      </w:r>
    </w:p>
    <w:p w14:paraId="25B3B24A" w14:textId="77777777" w:rsidR="007A2E58" w:rsidRDefault="007A2E58" w:rsidP="007A2E58">
      <w:pPr>
        <w:jc w:val="both"/>
        <w:rPr>
          <w:rFonts w:ascii="Abadi" w:hAnsi="Abadi"/>
          <w:sz w:val="20"/>
          <w:szCs w:val="20"/>
          <w:lang w:val="es-MX"/>
        </w:rPr>
      </w:pPr>
    </w:p>
    <w:p w14:paraId="3E60B8F5" w14:textId="1C167C85" w:rsidR="009E1A38" w:rsidRPr="009E1A38" w:rsidRDefault="009E1A38" w:rsidP="003F22AC">
      <w:pPr>
        <w:ind w:firstLine="360"/>
        <w:jc w:val="both"/>
        <w:rPr>
          <w:rFonts w:ascii="Abadi" w:hAnsi="Abadi"/>
          <w:sz w:val="20"/>
          <w:szCs w:val="20"/>
          <w:lang w:val="es-MX"/>
        </w:rPr>
      </w:pPr>
      <w:r w:rsidRPr="009E1A38">
        <w:rPr>
          <w:rFonts w:ascii="Abadi" w:hAnsi="Abadi"/>
          <w:sz w:val="20"/>
          <w:szCs w:val="20"/>
          <w:lang w:val="es-MX"/>
        </w:rPr>
        <w:t>En las consideraciones expuestas en la propuesta que se dictamina se señala la necesidad de fiscalizar el uso y destino de recursos públicos de la administración pública municipal de Silao de la Victoria, Gto., con relación a diversos hechos referidos en dicha propuesta.</w:t>
      </w:r>
    </w:p>
    <w:p w14:paraId="17651655" w14:textId="77777777" w:rsidR="007A2E58" w:rsidRDefault="007A2E58" w:rsidP="007A2E58">
      <w:pPr>
        <w:jc w:val="both"/>
        <w:rPr>
          <w:rFonts w:ascii="Abadi" w:hAnsi="Abadi"/>
          <w:sz w:val="20"/>
          <w:szCs w:val="20"/>
          <w:lang w:val="es-MX"/>
        </w:rPr>
      </w:pPr>
    </w:p>
    <w:p w14:paraId="1FA4633A" w14:textId="4C5942D0" w:rsidR="009E1A38" w:rsidRPr="009E1A38" w:rsidRDefault="009E1A38" w:rsidP="003F22AC">
      <w:pPr>
        <w:ind w:firstLine="360"/>
        <w:jc w:val="both"/>
        <w:rPr>
          <w:rFonts w:ascii="Abadi" w:hAnsi="Abadi"/>
          <w:sz w:val="20"/>
          <w:szCs w:val="20"/>
          <w:lang w:val="es-MX"/>
        </w:rPr>
      </w:pPr>
      <w:r w:rsidRPr="009E1A38">
        <w:rPr>
          <w:rFonts w:ascii="Abadi" w:hAnsi="Abadi"/>
          <w:sz w:val="20"/>
          <w:szCs w:val="20"/>
          <w:lang w:val="es-MX"/>
        </w:rPr>
        <w:t xml:space="preserve">Al respecto quienes integramos esta Comisión consideramos que la función de control es uno de los mecanismos que preservan el equilibrio entre los poderes públicos y asegura la vigencia de la ley como un instrumento que somete toda actuación de la autoridad y preserva las garantías y derechos de los ciudadanos. La vigilancia y el control sobre el ejercicio de los recursos públicos encomendados a las autoridades es una de las funciones primordiales que tiene el Poder Legislativo como responsable originario de esa función de control. </w:t>
      </w:r>
    </w:p>
    <w:p w14:paraId="2395FEB6" w14:textId="77777777" w:rsidR="007A2E58" w:rsidRDefault="007A2E58" w:rsidP="007A2E58">
      <w:pPr>
        <w:jc w:val="both"/>
        <w:rPr>
          <w:rFonts w:ascii="Abadi" w:hAnsi="Abadi"/>
          <w:sz w:val="20"/>
          <w:szCs w:val="20"/>
          <w:lang w:val="es-MX"/>
        </w:rPr>
      </w:pPr>
    </w:p>
    <w:p w14:paraId="007F61D8" w14:textId="6B1C72D0" w:rsidR="009E1A38" w:rsidRDefault="009E1A38" w:rsidP="003F22AC">
      <w:pPr>
        <w:ind w:firstLine="360"/>
        <w:jc w:val="both"/>
        <w:rPr>
          <w:rFonts w:ascii="Abadi" w:hAnsi="Abadi"/>
          <w:sz w:val="20"/>
          <w:szCs w:val="20"/>
          <w:lang w:val="es-MX"/>
        </w:rPr>
      </w:pPr>
      <w:r w:rsidRPr="009E1A38">
        <w:rPr>
          <w:rFonts w:ascii="Abadi" w:hAnsi="Abadi"/>
          <w:sz w:val="20"/>
          <w:szCs w:val="20"/>
          <w:lang w:val="es-MX"/>
        </w:rPr>
        <w:t>La administración, ejercicio, aplicación y control de los recursos públicos tienen que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w:t>
      </w:r>
    </w:p>
    <w:p w14:paraId="3D6D77DE" w14:textId="77777777" w:rsidR="007A2E58" w:rsidRPr="009E1A38" w:rsidRDefault="007A2E58" w:rsidP="007A2E58">
      <w:pPr>
        <w:jc w:val="both"/>
        <w:rPr>
          <w:rFonts w:ascii="Abadi" w:hAnsi="Abadi"/>
          <w:sz w:val="20"/>
          <w:szCs w:val="20"/>
          <w:lang w:val="es-MX"/>
        </w:rPr>
      </w:pPr>
    </w:p>
    <w:p w14:paraId="31D950AB" w14:textId="2B9C657A" w:rsidR="009E1A38" w:rsidRDefault="009E1A38" w:rsidP="007A2E58">
      <w:pPr>
        <w:jc w:val="both"/>
        <w:rPr>
          <w:rFonts w:ascii="Abadi" w:hAnsi="Abadi"/>
          <w:sz w:val="20"/>
          <w:szCs w:val="20"/>
          <w:lang w:val="es-MX"/>
        </w:rPr>
      </w:pPr>
      <w:r w:rsidRPr="009E1A38">
        <w:rPr>
          <w:rFonts w:ascii="Abadi" w:hAnsi="Abadi"/>
          <w:sz w:val="20"/>
          <w:szCs w:val="20"/>
          <w:lang w:val="es-MX"/>
        </w:rPr>
        <w:tab/>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29EDCD64" w14:textId="77777777" w:rsidR="007A2E58" w:rsidRPr="009E1A38" w:rsidRDefault="007A2E58" w:rsidP="007A2E58">
      <w:pPr>
        <w:jc w:val="both"/>
        <w:rPr>
          <w:rFonts w:ascii="Abadi" w:hAnsi="Abadi"/>
          <w:sz w:val="20"/>
          <w:szCs w:val="20"/>
          <w:lang w:val="es-MX"/>
        </w:rPr>
      </w:pPr>
    </w:p>
    <w:p w14:paraId="78F8889C" w14:textId="77777777" w:rsidR="009E1A38" w:rsidRPr="009E1A38" w:rsidRDefault="009E1A38" w:rsidP="007A2E58">
      <w:pPr>
        <w:jc w:val="both"/>
        <w:rPr>
          <w:rFonts w:ascii="Abadi" w:hAnsi="Abadi"/>
          <w:sz w:val="20"/>
          <w:szCs w:val="20"/>
          <w:lang w:val="es-MX"/>
        </w:rPr>
      </w:pPr>
      <w:r w:rsidRPr="009E1A38">
        <w:rPr>
          <w:rFonts w:ascii="Abadi" w:hAnsi="Abadi"/>
          <w:sz w:val="20"/>
          <w:szCs w:val="20"/>
          <w:lang w:val="es-MX"/>
        </w:rPr>
        <w:tab/>
        <w:t xml:space="preserve">El artículo 116, fracción II, sexto párrafo de la Constitución Política de los Estados Unidos Mexicanos señala que: </w:t>
      </w:r>
      <w:r w:rsidRPr="009E1A38">
        <w:rPr>
          <w:rFonts w:ascii="Abadi" w:hAnsi="Abadi"/>
          <w:i/>
          <w:sz w:val="20"/>
          <w:szCs w:val="20"/>
          <w:lang w:val="es-MX"/>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9E1A38">
        <w:rPr>
          <w:rFonts w:ascii="Abadi" w:hAnsi="Abadi"/>
          <w:sz w:val="20"/>
          <w:szCs w:val="20"/>
          <w:lang w:val="es-MX"/>
        </w:rPr>
        <w:t xml:space="preserve"> </w:t>
      </w:r>
    </w:p>
    <w:p w14:paraId="006E67FC" w14:textId="77777777" w:rsidR="009E1A38" w:rsidRPr="009E1A38" w:rsidRDefault="009E1A38" w:rsidP="007A2E58">
      <w:pPr>
        <w:jc w:val="both"/>
        <w:rPr>
          <w:rFonts w:ascii="Abadi" w:hAnsi="Abadi"/>
          <w:sz w:val="20"/>
          <w:szCs w:val="20"/>
          <w:lang w:val="es-MX"/>
        </w:rPr>
      </w:pPr>
    </w:p>
    <w:p w14:paraId="2697F1D6" w14:textId="77777777" w:rsidR="009E1A38" w:rsidRPr="009E1A38" w:rsidRDefault="009E1A38" w:rsidP="003F22AC">
      <w:pPr>
        <w:ind w:firstLine="708"/>
        <w:jc w:val="both"/>
        <w:rPr>
          <w:rFonts w:ascii="Abadi" w:hAnsi="Abadi"/>
          <w:sz w:val="20"/>
          <w:szCs w:val="20"/>
          <w:lang w:val="es-MX"/>
        </w:rPr>
      </w:pPr>
      <w:r w:rsidRPr="009E1A38">
        <w:rPr>
          <w:rFonts w:ascii="Abadi" w:hAnsi="Abadi"/>
          <w:sz w:val="20"/>
          <w:szCs w:val="20"/>
          <w:lang w:val="es-MX"/>
        </w:rPr>
        <w:t xml:space="preserve">La Auditoría Superior del Estado, de conformidad con el artículo 66 de la Constitución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mientras que la fracción IV del mismo precepto establece que la Auditoría Superior del Estado podrá acordar y practicar auditorías conforme a su programa anual y ejecutar las que acuerde el Congreso del Estado en los términos de la fracción XXVIII del artículo 63 de la propia Constitución local. </w:t>
      </w:r>
    </w:p>
    <w:p w14:paraId="03DDC37D" w14:textId="77777777" w:rsidR="007A2E58" w:rsidRDefault="007A2E58" w:rsidP="007A2E58">
      <w:pPr>
        <w:jc w:val="both"/>
        <w:rPr>
          <w:rFonts w:ascii="Abadi" w:hAnsi="Abadi"/>
          <w:sz w:val="20"/>
          <w:szCs w:val="20"/>
          <w:lang w:val="es-MX"/>
        </w:rPr>
      </w:pPr>
    </w:p>
    <w:p w14:paraId="2E255691" w14:textId="22ED4787" w:rsidR="009E1A38" w:rsidRPr="009E1A38" w:rsidRDefault="009E1A38" w:rsidP="003F22AC">
      <w:pPr>
        <w:ind w:firstLine="708"/>
        <w:jc w:val="both"/>
        <w:rPr>
          <w:rFonts w:ascii="Abadi" w:hAnsi="Abadi"/>
          <w:sz w:val="20"/>
          <w:szCs w:val="20"/>
          <w:lang w:val="es-MX"/>
        </w:rPr>
      </w:pPr>
      <w:r w:rsidRPr="009E1A38">
        <w:rPr>
          <w:rFonts w:ascii="Abadi" w:hAnsi="Abadi"/>
          <w:sz w:val="20"/>
          <w:szCs w:val="20"/>
          <w:lang w:val="es-MX"/>
        </w:rPr>
        <w:t>El ayuntamiento de Silao de la Victoria, Gto., es sujeto de la función de fiscalización del Congreso del Estado, según se desprende de los artículos 63 fracciones XIX y XXVIII; y 66 de la Constitución Política local y 2, fracción II de la Ley de Fiscalización Superior del Estado de Guanajuato.</w:t>
      </w:r>
    </w:p>
    <w:p w14:paraId="6976C404" w14:textId="77777777" w:rsidR="009E1A38" w:rsidRPr="009E1A38" w:rsidRDefault="009E1A38" w:rsidP="007A2E58">
      <w:pPr>
        <w:jc w:val="both"/>
        <w:rPr>
          <w:rFonts w:ascii="Abadi" w:hAnsi="Abadi"/>
          <w:sz w:val="20"/>
          <w:szCs w:val="20"/>
          <w:lang w:val="es-MX"/>
        </w:rPr>
      </w:pPr>
    </w:p>
    <w:p w14:paraId="0C4AACA7" w14:textId="77777777" w:rsidR="009E1A38" w:rsidRPr="009E1A38" w:rsidRDefault="009E1A38" w:rsidP="003F22AC">
      <w:pPr>
        <w:ind w:firstLine="708"/>
        <w:jc w:val="both"/>
        <w:rPr>
          <w:rFonts w:ascii="Abadi" w:hAnsi="Abadi"/>
          <w:sz w:val="20"/>
          <w:szCs w:val="20"/>
          <w:lang w:val="es-MX"/>
        </w:rPr>
      </w:pPr>
      <w:r w:rsidRPr="009E1A38">
        <w:rPr>
          <w:rFonts w:ascii="Abadi" w:hAnsi="Abadi"/>
          <w:sz w:val="20"/>
          <w:szCs w:val="20"/>
          <w:lang w:val="es-MX"/>
        </w:rPr>
        <w:t>En este orden de ideas, de acuerdo a la información proporcionada por la Auditoría Superior del Estado, durante los ejercicios fiscales 2019 y 2020 se efectuaron las siguientes revisiones y auditorías a la administración pública de Silao de la Victoria, Gto.:</w:t>
      </w:r>
    </w:p>
    <w:p w14:paraId="27CE40B6" w14:textId="77777777" w:rsidR="009E1A38" w:rsidRPr="009E1A38" w:rsidRDefault="009E1A38" w:rsidP="007A2E58">
      <w:pPr>
        <w:jc w:val="both"/>
        <w:rPr>
          <w:rFonts w:ascii="Abadi" w:hAnsi="Abadi"/>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376"/>
        <w:gridCol w:w="1063"/>
        <w:gridCol w:w="1063"/>
      </w:tblGrid>
      <w:tr w:rsidR="009E1A38" w:rsidRPr="009E1A38" w14:paraId="029B37A4" w14:textId="77777777" w:rsidTr="009E1A38">
        <w:trPr>
          <w:jc w:val="center"/>
        </w:trPr>
        <w:tc>
          <w:tcPr>
            <w:tcW w:w="1271" w:type="dxa"/>
            <w:tcBorders>
              <w:top w:val="single" w:sz="4" w:space="0" w:color="auto"/>
              <w:left w:val="single" w:sz="4" w:space="0" w:color="auto"/>
              <w:bottom w:val="single" w:sz="4" w:space="0" w:color="auto"/>
              <w:right w:val="single" w:sz="4" w:space="0" w:color="auto"/>
            </w:tcBorders>
            <w:hideMark/>
          </w:tcPr>
          <w:p w14:paraId="2E9548E1" w14:textId="77777777" w:rsidR="009E1A38" w:rsidRPr="009E1A38" w:rsidRDefault="009E1A38" w:rsidP="007A2E58">
            <w:pPr>
              <w:jc w:val="both"/>
              <w:rPr>
                <w:rFonts w:ascii="Abadi" w:hAnsi="Abadi"/>
                <w:b/>
                <w:sz w:val="20"/>
                <w:szCs w:val="20"/>
                <w:lang w:val="es-MX"/>
              </w:rPr>
            </w:pPr>
            <w:r w:rsidRPr="009E1A38">
              <w:rPr>
                <w:rFonts w:ascii="Abadi" w:hAnsi="Abadi"/>
                <w:b/>
                <w:sz w:val="20"/>
                <w:szCs w:val="20"/>
                <w:lang w:val="es-MX"/>
              </w:rPr>
              <w:t>Ejercicio</w:t>
            </w:r>
          </w:p>
        </w:tc>
        <w:tc>
          <w:tcPr>
            <w:tcW w:w="3404" w:type="dxa"/>
            <w:tcBorders>
              <w:top w:val="single" w:sz="4" w:space="0" w:color="auto"/>
              <w:left w:val="single" w:sz="4" w:space="0" w:color="auto"/>
              <w:bottom w:val="single" w:sz="4" w:space="0" w:color="auto"/>
              <w:right w:val="single" w:sz="4" w:space="0" w:color="auto"/>
            </w:tcBorders>
            <w:hideMark/>
          </w:tcPr>
          <w:p w14:paraId="3019B382" w14:textId="77777777" w:rsidR="009E1A38" w:rsidRPr="009E1A38" w:rsidRDefault="009E1A38" w:rsidP="007A2E58">
            <w:pPr>
              <w:jc w:val="both"/>
              <w:rPr>
                <w:rFonts w:ascii="Abadi" w:hAnsi="Abadi"/>
                <w:b/>
                <w:sz w:val="20"/>
                <w:szCs w:val="20"/>
                <w:lang w:val="es-MX"/>
              </w:rPr>
            </w:pPr>
            <w:r w:rsidRPr="009E1A38">
              <w:rPr>
                <w:rFonts w:ascii="Abadi" w:hAnsi="Abadi"/>
                <w:b/>
                <w:sz w:val="20"/>
                <w:szCs w:val="20"/>
                <w:lang w:val="es-MX"/>
              </w:rPr>
              <w:t>Tipo de Revisión</w:t>
            </w:r>
          </w:p>
          <w:p w14:paraId="65085EE9" w14:textId="77777777" w:rsidR="009E1A38" w:rsidRPr="009E1A38" w:rsidRDefault="009E1A38" w:rsidP="007A2E58">
            <w:pPr>
              <w:jc w:val="both"/>
              <w:rPr>
                <w:rFonts w:ascii="Abadi" w:hAnsi="Abadi"/>
                <w:b/>
                <w:sz w:val="20"/>
                <w:szCs w:val="20"/>
                <w:lang w:val="es-MX"/>
              </w:rPr>
            </w:pPr>
            <w:r w:rsidRPr="009E1A38">
              <w:rPr>
                <w:rFonts w:ascii="Abadi" w:hAnsi="Abadi"/>
                <w:b/>
                <w:sz w:val="20"/>
                <w:szCs w:val="20"/>
                <w:lang w:val="es-MX"/>
              </w:rPr>
              <w:t>/Auditoría</w:t>
            </w:r>
          </w:p>
        </w:tc>
        <w:tc>
          <w:tcPr>
            <w:tcW w:w="1431" w:type="dxa"/>
            <w:tcBorders>
              <w:top w:val="single" w:sz="4" w:space="0" w:color="auto"/>
              <w:left w:val="single" w:sz="4" w:space="0" w:color="auto"/>
              <w:bottom w:val="single" w:sz="4" w:space="0" w:color="auto"/>
              <w:right w:val="single" w:sz="4" w:space="0" w:color="auto"/>
            </w:tcBorders>
            <w:hideMark/>
          </w:tcPr>
          <w:p w14:paraId="0D2E04F0" w14:textId="77777777" w:rsidR="009E1A38" w:rsidRPr="009E1A38" w:rsidRDefault="009E1A38" w:rsidP="007A2E58">
            <w:pPr>
              <w:jc w:val="both"/>
              <w:rPr>
                <w:rFonts w:ascii="Abadi" w:hAnsi="Abadi"/>
                <w:b/>
                <w:sz w:val="20"/>
                <w:szCs w:val="20"/>
                <w:lang w:val="es-MX"/>
              </w:rPr>
            </w:pPr>
            <w:r w:rsidRPr="009E1A38">
              <w:rPr>
                <w:rFonts w:ascii="Abadi" w:hAnsi="Abadi"/>
                <w:b/>
                <w:sz w:val="20"/>
                <w:szCs w:val="20"/>
                <w:lang w:val="es-MX"/>
              </w:rPr>
              <w:t>Porcentaje revisado de ingresos</w:t>
            </w:r>
          </w:p>
        </w:tc>
        <w:tc>
          <w:tcPr>
            <w:tcW w:w="1431" w:type="dxa"/>
            <w:tcBorders>
              <w:top w:val="single" w:sz="4" w:space="0" w:color="auto"/>
              <w:left w:val="single" w:sz="4" w:space="0" w:color="auto"/>
              <w:bottom w:val="single" w:sz="4" w:space="0" w:color="auto"/>
              <w:right w:val="single" w:sz="4" w:space="0" w:color="auto"/>
            </w:tcBorders>
            <w:hideMark/>
          </w:tcPr>
          <w:p w14:paraId="39801B11" w14:textId="77777777" w:rsidR="009E1A38" w:rsidRPr="009E1A38" w:rsidRDefault="009E1A38" w:rsidP="007A2E58">
            <w:pPr>
              <w:jc w:val="both"/>
              <w:rPr>
                <w:rFonts w:ascii="Abadi" w:hAnsi="Abadi"/>
                <w:b/>
                <w:sz w:val="20"/>
                <w:szCs w:val="20"/>
                <w:lang w:val="es-MX"/>
              </w:rPr>
            </w:pPr>
            <w:r w:rsidRPr="009E1A38">
              <w:rPr>
                <w:rFonts w:ascii="Abadi" w:hAnsi="Abadi"/>
                <w:b/>
                <w:sz w:val="20"/>
                <w:szCs w:val="20"/>
                <w:lang w:val="es-MX"/>
              </w:rPr>
              <w:t>Porcentaje revisado de egresos</w:t>
            </w:r>
          </w:p>
        </w:tc>
      </w:tr>
      <w:tr w:rsidR="009E1A38" w:rsidRPr="009E1A38" w14:paraId="731F1BF0" w14:textId="77777777" w:rsidTr="009E1A38">
        <w:trPr>
          <w:jc w:val="center"/>
        </w:trPr>
        <w:tc>
          <w:tcPr>
            <w:tcW w:w="1271" w:type="dxa"/>
            <w:tcBorders>
              <w:top w:val="single" w:sz="4" w:space="0" w:color="auto"/>
              <w:left w:val="single" w:sz="4" w:space="0" w:color="auto"/>
              <w:bottom w:val="single" w:sz="4" w:space="0" w:color="auto"/>
              <w:right w:val="single" w:sz="4" w:space="0" w:color="auto"/>
            </w:tcBorders>
            <w:hideMark/>
          </w:tcPr>
          <w:p w14:paraId="17B2479A" w14:textId="77777777" w:rsidR="009E1A38" w:rsidRPr="009E1A38" w:rsidRDefault="009E1A38" w:rsidP="007A2E58">
            <w:pPr>
              <w:jc w:val="both"/>
              <w:rPr>
                <w:rFonts w:ascii="Abadi" w:hAnsi="Abadi"/>
                <w:bCs/>
                <w:sz w:val="20"/>
                <w:szCs w:val="20"/>
                <w:lang w:val="es-MX"/>
              </w:rPr>
            </w:pPr>
            <w:r w:rsidRPr="009E1A38">
              <w:rPr>
                <w:rFonts w:ascii="Abadi" w:hAnsi="Abadi"/>
                <w:sz w:val="20"/>
                <w:szCs w:val="20"/>
                <w:lang w:val="es-MX"/>
              </w:rPr>
              <w:t>2019</w:t>
            </w:r>
          </w:p>
        </w:tc>
        <w:tc>
          <w:tcPr>
            <w:tcW w:w="3404" w:type="dxa"/>
            <w:tcBorders>
              <w:top w:val="single" w:sz="4" w:space="0" w:color="auto"/>
              <w:left w:val="single" w:sz="4" w:space="0" w:color="auto"/>
              <w:bottom w:val="single" w:sz="4" w:space="0" w:color="auto"/>
              <w:right w:val="single" w:sz="4" w:space="0" w:color="auto"/>
            </w:tcBorders>
            <w:vAlign w:val="center"/>
            <w:hideMark/>
          </w:tcPr>
          <w:p w14:paraId="2D719B31" w14:textId="77777777" w:rsidR="009E1A38" w:rsidRPr="009E1A38" w:rsidRDefault="009E1A38" w:rsidP="007A2E58">
            <w:pPr>
              <w:jc w:val="both"/>
              <w:rPr>
                <w:rFonts w:ascii="Abadi" w:hAnsi="Abadi"/>
                <w:bCs/>
                <w:sz w:val="20"/>
                <w:szCs w:val="20"/>
                <w:lang w:val="es-MX"/>
              </w:rPr>
            </w:pPr>
            <w:r w:rsidRPr="009E1A38">
              <w:rPr>
                <w:rFonts w:ascii="Abadi" w:hAnsi="Abadi"/>
                <w:bCs/>
                <w:sz w:val="20"/>
                <w:szCs w:val="20"/>
                <w:lang w:val="es-MX"/>
              </w:rPr>
              <w:t>Auditoría al Ramo General 33 y Obra Pública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A5B72C6" w14:textId="77777777" w:rsidR="009E1A38" w:rsidRPr="009E1A38" w:rsidRDefault="009E1A38" w:rsidP="007A2E58">
            <w:pPr>
              <w:jc w:val="both"/>
              <w:rPr>
                <w:rFonts w:ascii="Abadi" w:hAnsi="Abadi"/>
                <w:sz w:val="20"/>
                <w:szCs w:val="20"/>
                <w:lang w:val="es-MX"/>
              </w:rPr>
            </w:pPr>
            <w:r w:rsidRPr="009E1A38">
              <w:rPr>
                <w:rFonts w:ascii="Abadi" w:hAnsi="Abadi"/>
                <w:bCs/>
                <w:sz w:val="20"/>
                <w:szCs w:val="20"/>
                <w:lang w:val="es-MX"/>
              </w:rPr>
              <w:t>100*</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14F1D2D" w14:textId="77777777" w:rsidR="009E1A38" w:rsidRPr="009E1A38" w:rsidRDefault="009E1A38" w:rsidP="007A2E58">
            <w:pPr>
              <w:jc w:val="both"/>
              <w:rPr>
                <w:rFonts w:ascii="Abadi" w:hAnsi="Abadi"/>
                <w:sz w:val="20"/>
                <w:szCs w:val="20"/>
                <w:lang w:val="es-MX"/>
              </w:rPr>
            </w:pPr>
            <w:r w:rsidRPr="009E1A38">
              <w:rPr>
                <w:rFonts w:ascii="Abadi" w:hAnsi="Abadi"/>
                <w:bCs/>
                <w:sz w:val="20"/>
                <w:szCs w:val="20"/>
                <w:lang w:val="es-MX"/>
              </w:rPr>
              <w:t>46</w:t>
            </w:r>
          </w:p>
        </w:tc>
      </w:tr>
      <w:tr w:rsidR="009E1A38" w:rsidRPr="009E1A38" w14:paraId="0B17BB20" w14:textId="77777777" w:rsidTr="009E1A38">
        <w:trPr>
          <w:jc w:val="center"/>
        </w:trPr>
        <w:tc>
          <w:tcPr>
            <w:tcW w:w="1271" w:type="dxa"/>
            <w:tcBorders>
              <w:top w:val="single" w:sz="4" w:space="0" w:color="auto"/>
              <w:left w:val="single" w:sz="4" w:space="0" w:color="auto"/>
              <w:bottom w:val="single" w:sz="4" w:space="0" w:color="auto"/>
              <w:right w:val="single" w:sz="4" w:space="0" w:color="auto"/>
            </w:tcBorders>
            <w:hideMark/>
          </w:tcPr>
          <w:p w14:paraId="0B7FC92A" w14:textId="77777777" w:rsidR="009E1A38" w:rsidRPr="009E1A38" w:rsidRDefault="009E1A38" w:rsidP="007A2E58">
            <w:pPr>
              <w:jc w:val="both"/>
              <w:rPr>
                <w:rFonts w:ascii="Abadi" w:hAnsi="Abadi"/>
                <w:b/>
                <w:sz w:val="20"/>
                <w:szCs w:val="20"/>
                <w:lang w:val="es-MX"/>
              </w:rPr>
            </w:pPr>
            <w:r w:rsidRPr="009E1A38">
              <w:rPr>
                <w:rFonts w:ascii="Abadi" w:hAnsi="Abadi"/>
                <w:sz w:val="20"/>
                <w:szCs w:val="20"/>
                <w:lang w:val="es-MX"/>
              </w:rPr>
              <w:t>2019</w:t>
            </w:r>
          </w:p>
        </w:tc>
        <w:tc>
          <w:tcPr>
            <w:tcW w:w="3404" w:type="dxa"/>
            <w:tcBorders>
              <w:top w:val="single" w:sz="4" w:space="0" w:color="auto"/>
              <w:left w:val="single" w:sz="4" w:space="0" w:color="auto"/>
              <w:bottom w:val="single" w:sz="4" w:space="0" w:color="auto"/>
              <w:right w:val="single" w:sz="4" w:space="0" w:color="auto"/>
            </w:tcBorders>
            <w:hideMark/>
          </w:tcPr>
          <w:p w14:paraId="40551737" w14:textId="77777777" w:rsidR="009E1A38" w:rsidRPr="009E1A38" w:rsidRDefault="009E1A38" w:rsidP="007A2E58">
            <w:pPr>
              <w:jc w:val="both"/>
              <w:rPr>
                <w:rFonts w:ascii="Abadi" w:hAnsi="Abadi"/>
                <w:sz w:val="20"/>
                <w:szCs w:val="20"/>
                <w:lang w:val="es-MX"/>
              </w:rPr>
            </w:pPr>
            <w:r w:rsidRPr="009E1A38">
              <w:rPr>
                <w:rFonts w:ascii="Abadi" w:hAnsi="Abadi"/>
                <w:sz w:val="20"/>
                <w:szCs w:val="20"/>
                <w:lang w:val="es-MX"/>
              </w:rPr>
              <w:t>Revisión de cuenta pública</w:t>
            </w:r>
          </w:p>
          <w:p w14:paraId="1B687359" w14:textId="77777777" w:rsidR="009E1A38" w:rsidRPr="009E1A38" w:rsidRDefault="009E1A38" w:rsidP="007A2E58">
            <w:pPr>
              <w:jc w:val="both"/>
              <w:rPr>
                <w:rFonts w:ascii="Abadi" w:hAnsi="Abadi"/>
                <w:b/>
                <w:sz w:val="20"/>
                <w:szCs w:val="20"/>
                <w:lang w:val="es-MX"/>
              </w:rPr>
            </w:pPr>
            <w:r w:rsidRPr="009E1A38">
              <w:rPr>
                <w:rFonts w:ascii="Abadi" w:hAnsi="Abadi"/>
                <w:sz w:val="20"/>
                <w:szCs w:val="20"/>
                <w:lang w:val="es-MX"/>
              </w:rPr>
              <w:t>Sector central</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11DD30F" w14:textId="77777777" w:rsidR="009E1A38" w:rsidRPr="009E1A38" w:rsidRDefault="009E1A38" w:rsidP="007A2E58">
            <w:pPr>
              <w:jc w:val="both"/>
              <w:rPr>
                <w:rFonts w:ascii="Abadi" w:hAnsi="Abadi"/>
                <w:sz w:val="20"/>
                <w:szCs w:val="20"/>
                <w:lang w:val="es-MX"/>
              </w:rPr>
            </w:pPr>
            <w:r w:rsidRPr="009E1A38">
              <w:rPr>
                <w:rFonts w:ascii="Abadi" w:hAnsi="Abadi"/>
                <w:sz w:val="20"/>
                <w:szCs w:val="20"/>
              </w:rPr>
              <w:t>66</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036A2FE" w14:textId="77777777" w:rsidR="009E1A38" w:rsidRPr="009E1A38" w:rsidRDefault="009E1A38" w:rsidP="007A2E58">
            <w:pPr>
              <w:jc w:val="both"/>
              <w:rPr>
                <w:rFonts w:ascii="Abadi" w:hAnsi="Abadi"/>
                <w:sz w:val="20"/>
                <w:szCs w:val="20"/>
                <w:lang w:val="es-MX"/>
              </w:rPr>
            </w:pPr>
            <w:r w:rsidRPr="009E1A38">
              <w:rPr>
                <w:rFonts w:ascii="Abadi" w:hAnsi="Abadi"/>
                <w:sz w:val="20"/>
                <w:szCs w:val="20"/>
              </w:rPr>
              <w:t>49</w:t>
            </w:r>
          </w:p>
        </w:tc>
      </w:tr>
      <w:tr w:rsidR="009E1A38" w:rsidRPr="009E1A38" w14:paraId="4F287314" w14:textId="77777777" w:rsidTr="009E1A38">
        <w:trPr>
          <w:jc w:val="center"/>
        </w:trPr>
        <w:tc>
          <w:tcPr>
            <w:tcW w:w="1271" w:type="dxa"/>
            <w:tcBorders>
              <w:top w:val="single" w:sz="4" w:space="0" w:color="auto"/>
              <w:left w:val="single" w:sz="4" w:space="0" w:color="auto"/>
              <w:bottom w:val="single" w:sz="4" w:space="0" w:color="auto"/>
              <w:right w:val="single" w:sz="4" w:space="0" w:color="auto"/>
            </w:tcBorders>
            <w:hideMark/>
          </w:tcPr>
          <w:p w14:paraId="28726DBA" w14:textId="77777777" w:rsidR="009E1A38" w:rsidRPr="009E1A38" w:rsidRDefault="009E1A38" w:rsidP="007A2E58">
            <w:pPr>
              <w:jc w:val="both"/>
              <w:rPr>
                <w:rFonts w:ascii="Abadi" w:hAnsi="Abadi"/>
                <w:bCs/>
                <w:sz w:val="20"/>
                <w:szCs w:val="20"/>
                <w:lang w:val="es-MX"/>
              </w:rPr>
            </w:pPr>
            <w:r w:rsidRPr="009E1A38">
              <w:rPr>
                <w:rFonts w:ascii="Abadi" w:hAnsi="Abadi"/>
                <w:sz w:val="20"/>
                <w:szCs w:val="20"/>
                <w:lang w:val="es-MX"/>
              </w:rPr>
              <w:t>2020</w:t>
            </w:r>
          </w:p>
        </w:tc>
        <w:tc>
          <w:tcPr>
            <w:tcW w:w="3404" w:type="dxa"/>
            <w:tcBorders>
              <w:top w:val="single" w:sz="4" w:space="0" w:color="auto"/>
              <w:left w:val="single" w:sz="4" w:space="0" w:color="auto"/>
              <w:bottom w:val="single" w:sz="4" w:space="0" w:color="auto"/>
              <w:right w:val="single" w:sz="4" w:space="0" w:color="auto"/>
            </w:tcBorders>
            <w:hideMark/>
          </w:tcPr>
          <w:p w14:paraId="48E84DC3" w14:textId="77777777" w:rsidR="009E1A38" w:rsidRPr="009E1A38" w:rsidRDefault="009E1A38" w:rsidP="007A2E58">
            <w:pPr>
              <w:jc w:val="both"/>
              <w:rPr>
                <w:rFonts w:ascii="Abadi" w:hAnsi="Abadi"/>
                <w:bCs/>
                <w:sz w:val="20"/>
                <w:szCs w:val="20"/>
                <w:lang w:val="es-MX"/>
              </w:rPr>
            </w:pPr>
            <w:r w:rsidRPr="009E1A38">
              <w:rPr>
                <w:rFonts w:ascii="Abadi" w:hAnsi="Abadi"/>
                <w:sz w:val="20"/>
                <w:szCs w:val="20"/>
                <w:lang w:val="es-MX"/>
              </w:rPr>
              <w:t>Auditoría a la infraestructura pública municipal</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2FC1FD6" w14:textId="77777777" w:rsidR="009E1A38" w:rsidRPr="009E1A38" w:rsidRDefault="009E1A38" w:rsidP="007A2E58">
            <w:pPr>
              <w:jc w:val="both"/>
              <w:rPr>
                <w:rFonts w:ascii="Abadi" w:hAnsi="Abadi"/>
                <w:sz w:val="20"/>
                <w:szCs w:val="20"/>
                <w:lang w:val="es-MX"/>
              </w:rPr>
            </w:pPr>
            <w:r w:rsidRPr="009E1A38">
              <w:rPr>
                <w:rFonts w:ascii="Abadi" w:hAnsi="Abadi"/>
                <w:bCs/>
                <w:sz w:val="20"/>
                <w:szCs w:val="20"/>
                <w:lang w:val="es-MX"/>
              </w:rPr>
              <w:t>100*</w:t>
            </w:r>
          </w:p>
        </w:tc>
        <w:tc>
          <w:tcPr>
            <w:tcW w:w="1431" w:type="dxa"/>
            <w:tcBorders>
              <w:top w:val="single" w:sz="4" w:space="0" w:color="auto"/>
              <w:left w:val="single" w:sz="4" w:space="0" w:color="auto"/>
              <w:bottom w:val="single" w:sz="4" w:space="0" w:color="auto"/>
              <w:right w:val="single" w:sz="4" w:space="0" w:color="auto"/>
            </w:tcBorders>
            <w:vAlign w:val="center"/>
            <w:hideMark/>
          </w:tcPr>
          <w:p w14:paraId="6D5E2117" w14:textId="77777777" w:rsidR="009E1A38" w:rsidRPr="009E1A38" w:rsidRDefault="009E1A38" w:rsidP="007A2E58">
            <w:pPr>
              <w:jc w:val="both"/>
              <w:rPr>
                <w:rFonts w:ascii="Abadi" w:hAnsi="Abadi"/>
                <w:sz w:val="20"/>
                <w:szCs w:val="20"/>
                <w:lang w:val="es-MX"/>
              </w:rPr>
            </w:pPr>
            <w:r w:rsidRPr="009E1A38">
              <w:rPr>
                <w:rFonts w:ascii="Abadi" w:hAnsi="Abadi"/>
                <w:bCs/>
                <w:sz w:val="20"/>
                <w:szCs w:val="20"/>
                <w:lang w:val="es-MX"/>
              </w:rPr>
              <w:t>52</w:t>
            </w:r>
          </w:p>
        </w:tc>
      </w:tr>
      <w:tr w:rsidR="009E1A38" w:rsidRPr="009E1A38" w14:paraId="3F38B4D5" w14:textId="77777777" w:rsidTr="009E1A38">
        <w:trPr>
          <w:jc w:val="center"/>
        </w:trPr>
        <w:tc>
          <w:tcPr>
            <w:tcW w:w="1271" w:type="dxa"/>
            <w:tcBorders>
              <w:top w:val="single" w:sz="4" w:space="0" w:color="auto"/>
              <w:left w:val="single" w:sz="4" w:space="0" w:color="auto"/>
              <w:bottom w:val="single" w:sz="4" w:space="0" w:color="auto"/>
              <w:right w:val="single" w:sz="4" w:space="0" w:color="auto"/>
            </w:tcBorders>
            <w:hideMark/>
          </w:tcPr>
          <w:p w14:paraId="5DD3ACB1" w14:textId="77777777" w:rsidR="009E1A38" w:rsidRPr="009E1A38" w:rsidRDefault="009E1A38" w:rsidP="007A2E58">
            <w:pPr>
              <w:jc w:val="both"/>
              <w:rPr>
                <w:rFonts w:ascii="Abadi" w:hAnsi="Abadi"/>
                <w:bCs/>
                <w:sz w:val="20"/>
                <w:szCs w:val="20"/>
                <w:lang w:val="es-MX"/>
              </w:rPr>
            </w:pPr>
            <w:r w:rsidRPr="009E1A38">
              <w:rPr>
                <w:rFonts w:ascii="Abadi" w:hAnsi="Abadi"/>
                <w:sz w:val="20"/>
                <w:szCs w:val="20"/>
                <w:lang w:val="es-MX"/>
              </w:rPr>
              <w:t>2020</w:t>
            </w:r>
          </w:p>
        </w:tc>
        <w:tc>
          <w:tcPr>
            <w:tcW w:w="3404" w:type="dxa"/>
            <w:tcBorders>
              <w:top w:val="single" w:sz="4" w:space="0" w:color="auto"/>
              <w:left w:val="single" w:sz="4" w:space="0" w:color="auto"/>
              <w:bottom w:val="single" w:sz="4" w:space="0" w:color="auto"/>
              <w:right w:val="single" w:sz="4" w:space="0" w:color="auto"/>
            </w:tcBorders>
          </w:tcPr>
          <w:p w14:paraId="1C94E7C2" w14:textId="77777777" w:rsidR="009E1A38" w:rsidRPr="009E1A38" w:rsidRDefault="009E1A38" w:rsidP="007A2E58">
            <w:pPr>
              <w:jc w:val="both"/>
              <w:rPr>
                <w:rFonts w:ascii="Abadi" w:hAnsi="Abadi"/>
                <w:sz w:val="20"/>
                <w:szCs w:val="20"/>
                <w:lang w:val="es-MX"/>
              </w:rPr>
            </w:pPr>
            <w:r w:rsidRPr="009E1A38">
              <w:rPr>
                <w:rFonts w:ascii="Abadi" w:hAnsi="Abadi"/>
                <w:sz w:val="20"/>
                <w:szCs w:val="20"/>
                <w:lang w:val="es-MX"/>
              </w:rPr>
              <w:t>Revisión de cuenta pública</w:t>
            </w:r>
          </w:p>
          <w:p w14:paraId="178BAEB5" w14:textId="77777777" w:rsidR="009E1A38" w:rsidRPr="009E1A38" w:rsidRDefault="009E1A38" w:rsidP="007A2E58">
            <w:pPr>
              <w:jc w:val="both"/>
              <w:rPr>
                <w:rFonts w:ascii="Abadi" w:hAnsi="Abadi"/>
                <w:sz w:val="20"/>
                <w:szCs w:val="20"/>
                <w:lang w:val="es-MX"/>
              </w:rPr>
            </w:pPr>
            <w:r w:rsidRPr="009E1A38">
              <w:rPr>
                <w:rFonts w:ascii="Abadi" w:hAnsi="Abadi"/>
                <w:sz w:val="20"/>
                <w:szCs w:val="20"/>
                <w:lang w:val="es-MX"/>
              </w:rPr>
              <w:t>Sector central</w:t>
            </w:r>
          </w:p>
          <w:p w14:paraId="64BA1631" w14:textId="77777777" w:rsidR="009E1A38" w:rsidRPr="009E1A38" w:rsidRDefault="009E1A38" w:rsidP="007A2E58">
            <w:pPr>
              <w:jc w:val="both"/>
              <w:rPr>
                <w:rFonts w:ascii="Abadi" w:hAnsi="Abadi"/>
                <w:bCs/>
                <w:sz w:val="20"/>
                <w:szCs w:val="20"/>
                <w:lang w:val="es-MX"/>
              </w:rPr>
            </w:pPr>
          </w:p>
        </w:tc>
        <w:tc>
          <w:tcPr>
            <w:tcW w:w="1431" w:type="dxa"/>
            <w:tcBorders>
              <w:top w:val="single" w:sz="4" w:space="0" w:color="auto"/>
              <w:left w:val="single" w:sz="4" w:space="0" w:color="auto"/>
              <w:bottom w:val="single" w:sz="4" w:space="0" w:color="auto"/>
              <w:right w:val="single" w:sz="4" w:space="0" w:color="auto"/>
            </w:tcBorders>
            <w:hideMark/>
          </w:tcPr>
          <w:p w14:paraId="51F237BB" w14:textId="77777777" w:rsidR="009E1A38" w:rsidRPr="009E1A38" w:rsidRDefault="009E1A38" w:rsidP="007A2E58">
            <w:pPr>
              <w:jc w:val="both"/>
              <w:rPr>
                <w:rFonts w:ascii="Abadi" w:hAnsi="Abadi"/>
                <w:sz w:val="20"/>
                <w:szCs w:val="20"/>
                <w:lang w:val="es-MX"/>
              </w:rPr>
            </w:pPr>
            <w:r w:rsidRPr="009E1A38">
              <w:rPr>
                <w:rFonts w:ascii="Abadi" w:hAnsi="Abadi"/>
                <w:sz w:val="20"/>
                <w:szCs w:val="20"/>
              </w:rPr>
              <w:t>61</w:t>
            </w:r>
          </w:p>
        </w:tc>
        <w:tc>
          <w:tcPr>
            <w:tcW w:w="1431" w:type="dxa"/>
            <w:tcBorders>
              <w:top w:val="single" w:sz="4" w:space="0" w:color="auto"/>
              <w:left w:val="single" w:sz="4" w:space="0" w:color="auto"/>
              <w:bottom w:val="single" w:sz="4" w:space="0" w:color="auto"/>
              <w:right w:val="single" w:sz="4" w:space="0" w:color="auto"/>
            </w:tcBorders>
            <w:vAlign w:val="center"/>
            <w:hideMark/>
          </w:tcPr>
          <w:p w14:paraId="5450EA48" w14:textId="77777777" w:rsidR="009E1A38" w:rsidRPr="009E1A38" w:rsidRDefault="009E1A38" w:rsidP="007A2E58">
            <w:pPr>
              <w:jc w:val="both"/>
              <w:rPr>
                <w:rFonts w:ascii="Abadi" w:hAnsi="Abadi"/>
                <w:sz w:val="20"/>
                <w:szCs w:val="20"/>
                <w:lang w:val="es-MX"/>
              </w:rPr>
            </w:pPr>
            <w:r w:rsidRPr="009E1A38">
              <w:rPr>
                <w:rFonts w:ascii="Abadi" w:hAnsi="Abadi"/>
                <w:sz w:val="20"/>
                <w:szCs w:val="20"/>
              </w:rPr>
              <w:t>53</w:t>
            </w:r>
          </w:p>
        </w:tc>
      </w:tr>
      <w:tr w:rsidR="009E1A38" w:rsidRPr="009E1A38" w14:paraId="7E650F71" w14:textId="77777777" w:rsidTr="009E1A38">
        <w:trPr>
          <w:jc w:val="center"/>
        </w:trPr>
        <w:tc>
          <w:tcPr>
            <w:tcW w:w="1271" w:type="dxa"/>
            <w:tcBorders>
              <w:top w:val="single" w:sz="4" w:space="0" w:color="auto"/>
              <w:left w:val="single" w:sz="4" w:space="0" w:color="auto"/>
              <w:bottom w:val="single" w:sz="4" w:space="0" w:color="auto"/>
              <w:right w:val="single" w:sz="4" w:space="0" w:color="auto"/>
            </w:tcBorders>
            <w:hideMark/>
          </w:tcPr>
          <w:p w14:paraId="7D7E1FB3" w14:textId="77777777" w:rsidR="009E1A38" w:rsidRPr="009E1A38" w:rsidRDefault="009E1A38" w:rsidP="007A2E58">
            <w:pPr>
              <w:jc w:val="both"/>
              <w:rPr>
                <w:rFonts w:ascii="Abadi" w:hAnsi="Abadi"/>
                <w:b/>
                <w:sz w:val="20"/>
                <w:szCs w:val="20"/>
                <w:lang w:val="es-MX"/>
              </w:rPr>
            </w:pPr>
            <w:r w:rsidRPr="009E1A38">
              <w:rPr>
                <w:rFonts w:ascii="Abadi" w:hAnsi="Abadi"/>
                <w:sz w:val="20"/>
                <w:szCs w:val="20"/>
                <w:lang w:val="es-MX"/>
              </w:rPr>
              <w:t>2021</w:t>
            </w:r>
          </w:p>
        </w:tc>
        <w:tc>
          <w:tcPr>
            <w:tcW w:w="3404" w:type="dxa"/>
            <w:tcBorders>
              <w:top w:val="single" w:sz="4" w:space="0" w:color="auto"/>
              <w:left w:val="single" w:sz="4" w:space="0" w:color="auto"/>
              <w:bottom w:val="single" w:sz="4" w:space="0" w:color="auto"/>
              <w:right w:val="single" w:sz="4" w:space="0" w:color="auto"/>
            </w:tcBorders>
            <w:hideMark/>
          </w:tcPr>
          <w:p w14:paraId="6A930B70" w14:textId="77777777" w:rsidR="009E1A38" w:rsidRPr="009E1A38" w:rsidRDefault="009E1A38" w:rsidP="007A2E58">
            <w:pPr>
              <w:jc w:val="both"/>
              <w:rPr>
                <w:rFonts w:ascii="Abadi" w:hAnsi="Abadi"/>
                <w:b/>
                <w:sz w:val="20"/>
                <w:szCs w:val="20"/>
                <w:lang w:val="es-MX"/>
              </w:rPr>
            </w:pPr>
            <w:r w:rsidRPr="009E1A38">
              <w:rPr>
                <w:rFonts w:ascii="Abadi" w:hAnsi="Abadi"/>
                <w:sz w:val="20"/>
                <w:szCs w:val="20"/>
                <w:lang w:val="es-MX"/>
              </w:rPr>
              <w:t>Revisión de cuenta pública y auditoría de infraestructura pública</w:t>
            </w:r>
          </w:p>
        </w:tc>
        <w:tc>
          <w:tcPr>
            <w:tcW w:w="1431" w:type="dxa"/>
            <w:tcBorders>
              <w:top w:val="single" w:sz="4" w:space="0" w:color="auto"/>
              <w:left w:val="single" w:sz="4" w:space="0" w:color="auto"/>
              <w:bottom w:val="single" w:sz="4" w:space="0" w:color="auto"/>
              <w:right w:val="single" w:sz="4" w:space="0" w:color="auto"/>
            </w:tcBorders>
          </w:tcPr>
          <w:p w14:paraId="262AB9CE" w14:textId="77777777" w:rsidR="009E1A38" w:rsidRPr="009E1A38" w:rsidRDefault="009E1A38" w:rsidP="007A2E58">
            <w:pPr>
              <w:jc w:val="both"/>
              <w:rPr>
                <w:rFonts w:ascii="Abadi" w:hAnsi="Abadi"/>
                <w:sz w:val="20"/>
                <w:szCs w:val="20"/>
                <w:lang w:val="es-MX"/>
              </w:rPr>
            </w:pPr>
          </w:p>
        </w:tc>
        <w:tc>
          <w:tcPr>
            <w:tcW w:w="1431" w:type="dxa"/>
            <w:tcBorders>
              <w:top w:val="single" w:sz="4" w:space="0" w:color="auto"/>
              <w:left w:val="single" w:sz="4" w:space="0" w:color="auto"/>
              <w:bottom w:val="single" w:sz="4" w:space="0" w:color="auto"/>
              <w:right w:val="single" w:sz="4" w:space="0" w:color="auto"/>
            </w:tcBorders>
            <w:vAlign w:val="center"/>
          </w:tcPr>
          <w:p w14:paraId="5026DFD0" w14:textId="77777777" w:rsidR="009E1A38" w:rsidRPr="009E1A38" w:rsidRDefault="009E1A38" w:rsidP="007A2E58">
            <w:pPr>
              <w:jc w:val="both"/>
              <w:rPr>
                <w:rFonts w:ascii="Abadi" w:hAnsi="Abadi"/>
                <w:sz w:val="20"/>
                <w:szCs w:val="20"/>
                <w:lang w:val="es-MX"/>
              </w:rPr>
            </w:pPr>
          </w:p>
        </w:tc>
      </w:tr>
      <w:tr w:rsidR="009E1A38" w:rsidRPr="009E1A38" w14:paraId="05A4B150" w14:textId="77777777" w:rsidTr="009E1A38">
        <w:trPr>
          <w:jc w:val="center"/>
        </w:trPr>
        <w:tc>
          <w:tcPr>
            <w:tcW w:w="1271" w:type="dxa"/>
            <w:tcBorders>
              <w:top w:val="single" w:sz="4" w:space="0" w:color="auto"/>
              <w:left w:val="single" w:sz="4" w:space="0" w:color="auto"/>
              <w:bottom w:val="single" w:sz="4" w:space="0" w:color="auto"/>
              <w:right w:val="single" w:sz="4" w:space="0" w:color="auto"/>
            </w:tcBorders>
          </w:tcPr>
          <w:p w14:paraId="060E5CF0" w14:textId="77777777" w:rsidR="009E1A38" w:rsidRPr="009E1A38" w:rsidRDefault="009E1A38" w:rsidP="007A2E58">
            <w:pPr>
              <w:jc w:val="both"/>
              <w:rPr>
                <w:rFonts w:ascii="Abadi" w:hAnsi="Abadi"/>
                <w:bCs/>
                <w:sz w:val="20"/>
                <w:szCs w:val="20"/>
                <w:lang w:val="es-MX"/>
              </w:rPr>
            </w:pPr>
          </w:p>
        </w:tc>
        <w:tc>
          <w:tcPr>
            <w:tcW w:w="3404" w:type="dxa"/>
            <w:tcBorders>
              <w:top w:val="single" w:sz="4" w:space="0" w:color="auto"/>
              <w:left w:val="single" w:sz="4" w:space="0" w:color="auto"/>
              <w:bottom w:val="single" w:sz="4" w:space="0" w:color="auto"/>
              <w:right w:val="single" w:sz="4" w:space="0" w:color="auto"/>
            </w:tcBorders>
            <w:hideMark/>
          </w:tcPr>
          <w:p w14:paraId="70101277" w14:textId="77777777" w:rsidR="009E1A38" w:rsidRPr="009E1A38" w:rsidRDefault="009E1A38" w:rsidP="007A2E58">
            <w:pPr>
              <w:jc w:val="both"/>
              <w:rPr>
                <w:rFonts w:ascii="Abadi" w:hAnsi="Abadi"/>
                <w:bCs/>
                <w:sz w:val="20"/>
                <w:szCs w:val="20"/>
                <w:lang w:val="es-MX"/>
              </w:rPr>
            </w:pPr>
            <w:r w:rsidRPr="009E1A38">
              <w:rPr>
                <w:rFonts w:ascii="Abadi" w:hAnsi="Abadi"/>
                <w:sz w:val="20"/>
                <w:szCs w:val="20"/>
                <w:lang w:val="es-MX"/>
              </w:rPr>
              <w:t>En etapa de análisis de información financiera del periodo de enero a junio y julio a diciembre de 2021</w:t>
            </w:r>
          </w:p>
        </w:tc>
        <w:tc>
          <w:tcPr>
            <w:tcW w:w="1431" w:type="dxa"/>
            <w:tcBorders>
              <w:top w:val="single" w:sz="4" w:space="0" w:color="auto"/>
              <w:left w:val="single" w:sz="4" w:space="0" w:color="auto"/>
              <w:bottom w:val="single" w:sz="4" w:space="0" w:color="auto"/>
              <w:right w:val="single" w:sz="4" w:space="0" w:color="auto"/>
            </w:tcBorders>
            <w:hideMark/>
          </w:tcPr>
          <w:p w14:paraId="33A150AC" w14:textId="77777777" w:rsidR="009E1A38" w:rsidRPr="009E1A38" w:rsidRDefault="009E1A38" w:rsidP="007A2E58">
            <w:pPr>
              <w:jc w:val="both"/>
              <w:rPr>
                <w:rFonts w:ascii="Abadi" w:hAnsi="Abadi"/>
                <w:sz w:val="20"/>
                <w:szCs w:val="20"/>
                <w:lang w:val="es-MX"/>
              </w:rPr>
            </w:pPr>
            <w:r w:rsidRPr="009E1A38">
              <w:rPr>
                <w:rFonts w:ascii="Abadi" w:hAnsi="Abadi"/>
                <w:sz w:val="20"/>
                <w:szCs w:val="20"/>
              </w:rPr>
              <w:t>Proceso</w:t>
            </w:r>
          </w:p>
        </w:tc>
        <w:tc>
          <w:tcPr>
            <w:tcW w:w="1431" w:type="dxa"/>
            <w:tcBorders>
              <w:top w:val="single" w:sz="4" w:space="0" w:color="auto"/>
              <w:left w:val="single" w:sz="4" w:space="0" w:color="auto"/>
              <w:bottom w:val="single" w:sz="4" w:space="0" w:color="auto"/>
              <w:right w:val="single" w:sz="4" w:space="0" w:color="auto"/>
            </w:tcBorders>
            <w:hideMark/>
          </w:tcPr>
          <w:p w14:paraId="4EA0B09F" w14:textId="77777777" w:rsidR="009E1A38" w:rsidRPr="009E1A38" w:rsidRDefault="009E1A38" w:rsidP="007A2E58">
            <w:pPr>
              <w:jc w:val="both"/>
              <w:rPr>
                <w:rFonts w:ascii="Abadi" w:hAnsi="Abadi"/>
                <w:sz w:val="20"/>
                <w:szCs w:val="20"/>
                <w:lang w:val="es-MX"/>
              </w:rPr>
            </w:pPr>
            <w:r w:rsidRPr="009E1A38">
              <w:rPr>
                <w:rFonts w:ascii="Abadi" w:hAnsi="Abadi"/>
                <w:sz w:val="20"/>
                <w:szCs w:val="20"/>
                <w:lang w:val="es-MX"/>
              </w:rPr>
              <w:t>Proceso</w:t>
            </w:r>
          </w:p>
        </w:tc>
      </w:tr>
    </w:tbl>
    <w:p w14:paraId="1A32EC9B" w14:textId="77777777" w:rsidR="009E1A38" w:rsidRPr="009E1A38" w:rsidRDefault="009E1A38" w:rsidP="007A2E58">
      <w:pPr>
        <w:jc w:val="both"/>
        <w:rPr>
          <w:rFonts w:ascii="Abadi" w:hAnsi="Abadi"/>
          <w:b/>
          <w:bCs/>
          <w:sz w:val="20"/>
          <w:szCs w:val="20"/>
          <w:lang w:val="es-MX"/>
        </w:rPr>
      </w:pPr>
    </w:p>
    <w:p w14:paraId="2EABC609" w14:textId="77777777" w:rsidR="009E1A38" w:rsidRPr="009E1A38" w:rsidRDefault="009E1A38" w:rsidP="007A2E58">
      <w:pPr>
        <w:jc w:val="both"/>
        <w:rPr>
          <w:rFonts w:ascii="Abadi" w:hAnsi="Abadi"/>
          <w:sz w:val="20"/>
          <w:szCs w:val="20"/>
          <w:lang w:val="es-MX"/>
        </w:rPr>
      </w:pPr>
      <w:r w:rsidRPr="009E1A38">
        <w:rPr>
          <w:rFonts w:ascii="Abadi" w:hAnsi="Abadi"/>
          <w:sz w:val="20"/>
          <w:szCs w:val="20"/>
          <w:lang w:val="es-MX"/>
        </w:rPr>
        <w:t>* FAISMDF</w:t>
      </w:r>
    </w:p>
    <w:p w14:paraId="0ED904F0" w14:textId="77777777" w:rsidR="009E1A38" w:rsidRPr="009E1A38" w:rsidRDefault="009E1A38" w:rsidP="007A2E58">
      <w:pPr>
        <w:jc w:val="both"/>
        <w:rPr>
          <w:rFonts w:ascii="Abadi" w:hAnsi="Abadi"/>
          <w:sz w:val="20"/>
          <w:szCs w:val="20"/>
          <w:lang w:val="es-MX"/>
        </w:rPr>
      </w:pPr>
    </w:p>
    <w:p w14:paraId="369F3179" w14:textId="77777777" w:rsidR="009E1A38" w:rsidRPr="009E1A38" w:rsidRDefault="009E1A38" w:rsidP="003F22AC">
      <w:pPr>
        <w:ind w:firstLine="708"/>
        <w:jc w:val="both"/>
        <w:rPr>
          <w:rFonts w:ascii="Abadi" w:hAnsi="Abadi"/>
          <w:sz w:val="20"/>
          <w:szCs w:val="20"/>
          <w:lang w:val="es-MX"/>
        </w:rPr>
      </w:pPr>
      <w:r w:rsidRPr="009E1A38">
        <w:rPr>
          <w:rFonts w:ascii="Abadi" w:hAnsi="Abadi"/>
          <w:sz w:val="20"/>
          <w:szCs w:val="20"/>
          <w:lang w:val="es-MX"/>
        </w:rPr>
        <w:t>De acuerdo a la información proporcionada por la Auditoría Superior del Estado para la realización de los procesos de fiscalización se determinan con base en los riesgos identificados durante la etapa de planeación. Los análisis realizados en la planeación están vinculados con la generalidad del sujeto de fiscalización, con los sistemas transaccionales, de control interno, de materialidad presupuestal, de visibilidad y relevancia, así como de posibles riesgos asociados, entre los que destacan: Actas de órgano de gobierno y adquisiciones, notas periodísticas, publicaciones en el Periódico Oficial de Gobierno del Estado, análisis de demandas, informes de auditoría emitidos por órganos internos de control, auditorías externas y realizadas por la propia Auditoría Superior del Estado, sistemas transaccionales (tesorería, ingresos, bienes muebles e inmuebles, servicios personales, ayudas y subsidios, deuda, entre otros); variaciones presupuestales, saldos de cuenta de balance y resultados, bancos, proveedores y contratistas, enajenación y adquisición de bienes muebles e inmuebles y procesamiento de CFDI (XML).</w:t>
      </w:r>
    </w:p>
    <w:p w14:paraId="1439B0F9" w14:textId="77777777" w:rsidR="009E1A38" w:rsidRPr="009E1A38" w:rsidRDefault="009E1A38" w:rsidP="007A2E58">
      <w:pPr>
        <w:jc w:val="both"/>
        <w:rPr>
          <w:rFonts w:ascii="Abadi" w:hAnsi="Abadi"/>
          <w:sz w:val="20"/>
          <w:szCs w:val="20"/>
          <w:lang w:val="es-MX"/>
        </w:rPr>
      </w:pPr>
    </w:p>
    <w:p w14:paraId="0446F4E9" w14:textId="77777777" w:rsidR="009E1A38" w:rsidRPr="009E1A38" w:rsidRDefault="009E1A38" w:rsidP="003F22AC">
      <w:pPr>
        <w:ind w:firstLine="708"/>
        <w:jc w:val="both"/>
        <w:rPr>
          <w:rFonts w:ascii="Abadi" w:hAnsi="Abadi"/>
          <w:sz w:val="20"/>
          <w:szCs w:val="20"/>
          <w:lang w:val="es-MX"/>
        </w:rPr>
      </w:pPr>
      <w:r w:rsidRPr="009E1A38">
        <w:rPr>
          <w:rFonts w:ascii="Abadi" w:hAnsi="Abadi"/>
          <w:sz w:val="20"/>
          <w:szCs w:val="20"/>
          <w:lang w:val="es-MX"/>
        </w:rPr>
        <w:t xml:space="preserve">El alcance y procedimientos referidos forman parte de los análisis que realiza la Auditoría Superior del Estado para efecto de determinar la materialidad y la extensión de los procedimientos de auditoría a aplicar en la etapa de ejecución, situación por la cual, los alcances establecidos en los respectivos informes de resultados se complementan con los procedimientos de planeación específica, mismos que forman parte integral del análisis que realiza dicho ente auditor. </w:t>
      </w:r>
    </w:p>
    <w:p w14:paraId="5DF18D9D" w14:textId="77777777" w:rsidR="009E1A38" w:rsidRPr="009E1A38" w:rsidRDefault="009E1A38" w:rsidP="007A2E58">
      <w:pPr>
        <w:jc w:val="both"/>
        <w:rPr>
          <w:rFonts w:ascii="Abadi" w:hAnsi="Abadi"/>
          <w:sz w:val="20"/>
          <w:szCs w:val="20"/>
          <w:lang w:val="es-MX"/>
        </w:rPr>
      </w:pPr>
    </w:p>
    <w:p w14:paraId="16D2B30E" w14:textId="77777777" w:rsidR="009E1A38" w:rsidRPr="009E1A38" w:rsidRDefault="009E1A38" w:rsidP="003F22AC">
      <w:pPr>
        <w:ind w:firstLine="708"/>
        <w:jc w:val="both"/>
        <w:rPr>
          <w:rFonts w:ascii="Abadi" w:hAnsi="Abadi"/>
          <w:sz w:val="20"/>
          <w:szCs w:val="20"/>
          <w:lang w:val="es-MX"/>
        </w:rPr>
      </w:pPr>
      <w:r w:rsidRPr="009E1A38">
        <w:rPr>
          <w:rFonts w:ascii="Abadi" w:hAnsi="Abadi"/>
          <w:sz w:val="20"/>
          <w:szCs w:val="20"/>
          <w:lang w:val="es-MX"/>
        </w:rPr>
        <w:t>Respecto a los procedimientos aplicados, en las planeaciones de los ejercicios fiscales revisados se consideró lo siguiente: Identificar a los contratistas con mayor número de obras adjudicadas, y en su caso verificar si cuentan con la capacidad suficiente para la ejecución de las mismas; identificar los contratos de mayor importe y verificar el proceso de adjudicación; verificar si los contratistas que ejecutaron obras o servicios en el Municipio han sido observados anteriormente; revisar obras de urbanización y edificación de mayor importe que, por la complejidad, magnitud y volumetría de los trabajos ejecutados, origina un alto riesgo relacionado a la ejecución y supervisión de los mismos, pudiendo derivar en observaciones ligadas a calidad de obra, precios unitarios, cantidades de obra, soporte documental, cierre administrativo, etc; revisar los servicios de supervisión externa ligados a cada una de las obras que integran la muestra de auditoría; realizar análisis previos de planeación relativos a la facturación electrónica, así como de personas físicas y morales que tuvieron relaciones comerciales o contractuales con el sujeto fiscalizado; y revisar la información contable para identificar saldos pendientes por amortizar de anticipos otorgados en ejercicios anteriores.</w:t>
      </w:r>
    </w:p>
    <w:p w14:paraId="2C2BCC98" w14:textId="77777777" w:rsidR="009E1A38" w:rsidRPr="009E1A38" w:rsidRDefault="009E1A38" w:rsidP="007A2E58">
      <w:pPr>
        <w:jc w:val="both"/>
        <w:rPr>
          <w:rFonts w:ascii="Abadi" w:hAnsi="Abadi"/>
          <w:sz w:val="20"/>
          <w:szCs w:val="20"/>
          <w:lang w:val="es-MX"/>
        </w:rPr>
      </w:pPr>
    </w:p>
    <w:p w14:paraId="7FC5D0C0" w14:textId="77777777" w:rsidR="003F22AC" w:rsidRDefault="009E1A38" w:rsidP="003F22AC">
      <w:pPr>
        <w:ind w:firstLine="708"/>
        <w:jc w:val="both"/>
        <w:rPr>
          <w:rFonts w:ascii="Abadi" w:hAnsi="Abadi"/>
          <w:sz w:val="20"/>
          <w:szCs w:val="20"/>
          <w:lang w:val="es-MX"/>
        </w:rPr>
      </w:pPr>
      <w:r w:rsidRPr="009E1A38">
        <w:rPr>
          <w:rFonts w:ascii="Abadi" w:hAnsi="Abadi"/>
          <w:sz w:val="20"/>
          <w:szCs w:val="20"/>
          <w:lang w:val="es-MX"/>
        </w:rPr>
        <w:t xml:space="preserve">Destacando que en las referidas auditorías se contempló la revisión de una muestra de las obras y acciones ejercidas por la administración municipal en los periodos auditados, las cuales se determinaron con base en una planeación basada en riesgos, entre cuyos análisis se contemplan los temas de interés de la sociedad reflejados en notas periodísticas y el interés parlamentario, entre otros. </w:t>
      </w:r>
    </w:p>
    <w:p w14:paraId="38992D88" w14:textId="77777777" w:rsidR="003F22AC" w:rsidRDefault="003F22AC" w:rsidP="003F22AC">
      <w:pPr>
        <w:jc w:val="both"/>
        <w:rPr>
          <w:rFonts w:ascii="Abadi" w:hAnsi="Abadi"/>
          <w:sz w:val="20"/>
          <w:szCs w:val="20"/>
          <w:lang w:val="es-MX"/>
        </w:rPr>
      </w:pPr>
    </w:p>
    <w:p w14:paraId="2754B903" w14:textId="62E65008" w:rsidR="009E1A38" w:rsidRPr="009E1A38" w:rsidRDefault="009E1A38" w:rsidP="003F22AC">
      <w:pPr>
        <w:ind w:firstLine="708"/>
        <w:jc w:val="both"/>
        <w:rPr>
          <w:rFonts w:ascii="Abadi" w:hAnsi="Abadi"/>
          <w:sz w:val="20"/>
          <w:szCs w:val="20"/>
          <w:lang w:val="es-MX"/>
        </w:rPr>
      </w:pPr>
      <w:r w:rsidRPr="009E1A38">
        <w:rPr>
          <w:rFonts w:ascii="Abadi" w:hAnsi="Abadi"/>
          <w:sz w:val="20"/>
          <w:szCs w:val="20"/>
          <w:lang w:val="es-MX"/>
        </w:rPr>
        <w:t>De igual forma, a las obras de la muestra de auditoría se les aplicaron los procedimientos señalados previamente y derivado de las consideraciones del proponente no se identificaron riesgos específicos relacionados a obra pública.</w:t>
      </w:r>
    </w:p>
    <w:p w14:paraId="784A811A" w14:textId="77777777" w:rsidR="009E1A38" w:rsidRPr="009E1A38" w:rsidRDefault="009E1A38" w:rsidP="007A2E58">
      <w:pPr>
        <w:jc w:val="both"/>
        <w:rPr>
          <w:rFonts w:ascii="Abadi" w:hAnsi="Abadi"/>
          <w:sz w:val="20"/>
          <w:szCs w:val="20"/>
          <w:lang w:val="es-MX"/>
        </w:rPr>
      </w:pPr>
    </w:p>
    <w:p w14:paraId="5D47BA8E" w14:textId="77777777" w:rsidR="009E1A38" w:rsidRPr="009E1A38" w:rsidRDefault="009E1A38" w:rsidP="003F22AC">
      <w:pPr>
        <w:ind w:firstLine="708"/>
        <w:jc w:val="both"/>
        <w:rPr>
          <w:rFonts w:ascii="Abadi" w:hAnsi="Abadi"/>
          <w:sz w:val="20"/>
          <w:szCs w:val="20"/>
          <w:lang w:val="es-MX"/>
        </w:rPr>
      </w:pPr>
      <w:r w:rsidRPr="009E1A38">
        <w:rPr>
          <w:rFonts w:ascii="Abadi" w:hAnsi="Abadi"/>
          <w:sz w:val="20"/>
          <w:szCs w:val="20"/>
          <w:lang w:val="es-MX"/>
        </w:rPr>
        <w:t>Por lo que hace a la revisión de la cuenta pública correspondiente al ejercicio fiscal del año 2019 se revisaron los siguientes rubros:</w:t>
      </w:r>
    </w:p>
    <w:p w14:paraId="7B62C958" w14:textId="77777777" w:rsidR="003F22AC" w:rsidRDefault="003F22AC" w:rsidP="007A2E58">
      <w:pPr>
        <w:jc w:val="both"/>
        <w:rPr>
          <w:rFonts w:ascii="Abadi" w:hAnsi="Abadi"/>
          <w:b/>
          <w:bCs/>
          <w:sz w:val="20"/>
          <w:szCs w:val="20"/>
          <w:lang w:val="es-MX"/>
        </w:rPr>
      </w:pPr>
    </w:p>
    <w:p w14:paraId="23CCBA05" w14:textId="67748016" w:rsidR="009E1A38" w:rsidRPr="009E1A38" w:rsidRDefault="009E1A38" w:rsidP="007A2E58">
      <w:pPr>
        <w:jc w:val="both"/>
        <w:rPr>
          <w:rFonts w:ascii="Abadi" w:hAnsi="Abadi"/>
          <w:b/>
          <w:bCs/>
          <w:sz w:val="20"/>
          <w:szCs w:val="20"/>
          <w:lang w:val="es-MX"/>
        </w:rPr>
      </w:pPr>
      <w:r w:rsidRPr="009E1A38">
        <w:rPr>
          <w:rFonts w:ascii="Abadi" w:hAnsi="Abadi"/>
          <w:b/>
          <w:bCs/>
          <w:sz w:val="20"/>
          <w:szCs w:val="20"/>
          <w:lang w:val="es-MX"/>
        </w:rPr>
        <w:t>Sector Central:</w:t>
      </w:r>
    </w:p>
    <w:p w14:paraId="000922E5" w14:textId="77777777" w:rsidR="009E1A38" w:rsidRPr="009E1A38" w:rsidRDefault="009E1A38" w:rsidP="001A28E5">
      <w:pPr>
        <w:numPr>
          <w:ilvl w:val="0"/>
          <w:numId w:val="64"/>
        </w:numPr>
        <w:jc w:val="both"/>
        <w:rPr>
          <w:rFonts w:ascii="Abadi" w:hAnsi="Abadi"/>
          <w:sz w:val="20"/>
          <w:szCs w:val="20"/>
          <w:lang w:val="es-MX"/>
        </w:rPr>
      </w:pPr>
      <w:r w:rsidRPr="009E1A38">
        <w:rPr>
          <w:rFonts w:ascii="Abadi" w:hAnsi="Abadi"/>
          <w:b/>
          <w:bCs/>
          <w:sz w:val="20"/>
          <w:szCs w:val="20"/>
          <w:u w:val="single"/>
          <w:lang w:val="es-MX"/>
        </w:rPr>
        <w:t>Activo:</w:t>
      </w:r>
      <w:r w:rsidRPr="009E1A38">
        <w:rPr>
          <w:rFonts w:ascii="Abadi" w:hAnsi="Abadi"/>
          <w:sz w:val="20"/>
          <w:szCs w:val="20"/>
          <w:lang w:val="es-MX"/>
        </w:rPr>
        <w:t xml:space="preserve"> Pagos de nómina, adquisiciones de </w:t>
      </w:r>
      <w:r w:rsidRPr="009E1A38">
        <w:rPr>
          <w:rFonts w:ascii="Abadi" w:hAnsi="Abadi"/>
          <w:sz w:val="20"/>
          <w:szCs w:val="20"/>
        </w:rPr>
        <w:t>automóviles y camiones</w:t>
      </w:r>
      <w:r w:rsidRPr="009E1A38">
        <w:rPr>
          <w:rFonts w:ascii="Abadi" w:hAnsi="Abadi"/>
          <w:sz w:val="20"/>
          <w:szCs w:val="20"/>
          <w:lang w:val="es-MX"/>
        </w:rPr>
        <w:t xml:space="preserve"> y equipo de cómputo.</w:t>
      </w:r>
    </w:p>
    <w:p w14:paraId="798C4CD5" w14:textId="77777777" w:rsidR="009E1A38" w:rsidRPr="009E1A38" w:rsidRDefault="009E1A38" w:rsidP="007A2E58">
      <w:pPr>
        <w:jc w:val="both"/>
        <w:rPr>
          <w:rFonts w:ascii="Abadi" w:hAnsi="Abadi"/>
          <w:sz w:val="20"/>
          <w:szCs w:val="20"/>
          <w:lang w:val="es-MX"/>
        </w:rPr>
      </w:pPr>
    </w:p>
    <w:p w14:paraId="166C7694" w14:textId="77777777" w:rsidR="009E1A38" w:rsidRPr="009E1A38" w:rsidRDefault="009E1A38" w:rsidP="001A28E5">
      <w:pPr>
        <w:numPr>
          <w:ilvl w:val="0"/>
          <w:numId w:val="64"/>
        </w:numPr>
        <w:jc w:val="both"/>
        <w:rPr>
          <w:rFonts w:ascii="Abadi" w:hAnsi="Abadi"/>
          <w:sz w:val="20"/>
          <w:szCs w:val="20"/>
          <w:lang w:val="es-MX"/>
        </w:rPr>
      </w:pPr>
      <w:r w:rsidRPr="009E1A38">
        <w:rPr>
          <w:rFonts w:ascii="Abadi" w:hAnsi="Abadi"/>
          <w:b/>
          <w:sz w:val="20"/>
          <w:szCs w:val="20"/>
          <w:u w:val="single"/>
          <w:lang w:val="es-MX"/>
        </w:rPr>
        <w:t>Ingresos:</w:t>
      </w:r>
      <w:r w:rsidRPr="009E1A38">
        <w:rPr>
          <w:rFonts w:ascii="Abadi" w:hAnsi="Abadi"/>
          <w:bCs/>
          <w:sz w:val="20"/>
          <w:szCs w:val="20"/>
          <w:lang w:val="es-MX"/>
        </w:rPr>
        <w:t xml:space="preserve"> Participaciones y aportaciones. </w:t>
      </w:r>
    </w:p>
    <w:p w14:paraId="5A0DBBF1" w14:textId="77777777" w:rsidR="009E1A38" w:rsidRPr="009E1A38" w:rsidRDefault="009E1A38" w:rsidP="007A2E58">
      <w:pPr>
        <w:jc w:val="both"/>
        <w:rPr>
          <w:rFonts w:ascii="Abadi" w:hAnsi="Abadi"/>
          <w:sz w:val="20"/>
          <w:szCs w:val="20"/>
          <w:lang w:val="es-MX"/>
        </w:rPr>
      </w:pPr>
    </w:p>
    <w:p w14:paraId="5BF004E2" w14:textId="77777777" w:rsidR="009E1A38" w:rsidRPr="009E1A38" w:rsidRDefault="009E1A38" w:rsidP="001A28E5">
      <w:pPr>
        <w:numPr>
          <w:ilvl w:val="0"/>
          <w:numId w:val="64"/>
        </w:numPr>
        <w:jc w:val="both"/>
        <w:rPr>
          <w:rFonts w:ascii="Abadi" w:hAnsi="Abadi"/>
          <w:sz w:val="20"/>
          <w:szCs w:val="20"/>
          <w:lang w:val="es-MX"/>
        </w:rPr>
      </w:pPr>
      <w:r w:rsidRPr="009E1A38">
        <w:rPr>
          <w:rFonts w:ascii="Abadi" w:hAnsi="Abadi"/>
          <w:b/>
          <w:bCs/>
          <w:sz w:val="20"/>
          <w:szCs w:val="20"/>
          <w:u w:val="single"/>
          <w:lang w:val="es-MX"/>
        </w:rPr>
        <w:t>Egresos</w:t>
      </w:r>
      <w:r w:rsidRPr="009E1A38">
        <w:rPr>
          <w:rFonts w:ascii="Abadi" w:hAnsi="Abadi"/>
          <w:b/>
          <w:bCs/>
          <w:sz w:val="20"/>
          <w:szCs w:val="20"/>
          <w:lang w:val="es-MX"/>
        </w:rPr>
        <w:t>:</w:t>
      </w:r>
      <w:r w:rsidRPr="009E1A38">
        <w:rPr>
          <w:rFonts w:ascii="Abadi" w:hAnsi="Abadi"/>
          <w:sz w:val="20"/>
          <w:szCs w:val="20"/>
          <w:lang w:val="es-MX"/>
        </w:rPr>
        <w:t xml:space="preserve"> Servicios personales: Sueldos, remuneraciones de eventuales, asignaciones adicionales al sueldo, gratificación de fin de año, dietas, otras prestaciones y jubilaciones, liquidaciones por indemnización, entre otros. </w:t>
      </w:r>
    </w:p>
    <w:p w14:paraId="7B0CA412" w14:textId="77777777" w:rsidR="007A2E58" w:rsidRDefault="007A2E58" w:rsidP="007A2E58">
      <w:pPr>
        <w:jc w:val="both"/>
        <w:rPr>
          <w:rFonts w:ascii="Abadi" w:hAnsi="Abadi"/>
          <w:sz w:val="20"/>
          <w:szCs w:val="20"/>
          <w:lang w:val="es-MX"/>
        </w:rPr>
      </w:pPr>
    </w:p>
    <w:p w14:paraId="21F8475E" w14:textId="0A2CFDAE" w:rsidR="009E1A38" w:rsidRPr="009E1A38" w:rsidRDefault="009E1A38" w:rsidP="003F22AC">
      <w:pPr>
        <w:ind w:firstLine="708"/>
        <w:jc w:val="both"/>
        <w:rPr>
          <w:rFonts w:ascii="Abadi" w:hAnsi="Abadi"/>
          <w:sz w:val="20"/>
          <w:szCs w:val="20"/>
          <w:lang w:val="es-MX"/>
        </w:rPr>
      </w:pPr>
      <w:r w:rsidRPr="009E1A38">
        <w:rPr>
          <w:rFonts w:ascii="Abadi" w:hAnsi="Abadi"/>
          <w:sz w:val="20"/>
          <w:szCs w:val="20"/>
          <w:lang w:val="es-MX"/>
        </w:rPr>
        <w:t xml:space="preserve">Materiales y suministros: </w:t>
      </w:r>
      <w:r w:rsidRPr="009E1A38">
        <w:rPr>
          <w:rFonts w:ascii="Abadi" w:hAnsi="Abadi"/>
          <w:sz w:val="20"/>
          <w:szCs w:val="20"/>
        </w:rPr>
        <w:t>Materiales y útiles de tecnologías de la información y comunicación, vestuario y uniformes, prendas de protección para seguridad pública</w:t>
      </w:r>
      <w:r w:rsidRPr="009E1A38">
        <w:rPr>
          <w:rFonts w:ascii="Abadi" w:hAnsi="Abadi"/>
          <w:sz w:val="20"/>
          <w:szCs w:val="20"/>
          <w:lang w:val="es-MX"/>
        </w:rPr>
        <w:t xml:space="preserve">.  </w:t>
      </w:r>
    </w:p>
    <w:p w14:paraId="26E01900" w14:textId="77777777" w:rsidR="003D2062" w:rsidRDefault="003D2062" w:rsidP="007A2E58">
      <w:pPr>
        <w:jc w:val="both"/>
        <w:rPr>
          <w:rFonts w:ascii="Abadi" w:hAnsi="Abadi"/>
          <w:sz w:val="20"/>
          <w:szCs w:val="20"/>
          <w:lang w:val="es-MX"/>
        </w:rPr>
      </w:pPr>
    </w:p>
    <w:p w14:paraId="4CD69EE4" w14:textId="11F95FE2" w:rsidR="009E1A38" w:rsidRPr="009E1A38" w:rsidRDefault="009E1A38" w:rsidP="003F22AC">
      <w:pPr>
        <w:ind w:firstLine="708"/>
        <w:jc w:val="both"/>
        <w:rPr>
          <w:rFonts w:ascii="Abadi" w:hAnsi="Abadi"/>
          <w:sz w:val="20"/>
          <w:szCs w:val="20"/>
        </w:rPr>
      </w:pPr>
      <w:r w:rsidRPr="009E1A38">
        <w:rPr>
          <w:rFonts w:ascii="Abadi" w:hAnsi="Abadi"/>
          <w:sz w:val="20"/>
          <w:szCs w:val="20"/>
          <w:lang w:val="es-MX"/>
        </w:rPr>
        <w:t xml:space="preserve">Servicios generales: </w:t>
      </w:r>
      <w:r w:rsidRPr="009E1A38">
        <w:rPr>
          <w:rFonts w:ascii="Abadi" w:hAnsi="Abadi"/>
          <w:sz w:val="20"/>
          <w:szCs w:val="20"/>
        </w:rPr>
        <w:t xml:space="preserve">Arrendamiento vehículos servicios administrativos, servicios de consultoría administrativa, servicios profesionales científicos y técnicos integrales, gastos de orden social y cultural.  </w:t>
      </w:r>
    </w:p>
    <w:p w14:paraId="739C60A0" w14:textId="77777777" w:rsidR="003D2062" w:rsidRDefault="003D2062" w:rsidP="007A2E58">
      <w:pPr>
        <w:jc w:val="both"/>
        <w:rPr>
          <w:rFonts w:ascii="Abadi" w:hAnsi="Abadi"/>
          <w:sz w:val="20"/>
          <w:szCs w:val="20"/>
        </w:rPr>
      </w:pPr>
    </w:p>
    <w:p w14:paraId="609A5E14" w14:textId="7E2BDBCE" w:rsidR="009E1A38" w:rsidRPr="009E1A38" w:rsidRDefault="009E1A38" w:rsidP="003F22AC">
      <w:pPr>
        <w:ind w:firstLine="708"/>
        <w:jc w:val="both"/>
        <w:rPr>
          <w:rFonts w:ascii="Abadi" w:hAnsi="Abadi"/>
          <w:sz w:val="20"/>
          <w:szCs w:val="20"/>
        </w:rPr>
      </w:pPr>
      <w:r w:rsidRPr="009E1A38">
        <w:rPr>
          <w:rFonts w:ascii="Abadi" w:hAnsi="Abadi"/>
          <w:sz w:val="20"/>
          <w:szCs w:val="20"/>
        </w:rPr>
        <w:t xml:space="preserve">Subsidios y subvenciones: Transferencias asignaciones subsidios y otras ayudas, gastos relacionados con actividades culturales deportivas y ayudas. </w:t>
      </w:r>
    </w:p>
    <w:p w14:paraId="1D180986" w14:textId="77777777" w:rsidR="009E1A38" w:rsidRPr="009E1A38" w:rsidRDefault="009E1A38" w:rsidP="007A2E58">
      <w:pPr>
        <w:jc w:val="both"/>
        <w:rPr>
          <w:rFonts w:ascii="Abadi" w:hAnsi="Abadi"/>
          <w:sz w:val="20"/>
          <w:szCs w:val="20"/>
        </w:rPr>
      </w:pPr>
    </w:p>
    <w:p w14:paraId="3E320E81" w14:textId="77777777" w:rsidR="009E1A38" w:rsidRPr="009E1A38" w:rsidRDefault="009E1A38" w:rsidP="003F22AC">
      <w:pPr>
        <w:ind w:firstLine="708"/>
        <w:jc w:val="both"/>
        <w:rPr>
          <w:rFonts w:ascii="Abadi" w:hAnsi="Abadi"/>
          <w:sz w:val="20"/>
          <w:szCs w:val="20"/>
        </w:rPr>
      </w:pPr>
      <w:r w:rsidRPr="009E1A38">
        <w:rPr>
          <w:rFonts w:ascii="Abadi" w:hAnsi="Abadi"/>
          <w:sz w:val="20"/>
          <w:szCs w:val="20"/>
        </w:rPr>
        <w:t>Adicionalmente, se investigó sobre la existencia del acta de aprobación de la extinción del Instituto Municipal de Vivienda de Silao, así como los términos de liquidación.</w:t>
      </w:r>
    </w:p>
    <w:p w14:paraId="216346E1" w14:textId="77777777" w:rsidR="009E1A38" w:rsidRPr="009E1A38" w:rsidRDefault="009E1A38" w:rsidP="007A2E58">
      <w:pPr>
        <w:jc w:val="both"/>
        <w:rPr>
          <w:rFonts w:ascii="Abadi" w:hAnsi="Abadi"/>
          <w:sz w:val="20"/>
          <w:szCs w:val="20"/>
        </w:rPr>
      </w:pPr>
    </w:p>
    <w:p w14:paraId="1AC46109" w14:textId="17D330C1" w:rsidR="009E1A38" w:rsidRDefault="009E1A38" w:rsidP="003F22AC">
      <w:pPr>
        <w:ind w:firstLine="708"/>
        <w:jc w:val="both"/>
        <w:rPr>
          <w:rFonts w:ascii="Abadi" w:hAnsi="Abadi"/>
          <w:sz w:val="20"/>
          <w:szCs w:val="20"/>
        </w:rPr>
      </w:pPr>
      <w:r w:rsidRPr="009E1A38">
        <w:rPr>
          <w:rFonts w:ascii="Abadi" w:hAnsi="Abadi"/>
          <w:sz w:val="20"/>
          <w:szCs w:val="20"/>
        </w:rPr>
        <w:t>De la cuenta pública correspondiente al ejercicio fiscal 2020 se revisaron los siguientes apartados:</w:t>
      </w:r>
    </w:p>
    <w:p w14:paraId="4094B7C6" w14:textId="77777777" w:rsidR="00032D70" w:rsidRPr="009E1A38" w:rsidRDefault="00032D70" w:rsidP="007A2E58">
      <w:pPr>
        <w:jc w:val="both"/>
        <w:rPr>
          <w:rFonts w:ascii="Abadi" w:hAnsi="Abadi"/>
          <w:sz w:val="20"/>
          <w:szCs w:val="20"/>
        </w:rPr>
      </w:pPr>
    </w:p>
    <w:p w14:paraId="7ACB4925" w14:textId="77777777" w:rsidR="009E1A38" w:rsidRPr="009E1A38" w:rsidRDefault="009E1A38" w:rsidP="007A2E58">
      <w:pPr>
        <w:jc w:val="both"/>
        <w:rPr>
          <w:rFonts w:ascii="Abadi" w:hAnsi="Abadi"/>
          <w:sz w:val="20"/>
          <w:szCs w:val="20"/>
        </w:rPr>
      </w:pPr>
      <w:r w:rsidRPr="009E1A38">
        <w:rPr>
          <w:rFonts w:ascii="Abadi" w:hAnsi="Abadi"/>
          <w:b/>
          <w:bCs/>
          <w:sz w:val="20"/>
          <w:szCs w:val="20"/>
        </w:rPr>
        <w:t>Sector Central:</w:t>
      </w:r>
      <w:r w:rsidRPr="009E1A38">
        <w:rPr>
          <w:rFonts w:ascii="Abadi" w:hAnsi="Abadi"/>
          <w:sz w:val="20"/>
          <w:szCs w:val="20"/>
        </w:rPr>
        <w:t xml:space="preserve"> </w:t>
      </w:r>
    </w:p>
    <w:p w14:paraId="63C1F717" w14:textId="12F0AB3D" w:rsidR="009E1A38" w:rsidRPr="009E1A38" w:rsidRDefault="009E1A38" w:rsidP="001A28E5">
      <w:pPr>
        <w:numPr>
          <w:ilvl w:val="0"/>
          <w:numId w:val="64"/>
        </w:numPr>
        <w:jc w:val="both"/>
        <w:rPr>
          <w:rFonts w:ascii="Abadi" w:hAnsi="Abadi"/>
          <w:bCs/>
          <w:sz w:val="20"/>
          <w:szCs w:val="20"/>
          <w:lang w:val="es-MX"/>
        </w:rPr>
      </w:pPr>
      <w:r w:rsidRPr="009E1A38">
        <w:rPr>
          <w:rFonts w:ascii="Abadi" w:hAnsi="Abadi"/>
          <w:b/>
          <w:bCs/>
          <w:sz w:val="20"/>
          <w:szCs w:val="20"/>
          <w:u w:val="single"/>
          <w:lang w:val="es-MX"/>
        </w:rPr>
        <w:t>Activo:</w:t>
      </w:r>
      <w:r w:rsidRPr="009E1A38">
        <w:rPr>
          <w:rFonts w:ascii="Abadi" w:hAnsi="Abadi"/>
          <w:sz w:val="20"/>
          <w:szCs w:val="20"/>
          <w:lang w:val="es-MX"/>
        </w:rPr>
        <w:t xml:space="preserve"> Adquisiciones de: </w:t>
      </w:r>
      <w:r w:rsidRPr="009E1A38">
        <w:rPr>
          <w:rFonts w:ascii="Abadi" w:hAnsi="Abadi"/>
          <w:sz w:val="20"/>
          <w:szCs w:val="20"/>
        </w:rPr>
        <w:t>Muebles de oficina y estantería</w:t>
      </w:r>
      <w:r w:rsidRPr="009E1A38">
        <w:rPr>
          <w:rFonts w:ascii="Abadi" w:hAnsi="Abadi"/>
          <w:sz w:val="20"/>
          <w:szCs w:val="20"/>
          <w:lang w:val="es-MX"/>
        </w:rPr>
        <w:t>, a</w:t>
      </w:r>
      <w:r w:rsidR="00032D70" w:rsidRPr="009E1A38">
        <w:rPr>
          <w:rFonts w:ascii="Abadi" w:hAnsi="Abadi"/>
          <w:sz w:val="20"/>
          <w:szCs w:val="20"/>
        </w:rPr>
        <w:t>automóviles</w:t>
      </w:r>
      <w:r w:rsidRPr="009E1A38">
        <w:rPr>
          <w:rFonts w:ascii="Abadi" w:hAnsi="Abadi"/>
          <w:sz w:val="20"/>
          <w:szCs w:val="20"/>
        </w:rPr>
        <w:t xml:space="preserve"> y camiones, sistemas de aire acondicionado calefacción y refrigeración, software</w:t>
      </w:r>
      <w:r w:rsidRPr="009E1A38">
        <w:rPr>
          <w:rFonts w:ascii="Abadi" w:hAnsi="Abadi"/>
          <w:sz w:val="20"/>
          <w:szCs w:val="20"/>
          <w:lang w:val="es-MX"/>
        </w:rPr>
        <w:t>.</w:t>
      </w:r>
    </w:p>
    <w:p w14:paraId="233127DE" w14:textId="77777777" w:rsidR="009E1A38" w:rsidRPr="009E1A38" w:rsidRDefault="009E1A38" w:rsidP="007A2E58">
      <w:pPr>
        <w:jc w:val="both"/>
        <w:rPr>
          <w:rFonts w:ascii="Abadi" w:hAnsi="Abadi"/>
          <w:bCs/>
          <w:sz w:val="20"/>
          <w:szCs w:val="20"/>
          <w:lang w:val="es-MX"/>
        </w:rPr>
      </w:pPr>
    </w:p>
    <w:p w14:paraId="2FD32273" w14:textId="77777777" w:rsidR="009E1A38" w:rsidRPr="009E1A38" w:rsidRDefault="009E1A38" w:rsidP="001A28E5">
      <w:pPr>
        <w:numPr>
          <w:ilvl w:val="0"/>
          <w:numId w:val="64"/>
        </w:numPr>
        <w:jc w:val="both"/>
        <w:rPr>
          <w:rFonts w:ascii="Abadi" w:hAnsi="Abadi"/>
          <w:bCs/>
          <w:sz w:val="20"/>
          <w:szCs w:val="20"/>
          <w:lang w:val="es-MX"/>
        </w:rPr>
      </w:pPr>
      <w:r w:rsidRPr="009E1A38">
        <w:rPr>
          <w:rFonts w:ascii="Abadi" w:hAnsi="Abadi"/>
          <w:b/>
          <w:sz w:val="20"/>
          <w:szCs w:val="20"/>
          <w:u w:val="single"/>
          <w:lang w:val="es-MX"/>
        </w:rPr>
        <w:t>Ingresos:</w:t>
      </w:r>
      <w:r w:rsidRPr="009E1A38">
        <w:rPr>
          <w:rFonts w:ascii="Abadi" w:hAnsi="Abadi"/>
          <w:bCs/>
          <w:sz w:val="20"/>
          <w:szCs w:val="20"/>
          <w:lang w:val="es-MX"/>
        </w:rPr>
        <w:t xml:space="preserve"> Participaciones y aportaciones.</w:t>
      </w:r>
    </w:p>
    <w:p w14:paraId="51DD7576" w14:textId="77777777" w:rsidR="009E1A38" w:rsidRPr="009E1A38" w:rsidRDefault="009E1A38" w:rsidP="007A2E58">
      <w:pPr>
        <w:jc w:val="both"/>
        <w:rPr>
          <w:rFonts w:ascii="Abadi" w:hAnsi="Abadi"/>
          <w:bCs/>
          <w:sz w:val="20"/>
          <w:szCs w:val="20"/>
          <w:lang w:val="es-MX"/>
        </w:rPr>
      </w:pPr>
    </w:p>
    <w:p w14:paraId="37F007FC" w14:textId="77777777" w:rsidR="009E1A38" w:rsidRPr="009E1A38" w:rsidRDefault="009E1A38" w:rsidP="001A28E5">
      <w:pPr>
        <w:numPr>
          <w:ilvl w:val="0"/>
          <w:numId w:val="64"/>
        </w:numPr>
        <w:jc w:val="both"/>
        <w:rPr>
          <w:rFonts w:ascii="Abadi" w:hAnsi="Abadi"/>
          <w:bCs/>
          <w:sz w:val="20"/>
          <w:szCs w:val="20"/>
          <w:lang w:val="es-MX"/>
        </w:rPr>
      </w:pPr>
      <w:r w:rsidRPr="009E1A38">
        <w:rPr>
          <w:rFonts w:ascii="Abadi" w:hAnsi="Abadi"/>
          <w:b/>
          <w:bCs/>
          <w:sz w:val="20"/>
          <w:szCs w:val="20"/>
          <w:u w:val="single"/>
          <w:lang w:val="es-MX"/>
        </w:rPr>
        <w:t>Egresos:</w:t>
      </w:r>
      <w:r w:rsidRPr="009E1A38">
        <w:rPr>
          <w:rFonts w:ascii="Abadi" w:hAnsi="Abadi"/>
          <w:sz w:val="20"/>
          <w:szCs w:val="20"/>
          <w:lang w:val="es-MX"/>
        </w:rPr>
        <w:t xml:space="preserve"> Servicios personales: Sueldos, remuneraciones de eventuales, asignaciones adicionales al sueldo, gratificación de fin de año, dietas, otras prestaciones y jubilaciones, liquidaciones por indemnización, entre otros más. </w:t>
      </w:r>
    </w:p>
    <w:p w14:paraId="491E4A5F" w14:textId="77777777" w:rsidR="003D2062" w:rsidRDefault="003D2062" w:rsidP="007A2E58">
      <w:pPr>
        <w:jc w:val="both"/>
        <w:rPr>
          <w:rFonts w:ascii="Abadi" w:hAnsi="Abadi"/>
          <w:sz w:val="20"/>
          <w:szCs w:val="20"/>
          <w:lang w:val="es-MX"/>
        </w:rPr>
      </w:pPr>
    </w:p>
    <w:p w14:paraId="0E6F1967" w14:textId="5133BE74" w:rsidR="009E1A38" w:rsidRPr="009E1A38" w:rsidRDefault="009E1A38" w:rsidP="003F22AC">
      <w:pPr>
        <w:ind w:firstLine="708"/>
        <w:jc w:val="both"/>
        <w:rPr>
          <w:rFonts w:ascii="Abadi" w:hAnsi="Abadi"/>
          <w:sz w:val="20"/>
          <w:szCs w:val="20"/>
        </w:rPr>
      </w:pPr>
      <w:r w:rsidRPr="009E1A38">
        <w:rPr>
          <w:rFonts w:ascii="Abadi" w:hAnsi="Abadi"/>
          <w:sz w:val="20"/>
          <w:szCs w:val="20"/>
          <w:lang w:val="es-MX"/>
        </w:rPr>
        <w:t xml:space="preserve">Materiales y suministros: </w:t>
      </w:r>
      <w:r w:rsidRPr="009E1A38">
        <w:rPr>
          <w:rFonts w:ascii="Abadi" w:hAnsi="Abadi"/>
          <w:sz w:val="20"/>
          <w:szCs w:val="20"/>
        </w:rPr>
        <w:t xml:space="preserve">Equipos menores de oficina, vestuario y uniformes, prendas de protección para seguridad pública. </w:t>
      </w:r>
    </w:p>
    <w:p w14:paraId="572E4980" w14:textId="77777777" w:rsidR="009E1A38" w:rsidRPr="009E1A38" w:rsidRDefault="009E1A38" w:rsidP="007A2E58">
      <w:pPr>
        <w:jc w:val="both"/>
        <w:rPr>
          <w:rFonts w:ascii="Abadi" w:hAnsi="Abadi"/>
          <w:sz w:val="20"/>
          <w:szCs w:val="20"/>
        </w:rPr>
      </w:pPr>
      <w:r w:rsidRPr="009E1A38">
        <w:rPr>
          <w:rFonts w:ascii="Abadi" w:hAnsi="Abadi"/>
          <w:sz w:val="20"/>
          <w:szCs w:val="20"/>
          <w:lang w:val="es-MX"/>
        </w:rPr>
        <w:t>Servicios generales:</w:t>
      </w:r>
      <w:r w:rsidRPr="009E1A38">
        <w:rPr>
          <w:rFonts w:ascii="Abadi" w:hAnsi="Abadi"/>
          <w:sz w:val="20"/>
          <w:szCs w:val="20"/>
        </w:rPr>
        <w:t xml:space="preserve"> Arrendamiento de edificios y locales, servicios de consultoría administrativa, servicios de capacitación, seguro de bienes patrimoniales. </w:t>
      </w:r>
    </w:p>
    <w:p w14:paraId="755FFDB3" w14:textId="77777777" w:rsidR="003D2062" w:rsidRDefault="003D2062" w:rsidP="007A2E58">
      <w:pPr>
        <w:jc w:val="both"/>
        <w:rPr>
          <w:rFonts w:ascii="Abadi" w:hAnsi="Abadi"/>
          <w:sz w:val="20"/>
          <w:szCs w:val="20"/>
        </w:rPr>
      </w:pPr>
    </w:p>
    <w:p w14:paraId="25C69F79" w14:textId="2A17FD5F" w:rsidR="009E1A38" w:rsidRPr="009E1A38" w:rsidRDefault="009E1A38" w:rsidP="003F22AC">
      <w:pPr>
        <w:ind w:firstLine="708"/>
        <w:jc w:val="both"/>
        <w:rPr>
          <w:rFonts w:ascii="Abadi" w:hAnsi="Abadi"/>
          <w:sz w:val="20"/>
          <w:szCs w:val="20"/>
        </w:rPr>
      </w:pPr>
      <w:r w:rsidRPr="009E1A38">
        <w:rPr>
          <w:rFonts w:ascii="Abadi" w:hAnsi="Abadi"/>
          <w:sz w:val="20"/>
          <w:szCs w:val="20"/>
        </w:rPr>
        <w:t xml:space="preserve">Transferencias internas y asignaciones al sector público: Transferencias, asignaciones, subsidios y otras ayudas. </w:t>
      </w:r>
    </w:p>
    <w:p w14:paraId="29D262F2" w14:textId="77777777" w:rsidR="003D2062" w:rsidRDefault="003D2062" w:rsidP="007A2E58">
      <w:pPr>
        <w:jc w:val="both"/>
        <w:rPr>
          <w:rFonts w:ascii="Abadi" w:hAnsi="Abadi"/>
          <w:sz w:val="20"/>
          <w:szCs w:val="20"/>
        </w:rPr>
      </w:pPr>
    </w:p>
    <w:p w14:paraId="4FE0B4FB" w14:textId="7E94B435" w:rsidR="009E1A38" w:rsidRPr="009E1A38" w:rsidRDefault="009E1A38" w:rsidP="003F22AC">
      <w:pPr>
        <w:ind w:firstLine="708"/>
        <w:jc w:val="both"/>
        <w:rPr>
          <w:rFonts w:ascii="Abadi" w:hAnsi="Abadi"/>
          <w:bCs/>
          <w:sz w:val="20"/>
          <w:szCs w:val="20"/>
          <w:lang w:val="es-MX"/>
        </w:rPr>
      </w:pPr>
      <w:r w:rsidRPr="009E1A38">
        <w:rPr>
          <w:rFonts w:ascii="Abadi" w:hAnsi="Abadi"/>
          <w:sz w:val="20"/>
          <w:szCs w:val="20"/>
        </w:rPr>
        <w:t>Ayudas Sociales: Gastos relacionados con actividades culturales deportivas y ayudas, ayudas por desastres naturales y otros siniestros, otras pensiones y jubilaciones.</w:t>
      </w:r>
    </w:p>
    <w:p w14:paraId="6252C75E" w14:textId="77777777" w:rsidR="009E1A38" w:rsidRPr="009E1A38" w:rsidRDefault="009E1A38" w:rsidP="007A2E58">
      <w:pPr>
        <w:jc w:val="both"/>
        <w:rPr>
          <w:rFonts w:ascii="Abadi" w:hAnsi="Abadi"/>
          <w:sz w:val="20"/>
          <w:szCs w:val="20"/>
          <w:lang w:val="es-MX"/>
        </w:rPr>
      </w:pPr>
    </w:p>
    <w:p w14:paraId="3ECBB1A6" w14:textId="77777777" w:rsidR="009E1A38" w:rsidRPr="009E1A38" w:rsidRDefault="009E1A38" w:rsidP="003F22AC">
      <w:pPr>
        <w:ind w:firstLine="708"/>
        <w:jc w:val="both"/>
        <w:rPr>
          <w:rFonts w:ascii="Abadi" w:hAnsi="Abadi"/>
          <w:sz w:val="20"/>
          <w:szCs w:val="20"/>
          <w:lang w:val="es-MX"/>
        </w:rPr>
      </w:pPr>
      <w:r w:rsidRPr="009E1A38">
        <w:rPr>
          <w:rFonts w:ascii="Abadi" w:hAnsi="Abadi"/>
          <w:sz w:val="20"/>
          <w:szCs w:val="20"/>
          <w:lang w:val="es-MX"/>
        </w:rPr>
        <w:t>En relación a la pérdida de veintiocho mil balas y el robo a las arcas de Presidencia Municipal, el Órgano Interno de Control del Municipio se encuentra realizando las investigaciones al respecto, en la tramitación de los expedientes, PERO/69/2021-2024 y PRA/AS/02/2021, respectivamente.</w:t>
      </w:r>
    </w:p>
    <w:p w14:paraId="276AFEE7" w14:textId="77777777" w:rsidR="009E1A38" w:rsidRPr="009E1A38" w:rsidRDefault="009E1A38" w:rsidP="007A2E58">
      <w:pPr>
        <w:jc w:val="both"/>
        <w:rPr>
          <w:rFonts w:ascii="Abadi" w:hAnsi="Abadi"/>
          <w:sz w:val="20"/>
          <w:szCs w:val="20"/>
          <w:lang w:val="es-MX"/>
        </w:rPr>
      </w:pPr>
    </w:p>
    <w:p w14:paraId="4EC1B657" w14:textId="77777777" w:rsidR="009E1A38" w:rsidRPr="009E1A38" w:rsidRDefault="009E1A38" w:rsidP="003F22AC">
      <w:pPr>
        <w:ind w:firstLine="708"/>
        <w:jc w:val="both"/>
        <w:rPr>
          <w:rFonts w:ascii="Abadi" w:hAnsi="Abadi"/>
          <w:sz w:val="20"/>
          <w:szCs w:val="20"/>
          <w:lang w:val="es-MX"/>
        </w:rPr>
      </w:pPr>
      <w:r w:rsidRPr="009E1A38">
        <w:rPr>
          <w:rFonts w:ascii="Abadi" w:hAnsi="Abadi"/>
          <w:sz w:val="20"/>
          <w:szCs w:val="20"/>
          <w:lang w:val="es-MX"/>
        </w:rPr>
        <w:t>Finalmente se precisa que la selección de las cuentas a revisar durante los ejercicios señalados se realizó con base en los riesgos identificados durante la etapa de planeación.</w:t>
      </w:r>
    </w:p>
    <w:p w14:paraId="787CF9F3" w14:textId="77777777" w:rsidR="009E1A38" w:rsidRPr="009E1A38" w:rsidRDefault="009E1A38" w:rsidP="007A2E58">
      <w:pPr>
        <w:jc w:val="both"/>
        <w:rPr>
          <w:rFonts w:ascii="Abadi" w:hAnsi="Abadi"/>
          <w:sz w:val="20"/>
          <w:szCs w:val="20"/>
          <w:lang w:val="es-MX"/>
        </w:rPr>
      </w:pPr>
    </w:p>
    <w:p w14:paraId="6D8DD104" w14:textId="77777777" w:rsidR="009E1A38" w:rsidRPr="009E1A38" w:rsidRDefault="009E1A38" w:rsidP="003F22AC">
      <w:pPr>
        <w:ind w:firstLine="708"/>
        <w:jc w:val="both"/>
        <w:rPr>
          <w:rFonts w:ascii="Abadi" w:hAnsi="Abadi"/>
          <w:sz w:val="20"/>
          <w:szCs w:val="20"/>
          <w:lang w:val="es-MX"/>
        </w:rPr>
      </w:pPr>
      <w:r w:rsidRPr="009E1A38">
        <w:rPr>
          <w:rFonts w:ascii="Abadi" w:hAnsi="Abadi"/>
          <w:sz w:val="20"/>
          <w:szCs w:val="20"/>
          <w:lang w:val="es-MX"/>
        </w:rPr>
        <w:t>Adicionalmente, se informó que se llevaron a cabo diversas revisiones por parte de la Auditoría Superior de la Federación</w:t>
      </w:r>
      <w:r w:rsidRPr="009E1A38">
        <w:rPr>
          <w:rFonts w:ascii="Abadi" w:hAnsi="Abadi"/>
          <w:sz w:val="20"/>
          <w:szCs w:val="20"/>
          <w:vertAlign w:val="superscript"/>
          <w:lang w:val="es-MX"/>
        </w:rPr>
        <w:footnoteReference w:id="151"/>
      </w:r>
      <w:r w:rsidRPr="009E1A38">
        <w:rPr>
          <w:rFonts w:ascii="Abadi" w:hAnsi="Abadi"/>
          <w:sz w:val="20"/>
          <w:szCs w:val="20"/>
          <w:lang w:val="es-MX"/>
        </w:rPr>
        <w:t>, las cuales se detallan a continuación:</w:t>
      </w:r>
    </w:p>
    <w:p w14:paraId="22FB6E79" w14:textId="64C7B7E1" w:rsidR="009E1A38" w:rsidRDefault="009E1A38" w:rsidP="007A2E58">
      <w:pPr>
        <w:jc w:val="both"/>
        <w:rPr>
          <w:rFonts w:ascii="Abadi" w:hAnsi="Abadi"/>
          <w:sz w:val="20"/>
          <w:szCs w:val="20"/>
          <w:lang w:val="es-MX"/>
        </w:rPr>
      </w:pPr>
    </w:p>
    <w:p w14:paraId="1DE82582" w14:textId="6C8CA3C3" w:rsidR="009E1A38" w:rsidRPr="009E1A38" w:rsidRDefault="00032D70" w:rsidP="007A2E58">
      <w:pPr>
        <w:jc w:val="both"/>
        <w:rPr>
          <w:rFonts w:ascii="Abadi" w:hAnsi="Abadi"/>
          <w:sz w:val="20"/>
          <w:szCs w:val="20"/>
          <w:lang w:val="es-MX"/>
        </w:rPr>
      </w:pPr>
      <w:r>
        <w:rPr>
          <w:noProof/>
        </w:rPr>
        <w:drawing>
          <wp:inline distT="0" distB="0" distL="0" distR="0" wp14:anchorId="7FAFFE38" wp14:editId="15DBAE69">
            <wp:extent cx="2995749" cy="1440632"/>
            <wp:effectExtent l="0" t="0" r="0" b="7620"/>
            <wp:docPr id="35" name="Imagen 3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Texto, Aplicación, Correo electrónico&#10;&#10;Descripción generada automáticamente"/>
                    <pic:cNvPicPr/>
                  </pic:nvPicPr>
                  <pic:blipFill rotWithShape="1">
                    <a:blip r:embed="rId57"/>
                    <a:srcRect l="28717" t="42757" r="30399" b="22267"/>
                    <a:stretch/>
                  </pic:blipFill>
                  <pic:spPr bwMode="auto">
                    <a:xfrm>
                      <a:off x="0" y="0"/>
                      <a:ext cx="3026928" cy="1455626"/>
                    </a:xfrm>
                    <a:prstGeom prst="rect">
                      <a:avLst/>
                    </a:prstGeom>
                    <a:ln>
                      <a:noFill/>
                    </a:ln>
                    <a:extLst>
                      <a:ext uri="{53640926-AAD7-44D8-BBD7-CCE9431645EC}">
                        <a14:shadowObscured xmlns:a14="http://schemas.microsoft.com/office/drawing/2010/main"/>
                      </a:ext>
                    </a:extLst>
                  </pic:spPr>
                </pic:pic>
              </a:graphicData>
            </a:graphic>
          </wp:inline>
        </w:drawing>
      </w:r>
    </w:p>
    <w:p w14:paraId="6DF3B055" w14:textId="77777777" w:rsidR="009E1A38" w:rsidRPr="009E1A38" w:rsidRDefault="009E1A38" w:rsidP="007A2E58">
      <w:pPr>
        <w:jc w:val="both"/>
        <w:rPr>
          <w:rFonts w:ascii="Abadi" w:hAnsi="Abadi"/>
          <w:bCs/>
          <w:sz w:val="20"/>
          <w:szCs w:val="20"/>
          <w:lang w:val="es-MX"/>
        </w:rPr>
      </w:pPr>
    </w:p>
    <w:p w14:paraId="38C0B15A" w14:textId="77777777" w:rsidR="009E1A38" w:rsidRPr="009E1A38" w:rsidRDefault="009E1A38" w:rsidP="003F22AC">
      <w:pPr>
        <w:ind w:firstLine="708"/>
        <w:jc w:val="both"/>
        <w:rPr>
          <w:rFonts w:ascii="Abadi" w:hAnsi="Abadi"/>
          <w:bCs/>
          <w:sz w:val="20"/>
          <w:szCs w:val="20"/>
          <w:lang w:val="es-MX"/>
        </w:rPr>
      </w:pPr>
      <w:r w:rsidRPr="009E1A38">
        <w:rPr>
          <w:rFonts w:ascii="Abadi" w:hAnsi="Abadi"/>
          <w:bCs/>
          <w:sz w:val="20"/>
          <w:szCs w:val="20"/>
          <w:lang w:val="es-MX"/>
        </w:rPr>
        <w:t>De conformidad a la información antes señalada, la Auditoría Superior del Estado ha realizado 2 revisiones de cuenta pública y 2 auditorías practicadas a la infraestructura pública municipal, adicionales a las que a la fecha se encuentran en ejecución. Asimismo, se realizaron 3 revisiones por parte de la Auditoría Superior de la Federación.</w:t>
      </w:r>
    </w:p>
    <w:p w14:paraId="3E3D8721" w14:textId="77777777" w:rsidR="009E1A38" w:rsidRPr="009E1A38" w:rsidRDefault="009E1A38" w:rsidP="007A2E58">
      <w:pPr>
        <w:jc w:val="both"/>
        <w:rPr>
          <w:rFonts w:ascii="Abadi" w:hAnsi="Abadi"/>
          <w:bCs/>
          <w:sz w:val="20"/>
          <w:szCs w:val="20"/>
          <w:lang w:val="es-MX"/>
        </w:rPr>
      </w:pPr>
    </w:p>
    <w:p w14:paraId="5975E091" w14:textId="77777777" w:rsidR="009E1A38" w:rsidRPr="009E1A38" w:rsidRDefault="009E1A38" w:rsidP="003F22AC">
      <w:pPr>
        <w:ind w:firstLine="708"/>
        <w:jc w:val="both"/>
        <w:rPr>
          <w:rFonts w:ascii="Abadi" w:hAnsi="Abadi"/>
          <w:bCs/>
          <w:sz w:val="20"/>
          <w:szCs w:val="20"/>
          <w:lang w:val="es-MX"/>
        </w:rPr>
      </w:pPr>
      <w:r w:rsidRPr="009E1A38">
        <w:rPr>
          <w:rFonts w:ascii="Abadi" w:hAnsi="Abadi"/>
          <w:bCs/>
          <w:sz w:val="20"/>
          <w:szCs w:val="20"/>
          <w:lang w:val="es-MX"/>
        </w:rPr>
        <w:t>Aunado a lo anterior, en el Programa General de Fiscalización 2022 se contemplan 272 actos de fiscalización, por lo que, de acuerdo a dicho Programa, así como al Programa Operativo Anual y la capacidad institucional instalada, la incorporación de actos de fiscalización adicionales a los ya programados, incidiría directamente en la cobertura, calidad y tiempos de la fiscalización, en detrimento del citado programa y de los actos de fiscalización previamente planificados.</w:t>
      </w:r>
    </w:p>
    <w:p w14:paraId="1A3503E1" w14:textId="77777777" w:rsidR="009E1A38" w:rsidRPr="009E1A38" w:rsidRDefault="009E1A38" w:rsidP="007A2E58">
      <w:pPr>
        <w:jc w:val="both"/>
        <w:rPr>
          <w:rFonts w:ascii="Abadi" w:hAnsi="Abadi"/>
          <w:bCs/>
          <w:sz w:val="20"/>
          <w:szCs w:val="20"/>
          <w:lang w:val="es-MX"/>
        </w:rPr>
      </w:pPr>
    </w:p>
    <w:p w14:paraId="7EE2831C" w14:textId="77777777" w:rsidR="009E1A38" w:rsidRPr="009E1A38" w:rsidRDefault="009E1A38" w:rsidP="003F22AC">
      <w:pPr>
        <w:ind w:firstLine="708"/>
        <w:jc w:val="both"/>
        <w:rPr>
          <w:rFonts w:ascii="Abadi" w:hAnsi="Abadi"/>
          <w:bCs/>
          <w:sz w:val="20"/>
          <w:szCs w:val="20"/>
          <w:lang w:val="es-MX"/>
        </w:rPr>
      </w:pPr>
      <w:r w:rsidRPr="009E1A38">
        <w:rPr>
          <w:rFonts w:ascii="Abadi" w:hAnsi="Abadi"/>
          <w:bCs/>
          <w:sz w:val="20"/>
          <w:szCs w:val="20"/>
          <w:lang w:val="es-MX"/>
        </w:rPr>
        <w:t>En razón a lo antes señalado y privilegiando la realización de los actos de fiscalización ya contemplados en el Programa General de Fiscalización de la Auditoría Superior del Estado para el presente ejercicio fiscal, mismo que consideró una planeación estratégica y propuestas ciudadanas, así como al cumplimiento de dicho programa en tiempo y calidad de los actos programados, así como a la capacidad institucional instalada de dicho Órgano Técnico, determinamos no autorizar la realización de la auditoría propuesta, atendiendo además a que ya se realizaron diversos actos de fiscalización a la administración municipal de Silao de Victoria, Gto., por parte tanto de la Auditoría Superior del Estado como de la Auditoría Superior de la Federación a los ejercicios fiscales que se propone auditar. Aunado a lo anterior, respecto a algunos hechos referidos en la propuesta existen denuncias ya presentadas ante la Fiscalía Especializada en Combate a la Corrupción por ser el órgano competente para tal efecto.</w:t>
      </w:r>
    </w:p>
    <w:p w14:paraId="777B8B5F" w14:textId="77777777" w:rsidR="00032D70" w:rsidRDefault="00032D70" w:rsidP="007A2E58">
      <w:pPr>
        <w:jc w:val="both"/>
        <w:rPr>
          <w:rFonts w:ascii="Abadi" w:hAnsi="Abadi"/>
          <w:bCs/>
          <w:sz w:val="20"/>
          <w:szCs w:val="20"/>
          <w:lang w:val="es-MX"/>
        </w:rPr>
      </w:pPr>
    </w:p>
    <w:p w14:paraId="52CCC819" w14:textId="2105D2FA" w:rsidR="009E1A38" w:rsidRPr="009E1A38" w:rsidRDefault="009E1A38" w:rsidP="003F22AC">
      <w:pPr>
        <w:ind w:firstLine="708"/>
        <w:jc w:val="both"/>
        <w:rPr>
          <w:rFonts w:ascii="Abadi" w:hAnsi="Abadi"/>
          <w:bCs/>
          <w:sz w:val="20"/>
          <w:szCs w:val="20"/>
          <w:lang w:val="es-MX"/>
        </w:rPr>
      </w:pPr>
      <w:r w:rsidRPr="009E1A38">
        <w:rPr>
          <w:rFonts w:ascii="Abadi" w:hAnsi="Abadi"/>
          <w:bCs/>
          <w:sz w:val="20"/>
          <w:szCs w:val="20"/>
          <w:lang w:val="es-MX"/>
        </w:rPr>
        <w:t xml:space="preserve">No obstante, la Auditoría Superior del Estado podrá considerar los hechos que correspondan al ejercicio 2021 planteados por la proponente en la planeación y ejecución de la revisión de la cuenta pública de dicho ejercicio.  </w:t>
      </w:r>
    </w:p>
    <w:p w14:paraId="15255BE6" w14:textId="77777777" w:rsidR="009E1A38" w:rsidRPr="009E1A38" w:rsidRDefault="009E1A38" w:rsidP="007A2E58">
      <w:pPr>
        <w:jc w:val="both"/>
        <w:rPr>
          <w:rFonts w:ascii="Abadi" w:hAnsi="Abadi"/>
          <w:iCs/>
          <w:sz w:val="20"/>
          <w:szCs w:val="20"/>
          <w:lang w:val="es-MX"/>
        </w:rPr>
      </w:pPr>
      <w:r w:rsidRPr="009E1A38">
        <w:rPr>
          <w:rFonts w:ascii="Abadi" w:hAnsi="Abadi"/>
          <w:iCs/>
          <w:sz w:val="20"/>
          <w:szCs w:val="20"/>
          <w:lang w:val="es-MX"/>
        </w:rPr>
        <w:t>Por lo expuesto y con fundamento en el artículo 204 de la Ley Orgánica del Poder Legislativo del Estado, sometemos a la consideración de la Asamblea, la aprobación del siguiente:</w:t>
      </w:r>
    </w:p>
    <w:p w14:paraId="796FEA9D" w14:textId="77777777" w:rsidR="007A2E58" w:rsidRDefault="007A2E58" w:rsidP="009E1A38">
      <w:pPr>
        <w:rPr>
          <w:rFonts w:ascii="Abadi" w:hAnsi="Abadi"/>
          <w:b/>
          <w:iCs/>
          <w:sz w:val="20"/>
          <w:szCs w:val="20"/>
          <w:lang w:val="es-MX"/>
        </w:rPr>
      </w:pPr>
    </w:p>
    <w:p w14:paraId="554340D9" w14:textId="307451B9" w:rsidR="009E1A38" w:rsidRPr="009E1A38" w:rsidRDefault="009E1A38" w:rsidP="007A2E58">
      <w:pPr>
        <w:jc w:val="center"/>
        <w:rPr>
          <w:rFonts w:ascii="Abadi" w:hAnsi="Abadi"/>
          <w:b/>
          <w:iCs/>
          <w:sz w:val="20"/>
          <w:szCs w:val="20"/>
          <w:lang w:val="es-MX"/>
        </w:rPr>
      </w:pPr>
      <w:r w:rsidRPr="009E1A38">
        <w:rPr>
          <w:rFonts w:ascii="Abadi" w:hAnsi="Abadi"/>
          <w:b/>
          <w:iCs/>
          <w:sz w:val="20"/>
          <w:szCs w:val="20"/>
          <w:lang w:val="es-MX"/>
        </w:rPr>
        <w:t>A c u e r d o</w:t>
      </w:r>
    </w:p>
    <w:p w14:paraId="2226400F" w14:textId="77777777" w:rsidR="007A2E58" w:rsidRDefault="007A2E58" w:rsidP="007A2E58">
      <w:pPr>
        <w:ind w:firstLine="708"/>
        <w:jc w:val="both"/>
        <w:rPr>
          <w:rFonts w:ascii="Abadi" w:hAnsi="Abadi"/>
          <w:b/>
          <w:iCs/>
          <w:sz w:val="20"/>
          <w:szCs w:val="20"/>
          <w:lang w:val="es-MX"/>
        </w:rPr>
      </w:pPr>
    </w:p>
    <w:p w14:paraId="101BAAD0" w14:textId="208006A9" w:rsidR="009E1A38" w:rsidRDefault="009E1A38" w:rsidP="007A2E58">
      <w:pPr>
        <w:ind w:firstLine="708"/>
        <w:jc w:val="both"/>
        <w:rPr>
          <w:rFonts w:ascii="Abadi" w:hAnsi="Abadi"/>
          <w:sz w:val="20"/>
          <w:szCs w:val="20"/>
          <w:lang w:val="es-MX"/>
        </w:rPr>
      </w:pPr>
      <w:r w:rsidRPr="009E1A38">
        <w:rPr>
          <w:rFonts w:ascii="Abadi" w:hAnsi="Abadi"/>
          <w:b/>
          <w:iCs/>
          <w:sz w:val="20"/>
          <w:szCs w:val="20"/>
          <w:lang w:val="es-MX"/>
        </w:rPr>
        <w:t>Único.</w:t>
      </w:r>
      <w:r w:rsidRPr="009E1A38">
        <w:rPr>
          <w:rFonts w:ascii="Abadi" w:hAnsi="Abadi"/>
          <w:b/>
          <w:sz w:val="20"/>
          <w:szCs w:val="20"/>
          <w:lang w:val="es-MX"/>
        </w:rPr>
        <w:t xml:space="preserve"> </w:t>
      </w:r>
      <w:r w:rsidRPr="009E1A38">
        <w:rPr>
          <w:rFonts w:ascii="Abadi" w:hAnsi="Abadi"/>
          <w:sz w:val="20"/>
          <w:szCs w:val="20"/>
          <w:lang w:val="es-MX"/>
        </w:rPr>
        <w:t xml:space="preserve">Se </w:t>
      </w:r>
      <w:r w:rsidRPr="009E1A38">
        <w:rPr>
          <w:rFonts w:ascii="Abadi" w:hAnsi="Abadi"/>
          <w:iCs/>
          <w:sz w:val="20"/>
          <w:szCs w:val="20"/>
          <w:lang w:val="es-MX"/>
        </w:rPr>
        <w:t>determina improcedente la propuesta</w:t>
      </w:r>
      <w:r w:rsidRPr="009E1A38">
        <w:rPr>
          <w:rFonts w:ascii="Abadi" w:hAnsi="Abadi"/>
          <w:sz w:val="20"/>
          <w:szCs w:val="20"/>
          <w:lang w:val="es-MX"/>
        </w:rPr>
        <w:t xml:space="preserve"> de punto de acuerdo formulada por </w:t>
      </w:r>
      <w:r w:rsidRPr="009E1A38">
        <w:rPr>
          <w:rFonts w:ascii="Abadi" w:hAnsi="Abadi"/>
          <w:iCs/>
          <w:sz w:val="20"/>
          <w:szCs w:val="20"/>
          <w:lang w:val="es-MX"/>
        </w:rPr>
        <w:t>el diputado Ernesto Millán Soberanes</w:t>
      </w:r>
      <w:r w:rsidRPr="009E1A38">
        <w:rPr>
          <w:rFonts w:ascii="Abadi" w:hAnsi="Abadi"/>
          <w:sz w:val="20"/>
          <w:szCs w:val="20"/>
          <w:lang w:val="es-MX"/>
        </w:rPr>
        <w:t xml:space="preserve">, integrante del Grupo Parlamentario del Partido MORENA </w:t>
      </w:r>
      <w:r w:rsidRPr="009E1A38">
        <w:rPr>
          <w:rFonts w:ascii="Abadi" w:hAnsi="Abadi"/>
          <w:iCs/>
          <w:sz w:val="20"/>
          <w:szCs w:val="20"/>
          <w:lang w:val="es-MX"/>
        </w:rPr>
        <w:t>a efecto de exhortar al titular de la Auditoría Superior del Estado de Guanajuato, para que lleve a cabo una auditoría financiera integral al municipio de Silao, que incluya todas las partidas no revisadas en auditorías previas, la que deberá incluir al menos, la verificación del apego a la legalidad de la adjudicación y contratación de bienes y servicios que corresponda, así como el cumplimiento de las cláusulas contractuales de los mismos, por los ejercicios fiscales de 2019, 2020 y 2021; asimismo, para que lleve a cabo las investigaciones necesarias e informe a la brevedad al Congreso del Estado de Guanajuato, si la Contraloría del municipio de Silao inició proceso alguno contra quien resultara responsable por las observaciones no solventadas de las auditorías practicadas a la administración 2018-2021 de dicho Municipio</w:t>
      </w:r>
      <w:r w:rsidRPr="009E1A38">
        <w:rPr>
          <w:rFonts w:ascii="Abadi" w:hAnsi="Abadi"/>
          <w:sz w:val="20"/>
          <w:szCs w:val="20"/>
          <w:lang w:val="es-MX"/>
        </w:rPr>
        <w:t>. En consecuencia, se ordena su archivo definitivo.</w:t>
      </w:r>
    </w:p>
    <w:p w14:paraId="6A8C3CCF" w14:textId="77777777" w:rsidR="00032D70" w:rsidRPr="009E1A38" w:rsidRDefault="00032D70" w:rsidP="007A2E58">
      <w:pPr>
        <w:ind w:firstLine="708"/>
        <w:jc w:val="both"/>
        <w:rPr>
          <w:rFonts w:ascii="Abadi" w:hAnsi="Abadi"/>
          <w:sz w:val="20"/>
          <w:szCs w:val="20"/>
          <w:lang w:val="es-MX"/>
        </w:rPr>
      </w:pPr>
    </w:p>
    <w:p w14:paraId="1074A935" w14:textId="429C38E1" w:rsidR="009E1A38" w:rsidRDefault="009E1A38" w:rsidP="007A2E58">
      <w:pPr>
        <w:jc w:val="both"/>
        <w:rPr>
          <w:rFonts w:ascii="Abadi" w:hAnsi="Abadi"/>
          <w:sz w:val="20"/>
          <w:szCs w:val="20"/>
          <w:lang w:val="es-MX"/>
        </w:rPr>
      </w:pPr>
      <w:r w:rsidRPr="009E1A38">
        <w:rPr>
          <w:rFonts w:ascii="Abadi" w:hAnsi="Abadi"/>
          <w:sz w:val="20"/>
          <w:szCs w:val="20"/>
          <w:lang w:val="es-MX"/>
        </w:rPr>
        <w:t xml:space="preserve">Comuníquese el presente acuerdo al Secretario General del Congreso de Estado, para los efectos conducentes. </w:t>
      </w:r>
    </w:p>
    <w:p w14:paraId="7E3EFA49" w14:textId="77777777" w:rsidR="007A2E58" w:rsidRPr="009E1A38" w:rsidRDefault="007A2E58" w:rsidP="009E1A38">
      <w:pPr>
        <w:rPr>
          <w:rFonts w:ascii="Abadi" w:hAnsi="Abadi"/>
          <w:sz w:val="20"/>
          <w:szCs w:val="20"/>
          <w:lang w:val="es-MX"/>
        </w:rPr>
      </w:pPr>
    </w:p>
    <w:p w14:paraId="668C2035" w14:textId="77777777" w:rsidR="009E1A38" w:rsidRPr="009E1A38" w:rsidRDefault="009E1A38" w:rsidP="007A2E58">
      <w:pPr>
        <w:jc w:val="center"/>
        <w:rPr>
          <w:rFonts w:ascii="Abadi" w:hAnsi="Abadi"/>
          <w:b/>
          <w:bCs/>
          <w:sz w:val="20"/>
          <w:szCs w:val="20"/>
          <w:lang w:val="es-MX"/>
        </w:rPr>
      </w:pPr>
      <w:r w:rsidRPr="009E1A38">
        <w:rPr>
          <w:rFonts w:ascii="Abadi" w:hAnsi="Abadi"/>
          <w:b/>
          <w:bCs/>
          <w:sz w:val="20"/>
          <w:szCs w:val="20"/>
          <w:lang w:val="es-MX"/>
        </w:rPr>
        <w:t>Guanajuato, Gto., 16 de junio de 2022</w:t>
      </w:r>
    </w:p>
    <w:p w14:paraId="28BC75CF" w14:textId="77777777" w:rsidR="009E1A38" w:rsidRPr="009E1A38" w:rsidRDefault="009E1A38" w:rsidP="007A2E58">
      <w:pPr>
        <w:jc w:val="center"/>
        <w:rPr>
          <w:rFonts w:ascii="Abadi" w:hAnsi="Abadi"/>
          <w:b/>
          <w:bCs/>
          <w:sz w:val="20"/>
          <w:szCs w:val="20"/>
          <w:lang w:val="es-MX"/>
        </w:rPr>
      </w:pPr>
      <w:r w:rsidRPr="009E1A38">
        <w:rPr>
          <w:rFonts w:ascii="Abadi" w:hAnsi="Abadi"/>
          <w:b/>
          <w:bCs/>
          <w:sz w:val="20"/>
          <w:szCs w:val="20"/>
          <w:lang w:val="es-MX"/>
        </w:rPr>
        <w:t>La Comisión de Hacienda y Fiscalización</w:t>
      </w:r>
    </w:p>
    <w:p w14:paraId="610056E5" w14:textId="77777777" w:rsidR="009E1A38" w:rsidRPr="009E1A38" w:rsidRDefault="009E1A38" w:rsidP="007A2E58">
      <w:pPr>
        <w:jc w:val="center"/>
        <w:rPr>
          <w:rFonts w:ascii="Abadi" w:hAnsi="Abadi"/>
          <w:sz w:val="20"/>
          <w:szCs w:val="20"/>
          <w:lang w:val="es-MX"/>
        </w:rPr>
      </w:pPr>
    </w:p>
    <w:p w14:paraId="65128115" w14:textId="77777777" w:rsidR="009E1A38" w:rsidRPr="009E1A38" w:rsidRDefault="009E1A38" w:rsidP="007A2E58">
      <w:pPr>
        <w:jc w:val="center"/>
        <w:rPr>
          <w:rFonts w:ascii="Abadi" w:hAnsi="Abadi"/>
          <w:sz w:val="20"/>
          <w:szCs w:val="20"/>
          <w:lang w:val="es-MX"/>
        </w:rPr>
      </w:pPr>
    </w:p>
    <w:p w14:paraId="11EEE011" w14:textId="77777777" w:rsidR="009E1A38" w:rsidRPr="009E1A38" w:rsidRDefault="009E1A38" w:rsidP="007A2E58">
      <w:pPr>
        <w:jc w:val="center"/>
        <w:rPr>
          <w:rFonts w:ascii="Abadi" w:hAnsi="Abadi"/>
          <w:sz w:val="20"/>
          <w:szCs w:val="20"/>
          <w:lang w:val="es-MX"/>
        </w:rPr>
      </w:pPr>
      <w:r w:rsidRPr="009E1A38">
        <w:rPr>
          <w:rFonts w:ascii="Abadi" w:hAnsi="Abadi"/>
          <w:b/>
          <w:sz w:val="20"/>
          <w:szCs w:val="20"/>
          <w:lang w:val="es-MX"/>
        </w:rPr>
        <w:t>Diputado Víctor Manuel Zanella Huerta</w:t>
      </w:r>
    </w:p>
    <w:p w14:paraId="1416B310" w14:textId="77777777" w:rsidR="009E1A38" w:rsidRPr="009E1A38" w:rsidRDefault="009E1A38" w:rsidP="007A2E58">
      <w:pPr>
        <w:jc w:val="center"/>
        <w:rPr>
          <w:rFonts w:ascii="Abadi" w:hAnsi="Abadi"/>
          <w:sz w:val="20"/>
          <w:szCs w:val="20"/>
          <w:lang w:val="es-MX"/>
        </w:rPr>
      </w:pPr>
    </w:p>
    <w:p w14:paraId="45E019D8" w14:textId="1E59DE69" w:rsidR="009E1A38" w:rsidRPr="009E1A38" w:rsidRDefault="009E1A38" w:rsidP="007A2E58">
      <w:pPr>
        <w:jc w:val="center"/>
        <w:rPr>
          <w:rFonts w:ascii="Abadi" w:hAnsi="Abadi"/>
          <w:b/>
          <w:sz w:val="20"/>
          <w:szCs w:val="20"/>
          <w:lang w:val="es-MX"/>
        </w:rPr>
      </w:pPr>
      <w:r w:rsidRPr="009E1A38">
        <w:rPr>
          <w:rFonts w:ascii="Abadi" w:hAnsi="Abadi"/>
          <w:b/>
          <w:sz w:val="20"/>
          <w:szCs w:val="20"/>
          <w:lang w:val="es-MX"/>
        </w:rPr>
        <w:t>Diputada Ruth Noemí Tiscareño Agoitia</w:t>
      </w:r>
    </w:p>
    <w:p w14:paraId="414C53AD" w14:textId="78B6372F" w:rsidR="009E1A38" w:rsidRPr="009E1A38" w:rsidRDefault="009E1A38" w:rsidP="007A2E58">
      <w:pPr>
        <w:jc w:val="center"/>
        <w:rPr>
          <w:rFonts w:ascii="Abadi" w:hAnsi="Abadi"/>
          <w:b/>
          <w:sz w:val="20"/>
          <w:szCs w:val="20"/>
          <w:lang w:val="es-MX"/>
        </w:rPr>
      </w:pPr>
      <w:r w:rsidRPr="009E1A38">
        <w:rPr>
          <w:rFonts w:ascii="Abadi" w:hAnsi="Abadi"/>
          <w:b/>
          <w:sz w:val="20"/>
          <w:szCs w:val="20"/>
          <w:lang w:val="es-MX"/>
        </w:rPr>
        <w:t>Diputado Miguel Ángel Salim Alle</w:t>
      </w:r>
    </w:p>
    <w:p w14:paraId="2832F661" w14:textId="77777777" w:rsidR="009E1A38" w:rsidRPr="009E1A38" w:rsidRDefault="009E1A38" w:rsidP="007A2E58">
      <w:pPr>
        <w:jc w:val="center"/>
        <w:rPr>
          <w:rFonts w:ascii="Abadi" w:hAnsi="Abadi"/>
          <w:b/>
          <w:sz w:val="20"/>
          <w:szCs w:val="20"/>
          <w:lang w:val="es-MX"/>
        </w:rPr>
      </w:pPr>
    </w:p>
    <w:p w14:paraId="4622BB9C" w14:textId="01700C80" w:rsidR="009E1A38" w:rsidRPr="009E1A38" w:rsidRDefault="009E1A38" w:rsidP="007A2E58">
      <w:pPr>
        <w:jc w:val="center"/>
        <w:rPr>
          <w:rFonts w:ascii="Abadi" w:hAnsi="Abadi"/>
          <w:b/>
          <w:sz w:val="20"/>
          <w:szCs w:val="20"/>
          <w:lang w:val="es-MX"/>
        </w:rPr>
      </w:pPr>
      <w:r w:rsidRPr="009E1A38">
        <w:rPr>
          <w:rFonts w:ascii="Abadi" w:hAnsi="Abadi"/>
          <w:b/>
          <w:sz w:val="20"/>
          <w:szCs w:val="20"/>
          <w:lang w:val="es-MX"/>
        </w:rPr>
        <w:t>Diputado José Alfonso Borja Pimentel</w:t>
      </w:r>
    </w:p>
    <w:p w14:paraId="3D841761" w14:textId="77777777" w:rsidR="009E1A38" w:rsidRPr="009E1A38" w:rsidRDefault="009E1A38" w:rsidP="007A2E58">
      <w:pPr>
        <w:jc w:val="center"/>
        <w:rPr>
          <w:rFonts w:ascii="Abadi" w:hAnsi="Abadi"/>
          <w:b/>
          <w:sz w:val="20"/>
          <w:szCs w:val="20"/>
          <w:lang w:val="es-MX"/>
        </w:rPr>
      </w:pPr>
    </w:p>
    <w:p w14:paraId="0F81B790" w14:textId="77777777" w:rsidR="009E1A38" w:rsidRPr="009E1A38" w:rsidRDefault="009E1A38" w:rsidP="007A2E58">
      <w:pPr>
        <w:jc w:val="center"/>
        <w:rPr>
          <w:rFonts w:ascii="Abadi" w:hAnsi="Abadi"/>
          <w:b/>
          <w:bCs/>
          <w:sz w:val="20"/>
          <w:szCs w:val="20"/>
          <w:lang w:val="es-MX"/>
        </w:rPr>
      </w:pPr>
      <w:r w:rsidRPr="009E1A38">
        <w:rPr>
          <w:rFonts w:ascii="Abadi" w:hAnsi="Abadi"/>
          <w:b/>
          <w:sz w:val="20"/>
          <w:szCs w:val="20"/>
          <w:lang w:val="es-MX"/>
        </w:rPr>
        <w:t>Diputada Alma Edwviges Alcaraz Hernández</w:t>
      </w:r>
    </w:p>
    <w:p w14:paraId="3FA31111" w14:textId="6DD29A21" w:rsidR="00AB0472" w:rsidRDefault="00AB0472" w:rsidP="00AB0472">
      <w:pPr>
        <w:rPr>
          <w:rFonts w:ascii="Abadi" w:hAnsi="Abadi"/>
          <w:sz w:val="20"/>
          <w:szCs w:val="20"/>
        </w:rPr>
      </w:pPr>
    </w:p>
    <w:p w14:paraId="436FE5D7" w14:textId="77777777" w:rsidR="00AB0472" w:rsidRPr="00AB0472" w:rsidRDefault="00AB0472" w:rsidP="00AB0472">
      <w:pPr>
        <w:rPr>
          <w:rFonts w:ascii="Abadi" w:hAnsi="Abadi"/>
          <w:sz w:val="20"/>
          <w:szCs w:val="20"/>
        </w:rPr>
      </w:pPr>
    </w:p>
    <w:p w14:paraId="6F7ECF0C" w14:textId="474C2EF2" w:rsidR="00B60092" w:rsidRDefault="00B60092"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6"/>
          <w:sz w:val="20"/>
          <w:szCs w:val="20"/>
        </w:rPr>
        <w:t xml:space="preserve"> </w:t>
      </w:r>
      <w:r w:rsidRPr="00531B12">
        <w:rPr>
          <w:rFonts w:ascii="Abadi" w:hAnsi="Abadi"/>
          <w:b/>
          <w:bCs/>
          <w:sz w:val="20"/>
          <w:szCs w:val="20"/>
        </w:rPr>
        <w:t>Y,</w:t>
      </w:r>
      <w:r w:rsidRPr="00531B12">
        <w:rPr>
          <w:rFonts w:ascii="Abadi" w:hAnsi="Abadi"/>
          <w:b/>
          <w:bCs/>
          <w:spacing w:val="15"/>
          <w:sz w:val="20"/>
          <w:szCs w:val="20"/>
        </w:rPr>
        <w:t xml:space="preserve"> </w:t>
      </w:r>
      <w:r w:rsidRPr="00531B12">
        <w:rPr>
          <w:rFonts w:ascii="Abadi" w:hAnsi="Abadi"/>
          <w:b/>
          <w:bCs/>
          <w:sz w:val="20"/>
          <w:szCs w:val="20"/>
        </w:rPr>
        <w:t>EN</w:t>
      </w:r>
      <w:r w:rsidRPr="00531B12">
        <w:rPr>
          <w:rFonts w:ascii="Abadi" w:hAnsi="Abadi"/>
          <w:b/>
          <w:bCs/>
          <w:spacing w:val="16"/>
          <w:sz w:val="20"/>
          <w:szCs w:val="20"/>
        </w:rPr>
        <w:t xml:space="preserve"> </w:t>
      </w:r>
      <w:r w:rsidRPr="00531B12">
        <w:rPr>
          <w:rFonts w:ascii="Abadi" w:hAnsi="Abadi"/>
          <w:b/>
          <w:bCs/>
          <w:sz w:val="20"/>
          <w:szCs w:val="20"/>
        </w:rPr>
        <w:t>SU</w:t>
      </w:r>
      <w:r w:rsidRPr="00531B12">
        <w:rPr>
          <w:rFonts w:ascii="Abadi" w:hAnsi="Abadi"/>
          <w:b/>
          <w:bCs/>
          <w:spacing w:val="16"/>
          <w:sz w:val="20"/>
          <w:szCs w:val="20"/>
        </w:rPr>
        <w:t xml:space="preserve"> </w:t>
      </w:r>
      <w:r w:rsidRPr="00531B12">
        <w:rPr>
          <w:rFonts w:ascii="Abadi" w:hAnsi="Abadi"/>
          <w:b/>
          <w:bCs/>
          <w:sz w:val="20"/>
          <w:szCs w:val="20"/>
        </w:rPr>
        <w:t>CASO,</w:t>
      </w:r>
      <w:r w:rsidRPr="00531B12">
        <w:rPr>
          <w:rFonts w:ascii="Abadi" w:hAnsi="Abadi"/>
          <w:b/>
          <w:bCs/>
          <w:spacing w:val="15"/>
          <w:sz w:val="20"/>
          <w:szCs w:val="20"/>
        </w:rPr>
        <w:t xml:space="preserve"> </w:t>
      </w:r>
      <w:r w:rsidRPr="00531B12">
        <w:rPr>
          <w:rFonts w:ascii="Abadi" w:hAnsi="Abadi"/>
          <w:b/>
          <w:bCs/>
          <w:sz w:val="20"/>
          <w:szCs w:val="20"/>
        </w:rPr>
        <w:t>APROBACIÓN</w:t>
      </w:r>
      <w:r w:rsidRPr="00531B12">
        <w:rPr>
          <w:rFonts w:ascii="Abadi" w:hAnsi="Abadi"/>
          <w:b/>
          <w:bCs/>
          <w:spacing w:val="16"/>
          <w:sz w:val="20"/>
          <w:szCs w:val="20"/>
        </w:rPr>
        <w:t xml:space="preserve"> </w:t>
      </w:r>
      <w:r w:rsidRPr="00531B12">
        <w:rPr>
          <w:rFonts w:ascii="Abadi" w:hAnsi="Abadi"/>
          <w:b/>
          <w:bCs/>
          <w:sz w:val="20"/>
          <w:szCs w:val="20"/>
        </w:rPr>
        <w:t>DEL</w:t>
      </w:r>
      <w:r w:rsidRPr="00531B12">
        <w:rPr>
          <w:rFonts w:ascii="Abadi" w:hAnsi="Abadi"/>
          <w:b/>
          <w:bCs/>
          <w:spacing w:val="15"/>
          <w:sz w:val="20"/>
          <w:szCs w:val="20"/>
        </w:rPr>
        <w:t xml:space="preserve"> </w:t>
      </w:r>
      <w:r w:rsidRPr="00531B12">
        <w:rPr>
          <w:rFonts w:ascii="Abadi" w:hAnsi="Abadi"/>
          <w:b/>
          <w:bCs/>
          <w:sz w:val="20"/>
          <w:szCs w:val="20"/>
        </w:rPr>
        <w:t>DICTAMEN</w:t>
      </w:r>
      <w:r w:rsidRPr="00531B12">
        <w:rPr>
          <w:rFonts w:ascii="Abadi" w:hAnsi="Abadi"/>
          <w:b/>
          <w:bCs/>
          <w:spacing w:val="16"/>
          <w:sz w:val="20"/>
          <w:szCs w:val="20"/>
        </w:rPr>
        <w:t xml:space="preserve"> </w:t>
      </w:r>
      <w:r w:rsidRPr="00531B12">
        <w:rPr>
          <w:rFonts w:ascii="Abadi" w:hAnsi="Abadi"/>
          <w:b/>
          <w:bCs/>
          <w:sz w:val="20"/>
          <w:szCs w:val="20"/>
        </w:rPr>
        <w:t>EMITIDO</w:t>
      </w:r>
      <w:r w:rsidRPr="00531B12">
        <w:rPr>
          <w:rFonts w:ascii="Abadi" w:hAnsi="Abadi"/>
          <w:b/>
          <w:bCs/>
          <w:spacing w:val="15"/>
          <w:sz w:val="20"/>
          <w:szCs w:val="20"/>
        </w:rPr>
        <w:t xml:space="preserve"> </w:t>
      </w:r>
      <w:r w:rsidRPr="00531B12">
        <w:rPr>
          <w:rFonts w:ascii="Abadi" w:hAnsi="Abadi"/>
          <w:b/>
          <w:bCs/>
          <w:sz w:val="20"/>
          <w:szCs w:val="20"/>
        </w:rPr>
        <w:t>POR</w:t>
      </w:r>
      <w:r w:rsidRPr="00531B12">
        <w:rPr>
          <w:rFonts w:ascii="Abadi" w:hAnsi="Abadi"/>
          <w:b/>
          <w:bCs/>
          <w:spacing w:val="15"/>
          <w:sz w:val="20"/>
          <w:szCs w:val="20"/>
        </w:rPr>
        <w:t xml:space="preserve"> </w:t>
      </w:r>
      <w:r w:rsidRPr="00531B12">
        <w:rPr>
          <w:rFonts w:ascii="Abadi" w:hAnsi="Abadi"/>
          <w:b/>
          <w:bCs/>
          <w:sz w:val="20"/>
          <w:szCs w:val="20"/>
        </w:rPr>
        <w:t>LA</w:t>
      </w:r>
      <w:r w:rsidRPr="00531B12">
        <w:rPr>
          <w:rFonts w:ascii="Abadi" w:hAnsi="Abadi"/>
          <w:b/>
          <w:bCs/>
          <w:spacing w:val="16"/>
          <w:sz w:val="20"/>
          <w:szCs w:val="20"/>
        </w:rPr>
        <w:t xml:space="preserve"> </w:t>
      </w:r>
      <w:r w:rsidRPr="00531B12">
        <w:rPr>
          <w:rFonts w:ascii="Abadi" w:hAnsi="Abadi"/>
          <w:b/>
          <w:bCs/>
          <w:sz w:val="20"/>
          <w:szCs w:val="20"/>
        </w:rPr>
        <w:t>COMISIÓN</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33"/>
          <w:sz w:val="20"/>
          <w:szCs w:val="20"/>
        </w:rPr>
        <w:t xml:space="preserve"> </w:t>
      </w:r>
      <w:r w:rsidRPr="00531B12">
        <w:rPr>
          <w:rFonts w:ascii="Abadi" w:hAnsi="Abadi"/>
          <w:b/>
          <w:bCs/>
          <w:sz w:val="20"/>
          <w:szCs w:val="20"/>
        </w:rPr>
        <w:t>HACIENDA</w:t>
      </w:r>
      <w:r w:rsidRPr="00531B12">
        <w:rPr>
          <w:rFonts w:ascii="Abadi" w:hAnsi="Abadi"/>
          <w:b/>
          <w:bCs/>
          <w:spacing w:val="32"/>
          <w:sz w:val="20"/>
          <w:szCs w:val="20"/>
        </w:rPr>
        <w:t xml:space="preserve"> </w:t>
      </w:r>
      <w:r w:rsidRPr="00531B12">
        <w:rPr>
          <w:rFonts w:ascii="Abadi" w:hAnsi="Abadi"/>
          <w:b/>
          <w:bCs/>
          <w:sz w:val="20"/>
          <w:szCs w:val="20"/>
        </w:rPr>
        <w:t>Y</w:t>
      </w:r>
      <w:r w:rsidRPr="00531B12">
        <w:rPr>
          <w:rFonts w:ascii="Abadi" w:hAnsi="Abadi"/>
          <w:b/>
          <w:bCs/>
          <w:spacing w:val="33"/>
          <w:sz w:val="20"/>
          <w:szCs w:val="20"/>
        </w:rPr>
        <w:t xml:space="preserve"> </w:t>
      </w:r>
      <w:r w:rsidRPr="00531B12">
        <w:rPr>
          <w:rFonts w:ascii="Abadi" w:hAnsi="Abadi"/>
          <w:b/>
          <w:bCs/>
          <w:sz w:val="20"/>
          <w:szCs w:val="20"/>
        </w:rPr>
        <w:t>FISCALIZACIÓN</w:t>
      </w:r>
      <w:r w:rsidRPr="00531B12">
        <w:rPr>
          <w:rFonts w:ascii="Abadi" w:hAnsi="Abadi"/>
          <w:b/>
          <w:bCs/>
          <w:spacing w:val="32"/>
          <w:sz w:val="20"/>
          <w:szCs w:val="20"/>
        </w:rPr>
        <w:t xml:space="preserve"> </w:t>
      </w:r>
      <w:r w:rsidRPr="00531B12">
        <w:rPr>
          <w:rFonts w:ascii="Abadi" w:hAnsi="Abadi"/>
          <w:b/>
          <w:bCs/>
          <w:sz w:val="20"/>
          <w:szCs w:val="20"/>
        </w:rPr>
        <w:t>RELATIVO</w:t>
      </w:r>
      <w:r w:rsidRPr="00531B12">
        <w:rPr>
          <w:rFonts w:ascii="Abadi" w:hAnsi="Abadi"/>
          <w:b/>
          <w:bCs/>
          <w:spacing w:val="32"/>
          <w:sz w:val="20"/>
          <w:szCs w:val="20"/>
        </w:rPr>
        <w:t xml:space="preserve"> </w:t>
      </w:r>
      <w:r w:rsidRPr="00531B12">
        <w:rPr>
          <w:rFonts w:ascii="Abadi" w:hAnsi="Abadi"/>
          <w:b/>
          <w:bCs/>
          <w:sz w:val="20"/>
          <w:szCs w:val="20"/>
        </w:rPr>
        <w:t>A</w:t>
      </w:r>
      <w:r w:rsidRPr="00531B12">
        <w:rPr>
          <w:rFonts w:ascii="Abadi" w:hAnsi="Abadi"/>
          <w:b/>
          <w:bCs/>
          <w:spacing w:val="32"/>
          <w:sz w:val="20"/>
          <w:szCs w:val="20"/>
        </w:rPr>
        <w:t xml:space="preserve"> </w:t>
      </w:r>
      <w:r w:rsidRPr="00531B12">
        <w:rPr>
          <w:rFonts w:ascii="Abadi" w:hAnsi="Abadi"/>
          <w:b/>
          <w:bCs/>
          <w:sz w:val="20"/>
          <w:szCs w:val="20"/>
        </w:rPr>
        <w:t>LA</w:t>
      </w:r>
      <w:r w:rsidRPr="00531B12">
        <w:rPr>
          <w:rFonts w:ascii="Abadi" w:hAnsi="Abadi"/>
          <w:b/>
          <w:bCs/>
          <w:spacing w:val="33"/>
          <w:sz w:val="20"/>
          <w:szCs w:val="20"/>
        </w:rPr>
        <w:t xml:space="preserve"> </w:t>
      </w:r>
      <w:r w:rsidRPr="00531B12">
        <w:rPr>
          <w:rFonts w:ascii="Abadi" w:hAnsi="Abadi"/>
          <w:b/>
          <w:bCs/>
          <w:sz w:val="20"/>
          <w:szCs w:val="20"/>
        </w:rPr>
        <w:t>PROPUESTA</w:t>
      </w:r>
      <w:r w:rsidRPr="00531B12">
        <w:rPr>
          <w:rFonts w:ascii="Abadi" w:hAnsi="Abadi"/>
          <w:b/>
          <w:bCs/>
          <w:spacing w:val="33"/>
          <w:sz w:val="20"/>
          <w:szCs w:val="20"/>
        </w:rPr>
        <w:t xml:space="preserve"> </w:t>
      </w:r>
      <w:r w:rsidRPr="00531B12">
        <w:rPr>
          <w:rFonts w:ascii="Abadi" w:hAnsi="Abadi"/>
          <w:b/>
          <w:bCs/>
          <w:sz w:val="20"/>
          <w:szCs w:val="20"/>
        </w:rPr>
        <w:t>DE</w:t>
      </w:r>
      <w:r w:rsidRPr="00531B12">
        <w:rPr>
          <w:rFonts w:ascii="Abadi" w:hAnsi="Abadi"/>
          <w:b/>
          <w:bCs/>
          <w:spacing w:val="33"/>
          <w:sz w:val="20"/>
          <w:szCs w:val="20"/>
        </w:rPr>
        <w:t xml:space="preserve"> </w:t>
      </w:r>
      <w:r w:rsidRPr="00531B12">
        <w:rPr>
          <w:rFonts w:ascii="Abadi" w:hAnsi="Abadi"/>
          <w:b/>
          <w:bCs/>
          <w:sz w:val="20"/>
          <w:szCs w:val="20"/>
        </w:rPr>
        <w:t>PUNTO</w:t>
      </w:r>
      <w:r w:rsidRPr="00531B12">
        <w:rPr>
          <w:rFonts w:ascii="Abadi" w:hAnsi="Abadi"/>
          <w:b/>
          <w:bCs/>
          <w:spacing w:val="33"/>
          <w:sz w:val="20"/>
          <w:szCs w:val="20"/>
        </w:rPr>
        <w:t xml:space="preserve"> </w:t>
      </w:r>
      <w:r w:rsidRPr="00531B12">
        <w:rPr>
          <w:rFonts w:ascii="Abadi" w:hAnsi="Abadi"/>
          <w:b/>
          <w:bCs/>
          <w:sz w:val="20"/>
          <w:szCs w:val="20"/>
        </w:rPr>
        <w:t>DE</w:t>
      </w:r>
      <w:r w:rsidRPr="00531B12">
        <w:rPr>
          <w:rFonts w:ascii="Abadi" w:hAnsi="Abadi"/>
          <w:b/>
          <w:bCs/>
          <w:spacing w:val="33"/>
          <w:sz w:val="20"/>
          <w:szCs w:val="20"/>
        </w:rPr>
        <w:t xml:space="preserve"> </w:t>
      </w:r>
      <w:r w:rsidRPr="00531B12">
        <w:rPr>
          <w:rFonts w:ascii="Abadi" w:hAnsi="Abadi"/>
          <w:b/>
          <w:bCs/>
          <w:sz w:val="20"/>
          <w:szCs w:val="20"/>
        </w:rPr>
        <w:t>ACUERDO</w:t>
      </w:r>
      <w:r w:rsidRPr="00531B12">
        <w:rPr>
          <w:rFonts w:ascii="Abadi" w:hAnsi="Abadi"/>
          <w:b/>
          <w:bCs/>
          <w:spacing w:val="-2"/>
          <w:sz w:val="20"/>
          <w:szCs w:val="20"/>
        </w:rPr>
        <w:t xml:space="preserve"> </w:t>
      </w:r>
      <w:r w:rsidRPr="00531B12">
        <w:rPr>
          <w:rFonts w:ascii="Abadi" w:hAnsi="Abadi"/>
          <w:b/>
          <w:bCs/>
          <w:sz w:val="20"/>
          <w:szCs w:val="20"/>
        </w:rPr>
        <w:t>FORMULADA</w:t>
      </w:r>
      <w:r w:rsidRPr="00531B12">
        <w:rPr>
          <w:rFonts w:ascii="Abadi" w:hAnsi="Abadi"/>
          <w:b/>
          <w:bCs/>
          <w:spacing w:val="25"/>
          <w:sz w:val="20"/>
          <w:szCs w:val="20"/>
        </w:rPr>
        <w:t xml:space="preserve"> </w:t>
      </w:r>
      <w:r w:rsidRPr="00531B12">
        <w:rPr>
          <w:rFonts w:ascii="Abadi" w:hAnsi="Abadi"/>
          <w:b/>
          <w:bCs/>
          <w:sz w:val="20"/>
          <w:szCs w:val="20"/>
        </w:rPr>
        <w:t>POR</w:t>
      </w:r>
      <w:r w:rsidRPr="00531B12">
        <w:rPr>
          <w:rFonts w:ascii="Abadi" w:hAnsi="Abadi"/>
          <w:b/>
          <w:bCs/>
          <w:spacing w:val="25"/>
          <w:sz w:val="20"/>
          <w:szCs w:val="20"/>
        </w:rPr>
        <w:t xml:space="preserve"> </w:t>
      </w:r>
      <w:r w:rsidRPr="00531B12">
        <w:rPr>
          <w:rFonts w:ascii="Abadi" w:hAnsi="Abadi"/>
          <w:b/>
          <w:bCs/>
          <w:sz w:val="20"/>
          <w:szCs w:val="20"/>
        </w:rPr>
        <w:t>DIPUTADAS</w:t>
      </w:r>
      <w:r w:rsidRPr="00531B12">
        <w:rPr>
          <w:rFonts w:ascii="Abadi" w:hAnsi="Abadi"/>
          <w:b/>
          <w:bCs/>
          <w:spacing w:val="25"/>
          <w:sz w:val="20"/>
          <w:szCs w:val="20"/>
        </w:rPr>
        <w:t xml:space="preserve"> </w:t>
      </w:r>
      <w:r w:rsidRPr="00531B12">
        <w:rPr>
          <w:rFonts w:ascii="Abadi" w:hAnsi="Abadi"/>
          <w:b/>
          <w:bCs/>
          <w:sz w:val="20"/>
          <w:szCs w:val="20"/>
        </w:rPr>
        <w:t>Y</w:t>
      </w:r>
      <w:r w:rsidRPr="00531B12">
        <w:rPr>
          <w:rFonts w:ascii="Abadi" w:hAnsi="Abadi"/>
          <w:b/>
          <w:bCs/>
          <w:spacing w:val="25"/>
          <w:sz w:val="20"/>
          <w:szCs w:val="20"/>
        </w:rPr>
        <w:t xml:space="preserve"> </w:t>
      </w:r>
      <w:r w:rsidRPr="00531B12">
        <w:rPr>
          <w:rFonts w:ascii="Abadi" w:hAnsi="Abadi"/>
          <w:b/>
          <w:bCs/>
          <w:sz w:val="20"/>
          <w:szCs w:val="20"/>
        </w:rPr>
        <w:t>DIPUTADOS</w:t>
      </w:r>
      <w:r w:rsidRPr="00531B12">
        <w:rPr>
          <w:rFonts w:ascii="Abadi" w:hAnsi="Abadi"/>
          <w:b/>
          <w:bCs/>
          <w:spacing w:val="25"/>
          <w:sz w:val="20"/>
          <w:szCs w:val="20"/>
        </w:rPr>
        <w:t xml:space="preserve"> </w:t>
      </w:r>
      <w:r w:rsidRPr="00531B12">
        <w:rPr>
          <w:rFonts w:ascii="Abadi" w:hAnsi="Abadi"/>
          <w:b/>
          <w:bCs/>
          <w:sz w:val="20"/>
          <w:szCs w:val="20"/>
        </w:rPr>
        <w:t>INTEGRANTES</w:t>
      </w:r>
      <w:r w:rsidRPr="00531B12">
        <w:rPr>
          <w:rFonts w:ascii="Abadi" w:hAnsi="Abadi"/>
          <w:b/>
          <w:bCs/>
          <w:spacing w:val="25"/>
          <w:sz w:val="20"/>
          <w:szCs w:val="20"/>
        </w:rPr>
        <w:t xml:space="preserve"> </w:t>
      </w:r>
      <w:r w:rsidRPr="00531B12">
        <w:rPr>
          <w:rFonts w:ascii="Abadi" w:hAnsi="Abadi"/>
          <w:b/>
          <w:bCs/>
          <w:sz w:val="20"/>
          <w:szCs w:val="20"/>
        </w:rPr>
        <w:t>DEL</w:t>
      </w:r>
      <w:r w:rsidRPr="00531B12">
        <w:rPr>
          <w:rFonts w:ascii="Abadi" w:hAnsi="Abadi"/>
          <w:b/>
          <w:bCs/>
          <w:spacing w:val="25"/>
          <w:sz w:val="20"/>
          <w:szCs w:val="20"/>
        </w:rPr>
        <w:t xml:space="preserve"> </w:t>
      </w:r>
      <w:r w:rsidRPr="00531B12">
        <w:rPr>
          <w:rFonts w:ascii="Abadi" w:hAnsi="Abadi"/>
          <w:b/>
          <w:bCs/>
          <w:sz w:val="20"/>
          <w:szCs w:val="20"/>
        </w:rPr>
        <w:t>GRUPO</w:t>
      </w:r>
      <w:r w:rsidRPr="00531B12">
        <w:rPr>
          <w:rFonts w:ascii="Abadi" w:hAnsi="Abadi"/>
          <w:b/>
          <w:bCs/>
          <w:spacing w:val="25"/>
          <w:sz w:val="20"/>
          <w:szCs w:val="20"/>
        </w:rPr>
        <w:t xml:space="preserve"> </w:t>
      </w:r>
      <w:r w:rsidRPr="00531B12">
        <w:rPr>
          <w:rFonts w:ascii="Abadi" w:hAnsi="Abadi"/>
          <w:b/>
          <w:bCs/>
          <w:sz w:val="20"/>
          <w:szCs w:val="20"/>
        </w:rPr>
        <w:t>PARLAMENTARIO</w:t>
      </w:r>
      <w:r w:rsidRPr="00531B12">
        <w:rPr>
          <w:rFonts w:ascii="Abadi" w:hAnsi="Abadi"/>
          <w:b/>
          <w:bCs/>
          <w:spacing w:val="-2"/>
          <w:sz w:val="20"/>
          <w:szCs w:val="20"/>
        </w:rPr>
        <w:t xml:space="preserve"> </w:t>
      </w:r>
      <w:r w:rsidRPr="00531B12">
        <w:rPr>
          <w:rFonts w:ascii="Abadi" w:hAnsi="Abadi"/>
          <w:b/>
          <w:bCs/>
          <w:sz w:val="20"/>
          <w:szCs w:val="20"/>
        </w:rPr>
        <w:t>DEL</w:t>
      </w:r>
      <w:r w:rsidRPr="00531B12">
        <w:rPr>
          <w:rFonts w:ascii="Abadi" w:hAnsi="Abadi"/>
          <w:b/>
          <w:bCs/>
          <w:spacing w:val="-3"/>
          <w:sz w:val="20"/>
          <w:szCs w:val="20"/>
        </w:rPr>
        <w:t xml:space="preserve"> </w:t>
      </w:r>
      <w:r w:rsidRPr="00531B12">
        <w:rPr>
          <w:rFonts w:ascii="Abadi" w:hAnsi="Abadi"/>
          <w:b/>
          <w:bCs/>
          <w:sz w:val="20"/>
          <w:szCs w:val="20"/>
        </w:rPr>
        <w:t>PARTIDO</w:t>
      </w:r>
      <w:r w:rsidRPr="00531B12">
        <w:rPr>
          <w:rFonts w:ascii="Abadi" w:hAnsi="Abadi"/>
          <w:b/>
          <w:bCs/>
          <w:spacing w:val="-3"/>
          <w:sz w:val="20"/>
          <w:szCs w:val="20"/>
        </w:rPr>
        <w:t xml:space="preserve"> </w:t>
      </w:r>
      <w:r w:rsidRPr="00531B12">
        <w:rPr>
          <w:rFonts w:ascii="Abadi" w:hAnsi="Abadi"/>
          <w:b/>
          <w:bCs/>
          <w:sz w:val="20"/>
          <w:szCs w:val="20"/>
        </w:rPr>
        <w:t>MORENA,</w:t>
      </w:r>
      <w:r w:rsidRPr="00531B12">
        <w:rPr>
          <w:rFonts w:ascii="Abadi" w:hAnsi="Abadi"/>
          <w:b/>
          <w:bCs/>
          <w:spacing w:val="-3"/>
          <w:sz w:val="20"/>
          <w:szCs w:val="20"/>
        </w:rPr>
        <w:t xml:space="preserve"> </w:t>
      </w:r>
      <w:r w:rsidRPr="00531B12">
        <w:rPr>
          <w:rFonts w:ascii="Abadi" w:hAnsi="Abadi"/>
          <w:b/>
          <w:bCs/>
          <w:sz w:val="20"/>
          <w:szCs w:val="20"/>
        </w:rPr>
        <w:t>A</w:t>
      </w:r>
      <w:r w:rsidRPr="00531B12">
        <w:rPr>
          <w:rFonts w:ascii="Abadi" w:hAnsi="Abadi"/>
          <w:b/>
          <w:bCs/>
          <w:spacing w:val="-3"/>
          <w:sz w:val="20"/>
          <w:szCs w:val="20"/>
        </w:rPr>
        <w:t xml:space="preserve"> </w:t>
      </w:r>
      <w:r w:rsidRPr="00531B12">
        <w:rPr>
          <w:rFonts w:ascii="Abadi" w:hAnsi="Abadi"/>
          <w:b/>
          <w:bCs/>
          <w:sz w:val="20"/>
          <w:szCs w:val="20"/>
        </w:rPr>
        <w:t>EFECTO</w:t>
      </w:r>
      <w:r w:rsidRPr="00531B12">
        <w:rPr>
          <w:rFonts w:ascii="Abadi" w:hAnsi="Abadi"/>
          <w:b/>
          <w:bCs/>
          <w:spacing w:val="-3"/>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EXHORTAR</w:t>
      </w:r>
      <w:r w:rsidRPr="00531B12">
        <w:rPr>
          <w:rFonts w:ascii="Abadi" w:hAnsi="Abadi"/>
          <w:b/>
          <w:bCs/>
          <w:spacing w:val="-3"/>
          <w:sz w:val="20"/>
          <w:szCs w:val="20"/>
        </w:rPr>
        <w:t xml:space="preserve"> </w:t>
      </w:r>
      <w:r w:rsidRPr="00531B12">
        <w:rPr>
          <w:rFonts w:ascii="Abadi" w:hAnsi="Abadi"/>
          <w:b/>
          <w:bCs/>
          <w:sz w:val="20"/>
          <w:szCs w:val="20"/>
        </w:rPr>
        <w:t>AL</w:t>
      </w:r>
      <w:r w:rsidRPr="00531B12">
        <w:rPr>
          <w:rFonts w:ascii="Abadi" w:hAnsi="Abadi"/>
          <w:b/>
          <w:bCs/>
          <w:spacing w:val="-3"/>
          <w:sz w:val="20"/>
          <w:szCs w:val="20"/>
        </w:rPr>
        <w:t xml:space="preserve"> </w:t>
      </w:r>
      <w:r w:rsidRPr="00531B12">
        <w:rPr>
          <w:rFonts w:ascii="Abadi" w:hAnsi="Abadi"/>
          <w:b/>
          <w:bCs/>
          <w:sz w:val="20"/>
          <w:szCs w:val="20"/>
        </w:rPr>
        <w:t>TITULAR</w:t>
      </w:r>
      <w:r w:rsidRPr="00531B12">
        <w:rPr>
          <w:rFonts w:ascii="Abadi" w:hAnsi="Abadi"/>
          <w:b/>
          <w:bCs/>
          <w:spacing w:val="-3"/>
          <w:sz w:val="20"/>
          <w:szCs w:val="20"/>
        </w:rPr>
        <w:t xml:space="preserve"> </w:t>
      </w:r>
      <w:r w:rsidRPr="00531B12">
        <w:rPr>
          <w:rFonts w:ascii="Abadi" w:hAnsi="Abadi"/>
          <w:b/>
          <w:bCs/>
          <w:sz w:val="20"/>
          <w:szCs w:val="20"/>
        </w:rPr>
        <w:t>DE</w:t>
      </w:r>
      <w:r w:rsidRPr="00531B12">
        <w:rPr>
          <w:rFonts w:ascii="Abadi" w:hAnsi="Abadi"/>
          <w:b/>
          <w:bCs/>
          <w:spacing w:val="-3"/>
          <w:sz w:val="20"/>
          <w:szCs w:val="20"/>
        </w:rPr>
        <w:t xml:space="preserve"> </w:t>
      </w:r>
      <w:r w:rsidRPr="00531B12">
        <w:rPr>
          <w:rFonts w:ascii="Abadi" w:hAnsi="Abadi"/>
          <w:b/>
          <w:bCs/>
          <w:sz w:val="20"/>
          <w:szCs w:val="20"/>
        </w:rPr>
        <w:t>LA</w:t>
      </w:r>
      <w:r w:rsidRPr="00531B12">
        <w:rPr>
          <w:rFonts w:ascii="Abadi" w:hAnsi="Abadi"/>
          <w:b/>
          <w:bCs/>
          <w:spacing w:val="-2"/>
          <w:sz w:val="20"/>
          <w:szCs w:val="20"/>
        </w:rPr>
        <w:t xml:space="preserve"> </w:t>
      </w:r>
      <w:r w:rsidRPr="00531B12">
        <w:rPr>
          <w:rFonts w:ascii="Abadi" w:hAnsi="Abadi"/>
          <w:b/>
          <w:bCs/>
          <w:sz w:val="20"/>
          <w:szCs w:val="20"/>
        </w:rPr>
        <w:t>AUDITORÍA</w:t>
      </w:r>
      <w:r w:rsidRPr="00531B12">
        <w:rPr>
          <w:rFonts w:ascii="Abadi" w:hAnsi="Abadi"/>
          <w:b/>
          <w:bCs/>
          <w:spacing w:val="-3"/>
          <w:sz w:val="20"/>
          <w:szCs w:val="20"/>
        </w:rPr>
        <w:t xml:space="preserve"> </w:t>
      </w:r>
      <w:r w:rsidRPr="00531B12">
        <w:rPr>
          <w:rFonts w:ascii="Abadi" w:hAnsi="Abadi"/>
          <w:b/>
          <w:bCs/>
          <w:sz w:val="20"/>
          <w:szCs w:val="20"/>
        </w:rPr>
        <w:t>SUPERIOR</w:t>
      </w:r>
      <w:r w:rsidRPr="00531B12">
        <w:rPr>
          <w:rFonts w:ascii="Abadi" w:hAnsi="Abadi"/>
          <w:b/>
          <w:bCs/>
          <w:spacing w:val="-2"/>
          <w:sz w:val="20"/>
          <w:szCs w:val="20"/>
        </w:rPr>
        <w:t xml:space="preserve"> </w:t>
      </w:r>
      <w:r w:rsidRPr="00531B12">
        <w:rPr>
          <w:rFonts w:ascii="Abadi" w:hAnsi="Abadi"/>
          <w:b/>
          <w:bCs/>
          <w:sz w:val="20"/>
          <w:szCs w:val="20"/>
        </w:rPr>
        <w:t>DEL</w:t>
      </w:r>
      <w:r w:rsidRPr="00531B12">
        <w:rPr>
          <w:rFonts w:ascii="Abadi" w:hAnsi="Abadi"/>
          <w:b/>
          <w:bCs/>
          <w:spacing w:val="22"/>
          <w:sz w:val="20"/>
          <w:szCs w:val="20"/>
        </w:rPr>
        <w:t xml:space="preserve"> </w:t>
      </w:r>
      <w:r w:rsidRPr="00531B12">
        <w:rPr>
          <w:rFonts w:ascii="Abadi" w:hAnsi="Abadi"/>
          <w:b/>
          <w:bCs/>
          <w:sz w:val="20"/>
          <w:szCs w:val="20"/>
        </w:rPr>
        <w:t>ESTADO</w:t>
      </w:r>
      <w:r w:rsidRPr="00531B12">
        <w:rPr>
          <w:rFonts w:ascii="Abadi" w:hAnsi="Abadi"/>
          <w:b/>
          <w:bCs/>
          <w:spacing w:val="22"/>
          <w:sz w:val="20"/>
          <w:szCs w:val="20"/>
        </w:rPr>
        <w:t xml:space="preserve"> </w:t>
      </w:r>
      <w:r w:rsidRPr="00531B12">
        <w:rPr>
          <w:rFonts w:ascii="Abadi" w:hAnsi="Abadi"/>
          <w:b/>
          <w:bCs/>
          <w:sz w:val="20"/>
          <w:szCs w:val="20"/>
        </w:rPr>
        <w:t>DE</w:t>
      </w:r>
      <w:r w:rsidRPr="00531B12">
        <w:rPr>
          <w:rFonts w:ascii="Abadi" w:hAnsi="Abadi"/>
          <w:b/>
          <w:bCs/>
          <w:spacing w:val="22"/>
          <w:sz w:val="20"/>
          <w:szCs w:val="20"/>
        </w:rPr>
        <w:t xml:space="preserve"> </w:t>
      </w:r>
      <w:r w:rsidRPr="00531B12">
        <w:rPr>
          <w:rFonts w:ascii="Abadi" w:hAnsi="Abadi"/>
          <w:b/>
          <w:bCs/>
          <w:sz w:val="20"/>
          <w:szCs w:val="20"/>
        </w:rPr>
        <w:t>GUANAJUATO,</w:t>
      </w:r>
      <w:r w:rsidRPr="00531B12">
        <w:rPr>
          <w:rFonts w:ascii="Abadi" w:hAnsi="Abadi"/>
          <w:b/>
          <w:bCs/>
          <w:spacing w:val="22"/>
          <w:sz w:val="20"/>
          <w:szCs w:val="20"/>
        </w:rPr>
        <w:t xml:space="preserve"> </w:t>
      </w:r>
      <w:r w:rsidRPr="00531B12">
        <w:rPr>
          <w:rFonts w:ascii="Abadi" w:hAnsi="Abadi"/>
          <w:b/>
          <w:bCs/>
          <w:sz w:val="20"/>
          <w:szCs w:val="20"/>
        </w:rPr>
        <w:t>PARA</w:t>
      </w:r>
      <w:r w:rsidRPr="00531B12">
        <w:rPr>
          <w:rFonts w:ascii="Abadi" w:hAnsi="Abadi"/>
          <w:b/>
          <w:bCs/>
          <w:spacing w:val="22"/>
          <w:sz w:val="20"/>
          <w:szCs w:val="20"/>
        </w:rPr>
        <w:t xml:space="preserve"> </w:t>
      </w:r>
      <w:r w:rsidRPr="00531B12">
        <w:rPr>
          <w:rFonts w:ascii="Abadi" w:hAnsi="Abadi"/>
          <w:b/>
          <w:bCs/>
          <w:sz w:val="20"/>
          <w:szCs w:val="20"/>
        </w:rPr>
        <w:t>QUE</w:t>
      </w:r>
      <w:r w:rsidRPr="00531B12">
        <w:rPr>
          <w:rFonts w:ascii="Abadi" w:hAnsi="Abadi"/>
          <w:b/>
          <w:bCs/>
          <w:spacing w:val="22"/>
          <w:sz w:val="20"/>
          <w:szCs w:val="20"/>
        </w:rPr>
        <w:t xml:space="preserve"> </w:t>
      </w:r>
      <w:r w:rsidRPr="00531B12">
        <w:rPr>
          <w:rFonts w:ascii="Abadi" w:hAnsi="Abadi"/>
          <w:b/>
          <w:bCs/>
          <w:sz w:val="20"/>
          <w:szCs w:val="20"/>
        </w:rPr>
        <w:t>LLEVE</w:t>
      </w:r>
      <w:r w:rsidRPr="00531B12">
        <w:rPr>
          <w:rFonts w:ascii="Abadi" w:hAnsi="Abadi"/>
          <w:b/>
          <w:bCs/>
          <w:spacing w:val="22"/>
          <w:sz w:val="20"/>
          <w:szCs w:val="20"/>
        </w:rPr>
        <w:t xml:space="preserve"> </w:t>
      </w:r>
      <w:r w:rsidRPr="00531B12">
        <w:rPr>
          <w:rFonts w:ascii="Abadi" w:hAnsi="Abadi"/>
          <w:b/>
          <w:bCs/>
          <w:sz w:val="20"/>
          <w:szCs w:val="20"/>
        </w:rPr>
        <w:t>A</w:t>
      </w:r>
      <w:r w:rsidRPr="00531B12">
        <w:rPr>
          <w:rFonts w:ascii="Abadi" w:hAnsi="Abadi"/>
          <w:b/>
          <w:bCs/>
          <w:spacing w:val="22"/>
          <w:sz w:val="20"/>
          <w:szCs w:val="20"/>
        </w:rPr>
        <w:t xml:space="preserve"> </w:t>
      </w:r>
      <w:r w:rsidRPr="00531B12">
        <w:rPr>
          <w:rFonts w:ascii="Abadi" w:hAnsi="Abadi"/>
          <w:b/>
          <w:bCs/>
          <w:sz w:val="20"/>
          <w:szCs w:val="20"/>
        </w:rPr>
        <w:t>CABO</w:t>
      </w:r>
      <w:r w:rsidRPr="00531B12">
        <w:rPr>
          <w:rFonts w:ascii="Abadi" w:hAnsi="Abadi"/>
          <w:b/>
          <w:bCs/>
          <w:spacing w:val="22"/>
          <w:sz w:val="20"/>
          <w:szCs w:val="20"/>
        </w:rPr>
        <w:t xml:space="preserve"> </w:t>
      </w:r>
      <w:r w:rsidRPr="00531B12">
        <w:rPr>
          <w:rFonts w:ascii="Abadi" w:hAnsi="Abadi"/>
          <w:b/>
          <w:bCs/>
          <w:sz w:val="20"/>
          <w:szCs w:val="20"/>
        </w:rPr>
        <w:t>UNA</w:t>
      </w:r>
      <w:r w:rsidRPr="00531B12">
        <w:rPr>
          <w:rFonts w:ascii="Abadi" w:hAnsi="Abadi"/>
          <w:b/>
          <w:bCs/>
          <w:spacing w:val="22"/>
          <w:sz w:val="20"/>
          <w:szCs w:val="20"/>
        </w:rPr>
        <w:t xml:space="preserve"> </w:t>
      </w:r>
      <w:r w:rsidRPr="00531B12">
        <w:rPr>
          <w:rFonts w:ascii="Abadi" w:hAnsi="Abadi"/>
          <w:b/>
          <w:bCs/>
          <w:sz w:val="20"/>
          <w:szCs w:val="20"/>
        </w:rPr>
        <w:t>AUDITORÍA</w:t>
      </w:r>
      <w:r w:rsidRPr="00531B12">
        <w:rPr>
          <w:rFonts w:ascii="Abadi" w:hAnsi="Abadi"/>
          <w:b/>
          <w:bCs/>
          <w:spacing w:val="22"/>
          <w:sz w:val="20"/>
          <w:szCs w:val="20"/>
        </w:rPr>
        <w:t xml:space="preserve"> </w:t>
      </w:r>
      <w:r w:rsidRPr="00531B12">
        <w:rPr>
          <w:rFonts w:ascii="Abadi" w:hAnsi="Abadi"/>
          <w:b/>
          <w:bCs/>
          <w:sz w:val="20"/>
          <w:szCs w:val="20"/>
        </w:rPr>
        <w:t>FINANCIERA</w:t>
      </w:r>
      <w:r w:rsidRPr="00531B12">
        <w:rPr>
          <w:rFonts w:ascii="Abadi" w:hAnsi="Abadi"/>
          <w:b/>
          <w:bCs/>
          <w:spacing w:val="-2"/>
          <w:sz w:val="20"/>
          <w:szCs w:val="20"/>
        </w:rPr>
        <w:t xml:space="preserve"> </w:t>
      </w:r>
      <w:r w:rsidRPr="00531B12">
        <w:rPr>
          <w:rFonts w:ascii="Abadi" w:hAnsi="Abadi"/>
          <w:b/>
          <w:bCs/>
          <w:sz w:val="20"/>
          <w:szCs w:val="20"/>
        </w:rPr>
        <w:t>INTEGRAL</w:t>
      </w:r>
      <w:r w:rsidRPr="00531B12">
        <w:rPr>
          <w:rFonts w:ascii="Abadi" w:hAnsi="Abadi"/>
          <w:b/>
          <w:bCs/>
          <w:spacing w:val="18"/>
          <w:sz w:val="20"/>
          <w:szCs w:val="20"/>
        </w:rPr>
        <w:t xml:space="preserve"> </w:t>
      </w:r>
      <w:r w:rsidRPr="00531B12">
        <w:rPr>
          <w:rFonts w:ascii="Abadi" w:hAnsi="Abadi"/>
          <w:b/>
          <w:bCs/>
          <w:sz w:val="20"/>
          <w:szCs w:val="20"/>
        </w:rPr>
        <w:t>AL</w:t>
      </w:r>
      <w:r w:rsidRPr="00531B12">
        <w:rPr>
          <w:rFonts w:ascii="Abadi" w:hAnsi="Abadi"/>
          <w:b/>
          <w:bCs/>
          <w:spacing w:val="18"/>
          <w:sz w:val="20"/>
          <w:szCs w:val="20"/>
        </w:rPr>
        <w:t xml:space="preserve"> </w:t>
      </w:r>
      <w:r w:rsidRPr="00531B12">
        <w:rPr>
          <w:rFonts w:ascii="Abadi" w:hAnsi="Abadi"/>
          <w:b/>
          <w:bCs/>
          <w:sz w:val="20"/>
          <w:szCs w:val="20"/>
        </w:rPr>
        <w:t>MUNICIPIO</w:t>
      </w:r>
      <w:r w:rsidRPr="00531B12">
        <w:rPr>
          <w:rFonts w:ascii="Abadi" w:hAnsi="Abadi"/>
          <w:b/>
          <w:bCs/>
          <w:spacing w:val="18"/>
          <w:sz w:val="20"/>
          <w:szCs w:val="20"/>
        </w:rPr>
        <w:t xml:space="preserve"> </w:t>
      </w:r>
      <w:r w:rsidRPr="00531B12">
        <w:rPr>
          <w:rFonts w:ascii="Abadi" w:hAnsi="Abadi"/>
          <w:b/>
          <w:bCs/>
          <w:sz w:val="20"/>
          <w:szCs w:val="20"/>
        </w:rPr>
        <w:t>DE</w:t>
      </w:r>
      <w:r w:rsidRPr="00531B12">
        <w:rPr>
          <w:rFonts w:ascii="Abadi" w:hAnsi="Abadi"/>
          <w:b/>
          <w:bCs/>
          <w:spacing w:val="18"/>
          <w:sz w:val="20"/>
          <w:szCs w:val="20"/>
        </w:rPr>
        <w:t xml:space="preserve"> </w:t>
      </w:r>
      <w:r w:rsidRPr="00531B12">
        <w:rPr>
          <w:rFonts w:ascii="Abadi" w:hAnsi="Abadi"/>
          <w:b/>
          <w:bCs/>
          <w:sz w:val="20"/>
          <w:szCs w:val="20"/>
        </w:rPr>
        <w:t>CORTAZAR,</w:t>
      </w:r>
      <w:r w:rsidRPr="00531B12">
        <w:rPr>
          <w:rFonts w:ascii="Abadi" w:hAnsi="Abadi"/>
          <w:b/>
          <w:bCs/>
          <w:spacing w:val="18"/>
          <w:sz w:val="20"/>
          <w:szCs w:val="20"/>
        </w:rPr>
        <w:t xml:space="preserve"> </w:t>
      </w:r>
      <w:r w:rsidRPr="00531B12">
        <w:rPr>
          <w:rFonts w:ascii="Abadi" w:hAnsi="Abadi"/>
          <w:b/>
          <w:bCs/>
          <w:sz w:val="20"/>
          <w:szCs w:val="20"/>
        </w:rPr>
        <w:t>GTO.,</w:t>
      </w:r>
      <w:r w:rsidRPr="00531B12">
        <w:rPr>
          <w:rFonts w:ascii="Abadi" w:hAnsi="Abadi"/>
          <w:b/>
          <w:bCs/>
          <w:spacing w:val="18"/>
          <w:sz w:val="20"/>
          <w:szCs w:val="20"/>
        </w:rPr>
        <w:t xml:space="preserve"> </w:t>
      </w:r>
      <w:r w:rsidRPr="00531B12">
        <w:rPr>
          <w:rFonts w:ascii="Abadi" w:hAnsi="Abadi"/>
          <w:b/>
          <w:bCs/>
          <w:sz w:val="20"/>
          <w:szCs w:val="20"/>
        </w:rPr>
        <w:t>POR</w:t>
      </w:r>
      <w:r w:rsidRPr="00531B12">
        <w:rPr>
          <w:rFonts w:ascii="Abadi" w:hAnsi="Abadi"/>
          <w:b/>
          <w:bCs/>
          <w:spacing w:val="18"/>
          <w:sz w:val="20"/>
          <w:szCs w:val="20"/>
        </w:rPr>
        <w:t xml:space="preserve"> </w:t>
      </w:r>
      <w:r w:rsidRPr="00531B12">
        <w:rPr>
          <w:rFonts w:ascii="Abadi" w:hAnsi="Abadi"/>
          <w:b/>
          <w:bCs/>
          <w:sz w:val="20"/>
          <w:szCs w:val="20"/>
        </w:rPr>
        <w:t>LOS</w:t>
      </w:r>
      <w:r w:rsidRPr="00531B12">
        <w:rPr>
          <w:rFonts w:ascii="Abadi" w:hAnsi="Abadi"/>
          <w:b/>
          <w:bCs/>
          <w:spacing w:val="18"/>
          <w:sz w:val="20"/>
          <w:szCs w:val="20"/>
        </w:rPr>
        <w:t xml:space="preserve"> </w:t>
      </w:r>
      <w:r w:rsidRPr="00531B12">
        <w:rPr>
          <w:rFonts w:ascii="Abadi" w:hAnsi="Abadi"/>
          <w:b/>
          <w:bCs/>
          <w:sz w:val="20"/>
          <w:szCs w:val="20"/>
        </w:rPr>
        <w:t>EJERCICIOS</w:t>
      </w:r>
      <w:r w:rsidRPr="00531B12">
        <w:rPr>
          <w:rFonts w:ascii="Abadi" w:hAnsi="Abadi"/>
          <w:b/>
          <w:bCs/>
          <w:spacing w:val="18"/>
          <w:sz w:val="20"/>
          <w:szCs w:val="20"/>
        </w:rPr>
        <w:t xml:space="preserve"> </w:t>
      </w:r>
      <w:r w:rsidRPr="00531B12">
        <w:rPr>
          <w:rFonts w:ascii="Abadi" w:hAnsi="Abadi"/>
          <w:b/>
          <w:bCs/>
          <w:sz w:val="20"/>
          <w:szCs w:val="20"/>
        </w:rPr>
        <w:t>FISCALES</w:t>
      </w:r>
      <w:r w:rsidRPr="00531B12">
        <w:rPr>
          <w:rFonts w:ascii="Abadi" w:hAnsi="Abadi"/>
          <w:b/>
          <w:bCs/>
          <w:spacing w:val="18"/>
          <w:sz w:val="20"/>
          <w:szCs w:val="20"/>
        </w:rPr>
        <w:t xml:space="preserve"> </w:t>
      </w:r>
      <w:r w:rsidRPr="00531B12">
        <w:rPr>
          <w:rFonts w:ascii="Abadi" w:hAnsi="Abadi"/>
          <w:b/>
          <w:bCs/>
          <w:sz w:val="20"/>
          <w:szCs w:val="20"/>
        </w:rPr>
        <w:t>DE</w:t>
      </w:r>
      <w:r w:rsidRPr="00531B12">
        <w:rPr>
          <w:rFonts w:ascii="Abadi" w:hAnsi="Abadi"/>
          <w:b/>
          <w:bCs/>
          <w:spacing w:val="18"/>
          <w:sz w:val="20"/>
          <w:szCs w:val="20"/>
        </w:rPr>
        <w:t xml:space="preserve"> </w:t>
      </w:r>
      <w:r w:rsidRPr="00531B12">
        <w:rPr>
          <w:rFonts w:ascii="Abadi" w:hAnsi="Abadi"/>
          <w:b/>
          <w:bCs/>
          <w:sz w:val="20"/>
          <w:szCs w:val="20"/>
        </w:rPr>
        <w:t>2019,</w:t>
      </w:r>
      <w:r w:rsidRPr="00531B12">
        <w:rPr>
          <w:rFonts w:ascii="Abadi" w:hAnsi="Abadi"/>
          <w:b/>
          <w:bCs/>
          <w:spacing w:val="-2"/>
          <w:sz w:val="20"/>
          <w:szCs w:val="20"/>
        </w:rPr>
        <w:t xml:space="preserve"> </w:t>
      </w:r>
      <w:r w:rsidRPr="00531B12">
        <w:rPr>
          <w:rFonts w:ascii="Abadi" w:hAnsi="Abadi"/>
          <w:b/>
          <w:bCs/>
          <w:sz w:val="20"/>
          <w:szCs w:val="20"/>
        </w:rPr>
        <w:t>2020</w:t>
      </w:r>
      <w:r w:rsidRPr="00531B12">
        <w:rPr>
          <w:rFonts w:ascii="Abadi" w:hAnsi="Abadi"/>
          <w:b/>
          <w:bCs/>
          <w:spacing w:val="80"/>
          <w:sz w:val="20"/>
          <w:szCs w:val="20"/>
        </w:rPr>
        <w:t xml:space="preserve"> </w:t>
      </w:r>
      <w:r w:rsidRPr="00531B12">
        <w:rPr>
          <w:rFonts w:ascii="Abadi" w:hAnsi="Abadi"/>
          <w:b/>
          <w:bCs/>
          <w:sz w:val="20"/>
          <w:szCs w:val="20"/>
        </w:rPr>
        <w:t>Y</w:t>
      </w:r>
      <w:r w:rsidRPr="00531B12">
        <w:rPr>
          <w:rFonts w:ascii="Abadi" w:hAnsi="Abadi"/>
          <w:b/>
          <w:bCs/>
          <w:spacing w:val="80"/>
          <w:sz w:val="20"/>
          <w:szCs w:val="20"/>
        </w:rPr>
        <w:t xml:space="preserve"> </w:t>
      </w:r>
      <w:r w:rsidRPr="00531B12">
        <w:rPr>
          <w:rFonts w:ascii="Abadi" w:hAnsi="Abadi"/>
          <w:b/>
          <w:bCs/>
          <w:sz w:val="20"/>
          <w:szCs w:val="20"/>
        </w:rPr>
        <w:t>2021;</w:t>
      </w:r>
      <w:r w:rsidRPr="00531B12">
        <w:rPr>
          <w:rFonts w:ascii="Abadi" w:hAnsi="Abadi"/>
          <w:b/>
          <w:bCs/>
          <w:spacing w:val="80"/>
          <w:sz w:val="20"/>
          <w:szCs w:val="20"/>
        </w:rPr>
        <w:t xml:space="preserve"> </w:t>
      </w:r>
      <w:r w:rsidRPr="00531B12">
        <w:rPr>
          <w:rFonts w:ascii="Abadi" w:hAnsi="Abadi"/>
          <w:b/>
          <w:bCs/>
          <w:sz w:val="20"/>
          <w:szCs w:val="20"/>
        </w:rPr>
        <w:t>Y</w:t>
      </w:r>
      <w:r w:rsidRPr="00531B12">
        <w:rPr>
          <w:rFonts w:ascii="Abadi" w:hAnsi="Abadi"/>
          <w:b/>
          <w:bCs/>
          <w:spacing w:val="80"/>
          <w:sz w:val="20"/>
          <w:szCs w:val="20"/>
        </w:rPr>
        <w:t xml:space="preserve"> </w:t>
      </w:r>
      <w:r w:rsidRPr="00531B12">
        <w:rPr>
          <w:rFonts w:ascii="Abadi" w:hAnsi="Abadi"/>
          <w:b/>
          <w:bCs/>
          <w:sz w:val="20"/>
          <w:szCs w:val="20"/>
        </w:rPr>
        <w:t>REALICE</w:t>
      </w:r>
      <w:r w:rsidRPr="00531B12">
        <w:rPr>
          <w:rFonts w:ascii="Abadi" w:hAnsi="Abadi"/>
          <w:b/>
          <w:bCs/>
          <w:spacing w:val="80"/>
          <w:sz w:val="20"/>
          <w:szCs w:val="20"/>
        </w:rPr>
        <w:t xml:space="preserve"> </w:t>
      </w:r>
      <w:r w:rsidRPr="00531B12">
        <w:rPr>
          <w:rFonts w:ascii="Abadi" w:hAnsi="Abadi"/>
          <w:b/>
          <w:bCs/>
          <w:sz w:val="20"/>
          <w:szCs w:val="20"/>
        </w:rPr>
        <w:t>LAS</w:t>
      </w:r>
      <w:r w:rsidRPr="00531B12">
        <w:rPr>
          <w:rFonts w:ascii="Abadi" w:hAnsi="Abadi"/>
          <w:b/>
          <w:bCs/>
          <w:spacing w:val="80"/>
          <w:sz w:val="20"/>
          <w:szCs w:val="20"/>
        </w:rPr>
        <w:t xml:space="preserve"> </w:t>
      </w:r>
      <w:r w:rsidRPr="00531B12">
        <w:rPr>
          <w:rFonts w:ascii="Abadi" w:hAnsi="Abadi"/>
          <w:b/>
          <w:bCs/>
          <w:sz w:val="20"/>
          <w:szCs w:val="20"/>
        </w:rPr>
        <w:t>INVESTIGACIONES</w:t>
      </w:r>
      <w:r w:rsidRPr="00531B12">
        <w:rPr>
          <w:rFonts w:ascii="Abadi" w:hAnsi="Abadi"/>
          <w:b/>
          <w:bCs/>
          <w:spacing w:val="80"/>
          <w:sz w:val="20"/>
          <w:szCs w:val="20"/>
        </w:rPr>
        <w:t xml:space="preserve"> </w:t>
      </w:r>
      <w:r w:rsidRPr="00531B12">
        <w:rPr>
          <w:rFonts w:ascii="Abadi" w:hAnsi="Abadi"/>
          <w:b/>
          <w:bCs/>
          <w:sz w:val="20"/>
          <w:szCs w:val="20"/>
        </w:rPr>
        <w:t>NECESARIAS</w:t>
      </w:r>
      <w:r w:rsidRPr="00531B12">
        <w:rPr>
          <w:rFonts w:ascii="Abadi" w:hAnsi="Abadi"/>
          <w:b/>
          <w:bCs/>
          <w:spacing w:val="80"/>
          <w:sz w:val="20"/>
          <w:szCs w:val="20"/>
        </w:rPr>
        <w:t xml:space="preserve"> </w:t>
      </w:r>
      <w:r w:rsidRPr="00531B12">
        <w:rPr>
          <w:rFonts w:ascii="Abadi" w:hAnsi="Abadi"/>
          <w:b/>
          <w:bCs/>
          <w:sz w:val="20"/>
          <w:szCs w:val="20"/>
        </w:rPr>
        <w:t>E</w:t>
      </w:r>
      <w:r w:rsidRPr="00531B12">
        <w:rPr>
          <w:rFonts w:ascii="Abadi" w:hAnsi="Abadi"/>
          <w:b/>
          <w:bCs/>
          <w:spacing w:val="80"/>
          <w:sz w:val="20"/>
          <w:szCs w:val="20"/>
        </w:rPr>
        <w:t xml:space="preserve"> </w:t>
      </w:r>
      <w:r w:rsidRPr="00531B12">
        <w:rPr>
          <w:rFonts w:ascii="Abadi" w:hAnsi="Abadi"/>
          <w:b/>
          <w:bCs/>
          <w:sz w:val="20"/>
          <w:szCs w:val="20"/>
        </w:rPr>
        <w:t>INFORME</w:t>
      </w:r>
      <w:r w:rsidRPr="00531B12">
        <w:rPr>
          <w:rFonts w:ascii="Abadi" w:hAnsi="Abadi"/>
          <w:b/>
          <w:bCs/>
          <w:spacing w:val="80"/>
          <w:sz w:val="20"/>
          <w:szCs w:val="20"/>
        </w:rPr>
        <w:t xml:space="preserve"> </w:t>
      </w:r>
      <w:r w:rsidRPr="00531B12">
        <w:rPr>
          <w:rFonts w:ascii="Abadi" w:hAnsi="Abadi"/>
          <w:b/>
          <w:bCs/>
          <w:sz w:val="20"/>
          <w:szCs w:val="20"/>
        </w:rPr>
        <w:t>A</w:t>
      </w:r>
      <w:r w:rsidRPr="00531B12">
        <w:rPr>
          <w:rFonts w:ascii="Abadi" w:hAnsi="Abadi"/>
          <w:b/>
          <w:bCs/>
          <w:spacing w:val="80"/>
          <w:sz w:val="20"/>
          <w:szCs w:val="20"/>
        </w:rPr>
        <w:t xml:space="preserve"> </w:t>
      </w:r>
      <w:r w:rsidRPr="00531B12">
        <w:rPr>
          <w:rFonts w:ascii="Abadi" w:hAnsi="Abadi"/>
          <w:b/>
          <w:bCs/>
          <w:sz w:val="20"/>
          <w:szCs w:val="20"/>
        </w:rPr>
        <w:t>LA</w:t>
      </w:r>
      <w:r w:rsidRPr="00531B12">
        <w:rPr>
          <w:rFonts w:ascii="Abadi" w:hAnsi="Abadi"/>
          <w:b/>
          <w:bCs/>
          <w:spacing w:val="-2"/>
          <w:sz w:val="20"/>
          <w:szCs w:val="20"/>
        </w:rPr>
        <w:t xml:space="preserve"> </w:t>
      </w:r>
      <w:r w:rsidRPr="00531B12">
        <w:rPr>
          <w:rFonts w:ascii="Abadi" w:hAnsi="Abadi"/>
          <w:b/>
          <w:bCs/>
          <w:sz w:val="20"/>
          <w:szCs w:val="20"/>
        </w:rPr>
        <w:t>BREVEDAD</w:t>
      </w:r>
      <w:r w:rsidRPr="00531B12">
        <w:rPr>
          <w:rFonts w:ascii="Abadi" w:hAnsi="Abadi"/>
          <w:b/>
          <w:bCs/>
          <w:spacing w:val="-10"/>
          <w:sz w:val="20"/>
          <w:szCs w:val="20"/>
        </w:rPr>
        <w:t xml:space="preserve"> </w:t>
      </w:r>
      <w:r w:rsidRPr="00531B12">
        <w:rPr>
          <w:rFonts w:ascii="Abadi" w:hAnsi="Abadi"/>
          <w:b/>
          <w:bCs/>
          <w:sz w:val="20"/>
          <w:szCs w:val="20"/>
        </w:rPr>
        <w:t>AL</w:t>
      </w:r>
      <w:r w:rsidRPr="00531B12">
        <w:rPr>
          <w:rFonts w:ascii="Abadi" w:hAnsi="Abadi"/>
          <w:b/>
          <w:bCs/>
          <w:spacing w:val="-11"/>
          <w:sz w:val="20"/>
          <w:szCs w:val="20"/>
        </w:rPr>
        <w:t xml:space="preserve"> </w:t>
      </w:r>
      <w:r w:rsidRPr="00531B12">
        <w:rPr>
          <w:rFonts w:ascii="Abadi" w:hAnsi="Abadi"/>
          <w:b/>
          <w:bCs/>
          <w:sz w:val="20"/>
          <w:szCs w:val="20"/>
        </w:rPr>
        <w:t>CONGRESO</w:t>
      </w:r>
      <w:r w:rsidRPr="00531B12">
        <w:rPr>
          <w:rFonts w:ascii="Abadi" w:hAnsi="Abadi"/>
          <w:b/>
          <w:bCs/>
          <w:spacing w:val="-10"/>
          <w:sz w:val="20"/>
          <w:szCs w:val="20"/>
        </w:rPr>
        <w:t xml:space="preserve"> </w:t>
      </w:r>
      <w:r w:rsidRPr="00531B12">
        <w:rPr>
          <w:rFonts w:ascii="Abadi" w:hAnsi="Abadi"/>
          <w:b/>
          <w:bCs/>
          <w:sz w:val="20"/>
          <w:szCs w:val="20"/>
        </w:rPr>
        <w:t>DEL</w:t>
      </w:r>
      <w:r w:rsidRPr="00531B12">
        <w:rPr>
          <w:rFonts w:ascii="Abadi" w:hAnsi="Abadi"/>
          <w:b/>
          <w:bCs/>
          <w:spacing w:val="-11"/>
          <w:sz w:val="20"/>
          <w:szCs w:val="20"/>
        </w:rPr>
        <w:t xml:space="preserve"> </w:t>
      </w:r>
      <w:r w:rsidRPr="00531B12">
        <w:rPr>
          <w:rFonts w:ascii="Abadi" w:hAnsi="Abadi"/>
          <w:b/>
          <w:bCs/>
          <w:sz w:val="20"/>
          <w:szCs w:val="20"/>
        </w:rPr>
        <w:t>ESTADO</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GUANAJUATO,</w:t>
      </w:r>
      <w:r w:rsidRPr="00531B12">
        <w:rPr>
          <w:rFonts w:ascii="Abadi" w:hAnsi="Abadi"/>
          <w:b/>
          <w:bCs/>
          <w:spacing w:val="-11"/>
          <w:sz w:val="20"/>
          <w:szCs w:val="20"/>
        </w:rPr>
        <w:t xml:space="preserve"> </w:t>
      </w:r>
      <w:r w:rsidRPr="00531B12">
        <w:rPr>
          <w:rFonts w:ascii="Abadi" w:hAnsi="Abadi"/>
          <w:b/>
          <w:bCs/>
          <w:sz w:val="20"/>
          <w:szCs w:val="20"/>
        </w:rPr>
        <w:t>SI</w:t>
      </w:r>
      <w:r w:rsidRPr="00531B12">
        <w:rPr>
          <w:rFonts w:ascii="Abadi" w:hAnsi="Abadi"/>
          <w:b/>
          <w:bCs/>
          <w:spacing w:val="-11"/>
          <w:sz w:val="20"/>
          <w:szCs w:val="20"/>
        </w:rPr>
        <w:t xml:space="preserve"> </w:t>
      </w:r>
      <w:r w:rsidRPr="00531B12">
        <w:rPr>
          <w:rFonts w:ascii="Abadi" w:hAnsi="Abadi"/>
          <w:b/>
          <w:bCs/>
          <w:sz w:val="20"/>
          <w:szCs w:val="20"/>
        </w:rPr>
        <w:t>LA</w:t>
      </w:r>
      <w:r w:rsidRPr="00531B12">
        <w:rPr>
          <w:rFonts w:ascii="Abadi" w:hAnsi="Abadi"/>
          <w:b/>
          <w:bCs/>
          <w:spacing w:val="-11"/>
          <w:sz w:val="20"/>
          <w:szCs w:val="20"/>
        </w:rPr>
        <w:t xml:space="preserve"> </w:t>
      </w:r>
      <w:r w:rsidRPr="00531B12">
        <w:rPr>
          <w:rFonts w:ascii="Abadi" w:hAnsi="Abadi"/>
          <w:b/>
          <w:bCs/>
          <w:sz w:val="20"/>
          <w:szCs w:val="20"/>
        </w:rPr>
        <w:t>CONTRALORÍA</w:t>
      </w:r>
      <w:r w:rsidRPr="00531B12">
        <w:rPr>
          <w:rFonts w:ascii="Abadi" w:hAnsi="Abadi"/>
          <w:b/>
          <w:bCs/>
          <w:spacing w:val="-9"/>
          <w:sz w:val="20"/>
          <w:szCs w:val="20"/>
        </w:rPr>
        <w:t xml:space="preserve"> </w:t>
      </w:r>
      <w:r w:rsidRPr="00531B12">
        <w:rPr>
          <w:rFonts w:ascii="Abadi" w:hAnsi="Abadi"/>
          <w:b/>
          <w:bCs/>
          <w:sz w:val="20"/>
          <w:szCs w:val="20"/>
        </w:rPr>
        <w:t>MUNICIPAL</w:t>
      </w:r>
      <w:r w:rsidRPr="00531B12">
        <w:rPr>
          <w:rFonts w:ascii="Abadi" w:hAnsi="Abadi"/>
          <w:b/>
          <w:bCs/>
          <w:spacing w:val="-2"/>
          <w:sz w:val="20"/>
          <w:szCs w:val="20"/>
        </w:rPr>
        <w:t xml:space="preserve"> </w:t>
      </w:r>
      <w:r w:rsidRPr="00531B12">
        <w:rPr>
          <w:rFonts w:ascii="Abadi" w:hAnsi="Abadi"/>
          <w:b/>
          <w:bCs/>
          <w:sz w:val="20"/>
          <w:szCs w:val="20"/>
        </w:rPr>
        <w:t>INICIÓ</w:t>
      </w:r>
      <w:r w:rsidRPr="00531B12">
        <w:rPr>
          <w:rFonts w:ascii="Abadi" w:hAnsi="Abadi"/>
          <w:b/>
          <w:bCs/>
          <w:spacing w:val="20"/>
          <w:sz w:val="20"/>
          <w:szCs w:val="20"/>
        </w:rPr>
        <w:t xml:space="preserve"> </w:t>
      </w:r>
      <w:r w:rsidRPr="00531B12">
        <w:rPr>
          <w:rFonts w:ascii="Abadi" w:hAnsi="Abadi"/>
          <w:b/>
          <w:bCs/>
          <w:sz w:val="20"/>
          <w:szCs w:val="20"/>
        </w:rPr>
        <w:t>ALGÚN</w:t>
      </w:r>
      <w:r w:rsidRPr="00531B12">
        <w:rPr>
          <w:rFonts w:ascii="Abadi" w:hAnsi="Abadi"/>
          <w:b/>
          <w:bCs/>
          <w:spacing w:val="20"/>
          <w:sz w:val="20"/>
          <w:szCs w:val="20"/>
        </w:rPr>
        <w:t xml:space="preserve"> </w:t>
      </w:r>
      <w:r w:rsidRPr="00531B12">
        <w:rPr>
          <w:rFonts w:ascii="Abadi" w:hAnsi="Abadi"/>
          <w:b/>
          <w:bCs/>
          <w:sz w:val="20"/>
          <w:szCs w:val="20"/>
        </w:rPr>
        <w:t>PROCESO</w:t>
      </w:r>
      <w:r w:rsidRPr="00531B12">
        <w:rPr>
          <w:rFonts w:ascii="Abadi" w:hAnsi="Abadi"/>
          <w:b/>
          <w:bCs/>
          <w:spacing w:val="20"/>
          <w:sz w:val="20"/>
          <w:szCs w:val="20"/>
        </w:rPr>
        <w:t xml:space="preserve"> </w:t>
      </w:r>
      <w:r w:rsidRPr="00531B12">
        <w:rPr>
          <w:rFonts w:ascii="Abadi" w:hAnsi="Abadi"/>
          <w:b/>
          <w:bCs/>
          <w:sz w:val="20"/>
          <w:szCs w:val="20"/>
        </w:rPr>
        <w:t>DERIVADO</w:t>
      </w:r>
      <w:r w:rsidRPr="00531B12">
        <w:rPr>
          <w:rFonts w:ascii="Abadi" w:hAnsi="Abadi"/>
          <w:b/>
          <w:bCs/>
          <w:spacing w:val="20"/>
          <w:sz w:val="20"/>
          <w:szCs w:val="20"/>
        </w:rPr>
        <w:t xml:space="preserve"> </w:t>
      </w:r>
      <w:r w:rsidRPr="00531B12">
        <w:rPr>
          <w:rFonts w:ascii="Abadi" w:hAnsi="Abadi"/>
          <w:b/>
          <w:bCs/>
          <w:sz w:val="20"/>
          <w:szCs w:val="20"/>
        </w:rPr>
        <w:t>DE</w:t>
      </w:r>
      <w:r w:rsidRPr="00531B12">
        <w:rPr>
          <w:rFonts w:ascii="Abadi" w:hAnsi="Abadi"/>
          <w:b/>
          <w:bCs/>
          <w:spacing w:val="20"/>
          <w:sz w:val="20"/>
          <w:szCs w:val="20"/>
        </w:rPr>
        <w:t xml:space="preserve"> </w:t>
      </w:r>
      <w:r w:rsidRPr="00531B12">
        <w:rPr>
          <w:rFonts w:ascii="Abadi" w:hAnsi="Abadi"/>
          <w:b/>
          <w:bCs/>
          <w:sz w:val="20"/>
          <w:szCs w:val="20"/>
        </w:rPr>
        <w:t>LAS</w:t>
      </w:r>
      <w:r w:rsidRPr="00531B12">
        <w:rPr>
          <w:rFonts w:ascii="Abadi" w:hAnsi="Abadi"/>
          <w:b/>
          <w:bCs/>
          <w:spacing w:val="20"/>
          <w:sz w:val="20"/>
          <w:szCs w:val="20"/>
        </w:rPr>
        <w:t xml:space="preserve"> </w:t>
      </w:r>
      <w:r w:rsidRPr="00531B12">
        <w:rPr>
          <w:rFonts w:ascii="Abadi" w:hAnsi="Abadi"/>
          <w:b/>
          <w:bCs/>
          <w:sz w:val="20"/>
          <w:szCs w:val="20"/>
        </w:rPr>
        <w:t>OBSERVACIONES</w:t>
      </w:r>
      <w:r w:rsidRPr="00531B12">
        <w:rPr>
          <w:rFonts w:ascii="Abadi" w:hAnsi="Abadi"/>
          <w:b/>
          <w:bCs/>
          <w:spacing w:val="20"/>
          <w:sz w:val="20"/>
          <w:szCs w:val="20"/>
        </w:rPr>
        <w:t xml:space="preserve"> </w:t>
      </w:r>
      <w:r w:rsidRPr="00531B12">
        <w:rPr>
          <w:rFonts w:ascii="Abadi" w:hAnsi="Abadi"/>
          <w:b/>
          <w:bCs/>
          <w:sz w:val="20"/>
          <w:szCs w:val="20"/>
        </w:rPr>
        <w:t>NO</w:t>
      </w:r>
      <w:r w:rsidRPr="00531B12">
        <w:rPr>
          <w:rFonts w:ascii="Abadi" w:hAnsi="Abadi"/>
          <w:b/>
          <w:bCs/>
          <w:spacing w:val="20"/>
          <w:sz w:val="20"/>
          <w:szCs w:val="20"/>
        </w:rPr>
        <w:t xml:space="preserve"> </w:t>
      </w:r>
      <w:r w:rsidRPr="00531B12">
        <w:rPr>
          <w:rFonts w:ascii="Abadi" w:hAnsi="Abadi"/>
          <w:b/>
          <w:bCs/>
          <w:sz w:val="20"/>
          <w:szCs w:val="20"/>
        </w:rPr>
        <w:t>SOLVENTADAS</w:t>
      </w:r>
      <w:r w:rsidRPr="00531B12">
        <w:rPr>
          <w:rFonts w:ascii="Abadi" w:hAnsi="Abadi"/>
          <w:b/>
          <w:bCs/>
          <w:spacing w:val="20"/>
          <w:sz w:val="20"/>
          <w:szCs w:val="20"/>
        </w:rPr>
        <w:t xml:space="preserve"> </w:t>
      </w:r>
      <w:r w:rsidRPr="00531B12">
        <w:rPr>
          <w:rFonts w:ascii="Abadi" w:hAnsi="Abadi"/>
          <w:b/>
          <w:bCs/>
          <w:sz w:val="20"/>
          <w:szCs w:val="20"/>
        </w:rPr>
        <w:t>DE</w:t>
      </w:r>
      <w:r w:rsidRPr="00531B12">
        <w:rPr>
          <w:rFonts w:ascii="Abadi" w:hAnsi="Abadi"/>
          <w:b/>
          <w:bCs/>
          <w:spacing w:val="20"/>
          <w:sz w:val="20"/>
          <w:szCs w:val="20"/>
        </w:rPr>
        <w:t xml:space="preserve"> </w:t>
      </w:r>
      <w:r w:rsidRPr="00531B12">
        <w:rPr>
          <w:rFonts w:ascii="Abadi" w:hAnsi="Abadi"/>
          <w:b/>
          <w:bCs/>
          <w:sz w:val="20"/>
          <w:szCs w:val="20"/>
        </w:rPr>
        <w:t>LAS</w:t>
      </w:r>
      <w:r w:rsidRPr="00531B12">
        <w:rPr>
          <w:rFonts w:ascii="Abadi" w:hAnsi="Abadi"/>
          <w:b/>
          <w:bCs/>
          <w:spacing w:val="-2"/>
          <w:sz w:val="20"/>
          <w:szCs w:val="20"/>
        </w:rPr>
        <w:t xml:space="preserve"> </w:t>
      </w:r>
      <w:r w:rsidRPr="00531B12">
        <w:rPr>
          <w:rFonts w:ascii="Abadi" w:hAnsi="Abadi"/>
          <w:b/>
          <w:bCs/>
          <w:sz w:val="20"/>
          <w:szCs w:val="20"/>
        </w:rPr>
        <w:t>AUDITORÍAS</w:t>
      </w:r>
      <w:r w:rsidRPr="00531B12">
        <w:rPr>
          <w:rFonts w:ascii="Abadi" w:hAnsi="Abadi"/>
          <w:b/>
          <w:bCs/>
          <w:spacing w:val="-1"/>
          <w:sz w:val="20"/>
          <w:szCs w:val="20"/>
        </w:rPr>
        <w:t xml:space="preserve"> </w:t>
      </w:r>
      <w:r w:rsidRPr="00531B12">
        <w:rPr>
          <w:rFonts w:ascii="Abadi" w:hAnsi="Abadi"/>
          <w:b/>
          <w:bCs/>
          <w:sz w:val="20"/>
          <w:szCs w:val="20"/>
        </w:rPr>
        <w:t>PRACTICADAS</w:t>
      </w:r>
      <w:r w:rsidRPr="00531B12">
        <w:rPr>
          <w:rFonts w:ascii="Abadi" w:hAnsi="Abadi"/>
          <w:b/>
          <w:bCs/>
          <w:spacing w:val="-1"/>
          <w:sz w:val="20"/>
          <w:szCs w:val="20"/>
        </w:rPr>
        <w:t xml:space="preserve"> </w:t>
      </w:r>
      <w:r w:rsidRPr="00531B12">
        <w:rPr>
          <w:rFonts w:ascii="Abadi" w:hAnsi="Abadi"/>
          <w:b/>
          <w:bCs/>
          <w:sz w:val="20"/>
          <w:szCs w:val="20"/>
        </w:rPr>
        <w:t>A</w:t>
      </w:r>
      <w:r w:rsidRPr="00531B12">
        <w:rPr>
          <w:rFonts w:ascii="Abadi" w:hAnsi="Abadi"/>
          <w:b/>
          <w:bCs/>
          <w:spacing w:val="-1"/>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ADMINISTRACIÓN</w:t>
      </w:r>
      <w:r w:rsidRPr="00531B12">
        <w:rPr>
          <w:rFonts w:ascii="Abadi" w:hAnsi="Abadi"/>
          <w:b/>
          <w:bCs/>
          <w:spacing w:val="-1"/>
          <w:sz w:val="20"/>
          <w:szCs w:val="20"/>
        </w:rPr>
        <w:t xml:space="preserve"> </w:t>
      </w:r>
      <w:r w:rsidRPr="00531B12">
        <w:rPr>
          <w:rFonts w:ascii="Abadi" w:hAnsi="Abadi"/>
          <w:b/>
          <w:bCs/>
          <w:sz w:val="20"/>
          <w:szCs w:val="20"/>
        </w:rPr>
        <w:t>2018-2021</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DICHO</w:t>
      </w:r>
      <w:r w:rsidRPr="00531B12">
        <w:rPr>
          <w:rFonts w:ascii="Abadi" w:hAnsi="Abadi"/>
          <w:b/>
          <w:bCs/>
          <w:spacing w:val="-1"/>
          <w:sz w:val="20"/>
          <w:szCs w:val="20"/>
        </w:rPr>
        <w:t xml:space="preserve"> </w:t>
      </w:r>
      <w:r w:rsidRPr="00531B12">
        <w:rPr>
          <w:rFonts w:ascii="Abadi" w:hAnsi="Abadi"/>
          <w:b/>
          <w:bCs/>
          <w:sz w:val="20"/>
          <w:szCs w:val="20"/>
        </w:rPr>
        <w:t>MUNICIPIO.</w:t>
      </w:r>
    </w:p>
    <w:p w14:paraId="4EC81F4C" w14:textId="610E9AB4" w:rsidR="00E7782B" w:rsidRDefault="00E7782B" w:rsidP="008278CF">
      <w:pPr>
        <w:rPr>
          <w:rFonts w:ascii="Abadi" w:hAnsi="Abadi"/>
          <w:sz w:val="20"/>
          <w:szCs w:val="20"/>
        </w:rPr>
      </w:pPr>
    </w:p>
    <w:p w14:paraId="5684BBFA" w14:textId="77777777" w:rsidR="000134E6" w:rsidRPr="000134E6" w:rsidRDefault="000134E6" w:rsidP="000134E6">
      <w:pPr>
        <w:rPr>
          <w:rFonts w:ascii="Abadi" w:hAnsi="Abadi" w:cs="Arial"/>
          <w:b/>
          <w:iCs/>
          <w:smallCaps/>
          <w:sz w:val="21"/>
          <w:szCs w:val="21"/>
          <w:lang w:val="es-MX" w:eastAsia="en-US"/>
        </w:rPr>
      </w:pPr>
      <w:r w:rsidRPr="000134E6">
        <w:rPr>
          <w:rFonts w:ascii="Abadi" w:hAnsi="Abadi" w:cs="Arial"/>
          <w:b/>
          <w:iCs/>
          <w:smallCaps/>
          <w:sz w:val="21"/>
          <w:szCs w:val="21"/>
          <w:lang w:val="es-MX" w:eastAsia="en-US"/>
        </w:rPr>
        <w:t>C. Presidenta del Congreso del Estado.</w:t>
      </w:r>
    </w:p>
    <w:p w14:paraId="3D2C583C" w14:textId="77777777" w:rsidR="000134E6" w:rsidRPr="000134E6" w:rsidRDefault="000134E6" w:rsidP="000134E6">
      <w:pPr>
        <w:jc w:val="both"/>
        <w:rPr>
          <w:rFonts w:ascii="Abadi" w:hAnsi="Abadi" w:cs="Arial"/>
          <w:b/>
          <w:iCs/>
          <w:smallCaps/>
          <w:sz w:val="21"/>
          <w:szCs w:val="21"/>
          <w:lang w:val="es-MX" w:eastAsia="en-US"/>
        </w:rPr>
      </w:pPr>
      <w:r w:rsidRPr="000134E6">
        <w:rPr>
          <w:rFonts w:ascii="Abadi" w:hAnsi="Abadi" w:cs="Arial"/>
          <w:b/>
          <w:iCs/>
          <w:smallCaps/>
          <w:sz w:val="21"/>
          <w:szCs w:val="21"/>
          <w:lang w:val="es-MX" w:eastAsia="en-US"/>
        </w:rPr>
        <w:t>P r e s e n t e.</w:t>
      </w:r>
    </w:p>
    <w:p w14:paraId="6941DDA5" w14:textId="77777777" w:rsidR="000134E6" w:rsidRPr="000134E6" w:rsidRDefault="000134E6" w:rsidP="000134E6">
      <w:pPr>
        <w:spacing w:after="160" w:line="259" w:lineRule="auto"/>
        <w:jc w:val="both"/>
        <w:rPr>
          <w:rFonts w:ascii="Abadi" w:hAnsi="Abadi" w:cs="Arial"/>
          <w:iCs/>
          <w:sz w:val="21"/>
          <w:szCs w:val="21"/>
          <w:lang w:val="es-MX" w:eastAsia="en-US"/>
        </w:rPr>
      </w:pPr>
    </w:p>
    <w:p w14:paraId="1EE0F9B5" w14:textId="77777777" w:rsidR="000134E6" w:rsidRPr="000134E6" w:rsidRDefault="000134E6" w:rsidP="000134E6">
      <w:pPr>
        <w:spacing w:after="160" w:line="259" w:lineRule="auto"/>
        <w:jc w:val="both"/>
        <w:rPr>
          <w:rFonts w:ascii="Abadi" w:hAnsi="Abadi" w:cs="Arial"/>
          <w:iCs/>
          <w:sz w:val="21"/>
          <w:szCs w:val="21"/>
          <w:lang w:val="es-MX" w:eastAsia="en-US"/>
        </w:rPr>
      </w:pPr>
      <w:r w:rsidRPr="000134E6">
        <w:rPr>
          <w:rFonts w:ascii="Abadi" w:hAnsi="Abadi" w:cs="Arial"/>
          <w:iCs/>
          <w:sz w:val="21"/>
          <w:szCs w:val="21"/>
          <w:lang w:val="es-MX" w:eastAsia="en-US"/>
        </w:rPr>
        <w:tab/>
        <w:t xml:space="preserve">A esta Comisión de Hacienda y Fiscalización le fue turnada para efectos de su estudio y dictamen, la propuesta de punto de acuerdo formulada por diputadas y diputados integrantes del Grupo Parlamentario del Partido MORENA, a efecto de </w:t>
      </w:r>
      <w:r w:rsidRPr="000134E6">
        <w:rPr>
          <w:rFonts w:ascii="Abadi" w:hAnsi="Abadi"/>
          <w:sz w:val="21"/>
          <w:szCs w:val="21"/>
          <w:lang w:val="es-ES_tradnl"/>
        </w:rPr>
        <w:t>exhortar al titular de la Auditoría Superior del Estado de Guanajuato, para que lleve a cabo una auditoría financiera integral al municipio de Cortazar, Gto., por los ejercicios fiscales de 2019, 2020 y 2021</w:t>
      </w:r>
      <w:r w:rsidRPr="000134E6">
        <w:rPr>
          <w:rFonts w:ascii="Abadi" w:hAnsi="Abadi" w:cs="Arial"/>
          <w:iCs/>
          <w:sz w:val="21"/>
          <w:szCs w:val="21"/>
          <w:lang w:val="es-MX" w:eastAsia="en-US"/>
        </w:rPr>
        <w:t>; y realice las investigaciones necesarias e informe a la brevedad al Congreso del Estado de Guanajuato, si la Contraloría Municipal inició algún proceso derivado de las observaciones no solventadas de las auditorías practicadas a la administración 2018-2021 de dicho Municipio.</w:t>
      </w:r>
    </w:p>
    <w:p w14:paraId="37D84469" w14:textId="77777777" w:rsidR="000134E6" w:rsidRPr="000134E6" w:rsidRDefault="000134E6" w:rsidP="000134E6">
      <w:pPr>
        <w:spacing w:line="259" w:lineRule="auto"/>
        <w:jc w:val="both"/>
        <w:rPr>
          <w:rFonts w:ascii="Abadi" w:hAnsi="Abadi" w:cs="Arial"/>
          <w:iCs/>
          <w:sz w:val="21"/>
          <w:szCs w:val="21"/>
          <w:lang w:val="es-MX" w:eastAsia="en-US"/>
        </w:rPr>
      </w:pPr>
      <w:r w:rsidRPr="000134E6">
        <w:rPr>
          <w:rFonts w:ascii="Abadi" w:hAnsi="Abadi" w:cs="Arial"/>
          <w:iCs/>
          <w:sz w:val="21"/>
          <w:szCs w:val="21"/>
          <w:lang w:val="es-MX" w:eastAsia="en-US"/>
        </w:rPr>
        <w:tab/>
        <w:t xml:space="preserve">Analizada la propuesta de referencia, con fundamento en los artículos 75, 89, fracción V, 112, fracción XV y 171 de </w:t>
      </w:r>
      <w:smartTag w:uri="urn:schemas-microsoft-com:office:smarttags" w:element="PersonName">
        <w:smartTagPr>
          <w:attr w:name="ProductID" w:val="la Ley Org￡nica"/>
        </w:smartTagPr>
        <w:r w:rsidRPr="000134E6">
          <w:rPr>
            <w:rFonts w:ascii="Abadi" w:hAnsi="Abadi" w:cs="Arial"/>
            <w:iCs/>
            <w:sz w:val="21"/>
            <w:szCs w:val="21"/>
            <w:lang w:val="es-MX" w:eastAsia="en-US"/>
          </w:rPr>
          <w:t>la Ley Orgánica</w:t>
        </w:r>
      </w:smartTag>
      <w:r w:rsidRPr="000134E6">
        <w:rPr>
          <w:rFonts w:ascii="Abadi" w:hAnsi="Abadi" w:cs="Arial"/>
          <w:iCs/>
          <w:sz w:val="21"/>
          <w:szCs w:val="21"/>
          <w:lang w:val="es-MX" w:eastAsia="en-US"/>
        </w:rPr>
        <w:t xml:space="preserve"> del Poder Legislativo del Estado de Guanajuato, nos permitimos rendir el siguiente:</w:t>
      </w:r>
    </w:p>
    <w:p w14:paraId="7EC537B3" w14:textId="77777777" w:rsidR="000134E6" w:rsidRPr="000134E6" w:rsidRDefault="000134E6" w:rsidP="000134E6">
      <w:pPr>
        <w:keepNext/>
        <w:spacing w:after="160" w:line="259" w:lineRule="auto"/>
        <w:jc w:val="center"/>
        <w:outlineLvl w:val="0"/>
        <w:rPr>
          <w:rFonts w:ascii="Abadi" w:hAnsi="Abadi" w:cs="Arial"/>
          <w:b/>
          <w:iCs/>
          <w:sz w:val="21"/>
          <w:szCs w:val="21"/>
          <w:lang w:val="es-MX" w:eastAsia="en-US"/>
        </w:rPr>
      </w:pPr>
    </w:p>
    <w:p w14:paraId="6EF6B9C6" w14:textId="77777777" w:rsidR="000134E6" w:rsidRPr="000134E6" w:rsidRDefault="000134E6" w:rsidP="000134E6">
      <w:pPr>
        <w:keepNext/>
        <w:spacing w:after="160" w:line="259" w:lineRule="auto"/>
        <w:jc w:val="center"/>
        <w:outlineLvl w:val="0"/>
        <w:rPr>
          <w:rFonts w:ascii="Abadi" w:hAnsi="Abadi" w:cs="Arial"/>
          <w:b/>
          <w:iCs/>
          <w:sz w:val="21"/>
          <w:szCs w:val="21"/>
          <w:lang w:val="es-MX" w:eastAsia="en-US"/>
        </w:rPr>
      </w:pPr>
      <w:r w:rsidRPr="000134E6">
        <w:rPr>
          <w:rFonts w:ascii="Abadi" w:hAnsi="Abadi" w:cs="Arial"/>
          <w:b/>
          <w:iCs/>
          <w:sz w:val="21"/>
          <w:szCs w:val="21"/>
          <w:lang w:val="es-MX" w:eastAsia="en-US"/>
        </w:rPr>
        <w:t xml:space="preserve">D i c t a m e n </w:t>
      </w:r>
    </w:p>
    <w:p w14:paraId="0A41C291" w14:textId="77777777" w:rsidR="000134E6" w:rsidRPr="000134E6" w:rsidRDefault="000134E6" w:rsidP="001A28E5">
      <w:pPr>
        <w:numPr>
          <w:ilvl w:val="0"/>
          <w:numId w:val="66"/>
        </w:numPr>
        <w:spacing w:after="160" w:line="259" w:lineRule="auto"/>
        <w:jc w:val="both"/>
        <w:rPr>
          <w:rFonts w:ascii="Abadi" w:hAnsi="Abadi" w:cs="Arial"/>
          <w:b/>
          <w:bCs/>
          <w:sz w:val="21"/>
          <w:szCs w:val="21"/>
          <w:lang w:val="es-MX" w:eastAsia="en-US"/>
        </w:rPr>
      </w:pPr>
      <w:r w:rsidRPr="000134E6">
        <w:rPr>
          <w:rFonts w:ascii="Abadi" w:hAnsi="Abadi" w:cs="Arial"/>
          <w:b/>
          <w:bCs/>
          <w:sz w:val="21"/>
          <w:szCs w:val="21"/>
          <w:lang w:val="es-MX" w:eastAsia="en-US"/>
        </w:rPr>
        <w:t>Antecedentes</w:t>
      </w:r>
    </w:p>
    <w:p w14:paraId="17D1DBDE" w14:textId="77777777" w:rsidR="000134E6" w:rsidRPr="000134E6" w:rsidRDefault="000134E6" w:rsidP="000134E6">
      <w:pPr>
        <w:spacing w:line="259" w:lineRule="auto"/>
        <w:jc w:val="center"/>
        <w:rPr>
          <w:rFonts w:ascii="Abadi" w:hAnsi="Abadi" w:cs="Arial"/>
          <w:b/>
          <w:iCs/>
          <w:sz w:val="21"/>
          <w:szCs w:val="21"/>
          <w:lang w:val="es-MX" w:eastAsia="en-US"/>
        </w:rPr>
      </w:pPr>
    </w:p>
    <w:p w14:paraId="68EC870C" w14:textId="77777777" w:rsidR="000134E6" w:rsidRPr="000134E6" w:rsidRDefault="000134E6" w:rsidP="000134E6">
      <w:pPr>
        <w:spacing w:after="160" w:line="259" w:lineRule="auto"/>
        <w:jc w:val="both"/>
        <w:rPr>
          <w:rFonts w:ascii="Abadi" w:hAnsi="Abadi"/>
          <w:sz w:val="21"/>
          <w:szCs w:val="21"/>
          <w:lang w:val="es-ES_tradnl" w:eastAsia="en-US"/>
        </w:rPr>
      </w:pPr>
      <w:r w:rsidRPr="000134E6">
        <w:rPr>
          <w:rFonts w:ascii="Abadi" w:hAnsi="Abadi" w:cs="Arial"/>
          <w:iCs/>
          <w:sz w:val="21"/>
          <w:szCs w:val="21"/>
          <w:lang w:val="es-MX" w:eastAsia="en-US"/>
        </w:rPr>
        <w:tab/>
        <w:t xml:space="preserve">Las diputadas y los diputados integrantes del Grupo Parlamentario del Partido MORENA, en la </w:t>
      </w:r>
      <w:r w:rsidRPr="000134E6">
        <w:rPr>
          <w:rFonts w:ascii="Abadi" w:hAnsi="Abadi"/>
          <w:sz w:val="21"/>
          <w:szCs w:val="21"/>
          <w:lang w:val="es-ES_tradnl" w:eastAsia="en-US"/>
        </w:rPr>
        <w:t xml:space="preserve">sesión ordinaria celebrada el 31 de marzo de 2022 presentaron la propuesta de punto de acuerdo </w:t>
      </w:r>
      <w:r w:rsidRPr="000134E6">
        <w:rPr>
          <w:rFonts w:ascii="Abadi" w:hAnsi="Abadi" w:cs="Arial"/>
          <w:sz w:val="21"/>
          <w:szCs w:val="21"/>
          <w:lang w:val="es-MX" w:eastAsia="en-US"/>
        </w:rPr>
        <w:t xml:space="preserve">a efecto de exhortar al titular de la Auditoría Superior del Estado de Guanajuato, para que lleve a cabo una auditoría financiera integral al municipio de Cortazar, que incluya todas las partidas no revisadas en auditorías previas, la que deberá incluir al menos, la verificación del apego a la legalidad de la adjudicación y contratación de bienes y servicios, así como el cumplimiento de las cláusulas contractuales de los mismos, por los ejercicios fiscales de 2019, 2020 y 2021; asimismo, para que lleve a cabo las investigaciones necesarias e informe a la brevedad al Congreso del Estado de Guanajuato, si la Contraloría del municipio de Cortazar inició proceso alguno derivado de las observaciones no solventadas de las auditorías practicadas a la administración 2018-2021 de dicho Municipio. </w:t>
      </w:r>
    </w:p>
    <w:p w14:paraId="5505C86D" w14:textId="60F1B24E" w:rsidR="000134E6" w:rsidRDefault="000134E6" w:rsidP="000134E6">
      <w:pPr>
        <w:spacing w:after="160" w:line="259" w:lineRule="auto"/>
        <w:ind w:firstLine="708"/>
        <w:jc w:val="both"/>
        <w:rPr>
          <w:rFonts w:ascii="Abadi" w:hAnsi="Abadi"/>
          <w:sz w:val="21"/>
          <w:szCs w:val="21"/>
          <w:lang w:val="es-MX" w:eastAsia="en-US"/>
        </w:rPr>
      </w:pPr>
      <w:r w:rsidRPr="000134E6">
        <w:rPr>
          <w:rFonts w:ascii="Abadi" w:hAnsi="Abadi"/>
          <w:sz w:val="21"/>
          <w:szCs w:val="21"/>
          <w:lang w:val="es-ES_tradnl" w:eastAsia="en-US"/>
        </w:rPr>
        <w:t>La referida propuesta se turnó por la</w:t>
      </w:r>
      <w:r w:rsidRPr="000134E6">
        <w:rPr>
          <w:rFonts w:ascii="Abadi" w:hAnsi="Abadi"/>
          <w:sz w:val="21"/>
          <w:szCs w:val="21"/>
          <w:lang w:val="es-MX" w:eastAsia="en-US"/>
        </w:rPr>
        <w:t xml:space="preserve"> presidencia a esta Comisión de Hacienda y Fiscalización para su estudio y dictamen con fundamento en la fracción XV del artículo 112 de la Ley Orgánica del Poder Legislativo del Estado de Guanajuato, misma que se radicó el 5 de abril de 2022. En dicha fecha se requirió al Auditor Superior del Estado, la elaboración de una ficha técnica respecto a dicha propuesta, misma que se expuso a esta Comisión el 14 de junio del año en curso, por dicho funcionario.</w:t>
      </w:r>
    </w:p>
    <w:p w14:paraId="33523BD2" w14:textId="77777777" w:rsidR="000134E6" w:rsidRPr="000134E6" w:rsidRDefault="000134E6" w:rsidP="000134E6">
      <w:pPr>
        <w:spacing w:after="160" w:line="259" w:lineRule="auto"/>
        <w:ind w:firstLine="708"/>
        <w:jc w:val="both"/>
        <w:rPr>
          <w:rFonts w:ascii="Abadi" w:hAnsi="Abadi"/>
          <w:sz w:val="21"/>
          <w:szCs w:val="21"/>
          <w:lang w:val="es-MX" w:eastAsia="en-US"/>
        </w:rPr>
      </w:pPr>
    </w:p>
    <w:p w14:paraId="59E6DB1B" w14:textId="77777777" w:rsidR="000134E6" w:rsidRPr="000134E6" w:rsidRDefault="000134E6" w:rsidP="001A28E5">
      <w:pPr>
        <w:numPr>
          <w:ilvl w:val="0"/>
          <w:numId w:val="66"/>
        </w:numPr>
        <w:spacing w:after="160" w:line="259" w:lineRule="auto"/>
        <w:jc w:val="both"/>
        <w:rPr>
          <w:rFonts w:ascii="Abadi" w:hAnsi="Abadi" w:cs="Arial"/>
          <w:b/>
          <w:bCs/>
          <w:sz w:val="21"/>
          <w:szCs w:val="21"/>
          <w:lang w:val="es-MX" w:eastAsia="en-US"/>
        </w:rPr>
      </w:pPr>
      <w:r w:rsidRPr="000134E6">
        <w:rPr>
          <w:rFonts w:ascii="Abadi" w:hAnsi="Abadi" w:cs="Arial"/>
          <w:b/>
          <w:bCs/>
          <w:sz w:val="21"/>
          <w:szCs w:val="21"/>
          <w:lang w:val="es-MX" w:eastAsia="en-US"/>
        </w:rPr>
        <w:t>Consideraciones de las y los proponentes</w:t>
      </w:r>
    </w:p>
    <w:p w14:paraId="08708F07" w14:textId="77777777" w:rsidR="000134E6" w:rsidRPr="000134E6" w:rsidRDefault="000134E6" w:rsidP="000134E6">
      <w:pPr>
        <w:spacing w:after="160" w:line="360" w:lineRule="auto"/>
        <w:ind w:firstLine="708"/>
        <w:jc w:val="both"/>
        <w:rPr>
          <w:rFonts w:ascii="Abadi" w:hAnsi="Abadi"/>
          <w:sz w:val="21"/>
          <w:szCs w:val="21"/>
          <w:lang w:val="es-MX" w:eastAsia="en-US"/>
        </w:rPr>
      </w:pPr>
      <w:r w:rsidRPr="000134E6">
        <w:rPr>
          <w:rFonts w:ascii="Abadi" w:hAnsi="Abadi"/>
          <w:sz w:val="21"/>
          <w:szCs w:val="21"/>
          <w:lang w:val="es-MX" w:eastAsia="en-US"/>
        </w:rPr>
        <w:t>En las consideraciones expuestas en la propuesta materia del presente dictamen se refiere lo siguiente:</w:t>
      </w:r>
    </w:p>
    <w:p w14:paraId="612BA874" w14:textId="77777777" w:rsidR="000134E6" w:rsidRPr="000134E6" w:rsidRDefault="000134E6" w:rsidP="000134E6">
      <w:pPr>
        <w:spacing w:after="160" w:line="259" w:lineRule="auto"/>
        <w:ind w:left="709"/>
        <w:jc w:val="both"/>
        <w:rPr>
          <w:rFonts w:ascii="Abadi" w:hAnsi="Abadi" w:cs="Arial"/>
          <w:i/>
          <w:sz w:val="21"/>
          <w:szCs w:val="21"/>
          <w:lang w:val="es-MX" w:eastAsia="en-US"/>
        </w:rPr>
      </w:pPr>
      <w:r w:rsidRPr="000134E6">
        <w:rPr>
          <w:rFonts w:ascii="Abadi" w:hAnsi="Abadi" w:cs="Arial"/>
          <w:i/>
          <w:sz w:val="21"/>
          <w:szCs w:val="21"/>
          <w:lang w:val="es-MX" w:eastAsia="en-US"/>
        </w:rPr>
        <w:t xml:space="preserve">En esta legislatura nos hemos percatado de la gran cantidad de observaciones que se han realizado a las cuentas públicas de los municipios, por tal motivo desde esta tribuna se han solicitado Auditorías Integrales, pero aún falta mucho por hacer, mucho por encontrar y mucho por castigar. </w:t>
      </w:r>
    </w:p>
    <w:p w14:paraId="62EA4AB9" w14:textId="77777777" w:rsidR="000134E6" w:rsidRPr="000134E6" w:rsidRDefault="000134E6" w:rsidP="000134E6">
      <w:pPr>
        <w:spacing w:after="160" w:line="259" w:lineRule="auto"/>
        <w:ind w:left="709"/>
        <w:jc w:val="both"/>
        <w:rPr>
          <w:rFonts w:ascii="Abadi" w:hAnsi="Abadi" w:cs="Arial"/>
          <w:i/>
          <w:sz w:val="21"/>
          <w:szCs w:val="21"/>
          <w:lang w:val="es-MX" w:eastAsia="en-US"/>
        </w:rPr>
      </w:pPr>
      <w:r w:rsidRPr="000134E6">
        <w:rPr>
          <w:rFonts w:ascii="Abadi" w:hAnsi="Abadi" w:cs="Arial"/>
          <w:i/>
          <w:sz w:val="21"/>
          <w:szCs w:val="21"/>
          <w:lang w:val="es-MX" w:eastAsia="en-US"/>
        </w:rPr>
        <w:t xml:space="preserve">Bajo el cobijo del gobierno estatal, varios Presidentes Municipales, se han dado a la tarea de hacer por decirlo de una manera gentil, movimientos extraños de las finanzas de sus municipios, han dado apoyos ilegales a amigos, han beneficiado a empresarios y han realizado actos de corrupción. </w:t>
      </w:r>
    </w:p>
    <w:p w14:paraId="51417A37" w14:textId="77777777" w:rsidR="000134E6" w:rsidRPr="000134E6" w:rsidRDefault="000134E6" w:rsidP="000134E6">
      <w:pPr>
        <w:spacing w:after="160" w:line="259" w:lineRule="auto"/>
        <w:ind w:left="709"/>
        <w:jc w:val="both"/>
        <w:rPr>
          <w:rFonts w:ascii="Abadi" w:hAnsi="Abadi" w:cs="Arial"/>
          <w:i/>
          <w:sz w:val="21"/>
          <w:szCs w:val="21"/>
          <w:lang w:val="es-MX" w:eastAsia="en-US"/>
        </w:rPr>
      </w:pPr>
      <w:r w:rsidRPr="000134E6">
        <w:rPr>
          <w:rFonts w:ascii="Abadi" w:hAnsi="Abadi" w:cs="Arial"/>
          <w:i/>
          <w:sz w:val="21"/>
          <w:szCs w:val="21"/>
          <w:lang w:val="es-MX" w:eastAsia="en-US"/>
        </w:rPr>
        <w:t>El grupo Parlamentario de Morena en esta Legislatura, ha votado reiteradamente en contra de los dictámenes que aprueban las auditorias a las cuentas públicas de los municipios, y no es solo por querer votar en contra, es por la falta de información de las auditorias, el bajo porcentaje de revisión, la falta de solicitudes de castigos a quienes hayan cometido actos ilícitos con el dinero del pueblo.</w:t>
      </w:r>
    </w:p>
    <w:p w14:paraId="57FA761B" w14:textId="77777777" w:rsidR="000134E6" w:rsidRPr="000134E6" w:rsidRDefault="000134E6" w:rsidP="000134E6">
      <w:pPr>
        <w:spacing w:after="160" w:line="259" w:lineRule="auto"/>
        <w:ind w:left="709"/>
        <w:jc w:val="both"/>
        <w:rPr>
          <w:rFonts w:ascii="Abadi" w:hAnsi="Abadi" w:cs="Arial"/>
          <w:i/>
          <w:sz w:val="21"/>
          <w:szCs w:val="21"/>
          <w:lang w:val="es-MX" w:eastAsia="en-US"/>
        </w:rPr>
      </w:pPr>
      <w:r w:rsidRPr="000134E6">
        <w:rPr>
          <w:rFonts w:ascii="Abadi" w:hAnsi="Abadi" w:cs="Arial"/>
          <w:i/>
          <w:sz w:val="21"/>
          <w:szCs w:val="21"/>
          <w:lang w:val="es-MX" w:eastAsia="en-US"/>
        </w:rPr>
        <w:t xml:space="preserve">El año 2021, Ariel Corona, ganó la reelección como alcalde de Cortazar, es un panista allegado a lo más altos puestos en el Gobierno Estatal, que se les ha mantenido leal y que esto le ha dado protección para hacer y deshacer en el municipio, ha realizado, según las auditorías de la ASEG, múltiples anomalías que han afectado a las arcas municipales y por ende a la de los bolsillos de todos los cortazarenses. </w:t>
      </w:r>
    </w:p>
    <w:p w14:paraId="3E91D9C0" w14:textId="77777777" w:rsidR="000134E6" w:rsidRPr="000134E6" w:rsidRDefault="000134E6" w:rsidP="000134E6">
      <w:pPr>
        <w:spacing w:after="160" w:line="259" w:lineRule="auto"/>
        <w:ind w:left="709"/>
        <w:jc w:val="both"/>
        <w:rPr>
          <w:rFonts w:ascii="Abadi" w:hAnsi="Abadi" w:cs="Arial"/>
          <w:i/>
          <w:sz w:val="21"/>
          <w:szCs w:val="21"/>
          <w:lang w:val="es-MX" w:eastAsia="en-US"/>
        </w:rPr>
      </w:pPr>
      <w:r w:rsidRPr="000134E6">
        <w:rPr>
          <w:rFonts w:ascii="Abadi" w:hAnsi="Abadi" w:cs="Arial"/>
          <w:i/>
          <w:sz w:val="21"/>
          <w:szCs w:val="21"/>
          <w:lang w:val="es-MX" w:eastAsia="en-US"/>
        </w:rPr>
        <w:t>Un ejemplo de ello, es la compra directa sin licitación de vehículos por un monto de un millón doscientos setenta y cinco mil peso, compra que se hizo de manera ilegal y favoreciendo a una empresa con apenas un año de haberse constituido, esta compra es a todas luces mal intencionada, ya que hacen la compra en la segunda quincena de diciembre con presupuesto del Fondo de Aportaciones para el Fortalecimiento de los Municipios y sabedores que de no hacer uso del dinero hay que reintegrarlo, pues se sacan de la manga una compra urgente de 5 unidades, unidades que en todo el año no fueron necesarias.</w:t>
      </w:r>
    </w:p>
    <w:p w14:paraId="7C5B82D2" w14:textId="77777777" w:rsidR="000134E6" w:rsidRPr="000134E6" w:rsidRDefault="000134E6" w:rsidP="000134E6">
      <w:pPr>
        <w:spacing w:after="160" w:line="259" w:lineRule="auto"/>
        <w:ind w:left="709"/>
        <w:jc w:val="both"/>
        <w:rPr>
          <w:rFonts w:ascii="Abadi" w:hAnsi="Abadi" w:cs="Arial"/>
          <w:i/>
          <w:sz w:val="21"/>
          <w:szCs w:val="21"/>
          <w:lang w:val="es-MX" w:eastAsia="en-US"/>
        </w:rPr>
      </w:pPr>
      <w:r w:rsidRPr="000134E6">
        <w:rPr>
          <w:rFonts w:ascii="Abadi" w:hAnsi="Abadi" w:cs="Arial"/>
          <w:i/>
          <w:sz w:val="21"/>
          <w:szCs w:val="21"/>
          <w:lang w:val="es-MX" w:eastAsia="en-US"/>
        </w:rPr>
        <w:t xml:space="preserve">Otra acción igual de grave que se realizó en el año 2019, fue la simulación de la elaboración de varios manuales para la Unidad de Transparencia del municipio, se pagaron cuatrocientos sesenta y cuatro mil pesos a un particular para la realización de estos, sin embargo, el titular de la unidad de transparencia en el momento de la auditoría dijo que no conocía ni reconocía la personalidad de la prestadora del servicio, pero la mentira y corrupción no termina ahí, quien en su momento era titular de la unidad administrativa de transparencia, a pregunta expresa sobre si ella elaboró el Manual de procedimientos y organización 2019, Acceso a la información Pública y Protección de Datos Personales, mediante oficio contesto lo siguiente: </w:t>
      </w:r>
    </w:p>
    <w:p w14:paraId="5DB6BDF4" w14:textId="77777777" w:rsidR="000134E6" w:rsidRPr="000134E6" w:rsidRDefault="000134E6" w:rsidP="000134E6">
      <w:pPr>
        <w:spacing w:after="160" w:line="259" w:lineRule="auto"/>
        <w:ind w:left="709"/>
        <w:jc w:val="both"/>
        <w:rPr>
          <w:rFonts w:ascii="Abadi" w:hAnsi="Abadi" w:cs="Arial"/>
          <w:i/>
          <w:sz w:val="21"/>
          <w:szCs w:val="21"/>
          <w:lang w:val="es-MX" w:eastAsia="en-US"/>
        </w:rPr>
      </w:pPr>
      <w:r w:rsidRPr="000134E6">
        <w:rPr>
          <w:rFonts w:ascii="Abadi" w:hAnsi="Abadi" w:cs="Arial"/>
          <w:i/>
          <w:sz w:val="21"/>
          <w:szCs w:val="21"/>
          <w:lang w:val="es-MX" w:eastAsia="en-US"/>
        </w:rPr>
        <w:t>Dicho manual fue elaborado por la suscrita, y dicho manual fue aprobado por el Presidente Municipal.</w:t>
      </w:r>
    </w:p>
    <w:p w14:paraId="46A229A9" w14:textId="77777777" w:rsidR="000134E6" w:rsidRPr="000134E6" w:rsidRDefault="000134E6" w:rsidP="000134E6">
      <w:pPr>
        <w:spacing w:after="160" w:line="259" w:lineRule="auto"/>
        <w:ind w:left="709"/>
        <w:jc w:val="both"/>
        <w:rPr>
          <w:rFonts w:ascii="Abadi" w:hAnsi="Abadi" w:cs="Arial"/>
          <w:i/>
          <w:sz w:val="21"/>
          <w:szCs w:val="21"/>
          <w:lang w:val="es-MX" w:eastAsia="en-US"/>
        </w:rPr>
      </w:pPr>
      <w:r w:rsidRPr="000134E6">
        <w:rPr>
          <w:rFonts w:ascii="Abadi" w:hAnsi="Abadi" w:cs="Arial"/>
          <w:i/>
          <w:sz w:val="21"/>
          <w:szCs w:val="21"/>
          <w:lang w:val="es-MX" w:eastAsia="en-US"/>
        </w:rPr>
        <w:t xml:space="preserve">Es decir, el alcalde Panista Ariel Corona, sabía que existían los manuales y aun así, aprobó que se pagaran a una persona la supuesta elaboración de los manuales para beneficiarse de ese dinero. </w:t>
      </w:r>
    </w:p>
    <w:p w14:paraId="56250113" w14:textId="77777777" w:rsidR="000134E6" w:rsidRPr="000134E6" w:rsidRDefault="000134E6" w:rsidP="000134E6">
      <w:pPr>
        <w:spacing w:after="160" w:line="259" w:lineRule="auto"/>
        <w:ind w:left="709"/>
        <w:jc w:val="both"/>
        <w:rPr>
          <w:rFonts w:ascii="Abadi" w:hAnsi="Abadi" w:cs="Arial"/>
          <w:i/>
          <w:sz w:val="21"/>
          <w:szCs w:val="21"/>
          <w:lang w:val="es-MX" w:eastAsia="en-US"/>
        </w:rPr>
      </w:pPr>
      <w:r w:rsidRPr="000134E6">
        <w:rPr>
          <w:rFonts w:ascii="Abadi" w:hAnsi="Abadi" w:cs="Arial"/>
          <w:i/>
          <w:sz w:val="21"/>
          <w:szCs w:val="21"/>
          <w:lang w:val="es-MX" w:eastAsia="en-US"/>
        </w:rPr>
        <w:t xml:space="preserve">Estos son solo dos ejemplos de cuestiones administrativas en las que la administración panista hizo uso indebido del dinero de los ciudadanos de Cortazar, por que en el área de obra pública y ramo 33 la cosa esta aún peor, la auditoría para el ejercicio fiscal 2019 encontró 62 anomalías por más de 13 millones de pesos. </w:t>
      </w:r>
    </w:p>
    <w:p w14:paraId="64A71715" w14:textId="77777777" w:rsidR="000134E6" w:rsidRPr="000134E6" w:rsidRDefault="000134E6" w:rsidP="000134E6">
      <w:pPr>
        <w:spacing w:after="160" w:line="259" w:lineRule="auto"/>
        <w:ind w:left="709"/>
        <w:jc w:val="both"/>
        <w:rPr>
          <w:rFonts w:ascii="Abadi" w:hAnsi="Abadi" w:cs="Arial"/>
          <w:i/>
          <w:sz w:val="21"/>
          <w:szCs w:val="21"/>
          <w:lang w:val="es-MX" w:eastAsia="en-US"/>
        </w:rPr>
      </w:pPr>
      <w:r w:rsidRPr="000134E6">
        <w:rPr>
          <w:rFonts w:ascii="Abadi" w:hAnsi="Abadi" w:cs="Arial"/>
          <w:i/>
          <w:sz w:val="21"/>
          <w:szCs w:val="21"/>
          <w:lang w:val="es-MX" w:eastAsia="en-US"/>
        </w:rPr>
        <w:t>Y como no van a existir anomalías, si podemos empezar con la empresa que realizó la remodelación de la oficina del Presidente Municipal, que presentó un domicilio fiscal que no existe, quedando a deber dinero al municipio y pues no hay donde localizarlo.</w:t>
      </w:r>
    </w:p>
    <w:p w14:paraId="792D7105" w14:textId="77777777" w:rsidR="000134E6" w:rsidRPr="000134E6" w:rsidRDefault="000134E6" w:rsidP="000134E6">
      <w:pPr>
        <w:spacing w:after="160" w:line="259" w:lineRule="auto"/>
        <w:ind w:left="709"/>
        <w:jc w:val="both"/>
        <w:rPr>
          <w:rFonts w:ascii="Abadi" w:hAnsi="Abadi" w:cs="Arial"/>
          <w:i/>
          <w:sz w:val="21"/>
          <w:szCs w:val="21"/>
          <w:lang w:val="es-MX" w:eastAsia="en-US"/>
        </w:rPr>
      </w:pPr>
      <w:r w:rsidRPr="000134E6">
        <w:rPr>
          <w:rFonts w:ascii="Abadi" w:hAnsi="Abadi" w:cs="Arial"/>
          <w:i/>
          <w:sz w:val="21"/>
          <w:szCs w:val="21"/>
          <w:lang w:val="es-MX" w:eastAsia="en-US"/>
        </w:rPr>
        <w:t xml:space="preserve">Las anomalías en obras como la electrificación de UMAPS en Cañada de Caracheo, la construcción del drenaje en la Colonia Santa Fe, la pavimentación de la calle Ave, entre otras muchas más son ejemplos de que el dinero no esta siendo bien aplicado en el municipio. El alcalde se quiere safar diciendo que varias son obras del Gobierno anterior, sin embargo, es su obligación revisar que se cumplan con los contratos y que si se hagan las obras, por que al final quien acepta que se concluyó y da el visto bueno a la obra, fue la administración 2018-2021 y si hay evidencia de que en su gobierno se siguieron pagando las obras, por lo que ya no lo exime de solventar las irregularidades. </w:t>
      </w:r>
    </w:p>
    <w:p w14:paraId="768DAE41" w14:textId="440A79DB" w:rsidR="000134E6" w:rsidRPr="000134E6" w:rsidRDefault="000134E6" w:rsidP="000134E6">
      <w:pPr>
        <w:spacing w:after="160" w:line="259" w:lineRule="auto"/>
        <w:ind w:left="709"/>
        <w:jc w:val="both"/>
        <w:rPr>
          <w:rFonts w:ascii="Abadi" w:hAnsi="Abadi" w:cs="Arial"/>
          <w:i/>
          <w:sz w:val="21"/>
          <w:szCs w:val="21"/>
          <w:lang w:val="es-MX" w:eastAsia="en-US"/>
        </w:rPr>
      </w:pPr>
      <w:r w:rsidRPr="000134E6">
        <w:rPr>
          <w:rFonts w:ascii="Abadi" w:hAnsi="Abadi" w:cs="Arial"/>
          <w:i/>
          <w:sz w:val="21"/>
          <w:szCs w:val="21"/>
          <w:lang w:val="es-MX" w:eastAsia="en-US"/>
        </w:rPr>
        <w:t>La opacidad con la que se ha manejado la actual administración va desde que el actual Secretario de Ayuntamiento el Ing. Alejandro Perea Castro, se ha negado a expedir copias certificadas, oculta la información de sesiones ordinarias del Ayuntamiento, así como  la obstaculización del trabajo que pretenden realizar las regidoras de oposición, se suman a este ocultamiento de información la negativa</w:t>
      </w:r>
      <w:r w:rsidRPr="000134E6">
        <w:rPr>
          <w:rFonts w:ascii="Abadi" w:hAnsi="Abadi"/>
          <w:sz w:val="21"/>
          <w:szCs w:val="21"/>
          <w:lang w:val="es-MX" w:eastAsia="en-US"/>
        </w:rPr>
        <w:t xml:space="preserve"> </w:t>
      </w:r>
      <w:r w:rsidRPr="000134E6">
        <w:rPr>
          <w:rFonts w:ascii="Abadi" w:hAnsi="Abadi" w:cs="Arial"/>
          <w:i/>
          <w:sz w:val="21"/>
          <w:szCs w:val="21"/>
          <w:lang w:val="es-MX" w:eastAsia="en-US"/>
        </w:rPr>
        <w:t>del Alcalde Ariel Corona a presentar de manera concreta y con sustento temas específicos que se revisan en sesiones, intentonas por que se aprueben movimientos en  cuentas públicas sin antes pasar por la Comisión de Hacienda, la existencia de aviadores comprobados en Sesiones de Ayuntamiento, negativa de dar a conocer las plantillas de trabajadores, decisiones unilaterales de uso de recursos públicos, la inexistencia del procedimiento de la entrega recepción de la administración 2018-2021 a la actual que por que a dichos del Presidente Municipal, son los mismos entonces no se necesita, entre otras muchas cosas más…</w:t>
      </w:r>
    </w:p>
    <w:p w14:paraId="3462ECD9" w14:textId="77777777" w:rsidR="000134E6" w:rsidRPr="000134E6" w:rsidRDefault="000134E6" w:rsidP="000134E6">
      <w:pPr>
        <w:spacing w:after="160" w:line="259" w:lineRule="auto"/>
        <w:ind w:left="709"/>
        <w:jc w:val="both"/>
        <w:rPr>
          <w:rFonts w:ascii="Abadi" w:hAnsi="Abadi" w:cs="Arial"/>
          <w:i/>
          <w:sz w:val="21"/>
          <w:szCs w:val="21"/>
          <w:lang w:val="es-MX" w:eastAsia="en-US"/>
        </w:rPr>
      </w:pPr>
    </w:p>
    <w:p w14:paraId="522516C6" w14:textId="77777777" w:rsidR="000134E6" w:rsidRPr="000134E6" w:rsidRDefault="000134E6" w:rsidP="001A28E5">
      <w:pPr>
        <w:numPr>
          <w:ilvl w:val="0"/>
          <w:numId w:val="66"/>
        </w:numPr>
        <w:spacing w:after="160" w:line="259" w:lineRule="auto"/>
        <w:jc w:val="both"/>
        <w:rPr>
          <w:rFonts w:ascii="Abadi" w:hAnsi="Abadi" w:cs="Arial"/>
          <w:b/>
          <w:bCs/>
          <w:sz w:val="21"/>
          <w:szCs w:val="21"/>
          <w:lang w:val="es-MX" w:eastAsia="en-US"/>
        </w:rPr>
      </w:pPr>
      <w:r w:rsidRPr="000134E6">
        <w:rPr>
          <w:rFonts w:ascii="Abadi" w:hAnsi="Abadi" w:cs="Arial"/>
          <w:b/>
          <w:bCs/>
          <w:sz w:val="21"/>
          <w:szCs w:val="21"/>
          <w:lang w:val="es-MX" w:eastAsia="en-US"/>
        </w:rPr>
        <w:t>Consideraciones de la Comisión</w:t>
      </w:r>
    </w:p>
    <w:p w14:paraId="73E790E1" w14:textId="77777777" w:rsidR="000134E6" w:rsidRPr="000134E6" w:rsidRDefault="000134E6" w:rsidP="000134E6">
      <w:pPr>
        <w:spacing w:after="160" w:line="259" w:lineRule="auto"/>
        <w:ind w:firstLine="708"/>
        <w:contextualSpacing/>
        <w:jc w:val="both"/>
        <w:rPr>
          <w:rFonts w:ascii="Abadi" w:hAnsi="Abadi" w:cs="Tahoma"/>
          <w:sz w:val="21"/>
          <w:szCs w:val="21"/>
          <w:lang w:val="es-MX" w:eastAsia="es-MX"/>
        </w:rPr>
      </w:pPr>
      <w:r w:rsidRPr="000134E6">
        <w:rPr>
          <w:rFonts w:ascii="Abadi" w:hAnsi="Abadi" w:cs="Tahoma"/>
          <w:sz w:val="21"/>
          <w:szCs w:val="21"/>
          <w:lang w:val="es-MX" w:eastAsia="es-MX"/>
        </w:rPr>
        <w:t>En las consideraciones expuestas en la propuesta que se dictamina se señala la necesidad de fiscalizar el uso y destino de recursos públicos de la administración pública municipal de Cortazar, Gto., con relación a diversos hechos referidos en dicha propuesta.</w:t>
      </w:r>
    </w:p>
    <w:p w14:paraId="15ADF79C" w14:textId="77777777" w:rsidR="000134E6" w:rsidRPr="000134E6" w:rsidRDefault="000134E6" w:rsidP="000134E6">
      <w:pPr>
        <w:spacing w:after="160" w:line="259" w:lineRule="auto"/>
        <w:ind w:firstLine="708"/>
        <w:jc w:val="both"/>
        <w:rPr>
          <w:rFonts w:ascii="Abadi" w:hAnsi="Abadi" w:cs="Tahoma"/>
          <w:sz w:val="21"/>
          <w:szCs w:val="21"/>
          <w:lang w:val="es-MX" w:eastAsia="en-US"/>
        </w:rPr>
      </w:pPr>
      <w:r w:rsidRPr="000134E6">
        <w:rPr>
          <w:rFonts w:ascii="Abadi" w:hAnsi="Abadi" w:cs="Tahoma"/>
          <w:sz w:val="21"/>
          <w:szCs w:val="21"/>
          <w:lang w:val="es-MX" w:eastAsia="en-US"/>
        </w:rPr>
        <w:t xml:space="preserve">Al respecto quienes integramos esta Comisión consideramos que la función de control es uno de los mecanismos que preservan el equilibrio entre los poderes públicos y asegura la vigencia de la ley como un instrumento que somete toda actuación de la autoridad y preserva las garantías y derechos de los ciudadanos. La vigilancia y el control sobre el ejercicio de los recursos públicos encomendados a las autoridades es una de las funciones primordiales que tiene el Poder Legislativo como responsable originario de esa función de control. </w:t>
      </w:r>
    </w:p>
    <w:p w14:paraId="4E00D67D" w14:textId="77777777" w:rsidR="000134E6" w:rsidRPr="000134E6" w:rsidRDefault="000134E6" w:rsidP="000134E6">
      <w:pPr>
        <w:spacing w:after="160" w:line="259" w:lineRule="auto"/>
        <w:ind w:firstLine="720"/>
        <w:jc w:val="both"/>
        <w:rPr>
          <w:rFonts w:ascii="Abadi" w:hAnsi="Abadi" w:cs="Tahoma"/>
          <w:sz w:val="21"/>
          <w:szCs w:val="21"/>
          <w:lang w:val="es-MX" w:eastAsia="en-US"/>
        </w:rPr>
      </w:pPr>
      <w:r w:rsidRPr="000134E6">
        <w:rPr>
          <w:rFonts w:ascii="Abadi" w:hAnsi="Abadi" w:cs="Tahoma"/>
          <w:sz w:val="21"/>
          <w:szCs w:val="21"/>
          <w:lang w:val="es-MX" w:eastAsia="en-US"/>
        </w:rPr>
        <w:t>La administración, ejercicio, aplicación y control de los recursos públicos tienen que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w:t>
      </w:r>
    </w:p>
    <w:p w14:paraId="113169CE" w14:textId="77777777" w:rsidR="000134E6" w:rsidRPr="000134E6" w:rsidRDefault="000134E6" w:rsidP="000134E6">
      <w:pPr>
        <w:spacing w:line="259" w:lineRule="auto"/>
        <w:jc w:val="both"/>
        <w:rPr>
          <w:rFonts w:ascii="Abadi" w:hAnsi="Abadi" w:cs="Tahoma"/>
          <w:sz w:val="21"/>
          <w:szCs w:val="21"/>
          <w:lang w:val="es-MX" w:eastAsia="en-US"/>
        </w:rPr>
      </w:pPr>
      <w:r w:rsidRPr="000134E6">
        <w:rPr>
          <w:rFonts w:ascii="Abadi" w:hAnsi="Abadi" w:cs="Tahoma"/>
          <w:sz w:val="21"/>
          <w:szCs w:val="21"/>
          <w:lang w:val="es-MX" w:eastAsia="en-US"/>
        </w:rPr>
        <w:tab/>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2FB4C8FF" w14:textId="77777777" w:rsidR="000134E6" w:rsidRPr="000134E6" w:rsidRDefault="000134E6" w:rsidP="000134E6">
      <w:pPr>
        <w:spacing w:line="259" w:lineRule="auto"/>
        <w:jc w:val="both"/>
        <w:rPr>
          <w:rFonts w:ascii="Abadi" w:hAnsi="Abadi" w:cs="Tahoma"/>
          <w:sz w:val="21"/>
          <w:szCs w:val="21"/>
          <w:lang w:val="es-MX" w:eastAsia="en-US"/>
        </w:rPr>
      </w:pPr>
    </w:p>
    <w:p w14:paraId="33A828E2" w14:textId="7B4F4DAA" w:rsidR="000134E6" w:rsidRDefault="000134E6" w:rsidP="000134E6">
      <w:pPr>
        <w:spacing w:line="259" w:lineRule="auto"/>
        <w:jc w:val="both"/>
        <w:rPr>
          <w:rFonts w:ascii="Abadi" w:hAnsi="Abadi" w:cs="Tahoma"/>
          <w:sz w:val="21"/>
          <w:szCs w:val="21"/>
          <w:lang w:val="es-MX" w:eastAsia="en-US"/>
        </w:rPr>
      </w:pPr>
      <w:r w:rsidRPr="000134E6">
        <w:rPr>
          <w:rFonts w:ascii="Abadi" w:hAnsi="Abadi" w:cs="Tahoma"/>
          <w:sz w:val="21"/>
          <w:szCs w:val="21"/>
          <w:lang w:val="es-MX" w:eastAsia="en-US"/>
        </w:rPr>
        <w:tab/>
        <w:t xml:space="preserve">El artículo 116, fracción II, sexto párrafo de la Constitución Política de los Estados Unidos Mexicanos señala que: </w:t>
      </w:r>
      <w:r w:rsidRPr="000134E6">
        <w:rPr>
          <w:rFonts w:ascii="Abadi" w:hAnsi="Abadi" w:cs="Tahoma"/>
          <w:i/>
          <w:sz w:val="21"/>
          <w:szCs w:val="21"/>
          <w:lang w:val="es-MX" w:eastAsia="en-US"/>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0134E6">
        <w:rPr>
          <w:rFonts w:ascii="Abadi" w:hAnsi="Abadi" w:cs="Tahoma"/>
          <w:sz w:val="21"/>
          <w:szCs w:val="21"/>
          <w:lang w:val="es-MX" w:eastAsia="en-US"/>
        </w:rPr>
        <w:t xml:space="preserve"> </w:t>
      </w:r>
    </w:p>
    <w:p w14:paraId="2C636C11" w14:textId="77777777" w:rsidR="000134E6" w:rsidRPr="000134E6" w:rsidRDefault="000134E6" w:rsidP="000134E6">
      <w:pPr>
        <w:spacing w:line="259" w:lineRule="auto"/>
        <w:jc w:val="both"/>
        <w:rPr>
          <w:rFonts w:ascii="Abadi" w:hAnsi="Abadi" w:cs="Tahoma"/>
          <w:sz w:val="21"/>
          <w:szCs w:val="21"/>
          <w:lang w:val="es-MX" w:eastAsia="en-US"/>
        </w:rPr>
      </w:pPr>
    </w:p>
    <w:p w14:paraId="55354004" w14:textId="77777777" w:rsidR="000134E6" w:rsidRPr="000134E6" w:rsidRDefault="000134E6" w:rsidP="000134E6">
      <w:pPr>
        <w:spacing w:after="160" w:line="259" w:lineRule="auto"/>
        <w:ind w:firstLine="708"/>
        <w:jc w:val="both"/>
        <w:rPr>
          <w:rFonts w:ascii="Abadi" w:hAnsi="Abadi" w:cs="Tahoma"/>
          <w:sz w:val="21"/>
          <w:szCs w:val="21"/>
          <w:lang w:val="es-MX" w:eastAsia="en-US"/>
        </w:rPr>
      </w:pPr>
      <w:r w:rsidRPr="000134E6">
        <w:rPr>
          <w:rFonts w:ascii="Abadi" w:hAnsi="Abadi" w:cs="Tahoma"/>
          <w:sz w:val="21"/>
          <w:szCs w:val="21"/>
          <w:lang w:val="es-MX" w:eastAsia="en-US"/>
        </w:rPr>
        <w:t xml:space="preserve">La Auditoría Superior del Estado, de conformidad con el artículo 66 de la Constitución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mientras que la fracción IV del mismo precepto establece que la Auditoría Superior del Estado podrá acordar y practicar auditorías conforme a su programa anual y ejecutar las que acuerde el Congreso del Estado en los términos de la fracción XXVIII del artículo 63 de la propia Constitución Local. </w:t>
      </w:r>
    </w:p>
    <w:p w14:paraId="76E5B217" w14:textId="77777777" w:rsidR="000134E6" w:rsidRPr="000134E6" w:rsidRDefault="000134E6" w:rsidP="000134E6">
      <w:pPr>
        <w:spacing w:line="259" w:lineRule="auto"/>
        <w:ind w:firstLine="720"/>
        <w:jc w:val="both"/>
        <w:rPr>
          <w:rFonts w:ascii="Abadi" w:hAnsi="Abadi" w:cs="Tahoma"/>
          <w:sz w:val="21"/>
          <w:szCs w:val="21"/>
          <w:lang w:val="es-MX" w:eastAsia="en-US"/>
        </w:rPr>
      </w:pPr>
      <w:r w:rsidRPr="000134E6">
        <w:rPr>
          <w:rFonts w:ascii="Abadi" w:hAnsi="Abadi" w:cs="Tahoma"/>
          <w:sz w:val="21"/>
          <w:szCs w:val="21"/>
          <w:lang w:val="es-MX" w:eastAsia="en-US"/>
        </w:rPr>
        <w:t>El ayuntamiento de Cortazar, Gto., es sujeto de la función de fiscalización del Congreso del Estado, según se desprende de los artículos 63 fracciones XIX y XXVIII; y 66 de la Constitución Política local y 2, fracción II de la Ley de Fiscalización Superior del Estado de Guanajuato.</w:t>
      </w:r>
    </w:p>
    <w:p w14:paraId="64EE17FC" w14:textId="77777777" w:rsidR="000134E6" w:rsidRPr="000134E6" w:rsidRDefault="000134E6" w:rsidP="000134E6">
      <w:pPr>
        <w:spacing w:line="259" w:lineRule="auto"/>
        <w:ind w:firstLine="720"/>
        <w:jc w:val="both"/>
        <w:rPr>
          <w:rFonts w:ascii="Abadi" w:hAnsi="Abadi" w:cs="Tahoma"/>
          <w:sz w:val="21"/>
          <w:szCs w:val="21"/>
          <w:lang w:val="es-MX" w:eastAsia="en-US"/>
        </w:rPr>
      </w:pPr>
    </w:p>
    <w:p w14:paraId="1D1B13AA" w14:textId="77777777" w:rsidR="000134E6" w:rsidRPr="000134E6" w:rsidRDefault="000134E6" w:rsidP="000134E6">
      <w:pPr>
        <w:spacing w:after="160" w:line="259" w:lineRule="auto"/>
        <w:ind w:firstLine="720"/>
        <w:jc w:val="both"/>
        <w:rPr>
          <w:rFonts w:ascii="Abadi" w:hAnsi="Abadi" w:cs="Tahoma"/>
          <w:sz w:val="21"/>
          <w:szCs w:val="21"/>
          <w:lang w:val="es-MX" w:eastAsia="en-US"/>
        </w:rPr>
      </w:pPr>
      <w:r w:rsidRPr="000134E6">
        <w:rPr>
          <w:rFonts w:ascii="Abadi" w:hAnsi="Abadi" w:cs="Tahoma"/>
          <w:sz w:val="21"/>
          <w:szCs w:val="21"/>
          <w:lang w:val="es-MX" w:eastAsia="en-US"/>
        </w:rPr>
        <w:t>En este orden de ideas, de acuerdo a la información proporcionada por la Auditoría Superior del Estado, durante los ejercicios fiscales 2019 y 2020 se efectuaron las siguientes revisiones y auditorías a la administración pública de Cortazar, Gto.:</w:t>
      </w:r>
    </w:p>
    <w:p w14:paraId="32CE1090" w14:textId="77777777" w:rsidR="000134E6" w:rsidRPr="000134E6" w:rsidRDefault="000134E6" w:rsidP="000134E6">
      <w:pPr>
        <w:spacing w:after="160" w:line="259" w:lineRule="auto"/>
        <w:ind w:firstLine="720"/>
        <w:jc w:val="both"/>
        <w:rPr>
          <w:rFonts w:ascii="Abadi" w:hAnsi="Abadi" w:cs="Tahoma"/>
          <w:sz w:val="21"/>
          <w:szCs w:val="21"/>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376"/>
        <w:gridCol w:w="1063"/>
        <w:gridCol w:w="1063"/>
      </w:tblGrid>
      <w:tr w:rsidR="000134E6" w:rsidRPr="000134E6" w14:paraId="5696FA89" w14:textId="77777777" w:rsidTr="004E6068">
        <w:trPr>
          <w:jc w:val="center"/>
        </w:trPr>
        <w:tc>
          <w:tcPr>
            <w:tcW w:w="1271" w:type="dxa"/>
            <w:shd w:val="clear" w:color="auto" w:fill="auto"/>
          </w:tcPr>
          <w:p w14:paraId="265E39CF" w14:textId="77777777" w:rsidR="000134E6" w:rsidRPr="000134E6" w:rsidRDefault="000134E6" w:rsidP="000134E6">
            <w:pPr>
              <w:spacing w:after="160"/>
              <w:jc w:val="center"/>
              <w:rPr>
                <w:rFonts w:ascii="Abadi" w:hAnsi="Abadi"/>
                <w:b/>
                <w:sz w:val="21"/>
                <w:szCs w:val="21"/>
                <w:lang w:val="es-MX" w:eastAsia="en-US"/>
              </w:rPr>
            </w:pPr>
            <w:r w:rsidRPr="000134E6">
              <w:rPr>
                <w:rFonts w:ascii="Abadi" w:hAnsi="Abadi"/>
                <w:b/>
                <w:sz w:val="21"/>
                <w:szCs w:val="21"/>
                <w:lang w:val="es-MX" w:eastAsia="en-US"/>
              </w:rPr>
              <w:t>Ejercicio</w:t>
            </w:r>
          </w:p>
        </w:tc>
        <w:tc>
          <w:tcPr>
            <w:tcW w:w="3404" w:type="dxa"/>
            <w:shd w:val="clear" w:color="auto" w:fill="auto"/>
          </w:tcPr>
          <w:p w14:paraId="07DC7758" w14:textId="77777777" w:rsidR="000134E6" w:rsidRPr="000134E6" w:rsidRDefault="000134E6" w:rsidP="000134E6">
            <w:pPr>
              <w:spacing w:after="160"/>
              <w:jc w:val="center"/>
              <w:rPr>
                <w:rFonts w:ascii="Abadi" w:hAnsi="Abadi"/>
                <w:b/>
                <w:sz w:val="21"/>
                <w:szCs w:val="21"/>
                <w:lang w:val="es-MX" w:eastAsia="en-US"/>
              </w:rPr>
            </w:pPr>
            <w:r w:rsidRPr="000134E6">
              <w:rPr>
                <w:rFonts w:ascii="Abadi" w:hAnsi="Abadi"/>
                <w:b/>
                <w:sz w:val="21"/>
                <w:szCs w:val="21"/>
                <w:lang w:val="es-MX" w:eastAsia="en-US"/>
              </w:rPr>
              <w:t>Tipo de Revisión</w:t>
            </w:r>
          </w:p>
          <w:p w14:paraId="2FDB26D6" w14:textId="77777777" w:rsidR="000134E6" w:rsidRPr="000134E6" w:rsidRDefault="000134E6" w:rsidP="000134E6">
            <w:pPr>
              <w:spacing w:after="160"/>
              <w:jc w:val="center"/>
              <w:rPr>
                <w:rFonts w:ascii="Abadi" w:hAnsi="Abadi"/>
                <w:b/>
                <w:sz w:val="21"/>
                <w:szCs w:val="21"/>
                <w:lang w:val="es-MX" w:eastAsia="en-US"/>
              </w:rPr>
            </w:pPr>
            <w:r w:rsidRPr="000134E6">
              <w:rPr>
                <w:rFonts w:ascii="Abadi" w:hAnsi="Abadi"/>
                <w:b/>
                <w:sz w:val="21"/>
                <w:szCs w:val="21"/>
                <w:lang w:val="es-MX" w:eastAsia="en-US"/>
              </w:rPr>
              <w:t>/Auditoría</w:t>
            </w:r>
          </w:p>
        </w:tc>
        <w:tc>
          <w:tcPr>
            <w:tcW w:w="1431" w:type="dxa"/>
            <w:shd w:val="clear" w:color="auto" w:fill="auto"/>
          </w:tcPr>
          <w:p w14:paraId="056DBE9B" w14:textId="77777777" w:rsidR="000134E6" w:rsidRPr="000134E6" w:rsidRDefault="000134E6" w:rsidP="000134E6">
            <w:pPr>
              <w:spacing w:after="160"/>
              <w:jc w:val="center"/>
              <w:rPr>
                <w:rFonts w:ascii="Abadi" w:hAnsi="Abadi"/>
                <w:b/>
                <w:sz w:val="21"/>
                <w:szCs w:val="21"/>
                <w:lang w:val="es-MX" w:eastAsia="en-US"/>
              </w:rPr>
            </w:pPr>
            <w:r w:rsidRPr="000134E6">
              <w:rPr>
                <w:rFonts w:ascii="Abadi" w:hAnsi="Abadi"/>
                <w:b/>
                <w:sz w:val="21"/>
                <w:szCs w:val="21"/>
                <w:lang w:val="es-MX" w:eastAsia="en-US"/>
              </w:rPr>
              <w:t>Porcentaje revisado de ingresos</w:t>
            </w:r>
          </w:p>
        </w:tc>
        <w:tc>
          <w:tcPr>
            <w:tcW w:w="1431" w:type="dxa"/>
            <w:shd w:val="clear" w:color="auto" w:fill="auto"/>
          </w:tcPr>
          <w:p w14:paraId="5E35F222" w14:textId="77777777" w:rsidR="000134E6" w:rsidRPr="000134E6" w:rsidRDefault="000134E6" w:rsidP="000134E6">
            <w:pPr>
              <w:spacing w:after="160"/>
              <w:jc w:val="center"/>
              <w:rPr>
                <w:rFonts w:ascii="Abadi" w:hAnsi="Abadi"/>
                <w:b/>
                <w:sz w:val="21"/>
                <w:szCs w:val="21"/>
                <w:lang w:val="es-MX" w:eastAsia="en-US"/>
              </w:rPr>
            </w:pPr>
            <w:r w:rsidRPr="000134E6">
              <w:rPr>
                <w:rFonts w:ascii="Abadi" w:hAnsi="Abadi"/>
                <w:b/>
                <w:sz w:val="21"/>
                <w:szCs w:val="21"/>
                <w:lang w:val="es-MX" w:eastAsia="en-US"/>
              </w:rPr>
              <w:t>Porcentaje revisado de egresos</w:t>
            </w:r>
          </w:p>
        </w:tc>
      </w:tr>
      <w:tr w:rsidR="000134E6" w:rsidRPr="000134E6" w14:paraId="515C7742" w14:textId="77777777" w:rsidTr="004E6068">
        <w:trPr>
          <w:jc w:val="center"/>
        </w:trPr>
        <w:tc>
          <w:tcPr>
            <w:tcW w:w="1271" w:type="dxa"/>
            <w:shd w:val="clear" w:color="auto" w:fill="auto"/>
          </w:tcPr>
          <w:p w14:paraId="79164118" w14:textId="77777777" w:rsidR="000134E6" w:rsidRPr="000134E6" w:rsidRDefault="000134E6" w:rsidP="000134E6">
            <w:pPr>
              <w:spacing w:after="160" w:line="259" w:lineRule="auto"/>
              <w:jc w:val="center"/>
              <w:rPr>
                <w:rFonts w:ascii="Abadi" w:hAnsi="Abadi"/>
                <w:bCs/>
                <w:sz w:val="21"/>
                <w:szCs w:val="21"/>
                <w:lang w:val="es-MX" w:eastAsia="en-US"/>
              </w:rPr>
            </w:pPr>
            <w:r w:rsidRPr="000134E6">
              <w:rPr>
                <w:rFonts w:ascii="Abadi" w:hAnsi="Abadi"/>
                <w:sz w:val="21"/>
                <w:szCs w:val="21"/>
                <w:lang w:val="es-MX" w:eastAsia="en-US"/>
              </w:rPr>
              <w:t>2019</w:t>
            </w:r>
          </w:p>
        </w:tc>
        <w:tc>
          <w:tcPr>
            <w:tcW w:w="3404" w:type="dxa"/>
            <w:shd w:val="clear" w:color="auto" w:fill="auto"/>
            <w:vAlign w:val="center"/>
          </w:tcPr>
          <w:p w14:paraId="65CC2210" w14:textId="77777777" w:rsidR="000134E6" w:rsidRPr="000134E6" w:rsidRDefault="000134E6" w:rsidP="000134E6">
            <w:pPr>
              <w:spacing w:after="160" w:line="259" w:lineRule="auto"/>
              <w:rPr>
                <w:rFonts w:ascii="Abadi" w:hAnsi="Abadi"/>
                <w:bCs/>
                <w:sz w:val="21"/>
                <w:szCs w:val="21"/>
                <w:lang w:val="es-MX" w:eastAsia="en-US"/>
              </w:rPr>
            </w:pPr>
            <w:r w:rsidRPr="000134E6">
              <w:rPr>
                <w:rFonts w:ascii="Abadi" w:hAnsi="Abadi"/>
                <w:bCs/>
                <w:sz w:val="21"/>
                <w:szCs w:val="21"/>
                <w:lang w:val="es-MX" w:eastAsia="en-US"/>
              </w:rPr>
              <w:t>Auditoría del Ramo General 33 y Obra Pública</w:t>
            </w:r>
          </w:p>
        </w:tc>
        <w:tc>
          <w:tcPr>
            <w:tcW w:w="1431" w:type="dxa"/>
            <w:shd w:val="clear" w:color="auto" w:fill="auto"/>
            <w:vAlign w:val="center"/>
          </w:tcPr>
          <w:p w14:paraId="6343B2D3" w14:textId="77777777" w:rsidR="000134E6" w:rsidRPr="000134E6" w:rsidRDefault="000134E6" w:rsidP="000134E6">
            <w:pPr>
              <w:spacing w:after="160" w:line="259" w:lineRule="auto"/>
              <w:jc w:val="center"/>
              <w:rPr>
                <w:rFonts w:ascii="Abadi" w:hAnsi="Abadi"/>
                <w:sz w:val="21"/>
                <w:szCs w:val="21"/>
                <w:lang w:val="es-MX" w:eastAsia="en-US"/>
              </w:rPr>
            </w:pPr>
            <w:r w:rsidRPr="000134E6">
              <w:rPr>
                <w:rFonts w:ascii="Abadi" w:hAnsi="Abadi" w:cs="Calibri"/>
                <w:sz w:val="21"/>
                <w:szCs w:val="21"/>
                <w:lang w:eastAsia="en-US"/>
              </w:rPr>
              <w:t>100(1)</w:t>
            </w:r>
          </w:p>
        </w:tc>
        <w:tc>
          <w:tcPr>
            <w:tcW w:w="1431" w:type="dxa"/>
            <w:shd w:val="clear" w:color="auto" w:fill="auto"/>
            <w:vAlign w:val="center"/>
          </w:tcPr>
          <w:p w14:paraId="373041E3" w14:textId="77777777" w:rsidR="000134E6" w:rsidRPr="000134E6" w:rsidRDefault="000134E6" w:rsidP="000134E6">
            <w:pPr>
              <w:spacing w:after="160" w:line="259" w:lineRule="auto"/>
              <w:jc w:val="center"/>
              <w:rPr>
                <w:rFonts w:ascii="Abadi" w:hAnsi="Abadi"/>
                <w:sz w:val="21"/>
                <w:szCs w:val="21"/>
                <w:lang w:val="es-MX" w:eastAsia="en-US"/>
              </w:rPr>
            </w:pPr>
            <w:r w:rsidRPr="000134E6">
              <w:rPr>
                <w:rFonts w:ascii="Abadi" w:hAnsi="Abadi" w:cs="Calibri"/>
                <w:sz w:val="21"/>
                <w:szCs w:val="21"/>
                <w:lang w:eastAsia="en-US"/>
              </w:rPr>
              <w:t>65(2)</w:t>
            </w:r>
          </w:p>
        </w:tc>
      </w:tr>
      <w:tr w:rsidR="000134E6" w:rsidRPr="000134E6" w14:paraId="71F94744" w14:textId="77777777" w:rsidTr="004E6068">
        <w:trPr>
          <w:jc w:val="center"/>
        </w:trPr>
        <w:tc>
          <w:tcPr>
            <w:tcW w:w="1271" w:type="dxa"/>
            <w:shd w:val="clear" w:color="auto" w:fill="auto"/>
          </w:tcPr>
          <w:p w14:paraId="6357F7FD" w14:textId="77777777" w:rsidR="000134E6" w:rsidRPr="000134E6" w:rsidRDefault="000134E6" w:rsidP="000134E6">
            <w:pPr>
              <w:spacing w:after="160" w:line="259" w:lineRule="auto"/>
              <w:jc w:val="center"/>
              <w:rPr>
                <w:rFonts w:ascii="Abadi" w:hAnsi="Abadi"/>
                <w:b/>
                <w:sz w:val="21"/>
                <w:szCs w:val="21"/>
                <w:lang w:val="es-MX" w:eastAsia="en-US"/>
              </w:rPr>
            </w:pPr>
            <w:r w:rsidRPr="000134E6">
              <w:rPr>
                <w:rFonts w:ascii="Abadi" w:hAnsi="Abadi"/>
                <w:sz w:val="21"/>
                <w:szCs w:val="21"/>
                <w:lang w:val="es-MX" w:eastAsia="en-US"/>
              </w:rPr>
              <w:t>2019</w:t>
            </w:r>
          </w:p>
        </w:tc>
        <w:tc>
          <w:tcPr>
            <w:tcW w:w="3404" w:type="dxa"/>
            <w:shd w:val="clear" w:color="auto" w:fill="auto"/>
          </w:tcPr>
          <w:p w14:paraId="40D19D05" w14:textId="77777777" w:rsidR="000134E6" w:rsidRPr="000134E6" w:rsidRDefault="000134E6" w:rsidP="000134E6">
            <w:pPr>
              <w:spacing w:after="160"/>
              <w:rPr>
                <w:rFonts w:ascii="Abadi" w:hAnsi="Abadi"/>
                <w:b/>
                <w:sz w:val="21"/>
                <w:szCs w:val="21"/>
                <w:lang w:val="es-MX" w:eastAsia="en-US"/>
              </w:rPr>
            </w:pPr>
            <w:r w:rsidRPr="000134E6">
              <w:rPr>
                <w:rFonts w:ascii="Abadi" w:hAnsi="Abadi"/>
                <w:sz w:val="21"/>
                <w:szCs w:val="21"/>
                <w:lang w:val="es-MX" w:eastAsia="en-US"/>
              </w:rPr>
              <w:t>Revisión de cuenta pública</w:t>
            </w:r>
          </w:p>
        </w:tc>
        <w:tc>
          <w:tcPr>
            <w:tcW w:w="1431" w:type="dxa"/>
            <w:shd w:val="clear" w:color="auto" w:fill="auto"/>
            <w:vAlign w:val="center"/>
          </w:tcPr>
          <w:p w14:paraId="4481A92D" w14:textId="77777777" w:rsidR="000134E6" w:rsidRPr="000134E6" w:rsidRDefault="000134E6" w:rsidP="000134E6">
            <w:pPr>
              <w:spacing w:after="160"/>
              <w:jc w:val="center"/>
              <w:rPr>
                <w:rFonts w:ascii="Abadi" w:hAnsi="Abadi"/>
                <w:sz w:val="21"/>
                <w:szCs w:val="21"/>
                <w:lang w:val="es-MX" w:eastAsia="en-US"/>
              </w:rPr>
            </w:pPr>
          </w:p>
        </w:tc>
        <w:tc>
          <w:tcPr>
            <w:tcW w:w="1431" w:type="dxa"/>
            <w:shd w:val="clear" w:color="auto" w:fill="auto"/>
            <w:vAlign w:val="center"/>
          </w:tcPr>
          <w:p w14:paraId="3D43ED74" w14:textId="77777777" w:rsidR="000134E6" w:rsidRPr="000134E6" w:rsidRDefault="000134E6" w:rsidP="000134E6">
            <w:pPr>
              <w:spacing w:after="160"/>
              <w:jc w:val="center"/>
              <w:rPr>
                <w:rFonts w:ascii="Abadi" w:hAnsi="Abadi"/>
                <w:sz w:val="21"/>
                <w:szCs w:val="21"/>
                <w:lang w:val="es-MX" w:eastAsia="en-US"/>
              </w:rPr>
            </w:pPr>
          </w:p>
        </w:tc>
      </w:tr>
      <w:tr w:rsidR="000134E6" w:rsidRPr="000134E6" w14:paraId="3ED6E9FF" w14:textId="77777777" w:rsidTr="004E6068">
        <w:trPr>
          <w:jc w:val="center"/>
        </w:trPr>
        <w:tc>
          <w:tcPr>
            <w:tcW w:w="1271" w:type="dxa"/>
            <w:shd w:val="clear" w:color="auto" w:fill="auto"/>
          </w:tcPr>
          <w:p w14:paraId="032FEA87" w14:textId="77777777" w:rsidR="000134E6" w:rsidRPr="000134E6" w:rsidRDefault="000134E6" w:rsidP="000134E6">
            <w:pPr>
              <w:spacing w:after="160" w:line="259" w:lineRule="auto"/>
              <w:jc w:val="center"/>
              <w:rPr>
                <w:rFonts w:ascii="Abadi" w:hAnsi="Abadi"/>
                <w:bCs/>
                <w:sz w:val="21"/>
                <w:szCs w:val="21"/>
                <w:lang w:val="es-MX" w:eastAsia="en-US"/>
              </w:rPr>
            </w:pPr>
          </w:p>
        </w:tc>
        <w:tc>
          <w:tcPr>
            <w:tcW w:w="3404" w:type="dxa"/>
            <w:shd w:val="clear" w:color="auto" w:fill="auto"/>
          </w:tcPr>
          <w:p w14:paraId="6044E308" w14:textId="77777777" w:rsidR="000134E6" w:rsidRPr="000134E6" w:rsidRDefault="000134E6" w:rsidP="000134E6">
            <w:pPr>
              <w:spacing w:after="160" w:line="259" w:lineRule="auto"/>
              <w:jc w:val="both"/>
              <w:rPr>
                <w:rFonts w:ascii="Abadi" w:hAnsi="Abadi"/>
                <w:bCs/>
                <w:sz w:val="21"/>
                <w:szCs w:val="21"/>
                <w:lang w:val="es-MX" w:eastAsia="en-US"/>
              </w:rPr>
            </w:pPr>
            <w:r w:rsidRPr="000134E6">
              <w:rPr>
                <w:rFonts w:ascii="Abadi" w:hAnsi="Abadi" w:cs="Calibri"/>
                <w:sz w:val="21"/>
                <w:szCs w:val="21"/>
                <w:lang w:val="es-MX" w:eastAsia="en-US"/>
              </w:rPr>
              <w:t>Sector central</w:t>
            </w:r>
          </w:p>
        </w:tc>
        <w:tc>
          <w:tcPr>
            <w:tcW w:w="1431" w:type="dxa"/>
            <w:shd w:val="clear" w:color="auto" w:fill="auto"/>
          </w:tcPr>
          <w:p w14:paraId="4DC68745" w14:textId="77777777" w:rsidR="000134E6" w:rsidRPr="000134E6" w:rsidRDefault="000134E6" w:rsidP="000134E6">
            <w:pPr>
              <w:spacing w:after="160" w:line="259" w:lineRule="auto"/>
              <w:jc w:val="center"/>
              <w:rPr>
                <w:rFonts w:ascii="Abadi" w:hAnsi="Abadi"/>
                <w:sz w:val="21"/>
                <w:szCs w:val="21"/>
                <w:lang w:val="es-MX" w:eastAsia="en-US"/>
              </w:rPr>
            </w:pPr>
            <w:r w:rsidRPr="000134E6">
              <w:rPr>
                <w:rFonts w:ascii="Abadi" w:hAnsi="Abadi" w:cs="Calibri"/>
                <w:sz w:val="21"/>
                <w:szCs w:val="21"/>
                <w:lang w:eastAsia="en-US"/>
              </w:rPr>
              <w:t>76</w:t>
            </w:r>
          </w:p>
        </w:tc>
        <w:tc>
          <w:tcPr>
            <w:tcW w:w="1431" w:type="dxa"/>
            <w:shd w:val="clear" w:color="auto" w:fill="auto"/>
            <w:vAlign w:val="center"/>
          </w:tcPr>
          <w:p w14:paraId="544038FB" w14:textId="77777777" w:rsidR="000134E6" w:rsidRPr="000134E6" w:rsidRDefault="000134E6" w:rsidP="000134E6">
            <w:pPr>
              <w:spacing w:after="160" w:line="259" w:lineRule="auto"/>
              <w:jc w:val="center"/>
              <w:rPr>
                <w:rFonts w:ascii="Abadi" w:hAnsi="Abadi"/>
                <w:sz w:val="21"/>
                <w:szCs w:val="21"/>
                <w:lang w:val="es-MX" w:eastAsia="en-US"/>
              </w:rPr>
            </w:pPr>
            <w:r w:rsidRPr="000134E6">
              <w:rPr>
                <w:rFonts w:ascii="Abadi" w:hAnsi="Abadi" w:cs="Calibri"/>
                <w:sz w:val="21"/>
                <w:szCs w:val="21"/>
                <w:lang w:eastAsia="en-US"/>
              </w:rPr>
              <w:t>58</w:t>
            </w:r>
          </w:p>
        </w:tc>
      </w:tr>
      <w:tr w:rsidR="000134E6" w:rsidRPr="000134E6" w14:paraId="56241BF4" w14:textId="77777777" w:rsidTr="004E6068">
        <w:trPr>
          <w:jc w:val="center"/>
        </w:trPr>
        <w:tc>
          <w:tcPr>
            <w:tcW w:w="1271" w:type="dxa"/>
            <w:shd w:val="clear" w:color="auto" w:fill="auto"/>
          </w:tcPr>
          <w:p w14:paraId="55DBBC4B" w14:textId="77777777" w:rsidR="000134E6" w:rsidRPr="000134E6" w:rsidRDefault="000134E6" w:rsidP="000134E6">
            <w:pPr>
              <w:spacing w:after="160" w:line="259" w:lineRule="auto"/>
              <w:jc w:val="center"/>
              <w:rPr>
                <w:rFonts w:ascii="Abadi" w:hAnsi="Abadi"/>
                <w:bCs/>
                <w:sz w:val="21"/>
                <w:szCs w:val="21"/>
                <w:lang w:val="es-MX" w:eastAsia="en-US"/>
              </w:rPr>
            </w:pPr>
            <w:r w:rsidRPr="000134E6">
              <w:rPr>
                <w:rFonts w:ascii="Abadi" w:hAnsi="Abadi"/>
                <w:sz w:val="21"/>
                <w:szCs w:val="21"/>
                <w:lang w:val="es-MX" w:eastAsia="en-US"/>
              </w:rPr>
              <w:t>2020</w:t>
            </w:r>
          </w:p>
        </w:tc>
        <w:tc>
          <w:tcPr>
            <w:tcW w:w="3404" w:type="dxa"/>
            <w:shd w:val="clear" w:color="auto" w:fill="auto"/>
            <w:vAlign w:val="center"/>
          </w:tcPr>
          <w:p w14:paraId="69D36F39" w14:textId="77777777" w:rsidR="000134E6" w:rsidRPr="000134E6" w:rsidRDefault="000134E6" w:rsidP="000134E6">
            <w:pPr>
              <w:spacing w:after="160"/>
              <w:jc w:val="both"/>
              <w:rPr>
                <w:rFonts w:ascii="Abadi" w:hAnsi="Abadi"/>
                <w:bCs/>
                <w:sz w:val="21"/>
                <w:szCs w:val="21"/>
                <w:lang w:val="es-MX" w:eastAsia="en-US"/>
              </w:rPr>
            </w:pPr>
            <w:r w:rsidRPr="000134E6">
              <w:rPr>
                <w:rFonts w:ascii="Abadi" w:hAnsi="Abadi"/>
                <w:sz w:val="21"/>
                <w:szCs w:val="21"/>
                <w:lang w:val="es-MX" w:eastAsia="en-US"/>
              </w:rPr>
              <w:t>Auditoria a la infraestructura pública municipal</w:t>
            </w:r>
          </w:p>
        </w:tc>
        <w:tc>
          <w:tcPr>
            <w:tcW w:w="1431" w:type="dxa"/>
            <w:shd w:val="clear" w:color="auto" w:fill="auto"/>
            <w:vAlign w:val="center"/>
          </w:tcPr>
          <w:p w14:paraId="6F5EBFB6" w14:textId="77777777" w:rsidR="000134E6" w:rsidRPr="000134E6" w:rsidRDefault="000134E6" w:rsidP="000134E6">
            <w:pPr>
              <w:spacing w:after="160"/>
              <w:jc w:val="center"/>
              <w:rPr>
                <w:rFonts w:ascii="Abadi" w:hAnsi="Abadi"/>
                <w:sz w:val="21"/>
                <w:szCs w:val="21"/>
                <w:lang w:val="es-MX" w:eastAsia="en-US"/>
              </w:rPr>
            </w:pPr>
            <w:r w:rsidRPr="000134E6">
              <w:rPr>
                <w:rFonts w:ascii="Abadi" w:hAnsi="Abadi" w:cs="Calibri"/>
                <w:sz w:val="21"/>
                <w:szCs w:val="21"/>
                <w:lang w:eastAsia="en-US"/>
              </w:rPr>
              <w:t>100(1)</w:t>
            </w:r>
          </w:p>
        </w:tc>
        <w:tc>
          <w:tcPr>
            <w:tcW w:w="1431" w:type="dxa"/>
            <w:shd w:val="clear" w:color="auto" w:fill="auto"/>
            <w:vAlign w:val="center"/>
          </w:tcPr>
          <w:p w14:paraId="20ED9970" w14:textId="77777777" w:rsidR="000134E6" w:rsidRPr="000134E6" w:rsidRDefault="000134E6" w:rsidP="000134E6">
            <w:pPr>
              <w:spacing w:after="160"/>
              <w:jc w:val="center"/>
              <w:rPr>
                <w:rFonts w:ascii="Abadi" w:hAnsi="Abadi"/>
                <w:sz w:val="21"/>
                <w:szCs w:val="21"/>
                <w:lang w:val="es-MX" w:eastAsia="en-US"/>
              </w:rPr>
            </w:pPr>
            <w:r w:rsidRPr="000134E6">
              <w:rPr>
                <w:rFonts w:ascii="Abadi" w:hAnsi="Abadi" w:cs="Calibri"/>
                <w:sz w:val="21"/>
                <w:szCs w:val="21"/>
                <w:lang w:eastAsia="en-US"/>
              </w:rPr>
              <w:t>44(2)</w:t>
            </w:r>
          </w:p>
        </w:tc>
      </w:tr>
      <w:tr w:rsidR="000134E6" w:rsidRPr="000134E6" w14:paraId="276C536B" w14:textId="77777777" w:rsidTr="004E6068">
        <w:trPr>
          <w:jc w:val="center"/>
        </w:trPr>
        <w:tc>
          <w:tcPr>
            <w:tcW w:w="1271" w:type="dxa"/>
            <w:shd w:val="clear" w:color="auto" w:fill="auto"/>
          </w:tcPr>
          <w:p w14:paraId="4251374F" w14:textId="77777777" w:rsidR="000134E6" w:rsidRPr="000134E6" w:rsidRDefault="000134E6" w:rsidP="000134E6">
            <w:pPr>
              <w:spacing w:after="160" w:line="259" w:lineRule="auto"/>
              <w:jc w:val="center"/>
              <w:rPr>
                <w:rFonts w:ascii="Abadi" w:hAnsi="Abadi"/>
                <w:b/>
                <w:sz w:val="21"/>
                <w:szCs w:val="21"/>
                <w:lang w:val="es-MX" w:eastAsia="en-US"/>
              </w:rPr>
            </w:pPr>
            <w:r w:rsidRPr="000134E6">
              <w:rPr>
                <w:rFonts w:ascii="Abadi" w:hAnsi="Abadi"/>
                <w:sz w:val="21"/>
                <w:szCs w:val="21"/>
                <w:lang w:val="es-MX" w:eastAsia="en-US"/>
              </w:rPr>
              <w:t>2020</w:t>
            </w:r>
          </w:p>
        </w:tc>
        <w:tc>
          <w:tcPr>
            <w:tcW w:w="3404" w:type="dxa"/>
            <w:shd w:val="clear" w:color="auto" w:fill="auto"/>
          </w:tcPr>
          <w:p w14:paraId="40C3991B" w14:textId="77777777" w:rsidR="000134E6" w:rsidRPr="000134E6" w:rsidRDefault="000134E6" w:rsidP="000134E6">
            <w:pPr>
              <w:spacing w:after="160" w:line="259" w:lineRule="auto"/>
              <w:jc w:val="both"/>
              <w:rPr>
                <w:rFonts w:ascii="Abadi" w:hAnsi="Abadi"/>
                <w:b/>
                <w:sz w:val="21"/>
                <w:szCs w:val="21"/>
                <w:lang w:val="es-MX" w:eastAsia="en-US"/>
              </w:rPr>
            </w:pPr>
            <w:r w:rsidRPr="000134E6">
              <w:rPr>
                <w:rFonts w:ascii="Abadi" w:hAnsi="Abadi" w:cs="Calibri"/>
                <w:sz w:val="21"/>
                <w:szCs w:val="21"/>
                <w:lang w:val="es-MX" w:eastAsia="en-US"/>
              </w:rPr>
              <w:t>Revisión de cuenta pública</w:t>
            </w:r>
          </w:p>
        </w:tc>
        <w:tc>
          <w:tcPr>
            <w:tcW w:w="1431" w:type="dxa"/>
            <w:shd w:val="clear" w:color="auto" w:fill="auto"/>
          </w:tcPr>
          <w:p w14:paraId="2AD57E9F" w14:textId="77777777" w:rsidR="000134E6" w:rsidRPr="000134E6" w:rsidRDefault="000134E6" w:rsidP="000134E6">
            <w:pPr>
              <w:spacing w:after="160" w:line="259" w:lineRule="auto"/>
              <w:jc w:val="center"/>
              <w:rPr>
                <w:rFonts w:ascii="Abadi" w:hAnsi="Abadi"/>
                <w:sz w:val="21"/>
                <w:szCs w:val="21"/>
                <w:lang w:val="es-MX" w:eastAsia="en-US"/>
              </w:rPr>
            </w:pPr>
          </w:p>
        </w:tc>
        <w:tc>
          <w:tcPr>
            <w:tcW w:w="1431" w:type="dxa"/>
            <w:shd w:val="clear" w:color="auto" w:fill="auto"/>
            <w:vAlign w:val="center"/>
          </w:tcPr>
          <w:p w14:paraId="5B675D1F" w14:textId="77777777" w:rsidR="000134E6" w:rsidRPr="000134E6" w:rsidRDefault="000134E6" w:rsidP="000134E6">
            <w:pPr>
              <w:spacing w:after="160" w:line="259" w:lineRule="auto"/>
              <w:jc w:val="center"/>
              <w:rPr>
                <w:rFonts w:ascii="Abadi" w:hAnsi="Abadi"/>
                <w:sz w:val="21"/>
                <w:szCs w:val="21"/>
                <w:lang w:val="es-MX" w:eastAsia="en-US"/>
              </w:rPr>
            </w:pPr>
          </w:p>
        </w:tc>
      </w:tr>
      <w:tr w:rsidR="000134E6" w:rsidRPr="000134E6" w14:paraId="34FDBC3F" w14:textId="77777777" w:rsidTr="004E6068">
        <w:trPr>
          <w:jc w:val="center"/>
        </w:trPr>
        <w:tc>
          <w:tcPr>
            <w:tcW w:w="1271" w:type="dxa"/>
            <w:shd w:val="clear" w:color="auto" w:fill="auto"/>
          </w:tcPr>
          <w:p w14:paraId="01C8EB98" w14:textId="77777777" w:rsidR="000134E6" w:rsidRPr="000134E6" w:rsidRDefault="000134E6" w:rsidP="000134E6">
            <w:pPr>
              <w:spacing w:after="160" w:line="259" w:lineRule="auto"/>
              <w:jc w:val="center"/>
              <w:rPr>
                <w:rFonts w:ascii="Abadi" w:hAnsi="Abadi"/>
                <w:b/>
                <w:sz w:val="21"/>
                <w:szCs w:val="21"/>
                <w:lang w:val="es-MX" w:eastAsia="en-US"/>
              </w:rPr>
            </w:pPr>
          </w:p>
        </w:tc>
        <w:tc>
          <w:tcPr>
            <w:tcW w:w="3404" w:type="dxa"/>
            <w:shd w:val="clear" w:color="auto" w:fill="auto"/>
          </w:tcPr>
          <w:p w14:paraId="1402D0C8" w14:textId="77777777" w:rsidR="000134E6" w:rsidRPr="000134E6" w:rsidRDefault="000134E6" w:rsidP="000134E6">
            <w:pPr>
              <w:spacing w:after="160" w:line="259" w:lineRule="auto"/>
              <w:jc w:val="both"/>
              <w:rPr>
                <w:rFonts w:ascii="Abadi" w:hAnsi="Abadi"/>
                <w:b/>
                <w:sz w:val="21"/>
                <w:szCs w:val="21"/>
                <w:lang w:val="es-MX" w:eastAsia="en-US"/>
              </w:rPr>
            </w:pPr>
            <w:r w:rsidRPr="000134E6">
              <w:rPr>
                <w:rFonts w:ascii="Abadi" w:hAnsi="Abadi" w:cs="Calibri"/>
                <w:sz w:val="21"/>
                <w:szCs w:val="21"/>
                <w:lang w:val="es-MX" w:eastAsia="en-US"/>
              </w:rPr>
              <w:t>Sector central</w:t>
            </w:r>
          </w:p>
        </w:tc>
        <w:tc>
          <w:tcPr>
            <w:tcW w:w="1431" w:type="dxa"/>
            <w:shd w:val="clear" w:color="auto" w:fill="auto"/>
          </w:tcPr>
          <w:p w14:paraId="4B1042BA" w14:textId="77777777" w:rsidR="000134E6" w:rsidRPr="000134E6" w:rsidRDefault="000134E6" w:rsidP="000134E6">
            <w:pPr>
              <w:spacing w:after="160" w:line="259" w:lineRule="auto"/>
              <w:jc w:val="center"/>
              <w:rPr>
                <w:rFonts w:ascii="Abadi" w:hAnsi="Abadi"/>
                <w:sz w:val="21"/>
                <w:szCs w:val="21"/>
                <w:lang w:val="es-MX" w:eastAsia="en-US"/>
              </w:rPr>
            </w:pPr>
            <w:r w:rsidRPr="000134E6">
              <w:rPr>
                <w:rFonts w:ascii="Abadi" w:hAnsi="Abadi" w:cs="Calibri"/>
                <w:sz w:val="21"/>
                <w:szCs w:val="21"/>
                <w:lang w:eastAsia="en-US"/>
              </w:rPr>
              <w:t>67</w:t>
            </w:r>
          </w:p>
        </w:tc>
        <w:tc>
          <w:tcPr>
            <w:tcW w:w="1431" w:type="dxa"/>
            <w:shd w:val="clear" w:color="auto" w:fill="auto"/>
            <w:vAlign w:val="center"/>
          </w:tcPr>
          <w:p w14:paraId="49DCC1A5" w14:textId="77777777" w:rsidR="000134E6" w:rsidRPr="000134E6" w:rsidRDefault="000134E6" w:rsidP="000134E6">
            <w:pPr>
              <w:spacing w:after="160" w:line="259" w:lineRule="auto"/>
              <w:jc w:val="center"/>
              <w:rPr>
                <w:rFonts w:ascii="Abadi" w:hAnsi="Abadi"/>
                <w:sz w:val="21"/>
                <w:szCs w:val="21"/>
                <w:lang w:val="es-MX" w:eastAsia="en-US"/>
              </w:rPr>
            </w:pPr>
            <w:r w:rsidRPr="000134E6">
              <w:rPr>
                <w:rFonts w:ascii="Abadi" w:hAnsi="Abadi" w:cs="Calibri"/>
                <w:sz w:val="21"/>
                <w:szCs w:val="21"/>
                <w:lang w:eastAsia="en-US"/>
              </w:rPr>
              <w:t>62</w:t>
            </w:r>
          </w:p>
        </w:tc>
      </w:tr>
      <w:tr w:rsidR="000134E6" w:rsidRPr="000134E6" w14:paraId="6F1C5AB7" w14:textId="77777777" w:rsidTr="004E6068">
        <w:trPr>
          <w:jc w:val="center"/>
        </w:trPr>
        <w:tc>
          <w:tcPr>
            <w:tcW w:w="1271" w:type="dxa"/>
            <w:shd w:val="clear" w:color="auto" w:fill="auto"/>
          </w:tcPr>
          <w:p w14:paraId="052B868C" w14:textId="77777777" w:rsidR="000134E6" w:rsidRPr="000134E6" w:rsidRDefault="000134E6" w:rsidP="000134E6">
            <w:pPr>
              <w:spacing w:after="160" w:line="259" w:lineRule="auto"/>
              <w:jc w:val="center"/>
              <w:rPr>
                <w:rFonts w:ascii="Abadi" w:hAnsi="Abadi"/>
                <w:bCs/>
                <w:sz w:val="21"/>
                <w:szCs w:val="21"/>
                <w:lang w:val="es-MX" w:eastAsia="en-US"/>
              </w:rPr>
            </w:pPr>
            <w:r w:rsidRPr="000134E6">
              <w:rPr>
                <w:rFonts w:ascii="Abadi" w:hAnsi="Abadi"/>
                <w:sz w:val="21"/>
                <w:szCs w:val="21"/>
                <w:lang w:val="es-MX" w:eastAsia="en-US"/>
              </w:rPr>
              <w:t>2021</w:t>
            </w:r>
          </w:p>
        </w:tc>
        <w:tc>
          <w:tcPr>
            <w:tcW w:w="3404" w:type="dxa"/>
            <w:shd w:val="clear" w:color="auto" w:fill="auto"/>
          </w:tcPr>
          <w:p w14:paraId="71D54B2C" w14:textId="77777777" w:rsidR="000134E6" w:rsidRPr="000134E6" w:rsidRDefault="000134E6" w:rsidP="000134E6">
            <w:pPr>
              <w:spacing w:after="160" w:line="259" w:lineRule="auto"/>
              <w:jc w:val="both"/>
              <w:rPr>
                <w:rFonts w:ascii="Abadi" w:hAnsi="Abadi"/>
                <w:bCs/>
                <w:sz w:val="21"/>
                <w:szCs w:val="21"/>
                <w:lang w:val="es-MX" w:eastAsia="en-US"/>
              </w:rPr>
            </w:pPr>
            <w:r w:rsidRPr="000134E6">
              <w:rPr>
                <w:rFonts w:ascii="Abadi" w:hAnsi="Abadi"/>
                <w:sz w:val="21"/>
                <w:szCs w:val="21"/>
                <w:lang w:val="es-MX" w:eastAsia="en-US"/>
              </w:rPr>
              <w:t>Auditoria a la infraestructura pública municipal</w:t>
            </w:r>
          </w:p>
        </w:tc>
        <w:tc>
          <w:tcPr>
            <w:tcW w:w="1431" w:type="dxa"/>
            <w:shd w:val="clear" w:color="auto" w:fill="auto"/>
            <w:vAlign w:val="center"/>
          </w:tcPr>
          <w:p w14:paraId="1EB1DE88" w14:textId="77777777" w:rsidR="000134E6" w:rsidRPr="000134E6" w:rsidRDefault="000134E6" w:rsidP="000134E6">
            <w:pPr>
              <w:spacing w:after="160" w:line="259" w:lineRule="auto"/>
              <w:jc w:val="center"/>
              <w:rPr>
                <w:rFonts w:ascii="Abadi" w:hAnsi="Abadi"/>
                <w:sz w:val="21"/>
                <w:szCs w:val="21"/>
                <w:lang w:val="es-MX" w:eastAsia="en-US"/>
              </w:rPr>
            </w:pPr>
            <w:r w:rsidRPr="000134E6">
              <w:rPr>
                <w:rFonts w:ascii="Abadi" w:hAnsi="Abadi"/>
                <w:bCs/>
                <w:sz w:val="21"/>
                <w:szCs w:val="21"/>
                <w:lang w:val="es-MX" w:eastAsia="en-US"/>
              </w:rPr>
              <w:t>Por iniciar</w:t>
            </w:r>
          </w:p>
        </w:tc>
        <w:tc>
          <w:tcPr>
            <w:tcW w:w="1431" w:type="dxa"/>
            <w:shd w:val="clear" w:color="auto" w:fill="auto"/>
            <w:vAlign w:val="center"/>
          </w:tcPr>
          <w:p w14:paraId="28B2D183" w14:textId="77777777" w:rsidR="000134E6" w:rsidRPr="000134E6" w:rsidRDefault="000134E6" w:rsidP="000134E6">
            <w:pPr>
              <w:spacing w:after="160" w:line="259" w:lineRule="auto"/>
              <w:jc w:val="center"/>
              <w:rPr>
                <w:rFonts w:ascii="Abadi" w:hAnsi="Abadi"/>
                <w:sz w:val="21"/>
                <w:szCs w:val="21"/>
                <w:lang w:val="es-MX" w:eastAsia="en-US"/>
              </w:rPr>
            </w:pPr>
            <w:r w:rsidRPr="000134E6">
              <w:rPr>
                <w:rFonts w:ascii="Abadi" w:hAnsi="Abadi"/>
                <w:bCs/>
                <w:sz w:val="21"/>
                <w:szCs w:val="21"/>
                <w:lang w:val="es-MX" w:eastAsia="en-US"/>
              </w:rPr>
              <w:t>Por iniciar</w:t>
            </w:r>
          </w:p>
        </w:tc>
      </w:tr>
      <w:tr w:rsidR="000134E6" w:rsidRPr="000134E6" w14:paraId="424FE72A" w14:textId="77777777" w:rsidTr="004E6068">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DD10D4D" w14:textId="77777777" w:rsidR="000134E6" w:rsidRPr="000134E6" w:rsidRDefault="000134E6" w:rsidP="000134E6">
            <w:pPr>
              <w:spacing w:after="160" w:line="259" w:lineRule="auto"/>
              <w:jc w:val="center"/>
              <w:rPr>
                <w:rFonts w:ascii="Abadi" w:hAnsi="Abadi"/>
                <w:bCs/>
                <w:sz w:val="21"/>
                <w:szCs w:val="21"/>
                <w:lang w:val="es-MX" w:eastAsia="en-US"/>
              </w:rPr>
            </w:pPr>
            <w:r w:rsidRPr="000134E6">
              <w:rPr>
                <w:rFonts w:ascii="Abadi" w:hAnsi="Abadi"/>
                <w:sz w:val="21"/>
                <w:szCs w:val="21"/>
                <w:lang w:val="es-MX" w:eastAsia="en-US"/>
              </w:rPr>
              <w:t>2021</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47F80F53" w14:textId="77777777" w:rsidR="000134E6" w:rsidRPr="000134E6" w:rsidRDefault="000134E6" w:rsidP="000134E6">
            <w:pPr>
              <w:spacing w:after="160" w:line="259" w:lineRule="auto"/>
              <w:jc w:val="both"/>
              <w:rPr>
                <w:rFonts w:ascii="Abadi" w:hAnsi="Abadi"/>
                <w:bCs/>
                <w:sz w:val="21"/>
                <w:szCs w:val="21"/>
                <w:lang w:val="es-MX" w:eastAsia="en-US"/>
              </w:rPr>
            </w:pPr>
            <w:r w:rsidRPr="000134E6">
              <w:rPr>
                <w:rFonts w:ascii="Abadi" w:hAnsi="Abadi" w:cs="Calibri"/>
                <w:sz w:val="21"/>
                <w:szCs w:val="21"/>
                <w:lang w:val="es-MX" w:eastAsia="en-US"/>
              </w:rPr>
              <w:t>Revisión de cuenta pública y auditoría de infraestructura pública</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1270C084" w14:textId="77777777" w:rsidR="000134E6" w:rsidRPr="000134E6" w:rsidRDefault="000134E6" w:rsidP="000134E6">
            <w:pPr>
              <w:spacing w:after="160" w:line="259" w:lineRule="auto"/>
              <w:jc w:val="center"/>
              <w:rPr>
                <w:rFonts w:ascii="Abadi" w:hAnsi="Abadi"/>
                <w:sz w:val="21"/>
                <w:szCs w:val="21"/>
                <w:lang w:val="es-MX" w:eastAsia="en-US"/>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0A9647DF" w14:textId="77777777" w:rsidR="000134E6" w:rsidRPr="000134E6" w:rsidRDefault="000134E6" w:rsidP="000134E6">
            <w:pPr>
              <w:spacing w:after="160" w:line="259" w:lineRule="auto"/>
              <w:jc w:val="center"/>
              <w:rPr>
                <w:rFonts w:ascii="Abadi" w:hAnsi="Abadi"/>
                <w:sz w:val="21"/>
                <w:szCs w:val="21"/>
                <w:lang w:val="es-MX" w:eastAsia="en-US"/>
              </w:rPr>
            </w:pPr>
          </w:p>
        </w:tc>
      </w:tr>
      <w:tr w:rsidR="000134E6" w:rsidRPr="000134E6" w14:paraId="1C62CFA1" w14:textId="77777777" w:rsidTr="004E6068">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0E641618" w14:textId="77777777" w:rsidR="000134E6" w:rsidRPr="000134E6" w:rsidRDefault="000134E6" w:rsidP="000134E6">
            <w:pPr>
              <w:spacing w:after="160" w:line="259" w:lineRule="auto"/>
              <w:jc w:val="center"/>
              <w:rPr>
                <w:rFonts w:ascii="Abadi" w:hAnsi="Abadi"/>
                <w:bCs/>
                <w:sz w:val="21"/>
                <w:szCs w:val="21"/>
                <w:lang w:val="es-MX" w:eastAsia="en-US"/>
              </w:rPr>
            </w:pP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30B05669" w14:textId="77777777" w:rsidR="000134E6" w:rsidRPr="000134E6" w:rsidRDefault="000134E6" w:rsidP="000134E6">
            <w:pPr>
              <w:spacing w:after="160" w:line="259" w:lineRule="auto"/>
              <w:jc w:val="both"/>
              <w:rPr>
                <w:rFonts w:ascii="Abadi" w:hAnsi="Abadi"/>
                <w:bCs/>
                <w:sz w:val="21"/>
                <w:szCs w:val="21"/>
                <w:lang w:val="es-MX" w:eastAsia="en-US"/>
              </w:rPr>
            </w:pPr>
            <w:r w:rsidRPr="000134E6">
              <w:rPr>
                <w:rFonts w:ascii="Abadi" w:hAnsi="Abadi" w:cs="Calibri"/>
                <w:sz w:val="21"/>
                <w:szCs w:val="21"/>
                <w:lang w:val="es-MX" w:eastAsia="en-US"/>
              </w:rPr>
              <w:t>En etapa de análisis de información financiera del periodo de enero a junio y julio a diciembre de 2021</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77EFBCC1" w14:textId="77777777" w:rsidR="000134E6" w:rsidRPr="000134E6" w:rsidRDefault="000134E6" w:rsidP="000134E6">
            <w:pPr>
              <w:spacing w:after="160" w:line="259" w:lineRule="auto"/>
              <w:jc w:val="center"/>
              <w:rPr>
                <w:rFonts w:ascii="Abadi" w:hAnsi="Abadi"/>
                <w:sz w:val="21"/>
                <w:szCs w:val="21"/>
                <w:lang w:val="es-MX" w:eastAsia="en-US"/>
              </w:rPr>
            </w:pPr>
            <w:r w:rsidRPr="000134E6">
              <w:rPr>
                <w:rFonts w:ascii="Abadi" w:hAnsi="Abadi" w:cs="Calibri"/>
                <w:sz w:val="21"/>
                <w:szCs w:val="21"/>
                <w:lang w:eastAsia="en-US"/>
              </w:rPr>
              <w:t>En Proceso</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4329244F" w14:textId="77777777" w:rsidR="000134E6" w:rsidRPr="000134E6" w:rsidRDefault="000134E6" w:rsidP="000134E6">
            <w:pPr>
              <w:spacing w:after="160" w:line="259" w:lineRule="auto"/>
              <w:jc w:val="center"/>
              <w:rPr>
                <w:rFonts w:ascii="Abadi" w:hAnsi="Abadi"/>
                <w:sz w:val="21"/>
                <w:szCs w:val="21"/>
                <w:lang w:val="es-MX" w:eastAsia="en-US"/>
              </w:rPr>
            </w:pPr>
            <w:r w:rsidRPr="000134E6">
              <w:rPr>
                <w:rFonts w:ascii="Abadi" w:hAnsi="Abadi"/>
                <w:sz w:val="21"/>
                <w:szCs w:val="21"/>
                <w:lang w:val="es-MX" w:eastAsia="en-US"/>
              </w:rPr>
              <w:t>En Proceso</w:t>
            </w:r>
          </w:p>
        </w:tc>
      </w:tr>
    </w:tbl>
    <w:p w14:paraId="15C420AB" w14:textId="77777777" w:rsidR="000134E6" w:rsidRPr="000134E6" w:rsidRDefault="000134E6" w:rsidP="000134E6">
      <w:pPr>
        <w:spacing w:after="160" w:line="259" w:lineRule="auto"/>
        <w:rPr>
          <w:rFonts w:ascii="Abadi" w:hAnsi="Abadi"/>
          <w:b/>
          <w:bCs/>
          <w:sz w:val="21"/>
          <w:szCs w:val="21"/>
          <w:lang w:val="es-MX" w:eastAsia="en-US"/>
        </w:rPr>
      </w:pPr>
    </w:p>
    <w:p w14:paraId="2025F70C" w14:textId="77777777" w:rsidR="000134E6" w:rsidRPr="000134E6" w:rsidRDefault="000134E6" w:rsidP="000134E6">
      <w:pPr>
        <w:spacing w:after="160" w:line="259" w:lineRule="auto"/>
        <w:rPr>
          <w:rFonts w:ascii="Abadi" w:hAnsi="Abadi"/>
          <w:b/>
          <w:bCs/>
          <w:sz w:val="21"/>
          <w:szCs w:val="21"/>
          <w:lang w:val="es-MX" w:eastAsia="en-US"/>
        </w:rPr>
      </w:pPr>
      <w:r w:rsidRPr="000134E6">
        <w:rPr>
          <w:rFonts w:ascii="Abadi" w:hAnsi="Abadi"/>
          <w:b/>
          <w:bCs/>
          <w:sz w:val="21"/>
          <w:szCs w:val="21"/>
          <w:lang w:val="es-MX" w:eastAsia="en-US"/>
        </w:rPr>
        <w:t>Notas:</w:t>
      </w:r>
    </w:p>
    <w:p w14:paraId="6B83404D" w14:textId="77777777" w:rsidR="000134E6" w:rsidRPr="000134E6" w:rsidRDefault="000134E6" w:rsidP="001A28E5">
      <w:pPr>
        <w:numPr>
          <w:ilvl w:val="0"/>
          <w:numId w:val="65"/>
        </w:numPr>
        <w:spacing w:after="160" w:line="259" w:lineRule="auto"/>
        <w:contextualSpacing/>
        <w:rPr>
          <w:rFonts w:ascii="Abadi" w:hAnsi="Abadi"/>
          <w:sz w:val="21"/>
          <w:szCs w:val="21"/>
          <w:lang w:val="es-MX" w:eastAsia="en-US"/>
        </w:rPr>
      </w:pPr>
      <w:r w:rsidRPr="000134E6">
        <w:rPr>
          <w:rFonts w:ascii="Abadi" w:hAnsi="Abadi"/>
          <w:sz w:val="21"/>
          <w:szCs w:val="21"/>
          <w:lang w:val="es-MX" w:eastAsia="en-US"/>
        </w:rPr>
        <w:t>De los recursos del Fondo de Infraestructura Social Municipal.</w:t>
      </w:r>
    </w:p>
    <w:p w14:paraId="2546CBFA" w14:textId="77777777" w:rsidR="000134E6" w:rsidRPr="000134E6" w:rsidRDefault="000134E6" w:rsidP="001A28E5">
      <w:pPr>
        <w:numPr>
          <w:ilvl w:val="0"/>
          <w:numId w:val="65"/>
        </w:numPr>
        <w:spacing w:after="160" w:line="259" w:lineRule="auto"/>
        <w:contextualSpacing/>
        <w:rPr>
          <w:rFonts w:ascii="Abadi" w:hAnsi="Abadi"/>
          <w:sz w:val="21"/>
          <w:szCs w:val="21"/>
          <w:lang w:val="es-MX" w:eastAsia="en-US"/>
        </w:rPr>
      </w:pPr>
      <w:r w:rsidRPr="000134E6">
        <w:rPr>
          <w:rFonts w:ascii="Abadi" w:hAnsi="Abadi"/>
          <w:sz w:val="21"/>
          <w:szCs w:val="21"/>
          <w:lang w:val="es-MX" w:eastAsia="en-US"/>
        </w:rPr>
        <w:t>De los recursos devengados en obra pública.</w:t>
      </w:r>
    </w:p>
    <w:p w14:paraId="280BEEFE" w14:textId="77777777" w:rsidR="000134E6" w:rsidRPr="000134E6" w:rsidRDefault="000134E6" w:rsidP="000134E6">
      <w:pPr>
        <w:spacing w:after="160" w:line="259" w:lineRule="auto"/>
        <w:ind w:left="720"/>
        <w:contextualSpacing/>
        <w:rPr>
          <w:rFonts w:ascii="Abadi" w:hAnsi="Abadi"/>
          <w:sz w:val="21"/>
          <w:szCs w:val="21"/>
          <w:lang w:val="es-MX" w:eastAsia="en-US"/>
        </w:rPr>
      </w:pPr>
    </w:p>
    <w:p w14:paraId="6CDC5073" w14:textId="77777777" w:rsidR="000134E6" w:rsidRPr="000134E6" w:rsidRDefault="000134E6" w:rsidP="000134E6">
      <w:pPr>
        <w:spacing w:line="259" w:lineRule="auto"/>
        <w:ind w:firstLine="720"/>
        <w:jc w:val="both"/>
        <w:rPr>
          <w:rFonts w:ascii="Abadi" w:hAnsi="Abadi" w:cs="Tahoma"/>
          <w:sz w:val="21"/>
          <w:szCs w:val="21"/>
          <w:lang w:val="es-MX" w:eastAsia="en-US"/>
        </w:rPr>
      </w:pPr>
      <w:r w:rsidRPr="000134E6">
        <w:rPr>
          <w:rFonts w:ascii="Abadi" w:hAnsi="Abadi" w:cs="Tahoma"/>
          <w:sz w:val="21"/>
          <w:szCs w:val="21"/>
          <w:lang w:val="es-MX" w:eastAsia="en-US"/>
        </w:rPr>
        <w:t>De acuerdo a la información proporcionada por la Auditoría Superior del Estado para la realización de los procesos de fiscalización se determinan con base en los riesgos identificados durante la etapa de planeación. Los análisis realizados en la planeación están vinculados con la generalidad del sujeto de fiscalización, con los sistemas transaccionales, de control interno, de materialidad presupuestal, de visibilidad y relevancia, así como de posibles riesgos asociados, entre los que destacan: Actas de órgano de gobierno y adquisiciones, notas periodísticas, publicaciones en el Periódico Oficial de Gobierno del Estado, análisis de demandas, informes de auditoría emitidos por órganos internos de control, auditorías externas y realizadas por la propia Auditoría Superior del Estado, sistemas transaccionales (tesorería, ingresos, bienes muebles e inmuebles, servicios personales, ayudas y subsidios, deuda, entre otros); variaciones presupuestales, saldos de cuenta de balance y resultados, bancos, proveedores y contratistas, enajenación y adquisición de bienes muebles e inmuebles y procesamiento de CFDI (XML).</w:t>
      </w:r>
    </w:p>
    <w:p w14:paraId="5B07453C" w14:textId="77777777" w:rsidR="000134E6" w:rsidRPr="000134E6" w:rsidRDefault="000134E6" w:rsidP="000134E6">
      <w:pPr>
        <w:spacing w:line="259" w:lineRule="auto"/>
        <w:ind w:firstLine="720"/>
        <w:jc w:val="both"/>
        <w:rPr>
          <w:rFonts w:ascii="Abadi" w:hAnsi="Abadi" w:cs="Tahoma"/>
          <w:sz w:val="21"/>
          <w:szCs w:val="21"/>
          <w:lang w:val="es-MX" w:eastAsia="en-US"/>
        </w:rPr>
      </w:pPr>
    </w:p>
    <w:p w14:paraId="40F7F992" w14:textId="77777777" w:rsidR="000134E6" w:rsidRPr="000134E6" w:rsidRDefault="000134E6" w:rsidP="000134E6">
      <w:pPr>
        <w:spacing w:line="259" w:lineRule="auto"/>
        <w:ind w:firstLine="720"/>
        <w:jc w:val="both"/>
        <w:rPr>
          <w:rFonts w:ascii="Abadi" w:hAnsi="Abadi" w:cs="Tahoma"/>
          <w:sz w:val="21"/>
          <w:szCs w:val="21"/>
          <w:lang w:val="es-MX" w:eastAsia="en-US"/>
        </w:rPr>
      </w:pPr>
      <w:r w:rsidRPr="000134E6">
        <w:rPr>
          <w:rFonts w:ascii="Abadi" w:hAnsi="Abadi" w:cs="Tahoma"/>
          <w:sz w:val="21"/>
          <w:szCs w:val="21"/>
          <w:lang w:val="es-MX" w:eastAsia="en-US"/>
        </w:rPr>
        <w:t xml:space="preserve">El alcance y procedimientos referidos forman parte de los análisis que realiza la Auditoría Superior del Estado para efecto de determinar la materialidad y la extensión de los procedimientos de auditoría a aplicar en la etapa de ejecución, situación por la cual, los alcances establecidos en los respectivos informes de resultados se complementan con los procedimientos de planeación específica, mismos que forman parte integral del análisis que realiza dicho ente auditor. </w:t>
      </w:r>
    </w:p>
    <w:p w14:paraId="042E29AA" w14:textId="77777777" w:rsidR="000134E6" w:rsidRPr="000134E6" w:rsidRDefault="000134E6" w:rsidP="000134E6">
      <w:pPr>
        <w:spacing w:line="259" w:lineRule="auto"/>
        <w:ind w:firstLine="720"/>
        <w:jc w:val="both"/>
        <w:rPr>
          <w:rFonts w:ascii="Abadi" w:hAnsi="Abadi" w:cs="Tahoma"/>
          <w:sz w:val="21"/>
          <w:szCs w:val="21"/>
          <w:lang w:val="es-MX" w:eastAsia="en-US"/>
        </w:rPr>
      </w:pPr>
    </w:p>
    <w:p w14:paraId="147BEC9D" w14:textId="35D3EDEF" w:rsidR="000134E6" w:rsidRPr="000134E6" w:rsidRDefault="000134E6" w:rsidP="000134E6">
      <w:pPr>
        <w:spacing w:after="160" w:line="259" w:lineRule="auto"/>
        <w:ind w:firstLine="708"/>
        <w:jc w:val="both"/>
        <w:rPr>
          <w:rFonts w:ascii="Abadi" w:hAnsi="Abadi" w:cs="Tahoma"/>
          <w:sz w:val="21"/>
          <w:szCs w:val="21"/>
          <w:lang w:val="es-MX" w:eastAsia="en-US"/>
        </w:rPr>
      </w:pPr>
      <w:r w:rsidRPr="000134E6">
        <w:rPr>
          <w:rFonts w:ascii="Abadi" w:hAnsi="Abadi" w:cs="Calibri"/>
          <w:sz w:val="21"/>
          <w:szCs w:val="21"/>
          <w:lang w:val="es-MX" w:eastAsia="en-US"/>
        </w:rPr>
        <w:t>En la auditoría practicada al Ramo General 33 y Obra Pública del ejercicio fiscal 2019 se revisaron 25 obras y en la auditoría realizada a la infraestructura pública municipal del ejercicio fiscal 2020 se revisaron 20 obras, en las que se verificó que las inversiones en obra pública se hayan realizado de conformidad con las leyes, normas, reglamentos y demás disposiciones legales que la regulan; que los presupuestos considerados para la ejecución de las obras se hayan aplicado correctamente, y que las modificaciones ocurridas se justifiquen mediante los convenios correspondientes; que la adjudicación y contratación de la obra pública, se hayan realizado con estricto apego a lo dispuesto en la legislación vigente y que no existiera conflicto de interés entre los contratistas y los funcionarios públicos que decidieron las adjudicaciones; que los sistemas de control interno, operativo y contable que regulan la función, aseguren la protección de los recursos y su efectiva utilización, la calidad de los trabajos, la razonabilidad de los costos y la confiabilidad de la información en la ejecución de la obra pública; y que los contratistas hayan cumplido con las cláusulas contractuales, las especificaciones de obra, los procedimientos de construcción y la calendarización de los trabajos.</w:t>
      </w:r>
    </w:p>
    <w:p w14:paraId="7130F250" w14:textId="77777777" w:rsidR="000134E6" w:rsidRPr="000134E6" w:rsidRDefault="000134E6" w:rsidP="000134E6">
      <w:pPr>
        <w:ind w:firstLine="720"/>
        <w:jc w:val="both"/>
        <w:rPr>
          <w:rFonts w:ascii="Abadi" w:hAnsi="Abadi" w:cs="Tahoma"/>
          <w:sz w:val="21"/>
          <w:szCs w:val="21"/>
          <w:lang w:val="es-MX" w:eastAsia="en-US"/>
        </w:rPr>
      </w:pPr>
      <w:r w:rsidRPr="000134E6">
        <w:rPr>
          <w:rFonts w:ascii="Abadi" w:hAnsi="Abadi" w:cs="Tahoma"/>
          <w:sz w:val="21"/>
          <w:szCs w:val="21"/>
          <w:lang w:val="es-MX" w:eastAsia="en-US"/>
        </w:rPr>
        <w:t>Destacando que en las referidas auditorías se contempló la revisión de una muestra de las obras y acciones ejercidas por la administración municipal en los periodos auditados, las cuales se determinaron con base en una planeación basada en riesgos, entre cuyos análisis se contemplan los temas de interés de la sociedad reflejados en notas periodísticas y el interés parlamentario, entre otros. De igual forma, a las obras de la muestra de auditoría se les aplicaron los procedimientos señalados previamente y derivado de las consideraciones de las y los proponentes no se identificaron riesgos específicos relacionados a obra pública.</w:t>
      </w:r>
    </w:p>
    <w:p w14:paraId="7DCCD880" w14:textId="77777777" w:rsidR="000134E6" w:rsidRPr="000134E6" w:rsidRDefault="000134E6" w:rsidP="000134E6">
      <w:pPr>
        <w:spacing w:line="259" w:lineRule="auto"/>
        <w:ind w:firstLine="720"/>
        <w:jc w:val="both"/>
        <w:rPr>
          <w:rFonts w:ascii="Abadi" w:hAnsi="Abadi" w:cs="Tahoma"/>
          <w:sz w:val="21"/>
          <w:szCs w:val="21"/>
          <w:lang w:val="es-MX" w:eastAsia="en-US"/>
        </w:rPr>
      </w:pPr>
    </w:p>
    <w:p w14:paraId="369AA701" w14:textId="77777777" w:rsidR="000134E6" w:rsidRPr="000134E6" w:rsidRDefault="000134E6" w:rsidP="000134E6">
      <w:pPr>
        <w:spacing w:after="160" w:line="259" w:lineRule="auto"/>
        <w:ind w:firstLine="720"/>
        <w:jc w:val="both"/>
        <w:rPr>
          <w:rFonts w:ascii="Abadi" w:hAnsi="Abadi" w:cs="Tahoma"/>
          <w:sz w:val="21"/>
          <w:szCs w:val="21"/>
          <w:lang w:val="es-MX" w:eastAsia="en-US"/>
        </w:rPr>
      </w:pPr>
      <w:r w:rsidRPr="000134E6">
        <w:rPr>
          <w:rFonts w:ascii="Abadi" w:hAnsi="Abadi" w:cs="Tahoma"/>
          <w:sz w:val="21"/>
          <w:szCs w:val="21"/>
          <w:lang w:val="es-MX" w:eastAsia="en-US"/>
        </w:rPr>
        <w:t>Por lo que hace a la revisión de la cuenta pública correspondiente al ejercicio fiscal del año 2019 se revisaron los siguientes rubros:</w:t>
      </w:r>
    </w:p>
    <w:p w14:paraId="6605989E" w14:textId="77777777" w:rsidR="000134E6" w:rsidRPr="000134E6" w:rsidRDefault="000134E6" w:rsidP="000134E6">
      <w:pPr>
        <w:spacing w:after="160" w:line="259" w:lineRule="auto"/>
        <w:ind w:left="360" w:firstLine="708"/>
        <w:rPr>
          <w:rFonts w:ascii="Abadi" w:hAnsi="Abadi"/>
          <w:b/>
          <w:bCs/>
          <w:sz w:val="21"/>
          <w:szCs w:val="21"/>
          <w:lang w:val="es-MX" w:eastAsia="en-US"/>
        </w:rPr>
      </w:pPr>
      <w:r w:rsidRPr="000134E6">
        <w:rPr>
          <w:rFonts w:ascii="Abadi" w:hAnsi="Abadi"/>
          <w:b/>
          <w:bCs/>
          <w:sz w:val="21"/>
          <w:szCs w:val="21"/>
          <w:lang w:val="es-MX" w:eastAsia="en-US"/>
        </w:rPr>
        <w:t>Sector Central:</w:t>
      </w:r>
    </w:p>
    <w:p w14:paraId="7FBCDBA2" w14:textId="77777777" w:rsidR="000134E6" w:rsidRPr="000134E6" w:rsidRDefault="000134E6" w:rsidP="001A28E5">
      <w:pPr>
        <w:numPr>
          <w:ilvl w:val="0"/>
          <w:numId w:val="42"/>
        </w:numPr>
        <w:spacing w:after="160" w:line="259" w:lineRule="auto"/>
        <w:contextualSpacing/>
        <w:jc w:val="both"/>
        <w:rPr>
          <w:rFonts w:ascii="Abadi" w:hAnsi="Abadi"/>
          <w:sz w:val="21"/>
          <w:szCs w:val="21"/>
          <w:lang w:val="es-MX" w:eastAsia="es-MX"/>
        </w:rPr>
      </w:pPr>
      <w:r w:rsidRPr="000134E6">
        <w:rPr>
          <w:rFonts w:ascii="Abadi" w:hAnsi="Abadi"/>
          <w:b/>
          <w:bCs/>
          <w:sz w:val="21"/>
          <w:szCs w:val="21"/>
          <w:u w:val="single"/>
          <w:lang w:val="es-MX" w:eastAsia="es-MX"/>
        </w:rPr>
        <w:t>Activo:</w:t>
      </w:r>
      <w:r w:rsidRPr="000134E6">
        <w:rPr>
          <w:rFonts w:ascii="Abadi" w:hAnsi="Abadi"/>
          <w:sz w:val="21"/>
          <w:szCs w:val="21"/>
          <w:lang w:val="es-MX" w:eastAsia="es-MX"/>
        </w:rPr>
        <w:t xml:space="preserve"> Gastos por comprobar, adquisiciones de</w:t>
      </w:r>
      <w:r w:rsidRPr="000134E6">
        <w:rPr>
          <w:rFonts w:ascii="Abadi" w:hAnsi="Abadi" w:cs="Calibri"/>
          <w:sz w:val="21"/>
          <w:szCs w:val="21"/>
          <w:lang w:val="es-MX" w:eastAsia="es-MX"/>
        </w:rPr>
        <w:t xml:space="preserve"> </w:t>
      </w:r>
      <w:r w:rsidRPr="000134E6">
        <w:rPr>
          <w:rFonts w:ascii="Abadi" w:hAnsi="Abadi" w:cs="Calibri"/>
          <w:sz w:val="21"/>
          <w:szCs w:val="21"/>
        </w:rPr>
        <w:t>automóviles y camiones*, computadoras y equipo periférico</w:t>
      </w:r>
      <w:r w:rsidRPr="000134E6">
        <w:rPr>
          <w:rFonts w:ascii="Abadi" w:hAnsi="Abadi" w:cs="Calibri"/>
          <w:sz w:val="21"/>
          <w:szCs w:val="21"/>
          <w:lang w:val="es-MX" w:eastAsia="es-MX"/>
        </w:rPr>
        <w:t xml:space="preserve"> y muebles de oficina.</w:t>
      </w:r>
    </w:p>
    <w:p w14:paraId="66FDD509" w14:textId="77777777" w:rsidR="000134E6" w:rsidRDefault="000134E6" w:rsidP="000134E6">
      <w:pPr>
        <w:spacing w:after="160" w:line="259" w:lineRule="auto"/>
        <w:ind w:left="720"/>
        <w:contextualSpacing/>
        <w:jc w:val="both"/>
        <w:rPr>
          <w:rFonts w:ascii="Abadi" w:hAnsi="Abadi"/>
          <w:sz w:val="21"/>
          <w:szCs w:val="21"/>
          <w:lang w:val="es-MX" w:eastAsia="es-MX"/>
        </w:rPr>
      </w:pPr>
    </w:p>
    <w:p w14:paraId="0B42C7D2" w14:textId="5383165D" w:rsidR="000134E6" w:rsidRDefault="000134E6" w:rsidP="000134E6">
      <w:pPr>
        <w:spacing w:after="160" w:line="259" w:lineRule="auto"/>
        <w:ind w:left="720"/>
        <w:contextualSpacing/>
        <w:jc w:val="both"/>
        <w:rPr>
          <w:rFonts w:ascii="Abadi" w:hAnsi="Abadi"/>
          <w:sz w:val="21"/>
          <w:szCs w:val="21"/>
          <w:lang w:val="es-MX" w:eastAsia="es-MX"/>
        </w:rPr>
      </w:pPr>
      <w:r w:rsidRPr="000134E6">
        <w:rPr>
          <w:rFonts w:ascii="Abadi" w:hAnsi="Abadi"/>
          <w:sz w:val="21"/>
          <w:szCs w:val="21"/>
          <w:lang w:val="es-MX" w:eastAsia="es-MX"/>
        </w:rPr>
        <w:t>*Se reviso la compra directa de cinco vehículos con recursos del Fondo de Aportaciones para el Fortalecimiento de los Municipios.</w:t>
      </w:r>
    </w:p>
    <w:p w14:paraId="4E5CA718" w14:textId="77777777" w:rsidR="000134E6" w:rsidRPr="000134E6" w:rsidRDefault="000134E6" w:rsidP="000134E6">
      <w:pPr>
        <w:spacing w:after="160" w:line="259" w:lineRule="auto"/>
        <w:ind w:left="720"/>
        <w:contextualSpacing/>
        <w:jc w:val="both"/>
        <w:rPr>
          <w:rFonts w:ascii="Abadi" w:hAnsi="Abadi"/>
          <w:sz w:val="21"/>
          <w:szCs w:val="21"/>
          <w:lang w:val="es-MX" w:eastAsia="es-MX"/>
        </w:rPr>
      </w:pPr>
    </w:p>
    <w:p w14:paraId="1BF88168" w14:textId="77777777" w:rsidR="000134E6" w:rsidRPr="000134E6" w:rsidRDefault="000134E6" w:rsidP="001A28E5">
      <w:pPr>
        <w:numPr>
          <w:ilvl w:val="0"/>
          <w:numId w:val="42"/>
        </w:numPr>
        <w:spacing w:after="160" w:line="259" w:lineRule="auto"/>
        <w:contextualSpacing/>
        <w:jc w:val="both"/>
        <w:rPr>
          <w:rFonts w:ascii="Abadi" w:hAnsi="Abadi"/>
          <w:sz w:val="21"/>
          <w:szCs w:val="21"/>
          <w:lang w:val="es-MX" w:eastAsia="es-MX"/>
        </w:rPr>
      </w:pPr>
      <w:r w:rsidRPr="000134E6">
        <w:rPr>
          <w:rFonts w:ascii="Abadi" w:hAnsi="Abadi"/>
          <w:b/>
          <w:bCs/>
          <w:sz w:val="21"/>
          <w:szCs w:val="21"/>
          <w:u w:val="single"/>
          <w:lang w:val="es-MX" w:eastAsia="es-MX"/>
        </w:rPr>
        <w:t>Pasivo:</w:t>
      </w:r>
      <w:r w:rsidRPr="000134E6">
        <w:rPr>
          <w:rFonts w:ascii="Abadi" w:hAnsi="Abadi"/>
          <w:sz w:val="21"/>
          <w:szCs w:val="21"/>
          <w:lang w:val="es-MX" w:eastAsia="es-MX"/>
        </w:rPr>
        <w:t xml:space="preserve"> Amortización de la deuda pública.</w:t>
      </w:r>
    </w:p>
    <w:p w14:paraId="27893C83" w14:textId="77777777" w:rsidR="000134E6" w:rsidRPr="000134E6" w:rsidRDefault="000134E6" w:rsidP="001A28E5">
      <w:pPr>
        <w:numPr>
          <w:ilvl w:val="0"/>
          <w:numId w:val="42"/>
        </w:numPr>
        <w:spacing w:after="160" w:line="259" w:lineRule="auto"/>
        <w:contextualSpacing/>
        <w:jc w:val="both"/>
        <w:rPr>
          <w:rFonts w:ascii="Abadi" w:hAnsi="Abadi"/>
          <w:sz w:val="21"/>
          <w:szCs w:val="21"/>
          <w:lang w:val="es-MX" w:eastAsia="es-MX"/>
        </w:rPr>
      </w:pPr>
      <w:r w:rsidRPr="000134E6">
        <w:rPr>
          <w:rFonts w:ascii="Abadi" w:hAnsi="Abadi"/>
          <w:b/>
          <w:sz w:val="21"/>
          <w:szCs w:val="21"/>
          <w:u w:val="single"/>
          <w:lang w:val="es-MX" w:eastAsia="en-US"/>
        </w:rPr>
        <w:t>Ingresos:</w:t>
      </w:r>
      <w:r w:rsidRPr="000134E6">
        <w:rPr>
          <w:rFonts w:ascii="Abadi" w:hAnsi="Abadi"/>
          <w:bCs/>
          <w:sz w:val="21"/>
          <w:szCs w:val="21"/>
          <w:lang w:val="es-MX" w:eastAsia="en-US"/>
        </w:rPr>
        <w:t xml:space="preserve"> Participaciones y aportaciones y otros productos.</w:t>
      </w:r>
    </w:p>
    <w:p w14:paraId="56E33D3D" w14:textId="77777777" w:rsidR="000134E6" w:rsidRPr="000134E6" w:rsidRDefault="000134E6" w:rsidP="001A28E5">
      <w:pPr>
        <w:numPr>
          <w:ilvl w:val="0"/>
          <w:numId w:val="42"/>
        </w:numPr>
        <w:spacing w:after="160" w:line="259" w:lineRule="auto"/>
        <w:contextualSpacing/>
        <w:jc w:val="both"/>
        <w:rPr>
          <w:rFonts w:ascii="Abadi" w:hAnsi="Abadi"/>
          <w:sz w:val="21"/>
          <w:szCs w:val="21"/>
          <w:lang w:val="es-MX" w:eastAsia="en-US"/>
        </w:rPr>
      </w:pPr>
      <w:r w:rsidRPr="000134E6">
        <w:rPr>
          <w:rFonts w:ascii="Abadi" w:hAnsi="Abadi"/>
          <w:b/>
          <w:bCs/>
          <w:sz w:val="21"/>
          <w:szCs w:val="21"/>
          <w:u w:val="single"/>
          <w:lang w:val="es-MX" w:eastAsia="es-MX"/>
        </w:rPr>
        <w:t>Egresos</w:t>
      </w:r>
      <w:r w:rsidRPr="000134E6">
        <w:rPr>
          <w:rFonts w:ascii="Abadi" w:hAnsi="Abadi"/>
          <w:b/>
          <w:bCs/>
          <w:sz w:val="21"/>
          <w:szCs w:val="21"/>
          <w:lang w:val="es-MX" w:eastAsia="es-MX"/>
        </w:rPr>
        <w:t>:</w:t>
      </w:r>
      <w:r w:rsidRPr="000134E6">
        <w:rPr>
          <w:rFonts w:ascii="Abadi" w:hAnsi="Abadi"/>
          <w:sz w:val="21"/>
          <w:szCs w:val="21"/>
          <w:lang w:val="es-MX" w:eastAsia="es-MX"/>
        </w:rPr>
        <w:t xml:space="preserve"> </w:t>
      </w:r>
      <w:r w:rsidRPr="000134E6">
        <w:rPr>
          <w:rFonts w:ascii="Abadi" w:hAnsi="Abadi" w:cs="Calibri"/>
          <w:sz w:val="21"/>
          <w:szCs w:val="21"/>
          <w:lang w:val="es-MX" w:eastAsia="es-MX"/>
        </w:rPr>
        <w:t xml:space="preserve">Servicios personales: Sueldos, dietas, remuneraciones de eventuales, remuneraciones adicionales al sueldo (gratificación de fin de año, prima vacacional, compensaciones, entre otras) otras prestaciones, entre otras más. </w:t>
      </w:r>
    </w:p>
    <w:p w14:paraId="4259D7D3" w14:textId="77777777" w:rsidR="000134E6" w:rsidRDefault="000134E6" w:rsidP="000134E6">
      <w:pPr>
        <w:spacing w:after="160" w:line="259" w:lineRule="auto"/>
        <w:ind w:left="720"/>
        <w:contextualSpacing/>
        <w:jc w:val="both"/>
        <w:rPr>
          <w:rFonts w:ascii="Abadi" w:hAnsi="Abadi" w:cs="Calibri"/>
          <w:sz w:val="21"/>
          <w:szCs w:val="21"/>
          <w:lang w:val="es-MX" w:eastAsia="es-MX"/>
        </w:rPr>
      </w:pPr>
    </w:p>
    <w:p w14:paraId="66B12A38" w14:textId="1E5BC9CF" w:rsidR="000134E6" w:rsidRPr="000134E6" w:rsidRDefault="000134E6" w:rsidP="000134E6">
      <w:pPr>
        <w:spacing w:after="160" w:line="259" w:lineRule="auto"/>
        <w:ind w:left="720"/>
        <w:contextualSpacing/>
        <w:jc w:val="both"/>
        <w:rPr>
          <w:rFonts w:ascii="Abadi" w:hAnsi="Abadi" w:cs="Calibri"/>
          <w:sz w:val="21"/>
          <w:szCs w:val="21"/>
          <w:lang w:val="es-MX" w:eastAsia="es-MX"/>
        </w:rPr>
      </w:pPr>
      <w:r w:rsidRPr="000134E6">
        <w:rPr>
          <w:rFonts w:ascii="Abadi" w:hAnsi="Abadi" w:cs="Calibri"/>
          <w:sz w:val="21"/>
          <w:szCs w:val="21"/>
          <w:lang w:val="es-MX" w:eastAsia="es-MX"/>
        </w:rPr>
        <w:t>Materiales y suministros: Medicinas y productos farmacéuticos y v</w:t>
      </w:r>
      <w:r w:rsidRPr="000134E6">
        <w:rPr>
          <w:rFonts w:ascii="Abadi" w:hAnsi="Abadi" w:cs="Calibri"/>
          <w:color w:val="000000"/>
          <w:sz w:val="21"/>
          <w:szCs w:val="21"/>
        </w:rPr>
        <w:t>estuario y uniformes.</w:t>
      </w:r>
      <w:r w:rsidRPr="000134E6">
        <w:rPr>
          <w:rFonts w:ascii="Abadi" w:hAnsi="Abadi" w:cs="Calibri"/>
          <w:sz w:val="21"/>
          <w:szCs w:val="21"/>
          <w:lang w:val="es-MX" w:eastAsia="es-MX"/>
        </w:rPr>
        <w:t xml:space="preserve"> </w:t>
      </w:r>
    </w:p>
    <w:p w14:paraId="6A648E8C" w14:textId="77777777" w:rsidR="000134E6" w:rsidRDefault="000134E6" w:rsidP="000134E6">
      <w:pPr>
        <w:spacing w:after="160" w:line="259" w:lineRule="auto"/>
        <w:ind w:left="720"/>
        <w:contextualSpacing/>
        <w:jc w:val="both"/>
        <w:rPr>
          <w:rFonts w:ascii="Abadi" w:hAnsi="Abadi" w:cs="Calibri"/>
          <w:sz w:val="21"/>
          <w:szCs w:val="21"/>
          <w:lang w:val="es-MX" w:eastAsia="es-MX"/>
        </w:rPr>
      </w:pPr>
    </w:p>
    <w:p w14:paraId="35AD971D" w14:textId="0BB99A63" w:rsidR="000134E6" w:rsidRPr="000134E6" w:rsidRDefault="000134E6" w:rsidP="000134E6">
      <w:pPr>
        <w:spacing w:after="160" w:line="259" w:lineRule="auto"/>
        <w:ind w:left="720"/>
        <w:contextualSpacing/>
        <w:jc w:val="both"/>
        <w:rPr>
          <w:rFonts w:ascii="Abadi" w:hAnsi="Abadi"/>
          <w:sz w:val="21"/>
          <w:szCs w:val="21"/>
          <w:lang w:val="es-MX" w:eastAsia="en-US"/>
        </w:rPr>
      </w:pPr>
      <w:r w:rsidRPr="000134E6">
        <w:rPr>
          <w:rFonts w:ascii="Abadi" w:hAnsi="Abadi" w:cs="Calibri"/>
          <w:sz w:val="21"/>
          <w:szCs w:val="21"/>
          <w:lang w:val="es-MX" w:eastAsia="es-MX"/>
        </w:rPr>
        <w:t>Servicios generales: Alumbrado público, otros arrendamientos</w:t>
      </w:r>
      <w:r w:rsidRPr="000134E6">
        <w:rPr>
          <w:rFonts w:ascii="Abadi" w:hAnsi="Abadi" w:cs="Calibri"/>
          <w:color w:val="000000"/>
          <w:sz w:val="21"/>
          <w:szCs w:val="21"/>
        </w:rPr>
        <w:t>, servicios de consultoría administrativa, servicios profesionales científicos y tecnológicos integrales*, seguros de bienes patrimoniales, gastos de orden social y cultural</w:t>
      </w:r>
      <w:r w:rsidRPr="000134E6">
        <w:rPr>
          <w:rFonts w:ascii="Abadi" w:hAnsi="Abadi" w:cs="Calibri"/>
          <w:b/>
          <w:bCs/>
          <w:color w:val="000000"/>
          <w:sz w:val="21"/>
          <w:szCs w:val="21"/>
        </w:rPr>
        <w:t>,</w:t>
      </w:r>
      <w:r w:rsidRPr="000134E6">
        <w:rPr>
          <w:rFonts w:ascii="Abadi" w:hAnsi="Abadi" w:cs="Calibri"/>
          <w:sz w:val="21"/>
          <w:szCs w:val="21"/>
        </w:rPr>
        <w:t xml:space="preserve"> entre otros.</w:t>
      </w:r>
      <w:r w:rsidRPr="000134E6">
        <w:rPr>
          <w:rFonts w:ascii="Abadi" w:hAnsi="Abadi"/>
          <w:sz w:val="21"/>
          <w:szCs w:val="21"/>
          <w:lang w:val="es-MX" w:eastAsia="en-US"/>
        </w:rPr>
        <w:t xml:space="preserve">  </w:t>
      </w:r>
    </w:p>
    <w:p w14:paraId="344E5FB7" w14:textId="77777777" w:rsidR="000134E6" w:rsidRDefault="000134E6" w:rsidP="000134E6">
      <w:pPr>
        <w:spacing w:after="160" w:line="259" w:lineRule="auto"/>
        <w:ind w:left="720"/>
        <w:contextualSpacing/>
        <w:jc w:val="both"/>
        <w:rPr>
          <w:rFonts w:ascii="Abadi" w:hAnsi="Abadi" w:cs="Calibri"/>
          <w:color w:val="000000"/>
          <w:sz w:val="21"/>
          <w:szCs w:val="21"/>
        </w:rPr>
      </w:pPr>
    </w:p>
    <w:p w14:paraId="5F8AF52C" w14:textId="2EBD6EBF" w:rsidR="000134E6" w:rsidRPr="000134E6" w:rsidRDefault="000134E6" w:rsidP="000134E6">
      <w:pPr>
        <w:spacing w:after="160" w:line="259" w:lineRule="auto"/>
        <w:ind w:left="720"/>
        <w:contextualSpacing/>
        <w:jc w:val="both"/>
        <w:rPr>
          <w:rFonts w:ascii="Abadi" w:hAnsi="Abadi" w:cs="Calibri"/>
          <w:color w:val="000000"/>
          <w:sz w:val="21"/>
          <w:szCs w:val="21"/>
        </w:rPr>
      </w:pPr>
      <w:r w:rsidRPr="000134E6">
        <w:rPr>
          <w:rFonts w:ascii="Abadi" w:hAnsi="Abadi" w:cs="Calibri"/>
          <w:color w:val="000000"/>
          <w:sz w:val="21"/>
          <w:szCs w:val="21"/>
        </w:rPr>
        <w:t>Transferencias, asignaciones, subsidios y otras ayudas: Transferencias para servicios personales, gastos relacionados con actividades culturales deportivas y ayudas y donativos a instituciones sin fines de lucro.</w:t>
      </w:r>
    </w:p>
    <w:p w14:paraId="3275A243" w14:textId="77777777" w:rsidR="000134E6" w:rsidRDefault="000134E6" w:rsidP="000134E6">
      <w:pPr>
        <w:spacing w:after="160" w:line="259" w:lineRule="auto"/>
        <w:ind w:left="720"/>
        <w:contextualSpacing/>
        <w:jc w:val="both"/>
        <w:rPr>
          <w:rFonts w:ascii="Abadi" w:hAnsi="Abadi"/>
          <w:sz w:val="21"/>
          <w:szCs w:val="21"/>
          <w:lang w:val="es-MX" w:eastAsia="en-US"/>
        </w:rPr>
      </w:pPr>
    </w:p>
    <w:p w14:paraId="70EC7751" w14:textId="03280C89" w:rsidR="000134E6" w:rsidRPr="000134E6" w:rsidRDefault="000134E6" w:rsidP="000134E6">
      <w:pPr>
        <w:spacing w:after="160" w:line="259" w:lineRule="auto"/>
        <w:ind w:left="720"/>
        <w:contextualSpacing/>
        <w:jc w:val="both"/>
        <w:rPr>
          <w:rFonts w:ascii="Abadi" w:hAnsi="Abadi"/>
          <w:sz w:val="21"/>
          <w:szCs w:val="21"/>
          <w:lang w:val="es-MX" w:eastAsia="en-US"/>
        </w:rPr>
      </w:pPr>
      <w:r w:rsidRPr="000134E6">
        <w:rPr>
          <w:rFonts w:ascii="Abadi" w:hAnsi="Abadi"/>
          <w:sz w:val="21"/>
          <w:szCs w:val="21"/>
          <w:lang w:val="es-MX" w:eastAsia="en-US"/>
        </w:rPr>
        <w:t>*Se reviso la elaboración de manuales y guías de acceso a la información y protección de datos personales.</w:t>
      </w:r>
    </w:p>
    <w:p w14:paraId="374C3F60" w14:textId="77777777" w:rsidR="000134E6" w:rsidRDefault="000134E6" w:rsidP="000134E6">
      <w:pPr>
        <w:spacing w:after="160"/>
        <w:ind w:firstLine="709"/>
        <w:contextualSpacing/>
        <w:jc w:val="both"/>
        <w:rPr>
          <w:rFonts w:ascii="Abadi" w:eastAsia="Calibri" w:hAnsi="Abadi"/>
          <w:sz w:val="21"/>
          <w:szCs w:val="21"/>
          <w:lang w:eastAsia="en-US"/>
        </w:rPr>
      </w:pPr>
      <w:r w:rsidRPr="000134E6">
        <w:rPr>
          <w:rFonts w:ascii="Abadi" w:eastAsia="Calibri" w:hAnsi="Abadi"/>
          <w:sz w:val="21"/>
          <w:szCs w:val="21"/>
          <w:lang w:eastAsia="en-US"/>
        </w:rPr>
        <w:t xml:space="preserve"> </w:t>
      </w:r>
    </w:p>
    <w:p w14:paraId="3AAA5291" w14:textId="74533604" w:rsidR="000134E6" w:rsidRPr="000134E6" w:rsidRDefault="000134E6" w:rsidP="000134E6">
      <w:pPr>
        <w:spacing w:after="160"/>
        <w:ind w:firstLine="709"/>
        <w:contextualSpacing/>
        <w:jc w:val="both"/>
        <w:rPr>
          <w:rFonts w:ascii="Abadi" w:eastAsia="Calibri" w:hAnsi="Abadi"/>
          <w:sz w:val="21"/>
          <w:szCs w:val="21"/>
          <w:lang w:eastAsia="en-US"/>
        </w:rPr>
      </w:pPr>
      <w:r w:rsidRPr="000134E6">
        <w:rPr>
          <w:rFonts w:ascii="Abadi" w:eastAsia="Calibri" w:hAnsi="Abadi"/>
          <w:sz w:val="21"/>
          <w:szCs w:val="21"/>
          <w:lang w:eastAsia="en-US"/>
        </w:rPr>
        <w:t>De la cuenta pública correspondiente al ejercicio fiscal 2020 se revisaron los siguientes apartados:</w:t>
      </w:r>
    </w:p>
    <w:p w14:paraId="332E4D22" w14:textId="77777777" w:rsidR="000134E6" w:rsidRPr="000134E6" w:rsidRDefault="000134E6" w:rsidP="000134E6">
      <w:pPr>
        <w:widowControl w:val="0"/>
        <w:spacing w:after="200"/>
        <w:ind w:left="360"/>
        <w:contextualSpacing/>
        <w:jc w:val="both"/>
        <w:rPr>
          <w:rFonts w:ascii="Abadi" w:eastAsia="Calibri" w:hAnsi="Abadi"/>
          <w:sz w:val="21"/>
          <w:szCs w:val="21"/>
          <w:lang w:eastAsia="en-US"/>
        </w:rPr>
      </w:pPr>
    </w:p>
    <w:p w14:paraId="1251DDA2" w14:textId="32E29FA6" w:rsidR="000134E6" w:rsidRDefault="000134E6" w:rsidP="000134E6">
      <w:pPr>
        <w:widowControl w:val="0"/>
        <w:spacing w:after="200"/>
        <w:ind w:left="360" w:firstLine="696"/>
        <w:contextualSpacing/>
        <w:jc w:val="both"/>
        <w:rPr>
          <w:rFonts w:ascii="Abadi" w:eastAsia="Calibri" w:hAnsi="Abadi"/>
          <w:sz w:val="21"/>
          <w:szCs w:val="21"/>
          <w:lang w:eastAsia="en-US"/>
        </w:rPr>
      </w:pPr>
      <w:r w:rsidRPr="000134E6">
        <w:rPr>
          <w:rFonts w:ascii="Abadi" w:eastAsia="Calibri" w:hAnsi="Abadi"/>
          <w:b/>
          <w:bCs/>
          <w:sz w:val="21"/>
          <w:szCs w:val="21"/>
          <w:lang w:eastAsia="en-US"/>
        </w:rPr>
        <w:t>Sector Central:</w:t>
      </w:r>
      <w:r w:rsidRPr="000134E6">
        <w:rPr>
          <w:rFonts w:ascii="Abadi" w:eastAsia="Calibri" w:hAnsi="Abadi"/>
          <w:sz w:val="21"/>
          <w:szCs w:val="21"/>
          <w:lang w:eastAsia="en-US"/>
        </w:rPr>
        <w:t xml:space="preserve"> </w:t>
      </w:r>
    </w:p>
    <w:p w14:paraId="3B1373EE" w14:textId="77777777" w:rsidR="000134E6" w:rsidRPr="000134E6" w:rsidRDefault="000134E6" w:rsidP="000134E6">
      <w:pPr>
        <w:widowControl w:val="0"/>
        <w:spacing w:after="200"/>
        <w:ind w:left="360" w:firstLine="696"/>
        <w:contextualSpacing/>
        <w:jc w:val="both"/>
        <w:rPr>
          <w:rFonts w:ascii="Abadi" w:hAnsi="Abadi"/>
          <w:sz w:val="21"/>
          <w:szCs w:val="21"/>
          <w:lang w:eastAsia="en-US"/>
        </w:rPr>
      </w:pPr>
    </w:p>
    <w:p w14:paraId="69B03FE1" w14:textId="77777777" w:rsidR="000134E6" w:rsidRPr="000134E6" w:rsidRDefault="000134E6" w:rsidP="001A28E5">
      <w:pPr>
        <w:numPr>
          <w:ilvl w:val="0"/>
          <w:numId w:val="42"/>
        </w:numPr>
        <w:spacing w:after="160" w:line="259" w:lineRule="auto"/>
        <w:ind w:left="1080"/>
        <w:contextualSpacing/>
        <w:jc w:val="both"/>
        <w:rPr>
          <w:rFonts w:ascii="Abadi" w:hAnsi="Abadi"/>
          <w:bCs/>
          <w:sz w:val="21"/>
          <w:szCs w:val="21"/>
          <w:lang w:val="es-MX" w:eastAsia="en-US"/>
        </w:rPr>
      </w:pPr>
      <w:r w:rsidRPr="000134E6">
        <w:rPr>
          <w:rFonts w:ascii="Abadi" w:hAnsi="Abadi"/>
          <w:b/>
          <w:bCs/>
          <w:sz w:val="21"/>
          <w:szCs w:val="21"/>
          <w:u w:val="single"/>
          <w:lang w:val="es-MX" w:eastAsia="es-MX"/>
        </w:rPr>
        <w:t>Activo:</w:t>
      </w:r>
      <w:r w:rsidRPr="000134E6">
        <w:rPr>
          <w:rFonts w:ascii="Abadi" w:hAnsi="Abadi"/>
          <w:sz w:val="21"/>
          <w:szCs w:val="21"/>
          <w:lang w:val="es-MX" w:eastAsia="es-MX"/>
        </w:rPr>
        <w:t xml:space="preserve"> Adquisiciones de:</w:t>
      </w:r>
      <w:r w:rsidRPr="000134E6">
        <w:rPr>
          <w:rFonts w:ascii="Abadi" w:hAnsi="Abadi" w:cs="Calibri"/>
          <w:sz w:val="21"/>
          <w:szCs w:val="21"/>
          <w:lang w:val="es-MX" w:eastAsia="es-MX"/>
        </w:rPr>
        <w:t xml:space="preserve"> </w:t>
      </w:r>
      <w:r w:rsidRPr="000134E6">
        <w:rPr>
          <w:rFonts w:ascii="Abadi" w:hAnsi="Abadi" w:cs="Calibri"/>
          <w:sz w:val="21"/>
          <w:szCs w:val="21"/>
        </w:rPr>
        <w:t>Muebles de oficina y estantería</w:t>
      </w:r>
      <w:r w:rsidRPr="000134E6">
        <w:rPr>
          <w:rFonts w:ascii="Abadi" w:hAnsi="Abadi" w:cs="Calibri"/>
          <w:sz w:val="21"/>
          <w:szCs w:val="21"/>
          <w:lang w:val="es-MX" w:eastAsia="es-MX"/>
        </w:rPr>
        <w:t>, computadoras y equipo periférico, a</w:t>
      </w:r>
      <w:r w:rsidRPr="000134E6">
        <w:rPr>
          <w:rFonts w:ascii="Abadi" w:hAnsi="Abadi" w:cs="Calibri"/>
          <w:sz w:val="21"/>
          <w:szCs w:val="21"/>
        </w:rPr>
        <w:t>utomóviles y camiones, accesorios de iluminación, entre otros.</w:t>
      </w:r>
    </w:p>
    <w:p w14:paraId="298F8523" w14:textId="77777777" w:rsidR="000134E6" w:rsidRPr="000134E6" w:rsidRDefault="000134E6" w:rsidP="001A28E5">
      <w:pPr>
        <w:numPr>
          <w:ilvl w:val="0"/>
          <w:numId w:val="42"/>
        </w:numPr>
        <w:spacing w:after="160" w:line="259" w:lineRule="auto"/>
        <w:ind w:left="1080"/>
        <w:contextualSpacing/>
        <w:jc w:val="both"/>
        <w:rPr>
          <w:rFonts w:ascii="Abadi" w:hAnsi="Abadi"/>
          <w:bCs/>
          <w:sz w:val="21"/>
          <w:szCs w:val="21"/>
          <w:lang w:val="es-MX" w:eastAsia="en-US"/>
        </w:rPr>
      </w:pPr>
      <w:r w:rsidRPr="000134E6">
        <w:rPr>
          <w:rFonts w:ascii="Abadi" w:hAnsi="Abadi"/>
          <w:b/>
          <w:sz w:val="21"/>
          <w:szCs w:val="21"/>
          <w:u w:val="single"/>
          <w:lang w:val="es-MX" w:eastAsia="en-US"/>
        </w:rPr>
        <w:t>Ingresos:</w:t>
      </w:r>
      <w:r w:rsidRPr="000134E6">
        <w:rPr>
          <w:rFonts w:ascii="Abadi" w:hAnsi="Abadi"/>
          <w:bCs/>
          <w:sz w:val="21"/>
          <w:szCs w:val="21"/>
          <w:lang w:val="es-MX" w:eastAsia="en-US"/>
        </w:rPr>
        <w:t xml:space="preserve"> Participaciones y aportaciones.</w:t>
      </w:r>
    </w:p>
    <w:p w14:paraId="01F366DC" w14:textId="77777777" w:rsidR="000134E6" w:rsidRPr="000134E6" w:rsidRDefault="000134E6" w:rsidP="001A28E5">
      <w:pPr>
        <w:numPr>
          <w:ilvl w:val="0"/>
          <w:numId w:val="42"/>
        </w:numPr>
        <w:spacing w:after="160" w:line="259" w:lineRule="auto"/>
        <w:ind w:left="1080"/>
        <w:contextualSpacing/>
        <w:jc w:val="both"/>
        <w:rPr>
          <w:rFonts w:ascii="Abadi" w:hAnsi="Abadi"/>
          <w:bCs/>
          <w:sz w:val="21"/>
          <w:szCs w:val="21"/>
          <w:lang w:val="es-MX" w:eastAsia="en-US"/>
        </w:rPr>
      </w:pPr>
      <w:r w:rsidRPr="000134E6">
        <w:rPr>
          <w:rFonts w:ascii="Abadi" w:hAnsi="Abadi"/>
          <w:b/>
          <w:bCs/>
          <w:sz w:val="21"/>
          <w:szCs w:val="21"/>
          <w:u w:val="single"/>
          <w:lang w:val="es-MX" w:eastAsia="es-MX"/>
        </w:rPr>
        <w:t>Egresos:</w:t>
      </w:r>
      <w:r w:rsidRPr="000134E6">
        <w:rPr>
          <w:rFonts w:ascii="Abadi" w:hAnsi="Abadi" w:cs="Calibri"/>
          <w:sz w:val="21"/>
          <w:szCs w:val="21"/>
          <w:lang w:val="es-MX" w:eastAsia="es-MX"/>
        </w:rPr>
        <w:t xml:space="preserve"> Servicios personales: Sueldos, dietas, remuneraciones de eventuales, remuneraciones adicionales al sueldo (gratificación de fin de año, prima vacacional, compensaciones, entre otras) otras prestaciones, entre otras. </w:t>
      </w:r>
    </w:p>
    <w:p w14:paraId="71BDC2E9" w14:textId="77777777" w:rsidR="000134E6" w:rsidRPr="000134E6" w:rsidRDefault="000134E6" w:rsidP="000134E6">
      <w:pPr>
        <w:spacing w:after="160" w:line="259" w:lineRule="auto"/>
        <w:ind w:left="1080"/>
        <w:contextualSpacing/>
        <w:jc w:val="both"/>
        <w:rPr>
          <w:rFonts w:ascii="Abadi" w:hAnsi="Abadi" w:cs="Calibri"/>
          <w:sz w:val="21"/>
          <w:szCs w:val="21"/>
        </w:rPr>
      </w:pPr>
      <w:r w:rsidRPr="000134E6">
        <w:rPr>
          <w:rFonts w:ascii="Abadi" w:hAnsi="Abadi" w:cs="Calibri"/>
          <w:sz w:val="21"/>
          <w:szCs w:val="21"/>
          <w:lang w:val="es-MX" w:eastAsia="es-MX"/>
        </w:rPr>
        <w:t xml:space="preserve">Materiales y suministros: </w:t>
      </w:r>
      <w:r w:rsidRPr="000134E6">
        <w:rPr>
          <w:rFonts w:ascii="Abadi" w:hAnsi="Abadi" w:cs="Calibri"/>
          <w:sz w:val="21"/>
          <w:szCs w:val="21"/>
        </w:rPr>
        <w:t xml:space="preserve">Vestuario y uniformes y prendas de protección para seguridad pública. </w:t>
      </w:r>
    </w:p>
    <w:p w14:paraId="17EB5F4F" w14:textId="77777777" w:rsidR="000134E6" w:rsidRPr="000134E6" w:rsidRDefault="000134E6" w:rsidP="000134E6">
      <w:pPr>
        <w:spacing w:after="160" w:line="259" w:lineRule="auto"/>
        <w:ind w:left="1080"/>
        <w:contextualSpacing/>
        <w:jc w:val="both"/>
        <w:rPr>
          <w:rFonts w:ascii="Abadi" w:hAnsi="Abadi" w:cs="Calibri"/>
          <w:sz w:val="21"/>
          <w:szCs w:val="21"/>
        </w:rPr>
      </w:pPr>
      <w:r w:rsidRPr="000134E6">
        <w:rPr>
          <w:rFonts w:ascii="Abadi" w:hAnsi="Abadi" w:cs="Calibri"/>
          <w:sz w:val="21"/>
          <w:szCs w:val="21"/>
          <w:lang w:val="es-MX" w:eastAsia="es-MX"/>
        </w:rPr>
        <w:t>Servicios generales:</w:t>
      </w:r>
      <w:r w:rsidRPr="000134E6">
        <w:rPr>
          <w:rFonts w:ascii="Abadi" w:hAnsi="Abadi" w:cs="Calibri"/>
          <w:sz w:val="21"/>
          <w:szCs w:val="21"/>
        </w:rPr>
        <w:t xml:space="preserve"> </w:t>
      </w:r>
      <w:r w:rsidRPr="000134E6">
        <w:rPr>
          <w:rFonts w:ascii="Abadi" w:hAnsi="Abadi" w:cs="Calibri"/>
          <w:sz w:val="21"/>
          <w:szCs w:val="21"/>
          <w:lang w:val="es-MX" w:eastAsia="es-MX"/>
        </w:rPr>
        <w:t xml:space="preserve">Alumbrado público, </w:t>
      </w:r>
      <w:r w:rsidRPr="000134E6">
        <w:rPr>
          <w:rFonts w:ascii="Abadi" w:hAnsi="Abadi" w:cs="Calibri"/>
          <w:color w:val="000000"/>
          <w:sz w:val="21"/>
          <w:szCs w:val="21"/>
        </w:rPr>
        <w:t>servicios de consultoría administrativa, servicios profesionales científicos y tecnológicos integrales, gastos de orden social y cultural</w:t>
      </w:r>
      <w:r w:rsidRPr="000134E6">
        <w:rPr>
          <w:rFonts w:ascii="Abadi" w:hAnsi="Abadi" w:cs="Calibri"/>
          <w:b/>
          <w:bCs/>
          <w:color w:val="000000"/>
          <w:sz w:val="21"/>
          <w:szCs w:val="21"/>
        </w:rPr>
        <w:t>,</w:t>
      </w:r>
      <w:r w:rsidRPr="000134E6">
        <w:rPr>
          <w:rFonts w:ascii="Abadi" w:hAnsi="Abadi" w:cs="Calibri"/>
          <w:sz w:val="21"/>
          <w:szCs w:val="21"/>
        </w:rPr>
        <w:t xml:space="preserve"> entre otros.</w:t>
      </w:r>
    </w:p>
    <w:p w14:paraId="3BB40B14" w14:textId="77777777" w:rsidR="000134E6" w:rsidRPr="000134E6" w:rsidRDefault="000134E6" w:rsidP="000134E6">
      <w:pPr>
        <w:spacing w:after="160" w:line="259" w:lineRule="auto"/>
        <w:ind w:left="1080"/>
        <w:contextualSpacing/>
        <w:jc w:val="both"/>
        <w:rPr>
          <w:rFonts w:ascii="Abadi" w:hAnsi="Abadi" w:cs="Calibri"/>
          <w:sz w:val="21"/>
          <w:szCs w:val="21"/>
          <w:lang w:val="es-MX" w:eastAsia="es-MX"/>
        </w:rPr>
      </w:pPr>
      <w:r w:rsidRPr="000134E6">
        <w:rPr>
          <w:rFonts w:ascii="Abadi" w:hAnsi="Abadi" w:cs="Calibri"/>
          <w:color w:val="000000"/>
          <w:sz w:val="21"/>
          <w:szCs w:val="21"/>
        </w:rPr>
        <w:t>Transferencias, asignaciones, subsidios y otras ayudas:</w:t>
      </w:r>
      <w:r w:rsidRPr="000134E6">
        <w:rPr>
          <w:rFonts w:ascii="Abadi" w:hAnsi="Abadi" w:cs="Calibri"/>
          <w:sz w:val="21"/>
          <w:szCs w:val="21"/>
        </w:rPr>
        <w:t xml:space="preserve"> Transferencias asignaciones subsidios y otras ayudas, gastos relacionados con actividades culturales deportivas y ayudas y pensiones. </w:t>
      </w:r>
    </w:p>
    <w:p w14:paraId="01BEF9EE" w14:textId="77777777" w:rsidR="000134E6" w:rsidRDefault="000134E6" w:rsidP="000134E6">
      <w:pPr>
        <w:spacing w:after="160" w:line="259" w:lineRule="auto"/>
        <w:ind w:firstLine="708"/>
        <w:contextualSpacing/>
        <w:jc w:val="both"/>
        <w:rPr>
          <w:rFonts w:ascii="Abadi" w:hAnsi="Abadi" w:cs="Calibri"/>
          <w:sz w:val="21"/>
          <w:szCs w:val="21"/>
          <w:lang w:val="es-MX" w:eastAsia="es-MX"/>
        </w:rPr>
      </w:pPr>
    </w:p>
    <w:p w14:paraId="0519CCA5" w14:textId="5C45EDC1" w:rsidR="000134E6" w:rsidRPr="000134E6" w:rsidRDefault="000134E6" w:rsidP="000134E6">
      <w:pPr>
        <w:spacing w:after="160" w:line="259" w:lineRule="auto"/>
        <w:ind w:firstLine="708"/>
        <w:contextualSpacing/>
        <w:jc w:val="both"/>
        <w:rPr>
          <w:rFonts w:ascii="Abadi" w:eastAsia="Calibri" w:hAnsi="Abadi"/>
          <w:bCs/>
          <w:sz w:val="21"/>
          <w:szCs w:val="21"/>
          <w:lang w:val="es-MX" w:eastAsia="en-US"/>
        </w:rPr>
      </w:pPr>
      <w:r w:rsidRPr="000134E6">
        <w:rPr>
          <w:rFonts w:ascii="Abadi" w:hAnsi="Abadi" w:cs="Calibri"/>
          <w:sz w:val="21"/>
          <w:szCs w:val="21"/>
          <w:lang w:val="es-MX" w:eastAsia="es-MX"/>
        </w:rPr>
        <w:t>Al respecto, la selección de las cuentas a revisar durante los citados ejercicios se realizó con base en los riesgos identificados durante la etapa de planeación.</w:t>
      </w:r>
    </w:p>
    <w:p w14:paraId="49CC8944" w14:textId="77777777" w:rsidR="000134E6" w:rsidRPr="000134E6" w:rsidRDefault="000134E6" w:rsidP="000134E6">
      <w:pPr>
        <w:spacing w:after="160" w:line="259" w:lineRule="auto"/>
        <w:ind w:firstLine="708"/>
        <w:contextualSpacing/>
        <w:jc w:val="both"/>
        <w:rPr>
          <w:rFonts w:ascii="Abadi" w:eastAsia="Calibri" w:hAnsi="Abadi"/>
          <w:bCs/>
          <w:sz w:val="21"/>
          <w:szCs w:val="21"/>
          <w:lang w:val="es-MX" w:eastAsia="en-US"/>
        </w:rPr>
      </w:pPr>
    </w:p>
    <w:p w14:paraId="46BADFCD" w14:textId="77777777" w:rsidR="000134E6" w:rsidRPr="000134E6" w:rsidRDefault="000134E6" w:rsidP="000134E6">
      <w:pPr>
        <w:spacing w:after="160" w:line="259" w:lineRule="auto"/>
        <w:ind w:firstLine="708"/>
        <w:contextualSpacing/>
        <w:jc w:val="both"/>
        <w:rPr>
          <w:rFonts w:ascii="Abadi" w:eastAsia="Calibri" w:hAnsi="Abadi"/>
          <w:bCs/>
          <w:sz w:val="21"/>
          <w:szCs w:val="21"/>
          <w:lang w:val="es-MX" w:eastAsia="en-US"/>
        </w:rPr>
      </w:pPr>
      <w:r w:rsidRPr="000134E6">
        <w:rPr>
          <w:rFonts w:ascii="Abadi" w:eastAsia="Calibri" w:hAnsi="Abadi"/>
          <w:bCs/>
          <w:sz w:val="21"/>
          <w:szCs w:val="21"/>
          <w:lang w:val="es-MX" w:eastAsia="en-US"/>
        </w:rPr>
        <w:t>Es así, que, de acuerdo a la información antes señalada, la Auditoría Superior del Estado ha realizado 2 revisiones de cuenta pública y 2 auditorías practicadas a la infraestructura pública municipal.</w:t>
      </w:r>
    </w:p>
    <w:p w14:paraId="0A289D1C" w14:textId="77777777" w:rsidR="000134E6" w:rsidRPr="000134E6" w:rsidRDefault="000134E6" w:rsidP="000134E6">
      <w:pPr>
        <w:spacing w:after="160" w:line="259" w:lineRule="auto"/>
        <w:ind w:firstLine="708"/>
        <w:contextualSpacing/>
        <w:jc w:val="both"/>
        <w:rPr>
          <w:rFonts w:ascii="Abadi" w:eastAsia="Calibri" w:hAnsi="Abadi"/>
          <w:bCs/>
          <w:sz w:val="21"/>
          <w:szCs w:val="21"/>
          <w:lang w:val="es-MX" w:eastAsia="en-US"/>
        </w:rPr>
      </w:pPr>
    </w:p>
    <w:p w14:paraId="531FE249" w14:textId="77777777" w:rsidR="000134E6" w:rsidRPr="000134E6" w:rsidRDefault="000134E6" w:rsidP="000134E6">
      <w:pPr>
        <w:spacing w:after="160" w:line="259" w:lineRule="auto"/>
        <w:ind w:firstLine="708"/>
        <w:contextualSpacing/>
        <w:jc w:val="both"/>
        <w:rPr>
          <w:rFonts w:ascii="Abadi" w:eastAsia="Calibri" w:hAnsi="Abadi"/>
          <w:bCs/>
          <w:sz w:val="21"/>
          <w:szCs w:val="21"/>
          <w:lang w:val="es-MX" w:eastAsia="en-US"/>
        </w:rPr>
      </w:pPr>
      <w:r w:rsidRPr="000134E6">
        <w:rPr>
          <w:rFonts w:ascii="Abadi" w:eastAsia="Calibri" w:hAnsi="Abadi"/>
          <w:bCs/>
          <w:sz w:val="21"/>
          <w:szCs w:val="21"/>
          <w:lang w:val="es-MX" w:eastAsia="en-US"/>
        </w:rPr>
        <w:t>Aunado a lo anterior, en el Programa General de Fiscalización 2022 se contemplan 272 actos de fiscalización, por lo que, de acuerdo a dicho Programa, así como al Programa Operativo Anual y la capacidad institucional instalada, la incorporación de actos de fiscalización adicionales a los ya programados, incidiría directamente en la cobertura, calidad y tiempos de la fiscalización, en detrimento del citado programa y de los actos de fiscalización previamente planificados.</w:t>
      </w:r>
    </w:p>
    <w:p w14:paraId="0938DD52" w14:textId="77777777" w:rsidR="000134E6" w:rsidRPr="000134E6" w:rsidRDefault="000134E6" w:rsidP="000134E6">
      <w:pPr>
        <w:spacing w:after="160" w:line="259" w:lineRule="auto"/>
        <w:ind w:firstLine="708"/>
        <w:contextualSpacing/>
        <w:jc w:val="both"/>
        <w:rPr>
          <w:rFonts w:ascii="Abadi" w:eastAsia="Calibri" w:hAnsi="Abadi"/>
          <w:bCs/>
          <w:sz w:val="21"/>
          <w:szCs w:val="21"/>
          <w:lang w:val="es-MX" w:eastAsia="en-US"/>
        </w:rPr>
      </w:pPr>
    </w:p>
    <w:p w14:paraId="658F3B40" w14:textId="77777777" w:rsidR="000134E6" w:rsidRPr="000134E6" w:rsidRDefault="000134E6" w:rsidP="000134E6">
      <w:pPr>
        <w:spacing w:after="160" w:line="259" w:lineRule="auto"/>
        <w:ind w:firstLine="708"/>
        <w:contextualSpacing/>
        <w:jc w:val="both"/>
        <w:rPr>
          <w:rFonts w:ascii="Abadi" w:eastAsia="Calibri" w:hAnsi="Abadi"/>
          <w:bCs/>
          <w:sz w:val="21"/>
          <w:szCs w:val="21"/>
          <w:lang w:val="es-MX" w:eastAsia="en-US"/>
        </w:rPr>
      </w:pPr>
      <w:r w:rsidRPr="000134E6">
        <w:rPr>
          <w:rFonts w:ascii="Abadi" w:eastAsia="Calibri" w:hAnsi="Abadi"/>
          <w:bCs/>
          <w:sz w:val="21"/>
          <w:szCs w:val="21"/>
          <w:lang w:val="es-MX" w:eastAsia="en-US"/>
        </w:rPr>
        <w:t xml:space="preserve">En razón a lo antes señalado y privilegiando la realización de los actos de fiscalización ya contemplados en el Programa General de Fiscalización de la Auditoría Superior del Estado para el presente ejercicio fiscal, mismo que consideró una planeación estratégica, así como al cumplimiento de dicho programa en tiempo y calidad de los actos programados, así como a la capacidad institucional instalada de dicho Órgano Técnico, determinamos no autorizar la realización de la auditoría propuesta, atendiendo además a que ya se realizaron diversos actos de fiscalización a la administración municipal de Cortazar, Gto., por parte de la Auditoría Superior del Estado a los ejercicios fiscales que se propone auditar. </w:t>
      </w:r>
    </w:p>
    <w:p w14:paraId="42E0E363" w14:textId="77777777" w:rsidR="000134E6" w:rsidRPr="000134E6" w:rsidRDefault="000134E6" w:rsidP="000134E6">
      <w:pPr>
        <w:widowControl w:val="0"/>
        <w:spacing w:after="200"/>
        <w:ind w:firstLine="708"/>
        <w:contextualSpacing/>
        <w:jc w:val="both"/>
        <w:rPr>
          <w:rFonts w:ascii="Abadi" w:eastAsia="Calibri" w:hAnsi="Abadi"/>
          <w:bCs/>
          <w:sz w:val="21"/>
          <w:szCs w:val="21"/>
          <w:lang w:val="es-MX" w:eastAsia="en-US"/>
        </w:rPr>
      </w:pPr>
      <w:r w:rsidRPr="000134E6">
        <w:rPr>
          <w:rFonts w:ascii="Abadi" w:eastAsia="Calibri" w:hAnsi="Abadi"/>
          <w:bCs/>
          <w:sz w:val="21"/>
          <w:szCs w:val="21"/>
          <w:lang w:val="es-MX" w:eastAsia="en-US"/>
        </w:rPr>
        <w:t xml:space="preserve">No obstante, la Auditoría Superior del Estado podrá considerar los hechos que correspondan al ejercicio 2021 planteados por la proponente en la planeación y ejecución de la revisión de la cuenta pública de dicho ejercicio. </w:t>
      </w:r>
    </w:p>
    <w:p w14:paraId="48801E56" w14:textId="77777777" w:rsidR="000134E6" w:rsidRPr="000134E6" w:rsidRDefault="000134E6" w:rsidP="000134E6">
      <w:pPr>
        <w:spacing w:after="160" w:line="259" w:lineRule="auto"/>
        <w:ind w:firstLine="708"/>
        <w:jc w:val="both"/>
        <w:rPr>
          <w:rFonts w:ascii="Abadi" w:hAnsi="Abadi" w:cs="Arial"/>
          <w:iCs/>
          <w:sz w:val="21"/>
          <w:szCs w:val="21"/>
          <w:lang w:val="es-MX" w:eastAsia="en-US"/>
        </w:rPr>
      </w:pPr>
      <w:r w:rsidRPr="000134E6">
        <w:rPr>
          <w:rFonts w:ascii="Abadi" w:hAnsi="Abadi" w:cs="Arial"/>
          <w:iCs/>
          <w:sz w:val="21"/>
          <w:szCs w:val="21"/>
          <w:lang w:val="es-MX" w:eastAsia="en-US"/>
        </w:rPr>
        <w:t xml:space="preserve">Por lo expuesto y con fundamento en el artículo 204 de </w:t>
      </w:r>
      <w:smartTag w:uri="urn:schemas-microsoft-com:office:smarttags" w:element="PersonName">
        <w:smartTagPr>
          <w:attr w:name="ProductID" w:val="la Ley Org￡nica"/>
        </w:smartTagPr>
        <w:r w:rsidRPr="000134E6">
          <w:rPr>
            <w:rFonts w:ascii="Abadi" w:hAnsi="Abadi" w:cs="Arial"/>
            <w:iCs/>
            <w:sz w:val="21"/>
            <w:szCs w:val="21"/>
            <w:lang w:val="es-MX" w:eastAsia="en-US"/>
          </w:rPr>
          <w:t>la Ley Orgánica</w:t>
        </w:r>
      </w:smartTag>
      <w:r w:rsidRPr="000134E6">
        <w:rPr>
          <w:rFonts w:ascii="Abadi" w:hAnsi="Abadi" w:cs="Arial"/>
          <w:iCs/>
          <w:sz w:val="21"/>
          <w:szCs w:val="21"/>
          <w:lang w:val="es-MX" w:eastAsia="en-US"/>
        </w:rPr>
        <w:t xml:space="preserve"> del Poder Legislativo del Estado, sometemos a la consideración de </w:t>
      </w:r>
      <w:smartTag w:uri="urn:schemas-microsoft-com:office:smarttags" w:element="PersonName">
        <w:smartTagPr>
          <w:attr w:name="ProductID" w:val="la Asamblea"/>
        </w:smartTagPr>
        <w:r w:rsidRPr="000134E6">
          <w:rPr>
            <w:rFonts w:ascii="Abadi" w:hAnsi="Abadi" w:cs="Arial"/>
            <w:iCs/>
            <w:sz w:val="21"/>
            <w:szCs w:val="21"/>
            <w:lang w:val="es-MX" w:eastAsia="en-US"/>
          </w:rPr>
          <w:t>la Asamblea</w:t>
        </w:r>
      </w:smartTag>
      <w:r w:rsidRPr="000134E6">
        <w:rPr>
          <w:rFonts w:ascii="Abadi" w:hAnsi="Abadi" w:cs="Arial"/>
          <w:iCs/>
          <w:sz w:val="21"/>
          <w:szCs w:val="21"/>
          <w:lang w:val="es-MX" w:eastAsia="en-US"/>
        </w:rPr>
        <w:t>, la aprobación del siguiente:</w:t>
      </w:r>
    </w:p>
    <w:p w14:paraId="7618AD1E" w14:textId="77777777" w:rsidR="000134E6" w:rsidRPr="000134E6" w:rsidRDefault="000134E6" w:rsidP="000134E6">
      <w:pPr>
        <w:spacing w:after="160" w:line="259" w:lineRule="auto"/>
        <w:jc w:val="center"/>
        <w:rPr>
          <w:rFonts w:ascii="Abadi" w:hAnsi="Abadi" w:cs="Arial"/>
          <w:b/>
          <w:iCs/>
          <w:sz w:val="21"/>
          <w:szCs w:val="21"/>
          <w:lang w:val="es-MX" w:eastAsia="en-US"/>
        </w:rPr>
      </w:pPr>
      <w:r w:rsidRPr="000134E6">
        <w:rPr>
          <w:rFonts w:ascii="Abadi" w:hAnsi="Abadi" w:cs="Arial"/>
          <w:b/>
          <w:iCs/>
          <w:sz w:val="21"/>
          <w:szCs w:val="21"/>
          <w:lang w:val="es-MX" w:eastAsia="en-US"/>
        </w:rPr>
        <w:t>A c u e r d o</w:t>
      </w:r>
    </w:p>
    <w:p w14:paraId="2BB65CF9" w14:textId="77777777" w:rsidR="000134E6" w:rsidRPr="000134E6" w:rsidRDefault="000134E6" w:rsidP="000134E6">
      <w:pPr>
        <w:spacing w:after="160" w:line="259" w:lineRule="auto"/>
        <w:ind w:firstLine="708"/>
        <w:jc w:val="both"/>
        <w:rPr>
          <w:rFonts w:ascii="Abadi" w:hAnsi="Abadi" w:cs="Arial"/>
          <w:sz w:val="21"/>
          <w:szCs w:val="21"/>
          <w:lang w:val="es-MX" w:eastAsia="en-US"/>
        </w:rPr>
      </w:pPr>
      <w:r w:rsidRPr="000134E6">
        <w:rPr>
          <w:rFonts w:ascii="Abadi" w:hAnsi="Abadi" w:cs="Arial"/>
          <w:b/>
          <w:iCs/>
          <w:sz w:val="21"/>
          <w:szCs w:val="21"/>
          <w:lang w:val="es-MX" w:eastAsia="en-US"/>
        </w:rPr>
        <w:t>Único.</w:t>
      </w:r>
      <w:r w:rsidRPr="000134E6">
        <w:rPr>
          <w:rFonts w:ascii="Abadi" w:hAnsi="Abadi" w:cs="Arial"/>
          <w:b/>
          <w:sz w:val="21"/>
          <w:szCs w:val="21"/>
          <w:lang w:val="es-MX" w:eastAsia="en-US"/>
        </w:rPr>
        <w:t xml:space="preserve"> </w:t>
      </w:r>
      <w:r w:rsidRPr="000134E6">
        <w:rPr>
          <w:rFonts w:ascii="Abadi" w:hAnsi="Abadi" w:cs="Arial"/>
          <w:sz w:val="21"/>
          <w:szCs w:val="21"/>
          <w:lang w:val="es-MX" w:eastAsia="en-US"/>
        </w:rPr>
        <w:t xml:space="preserve">Se determina improcedente la propuesta </w:t>
      </w:r>
      <w:r w:rsidRPr="000134E6">
        <w:rPr>
          <w:rFonts w:ascii="Abadi" w:hAnsi="Abadi"/>
          <w:sz w:val="21"/>
          <w:szCs w:val="21"/>
          <w:lang w:val="es-MX" w:eastAsia="en-US"/>
        </w:rPr>
        <w:t xml:space="preserve">de punto de acuerdo </w:t>
      </w:r>
      <w:r w:rsidRPr="000134E6">
        <w:rPr>
          <w:rFonts w:ascii="Abadi" w:eastAsia="Batang" w:hAnsi="Abadi" w:cs="Arial"/>
          <w:sz w:val="21"/>
          <w:szCs w:val="21"/>
          <w:lang w:val="es-MX" w:eastAsia="en-US"/>
        </w:rPr>
        <w:t xml:space="preserve">formulada por </w:t>
      </w:r>
      <w:r w:rsidRPr="000134E6">
        <w:rPr>
          <w:rFonts w:ascii="Abadi" w:hAnsi="Abadi" w:cs="Arial"/>
          <w:iCs/>
          <w:sz w:val="21"/>
          <w:szCs w:val="21"/>
          <w:lang w:val="es-MX" w:eastAsia="en-US"/>
        </w:rPr>
        <w:t>diputadas y diputados</w:t>
      </w:r>
      <w:r w:rsidRPr="000134E6">
        <w:rPr>
          <w:rFonts w:ascii="Abadi" w:hAnsi="Abadi" w:cs="Arial"/>
          <w:sz w:val="21"/>
          <w:szCs w:val="21"/>
          <w:lang w:val="es-MX" w:eastAsia="en-US"/>
        </w:rPr>
        <w:t xml:space="preserve"> integrantes del Grupo Parlamentario del Partido MORENA a efecto de exhortar al titular de la Auditoría Superior del Estado de Guanajuato, para que lleve a cabo una auditoría financiera integral al municipio de Cortazar, que incluya todas las partidas no revisadas en auditorías previas, la que deberá incluir al menos, la verificación del apego a la legalidad de la adjudicación y contratación de bienes y servicios, así como el cumplimiento de las cláusulas contractuales de los mismos, por los ejercicios fiscales de 2019, 2020 y 2021; asimismo, para que lleve a cabo las investigaciones necesarias e informe a la brevedad al Congreso del Estado de Guanajuato, si la Contraloría del municipio de Cortazar inició proceso alguno derivado de las observaciones no solventadas de las auditorías practicadas a la administración 2018-2021 de dicho Municipio. En consecuencia, se ordena su archivo definitivo.</w:t>
      </w:r>
    </w:p>
    <w:p w14:paraId="0E1986B7" w14:textId="5F05CB34" w:rsidR="000134E6" w:rsidRDefault="000134E6" w:rsidP="000134E6">
      <w:pPr>
        <w:spacing w:after="160" w:line="259" w:lineRule="auto"/>
        <w:ind w:firstLine="708"/>
        <w:jc w:val="both"/>
        <w:rPr>
          <w:rFonts w:ascii="Abadi" w:hAnsi="Abadi" w:cs="Arial"/>
          <w:sz w:val="21"/>
          <w:szCs w:val="21"/>
          <w:lang w:val="es-MX" w:eastAsia="en-US"/>
        </w:rPr>
      </w:pPr>
      <w:r w:rsidRPr="000134E6">
        <w:rPr>
          <w:rFonts w:ascii="Abadi" w:hAnsi="Abadi" w:cs="Arial"/>
          <w:sz w:val="21"/>
          <w:szCs w:val="21"/>
          <w:lang w:val="es-MX" w:eastAsia="en-US"/>
        </w:rPr>
        <w:t xml:space="preserve">Comuníquese el presente acuerdo al Secretario General del Congreso de Estado, para los efectos conducentes. </w:t>
      </w:r>
    </w:p>
    <w:p w14:paraId="7C5176C2" w14:textId="77777777" w:rsidR="000134E6" w:rsidRPr="000134E6" w:rsidRDefault="000134E6" w:rsidP="000134E6">
      <w:pPr>
        <w:spacing w:after="160" w:line="259" w:lineRule="auto"/>
        <w:ind w:firstLine="708"/>
        <w:jc w:val="both"/>
        <w:rPr>
          <w:rFonts w:ascii="Abadi" w:hAnsi="Abadi" w:cs="Arial"/>
          <w:sz w:val="21"/>
          <w:szCs w:val="21"/>
          <w:lang w:val="es-MX" w:eastAsia="en-US"/>
        </w:rPr>
      </w:pPr>
    </w:p>
    <w:p w14:paraId="0451CE2F" w14:textId="77777777" w:rsidR="000134E6" w:rsidRPr="000134E6" w:rsidRDefault="000134E6" w:rsidP="000134E6">
      <w:pPr>
        <w:jc w:val="center"/>
        <w:rPr>
          <w:rFonts w:ascii="Abadi" w:hAnsi="Abadi"/>
          <w:b/>
          <w:bCs/>
          <w:sz w:val="21"/>
          <w:szCs w:val="21"/>
          <w:lang w:val="es-MX" w:eastAsia="x-none"/>
        </w:rPr>
      </w:pPr>
      <w:r w:rsidRPr="000134E6">
        <w:rPr>
          <w:rFonts w:ascii="Abadi" w:hAnsi="Abadi"/>
          <w:b/>
          <w:bCs/>
          <w:sz w:val="21"/>
          <w:szCs w:val="21"/>
          <w:lang w:val="es-MX" w:eastAsia="x-none"/>
        </w:rPr>
        <w:t>Guanajuato, Gto., 16 de junio de 2022</w:t>
      </w:r>
    </w:p>
    <w:p w14:paraId="515FA149" w14:textId="77777777" w:rsidR="000134E6" w:rsidRPr="000134E6" w:rsidRDefault="000134E6" w:rsidP="000134E6">
      <w:pPr>
        <w:jc w:val="center"/>
        <w:rPr>
          <w:rFonts w:ascii="Abadi" w:hAnsi="Abadi"/>
          <w:b/>
          <w:bCs/>
          <w:sz w:val="21"/>
          <w:szCs w:val="21"/>
          <w:lang w:val="es-MX" w:eastAsia="x-none"/>
        </w:rPr>
      </w:pPr>
      <w:smartTag w:uri="urn:schemas-microsoft-com:office:smarttags" w:element="PersonName">
        <w:smartTagPr>
          <w:attr w:name="ProductID" w:val="La Comisi￳n"/>
        </w:smartTagPr>
        <w:r w:rsidRPr="000134E6">
          <w:rPr>
            <w:rFonts w:ascii="Abadi" w:hAnsi="Abadi"/>
            <w:b/>
            <w:bCs/>
            <w:sz w:val="21"/>
            <w:szCs w:val="21"/>
            <w:lang w:val="es-MX" w:eastAsia="x-none"/>
          </w:rPr>
          <w:t>La Comisión</w:t>
        </w:r>
      </w:smartTag>
      <w:r w:rsidRPr="000134E6">
        <w:rPr>
          <w:rFonts w:ascii="Abadi" w:hAnsi="Abadi"/>
          <w:b/>
          <w:bCs/>
          <w:sz w:val="21"/>
          <w:szCs w:val="21"/>
          <w:lang w:val="es-MX" w:eastAsia="x-none"/>
        </w:rPr>
        <w:t xml:space="preserve"> de Hacienda y Fiscalización</w:t>
      </w:r>
    </w:p>
    <w:p w14:paraId="1B8199FF" w14:textId="77777777" w:rsidR="000134E6" w:rsidRPr="000134E6" w:rsidRDefault="000134E6" w:rsidP="000134E6">
      <w:pPr>
        <w:spacing w:after="160" w:line="259" w:lineRule="auto"/>
        <w:rPr>
          <w:rFonts w:ascii="Abadi" w:hAnsi="Abadi"/>
          <w:sz w:val="21"/>
          <w:szCs w:val="21"/>
          <w:lang w:val="es-MX" w:eastAsia="en-US"/>
        </w:rPr>
      </w:pPr>
    </w:p>
    <w:p w14:paraId="7B105589" w14:textId="20AD8C55" w:rsidR="000134E6" w:rsidRPr="000134E6" w:rsidRDefault="000134E6" w:rsidP="000134E6">
      <w:pPr>
        <w:spacing w:after="160" w:line="259" w:lineRule="auto"/>
        <w:jc w:val="center"/>
        <w:rPr>
          <w:rFonts w:ascii="Abadi" w:hAnsi="Abadi"/>
          <w:sz w:val="21"/>
          <w:szCs w:val="21"/>
          <w:lang w:val="es-MX" w:eastAsia="en-US"/>
        </w:rPr>
      </w:pPr>
      <w:r w:rsidRPr="000134E6">
        <w:rPr>
          <w:rFonts w:ascii="Abadi" w:hAnsi="Abadi"/>
          <w:b/>
          <w:sz w:val="21"/>
          <w:szCs w:val="21"/>
          <w:lang w:val="es-MX" w:eastAsia="x-none"/>
        </w:rPr>
        <w:t>Diputado Víctor Manuel Zanella Huerta</w:t>
      </w:r>
    </w:p>
    <w:p w14:paraId="3CAE75A3" w14:textId="4CA68C53" w:rsidR="000134E6" w:rsidRPr="000134E6" w:rsidRDefault="000134E6" w:rsidP="000134E6">
      <w:pPr>
        <w:spacing w:after="160" w:line="259" w:lineRule="auto"/>
        <w:jc w:val="center"/>
        <w:rPr>
          <w:rFonts w:ascii="Abadi" w:hAnsi="Abadi"/>
          <w:b/>
          <w:sz w:val="21"/>
          <w:szCs w:val="21"/>
          <w:lang w:val="es-MX" w:eastAsia="x-none"/>
        </w:rPr>
      </w:pPr>
      <w:r w:rsidRPr="000134E6">
        <w:rPr>
          <w:rFonts w:ascii="Abadi" w:hAnsi="Abadi"/>
          <w:b/>
          <w:sz w:val="21"/>
          <w:szCs w:val="21"/>
          <w:lang w:val="es-MX" w:eastAsia="x-none"/>
        </w:rPr>
        <w:t>Diputada Ruth Noemí Tiscareño Agoitia</w:t>
      </w:r>
    </w:p>
    <w:p w14:paraId="3987B4E7" w14:textId="3BD0D5EF" w:rsidR="000134E6" w:rsidRPr="000134E6" w:rsidRDefault="000134E6" w:rsidP="000134E6">
      <w:pPr>
        <w:spacing w:after="160" w:line="259" w:lineRule="auto"/>
        <w:jc w:val="center"/>
        <w:rPr>
          <w:rFonts w:ascii="Abadi" w:hAnsi="Abadi"/>
          <w:b/>
          <w:sz w:val="21"/>
          <w:szCs w:val="21"/>
          <w:lang w:val="es-MX" w:eastAsia="x-none"/>
        </w:rPr>
      </w:pPr>
      <w:r w:rsidRPr="000134E6">
        <w:rPr>
          <w:rFonts w:ascii="Abadi" w:hAnsi="Abadi"/>
          <w:b/>
          <w:sz w:val="21"/>
          <w:szCs w:val="21"/>
          <w:lang w:val="es-MX" w:eastAsia="x-none"/>
        </w:rPr>
        <w:t>Diputado Miguel Ángel Salim Alle</w:t>
      </w:r>
    </w:p>
    <w:p w14:paraId="2AC25E58" w14:textId="5FCDA9B5" w:rsidR="000134E6" w:rsidRPr="000134E6" w:rsidRDefault="000134E6" w:rsidP="000134E6">
      <w:pPr>
        <w:spacing w:after="160" w:line="259" w:lineRule="auto"/>
        <w:jc w:val="center"/>
        <w:rPr>
          <w:rFonts w:ascii="Abadi" w:hAnsi="Abadi"/>
          <w:b/>
          <w:sz w:val="21"/>
          <w:szCs w:val="21"/>
          <w:lang w:val="es-MX" w:eastAsia="x-none"/>
        </w:rPr>
      </w:pPr>
      <w:r w:rsidRPr="000134E6">
        <w:rPr>
          <w:rFonts w:ascii="Abadi" w:hAnsi="Abadi"/>
          <w:b/>
          <w:sz w:val="21"/>
          <w:szCs w:val="21"/>
          <w:lang w:val="es-MX" w:eastAsia="x-none"/>
        </w:rPr>
        <w:t>Diputado José Alfonso Borja Pimentel</w:t>
      </w:r>
    </w:p>
    <w:p w14:paraId="0851DDE3" w14:textId="44A486D4" w:rsidR="008278CF" w:rsidRPr="00117784" w:rsidRDefault="000134E6" w:rsidP="00117784">
      <w:pPr>
        <w:spacing w:after="160" w:line="259" w:lineRule="auto"/>
        <w:jc w:val="center"/>
        <w:rPr>
          <w:rFonts w:ascii="Abadi" w:hAnsi="Abadi" w:cs="Arial"/>
          <w:b/>
          <w:bCs/>
          <w:sz w:val="21"/>
          <w:szCs w:val="21"/>
          <w:lang w:val="es-MX" w:eastAsia="x-none"/>
        </w:rPr>
      </w:pPr>
      <w:r w:rsidRPr="000134E6">
        <w:rPr>
          <w:rFonts w:ascii="Abadi" w:hAnsi="Abadi"/>
          <w:b/>
          <w:sz w:val="21"/>
          <w:szCs w:val="21"/>
          <w:lang w:val="es-MX" w:eastAsia="x-none"/>
        </w:rPr>
        <w:t>Diputada Alma Edwviges Alcaraz Hernández</w:t>
      </w:r>
    </w:p>
    <w:p w14:paraId="43280D3A" w14:textId="77777777" w:rsidR="008278CF" w:rsidRPr="008278CF" w:rsidRDefault="008278CF" w:rsidP="008278CF">
      <w:pPr>
        <w:rPr>
          <w:rFonts w:ascii="Abadi" w:hAnsi="Abadi"/>
          <w:sz w:val="20"/>
          <w:szCs w:val="20"/>
        </w:rPr>
      </w:pPr>
    </w:p>
    <w:p w14:paraId="0A1DF235" w14:textId="3D3E4B4B" w:rsidR="00E7782B" w:rsidRDefault="00E7782B"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9"/>
          <w:sz w:val="20"/>
          <w:szCs w:val="20"/>
        </w:rPr>
        <w:t xml:space="preserve"> </w:t>
      </w:r>
      <w:r w:rsidRPr="00531B12">
        <w:rPr>
          <w:rFonts w:ascii="Abadi" w:hAnsi="Abadi"/>
          <w:b/>
          <w:bCs/>
          <w:sz w:val="20"/>
          <w:szCs w:val="20"/>
        </w:rPr>
        <w:t>Y,</w:t>
      </w:r>
      <w:r w:rsidRPr="00531B12">
        <w:rPr>
          <w:rFonts w:ascii="Abadi" w:hAnsi="Abadi"/>
          <w:b/>
          <w:bCs/>
          <w:spacing w:val="9"/>
          <w:sz w:val="20"/>
          <w:szCs w:val="20"/>
        </w:rPr>
        <w:t xml:space="preserve"> </w:t>
      </w:r>
      <w:r w:rsidRPr="00531B12">
        <w:rPr>
          <w:rFonts w:ascii="Abadi" w:hAnsi="Abadi"/>
          <w:b/>
          <w:bCs/>
          <w:sz w:val="20"/>
          <w:szCs w:val="20"/>
        </w:rPr>
        <w:t>EN</w:t>
      </w:r>
      <w:r w:rsidRPr="00531B12">
        <w:rPr>
          <w:rFonts w:ascii="Abadi" w:hAnsi="Abadi"/>
          <w:b/>
          <w:bCs/>
          <w:spacing w:val="9"/>
          <w:sz w:val="20"/>
          <w:szCs w:val="20"/>
        </w:rPr>
        <w:t xml:space="preserve"> </w:t>
      </w:r>
      <w:r w:rsidRPr="00531B12">
        <w:rPr>
          <w:rFonts w:ascii="Abadi" w:hAnsi="Abadi"/>
          <w:b/>
          <w:bCs/>
          <w:sz w:val="20"/>
          <w:szCs w:val="20"/>
        </w:rPr>
        <w:t>SU</w:t>
      </w:r>
      <w:r w:rsidRPr="00531B12">
        <w:rPr>
          <w:rFonts w:ascii="Abadi" w:hAnsi="Abadi"/>
          <w:b/>
          <w:bCs/>
          <w:spacing w:val="9"/>
          <w:sz w:val="20"/>
          <w:szCs w:val="20"/>
        </w:rPr>
        <w:t xml:space="preserve"> </w:t>
      </w:r>
      <w:r w:rsidRPr="00531B12">
        <w:rPr>
          <w:rFonts w:ascii="Abadi" w:hAnsi="Abadi"/>
          <w:b/>
          <w:bCs/>
          <w:sz w:val="20"/>
          <w:szCs w:val="20"/>
        </w:rPr>
        <w:t>CASO,</w:t>
      </w:r>
      <w:r w:rsidRPr="00531B12">
        <w:rPr>
          <w:rFonts w:ascii="Abadi" w:hAnsi="Abadi"/>
          <w:b/>
          <w:bCs/>
          <w:spacing w:val="9"/>
          <w:sz w:val="20"/>
          <w:szCs w:val="20"/>
        </w:rPr>
        <w:t xml:space="preserve"> </w:t>
      </w:r>
      <w:r w:rsidRPr="00531B12">
        <w:rPr>
          <w:rFonts w:ascii="Abadi" w:hAnsi="Abadi"/>
          <w:b/>
          <w:bCs/>
          <w:sz w:val="20"/>
          <w:szCs w:val="20"/>
        </w:rPr>
        <w:t>APROBACIÓN</w:t>
      </w:r>
      <w:r w:rsidRPr="00531B12">
        <w:rPr>
          <w:rFonts w:ascii="Abadi" w:hAnsi="Abadi"/>
          <w:b/>
          <w:bCs/>
          <w:spacing w:val="9"/>
          <w:sz w:val="20"/>
          <w:szCs w:val="20"/>
        </w:rPr>
        <w:t xml:space="preserve"> </w:t>
      </w:r>
      <w:r w:rsidRPr="00531B12">
        <w:rPr>
          <w:rFonts w:ascii="Abadi" w:hAnsi="Abadi"/>
          <w:b/>
          <w:bCs/>
          <w:sz w:val="20"/>
          <w:szCs w:val="20"/>
        </w:rPr>
        <w:t>DEL</w:t>
      </w:r>
      <w:r w:rsidRPr="00531B12">
        <w:rPr>
          <w:rFonts w:ascii="Abadi" w:hAnsi="Abadi"/>
          <w:b/>
          <w:bCs/>
          <w:spacing w:val="9"/>
          <w:sz w:val="20"/>
          <w:szCs w:val="20"/>
        </w:rPr>
        <w:t xml:space="preserve"> </w:t>
      </w:r>
      <w:r w:rsidRPr="00531B12">
        <w:rPr>
          <w:rFonts w:ascii="Abadi" w:hAnsi="Abadi"/>
          <w:b/>
          <w:bCs/>
          <w:sz w:val="20"/>
          <w:szCs w:val="20"/>
        </w:rPr>
        <w:t>DICTAMEN</w:t>
      </w:r>
      <w:r w:rsidRPr="00531B12">
        <w:rPr>
          <w:rFonts w:ascii="Abadi" w:hAnsi="Abadi"/>
          <w:b/>
          <w:bCs/>
          <w:spacing w:val="9"/>
          <w:sz w:val="20"/>
          <w:szCs w:val="20"/>
        </w:rPr>
        <w:t xml:space="preserve"> </w:t>
      </w:r>
      <w:r w:rsidRPr="00531B12">
        <w:rPr>
          <w:rFonts w:ascii="Abadi" w:hAnsi="Abadi"/>
          <w:b/>
          <w:bCs/>
          <w:sz w:val="20"/>
          <w:szCs w:val="20"/>
        </w:rPr>
        <w:t>SIGNADO</w:t>
      </w:r>
      <w:r w:rsidRPr="00531B12">
        <w:rPr>
          <w:rFonts w:ascii="Abadi" w:hAnsi="Abadi"/>
          <w:b/>
          <w:bCs/>
          <w:spacing w:val="9"/>
          <w:sz w:val="20"/>
          <w:szCs w:val="20"/>
        </w:rPr>
        <w:t xml:space="preserve"> </w:t>
      </w:r>
      <w:r w:rsidRPr="00531B12">
        <w:rPr>
          <w:rFonts w:ascii="Abadi" w:hAnsi="Abadi"/>
          <w:b/>
          <w:bCs/>
          <w:sz w:val="20"/>
          <w:szCs w:val="20"/>
        </w:rPr>
        <w:t>POR</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9"/>
          <w:sz w:val="20"/>
          <w:szCs w:val="20"/>
        </w:rPr>
        <w:t xml:space="preserve"> </w:t>
      </w:r>
      <w:r w:rsidRPr="00531B12">
        <w:rPr>
          <w:rFonts w:ascii="Abadi" w:hAnsi="Abadi"/>
          <w:b/>
          <w:bCs/>
          <w:sz w:val="20"/>
          <w:szCs w:val="20"/>
        </w:rPr>
        <w:t>COMISIÓN</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33"/>
          <w:sz w:val="20"/>
          <w:szCs w:val="20"/>
        </w:rPr>
        <w:t xml:space="preserve"> </w:t>
      </w:r>
      <w:r w:rsidRPr="00531B12">
        <w:rPr>
          <w:rFonts w:ascii="Abadi" w:hAnsi="Abadi"/>
          <w:b/>
          <w:bCs/>
          <w:sz w:val="20"/>
          <w:szCs w:val="20"/>
        </w:rPr>
        <w:t>HACIENDA</w:t>
      </w:r>
      <w:r w:rsidRPr="00531B12">
        <w:rPr>
          <w:rFonts w:ascii="Abadi" w:hAnsi="Abadi"/>
          <w:b/>
          <w:bCs/>
          <w:spacing w:val="32"/>
          <w:sz w:val="20"/>
          <w:szCs w:val="20"/>
        </w:rPr>
        <w:t xml:space="preserve"> </w:t>
      </w:r>
      <w:r w:rsidRPr="00531B12">
        <w:rPr>
          <w:rFonts w:ascii="Abadi" w:hAnsi="Abadi"/>
          <w:b/>
          <w:bCs/>
          <w:sz w:val="20"/>
          <w:szCs w:val="20"/>
        </w:rPr>
        <w:t>Y</w:t>
      </w:r>
      <w:r w:rsidRPr="00531B12">
        <w:rPr>
          <w:rFonts w:ascii="Abadi" w:hAnsi="Abadi"/>
          <w:b/>
          <w:bCs/>
          <w:spacing w:val="32"/>
          <w:sz w:val="20"/>
          <w:szCs w:val="20"/>
        </w:rPr>
        <w:t xml:space="preserve"> </w:t>
      </w:r>
      <w:r w:rsidRPr="00531B12">
        <w:rPr>
          <w:rFonts w:ascii="Abadi" w:hAnsi="Abadi"/>
          <w:b/>
          <w:bCs/>
          <w:sz w:val="20"/>
          <w:szCs w:val="20"/>
        </w:rPr>
        <w:t>FISCALIZACIÓN</w:t>
      </w:r>
      <w:r w:rsidRPr="00531B12">
        <w:rPr>
          <w:rFonts w:ascii="Abadi" w:hAnsi="Abadi"/>
          <w:b/>
          <w:bCs/>
          <w:spacing w:val="32"/>
          <w:sz w:val="20"/>
          <w:szCs w:val="20"/>
        </w:rPr>
        <w:t xml:space="preserve"> </w:t>
      </w:r>
      <w:r w:rsidRPr="00531B12">
        <w:rPr>
          <w:rFonts w:ascii="Abadi" w:hAnsi="Abadi"/>
          <w:b/>
          <w:bCs/>
          <w:sz w:val="20"/>
          <w:szCs w:val="20"/>
        </w:rPr>
        <w:t>RELATIVO</w:t>
      </w:r>
      <w:r w:rsidRPr="00531B12">
        <w:rPr>
          <w:rFonts w:ascii="Abadi" w:hAnsi="Abadi"/>
          <w:b/>
          <w:bCs/>
          <w:spacing w:val="32"/>
          <w:sz w:val="20"/>
          <w:szCs w:val="20"/>
        </w:rPr>
        <w:t xml:space="preserve"> </w:t>
      </w:r>
      <w:r w:rsidRPr="00531B12">
        <w:rPr>
          <w:rFonts w:ascii="Abadi" w:hAnsi="Abadi"/>
          <w:b/>
          <w:bCs/>
          <w:sz w:val="20"/>
          <w:szCs w:val="20"/>
        </w:rPr>
        <w:t>A</w:t>
      </w:r>
      <w:r w:rsidRPr="00531B12">
        <w:rPr>
          <w:rFonts w:ascii="Abadi" w:hAnsi="Abadi"/>
          <w:b/>
          <w:bCs/>
          <w:spacing w:val="33"/>
          <w:sz w:val="20"/>
          <w:szCs w:val="20"/>
        </w:rPr>
        <w:t xml:space="preserve"> </w:t>
      </w:r>
      <w:r w:rsidRPr="00531B12">
        <w:rPr>
          <w:rFonts w:ascii="Abadi" w:hAnsi="Abadi"/>
          <w:b/>
          <w:bCs/>
          <w:sz w:val="20"/>
          <w:szCs w:val="20"/>
        </w:rPr>
        <w:t>LA</w:t>
      </w:r>
      <w:r w:rsidRPr="00531B12">
        <w:rPr>
          <w:rFonts w:ascii="Abadi" w:hAnsi="Abadi"/>
          <w:b/>
          <w:bCs/>
          <w:spacing w:val="33"/>
          <w:sz w:val="20"/>
          <w:szCs w:val="20"/>
        </w:rPr>
        <w:t xml:space="preserve"> </w:t>
      </w:r>
      <w:r w:rsidRPr="00531B12">
        <w:rPr>
          <w:rFonts w:ascii="Abadi" w:hAnsi="Abadi"/>
          <w:b/>
          <w:bCs/>
          <w:sz w:val="20"/>
          <w:szCs w:val="20"/>
        </w:rPr>
        <w:t>PROPUESTA</w:t>
      </w:r>
      <w:r w:rsidRPr="00531B12">
        <w:rPr>
          <w:rFonts w:ascii="Abadi" w:hAnsi="Abadi"/>
          <w:b/>
          <w:bCs/>
          <w:spacing w:val="32"/>
          <w:sz w:val="20"/>
          <w:szCs w:val="20"/>
        </w:rPr>
        <w:t xml:space="preserve"> </w:t>
      </w:r>
      <w:r w:rsidRPr="00531B12">
        <w:rPr>
          <w:rFonts w:ascii="Abadi" w:hAnsi="Abadi"/>
          <w:b/>
          <w:bCs/>
          <w:sz w:val="20"/>
          <w:szCs w:val="20"/>
        </w:rPr>
        <w:t>DE</w:t>
      </w:r>
      <w:r w:rsidRPr="00531B12">
        <w:rPr>
          <w:rFonts w:ascii="Abadi" w:hAnsi="Abadi"/>
          <w:b/>
          <w:bCs/>
          <w:spacing w:val="32"/>
          <w:sz w:val="20"/>
          <w:szCs w:val="20"/>
        </w:rPr>
        <w:t xml:space="preserve"> </w:t>
      </w:r>
      <w:r w:rsidRPr="00531B12">
        <w:rPr>
          <w:rFonts w:ascii="Abadi" w:hAnsi="Abadi"/>
          <w:b/>
          <w:bCs/>
          <w:sz w:val="20"/>
          <w:szCs w:val="20"/>
        </w:rPr>
        <w:t>PUNTO</w:t>
      </w:r>
      <w:r w:rsidRPr="00531B12">
        <w:rPr>
          <w:rFonts w:ascii="Abadi" w:hAnsi="Abadi"/>
          <w:b/>
          <w:bCs/>
          <w:spacing w:val="32"/>
          <w:sz w:val="20"/>
          <w:szCs w:val="20"/>
        </w:rPr>
        <w:t xml:space="preserve"> </w:t>
      </w:r>
      <w:r w:rsidRPr="00531B12">
        <w:rPr>
          <w:rFonts w:ascii="Abadi" w:hAnsi="Abadi"/>
          <w:b/>
          <w:bCs/>
          <w:sz w:val="20"/>
          <w:szCs w:val="20"/>
        </w:rPr>
        <w:t>DE</w:t>
      </w:r>
      <w:r w:rsidRPr="00531B12">
        <w:rPr>
          <w:rFonts w:ascii="Abadi" w:hAnsi="Abadi"/>
          <w:b/>
          <w:bCs/>
          <w:spacing w:val="32"/>
          <w:sz w:val="20"/>
          <w:szCs w:val="20"/>
        </w:rPr>
        <w:t xml:space="preserve"> </w:t>
      </w:r>
      <w:r w:rsidRPr="00531B12">
        <w:rPr>
          <w:rFonts w:ascii="Abadi" w:hAnsi="Abadi"/>
          <w:b/>
          <w:bCs/>
          <w:sz w:val="20"/>
          <w:szCs w:val="20"/>
        </w:rPr>
        <w:t>ACUERDO</w:t>
      </w:r>
      <w:r w:rsidRPr="00531B12">
        <w:rPr>
          <w:rFonts w:ascii="Abadi" w:hAnsi="Abadi"/>
          <w:b/>
          <w:bCs/>
          <w:spacing w:val="-1"/>
          <w:sz w:val="20"/>
          <w:szCs w:val="20"/>
        </w:rPr>
        <w:t xml:space="preserve"> </w:t>
      </w:r>
      <w:r w:rsidRPr="00531B12">
        <w:rPr>
          <w:rFonts w:ascii="Abadi" w:hAnsi="Abadi"/>
          <w:b/>
          <w:bCs/>
          <w:sz w:val="20"/>
          <w:szCs w:val="20"/>
        </w:rPr>
        <w:t>FORMULADA</w:t>
      </w:r>
      <w:r w:rsidRPr="00531B12">
        <w:rPr>
          <w:rFonts w:ascii="Abadi" w:hAnsi="Abadi"/>
          <w:b/>
          <w:bCs/>
          <w:spacing w:val="25"/>
          <w:sz w:val="20"/>
          <w:szCs w:val="20"/>
        </w:rPr>
        <w:t xml:space="preserve"> </w:t>
      </w:r>
      <w:r w:rsidRPr="00531B12">
        <w:rPr>
          <w:rFonts w:ascii="Abadi" w:hAnsi="Abadi"/>
          <w:b/>
          <w:bCs/>
          <w:sz w:val="20"/>
          <w:szCs w:val="20"/>
        </w:rPr>
        <w:t>POR</w:t>
      </w:r>
      <w:r w:rsidRPr="00531B12">
        <w:rPr>
          <w:rFonts w:ascii="Abadi" w:hAnsi="Abadi"/>
          <w:b/>
          <w:bCs/>
          <w:spacing w:val="25"/>
          <w:sz w:val="20"/>
          <w:szCs w:val="20"/>
        </w:rPr>
        <w:t xml:space="preserve"> </w:t>
      </w:r>
      <w:r w:rsidRPr="00531B12">
        <w:rPr>
          <w:rFonts w:ascii="Abadi" w:hAnsi="Abadi"/>
          <w:b/>
          <w:bCs/>
          <w:sz w:val="20"/>
          <w:szCs w:val="20"/>
        </w:rPr>
        <w:t>DIPUTADAS</w:t>
      </w:r>
      <w:r w:rsidRPr="00531B12">
        <w:rPr>
          <w:rFonts w:ascii="Abadi" w:hAnsi="Abadi"/>
          <w:b/>
          <w:bCs/>
          <w:spacing w:val="25"/>
          <w:sz w:val="20"/>
          <w:szCs w:val="20"/>
        </w:rPr>
        <w:t xml:space="preserve"> </w:t>
      </w:r>
      <w:r w:rsidRPr="00531B12">
        <w:rPr>
          <w:rFonts w:ascii="Abadi" w:hAnsi="Abadi"/>
          <w:b/>
          <w:bCs/>
          <w:sz w:val="20"/>
          <w:szCs w:val="20"/>
        </w:rPr>
        <w:t>Y</w:t>
      </w:r>
      <w:r w:rsidRPr="00531B12">
        <w:rPr>
          <w:rFonts w:ascii="Abadi" w:hAnsi="Abadi"/>
          <w:b/>
          <w:bCs/>
          <w:spacing w:val="25"/>
          <w:sz w:val="20"/>
          <w:szCs w:val="20"/>
        </w:rPr>
        <w:t xml:space="preserve"> </w:t>
      </w:r>
      <w:r w:rsidRPr="00531B12">
        <w:rPr>
          <w:rFonts w:ascii="Abadi" w:hAnsi="Abadi"/>
          <w:b/>
          <w:bCs/>
          <w:sz w:val="20"/>
          <w:szCs w:val="20"/>
        </w:rPr>
        <w:t>DIPUTADOS</w:t>
      </w:r>
      <w:r w:rsidRPr="00531B12">
        <w:rPr>
          <w:rFonts w:ascii="Abadi" w:hAnsi="Abadi"/>
          <w:b/>
          <w:bCs/>
          <w:spacing w:val="25"/>
          <w:sz w:val="20"/>
          <w:szCs w:val="20"/>
        </w:rPr>
        <w:t xml:space="preserve"> </w:t>
      </w:r>
      <w:r w:rsidRPr="00531B12">
        <w:rPr>
          <w:rFonts w:ascii="Abadi" w:hAnsi="Abadi"/>
          <w:b/>
          <w:bCs/>
          <w:sz w:val="20"/>
          <w:szCs w:val="20"/>
        </w:rPr>
        <w:t>INTEGRANTES</w:t>
      </w:r>
      <w:r w:rsidRPr="00531B12">
        <w:rPr>
          <w:rFonts w:ascii="Abadi" w:hAnsi="Abadi"/>
          <w:b/>
          <w:bCs/>
          <w:spacing w:val="25"/>
          <w:sz w:val="20"/>
          <w:szCs w:val="20"/>
        </w:rPr>
        <w:t xml:space="preserve"> </w:t>
      </w:r>
      <w:r w:rsidRPr="00531B12">
        <w:rPr>
          <w:rFonts w:ascii="Abadi" w:hAnsi="Abadi"/>
          <w:b/>
          <w:bCs/>
          <w:sz w:val="20"/>
          <w:szCs w:val="20"/>
        </w:rPr>
        <w:t>DEL</w:t>
      </w:r>
      <w:r w:rsidRPr="00531B12">
        <w:rPr>
          <w:rFonts w:ascii="Abadi" w:hAnsi="Abadi"/>
          <w:b/>
          <w:bCs/>
          <w:spacing w:val="25"/>
          <w:sz w:val="20"/>
          <w:szCs w:val="20"/>
        </w:rPr>
        <w:t xml:space="preserve"> </w:t>
      </w:r>
      <w:r w:rsidRPr="00531B12">
        <w:rPr>
          <w:rFonts w:ascii="Abadi" w:hAnsi="Abadi"/>
          <w:b/>
          <w:bCs/>
          <w:sz w:val="20"/>
          <w:szCs w:val="20"/>
        </w:rPr>
        <w:t>GRUPO</w:t>
      </w:r>
      <w:r w:rsidRPr="00531B12">
        <w:rPr>
          <w:rFonts w:ascii="Abadi" w:hAnsi="Abadi"/>
          <w:b/>
          <w:bCs/>
          <w:spacing w:val="25"/>
          <w:sz w:val="20"/>
          <w:szCs w:val="20"/>
        </w:rPr>
        <w:t xml:space="preserve"> </w:t>
      </w:r>
      <w:r w:rsidRPr="00531B12">
        <w:rPr>
          <w:rFonts w:ascii="Abadi" w:hAnsi="Abadi"/>
          <w:b/>
          <w:bCs/>
          <w:sz w:val="20"/>
          <w:szCs w:val="20"/>
        </w:rPr>
        <w:t>PARLAMENTARIO</w:t>
      </w:r>
      <w:r w:rsidRPr="00531B12">
        <w:rPr>
          <w:rFonts w:ascii="Abadi" w:hAnsi="Abadi"/>
          <w:b/>
          <w:bCs/>
          <w:spacing w:val="-1"/>
          <w:sz w:val="20"/>
          <w:szCs w:val="20"/>
        </w:rPr>
        <w:t xml:space="preserve"> </w:t>
      </w:r>
      <w:r w:rsidRPr="00531B12">
        <w:rPr>
          <w:rFonts w:ascii="Abadi" w:hAnsi="Abadi"/>
          <w:b/>
          <w:bCs/>
          <w:sz w:val="20"/>
          <w:szCs w:val="20"/>
        </w:rPr>
        <w:t>DEL</w:t>
      </w:r>
      <w:r w:rsidRPr="00531B12">
        <w:rPr>
          <w:rFonts w:ascii="Abadi" w:hAnsi="Abadi"/>
          <w:b/>
          <w:bCs/>
          <w:spacing w:val="-3"/>
          <w:sz w:val="20"/>
          <w:szCs w:val="20"/>
        </w:rPr>
        <w:t xml:space="preserve"> </w:t>
      </w:r>
      <w:r w:rsidRPr="00531B12">
        <w:rPr>
          <w:rFonts w:ascii="Abadi" w:hAnsi="Abadi"/>
          <w:b/>
          <w:bCs/>
          <w:sz w:val="20"/>
          <w:szCs w:val="20"/>
        </w:rPr>
        <w:t>PARTIDO</w:t>
      </w:r>
      <w:r w:rsidRPr="00531B12">
        <w:rPr>
          <w:rFonts w:ascii="Abadi" w:hAnsi="Abadi"/>
          <w:b/>
          <w:bCs/>
          <w:spacing w:val="-3"/>
          <w:sz w:val="20"/>
          <w:szCs w:val="20"/>
        </w:rPr>
        <w:t xml:space="preserve"> </w:t>
      </w:r>
      <w:r w:rsidRPr="00531B12">
        <w:rPr>
          <w:rFonts w:ascii="Abadi" w:hAnsi="Abadi"/>
          <w:b/>
          <w:bCs/>
          <w:sz w:val="20"/>
          <w:szCs w:val="20"/>
        </w:rPr>
        <w:t>ACCIÓN</w:t>
      </w:r>
      <w:r w:rsidRPr="00531B12">
        <w:rPr>
          <w:rFonts w:ascii="Abadi" w:hAnsi="Abadi"/>
          <w:b/>
          <w:bCs/>
          <w:spacing w:val="-3"/>
          <w:sz w:val="20"/>
          <w:szCs w:val="20"/>
        </w:rPr>
        <w:t xml:space="preserve"> </w:t>
      </w:r>
      <w:r w:rsidRPr="00531B12">
        <w:rPr>
          <w:rFonts w:ascii="Abadi" w:hAnsi="Abadi"/>
          <w:b/>
          <w:bCs/>
          <w:sz w:val="20"/>
          <w:szCs w:val="20"/>
        </w:rPr>
        <w:t>NACIONAL</w:t>
      </w:r>
      <w:r w:rsidRPr="00531B12">
        <w:rPr>
          <w:rFonts w:ascii="Abadi" w:hAnsi="Abadi"/>
          <w:b/>
          <w:bCs/>
          <w:spacing w:val="-3"/>
          <w:sz w:val="20"/>
          <w:szCs w:val="20"/>
        </w:rPr>
        <w:t xml:space="preserve"> </w:t>
      </w:r>
      <w:r w:rsidRPr="00531B12">
        <w:rPr>
          <w:rFonts w:ascii="Abadi" w:hAnsi="Abadi"/>
          <w:b/>
          <w:bCs/>
          <w:sz w:val="20"/>
          <w:szCs w:val="20"/>
        </w:rPr>
        <w:t>A</w:t>
      </w:r>
      <w:r w:rsidRPr="00531B12">
        <w:rPr>
          <w:rFonts w:ascii="Abadi" w:hAnsi="Abadi"/>
          <w:b/>
          <w:bCs/>
          <w:spacing w:val="-3"/>
          <w:sz w:val="20"/>
          <w:szCs w:val="20"/>
        </w:rPr>
        <w:t xml:space="preserve"> </w:t>
      </w:r>
      <w:r w:rsidRPr="00531B12">
        <w:rPr>
          <w:rFonts w:ascii="Abadi" w:hAnsi="Abadi"/>
          <w:b/>
          <w:bCs/>
          <w:sz w:val="20"/>
          <w:szCs w:val="20"/>
        </w:rPr>
        <w:t>FIN</w:t>
      </w:r>
      <w:r w:rsidRPr="00531B12">
        <w:rPr>
          <w:rFonts w:ascii="Abadi" w:hAnsi="Abadi"/>
          <w:b/>
          <w:bCs/>
          <w:spacing w:val="-3"/>
          <w:sz w:val="20"/>
          <w:szCs w:val="20"/>
        </w:rPr>
        <w:t xml:space="preserve"> </w:t>
      </w:r>
      <w:r w:rsidRPr="00531B12">
        <w:rPr>
          <w:rFonts w:ascii="Abadi" w:hAnsi="Abadi"/>
          <w:b/>
          <w:bCs/>
          <w:sz w:val="20"/>
          <w:szCs w:val="20"/>
        </w:rPr>
        <w:t>DE</w:t>
      </w:r>
      <w:r w:rsidRPr="00531B12">
        <w:rPr>
          <w:rFonts w:ascii="Abadi" w:hAnsi="Abadi"/>
          <w:b/>
          <w:bCs/>
          <w:spacing w:val="-3"/>
          <w:sz w:val="20"/>
          <w:szCs w:val="20"/>
        </w:rPr>
        <w:t xml:space="preserve"> </w:t>
      </w:r>
      <w:r w:rsidRPr="00531B12">
        <w:rPr>
          <w:rFonts w:ascii="Abadi" w:hAnsi="Abadi"/>
          <w:b/>
          <w:bCs/>
          <w:sz w:val="20"/>
          <w:szCs w:val="20"/>
        </w:rPr>
        <w:t>INSTRUIR</w:t>
      </w:r>
      <w:r w:rsidRPr="00531B12">
        <w:rPr>
          <w:rFonts w:ascii="Abadi" w:hAnsi="Abadi"/>
          <w:b/>
          <w:bCs/>
          <w:spacing w:val="-3"/>
          <w:sz w:val="20"/>
          <w:szCs w:val="20"/>
        </w:rPr>
        <w:t xml:space="preserve"> </w:t>
      </w:r>
      <w:r w:rsidRPr="00531B12">
        <w:rPr>
          <w:rFonts w:ascii="Abadi" w:hAnsi="Abadi"/>
          <w:b/>
          <w:bCs/>
          <w:sz w:val="20"/>
          <w:szCs w:val="20"/>
        </w:rPr>
        <w:t>AL</w:t>
      </w:r>
      <w:r w:rsidRPr="00531B12">
        <w:rPr>
          <w:rFonts w:ascii="Abadi" w:hAnsi="Abadi"/>
          <w:b/>
          <w:bCs/>
          <w:spacing w:val="-3"/>
          <w:sz w:val="20"/>
          <w:szCs w:val="20"/>
        </w:rPr>
        <w:t xml:space="preserve"> </w:t>
      </w:r>
      <w:r w:rsidRPr="00531B12">
        <w:rPr>
          <w:rFonts w:ascii="Abadi" w:hAnsi="Abadi"/>
          <w:b/>
          <w:bCs/>
          <w:sz w:val="20"/>
          <w:szCs w:val="20"/>
        </w:rPr>
        <w:t>AUDITOR</w:t>
      </w:r>
      <w:r w:rsidRPr="00531B12">
        <w:rPr>
          <w:rFonts w:ascii="Abadi" w:hAnsi="Abadi"/>
          <w:b/>
          <w:bCs/>
          <w:spacing w:val="-3"/>
          <w:sz w:val="20"/>
          <w:szCs w:val="20"/>
        </w:rPr>
        <w:t xml:space="preserve"> </w:t>
      </w:r>
      <w:r w:rsidRPr="00531B12">
        <w:rPr>
          <w:rFonts w:ascii="Abadi" w:hAnsi="Abadi"/>
          <w:b/>
          <w:bCs/>
          <w:sz w:val="20"/>
          <w:szCs w:val="20"/>
        </w:rPr>
        <w:t>SUPERIOR</w:t>
      </w:r>
      <w:r w:rsidRPr="00531B12">
        <w:rPr>
          <w:rFonts w:ascii="Abadi" w:hAnsi="Abadi"/>
          <w:b/>
          <w:bCs/>
          <w:spacing w:val="-3"/>
          <w:sz w:val="20"/>
          <w:szCs w:val="20"/>
        </w:rPr>
        <w:t xml:space="preserve"> </w:t>
      </w:r>
      <w:r w:rsidRPr="00531B12">
        <w:rPr>
          <w:rFonts w:ascii="Abadi" w:hAnsi="Abadi"/>
          <w:b/>
          <w:bCs/>
          <w:sz w:val="20"/>
          <w:szCs w:val="20"/>
        </w:rPr>
        <w:t>DEL</w:t>
      </w:r>
      <w:r w:rsidRPr="00531B12">
        <w:rPr>
          <w:rFonts w:ascii="Abadi" w:hAnsi="Abadi"/>
          <w:b/>
          <w:bCs/>
          <w:spacing w:val="-3"/>
          <w:sz w:val="20"/>
          <w:szCs w:val="20"/>
        </w:rPr>
        <w:t xml:space="preserve"> </w:t>
      </w:r>
      <w:r w:rsidRPr="00531B12">
        <w:rPr>
          <w:rFonts w:ascii="Abadi" w:hAnsi="Abadi"/>
          <w:b/>
          <w:bCs/>
          <w:sz w:val="20"/>
          <w:szCs w:val="20"/>
        </w:rPr>
        <w:t>ESTADO</w:t>
      </w:r>
      <w:r w:rsidRPr="00531B12">
        <w:rPr>
          <w:rFonts w:ascii="Abadi" w:hAnsi="Abadi"/>
          <w:b/>
          <w:bCs/>
          <w:spacing w:val="-3"/>
          <w:sz w:val="20"/>
          <w:szCs w:val="20"/>
        </w:rPr>
        <w:t xml:space="preserve"> </w:t>
      </w:r>
      <w:r w:rsidRPr="00531B12">
        <w:rPr>
          <w:rFonts w:ascii="Abadi" w:hAnsi="Abadi"/>
          <w:b/>
          <w:bCs/>
          <w:sz w:val="20"/>
          <w:szCs w:val="20"/>
        </w:rPr>
        <w:t>A</w:t>
      </w:r>
      <w:r w:rsidRPr="00531B12">
        <w:rPr>
          <w:rFonts w:ascii="Abadi" w:hAnsi="Abadi"/>
          <w:b/>
          <w:bCs/>
          <w:spacing w:val="-1"/>
          <w:sz w:val="20"/>
          <w:szCs w:val="20"/>
        </w:rPr>
        <w:t xml:space="preserve"> </w:t>
      </w:r>
      <w:r w:rsidRPr="00531B12">
        <w:rPr>
          <w:rFonts w:ascii="Abadi" w:hAnsi="Abadi"/>
          <w:b/>
          <w:bCs/>
          <w:sz w:val="20"/>
          <w:szCs w:val="20"/>
        </w:rPr>
        <w:t>INCLUIR</w:t>
      </w:r>
      <w:r w:rsidRPr="00531B12">
        <w:rPr>
          <w:rFonts w:ascii="Abadi" w:hAnsi="Abadi"/>
          <w:b/>
          <w:bCs/>
          <w:spacing w:val="-2"/>
          <w:sz w:val="20"/>
          <w:szCs w:val="20"/>
        </w:rPr>
        <w:t xml:space="preserve"> </w:t>
      </w:r>
      <w:r w:rsidRPr="00531B12">
        <w:rPr>
          <w:rFonts w:ascii="Abadi" w:hAnsi="Abadi"/>
          <w:b/>
          <w:bCs/>
          <w:sz w:val="20"/>
          <w:szCs w:val="20"/>
        </w:rPr>
        <w:t>EN</w:t>
      </w:r>
      <w:r w:rsidRPr="00531B12">
        <w:rPr>
          <w:rFonts w:ascii="Abadi" w:hAnsi="Abadi"/>
          <w:b/>
          <w:bCs/>
          <w:spacing w:val="-2"/>
          <w:sz w:val="20"/>
          <w:szCs w:val="20"/>
        </w:rPr>
        <w:t xml:space="preserve"> </w:t>
      </w:r>
      <w:r w:rsidRPr="00531B12">
        <w:rPr>
          <w:rFonts w:ascii="Abadi" w:hAnsi="Abadi"/>
          <w:b/>
          <w:bCs/>
          <w:sz w:val="20"/>
          <w:szCs w:val="20"/>
        </w:rPr>
        <w:t>EL</w:t>
      </w:r>
      <w:r w:rsidRPr="00531B12">
        <w:rPr>
          <w:rFonts w:ascii="Abadi" w:hAnsi="Abadi"/>
          <w:b/>
          <w:bCs/>
          <w:spacing w:val="-2"/>
          <w:sz w:val="20"/>
          <w:szCs w:val="20"/>
        </w:rPr>
        <w:t xml:space="preserve"> </w:t>
      </w:r>
      <w:r w:rsidRPr="00531B12">
        <w:rPr>
          <w:rFonts w:ascii="Abadi" w:hAnsi="Abadi"/>
          <w:b/>
          <w:bCs/>
          <w:sz w:val="20"/>
          <w:szCs w:val="20"/>
        </w:rPr>
        <w:t>PROGRAMA</w:t>
      </w:r>
      <w:r w:rsidRPr="00531B12">
        <w:rPr>
          <w:rFonts w:ascii="Abadi" w:hAnsi="Abadi"/>
          <w:b/>
          <w:bCs/>
          <w:spacing w:val="-2"/>
          <w:sz w:val="20"/>
          <w:szCs w:val="20"/>
        </w:rPr>
        <w:t xml:space="preserve"> </w:t>
      </w:r>
      <w:r w:rsidRPr="00531B12">
        <w:rPr>
          <w:rFonts w:ascii="Abadi" w:hAnsi="Abadi"/>
          <w:b/>
          <w:bCs/>
          <w:sz w:val="20"/>
          <w:szCs w:val="20"/>
        </w:rPr>
        <w:t>GENERAL</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FISCALIZACIÓN</w:t>
      </w:r>
      <w:r w:rsidRPr="00531B12">
        <w:rPr>
          <w:rFonts w:ascii="Abadi" w:hAnsi="Abadi"/>
          <w:b/>
          <w:bCs/>
          <w:spacing w:val="-2"/>
          <w:sz w:val="20"/>
          <w:szCs w:val="20"/>
        </w:rPr>
        <w:t xml:space="preserve"> </w:t>
      </w:r>
      <w:r w:rsidRPr="00531B12">
        <w:rPr>
          <w:rFonts w:ascii="Abadi" w:hAnsi="Abadi"/>
          <w:b/>
          <w:bCs/>
          <w:sz w:val="20"/>
          <w:szCs w:val="20"/>
        </w:rPr>
        <w:t>DEL</w:t>
      </w:r>
      <w:r w:rsidRPr="00531B12">
        <w:rPr>
          <w:rFonts w:ascii="Abadi" w:hAnsi="Abadi"/>
          <w:b/>
          <w:bCs/>
          <w:spacing w:val="-2"/>
          <w:sz w:val="20"/>
          <w:szCs w:val="20"/>
        </w:rPr>
        <w:t xml:space="preserve"> </w:t>
      </w:r>
      <w:r w:rsidRPr="00531B12">
        <w:rPr>
          <w:rFonts w:ascii="Abadi" w:hAnsi="Abadi"/>
          <w:b/>
          <w:bCs/>
          <w:sz w:val="20"/>
          <w:szCs w:val="20"/>
        </w:rPr>
        <w:t>AÑO</w:t>
      </w:r>
      <w:r w:rsidRPr="00531B12">
        <w:rPr>
          <w:rFonts w:ascii="Abadi" w:hAnsi="Abadi"/>
          <w:b/>
          <w:bCs/>
          <w:spacing w:val="-2"/>
          <w:sz w:val="20"/>
          <w:szCs w:val="20"/>
        </w:rPr>
        <w:t xml:space="preserve"> </w:t>
      </w:r>
      <w:r w:rsidRPr="00531B12">
        <w:rPr>
          <w:rFonts w:ascii="Abadi" w:hAnsi="Abadi"/>
          <w:b/>
          <w:bCs/>
          <w:sz w:val="20"/>
          <w:szCs w:val="20"/>
        </w:rPr>
        <w:t>2022,</w:t>
      </w:r>
      <w:r w:rsidRPr="00531B12">
        <w:rPr>
          <w:rFonts w:ascii="Abadi" w:hAnsi="Abadi"/>
          <w:b/>
          <w:bCs/>
          <w:spacing w:val="-2"/>
          <w:sz w:val="20"/>
          <w:szCs w:val="20"/>
        </w:rPr>
        <w:t xml:space="preserve"> </w:t>
      </w:r>
      <w:r w:rsidRPr="00531B12">
        <w:rPr>
          <w:rFonts w:ascii="Abadi" w:hAnsi="Abadi"/>
          <w:b/>
          <w:bCs/>
          <w:sz w:val="20"/>
          <w:szCs w:val="20"/>
        </w:rPr>
        <w:t>LA</w:t>
      </w:r>
      <w:r w:rsidRPr="00531B12">
        <w:rPr>
          <w:rFonts w:ascii="Abadi" w:hAnsi="Abadi"/>
          <w:b/>
          <w:bCs/>
          <w:spacing w:val="-2"/>
          <w:sz w:val="20"/>
          <w:szCs w:val="20"/>
        </w:rPr>
        <w:t xml:space="preserve"> </w:t>
      </w:r>
      <w:r w:rsidRPr="00531B12">
        <w:rPr>
          <w:rFonts w:ascii="Abadi" w:hAnsi="Abadi"/>
          <w:b/>
          <w:bCs/>
          <w:sz w:val="20"/>
          <w:szCs w:val="20"/>
        </w:rPr>
        <w:t>REALIZACIÓN</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12"/>
          <w:sz w:val="20"/>
          <w:szCs w:val="20"/>
        </w:rPr>
        <w:t xml:space="preserve"> </w:t>
      </w:r>
      <w:r w:rsidRPr="00531B12">
        <w:rPr>
          <w:rFonts w:ascii="Abadi" w:hAnsi="Abadi"/>
          <w:b/>
          <w:bCs/>
          <w:sz w:val="20"/>
          <w:szCs w:val="20"/>
        </w:rPr>
        <w:t>UNA</w:t>
      </w:r>
      <w:r w:rsidRPr="00531B12">
        <w:rPr>
          <w:rFonts w:ascii="Abadi" w:hAnsi="Abadi"/>
          <w:b/>
          <w:bCs/>
          <w:spacing w:val="12"/>
          <w:sz w:val="20"/>
          <w:szCs w:val="20"/>
        </w:rPr>
        <w:t xml:space="preserve"> </w:t>
      </w:r>
      <w:r w:rsidRPr="00531B12">
        <w:rPr>
          <w:rFonts w:ascii="Abadi" w:hAnsi="Abadi"/>
          <w:b/>
          <w:bCs/>
          <w:sz w:val="20"/>
          <w:szCs w:val="20"/>
        </w:rPr>
        <w:t>AUDITORÍA</w:t>
      </w:r>
      <w:r w:rsidRPr="00531B12">
        <w:rPr>
          <w:rFonts w:ascii="Abadi" w:hAnsi="Abadi"/>
          <w:b/>
          <w:bCs/>
          <w:spacing w:val="12"/>
          <w:sz w:val="20"/>
          <w:szCs w:val="20"/>
        </w:rPr>
        <w:t xml:space="preserve"> </w:t>
      </w:r>
      <w:r w:rsidRPr="00531B12">
        <w:rPr>
          <w:rFonts w:ascii="Abadi" w:hAnsi="Abadi"/>
          <w:b/>
          <w:bCs/>
          <w:sz w:val="20"/>
          <w:szCs w:val="20"/>
        </w:rPr>
        <w:t>ESPECÍFICA</w:t>
      </w:r>
      <w:r w:rsidRPr="00531B12">
        <w:rPr>
          <w:rFonts w:ascii="Abadi" w:hAnsi="Abadi"/>
          <w:b/>
          <w:bCs/>
          <w:spacing w:val="12"/>
          <w:sz w:val="20"/>
          <w:szCs w:val="20"/>
        </w:rPr>
        <w:t xml:space="preserve"> </w:t>
      </w:r>
      <w:r w:rsidRPr="00531B12">
        <w:rPr>
          <w:rFonts w:ascii="Abadi" w:hAnsi="Abadi"/>
          <w:b/>
          <w:bCs/>
          <w:sz w:val="20"/>
          <w:szCs w:val="20"/>
        </w:rPr>
        <w:t>AL</w:t>
      </w:r>
      <w:r w:rsidRPr="00531B12">
        <w:rPr>
          <w:rFonts w:ascii="Abadi" w:hAnsi="Abadi"/>
          <w:b/>
          <w:bCs/>
          <w:spacing w:val="11"/>
          <w:sz w:val="20"/>
          <w:szCs w:val="20"/>
        </w:rPr>
        <w:t xml:space="preserve"> </w:t>
      </w:r>
      <w:r w:rsidRPr="00531B12">
        <w:rPr>
          <w:rFonts w:ascii="Abadi" w:hAnsi="Abadi"/>
          <w:b/>
          <w:bCs/>
          <w:sz w:val="20"/>
          <w:szCs w:val="20"/>
        </w:rPr>
        <w:t>MUNICIPIO</w:t>
      </w:r>
      <w:r w:rsidRPr="00531B12">
        <w:rPr>
          <w:rFonts w:ascii="Abadi" w:hAnsi="Abadi"/>
          <w:b/>
          <w:bCs/>
          <w:spacing w:val="12"/>
          <w:sz w:val="20"/>
          <w:szCs w:val="20"/>
        </w:rPr>
        <w:t xml:space="preserve"> </w:t>
      </w:r>
      <w:r w:rsidRPr="00531B12">
        <w:rPr>
          <w:rFonts w:ascii="Abadi" w:hAnsi="Abadi"/>
          <w:b/>
          <w:bCs/>
          <w:sz w:val="20"/>
          <w:szCs w:val="20"/>
        </w:rPr>
        <w:t>DE</w:t>
      </w:r>
      <w:r w:rsidRPr="00531B12">
        <w:rPr>
          <w:rFonts w:ascii="Abadi" w:hAnsi="Abadi"/>
          <w:b/>
          <w:bCs/>
          <w:spacing w:val="12"/>
          <w:sz w:val="20"/>
          <w:szCs w:val="20"/>
        </w:rPr>
        <w:t xml:space="preserve"> </w:t>
      </w:r>
      <w:r w:rsidRPr="00531B12">
        <w:rPr>
          <w:rFonts w:ascii="Abadi" w:hAnsi="Abadi"/>
          <w:b/>
          <w:bCs/>
          <w:sz w:val="20"/>
          <w:szCs w:val="20"/>
        </w:rPr>
        <w:t>SAN</w:t>
      </w:r>
      <w:r w:rsidRPr="00531B12">
        <w:rPr>
          <w:rFonts w:ascii="Abadi" w:hAnsi="Abadi"/>
          <w:b/>
          <w:bCs/>
          <w:spacing w:val="12"/>
          <w:sz w:val="20"/>
          <w:szCs w:val="20"/>
        </w:rPr>
        <w:t xml:space="preserve"> </w:t>
      </w:r>
      <w:r w:rsidRPr="00531B12">
        <w:rPr>
          <w:rFonts w:ascii="Abadi" w:hAnsi="Abadi"/>
          <w:b/>
          <w:bCs/>
          <w:sz w:val="20"/>
          <w:szCs w:val="20"/>
        </w:rPr>
        <w:t>MIGUEL</w:t>
      </w:r>
      <w:r w:rsidRPr="00531B12">
        <w:rPr>
          <w:rFonts w:ascii="Abadi" w:hAnsi="Abadi"/>
          <w:b/>
          <w:bCs/>
          <w:spacing w:val="11"/>
          <w:sz w:val="20"/>
          <w:szCs w:val="20"/>
        </w:rPr>
        <w:t xml:space="preserve"> </w:t>
      </w:r>
      <w:r w:rsidRPr="00531B12">
        <w:rPr>
          <w:rFonts w:ascii="Abadi" w:hAnsi="Abadi"/>
          <w:b/>
          <w:bCs/>
          <w:sz w:val="20"/>
          <w:szCs w:val="20"/>
        </w:rPr>
        <w:t>DE</w:t>
      </w:r>
      <w:r w:rsidRPr="00531B12">
        <w:rPr>
          <w:rFonts w:ascii="Abadi" w:hAnsi="Abadi"/>
          <w:b/>
          <w:bCs/>
          <w:spacing w:val="12"/>
          <w:sz w:val="20"/>
          <w:szCs w:val="20"/>
        </w:rPr>
        <w:t xml:space="preserve"> </w:t>
      </w:r>
      <w:r w:rsidRPr="00531B12">
        <w:rPr>
          <w:rFonts w:ascii="Abadi" w:hAnsi="Abadi"/>
          <w:b/>
          <w:bCs/>
          <w:sz w:val="20"/>
          <w:szCs w:val="20"/>
        </w:rPr>
        <w:t>ALLENDE,</w:t>
      </w:r>
      <w:r w:rsidRPr="00531B12">
        <w:rPr>
          <w:rFonts w:ascii="Abadi" w:hAnsi="Abadi"/>
          <w:b/>
          <w:bCs/>
          <w:spacing w:val="12"/>
          <w:sz w:val="20"/>
          <w:szCs w:val="20"/>
        </w:rPr>
        <w:t xml:space="preserve"> </w:t>
      </w:r>
      <w:r w:rsidRPr="00531B12">
        <w:rPr>
          <w:rFonts w:ascii="Abadi" w:hAnsi="Abadi"/>
          <w:b/>
          <w:bCs/>
          <w:sz w:val="20"/>
          <w:szCs w:val="20"/>
        </w:rPr>
        <w:t>GTO.,</w:t>
      </w:r>
      <w:r w:rsidRPr="00531B12">
        <w:rPr>
          <w:rFonts w:ascii="Abadi" w:hAnsi="Abadi"/>
          <w:b/>
          <w:bCs/>
          <w:spacing w:val="11"/>
          <w:sz w:val="20"/>
          <w:szCs w:val="20"/>
        </w:rPr>
        <w:t xml:space="preserve"> </w:t>
      </w:r>
      <w:r w:rsidRPr="00531B12">
        <w:rPr>
          <w:rFonts w:ascii="Abadi" w:hAnsi="Abadi"/>
          <w:b/>
          <w:bCs/>
          <w:sz w:val="20"/>
          <w:szCs w:val="20"/>
        </w:rPr>
        <w:t>A</w:t>
      </w:r>
      <w:r w:rsidRPr="00531B12">
        <w:rPr>
          <w:rFonts w:ascii="Abadi" w:hAnsi="Abadi"/>
          <w:b/>
          <w:bCs/>
          <w:spacing w:val="-1"/>
          <w:sz w:val="20"/>
          <w:szCs w:val="20"/>
        </w:rPr>
        <w:t xml:space="preserve"> </w:t>
      </w:r>
      <w:r w:rsidRPr="00531B12">
        <w:rPr>
          <w:rFonts w:ascii="Abadi" w:hAnsi="Abadi"/>
          <w:b/>
          <w:bCs/>
          <w:sz w:val="20"/>
          <w:szCs w:val="20"/>
        </w:rPr>
        <w:t>LA</w:t>
      </w:r>
      <w:r w:rsidRPr="00531B12">
        <w:rPr>
          <w:rFonts w:ascii="Abadi" w:hAnsi="Abadi"/>
          <w:b/>
          <w:bCs/>
          <w:spacing w:val="46"/>
          <w:sz w:val="20"/>
          <w:szCs w:val="20"/>
        </w:rPr>
        <w:t xml:space="preserve"> </w:t>
      </w:r>
      <w:r w:rsidRPr="00531B12">
        <w:rPr>
          <w:rFonts w:ascii="Abadi" w:hAnsi="Abadi"/>
          <w:b/>
          <w:bCs/>
          <w:sz w:val="20"/>
          <w:szCs w:val="20"/>
        </w:rPr>
        <w:t>EJECUCIÓN</w:t>
      </w:r>
      <w:r w:rsidRPr="00531B12">
        <w:rPr>
          <w:rFonts w:ascii="Abadi" w:hAnsi="Abadi"/>
          <w:b/>
          <w:bCs/>
          <w:spacing w:val="46"/>
          <w:sz w:val="20"/>
          <w:szCs w:val="20"/>
        </w:rPr>
        <w:t xml:space="preserve"> </w:t>
      </w:r>
      <w:r w:rsidRPr="00531B12">
        <w:rPr>
          <w:rFonts w:ascii="Abadi" w:hAnsi="Abadi"/>
          <w:b/>
          <w:bCs/>
          <w:sz w:val="20"/>
          <w:szCs w:val="20"/>
        </w:rPr>
        <w:t>Y</w:t>
      </w:r>
      <w:r w:rsidRPr="00531B12">
        <w:rPr>
          <w:rFonts w:ascii="Abadi" w:hAnsi="Abadi"/>
          <w:b/>
          <w:bCs/>
          <w:spacing w:val="46"/>
          <w:sz w:val="20"/>
          <w:szCs w:val="20"/>
        </w:rPr>
        <w:t xml:space="preserve"> </w:t>
      </w:r>
      <w:r w:rsidRPr="00531B12">
        <w:rPr>
          <w:rFonts w:ascii="Abadi" w:hAnsi="Abadi"/>
          <w:b/>
          <w:bCs/>
          <w:sz w:val="20"/>
          <w:szCs w:val="20"/>
        </w:rPr>
        <w:t>CUMPLIMIENTO</w:t>
      </w:r>
      <w:r w:rsidRPr="00531B12">
        <w:rPr>
          <w:rFonts w:ascii="Abadi" w:hAnsi="Abadi"/>
          <w:b/>
          <w:bCs/>
          <w:spacing w:val="46"/>
          <w:sz w:val="20"/>
          <w:szCs w:val="20"/>
        </w:rPr>
        <w:t xml:space="preserve"> </w:t>
      </w:r>
      <w:r w:rsidRPr="00531B12">
        <w:rPr>
          <w:rFonts w:ascii="Abadi" w:hAnsi="Abadi"/>
          <w:b/>
          <w:bCs/>
          <w:sz w:val="20"/>
          <w:szCs w:val="20"/>
        </w:rPr>
        <w:t>DEL</w:t>
      </w:r>
      <w:r w:rsidRPr="00531B12">
        <w:rPr>
          <w:rFonts w:ascii="Abadi" w:hAnsi="Abadi"/>
          <w:b/>
          <w:bCs/>
          <w:spacing w:val="46"/>
          <w:sz w:val="20"/>
          <w:szCs w:val="20"/>
        </w:rPr>
        <w:t xml:space="preserve"> </w:t>
      </w:r>
      <w:r w:rsidRPr="00531B12">
        <w:rPr>
          <w:rFonts w:ascii="Abadi" w:hAnsi="Abadi"/>
          <w:b/>
          <w:bCs/>
          <w:sz w:val="20"/>
          <w:szCs w:val="20"/>
        </w:rPr>
        <w:t>CONTRATO</w:t>
      </w:r>
      <w:r w:rsidRPr="00531B12">
        <w:rPr>
          <w:rFonts w:ascii="Abadi" w:hAnsi="Abadi"/>
          <w:b/>
          <w:bCs/>
          <w:spacing w:val="46"/>
          <w:sz w:val="20"/>
          <w:szCs w:val="20"/>
        </w:rPr>
        <w:t xml:space="preserve"> </w:t>
      </w:r>
      <w:r w:rsidRPr="00531B12">
        <w:rPr>
          <w:rFonts w:ascii="Abadi" w:hAnsi="Abadi"/>
          <w:b/>
          <w:bCs/>
          <w:sz w:val="20"/>
          <w:szCs w:val="20"/>
        </w:rPr>
        <w:t>DE</w:t>
      </w:r>
      <w:r w:rsidRPr="00531B12">
        <w:rPr>
          <w:rFonts w:ascii="Abadi" w:hAnsi="Abadi"/>
          <w:b/>
          <w:bCs/>
          <w:spacing w:val="46"/>
          <w:sz w:val="20"/>
          <w:szCs w:val="20"/>
        </w:rPr>
        <w:t xml:space="preserve"> </w:t>
      </w:r>
      <w:r w:rsidRPr="00531B12">
        <w:rPr>
          <w:rFonts w:ascii="Abadi" w:hAnsi="Abadi"/>
          <w:b/>
          <w:bCs/>
          <w:sz w:val="20"/>
          <w:szCs w:val="20"/>
        </w:rPr>
        <w:t>ARRENDAMIENTO</w:t>
      </w:r>
      <w:r w:rsidRPr="00531B12">
        <w:rPr>
          <w:rFonts w:ascii="Abadi" w:hAnsi="Abadi"/>
          <w:b/>
          <w:bCs/>
          <w:spacing w:val="46"/>
          <w:sz w:val="20"/>
          <w:szCs w:val="20"/>
        </w:rPr>
        <w:t xml:space="preserve"> </w:t>
      </w:r>
      <w:r w:rsidRPr="00531B12">
        <w:rPr>
          <w:rFonts w:ascii="Abadi" w:hAnsi="Abadi"/>
          <w:b/>
          <w:bCs/>
          <w:sz w:val="20"/>
          <w:szCs w:val="20"/>
        </w:rPr>
        <w:t>PURO</w:t>
      </w:r>
      <w:r w:rsidRPr="00531B12">
        <w:rPr>
          <w:rFonts w:ascii="Abadi" w:hAnsi="Abadi"/>
          <w:b/>
          <w:bCs/>
          <w:spacing w:val="46"/>
          <w:sz w:val="20"/>
          <w:szCs w:val="20"/>
        </w:rPr>
        <w:t xml:space="preserve"> </w:t>
      </w:r>
      <w:r w:rsidRPr="00531B12">
        <w:rPr>
          <w:rFonts w:ascii="Abadi" w:hAnsi="Abadi"/>
          <w:b/>
          <w:bCs/>
          <w:sz w:val="20"/>
          <w:szCs w:val="20"/>
        </w:rPr>
        <w:t>CON</w:t>
      </w:r>
      <w:r w:rsidRPr="00531B12">
        <w:rPr>
          <w:rFonts w:ascii="Abadi" w:hAnsi="Abadi"/>
          <w:b/>
          <w:bCs/>
          <w:spacing w:val="46"/>
          <w:sz w:val="20"/>
          <w:szCs w:val="20"/>
        </w:rPr>
        <w:t xml:space="preserve"> </w:t>
      </w:r>
      <w:r w:rsidRPr="00531B12">
        <w:rPr>
          <w:rFonts w:ascii="Abadi" w:hAnsi="Abadi"/>
          <w:b/>
          <w:bCs/>
          <w:sz w:val="20"/>
          <w:szCs w:val="20"/>
        </w:rPr>
        <w:t>LAS</w:t>
      </w:r>
      <w:r w:rsidRPr="00531B12">
        <w:rPr>
          <w:rFonts w:ascii="Abadi" w:hAnsi="Abadi"/>
          <w:b/>
          <w:bCs/>
          <w:spacing w:val="-1"/>
          <w:sz w:val="20"/>
          <w:szCs w:val="20"/>
        </w:rPr>
        <w:t xml:space="preserve"> </w:t>
      </w:r>
      <w:r w:rsidRPr="00531B12">
        <w:rPr>
          <w:rFonts w:ascii="Abadi" w:hAnsi="Abadi"/>
          <w:b/>
          <w:bCs/>
          <w:sz w:val="20"/>
          <w:szCs w:val="20"/>
        </w:rPr>
        <w:t>EMPRESAS</w:t>
      </w:r>
      <w:r w:rsidRPr="00531B12">
        <w:rPr>
          <w:rFonts w:ascii="Abadi" w:hAnsi="Abadi"/>
          <w:b/>
          <w:bCs/>
          <w:spacing w:val="21"/>
          <w:sz w:val="20"/>
          <w:szCs w:val="20"/>
        </w:rPr>
        <w:t xml:space="preserve"> </w:t>
      </w:r>
      <w:r w:rsidRPr="00531B12">
        <w:rPr>
          <w:rFonts w:ascii="Abadi" w:hAnsi="Abadi"/>
          <w:b/>
          <w:bCs/>
          <w:i/>
          <w:iCs/>
          <w:sz w:val="20"/>
          <w:szCs w:val="20"/>
        </w:rPr>
        <w:t>BERCALE</w:t>
      </w:r>
      <w:r w:rsidRPr="00531B12">
        <w:rPr>
          <w:rFonts w:ascii="Abadi" w:hAnsi="Abadi"/>
          <w:b/>
          <w:bCs/>
          <w:i/>
          <w:iCs/>
          <w:spacing w:val="21"/>
          <w:sz w:val="20"/>
          <w:szCs w:val="20"/>
        </w:rPr>
        <w:t xml:space="preserve"> </w:t>
      </w:r>
      <w:r w:rsidRPr="00531B12">
        <w:rPr>
          <w:rFonts w:ascii="Abadi" w:hAnsi="Abadi"/>
          <w:b/>
          <w:bCs/>
          <w:i/>
          <w:iCs/>
          <w:sz w:val="20"/>
          <w:szCs w:val="20"/>
        </w:rPr>
        <w:t>SERVICES,</w:t>
      </w:r>
      <w:r w:rsidRPr="00531B12">
        <w:rPr>
          <w:rFonts w:ascii="Abadi" w:hAnsi="Abadi"/>
          <w:b/>
          <w:bCs/>
          <w:i/>
          <w:iCs/>
          <w:spacing w:val="21"/>
          <w:sz w:val="20"/>
          <w:szCs w:val="20"/>
        </w:rPr>
        <w:t xml:space="preserve"> </w:t>
      </w:r>
      <w:r w:rsidRPr="00531B12">
        <w:rPr>
          <w:rFonts w:ascii="Abadi" w:hAnsi="Abadi"/>
          <w:b/>
          <w:bCs/>
          <w:i/>
          <w:iCs/>
          <w:sz w:val="20"/>
          <w:szCs w:val="20"/>
        </w:rPr>
        <w:t>S.A.</w:t>
      </w:r>
      <w:r w:rsidRPr="00531B12">
        <w:rPr>
          <w:rFonts w:ascii="Abadi" w:hAnsi="Abadi"/>
          <w:b/>
          <w:bCs/>
          <w:i/>
          <w:iCs/>
          <w:spacing w:val="21"/>
          <w:sz w:val="20"/>
          <w:szCs w:val="20"/>
        </w:rPr>
        <w:t xml:space="preserve"> </w:t>
      </w:r>
      <w:r w:rsidRPr="00531B12">
        <w:rPr>
          <w:rFonts w:ascii="Abadi" w:hAnsi="Abadi"/>
          <w:b/>
          <w:bCs/>
          <w:i/>
          <w:iCs/>
          <w:sz w:val="20"/>
          <w:szCs w:val="20"/>
        </w:rPr>
        <w:t>DE</w:t>
      </w:r>
      <w:r w:rsidRPr="00531B12">
        <w:rPr>
          <w:rFonts w:ascii="Abadi" w:hAnsi="Abadi"/>
          <w:b/>
          <w:bCs/>
          <w:i/>
          <w:iCs/>
          <w:spacing w:val="21"/>
          <w:sz w:val="20"/>
          <w:szCs w:val="20"/>
        </w:rPr>
        <w:t xml:space="preserve"> </w:t>
      </w:r>
      <w:r w:rsidRPr="00531B12">
        <w:rPr>
          <w:rFonts w:ascii="Abadi" w:hAnsi="Abadi"/>
          <w:b/>
          <w:bCs/>
          <w:i/>
          <w:iCs/>
          <w:sz w:val="20"/>
          <w:szCs w:val="20"/>
        </w:rPr>
        <w:t>C.</w:t>
      </w:r>
      <w:r w:rsidRPr="00531B12">
        <w:rPr>
          <w:rFonts w:ascii="Abadi" w:hAnsi="Abadi"/>
          <w:b/>
          <w:bCs/>
          <w:i/>
          <w:iCs/>
          <w:spacing w:val="21"/>
          <w:sz w:val="20"/>
          <w:szCs w:val="20"/>
        </w:rPr>
        <w:t xml:space="preserve"> </w:t>
      </w:r>
      <w:r w:rsidRPr="00531B12">
        <w:rPr>
          <w:rFonts w:ascii="Abadi" w:hAnsi="Abadi"/>
          <w:b/>
          <w:bCs/>
          <w:i/>
          <w:iCs/>
          <w:sz w:val="20"/>
          <w:szCs w:val="20"/>
        </w:rPr>
        <w:t>V.,</w:t>
      </w:r>
      <w:r w:rsidRPr="00531B12">
        <w:rPr>
          <w:rFonts w:ascii="Abadi" w:hAnsi="Abadi"/>
          <w:b/>
          <w:bCs/>
          <w:i/>
          <w:iCs/>
          <w:spacing w:val="21"/>
          <w:sz w:val="20"/>
          <w:szCs w:val="20"/>
        </w:rPr>
        <w:t xml:space="preserve"> </w:t>
      </w:r>
      <w:r w:rsidRPr="00531B12">
        <w:rPr>
          <w:rFonts w:ascii="Abadi" w:hAnsi="Abadi"/>
          <w:b/>
          <w:bCs/>
          <w:sz w:val="20"/>
          <w:szCs w:val="20"/>
        </w:rPr>
        <w:t>Y</w:t>
      </w:r>
      <w:r w:rsidRPr="00531B12">
        <w:rPr>
          <w:rFonts w:ascii="Abadi" w:hAnsi="Abadi"/>
          <w:b/>
          <w:bCs/>
          <w:spacing w:val="21"/>
          <w:sz w:val="20"/>
          <w:szCs w:val="20"/>
        </w:rPr>
        <w:t xml:space="preserve"> </w:t>
      </w:r>
      <w:r w:rsidRPr="00531B12">
        <w:rPr>
          <w:rFonts w:ascii="Abadi" w:hAnsi="Abadi"/>
          <w:b/>
          <w:bCs/>
          <w:i/>
          <w:iCs/>
          <w:sz w:val="20"/>
          <w:szCs w:val="20"/>
        </w:rPr>
        <w:t>LUMO</w:t>
      </w:r>
      <w:r w:rsidRPr="00531B12">
        <w:rPr>
          <w:rFonts w:ascii="Abadi" w:hAnsi="Abadi"/>
          <w:b/>
          <w:bCs/>
          <w:i/>
          <w:iCs/>
          <w:spacing w:val="21"/>
          <w:sz w:val="20"/>
          <w:szCs w:val="20"/>
        </w:rPr>
        <w:t xml:space="preserve"> </w:t>
      </w:r>
      <w:r w:rsidRPr="00531B12">
        <w:rPr>
          <w:rFonts w:ascii="Abadi" w:hAnsi="Abadi"/>
          <w:b/>
          <w:bCs/>
          <w:i/>
          <w:iCs/>
          <w:sz w:val="20"/>
          <w:szCs w:val="20"/>
        </w:rPr>
        <w:t>FINANCIERA</w:t>
      </w:r>
      <w:r w:rsidRPr="00531B12">
        <w:rPr>
          <w:rFonts w:ascii="Abadi" w:hAnsi="Abadi"/>
          <w:b/>
          <w:bCs/>
          <w:i/>
          <w:iCs/>
          <w:spacing w:val="21"/>
          <w:sz w:val="20"/>
          <w:szCs w:val="20"/>
        </w:rPr>
        <w:t xml:space="preserve"> </w:t>
      </w:r>
      <w:r w:rsidRPr="00531B12">
        <w:rPr>
          <w:rFonts w:ascii="Abadi" w:hAnsi="Abadi"/>
          <w:b/>
          <w:bCs/>
          <w:i/>
          <w:iCs/>
          <w:sz w:val="20"/>
          <w:szCs w:val="20"/>
        </w:rPr>
        <w:t>DEL</w:t>
      </w:r>
      <w:r w:rsidRPr="00531B12">
        <w:rPr>
          <w:rFonts w:ascii="Abadi" w:hAnsi="Abadi"/>
          <w:b/>
          <w:bCs/>
          <w:i/>
          <w:iCs/>
          <w:spacing w:val="21"/>
          <w:sz w:val="20"/>
          <w:szCs w:val="20"/>
        </w:rPr>
        <w:t xml:space="preserve"> </w:t>
      </w:r>
      <w:r w:rsidRPr="00531B12">
        <w:rPr>
          <w:rFonts w:ascii="Abadi" w:hAnsi="Abadi"/>
          <w:b/>
          <w:bCs/>
          <w:i/>
          <w:iCs/>
          <w:sz w:val="20"/>
          <w:szCs w:val="20"/>
        </w:rPr>
        <w:t xml:space="preserve">CENTRO, S.A. DE C. V., </w:t>
      </w:r>
      <w:r w:rsidRPr="00531B12">
        <w:rPr>
          <w:rFonts w:ascii="Abadi" w:hAnsi="Abadi"/>
          <w:b/>
          <w:bCs/>
          <w:sz w:val="20"/>
          <w:szCs w:val="20"/>
        </w:rPr>
        <w:t>NÚMERO SSP-001-07-2019 Y SU MODIFICATORIO.</w:t>
      </w:r>
    </w:p>
    <w:p w14:paraId="0C4EF504" w14:textId="6E0E3307" w:rsidR="00CA4D25" w:rsidRDefault="00CA4D25" w:rsidP="007335C8">
      <w:pPr>
        <w:rPr>
          <w:rFonts w:ascii="Abadi" w:hAnsi="Abadi"/>
          <w:b/>
          <w:bCs/>
          <w:sz w:val="20"/>
          <w:szCs w:val="20"/>
        </w:rPr>
      </w:pPr>
    </w:p>
    <w:p w14:paraId="6409E53F" w14:textId="77777777" w:rsidR="00484F0F" w:rsidRPr="00484F0F" w:rsidRDefault="00484F0F" w:rsidP="00484F0F">
      <w:pPr>
        <w:rPr>
          <w:rFonts w:ascii="Abadi" w:hAnsi="Abadi" w:cs="Arial"/>
          <w:b/>
          <w:iCs/>
          <w:smallCaps/>
          <w:sz w:val="21"/>
          <w:szCs w:val="21"/>
        </w:rPr>
      </w:pPr>
      <w:r w:rsidRPr="00484F0F">
        <w:rPr>
          <w:rFonts w:ascii="Abadi" w:hAnsi="Abadi" w:cs="Arial"/>
          <w:b/>
          <w:iCs/>
          <w:smallCaps/>
          <w:sz w:val="21"/>
          <w:szCs w:val="21"/>
        </w:rPr>
        <w:t>C. Presidenta del Congreso del Estado</w:t>
      </w:r>
    </w:p>
    <w:p w14:paraId="6AAC9F8A" w14:textId="77777777" w:rsidR="00484F0F" w:rsidRPr="00484F0F" w:rsidRDefault="00484F0F" w:rsidP="00484F0F">
      <w:pPr>
        <w:jc w:val="both"/>
        <w:rPr>
          <w:rFonts w:ascii="Abadi" w:hAnsi="Abadi" w:cs="Arial"/>
          <w:b/>
          <w:iCs/>
          <w:smallCaps/>
          <w:sz w:val="21"/>
          <w:szCs w:val="21"/>
        </w:rPr>
      </w:pPr>
      <w:r w:rsidRPr="00484F0F">
        <w:rPr>
          <w:rFonts w:ascii="Abadi" w:hAnsi="Abadi" w:cs="Arial"/>
          <w:b/>
          <w:iCs/>
          <w:smallCaps/>
          <w:sz w:val="21"/>
          <w:szCs w:val="21"/>
        </w:rPr>
        <w:t>P r e s e n t e.</w:t>
      </w:r>
    </w:p>
    <w:p w14:paraId="7B71626C" w14:textId="77777777" w:rsidR="00484F0F" w:rsidRPr="00484F0F" w:rsidRDefault="00484F0F" w:rsidP="00484F0F">
      <w:pPr>
        <w:spacing w:line="360" w:lineRule="auto"/>
        <w:jc w:val="both"/>
        <w:rPr>
          <w:rFonts w:ascii="Abadi" w:hAnsi="Abadi" w:cs="Arial"/>
          <w:iCs/>
          <w:sz w:val="21"/>
          <w:szCs w:val="21"/>
        </w:rPr>
      </w:pPr>
    </w:p>
    <w:p w14:paraId="47D9BBA6" w14:textId="77777777" w:rsidR="00484F0F" w:rsidRPr="00484F0F" w:rsidRDefault="00484F0F" w:rsidP="00484F0F">
      <w:pPr>
        <w:jc w:val="both"/>
        <w:rPr>
          <w:rFonts w:ascii="Abadi" w:hAnsi="Abadi" w:cs="Arial"/>
          <w:iCs/>
          <w:sz w:val="21"/>
          <w:szCs w:val="21"/>
        </w:rPr>
      </w:pPr>
      <w:r w:rsidRPr="00484F0F">
        <w:rPr>
          <w:rFonts w:ascii="Abadi" w:hAnsi="Abadi" w:cs="Arial"/>
          <w:iCs/>
          <w:sz w:val="21"/>
          <w:szCs w:val="21"/>
        </w:rPr>
        <w:tab/>
        <w:t xml:space="preserve">A esta Comisión de Hacienda y Fiscalización le fue turnada para efectos de su estudio y dictamen, la propuesta de punto de acuerdo formulada por diputadas y diputados integrantes del Grupo Parlamentario del Partido Acción Nacional a fin de instruir al Auditor Superior del Estado a incluir en el Programa General de Fiscalización del año 2022, la realización de una auditoría específica al municipio de San Miguel de Allende, Gto., a la ejecución y cumplimiento del contrato de arrendamiento puro con las empresas </w:t>
      </w:r>
      <w:r w:rsidRPr="00484F0F">
        <w:rPr>
          <w:rFonts w:ascii="Abadi" w:hAnsi="Abadi" w:cs="Arial"/>
          <w:i/>
          <w:sz w:val="21"/>
          <w:szCs w:val="21"/>
        </w:rPr>
        <w:t>Bercale Services, S.A. de C. V.,</w:t>
      </w:r>
      <w:r w:rsidRPr="00484F0F">
        <w:rPr>
          <w:rFonts w:ascii="Abadi" w:hAnsi="Abadi" w:cs="Arial"/>
          <w:iCs/>
          <w:sz w:val="21"/>
          <w:szCs w:val="21"/>
        </w:rPr>
        <w:t xml:space="preserve"> y </w:t>
      </w:r>
      <w:r w:rsidRPr="00484F0F">
        <w:rPr>
          <w:rFonts w:ascii="Abadi" w:hAnsi="Abadi" w:cs="Arial"/>
          <w:i/>
          <w:sz w:val="21"/>
          <w:szCs w:val="21"/>
        </w:rPr>
        <w:t>Lumo Financiera del Centro, S.A. de C. V.,</w:t>
      </w:r>
      <w:r w:rsidRPr="00484F0F">
        <w:rPr>
          <w:rFonts w:ascii="Abadi" w:hAnsi="Abadi" w:cs="Arial"/>
          <w:iCs/>
          <w:sz w:val="21"/>
          <w:szCs w:val="21"/>
        </w:rPr>
        <w:t xml:space="preserve"> número SSP-001-07-2019 y su modificatorio.</w:t>
      </w:r>
    </w:p>
    <w:p w14:paraId="0700B73C" w14:textId="77777777" w:rsidR="00484F0F" w:rsidRPr="00484F0F" w:rsidRDefault="00484F0F" w:rsidP="00484F0F">
      <w:pPr>
        <w:jc w:val="both"/>
        <w:rPr>
          <w:rFonts w:ascii="Abadi" w:hAnsi="Abadi" w:cs="Arial"/>
          <w:iCs/>
          <w:sz w:val="21"/>
          <w:szCs w:val="21"/>
        </w:rPr>
      </w:pPr>
    </w:p>
    <w:p w14:paraId="418229CD" w14:textId="77777777" w:rsidR="00484F0F" w:rsidRPr="00484F0F" w:rsidRDefault="00484F0F" w:rsidP="00484F0F">
      <w:pPr>
        <w:jc w:val="both"/>
        <w:rPr>
          <w:rFonts w:ascii="Abadi" w:hAnsi="Abadi" w:cs="Arial"/>
          <w:iCs/>
          <w:sz w:val="21"/>
          <w:szCs w:val="21"/>
        </w:rPr>
      </w:pPr>
      <w:r w:rsidRPr="00484F0F">
        <w:rPr>
          <w:rFonts w:ascii="Abadi" w:hAnsi="Abadi" w:cs="Arial"/>
          <w:iCs/>
          <w:sz w:val="21"/>
          <w:szCs w:val="21"/>
        </w:rPr>
        <w:tab/>
        <w:t xml:space="preserve">Analizada la propuesta de referencia, con fundamento en los artículos 75, 89, fracción V, 112, fracción XV y 171 de </w:t>
      </w:r>
      <w:smartTag w:uri="urn:schemas-microsoft-com:office:smarttags" w:element="PersonName">
        <w:smartTagPr>
          <w:attr w:name="ProductID" w:val="la Ley Org￡nica"/>
        </w:smartTagPr>
        <w:r w:rsidRPr="00484F0F">
          <w:rPr>
            <w:rFonts w:ascii="Abadi" w:hAnsi="Abadi" w:cs="Arial"/>
            <w:iCs/>
            <w:sz w:val="21"/>
            <w:szCs w:val="21"/>
          </w:rPr>
          <w:t>la Ley Orgánica</w:t>
        </w:r>
      </w:smartTag>
      <w:r w:rsidRPr="00484F0F">
        <w:rPr>
          <w:rFonts w:ascii="Abadi" w:hAnsi="Abadi" w:cs="Arial"/>
          <w:iCs/>
          <w:sz w:val="21"/>
          <w:szCs w:val="21"/>
        </w:rPr>
        <w:t xml:space="preserve"> del Poder Legislativo del Estado de Guanajuato nos permitimos rendir el siguiente:</w:t>
      </w:r>
    </w:p>
    <w:p w14:paraId="398A6F5F" w14:textId="77777777" w:rsidR="00484F0F" w:rsidRPr="00484F0F" w:rsidRDefault="00484F0F" w:rsidP="00484F0F">
      <w:pPr>
        <w:spacing w:line="360" w:lineRule="auto"/>
        <w:jc w:val="both"/>
        <w:rPr>
          <w:rFonts w:ascii="Abadi" w:hAnsi="Abadi" w:cs="Arial"/>
          <w:iCs/>
          <w:sz w:val="21"/>
          <w:szCs w:val="21"/>
        </w:rPr>
      </w:pPr>
    </w:p>
    <w:p w14:paraId="0EDF5772" w14:textId="77777777" w:rsidR="00484F0F" w:rsidRPr="00484F0F" w:rsidRDefault="00484F0F" w:rsidP="00484F0F">
      <w:pPr>
        <w:keepNext/>
        <w:spacing w:line="360" w:lineRule="auto"/>
        <w:jc w:val="center"/>
        <w:outlineLvl w:val="0"/>
        <w:rPr>
          <w:rFonts w:ascii="Abadi" w:hAnsi="Abadi" w:cs="Arial"/>
          <w:b/>
          <w:iCs/>
          <w:sz w:val="21"/>
          <w:szCs w:val="21"/>
        </w:rPr>
      </w:pPr>
      <w:r w:rsidRPr="00484F0F">
        <w:rPr>
          <w:rFonts w:ascii="Abadi" w:hAnsi="Abadi" w:cs="Arial"/>
          <w:b/>
          <w:iCs/>
          <w:sz w:val="21"/>
          <w:szCs w:val="21"/>
        </w:rPr>
        <w:t xml:space="preserve">D i c t a m e n </w:t>
      </w:r>
    </w:p>
    <w:p w14:paraId="292A7247" w14:textId="77777777" w:rsidR="00484F0F" w:rsidRPr="00484F0F" w:rsidRDefault="00484F0F" w:rsidP="001A28E5">
      <w:pPr>
        <w:numPr>
          <w:ilvl w:val="0"/>
          <w:numId w:val="69"/>
        </w:numPr>
        <w:jc w:val="both"/>
        <w:rPr>
          <w:rFonts w:ascii="Abadi" w:hAnsi="Abadi" w:cs="Arial"/>
          <w:b/>
          <w:bCs/>
          <w:sz w:val="21"/>
          <w:szCs w:val="21"/>
        </w:rPr>
      </w:pPr>
      <w:r w:rsidRPr="00484F0F">
        <w:rPr>
          <w:rFonts w:ascii="Abadi" w:hAnsi="Abadi" w:cs="Arial"/>
          <w:b/>
          <w:bCs/>
          <w:sz w:val="21"/>
          <w:szCs w:val="21"/>
        </w:rPr>
        <w:t>Antecedentes</w:t>
      </w:r>
    </w:p>
    <w:p w14:paraId="5C6EDAAB" w14:textId="77777777" w:rsidR="00484F0F" w:rsidRPr="00484F0F" w:rsidRDefault="00484F0F" w:rsidP="00484F0F">
      <w:pPr>
        <w:jc w:val="center"/>
        <w:rPr>
          <w:rFonts w:ascii="Abadi" w:hAnsi="Abadi" w:cs="Arial"/>
          <w:b/>
          <w:iCs/>
          <w:sz w:val="21"/>
          <w:szCs w:val="21"/>
        </w:rPr>
      </w:pPr>
    </w:p>
    <w:p w14:paraId="23C7B9E6" w14:textId="77777777" w:rsidR="00484F0F" w:rsidRPr="00484F0F" w:rsidRDefault="00484F0F" w:rsidP="00484F0F">
      <w:pPr>
        <w:jc w:val="both"/>
        <w:rPr>
          <w:rFonts w:ascii="Abadi" w:hAnsi="Abadi" w:cs="Arial"/>
          <w:iCs/>
          <w:sz w:val="21"/>
          <w:szCs w:val="21"/>
        </w:rPr>
      </w:pPr>
      <w:r w:rsidRPr="00484F0F">
        <w:rPr>
          <w:rFonts w:ascii="Abadi" w:hAnsi="Abadi" w:cs="Arial"/>
          <w:iCs/>
          <w:sz w:val="21"/>
          <w:szCs w:val="21"/>
        </w:rPr>
        <w:tab/>
        <w:t xml:space="preserve">Las diputadas y los diputados integrantes del Grupo Parlamentario del Partido Acción Nacional, en sesión ordinaria celebrada el 7 de abril de 2022 presentaron la propuesta de punto de acuerdo a fin de instruir al Auditor Superior del Estado a incluir en el Programa General de Fiscalización del año 2022, la realización de una auditoría específica al municipio de San Miguel de Allende, Gto., a la ejecución y cumplimiento del contrato de arrendamiento puro con las empresas </w:t>
      </w:r>
      <w:r w:rsidRPr="00484F0F">
        <w:rPr>
          <w:rFonts w:ascii="Abadi" w:hAnsi="Abadi" w:cs="Arial"/>
          <w:i/>
          <w:sz w:val="21"/>
          <w:szCs w:val="21"/>
        </w:rPr>
        <w:t>Bercale Services, S.A. de C. V.,</w:t>
      </w:r>
      <w:r w:rsidRPr="00484F0F">
        <w:rPr>
          <w:rFonts w:ascii="Abadi" w:hAnsi="Abadi" w:cs="Arial"/>
          <w:iCs/>
          <w:sz w:val="21"/>
          <w:szCs w:val="21"/>
        </w:rPr>
        <w:t xml:space="preserve"> y </w:t>
      </w:r>
      <w:r w:rsidRPr="00484F0F">
        <w:rPr>
          <w:rFonts w:ascii="Abadi" w:hAnsi="Abadi" w:cs="Arial"/>
          <w:i/>
          <w:sz w:val="21"/>
          <w:szCs w:val="21"/>
        </w:rPr>
        <w:t>Lumo Financiera del Centro, S.A. de C. V.,</w:t>
      </w:r>
      <w:r w:rsidRPr="00484F0F">
        <w:rPr>
          <w:rFonts w:ascii="Abadi" w:hAnsi="Abadi" w:cs="Arial"/>
          <w:iCs/>
          <w:sz w:val="21"/>
          <w:szCs w:val="21"/>
        </w:rPr>
        <w:t xml:space="preserve"> número SSP-001-07-2019, de fecha 22 de julio de 2019 y su modificatorio del 5 de agosto del mismo año. </w:t>
      </w:r>
    </w:p>
    <w:p w14:paraId="403375FC" w14:textId="77777777" w:rsidR="00484F0F" w:rsidRPr="00484F0F" w:rsidRDefault="00484F0F" w:rsidP="00484F0F">
      <w:pPr>
        <w:jc w:val="both"/>
        <w:rPr>
          <w:rFonts w:ascii="Abadi" w:hAnsi="Abadi" w:cs="Arial"/>
          <w:iCs/>
          <w:sz w:val="21"/>
          <w:szCs w:val="21"/>
        </w:rPr>
      </w:pPr>
    </w:p>
    <w:p w14:paraId="11421EB0" w14:textId="77777777" w:rsidR="00484F0F" w:rsidRPr="00484F0F" w:rsidRDefault="00484F0F" w:rsidP="00484F0F">
      <w:pPr>
        <w:ind w:firstLine="708"/>
        <w:jc w:val="both"/>
        <w:rPr>
          <w:rFonts w:ascii="Abadi" w:hAnsi="Abadi"/>
          <w:sz w:val="21"/>
          <w:szCs w:val="21"/>
          <w:lang w:val="es-MX"/>
        </w:rPr>
      </w:pPr>
      <w:r w:rsidRPr="00484F0F">
        <w:rPr>
          <w:rFonts w:ascii="Abadi" w:hAnsi="Abadi" w:cs="Arial"/>
          <w:iCs/>
          <w:sz w:val="21"/>
          <w:szCs w:val="21"/>
        </w:rPr>
        <w:t>La referida propuesta</w:t>
      </w:r>
      <w:r w:rsidRPr="00484F0F">
        <w:rPr>
          <w:rFonts w:ascii="Abadi" w:hAnsi="Abadi"/>
          <w:sz w:val="21"/>
          <w:szCs w:val="21"/>
          <w:lang w:val="es-MX"/>
        </w:rPr>
        <w:t xml:space="preserve"> se turnó por la presidencia a esta Comisión de Hacienda y Fiscalización para su estudio y dictamen con fundamento en la fracción XV del artículo 112 de la Ley Orgánica del Poder Legislativo del Estado de Guanajuato, misma que se radicó el 19 de abril de 2022. En dicha fecha se requirió al Auditor Superior del Estado, la elaboración de una ficha técnica respecto a dicha propuesta, misma que se expuso a esta Comisión el 14 de junio del año en curso, por dicho funcionario.</w:t>
      </w:r>
    </w:p>
    <w:p w14:paraId="30A00D1F" w14:textId="77777777" w:rsidR="00484F0F" w:rsidRPr="00484F0F" w:rsidRDefault="00484F0F" w:rsidP="00484F0F">
      <w:pPr>
        <w:ind w:firstLine="708"/>
        <w:jc w:val="both"/>
        <w:rPr>
          <w:rFonts w:ascii="Abadi" w:hAnsi="Abadi"/>
          <w:sz w:val="21"/>
          <w:szCs w:val="21"/>
          <w:lang w:val="es-MX"/>
        </w:rPr>
      </w:pPr>
    </w:p>
    <w:p w14:paraId="0724272C" w14:textId="77777777" w:rsidR="00484F0F" w:rsidRPr="00484F0F" w:rsidRDefault="00484F0F" w:rsidP="001A28E5">
      <w:pPr>
        <w:numPr>
          <w:ilvl w:val="0"/>
          <w:numId w:val="69"/>
        </w:numPr>
        <w:jc w:val="both"/>
        <w:rPr>
          <w:rFonts w:ascii="Abadi" w:hAnsi="Abadi" w:cs="Arial"/>
          <w:b/>
          <w:bCs/>
          <w:sz w:val="21"/>
          <w:szCs w:val="21"/>
        </w:rPr>
      </w:pPr>
      <w:r w:rsidRPr="00484F0F">
        <w:rPr>
          <w:rFonts w:ascii="Abadi" w:hAnsi="Abadi" w:cs="Arial"/>
          <w:b/>
          <w:bCs/>
          <w:sz w:val="21"/>
          <w:szCs w:val="21"/>
        </w:rPr>
        <w:t>Consideraciones de las y los proponentes</w:t>
      </w:r>
    </w:p>
    <w:p w14:paraId="10FF6C59" w14:textId="77777777" w:rsidR="00484F0F" w:rsidRPr="00484F0F" w:rsidRDefault="00484F0F" w:rsidP="00484F0F">
      <w:pPr>
        <w:jc w:val="both"/>
        <w:rPr>
          <w:rFonts w:ascii="Abadi" w:hAnsi="Abadi" w:cs="Arial"/>
          <w:b/>
          <w:bCs/>
          <w:sz w:val="21"/>
          <w:szCs w:val="21"/>
        </w:rPr>
      </w:pPr>
    </w:p>
    <w:p w14:paraId="31EC5000" w14:textId="77777777" w:rsidR="00484F0F" w:rsidRPr="00484F0F" w:rsidRDefault="00484F0F" w:rsidP="00484F0F">
      <w:pPr>
        <w:ind w:firstLine="708"/>
        <w:jc w:val="both"/>
        <w:rPr>
          <w:rFonts w:ascii="Abadi" w:hAnsi="Abadi"/>
          <w:sz w:val="21"/>
          <w:szCs w:val="21"/>
          <w:lang w:val="es-MX"/>
        </w:rPr>
      </w:pPr>
      <w:r w:rsidRPr="00484F0F">
        <w:rPr>
          <w:rFonts w:ascii="Abadi" w:hAnsi="Abadi"/>
          <w:sz w:val="21"/>
          <w:szCs w:val="21"/>
          <w:lang w:val="es-MX"/>
        </w:rPr>
        <w:t>En las consideraciones expuestas en la propuesta de punto de acuerdo materia del presente dictamen se refiere lo siguiente:</w:t>
      </w:r>
    </w:p>
    <w:p w14:paraId="51C5D648"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La rendición de cuentas y la fiscalización superior se han convertido en un tema recurrente para los interesados en la construcción de una democracia moderna. Efectivamente, si los gobernantes no responden de sus acciones a la sociedad; si el uso de los recursos públicos no es transparente, económico, eficaz y eficiente; si se perpetua una visión patrimonialista y abusiva de los cargos públicos, se reducen de manera sustancial las posibilidades de un ejercicio democrático de los asuntos públicos.</w:t>
      </w:r>
    </w:p>
    <w:p w14:paraId="2DBA7088"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 xml:space="preserve">Los pesos y contrapesos para el equilibrio entre poderes; la división y sistematización de las distintas funciones públicas; el principio de legalidad en la acción del gobierno; las garantías individuales y sociales contenidas en la Constitución y sus leyes reglamentarias, entre otros elementos, forman parte de la estructura legal y administrativa de un buen gobierno. </w:t>
      </w:r>
    </w:p>
    <w:p w14:paraId="647BEC38"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 xml:space="preserve">La rendición de cuentas y la fiscalización superior, cuando son efectivas, representan un factor adicional invaluable para la gobernabilidad, la gobernanza y el desarrollo de las sociedades. </w:t>
      </w:r>
    </w:p>
    <w:p w14:paraId="0121FFE2"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 xml:space="preserve">El ejercicio fiscalizador es, sin duda, un tema sensible y fundamental para todos los servidores públicos. </w:t>
      </w:r>
    </w:p>
    <w:p w14:paraId="106224EC"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Sin embargo, también constituye un instrumento de gran utilidad para que cualquier gobierno haga un mejor uso de los recursos a su disposición y que, de ello, se deriven ganancias de orden político, al generar una mejor imagen ante una sociedad que valora cada vez más aspectos como la transparencia y la rendición de cuentas. La fiscalización sirve a todos: es una inversión con alto rendimiento social que coadyuva a erradicar la corrupción, detonada principalmente por la discrecionalidad en el ejercicio público.</w:t>
      </w:r>
    </w:p>
    <w:p w14:paraId="202F1E78"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 xml:space="preserve">La gran diversidad de las sociedades y sus diferentes tradiciones legales y administrativas se refleja en las distintas clases de órganos encargados de la fiscalización superior que existen en la actualidad. </w:t>
      </w:r>
    </w:p>
    <w:p w14:paraId="4AB0B16E"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 xml:space="preserve">Las naciones, en su mayoría, consideran necesario contar con un instrumento que les permita auditar la actuación gubernamental. </w:t>
      </w:r>
    </w:p>
    <w:p w14:paraId="7793A442"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De esta pluralidad también se desprenden preocupaciones comunes, valores universales, características deseables y marcos de actuación considerados como prácticas favorables; uno de los más recurrentes es la necesidad de que la entidad encargada de la fiscalización superior sea independiente de aquellos que debe auditar.</w:t>
      </w:r>
    </w:p>
    <w:p w14:paraId="761171A8"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 xml:space="preserve">La gran cuestión es determinar el modo en que esta situación pueda ser emulada, alcanzada y conservada por los países que aún tienen un camino por recorrer para alcanzar un mejor ejercicio democrático. </w:t>
      </w:r>
    </w:p>
    <w:p w14:paraId="164239A3"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 xml:space="preserve">Entre los principales debates teóricos sobre las democracias contemporáneas se encuentran la vigilancia y el control entre los poderes públicos y sus instituciones, con miras a que estos funcionen correcta y eficazmente, así como las relaciones entre tales poderes e instituciones con la sociedad. </w:t>
      </w:r>
    </w:p>
    <w:p w14:paraId="05A9E295"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 xml:space="preserve">El concepto de rendición de cuentas alcanza un protagonismo incuestionable. Sin entrar en el debate conceptual, dicha noción nos remite a la obligación de los gobernantes y la administración pública de informarse entre sí (rendición de cuentas horizontal) y de informar a los ciudadanos y sociedad en general (rendición de cuentas vertical). </w:t>
      </w:r>
    </w:p>
    <w:p w14:paraId="616622BA"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 xml:space="preserve">Aunque la rendición de cuentas tiene la voluntad política como uno de sus principales elementos, es mediante el ordenamiento jurídico que se consigue el aseguramiento, al menos de iure, de que aquella sea efectiva. </w:t>
      </w:r>
    </w:p>
    <w:p w14:paraId="264F270B"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Por lo tanto, el diseño jurídico que se hace de las instituciones públicas -organización, funciones y limitaciones- cobra una importancia mayúscula en el sistema de rendición de cuentas de cualquier Estado democrático que pretenda regirse bajo el imperio de la ley, es decir, un auténtico y eficaz Estado de derecho. En la mayoría de los estados contemporáneos podemos encontrar un sistema de rendición de cuentas y sus correspondientes instituciones y ordenamiento jurídico, el cual puede clasificarse en tres subsistemas:</w:t>
      </w:r>
    </w:p>
    <w:p w14:paraId="459992EF"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a) Controles de unos poderes públicos frente a otros (candados, frenos, contrapesos y vigilancia).</w:t>
      </w:r>
    </w:p>
    <w:p w14:paraId="2FA6AEAC"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b) Información pública (transparencia y el derecho de información que gozan los ciudadanos).</w:t>
      </w:r>
    </w:p>
    <w:p w14:paraId="2887B9C7"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c) Responsabilidades y sanciones para los funcionarios públicos derivadas del incumplimiento de deberes y obligaciones y que se descubren a través de los controles y la información pública.</w:t>
      </w:r>
    </w:p>
    <w:p w14:paraId="79EED118"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En este contexto, la rendición de cuentas sobre la gestión financiera pública y sus resultados es, tal vez, la columna vertebral de todo el funcionamien</w:t>
      </w:r>
      <w:r w:rsidRPr="00484F0F">
        <w:rPr>
          <w:rFonts w:ascii="Abadi" w:eastAsia="Verdana" w:hAnsi="Abadi" w:cs="Verdana"/>
          <w:i/>
          <w:sz w:val="21"/>
          <w:szCs w:val="21"/>
        </w:rPr>
        <w:t>t</w:t>
      </w:r>
      <w:r w:rsidRPr="00484F0F">
        <w:rPr>
          <w:rFonts w:ascii="Abadi" w:hAnsi="Abadi" w:cs="Arial"/>
          <w:i/>
          <w:sz w:val="21"/>
          <w:szCs w:val="21"/>
        </w:rPr>
        <w:t xml:space="preserve">o de una sociedad organizada como Estado democrático, ya que implica una seguridad tanto para las instituciones como para los individuos y un bienestar social en general, además de las repercusiones económicas. </w:t>
      </w:r>
    </w:p>
    <w:p w14:paraId="59D882B3"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 xml:space="preserve">El diseño jurídico de las instituciones encargadas del control y la vigilancia de los recursos públicos estatales permite observar el grado de desarrollo de las democracias y la salvaguarda del Estado de derecho. </w:t>
      </w:r>
    </w:p>
    <w:p w14:paraId="621AE5F7"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 xml:space="preserve">En un Estado con división tripartita de poderes públicos corresponde al Poder Legislativo (parlamento o congreso), como órgano que representa la soberanía popular, aprobar el presupuesto público (ingresos) y controlar su ejercicio (gasto) a través del deber público de fiscalización superior y al Poder Ejecutivo y su administración pública, la ejecución de tal presupuesto (gestión financiera) y el informe de sus resultados. </w:t>
      </w:r>
    </w:p>
    <w:p w14:paraId="3CF525DF"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El Poder Judicial actúa sólo -con base en el estricto apego a las disposiciones constitucionales (control constitucional)- si hay conflictos sobre la aplicación e interpretación de las normas que rigen esta relación de control y vigilancia entre los otros dos poderes.</w:t>
      </w:r>
    </w:p>
    <w:p w14:paraId="23BAC07E"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Aunque es indudable la importancia del control interno que establece el propio Poder Ejecutivo, el control externo a éste -a cargo por lo general del Poder Legislativo- está en la lupa de las instituciones públicas y de los actores políticos de un país.</w:t>
      </w:r>
    </w:p>
    <w:p w14:paraId="4E776B81"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 xml:space="preserve">Por ello, en las democracias vigentes, los nuevos diseños institucionales han optado por garantizar que este control, denominado técnica e internacionalmente auditoría superior, se realice de un modo legítimo e incuestionable a través de la formación de órganos independientes que, aun cuando estén vinculados al Poder Legislativo, realicen esta auditoría superior a las instituciones gubernamentales con imparcialidad y alejados de cualquier influencia externa, en especial que sean "inmunes" a los intereses políticos o partidistas, al menos en su diseño y regulación jurídica. </w:t>
      </w:r>
    </w:p>
    <w:p w14:paraId="56640383"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 xml:space="preserve">La importancia de las entidades de fiscalización superior para los Poderes Legislativos radica en la información sobre el uso gubernamental de los recursos públicos, sin la cual éste sería incapaz de ejercer el poder de control y la vigilancia del Poder Ejecutivo, para, en su momento, aplicar los procedimientos e instrumentos de control, como comparecencias, votos de censura y sanciones en caso de responsabilidades. </w:t>
      </w:r>
    </w:p>
    <w:p w14:paraId="55E795A6"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 xml:space="preserve">En consecuencia, el principal interesado en fiscalizar al Poder Ejecutivo es el Legislativo y las entidades de fiscalización vinculadas a éste, en mayor o menor medida según su grado de independencia. Luego entonces, el Poder Legislativo y las entidades de fiscalización trabajan para un mismo fin y rigen sus relaciones de acuerdo con el principio de la confianza mutua. </w:t>
      </w:r>
    </w:p>
    <w:p w14:paraId="3064F213"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Con base en estas premisas, consideramos que la vigilancia y el control sobre el ejercicio de los recursos públicos encomendados a las autoridades es una de las funciones primordiales que tiene el Poder Legislativo.</w:t>
      </w:r>
    </w:p>
    <w:p w14:paraId="2BA7848B"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 xml:space="preserve">El artículo 116, fracción 11, sexto párrafo de la Constitución Política de los Estados Unidos Mexicanos señala que: 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 </w:t>
      </w:r>
    </w:p>
    <w:p w14:paraId="54948077"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Con base en esta previsión constitucional, en nuestro orden jurídico local se contemplan las bases normativas conforme a las cuales el Congreso del Estado de Guanajuato ejerce sus facultades de fiscalización. El artículo 63, fracción XXVIII párrafo primero de la Constitución Política para el Estado de Guanajuato, dispone que es facultad del Congreso del Estado acordar con el voto de las dos terceras partes del total de sus integrantes la práctica de auditorías a los sujetos de fiscalización, cuando exista causa justificada para ello.</w:t>
      </w:r>
    </w:p>
    <w:p w14:paraId="6011495E"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La Auditoría Superior del Estado, de conformidad con el artículo 66 de la Constitución Política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mientras que la fracción IV del mismo precepto establece que la Auditoría Superior del Estado podrá acordar y practicar auditorias conforme a su programa anual y ejecutar las que acuerde el Congreso del Estado en los términos de la fracción XXVIII del artículo 63 antes citado.</w:t>
      </w:r>
    </w:p>
    <w:p w14:paraId="123889D2"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 xml:space="preserve">De acuerdo con lo antes señalado, concluimos que es necesario transparentar el ejercicio de los recursos públicos y vigilar la correcta aplicación del gasto público, que nos permita tener certeza de dicho ejercicio. </w:t>
      </w:r>
    </w:p>
    <w:p w14:paraId="1E0BFBA2"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Por ello, lo integrantes del Grupo Parlamentario del Partido Acción Nacional, comprometidos con la eficacia de la fiscalización superior y con los trabajos de nuestra Auditoría Superior, así como con la transparencia y rendición de cuentas por parte de los gobiernos emanados de este instituto político, consideramos que es necesario revisar a detalle y de manera integral las operaciones y actos jurídicos que se realizaron para instalar el sistema de semaforización del Municipio de San Miguel de Allende, a efecto de permitir a la ciudadanía y a toda persona interesada, conocer la forma en que se operó el contrato de arrendamiento puro número SSP- 001-07-2019 del 22 de julio de 2019 y su modificatorio del 5 de agosto del mismo.</w:t>
      </w:r>
    </w:p>
    <w:p w14:paraId="4CC12E1F"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La operación que nos ocupa implicó la instalación de 91 semáforos inteligentes que permiten, además del control del tránsito vehicular, el monitoreo de seguridad mediante cámaras conectadas con el C4 (Centro de Comando, Control y Comunicaciones) del Municipio de San Miguel de Allende.</w:t>
      </w:r>
    </w:p>
    <w:p w14:paraId="2A1344EA"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 xml:space="preserve">Así, gracias a esta propuesta, la población de San Miguel de Allende, Guanajuato, conocerá de forma exhaustiva el uso y destino de los recursos públicos utilizados para fortalecer su infraestructura urbana, de forma tal que se garantice el acceso a la información financiera y ejecutiva de ese proyecto. Por ello, nos permitimos someter a la consideración de la Asamblea, el punto de acuerdo que nos ocupa. </w:t>
      </w:r>
    </w:p>
    <w:p w14:paraId="40477CD4" w14:textId="77777777" w:rsidR="00484F0F" w:rsidRPr="00484F0F" w:rsidRDefault="00484F0F" w:rsidP="00484F0F">
      <w:pPr>
        <w:spacing w:before="188"/>
        <w:ind w:left="709" w:right="161"/>
        <w:jc w:val="both"/>
        <w:rPr>
          <w:rFonts w:ascii="Abadi" w:hAnsi="Abadi" w:cs="Arial"/>
          <w:i/>
          <w:sz w:val="21"/>
          <w:szCs w:val="21"/>
        </w:rPr>
      </w:pPr>
      <w:r w:rsidRPr="00484F0F">
        <w:rPr>
          <w:rFonts w:ascii="Abadi" w:hAnsi="Abadi" w:cs="Arial"/>
          <w:i/>
          <w:sz w:val="21"/>
          <w:szCs w:val="21"/>
        </w:rPr>
        <w:t>Por ello, y con la finalidad de ser exhaustivos en la fiscalización del ejercicio de los recursos públicos de los gobiernos municipales, principalmente de aquéllos que fueron ejercidos por personas postuladas por nuestro instituto político y bajo la premisa de que es fundamental que se examine detalladamente cómo fueron ejercidos los recursos en cuestión, me permito proponer el siguiente.</w:t>
      </w:r>
    </w:p>
    <w:p w14:paraId="118CB739" w14:textId="77777777" w:rsidR="00484F0F" w:rsidRPr="00484F0F" w:rsidRDefault="00484F0F" w:rsidP="00484F0F">
      <w:pPr>
        <w:spacing w:line="360" w:lineRule="auto"/>
        <w:ind w:firstLine="708"/>
        <w:jc w:val="both"/>
        <w:rPr>
          <w:rFonts w:ascii="Abadi" w:hAnsi="Abadi"/>
          <w:sz w:val="21"/>
          <w:szCs w:val="21"/>
          <w:lang w:val="es-MX"/>
        </w:rPr>
      </w:pPr>
    </w:p>
    <w:p w14:paraId="5E5DAFE4" w14:textId="77777777" w:rsidR="00484F0F" w:rsidRPr="00484F0F" w:rsidRDefault="00484F0F" w:rsidP="00484F0F">
      <w:pPr>
        <w:ind w:firstLine="708"/>
        <w:jc w:val="both"/>
        <w:rPr>
          <w:rFonts w:ascii="Abadi" w:hAnsi="Abadi"/>
          <w:sz w:val="21"/>
          <w:szCs w:val="21"/>
          <w:lang w:val="es-MX"/>
        </w:rPr>
      </w:pPr>
      <w:r w:rsidRPr="00484F0F">
        <w:rPr>
          <w:rFonts w:ascii="Abadi" w:hAnsi="Abadi"/>
          <w:sz w:val="21"/>
          <w:szCs w:val="21"/>
          <w:lang w:val="es-MX"/>
        </w:rPr>
        <w:t>Finalmente, se refiere que es fundamental que los hechos sean esclarecidos y se determinen las responsabilidades a que haya lugar.</w:t>
      </w:r>
    </w:p>
    <w:p w14:paraId="4B31A1C8" w14:textId="77777777" w:rsidR="00484F0F" w:rsidRPr="00484F0F" w:rsidRDefault="00484F0F" w:rsidP="00484F0F">
      <w:pPr>
        <w:spacing w:line="360" w:lineRule="auto"/>
        <w:ind w:firstLine="708"/>
        <w:jc w:val="both"/>
        <w:rPr>
          <w:rFonts w:ascii="Abadi" w:hAnsi="Abadi"/>
          <w:sz w:val="21"/>
          <w:szCs w:val="21"/>
          <w:lang w:val="es-MX"/>
        </w:rPr>
      </w:pPr>
    </w:p>
    <w:p w14:paraId="4A185B55" w14:textId="77777777" w:rsidR="00484F0F" w:rsidRPr="00484F0F" w:rsidRDefault="00484F0F" w:rsidP="001A28E5">
      <w:pPr>
        <w:numPr>
          <w:ilvl w:val="0"/>
          <w:numId w:val="69"/>
        </w:numPr>
        <w:jc w:val="both"/>
        <w:rPr>
          <w:rFonts w:ascii="Abadi" w:hAnsi="Abadi" w:cs="Arial"/>
          <w:b/>
          <w:bCs/>
          <w:sz w:val="21"/>
          <w:szCs w:val="21"/>
        </w:rPr>
      </w:pPr>
      <w:r w:rsidRPr="00484F0F">
        <w:rPr>
          <w:rFonts w:ascii="Abadi" w:hAnsi="Abadi" w:cs="Arial"/>
          <w:b/>
          <w:bCs/>
          <w:sz w:val="21"/>
          <w:szCs w:val="21"/>
        </w:rPr>
        <w:t>Consideraciones de la Comisión</w:t>
      </w:r>
    </w:p>
    <w:p w14:paraId="2374B861" w14:textId="77777777" w:rsidR="00484F0F" w:rsidRPr="00484F0F" w:rsidRDefault="00484F0F" w:rsidP="00484F0F">
      <w:pPr>
        <w:ind w:firstLine="708"/>
        <w:jc w:val="both"/>
        <w:rPr>
          <w:rFonts w:ascii="Abadi" w:hAnsi="Abadi"/>
          <w:sz w:val="21"/>
          <w:szCs w:val="21"/>
          <w:lang w:val="es-MX"/>
        </w:rPr>
      </w:pPr>
    </w:p>
    <w:p w14:paraId="4FD21550" w14:textId="77777777" w:rsidR="00484F0F" w:rsidRPr="00484F0F" w:rsidRDefault="00484F0F" w:rsidP="00484F0F">
      <w:pPr>
        <w:ind w:firstLine="708"/>
        <w:jc w:val="both"/>
        <w:rPr>
          <w:rFonts w:ascii="Abadi" w:hAnsi="Abadi"/>
          <w:sz w:val="21"/>
          <w:szCs w:val="21"/>
          <w:lang w:val="es-MX"/>
        </w:rPr>
      </w:pPr>
      <w:r w:rsidRPr="00484F0F">
        <w:rPr>
          <w:rFonts w:ascii="Abadi" w:hAnsi="Abadi"/>
          <w:sz w:val="21"/>
          <w:szCs w:val="21"/>
          <w:lang w:val="es-MX"/>
        </w:rPr>
        <w:t xml:space="preserve">En las consideraciones expuestas en la propuesta que se dictamina se señala la necesidad de revisar a detalle y de manera integral las operaciones y actos jurídicos que se realizaron para instalar el sistema de semaforización del municipio de San Miguel de Allende, Gto., a efecto de determinar la forma en que se operó el </w:t>
      </w:r>
      <w:r w:rsidRPr="00484F0F">
        <w:rPr>
          <w:rFonts w:ascii="Abadi" w:hAnsi="Abadi" w:cs="Arial"/>
          <w:iCs/>
          <w:sz w:val="21"/>
          <w:szCs w:val="21"/>
        </w:rPr>
        <w:t xml:space="preserve">contrato de arrendamiento puro celebrado por dicho Municipio con las empresas </w:t>
      </w:r>
      <w:r w:rsidRPr="00484F0F">
        <w:rPr>
          <w:rFonts w:ascii="Abadi" w:hAnsi="Abadi" w:cs="Arial"/>
          <w:i/>
          <w:sz w:val="21"/>
          <w:szCs w:val="21"/>
        </w:rPr>
        <w:t>Bercale Services, S.A. de C. V.,</w:t>
      </w:r>
      <w:r w:rsidRPr="00484F0F">
        <w:rPr>
          <w:rFonts w:ascii="Abadi" w:hAnsi="Abadi" w:cs="Arial"/>
          <w:iCs/>
          <w:sz w:val="21"/>
          <w:szCs w:val="21"/>
        </w:rPr>
        <w:t xml:space="preserve"> y </w:t>
      </w:r>
      <w:r w:rsidRPr="00484F0F">
        <w:rPr>
          <w:rFonts w:ascii="Abadi" w:hAnsi="Abadi" w:cs="Arial"/>
          <w:i/>
          <w:sz w:val="21"/>
          <w:szCs w:val="21"/>
        </w:rPr>
        <w:t>Lumo Financiera del Centro, S.A. de C. V.,</w:t>
      </w:r>
      <w:r w:rsidRPr="00484F0F">
        <w:rPr>
          <w:rFonts w:ascii="Abadi" w:hAnsi="Abadi" w:cs="Arial"/>
          <w:iCs/>
          <w:sz w:val="21"/>
          <w:szCs w:val="21"/>
        </w:rPr>
        <w:t xml:space="preserve"> número SSP-001-07-2019 el 22 de julio de 2019 y su modificatorio del 5 de agosto del mismo año.</w:t>
      </w:r>
    </w:p>
    <w:p w14:paraId="4988811E" w14:textId="77777777" w:rsidR="00484F0F" w:rsidRPr="00484F0F" w:rsidRDefault="00484F0F" w:rsidP="00484F0F">
      <w:pPr>
        <w:spacing w:line="360" w:lineRule="auto"/>
        <w:ind w:firstLine="708"/>
        <w:jc w:val="both"/>
        <w:rPr>
          <w:rFonts w:ascii="Abadi" w:hAnsi="Abadi" w:cs="Arial"/>
          <w:iCs/>
          <w:sz w:val="21"/>
          <w:szCs w:val="21"/>
        </w:rPr>
      </w:pPr>
    </w:p>
    <w:p w14:paraId="14CE3AB0" w14:textId="77777777" w:rsidR="00484F0F" w:rsidRPr="00484F0F" w:rsidRDefault="00484F0F" w:rsidP="00484F0F">
      <w:pPr>
        <w:ind w:firstLine="708"/>
        <w:jc w:val="both"/>
        <w:rPr>
          <w:rFonts w:ascii="Abadi" w:hAnsi="Abadi" w:cs="Arial"/>
          <w:iCs/>
          <w:sz w:val="21"/>
          <w:szCs w:val="21"/>
        </w:rPr>
      </w:pPr>
      <w:r w:rsidRPr="00484F0F">
        <w:rPr>
          <w:rFonts w:ascii="Abadi" w:hAnsi="Abadi" w:cs="Arial"/>
          <w:iCs/>
          <w:sz w:val="21"/>
          <w:szCs w:val="21"/>
        </w:rPr>
        <w:t xml:space="preserve">En razón de lo anterior, se propone la práctica de una auditoría </w:t>
      </w:r>
      <w:r w:rsidRPr="00484F0F">
        <w:rPr>
          <w:rFonts w:ascii="Abadi" w:hAnsi="Abadi"/>
          <w:sz w:val="21"/>
          <w:szCs w:val="21"/>
          <w:lang w:val="es-MX"/>
        </w:rPr>
        <w:t xml:space="preserve">específica </w:t>
      </w:r>
      <w:r w:rsidRPr="00484F0F">
        <w:rPr>
          <w:rFonts w:ascii="Abadi" w:hAnsi="Abadi" w:cs="Arial"/>
          <w:iCs/>
          <w:sz w:val="21"/>
          <w:szCs w:val="21"/>
        </w:rPr>
        <w:t xml:space="preserve">respecto a la ejecución y cumplimiento del referido contrato de arrendamiento y su modificatorio. </w:t>
      </w:r>
    </w:p>
    <w:p w14:paraId="46AE1CCC" w14:textId="77777777" w:rsidR="00484F0F" w:rsidRPr="00484F0F" w:rsidRDefault="00484F0F" w:rsidP="00484F0F">
      <w:pPr>
        <w:spacing w:line="360" w:lineRule="auto"/>
        <w:ind w:firstLine="708"/>
        <w:jc w:val="both"/>
        <w:rPr>
          <w:rFonts w:ascii="Abadi" w:hAnsi="Abadi"/>
          <w:sz w:val="21"/>
          <w:szCs w:val="21"/>
          <w:lang w:val="es-MX"/>
        </w:rPr>
      </w:pPr>
    </w:p>
    <w:p w14:paraId="2093940E" w14:textId="77777777" w:rsidR="00484F0F" w:rsidRPr="00484F0F" w:rsidRDefault="00484F0F" w:rsidP="00484F0F">
      <w:pPr>
        <w:ind w:firstLine="708"/>
        <w:jc w:val="both"/>
        <w:rPr>
          <w:rFonts w:ascii="Abadi" w:hAnsi="Abadi" w:cs="Tahoma"/>
          <w:sz w:val="21"/>
          <w:szCs w:val="21"/>
        </w:rPr>
      </w:pPr>
      <w:r w:rsidRPr="00484F0F">
        <w:rPr>
          <w:rFonts w:ascii="Abadi" w:hAnsi="Abadi"/>
          <w:sz w:val="21"/>
          <w:szCs w:val="21"/>
          <w:lang w:val="es-MX"/>
        </w:rPr>
        <w:t xml:space="preserve"> </w:t>
      </w:r>
      <w:r w:rsidRPr="00484F0F">
        <w:rPr>
          <w:rFonts w:ascii="Abadi" w:hAnsi="Abadi" w:cs="Tahoma"/>
          <w:sz w:val="21"/>
          <w:szCs w:val="21"/>
        </w:rPr>
        <w:t xml:space="preserve">Al respecto quienes integramos esta Comisión consideramos que la función de control es uno de los mecanismos que preservan el equilibrio entre los poderes públicos y asegura la vigencia de la ley como un instrumento que somete toda actuación de la autoridad y preserva las garantías y derechos de los ciudadanos. La vigilancia y el control sobre el ejercicio de los recursos públicos encomendados a las autoridades es una de las funciones primordiales que tiene el Poder Legislativo como responsable originario de esa función de control. </w:t>
      </w:r>
    </w:p>
    <w:p w14:paraId="58A39DAC" w14:textId="77777777" w:rsidR="00484F0F" w:rsidRPr="00484F0F" w:rsidRDefault="00484F0F" w:rsidP="00484F0F">
      <w:pPr>
        <w:ind w:firstLine="720"/>
        <w:jc w:val="both"/>
        <w:rPr>
          <w:rFonts w:ascii="Abadi" w:hAnsi="Abadi" w:cs="Tahoma"/>
          <w:sz w:val="21"/>
          <w:szCs w:val="21"/>
        </w:rPr>
      </w:pPr>
    </w:p>
    <w:p w14:paraId="17E4BF5B" w14:textId="77777777" w:rsidR="00484F0F" w:rsidRPr="00484F0F" w:rsidRDefault="00484F0F" w:rsidP="00484F0F">
      <w:pPr>
        <w:ind w:firstLine="720"/>
        <w:jc w:val="both"/>
        <w:rPr>
          <w:rFonts w:ascii="Abadi" w:hAnsi="Abadi" w:cs="Tahoma"/>
          <w:sz w:val="21"/>
          <w:szCs w:val="21"/>
        </w:rPr>
      </w:pPr>
      <w:r w:rsidRPr="00484F0F">
        <w:rPr>
          <w:rFonts w:ascii="Abadi" w:hAnsi="Abadi" w:cs="Tahoma"/>
          <w:sz w:val="21"/>
          <w:szCs w:val="21"/>
        </w:rPr>
        <w:t>La administración, ejercicio, aplicación y control de los recursos públicos deben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w:t>
      </w:r>
    </w:p>
    <w:p w14:paraId="3D8DC0CE" w14:textId="77777777" w:rsidR="00484F0F" w:rsidRPr="00484F0F" w:rsidRDefault="00484F0F" w:rsidP="00484F0F">
      <w:pPr>
        <w:jc w:val="both"/>
        <w:rPr>
          <w:rFonts w:ascii="Abadi" w:hAnsi="Abadi" w:cs="Tahoma"/>
          <w:sz w:val="21"/>
          <w:szCs w:val="21"/>
        </w:rPr>
      </w:pPr>
      <w:r w:rsidRPr="00484F0F">
        <w:rPr>
          <w:rFonts w:ascii="Abadi" w:hAnsi="Abadi" w:cs="Tahoma"/>
          <w:sz w:val="21"/>
          <w:szCs w:val="21"/>
        </w:rPr>
        <w:tab/>
      </w:r>
    </w:p>
    <w:p w14:paraId="022A61E7" w14:textId="77777777" w:rsidR="00484F0F" w:rsidRPr="00484F0F" w:rsidRDefault="00484F0F" w:rsidP="00484F0F">
      <w:pPr>
        <w:ind w:firstLine="708"/>
        <w:jc w:val="both"/>
        <w:rPr>
          <w:rFonts w:ascii="Abadi" w:hAnsi="Abadi" w:cs="Tahoma"/>
          <w:sz w:val="21"/>
          <w:szCs w:val="21"/>
        </w:rPr>
      </w:pPr>
      <w:r w:rsidRPr="00484F0F">
        <w:rPr>
          <w:rFonts w:ascii="Abadi" w:hAnsi="Abadi" w:cs="Tahoma"/>
          <w:sz w:val="21"/>
          <w:szCs w:val="21"/>
        </w:rPr>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2EFA7DD6" w14:textId="77777777" w:rsidR="00484F0F" w:rsidRPr="00484F0F" w:rsidRDefault="00484F0F" w:rsidP="00484F0F">
      <w:pPr>
        <w:spacing w:line="360" w:lineRule="auto"/>
        <w:jc w:val="both"/>
        <w:rPr>
          <w:rFonts w:ascii="Abadi" w:hAnsi="Abadi" w:cs="Tahoma"/>
          <w:sz w:val="21"/>
          <w:szCs w:val="21"/>
        </w:rPr>
      </w:pPr>
    </w:p>
    <w:p w14:paraId="5ABA46F2" w14:textId="77777777" w:rsidR="00484F0F" w:rsidRPr="00484F0F" w:rsidRDefault="00484F0F" w:rsidP="00484F0F">
      <w:pPr>
        <w:jc w:val="both"/>
        <w:rPr>
          <w:rFonts w:ascii="Abadi" w:hAnsi="Abadi" w:cs="Tahoma"/>
          <w:sz w:val="21"/>
          <w:szCs w:val="21"/>
        </w:rPr>
      </w:pPr>
      <w:r w:rsidRPr="00484F0F">
        <w:rPr>
          <w:rFonts w:ascii="Abadi" w:hAnsi="Abadi" w:cs="Tahoma"/>
          <w:sz w:val="21"/>
          <w:szCs w:val="21"/>
        </w:rPr>
        <w:tab/>
        <w:t xml:space="preserve">El artículo 116, fracción II, sexto párrafo de la Constitución Política de los Estados Unidos Mexicanos señala que: </w:t>
      </w:r>
      <w:r w:rsidRPr="00484F0F">
        <w:rPr>
          <w:rFonts w:ascii="Abadi" w:hAnsi="Abadi" w:cs="Tahoma"/>
          <w:i/>
          <w:sz w:val="21"/>
          <w:szCs w:val="21"/>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484F0F">
        <w:rPr>
          <w:rFonts w:ascii="Abadi" w:hAnsi="Abadi" w:cs="Tahoma"/>
          <w:sz w:val="21"/>
          <w:szCs w:val="21"/>
        </w:rPr>
        <w:t xml:space="preserve"> </w:t>
      </w:r>
    </w:p>
    <w:p w14:paraId="37409858" w14:textId="77777777" w:rsidR="00484F0F" w:rsidRPr="00484F0F" w:rsidRDefault="00484F0F" w:rsidP="00484F0F">
      <w:pPr>
        <w:jc w:val="both"/>
        <w:rPr>
          <w:rFonts w:ascii="Abadi" w:hAnsi="Abadi" w:cs="Tahoma"/>
          <w:sz w:val="21"/>
          <w:szCs w:val="21"/>
        </w:rPr>
      </w:pPr>
    </w:p>
    <w:p w14:paraId="4421270F" w14:textId="77777777" w:rsidR="00484F0F" w:rsidRPr="00484F0F" w:rsidRDefault="00484F0F" w:rsidP="00484F0F">
      <w:pPr>
        <w:ind w:firstLine="708"/>
        <w:jc w:val="both"/>
        <w:rPr>
          <w:rFonts w:ascii="Abadi" w:hAnsi="Abadi" w:cs="Tahoma"/>
          <w:sz w:val="21"/>
          <w:szCs w:val="21"/>
        </w:rPr>
      </w:pPr>
      <w:r w:rsidRPr="00484F0F">
        <w:rPr>
          <w:rFonts w:ascii="Abadi" w:hAnsi="Abadi" w:cs="Tahoma"/>
          <w:sz w:val="21"/>
          <w:szCs w:val="21"/>
        </w:rPr>
        <w:t xml:space="preserve">La Auditoría Superior del Estado, de conformidad con el artículo 66 de la Constitución Política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w:t>
      </w:r>
    </w:p>
    <w:p w14:paraId="46E4420A" w14:textId="77777777" w:rsidR="00484F0F" w:rsidRPr="00484F0F" w:rsidRDefault="00484F0F" w:rsidP="00484F0F">
      <w:pPr>
        <w:spacing w:line="360" w:lineRule="auto"/>
        <w:ind w:firstLine="708"/>
        <w:jc w:val="both"/>
        <w:rPr>
          <w:rFonts w:ascii="Abadi" w:hAnsi="Abadi" w:cs="Tahoma"/>
          <w:sz w:val="21"/>
          <w:szCs w:val="21"/>
        </w:rPr>
      </w:pPr>
    </w:p>
    <w:p w14:paraId="3DC6606F" w14:textId="77777777" w:rsidR="00484F0F" w:rsidRPr="00484F0F" w:rsidRDefault="00484F0F" w:rsidP="00484F0F">
      <w:pPr>
        <w:ind w:firstLine="720"/>
        <w:jc w:val="both"/>
        <w:rPr>
          <w:rFonts w:ascii="Abadi" w:hAnsi="Abadi" w:cs="Tahoma"/>
          <w:sz w:val="21"/>
          <w:szCs w:val="21"/>
        </w:rPr>
      </w:pPr>
      <w:r w:rsidRPr="00484F0F">
        <w:rPr>
          <w:rFonts w:ascii="Abadi" w:hAnsi="Abadi" w:cs="Tahoma"/>
          <w:sz w:val="21"/>
          <w:szCs w:val="21"/>
        </w:rPr>
        <w:t>El ayuntamiento de San Miguel de Allende, Gto., es sujeto de la función de fiscalización del Congreso del Estado, según se desprende de los artículos 63 fracciones XIX y XXVIII; y 66 de la Constitución Política local y 2, fracción II de la Ley de Fiscalización Superior del Estado de Guanajuato.</w:t>
      </w:r>
    </w:p>
    <w:p w14:paraId="7E6E6441" w14:textId="77777777" w:rsidR="00484F0F" w:rsidRPr="00484F0F" w:rsidRDefault="00484F0F" w:rsidP="00484F0F">
      <w:pPr>
        <w:ind w:firstLine="720"/>
        <w:jc w:val="both"/>
        <w:rPr>
          <w:rFonts w:ascii="Abadi" w:hAnsi="Abadi" w:cs="Tahoma"/>
          <w:sz w:val="21"/>
          <w:szCs w:val="21"/>
        </w:rPr>
      </w:pPr>
    </w:p>
    <w:p w14:paraId="6C08FAF6" w14:textId="77777777" w:rsidR="00484F0F" w:rsidRPr="00484F0F" w:rsidRDefault="00484F0F" w:rsidP="00484F0F">
      <w:pPr>
        <w:ind w:firstLine="720"/>
        <w:jc w:val="both"/>
        <w:rPr>
          <w:rFonts w:ascii="Abadi" w:hAnsi="Abadi" w:cs="Tahoma"/>
          <w:sz w:val="21"/>
          <w:szCs w:val="21"/>
        </w:rPr>
      </w:pPr>
      <w:r w:rsidRPr="00484F0F">
        <w:rPr>
          <w:rFonts w:ascii="Abadi" w:hAnsi="Abadi" w:cs="Tahoma"/>
          <w:sz w:val="21"/>
          <w:szCs w:val="21"/>
        </w:rPr>
        <w:t>De acuerdo a lo antes señalado, coincidimos con las y los proponentes en la necesidad de ser exhaustivos en la fiscalización del ejercicio de los recursos públicos de los gobiernos municipales.</w:t>
      </w:r>
    </w:p>
    <w:p w14:paraId="2F909831" w14:textId="77777777" w:rsidR="00484F0F" w:rsidRPr="00484F0F" w:rsidRDefault="00484F0F" w:rsidP="00484F0F">
      <w:pPr>
        <w:ind w:firstLine="720"/>
        <w:jc w:val="both"/>
        <w:rPr>
          <w:rFonts w:ascii="Abadi" w:hAnsi="Abadi" w:cs="Tahoma"/>
          <w:sz w:val="21"/>
          <w:szCs w:val="21"/>
        </w:rPr>
      </w:pPr>
    </w:p>
    <w:p w14:paraId="592B6E22" w14:textId="77777777" w:rsidR="00484F0F" w:rsidRPr="00484F0F" w:rsidRDefault="00484F0F" w:rsidP="00484F0F">
      <w:pPr>
        <w:ind w:firstLine="720"/>
        <w:jc w:val="both"/>
        <w:rPr>
          <w:rFonts w:ascii="Abadi" w:hAnsi="Abadi" w:cs="Tahoma"/>
          <w:sz w:val="21"/>
          <w:szCs w:val="21"/>
        </w:rPr>
      </w:pPr>
      <w:r w:rsidRPr="00484F0F">
        <w:rPr>
          <w:rFonts w:ascii="Abadi" w:hAnsi="Abadi" w:cs="Tahoma"/>
          <w:sz w:val="21"/>
          <w:szCs w:val="21"/>
        </w:rPr>
        <w:t xml:space="preserve">De la propuesta podemos desprender la pretensión de incluir en el </w:t>
      </w:r>
      <w:r w:rsidRPr="00484F0F">
        <w:rPr>
          <w:rFonts w:ascii="Abadi" w:hAnsi="Abadi" w:cs="Arial"/>
          <w:iCs/>
          <w:sz w:val="21"/>
          <w:szCs w:val="21"/>
        </w:rPr>
        <w:t xml:space="preserve">Programa General de Fiscalización del año 2022, la realización de una auditoría específica a la administración municipal de San Miguel de Allende, Gto., a la ejecución y cumplimiento del contrato de arrendamiento puro con las empresas </w:t>
      </w:r>
      <w:r w:rsidRPr="00484F0F">
        <w:rPr>
          <w:rFonts w:ascii="Abadi" w:hAnsi="Abadi" w:cs="Arial"/>
          <w:i/>
          <w:sz w:val="21"/>
          <w:szCs w:val="21"/>
        </w:rPr>
        <w:t>Bercale Services, S.A. de C. V.,</w:t>
      </w:r>
      <w:r w:rsidRPr="00484F0F">
        <w:rPr>
          <w:rFonts w:ascii="Abadi" w:hAnsi="Abadi" w:cs="Arial"/>
          <w:iCs/>
          <w:sz w:val="21"/>
          <w:szCs w:val="21"/>
        </w:rPr>
        <w:t xml:space="preserve"> y </w:t>
      </w:r>
      <w:r w:rsidRPr="00484F0F">
        <w:rPr>
          <w:rFonts w:ascii="Abadi" w:hAnsi="Abadi" w:cs="Arial"/>
          <w:i/>
          <w:sz w:val="21"/>
          <w:szCs w:val="21"/>
        </w:rPr>
        <w:t>Lumo Financiera del Centro, S.A. de C. V.,</w:t>
      </w:r>
      <w:r w:rsidRPr="00484F0F">
        <w:rPr>
          <w:rFonts w:ascii="Abadi" w:hAnsi="Abadi" w:cs="Arial"/>
          <w:iCs/>
          <w:sz w:val="21"/>
          <w:szCs w:val="21"/>
        </w:rPr>
        <w:t xml:space="preserve"> número SSP-001-07-2019 celebrado el 22 de julio de 2019 y su modificatorio del 5 de agosto del mismo año.</w:t>
      </w:r>
    </w:p>
    <w:p w14:paraId="722D027D" w14:textId="77777777" w:rsidR="00484F0F" w:rsidRPr="00484F0F" w:rsidRDefault="00484F0F" w:rsidP="00484F0F">
      <w:pPr>
        <w:ind w:firstLine="720"/>
        <w:jc w:val="both"/>
        <w:rPr>
          <w:rFonts w:ascii="Abadi" w:hAnsi="Abadi" w:cs="Tahoma"/>
          <w:sz w:val="21"/>
          <w:szCs w:val="21"/>
        </w:rPr>
      </w:pPr>
    </w:p>
    <w:p w14:paraId="43C56414" w14:textId="77777777" w:rsidR="00484F0F" w:rsidRPr="00484F0F" w:rsidRDefault="00484F0F" w:rsidP="00484F0F">
      <w:pPr>
        <w:ind w:firstLine="720"/>
        <w:jc w:val="both"/>
        <w:rPr>
          <w:rFonts w:ascii="Abadi" w:hAnsi="Abadi" w:cs="Tahoma"/>
          <w:sz w:val="21"/>
          <w:szCs w:val="21"/>
        </w:rPr>
      </w:pPr>
      <w:r w:rsidRPr="00484F0F">
        <w:rPr>
          <w:rFonts w:ascii="Abadi" w:hAnsi="Abadi" w:cs="Tahoma"/>
          <w:sz w:val="21"/>
          <w:szCs w:val="21"/>
        </w:rPr>
        <w:t xml:space="preserve">En este orden de ideas, de acuerdo a la información proporcionada por la Auditoría Superior del Estado, durante los ejercicios fiscales 2019 y 2020 se efectuaron las siguientes revisiones y auditorías a la administración pública municipal de San Miguel de Allende, Gto., mismas que incluyen la revisión al contrato de arrendamiento puro con las empresas </w:t>
      </w:r>
      <w:r w:rsidRPr="00484F0F">
        <w:rPr>
          <w:rFonts w:ascii="Abadi" w:hAnsi="Abadi" w:cs="Tahoma"/>
          <w:i/>
          <w:iCs/>
          <w:sz w:val="21"/>
          <w:szCs w:val="21"/>
        </w:rPr>
        <w:t>Bercale Services, S.A. de C.V</w:t>
      </w:r>
      <w:r w:rsidRPr="00484F0F">
        <w:rPr>
          <w:rFonts w:ascii="Abadi" w:hAnsi="Abadi" w:cs="Tahoma"/>
          <w:sz w:val="21"/>
          <w:szCs w:val="21"/>
        </w:rPr>
        <w:t xml:space="preserve">. y </w:t>
      </w:r>
      <w:r w:rsidRPr="00484F0F">
        <w:rPr>
          <w:rFonts w:ascii="Abadi" w:hAnsi="Abadi" w:cs="Tahoma"/>
          <w:i/>
          <w:iCs/>
          <w:sz w:val="21"/>
          <w:szCs w:val="21"/>
        </w:rPr>
        <w:t>Lumo Financiera del Centro, S.A. de C.V.,</w:t>
      </w:r>
      <w:r w:rsidRPr="00484F0F">
        <w:rPr>
          <w:rFonts w:ascii="Abadi" w:hAnsi="Abadi" w:cs="Tahoma"/>
          <w:sz w:val="21"/>
          <w:szCs w:val="21"/>
        </w:rPr>
        <w:t xml:space="preserve"> número SSP-001-07-2019 de fecha 22 de julio de 2019 y su modificatorio del 5 de agosto del mismo año:</w:t>
      </w:r>
    </w:p>
    <w:p w14:paraId="069D380C" w14:textId="77777777" w:rsidR="00484F0F" w:rsidRPr="00484F0F" w:rsidRDefault="00484F0F" w:rsidP="00484F0F">
      <w:pPr>
        <w:rPr>
          <w:rFonts w:ascii="Abadi" w:hAnsi="Abadi"/>
          <w:b/>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475"/>
        <w:gridCol w:w="1498"/>
        <w:gridCol w:w="573"/>
      </w:tblGrid>
      <w:tr w:rsidR="00484F0F" w:rsidRPr="00484F0F" w14:paraId="2AAEF66F" w14:textId="77777777" w:rsidTr="004E6068">
        <w:trPr>
          <w:jc w:val="center"/>
        </w:trPr>
        <w:tc>
          <w:tcPr>
            <w:tcW w:w="1271" w:type="dxa"/>
            <w:shd w:val="clear" w:color="auto" w:fill="auto"/>
          </w:tcPr>
          <w:p w14:paraId="587BE399" w14:textId="77777777" w:rsidR="00484F0F" w:rsidRPr="00484F0F" w:rsidRDefault="00484F0F" w:rsidP="00484F0F">
            <w:pPr>
              <w:jc w:val="center"/>
              <w:rPr>
                <w:rFonts w:ascii="Abadi" w:hAnsi="Abadi"/>
                <w:b/>
                <w:sz w:val="21"/>
                <w:szCs w:val="21"/>
              </w:rPr>
            </w:pPr>
            <w:r w:rsidRPr="00484F0F">
              <w:rPr>
                <w:rFonts w:ascii="Abadi" w:hAnsi="Abadi"/>
                <w:b/>
                <w:sz w:val="21"/>
                <w:szCs w:val="21"/>
              </w:rPr>
              <w:t>Ejercicio</w:t>
            </w:r>
          </w:p>
        </w:tc>
        <w:tc>
          <w:tcPr>
            <w:tcW w:w="3404" w:type="dxa"/>
            <w:shd w:val="clear" w:color="auto" w:fill="auto"/>
          </w:tcPr>
          <w:p w14:paraId="23D74A1D" w14:textId="77777777" w:rsidR="00484F0F" w:rsidRPr="00484F0F" w:rsidRDefault="00484F0F" w:rsidP="00484F0F">
            <w:pPr>
              <w:jc w:val="center"/>
              <w:rPr>
                <w:rFonts w:ascii="Abadi" w:hAnsi="Abadi"/>
                <w:b/>
                <w:sz w:val="21"/>
                <w:szCs w:val="21"/>
              </w:rPr>
            </w:pPr>
            <w:r w:rsidRPr="00484F0F">
              <w:rPr>
                <w:rFonts w:ascii="Abadi" w:hAnsi="Abadi"/>
                <w:b/>
                <w:sz w:val="21"/>
                <w:szCs w:val="21"/>
              </w:rPr>
              <w:t>Tipo de Revisión</w:t>
            </w:r>
          </w:p>
          <w:p w14:paraId="1542F2BC" w14:textId="77777777" w:rsidR="00484F0F" w:rsidRPr="00484F0F" w:rsidRDefault="00484F0F" w:rsidP="00484F0F">
            <w:pPr>
              <w:jc w:val="center"/>
              <w:rPr>
                <w:rFonts w:ascii="Abadi" w:hAnsi="Abadi"/>
                <w:b/>
                <w:sz w:val="21"/>
                <w:szCs w:val="21"/>
              </w:rPr>
            </w:pPr>
            <w:r w:rsidRPr="00484F0F">
              <w:rPr>
                <w:rFonts w:ascii="Abadi" w:hAnsi="Abadi"/>
                <w:b/>
                <w:sz w:val="21"/>
                <w:szCs w:val="21"/>
              </w:rPr>
              <w:t>/Cuenta contable</w:t>
            </w:r>
          </w:p>
        </w:tc>
        <w:tc>
          <w:tcPr>
            <w:tcW w:w="1687" w:type="dxa"/>
            <w:shd w:val="clear" w:color="auto" w:fill="auto"/>
          </w:tcPr>
          <w:p w14:paraId="4466D29D" w14:textId="77777777" w:rsidR="00484F0F" w:rsidRPr="00484F0F" w:rsidRDefault="00484F0F" w:rsidP="00484F0F">
            <w:pPr>
              <w:jc w:val="center"/>
              <w:rPr>
                <w:rFonts w:ascii="Abadi" w:hAnsi="Abadi"/>
                <w:b/>
                <w:sz w:val="21"/>
                <w:szCs w:val="21"/>
              </w:rPr>
            </w:pPr>
            <w:r w:rsidRPr="00484F0F">
              <w:rPr>
                <w:rFonts w:ascii="Abadi" w:hAnsi="Abadi"/>
                <w:b/>
                <w:sz w:val="21"/>
                <w:szCs w:val="21"/>
              </w:rPr>
              <w:t>Revisado de egresos</w:t>
            </w:r>
          </w:p>
        </w:tc>
        <w:tc>
          <w:tcPr>
            <w:tcW w:w="1431" w:type="dxa"/>
            <w:shd w:val="clear" w:color="auto" w:fill="auto"/>
          </w:tcPr>
          <w:p w14:paraId="37AAB358" w14:textId="77777777" w:rsidR="00484F0F" w:rsidRPr="00484F0F" w:rsidRDefault="00484F0F" w:rsidP="00484F0F">
            <w:pPr>
              <w:jc w:val="center"/>
              <w:rPr>
                <w:rFonts w:ascii="Abadi" w:hAnsi="Abadi"/>
                <w:b/>
                <w:sz w:val="21"/>
                <w:szCs w:val="21"/>
              </w:rPr>
            </w:pPr>
            <w:r w:rsidRPr="00484F0F">
              <w:rPr>
                <w:rFonts w:ascii="Abadi" w:hAnsi="Abadi"/>
                <w:b/>
                <w:sz w:val="21"/>
                <w:szCs w:val="21"/>
              </w:rPr>
              <w:t>Nota</w:t>
            </w:r>
          </w:p>
        </w:tc>
      </w:tr>
      <w:tr w:rsidR="00484F0F" w:rsidRPr="00484F0F" w14:paraId="60DC89A6" w14:textId="77777777" w:rsidTr="004E6068">
        <w:trPr>
          <w:jc w:val="center"/>
        </w:trPr>
        <w:tc>
          <w:tcPr>
            <w:tcW w:w="1271" w:type="dxa"/>
            <w:shd w:val="clear" w:color="auto" w:fill="auto"/>
          </w:tcPr>
          <w:p w14:paraId="1530D466" w14:textId="77777777" w:rsidR="00484F0F" w:rsidRPr="00484F0F" w:rsidRDefault="00484F0F" w:rsidP="00484F0F">
            <w:pPr>
              <w:jc w:val="center"/>
              <w:rPr>
                <w:rFonts w:ascii="Abadi" w:hAnsi="Abadi"/>
                <w:b/>
                <w:sz w:val="21"/>
                <w:szCs w:val="21"/>
              </w:rPr>
            </w:pPr>
            <w:r w:rsidRPr="00484F0F">
              <w:rPr>
                <w:rFonts w:ascii="Abadi" w:hAnsi="Abadi"/>
                <w:sz w:val="21"/>
                <w:szCs w:val="21"/>
              </w:rPr>
              <w:t>2019</w:t>
            </w:r>
          </w:p>
        </w:tc>
        <w:tc>
          <w:tcPr>
            <w:tcW w:w="3404" w:type="dxa"/>
            <w:shd w:val="clear" w:color="auto" w:fill="auto"/>
          </w:tcPr>
          <w:p w14:paraId="0D50F8E4" w14:textId="77777777" w:rsidR="00484F0F" w:rsidRPr="00484F0F" w:rsidRDefault="00484F0F" w:rsidP="00484F0F">
            <w:pPr>
              <w:rPr>
                <w:rFonts w:ascii="Abadi" w:hAnsi="Abadi"/>
                <w:b/>
                <w:bCs/>
                <w:sz w:val="21"/>
                <w:szCs w:val="21"/>
              </w:rPr>
            </w:pPr>
            <w:r w:rsidRPr="00484F0F">
              <w:rPr>
                <w:rFonts w:ascii="Abadi" w:hAnsi="Abadi"/>
                <w:b/>
                <w:bCs/>
                <w:sz w:val="21"/>
                <w:szCs w:val="21"/>
              </w:rPr>
              <w:t>Revisión de cuenta pública</w:t>
            </w:r>
          </w:p>
        </w:tc>
        <w:tc>
          <w:tcPr>
            <w:tcW w:w="1687" w:type="dxa"/>
            <w:shd w:val="clear" w:color="auto" w:fill="auto"/>
            <w:vAlign w:val="center"/>
          </w:tcPr>
          <w:p w14:paraId="76690044" w14:textId="77777777" w:rsidR="00484F0F" w:rsidRPr="00484F0F" w:rsidRDefault="00484F0F" w:rsidP="00484F0F">
            <w:pPr>
              <w:jc w:val="center"/>
              <w:rPr>
                <w:rFonts w:ascii="Abadi" w:hAnsi="Abadi"/>
                <w:sz w:val="21"/>
                <w:szCs w:val="21"/>
              </w:rPr>
            </w:pPr>
          </w:p>
        </w:tc>
        <w:tc>
          <w:tcPr>
            <w:tcW w:w="1431" w:type="dxa"/>
            <w:shd w:val="clear" w:color="auto" w:fill="auto"/>
            <w:vAlign w:val="center"/>
          </w:tcPr>
          <w:p w14:paraId="353C2ECF" w14:textId="77777777" w:rsidR="00484F0F" w:rsidRPr="00484F0F" w:rsidRDefault="00484F0F" w:rsidP="00484F0F">
            <w:pPr>
              <w:jc w:val="center"/>
              <w:rPr>
                <w:rFonts w:ascii="Abadi" w:hAnsi="Abadi"/>
                <w:sz w:val="21"/>
                <w:szCs w:val="21"/>
              </w:rPr>
            </w:pPr>
          </w:p>
        </w:tc>
      </w:tr>
      <w:tr w:rsidR="00484F0F" w:rsidRPr="00484F0F" w14:paraId="61198D7B" w14:textId="77777777" w:rsidTr="004E6068">
        <w:trPr>
          <w:jc w:val="center"/>
        </w:trPr>
        <w:tc>
          <w:tcPr>
            <w:tcW w:w="1271" w:type="dxa"/>
            <w:shd w:val="clear" w:color="auto" w:fill="auto"/>
          </w:tcPr>
          <w:p w14:paraId="079985F7" w14:textId="77777777" w:rsidR="00484F0F" w:rsidRPr="00484F0F" w:rsidRDefault="00484F0F" w:rsidP="00484F0F">
            <w:pPr>
              <w:jc w:val="center"/>
              <w:rPr>
                <w:rFonts w:ascii="Abadi" w:hAnsi="Abadi"/>
                <w:bCs/>
                <w:sz w:val="21"/>
                <w:szCs w:val="21"/>
              </w:rPr>
            </w:pPr>
          </w:p>
        </w:tc>
        <w:tc>
          <w:tcPr>
            <w:tcW w:w="3404" w:type="dxa"/>
            <w:shd w:val="clear" w:color="auto" w:fill="auto"/>
          </w:tcPr>
          <w:p w14:paraId="27B51459" w14:textId="77777777" w:rsidR="00484F0F" w:rsidRPr="00484F0F" w:rsidRDefault="00484F0F" w:rsidP="00484F0F">
            <w:pPr>
              <w:jc w:val="both"/>
              <w:rPr>
                <w:rFonts w:ascii="Abadi" w:hAnsi="Abadi"/>
                <w:bCs/>
                <w:sz w:val="21"/>
                <w:szCs w:val="21"/>
              </w:rPr>
            </w:pPr>
            <w:r w:rsidRPr="00484F0F">
              <w:rPr>
                <w:rFonts w:ascii="Abadi" w:hAnsi="Abadi" w:cs="Calibri"/>
                <w:sz w:val="21"/>
                <w:szCs w:val="21"/>
              </w:rPr>
              <w:t>Sector central</w:t>
            </w:r>
          </w:p>
        </w:tc>
        <w:tc>
          <w:tcPr>
            <w:tcW w:w="1687" w:type="dxa"/>
            <w:shd w:val="clear" w:color="auto" w:fill="auto"/>
          </w:tcPr>
          <w:p w14:paraId="68DA55F9" w14:textId="77777777" w:rsidR="00484F0F" w:rsidRPr="00484F0F" w:rsidRDefault="00484F0F" w:rsidP="00484F0F">
            <w:pPr>
              <w:jc w:val="center"/>
              <w:rPr>
                <w:rFonts w:ascii="Abadi" w:hAnsi="Abadi"/>
                <w:sz w:val="21"/>
                <w:szCs w:val="21"/>
              </w:rPr>
            </w:pPr>
          </w:p>
        </w:tc>
        <w:tc>
          <w:tcPr>
            <w:tcW w:w="1431" w:type="dxa"/>
            <w:shd w:val="clear" w:color="auto" w:fill="auto"/>
            <w:vAlign w:val="center"/>
          </w:tcPr>
          <w:p w14:paraId="1B2121C7" w14:textId="77777777" w:rsidR="00484F0F" w:rsidRPr="00484F0F" w:rsidRDefault="00484F0F" w:rsidP="00484F0F">
            <w:pPr>
              <w:jc w:val="center"/>
              <w:rPr>
                <w:rFonts w:ascii="Abadi" w:hAnsi="Abadi"/>
                <w:sz w:val="21"/>
                <w:szCs w:val="21"/>
              </w:rPr>
            </w:pPr>
          </w:p>
        </w:tc>
      </w:tr>
      <w:tr w:rsidR="00484F0F" w:rsidRPr="00484F0F" w14:paraId="10F09AC7" w14:textId="77777777" w:rsidTr="004E6068">
        <w:trPr>
          <w:jc w:val="center"/>
        </w:trPr>
        <w:tc>
          <w:tcPr>
            <w:tcW w:w="1271" w:type="dxa"/>
            <w:shd w:val="clear" w:color="auto" w:fill="auto"/>
          </w:tcPr>
          <w:p w14:paraId="2C559EBF" w14:textId="77777777" w:rsidR="00484F0F" w:rsidRPr="00484F0F" w:rsidRDefault="00484F0F" w:rsidP="00484F0F">
            <w:pPr>
              <w:jc w:val="center"/>
              <w:rPr>
                <w:rFonts w:ascii="Abadi" w:hAnsi="Abadi"/>
                <w:bCs/>
                <w:sz w:val="21"/>
                <w:szCs w:val="21"/>
              </w:rPr>
            </w:pPr>
          </w:p>
        </w:tc>
        <w:tc>
          <w:tcPr>
            <w:tcW w:w="3404" w:type="dxa"/>
            <w:shd w:val="clear" w:color="auto" w:fill="auto"/>
          </w:tcPr>
          <w:p w14:paraId="6BB7D0E9" w14:textId="77777777" w:rsidR="00484F0F" w:rsidRPr="00484F0F" w:rsidRDefault="00484F0F" w:rsidP="00484F0F">
            <w:pPr>
              <w:jc w:val="both"/>
              <w:rPr>
                <w:rFonts w:ascii="Abadi" w:hAnsi="Abadi"/>
                <w:bCs/>
                <w:sz w:val="21"/>
                <w:szCs w:val="21"/>
              </w:rPr>
            </w:pPr>
            <w:r w:rsidRPr="00484F0F">
              <w:rPr>
                <w:rFonts w:ascii="Abadi" w:hAnsi="Abadi" w:cs="Calibri"/>
                <w:sz w:val="21"/>
                <w:szCs w:val="21"/>
              </w:rPr>
              <w:t>513203291 «Otros Arrendamientos»</w:t>
            </w:r>
          </w:p>
        </w:tc>
        <w:tc>
          <w:tcPr>
            <w:tcW w:w="1687" w:type="dxa"/>
            <w:shd w:val="clear" w:color="auto" w:fill="auto"/>
            <w:vAlign w:val="center"/>
          </w:tcPr>
          <w:p w14:paraId="05D67E73" w14:textId="77777777" w:rsidR="00484F0F" w:rsidRPr="00484F0F" w:rsidRDefault="00484F0F" w:rsidP="00484F0F">
            <w:pPr>
              <w:jc w:val="both"/>
              <w:rPr>
                <w:rFonts w:ascii="Abadi" w:hAnsi="Abadi" w:cs="Calibri"/>
                <w:sz w:val="21"/>
                <w:szCs w:val="21"/>
              </w:rPr>
            </w:pPr>
          </w:p>
          <w:p w14:paraId="10BDA260" w14:textId="77777777" w:rsidR="00484F0F" w:rsidRPr="00484F0F" w:rsidRDefault="00484F0F" w:rsidP="00484F0F">
            <w:pPr>
              <w:jc w:val="both"/>
              <w:rPr>
                <w:rFonts w:ascii="Abadi" w:hAnsi="Abadi" w:cs="Calibri"/>
                <w:sz w:val="21"/>
                <w:szCs w:val="21"/>
              </w:rPr>
            </w:pPr>
            <w:r w:rsidRPr="00484F0F">
              <w:rPr>
                <w:rFonts w:ascii="Abadi" w:hAnsi="Abadi" w:cs="Calibri"/>
                <w:sz w:val="21"/>
                <w:szCs w:val="21"/>
              </w:rPr>
              <w:t>$9’529,400.00</w:t>
            </w:r>
          </w:p>
          <w:p w14:paraId="560AF0E0" w14:textId="77777777" w:rsidR="00484F0F" w:rsidRPr="00484F0F" w:rsidRDefault="00484F0F" w:rsidP="00484F0F">
            <w:pPr>
              <w:jc w:val="center"/>
              <w:rPr>
                <w:rFonts w:ascii="Abadi" w:hAnsi="Abadi"/>
                <w:sz w:val="21"/>
                <w:szCs w:val="21"/>
              </w:rPr>
            </w:pPr>
          </w:p>
        </w:tc>
        <w:tc>
          <w:tcPr>
            <w:tcW w:w="1431" w:type="dxa"/>
            <w:shd w:val="clear" w:color="auto" w:fill="auto"/>
            <w:vAlign w:val="center"/>
          </w:tcPr>
          <w:p w14:paraId="7CC79D75" w14:textId="77777777" w:rsidR="00484F0F" w:rsidRPr="00484F0F" w:rsidRDefault="00484F0F" w:rsidP="00484F0F">
            <w:pPr>
              <w:jc w:val="center"/>
              <w:rPr>
                <w:rFonts w:ascii="Abadi" w:hAnsi="Abadi"/>
                <w:sz w:val="21"/>
                <w:szCs w:val="21"/>
              </w:rPr>
            </w:pPr>
            <w:r w:rsidRPr="00484F0F">
              <w:rPr>
                <w:rFonts w:ascii="Abadi" w:hAnsi="Abadi"/>
                <w:sz w:val="21"/>
                <w:szCs w:val="21"/>
              </w:rPr>
              <w:t>A</w:t>
            </w:r>
          </w:p>
        </w:tc>
      </w:tr>
      <w:tr w:rsidR="00484F0F" w:rsidRPr="00484F0F" w14:paraId="49FC3908" w14:textId="77777777" w:rsidTr="004E6068">
        <w:trPr>
          <w:jc w:val="center"/>
        </w:trPr>
        <w:tc>
          <w:tcPr>
            <w:tcW w:w="1271" w:type="dxa"/>
            <w:shd w:val="clear" w:color="auto" w:fill="auto"/>
          </w:tcPr>
          <w:p w14:paraId="796E6EC6" w14:textId="77777777" w:rsidR="00484F0F" w:rsidRPr="00484F0F" w:rsidRDefault="00484F0F" w:rsidP="00484F0F">
            <w:pPr>
              <w:jc w:val="center"/>
              <w:rPr>
                <w:rFonts w:ascii="Abadi" w:hAnsi="Abadi"/>
                <w:b/>
                <w:sz w:val="21"/>
                <w:szCs w:val="21"/>
              </w:rPr>
            </w:pPr>
            <w:r w:rsidRPr="00484F0F">
              <w:rPr>
                <w:rFonts w:ascii="Abadi" w:hAnsi="Abadi"/>
                <w:sz w:val="21"/>
                <w:szCs w:val="21"/>
              </w:rPr>
              <w:t>2020</w:t>
            </w:r>
          </w:p>
        </w:tc>
        <w:tc>
          <w:tcPr>
            <w:tcW w:w="3404" w:type="dxa"/>
            <w:shd w:val="clear" w:color="auto" w:fill="auto"/>
          </w:tcPr>
          <w:p w14:paraId="1C9CA1C3" w14:textId="77777777" w:rsidR="00484F0F" w:rsidRPr="00484F0F" w:rsidRDefault="00484F0F" w:rsidP="00484F0F">
            <w:pPr>
              <w:jc w:val="both"/>
              <w:rPr>
                <w:rFonts w:ascii="Abadi" w:hAnsi="Abadi"/>
                <w:b/>
                <w:bCs/>
                <w:sz w:val="21"/>
                <w:szCs w:val="21"/>
              </w:rPr>
            </w:pPr>
            <w:r w:rsidRPr="00484F0F">
              <w:rPr>
                <w:rFonts w:ascii="Abadi" w:hAnsi="Abadi"/>
                <w:b/>
                <w:bCs/>
                <w:sz w:val="21"/>
                <w:szCs w:val="21"/>
              </w:rPr>
              <w:t xml:space="preserve">Revisión de cuenta pública </w:t>
            </w:r>
          </w:p>
        </w:tc>
        <w:tc>
          <w:tcPr>
            <w:tcW w:w="1687" w:type="dxa"/>
            <w:shd w:val="clear" w:color="auto" w:fill="auto"/>
            <w:vAlign w:val="center"/>
          </w:tcPr>
          <w:p w14:paraId="3FF664D2" w14:textId="77777777" w:rsidR="00484F0F" w:rsidRPr="00484F0F" w:rsidRDefault="00484F0F" w:rsidP="00484F0F">
            <w:pPr>
              <w:jc w:val="center"/>
              <w:rPr>
                <w:rFonts w:ascii="Abadi" w:hAnsi="Abadi"/>
                <w:sz w:val="21"/>
                <w:szCs w:val="21"/>
              </w:rPr>
            </w:pPr>
          </w:p>
        </w:tc>
        <w:tc>
          <w:tcPr>
            <w:tcW w:w="1431" w:type="dxa"/>
            <w:shd w:val="clear" w:color="auto" w:fill="auto"/>
            <w:vAlign w:val="center"/>
          </w:tcPr>
          <w:p w14:paraId="6A86A1DB" w14:textId="77777777" w:rsidR="00484F0F" w:rsidRPr="00484F0F" w:rsidRDefault="00484F0F" w:rsidP="00484F0F">
            <w:pPr>
              <w:jc w:val="center"/>
              <w:rPr>
                <w:rFonts w:ascii="Abadi" w:hAnsi="Abadi"/>
                <w:sz w:val="21"/>
                <w:szCs w:val="21"/>
              </w:rPr>
            </w:pPr>
          </w:p>
        </w:tc>
      </w:tr>
      <w:tr w:rsidR="00484F0F" w:rsidRPr="00484F0F" w14:paraId="1BC0B28F" w14:textId="77777777" w:rsidTr="004E6068">
        <w:trPr>
          <w:jc w:val="center"/>
        </w:trPr>
        <w:tc>
          <w:tcPr>
            <w:tcW w:w="1271" w:type="dxa"/>
            <w:shd w:val="clear" w:color="auto" w:fill="auto"/>
          </w:tcPr>
          <w:p w14:paraId="6C24C604" w14:textId="77777777" w:rsidR="00484F0F" w:rsidRPr="00484F0F" w:rsidRDefault="00484F0F" w:rsidP="00484F0F">
            <w:pPr>
              <w:jc w:val="center"/>
              <w:rPr>
                <w:rFonts w:ascii="Abadi" w:hAnsi="Abadi"/>
                <w:bCs/>
                <w:sz w:val="21"/>
                <w:szCs w:val="21"/>
              </w:rPr>
            </w:pPr>
          </w:p>
        </w:tc>
        <w:tc>
          <w:tcPr>
            <w:tcW w:w="3404" w:type="dxa"/>
            <w:shd w:val="clear" w:color="auto" w:fill="auto"/>
          </w:tcPr>
          <w:p w14:paraId="59CD66B0" w14:textId="77777777" w:rsidR="00484F0F" w:rsidRPr="00484F0F" w:rsidRDefault="00484F0F" w:rsidP="00484F0F">
            <w:pPr>
              <w:jc w:val="both"/>
              <w:rPr>
                <w:rFonts w:ascii="Abadi" w:hAnsi="Abadi"/>
                <w:bCs/>
                <w:sz w:val="21"/>
                <w:szCs w:val="21"/>
              </w:rPr>
            </w:pPr>
            <w:r w:rsidRPr="00484F0F">
              <w:rPr>
                <w:rFonts w:ascii="Abadi" w:hAnsi="Abadi" w:cs="Calibri"/>
                <w:sz w:val="21"/>
                <w:szCs w:val="21"/>
              </w:rPr>
              <w:t>Sector central</w:t>
            </w:r>
          </w:p>
        </w:tc>
        <w:tc>
          <w:tcPr>
            <w:tcW w:w="1687" w:type="dxa"/>
            <w:shd w:val="clear" w:color="auto" w:fill="auto"/>
          </w:tcPr>
          <w:p w14:paraId="37E942AF" w14:textId="77777777" w:rsidR="00484F0F" w:rsidRPr="00484F0F" w:rsidRDefault="00484F0F" w:rsidP="00484F0F">
            <w:pPr>
              <w:jc w:val="center"/>
              <w:rPr>
                <w:rFonts w:ascii="Abadi" w:hAnsi="Abadi"/>
                <w:sz w:val="21"/>
                <w:szCs w:val="21"/>
              </w:rPr>
            </w:pPr>
          </w:p>
        </w:tc>
        <w:tc>
          <w:tcPr>
            <w:tcW w:w="1431" w:type="dxa"/>
            <w:shd w:val="clear" w:color="auto" w:fill="auto"/>
            <w:vAlign w:val="center"/>
          </w:tcPr>
          <w:p w14:paraId="0AAFF7C3" w14:textId="77777777" w:rsidR="00484F0F" w:rsidRPr="00484F0F" w:rsidRDefault="00484F0F" w:rsidP="00484F0F">
            <w:pPr>
              <w:jc w:val="center"/>
              <w:rPr>
                <w:rFonts w:ascii="Abadi" w:hAnsi="Abadi"/>
                <w:sz w:val="21"/>
                <w:szCs w:val="21"/>
              </w:rPr>
            </w:pPr>
          </w:p>
        </w:tc>
      </w:tr>
      <w:tr w:rsidR="00484F0F" w:rsidRPr="00484F0F" w14:paraId="3F8F8AF6" w14:textId="77777777" w:rsidTr="004E6068">
        <w:trPr>
          <w:jc w:val="center"/>
        </w:trPr>
        <w:tc>
          <w:tcPr>
            <w:tcW w:w="1271" w:type="dxa"/>
            <w:shd w:val="clear" w:color="auto" w:fill="auto"/>
          </w:tcPr>
          <w:p w14:paraId="4A8ECCB3" w14:textId="77777777" w:rsidR="00484F0F" w:rsidRPr="00484F0F" w:rsidRDefault="00484F0F" w:rsidP="00484F0F">
            <w:pPr>
              <w:jc w:val="center"/>
              <w:rPr>
                <w:rFonts w:ascii="Abadi" w:hAnsi="Abadi"/>
                <w:bCs/>
                <w:sz w:val="21"/>
                <w:szCs w:val="21"/>
              </w:rPr>
            </w:pPr>
          </w:p>
        </w:tc>
        <w:tc>
          <w:tcPr>
            <w:tcW w:w="3404" w:type="dxa"/>
            <w:shd w:val="clear" w:color="auto" w:fill="auto"/>
          </w:tcPr>
          <w:p w14:paraId="634FC412" w14:textId="77777777" w:rsidR="00484F0F" w:rsidRPr="00484F0F" w:rsidRDefault="00484F0F" w:rsidP="00484F0F">
            <w:pPr>
              <w:jc w:val="both"/>
              <w:rPr>
                <w:rFonts w:ascii="Abadi" w:hAnsi="Abadi"/>
                <w:sz w:val="21"/>
                <w:szCs w:val="21"/>
              </w:rPr>
            </w:pPr>
            <w:r w:rsidRPr="00484F0F">
              <w:rPr>
                <w:rFonts w:ascii="Abadi" w:hAnsi="Abadi" w:cs="Calibri"/>
                <w:sz w:val="21"/>
                <w:szCs w:val="21"/>
              </w:rPr>
              <w:t>211200193 «Pasivos Capitulo 3000 al Cierre 2019»</w:t>
            </w:r>
          </w:p>
        </w:tc>
        <w:tc>
          <w:tcPr>
            <w:tcW w:w="1687" w:type="dxa"/>
            <w:shd w:val="clear" w:color="auto" w:fill="auto"/>
            <w:vAlign w:val="center"/>
          </w:tcPr>
          <w:p w14:paraId="0621C69A" w14:textId="77777777" w:rsidR="00484F0F" w:rsidRPr="00484F0F" w:rsidRDefault="00484F0F" w:rsidP="00484F0F">
            <w:pPr>
              <w:jc w:val="both"/>
              <w:rPr>
                <w:rFonts w:ascii="Abadi" w:hAnsi="Abadi" w:cs="Calibri"/>
                <w:sz w:val="21"/>
                <w:szCs w:val="21"/>
              </w:rPr>
            </w:pPr>
            <w:r w:rsidRPr="00484F0F">
              <w:rPr>
                <w:rFonts w:ascii="Abadi" w:hAnsi="Abadi" w:cs="Calibri"/>
                <w:sz w:val="21"/>
                <w:szCs w:val="21"/>
              </w:rPr>
              <w:t>$3’811,760.00</w:t>
            </w:r>
          </w:p>
        </w:tc>
        <w:tc>
          <w:tcPr>
            <w:tcW w:w="1431" w:type="dxa"/>
            <w:shd w:val="clear" w:color="auto" w:fill="auto"/>
            <w:vAlign w:val="center"/>
          </w:tcPr>
          <w:p w14:paraId="58CCB02D" w14:textId="77777777" w:rsidR="00484F0F" w:rsidRPr="00484F0F" w:rsidRDefault="00484F0F" w:rsidP="00484F0F">
            <w:pPr>
              <w:jc w:val="center"/>
              <w:rPr>
                <w:rFonts w:ascii="Abadi" w:hAnsi="Abadi"/>
                <w:sz w:val="21"/>
                <w:szCs w:val="21"/>
              </w:rPr>
            </w:pPr>
            <w:r w:rsidRPr="00484F0F">
              <w:rPr>
                <w:rFonts w:ascii="Abadi" w:hAnsi="Abadi"/>
                <w:sz w:val="21"/>
                <w:szCs w:val="21"/>
              </w:rPr>
              <w:t>B</w:t>
            </w:r>
          </w:p>
        </w:tc>
      </w:tr>
      <w:tr w:rsidR="00484F0F" w:rsidRPr="00484F0F" w14:paraId="56613121" w14:textId="77777777" w:rsidTr="004E6068">
        <w:trPr>
          <w:jc w:val="center"/>
        </w:trPr>
        <w:tc>
          <w:tcPr>
            <w:tcW w:w="1271" w:type="dxa"/>
            <w:shd w:val="clear" w:color="auto" w:fill="auto"/>
          </w:tcPr>
          <w:p w14:paraId="00D2C654" w14:textId="77777777" w:rsidR="00484F0F" w:rsidRPr="00484F0F" w:rsidRDefault="00484F0F" w:rsidP="00484F0F">
            <w:pPr>
              <w:jc w:val="center"/>
              <w:rPr>
                <w:rFonts w:ascii="Abadi" w:hAnsi="Abadi"/>
                <w:bCs/>
                <w:sz w:val="21"/>
                <w:szCs w:val="21"/>
              </w:rPr>
            </w:pPr>
          </w:p>
        </w:tc>
        <w:tc>
          <w:tcPr>
            <w:tcW w:w="3404" w:type="dxa"/>
            <w:shd w:val="clear" w:color="auto" w:fill="auto"/>
          </w:tcPr>
          <w:p w14:paraId="310F3884" w14:textId="77777777" w:rsidR="00484F0F" w:rsidRPr="00484F0F" w:rsidRDefault="00484F0F" w:rsidP="00484F0F">
            <w:pPr>
              <w:jc w:val="both"/>
              <w:rPr>
                <w:rFonts w:ascii="Abadi" w:hAnsi="Abadi" w:cs="Calibri"/>
                <w:sz w:val="21"/>
                <w:szCs w:val="21"/>
              </w:rPr>
            </w:pPr>
            <w:r w:rsidRPr="00484F0F">
              <w:rPr>
                <w:rFonts w:ascii="Abadi" w:hAnsi="Abadi" w:cs="Calibri"/>
                <w:sz w:val="21"/>
                <w:szCs w:val="21"/>
              </w:rPr>
              <w:t>513203291 «Otros Arrendamientos»</w:t>
            </w:r>
          </w:p>
        </w:tc>
        <w:tc>
          <w:tcPr>
            <w:tcW w:w="1687" w:type="dxa"/>
            <w:shd w:val="clear" w:color="auto" w:fill="auto"/>
            <w:vAlign w:val="center"/>
          </w:tcPr>
          <w:p w14:paraId="2FF7FC0B" w14:textId="77777777" w:rsidR="00484F0F" w:rsidRPr="00484F0F" w:rsidRDefault="00484F0F" w:rsidP="00484F0F">
            <w:pPr>
              <w:jc w:val="both"/>
              <w:rPr>
                <w:rFonts w:ascii="Abadi" w:hAnsi="Abadi" w:cs="Calibri"/>
                <w:sz w:val="21"/>
                <w:szCs w:val="21"/>
              </w:rPr>
            </w:pPr>
            <w:r w:rsidRPr="00484F0F">
              <w:rPr>
                <w:rFonts w:ascii="Abadi" w:hAnsi="Abadi" w:cs="Calibri"/>
                <w:sz w:val="21"/>
                <w:szCs w:val="21"/>
              </w:rPr>
              <w:t>$15’247,040.00</w:t>
            </w:r>
          </w:p>
        </w:tc>
        <w:tc>
          <w:tcPr>
            <w:tcW w:w="1431" w:type="dxa"/>
            <w:shd w:val="clear" w:color="auto" w:fill="auto"/>
            <w:vAlign w:val="center"/>
          </w:tcPr>
          <w:p w14:paraId="578CFA0A" w14:textId="77777777" w:rsidR="00484F0F" w:rsidRPr="00484F0F" w:rsidRDefault="00484F0F" w:rsidP="00484F0F">
            <w:pPr>
              <w:jc w:val="center"/>
              <w:rPr>
                <w:rFonts w:ascii="Abadi" w:hAnsi="Abadi"/>
                <w:sz w:val="21"/>
                <w:szCs w:val="21"/>
              </w:rPr>
            </w:pPr>
          </w:p>
        </w:tc>
      </w:tr>
      <w:tr w:rsidR="00484F0F" w:rsidRPr="00484F0F" w14:paraId="53F53725" w14:textId="77777777" w:rsidTr="004E6068">
        <w:trPr>
          <w:jc w:val="center"/>
        </w:trPr>
        <w:tc>
          <w:tcPr>
            <w:tcW w:w="1271" w:type="dxa"/>
            <w:shd w:val="clear" w:color="auto" w:fill="auto"/>
          </w:tcPr>
          <w:p w14:paraId="69A698E6" w14:textId="77777777" w:rsidR="00484F0F" w:rsidRPr="00484F0F" w:rsidRDefault="00484F0F" w:rsidP="00484F0F">
            <w:pPr>
              <w:jc w:val="center"/>
              <w:rPr>
                <w:rFonts w:ascii="Abadi" w:hAnsi="Abadi"/>
                <w:bCs/>
                <w:sz w:val="21"/>
                <w:szCs w:val="21"/>
              </w:rPr>
            </w:pPr>
            <w:r w:rsidRPr="00484F0F">
              <w:rPr>
                <w:rFonts w:ascii="Abadi" w:hAnsi="Abadi"/>
                <w:bCs/>
                <w:sz w:val="21"/>
                <w:szCs w:val="21"/>
              </w:rPr>
              <w:t>2021</w:t>
            </w:r>
          </w:p>
        </w:tc>
        <w:tc>
          <w:tcPr>
            <w:tcW w:w="3404" w:type="dxa"/>
            <w:shd w:val="clear" w:color="auto" w:fill="auto"/>
          </w:tcPr>
          <w:p w14:paraId="3744AE8F" w14:textId="77777777" w:rsidR="00484F0F" w:rsidRPr="00484F0F" w:rsidRDefault="00484F0F" w:rsidP="00484F0F">
            <w:pPr>
              <w:jc w:val="both"/>
              <w:rPr>
                <w:rFonts w:ascii="Abadi" w:hAnsi="Abadi" w:cs="Calibri"/>
                <w:sz w:val="21"/>
                <w:szCs w:val="21"/>
              </w:rPr>
            </w:pPr>
            <w:r w:rsidRPr="00484F0F">
              <w:rPr>
                <w:rFonts w:ascii="Abadi" w:hAnsi="Abadi"/>
                <w:b/>
                <w:bCs/>
                <w:sz w:val="21"/>
                <w:szCs w:val="21"/>
              </w:rPr>
              <w:t>Revisión de cuenta pública</w:t>
            </w:r>
          </w:p>
        </w:tc>
        <w:tc>
          <w:tcPr>
            <w:tcW w:w="1687" w:type="dxa"/>
            <w:shd w:val="clear" w:color="auto" w:fill="auto"/>
            <w:vAlign w:val="center"/>
          </w:tcPr>
          <w:p w14:paraId="60E97937" w14:textId="77777777" w:rsidR="00484F0F" w:rsidRPr="00484F0F" w:rsidRDefault="00484F0F" w:rsidP="00484F0F">
            <w:pPr>
              <w:jc w:val="both"/>
              <w:rPr>
                <w:rFonts w:ascii="Abadi" w:hAnsi="Abadi" w:cs="Calibri"/>
                <w:sz w:val="21"/>
                <w:szCs w:val="21"/>
              </w:rPr>
            </w:pPr>
          </w:p>
        </w:tc>
        <w:tc>
          <w:tcPr>
            <w:tcW w:w="1431" w:type="dxa"/>
            <w:shd w:val="clear" w:color="auto" w:fill="auto"/>
            <w:vAlign w:val="center"/>
          </w:tcPr>
          <w:p w14:paraId="77DC27F1" w14:textId="77777777" w:rsidR="00484F0F" w:rsidRPr="00484F0F" w:rsidRDefault="00484F0F" w:rsidP="00484F0F">
            <w:pPr>
              <w:jc w:val="center"/>
              <w:rPr>
                <w:rFonts w:ascii="Abadi" w:hAnsi="Abadi"/>
                <w:sz w:val="21"/>
                <w:szCs w:val="21"/>
              </w:rPr>
            </w:pPr>
          </w:p>
        </w:tc>
      </w:tr>
      <w:tr w:rsidR="00484F0F" w:rsidRPr="00484F0F" w14:paraId="24AF85D7" w14:textId="77777777" w:rsidTr="004E6068">
        <w:trPr>
          <w:jc w:val="center"/>
        </w:trPr>
        <w:tc>
          <w:tcPr>
            <w:tcW w:w="1271" w:type="dxa"/>
            <w:shd w:val="clear" w:color="auto" w:fill="auto"/>
            <w:vAlign w:val="center"/>
          </w:tcPr>
          <w:p w14:paraId="0151642E" w14:textId="77777777" w:rsidR="00484F0F" w:rsidRPr="00484F0F" w:rsidRDefault="00484F0F" w:rsidP="00484F0F">
            <w:pPr>
              <w:jc w:val="center"/>
              <w:rPr>
                <w:rFonts w:ascii="Abadi" w:hAnsi="Abadi"/>
                <w:sz w:val="21"/>
                <w:szCs w:val="21"/>
              </w:rPr>
            </w:pPr>
            <w:r w:rsidRPr="00484F0F">
              <w:rPr>
                <w:rFonts w:ascii="Abadi" w:hAnsi="Abadi" w:cs="Calibri"/>
                <w:sz w:val="21"/>
                <w:szCs w:val="21"/>
              </w:rPr>
              <w:t xml:space="preserve">.  </w:t>
            </w:r>
          </w:p>
        </w:tc>
        <w:tc>
          <w:tcPr>
            <w:tcW w:w="3404" w:type="dxa"/>
            <w:shd w:val="clear" w:color="auto" w:fill="auto"/>
            <w:vAlign w:val="center"/>
          </w:tcPr>
          <w:p w14:paraId="2A7CF51B" w14:textId="77777777" w:rsidR="00484F0F" w:rsidRPr="00484F0F" w:rsidRDefault="00484F0F" w:rsidP="00484F0F">
            <w:pPr>
              <w:jc w:val="both"/>
              <w:rPr>
                <w:rFonts w:ascii="Abadi" w:hAnsi="Abadi"/>
                <w:bCs/>
                <w:sz w:val="21"/>
                <w:szCs w:val="21"/>
              </w:rPr>
            </w:pPr>
            <w:r w:rsidRPr="00484F0F">
              <w:rPr>
                <w:rFonts w:ascii="Abadi" w:hAnsi="Abadi" w:cs="Calibri"/>
                <w:sz w:val="21"/>
                <w:szCs w:val="21"/>
              </w:rPr>
              <w:t>En etapa de análisis de información financiera del periodo de enero a junio y julio a diciembre del ejercicio fiscal 2021</w:t>
            </w:r>
          </w:p>
        </w:tc>
        <w:tc>
          <w:tcPr>
            <w:tcW w:w="1687" w:type="dxa"/>
            <w:shd w:val="clear" w:color="auto" w:fill="auto"/>
            <w:vAlign w:val="center"/>
          </w:tcPr>
          <w:p w14:paraId="16D3CFB9" w14:textId="77777777" w:rsidR="00484F0F" w:rsidRPr="00484F0F" w:rsidRDefault="00484F0F" w:rsidP="00484F0F">
            <w:pPr>
              <w:jc w:val="center"/>
              <w:rPr>
                <w:rFonts w:ascii="Abadi" w:hAnsi="Abadi" w:cs="Calibri"/>
                <w:sz w:val="21"/>
                <w:szCs w:val="21"/>
              </w:rPr>
            </w:pPr>
          </w:p>
          <w:p w14:paraId="56D4B30D" w14:textId="77777777" w:rsidR="00484F0F" w:rsidRPr="00484F0F" w:rsidRDefault="00484F0F" w:rsidP="00484F0F">
            <w:pPr>
              <w:jc w:val="center"/>
              <w:rPr>
                <w:rFonts w:ascii="Abadi" w:hAnsi="Abadi" w:cs="Calibri"/>
                <w:sz w:val="21"/>
                <w:szCs w:val="21"/>
              </w:rPr>
            </w:pPr>
          </w:p>
          <w:p w14:paraId="38E5DCD1" w14:textId="77777777" w:rsidR="00484F0F" w:rsidRPr="00484F0F" w:rsidRDefault="00484F0F" w:rsidP="00484F0F">
            <w:pPr>
              <w:jc w:val="center"/>
              <w:rPr>
                <w:rFonts w:ascii="Abadi" w:hAnsi="Abadi" w:cs="Calibri"/>
                <w:sz w:val="21"/>
                <w:szCs w:val="21"/>
              </w:rPr>
            </w:pPr>
          </w:p>
          <w:p w14:paraId="65550D0C" w14:textId="77777777" w:rsidR="00484F0F" w:rsidRPr="00484F0F" w:rsidRDefault="00484F0F" w:rsidP="00484F0F">
            <w:pPr>
              <w:jc w:val="center"/>
              <w:rPr>
                <w:rFonts w:ascii="Abadi" w:hAnsi="Abadi"/>
                <w:bCs/>
                <w:sz w:val="21"/>
                <w:szCs w:val="21"/>
              </w:rPr>
            </w:pPr>
            <w:r w:rsidRPr="00484F0F">
              <w:rPr>
                <w:rFonts w:ascii="Abadi" w:hAnsi="Abadi" w:cs="Calibri"/>
                <w:sz w:val="21"/>
                <w:szCs w:val="21"/>
              </w:rPr>
              <w:t>Proceso</w:t>
            </w:r>
          </w:p>
        </w:tc>
        <w:tc>
          <w:tcPr>
            <w:tcW w:w="1431" w:type="dxa"/>
            <w:shd w:val="clear" w:color="auto" w:fill="auto"/>
            <w:vAlign w:val="center"/>
          </w:tcPr>
          <w:p w14:paraId="0AE27E5F" w14:textId="77777777" w:rsidR="00484F0F" w:rsidRPr="00484F0F" w:rsidRDefault="00484F0F" w:rsidP="00484F0F">
            <w:pPr>
              <w:jc w:val="center"/>
              <w:rPr>
                <w:rFonts w:ascii="Abadi" w:hAnsi="Abadi"/>
                <w:bCs/>
                <w:sz w:val="21"/>
                <w:szCs w:val="21"/>
              </w:rPr>
            </w:pPr>
          </w:p>
          <w:p w14:paraId="2E16C367" w14:textId="77777777" w:rsidR="00484F0F" w:rsidRPr="00484F0F" w:rsidRDefault="00484F0F" w:rsidP="00484F0F">
            <w:pPr>
              <w:jc w:val="center"/>
              <w:rPr>
                <w:rFonts w:ascii="Abadi" w:hAnsi="Abadi"/>
                <w:bCs/>
                <w:sz w:val="21"/>
                <w:szCs w:val="21"/>
              </w:rPr>
            </w:pPr>
          </w:p>
          <w:p w14:paraId="3A53056F" w14:textId="77777777" w:rsidR="00484F0F" w:rsidRPr="00484F0F" w:rsidRDefault="00484F0F" w:rsidP="00484F0F">
            <w:pPr>
              <w:jc w:val="center"/>
              <w:rPr>
                <w:rFonts w:ascii="Abadi" w:hAnsi="Abadi"/>
                <w:bCs/>
                <w:sz w:val="21"/>
                <w:szCs w:val="21"/>
              </w:rPr>
            </w:pPr>
          </w:p>
          <w:p w14:paraId="1E0443F3" w14:textId="77777777" w:rsidR="00484F0F" w:rsidRPr="00484F0F" w:rsidRDefault="00484F0F" w:rsidP="00484F0F">
            <w:pPr>
              <w:jc w:val="center"/>
              <w:rPr>
                <w:rFonts w:ascii="Abadi" w:hAnsi="Abadi"/>
                <w:bCs/>
                <w:sz w:val="21"/>
                <w:szCs w:val="21"/>
              </w:rPr>
            </w:pPr>
          </w:p>
        </w:tc>
      </w:tr>
    </w:tbl>
    <w:p w14:paraId="7CAE444C" w14:textId="77777777" w:rsidR="00484F0F" w:rsidRPr="00484F0F" w:rsidRDefault="00484F0F" w:rsidP="00484F0F">
      <w:pPr>
        <w:rPr>
          <w:rFonts w:ascii="Abadi" w:hAnsi="Abadi"/>
          <w:b/>
          <w:bCs/>
          <w:sz w:val="21"/>
          <w:szCs w:val="21"/>
        </w:rPr>
      </w:pPr>
    </w:p>
    <w:p w14:paraId="447F047B" w14:textId="77777777" w:rsidR="00484F0F" w:rsidRPr="00484F0F" w:rsidRDefault="00484F0F" w:rsidP="00484F0F">
      <w:pPr>
        <w:rPr>
          <w:rFonts w:ascii="Abadi" w:hAnsi="Abadi"/>
          <w:b/>
          <w:bCs/>
          <w:sz w:val="21"/>
          <w:szCs w:val="21"/>
        </w:rPr>
      </w:pPr>
      <w:r w:rsidRPr="00484F0F">
        <w:rPr>
          <w:rFonts w:ascii="Abadi" w:hAnsi="Abadi"/>
          <w:b/>
          <w:bCs/>
          <w:sz w:val="21"/>
          <w:szCs w:val="21"/>
        </w:rPr>
        <w:t>Notas:</w:t>
      </w:r>
    </w:p>
    <w:p w14:paraId="57DBB9AD" w14:textId="77777777" w:rsidR="00484F0F" w:rsidRPr="00484F0F" w:rsidRDefault="00484F0F" w:rsidP="00484F0F">
      <w:pPr>
        <w:rPr>
          <w:rFonts w:ascii="Abadi" w:hAnsi="Abadi"/>
          <w:b/>
          <w:bCs/>
          <w:sz w:val="21"/>
          <w:szCs w:val="21"/>
        </w:rPr>
      </w:pPr>
    </w:p>
    <w:p w14:paraId="236EF745" w14:textId="77777777" w:rsidR="00484F0F" w:rsidRPr="00484F0F" w:rsidRDefault="00484F0F" w:rsidP="001A28E5">
      <w:pPr>
        <w:numPr>
          <w:ilvl w:val="0"/>
          <w:numId w:val="67"/>
        </w:numPr>
        <w:jc w:val="both"/>
        <w:rPr>
          <w:rFonts w:ascii="Abadi" w:hAnsi="Abadi"/>
          <w:bCs/>
          <w:sz w:val="21"/>
          <w:szCs w:val="21"/>
          <w:lang w:val="es-MX" w:eastAsia="en-US"/>
        </w:rPr>
      </w:pPr>
      <w:r w:rsidRPr="00484F0F">
        <w:rPr>
          <w:rFonts w:ascii="Abadi" w:hAnsi="Abadi"/>
          <w:sz w:val="21"/>
          <w:szCs w:val="21"/>
          <w:lang w:val="es-MX" w:eastAsia="en-US"/>
        </w:rPr>
        <w:t>El importe registrado incluye dos mensualidades por $</w:t>
      </w:r>
      <w:r w:rsidRPr="00484F0F">
        <w:rPr>
          <w:rFonts w:ascii="Abadi" w:hAnsi="Abadi"/>
          <w:bCs/>
          <w:sz w:val="21"/>
          <w:szCs w:val="21"/>
          <w:lang w:val="es-MX" w:eastAsia="en-US"/>
        </w:rPr>
        <w:t xml:space="preserve">3’811,760.00 que fueron pagadas hasta marzo 2020. </w:t>
      </w:r>
    </w:p>
    <w:p w14:paraId="7310C83D" w14:textId="77777777" w:rsidR="00484F0F" w:rsidRPr="00484F0F" w:rsidRDefault="00484F0F" w:rsidP="001A28E5">
      <w:pPr>
        <w:numPr>
          <w:ilvl w:val="0"/>
          <w:numId w:val="67"/>
        </w:numPr>
        <w:jc w:val="both"/>
        <w:rPr>
          <w:rFonts w:ascii="Abadi" w:hAnsi="Abadi"/>
          <w:sz w:val="21"/>
          <w:szCs w:val="21"/>
          <w:lang w:val="es-MX" w:eastAsia="en-US"/>
        </w:rPr>
      </w:pPr>
      <w:r w:rsidRPr="00484F0F">
        <w:rPr>
          <w:rFonts w:ascii="Abadi" w:hAnsi="Abadi"/>
          <w:sz w:val="21"/>
          <w:szCs w:val="21"/>
          <w:lang w:val="es-MX" w:eastAsia="en-US"/>
        </w:rPr>
        <w:t xml:space="preserve">El importe de esta cuenta corresponde al pago de las dos mensualidades que se registraron en la cuenta </w:t>
      </w:r>
      <w:r w:rsidRPr="00484F0F">
        <w:rPr>
          <w:rFonts w:ascii="Abadi" w:hAnsi="Abadi" w:cs="Calibri"/>
          <w:sz w:val="21"/>
          <w:szCs w:val="21"/>
          <w:lang w:val="es-MX" w:eastAsia="en-US"/>
        </w:rPr>
        <w:t>513203291 Otros Arrendamientos del ejercicio fiscal 2019.</w:t>
      </w:r>
    </w:p>
    <w:p w14:paraId="65DEB283" w14:textId="77777777" w:rsidR="00484F0F" w:rsidRPr="00484F0F" w:rsidRDefault="00484F0F" w:rsidP="00484F0F">
      <w:pPr>
        <w:rPr>
          <w:rFonts w:ascii="Abadi" w:hAnsi="Abadi"/>
          <w:b/>
          <w:bCs/>
          <w:sz w:val="21"/>
          <w:szCs w:val="21"/>
        </w:rPr>
      </w:pPr>
    </w:p>
    <w:p w14:paraId="2B732A3A" w14:textId="77777777" w:rsidR="00484F0F" w:rsidRPr="00484F0F" w:rsidRDefault="00484F0F" w:rsidP="00484F0F">
      <w:pPr>
        <w:ind w:firstLine="720"/>
        <w:jc w:val="both"/>
        <w:rPr>
          <w:rFonts w:ascii="Abadi" w:hAnsi="Abadi" w:cs="Tahoma"/>
          <w:sz w:val="21"/>
          <w:szCs w:val="21"/>
        </w:rPr>
      </w:pPr>
      <w:r w:rsidRPr="00484F0F">
        <w:rPr>
          <w:rFonts w:ascii="Abadi" w:hAnsi="Abadi" w:cs="Tahoma"/>
          <w:sz w:val="21"/>
          <w:szCs w:val="21"/>
        </w:rPr>
        <w:t>De acuerdo a la información proporcionada por la Auditoría Superior del Estado para la realización de los procesos de fiscalización se determinan con base en los riesgos identificados durante la etapa de planeación. Los análisis realizados en la planeación están vinculados con la generalidad del sujeto de fiscalización, con los sistemas transaccionales, de control interno, de materialidad presupuestal, de visibilidad y relevancia, así como de posibles riesgos asociados, entre los que destacan: Actas de órgano de gobierno y adquisiciones, notas periodísticas, publicaciones en el Periódico Oficial de Gobierno del Estado, análisis de demandas, informes de auditoría emitidos por órganos internos de control, auditorías externas y realizadas por la propia por la propia Auditoría Superior del Estado, sistemas transaccionales (tesorería, ingresos, bienes muebles e inmuebles, servicios personales, ayudas y subsidios, deuda, entre otros); variaciones presupuestales, saldos de cuenta de balance y resultados, bancos, proveedores y contratistas, enajenación y adquisición de bienes muebles e inmuebles y procesamiento de CFDI (XML).</w:t>
      </w:r>
    </w:p>
    <w:p w14:paraId="7C27B65A" w14:textId="77777777" w:rsidR="00484F0F" w:rsidRPr="00484F0F" w:rsidRDefault="00484F0F" w:rsidP="00484F0F">
      <w:pPr>
        <w:ind w:firstLine="720"/>
        <w:jc w:val="both"/>
        <w:rPr>
          <w:rFonts w:ascii="Abadi" w:hAnsi="Abadi" w:cs="Tahoma"/>
          <w:sz w:val="21"/>
          <w:szCs w:val="21"/>
        </w:rPr>
      </w:pPr>
    </w:p>
    <w:p w14:paraId="1A8B9F3F" w14:textId="77777777" w:rsidR="00484F0F" w:rsidRPr="00484F0F" w:rsidRDefault="00484F0F" w:rsidP="00484F0F">
      <w:pPr>
        <w:ind w:firstLine="720"/>
        <w:jc w:val="both"/>
        <w:rPr>
          <w:rFonts w:ascii="Abadi" w:hAnsi="Abadi" w:cs="Tahoma"/>
          <w:sz w:val="21"/>
          <w:szCs w:val="21"/>
        </w:rPr>
      </w:pPr>
      <w:r w:rsidRPr="00484F0F">
        <w:rPr>
          <w:rFonts w:ascii="Abadi" w:hAnsi="Abadi" w:cs="Tahoma"/>
          <w:sz w:val="21"/>
          <w:szCs w:val="21"/>
        </w:rPr>
        <w:t xml:space="preserve">El alcance y procedimientos referidos forman parte de los análisis que realiza la Auditoría Superior del Estado para efecto de determinar la materialidad y la extensión de los procedimientos de auditoría a aplicar en la etapa de ejecución, situación por la cual, los alcances establecidos en los respectivos informes de resultados se complementan con los procedimientos de planeación específica, mismos que forman parte integral del análisis que realiza dicho ente auditor.  </w:t>
      </w:r>
    </w:p>
    <w:p w14:paraId="7968F3CC" w14:textId="77777777" w:rsidR="00484F0F" w:rsidRPr="00484F0F" w:rsidRDefault="00484F0F" w:rsidP="00484F0F">
      <w:pPr>
        <w:ind w:firstLine="720"/>
        <w:jc w:val="both"/>
        <w:rPr>
          <w:rFonts w:ascii="Abadi" w:hAnsi="Abadi" w:cs="Tahoma"/>
          <w:sz w:val="21"/>
          <w:szCs w:val="21"/>
        </w:rPr>
      </w:pPr>
    </w:p>
    <w:p w14:paraId="4A5DD6FD" w14:textId="77777777" w:rsidR="00484F0F" w:rsidRPr="00484F0F" w:rsidRDefault="00484F0F" w:rsidP="00484F0F">
      <w:pPr>
        <w:ind w:firstLine="720"/>
        <w:jc w:val="both"/>
        <w:rPr>
          <w:rFonts w:ascii="Abadi" w:hAnsi="Abadi" w:cs="Tahoma"/>
          <w:sz w:val="21"/>
          <w:szCs w:val="21"/>
        </w:rPr>
      </w:pPr>
      <w:r w:rsidRPr="00484F0F">
        <w:rPr>
          <w:rFonts w:ascii="Abadi" w:hAnsi="Abadi" w:cs="Tahoma"/>
          <w:sz w:val="21"/>
          <w:szCs w:val="21"/>
        </w:rPr>
        <w:t>Por lo que hace a la revisión de la cuenta pública correspondiente al ejercicio fiscal del año 2019 se revisó lo siguiente:</w:t>
      </w:r>
    </w:p>
    <w:p w14:paraId="0D0D87BF" w14:textId="77777777" w:rsidR="00484F0F" w:rsidRPr="00484F0F" w:rsidRDefault="00484F0F" w:rsidP="00484F0F">
      <w:pPr>
        <w:ind w:firstLine="708"/>
        <w:contextualSpacing/>
        <w:jc w:val="both"/>
        <w:rPr>
          <w:rFonts w:ascii="Abadi" w:hAnsi="Abadi" w:cs="Calibri"/>
          <w:sz w:val="21"/>
          <w:szCs w:val="21"/>
        </w:rPr>
      </w:pPr>
    </w:p>
    <w:p w14:paraId="5B1D6A13" w14:textId="77777777" w:rsidR="00484F0F" w:rsidRPr="00484F0F" w:rsidRDefault="00484F0F" w:rsidP="001A28E5">
      <w:pPr>
        <w:numPr>
          <w:ilvl w:val="0"/>
          <w:numId w:val="70"/>
        </w:numPr>
        <w:spacing w:after="160"/>
        <w:contextualSpacing/>
        <w:jc w:val="both"/>
        <w:rPr>
          <w:rFonts w:ascii="Abadi" w:hAnsi="Abadi" w:cs="Calibri"/>
          <w:sz w:val="21"/>
          <w:szCs w:val="21"/>
        </w:rPr>
      </w:pPr>
      <w:r w:rsidRPr="00484F0F">
        <w:rPr>
          <w:rFonts w:ascii="Abadi" w:hAnsi="Abadi" w:cs="Calibri"/>
          <w:sz w:val="21"/>
          <w:szCs w:val="21"/>
        </w:rPr>
        <w:t xml:space="preserve">La Licitación LPN/DRM-006/2019 «Contratación de Servicio Integral de Arrendamiento puro, Suministro, Mantenimiento y Puesta en Operación de Equipos de Alta Tecnología en Materia de Movilidad y Seguridad Pública por 27 meses» para el municipio de San Miguel de Allende, Gto., adjudicando el contrato a las empresas </w:t>
      </w:r>
      <w:r w:rsidRPr="00484F0F">
        <w:rPr>
          <w:rFonts w:ascii="Abadi" w:hAnsi="Abadi" w:cs="Calibri"/>
          <w:i/>
          <w:iCs/>
          <w:sz w:val="21"/>
          <w:szCs w:val="21"/>
        </w:rPr>
        <w:t>Bercale Service S.A. de C.V.</w:t>
      </w:r>
      <w:r w:rsidRPr="00484F0F">
        <w:rPr>
          <w:rFonts w:ascii="Abadi" w:hAnsi="Abadi" w:cs="Calibri"/>
          <w:sz w:val="21"/>
          <w:szCs w:val="21"/>
        </w:rPr>
        <w:t xml:space="preserve"> y </w:t>
      </w:r>
      <w:r w:rsidRPr="00484F0F">
        <w:rPr>
          <w:rFonts w:ascii="Abadi" w:hAnsi="Abadi" w:cs="Calibri"/>
          <w:i/>
          <w:iCs/>
          <w:sz w:val="21"/>
          <w:szCs w:val="21"/>
        </w:rPr>
        <w:t xml:space="preserve">Lumo Financiera del Centro S.A. de C.V. SOFOM. ENR. </w:t>
      </w:r>
      <w:r w:rsidRPr="00484F0F">
        <w:rPr>
          <w:rFonts w:ascii="Abadi" w:hAnsi="Abadi" w:cs="Calibri"/>
          <w:sz w:val="21"/>
          <w:szCs w:val="21"/>
        </w:rPr>
        <w:t>Dichas empresas celebraron un convenio privado de participación conjunta de fecha 5 de julio de 2019 en el que convinieron presentar una oferta conjunta en el citado proceso de Licitación Pública Nacional.</w:t>
      </w:r>
    </w:p>
    <w:p w14:paraId="127B43E1" w14:textId="77777777" w:rsidR="00484F0F" w:rsidRPr="00484F0F" w:rsidRDefault="00484F0F" w:rsidP="00484F0F">
      <w:pPr>
        <w:spacing w:after="160"/>
        <w:ind w:left="1068"/>
        <w:contextualSpacing/>
        <w:jc w:val="both"/>
        <w:rPr>
          <w:rFonts w:ascii="Abadi" w:hAnsi="Abadi" w:cs="Calibri"/>
          <w:sz w:val="21"/>
          <w:szCs w:val="21"/>
        </w:rPr>
      </w:pPr>
    </w:p>
    <w:p w14:paraId="61D2C9F7" w14:textId="77777777" w:rsidR="00484F0F" w:rsidRPr="00484F0F" w:rsidRDefault="00484F0F" w:rsidP="00701227">
      <w:pPr>
        <w:spacing w:after="160"/>
        <w:contextualSpacing/>
        <w:jc w:val="both"/>
        <w:rPr>
          <w:rFonts w:ascii="Abadi" w:hAnsi="Abadi" w:cs="Calibri"/>
          <w:sz w:val="21"/>
          <w:szCs w:val="21"/>
        </w:rPr>
      </w:pPr>
    </w:p>
    <w:p w14:paraId="6E9AFC44" w14:textId="77777777" w:rsidR="00484F0F" w:rsidRPr="00484F0F" w:rsidRDefault="00484F0F" w:rsidP="001A28E5">
      <w:pPr>
        <w:numPr>
          <w:ilvl w:val="0"/>
          <w:numId w:val="70"/>
        </w:numPr>
        <w:contextualSpacing/>
        <w:jc w:val="both"/>
        <w:rPr>
          <w:rFonts w:ascii="Abadi" w:hAnsi="Abadi"/>
          <w:i/>
          <w:iCs/>
          <w:sz w:val="21"/>
          <w:szCs w:val="21"/>
          <w:lang w:val="es-MX" w:eastAsia="en-US"/>
        </w:rPr>
      </w:pPr>
      <w:r w:rsidRPr="00484F0F">
        <w:rPr>
          <w:rFonts w:ascii="Abadi" w:hAnsi="Abadi" w:cs="Calibri"/>
          <w:sz w:val="21"/>
          <w:szCs w:val="21"/>
        </w:rPr>
        <w:t xml:space="preserve">El contrato de arrendamiento puro SSP-001-07-2019 entre el Municipio y las personas morales </w:t>
      </w:r>
      <w:r w:rsidRPr="00484F0F">
        <w:rPr>
          <w:rFonts w:ascii="Abadi" w:hAnsi="Abadi" w:cs="Calibri"/>
          <w:i/>
          <w:iCs/>
          <w:sz w:val="21"/>
          <w:szCs w:val="21"/>
        </w:rPr>
        <w:t>Bercale Service S.A. de C.V.</w:t>
      </w:r>
      <w:r w:rsidRPr="00484F0F">
        <w:rPr>
          <w:rFonts w:ascii="Abadi" w:hAnsi="Abadi" w:cs="Calibri"/>
          <w:sz w:val="21"/>
          <w:szCs w:val="21"/>
        </w:rPr>
        <w:t xml:space="preserve"> y </w:t>
      </w:r>
      <w:r w:rsidRPr="00484F0F">
        <w:rPr>
          <w:rFonts w:ascii="Abadi" w:hAnsi="Abadi" w:cs="Calibri"/>
          <w:i/>
          <w:iCs/>
          <w:sz w:val="21"/>
          <w:szCs w:val="21"/>
        </w:rPr>
        <w:t>Lumo Financiera del Centro S.A. de C.V. SOFOM. ENR.</w:t>
      </w:r>
      <w:r w:rsidRPr="00484F0F">
        <w:rPr>
          <w:rFonts w:ascii="Abadi" w:hAnsi="Abadi" w:cs="Calibri"/>
          <w:sz w:val="21"/>
          <w:szCs w:val="21"/>
        </w:rPr>
        <w:t xml:space="preserve">, suscrito el 22 de julio de 2019 cuyo objeto fue: </w:t>
      </w:r>
      <w:r w:rsidRPr="00484F0F">
        <w:rPr>
          <w:rFonts w:ascii="Abadi" w:hAnsi="Abadi" w:cs="Calibri"/>
          <w:i/>
          <w:iCs/>
          <w:sz w:val="21"/>
          <w:szCs w:val="21"/>
        </w:rPr>
        <w:t>«OBJETO DEL CONTRATO. - "EL ARRENDADOR" SE OBLIGA CON EL "MUNICIPIO" PARA LA "CONTRATACIÓN DE SERVICIO INTEGRAL DE ARRENDAMIENTO PURO, SUMINISTRO, MANTENIMIENTO Y PUESTA EN OPERACIÓN DE EQUIPOS DE ALTA TECNOLOGÍA EN MATERIA DE MOVILIDAD Y SEGURIDAD PÚBLICA POR 27 MESES PARA EL MUNICIPIO DE SAN MIGUEL DE ALLENDE, GUANAJUATO." OTORGANDO EL USO DE LOS BIENES DE CONFORMIDAD A LO INDICADO EN EL</w:t>
      </w:r>
      <w:r w:rsidRPr="00484F0F">
        <w:rPr>
          <w:rFonts w:ascii="Abadi" w:hAnsi="Abadi"/>
          <w:i/>
          <w:iCs/>
          <w:sz w:val="21"/>
          <w:szCs w:val="21"/>
          <w:lang w:val="es-ES_tradnl" w:eastAsia="en-US"/>
        </w:rPr>
        <w:t xml:space="preserve"> </w:t>
      </w:r>
      <w:r w:rsidRPr="00484F0F">
        <w:rPr>
          <w:rFonts w:ascii="Abadi" w:hAnsi="Abadi"/>
          <w:b/>
          <w:bCs/>
          <w:i/>
          <w:iCs/>
          <w:sz w:val="21"/>
          <w:szCs w:val="21"/>
          <w:lang w:val="es-ES_tradnl" w:eastAsia="en-US"/>
        </w:rPr>
        <w:t>ANEXO 2.»</w:t>
      </w:r>
    </w:p>
    <w:p w14:paraId="4ACCC05A" w14:textId="77777777" w:rsidR="00484F0F" w:rsidRPr="00484F0F" w:rsidRDefault="00484F0F" w:rsidP="00484F0F">
      <w:pPr>
        <w:spacing w:after="160"/>
        <w:ind w:left="1068"/>
        <w:contextualSpacing/>
        <w:jc w:val="both"/>
        <w:rPr>
          <w:rFonts w:ascii="Abadi" w:hAnsi="Abadi" w:cs="Calibri"/>
          <w:sz w:val="21"/>
          <w:szCs w:val="21"/>
        </w:rPr>
      </w:pPr>
    </w:p>
    <w:p w14:paraId="2BFC1C15" w14:textId="77777777" w:rsidR="00484F0F" w:rsidRPr="00484F0F" w:rsidRDefault="00484F0F" w:rsidP="00484F0F">
      <w:pPr>
        <w:spacing w:after="160"/>
        <w:ind w:left="1068"/>
        <w:contextualSpacing/>
        <w:jc w:val="both"/>
        <w:rPr>
          <w:rFonts w:ascii="Abadi" w:hAnsi="Abadi" w:cs="Calibri"/>
          <w:sz w:val="21"/>
          <w:szCs w:val="21"/>
        </w:rPr>
      </w:pPr>
      <w:r w:rsidRPr="00484F0F">
        <w:rPr>
          <w:rFonts w:ascii="Abadi" w:hAnsi="Abadi"/>
          <w:sz w:val="21"/>
          <w:szCs w:val="21"/>
          <w:lang w:val="es-MX" w:eastAsia="en-US"/>
        </w:rPr>
        <w:t>El monto del contrato fue por $44’361,000.00 más IVA $7’097,760.00, dando un total de $51’458,760.00.</w:t>
      </w:r>
    </w:p>
    <w:p w14:paraId="01CE0DE0" w14:textId="77777777" w:rsidR="00484F0F" w:rsidRPr="00484F0F" w:rsidRDefault="00484F0F" w:rsidP="00484F0F">
      <w:pPr>
        <w:ind w:left="1068"/>
        <w:contextualSpacing/>
        <w:jc w:val="both"/>
        <w:rPr>
          <w:rFonts w:ascii="Abadi" w:hAnsi="Abadi" w:cs="Calibri"/>
          <w:sz w:val="21"/>
          <w:szCs w:val="21"/>
        </w:rPr>
      </w:pPr>
    </w:p>
    <w:p w14:paraId="58F6FF59" w14:textId="77777777" w:rsidR="00484F0F" w:rsidRPr="00484F0F" w:rsidRDefault="00484F0F" w:rsidP="001A28E5">
      <w:pPr>
        <w:numPr>
          <w:ilvl w:val="0"/>
          <w:numId w:val="70"/>
        </w:numPr>
        <w:spacing w:after="160"/>
        <w:contextualSpacing/>
        <w:jc w:val="both"/>
        <w:rPr>
          <w:rFonts w:ascii="Abadi" w:hAnsi="Abadi" w:cs="Calibri"/>
          <w:sz w:val="21"/>
          <w:szCs w:val="21"/>
        </w:rPr>
      </w:pPr>
      <w:r w:rsidRPr="00484F0F">
        <w:rPr>
          <w:rFonts w:ascii="Abadi" w:hAnsi="Abadi" w:cs="Calibri"/>
          <w:sz w:val="21"/>
          <w:szCs w:val="21"/>
        </w:rPr>
        <w:t>El convenio modificatorio al contrato de origen SSP-001-07-2019 de fecha 22 de julio de 2019, suscrito el 5 de agosto de 2019, el cual tuvo por objeto modificar las cláusulas primera y quinta. En la cláusula primera, objeto del contrato, se modificó el anexo que relacionaba los bienes que se otorgaban en uso, nombrándola «</w:t>
      </w:r>
      <w:r w:rsidRPr="00484F0F">
        <w:rPr>
          <w:rFonts w:ascii="Abadi" w:hAnsi="Abadi" w:cs="Calibri"/>
          <w:i/>
          <w:iCs/>
          <w:sz w:val="21"/>
          <w:szCs w:val="21"/>
        </w:rPr>
        <w:t>La Relación</w:t>
      </w:r>
      <w:r w:rsidRPr="00484F0F">
        <w:rPr>
          <w:rFonts w:ascii="Abadi" w:hAnsi="Abadi" w:cs="Calibri"/>
          <w:sz w:val="21"/>
          <w:szCs w:val="21"/>
        </w:rPr>
        <w:t>».</w:t>
      </w:r>
    </w:p>
    <w:p w14:paraId="16AEE349" w14:textId="77777777" w:rsidR="00484F0F" w:rsidRPr="00484F0F" w:rsidRDefault="00484F0F" w:rsidP="00484F0F">
      <w:pPr>
        <w:spacing w:after="160"/>
        <w:ind w:left="1068"/>
        <w:contextualSpacing/>
        <w:jc w:val="both"/>
        <w:rPr>
          <w:rFonts w:ascii="Abadi" w:hAnsi="Abadi" w:cs="Calibri"/>
          <w:sz w:val="21"/>
          <w:szCs w:val="21"/>
        </w:rPr>
      </w:pPr>
    </w:p>
    <w:p w14:paraId="4E522BDB" w14:textId="77777777" w:rsidR="00484F0F" w:rsidRPr="00484F0F" w:rsidRDefault="00484F0F" w:rsidP="001A28E5">
      <w:pPr>
        <w:numPr>
          <w:ilvl w:val="0"/>
          <w:numId w:val="70"/>
        </w:numPr>
        <w:spacing w:after="160"/>
        <w:contextualSpacing/>
        <w:jc w:val="both"/>
        <w:rPr>
          <w:rFonts w:ascii="Abadi" w:hAnsi="Abadi" w:cs="Calibri"/>
          <w:sz w:val="21"/>
          <w:szCs w:val="21"/>
          <w:lang w:eastAsia="es-MX"/>
        </w:rPr>
      </w:pPr>
      <w:r w:rsidRPr="00484F0F">
        <w:rPr>
          <w:rFonts w:ascii="Abadi" w:hAnsi="Abadi" w:cs="Calibri"/>
          <w:sz w:val="21"/>
          <w:szCs w:val="21"/>
        </w:rPr>
        <w:t>El segundo convenio modificatorio al contrato de origen SSP-001-07-2019 de fecha 22 de julio de 2019, suscrito el 16 de noviembre de 2020, el cual tuvo por objeto adicionar la cláusula trigésima octava la cual establecía: El municipio podrá optar por adquirir la totalidad del equipo arrendado detallado en «</w:t>
      </w:r>
      <w:r w:rsidRPr="00484F0F">
        <w:rPr>
          <w:rFonts w:ascii="Abadi" w:hAnsi="Abadi" w:cs="Calibri"/>
          <w:i/>
          <w:iCs/>
          <w:sz w:val="21"/>
          <w:szCs w:val="21"/>
        </w:rPr>
        <w:t>La Relación</w:t>
      </w:r>
      <w:r w:rsidRPr="00484F0F">
        <w:rPr>
          <w:rFonts w:ascii="Abadi" w:hAnsi="Abadi" w:cs="Calibri"/>
          <w:sz w:val="21"/>
          <w:szCs w:val="21"/>
        </w:rPr>
        <w:t>».</w:t>
      </w:r>
    </w:p>
    <w:p w14:paraId="41693D36" w14:textId="77777777" w:rsidR="00484F0F" w:rsidRPr="00484F0F" w:rsidRDefault="00484F0F" w:rsidP="00484F0F">
      <w:pPr>
        <w:spacing w:after="160"/>
        <w:ind w:left="1068"/>
        <w:contextualSpacing/>
        <w:jc w:val="both"/>
        <w:rPr>
          <w:rFonts w:ascii="Abadi" w:hAnsi="Abadi" w:cs="Calibri"/>
          <w:sz w:val="21"/>
          <w:szCs w:val="21"/>
          <w:lang w:eastAsia="es-MX"/>
        </w:rPr>
      </w:pPr>
    </w:p>
    <w:p w14:paraId="7D5E137C" w14:textId="77777777" w:rsidR="00484F0F" w:rsidRPr="00484F0F" w:rsidRDefault="00484F0F" w:rsidP="001A28E5">
      <w:pPr>
        <w:numPr>
          <w:ilvl w:val="0"/>
          <w:numId w:val="70"/>
        </w:numPr>
        <w:spacing w:after="160"/>
        <w:contextualSpacing/>
        <w:jc w:val="both"/>
        <w:rPr>
          <w:rFonts w:ascii="Abadi" w:hAnsi="Abadi" w:cs="Calibri"/>
          <w:sz w:val="21"/>
          <w:szCs w:val="21"/>
          <w:lang w:eastAsia="es-MX"/>
        </w:rPr>
      </w:pPr>
      <w:r w:rsidRPr="00484F0F">
        <w:rPr>
          <w:rFonts w:ascii="Abadi" w:hAnsi="Abadi" w:cs="Calibri"/>
          <w:sz w:val="21"/>
          <w:szCs w:val="21"/>
        </w:rPr>
        <w:t>Las erogaciones por $5’717,640.00 correspondientes a las mensualidades 1 a la 3 del contrato SSP-001-07-2019, así como el cumplimiento de las obligaciones contractuales</w:t>
      </w:r>
      <w:r w:rsidRPr="00484F0F">
        <w:rPr>
          <w:rFonts w:ascii="Abadi" w:hAnsi="Abadi"/>
          <w:sz w:val="21"/>
          <w:szCs w:val="21"/>
        </w:rPr>
        <w:t>.</w:t>
      </w:r>
    </w:p>
    <w:p w14:paraId="1D1E7835" w14:textId="77777777" w:rsidR="00484F0F" w:rsidRPr="00484F0F" w:rsidRDefault="00484F0F" w:rsidP="00484F0F">
      <w:pPr>
        <w:ind w:left="1068"/>
        <w:contextualSpacing/>
        <w:jc w:val="both"/>
        <w:rPr>
          <w:rFonts w:ascii="Abadi" w:hAnsi="Abadi" w:cs="Calibri"/>
          <w:sz w:val="21"/>
          <w:szCs w:val="21"/>
          <w:lang w:eastAsia="es-MX"/>
        </w:rPr>
      </w:pPr>
    </w:p>
    <w:p w14:paraId="34F63BFB" w14:textId="77777777" w:rsidR="00484F0F" w:rsidRPr="00484F0F" w:rsidRDefault="00484F0F" w:rsidP="00484F0F">
      <w:pPr>
        <w:spacing w:after="160"/>
        <w:ind w:firstLine="709"/>
        <w:contextualSpacing/>
        <w:jc w:val="both"/>
        <w:rPr>
          <w:rFonts w:ascii="Abadi" w:eastAsia="Calibri" w:hAnsi="Abadi" w:cs="Calibri"/>
          <w:sz w:val="21"/>
          <w:szCs w:val="21"/>
          <w:lang w:val="es-MX" w:eastAsia="en-US"/>
        </w:rPr>
      </w:pPr>
      <w:r w:rsidRPr="00484F0F">
        <w:rPr>
          <w:rFonts w:ascii="Abadi" w:eastAsia="Calibri" w:hAnsi="Abadi"/>
          <w:sz w:val="21"/>
          <w:szCs w:val="21"/>
          <w:lang w:eastAsia="en-US"/>
        </w:rPr>
        <w:t>De la cuenta pública correspondiente al ejercicio fiscal 2020 se revisaron l</w:t>
      </w:r>
      <w:r w:rsidRPr="00484F0F">
        <w:rPr>
          <w:rFonts w:ascii="Abadi" w:eastAsia="Calibri" w:hAnsi="Abadi" w:cs="Calibri"/>
          <w:sz w:val="21"/>
          <w:szCs w:val="21"/>
          <w:lang w:val="es-MX" w:eastAsia="en-US"/>
        </w:rPr>
        <w:t>as erogaciones por $19’058,800.00 correspondientes a las mensualidades 4 a la 13 del contrato SSP-001-07-2019 y el cumplimiento de las obligaciones contractuales.</w:t>
      </w:r>
    </w:p>
    <w:p w14:paraId="6567E4E6" w14:textId="77777777" w:rsidR="00484F0F" w:rsidRPr="00484F0F" w:rsidRDefault="00484F0F" w:rsidP="00484F0F">
      <w:pPr>
        <w:spacing w:after="160"/>
        <w:ind w:firstLine="709"/>
        <w:contextualSpacing/>
        <w:jc w:val="both"/>
        <w:rPr>
          <w:rFonts w:ascii="Abadi" w:eastAsia="Calibri" w:hAnsi="Abadi"/>
          <w:sz w:val="21"/>
          <w:szCs w:val="21"/>
          <w:lang w:eastAsia="en-US"/>
        </w:rPr>
      </w:pPr>
    </w:p>
    <w:p w14:paraId="5DC527CA" w14:textId="77777777" w:rsidR="00484F0F" w:rsidRPr="00484F0F" w:rsidRDefault="00484F0F" w:rsidP="00484F0F">
      <w:pPr>
        <w:spacing w:after="160"/>
        <w:ind w:firstLine="709"/>
        <w:contextualSpacing/>
        <w:jc w:val="both"/>
        <w:rPr>
          <w:rFonts w:ascii="Abadi" w:eastAsia="Calibri" w:hAnsi="Abadi"/>
          <w:sz w:val="21"/>
          <w:szCs w:val="21"/>
          <w:lang w:eastAsia="en-US"/>
        </w:rPr>
      </w:pPr>
      <w:r w:rsidRPr="00484F0F">
        <w:rPr>
          <w:rFonts w:ascii="Abadi" w:eastAsia="Calibri" w:hAnsi="Abadi"/>
          <w:sz w:val="21"/>
          <w:szCs w:val="21"/>
          <w:lang w:eastAsia="en-US"/>
        </w:rPr>
        <w:t>Como parte de los procedimientos aplicados durante la revisión de la cuenta pública de los ejercicios fiscales 2019 y 2020, se realizaron las siguientes inspecciones físicas:</w:t>
      </w:r>
    </w:p>
    <w:p w14:paraId="6F946139" w14:textId="77777777" w:rsidR="00484F0F" w:rsidRPr="00484F0F" w:rsidRDefault="00484F0F" w:rsidP="00484F0F">
      <w:pPr>
        <w:spacing w:after="160"/>
        <w:ind w:firstLine="709"/>
        <w:contextualSpacing/>
        <w:jc w:val="both"/>
        <w:rPr>
          <w:rFonts w:ascii="Abadi" w:eastAsia="Calibri" w:hAnsi="Abadi"/>
          <w:sz w:val="21"/>
          <w:szCs w:val="21"/>
          <w:lang w:eastAsia="en-US"/>
        </w:rPr>
      </w:pPr>
    </w:p>
    <w:p w14:paraId="2A62B6AD" w14:textId="77777777" w:rsidR="00484F0F" w:rsidRPr="00484F0F" w:rsidRDefault="00484F0F" w:rsidP="001A28E5">
      <w:pPr>
        <w:numPr>
          <w:ilvl w:val="0"/>
          <w:numId w:val="68"/>
        </w:numPr>
        <w:spacing w:after="160"/>
        <w:ind w:left="709" w:hanging="142"/>
        <w:contextualSpacing/>
        <w:jc w:val="both"/>
        <w:rPr>
          <w:rFonts w:ascii="Abadi" w:eastAsia="Calibri" w:hAnsi="Abadi"/>
          <w:sz w:val="21"/>
          <w:szCs w:val="21"/>
          <w:lang w:eastAsia="en-US"/>
        </w:rPr>
      </w:pPr>
      <w:r w:rsidRPr="00484F0F">
        <w:rPr>
          <w:rFonts w:ascii="Abadi" w:eastAsia="Calibri" w:hAnsi="Abadi"/>
          <w:sz w:val="21"/>
          <w:szCs w:val="21"/>
          <w:lang w:eastAsia="en-US"/>
        </w:rPr>
        <w:t>El 30 de septiembre de 2020 se realizó inspección física de los bienes (Subpartidas 5, 6, 8, 10 y 11).</w:t>
      </w:r>
    </w:p>
    <w:p w14:paraId="2806E523" w14:textId="77777777" w:rsidR="00484F0F" w:rsidRPr="00484F0F" w:rsidRDefault="00484F0F" w:rsidP="00484F0F">
      <w:pPr>
        <w:spacing w:after="160"/>
        <w:ind w:left="709"/>
        <w:contextualSpacing/>
        <w:jc w:val="both"/>
        <w:rPr>
          <w:rFonts w:ascii="Abadi" w:eastAsia="Calibri" w:hAnsi="Abadi"/>
          <w:sz w:val="21"/>
          <w:szCs w:val="21"/>
          <w:lang w:eastAsia="en-US"/>
        </w:rPr>
      </w:pPr>
    </w:p>
    <w:p w14:paraId="2B9144D6" w14:textId="77777777" w:rsidR="00484F0F" w:rsidRPr="00484F0F" w:rsidRDefault="00484F0F" w:rsidP="001A28E5">
      <w:pPr>
        <w:numPr>
          <w:ilvl w:val="0"/>
          <w:numId w:val="68"/>
        </w:numPr>
        <w:spacing w:after="160"/>
        <w:ind w:left="709" w:hanging="142"/>
        <w:contextualSpacing/>
        <w:jc w:val="both"/>
        <w:rPr>
          <w:rFonts w:ascii="Abadi" w:eastAsia="Calibri" w:hAnsi="Abadi"/>
          <w:sz w:val="21"/>
          <w:szCs w:val="21"/>
          <w:lang w:eastAsia="en-US"/>
        </w:rPr>
      </w:pPr>
      <w:r w:rsidRPr="00484F0F">
        <w:rPr>
          <w:rFonts w:ascii="Abadi" w:eastAsia="Calibri" w:hAnsi="Abadi"/>
          <w:sz w:val="21"/>
          <w:szCs w:val="21"/>
          <w:lang w:eastAsia="en-US"/>
        </w:rPr>
        <w:t>El 1 de octubre de 2020 se realizó inspección física de los bienes (Subpartidas 1, 2, 3, 4, 5, 12 y 13).</w:t>
      </w:r>
    </w:p>
    <w:p w14:paraId="7F0A8667" w14:textId="77777777" w:rsidR="00484F0F" w:rsidRPr="00484F0F" w:rsidRDefault="00484F0F" w:rsidP="00484F0F">
      <w:pPr>
        <w:widowControl w:val="0"/>
        <w:spacing w:after="200"/>
        <w:ind w:left="720"/>
        <w:contextualSpacing/>
        <w:rPr>
          <w:rFonts w:ascii="Abadi" w:eastAsia="Calibri" w:hAnsi="Abadi"/>
          <w:sz w:val="21"/>
          <w:szCs w:val="21"/>
          <w:lang w:eastAsia="en-US"/>
        </w:rPr>
      </w:pPr>
    </w:p>
    <w:p w14:paraId="51D31441" w14:textId="77777777" w:rsidR="00484F0F" w:rsidRPr="00484F0F" w:rsidRDefault="00484F0F" w:rsidP="001A28E5">
      <w:pPr>
        <w:numPr>
          <w:ilvl w:val="0"/>
          <w:numId w:val="68"/>
        </w:numPr>
        <w:spacing w:after="160"/>
        <w:ind w:left="709" w:hanging="142"/>
        <w:contextualSpacing/>
        <w:jc w:val="both"/>
        <w:rPr>
          <w:rFonts w:ascii="Abadi" w:eastAsia="Calibri" w:hAnsi="Abadi"/>
          <w:sz w:val="21"/>
          <w:szCs w:val="21"/>
          <w:lang w:eastAsia="en-US"/>
        </w:rPr>
      </w:pPr>
      <w:r w:rsidRPr="00484F0F">
        <w:rPr>
          <w:rFonts w:ascii="Abadi" w:eastAsia="Calibri" w:hAnsi="Abadi"/>
          <w:sz w:val="21"/>
          <w:szCs w:val="21"/>
          <w:lang w:eastAsia="en-US"/>
        </w:rPr>
        <w:t>El 7 de enero de 2021.</w:t>
      </w:r>
    </w:p>
    <w:p w14:paraId="29BCDEC0" w14:textId="77777777" w:rsidR="00484F0F" w:rsidRPr="00484F0F" w:rsidRDefault="00484F0F" w:rsidP="00484F0F">
      <w:pPr>
        <w:widowControl w:val="0"/>
        <w:spacing w:after="200"/>
        <w:ind w:left="720"/>
        <w:contextualSpacing/>
        <w:rPr>
          <w:rFonts w:ascii="Abadi" w:eastAsia="Calibri" w:hAnsi="Abadi"/>
          <w:sz w:val="21"/>
          <w:szCs w:val="21"/>
          <w:lang w:eastAsia="en-US"/>
        </w:rPr>
      </w:pPr>
    </w:p>
    <w:p w14:paraId="4DBA3D1F" w14:textId="77777777" w:rsidR="00484F0F" w:rsidRPr="00484F0F" w:rsidRDefault="00484F0F" w:rsidP="001A28E5">
      <w:pPr>
        <w:numPr>
          <w:ilvl w:val="0"/>
          <w:numId w:val="68"/>
        </w:numPr>
        <w:spacing w:after="160"/>
        <w:ind w:left="709" w:hanging="142"/>
        <w:contextualSpacing/>
        <w:jc w:val="both"/>
        <w:rPr>
          <w:rFonts w:ascii="Abadi" w:eastAsia="Calibri" w:hAnsi="Abadi"/>
          <w:sz w:val="21"/>
          <w:szCs w:val="21"/>
          <w:lang w:eastAsia="en-US"/>
        </w:rPr>
      </w:pPr>
      <w:r w:rsidRPr="00484F0F">
        <w:rPr>
          <w:rFonts w:ascii="Abadi" w:eastAsia="Calibri" w:hAnsi="Abadi"/>
          <w:sz w:val="21"/>
          <w:szCs w:val="21"/>
          <w:lang w:eastAsia="en-US"/>
        </w:rPr>
        <w:t>El 12 de agosto de 2021 se realizó inspección física de los bienes, derivado de la ejecución de la revisión de cuenta pública 2020.</w:t>
      </w:r>
    </w:p>
    <w:p w14:paraId="17249864" w14:textId="77777777" w:rsidR="00701227" w:rsidRDefault="00701227" w:rsidP="00484F0F">
      <w:pPr>
        <w:spacing w:after="160"/>
        <w:ind w:firstLine="708"/>
        <w:contextualSpacing/>
        <w:jc w:val="both"/>
        <w:rPr>
          <w:rFonts w:ascii="Abadi" w:hAnsi="Abadi"/>
          <w:bCs/>
          <w:sz w:val="21"/>
          <w:szCs w:val="21"/>
          <w:lang w:val="es-MX" w:eastAsia="en-US"/>
        </w:rPr>
      </w:pPr>
    </w:p>
    <w:p w14:paraId="7CC7B223" w14:textId="45242823" w:rsidR="00484F0F" w:rsidRPr="00484F0F" w:rsidRDefault="00484F0F" w:rsidP="00484F0F">
      <w:pPr>
        <w:spacing w:after="160"/>
        <w:ind w:firstLine="708"/>
        <w:contextualSpacing/>
        <w:jc w:val="both"/>
        <w:rPr>
          <w:rFonts w:ascii="Abadi" w:hAnsi="Abadi"/>
          <w:sz w:val="21"/>
          <w:szCs w:val="21"/>
          <w:lang w:val="es-MX" w:eastAsia="en-US"/>
        </w:rPr>
      </w:pPr>
      <w:r w:rsidRPr="00484F0F">
        <w:rPr>
          <w:rFonts w:ascii="Abadi" w:hAnsi="Abadi"/>
          <w:bCs/>
          <w:sz w:val="21"/>
          <w:szCs w:val="21"/>
          <w:lang w:val="es-MX" w:eastAsia="en-US"/>
        </w:rPr>
        <w:t>Respecto al análisis de la información financiera trimestral del ejercicio fiscal 2021 se informó que a</w:t>
      </w:r>
      <w:r w:rsidRPr="00484F0F">
        <w:rPr>
          <w:rFonts w:ascii="Abadi" w:hAnsi="Abadi"/>
          <w:sz w:val="21"/>
          <w:szCs w:val="21"/>
          <w:lang w:val="es-MX" w:eastAsia="en-US"/>
        </w:rPr>
        <w:t xml:space="preserve">ctualmente se están desarrollando actividades de planeación de dicho ejercicio, en las cuales se tiene contemplado el seguimiento al cumplimiento de las obligaciones del contrato </w:t>
      </w:r>
      <w:r w:rsidRPr="00484F0F">
        <w:rPr>
          <w:rFonts w:ascii="Abadi" w:hAnsi="Abadi" w:cs="Calibri"/>
          <w:sz w:val="21"/>
          <w:szCs w:val="21"/>
        </w:rPr>
        <w:t xml:space="preserve">de arrendamiento puro SSP-001-07-2019 entre el Municipio de San Miguel de Allende, Gto., y las personas morales </w:t>
      </w:r>
      <w:r w:rsidRPr="00484F0F">
        <w:rPr>
          <w:rFonts w:ascii="Abadi" w:hAnsi="Abadi" w:cs="Calibri"/>
          <w:i/>
          <w:iCs/>
          <w:sz w:val="21"/>
          <w:szCs w:val="21"/>
        </w:rPr>
        <w:t>Bercale Service S.A. de C.V.</w:t>
      </w:r>
      <w:r w:rsidRPr="00484F0F">
        <w:rPr>
          <w:rFonts w:ascii="Abadi" w:hAnsi="Abadi" w:cs="Calibri"/>
          <w:sz w:val="21"/>
          <w:szCs w:val="21"/>
        </w:rPr>
        <w:t xml:space="preserve"> y </w:t>
      </w:r>
      <w:r w:rsidRPr="00484F0F">
        <w:rPr>
          <w:rFonts w:ascii="Abadi" w:hAnsi="Abadi" w:cs="Calibri"/>
          <w:i/>
          <w:iCs/>
          <w:sz w:val="21"/>
          <w:szCs w:val="21"/>
        </w:rPr>
        <w:t>Lumo Financiera del Centro S.A. de C.V. SOFOM. ENR.</w:t>
      </w:r>
      <w:r w:rsidRPr="00484F0F">
        <w:rPr>
          <w:rFonts w:ascii="Abadi" w:hAnsi="Abadi" w:cs="Calibri"/>
          <w:sz w:val="21"/>
          <w:szCs w:val="21"/>
        </w:rPr>
        <w:t xml:space="preserve">, </w:t>
      </w:r>
      <w:r w:rsidRPr="00484F0F">
        <w:rPr>
          <w:rFonts w:ascii="Abadi" w:hAnsi="Abadi"/>
          <w:sz w:val="21"/>
          <w:szCs w:val="21"/>
          <w:lang w:val="es-MX" w:eastAsia="en-US"/>
        </w:rPr>
        <w:t>durante el ejercicio fiscal 2021 hasta su conclusión.</w:t>
      </w:r>
    </w:p>
    <w:p w14:paraId="1409EDCA" w14:textId="77777777" w:rsidR="00484F0F" w:rsidRPr="00484F0F" w:rsidRDefault="00484F0F" w:rsidP="00484F0F">
      <w:pPr>
        <w:jc w:val="both"/>
        <w:rPr>
          <w:rFonts w:ascii="Abadi" w:hAnsi="Abadi"/>
          <w:sz w:val="21"/>
          <w:szCs w:val="21"/>
          <w:lang w:val="es-MX" w:eastAsia="en-US"/>
        </w:rPr>
      </w:pPr>
    </w:p>
    <w:p w14:paraId="5BF428A3" w14:textId="77777777" w:rsidR="00484F0F" w:rsidRPr="00484F0F" w:rsidRDefault="00484F0F" w:rsidP="00484F0F">
      <w:pPr>
        <w:ind w:firstLine="708"/>
        <w:jc w:val="both"/>
        <w:rPr>
          <w:rFonts w:ascii="Abadi" w:hAnsi="Abadi" w:cs="Tahoma"/>
          <w:sz w:val="21"/>
          <w:szCs w:val="21"/>
        </w:rPr>
      </w:pPr>
      <w:r w:rsidRPr="00484F0F">
        <w:rPr>
          <w:rFonts w:ascii="Abadi" w:hAnsi="Abadi"/>
          <w:sz w:val="21"/>
          <w:szCs w:val="21"/>
          <w:lang w:val="es-MX" w:eastAsia="en-US"/>
        </w:rPr>
        <w:t>De conformidad a la información proporcionada</w:t>
      </w:r>
      <w:r w:rsidRPr="00484F0F">
        <w:rPr>
          <w:rFonts w:ascii="Abadi" w:eastAsia="Calibri" w:hAnsi="Abadi"/>
          <w:bCs/>
          <w:sz w:val="21"/>
          <w:szCs w:val="21"/>
        </w:rPr>
        <w:t xml:space="preserve">, la Auditoría Superior del Estado ha realizado 2 revisiones de cuenta pública y 2 auditorías practicadas </w:t>
      </w:r>
      <w:r w:rsidRPr="00484F0F">
        <w:rPr>
          <w:rFonts w:ascii="Abadi" w:hAnsi="Abadi" w:cs="Tahoma"/>
          <w:sz w:val="21"/>
          <w:szCs w:val="21"/>
        </w:rPr>
        <w:t>a la infraestructura pública municipal</w:t>
      </w:r>
      <w:r w:rsidRPr="00484F0F">
        <w:rPr>
          <w:rFonts w:ascii="Abadi" w:hAnsi="Abadi"/>
          <w:sz w:val="21"/>
          <w:szCs w:val="21"/>
          <w:lang w:val="es-MX" w:eastAsia="en-US"/>
        </w:rPr>
        <w:t>, adicionales a las que a la fecha se encuentran en ejecución. Asimismo,</w:t>
      </w:r>
      <w:r w:rsidRPr="00484F0F">
        <w:rPr>
          <w:rFonts w:ascii="Abadi" w:hAnsi="Abadi" w:cs="Tahoma"/>
          <w:sz w:val="21"/>
          <w:szCs w:val="21"/>
        </w:rPr>
        <w:t xml:space="preserve"> en la revisión de la cuenta pública municipal de San Miguel de Allende, Gto., a través de diversos actos ha dado seguimiento al contrato de arrendamiento puro con las empresas Bercale Services, S.A. de C.V. y Lumo Financiera del Centro, S.A. de C.V., número SSP-001-07-2019 de fecha 22 de julio de 2019 y su modificatorio del 5 de agosto del mismo año.</w:t>
      </w:r>
    </w:p>
    <w:p w14:paraId="40C7CF47" w14:textId="77777777" w:rsidR="00484F0F" w:rsidRPr="00484F0F" w:rsidRDefault="00484F0F" w:rsidP="00484F0F">
      <w:pPr>
        <w:ind w:firstLine="708"/>
        <w:jc w:val="both"/>
        <w:rPr>
          <w:rFonts w:ascii="Abadi" w:hAnsi="Abadi" w:cs="Tahoma"/>
          <w:sz w:val="21"/>
          <w:szCs w:val="21"/>
        </w:rPr>
      </w:pPr>
    </w:p>
    <w:p w14:paraId="4C67BD5F" w14:textId="77777777" w:rsidR="00484F0F" w:rsidRPr="00484F0F" w:rsidRDefault="00484F0F" w:rsidP="00484F0F">
      <w:pPr>
        <w:ind w:firstLine="720"/>
        <w:jc w:val="both"/>
        <w:rPr>
          <w:rFonts w:ascii="Abadi" w:eastAsia="Calibri" w:hAnsi="Abadi"/>
          <w:bCs/>
          <w:sz w:val="21"/>
          <w:szCs w:val="21"/>
        </w:rPr>
      </w:pPr>
      <w:r w:rsidRPr="00484F0F">
        <w:rPr>
          <w:rFonts w:ascii="Abadi" w:hAnsi="Abadi" w:cs="Tahoma"/>
          <w:sz w:val="21"/>
          <w:szCs w:val="21"/>
        </w:rPr>
        <w:t>Por otra parte, debemos considerar que</w:t>
      </w:r>
      <w:r w:rsidRPr="00484F0F">
        <w:rPr>
          <w:rFonts w:ascii="Abadi" w:eastAsia="Calibri" w:hAnsi="Abadi"/>
          <w:bCs/>
          <w:sz w:val="21"/>
          <w:szCs w:val="21"/>
        </w:rPr>
        <w:t xml:space="preserve"> en el Programa General de Fiscalización 2022 se contemplan 272 actos de fiscalización, por lo que, de acuerdo a dicho Programa, así como al Programa Operativo Anual y la capacidad institucional instalada, la incorporación de actos de fiscalización adicionales a los ya programados, incidiría directamente en la cobertura, calidad y tiempos de la fiscalización, en detrimento del citado programa y de los actos de fiscalización previamente planificados.</w:t>
      </w:r>
    </w:p>
    <w:p w14:paraId="42D8B28A" w14:textId="77777777" w:rsidR="00484F0F" w:rsidRPr="00484F0F" w:rsidRDefault="00484F0F" w:rsidP="00484F0F">
      <w:pPr>
        <w:ind w:firstLine="708"/>
        <w:jc w:val="both"/>
        <w:rPr>
          <w:rFonts w:ascii="Abadi" w:hAnsi="Abadi" w:cs="Tahoma"/>
          <w:sz w:val="21"/>
          <w:szCs w:val="21"/>
        </w:rPr>
      </w:pPr>
    </w:p>
    <w:p w14:paraId="0E46277C" w14:textId="77777777" w:rsidR="00484F0F" w:rsidRPr="00484F0F" w:rsidRDefault="00484F0F" w:rsidP="00484F0F">
      <w:pPr>
        <w:ind w:firstLine="720"/>
        <w:jc w:val="both"/>
        <w:rPr>
          <w:rFonts w:ascii="Abadi" w:hAnsi="Abadi"/>
          <w:sz w:val="21"/>
          <w:szCs w:val="21"/>
          <w:lang w:val="es-MX" w:eastAsia="en-US"/>
        </w:rPr>
      </w:pPr>
      <w:r w:rsidRPr="00484F0F">
        <w:rPr>
          <w:rFonts w:ascii="Abadi" w:hAnsi="Abadi" w:cs="Tahoma"/>
          <w:sz w:val="21"/>
          <w:szCs w:val="21"/>
        </w:rPr>
        <w:t>En razón a lo antes señalado y privilegiando la realización de los actos de fiscalización ya contemplados en el Programa General de Fiscalización de la Auditoría Superior del Estado para el presente ejercicio fiscal, mismo que consideró una planeación estratégica, así como al cumplimiento de dicho programa en tiempo y calidad de los actos programados, así como a la capacidad institucional instalada de dicho Órgano Técnico, determinamos no autorizar la realización de la auditoría propuesta, atendiendo además a que en la revisión de la cuenta municipal de San Miguel de Allende, Gto., del ejercicio 2021 la Auditoría Superior del Estado podrá incluir los hechos que</w:t>
      </w:r>
      <w:r w:rsidRPr="00484F0F">
        <w:rPr>
          <w:rFonts w:ascii="Abadi" w:hAnsi="Abadi"/>
          <w:bCs/>
          <w:sz w:val="21"/>
          <w:szCs w:val="21"/>
        </w:rPr>
        <w:t xml:space="preserve"> correspondan a dicho ejercicio planteados por las y los proponentes en la planeación y ejecución de dicha revisión</w:t>
      </w:r>
      <w:r w:rsidRPr="00484F0F">
        <w:rPr>
          <w:rFonts w:ascii="Abadi" w:hAnsi="Abadi"/>
          <w:sz w:val="21"/>
          <w:szCs w:val="21"/>
          <w:lang w:val="es-MX" w:eastAsia="en-US"/>
        </w:rPr>
        <w:t>, lo cual se contendrá en el informe de resultados de la revisión de la citada cuenta pública.</w:t>
      </w:r>
      <w:r w:rsidRPr="00484F0F">
        <w:rPr>
          <w:rFonts w:ascii="Abadi" w:hAnsi="Abadi"/>
          <w:bCs/>
          <w:sz w:val="21"/>
          <w:szCs w:val="21"/>
        </w:rPr>
        <w:t xml:space="preserve"> </w:t>
      </w:r>
    </w:p>
    <w:p w14:paraId="3465813C" w14:textId="77777777" w:rsidR="00484F0F" w:rsidRPr="00484F0F" w:rsidRDefault="00484F0F" w:rsidP="00484F0F">
      <w:pPr>
        <w:ind w:firstLine="708"/>
        <w:jc w:val="both"/>
        <w:rPr>
          <w:rFonts w:ascii="Abadi" w:hAnsi="Abadi" w:cs="Arial"/>
          <w:iCs/>
          <w:sz w:val="21"/>
          <w:szCs w:val="21"/>
        </w:rPr>
      </w:pPr>
    </w:p>
    <w:p w14:paraId="351BB5B0" w14:textId="77777777" w:rsidR="00484F0F" w:rsidRPr="00484F0F" w:rsidRDefault="00484F0F" w:rsidP="00484F0F">
      <w:pPr>
        <w:ind w:firstLine="708"/>
        <w:jc w:val="both"/>
        <w:rPr>
          <w:rFonts w:ascii="Abadi" w:hAnsi="Abadi" w:cs="Arial"/>
          <w:iCs/>
          <w:sz w:val="21"/>
          <w:szCs w:val="21"/>
        </w:rPr>
      </w:pPr>
      <w:r w:rsidRPr="00484F0F">
        <w:rPr>
          <w:rFonts w:ascii="Abadi" w:hAnsi="Abadi" w:cs="Arial"/>
          <w:iCs/>
          <w:sz w:val="21"/>
          <w:szCs w:val="21"/>
        </w:rPr>
        <w:t xml:space="preserve">Por lo expuesto y con fundamento en el artículo 204 de </w:t>
      </w:r>
      <w:smartTag w:uri="urn:schemas-microsoft-com:office:smarttags" w:element="PersonName">
        <w:smartTagPr>
          <w:attr w:name="ProductID" w:val="la Ley Org￡nica"/>
        </w:smartTagPr>
        <w:r w:rsidRPr="00484F0F">
          <w:rPr>
            <w:rFonts w:ascii="Abadi" w:hAnsi="Abadi" w:cs="Arial"/>
            <w:iCs/>
            <w:sz w:val="21"/>
            <w:szCs w:val="21"/>
          </w:rPr>
          <w:t>la Ley Orgánica</w:t>
        </w:r>
      </w:smartTag>
      <w:r w:rsidRPr="00484F0F">
        <w:rPr>
          <w:rFonts w:ascii="Abadi" w:hAnsi="Abadi" w:cs="Arial"/>
          <w:iCs/>
          <w:sz w:val="21"/>
          <w:szCs w:val="21"/>
        </w:rPr>
        <w:t xml:space="preserve"> del Poder Legislativo del Estado, sometemos a la consideración de </w:t>
      </w:r>
      <w:smartTag w:uri="urn:schemas-microsoft-com:office:smarttags" w:element="PersonName">
        <w:smartTagPr>
          <w:attr w:name="ProductID" w:val="la Asamblea"/>
        </w:smartTagPr>
        <w:r w:rsidRPr="00484F0F">
          <w:rPr>
            <w:rFonts w:ascii="Abadi" w:hAnsi="Abadi" w:cs="Arial"/>
            <w:iCs/>
            <w:sz w:val="21"/>
            <w:szCs w:val="21"/>
          </w:rPr>
          <w:t>la Asamblea</w:t>
        </w:r>
      </w:smartTag>
      <w:r w:rsidRPr="00484F0F">
        <w:rPr>
          <w:rFonts w:ascii="Abadi" w:hAnsi="Abadi" w:cs="Arial"/>
          <w:iCs/>
          <w:sz w:val="21"/>
          <w:szCs w:val="21"/>
        </w:rPr>
        <w:t>, la aprobación del siguiente:</w:t>
      </w:r>
    </w:p>
    <w:p w14:paraId="0315E115" w14:textId="77777777" w:rsidR="00484F0F" w:rsidRPr="00484F0F" w:rsidRDefault="00484F0F" w:rsidP="00484F0F">
      <w:pPr>
        <w:ind w:firstLine="708"/>
        <w:jc w:val="both"/>
        <w:rPr>
          <w:rFonts w:ascii="Abadi" w:hAnsi="Abadi" w:cs="Arial"/>
          <w:iCs/>
          <w:sz w:val="21"/>
          <w:szCs w:val="21"/>
        </w:rPr>
      </w:pPr>
    </w:p>
    <w:p w14:paraId="79688252" w14:textId="77777777" w:rsidR="00484F0F" w:rsidRPr="00484F0F" w:rsidRDefault="00484F0F" w:rsidP="00484F0F">
      <w:pPr>
        <w:jc w:val="center"/>
        <w:rPr>
          <w:rFonts w:ascii="Abadi" w:hAnsi="Abadi" w:cs="Arial"/>
          <w:b/>
          <w:iCs/>
          <w:sz w:val="21"/>
          <w:szCs w:val="21"/>
        </w:rPr>
      </w:pPr>
      <w:r w:rsidRPr="00484F0F">
        <w:rPr>
          <w:rFonts w:ascii="Abadi" w:hAnsi="Abadi" w:cs="Arial"/>
          <w:b/>
          <w:iCs/>
          <w:sz w:val="21"/>
          <w:szCs w:val="21"/>
        </w:rPr>
        <w:t>A c u e r d o</w:t>
      </w:r>
    </w:p>
    <w:p w14:paraId="395C7DA0" w14:textId="77777777" w:rsidR="00484F0F" w:rsidRPr="00484F0F" w:rsidRDefault="00484F0F" w:rsidP="00484F0F">
      <w:pPr>
        <w:jc w:val="center"/>
        <w:rPr>
          <w:rFonts w:ascii="Abadi" w:hAnsi="Abadi" w:cs="Arial"/>
          <w:b/>
          <w:iCs/>
          <w:sz w:val="21"/>
          <w:szCs w:val="21"/>
        </w:rPr>
      </w:pPr>
    </w:p>
    <w:p w14:paraId="2C4C3B04" w14:textId="77777777" w:rsidR="00484F0F" w:rsidRPr="00484F0F" w:rsidRDefault="00484F0F" w:rsidP="00484F0F">
      <w:pPr>
        <w:ind w:firstLine="708"/>
        <w:jc w:val="both"/>
        <w:rPr>
          <w:rFonts w:ascii="Abadi" w:hAnsi="Abadi" w:cs="Arial"/>
          <w:sz w:val="21"/>
          <w:szCs w:val="21"/>
        </w:rPr>
      </w:pPr>
      <w:r w:rsidRPr="00484F0F">
        <w:rPr>
          <w:rFonts w:ascii="Abadi" w:hAnsi="Abadi" w:cs="Arial"/>
          <w:b/>
          <w:iCs/>
          <w:sz w:val="21"/>
          <w:szCs w:val="21"/>
        </w:rPr>
        <w:t>Único.</w:t>
      </w:r>
      <w:r w:rsidRPr="00484F0F">
        <w:rPr>
          <w:rFonts w:ascii="Abadi" w:hAnsi="Abadi" w:cs="Arial"/>
          <w:b/>
          <w:sz w:val="21"/>
          <w:szCs w:val="21"/>
        </w:rPr>
        <w:t xml:space="preserve"> </w:t>
      </w:r>
      <w:r w:rsidRPr="00484F0F">
        <w:rPr>
          <w:rFonts w:ascii="Abadi" w:hAnsi="Abadi" w:cs="Arial"/>
          <w:sz w:val="21"/>
          <w:szCs w:val="21"/>
        </w:rPr>
        <w:t xml:space="preserve">Se determina improcedente la propuesta </w:t>
      </w:r>
      <w:r w:rsidRPr="00484F0F">
        <w:rPr>
          <w:rFonts w:ascii="Abadi" w:hAnsi="Abadi"/>
          <w:sz w:val="21"/>
          <w:szCs w:val="21"/>
        </w:rPr>
        <w:t xml:space="preserve">de punto de acuerdo </w:t>
      </w:r>
      <w:r w:rsidRPr="00484F0F">
        <w:rPr>
          <w:rFonts w:ascii="Abadi" w:hAnsi="Abadi"/>
          <w:sz w:val="21"/>
          <w:szCs w:val="21"/>
          <w:lang w:val="es-ES_tradnl"/>
        </w:rPr>
        <w:t xml:space="preserve">formulada por diputadas y diputados integrantes del Grupo Parlamentario del Partido Acción Nacional a fin de instruir al Auditor Superior del Estado a incluir en el Programa General de Fiscalización del año 2022, la realización de una auditoría especifica al municipio de San Miguel de Allende, Gto., a la ejecución y cumplimiento del contrato de arrendamiento puro con las empresas </w:t>
      </w:r>
      <w:r w:rsidRPr="00484F0F">
        <w:rPr>
          <w:rFonts w:ascii="Abadi" w:hAnsi="Abadi"/>
          <w:i/>
          <w:iCs/>
          <w:sz w:val="21"/>
          <w:szCs w:val="21"/>
          <w:lang w:val="es-ES_tradnl"/>
        </w:rPr>
        <w:t>Bercale Services, S.A. de C. V.</w:t>
      </w:r>
      <w:r w:rsidRPr="00484F0F">
        <w:rPr>
          <w:rFonts w:ascii="Abadi" w:hAnsi="Abadi"/>
          <w:sz w:val="21"/>
          <w:szCs w:val="21"/>
          <w:lang w:val="es-ES_tradnl"/>
        </w:rPr>
        <w:t xml:space="preserve">, y </w:t>
      </w:r>
      <w:r w:rsidRPr="00484F0F">
        <w:rPr>
          <w:rFonts w:ascii="Abadi" w:hAnsi="Abadi"/>
          <w:i/>
          <w:iCs/>
          <w:sz w:val="21"/>
          <w:szCs w:val="21"/>
          <w:lang w:val="es-ES_tradnl"/>
        </w:rPr>
        <w:t>Lumo Financiera del Centro, S.A. de C. V.,</w:t>
      </w:r>
      <w:r w:rsidRPr="00484F0F">
        <w:rPr>
          <w:rFonts w:ascii="Abadi" w:hAnsi="Abadi"/>
          <w:sz w:val="21"/>
          <w:szCs w:val="21"/>
          <w:lang w:val="es-ES_tradnl"/>
        </w:rPr>
        <w:t xml:space="preserve"> número SSP-001-07-2019 del 22 de julio de 2019 y su modificatorio del 5 de agosto del mismo año</w:t>
      </w:r>
      <w:r w:rsidRPr="00484F0F">
        <w:rPr>
          <w:rFonts w:ascii="Abadi" w:hAnsi="Abadi" w:cs="Arial"/>
          <w:sz w:val="21"/>
          <w:szCs w:val="21"/>
        </w:rPr>
        <w:t xml:space="preserve">. En consecuencia, se ordena su archivo definitivo. </w:t>
      </w:r>
    </w:p>
    <w:p w14:paraId="0380E4C5" w14:textId="77777777" w:rsidR="00484F0F" w:rsidRPr="00484F0F" w:rsidRDefault="00484F0F" w:rsidP="00484F0F">
      <w:pPr>
        <w:ind w:firstLine="708"/>
        <w:jc w:val="both"/>
        <w:rPr>
          <w:rFonts w:ascii="Abadi" w:hAnsi="Abadi" w:cs="Arial"/>
          <w:sz w:val="21"/>
          <w:szCs w:val="21"/>
        </w:rPr>
      </w:pPr>
    </w:p>
    <w:p w14:paraId="02D504A7" w14:textId="2F24FEC7" w:rsidR="00484F0F" w:rsidRDefault="00484F0F" w:rsidP="00484F0F">
      <w:pPr>
        <w:ind w:firstLine="708"/>
        <w:jc w:val="both"/>
        <w:rPr>
          <w:rFonts w:ascii="Abadi" w:hAnsi="Abadi" w:cs="Arial"/>
          <w:sz w:val="21"/>
          <w:szCs w:val="21"/>
        </w:rPr>
      </w:pPr>
      <w:r w:rsidRPr="00484F0F">
        <w:rPr>
          <w:rFonts w:ascii="Abadi" w:hAnsi="Abadi" w:cs="Arial"/>
          <w:sz w:val="21"/>
          <w:szCs w:val="21"/>
        </w:rPr>
        <w:t xml:space="preserve">Comuníquese el presente acuerdo al Secretario General del Congreso de Estado, para los efectos conducentes. </w:t>
      </w:r>
    </w:p>
    <w:p w14:paraId="394EDB5B" w14:textId="77777777" w:rsidR="00701227" w:rsidRPr="00484F0F" w:rsidRDefault="00701227" w:rsidP="00484F0F">
      <w:pPr>
        <w:ind w:firstLine="708"/>
        <w:jc w:val="both"/>
        <w:rPr>
          <w:rFonts w:ascii="Abadi" w:hAnsi="Abadi" w:cs="Arial"/>
          <w:sz w:val="21"/>
          <w:szCs w:val="21"/>
        </w:rPr>
      </w:pPr>
    </w:p>
    <w:p w14:paraId="41203F27" w14:textId="77777777" w:rsidR="00484F0F" w:rsidRPr="00484F0F" w:rsidRDefault="00484F0F" w:rsidP="00701227">
      <w:pPr>
        <w:jc w:val="center"/>
        <w:rPr>
          <w:rFonts w:ascii="Abadi" w:hAnsi="Abadi"/>
          <w:b/>
          <w:bCs/>
          <w:sz w:val="21"/>
          <w:szCs w:val="21"/>
          <w:lang w:eastAsia="x-none"/>
        </w:rPr>
      </w:pPr>
      <w:r w:rsidRPr="00484F0F">
        <w:rPr>
          <w:rFonts w:ascii="Abadi" w:hAnsi="Abadi"/>
          <w:b/>
          <w:bCs/>
          <w:sz w:val="21"/>
          <w:szCs w:val="21"/>
          <w:lang w:eastAsia="x-none"/>
        </w:rPr>
        <w:t>Guanajuato, Gto., 16 de junio de 2022</w:t>
      </w:r>
    </w:p>
    <w:p w14:paraId="0D2395C3" w14:textId="77777777" w:rsidR="00484F0F" w:rsidRPr="00484F0F" w:rsidRDefault="00484F0F" w:rsidP="00701227">
      <w:pPr>
        <w:jc w:val="center"/>
        <w:rPr>
          <w:rFonts w:ascii="Abadi" w:hAnsi="Abadi"/>
          <w:b/>
          <w:bCs/>
          <w:sz w:val="21"/>
          <w:szCs w:val="21"/>
          <w:lang w:eastAsia="x-none"/>
        </w:rPr>
      </w:pPr>
      <w:smartTag w:uri="urn:schemas-microsoft-com:office:smarttags" w:element="PersonName">
        <w:smartTagPr>
          <w:attr w:name="ProductID" w:val="La Comisi￳n"/>
        </w:smartTagPr>
        <w:r w:rsidRPr="00484F0F">
          <w:rPr>
            <w:rFonts w:ascii="Abadi" w:hAnsi="Abadi"/>
            <w:b/>
            <w:bCs/>
            <w:sz w:val="21"/>
            <w:szCs w:val="21"/>
            <w:lang w:eastAsia="x-none"/>
          </w:rPr>
          <w:t>La Comisión</w:t>
        </w:r>
      </w:smartTag>
      <w:r w:rsidRPr="00484F0F">
        <w:rPr>
          <w:rFonts w:ascii="Abadi" w:hAnsi="Abadi"/>
          <w:b/>
          <w:bCs/>
          <w:sz w:val="21"/>
          <w:szCs w:val="21"/>
          <w:lang w:eastAsia="x-none"/>
        </w:rPr>
        <w:t xml:space="preserve"> de Hacienda y Fiscalización</w:t>
      </w:r>
    </w:p>
    <w:p w14:paraId="2935151C" w14:textId="77777777" w:rsidR="00484F0F" w:rsidRPr="00484F0F" w:rsidRDefault="00484F0F" w:rsidP="00701227">
      <w:pPr>
        <w:jc w:val="center"/>
        <w:rPr>
          <w:rFonts w:ascii="Abadi" w:hAnsi="Abadi"/>
          <w:sz w:val="21"/>
          <w:szCs w:val="21"/>
        </w:rPr>
      </w:pPr>
    </w:p>
    <w:p w14:paraId="7477A0A5" w14:textId="77777777" w:rsidR="00484F0F" w:rsidRPr="00484F0F" w:rsidRDefault="00484F0F" w:rsidP="00701227">
      <w:pPr>
        <w:jc w:val="center"/>
        <w:rPr>
          <w:rFonts w:ascii="Abadi" w:hAnsi="Abadi"/>
          <w:sz w:val="21"/>
          <w:szCs w:val="21"/>
        </w:rPr>
      </w:pPr>
    </w:p>
    <w:p w14:paraId="2C5AD31A" w14:textId="77777777" w:rsidR="00484F0F" w:rsidRPr="00484F0F" w:rsidRDefault="00484F0F" w:rsidP="00701227">
      <w:pPr>
        <w:jc w:val="center"/>
        <w:rPr>
          <w:rFonts w:ascii="Abadi" w:hAnsi="Abadi"/>
          <w:sz w:val="21"/>
          <w:szCs w:val="21"/>
          <w:lang w:val="es-MX"/>
        </w:rPr>
      </w:pPr>
      <w:r w:rsidRPr="00484F0F">
        <w:rPr>
          <w:rFonts w:ascii="Abadi" w:hAnsi="Abadi"/>
          <w:b/>
          <w:sz w:val="21"/>
          <w:szCs w:val="21"/>
          <w:lang w:eastAsia="x-none"/>
        </w:rPr>
        <w:t>Diputado Víctor Manuel Zanella Huerta</w:t>
      </w:r>
    </w:p>
    <w:p w14:paraId="6F205D27" w14:textId="77777777" w:rsidR="00484F0F" w:rsidRPr="00484F0F" w:rsidRDefault="00484F0F" w:rsidP="00701227">
      <w:pPr>
        <w:jc w:val="center"/>
        <w:rPr>
          <w:rFonts w:ascii="Abadi" w:hAnsi="Abadi"/>
          <w:b/>
          <w:bCs/>
          <w:sz w:val="21"/>
          <w:szCs w:val="21"/>
          <w:lang w:eastAsia="x-none"/>
        </w:rPr>
      </w:pPr>
    </w:p>
    <w:p w14:paraId="47A2856C" w14:textId="1A5BD873" w:rsidR="00484F0F" w:rsidRPr="00484F0F" w:rsidRDefault="00484F0F" w:rsidP="00701227">
      <w:pPr>
        <w:jc w:val="center"/>
        <w:rPr>
          <w:rFonts w:ascii="Abadi" w:hAnsi="Abadi"/>
          <w:b/>
          <w:sz w:val="21"/>
          <w:szCs w:val="21"/>
          <w:lang w:eastAsia="x-none"/>
        </w:rPr>
      </w:pPr>
      <w:r w:rsidRPr="00484F0F">
        <w:rPr>
          <w:rFonts w:ascii="Abadi" w:hAnsi="Abadi"/>
          <w:b/>
          <w:sz w:val="21"/>
          <w:szCs w:val="21"/>
          <w:lang w:eastAsia="x-none"/>
        </w:rPr>
        <w:t>Diputada Ruth Noemí Tiscareño Agoitia</w:t>
      </w:r>
    </w:p>
    <w:p w14:paraId="39F6D9FD" w14:textId="77777777" w:rsidR="00484F0F" w:rsidRPr="00484F0F" w:rsidRDefault="00484F0F" w:rsidP="00701227">
      <w:pPr>
        <w:jc w:val="center"/>
        <w:rPr>
          <w:rFonts w:ascii="Abadi" w:hAnsi="Abadi"/>
          <w:b/>
          <w:sz w:val="21"/>
          <w:szCs w:val="21"/>
          <w:lang w:eastAsia="x-none"/>
        </w:rPr>
      </w:pPr>
    </w:p>
    <w:p w14:paraId="4E15929B" w14:textId="508B745D" w:rsidR="00484F0F" w:rsidRPr="00484F0F" w:rsidRDefault="00484F0F" w:rsidP="00701227">
      <w:pPr>
        <w:jc w:val="center"/>
        <w:rPr>
          <w:rFonts w:ascii="Abadi" w:hAnsi="Abadi"/>
          <w:b/>
          <w:sz w:val="21"/>
          <w:szCs w:val="21"/>
          <w:lang w:eastAsia="x-none"/>
        </w:rPr>
      </w:pPr>
      <w:r w:rsidRPr="00484F0F">
        <w:rPr>
          <w:rFonts w:ascii="Abadi" w:hAnsi="Abadi"/>
          <w:b/>
          <w:sz w:val="21"/>
          <w:szCs w:val="21"/>
          <w:lang w:eastAsia="x-none"/>
        </w:rPr>
        <w:t>Diputado Miguel Ángel Salim Alle</w:t>
      </w:r>
    </w:p>
    <w:p w14:paraId="7B415096" w14:textId="77777777" w:rsidR="00484F0F" w:rsidRPr="00484F0F" w:rsidRDefault="00484F0F" w:rsidP="00701227">
      <w:pPr>
        <w:jc w:val="center"/>
        <w:rPr>
          <w:rFonts w:ascii="Abadi" w:hAnsi="Abadi"/>
          <w:b/>
          <w:sz w:val="21"/>
          <w:szCs w:val="21"/>
          <w:lang w:eastAsia="x-none"/>
        </w:rPr>
      </w:pPr>
    </w:p>
    <w:p w14:paraId="13BD86BA" w14:textId="10FC03A8" w:rsidR="00484F0F" w:rsidRPr="00484F0F" w:rsidRDefault="00484F0F" w:rsidP="00701227">
      <w:pPr>
        <w:jc w:val="center"/>
        <w:rPr>
          <w:rFonts w:ascii="Abadi" w:hAnsi="Abadi"/>
          <w:b/>
          <w:sz w:val="21"/>
          <w:szCs w:val="21"/>
          <w:lang w:eastAsia="x-none"/>
        </w:rPr>
      </w:pPr>
      <w:r w:rsidRPr="00484F0F">
        <w:rPr>
          <w:rFonts w:ascii="Abadi" w:hAnsi="Abadi"/>
          <w:b/>
          <w:sz w:val="21"/>
          <w:szCs w:val="21"/>
          <w:lang w:eastAsia="x-none"/>
        </w:rPr>
        <w:t>Diputado José Alfonso Borja Pimentel</w:t>
      </w:r>
    </w:p>
    <w:p w14:paraId="654BB02A" w14:textId="77777777" w:rsidR="00484F0F" w:rsidRPr="00484F0F" w:rsidRDefault="00484F0F" w:rsidP="00701227">
      <w:pPr>
        <w:jc w:val="center"/>
        <w:rPr>
          <w:rFonts w:ascii="Abadi" w:hAnsi="Abadi"/>
          <w:b/>
          <w:sz w:val="21"/>
          <w:szCs w:val="21"/>
          <w:lang w:eastAsia="x-none"/>
        </w:rPr>
      </w:pPr>
    </w:p>
    <w:p w14:paraId="23B23A1D" w14:textId="77777777" w:rsidR="00484F0F" w:rsidRPr="00484F0F" w:rsidRDefault="00484F0F" w:rsidP="00701227">
      <w:pPr>
        <w:jc w:val="center"/>
        <w:rPr>
          <w:rFonts w:ascii="Abadi" w:hAnsi="Abadi"/>
          <w:b/>
          <w:sz w:val="21"/>
          <w:szCs w:val="21"/>
          <w:lang w:eastAsia="x-none"/>
        </w:rPr>
      </w:pPr>
      <w:r w:rsidRPr="00484F0F">
        <w:rPr>
          <w:rFonts w:ascii="Abadi" w:hAnsi="Abadi"/>
          <w:b/>
          <w:sz w:val="21"/>
          <w:szCs w:val="21"/>
          <w:lang w:eastAsia="x-none"/>
        </w:rPr>
        <w:t>Diputada Alma Edwviges Alcaraz Hernández</w:t>
      </w:r>
    </w:p>
    <w:p w14:paraId="31C89818" w14:textId="71F6E75A" w:rsidR="007335C8" w:rsidRDefault="007335C8" w:rsidP="007335C8">
      <w:pPr>
        <w:rPr>
          <w:rFonts w:ascii="Abadi" w:hAnsi="Abadi"/>
          <w:sz w:val="20"/>
          <w:szCs w:val="20"/>
        </w:rPr>
      </w:pPr>
    </w:p>
    <w:p w14:paraId="28165C49" w14:textId="7CDF2845" w:rsidR="00701227" w:rsidRDefault="00701227" w:rsidP="007335C8">
      <w:pPr>
        <w:rPr>
          <w:rFonts w:ascii="Abadi" w:hAnsi="Abadi"/>
          <w:sz w:val="20"/>
          <w:szCs w:val="20"/>
        </w:rPr>
      </w:pPr>
    </w:p>
    <w:p w14:paraId="1818D169" w14:textId="77777777" w:rsidR="00701227" w:rsidRPr="007335C8" w:rsidRDefault="00701227" w:rsidP="007335C8">
      <w:pPr>
        <w:rPr>
          <w:rFonts w:ascii="Abadi" w:hAnsi="Abadi"/>
          <w:sz w:val="20"/>
          <w:szCs w:val="20"/>
        </w:rPr>
      </w:pPr>
    </w:p>
    <w:p w14:paraId="417EA248" w14:textId="25960379" w:rsidR="00CA4D25" w:rsidRDefault="00CA4D25" w:rsidP="005433FA">
      <w:pPr>
        <w:pStyle w:val="Prrafodelista"/>
        <w:numPr>
          <w:ilvl w:val="0"/>
          <w:numId w:val="9"/>
        </w:numPr>
        <w:tabs>
          <w:tab w:val="left" w:pos="856"/>
        </w:tabs>
        <w:kinsoku w:val="0"/>
        <w:overflowPunct w:val="0"/>
        <w:autoSpaceDE w:val="0"/>
        <w:autoSpaceDN w:val="0"/>
        <w:adjustRightInd w:val="0"/>
        <w:spacing w:before="22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9"/>
          <w:sz w:val="20"/>
          <w:szCs w:val="20"/>
        </w:rPr>
        <w:t xml:space="preserve"> </w:t>
      </w:r>
      <w:r w:rsidRPr="00531B12">
        <w:rPr>
          <w:rFonts w:ascii="Abadi" w:hAnsi="Abadi"/>
          <w:b/>
          <w:bCs/>
          <w:sz w:val="20"/>
          <w:szCs w:val="20"/>
        </w:rPr>
        <w:t>Y,</w:t>
      </w:r>
      <w:r w:rsidRPr="00531B12">
        <w:rPr>
          <w:rFonts w:ascii="Abadi" w:hAnsi="Abadi"/>
          <w:b/>
          <w:bCs/>
          <w:spacing w:val="9"/>
          <w:sz w:val="20"/>
          <w:szCs w:val="20"/>
        </w:rPr>
        <w:t xml:space="preserve"> </w:t>
      </w:r>
      <w:r w:rsidRPr="00531B12">
        <w:rPr>
          <w:rFonts w:ascii="Abadi" w:hAnsi="Abadi"/>
          <w:b/>
          <w:bCs/>
          <w:sz w:val="20"/>
          <w:szCs w:val="20"/>
        </w:rPr>
        <w:t>EN</w:t>
      </w:r>
      <w:r w:rsidRPr="00531B12">
        <w:rPr>
          <w:rFonts w:ascii="Abadi" w:hAnsi="Abadi"/>
          <w:b/>
          <w:bCs/>
          <w:spacing w:val="9"/>
          <w:sz w:val="20"/>
          <w:szCs w:val="20"/>
        </w:rPr>
        <w:t xml:space="preserve"> </w:t>
      </w:r>
      <w:r w:rsidRPr="00531B12">
        <w:rPr>
          <w:rFonts w:ascii="Abadi" w:hAnsi="Abadi"/>
          <w:b/>
          <w:bCs/>
          <w:sz w:val="20"/>
          <w:szCs w:val="20"/>
        </w:rPr>
        <w:t>SU</w:t>
      </w:r>
      <w:r w:rsidRPr="00531B12">
        <w:rPr>
          <w:rFonts w:ascii="Abadi" w:hAnsi="Abadi"/>
          <w:b/>
          <w:bCs/>
          <w:spacing w:val="9"/>
          <w:sz w:val="20"/>
          <w:szCs w:val="20"/>
        </w:rPr>
        <w:t xml:space="preserve"> </w:t>
      </w:r>
      <w:r w:rsidRPr="00531B12">
        <w:rPr>
          <w:rFonts w:ascii="Abadi" w:hAnsi="Abadi"/>
          <w:b/>
          <w:bCs/>
          <w:sz w:val="20"/>
          <w:szCs w:val="20"/>
        </w:rPr>
        <w:t>CASO,</w:t>
      </w:r>
      <w:r w:rsidRPr="00531B12">
        <w:rPr>
          <w:rFonts w:ascii="Abadi" w:hAnsi="Abadi"/>
          <w:b/>
          <w:bCs/>
          <w:spacing w:val="9"/>
          <w:sz w:val="20"/>
          <w:szCs w:val="20"/>
        </w:rPr>
        <w:t xml:space="preserve"> </w:t>
      </w:r>
      <w:r w:rsidRPr="00531B12">
        <w:rPr>
          <w:rFonts w:ascii="Abadi" w:hAnsi="Abadi"/>
          <w:b/>
          <w:bCs/>
          <w:sz w:val="20"/>
          <w:szCs w:val="20"/>
        </w:rPr>
        <w:t>APROBACIÓN</w:t>
      </w:r>
      <w:r w:rsidRPr="00531B12">
        <w:rPr>
          <w:rFonts w:ascii="Abadi" w:hAnsi="Abadi"/>
          <w:b/>
          <w:bCs/>
          <w:spacing w:val="9"/>
          <w:sz w:val="20"/>
          <w:szCs w:val="20"/>
        </w:rPr>
        <w:t xml:space="preserve"> </w:t>
      </w:r>
      <w:r w:rsidRPr="00531B12">
        <w:rPr>
          <w:rFonts w:ascii="Abadi" w:hAnsi="Abadi"/>
          <w:b/>
          <w:bCs/>
          <w:sz w:val="20"/>
          <w:szCs w:val="20"/>
        </w:rPr>
        <w:t>DEL</w:t>
      </w:r>
      <w:r w:rsidRPr="00531B12">
        <w:rPr>
          <w:rFonts w:ascii="Abadi" w:hAnsi="Abadi"/>
          <w:b/>
          <w:bCs/>
          <w:spacing w:val="9"/>
          <w:sz w:val="20"/>
          <w:szCs w:val="20"/>
        </w:rPr>
        <w:t xml:space="preserve"> </w:t>
      </w:r>
      <w:r w:rsidRPr="00531B12">
        <w:rPr>
          <w:rFonts w:ascii="Abadi" w:hAnsi="Abadi"/>
          <w:b/>
          <w:bCs/>
          <w:sz w:val="20"/>
          <w:szCs w:val="20"/>
        </w:rPr>
        <w:t>DICTAMEN</w:t>
      </w:r>
      <w:r w:rsidRPr="00531B12">
        <w:rPr>
          <w:rFonts w:ascii="Abadi" w:hAnsi="Abadi"/>
          <w:b/>
          <w:bCs/>
          <w:spacing w:val="9"/>
          <w:sz w:val="20"/>
          <w:szCs w:val="20"/>
        </w:rPr>
        <w:t xml:space="preserve"> </w:t>
      </w:r>
      <w:r w:rsidRPr="00531B12">
        <w:rPr>
          <w:rFonts w:ascii="Abadi" w:hAnsi="Abadi"/>
          <w:b/>
          <w:bCs/>
          <w:sz w:val="20"/>
          <w:szCs w:val="20"/>
        </w:rPr>
        <w:t>SUSCRITO</w:t>
      </w:r>
      <w:r w:rsidRPr="00531B12">
        <w:rPr>
          <w:rFonts w:ascii="Abadi" w:hAnsi="Abadi"/>
          <w:b/>
          <w:bCs/>
          <w:spacing w:val="9"/>
          <w:sz w:val="20"/>
          <w:szCs w:val="20"/>
        </w:rPr>
        <w:t xml:space="preserve"> </w:t>
      </w:r>
      <w:r w:rsidRPr="00531B12">
        <w:rPr>
          <w:rFonts w:ascii="Abadi" w:hAnsi="Abadi"/>
          <w:b/>
          <w:bCs/>
          <w:sz w:val="20"/>
          <w:szCs w:val="20"/>
        </w:rPr>
        <w:t>POR</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9"/>
          <w:sz w:val="20"/>
          <w:szCs w:val="20"/>
        </w:rPr>
        <w:t xml:space="preserve"> </w:t>
      </w:r>
      <w:r w:rsidRPr="00531B12">
        <w:rPr>
          <w:rFonts w:ascii="Abadi" w:hAnsi="Abadi"/>
          <w:b/>
          <w:bCs/>
          <w:sz w:val="20"/>
          <w:szCs w:val="20"/>
        </w:rPr>
        <w:t>COMISIÓN</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32"/>
          <w:sz w:val="20"/>
          <w:szCs w:val="20"/>
        </w:rPr>
        <w:t xml:space="preserve"> </w:t>
      </w:r>
      <w:r w:rsidRPr="00531B12">
        <w:rPr>
          <w:rFonts w:ascii="Abadi" w:hAnsi="Abadi"/>
          <w:b/>
          <w:bCs/>
          <w:sz w:val="20"/>
          <w:szCs w:val="20"/>
        </w:rPr>
        <w:t>HACIENDA</w:t>
      </w:r>
      <w:r w:rsidRPr="00531B12">
        <w:rPr>
          <w:rFonts w:ascii="Abadi" w:hAnsi="Abadi"/>
          <w:b/>
          <w:bCs/>
          <w:spacing w:val="31"/>
          <w:sz w:val="20"/>
          <w:szCs w:val="20"/>
        </w:rPr>
        <w:t xml:space="preserve"> </w:t>
      </w:r>
      <w:r w:rsidRPr="00531B12">
        <w:rPr>
          <w:rFonts w:ascii="Abadi" w:hAnsi="Abadi"/>
          <w:b/>
          <w:bCs/>
          <w:sz w:val="20"/>
          <w:szCs w:val="20"/>
        </w:rPr>
        <w:t>Y</w:t>
      </w:r>
      <w:r w:rsidRPr="00531B12">
        <w:rPr>
          <w:rFonts w:ascii="Abadi" w:hAnsi="Abadi"/>
          <w:b/>
          <w:bCs/>
          <w:spacing w:val="32"/>
          <w:sz w:val="20"/>
          <w:szCs w:val="20"/>
        </w:rPr>
        <w:t xml:space="preserve"> </w:t>
      </w:r>
      <w:r w:rsidRPr="00531B12">
        <w:rPr>
          <w:rFonts w:ascii="Abadi" w:hAnsi="Abadi"/>
          <w:b/>
          <w:bCs/>
          <w:sz w:val="20"/>
          <w:szCs w:val="20"/>
        </w:rPr>
        <w:t>FISCALIZACIÓN</w:t>
      </w:r>
      <w:r w:rsidRPr="00531B12">
        <w:rPr>
          <w:rFonts w:ascii="Abadi" w:hAnsi="Abadi"/>
          <w:b/>
          <w:bCs/>
          <w:spacing w:val="32"/>
          <w:sz w:val="20"/>
          <w:szCs w:val="20"/>
        </w:rPr>
        <w:t xml:space="preserve"> </w:t>
      </w:r>
      <w:r w:rsidRPr="00531B12">
        <w:rPr>
          <w:rFonts w:ascii="Abadi" w:hAnsi="Abadi"/>
          <w:b/>
          <w:bCs/>
          <w:sz w:val="20"/>
          <w:szCs w:val="20"/>
        </w:rPr>
        <w:t>RELATIVO</w:t>
      </w:r>
      <w:r w:rsidRPr="00531B12">
        <w:rPr>
          <w:rFonts w:ascii="Abadi" w:hAnsi="Abadi"/>
          <w:b/>
          <w:bCs/>
          <w:spacing w:val="31"/>
          <w:sz w:val="20"/>
          <w:szCs w:val="20"/>
        </w:rPr>
        <w:t xml:space="preserve"> </w:t>
      </w:r>
      <w:r w:rsidRPr="00531B12">
        <w:rPr>
          <w:rFonts w:ascii="Abadi" w:hAnsi="Abadi"/>
          <w:b/>
          <w:bCs/>
          <w:sz w:val="20"/>
          <w:szCs w:val="20"/>
        </w:rPr>
        <w:t>A</w:t>
      </w:r>
      <w:r w:rsidRPr="00531B12">
        <w:rPr>
          <w:rFonts w:ascii="Abadi" w:hAnsi="Abadi"/>
          <w:b/>
          <w:bCs/>
          <w:spacing w:val="32"/>
          <w:sz w:val="20"/>
          <w:szCs w:val="20"/>
        </w:rPr>
        <w:t xml:space="preserve"> </w:t>
      </w:r>
      <w:r w:rsidRPr="00531B12">
        <w:rPr>
          <w:rFonts w:ascii="Abadi" w:hAnsi="Abadi"/>
          <w:b/>
          <w:bCs/>
          <w:sz w:val="20"/>
          <w:szCs w:val="20"/>
        </w:rPr>
        <w:t>LA</w:t>
      </w:r>
      <w:r w:rsidRPr="00531B12">
        <w:rPr>
          <w:rFonts w:ascii="Abadi" w:hAnsi="Abadi"/>
          <w:b/>
          <w:bCs/>
          <w:spacing w:val="32"/>
          <w:sz w:val="20"/>
          <w:szCs w:val="20"/>
        </w:rPr>
        <w:t xml:space="preserve"> </w:t>
      </w:r>
      <w:r w:rsidRPr="00531B12">
        <w:rPr>
          <w:rFonts w:ascii="Abadi" w:hAnsi="Abadi"/>
          <w:b/>
          <w:bCs/>
          <w:sz w:val="20"/>
          <w:szCs w:val="20"/>
        </w:rPr>
        <w:t>PROPUESTA</w:t>
      </w:r>
      <w:r w:rsidRPr="00531B12">
        <w:rPr>
          <w:rFonts w:ascii="Abadi" w:hAnsi="Abadi"/>
          <w:b/>
          <w:bCs/>
          <w:spacing w:val="31"/>
          <w:sz w:val="20"/>
          <w:szCs w:val="20"/>
        </w:rPr>
        <w:t xml:space="preserve"> </w:t>
      </w:r>
      <w:r w:rsidRPr="00531B12">
        <w:rPr>
          <w:rFonts w:ascii="Abadi" w:hAnsi="Abadi"/>
          <w:b/>
          <w:bCs/>
          <w:sz w:val="20"/>
          <w:szCs w:val="20"/>
        </w:rPr>
        <w:t>DE</w:t>
      </w:r>
      <w:r w:rsidRPr="00531B12">
        <w:rPr>
          <w:rFonts w:ascii="Abadi" w:hAnsi="Abadi"/>
          <w:b/>
          <w:bCs/>
          <w:spacing w:val="31"/>
          <w:sz w:val="20"/>
          <w:szCs w:val="20"/>
        </w:rPr>
        <w:t xml:space="preserve"> </w:t>
      </w:r>
      <w:r w:rsidRPr="00531B12">
        <w:rPr>
          <w:rFonts w:ascii="Abadi" w:hAnsi="Abadi"/>
          <w:b/>
          <w:bCs/>
          <w:sz w:val="20"/>
          <w:szCs w:val="20"/>
        </w:rPr>
        <w:t>PUNTO</w:t>
      </w:r>
      <w:r w:rsidRPr="00531B12">
        <w:rPr>
          <w:rFonts w:ascii="Abadi" w:hAnsi="Abadi"/>
          <w:b/>
          <w:bCs/>
          <w:spacing w:val="31"/>
          <w:sz w:val="20"/>
          <w:szCs w:val="20"/>
        </w:rPr>
        <w:t xml:space="preserve"> </w:t>
      </w:r>
      <w:r w:rsidRPr="00531B12">
        <w:rPr>
          <w:rFonts w:ascii="Abadi" w:hAnsi="Abadi"/>
          <w:b/>
          <w:bCs/>
          <w:sz w:val="20"/>
          <w:szCs w:val="20"/>
        </w:rPr>
        <w:t>DE</w:t>
      </w:r>
      <w:r w:rsidRPr="00531B12">
        <w:rPr>
          <w:rFonts w:ascii="Abadi" w:hAnsi="Abadi"/>
          <w:b/>
          <w:bCs/>
          <w:spacing w:val="31"/>
          <w:sz w:val="20"/>
          <w:szCs w:val="20"/>
        </w:rPr>
        <w:t xml:space="preserve"> </w:t>
      </w:r>
      <w:r w:rsidRPr="00531B12">
        <w:rPr>
          <w:rFonts w:ascii="Abadi" w:hAnsi="Abadi"/>
          <w:b/>
          <w:bCs/>
          <w:sz w:val="20"/>
          <w:szCs w:val="20"/>
        </w:rPr>
        <w:t>ACUERDO</w:t>
      </w:r>
      <w:r w:rsidRPr="00531B12">
        <w:rPr>
          <w:rFonts w:ascii="Abadi" w:hAnsi="Abadi"/>
          <w:b/>
          <w:bCs/>
          <w:spacing w:val="-2"/>
          <w:sz w:val="20"/>
          <w:szCs w:val="20"/>
        </w:rPr>
        <w:t xml:space="preserve"> </w:t>
      </w:r>
      <w:r w:rsidRPr="00531B12">
        <w:rPr>
          <w:rFonts w:ascii="Abadi" w:hAnsi="Abadi"/>
          <w:b/>
          <w:bCs/>
          <w:sz w:val="20"/>
          <w:szCs w:val="20"/>
        </w:rPr>
        <w:t>FORMULADA</w:t>
      </w:r>
      <w:r w:rsidRPr="00531B12">
        <w:rPr>
          <w:rFonts w:ascii="Abadi" w:hAnsi="Abadi"/>
          <w:b/>
          <w:bCs/>
          <w:spacing w:val="24"/>
          <w:sz w:val="20"/>
          <w:szCs w:val="20"/>
        </w:rPr>
        <w:t xml:space="preserve"> </w:t>
      </w:r>
      <w:r w:rsidRPr="00531B12">
        <w:rPr>
          <w:rFonts w:ascii="Abadi" w:hAnsi="Abadi"/>
          <w:b/>
          <w:bCs/>
          <w:sz w:val="20"/>
          <w:szCs w:val="20"/>
        </w:rPr>
        <w:t>POR</w:t>
      </w:r>
      <w:r w:rsidRPr="00531B12">
        <w:rPr>
          <w:rFonts w:ascii="Abadi" w:hAnsi="Abadi"/>
          <w:b/>
          <w:bCs/>
          <w:spacing w:val="24"/>
          <w:sz w:val="20"/>
          <w:szCs w:val="20"/>
        </w:rPr>
        <w:t xml:space="preserve"> </w:t>
      </w:r>
      <w:r w:rsidRPr="00531B12">
        <w:rPr>
          <w:rFonts w:ascii="Abadi" w:hAnsi="Abadi"/>
          <w:b/>
          <w:bCs/>
          <w:sz w:val="20"/>
          <w:szCs w:val="20"/>
        </w:rPr>
        <w:t>DIPUTADAS</w:t>
      </w:r>
      <w:r w:rsidRPr="00531B12">
        <w:rPr>
          <w:rFonts w:ascii="Abadi" w:hAnsi="Abadi"/>
          <w:b/>
          <w:bCs/>
          <w:spacing w:val="24"/>
          <w:sz w:val="20"/>
          <w:szCs w:val="20"/>
        </w:rPr>
        <w:t xml:space="preserve"> </w:t>
      </w:r>
      <w:r w:rsidRPr="00531B12">
        <w:rPr>
          <w:rFonts w:ascii="Abadi" w:hAnsi="Abadi"/>
          <w:b/>
          <w:bCs/>
          <w:sz w:val="20"/>
          <w:szCs w:val="20"/>
        </w:rPr>
        <w:t>Y</w:t>
      </w:r>
      <w:r w:rsidRPr="00531B12">
        <w:rPr>
          <w:rFonts w:ascii="Abadi" w:hAnsi="Abadi"/>
          <w:b/>
          <w:bCs/>
          <w:spacing w:val="24"/>
          <w:sz w:val="20"/>
          <w:szCs w:val="20"/>
        </w:rPr>
        <w:t xml:space="preserve"> </w:t>
      </w:r>
      <w:r w:rsidRPr="00531B12">
        <w:rPr>
          <w:rFonts w:ascii="Abadi" w:hAnsi="Abadi"/>
          <w:b/>
          <w:bCs/>
          <w:sz w:val="20"/>
          <w:szCs w:val="20"/>
        </w:rPr>
        <w:t>DIPUTADOS</w:t>
      </w:r>
      <w:r w:rsidRPr="00531B12">
        <w:rPr>
          <w:rFonts w:ascii="Abadi" w:hAnsi="Abadi"/>
          <w:b/>
          <w:bCs/>
          <w:spacing w:val="24"/>
          <w:sz w:val="20"/>
          <w:szCs w:val="20"/>
        </w:rPr>
        <w:t xml:space="preserve"> </w:t>
      </w:r>
      <w:r w:rsidRPr="00531B12">
        <w:rPr>
          <w:rFonts w:ascii="Abadi" w:hAnsi="Abadi"/>
          <w:b/>
          <w:bCs/>
          <w:sz w:val="20"/>
          <w:szCs w:val="20"/>
        </w:rPr>
        <w:t>INTEGRANTES</w:t>
      </w:r>
      <w:r w:rsidRPr="00531B12">
        <w:rPr>
          <w:rFonts w:ascii="Abadi" w:hAnsi="Abadi"/>
          <w:b/>
          <w:bCs/>
          <w:spacing w:val="24"/>
          <w:sz w:val="20"/>
          <w:szCs w:val="20"/>
        </w:rPr>
        <w:t xml:space="preserve"> </w:t>
      </w:r>
      <w:r w:rsidRPr="00531B12">
        <w:rPr>
          <w:rFonts w:ascii="Abadi" w:hAnsi="Abadi"/>
          <w:b/>
          <w:bCs/>
          <w:sz w:val="20"/>
          <w:szCs w:val="20"/>
        </w:rPr>
        <w:t>DEL</w:t>
      </w:r>
      <w:r w:rsidRPr="00531B12">
        <w:rPr>
          <w:rFonts w:ascii="Abadi" w:hAnsi="Abadi"/>
          <w:b/>
          <w:bCs/>
          <w:spacing w:val="24"/>
          <w:sz w:val="20"/>
          <w:szCs w:val="20"/>
        </w:rPr>
        <w:t xml:space="preserve"> </w:t>
      </w:r>
      <w:r w:rsidRPr="00531B12">
        <w:rPr>
          <w:rFonts w:ascii="Abadi" w:hAnsi="Abadi"/>
          <w:b/>
          <w:bCs/>
          <w:sz w:val="20"/>
          <w:szCs w:val="20"/>
        </w:rPr>
        <w:t>GRUPO</w:t>
      </w:r>
      <w:r w:rsidRPr="00531B12">
        <w:rPr>
          <w:rFonts w:ascii="Abadi" w:hAnsi="Abadi"/>
          <w:b/>
          <w:bCs/>
          <w:spacing w:val="24"/>
          <w:sz w:val="20"/>
          <w:szCs w:val="20"/>
        </w:rPr>
        <w:t xml:space="preserve"> </w:t>
      </w:r>
      <w:r w:rsidRPr="00531B12">
        <w:rPr>
          <w:rFonts w:ascii="Abadi" w:hAnsi="Abadi"/>
          <w:b/>
          <w:bCs/>
          <w:sz w:val="20"/>
          <w:szCs w:val="20"/>
        </w:rPr>
        <w:t>PARLAMENTARIO</w:t>
      </w:r>
      <w:r w:rsidRPr="00531B12">
        <w:rPr>
          <w:rFonts w:ascii="Abadi" w:hAnsi="Abadi"/>
          <w:b/>
          <w:bCs/>
          <w:spacing w:val="-2"/>
          <w:sz w:val="20"/>
          <w:szCs w:val="20"/>
        </w:rPr>
        <w:t xml:space="preserve"> </w:t>
      </w:r>
      <w:r w:rsidRPr="00531B12">
        <w:rPr>
          <w:rFonts w:ascii="Abadi" w:hAnsi="Abadi"/>
          <w:b/>
          <w:bCs/>
          <w:sz w:val="20"/>
          <w:szCs w:val="20"/>
        </w:rPr>
        <w:t>DEL</w:t>
      </w:r>
      <w:r w:rsidRPr="00531B12">
        <w:rPr>
          <w:rFonts w:ascii="Abadi" w:hAnsi="Abadi"/>
          <w:b/>
          <w:bCs/>
          <w:spacing w:val="-5"/>
          <w:sz w:val="20"/>
          <w:szCs w:val="20"/>
        </w:rPr>
        <w:t xml:space="preserve"> </w:t>
      </w:r>
      <w:r w:rsidRPr="00531B12">
        <w:rPr>
          <w:rFonts w:ascii="Abadi" w:hAnsi="Abadi"/>
          <w:b/>
          <w:bCs/>
          <w:sz w:val="20"/>
          <w:szCs w:val="20"/>
        </w:rPr>
        <w:t>PARTIDO</w:t>
      </w:r>
      <w:r w:rsidRPr="00531B12">
        <w:rPr>
          <w:rFonts w:ascii="Abadi" w:hAnsi="Abadi"/>
          <w:b/>
          <w:bCs/>
          <w:spacing w:val="-5"/>
          <w:sz w:val="20"/>
          <w:szCs w:val="20"/>
        </w:rPr>
        <w:t xml:space="preserve"> </w:t>
      </w:r>
      <w:r w:rsidRPr="00531B12">
        <w:rPr>
          <w:rFonts w:ascii="Abadi" w:hAnsi="Abadi"/>
          <w:b/>
          <w:bCs/>
          <w:sz w:val="20"/>
          <w:szCs w:val="20"/>
        </w:rPr>
        <w:t>MORENA</w:t>
      </w:r>
      <w:r w:rsidRPr="00531B12">
        <w:rPr>
          <w:rFonts w:ascii="Abadi" w:hAnsi="Abadi"/>
          <w:b/>
          <w:bCs/>
          <w:spacing w:val="-6"/>
          <w:sz w:val="20"/>
          <w:szCs w:val="20"/>
        </w:rPr>
        <w:t xml:space="preserve"> </w:t>
      </w:r>
      <w:r w:rsidRPr="00531B12">
        <w:rPr>
          <w:rFonts w:ascii="Abadi" w:hAnsi="Abadi"/>
          <w:b/>
          <w:bCs/>
          <w:sz w:val="20"/>
          <w:szCs w:val="20"/>
        </w:rPr>
        <w:t>A</w:t>
      </w:r>
      <w:r w:rsidRPr="00531B12">
        <w:rPr>
          <w:rFonts w:ascii="Abadi" w:hAnsi="Abadi"/>
          <w:b/>
          <w:bCs/>
          <w:spacing w:val="-5"/>
          <w:sz w:val="20"/>
          <w:szCs w:val="20"/>
        </w:rPr>
        <w:t xml:space="preserve"> </w:t>
      </w:r>
      <w:r w:rsidRPr="00531B12">
        <w:rPr>
          <w:rFonts w:ascii="Abadi" w:hAnsi="Abadi"/>
          <w:b/>
          <w:bCs/>
          <w:sz w:val="20"/>
          <w:szCs w:val="20"/>
        </w:rPr>
        <w:t>EFECTO</w:t>
      </w:r>
      <w:r w:rsidRPr="00531B12">
        <w:rPr>
          <w:rFonts w:ascii="Abadi" w:hAnsi="Abadi"/>
          <w:b/>
          <w:bCs/>
          <w:spacing w:val="-5"/>
          <w:sz w:val="20"/>
          <w:szCs w:val="20"/>
        </w:rPr>
        <w:t xml:space="preserve"> </w:t>
      </w:r>
      <w:r w:rsidRPr="00531B12">
        <w:rPr>
          <w:rFonts w:ascii="Abadi" w:hAnsi="Abadi"/>
          <w:b/>
          <w:bCs/>
          <w:sz w:val="20"/>
          <w:szCs w:val="20"/>
        </w:rPr>
        <w:t>DE</w:t>
      </w:r>
      <w:r w:rsidRPr="00531B12">
        <w:rPr>
          <w:rFonts w:ascii="Abadi" w:hAnsi="Abadi"/>
          <w:b/>
          <w:bCs/>
          <w:spacing w:val="-5"/>
          <w:sz w:val="20"/>
          <w:szCs w:val="20"/>
        </w:rPr>
        <w:t xml:space="preserve"> </w:t>
      </w:r>
      <w:r w:rsidRPr="00531B12">
        <w:rPr>
          <w:rFonts w:ascii="Abadi" w:hAnsi="Abadi"/>
          <w:b/>
          <w:bCs/>
          <w:sz w:val="20"/>
          <w:szCs w:val="20"/>
        </w:rPr>
        <w:t>EXHORTAR</w:t>
      </w:r>
      <w:r w:rsidRPr="00531B12">
        <w:rPr>
          <w:rFonts w:ascii="Abadi" w:hAnsi="Abadi"/>
          <w:b/>
          <w:bCs/>
          <w:spacing w:val="-5"/>
          <w:sz w:val="20"/>
          <w:szCs w:val="20"/>
        </w:rPr>
        <w:t xml:space="preserve"> </w:t>
      </w:r>
      <w:r w:rsidRPr="00531B12">
        <w:rPr>
          <w:rFonts w:ascii="Abadi" w:hAnsi="Abadi"/>
          <w:b/>
          <w:bCs/>
          <w:sz w:val="20"/>
          <w:szCs w:val="20"/>
        </w:rPr>
        <w:t>AL</w:t>
      </w:r>
      <w:r w:rsidRPr="00531B12">
        <w:rPr>
          <w:rFonts w:ascii="Abadi" w:hAnsi="Abadi"/>
          <w:b/>
          <w:bCs/>
          <w:spacing w:val="-5"/>
          <w:sz w:val="20"/>
          <w:szCs w:val="20"/>
        </w:rPr>
        <w:t xml:space="preserve"> </w:t>
      </w:r>
      <w:r w:rsidRPr="00531B12">
        <w:rPr>
          <w:rFonts w:ascii="Abadi" w:hAnsi="Abadi"/>
          <w:b/>
          <w:bCs/>
          <w:sz w:val="20"/>
          <w:szCs w:val="20"/>
        </w:rPr>
        <w:t>AUDITOR</w:t>
      </w:r>
      <w:r w:rsidRPr="00531B12">
        <w:rPr>
          <w:rFonts w:ascii="Abadi" w:hAnsi="Abadi"/>
          <w:b/>
          <w:bCs/>
          <w:spacing w:val="-5"/>
          <w:sz w:val="20"/>
          <w:szCs w:val="20"/>
        </w:rPr>
        <w:t xml:space="preserve"> </w:t>
      </w:r>
      <w:r w:rsidRPr="00531B12">
        <w:rPr>
          <w:rFonts w:ascii="Abadi" w:hAnsi="Abadi"/>
          <w:b/>
          <w:bCs/>
          <w:sz w:val="20"/>
          <w:szCs w:val="20"/>
        </w:rPr>
        <w:t>SUPERIOR</w:t>
      </w:r>
      <w:r w:rsidRPr="00531B12">
        <w:rPr>
          <w:rFonts w:ascii="Abadi" w:hAnsi="Abadi"/>
          <w:b/>
          <w:bCs/>
          <w:spacing w:val="-5"/>
          <w:sz w:val="20"/>
          <w:szCs w:val="20"/>
        </w:rPr>
        <w:t xml:space="preserve"> </w:t>
      </w:r>
      <w:r w:rsidRPr="00531B12">
        <w:rPr>
          <w:rFonts w:ascii="Abadi" w:hAnsi="Abadi"/>
          <w:b/>
          <w:bCs/>
          <w:sz w:val="20"/>
          <w:szCs w:val="20"/>
        </w:rPr>
        <w:t>DEL</w:t>
      </w:r>
      <w:r w:rsidRPr="00531B12">
        <w:rPr>
          <w:rFonts w:ascii="Abadi" w:hAnsi="Abadi"/>
          <w:b/>
          <w:bCs/>
          <w:spacing w:val="-5"/>
          <w:sz w:val="20"/>
          <w:szCs w:val="20"/>
        </w:rPr>
        <w:t xml:space="preserve"> </w:t>
      </w:r>
      <w:r w:rsidRPr="00531B12">
        <w:rPr>
          <w:rFonts w:ascii="Abadi" w:hAnsi="Abadi"/>
          <w:b/>
          <w:bCs/>
          <w:sz w:val="20"/>
          <w:szCs w:val="20"/>
        </w:rPr>
        <w:t>ESTADO</w:t>
      </w:r>
      <w:r w:rsidRPr="00531B12">
        <w:rPr>
          <w:rFonts w:ascii="Abadi" w:hAnsi="Abadi"/>
          <w:b/>
          <w:bCs/>
          <w:spacing w:val="-5"/>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GUANAJUATO</w:t>
      </w:r>
      <w:r w:rsidRPr="00531B12">
        <w:rPr>
          <w:rFonts w:ascii="Abadi" w:hAnsi="Abadi"/>
          <w:b/>
          <w:bCs/>
          <w:spacing w:val="20"/>
          <w:sz w:val="20"/>
          <w:szCs w:val="20"/>
        </w:rPr>
        <w:t xml:space="preserve"> </w:t>
      </w:r>
      <w:r w:rsidRPr="00531B12">
        <w:rPr>
          <w:rFonts w:ascii="Abadi" w:hAnsi="Abadi"/>
          <w:b/>
          <w:bCs/>
          <w:sz w:val="20"/>
          <w:szCs w:val="20"/>
        </w:rPr>
        <w:t>PARA</w:t>
      </w:r>
      <w:r w:rsidRPr="00531B12">
        <w:rPr>
          <w:rFonts w:ascii="Abadi" w:hAnsi="Abadi"/>
          <w:b/>
          <w:bCs/>
          <w:spacing w:val="20"/>
          <w:sz w:val="20"/>
          <w:szCs w:val="20"/>
        </w:rPr>
        <w:t xml:space="preserve"> </w:t>
      </w:r>
      <w:r w:rsidRPr="00531B12">
        <w:rPr>
          <w:rFonts w:ascii="Abadi" w:hAnsi="Abadi"/>
          <w:b/>
          <w:bCs/>
          <w:sz w:val="20"/>
          <w:szCs w:val="20"/>
        </w:rPr>
        <w:t>QUE</w:t>
      </w:r>
      <w:r w:rsidRPr="00531B12">
        <w:rPr>
          <w:rFonts w:ascii="Abadi" w:hAnsi="Abadi"/>
          <w:b/>
          <w:bCs/>
          <w:spacing w:val="21"/>
          <w:sz w:val="20"/>
          <w:szCs w:val="20"/>
        </w:rPr>
        <w:t xml:space="preserve"> </w:t>
      </w:r>
      <w:r w:rsidRPr="00531B12">
        <w:rPr>
          <w:rFonts w:ascii="Abadi" w:hAnsi="Abadi"/>
          <w:b/>
          <w:bCs/>
          <w:sz w:val="20"/>
          <w:szCs w:val="20"/>
        </w:rPr>
        <w:t>REALICE</w:t>
      </w:r>
      <w:r w:rsidRPr="00531B12">
        <w:rPr>
          <w:rFonts w:ascii="Abadi" w:hAnsi="Abadi"/>
          <w:b/>
          <w:bCs/>
          <w:spacing w:val="20"/>
          <w:sz w:val="20"/>
          <w:szCs w:val="20"/>
        </w:rPr>
        <w:t xml:space="preserve"> </w:t>
      </w:r>
      <w:r w:rsidRPr="00531B12">
        <w:rPr>
          <w:rFonts w:ascii="Abadi" w:hAnsi="Abadi"/>
          <w:b/>
          <w:bCs/>
          <w:sz w:val="20"/>
          <w:szCs w:val="20"/>
        </w:rPr>
        <w:t>DOS</w:t>
      </w:r>
      <w:r w:rsidRPr="00531B12">
        <w:rPr>
          <w:rFonts w:ascii="Abadi" w:hAnsi="Abadi"/>
          <w:b/>
          <w:bCs/>
          <w:spacing w:val="20"/>
          <w:sz w:val="20"/>
          <w:szCs w:val="20"/>
        </w:rPr>
        <w:t xml:space="preserve"> </w:t>
      </w:r>
      <w:r w:rsidRPr="00531B12">
        <w:rPr>
          <w:rFonts w:ascii="Abadi" w:hAnsi="Abadi"/>
          <w:b/>
          <w:bCs/>
          <w:sz w:val="20"/>
          <w:szCs w:val="20"/>
        </w:rPr>
        <w:t>AUDITORÍAS,</w:t>
      </w:r>
      <w:r w:rsidRPr="00531B12">
        <w:rPr>
          <w:rFonts w:ascii="Abadi" w:hAnsi="Abadi"/>
          <w:b/>
          <w:bCs/>
          <w:spacing w:val="20"/>
          <w:sz w:val="20"/>
          <w:szCs w:val="20"/>
        </w:rPr>
        <w:t xml:space="preserve"> </w:t>
      </w:r>
      <w:r w:rsidRPr="00531B12">
        <w:rPr>
          <w:rFonts w:ascii="Abadi" w:hAnsi="Abadi"/>
          <w:b/>
          <w:bCs/>
          <w:sz w:val="20"/>
          <w:szCs w:val="20"/>
        </w:rPr>
        <w:t>LA</w:t>
      </w:r>
      <w:r w:rsidRPr="00531B12">
        <w:rPr>
          <w:rFonts w:ascii="Abadi" w:hAnsi="Abadi"/>
          <w:b/>
          <w:bCs/>
          <w:spacing w:val="20"/>
          <w:sz w:val="20"/>
          <w:szCs w:val="20"/>
        </w:rPr>
        <w:t xml:space="preserve"> </w:t>
      </w:r>
      <w:r w:rsidRPr="00531B12">
        <w:rPr>
          <w:rFonts w:ascii="Abadi" w:hAnsi="Abadi"/>
          <w:b/>
          <w:bCs/>
          <w:sz w:val="20"/>
          <w:szCs w:val="20"/>
        </w:rPr>
        <w:t>PRIMERA,</w:t>
      </w:r>
      <w:r w:rsidRPr="00531B12">
        <w:rPr>
          <w:rFonts w:ascii="Abadi" w:hAnsi="Abadi"/>
          <w:b/>
          <w:bCs/>
          <w:spacing w:val="20"/>
          <w:sz w:val="20"/>
          <w:szCs w:val="20"/>
        </w:rPr>
        <w:t xml:space="preserve"> </w:t>
      </w:r>
      <w:r w:rsidRPr="00531B12">
        <w:rPr>
          <w:rFonts w:ascii="Abadi" w:hAnsi="Abadi"/>
          <w:b/>
          <w:bCs/>
          <w:sz w:val="20"/>
          <w:szCs w:val="20"/>
        </w:rPr>
        <w:t>A</w:t>
      </w:r>
      <w:r w:rsidRPr="00531B12">
        <w:rPr>
          <w:rFonts w:ascii="Abadi" w:hAnsi="Abadi"/>
          <w:b/>
          <w:bCs/>
          <w:spacing w:val="20"/>
          <w:sz w:val="20"/>
          <w:szCs w:val="20"/>
        </w:rPr>
        <w:t xml:space="preserve"> </w:t>
      </w:r>
      <w:r w:rsidRPr="00531B12">
        <w:rPr>
          <w:rFonts w:ascii="Abadi" w:hAnsi="Abadi"/>
          <w:b/>
          <w:bCs/>
          <w:sz w:val="20"/>
          <w:szCs w:val="20"/>
        </w:rPr>
        <w:t>FIN</w:t>
      </w:r>
      <w:r w:rsidRPr="00531B12">
        <w:rPr>
          <w:rFonts w:ascii="Abadi" w:hAnsi="Abadi"/>
          <w:b/>
          <w:bCs/>
          <w:spacing w:val="20"/>
          <w:sz w:val="20"/>
          <w:szCs w:val="20"/>
        </w:rPr>
        <w:t xml:space="preserve"> </w:t>
      </w:r>
      <w:r w:rsidRPr="00531B12">
        <w:rPr>
          <w:rFonts w:ascii="Abadi" w:hAnsi="Abadi"/>
          <w:b/>
          <w:bCs/>
          <w:sz w:val="20"/>
          <w:szCs w:val="20"/>
        </w:rPr>
        <w:t>DE</w:t>
      </w:r>
      <w:r w:rsidRPr="00531B12">
        <w:rPr>
          <w:rFonts w:ascii="Abadi" w:hAnsi="Abadi"/>
          <w:b/>
          <w:bCs/>
          <w:spacing w:val="20"/>
          <w:sz w:val="20"/>
          <w:szCs w:val="20"/>
        </w:rPr>
        <w:t xml:space="preserve"> </w:t>
      </w:r>
      <w:r w:rsidRPr="00531B12">
        <w:rPr>
          <w:rFonts w:ascii="Abadi" w:hAnsi="Abadi"/>
          <w:b/>
          <w:bCs/>
          <w:sz w:val="20"/>
          <w:szCs w:val="20"/>
        </w:rPr>
        <w:t>REVISAR</w:t>
      </w:r>
      <w:r w:rsidRPr="00531B12">
        <w:rPr>
          <w:rFonts w:ascii="Abadi" w:hAnsi="Abadi"/>
          <w:b/>
          <w:bCs/>
          <w:spacing w:val="20"/>
          <w:sz w:val="20"/>
          <w:szCs w:val="20"/>
        </w:rPr>
        <w:t xml:space="preserve"> </w:t>
      </w:r>
      <w:r w:rsidRPr="00531B12">
        <w:rPr>
          <w:rFonts w:ascii="Abadi" w:hAnsi="Abadi"/>
          <w:b/>
          <w:bCs/>
          <w:sz w:val="20"/>
          <w:szCs w:val="20"/>
        </w:rPr>
        <w:t>EL</w:t>
      </w:r>
      <w:r w:rsidRPr="00531B12">
        <w:rPr>
          <w:rFonts w:ascii="Abadi" w:hAnsi="Abadi"/>
          <w:b/>
          <w:bCs/>
          <w:spacing w:val="-2"/>
          <w:sz w:val="20"/>
          <w:szCs w:val="20"/>
        </w:rPr>
        <w:t xml:space="preserve"> </w:t>
      </w:r>
      <w:r w:rsidRPr="00531B12">
        <w:rPr>
          <w:rFonts w:ascii="Abadi" w:hAnsi="Abadi"/>
          <w:b/>
          <w:bCs/>
          <w:sz w:val="20"/>
          <w:szCs w:val="20"/>
        </w:rPr>
        <w:t>EJERCICIO</w:t>
      </w:r>
      <w:r w:rsidRPr="00531B12">
        <w:rPr>
          <w:rFonts w:ascii="Abadi" w:hAnsi="Abadi"/>
          <w:b/>
          <w:bCs/>
          <w:spacing w:val="9"/>
          <w:sz w:val="20"/>
          <w:szCs w:val="20"/>
        </w:rPr>
        <w:t xml:space="preserve"> </w:t>
      </w:r>
      <w:r w:rsidRPr="00531B12">
        <w:rPr>
          <w:rFonts w:ascii="Abadi" w:hAnsi="Abadi"/>
          <w:b/>
          <w:bCs/>
          <w:sz w:val="20"/>
          <w:szCs w:val="20"/>
        </w:rPr>
        <w:t>DE</w:t>
      </w:r>
      <w:r w:rsidRPr="00531B12">
        <w:rPr>
          <w:rFonts w:ascii="Abadi" w:hAnsi="Abadi"/>
          <w:b/>
          <w:bCs/>
          <w:spacing w:val="9"/>
          <w:sz w:val="20"/>
          <w:szCs w:val="20"/>
        </w:rPr>
        <w:t xml:space="preserve"> </w:t>
      </w:r>
      <w:r w:rsidRPr="00531B12">
        <w:rPr>
          <w:rFonts w:ascii="Abadi" w:hAnsi="Abadi"/>
          <w:b/>
          <w:bCs/>
          <w:sz w:val="20"/>
          <w:szCs w:val="20"/>
        </w:rPr>
        <w:t>RECURSOS</w:t>
      </w:r>
      <w:r w:rsidRPr="00531B12">
        <w:rPr>
          <w:rFonts w:ascii="Abadi" w:hAnsi="Abadi"/>
          <w:b/>
          <w:bCs/>
          <w:spacing w:val="9"/>
          <w:sz w:val="20"/>
          <w:szCs w:val="20"/>
        </w:rPr>
        <w:t xml:space="preserve"> </w:t>
      </w:r>
      <w:r w:rsidRPr="00531B12">
        <w:rPr>
          <w:rFonts w:ascii="Abadi" w:hAnsi="Abadi"/>
          <w:b/>
          <w:bCs/>
          <w:sz w:val="20"/>
          <w:szCs w:val="20"/>
        </w:rPr>
        <w:t>PÚBLICOS</w:t>
      </w:r>
      <w:r w:rsidRPr="00531B12">
        <w:rPr>
          <w:rFonts w:ascii="Abadi" w:hAnsi="Abadi"/>
          <w:b/>
          <w:bCs/>
          <w:spacing w:val="9"/>
          <w:sz w:val="20"/>
          <w:szCs w:val="20"/>
        </w:rPr>
        <w:t xml:space="preserve"> </w:t>
      </w:r>
      <w:r w:rsidRPr="00531B12">
        <w:rPr>
          <w:rFonts w:ascii="Abadi" w:hAnsi="Abadi"/>
          <w:b/>
          <w:bCs/>
          <w:sz w:val="20"/>
          <w:szCs w:val="20"/>
        </w:rPr>
        <w:t>DESTINADOS</w:t>
      </w:r>
      <w:r w:rsidRPr="00531B12">
        <w:rPr>
          <w:rFonts w:ascii="Abadi" w:hAnsi="Abadi"/>
          <w:b/>
          <w:bCs/>
          <w:spacing w:val="9"/>
          <w:sz w:val="20"/>
          <w:szCs w:val="20"/>
        </w:rPr>
        <w:t xml:space="preserve"> </w:t>
      </w:r>
      <w:r w:rsidRPr="00531B12">
        <w:rPr>
          <w:rFonts w:ascii="Abadi" w:hAnsi="Abadi"/>
          <w:b/>
          <w:bCs/>
          <w:sz w:val="20"/>
          <w:szCs w:val="20"/>
        </w:rPr>
        <w:t>HASTA</w:t>
      </w:r>
      <w:r w:rsidRPr="00531B12">
        <w:rPr>
          <w:rFonts w:ascii="Abadi" w:hAnsi="Abadi"/>
          <w:b/>
          <w:bCs/>
          <w:spacing w:val="9"/>
          <w:sz w:val="20"/>
          <w:szCs w:val="20"/>
        </w:rPr>
        <w:t xml:space="preserve"> </w:t>
      </w:r>
      <w:r w:rsidRPr="00531B12">
        <w:rPr>
          <w:rFonts w:ascii="Abadi" w:hAnsi="Abadi"/>
          <w:b/>
          <w:bCs/>
          <w:sz w:val="20"/>
          <w:szCs w:val="20"/>
        </w:rPr>
        <w:t>EL</w:t>
      </w:r>
      <w:r w:rsidRPr="00531B12">
        <w:rPr>
          <w:rFonts w:ascii="Abadi" w:hAnsi="Abadi"/>
          <w:b/>
          <w:bCs/>
          <w:spacing w:val="9"/>
          <w:sz w:val="20"/>
          <w:szCs w:val="20"/>
        </w:rPr>
        <w:t xml:space="preserve"> </w:t>
      </w:r>
      <w:r w:rsidRPr="00531B12">
        <w:rPr>
          <w:rFonts w:ascii="Abadi" w:hAnsi="Abadi"/>
          <w:b/>
          <w:bCs/>
          <w:sz w:val="20"/>
          <w:szCs w:val="20"/>
        </w:rPr>
        <w:t>MOMENTO</w:t>
      </w:r>
      <w:r w:rsidRPr="00531B12">
        <w:rPr>
          <w:rFonts w:ascii="Abadi" w:hAnsi="Abadi"/>
          <w:b/>
          <w:bCs/>
          <w:spacing w:val="9"/>
          <w:sz w:val="20"/>
          <w:szCs w:val="20"/>
        </w:rPr>
        <w:t xml:space="preserve"> </w:t>
      </w:r>
      <w:r w:rsidRPr="00531B12">
        <w:rPr>
          <w:rFonts w:ascii="Abadi" w:hAnsi="Abadi"/>
          <w:b/>
          <w:bCs/>
          <w:sz w:val="20"/>
          <w:szCs w:val="20"/>
        </w:rPr>
        <w:t>A</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9"/>
          <w:sz w:val="20"/>
          <w:szCs w:val="20"/>
        </w:rPr>
        <w:t xml:space="preserve"> </w:t>
      </w:r>
      <w:r w:rsidRPr="00531B12">
        <w:rPr>
          <w:rFonts w:ascii="Abadi" w:hAnsi="Abadi"/>
          <w:b/>
          <w:bCs/>
          <w:sz w:val="20"/>
          <w:szCs w:val="20"/>
        </w:rPr>
        <w:t>ACADEMIA</w:t>
      </w:r>
      <w:r w:rsidRPr="00531B12">
        <w:rPr>
          <w:rFonts w:ascii="Abadi" w:hAnsi="Abadi"/>
          <w:b/>
          <w:bCs/>
          <w:spacing w:val="-2"/>
          <w:sz w:val="20"/>
          <w:szCs w:val="20"/>
        </w:rPr>
        <w:t xml:space="preserve"> </w:t>
      </w:r>
      <w:r w:rsidRPr="00531B12">
        <w:rPr>
          <w:rFonts w:ascii="Abadi" w:hAnsi="Abadi"/>
          <w:b/>
          <w:bCs/>
          <w:sz w:val="20"/>
          <w:szCs w:val="20"/>
        </w:rPr>
        <w:t>DEL INSTITUTO DE FORMACIÓN EN SEGURIDAD PÚBLICA DEL ESTADO, LLEVADA A CABO</w:t>
      </w:r>
      <w:r w:rsidRPr="00531B12">
        <w:rPr>
          <w:rFonts w:ascii="Abadi" w:hAnsi="Abadi"/>
          <w:b/>
          <w:bCs/>
          <w:spacing w:val="-2"/>
          <w:sz w:val="20"/>
          <w:szCs w:val="20"/>
        </w:rPr>
        <w:t xml:space="preserve"> </w:t>
      </w:r>
      <w:r w:rsidRPr="00531B12">
        <w:rPr>
          <w:rFonts w:ascii="Abadi" w:hAnsi="Abadi"/>
          <w:b/>
          <w:bCs/>
          <w:sz w:val="20"/>
          <w:szCs w:val="20"/>
        </w:rPr>
        <w:t>POR</w:t>
      </w:r>
      <w:r w:rsidRPr="00531B12">
        <w:rPr>
          <w:rFonts w:ascii="Abadi" w:hAnsi="Abadi"/>
          <w:b/>
          <w:bCs/>
          <w:spacing w:val="16"/>
          <w:sz w:val="20"/>
          <w:szCs w:val="20"/>
        </w:rPr>
        <w:t xml:space="preserve"> </w:t>
      </w:r>
      <w:r w:rsidRPr="00531B12">
        <w:rPr>
          <w:rFonts w:ascii="Abadi" w:hAnsi="Abadi"/>
          <w:b/>
          <w:bCs/>
          <w:sz w:val="20"/>
          <w:szCs w:val="20"/>
        </w:rPr>
        <w:t>EL</w:t>
      </w:r>
      <w:r w:rsidRPr="00531B12">
        <w:rPr>
          <w:rFonts w:ascii="Abadi" w:hAnsi="Abadi"/>
          <w:b/>
          <w:bCs/>
          <w:spacing w:val="16"/>
          <w:sz w:val="20"/>
          <w:szCs w:val="20"/>
        </w:rPr>
        <w:t xml:space="preserve"> </w:t>
      </w:r>
      <w:r w:rsidRPr="00531B12">
        <w:rPr>
          <w:rFonts w:ascii="Abadi" w:hAnsi="Abadi"/>
          <w:b/>
          <w:bCs/>
          <w:sz w:val="20"/>
          <w:szCs w:val="20"/>
        </w:rPr>
        <w:t>PODER</w:t>
      </w:r>
      <w:r w:rsidRPr="00531B12">
        <w:rPr>
          <w:rFonts w:ascii="Abadi" w:hAnsi="Abadi"/>
          <w:b/>
          <w:bCs/>
          <w:spacing w:val="16"/>
          <w:sz w:val="20"/>
          <w:szCs w:val="20"/>
        </w:rPr>
        <w:t xml:space="preserve"> </w:t>
      </w:r>
      <w:r w:rsidRPr="00531B12">
        <w:rPr>
          <w:rFonts w:ascii="Abadi" w:hAnsi="Abadi"/>
          <w:b/>
          <w:bCs/>
          <w:sz w:val="20"/>
          <w:szCs w:val="20"/>
        </w:rPr>
        <w:t>EJECUTIVO</w:t>
      </w:r>
      <w:r w:rsidRPr="00531B12">
        <w:rPr>
          <w:rFonts w:ascii="Abadi" w:hAnsi="Abadi"/>
          <w:b/>
          <w:bCs/>
          <w:spacing w:val="16"/>
          <w:sz w:val="20"/>
          <w:szCs w:val="20"/>
        </w:rPr>
        <w:t xml:space="preserve"> </w:t>
      </w:r>
      <w:r w:rsidRPr="00531B12">
        <w:rPr>
          <w:rFonts w:ascii="Abadi" w:hAnsi="Abadi"/>
          <w:b/>
          <w:bCs/>
          <w:sz w:val="20"/>
          <w:szCs w:val="20"/>
        </w:rPr>
        <w:t>DEL</w:t>
      </w:r>
      <w:r w:rsidRPr="00531B12">
        <w:rPr>
          <w:rFonts w:ascii="Abadi" w:hAnsi="Abadi"/>
          <w:b/>
          <w:bCs/>
          <w:spacing w:val="16"/>
          <w:sz w:val="20"/>
          <w:szCs w:val="20"/>
        </w:rPr>
        <w:t xml:space="preserve"> </w:t>
      </w:r>
      <w:r w:rsidRPr="00531B12">
        <w:rPr>
          <w:rFonts w:ascii="Abadi" w:hAnsi="Abadi"/>
          <w:b/>
          <w:bCs/>
          <w:sz w:val="20"/>
          <w:szCs w:val="20"/>
        </w:rPr>
        <w:t>ESTADO</w:t>
      </w:r>
      <w:r w:rsidRPr="00531B12">
        <w:rPr>
          <w:rFonts w:ascii="Abadi" w:hAnsi="Abadi"/>
          <w:b/>
          <w:bCs/>
          <w:spacing w:val="16"/>
          <w:sz w:val="20"/>
          <w:szCs w:val="20"/>
        </w:rPr>
        <w:t xml:space="preserve"> </w:t>
      </w:r>
      <w:r w:rsidRPr="00531B12">
        <w:rPr>
          <w:rFonts w:ascii="Abadi" w:hAnsi="Abadi"/>
          <w:b/>
          <w:bCs/>
          <w:sz w:val="20"/>
          <w:szCs w:val="20"/>
        </w:rPr>
        <w:t>DE</w:t>
      </w:r>
      <w:r w:rsidRPr="00531B12">
        <w:rPr>
          <w:rFonts w:ascii="Abadi" w:hAnsi="Abadi"/>
          <w:b/>
          <w:bCs/>
          <w:spacing w:val="16"/>
          <w:sz w:val="20"/>
          <w:szCs w:val="20"/>
        </w:rPr>
        <w:t xml:space="preserve"> </w:t>
      </w:r>
      <w:r w:rsidRPr="00531B12">
        <w:rPr>
          <w:rFonts w:ascii="Abadi" w:hAnsi="Abadi"/>
          <w:b/>
          <w:bCs/>
          <w:sz w:val="20"/>
          <w:szCs w:val="20"/>
        </w:rPr>
        <w:t>GUANAJUATO</w:t>
      </w:r>
      <w:r w:rsidRPr="00531B12">
        <w:rPr>
          <w:rFonts w:ascii="Abadi" w:hAnsi="Abadi"/>
          <w:b/>
          <w:bCs/>
          <w:spacing w:val="16"/>
          <w:sz w:val="20"/>
          <w:szCs w:val="20"/>
        </w:rPr>
        <w:t xml:space="preserve"> </w:t>
      </w:r>
      <w:r w:rsidRPr="00531B12">
        <w:rPr>
          <w:rFonts w:ascii="Abadi" w:hAnsi="Abadi"/>
          <w:b/>
          <w:bCs/>
          <w:sz w:val="20"/>
          <w:szCs w:val="20"/>
        </w:rPr>
        <w:t>EN</w:t>
      </w:r>
      <w:r w:rsidRPr="00531B12">
        <w:rPr>
          <w:rFonts w:ascii="Abadi" w:hAnsi="Abadi"/>
          <w:b/>
          <w:bCs/>
          <w:spacing w:val="16"/>
          <w:sz w:val="20"/>
          <w:szCs w:val="20"/>
        </w:rPr>
        <w:t xml:space="preserve"> </w:t>
      </w:r>
      <w:r w:rsidRPr="00531B12">
        <w:rPr>
          <w:rFonts w:ascii="Abadi" w:hAnsi="Abadi"/>
          <w:b/>
          <w:bCs/>
          <w:sz w:val="20"/>
          <w:szCs w:val="20"/>
        </w:rPr>
        <w:t>LOS</w:t>
      </w:r>
      <w:r w:rsidRPr="00531B12">
        <w:rPr>
          <w:rFonts w:ascii="Abadi" w:hAnsi="Abadi"/>
          <w:b/>
          <w:bCs/>
          <w:spacing w:val="16"/>
          <w:sz w:val="20"/>
          <w:szCs w:val="20"/>
        </w:rPr>
        <w:t xml:space="preserve"> </w:t>
      </w:r>
      <w:r w:rsidRPr="00531B12">
        <w:rPr>
          <w:rFonts w:ascii="Abadi" w:hAnsi="Abadi"/>
          <w:b/>
          <w:bCs/>
          <w:sz w:val="20"/>
          <w:szCs w:val="20"/>
        </w:rPr>
        <w:t>EJERCICIOS</w:t>
      </w:r>
      <w:r w:rsidRPr="00531B12">
        <w:rPr>
          <w:rFonts w:ascii="Abadi" w:hAnsi="Abadi"/>
          <w:b/>
          <w:bCs/>
          <w:spacing w:val="16"/>
          <w:sz w:val="20"/>
          <w:szCs w:val="20"/>
        </w:rPr>
        <w:t xml:space="preserve"> </w:t>
      </w:r>
      <w:r w:rsidRPr="00531B12">
        <w:rPr>
          <w:rFonts w:ascii="Abadi" w:hAnsi="Abadi"/>
          <w:b/>
          <w:bCs/>
          <w:sz w:val="20"/>
          <w:szCs w:val="20"/>
        </w:rPr>
        <w:t>FISCALES</w:t>
      </w:r>
      <w:r w:rsidRPr="00531B12">
        <w:rPr>
          <w:rFonts w:ascii="Abadi" w:hAnsi="Abadi"/>
          <w:b/>
          <w:bCs/>
          <w:spacing w:val="-2"/>
          <w:sz w:val="20"/>
          <w:szCs w:val="20"/>
        </w:rPr>
        <w:t xml:space="preserve"> </w:t>
      </w:r>
      <w:r w:rsidRPr="00531B12">
        <w:rPr>
          <w:rFonts w:ascii="Abadi" w:hAnsi="Abadi"/>
          <w:b/>
          <w:bCs/>
          <w:sz w:val="20"/>
          <w:szCs w:val="20"/>
        </w:rPr>
        <w:t>DE 2019 Y, EN SU CASO, SUBSIGUIENTES; Y LA SEGUNDA, A FIN DE REVISAR</w:t>
      </w:r>
      <w:r w:rsidRPr="00531B12">
        <w:rPr>
          <w:rFonts w:ascii="Abadi" w:hAnsi="Abadi"/>
          <w:b/>
          <w:bCs/>
          <w:spacing w:val="-1"/>
          <w:sz w:val="20"/>
          <w:szCs w:val="20"/>
        </w:rPr>
        <w:t xml:space="preserve"> </w:t>
      </w:r>
      <w:r w:rsidRPr="00531B12">
        <w:rPr>
          <w:rFonts w:ascii="Abadi" w:hAnsi="Abadi"/>
          <w:b/>
          <w:bCs/>
          <w:sz w:val="20"/>
          <w:szCs w:val="20"/>
        </w:rPr>
        <w:t>QUE LOS</w:t>
      </w:r>
      <w:r w:rsidRPr="00531B12">
        <w:rPr>
          <w:rFonts w:ascii="Abadi" w:hAnsi="Abadi"/>
          <w:b/>
          <w:bCs/>
          <w:spacing w:val="-2"/>
          <w:sz w:val="20"/>
          <w:szCs w:val="20"/>
        </w:rPr>
        <w:t xml:space="preserve"> </w:t>
      </w:r>
      <w:r w:rsidRPr="00531B12">
        <w:rPr>
          <w:rFonts w:ascii="Abadi" w:hAnsi="Abadi"/>
          <w:b/>
          <w:bCs/>
          <w:sz w:val="20"/>
          <w:szCs w:val="20"/>
        </w:rPr>
        <w:t>RECURSOS PÚBLICOS DERIVADOS</w:t>
      </w:r>
      <w:r w:rsidRPr="00531B12">
        <w:rPr>
          <w:rFonts w:ascii="Abadi" w:hAnsi="Abadi"/>
          <w:b/>
          <w:bCs/>
          <w:spacing w:val="2"/>
          <w:sz w:val="20"/>
          <w:szCs w:val="20"/>
        </w:rPr>
        <w:t xml:space="preserve"> </w:t>
      </w:r>
      <w:r w:rsidRPr="00531B12">
        <w:rPr>
          <w:rFonts w:ascii="Abadi" w:hAnsi="Abadi"/>
          <w:b/>
          <w:bCs/>
          <w:sz w:val="20"/>
          <w:szCs w:val="20"/>
        </w:rPr>
        <w:t>DEL FINANCIAMIENTO</w:t>
      </w:r>
      <w:r w:rsidRPr="00531B12">
        <w:rPr>
          <w:rFonts w:ascii="Abadi" w:hAnsi="Abadi"/>
          <w:b/>
          <w:bCs/>
          <w:spacing w:val="2"/>
          <w:sz w:val="20"/>
          <w:szCs w:val="20"/>
        </w:rPr>
        <w:t xml:space="preserve"> </w:t>
      </w:r>
      <w:r w:rsidRPr="00531B12">
        <w:rPr>
          <w:rFonts w:ascii="Abadi" w:hAnsi="Abadi"/>
          <w:b/>
          <w:bCs/>
          <w:sz w:val="20"/>
          <w:szCs w:val="20"/>
        </w:rPr>
        <w:t>AVALADO POR</w:t>
      </w:r>
      <w:r w:rsidRPr="00531B12">
        <w:rPr>
          <w:rFonts w:ascii="Abadi" w:hAnsi="Abadi"/>
          <w:b/>
          <w:bCs/>
          <w:spacing w:val="2"/>
          <w:sz w:val="20"/>
          <w:szCs w:val="20"/>
        </w:rPr>
        <w:t xml:space="preserve"> </w:t>
      </w:r>
      <w:r w:rsidRPr="00531B12">
        <w:rPr>
          <w:rFonts w:ascii="Abadi" w:hAnsi="Abadi"/>
          <w:b/>
          <w:bCs/>
          <w:sz w:val="20"/>
          <w:szCs w:val="20"/>
        </w:rPr>
        <w:t>EL CONGRESO EN</w:t>
      </w:r>
      <w:r w:rsidRPr="00531B12">
        <w:rPr>
          <w:rFonts w:ascii="Abadi" w:hAnsi="Abadi"/>
          <w:b/>
          <w:bCs/>
          <w:spacing w:val="-2"/>
          <w:sz w:val="20"/>
          <w:szCs w:val="20"/>
        </w:rPr>
        <w:t xml:space="preserve"> </w:t>
      </w:r>
      <w:r w:rsidRPr="00531B12">
        <w:rPr>
          <w:rFonts w:ascii="Abadi" w:hAnsi="Abadi"/>
          <w:b/>
          <w:bCs/>
          <w:sz w:val="20"/>
          <w:szCs w:val="20"/>
        </w:rPr>
        <w:t>SEPTIEMBRE</w:t>
      </w:r>
      <w:r w:rsidRPr="00531B12">
        <w:rPr>
          <w:rFonts w:ascii="Abadi" w:hAnsi="Abadi"/>
          <w:b/>
          <w:bCs/>
          <w:spacing w:val="40"/>
          <w:sz w:val="20"/>
          <w:szCs w:val="20"/>
        </w:rPr>
        <w:t xml:space="preserve"> </w:t>
      </w:r>
      <w:r w:rsidRPr="00531B12">
        <w:rPr>
          <w:rFonts w:ascii="Abadi" w:hAnsi="Abadi"/>
          <w:b/>
          <w:bCs/>
          <w:sz w:val="20"/>
          <w:szCs w:val="20"/>
        </w:rPr>
        <w:t>DE</w:t>
      </w:r>
      <w:r w:rsidRPr="00531B12">
        <w:rPr>
          <w:rFonts w:ascii="Abadi" w:hAnsi="Abadi"/>
          <w:b/>
          <w:bCs/>
          <w:spacing w:val="40"/>
          <w:sz w:val="20"/>
          <w:szCs w:val="20"/>
        </w:rPr>
        <w:t xml:space="preserve"> </w:t>
      </w:r>
      <w:r w:rsidRPr="00531B12">
        <w:rPr>
          <w:rFonts w:ascii="Abadi" w:hAnsi="Abadi"/>
          <w:b/>
          <w:bCs/>
          <w:sz w:val="20"/>
          <w:szCs w:val="20"/>
        </w:rPr>
        <w:t>2021,</w:t>
      </w:r>
      <w:r w:rsidRPr="00531B12">
        <w:rPr>
          <w:rFonts w:ascii="Abadi" w:hAnsi="Abadi"/>
          <w:b/>
          <w:bCs/>
          <w:spacing w:val="43"/>
          <w:sz w:val="20"/>
          <w:szCs w:val="20"/>
        </w:rPr>
        <w:t xml:space="preserve"> </w:t>
      </w:r>
      <w:r w:rsidRPr="00531B12">
        <w:rPr>
          <w:rFonts w:ascii="Abadi" w:hAnsi="Abadi"/>
          <w:b/>
          <w:bCs/>
          <w:sz w:val="20"/>
          <w:szCs w:val="20"/>
        </w:rPr>
        <w:t>SE</w:t>
      </w:r>
      <w:r w:rsidRPr="00531B12">
        <w:rPr>
          <w:rFonts w:ascii="Abadi" w:hAnsi="Abadi"/>
          <w:b/>
          <w:bCs/>
          <w:spacing w:val="40"/>
          <w:sz w:val="20"/>
          <w:szCs w:val="20"/>
        </w:rPr>
        <w:t xml:space="preserve"> </w:t>
      </w:r>
      <w:r w:rsidRPr="00531B12">
        <w:rPr>
          <w:rFonts w:ascii="Abadi" w:hAnsi="Abadi"/>
          <w:b/>
          <w:bCs/>
          <w:sz w:val="20"/>
          <w:szCs w:val="20"/>
        </w:rPr>
        <w:t>DESTINEN</w:t>
      </w:r>
      <w:r w:rsidRPr="00531B12">
        <w:rPr>
          <w:rFonts w:ascii="Abadi" w:hAnsi="Abadi"/>
          <w:b/>
          <w:bCs/>
          <w:spacing w:val="40"/>
          <w:sz w:val="20"/>
          <w:szCs w:val="20"/>
        </w:rPr>
        <w:t xml:space="preserve"> </w:t>
      </w:r>
      <w:r w:rsidRPr="00531B12">
        <w:rPr>
          <w:rFonts w:ascii="Abadi" w:hAnsi="Abadi"/>
          <w:b/>
          <w:bCs/>
          <w:sz w:val="20"/>
          <w:szCs w:val="20"/>
        </w:rPr>
        <w:t>A</w:t>
      </w:r>
      <w:r w:rsidRPr="00531B12">
        <w:rPr>
          <w:rFonts w:ascii="Abadi" w:hAnsi="Abadi"/>
          <w:b/>
          <w:bCs/>
          <w:spacing w:val="40"/>
          <w:sz w:val="20"/>
          <w:szCs w:val="20"/>
        </w:rPr>
        <w:t xml:space="preserve"> </w:t>
      </w:r>
      <w:r w:rsidRPr="00531B12">
        <w:rPr>
          <w:rFonts w:ascii="Abadi" w:hAnsi="Abadi"/>
          <w:b/>
          <w:bCs/>
          <w:sz w:val="20"/>
          <w:szCs w:val="20"/>
        </w:rPr>
        <w:t>PROYECTOS</w:t>
      </w:r>
      <w:r w:rsidRPr="00531B12">
        <w:rPr>
          <w:rFonts w:ascii="Abadi" w:hAnsi="Abadi"/>
          <w:b/>
          <w:bCs/>
          <w:spacing w:val="40"/>
          <w:sz w:val="20"/>
          <w:szCs w:val="20"/>
        </w:rPr>
        <w:t xml:space="preserve"> </w:t>
      </w:r>
      <w:r w:rsidRPr="00531B12">
        <w:rPr>
          <w:rFonts w:ascii="Abadi" w:hAnsi="Abadi"/>
          <w:b/>
          <w:bCs/>
          <w:sz w:val="20"/>
          <w:szCs w:val="20"/>
        </w:rPr>
        <w:t>PARA</w:t>
      </w:r>
      <w:r w:rsidRPr="00531B12">
        <w:rPr>
          <w:rFonts w:ascii="Abadi" w:hAnsi="Abadi"/>
          <w:b/>
          <w:bCs/>
          <w:spacing w:val="40"/>
          <w:sz w:val="20"/>
          <w:szCs w:val="20"/>
        </w:rPr>
        <w:t xml:space="preserve"> </w:t>
      </w:r>
      <w:r w:rsidRPr="00531B12">
        <w:rPr>
          <w:rFonts w:ascii="Abadi" w:hAnsi="Abadi"/>
          <w:b/>
          <w:bCs/>
          <w:sz w:val="20"/>
          <w:szCs w:val="20"/>
        </w:rPr>
        <w:t>EL</w:t>
      </w:r>
      <w:r w:rsidRPr="00531B12">
        <w:rPr>
          <w:rFonts w:ascii="Abadi" w:hAnsi="Abadi"/>
          <w:b/>
          <w:bCs/>
          <w:spacing w:val="40"/>
          <w:sz w:val="20"/>
          <w:szCs w:val="20"/>
        </w:rPr>
        <w:t xml:space="preserve"> </w:t>
      </w:r>
      <w:r w:rsidRPr="00531B12">
        <w:rPr>
          <w:rFonts w:ascii="Abadi" w:hAnsi="Abadi"/>
          <w:b/>
          <w:bCs/>
          <w:sz w:val="20"/>
          <w:szCs w:val="20"/>
        </w:rPr>
        <w:t>FORTALECIMIENTO</w:t>
      </w:r>
      <w:r w:rsidRPr="00531B12">
        <w:rPr>
          <w:rFonts w:ascii="Abadi" w:hAnsi="Abadi"/>
          <w:b/>
          <w:bCs/>
          <w:spacing w:val="40"/>
          <w:sz w:val="20"/>
          <w:szCs w:val="20"/>
        </w:rPr>
        <w:t xml:space="preserve"> </w:t>
      </w:r>
      <w:r w:rsidRPr="00531B12">
        <w:rPr>
          <w:rFonts w:ascii="Abadi" w:hAnsi="Abadi"/>
          <w:b/>
          <w:bCs/>
          <w:sz w:val="20"/>
          <w:szCs w:val="20"/>
        </w:rPr>
        <w:t>DEL</w:t>
      </w:r>
      <w:r w:rsidRPr="00531B12">
        <w:rPr>
          <w:rFonts w:ascii="Abadi" w:hAnsi="Abadi"/>
          <w:b/>
          <w:bCs/>
          <w:spacing w:val="-2"/>
          <w:sz w:val="20"/>
          <w:szCs w:val="20"/>
        </w:rPr>
        <w:t xml:space="preserve"> </w:t>
      </w:r>
      <w:r w:rsidRPr="00531B12">
        <w:rPr>
          <w:rFonts w:ascii="Abadi" w:hAnsi="Abadi"/>
          <w:b/>
          <w:bCs/>
          <w:sz w:val="20"/>
          <w:szCs w:val="20"/>
        </w:rPr>
        <w:t>SISTEMA</w:t>
      </w:r>
      <w:r w:rsidRPr="00531B12">
        <w:rPr>
          <w:rFonts w:ascii="Abadi" w:hAnsi="Abadi"/>
          <w:b/>
          <w:bCs/>
          <w:spacing w:val="58"/>
          <w:sz w:val="20"/>
          <w:szCs w:val="20"/>
        </w:rPr>
        <w:t xml:space="preserve"> </w:t>
      </w:r>
      <w:r w:rsidRPr="00531B12">
        <w:rPr>
          <w:rFonts w:ascii="Abadi" w:hAnsi="Abadi"/>
          <w:b/>
          <w:bCs/>
          <w:sz w:val="20"/>
          <w:szCs w:val="20"/>
        </w:rPr>
        <w:t>DE</w:t>
      </w:r>
      <w:r w:rsidRPr="00531B12">
        <w:rPr>
          <w:rFonts w:ascii="Abadi" w:hAnsi="Abadi"/>
          <w:b/>
          <w:bCs/>
          <w:spacing w:val="58"/>
          <w:sz w:val="20"/>
          <w:szCs w:val="20"/>
        </w:rPr>
        <w:t xml:space="preserve"> </w:t>
      </w:r>
      <w:r w:rsidRPr="00531B12">
        <w:rPr>
          <w:rFonts w:ascii="Abadi" w:hAnsi="Abadi"/>
          <w:b/>
          <w:bCs/>
          <w:sz w:val="20"/>
          <w:szCs w:val="20"/>
        </w:rPr>
        <w:t>SEGURIDAD</w:t>
      </w:r>
      <w:r w:rsidRPr="00531B12">
        <w:rPr>
          <w:rFonts w:ascii="Abadi" w:hAnsi="Abadi"/>
          <w:b/>
          <w:bCs/>
          <w:spacing w:val="58"/>
          <w:sz w:val="20"/>
          <w:szCs w:val="20"/>
        </w:rPr>
        <w:t xml:space="preserve"> </w:t>
      </w:r>
      <w:r w:rsidRPr="00531B12">
        <w:rPr>
          <w:rFonts w:ascii="Abadi" w:hAnsi="Abadi"/>
          <w:b/>
          <w:bCs/>
          <w:sz w:val="20"/>
          <w:szCs w:val="20"/>
        </w:rPr>
        <w:t>PÚBLICA,</w:t>
      </w:r>
      <w:r w:rsidRPr="00531B12">
        <w:rPr>
          <w:rFonts w:ascii="Abadi" w:hAnsi="Abadi"/>
          <w:b/>
          <w:bCs/>
          <w:spacing w:val="58"/>
          <w:sz w:val="20"/>
          <w:szCs w:val="20"/>
        </w:rPr>
        <w:t xml:space="preserve"> </w:t>
      </w:r>
      <w:r w:rsidRPr="00531B12">
        <w:rPr>
          <w:rFonts w:ascii="Abadi" w:hAnsi="Abadi"/>
          <w:b/>
          <w:bCs/>
          <w:sz w:val="20"/>
          <w:szCs w:val="20"/>
        </w:rPr>
        <w:t>PROCURACIÓN</w:t>
      </w:r>
      <w:r w:rsidRPr="00531B12">
        <w:rPr>
          <w:rFonts w:ascii="Abadi" w:hAnsi="Abadi"/>
          <w:b/>
          <w:bCs/>
          <w:spacing w:val="58"/>
          <w:sz w:val="20"/>
          <w:szCs w:val="20"/>
        </w:rPr>
        <w:t xml:space="preserve"> </w:t>
      </w:r>
      <w:r w:rsidRPr="00531B12">
        <w:rPr>
          <w:rFonts w:ascii="Abadi" w:hAnsi="Abadi"/>
          <w:b/>
          <w:bCs/>
          <w:sz w:val="20"/>
          <w:szCs w:val="20"/>
        </w:rPr>
        <w:t>DE</w:t>
      </w:r>
      <w:r w:rsidRPr="00531B12">
        <w:rPr>
          <w:rFonts w:ascii="Abadi" w:hAnsi="Abadi"/>
          <w:b/>
          <w:bCs/>
          <w:spacing w:val="58"/>
          <w:sz w:val="20"/>
          <w:szCs w:val="20"/>
        </w:rPr>
        <w:t xml:space="preserve"> </w:t>
      </w:r>
      <w:r w:rsidRPr="00531B12">
        <w:rPr>
          <w:rFonts w:ascii="Abadi" w:hAnsi="Abadi"/>
          <w:b/>
          <w:bCs/>
          <w:sz w:val="20"/>
          <w:szCs w:val="20"/>
        </w:rPr>
        <w:t>JUSTICIA</w:t>
      </w:r>
      <w:r w:rsidRPr="00531B12">
        <w:rPr>
          <w:rFonts w:ascii="Abadi" w:hAnsi="Abadi"/>
          <w:b/>
          <w:bCs/>
          <w:spacing w:val="58"/>
          <w:sz w:val="20"/>
          <w:szCs w:val="20"/>
        </w:rPr>
        <w:t xml:space="preserve"> </w:t>
      </w:r>
      <w:r w:rsidRPr="00531B12">
        <w:rPr>
          <w:rFonts w:ascii="Abadi" w:hAnsi="Abadi"/>
          <w:b/>
          <w:bCs/>
          <w:sz w:val="20"/>
          <w:szCs w:val="20"/>
        </w:rPr>
        <w:t>Y</w:t>
      </w:r>
      <w:r w:rsidRPr="00531B12">
        <w:rPr>
          <w:rFonts w:ascii="Abadi" w:hAnsi="Abadi"/>
          <w:b/>
          <w:bCs/>
          <w:spacing w:val="58"/>
          <w:sz w:val="20"/>
          <w:szCs w:val="20"/>
        </w:rPr>
        <w:t xml:space="preserve"> </w:t>
      </w:r>
      <w:r w:rsidRPr="00531B12">
        <w:rPr>
          <w:rFonts w:ascii="Abadi" w:hAnsi="Abadi"/>
          <w:b/>
          <w:bCs/>
          <w:sz w:val="20"/>
          <w:szCs w:val="20"/>
        </w:rPr>
        <w:t>CERTEZA</w:t>
      </w:r>
      <w:r w:rsidRPr="00531B12">
        <w:rPr>
          <w:rFonts w:ascii="Abadi" w:hAnsi="Abadi"/>
          <w:b/>
          <w:bCs/>
          <w:spacing w:val="58"/>
          <w:sz w:val="20"/>
          <w:szCs w:val="20"/>
        </w:rPr>
        <w:t xml:space="preserve"> </w:t>
      </w:r>
      <w:r w:rsidRPr="00531B12">
        <w:rPr>
          <w:rFonts w:ascii="Abadi" w:hAnsi="Abadi"/>
          <w:b/>
          <w:bCs/>
          <w:sz w:val="20"/>
          <w:szCs w:val="20"/>
        </w:rPr>
        <w:t>JURÍDICA</w:t>
      </w:r>
      <w:r w:rsidRPr="00531B12">
        <w:rPr>
          <w:rFonts w:ascii="Abadi" w:hAnsi="Abadi"/>
          <w:b/>
          <w:bCs/>
          <w:spacing w:val="-2"/>
          <w:sz w:val="20"/>
          <w:szCs w:val="20"/>
        </w:rPr>
        <w:t xml:space="preserve"> </w:t>
      </w:r>
      <w:r w:rsidRPr="00531B12">
        <w:rPr>
          <w:rFonts w:ascii="Abadi" w:hAnsi="Abadi"/>
          <w:b/>
          <w:bCs/>
          <w:sz w:val="20"/>
          <w:szCs w:val="20"/>
        </w:rPr>
        <w:t>LLEVADOS</w:t>
      </w:r>
      <w:r w:rsidRPr="00531B12">
        <w:rPr>
          <w:rFonts w:ascii="Abadi" w:hAnsi="Abadi"/>
          <w:b/>
          <w:bCs/>
          <w:spacing w:val="22"/>
          <w:sz w:val="20"/>
          <w:szCs w:val="20"/>
        </w:rPr>
        <w:t xml:space="preserve"> </w:t>
      </w:r>
      <w:r w:rsidRPr="00531B12">
        <w:rPr>
          <w:rFonts w:ascii="Abadi" w:hAnsi="Abadi"/>
          <w:b/>
          <w:bCs/>
          <w:sz w:val="20"/>
          <w:szCs w:val="20"/>
        </w:rPr>
        <w:t>A</w:t>
      </w:r>
      <w:r w:rsidRPr="00531B12">
        <w:rPr>
          <w:rFonts w:ascii="Abadi" w:hAnsi="Abadi"/>
          <w:b/>
          <w:bCs/>
          <w:spacing w:val="22"/>
          <w:sz w:val="20"/>
          <w:szCs w:val="20"/>
        </w:rPr>
        <w:t xml:space="preserve"> </w:t>
      </w:r>
      <w:r w:rsidRPr="00531B12">
        <w:rPr>
          <w:rFonts w:ascii="Abadi" w:hAnsi="Abadi"/>
          <w:b/>
          <w:bCs/>
          <w:sz w:val="20"/>
          <w:szCs w:val="20"/>
        </w:rPr>
        <w:t>CABO</w:t>
      </w:r>
      <w:r w:rsidRPr="00531B12">
        <w:rPr>
          <w:rFonts w:ascii="Abadi" w:hAnsi="Abadi"/>
          <w:b/>
          <w:bCs/>
          <w:spacing w:val="21"/>
          <w:sz w:val="20"/>
          <w:szCs w:val="20"/>
        </w:rPr>
        <w:t xml:space="preserve"> </w:t>
      </w:r>
      <w:r w:rsidRPr="00531B12">
        <w:rPr>
          <w:rFonts w:ascii="Abadi" w:hAnsi="Abadi"/>
          <w:b/>
          <w:bCs/>
          <w:sz w:val="20"/>
          <w:szCs w:val="20"/>
        </w:rPr>
        <w:t>POR</w:t>
      </w:r>
      <w:r w:rsidRPr="00531B12">
        <w:rPr>
          <w:rFonts w:ascii="Abadi" w:hAnsi="Abadi"/>
          <w:b/>
          <w:bCs/>
          <w:spacing w:val="21"/>
          <w:sz w:val="20"/>
          <w:szCs w:val="20"/>
        </w:rPr>
        <w:t xml:space="preserve"> </w:t>
      </w:r>
      <w:r w:rsidRPr="00531B12">
        <w:rPr>
          <w:rFonts w:ascii="Abadi" w:hAnsi="Abadi"/>
          <w:b/>
          <w:bCs/>
          <w:sz w:val="20"/>
          <w:szCs w:val="20"/>
        </w:rPr>
        <w:t>EL</w:t>
      </w:r>
      <w:r w:rsidRPr="00531B12">
        <w:rPr>
          <w:rFonts w:ascii="Abadi" w:hAnsi="Abadi"/>
          <w:b/>
          <w:bCs/>
          <w:spacing w:val="21"/>
          <w:sz w:val="20"/>
          <w:szCs w:val="20"/>
        </w:rPr>
        <w:t xml:space="preserve"> </w:t>
      </w:r>
      <w:r w:rsidRPr="00531B12">
        <w:rPr>
          <w:rFonts w:ascii="Abadi" w:hAnsi="Abadi"/>
          <w:b/>
          <w:bCs/>
          <w:sz w:val="20"/>
          <w:szCs w:val="20"/>
        </w:rPr>
        <w:t>PODER</w:t>
      </w:r>
      <w:r w:rsidRPr="00531B12">
        <w:rPr>
          <w:rFonts w:ascii="Abadi" w:hAnsi="Abadi"/>
          <w:b/>
          <w:bCs/>
          <w:spacing w:val="21"/>
          <w:sz w:val="20"/>
          <w:szCs w:val="20"/>
        </w:rPr>
        <w:t xml:space="preserve"> </w:t>
      </w:r>
      <w:r w:rsidRPr="00531B12">
        <w:rPr>
          <w:rFonts w:ascii="Abadi" w:hAnsi="Abadi"/>
          <w:b/>
          <w:bCs/>
          <w:sz w:val="20"/>
          <w:szCs w:val="20"/>
        </w:rPr>
        <w:t>EJECUTIVO</w:t>
      </w:r>
      <w:r w:rsidRPr="00531B12">
        <w:rPr>
          <w:rFonts w:ascii="Abadi" w:hAnsi="Abadi"/>
          <w:b/>
          <w:bCs/>
          <w:spacing w:val="22"/>
          <w:sz w:val="20"/>
          <w:szCs w:val="20"/>
        </w:rPr>
        <w:t xml:space="preserve"> </w:t>
      </w:r>
      <w:r w:rsidRPr="00531B12">
        <w:rPr>
          <w:rFonts w:ascii="Abadi" w:hAnsi="Abadi"/>
          <w:b/>
          <w:bCs/>
          <w:sz w:val="20"/>
          <w:szCs w:val="20"/>
        </w:rPr>
        <w:t>DEL</w:t>
      </w:r>
      <w:r w:rsidRPr="00531B12">
        <w:rPr>
          <w:rFonts w:ascii="Abadi" w:hAnsi="Abadi"/>
          <w:b/>
          <w:bCs/>
          <w:spacing w:val="21"/>
          <w:sz w:val="20"/>
          <w:szCs w:val="20"/>
        </w:rPr>
        <w:t xml:space="preserve"> </w:t>
      </w:r>
      <w:r w:rsidRPr="00531B12">
        <w:rPr>
          <w:rFonts w:ascii="Abadi" w:hAnsi="Abadi"/>
          <w:b/>
          <w:bCs/>
          <w:sz w:val="20"/>
          <w:szCs w:val="20"/>
        </w:rPr>
        <w:t>ESTADO</w:t>
      </w:r>
      <w:r w:rsidRPr="00531B12">
        <w:rPr>
          <w:rFonts w:ascii="Abadi" w:hAnsi="Abadi"/>
          <w:b/>
          <w:bCs/>
          <w:spacing w:val="22"/>
          <w:sz w:val="20"/>
          <w:szCs w:val="20"/>
        </w:rPr>
        <w:t xml:space="preserve"> </w:t>
      </w:r>
      <w:r w:rsidRPr="00531B12">
        <w:rPr>
          <w:rFonts w:ascii="Abadi" w:hAnsi="Abadi"/>
          <w:b/>
          <w:bCs/>
          <w:sz w:val="20"/>
          <w:szCs w:val="20"/>
        </w:rPr>
        <w:t>DE</w:t>
      </w:r>
      <w:r w:rsidRPr="00531B12">
        <w:rPr>
          <w:rFonts w:ascii="Abadi" w:hAnsi="Abadi"/>
          <w:b/>
          <w:bCs/>
          <w:spacing w:val="22"/>
          <w:sz w:val="20"/>
          <w:szCs w:val="20"/>
        </w:rPr>
        <w:t xml:space="preserve"> </w:t>
      </w:r>
      <w:r w:rsidRPr="00531B12">
        <w:rPr>
          <w:rFonts w:ascii="Abadi" w:hAnsi="Abadi"/>
          <w:b/>
          <w:bCs/>
          <w:sz w:val="20"/>
          <w:szCs w:val="20"/>
        </w:rPr>
        <w:t>GUANAJUATO,</w:t>
      </w:r>
      <w:r w:rsidRPr="00531B12">
        <w:rPr>
          <w:rFonts w:ascii="Abadi" w:hAnsi="Abadi"/>
          <w:b/>
          <w:bCs/>
          <w:spacing w:val="21"/>
          <w:sz w:val="20"/>
          <w:szCs w:val="20"/>
        </w:rPr>
        <w:t xml:space="preserve"> </w:t>
      </w:r>
      <w:r w:rsidRPr="00531B12">
        <w:rPr>
          <w:rFonts w:ascii="Abadi" w:hAnsi="Abadi"/>
          <w:b/>
          <w:bCs/>
          <w:sz w:val="20"/>
          <w:szCs w:val="20"/>
        </w:rPr>
        <w:t>LA</w:t>
      </w:r>
      <w:r w:rsidRPr="00531B12">
        <w:rPr>
          <w:rFonts w:ascii="Abadi" w:hAnsi="Abadi"/>
          <w:b/>
          <w:bCs/>
          <w:spacing w:val="22"/>
          <w:sz w:val="20"/>
          <w:szCs w:val="20"/>
        </w:rPr>
        <w:t xml:space="preserve"> </w:t>
      </w:r>
      <w:r w:rsidRPr="00531B12">
        <w:rPr>
          <w:rFonts w:ascii="Abadi" w:hAnsi="Abadi"/>
          <w:b/>
          <w:bCs/>
          <w:sz w:val="20"/>
          <w:szCs w:val="20"/>
        </w:rPr>
        <w:t>CUAL</w:t>
      </w:r>
      <w:r w:rsidRPr="00531B12">
        <w:rPr>
          <w:rFonts w:ascii="Abadi" w:hAnsi="Abadi"/>
          <w:b/>
          <w:bCs/>
          <w:spacing w:val="-2"/>
          <w:sz w:val="20"/>
          <w:szCs w:val="20"/>
        </w:rPr>
        <w:t xml:space="preserve"> </w:t>
      </w:r>
      <w:r w:rsidRPr="00531B12">
        <w:rPr>
          <w:rFonts w:ascii="Abadi" w:hAnsi="Abadi"/>
          <w:b/>
          <w:bCs/>
          <w:sz w:val="20"/>
          <w:szCs w:val="20"/>
        </w:rPr>
        <w:t>DEBERÁ</w:t>
      </w:r>
      <w:r w:rsidRPr="00531B12">
        <w:rPr>
          <w:rFonts w:ascii="Abadi" w:hAnsi="Abadi"/>
          <w:b/>
          <w:bCs/>
          <w:spacing w:val="18"/>
          <w:sz w:val="20"/>
          <w:szCs w:val="20"/>
        </w:rPr>
        <w:t xml:space="preserve"> </w:t>
      </w:r>
      <w:r w:rsidRPr="00531B12">
        <w:rPr>
          <w:rFonts w:ascii="Abadi" w:hAnsi="Abadi"/>
          <w:b/>
          <w:bCs/>
          <w:sz w:val="20"/>
          <w:szCs w:val="20"/>
        </w:rPr>
        <w:t>REALIZARSE</w:t>
      </w:r>
      <w:r w:rsidRPr="00531B12">
        <w:rPr>
          <w:rFonts w:ascii="Abadi" w:hAnsi="Abadi"/>
          <w:b/>
          <w:bCs/>
          <w:spacing w:val="18"/>
          <w:sz w:val="20"/>
          <w:szCs w:val="20"/>
        </w:rPr>
        <w:t xml:space="preserve"> </w:t>
      </w:r>
      <w:r w:rsidRPr="00531B12">
        <w:rPr>
          <w:rFonts w:ascii="Abadi" w:hAnsi="Abadi"/>
          <w:b/>
          <w:bCs/>
          <w:sz w:val="20"/>
          <w:szCs w:val="20"/>
        </w:rPr>
        <w:t>DE</w:t>
      </w:r>
      <w:r w:rsidRPr="00531B12">
        <w:rPr>
          <w:rFonts w:ascii="Abadi" w:hAnsi="Abadi"/>
          <w:b/>
          <w:bCs/>
          <w:spacing w:val="17"/>
          <w:sz w:val="20"/>
          <w:szCs w:val="20"/>
        </w:rPr>
        <w:t xml:space="preserve"> </w:t>
      </w:r>
      <w:r w:rsidRPr="00531B12">
        <w:rPr>
          <w:rFonts w:ascii="Abadi" w:hAnsi="Abadi"/>
          <w:b/>
          <w:bCs/>
          <w:sz w:val="20"/>
          <w:szCs w:val="20"/>
        </w:rPr>
        <w:t>MANERA</w:t>
      </w:r>
      <w:r w:rsidRPr="00531B12">
        <w:rPr>
          <w:rFonts w:ascii="Abadi" w:hAnsi="Abadi"/>
          <w:b/>
          <w:bCs/>
          <w:spacing w:val="18"/>
          <w:sz w:val="20"/>
          <w:szCs w:val="20"/>
        </w:rPr>
        <w:t xml:space="preserve"> </w:t>
      </w:r>
      <w:r w:rsidRPr="00531B12">
        <w:rPr>
          <w:rFonts w:ascii="Abadi" w:hAnsi="Abadi"/>
          <w:b/>
          <w:bCs/>
          <w:sz w:val="20"/>
          <w:szCs w:val="20"/>
        </w:rPr>
        <w:t>CONCOMITANTE</w:t>
      </w:r>
      <w:r w:rsidRPr="00531B12">
        <w:rPr>
          <w:rFonts w:ascii="Abadi" w:hAnsi="Abadi"/>
          <w:b/>
          <w:bCs/>
          <w:spacing w:val="18"/>
          <w:sz w:val="20"/>
          <w:szCs w:val="20"/>
        </w:rPr>
        <w:t xml:space="preserve"> </w:t>
      </w:r>
      <w:r w:rsidRPr="00531B12">
        <w:rPr>
          <w:rFonts w:ascii="Abadi" w:hAnsi="Abadi"/>
          <w:b/>
          <w:bCs/>
          <w:sz w:val="20"/>
          <w:szCs w:val="20"/>
        </w:rPr>
        <w:t>A</w:t>
      </w:r>
      <w:r w:rsidRPr="00531B12">
        <w:rPr>
          <w:rFonts w:ascii="Abadi" w:hAnsi="Abadi"/>
          <w:b/>
          <w:bCs/>
          <w:spacing w:val="18"/>
          <w:sz w:val="20"/>
          <w:szCs w:val="20"/>
        </w:rPr>
        <w:t xml:space="preserve"> </w:t>
      </w:r>
      <w:r w:rsidRPr="00531B12">
        <w:rPr>
          <w:rFonts w:ascii="Abadi" w:hAnsi="Abadi"/>
          <w:b/>
          <w:bCs/>
          <w:sz w:val="20"/>
          <w:szCs w:val="20"/>
        </w:rPr>
        <w:t>PARTIR</w:t>
      </w:r>
      <w:r w:rsidRPr="00531B12">
        <w:rPr>
          <w:rFonts w:ascii="Abadi" w:hAnsi="Abadi"/>
          <w:b/>
          <w:bCs/>
          <w:spacing w:val="17"/>
          <w:sz w:val="20"/>
          <w:szCs w:val="20"/>
        </w:rPr>
        <w:t xml:space="preserve"> </w:t>
      </w:r>
      <w:r w:rsidRPr="00531B12">
        <w:rPr>
          <w:rFonts w:ascii="Abadi" w:hAnsi="Abadi"/>
          <w:b/>
          <w:bCs/>
          <w:sz w:val="20"/>
          <w:szCs w:val="20"/>
        </w:rPr>
        <w:t>DE</w:t>
      </w:r>
      <w:r w:rsidRPr="00531B12">
        <w:rPr>
          <w:rFonts w:ascii="Abadi" w:hAnsi="Abadi"/>
          <w:b/>
          <w:bCs/>
          <w:spacing w:val="18"/>
          <w:sz w:val="20"/>
          <w:szCs w:val="20"/>
        </w:rPr>
        <w:t xml:space="preserve"> </w:t>
      </w:r>
      <w:r w:rsidRPr="00531B12">
        <w:rPr>
          <w:rFonts w:ascii="Abadi" w:hAnsi="Abadi"/>
          <w:b/>
          <w:bCs/>
          <w:sz w:val="20"/>
          <w:szCs w:val="20"/>
        </w:rPr>
        <w:t>LA</w:t>
      </w:r>
      <w:r w:rsidRPr="00531B12">
        <w:rPr>
          <w:rFonts w:ascii="Abadi" w:hAnsi="Abadi"/>
          <w:b/>
          <w:bCs/>
          <w:spacing w:val="18"/>
          <w:sz w:val="20"/>
          <w:szCs w:val="20"/>
        </w:rPr>
        <w:t xml:space="preserve"> </w:t>
      </w:r>
      <w:r w:rsidRPr="00531B12">
        <w:rPr>
          <w:rFonts w:ascii="Abadi" w:hAnsi="Abadi"/>
          <w:b/>
          <w:bCs/>
          <w:sz w:val="20"/>
          <w:szCs w:val="20"/>
        </w:rPr>
        <w:t>PROGRAMACIÓN</w:t>
      </w:r>
      <w:r w:rsidRPr="00531B12">
        <w:rPr>
          <w:rFonts w:ascii="Abadi" w:hAnsi="Abadi"/>
          <w:b/>
          <w:bCs/>
          <w:spacing w:val="18"/>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DICHOS</w:t>
      </w:r>
      <w:r w:rsidRPr="00531B12">
        <w:rPr>
          <w:rFonts w:ascii="Abadi" w:hAnsi="Abadi"/>
          <w:b/>
          <w:bCs/>
          <w:spacing w:val="9"/>
          <w:sz w:val="20"/>
          <w:szCs w:val="20"/>
        </w:rPr>
        <w:t xml:space="preserve"> </w:t>
      </w:r>
      <w:r w:rsidRPr="00531B12">
        <w:rPr>
          <w:rFonts w:ascii="Abadi" w:hAnsi="Abadi"/>
          <w:b/>
          <w:bCs/>
          <w:sz w:val="20"/>
          <w:szCs w:val="20"/>
        </w:rPr>
        <w:t>RECURSOS,</w:t>
      </w:r>
      <w:r w:rsidRPr="00531B12">
        <w:rPr>
          <w:rFonts w:ascii="Abadi" w:hAnsi="Abadi"/>
          <w:b/>
          <w:bCs/>
          <w:spacing w:val="8"/>
          <w:sz w:val="20"/>
          <w:szCs w:val="20"/>
        </w:rPr>
        <w:t xml:space="preserve"> </w:t>
      </w:r>
      <w:r w:rsidRPr="00531B12">
        <w:rPr>
          <w:rFonts w:ascii="Abadi" w:hAnsi="Abadi"/>
          <w:b/>
          <w:bCs/>
          <w:sz w:val="20"/>
          <w:szCs w:val="20"/>
        </w:rPr>
        <w:t>ABARCANDO</w:t>
      </w:r>
      <w:r w:rsidRPr="00531B12">
        <w:rPr>
          <w:rFonts w:ascii="Abadi" w:hAnsi="Abadi"/>
          <w:b/>
          <w:bCs/>
          <w:spacing w:val="9"/>
          <w:sz w:val="20"/>
          <w:szCs w:val="20"/>
        </w:rPr>
        <w:t xml:space="preserve"> </w:t>
      </w:r>
      <w:r w:rsidRPr="00531B12">
        <w:rPr>
          <w:rFonts w:ascii="Abadi" w:hAnsi="Abadi"/>
          <w:b/>
          <w:bCs/>
          <w:sz w:val="20"/>
          <w:szCs w:val="20"/>
        </w:rPr>
        <w:t>LOS</w:t>
      </w:r>
      <w:r w:rsidRPr="00531B12">
        <w:rPr>
          <w:rFonts w:ascii="Abadi" w:hAnsi="Abadi"/>
          <w:b/>
          <w:bCs/>
          <w:spacing w:val="9"/>
          <w:sz w:val="20"/>
          <w:szCs w:val="20"/>
        </w:rPr>
        <w:t xml:space="preserve"> </w:t>
      </w:r>
      <w:r w:rsidRPr="00531B12">
        <w:rPr>
          <w:rFonts w:ascii="Abadi" w:hAnsi="Abadi"/>
          <w:b/>
          <w:bCs/>
          <w:sz w:val="20"/>
          <w:szCs w:val="20"/>
        </w:rPr>
        <w:t>EJERCICIOS</w:t>
      </w:r>
      <w:r w:rsidRPr="00531B12">
        <w:rPr>
          <w:rFonts w:ascii="Abadi" w:hAnsi="Abadi"/>
          <w:b/>
          <w:bCs/>
          <w:spacing w:val="9"/>
          <w:sz w:val="20"/>
          <w:szCs w:val="20"/>
        </w:rPr>
        <w:t xml:space="preserve"> </w:t>
      </w:r>
      <w:r w:rsidRPr="00531B12">
        <w:rPr>
          <w:rFonts w:ascii="Abadi" w:hAnsi="Abadi"/>
          <w:b/>
          <w:bCs/>
          <w:sz w:val="20"/>
          <w:szCs w:val="20"/>
        </w:rPr>
        <w:t>FISCALES</w:t>
      </w:r>
      <w:r w:rsidRPr="00531B12">
        <w:rPr>
          <w:rFonts w:ascii="Abadi" w:hAnsi="Abadi"/>
          <w:b/>
          <w:bCs/>
          <w:spacing w:val="9"/>
          <w:sz w:val="20"/>
          <w:szCs w:val="20"/>
        </w:rPr>
        <w:t xml:space="preserve"> </w:t>
      </w:r>
      <w:r w:rsidRPr="00531B12">
        <w:rPr>
          <w:rFonts w:ascii="Abadi" w:hAnsi="Abadi"/>
          <w:b/>
          <w:bCs/>
          <w:sz w:val="20"/>
          <w:szCs w:val="20"/>
        </w:rPr>
        <w:t>NECESARIOS</w:t>
      </w:r>
      <w:r w:rsidRPr="00531B12">
        <w:rPr>
          <w:rFonts w:ascii="Abadi" w:hAnsi="Abadi"/>
          <w:b/>
          <w:bCs/>
          <w:spacing w:val="9"/>
          <w:sz w:val="20"/>
          <w:szCs w:val="20"/>
        </w:rPr>
        <w:t xml:space="preserve"> </w:t>
      </w:r>
      <w:r w:rsidRPr="00531B12">
        <w:rPr>
          <w:rFonts w:ascii="Abadi" w:hAnsi="Abadi"/>
          <w:b/>
          <w:bCs/>
          <w:sz w:val="20"/>
          <w:szCs w:val="20"/>
        </w:rPr>
        <w:t>HASTA</w:t>
      </w:r>
      <w:r w:rsidRPr="00531B12">
        <w:rPr>
          <w:rFonts w:ascii="Abadi" w:hAnsi="Abadi"/>
          <w:b/>
          <w:bCs/>
          <w:spacing w:val="9"/>
          <w:sz w:val="20"/>
          <w:szCs w:val="20"/>
        </w:rPr>
        <w:t xml:space="preserve"> </w:t>
      </w:r>
      <w:r w:rsidRPr="00531B12">
        <w:rPr>
          <w:rFonts w:ascii="Abadi" w:hAnsi="Abadi"/>
          <w:b/>
          <w:bCs/>
          <w:sz w:val="20"/>
          <w:szCs w:val="20"/>
        </w:rPr>
        <w:t>QUE</w:t>
      </w:r>
      <w:r w:rsidRPr="00531B12">
        <w:rPr>
          <w:rFonts w:ascii="Abadi" w:hAnsi="Abadi"/>
          <w:b/>
          <w:bCs/>
          <w:spacing w:val="9"/>
          <w:sz w:val="20"/>
          <w:szCs w:val="20"/>
        </w:rPr>
        <w:t xml:space="preserve"> </w:t>
      </w:r>
      <w:r w:rsidRPr="00531B12">
        <w:rPr>
          <w:rFonts w:ascii="Abadi" w:hAnsi="Abadi"/>
          <w:b/>
          <w:bCs/>
          <w:sz w:val="20"/>
          <w:szCs w:val="20"/>
        </w:rPr>
        <w:t>SE</w:t>
      </w:r>
      <w:r w:rsidRPr="00531B12">
        <w:rPr>
          <w:rFonts w:ascii="Abadi" w:hAnsi="Abadi"/>
          <w:b/>
          <w:bCs/>
          <w:spacing w:val="-2"/>
          <w:sz w:val="20"/>
          <w:szCs w:val="20"/>
        </w:rPr>
        <w:t xml:space="preserve"> </w:t>
      </w:r>
      <w:r w:rsidRPr="00531B12">
        <w:rPr>
          <w:rFonts w:ascii="Abadi" w:hAnsi="Abadi"/>
          <w:b/>
          <w:bCs/>
          <w:sz w:val="20"/>
          <w:szCs w:val="20"/>
        </w:rPr>
        <w:t>COMPLETEN</w:t>
      </w:r>
      <w:r w:rsidRPr="00531B12">
        <w:rPr>
          <w:rFonts w:ascii="Abadi" w:hAnsi="Abadi"/>
          <w:b/>
          <w:bCs/>
          <w:spacing w:val="-1"/>
          <w:sz w:val="20"/>
          <w:szCs w:val="20"/>
        </w:rPr>
        <w:t xml:space="preserve"> </w:t>
      </w:r>
      <w:r w:rsidRPr="00531B12">
        <w:rPr>
          <w:rFonts w:ascii="Abadi" w:hAnsi="Abadi"/>
          <w:b/>
          <w:bCs/>
          <w:sz w:val="20"/>
          <w:szCs w:val="20"/>
        </w:rPr>
        <w:t>LOS</w:t>
      </w:r>
      <w:r w:rsidRPr="00531B12">
        <w:rPr>
          <w:rFonts w:ascii="Abadi" w:hAnsi="Abadi"/>
          <w:b/>
          <w:bCs/>
          <w:spacing w:val="-1"/>
          <w:sz w:val="20"/>
          <w:szCs w:val="20"/>
        </w:rPr>
        <w:t xml:space="preserve"> </w:t>
      </w:r>
      <w:r w:rsidRPr="00531B12">
        <w:rPr>
          <w:rFonts w:ascii="Abadi" w:hAnsi="Abadi"/>
          <w:b/>
          <w:bCs/>
          <w:sz w:val="20"/>
          <w:szCs w:val="20"/>
        </w:rPr>
        <w:t>PROYECTOS</w:t>
      </w:r>
      <w:r w:rsidRPr="00531B12">
        <w:rPr>
          <w:rFonts w:ascii="Abadi" w:hAnsi="Abadi"/>
          <w:b/>
          <w:bCs/>
          <w:spacing w:val="-1"/>
          <w:sz w:val="20"/>
          <w:szCs w:val="20"/>
        </w:rPr>
        <w:t xml:space="preserve"> </w:t>
      </w:r>
      <w:r w:rsidRPr="00531B12">
        <w:rPr>
          <w:rFonts w:ascii="Abadi" w:hAnsi="Abadi"/>
          <w:b/>
          <w:bCs/>
          <w:sz w:val="20"/>
          <w:szCs w:val="20"/>
        </w:rPr>
        <w:t>QUE</w:t>
      </w:r>
      <w:r w:rsidRPr="00531B12">
        <w:rPr>
          <w:rFonts w:ascii="Abadi" w:hAnsi="Abadi"/>
          <w:b/>
          <w:bCs/>
          <w:spacing w:val="-1"/>
          <w:sz w:val="20"/>
          <w:szCs w:val="20"/>
        </w:rPr>
        <w:t xml:space="preserve"> </w:t>
      </w:r>
      <w:r w:rsidRPr="00531B12">
        <w:rPr>
          <w:rFonts w:ascii="Abadi" w:hAnsi="Abadi"/>
          <w:b/>
          <w:bCs/>
          <w:sz w:val="20"/>
          <w:szCs w:val="20"/>
        </w:rPr>
        <w:t>SE</w:t>
      </w:r>
      <w:r w:rsidRPr="00531B12">
        <w:rPr>
          <w:rFonts w:ascii="Abadi" w:hAnsi="Abadi"/>
          <w:b/>
          <w:bCs/>
          <w:spacing w:val="-1"/>
          <w:sz w:val="20"/>
          <w:szCs w:val="20"/>
        </w:rPr>
        <w:t xml:space="preserve"> </w:t>
      </w:r>
      <w:r w:rsidRPr="00531B12">
        <w:rPr>
          <w:rFonts w:ascii="Abadi" w:hAnsi="Abadi"/>
          <w:b/>
          <w:bCs/>
          <w:sz w:val="20"/>
          <w:szCs w:val="20"/>
        </w:rPr>
        <w:t>LLEVEN</w:t>
      </w:r>
      <w:r w:rsidRPr="00531B12">
        <w:rPr>
          <w:rFonts w:ascii="Abadi" w:hAnsi="Abadi"/>
          <w:b/>
          <w:bCs/>
          <w:spacing w:val="-1"/>
          <w:sz w:val="20"/>
          <w:szCs w:val="20"/>
        </w:rPr>
        <w:t xml:space="preserve"> </w:t>
      </w:r>
      <w:r w:rsidRPr="00531B12">
        <w:rPr>
          <w:rFonts w:ascii="Abadi" w:hAnsi="Abadi"/>
          <w:b/>
          <w:bCs/>
          <w:sz w:val="20"/>
          <w:szCs w:val="20"/>
        </w:rPr>
        <w:t>A</w:t>
      </w:r>
      <w:r w:rsidRPr="00531B12">
        <w:rPr>
          <w:rFonts w:ascii="Abadi" w:hAnsi="Abadi"/>
          <w:b/>
          <w:bCs/>
          <w:spacing w:val="-1"/>
          <w:sz w:val="20"/>
          <w:szCs w:val="20"/>
        </w:rPr>
        <w:t xml:space="preserve"> </w:t>
      </w:r>
      <w:r w:rsidRPr="00531B12">
        <w:rPr>
          <w:rFonts w:ascii="Abadi" w:hAnsi="Abadi"/>
          <w:b/>
          <w:bCs/>
          <w:sz w:val="20"/>
          <w:szCs w:val="20"/>
        </w:rPr>
        <w:t>CABO</w:t>
      </w:r>
      <w:r w:rsidRPr="00531B12">
        <w:rPr>
          <w:rFonts w:ascii="Abadi" w:hAnsi="Abadi"/>
          <w:b/>
          <w:bCs/>
          <w:spacing w:val="-1"/>
          <w:sz w:val="20"/>
          <w:szCs w:val="20"/>
        </w:rPr>
        <w:t xml:space="preserve"> </w:t>
      </w:r>
      <w:r w:rsidRPr="00531B12">
        <w:rPr>
          <w:rFonts w:ascii="Abadi" w:hAnsi="Abadi"/>
          <w:b/>
          <w:bCs/>
          <w:sz w:val="20"/>
          <w:szCs w:val="20"/>
        </w:rPr>
        <w:t>EN</w:t>
      </w:r>
      <w:r w:rsidRPr="00531B12">
        <w:rPr>
          <w:rFonts w:ascii="Abadi" w:hAnsi="Abadi"/>
          <w:b/>
          <w:bCs/>
          <w:spacing w:val="-1"/>
          <w:sz w:val="20"/>
          <w:szCs w:val="20"/>
        </w:rPr>
        <w:t xml:space="preserve"> </w:t>
      </w:r>
      <w:r w:rsidRPr="00531B12">
        <w:rPr>
          <w:rFonts w:ascii="Abadi" w:hAnsi="Abadi"/>
          <w:b/>
          <w:bCs/>
          <w:sz w:val="20"/>
          <w:szCs w:val="20"/>
        </w:rPr>
        <w:t>TAL</w:t>
      </w:r>
      <w:r w:rsidRPr="00531B12">
        <w:rPr>
          <w:rFonts w:ascii="Abadi" w:hAnsi="Abadi"/>
          <w:b/>
          <w:bCs/>
          <w:spacing w:val="-1"/>
          <w:sz w:val="20"/>
          <w:szCs w:val="20"/>
        </w:rPr>
        <w:t xml:space="preserve"> </w:t>
      </w:r>
      <w:r w:rsidRPr="00531B12">
        <w:rPr>
          <w:rFonts w:ascii="Abadi" w:hAnsi="Abadi"/>
          <w:b/>
          <w:bCs/>
          <w:sz w:val="20"/>
          <w:szCs w:val="20"/>
        </w:rPr>
        <w:t>RUBRO.</w:t>
      </w:r>
    </w:p>
    <w:p w14:paraId="07100C6E" w14:textId="554F8F39" w:rsidR="00163597" w:rsidRDefault="00163597" w:rsidP="00701227">
      <w:pPr>
        <w:tabs>
          <w:tab w:val="left" w:pos="856"/>
        </w:tabs>
        <w:kinsoku w:val="0"/>
        <w:overflowPunct w:val="0"/>
        <w:autoSpaceDE w:val="0"/>
        <w:autoSpaceDN w:val="0"/>
        <w:adjustRightInd w:val="0"/>
        <w:spacing w:before="220"/>
        <w:ind w:left="360" w:right="17"/>
        <w:jc w:val="both"/>
        <w:rPr>
          <w:rFonts w:ascii="Abadi" w:hAnsi="Abadi"/>
          <w:b/>
          <w:bCs/>
          <w:sz w:val="20"/>
          <w:szCs w:val="20"/>
        </w:rPr>
      </w:pPr>
    </w:p>
    <w:p w14:paraId="76F1432C" w14:textId="77777777" w:rsidR="00285555" w:rsidRPr="00285555" w:rsidRDefault="00285555" w:rsidP="00285555">
      <w:pPr>
        <w:rPr>
          <w:rFonts w:ascii="Abadi" w:hAnsi="Abadi" w:cs="Arial"/>
          <w:b/>
          <w:iCs/>
          <w:smallCaps/>
          <w:sz w:val="21"/>
          <w:szCs w:val="21"/>
        </w:rPr>
      </w:pPr>
      <w:r w:rsidRPr="00285555">
        <w:rPr>
          <w:rFonts w:ascii="Abadi" w:hAnsi="Abadi" w:cs="Arial"/>
          <w:b/>
          <w:iCs/>
          <w:smallCaps/>
          <w:sz w:val="21"/>
          <w:szCs w:val="21"/>
        </w:rPr>
        <w:t>C. Presidenta del Congreso del Estado</w:t>
      </w:r>
    </w:p>
    <w:p w14:paraId="20AAED8A" w14:textId="77777777" w:rsidR="00285555" w:rsidRPr="00285555" w:rsidRDefault="00285555" w:rsidP="00285555">
      <w:pPr>
        <w:jc w:val="both"/>
        <w:rPr>
          <w:rFonts w:ascii="Abadi" w:hAnsi="Abadi" w:cs="Arial"/>
          <w:b/>
          <w:iCs/>
          <w:smallCaps/>
          <w:sz w:val="21"/>
          <w:szCs w:val="21"/>
        </w:rPr>
      </w:pPr>
      <w:r w:rsidRPr="00285555">
        <w:rPr>
          <w:rFonts w:ascii="Abadi" w:hAnsi="Abadi" w:cs="Arial"/>
          <w:b/>
          <w:iCs/>
          <w:smallCaps/>
          <w:sz w:val="21"/>
          <w:szCs w:val="21"/>
        </w:rPr>
        <w:t>P r e s e n t e.</w:t>
      </w:r>
    </w:p>
    <w:p w14:paraId="58679907" w14:textId="77777777" w:rsidR="00285555" w:rsidRPr="00285555" w:rsidRDefault="00285555" w:rsidP="00285555">
      <w:pPr>
        <w:jc w:val="both"/>
        <w:rPr>
          <w:rFonts w:ascii="Abadi" w:hAnsi="Abadi" w:cs="Arial"/>
          <w:iCs/>
          <w:sz w:val="21"/>
          <w:szCs w:val="21"/>
        </w:rPr>
      </w:pPr>
    </w:p>
    <w:p w14:paraId="19668FD7" w14:textId="77777777" w:rsidR="00285555" w:rsidRPr="00285555" w:rsidRDefault="00285555" w:rsidP="00285555">
      <w:pPr>
        <w:jc w:val="both"/>
        <w:rPr>
          <w:rFonts w:ascii="Abadi" w:hAnsi="Abadi" w:cs="Arial"/>
          <w:iCs/>
          <w:sz w:val="21"/>
          <w:szCs w:val="21"/>
        </w:rPr>
      </w:pPr>
      <w:r w:rsidRPr="00285555">
        <w:rPr>
          <w:rFonts w:ascii="Abadi" w:hAnsi="Abadi" w:cs="Arial"/>
          <w:iCs/>
          <w:sz w:val="21"/>
          <w:szCs w:val="21"/>
        </w:rPr>
        <w:tab/>
        <w:t xml:space="preserve">A esta Comisión de Hacienda y Fiscalización le fue turnada para efectos de su estudio y dictamen, la propuesta de punto de acuerdo formulada por diputadas y diputados integrantes </w:t>
      </w:r>
      <w:r w:rsidRPr="00285555">
        <w:rPr>
          <w:rFonts w:ascii="Abadi" w:hAnsi="Abadi"/>
          <w:sz w:val="21"/>
          <w:szCs w:val="21"/>
          <w:lang w:val="es-ES_tradnl"/>
        </w:rPr>
        <w:t xml:space="preserve">del Grupo Parlamentario del </w:t>
      </w:r>
      <w:r w:rsidRPr="00285555">
        <w:rPr>
          <w:rFonts w:ascii="Abadi" w:hAnsi="Abadi" w:cs="Arial"/>
          <w:iCs/>
          <w:sz w:val="21"/>
          <w:szCs w:val="21"/>
        </w:rPr>
        <w:t>Partido MORENA a efecto de exhortar al Auditor Superior del Estado de Guanajuato para que realice dos auditorías, la primera, a fin de revisar el ejercicio de recursos públicos destinados hasta el momento a la academia del Instituto de Formación en Seguridad Pública del Estado, llevada a cabo por el Poder Ejecutivo del Estado de Guanajuato en los ejercicios fiscales de 2019 y, en su caso, subsiguientes; y la segunda, a fin de revisar que los recursos públicos derivados del financiamiento avalado por el Congreso en septiembre de 2021, se destinen a proyectos para el fortalecimiento del sistema de seguridad pública, procuración de justicia y certeza jurídica llevados a cabo por el Poder Ejecutivo del Estado de Guanajuato, la cual deberá realizarse de manera concomitante a partir de la programación de dichos recursos, abarcando los ejercicios fiscales necesarios hasta que se completen los proyectos que se lleven a cabo en tal rubro.</w:t>
      </w:r>
    </w:p>
    <w:p w14:paraId="0EA8ECF9" w14:textId="77777777" w:rsidR="00285555" w:rsidRPr="00285555" w:rsidRDefault="00285555" w:rsidP="00285555">
      <w:pPr>
        <w:spacing w:line="360" w:lineRule="auto"/>
        <w:jc w:val="both"/>
        <w:rPr>
          <w:rFonts w:ascii="Abadi" w:hAnsi="Abadi" w:cs="Arial"/>
          <w:iCs/>
          <w:sz w:val="21"/>
          <w:szCs w:val="21"/>
        </w:rPr>
      </w:pPr>
    </w:p>
    <w:p w14:paraId="0197B2F9" w14:textId="77777777" w:rsidR="00285555" w:rsidRPr="00285555" w:rsidRDefault="00285555" w:rsidP="00285555">
      <w:pPr>
        <w:jc w:val="both"/>
        <w:rPr>
          <w:rFonts w:ascii="Abadi" w:hAnsi="Abadi" w:cs="Arial"/>
          <w:iCs/>
          <w:sz w:val="21"/>
          <w:szCs w:val="21"/>
        </w:rPr>
      </w:pPr>
      <w:r w:rsidRPr="00285555">
        <w:rPr>
          <w:rFonts w:ascii="Abadi" w:hAnsi="Abadi" w:cs="Arial"/>
          <w:iCs/>
          <w:sz w:val="21"/>
          <w:szCs w:val="21"/>
        </w:rPr>
        <w:tab/>
        <w:t xml:space="preserve">Analizada la propuesta de referencia, con fundamento en los artículos 75, 89, fracción V, 112, fracción XV y 171 de </w:t>
      </w:r>
      <w:smartTag w:uri="urn:schemas-microsoft-com:office:smarttags" w:element="PersonName">
        <w:smartTagPr>
          <w:attr w:name="ProductID" w:val="la Ley Org￡nica"/>
        </w:smartTagPr>
        <w:r w:rsidRPr="00285555">
          <w:rPr>
            <w:rFonts w:ascii="Abadi" w:hAnsi="Abadi" w:cs="Arial"/>
            <w:iCs/>
            <w:sz w:val="21"/>
            <w:szCs w:val="21"/>
          </w:rPr>
          <w:t>la Ley Orgánica</w:t>
        </w:r>
      </w:smartTag>
      <w:r w:rsidRPr="00285555">
        <w:rPr>
          <w:rFonts w:ascii="Abadi" w:hAnsi="Abadi" w:cs="Arial"/>
          <w:iCs/>
          <w:sz w:val="21"/>
          <w:szCs w:val="21"/>
        </w:rPr>
        <w:t xml:space="preserve"> del Poder Legislativo del Estado de Guanajuato nos permitimos rendir el siguiente:</w:t>
      </w:r>
    </w:p>
    <w:p w14:paraId="33B9BBDF" w14:textId="77777777" w:rsidR="00285555" w:rsidRPr="00285555" w:rsidRDefault="00285555" w:rsidP="00285555">
      <w:pPr>
        <w:spacing w:line="360" w:lineRule="auto"/>
        <w:jc w:val="both"/>
        <w:rPr>
          <w:rFonts w:ascii="Abadi" w:hAnsi="Abadi" w:cs="Arial"/>
          <w:iCs/>
          <w:sz w:val="21"/>
          <w:szCs w:val="21"/>
        </w:rPr>
      </w:pPr>
    </w:p>
    <w:p w14:paraId="77692371" w14:textId="77777777" w:rsidR="00285555" w:rsidRPr="00285555" w:rsidRDefault="00285555" w:rsidP="00285555">
      <w:pPr>
        <w:keepNext/>
        <w:spacing w:line="360" w:lineRule="auto"/>
        <w:jc w:val="center"/>
        <w:outlineLvl w:val="0"/>
        <w:rPr>
          <w:rFonts w:ascii="Abadi" w:hAnsi="Abadi" w:cs="Arial"/>
          <w:b/>
          <w:iCs/>
          <w:sz w:val="21"/>
          <w:szCs w:val="21"/>
        </w:rPr>
      </w:pPr>
      <w:r w:rsidRPr="00285555">
        <w:rPr>
          <w:rFonts w:ascii="Abadi" w:hAnsi="Abadi" w:cs="Arial"/>
          <w:b/>
          <w:iCs/>
          <w:sz w:val="21"/>
          <w:szCs w:val="21"/>
        </w:rPr>
        <w:t xml:space="preserve">D i c t a m e n </w:t>
      </w:r>
    </w:p>
    <w:p w14:paraId="17818BB2" w14:textId="77777777" w:rsidR="00285555" w:rsidRPr="00285555" w:rsidRDefault="00285555" w:rsidP="00285555">
      <w:pPr>
        <w:numPr>
          <w:ilvl w:val="0"/>
          <w:numId w:val="36"/>
        </w:numPr>
        <w:jc w:val="both"/>
        <w:rPr>
          <w:rFonts w:ascii="Abadi" w:hAnsi="Abadi" w:cs="Arial"/>
          <w:b/>
          <w:bCs/>
          <w:sz w:val="21"/>
          <w:szCs w:val="21"/>
        </w:rPr>
      </w:pPr>
      <w:r w:rsidRPr="00285555">
        <w:rPr>
          <w:rFonts w:ascii="Abadi" w:hAnsi="Abadi" w:cs="Arial"/>
          <w:b/>
          <w:bCs/>
          <w:sz w:val="21"/>
          <w:szCs w:val="21"/>
        </w:rPr>
        <w:t>Antecedentes</w:t>
      </w:r>
    </w:p>
    <w:p w14:paraId="5FD8DB3E" w14:textId="77777777" w:rsidR="00285555" w:rsidRPr="00285555" w:rsidRDefault="00285555" w:rsidP="00285555">
      <w:pPr>
        <w:jc w:val="both"/>
        <w:rPr>
          <w:rFonts w:ascii="Abadi" w:hAnsi="Abadi" w:cs="Arial"/>
          <w:iCs/>
          <w:sz w:val="21"/>
          <w:szCs w:val="21"/>
        </w:rPr>
      </w:pPr>
    </w:p>
    <w:p w14:paraId="1D5FC07A" w14:textId="77777777" w:rsidR="00285555" w:rsidRPr="00285555" w:rsidRDefault="00285555" w:rsidP="00285555">
      <w:pPr>
        <w:jc w:val="both"/>
        <w:rPr>
          <w:rFonts w:ascii="Abadi" w:hAnsi="Abadi" w:cs="Arial"/>
          <w:iCs/>
          <w:sz w:val="21"/>
          <w:szCs w:val="21"/>
        </w:rPr>
      </w:pPr>
      <w:r w:rsidRPr="00285555">
        <w:rPr>
          <w:rFonts w:ascii="Abadi" w:hAnsi="Abadi" w:cs="Arial"/>
          <w:iCs/>
          <w:sz w:val="21"/>
          <w:szCs w:val="21"/>
        </w:rPr>
        <w:tab/>
        <w:t xml:space="preserve">Las diputadas y los diputados integrantes del Grupo Parlamentario del Partido MORENA, en sesión ordinaria celebrada el 7 de abril de 2022 presentaron la propuesta de punto de acuerdo a efecto de exhortar al Auditor Superior del Estado de Guanajuato para que realice dos auditorías, la primera, a fin de revisar el ejercicio de recursos públicos destinados hasta el momento a la academia del Instituto de Formación en Seguridad Pública del Estado, llevada a cabo por el Poder Ejecutivo del Estado de Guanajuato en los ejercicios fiscales de 2019 y, en su caso, subsiguientes, la cual deberá incorporarse al Programa General de Fiscalización 2022 y llevar a cabo, al menos, procedimientos para la verificación de que se hayan realizado todos los conceptos de obra pagados, así como de comprobación de posibles sobreprecios; y la segunda, a fin de revisar el ejercicio de recursos públicos derivados del financiamiento avalado por el Congreso en septiembre de 2021, que se destinen a proyectos para el fortalecimiento del sistema de seguridad pública, procuración de justicia y certeza jurídica llevados a cabo por el Poder Ejecutivo del Estado de Guanajuato, la cual deberá realizarse de manera concomitante a partir de la programación de dichos recursos, abarcando los ejercicios fiscales necesarios hasta que se completen los proyectos que se lleven a cabo en tal rubro. </w:t>
      </w:r>
    </w:p>
    <w:p w14:paraId="7D67D1D2" w14:textId="77777777" w:rsidR="00285555" w:rsidRPr="00285555" w:rsidRDefault="00285555" w:rsidP="00285555">
      <w:pPr>
        <w:spacing w:line="360" w:lineRule="auto"/>
        <w:jc w:val="both"/>
        <w:rPr>
          <w:rFonts w:ascii="Abadi" w:hAnsi="Abadi" w:cs="Arial"/>
          <w:iCs/>
          <w:sz w:val="21"/>
          <w:szCs w:val="21"/>
        </w:rPr>
      </w:pPr>
    </w:p>
    <w:p w14:paraId="12E96CC3" w14:textId="77777777" w:rsidR="00285555" w:rsidRPr="00285555" w:rsidRDefault="00285555" w:rsidP="00285555">
      <w:pPr>
        <w:spacing w:line="360" w:lineRule="auto"/>
        <w:ind w:firstLine="708"/>
        <w:jc w:val="both"/>
        <w:rPr>
          <w:rFonts w:ascii="Abadi" w:hAnsi="Abadi" w:cs="Arial"/>
          <w:iCs/>
          <w:sz w:val="21"/>
          <w:szCs w:val="21"/>
        </w:rPr>
      </w:pPr>
    </w:p>
    <w:p w14:paraId="1FFE37E7" w14:textId="77777777" w:rsidR="00285555" w:rsidRPr="00285555" w:rsidRDefault="00285555" w:rsidP="00285555">
      <w:pPr>
        <w:spacing w:line="360" w:lineRule="auto"/>
        <w:ind w:firstLine="708"/>
        <w:jc w:val="both"/>
        <w:rPr>
          <w:rFonts w:ascii="Abadi" w:hAnsi="Abadi" w:cs="Arial"/>
          <w:iCs/>
          <w:sz w:val="21"/>
          <w:szCs w:val="21"/>
        </w:rPr>
      </w:pPr>
    </w:p>
    <w:p w14:paraId="76B36232" w14:textId="77777777" w:rsidR="00285555" w:rsidRPr="00285555" w:rsidRDefault="00285555" w:rsidP="00285555">
      <w:pPr>
        <w:ind w:firstLine="708"/>
        <w:jc w:val="both"/>
        <w:rPr>
          <w:rFonts w:ascii="Abadi" w:hAnsi="Abadi"/>
          <w:sz w:val="21"/>
          <w:szCs w:val="21"/>
          <w:lang w:val="es-MX"/>
        </w:rPr>
      </w:pPr>
      <w:r w:rsidRPr="00285555">
        <w:rPr>
          <w:rFonts w:ascii="Abadi" w:hAnsi="Abadi" w:cs="Arial"/>
          <w:iCs/>
          <w:sz w:val="21"/>
          <w:szCs w:val="21"/>
        </w:rPr>
        <w:t>La referida propuesta</w:t>
      </w:r>
      <w:r w:rsidRPr="00285555">
        <w:rPr>
          <w:rFonts w:ascii="Abadi" w:hAnsi="Abadi"/>
          <w:sz w:val="21"/>
          <w:szCs w:val="21"/>
          <w:lang w:val="es-MX"/>
        </w:rPr>
        <w:t xml:space="preserve"> se turnó por la presidencia a esta Comisión de Hacienda y Fiscalización para su estudio y dictamen con fundamento en la fracción XV del artículo 112 de la Ley Orgánica del Poder Legislativo del Estado de Guanajuato, misma que se radicó el 19 de abril de 2022. En dicha fecha se requirió al Auditor Superior del Estado, la elaboración de una ficha técnica respecto a dicha propuesta, misma que se expuso a esta Comisión el 14 de junio del año en curso, por dicho funcionario.</w:t>
      </w:r>
    </w:p>
    <w:p w14:paraId="5ACB0ABA" w14:textId="77777777" w:rsidR="00285555" w:rsidRPr="00285555" w:rsidRDefault="00285555" w:rsidP="00285555">
      <w:pPr>
        <w:spacing w:line="360" w:lineRule="auto"/>
        <w:ind w:firstLine="708"/>
        <w:jc w:val="both"/>
        <w:rPr>
          <w:rFonts w:ascii="Abadi" w:hAnsi="Abadi"/>
          <w:sz w:val="21"/>
          <w:szCs w:val="21"/>
          <w:lang w:val="es-MX"/>
        </w:rPr>
      </w:pPr>
    </w:p>
    <w:p w14:paraId="3A67776F" w14:textId="77777777" w:rsidR="00285555" w:rsidRPr="00285555" w:rsidRDefault="00285555" w:rsidP="00285555">
      <w:pPr>
        <w:numPr>
          <w:ilvl w:val="0"/>
          <w:numId w:val="36"/>
        </w:numPr>
        <w:jc w:val="both"/>
        <w:rPr>
          <w:rFonts w:ascii="Abadi" w:hAnsi="Abadi" w:cs="Arial"/>
          <w:b/>
          <w:bCs/>
          <w:sz w:val="21"/>
          <w:szCs w:val="21"/>
        </w:rPr>
      </w:pPr>
      <w:r w:rsidRPr="00285555">
        <w:rPr>
          <w:rFonts w:ascii="Abadi" w:hAnsi="Abadi" w:cs="Arial"/>
          <w:b/>
          <w:bCs/>
          <w:sz w:val="21"/>
          <w:szCs w:val="21"/>
        </w:rPr>
        <w:t>Consideraciones de las y los proponentes</w:t>
      </w:r>
    </w:p>
    <w:p w14:paraId="2E5DAC73" w14:textId="77777777" w:rsidR="00285555" w:rsidRPr="00285555" w:rsidRDefault="00285555" w:rsidP="00285555">
      <w:pPr>
        <w:jc w:val="both"/>
        <w:rPr>
          <w:rFonts w:ascii="Abadi" w:hAnsi="Abadi" w:cs="Arial"/>
          <w:b/>
          <w:bCs/>
          <w:sz w:val="21"/>
          <w:szCs w:val="21"/>
        </w:rPr>
      </w:pPr>
    </w:p>
    <w:p w14:paraId="5AAD8A6C" w14:textId="77777777" w:rsidR="00285555" w:rsidRPr="00285555" w:rsidRDefault="00285555" w:rsidP="00285555">
      <w:pPr>
        <w:ind w:firstLine="708"/>
        <w:jc w:val="both"/>
        <w:rPr>
          <w:rFonts w:ascii="Abadi" w:hAnsi="Abadi"/>
          <w:sz w:val="21"/>
          <w:szCs w:val="21"/>
          <w:lang w:val="es-MX"/>
        </w:rPr>
      </w:pPr>
      <w:r w:rsidRPr="00285555">
        <w:rPr>
          <w:rFonts w:ascii="Abadi" w:hAnsi="Abadi"/>
          <w:sz w:val="21"/>
          <w:szCs w:val="21"/>
          <w:lang w:val="es-MX"/>
        </w:rPr>
        <w:t>En las consideraciones expuestas en la propuesta de punto de acuerdo materia del presente dictamen se refiere lo siguiente:</w:t>
      </w:r>
    </w:p>
    <w:p w14:paraId="4EA4387C"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 xml:space="preserve">El proyecto de transformación de la vida pública que inició en 2018 tiene como uno de sus puntos medulares el desarrollo de infraestructura pública de calidad. De esta manera, se ha reconocido que la inversión pública productiva forma parte de la política social necesaria para generar una sociedad más igualitaria.  </w:t>
      </w:r>
    </w:p>
    <w:p w14:paraId="0D17D26E"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 xml:space="preserve">En este sentido, el pasado 21 de marzo, el Presidente de la República Andrés Manuel López Obrador inauguró el Aeropuerto Internacional Felipe Ángeles (AIFA), construido en tiempo récord, a la par de que continúan los trabajos para concluir obras como el Tren Maya o la Refinería de Dos Bocas.  </w:t>
      </w:r>
    </w:p>
    <w:p w14:paraId="65F07038"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 xml:space="preserve">Pese a esto, varios integrantes de partidos opositores al gobierno federal, muchos de ellos desde el ejercicio del poder público en diferentes niveles y ámbitos, han atacado sistemáticamente la generación de infraestructura pública con distintos argumentos. Sin embargo, dichos ataques tienen varias deficiencias que les imposibilita ser útiles para mejorar la vigilancia del ejercicio del poder público federal. </w:t>
      </w:r>
    </w:p>
    <w:p w14:paraId="540DFF44"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 xml:space="preserve">Una de estas deficiencias es la incongruencia con la cual se lanzan los ataques. Mientras la obra pública del proyecto de transformación federal va dando resultados tangibles, partidos como Acción Nacional buscan establecer críticas superficiales, olvidando cómo los gobiernos emanados de dicho partido tienen por costumbre gastar el presupuesto público entregando resultados pobres o francamente nulos.  </w:t>
      </w:r>
    </w:p>
    <w:p w14:paraId="3806B543"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 xml:space="preserve">Ejemplo de lo anterior es cómo en marzo de 2008, con motivo del 70 aniversario de la expropiación petrolera de Lázaro Cárdenas, el entonces presidente Felipe Calderón anunció con bombo y platillo la construcción de una nueva refinería que tendría una inversión inicial de 12 mil millones de pesos.  </w:t>
      </w:r>
    </w:p>
    <w:p w14:paraId="746491D8"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 xml:space="preserve">En aquel entonces, Calderón describió un escenario de bienestar derivado del fortalecimiento de Pemex que buscaba impulsar. Lamentablemente, todo eso se quedó en promesas incumplidas: el presidente espurio terminó su gobierno y jamás se construyó la refinería que prometió. Lo único que se edificó fue una barda perimetral que costó 500 millones de pesos, alrededor del terreno de 700 hectáreas que el estado de Hidalgo compró a campesinos para entregárselo a Pemex, mediante un endeudamiento de más de 1,500 millones de pesos pagaderos en 20 años.  </w:t>
      </w:r>
    </w:p>
    <w:p w14:paraId="513C08C0"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 xml:space="preserve">Desde aquella falsa promesa han pasado más de 14 años, sin que se haya edificado algo sustantivo más allá de una barda. Sin embargo, hasta el momento se han pagado más de 1,800 millones de pesos por los créditos contraídos en 2009 para dicha construcción. Tan sólo en el ejercicio fiscal de 2020, la Auditoría Superior de la Federación (ASF) identificó el pago de 195.4 millones de pesos erogados por el compromiso financiero que se contrató para la construcción de la refinería fantasma, y que seguiremos pagando todos los mexicanos hasta 2027. </w:t>
      </w:r>
    </w:p>
    <w:p w14:paraId="07287C34"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Por esto, en su auditoría 446-DE, la ASF emitió una recomendación</w:t>
      </w:r>
      <w:r w:rsidRPr="00285555">
        <w:rPr>
          <w:rFonts w:ascii="Abadi" w:hAnsi="Abadi" w:cs="Arial"/>
          <w:i/>
          <w:sz w:val="21"/>
          <w:szCs w:val="21"/>
          <w:vertAlign w:val="superscript"/>
        </w:rPr>
        <w:footnoteReference w:id="152"/>
      </w:r>
      <w:r w:rsidRPr="00285555">
        <w:rPr>
          <w:rFonts w:ascii="Abadi" w:hAnsi="Abadi" w:cs="Arial"/>
          <w:i/>
          <w:sz w:val="21"/>
          <w:szCs w:val="21"/>
        </w:rPr>
        <w:t xml:space="preserve"> para que Pemex desarrollara un proyecto en el predio, pues su actual inutilidad puede convertirse en una vulneración al patrimonio del Estado. En otras palabras, recomendó al gobierno de López Obrador arreglar el desastre producido por el gobierno panista de Calderón mediante deuda pública. En este sentido, en febrero pasado, el presidente López Obrador anunció la construcción de un hospital del IMSS-Bienestar que será terminado a finales de 2023. </w:t>
      </w:r>
    </w:p>
    <w:p w14:paraId="37319130"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 xml:space="preserve">Lamentablemente, aquél no fue un caso aislado, sino que se trató de una muestra del modus operandi del Partido Acción Nacional cuando se encuentra en el ejercicio del poder público.  </w:t>
      </w:r>
    </w:p>
    <w:p w14:paraId="039B9E0E"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 xml:space="preserve">En el estado de Guanajuato podemos verificar esto de forma directa. No sólo porque en 2009 el exgobernador Juan Manuel Oliva incurriera en múltiples irregularidades para comprar 900 hectáreas de terrenos en Salamanca, Villagrán y Juventino Rosas, buscando ganar el proyecto de lo que se convertiría en la refinería fantasma de Calderón, sino porque hace aproximadamente 3 años el gobierno estatal que ya encabezaba Diego Sinhue Rodríguez Vallejo, prometió construir una academia de policía en Villagrán. Dicha academia pertenecería al Instituto de Formación en Seguridad Pública del Estado (INFOSPE), y fue anunciada como parte de la política Golpe de Timón, mediante la cual Rodríguez Vallejo prometió recuperar la seguridad y paz social de nuestra entidad. </w:t>
      </w:r>
    </w:p>
    <w:p w14:paraId="040B3ABC"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Dicha academia es más que necesaria, pues como hemos denunciado</w:t>
      </w:r>
      <w:r w:rsidRPr="00285555">
        <w:rPr>
          <w:rFonts w:ascii="Abadi" w:hAnsi="Abadi" w:cs="Arial"/>
          <w:i/>
          <w:sz w:val="21"/>
          <w:szCs w:val="21"/>
          <w:vertAlign w:val="superscript"/>
        </w:rPr>
        <w:footnoteReference w:id="153"/>
      </w:r>
      <w:r w:rsidRPr="00285555">
        <w:rPr>
          <w:rFonts w:ascii="Abadi" w:hAnsi="Abadi" w:cs="Arial"/>
          <w:i/>
          <w:sz w:val="21"/>
          <w:szCs w:val="21"/>
        </w:rPr>
        <w:t xml:space="preserve"> desde el Grupo Parlamentario de Morena, nuestro estado tiene un importante déficit de policías estatales, al sólo contar con 0.67 policías estatales por cada mil habitantes</w:t>
      </w:r>
      <w:r w:rsidRPr="00285555">
        <w:rPr>
          <w:rFonts w:ascii="Abadi" w:hAnsi="Abadi" w:cs="Arial"/>
          <w:i/>
          <w:sz w:val="21"/>
          <w:szCs w:val="21"/>
          <w:vertAlign w:val="superscript"/>
        </w:rPr>
        <w:footnoteReference w:id="154"/>
      </w:r>
      <w:r w:rsidRPr="00285555">
        <w:rPr>
          <w:rFonts w:ascii="Abadi" w:hAnsi="Abadi" w:cs="Arial"/>
          <w:i/>
          <w:sz w:val="21"/>
          <w:szCs w:val="21"/>
        </w:rPr>
        <w:t xml:space="preserve">, por debajo de la media nacional de 0.96, y mucho menos de la mitad del estándar mínimo requerido de 1.8 por cada mil habitantes.  </w:t>
      </w:r>
    </w:p>
    <w:p w14:paraId="3DD8E1E3" w14:textId="77777777" w:rsidR="00285555" w:rsidRPr="00285555" w:rsidRDefault="00285555" w:rsidP="00285555">
      <w:pPr>
        <w:spacing w:before="188"/>
        <w:ind w:left="709" w:right="161"/>
        <w:jc w:val="both"/>
        <w:rPr>
          <w:rFonts w:ascii="Abadi" w:hAnsi="Abadi" w:cs="Arial"/>
          <w:i/>
          <w:sz w:val="21"/>
          <w:szCs w:val="21"/>
        </w:rPr>
      </w:pPr>
    </w:p>
    <w:p w14:paraId="445EA605" w14:textId="77777777" w:rsidR="00285555" w:rsidRPr="00285555" w:rsidRDefault="00285555" w:rsidP="00285555">
      <w:pPr>
        <w:spacing w:before="188"/>
        <w:ind w:left="709" w:right="161"/>
        <w:jc w:val="both"/>
        <w:rPr>
          <w:rFonts w:ascii="Abadi" w:hAnsi="Abadi" w:cs="Arial"/>
          <w:i/>
          <w:sz w:val="21"/>
          <w:szCs w:val="21"/>
        </w:rPr>
      </w:pPr>
    </w:p>
    <w:p w14:paraId="7E13DE83"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Por esto, el problema no radica en la construcción de la academia. Por el contrario, radica en que la promesa hecha por el Gobernador no se ha</w:t>
      </w:r>
      <w:r w:rsidRPr="00285555">
        <w:rPr>
          <w:rFonts w:ascii="Abadi" w:hAnsi="Abadi"/>
          <w:sz w:val="21"/>
          <w:szCs w:val="21"/>
        </w:rPr>
        <w:t xml:space="preserve"> </w:t>
      </w:r>
      <w:r w:rsidRPr="00285555">
        <w:rPr>
          <w:rFonts w:ascii="Abadi" w:hAnsi="Abadi" w:cs="Arial"/>
          <w:i/>
          <w:sz w:val="21"/>
          <w:szCs w:val="21"/>
        </w:rPr>
        <w:t xml:space="preserve">materializado. Pese a haber colocado la primera piedra de lo que debería ser la academia del INFOSPE en mayo de 2019, así como haber invertido 104 millones de pesos hasta el momento, lo único que hoy en día puede encontrarse en el sitio es una barda perimetral y algunos postes de luz.  </w:t>
      </w:r>
    </w:p>
    <w:p w14:paraId="5B4C397B"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 xml:space="preserve">Lo anterior sólo empeora cuando recordamos que el titular de la Secretaría de Infraestructura, Conectividad y Movilidad (SICOM) encargada del proyecto, es José Guadalupe Tarcisio Rodríguez Martínez, antiguo secretario particular de Felipe Calderón, coincidentemente responsable de la refinería fantasma. </w:t>
      </w:r>
    </w:p>
    <w:p w14:paraId="1646011F"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 xml:space="preserve">Luego de que todo lo anterior saliera a la luz, el gobierno estatal respondió rápidamente para señalar que la culpable de haber detenido el proyecto fue la pandemia de COVID-19 pues, según argumentó la Secretaria de Gobierno, se tuvo que reorientar el gasto hacia salud y reactivación económica.  </w:t>
      </w:r>
    </w:p>
    <w:p w14:paraId="16A5C926"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Pese a ello, dicha explicación no concuerda con los datos, pues lejos de que la SICOM tuviera alguna afectación presupuestal en 2020, lo cierto es que dicha dependencia incluso tuvo ampliaciones del 218%: mientras se aprobaron más de 1,036 millones de pesos, se dieron ampliaciones de más de 2,268 millones adicionales, llegando a un presupuesto modificado de 3,305 millones de pesos durante el ejercicio</w:t>
      </w:r>
      <w:r w:rsidRPr="00285555">
        <w:rPr>
          <w:rFonts w:ascii="Abadi" w:hAnsi="Abadi" w:cs="Arial"/>
          <w:i/>
          <w:sz w:val="21"/>
          <w:szCs w:val="21"/>
          <w:vertAlign w:val="superscript"/>
        </w:rPr>
        <w:footnoteReference w:id="155"/>
      </w:r>
      <w:r w:rsidRPr="00285555">
        <w:rPr>
          <w:rFonts w:ascii="Abadi" w:hAnsi="Abadi" w:cs="Arial"/>
          <w:i/>
          <w:sz w:val="21"/>
          <w:szCs w:val="21"/>
        </w:rPr>
        <w:t xml:space="preserve">. Incluso, para el final del año, dicha dependencia tuvo subejercicios de más de 1,500 millones de pesos.  </w:t>
      </w:r>
    </w:p>
    <w:p w14:paraId="712263D5"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Por su parte, para el ejercicio 2021, las ampliaciones de la SICOM llegaron al 130%, pues mientras se aprobaron 1,743 millones, durante el año se dieron ampliaciones por 2,272 millones más, para llegar a un presupuesto modificado de más de 4 mil millones de pesos</w:t>
      </w:r>
      <w:r w:rsidRPr="00285555">
        <w:rPr>
          <w:rFonts w:ascii="Abadi" w:hAnsi="Abadi" w:cs="Arial"/>
          <w:i/>
          <w:sz w:val="21"/>
          <w:szCs w:val="21"/>
          <w:vertAlign w:val="superscript"/>
        </w:rPr>
        <w:footnoteReference w:id="156"/>
      </w:r>
      <w:r w:rsidRPr="00285555">
        <w:rPr>
          <w:rFonts w:ascii="Abadi" w:hAnsi="Abadi" w:cs="Arial"/>
          <w:i/>
          <w:sz w:val="21"/>
          <w:szCs w:val="21"/>
        </w:rPr>
        <w:t>.  Por esto, la explicación brindada por el gobierno estatal levanta dudas razonables acerca del adecuado ejercicio de los recursos públicos en lo que respecta a esta obra.</w:t>
      </w:r>
    </w:p>
    <w:p w14:paraId="4F5CE8F3"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 xml:space="preserve">Adicionalmente, hace unos días el gobierno estatal fue orillado a señalar que la construcción de la academia fantasma sería retomada este 2022, aunque no detalló la fecha exacta. Lo que sí detalló, fue que se destinarán aproximadamente 300 millones de pesos adicionales a los 104 millones ya gastados, e incluso se especificó que este recurso provendría del crédito que este Congreso autorizó en septiembre de 2021 por hasta 2 mil millones de pesos. </w:t>
      </w:r>
    </w:p>
    <w:p w14:paraId="3A6194CF"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Al respecto, conviene recordar que hace algunos meses la ASF ya manifestaba</w:t>
      </w:r>
      <w:r w:rsidRPr="00285555">
        <w:rPr>
          <w:rFonts w:ascii="Abadi" w:hAnsi="Abadi" w:cs="Arial"/>
          <w:i/>
          <w:sz w:val="21"/>
          <w:szCs w:val="21"/>
          <w:vertAlign w:val="superscript"/>
        </w:rPr>
        <w:footnoteReference w:id="157"/>
      </w:r>
      <w:r w:rsidRPr="00285555">
        <w:rPr>
          <w:rFonts w:ascii="Abadi" w:hAnsi="Abadi" w:cs="Arial"/>
          <w:i/>
          <w:sz w:val="21"/>
          <w:szCs w:val="21"/>
        </w:rPr>
        <w:t xml:space="preserve"> su preocupación por el incremento exponencial de la deuda que, en menos de 1 año, alcanzó el 11.1% de crecimiento. Este tipo de incrementos, según señaló la ASF, comprometen los ingresos de que podría disponer el gobierno estatal, reportando un riesgo para sus finanzas públicas que estarán más restringidas y con mayores costos por intereses.   </w:t>
      </w:r>
    </w:p>
    <w:p w14:paraId="4C969D91" w14:textId="77777777" w:rsidR="00285555" w:rsidRPr="00285555" w:rsidRDefault="00285555" w:rsidP="00285555">
      <w:pPr>
        <w:spacing w:before="188"/>
        <w:ind w:left="709" w:right="161"/>
        <w:jc w:val="both"/>
        <w:rPr>
          <w:rFonts w:ascii="Abadi" w:hAnsi="Abadi" w:cs="Arial"/>
          <w:i/>
          <w:sz w:val="21"/>
          <w:szCs w:val="21"/>
        </w:rPr>
      </w:pPr>
    </w:p>
    <w:p w14:paraId="4927B1BF" w14:textId="77777777" w:rsidR="00285555" w:rsidRPr="00285555" w:rsidRDefault="00285555" w:rsidP="00285555">
      <w:pPr>
        <w:spacing w:before="188"/>
        <w:ind w:left="709" w:right="161"/>
        <w:jc w:val="both"/>
        <w:rPr>
          <w:rFonts w:ascii="Abadi" w:hAnsi="Abadi" w:cs="Arial"/>
          <w:i/>
          <w:sz w:val="21"/>
          <w:szCs w:val="21"/>
        </w:rPr>
      </w:pPr>
    </w:p>
    <w:p w14:paraId="12DABFB6"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 xml:space="preserve">La preocupación de la ASF incrementará, considerando que fue emitida en marzo, cuando la deuda pública era de 8,803 millones de pesos. Esto, toda vez que, al cierre del 2021, el total de la deuda ya ascendía a 10,159 millones de pesos, mientras que el costo anual en intereses llegó a 410 millones de pesos durante el propio 2021. Evidentemente, esto empeorará todavía más con el endeudamiento de hasta 2 mil millones de pesos adicionales que el gobierno estatal anunció estar próximo a contratar para terminar una academia fantasma que interrumpió con una excusa alejada de la realidad.  </w:t>
      </w:r>
    </w:p>
    <w:p w14:paraId="6CF95BFE"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 xml:space="preserve">Ahora bien, en la última autorización del financiamiento al que se refiere el gobierno estatal, se señaló que hasta 480 millones de pesos de la deuda contratada deberán ser destinados a proyectos de fortalecimiento del sistema de seguridad pública, procuración de justicia y certeza jurídica. </w:t>
      </w:r>
    </w:p>
    <w:p w14:paraId="354B05ED"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 xml:space="preserve">Todo lo anterior, indica una estrecha relación entre los gobiernos panistas, la obra pública inconclusa y la deuda pública. El lazo definitorio de dicha relación no es una novedad, de hecho, es un fenómeno bastante común en el ejercicio del poder público que se realiza desde el asidero político neoliberal: el uso y abuso de lo público para beneficio privado, independientemente de si dichos intereses privados coinciden o no con el bienestar público. </w:t>
      </w:r>
    </w:p>
    <w:p w14:paraId="1A2F293F"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 xml:space="preserve">En este sentido, tomando en cuenta que una de las principales responsabilidades que tiene el Poder Legislativo está en garantizar la transparencia y rendición de cuentas en el ejercicio de recursos públicos, las y los iniciantes consideramos urgente que se realice una auditoría en dos sentidos. </w:t>
      </w:r>
    </w:p>
    <w:p w14:paraId="1E4E08B1" w14:textId="77777777" w:rsidR="00285555" w:rsidRPr="00285555" w:rsidRDefault="00285555" w:rsidP="00285555">
      <w:pPr>
        <w:spacing w:before="188"/>
        <w:ind w:left="709" w:right="161"/>
        <w:jc w:val="both"/>
        <w:rPr>
          <w:rFonts w:ascii="Abadi" w:hAnsi="Abadi" w:cs="Arial"/>
          <w:i/>
          <w:sz w:val="21"/>
          <w:szCs w:val="21"/>
        </w:rPr>
      </w:pPr>
      <w:r w:rsidRPr="00285555">
        <w:rPr>
          <w:rFonts w:ascii="Abadi" w:hAnsi="Abadi" w:cs="Arial"/>
          <w:i/>
          <w:sz w:val="21"/>
          <w:szCs w:val="21"/>
        </w:rPr>
        <w:t>Primero, al ejercicio de recursos públicos realizado hasta el momento en la inconclusa academia del INFOSPE; y segundo, al ejercicio de recursos públicos provenientes de financiamientos que se destinen al fortalecimiento del sistema de seguridad pública, procuración de justicia y certeza jurídica.</w:t>
      </w:r>
    </w:p>
    <w:p w14:paraId="32B0279F" w14:textId="77777777" w:rsidR="00285555" w:rsidRPr="00285555" w:rsidRDefault="00285555" w:rsidP="00285555">
      <w:pPr>
        <w:spacing w:before="188"/>
        <w:ind w:left="709" w:right="161"/>
        <w:jc w:val="both"/>
        <w:rPr>
          <w:rFonts w:ascii="Abadi" w:hAnsi="Abadi" w:cs="Arial"/>
          <w:i/>
          <w:sz w:val="21"/>
          <w:szCs w:val="21"/>
        </w:rPr>
      </w:pPr>
    </w:p>
    <w:p w14:paraId="2AECD6E1" w14:textId="77777777" w:rsidR="00285555" w:rsidRPr="00285555" w:rsidRDefault="00285555" w:rsidP="00285555">
      <w:pPr>
        <w:numPr>
          <w:ilvl w:val="0"/>
          <w:numId w:val="36"/>
        </w:numPr>
        <w:jc w:val="both"/>
        <w:rPr>
          <w:rFonts w:ascii="Abadi" w:hAnsi="Abadi" w:cs="Arial"/>
          <w:b/>
          <w:bCs/>
          <w:sz w:val="21"/>
          <w:szCs w:val="21"/>
        </w:rPr>
      </w:pPr>
      <w:r w:rsidRPr="00285555">
        <w:rPr>
          <w:rFonts w:ascii="Abadi" w:hAnsi="Abadi" w:cs="Arial"/>
          <w:b/>
          <w:bCs/>
          <w:sz w:val="21"/>
          <w:szCs w:val="21"/>
        </w:rPr>
        <w:t>Consideraciones de la Comisión</w:t>
      </w:r>
    </w:p>
    <w:p w14:paraId="5AFC4097" w14:textId="77777777" w:rsidR="00285555" w:rsidRPr="00285555" w:rsidRDefault="00285555" w:rsidP="00285555">
      <w:pPr>
        <w:spacing w:line="360" w:lineRule="auto"/>
        <w:ind w:firstLine="708"/>
        <w:jc w:val="both"/>
        <w:rPr>
          <w:rFonts w:ascii="Abadi" w:hAnsi="Abadi" w:cs="Tahoma"/>
          <w:sz w:val="21"/>
          <w:szCs w:val="21"/>
        </w:rPr>
      </w:pPr>
    </w:p>
    <w:p w14:paraId="1A46CC4E" w14:textId="77777777" w:rsidR="00285555" w:rsidRPr="00285555" w:rsidRDefault="00285555" w:rsidP="00285555">
      <w:pPr>
        <w:ind w:firstLine="708"/>
        <w:jc w:val="both"/>
        <w:rPr>
          <w:rFonts w:ascii="Abadi" w:hAnsi="Abadi"/>
          <w:sz w:val="21"/>
          <w:szCs w:val="21"/>
          <w:lang w:val="es-MX"/>
        </w:rPr>
      </w:pPr>
      <w:r w:rsidRPr="00285555">
        <w:rPr>
          <w:rFonts w:ascii="Abadi" w:hAnsi="Abadi"/>
          <w:sz w:val="21"/>
          <w:szCs w:val="21"/>
          <w:lang w:val="es-MX"/>
        </w:rPr>
        <w:t>En las consideraciones expuestas en la propuesta que se dictamina se señala la necesidad de garantizar la transparencia y rendición de cuentas en el ejercicio de recursos públicos.</w:t>
      </w:r>
    </w:p>
    <w:p w14:paraId="291891F2" w14:textId="77777777" w:rsidR="00285555" w:rsidRPr="00285555" w:rsidRDefault="00285555" w:rsidP="00285555">
      <w:pPr>
        <w:ind w:firstLine="708"/>
        <w:jc w:val="both"/>
        <w:rPr>
          <w:rFonts w:ascii="Abadi" w:hAnsi="Abadi"/>
          <w:sz w:val="21"/>
          <w:szCs w:val="21"/>
          <w:lang w:val="es-MX"/>
        </w:rPr>
      </w:pPr>
    </w:p>
    <w:p w14:paraId="2ECCEECF" w14:textId="220F5671" w:rsidR="00285555" w:rsidRPr="00285555" w:rsidRDefault="00285555" w:rsidP="00EB41C0">
      <w:pPr>
        <w:ind w:firstLine="708"/>
        <w:jc w:val="both"/>
        <w:rPr>
          <w:rFonts w:ascii="Abadi" w:hAnsi="Abadi"/>
          <w:sz w:val="21"/>
          <w:szCs w:val="21"/>
          <w:lang w:val="es-MX"/>
        </w:rPr>
      </w:pPr>
      <w:r w:rsidRPr="00285555">
        <w:rPr>
          <w:rFonts w:ascii="Abadi" w:hAnsi="Abadi" w:cs="Arial"/>
          <w:iCs/>
          <w:sz w:val="21"/>
          <w:szCs w:val="21"/>
        </w:rPr>
        <w:t xml:space="preserve">En razón de lo anterior, se propone </w:t>
      </w:r>
      <w:r w:rsidRPr="00285555">
        <w:rPr>
          <w:rFonts w:ascii="Abadi" w:hAnsi="Abadi"/>
          <w:sz w:val="21"/>
          <w:szCs w:val="21"/>
          <w:lang w:val="es-MX"/>
        </w:rPr>
        <w:t xml:space="preserve">auditar los recursos públicos </w:t>
      </w:r>
      <w:r w:rsidRPr="00285555">
        <w:rPr>
          <w:rFonts w:ascii="Abadi" w:hAnsi="Abadi" w:cs="Arial"/>
          <w:iCs/>
          <w:sz w:val="21"/>
          <w:szCs w:val="21"/>
        </w:rPr>
        <w:t>destinados a la academia del Instituto de Formación en Seguridad Pública del Estado</w:t>
      </w:r>
      <w:r w:rsidRPr="00285555">
        <w:rPr>
          <w:rFonts w:ascii="Abadi" w:hAnsi="Abadi"/>
          <w:sz w:val="21"/>
          <w:szCs w:val="21"/>
          <w:lang w:val="es-MX"/>
        </w:rPr>
        <w:t>; así como el ejercicio de recursos públicos provenientes de financiamientos con destino al fortalecimiento del sistema de seguridad pública, procuración de justicia y certeza jurídica.</w:t>
      </w:r>
    </w:p>
    <w:p w14:paraId="17C108CF" w14:textId="77777777" w:rsidR="00285555" w:rsidRPr="00285555" w:rsidRDefault="00285555" w:rsidP="00EB41C0">
      <w:pPr>
        <w:spacing w:line="360" w:lineRule="auto"/>
        <w:jc w:val="both"/>
        <w:rPr>
          <w:rFonts w:ascii="Abadi" w:hAnsi="Abadi"/>
          <w:sz w:val="21"/>
          <w:szCs w:val="21"/>
          <w:lang w:val="es-MX"/>
        </w:rPr>
      </w:pPr>
    </w:p>
    <w:p w14:paraId="637BBAC0" w14:textId="77777777" w:rsidR="00285555" w:rsidRPr="00285555" w:rsidRDefault="00285555" w:rsidP="00285555">
      <w:pPr>
        <w:ind w:firstLine="708"/>
        <w:jc w:val="both"/>
        <w:rPr>
          <w:rFonts w:ascii="Abadi" w:hAnsi="Abadi" w:cs="Tahoma"/>
          <w:sz w:val="21"/>
          <w:szCs w:val="21"/>
        </w:rPr>
      </w:pPr>
      <w:r w:rsidRPr="00285555">
        <w:rPr>
          <w:rFonts w:ascii="Abadi" w:hAnsi="Abadi"/>
          <w:sz w:val="21"/>
          <w:szCs w:val="21"/>
          <w:lang w:val="es-MX"/>
        </w:rPr>
        <w:t xml:space="preserve"> </w:t>
      </w:r>
      <w:r w:rsidRPr="00285555">
        <w:rPr>
          <w:rFonts w:ascii="Abadi" w:hAnsi="Abadi" w:cs="Tahoma"/>
          <w:sz w:val="21"/>
          <w:szCs w:val="21"/>
        </w:rPr>
        <w:t xml:space="preserve">En tal sentido, quienes integramos esta Comisión consideramos que la vigilancia y el control del ejercicio de los recursos públicos encomendados a los sujetos de fiscalización es una de las funciones primordiales que tiene el Poder Legislativo como responsable originario de esa función de control. </w:t>
      </w:r>
    </w:p>
    <w:p w14:paraId="1CB83184" w14:textId="77777777" w:rsidR="00285555" w:rsidRPr="00285555" w:rsidRDefault="00285555" w:rsidP="00285555">
      <w:pPr>
        <w:ind w:firstLine="720"/>
        <w:jc w:val="both"/>
        <w:rPr>
          <w:rFonts w:ascii="Abadi" w:hAnsi="Abadi" w:cs="Tahoma"/>
          <w:sz w:val="21"/>
          <w:szCs w:val="21"/>
        </w:rPr>
      </w:pPr>
    </w:p>
    <w:p w14:paraId="61505FA8" w14:textId="77777777" w:rsidR="00285555" w:rsidRPr="00285555" w:rsidRDefault="00285555" w:rsidP="00285555">
      <w:pPr>
        <w:ind w:firstLine="720"/>
        <w:jc w:val="both"/>
        <w:rPr>
          <w:rFonts w:ascii="Abadi" w:hAnsi="Abadi" w:cs="Tahoma"/>
          <w:sz w:val="21"/>
          <w:szCs w:val="21"/>
        </w:rPr>
      </w:pPr>
      <w:r w:rsidRPr="00285555">
        <w:rPr>
          <w:rFonts w:ascii="Abadi" w:hAnsi="Abadi" w:cs="Tahoma"/>
          <w:sz w:val="21"/>
          <w:szCs w:val="21"/>
        </w:rPr>
        <w:t>La administración, ejercicio, aplicación y control de los recursos públicos deben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w:t>
      </w:r>
    </w:p>
    <w:p w14:paraId="63728D8A" w14:textId="77777777" w:rsidR="00285555" w:rsidRPr="00285555" w:rsidRDefault="00285555" w:rsidP="00285555">
      <w:pPr>
        <w:spacing w:line="360" w:lineRule="auto"/>
        <w:jc w:val="both"/>
        <w:rPr>
          <w:rFonts w:ascii="Abadi" w:hAnsi="Abadi" w:cs="Tahoma"/>
          <w:sz w:val="21"/>
          <w:szCs w:val="21"/>
        </w:rPr>
      </w:pPr>
      <w:r w:rsidRPr="00285555">
        <w:rPr>
          <w:rFonts w:ascii="Abadi" w:hAnsi="Abadi" w:cs="Tahoma"/>
          <w:sz w:val="21"/>
          <w:szCs w:val="21"/>
        </w:rPr>
        <w:tab/>
      </w:r>
    </w:p>
    <w:p w14:paraId="3CACDB59" w14:textId="77777777" w:rsidR="00285555" w:rsidRPr="00285555" w:rsidRDefault="00285555" w:rsidP="00285555">
      <w:pPr>
        <w:ind w:firstLine="708"/>
        <w:jc w:val="both"/>
        <w:rPr>
          <w:rFonts w:ascii="Abadi" w:hAnsi="Abadi" w:cs="Tahoma"/>
          <w:sz w:val="21"/>
          <w:szCs w:val="21"/>
        </w:rPr>
      </w:pPr>
      <w:r w:rsidRPr="00285555">
        <w:rPr>
          <w:rFonts w:ascii="Abadi" w:hAnsi="Abadi" w:cs="Tahoma"/>
          <w:sz w:val="21"/>
          <w:szCs w:val="21"/>
        </w:rPr>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4E67B49B" w14:textId="77777777" w:rsidR="00285555" w:rsidRPr="00285555" w:rsidRDefault="00285555" w:rsidP="00285555">
      <w:pPr>
        <w:spacing w:line="360" w:lineRule="auto"/>
        <w:jc w:val="both"/>
        <w:rPr>
          <w:rFonts w:ascii="Abadi" w:hAnsi="Abadi" w:cs="Tahoma"/>
          <w:sz w:val="21"/>
          <w:szCs w:val="21"/>
        </w:rPr>
      </w:pPr>
    </w:p>
    <w:p w14:paraId="7B887EE3" w14:textId="77777777" w:rsidR="00285555" w:rsidRPr="00285555" w:rsidRDefault="00285555" w:rsidP="00285555">
      <w:pPr>
        <w:jc w:val="both"/>
        <w:rPr>
          <w:rFonts w:ascii="Abadi" w:hAnsi="Abadi" w:cs="Tahoma"/>
          <w:sz w:val="21"/>
          <w:szCs w:val="21"/>
        </w:rPr>
      </w:pPr>
      <w:r w:rsidRPr="00285555">
        <w:rPr>
          <w:rFonts w:ascii="Abadi" w:hAnsi="Abadi" w:cs="Tahoma"/>
          <w:sz w:val="21"/>
          <w:szCs w:val="21"/>
        </w:rPr>
        <w:tab/>
        <w:t xml:space="preserve">El artículo 116, fracción II, sexto párrafo de la Constitución Política de los Estados Unidos Mexicanos señala que: </w:t>
      </w:r>
      <w:r w:rsidRPr="00285555">
        <w:rPr>
          <w:rFonts w:ascii="Abadi" w:hAnsi="Abadi" w:cs="Tahoma"/>
          <w:i/>
          <w:sz w:val="21"/>
          <w:szCs w:val="21"/>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285555">
        <w:rPr>
          <w:rFonts w:ascii="Abadi" w:hAnsi="Abadi" w:cs="Tahoma"/>
          <w:sz w:val="21"/>
          <w:szCs w:val="21"/>
        </w:rPr>
        <w:t xml:space="preserve"> </w:t>
      </w:r>
    </w:p>
    <w:p w14:paraId="3E78CFD6" w14:textId="77777777" w:rsidR="00285555" w:rsidRPr="00285555" w:rsidRDefault="00285555" w:rsidP="00285555">
      <w:pPr>
        <w:jc w:val="both"/>
        <w:rPr>
          <w:rFonts w:ascii="Abadi" w:hAnsi="Abadi" w:cs="Tahoma"/>
          <w:sz w:val="21"/>
          <w:szCs w:val="21"/>
        </w:rPr>
      </w:pPr>
    </w:p>
    <w:p w14:paraId="3BCA2ADF" w14:textId="77777777" w:rsidR="00285555" w:rsidRPr="00285555" w:rsidRDefault="00285555" w:rsidP="00285555">
      <w:pPr>
        <w:ind w:firstLine="708"/>
        <w:jc w:val="both"/>
        <w:rPr>
          <w:rFonts w:ascii="Abadi" w:hAnsi="Abadi" w:cs="Tahoma"/>
          <w:sz w:val="21"/>
          <w:szCs w:val="21"/>
        </w:rPr>
      </w:pPr>
      <w:r w:rsidRPr="00285555">
        <w:rPr>
          <w:rFonts w:ascii="Abadi" w:hAnsi="Abadi" w:cs="Tahoma"/>
          <w:sz w:val="21"/>
          <w:szCs w:val="21"/>
        </w:rPr>
        <w:t xml:space="preserve">La Auditoría Superior del Estado, de conformidad con el artículo 66 de la Constitución Política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w:t>
      </w:r>
    </w:p>
    <w:p w14:paraId="36B69DC4" w14:textId="77777777" w:rsidR="00285555" w:rsidRPr="00285555" w:rsidRDefault="00285555" w:rsidP="00EB41C0">
      <w:pPr>
        <w:spacing w:line="360" w:lineRule="auto"/>
        <w:jc w:val="both"/>
        <w:rPr>
          <w:rFonts w:ascii="Abadi" w:hAnsi="Abadi" w:cs="Tahoma"/>
          <w:sz w:val="21"/>
          <w:szCs w:val="21"/>
        </w:rPr>
      </w:pPr>
    </w:p>
    <w:p w14:paraId="16CF31DC" w14:textId="77777777" w:rsidR="00285555" w:rsidRPr="00285555" w:rsidRDefault="00285555" w:rsidP="00285555">
      <w:pPr>
        <w:ind w:firstLine="720"/>
        <w:jc w:val="both"/>
        <w:rPr>
          <w:rFonts w:ascii="Abadi" w:hAnsi="Abadi" w:cs="Tahoma"/>
          <w:sz w:val="21"/>
          <w:szCs w:val="21"/>
        </w:rPr>
      </w:pPr>
      <w:r w:rsidRPr="00285555">
        <w:rPr>
          <w:rFonts w:ascii="Abadi" w:hAnsi="Abadi" w:cs="Tahoma"/>
          <w:sz w:val="21"/>
          <w:szCs w:val="21"/>
        </w:rPr>
        <w:t>El Poder Ejecutivo del Estado, así como las dependencias y entidades de la administración pública estatal son sujetos de la función de fiscalización del Congreso del Estado, según se desprende de los artículos 63 fracciones XVIII y XXVIII; y 66 de la Constitución Política local y 2, fracciones I y III de la Ley de Fiscalización Superior del Estado de Guanajuato.</w:t>
      </w:r>
    </w:p>
    <w:p w14:paraId="25B88D9B" w14:textId="77777777" w:rsidR="00285555" w:rsidRPr="00285555" w:rsidRDefault="00285555" w:rsidP="00285555">
      <w:pPr>
        <w:ind w:firstLine="720"/>
        <w:jc w:val="both"/>
        <w:rPr>
          <w:rFonts w:ascii="Abadi" w:hAnsi="Abadi" w:cs="Tahoma"/>
          <w:sz w:val="21"/>
          <w:szCs w:val="21"/>
        </w:rPr>
      </w:pPr>
    </w:p>
    <w:p w14:paraId="341D2E21" w14:textId="77777777" w:rsidR="00285555" w:rsidRPr="00285555" w:rsidRDefault="00285555" w:rsidP="00285555">
      <w:pPr>
        <w:ind w:firstLine="720"/>
        <w:jc w:val="both"/>
        <w:rPr>
          <w:rFonts w:ascii="Abadi" w:hAnsi="Abadi" w:cs="Arial"/>
          <w:iCs/>
          <w:sz w:val="21"/>
          <w:szCs w:val="21"/>
        </w:rPr>
      </w:pPr>
      <w:r w:rsidRPr="00285555">
        <w:rPr>
          <w:rFonts w:ascii="Abadi" w:hAnsi="Abadi" w:cs="Tahoma"/>
          <w:sz w:val="21"/>
          <w:szCs w:val="21"/>
        </w:rPr>
        <w:t xml:space="preserve">De acuerdo a lo antes señalado, coincidimos con las y los proponentes en la </w:t>
      </w:r>
      <w:r w:rsidRPr="00285555">
        <w:rPr>
          <w:rFonts w:ascii="Abadi" w:hAnsi="Abadi"/>
          <w:sz w:val="21"/>
          <w:szCs w:val="21"/>
          <w:lang w:val="es-MX"/>
        </w:rPr>
        <w:t>necesidad de garantizar la transparencia y rendición de cuentas en el ejercicio de recursos públicos</w:t>
      </w:r>
      <w:r w:rsidRPr="00285555">
        <w:rPr>
          <w:rFonts w:ascii="Abadi" w:hAnsi="Abadi" w:cs="Arial"/>
          <w:iCs/>
          <w:sz w:val="21"/>
          <w:szCs w:val="21"/>
        </w:rPr>
        <w:t>.</w:t>
      </w:r>
    </w:p>
    <w:p w14:paraId="5E7F7204" w14:textId="77777777" w:rsidR="00285555" w:rsidRPr="00285555" w:rsidRDefault="00285555" w:rsidP="00285555">
      <w:pPr>
        <w:spacing w:line="360" w:lineRule="auto"/>
        <w:ind w:firstLine="720"/>
        <w:jc w:val="both"/>
        <w:rPr>
          <w:rFonts w:ascii="Abadi" w:hAnsi="Abadi" w:cs="Tahoma"/>
          <w:sz w:val="21"/>
          <w:szCs w:val="21"/>
        </w:rPr>
      </w:pPr>
    </w:p>
    <w:p w14:paraId="5A45EEF9" w14:textId="77777777" w:rsidR="00285555" w:rsidRPr="00285555" w:rsidRDefault="00285555" w:rsidP="00285555">
      <w:pPr>
        <w:ind w:firstLine="720"/>
        <w:jc w:val="both"/>
        <w:rPr>
          <w:rFonts w:ascii="Abadi" w:hAnsi="Abadi" w:cs="Arial"/>
          <w:iCs/>
          <w:sz w:val="21"/>
          <w:szCs w:val="21"/>
        </w:rPr>
      </w:pPr>
      <w:r w:rsidRPr="00285555">
        <w:rPr>
          <w:rFonts w:ascii="Abadi" w:hAnsi="Abadi" w:cs="Tahoma"/>
          <w:sz w:val="21"/>
          <w:szCs w:val="21"/>
        </w:rPr>
        <w:t xml:space="preserve">De la propuesta podemos desprender la pretensión de la realización de dos auditorías al Poder Ejecutivo del Estado: Una específica, con enfoque financiero y de cumplimiento a fin de </w:t>
      </w:r>
      <w:r w:rsidRPr="00285555">
        <w:rPr>
          <w:rFonts w:ascii="Abadi" w:hAnsi="Abadi" w:cs="Arial"/>
          <w:iCs/>
          <w:sz w:val="21"/>
          <w:szCs w:val="21"/>
        </w:rPr>
        <w:t>revisar el ejercicio de recursos públicos destinados hasta el momento a la academia del Instituto de Formación en Seguridad Pública del Estado</w:t>
      </w:r>
      <w:r w:rsidRPr="00285555">
        <w:rPr>
          <w:rFonts w:ascii="Abadi" w:hAnsi="Abadi" w:cs="Tahoma"/>
          <w:sz w:val="21"/>
          <w:szCs w:val="21"/>
        </w:rPr>
        <w:t xml:space="preserve"> por los ejercicios fiscales de 2019 y subsecuentes; así como una auditoría específica, con enfoque financiero y de cumplimiento, concomitante para </w:t>
      </w:r>
      <w:r w:rsidRPr="00285555">
        <w:rPr>
          <w:rFonts w:ascii="Abadi" w:hAnsi="Abadi" w:cs="Arial"/>
          <w:iCs/>
          <w:sz w:val="21"/>
          <w:szCs w:val="21"/>
        </w:rPr>
        <w:t>revisar que los recursos públicos derivados del financiamiento autorizado por el Congreso del Estado en septiembre de 2021, se destinen a proyectos para el fortalecimiento del sistema de seguridad pública, procuración de justicia y certeza jurídica, a partir de la programación de dichos recursos, abarcando los ejercicios fiscales necesarios hasta que se completen los proyectos que se lleven a cabo en tal rubro.</w:t>
      </w:r>
    </w:p>
    <w:p w14:paraId="47EDB966" w14:textId="77777777" w:rsidR="00285555" w:rsidRPr="00285555" w:rsidRDefault="00285555" w:rsidP="00285555">
      <w:pPr>
        <w:ind w:firstLine="720"/>
        <w:jc w:val="both"/>
        <w:rPr>
          <w:rFonts w:ascii="Abadi" w:eastAsia="Arial" w:hAnsi="Abadi" w:cs="Arial"/>
          <w:color w:val="4A4843"/>
          <w:sz w:val="21"/>
          <w:szCs w:val="21"/>
        </w:rPr>
      </w:pPr>
    </w:p>
    <w:p w14:paraId="219815EC" w14:textId="192A5973" w:rsidR="00285555" w:rsidRPr="00285555" w:rsidRDefault="00285555" w:rsidP="00EB41C0">
      <w:pPr>
        <w:ind w:firstLine="720"/>
        <w:jc w:val="both"/>
        <w:rPr>
          <w:rFonts w:ascii="Abadi" w:hAnsi="Abadi" w:cs="Arial"/>
          <w:iCs/>
          <w:sz w:val="21"/>
          <w:szCs w:val="21"/>
        </w:rPr>
      </w:pPr>
      <w:r w:rsidRPr="00285555">
        <w:rPr>
          <w:rFonts w:ascii="Abadi" w:hAnsi="Abadi" w:cs="Arial"/>
          <w:iCs/>
          <w:sz w:val="21"/>
          <w:szCs w:val="21"/>
        </w:rPr>
        <w:t>En la información proporcionada por la Auditoría Superior del Estado, se señala que para al ejercicio fiscal de 2019 se incluyó en la revisión de la cuenta pública del Poder Ejecutivo del Estado, la adquisición de los terrenos para la construcción del nuevo complejo para el Instituto de Formación de Seguridad Pública del Estado de Guanajuato (INFOSPE), ubicado en el Municipio de Celaya, Gto., cerca de Santa Rosa de Lima en Villagrán, Gto., con el siguiente alcance:</w:t>
      </w:r>
    </w:p>
    <w:tbl>
      <w:tblPr>
        <w:tblpPr w:leftFromText="141" w:rightFromText="141" w:vertAnchor="text" w:horzAnchor="margin" w:tblpY="157"/>
        <w:tblW w:w="4384" w:type="dxa"/>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CellMar>
          <w:left w:w="70" w:type="dxa"/>
          <w:right w:w="70" w:type="dxa"/>
        </w:tblCellMar>
        <w:tblLook w:val="04A0" w:firstRow="1" w:lastRow="0" w:firstColumn="1" w:lastColumn="0" w:noHBand="0" w:noVBand="1"/>
      </w:tblPr>
      <w:tblGrid>
        <w:gridCol w:w="603"/>
        <w:gridCol w:w="675"/>
        <w:gridCol w:w="1255"/>
        <w:gridCol w:w="1255"/>
        <w:gridCol w:w="596"/>
      </w:tblGrid>
      <w:tr w:rsidR="00EB41C0" w:rsidRPr="00285555" w14:paraId="1B6D636B" w14:textId="77777777" w:rsidTr="00EB41C0">
        <w:trPr>
          <w:trHeight w:val="278"/>
        </w:trPr>
        <w:tc>
          <w:tcPr>
            <w:tcW w:w="603" w:type="dxa"/>
            <w:vMerge w:val="restart"/>
            <w:shd w:val="clear" w:color="auto" w:fill="auto"/>
            <w:vAlign w:val="center"/>
            <w:hideMark/>
          </w:tcPr>
          <w:p w14:paraId="3370F383" w14:textId="77777777" w:rsidR="00EB41C0" w:rsidRPr="00285555" w:rsidRDefault="00EB41C0" w:rsidP="00EB41C0">
            <w:pPr>
              <w:jc w:val="both"/>
              <w:rPr>
                <w:rFonts w:ascii="Abadi" w:hAnsi="Abadi" w:cs="Calibri"/>
                <w:b/>
                <w:bCs/>
                <w:color w:val="000000"/>
                <w:sz w:val="21"/>
                <w:szCs w:val="21"/>
                <w:lang w:val="es-MX" w:eastAsia="es-419"/>
              </w:rPr>
            </w:pPr>
            <w:r w:rsidRPr="00285555">
              <w:rPr>
                <w:rFonts w:ascii="Abadi" w:hAnsi="Abadi" w:cs="Calibri"/>
                <w:b/>
                <w:bCs/>
                <w:color w:val="000000"/>
                <w:sz w:val="21"/>
                <w:szCs w:val="21"/>
                <w:lang w:val="es-MX" w:eastAsia="es-419"/>
              </w:rPr>
              <w:t>Periodo</w:t>
            </w:r>
          </w:p>
        </w:tc>
        <w:tc>
          <w:tcPr>
            <w:tcW w:w="675" w:type="dxa"/>
            <w:vMerge w:val="restart"/>
            <w:shd w:val="clear" w:color="auto" w:fill="auto"/>
            <w:vAlign w:val="center"/>
            <w:hideMark/>
          </w:tcPr>
          <w:p w14:paraId="0F3AA92E" w14:textId="77777777" w:rsidR="00EB41C0" w:rsidRPr="00285555" w:rsidRDefault="00EB41C0" w:rsidP="00EB41C0">
            <w:pPr>
              <w:jc w:val="both"/>
              <w:rPr>
                <w:rFonts w:ascii="Abadi" w:hAnsi="Abadi" w:cs="Calibri"/>
                <w:b/>
                <w:bCs/>
                <w:color w:val="000000"/>
                <w:sz w:val="21"/>
                <w:szCs w:val="21"/>
                <w:lang w:val="es-MX" w:eastAsia="es-419"/>
              </w:rPr>
            </w:pPr>
            <w:r w:rsidRPr="00285555">
              <w:rPr>
                <w:rFonts w:ascii="Abadi" w:hAnsi="Abadi" w:cs="Calibri"/>
                <w:b/>
                <w:bCs/>
                <w:color w:val="000000"/>
                <w:sz w:val="21"/>
                <w:szCs w:val="21"/>
                <w:lang w:val="es-MX" w:eastAsia="es-419"/>
              </w:rPr>
              <w:t>Tipo de revisión</w:t>
            </w:r>
          </w:p>
        </w:tc>
        <w:tc>
          <w:tcPr>
            <w:tcW w:w="2510" w:type="dxa"/>
            <w:gridSpan w:val="2"/>
            <w:shd w:val="clear" w:color="auto" w:fill="auto"/>
            <w:vAlign w:val="center"/>
            <w:hideMark/>
          </w:tcPr>
          <w:p w14:paraId="58791337" w14:textId="77777777" w:rsidR="00EB41C0" w:rsidRPr="00285555" w:rsidRDefault="00EB41C0" w:rsidP="00EB41C0">
            <w:pPr>
              <w:jc w:val="center"/>
              <w:rPr>
                <w:rFonts w:ascii="Abadi" w:hAnsi="Abadi" w:cs="Calibri"/>
                <w:b/>
                <w:bCs/>
                <w:color w:val="000000"/>
                <w:sz w:val="21"/>
                <w:szCs w:val="21"/>
                <w:lang w:val="es-MX" w:eastAsia="es-419"/>
              </w:rPr>
            </w:pPr>
            <w:r w:rsidRPr="00285555">
              <w:rPr>
                <w:rFonts w:ascii="Abadi" w:hAnsi="Abadi" w:cs="Calibri"/>
                <w:b/>
                <w:bCs/>
                <w:color w:val="000000"/>
                <w:sz w:val="21"/>
                <w:szCs w:val="21"/>
                <w:lang w:val="es-MX" w:eastAsia="es-419"/>
              </w:rPr>
              <w:t>Importe</w:t>
            </w:r>
          </w:p>
        </w:tc>
        <w:tc>
          <w:tcPr>
            <w:tcW w:w="596" w:type="dxa"/>
            <w:vMerge w:val="restart"/>
            <w:shd w:val="clear" w:color="auto" w:fill="auto"/>
            <w:vAlign w:val="center"/>
            <w:hideMark/>
          </w:tcPr>
          <w:p w14:paraId="37E30617" w14:textId="77777777" w:rsidR="00EB41C0" w:rsidRPr="00285555" w:rsidRDefault="00EB41C0" w:rsidP="00EB41C0">
            <w:pPr>
              <w:jc w:val="both"/>
              <w:rPr>
                <w:rFonts w:ascii="Abadi" w:hAnsi="Abadi" w:cs="Calibri"/>
                <w:b/>
                <w:bCs/>
                <w:color w:val="000000"/>
                <w:sz w:val="21"/>
                <w:szCs w:val="21"/>
                <w:lang w:val="es-MX" w:eastAsia="es-419"/>
              </w:rPr>
            </w:pPr>
            <w:r w:rsidRPr="00285555">
              <w:rPr>
                <w:rFonts w:ascii="Abadi" w:hAnsi="Abadi" w:cs="Calibri"/>
                <w:b/>
                <w:bCs/>
                <w:color w:val="000000"/>
                <w:sz w:val="21"/>
                <w:szCs w:val="21"/>
                <w:lang w:val="es-MX" w:eastAsia="es-419"/>
              </w:rPr>
              <w:t>Alcance</w:t>
            </w:r>
          </w:p>
        </w:tc>
      </w:tr>
      <w:tr w:rsidR="00EB41C0" w:rsidRPr="00285555" w14:paraId="7822682C" w14:textId="77777777" w:rsidTr="00EB41C0">
        <w:trPr>
          <w:trHeight w:val="238"/>
        </w:trPr>
        <w:tc>
          <w:tcPr>
            <w:tcW w:w="603" w:type="dxa"/>
            <w:vMerge/>
            <w:vAlign w:val="center"/>
            <w:hideMark/>
          </w:tcPr>
          <w:p w14:paraId="4E8BC927" w14:textId="77777777" w:rsidR="00EB41C0" w:rsidRPr="00285555" w:rsidRDefault="00EB41C0" w:rsidP="00EB41C0">
            <w:pPr>
              <w:rPr>
                <w:rFonts w:ascii="Abadi" w:hAnsi="Abadi" w:cs="Calibri"/>
                <w:b/>
                <w:bCs/>
                <w:color w:val="FFFFFF"/>
                <w:sz w:val="21"/>
                <w:szCs w:val="21"/>
                <w:lang w:val="es-419" w:eastAsia="es-419"/>
              </w:rPr>
            </w:pPr>
          </w:p>
        </w:tc>
        <w:tc>
          <w:tcPr>
            <w:tcW w:w="675" w:type="dxa"/>
            <w:vMerge/>
            <w:vAlign w:val="center"/>
            <w:hideMark/>
          </w:tcPr>
          <w:p w14:paraId="63B0A95E" w14:textId="77777777" w:rsidR="00EB41C0" w:rsidRPr="00285555" w:rsidRDefault="00EB41C0" w:rsidP="00EB41C0">
            <w:pPr>
              <w:rPr>
                <w:rFonts w:ascii="Abadi" w:hAnsi="Abadi" w:cs="Calibri"/>
                <w:b/>
                <w:bCs/>
                <w:color w:val="FFFFFF"/>
                <w:sz w:val="21"/>
                <w:szCs w:val="21"/>
                <w:lang w:val="es-419" w:eastAsia="es-419"/>
              </w:rPr>
            </w:pPr>
          </w:p>
        </w:tc>
        <w:tc>
          <w:tcPr>
            <w:tcW w:w="1255" w:type="dxa"/>
            <w:shd w:val="clear" w:color="000000" w:fill="BFBFBF"/>
            <w:vAlign w:val="center"/>
            <w:hideMark/>
          </w:tcPr>
          <w:p w14:paraId="0B5E70F0" w14:textId="77777777" w:rsidR="00EB41C0" w:rsidRPr="00285555" w:rsidRDefault="00EB41C0" w:rsidP="00EB41C0">
            <w:pPr>
              <w:jc w:val="center"/>
              <w:rPr>
                <w:rFonts w:ascii="Abadi" w:hAnsi="Abadi" w:cs="Calibri"/>
                <w:color w:val="000000"/>
                <w:sz w:val="21"/>
                <w:szCs w:val="21"/>
                <w:lang w:val="es-MX" w:eastAsia="es-419"/>
              </w:rPr>
            </w:pPr>
            <w:r w:rsidRPr="00285555">
              <w:rPr>
                <w:rFonts w:ascii="Abadi" w:hAnsi="Abadi" w:cs="Calibri"/>
                <w:color w:val="000000"/>
                <w:sz w:val="21"/>
                <w:szCs w:val="21"/>
                <w:lang w:val="es-MX" w:eastAsia="es-419"/>
              </w:rPr>
              <w:t>De la adquisición</w:t>
            </w:r>
          </w:p>
        </w:tc>
        <w:tc>
          <w:tcPr>
            <w:tcW w:w="1255" w:type="dxa"/>
            <w:shd w:val="clear" w:color="000000" w:fill="BFBFBF"/>
            <w:vAlign w:val="center"/>
            <w:hideMark/>
          </w:tcPr>
          <w:p w14:paraId="411F6F58" w14:textId="77777777" w:rsidR="00EB41C0" w:rsidRPr="00285555" w:rsidRDefault="00EB41C0" w:rsidP="00EB41C0">
            <w:pPr>
              <w:jc w:val="center"/>
              <w:rPr>
                <w:rFonts w:ascii="Abadi" w:hAnsi="Abadi" w:cs="Calibri"/>
                <w:color w:val="000000"/>
                <w:sz w:val="21"/>
                <w:szCs w:val="21"/>
                <w:lang w:val="es-MX" w:eastAsia="es-419"/>
              </w:rPr>
            </w:pPr>
            <w:r w:rsidRPr="00285555">
              <w:rPr>
                <w:rFonts w:ascii="Abadi" w:hAnsi="Abadi" w:cs="Calibri"/>
                <w:color w:val="000000"/>
                <w:sz w:val="21"/>
                <w:szCs w:val="21"/>
                <w:lang w:val="es-MX" w:eastAsia="es-419"/>
              </w:rPr>
              <w:t>Revisado</w:t>
            </w:r>
          </w:p>
        </w:tc>
        <w:tc>
          <w:tcPr>
            <w:tcW w:w="596" w:type="dxa"/>
            <w:vMerge/>
            <w:vAlign w:val="center"/>
            <w:hideMark/>
          </w:tcPr>
          <w:p w14:paraId="6DFF59BC" w14:textId="77777777" w:rsidR="00EB41C0" w:rsidRPr="00285555" w:rsidRDefault="00EB41C0" w:rsidP="00EB41C0">
            <w:pPr>
              <w:rPr>
                <w:rFonts w:ascii="Abadi" w:hAnsi="Abadi" w:cs="Calibri"/>
                <w:b/>
                <w:bCs/>
                <w:color w:val="FFFFFF"/>
                <w:sz w:val="21"/>
                <w:szCs w:val="21"/>
                <w:lang w:val="es-419" w:eastAsia="es-419"/>
              </w:rPr>
            </w:pPr>
          </w:p>
        </w:tc>
      </w:tr>
      <w:tr w:rsidR="00EB41C0" w:rsidRPr="00285555" w14:paraId="058DF3B0" w14:textId="77777777" w:rsidTr="00EB41C0">
        <w:trPr>
          <w:trHeight w:val="631"/>
        </w:trPr>
        <w:tc>
          <w:tcPr>
            <w:tcW w:w="603" w:type="dxa"/>
            <w:vAlign w:val="center"/>
            <w:hideMark/>
          </w:tcPr>
          <w:p w14:paraId="5B0348F5" w14:textId="77777777" w:rsidR="00EB41C0" w:rsidRPr="00285555" w:rsidRDefault="00EB41C0" w:rsidP="00EB41C0">
            <w:pPr>
              <w:jc w:val="center"/>
              <w:rPr>
                <w:rFonts w:ascii="Abadi" w:hAnsi="Abadi" w:cs="Calibri"/>
                <w:color w:val="000000"/>
                <w:sz w:val="21"/>
                <w:szCs w:val="21"/>
                <w:lang w:val="es-419" w:eastAsia="es-419"/>
              </w:rPr>
            </w:pPr>
            <w:r w:rsidRPr="00285555">
              <w:rPr>
                <w:rFonts w:ascii="Abadi" w:hAnsi="Abadi" w:cs="Calibri"/>
                <w:color w:val="000000"/>
                <w:sz w:val="21"/>
                <w:szCs w:val="21"/>
                <w:lang w:val="es-MX" w:eastAsia="es-419"/>
              </w:rPr>
              <w:t>2019</w:t>
            </w:r>
          </w:p>
        </w:tc>
        <w:tc>
          <w:tcPr>
            <w:tcW w:w="675" w:type="dxa"/>
            <w:vAlign w:val="center"/>
            <w:hideMark/>
          </w:tcPr>
          <w:p w14:paraId="2812CB47" w14:textId="77777777" w:rsidR="00EB41C0" w:rsidRPr="00285555" w:rsidRDefault="00EB41C0" w:rsidP="00EB41C0">
            <w:pPr>
              <w:jc w:val="both"/>
              <w:rPr>
                <w:rFonts w:ascii="Abadi" w:hAnsi="Abadi" w:cs="Calibri"/>
                <w:color w:val="000000"/>
                <w:sz w:val="21"/>
                <w:szCs w:val="21"/>
                <w:lang w:val="es-419" w:eastAsia="es-419"/>
              </w:rPr>
            </w:pPr>
            <w:r w:rsidRPr="00285555">
              <w:rPr>
                <w:rFonts w:ascii="Abadi" w:hAnsi="Abadi" w:cs="Calibri"/>
                <w:color w:val="000000"/>
                <w:sz w:val="21"/>
                <w:szCs w:val="21"/>
                <w:lang w:val="es-MX" w:eastAsia="es-419"/>
              </w:rPr>
              <w:t>Revisión de la cuenta pública del Poder Ejecutivo</w:t>
            </w:r>
          </w:p>
        </w:tc>
        <w:tc>
          <w:tcPr>
            <w:tcW w:w="1255" w:type="dxa"/>
            <w:vAlign w:val="center"/>
            <w:hideMark/>
          </w:tcPr>
          <w:p w14:paraId="740D2853" w14:textId="77777777" w:rsidR="00EB41C0" w:rsidRPr="00285555" w:rsidRDefault="00EB41C0" w:rsidP="00EB41C0">
            <w:pPr>
              <w:jc w:val="right"/>
              <w:rPr>
                <w:rFonts w:ascii="Abadi" w:hAnsi="Abadi" w:cs="Calibri"/>
                <w:color w:val="000000"/>
                <w:sz w:val="21"/>
                <w:szCs w:val="21"/>
                <w:lang w:val="es-419" w:eastAsia="es-419"/>
              </w:rPr>
            </w:pPr>
            <w:r w:rsidRPr="00285555">
              <w:rPr>
                <w:rFonts w:ascii="Abadi" w:hAnsi="Abadi" w:cs="Calibri"/>
                <w:color w:val="000000"/>
                <w:sz w:val="21"/>
                <w:szCs w:val="21"/>
                <w:lang w:val="es-MX" w:eastAsia="es-419"/>
              </w:rPr>
              <w:t>$143´022,972.00</w:t>
            </w:r>
          </w:p>
        </w:tc>
        <w:tc>
          <w:tcPr>
            <w:tcW w:w="1255" w:type="dxa"/>
            <w:vAlign w:val="center"/>
            <w:hideMark/>
          </w:tcPr>
          <w:p w14:paraId="37D0E792" w14:textId="77777777" w:rsidR="00EB41C0" w:rsidRPr="00285555" w:rsidRDefault="00EB41C0" w:rsidP="00EB41C0">
            <w:pPr>
              <w:jc w:val="right"/>
              <w:rPr>
                <w:rFonts w:ascii="Abadi" w:hAnsi="Abadi" w:cs="Calibri"/>
                <w:color w:val="000000"/>
                <w:sz w:val="21"/>
                <w:szCs w:val="21"/>
                <w:lang w:val="es-419" w:eastAsia="es-419"/>
              </w:rPr>
            </w:pPr>
            <w:r w:rsidRPr="00285555">
              <w:rPr>
                <w:rFonts w:ascii="Abadi" w:hAnsi="Abadi" w:cs="Calibri"/>
                <w:color w:val="000000"/>
                <w:sz w:val="21"/>
                <w:szCs w:val="21"/>
                <w:lang w:val="es-MX" w:eastAsia="es-419"/>
              </w:rPr>
              <w:t>$143´022,972.00</w:t>
            </w:r>
          </w:p>
        </w:tc>
        <w:tc>
          <w:tcPr>
            <w:tcW w:w="596" w:type="dxa"/>
            <w:vAlign w:val="center"/>
            <w:hideMark/>
          </w:tcPr>
          <w:p w14:paraId="6450A9C6" w14:textId="77777777" w:rsidR="00EB41C0" w:rsidRPr="00285555" w:rsidRDefault="00EB41C0" w:rsidP="00EB41C0">
            <w:pPr>
              <w:jc w:val="center"/>
              <w:rPr>
                <w:rFonts w:ascii="Abadi" w:hAnsi="Abadi" w:cs="Calibri"/>
                <w:color w:val="000000"/>
                <w:sz w:val="21"/>
                <w:szCs w:val="21"/>
                <w:lang w:val="es-419" w:eastAsia="es-419"/>
              </w:rPr>
            </w:pPr>
            <w:r w:rsidRPr="00285555">
              <w:rPr>
                <w:rFonts w:ascii="Abadi" w:hAnsi="Abadi" w:cs="Calibri"/>
                <w:color w:val="000000"/>
                <w:sz w:val="21"/>
                <w:szCs w:val="21"/>
                <w:lang w:val="es-MX" w:eastAsia="es-419"/>
              </w:rPr>
              <w:t>100%</w:t>
            </w:r>
          </w:p>
        </w:tc>
      </w:tr>
    </w:tbl>
    <w:p w14:paraId="0AED3B3C" w14:textId="77777777" w:rsidR="00285555" w:rsidRPr="00285555" w:rsidRDefault="00285555" w:rsidP="00EB41C0">
      <w:pPr>
        <w:jc w:val="both"/>
        <w:rPr>
          <w:rFonts w:ascii="Abadi" w:hAnsi="Abadi" w:cs="Arial"/>
          <w:iCs/>
          <w:sz w:val="21"/>
          <w:szCs w:val="21"/>
        </w:rPr>
      </w:pPr>
    </w:p>
    <w:p w14:paraId="4A0617BB" w14:textId="77777777" w:rsidR="00285555" w:rsidRPr="00285555" w:rsidRDefault="00285555" w:rsidP="00285555">
      <w:pPr>
        <w:ind w:firstLine="720"/>
        <w:jc w:val="both"/>
        <w:rPr>
          <w:rFonts w:ascii="Abadi" w:hAnsi="Abadi" w:cs="Arial"/>
          <w:iCs/>
          <w:sz w:val="21"/>
          <w:szCs w:val="21"/>
        </w:rPr>
      </w:pPr>
      <w:r w:rsidRPr="00285555">
        <w:rPr>
          <w:rFonts w:ascii="Abadi" w:hAnsi="Abadi" w:cs="Arial"/>
          <w:iCs/>
          <w:sz w:val="21"/>
          <w:szCs w:val="21"/>
        </w:rPr>
        <w:t>Los procedimientos de auditoría aplicados en la revisión de la adquisición de los terrenos para la construcción del nuevo complejo para el Instituto de Formación en Seguridad Pública del Estado (INFOSPE), fueron los siguientes:</w:t>
      </w:r>
    </w:p>
    <w:p w14:paraId="66C93DD8" w14:textId="77777777" w:rsidR="00285555" w:rsidRPr="00285555" w:rsidRDefault="00285555" w:rsidP="00285555">
      <w:pPr>
        <w:ind w:firstLine="720"/>
        <w:jc w:val="both"/>
        <w:rPr>
          <w:rFonts w:ascii="Abadi" w:hAnsi="Abadi" w:cs="Arial"/>
          <w:iCs/>
          <w:sz w:val="21"/>
          <w:szCs w:val="21"/>
        </w:rPr>
      </w:pPr>
    </w:p>
    <w:p w14:paraId="51566A4C" w14:textId="77777777" w:rsidR="00285555" w:rsidRPr="00285555" w:rsidRDefault="00285555" w:rsidP="001A28E5">
      <w:pPr>
        <w:numPr>
          <w:ilvl w:val="0"/>
          <w:numId w:val="39"/>
        </w:numPr>
        <w:jc w:val="both"/>
        <w:rPr>
          <w:rFonts w:ascii="Abadi" w:hAnsi="Abadi"/>
          <w:sz w:val="21"/>
          <w:szCs w:val="21"/>
          <w:lang w:val="es-MX" w:eastAsia="en-US"/>
        </w:rPr>
      </w:pPr>
      <w:r w:rsidRPr="00285555">
        <w:rPr>
          <w:rFonts w:ascii="Abadi" w:hAnsi="Abadi"/>
          <w:sz w:val="21"/>
          <w:szCs w:val="21"/>
          <w:lang w:val="es-MX" w:eastAsia="en-US"/>
        </w:rPr>
        <w:t>Se inspeccionó la evidencia de la justificación de la adquisición del bien inmueble.</w:t>
      </w:r>
    </w:p>
    <w:p w14:paraId="7B38D5D9" w14:textId="77777777" w:rsidR="00285555" w:rsidRPr="00285555" w:rsidRDefault="00285555" w:rsidP="00285555">
      <w:pPr>
        <w:ind w:left="720"/>
        <w:jc w:val="both"/>
        <w:rPr>
          <w:rFonts w:ascii="Abadi" w:hAnsi="Abadi"/>
          <w:sz w:val="21"/>
          <w:szCs w:val="21"/>
          <w:lang w:val="es-MX" w:eastAsia="en-US"/>
        </w:rPr>
      </w:pPr>
    </w:p>
    <w:p w14:paraId="4E70E9C8" w14:textId="77777777" w:rsidR="00285555" w:rsidRPr="00285555" w:rsidRDefault="00285555" w:rsidP="001A28E5">
      <w:pPr>
        <w:numPr>
          <w:ilvl w:val="0"/>
          <w:numId w:val="39"/>
        </w:numPr>
        <w:jc w:val="both"/>
        <w:rPr>
          <w:rFonts w:ascii="Abadi" w:hAnsi="Abadi"/>
          <w:sz w:val="21"/>
          <w:szCs w:val="21"/>
          <w:lang w:val="es-MX" w:eastAsia="en-US"/>
        </w:rPr>
      </w:pPr>
      <w:r w:rsidRPr="00285555">
        <w:rPr>
          <w:rFonts w:ascii="Abadi" w:hAnsi="Abadi"/>
          <w:sz w:val="21"/>
          <w:szCs w:val="21"/>
          <w:lang w:val="es-MX" w:eastAsia="en-US"/>
        </w:rPr>
        <w:t>Se inspeccionaron las autorizaciones de la adquisición del bien inmueble y se corroboró que se encontraran autorizadas por personal facultado de acuerdo a la normativa.</w:t>
      </w:r>
    </w:p>
    <w:p w14:paraId="5CC5728C" w14:textId="77777777" w:rsidR="00285555" w:rsidRPr="00285555" w:rsidRDefault="00285555" w:rsidP="00285555">
      <w:pPr>
        <w:ind w:left="720"/>
        <w:jc w:val="both"/>
        <w:rPr>
          <w:rFonts w:ascii="Abadi" w:hAnsi="Abadi"/>
          <w:sz w:val="21"/>
          <w:szCs w:val="21"/>
          <w:lang w:val="es-MX" w:eastAsia="en-US"/>
        </w:rPr>
      </w:pPr>
    </w:p>
    <w:p w14:paraId="1DC85D59" w14:textId="77777777" w:rsidR="00285555" w:rsidRPr="00285555" w:rsidRDefault="00285555" w:rsidP="001A28E5">
      <w:pPr>
        <w:numPr>
          <w:ilvl w:val="0"/>
          <w:numId w:val="39"/>
        </w:numPr>
        <w:jc w:val="both"/>
        <w:rPr>
          <w:rFonts w:ascii="Abadi" w:hAnsi="Abadi"/>
          <w:sz w:val="21"/>
          <w:szCs w:val="21"/>
          <w:lang w:val="es-MX" w:eastAsia="en-US"/>
        </w:rPr>
      </w:pPr>
      <w:r w:rsidRPr="00285555">
        <w:rPr>
          <w:rFonts w:ascii="Abadi" w:hAnsi="Abadi"/>
          <w:sz w:val="21"/>
          <w:szCs w:val="21"/>
          <w:lang w:val="es-MX" w:eastAsia="en-US"/>
        </w:rPr>
        <w:t>Se inspeccionó que en la adquisición de los inmuebles se considere el valor de un avalúo para determinar el precio máximo de adquisición del objeto de la operación.</w:t>
      </w:r>
    </w:p>
    <w:p w14:paraId="2AB1D5CE" w14:textId="77777777" w:rsidR="00285555" w:rsidRPr="00285555" w:rsidRDefault="00285555" w:rsidP="00285555">
      <w:pPr>
        <w:ind w:left="720"/>
        <w:jc w:val="both"/>
        <w:rPr>
          <w:rFonts w:ascii="Abadi" w:hAnsi="Abadi"/>
          <w:sz w:val="21"/>
          <w:szCs w:val="21"/>
          <w:lang w:val="es-MX" w:eastAsia="en-US"/>
        </w:rPr>
      </w:pPr>
    </w:p>
    <w:p w14:paraId="03641BB4" w14:textId="77777777" w:rsidR="00285555" w:rsidRPr="00285555" w:rsidRDefault="00285555" w:rsidP="001A28E5">
      <w:pPr>
        <w:numPr>
          <w:ilvl w:val="0"/>
          <w:numId w:val="39"/>
        </w:numPr>
        <w:jc w:val="both"/>
        <w:rPr>
          <w:rFonts w:ascii="Abadi" w:hAnsi="Abadi"/>
          <w:sz w:val="21"/>
          <w:szCs w:val="21"/>
          <w:lang w:val="es-MX" w:eastAsia="en-US"/>
        </w:rPr>
      </w:pPr>
      <w:r w:rsidRPr="00285555">
        <w:rPr>
          <w:rFonts w:ascii="Abadi" w:hAnsi="Abadi"/>
          <w:sz w:val="21"/>
          <w:szCs w:val="21"/>
          <w:lang w:val="es-MX" w:eastAsia="en-US"/>
        </w:rPr>
        <w:t xml:space="preserve">Se inspeccionó que los bienes inmuebles adquiridos se encuentren libres de gravamen. </w:t>
      </w:r>
    </w:p>
    <w:p w14:paraId="32877007" w14:textId="77777777" w:rsidR="00285555" w:rsidRPr="00285555" w:rsidRDefault="00285555" w:rsidP="00285555">
      <w:pPr>
        <w:ind w:left="720"/>
        <w:jc w:val="both"/>
        <w:rPr>
          <w:rFonts w:ascii="Abadi" w:hAnsi="Abadi"/>
          <w:sz w:val="21"/>
          <w:szCs w:val="21"/>
          <w:lang w:val="es-MX" w:eastAsia="en-US"/>
        </w:rPr>
      </w:pPr>
    </w:p>
    <w:p w14:paraId="10E199C2" w14:textId="77777777" w:rsidR="00285555" w:rsidRPr="00285555" w:rsidRDefault="00285555" w:rsidP="001A28E5">
      <w:pPr>
        <w:numPr>
          <w:ilvl w:val="0"/>
          <w:numId w:val="39"/>
        </w:numPr>
        <w:jc w:val="both"/>
        <w:rPr>
          <w:rFonts w:ascii="Abadi" w:hAnsi="Abadi"/>
          <w:sz w:val="21"/>
          <w:szCs w:val="21"/>
          <w:lang w:val="es-MX" w:eastAsia="en-US"/>
        </w:rPr>
      </w:pPr>
      <w:r w:rsidRPr="00285555">
        <w:rPr>
          <w:rFonts w:ascii="Abadi" w:hAnsi="Abadi"/>
          <w:sz w:val="21"/>
          <w:szCs w:val="21"/>
          <w:lang w:val="es-MX" w:eastAsia="en-US"/>
        </w:rPr>
        <w:t>Se inspeccionó que el contrato de compraventa se suscribiera conforme a los requisitos establecidos en la normativa y que se encontrara debidamente firmado por las personas legalmente facultadas y dentro de los plazos establecidos.</w:t>
      </w:r>
    </w:p>
    <w:p w14:paraId="39D45974" w14:textId="77777777" w:rsidR="00285555" w:rsidRPr="00285555" w:rsidRDefault="00285555" w:rsidP="00285555">
      <w:pPr>
        <w:ind w:left="720"/>
        <w:jc w:val="both"/>
        <w:rPr>
          <w:rFonts w:ascii="Abadi" w:hAnsi="Abadi"/>
          <w:sz w:val="21"/>
          <w:szCs w:val="21"/>
          <w:lang w:val="es-MX" w:eastAsia="en-US"/>
        </w:rPr>
      </w:pPr>
    </w:p>
    <w:p w14:paraId="227896E7" w14:textId="77777777" w:rsidR="00285555" w:rsidRPr="00285555" w:rsidRDefault="00285555" w:rsidP="001A28E5">
      <w:pPr>
        <w:numPr>
          <w:ilvl w:val="0"/>
          <w:numId w:val="39"/>
        </w:numPr>
        <w:jc w:val="both"/>
        <w:rPr>
          <w:rFonts w:ascii="Abadi" w:hAnsi="Abadi"/>
          <w:sz w:val="21"/>
          <w:szCs w:val="21"/>
          <w:lang w:val="es-MX" w:eastAsia="en-US"/>
        </w:rPr>
      </w:pPr>
      <w:r w:rsidRPr="00285555">
        <w:rPr>
          <w:rFonts w:ascii="Abadi" w:hAnsi="Abadi"/>
          <w:sz w:val="21"/>
          <w:szCs w:val="21"/>
          <w:lang w:val="es-MX" w:eastAsia="en-US"/>
        </w:rPr>
        <w:t>Se inspeccionó que los importes pagados por el bien inmueble correspondieran a los autorizados por el personal facultado, considerando los avalúos practicados, así como con lo establecido en el contrato de compraventa y lo especificado en la evidencia del pago.</w:t>
      </w:r>
      <w:r w:rsidRPr="00285555">
        <w:rPr>
          <w:rFonts w:ascii="Arial" w:hAnsi="Arial" w:cs="Arial"/>
          <w:sz w:val="21"/>
          <w:szCs w:val="21"/>
          <w:lang w:val="es-MX" w:eastAsia="en-US"/>
        </w:rPr>
        <w:t>​​</w:t>
      </w:r>
    </w:p>
    <w:p w14:paraId="0741D4A4" w14:textId="77777777" w:rsidR="00285555" w:rsidRPr="00285555" w:rsidRDefault="00285555" w:rsidP="00285555">
      <w:pPr>
        <w:ind w:left="720"/>
        <w:jc w:val="both"/>
        <w:rPr>
          <w:rFonts w:ascii="Abadi" w:hAnsi="Abadi"/>
          <w:sz w:val="21"/>
          <w:szCs w:val="21"/>
          <w:lang w:val="es-MX" w:eastAsia="en-US"/>
        </w:rPr>
      </w:pPr>
    </w:p>
    <w:p w14:paraId="03875E50" w14:textId="77777777" w:rsidR="00285555" w:rsidRPr="00285555" w:rsidRDefault="00285555" w:rsidP="001A28E5">
      <w:pPr>
        <w:numPr>
          <w:ilvl w:val="0"/>
          <w:numId w:val="39"/>
        </w:numPr>
        <w:jc w:val="both"/>
        <w:rPr>
          <w:rFonts w:ascii="Abadi" w:hAnsi="Abadi"/>
          <w:sz w:val="21"/>
          <w:szCs w:val="21"/>
          <w:lang w:val="es-MX" w:eastAsia="en-US"/>
        </w:rPr>
      </w:pPr>
      <w:r w:rsidRPr="00285555">
        <w:rPr>
          <w:rFonts w:ascii="Abadi" w:hAnsi="Abadi"/>
          <w:sz w:val="21"/>
          <w:szCs w:val="21"/>
          <w:lang w:val="es-MX" w:eastAsia="en-US"/>
        </w:rPr>
        <w:t>Se realizó confirmación con los vendedores, a fin de corroborar que el importe recibido por la venta de su bien inmueble correspondiera con el monto establecido en el contrato y lo erogado por el Gobierno del Estado.</w:t>
      </w:r>
    </w:p>
    <w:p w14:paraId="7B39E885" w14:textId="77777777" w:rsidR="00285555" w:rsidRPr="00285555" w:rsidRDefault="00285555" w:rsidP="00285555">
      <w:pPr>
        <w:ind w:left="720"/>
        <w:jc w:val="both"/>
        <w:rPr>
          <w:rFonts w:ascii="Abadi" w:hAnsi="Abadi"/>
          <w:sz w:val="21"/>
          <w:szCs w:val="21"/>
          <w:lang w:val="es-MX" w:eastAsia="en-US"/>
        </w:rPr>
      </w:pPr>
    </w:p>
    <w:p w14:paraId="779A1EC3" w14:textId="77777777" w:rsidR="00285555" w:rsidRPr="00285555" w:rsidRDefault="00285555" w:rsidP="001A28E5">
      <w:pPr>
        <w:numPr>
          <w:ilvl w:val="0"/>
          <w:numId w:val="39"/>
        </w:numPr>
        <w:jc w:val="both"/>
        <w:rPr>
          <w:rFonts w:ascii="Abadi" w:hAnsi="Abadi"/>
          <w:sz w:val="21"/>
          <w:szCs w:val="21"/>
          <w:lang w:val="es-MX" w:eastAsia="en-US"/>
        </w:rPr>
      </w:pPr>
      <w:r w:rsidRPr="00285555">
        <w:rPr>
          <w:rFonts w:ascii="Abadi" w:hAnsi="Abadi"/>
          <w:sz w:val="21"/>
          <w:szCs w:val="21"/>
          <w:lang w:val="es-MX" w:eastAsia="en-US"/>
        </w:rPr>
        <w:t>Se verificó que el pago contenga los documentos que acrediten la posesión o propiedad del bien inmueble afectado con el mismo nombre al que se realizó el pago.</w:t>
      </w:r>
    </w:p>
    <w:p w14:paraId="6E9B2722" w14:textId="77777777" w:rsidR="00285555" w:rsidRPr="00285555" w:rsidRDefault="00285555" w:rsidP="00285555">
      <w:pPr>
        <w:ind w:left="720"/>
        <w:jc w:val="both"/>
        <w:rPr>
          <w:rFonts w:ascii="Abadi" w:hAnsi="Abadi"/>
          <w:sz w:val="21"/>
          <w:szCs w:val="21"/>
          <w:lang w:val="es-MX" w:eastAsia="en-US"/>
        </w:rPr>
      </w:pPr>
    </w:p>
    <w:p w14:paraId="51392CC6" w14:textId="77777777" w:rsidR="00285555" w:rsidRPr="00285555" w:rsidRDefault="00285555" w:rsidP="001A28E5">
      <w:pPr>
        <w:numPr>
          <w:ilvl w:val="0"/>
          <w:numId w:val="39"/>
        </w:numPr>
        <w:jc w:val="both"/>
        <w:rPr>
          <w:rFonts w:ascii="Abadi" w:hAnsi="Abadi"/>
          <w:sz w:val="21"/>
          <w:szCs w:val="21"/>
          <w:lang w:val="es-MX" w:eastAsia="en-US"/>
        </w:rPr>
      </w:pPr>
      <w:r w:rsidRPr="00285555">
        <w:rPr>
          <w:rFonts w:ascii="Abadi" w:hAnsi="Abadi"/>
          <w:sz w:val="21"/>
          <w:szCs w:val="21"/>
          <w:lang w:val="es-MX" w:eastAsia="en-US"/>
        </w:rPr>
        <w:t>Se verificó que las escrituras públicas del bien inmueble se otorgaran a favor del Estado de Guanajuato.</w:t>
      </w:r>
    </w:p>
    <w:p w14:paraId="197797A7" w14:textId="77777777" w:rsidR="00285555" w:rsidRPr="00285555" w:rsidRDefault="00285555" w:rsidP="00285555">
      <w:pPr>
        <w:ind w:left="720"/>
        <w:jc w:val="both"/>
        <w:rPr>
          <w:rFonts w:ascii="Abadi" w:hAnsi="Abadi"/>
          <w:sz w:val="21"/>
          <w:szCs w:val="21"/>
          <w:lang w:val="es-MX" w:eastAsia="en-US"/>
        </w:rPr>
      </w:pPr>
    </w:p>
    <w:p w14:paraId="1C018E7A" w14:textId="77777777" w:rsidR="00285555" w:rsidRPr="00285555" w:rsidRDefault="00285555" w:rsidP="001A28E5">
      <w:pPr>
        <w:numPr>
          <w:ilvl w:val="0"/>
          <w:numId w:val="39"/>
        </w:numPr>
        <w:jc w:val="both"/>
        <w:rPr>
          <w:rFonts w:ascii="Abadi" w:hAnsi="Abadi"/>
          <w:sz w:val="21"/>
          <w:szCs w:val="21"/>
          <w:lang w:val="es-MX" w:eastAsia="en-US"/>
        </w:rPr>
      </w:pPr>
      <w:r w:rsidRPr="00285555">
        <w:rPr>
          <w:rFonts w:ascii="Abadi" w:hAnsi="Abadi"/>
          <w:sz w:val="21"/>
          <w:szCs w:val="21"/>
          <w:lang w:val="es-MX" w:eastAsia="en-US"/>
        </w:rPr>
        <w:t>Se verificó que el bien inmueble adquirido se diera de alta en el Registro Público de la Propiedad y en el Padrón de la Propiedad Inmobiliaria Estatal.</w:t>
      </w:r>
    </w:p>
    <w:p w14:paraId="02C3A9A1" w14:textId="77777777" w:rsidR="00285555" w:rsidRPr="00285555" w:rsidRDefault="00285555" w:rsidP="00285555">
      <w:pPr>
        <w:ind w:left="720"/>
        <w:jc w:val="both"/>
        <w:rPr>
          <w:rFonts w:ascii="Abadi" w:hAnsi="Abadi"/>
          <w:sz w:val="21"/>
          <w:szCs w:val="21"/>
          <w:lang w:val="es-MX" w:eastAsia="en-US"/>
        </w:rPr>
      </w:pPr>
    </w:p>
    <w:p w14:paraId="274F27A8" w14:textId="77777777" w:rsidR="00285555" w:rsidRPr="00285555" w:rsidRDefault="00285555" w:rsidP="001A28E5">
      <w:pPr>
        <w:numPr>
          <w:ilvl w:val="0"/>
          <w:numId w:val="39"/>
        </w:numPr>
        <w:jc w:val="both"/>
        <w:rPr>
          <w:rFonts w:ascii="Abadi" w:hAnsi="Abadi"/>
          <w:sz w:val="21"/>
          <w:szCs w:val="21"/>
          <w:lang w:val="es-MX" w:eastAsia="en-US"/>
        </w:rPr>
      </w:pPr>
      <w:r w:rsidRPr="00285555">
        <w:rPr>
          <w:rFonts w:ascii="Abadi" w:hAnsi="Abadi"/>
          <w:sz w:val="21"/>
          <w:szCs w:val="21"/>
          <w:lang w:val="es-MX" w:eastAsia="en-US"/>
        </w:rPr>
        <w:t>Se confirmó con el municipio de Celaya, Gto., el valor fiscal previo a la compra-venta de los bienes inmuebles.</w:t>
      </w:r>
    </w:p>
    <w:p w14:paraId="22B12B48" w14:textId="77777777" w:rsidR="00285555" w:rsidRPr="00285555" w:rsidRDefault="00285555" w:rsidP="00285555">
      <w:pPr>
        <w:widowControl w:val="0"/>
        <w:spacing w:after="200" w:line="276" w:lineRule="auto"/>
        <w:ind w:left="720"/>
        <w:contextualSpacing/>
        <w:rPr>
          <w:rFonts w:ascii="Abadi" w:eastAsia="Calibri" w:hAnsi="Abadi"/>
          <w:sz w:val="21"/>
          <w:szCs w:val="21"/>
          <w:lang w:val="es-MX" w:eastAsia="en-US"/>
        </w:rPr>
      </w:pPr>
    </w:p>
    <w:p w14:paraId="01D62C12" w14:textId="77777777" w:rsidR="00285555" w:rsidRPr="00285555" w:rsidRDefault="00285555" w:rsidP="001A28E5">
      <w:pPr>
        <w:numPr>
          <w:ilvl w:val="0"/>
          <w:numId w:val="39"/>
        </w:numPr>
        <w:jc w:val="both"/>
        <w:rPr>
          <w:rFonts w:ascii="Abadi" w:hAnsi="Abadi"/>
          <w:sz w:val="21"/>
          <w:szCs w:val="21"/>
          <w:lang w:val="es-MX" w:eastAsia="en-US"/>
        </w:rPr>
      </w:pPr>
      <w:r w:rsidRPr="00285555">
        <w:rPr>
          <w:rFonts w:ascii="Abadi" w:hAnsi="Abadi"/>
          <w:sz w:val="21"/>
          <w:szCs w:val="21"/>
          <w:lang w:val="es-MX" w:eastAsia="en-US"/>
        </w:rPr>
        <w:t>Se confirmó con la institución bancaria los datos del anverso y reverso de los cheques expedidos a favor de los vendedores.</w:t>
      </w:r>
    </w:p>
    <w:p w14:paraId="106569E3" w14:textId="5919F45D" w:rsidR="00285555" w:rsidRPr="00285555" w:rsidRDefault="00285555" w:rsidP="00285555">
      <w:pPr>
        <w:jc w:val="both"/>
        <w:rPr>
          <w:rFonts w:ascii="Abadi" w:hAnsi="Abadi"/>
          <w:sz w:val="21"/>
          <w:szCs w:val="21"/>
          <w:lang w:val="es-MX" w:eastAsia="en-US"/>
        </w:rPr>
      </w:pPr>
    </w:p>
    <w:p w14:paraId="1D9BD78D" w14:textId="3DA7934A" w:rsidR="00285555" w:rsidRPr="00285555" w:rsidRDefault="00285555" w:rsidP="001A28E5">
      <w:pPr>
        <w:numPr>
          <w:ilvl w:val="0"/>
          <w:numId w:val="39"/>
        </w:numPr>
        <w:jc w:val="both"/>
        <w:rPr>
          <w:rFonts w:ascii="Abadi" w:hAnsi="Abadi"/>
          <w:sz w:val="21"/>
          <w:szCs w:val="21"/>
          <w:lang w:val="es-MX" w:eastAsia="en-US"/>
        </w:rPr>
      </w:pPr>
      <w:r w:rsidRPr="00285555">
        <w:rPr>
          <w:rFonts w:ascii="Abadi" w:hAnsi="Abadi"/>
          <w:sz w:val="21"/>
          <w:szCs w:val="21"/>
          <w:lang w:val="es-MX" w:eastAsia="en-US"/>
        </w:rPr>
        <w:t>Se verificó que los bienes inmuebles se hayan adquirido a personas sin conflicto de interés con el sujeto fiscalizado.</w:t>
      </w:r>
    </w:p>
    <w:p w14:paraId="7EA8FB89" w14:textId="77777777" w:rsidR="00285555" w:rsidRPr="00285555" w:rsidRDefault="00285555" w:rsidP="00285555">
      <w:pPr>
        <w:jc w:val="both"/>
        <w:rPr>
          <w:rFonts w:ascii="Abadi" w:hAnsi="Abadi"/>
          <w:sz w:val="21"/>
          <w:szCs w:val="21"/>
          <w:lang w:val="es-MX" w:eastAsia="en-US"/>
        </w:rPr>
      </w:pPr>
    </w:p>
    <w:p w14:paraId="33C6A344" w14:textId="77777777" w:rsidR="00285555" w:rsidRPr="00285555" w:rsidRDefault="00285555" w:rsidP="001A28E5">
      <w:pPr>
        <w:numPr>
          <w:ilvl w:val="0"/>
          <w:numId w:val="39"/>
        </w:numPr>
        <w:jc w:val="both"/>
        <w:rPr>
          <w:rFonts w:ascii="Abadi" w:hAnsi="Abadi"/>
          <w:sz w:val="21"/>
          <w:szCs w:val="21"/>
          <w:lang w:val="es-MX" w:eastAsia="en-US"/>
        </w:rPr>
      </w:pPr>
      <w:r w:rsidRPr="00285555">
        <w:rPr>
          <w:rFonts w:ascii="Abadi" w:hAnsi="Abadi"/>
          <w:sz w:val="21"/>
          <w:szCs w:val="21"/>
          <w:lang w:val="es-MX" w:eastAsia="en-US"/>
        </w:rPr>
        <w:t>Se verificó que el valor unitario por metro cuadrado pagado considerado en los avalúos inmobiliarios se encontrara dentro del mercado, a través de la elaboración de una investigación de mercado.</w:t>
      </w:r>
    </w:p>
    <w:p w14:paraId="66724224" w14:textId="77777777" w:rsidR="00285555" w:rsidRPr="00285555" w:rsidRDefault="00285555" w:rsidP="00285555">
      <w:pPr>
        <w:jc w:val="both"/>
        <w:rPr>
          <w:rFonts w:ascii="Abadi" w:hAnsi="Abadi"/>
          <w:sz w:val="21"/>
          <w:szCs w:val="21"/>
          <w:lang w:val="es-MX" w:eastAsia="en-US"/>
        </w:rPr>
      </w:pPr>
    </w:p>
    <w:p w14:paraId="48604222" w14:textId="77777777" w:rsidR="00285555" w:rsidRPr="00285555" w:rsidRDefault="00285555" w:rsidP="00285555">
      <w:pPr>
        <w:ind w:firstLine="708"/>
        <w:jc w:val="both"/>
        <w:rPr>
          <w:rFonts w:ascii="Abadi" w:hAnsi="Abadi"/>
          <w:sz w:val="21"/>
          <w:szCs w:val="21"/>
          <w:lang w:val="es-MX" w:eastAsia="en-US"/>
        </w:rPr>
      </w:pPr>
      <w:r w:rsidRPr="00285555">
        <w:rPr>
          <w:rFonts w:ascii="Abadi" w:hAnsi="Abadi"/>
          <w:sz w:val="21"/>
          <w:szCs w:val="21"/>
          <w:lang w:val="es-MX" w:eastAsia="en-US"/>
        </w:rPr>
        <w:t>También se informó por parte de la Auditoría Superior del Estado que en el periodo de revisión, en el INFOSPE no se identificaron operaciones con empresas que facturan operaciones simuladas (EFOS).</w:t>
      </w:r>
    </w:p>
    <w:p w14:paraId="2FD5F123" w14:textId="77777777" w:rsidR="00285555" w:rsidRPr="00285555" w:rsidRDefault="00285555" w:rsidP="00285555">
      <w:pPr>
        <w:jc w:val="both"/>
        <w:rPr>
          <w:rFonts w:ascii="Abadi" w:hAnsi="Abadi"/>
          <w:sz w:val="21"/>
          <w:szCs w:val="21"/>
          <w:lang w:val="es-MX" w:eastAsia="en-US"/>
        </w:rPr>
      </w:pPr>
    </w:p>
    <w:p w14:paraId="3D909CF0" w14:textId="77777777" w:rsidR="00285555" w:rsidRPr="00285555" w:rsidRDefault="00285555" w:rsidP="00285555">
      <w:pPr>
        <w:ind w:firstLine="708"/>
        <w:jc w:val="both"/>
        <w:rPr>
          <w:rFonts w:ascii="Abadi" w:hAnsi="Abadi"/>
          <w:sz w:val="21"/>
          <w:szCs w:val="21"/>
          <w:lang w:val="es-MX" w:eastAsia="en-US"/>
        </w:rPr>
      </w:pPr>
      <w:r w:rsidRPr="00285555">
        <w:rPr>
          <w:rFonts w:ascii="Abadi" w:hAnsi="Abadi"/>
          <w:sz w:val="21"/>
          <w:szCs w:val="21"/>
          <w:lang w:val="es-MX" w:eastAsia="en-US"/>
        </w:rPr>
        <w:t>Asimismo, en el ejercicio fiscal de 2020 el referido Instituto de Formación de Seguridad Pública del Estado de Guanajuato fue sujeto a revisión bajo procedimientos analíticos de planeación por parte de la Auditoría Superior del Estado.</w:t>
      </w:r>
    </w:p>
    <w:p w14:paraId="6FE17921" w14:textId="77777777" w:rsidR="00285555" w:rsidRPr="00285555" w:rsidRDefault="00285555" w:rsidP="00285555">
      <w:pPr>
        <w:ind w:firstLine="708"/>
        <w:jc w:val="both"/>
        <w:rPr>
          <w:rFonts w:ascii="Abadi" w:hAnsi="Abadi"/>
          <w:sz w:val="21"/>
          <w:szCs w:val="21"/>
          <w:lang w:val="es-MX" w:eastAsia="en-US"/>
        </w:rPr>
      </w:pPr>
    </w:p>
    <w:p w14:paraId="37F0CDF1" w14:textId="77777777" w:rsidR="00285555" w:rsidRPr="00285555" w:rsidRDefault="00285555" w:rsidP="00285555">
      <w:pPr>
        <w:ind w:firstLine="708"/>
        <w:jc w:val="both"/>
        <w:rPr>
          <w:rFonts w:ascii="Abadi" w:hAnsi="Abadi"/>
          <w:sz w:val="21"/>
          <w:szCs w:val="21"/>
          <w:lang w:val="es-MX" w:eastAsia="en-US"/>
        </w:rPr>
      </w:pPr>
      <w:r w:rsidRPr="00285555">
        <w:rPr>
          <w:rFonts w:ascii="Abadi" w:hAnsi="Abadi"/>
          <w:sz w:val="21"/>
          <w:szCs w:val="21"/>
          <w:lang w:val="es-MX" w:eastAsia="en-US"/>
        </w:rPr>
        <w:t xml:space="preserve">Los análisis realizados en planeación están vinculados con la generalidad del sujeto fiscalizado, con los sistemas transaccionales, de control interno, de materialidad presupuestal, de visibilidad y relevancia, así como de posibles riesgos asociados, entre los que destacan:  Actas de Órgano de Gobierno y adquisiciones, notas periodísticas, publicaciones en el Periódico Oficial de Gobierno del Estado, análisis de demandas, informes de auditoría emitidos por Órganos Internos de Control, auditorías externas y por la propia Auditoría Superior del Estado, sistemas transaccionales (Tesorería, ingresos, bienes muebles e inmuebles, servicios personales, ayudas y subsidios, deuda, entre otros); variaciones presupuestales, saldos de cuenta de balance y resultados, bancos, proveedores y contratistas, enajenación y adquisición de bienes muebles e inmuebles, procesamiento de CFDI (XML). </w:t>
      </w:r>
      <w:bookmarkStart w:id="24" w:name="_Hlk103177976"/>
      <w:r w:rsidRPr="00285555">
        <w:rPr>
          <w:rFonts w:ascii="Abadi" w:hAnsi="Abadi"/>
          <w:sz w:val="21"/>
          <w:szCs w:val="21"/>
          <w:lang w:val="es-MX" w:eastAsia="en-US"/>
        </w:rPr>
        <w:t xml:space="preserve">La realización de dichos análisis contempla la generalidad de las diversas unidades responsables en el Poder Ejecutivo, incluyendo al propio </w:t>
      </w:r>
      <w:bookmarkEnd w:id="24"/>
      <w:r w:rsidRPr="00285555">
        <w:rPr>
          <w:rFonts w:ascii="Abadi" w:hAnsi="Abadi"/>
          <w:sz w:val="21"/>
          <w:szCs w:val="21"/>
          <w:lang w:val="es-MX" w:eastAsia="en-US"/>
        </w:rPr>
        <w:t>Instituto de Formación de Seguridad Pública del Estado de Guanajuato.</w:t>
      </w:r>
    </w:p>
    <w:p w14:paraId="2C196035" w14:textId="77777777" w:rsidR="00285555" w:rsidRPr="00285555" w:rsidRDefault="00285555" w:rsidP="00285555">
      <w:pPr>
        <w:ind w:firstLine="708"/>
        <w:jc w:val="both"/>
        <w:rPr>
          <w:rFonts w:ascii="Abadi" w:hAnsi="Abadi"/>
          <w:sz w:val="21"/>
          <w:szCs w:val="21"/>
          <w:lang w:val="es-MX" w:eastAsia="en-US"/>
        </w:rPr>
      </w:pPr>
    </w:p>
    <w:p w14:paraId="66009C23" w14:textId="08B63FB0" w:rsidR="00742FDC" w:rsidRDefault="00285555" w:rsidP="00742FDC">
      <w:pPr>
        <w:ind w:firstLine="708"/>
        <w:jc w:val="both"/>
        <w:rPr>
          <w:rFonts w:ascii="Abadi" w:hAnsi="Abadi"/>
          <w:sz w:val="21"/>
          <w:szCs w:val="21"/>
          <w:lang w:val="es-MX" w:eastAsia="en-US"/>
        </w:rPr>
      </w:pPr>
      <w:r w:rsidRPr="00285555">
        <w:rPr>
          <w:rFonts w:ascii="Abadi" w:hAnsi="Abadi"/>
          <w:sz w:val="21"/>
          <w:szCs w:val="21"/>
          <w:lang w:val="es-MX" w:eastAsia="en-US"/>
        </w:rPr>
        <w:t>En cuanto al ejercicio fiscal 2021, de la información proporcionada por el Instituto de Formación de Seguridad Pública del Estado de Guanajuato, la Auditoría Superior del Estado visualiza la siguiente información relacionada con obra pública:</w:t>
      </w:r>
    </w:p>
    <w:p w14:paraId="52B5EB2C" w14:textId="53C068AE" w:rsidR="00EB41C0" w:rsidRPr="00742FDC" w:rsidRDefault="00EB41C0" w:rsidP="00742FDC">
      <w:pPr>
        <w:ind w:firstLine="708"/>
        <w:jc w:val="both"/>
        <w:rPr>
          <w:rFonts w:ascii="Abadi" w:hAnsi="Abadi"/>
          <w:sz w:val="21"/>
          <w:szCs w:val="21"/>
          <w:lang w:val="es-MX" w:eastAsia="en-US"/>
        </w:rPr>
      </w:pPr>
      <w:r>
        <w:rPr>
          <w:noProof/>
        </w:rPr>
        <w:drawing>
          <wp:anchor distT="0" distB="0" distL="114300" distR="114300" simplePos="0" relativeHeight="251738112" behindDoc="1" locked="0" layoutInCell="1" allowOverlap="1" wp14:anchorId="54497678" wp14:editId="158BB828">
            <wp:simplePos x="0" y="0"/>
            <wp:positionH relativeFrom="column">
              <wp:posOffset>-135255</wp:posOffset>
            </wp:positionH>
            <wp:positionV relativeFrom="paragraph">
              <wp:posOffset>260350</wp:posOffset>
            </wp:positionV>
            <wp:extent cx="3648710" cy="2324735"/>
            <wp:effectExtent l="0" t="0" r="8890" b="0"/>
            <wp:wrapTight wrapText="bothSides">
              <wp:wrapPolygon edited="0">
                <wp:start x="0" y="0"/>
                <wp:lineTo x="0" y="21417"/>
                <wp:lineTo x="21540" y="21417"/>
                <wp:lineTo x="21540" y="0"/>
                <wp:lineTo x="0" y="0"/>
              </wp:wrapPolygon>
            </wp:wrapTight>
            <wp:docPr id="36" name="Imagen 36" descr="Interfaz de usuario gráfica, Aplicación, Tabl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Aplicación, Tabla, Word&#10;&#10;Descripción generada automáticamente"/>
                    <pic:cNvPicPr/>
                  </pic:nvPicPr>
                  <pic:blipFill rotWithShape="1">
                    <a:blip r:embed="rId58">
                      <a:extLst>
                        <a:ext uri="{28A0092B-C50C-407E-A947-70E740481C1C}">
                          <a14:useLocalDpi xmlns:a14="http://schemas.microsoft.com/office/drawing/2010/main" val="0"/>
                        </a:ext>
                      </a:extLst>
                    </a:blip>
                    <a:srcRect l="26849" t="32759" r="23707" b="11175"/>
                    <a:stretch/>
                  </pic:blipFill>
                  <pic:spPr bwMode="auto">
                    <a:xfrm>
                      <a:off x="0" y="0"/>
                      <a:ext cx="3648710" cy="2324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0C689" w14:textId="43344F73" w:rsidR="00742FDC" w:rsidRDefault="00742FDC" w:rsidP="00285555">
      <w:pPr>
        <w:ind w:firstLine="708"/>
        <w:jc w:val="both"/>
        <w:rPr>
          <w:rFonts w:ascii="Abadi" w:hAnsi="Abadi" w:cs="Arial"/>
          <w:iCs/>
          <w:sz w:val="21"/>
          <w:szCs w:val="21"/>
        </w:rPr>
      </w:pPr>
    </w:p>
    <w:p w14:paraId="50E2F6AD" w14:textId="4072C873" w:rsidR="00285555" w:rsidRPr="00285555" w:rsidRDefault="00285555" w:rsidP="00285555">
      <w:pPr>
        <w:ind w:firstLine="708"/>
        <w:jc w:val="both"/>
        <w:rPr>
          <w:rFonts w:ascii="Abadi" w:hAnsi="Abadi" w:cs="Arial"/>
          <w:iCs/>
          <w:sz w:val="21"/>
          <w:szCs w:val="21"/>
        </w:rPr>
      </w:pPr>
      <w:r w:rsidRPr="00285555">
        <w:rPr>
          <w:rFonts w:ascii="Abadi" w:hAnsi="Abadi" w:cs="Arial"/>
          <w:iCs/>
          <w:sz w:val="21"/>
          <w:szCs w:val="21"/>
        </w:rPr>
        <w:t xml:space="preserve">De igual forma, de la información proporcionada por la Auditoría Superior del Estado podemos desprender que los importes ejercidos por el </w:t>
      </w:r>
      <w:r w:rsidRPr="00285555">
        <w:rPr>
          <w:rFonts w:ascii="Abadi" w:hAnsi="Abadi"/>
          <w:sz w:val="21"/>
          <w:szCs w:val="21"/>
          <w:lang w:val="es-MX" w:eastAsia="en-US"/>
        </w:rPr>
        <w:t>Instituto de Formación de Seguridad Pública del Estado de Guanajuato</w:t>
      </w:r>
      <w:r w:rsidRPr="00285555">
        <w:rPr>
          <w:rFonts w:ascii="Abadi" w:hAnsi="Abadi" w:cs="Arial"/>
          <w:iCs/>
          <w:sz w:val="21"/>
          <w:szCs w:val="21"/>
        </w:rPr>
        <w:t xml:space="preserve"> durante el ejercicio 2021 por concepto de obra y servicios relacionados, representan un impacto económico menor con respecto a obras de otras dependencias y unidades del Gobierno del Estado, por lo que tanto cuantitativamente (importancia relativa), como cualitativamente (identificación de riesgos), existen otros rubros de cuenta pública que acorde con la metodología presentan mayores elementos de selección para su revisión.</w:t>
      </w:r>
    </w:p>
    <w:p w14:paraId="2E1E3639" w14:textId="77777777" w:rsidR="00285555" w:rsidRPr="00285555" w:rsidRDefault="00285555" w:rsidP="00285555">
      <w:pPr>
        <w:ind w:firstLine="708"/>
        <w:jc w:val="both"/>
        <w:rPr>
          <w:rFonts w:ascii="Abadi" w:hAnsi="Abadi" w:cs="Arial"/>
          <w:iCs/>
          <w:sz w:val="21"/>
          <w:szCs w:val="21"/>
        </w:rPr>
      </w:pPr>
    </w:p>
    <w:p w14:paraId="1560EFA0" w14:textId="5C9490E0" w:rsidR="00285555" w:rsidRDefault="00285555" w:rsidP="00742FDC">
      <w:pPr>
        <w:ind w:firstLine="708"/>
        <w:contextualSpacing/>
        <w:jc w:val="both"/>
        <w:rPr>
          <w:rFonts w:ascii="Abadi" w:eastAsia="Calibri" w:hAnsi="Abadi"/>
          <w:bCs/>
          <w:sz w:val="21"/>
          <w:szCs w:val="21"/>
          <w:lang w:val="es-MX" w:eastAsia="en-US"/>
        </w:rPr>
      </w:pPr>
      <w:r w:rsidRPr="00285555">
        <w:rPr>
          <w:rFonts w:ascii="Abadi" w:eastAsia="Calibri" w:hAnsi="Abadi"/>
          <w:bCs/>
          <w:sz w:val="21"/>
          <w:szCs w:val="21"/>
          <w:lang w:val="es-MX" w:eastAsia="en-US"/>
        </w:rPr>
        <w:t>Aunado a lo anterior, en el Programa General de Fiscalización 2022 se contemplan 272 actos de fiscalización, por lo que, de acuerdo a dicho Programa, así como al Programa Operativo Anual y la capacidad institucional instalada, la incorporación de actos de fiscalización adicionales a los ya programados, incidiría directamente en la cobertura, calidad y tiempos de la fiscalización, en detrimento del citado programa y de los actos de fiscalización previamente planificados.</w:t>
      </w:r>
    </w:p>
    <w:p w14:paraId="4A86CF12" w14:textId="77777777" w:rsidR="00742FDC" w:rsidRPr="00285555" w:rsidRDefault="00742FDC" w:rsidP="00742FDC">
      <w:pPr>
        <w:ind w:firstLine="708"/>
        <w:contextualSpacing/>
        <w:jc w:val="both"/>
        <w:rPr>
          <w:rFonts w:ascii="Abadi" w:eastAsia="Calibri" w:hAnsi="Abadi"/>
          <w:bCs/>
          <w:sz w:val="21"/>
          <w:szCs w:val="21"/>
          <w:lang w:val="es-MX" w:eastAsia="en-US"/>
        </w:rPr>
      </w:pPr>
    </w:p>
    <w:p w14:paraId="42D57C8E" w14:textId="77777777" w:rsidR="00285555" w:rsidRPr="00285555" w:rsidRDefault="00285555" w:rsidP="00285555">
      <w:pPr>
        <w:ind w:firstLine="720"/>
        <w:jc w:val="both"/>
        <w:rPr>
          <w:rFonts w:ascii="Abadi" w:hAnsi="Abadi" w:cs="Arial"/>
          <w:sz w:val="21"/>
          <w:szCs w:val="21"/>
        </w:rPr>
      </w:pPr>
      <w:r w:rsidRPr="00285555">
        <w:rPr>
          <w:rFonts w:ascii="Abadi" w:hAnsi="Abadi"/>
          <w:sz w:val="21"/>
          <w:szCs w:val="21"/>
          <w:lang w:val="es-MX" w:eastAsia="en-US"/>
        </w:rPr>
        <w:t>En razón a lo antes señalado y privilegiando la realización de los actos de fiscalización ya contemplados en el Programa General de Fiscalización de la Auditoría Superior del Estado para el presente ejercicio fiscal, mismo que consideró una planeación estratégica, así como al cumplimiento de dicho programa en tiempo y calidad de los actos programados, así como a la capacidad institucional instalada de dicho Órgano Técnico, determinamos no autorizar la realización de la auditoría propuesta, atendiendo además a que en la revisión de la cuenta pública del Poder Ejecutivo del Estado del ejercicio 2019 la Auditoría Superior del Estado revisó la adquisición de los terrenos para la construcción del nuevo complejo para el Instituto de Formación en</w:t>
      </w:r>
      <w:r w:rsidRPr="00285555">
        <w:rPr>
          <w:rFonts w:ascii="Abadi" w:hAnsi="Abadi" w:cs="Arial"/>
          <w:iCs/>
          <w:sz w:val="21"/>
          <w:szCs w:val="21"/>
        </w:rPr>
        <w:t xml:space="preserve"> Seguridad Pública del Estado. Asimismo, en lo correspondiente a la cuenta pública del Poder Ejecutivo del Estado del ejercicio fiscal 2021 </w:t>
      </w:r>
      <w:r w:rsidRPr="00285555">
        <w:rPr>
          <w:rFonts w:ascii="Abadi" w:hAnsi="Abadi"/>
          <w:sz w:val="21"/>
          <w:szCs w:val="21"/>
          <w:lang w:val="es-MX" w:eastAsia="en-US"/>
        </w:rPr>
        <w:t>se proporcionó diversa información por parte del Instituto de Formación de Seguridad Pública del Estado de Guanajuato, misma que será materia de dicha revisión por parte del ente fiscalizador, lo cual se contendrá en el informe de resultados de la revisión de la citada cuenta pública.</w:t>
      </w:r>
    </w:p>
    <w:p w14:paraId="13182C9B" w14:textId="77777777" w:rsidR="00285555" w:rsidRPr="00285555" w:rsidRDefault="00285555" w:rsidP="00285555">
      <w:pPr>
        <w:ind w:firstLine="720"/>
        <w:jc w:val="both"/>
        <w:rPr>
          <w:rFonts w:ascii="Abadi" w:hAnsi="Abadi" w:cs="Arial"/>
          <w:sz w:val="21"/>
          <w:szCs w:val="21"/>
        </w:rPr>
      </w:pPr>
    </w:p>
    <w:p w14:paraId="2173E1B2" w14:textId="77777777" w:rsidR="00285555" w:rsidRPr="00285555" w:rsidRDefault="00285555" w:rsidP="00285555">
      <w:pPr>
        <w:widowControl w:val="0"/>
        <w:spacing w:after="200"/>
        <w:ind w:firstLine="708"/>
        <w:contextualSpacing/>
        <w:jc w:val="both"/>
        <w:rPr>
          <w:rFonts w:ascii="Abadi" w:eastAsia="Calibri" w:hAnsi="Abadi"/>
          <w:bCs/>
          <w:sz w:val="21"/>
          <w:szCs w:val="21"/>
          <w:lang w:val="es-MX" w:eastAsia="en-US"/>
        </w:rPr>
      </w:pPr>
      <w:r w:rsidRPr="00285555">
        <w:rPr>
          <w:rFonts w:ascii="Abadi" w:eastAsia="Calibri" w:hAnsi="Abadi"/>
          <w:bCs/>
          <w:sz w:val="21"/>
          <w:szCs w:val="21"/>
          <w:lang w:val="es-MX" w:eastAsia="en-US"/>
        </w:rPr>
        <w:t xml:space="preserve">No obstante, la Auditoría Superior del Estado podrá considerar los hechos que correspondan al ejercicio 2021 planteados por las y los proponentes en la planeación y ejecución de la revisión de la cuenta pública de dicho ejercicio. </w:t>
      </w:r>
    </w:p>
    <w:p w14:paraId="75A623A8" w14:textId="77777777" w:rsidR="00285555" w:rsidRPr="00285555" w:rsidRDefault="00285555" w:rsidP="00285555">
      <w:pPr>
        <w:ind w:firstLine="708"/>
        <w:jc w:val="both"/>
        <w:rPr>
          <w:rFonts w:ascii="Abadi" w:hAnsi="Abadi" w:cs="Arial"/>
          <w:iCs/>
          <w:sz w:val="21"/>
          <w:szCs w:val="21"/>
        </w:rPr>
      </w:pPr>
      <w:r w:rsidRPr="00285555">
        <w:rPr>
          <w:rFonts w:ascii="Abadi" w:hAnsi="Abadi" w:cs="Arial"/>
          <w:iCs/>
          <w:sz w:val="21"/>
          <w:szCs w:val="21"/>
        </w:rPr>
        <w:t xml:space="preserve">Por lo expuesto y con fundamento en el artículo 204 de </w:t>
      </w:r>
      <w:smartTag w:uri="urn:schemas-microsoft-com:office:smarttags" w:element="PersonName">
        <w:smartTagPr>
          <w:attr w:name="ProductID" w:val="la Ley Org￡nica"/>
        </w:smartTagPr>
        <w:r w:rsidRPr="00285555">
          <w:rPr>
            <w:rFonts w:ascii="Abadi" w:hAnsi="Abadi" w:cs="Arial"/>
            <w:iCs/>
            <w:sz w:val="21"/>
            <w:szCs w:val="21"/>
          </w:rPr>
          <w:t>la Ley Orgánica</w:t>
        </w:r>
      </w:smartTag>
      <w:r w:rsidRPr="00285555">
        <w:rPr>
          <w:rFonts w:ascii="Abadi" w:hAnsi="Abadi" w:cs="Arial"/>
          <w:iCs/>
          <w:sz w:val="21"/>
          <w:szCs w:val="21"/>
        </w:rPr>
        <w:t xml:space="preserve"> del Poder Legislativo del Estado, sometemos a la consideración de </w:t>
      </w:r>
      <w:smartTag w:uri="urn:schemas-microsoft-com:office:smarttags" w:element="PersonName">
        <w:smartTagPr>
          <w:attr w:name="ProductID" w:val="la Asamblea"/>
        </w:smartTagPr>
        <w:r w:rsidRPr="00285555">
          <w:rPr>
            <w:rFonts w:ascii="Abadi" w:hAnsi="Abadi" w:cs="Arial"/>
            <w:iCs/>
            <w:sz w:val="21"/>
            <w:szCs w:val="21"/>
          </w:rPr>
          <w:t>la Asamblea</w:t>
        </w:r>
      </w:smartTag>
      <w:r w:rsidRPr="00285555">
        <w:rPr>
          <w:rFonts w:ascii="Abadi" w:hAnsi="Abadi" w:cs="Arial"/>
          <w:iCs/>
          <w:sz w:val="21"/>
          <w:szCs w:val="21"/>
        </w:rPr>
        <w:t>, la aprobación del siguiente:</w:t>
      </w:r>
    </w:p>
    <w:p w14:paraId="01B2D481" w14:textId="77777777" w:rsidR="00285555" w:rsidRPr="00285555" w:rsidRDefault="00285555" w:rsidP="00285555">
      <w:pPr>
        <w:jc w:val="center"/>
        <w:rPr>
          <w:rFonts w:ascii="Abadi" w:hAnsi="Abadi" w:cs="Arial"/>
          <w:b/>
          <w:iCs/>
          <w:sz w:val="21"/>
          <w:szCs w:val="21"/>
        </w:rPr>
      </w:pPr>
      <w:r w:rsidRPr="00285555">
        <w:rPr>
          <w:rFonts w:ascii="Abadi" w:hAnsi="Abadi" w:cs="Arial"/>
          <w:b/>
          <w:iCs/>
          <w:sz w:val="21"/>
          <w:szCs w:val="21"/>
        </w:rPr>
        <w:t>A c u e r d o</w:t>
      </w:r>
    </w:p>
    <w:p w14:paraId="448EFEB4" w14:textId="77777777" w:rsidR="00285555" w:rsidRPr="00285555" w:rsidRDefault="00285555" w:rsidP="00285555">
      <w:pPr>
        <w:jc w:val="center"/>
        <w:rPr>
          <w:rFonts w:ascii="Abadi" w:hAnsi="Abadi" w:cs="Arial"/>
          <w:b/>
          <w:iCs/>
          <w:sz w:val="21"/>
          <w:szCs w:val="21"/>
        </w:rPr>
      </w:pPr>
    </w:p>
    <w:p w14:paraId="3CCE0ED1" w14:textId="77777777" w:rsidR="00285555" w:rsidRPr="00285555" w:rsidRDefault="00285555" w:rsidP="00285555">
      <w:pPr>
        <w:ind w:left="-142" w:firstLine="708"/>
        <w:jc w:val="both"/>
        <w:rPr>
          <w:rFonts w:ascii="Abadi" w:hAnsi="Abadi" w:cs="Arial"/>
          <w:sz w:val="21"/>
          <w:szCs w:val="21"/>
        </w:rPr>
      </w:pPr>
      <w:r w:rsidRPr="00285555">
        <w:rPr>
          <w:rFonts w:ascii="Abadi" w:hAnsi="Abadi" w:cs="Arial"/>
          <w:b/>
          <w:iCs/>
          <w:sz w:val="21"/>
          <w:szCs w:val="21"/>
        </w:rPr>
        <w:t>Único.</w:t>
      </w:r>
      <w:r w:rsidRPr="00285555">
        <w:rPr>
          <w:rFonts w:ascii="Abadi" w:hAnsi="Abadi" w:cs="Arial"/>
          <w:b/>
          <w:sz w:val="21"/>
          <w:szCs w:val="21"/>
        </w:rPr>
        <w:t xml:space="preserve"> </w:t>
      </w:r>
      <w:r w:rsidRPr="00285555">
        <w:rPr>
          <w:rFonts w:ascii="Abadi" w:hAnsi="Abadi" w:cs="Arial"/>
          <w:iCs/>
          <w:sz w:val="21"/>
          <w:szCs w:val="21"/>
        </w:rPr>
        <w:t>Se determina improcedente la propuesta de punto de acuerdo formulada por las diputadas y los diputados integrantes del Grupo Parlamentario del Partido MORENA, en sesión ordinaria celebrada el 7 de abril de 2022 presentaron la propuesta de punto de acuerdo a efecto de exhortar al Auditor Superior del Estado de Guanajuato para que realice dos auditorías, la primera, a fin de revisar el ejercicio de recursos públicos destinados hasta el momento a la academia del Instituto de Formación en Seguridad Pública del Estado, llevada a cabo por el Poder Ejecutivo del Estado de Guanajuato en los ejercicios fiscales de 2019 y, en su caso, subsiguientes, la cual deberá incorporarse al Programa General de Fiscalización 2022 y llevar a cabo, al menos, procedimientos para la verificación de que se hayan realizado todos los conceptos de obra pagados, así como de comprobación de posibles sobreprecios; y la segunda, a fin de revisar el ejercicio de recursos públicos derivados del financiamiento avalado por el Congreso en septiembre de 2021, que se destinen a proyectos para el fortalecimiento del sistema de seguridad pública, procuración de justicia y certeza jurídica llevados a cabo por el Poder Ejecutivo del Estado de Guanajuato, la cual deberá realizarse de manera concomitante a partir de la programación de dichos recursos, abarcando los ejercicios fiscales necesarios hasta que se completen los proyectos que se lleven a cabo en tal rubro.</w:t>
      </w:r>
      <w:r w:rsidRPr="00285555">
        <w:rPr>
          <w:rFonts w:ascii="Abadi" w:hAnsi="Abadi"/>
          <w:sz w:val="21"/>
          <w:szCs w:val="21"/>
          <w:lang w:val="es-ES_tradnl"/>
        </w:rPr>
        <w:t xml:space="preserve"> En consecuencia, se ordena su archivo definitivo.</w:t>
      </w:r>
    </w:p>
    <w:p w14:paraId="481B4716" w14:textId="77777777" w:rsidR="00285555" w:rsidRPr="00285555" w:rsidRDefault="00285555" w:rsidP="00285555">
      <w:pPr>
        <w:ind w:firstLine="708"/>
        <w:jc w:val="both"/>
        <w:rPr>
          <w:rFonts w:ascii="Abadi" w:hAnsi="Abadi" w:cs="Arial"/>
          <w:sz w:val="21"/>
          <w:szCs w:val="21"/>
        </w:rPr>
      </w:pPr>
    </w:p>
    <w:p w14:paraId="5982E4B1" w14:textId="77777777" w:rsidR="00285555" w:rsidRPr="00285555" w:rsidRDefault="00285555" w:rsidP="00285555">
      <w:pPr>
        <w:ind w:firstLine="708"/>
        <w:jc w:val="both"/>
        <w:rPr>
          <w:rFonts w:ascii="Abadi" w:hAnsi="Abadi" w:cs="Arial"/>
          <w:iCs/>
          <w:sz w:val="21"/>
          <w:szCs w:val="21"/>
        </w:rPr>
      </w:pPr>
      <w:r w:rsidRPr="00285555">
        <w:rPr>
          <w:rFonts w:ascii="Abadi" w:hAnsi="Abadi" w:cs="Arial"/>
          <w:sz w:val="21"/>
          <w:szCs w:val="21"/>
        </w:rPr>
        <w:t>Comuníquese el presente acuerdo al Secretario General del Congreso de Estado, para los efectos conducentes</w:t>
      </w:r>
    </w:p>
    <w:p w14:paraId="0D8C4201" w14:textId="77777777" w:rsidR="00285555" w:rsidRPr="00285555" w:rsidRDefault="00285555" w:rsidP="00285555">
      <w:pPr>
        <w:spacing w:line="360" w:lineRule="auto"/>
        <w:ind w:firstLine="708"/>
        <w:jc w:val="center"/>
        <w:rPr>
          <w:rFonts w:ascii="Abadi" w:hAnsi="Abadi" w:cs="Arial"/>
          <w:iCs/>
          <w:sz w:val="21"/>
          <w:szCs w:val="21"/>
        </w:rPr>
      </w:pPr>
    </w:p>
    <w:p w14:paraId="58CCE2D3" w14:textId="77777777" w:rsidR="00285555" w:rsidRPr="00285555" w:rsidRDefault="00285555" w:rsidP="00285555">
      <w:pPr>
        <w:jc w:val="center"/>
        <w:rPr>
          <w:rFonts w:ascii="Abadi" w:hAnsi="Abadi"/>
          <w:b/>
          <w:bCs/>
          <w:sz w:val="21"/>
          <w:szCs w:val="21"/>
          <w:lang w:eastAsia="x-none"/>
        </w:rPr>
      </w:pPr>
      <w:r w:rsidRPr="00285555">
        <w:rPr>
          <w:rFonts w:ascii="Abadi" w:hAnsi="Abadi"/>
          <w:b/>
          <w:bCs/>
          <w:sz w:val="21"/>
          <w:szCs w:val="21"/>
          <w:lang w:eastAsia="x-none"/>
        </w:rPr>
        <w:t>Guanajuato, Gto., 16 de junio de 2022</w:t>
      </w:r>
    </w:p>
    <w:p w14:paraId="2E7855D1" w14:textId="6EDCC6D7" w:rsidR="00285555" w:rsidRDefault="00285555" w:rsidP="00285555">
      <w:pPr>
        <w:jc w:val="center"/>
        <w:rPr>
          <w:rFonts w:ascii="Abadi" w:hAnsi="Abadi"/>
          <w:b/>
          <w:bCs/>
          <w:sz w:val="21"/>
          <w:szCs w:val="21"/>
          <w:lang w:eastAsia="x-none"/>
        </w:rPr>
      </w:pPr>
      <w:smartTag w:uri="urn:schemas-microsoft-com:office:smarttags" w:element="PersonName">
        <w:smartTagPr>
          <w:attr w:name="ProductID" w:val="La Comisi￳n"/>
        </w:smartTagPr>
        <w:r w:rsidRPr="00285555">
          <w:rPr>
            <w:rFonts w:ascii="Abadi" w:hAnsi="Abadi"/>
            <w:b/>
            <w:bCs/>
            <w:sz w:val="21"/>
            <w:szCs w:val="21"/>
            <w:lang w:eastAsia="x-none"/>
          </w:rPr>
          <w:t>La Comisión</w:t>
        </w:r>
      </w:smartTag>
      <w:r w:rsidRPr="00285555">
        <w:rPr>
          <w:rFonts w:ascii="Abadi" w:hAnsi="Abadi"/>
          <w:b/>
          <w:bCs/>
          <w:sz w:val="21"/>
          <w:szCs w:val="21"/>
          <w:lang w:eastAsia="x-none"/>
        </w:rPr>
        <w:t xml:space="preserve"> de Hacienda y Fiscalización</w:t>
      </w:r>
    </w:p>
    <w:p w14:paraId="26C51500" w14:textId="77777777" w:rsidR="00285555" w:rsidRPr="00285555" w:rsidRDefault="00285555" w:rsidP="00285555">
      <w:pPr>
        <w:jc w:val="center"/>
        <w:rPr>
          <w:rFonts w:ascii="Abadi" w:hAnsi="Abadi"/>
          <w:b/>
          <w:bCs/>
          <w:sz w:val="21"/>
          <w:szCs w:val="21"/>
          <w:lang w:eastAsia="x-none"/>
        </w:rPr>
      </w:pPr>
    </w:p>
    <w:p w14:paraId="5980FF5A" w14:textId="77777777" w:rsidR="00285555" w:rsidRPr="00285555" w:rsidRDefault="00285555" w:rsidP="00285555">
      <w:pPr>
        <w:jc w:val="center"/>
        <w:rPr>
          <w:rFonts w:ascii="Abadi" w:hAnsi="Abadi"/>
          <w:sz w:val="21"/>
          <w:szCs w:val="21"/>
        </w:rPr>
      </w:pPr>
    </w:p>
    <w:p w14:paraId="44D10406" w14:textId="77777777" w:rsidR="00285555" w:rsidRPr="00285555" w:rsidRDefault="00285555" w:rsidP="00285555">
      <w:pPr>
        <w:jc w:val="center"/>
        <w:rPr>
          <w:rFonts w:ascii="Abadi" w:hAnsi="Abadi"/>
          <w:sz w:val="21"/>
          <w:szCs w:val="21"/>
          <w:lang w:val="es-MX"/>
        </w:rPr>
      </w:pPr>
      <w:r w:rsidRPr="00285555">
        <w:rPr>
          <w:rFonts w:ascii="Abadi" w:hAnsi="Abadi"/>
          <w:b/>
          <w:sz w:val="21"/>
          <w:szCs w:val="21"/>
          <w:lang w:eastAsia="x-none"/>
        </w:rPr>
        <w:t>Diputado Víctor Manuel Zanella Huerta</w:t>
      </w:r>
    </w:p>
    <w:p w14:paraId="4EDB8722" w14:textId="77777777" w:rsidR="00285555" w:rsidRPr="00285555" w:rsidRDefault="00285555" w:rsidP="00285555">
      <w:pPr>
        <w:jc w:val="center"/>
        <w:rPr>
          <w:rFonts w:ascii="Abadi" w:hAnsi="Abadi"/>
          <w:sz w:val="21"/>
          <w:szCs w:val="21"/>
          <w:lang w:eastAsia="x-none"/>
        </w:rPr>
      </w:pPr>
    </w:p>
    <w:p w14:paraId="56DBFFAA" w14:textId="77777777" w:rsidR="00285555" w:rsidRPr="00285555" w:rsidRDefault="00285555" w:rsidP="00285555">
      <w:pPr>
        <w:jc w:val="center"/>
        <w:rPr>
          <w:rFonts w:ascii="Abadi" w:hAnsi="Abadi"/>
          <w:b/>
          <w:bCs/>
          <w:sz w:val="21"/>
          <w:szCs w:val="21"/>
          <w:lang w:eastAsia="x-none"/>
        </w:rPr>
      </w:pPr>
    </w:p>
    <w:p w14:paraId="50EBEE34" w14:textId="486FA555" w:rsidR="00285555" w:rsidRPr="00285555" w:rsidRDefault="00285555" w:rsidP="00285555">
      <w:pPr>
        <w:jc w:val="center"/>
        <w:rPr>
          <w:rFonts w:ascii="Abadi" w:hAnsi="Abadi"/>
          <w:b/>
          <w:sz w:val="21"/>
          <w:szCs w:val="21"/>
          <w:lang w:eastAsia="x-none"/>
        </w:rPr>
      </w:pPr>
      <w:r w:rsidRPr="00285555">
        <w:rPr>
          <w:rFonts w:ascii="Abadi" w:hAnsi="Abadi"/>
          <w:b/>
          <w:sz w:val="21"/>
          <w:szCs w:val="21"/>
          <w:lang w:eastAsia="x-none"/>
        </w:rPr>
        <w:t>Diputada Ruth Noemí Tiscareño Agoitia</w:t>
      </w:r>
    </w:p>
    <w:p w14:paraId="061E2BBE" w14:textId="77777777" w:rsidR="00285555" w:rsidRPr="00285555" w:rsidRDefault="00285555" w:rsidP="00285555">
      <w:pPr>
        <w:jc w:val="center"/>
        <w:rPr>
          <w:rFonts w:ascii="Abadi" w:hAnsi="Abadi"/>
          <w:b/>
          <w:sz w:val="21"/>
          <w:szCs w:val="21"/>
          <w:lang w:eastAsia="x-none"/>
        </w:rPr>
      </w:pPr>
    </w:p>
    <w:p w14:paraId="4E80CC3F" w14:textId="77777777" w:rsidR="00285555" w:rsidRPr="00285555" w:rsidRDefault="00285555" w:rsidP="00285555">
      <w:pPr>
        <w:jc w:val="center"/>
        <w:rPr>
          <w:rFonts w:ascii="Abadi" w:hAnsi="Abadi"/>
          <w:b/>
          <w:sz w:val="21"/>
          <w:szCs w:val="21"/>
          <w:lang w:eastAsia="x-none"/>
        </w:rPr>
      </w:pPr>
    </w:p>
    <w:p w14:paraId="3E287DE1" w14:textId="16E3030D" w:rsidR="00285555" w:rsidRPr="00285555" w:rsidRDefault="00285555" w:rsidP="00285555">
      <w:pPr>
        <w:jc w:val="center"/>
        <w:rPr>
          <w:rFonts w:ascii="Abadi" w:hAnsi="Abadi"/>
          <w:b/>
          <w:sz w:val="21"/>
          <w:szCs w:val="21"/>
          <w:lang w:eastAsia="x-none"/>
        </w:rPr>
      </w:pPr>
      <w:r w:rsidRPr="00285555">
        <w:rPr>
          <w:rFonts w:ascii="Abadi" w:hAnsi="Abadi"/>
          <w:b/>
          <w:sz w:val="21"/>
          <w:szCs w:val="21"/>
          <w:lang w:eastAsia="x-none"/>
        </w:rPr>
        <w:t>Diputado Miguel Ángel Salim Alle</w:t>
      </w:r>
    </w:p>
    <w:p w14:paraId="3271F748" w14:textId="77777777" w:rsidR="00285555" w:rsidRPr="00285555" w:rsidRDefault="00285555" w:rsidP="00285555">
      <w:pPr>
        <w:jc w:val="center"/>
        <w:rPr>
          <w:rFonts w:ascii="Abadi" w:hAnsi="Abadi"/>
          <w:b/>
          <w:sz w:val="21"/>
          <w:szCs w:val="21"/>
          <w:lang w:eastAsia="x-none"/>
        </w:rPr>
      </w:pPr>
    </w:p>
    <w:p w14:paraId="59285720" w14:textId="77777777" w:rsidR="00285555" w:rsidRPr="00285555" w:rsidRDefault="00285555" w:rsidP="00285555">
      <w:pPr>
        <w:jc w:val="center"/>
        <w:rPr>
          <w:rFonts w:ascii="Abadi" w:hAnsi="Abadi"/>
          <w:b/>
          <w:sz w:val="21"/>
          <w:szCs w:val="21"/>
          <w:lang w:eastAsia="x-none"/>
        </w:rPr>
      </w:pPr>
    </w:p>
    <w:p w14:paraId="7BA35BE2" w14:textId="7E2685EB" w:rsidR="00285555" w:rsidRPr="00285555" w:rsidRDefault="00285555" w:rsidP="00285555">
      <w:pPr>
        <w:jc w:val="center"/>
        <w:rPr>
          <w:rFonts w:ascii="Abadi" w:hAnsi="Abadi"/>
          <w:b/>
          <w:sz w:val="21"/>
          <w:szCs w:val="21"/>
          <w:lang w:eastAsia="x-none"/>
        </w:rPr>
      </w:pPr>
      <w:r w:rsidRPr="00285555">
        <w:rPr>
          <w:rFonts w:ascii="Abadi" w:hAnsi="Abadi"/>
          <w:b/>
          <w:sz w:val="21"/>
          <w:szCs w:val="21"/>
          <w:lang w:eastAsia="x-none"/>
        </w:rPr>
        <w:t>Diputado José Alfonso Borja Pimentel</w:t>
      </w:r>
    </w:p>
    <w:p w14:paraId="4508F792" w14:textId="77777777" w:rsidR="00285555" w:rsidRPr="00285555" w:rsidRDefault="00285555" w:rsidP="00285555">
      <w:pPr>
        <w:jc w:val="center"/>
        <w:rPr>
          <w:rFonts w:ascii="Abadi" w:hAnsi="Abadi"/>
          <w:b/>
          <w:sz w:val="21"/>
          <w:szCs w:val="21"/>
          <w:lang w:eastAsia="x-none"/>
        </w:rPr>
      </w:pPr>
    </w:p>
    <w:p w14:paraId="040E694B" w14:textId="77777777" w:rsidR="00285555" w:rsidRPr="00285555" w:rsidRDefault="00285555" w:rsidP="00285555">
      <w:pPr>
        <w:jc w:val="center"/>
        <w:rPr>
          <w:rFonts w:ascii="Abadi" w:hAnsi="Abadi"/>
          <w:b/>
          <w:sz w:val="21"/>
          <w:szCs w:val="21"/>
          <w:lang w:eastAsia="x-none"/>
        </w:rPr>
      </w:pPr>
    </w:p>
    <w:p w14:paraId="37EA2023" w14:textId="77777777" w:rsidR="00285555" w:rsidRPr="00285555" w:rsidRDefault="00285555" w:rsidP="00285555">
      <w:pPr>
        <w:jc w:val="center"/>
        <w:rPr>
          <w:rFonts w:ascii="Abadi" w:hAnsi="Abadi"/>
          <w:b/>
          <w:sz w:val="21"/>
          <w:szCs w:val="21"/>
          <w:lang w:eastAsia="x-none"/>
        </w:rPr>
      </w:pPr>
      <w:r w:rsidRPr="00285555">
        <w:rPr>
          <w:rFonts w:ascii="Abadi" w:hAnsi="Abadi"/>
          <w:b/>
          <w:sz w:val="21"/>
          <w:szCs w:val="21"/>
          <w:lang w:eastAsia="x-none"/>
        </w:rPr>
        <w:t>Diputada Alma Edwviges Alcaraz Hernández</w:t>
      </w:r>
    </w:p>
    <w:p w14:paraId="2BDFB9E7" w14:textId="77777777" w:rsidR="00285555" w:rsidRPr="00285555" w:rsidRDefault="00285555" w:rsidP="00285555">
      <w:pPr>
        <w:jc w:val="center"/>
        <w:rPr>
          <w:rFonts w:ascii="Abadi" w:hAnsi="Abadi" w:cs="Arial"/>
          <w:b/>
          <w:bCs/>
          <w:sz w:val="21"/>
          <w:szCs w:val="21"/>
        </w:rPr>
      </w:pPr>
    </w:p>
    <w:p w14:paraId="42FB2CCB" w14:textId="77777777" w:rsidR="00701227" w:rsidRPr="00701227" w:rsidRDefault="00701227" w:rsidP="00285555">
      <w:pPr>
        <w:tabs>
          <w:tab w:val="left" w:pos="856"/>
        </w:tabs>
        <w:kinsoku w:val="0"/>
        <w:overflowPunct w:val="0"/>
        <w:autoSpaceDE w:val="0"/>
        <w:autoSpaceDN w:val="0"/>
        <w:adjustRightInd w:val="0"/>
        <w:spacing w:before="220"/>
        <w:ind w:right="17"/>
        <w:jc w:val="both"/>
        <w:rPr>
          <w:rFonts w:ascii="Abadi" w:hAnsi="Abadi"/>
          <w:sz w:val="20"/>
          <w:szCs w:val="20"/>
        </w:rPr>
      </w:pPr>
    </w:p>
    <w:p w14:paraId="340666D0" w14:textId="4F6516F2" w:rsidR="00163597" w:rsidRDefault="00163597"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80"/>
          <w:sz w:val="20"/>
          <w:szCs w:val="20"/>
        </w:rPr>
        <w:t xml:space="preserve"> </w:t>
      </w:r>
      <w:r w:rsidRPr="00531B12">
        <w:rPr>
          <w:rFonts w:ascii="Abadi" w:hAnsi="Abadi"/>
          <w:b/>
          <w:bCs/>
          <w:sz w:val="20"/>
          <w:szCs w:val="20"/>
        </w:rPr>
        <w:t>Y,</w:t>
      </w:r>
      <w:r w:rsidRPr="00531B12">
        <w:rPr>
          <w:rFonts w:ascii="Abadi" w:hAnsi="Abadi"/>
          <w:b/>
          <w:bCs/>
          <w:spacing w:val="80"/>
          <w:sz w:val="20"/>
          <w:szCs w:val="20"/>
        </w:rPr>
        <w:t xml:space="preserve"> </w:t>
      </w:r>
      <w:r w:rsidRPr="00531B12">
        <w:rPr>
          <w:rFonts w:ascii="Abadi" w:hAnsi="Abadi"/>
          <w:b/>
          <w:bCs/>
          <w:sz w:val="20"/>
          <w:szCs w:val="20"/>
        </w:rPr>
        <w:t>EN</w:t>
      </w:r>
      <w:r w:rsidRPr="00531B12">
        <w:rPr>
          <w:rFonts w:ascii="Abadi" w:hAnsi="Abadi"/>
          <w:b/>
          <w:bCs/>
          <w:spacing w:val="80"/>
          <w:sz w:val="20"/>
          <w:szCs w:val="20"/>
        </w:rPr>
        <w:t xml:space="preserve"> </w:t>
      </w:r>
      <w:r w:rsidRPr="00531B12">
        <w:rPr>
          <w:rFonts w:ascii="Abadi" w:hAnsi="Abadi"/>
          <w:b/>
          <w:bCs/>
          <w:sz w:val="20"/>
          <w:szCs w:val="20"/>
        </w:rPr>
        <w:t>SU</w:t>
      </w:r>
      <w:r w:rsidRPr="00531B12">
        <w:rPr>
          <w:rFonts w:ascii="Abadi" w:hAnsi="Abadi"/>
          <w:b/>
          <w:bCs/>
          <w:spacing w:val="80"/>
          <w:sz w:val="20"/>
          <w:szCs w:val="20"/>
        </w:rPr>
        <w:t xml:space="preserve"> </w:t>
      </w:r>
      <w:r w:rsidRPr="00531B12">
        <w:rPr>
          <w:rFonts w:ascii="Abadi" w:hAnsi="Abadi"/>
          <w:b/>
          <w:bCs/>
          <w:sz w:val="20"/>
          <w:szCs w:val="20"/>
        </w:rPr>
        <w:t>CASO,</w:t>
      </w:r>
      <w:r w:rsidRPr="00531B12">
        <w:rPr>
          <w:rFonts w:ascii="Abadi" w:hAnsi="Abadi"/>
          <w:b/>
          <w:bCs/>
          <w:spacing w:val="80"/>
          <w:sz w:val="20"/>
          <w:szCs w:val="20"/>
        </w:rPr>
        <w:t xml:space="preserve"> </w:t>
      </w:r>
      <w:r w:rsidRPr="00531B12">
        <w:rPr>
          <w:rFonts w:ascii="Abadi" w:hAnsi="Abadi"/>
          <w:b/>
          <w:bCs/>
          <w:sz w:val="20"/>
          <w:szCs w:val="20"/>
        </w:rPr>
        <w:t>APROBACIÓN</w:t>
      </w:r>
      <w:r w:rsidRPr="00531B12">
        <w:rPr>
          <w:rFonts w:ascii="Abadi" w:hAnsi="Abadi"/>
          <w:b/>
          <w:bCs/>
          <w:spacing w:val="80"/>
          <w:sz w:val="20"/>
          <w:szCs w:val="20"/>
        </w:rPr>
        <w:t xml:space="preserve"> </w:t>
      </w:r>
      <w:r w:rsidRPr="00531B12">
        <w:rPr>
          <w:rFonts w:ascii="Abadi" w:hAnsi="Abadi"/>
          <w:b/>
          <w:bCs/>
          <w:sz w:val="20"/>
          <w:szCs w:val="20"/>
        </w:rPr>
        <w:t>DEL</w:t>
      </w:r>
      <w:r w:rsidRPr="00531B12">
        <w:rPr>
          <w:rFonts w:ascii="Abadi" w:hAnsi="Abadi"/>
          <w:b/>
          <w:bCs/>
          <w:spacing w:val="80"/>
          <w:sz w:val="20"/>
          <w:szCs w:val="20"/>
        </w:rPr>
        <w:t xml:space="preserve"> </w:t>
      </w:r>
      <w:r w:rsidRPr="00531B12">
        <w:rPr>
          <w:rFonts w:ascii="Abadi" w:hAnsi="Abadi"/>
          <w:b/>
          <w:bCs/>
          <w:sz w:val="20"/>
          <w:szCs w:val="20"/>
        </w:rPr>
        <w:t>DICTAMEN</w:t>
      </w:r>
      <w:r w:rsidRPr="00531B12">
        <w:rPr>
          <w:rFonts w:ascii="Abadi" w:hAnsi="Abadi"/>
          <w:b/>
          <w:bCs/>
          <w:spacing w:val="80"/>
          <w:sz w:val="20"/>
          <w:szCs w:val="20"/>
        </w:rPr>
        <w:t xml:space="preserve"> </w:t>
      </w:r>
      <w:r w:rsidRPr="00531B12">
        <w:rPr>
          <w:rFonts w:ascii="Abadi" w:hAnsi="Abadi"/>
          <w:b/>
          <w:bCs/>
          <w:sz w:val="20"/>
          <w:szCs w:val="20"/>
        </w:rPr>
        <w:t>PRESENTADO</w:t>
      </w:r>
      <w:r w:rsidRPr="00531B12">
        <w:rPr>
          <w:rFonts w:ascii="Abadi" w:hAnsi="Abadi"/>
          <w:b/>
          <w:bCs/>
          <w:spacing w:val="80"/>
          <w:sz w:val="20"/>
          <w:szCs w:val="20"/>
        </w:rPr>
        <w:t xml:space="preserve"> </w:t>
      </w:r>
      <w:r w:rsidRPr="00531B12">
        <w:rPr>
          <w:rFonts w:ascii="Abadi" w:hAnsi="Abadi"/>
          <w:b/>
          <w:bCs/>
          <w:sz w:val="20"/>
          <w:szCs w:val="20"/>
        </w:rPr>
        <w:t>POR</w:t>
      </w:r>
      <w:r w:rsidRPr="00531B12">
        <w:rPr>
          <w:rFonts w:ascii="Abadi" w:hAnsi="Abadi"/>
          <w:b/>
          <w:bCs/>
          <w:spacing w:val="80"/>
          <w:sz w:val="20"/>
          <w:szCs w:val="20"/>
        </w:rPr>
        <w:t xml:space="preserve"> </w:t>
      </w:r>
      <w:r w:rsidRPr="00531B12">
        <w:rPr>
          <w:rFonts w:ascii="Abadi" w:hAnsi="Abadi"/>
          <w:b/>
          <w:bCs/>
          <w:sz w:val="20"/>
          <w:szCs w:val="20"/>
        </w:rPr>
        <w:t>LA COMISIÓN DE HACIENDA Y FISCALIZACIÓN RELATIVO A LA PROPUESTA FORMULADA POR EL</w:t>
      </w:r>
      <w:r w:rsidRPr="00531B12">
        <w:rPr>
          <w:rFonts w:ascii="Abadi" w:hAnsi="Abadi"/>
          <w:b/>
          <w:bCs/>
          <w:spacing w:val="33"/>
          <w:sz w:val="20"/>
          <w:szCs w:val="20"/>
        </w:rPr>
        <w:t xml:space="preserve"> </w:t>
      </w:r>
      <w:r w:rsidRPr="00531B12">
        <w:rPr>
          <w:rFonts w:ascii="Abadi" w:hAnsi="Abadi"/>
          <w:b/>
          <w:bCs/>
          <w:sz w:val="20"/>
          <w:szCs w:val="20"/>
        </w:rPr>
        <w:t>AYUNTAMIENTO</w:t>
      </w:r>
      <w:r w:rsidRPr="00531B12">
        <w:rPr>
          <w:rFonts w:ascii="Abadi" w:hAnsi="Abadi"/>
          <w:b/>
          <w:bCs/>
          <w:spacing w:val="34"/>
          <w:sz w:val="20"/>
          <w:szCs w:val="20"/>
        </w:rPr>
        <w:t xml:space="preserve"> </w:t>
      </w:r>
      <w:r w:rsidRPr="00531B12">
        <w:rPr>
          <w:rFonts w:ascii="Abadi" w:hAnsi="Abadi"/>
          <w:b/>
          <w:bCs/>
          <w:sz w:val="20"/>
          <w:szCs w:val="20"/>
        </w:rPr>
        <w:t>DE</w:t>
      </w:r>
      <w:r w:rsidRPr="00531B12">
        <w:rPr>
          <w:rFonts w:ascii="Abadi" w:hAnsi="Abadi"/>
          <w:b/>
          <w:bCs/>
          <w:spacing w:val="34"/>
          <w:sz w:val="20"/>
          <w:szCs w:val="20"/>
        </w:rPr>
        <w:t xml:space="preserve"> </w:t>
      </w:r>
      <w:r w:rsidRPr="00531B12">
        <w:rPr>
          <w:rFonts w:ascii="Abadi" w:hAnsi="Abadi"/>
          <w:b/>
          <w:bCs/>
          <w:sz w:val="20"/>
          <w:szCs w:val="20"/>
        </w:rPr>
        <w:t>APASEO</w:t>
      </w:r>
      <w:r w:rsidRPr="00531B12">
        <w:rPr>
          <w:rFonts w:ascii="Abadi" w:hAnsi="Abadi"/>
          <w:b/>
          <w:bCs/>
          <w:spacing w:val="34"/>
          <w:sz w:val="20"/>
          <w:szCs w:val="20"/>
        </w:rPr>
        <w:t xml:space="preserve"> </w:t>
      </w:r>
      <w:r w:rsidRPr="00531B12">
        <w:rPr>
          <w:rFonts w:ascii="Abadi" w:hAnsi="Abadi"/>
          <w:b/>
          <w:bCs/>
          <w:sz w:val="20"/>
          <w:szCs w:val="20"/>
        </w:rPr>
        <w:t>EL</w:t>
      </w:r>
      <w:r w:rsidRPr="00531B12">
        <w:rPr>
          <w:rFonts w:ascii="Abadi" w:hAnsi="Abadi"/>
          <w:b/>
          <w:bCs/>
          <w:spacing w:val="33"/>
          <w:sz w:val="20"/>
          <w:szCs w:val="20"/>
        </w:rPr>
        <w:t xml:space="preserve"> </w:t>
      </w:r>
      <w:r w:rsidRPr="00531B12">
        <w:rPr>
          <w:rFonts w:ascii="Abadi" w:hAnsi="Abadi"/>
          <w:b/>
          <w:bCs/>
          <w:sz w:val="20"/>
          <w:szCs w:val="20"/>
        </w:rPr>
        <w:t>ALTO,</w:t>
      </w:r>
      <w:r w:rsidRPr="00531B12">
        <w:rPr>
          <w:rFonts w:ascii="Abadi" w:hAnsi="Abadi"/>
          <w:b/>
          <w:bCs/>
          <w:spacing w:val="34"/>
          <w:sz w:val="20"/>
          <w:szCs w:val="20"/>
        </w:rPr>
        <w:t xml:space="preserve"> </w:t>
      </w:r>
      <w:r w:rsidRPr="00531B12">
        <w:rPr>
          <w:rFonts w:ascii="Abadi" w:hAnsi="Abadi"/>
          <w:b/>
          <w:bCs/>
          <w:sz w:val="20"/>
          <w:szCs w:val="20"/>
        </w:rPr>
        <w:t>GTO.,</w:t>
      </w:r>
      <w:r w:rsidRPr="00531B12">
        <w:rPr>
          <w:rFonts w:ascii="Abadi" w:hAnsi="Abadi"/>
          <w:b/>
          <w:bCs/>
          <w:spacing w:val="34"/>
          <w:sz w:val="20"/>
          <w:szCs w:val="20"/>
        </w:rPr>
        <w:t xml:space="preserve"> </w:t>
      </w:r>
      <w:r w:rsidRPr="00531B12">
        <w:rPr>
          <w:rFonts w:ascii="Abadi" w:hAnsi="Abadi"/>
          <w:b/>
          <w:bCs/>
          <w:sz w:val="20"/>
          <w:szCs w:val="20"/>
        </w:rPr>
        <w:t>A</w:t>
      </w:r>
      <w:r w:rsidRPr="00531B12">
        <w:rPr>
          <w:rFonts w:ascii="Abadi" w:hAnsi="Abadi"/>
          <w:b/>
          <w:bCs/>
          <w:spacing w:val="34"/>
          <w:sz w:val="20"/>
          <w:szCs w:val="20"/>
        </w:rPr>
        <w:t xml:space="preserve"> </w:t>
      </w:r>
      <w:r w:rsidRPr="00531B12">
        <w:rPr>
          <w:rFonts w:ascii="Abadi" w:hAnsi="Abadi"/>
          <w:b/>
          <w:bCs/>
          <w:sz w:val="20"/>
          <w:szCs w:val="20"/>
        </w:rPr>
        <w:t>EFECTO</w:t>
      </w:r>
      <w:r w:rsidRPr="00531B12">
        <w:rPr>
          <w:rFonts w:ascii="Abadi" w:hAnsi="Abadi"/>
          <w:b/>
          <w:bCs/>
          <w:spacing w:val="34"/>
          <w:sz w:val="20"/>
          <w:szCs w:val="20"/>
        </w:rPr>
        <w:t xml:space="preserve"> </w:t>
      </w:r>
      <w:r w:rsidRPr="00531B12">
        <w:rPr>
          <w:rFonts w:ascii="Abadi" w:hAnsi="Abadi"/>
          <w:b/>
          <w:bCs/>
          <w:sz w:val="20"/>
          <w:szCs w:val="20"/>
        </w:rPr>
        <w:t>DE</w:t>
      </w:r>
      <w:r w:rsidRPr="00531B12">
        <w:rPr>
          <w:rFonts w:ascii="Abadi" w:hAnsi="Abadi"/>
          <w:b/>
          <w:bCs/>
          <w:spacing w:val="34"/>
          <w:sz w:val="20"/>
          <w:szCs w:val="20"/>
        </w:rPr>
        <w:t xml:space="preserve"> </w:t>
      </w:r>
      <w:r w:rsidRPr="00531B12">
        <w:rPr>
          <w:rFonts w:ascii="Abadi" w:hAnsi="Abadi"/>
          <w:b/>
          <w:bCs/>
          <w:sz w:val="20"/>
          <w:szCs w:val="20"/>
        </w:rPr>
        <w:t>QUE</w:t>
      </w:r>
      <w:r w:rsidRPr="00531B12">
        <w:rPr>
          <w:rFonts w:ascii="Abadi" w:hAnsi="Abadi"/>
          <w:b/>
          <w:bCs/>
          <w:spacing w:val="34"/>
          <w:sz w:val="20"/>
          <w:szCs w:val="20"/>
        </w:rPr>
        <w:t xml:space="preserve"> </w:t>
      </w:r>
      <w:r w:rsidRPr="00531B12">
        <w:rPr>
          <w:rFonts w:ascii="Abadi" w:hAnsi="Abadi"/>
          <w:b/>
          <w:bCs/>
          <w:sz w:val="20"/>
          <w:szCs w:val="20"/>
        </w:rPr>
        <w:t>SE</w:t>
      </w:r>
      <w:r w:rsidRPr="00531B12">
        <w:rPr>
          <w:rFonts w:ascii="Abadi" w:hAnsi="Abadi"/>
          <w:b/>
          <w:bCs/>
          <w:spacing w:val="34"/>
          <w:sz w:val="20"/>
          <w:szCs w:val="20"/>
        </w:rPr>
        <w:t xml:space="preserve"> </w:t>
      </w:r>
      <w:r w:rsidRPr="00531B12">
        <w:rPr>
          <w:rFonts w:ascii="Abadi" w:hAnsi="Abadi"/>
          <w:b/>
          <w:bCs/>
          <w:sz w:val="20"/>
          <w:szCs w:val="20"/>
        </w:rPr>
        <w:t>ORDENE</w:t>
      </w:r>
      <w:r w:rsidRPr="00531B12">
        <w:rPr>
          <w:rFonts w:ascii="Abadi" w:hAnsi="Abadi"/>
          <w:b/>
          <w:bCs/>
          <w:spacing w:val="34"/>
          <w:sz w:val="20"/>
          <w:szCs w:val="20"/>
        </w:rPr>
        <w:t xml:space="preserve"> </w:t>
      </w:r>
      <w:r w:rsidRPr="00531B12">
        <w:rPr>
          <w:rFonts w:ascii="Abadi" w:hAnsi="Abadi"/>
          <w:b/>
          <w:bCs/>
          <w:sz w:val="20"/>
          <w:szCs w:val="20"/>
        </w:rPr>
        <w:t>UNA AUDITORÍA INTEGRAL A LA ADMINISTRACIÓN MUNICIPAL 2018-2021.</w:t>
      </w:r>
    </w:p>
    <w:p w14:paraId="2B300727" w14:textId="07998B45" w:rsidR="00CA6F89" w:rsidRDefault="00CA6F89" w:rsidP="00952EB7">
      <w:pPr>
        <w:rPr>
          <w:rFonts w:ascii="Abadi" w:hAnsi="Abadi"/>
          <w:b/>
          <w:bCs/>
          <w:sz w:val="20"/>
          <w:szCs w:val="20"/>
        </w:rPr>
      </w:pPr>
    </w:p>
    <w:p w14:paraId="28394DF4" w14:textId="77777777" w:rsidR="00952EB7" w:rsidRPr="00952EB7" w:rsidRDefault="00952EB7" w:rsidP="00952EB7">
      <w:pPr>
        <w:rPr>
          <w:rFonts w:ascii="Abadi" w:hAnsi="Abadi" w:cs="Arial"/>
          <w:b/>
          <w:iCs/>
          <w:smallCaps/>
          <w:sz w:val="21"/>
          <w:szCs w:val="21"/>
        </w:rPr>
      </w:pPr>
      <w:r w:rsidRPr="00952EB7">
        <w:rPr>
          <w:rFonts w:ascii="Abadi" w:hAnsi="Abadi" w:cs="Arial"/>
          <w:b/>
          <w:iCs/>
          <w:smallCaps/>
          <w:sz w:val="21"/>
          <w:szCs w:val="21"/>
        </w:rPr>
        <w:t>C. Presidenta del Congreso del Estado.</w:t>
      </w:r>
    </w:p>
    <w:p w14:paraId="39703EEA" w14:textId="77777777" w:rsidR="00952EB7" w:rsidRPr="00952EB7" w:rsidRDefault="00952EB7" w:rsidP="00952EB7">
      <w:pPr>
        <w:jc w:val="both"/>
        <w:rPr>
          <w:rFonts w:ascii="Abadi" w:hAnsi="Abadi" w:cs="Arial"/>
          <w:b/>
          <w:iCs/>
          <w:smallCaps/>
          <w:sz w:val="21"/>
          <w:szCs w:val="21"/>
        </w:rPr>
      </w:pPr>
      <w:r w:rsidRPr="00952EB7">
        <w:rPr>
          <w:rFonts w:ascii="Abadi" w:hAnsi="Abadi" w:cs="Arial"/>
          <w:b/>
          <w:iCs/>
          <w:smallCaps/>
          <w:sz w:val="21"/>
          <w:szCs w:val="21"/>
        </w:rPr>
        <w:t>P r e s e n t e.</w:t>
      </w:r>
    </w:p>
    <w:p w14:paraId="222A7678" w14:textId="77777777" w:rsidR="00952EB7" w:rsidRPr="00952EB7" w:rsidRDefault="00952EB7" w:rsidP="00952EB7">
      <w:pPr>
        <w:spacing w:line="360" w:lineRule="auto"/>
        <w:jc w:val="both"/>
        <w:rPr>
          <w:rFonts w:ascii="Abadi" w:hAnsi="Abadi" w:cs="Arial"/>
          <w:iCs/>
          <w:sz w:val="21"/>
          <w:szCs w:val="21"/>
        </w:rPr>
      </w:pPr>
    </w:p>
    <w:p w14:paraId="520F9CCE" w14:textId="77777777" w:rsidR="00952EB7" w:rsidRPr="00952EB7" w:rsidRDefault="00952EB7" w:rsidP="00952EB7">
      <w:pPr>
        <w:spacing w:line="360" w:lineRule="auto"/>
        <w:jc w:val="both"/>
        <w:rPr>
          <w:rFonts w:ascii="Abadi" w:hAnsi="Abadi" w:cs="Arial"/>
          <w:iCs/>
          <w:sz w:val="21"/>
          <w:szCs w:val="21"/>
        </w:rPr>
      </w:pPr>
      <w:r w:rsidRPr="00952EB7">
        <w:rPr>
          <w:rFonts w:ascii="Abadi" w:hAnsi="Abadi" w:cs="Arial"/>
          <w:iCs/>
          <w:sz w:val="21"/>
          <w:szCs w:val="21"/>
        </w:rPr>
        <w:tab/>
        <w:t xml:space="preserve">A esta Comisión de Hacienda y Fiscalización le fue turnada para efectos de su estudio y dictamen, la propuesta </w:t>
      </w:r>
      <w:r w:rsidRPr="00952EB7">
        <w:rPr>
          <w:rFonts w:ascii="Abadi" w:hAnsi="Abadi"/>
          <w:sz w:val="21"/>
          <w:szCs w:val="21"/>
          <w:lang w:val="es-ES_tradnl"/>
        </w:rPr>
        <w:t>formulada por el ayuntamiento de Apaseo el Alto, Gto., a efecto de que se ordene una auditoría integral a la administración municipal 2018-2021</w:t>
      </w:r>
      <w:r w:rsidRPr="00952EB7">
        <w:rPr>
          <w:rFonts w:ascii="Abadi" w:hAnsi="Abadi" w:cs="Arial"/>
          <w:iCs/>
          <w:sz w:val="21"/>
          <w:szCs w:val="21"/>
        </w:rPr>
        <w:t>.</w:t>
      </w:r>
    </w:p>
    <w:p w14:paraId="3BFF620E" w14:textId="77777777" w:rsidR="00952EB7" w:rsidRPr="00952EB7" w:rsidRDefault="00952EB7" w:rsidP="00952EB7">
      <w:pPr>
        <w:spacing w:line="360" w:lineRule="auto"/>
        <w:jc w:val="both"/>
        <w:rPr>
          <w:rFonts w:ascii="Abadi" w:hAnsi="Abadi" w:cs="Arial"/>
          <w:iCs/>
          <w:sz w:val="21"/>
          <w:szCs w:val="21"/>
        </w:rPr>
      </w:pPr>
    </w:p>
    <w:p w14:paraId="4F61770C" w14:textId="77777777" w:rsidR="00952EB7" w:rsidRPr="00952EB7" w:rsidRDefault="00952EB7" w:rsidP="00952EB7">
      <w:pPr>
        <w:spacing w:line="360" w:lineRule="auto"/>
        <w:jc w:val="both"/>
        <w:rPr>
          <w:rFonts w:ascii="Abadi" w:hAnsi="Abadi" w:cs="Arial"/>
          <w:iCs/>
          <w:sz w:val="21"/>
          <w:szCs w:val="21"/>
        </w:rPr>
      </w:pPr>
      <w:r w:rsidRPr="00952EB7">
        <w:rPr>
          <w:rFonts w:ascii="Abadi" w:hAnsi="Abadi" w:cs="Arial"/>
          <w:iCs/>
          <w:sz w:val="21"/>
          <w:szCs w:val="21"/>
        </w:rPr>
        <w:tab/>
        <w:t xml:space="preserve">Analizada la propuesta de referencia, con fundamento en los artículos 75, 89, fracción V, 112, fracción XV y 171 de </w:t>
      </w:r>
      <w:smartTag w:uri="urn:schemas-microsoft-com:office:smarttags" w:element="PersonName">
        <w:smartTagPr>
          <w:attr w:name="ProductID" w:val="la Ley Org￡nica"/>
        </w:smartTagPr>
        <w:r w:rsidRPr="00952EB7">
          <w:rPr>
            <w:rFonts w:ascii="Abadi" w:hAnsi="Abadi" w:cs="Arial"/>
            <w:iCs/>
            <w:sz w:val="21"/>
            <w:szCs w:val="21"/>
          </w:rPr>
          <w:t>la Ley Orgánica</w:t>
        </w:r>
      </w:smartTag>
      <w:r w:rsidRPr="00952EB7">
        <w:rPr>
          <w:rFonts w:ascii="Abadi" w:hAnsi="Abadi" w:cs="Arial"/>
          <w:iCs/>
          <w:sz w:val="21"/>
          <w:szCs w:val="21"/>
        </w:rPr>
        <w:t xml:space="preserve"> del Poder Legislativo del Estado de Guanajuato, nos permitimos rendir el siguiente:</w:t>
      </w:r>
    </w:p>
    <w:p w14:paraId="6920D788" w14:textId="77777777" w:rsidR="00952EB7" w:rsidRPr="00952EB7" w:rsidRDefault="00952EB7" w:rsidP="00952EB7">
      <w:pPr>
        <w:spacing w:line="360" w:lineRule="auto"/>
        <w:jc w:val="both"/>
        <w:rPr>
          <w:rFonts w:ascii="Abadi" w:hAnsi="Abadi" w:cs="Arial"/>
          <w:iCs/>
          <w:sz w:val="21"/>
          <w:szCs w:val="21"/>
        </w:rPr>
      </w:pPr>
    </w:p>
    <w:p w14:paraId="2BF963E2" w14:textId="77777777" w:rsidR="00952EB7" w:rsidRPr="00952EB7" w:rsidRDefault="00952EB7" w:rsidP="00952EB7">
      <w:pPr>
        <w:keepNext/>
        <w:spacing w:line="360" w:lineRule="auto"/>
        <w:jc w:val="center"/>
        <w:outlineLvl w:val="0"/>
        <w:rPr>
          <w:rFonts w:ascii="Abadi" w:hAnsi="Abadi" w:cs="Arial"/>
          <w:b/>
          <w:iCs/>
          <w:sz w:val="21"/>
          <w:szCs w:val="21"/>
        </w:rPr>
      </w:pPr>
      <w:r w:rsidRPr="00952EB7">
        <w:rPr>
          <w:rFonts w:ascii="Abadi" w:hAnsi="Abadi" w:cs="Arial"/>
          <w:b/>
          <w:iCs/>
          <w:sz w:val="21"/>
          <w:szCs w:val="21"/>
        </w:rPr>
        <w:t xml:space="preserve">D i c t a m e n </w:t>
      </w:r>
    </w:p>
    <w:p w14:paraId="1979A906" w14:textId="77777777" w:rsidR="00952EB7" w:rsidRPr="00952EB7" w:rsidRDefault="00952EB7" w:rsidP="001A28E5">
      <w:pPr>
        <w:numPr>
          <w:ilvl w:val="0"/>
          <w:numId w:val="72"/>
        </w:numPr>
        <w:jc w:val="both"/>
        <w:rPr>
          <w:rFonts w:ascii="Abadi" w:hAnsi="Abadi" w:cs="Arial"/>
          <w:b/>
          <w:bCs/>
          <w:sz w:val="21"/>
          <w:szCs w:val="21"/>
        </w:rPr>
      </w:pPr>
      <w:r w:rsidRPr="00952EB7">
        <w:rPr>
          <w:rFonts w:ascii="Abadi" w:hAnsi="Abadi" w:cs="Arial"/>
          <w:b/>
          <w:bCs/>
          <w:sz w:val="21"/>
          <w:szCs w:val="21"/>
        </w:rPr>
        <w:t>Antecedentes</w:t>
      </w:r>
    </w:p>
    <w:p w14:paraId="6B560F70" w14:textId="77777777" w:rsidR="00952EB7" w:rsidRPr="00952EB7" w:rsidRDefault="00952EB7" w:rsidP="00952EB7">
      <w:pPr>
        <w:spacing w:line="360" w:lineRule="auto"/>
        <w:jc w:val="center"/>
        <w:rPr>
          <w:rFonts w:ascii="Abadi" w:hAnsi="Abadi" w:cs="Arial"/>
          <w:b/>
          <w:iCs/>
          <w:sz w:val="21"/>
          <w:szCs w:val="21"/>
        </w:rPr>
      </w:pPr>
    </w:p>
    <w:p w14:paraId="5F9B27BC" w14:textId="77777777" w:rsidR="00952EB7" w:rsidRPr="00952EB7" w:rsidRDefault="00952EB7" w:rsidP="00952EB7">
      <w:pPr>
        <w:spacing w:line="360" w:lineRule="auto"/>
        <w:jc w:val="both"/>
        <w:rPr>
          <w:rFonts w:ascii="Abadi" w:hAnsi="Abadi" w:cs="Arial"/>
          <w:iCs/>
          <w:sz w:val="21"/>
          <w:szCs w:val="21"/>
        </w:rPr>
      </w:pPr>
      <w:r w:rsidRPr="00952EB7">
        <w:rPr>
          <w:rFonts w:ascii="Abadi" w:hAnsi="Abadi" w:cs="Arial"/>
          <w:iCs/>
          <w:sz w:val="21"/>
          <w:szCs w:val="21"/>
        </w:rPr>
        <w:tab/>
        <w:t xml:space="preserve">El ayuntamiento de Apaseo el Alto, Gto., en la quinta sesión ordinaria celebrada el 27 de diciembre de 2021 aprobó por unanimidad de votos el informe de la entrega recepción de la administración municipal, ordenando su remisión al Congreso del Estado y solicitar que se ordene una auditoría integral a la Administración 2018-2021. </w:t>
      </w:r>
    </w:p>
    <w:p w14:paraId="5E502E70" w14:textId="77777777" w:rsidR="00952EB7" w:rsidRPr="00952EB7" w:rsidRDefault="00952EB7" w:rsidP="00952EB7">
      <w:pPr>
        <w:spacing w:line="360" w:lineRule="auto"/>
        <w:ind w:firstLine="708"/>
        <w:jc w:val="both"/>
        <w:rPr>
          <w:rFonts w:ascii="Abadi" w:hAnsi="Abadi"/>
          <w:sz w:val="21"/>
          <w:szCs w:val="21"/>
          <w:lang w:val="es-MX"/>
        </w:rPr>
      </w:pPr>
    </w:p>
    <w:p w14:paraId="4512620B" w14:textId="77777777" w:rsidR="00952EB7" w:rsidRPr="00952EB7" w:rsidRDefault="00952EB7" w:rsidP="00952EB7">
      <w:pPr>
        <w:spacing w:line="360" w:lineRule="auto"/>
        <w:ind w:firstLine="708"/>
        <w:jc w:val="both"/>
        <w:rPr>
          <w:rFonts w:ascii="Abadi" w:hAnsi="Abadi"/>
          <w:sz w:val="21"/>
          <w:szCs w:val="21"/>
          <w:lang w:val="es-MX"/>
        </w:rPr>
      </w:pPr>
      <w:r w:rsidRPr="00952EB7">
        <w:rPr>
          <w:rFonts w:ascii="Abadi" w:hAnsi="Abadi"/>
          <w:sz w:val="21"/>
          <w:szCs w:val="21"/>
          <w:lang w:val="es-MX"/>
        </w:rPr>
        <w:t>El 28 de abril de 2022, la referida propuesta se turnó por la presidencia a esta Comisión de Hacienda y Fiscalización para su estudio y dictamen, con fundamento en la fracción XV del artículo 112 de la Ley Orgánica del Poder Legislativo del Estado de Guanajuato.</w:t>
      </w:r>
    </w:p>
    <w:p w14:paraId="6D48144A" w14:textId="77777777" w:rsidR="00952EB7" w:rsidRPr="00952EB7" w:rsidRDefault="00952EB7" w:rsidP="00952EB7">
      <w:pPr>
        <w:spacing w:line="360" w:lineRule="auto"/>
        <w:ind w:firstLine="708"/>
        <w:jc w:val="both"/>
        <w:rPr>
          <w:rFonts w:ascii="Abadi" w:hAnsi="Abadi"/>
          <w:sz w:val="21"/>
          <w:szCs w:val="21"/>
          <w:lang w:val="es-MX"/>
        </w:rPr>
      </w:pPr>
    </w:p>
    <w:p w14:paraId="25D84AA5" w14:textId="793FD9F4" w:rsidR="00952EB7" w:rsidRPr="00952EB7" w:rsidRDefault="00952EB7" w:rsidP="00952EB7">
      <w:pPr>
        <w:spacing w:line="360" w:lineRule="auto"/>
        <w:ind w:firstLine="708"/>
        <w:jc w:val="both"/>
        <w:rPr>
          <w:rFonts w:ascii="Abadi" w:hAnsi="Abadi"/>
          <w:sz w:val="21"/>
          <w:szCs w:val="21"/>
          <w:lang w:val="es-MX"/>
        </w:rPr>
      </w:pPr>
      <w:r w:rsidRPr="00952EB7">
        <w:rPr>
          <w:rFonts w:ascii="Abadi" w:hAnsi="Abadi"/>
          <w:sz w:val="21"/>
          <w:szCs w:val="21"/>
          <w:lang w:val="es-MX"/>
        </w:rPr>
        <w:t>En la reunión de esta Comisión celebrada el 5 de mayo de 2022, se dio cuenta y se radicó la propuesta y se requirió al Auditor Superior del Estado, la elaboración de una ficha técnica respecto a dicha propuesta, misma que se expuso a esta Comisión el 14 de junio del año en curso.</w:t>
      </w:r>
    </w:p>
    <w:p w14:paraId="75B45D20" w14:textId="77777777" w:rsidR="00952EB7" w:rsidRPr="00952EB7" w:rsidRDefault="00952EB7" w:rsidP="00952EB7">
      <w:pPr>
        <w:spacing w:line="360" w:lineRule="auto"/>
        <w:ind w:firstLine="708"/>
        <w:jc w:val="both"/>
        <w:rPr>
          <w:rFonts w:ascii="Abadi" w:hAnsi="Abadi"/>
          <w:sz w:val="21"/>
          <w:szCs w:val="21"/>
          <w:lang w:val="es-MX"/>
        </w:rPr>
      </w:pPr>
    </w:p>
    <w:p w14:paraId="236595E1" w14:textId="77777777" w:rsidR="00952EB7" w:rsidRPr="00952EB7" w:rsidRDefault="00952EB7" w:rsidP="001A28E5">
      <w:pPr>
        <w:numPr>
          <w:ilvl w:val="0"/>
          <w:numId w:val="72"/>
        </w:numPr>
        <w:jc w:val="both"/>
        <w:rPr>
          <w:rFonts w:ascii="Abadi" w:hAnsi="Abadi" w:cs="Arial"/>
          <w:b/>
          <w:bCs/>
          <w:sz w:val="21"/>
          <w:szCs w:val="21"/>
        </w:rPr>
      </w:pPr>
      <w:r w:rsidRPr="00952EB7">
        <w:rPr>
          <w:rFonts w:ascii="Abadi" w:hAnsi="Abadi" w:cs="Arial"/>
          <w:b/>
          <w:bCs/>
          <w:sz w:val="21"/>
          <w:szCs w:val="21"/>
        </w:rPr>
        <w:t xml:space="preserve">Consideraciones </w:t>
      </w:r>
    </w:p>
    <w:p w14:paraId="0B3398F5" w14:textId="77777777" w:rsidR="00952EB7" w:rsidRPr="00952EB7" w:rsidRDefault="00952EB7" w:rsidP="00952EB7">
      <w:pPr>
        <w:ind w:left="1080"/>
        <w:jc w:val="both"/>
        <w:rPr>
          <w:rFonts w:ascii="Abadi" w:eastAsia="Batang" w:hAnsi="Abadi" w:cs="Arial"/>
          <w:sz w:val="21"/>
          <w:szCs w:val="21"/>
        </w:rPr>
      </w:pPr>
    </w:p>
    <w:p w14:paraId="557F95AA" w14:textId="77777777" w:rsidR="00952EB7" w:rsidRPr="00952EB7" w:rsidRDefault="00952EB7" w:rsidP="00952EB7">
      <w:pPr>
        <w:spacing w:line="360" w:lineRule="auto"/>
        <w:ind w:firstLine="708"/>
        <w:jc w:val="both"/>
        <w:rPr>
          <w:rFonts w:ascii="Abadi" w:hAnsi="Abadi" w:cs="Arial"/>
          <w:i/>
          <w:sz w:val="21"/>
          <w:szCs w:val="21"/>
        </w:rPr>
      </w:pPr>
      <w:r w:rsidRPr="00952EB7">
        <w:rPr>
          <w:rFonts w:ascii="Abadi" w:hAnsi="Abadi"/>
          <w:sz w:val="21"/>
          <w:szCs w:val="21"/>
          <w:lang w:val="es-MX"/>
        </w:rPr>
        <w:t xml:space="preserve">Del contenido del acta de la sesión ordinaria del ayuntamiento de Apaseo el Alto, Gto., celebrada el 27 de diciembre de 2021, se desprende que la propuesta materia del presente dictamen tiene por objeto solicitar la realización de una auditoría integral a la administración municipal 2018-2021, derivado de la aprobación del </w:t>
      </w:r>
      <w:r w:rsidRPr="00952EB7">
        <w:rPr>
          <w:rFonts w:ascii="Abadi" w:hAnsi="Abadi" w:cs="Arial"/>
          <w:iCs/>
          <w:sz w:val="21"/>
          <w:szCs w:val="21"/>
        </w:rPr>
        <w:t>informe de la entrega recepción de la administración municipal.</w:t>
      </w:r>
    </w:p>
    <w:p w14:paraId="1A9D9079" w14:textId="77777777" w:rsidR="00952EB7" w:rsidRPr="00952EB7" w:rsidRDefault="00952EB7" w:rsidP="00952EB7">
      <w:pPr>
        <w:spacing w:before="188"/>
        <w:ind w:left="993" w:right="161" w:hanging="93"/>
        <w:jc w:val="both"/>
        <w:rPr>
          <w:rFonts w:ascii="Abadi" w:hAnsi="Abadi" w:cs="Arial"/>
          <w:i/>
          <w:sz w:val="21"/>
          <w:szCs w:val="21"/>
        </w:rPr>
      </w:pPr>
    </w:p>
    <w:p w14:paraId="29BC3325" w14:textId="77777777" w:rsidR="00952EB7" w:rsidRPr="00952EB7" w:rsidRDefault="00952EB7" w:rsidP="00952EB7">
      <w:pPr>
        <w:spacing w:line="360" w:lineRule="auto"/>
        <w:ind w:firstLine="708"/>
        <w:jc w:val="both"/>
        <w:rPr>
          <w:rFonts w:ascii="Abadi" w:hAnsi="Abadi" w:cs="Tahoma"/>
          <w:sz w:val="21"/>
          <w:szCs w:val="21"/>
        </w:rPr>
      </w:pPr>
      <w:r w:rsidRPr="00952EB7">
        <w:rPr>
          <w:rFonts w:ascii="Abadi" w:hAnsi="Abadi" w:cs="Tahoma"/>
          <w:sz w:val="21"/>
          <w:szCs w:val="21"/>
        </w:rPr>
        <w:t xml:space="preserve">Al respecto quienes integramos esta Comisión consideramos que la función de control es uno de los mecanismos que preservan el equilibrio entre los poderes públicos y asegura la vigencia de la ley como un instrumento que somete toda actuación de la autoridad y preserva las garantías y derechos de los ciudadanos. La vigilancia y el control sobre el ejercicio de los recursos públicos encomendados a las autoridades es una de las funciones primordiales que tiene el Poder Legislativo como responsable originario de esa función de control. </w:t>
      </w:r>
    </w:p>
    <w:p w14:paraId="3402ED55" w14:textId="77777777" w:rsidR="00952EB7" w:rsidRPr="00952EB7" w:rsidRDefault="00952EB7" w:rsidP="00952EB7">
      <w:pPr>
        <w:spacing w:line="360" w:lineRule="auto"/>
        <w:ind w:firstLine="720"/>
        <w:jc w:val="both"/>
        <w:rPr>
          <w:rFonts w:ascii="Abadi" w:hAnsi="Abadi" w:cs="Tahoma"/>
          <w:sz w:val="21"/>
          <w:szCs w:val="21"/>
        </w:rPr>
      </w:pPr>
    </w:p>
    <w:p w14:paraId="6F579604" w14:textId="77777777" w:rsidR="00952EB7" w:rsidRPr="00952EB7" w:rsidRDefault="00952EB7" w:rsidP="00952EB7">
      <w:pPr>
        <w:spacing w:line="360" w:lineRule="auto"/>
        <w:ind w:firstLine="720"/>
        <w:jc w:val="both"/>
        <w:rPr>
          <w:rFonts w:ascii="Abadi" w:hAnsi="Abadi" w:cs="Tahoma"/>
          <w:sz w:val="21"/>
          <w:szCs w:val="21"/>
        </w:rPr>
      </w:pPr>
      <w:r w:rsidRPr="00952EB7">
        <w:rPr>
          <w:rFonts w:ascii="Abadi" w:hAnsi="Abadi" w:cs="Tahoma"/>
          <w:sz w:val="21"/>
          <w:szCs w:val="21"/>
        </w:rPr>
        <w:t>La administración, ejercicio, aplicación y control de los recursos públicos tienen que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w:t>
      </w:r>
    </w:p>
    <w:p w14:paraId="7FF32D61" w14:textId="4803A9D5" w:rsidR="00952EB7" w:rsidRPr="00952EB7" w:rsidRDefault="00952EB7" w:rsidP="00952EB7">
      <w:pPr>
        <w:spacing w:line="360" w:lineRule="auto"/>
        <w:jc w:val="both"/>
        <w:rPr>
          <w:rFonts w:ascii="Abadi" w:hAnsi="Abadi" w:cs="Tahoma"/>
          <w:sz w:val="21"/>
          <w:szCs w:val="21"/>
        </w:rPr>
      </w:pPr>
    </w:p>
    <w:p w14:paraId="2F20E789" w14:textId="77777777" w:rsidR="00952EB7" w:rsidRPr="00952EB7" w:rsidRDefault="00952EB7" w:rsidP="00952EB7">
      <w:pPr>
        <w:spacing w:line="360" w:lineRule="auto"/>
        <w:ind w:firstLine="708"/>
        <w:jc w:val="both"/>
        <w:rPr>
          <w:rFonts w:ascii="Abadi" w:hAnsi="Abadi" w:cs="Tahoma"/>
          <w:sz w:val="21"/>
          <w:szCs w:val="21"/>
        </w:rPr>
      </w:pPr>
      <w:r w:rsidRPr="00952EB7">
        <w:rPr>
          <w:rFonts w:ascii="Abadi" w:hAnsi="Abadi" w:cs="Tahoma"/>
          <w:sz w:val="21"/>
          <w:szCs w:val="21"/>
        </w:rPr>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1C5F5202" w14:textId="77777777" w:rsidR="00952EB7" w:rsidRPr="00952EB7" w:rsidRDefault="00952EB7" w:rsidP="00952EB7">
      <w:pPr>
        <w:spacing w:line="360" w:lineRule="auto"/>
        <w:jc w:val="both"/>
        <w:rPr>
          <w:rFonts w:ascii="Abadi" w:hAnsi="Abadi" w:cs="Tahoma"/>
          <w:sz w:val="21"/>
          <w:szCs w:val="21"/>
        </w:rPr>
      </w:pPr>
    </w:p>
    <w:p w14:paraId="0FD9C509" w14:textId="77777777" w:rsidR="00952EB7" w:rsidRPr="00952EB7" w:rsidRDefault="00952EB7" w:rsidP="00952EB7">
      <w:pPr>
        <w:spacing w:line="360" w:lineRule="auto"/>
        <w:jc w:val="both"/>
        <w:rPr>
          <w:rFonts w:ascii="Abadi" w:hAnsi="Abadi" w:cs="Tahoma"/>
          <w:sz w:val="21"/>
          <w:szCs w:val="21"/>
        </w:rPr>
      </w:pPr>
      <w:r w:rsidRPr="00952EB7">
        <w:rPr>
          <w:rFonts w:ascii="Abadi" w:hAnsi="Abadi" w:cs="Tahoma"/>
          <w:sz w:val="21"/>
          <w:szCs w:val="21"/>
        </w:rPr>
        <w:tab/>
        <w:t xml:space="preserve">El artículo 116, fracción II, sexto párrafo de la Constitución Política de los Estados Unidos Mexicanos señala que: </w:t>
      </w:r>
      <w:r w:rsidRPr="00952EB7">
        <w:rPr>
          <w:rFonts w:ascii="Abadi" w:hAnsi="Abadi" w:cs="Tahoma"/>
          <w:i/>
          <w:sz w:val="21"/>
          <w:szCs w:val="21"/>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952EB7">
        <w:rPr>
          <w:rFonts w:ascii="Abadi" w:hAnsi="Abadi" w:cs="Tahoma"/>
          <w:sz w:val="21"/>
          <w:szCs w:val="21"/>
        </w:rPr>
        <w:t xml:space="preserve"> </w:t>
      </w:r>
    </w:p>
    <w:p w14:paraId="3068A77D" w14:textId="77777777" w:rsidR="00952EB7" w:rsidRPr="00952EB7" w:rsidRDefault="00952EB7" w:rsidP="00952EB7">
      <w:pPr>
        <w:jc w:val="both"/>
        <w:rPr>
          <w:rFonts w:ascii="Abadi" w:hAnsi="Abadi" w:cs="Tahoma"/>
          <w:sz w:val="21"/>
          <w:szCs w:val="21"/>
        </w:rPr>
      </w:pPr>
    </w:p>
    <w:p w14:paraId="1A424E9B" w14:textId="3F66852B" w:rsidR="00952EB7" w:rsidRDefault="00952EB7" w:rsidP="00952EB7">
      <w:pPr>
        <w:spacing w:line="360" w:lineRule="auto"/>
        <w:ind w:firstLine="708"/>
        <w:jc w:val="both"/>
        <w:rPr>
          <w:rFonts w:ascii="Abadi" w:hAnsi="Abadi" w:cs="Tahoma"/>
          <w:sz w:val="21"/>
          <w:szCs w:val="21"/>
        </w:rPr>
      </w:pPr>
      <w:r w:rsidRPr="00952EB7">
        <w:rPr>
          <w:rFonts w:ascii="Abadi" w:hAnsi="Abadi" w:cs="Tahoma"/>
          <w:sz w:val="21"/>
          <w:szCs w:val="21"/>
        </w:rPr>
        <w:t xml:space="preserve">La Auditoría Superior del Estado, de conformidad con el artículo 66 de la Constitución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mientras que la fracción IV del mismo precepto establece que la Auditoría Superior del Estado podrá acordar y practicar auditorías conforme a su programa anual y ejecutar las que acuerde el Congreso del Estado en los términos de la fracción XXVIII del artículo 63 de la propia Constitución Local. </w:t>
      </w:r>
    </w:p>
    <w:p w14:paraId="5B0FAAD8" w14:textId="77777777" w:rsidR="00952EB7" w:rsidRPr="00952EB7" w:rsidRDefault="00952EB7" w:rsidP="00952EB7">
      <w:pPr>
        <w:spacing w:line="360" w:lineRule="auto"/>
        <w:ind w:firstLine="708"/>
        <w:jc w:val="both"/>
        <w:rPr>
          <w:rFonts w:ascii="Abadi" w:hAnsi="Abadi" w:cs="Tahoma"/>
          <w:sz w:val="21"/>
          <w:szCs w:val="21"/>
        </w:rPr>
      </w:pPr>
    </w:p>
    <w:p w14:paraId="7CCE482A" w14:textId="77777777" w:rsidR="00952EB7" w:rsidRPr="00952EB7" w:rsidRDefault="00952EB7" w:rsidP="00952EB7">
      <w:pPr>
        <w:spacing w:line="360" w:lineRule="auto"/>
        <w:ind w:firstLine="720"/>
        <w:jc w:val="both"/>
        <w:rPr>
          <w:rFonts w:ascii="Abadi" w:hAnsi="Abadi" w:cs="Tahoma"/>
          <w:sz w:val="21"/>
          <w:szCs w:val="21"/>
        </w:rPr>
      </w:pPr>
      <w:r w:rsidRPr="00952EB7">
        <w:rPr>
          <w:rFonts w:ascii="Abadi" w:hAnsi="Abadi" w:cs="Tahoma"/>
          <w:sz w:val="21"/>
          <w:szCs w:val="21"/>
        </w:rPr>
        <w:t>El ayuntamiento de Apaseo el Alto, Gto., es sujeto de la función de fiscalización del Congreso del Estado, según se desprende de los artículos 63 fracciones XIX y XXVIII; y 66 de la Constitución Política local y 2, fracción II de la Ley de Fiscalización Superior del Estado de Guanajuato.</w:t>
      </w:r>
    </w:p>
    <w:p w14:paraId="10B37021" w14:textId="77777777" w:rsidR="00952EB7" w:rsidRPr="00952EB7" w:rsidRDefault="00952EB7" w:rsidP="00952EB7">
      <w:pPr>
        <w:spacing w:line="360" w:lineRule="auto"/>
        <w:ind w:firstLine="720"/>
        <w:jc w:val="both"/>
        <w:rPr>
          <w:rFonts w:ascii="Abadi" w:hAnsi="Abadi" w:cs="Tahoma"/>
          <w:sz w:val="21"/>
          <w:szCs w:val="21"/>
        </w:rPr>
      </w:pPr>
    </w:p>
    <w:p w14:paraId="4EE15D68" w14:textId="77777777" w:rsidR="00952EB7" w:rsidRPr="00952EB7" w:rsidRDefault="00952EB7" w:rsidP="00952EB7">
      <w:pPr>
        <w:spacing w:line="360" w:lineRule="auto"/>
        <w:ind w:firstLine="720"/>
        <w:jc w:val="both"/>
        <w:rPr>
          <w:rFonts w:ascii="Abadi" w:hAnsi="Abadi" w:cs="Tahoma"/>
          <w:sz w:val="21"/>
          <w:szCs w:val="21"/>
        </w:rPr>
      </w:pPr>
      <w:r w:rsidRPr="00952EB7">
        <w:rPr>
          <w:rFonts w:ascii="Abadi" w:hAnsi="Abadi" w:cs="Tahoma"/>
          <w:sz w:val="21"/>
          <w:szCs w:val="21"/>
        </w:rPr>
        <w:t>En este orden de ideas, de acuerdo a la información proporcionada por la Auditoría Superior del Estado, durante los ejercicios fiscales 2018, 2019 y 2020 se efectuaron las siguientes revisiones y auditorías a la administración pública de Apaseo el Alto, Gto:</w:t>
      </w:r>
    </w:p>
    <w:p w14:paraId="36C93A32" w14:textId="77777777" w:rsidR="00952EB7" w:rsidRPr="00952EB7" w:rsidRDefault="00952EB7" w:rsidP="00952EB7">
      <w:pPr>
        <w:rPr>
          <w:rFonts w:ascii="Abadi" w:hAnsi="Abadi"/>
          <w:b/>
          <w:sz w:val="21"/>
          <w:szCs w:val="21"/>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376"/>
        <w:gridCol w:w="1063"/>
        <w:gridCol w:w="1063"/>
      </w:tblGrid>
      <w:tr w:rsidR="00952EB7" w:rsidRPr="00952EB7" w14:paraId="3AC98E85" w14:textId="77777777" w:rsidTr="004E6068">
        <w:trPr>
          <w:jc w:val="center"/>
        </w:trPr>
        <w:tc>
          <w:tcPr>
            <w:tcW w:w="1271" w:type="dxa"/>
            <w:shd w:val="clear" w:color="auto" w:fill="auto"/>
          </w:tcPr>
          <w:p w14:paraId="60CA5AB7" w14:textId="77777777" w:rsidR="00952EB7" w:rsidRPr="00952EB7" w:rsidRDefault="00952EB7" w:rsidP="00952EB7">
            <w:pPr>
              <w:jc w:val="center"/>
              <w:rPr>
                <w:rFonts w:ascii="Abadi" w:hAnsi="Abadi"/>
                <w:b/>
                <w:sz w:val="21"/>
                <w:szCs w:val="21"/>
                <w:lang w:val="es-MX" w:eastAsia="en-US"/>
              </w:rPr>
            </w:pPr>
            <w:r w:rsidRPr="00952EB7">
              <w:rPr>
                <w:rFonts w:ascii="Abadi" w:hAnsi="Abadi"/>
                <w:b/>
                <w:sz w:val="21"/>
                <w:szCs w:val="21"/>
                <w:lang w:val="es-MX" w:eastAsia="en-US"/>
              </w:rPr>
              <w:t>Ejercicio</w:t>
            </w:r>
          </w:p>
        </w:tc>
        <w:tc>
          <w:tcPr>
            <w:tcW w:w="3404" w:type="dxa"/>
            <w:shd w:val="clear" w:color="auto" w:fill="auto"/>
          </w:tcPr>
          <w:p w14:paraId="4E07146B" w14:textId="77777777" w:rsidR="00952EB7" w:rsidRPr="00952EB7" w:rsidRDefault="00952EB7" w:rsidP="00952EB7">
            <w:pPr>
              <w:jc w:val="center"/>
              <w:rPr>
                <w:rFonts w:ascii="Abadi" w:hAnsi="Abadi"/>
                <w:b/>
                <w:sz w:val="21"/>
                <w:szCs w:val="21"/>
                <w:lang w:val="es-MX" w:eastAsia="en-US"/>
              </w:rPr>
            </w:pPr>
            <w:r w:rsidRPr="00952EB7">
              <w:rPr>
                <w:rFonts w:ascii="Abadi" w:hAnsi="Abadi"/>
                <w:b/>
                <w:sz w:val="21"/>
                <w:szCs w:val="21"/>
                <w:lang w:val="es-MX" w:eastAsia="en-US"/>
              </w:rPr>
              <w:t>Tipo de Revisión</w:t>
            </w:r>
          </w:p>
          <w:p w14:paraId="00A722F8" w14:textId="77777777" w:rsidR="00952EB7" w:rsidRPr="00952EB7" w:rsidRDefault="00952EB7" w:rsidP="00952EB7">
            <w:pPr>
              <w:jc w:val="center"/>
              <w:rPr>
                <w:rFonts w:ascii="Abadi" w:hAnsi="Abadi"/>
                <w:b/>
                <w:sz w:val="21"/>
                <w:szCs w:val="21"/>
                <w:lang w:val="es-MX" w:eastAsia="en-US"/>
              </w:rPr>
            </w:pPr>
            <w:r w:rsidRPr="00952EB7">
              <w:rPr>
                <w:rFonts w:ascii="Abadi" w:hAnsi="Abadi"/>
                <w:b/>
                <w:sz w:val="21"/>
                <w:szCs w:val="21"/>
                <w:lang w:val="es-MX" w:eastAsia="en-US"/>
              </w:rPr>
              <w:t>/Auditoría</w:t>
            </w:r>
          </w:p>
        </w:tc>
        <w:tc>
          <w:tcPr>
            <w:tcW w:w="1431" w:type="dxa"/>
            <w:shd w:val="clear" w:color="auto" w:fill="auto"/>
          </w:tcPr>
          <w:p w14:paraId="26F52C42" w14:textId="77777777" w:rsidR="00952EB7" w:rsidRPr="00952EB7" w:rsidRDefault="00952EB7" w:rsidP="00952EB7">
            <w:pPr>
              <w:jc w:val="center"/>
              <w:rPr>
                <w:rFonts w:ascii="Abadi" w:hAnsi="Abadi"/>
                <w:b/>
                <w:sz w:val="21"/>
                <w:szCs w:val="21"/>
                <w:lang w:val="es-MX" w:eastAsia="en-US"/>
              </w:rPr>
            </w:pPr>
            <w:r w:rsidRPr="00952EB7">
              <w:rPr>
                <w:rFonts w:ascii="Abadi" w:hAnsi="Abadi"/>
                <w:b/>
                <w:sz w:val="21"/>
                <w:szCs w:val="21"/>
                <w:lang w:val="es-MX" w:eastAsia="en-US"/>
              </w:rPr>
              <w:t>Porcentaje revisado de ingresos</w:t>
            </w:r>
          </w:p>
        </w:tc>
        <w:tc>
          <w:tcPr>
            <w:tcW w:w="1431" w:type="dxa"/>
            <w:shd w:val="clear" w:color="auto" w:fill="auto"/>
          </w:tcPr>
          <w:p w14:paraId="26AFA13E" w14:textId="77777777" w:rsidR="00952EB7" w:rsidRPr="00952EB7" w:rsidRDefault="00952EB7" w:rsidP="00952EB7">
            <w:pPr>
              <w:jc w:val="center"/>
              <w:rPr>
                <w:rFonts w:ascii="Abadi" w:hAnsi="Abadi"/>
                <w:b/>
                <w:sz w:val="21"/>
                <w:szCs w:val="21"/>
                <w:lang w:val="es-MX" w:eastAsia="en-US"/>
              </w:rPr>
            </w:pPr>
            <w:r w:rsidRPr="00952EB7">
              <w:rPr>
                <w:rFonts w:ascii="Abadi" w:hAnsi="Abadi"/>
                <w:b/>
                <w:sz w:val="21"/>
                <w:szCs w:val="21"/>
                <w:lang w:val="es-MX" w:eastAsia="en-US"/>
              </w:rPr>
              <w:t>Porcentaje revisado de egresos</w:t>
            </w:r>
          </w:p>
        </w:tc>
      </w:tr>
      <w:tr w:rsidR="00952EB7" w:rsidRPr="00952EB7" w14:paraId="47EC113C" w14:textId="77777777" w:rsidTr="004E6068">
        <w:trPr>
          <w:jc w:val="center"/>
        </w:trPr>
        <w:tc>
          <w:tcPr>
            <w:tcW w:w="1271" w:type="dxa"/>
            <w:shd w:val="clear" w:color="auto" w:fill="auto"/>
          </w:tcPr>
          <w:p w14:paraId="616D4EFB" w14:textId="77777777" w:rsidR="00952EB7" w:rsidRPr="00952EB7" w:rsidRDefault="00952EB7" w:rsidP="00952EB7">
            <w:pPr>
              <w:jc w:val="center"/>
              <w:rPr>
                <w:rFonts w:ascii="Abadi" w:hAnsi="Abadi"/>
                <w:bCs/>
                <w:sz w:val="21"/>
                <w:szCs w:val="21"/>
                <w:lang w:val="es-MX" w:eastAsia="en-US"/>
              </w:rPr>
            </w:pPr>
            <w:r w:rsidRPr="00952EB7">
              <w:rPr>
                <w:rFonts w:ascii="Abadi" w:hAnsi="Abadi"/>
                <w:sz w:val="21"/>
                <w:szCs w:val="21"/>
              </w:rPr>
              <w:t>2018</w:t>
            </w:r>
          </w:p>
        </w:tc>
        <w:tc>
          <w:tcPr>
            <w:tcW w:w="3404" w:type="dxa"/>
            <w:shd w:val="clear" w:color="auto" w:fill="auto"/>
            <w:vAlign w:val="center"/>
          </w:tcPr>
          <w:p w14:paraId="397BE06E" w14:textId="77777777" w:rsidR="00952EB7" w:rsidRPr="00952EB7" w:rsidRDefault="00952EB7" w:rsidP="00952EB7">
            <w:pPr>
              <w:rPr>
                <w:rFonts w:ascii="Abadi" w:hAnsi="Abadi"/>
                <w:bCs/>
                <w:sz w:val="21"/>
                <w:szCs w:val="21"/>
                <w:lang w:val="es-MX" w:eastAsia="en-US"/>
              </w:rPr>
            </w:pPr>
            <w:r w:rsidRPr="00952EB7">
              <w:rPr>
                <w:rFonts w:ascii="Abadi" w:hAnsi="Abadi"/>
                <w:sz w:val="21"/>
                <w:szCs w:val="21"/>
              </w:rPr>
              <w:t>Auditoría al Ramo General 33 y Obra Pública</w:t>
            </w:r>
          </w:p>
        </w:tc>
        <w:tc>
          <w:tcPr>
            <w:tcW w:w="1431" w:type="dxa"/>
            <w:shd w:val="clear" w:color="auto" w:fill="auto"/>
            <w:vAlign w:val="center"/>
          </w:tcPr>
          <w:p w14:paraId="605DAF5B" w14:textId="77777777" w:rsidR="00952EB7" w:rsidRPr="00952EB7" w:rsidRDefault="00952EB7" w:rsidP="00952EB7">
            <w:pPr>
              <w:jc w:val="center"/>
              <w:rPr>
                <w:rFonts w:ascii="Abadi" w:hAnsi="Abadi"/>
                <w:bCs/>
                <w:sz w:val="21"/>
                <w:szCs w:val="21"/>
                <w:lang w:val="es-MX" w:eastAsia="en-US"/>
              </w:rPr>
            </w:pPr>
            <w:r w:rsidRPr="00952EB7">
              <w:rPr>
                <w:rFonts w:ascii="Abadi" w:hAnsi="Abadi"/>
                <w:bCs/>
                <w:sz w:val="21"/>
                <w:szCs w:val="21"/>
              </w:rPr>
              <w:t>100</w:t>
            </w:r>
            <w:r w:rsidRPr="00952EB7">
              <w:rPr>
                <w:rFonts w:ascii="Abadi" w:hAnsi="Abadi"/>
                <w:b/>
                <w:sz w:val="21"/>
                <w:szCs w:val="21"/>
                <w:vertAlign w:val="superscript"/>
              </w:rPr>
              <w:t>(1)</w:t>
            </w:r>
          </w:p>
        </w:tc>
        <w:tc>
          <w:tcPr>
            <w:tcW w:w="1431" w:type="dxa"/>
            <w:shd w:val="clear" w:color="auto" w:fill="auto"/>
            <w:vAlign w:val="center"/>
          </w:tcPr>
          <w:p w14:paraId="051D1645" w14:textId="77777777" w:rsidR="00952EB7" w:rsidRPr="00952EB7" w:rsidRDefault="00952EB7" w:rsidP="00952EB7">
            <w:pPr>
              <w:jc w:val="center"/>
              <w:rPr>
                <w:rFonts w:ascii="Abadi" w:hAnsi="Abadi"/>
                <w:bCs/>
                <w:sz w:val="21"/>
                <w:szCs w:val="21"/>
                <w:lang w:val="es-MX" w:eastAsia="en-US"/>
              </w:rPr>
            </w:pPr>
            <w:r w:rsidRPr="00952EB7">
              <w:rPr>
                <w:rFonts w:ascii="Abadi" w:hAnsi="Abadi"/>
                <w:bCs/>
                <w:sz w:val="21"/>
                <w:szCs w:val="21"/>
              </w:rPr>
              <w:t>42</w:t>
            </w:r>
            <w:r w:rsidRPr="00952EB7">
              <w:rPr>
                <w:rFonts w:ascii="Abadi" w:hAnsi="Abadi"/>
                <w:b/>
                <w:sz w:val="21"/>
                <w:szCs w:val="21"/>
                <w:vertAlign w:val="superscript"/>
              </w:rPr>
              <w:t>(2)</w:t>
            </w:r>
          </w:p>
        </w:tc>
      </w:tr>
      <w:tr w:rsidR="00952EB7" w:rsidRPr="00952EB7" w14:paraId="30F642D6" w14:textId="77777777" w:rsidTr="004E6068">
        <w:trPr>
          <w:jc w:val="center"/>
        </w:trPr>
        <w:tc>
          <w:tcPr>
            <w:tcW w:w="1271" w:type="dxa"/>
            <w:shd w:val="clear" w:color="auto" w:fill="auto"/>
          </w:tcPr>
          <w:p w14:paraId="465DFF2B" w14:textId="77777777" w:rsidR="00952EB7" w:rsidRPr="00952EB7" w:rsidRDefault="00952EB7" w:rsidP="00952EB7">
            <w:pPr>
              <w:jc w:val="center"/>
              <w:rPr>
                <w:rFonts w:ascii="Abadi" w:hAnsi="Abadi"/>
                <w:b/>
                <w:sz w:val="21"/>
                <w:szCs w:val="21"/>
                <w:lang w:val="es-MX" w:eastAsia="en-US"/>
              </w:rPr>
            </w:pPr>
            <w:r w:rsidRPr="00952EB7">
              <w:rPr>
                <w:rFonts w:ascii="Abadi" w:hAnsi="Abadi"/>
                <w:sz w:val="21"/>
                <w:szCs w:val="21"/>
              </w:rPr>
              <w:t>2018</w:t>
            </w:r>
          </w:p>
        </w:tc>
        <w:tc>
          <w:tcPr>
            <w:tcW w:w="3404" w:type="dxa"/>
            <w:shd w:val="clear" w:color="auto" w:fill="auto"/>
          </w:tcPr>
          <w:p w14:paraId="1F12DC54" w14:textId="77777777" w:rsidR="00952EB7" w:rsidRPr="00952EB7" w:rsidRDefault="00952EB7" w:rsidP="00952EB7">
            <w:pPr>
              <w:rPr>
                <w:rFonts w:ascii="Abadi" w:hAnsi="Abadi"/>
                <w:b/>
                <w:sz w:val="21"/>
                <w:szCs w:val="21"/>
                <w:lang w:val="es-MX" w:eastAsia="en-US"/>
              </w:rPr>
            </w:pPr>
            <w:r w:rsidRPr="00952EB7">
              <w:rPr>
                <w:rFonts w:ascii="Abadi" w:hAnsi="Abadi"/>
                <w:sz w:val="21"/>
                <w:szCs w:val="21"/>
              </w:rPr>
              <w:t>Revisión de cuenta pública</w:t>
            </w:r>
          </w:p>
        </w:tc>
        <w:tc>
          <w:tcPr>
            <w:tcW w:w="1431" w:type="dxa"/>
            <w:shd w:val="clear" w:color="auto" w:fill="auto"/>
            <w:vAlign w:val="center"/>
          </w:tcPr>
          <w:p w14:paraId="319B55D6" w14:textId="77777777" w:rsidR="00952EB7" w:rsidRPr="00952EB7" w:rsidRDefault="00952EB7" w:rsidP="00952EB7">
            <w:pPr>
              <w:jc w:val="center"/>
              <w:rPr>
                <w:rFonts w:ascii="Abadi" w:hAnsi="Abadi"/>
                <w:b/>
                <w:sz w:val="21"/>
                <w:szCs w:val="21"/>
                <w:lang w:val="es-MX" w:eastAsia="en-US"/>
              </w:rPr>
            </w:pPr>
          </w:p>
        </w:tc>
        <w:tc>
          <w:tcPr>
            <w:tcW w:w="1431" w:type="dxa"/>
            <w:shd w:val="clear" w:color="auto" w:fill="auto"/>
            <w:vAlign w:val="center"/>
          </w:tcPr>
          <w:p w14:paraId="2F38CBFC" w14:textId="77777777" w:rsidR="00952EB7" w:rsidRPr="00952EB7" w:rsidRDefault="00952EB7" w:rsidP="00952EB7">
            <w:pPr>
              <w:jc w:val="center"/>
              <w:rPr>
                <w:rFonts w:ascii="Abadi" w:hAnsi="Abadi"/>
                <w:b/>
                <w:sz w:val="21"/>
                <w:szCs w:val="21"/>
                <w:lang w:val="es-MX" w:eastAsia="en-US"/>
              </w:rPr>
            </w:pPr>
          </w:p>
        </w:tc>
      </w:tr>
      <w:tr w:rsidR="00952EB7" w:rsidRPr="00952EB7" w14:paraId="1B5B1190" w14:textId="77777777" w:rsidTr="004E6068">
        <w:trPr>
          <w:jc w:val="center"/>
        </w:trPr>
        <w:tc>
          <w:tcPr>
            <w:tcW w:w="1271" w:type="dxa"/>
            <w:shd w:val="clear" w:color="auto" w:fill="auto"/>
          </w:tcPr>
          <w:p w14:paraId="726EDFBC" w14:textId="77777777" w:rsidR="00952EB7" w:rsidRPr="00952EB7" w:rsidRDefault="00952EB7" w:rsidP="00952EB7">
            <w:pPr>
              <w:jc w:val="center"/>
              <w:rPr>
                <w:rFonts w:ascii="Abadi" w:hAnsi="Abadi"/>
                <w:bCs/>
                <w:sz w:val="21"/>
                <w:szCs w:val="21"/>
                <w:lang w:val="es-MX" w:eastAsia="en-US"/>
              </w:rPr>
            </w:pPr>
          </w:p>
        </w:tc>
        <w:tc>
          <w:tcPr>
            <w:tcW w:w="3404" w:type="dxa"/>
            <w:shd w:val="clear" w:color="auto" w:fill="auto"/>
          </w:tcPr>
          <w:p w14:paraId="228A20E4" w14:textId="77777777" w:rsidR="00952EB7" w:rsidRPr="00952EB7" w:rsidRDefault="00952EB7" w:rsidP="00952EB7">
            <w:pPr>
              <w:jc w:val="both"/>
              <w:rPr>
                <w:rFonts w:ascii="Abadi" w:hAnsi="Abadi"/>
                <w:bCs/>
                <w:sz w:val="21"/>
                <w:szCs w:val="21"/>
                <w:lang w:val="es-MX" w:eastAsia="en-US"/>
              </w:rPr>
            </w:pPr>
            <w:r w:rsidRPr="00952EB7">
              <w:rPr>
                <w:rFonts w:ascii="Abadi" w:hAnsi="Abadi" w:cs="Calibri"/>
                <w:sz w:val="21"/>
                <w:szCs w:val="21"/>
              </w:rPr>
              <w:t>Sector Central</w:t>
            </w:r>
          </w:p>
        </w:tc>
        <w:tc>
          <w:tcPr>
            <w:tcW w:w="1431" w:type="dxa"/>
            <w:shd w:val="clear" w:color="auto" w:fill="auto"/>
          </w:tcPr>
          <w:p w14:paraId="281C8C64" w14:textId="77777777" w:rsidR="00952EB7" w:rsidRPr="00952EB7" w:rsidRDefault="00952EB7" w:rsidP="00952EB7">
            <w:pPr>
              <w:jc w:val="center"/>
              <w:rPr>
                <w:rFonts w:ascii="Abadi" w:hAnsi="Abadi"/>
                <w:bCs/>
                <w:sz w:val="21"/>
                <w:szCs w:val="21"/>
                <w:lang w:val="es-MX" w:eastAsia="en-US"/>
              </w:rPr>
            </w:pPr>
            <w:r w:rsidRPr="00952EB7">
              <w:rPr>
                <w:rFonts w:ascii="Abadi" w:hAnsi="Abadi"/>
                <w:sz w:val="21"/>
                <w:szCs w:val="21"/>
              </w:rPr>
              <w:t>43</w:t>
            </w:r>
          </w:p>
        </w:tc>
        <w:tc>
          <w:tcPr>
            <w:tcW w:w="1431" w:type="dxa"/>
            <w:shd w:val="clear" w:color="auto" w:fill="auto"/>
            <w:vAlign w:val="center"/>
          </w:tcPr>
          <w:p w14:paraId="6A42AFB1" w14:textId="77777777" w:rsidR="00952EB7" w:rsidRPr="00952EB7" w:rsidRDefault="00952EB7" w:rsidP="00952EB7">
            <w:pPr>
              <w:jc w:val="center"/>
              <w:rPr>
                <w:rFonts w:ascii="Abadi" w:hAnsi="Abadi"/>
                <w:bCs/>
                <w:sz w:val="21"/>
                <w:szCs w:val="21"/>
                <w:lang w:val="es-MX" w:eastAsia="en-US"/>
              </w:rPr>
            </w:pPr>
            <w:r w:rsidRPr="00952EB7">
              <w:rPr>
                <w:rFonts w:ascii="Abadi" w:hAnsi="Abadi" w:cs="Calibri"/>
                <w:sz w:val="21"/>
                <w:szCs w:val="21"/>
              </w:rPr>
              <w:t>31</w:t>
            </w:r>
          </w:p>
        </w:tc>
      </w:tr>
      <w:tr w:rsidR="00952EB7" w:rsidRPr="00952EB7" w14:paraId="33C95917" w14:textId="77777777" w:rsidTr="004E6068">
        <w:trPr>
          <w:jc w:val="center"/>
        </w:trPr>
        <w:tc>
          <w:tcPr>
            <w:tcW w:w="1271" w:type="dxa"/>
            <w:shd w:val="clear" w:color="auto" w:fill="auto"/>
          </w:tcPr>
          <w:p w14:paraId="0FBD893F" w14:textId="77777777" w:rsidR="00952EB7" w:rsidRPr="00952EB7" w:rsidRDefault="00952EB7" w:rsidP="00952EB7">
            <w:pPr>
              <w:jc w:val="center"/>
              <w:rPr>
                <w:rFonts w:ascii="Abadi" w:hAnsi="Abadi"/>
                <w:b/>
                <w:sz w:val="21"/>
                <w:szCs w:val="21"/>
                <w:lang w:val="es-MX" w:eastAsia="en-US"/>
              </w:rPr>
            </w:pPr>
            <w:r w:rsidRPr="00952EB7">
              <w:rPr>
                <w:rFonts w:ascii="Abadi" w:hAnsi="Abadi"/>
                <w:sz w:val="21"/>
                <w:szCs w:val="21"/>
              </w:rPr>
              <w:t>2019</w:t>
            </w:r>
          </w:p>
        </w:tc>
        <w:tc>
          <w:tcPr>
            <w:tcW w:w="3404" w:type="dxa"/>
            <w:shd w:val="clear" w:color="auto" w:fill="auto"/>
            <w:vAlign w:val="center"/>
          </w:tcPr>
          <w:p w14:paraId="7546F7BF" w14:textId="77777777" w:rsidR="00952EB7" w:rsidRPr="00952EB7" w:rsidRDefault="00952EB7" w:rsidP="00952EB7">
            <w:pPr>
              <w:jc w:val="both"/>
              <w:rPr>
                <w:rFonts w:ascii="Abadi" w:hAnsi="Abadi"/>
                <w:b/>
                <w:sz w:val="21"/>
                <w:szCs w:val="21"/>
                <w:lang w:val="es-MX" w:eastAsia="en-US"/>
              </w:rPr>
            </w:pPr>
            <w:r w:rsidRPr="00952EB7">
              <w:rPr>
                <w:rFonts w:ascii="Abadi" w:hAnsi="Abadi"/>
                <w:sz w:val="21"/>
                <w:szCs w:val="21"/>
              </w:rPr>
              <w:t>Auditoría al Ramo General 33 y Obra Pública</w:t>
            </w:r>
          </w:p>
        </w:tc>
        <w:tc>
          <w:tcPr>
            <w:tcW w:w="1431" w:type="dxa"/>
            <w:shd w:val="clear" w:color="auto" w:fill="auto"/>
            <w:vAlign w:val="center"/>
          </w:tcPr>
          <w:p w14:paraId="3E9B4DA0" w14:textId="77777777" w:rsidR="00952EB7" w:rsidRPr="00952EB7" w:rsidRDefault="00952EB7" w:rsidP="00952EB7">
            <w:pPr>
              <w:jc w:val="center"/>
              <w:rPr>
                <w:rFonts w:ascii="Abadi" w:hAnsi="Abadi"/>
                <w:b/>
                <w:sz w:val="21"/>
                <w:szCs w:val="21"/>
                <w:lang w:val="es-MX" w:eastAsia="en-US"/>
              </w:rPr>
            </w:pPr>
            <w:r w:rsidRPr="00952EB7">
              <w:rPr>
                <w:rFonts w:ascii="Abadi" w:hAnsi="Abadi"/>
                <w:bCs/>
                <w:sz w:val="21"/>
                <w:szCs w:val="21"/>
              </w:rPr>
              <w:t>100</w:t>
            </w:r>
            <w:r w:rsidRPr="00952EB7">
              <w:rPr>
                <w:rFonts w:ascii="Abadi" w:hAnsi="Abadi"/>
                <w:b/>
                <w:sz w:val="21"/>
                <w:szCs w:val="21"/>
                <w:vertAlign w:val="superscript"/>
              </w:rPr>
              <w:t>(1)</w:t>
            </w:r>
          </w:p>
        </w:tc>
        <w:tc>
          <w:tcPr>
            <w:tcW w:w="1431" w:type="dxa"/>
            <w:shd w:val="clear" w:color="auto" w:fill="auto"/>
            <w:vAlign w:val="center"/>
          </w:tcPr>
          <w:p w14:paraId="66FDDB0C" w14:textId="77777777" w:rsidR="00952EB7" w:rsidRPr="00952EB7" w:rsidRDefault="00952EB7" w:rsidP="00952EB7">
            <w:pPr>
              <w:jc w:val="center"/>
              <w:rPr>
                <w:rFonts w:ascii="Abadi" w:hAnsi="Abadi"/>
                <w:b/>
                <w:sz w:val="21"/>
                <w:szCs w:val="21"/>
                <w:lang w:val="es-MX" w:eastAsia="en-US"/>
              </w:rPr>
            </w:pPr>
            <w:r w:rsidRPr="00952EB7">
              <w:rPr>
                <w:rFonts w:ascii="Abadi" w:hAnsi="Abadi"/>
                <w:bCs/>
                <w:sz w:val="21"/>
                <w:szCs w:val="21"/>
              </w:rPr>
              <w:t>58</w:t>
            </w:r>
            <w:r w:rsidRPr="00952EB7">
              <w:rPr>
                <w:rFonts w:ascii="Abadi" w:hAnsi="Abadi"/>
                <w:b/>
                <w:sz w:val="21"/>
                <w:szCs w:val="21"/>
                <w:vertAlign w:val="superscript"/>
              </w:rPr>
              <w:t>(2)</w:t>
            </w:r>
          </w:p>
        </w:tc>
      </w:tr>
      <w:tr w:rsidR="00952EB7" w:rsidRPr="00952EB7" w14:paraId="24B4D98E" w14:textId="77777777" w:rsidTr="004E6068">
        <w:trPr>
          <w:jc w:val="center"/>
        </w:trPr>
        <w:tc>
          <w:tcPr>
            <w:tcW w:w="1271" w:type="dxa"/>
            <w:shd w:val="clear" w:color="auto" w:fill="auto"/>
          </w:tcPr>
          <w:p w14:paraId="4E6B9940" w14:textId="77777777" w:rsidR="00952EB7" w:rsidRPr="00952EB7" w:rsidRDefault="00952EB7" w:rsidP="00952EB7">
            <w:pPr>
              <w:jc w:val="center"/>
              <w:rPr>
                <w:rFonts w:ascii="Abadi" w:hAnsi="Abadi"/>
                <w:bCs/>
                <w:sz w:val="21"/>
                <w:szCs w:val="21"/>
                <w:lang w:val="es-MX" w:eastAsia="en-US"/>
              </w:rPr>
            </w:pPr>
            <w:r w:rsidRPr="00952EB7">
              <w:rPr>
                <w:rFonts w:ascii="Abadi" w:hAnsi="Abadi"/>
                <w:sz w:val="21"/>
                <w:szCs w:val="21"/>
              </w:rPr>
              <w:t>2019</w:t>
            </w:r>
          </w:p>
        </w:tc>
        <w:tc>
          <w:tcPr>
            <w:tcW w:w="3404" w:type="dxa"/>
            <w:shd w:val="clear" w:color="auto" w:fill="auto"/>
          </w:tcPr>
          <w:p w14:paraId="10E31A8C" w14:textId="77777777" w:rsidR="00952EB7" w:rsidRPr="00952EB7" w:rsidRDefault="00952EB7" w:rsidP="00952EB7">
            <w:pPr>
              <w:jc w:val="both"/>
              <w:rPr>
                <w:rFonts w:ascii="Abadi" w:hAnsi="Abadi"/>
                <w:bCs/>
                <w:sz w:val="21"/>
                <w:szCs w:val="21"/>
                <w:lang w:val="es-MX" w:eastAsia="en-US"/>
              </w:rPr>
            </w:pPr>
            <w:r w:rsidRPr="00952EB7">
              <w:rPr>
                <w:rFonts w:ascii="Abadi" w:hAnsi="Abadi"/>
                <w:sz w:val="21"/>
                <w:szCs w:val="21"/>
              </w:rPr>
              <w:t xml:space="preserve">Revisión de cuenta pública </w:t>
            </w:r>
          </w:p>
        </w:tc>
        <w:tc>
          <w:tcPr>
            <w:tcW w:w="1431" w:type="dxa"/>
            <w:shd w:val="clear" w:color="auto" w:fill="auto"/>
            <w:vAlign w:val="center"/>
          </w:tcPr>
          <w:p w14:paraId="737E2EB8" w14:textId="77777777" w:rsidR="00952EB7" w:rsidRPr="00952EB7" w:rsidRDefault="00952EB7" w:rsidP="00952EB7">
            <w:pPr>
              <w:jc w:val="center"/>
              <w:rPr>
                <w:rFonts w:ascii="Abadi" w:hAnsi="Abadi"/>
                <w:bCs/>
                <w:sz w:val="21"/>
                <w:szCs w:val="21"/>
                <w:lang w:val="es-MX" w:eastAsia="en-US"/>
              </w:rPr>
            </w:pPr>
          </w:p>
        </w:tc>
        <w:tc>
          <w:tcPr>
            <w:tcW w:w="1431" w:type="dxa"/>
            <w:shd w:val="clear" w:color="auto" w:fill="auto"/>
            <w:vAlign w:val="center"/>
          </w:tcPr>
          <w:p w14:paraId="4AD33C15" w14:textId="77777777" w:rsidR="00952EB7" w:rsidRPr="00952EB7" w:rsidRDefault="00952EB7" w:rsidP="00952EB7">
            <w:pPr>
              <w:jc w:val="center"/>
              <w:rPr>
                <w:rFonts w:ascii="Abadi" w:hAnsi="Abadi"/>
                <w:bCs/>
                <w:sz w:val="21"/>
                <w:szCs w:val="21"/>
                <w:lang w:val="es-MX" w:eastAsia="en-US"/>
              </w:rPr>
            </w:pPr>
          </w:p>
        </w:tc>
      </w:tr>
      <w:tr w:rsidR="00952EB7" w:rsidRPr="00952EB7" w14:paraId="0CD19583" w14:textId="77777777" w:rsidTr="004E6068">
        <w:trPr>
          <w:jc w:val="center"/>
        </w:trPr>
        <w:tc>
          <w:tcPr>
            <w:tcW w:w="1271" w:type="dxa"/>
            <w:shd w:val="clear" w:color="auto" w:fill="auto"/>
          </w:tcPr>
          <w:p w14:paraId="490AF3F4" w14:textId="77777777" w:rsidR="00952EB7" w:rsidRPr="00952EB7" w:rsidRDefault="00952EB7" w:rsidP="00952EB7">
            <w:pPr>
              <w:jc w:val="center"/>
              <w:rPr>
                <w:rFonts w:ascii="Abadi" w:hAnsi="Abadi"/>
                <w:b/>
                <w:sz w:val="21"/>
                <w:szCs w:val="21"/>
                <w:lang w:val="es-MX" w:eastAsia="en-US"/>
              </w:rPr>
            </w:pPr>
          </w:p>
        </w:tc>
        <w:tc>
          <w:tcPr>
            <w:tcW w:w="3404" w:type="dxa"/>
            <w:shd w:val="clear" w:color="auto" w:fill="auto"/>
          </w:tcPr>
          <w:p w14:paraId="443DA98A" w14:textId="77777777" w:rsidR="00952EB7" w:rsidRPr="00952EB7" w:rsidRDefault="00952EB7" w:rsidP="00952EB7">
            <w:pPr>
              <w:rPr>
                <w:rFonts w:ascii="Abadi" w:hAnsi="Abadi"/>
                <w:b/>
                <w:sz w:val="21"/>
                <w:szCs w:val="21"/>
                <w:lang w:val="es-MX" w:eastAsia="en-US"/>
              </w:rPr>
            </w:pPr>
            <w:r w:rsidRPr="00952EB7">
              <w:rPr>
                <w:rFonts w:ascii="Abadi" w:hAnsi="Abadi" w:cs="Calibri"/>
                <w:sz w:val="21"/>
                <w:szCs w:val="21"/>
              </w:rPr>
              <w:t>Sector Central</w:t>
            </w:r>
          </w:p>
        </w:tc>
        <w:tc>
          <w:tcPr>
            <w:tcW w:w="1431" w:type="dxa"/>
            <w:shd w:val="clear" w:color="auto" w:fill="auto"/>
          </w:tcPr>
          <w:p w14:paraId="0C9DDB11" w14:textId="77777777" w:rsidR="00952EB7" w:rsidRPr="00952EB7" w:rsidRDefault="00952EB7" w:rsidP="00952EB7">
            <w:pPr>
              <w:jc w:val="center"/>
              <w:rPr>
                <w:rFonts w:ascii="Abadi" w:hAnsi="Abadi"/>
                <w:bCs/>
                <w:sz w:val="21"/>
                <w:szCs w:val="21"/>
                <w:lang w:val="es-MX" w:eastAsia="en-US"/>
              </w:rPr>
            </w:pPr>
            <w:r w:rsidRPr="00952EB7">
              <w:rPr>
                <w:rFonts w:ascii="Abadi" w:hAnsi="Abadi"/>
                <w:bCs/>
                <w:sz w:val="21"/>
                <w:szCs w:val="21"/>
              </w:rPr>
              <w:t>43</w:t>
            </w:r>
          </w:p>
        </w:tc>
        <w:tc>
          <w:tcPr>
            <w:tcW w:w="1431" w:type="dxa"/>
            <w:shd w:val="clear" w:color="auto" w:fill="auto"/>
            <w:vAlign w:val="center"/>
          </w:tcPr>
          <w:p w14:paraId="1EE9DD0A" w14:textId="77777777" w:rsidR="00952EB7" w:rsidRPr="00952EB7" w:rsidRDefault="00952EB7" w:rsidP="00952EB7">
            <w:pPr>
              <w:jc w:val="center"/>
              <w:rPr>
                <w:rFonts w:ascii="Abadi" w:hAnsi="Abadi"/>
                <w:b/>
                <w:sz w:val="21"/>
                <w:szCs w:val="21"/>
                <w:lang w:val="es-MX" w:eastAsia="en-US"/>
              </w:rPr>
            </w:pPr>
            <w:r w:rsidRPr="00952EB7">
              <w:rPr>
                <w:rFonts w:ascii="Abadi" w:hAnsi="Abadi" w:cs="Calibri"/>
                <w:sz w:val="21"/>
                <w:szCs w:val="21"/>
              </w:rPr>
              <w:t>60</w:t>
            </w:r>
          </w:p>
        </w:tc>
      </w:tr>
      <w:tr w:rsidR="00952EB7" w:rsidRPr="00952EB7" w14:paraId="68E30435" w14:textId="77777777" w:rsidTr="004E6068">
        <w:trPr>
          <w:jc w:val="center"/>
        </w:trPr>
        <w:tc>
          <w:tcPr>
            <w:tcW w:w="1271" w:type="dxa"/>
            <w:shd w:val="clear" w:color="auto" w:fill="auto"/>
          </w:tcPr>
          <w:p w14:paraId="5F618400" w14:textId="77777777" w:rsidR="00952EB7" w:rsidRPr="00952EB7" w:rsidRDefault="00952EB7" w:rsidP="00952EB7">
            <w:pPr>
              <w:jc w:val="center"/>
              <w:rPr>
                <w:rFonts w:ascii="Abadi" w:hAnsi="Abadi"/>
                <w:bCs/>
                <w:sz w:val="21"/>
                <w:szCs w:val="21"/>
                <w:lang w:val="es-MX" w:eastAsia="en-US"/>
              </w:rPr>
            </w:pPr>
            <w:r w:rsidRPr="00952EB7">
              <w:rPr>
                <w:rFonts w:ascii="Abadi" w:hAnsi="Abadi"/>
                <w:sz w:val="21"/>
                <w:szCs w:val="21"/>
              </w:rPr>
              <w:t>2020</w:t>
            </w:r>
          </w:p>
        </w:tc>
        <w:tc>
          <w:tcPr>
            <w:tcW w:w="3404" w:type="dxa"/>
            <w:shd w:val="clear" w:color="auto" w:fill="auto"/>
          </w:tcPr>
          <w:p w14:paraId="3B11E3CB" w14:textId="77777777" w:rsidR="00952EB7" w:rsidRPr="00952EB7" w:rsidRDefault="00952EB7" w:rsidP="00952EB7">
            <w:pPr>
              <w:jc w:val="both"/>
              <w:rPr>
                <w:rFonts w:ascii="Abadi" w:hAnsi="Abadi"/>
                <w:bCs/>
                <w:sz w:val="21"/>
                <w:szCs w:val="21"/>
                <w:lang w:val="es-MX" w:eastAsia="en-US"/>
              </w:rPr>
            </w:pPr>
            <w:r w:rsidRPr="00952EB7">
              <w:rPr>
                <w:rFonts w:ascii="Abadi" w:hAnsi="Abadi"/>
                <w:sz w:val="21"/>
                <w:szCs w:val="21"/>
              </w:rPr>
              <w:t xml:space="preserve">Auditoría a la infraestructura pública municipal </w:t>
            </w:r>
          </w:p>
        </w:tc>
        <w:tc>
          <w:tcPr>
            <w:tcW w:w="1431" w:type="dxa"/>
            <w:shd w:val="clear" w:color="auto" w:fill="auto"/>
            <w:vAlign w:val="center"/>
          </w:tcPr>
          <w:p w14:paraId="385CBCE3" w14:textId="77777777" w:rsidR="00952EB7" w:rsidRPr="00952EB7" w:rsidRDefault="00952EB7" w:rsidP="00952EB7">
            <w:pPr>
              <w:jc w:val="center"/>
              <w:rPr>
                <w:rFonts w:ascii="Abadi" w:hAnsi="Abadi"/>
                <w:b/>
                <w:sz w:val="21"/>
                <w:szCs w:val="21"/>
                <w:lang w:val="es-MX" w:eastAsia="en-US"/>
              </w:rPr>
            </w:pPr>
            <w:r w:rsidRPr="00952EB7">
              <w:rPr>
                <w:rFonts w:ascii="Abadi" w:hAnsi="Abadi" w:cs="Calibri"/>
                <w:sz w:val="21"/>
                <w:szCs w:val="21"/>
              </w:rPr>
              <w:t>100</w:t>
            </w:r>
            <w:r w:rsidRPr="00952EB7">
              <w:rPr>
                <w:rFonts w:ascii="Abadi" w:hAnsi="Abadi"/>
                <w:b/>
                <w:sz w:val="21"/>
                <w:szCs w:val="21"/>
                <w:vertAlign w:val="superscript"/>
              </w:rPr>
              <w:t>(1)</w:t>
            </w:r>
          </w:p>
        </w:tc>
        <w:tc>
          <w:tcPr>
            <w:tcW w:w="1431" w:type="dxa"/>
            <w:shd w:val="clear" w:color="auto" w:fill="auto"/>
            <w:vAlign w:val="center"/>
          </w:tcPr>
          <w:p w14:paraId="58C717A5" w14:textId="77777777" w:rsidR="00952EB7" w:rsidRPr="00952EB7" w:rsidRDefault="00952EB7" w:rsidP="00952EB7">
            <w:pPr>
              <w:jc w:val="center"/>
              <w:rPr>
                <w:rFonts w:ascii="Abadi" w:hAnsi="Abadi"/>
                <w:b/>
                <w:sz w:val="21"/>
                <w:szCs w:val="21"/>
                <w:lang w:val="es-MX" w:eastAsia="en-US"/>
              </w:rPr>
            </w:pPr>
            <w:r w:rsidRPr="00952EB7">
              <w:rPr>
                <w:rFonts w:ascii="Abadi" w:hAnsi="Abadi"/>
                <w:bCs/>
                <w:sz w:val="21"/>
                <w:szCs w:val="21"/>
              </w:rPr>
              <w:t>78</w:t>
            </w:r>
            <w:r w:rsidRPr="00952EB7">
              <w:rPr>
                <w:rFonts w:ascii="Abadi" w:hAnsi="Abadi"/>
                <w:b/>
                <w:sz w:val="21"/>
                <w:szCs w:val="21"/>
                <w:vertAlign w:val="superscript"/>
              </w:rPr>
              <w:t>(2)</w:t>
            </w:r>
          </w:p>
        </w:tc>
      </w:tr>
      <w:tr w:rsidR="00952EB7" w:rsidRPr="00952EB7" w14:paraId="15026326" w14:textId="77777777" w:rsidTr="004E6068">
        <w:trPr>
          <w:jc w:val="center"/>
        </w:trPr>
        <w:tc>
          <w:tcPr>
            <w:tcW w:w="1271" w:type="dxa"/>
            <w:shd w:val="clear" w:color="auto" w:fill="auto"/>
          </w:tcPr>
          <w:p w14:paraId="68255B57" w14:textId="77777777" w:rsidR="00952EB7" w:rsidRPr="00952EB7" w:rsidRDefault="00952EB7" w:rsidP="00952EB7">
            <w:pPr>
              <w:jc w:val="center"/>
              <w:rPr>
                <w:rFonts w:ascii="Abadi" w:hAnsi="Abadi"/>
                <w:bCs/>
                <w:sz w:val="21"/>
                <w:szCs w:val="21"/>
                <w:lang w:val="es-MX" w:eastAsia="en-US"/>
              </w:rPr>
            </w:pPr>
            <w:r w:rsidRPr="00952EB7">
              <w:rPr>
                <w:rFonts w:ascii="Abadi" w:hAnsi="Abadi"/>
                <w:sz w:val="21"/>
                <w:szCs w:val="21"/>
              </w:rPr>
              <w:t>2020</w:t>
            </w:r>
          </w:p>
        </w:tc>
        <w:tc>
          <w:tcPr>
            <w:tcW w:w="3404" w:type="dxa"/>
            <w:shd w:val="clear" w:color="auto" w:fill="auto"/>
          </w:tcPr>
          <w:p w14:paraId="7C2DFCA2" w14:textId="77777777" w:rsidR="00952EB7" w:rsidRPr="00952EB7" w:rsidRDefault="00952EB7" w:rsidP="00952EB7">
            <w:pPr>
              <w:jc w:val="both"/>
              <w:rPr>
                <w:rFonts w:ascii="Abadi" w:hAnsi="Abadi"/>
                <w:bCs/>
                <w:sz w:val="21"/>
                <w:szCs w:val="21"/>
                <w:lang w:val="es-MX" w:eastAsia="en-US"/>
              </w:rPr>
            </w:pPr>
            <w:r w:rsidRPr="00952EB7">
              <w:rPr>
                <w:rFonts w:ascii="Abadi" w:hAnsi="Abadi"/>
                <w:sz w:val="21"/>
                <w:szCs w:val="21"/>
              </w:rPr>
              <w:t>Revisión de cuenta pública</w:t>
            </w:r>
          </w:p>
        </w:tc>
        <w:tc>
          <w:tcPr>
            <w:tcW w:w="1431" w:type="dxa"/>
            <w:shd w:val="clear" w:color="auto" w:fill="auto"/>
            <w:vAlign w:val="center"/>
          </w:tcPr>
          <w:p w14:paraId="0B41BF80" w14:textId="77777777" w:rsidR="00952EB7" w:rsidRPr="00952EB7" w:rsidRDefault="00952EB7" w:rsidP="00952EB7">
            <w:pPr>
              <w:jc w:val="center"/>
              <w:rPr>
                <w:rFonts w:ascii="Abadi" w:hAnsi="Abadi"/>
                <w:bCs/>
                <w:sz w:val="21"/>
                <w:szCs w:val="21"/>
                <w:lang w:val="es-MX" w:eastAsia="en-US"/>
              </w:rPr>
            </w:pPr>
          </w:p>
        </w:tc>
        <w:tc>
          <w:tcPr>
            <w:tcW w:w="1431" w:type="dxa"/>
            <w:shd w:val="clear" w:color="auto" w:fill="auto"/>
            <w:vAlign w:val="center"/>
          </w:tcPr>
          <w:p w14:paraId="745C53A9" w14:textId="77777777" w:rsidR="00952EB7" w:rsidRPr="00952EB7" w:rsidRDefault="00952EB7" w:rsidP="00952EB7">
            <w:pPr>
              <w:jc w:val="center"/>
              <w:rPr>
                <w:rFonts w:ascii="Abadi" w:hAnsi="Abadi"/>
                <w:bCs/>
                <w:sz w:val="21"/>
                <w:szCs w:val="21"/>
                <w:lang w:val="es-MX" w:eastAsia="en-US"/>
              </w:rPr>
            </w:pPr>
          </w:p>
        </w:tc>
      </w:tr>
      <w:tr w:rsidR="00952EB7" w:rsidRPr="00952EB7" w14:paraId="57E7B1AC" w14:textId="77777777" w:rsidTr="004E6068">
        <w:trPr>
          <w:jc w:val="center"/>
        </w:trPr>
        <w:tc>
          <w:tcPr>
            <w:tcW w:w="1271" w:type="dxa"/>
            <w:shd w:val="clear" w:color="auto" w:fill="auto"/>
          </w:tcPr>
          <w:p w14:paraId="17A259E3" w14:textId="77777777" w:rsidR="00952EB7" w:rsidRPr="00952EB7" w:rsidRDefault="00952EB7" w:rsidP="00952EB7">
            <w:pPr>
              <w:jc w:val="center"/>
              <w:rPr>
                <w:rFonts w:ascii="Abadi" w:hAnsi="Abadi"/>
                <w:b/>
                <w:sz w:val="21"/>
                <w:szCs w:val="21"/>
                <w:lang w:val="es-MX" w:eastAsia="en-US"/>
              </w:rPr>
            </w:pPr>
          </w:p>
        </w:tc>
        <w:tc>
          <w:tcPr>
            <w:tcW w:w="3404" w:type="dxa"/>
            <w:shd w:val="clear" w:color="auto" w:fill="auto"/>
          </w:tcPr>
          <w:p w14:paraId="4A5F0BF7" w14:textId="77777777" w:rsidR="00952EB7" w:rsidRPr="00952EB7" w:rsidRDefault="00952EB7" w:rsidP="00952EB7">
            <w:pPr>
              <w:rPr>
                <w:rFonts w:ascii="Abadi" w:hAnsi="Abadi"/>
                <w:b/>
                <w:sz w:val="21"/>
                <w:szCs w:val="21"/>
                <w:lang w:val="es-MX" w:eastAsia="en-US"/>
              </w:rPr>
            </w:pPr>
            <w:r w:rsidRPr="00952EB7">
              <w:rPr>
                <w:rFonts w:ascii="Abadi" w:hAnsi="Abadi" w:cs="Calibri"/>
                <w:sz w:val="21"/>
                <w:szCs w:val="21"/>
              </w:rPr>
              <w:t>Sector Central</w:t>
            </w:r>
            <w:r w:rsidRPr="00952EB7">
              <w:rPr>
                <w:rFonts w:ascii="Abadi" w:hAnsi="Abadi" w:cs="Calibri"/>
                <w:sz w:val="21"/>
                <w:szCs w:val="21"/>
              </w:rPr>
              <w:tab/>
            </w:r>
          </w:p>
        </w:tc>
        <w:tc>
          <w:tcPr>
            <w:tcW w:w="1431" w:type="dxa"/>
            <w:shd w:val="clear" w:color="auto" w:fill="auto"/>
          </w:tcPr>
          <w:p w14:paraId="3B5AECE8" w14:textId="77777777" w:rsidR="00952EB7" w:rsidRPr="00952EB7" w:rsidRDefault="00952EB7" w:rsidP="00952EB7">
            <w:pPr>
              <w:jc w:val="center"/>
              <w:rPr>
                <w:rFonts w:ascii="Abadi" w:hAnsi="Abadi"/>
                <w:bCs/>
                <w:sz w:val="21"/>
                <w:szCs w:val="21"/>
                <w:lang w:val="es-MX" w:eastAsia="en-US"/>
              </w:rPr>
            </w:pPr>
            <w:r w:rsidRPr="00952EB7">
              <w:rPr>
                <w:rFonts w:ascii="Abadi" w:hAnsi="Abadi" w:cs="Calibri"/>
                <w:sz w:val="21"/>
                <w:szCs w:val="21"/>
              </w:rPr>
              <w:t>79</w:t>
            </w:r>
          </w:p>
        </w:tc>
        <w:tc>
          <w:tcPr>
            <w:tcW w:w="1431" w:type="dxa"/>
            <w:shd w:val="clear" w:color="auto" w:fill="auto"/>
            <w:vAlign w:val="center"/>
          </w:tcPr>
          <w:p w14:paraId="2A3F4285" w14:textId="77777777" w:rsidR="00952EB7" w:rsidRPr="00952EB7" w:rsidRDefault="00952EB7" w:rsidP="00952EB7">
            <w:pPr>
              <w:jc w:val="center"/>
              <w:rPr>
                <w:rFonts w:ascii="Abadi" w:hAnsi="Abadi"/>
                <w:b/>
                <w:sz w:val="21"/>
                <w:szCs w:val="21"/>
                <w:lang w:val="es-MX" w:eastAsia="en-US"/>
              </w:rPr>
            </w:pPr>
            <w:r w:rsidRPr="00952EB7">
              <w:rPr>
                <w:rFonts w:ascii="Abadi" w:hAnsi="Abadi"/>
                <w:bCs/>
                <w:sz w:val="21"/>
                <w:szCs w:val="21"/>
              </w:rPr>
              <w:t>60</w:t>
            </w:r>
          </w:p>
        </w:tc>
      </w:tr>
      <w:tr w:rsidR="00952EB7" w:rsidRPr="00952EB7" w14:paraId="4714FE82" w14:textId="77777777" w:rsidTr="004E6068">
        <w:trPr>
          <w:jc w:val="center"/>
        </w:trPr>
        <w:tc>
          <w:tcPr>
            <w:tcW w:w="1271" w:type="dxa"/>
            <w:shd w:val="clear" w:color="auto" w:fill="auto"/>
          </w:tcPr>
          <w:p w14:paraId="6E97E6A7" w14:textId="77777777" w:rsidR="00952EB7" w:rsidRPr="00952EB7" w:rsidRDefault="00952EB7" w:rsidP="00952EB7">
            <w:pPr>
              <w:jc w:val="center"/>
              <w:rPr>
                <w:rFonts w:ascii="Abadi" w:hAnsi="Abadi"/>
                <w:bCs/>
                <w:sz w:val="21"/>
                <w:szCs w:val="21"/>
                <w:lang w:val="es-MX" w:eastAsia="en-US"/>
              </w:rPr>
            </w:pPr>
            <w:r w:rsidRPr="00952EB7">
              <w:rPr>
                <w:rFonts w:ascii="Abadi" w:hAnsi="Abadi"/>
                <w:sz w:val="21"/>
                <w:szCs w:val="21"/>
              </w:rPr>
              <w:t>2021</w:t>
            </w:r>
          </w:p>
        </w:tc>
        <w:tc>
          <w:tcPr>
            <w:tcW w:w="3404" w:type="dxa"/>
            <w:shd w:val="clear" w:color="auto" w:fill="auto"/>
          </w:tcPr>
          <w:p w14:paraId="54788655" w14:textId="77777777" w:rsidR="00952EB7" w:rsidRPr="00952EB7" w:rsidRDefault="00952EB7" w:rsidP="00952EB7">
            <w:pPr>
              <w:jc w:val="both"/>
              <w:rPr>
                <w:rFonts w:ascii="Abadi" w:hAnsi="Abadi"/>
                <w:sz w:val="21"/>
                <w:szCs w:val="21"/>
              </w:rPr>
            </w:pPr>
            <w:r w:rsidRPr="00952EB7">
              <w:rPr>
                <w:rFonts w:ascii="Abadi" w:hAnsi="Abadi"/>
                <w:sz w:val="21"/>
                <w:szCs w:val="21"/>
              </w:rPr>
              <w:t xml:space="preserve">Auditoría a la infraestructura pública municipal </w:t>
            </w:r>
          </w:p>
        </w:tc>
        <w:tc>
          <w:tcPr>
            <w:tcW w:w="1431" w:type="dxa"/>
            <w:shd w:val="clear" w:color="auto" w:fill="auto"/>
            <w:vAlign w:val="center"/>
          </w:tcPr>
          <w:p w14:paraId="2EC659D9" w14:textId="77777777" w:rsidR="00952EB7" w:rsidRPr="00952EB7" w:rsidRDefault="00952EB7" w:rsidP="00952EB7">
            <w:pPr>
              <w:jc w:val="center"/>
              <w:rPr>
                <w:rFonts w:ascii="Abadi" w:hAnsi="Abadi"/>
                <w:sz w:val="21"/>
                <w:szCs w:val="21"/>
              </w:rPr>
            </w:pPr>
            <w:r w:rsidRPr="00952EB7">
              <w:rPr>
                <w:rFonts w:ascii="Abadi" w:hAnsi="Abadi" w:cs="Calibri"/>
                <w:sz w:val="21"/>
                <w:szCs w:val="21"/>
              </w:rPr>
              <w:t>Proceso</w:t>
            </w:r>
          </w:p>
        </w:tc>
        <w:tc>
          <w:tcPr>
            <w:tcW w:w="1431" w:type="dxa"/>
            <w:shd w:val="clear" w:color="auto" w:fill="auto"/>
            <w:vAlign w:val="center"/>
          </w:tcPr>
          <w:p w14:paraId="0A71B40D" w14:textId="77777777" w:rsidR="00952EB7" w:rsidRPr="00952EB7" w:rsidRDefault="00952EB7" w:rsidP="00952EB7">
            <w:pPr>
              <w:jc w:val="center"/>
              <w:rPr>
                <w:rFonts w:ascii="Abadi" w:hAnsi="Abadi"/>
                <w:sz w:val="21"/>
                <w:szCs w:val="21"/>
              </w:rPr>
            </w:pPr>
            <w:r w:rsidRPr="00952EB7">
              <w:rPr>
                <w:rFonts w:ascii="Abadi" w:hAnsi="Abadi"/>
                <w:bCs/>
                <w:sz w:val="21"/>
                <w:szCs w:val="21"/>
              </w:rPr>
              <w:t>Proceso</w:t>
            </w:r>
          </w:p>
        </w:tc>
      </w:tr>
      <w:tr w:rsidR="00952EB7" w:rsidRPr="00952EB7" w14:paraId="62AD14E3" w14:textId="77777777" w:rsidTr="004E6068">
        <w:trPr>
          <w:jc w:val="center"/>
        </w:trPr>
        <w:tc>
          <w:tcPr>
            <w:tcW w:w="1271" w:type="dxa"/>
            <w:shd w:val="clear" w:color="auto" w:fill="auto"/>
          </w:tcPr>
          <w:p w14:paraId="0B74AC61" w14:textId="77777777" w:rsidR="00952EB7" w:rsidRPr="00952EB7" w:rsidRDefault="00952EB7" w:rsidP="00952EB7">
            <w:pPr>
              <w:jc w:val="center"/>
              <w:rPr>
                <w:rFonts w:ascii="Abadi" w:hAnsi="Abadi"/>
                <w:bCs/>
                <w:sz w:val="21"/>
                <w:szCs w:val="21"/>
                <w:lang w:val="es-MX" w:eastAsia="en-US"/>
              </w:rPr>
            </w:pPr>
          </w:p>
        </w:tc>
        <w:tc>
          <w:tcPr>
            <w:tcW w:w="3404" w:type="dxa"/>
            <w:shd w:val="clear" w:color="auto" w:fill="auto"/>
          </w:tcPr>
          <w:p w14:paraId="1605AEFA" w14:textId="77777777" w:rsidR="00952EB7" w:rsidRPr="00952EB7" w:rsidRDefault="00952EB7" w:rsidP="00952EB7">
            <w:pPr>
              <w:jc w:val="both"/>
              <w:rPr>
                <w:rFonts w:ascii="Abadi" w:hAnsi="Abadi"/>
                <w:sz w:val="21"/>
                <w:szCs w:val="21"/>
              </w:rPr>
            </w:pPr>
            <w:r w:rsidRPr="00952EB7">
              <w:rPr>
                <w:rFonts w:ascii="Abadi" w:hAnsi="Abadi" w:cs="Calibri"/>
                <w:sz w:val="21"/>
                <w:szCs w:val="21"/>
              </w:rPr>
              <w:t>En etapa de análisis de información financiera del periodo de enero a junio y julio a diciembre del ejercicio fiscal 2021.</w:t>
            </w:r>
          </w:p>
        </w:tc>
        <w:tc>
          <w:tcPr>
            <w:tcW w:w="1431" w:type="dxa"/>
            <w:shd w:val="clear" w:color="auto" w:fill="auto"/>
            <w:vAlign w:val="center"/>
          </w:tcPr>
          <w:p w14:paraId="731666F6" w14:textId="77777777" w:rsidR="00952EB7" w:rsidRPr="00952EB7" w:rsidRDefault="00952EB7" w:rsidP="00952EB7">
            <w:pPr>
              <w:jc w:val="center"/>
              <w:rPr>
                <w:rFonts w:ascii="Abadi" w:hAnsi="Abadi"/>
                <w:sz w:val="21"/>
                <w:szCs w:val="21"/>
              </w:rPr>
            </w:pPr>
          </w:p>
        </w:tc>
        <w:tc>
          <w:tcPr>
            <w:tcW w:w="1431" w:type="dxa"/>
            <w:shd w:val="clear" w:color="auto" w:fill="auto"/>
            <w:vAlign w:val="center"/>
          </w:tcPr>
          <w:p w14:paraId="3D78E9C6" w14:textId="77777777" w:rsidR="00952EB7" w:rsidRPr="00952EB7" w:rsidRDefault="00952EB7" w:rsidP="00952EB7">
            <w:pPr>
              <w:jc w:val="center"/>
              <w:rPr>
                <w:rFonts w:ascii="Abadi" w:hAnsi="Abadi"/>
                <w:sz w:val="21"/>
                <w:szCs w:val="21"/>
              </w:rPr>
            </w:pPr>
          </w:p>
        </w:tc>
      </w:tr>
      <w:tr w:rsidR="00952EB7" w:rsidRPr="00952EB7" w14:paraId="6556E8B3" w14:textId="77777777" w:rsidTr="004E6068">
        <w:trPr>
          <w:jc w:val="center"/>
        </w:trPr>
        <w:tc>
          <w:tcPr>
            <w:tcW w:w="1271" w:type="dxa"/>
            <w:shd w:val="clear" w:color="auto" w:fill="auto"/>
          </w:tcPr>
          <w:p w14:paraId="25073F01" w14:textId="77777777" w:rsidR="00952EB7" w:rsidRPr="00952EB7" w:rsidRDefault="00952EB7" w:rsidP="00952EB7">
            <w:pPr>
              <w:jc w:val="center"/>
              <w:rPr>
                <w:rFonts w:ascii="Abadi" w:hAnsi="Abadi"/>
                <w:b/>
                <w:sz w:val="21"/>
                <w:szCs w:val="21"/>
                <w:lang w:val="es-MX" w:eastAsia="en-US"/>
              </w:rPr>
            </w:pPr>
            <w:r w:rsidRPr="00952EB7">
              <w:rPr>
                <w:rFonts w:ascii="Abadi" w:hAnsi="Abadi"/>
                <w:sz w:val="21"/>
                <w:szCs w:val="21"/>
              </w:rPr>
              <w:t>2021</w:t>
            </w:r>
          </w:p>
        </w:tc>
        <w:tc>
          <w:tcPr>
            <w:tcW w:w="3404" w:type="dxa"/>
            <w:shd w:val="clear" w:color="auto" w:fill="auto"/>
          </w:tcPr>
          <w:p w14:paraId="2208CA7A" w14:textId="77777777" w:rsidR="00952EB7" w:rsidRPr="00952EB7" w:rsidRDefault="00952EB7" w:rsidP="00952EB7">
            <w:pPr>
              <w:jc w:val="both"/>
              <w:rPr>
                <w:rFonts w:ascii="Abadi" w:hAnsi="Abadi"/>
                <w:sz w:val="21"/>
                <w:szCs w:val="21"/>
              </w:rPr>
            </w:pPr>
            <w:r w:rsidRPr="00952EB7">
              <w:rPr>
                <w:rFonts w:ascii="Abadi" w:hAnsi="Abadi"/>
                <w:sz w:val="21"/>
                <w:szCs w:val="21"/>
              </w:rPr>
              <w:t xml:space="preserve">Revisión de cuenta pública y auditoría de infraestructura pública </w:t>
            </w:r>
          </w:p>
        </w:tc>
        <w:tc>
          <w:tcPr>
            <w:tcW w:w="1431" w:type="dxa"/>
            <w:shd w:val="clear" w:color="auto" w:fill="auto"/>
            <w:vAlign w:val="center"/>
          </w:tcPr>
          <w:p w14:paraId="464C7E3D" w14:textId="77777777" w:rsidR="00952EB7" w:rsidRPr="00952EB7" w:rsidRDefault="00952EB7" w:rsidP="00952EB7">
            <w:pPr>
              <w:jc w:val="center"/>
              <w:rPr>
                <w:rFonts w:ascii="Abadi" w:hAnsi="Abadi"/>
                <w:sz w:val="21"/>
                <w:szCs w:val="21"/>
              </w:rPr>
            </w:pPr>
          </w:p>
        </w:tc>
        <w:tc>
          <w:tcPr>
            <w:tcW w:w="1431" w:type="dxa"/>
            <w:shd w:val="clear" w:color="auto" w:fill="auto"/>
            <w:vAlign w:val="center"/>
          </w:tcPr>
          <w:p w14:paraId="7F93D4C8" w14:textId="77777777" w:rsidR="00952EB7" w:rsidRPr="00952EB7" w:rsidRDefault="00952EB7" w:rsidP="00952EB7">
            <w:pPr>
              <w:jc w:val="center"/>
              <w:rPr>
                <w:rFonts w:ascii="Abadi" w:hAnsi="Abadi"/>
                <w:sz w:val="21"/>
                <w:szCs w:val="21"/>
              </w:rPr>
            </w:pPr>
          </w:p>
        </w:tc>
      </w:tr>
      <w:tr w:rsidR="00952EB7" w:rsidRPr="00952EB7" w14:paraId="290F15FF" w14:textId="77777777" w:rsidTr="004E6068">
        <w:trPr>
          <w:jc w:val="center"/>
        </w:trPr>
        <w:tc>
          <w:tcPr>
            <w:tcW w:w="1271" w:type="dxa"/>
            <w:shd w:val="clear" w:color="auto" w:fill="auto"/>
          </w:tcPr>
          <w:p w14:paraId="522A1888" w14:textId="77777777" w:rsidR="00952EB7" w:rsidRPr="00952EB7" w:rsidRDefault="00952EB7" w:rsidP="00952EB7">
            <w:pPr>
              <w:jc w:val="center"/>
              <w:rPr>
                <w:rFonts w:ascii="Abadi" w:hAnsi="Abadi"/>
                <w:sz w:val="21"/>
                <w:szCs w:val="21"/>
              </w:rPr>
            </w:pPr>
          </w:p>
          <w:p w14:paraId="33FBFCC3" w14:textId="77777777" w:rsidR="00952EB7" w:rsidRPr="00952EB7" w:rsidRDefault="00952EB7" w:rsidP="00952EB7">
            <w:pPr>
              <w:jc w:val="center"/>
              <w:rPr>
                <w:rFonts w:ascii="Abadi" w:hAnsi="Abadi"/>
                <w:bCs/>
                <w:sz w:val="21"/>
                <w:szCs w:val="21"/>
                <w:lang w:val="es-MX" w:eastAsia="en-US"/>
              </w:rPr>
            </w:pPr>
          </w:p>
        </w:tc>
        <w:tc>
          <w:tcPr>
            <w:tcW w:w="3404" w:type="dxa"/>
            <w:shd w:val="clear" w:color="auto" w:fill="auto"/>
            <w:vAlign w:val="center"/>
          </w:tcPr>
          <w:p w14:paraId="651C9922" w14:textId="77777777" w:rsidR="00952EB7" w:rsidRPr="00952EB7" w:rsidRDefault="00952EB7" w:rsidP="00952EB7">
            <w:pPr>
              <w:jc w:val="both"/>
              <w:rPr>
                <w:rFonts w:ascii="Abadi" w:hAnsi="Abadi"/>
                <w:sz w:val="21"/>
                <w:szCs w:val="21"/>
              </w:rPr>
            </w:pPr>
            <w:r w:rsidRPr="00952EB7">
              <w:rPr>
                <w:rFonts w:ascii="Abadi" w:hAnsi="Abadi" w:cs="Calibri"/>
                <w:sz w:val="21"/>
                <w:szCs w:val="21"/>
              </w:rPr>
              <w:t xml:space="preserve">En etapa de análisis de información financiera del periodo de enero a junio y julio a diciembre del ejercicio fiscal 2021. </w:t>
            </w:r>
          </w:p>
        </w:tc>
        <w:tc>
          <w:tcPr>
            <w:tcW w:w="1431" w:type="dxa"/>
            <w:shd w:val="clear" w:color="auto" w:fill="auto"/>
            <w:vAlign w:val="center"/>
          </w:tcPr>
          <w:p w14:paraId="152B9475" w14:textId="77777777" w:rsidR="00952EB7" w:rsidRPr="00952EB7" w:rsidRDefault="00952EB7" w:rsidP="00952EB7">
            <w:pPr>
              <w:jc w:val="center"/>
              <w:rPr>
                <w:rFonts w:ascii="Abadi" w:hAnsi="Abadi"/>
                <w:sz w:val="21"/>
                <w:szCs w:val="21"/>
              </w:rPr>
            </w:pPr>
            <w:r w:rsidRPr="00952EB7">
              <w:rPr>
                <w:rFonts w:ascii="Abadi" w:hAnsi="Abadi" w:cs="Calibri"/>
                <w:sz w:val="21"/>
                <w:szCs w:val="21"/>
              </w:rPr>
              <w:t>Proceso</w:t>
            </w:r>
          </w:p>
        </w:tc>
        <w:tc>
          <w:tcPr>
            <w:tcW w:w="1431" w:type="dxa"/>
            <w:shd w:val="clear" w:color="auto" w:fill="auto"/>
            <w:vAlign w:val="center"/>
          </w:tcPr>
          <w:p w14:paraId="43EAFD95" w14:textId="77777777" w:rsidR="00952EB7" w:rsidRPr="00952EB7" w:rsidRDefault="00952EB7" w:rsidP="00952EB7">
            <w:pPr>
              <w:jc w:val="center"/>
              <w:rPr>
                <w:rFonts w:ascii="Abadi" w:hAnsi="Abadi"/>
                <w:sz w:val="21"/>
                <w:szCs w:val="21"/>
              </w:rPr>
            </w:pPr>
            <w:r w:rsidRPr="00952EB7">
              <w:rPr>
                <w:rFonts w:ascii="Abadi" w:hAnsi="Abadi"/>
                <w:bCs/>
                <w:sz w:val="21"/>
                <w:szCs w:val="21"/>
              </w:rPr>
              <w:t>Proceso</w:t>
            </w:r>
          </w:p>
        </w:tc>
      </w:tr>
    </w:tbl>
    <w:p w14:paraId="42CB9B72" w14:textId="77777777" w:rsidR="00952EB7" w:rsidRPr="00952EB7" w:rsidRDefault="00952EB7" w:rsidP="00952EB7">
      <w:pPr>
        <w:rPr>
          <w:rFonts w:ascii="Abadi" w:hAnsi="Abadi"/>
          <w:b/>
          <w:sz w:val="21"/>
          <w:szCs w:val="21"/>
          <w:lang w:val="es-MX" w:eastAsia="en-US"/>
        </w:rPr>
      </w:pPr>
    </w:p>
    <w:p w14:paraId="18174D04" w14:textId="77777777" w:rsidR="00952EB7" w:rsidRPr="00952EB7" w:rsidRDefault="00952EB7" w:rsidP="00952EB7">
      <w:pPr>
        <w:rPr>
          <w:rFonts w:ascii="Abadi" w:hAnsi="Abadi"/>
          <w:b/>
          <w:bCs/>
          <w:sz w:val="21"/>
          <w:szCs w:val="21"/>
          <w:lang w:val="es-MX" w:eastAsia="en-US"/>
        </w:rPr>
      </w:pPr>
      <w:r w:rsidRPr="00952EB7">
        <w:rPr>
          <w:rFonts w:ascii="Abadi" w:hAnsi="Abadi"/>
          <w:b/>
          <w:bCs/>
          <w:sz w:val="21"/>
          <w:szCs w:val="21"/>
          <w:lang w:val="es-MX" w:eastAsia="en-US"/>
        </w:rPr>
        <w:t>Notas:</w:t>
      </w:r>
    </w:p>
    <w:p w14:paraId="50F25BCF" w14:textId="77777777" w:rsidR="00952EB7" w:rsidRPr="00952EB7" w:rsidRDefault="00952EB7" w:rsidP="001A28E5">
      <w:pPr>
        <w:numPr>
          <w:ilvl w:val="0"/>
          <w:numId w:val="71"/>
        </w:numPr>
        <w:contextualSpacing/>
        <w:rPr>
          <w:rFonts w:ascii="Abadi" w:hAnsi="Abadi"/>
          <w:sz w:val="21"/>
          <w:szCs w:val="21"/>
          <w:lang w:val="es-MX" w:eastAsia="en-US"/>
        </w:rPr>
      </w:pPr>
      <w:r w:rsidRPr="00952EB7">
        <w:rPr>
          <w:rFonts w:ascii="Abadi" w:hAnsi="Abadi"/>
          <w:sz w:val="21"/>
          <w:szCs w:val="21"/>
          <w:lang w:val="es-MX" w:eastAsia="en-US"/>
        </w:rPr>
        <w:t>De los recursos del Fondo de Infraestructura Social Municipal.</w:t>
      </w:r>
    </w:p>
    <w:p w14:paraId="7CB8E75E" w14:textId="77777777" w:rsidR="00952EB7" w:rsidRPr="00952EB7" w:rsidRDefault="00952EB7" w:rsidP="001A28E5">
      <w:pPr>
        <w:numPr>
          <w:ilvl w:val="0"/>
          <w:numId w:val="71"/>
        </w:numPr>
        <w:contextualSpacing/>
        <w:rPr>
          <w:rFonts w:ascii="Abadi" w:hAnsi="Abadi"/>
          <w:sz w:val="21"/>
          <w:szCs w:val="21"/>
          <w:lang w:val="es-MX" w:eastAsia="en-US"/>
        </w:rPr>
      </w:pPr>
      <w:r w:rsidRPr="00952EB7">
        <w:rPr>
          <w:rFonts w:ascii="Abadi" w:hAnsi="Abadi"/>
          <w:sz w:val="21"/>
          <w:szCs w:val="21"/>
          <w:lang w:val="es-MX" w:eastAsia="en-US"/>
        </w:rPr>
        <w:t>De los recursos devengados en obra pública.</w:t>
      </w:r>
    </w:p>
    <w:p w14:paraId="5C90F2D0" w14:textId="77777777" w:rsidR="00952EB7" w:rsidRPr="00952EB7" w:rsidRDefault="00952EB7" w:rsidP="00952EB7">
      <w:pPr>
        <w:rPr>
          <w:rFonts w:ascii="Abadi" w:hAnsi="Abadi"/>
          <w:sz w:val="21"/>
          <w:szCs w:val="21"/>
          <w:lang w:val="es-MX" w:eastAsia="en-US"/>
        </w:rPr>
      </w:pPr>
    </w:p>
    <w:p w14:paraId="3FC00488" w14:textId="77777777" w:rsidR="00952EB7" w:rsidRPr="00952EB7" w:rsidRDefault="00952EB7" w:rsidP="00952EB7">
      <w:pPr>
        <w:spacing w:line="360" w:lineRule="auto"/>
        <w:ind w:firstLine="720"/>
        <w:jc w:val="both"/>
        <w:rPr>
          <w:rFonts w:ascii="Abadi" w:hAnsi="Abadi" w:cs="Tahoma"/>
          <w:sz w:val="21"/>
          <w:szCs w:val="21"/>
        </w:rPr>
      </w:pPr>
    </w:p>
    <w:p w14:paraId="447AAF9F" w14:textId="77777777" w:rsidR="00952EB7" w:rsidRPr="00952EB7" w:rsidRDefault="00952EB7" w:rsidP="00952EB7">
      <w:pPr>
        <w:spacing w:line="360" w:lineRule="auto"/>
        <w:ind w:firstLine="720"/>
        <w:jc w:val="both"/>
        <w:rPr>
          <w:rFonts w:ascii="Abadi" w:hAnsi="Abadi" w:cs="Tahoma"/>
          <w:sz w:val="21"/>
          <w:szCs w:val="21"/>
        </w:rPr>
      </w:pPr>
      <w:r w:rsidRPr="00952EB7">
        <w:rPr>
          <w:rFonts w:ascii="Abadi" w:hAnsi="Abadi" w:cs="Tahoma"/>
          <w:sz w:val="21"/>
          <w:szCs w:val="21"/>
        </w:rPr>
        <w:t>De acuerdo a la información proporcionada por la Auditoría Superior del Estado para la realización de los procesos de fiscalización se determinan con base en los riesgos identificados durante la etapa de planeación. Los análisis realizados en la planeación están vinculados con la generalidad del sujeto de fiscalización, con los sistemas transaccionales, de control interno, de materialidad presupuestal, de visibilidad y relevancia, así como de posibles riesgos asociados, entre los que destacan: Actas de órgano de gobierno y adquisiciones, notas periodísticas, publicaciones en el Periódico Oficial de Gobierno del Estado, análisis de demandas, informes de auditoría emitidos por órganos internos de control, auditorías externas y realizadas por la propia Auditoría Superior del Estado, sistemas transaccionales (tesorería, ingresos, bienes muebles e inmuebles, servicios personales, ayudas y subsidios, deuda, entre otros); variaciones presupuestales, saldos de cuenta de balance y resultados, bancos, proveedores y contratistas, enajenación y adquisición de bienes muebles e inmuebles y procesamiento de CFDI (XML).</w:t>
      </w:r>
    </w:p>
    <w:p w14:paraId="31B034EA" w14:textId="77777777" w:rsidR="00952EB7" w:rsidRPr="00952EB7" w:rsidRDefault="00952EB7" w:rsidP="00952EB7">
      <w:pPr>
        <w:spacing w:line="360" w:lineRule="auto"/>
        <w:ind w:firstLine="720"/>
        <w:jc w:val="both"/>
        <w:rPr>
          <w:rFonts w:ascii="Abadi" w:hAnsi="Abadi" w:cs="Tahoma"/>
          <w:sz w:val="21"/>
          <w:szCs w:val="21"/>
        </w:rPr>
      </w:pPr>
    </w:p>
    <w:p w14:paraId="2A9F9D05" w14:textId="40451E6B" w:rsidR="00952EB7" w:rsidRDefault="00952EB7" w:rsidP="00952EB7">
      <w:pPr>
        <w:spacing w:line="360" w:lineRule="auto"/>
        <w:ind w:firstLine="720"/>
        <w:jc w:val="both"/>
        <w:rPr>
          <w:rFonts w:ascii="Abadi" w:hAnsi="Abadi" w:cs="Tahoma"/>
          <w:sz w:val="21"/>
          <w:szCs w:val="21"/>
        </w:rPr>
      </w:pPr>
      <w:r w:rsidRPr="00952EB7">
        <w:rPr>
          <w:rFonts w:ascii="Abadi" w:hAnsi="Abadi" w:cs="Tahoma"/>
          <w:sz w:val="21"/>
          <w:szCs w:val="21"/>
        </w:rPr>
        <w:t xml:space="preserve">El alcance y procedimientos referidos forman parte de los análisis que realiza la Auditoría Superior del Estado para efecto de determinar la materialidad y la extensión de los procedimientos de auditoría a aplicar en la etapa de ejecución, situación por la cual, los alcances establecidos en los respectivos informes de resultados se complementan con los procedimientos de planeación específica, mismos que forman parte integral del análisis que realiza dicho ente auditor.  </w:t>
      </w:r>
    </w:p>
    <w:p w14:paraId="36ACC5DD" w14:textId="77777777" w:rsidR="00952EB7" w:rsidRPr="00952EB7" w:rsidRDefault="00952EB7" w:rsidP="00952EB7">
      <w:pPr>
        <w:spacing w:line="360" w:lineRule="auto"/>
        <w:ind w:firstLine="720"/>
        <w:jc w:val="both"/>
        <w:rPr>
          <w:rFonts w:ascii="Abadi" w:hAnsi="Abadi" w:cs="Tahoma"/>
          <w:sz w:val="21"/>
          <w:szCs w:val="21"/>
        </w:rPr>
      </w:pPr>
    </w:p>
    <w:p w14:paraId="4857A427" w14:textId="77777777" w:rsidR="00952EB7" w:rsidRPr="00952EB7" w:rsidRDefault="00952EB7" w:rsidP="00952EB7">
      <w:pPr>
        <w:spacing w:line="360" w:lineRule="auto"/>
        <w:ind w:firstLine="720"/>
        <w:jc w:val="both"/>
        <w:rPr>
          <w:rFonts w:ascii="Abadi" w:hAnsi="Abadi" w:cs="Tahoma"/>
          <w:sz w:val="21"/>
          <w:szCs w:val="21"/>
        </w:rPr>
      </w:pPr>
      <w:r w:rsidRPr="00952EB7">
        <w:rPr>
          <w:rFonts w:ascii="Abadi" w:hAnsi="Abadi" w:cs="Tahoma"/>
          <w:sz w:val="21"/>
          <w:szCs w:val="21"/>
        </w:rPr>
        <w:t>En el caso de la administración municipal de Apaseo el Alto, Gto., en cuanto a las auditorías practicadas al Ramo General 33 y obra pública y a la infraestructura pública municipal de los ejercicios fiscales 2018, 2019 y 2020 se revisaron 12 obras del ejercicio fiscal 2018; 8 obras del ejercicio fiscal 2019; y 14 obras y 5 servicios relacionados con la misma del ejercicio fiscal 2020; verificándose que las inversiones en obra pública se hayan realizado de conformidad con las leyes, normas, reglamentos y demás disposiciones legales que la regulan; que los presupuestos considerados para la ejecución de las obras se hayan aplicado correctamente, y que las modificaciones ocurridas se justifiquen mediante los convenios correspondientes; que la adjudicación y contratación de la obra pública se hayan realizado con estricto apego a lo dispuesto en la legislación vigente y que no existiera conflicto de interés entre los contratistas y los funcionarios públicos que decidieron las adjudicaciones; que los sistemas de control interno, operativo y contable que regulan la función, aseguren la protección de los recursos y su efectiva utilización, la calidad de los trabajos, la razonabilidad de los costos y la confiabilidad de la información en la ejecución de la obra pública; y que los contratistas hayan cumplido con las cláusulas contractuales, las especificaciones de obra, los procedimientos de construcción y la calendarización de los trabajos.</w:t>
      </w:r>
    </w:p>
    <w:p w14:paraId="6541561D" w14:textId="77777777" w:rsidR="00952EB7" w:rsidRPr="00952EB7" w:rsidRDefault="00952EB7" w:rsidP="00952EB7">
      <w:pPr>
        <w:jc w:val="both"/>
        <w:rPr>
          <w:rFonts w:ascii="Abadi" w:hAnsi="Abadi"/>
          <w:sz w:val="21"/>
          <w:szCs w:val="21"/>
          <w:lang w:val="es-MX" w:eastAsia="en-US"/>
        </w:rPr>
      </w:pPr>
    </w:p>
    <w:p w14:paraId="16919099" w14:textId="77777777" w:rsidR="00952EB7" w:rsidRPr="00952EB7" w:rsidRDefault="00952EB7" w:rsidP="00952EB7">
      <w:pPr>
        <w:spacing w:line="360" w:lineRule="auto"/>
        <w:ind w:firstLine="720"/>
        <w:jc w:val="both"/>
        <w:rPr>
          <w:rFonts w:ascii="Abadi" w:hAnsi="Abadi" w:cs="Tahoma"/>
          <w:sz w:val="21"/>
          <w:szCs w:val="21"/>
        </w:rPr>
      </w:pPr>
      <w:r w:rsidRPr="00952EB7">
        <w:rPr>
          <w:rFonts w:ascii="Abadi" w:hAnsi="Abadi" w:cs="Tahoma"/>
          <w:sz w:val="21"/>
          <w:szCs w:val="21"/>
        </w:rPr>
        <w:t>Destacando que en las referidas auditorías se contempló la revisión de una muestra de las obras y acciones ejercidas por la administración municipal en los periodos auditados, las cuales se determinaron con base en una planeación basada en riesgos, entre cuyos análisis se contemplan los temas de interés de la sociedad reflejados en notas periodísticas y el interés parlamentario, entre otros.</w:t>
      </w:r>
    </w:p>
    <w:p w14:paraId="6964ECEF" w14:textId="77777777" w:rsidR="00952EB7" w:rsidRPr="00952EB7" w:rsidRDefault="00952EB7" w:rsidP="00952EB7">
      <w:pPr>
        <w:spacing w:line="360" w:lineRule="auto"/>
        <w:ind w:firstLine="720"/>
        <w:jc w:val="both"/>
        <w:rPr>
          <w:rFonts w:ascii="Abadi" w:hAnsi="Abadi" w:cs="Tahoma"/>
          <w:sz w:val="21"/>
          <w:szCs w:val="21"/>
        </w:rPr>
      </w:pPr>
    </w:p>
    <w:p w14:paraId="6D8BDFA6" w14:textId="5762F29F" w:rsidR="00952EB7" w:rsidRPr="00952EB7" w:rsidRDefault="00952EB7" w:rsidP="00952EB7">
      <w:pPr>
        <w:spacing w:line="360" w:lineRule="auto"/>
        <w:ind w:firstLine="720"/>
        <w:jc w:val="both"/>
        <w:rPr>
          <w:rFonts w:ascii="Abadi" w:hAnsi="Abadi" w:cs="Tahoma"/>
          <w:sz w:val="21"/>
          <w:szCs w:val="21"/>
        </w:rPr>
      </w:pPr>
      <w:r w:rsidRPr="00952EB7">
        <w:rPr>
          <w:rFonts w:ascii="Abadi" w:hAnsi="Abadi" w:cs="Tahoma"/>
          <w:sz w:val="21"/>
          <w:szCs w:val="21"/>
        </w:rPr>
        <w:t>Por lo que hace a la revisión de la cuenta pública correspondiente al ejercicio fiscal del año 2018 se revisaron los siguientes rubros:</w:t>
      </w:r>
    </w:p>
    <w:p w14:paraId="2A0FC40A" w14:textId="77777777" w:rsidR="00952EB7" w:rsidRPr="00952EB7" w:rsidRDefault="00952EB7" w:rsidP="00952EB7">
      <w:pPr>
        <w:spacing w:line="360" w:lineRule="auto"/>
        <w:ind w:firstLine="720"/>
        <w:jc w:val="both"/>
        <w:rPr>
          <w:rFonts w:ascii="Abadi" w:hAnsi="Abadi" w:cs="Tahoma"/>
          <w:sz w:val="21"/>
          <w:szCs w:val="21"/>
        </w:rPr>
      </w:pPr>
    </w:p>
    <w:p w14:paraId="39E07A4A" w14:textId="0A02B101" w:rsidR="00952EB7" w:rsidRDefault="00952EB7" w:rsidP="001A28E5">
      <w:pPr>
        <w:numPr>
          <w:ilvl w:val="0"/>
          <w:numId w:val="42"/>
        </w:numPr>
        <w:spacing w:line="360" w:lineRule="auto"/>
        <w:contextualSpacing/>
        <w:jc w:val="both"/>
        <w:rPr>
          <w:rFonts w:ascii="Abadi" w:hAnsi="Abadi"/>
          <w:sz w:val="21"/>
          <w:szCs w:val="21"/>
          <w:lang w:val="es-MX" w:eastAsia="es-MX"/>
        </w:rPr>
      </w:pPr>
      <w:r w:rsidRPr="00952EB7">
        <w:rPr>
          <w:rFonts w:ascii="Abadi" w:hAnsi="Abadi"/>
          <w:sz w:val="21"/>
          <w:szCs w:val="21"/>
          <w:lang w:val="es-MX" w:eastAsia="es-MX"/>
        </w:rPr>
        <w:t xml:space="preserve">Activo: Adquisiciones de computadoras y equipo periférico, equipo de audio y video, automóviles y camiones, otro equipo de transporte, así como activos intangibles (licencias informáticas e intelectuales). De dichas adquisiciones se verificó el proceso de adjudicación, análisis de contratos y verificaciones físicas de bienes. </w:t>
      </w:r>
    </w:p>
    <w:p w14:paraId="244D34C7" w14:textId="77777777" w:rsidR="00952EB7" w:rsidRPr="00952EB7" w:rsidRDefault="00952EB7" w:rsidP="00952EB7">
      <w:pPr>
        <w:spacing w:line="360" w:lineRule="auto"/>
        <w:contextualSpacing/>
        <w:jc w:val="both"/>
        <w:rPr>
          <w:rFonts w:ascii="Abadi" w:hAnsi="Abadi"/>
          <w:sz w:val="21"/>
          <w:szCs w:val="21"/>
          <w:lang w:val="es-MX" w:eastAsia="es-MX"/>
        </w:rPr>
      </w:pPr>
    </w:p>
    <w:p w14:paraId="73C04DBC" w14:textId="40EE7FB9" w:rsidR="00952EB7" w:rsidRDefault="00952EB7" w:rsidP="001A28E5">
      <w:pPr>
        <w:numPr>
          <w:ilvl w:val="0"/>
          <w:numId w:val="42"/>
        </w:numPr>
        <w:spacing w:after="160" w:line="360" w:lineRule="auto"/>
        <w:contextualSpacing/>
        <w:jc w:val="both"/>
        <w:rPr>
          <w:rFonts w:ascii="Abadi" w:hAnsi="Abadi"/>
          <w:sz w:val="21"/>
          <w:szCs w:val="21"/>
          <w:lang w:val="es-MX" w:eastAsia="es-MX"/>
        </w:rPr>
      </w:pPr>
      <w:r w:rsidRPr="00952EB7">
        <w:rPr>
          <w:rFonts w:ascii="Abadi" w:hAnsi="Abadi"/>
          <w:sz w:val="21"/>
          <w:szCs w:val="21"/>
          <w:lang w:val="es-MX" w:eastAsia="en-US"/>
        </w:rPr>
        <w:t xml:space="preserve">Ingresos: Participaciones y aportaciones. </w:t>
      </w:r>
    </w:p>
    <w:p w14:paraId="18A6B659" w14:textId="77777777" w:rsidR="00952EB7" w:rsidRPr="00952EB7" w:rsidRDefault="00952EB7" w:rsidP="00952EB7">
      <w:pPr>
        <w:spacing w:after="160" w:line="360" w:lineRule="auto"/>
        <w:contextualSpacing/>
        <w:jc w:val="both"/>
        <w:rPr>
          <w:rFonts w:ascii="Abadi" w:hAnsi="Abadi"/>
          <w:sz w:val="21"/>
          <w:szCs w:val="21"/>
          <w:lang w:val="es-MX" w:eastAsia="es-MX"/>
        </w:rPr>
      </w:pPr>
    </w:p>
    <w:p w14:paraId="337311DE" w14:textId="77777777" w:rsidR="00952EB7" w:rsidRPr="00952EB7" w:rsidRDefault="00952EB7" w:rsidP="001A28E5">
      <w:pPr>
        <w:numPr>
          <w:ilvl w:val="0"/>
          <w:numId w:val="42"/>
        </w:numPr>
        <w:spacing w:after="160" w:line="360" w:lineRule="auto"/>
        <w:contextualSpacing/>
        <w:jc w:val="both"/>
        <w:rPr>
          <w:rFonts w:ascii="Abadi" w:eastAsia="Calibri" w:hAnsi="Abadi"/>
          <w:sz w:val="21"/>
          <w:szCs w:val="21"/>
          <w:lang w:eastAsia="en-US"/>
        </w:rPr>
      </w:pPr>
      <w:r w:rsidRPr="00952EB7">
        <w:rPr>
          <w:rFonts w:ascii="Abadi" w:hAnsi="Abadi"/>
          <w:sz w:val="21"/>
          <w:szCs w:val="21"/>
          <w:lang w:val="es-MX" w:eastAsia="es-MX"/>
        </w:rPr>
        <w:t>Egresos:</w:t>
      </w:r>
      <w:r w:rsidRPr="00952EB7">
        <w:rPr>
          <w:rFonts w:ascii="Abadi" w:hAnsi="Abadi" w:cs="Calibri"/>
          <w:sz w:val="21"/>
          <w:szCs w:val="21"/>
          <w:lang w:val="es-MX" w:eastAsia="es-MX"/>
        </w:rPr>
        <w:t xml:space="preserve"> Servicios personales como sueldos y gratificación de fin de año (se verificó que el pago se efectuara con apego a los montos autorizados y a las condiciones específicas para su otorgamiento), liquidaciones por indemnización por sueldos y salarios caídos, arrendamiento de maquinaria y equipo, servicios profesionales científicos y tecnológicos integrales, gastos de orden social y cultural, así como transferencias para servicios personales</w:t>
      </w:r>
      <w:r w:rsidRPr="00952EB7">
        <w:rPr>
          <w:rFonts w:ascii="Abadi" w:eastAsia="Calibri" w:hAnsi="Abadi"/>
          <w:sz w:val="21"/>
          <w:szCs w:val="21"/>
          <w:lang w:eastAsia="en-US"/>
        </w:rPr>
        <w:t>.</w:t>
      </w:r>
    </w:p>
    <w:p w14:paraId="60815321" w14:textId="77777777" w:rsidR="00952EB7" w:rsidRPr="00952EB7" w:rsidRDefault="00952EB7" w:rsidP="00952EB7">
      <w:pPr>
        <w:widowControl w:val="0"/>
        <w:spacing w:after="200" w:line="360" w:lineRule="auto"/>
        <w:ind w:left="372" w:firstLine="696"/>
        <w:contextualSpacing/>
        <w:jc w:val="both"/>
        <w:rPr>
          <w:rFonts w:ascii="Abadi" w:eastAsia="Calibri" w:hAnsi="Abadi"/>
          <w:b/>
          <w:bCs/>
          <w:sz w:val="21"/>
          <w:szCs w:val="21"/>
          <w:lang w:eastAsia="en-US"/>
        </w:rPr>
      </w:pPr>
    </w:p>
    <w:p w14:paraId="5C5EFEE4" w14:textId="77777777" w:rsidR="00952EB7" w:rsidRPr="00952EB7" w:rsidRDefault="00952EB7" w:rsidP="00952EB7">
      <w:pPr>
        <w:spacing w:after="160" w:line="360" w:lineRule="auto"/>
        <w:ind w:firstLine="709"/>
        <w:contextualSpacing/>
        <w:jc w:val="both"/>
        <w:rPr>
          <w:rFonts w:ascii="Abadi" w:eastAsia="Calibri" w:hAnsi="Abadi"/>
          <w:sz w:val="21"/>
          <w:szCs w:val="21"/>
          <w:lang w:eastAsia="en-US"/>
        </w:rPr>
      </w:pPr>
      <w:r w:rsidRPr="00952EB7">
        <w:rPr>
          <w:rFonts w:ascii="Abadi" w:eastAsia="Calibri" w:hAnsi="Abadi"/>
          <w:sz w:val="21"/>
          <w:szCs w:val="21"/>
          <w:lang w:eastAsia="en-US"/>
        </w:rPr>
        <w:t>De la cuenta pública correspondiente al ejercicio fiscal 2019 se revisaron los siguientes apartados:</w:t>
      </w:r>
    </w:p>
    <w:p w14:paraId="43654BDE" w14:textId="1C50505C" w:rsidR="00952EB7" w:rsidRDefault="00952EB7" w:rsidP="001A28E5">
      <w:pPr>
        <w:numPr>
          <w:ilvl w:val="0"/>
          <w:numId w:val="42"/>
        </w:numPr>
        <w:spacing w:after="160" w:line="360" w:lineRule="auto"/>
        <w:contextualSpacing/>
        <w:jc w:val="both"/>
        <w:rPr>
          <w:rFonts w:ascii="Abadi" w:hAnsi="Abadi"/>
          <w:sz w:val="21"/>
          <w:szCs w:val="21"/>
          <w:lang w:val="es-MX" w:eastAsia="es-MX"/>
        </w:rPr>
      </w:pPr>
      <w:r w:rsidRPr="00952EB7">
        <w:rPr>
          <w:rFonts w:ascii="Abadi" w:hAnsi="Abadi"/>
          <w:sz w:val="21"/>
          <w:szCs w:val="21"/>
          <w:lang w:val="es-MX" w:eastAsia="es-MX"/>
        </w:rPr>
        <w:t xml:space="preserve">Activo: Adquisiciones de computadoras y equipo periférico, equipo de audio y video, cámaras fotográficas y de video, automóviles y camiones, maquinaria y equipo de construcción, así como la adquisición del sistema de aire acondicionado y refrigeración. De la adquisición de los bienes señalados, se verificó el proceso de adjudicación, análisis de contratos y se efectuaron verificaciones físicas de los bienes. </w:t>
      </w:r>
    </w:p>
    <w:p w14:paraId="5027888D" w14:textId="77777777" w:rsidR="00952EB7" w:rsidRPr="00952EB7" w:rsidRDefault="00952EB7" w:rsidP="00952EB7">
      <w:pPr>
        <w:spacing w:after="160" w:line="360" w:lineRule="auto"/>
        <w:contextualSpacing/>
        <w:jc w:val="both"/>
        <w:rPr>
          <w:rFonts w:ascii="Abadi" w:hAnsi="Abadi"/>
          <w:sz w:val="21"/>
          <w:szCs w:val="21"/>
          <w:lang w:val="es-MX" w:eastAsia="es-MX"/>
        </w:rPr>
      </w:pPr>
    </w:p>
    <w:p w14:paraId="201C51BA" w14:textId="1DEB62F0" w:rsidR="00952EB7" w:rsidRDefault="00952EB7" w:rsidP="001A28E5">
      <w:pPr>
        <w:numPr>
          <w:ilvl w:val="0"/>
          <w:numId w:val="42"/>
        </w:numPr>
        <w:spacing w:after="160" w:line="360" w:lineRule="auto"/>
        <w:contextualSpacing/>
        <w:jc w:val="both"/>
        <w:rPr>
          <w:rFonts w:ascii="Abadi" w:hAnsi="Abadi"/>
          <w:sz w:val="21"/>
          <w:szCs w:val="21"/>
          <w:lang w:val="es-MX" w:eastAsia="es-MX"/>
        </w:rPr>
      </w:pPr>
      <w:r w:rsidRPr="00952EB7">
        <w:rPr>
          <w:rFonts w:ascii="Abadi" w:hAnsi="Abadi"/>
          <w:sz w:val="21"/>
          <w:szCs w:val="21"/>
          <w:lang w:val="es-MX" w:eastAsia="es-MX"/>
        </w:rPr>
        <w:t xml:space="preserve">Ingresos: Participaciones y aportaciones. </w:t>
      </w:r>
    </w:p>
    <w:p w14:paraId="6A3F5FEF" w14:textId="77777777" w:rsidR="00952EB7" w:rsidRPr="00952EB7" w:rsidRDefault="00952EB7" w:rsidP="00952EB7">
      <w:pPr>
        <w:spacing w:after="160" w:line="360" w:lineRule="auto"/>
        <w:contextualSpacing/>
        <w:jc w:val="both"/>
        <w:rPr>
          <w:rFonts w:ascii="Abadi" w:hAnsi="Abadi"/>
          <w:sz w:val="21"/>
          <w:szCs w:val="21"/>
          <w:lang w:val="es-MX" w:eastAsia="es-MX"/>
        </w:rPr>
      </w:pPr>
    </w:p>
    <w:p w14:paraId="79780A62" w14:textId="77777777" w:rsidR="00952EB7" w:rsidRPr="00952EB7" w:rsidRDefault="00952EB7" w:rsidP="001A28E5">
      <w:pPr>
        <w:numPr>
          <w:ilvl w:val="0"/>
          <w:numId w:val="42"/>
        </w:numPr>
        <w:spacing w:after="160" w:line="360" w:lineRule="auto"/>
        <w:contextualSpacing/>
        <w:jc w:val="both"/>
        <w:rPr>
          <w:rFonts w:ascii="Abadi" w:hAnsi="Abadi"/>
          <w:sz w:val="21"/>
          <w:szCs w:val="21"/>
          <w:lang w:val="es-MX" w:eastAsia="es-MX"/>
        </w:rPr>
      </w:pPr>
      <w:r w:rsidRPr="00952EB7">
        <w:rPr>
          <w:rFonts w:ascii="Abadi" w:hAnsi="Abadi"/>
          <w:sz w:val="21"/>
          <w:szCs w:val="21"/>
          <w:lang w:val="es-MX" w:eastAsia="es-MX"/>
        </w:rPr>
        <w:t xml:space="preserve">Egresos: Servicios personales como sueldos, honorarios, prima vacacional, gratificación de fin de año y compensaciones por servicios (se verificó que el pago se efectuara con apego a los montos autorizados y a las condiciones específicas para su otorgamiento) Ahorro para el retiro, cuotas para el fondo de ahorro, liquidaciones por indemnización por sueldos y salarios caídos, vestuarios y uniformes, arrendamiento de maquinaria y equipo, servicios de capacitación, servicios profesionales científicos y tecnológicos integrales, gastos de orden social y cultural, transferencias de subsidios y otras ayudas así como, gastos relacionados con actividades culturales deportivas y ayudas. </w:t>
      </w:r>
    </w:p>
    <w:p w14:paraId="76BF2495" w14:textId="77777777" w:rsidR="00952EB7" w:rsidRDefault="00952EB7" w:rsidP="00952EB7">
      <w:pPr>
        <w:spacing w:after="160" w:line="360" w:lineRule="auto"/>
        <w:ind w:firstLine="708"/>
        <w:contextualSpacing/>
        <w:jc w:val="both"/>
        <w:rPr>
          <w:rFonts w:ascii="Abadi" w:eastAsia="Calibri" w:hAnsi="Abadi"/>
          <w:sz w:val="21"/>
          <w:szCs w:val="21"/>
          <w:lang w:eastAsia="en-US"/>
        </w:rPr>
      </w:pPr>
    </w:p>
    <w:p w14:paraId="0D334C30" w14:textId="60173E55" w:rsidR="00952EB7" w:rsidRDefault="00952EB7" w:rsidP="00952EB7">
      <w:pPr>
        <w:spacing w:after="160" w:line="360" w:lineRule="auto"/>
        <w:ind w:firstLine="708"/>
        <w:contextualSpacing/>
        <w:jc w:val="both"/>
        <w:rPr>
          <w:rFonts w:ascii="Abadi" w:eastAsia="Calibri" w:hAnsi="Abadi"/>
          <w:sz w:val="21"/>
          <w:szCs w:val="21"/>
          <w:lang w:eastAsia="en-US"/>
        </w:rPr>
      </w:pPr>
      <w:r w:rsidRPr="00952EB7">
        <w:rPr>
          <w:rFonts w:ascii="Abadi" w:eastAsia="Calibri" w:hAnsi="Abadi"/>
          <w:sz w:val="21"/>
          <w:szCs w:val="21"/>
          <w:lang w:eastAsia="en-US"/>
        </w:rPr>
        <w:t xml:space="preserve">Por lo que hace a la cuenta pública correspondiente al ejercicio fiscal 2020 se revisaron los siguientes rubros: </w:t>
      </w:r>
    </w:p>
    <w:p w14:paraId="1D805A5C" w14:textId="77777777" w:rsidR="00952EB7" w:rsidRPr="00952EB7" w:rsidRDefault="00952EB7" w:rsidP="00952EB7">
      <w:pPr>
        <w:spacing w:after="160" w:line="360" w:lineRule="auto"/>
        <w:ind w:firstLine="708"/>
        <w:contextualSpacing/>
        <w:jc w:val="both"/>
        <w:rPr>
          <w:rFonts w:ascii="Abadi" w:eastAsia="Calibri" w:hAnsi="Abadi"/>
          <w:sz w:val="21"/>
          <w:szCs w:val="21"/>
          <w:lang w:eastAsia="en-US"/>
        </w:rPr>
      </w:pPr>
    </w:p>
    <w:p w14:paraId="03FE8736" w14:textId="76471F20" w:rsidR="00952EB7" w:rsidRDefault="00952EB7" w:rsidP="001A28E5">
      <w:pPr>
        <w:numPr>
          <w:ilvl w:val="0"/>
          <w:numId w:val="42"/>
        </w:numPr>
        <w:spacing w:after="160" w:line="360" w:lineRule="auto"/>
        <w:contextualSpacing/>
        <w:jc w:val="both"/>
        <w:rPr>
          <w:rFonts w:ascii="Abadi" w:hAnsi="Abadi"/>
          <w:sz w:val="21"/>
          <w:szCs w:val="21"/>
          <w:lang w:val="es-MX" w:eastAsia="es-MX"/>
        </w:rPr>
      </w:pPr>
      <w:r w:rsidRPr="00952EB7">
        <w:rPr>
          <w:rFonts w:ascii="Abadi" w:hAnsi="Abadi"/>
          <w:sz w:val="21"/>
          <w:szCs w:val="21"/>
          <w:lang w:val="es-MX" w:eastAsia="es-MX"/>
        </w:rPr>
        <w:t xml:space="preserve">Activo: Adquisiciones de computadoras y equipo periférico, automóviles y camiones y software. De la adquisición de los bienes señalados, se verificó el proceso de adjudicación, análisis de contratos y se efectuaron verificaciones físicas de los bienes. </w:t>
      </w:r>
    </w:p>
    <w:p w14:paraId="2181FEDF" w14:textId="77777777" w:rsidR="00952EB7" w:rsidRPr="00952EB7" w:rsidRDefault="00952EB7" w:rsidP="00952EB7">
      <w:pPr>
        <w:spacing w:after="160" w:line="360" w:lineRule="auto"/>
        <w:contextualSpacing/>
        <w:jc w:val="both"/>
        <w:rPr>
          <w:rFonts w:ascii="Abadi" w:hAnsi="Abadi"/>
          <w:sz w:val="21"/>
          <w:szCs w:val="21"/>
          <w:lang w:val="es-MX" w:eastAsia="es-MX"/>
        </w:rPr>
      </w:pPr>
    </w:p>
    <w:p w14:paraId="5695D7D1" w14:textId="77777777" w:rsidR="00952EB7" w:rsidRPr="00952EB7" w:rsidRDefault="00952EB7" w:rsidP="001A28E5">
      <w:pPr>
        <w:numPr>
          <w:ilvl w:val="0"/>
          <w:numId w:val="42"/>
        </w:numPr>
        <w:spacing w:after="160" w:line="360" w:lineRule="auto"/>
        <w:contextualSpacing/>
        <w:jc w:val="both"/>
        <w:rPr>
          <w:rFonts w:ascii="Abadi" w:hAnsi="Abadi"/>
          <w:sz w:val="21"/>
          <w:szCs w:val="21"/>
          <w:lang w:val="es-MX" w:eastAsia="es-MX"/>
        </w:rPr>
      </w:pPr>
      <w:r w:rsidRPr="00952EB7">
        <w:rPr>
          <w:rFonts w:ascii="Abadi" w:hAnsi="Abadi"/>
          <w:sz w:val="21"/>
          <w:szCs w:val="21"/>
          <w:lang w:val="es-MX" w:eastAsia="es-MX"/>
        </w:rPr>
        <w:t xml:space="preserve">Ingresos: Participaciones y aportaciones. </w:t>
      </w:r>
    </w:p>
    <w:p w14:paraId="4D85456A" w14:textId="77777777" w:rsidR="00952EB7" w:rsidRPr="00952EB7" w:rsidRDefault="00952EB7" w:rsidP="001A28E5">
      <w:pPr>
        <w:numPr>
          <w:ilvl w:val="0"/>
          <w:numId w:val="42"/>
        </w:numPr>
        <w:spacing w:after="160" w:line="360" w:lineRule="auto"/>
        <w:contextualSpacing/>
        <w:jc w:val="both"/>
        <w:rPr>
          <w:rFonts w:ascii="Abadi" w:hAnsi="Abadi"/>
          <w:sz w:val="21"/>
          <w:szCs w:val="21"/>
          <w:lang w:val="es-MX" w:eastAsia="es-MX"/>
        </w:rPr>
      </w:pPr>
      <w:r w:rsidRPr="00952EB7">
        <w:rPr>
          <w:rFonts w:ascii="Abadi" w:hAnsi="Abadi"/>
          <w:sz w:val="21"/>
          <w:szCs w:val="21"/>
          <w:lang w:val="es-MX" w:eastAsia="es-MX"/>
        </w:rPr>
        <w:t>Egresos: Servicios personales como: sueldos base y de confianza, honorarios, prima vacacional, gratificación de fin de año y compensaciones por servicios (se verificó que el pago se efectuara con apego a los montos autorizados y a las condiciones específicas para su otorgamiento) cuotas para el fondo de ahorro, liquidaciones por indemnización por sueldos y salarios caídos.</w:t>
      </w:r>
    </w:p>
    <w:p w14:paraId="0CC4E135" w14:textId="77777777" w:rsidR="00952EB7" w:rsidRPr="00952EB7" w:rsidRDefault="00952EB7" w:rsidP="00952EB7">
      <w:pPr>
        <w:spacing w:after="160" w:line="360" w:lineRule="auto"/>
        <w:ind w:left="1428"/>
        <w:contextualSpacing/>
        <w:jc w:val="both"/>
        <w:rPr>
          <w:rFonts w:ascii="Abadi" w:hAnsi="Abadi"/>
          <w:sz w:val="21"/>
          <w:szCs w:val="21"/>
          <w:lang w:val="es-MX" w:eastAsia="es-MX"/>
        </w:rPr>
      </w:pPr>
      <w:r w:rsidRPr="00952EB7">
        <w:rPr>
          <w:rFonts w:ascii="Abadi" w:hAnsi="Abadi"/>
          <w:sz w:val="21"/>
          <w:szCs w:val="21"/>
          <w:lang w:val="es-MX" w:eastAsia="es-MX"/>
        </w:rPr>
        <w:t>Materiales y suministros como: Vestuarios y uniformes, arrendamiento de maquinaria y equipo.</w:t>
      </w:r>
    </w:p>
    <w:p w14:paraId="78005EBB" w14:textId="77777777" w:rsidR="00952EB7" w:rsidRPr="00952EB7" w:rsidRDefault="00952EB7" w:rsidP="00952EB7">
      <w:pPr>
        <w:spacing w:after="160" w:line="360" w:lineRule="auto"/>
        <w:ind w:left="1428"/>
        <w:contextualSpacing/>
        <w:jc w:val="both"/>
        <w:rPr>
          <w:rFonts w:ascii="Abadi" w:hAnsi="Abadi"/>
          <w:sz w:val="21"/>
          <w:szCs w:val="21"/>
          <w:lang w:val="es-MX" w:eastAsia="es-MX"/>
        </w:rPr>
      </w:pPr>
      <w:r w:rsidRPr="00952EB7">
        <w:rPr>
          <w:rFonts w:ascii="Abadi" w:hAnsi="Abadi"/>
          <w:sz w:val="21"/>
          <w:szCs w:val="21"/>
          <w:lang w:val="es-MX" w:eastAsia="es-MX"/>
        </w:rPr>
        <w:t>Servicios Generales como: Servicios de capacitación, servicios profesionales científicos y tecnológicos integrales, gastos de orden social y cultural.</w:t>
      </w:r>
    </w:p>
    <w:p w14:paraId="413F19C7" w14:textId="77777777" w:rsidR="00952EB7" w:rsidRPr="00952EB7" w:rsidRDefault="00952EB7" w:rsidP="00952EB7">
      <w:pPr>
        <w:spacing w:after="160" w:line="360" w:lineRule="auto"/>
        <w:ind w:left="1428"/>
        <w:contextualSpacing/>
        <w:jc w:val="both"/>
        <w:rPr>
          <w:rFonts w:ascii="Abadi" w:hAnsi="Abadi"/>
          <w:sz w:val="21"/>
          <w:szCs w:val="21"/>
          <w:lang w:val="es-MX" w:eastAsia="es-MX"/>
        </w:rPr>
      </w:pPr>
      <w:r w:rsidRPr="00952EB7">
        <w:rPr>
          <w:rFonts w:ascii="Abadi" w:hAnsi="Abadi"/>
          <w:sz w:val="21"/>
          <w:szCs w:val="21"/>
          <w:lang w:val="es-MX" w:eastAsia="es-MX"/>
        </w:rPr>
        <w:t>Transferencias, Asignaciones y subsidios como: Transferencias, asignaciones, subsidios y otras ayudas, así como subsidios a la producción y ayudas sociales.</w:t>
      </w:r>
    </w:p>
    <w:p w14:paraId="072459BE" w14:textId="77777777" w:rsidR="00952EB7" w:rsidRDefault="00952EB7" w:rsidP="00952EB7">
      <w:pPr>
        <w:spacing w:line="360" w:lineRule="auto"/>
        <w:ind w:firstLine="708"/>
        <w:contextualSpacing/>
        <w:jc w:val="both"/>
        <w:rPr>
          <w:rFonts w:ascii="Abadi" w:eastAsia="Calibri" w:hAnsi="Abadi"/>
          <w:bCs/>
          <w:sz w:val="21"/>
          <w:szCs w:val="21"/>
          <w:lang w:val="es-MX" w:eastAsia="en-US"/>
        </w:rPr>
      </w:pPr>
    </w:p>
    <w:p w14:paraId="2CCCCC39" w14:textId="55B11FF8" w:rsidR="00952EB7" w:rsidRPr="00952EB7" w:rsidRDefault="00952EB7" w:rsidP="00952EB7">
      <w:pPr>
        <w:spacing w:line="360" w:lineRule="auto"/>
        <w:ind w:firstLine="708"/>
        <w:contextualSpacing/>
        <w:jc w:val="both"/>
        <w:rPr>
          <w:rFonts w:ascii="Abadi" w:eastAsia="Calibri" w:hAnsi="Abadi"/>
          <w:bCs/>
          <w:sz w:val="21"/>
          <w:szCs w:val="21"/>
          <w:lang w:val="es-MX" w:eastAsia="en-US"/>
        </w:rPr>
      </w:pPr>
      <w:r w:rsidRPr="00952EB7">
        <w:rPr>
          <w:rFonts w:ascii="Abadi" w:eastAsia="Calibri" w:hAnsi="Abadi"/>
          <w:bCs/>
          <w:sz w:val="21"/>
          <w:szCs w:val="21"/>
          <w:lang w:val="es-MX" w:eastAsia="en-US"/>
        </w:rPr>
        <w:t xml:space="preserve">De acuerdo a la información antes señalada, la Auditoría Superior del Estado ha realizado 2 revisiones de cuenta pública y 2 auditorías practicadas al </w:t>
      </w:r>
      <w:r w:rsidRPr="00952EB7">
        <w:rPr>
          <w:rFonts w:ascii="Abadi" w:hAnsi="Abadi" w:cs="Tahoma"/>
          <w:spacing w:val="-10"/>
          <w:kern w:val="28"/>
          <w:sz w:val="21"/>
          <w:szCs w:val="21"/>
          <w:lang w:val="es-MX" w:eastAsia="en-US"/>
        </w:rPr>
        <w:t>Ramo General 33 y obra pública y a la infraestructura pública municipal</w:t>
      </w:r>
      <w:r w:rsidRPr="00952EB7">
        <w:rPr>
          <w:rFonts w:ascii="Abadi" w:eastAsia="Calibri" w:hAnsi="Abadi"/>
          <w:bCs/>
          <w:sz w:val="21"/>
          <w:szCs w:val="21"/>
          <w:lang w:val="es-MX" w:eastAsia="en-US"/>
        </w:rPr>
        <w:t>.</w:t>
      </w:r>
    </w:p>
    <w:p w14:paraId="76FA67A2" w14:textId="77777777" w:rsidR="00952EB7" w:rsidRPr="00952EB7" w:rsidRDefault="00952EB7" w:rsidP="00952EB7">
      <w:pPr>
        <w:rPr>
          <w:rFonts w:ascii="Abadi" w:eastAsia="Calibri" w:hAnsi="Abadi"/>
          <w:sz w:val="21"/>
          <w:szCs w:val="21"/>
          <w:lang w:val="es-MX" w:eastAsia="en-US"/>
        </w:rPr>
      </w:pPr>
    </w:p>
    <w:p w14:paraId="7F669B6C" w14:textId="77777777" w:rsidR="00952EB7" w:rsidRPr="00952EB7" w:rsidRDefault="00952EB7" w:rsidP="00952EB7">
      <w:pPr>
        <w:spacing w:line="360" w:lineRule="auto"/>
        <w:ind w:firstLine="708"/>
        <w:contextualSpacing/>
        <w:jc w:val="both"/>
        <w:rPr>
          <w:rFonts w:ascii="Abadi" w:eastAsia="Calibri" w:hAnsi="Abadi"/>
          <w:bCs/>
          <w:sz w:val="21"/>
          <w:szCs w:val="21"/>
          <w:lang w:val="es-MX" w:eastAsia="en-US"/>
        </w:rPr>
      </w:pPr>
      <w:r w:rsidRPr="00952EB7">
        <w:rPr>
          <w:rFonts w:ascii="Abadi" w:eastAsia="Calibri" w:hAnsi="Abadi"/>
          <w:bCs/>
          <w:sz w:val="21"/>
          <w:szCs w:val="21"/>
          <w:lang w:val="es-MX" w:eastAsia="en-US"/>
        </w:rPr>
        <w:t>Aunado a lo anterior, en el Programa General de Fiscalización 2022 se contemplan 272 actos de fiscalización, por lo que, de acuerdo a dicho Programa, así como al Programa Operativo Anual y la capacidad institucional instalada, la incorporación de actos de fiscalización adicionales a los ya programados, incidiría directamente en la cobertura, calidad y tiempos de la fiscalización, en detrimento del citado programa y de los actos de fiscalización previamente planificados.</w:t>
      </w:r>
    </w:p>
    <w:p w14:paraId="1E657BE4" w14:textId="77777777" w:rsidR="00952EB7" w:rsidRPr="00952EB7" w:rsidRDefault="00952EB7" w:rsidP="00952EB7">
      <w:pPr>
        <w:spacing w:line="360" w:lineRule="auto"/>
        <w:ind w:firstLine="720"/>
        <w:jc w:val="both"/>
        <w:rPr>
          <w:rFonts w:ascii="Abadi" w:hAnsi="Abadi" w:cs="Arial"/>
          <w:sz w:val="21"/>
          <w:szCs w:val="21"/>
        </w:rPr>
      </w:pPr>
    </w:p>
    <w:p w14:paraId="364EA4D5" w14:textId="77777777" w:rsidR="00952EB7" w:rsidRPr="00952EB7" w:rsidRDefault="00952EB7" w:rsidP="00952EB7">
      <w:pPr>
        <w:spacing w:line="360" w:lineRule="auto"/>
        <w:ind w:firstLine="720"/>
        <w:jc w:val="both"/>
        <w:rPr>
          <w:rFonts w:ascii="Abadi" w:hAnsi="Abadi" w:cs="Arial"/>
          <w:sz w:val="21"/>
          <w:szCs w:val="21"/>
        </w:rPr>
      </w:pPr>
      <w:r w:rsidRPr="00952EB7">
        <w:rPr>
          <w:rFonts w:ascii="Abadi" w:hAnsi="Abadi" w:cs="Arial"/>
          <w:sz w:val="21"/>
          <w:szCs w:val="21"/>
        </w:rPr>
        <w:t>En razón a lo antes señalado y privilegiando la realización de los actos de fiscalización ya contemplados en el Programa General de Fiscalización de la Auditoría Superior del Estado para el presente ejercicio fiscal, mismo que consideró una planeación estratégica, así como al cumplimiento de dicho programa en tiempo y calidad de los actos programados, así como a la capacidad institucional instalada de dicho Órgano Técnico, determinamos no autorizar la realización de la auditoría propuesta, atendiendo además a que ya se realizaron diversos actos de fiscalización a la administración municipal de Apaseo el Alto, Gto., por parte de la Auditoría Superior del Estado a los ejercicios fiscales que se propone auditar.</w:t>
      </w:r>
    </w:p>
    <w:p w14:paraId="02165267" w14:textId="77777777" w:rsidR="00952EB7" w:rsidRPr="00952EB7" w:rsidRDefault="00952EB7" w:rsidP="00952EB7">
      <w:pPr>
        <w:spacing w:line="360" w:lineRule="auto"/>
        <w:ind w:firstLine="720"/>
        <w:jc w:val="both"/>
        <w:rPr>
          <w:rFonts w:ascii="Abadi" w:hAnsi="Abadi" w:cs="Arial"/>
          <w:sz w:val="21"/>
          <w:szCs w:val="21"/>
        </w:rPr>
      </w:pPr>
    </w:p>
    <w:p w14:paraId="7DBE9722" w14:textId="28E6118C" w:rsidR="00952EB7" w:rsidRDefault="00952EB7" w:rsidP="00952EB7">
      <w:pPr>
        <w:widowControl w:val="0"/>
        <w:spacing w:after="200" w:line="360" w:lineRule="auto"/>
        <w:ind w:firstLine="708"/>
        <w:contextualSpacing/>
        <w:jc w:val="both"/>
        <w:rPr>
          <w:rFonts w:ascii="Abadi" w:eastAsia="Calibri" w:hAnsi="Abadi"/>
          <w:bCs/>
          <w:sz w:val="21"/>
          <w:szCs w:val="21"/>
          <w:lang w:val="es-MX" w:eastAsia="en-US"/>
        </w:rPr>
      </w:pPr>
      <w:r w:rsidRPr="00952EB7">
        <w:rPr>
          <w:rFonts w:ascii="Abadi" w:eastAsia="Calibri" w:hAnsi="Abadi"/>
          <w:bCs/>
          <w:sz w:val="21"/>
          <w:szCs w:val="21"/>
          <w:lang w:val="es-MX" w:eastAsia="en-US"/>
        </w:rPr>
        <w:t xml:space="preserve">No obstante, la Auditoría Superior del Estado podrá considerar los hechos que correspondan al ejercicio 2021 planteados por el ayuntamiento de Apaseo el Alto, Gto., en la planeación y ejecución de la revisión de la cuenta pública de dicho ejercicio. Asimismo, el informe general del proceso de entrega-recepción correspondiente a dicha administración pública municipal, en el que se establecen las observaciones derivadas de dicho proceso será considerado por la Auditoría Superior del Estado de Guanajuato, para efecto de revisión de la cuenta pública municipal y se hará del conocimiento de la Contraloría Municipal de Apaseo el Alto, Gto., para los efectos del artículo 10 de la Ley de Responsabilidades Administrativas para el Estado de Guanajuato y de la Ley General de Responsabilidades Administrativas.  </w:t>
      </w:r>
    </w:p>
    <w:p w14:paraId="1D3BFCFB" w14:textId="77777777" w:rsidR="00952EB7" w:rsidRPr="00952EB7" w:rsidRDefault="00952EB7" w:rsidP="00952EB7">
      <w:pPr>
        <w:widowControl w:val="0"/>
        <w:spacing w:after="200" w:line="360" w:lineRule="auto"/>
        <w:ind w:firstLine="708"/>
        <w:contextualSpacing/>
        <w:jc w:val="both"/>
        <w:rPr>
          <w:rFonts w:ascii="Abadi" w:eastAsia="Calibri" w:hAnsi="Abadi"/>
          <w:bCs/>
          <w:sz w:val="21"/>
          <w:szCs w:val="21"/>
          <w:lang w:val="es-MX" w:eastAsia="en-US"/>
        </w:rPr>
      </w:pPr>
    </w:p>
    <w:p w14:paraId="13B8E1CD" w14:textId="77777777" w:rsidR="00952EB7" w:rsidRPr="00952EB7" w:rsidRDefault="00952EB7" w:rsidP="00952EB7">
      <w:pPr>
        <w:spacing w:line="360" w:lineRule="auto"/>
        <w:ind w:firstLine="708"/>
        <w:jc w:val="both"/>
        <w:rPr>
          <w:rFonts w:ascii="Abadi" w:hAnsi="Abadi" w:cs="Arial"/>
          <w:iCs/>
          <w:sz w:val="21"/>
          <w:szCs w:val="21"/>
        </w:rPr>
      </w:pPr>
      <w:r w:rsidRPr="00952EB7">
        <w:rPr>
          <w:rFonts w:ascii="Abadi" w:hAnsi="Abadi" w:cs="Arial"/>
          <w:iCs/>
          <w:sz w:val="21"/>
          <w:szCs w:val="21"/>
        </w:rPr>
        <w:t xml:space="preserve">Por lo expuesto y con fundamento en el artículo 204 de </w:t>
      </w:r>
      <w:smartTag w:uri="urn:schemas-microsoft-com:office:smarttags" w:element="PersonName">
        <w:smartTagPr>
          <w:attr w:name="ProductID" w:val="la Ley Org￡nica"/>
        </w:smartTagPr>
        <w:r w:rsidRPr="00952EB7">
          <w:rPr>
            <w:rFonts w:ascii="Abadi" w:hAnsi="Abadi" w:cs="Arial"/>
            <w:iCs/>
            <w:sz w:val="21"/>
            <w:szCs w:val="21"/>
          </w:rPr>
          <w:t>la Ley Orgánica</w:t>
        </w:r>
      </w:smartTag>
      <w:r w:rsidRPr="00952EB7">
        <w:rPr>
          <w:rFonts w:ascii="Abadi" w:hAnsi="Abadi" w:cs="Arial"/>
          <w:iCs/>
          <w:sz w:val="21"/>
          <w:szCs w:val="21"/>
        </w:rPr>
        <w:t xml:space="preserve"> del Poder Legislativo del Estado, sometemos a la consideración de </w:t>
      </w:r>
      <w:smartTag w:uri="urn:schemas-microsoft-com:office:smarttags" w:element="PersonName">
        <w:smartTagPr>
          <w:attr w:name="ProductID" w:val="la Asamblea"/>
        </w:smartTagPr>
        <w:r w:rsidRPr="00952EB7">
          <w:rPr>
            <w:rFonts w:ascii="Abadi" w:hAnsi="Abadi" w:cs="Arial"/>
            <w:iCs/>
            <w:sz w:val="21"/>
            <w:szCs w:val="21"/>
          </w:rPr>
          <w:t>la Asamblea</w:t>
        </w:r>
      </w:smartTag>
      <w:r w:rsidRPr="00952EB7">
        <w:rPr>
          <w:rFonts w:ascii="Abadi" w:hAnsi="Abadi" w:cs="Arial"/>
          <w:iCs/>
          <w:sz w:val="21"/>
          <w:szCs w:val="21"/>
        </w:rPr>
        <w:t>, la aprobación del siguiente:</w:t>
      </w:r>
    </w:p>
    <w:p w14:paraId="36BB1F0F" w14:textId="77777777" w:rsidR="00952EB7" w:rsidRPr="00952EB7" w:rsidRDefault="00952EB7" w:rsidP="00952EB7">
      <w:pPr>
        <w:jc w:val="center"/>
        <w:rPr>
          <w:rFonts w:ascii="Abadi" w:hAnsi="Abadi" w:cs="Arial"/>
          <w:b/>
          <w:iCs/>
          <w:sz w:val="21"/>
          <w:szCs w:val="21"/>
        </w:rPr>
      </w:pPr>
      <w:r w:rsidRPr="00952EB7">
        <w:rPr>
          <w:rFonts w:ascii="Abadi" w:hAnsi="Abadi" w:cs="Arial"/>
          <w:b/>
          <w:iCs/>
          <w:sz w:val="21"/>
          <w:szCs w:val="21"/>
        </w:rPr>
        <w:t>A c u e r d o</w:t>
      </w:r>
    </w:p>
    <w:p w14:paraId="43A35505" w14:textId="77777777" w:rsidR="00952EB7" w:rsidRPr="00952EB7" w:rsidRDefault="00952EB7" w:rsidP="00952EB7">
      <w:pPr>
        <w:jc w:val="center"/>
        <w:rPr>
          <w:rFonts w:ascii="Abadi" w:hAnsi="Abadi" w:cs="Arial"/>
          <w:b/>
          <w:iCs/>
          <w:sz w:val="21"/>
          <w:szCs w:val="21"/>
        </w:rPr>
      </w:pPr>
    </w:p>
    <w:p w14:paraId="6C018119" w14:textId="77777777" w:rsidR="00952EB7" w:rsidRPr="00952EB7" w:rsidRDefault="00952EB7" w:rsidP="00952EB7">
      <w:pPr>
        <w:spacing w:line="360" w:lineRule="auto"/>
        <w:ind w:firstLine="708"/>
        <w:jc w:val="both"/>
        <w:rPr>
          <w:rFonts w:ascii="Abadi" w:hAnsi="Abadi" w:cs="Arial"/>
          <w:sz w:val="21"/>
          <w:szCs w:val="21"/>
        </w:rPr>
      </w:pPr>
      <w:r w:rsidRPr="00952EB7">
        <w:rPr>
          <w:rFonts w:ascii="Abadi" w:hAnsi="Abadi" w:cs="Arial"/>
          <w:b/>
          <w:iCs/>
          <w:sz w:val="21"/>
          <w:szCs w:val="21"/>
        </w:rPr>
        <w:t>Único.</w:t>
      </w:r>
      <w:r w:rsidRPr="00952EB7">
        <w:rPr>
          <w:rFonts w:ascii="Abadi" w:hAnsi="Abadi" w:cs="Arial"/>
          <w:b/>
          <w:sz w:val="21"/>
          <w:szCs w:val="21"/>
        </w:rPr>
        <w:t xml:space="preserve"> </w:t>
      </w:r>
      <w:r w:rsidRPr="00952EB7">
        <w:rPr>
          <w:rFonts w:ascii="Abadi" w:hAnsi="Abadi" w:cs="Arial"/>
          <w:sz w:val="21"/>
          <w:szCs w:val="21"/>
        </w:rPr>
        <w:t xml:space="preserve">Se determina improcedente </w:t>
      </w:r>
      <w:r w:rsidRPr="00952EB7">
        <w:rPr>
          <w:rFonts w:ascii="Abadi" w:hAnsi="Abadi" w:cs="Arial"/>
          <w:iCs/>
          <w:sz w:val="21"/>
          <w:szCs w:val="21"/>
        </w:rPr>
        <w:t xml:space="preserve">la propuesta </w:t>
      </w:r>
      <w:r w:rsidRPr="00952EB7">
        <w:rPr>
          <w:rFonts w:ascii="Abadi" w:hAnsi="Abadi"/>
          <w:sz w:val="21"/>
          <w:szCs w:val="21"/>
          <w:lang w:val="es-ES_tradnl"/>
        </w:rPr>
        <w:t>formulada por el ayuntamiento de Apaseo el Alto, Gto., a efecto de que se ordene una auditoría integral a la administración municipal 2018-2021. Por lo tanto, se ordena su archivo definitivo</w:t>
      </w:r>
      <w:r w:rsidRPr="00952EB7">
        <w:rPr>
          <w:rFonts w:ascii="Abadi" w:hAnsi="Abadi" w:cs="Arial"/>
          <w:sz w:val="21"/>
          <w:szCs w:val="21"/>
        </w:rPr>
        <w:t>.</w:t>
      </w:r>
    </w:p>
    <w:p w14:paraId="10C28596" w14:textId="77777777" w:rsidR="00952EB7" w:rsidRPr="00952EB7" w:rsidRDefault="00952EB7" w:rsidP="00952EB7">
      <w:pPr>
        <w:spacing w:line="360" w:lineRule="auto"/>
        <w:ind w:firstLine="708"/>
        <w:jc w:val="both"/>
        <w:rPr>
          <w:rFonts w:ascii="Abadi" w:hAnsi="Abadi" w:cs="Arial"/>
          <w:sz w:val="21"/>
          <w:szCs w:val="21"/>
        </w:rPr>
      </w:pPr>
    </w:p>
    <w:p w14:paraId="118B7561" w14:textId="77777777" w:rsidR="00952EB7" w:rsidRPr="00952EB7" w:rsidRDefault="00952EB7" w:rsidP="00952EB7">
      <w:pPr>
        <w:spacing w:line="360" w:lineRule="auto"/>
        <w:ind w:firstLine="708"/>
        <w:jc w:val="both"/>
        <w:rPr>
          <w:rFonts w:ascii="Abadi" w:hAnsi="Abadi" w:cs="Arial"/>
          <w:sz w:val="21"/>
          <w:szCs w:val="21"/>
        </w:rPr>
      </w:pPr>
      <w:r w:rsidRPr="00952EB7">
        <w:rPr>
          <w:rFonts w:ascii="Abadi" w:hAnsi="Abadi" w:cs="Arial"/>
          <w:sz w:val="21"/>
          <w:szCs w:val="21"/>
        </w:rPr>
        <w:t xml:space="preserve">Comuníquese el presente acuerdo al ayuntamiento de Apaseo el Alto, Gto., junto con su dictamen para su conocimiento; así como al Secretario General del Congreso de Estado, para los efectos conducentes. </w:t>
      </w:r>
    </w:p>
    <w:p w14:paraId="2E22D252" w14:textId="77777777" w:rsidR="00952EB7" w:rsidRPr="00952EB7" w:rsidRDefault="00952EB7" w:rsidP="00952EB7">
      <w:pPr>
        <w:spacing w:line="360" w:lineRule="auto"/>
        <w:ind w:firstLine="708"/>
        <w:jc w:val="both"/>
        <w:rPr>
          <w:rFonts w:ascii="Abadi" w:hAnsi="Abadi" w:cs="Arial"/>
          <w:sz w:val="21"/>
          <w:szCs w:val="21"/>
        </w:rPr>
      </w:pPr>
    </w:p>
    <w:p w14:paraId="08EB6397" w14:textId="77777777" w:rsidR="00952EB7" w:rsidRPr="00952EB7" w:rsidRDefault="00952EB7" w:rsidP="00952EB7">
      <w:pPr>
        <w:jc w:val="center"/>
        <w:rPr>
          <w:rFonts w:ascii="Abadi" w:hAnsi="Abadi"/>
          <w:b/>
          <w:bCs/>
          <w:sz w:val="21"/>
          <w:szCs w:val="21"/>
          <w:lang w:eastAsia="x-none"/>
        </w:rPr>
      </w:pPr>
      <w:r w:rsidRPr="00952EB7">
        <w:rPr>
          <w:rFonts w:ascii="Abadi" w:hAnsi="Abadi"/>
          <w:b/>
          <w:bCs/>
          <w:sz w:val="21"/>
          <w:szCs w:val="21"/>
          <w:lang w:eastAsia="x-none"/>
        </w:rPr>
        <w:t>Guanajuato, Gto., 16 de junio de 2022</w:t>
      </w:r>
    </w:p>
    <w:p w14:paraId="49585C7D" w14:textId="77777777" w:rsidR="00952EB7" w:rsidRPr="00952EB7" w:rsidRDefault="00952EB7" w:rsidP="00952EB7">
      <w:pPr>
        <w:jc w:val="center"/>
        <w:rPr>
          <w:rFonts w:ascii="Abadi" w:hAnsi="Abadi"/>
          <w:b/>
          <w:bCs/>
          <w:sz w:val="21"/>
          <w:szCs w:val="21"/>
          <w:lang w:eastAsia="x-none"/>
        </w:rPr>
      </w:pPr>
      <w:smartTag w:uri="urn:schemas-microsoft-com:office:smarttags" w:element="PersonName">
        <w:smartTagPr>
          <w:attr w:name="ProductID" w:val="La Comisi￳n"/>
        </w:smartTagPr>
        <w:r w:rsidRPr="00952EB7">
          <w:rPr>
            <w:rFonts w:ascii="Abadi" w:hAnsi="Abadi"/>
            <w:b/>
            <w:bCs/>
            <w:sz w:val="21"/>
            <w:szCs w:val="21"/>
            <w:lang w:eastAsia="x-none"/>
          </w:rPr>
          <w:t>La Comisión</w:t>
        </w:r>
      </w:smartTag>
      <w:r w:rsidRPr="00952EB7">
        <w:rPr>
          <w:rFonts w:ascii="Abadi" w:hAnsi="Abadi"/>
          <w:b/>
          <w:bCs/>
          <w:sz w:val="21"/>
          <w:szCs w:val="21"/>
          <w:lang w:eastAsia="x-none"/>
        </w:rPr>
        <w:t xml:space="preserve"> de Hacienda y Fiscalización</w:t>
      </w:r>
    </w:p>
    <w:p w14:paraId="5DE10FEF" w14:textId="77777777" w:rsidR="00952EB7" w:rsidRPr="00952EB7" w:rsidRDefault="00952EB7" w:rsidP="00952EB7">
      <w:pPr>
        <w:jc w:val="center"/>
        <w:rPr>
          <w:rFonts w:ascii="Abadi" w:hAnsi="Abadi"/>
          <w:sz w:val="21"/>
          <w:szCs w:val="21"/>
        </w:rPr>
      </w:pPr>
    </w:p>
    <w:p w14:paraId="1E2D2C94" w14:textId="77777777" w:rsidR="00952EB7" w:rsidRPr="00952EB7" w:rsidRDefault="00952EB7" w:rsidP="00952EB7">
      <w:pPr>
        <w:jc w:val="center"/>
        <w:rPr>
          <w:rFonts w:ascii="Abadi" w:hAnsi="Abadi"/>
          <w:sz w:val="21"/>
          <w:szCs w:val="21"/>
        </w:rPr>
      </w:pPr>
    </w:p>
    <w:p w14:paraId="02B9A999" w14:textId="6C506353" w:rsidR="00952EB7" w:rsidRPr="00952EB7" w:rsidRDefault="00952EB7" w:rsidP="00952EB7">
      <w:pPr>
        <w:jc w:val="center"/>
        <w:rPr>
          <w:rFonts w:ascii="Abadi" w:hAnsi="Abadi"/>
          <w:sz w:val="21"/>
          <w:szCs w:val="21"/>
          <w:lang w:val="es-MX"/>
        </w:rPr>
      </w:pPr>
      <w:r w:rsidRPr="00952EB7">
        <w:rPr>
          <w:rFonts w:ascii="Abadi" w:hAnsi="Abadi"/>
          <w:b/>
          <w:sz w:val="21"/>
          <w:szCs w:val="21"/>
          <w:lang w:eastAsia="x-none"/>
        </w:rPr>
        <w:t>Diputado Víctor Manuel Zanella Huerta</w:t>
      </w:r>
    </w:p>
    <w:p w14:paraId="27ABF846" w14:textId="77777777" w:rsidR="00952EB7" w:rsidRPr="00952EB7" w:rsidRDefault="00952EB7" w:rsidP="00952EB7">
      <w:pPr>
        <w:jc w:val="center"/>
        <w:rPr>
          <w:rFonts w:ascii="Abadi" w:hAnsi="Abadi"/>
          <w:sz w:val="21"/>
          <w:szCs w:val="21"/>
          <w:lang w:eastAsia="x-none"/>
        </w:rPr>
      </w:pPr>
    </w:p>
    <w:p w14:paraId="0B6056EC" w14:textId="77777777" w:rsidR="00952EB7" w:rsidRPr="00952EB7" w:rsidRDefault="00952EB7" w:rsidP="00952EB7">
      <w:pPr>
        <w:jc w:val="center"/>
        <w:rPr>
          <w:rFonts w:ascii="Abadi" w:hAnsi="Abadi"/>
          <w:b/>
          <w:bCs/>
          <w:sz w:val="21"/>
          <w:szCs w:val="21"/>
          <w:lang w:eastAsia="x-none"/>
        </w:rPr>
      </w:pPr>
    </w:p>
    <w:p w14:paraId="09F35CC7" w14:textId="62FF531F" w:rsidR="00952EB7" w:rsidRPr="00952EB7" w:rsidRDefault="00952EB7" w:rsidP="00952EB7">
      <w:pPr>
        <w:jc w:val="center"/>
        <w:rPr>
          <w:rFonts w:ascii="Abadi" w:hAnsi="Abadi"/>
          <w:b/>
          <w:sz w:val="21"/>
          <w:szCs w:val="21"/>
          <w:lang w:eastAsia="x-none"/>
        </w:rPr>
      </w:pPr>
      <w:r w:rsidRPr="00952EB7">
        <w:rPr>
          <w:rFonts w:ascii="Abadi" w:hAnsi="Abadi"/>
          <w:b/>
          <w:sz w:val="21"/>
          <w:szCs w:val="21"/>
          <w:lang w:eastAsia="x-none"/>
        </w:rPr>
        <w:t>Diputada Ruth Noemí Tiscareño Agoitia</w:t>
      </w:r>
    </w:p>
    <w:p w14:paraId="583AE4E1" w14:textId="77777777" w:rsidR="00952EB7" w:rsidRPr="00952EB7" w:rsidRDefault="00952EB7" w:rsidP="00952EB7">
      <w:pPr>
        <w:jc w:val="center"/>
        <w:rPr>
          <w:rFonts w:ascii="Abadi" w:hAnsi="Abadi"/>
          <w:b/>
          <w:sz w:val="21"/>
          <w:szCs w:val="21"/>
          <w:lang w:eastAsia="x-none"/>
        </w:rPr>
      </w:pPr>
    </w:p>
    <w:p w14:paraId="666B7A7B" w14:textId="77777777" w:rsidR="00952EB7" w:rsidRPr="00952EB7" w:rsidRDefault="00952EB7" w:rsidP="00952EB7">
      <w:pPr>
        <w:jc w:val="center"/>
        <w:rPr>
          <w:rFonts w:ascii="Abadi" w:hAnsi="Abadi"/>
          <w:b/>
          <w:sz w:val="21"/>
          <w:szCs w:val="21"/>
          <w:lang w:eastAsia="x-none"/>
        </w:rPr>
      </w:pPr>
    </w:p>
    <w:p w14:paraId="4446AC5B" w14:textId="3C84AF6D" w:rsidR="00952EB7" w:rsidRPr="00952EB7" w:rsidRDefault="00952EB7" w:rsidP="00952EB7">
      <w:pPr>
        <w:jc w:val="center"/>
        <w:rPr>
          <w:rFonts w:ascii="Abadi" w:hAnsi="Abadi"/>
          <w:b/>
          <w:sz w:val="21"/>
          <w:szCs w:val="21"/>
          <w:lang w:eastAsia="x-none"/>
        </w:rPr>
      </w:pPr>
      <w:r w:rsidRPr="00952EB7">
        <w:rPr>
          <w:rFonts w:ascii="Abadi" w:hAnsi="Abadi"/>
          <w:b/>
          <w:sz w:val="21"/>
          <w:szCs w:val="21"/>
          <w:lang w:eastAsia="x-none"/>
        </w:rPr>
        <w:t>Diputado Miguel Ángel Salim Alle</w:t>
      </w:r>
    </w:p>
    <w:p w14:paraId="664EF992" w14:textId="77777777" w:rsidR="00952EB7" w:rsidRPr="00952EB7" w:rsidRDefault="00952EB7" w:rsidP="00952EB7">
      <w:pPr>
        <w:jc w:val="center"/>
        <w:rPr>
          <w:rFonts w:ascii="Abadi" w:hAnsi="Abadi"/>
          <w:b/>
          <w:sz w:val="21"/>
          <w:szCs w:val="21"/>
          <w:lang w:eastAsia="x-none"/>
        </w:rPr>
      </w:pPr>
    </w:p>
    <w:p w14:paraId="7EC9400F" w14:textId="77777777" w:rsidR="00952EB7" w:rsidRPr="00952EB7" w:rsidRDefault="00952EB7" w:rsidP="00952EB7">
      <w:pPr>
        <w:jc w:val="center"/>
        <w:rPr>
          <w:rFonts w:ascii="Abadi" w:hAnsi="Abadi"/>
          <w:b/>
          <w:sz w:val="21"/>
          <w:szCs w:val="21"/>
          <w:lang w:eastAsia="x-none"/>
        </w:rPr>
      </w:pPr>
    </w:p>
    <w:p w14:paraId="09AB807B" w14:textId="7824C2B8" w:rsidR="00952EB7" w:rsidRPr="00952EB7" w:rsidRDefault="00952EB7" w:rsidP="00952EB7">
      <w:pPr>
        <w:jc w:val="center"/>
        <w:rPr>
          <w:rFonts w:ascii="Abadi" w:hAnsi="Abadi"/>
          <w:b/>
          <w:sz w:val="21"/>
          <w:szCs w:val="21"/>
          <w:lang w:eastAsia="x-none"/>
        </w:rPr>
      </w:pPr>
      <w:r w:rsidRPr="00952EB7">
        <w:rPr>
          <w:rFonts w:ascii="Abadi" w:hAnsi="Abadi"/>
          <w:b/>
          <w:sz w:val="21"/>
          <w:szCs w:val="21"/>
          <w:lang w:eastAsia="x-none"/>
        </w:rPr>
        <w:t>Diputado José Alfonso Borja Pimentel</w:t>
      </w:r>
    </w:p>
    <w:p w14:paraId="136C9A12" w14:textId="77777777" w:rsidR="00952EB7" w:rsidRPr="00952EB7" w:rsidRDefault="00952EB7" w:rsidP="00952EB7">
      <w:pPr>
        <w:jc w:val="center"/>
        <w:rPr>
          <w:rFonts w:ascii="Abadi" w:hAnsi="Abadi"/>
          <w:b/>
          <w:sz w:val="21"/>
          <w:szCs w:val="21"/>
          <w:lang w:eastAsia="x-none"/>
        </w:rPr>
      </w:pPr>
    </w:p>
    <w:p w14:paraId="485F5E89" w14:textId="77777777" w:rsidR="00952EB7" w:rsidRPr="00952EB7" w:rsidRDefault="00952EB7" w:rsidP="00952EB7">
      <w:pPr>
        <w:jc w:val="center"/>
        <w:rPr>
          <w:rFonts w:ascii="Abadi" w:hAnsi="Abadi"/>
          <w:b/>
          <w:sz w:val="21"/>
          <w:szCs w:val="21"/>
          <w:lang w:eastAsia="x-none"/>
        </w:rPr>
      </w:pPr>
    </w:p>
    <w:p w14:paraId="0DBA77E1" w14:textId="77777777" w:rsidR="00952EB7" w:rsidRPr="00952EB7" w:rsidRDefault="00952EB7" w:rsidP="00952EB7">
      <w:pPr>
        <w:jc w:val="center"/>
        <w:rPr>
          <w:rFonts w:ascii="Abadi" w:hAnsi="Abadi"/>
          <w:b/>
          <w:sz w:val="21"/>
          <w:szCs w:val="21"/>
          <w:lang w:eastAsia="x-none"/>
        </w:rPr>
      </w:pPr>
      <w:r w:rsidRPr="00952EB7">
        <w:rPr>
          <w:rFonts w:ascii="Abadi" w:hAnsi="Abadi"/>
          <w:b/>
          <w:sz w:val="21"/>
          <w:szCs w:val="21"/>
          <w:lang w:eastAsia="x-none"/>
        </w:rPr>
        <w:t>Diputada Alma Edwviges Alcaraz Hernández</w:t>
      </w:r>
    </w:p>
    <w:p w14:paraId="28808A12" w14:textId="663D8A43" w:rsidR="00952EB7" w:rsidRPr="00952EB7" w:rsidRDefault="00952EB7" w:rsidP="00952EB7">
      <w:pPr>
        <w:rPr>
          <w:rFonts w:ascii="Abadi" w:hAnsi="Abadi"/>
          <w:sz w:val="20"/>
          <w:szCs w:val="20"/>
        </w:rPr>
      </w:pPr>
    </w:p>
    <w:p w14:paraId="61EE0F3E" w14:textId="77777777" w:rsidR="00952EB7" w:rsidRPr="00952EB7" w:rsidRDefault="00952EB7" w:rsidP="00952EB7">
      <w:pPr>
        <w:rPr>
          <w:rFonts w:ascii="Abadi" w:hAnsi="Abadi"/>
          <w:b/>
          <w:bCs/>
          <w:sz w:val="20"/>
          <w:szCs w:val="20"/>
        </w:rPr>
      </w:pPr>
    </w:p>
    <w:p w14:paraId="63001C3A" w14:textId="58D8B460" w:rsidR="00CA6F89" w:rsidRDefault="00CA6F89" w:rsidP="005433FA">
      <w:pPr>
        <w:pStyle w:val="Prrafodelista"/>
        <w:numPr>
          <w:ilvl w:val="0"/>
          <w:numId w:val="9"/>
        </w:numPr>
        <w:tabs>
          <w:tab w:val="left" w:pos="856"/>
        </w:tabs>
        <w:kinsoku w:val="0"/>
        <w:overflowPunct w:val="0"/>
        <w:autoSpaceDE w:val="0"/>
        <w:autoSpaceDN w:val="0"/>
        <w:adjustRightInd w:val="0"/>
        <w:spacing w:before="1"/>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2"/>
          <w:sz w:val="20"/>
          <w:szCs w:val="20"/>
        </w:rPr>
        <w:t xml:space="preserve"> </w:t>
      </w:r>
      <w:r w:rsidRPr="00531B12">
        <w:rPr>
          <w:rFonts w:ascii="Abadi" w:hAnsi="Abadi"/>
          <w:b/>
          <w:bCs/>
          <w:sz w:val="20"/>
          <w:szCs w:val="20"/>
        </w:rPr>
        <w:t>Y,</w:t>
      </w:r>
      <w:r w:rsidRPr="00531B12">
        <w:rPr>
          <w:rFonts w:ascii="Abadi" w:hAnsi="Abadi"/>
          <w:b/>
          <w:bCs/>
          <w:spacing w:val="12"/>
          <w:sz w:val="20"/>
          <w:szCs w:val="20"/>
        </w:rPr>
        <w:t xml:space="preserve"> </w:t>
      </w:r>
      <w:r w:rsidRPr="00531B12">
        <w:rPr>
          <w:rFonts w:ascii="Abadi" w:hAnsi="Abadi"/>
          <w:b/>
          <w:bCs/>
          <w:sz w:val="20"/>
          <w:szCs w:val="20"/>
        </w:rPr>
        <w:t>EN</w:t>
      </w:r>
      <w:r w:rsidRPr="00531B12">
        <w:rPr>
          <w:rFonts w:ascii="Abadi" w:hAnsi="Abadi"/>
          <w:b/>
          <w:bCs/>
          <w:spacing w:val="12"/>
          <w:sz w:val="20"/>
          <w:szCs w:val="20"/>
        </w:rPr>
        <w:t xml:space="preserve"> </w:t>
      </w:r>
      <w:r w:rsidRPr="00531B12">
        <w:rPr>
          <w:rFonts w:ascii="Abadi" w:hAnsi="Abadi"/>
          <w:b/>
          <w:bCs/>
          <w:sz w:val="20"/>
          <w:szCs w:val="20"/>
        </w:rPr>
        <w:t>SU</w:t>
      </w:r>
      <w:r w:rsidRPr="00531B12">
        <w:rPr>
          <w:rFonts w:ascii="Abadi" w:hAnsi="Abadi"/>
          <w:b/>
          <w:bCs/>
          <w:spacing w:val="12"/>
          <w:sz w:val="20"/>
          <w:szCs w:val="20"/>
        </w:rPr>
        <w:t xml:space="preserve"> </w:t>
      </w:r>
      <w:r w:rsidRPr="00531B12">
        <w:rPr>
          <w:rFonts w:ascii="Abadi" w:hAnsi="Abadi"/>
          <w:b/>
          <w:bCs/>
          <w:sz w:val="20"/>
          <w:szCs w:val="20"/>
        </w:rPr>
        <w:t>CASO,</w:t>
      </w:r>
      <w:r w:rsidRPr="00531B12">
        <w:rPr>
          <w:rFonts w:ascii="Abadi" w:hAnsi="Abadi"/>
          <w:b/>
          <w:bCs/>
          <w:spacing w:val="11"/>
          <w:sz w:val="20"/>
          <w:szCs w:val="20"/>
        </w:rPr>
        <w:t xml:space="preserve"> </w:t>
      </w:r>
      <w:r w:rsidRPr="00531B12">
        <w:rPr>
          <w:rFonts w:ascii="Abadi" w:hAnsi="Abadi"/>
          <w:b/>
          <w:bCs/>
          <w:sz w:val="20"/>
          <w:szCs w:val="20"/>
        </w:rPr>
        <w:t>APROBACIÓN</w:t>
      </w:r>
      <w:r w:rsidRPr="00531B12">
        <w:rPr>
          <w:rFonts w:ascii="Abadi" w:hAnsi="Abadi"/>
          <w:b/>
          <w:bCs/>
          <w:spacing w:val="12"/>
          <w:sz w:val="20"/>
          <w:szCs w:val="20"/>
        </w:rPr>
        <w:t xml:space="preserve"> </w:t>
      </w:r>
      <w:r w:rsidRPr="00531B12">
        <w:rPr>
          <w:rFonts w:ascii="Abadi" w:hAnsi="Abadi"/>
          <w:b/>
          <w:bCs/>
          <w:sz w:val="20"/>
          <w:szCs w:val="20"/>
        </w:rPr>
        <w:t>DEL</w:t>
      </w:r>
      <w:r w:rsidRPr="00531B12">
        <w:rPr>
          <w:rFonts w:ascii="Abadi" w:hAnsi="Abadi"/>
          <w:b/>
          <w:bCs/>
          <w:spacing w:val="12"/>
          <w:sz w:val="20"/>
          <w:szCs w:val="20"/>
        </w:rPr>
        <w:t xml:space="preserve"> </w:t>
      </w:r>
      <w:r w:rsidRPr="00531B12">
        <w:rPr>
          <w:rFonts w:ascii="Abadi" w:hAnsi="Abadi"/>
          <w:b/>
          <w:bCs/>
          <w:sz w:val="20"/>
          <w:szCs w:val="20"/>
        </w:rPr>
        <w:t>DICTAMEN</w:t>
      </w:r>
      <w:r w:rsidRPr="00531B12">
        <w:rPr>
          <w:rFonts w:ascii="Abadi" w:hAnsi="Abadi"/>
          <w:b/>
          <w:bCs/>
          <w:spacing w:val="12"/>
          <w:sz w:val="20"/>
          <w:szCs w:val="20"/>
        </w:rPr>
        <w:t xml:space="preserve"> </w:t>
      </w:r>
      <w:r w:rsidRPr="00531B12">
        <w:rPr>
          <w:rFonts w:ascii="Abadi" w:hAnsi="Abadi"/>
          <w:b/>
          <w:bCs/>
          <w:sz w:val="20"/>
          <w:szCs w:val="20"/>
        </w:rPr>
        <w:t>SUSCRITO</w:t>
      </w:r>
      <w:r w:rsidRPr="00531B12">
        <w:rPr>
          <w:rFonts w:ascii="Abadi" w:hAnsi="Abadi"/>
          <w:b/>
          <w:bCs/>
          <w:spacing w:val="12"/>
          <w:sz w:val="20"/>
          <w:szCs w:val="20"/>
        </w:rPr>
        <w:t xml:space="preserve"> </w:t>
      </w:r>
      <w:r w:rsidRPr="00531B12">
        <w:rPr>
          <w:rFonts w:ascii="Abadi" w:hAnsi="Abadi"/>
          <w:b/>
          <w:bCs/>
          <w:sz w:val="20"/>
          <w:szCs w:val="20"/>
        </w:rPr>
        <w:t>POR</w:t>
      </w:r>
      <w:r w:rsidRPr="00531B12">
        <w:rPr>
          <w:rFonts w:ascii="Abadi" w:hAnsi="Abadi"/>
          <w:b/>
          <w:bCs/>
          <w:spacing w:val="12"/>
          <w:sz w:val="20"/>
          <w:szCs w:val="20"/>
        </w:rPr>
        <w:t xml:space="preserve"> </w:t>
      </w:r>
      <w:r w:rsidRPr="00531B12">
        <w:rPr>
          <w:rFonts w:ascii="Abadi" w:hAnsi="Abadi"/>
          <w:b/>
          <w:bCs/>
          <w:sz w:val="20"/>
          <w:szCs w:val="20"/>
        </w:rPr>
        <w:t>LA</w:t>
      </w:r>
      <w:r w:rsidRPr="00531B12">
        <w:rPr>
          <w:rFonts w:ascii="Abadi" w:hAnsi="Abadi"/>
          <w:b/>
          <w:bCs/>
          <w:spacing w:val="12"/>
          <w:sz w:val="20"/>
          <w:szCs w:val="20"/>
        </w:rPr>
        <w:t xml:space="preserve"> </w:t>
      </w:r>
      <w:r w:rsidRPr="00531B12">
        <w:rPr>
          <w:rFonts w:ascii="Abadi" w:hAnsi="Abadi"/>
          <w:b/>
          <w:bCs/>
          <w:sz w:val="20"/>
          <w:szCs w:val="20"/>
        </w:rPr>
        <w:t>COMISIÓN DE</w:t>
      </w:r>
      <w:r w:rsidRPr="00531B12">
        <w:rPr>
          <w:rFonts w:ascii="Abadi" w:hAnsi="Abadi"/>
          <w:b/>
          <w:bCs/>
          <w:spacing w:val="80"/>
          <w:sz w:val="20"/>
          <w:szCs w:val="20"/>
        </w:rPr>
        <w:t xml:space="preserve"> </w:t>
      </w:r>
      <w:r w:rsidRPr="00531B12">
        <w:rPr>
          <w:rFonts w:ascii="Abadi" w:hAnsi="Abadi"/>
          <w:b/>
          <w:bCs/>
          <w:sz w:val="20"/>
          <w:szCs w:val="20"/>
        </w:rPr>
        <w:t>HACIENDA</w:t>
      </w:r>
      <w:r w:rsidRPr="00531B12">
        <w:rPr>
          <w:rFonts w:ascii="Abadi" w:hAnsi="Abadi"/>
          <w:b/>
          <w:bCs/>
          <w:spacing w:val="80"/>
          <w:sz w:val="20"/>
          <w:szCs w:val="20"/>
        </w:rPr>
        <w:t xml:space="preserve"> </w:t>
      </w:r>
      <w:r w:rsidRPr="00531B12">
        <w:rPr>
          <w:rFonts w:ascii="Abadi" w:hAnsi="Abadi"/>
          <w:b/>
          <w:bCs/>
          <w:sz w:val="20"/>
          <w:szCs w:val="20"/>
        </w:rPr>
        <w:t>Y</w:t>
      </w:r>
      <w:r w:rsidRPr="00531B12">
        <w:rPr>
          <w:rFonts w:ascii="Abadi" w:hAnsi="Abadi"/>
          <w:b/>
          <w:bCs/>
          <w:spacing w:val="80"/>
          <w:sz w:val="20"/>
          <w:szCs w:val="20"/>
        </w:rPr>
        <w:t xml:space="preserve"> </w:t>
      </w:r>
      <w:r w:rsidRPr="00531B12">
        <w:rPr>
          <w:rFonts w:ascii="Abadi" w:hAnsi="Abadi"/>
          <w:b/>
          <w:bCs/>
          <w:sz w:val="20"/>
          <w:szCs w:val="20"/>
        </w:rPr>
        <w:t>FISCALIZACIÓN</w:t>
      </w:r>
      <w:r w:rsidRPr="00531B12">
        <w:rPr>
          <w:rFonts w:ascii="Abadi" w:hAnsi="Abadi"/>
          <w:b/>
          <w:bCs/>
          <w:spacing w:val="80"/>
          <w:sz w:val="20"/>
          <w:szCs w:val="20"/>
        </w:rPr>
        <w:t xml:space="preserve"> </w:t>
      </w:r>
      <w:r w:rsidRPr="00531B12">
        <w:rPr>
          <w:rFonts w:ascii="Abadi" w:hAnsi="Abadi"/>
          <w:b/>
          <w:bCs/>
          <w:sz w:val="20"/>
          <w:szCs w:val="20"/>
        </w:rPr>
        <w:t>RELATIVO</w:t>
      </w:r>
      <w:r w:rsidRPr="00531B12">
        <w:rPr>
          <w:rFonts w:ascii="Abadi" w:hAnsi="Abadi"/>
          <w:b/>
          <w:bCs/>
          <w:spacing w:val="80"/>
          <w:sz w:val="20"/>
          <w:szCs w:val="20"/>
        </w:rPr>
        <w:t xml:space="preserve"> </w:t>
      </w:r>
      <w:r w:rsidRPr="00531B12">
        <w:rPr>
          <w:rFonts w:ascii="Abadi" w:hAnsi="Abadi"/>
          <w:b/>
          <w:bCs/>
          <w:sz w:val="20"/>
          <w:szCs w:val="20"/>
        </w:rPr>
        <w:t>A</w:t>
      </w:r>
      <w:r w:rsidRPr="00531B12">
        <w:rPr>
          <w:rFonts w:ascii="Abadi" w:hAnsi="Abadi"/>
          <w:b/>
          <w:bCs/>
          <w:spacing w:val="80"/>
          <w:sz w:val="20"/>
          <w:szCs w:val="20"/>
        </w:rPr>
        <w:t xml:space="preserve"> </w:t>
      </w:r>
      <w:r w:rsidRPr="00531B12">
        <w:rPr>
          <w:rFonts w:ascii="Abadi" w:hAnsi="Abadi"/>
          <w:b/>
          <w:bCs/>
          <w:sz w:val="20"/>
          <w:szCs w:val="20"/>
        </w:rPr>
        <w:t>LA</w:t>
      </w:r>
      <w:r w:rsidRPr="00531B12">
        <w:rPr>
          <w:rFonts w:ascii="Abadi" w:hAnsi="Abadi"/>
          <w:b/>
          <w:bCs/>
          <w:spacing w:val="80"/>
          <w:sz w:val="20"/>
          <w:szCs w:val="20"/>
        </w:rPr>
        <w:t xml:space="preserve"> </w:t>
      </w:r>
      <w:r w:rsidRPr="00531B12">
        <w:rPr>
          <w:rFonts w:ascii="Abadi" w:hAnsi="Abadi"/>
          <w:b/>
          <w:bCs/>
          <w:sz w:val="20"/>
          <w:szCs w:val="20"/>
        </w:rPr>
        <w:t>PROPUESTA</w:t>
      </w:r>
      <w:r w:rsidRPr="00531B12">
        <w:rPr>
          <w:rFonts w:ascii="Abadi" w:hAnsi="Abadi"/>
          <w:b/>
          <w:bCs/>
          <w:spacing w:val="80"/>
          <w:sz w:val="20"/>
          <w:szCs w:val="20"/>
        </w:rPr>
        <w:t xml:space="preserve"> </w:t>
      </w:r>
      <w:r w:rsidRPr="00531B12">
        <w:rPr>
          <w:rFonts w:ascii="Abadi" w:hAnsi="Abadi"/>
          <w:b/>
          <w:bCs/>
          <w:sz w:val="20"/>
          <w:szCs w:val="20"/>
        </w:rPr>
        <w:t>FORMULADA</w:t>
      </w:r>
      <w:r w:rsidRPr="00531B12">
        <w:rPr>
          <w:rFonts w:ascii="Abadi" w:hAnsi="Abadi"/>
          <w:b/>
          <w:bCs/>
          <w:spacing w:val="80"/>
          <w:sz w:val="20"/>
          <w:szCs w:val="20"/>
        </w:rPr>
        <w:t xml:space="preserve"> </w:t>
      </w:r>
      <w:r w:rsidRPr="00531B12">
        <w:rPr>
          <w:rFonts w:ascii="Abadi" w:hAnsi="Abadi"/>
          <w:b/>
          <w:bCs/>
          <w:sz w:val="20"/>
          <w:szCs w:val="20"/>
        </w:rPr>
        <w:t>POR</w:t>
      </w:r>
      <w:r w:rsidRPr="00531B12">
        <w:rPr>
          <w:rFonts w:ascii="Abadi" w:hAnsi="Abadi"/>
          <w:b/>
          <w:bCs/>
          <w:spacing w:val="80"/>
          <w:sz w:val="20"/>
          <w:szCs w:val="20"/>
        </w:rPr>
        <w:t xml:space="preserve"> </w:t>
      </w:r>
      <w:r w:rsidRPr="00531B12">
        <w:rPr>
          <w:rFonts w:ascii="Abadi" w:hAnsi="Abadi"/>
          <w:b/>
          <w:bCs/>
          <w:sz w:val="20"/>
          <w:szCs w:val="20"/>
        </w:rPr>
        <w:t>EL AYUNTAMIENTO</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SANTA</w:t>
      </w:r>
      <w:r w:rsidRPr="00531B12">
        <w:rPr>
          <w:rFonts w:ascii="Abadi" w:hAnsi="Abadi"/>
          <w:b/>
          <w:bCs/>
          <w:spacing w:val="10"/>
          <w:sz w:val="20"/>
          <w:szCs w:val="20"/>
        </w:rPr>
        <w:t xml:space="preserve"> </w:t>
      </w:r>
      <w:r w:rsidRPr="00531B12">
        <w:rPr>
          <w:rFonts w:ascii="Abadi" w:hAnsi="Abadi"/>
          <w:b/>
          <w:bCs/>
          <w:sz w:val="20"/>
          <w:szCs w:val="20"/>
        </w:rPr>
        <w:t>CRUZ</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JUVENTINO</w:t>
      </w:r>
      <w:r w:rsidRPr="00531B12">
        <w:rPr>
          <w:rFonts w:ascii="Abadi" w:hAnsi="Abadi"/>
          <w:b/>
          <w:bCs/>
          <w:spacing w:val="10"/>
          <w:sz w:val="20"/>
          <w:szCs w:val="20"/>
        </w:rPr>
        <w:t xml:space="preserve"> </w:t>
      </w:r>
      <w:r w:rsidRPr="00531B12">
        <w:rPr>
          <w:rFonts w:ascii="Abadi" w:hAnsi="Abadi"/>
          <w:b/>
          <w:bCs/>
          <w:sz w:val="20"/>
          <w:szCs w:val="20"/>
        </w:rPr>
        <w:t>ROSAS,</w:t>
      </w:r>
      <w:r w:rsidRPr="00531B12">
        <w:rPr>
          <w:rFonts w:ascii="Abadi" w:hAnsi="Abadi"/>
          <w:b/>
          <w:bCs/>
          <w:spacing w:val="10"/>
          <w:sz w:val="20"/>
          <w:szCs w:val="20"/>
        </w:rPr>
        <w:t xml:space="preserve"> </w:t>
      </w:r>
      <w:r w:rsidRPr="00531B12">
        <w:rPr>
          <w:rFonts w:ascii="Abadi" w:hAnsi="Abadi"/>
          <w:b/>
          <w:bCs/>
          <w:sz w:val="20"/>
          <w:szCs w:val="20"/>
        </w:rPr>
        <w:t>GTO.,</w:t>
      </w:r>
      <w:r w:rsidRPr="00531B12">
        <w:rPr>
          <w:rFonts w:ascii="Abadi" w:hAnsi="Abadi"/>
          <w:b/>
          <w:bCs/>
          <w:spacing w:val="10"/>
          <w:sz w:val="20"/>
          <w:szCs w:val="20"/>
        </w:rPr>
        <w:t xml:space="preserve"> </w:t>
      </w:r>
      <w:r w:rsidRPr="00531B12">
        <w:rPr>
          <w:rFonts w:ascii="Abadi" w:hAnsi="Abadi"/>
          <w:b/>
          <w:bCs/>
          <w:sz w:val="20"/>
          <w:szCs w:val="20"/>
        </w:rPr>
        <w:t>A</w:t>
      </w:r>
      <w:r w:rsidRPr="00531B12">
        <w:rPr>
          <w:rFonts w:ascii="Abadi" w:hAnsi="Abadi"/>
          <w:b/>
          <w:bCs/>
          <w:spacing w:val="10"/>
          <w:sz w:val="20"/>
          <w:szCs w:val="20"/>
        </w:rPr>
        <w:t xml:space="preserve"> </w:t>
      </w:r>
      <w:r w:rsidRPr="00531B12">
        <w:rPr>
          <w:rFonts w:ascii="Abadi" w:hAnsi="Abadi"/>
          <w:b/>
          <w:bCs/>
          <w:sz w:val="20"/>
          <w:szCs w:val="20"/>
        </w:rPr>
        <w:t>EFECTO</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QUE</w:t>
      </w:r>
      <w:r w:rsidRPr="00531B12">
        <w:rPr>
          <w:rFonts w:ascii="Abadi" w:hAnsi="Abadi"/>
          <w:b/>
          <w:bCs/>
          <w:spacing w:val="10"/>
          <w:sz w:val="20"/>
          <w:szCs w:val="20"/>
        </w:rPr>
        <w:t xml:space="preserve"> </w:t>
      </w:r>
      <w:r w:rsidRPr="00531B12">
        <w:rPr>
          <w:rFonts w:ascii="Abadi" w:hAnsi="Abadi"/>
          <w:b/>
          <w:bCs/>
          <w:sz w:val="20"/>
          <w:szCs w:val="20"/>
        </w:rPr>
        <w:t>SE ORDENE UNA AUDITORÍA A LA ADMINISTRACIÓN MUNICIPAL 2018-2021.</w:t>
      </w:r>
    </w:p>
    <w:p w14:paraId="0926C7DB" w14:textId="2E9263BB" w:rsidR="007C48BA" w:rsidRDefault="007C48BA" w:rsidP="00952EB7">
      <w:pPr>
        <w:rPr>
          <w:rFonts w:ascii="Abadi" w:hAnsi="Abadi"/>
          <w:sz w:val="20"/>
          <w:szCs w:val="20"/>
        </w:rPr>
      </w:pPr>
    </w:p>
    <w:p w14:paraId="5E042EBA" w14:textId="77777777" w:rsidR="007A6850" w:rsidRPr="007A6850" w:rsidRDefault="007A6850" w:rsidP="007A6850">
      <w:pPr>
        <w:rPr>
          <w:rFonts w:ascii="Abadi" w:hAnsi="Abadi" w:cs="Arial"/>
          <w:b/>
          <w:iCs/>
          <w:smallCaps/>
          <w:sz w:val="21"/>
          <w:szCs w:val="21"/>
        </w:rPr>
      </w:pPr>
      <w:r w:rsidRPr="007A6850">
        <w:rPr>
          <w:rFonts w:ascii="Abadi" w:hAnsi="Abadi" w:cs="Arial"/>
          <w:b/>
          <w:iCs/>
          <w:smallCaps/>
          <w:sz w:val="21"/>
          <w:szCs w:val="21"/>
        </w:rPr>
        <w:t>C. Presidenta del Congreso del Estado.</w:t>
      </w:r>
    </w:p>
    <w:p w14:paraId="618172DB" w14:textId="77777777" w:rsidR="007A6850" w:rsidRPr="007A6850" w:rsidRDefault="007A6850" w:rsidP="007A6850">
      <w:pPr>
        <w:jc w:val="both"/>
        <w:rPr>
          <w:rFonts w:ascii="Abadi" w:hAnsi="Abadi" w:cs="Arial"/>
          <w:b/>
          <w:iCs/>
          <w:smallCaps/>
          <w:sz w:val="21"/>
          <w:szCs w:val="21"/>
        </w:rPr>
      </w:pPr>
      <w:r w:rsidRPr="007A6850">
        <w:rPr>
          <w:rFonts w:ascii="Abadi" w:hAnsi="Abadi" w:cs="Arial"/>
          <w:b/>
          <w:iCs/>
          <w:smallCaps/>
          <w:sz w:val="21"/>
          <w:szCs w:val="21"/>
        </w:rPr>
        <w:t>P r e s e n t e.</w:t>
      </w:r>
    </w:p>
    <w:p w14:paraId="3E201ADE" w14:textId="77777777" w:rsidR="007A6850" w:rsidRPr="007A6850" w:rsidRDefault="007A6850" w:rsidP="007A6850">
      <w:pPr>
        <w:spacing w:line="360" w:lineRule="auto"/>
        <w:jc w:val="both"/>
        <w:rPr>
          <w:rFonts w:ascii="Abadi" w:hAnsi="Abadi" w:cs="Arial"/>
          <w:iCs/>
          <w:sz w:val="21"/>
          <w:szCs w:val="21"/>
        </w:rPr>
      </w:pPr>
    </w:p>
    <w:p w14:paraId="70B39248" w14:textId="77777777" w:rsidR="007A6850" w:rsidRPr="007A6850" w:rsidRDefault="007A6850" w:rsidP="007A6850">
      <w:pPr>
        <w:spacing w:line="360" w:lineRule="auto"/>
        <w:jc w:val="both"/>
        <w:rPr>
          <w:rFonts w:ascii="Abadi" w:hAnsi="Abadi" w:cs="Arial"/>
          <w:iCs/>
          <w:sz w:val="21"/>
          <w:szCs w:val="21"/>
        </w:rPr>
      </w:pPr>
      <w:r w:rsidRPr="007A6850">
        <w:rPr>
          <w:rFonts w:ascii="Abadi" w:hAnsi="Abadi" w:cs="Arial"/>
          <w:iCs/>
          <w:sz w:val="21"/>
          <w:szCs w:val="21"/>
        </w:rPr>
        <w:tab/>
        <w:t xml:space="preserve">A esta Comisión de Hacienda y Fiscalización le fue turnada para efectos de su estudio y dictamen, la propuesta formulada por el ayuntamiento de Santa Cruz de Juventino Rosas, Gto., </w:t>
      </w:r>
      <w:r w:rsidRPr="007A6850">
        <w:rPr>
          <w:rFonts w:ascii="Abadi" w:hAnsi="Abadi"/>
          <w:sz w:val="21"/>
          <w:szCs w:val="21"/>
          <w:lang w:val="es-ES_tradnl"/>
        </w:rPr>
        <w:t>a efecto de que se ordene una auditoría a la administración municipal 2018-2021</w:t>
      </w:r>
      <w:r w:rsidRPr="007A6850">
        <w:rPr>
          <w:rFonts w:ascii="Abadi" w:hAnsi="Abadi" w:cs="Arial"/>
          <w:iCs/>
          <w:sz w:val="21"/>
          <w:szCs w:val="21"/>
        </w:rPr>
        <w:t>.</w:t>
      </w:r>
    </w:p>
    <w:p w14:paraId="33FFD9FB" w14:textId="77777777" w:rsidR="007A6850" w:rsidRPr="007A6850" w:rsidRDefault="007A6850" w:rsidP="007A6850">
      <w:pPr>
        <w:spacing w:line="360" w:lineRule="auto"/>
        <w:jc w:val="both"/>
        <w:rPr>
          <w:rFonts w:ascii="Abadi" w:hAnsi="Abadi" w:cs="Arial"/>
          <w:iCs/>
          <w:sz w:val="21"/>
          <w:szCs w:val="21"/>
        </w:rPr>
      </w:pPr>
    </w:p>
    <w:p w14:paraId="795A358A" w14:textId="77777777" w:rsidR="007A6850" w:rsidRPr="007A6850" w:rsidRDefault="007A6850" w:rsidP="007A6850">
      <w:pPr>
        <w:spacing w:line="360" w:lineRule="auto"/>
        <w:jc w:val="both"/>
        <w:rPr>
          <w:rFonts w:ascii="Abadi" w:hAnsi="Abadi" w:cs="Arial"/>
          <w:iCs/>
          <w:sz w:val="21"/>
          <w:szCs w:val="21"/>
        </w:rPr>
      </w:pPr>
      <w:r w:rsidRPr="007A6850">
        <w:rPr>
          <w:rFonts w:ascii="Abadi" w:hAnsi="Abadi" w:cs="Arial"/>
          <w:iCs/>
          <w:sz w:val="21"/>
          <w:szCs w:val="21"/>
        </w:rPr>
        <w:tab/>
        <w:t xml:space="preserve">Analizada la propuesta de referencia, con fundamento en los artículos 75, 89, fracción V, 112, fracción XV y 171 de </w:t>
      </w:r>
      <w:smartTag w:uri="urn:schemas-microsoft-com:office:smarttags" w:element="PersonName">
        <w:smartTagPr>
          <w:attr w:name="ProductID" w:val="la Ley Org￡nica"/>
        </w:smartTagPr>
        <w:r w:rsidRPr="007A6850">
          <w:rPr>
            <w:rFonts w:ascii="Abadi" w:hAnsi="Abadi" w:cs="Arial"/>
            <w:iCs/>
            <w:sz w:val="21"/>
            <w:szCs w:val="21"/>
          </w:rPr>
          <w:t>la Ley Orgánica</w:t>
        </w:r>
      </w:smartTag>
      <w:r w:rsidRPr="007A6850">
        <w:rPr>
          <w:rFonts w:ascii="Abadi" w:hAnsi="Abadi" w:cs="Arial"/>
          <w:iCs/>
          <w:sz w:val="21"/>
          <w:szCs w:val="21"/>
        </w:rPr>
        <w:t xml:space="preserve"> del Poder Legislativo del Estado de Guanajuato, nos permitimos rendir el siguiente:</w:t>
      </w:r>
    </w:p>
    <w:p w14:paraId="14C4FAA7" w14:textId="77777777" w:rsidR="007A6850" w:rsidRPr="007A6850" w:rsidRDefault="007A6850" w:rsidP="007A6850">
      <w:pPr>
        <w:spacing w:line="360" w:lineRule="auto"/>
        <w:jc w:val="both"/>
        <w:rPr>
          <w:rFonts w:ascii="Abadi" w:hAnsi="Abadi" w:cs="Arial"/>
          <w:iCs/>
          <w:sz w:val="21"/>
          <w:szCs w:val="21"/>
        </w:rPr>
      </w:pPr>
    </w:p>
    <w:p w14:paraId="63D09489" w14:textId="77777777" w:rsidR="007A6850" w:rsidRPr="007A6850" w:rsidRDefault="007A6850" w:rsidP="007A6850">
      <w:pPr>
        <w:keepNext/>
        <w:spacing w:line="360" w:lineRule="auto"/>
        <w:jc w:val="center"/>
        <w:outlineLvl w:val="0"/>
        <w:rPr>
          <w:rFonts w:ascii="Abadi" w:hAnsi="Abadi" w:cs="Arial"/>
          <w:b/>
          <w:iCs/>
          <w:sz w:val="21"/>
          <w:szCs w:val="21"/>
        </w:rPr>
      </w:pPr>
      <w:r w:rsidRPr="007A6850">
        <w:rPr>
          <w:rFonts w:ascii="Abadi" w:hAnsi="Abadi" w:cs="Arial"/>
          <w:b/>
          <w:iCs/>
          <w:sz w:val="21"/>
          <w:szCs w:val="21"/>
        </w:rPr>
        <w:t xml:space="preserve">D i c t a m e n </w:t>
      </w:r>
    </w:p>
    <w:p w14:paraId="53DF2AA1" w14:textId="77777777" w:rsidR="007A6850" w:rsidRPr="007A6850" w:rsidRDefault="007A6850" w:rsidP="001A28E5">
      <w:pPr>
        <w:numPr>
          <w:ilvl w:val="0"/>
          <w:numId w:val="74"/>
        </w:numPr>
        <w:jc w:val="both"/>
        <w:rPr>
          <w:rFonts w:ascii="Abadi" w:hAnsi="Abadi" w:cs="Arial"/>
          <w:b/>
          <w:bCs/>
          <w:sz w:val="21"/>
          <w:szCs w:val="21"/>
        </w:rPr>
      </w:pPr>
      <w:r w:rsidRPr="007A6850">
        <w:rPr>
          <w:rFonts w:ascii="Abadi" w:hAnsi="Abadi" w:cs="Arial"/>
          <w:b/>
          <w:bCs/>
          <w:sz w:val="21"/>
          <w:szCs w:val="21"/>
        </w:rPr>
        <w:t>Antecedentes</w:t>
      </w:r>
    </w:p>
    <w:p w14:paraId="33733AAE" w14:textId="77777777" w:rsidR="007A6850" w:rsidRPr="007A6850" w:rsidRDefault="007A6850" w:rsidP="007A6850">
      <w:pPr>
        <w:spacing w:line="360" w:lineRule="auto"/>
        <w:jc w:val="center"/>
        <w:rPr>
          <w:rFonts w:ascii="Abadi" w:hAnsi="Abadi" w:cs="Arial"/>
          <w:b/>
          <w:iCs/>
          <w:sz w:val="21"/>
          <w:szCs w:val="21"/>
        </w:rPr>
      </w:pPr>
    </w:p>
    <w:p w14:paraId="669EF708" w14:textId="77777777" w:rsidR="007A6850" w:rsidRPr="007A6850" w:rsidRDefault="007A6850" w:rsidP="007A6850">
      <w:pPr>
        <w:spacing w:line="360" w:lineRule="auto"/>
        <w:jc w:val="both"/>
        <w:rPr>
          <w:rFonts w:ascii="Abadi" w:hAnsi="Abadi" w:cs="Arial"/>
          <w:iCs/>
          <w:sz w:val="21"/>
          <w:szCs w:val="21"/>
        </w:rPr>
      </w:pPr>
      <w:r w:rsidRPr="007A6850">
        <w:rPr>
          <w:rFonts w:ascii="Abadi" w:hAnsi="Abadi" w:cs="Arial"/>
          <w:iCs/>
          <w:sz w:val="21"/>
          <w:szCs w:val="21"/>
        </w:rPr>
        <w:tab/>
        <w:t xml:space="preserve">El ayuntamiento de Santa Cruz de Juventino Rosas, Gto., en la novena sesión ordinaria celebrada el 13 de enero de 2022 aprobó por unanimidad de votos el informe sobre la revisión del expediente de entrega­recepción correspondiente a la Administración Municipal 2018-2021 presentado por la Comisión de Hacienda, Patrimonio y Cuenta Pública, de conformidad con lo establecido en el artículo 48 de la Ley Orgánica Municipal del Estado de Guanajuato, acordando que el mismo se remitiera al Congreso del Estado de Guanajuato acompañado de los anexos correspondientes; y este en caso de considerarlo, solicitara a la Auditoria Superior del Estado realizar una auditoría a fin de determinar las responsabilidades legales correspondientes. </w:t>
      </w:r>
    </w:p>
    <w:p w14:paraId="7B77D53B" w14:textId="77777777" w:rsidR="007A6850" w:rsidRPr="007A6850" w:rsidRDefault="007A6850" w:rsidP="007A6850">
      <w:pPr>
        <w:spacing w:line="360" w:lineRule="auto"/>
        <w:ind w:firstLine="708"/>
        <w:jc w:val="both"/>
        <w:rPr>
          <w:rFonts w:ascii="Abadi" w:hAnsi="Abadi"/>
          <w:sz w:val="21"/>
          <w:szCs w:val="21"/>
          <w:lang w:val="es-MX"/>
        </w:rPr>
      </w:pPr>
    </w:p>
    <w:p w14:paraId="015BD950" w14:textId="5B46E1D9" w:rsidR="007A6850" w:rsidRPr="007A6850" w:rsidRDefault="007A6850" w:rsidP="00B9412E">
      <w:pPr>
        <w:spacing w:line="360" w:lineRule="auto"/>
        <w:ind w:firstLine="708"/>
        <w:jc w:val="both"/>
        <w:rPr>
          <w:rFonts w:ascii="Abadi" w:hAnsi="Abadi"/>
          <w:sz w:val="21"/>
          <w:szCs w:val="21"/>
          <w:lang w:val="es-MX"/>
        </w:rPr>
      </w:pPr>
      <w:r w:rsidRPr="007A6850">
        <w:rPr>
          <w:rFonts w:ascii="Abadi" w:hAnsi="Abadi"/>
          <w:sz w:val="21"/>
          <w:szCs w:val="21"/>
          <w:lang w:val="es-MX"/>
        </w:rPr>
        <w:t>El 26 de mayo de 2022, la referida propuesta se turnó por la presidencia a esta Comisión de Hacienda y Fiscalización para su estudio y dictamen, con fundamento en la fracción XV del artículo 112 de la Ley Orgánica del Poder Legislativo del Estado de Guanajuato.</w:t>
      </w:r>
    </w:p>
    <w:p w14:paraId="3BAC7E92" w14:textId="77777777" w:rsidR="007A6850" w:rsidRPr="007A6850" w:rsidRDefault="007A6850" w:rsidP="007A6850">
      <w:pPr>
        <w:spacing w:line="360" w:lineRule="auto"/>
        <w:ind w:firstLine="708"/>
        <w:jc w:val="both"/>
        <w:rPr>
          <w:rFonts w:ascii="Abadi" w:hAnsi="Abadi"/>
          <w:sz w:val="21"/>
          <w:szCs w:val="21"/>
          <w:lang w:val="es-MX"/>
        </w:rPr>
      </w:pPr>
    </w:p>
    <w:p w14:paraId="63807CD5" w14:textId="77777777" w:rsidR="007A6850" w:rsidRPr="007A6850" w:rsidRDefault="007A6850" w:rsidP="007A6850">
      <w:pPr>
        <w:spacing w:line="360" w:lineRule="auto"/>
        <w:ind w:firstLine="708"/>
        <w:jc w:val="both"/>
        <w:rPr>
          <w:rFonts w:ascii="Abadi" w:hAnsi="Abadi"/>
          <w:sz w:val="21"/>
          <w:szCs w:val="21"/>
          <w:lang w:val="es-MX"/>
        </w:rPr>
      </w:pPr>
      <w:r w:rsidRPr="007A6850">
        <w:rPr>
          <w:rFonts w:ascii="Abadi" w:hAnsi="Abadi"/>
          <w:sz w:val="21"/>
          <w:szCs w:val="21"/>
          <w:lang w:val="es-MX"/>
        </w:rPr>
        <w:t>En la reunión de esta Comisión celebrada el 2 de junio de 2022, se dio cuenta y se radicó la propuesta y se requirió al Auditor Superior del Estado, la elaboración de una ficha técnica respecto a dicha propuesta, misma que se expuso a esta Comisión el 14 de junio del año en curso.</w:t>
      </w:r>
    </w:p>
    <w:p w14:paraId="5341DBDB" w14:textId="77777777" w:rsidR="007A6850" w:rsidRPr="007A6850" w:rsidRDefault="007A6850" w:rsidP="007A6850">
      <w:pPr>
        <w:spacing w:line="360" w:lineRule="auto"/>
        <w:ind w:firstLine="708"/>
        <w:jc w:val="both"/>
        <w:rPr>
          <w:rFonts w:ascii="Abadi" w:hAnsi="Abadi"/>
          <w:sz w:val="21"/>
          <w:szCs w:val="21"/>
          <w:lang w:val="es-MX"/>
        </w:rPr>
      </w:pPr>
    </w:p>
    <w:p w14:paraId="209C50A7" w14:textId="77777777" w:rsidR="007A6850" w:rsidRPr="007A6850" w:rsidRDefault="007A6850" w:rsidP="001A28E5">
      <w:pPr>
        <w:numPr>
          <w:ilvl w:val="0"/>
          <w:numId w:val="74"/>
        </w:numPr>
        <w:jc w:val="both"/>
        <w:rPr>
          <w:rFonts w:ascii="Abadi" w:hAnsi="Abadi" w:cs="Arial"/>
          <w:b/>
          <w:bCs/>
          <w:sz w:val="21"/>
          <w:szCs w:val="21"/>
        </w:rPr>
      </w:pPr>
      <w:r w:rsidRPr="007A6850">
        <w:rPr>
          <w:rFonts w:ascii="Abadi" w:hAnsi="Abadi" w:cs="Arial"/>
          <w:b/>
          <w:bCs/>
          <w:sz w:val="21"/>
          <w:szCs w:val="21"/>
        </w:rPr>
        <w:t xml:space="preserve">Consideraciones </w:t>
      </w:r>
    </w:p>
    <w:p w14:paraId="27CEE652" w14:textId="77777777" w:rsidR="007A6850" w:rsidRPr="007A6850" w:rsidRDefault="007A6850" w:rsidP="007A6850">
      <w:pPr>
        <w:ind w:left="1080"/>
        <w:jc w:val="both"/>
        <w:rPr>
          <w:rFonts w:ascii="Abadi" w:eastAsia="Batang" w:hAnsi="Abadi" w:cs="Arial"/>
          <w:sz w:val="21"/>
          <w:szCs w:val="21"/>
        </w:rPr>
      </w:pPr>
    </w:p>
    <w:p w14:paraId="47668E7D" w14:textId="77777777" w:rsidR="007A6850" w:rsidRPr="007A6850" w:rsidRDefault="007A6850" w:rsidP="007A6850">
      <w:pPr>
        <w:spacing w:line="360" w:lineRule="auto"/>
        <w:ind w:firstLine="708"/>
        <w:jc w:val="both"/>
        <w:rPr>
          <w:rFonts w:ascii="Abadi" w:hAnsi="Abadi" w:cs="Arial"/>
          <w:i/>
          <w:sz w:val="21"/>
          <w:szCs w:val="21"/>
        </w:rPr>
      </w:pPr>
      <w:r w:rsidRPr="007A6850">
        <w:rPr>
          <w:rFonts w:ascii="Abadi" w:hAnsi="Abadi"/>
          <w:sz w:val="21"/>
          <w:szCs w:val="21"/>
          <w:lang w:val="es-MX"/>
        </w:rPr>
        <w:t>Del contenido del acta de la sesión ordinaria del ayuntamiento de Santa Cruz de Juventino Rosas, Gto., celebrada el 13 de enero de 2022, se desprende que la propuesta materia del presente dictamen tiene por objeto solicitar la realización de una auditoría integral a la administración municipal 2018-2021, con la finalidad de</w:t>
      </w:r>
      <w:r w:rsidRPr="007A6850">
        <w:rPr>
          <w:rFonts w:ascii="Abadi" w:hAnsi="Abadi" w:cs="Arial"/>
          <w:iCs/>
          <w:sz w:val="21"/>
          <w:szCs w:val="21"/>
        </w:rPr>
        <w:t xml:space="preserve"> determinar las responsabilidades legales correspondientes.</w:t>
      </w:r>
    </w:p>
    <w:p w14:paraId="44751BD0" w14:textId="77777777" w:rsidR="007A6850" w:rsidRPr="007A6850" w:rsidRDefault="007A6850" w:rsidP="007A6850">
      <w:pPr>
        <w:spacing w:before="188"/>
        <w:ind w:left="993" w:right="161" w:hanging="93"/>
        <w:jc w:val="both"/>
        <w:rPr>
          <w:rFonts w:ascii="Abadi" w:hAnsi="Abadi" w:cs="Arial"/>
          <w:i/>
          <w:sz w:val="21"/>
          <w:szCs w:val="21"/>
        </w:rPr>
      </w:pPr>
    </w:p>
    <w:p w14:paraId="5BB8E290" w14:textId="77777777" w:rsidR="007A6850" w:rsidRPr="007A6850" w:rsidRDefault="007A6850" w:rsidP="007A6850">
      <w:pPr>
        <w:spacing w:line="360" w:lineRule="auto"/>
        <w:ind w:firstLine="708"/>
        <w:jc w:val="both"/>
        <w:rPr>
          <w:rFonts w:ascii="Abadi" w:hAnsi="Abadi" w:cs="Tahoma"/>
          <w:sz w:val="21"/>
          <w:szCs w:val="21"/>
        </w:rPr>
      </w:pPr>
      <w:r w:rsidRPr="007A6850">
        <w:rPr>
          <w:rFonts w:ascii="Abadi" w:hAnsi="Abadi" w:cs="Tahoma"/>
          <w:sz w:val="21"/>
          <w:szCs w:val="21"/>
        </w:rPr>
        <w:t xml:space="preserve">Al respecto quienes integramos esta Comisión consideramos que la función de control es uno de los mecanismos que preservan el equilibrio entre los poderes públicos y asegura la vigencia de la ley como un instrumento que somete toda actuación de la autoridad y preserva las garantías y derechos de los ciudadanos. La vigilancia y el control sobre el ejercicio de los recursos públicos encomendados a las autoridades es una de las funciones primordiales que tiene el Poder Legislativo como responsable originario de esa función de control. </w:t>
      </w:r>
    </w:p>
    <w:p w14:paraId="5ED88CA5" w14:textId="77777777" w:rsidR="007A6850" w:rsidRPr="007A6850" w:rsidRDefault="007A6850" w:rsidP="007A6850">
      <w:pPr>
        <w:spacing w:line="360" w:lineRule="auto"/>
        <w:ind w:firstLine="720"/>
        <w:jc w:val="both"/>
        <w:rPr>
          <w:rFonts w:ascii="Abadi" w:hAnsi="Abadi" w:cs="Tahoma"/>
          <w:sz w:val="21"/>
          <w:szCs w:val="21"/>
        </w:rPr>
      </w:pPr>
    </w:p>
    <w:p w14:paraId="34988A15" w14:textId="77777777" w:rsidR="007A6850" w:rsidRPr="007A6850" w:rsidRDefault="007A6850" w:rsidP="007A6850">
      <w:pPr>
        <w:spacing w:line="360" w:lineRule="auto"/>
        <w:ind w:firstLine="720"/>
        <w:jc w:val="both"/>
        <w:rPr>
          <w:rFonts w:ascii="Abadi" w:hAnsi="Abadi" w:cs="Tahoma"/>
          <w:sz w:val="21"/>
          <w:szCs w:val="21"/>
        </w:rPr>
      </w:pPr>
      <w:r w:rsidRPr="007A6850">
        <w:rPr>
          <w:rFonts w:ascii="Abadi" w:hAnsi="Abadi" w:cs="Tahoma"/>
          <w:sz w:val="21"/>
          <w:szCs w:val="21"/>
        </w:rPr>
        <w:t>La administración, ejercicio, aplicación y control de los recursos públicos tienen que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w:t>
      </w:r>
    </w:p>
    <w:p w14:paraId="5AF60FEF" w14:textId="77777777" w:rsidR="007A6850" w:rsidRPr="007A6850" w:rsidRDefault="007A6850" w:rsidP="007A6850">
      <w:pPr>
        <w:spacing w:line="360" w:lineRule="auto"/>
        <w:jc w:val="both"/>
        <w:rPr>
          <w:rFonts w:ascii="Abadi" w:hAnsi="Abadi" w:cs="Tahoma"/>
          <w:sz w:val="21"/>
          <w:szCs w:val="21"/>
        </w:rPr>
      </w:pPr>
      <w:r w:rsidRPr="007A6850">
        <w:rPr>
          <w:rFonts w:ascii="Abadi" w:hAnsi="Abadi" w:cs="Tahoma"/>
          <w:sz w:val="21"/>
          <w:szCs w:val="21"/>
        </w:rPr>
        <w:tab/>
      </w:r>
    </w:p>
    <w:p w14:paraId="2CCE2888" w14:textId="77777777" w:rsidR="007A6850" w:rsidRPr="007A6850" w:rsidRDefault="007A6850" w:rsidP="007A6850">
      <w:pPr>
        <w:spacing w:line="360" w:lineRule="auto"/>
        <w:ind w:firstLine="708"/>
        <w:jc w:val="both"/>
        <w:rPr>
          <w:rFonts w:ascii="Abadi" w:hAnsi="Abadi" w:cs="Tahoma"/>
          <w:sz w:val="21"/>
          <w:szCs w:val="21"/>
        </w:rPr>
      </w:pPr>
      <w:r w:rsidRPr="007A6850">
        <w:rPr>
          <w:rFonts w:ascii="Abadi" w:hAnsi="Abadi" w:cs="Tahoma"/>
          <w:sz w:val="21"/>
          <w:szCs w:val="21"/>
        </w:rPr>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7BF5A1AD" w14:textId="77777777" w:rsidR="007A6850" w:rsidRPr="007A6850" w:rsidRDefault="007A6850" w:rsidP="007A6850">
      <w:pPr>
        <w:spacing w:line="360" w:lineRule="auto"/>
        <w:jc w:val="both"/>
        <w:rPr>
          <w:rFonts w:ascii="Abadi" w:hAnsi="Abadi" w:cs="Tahoma"/>
          <w:sz w:val="21"/>
          <w:szCs w:val="21"/>
        </w:rPr>
      </w:pPr>
    </w:p>
    <w:p w14:paraId="19485380" w14:textId="77777777" w:rsidR="007A6850" w:rsidRPr="007A6850" w:rsidRDefault="007A6850" w:rsidP="007A6850">
      <w:pPr>
        <w:spacing w:line="360" w:lineRule="auto"/>
        <w:jc w:val="both"/>
        <w:rPr>
          <w:rFonts w:ascii="Abadi" w:hAnsi="Abadi" w:cs="Tahoma"/>
          <w:sz w:val="21"/>
          <w:szCs w:val="21"/>
        </w:rPr>
      </w:pPr>
      <w:r w:rsidRPr="007A6850">
        <w:rPr>
          <w:rFonts w:ascii="Abadi" w:hAnsi="Abadi" w:cs="Tahoma"/>
          <w:sz w:val="21"/>
          <w:szCs w:val="21"/>
        </w:rPr>
        <w:tab/>
        <w:t xml:space="preserve">El artículo 116, fracción II, sexto párrafo de la Constitución Política de los Estados Unidos Mexicanos señala que: </w:t>
      </w:r>
      <w:r w:rsidRPr="007A6850">
        <w:rPr>
          <w:rFonts w:ascii="Abadi" w:hAnsi="Abadi" w:cs="Tahoma"/>
          <w:i/>
          <w:sz w:val="21"/>
          <w:szCs w:val="21"/>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7A6850">
        <w:rPr>
          <w:rFonts w:ascii="Abadi" w:hAnsi="Abadi" w:cs="Tahoma"/>
          <w:sz w:val="21"/>
          <w:szCs w:val="21"/>
        </w:rPr>
        <w:t xml:space="preserve"> </w:t>
      </w:r>
    </w:p>
    <w:p w14:paraId="06B80D7A" w14:textId="77777777" w:rsidR="007A6850" w:rsidRPr="007A6850" w:rsidRDefault="007A6850" w:rsidP="007A6850">
      <w:pPr>
        <w:jc w:val="both"/>
        <w:rPr>
          <w:rFonts w:ascii="Abadi" w:hAnsi="Abadi" w:cs="Tahoma"/>
          <w:sz w:val="21"/>
          <w:szCs w:val="21"/>
        </w:rPr>
      </w:pPr>
    </w:p>
    <w:p w14:paraId="5DE9A8BB" w14:textId="77777777" w:rsidR="007A6850" w:rsidRPr="007A6850" w:rsidRDefault="007A6850" w:rsidP="007A6850">
      <w:pPr>
        <w:spacing w:line="360" w:lineRule="auto"/>
        <w:ind w:firstLine="708"/>
        <w:jc w:val="both"/>
        <w:rPr>
          <w:rFonts w:ascii="Abadi" w:hAnsi="Abadi" w:cs="Tahoma"/>
          <w:sz w:val="21"/>
          <w:szCs w:val="21"/>
        </w:rPr>
      </w:pPr>
      <w:r w:rsidRPr="007A6850">
        <w:rPr>
          <w:rFonts w:ascii="Abadi" w:hAnsi="Abadi" w:cs="Tahoma"/>
          <w:sz w:val="21"/>
          <w:szCs w:val="21"/>
        </w:rPr>
        <w:t xml:space="preserve">La Auditoría Superior del Estado, de conformidad con el artículo 66 de la Constitución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mientras que la fracción IV del mismo precepto establece que la Auditoría Superior del Estado podrá acordar y practicar auditorías conforme a su programa anual y ejecutar las que acuerde el Congreso del Estado en los términos de la fracción XXVIII del artículo 63 de la propia Constitución local. </w:t>
      </w:r>
    </w:p>
    <w:p w14:paraId="67FAFC9A" w14:textId="77777777" w:rsidR="007A6850" w:rsidRPr="007A6850" w:rsidRDefault="007A6850" w:rsidP="007A6850">
      <w:pPr>
        <w:spacing w:line="360" w:lineRule="auto"/>
        <w:ind w:firstLine="708"/>
        <w:jc w:val="both"/>
        <w:rPr>
          <w:rFonts w:ascii="Abadi" w:hAnsi="Abadi" w:cs="Tahoma"/>
          <w:sz w:val="21"/>
          <w:szCs w:val="21"/>
        </w:rPr>
      </w:pPr>
    </w:p>
    <w:p w14:paraId="22B984A7" w14:textId="77777777" w:rsidR="007A6850" w:rsidRPr="007A6850" w:rsidRDefault="007A6850" w:rsidP="007A6850">
      <w:pPr>
        <w:spacing w:line="360" w:lineRule="auto"/>
        <w:ind w:firstLine="708"/>
        <w:jc w:val="both"/>
        <w:rPr>
          <w:rFonts w:ascii="Abadi" w:hAnsi="Abadi" w:cs="Tahoma"/>
          <w:sz w:val="21"/>
          <w:szCs w:val="21"/>
        </w:rPr>
      </w:pPr>
    </w:p>
    <w:p w14:paraId="4222B2F0" w14:textId="77777777" w:rsidR="007A6850" w:rsidRPr="007A6850" w:rsidRDefault="007A6850" w:rsidP="007A6850">
      <w:pPr>
        <w:spacing w:line="360" w:lineRule="auto"/>
        <w:ind w:firstLine="708"/>
        <w:jc w:val="both"/>
        <w:rPr>
          <w:rFonts w:ascii="Abadi" w:hAnsi="Abadi" w:cs="Tahoma"/>
          <w:sz w:val="21"/>
          <w:szCs w:val="21"/>
        </w:rPr>
      </w:pPr>
    </w:p>
    <w:p w14:paraId="48378AD6" w14:textId="77777777" w:rsidR="007A6850" w:rsidRPr="007A6850" w:rsidRDefault="007A6850" w:rsidP="007A6850">
      <w:pPr>
        <w:spacing w:line="360" w:lineRule="auto"/>
        <w:ind w:firstLine="720"/>
        <w:jc w:val="both"/>
        <w:rPr>
          <w:rFonts w:ascii="Abadi" w:hAnsi="Abadi" w:cs="Tahoma"/>
          <w:sz w:val="21"/>
          <w:szCs w:val="21"/>
        </w:rPr>
      </w:pPr>
      <w:r w:rsidRPr="007A6850">
        <w:rPr>
          <w:rFonts w:ascii="Abadi" w:hAnsi="Abadi" w:cs="Tahoma"/>
          <w:sz w:val="21"/>
          <w:szCs w:val="21"/>
        </w:rPr>
        <w:t>El ayuntamiento de Santa Cruz de Juventino Rosas, Gto., es sujeto de la función de fiscalización del Congreso del Estado, según se desprende de los artículos 63 fracciones XIX y XXVIII; y 66 de la Constitución Política local y 2, fracción II de la Ley de Fiscalización Superior del Estado de Guanajuato.</w:t>
      </w:r>
    </w:p>
    <w:p w14:paraId="15D611EE" w14:textId="77777777" w:rsidR="007A6850" w:rsidRPr="007A6850" w:rsidRDefault="007A6850" w:rsidP="007A6850">
      <w:pPr>
        <w:spacing w:line="360" w:lineRule="auto"/>
        <w:ind w:firstLine="720"/>
        <w:jc w:val="both"/>
        <w:rPr>
          <w:rFonts w:ascii="Abadi" w:hAnsi="Abadi" w:cs="Tahoma"/>
          <w:sz w:val="21"/>
          <w:szCs w:val="21"/>
        </w:rPr>
      </w:pPr>
    </w:p>
    <w:p w14:paraId="507A974D" w14:textId="77777777" w:rsidR="007A6850" w:rsidRPr="007A6850" w:rsidRDefault="007A6850" w:rsidP="007A6850">
      <w:pPr>
        <w:spacing w:line="360" w:lineRule="auto"/>
        <w:ind w:firstLine="720"/>
        <w:jc w:val="both"/>
        <w:rPr>
          <w:rFonts w:ascii="Abadi" w:hAnsi="Abadi" w:cs="Tahoma"/>
          <w:sz w:val="21"/>
          <w:szCs w:val="21"/>
        </w:rPr>
      </w:pPr>
      <w:r w:rsidRPr="007A6850">
        <w:rPr>
          <w:rFonts w:ascii="Abadi" w:hAnsi="Abadi" w:cs="Tahoma"/>
          <w:sz w:val="21"/>
          <w:szCs w:val="21"/>
        </w:rPr>
        <w:t>En este orden de ideas, de acuerdo a la información proporcionada por la Auditoría Superior del Estado, durante los ejercicios fiscales 2018, 2019 y 2020 se efectuaron las siguientes revisiones y auditorías a la administración pública de Santa Cruz de Juventino Rosas, Gto.:</w:t>
      </w:r>
    </w:p>
    <w:p w14:paraId="0A0B3586" w14:textId="77777777" w:rsidR="007A6850" w:rsidRPr="007A6850" w:rsidRDefault="007A6850" w:rsidP="007A6850">
      <w:pPr>
        <w:rPr>
          <w:rFonts w:ascii="Abadi" w:hAnsi="Abadi"/>
          <w:b/>
          <w:sz w:val="21"/>
          <w:szCs w:val="21"/>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376"/>
        <w:gridCol w:w="1063"/>
        <w:gridCol w:w="1063"/>
      </w:tblGrid>
      <w:tr w:rsidR="007A6850" w:rsidRPr="007A6850" w14:paraId="1144679C" w14:textId="77777777" w:rsidTr="004E6068">
        <w:trPr>
          <w:jc w:val="center"/>
        </w:trPr>
        <w:tc>
          <w:tcPr>
            <w:tcW w:w="1271" w:type="dxa"/>
            <w:shd w:val="clear" w:color="auto" w:fill="auto"/>
          </w:tcPr>
          <w:p w14:paraId="6B111345" w14:textId="77777777" w:rsidR="007A6850" w:rsidRPr="007A6850" w:rsidRDefault="007A6850" w:rsidP="007A6850">
            <w:pPr>
              <w:jc w:val="center"/>
              <w:rPr>
                <w:rFonts w:ascii="Abadi" w:hAnsi="Abadi"/>
                <w:b/>
                <w:sz w:val="21"/>
                <w:szCs w:val="21"/>
                <w:lang w:val="es-MX" w:eastAsia="en-US"/>
              </w:rPr>
            </w:pPr>
            <w:r w:rsidRPr="007A6850">
              <w:rPr>
                <w:rFonts w:ascii="Abadi" w:hAnsi="Abadi"/>
                <w:b/>
                <w:sz w:val="21"/>
                <w:szCs w:val="21"/>
                <w:lang w:val="es-MX" w:eastAsia="en-US"/>
              </w:rPr>
              <w:t>Ejercicio</w:t>
            </w:r>
          </w:p>
        </w:tc>
        <w:tc>
          <w:tcPr>
            <w:tcW w:w="3404" w:type="dxa"/>
            <w:shd w:val="clear" w:color="auto" w:fill="auto"/>
          </w:tcPr>
          <w:p w14:paraId="091D23BF" w14:textId="77777777" w:rsidR="007A6850" w:rsidRPr="007A6850" w:rsidRDefault="007A6850" w:rsidP="007A6850">
            <w:pPr>
              <w:jc w:val="center"/>
              <w:rPr>
                <w:rFonts w:ascii="Abadi" w:hAnsi="Abadi"/>
                <w:b/>
                <w:sz w:val="21"/>
                <w:szCs w:val="21"/>
                <w:lang w:val="es-MX" w:eastAsia="en-US"/>
              </w:rPr>
            </w:pPr>
            <w:r w:rsidRPr="007A6850">
              <w:rPr>
                <w:rFonts w:ascii="Abadi" w:hAnsi="Abadi"/>
                <w:b/>
                <w:sz w:val="21"/>
                <w:szCs w:val="21"/>
                <w:lang w:val="es-MX" w:eastAsia="en-US"/>
              </w:rPr>
              <w:t>Tipo de Revisión</w:t>
            </w:r>
          </w:p>
          <w:p w14:paraId="3DF11C98" w14:textId="77777777" w:rsidR="007A6850" w:rsidRPr="007A6850" w:rsidRDefault="007A6850" w:rsidP="007A6850">
            <w:pPr>
              <w:jc w:val="center"/>
              <w:rPr>
                <w:rFonts w:ascii="Abadi" w:hAnsi="Abadi"/>
                <w:b/>
                <w:sz w:val="21"/>
                <w:szCs w:val="21"/>
                <w:lang w:val="es-MX" w:eastAsia="en-US"/>
              </w:rPr>
            </w:pPr>
            <w:r w:rsidRPr="007A6850">
              <w:rPr>
                <w:rFonts w:ascii="Abadi" w:hAnsi="Abadi"/>
                <w:b/>
                <w:sz w:val="21"/>
                <w:szCs w:val="21"/>
                <w:lang w:val="es-MX" w:eastAsia="en-US"/>
              </w:rPr>
              <w:t>/Auditoría</w:t>
            </w:r>
          </w:p>
        </w:tc>
        <w:tc>
          <w:tcPr>
            <w:tcW w:w="1431" w:type="dxa"/>
            <w:shd w:val="clear" w:color="auto" w:fill="auto"/>
          </w:tcPr>
          <w:p w14:paraId="65E2D4A0" w14:textId="77777777" w:rsidR="007A6850" w:rsidRPr="007A6850" w:rsidRDefault="007A6850" w:rsidP="007A6850">
            <w:pPr>
              <w:jc w:val="center"/>
              <w:rPr>
                <w:rFonts w:ascii="Abadi" w:hAnsi="Abadi"/>
                <w:b/>
                <w:sz w:val="21"/>
                <w:szCs w:val="21"/>
                <w:lang w:val="es-MX" w:eastAsia="en-US"/>
              </w:rPr>
            </w:pPr>
            <w:r w:rsidRPr="007A6850">
              <w:rPr>
                <w:rFonts w:ascii="Abadi" w:hAnsi="Abadi"/>
                <w:b/>
                <w:sz w:val="21"/>
                <w:szCs w:val="21"/>
                <w:lang w:val="es-MX" w:eastAsia="en-US"/>
              </w:rPr>
              <w:t>Porcentaje revisado de ingresos</w:t>
            </w:r>
          </w:p>
        </w:tc>
        <w:tc>
          <w:tcPr>
            <w:tcW w:w="1431" w:type="dxa"/>
            <w:shd w:val="clear" w:color="auto" w:fill="auto"/>
          </w:tcPr>
          <w:p w14:paraId="4A03DD0F" w14:textId="77777777" w:rsidR="007A6850" w:rsidRPr="007A6850" w:rsidRDefault="007A6850" w:rsidP="007A6850">
            <w:pPr>
              <w:jc w:val="center"/>
              <w:rPr>
                <w:rFonts w:ascii="Abadi" w:hAnsi="Abadi"/>
                <w:b/>
                <w:sz w:val="21"/>
                <w:szCs w:val="21"/>
                <w:lang w:val="es-MX" w:eastAsia="en-US"/>
              </w:rPr>
            </w:pPr>
            <w:r w:rsidRPr="007A6850">
              <w:rPr>
                <w:rFonts w:ascii="Abadi" w:hAnsi="Abadi"/>
                <w:b/>
                <w:sz w:val="21"/>
                <w:szCs w:val="21"/>
                <w:lang w:val="es-MX" w:eastAsia="en-US"/>
              </w:rPr>
              <w:t>Porcentaje revisado de egresos</w:t>
            </w:r>
          </w:p>
        </w:tc>
      </w:tr>
      <w:tr w:rsidR="007A6850" w:rsidRPr="007A6850" w14:paraId="3E81DA05" w14:textId="77777777" w:rsidTr="004E6068">
        <w:trPr>
          <w:jc w:val="center"/>
        </w:trPr>
        <w:tc>
          <w:tcPr>
            <w:tcW w:w="1271" w:type="dxa"/>
            <w:shd w:val="clear" w:color="auto" w:fill="auto"/>
          </w:tcPr>
          <w:p w14:paraId="08479960" w14:textId="77777777" w:rsidR="007A6850" w:rsidRPr="007A6850" w:rsidRDefault="007A6850" w:rsidP="007A6850">
            <w:pPr>
              <w:jc w:val="center"/>
              <w:rPr>
                <w:rFonts w:ascii="Abadi" w:hAnsi="Abadi"/>
                <w:bCs/>
                <w:sz w:val="21"/>
                <w:szCs w:val="21"/>
                <w:lang w:val="es-MX" w:eastAsia="en-US"/>
              </w:rPr>
            </w:pPr>
            <w:r w:rsidRPr="007A6850">
              <w:rPr>
                <w:rFonts w:ascii="Abadi" w:hAnsi="Abadi"/>
                <w:b/>
                <w:bCs/>
                <w:sz w:val="21"/>
                <w:szCs w:val="21"/>
              </w:rPr>
              <w:t>2018</w:t>
            </w:r>
          </w:p>
        </w:tc>
        <w:tc>
          <w:tcPr>
            <w:tcW w:w="3404" w:type="dxa"/>
            <w:shd w:val="clear" w:color="auto" w:fill="auto"/>
          </w:tcPr>
          <w:p w14:paraId="3DD3B937" w14:textId="77777777" w:rsidR="007A6850" w:rsidRPr="007A6850" w:rsidRDefault="007A6850" w:rsidP="007A6850">
            <w:pPr>
              <w:rPr>
                <w:rFonts w:ascii="Abadi" w:hAnsi="Abadi"/>
                <w:bCs/>
                <w:sz w:val="21"/>
                <w:szCs w:val="21"/>
                <w:lang w:val="es-MX" w:eastAsia="en-US"/>
              </w:rPr>
            </w:pPr>
            <w:r w:rsidRPr="007A6850">
              <w:rPr>
                <w:rFonts w:ascii="Abadi" w:hAnsi="Abadi"/>
                <w:b/>
                <w:bCs/>
                <w:sz w:val="21"/>
                <w:szCs w:val="21"/>
              </w:rPr>
              <w:t>Revisión de Cuenta Pública</w:t>
            </w:r>
          </w:p>
        </w:tc>
        <w:tc>
          <w:tcPr>
            <w:tcW w:w="1431" w:type="dxa"/>
            <w:shd w:val="clear" w:color="auto" w:fill="auto"/>
            <w:vAlign w:val="center"/>
          </w:tcPr>
          <w:p w14:paraId="7E753570" w14:textId="77777777" w:rsidR="007A6850" w:rsidRPr="007A6850" w:rsidRDefault="007A6850" w:rsidP="007A6850">
            <w:pPr>
              <w:jc w:val="center"/>
              <w:rPr>
                <w:rFonts w:ascii="Abadi" w:hAnsi="Abadi"/>
                <w:bCs/>
                <w:sz w:val="21"/>
                <w:szCs w:val="21"/>
                <w:lang w:val="es-MX" w:eastAsia="en-US"/>
              </w:rPr>
            </w:pPr>
          </w:p>
        </w:tc>
        <w:tc>
          <w:tcPr>
            <w:tcW w:w="1431" w:type="dxa"/>
            <w:shd w:val="clear" w:color="auto" w:fill="auto"/>
            <w:vAlign w:val="center"/>
          </w:tcPr>
          <w:p w14:paraId="71900E4F" w14:textId="77777777" w:rsidR="007A6850" w:rsidRPr="007A6850" w:rsidRDefault="007A6850" w:rsidP="007A6850">
            <w:pPr>
              <w:jc w:val="center"/>
              <w:rPr>
                <w:rFonts w:ascii="Abadi" w:hAnsi="Abadi"/>
                <w:bCs/>
                <w:sz w:val="21"/>
                <w:szCs w:val="21"/>
                <w:lang w:val="es-MX" w:eastAsia="en-US"/>
              </w:rPr>
            </w:pPr>
          </w:p>
        </w:tc>
      </w:tr>
      <w:tr w:rsidR="007A6850" w:rsidRPr="007A6850" w14:paraId="1396E5CF" w14:textId="77777777" w:rsidTr="004E6068">
        <w:trPr>
          <w:jc w:val="center"/>
        </w:trPr>
        <w:tc>
          <w:tcPr>
            <w:tcW w:w="1271" w:type="dxa"/>
            <w:shd w:val="clear" w:color="auto" w:fill="auto"/>
          </w:tcPr>
          <w:p w14:paraId="1695CC42" w14:textId="77777777" w:rsidR="007A6850" w:rsidRPr="007A6850" w:rsidRDefault="007A6850" w:rsidP="007A6850">
            <w:pPr>
              <w:jc w:val="center"/>
              <w:rPr>
                <w:rFonts w:ascii="Abadi" w:hAnsi="Abadi"/>
                <w:b/>
                <w:sz w:val="21"/>
                <w:szCs w:val="21"/>
                <w:lang w:val="es-MX" w:eastAsia="en-US"/>
              </w:rPr>
            </w:pPr>
          </w:p>
        </w:tc>
        <w:tc>
          <w:tcPr>
            <w:tcW w:w="3404" w:type="dxa"/>
            <w:shd w:val="clear" w:color="auto" w:fill="auto"/>
          </w:tcPr>
          <w:p w14:paraId="0BC9BCAC" w14:textId="77777777" w:rsidR="007A6850" w:rsidRPr="007A6850" w:rsidRDefault="007A6850" w:rsidP="007A6850">
            <w:pPr>
              <w:rPr>
                <w:rFonts w:ascii="Abadi" w:hAnsi="Abadi"/>
                <w:b/>
                <w:sz w:val="21"/>
                <w:szCs w:val="21"/>
                <w:lang w:val="es-MX" w:eastAsia="en-US"/>
              </w:rPr>
            </w:pPr>
            <w:r w:rsidRPr="007A6850">
              <w:rPr>
                <w:rFonts w:ascii="Abadi" w:hAnsi="Abadi"/>
                <w:sz w:val="21"/>
                <w:szCs w:val="21"/>
              </w:rPr>
              <w:t>Sector Central</w:t>
            </w:r>
          </w:p>
        </w:tc>
        <w:tc>
          <w:tcPr>
            <w:tcW w:w="1431" w:type="dxa"/>
            <w:shd w:val="clear" w:color="auto" w:fill="auto"/>
          </w:tcPr>
          <w:p w14:paraId="5557CAE8" w14:textId="77777777" w:rsidR="007A6850" w:rsidRPr="007A6850" w:rsidRDefault="007A6850" w:rsidP="007A6850">
            <w:pPr>
              <w:jc w:val="center"/>
              <w:rPr>
                <w:rFonts w:ascii="Abadi" w:hAnsi="Abadi"/>
                <w:bCs/>
                <w:sz w:val="21"/>
                <w:szCs w:val="21"/>
                <w:lang w:val="es-MX" w:eastAsia="en-US"/>
              </w:rPr>
            </w:pPr>
            <w:r w:rsidRPr="007A6850">
              <w:rPr>
                <w:rFonts w:ascii="Abadi" w:hAnsi="Abadi"/>
                <w:bCs/>
                <w:sz w:val="21"/>
                <w:szCs w:val="21"/>
              </w:rPr>
              <w:t>62</w:t>
            </w:r>
          </w:p>
        </w:tc>
        <w:tc>
          <w:tcPr>
            <w:tcW w:w="1431" w:type="dxa"/>
            <w:shd w:val="clear" w:color="auto" w:fill="auto"/>
          </w:tcPr>
          <w:p w14:paraId="240FF781" w14:textId="77777777" w:rsidR="007A6850" w:rsidRPr="007A6850" w:rsidRDefault="007A6850" w:rsidP="007A6850">
            <w:pPr>
              <w:jc w:val="center"/>
              <w:rPr>
                <w:rFonts w:ascii="Abadi" w:hAnsi="Abadi"/>
                <w:bCs/>
                <w:sz w:val="21"/>
                <w:szCs w:val="21"/>
                <w:lang w:val="es-MX" w:eastAsia="en-US"/>
              </w:rPr>
            </w:pPr>
            <w:r w:rsidRPr="007A6850">
              <w:rPr>
                <w:rFonts w:ascii="Abadi" w:hAnsi="Abadi"/>
                <w:bCs/>
                <w:sz w:val="21"/>
                <w:szCs w:val="21"/>
              </w:rPr>
              <w:t>35</w:t>
            </w:r>
          </w:p>
        </w:tc>
      </w:tr>
      <w:tr w:rsidR="007A6850" w:rsidRPr="007A6850" w14:paraId="79B61D56" w14:textId="77777777" w:rsidTr="004E6068">
        <w:trPr>
          <w:jc w:val="center"/>
        </w:trPr>
        <w:tc>
          <w:tcPr>
            <w:tcW w:w="1271" w:type="dxa"/>
            <w:shd w:val="clear" w:color="auto" w:fill="auto"/>
          </w:tcPr>
          <w:p w14:paraId="1EFAF6CA" w14:textId="77777777" w:rsidR="007A6850" w:rsidRPr="007A6850" w:rsidRDefault="007A6850" w:rsidP="007A6850">
            <w:pPr>
              <w:jc w:val="center"/>
              <w:rPr>
                <w:rFonts w:ascii="Abadi" w:hAnsi="Abadi"/>
                <w:bCs/>
                <w:sz w:val="21"/>
                <w:szCs w:val="21"/>
                <w:lang w:val="es-MX" w:eastAsia="en-US"/>
              </w:rPr>
            </w:pPr>
          </w:p>
        </w:tc>
        <w:tc>
          <w:tcPr>
            <w:tcW w:w="3404" w:type="dxa"/>
            <w:shd w:val="clear" w:color="auto" w:fill="auto"/>
          </w:tcPr>
          <w:p w14:paraId="1CDA6CE4" w14:textId="77777777" w:rsidR="007A6850" w:rsidRPr="007A6850" w:rsidRDefault="007A6850" w:rsidP="007A6850">
            <w:pPr>
              <w:jc w:val="both"/>
              <w:rPr>
                <w:rFonts w:ascii="Abadi" w:hAnsi="Abadi"/>
                <w:bCs/>
                <w:sz w:val="21"/>
                <w:szCs w:val="21"/>
                <w:lang w:val="es-MX" w:eastAsia="en-US"/>
              </w:rPr>
            </w:pPr>
            <w:r w:rsidRPr="007A6850">
              <w:rPr>
                <w:rFonts w:ascii="Abadi" w:hAnsi="Abadi"/>
                <w:sz w:val="21"/>
                <w:szCs w:val="21"/>
              </w:rPr>
              <w:t>Comité Municipal de Agua Potable y Alcantarillado de Santa Cruz de Juventino Rosas, Gto.</w:t>
            </w:r>
          </w:p>
        </w:tc>
        <w:tc>
          <w:tcPr>
            <w:tcW w:w="1431" w:type="dxa"/>
            <w:shd w:val="clear" w:color="auto" w:fill="auto"/>
          </w:tcPr>
          <w:p w14:paraId="02902193" w14:textId="77777777" w:rsidR="007A6850" w:rsidRPr="007A6850" w:rsidRDefault="007A6850" w:rsidP="007A6850">
            <w:pPr>
              <w:jc w:val="center"/>
              <w:rPr>
                <w:rFonts w:ascii="Abadi" w:hAnsi="Abadi"/>
                <w:sz w:val="21"/>
                <w:szCs w:val="21"/>
              </w:rPr>
            </w:pPr>
          </w:p>
          <w:p w14:paraId="6E64C776" w14:textId="77777777" w:rsidR="007A6850" w:rsidRPr="007A6850" w:rsidRDefault="007A6850" w:rsidP="007A6850">
            <w:pPr>
              <w:jc w:val="center"/>
              <w:rPr>
                <w:rFonts w:ascii="Abadi" w:hAnsi="Abadi"/>
                <w:bCs/>
                <w:sz w:val="21"/>
                <w:szCs w:val="21"/>
                <w:lang w:val="es-MX" w:eastAsia="en-US"/>
              </w:rPr>
            </w:pPr>
            <w:r w:rsidRPr="007A6850">
              <w:rPr>
                <w:rFonts w:ascii="Abadi" w:hAnsi="Abadi"/>
                <w:bCs/>
                <w:sz w:val="21"/>
                <w:szCs w:val="21"/>
                <w:lang w:val="es-MX" w:eastAsia="en-US"/>
              </w:rPr>
              <w:t>_</w:t>
            </w:r>
          </w:p>
        </w:tc>
        <w:tc>
          <w:tcPr>
            <w:tcW w:w="1431" w:type="dxa"/>
            <w:shd w:val="clear" w:color="auto" w:fill="auto"/>
          </w:tcPr>
          <w:p w14:paraId="2B44E984" w14:textId="77777777" w:rsidR="007A6850" w:rsidRPr="007A6850" w:rsidRDefault="007A6850" w:rsidP="007A6850">
            <w:pPr>
              <w:jc w:val="center"/>
              <w:rPr>
                <w:rFonts w:ascii="Abadi" w:hAnsi="Abadi"/>
                <w:sz w:val="21"/>
                <w:szCs w:val="21"/>
              </w:rPr>
            </w:pPr>
          </w:p>
          <w:p w14:paraId="0DBF29E0" w14:textId="77777777" w:rsidR="007A6850" w:rsidRPr="007A6850" w:rsidRDefault="007A6850" w:rsidP="007A6850">
            <w:pPr>
              <w:jc w:val="center"/>
              <w:rPr>
                <w:rFonts w:ascii="Abadi" w:hAnsi="Abadi"/>
                <w:bCs/>
                <w:sz w:val="21"/>
                <w:szCs w:val="21"/>
                <w:lang w:val="es-MX" w:eastAsia="en-US"/>
              </w:rPr>
            </w:pPr>
            <w:r w:rsidRPr="007A6850">
              <w:rPr>
                <w:rFonts w:ascii="Abadi" w:hAnsi="Abadi"/>
                <w:sz w:val="21"/>
                <w:szCs w:val="21"/>
              </w:rPr>
              <w:t>21</w:t>
            </w:r>
          </w:p>
        </w:tc>
      </w:tr>
      <w:tr w:rsidR="007A6850" w:rsidRPr="007A6850" w14:paraId="66853664" w14:textId="77777777" w:rsidTr="004E6068">
        <w:trPr>
          <w:jc w:val="center"/>
        </w:trPr>
        <w:tc>
          <w:tcPr>
            <w:tcW w:w="1271" w:type="dxa"/>
            <w:shd w:val="clear" w:color="auto" w:fill="auto"/>
          </w:tcPr>
          <w:p w14:paraId="5A905777" w14:textId="77777777" w:rsidR="007A6850" w:rsidRPr="007A6850" w:rsidRDefault="007A6850" w:rsidP="007A6850">
            <w:pPr>
              <w:jc w:val="center"/>
              <w:rPr>
                <w:rFonts w:ascii="Abadi" w:hAnsi="Abadi"/>
                <w:bCs/>
                <w:sz w:val="21"/>
                <w:szCs w:val="21"/>
                <w:lang w:val="es-MX" w:eastAsia="en-US"/>
              </w:rPr>
            </w:pPr>
          </w:p>
        </w:tc>
        <w:tc>
          <w:tcPr>
            <w:tcW w:w="3404" w:type="dxa"/>
            <w:shd w:val="clear" w:color="auto" w:fill="auto"/>
            <w:vAlign w:val="center"/>
          </w:tcPr>
          <w:p w14:paraId="6E78475F" w14:textId="77777777" w:rsidR="007A6850" w:rsidRPr="007A6850" w:rsidRDefault="007A6850" w:rsidP="007A6850">
            <w:pPr>
              <w:jc w:val="both"/>
              <w:rPr>
                <w:rFonts w:ascii="Abadi" w:hAnsi="Abadi"/>
                <w:bCs/>
                <w:sz w:val="21"/>
                <w:szCs w:val="21"/>
                <w:lang w:val="es-MX" w:eastAsia="en-US"/>
              </w:rPr>
            </w:pPr>
            <w:r w:rsidRPr="007A6850">
              <w:rPr>
                <w:rFonts w:ascii="Abadi" w:hAnsi="Abadi"/>
                <w:b/>
                <w:bCs/>
                <w:sz w:val="21"/>
                <w:szCs w:val="21"/>
              </w:rPr>
              <w:t>Auditoría al Ramo General 33 y Obra Pública</w:t>
            </w:r>
          </w:p>
        </w:tc>
        <w:tc>
          <w:tcPr>
            <w:tcW w:w="1431" w:type="dxa"/>
            <w:shd w:val="clear" w:color="auto" w:fill="auto"/>
            <w:vAlign w:val="center"/>
          </w:tcPr>
          <w:p w14:paraId="1756EADF" w14:textId="77777777" w:rsidR="007A6850" w:rsidRPr="007A6850" w:rsidRDefault="007A6850" w:rsidP="007A6850">
            <w:pPr>
              <w:jc w:val="center"/>
              <w:rPr>
                <w:rFonts w:ascii="Abadi" w:hAnsi="Abadi"/>
                <w:bCs/>
                <w:sz w:val="21"/>
                <w:szCs w:val="21"/>
                <w:lang w:val="es-MX" w:eastAsia="en-US"/>
              </w:rPr>
            </w:pPr>
            <w:r w:rsidRPr="007A6850">
              <w:rPr>
                <w:rFonts w:ascii="Abadi" w:hAnsi="Abadi"/>
                <w:sz w:val="21"/>
                <w:szCs w:val="21"/>
              </w:rPr>
              <w:t>100</w:t>
            </w:r>
            <w:r w:rsidRPr="007A6850">
              <w:rPr>
                <w:rFonts w:ascii="Abadi" w:hAnsi="Abadi"/>
                <w:bCs/>
                <w:sz w:val="21"/>
                <w:szCs w:val="21"/>
                <w:vertAlign w:val="superscript"/>
              </w:rPr>
              <w:t>(1)</w:t>
            </w:r>
          </w:p>
        </w:tc>
        <w:tc>
          <w:tcPr>
            <w:tcW w:w="1431" w:type="dxa"/>
            <w:shd w:val="clear" w:color="auto" w:fill="auto"/>
            <w:vAlign w:val="center"/>
          </w:tcPr>
          <w:p w14:paraId="7C7D1B17" w14:textId="77777777" w:rsidR="007A6850" w:rsidRPr="007A6850" w:rsidRDefault="007A6850" w:rsidP="007A6850">
            <w:pPr>
              <w:jc w:val="center"/>
              <w:rPr>
                <w:rFonts w:ascii="Abadi" w:hAnsi="Abadi"/>
                <w:bCs/>
                <w:sz w:val="21"/>
                <w:szCs w:val="21"/>
                <w:lang w:val="es-MX" w:eastAsia="en-US"/>
              </w:rPr>
            </w:pPr>
            <w:r w:rsidRPr="007A6850">
              <w:rPr>
                <w:rFonts w:ascii="Abadi" w:hAnsi="Abadi"/>
                <w:sz w:val="21"/>
                <w:szCs w:val="21"/>
              </w:rPr>
              <w:t>61</w:t>
            </w:r>
          </w:p>
        </w:tc>
      </w:tr>
      <w:tr w:rsidR="007A6850" w:rsidRPr="007A6850" w14:paraId="6ACD6811" w14:textId="77777777" w:rsidTr="004E6068">
        <w:trPr>
          <w:jc w:val="center"/>
        </w:trPr>
        <w:tc>
          <w:tcPr>
            <w:tcW w:w="1271" w:type="dxa"/>
            <w:shd w:val="clear" w:color="auto" w:fill="auto"/>
          </w:tcPr>
          <w:p w14:paraId="1F84900B" w14:textId="77777777" w:rsidR="007A6850" w:rsidRPr="007A6850" w:rsidRDefault="007A6850" w:rsidP="007A6850">
            <w:pPr>
              <w:jc w:val="center"/>
              <w:rPr>
                <w:rFonts w:ascii="Abadi" w:hAnsi="Abadi"/>
                <w:b/>
                <w:sz w:val="21"/>
                <w:szCs w:val="21"/>
                <w:lang w:val="es-MX" w:eastAsia="en-US"/>
              </w:rPr>
            </w:pPr>
            <w:r w:rsidRPr="007A6850">
              <w:rPr>
                <w:rFonts w:ascii="Abadi" w:hAnsi="Abadi"/>
                <w:b/>
                <w:bCs/>
                <w:sz w:val="21"/>
                <w:szCs w:val="21"/>
              </w:rPr>
              <w:t>2019</w:t>
            </w:r>
          </w:p>
        </w:tc>
        <w:tc>
          <w:tcPr>
            <w:tcW w:w="3404" w:type="dxa"/>
            <w:shd w:val="clear" w:color="auto" w:fill="auto"/>
          </w:tcPr>
          <w:p w14:paraId="3B96B72F" w14:textId="77777777" w:rsidR="007A6850" w:rsidRPr="007A6850" w:rsidRDefault="007A6850" w:rsidP="007A6850">
            <w:pPr>
              <w:rPr>
                <w:rFonts w:ascii="Abadi" w:hAnsi="Abadi"/>
                <w:b/>
                <w:sz w:val="21"/>
                <w:szCs w:val="21"/>
                <w:lang w:val="es-MX" w:eastAsia="en-US"/>
              </w:rPr>
            </w:pPr>
            <w:r w:rsidRPr="007A6850">
              <w:rPr>
                <w:rFonts w:ascii="Abadi" w:hAnsi="Abadi"/>
                <w:b/>
                <w:bCs/>
                <w:sz w:val="21"/>
                <w:szCs w:val="21"/>
              </w:rPr>
              <w:t>Revisión de Cuenta Pública</w:t>
            </w:r>
          </w:p>
        </w:tc>
        <w:tc>
          <w:tcPr>
            <w:tcW w:w="1431" w:type="dxa"/>
            <w:shd w:val="clear" w:color="auto" w:fill="auto"/>
            <w:vAlign w:val="center"/>
          </w:tcPr>
          <w:p w14:paraId="1FFE60F7" w14:textId="77777777" w:rsidR="007A6850" w:rsidRPr="007A6850" w:rsidRDefault="007A6850" w:rsidP="007A6850">
            <w:pPr>
              <w:jc w:val="center"/>
              <w:rPr>
                <w:rFonts w:ascii="Abadi" w:hAnsi="Abadi"/>
                <w:bCs/>
                <w:sz w:val="21"/>
                <w:szCs w:val="21"/>
                <w:lang w:val="es-MX" w:eastAsia="en-US"/>
              </w:rPr>
            </w:pPr>
          </w:p>
        </w:tc>
        <w:tc>
          <w:tcPr>
            <w:tcW w:w="1431" w:type="dxa"/>
            <w:shd w:val="clear" w:color="auto" w:fill="auto"/>
            <w:vAlign w:val="center"/>
          </w:tcPr>
          <w:p w14:paraId="7CDAA3DE" w14:textId="77777777" w:rsidR="007A6850" w:rsidRPr="007A6850" w:rsidRDefault="007A6850" w:rsidP="007A6850">
            <w:pPr>
              <w:jc w:val="center"/>
              <w:rPr>
                <w:rFonts w:ascii="Abadi" w:hAnsi="Abadi"/>
                <w:b/>
                <w:sz w:val="21"/>
                <w:szCs w:val="21"/>
                <w:lang w:val="es-MX" w:eastAsia="en-US"/>
              </w:rPr>
            </w:pPr>
          </w:p>
        </w:tc>
      </w:tr>
      <w:tr w:rsidR="007A6850" w:rsidRPr="007A6850" w14:paraId="0D2FDE1A" w14:textId="77777777" w:rsidTr="004E6068">
        <w:trPr>
          <w:jc w:val="center"/>
        </w:trPr>
        <w:tc>
          <w:tcPr>
            <w:tcW w:w="1271" w:type="dxa"/>
            <w:shd w:val="clear" w:color="auto" w:fill="auto"/>
          </w:tcPr>
          <w:p w14:paraId="651E4E15" w14:textId="77777777" w:rsidR="007A6850" w:rsidRPr="007A6850" w:rsidRDefault="007A6850" w:rsidP="007A6850">
            <w:pPr>
              <w:jc w:val="center"/>
              <w:rPr>
                <w:rFonts w:ascii="Abadi" w:hAnsi="Abadi"/>
                <w:bCs/>
                <w:sz w:val="21"/>
                <w:szCs w:val="21"/>
                <w:lang w:val="es-MX" w:eastAsia="en-US"/>
              </w:rPr>
            </w:pPr>
          </w:p>
        </w:tc>
        <w:tc>
          <w:tcPr>
            <w:tcW w:w="3404" w:type="dxa"/>
            <w:shd w:val="clear" w:color="auto" w:fill="auto"/>
          </w:tcPr>
          <w:p w14:paraId="56A669D9" w14:textId="77777777" w:rsidR="007A6850" w:rsidRPr="007A6850" w:rsidRDefault="007A6850" w:rsidP="007A6850">
            <w:pPr>
              <w:jc w:val="both"/>
              <w:rPr>
                <w:rFonts w:ascii="Abadi" w:hAnsi="Abadi"/>
                <w:bCs/>
                <w:sz w:val="21"/>
                <w:szCs w:val="21"/>
                <w:lang w:val="es-MX" w:eastAsia="en-US"/>
              </w:rPr>
            </w:pPr>
            <w:r w:rsidRPr="007A6850">
              <w:rPr>
                <w:rFonts w:ascii="Abadi" w:hAnsi="Abadi"/>
                <w:sz w:val="21"/>
                <w:szCs w:val="21"/>
              </w:rPr>
              <w:t>Sector Central</w:t>
            </w:r>
          </w:p>
        </w:tc>
        <w:tc>
          <w:tcPr>
            <w:tcW w:w="1431" w:type="dxa"/>
            <w:shd w:val="clear" w:color="auto" w:fill="auto"/>
          </w:tcPr>
          <w:p w14:paraId="49378B17" w14:textId="77777777" w:rsidR="007A6850" w:rsidRPr="007A6850" w:rsidRDefault="007A6850" w:rsidP="007A6850">
            <w:pPr>
              <w:jc w:val="center"/>
              <w:rPr>
                <w:rFonts w:ascii="Abadi" w:hAnsi="Abadi"/>
                <w:b/>
                <w:sz w:val="21"/>
                <w:szCs w:val="21"/>
                <w:lang w:val="es-MX" w:eastAsia="en-US"/>
              </w:rPr>
            </w:pPr>
            <w:r w:rsidRPr="007A6850">
              <w:rPr>
                <w:rFonts w:ascii="Abadi" w:hAnsi="Abadi"/>
                <w:sz w:val="21"/>
                <w:szCs w:val="21"/>
              </w:rPr>
              <w:t>75</w:t>
            </w:r>
          </w:p>
        </w:tc>
        <w:tc>
          <w:tcPr>
            <w:tcW w:w="1431" w:type="dxa"/>
            <w:shd w:val="clear" w:color="auto" w:fill="auto"/>
            <w:vAlign w:val="center"/>
          </w:tcPr>
          <w:p w14:paraId="72DFC25A" w14:textId="77777777" w:rsidR="007A6850" w:rsidRPr="007A6850" w:rsidRDefault="007A6850" w:rsidP="007A6850">
            <w:pPr>
              <w:jc w:val="center"/>
              <w:rPr>
                <w:rFonts w:ascii="Abadi" w:hAnsi="Abadi"/>
                <w:b/>
                <w:sz w:val="21"/>
                <w:szCs w:val="21"/>
                <w:lang w:val="es-MX" w:eastAsia="en-US"/>
              </w:rPr>
            </w:pPr>
            <w:r w:rsidRPr="007A6850">
              <w:rPr>
                <w:rFonts w:ascii="Abadi" w:hAnsi="Abadi"/>
                <w:sz w:val="21"/>
                <w:szCs w:val="21"/>
              </w:rPr>
              <w:t>53</w:t>
            </w:r>
          </w:p>
        </w:tc>
      </w:tr>
      <w:tr w:rsidR="007A6850" w:rsidRPr="007A6850" w14:paraId="0C95FCAB" w14:textId="77777777" w:rsidTr="004E6068">
        <w:trPr>
          <w:jc w:val="center"/>
        </w:trPr>
        <w:tc>
          <w:tcPr>
            <w:tcW w:w="1271" w:type="dxa"/>
            <w:shd w:val="clear" w:color="auto" w:fill="auto"/>
          </w:tcPr>
          <w:p w14:paraId="0068320A" w14:textId="77777777" w:rsidR="007A6850" w:rsidRPr="007A6850" w:rsidRDefault="007A6850" w:rsidP="007A6850">
            <w:pPr>
              <w:jc w:val="center"/>
              <w:rPr>
                <w:rFonts w:ascii="Abadi" w:hAnsi="Abadi"/>
                <w:bCs/>
                <w:sz w:val="21"/>
                <w:szCs w:val="21"/>
                <w:lang w:val="es-MX" w:eastAsia="en-US"/>
              </w:rPr>
            </w:pPr>
          </w:p>
        </w:tc>
        <w:tc>
          <w:tcPr>
            <w:tcW w:w="3404" w:type="dxa"/>
            <w:shd w:val="clear" w:color="auto" w:fill="auto"/>
          </w:tcPr>
          <w:p w14:paraId="38544BA7" w14:textId="77777777" w:rsidR="007A6850" w:rsidRPr="007A6850" w:rsidRDefault="007A6850" w:rsidP="007A6850">
            <w:pPr>
              <w:jc w:val="both"/>
              <w:rPr>
                <w:rFonts w:ascii="Abadi" w:hAnsi="Abadi"/>
                <w:sz w:val="21"/>
                <w:szCs w:val="21"/>
              </w:rPr>
            </w:pPr>
            <w:r w:rsidRPr="007A6850">
              <w:rPr>
                <w:rFonts w:ascii="Abadi" w:hAnsi="Abadi"/>
                <w:sz w:val="21"/>
                <w:szCs w:val="21"/>
              </w:rPr>
              <w:t>Comisión Municipal del Deporte de Santa Cruz de Juventino Rosas, Gto.</w:t>
            </w:r>
          </w:p>
        </w:tc>
        <w:tc>
          <w:tcPr>
            <w:tcW w:w="1431" w:type="dxa"/>
            <w:shd w:val="clear" w:color="auto" w:fill="auto"/>
          </w:tcPr>
          <w:p w14:paraId="14E70AFB" w14:textId="77777777" w:rsidR="007A6850" w:rsidRPr="007A6850" w:rsidRDefault="007A6850" w:rsidP="007A6850">
            <w:pPr>
              <w:jc w:val="center"/>
              <w:rPr>
                <w:rFonts w:ascii="Abadi" w:hAnsi="Abadi"/>
                <w:sz w:val="21"/>
                <w:szCs w:val="21"/>
              </w:rPr>
            </w:pPr>
          </w:p>
          <w:p w14:paraId="7E9D01B7" w14:textId="77777777" w:rsidR="007A6850" w:rsidRPr="007A6850" w:rsidRDefault="007A6850" w:rsidP="007A6850">
            <w:pPr>
              <w:jc w:val="center"/>
              <w:rPr>
                <w:rFonts w:ascii="Abadi" w:hAnsi="Abadi"/>
                <w:sz w:val="21"/>
                <w:szCs w:val="21"/>
              </w:rPr>
            </w:pPr>
            <w:r w:rsidRPr="007A6850">
              <w:rPr>
                <w:rFonts w:ascii="Abadi" w:hAnsi="Abadi"/>
                <w:sz w:val="21"/>
                <w:szCs w:val="21"/>
              </w:rPr>
              <w:t>_</w:t>
            </w:r>
          </w:p>
        </w:tc>
        <w:tc>
          <w:tcPr>
            <w:tcW w:w="1431" w:type="dxa"/>
            <w:shd w:val="clear" w:color="auto" w:fill="auto"/>
            <w:vAlign w:val="center"/>
          </w:tcPr>
          <w:p w14:paraId="6857D512" w14:textId="77777777" w:rsidR="007A6850" w:rsidRPr="007A6850" w:rsidRDefault="007A6850" w:rsidP="007A6850">
            <w:pPr>
              <w:jc w:val="center"/>
              <w:rPr>
                <w:rFonts w:ascii="Abadi" w:hAnsi="Abadi"/>
                <w:sz w:val="21"/>
                <w:szCs w:val="21"/>
              </w:rPr>
            </w:pPr>
            <w:r w:rsidRPr="007A6850">
              <w:rPr>
                <w:rFonts w:ascii="Abadi" w:hAnsi="Abadi"/>
                <w:sz w:val="21"/>
                <w:szCs w:val="21"/>
              </w:rPr>
              <w:t>4</w:t>
            </w:r>
          </w:p>
        </w:tc>
      </w:tr>
      <w:tr w:rsidR="007A6850" w:rsidRPr="007A6850" w14:paraId="372DAE9C" w14:textId="77777777" w:rsidTr="004E6068">
        <w:trPr>
          <w:jc w:val="center"/>
        </w:trPr>
        <w:tc>
          <w:tcPr>
            <w:tcW w:w="1271" w:type="dxa"/>
            <w:shd w:val="clear" w:color="auto" w:fill="auto"/>
          </w:tcPr>
          <w:p w14:paraId="710AD986" w14:textId="77777777" w:rsidR="007A6850" w:rsidRPr="007A6850" w:rsidRDefault="007A6850" w:rsidP="007A6850">
            <w:pPr>
              <w:jc w:val="center"/>
              <w:rPr>
                <w:rFonts w:ascii="Abadi" w:hAnsi="Abadi"/>
                <w:bCs/>
                <w:sz w:val="21"/>
                <w:szCs w:val="21"/>
                <w:lang w:val="es-MX" w:eastAsia="en-US"/>
              </w:rPr>
            </w:pPr>
          </w:p>
        </w:tc>
        <w:tc>
          <w:tcPr>
            <w:tcW w:w="3404" w:type="dxa"/>
            <w:shd w:val="clear" w:color="auto" w:fill="auto"/>
            <w:vAlign w:val="center"/>
          </w:tcPr>
          <w:p w14:paraId="4847ECBB" w14:textId="77777777" w:rsidR="007A6850" w:rsidRPr="007A6850" w:rsidRDefault="007A6850" w:rsidP="007A6850">
            <w:pPr>
              <w:jc w:val="both"/>
              <w:rPr>
                <w:rFonts w:ascii="Abadi" w:hAnsi="Abadi"/>
                <w:bCs/>
                <w:sz w:val="21"/>
                <w:szCs w:val="21"/>
                <w:lang w:val="es-MX" w:eastAsia="en-US"/>
              </w:rPr>
            </w:pPr>
            <w:r w:rsidRPr="007A6850">
              <w:rPr>
                <w:rFonts w:ascii="Abadi" w:hAnsi="Abadi"/>
                <w:b/>
                <w:bCs/>
                <w:sz w:val="21"/>
                <w:szCs w:val="21"/>
              </w:rPr>
              <w:t>Auditoría al Ramo General 33 y Obra Pública</w:t>
            </w:r>
          </w:p>
        </w:tc>
        <w:tc>
          <w:tcPr>
            <w:tcW w:w="1431" w:type="dxa"/>
            <w:shd w:val="clear" w:color="auto" w:fill="auto"/>
            <w:vAlign w:val="center"/>
          </w:tcPr>
          <w:p w14:paraId="0A518FF0" w14:textId="77777777" w:rsidR="007A6850" w:rsidRPr="007A6850" w:rsidRDefault="007A6850" w:rsidP="007A6850">
            <w:pPr>
              <w:jc w:val="center"/>
              <w:rPr>
                <w:rFonts w:ascii="Abadi" w:hAnsi="Abadi"/>
                <w:bCs/>
                <w:sz w:val="21"/>
                <w:szCs w:val="21"/>
                <w:lang w:val="es-MX" w:eastAsia="en-US"/>
              </w:rPr>
            </w:pPr>
            <w:r w:rsidRPr="007A6850">
              <w:rPr>
                <w:rFonts w:ascii="Abadi" w:hAnsi="Abadi"/>
                <w:sz w:val="21"/>
                <w:szCs w:val="21"/>
              </w:rPr>
              <w:t>100</w:t>
            </w:r>
            <w:r w:rsidRPr="007A6850">
              <w:rPr>
                <w:rFonts w:ascii="Abadi" w:hAnsi="Abadi"/>
                <w:bCs/>
                <w:sz w:val="21"/>
                <w:szCs w:val="21"/>
                <w:vertAlign w:val="superscript"/>
              </w:rPr>
              <w:t>(1)</w:t>
            </w:r>
          </w:p>
        </w:tc>
        <w:tc>
          <w:tcPr>
            <w:tcW w:w="1431" w:type="dxa"/>
            <w:shd w:val="clear" w:color="auto" w:fill="auto"/>
            <w:vAlign w:val="center"/>
          </w:tcPr>
          <w:p w14:paraId="760BA108" w14:textId="77777777" w:rsidR="007A6850" w:rsidRPr="007A6850" w:rsidRDefault="007A6850" w:rsidP="007A6850">
            <w:pPr>
              <w:jc w:val="center"/>
              <w:rPr>
                <w:rFonts w:ascii="Abadi" w:hAnsi="Abadi"/>
                <w:bCs/>
                <w:sz w:val="21"/>
                <w:szCs w:val="21"/>
                <w:lang w:val="es-MX" w:eastAsia="en-US"/>
              </w:rPr>
            </w:pPr>
            <w:r w:rsidRPr="007A6850">
              <w:rPr>
                <w:rFonts w:ascii="Abadi" w:hAnsi="Abadi"/>
                <w:bCs/>
                <w:sz w:val="21"/>
                <w:szCs w:val="21"/>
              </w:rPr>
              <w:t>40</w:t>
            </w:r>
          </w:p>
        </w:tc>
      </w:tr>
      <w:tr w:rsidR="007A6850" w:rsidRPr="007A6850" w14:paraId="0A34FFF4" w14:textId="77777777" w:rsidTr="004E6068">
        <w:trPr>
          <w:jc w:val="center"/>
        </w:trPr>
        <w:tc>
          <w:tcPr>
            <w:tcW w:w="1271" w:type="dxa"/>
            <w:shd w:val="clear" w:color="auto" w:fill="auto"/>
          </w:tcPr>
          <w:p w14:paraId="6E907681" w14:textId="77777777" w:rsidR="007A6850" w:rsidRPr="007A6850" w:rsidRDefault="007A6850" w:rsidP="007A6850">
            <w:pPr>
              <w:jc w:val="center"/>
              <w:rPr>
                <w:rFonts w:ascii="Abadi" w:hAnsi="Abadi"/>
                <w:b/>
                <w:sz w:val="21"/>
                <w:szCs w:val="21"/>
                <w:lang w:val="es-MX" w:eastAsia="en-US"/>
              </w:rPr>
            </w:pPr>
            <w:r w:rsidRPr="007A6850">
              <w:rPr>
                <w:rFonts w:ascii="Abadi" w:hAnsi="Abadi"/>
                <w:b/>
                <w:bCs/>
                <w:sz w:val="21"/>
                <w:szCs w:val="21"/>
              </w:rPr>
              <w:t>2020</w:t>
            </w:r>
          </w:p>
        </w:tc>
        <w:tc>
          <w:tcPr>
            <w:tcW w:w="3404" w:type="dxa"/>
            <w:shd w:val="clear" w:color="auto" w:fill="auto"/>
          </w:tcPr>
          <w:p w14:paraId="371F18EB" w14:textId="77777777" w:rsidR="007A6850" w:rsidRPr="007A6850" w:rsidRDefault="007A6850" w:rsidP="007A6850">
            <w:pPr>
              <w:rPr>
                <w:rFonts w:ascii="Abadi" w:hAnsi="Abadi"/>
                <w:b/>
                <w:sz w:val="21"/>
                <w:szCs w:val="21"/>
                <w:lang w:val="es-MX" w:eastAsia="en-US"/>
              </w:rPr>
            </w:pPr>
            <w:r w:rsidRPr="007A6850">
              <w:rPr>
                <w:rFonts w:ascii="Abadi" w:hAnsi="Abadi"/>
                <w:b/>
                <w:bCs/>
                <w:sz w:val="21"/>
                <w:szCs w:val="21"/>
              </w:rPr>
              <w:t>Revisión de Cuenta Pública</w:t>
            </w:r>
          </w:p>
        </w:tc>
        <w:tc>
          <w:tcPr>
            <w:tcW w:w="1431" w:type="dxa"/>
            <w:shd w:val="clear" w:color="auto" w:fill="auto"/>
            <w:vAlign w:val="center"/>
          </w:tcPr>
          <w:p w14:paraId="3F0BB222" w14:textId="77777777" w:rsidR="007A6850" w:rsidRPr="007A6850" w:rsidRDefault="007A6850" w:rsidP="007A6850">
            <w:pPr>
              <w:jc w:val="center"/>
              <w:rPr>
                <w:rFonts w:ascii="Abadi" w:hAnsi="Abadi"/>
                <w:bCs/>
                <w:sz w:val="21"/>
                <w:szCs w:val="21"/>
                <w:lang w:val="es-MX" w:eastAsia="en-US"/>
              </w:rPr>
            </w:pPr>
          </w:p>
        </w:tc>
        <w:tc>
          <w:tcPr>
            <w:tcW w:w="1431" w:type="dxa"/>
            <w:shd w:val="clear" w:color="auto" w:fill="auto"/>
            <w:vAlign w:val="center"/>
          </w:tcPr>
          <w:p w14:paraId="3EBD961F" w14:textId="77777777" w:rsidR="007A6850" w:rsidRPr="007A6850" w:rsidRDefault="007A6850" w:rsidP="007A6850">
            <w:pPr>
              <w:jc w:val="center"/>
              <w:rPr>
                <w:rFonts w:ascii="Abadi" w:hAnsi="Abadi"/>
                <w:b/>
                <w:sz w:val="21"/>
                <w:szCs w:val="21"/>
                <w:lang w:val="es-MX" w:eastAsia="en-US"/>
              </w:rPr>
            </w:pPr>
          </w:p>
        </w:tc>
      </w:tr>
      <w:tr w:rsidR="007A6850" w:rsidRPr="007A6850" w14:paraId="1B234C86" w14:textId="77777777" w:rsidTr="004E6068">
        <w:trPr>
          <w:jc w:val="center"/>
        </w:trPr>
        <w:tc>
          <w:tcPr>
            <w:tcW w:w="1271" w:type="dxa"/>
            <w:shd w:val="clear" w:color="auto" w:fill="auto"/>
          </w:tcPr>
          <w:p w14:paraId="2E4BDB34" w14:textId="77777777" w:rsidR="007A6850" w:rsidRPr="007A6850" w:rsidRDefault="007A6850" w:rsidP="007A6850">
            <w:pPr>
              <w:jc w:val="center"/>
              <w:rPr>
                <w:rFonts w:ascii="Abadi" w:hAnsi="Abadi"/>
                <w:bCs/>
                <w:sz w:val="21"/>
                <w:szCs w:val="21"/>
                <w:lang w:val="es-MX" w:eastAsia="en-US"/>
              </w:rPr>
            </w:pPr>
          </w:p>
        </w:tc>
        <w:tc>
          <w:tcPr>
            <w:tcW w:w="3404" w:type="dxa"/>
            <w:shd w:val="clear" w:color="auto" w:fill="auto"/>
          </w:tcPr>
          <w:p w14:paraId="2F253022" w14:textId="77777777" w:rsidR="007A6850" w:rsidRPr="007A6850" w:rsidRDefault="007A6850" w:rsidP="007A6850">
            <w:pPr>
              <w:jc w:val="both"/>
              <w:rPr>
                <w:rFonts w:ascii="Abadi" w:hAnsi="Abadi"/>
                <w:sz w:val="21"/>
                <w:szCs w:val="21"/>
              </w:rPr>
            </w:pPr>
            <w:r w:rsidRPr="007A6850">
              <w:rPr>
                <w:rFonts w:ascii="Abadi" w:hAnsi="Abadi"/>
                <w:sz w:val="21"/>
                <w:szCs w:val="21"/>
              </w:rPr>
              <w:t>Sector Central</w:t>
            </w:r>
          </w:p>
        </w:tc>
        <w:tc>
          <w:tcPr>
            <w:tcW w:w="1431" w:type="dxa"/>
            <w:shd w:val="clear" w:color="auto" w:fill="auto"/>
          </w:tcPr>
          <w:p w14:paraId="40B464D0" w14:textId="77777777" w:rsidR="007A6850" w:rsidRPr="007A6850" w:rsidRDefault="007A6850" w:rsidP="007A6850">
            <w:pPr>
              <w:jc w:val="center"/>
              <w:rPr>
                <w:rFonts w:ascii="Abadi" w:hAnsi="Abadi"/>
                <w:sz w:val="21"/>
                <w:szCs w:val="21"/>
              </w:rPr>
            </w:pPr>
            <w:r w:rsidRPr="007A6850">
              <w:rPr>
                <w:rFonts w:ascii="Abadi" w:hAnsi="Abadi"/>
                <w:sz w:val="21"/>
                <w:szCs w:val="21"/>
              </w:rPr>
              <w:t>65</w:t>
            </w:r>
          </w:p>
        </w:tc>
        <w:tc>
          <w:tcPr>
            <w:tcW w:w="1431" w:type="dxa"/>
            <w:shd w:val="clear" w:color="auto" w:fill="auto"/>
            <w:vAlign w:val="center"/>
          </w:tcPr>
          <w:p w14:paraId="638C5EF2" w14:textId="77777777" w:rsidR="007A6850" w:rsidRPr="007A6850" w:rsidRDefault="007A6850" w:rsidP="007A6850">
            <w:pPr>
              <w:jc w:val="center"/>
              <w:rPr>
                <w:rFonts w:ascii="Abadi" w:hAnsi="Abadi"/>
                <w:sz w:val="21"/>
                <w:szCs w:val="21"/>
              </w:rPr>
            </w:pPr>
            <w:r w:rsidRPr="007A6850">
              <w:rPr>
                <w:rFonts w:ascii="Abadi" w:hAnsi="Abadi"/>
                <w:sz w:val="21"/>
                <w:szCs w:val="21"/>
              </w:rPr>
              <w:t>37</w:t>
            </w:r>
          </w:p>
        </w:tc>
      </w:tr>
      <w:tr w:rsidR="007A6850" w:rsidRPr="007A6850" w14:paraId="3912483E" w14:textId="77777777" w:rsidTr="004E6068">
        <w:trPr>
          <w:jc w:val="center"/>
        </w:trPr>
        <w:tc>
          <w:tcPr>
            <w:tcW w:w="1271" w:type="dxa"/>
            <w:shd w:val="clear" w:color="auto" w:fill="auto"/>
          </w:tcPr>
          <w:p w14:paraId="343B65A8" w14:textId="77777777" w:rsidR="007A6850" w:rsidRPr="007A6850" w:rsidRDefault="007A6850" w:rsidP="007A6850">
            <w:pPr>
              <w:jc w:val="center"/>
              <w:rPr>
                <w:rFonts w:ascii="Abadi" w:hAnsi="Abadi"/>
                <w:bCs/>
                <w:sz w:val="21"/>
                <w:szCs w:val="21"/>
                <w:lang w:val="es-MX" w:eastAsia="en-US"/>
              </w:rPr>
            </w:pPr>
          </w:p>
        </w:tc>
        <w:tc>
          <w:tcPr>
            <w:tcW w:w="3404" w:type="dxa"/>
            <w:shd w:val="clear" w:color="auto" w:fill="auto"/>
          </w:tcPr>
          <w:p w14:paraId="65B7A19D" w14:textId="77777777" w:rsidR="007A6850" w:rsidRPr="007A6850" w:rsidRDefault="007A6850" w:rsidP="007A6850">
            <w:pPr>
              <w:jc w:val="both"/>
              <w:rPr>
                <w:rFonts w:ascii="Abadi" w:hAnsi="Abadi"/>
                <w:sz w:val="21"/>
                <w:szCs w:val="21"/>
              </w:rPr>
            </w:pPr>
            <w:r w:rsidRPr="007A6850">
              <w:rPr>
                <w:rFonts w:ascii="Abadi" w:hAnsi="Abadi"/>
                <w:b/>
                <w:bCs/>
                <w:sz w:val="21"/>
                <w:szCs w:val="21"/>
              </w:rPr>
              <w:t>Auditoría a la Infraestructura Pública Municipal</w:t>
            </w:r>
          </w:p>
        </w:tc>
        <w:tc>
          <w:tcPr>
            <w:tcW w:w="1431" w:type="dxa"/>
            <w:shd w:val="clear" w:color="auto" w:fill="auto"/>
          </w:tcPr>
          <w:p w14:paraId="50BFFE18" w14:textId="77777777" w:rsidR="007A6850" w:rsidRPr="007A6850" w:rsidRDefault="007A6850" w:rsidP="007A6850">
            <w:pPr>
              <w:jc w:val="center"/>
              <w:rPr>
                <w:rFonts w:ascii="Abadi" w:hAnsi="Abadi"/>
                <w:sz w:val="21"/>
                <w:szCs w:val="21"/>
              </w:rPr>
            </w:pPr>
          </w:p>
          <w:p w14:paraId="7083B46F" w14:textId="77777777" w:rsidR="007A6850" w:rsidRPr="007A6850" w:rsidRDefault="007A6850" w:rsidP="007A6850">
            <w:pPr>
              <w:jc w:val="center"/>
              <w:rPr>
                <w:rFonts w:ascii="Abadi" w:hAnsi="Abadi"/>
                <w:sz w:val="21"/>
                <w:szCs w:val="21"/>
              </w:rPr>
            </w:pPr>
            <w:r w:rsidRPr="007A6850">
              <w:rPr>
                <w:rFonts w:ascii="Abadi" w:hAnsi="Abadi"/>
                <w:sz w:val="21"/>
                <w:szCs w:val="21"/>
              </w:rPr>
              <w:t>100</w:t>
            </w:r>
            <w:r w:rsidRPr="007A6850">
              <w:rPr>
                <w:rFonts w:ascii="Abadi" w:hAnsi="Abadi"/>
                <w:bCs/>
                <w:sz w:val="21"/>
                <w:szCs w:val="21"/>
                <w:vertAlign w:val="superscript"/>
              </w:rPr>
              <w:t>(1)</w:t>
            </w:r>
          </w:p>
        </w:tc>
        <w:tc>
          <w:tcPr>
            <w:tcW w:w="1431" w:type="dxa"/>
            <w:shd w:val="clear" w:color="auto" w:fill="auto"/>
            <w:vAlign w:val="center"/>
          </w:tcPr>
          <w:p w14:paraId="07ADFEBD" w14:textId="77777777" w:rsidR="007A6850" w:rsidRPr="007A6850" w:rsidRDefault="007A6850" w:rsidP="007A6850">
            <w:pPr>
              <w:jc w:val="center"/>
              <w:rPr>
                <w:rFonts w:ascii="Abadi" w:hAnsi="Abadi"/>
                <w:sz w:val="21"/>
                <w:szCs w:val="21"/>
              </w:rPr>
            </w:pPr>
            <w:r w:rsidRPr="007A6850">
              <w:rPr>
                <w:rFonts w:ascii="Abadi" w:hAnsi="Abadi"/>
                <w:sz w:val="21"/>
                <w:szCs w:val="21"/>
              </w:rPr>
              <w:t>44</w:t>
            </w:r>
          </w:p>
        </w:tc>
      </w:tr>
      <w:tr w:rsidR="007A6850" w:rsidRPr="007A6850" w14:paraId="113A8E5A" w14:textId="77777777" w:rsidTr="004E6068">
        <w:trPr>
          <w:jc w:val="center"/>
        </w:trPr>
        <w:tc>
          <w:tcPr>
            <w:tcW w:w="1271" w:type="dxa"/>
            <w:shd w:val="clear" w:color="auto" w:fill="auto"/>
          </w:tcPr>
          <w:p w14:paraId="0D6A331D" w14:textId="77777777" w:rsidR="007A6850" w:rsidRPr="007A6850" w:rsidRDefault="007A6850" w:rsidP="007A6850">
            <w:pPr>
              <w:jc w:val="center"/>
              <w:rPr>
                <w:rFonts w:ascii="Abadi" w:hAnsi="Abadi"/>
                <w:b/>
                <w:sz w:val="21"/>
                <w:szCs w:val="21"/>
                <w:lang w:val="es-MX" w:eastAsia="en-US"/>
              </w:rPr>
            </w:pPr>
            <w:r w:rsidRPr="007A6850">
              <w:rPr>
                <w:rFonts w:ascii="Abadi" w:hAnsi="Abadi"/>
                <w:b/>
                <w:sz w:val="21"/>
                <w:szCs w:val="21"/>
                <w:lang w:val="es-MX" w:eastAsia="en-US"/>
              </w:rPr>
              <w:t>2021</w:t>
            </w:r>
          </w:p>
        </w:tc>
        <w:tc>
          <w:tcPr>
            <w:tcW w:w="3404" w:type="dxa"/>
            <w:shd w:val="clear" w:color="auto" w:fill="auto"/>
          </w:tcPr>
          <w:p w14:paraId="3E37A90A" w14:textId="77777777" w:rsidR="007A6850" w:rsidRPr="007A6850" w:rsidRDefault="007A6850" w:rsidP="007A6850">
            <w:pPr>
              <w:jc w:val="both"/>
              <w:rPr>
                <w:rFonts w:ascii="Abadi" w:hAnsi="Abadi"/>
                <w:sz w:val="21"/>
                <w:szCs w:val="21"/>
              </w:rPr>
            </w:pPr>
            <w:r w:rsidRPr="007A6850">
              <w:rPr>
                <w:rFonts w:ascii="Abadi" w:hAnsi="Abadi"/>
                <w:b/>
                <w:bCs/>
                <w:sz w:val="21"/>
                <w:szCs w:val="21"/>
              </w:rPr>
              <w:t>Revisión de Cuenta Pública</w:t>
            </w:r>
          </w:p>
        </w:tc>
        <w:tc>
          <w:tcPr>
            <w:tcW w:w="1431" w:type="dxa"/>
            <w:shd w:val="clear" w:color="auto" w:fill="auto"/>
          </w:tcPr>
          <w:p w14:paraId="785CC5BD" w14:textId="77777777" w:rsidR="007A6850" w:rsidRPr="007A6850" w:rsidRDefault="007A6850" w:rsidP="007A6850">
            <w:pPr>
              <w:jc w:val="center"/>
              <w:rPr>
                <w:rFonts w:ascii="Abadi" w:hAnsi="Abadi"/>
                <w:sz w:val="21"/>
                <w:szCs w:val="21"/>
              </w:rPr>
            </w:pPr>
          </w:p>
        </w:tc>
        <w:tc>
          <w:tcPr>
            <w:tcW w:w="1431" w:type="dxa"/>
            <w:shd w:val="clear" w:color="auto" w:fill="auto"/>
            <w:vAlign w:val="center"/>
          </w:tcPr>
          <w:p w14:paraId="1A1ACD16" w14:textId="77777777" w:rsidR="007A6850" w:rsidRPr="007A6850" w:rsidRDefault="007A6850" w:rsidP="007A6850">
            <w:pPr>
              <w:jc w:val="center"/>
              <w:rPr>
                <w:rFonts w:ascii="Abadi" w:hAnsi="Abadi"/>
                <w:sz w:val="21"/>
                <w:szCs w:val="21"/>
              </w:rPr>
            </w:pPr>
          </w:p>
        </w:tc>
      </w:tr>
      <w:tr w:rsidR="007A6850" w:rsidRPr="007A6850" w14:paraId="766D7910" w14:textId="77777777" w:rsidTr="004E6068">
        <w:trPr>
          <w:jc w:val="center"/>
        </w:trPr>
        <w:tc>
          <w:tcPr>
            <w:tcW w:w="1271" w:type="dxa"/>
            <w:shd w:val="clear" w:color="auto" w:fill="auto"/>
          </w:tcPr>
          <w:p w14:paraId="0E73BF81" w14:textId="77777777" w:rsidR="007A6850" w:rsidRPr="007A6850" w:rsidRDefault="007A6850" w:rsidP="007A6850">
            <w:pPr>
              <w:jc w:val="center"/>
              <w:rPr>
                <w:rFonts w:ascii="Abadi" w:hAnsi="Abadi"/>
                <w:bCs/>
                <w:sz w:val="21"/>
                <w:szCs w:val="21"/>
                <w:lang w:val="es-MX" w:eastAsia="en-US"/>
              </w:rPr>
            </w:pPr>
          </w:p>
        </w:tc>
        <w:tc>
          <w:tcPr>
            <w:tcW w:w="3404" w:type="dxa"/>
            <w:shd w:val="clear" w:color="auto" w:fill="auto"/>
          </w:tcPr>
          <w:p w14:paraId="0986832B" w14:textId="77777777" w:rsidR="007A6850" w:rsidRPr="007A6850" w:rsidRDefault="007A6850" w:rsidP="007A6850">
            <w:pPr>
              <w:jc w:val="both"/>
              <w:rPr>
                <w:rFonts w:ascii="Abadi" w:hAnsi="Abadi"/>
                <w:sz w:val="21"/>
                <w:szCs w:val="21"/>
              </w:rPr>
            </w:pPr>
            <w:r w:rsidRPr="007A6850">
              <w:rPr>
                <w:rFonts w:ascii="Abadi" w:hAnsi="Abadi"/>
                <w:sz w:val="21"/>
                <w:szCs w:val="21"/>
              </w:rPr>
              <w:t>En etapa de análisis de información financiera del periodo de enero a junio y julio a diciembre 2021</w:t>
            </w:r>
          </w:p>
        </w:tc>
        <w:tc>
          <w:tcPr>
            <w:tcW w:w="1431" w:type="dxa"/>
            <w:shd w:val="clear" w:color="auto" w:fill="auto"/>
          </w:tcPr>
          <w:p w14:paraId="0862D128" w14:textId="77777777" w:rsidR="007A6850" w:rsidRPr="007A6850" w:rsidRDefault="007A6850" w:rsidP="007A6850">
            <w:pPr>
              <w:jc w:val="center"/>
              <w:rPr>
                <w:rFonts w:ascii="Abadi" w:hAnsi="Abadi"/>
                <w:sz w:val="21"/>
                <w:szCs w:val="21"/>
              </w:rPr>
            </w:pPr>
          </w:p>
          <w:p w14:paraId="51FE986A" w14:textId="77777777" w:rsidR="007A6850" w:rsidRPr="007A6850" w:rsidRDefault="007A6850" w:rsidP="007A6850">
            <w:pPr>
              <w:jc w:val="center"/>
              <w:rPr>
                <w:rFonts w:ascii="Abadi" w:hAnsi="Abadi"/>
                <w:sz w:val="21"/>
                <w:szCs w:val="21"/>
              </w:rPr>
            </w:pPr>
            <w:r w:rsidRPr="007A6850">
              <w:rPr>
                <w:rFonts w:ascii="Abadi" w:hAnsi="Abadi"/>
                <w:sz w:val="21"/>
                <w:szCs w:val="21"/>
              </w:rPr>
              <w:t>Proceso</w:t>
            </w:r>
          </w:p>
        </w:tc>
        <w:tc>
          <w:tcPr>
            <w:tcW w:w="1431" w:type="dxa"/>
            <w:shd w:val="clear" w:color="auto" w:fill="auto"/>
            <w:vAlign w:val="center"/>
          </w:tcPr>
          <w:p w14:paraId="2F29ECC8" w14:textId="77777777" w:rsidR="007A6850" w:rsidRPr="007A6850" w:rsidRDefault="007A6850" w:rsidP="007A6850">
            <w:pPr>
              <w:jc w:val="center"/>
              <w:rPr>
                <w:rFonts w:ascii="Abadi" w:hAnsi="Abadi"/>
                <w:sz w:val="21"/>
                <w:szCs w:val="21"/>
              </w:rPr>
            </w:pPr>
            <w:r w:rsidRPr="007A6850">
              <w:rPr>
                <w:rFonts w:ascii="Abadi" w:hAnsi="Abadi"/>
                <w:sz w:val="21"/>
                <w:szCs w:val="21"/>
              </w:rPr>
              <w:t>Proceso</w:t>
            </w:r>
          </w:p>
        </w:tc>
      </w:tr>
    </w:tbl>
    <w:p w14:paraId="60CA54CB" w14:textId="77777777" w:rsidR="007A6850" w:rsidRPr="007A6850" w:rsidRDefault="007A6850" w:rsidP="007A6850">
      <w:pPr>
        <w:rPr>
          <w:rFonts w:ascii="Abadi" w:hAnsi="Abadi"/>
          <w:b/>
          <w:sz w:val="21"/>
          <w:szCs w:val="21"/>
          <w:lang w:val="es-MX" w:eastAsia="en-US"/>
        </w:rPr>
      </w:pPr>
    </w:p>
    <w:p w14:paraId="4D23E4DC" w14:textId="77777777" w:rsidR="007A6850" w:rsidRPr="007A6850" w:rsidRDefault="007A6850" w:rsidP="007A6850">
      <w:pPr>
        <w:rPr>
          <w:rFonts w:ascii="Abadi" w:hAnsi="Abadi"/>
          <w:b/>
          <w:bCs/>
          <w:sz w:val="21"/>
          <w:szCs w:val="21"/>
          <w:lang w:val="es-MX" w:eastAsia="en-US"/>
        </w:rPr>
      </w:pPr>
      <w:r w:rsidRPr="007A6850">
        <w:rPr>
          <w:rFonts w:ascii="Abadi" w:hAnsi="Abadi"/>
          <w:b/>
          <w:bCs/>
          <w:sz w:val="21"/>
          <w:szCs w:val="21"/>
          <w:lang w:val="es-MX" w:eastAsia="en-US"/>
        </w:rPr>
        <w:t>Notas:</w:t>
      </w:r>
    </w:p>
    <w:p w14:paraId="750FA216" w14:textId="77777777" w:rsidR="007A6850" w:rsidRPr="007A6850" w:rsidRDefault="007A6850" w:rsidP="001A28E5">
      <w:pPr>
        <w:numPr>
          <w:ilvl w:val="0"/>
          <w:numId w:val="73"/>
        </w:numPr>
        <w:contextualSpacing/>
        <w:rPr>
          <w:rFonts w:ascii="Abadi" w:hAnsi="Abadi"/>
          <w:sz w:val="21"/>
          <w:szCs w:val="21"/>
          <w:lang w:val="es-MX" w:eastAsia="en-US"/>
        </w:rPr>
      </w:pPr>
      <w:r w:rsidRPr="007A6850">
        <w:rPr>
          <w:rFonts w:ascii="Abadi" w:hAnsi="Abadi"/>
          <w:sz w:val="21"/>
          <w:szCs w:val="21"/>
          <w:lang w:val="es-MX" w:eastAsia="en-US"/>
        </w:rPr>
        <w:t>FISMDF.</w:t>
      </w:r>
    </w:p>
    <w:p w14:paraId="73CA21D9" w14:textId="77777777" w:rsidR="007A6850" w:rsidRPr="007A6850" w:rsidRDefault="007A6850" w:rsidP="007A6850">
      <w:pPr>
        <w:rPr>
          <w:rFonts w:ascii="Abadi" w:hAnsi="Abadi"/>
          <w:sz w:val="21"/>
          <w:szCs w:val="21"/>
          <w:lang w:val="es-MX" w:eastAsia="en-US"/>
        </w:rPr>
      </w:pPr>
    </w:p>
    <w:p w14:paraId="2C81656A" w14:textId="77777777" w:rsidR="007A6850" w:rsidRPr="007A6850" w:rsidRDefault="007A6850" w:rsidP="007A6850">
      <w:pPr>
        <w:rPr>
          <w:rFonts w:ascii="Abadi" w:hAnsi="Abadi"/>
          <w:b/>
          <w:sz w:val="21"/>
          <w:szCs w:val="21"/>
          <w:lang w:val="es-MX" w:eastAsia="en-US"/>
        </w:rPr>
      </w:pPr>
    </w:p>
    <w:p w14:paraId="7B1C566A" w14:textId="77777777" w:rsidR="007A6850" w:rsidRPr="007A6850" w:rsidRDefault="007A6850" w:rsidP="007A6850">
      <w:pPr>
        <w:spacing w:line="360" w:lineRule="auto"/>
        <w:ind w:firstLine="720"/>
        <w:jc w:val="both"/>
        <w:rPr>
          <w:rFonts w:ascii="Abadi" w:hAnsi="Abadi" w:cs="Tahoma"/>
          <w:sz w:val="21"/>
          <w:szCs w:val="21"/>
        </w:rPr>
      </w:pPr>
      <w:r w:rsidRPr="007A6850">
        <w:rPr>
          <w:rFonts w:ascii="Abadi" w:hAnsi="Abadi" w:cs="Tahoma"/>
          <w:sz w:val="21"/>
          <w:szCs w:val="21"/>
        </w:rPr>
        <w:t>De acuerdo a la información proporcionada por la Auditoría Superior del Estado para la realización de los procesos de fiscalización se determinan con base en los riesgos identificados durante la etapa de planeación. Los análisis realizados en la planeación están vinculados con la generalidad del sujeto de fiscalización, con los sistemas transaccionales, de control interno, de materialidad presupuestal, de visibilidad y relevancia, así como de posibles riesgos asociados, entre los que destacan: Actas de órgano de gobierno y adquisiciones, notas periodísticas, publicaciones en el Periódico Oficial de Gobierno del Estado, análisis de demandas, informes de auditoría emitidos por órganos internos de control, auditorías externas y realizadas por la propia Auditoría Superior del Estado, sistemas transaccionales (tesorería, ingresos, bienes muebles e inmuebles, servicios personales, ayudas y subsidios, deuda, entre otros); variaciones presupuestales, saldos de cuenta de balance y resultados, bancos, proveedores y contratistas, enajenación y adquisición de bienes muebles e inmuebles y procesamiento de CFDI (XML).</w:t>
      </w:r>
    </w:p>
    <w:p w14:paraId="092C2895" w14:textId="77777777" w:rsidR="007A6850" w:rsidRPr="007A6850" w:rsidRDefault="007A6850" w:rsidP="007A6850">
      <w:pPr>
        <w:spacing w:line="360" w:lineRule="auto"/>
        <w:ind w:firstLine="720"/>
        <w:jc w:val="both"/>
        <w:rPr>
          <w:rFonts w:ascii="Abadi" w:hAnsi="Abadi" w:cs="Tahoma"/>
          <w:sz w:val="21"/>
          <w:szCs w:val="21"/>
        </w:rPr>
      </w:pPr>
    </w:p>
    <w:p w14:paraId="4E4C084B" w14:textId="781592A4" w:rsidR="007A6850" w:rsidRPr="007A6850" w:rsidRDefault="007A6850" w:rsidP="00B9412E">
      <w:pPr>
        <w:spacing w:line="360" w:lineRule="auto"/>
        <w:ind w:firstLine="720"/>
        <w:jc w:val="both"/>
        <w:rPr>
          <w:rFonts w:ascii="Abadi" w:hAnsi="Abadi" w:cs="Tahoma"/>
          <w:sz w:val="21"/>
          <w:szCs w:val="21"/>
        </w:rPr>
      </w:pPr>
      <w:r w:rsidRPr="007A6850">
        <w:rPr>
          <w:rFonts w:ascii="Abadi" w:hAnsi="Abadi" w:cs="Tahoma"/>
          <w:sz w:val="21"/>
          <w:szCs w:val="21"/>
        </w:rPr>
        <w:t xml:space="preserve">El alcance y procedimientos referidos forman parte de los análisis que realiza la Auditoría Superior del Estado para efecto de determinar la materialidad y la extensión de los procedimientos de auditoría a aplicar en la etapa de ejecución, situación por la cual, los alcances establecidos en los respectivos informes de resultados se complementan con los procedimientos de planeación específica, mismos que forman parte integral del análisis que realiza dicho ente auditor.  </w:t>
      </w:r>
    </w:p>
    <w:p w14:paraId="745F8AA4" w14:textId="77777777" w:rsidR="007A6850" w:rsidRPr="007A6850" w:rsidRDefault="007A6850" w:rsidP="00B9412E">
      <w:pPr>
        <w:spacing w:line="360" w:lineRule="auto"/>
        <w:jc w:val="both"/>
        <w:rPr>
          <w:rFonts w:ascii="Abadi" w:hAnsi="Abadi" w:cs="Tahoma"/>
          <w:sz w:val="21"/>
          <w:szCs w:val="21"/>
        </w:rPr>
      </w:pPr>
    </w:p>
    <w:p w14:paraId="1056A201" w14:textId="77777777" w:rsidR="007A6850" w:rsidRPr="007A6850" w:rsidRDefault="007A6850" w:rsidP="007A6850">
      <w:pPr>
        <w:spacing w:line="360" w:lineRule="auto"/>
        <w:ind w:firstLine="720"/>
        <w:jc w:val="both"/>
        <w:rPr>
          <w:rFonts w:ascii="Abadi" w:hAnsi="Abadi" w:cs="Tahoma"/>
          <w:sz w:val="21"/>
          <w:szCs w:val="21"/>
        </w:rPr>
      </w:pPr>
      <w:r w:rsidRPr="007A6850">
        <w:rPr>
          <w:rFonts w:ascii="Abadi" w:hAnsi="Abadi" w:cs="Tahoma"/>
          <w:sz w:val="21"/>
          <w:szCs w:val="21"/>
        </w:rPr>
        <w:t>En cuanto a las auditorías practicadas al Ramo General 33 y obra pública y a la infraestructura pública municipal de los ejercicios fiscales 2018, 2019 y 2020 se revisaron 52 obras y 3 acciones del ejercicio fiscal 2018; 14 obras del ejercicio fiscal 2019; y 11 obras del ejercicio fiscal 2020; verificándose que las inversiones en obra pública se hayan realizado de conformidad con las leyes, normas, reglamentos y demás disposiciones legales que la regulan; que los presupuestos considerados para la ejecución de las obras se hayan aplicado correctamente, y que las modificaciones ocurridas se justifiquen mediante los convenios correspondientes; que la adjudicación y contratación de la obra pública se hayan realizado con estricto apego a lo dispuesto en la legislación vigente y que no existiera conflicto de interés entre los contratistas y los funcionarios públicos que decidieron las adjudicaciones; que los sistemas de control interno, operativo y contable que regulan la función, aseguren la protección de los recursos y su efectiva utilización, la calidad de los trabajos, la razonabilidad de los costos y la confiabilidad de la información en la ejecución de la obra pública; y que los contratistas hayan cumplido con las cláusulas contractuales, las especificaciones de obra, los procedimientos de construcción y la calendarización de los trabajos.</w:t>
      </w:r>
    </w:p>
    <w:p w14:paraId="6691AD8B" w14:textId="77777777" w:rsidR="007A6850" w:rsidRPr="007A6850" w:rsidRDefault="007A6850" w:rsidP="007A6850">
      <w:pPr>
        <w:jc w:val="both"/>
        <w:rPr>
          <w:rFonts w:ascii="Abadi" w:hAnsi="Abadi"/>
          <w:sz w:val="21"/>
          <w:szCs w:val="21"/>
        </w:rPr>
      </w:pPr>
    </w:p>
    <w:p w14:paraId="7DBB9BA3" w14:textId="77777777" w:rsidR="007A6850" w:rsidRPr="007A6850" w:rsidRDefault="007A6850" w:rsidP="007A6850">
      <w:pPr>
        <w:spacing w:line="360" w:lineRule="auto"/>
        <w:ind w:firstLine="720"/>
        <w:jc w:val="both"/>
        <w:rPr>
          <w:rFonts w:ascii="Abadi" w:hAnsi="Abadi" w:cs="Tahoma"/>
          <w:sz w:val="21"/>
          <w:szCs w:val="21"/>
        </w:rPr>
      </w:pPr>
      <w:r w:rsidRPr="007A6850">
        <w:rPr>
          <w:rFonts w:ascii="Abadi" w:hAnsi="Abadi" w:cs="Tahoma"/>
          <w:sz w:val="21"/>
          <w:szCs w:val="21"/>
        </w:rPr>
        <w:t>Destacando que en las referidas auditorías se contempló la revisión de una muestra de las obras y acciones ejercidas por la administración municipal en los periodos auditados, las cuales se determinaron con base en una planeación basada en riesgos, entre cuyos análisis se contemplan los temas de interés de la sociedad reflejados en notas periodísticas y el interés parlamentario, entre otros. Asimismo, a las obras de la muestra de auditoría se aplicaron los procedimientos señalados previamente y en las consideraciones del ayuntamiento de Santa Cruz de Juventino Rosas, Gto., no se identifican riesgos específicos relacionados a obra pública.</w:t>
      </w:r>
    </w:p>
    <w:p w14:paraId="214EBCDE" w14:textId="77777777" w:rsidR="007A6850" w:rsidRPr="007A6850" w:rsidRDefault="007A6850" w:rsidP="007A6850">
      <w:pPr>
        <w:spacing w:line="360" w:lineRule="auto"/>
        <w:ind w:firstLine="720"/>
        <w:jc w:val="both"/>
        <w:rPr>
          <w:rFonts w:ascii="Abadi" w:hAnsi="Abadi" w:cs="Tahoma"/>
          <w:sz w:val="21"/>
          <w:szCs w:val="21"/>
        </w:rPr>
      </w:pPr>
    </w:p>
    <w:p w14:paraId="5E3FD719" w14:textId="564AD9EC" w:rsidR="007A6850" w:rsidRPr="007A6850" w:rsidRDefault="007A6850" w:rsidP="00B9412E">
      <w:pPr>
        <w:spacing w:line="360" w:lineRule="auto"/>
        <w:ind w:firstLine="720"/>
        <w:jc w:val="both"/>
        <w:rPr>
          <w:rFonts w:ascii="Abadi" w:hAnsi="Abadi" w:cs="Tahoma"/>
          <w:sz w:val="21"/>
          <w:szCs w:val="21"/>
        </w:rPr>
      </w:pPr>
      <w:r w:rsidRPr="007A6850">
        <w:rPr>
          <w:rFonts w:ascii="Abadi" w:hAnsi="Abadi" w:cs="Tahoma"/>
          <w:sz w:val="21"/>
          <w:szCs w:val="21"/>
        </w:rPr>
        <w:t>Por lo que hace a la revisión de la cuenta pública correspondiente al ejercicio fiscal del año 2018 se revisaron los siguientes rubros:</w:t>
      </w:r>
    </w:p>
    <w:p w14:paraId="522BCCCC" w14:textId="77777777" w:rsidR="007A6850" w:rsidRPr="007A6850" w:rsidRDefault="007A6850" w:rsidP="007A6850">
      <w:pPr>
        <w:spacing w:line="360" w:lineRule="auto"/>
        <w:ind w:firstLine="720"/>
        <w:jc w:val="both"/>
        <w:rPr>
          <w:rFonts w:ascii="Abadi" w:hAnsi="Abadi" w:cs="Tahoma"/>
          <w:sz w:val="21"/>
          <w:szCs w:val="21"/>
        </w:rPr>
      </w:pPr>
    </w:p>
    <w:p w14:paraId="755C8B78" w14:textId="77777777" w:rsidR="007A6850" w:rsidRPr="007A6850" w:rsidRDefault="007A6850" w:rsidP="007A6850">
      <w:pPr>
        <w:spacing w:line="360" w:lineRule="auto"/>
        <w:ind w:left="360" w:firstLine="708"/>
        <w:rPr>
          <w:rFonts w:ascii="Abadi" w:hAnsi="Abadi"/>
          <w:b/>
          <w:bCs/>
          <w:sz w:val="21"/>
          <w:szCs w:val="21"/>
        </w:rPr>
      </w:pPr>
      <w:r w:rsidRPr="007A6850">
        <w:rPr>
          <w:rFonts w:ascii="Abadi" w:hAnsi="Abadi"/>
          <w:b/>
          <w:bCs/>
          <w:sz w:val="21"/>
          <w:szCs w:val="21"/>
        </w:rPr>
        <w:t>Sector Central:</w:t>
      </w:r>
    </w:p>
    <w:p w14:paraId="7A5F60DE" w14:textId="77777777" w:rsidR="007A6850" w:rsidRPr="007A6850" w:rsidRDefault="007A6850" w:rsidP="001A28E5">
      <w:pPr>
        <w:numPr>
          <w:ilvl w:val="0"/>
          <w:numId w:val="43"/>
        </w:numPr>
        <w:spacing w:after="160" w:line="360" w:lineRule="auto"/>
        <w:ind w:left="1068"/>
        <w:contextualSpacing/>
        <w:jc w:val="both"/>
        <w:rPr>
          <w:rFonts w:ascii="Abadi" w:eastAsia="Calibri" w:hAnsi="Abadi"/>
          <w:sz w:val="21"/>
          <w:szCs w:val="21"/>
          <w:lang w:eastAsia="en-US"/>
        </w:rPr>
      </w:pPr>
      <w:r w:rsidRPr="007A6850">
        <w:rPr>
          <w:rFonts w:ascii="Abadi" w:eastAsia="Calibri" w:hAnsi="Abadi"/>
          <w:sz w:val="21"/>
          <w:szCs w:val="21"/>
          <w:u w:val="single"/>
          <w:lang w:eastAsia="en-US"/>
        </w:rPr>
        <w:t>Activo</w:t>
      </w:r>
      <w:r w:rsidRPr="007A6850">
        <w:rPr>
          <w:rFonts w:ascii="Abadi" w:eastAsia="Calibri" w:hAnsi="Abadi"/>
          <w:sz w:val="21"/>
          <w:szCs w:val="21"/>
          <w:lang w:eastAsia="en-US"/>
        </w:rPr>
        <w:t>: Automóviles y camiones, maquinaria y equipo de construcción.</w:t>
      </w:r>
    </w:p>
    <w:p w14:paraId="3814229B" w14:textId="77777777" w:rsidR="007A6850" w:rsidRPr="007A6850" w:rsidRDefault="007A6850" w:rsidP="001A28E5">
      <w:pPr>
        <w:numPr>
          <w:ilvl w:val="0"/>
          <w:numId w:val="43"/>
        </w:numPr>
        <w:spacing w:after="160" w:line="360" w:lineRule="auto"/>
        <w:ind w:left="1068"/>
        <w:contextualSpacing/>
        <w:jc w:val="both"/>
        <w:rPr>
          <w:rFonts w:ascii="Abadi" w:eastAsia="Calibri" w:hAnsi="Abadi"/>
          <w:sz w:val="21"/>
          <w:szCs w:val="21"/>
          <w:lang w:eastAsia="en-US"/>
        </w:rPr>
      </w:pPr>
      <w:r w:rsidRPr="007A6850">
        <w:rPr>
          <w:rFonts w:ascii="Abadi" w:eastAsia="Calibri" w:hAnsi="Abadi"/>
          <w:sz w:val="21"/>
          <w:szCs w:val="21"/>
          <w:u w:val="single"/>
          <w:lang w:eastAsia="en-US"/>
        </w:rPr>
        <w:t>Ingresos</w:t>
      </w:r>
      <w:r w:rsidRPr="007A6850">
        <w:rPr>
          <w:rFonts w:ascii="Abadi" w:eastAsia="Calibri" w:hAnsi="Abadi"/>
          <w:sz w:val="21"/>
          <w:szCs w:val="21"/>
          <w:lang w:eastAsia="en-US"/>
        </w:rPr>
        <w:t>: Impuesto predial urbano, participaciones y aportaciones.</w:t>
      </w:r>
    </w:p>
    <w:p w14:paraId="778054D2" w14:textId="77777777" w:rsidR="007A6850" w:rsidRPr="007A6850" w:rsidRDefault="007A6850" w:rsidP="001A28E5">
      <w:pPr>
        <w:numPr>
          <w:ilvl w:val="0"/>
          <w:numId w:val="43"/>
        </w:numPr>
        <w:spacing w:after="160" w:line="360" w:lineRule="auto"/>
        <w:ind w:left="1068"/>
        <w:contextualSpacing/>
        <w:jc w:val="both"/>
        <w:rPr>
          <w:rFonts w:ascii="Abadi" w:eastAsia="Calibri" w:hAnsi="Abadi"/>
          <w:sz w:val="21"/>
          <w:szCs w:val="21"/>
          <w:u w:val="single"/>
          <w:lang w:eastAsia="en-US"/>
        </w:rPr>
      </w:pPr>
      <w:r w:rsidRPr="007A6850">
        <w:rPr>
          <w:rFonts w:ascii="Abadi" w:eastAsia="Calibri" w:hAnsi="Abadi"/>
          <w:sz w:val="21"/>
          <w:szCs w:val="21"/>
          <w:u w:val="single"/>
          <w:lang w:eastAsia="en-US"/>
        </w:rPr>
        <w:t>Egresos</w:t>
      </w:r>
      <w:r w:rsidRPr="007A6850">
        <w:rPr>
          <w:rFonts w:ascii="Abadi" w:eastAsia="Calibri" w:hAnsi="Abadi"/>
          <w:sz w:val="21"/>
          <w:szCs w:val="21"/>
          <w:lang w:eastAsia="en-US"/>
        </w:rPr>
        <w:t>: Sueldos base, liquidación por indemnización y sueldos y salarios caídos, servicios legales, difusión actividades gubernamentales, impresión publicaciones oficiales, gastos de orden social, gasto actividades culturales, ayudas sociales a actividades científicas o académicas, donativos a instituciones sin fines de lucro</w:t>
      </w:r>
      <w:r w:rsidRPr="007A6850">
        <w:rPr>
          <w:rFonts w:ascii="Abadi" w:eastAsia="Calibri" w:hAnsi="Abadi"/>
          <w:sz w:val="21"/>
          <w:szCs w:val="21"/>
          <w:u w:val="single"/>
          <w:lang w:eastAsia="en-US"/>
        </w:rPr>
        <w:t>.</w:t>
      </w:r>
    </w:p>
    <w:p w14:paraId="1142E531" w14:textId="77777777" w:rsidR="007A6850" w:rsidRPr="007A6850" w:rsidRDefault="007A6850" w:rsidP="007A6850">
      <w:pPr>
        <w:widowControl w:val="0"/>
        <w:spacing w:after="200" w:line="360" w:lineRule="auto"/>
        <w:ind w:left="372" w:firstLine="696"/>
        <w:contextualSpacing/>
        <w:jc w:val="both"/>
        <w:rPr>
          <w:rFonts w:ascii="Abadi" w:eastAsia="Calibri" w:hAnsi="Abadi"/>
          <w:b/>
          <w:bCs/>
          <w:sz w:val="21"/>
          <w:szCs w:val="21"/>
          <w:lang w:eastAsia="en-US"/>
        </w:rPr>
      </w:pPr>
    </w:p>
    <w:p w14:paraId="4E5F47AA" w14:textId="77777777" w:rsidR="007A6850" w:rsidRPr="007A6850" w:rsidRDefault="007A6850" w:rsidP="007A6850">
      <w:pPr>
        <w:widowControl w:val="0"/>
        <w:spacing w:after="200" w:line="360" w:lineRule="auto"/>
        <w:ind w:left="372" w:firstLine="696"/>
        <w:contextualSpacing/>
        <w:jc w:val="both"/>
        <w:rPr>
          <w:rFonts w:ascii="Abadi" w:eastAsia="Calibri" w:hAnsi="Abadi"/>
          <w:sz w:val="21"/>
          <w:szCs w:val="21"/>
          <w:lang w:eastAsia="en-US"/>
        </w:rPr>
      </w:pPr>
      <w:r w:rsidRPr="007A6850">
        <w:rPr>
          <w:rFonts w:ascii="Abadi" w:eastAsia="Calibri" w:hAnsi="Abadi"/>
          <w:b/>
          <w:bCs/>
          <w:sz w:val="21"/>
          <w:szCs w:val="21"/>
          <w:lang w:eastAsia="en-US"/>
        </w:rPr>
        <w:t>CMAPAJ:</w:t>
      </w:r>
      <w:r w:rsidRPr="007A6850">
        <w:rPr>
          <w:rFonts w:ascii="Abadi" w:eastAsia="Calibri" w:hAnsi="Abadi"/>
          <w:sz w:val="21"/>
          <w:szCs w:val="21"/>
          <w:lang w:eastAsia="en-US"/>
        </w:rPr>
        <w:t xml:space="preserve"> </w:t>
      </w:r>
    </w:p>
    <w:p w14:paraId="384D2DCF" w14:textId="77777777" w:rsidR="007A6850" w:rsidRPr="007A6850" w:rsidRDefault="007A6850" w:rsidP="001A28E5">
      <w:pPr>
        <w:numPr>
          <w:ilvl w:val="0"/>
          <w:numId w:val="42"/>
        </w:numPr>
        <w:spacing w:after="160" w:line="360" w:lineRule="auto"/>
        <w:ind w:left="1080"/>
        <w:contextualSpacing/>
        <w:jc w:val="both"/>
        <w:rPr>
          <w:rFonts w:ascii="Abadi" w:eastAsia="Calibri" w:hAnsi="Abadi"/>
          <w:i/>
          <w:iCs/>
          <w:sz w:val="21"/>
          <w:szCs w:val="21"/>
          <w:lang w:eastAsia="en-US"/>
        </w:rPr>
      </w:pPr>
      <w:r w:rsidRPr="007A6850">
        <w:rPr>
          <w:rFonts w:ascii="Abadi" w:eastAsia="Calibri" w:hAnsi="Abadi"/>
          <w:sz w:val="21"/>
          <w:szCs w:val="21"/>
          <w:u w:val="single"/>
          <w:lang w:eastAsia="en-US"/>
        </w:rPr>
        <w:t>Egresos</w:t>
      </w:r>
      <w:r w:rsidRPr="007A6850">
        <w:rPr>
          <w:rFonts w:ascii="Abadi" w:eastAsia="Calibri" w:hAnsi="Abadi"/>
          <w:sz w:val="21"/>
          <w:szCs w:val="21"/>
          <w:lang w:eastAsia="en-US"/>
        </w:rPr>
        <w:t>: Sueldos base, prima vacacional y gratificación de fin de año.</w:t>
      </w:r>
    </w:p>
    <w:p w14:paraId="03E32B01" w14:textId="77777777" w:rsidR="007A6850" w:rsidRPr="007A6850" w:rsidRDefault="007A6850" w:rsidP="007A6850">
      <w:pPr>
        <w:widowControl w:val="0"/>
        <w:spacing w:after="200" w:line="360" w:lineRule="auto"/>
        <w:ind w:left="1080"/>
        <w:contextualSpacing/>
        <w:jc w:val="both"/>
        <w:rPr>
          <w:rFonts w:ascii="Abadi" w:eastAsia="Calibri" w:hAnsi="Abadi"/>
          <w:i/>
          <w:iCs/>
          <w:color w:val="FF0000"/>
          <w:sz w:val="21"/>
          <w:szCs w:val="21"/>
          <w:lang w:eastAsia="en-US"/>
        </w:rPr>
      </w:pPr>
    </w:p>
    <w:p w14:paraId="3CF57FCF" w14:textId="77777777" w:rsidR="007A6850" w:rsidRPr="007A6850" w:rsidRDefault="007A6850" w:rsidP="007A6850">
      <w:pPr>
        <w:spacing w:after="160" w:line="360" w:lineRule="auto"/>
        <w:ind w:firstLine="709"/>
        <w:contextualSpacing/>
        <w:jc w:val="both"/>
        <w:rPr>
          <w:rFonts w:ascii="Abadi" w:eastAsia="Calibri" w:hAnsi="Abadi"/>
          <w:sz w:val="21"/>
          <w:szCs w:val="21"/>
          <w:lang w:eastAsia="en-US"/>
        </w:rPr>
      </w:pPr>
      <w:r w:rsidRPr="007A6850">
        <w:rPr>
          <w:rFonts w:ascii="Abadi" w:eastAsia="Calibri" w:hAnsi="Abadi"/>
          <w:sz w:val="21"/>
          <w:szCs w:val="21"/>
          <w:lang w:eastAsia="en-US"/>
        </w:rPr>
        <w:t>De la cuenta pública correspondiente al ejercicio fiscal 2019 se revisaron los siguientes apartados:</w:t>
      </w:r>
    </w:p>
    <w:p w14:paraId="3134F5C0" w14:textId="77777777" w:rsidR="007A6850" w:rsidRPr="007A6850" w:rsidRDefault="007A6850" w:rsidP="007A6850">
      <w:pPr>
        <w:widowControl w:val="0"/>
        <w:spacing w:after="200" w:line="360" w:lineRule="auto"/>
        <w:ind w:left="360"/>
        <w:contextualSpacing/>
        <w:jc w:val="both"/>
        <w:rPr>
          <w:rFonts w:ascii="Abadi" w:eastAsia="Calibri" w:hAnsi="Abadi"/>
          <w:sz w:val="21"/>
          <w:szCs w:val="21"/>
          <w:lang w:eastAsia="en-US"/>
        </w:rPr>
      </w:pPr>
    </w:p>
    <w:p w14:paraId="57C4A083" w14:textId="77777777" w:rsidR="007A6850" w:rsidRPr="007A6850" w:rsidRDefault="007A6850" w:rsidP="007A6850">
      <w:pPr>
        <w:widowControl w:val="0"/>
        <w:spacing w:after="200" w:line="360" w:lineRule="auto"/>
        <w:ind w:left="360" w:firstLine="696"/>
        <w:contextualSpacing/>
        <w:jc w:val="both"/>
        <w:rPr>
          <w:rFonts w:ascii="Abadi" w:hAnsi="Abadi"/>
          <w:sz w:val="21"/>
          <w:szCs w:val="21"/>
          <w:lang w:eastAsia="en-US"/>
        </w:rPr>
      </w:pPr>
      <w:r w:rsidRPr="007A6850">
        <w:rPr>
          <w:rFonts w:ascii="Abadi" w:eastAsia="Calibri" w:hAnsi="Abadi"/>
          <w:b/>
          <w:bCs/>
          <w:sz w:val="21"/>
          <w:szCs w:val="21"/>
          <w:lang w:eastAsia="en-US"/>
        </w:rPr>
        <w:t>Sector Central:</w:t>
      </w:r>
      <w:r w:rsidRPr="007A6850">
        <w:rPr>
          <w:rFonts w:ascii="Abadi" w:eastAsia="Calibri" w:hAnsi="Abadi"/>
          <w:sz w:val="21"/>
          <w:szCs w:val="21"/>
          <w:lang w:eastAsia="en-US"/>
        </w:rPr>
        <w:t xml:space="preserve"> </w:t>
      </w:r>
    </w:p>
    <w:p w14:paraId="2D4EB2A8" w14:textId="77777777" w:rsidR="007A6850" w:rsidRPr="007A6850" w:rsidRDefault="007A6850" w:rsidP="001A28E5">
      <w:pPr>
        <w:numPr>
          <w:ilvl w:val="0"/>
          <w:numId w:val="43"/>
        </w:numPr>
        <w:spacing w:after="160" w:line="360" w:lineRule="auto"/>
        <w:ind w:left="1068"/>
        <w:contextualSpacing/>
        <w:jc w:val="both"/>
        <w:rPr>
          <w:rFonts w:ascii="Abadi" w:eastAsia="Calibri" w:hAnsi="Abadi"/>
          <w:sz w:val="21"/>
          <w:szCs w:val="21"/>
          <w:lang w:eastAsia="en-US"/>
        </w:rPr>
      </w:pPr>
      <w:r w:rsidRPr="007A6850">
        <w:rPr>
          <w:rFonts w:ascii="Abadi" w:eastAsia="Calibri" w:hAnsi="Abadi"/>
          <w:sz w:val="21"/>
          <w:szCs w:val="21"/>
          <w:u w:val="single"/>
          <w:lang w:eastAsia="en-US"/>
        </w:rPr>
        <w:t>Activo</w:t>
      </w:r>
      <w:r w:rsidRPr="007A6850">
        <w:rPr>
          <w:rFonts w:ascii="Abadi" w:eastAsia="Calibri" w:hAnsi="Abadi"/>
          <w:sz w:val="21"/>
          <w:szCs w:val="21"/>
          <w:lang w:eastAsia="en-US"/>
        </w:rPr>
        <w:t>: Bancomer 044697 1695 Cta. Pub.,1888 F1/13, Banamex 752-1930742 Cuenta Pública, Bajío 3178 FAIMS 14,1789 PISBCC 14, 36435 PISBCC 16, Bancomer 94840 PIDH 18, Ing PIESCM, Ing PISBCC, Ing PISBCC, Ing PIDH (Techo), fondo fijo, otros deudores, anticipo a proveedores por adquisición de bienes muebles e inmuebles a corto plazo, computadoras y equipo periférico, cámaras fotográficas y de video, equipo para uso médico, dental y para laboratorio, automóviles y camiones, maquinaria y equipo de construcción, equipo de comunicación y telecomunicación, software.</w:t>
      </w:r>
    </w:p>
    <w:p w14:paraId="3F28B48B" w14:textId="77777777" w:rsidR="007A6850" w:rsidRPr="007A6850" w:rsidRDefault="007A6850" w:rsidP="001A28E5">
      <w:pPr>
        <w:numPr>
          <w:ilvl w:val="0"/>
          <w:numId w:val="43"/>
        </w:numPr>
        <w:spacing w:after="160" w:line="360" w:lineRule="auto"/>
        <w:ind w:left="1068"/>
        <w:contextualSpacing/>
        <w:jc w:val="both"/>
        <w:rPr>
          <w:rFonts w:ascii="Abadi" w:eastAsia="Calibri" w:hAnsi="Abadi"/>
          <w:sz w:val="21"/>
          <w:szCs w:val="21"/>
          <w:lang w:eastAsia="en-US"/>
        </w:rPr>
      </w:pPr>
      <w:r w:rsidRPr="007A6850">
        <w:rPr>
          <w:rFonts w:ascii="Abadi" w:eastAsia="Calibri" w:hAnsi="Abadi"/>
          <w:sz w:val="21"/>
          <w:szCs w:val="21"/>
          <w:u w:val="single"/>
          <w:lang w:eastAsia="en-US"/>
        </w:rPr>
        <w:t>Ingresos</w:t>
      </w:r>
      <w:r w:rsidRPr="007A6850">
        <w:rPr>
          <w:rFonts w:ascii="Abadi" w:eastAsia="Calibri" w:hAnsi="Abadi"/>
          <w:sz w:val="21"/>
          <w:szCs w:val="21"/>
          <w:lang w:eastAsia="en-US"/>
        </w:rPr>
        <w:t>: Participaciones, aportaciones, impuesto predial urbano e impuesto predial rústico.</w:t>
      </w:r>
    </w:p>
    <w:p w14:paraId="17A30659" w14:textId="77777777" w:rsidR="007A6850" w:rsidRPr="007A6850" w:rsidRDefault="007A6850" w:rsidP="001A28E5">
      <w:pPr>
        <w:numPr>
          <w:ilvl w:val="0"/>
          <w:numId w:val="43"/>
        </w:numPr>
        <w:spacing w:after="160" w:line="360" w:lineRule="auto"/>
        <w:ind w:left="1068"/>
        <w:contextualSpacing/>
        <w:jc w:val="both"/>
        <w:rPr>
          <w:rFonts w:ascii="Abadi" w:eastAsia="Calibri" w:hAnsi="Abadi"/>
          <w:sz w:val="21"/>
          <w:szCs w:val="21"/>
          <w:lang w:eastAsia="en-US"/>
        </w:rPr>
      </w:pPr>
      <w:r w:rsidRPr="007A6850">
        <w:rPr>
          <w:rFonts w:ascii="Abadi" w:eastAsia="Calibri" w:hAnsi="Abadi"/>
          <w:sz w:val="21"/>
          <w:szCs w:val="21"/>
          <w:u w:val="single"/>
          <w:lang w:eastAsia="en-US"/>
        </w:rPr>
        <w:t>Egresos</w:t>
      </w:r>
      <w:r w:rsidRPr="007A6850">
        <w:rPr>
          <w:rFonts w:ascii="Abadi" w:eastAsia="Calibri" w:hAnsi="Abadi"/>
          <w:sz w:val="21"/>
          <w:szCs w:val="21"/>
          <w:lang w:eastAsia="en-US"/>
        </w:rPr>
        <w:t xml:space="preserve">: Servicios personales, liquidación por indemnización y sueldos y salarios caídos, asignaciones adicionales al sueldo, estímulos por productividad y eficiencia, vestuario y uniformes, alumbrado público, servicios legales, mantenimiento y conservación vehículos terrestres aéreos marítimos, sentencias y resoluciones judiciales, penas multas accesorios y actualizaciones, ayudas sociales a actividades científicas o académicas, jubilaciones. </w:t>
      </w:r>
    </w:p>
    <w:p w14:paraId="6437539B" w14:textId="77777777" w:rsidR="007A6850" w:rsidRPr="007A6850" w:rsidRDefault="007A6850" w:rsidP="007A6850">
      <w:pPr>
        <w:spacing w:after="160" w:line="360" w:lineRule="auto"/>
        <w:ind w:left="1068"/>
        <w:contextualSpacing/>
        <w:jc w:val="both"/>
        <w:rPr>
          <w:rFonts w:ascii="Abadi" w:eastAsia="Calibri" w:hAnsi="Abadi"/>
          <w:sz w:val="21"/>
          <w:szCs w:val="21"/>
          <w:lang w:eastAsia="en-US"/>
        </w:rPr>
      </w:pPr>
    </w:p>
    <w:p w14:paraId="398F41E4" w14:textId="77777777" w:rsidR="007A6850" w:rsidRPr="007A6850" w:rsidRDefault="007A6850" w:rsidP="007A6850">
      <w:pPr>
        <w:widowControl w:val="0"/>
        <w:spacing w:after="200" w:line="360" w:lineRule="auto"/>
        <w:ind w:left="372" w:firstLine="696"/>
        <w:contextualSpacing/>
        <w:jc w:val="both"/>
        <w:rPr>
          <w:rFonts w:ascii="Abadi" w:eastAsia="Calibri" w:hAnsi="Abadi"/>
          <w:sz w:val="21"/>
          <w:szCs w:val="21"/>
          <w:lang w:eastAsia="en-US"/>
        </w:rPr>
      </w:pPr>
      <w:r w:rsidRPr="007A6850">
        <w:rPr>
          <w:rFonts w:ascii="Abadi" w:eastAsia="Calibri" w:hAnsi="Abadi"/>
          <w:b/>
          <w:bCs/>
          <w:sz w:val="21"/>
          <w:szCs w:val="21"/>
          <w:lang w:eastAsia="en-US"/>
        </w:rPr>
        <w:t>CMDTP:</w:t>
      </w:r>
      <w:r w:rsidRPr="007A6850">
        <w:rPr>
          <w:rFonts w:ascii="Abadi" w:eastAsia="Calibri" w:hAnsi="Abadi"/>
          <w:sz w:val="21"/>
          <w:szCs w:val="21"/>
          <w:lang w:eastAsia="en-US"/>
        </w:rPr>
        <w:t xml:space="preserve"> </w:t>
      </w:r>
    </w:p>
    <w:p w14:paraId="6A1045DE" w14:textId="3ADC71C0" w:rsidR="007A6850" w:rsidRPr="00B9412E" w:rsidRDefault="007A6850" w:rsidP="001A28E5">
      <w:pPr>
        <w:numPr>
          <w:ilvl w:val="0"/>
          <w:numId w:val="42"/>
        </w:numPr>
        <w:spacing w:after="160" w:line="360" w:lineRule="auto"/>
        <w:ind w:left="1080"/>
        <w:contextualSpacing/>
        <w:jc w:val="both"/>
        <w:rPr>
          <w:rFonts w:ascii="Abadi" w:eastAsia="Calibri" w:hAnsi="Abadi"/>
          <w:i/>
          <w:iCs/>
          <w:sz w:val="21"/>
          <w:szCs w:val="21"/>
          <w:lang w:eastAsia="en-US"/>
        </w:rPr>
      </w:pPr>
      <w:r w:rsidRPr="007A6850">
        <w:rPr>
          <w:rFonts w:ascii="Abadi" w:eastAsia="Calibri" w:hAnsi="Abadi"/>
          <w:sz w:val="21"/>
          <w:szCs w:val="21"/>
          <w:u w:val="single"/>
          <w:lang w:eastAsia="en-US"/>
        </w:rPr>
        <w:t>Egresos</w:t>
      </w:r>
      <w:r w:rsidRPr="007A6850">
        <w:rPr>
          <w:rFonts w:ascii="Abadi" w:eastAsia="Calibri" w:hAnsi="Abadi"/>
          <w:sz w:val="21"/>
          <w:szCs w:val="21"/>
          <w:lang w:eastAsia="en-US"/>
        </w:rPr>
        <w:t>: Automóviles y camiones, y otros equipos.</w:t>
      </w:r>
    </w:p>
    <w:p w14:paraId="3604AF4A" w14:textId="77777777" w:rsidR="00B9412E" w:rsidRPr="007A6850" w:rsidRDefault="00B9412E" w:rsidP="00B9412E">
      <w:pPr>
        <w:spacing w:after="160" w:line="360" w:lineRule="auto"/>
        <w:contextualSpacing/>
        <w:jc w:val="both"/>
        <w:rPr>
          <w:rFonts w:ascii="Abadi" w:eastAsia="Calibri" w:hAnsi="Abadi"/>
          <w:i/>
          <w:iCs/>
          <w:sz w:val="21"/>
          <w:szCs w:val="21"/>
          <w:lang w:eastAsia="en-US"/>
        </w:rPr>
      </w:pPr>
    </w:p>
    <w:p w14:paraId="0D554598" w14:textId="77777777" w:rsidR="007A6850" w:rsidRPr="007A6850" w:rsidRDefault="007A6850" w:rsidP="007A6850">
      <w:pPr>
        <w:spacing w:after="160" w:line="360" w:lineRule="auto"/>
        <w:ind w:firstLine="708"/>
        <w:contextualSpacing/>
        <w:jc w:val="both"/>
        <w:rPr>
          <w:rFonts w:ascii="Abadi" w:eastAsia="Calibri" w:hAnsi="Abadi"/>
          <w:sz w:val="21"/>
          <w:szCs w:val="21"/>
          <w:lang w:eastAsia="en-US"/>
        </w:rPr>
      </w:pPr>
      <w:r w:rsidRPr="007A6850">
        <w:rPr>
          <w:rFonts w:ascii="Abadi" w:eastAsia="Calibri" w:hAnsi="Abadi"/>
          <w:sz w:val="21"/>
          <w:szCs w:val="21"/>
          <w:lang w:eastAsia="en-US"/>
        </w:rPr>
        <w:t xml:space="preserve">Por lo que hace a la cuenta pública correspondiente al ejercicio fiscal 2020 se revisaron los siguientes rubros: </w:t>
      </w:r>
    </w:p>
    <w:p w14:paraId="1B5B99EF" w14:textId="77777777" w:rsidR="007A6850" w:rsidRPr="007A6850" w:rsidRDefault="007A6850" w:rsidP="007A6850">
      <w:pPr>
        <w:spacing w:after="160" w:line="360" w:lineRule="auto"/>
        <w:ind w:firstLine="708"/>
        <w:contextualSpacing/>
        <w:jc w:val="both"/>
        <w:rPr>
          <w:rFonts w:ascii="Abadi" w:eastAsia="Calibri" w:hAnsi="Abadi"/>
          <w:sz w:val="21"/>
          <w:szCs w:val="21"/>
          <w:lang w:eastAsia="en-US"/>
        </w:rPr>
      </w:pPr>
    </w:p>
    <w:p w14:paraId="242D24C4" w14:textId="77777777" w:rsidR="007A6850" w:rsidRPr="007A6850" w:rsidRDefault="007A6850" w:rsidP="007A6850">
      <w:pPr>
        <w:widowControl w:val="0"/>
        <w:spacing w:after="200" w:line="360" w:lineRule="auto"/>
        <w:ind w:left="360" w:firstLine="696"/>
        <w:contextualSpacing/>
        <w:jc w:val="both"/>
        <w:rPr>
          <w:rFonts w:ascii="Abadi" w:eastAsia="Calibri" w:hAnsi="Abadi"/>
          <w:sz w:val="21"/>
          <w:szCs w:val="21"/>
          <w:lang w:eastAsia="en-US"/>
        </w:rPr>
      </w:pPr>
      <w:r w:rsidRPr="007A6850">
        <w:rPr>
          <w:rFonts w:ascii="Abadi" w:eastAsia="Calibri" w:hAnsi="Abadi"/>
          <w:b/>
          <w:bCs/>
          <w:sz w:val="21"/>
          <w:szCs w:val="21"/>
          <w:lang w:eastAsia="en-US"/>
        </w:rPr>
        <w:t>Sector Central:</w:t>
      </w:r>
      <w:r w:rsidRPr="007A6850">
        <w:rPr>
          <w:rFonts w:ascii="Abadi" w:eastAsia="Calibri" w:hAnsi="Abadi"/>
          <w:sz w:val="21"/>
          <w:szCs w:val="21"/>
          <w:lang w:eastAsia="en-US"/>
        </w:rPr>
        <w:t xml:space="preserve"> </w:t>
      </w:r>
    </w:p>
    <w:p w14:paraId="72E83CDB" w14:textId="77777777" w:rsidR="007A6850" w:rsidRPr="007A6850" w:rsidRDefault="007A6850" w:rsidP="001A28E5">
      <w:pPr>
        <w:numPr>
          <w:ilvl w:val="0"/>
          <w:numId w:val="43"/>
        </w:numPr>
        <w:spacing w:after="160" w:line="360" w:lineRule="auto"/>
        <w:ind w:left="1068"/>
        <w:contextualSpacing/>
        <w:jc w:val="both"/>
        <w:rPr>
          <w:rFonts w:ascii="Abadi" w:eastAsia="Calibri" w:hAnsi="Abadi"/>
          <w:sz w:val="21"/>
          <w:szCs w:val="21"/>
          <w:lang w:eastAsia="en-US"/>
        </w:rPr>
      </w:pPr>
      <w:r w:rsidRPr="007A6850">
        <w:rPr>
          <w:rFonts w:ascii="Abadi" w:eastAsia="Calibri" w:hAnsi="Abadi"/>
          <w:sz w:val="21"/>
          <w:szCs w:val="21"/>
          <w:u w:val="single"/>
          <w:lang w:eastAsia="en-US"/>
        </w:rPr>
        <w:t>Activo</w:t>
      </w:r>
      <w:r w:rsidRPr="007A6850">
        <w:rPr>
          <w:rFonts w:ascii="Abadi" w:eastAsia="Calibri" w:hAnsi="Abadi"/>
          <w:sz w:val="21"/>
          <w:szCs w:val="21"/>
          <w:lang w:eastAsia="en-US"/>
        </w:rPr>
        <w:t>: Terrenos, bienes muebles, computadoras y equipo periférico, mobiliario y equipo para comercio y servicios, equipo de audio y de video, otro mobiliario y equipo educacional y recreativo, automóviles y camiones.</w:t>
      </w:r>
    </w:p>
    <w:p w14:paraId="52738C9A" w14:textId="77777777" w:rsidR="007A6850" w:rsidRPr="007A6850" w:rsidRDefault="007A6850" w:rsidP="001A28E5">
      <w:pPr>
        <w:numPr>
          <w:ilvl w:val="0"/>
          <w:numId w:val="43"/>
        </w:numPr>
        <w:spacing w:after="160" w:line="360" w:lineRule="auto"/>
        <w:ind w:left="1068"/>
        <w:contextualSpacing/>
        <w:jc w:val="both"/>
        <w:rPr>
          <w:rFonts w:ascii="Abadi" w:eastAsia="Calibri" w:hAnsi="Abadi"/>
          <w:sz w:val="21"/>
          <w:szCs w:val="21"/>
          <w:lang w:eastAsia="en-US"/>
        </w:rPr>
      </w:pPr>
      <w:r w:rsidRPr="007A6850">
        <w:rPr>
          <w:rFonts w:ascii="Abadi" w:eastAsia="Calibri" w:hAnsi="Abadi"/>
          <w:sz w:val="21"/>
          <w:szCs w:val="21"/>
          <w:u w:val="single"/>
          <w:lang w:eastAsia="en-US"/>
        </w:rPr>
        <w:t>Ingresos</w:t>
      </w:r>
      <w:r w:rsidRPr="007A6850">
        <w:rPr>
          <w:rFonts w:ascii="Abadi" w:eastAsia="Calibri" w:hAnsi="Abadi"/>
          <w:sz w:val="21"/>
          <w:szCs w:val="21"/>
          <w:lang w:eastAsia="en-US"/>
        </w:rPr>
        <w:t>: Transporte público urbano, participaciones y aportaciones.</w:t>
      </w:r>
    </w:p>
    <w:p w14:paraId="35E5D147" w14:textId="77777777" w:rsidR="007A6850" w:rsidRPr="007A6850" w:rsidRDefault="007A6850" w:rsidP="001A28E5">
      <w:pPr>
        <w:numPr>
          <w:ilvl w:val="0"/>
          <w:numId w:val="43"/>
        </w:numPr>
        <w:spacing w:after="160" w:line="360" w:lineRule="auto"/>
        <w:ind w:left="1068"/>
        <w:contextualSpacing/>
        <w:jc w:val="both"/>
        <w:rPr>
          <w:rFonts w:ascii="Abadi" w:eastAsia="Calibri" w:hAnsi="Abadi"/>
          <w:sz w:val="21"/>
          <w:szCs w:val="21"/>
          <w:lang w:eastAsia="en-US"/>
        </w:rPr>
      </w:pPr>
      <w:r w:rsidRPr="007A6850">
        <w:rPr>
          <w:rFonts w:ascii="Abadi" w:eastAsia="Calibri" w:hAnsi="Abadi"/>
          <w:sz w:val="21"/>
          <w:szCs w:val="21"/>
          <w:u w:val="single"/>
          <w:lang w:eastAsia="en-US"/>
        </w:rPr>
        <w:t>Egresos</w:t>
      </w:r>
      <w:r w:rsidRPr="007A6850">
        <w:rPr>
          <w:rFonts w:ascii="Abadi" w:eastAsia="Calibri" w:hAnsi="Abadi"/>
          <w:sz w:val="21"/>
          <w:szCs w:val="21"/>
          <w:lang w:eastAsia="en-US"/>
        </w:rPr>
        <w:t>: Servicios personales, servicio de telefonía tradicional, servicios de telefonía celular, servicios de contabilidad, sentencias y resoluciones judiciales, donativos a instituciones sin fines de lucro, ayudas por desastres naturales y otros siniestros, jubilaciones.</w:t>
      </w:r>
    </w:p>
    <w:p w14:paraId="4C9A68C2" w14:textId="77777777" w:rsidR="007A6850" w:rsidRPr="007A6850" w:rsidRDefault="007A6850" w:rsidP="007A6850">
      <w:pPr>
        <w:spacing w:line="360" w:lineRule="auto"/>
        <w:ind w:firstLine="708"/>
        <w:contextualSpacing/>
        <w:jc w:val="both"/>
        <w:rPr>
          <w:rFonts w:ascii="Abadi" w:eastAsia="Calibri" w:hAnsi="Abadi"/>
          <w:bCs/>
          <w:sz w:val="21"/>
          <w:szCs w:val="21"/>
          <w:lang w:val="es-MX" w:eastAsia="en-US"/>
        </w:rPr>
      </w:pPr>
    </w:p>
    <w:p w14:paraId="5AB1BDC1" w14:textId="77777777" w:rsidR="007A6850" w:rsidRPr="007A6850" w:rsidRDefault="007A6850" w:rsidP="007A6850">
      <w:pPr>
        <w:spacing w:line="360" w:lineRule="auto"/>
        <w:ind w:firstLine="708"/>
        <w:contextualSpacing/>
        <w:jc w:val="both"/>
        <w:rPr>
          <w:rFonts w:ascii="Abadi" w:eastAsia="Calibri" w:hAnsi="Abadi"/>
          <w:bCs/>
          <w:sz w:val="21"/>
          <w:szCs w:val="21"/>
          <w:lang w:val="es-MX" w:eastAsia="en-US"/>
        </w:rPr>
      </w:pPr>
      <w:r w:rsidRPr="007A6850">
        <w:rPr>
          <w:rFonts w:ascii="Abadi" w:eastAsia="Calibri" w:hAnsi="Abadi"/>
          <w:bCs/>
          <w:sz w:val="21"/>
          <w:szCs w:val="21"/>
          <w:lang w:val="es-MX" w:eastAsia="en-US"/>
        </w:rPr>
        <w:t xml:space="preserve">Es así, que de conformidad con la información antes señalada, la Auditoría Superior del Estado ha realizado 2 revisiones de cuenta pública y 2 auditorías practicadas al </w:t>
      </w:r>
      <w:r w:rsidRPr="007A6850">
        <w:rPr>
          <w:rFonts w:ascii="Abadi" w:hAnsi="Abadi" w:cs="Tahoma"/>
          <w:spacing w:val="-10"/>
          <w:kern w:val="28"/>
          <w:sz w:val="21"/>
          <w:szCs w:val="21"/>
          <w:lang w:val="es-MX" w:eastAsia="en-US"/>
        </w:rPr>
        <w:t>Ramo General 33 y obra pública y a la infraestructura pública municipal</w:t>
      </w:r>
      <w:r w:rsidRPr="007A6850">
        <w:rPr>
          <w:rFonts w:ascii="Abadi" w:eastAsia="Calibri" w:hAnsi="Abadi"/>
          <w:bCs/>
          <w:sz w:val="21"/>
          <w:szCs w:val="21"/>
          <w:lang w:val="es-MX" w:eastAsia="en-US"/>
        </w:rPr>
        <w:t>.</w:t>
      </w:r>
    </w:p>
    <w:p w14:paraId="6FC988CD" w14:textId="77777777" w:rsidR="007A6850" w:rsidRPr="007A6850" w:rsidRDefault="007A6850" w:rsidP="007A6850">
      <w:pPr>
        <w:rPr>
          <w:rFonts w:ascii="Abadi" w:eastAsia="Calibri" w:hAnsi="Abadi"/>
          <w:sz w:val="21"/>
          <w:szCs w:val="21"/>
          <w:lang w:val="es-MX" w:eastAsia="en-US"/>
        </w:rPr>
      </w:pPr>
    </w:p>
    <w:p w14:paraId="21920BB2" w14:textId="77777777" w:rsidR="007A6850" w:rsidRPr="007A6850" w:rsidRDefault="007A6850" w:rsidP="007A6850">
      <w:pPr>
        <w:spacing w:line="360" w:lineRule="auto"/>
        <w:ind w:firstLine="708"/>
        <w:contextualSpacing/>
        <w:jc w:val="both"/>
        <w:rPr>
          <w:rFonts w:ascii="Abadi" w:eastAsia="Calibri" w:hAnsi="Abadi"/>
          <w:bCs/>
          <w:sz w:val="21"/>
          <w:szCs w:val="21"/>
          <w:lang w:val="es-MX" w:eastAsia="en-US"/>
        </w:rPr>
      </w:pPr>
      <w:r w:rsidRPr="007A6850">
        <w:rPr>
          <w:rFonts w:ascii="Abadi" w:eastAsia="Calibri" w:hAnsi="Abadi"/>
          <w:bCs/>
          <w:sz w:val="21"/>
          <w:szCs w:val="21"/>
          <w:lang w:val="es-MX" w:eastAsia="en-US"/>
        </w:rPr>
        <w:t>Aunado a lo anterior, en el Programa General de Fiscalización 2022 se contemplan 272 actos de fiscalización, por lo que, de acuerdo a dicho Programa, así como al Programa Operativo Anual y la capacidad institucional instalada, la incorporación de actos de fiscalización adicionales a los ya programados, incidiría directamente en la cobertura, calidad y tiempos de la fiscalización, en detrimento del citado programa y de los actos de fiscalización previamente planificados.</w:t>
      </w:r>
    </w:p>
    <w:p w14:paraId="7AD782CD" w14:textId="77777777" w:rsidR="007A6850" w:rsidRPr="007A6850" w:rsidRDefault="007A6850" w:rsidP="007A6850">
      <w:pPr>
        <w:spacing w:line="360" w:lineRule="auto"/>
        <w:ind w:firstLine="708"/>
        <w:contextualSpacing/>
        <w:jc w:val="both"/>
        <w:rPr>
          <w:rFonts w:ascii="Abadi" w:eastAsia="Calibri" w:hAnsi="Abadi"/>
          <w:bCs/>
          <w:sz w:val="21"/>
          <w:szCs w:val="21"/>
          <w:lang w:val="es-MX" w:eastAsia="en-US"/>
        </w:rPr>
      </w:pPr>
    </w:p>
    <w:p w14:paraId="38C1FC31" w14:textId="77777777" w:rsidR="007A6850" w:rsidRPr="007A6850" w:rsidRDefault="007A6850" w:rsidP="007A6850">
      <w:pPr>
        <w:spacing w:line="360" w:lineRule="auto"/>
        <w:ind w:firstLine="720"/>
        <w:jc w:val="both"/>
        <w:rPr>
          <w:rFonts w:ascii="Abadi" w:hAnsi="Abadi" w:cs="Arial"/>
          <w:sz w:val="21"/>
          <w:szCs w:val="21"/>
        </w:rPr>
      </w:pPr>
      <w:r w:rsidRPr="007A6850">
        <w:rPr>
          <w:rFonts w:ascii="Abadi" w:hAnsi="Abadi" w:cs="Arial"/>
          <w:sz w:val="21"/>
          <w:szCs w:val="21"/>
        </w:rPr>
        <w:t>En razón a lo antes señalado y privilegiando la realización de los actos de fiscalización ya contemplados en el Programa General de Fiscalización de la Auditoría Superior del Estado para el presente ejercicio fiscal, mismo que consideró una planeación estratégica y propuestas ciudadanas, así como al cumplimiento de dicho programa en tiempo y calidad de los actos programados, así como a la capacidad institucional instalada de dicho Órgano Técnico, determinamos no autorizar la realización de la auditoría propuesta, atendiendo además a que ya se realizaron diversos actos de fiscalización a la administración municipal de Santa Cruz de Juventino Rosas, Gto., por parte de la Auditoría Superior del Estado a los ejercicios fiscales que se propone auditar.</w:t>
      </w:r>
    </w:p>
    <w:p w14:paraId="04F4B840" w14:textId="77777777" w:rsidR="007A6850" w:rsidRPr="007A6850" w:rsidRDefault="007A6850" w:rsidP="007A6850">
      <w:pPr>
        <w:spacing w:line="360" w:lineRule="auto"/>
        <w:ind w:firstLine="720"/>
        <w:jc w:val="both"/>
        <w:rPr>
          <w:rFonts w:ascii="Abadi" w:hAnsi="Abadi" w:cs="Arial"/>
          <w:sz w:val="21"/>
          <w:szCs w:val="21"/>
        </w:rPr>
      </w:pPr>
    </w:p>
    <w:p w14:paraId="3B4D1790" w14:textId="77777777" w:rsidR="007A6850" w:rsidRPr="007A6850" w:rsidRDefault="007A6850" w:rsidP="007A6850">
      <w:pPr>
        <w:widowControl w:val="0"/>
        <w:spacing w:after="200" w:line="360" w:lineRule="auto"/>
        <w:ind w:firstLine="708"/>
        <w:contextualSpacing/>
        <w:jc w:val="both"/>
        <w:rPr>
          <w:rFonts w:ascii="Abadi" w:eastAsia="Calibri" w:hAnsi="Abadi"/>
          <w:bCs/>
          <w:sz w:val="21"/>
          <w:szCs w:val="21"/>
          <w:lang w:val="es-MX" w:eastAsia="en-US"/>
        </w:rPr>
      </w:pPr>
      <w:r w:rsidRPr="007A6850">
        <w:rPr>
          <w:rFonts w:ascii="Abadi" w:eastAsia="Calibri" w:hAnsi="Abadi"/>
          <w:bCs/>
          <w:sz w:val="21"/>
          <w:szCs w:val="21"/>
          <w:lang w:val="es-MX" w:eastAsia="en-US"/>
        </w:rPr>
        <w:t xml:space="preserve">No obstante, la Auditoría Superior del Estado podrá considerar los hechos que correspondan al ejercicio 2021 planteados por el ayuntamiento de Santa Cruz de Juventino Rosas, Gto., en la planeación y ejecución de la revisión de la cuenta pública de dicho ejercicio. Asimismo, el informe general del proceso de entrega-recepción correspondiente a dicha administración pública municipal, en el que se establecen las observaciones derivadas de dicho proceso será considerado por la Auditoría Superior del Estado de Guanajuato, para efecto de revisión de la cuenta pública municipal y se hará del conocimiento de la Contraloría Municipal de Santa Cruz de Juventino Rosas, Gto., para los efectos del artículo 10 de la Ley de Responsabilidades Administrativas para el Estado de Guanajuato y de la Ley General de Responsabilidades Administrativas.  </w:t>
      </w:r>
    </w:p>
    <w:p w14:paraId="178DBE84" w14:textId="77777777" w:rsidR="007A6850" w:rsidRPr="007A6850" w:rsidRDefault="007A6850" w:rsidP="007A6850">
      <w:pPr>
        <w:spacing w:line="360" w:lineRule="auto"/>
        <w:ind w:firstLine="708"/>
        <w:jc w:val="both"/>
        <w:rPr>
          <w:rFonts w:ascii="Abadi" w:hAnsi="Abadi" w:cs="Arial"/>
          <w:iCs/>
          <w:sz w:val="21"/>
          <w:szCs w:val="21"/>
        </w:rPr>
      </w:pPr>
      <w:r w:rsidRPr="007A6850">
        <w:rPr>
          <w:rFonts w:ascii="Abadi" w:hAnsi="Abadi" w:cs="Arial"/>
          <w:iCs/>
          <w:sz w:val="21"/>
          <w:szCs w:val="21"/>
        </w:rPr>
        <w:t xml:space="preserve">Por lo expuesto y con fundamento en el artículo 204 de </w:t>
      </w:r>
      <w:smartTag w:uri="urn:schemas-microsoft-com:office:smarttags" w:element="PersonName">
        <w:smartTagPr>
          <w:attr w:name="ProductID" w:val="la Ley Org￡nica"/>
        </w:smartTagPr>
        <w:r w:rsidRPr="007A6850">
          <w:rPr>
            <w:rFonts w:ascii="Abadi" w:hAnsi="Abadi" w:cs="Arial"/>
            <w:iCs/>
            <w:sz w:val="21"/>
            <w:szCs w:val="21"/>
          </w:rPr>
          <w:t>la Ley Orgánica</w:t>
        </w:r>
      </w:smartTag>
      <w:r w:rsidRPr="007A6850">
        <w:rPr>
          <w:rFonts w:ascii="Abadi" w:hAnsi="Abadi" w:cs="Arial"/>
          <w:iCs/>
          <w:sz w:val="21"/>
          <w:szCs w:val="21"/>
        </w:rPr>
        <w:t xml:space="preserve"> del Poder Legislativo del Estado, sometemos a la consideración de </w:t>
      </w:r>
      <w:smartTag w:uri="urn:schemas-microsoft-com:office:smarttags" w:element="PersonName">
        <w:smartTagPr>
          <w:attr w:name="ProductID" w:val="la Asamblea"/>
        </w:smartTagPr>
        <w:r w:rsidRPr="007A6850">
          <w:rPr>
            <w:rFonts w:ascii="Abadi" w:hAnsi="Abadi" w:cs="Arial"/>
            <w:iCs/>
            <w:sz w:val="21"/>
            <w:szCs w:val="21"/>
          </w:rPr>
          <w:t>la Asamblea</w:t>
        </w:r>
      </w:smartTag>
      <w:r w:rsidRPr="007A6850">
        <w:rPr>
          <w:rFonts w:ascii="Abadi" w:hAnsi="Abadi" w:cs="Arial"/>
          <w:iCs/>
          <w:sz w:val="21"/>
          <w:szCs w:val="21"/>
        </w:rPr>
        <w:t>, la aprobación del siguiente:</w:t>
      </w:r>
    </w:p>
    <w:p w14:paraId="33D28135" w14:textId="77777777" w:rsidR="007A6850" w:rsidRPr="007A6850" w:rsidRDefault="007A6850" w:rsidP="007A6850">
      <w:pPr>
        <w:jc w:val="center"/>
        <w:rPr>
          <w:rFonts w:ascii="Abadi" w:hAnsi="Abadi" w:cs="Arial"/>
          <w:b/>
          <w:iCs/>
          <w:sz w:val="21"/>
          <w:szCs w:val="21"/>
        </w:rPr>
      </w:pPr>
      <w:r w:rsidRPr="007A6850">
        <w:rPr>
          <w:rFonts w:ascii="Abadi" w:hAnsi="Abadi" w:cs="Arial"/>
          <w:b/>
          <w:iCs/>
          <w:sz w:val="21"/>
          <w:szCs w:val="21"/>
        </w:rPr>
        <w:t>A c u e r d o</w:t>
      </w:r>
    </w:p>
    <w:p w14:paraId="2DB38B06" w14:textId="77777777" w:rsidR="007A6850" w:rsidRPr="007A6850" w:rsidRDefault="007A6850" w:rsidP="007A6850">
      <w:pPr>
        <w:jc w:val="center"/>
        <w:rPr>
          <w:rFonts w:ascii="Abadi" w:hAnsi="Abadi" w:cs="Arial"/>
          <w:b/>
          <w:iCs/>
          <w:sz w:val="21"/>
          <w:szCs w:val="21"/>
        </w:rPr>
      </w:pPr>
    </w:p>
    <w:p w14:paraId="5BE92491" w14:textId="77777777" w:rsidR="007A6850" w:rsidRPr="007A6850" w:rsidRDefault="007A6850" w:rsidP="007A6850">
      <w:pPr>
        <w:spacing w:line="360" w:lineRule="auto"/>
        <w:ind w:firstLine="708"/>
        <w:jc w:val="both"/>
        <w:rPr>
          <w:rFonts w:ascii="Abadi" w:hAnsi="Abadi" w:cs="Arial"/>
          <w:sz w:val="21"/>
          <w:szCs w:val="21"/>
        </w:rPr>
      </w:pPr>
      <w:r w:rsidRPr="007A6850">
        <w:rPr>
          <w:rFonts w:ascii="Abadi" w:hAnsi="Abadi" w:cs="Arial"/>
          <w:b/>
          <w:iCs/>
          <w:sz w:val="21"/>
          <w:szCs w:val="21"/>
        </w:rPr>
        <w:t>Único.</w:t>
      </w:r>
      <w:r w:rsidRPr="007A6850">
        <w:rPr>
          <w:rFonts w:ascii="Abadi" w:hAnsi="Abadi" w:cs="Arial"/>
          <w:b/>
          <w:sz w:val="21"/>
          <w:szCs w:val="21"/>
        </w:rPr>
        <w:t xml:space="preserve"> </w:t>
      </w:r>
      <w:r w:rsidRPr="007A6850">
        <w:rPr>
          <w:rFonts w:ascii="Abadi" w:hAnsi="Abadi" w:cs="Arial"/>
          <w:sz w:val="21"/>
          <w:szCs w:val="21"/>
        </w:rPr>
        <w:t xml:space="preserve">Se determina improcedente </w:t>
      </w:r>
      <w:r w:rsidRPr="007A6850">
        <w:rPr>
          <w:rFonts w:ascii="Abadi" w:hAnsi="Abadi" w:cs="Arial"/>
          <w:iCs/>
          <w:sz w:val="21"/>
          <w:szCs w:val="21"/>
        </w:rPr>
        <w:t xml:space="preserve">la propuesta formulada por el ayuntamiento de Santa Cruz de Juventino Rosas, Gto., </w:t>
      </w:r>
      <w:r w:rsidRPr="007A6850">
        <w:rPr>
          <w:rFonts w:ascii="Abadi" w:hAnsi="Abadi"/>
          <w:sz w:val="21"/>
          <w:szCs w:val="21"/>
          <w:lang w:val="es-ES_tradnl"/>
        </w:rPr>
        <w:t>a efecto de que se ordene una auditoría a la administración municipal 2018-2021. Por lo tanto, se ordena su archivo definitivo</w:t>
      </w:r>
      <w:r w:rsidRPr="007A6850">
        <w:rPr>
          <w:rFonts w:ascii="Abadi" w:hAnsi="Abadi" w:cs="Arial"/>
          <w:sz w:val="21"/>
          <w:szCs w:val="21"/>
        </w:rPr>
        <w:t>.</w:t>
      </w:r>
    </w:p>
    <w:p w14:paraId="1A2CC225" w14:textId="77777777" w:rsidR="007A6850" w:rsidRPr="007A6850" w:rsidRDefault="007A6850" w:rsidP="007A6850">
      <w:pPr>
        <w:spacing w:line="360" w:lineRule="auto"/>
        <w:ind w:firstLine="708"/>
        <w:jc w:val="both"/>
        <w:rPr>
          <w:rFonts w:ascii="Abadi" w:hAnsi="Abadi" w:cs="Arial"/>
          <w:sz w:val="21"/>
          <w:szCs w:val="21"/>
        </w:rPr>
      </w:pPr>
    </w:p>
    <w:p w14:paraId="4220B565" w14:textId="77777777" w:rsidR="007A6850" w:rsidRPr="007A6850" w:rsidRDefault="007A6850" w:rsidP="007A6850">
      <w:pPr>
        <w:spacing w:line="360" w:lineRule="auto"/>
        <w:ind w:firstLine="708"/>
        <w:jc w:val="both"/>
        <w:rPr>
          <w:rFonts w:ascii="Abadi" w:hAnsi="Abadi" w:cs="Arial"/>
          <w:sz w:val="21"/>
          <w:szCs w:val="21"/>
        </w:rPr>
      </w:pPr>
      <w:r w:rsidRPr="007A6850">
        <w:rPr>
          <w:rFonts w:ascii="Abadi" w:hAnsi="Abadi" w:cs="Arial"/>
          <w:sz w:val="21"/>
          <w:szCs w:val="21"/>
        </w:rPr>
        <w:t xml:space="preserve">Comuníquese el presente acuerdo al ayuntamiento de </w:t>
      </w:r>
      <w:r w:rsidRPr="007A6850">
        <w:rPr>
          <w:rFonts w:ascii="Abadi" w:hAnsi="Abadi" w:cs="Arial"/>
          <w:iCs/>
          <w:sz w:val="21"/>
          <w:szCs w:val="21"/>
        </w:rPr>
        <w:t>Santa Cruz de Juventino Rosas</w:t>
      </w:r>
      <w:r w:rsidRPr="007A6850">
        <w:rPr>
          <w:rFonts w:ascii="Abadi" w:hAnsi="Abadi" w:cs="Arial"/>
          <w:sz w:val="21"/>
          <w:szCs w:val="21"/>
        </w:rPr>
        <w:t xml:space="preserve">, Gto., junto con su dictamen para su conocimiento; así como al Secretario General del Congreso de Estado, para los efectos conducentes. </w:t>
      </w:r>
    </w:p>
    <w:p w14:paraId="7BDBC71E" w14:textId="77777777" w:rsidR="007A6850" w:rsidRPr="007A6850" w:rsidRDefault="007A6850" w:rsidP="007A6850">
      <w:pPr>
        <w:spacing w:line="360" w:lineRule="auto"/>
        <w:ind w:firstLine="708"/>
        <w:jc w:val="both"/>
        <w:rPr>
          <w:rFonts w:ascii="Abadi" w:hAnsi="Abadi" w:cs="Arial"/>
          <w:sz w:val="21"/>
          <w:szCs w:val="21"/>
        </w:rPr>
      </w:pPr>
    </w:p>
    <w:p w14:paraId="3972CB86" w14:textId="77777777" w:rsidR="007A6850" w:rsidRPr="007A6850" w:rsidRDefault="007A6850" w:rsidP="00B9412E">
      <w:pPr>
        <w:jc w:val="center"/>
        <w:rPr>
          <w:rFonts w:ascii="Abadi" w:hAnsi="Abadi"/>
          <w:b/>
          <w:bCs/>
          <w:sz w:val="21"/>
          <w:szCs w:val="21"/>
          <w:lang w:eastAsia="x-none"/>
        </w:rPr>
      </w:pPr>
      <w:r w:rsidRPr="007A6850">
        <w:rPr>
          <w:rFonts w:ascii="Abadi" w:hAnsi="Abadi"/>
          <w:b/>
          <w:bCs/>
          <w:sz w:val="21"/>
          <w:szCs w:val="21"/>
          <w:lang w:eastAsia="x-none"/>
        </w:rPr>
        <w:t>Guanajuato, Gto., 16 de junio de 2022</w:t>
      </w:r>
    </w:p>
    <w:p w14:paraId="03F6B6D0" w14:textId="77777777" w:rsidR="007A6850" w:rsidRPr="007A6850" w:rsidRDefault="007A6850" w:rsidP="00B9412E">
      <w:pPr>
        <w:jc w:val="center"/>
        <w:rPr>
          <w:rFonts w:ascii="Abadi" w:hAnsi="Abadi"/>
          <w:b/>
          <w:bCs/>
          <w:sz w:val="21"/>
          <w:szCs w:val="21"/>
          <w:lang w:eastAsia="x-none"/>
        </w:rPr>
      </w:pPr>
      <w:smartTag w:uri="urn:schemas-microsoft-com:office:smarttags" w:element="PersonName">
        <w:smartTagPr>
          <w:attr w:name="ProductID" w:val="La Comisi￳n"/>
        </w:smartTagPr>
        <w:r w:rsidRPr="007A6850">
          <w:rPr>
            <w:rFonts w:ascii="Abadi" w:hAnsi="Abadi"/>
            <w:b/>
            <w:bCs/>
            <w:sz w:val="21"/>
            <w:szCs w:val="21"/>
            <w:lang w:eastAsia="x-none"/>
          </w:rPr>
          <w:t>La Comisión</w:t>
        </w:r>
      </w:smartTag>
      <w:r w:rsidRPr="007A6850">
        <w:rPr>
          <w:rFonts w:ascii="Abadi" w:hAnsi="Abadi"/>
          <w:b/>
          <w:bCs/>
          <w:sz w:val="21"/>
          <w:szCs w:val="21"/>
          <w:lang w:eastAsia="x-none"/>
        </w:rPr>
        <w:t xml:space="preserve"> de Hacienda y Fiscalización</w:t>
      </w:r>
    </w:p>
    <w:p w14:paraId="2AD008F4" w14:textId="77777777" w:rsidR="007A6850" w:rsidRPr="007A6850" w:rsidRDefault="007A6850" w:rsidP="00B9412E">
      <w:pPr>
        <w:jc w:val="center"/>
        <w:rPr>
          <w:rFonts w:ascii="Abadi" w:hAnsi="Abadi"/>
          <w:sz w:val="21"/>
          <w:szCs w:val="21"/>
        </w:rPr>
      </w:pPr>
    </w:p>
    <w:p w14:paraId="09F445BF" w14:textId="77777777" w:rsidR="007A6850" w:rsidRPr="007A6850" w:rsidRDefault="007A6850" w:rsidP="00B9412E">
      <w:pPr>
        <w:jc w:val="center"/>
        <w:rPr>
          <w:rFonts w:ascii="Abadi" w:hAnsi="Abadi"/>
          <w:sz w:val="21"/>
          <w:szCs w:val="21"/>
        </w:rPr>
      </w:pPr>
    </w:p>
    <w:p w14:paraId="7B246056" w14:textId="77777777" w:rsidR="007A6850" w:rsidRPr="007A6850" w:rsidRDefault="007A6850" w:rsidP="00B9412E">
      <w:pPr>
        <w:jc w:val="center"/>
        <w:rPr>
          <w:rFonts w:ascii="Abadi" w:hAnsi="Abadi"/>
          <w:sz w:val="21"/>
          <w:szCs w:val="21"/>
          <w:lang w:val="es-MX"/>
        </w:rPr>
      </w:pPr>
      <w:r w:rsidRPr="007A6850">
        <w:rPr>
          <w:rFonts w:ascii="Abadi" w:hAnsi="Abadi"/>
          <w:b/>
          <w:sz w:val="21"/>
          <w:szCs w:val="21"/>
          <w:lang w:eastAsia="x-none"/>
        </w:rPr>
        <w:t>Diputado Víctor Manuel Zanella Huerta</w:t>
      </w:r>
    </w:p>
    <w:p w14:paraId="3D90CD09" w14:textId="77777777" w:rsidR="007A6850" w:rsidRPr="007A6850" w:rsidRDefault="007A6850" w:rsidP="00B9412E">
      <w:pPr>
        <w:jc w:val="center"/>
        <w:rPr>
          <w:rFonts w:ascii="Abadi" w:hAnsi="Abadi"/>
          <w:sz w:val="21"/>
          <w:szCs w:val="21"/>
          <w:lang w:eastAsia="x-none"/>
        </w:rPr>
      </w:pPr>
    </w:p>
    <w:p w14:paraId="3C0EFD42" w14:textId="77777777" w:rsidR="007A6850" w:rsidRPr="007A6850" w:rsidRDefault="007A6850" w:rsidP="00B9412E">
      <w:pPr>
        <w:jc w:val="center"/>
        <w:rPr>
          <w:rFonts w:ascii="Abadi" w:hAnsi="Abadi"/>
          <w:b/>
          <w:bCs/>
          <w:sz w:val="21"/>
          <w:szCs w:val="21"/>
          <w:lang w:eastAsia="x-none"/>
        </w:rPr>
      </w:pPr>
    </w:p>
    <w:p w14:paraId="2616A0D3" w14:textId="200BF7A2" w:rsidR="007A6850" w:rsidRPr="007A6850" w:rsidRDefault="007A6850" w:rsidP="00B9412E">
      <w:pPr>
        <w:jc w:val="center"/>
        <w:rPr>
          <w:rFonts w:ascii="Abadi" w:hAnsi="Abadi"/>
          <w:b/>
          <w:sz w:val="21"/>
          <w:szCs w:val="21"/>
          <w:lang w:eastAsia="x-none"/>
        </w:rPr>
      </w:pPr>
      <w:r w:rsidRPr="007A6850">
        <w:rPr>
          <w:rFonts w:ascii="Abadi" w:hAnsi="Abadi"/>
          <w:b/>
          <w:sz w:val="21"/>
          <w:szCs w:val="21"/>
          <w:lang w:eastAsia="x-none"/>
        </w:rPr>
        <w:t>Diputada Ruth Noemí Tiscareño Agoitia</w:t>
      </w:r>
    </w:p>
    <w:p w14:paraId="4D247BF1" w14:textId="77777777" w:rsidR="007A6850" w:rsidRPr="007A6850" w:rsidRDefault="007A6850" w:rsidP="00B9412E">
      <w:pPr>
        <w:jc w:val="center"/>
        <w:rPr>
          <w:rFonts w:ascii="Abadi" w:hAnsi="Abadi"/>
          <w:b/>
          <w:sz w:val="21"/>
          <w:szCs w:val="21"/>
          <w:lang w:eastAsia="x-none"/>
        </w:rPr>
      </w:pPr>
    </w:p>
    <w:p w14:paraId="0BB3BCB9" w14:textId="77777777" w:rsidR="007A6850" w:rsidRPr="007A6850" w:rsidRDefault="007A6850" w:rsidP="00B9412E">
      <w:pPr>
        <w:jc w:val="center"/>
        <w:rPr>
          <w:rFonts w:ascii="Abadi" w:hAnsi="Abadi"/>
          <w:b/>
          <w:sz w:val="21"/>
          <w:szCs w:val="21"/>
          <w:lang w:eastAsia="x-none"/>
        </w:rPr>
      </w:pPr>
    </w:p>
    <w:p w14:paraId="095BB577" w14:textId="44F98DD7" w:rsidR="007A6850" w:rsidRPr="007A6850" w:rsidRDefault="007A6850" w:rsidP="00B9412E">
      <w:pPr>
        <w:jc w:val="center"/>
        <w:rPr>
          <w:rFonts w:ascii="Abadi" w:hAnsi="Abadi"/>
          <w:b/>
          <w:sz w:val="21"/>
          <w:szCs w:val="21"/>
          <w:lang w:eastAsia="x-none"/>
        </w:rPr>
      </w:pPr>
      <w:r w:rsidRPr="007A6850">
        <w:rPr>
          <w:rFonts w:ascii="Abadi" w:hAnsi="Abadi"/>
          <w:b/>
          <w:sz w:val="21"/>
          <w:szCs w:val="21"/>
          <w:lang w:eastAsia="x-none"/>
        </w:rPr>
        <w:t>Diputado Miguel Ángel Salim Alle</w:t>
      </w:r>
    </w:p>
    <w:p w14:paraId="1E4D48CF" w14:textId="77777777" w:rsidR="007A6850" w:rsidRPr="007A6850" w:rsidRDefault="007A6850" w:rsidP="00B9412E">
      <w:pPr>
        <w:jc w:val="center"/>
        <w:rPr>
          <w:rFonts w:ascii="Abadi" w:hAnsi="Abadi"/>
          <w:b/>
          <w:sz w:val="21"/>
          <w:szCs w:val="21"/>
          <w:lang w:eastAsia="x-none"/>
        </w:rPr>
      </w:pPr>
    </w:p>
    <w:p w14:paraId="15EEF7FB" w14:textId="77777777" w:rsidR="007A6850" w:rsidRPr="007A6850" w:rsidRDefault="007A6850" w:rsidP="00B9412E">
      <w:pPr>
        <w:jc w:val="center"/>
        <w:rPr>
          <w:rFonts w:ascii="Abadi" w:hAnsi="Abadi"/>
          <w:b/>
          <w:sz w:val="21"/>
          <w:szCs w:val="21"/>
          <w:lang w:eastAsia="x-none"/>
        </w:rPr>
      </w:pPr>
    </w:p>
    <w:p w14:paraId="0BAC164D" w14:textId="0627B21C" w:rsidR="007A6850" w:rsidRPr="007A6850" w:rsidRDefault="007A6850" w:rsidP="00B9412E">
      <w:pPr>
        <w:jc w:val="center"/>
        <w:rPr>
          <w:rFonts w:ascii="Abadi" w:hAnsi="Abadi"/>
          <w:b/>
          <w:sz w:val="21"/>
          <w:szCs w:val="21"/>
          <w:lang w:eastAsia="x-none"/>
        </w:rPr>
      </w:pPr>
      <w:r w:rsidRPr="007A6850">
        <w:rPr>
          <w:rFonts w:ascii="Abadi" w:hAnsi="Abadi"/>
          <w:b/>
          <w:sz w:val="21"/>
          <w:szCs w:val="21"/>
          <w:lang w:eastAsia="x-none"/>
        </w:rPr>
        <w:t>Diputado José Alfonso Borja Pimentel</w:t>
      </w:r>
    </w:p>
    <w:p w14:paraId="63E051B3" w14:textId="77777777" w:rsidR="007A6850" w:rsidRPr="007A6850" w:rsidRDefault="007A6850" w:rsidP="00B9412E">
      <w:pPr>
        <w:jc w:val="center"/>
        <w:rPr>
          <w:rFonts w:ascii="Abadi" w:hAnsi="Abadi"/>
          <w:b/>
          <w:sz w:val="21"/>
          <w:szCs w:val="21"/>
          <w:lang w:eastAsia="x-none"/>
        </w:rPr>
      </w:pPr>
    </w:p>
    <w:p w14:paraId="2FAB360A" w14:textId="77777777" w:rsidR="007A6850" w:rsidRPr="007A6850" w:rsidRDefault="007A6850" w:rsidP="00B9412E">
      <w:pPr>
        <w:jc w:val="center"/>
        <w:rPr>
          <w:rFonts w:ascii="Abadi" w:hAnsi="Abadi"/>
          <w:b/>
          <w:sz w:val="21"/>
          <w:szCs w:val="21"/>
          <w:lang w:eastAsia="x-none"/>
        </w:rPr>
      </w:pPr>
    </w:p>
    <w:p w14:paraId="5644FAB1" w14:textId="77777777" w:rsidR="007A6850" w:rsidRPr="007A6850" w:rsidRDefault="007A6850" w:rsidP="00B9412E">
      <w:pPr>
        <w:jc w:val="center"/>
        <w:rPr>
          <w:rFonts w:ascii="Abadi" w:hAnsi="Abadi"/>
          <w:b/>
          <w:sz w:val="21"/>
          <w:szCs w:val="21"/>
          <w:lang w:eastAsia="x-none"/>
        </w:rPr>
      </w:pPr>
      <w:r w:rsidRPr="007A6850">
        <w:rPr>
          <w:rFonts w:ascii="Abadi" w:hAnsi="Abadi"/>
          <w:b/>
          <w:sz w:val="21"/>
          <w:szCs w:val="21"/>
          <w:lang w:eastAsia="x-none"/>
        </w:rPr>
        <w:t>Diputada Alma Edwviges Alcaraz Hernández</w:t>
      </w:r>
    </w:p>
    <w:p w14:paraId="4108C683" w14:textId="08B477AB" w:rsidR="00952EB7" w:rsidRDefault="00952EB7" w:rsidP="00952EB7">
      <w:pPr>
        <w:rPr>
          <w:rFonts w:ascii="Abadi" w:hAnsi="Abadi"/>
          <w:sz w:val="20"/>
          <w:szCs w:val="20"/>
        </w:rPr>
      </w:pPr>
    </w:p>
    <w:p w14:paraId="0E5F9A10" w14:textId="77777777" w:rsidR="00952EB7" w:rsidRPr="00952EB7" w:rsidRDefault="00952EB7" w:rsidP="00952EB7">
      <w:pPr>
        <w:rPr>
          <w:rFonts w:ascii="Abadi" w:hAnsi="Abadi"/>
          <w:sz w:val="20"/>
          <w:szCs w:val="20"/>
        </w:rPr>
      </w:pPr>
    </w:p>
    <w:p w14:paraId="5868503D" w14:textId="763A19C7" w:rsidR="007C48BA" w:rsidRDefault="007C48BA"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0"/>
          <w:sz w:val="20"/>
          <w:szCs w:val="20"/>
        </w:rPr>
        <w:t xml:space="preserve"> </w:t>
      </w:r>
      <w:r w:rsidRPr="00531B12">
        <w:rPr>
          <w:rFonts w:ascii="Abadi" w:hAnsi="Abadi"/>
          <w:b/>
          <w:bCs/>
          <w:sz w:val="20"/>
          <w:szCs w:val="20"/>
        </w:rPr>
        <w:t>EN</w:t>
      </w:r>
      <w:r w:rsidRPr="00531B12">
        <w:rPr>
          <w:rFonts w:ascii="Abadi" w:hAnsi="Abadi"/>
          <w:b/>
          <w:bCs/>
          <w:spacing w:val="10"/>
          <w:sz w:val="20"/>
          <w:szCs w:val="20"/>
        </w:rPr>
        <w:t xml:space="preserve"> </w:t>
      </w:r>
      <w:r w:rsidRPr="00531B12">
        <w:rPr>
          <w:rFonts w:ascii="Abadi" w:hAnsi="Abadi"/>
          <w:b/>
          <w:bCs/>
          <w:sz w:val="20"/>
          <w:szCs w:val="20"/>
        </w:rPr>
        <w:t>SU</w:t>
      </w:r>
      <w:r w:rsidRPr="00531B12">
        <w:rPr>
          <w:rFonts w:ascii="Abadi" w:hAnsi="Abadi"/>
          <w:b/>
          <w:bCs/>
          <w:spacing w:val="10"/>
          <w:sz w:val="20"/>
          <w:szCs w:val="20"/>
        </w:rPr>
        <w:t xml:space="preserve"> </w:t>
      </w:r>
      <w:r w:rsidRPr="00531B12">
        <w:rPr>
          <w:rFonts w:ascii="Abadi" w:hAnsi="Abadi"/>
          <w:b/>
          <w:bCs/>
          <w:sz w:val="20"/>
          <w:szCs w:val="20"/>
        </w:rPr>
        <w:t>CASO,</w:t>
      </w:r>
      <w:r w:rsidRPr="00531B12">
        <w:rPr>
          <w:rFonts w:ascii="Abadi" w:hAnsi="Abadi"/>
          <w:b/>
          <w:bCs/>
          <w:spacing w:val="10"/>
          <w:sz w:val="20"/>
          <w:szCs w:val="20"/>
        </w:rPr>
        <w:t xml:space="preserve"> </w:t>
      </w:r>
      <w:r w:rsidRPr="00531B12">
        <w:rPr>
          <w:rFonts w:ascii="Abadi" w:hAnsi="Abadi"/>
          <w:b/>
          <w:bCs/>
          <w:sz w:val="20"/>
          <w:szCs w:val="20"/>
        </w:rPr>
        <w:t>APROBACIÓN</w:t>
      </w:r>
      <w:r w:rsidRPr="00531B12">
        <w:rPr>
          <w:rFonts w:ascii="Abadi" w:hAnsi="Abadi"/>
          <w:b/>
          <w:bCs/>
          <w:spacing w:val="10"/>
          <w:sz w:val="20"/>
          <w:szCs w:val="20"/>
        </w:rPr>
        <w:t xml:space="preserve"> </w:t>
      </w:r>
      <w:r w:rsidRPr="00531B12">
        <w:rPr>
          <w:rFonts w:ascii="Abadi" w:hAnsi="Abadi"/>
          <w:b/>
          <w:bCs/>
          <w:sz w:val="20"/>
          <w:szCs w:val="20"/>
        </w:rPr>
        <w:t>DEL</w:t>
      </w:r>
      <w:r w:rsidRPr="00531B12">
        <w:rPr>
          <w:rFonts w:ascii="Abadi" w:hAnsi="Abadi"/>
          <w:b/>
          <w:bCs/>
          <w:spacing w:val="10"/>
          <w:sz w:val="20"/>
          <w:szCs w:val="20"/>
        </w:rPr>
        <w:t xml:space="preserve"> </w:t>
      </w:r>
      <w:r w:rsidRPr="00531B12">
        <w:rPr>
          <w:rFonts w:ascii="Abadi" w:hAnsi="Abadi"/>
          <w:b/>
          <w:bCs/>
          <w:sz w:val="20"/>
          <w:szCs w:val="20"/>
        </w:rPr>
        <w:t>DICTAMEN</w:t>
      </w:r>
      <w:r w:rsidRPr="00531B12">
        <w:rPr>
          <w:rFonts w:ascii="Abadi" w:hAnsi="Abadi"/>
          <w:b/>
          <w:bCs/>
          <w:spacing w:val="10"/>
          <w:sz w:val="20"/>
          <w:szCs w:val="20"/>
        </w:rPr>
        <w:t xml:space="preserve"> </w:t>
      </w:r>
      <w:r w:rsidRPr="00531B12">
        <w:rPr>
          <w:rFonts w:ascii="Abadi" w:hAnsi="Abadi"/>
          <w:b/>
          <w:bCs/>
          <w:sz w:val="20"/>
          <w:szCs w:val="20"/>
        </w:rPr>
        <w:t>SIGNADO</w:t>
      </w:r>
      <w:r w:rsidRPr="00531B12">
        <w:rPr>
          <w:rFonts w:ascii="Abadi" w:hAnsi="Abadi"/>
          <w:b/>
          <w:bCs/>
          <w:spacing w:val="10"/>
          <w:sz w:val="20"/>
          <w:szCs w:val="20"/>
        </w:rPr>
        <w:t xml:space="preserve"> </w:t>
      </w:r>
      <w:r w:rsidRPr="00531B12">
        <w:rPr>
          <w:rFonts w:ascii="Abadi" w:hAnsi="Abadi"/>
          <w:b/>
          <w:bCs/>
          <w:sz w:val="20"/>
          <w:szCs w:val="20"/>
        </w:rPr>
        <w:t>POR</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COMISIÓN</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25"/>
          <w:sz w:val="20"/>
          <w:szCs w:val="20"/>
        </w:rPr>
        <w:t xml:space="preserve"> </w:t>
      </w:r>
      <w:r w:rsidRPr="00531B12">
        <w:rPr>
          <w:rFonts w:ascii="Abadi" w:hAnsi="Abadi"/>
          <w:b/>
          <w:bCs/>
          <w:sz w:val="20"/>
          <w:szCs w:val="20"/>
        </w:rPr>
        <w:t>HACIENDA</w:t>
      </w:r>
      <w:r w:rsidRPr="00531B12">
        <w:rPr>
          <w:rFonts w:ascii="Abadi" w:hAnsi="Abadi"/>
          <w:b/>
          <w:bCs/>
          <w:spacing w:val="25"/>
          <w:sz w:val="20"/>
          <w:szCs w:val="20"/>
        </w:rPr>
        <w:t xml:space="preserve"> </w:t>
      </w:r>
      <w:r w:rsidRPr="00531B12">
        <w:rPr>
          <w:rFonts w:ascii="Abadi" w:hAnsi="Abadi"/>
          <w:b/>
          <w:bCs/>
          <w:sz w:val="20"/>
          <w:szCs w:val="20"/>
        </w:rPr>
        <w:t>Y</w:t>
      </w:r>
      <w:r w:rsidRPr="00531B12">
        <w:rPr>
          <w:rFonts w:ascii="Abadi" w:hAnsi="Abadi"/>
          <w:b/>
          <w:bCs/>
          <w:spacing w:val="25"/>
          <w:sz w:val="20"/>
          <w:szCs w:val="20"/>
        </w:rPr>
        <w:t xml:space="preserve"> </w:t>
      </w:r>
      <w:r w:rsidRPr="00531B12">
        <w:rPr>
          <w:rFonts w:ascii="Abadi" w:hAnsi="Abadi"/>
          <w:b/>
          <w:bCs/>
          <w:sz w:val="20"/>
          <w:szCs w:val="20"/>
        </w:rPr>
        <w:t>FISCALIZACIÓN</w:t>
      </w:r>
      <w:r w:rsidRPr="00531B12">
        <w:rPr>
          <w:rFonts w:ascii="Abadi" w:hAnsi="Abadi"/>
          <w:b/>
          <w:bCs/>
          <w:spacing w:val="25"/>
          <w:sz w:val="20"/>
          <w:szCs w:val="20"/>
        </w:rPr>
        <w:t xml:space="preserve"> </w:t>
      </w:r>
      <w:r w:rsidRPr="00531B12">
        <w:rPr>
          <w:rFonts w:ascii="Abadi" w:hAnsi="Abadi"/>
          <w:b/>
          <w:bCs/>
          <w:sz w:val="20"/>
          <w:szCs w:val="20"/>
        </w:rPr>
        <w:t>RELATIVO</w:t>
      </w:r>
      <w:r w:rsidRPr="00531B12">
        <w:rPr>
          <w:rFonts w:ascii="Abadi" w:hAnsi="Abadi"/>
          <w:b/>
          <w:bCs/>
          <w:spacing w:val="25"/>
          <w:sz w:val="20"/>
          <w:szCs w:val="20"/>
        </w:rPr>
        <w:t xml:space="preserve"> </w:t>
      </w:r>
      <w:r w:rsidRPr="00531B12">
        <w:rPr>
          <w:rFonts w:ascii="Abadi" w:hAnsi="Abadi"/>
          <w:b/>
          <w:bCs/>
          <w:sz w:val="20"/>
          <w:szCs w:val="20"/>
        </w:rPr>
        <w:t>A</w:t>
      </w:r>
      <w:r w:rsidRPr="00531B12">
        <w:rPr>
          <w:rFonts w:ascii="Abadi" w:hAnsi="Abadi"/>
          <w:b/>
          <w:bCs/>
          <w:spacing w:val="25"/>
          <w:sz w:val="20"/>
          <w:szCs w:val="20"/>
        </w:rPr>
        <w:t xml:space="preserve"> </w:t>
      </w:r>
      <w:r w:rsidRPr="00531B12">
        <w:rPr>
          <w:rFonts w:ascii="Abadi" w:hAnsi="Abadi"/>
          <w:b/>
          <w:bCs/>
          <w:sz w:val="20"/>
          <w:szCs w:val="20"/>
        </w:rPr>
        <w:t>LA</w:t>
      </w:r>
      <w:r w:rsidRPr="00531B12">
        <w:rPr>
          <w:rFonts w:ascii="Abadi" w:hAnsi="Abadi"/>
          <w:b/>
          <w:bCs/>
          <w:spacing w:val="25"/>
          <w:sz w:val="20"/>
          <w:szCs w:val="20"/>
        </w:rPr>
        <w:t xml:space="preserve"> </w:t>
      </w:r>
      <w:r w:rsidRPr="00531B12">
        <w:rPr>
          <w:rFonts w:ascii="Abadi" w:hAnsi="Abadi"/>
          <w:b/>
          <w:bCs/>
          <w:sz w:val="20"/>
          <w:szCs w:val="20"/>
        </w:rPr>
        <w:t>INICIATIVA</w:t>
      </w:r>
      <w:r w:rsidRPr="00531B12">
        <w:rPr>
          <w:rFonts w:ascii="Abadi" w:hAnsi="Abadi"/>
          <w:b/>
          <w:bCs/>
          <w:spacing w:val="25"/>
          <w:sz w:val="20"/>
          <w:szCs w:val="20"/>
        </w:rPr>
        <w:t xml:space="preserve"> </w:t>
      </w:r>
      <w:r w:rsidRPr="00531B12">
        <w:rPr>
          <w:rFonts w:ascii="Abadi" w:hAnsi="Abadi"/>
          <w:b/>
          <w:bCs/>
          <w:sz w:val="20"/>
          <w:szCs w:val="20"/>
        </w:rPr>
        <w:t>DE</w:t>
      </w:r>
      <w:r w:rsidRPr="00531B12">
        <w:rPr>
          <w:rFonts w:ascii="Abadi" w:hAnsi="Abadi"/>
          <w:b/>
          <w:bCs/>
          <w:spacing w:val="25"/>
          <w:sz w:val="20"/>
          <w:szCs w:val="20"/>
        </w:rPr>
        <w:t xml:space="preserve"> </w:t>
      </w:r>
      <w:r w:rsidRPr="00531B12">
        <w:rPr>
          <w:rFonts w:ascii="Abadi" w:hAnsi="Abadi"/>
          <w:b/>
          <w:bCs/>
          <w:sz w:val="20"/>
          <w:szCs w:val="20"/>
        </w:rPr>
        <w:t>LEY</w:t>
      </w:r>
      <w:r w:rsidRPr="00531B12">
        <w:rPr>
          <w:rFonts w:ascii="Abadi" w:hAnsi="Abadi"/>
          <w:b/>
          <w:bCs/>
          <w:spacing w:val="25"/>
          <w:sz w:val="20"/>
          <w:szCs w:val="20"/>
        </w:rPr>
        <w:t xml:space="preserve"> </w:t>
      </w:r>
      <w:r w:rsidRPr="00531B12">
        <w:rPr>
          <w:rFonts w:ascii="Abadi" w:hAnsi="Abadi"/>
          <w:b/>
          <w:bCs/>
          <w:sz w:val="20"/>
          <w:szCs w:val="20"/>
        </w:rPr>
        <w:t>DE</w:t>
      </w:r>
      <w:r w:rsidRPr="00531B12">
        <w:rPr>
          <w:rFonts w:ascii="Abadi" w:hAnsi="Abadi"/>
          <w:b/>
          <w:bCs/>
          <w:spacing w:val="25"/>
          <w:sz w:val="20"/>
          <w:szCs w:val="20"/>
        </w:rPr>
        <w:t xml:space="preserve"> </w:t>
      </w:r>
      <w:r w:rsidRPr="00531B12">
        <w:rPr>
          <w:rFonts w:ascii="Abadi" w:hAnsi="Abadi"/>
          <w:b/>
          <w:bCs/>
          <w:sz w:val="20"/>
          <w:szCs w:val="20"/>
        </w:rPr>
        <w:t>PUBLICIDAD</w:t>
      </w:r>
      <w:r w:rsidRPr="00531B12">
        <w:rPr>
          <w:rFonts w:ascii="Abadi" w:hAnsi="Abadi"/>
          <w:b/>
          <w:bCs/>
          <w:spacing w:val="25"/>
          <w:sz w:val="20"/>
          <w:szCs w:val="20"/>
        </w:rPr>
        <w:t xml:space="preserve"> </w:t>
      </w:r>
      <w:r w:rsidRPr="00531B12">
        <w:rPr>
          <w:rFonts w:ascii="Abadi" w:hAnsi="Abadi"/>
          <w:b/>
          <w:bCs/>
          <w:sz w:val="20"/>
          <w:szCs w:val="20"/>
        </w:rPr>
        <w:t>Y</w:t>
      </w:r>
      <w:r w:rsidRPr="00531B12">
        <w:rPr>
          <w:rFonts w:ascii="Abadi" w:hAnsi="Abadi"/>
          <w:b/>
          <w:bCs/>
          <w:spacing w:val="-1"/>
          <w:sz w:val="20"/>
          <w:szCs w:val="20"/>
        </w:rPr>
        <w:t xml:space="preserve"> </w:t>
      </w:r>
      <w:r w:rsidRPr="00531B12">
        <w:rPr>
          <w:rFonts w:ascii="Abadi" w:hAnsi="Abadi"/>
          <w:b/>
          <w:bCs/>
          <w:sz w:val="20"/>
          <w:szCs w:val="20"/>
        </w:rPr>
        <w:t>COMUNICACIÓN</w:t>
      </w:r>
      <w:r w:rsidRPr="00531B12">
        <w:rPr>
          <w:rFonts w:ascii="Abadi" w:hAnsi="Abadi"/>
          <w:b/>
          <w:bCs/>
          <w:spacing w:val="12"/>
          <w:sz w:val="20"/>
          <w:szCs w:val="20"/>
        </w:rPr>
        <w:t xml:space="preserve"> </w:t>
      </w:r>
      <w:r w:rsidRPr="00531B12">
        <w:rPr>
          <w:rFonts w:ascii="Abadi" w:hAnsi="Abadi"/>
          <w:b/>
          <w:bCs/>
          <w:sz w:val="20"/>
          <w:szCs w:val="20"/>
        </w:rPr>
        <w:t>INSTITUCIONAL</w:t>
      </w:r>
      <w:r w:rsidRPr="00531B12">
        <w:rPr>
          <w:rFonts w:ascii="Abadi" w:hAnsi="Abadi"/>
          <w:b/>
          <w:bCs/>
          <w:spacing w:val="12"/>
          <w:sz w:val="20"/>
          <w:szCs w:val="20"/>
        </w:rPr>
        <w:t xml:space="preserve"> </w:t>
      </w:r>
      <w:r w:rsidRPr="00531B12">
        <w:rPr>
          <w:rFonts w:ascii="Abadi" w:hAnsi="Abadi"/>
          <w:b/>
          <w:bCs/>
          <w:sz w:val="20"/>
          <w:szCs w:val="20"/>
        </w:rPr>
        <w:t>PARA</w:t>
      </w:r>
      <w:r w:rsidRPr="00531B12">
        <w:rPr>
          <w:rFonts w:ascii="Abadi" w:hAnsi="Abadi"/>
          <w:b/>
          <w:bCs/>
          <w:spacing w:val="12"/>
          <w:sz w:val="20"/>
          <w:szCs w:val="20"/>
        </w:rPr>
        <w:t xml:space="preserve"> </w:t>
      </w:r>
      <w:r w:rsidRPr="00531B12">
        <w:rPr>
          <w:rFonts w:ascii="Abadi" w:hAnsi="Abadi"/>
          <w:b/>
          <w:bCs/>
          <w:sz w:val="20"/>
          <w:szCs w:val="20"/>
        </w:rPr>
        <w:t>EL</w:t>
      </w:r>
      <w:r w:rsidRPr="00531B12">
        <w:rPr>
          <w:rFonts w:ascii="Abadi" w:hAnsi="Abadi"/>
          <w:b/>
          <w:bCs/>
          <w:spacing w:val="12"/>
          <w:sz w:val="20"/>
          <w:szCs w:val="20"/>
        </w:rPr>
        <w:t xml:space="preserve"> </w:t>
      </w:r>
      <w:r w:rsidRPr="00531B12">
        <w:rPr>
          <w:rFonts w:ascii="Abadi" w:hAnsi="Abadi"/>
          <w:b/>
          <w:bCs/>
          <w:sz w:val="20"/>
          <w:szCs w:val="20"/>
        </w:rPr>
        <w:t>ESTADO</w:t>
      </w:r>
      <w:r w:rsidRPr="00531B12">
        <w:rPr>
          <w:rFonts w:ascii="Abadi" w:hAnsi="Abadi"/>
          <w:b/>
          <w:bCs/>
          <w:spacing w:val="12"/>
          <w:sz w:val="20"/>
          <w:szCs w:val="20"/>
        </w:rPr>
        <w:t xml:space="preserve"> </w:t>
      </w:r>
      <w:r w:rsidRPr="00531B12">
        <w:rPr>
          <w:rFonts w:ascii="Abadi" w:hAnsi="Abadi"/>
          <w:b/>
          <w:bCs/>
          <w:sz w:val="20"/>
          <w:szCs w:val="20"/>
        </w:rPr>
        <w:t>DE</w:t>
      </w:r>
      <w:r w:rsidRPr="00531B12">
        <w:rPr>
          <w:rFonts w:ascii="Abadi" w:hAnsi="Abadi"/>
          <w:b/>
          <w:bCs/>
          <w:spacing w:val="12"/>
          <w:sz w:val="20"/>
          <w:szCs w:val="20"/>
        </w:rPr>
        <w:t xml:space="preserve"> </w:t>
      </w:r>
      <w:r w:rsidRPr="00531B12">
        <w:rPr>
          <w:rFonts w:ascii="Abadi" w:hAnsi="Abadi"/>
          <w:b/>
          <w:bCs/>
          <w:sz w:val="20"/>
          <w:szCs w:val="20"/>
        </w:rPr>
        <w:t>GUANAJUATO</w:t>
      </w:r>
      <w:r w:rsidRPr="00531B12">
        <w:rPr>
          <w:rFonts w:ascii="Abadi" w:hAnsi="Abadi"/>
          <w:b/>
          <w:bCs/>
          <w:spacing w:val="12"/>
          <w:sz w:val="20"/>
          <w:szCs w:val="20"/>
        </w:rPr>
        <w:t xml:space="preserve"> </w:t>
      </w:r>
      <w:r w:rsidRPr="00531B12">
        <w:rPr>
          <w:rFonts w:ascii="Abadi" w:hAnsi="Abadi"/>
          <w:b/>
          <w:bCs/>
          <w:sz w:val="20"/>
          <w:szCs w:val="20"/>
        </w:rPr>
        <w:t>FORMULADA</w:t>
      </w:r>
      <w:r w:rsidRPr="00531B12">
        <w:rPr>
          <w:rFonts w:ascii="Abadi" w:hAnsi="Abadi"/>
          <w:b/>
          <w:bCs/>
          <w:spacing w:val="12"/>
          <w:sz w:val="20"/>
          <w:szCs w:val="20"/>
        </w:rPr>
        <w:t xml:space="preserve"> </w:t>
      </w:r>
      <w:r w:rsidRPr="00531B12">
        <w:rPr>
          <w:rFonts w:ascii="Abadi" w:hAnsi="Abadi"/>
          <w:b/>
          <w:bCs/>
          <w:sz w:val="20"/>
          <w:szCs w:val="20"/>
        </w:rPr>
        <w:t>POR</w:t>
      </w:r>
      <w:r w:rsidRPr="00531B12">
        <w:rPr>
          <w:rFonts w:ascii="Abadi" w:hAnsi="Abadi"/>
          <w:b/>
          <w:bCs/>
          <w:spacing w:val="12"/>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DIPUTADA</w:t>
      </w:r>
      <w:r w:rsidRPr="00531B12">
        <w:rPr>
          <w:rFonts w:ascii="Abadi" w:hAnsi="Abadi"/>
          <w:b/>
          <w:bCs/>
          <w:spacing w:val="63"/>
          <w:sz w:val="20"/>
          <w:szCs w:val="20"/>
        </w:rPr>
        <w:t xml:space="preserve"> </w:t>
      </w:r>
      <w:r w:rsidRPr="00531B12">
        <w:rPr>
          <w:rFonts w:ascii="Abadi" w:hAnsi="Abadi"/>
          <w:b/>
          <w:bCs/>
          <w:sz w:val="20"/>
          <w:szCs w:val="20"/>
        </w:rPr>
        <w:t>Y</w:t>
      </w:r>
      <w:r w:rsidRPr="00531B12">
        <w:rPr>
          <w:rFonts w:ascii="Abadi" w:hAnsi="Abadi"/>
          <w:b/>
          <w:bCs/>
          <w:spacing w:val="63"/>
          <w:sz w:val="20"/>
          <w:szCs w:val="20"/>
        </w:rPr>
        <w:t xml:space="preserve"> </w:t>
      </w:r>
      <w:r w:rsidRPr="00531B12">
        <w:rPr>
          <w:rFonts w:ascii="Abadi" w:hAnsi="Abadi"/>
          <w:b/>
          <w:bCs/>
          <w:sz w:val="20"/>
          <w:szCs w:val="20"/>
        </w:rPr>
        <w:t>EL</w:t>
      </w:r>
      <w:r w:rsidRPr="00531B12">
        <w:rPr>
          <w:rFonts w:ascii="Abadi" w:hAnsi="Abadi"/>
          <w:b/>
          <w:bCs/>
          <w:spacing w:val="62"/>
          <w:sz w:val="20"/>
          <w:szCs w:val="20"/>
        </w:rPr>
        <w:t xml:space="preserve"> </w:t>
      </w:r>
      <w:r w:rsidRPr="00531B12">
        <w:rPr>
          <w:rFonts w:ascii="Abadi" w:hAnsi="Abadi"/>
          <w:b/>
          <w:bCs/>
          <w:sz w:val="20"/>
          <w:szCs w:val="20"/>
        </w:rPr>
        <w:t>DIPUTADO</w:t>
      </w:r>
      <w:r w:rsidRPr="00531B12">
        <w:rPr>
          <w:rFonts w:ascii="Abadi" w:hAnsi="Abadi"/>
          <w:b/>
          <w:bCs/>
          <w:spacing w:val="63"/>
          <w:sz w:val="20"/>
          <w:szCs w:val="20"/>
        </w:rPr>
        <w:t xml:space="preserve"> </w:t>
      </w:r>
      <w:r w:rsidRPr="00531B12">
        <w:rPr>
          <w:rFonts w:ascii="Abadi" w:hAnsi="Abadi"/>
          <w:b/>
          <w:bCs/>
          <w:sz w:val="20"/>
          <w:szCs w:val="20"/>
        </w:rPr>
        <w:t>INTEGRANTES</w:t>
      </w:r>
      <w:r w:rsidRPr="00531B12">
        <w:rPr>
          <w:rFonts w:ascii="Abadi" w:hAnsi="Abadi"/>
          <w:b/>
          <w:bCs/>
          <w:spacing w:val="63"/>
          <w:sz w:val="20"/>
          <w:szCs w:val="20"/>
        </w:rPr>
        <w:t xml:space="preserve"> </w:t>
      </w:r>
      <w:r w:rsidRPr="00531B12">
        <w:rPr>
          <w:rFonts w:ascii="Abadi" w:hAnsi="Abadi"/>
          <w:b/>
          <w:bCs/>
          <w:sz w:val="20"/>
          <w:szCs w:val="20"/>
        </w:rPr>
        <w:t>DEL</w:t>
      </w:r>
      <w:r w:rsidRPr="00531B12">
        <w:rPr>
          <w:rFonts w:ascii="Abadi" w:hAnsi="Abadi"/>
          <w:b/>
          <w:bCs/>
          <w:spacing w:val="62"/>
          <w:sz w:val="20"/>
          <w:szCs w:val="20"/>
        </w:rPr>
        <w:t xml:space="preserve"> </w:t>
      </w:r>
      <w:r w:rsidRPr="00531B12">
        <w:rPr>
          <w:rFonts w:ascii="Abadi" w:hAnsi="Abadi"/>
          <w:b/>
          <w:bCs/>
          <w:sz w:val="20"/>
          <w:szCs w:val="20"/>
        </w:rPr>
        <w:t>GRUPO</w:t>
      </w:r>
      <w:r w:rsidRPr="00531B12">
        <w:rPr>
          <w:rFonts w:ascii="Abadi" w:hAnsi="Abadi"/>
          <w:b/>
          <w:bCs/>
          <w:spacing w:val="63"/>
          <w:sz w:val="20"/>
          <w:szCs w:val="20"/>
        </w:rPr>
        <w:t xml:space="preserve"> </w:t>
      </w:r>
      <w:r w:rsidRPr="00531B12">
        <w:rPr>
          <w:rFonts w:ascii="Abadi" w:hAnsi="Abadi"/>
          <w:b/>
          <w:bCs/>
          <w:sz w:val="20"/>
          <w:szCs w:val="20"/>
        </w:rPr>
        <w:t>PARLAMENTARIO</w:t>
      </w:r>
      <w:r w:rsidRPr="00531B12">
        <w:rPr>
          <w:rFonts w:ascii="Abadi" w:hAnsi="Abadi"/>
          <w:b/>
          <w:bCs/>
          <w:spacing w:val="63"/>
          <w:sz w:val="20"/>
          <w:szCs w:val="20"/>
        </w:rPr>
        <w:t xml:space="preserve"> </w:t>
      </w:r>
      <w:r w:rsidRPr="00531B12">
        <w:rPr>
          <w:rFonts w:ascii="Abadi" w:hAnsi="Abadi"/>
          <w:b/>
          <w:bCs/>
          <w:sz w:val="20"/>
          <w:szCs w:val="20"/>
        </w:rPr>
        <w:t>DEL</w:t>
      </w:r>
      <w:r w:rsidRPr="00531B12">
        <w:rPr>
          <w:rFonts w:ascii="Abadi" w:hAnsi="Abadi"/>
          <w:b/>
          <w:bCs/>
          <w:spacing w:val="62"/>
          <w:sz w:val="20"/>
          <w:szCs w:val="20"/>
        </w:rPr>
        <w:t xml:space="preserve"> </w:t>
      </w:r>
      <w:r w:rsidRPr="00531B12">
        <w:rPr>
          <w:rFonts w:ascii="Abadi" w:hAnsi="Abadi"/>
          <w:b/>
          <w:bCs/>
          <w:sz w:val="20"/>
          <w:szCs w:val="20"/>
        </w:rPr>
        <w:t>PARTIDO</w:t>
      </w:r>
      <w:r w:rsidRPr="00531B12">
        <w:rPr>
          <w:rFonts w:ascii="Abadi" w:hAnsi="Abadi"/>
          <w:b/>
          <w:bCs/>
          <w:spacing w:val="-1"/>
          <w:sz w:val="20"/>
          <w:szCs w:val="20"/>
        </w:rPr>
        <w:t xml:space="preserve"> </w:t>
      </w:r>
      <w:r w:rsidRPr="00531B12">
        <w:rPr>
          <w:rFonts w:ascii="Abadi" w:hAnsi="Abadi"/>
          <w:b/>
          <w:bCs/>
          <w:sz w:val="20"/>
          <w:szCs w:val="20"/>
        </w:rPr>
        <w:t>VERDE ECOLOGISTA DE MÉXICO ANTE LA SEXAGÉSIMA CUARTA LEGISLATURA.</w:t>
      </w:r>
    </w:p>
    <w:p w14:paraId="322F38DB" w14:textId="5101309A" w:rsidR="0065724A" w:rsidRDefault="0065724A" w:rsidP="00FB4A30">
      <w:pPr>
        <w:rPr>
          <w:rFonts w:ascii="Abadi" w:hAnsi="Abadi"/>
          <w:sz w:val="20"/>
          <w:szCs w:val="20"/>
        </w:rPr>
      </w:pPr>
    </w:p>
    <w:p w14:paraId="7C058ACB" w14:textId="77777777" w:rsidR="00EF5F19" w:rsidRPr="00EF5F19" w:rsidRDefault="00EF5F19" w:rsidP="00EF5F19">
      <w:pPr>
        <w:autoSpaceDE w:val="0"/>
        <w:autoSpaceDN w:val="0"/>
        <w:adjustRightInd w:val="0"/>
        <w:ind w:right="615"/>
        <w:jc w:val="both"/>
        <w:rPr>
          <w:rFonts w:ascii="Abadi" w:eastAsia="Batang" w:hAnsi="Abadi" w:cs="Arial"/>
          <w:b/>
          <w:bCs/>
          <w:smallCaps/>
          <w:sz w:val="21"/>
          <w:szCs w:val="21"/>
          <w:lang w:val="es-MX"/>
        </w:rPr>
      </w:pPr>
      <w:r w:rsidRPr="00EF5F19">
        <w:rPr>
          <w:rFonts w:ascii="Abadi" w:eastAsia="Batang" w:hAnsi="Abadi" w:cs="Arial"/>
          <w:b/>
          <w:bCs/>
          <w:smallCaps/>
          <w:sz w:val="21"/>
          <w:szCs w:val="21"/>
          <w:lang w:val="es-MX"/>
        </w:rPr>
        <w:t>C. Presidenta del Congreso del Estado</w:t>
      </w:r>
    </w:p>
    <w:p w14:paraId="7BAA894D" w14:textId="77777777" w:rsidR="00EF5F19" w:rsidRPr="00EF5F19" w:rsidRDefault="00EF5F19" w:rsidP="00EF5F19">
      <w:pPr>
        <w:autoSpaceDE w:val="0"/>
        <w:autoSpaceDN w:val="0"/>
        <w:adjustRightInd w:val="0"/>
        <w:ind w:right="615"/>
        <w:jc w:val="both"/>
        <w:rPr>
          <w:rFonts w:ascii="Abadi" w:eastAsia="Batang" w:hAnsi="Abadi" w:cs="Arial"/>
          <w:b/>
          <w:bCs/>
          <w:smallCaps/>
          <w:sz w:val="21"/>
          <w:szCs w:val="21"/>
          <w:lang w:val="es-MX"/>
        </w:rPr>
      </w:pPr>
      <w:r w:rsidRPr="00EF5F19">
        <w:rPr>
          <w:rFonts w:ascii="Abadi" w:eastAsia="Batang" w:hAnsi="Abadi" w:cs="Arial"/>
          <w:b/>
          <w:bCs/>
          <w:smallCaps/>
          <w:sz w:val="21"/>
          <w:szCs w:val="21"/>
          <w:lang w:val="es-MX"/>
        </w:rPr>
        <w:t>P r e s e n t e.</w:t>
      </w:r>
    </w:p>
    <w:p w14:paraId="58623D0B" w14:textId="77777777" w:rsidR="00EF5F19" w:rsidRPr="00EF5F19" w:rsidRDefault="00EF5F19" w:rsidP="00EF5F19">
      <w:pPr>
        <w:spacing w:line="360" w:lineRule="auto"/>
        <w:jc w:val="both"/>
        <w:rPr>
          <w:rFonts w:ascii="Abadi" w:eastAsia="Batang" w:hAnsi="Abadi" w:cs="Arial"/>
          <w:sz w:val="21"/>
          <w:szCs w:val="21"/>
        </w:rPr>
      </w:pPr>
    </w:p>
    <w:p w14:paraId="4BCCA264" w14:textId="77777777" w:rsidR="00EF5F19" w:rsidRPr="00EF5F19" w:rsidRDefault="00EF5F19" w:rsidP="00EF5F19">
      <w:pPr>
        <w:ind w:firstLine="851"/>
        <w:jc w:val="both"/>
        <w:rPr>
          <w:rFonts w:ascii="Abadi" w:hAnsi="Abadi" w:cs="Arial"/>
          <w:sz w:val="21"/>
          <w:szCs w:val="21"/>
        </w:rPr>
      </w:pPr>
      <w:r w:rsidRPr="00EF5F19">
        <w:rPr>
          <w:rFonts w:ascii="Abadi" w:hAnsi="Abadi" w:cs="Arial"/>
          <w:sz w:val="21"/>
          <w:szCs w:val="21"/>
        </w:rPr>
        <w:t xml:space="preserve">A la Comisión de Hacienda y Fiscalización de la Sexagésima Cuarta Legislatura le fue turnada para efecto de estudio y dictamen, la iniciativa </w:t>
      </w:r>
      <w:bookmarkStart w:id="25" w:name="_Hlk54342532"/>
      <w:r w:rsidRPr="00EF5F19">
        <w:rPr>
          <w:rFonts w:ascii="Abadi" w:hAnsi="Abadi"/>
          <w:sz w:val="21"/>
          <w:szCs w:val="21"/>
        </w:rPr>
        <w:t xml:space="preserve">de </w:t>
      </w:r>
      <w:r w:rsidRPr="00EF5F19">
        <w:rPr>
          <w:rFonts w:ascii="Abadi" w:hAnsi="Abadi"/>
          <w:bCs/>
          <w:sz w:val="21"/>
          <w:szCs w:val="21"/>
        </w:rPr>
        <w:t>Ley de Publicidad y Comunicación Institucional para el Estado de Guanajuato</w:t>
      </w:r>
      <w:r w:rsidRPr="00EF5F19">
        <w:rPr>
          <w:rFonts w:ascii="Abadi" w:hAnsi="Abadi"/>
          <w:sz w:val="21"/>
          <w:szCs w:val="21"/>
          <w:lang w:val="es-ES_tradnl"/>
        </w:rPr>
        <w:t xml:space="preserve"> formulada por la diputada y el diputado integrantes del Grupo Parlamentario del Partido Verde Ecologista de México</w:t>
      </w:r>
      <w:bookmarkEnd w:id="25"/>
      <w:r w:rsidRPr="00EF5F19">
        <w:rPr>
          <w:rFonts w:ascii="Abadi" w:hAnsi="Abadi" w:cs="Arial"/>
          <w:sz w:val="21"/>
          <w:szCs w:val="21"/>
        </w:rPr>
        <w:t>.</w:t>
      </w:r>
    </w:p>
    <w:p w14:paraId="047EB68A" w14:textId="77777777" w:rsidR="00EF5F19" w:rsidRPr="00EF5F19" w:rsidRDefault="00EF5F19" w:rsidP="00EF5F19">
      <w:pPr>
        <w:tabs>
          <w:tab w:val="left" w:pos="0"/>
        </w:tabs>
        <w:jc w:val="both"/>
        <w:rPr>
          <w:rFonts w:ascii="Abadi" w:hAnsi="Abadi" w:cs="Arial"/>
          <w:sz w:val="21"/>
          <w:szCs w:val="21"/>
        </w:rPr>
      </w:pPr>
    </w:p>
    <w:p w14:paraId="0C2D884E" w14:textId="77777777" w:rsidR="00EF5F19" w:rsidRPr="00EF5F19" w:rsidRDefault="00EF5F19" w:rsidP="00EF5F19">
      <w:pPr>
        <w:tabs>
          <w:tab w:val="left" w:pos="0"/>
        </w:tabs>
        <w:ind w:firstLine="851"/>
        <w:jc w:val="both"/>
        <w:rPr>
          <w:rFonts w:ascii="Abadi" w:eastAsia="Batang" w:hAnsi="Abadi" w:cs="Arial"/>
          <w:color w:val="000000"/>
          <w:sz w:val="21"/>
          <w:szCs w:val="21"/>
        </w:rPr>
      </w:pPr>
      <w:r w:rsidRPr="00EF5F19">
        <w:rPr>
          <w:rFonts w:ascii="Abadi" w:eastAsia="Batang" w:hAnsi="Abadi" w:cs="Arial"/>
          <w:color w:val="000000"/>
          <w:sz w:val="21"/>
          <w:szCs w:val="21"/>
          <w:lang w:val="es-MX"/>
        </w:rPr>
        <w:t xml:space="preserve">Con fundamento en </w:t>
      </w:r>
      <w:r w:rsidRPr="00EF5F19">
        <w:rPr>
          <w:rFonts w:ascii="Abadi" w:eastAsia="Batang" w:hAnsi="Abadi" w:cs="Arial"/>
          <w:color w:val="000000"/>
          <w:sz w:val="21"/>
          <w:szCs w:val="21"/>
        </w:rPr>
        <w:t xml:space="preserve">los artículos 89, fracción V; 112, fracción XV; y 171 de </w:t>
      </w:r>
      <w:smartTag w:uri="urn:schemas-microsoft-com:office:smarttags" w:element="PersonName">
        <w:smartTagPr>
          <w:attr w:name="ProductID" w:val="la Ley Org￡nica"/>
        </w:smartTagPr>
        <w:r w:rsidRPr="00EF5F19">
          <w:rPr>
            <w:rFonts w:ascii="Abadi" w:eastAsia="Batang" w:hAnsi="Abadi" w:cs="Arial"/>
            <w:color w:val="000000"/>
            <w:sz w:val="21"/>
            <w:szCs w:val="21"/>
          </w:rPr>
          <w:t>la Ley Orgánica</w:t>
        </w:r>
      </w:smartTag>
      <w:r w:rsidRPr="00EF5F19">
        <w:rPr>
          <w:rFonts w:ascii="Abadi" w:eastAsia="Batang" w:hAnsi="Abadi" w:cs="Arial"/>
          <w:color w:val="000000"/>
          <w:sz w:val="21"/>
          <w:szCs w:val="21"/>
        </w:rPr>
        <w:t xml:space="preserve"> del Poder Legislativo del Estado de Guanajuato, analizamos la iniciativa referida, presentando a la consideración de </w:t>
      </w:r>
      <w:smartTag w:uri="urn:schemas-microsoft-com:office:smarttags" w:element="PersonName">
        <w:smartTagPr>
          <w:attr w:name="ProductID" w:val="la Asamblea"/>
        </w:smartTagPr>
        <w:r w:rsidRPr="00EF5F19">
          <w:rPr>
            <w:rFonts w:ascii="Abadi" w:eastAsia="Batang" w:hAnsi="Abadi" w:cs="Arial"/>
            <w:color w:val="000000"/>
            <w:sz w:val="21"/>
            <w:szCs w:val="21"/>
          </w:rPr>
          <w:t>la Asamblea</w:t>
        </w:r>
      </w:smartTag>
      <w:r w:rsidRPr="00EF5F19">
        <w:rPr>
          <w:rFonts w:ascii="Abadi" w:eastAsia="Batang" w:hAnsi="Abadi" w:cs="Arial"/>
          <w:color w:val="000000"/>
          <w:sz w:val="21"/>
          <w:szCs w:val="21"/>
        </w:rPr>
        <w:t xml:space="preserve"> el siguiente:</w:t>
      </w:r>
    </w:p>
    <w:p w14:paraId="49D2C657" w14:textId="77777777" w:rsidR="00EF5F19" w:rsidRPr="00EF5F19" w:rsidRDefault="00EF5F19" w:rsidP="00EF5F19">
      <w:pPr>
        <w:spacing w:line="360" w:lineRule="auto"/>
        <w:jc w:val="both"/>
        <w:rPr>
          <w:rFonts w:ascii="Abadi" w:hAnsi="Abadi" w:cs="Arial"/>
          <w:b/>
          <w:bCs/>
          <w:sz w:val="21"/>
          <w:szCs w:val="21"/>
        </w:rPr>
      </w:pPr>
    </w:p>
    <w:p w14:paraId="360FE5AD" w14:textId="77777777" w:rsidR="00EF5F19" w:rsidRPr="00EF5F19" w:rsidRDefault="00EF5F19" w:rsidP="00EF5F19">
      <w:pPr>
        <w:spacing w:line="360" w:lineRule="auto"/>
        <w:jc w:val="center"/>
        <w:rPr>
          <w:rFonts w:ascii="Abadi" w:hAnsi="Abadi" w:cs="Arial"/>
          <w:b/>
          <w:bCs/>
          <w:sz w:val="21"/>
          <w:szCs w:val="21"/>
        </w:rPr>
      </w:pPr>
      <w:r w:rsidRPr="00EF5F19">
        <w:rPr>
          <w:rFonts w:ascii="Abadi" w:hAnsi="Abadi" w:cs="Arial"/>
          <w:b/>
          <w:bCs/>
          <w:sz w:val="21"/>
          <w:szCs w:val="21"/>
        </w:rPr>
        <w:t>D i c t a m e n</w:t>
      </w:r>
    </w:p>
    <w:p w14:paraId="1AEAF12C" w14:textId="77777777" w:rsidR="00EF5F19" w:rsidRPr="00EF5F19" w:rsidRDefault="00EF5F19" w:rsidP="00EF5F19">
      <w:pPr>
        <w:jc w:val="both"/>
        <w:rPr>
          <w:rFonts w:ascii="Abadi" w:hAnsi="Abadi" w:cs="Arial"/>
          <w:sz w:val="21"/>
          <w:szCs w:val="21"/>
          <w:lang w:val="es-MX"/>
        </w:rPr>
      </w:pPr>
    </w:p>
    <w:p w14:paraId="4232D7DC" w14:textId="77777777" w:rsidR="00EF5F19" w:rsidRPr="00EF5F19" w:rsidRDefault="00EF5F19" w:rsidP="00EF5F19">
      <w:pPr>
        <w:rPr>
          <w:rFonts w:ascii="Abadi" w:hAnsi="Abadi" w:cs="Arial"/>
          <w:b/>
          <w:bCs/>
          <w:sz w:val="21"/>
          <w:szCs w:val="21"/>
        </w:rPr>
      </w:pPr>
      <w:r w:rsidRPr="00EF5F19">
        <w:rPr>
          <w:rFonts w:ascii="Abadi" w:hAnsi="Abadi" w:cs="Arial"/>
          <w:b/>
          <w:bCs/>
          <w:sz w:val="21"/>
          <w:szCs w:val="21"/>
        </w:rPr>
        <w:t>I.</w:t>
      </w:r>
      <w:r w:rsidRPr="00EF5F19">
        <w:rPr>
          <w:rFonts w:ascii="Abadi" w:hAnsi="Abadi" w:cs="Arial"/>
          <w:b/>
          <w:bCs/>
          <w:sz w:val="21"/>
          <w:szCs w:val="21"/>
        </w:rPr>
        <w:tab/>
        <w:t>Proceso legislativo.</w:t>
      </w:r>
    </w:p>
    <w:p w14:paraId="338FF993" w14:textId="77777777" w:rsidR="00EF5F19" w:rsidRPr="00EF5F19" w:rsidRDefault="00EF5F19" w:rsidP="00EF5F19">
      <w:pPr>
        <w:ind w:firstLine="709"/>
        <w:jc w:val="both"/>
        <w:rPr>
          <w:rFonts w:ascii="Abadi" w:hAnsi="Abadi" w:cs="Arial"/>
          <w:sz w:val="21"/>
          <w:szCs w:val="21"/>
        </w:rPr>
      </w:pPr>
    </w:p>
    <w:p w14:paraId="35665066" w14:textId="77777777" w:rsidR="00EF5F19" w:rsidRPr="00EF5F19" w:rsidRDefault="00EF5F19" w:rsidP="00EF5F19">
      <w:pPr>
        <w:jc w:val="both"/>
        <w:rPr>
          <w:rFonts w:ascii="Abadi" w:hAnsi="Abadi" w:cs="Arial"/>
          <w:sz w:val="21"/>
          <w:szCs w:val="21"/>
        </w:rPr>
      </w:pPr>
      <w:r w:rsidRPr="00EF5F19">
        <w:rPr>
          <w:rFonts w:ascii="Abadi" w:hAnsi="Abadi" w:cs="Arial"/>
          <w:b/>
          <w:bCs/>
          <w:sz w:val="21"/>
          <w:szCs w:val="21"/>
        </w:rPr>
        <w:t>I.1.</w:t>
      </w:r>
      <w:r w:rsidRPr="00EF5F19">
        <w:rPr>
          <w:rFonts w:ascii="Abadi" w:hAnsi="Abadi" w:cs="Arial"/>
          <w:sz w:val="21"/>
          <w:szCs w:val="21"/>
        </w:rPr>
        <w:tab/>
        <w:t xml:space="preserve">En sesión ordinaria celebrada el 11 de marzo de 2019 se presentó la iniciativa </w:t>
      </w:r>
      <w:r w:rsidRPr="00EF5F19">
        <w:rPr>
          <w:rFonts w:ascii="Abadi" w:hAnsi="Abadi"/>
          <w:sz w:val="21"/>
          <w:szCs w:val="21"/>
        </w:rPr>
        <w:t xml:space="preserve">de </w:t>
      </w:r>
      <w:r w:rsidRPr="00EF5F19">
        <w:rPr>
          <w:rFonts w:ascii="Abadi" w:hAnsi="Abadi"/>
          <w:bCs/>
          <w:sz w:val="21"/>
          <w:szCs w:val="21"/>
        </w:rPr>
        <w:t>Ley de Publicidad y Comunicación Institucional para el Estado de Guanajuato</w:t>
      </w:r>
      <w:r w:rsidRPr="00EF5F19">
        <w:rPr>
          <w:rFonts w:ascii="Abadi" w:hAnsi="Abadi"/>
          <w:sz w:val="21"/>
          <w:szCs w:val="21"/>
          <w:lang w:val="es-ES_tradnl"/>
        </w:rPr>
        <w:t xml:space="preserve"> formulada por la diputada y el diputado integrantes del Grupo Parlamentario del Partido Verde Ecologista de México</w:t>
      </w:r>
      <w:r w:rsidRPr="00EF5F19">
        <w:rPr>
          <w:rFonts w:ascii="Abadi" w:hAnsi="Abadi" w:cs="Arial"/>
          <w:sz w:val="21"/>
          <w:szCs w:val="21"/>
        </w:rPr>
        <w:t>.</w:t>
      </w:r>
    </w:p>
    <w:p w14:paraId="31272449" w14:textId="77777777" w:rsidR="00EF5F19" w:rsidRPr="00EF5F19" w:rsidRDefault="00EF5F19" w:rsidP="00EF5F19">
      <w:pPr>
        <w:jc w:val="both"/>
        <w:rPr>
          <w:rFonts w:ascii="Abadi" w:hAnsi="Abadi" w:cs="Arial"/>
          <w:sz w:val="21"/>
          <w:szCs w:val="21"/>
        </w:rPr>
      </w:pPr>
    </w:p>
    <w:p w14:paraId="45A7C615" w14:textId="77777777" w:rsidR="00EF5F19" w:rsidRPr="00EF5F19" w:rsidRDefault="00EF5F19" w:rsidP="00EF5F19">
      <w:pPr>
        <w:jc w:val="both"/>
        <w:rPr>
          <w:rFonts w:ascii="Abadi" w:hAnsi="Abadi" w:cs="Arial"/>
          <w:sz w:val="21"/>
          <w:szCs w:val="21"/>
        </w:rPr>
      </w:pPr>
      <w:r w:rsidRPr="00EF5F19">
        <w:rPr>
          <w:rFonts w:ascii="Abadi" w:hAnsi="Abadi" w:cs="Arial"/>
          <w:sz w:val="21"/>
          <w:szCs w:val="21"/>
        </w:rPr>
        <w:t xml:space="preserve">La presidencia del Congreso turnó la referida iniciativa a la Comisión de Hacienda y Fiscalización para su estudio y dictamen, misma que la radicó el 26 de marzo de 2019. </w:t>
      </w:r>
    </w:p>
    <w:p w14:paraId="5066EAFF" w14:textId="77777777" w:rsidR="00EF5F19" w:rsidRPr="00EF5F19" w:rsidRDefault="00EF5F19" w:rsidP="00EF5F19">
      <w:pPr>
        <w:ind w:firstLine="708"/>
        <w:jc w:val="both"/>
        <w:rPr>
          <w:rFonts w:ascii="Abadi" w:eastAsia="Batang" w:hAnsi="Abadi" w:cs="Arial"/>
          <w:sz w:val="21"/>
          <w:szCs w:val="21"/>
        </w:rPr>
      </w:pPr>
    </w:p>
    <w:p w14:paraId="17520A89" w14:textId="77777777" w:rsidR="00EF5F19" w:rsidRPr="00EF5F19" w:rsidRDefault="00EF5F19" w:rsidP="00EF5F19">
      <w:pPr>
        <w:jc w:val="both"/>
        <w:rPr>
          <w:rFonts w:ascii="Abadi" w:eastAsia="Batang" w:hAnsi="Abadi" w:cs="Arial"/>
          <w:sz w:val="21"/>
          <w:szCs w:val="21"/>
        </w:rPr>
      </w:pPr>
      <w:r w:rsidRPr="00EF5F19">
        <w:rPr>
          <w:rFonts w:ascii="Abadi" w:hAnsi="Abadi" w:cs="Arial"/>
          <w:b/>
          <w:bCs/>
          <w:sz w:val="21"/>
          <w:szCs w:val="21"/>
        </w:rPr>
        <w:t>I.2.</w:t>
      </w:r>
      <w:r w:rsidRPr="00EF5F19">
        <w:rPr>
          <w:rFonts w:ascii="Abadi" w:hAnsi="Abadi" w:cs="Arial"/>
          <w:sz w:val="21"/>
          <w:szCs w:val="21"/>
        </w:rPr>
        <w:t xml:space="preserve"> </w:t>
      </w:r>
      <w:r w:rsidRPr="00EF5F19">
        <w:rPr>
          <w:rFonts w:ascii="Abadi" w:eastAsia="Batang" w:hAnsi="Abadi" w:cs="Arial"/>
          <w:sz w:val="21"/>
          <w:szCs w:val="21"/>
        </w:rPr>
        <w:t xml:space="preserve">En la reunión de la Comisión de Hacienda y Fiscalización que tuvo verificativo el 4 de junio de 2019 se aprobó como metodología para el análisis y dictaminación de la iniciativa, que la misma se remitiera a las diputadas y a los diputados integrantes de la Sexagésima Cuarta Legislatura; al Poder Judicial del Estado, a los organismos autónomos, a los 46 ayuntamientos, a la Coordinación General Jurídica de Gobierno del Estado,  a la Auditoría Superior del Estado y a la Unidad de Estudios de las Finanzas Públicas del Congreso del Estado, quienes contaron con un plazo de 30 días hábiles, para remitir los comentarios y observaciones que estimaran pertinentes. Se estableció además un </w:t>
      </w:r>
      <w:proofErr w:type="gramStart"/>
      <w:r w:rsidRPr="00EF5F19">
        <w:rPr>
          <w:rFonts w:ascii="Abadi" w:eastAsia="Batang" w:hAnsi="Abadi" w:cs="Arial"/>
          <w:sz w:val="21"/>
          <w:szCs w:val="21"/>
        </w:rPr>
        <w:t>link</w:t>
      </w:r>
      <w:proofErr w:type="gramEnd"/>
      <w:r w:rsidRPr="00EF5F19">
        <w:rPr>
          <w:rFonts w:ascii="Abadi" w:eastAsia="Batang" w:hAnsi="Abadi" w:cs="Arial"/>
          <w:sz w:val="21"/>
          <w:szCs w:val="21"/>
        </w:rPr>
        <w:t xml:space="preserve"> en la página web del Congreso del Estado, para que la iniciativa pudiera ser consultada y emitir observaciones en un plazo de 30 días hábiles.</w:t>
      </w:r>
    </w:p>
    <w:p w14:paraId="416AF1B3" w14:textId="77777777" w:rsidR="00EF5F19" w:rsidRPr="00EF5F19" w:rsidRDefault="00EF5F19" w:rsidP="00EF5F19">
      <w:pPr>
        <w:jc w:val="both"/>
        <w:rPr>
          <w:rFonts w:ascii="Abadi" w:eastAsia="Batang" w:hAnsi="Abadi" w:cs="Arial"/>
          <w:sz w:val="21"/>
          <w:szCs w:val="21"/>
        </w:rPr>
      </w:pPr>
    </w:p>
    <w:p w14:paraId="6D6B4D2F" w14:textId="1549B5E4" w:rsidR="00EF5F19" w:rsidRPr="00EF5F19" w:rsidRDefault="00EF5F19" w:rsidP="00EF5F19">
      <w:pPr>
        <w:jc w:val="both"/>
        <w:rPr>
          <w:rFonts w:ascii="Abadi" w:eastAsia="Batang" w:hAnsi="Abadi" w:cs="Arial"/>
          <w:sz w:val="21"/>
          <w:szCs w:val="21"/>
        </w:rPr>
      </w:pPr>
      <w:r w:rsidRPr="00EF5F19">
        <w:rPr>
          <w:rFonts w:ascii="Abadi" w:eastAsia="Batang" w:hAnsi="Abadi" w:cs="Arial"/>
          <w:sz w:val="21"/>
          <w:szCs w:val="21"/>
        </w:rPr>
        <w:t xml:space="preserve">Al respecto, se recibieron opiniones, observaciones, propuestas y comentarios de: la Procuraduría de los Derechos Humanos del Estado de Guanajuato, </w:t>
      </w:r>
      <w:r w:rsidRPr="00EF5F19">
        <w:rPr>
          <w:rFonts w:ascii="Abadi" w:eastAsia="Batang" w:hAnsi="Abadi" w:cs="Arial"/>
          <w:bCs/>
          <w:sz w:val="21"/>
          <w:szCs w:val="21"/>
        </w:rPr>
        <w:t xml:space="preserve">el Instituto Electoral del Estado de Guanajuato, </w:t>
      </w:r>
      <w:r w:rsidRPr="00EF5F19">
        <w:rPr>
          <w:rFonts w:ascii="Abadi" w:eastAsia="Batang" w:hAnsi="Abadi" w:cs="Arial"/>
          <w:sz w:val="21"/>
          <w:szCs w:val="21"/>
        </w:rPr>
        <w:t>el Tribunal de Justicia Administrativa del Estado, la Auditoría Superior del Estado de Guanajuato, así como los ayuntamientos de Celaya y León, Gto., y la Unidad de Estudios de las Finanzas Públicas del Congreso del Estado.</w:t>
      </w:r>
    </w:p>
    <w:p w14:paraId="487CF3F1" w14:textId="77777777" w:rsidR="00EF5F19" w:rsidRPr="00EF5F19" w:rsidRDefault="00EF5F19" w:rsidP="00EF5F19">
      <w:pPr>
        <w:jc w:val="both"/>
        <w:rPr>
          <w:rFonts w:ascii="Abadi" w:eastAsia="Batang" w:hAnsi="Abadi" w:cs="Arial"/>
          <w:sz w:val="21"/>
          <w:szCs w:val="21"/>
        </w:rPr>
      </w:pPr>
    </w:p>
    <w:p w14:paraId="7CA745BB" w14:textId="77777777" w:rsidR="00EF5F19" w:rsidRPr="00EF5F19" w:rsidRDefault="00EF5F19" w:rsidP="00EF5F19">
      <w:pPr>
        <w:jc w:val="both"/>
        <w:rPr>
          <w:rFonts w:ascii="Abadi" w:eastAsia="Batang" w:hAnsi="Abadi" w:cs="Arial"/>
          <w:bCs/>
          <w:sz w:val="21"/>
          <w:szCs w:val="21"/>
        </w:rPr>
      </w:pPr>
      <w:r w:rsidRPr="00EF5F19">
        <w:rPr>
          <w:rFonts w:ascii="Abadi" w:eastAsia="Batang" w:hAnsi="Abadi" w:cs="Arial"/>
          <w:sz w:val="21"/>
          <w:szCs w:val="21"/>
        </w:rPr>
        <w:t>Por su parte, los ayuntamientos de Coroneo, Doctor Mora, Jaral del Progreso, Moroleón, Romita, Santiago Maravatío y Uriangato, a</w:t>
      </w:r>
      <w:r w:rsidRPr="00EF5F19">
        <w:rPr>
          <w:rFonts w:ascii="Abadi" w:eastAsia="Batang" w:hAnsi="Abadi" w:cs="Arial"/>
          <w:bCs/>
          <w:sz w:val="21"/>
          <w:szCs w:val="21"/>
        </w:rPr>
        <w:t>cordaron estar de acuerdo, no tener observaciones o comentarios o se dieron por enterados de la iniciativa.</w:t>
      </w:r>
    </w:p>
    <w:p w14:paraId="382B0754" w14:textId="77777777" w:rsidR="00EF5F19" w:rsidRPr="00EF5F19" w:rsidRDefault="00EF5F19" w:rsidP="00EF5F19">
      <w:pPr>
        <w:jc w:val="both"/>
        <w:rPr>
          <w:rFonts w:ascii="Abadi" w:eastAsia="Batang" w:hAnsi="Abadi" w:cs="Arial"/>
          <w:bCs/>
          <w:sz w:val="21"/>
          <w:szCs w:val="21"/>
        </w:rPr>
      </w:pPr>
    </w:p>
    <w:p w14:paraId="65C4E6AC" w14:textId="77777777" w:rsidR="00EF5F19" w:rsidRPr="00EF5F19" w:rsidRDefault="00EF5F19" w:rsidP="00EF5F19">
      <w:pPr>
        <w:jc w:val="both"/>
        <w:rPr>
          <w:rFonts w:ascii="Abadi" w:eastAsia="Batang" w:hAnsi="Abadi" w:cs="Arial"/>
          <w:sz w:val="21"/>
          <w:szCs w:val="21"/>
        </w:rPr>
      </w:pPr>
      <w:r w:rsidRPr="00EF5F19">
        <w:rPr>
          <w:rFonts w:ascii="Abadi" w:eastAsia="Batang" w:hAnsi="Abadi" w:cs="Arial"/>
          <w:sz w:val="21"/>
          <w:szCs w:val="21"/>
        </w:rPr>
        <w:t>Se elaboró un documento con formato de comparativo, mismo que se circuló a la Comisión.</w:t>
      </w:r>
    </w:p>
    <w:p w14:paraId="4DD2476D" w14:textId="77777777" w:rsidR="00EF5F19" w:rsidRPr="00EF5F19" w:rsidRDefault="00EF5F19" w:rsidP="00EF5F19">
      <w:pPr>
        <w:jc w:val="both"/>
        <w:rPr>
          <w:rFonts w:ascii="Abadi" w:eastAsia="Batang" w:hAnsi="Abadi" w:cs="Arial"/>
          <w:sz w:val="21"/>
          <w:szCs w:val="21"/>
        </w:rPr>
      </w:pPr>
    </w:p>
    <w:p w14:paraId="170AEC81" w14:textId="77777777" w:rsidR="00EF5F19" w:rsidRPr="00EF5F19" w:rsidRDefault="00EF5F19" w:rsidP="00EF5F19">
      <w:pPr>
        <w:jc w:val="both"/>
        <w:rPr>
          <w:rFonts w:ascii="Abadi" w:eastAsia="Batang" w:hAnsi="Abadi" w:cs="Arial"/>
          <w:sz w:val="21"/>
          <w:szCs w:val="21"/>
        </w:rPr>
      </w:pPr>
      <w:r w:rsidRPr="00EF5F19">
        <w:rPr>
          <w:rFonts w:ascii="Abadi" w:eastAsia="Batang" w:hAnsi="Abadi" w:cs="Arial"/>
          <w:sz w:val="21"/>
          <w:szCs w:val="21"/>
        </w:rPr>
        <w:t>En la metodología aprobada también se acordó la realización de mesas de trabajo para el análisis de la iniciativa. No obstante, atendiendo a una resolución de la Suprema Corte de Justicia de la Nación relacionada con el tema planteado en la iniciativa, se consideró innecesario llevarlas a cabo las citadas mesas de trabajo.</w:t>
      </w:r>
    </w:p>
    <w:p w14:paraId="191FC46B" w14:textId="77777777" w:rsidR="00EF5F19" w:rsidRPr="00EF5F19" w:rsidRDefault="00EF5F19" w:rsidP="00EF5F19">
      <w:pPr>
        <w:ind w:firstLine="708"/>
        <w:jc w:val="both"/>
        <w:rPr>
          <w:rFonts w:ascii="Abadi" w:eastAsia="Batang" w:hAnsi="Abadi" w:cs="Arial"/>
          <w:sz w:val="21"/>
          <w:szCs w:val="21"/>
        </w:rPr>
      </w:pPr>
    </w:p>
    <w:p w14:paraId="72BEEF25" w14:textId="77777777" w:rsidR="00EF5F19" w:rsidRPr="00EF5F19" w:rsidRDefault="00EF5F19" w:rsidP="00EF5F19">
      <w:pPr>
        <w:jc w:val="both"/>
        <w:rPr>
          <w:rFonts w:ascii="Abadi" w:hAnsi="Abadi" w:cs="Arial"/>
          <w:sz w:val="21"/>
          <w:szCs w:val="21"/>
        </w:rPr>
      </w:pPr>
      <w:r w:rsidRPr="00EF5F19">
        <w:rPr>
          <w:rFonts w:ascii="Abadi" w:hAnsi="Abadi" w:cs="Arial"/>
          <w:b/>
          <w:bCs/>
          <w:sz w:val="21"/>
          <w:szCs w:val="21"/>
        </w:rPr>
        <w:t>1.3.</w:t>
      </w:r>
      <w:r w:rsidRPr="00EF5F19">
        <w:rPr>
          <w:rFonts w:ascii="Abadi" w:hAnsi="Abadi" w:cs="Arial"/>
          <w:sz w:val="21"/>
          <w:szCs w:val="21"/>
        </w:rPr>
        <w:t xml:space="preserve">  La presidencia instruyó a la secretaría técnica la elaboración del proyecto de dictamen en sentido negativo, conforme lo dispuesto en los artículos 94, fracción VII y 272 fracción VIII inciso e de la Ley Orgánica del Poder Legislativo del Estado, dicho proyecto </w:t>
      </w:r>
      <w:r w:rsidRPr="00EF5F19">
        <w:rPr>
          <w:rFonts w:ascii="Abadi" w:hAnsi="Abadi" w:cs="Arial" w:hint="eastAsia"/>
          <w:sz w:val="21"/>
          <w:szCs w:val="21"/>
        </w:rPr>
        <w:t>fue</w:t>
      </w:r>
      <w:r w:rsidRPr="00EF5F19">
        <w:rPr>
          <w:rFonts w:ascii="Abadi" w:hAnsi="Abadi" w:cs="Arial"/>
          <w:sz w:val="21"/>
          <w:szCs w:val="21"/>
        </w:rPr>
        <w:t xml:space="preserve"> materia de revisión por las diputadas y los diputados integrantes de esta Comisión Dictaminadora.</w:t>
      </w:r>
    </w:p>
    <w:p w14:paraId="21E95A13" w14:textId="77777777" w:rsidR="00EF5F19" w:rsidRPr="00EF5F19" w:rsidRDefault="00EF5F19" w:rsidP="00EF5F19">
      <w:pPr>
        <w:jc w:val="both"/>
        <w:rPr>
          <w:rFonts w:ascii="Abadi" w:hAnsi="Abadi" w:cs="Arial"/>
          <w:sz w:val="21"/>
          <w:szCs w:val="21"/>
        </w:rPr>
      </w:pPr>
    </w:p>
    <w:p w14:paraId="103159A8" w14:textId="77777777" w:rsidR="00EF5F19" w:rsidRPr="00EF5F19" w:rsidRDefault="00EF5F19" w:rsidP="00EF5F19">
      <w:pPr>
        <w:jc w:val="both"/>
        <w:rPr>
          <w:rFonts w:ascii="Abadi" w:hAnsi="Abadi" w:cs="Arial"/>
          <w:b/>
          <w:bCs/>
          <w:sz w:val="21"/>
          <w:szCs w:val="21"/>
        </w:rPr>
      </w:pPr>
      <w:r w:rsidRPr="00EF5F19">
        <w:rPr>
          <w:rFonts w:ascii="Abadi" w:hAnsi="Abadi" w:cs="Arial"/>
          <w:b/>
          <w:bCs/>
          <w:sz w:val="21"/>
          <w:szCs w:val="21"/>
        </w:rPr>
        <w:t>II.</w:t>
      </w:r>
      <w:r w:rsidRPr="00EF5F19">
        <w:rPr>
          <w:rFonts w:ascii="Abadi" w:hAnsi="Abadi" w:cs="Arial"/>
          <w:sz w:val="21"/>
          <w:szCs w:val="21"/>
        </w:rPr>
        <w:tab/>
      </w:r>
      <w:r w:rsidRPr="00EF5F19">
        <w:rPr>
          <w:rFonts w:ascii="Abadi" w:hAnsi="Abadi" w:cs="Arial"/>
          <w:b/>
          <w:bCs/>
          <w:sz w:val="21"/>
          <w:szCs w:val="21"/>
        </w:rPr>
        <w:t>Consideraciones de la diputada y el diputado iniciantes.</w:t>
      </w:r>
    </w:p>
    <w:p w14:paraId="504931D6" w14:textId="77777777" w:rsidR="00EF5F19" w:rsidRPr="00EF5F19" w:rsidRDefault="00EF5F19" w:rsidP="00EF5F19">
      <w:pPr>
        <w:jc w:val="both"/>
        <w:rPr>
          <w:rFonts w:ascii="Abadi" w:hAnsi="Abadi" w:cs="Arial"/>
          <w:b/>
          <w:bCs/>
          <w:sz w:val="21"/>
          <w:szCs w:val="21"/>
        </w:rPr>
      </w:pPr>
    </w:p>
    <w:p w14:paraId="2309B43D" w14:textId="77777777" w:rsidR="00EF5F19" w:rsidRPr="00EF5F19" w:rsidRDefault="00EF5F19" w:rsidP="00EF5F19">
      <w:pPr>
        <w:jc w:val="both"/>
        <w:rPr>
          <w:rFonts w:ascii="Abadi" w:hAnsi="Abadi" w:cs="Arial"/>
          <w:sz w:val="21"/>
          <w:szCs w:val="21"/>
        </w:rPr>
      </w:pPr>
      <w:r w:rsidRPr="00EF5F19">
        <w:rPr>
          <w:rFonts w:ascii="Abadi" w:hAnsi="Abadi" w:cs="Arial"/>
          <w:b/>
          <w:bCs/>
          <w:sz w:val="21"/>
          <w:szCs w:val="21"/>
        </w:rPr>
        <w:tab/>
      </w:r>
      <w:r w:rsidRPr="00EF5F19">
        <w:rPr>
          <w:rFonts w:ascii="Abadi" w:hAnsi="Abadi" w:cs="Arial"/>
          <w:sz w:val="21"/>
          <w:szCs w:val="21"/>
        </w:rPr>
        <w:t>En la exposición de motivos de la iniciativa materia del presente dictamen, se refiere:</w:t>
      </w:r>
    </w:p>
    <w:p w14:paraId="4654454D" w14:textId="77777777" w:rsidR="00EF5F19" w:rsidRPr="00EF5F19" w:rsidRDefault="00EF5F19" w:rsidP="00EF5F19">
      <w:pPr>
        <w:jc w:val="both"/>
        <w:rPr>
          <w:rFonts w:ascii="Abadi" w:hAnsi="Abadi" w:cs="Arial"/>
          <w:sz w:val="21"/>
          <w:szCs w:val="21"/>
        </w:rPr>
      </w:pPr>
    </w:p>
    <w:p w14:paraId="29F37D35" w14:textId="77777777" w:rsidR="00EF5F19" w:rsidRPr="00EF5F19" w:rsidRDefault="00EF5F19" w:rsidP="00EF5F19">
      <w:pPr>
        <w:ind w:left="709"/>
        <w:jc w:val="both"/>
        <w:rPr>
          <w:rFonts w:ascii="Abadi" w:hAnsi="Abadi" w:cs="Arial"/>
          <w:i/>
          <w:iCs/>
          <w:sz w:val="21"/>
          <w:szCs w:val="21"/>
        </w:rPr>
      </w:pPr>
      <w:r w:rsidRPr="00EF5F19">
        <w:rPr>
          <w:rFonts w:ascii="Abadi" w:hAnsi="Abadi" w:cs="Arial"/>
          <w:i/>
          <w:iCs/>
          <w:sz w:val="21"/>
          <w:szCs w:val="21"/>
        </w:rPr>
        <w:t>«La publicidad institucional se ha vuelto indispensable para observar todas aquellas acciones y actividades que realizan los ente públicos, si bien la publicidad Institucional es definida por Ulises Prieto Mora como aquella que a través de contratos de publicidad, difusión publicitaria, creación o patrocinio, emanadas de la consignación presupuestaria de alguna de las distintas administraciones públicas, la cual busca informar sobre la existencia, composición y funcionamiento de las mismas e informar a la ciudadanía sobre sus derechos y obligaciones.</w:t>
      </w:r>
    </w:p>
    <w:p w14:paraId="7D1712BF" w14:textId="77777777" w:rsidR="00EF5F19" w:rsidRPr="00EF5F19" w:rsidRDefault="00EF5F19" w:rsidP="00EF5F19">
      <w:pPr>
        <w:ind w:left="709"/>
        <w:jc w:val="both"/>
        <w:rPr>
          <w:rFonts w:ascii="Abadi" w:hAnsi="Abadi" w:cs="Arial"/>
          <w:i/>
          <w:iCs/>
          <w:sz w:val="21"/>
          <w:szCs w:val="21"/>
        </w:rPr>
      </w:pPr>
    </w:p>
    <w:p w14:paraId="793727F0" w14:textId="77777777" w:rsidR="00EF5F19" w:rsidRPr="00EF5F19" w:rsidRDefault="00EF5F19" w:rsidP="00EF5F19">
      <w:pPr>
        <w:ind w:left="709"/>
        <w:jc w:val="both"/>
        <w:rPr>
          <w:rFonts w:ascii="Abadi" w:hAnsi="Abadi" w:cs="Arial"/>
          <w:i/>
          <w:iCs/>
          <w:sz w:val="21"/>
          <w:szCs w:val="21"/>
        </w:rPr>
      </w:pPr>
      <w:r w:rsidRPr="00EF5F19">
        <w:rPr>
          <w:rFonts w:ascii="Abadi" w:hAnsi="Abadi" w:cs="Arial"/>
          <w:i/>
          <w:iCs/>
          <w:sz w:val="21"/>
          <w:szCs w:val="21"/>
        </w:rPr>
        <w:t>Por su parte la UNESCO menciona que el papel de los medios de comunicación en la promoción del buen gobierno es claro. Todos los aspectos del buen gobierno se ven facilitados por la existencia de medios de comunicación sólidos e independientes en una sociedad. Para la consolidación del buen gobierno es indispensable que los periodistas tengan la libertad de supervisar, investigar y criticar las políticas y acciones de la administración pública. Los medios independientes son una señal que se debe seguir cuando no se tiene nada que esconder, pero sí mucho por mejorar.</w:t>
      </w:r>
    </w:p>
    <w:p w14:paraId="54041A72" w14:textId="77777777" w:rsidR="00EF5F19" w:rsidRPr="00EF5F19" w:rsidRDefault="00EF5F19" w:rsidP="00EF5F19">
      <w:pPr>
        <w:ind w:left="709"/>
        <w:jc w:val="both"/>
        <w:rPr>
          <w:rFonts w:ascii="Abadi" w:hAnsi="Abadi" w:cs="Arial"/>
          <w:i/>
          <w:iCs/>
          <w:sz w:val="21"/>
          <w:szCs w:val="21"/>
        </w:rPr>
      </w:pPr>
    </w:p>
    <w:p w14:paraId="3C7775C9" w14:textId="77777777" w:rsidR="00EF5F19" w:rsidRPr="00EF5F19" w:rsidRDefault="00EF5F19" w:rsidP="00EF5F19">
      <w:pPr>
        <w:ind w:left="709"/>
        <w:jc w:val="both"/>
        <w:rPr>
          <w:rFonts w:ascii="Abadi" w:hAnsi="Abadi" w:cs="Arial"/>
          <w:i/>
          <w:iCs/>
          <w:sz w:val="21"/>
          <w:szCs w:val="21"/>
        </w:rPr>
      </w:pPr>
      <w:r w:rsidRPr="00EF5F19">
        <w:rPr>
          <w:rFonts w:ascii="Abadi" w:hAnsi="Abadi" w:cs="Arial"/>
          <w:i/>
          <w:iCs/>
          <w:sz w:val="21"/>
          <w:szCs w:val="21"/>
        </w:rPr>
        <w:t xml:space="preserve">De ahí la necesidad de que todas las acciones, programas, objetivos y logros de los entes de gobierno sean publicados de forma clara, objetiva, imparcial y transparente, </w:t>
      </w:r>
    </w:p>
    <w:p w14:paraId="4DEE68D9" w14:textId="77777777" w:rsidR="00EF5F19" w:rsidRPr="00EF5F19" w:rsidRDefault="00EF5F19" w:rsidP="00EF5F19">
      <w:pPr>
        <w:ind w:left="709"/>
        <w:jc w:val="both"/>
        <w:rPr>
          <w:rFonts w:ascii="Abadi" w:hAnsi="Abadi" w:cs="Arial"/>
          <w:i/>
          <w:iCs/>
          <w:sz w:val="21"/>
          <w:szCs w:val="21"/>
        </w:rPr>
      </w:pPr>
    </w:p>
    <w:p w14:paraId="4E393BF3" w14:textId="77777777" w:rsidR="00EF5F19" w:rsidRPr="00EF5F19" w:rsidRDefault="00EF5F19" w:rsidP="00EF5F19">
      <w:pPr>
        <w:ind w:left="709"/>
        <w:jc w:val="both"/>
        <w:rPr>
          <w:rFonts w:ascii="Abadi" w:hAnsi="Abadi" w:cs="Arial"/>
          <w:i/>
          <w:iCs/>
          <w:sz w:val="21"/>
          <w:szCs w:val="21"/>
        </w:rPr>
      </w:pPr>
      <w:r w:rsidRPr="00EF5F19">
        <w:rPr>
          <w:rFonts w:ascii="Abadi" w:hAnsi="Abadi" w:cs="Arial"/>
          <w:i/>
          <w:iCs/>
          <w:sz w:val="21"/>
          <w:szCs w:val="21"/>
        </w:rPr>
        <w:t>En noviembre del año pasado el Grupo Parlamentario del Partido Verde Ecologista Presentamos un punto de acuerdo para solicitar al Ejecutivo del Estado un informe detallado de las acciones que implementaría para remediar los excesos reportados en el Informe Especial Sobre asignación y Contratación de publicidad oficial que emitió la Comisión Nacional de los Derechos Humanos, encontrando así diversas áreas de oportunidad que deben ser atendidas y corregidas para transparentar de mejor manera la contratación y asignación de Publicidad Oficial.</w:t>
      </w:r>
    </w:p>
    <w:p w14:paraId="04BDC16E" w14:textId="77777777" w:rsidR="00EF5F19" w:rsidRPr="00EF5F19" w:rsidRDefault="00EF5F19" w:rsidP="00EF5F19">
      <w:pPr>
        <w:ind w:left="709"/>
        <w:jc w:val="both"/>
        <w:rPr>
          <w:rFonts w:ascii="Abadi" w:hAnsi="Abadi" w:cs="Arial"/>
          <w:i/>
          <w:iCs/>
          <w:sz w:val="21"/>
          <w:szCs w:val="21"/>
        </w:rPr>
      </w:pPr>
    </w:p>
    <w:p w14:paraId="7EB25EDE" w14:textId="77777777" w:rsidR="00EF5F19" w:rsidRPr="00EF5F19" w:rsidRDefault="00EF5F19" w:rsidP="00EF5F19">
      <w:pPr>
        <w:ind w:left="709"/>
        <w:jc w:val="both"/>
        <w:rPr>
          <w:rFonts w:ascii="Abadi" w:hAnsi="Abadi" w:cs="Arial"/>
          <w:i/>
          <w:iCs/>
          <w:sz w:val="21"/>
          <w:szCs w:val="21"/>
        </w:rPr>
      </w:pPr>
      <w:r w:rsidRPr="00EF5F19">
        <w:rPr>
          <w:rFonts w:ascii="Abadi" w:hAnsi="Abadi" w:cs="Arial"/>
          <w:i/>
          <w:iCs/>
          <w:sz w:val="21"/>
          <w:szCs w:val="21"/>
        </w:rPr>
        <w:t>La Ley de Contrataciones Públicas para el Estado de Guanajuato ha quedado rebasada en esta materia, siendo los gastos en comunicación un tema que debe ser desarrollado de forma que expliquen objetivos, reglas y estrategias, respecto a la publicidad y comunicación institucional, para que posteriormente estas estrategias y programas sean auditados, y al momento de que sean seleccionados los medios de comunicación exista máxima transparencia.</w:t>
      </w:r>
    </w:p>
    <w:p w14:paraId="1BEE568C" w14:textId="77777777" w:rsidR="00EF5F19" w:rsidRPr="00EF5F19" w:rsidRDefault="00EF5F19" w:rsidP="00EF5F19">
      <w:pPr>
        <w:ind w:left="709"/>
        <w:jc w:val="both"/>
        <w:rPr>
          <w:rFonts w:ascii="Abadi" w:hAnsi="Abadi" w:cs="Arial"/>
          <w:i/>
          <w:iCs/>
          <w:sz w:val="21"/>
          <w:szCs w:val="21"/>
        </w:rPr>
      </w:pPr>
    </w:p>
    <w:p w14:paraId="217B01EB" w14:textId="77777777" w:rsidR="00EF5F19" w:rsidRPr="00EF5F19" w:rsidRDefault="00EF5F19" w:rsidP="00EF5F19">
      <w:pPr>
        <w:ind w:left="709"/>
        <w:jc w:val="both"/>
        <w:rPr>
          <w:rFonts w:ascii="Abadi" w:hAnsi="Abadi" w:cs="Arial"/>
          <w:i/>
          <w:iCs/>
          <w:sz w:val="21"/>
          <w:szCs w:val="21"/>
        </w:rPr>
      </w:pPr>
      <w:r w:rsidRPr="00EF5F19">
        <w:rPr>
          <w:rFonts w:ascii="Abadi" w:hAnsi="Abadi" w:cs="Arial"/>
          <w:i/>
          <w:iCs/>
          <w:sz w:val="21"/>
          <w:szCs w:val="21"/>
        </w:rPr>
        <w:t>Los años pasan y en Guanajuato no se han tomado, y se han detectado diversas áreas de oportunidad que pueden atenderse de forma paulatina, ya que se que se pueden optar que en los entes de gobierno exista un área que funja de forma autónoma y objetiva los temas de comunicación.</w:t>
      </w:r>
    </w:p>
    <w:p w14:paraId="07054BAC" w14:textId="77777777" w:rsidR="00EF5F19" w:rsidRPr="00EF5F19" w:rsidRDefault="00EF5F19" w:rsidP="00EF5F19">
      <w:pPr>
        <w:ind w:left="709"/>
        <w:jc w:val="both"/>
        <w:rPr>
          <w:rFonts w:ascii="Abadi" w:hAnsi="Abadi" w:cs="Arial"/>
          <w:i/>
          <w:iCs/>
          <w:sz w:val="21"/>
          <w:szCs w:val="21"/>
        </w:rPr>
      </w:pPr>
    </w:p>
    <w:p w14:paraId="7134BAE8" w14:textId="77777777" w:rsidR="00EF5F19" w:rsidRPr="00EF5F19" w:rsidRDefault="00EF5F19" w:rsidP="00EF5F19">
      <w:pPr>
        <w:ind w:left="709"/>
        <w:jc w:val="both"/>
        <w:rPr>
          <w:rFonts w:ascii="Abadi" w:hAnsi="Abadi" w:cs="Arial"/>
          <w:i/>
          <w:iCs/>
          <w:sz w:val="21"/>
          <w:szCs w:val="21"/>
        </w:rPr>
      </w:pPr>
      <w:r w:rsidRPr="00EF5F19">
        <w:rPr>
          <w:rFonts w:ascii="Abadi" w:hAnsi="Abadi" w:cs="Arial"/>
          <w:i/>
          <w:iCs/>
          <w:sz w:val="21"/>
          <w:szCs w:val="21"/>
        </w:rPr>
        <w:t>Por lo que los entes de gobierno deben de ser cien por ciento institucionales, no deben de existir publicidad que pueda malinterpretar que se esta posicionando a personas en particular, sino que, a la institución como tal, debiendo ser reconocido el trabajo de la totalidad de quienes hicieron posible las acciones realizadas.</w:t>
      </w:r>
    </w:p>
    <w:p w14:paraId="0EF343AE" w14:textId="77777777" w:rsidR="00EF5F19" w:rsidRPr="00EF5F19" w:rsidRDefault="00EF5F19" w:rsidP="00EF5F19">
      <w:pPr>
        <w:ind w:left="709"/>
        <w:jc w:val="both"/>
        <w:rPr>
          <w:rFonts w:ascii="Abadi" w:hAnsi="Abadi" w:cs="Arial"/>
          <w:i/>
          <w:iCs/>
          <w:sz w:val="21"/>
          <w:szCs w:val="21"/>
        </w:rPr>
      </w:pPr>
    </w:p>
    <w:p w14:paraId="2578252E" w14:textId="77777777" w:rsidR="00EF5F19" w:rsidRPr="00EF5F19" w:rsidRDefault="00EF5F19" w:rsidP="00EF5F19">
      <w:pPr>
        <w:ind w:left="709"/>
        <w:jc w:val="both"/>
        <w:rPr>
          <w:rFonts w:ascii="Abadi" w:hAnsi="Abadi" w:cs="Arial"/>
          <w:i/>
          <w:iCs/>
          <w:sz w:val="21"/>
          <w:szCs w:val="21"/>
        </w:rPr>
      </w:pPr>
      <w:r w:rsidRPr="00EF5F19">
        <w:rPr>
          <w:rFonts w:ascii="Abadi" w:hAnsi="Abadi" w:cs="Arial"/>
          <w:i/>
          <w:iCs/>
          <w:sz w:val="21"/>
          <w:szCs w:val="21"/>
        </w:rPr>
        <w:t>Ahora bien, actualmente en nuestro Estado no existe reglamentación en esta materia, sin embargo a nivel federal en mayo del 2018 de publicó en el Diario Oficial de la Federación la Ley General de Comunicación Social, misma que tiene por objeto establecer las normas a que deberán sujetarse los Entes Públicos a fin de garantizar que el gasto en Comunicación Social cumpla con los criterios de eficiencia, eficacia, economía, transparencia y honradez, y respete los topes presupuestales, límites y condiciones de ejercicio que establezcan los presupuestos de egresos respectivos.</w:t>
      </w:r>
    </w:p>
    <w:p w14:paraId="0D372DAE" w14:textId="77777777" w:rsidR="00EF5F19" w:rsidRPr="00EF5F19" w:rsidRDefault="00EF5F19" w:rsidP="00EF5F19">
      <w:pPr>
        <w:ind w:left="709"/>
        <w:jc w:val="both"/>
        <w:rPr>
          <w:rFonts w:ascii="Abadi" w:hAnsi="Abadi" w:cs="Arial"/>
          <w:i/>
          <w:iCs/>
          <w:sz w:val="21"/>
          <w:szCs w:val="21"/>
        </w:rPr>
      </w:pPr>
    </w:p>
    <w:p w14:paraId="18E02921" w14:textId="77777777" w:rsidR="00EF5F19" w:rsidRPr="00EF5F19" w:rsidRDefault="00EF5F19" w:rsidP="00EF5F19">
      <w:pPr>
        <w:ind w:left="709"/>
        <w:jc w:val="both"/>
        <w:rPr>
          <w:rFonts w:ascii="Abadi" w:hAnsi="Abadi" w:cs="Arial"/>
          <w:i/>
          <w:iCs/>
          <w:sz w:val="21"/>
          <w:szCs w:val="21"/>
        </w:rPr>
      </w:pPr>
      <w:r w:rsidRPr="00EF5F19">
        <w:rPr>
          <w:rFonts w:ascii="Abadi" w:hAnsi="Abadi" w:cs="Arial"/>
          <w:i/>
          <w:iCs/>
          <w:sz w:val="21"/>
          <w:szCs w:val="21"/>
        </w:rPr>
        <w:t>En ese mismo orden, el artículo primero transitorio establece que dicha Ley entro en vigencia el primero de enero del presente año. Y que por otra parte en su artículo tercero transitorio se establece un plazo no mayor de 90 días para que los congresos locales armonicen la legislación, a partir de la publicación de la Ley en mención.</w:t>
      </w:r>
    </w:p>
    <w:p w14:paraId="6A96A450" w14:textId="77777777" w:rsidR="00EF5F19" w:rsidRPr="00EF5F19" w:rsidRDefault="00EF5F19" w:rsidP="00EF5F19">
      <w:pPr>
        <w:ind w:left="709"/>
        <w:jc w:val="both"/>
        <w:rPr>
          <w:rFonts w:ascii="Abadi" w:hAnsi="Abadi" w:cs="Arial"/>
          <w:i/>
          <w:iCs/>
          <w:sz w:val="21"/>
          <w:szCs w:val="21"/>
        </w:rPr>
      </w:pPr>
    </w:p>
    <w:p w14:paraId="302A7C49" w14:textId="77777777" w:rsidR="00EF5F19" w:rsidRPr="00EF5F19" w:rsidRDefault="00EF5F19" w:rsidP="00EF5F19">
      <w:pPr>
        <w:ind w:left="709"/>
        <w:jc w:val="both"/>
        <w:rPr>
          <w:rFonts w:ascii="Abadi" w:hAnsi="Abadi" w:cs="Arial"/>
          <w:i/>
          <w:iCs/>
          <w:sz w:val="21"/>
          <w:szCs w:val="21"/>
        </w:rPr>
      </w:pPr>
      <w:r w:rsidRPr="00EF5F19">
        <w:rPr>
          <w:rFonts w:ascii="Abadi" w:hAnsi="Abadi" w:cs="Arial"/>
          <w:i/>
          <w:iCs/>
          <w:sz w:val="21"/>
          <w:szCs w:val="21"/>
        </w:rPr>
        <w:t>Es importante señalar que el pasado el 29 de enero el Ejecutivo Federal emitió los lineamientos generales para el registro y autorización de los programas de comunicación social y de promoción y publicidad de las dependencias y entidades de la administración pública federal para el ejercicio fiscal 2019, mismos que se desprenden de la citada Ley General.</w:t>
      </w:r>
    </w:p>
    <w:p w14:paraId="68EED396" w14:textId="77777777" w:rsidR="00EF5F19" w:rsidRPr="00EF5F19" w:rsidRDefault="00EF5F19" w:rsidP="00EF5F19">
      <w:pPr>
        <w:ind w:left="709"/>
        <w:jc w:val="both"/>
        <w:rPr>
          <w:rFonts w:ascii="Abadi" w:hAnsi="Abadi" w:cs="Arial"/>
          <w:i/>
          <w:iCs/>
          <w:sz w:val="21"/>
          <w:szCs w:val="21"/>
        </w:rPr>
      </w:pPr>
      <w:r w:rsidRPr="00EF5F19">
        <w:rPr>
          <w:rFonts w:ascii="Abadi" w:hAnsi="Abadi" w:cs="Arial"/>
          <w:i/>
          <w:iCs/>
          <w:sz w:val="21"/>
          <w:szCs w:val="21"/>
        </w:rPr>
        <w:tab/>
      </w:r>
    </w:p>
    <w:p w14:paraId="2D37FDE1" w14:textId="77777777" w:rsidR="00EF5F19" w:rsidRPr="00EF5F19" w:rsidRDefault="00EF5F19" w:rsidP="00EF5F19">
      <w:pPr>
        <w:ind w:left="709"/>
        <w:jc w:val="both"/>
        <w:rPr>
          <w:rFonts w:ascii="Abadi" w:hAnsi="Abadi" w:cs="Arial"/>
          <w:i/>
          <w:iCs/>
          <w:sz w:val="21"/>
          <w:szCs w:val="21"/>
        </w:rPr>
      </w:pPr>
      <w:r w:rsidRPr="00EF5F19">
        <w:rPr>
          <w:rFonts w:ascii="Abadi" w:hAnsi="Abadi" w:cs="Arial"/>
          <w:i/>
          <w:iCs/>
          <w:sz w:val="21"/>
          <w:szCs w:val="21"/>
        </w:rPr>
        <w:t>Asimismo, en la sesión ordinaria del pasado 06 de marzo del presente año, el Grupo Parlamentario del Partido Verde Ecologista de México, presentamos un punto de acuerdo para que la auditoría Superior del Estado de Guanajuato realizará una auditoría específica a la aplicación de los recursos públicos asignados al gasto de programas de comunicación social y de promoción y publicidad del gobierno del Estado de Guanajuato en los ejercicios de 2012 a 2018, acción que sienta las bases para corregir y sancionar las practicas que actualmente se han venido realizando.</w:t>
      </w:r>
    </w:p>
    <w:p w14:paraId="58137927" w14:textId="77777777" w:rsidR="00EF5F19" w:rsidRPr="00EF5F19" w:rsidRDefault="00EF5F19" w:rsidP="00EF5F19">
      <w:pPr>
        <w:ind w:left="709"/>
        <w:jc w:val="both"/>
        <w:rPr>
          <w:rFonts w:ascii="Abadi" w:hAnsi="Abadi" w:cs="Arial"/>
          <w:i/>
          <w:iCs/>
          <w:sz w:val="21"/>
          <w:szCs w:val="21"/>
        </w:rPr>
      </w:pPr>
    </w:p>
    <w:p w14:paraId="7E1BB3E4" w14:textId="77777777" w:rsidR="00EF5F19" w:rsidRPr="00EF5F19" w:rsidRDefault="00EF5F19" w:rsidP="00EF5F19">
      <w:pPr>
        <w:ind w:left="709"/>
        <w:jc w:val="both"/>
        <w:rPr>
          <w:rFonts w:ascii="Abadi" w:hAnsi="Abadi" w:cs="Arial"/>
          <w:i/>
          <w:iCs/>
          <w:sz w:val="21"/>
          <w:szCs w:val="21"/>
        </w:rPr>
      </w:pPr>
      <w:r w:rsidRPr="00EF5F19">
        <w:rPr>
          <w:rFonts w:ascii="Abadi" w:hAnsi="Abadi" w:cs="Arial"/>
          <w:i/>
          <w:iCs/>
          <w:sz w:val="21"/>
          <w:szCs w:val="21"/>
        </w:rPr>
        <w:t>Ahora bien, con la presente iniciativa se sentarán las bases para, que existan lineamientos acordes a los criterios de eficiencia, eficacia, economía, transparencia y honradez, y respete los topes presupuestales.</w:t>
      </w:r>
    </w:p>
    <w:p w14:paraId="07D13328" w14:textId="77777777" w:rsidR="00EF5F19" w:rsidRPr="00EF5F19" w:rsidRDefault="00EF5F19" w:rsidP="00EF5F19">
      <w:pPr>
        <w:ind w:left="709"/>
        <w:jc w:val="both"/>
        <w:rPr>
          <w:rFonts w:ascii="Abadi" w:hAnsi="Abadi" w:cs="Arial"/>
          <w:i/>
          <w:iCs/>
          <w:sz w:val="21"/>
          <w:szCs w:val="21"/>
        </w:rPr>
      </w:pPr>
    </w:p>
    <w:p w14:paraId="7FA44CC9" w14:textId="77777777" w:rsidR="00EF5F19" w:rsidRPr="00EF5F19" w:rsidRDefault="00EF5F19" w:rsidP="00EF5F19">
      <w:pPr>
        <w:ind w:left="709"/>
        <w:jc w:val="both"/>
        <w:rPr>
          <w:rFonts w:ascii="Abadi" w:hAnsi="Abadi" w:cs="Arial"/>
          <w:i/>
          <w:iCs/>
          <w:sz w:val="21"/>
          <w:szCs w:val="21"/>
        </w:rPr>
      </w:pPr>
      <w:r w:rsidRPr="00EF5F19">
        <w:rPr>
          <w:rFonts w:ascii="Abadi" w:hAnsi="Abadi" w:cs="Arial"/>
          <w:i/>
          <w:iCs/>
          <w:sz w:val="21"/>
          <w:szCs w:val="21"/>
        </w:rPr>
        <w:t>Por lo antes mencionado debe de atender lo que la ciudadanía demanda, el gasto en publicidad y comunicación tiene que ser llevado a cabo de forma ordenada estratégicamente, sin exceder topes y que por ende implique reducir presupuesto de otras partidas y afecte en la realización de programas.</w:t>
      </w:r>
    </w:p>
    <w:p w14:paraId="5D22B141" w14:textId="77777777" w:rsidR="00EF5F19" w:rsidRPr="00EF5F19" w:rsidRDefault="00EF5F19" w:rsidP="00EF5F19">
      <w:pPr>
        <w:ind w:left="709"/>
        <w:jc w:val="both"/>
        <w:rPr>
          <w:rFonts w:ascii="Abadi" w:hAnsi="Abadi" w:cs="Arial"/>
          <w:i/>
          <w:iCs/>
          <w:sz w:val="21"/>
          <w:szCs w:val="21"/>
        </w:rPr>
      </w:pPr>
    </w:p>
    <w:p w14:paraId="16F6FCBB" w14:textId="77777777" w:rsidR="00EF5F19" w:rsidRPr="00EF5F19" w:rsidRDefault="00EF5F19" w:rsidP="00EF5F19">
      <w:pPr>
        <w:ind w:left="709"/>
        <w:jc w:val="both"/>
        <w:rPr>
          <w:rFonts w:ascii="Abadi" w:hAnsi="Abadi" w:cs="Arial"/>
          <w:i/>
          <w:iCs/>
          <w:sz w:val="21"/>
          <w:szCs w:val="21"/>
        </w:rPr>
      </w:pPr>
      <w:r w:rsidRPr="00EF5F19">
        <w:rPr>
          <w:rFonts w:ascii="Abadi" w:hAnsi="Abadi" w:cs="Arial"/>
          <w:i/>
          <w:iCs/>
          <w:sz w:val="21"/>
          <w:szCs w:val="21"/>
        </w:rPr>
        <w:t>…</w:t>
      </w:r>
    </w:p>
    <w:p w14:paraId="1C4A5DEA" w14:textId="77777777" w:rsidR="00EF5F19" w:rsidRPr="00EF5F19" w:rsidRDefault="00EF5F19" w:rsidP="00EF5F19">
      <w:pPr>
        <w:ind w:left="709"/>
        <w:jc w:val="both"/>
        <w:rPr>
          <w:rFonts w:ascii="Abadi" w:hAnsi="Abadi" w:cs="Arial"/>
          <w:i/>
          <w:iCs/>
          <w:sz w:val="21"/>
          <w:szCs w:val="21"/>
        </w:rPr>
      </w:pPr>
    </w:p>
    <w:p w14:paraId="6C019486" w14:textId="77777777" w:rsidR="00EF5F19" w:rsidRPr="00EF5F19" w:rsidRDefault="00EF5F19" w:rsidP="00EF5F19">
      <w:pPr>
        <w:ind w:left="709"/>
        <w:jc w:val="both"/>
        <w:rPr>
          <w:rFonts w:ascii="Abadi" w:hAnsi="Abadi" w:cs="Arial"/>
          <w:i/>
          <w:iCs/>
          <w:sz w:val="21"/>
          <w:szCs w:val="21"/>
        </w:rPr>
      </w:pPr>
      <w:r w:rsidRPr="00EF5F19">
        <w:rPr>
          <w:rFonts w:ascii="Abadi" w:hAnsi="Abadi" w:cs="Arial"/>
          <w:i/>
          <w:iCs/>
          <w:sz w:val="21"/>
          <w:szCs w:val="21"/>
        </w:rPr>
        <w:t>En consecuencia, con la presente iniciativa de Ley, se garantiza que el uso de la publicidad y comunicación institucional no sea utilizado para presionar, castigar, premiar o privilegiar a medios de comunicación en atención a su postura editorial, respetando en todo momento lo que establece nuestra Constitución Federal en sus artículos 6 y 7.</w:t>
      </w:r>
    </w:p>
    <w:p w14:paraId="13ABD391" w14:textId="77777777" w:rsidR="00EF5F19" w:rsidRPr="00EF5F19" w:rsidRDefault="00EF5F19" w:rsidP="00EF5F19">
      <w:pPr>
        <w:ind w:left="709"/>
        <w:jc w:val="both"/>
        <w:rPr>
          <w:rFonts w:ascii="Abadi" w:hAnsi="Abadi" w:cs="Arial"/>
          <w:i/>
          <w:iCs/>
          <w:sz w:val="21"/>
          <w:szCs w:val="21"/>
        </w:rPr>
      </w:pPr>
    </w:p>
    <w:p w14:paraId="41E010F5" w14:textId="77777777" w:rsidR="00EF5F19" w:rsidRPr="00EF5F19" w:rsidRDefault="00EF5F19" w:rsidP="00EF5F19">
      <w:pPr>
        <w:ind w:left="709"/>
        <w:jc w:val="both"/>
        <w:rPr>
          <w:rFonts w:ascii="Abadi" w:hAnsi="Abadi" w:cs="Arial"/>
          <w:i/>
          <w:iCs/>
          <w:sz w:val="21"/>
          <w:szCs w:val="21"/>
        </w:rPr>
      </w:pPr>
      <w:r w:rsidRPr="00EF5F19">
        <w:rPr>
          <w:rFonts w:ascii="Abadi" w:hAnsi="Abadi" w:cs="Arial"/>
          <w:i/>
          <w:iCs/>
          <w:sz w:val="21"/>
          <w:szCs w:val="21"/>
        </w:rPr>
        <w:t>Y finalmente la presente iniciativa, en atención a lo establecido en el artículo 209 de la Ley Orgánica del Poder Legislativo para el Estado de Guanajuato y para dar cumplimiento, se establece lo siguiente.</w:t>
      </w:r>
    </w:p>
    <w:p w14:paraId="4BF75215" w14:textId="77777777" w:rsidR="00EF5F19" w:rsidRPr="00EF5F19" w:rsidRDefault="00EF5F19" w:rsidP="00EF5F19">
      <w:pPr>
        <w:ind w:left="709"/>
        <w:jc w:val="both"/>
        <w:rPr>
          <w:rFonts w:ascii="Abadi" w:hAnsi="Abadi" w:cs="Arial"/>
          <w:i/>
          <w:iCs/>
          <w:sz w:val="21"/>
          <w:szCs w:val="21"/>
        </w:rPr>
      </w:pPr>
    </w:p>
    <w:p w14:paraId="6A14C99E" w14:textId="77777777" w:rsidR="00EF5F19" w:rsidRPr="00EF5F19" w:rsidRDefault="00EF5F19" w:rsidP="001A28E5">
      <w:pPr>
        <w:numPr>
          <w:ilvl w:val="0"/>
          <w:numId w:val="75"/>
        </w:numPr>
        <w:ind w:hanging="294"/>
        <w:contextualSpacing/>
        <w:jc w:val="both"/>
        <w:rPr>
          <w:rFonts w:ascii="Abadi" w:hAnsi="Abadi" w:cs="Arial"/>
          <w:i/>
          <w:iCs/>
          <w:sz w:val="21"/>
          <w:szCs w:val="21"/>
        </w:rPr>
      </w:pPr>
      <w:r w:rsidRPr="00EF5F19">
        <w:rPr>
          <w:rFonts w:ascii="Abadi" w:hAnsi="Abadi" w:cs="Arial"/>
          <w:b/>
          <w:i/>
          <w:iCs/>
          <w:sz w:val="21"/>
          <w:szCs w:val="21"/>
        </w:rPr>
        <w:t>Impacto Jurídico.</w:t>
      </w:r>
      <w:r w:rsidRPr="00EF5F19">
        <w:rPr>
          <w:rFonts w:ascii="Abadi" w:hAnsi="Abadi" w:cs="Arial"/>
          <w:i/>
          <w:iCs/>
          <w:sz w:val="21"/>
          <w:szCs w:val="21"/>
        </w:rPr>
        <w:t xml:space="preserve"> En atención a la facultad que estable el artículo 56 fracción II de la Constitución Política para el Estado de Guanajuato, para que el Congreso del Estado proponga iniciativas, se expide la Ley de Publicidad y Comunicación Institucional para el Estado de Guanajuato, así como dando cumplimiento a lo que establece el articulo tercero transitorio de la Ley General de Comunicación Social, publicada en el Diario Oficial de la Federación el 11 de mayo del 2018.</w:t>
      </w:r>
    </w:p>
    <w:p w14:paraId="3A879202" w14:textId="77777777" w:rsidR="00EF5F19" w:rsidRPr="00EF5F19" w:rsidRDefault="00EF5F19" w:rsidP="00EF5F19">
      <w:pPr>
        <w:ind w:left="709"/>
        <w:jc w:val="both"/>
        <w:rPr>
          <w:rFonts w:ascii="Abadi" w:hAnsi="Abadi" w:cs="Arial"/>
          <w:i/>
          <w:iCs/>
          <w:sz w:val="21"/>
          <w:szCs w:val="21"/>
        </w:rPr>
      </w:pPr>
    </w:p>
    <w:p w14:paraId="7DF927DF" w14:textId="77777777" w:rsidR="00EF5F19" w:rsidRPr="00EF5F19" w:rsidRDefault="00EF5F19" w:rsidP="001A28E5">
      <w:pPr>
        <w:numPr>
          <w:ilvl w:val="0"/>
          <w:numId w:val="75"/>
        </w:numPr>
        <w:contextualSpacing/>
        <w:jc w:val="both"/>
        <w:rPr>
          <w:rFonts w:ascii="Abadi" w:hAnsi="Abadi" w:cs="Arial"/>
          <w:i/>
          <w:iCs/>
          <w:sz w:val="21"/>
          <w:szCs w:val="21"/>
        </w:rPr>
      </w:pPr>
      <w:r w:rsidRPr="00EF5F19">
        <w:rPr>
          <w:rFonts w:ascii="Abadi" w:hAnsi="Abadi" w:cs="Arial"/>
          <w:b/>
          <w:i/>
          <w:iCs/>
          <w:sz w:val="21"/>
          <w:szCs w:val="21"/>
        </w:rPr>
        <w:t>Impacto Administrativo</w:t>
      </w:r>
      <w:r w:rsidRPr="00EF5F19">
        <w:rPr>
          <w:rFonts w:ascii="Abadi" w:hAnsi="Abadi" w:cs="Arial"/>
          <w:i/>
          <w:iCs/>
          <w:sz w:val="21"/>
          <w:szCs w:val="21"/>
        </w:rPr>
        <w:t>. En este sentido se establecen en las atribuciones de las autoridades encargadas de aplicar la Ley, si bien se crea la figura de una Coordinación General la cual en el estricto sentido únicamente sería cambio de denominación ya que las actividades de esté, son las que actualmente las lleva a cabo las áreas encargas de la Comunicación Social.</w:t>
      </w:r>
    </w:p>
    <w:p w14:paraId="5A7B8B59" w14:textId="77777777" w:rsidR="00EF5F19" w:rsidRPr="00EF5F19" w:rsidRDefault="00EF5F19" w:rsidP="00EF5F19">
      <w:pPr>
        <w:ind w:left="709"/>
        <w:jc w:val="both"/>
        <w:rPr>
          <w:rFonts w:ascii="Abadi" w:hAnsi="Abadi" w:cs="Arial"/>
          <w:i/>
          <w:iCs/>
          <w:sz w:val="21"/>
          <w:szCs w:val="21"/>
        </w:rPr>
      </w:pPr>
    </w:p>
    <w:p w14:paraId="509DC08E" w14:textId="77777777" w:rsidR="00EF5F19" w:rsidRPr="00EF5F19" w:rsidRDefault="00EF5F19" w:rsidP="001A28E5">
      <w:pPr>
        <w:numPr>
          <w:ilvl w:val="0"/>
          <w:numId w:val="75"/>
        </w:numPr>
        <w:contextualSpacing/>
        <w:jc w:val="both"/>
        <w:rPr>
          <w:rFonts w:ascii="Abadi" w:hAnsi="Abadi" w:cs="Arial"/>
          <w:i/>
          <w:iCs/>
          <w:sz w:val="21"/>
          <w:szCs w:val="21"/>
        </w:rPr>
      </w:pPr>
      <w:r w:rsidRPr="00EF5F19">
        <w:rPr>
          <w:rFonts w:ascii="Abadi" w:hAnsi="Abadi" w:cs="Arial"/>
          <w:b/>
          <w:i/>
          <w:iCs/>
          <w:sz w:val="21"/>
          <w:szCs w:val="21"/>
        </w:rPr>
        <w:t xml:space="preserve">Impacto Presupuestario. </w:t>
      </w:r>
      <w:r w:rsidRPr="00EF5F19">
        <w:rPr>
          <w:rFonts w:ascii="Abadi" w:hAnsi="Abadi" w:cs="Arial"/>
          <w:i/>
          <w:iCs/>
          <w:sz w:val="21"/>
          <w:szCs w:val="21"/>
        </w:rPr>
        <w:t>En atención a que las Coordinaciones o sus equivalentes de Comunicación Social en los Poderes Ejecutivo, Legislativo y Judicial, así como de los órganos constitucionales autónomos se organizaran como Coordinaciones Generales, se solicita que durante el análisis y estudio de la presente iniciativa, sea solicitada a la Unidad de los Estudios de las Finanzas Públicas del Congreso del Estado el impacto presupuestal.</w:t>
      </w:r>
    </w:p>
    <w:p w14:paraId="4EF0DEA7" w14:textId="77777777" w:rsidR="00EF5F19" w:rsidRPr="00EF5F19" w:rsidRDefault="00EF5F19" w:rsidP="00EF5F19">
      <w:pPr>
        <w:ind w:left="709"/>
        <w:jc w:val="both"/>
        <w:rPr>
          <w:rFonts w:ascii="Abadi" w:hAnsi="Abadi" w:cs="Arial"/>
          <w:i/>
          <w:iCs/>
          <w:sz w:val="21"/>
          <w:szCs w:val="21"/>
        </w:rPr>
      </w:pPr>
    </w:p>
    <w:p w14:paraId="099A890F" w14:textId="77777777" w:rsidR="00EF5F19" w:rsidRPr="00EF5F19" w:rsidRDefault="00EF5F19" w:rsidP="001A28E5">
      <w:pPr>
        <w:numPr>
          <w:ilvl w:val="0"/>
          <w:numId w:val="75"/>
        </w:numPr>
        <w:jc w:val="both"/>
        <w:rPr>
          <w:rFonts w:ascii="Abadi" w:hAnsi="Abadi" w:cs="Arial"/>
          <w:i/>
          <w:iCs/>
          <w:sz w:val="21"/>
          <w:szCs w:val="21"/>
        </w:rPr>
      </w:pPr>
      <w:r w:rsidRPr="00EF5F19">
        <w:rPr>
          <w:rFonts w:ascii="Abadi" w:hAnsi="Abadi" w:cs="Arial"/>
          <w:b/>
          <w:i/>
          <w:iCs/>
          <w:sz w:val="21"/>
          <w:szCs w:val="21"/>
        </w:rPr>
        <w:t>Impacto Social.</w:t>
      </w:r>
      <w:r w:rsidRPr="00EF5F19">
        <w:rPr>
          <w:rFonts w:ascii="Abadi" w:hAnsi="Abadi" w:cs="Arial"/>
          <w:i/>
          <w:iCs/>
          <w:sz w:val="21"/>
          <w:szCs w:val="21"/>
        </w:rPr>
        <w:t xml:space="preserve"> La presente iniciativa impactará directamente en los guanajuatenses ya que contaremos con un ordenamiento en donde se establezcan las bases para que no existan incrementos o modificaciones en cuanto a medios de comunicación, y publicidad respectivamente, evitando así acciones que de forma discrecional afecten a medios de comunicación que fijen postura imparcial.» </w:t>
      </w:r>
    </w:p>
    <w:p w14:paraId="0888B681" w14:textId="77777777" w:rsidR="00EF5F19" w:rsidRPr="00EF5F19" w:rsidRDefault="00EF5F19" w:rsidP="00EF5F19">
      <w:pPr>
        <w:ind w:left="709"/>
        <w:jc w:val="both"/>
        <w:rPr>
          <w:rFonts w:ascii="Abadi" w:hAnsi="Abadi" w:cs="Arial"/>
          <w:i/>
          <w:iCs/>
          <w:sz w:val="21"/>
          <w:szCs w:val="21"/>
        </w:rPr>
      </w:pPr>
    </w:p>
    <w:p w14:paraId="7FCE3339" w14:textId="77777777" w:rsidR="00EF5F19" w:rsidRPr="00EF5F19" w:rsidRDefault="00EF5F19" w:rsidP="00EF5F19">
      <w:pPr>
        <w:autoSpaceDE w:val="0"/>
        <w:autoSpaceDN w:val="0"/>
        <w:adjustRightInd w:val="0"/>
        <w:ind w:right="615"/>
        <w:jc w:val="both"/>
        <w:rPr>
          <w:rFonts w:ascii="Abadi" w:eastAsia="Batang" w:hAnsi="Abadi" w:cs="Arial"/>
          <w:i/>
          <w:sz w:val="21"/>
          <w:szCs w:val="21"/>
          <w:lang w:val="es-MX"/>
        </w:rPr>
      </w:pPr>
      <w:r w:rsidRPr="00EF5F19">
        <w:rPr>
          <w:rFonts w:ascii="Abadi" w:hAnsi="Abadi"/>
          <w:b/>
          <w:sz w:val="21"/>
          <w:szCs w:val="21"/>
          <w:lang w:val="es-MX"/>
        </w:rPr>
        <w:t>III.</w:t>
      </w:r>
      <w:r w:rsidRPr="00EF5F19">
        <w:rPr>
          <w:rFonts w:ascii="Abadi" w:hAnsi="Abadi"/>
          <w:b/>
          <w:sz w:val="21"/>
          <w:szCs w:val="21"/>
          <w:lang w:val="es-MX"/>
        </w:rPr>
        <w:tab/>
        <w:t>Consideraciones de la Comisión Dictaminadora</w:t>
      </w:r>
    </w:p>
    <w:p w14:paraId="24901309" w14:textId="77777777" w:rsidR="00EF5F19" w:rsidRPr="00EF5F19" w:rsidRDefault="00EF5F19" w:rsidP="00EF5F19">
      <w:pPr>
        <w:ind w:firstLine="708"/>
        <w:jc w:val="both"/>
        <w:rPr>
          <w:rFonts w:ascii="Abadi" w:hAnsi="Abadi" w:cs="Arial"/>
          <w:sz w:val="21"/>
          <w:szCs w:val="21"/>
        </w:rPr>
      </w:pPr>
    </w:p>
    <w:p w14:paraId="46370787" w14:textId="77777777" w:rsidR="00EF5F19" w:rsidRPr="00EF5F19" w:rsidRDefault="00EF5F19" w:rsidP="00EF5F19">
      <w:pPr>
        <w:ind w:firstLine="708"/>
        <w:jc w:val="both"/>
        <w:rPr>
          <w:rFonts w:ascii="Abadi" w:hAnsi="Abadi" w:cs="Arial"/>
          <w:bCs/>
          <w:sz w:val="21"/>
          <w:szCs w:val="21"/>
        </w:rPr>
      </w:pPr>
      <w:r w:rsidRPr="00EF5F19">
        <w:rPr>
          <w:rFonts w:ascii="Abadi" w:eastAsia="Batang" w:hAnsi="Abadi" w:cs="Arial"/>
          <w:sz w:val="21"/>
          <w:szCs w:val="21"/>
        </w:rPr>
        <w:t xml:space="preserve">Como podemos observar del contenido de la iniciativa materia del presente dictamen su objetivo en términos generales es </w:t>
      </w:r>
      <w:r w:rsidRPr="00EF5F19">
        <w:rPr>
          <w:rFonts w:ascii="Abadi" w:hAnsi="Abadi" w:cs="Arial"/>
          <w:bCs/>
          <w:sz w:val="21"/>
          <w:szCs w:val="21"/>
        </w:rPr>
        <w:t>establecer las normas a que deberán sujetarse los entes públicos para garantizar que el gasto en publicidad y comunicación institucional cumpla con los criterios de eficiencia, eficacia, economía, transparencia y honradez, y respete los topes presupuestales, límites y condiciones de ejercicio que establezcan los presupuestos de egresos, conforme a la Ley General de Comunicación Social.</w:t>
      </w:r>
    </w:p>
    <w:p w14:paraId="482895EB" w14:textId="77777777" w:rsidR="00EF5F19" w:rsidRPr="00EF5F19" w:rsidRDefault="00EF5F19" w:rsidP="00EF5F19">
      <w:pPr>
        <w:ind w:firstLine="708"/>
        <w:jc w:val="both"/>
        <w:rPr>
          <w:rFonts w:ascii="Abadi" w:hAnsi="Abadi" w:cs="Arial"/>
          <w:bCs/>
          <w:sz w:val="21"/>
          <w:szCs w:val="21"/>
        </w:rPr>
      </w:pPr>
    </w:p>
    <w:p w14:paraId="580C23F9" w14:textId="77777777" w:rsidR="00EF5F19" w:rsidRPr="00EF5F19" w:rsidRDefault="00EF5F19" w:rsidP="00EF5F19">
      <w:pPr>
        <w:ind w:firstLine="708"/>
        <w:jc w:val="both"/>
        <w:rPr>
          <w:rFonts w:ascii="Abadi" w:hAnsi="Abadi" w:cs="Arial"/>
          <w:bCs/>
          <w:sz w:val="21"/>
          <w:szCs w:val="21"/>
        </w:rPr>
      </w:pPr>
      <w:r w:rsidRPr="00EF5F19">
        <w:rPr>
          <w:rFonts w:ascii="Abadi" w:hAnsi="Abadi" w:cs="Arial"/>
          <w:bCs/>
          <w:sz w:val="21"/>
          <w:szCs w:val="21"/>
        </w:rPr>
        <w:t>En las disposiciones planteadas en la iniciativa materia del presente dictamen se retoma el contenido de los preceptos regulados en la Ley General de Comunicación Social publicada en el Diario Oficial de la Federación el 11 de mayo de 2018.</w:t>
      </w:r>
    </w:p>
    <w:p w14:paraId="64CCEBDC" w14:textId="77777777" w:rsidR="00EF5F19" w:rsidRPr="00EF5F19" w:rsidRDefault="00EF5F19" w:rsidP="00EF5F19">
      <w:pPr>
        <w:ind w:firstLine="708"/>
        <w:jc w:val="both"/>
        <w:rPr>
          <w:rFonts w:ascii="Abadi" w:hAnsi="Abadi" w:cs="Arial"/>
          <w:bCs/>
          <w:sz w:val="21"/>
          <w:szCs w:val="21"/>
        </w:rPr>
      </w:pPr>
    </w:p>
    <w:p w14:paraId="2481400C" w14:textId="77777777" w:rsidR="00EF5F19" w:rsidRPr="00EF5F19" w:rsidRDefault="00EF5F19" w:rsidP="00EF5F19">
      <w:pPr>
        <w:ind w:firstLine="708"/>
        <w:jc w:val="both"/>
        <w:rPr>
          <w:rFonts w:ascii="Abadi" w:hAnsi="Abadi" w:cs="Arial"/>
          <w:bCs/>
          <w:sz w:val="21"/>
          <w:szCs w:val="21"/>
        </w:rPr>
      </w:pPr>
      <w:r w:rsidRPr="00EF5F19">
        <w:rPr>
          <w:rFonts w:ascii="Abadi" w:hAnsi="Abadi" w:cs="Arial"/>
          <w:bCs/>
          <w:sz w:val="21"/>
          <w:szCs w:val="21"/>
        </w:rPr>
        <w:t xml:space="preserve">A través del juicio de amparo en revisión tramitado bajo el número de expediente 308/2020, promovido por </w:t>
      </w:r>
      <w:r w:rsidRPr="00EF5F19">
        <w:rPr>
          <w:rFonts w:ascii="Abadi" w:hAnsi="Abadi" w:cs="Arial"/>
          <w:bCs/>
          <w:i/>
          <w:iCs/>
          <w:sz w:val="21"/>
          <w:szCs w:val="21"/>
        </w:rPr>
        <w:t>Campaña Global por la Libertad de Expresión A19, Asociación Civil,</w:t>
      </w:r>
      <w:r w:rsidRPr="00EF5F19">
        <w:rPr>
          <w:rFonts w:ascii="Abadi" w:hAnsi="Abadi" w:cs="Arial"/>
          <w:bCs/>
          <w:sz w:val="21"/>
          <w:szCs w:val="21"/>
        </w:rPr>
        <w:t xml:space="preserve"> se reclamó, sustancialmente, que la citada Ley General de Comunicación Social carece de reglas claras y transparentes para asignar el gasto de comunicación social en las distintas ramas del gobierno mexicano, contraviniendo los principios previstos en la materia por el artículo 134 de la Constitución Política de los Estados Unidos Mexicanos.</w:t>
      </w:r>
    </w:p>
    <w:p w14:paraId="0D82E022" w14:textId="77777777" w:rsidR="00EF5F19" w:rsidRPr="00EF5F19" w:rsidRDefault="00EF5F19" w:rsidP="00EF5F19">
      <w:pPr>
        <w:ind w:firstLine="708"/>
        <w:jc w:val="both"/>
        <w:rPr>
          <w:rFonts w:ascii="Abadi" w:hAnsi="Abadi" w:cs="Arial"/>
          <w:bCs/>
          <w:sz w:val="21"/>
          <w:szCs w:val="21"/>
        </w:rPr>
      </w:pPr>
    </w:p>
    <w:p w14:paraId="70DD2EAC" w14:textId="77777777" w:rsidR="00EF5F19" w:rsidRPr="00EF5F19" w:rsidRDefault="00EF5F19" w:rsidP="00EF5F19">
      <w:pPr>
        <w:ind w:firstLine="708"/>
        <w:jc w:val="both"/>
        <w:rPr>
          <w:rFonts w:ascii="Abadi" w:hAnsi="Abadi" w:cs="Arial"/>
          <w:bCs/>
          <w:sz w:val="21"/>
          <w:szCs w:val="21"/>
        </w:rPr>
      </w:pPr>
      <w:r w:rsidRPr="00EF5F19">
        <w:rPr>
          <w:rFonts w:ascii="Abadi" w:hAnsi="Abadi" w:cs="Arial"/>
          <w:bCs/>
          <w:sz w:val="21"/>
          <w:szCs w:val="21"/>
        </w:rPr>
        <w:t>Derivado de lo anterior, la Primera Sala de la Suprema Corte de Justicia de la Nación, en sesión celebrada el 8 de septiembre de 2021 emitió la resolución correspondiente, concediéndole el amparo a la quejosa para el efecto de que el Congreso de la Unión cumpla cabalmente con la obligación establecida en el artículo Tercero Transitorio del decreto de la reforma constitucional del 10 de febrero de 2014 y, en consecuencia, proceda a subsanar las deficiencias de la Ley General de Comunicación Social antes de que finalice el periodo ordinario de sesiones correspondiente al año 2021.</w:t>
      </w:r>
    </w:p>
    <w:p w14:paraId="705470C5" w14:textId="77777777" w:rsidR="00EF5F19" w:rsidRPr="00EF5F19" w:rsidRDefault="00EF5F19" w:rsidP="00EF5F19">
      <w:pPr>
        <w:ind w:firstLine="708"/>
        <w:jc w:val="both"/>
        <w:rPr>
          <w:rFonts w:ascii="Abadi" w:hAnsi="Abadi" w:cs="Arial"/>
          <w:bCs/>
          <w:sz w:val="21"/>
          <w:szCs w:val="21"/>
        </w:rPr>
      </w:pPr>
    </w:p>
    <w:p w14:paraId="7277322B" w14:textId="77777777" w:rsidR="00EF5F19" w:rsidRPr="00EF5F19" w:rsidRDefault="00EF5F19" w:rsidP="00EF5F19">
      <w:pPr>
        <w:ind w:firstLine="708"/>
        <w:jc w:val="both"/>
        <w:rPr>
          <w:rFonts w:ascii="Abadi" w:eastAsia="Batang" w:hAnsi="Abadi" w:cs="Arial"/>
          <w:sz w:val="21"/>
          <w:szCs w:val="21"/>
        </w:rPr>
      </w:pPr>
      <w:r w:rsidRPr="00EF5F19">
        <w:rPr>
          <w:rFonts w:ascii="Abadi" w:hAnsi="Abadi" w:cs="Arial"/>
          <w:bCs/>
          <w:sz w:val="21"/>
          <w:szCs w:val="21"/>
        </w:rPr>
        <w:t>No obstante, a la fecha, el Congreso de la Unión no ha dado cumplimiento a dicha resolución, razón por la cual y al estar fundada la iniciativa materia del presente dictamen en la Ley General de Comunicación Social, de la cual se ha declarado la inconstitucionalidad de diversos preceptos por nuestro Máximo Tribunal es que determinamos su improcedencia. Por tal motivo procede su archivo definitivo</w:t>
      </w:r>
      <w:r w:rsidRPr="00EF5F19">
        <w:rPr>
          <w:rFonts w:ascii="Abadi" w:eastAsia="Batang" w:hAnsi="Abadi" w:cs="Arial"/>
          <w:sz w:val="21"/>
          <w:szCs w:val="21"/>
        </w:rPr>
        <w:t>.</w:t>
      </w:r>
    </w:p>
    <w:p w14:paraId="61CC9E85" w14:textId="77777777" w:rsidR="00EF5F19" w:rsidRPr="00EF5F19" w:rsidRDefault="00EF5F19" w:rsidP="00EF5F19">
      <w:pPr>
        <w:autoSpaceDE w:val="0"/>
        <w:autoSpaceDN w:val="0"/>
        <w:adjustRightInd w:val="0"/>
        <w:ind w:right="-93" w:firstLine="708"/>
        <w:jc w:val="both"/>
        <w:rPr>
          <w:rFonts w:ascii="Abadi" w:eastAsia="Batang" w:hAnsi="Abadi" w:cs="Arial"/>
          <w:sz w:val="21"/>
          <w:szCs w:val="21"/>
        </w:rPr>
      </w:pPr>
    </w:p>
    <w:p w14:paraId="01EA3ABF" w14:textId="77777777" w:rsidR="00EF5F19" w:rsidRPr="00EF5F19" w:rsidRDefault="00EF5F19" w:rsidP="00EF5F19">
      <w:pPr>
        <w:ind w:firstLine="708"/>
        <w:jc w:val="both"/>
        <w:rPr>
          <w:rFonts w:ascii="Abadi" w:eastAsia="Batang" w:hAnsi="Abadi" w:cs="Arial"/>
          <w:sz w:val="21"/>
          <w:szCs w:val="21"/>
        </w:rPr>
      </w:pPr>
      <w:r w:rsidRPr="00EF5F19">
        <w:rPr>
          <w:rFonts w:ascii="Abadi" w:eastAsia="Batang" w:hAnsi="Abadi" w:cs="Arial"/>
          <w:sz w:val="21"/>
          <w:szCs w:val="21"/>
        </w:rPr>
        <w:t xml:space="preserve">Por lo anteriormente expuesto, y con fundamento en lo dispuesto por los artículos 171 y 204 de </w:t>
      </w:r>
      <w:smartTag w:uri="urn:schemas-microsoft-com:office:smarttags" w:element="PersonName">
        <w:smartTagPr>
          <w:attr w:name="ProductID" w:val="la Ley Org￡nica"/>
        </w:smartTagPr>
        <w:r w:rsidRPr="00EF5F19">
          <w:rPr>
            <w:rFonts w:ascii="Abadi" w:eastAsia="Batang" w:hAnsi="Abadi" w:cs="Arial"/>
            <w:sz w:val="21"/>
            <w:szCs w:val="21"/>
          </w:rPr>
          <w:t>la Ley Orgánica</w:t>
        </w:r>
      </w:smartTag>
      <w:r w:rsidRPr="00EF5F19">
        <w:rPr>
          <w:rFonts w:ascii="Abadi" w:eastAsia="Batang" w:hAnsi="Abadi" w:cs="Arial"/>
          <w:sz w:val="21"/>
          <w:szCs w:val="21"/>
        </w:rPr>
        <w:t xml:space="preserve"> del Poder Legislativo del Estado, quienes integramos la Comisión de Hacienda y Fiscalización, sometemos a la consideración de </w:t>
      </w:r>
      <w:smartTag w:uri="urn:schemas-microsoft-com:office:smarttags" w:element="PersonName">
        <w:smartTagPr>
          <w:attr w:name="ProductID" w:val="la Asamblea"/>
        </w:smartTagPr>
        <w:r w:rsidRPr="00EF5F19">
          <w:rPr>
            <w:rFonts w:ascii="Abadi" w:eastAsia="Batang" w:hAnsi="Abadi" w:cs="Arial"/>
            <w:sz w:val="21"/>
            <w:szCs w:val="21"/>
          </w:rPr>
          <w:t>la Asamblea</w:t>
        </w:r>
      </w:smartTag>
      <w:r w:rsidRPr="00EF5F19">
        <w:rPr>
          <w:rFonts w:ascii="Abadi" w:eastAsia="Batang" w:hAnsi="Abadi" w:cs="Arial"/>
          <w:sz w:val="21"/>
          <w:szCs w:val="21"/>
        </w:rPr>
        <w:t>, la aprobación del siguiente:</w:t>
      </w:r>
    </w:p>
    <w:p w14:paraId="68DC1B72" w14:textId="77777777" w:rsidR="00EF5F19" w:rsidRPr="00EF5F19" w:rsidRDefault="00EF5F19" w:rsidP="00EF5F19">
      <w:pPr>
        <w:rPr>
          <w:rFonts w:ascii="Abadi" w:hAnsi="Abadi"/>
          <w:b/>
          <w:sz w:val="21"/>
          <w:szCs w:val="21"/>
        </w:rPr>
      </w:pPr>
    </w:p>
    <w:p w14:paraId="5F15E3A4" w14:textId="77777777" w:rsidR="00EF5F19" w:rsidRPr="00EF5F19" w:rsidRDefault="00EF5F19" w:rsidP="00EF5F19">
      <w:pPr>
        <w:jc w:val="center"/>
        <w:rPr>
          <w:rFonts w:ascii="Abadi" w:hAnsi="Abadi"/>
          <w:b/>
          <w:sz w:val="21"/>
          <w:szCs w:val="21"/>
        </w:rPr>
      </w:pPr>
      <w:r w:rsidRPr="00EF5F19">
        <w:rPr>
          <w:rFonts w:ascii="Abadi" w:hAnsi="Abadi"/>
          <w:b/>
          <w:sz w:val="21"/>
          <w:szCs w:val="21"/>
        </w:rPr>
        <w:t>A c u e r d o</w:t>
      </w:r>
    </w:p>
    <w:p w14:paraId="65CAF4C0" w14:textId="77777777" w:rsidR="00EF5F19" w:rsidRPr="00EF5F19" w:rsidRDefault="00EF5F19" w:rsidP="00EF5F19">
      <w:pPr>
        <w:ind w:firstLine="540"/>
        <w:jc w:val="both"/>
        <w:rPr>
          <w:rFonts w:ascii="Abadi" w:hAnsi="Abadi"/>
          <w:b/>
          <w:sz w:val="21"/>
          <w:szCs w:val="21"/>
        </w:rPr>
      </w:pPr>
    </w:p>
    <w:p w14:paraId="361C525A" w14:textId="77777777" w:rsidR="00EF5F19" w:rsidRPr="00EF5F19" w:rsidRDefault="00EF5F19" w:rsidP="00EF5F19">
      <w:pPr>
        <w:ind w:firstLine="540"/>
        <w:jc w:val="both"/>
        <w:rPr>
          <w:rFonts w:ascii="Abadi" w:hAnsi="Abadi" w:cs="Arial"/>
          <w:sz w:val="21"/>
          <w:szCs w:val="21"/>
        </w:rPr>
      </w:pPr>
      <w:r w:rsidRPr="00EF5F19">
        <w:rPr>
          <w:rFonts w:ascii="Abadi" w:hAnsi="Abadi"/>
          <w:b/>
          <w:sz w:val="21"/>
          <w:szCs w:val="21"/>
        </w:rPr>
        <w:t>Artículo Único.</w:t>
      </w:r>
      <w:r w:rsidRPr="00EF5F19">
        <w:rPr>
          <w:rFonts w:ascii="Abadi" w:hAnsi="Abadi"/>
          <w:sz w:val="21"/>
          <w:szCs w:val="21"/>
        </w:rPr>
        <w:t xml:space="preserve"> Se </w:t>
      </w:r>
      <w:r w:rsidRPr="00EF5F19">
        <w:rPr>
          <w:rFonts w:ascii="Abadi" w:hAnsi="Abadi" w:cs="Arial"/>
          <w:sz w:val="21"/>
          <w:szCs w:val="21"/>
        </w:rPr>
        <w:t xml:space="preserve">considera improcedente la iniciativa </w:t>
      </w:r>
      <w:r w:rsidRPr="00EF5F19">
        <w:rPr>
          <w:rFonts w:ascii="Abadi" w:hAnsi="Abadi"/>
          <w:sz w:val="21"/>
          <w:szCs w:val="21"/>
        </w:rPr>
        <w:t xml:space="preserve">de </w:t>
      </w:r>
      <w:r w:rsidRPr="00EF5F19">
        <w:rPr>
          <w:rFonts w:ascii="Abadi" w:hAnsi="Abadi"/>
          <w:bCs/>
          <w:sz w:val="21"/>
          <w:szCs w:val="21"/>
        </w:rPr>
        <w:t>Ley de Publicidad y Comunicación Institucional para el Estado de Guanajuato</w:t>
      </w:r>
      <w:r w:rsidRPr="00EF5F19">
        <w:rPr>
          <w:rFonts w:ascii="Abadi" w:hAnsi="Abadi"/>
          <w:sz w:val="21"/>
          <w:szCs w:val="21"/>
          <w:lang w:val="es-ES_tradnl"/>
        </w:rPr>
        <w:t xml:space="preserve"> formulada por la diputada y el diputado integrantes del Grupo Parlamentario del Partido Verde Ecologista de México ante la Sexagésima Cuarta Legislatura</w:t>
      </w:r>
      <w:r w:rsidRPr="00EF5F19">
        <w:rPr>
          <w:rFonts w:ascii="Abadi" w:hAnsi="Abadi" w:cs="Arial"/>
          <w:sz w:val="21"/>
          <w:szCs w:val="21"/>
        </w:rPr>
        <w:t>. En consecuencia, se ordena su archivo definitivo.</w:t>
      </w:r>
    </w:p>
    <w:p w14:paraId="7790100C" w14:textId="77777777" w:rsidR="00EF5F19" w:rsidRPr="00EF5F19" w:rsidRDefault="00EF5F19" w:rsidP="00EF5F19">
      <w:pPr>
        <w:ind w:firstLine="540"/>
        <w:jc w:val="both"/>
        <w:rPr>
          <w:rFonts w:ascii="Abadi" w:hAnsi="Abadi" w:cs="Arial"/>
          <w:sz w:val="21"/>
          <w:szCs w:val="21"/>
        </w:rPr>
      </w:pPr>
    </w:p>
    <w:p w14:paraId="6CC495E4" w14:textId="77777777" w:rsidR="00EF5F19" w:rsidRPr="00EF5F19" w:rsidRDefault="00EF5F19" w:rsidP="00EF5F19">
      <w:pPr>
        <w:ind w:firstLine="540"/>
        <w:jc w:val="both"/>
        <w:rPr>
          <w:rFonts w:ascii="Abadi" w:hAnsi="Abadi" w:cs="Arial"/>
          <w:sz w:val="21"/>
          <w:szCs w:val="21"/>
        </w:rPr>
      </w:pPr>
      <w:r w:rsidRPr="00EF5F19">
        <w:rPr>
          <w:rFonts w:ascii="Abadi" w:hAnsi="Abadi" w:cs="Arial"/>
          <w:sz w:val="21"/>
          <w:szCs w:val="21"/>
        </w:rPr>
        <w:t>Comuníquese el presente acuerdo a la Secretaría General del Congreso del Estado para los efectos conducentes.</w:t>
      </w:r>
    </w:p>
    <w:p w14:paraId="4CB73DA5" w14:textId="77777777" w:rsidR="00EF5F19" w:rsidRPr="00EF5F19" w:rsidRDefault="00EF5F19" w:rsidP="00EF5F19">
      <w:pPr>
        <w:ind w:firstLine="540"/>
        <w:jc w:val="center"/>
        <w:rPr>
          <w:rFonts w:ascii="Abadi" w:hAnsi="Abadi"/>
          <w:sz w:val="21"/>
          <w:szCs w:val="21"/>
        </w:rPr>
      </w:pPr>
    </w:p>
    <w:p w14:paraId="2CC4B97C" w14:textId="77777777" w:rsidR="00EF5F19" w:rsidRPr="00EF5F19" w:rsidRDefault="00EF5F19" w:rsidP="00EF5F19">
      <w:pPr>
        <w:jc w:val="center"/>
        <w:rPr>
          <w:rFonts w:ascii="Abadi" w:hAnsi="Abadi" w:cs="Arial"/>
          <w:b/>
          <w:iCs/>
          <w:sz w:val="21"/>
          <w:szCs w:val="21"/>
          <w:lang w:val="es-MX"/>
        </w:rPr>
      </w:pPr>
      <w:r w:rsidRPr="00EF5F19">
        <w:rPr>
          <w:rFonts w:ascii="Abadi" w:hAnsi="Abadi" w:cs="Arial"/>
          <w:b/>
          <w:iCs/>
          <w:sz w:val="21"/>
          <w:szCs w:val="21"/>
          <w:lang w:val="es-MX"/>
        </w:rPr>
        <w:t>Guanajuato, Gto., 20 de junio de 2022</w:t>
      </w:r>
    </w:p>
    <w:p w14:paraId="120C9C06" w14:textId="77777777" w:rsidR="00EF5F19" w:rsidRPr="00EF5F19" w:rsidRDefault="00EF5F19" w:rsidP="00EF5F19">
      <w:pPr>
        <w:jc w:val="center"/>
        <w:rPr>
          <w:rFonts w:ascii="Abadi" w:hAnsi="Abadi" w:cs="Arial"/>
          <w:b/>
          <w:iCs/>
          <w:sz w:val="21"/>
          <w:szCs w:val="21"/>
          <w:lang w:val="es-MX"/>
        </w:rPr>
      </w:pPr>
      <w:smartTag w:uri="urn:schemas-microsoft-com:office:smarttags" w:element="PersonName">
        <w:smartTagPr>
          <w:attr w:name="ProductID" w:val="La Comisi￳n"/>
        </w:smartTagPr>
        <w:r w:rsidRPr="00EF5F19">
          <w:rPr>
            <w:rFonts w:ascii="Abadi" w:hAnsi="Abadi" w:cs="Arial"/>
            <w:b/>
            <w:iCs/>
            <w:sz w:val="21"/>
            <w:szCs w:val="21"/>
            <w:lang w:val="es-MX"/>
          </w:rPr>
          <w:t>La Comisión</w:t>
        </w:r>
      </w:smartTag>
      <w:r w:rsidRPr="00EF5F19">
        <w:rPr>
          <w:rFonts w:ascii="Abadi" w:hAnsi="Abadi" w:cs="Arial"/>
          <w:b/>
          <w:iCs/>
          <w:sz w:val="21"/>
          <w:szCs w:val="21"/>
          <w:lang w:val="es-MX"/>
        </w:rPr>
        <w:t xml:space="preserve"> de Hacienda y Fiscalización</w:t>
      </w:r>
    </w:p>
    <w:p w14:paraId="49ADC939" w14:textId="77777777" w:rsidR="00EF5F19" w:rsidRDefault="00EF5F19" w:rsidP="00EF5F19">
      <w:pPr>
        <w:jc w:val="center"/>
        <w:rPr>
          <w:rFonts w:ascii="Abadi" w:hAnsi="Abadi" w:cs="Arial"/>
          <w:bCs/>
          <w:i/>
          <w:sz w:val="21"/>
          <w:szCs w:val="21"/>
          <w:lang w:val="es-MX"/>
        </w:rPr>
      </w:pPr>
    </w:p>
    <w:p w14:paraId="08CA3AB8" w14:textId="34054827" w:rsidR="00EF5F19" w:rsidRPr="00EF5F19" w:rsidRDefault="00EF5F19" w:rsidP="00EF5F19">
      <w:pPr>
        <w:jc w:val="center"/>
        <w:rPr>
          <w:rFonts w:ascii="Abadi" w:hAnsi="Abadi" w:cs="Arial"/>
          <w:bCs/>
          <w:i/>
          <w:sz w:val="21"/>
          <w:szCs w:val="21"/>
          <w:lang w:val="es-MX"/>
        </w:rPr>
      </w:pPr>
      <w:r w:rsidRPr="00EF5F19">
        <w:rPr>
          <w:rFonts w:ascii="Abadi" w:hAnsi="Abadi" w:cs="Arial"/>
          <w:bCs/>
          <w:i/>
          <w:sz w:val="21"/>
          <w:szCs w:val="21"/>
          <w:lang w:val="es-MX"/>
        </w:rPr>
        <w:t>Firma electrónica</w:t>
      </w:r>
    </w:p>
    <w:p w14:paraId="6E41E1BE" w14:textId="77777777" w:rsidR="00EF5F19" w:rsidRPr="00EF5F19" w:rsidRDefault="00EF5F19" w:rsidP="00EF5F19">
      <w:pPr>
        <w:rPr>
          <w:rFonts w:ascii="Abadi" w:hAnsi="Abadi" w:cs="Arial"/>
          <w:b/>
          <w:iCs/>
          <w:sz w:val="21"/>
          <w:szCs w:val="21"/>
          <w:lang w:val="es-MX"/>
        </w:rPr>
      </w:pPr>
    </w:p>
    <w:p w14:paraId="707E1A46" w14:textId="77777777" w:rsidR="00EF5F19" w:rsidRPr="00EF5F19" w:rsidRDefault="00EF5F19" w:rsidP="00EF5F19">
      <w:pPr>
        <w:jc w:val="center"/>
        <w:rPr>
          <w:rFonts w:ascii="Abadi" w:hAnsi="Abadi" w:cs="Arial"/>
          <w:b/>
          <w:iCs/>
          <w:sz w:val="21"/>
          <w:szCs w:val="21"/>
          <w:lang w:val="es-MX"/>
        </w:rPr>
      </w:pPr>
    </w:p>
    <w:p w14:paraId="30C2F122" w14:textId="77777777" w:rsidR="00EF5F19" w:rsidRPr="00EF5F19" w:rsidRDefault="00EF5F19" w:rsidP="00EF5F19">
      <w:pPr>
        <w:jc w:val="center"/>
        <w:rPr>
          <w:rFonts w:ascii="Abadi" w:hAnsi="Abadi" w:cs="Calibri"/>
          <w:b/>
          <w:bCs/>
          <w:sz w:val="21"/>
          <w:szCs w:val="21"/>
        </w:rPr>
      </w:pPr>
      <w:r w:rsidRPr="00EF5F19">
        <w:rPr>
          <w:rFonts w:ascii="Abadi" w:hAnsi="Abadi" w:cs="Calibri"/>
          <w:b/>
          <w:bCs/>
          <w:sz w:val="21"/>
          <w:szCs w:val="21"/>
        </w:rPr>
        <w:t>Diputado Víctor Manuel Zanella Huerta</w:t>
      </w:r>
    </w:p>
    <w:p w14:paraId="41A96903" w14:textId="77777777" w:rsidR="00EF5F19" w:rsidRPr="00EF5F19" w:rsidRDefault="00EF5F19" w:rsidP="00EF5F19">
      <w:pPr>
        <w:jc w:val="center"/>
        <w:rPr>
          <w:rFonts w:ascii="Abadi" w:hAnsi="Abadi" w:cs="Calibri"/>
          <w:b/>
          <w:bCs/>
          <w:sz w:val="21"/>
          <w:szCs w:val="21"/>
        </w:rPr>
      </w:pPr>
    </w:p>
    <w:p w14:paraId="5FF527B5" w14:textId="77777777" w:rsidR="00EF5F19" w:rsidRPr="00EF5F19" w:rsidRDefault="00EF5F19" w:rsidP="00EF5F19">
      <w:pPr>
        <w:rPr>
          <w:rFonts w:ascii="Abadi" w:hAnsi="Abadi" w:cs="Calibri"/>
          <w:b/>
          <w:bCs/>
          <w:sz w:val="21"/>
          <w:szCs w:val="21"/>
        </w:rPr>
      </w:pPr>
    </w:p>
    <w:p w14:paraId="573AE1EC" w14:textId="77777777" w:rsidR="00EF5F19" w:rsidRDefault="00EF5F19" w:rsidP="00EF5F19">
      <w:pPr>
        <w:ind w:right="-234"/>
        <w:jc w:val="center"/>
        <w:rPr>
          <w:rFonts w:ascii="Abadi" w:hAnsi="Abadi" w:cs="Calibri"/>
          <w:b/>
          <w:bCs/>
          <w:sz w:val="21"/>
          <w:szCs w:val="21"/>
        </w:rPr>
      </w:pPr>
      <w:r w:rsidRPr="00EF5F19">
        <w:rPr>
          <w:rFonts w:ascii="Abadi" w:hAnsi="Abadi" w:cs="Calibri"/>
          <w:b/>
          <w:bCs/>
          <w:sz w:val="21"/>
          <w:szCs w:val="21"/>
        </w:rPr>
        <w:t xml:space="preserve">Diputada Ruth Noemí Tiscareño Agoitia      </w:t>
      </w:r>
    </w:p>
    <w:p w14:paraId="7A4AA480" w14:textId="77777777" w:rsidR="00EF5F19" w:rsidRDefault="00EF5F19" w:rsidP="00EF5F19">
      <w:pPr>
        <w:ind w:right="-234"/>
        <w:jc w:val="center"/>
        <w:rPr>
          <w:rFonts w:ascii="Abadi" w:hAnsi="Abadi" w:cs="Calibri"/>
          <w:b/>
          <w:bCs/>
          <w:sz w:val="21"/>
          <w:szCs w:val="21"/>
        </w:rPr>
      </w:pPr>
    </w:p>
    <w:p w14:paraId="5B014389" w14:textId="08FA02D0" w:rsidR="00EF5F19" w:rsidRPr="00EF5F19" w:rsidRDefault="00EF5F19" w:rsidP="00EF5F19">
      <w:pPr>
        <w:ind w:right="-234"/>
        <w:jc w:val="center"/>
        <w:rPr>
          <w:rFonts w:ascii="Abadi" w:hAnsi="Abadi" w:cs="Calibri"/>
          <w:b/>
          <w:bCs/>
          <w:sz w:val="21"/>
          <w:szCs w:val="21"/>
        </w:rPr>
      </w:pPr>
      <w:r w:rsidRPr="00EF5F19">
        <w:rPr>
          <w:rFonts w:ascii="Abadi" w:hAnsi="Abadi" w:cs="Calibri"/>
          <w:b/>
          <w:bCs/>
          <w:sz w:val="21"/>
          <w:szCs w:val="21"/>
        </w:rPr>
        <w:t>Diputado Miguel Ángel Salim Alle</w:t>
      </w:r>
    </w:p>
    <w:p w14:paraId="1D2F1650" w14:textId="77777777" w:rsidR="00EF5F19" w:rsidRPr="00EF5F19" w:rsidRDefault="00EF5F19" w:rsidP="00EF5F19">
      <w:pPr>
        <w:rPr>
          <w:rFonts w:ascii="Abadi" w:hAnsi="Abadi" w:cs="Calibri"/>
          <w:b/>
          <w:bCs/>
          <w:sz w:val="21"/>
          <w:szCs w:val="21"/>
        </w:rPr>
      </w:pPr>
    </w:p>
    <w:p w14:paraId="3277CA30" w14:textId="77777777" w:rsidR="00EF5F19" w:rsidRPr="00EF5F19" w:rsidRDefault="00EF5F19" w:rsidP="00EF5F19">
      <w:pPr>
        <w:jc w:val="center"/>
        <w:rPr>
          <w:rFonts w:ascii="Abadi" w:hAnsi="Abadi" w:cs="Calibri"/>
          <w:b/>
          <w:bCs/>
          <w:sz w:val="21"/>
          <w:szCs w:val="21"/>
        </w:rPr>
      </w:pPr>
    </w:p>
    <w:p w14:paraId="38946616" w14:textId="60FC1AE9" w:rsidR="00EF5F19" w:rsidRPr="00EF5F19" w:rsidRDefault="00EF5F19" w:rsidP="00EF5F19">
      <w:pPr>
        <w:ind w:right="-234"/>
        <w:jc w:val="center"/>
        <w:rPr>
          <w:rFonts w:ascii="Abadi" w:hAnsi="Abadi" w:cs="Calibri"/>
          <w:b/>
          <w:bCs/>
          <w:sz w:val="21"/>
          <w:szCs w:val="21"/>
        </w:rPr>
      </w:pPr>
      <w:r w:rsidRPr="00EF5F19">
        <w:rPr>
          <w:rFonts w:ascii="Abadi" w:hAnsi="Abadi" w:cs="Calibri"/>
          <w:b/>
          <w:bCs/>
          <w:sz w:val="21"/>
          <w:szCs w:val="21"/>
        </w:rPr>
        <w:t>Diputado José Alfonso Borja Pimentel</w:t>
      </w:r>
    </w:p>
    <w:p w14:paraId="301D1AE2" w14:textId="77777777" w:rsidR="00EF5F19" w:rsidRPr="00EF5F19" w:rsidRDefault="00EF5F19" w:rsidP="00EF5F19">
      <w:pPr>
        <w:ind w:right="-234"/>
        <w:jc w:val="center"/>
        <w:rPr>
          <w:rFonts w:ascii="Abadi" w:hAnsi="Abadi" w:cs="Calibri"/>
          <w:b/>
          <w:bCs/>
          <w:sz w:val="21"/>
          <w:szCs w:val="21"/>
        </w:rPr>
      </w:pPr>
    </w:p>
    <w:p w14:paraId="679D0F1D" w14:textId="77777777" w:rsidR="00EF5F19" w:rsidRPr="00EF5F19" w:rsidRDefault="00EF5F19" w:rsidP="00EF5F19">
      <w:pPr>
        <w:ind w:right="-234"/>
        <w:jc w:val="center"/>
        <w:rPr>
          <w:rFonts w:ascii="Abadi" w:hAnsi="Abadi" w:cs="Calibri"/>
          <w:b/>
          <w:bCs/>
          <w:sz w:val="21"/>
          <w:szCs w:val="21"/>
        </w:rPr>
      </w:pPr>
      <w:r w:rsidRPr="00EF5F19">
        <w:rPr>
          <w:rFonts w:ascii="Abadi" w:hAnsi="Abadi" w:cs="Calibri"/>
          <w:b/>
          <w:bCs/>
          <w:sz w:val="21"/>
          <w:szCs w:val="21"/>
        </w:rPr>
        <w:t>Diputada Alma Edwviges Alcaraz Hernández</w:t>
      </w:r>
    </w:p>
    <w:p w14:paraId="0F59C286" w14:textId="42A13A28" w:rsidR="00EF5F19" w:rsidRPr="00EF5F19" w:rsidRDefault="00EF5F19" w:rsidP="00EF5F19">
      <w:pPr>
        <w:ind w:right="-234"/>
        <w:jc w:val="center"/>
        <w:rPr>
          <w:rFonts w:ascii="Abadi" w:hAnsi="Abadi" w:cs="Calibri"/>
          <w:i/>
          <w:iCs/>
          <w:sz w:val="21"/>
          <w:szCs w:val="21"/>
        </w:rPr>
      </w:pPr>
      <w:r w:rsidRPr="00EF5F19">
        <w:rPr>
          <w:rFonts w:ascii="Abadi" w:hAnsi="Abadi" w:cs="Calibri"/>
          <w:i/>
          <w:iCs/>
          <w:sz w:val="21"/>
          <w:szCs w:val="21"/>
        </w:rPr>
        <w:t>Voto en contra</w:t>
      </w:r>
    </w:p>
    <w:p w14:paraId="35B2601C" w14:textId="171DD5AF" w:rsidR="00FB4A30" w:rsidRDefault="00FB4A30" w:rsidP="00FB4A30">
      <w:pPr>
        <w:rPr>
          <w:rFonts w:ascii="Abadi" w:hAnsi="Abadi"/>
          <w:sz w:val="20"/>
          <w:szCs w:val="20"/>
        </w:rPr>
      </w:pPr>
    </w:p>
    <w:p w14:paraId="6E9B674C" w14:textId="77777777" w:rsidR="00FB4A30" w:rsidRPr="00FB4A30" w:rsidRDefault="00FB4A30" w:rsidP="00FB4A30">
      <w:pPr>
        <w:rPr>
          <w:rFonts w:ascii="Abadi" w:hAnsi="Abadi"/>
          <w:sz w:val="20"/>
          <w:szCs w:val="20"/>
        </w:rPr>
      </w:pPr>
    </w:p>
    <w:p w14:paraId="000CA8BF" w14:textId="77777777" w:rsidR="0065724A" w:rsidRPr="00531B12" w:rsidRDefault="0065724A" w:rsidP="005433FA">
      <w:pPr>
        <w:pStyle w:val="Prrafodelista"/>
        <w:numPr>
          <w:ilvl w:val="0"/>
          <w:numId w:val="9"/>
        </w:numPr>
        <w:tabs>
          <w:tab w:val="left" w:pos="856"/>
        </w:tabs>
        <w:kinsoku w:val="0"/>
        <w:overflowPunct w:val="0"/>
        <w:autoSpaceDE w:val="0"/>
        <w:autoSpaceDN w:val="0"/>
        <w:adjustRightInd w:val="0"/>
        <w:spacing w:before="1"/>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7"/>
          <w:sz w:val="20"/>
          <w:szCs w:val="20"/>
        </w:rPr>
        <w:t xml:space="preserve"> </w:t>
      </w:r>
      <w:r w:rsidRPr="00531B12">
        <w:rPr>
          <w:rFonts w:ascii="Abadi" w:hAnsi="Abadi"/>
          <w:b/>
          <w:bCs/>
          <w:sz w:val="20"/>
          <w:szCs w:val="20"/>
        </w:rPr>
        <w:t>Y,</w:t>
      </w:r>
      <w:r w:rsidRPr="00531B12">
        <w:rPr>
          <w:rFonts w:ascii="Abadi" w:hAnsi="Abadi"/>
          <w:b/>
          <w:bCs/>
          <w:spacing w:val="16"/>
          <w:sz w:val="20"/>
          <w:szCs w:val="20"/>
        </w:rPr>
        <w:t xml:space="preserve"> </w:t>
      </w:r>
      <w:r w:rsidRPr="00531B12">
        <w:rPr>
          <w:rFonts w:ascii="Abadi" w:hAnsi="Abadi"/>
          <w:b/>
          <w:bCs/>
          <w:sz w:val="20"/>
          <w:szCs w:val="20"/>
        </w:rPr>
        <w:t>EN</w:t>
      </w:r>
      <w:r w:rsidRPr="00531B12">
        <w:rPr>
          <w:rFonts w:ascii="Abadi" w:hAnsi="Abadi"/>
          <w:b/>
          <w:bCs/>
          <w:spacing w:val="17"/>
          <w:sz w:val="20"/>
          <w:szCs w:val="20"/>
        </w:rPr>
        <w:t xml:space="preserve"> </w:t>
      </w:r>
      <w:r w:rsidRPr="00531B12">
        <w:rPr>
          <w:rFonts w:ascii="Abadi" w:hAnsi="Abadi"/>
          <w:b/>
          <w:bCs/>
          <w:sz w:val="20"/>
          <w:szCs w:val="20"/>
        </w:rPr>
        <w:t>SU</w:t>
      </w:r>
      <w:r w:rsidRPr="00531B12">
        <w:rPr>
          <w:rFonts w:ascii="Abadi" w:hAnsi="Abadi"/>
          <w:b/>
          <w:bCs/>
          <w:spacing w:val="17"/>
          <w:sz w:val="20"/>
          <w:szCs w:val="20"/>
        </w:rPr>
        <w:t xml:space="preserve"> </w:t>
      </w:r>
      <w:r w:rsidRPr="00531B12">
        <w:rPr>
          <w:rFonts w:ascii="Abadi" w:hAnsi="Abadi"/>
          <w:b/>
          <w:bCs/>
          <w:sz w:val="20"/>
          <w:szCs w:val="20"/>
        </w:rPr>
        <w:t>CASO,</w:t>
      </w:r>
      <w:r w:rsidRPr="00531B12">
        <w:rPr>
          <w:rFonts w:ascii="Abadi" w:hAnsi="Abadi"/>
          <w:b/>
          <w:bCs/>
          <w:spacing w:val="15"/>
          <w:sz w:val="20"/>
          <w:szCs w:val="20"/>
        </w:rPr>
        <w:t xml:space="preserve"> </w:t>
      </w:r>
      <w:r w:rsidRPr="00531B12">
        <w:rPr>
          <w:rFonts w:ascii="Abadi" w:hAnsi="Abadi"/>
          <w:b/>
          <w:bCs/>
          <w:sz w:val="20"/>
          <w:szCs w:val="20"/>
        </w:rPr>
        <w:t>APROBACIÓN</w:t>
      </w:r>
      <w:r w:rsidRPr="00531B12">
        <w:rPr>
          <w:rFonts w:ascii="Abadi" w:hAnsi="Abadi"/>
          <w:b/>
          <w:bCs/>
          <w:spacing w:val="17"/>
          <w:sz w:val="20"/>
          <w:szCs w:val="20"/>
        </w:rPr>
        <w:t xml:space="preserve"> </w:t>
      </w:r>
      <w:r w:rsidRPr="00531B12">
        <w:rPr>
          <w:rFonts w:ascii="Abadi" w:hAnsi="Abadi"/>
          <w:b/>
          <w:bCs/>
          <w:sz w:val="20"/>
          <w:szCs w:val="20"/>
        </w:rPr>
        <w:t>DEL</w:t>
      </w:r>
      <w:r w:rsidRPr="00531B12">
        <w:rPr>
          <w:rFonts w:ascii="Abadi" w:hAnsi="Abadi"/>
          <w:b/>
          <w:bCs/>
          <w:spacing w:val="16"/>
          <w:sz w:val="20"/>
          <w:szCs w:val="20"/>
        </w:rPr>
        <w:t xml:space="preserve"> </w:t>
      </w:r>
      <w:r w:rsidRPr="00531B12">
        <w:rPr>
          <w:rFonts w:ascii="Abadi" w:hAnsi="Abadi"/>
          <w:b/>
          <w:bCs/>
          <w:sz w:val="20"/>
          <w:szCs w:val="20"/>
        </w:rPr>
        <w:t>DICTAMEN</w:t>
      </w:r>
      <w:r w:rsidRPr="00531B12">
        <w:rPr>
          <w:rFonts w:ascii="Abadi" w:hAnsi="Abadi"/>
          <w:b/>
          <w:bCs/>
          <w:spacing w:val="17"/>
          <w:sz w:val="20"/>
          <w:szCs w:val="20"/>
        </w:rPr>
        <w:t xml:space="preserve"> </w:t>
      </w:r>
      <w:r w:rsidRPr="00531B12">
        <w:rPr>
          <w:rFonts w:ascii="Abadi" w:hAnsi="Abadi"/>
          <w:b/>
          <w:bCs/>
          <w:sz w:val="20"/>
          <w:szCs w:val="20"/>
        </w:rPr>
        <w:t>EMITIDO</w:t>
      </w:r>
      <w:r w:rsidRPr="00531B12">
        <w:rPr>
          <w:rFonts w:ascii="Abadi" w:hAnsi="Abadi"/>
          <w:b/>
          <w:bCs/>
          <w:spacing w:val="16"/>
          <w:sz w:val="20"/>
          <w:szCs w:val="20"/>
        </w:rPr>
        <w:t xml:space="preserve"> </w:t>
      </w:r>
      <w:r w:rsidRPr="00531B12">
        <w:rPr>
          <w:rFonts w:ascii="Abadi" w:hAnsi="Abadi"/>
          <w:b/>
          <w:bCs/>
          <w:sz w:val="20"/>
          <w:szCs w:val="20"/>
        </w:rPr>
        <w:t>POR</w:t>
      </w:r>
      <w:r w:rsidRPr="00531B12">
        <w:rPr>
          <w:rFonts w:ascii="Abadi" w:hAnsi="Abadi"/>
          <w:b/>
          <w:bCs/>
          <w:spacing w:val="15"/>
          <w:sz w:val="20"/>
          <w:szCs w:val="20"/>
        </w:rPr>
        <w:t xml:space="preserve"> </w:t>
      </w:r>
      <w:r w:rsidRPr="00531B12">
        <w:rPr>
          <w:rFonts w:ascii="Abadi" w:hAnsi="Abadi"/>
          <w:b/>
          <w:bCs/>
          <w:sz w:val="20"/>
          <w:szCs w:val="20"/>
        </w:rPr>
        <w:t>LA</w:t>
      </w:r>
      <w:r w:rsidRPr="00531B12">
        <w:rPr>
          <w:rFonts w:ascii="Abadi" w:hAnsi="Abadi"/>
          <w:b/>
          <w:bCs/>
          <w:spacing w:val="17"/>
          <w:sz w:val="20"/>
          <w:szCs w:val="20"/>
        </w:rPr>
        <w:t xml:space="preserve"> </w:t>
      </w:r>
      <w:r w:rsidRPr="00531B12">
        <w:rPr>
          <w:rFonts w:ascii="Abadi" w:hAnsi="Abadi"/>
          <w:b/>
          <w:bCs/>
          <w:sz w:val="20"/>
          <w:szCs w:val="20"/>
        </w:rPr>
        <w:t>COMISIÓN</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3"/>
          <w:sz w:val="20"/>
          <w:szCs w:val="20"/>
        </w:rPr>
        <w:t xml:space="preserve"> </w:t>
      </w:r>
      <w:r w:rsidRPr="00531B12">
        <w:rPr>
          <w:rFonts w:ascii="Abadi" w:hAnsi="Abadi"/>
          <w:b/>
          <w:bCs/>
          <w:sz w:val="20"/>
          <w:szCs w:val="20"/>
        </w:rPr>
        <w:t>HACIENDA</w:t>
      </w:r>
      <w:r w:rsidRPr="00531B12">
        <w:rPr>
          <w:rFonts w:ascii="Abadi" w:hAnsi="Abadi"/>
          <w:b/>
          <w:bCs/>
          <w:spacing w:val="-3"/>
          <w:sz w:val="20"/>
          <w:szCs w:val="20"/>
        </w:rPr>
        <w:t xml:space="preserve"> </w:t>
      </w:r>
      <w:r w:rsidRPr="00531B12">
        <w:rPr>
          <w:rFonts w:ascii="Abadi" w:hAnsi="Abadi"/>
          <w:b/>
          <w:bCs/>
          <w:sz w:val="20"/>
          <w:szCs w:val="20"/>
        </w:rPr>
        <w:t>Y</w:t>
      </w:r>
      <w:r w:rsidRPr="00531B12">
        <w:rPr>
          <w:rFonts w:ascii="Abadi" w:hAnsi="Abadi"/>
          <w:b/>
          <w:bCs/>
          <w:spacing w:val="-3"/>
          <w:sz w:val="20"/>
          <w:szCs w:val="20"/>
        </w:rPr>
        <w:t xml:space="preserve"> </w:t>
      </w:r>
      <w:r w:rsidRPr="00531B12">
        <w:rPr>
          <w:rFonts w:ascii="Abadi" w:hAnsi="Abadi"/>
          <w:b/>
          <w:bCs/>
          <w:sz w:val="20"/>
          <w:szCs w:val="20"/>
        </w:rPr>
        <w:t>FISCALIZACIÓN</w:t>
      </w:r>
      <w:r w:rsidRPr="00531B12">
        <w:rPr>
          <w:rFonts w:ascii="Abadi" w:hAnsi="Abadi"/>
          <w:b/>
          <w:bCs/>
          <w:spacing w:val="-3"/>
          <w:sz w:val="20"/>
          <w:szCs w:val="20"/>
        </w:rPr>
        <w:t xml:space="preserve"> </w:t>
      </w:r>
      <w:r w:rsidRPr="00531B12">
        <w:rPr>
          <w:rFonts w:ascii="Abadi" w:hAnsi="Abadi"/>
          <w:b/>
          <w:bCs/>
          <w:sz w:val="20"/>
          <w:szCs w:val="20"/>
        </w:rPr>
        <w:t>RELATIVO</w:t>
      </w:r>
      <w:r w:rsidRPr="00531B12">
        <w:rPr>
          <w:rFonts w:ascii="Abadi" w:hAnsi="Abadi"/>
          <w:b/>
          <w:bCs/>
          <w:spacing w:val="-3"/>
          <w:sz w:val="20"/>
          <w:szCs w:val="20"/>
        </w:rPr>
        <w:t xml:space="preserve"> </w:t>
      </w:r>
      <w:r w:rsidRPr="00531B12">
        <w:rPr>
          <w:rFonts w:ascii="Abadi" w:hAnsi="Abadi"/>
          <w:b/>
          <w:bCs/>
          <w:sz w:val="20"/>
          <w:szCs w:val="20"/>
        </w:rPr>
        <w:t>A</w:t>
      </w:r>
      <w:r w:rsidRPr="00531B12">
        <w:rPr>
          <w:rFonts w:ascii="Abadi" w:hAnsi="Abadi"/>
          <w:b/>
          <w:bCs/>
          <w:spacing w:val="-4"/>
          <w:sz w:val="20"/>
          <w:szCs w:val="20"/>
        </w:rPr>
        <w:t xml:space="preserve"> </w:t>
      </w:r>
      <w:r w:rsidRPr="00531B12">
        <w:rPr>
          <w:rFonts w:ascii="Abadi" w:hAnsi="Abadi"/>
          <w:b/>
          <w:bCs/>
          <w:sz w:val="20"/>
          <w:szCs w:val="20"/>
        </w:rPr>
        <w:t>LA</w:t>
      </w:r>
      <w:r w:rsidRPr="00531B12">
        <w:rPr>
          <w:rFonts w:ascii="Abadi" w:hAnsi="Abadi"/>
          <w:b/>
          <w:bCs/>
          <w:spacing w:val="-3"/>
          <w:sz w:val="20"/>
          <w:szCs w:val="20"/>
        </w:rPr>
        <w:t xml:space="preserve"> </w:t>
      </w:r>
      <w:r w:rsidRPr="00531B12">
        <w:rPr>
          <w:rFonts w:ascii="Abadi" w:hAnsi="Abadi"/>
          <w:b/>
          <w:bCs/>
          <w:sz w:val="20"/>
          <w:szCs w:val="20"/>
        </w:rPr>
        <w:t>INICIATIVA</w:t>
      </w:r>
      <w:r w:rsidRPr="00531B12">
        <w:rPr>
          <w:rFonts w:ascii="Abadi" w:hAnsi="Abadi"/>
          <w:b/>
          <w:bCs/>
          <w:spacing w:val="-3"/>
          <w:sz w:val="20"/>
          <w:szCs w:val="20"/>
        </w:rPr>
        <w:t xml:space="preserve"> </w:t>
      </w:r>
      <w:r w:rsidRPr="00531B12">
        <w:rPr>
          <w:rFonts w:ascii="Abadi" w:hAnsi="Abadi"/>
          <w:b/>
          <w:bCs/>
          <w:sz w:val="20"/>
          <w:szCs w:val="20"/>
        </w:rPr>
        <w:t>FORMULADA</w:t>
      </w:r>
      <w:r w:rsidRPr="00531B12">
        <w:rPr>
          <w:rFonts w:ascii="Abadi" w:hAnsi="Abadi"/>
          <w:b/>
          <w:bCs/>
          <w:spacing w:val="-3"/>
          <w:sz w:val="20"/>
          <w:szCs w:val="20"/>
        </w:rPr>
        <w:t xml:space="preserve"> </w:t>
      </w:r>
      <w:r w:rsidRPr="00531B12">
        <w:rPr>
          <w:rFonts w:ascii="Abadi" w:hAnsi="Abadi"/>
          <w:b/>
          <w:bCs/>
          <w:sz w:val="20"/>
          <w:szCs w:val="20"/>
        </w:rPr>
        <w:t>POR</w:t>
      </w:r>
      <w:r w:rsidRPr="00531B12">
        <w:rPr>
          <w:rFonts w:ascii="Abadi" w:hAnsi="Abadi"/>
          <w:b/>
          <w:bCs/>
          <w:spacing w:val="-3"/>
          <w:sz w:val="20"/>
          <w:szCs w:val="20"/>
        </w:rPr>
        <w:t xml:space="preserve"> </w:t>
      </w:r>
      <w:r w:rsidRPr="00531B12">
        <w:rPr>
          <w:rFonts w:ascii="Abadi" w:hAnsi="Abadi"/>
          <w:b/>
          <w:bCs/>
          <w:sz w:val="20"/>
          <w:szCs w:val="20"/>
        </w:rPr>
        <w:t>LA</w:t>
      </w:r>
      <w:r w:rsidRPr="00531B12">
        <w:rPr>
          <w:rFonts w:ascii="Abadi" w:hAnsi="Abadi"/>
          <w:b/>
          <w:bCs/>
          <w:spacing w:val="-3"/>
          <w:sz w:val="20"/>
          <w:szCs w:val="20"/>
        </w:rPr>
        <w:t xml:space="preserve"> </w:t>
      </w:r>
      <w:r w:rsidRPr="00531B12">
        <w:rPr>
          <w:rFonts w:ascii="Abadi" w:hAnsi="Abadi"/>
          <w:b/>
          <w:bCs/>
          <w:sz w:val="20"/>
          <w:szCs w:val="20"/>
        </w:rPr>
        <w:t>DIPUTADA</w:t>
      </w:r>
      <w:r w:rsidRPr="00531B12">
        <w:rPr>
          <w:rFonts w:ascii="Abadi" w:hAnsi="Abadi"/>
          <w:b/>
          <w:bCs/>
          <w:spacing w:val="-1"/>
          <w:sz w:val="20"/>
          <w:szCs w:val="20"/>
        </w:rPr>
        <w:t xml:space="preserve"> </w:t>
      </w:r>
      <w:r w:rsidRPr="00531B12">
        <w:rPr>
          <w:rFonts w:ascii="Abadi" w:hAnsi="Abadi"/>
          <w:b/>
          <w:bCs/>
          <w:sz w:val="20"/>
          <w:szCs w:val="20"/>
        </w:rPr>
        <w:t>Y</w:t>
      </w:r>
      <w:r w:rsidRPr="00531B12">
        <w:rPr>
          <w:rFonts w:ascii="Abadi" w:hAnsi="Abadi"/>
          <w:b/>
          <w:bCs/>
          <w:spacing w:val="58"/>
          <w:w w:val="150"/>
          <w:sz w:val="20"/>
          <w:szCs w:val="20"/>
        </w:rPr>
        <w:t xml:space="preserve"> </w:t>
      </w:r>
      <w:r w:rsidRPr="00531B12">
        <w:rPr>
          <w:rFonts w:ascii="Abadi" w:hAnsi="Abadi"/>
          <w:b/>
          <w:bCs/>
          <w:sz w:val="20"/>
          <w:szCs w:val="20"/>
        </w:rPr>
        <w:t>EL</w:t>
      </w:r>
      <w:r w:rsidRPr="00531B12">
        <w:rPr>
          <w:rFonts w:ascii="Abadi" w:hAnsi="Abadi"/>
          <w:b/>
          <w:bCs/>
          <w:spacing w:val="58"/>
          <w:w w:val="150"/>
          <w:sz w:val="20"/>
          <w:szCs w:val="20"/>
        </w:rPr>
        <w:t xml:space="preserve"> </w:t>
      </w:r>
      <w:r w:rsidRPr="00531B12">
        <w:rPr>
          <w:rFonts w:ascii="Abadi" w:hAnsi="Abadi"/>
          <w:b/>
          <w:bCs/>
          <w:sz w:val="20"/>
          <w:szCs w:val="20"/>
        </w:rPr>
        <w:t>DIPUTADO</w:t>
      </w:r>
      <w:r w:rsidRPr="00531B12">
        <w:rPr>
          <w:rFonts w:ascii="Abadi" w:hAnsi="Abadi"/>
          <w:b/>
          <w:bCs/>
          <w:spacing w:val="58"/>
          <w:w w:val="150"/>
          <w:sz w:val="20"/>
          <w:szCs w:val="20"/>
        </w:rPr>
        <w:t xml:space="preserve"> </w:t>
      </w:r>
      <w:r w:rsidRPr="00531B12">
        <w:rPr>
          <w:rFonts w:ascii="Abadi" w:hAnsi="Abadi"/>
          <w:b/>
          <w:bCs/>
          <w:sz w:val="20"/>
          <w:szCs w:val="20"/>
        </w:rPr>
        <w:t>INTEGRANTES</w:t>
      </w:r>
      <w:r w:rsidRPr="00531B12">
        <w:rPr>
          <w:rFonts w:ascii="Abadi" w:hAnsi="Abadi"/>
          <w:b/>
          <w:bCs/>
          <w:spacing w:val="58"/>
          <w:w w:val="150"/>
          <w:sz w:val="20"/>
          <w:szCs w:val="20"/>
        </w:rPr>
        <w:t xml:space="preserve"> </w:t>
      </w:r>
      <w:r w:rsidRPr="00531B12">
        <w:rPr>
          <w:rFonts w:ascii="Abadi" w:hAnsi="Abadi"/>
          <w:b/>
          <w:bCs/>
          <w:sz w:val="20"/>
          <w:szCs w:val="20"/>
        </w:rPr>
        <w:t>DEL</w:t>
      </w:r>
      <w:r w:rsidRPr="00531B12">
        <w:rPr>
          <w:rFonts w:ascii="Abadi" w:hAnsi="Abadi"/>
          <w:b/>
          <w:bCs/>
          <w:spacing w:val="58"/>
          <w:w w:val="150"/>
          <w:sz w:val="20"/>
          <w:szCs w:val="20"/>
        </w:rPr>
        <w:t xml:space="preserve"> </w:t>
      </w:r>
      <w:r w:rsidRPr="00531B12">
        <w:rPr>
          <w:rFonts w:ascii="Abadi" w:hAnsi="Abadi"/>
          <w:b/>
          <w:bCs/>
          <w:sz w:val="20"/>
          <w:szCs w:val="20"/>
        </w:rPr>
        <w:t>GRUPO</w:t>
      </w:r>
      <w:r w:rsidRPr="00531B12">
        <w:rPr>
          <w:rFonts w:ascii="Abadi" w:hAnsi="Abadi"/>
          <w:b/>
          <w:bCs/>
          <w:spacing w:val="58"/>
          <w:w w:val="150"/>
          <w:sz w:val="20"/>
          <w:szCs w:val="20"/>
        </w:rPr>
        <w:t xml:space="preserve"> </w:t>
      </w:r>
      <w:r w:rsidRPr="00531B12">
        <w:rPr>
          <w:rFonts w:ascii="Abadi" w:hAnsi="Abadi"/>
          <w:b/>
          <w:bCs/>
          <w:sz w:val="20"/>
          <w:szCs w:val="20"/>
        </w:rPr>
        <w:t>PARLAMENTARIO</w:t>
      </w:r>
      <w:r w:rsidRPr="00531B12">
        <w:rPr>
          <w:rFonts w:ascii="Abadi" w:hAnsi="Abadi"/>
          <w:b/>
          <w:bCs/>
          <w:spacing w:val="58"/>
          <w:w w:val="150"/>
          <w:sz w:val="20"/>
          <w:szCs w:val="20"/>
        </w:rPr>
        <w:t xml:space="preserve"> </w:t>
      </w:r>
      <w:r w:rsidRPr="00531B12">
        <w:rPr>
          <w:rFonts w:ascii="Abadi" w:hAnsi="Abadi"/>
          <w:b/>
          <w:bCs/>
          <w:sz w:val="20"/>
          <w:szCs w:val="20"/>
        </w:rPr>
        <w:t>DEL</w:t>
      </w:r>
      <w:r w:rsidRPr="00531B12">
        <w:rPr>
          <w:rFonts w:ascii="Abadi" w:hAnsi="Abadi"/>
          <w:b/>
          <w:bCs/>
          <w:spacing w:val="58"/>
          <w:w w:val="150"/>
          <w:sz w:val="20"/>
          <w:szCs w:val="20"/>
        </w:rPr>
        <w:t xml:space="preserve"> </w:t>
      </w:r>
      <w:r w:rsidRPr="00531B12">
        <w:rPr>
          <w:rFonts w:ascii="Abadi" w:hAnsi="Abadi"/>
          <w:b/>
          <w:bCs/>
          <w:sz w:val="20"/>
          <w:szCs w:val="20"/>
        </w:rPr>
        <w:t>PARTIDO</w:t>
      </w:r>
      <w:r w:rsidRPr="00531B12">
        <w:rPr>
          <w:rFonts w:ascii="Abadi" w:hAnsi="Abadi"/>
          <w:b/>
          <w:bCs/>
          <w:spacing w:val="58"/>
          <w:w w:val="150"/>
          <w:sz w:val="20"/>
          <w:szCs w:val="20"/>
        </w:rPr>
        <w:t xml:space="preserve"> </w:t>
      </w:r>
      <w:r w:rsidRPr="00531B12">
        <w:rPr>
          <w:rFonts w:ascii="Abadi" w:hAnsi="Abadi"/>
          <w:b/>
          <w:bCs/>
          <w:sz w:val="20"/>
          <w:szCs w:val="20"/>
        </w:rPr>
        <w:t>VERDE</w:t>
      </w:r>
      <w:r w:rsidRPr="00531B12">
        <w:rPr>
          <w:rFonts w:ascii="Abadi" w:hAnsi="Abadi"/>
          <w:b/>
          <w:bCs/>
          <w:spacing w:val="-1"/>
          <w:sz w:val="20"/>
          <w:szCs w:val="20"/>
        </w:rPr>
        <w:t xml:space="preserve"> </w:t>
      </w:r>
      <w:r w:rsidRPr="00531B12">
        <w:rPr>
          <w:rFonts w:ascii="Abadi" w:hAnsi="Abadi"/>
          <w:b/>
          <w:bCs/>
          <w:sz w:val="20"/>
          <w:szCs w:val="20"/>
        </w:rPr>
        <w:t>ECOLOGISTA DE MÉXICO A EFECTO DE REFORMAR Y ADICIONAR DIVERSOS ARTÍCULOS DE</w:t>
      </w:r>
      <w:r w:rsidRPr="00531B12">
        <w:rPr>
          <w:rFonts w:ascii="Abadi" w:hAnsi="Abadi"/>
          <w:b/>
          <w:bCs/>
          <w:spacing w:val="-1"/>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LEY</w:t>
      </w:r>
      <w:r w:rsidRPr="00531B12">
        <w:rPr>
          <w:rFonts w:ascii="Abadi" w:hAnsi="Abadi"/>
          <w:b/>
          <w:bCs/>
          <w:spacing w:val="10"/>
          <w:sz w:val="20"/>
          <w:szCs w:val="20"/>
        </w:rPr>
        <w:t xml:space="preserve"> </w:t>
      </w:r>
      <w:r w:rsidRPr="00531B12">
        <w:rPr>
          <w:rFonts w:ascii="Abadi" w:hAnsi="Abadi"/>
          <w:b/>
          <w:bCs/>
          <w:sz w:val="20"/>
          <w:szCs w:val="20"/>
        </w:rPr>
        <w:t>PARA</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GESTIÓN</w:t>
      </w:r>
      <w:r w:rsidRPr="00531B12">
        <w:rPr>
          <w:rFonts w:ascii="Abadi" w:hAnsi="Abadi"/>
          <w:b/>
          <w:bCs/>
          <w:spacing w:val="10"/>
          <w:sz w:val="20"/>
          <w:szCs w:val="20"/>
        </w:rPr>
        <w:t xml:space="preserve"> </w:t>
      </w:r>
      <w:r w:rsidRPr="00531B12">
        <w:rPr>
          <w:rFonts w:ascii="Abadi" w:hAnsi="Abadi"/>
          <w:b/>
          <w:bCs/>
          <w:sz w:val="20"/>
          <w:szCs w:val="20"/>
        </w:rPr>
        <w:t>INTEGRAL</w:t>
      </w:r>
      <w:r w:rsidRPr="00531B12">
        <w:rPr>
          <w:rFonts w:ascii="Abadi" w:hAnsi="Abadi"/>
          <w:b/>
          <w:bCs/>
          <w:spacing w:val="8"/>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RESIDUOS</w:t>
      </w:r>
      <w:r w:rsidRPr="00531B12">
        <w:rPr>
          <w:rFonts w:ascii="Abadi" w:hAnsi="Abadi"/>
          <w:b/>
          <w:bCs/>
          <w:spacing w:val="10"/>
          <w:sz w:val="20"/>
          <w:szCs w:val="20"/>
        </w:rPr>
        <w:t xml:space="preserve"> </w:t>
      </w:r>
      <w:r w:rsidRPr="00531B12">
        <w:rPr>
          <w:rFonts w:ascii="Abadi" w:hAnsi="Abadi"/>
          <w:b/>
          <w:bCs/>
          <w:sz w:val="20"/>
          <w:szCs w:val="20"/>
        </w:rPr>
        <w:t>DEL</w:t>
      </w:r>
      <w:r w:rsidRPr="00531B12">
        <w:rPr>
          <w:rFonts w:ascii="Abadi" w:hAnsi="Abadi"/>
          <w:b/>
          <w:bCs/>
          <w:spacing w:val="9"/>
          <w:sz w:val="20"/>
          <w:szCs w:val="20"/>
        </w:rPr>
        <w:t xml:space="preserve"> </w:t>
      </w:r>
      <w:r w:rsidRPr="00531B12">
        <w:rPr>
          <w:rFonts w:ascii="Abadi" w:hAnsi="Abadi"/>
          <w:b/>
          <w:bCs/>
          <w:sz w:val="20"/>
          <w:szCs w:val="20"/>
        </w:rPr>
        <w:t>ESTADO</w:t>
      </w:r>
      <w:r w:rsidRPr="00531B12">
        <w:rPr>
          <w:rFonts w:ascii="Abadi" w:hAnsi="Abadi"/>
          <w:b/>
          <w:bCs/>
          <w:spacing w:val="9"/>
          <w:sz w:val="20"/>
          <w:szCs w:val="20"/>
        </w:rPr>
        <w:t xml:space="preserve"> </w:t>
      </w:r>
      <w:r w:rsidRPr="00531B12">
        <w:rPr>
          <w:rFonts w:ascii="Abadi" w:hAnsi="Abadi"/>
          <w:b/>
          <w:bCs/>
          <w:sz w:val="20"/>
          <w:szCs w:val="20"/>
        </w:rPr>
        <w:t>Y</w:t>
      </w:r>
      <w:r w:rsidRPr="00531B12">
        <w:rPr>
          <w:rFonts w:ascii="Abadi" w:hAnsi="Abadi"/>
          <w:b/>
          <w:bCs/>
          <w:spacing w:val="9"/>
          <w:sz w:val="20"/>
          <w:szCs w:val="20"/>
        </w:rPr>
        <w:t xml:space="preserve"> </w:t>
      </w:r>
      <w:r w:rsidRPr="00531B12">
        <w:rPr>
          <w:rFonts w:ascii="Abadi" w:hAnsi="Abadi"/>
          <w:b/>
          <w:bCs/>
          <w:sz w:val="20"/>
          <w:szCs w:val="20"/>
        </w:rPr>
        <w:t>LOS</w:t>
      </w:r>
      <w:r w:rsidRPr="00531B12">
        <w:rPr>
          <w:rFonts w:ascii="Abadi" w:hAnsi="Abadi"/>
          <w:b/>
          <w:bCs/>
          <w:spacing w:val="8"/>
          <w:sz w:val="20"/>
          <w:szCs w:val="20"/>
        </w:rPr>
        <w:t xml:space="preserve"> </w:t>
      </w:r>
      <w:r w:rsidRPr="00531B12">
        <w:rPr>
          <w:rFonts w:ascii="Abadi" w:hAnsi="Abadi"/>
          <w:b/>
          <w:bCs/>
          <w:sz w:val="20"/>
          <w:szCs w:val="20"/>
        </w:rPr>
        <w:t>MUNICIPIOS</w:t>
      </w:r>
      <w:r w:rsidRPr="00531B12">
        <w:rPr>
          <w:rFonts w:ascii="Abadi" w:hAnsi="Abadi"/>
          <w:b/>
          <w:bCs/>
          <w:spacing w:val="9"/>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GUANAJUATO</w:t>
      </w:r>
      <w:r w:rsidRPr="00531B12">
        <w:rPr>
          <w:rFonts w:ascii="Abadi" w:hAnsi="Abadi"/>
          <w:b/>
          <w:bCs/>
          <w:spacing w:val="60"/>
          <w:sz w:val="20"/>
          <w:szCs w:val="20"/>
        </w:rPr>
        <w:t xml:space="preserve"> </w:t>
      </w:r>
      <w:r w:rsidRPr="00531B12">
        <w:rPr>
          <w:rFonts w:ascii="Abadi" w:hAnsi="Abadi"/>
          <w:b/>
          <w:bCs/>
          <w:sz w:val="20"/>
          <w:szCs w:val="20"/>
        </w:rPr>
        <w:t>Y</w:t>
      </w:r>
      <w:r w:rsidRPr="00531B12">
        <w:rPr>
          <w:rFonts w:ascii="Abadi" w:hAnsi="Abadi"/>
          <w:b/>
          <w:bCs/>
          <w:spacing w:val="60"/>
          <w:sz w:val="20"/>
          <w:szCs w:val="20"/>
        </w:rPr>
        <w:t xml:space="preserve"> </w:t>
      </w:r>
      <w:r w:rsidRPr="00531B12">
        <w:rPr>
          <w:rFonts w:ascii="Abadi" w:hAnsi="Abadi"/>
          <w:b/>
          <w:bCs/>
          <w:sz w:val="20"/>
          <w:szCs w:val="20"/>
        </w:rPr>
        <w:t>DE</w:t>
      </w:r>
      <w:r w:rsidRPr="00531B12">
        <w:rPr>
          <w:rFonts w:ascii="Abadi" w:hAnsi="Abadi"/>
          <w:b/>
          <w:bCs/>
          <w:spacing w:val="60"/>
          <w:sz w:val="20"/>
          <w:szCs w:val="20"/>
        </w:rPr>
        <w:t xml:space="preserve"> </w:t>
      </w:r>
      <w:r w:rsidRPr="00531B12">
        <w:rPr>
          <w:rFonts w:ascii="Abadi" w:hAnsi="Abadi"/>
          <w:b/>
          <w:bCs/>
          <w:sz w:val="20"/>
          <w:szCs w:val="20"/>
        </w:rPr>
        <w:t>LA</w:t>
      </w:r>
      <w:r w:rsidRPr="00531B12">
        <w:rPr>
          <w:rFonts w:ascii="Abadi" w:hAnsi="Abadi"/>
          <w:b/>
          <w:bCs/>
          <w:spacing w:val="59"/>
          <w:sz w:val="20"/>
          <w:szCs w:val="20"/>
        </w:rPr>
        <w:t xml:space="preserve"> </w:t>
      </w:r>
      <w:r w:rsidRPr="00531B12">
        <w:rPr>
          <w:rFonts w:ascii="Abadi" w:hAnsi="Abadi"/>
          <w:b/>
          <w:bCs/>
          <w:sz w:val="20"/>
          <w:szCs w:val="20"/>
        </w:rPr>
        <w:t>LEY</w:t>
      </w:r>
      <w:r w:rsidRPr="00531B12">
        <w:rPr>
          <w:rFonts w:ascii="Abadi" w:hAnsi="Abadi"/>
          <w:b/>
          <w:bCs/>
          <w:spacing w:val="59"/>
          <w:sz w:val="20"/>
          <w:szCs w:val="20"/>
        </w:rPr>
        <w:t xml:space="preserve"> </w:t>
      </w:r>
      <w:r w:rsidRPr="00531B12">
        <w:rPr>
          <w:rFonts w:ascii="Abadi" w:hAnsi="Abadi"/>
          <w:b/>
          <w:bCs/>
          <w:sz w:val="20"/>
          <w:szCs w:val="20"/>
        </w:rPr>
        <w:t>DE</w:t>
      </w:r>
      <w:r w:rsidRPr="00531B12">
        <w:rPr>
          <w:rFonts w:ascii="Abadi" w:hAnsi="Abadi"/>
          <w:b/>
          <w:bCs/>
          <w:spacing w:val="60"/>
          <w:sz w:val="20"/>
          <w:szCs w:val="20"/>
        </w:rPr>
        <w:t xml:space="preserve"> </w:t>
      </w:r>
      <w:r w:rsidRPr="00531B12">
        <w:rPr>
          <w:rFonts w:ascii="Abadi" w:hAnsi="Abadi"/>
          <w:b/>
          <w:bCs/>
          <w:sz w:val="20"/>
          <w:szCs w:val="20"/>
        </w:rPr>
        <w:t>CONTRATACIONES</w:t>
      </w:r>
      <w:r w:rsidRPr="00531B12">
        <w:rPr>
          <w:rFonts w:ascii="Abadi" w:hAnsi="Abadi"/>
          <w:b/>
          <w:bCs/>
          <w:spacing w:val="60"/>
          <w:sz w:val="20"/>
          <w:szCs w:val="20"/>
        </w:rPr>
        <w:t xml:space="preserve"> </w:t>
      </w:r>
      <w:r w:rsidRPr="00531B12">
        <w:rPr>
          <w:rFonts w:ascii="Abadi" w:hAnsi="Abadi"/>
          <w:b/>
          <w:bCs/>
          <w:sz w:val="20"/>
          <w:szCs w:val="20"/>
        </w:rPr>
        <w:t>PÚBLICAS</w:t>
      </w:r>
      <w:r w:rsidRPr="00531B12">
        <w:rPr>
          <w:rFonts w:ascii="Abadi" w:hAnsi="Abadi"/>
          <w:b/>
          <w:bCs/>
          <w:spacing w:val="59"/>
          <w:sz w:val="20"/>
          <w:szCs w:val="20"/>
        </w:rPr>
        <w:t xml:space="preserve"> </w:t>
      </w:r>
      <w:r w:rsidRPr="00531B12">
        <w:rPr>
          <w:rFonts w:ascii="Abadi" w:hAnsi="Abadi"/>
          <w:b/>
          <w:bCs/>
          <w:sz w:val="20"/>
          <w:szCs w:val="20"/>
        </w:rPr>
        <w:t>PARA</w:t>
      </w:r>
      <w:r w:rsidRPr="00531B12">
        <w:rPr>
          <w:rFonts w:ascii="Abadi" w:hAnsi="Abadi"/>
          <w:b/>
          <w:bCs/>
          <w:spacing w:val="60"/>
          <w:sz w:val="20"/>
          <w:szCs w:val="20"/>
        </w:rPr>
        <w:t xml:space="preserve"> </w:t>
      </w:r>
      <w:r w:rsidRPr="00531B12">
        <w:rPr>
          <w:rFonts w:ascii="Abadi" w:hAnsi="Abadi"/>
          <w:b/>
          <w:bCs/>
          <w:sz w:val="20"/>
          <w:szCs w:val="20"/>
        </w:rPr>
        <w:t>EL</w:t>
      </w:r>
      <w:r w:rsidRPr="00531B12">
        <w:rPr>
          <w:rFonts w:ascii="Abadi" w:hAnsi="Abadi"/>
          <w:b/>
          <w:bCs/>
          <w:spacing w:val="59"/>
          <w:sz w:val="20"/>
          <w:szCs w:val="20"/>
        </w:rPr>
        <w:t xml:space="preserve"> </w:t>
      </w:r>
      <w:r w:rsidRPr="00531B12">
        <w:rPr>
          <w:rFonts w:ascii="Abadi" w:hAnsi="Abadi"/>
          <w:b/>
          <w:bCs/>
          <w:sz w:val="20"/>
          <w:szCs w:val="20"/>
        </w:rPr>
        <w:t>ESTADO</w:t>
      </w:r>
      <w:r w:rsidRPr="00531B12">
        <w:rPr>
          <w:rFonts w:ascii="Abadi" w:hAnsi="Abadi"/>
          <w:b/>
          <w:bCs/>
          <w:spacing w:val="59"/>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GUANAJUATO,</w:t>
      </w:r>
      <w:r w:rsidRPr="00531B12">
        <w:rPr>
          <w:rFonts w:ascii="Abadi" w:hAnsi="Abadi"/>
          <w:b/>
          <w:bCs/>
          <w:spacing w:val="-1"/>
          <w:sz w:val="20"/>
          <w:szCs w:val="20"/>
        </w:rPr>
        <w:t xml:space="preserve"> </w:t>
      </w:r>
      <w:r w:rsidRPr="00531B12">
        <w:rPr>
          <w:rFonts w:ascii="Abadi" w:hAnsi="Abadi"/>
          <w:b/>
          <w:bCs/>
          <w:sz w:val="20"/>
          <w:szCs w:val="20"/>
        </w:rPr>
        <w:t>EN LA PARTE CORRESPONDIENTE</w:t>
      </w:r>
      <w:r w:rsidRPr="00531B12">
        <w:rPr>
          <w:rFonts w:ascii="Abadi" w:hAnsi="Abadi"/>
          <w:b/>
          <w:bCs/>
          <w:spacing w:val="-1"/>
          <w:sz w:val="20"/>
          <w:szCs w:val="20"/>
        </w:rPr>
        <w:t xml:space="preserve"> </w:t>
      </w:r>
      <w:r w:rsidRPr="00531B12">
        <w:rPr>
          <w:rFonts w:ascii="Abadi" w:hAnsi="Abadi"/>
          <w:b/>
          <w:bCs/>
          <w:sz w:val="20"/>
          <w:szCs w:val="20"/>
        </w:rPr>
        <w:t>AL</w:t>
      </w:r>
      <w:r w:rsidRPr="00531B12">
        <w:rPr>
          <w:rFonts w:ascii="Abadi" w:hAnsi="Abadi"/>
          <w:b/>
          <w:bCs/>
          <w:spacing w:val="-1"/>
          <w:sz w:val="20"/>
          <w:szCs w:val="20"/>
        </w:rPr>
        <w:t xml:space="preserve"> </w:t>
      </w:r>
      <w:r w:rsidRPr="00531B12">
        <w:rPr>
          <w:rFonts w:ascii="Abadi" w:hAnsi="Abadi"/>
          <w:b/>
          <w:bCs/>
          <w:sz w:val="20"/>
          <w:szCs w:val="20"/>
        </w:rPr>
        <w:t>SEGUNDO DE LOS ORDENAMIENTOS.</w:t>
      </w:r>
    </w:p>
    <w:p w14:paraId="2DFBDBE2" w14:textId="4837AA14" w:rsidR="0065724A" w:rsidRDefault="0065724A" w:rsidP="00EF5F19">
      <w:pPr>
        <w:tabs>
          <w:tab w:val="left" w:pos="856"/>
        </w:tabs>
        <w:kinsoku w:val="0"/>
        <w:overflowPunct w:val="0"/>
        <w:autoSpaceDE w:val="0"/>
        <w:autoSpaceDN w:val="0"/>
        <w:adjustRightInd w:val="0"/>
        <w:ind w:left="360" w:right="17"/>
        <w:jc w:val="both"/>
        <w:rPr>
          <w:rFonts w:ascii="Abadi" w:hAnsi="Abadi"/>
          <w:sz w:val="20"/>
          <w:szCs w:val="20"/>
        </w:rPr>
      </w:pPr>
    </w:p>
    <w:p w14:paraId="242C33D7" w14:textId="77777777" w:rsidR="00840AAD" w:rsidRPr="00840AAD" w:rsidRDefault="00840AAD" w:rsidP="00840AAD">
      <w:pPr>
        <w:autoSpaceDE w:val="0"/>
        <w:autoSpaceDN w:val="0"/>
        <w:adjustRightInd w:val="0"/>
        <w:ind w:right="615"/>
        <w:jc w:val="both"/>
        <w:rPr>
          <w:rFonts w:ascii="Abadi" w:eastAsia="Batang" w:hAnsi="Abadi" w:cs="Arial"/>
          <w:b/>
          <w:bCs/>
          <w:smallCaps/>
          <w:sz w:val="21"/>
          <w:szCs w:val="21"/>
          <w:lang w:val="es-MX"/>
        </w:rPr>
      </w:pPr>
      <w:r w:rsidRPr="00840AAD">
        <w:rPr>
          <w:rFonts w:ascii="Abadi" w:eastAsia="Batang" w:hAnsi="Abadi" w:cs="Arial"/>
          <w:b/>
          <w:bCs/>
          <w:smallCaps/>
          <w:sz w:val="21"/>
          <w:szCs w:val="21"/>
          <w:lang w:val="es-MX"/>
        </w:rPr>
        <w:t>C. Presidenta del Congreso del Estado</w:t>
      </w:r>
    </w:p>
    <w:p w14:paraId="4ECD92CD" w14:textId="77777777" w:rsidR="00840AAD" w:rsidRPr="00840AAD" w:rsidRDefault="00840AAD" w:rsidP="00840AAD">
      <w:pPr>
        <w:autoSpaceDE w:val="0"/>
        <w:autoSpaceDN w:val="0"/>
        <w:adjustRightInd w:val="0"/>
        <w:ind w:right="615"/>
        <w:jc w:val="both"/>
        <w:rPr>
          <w:rFonts w:ascii="Abadi" w:eastAsia="Batang" w:hAnsi="Abadi" w:cs="Arial"/>
          <w:b/>
          <w:bCs/>
          <w:smallCaps/>
          <w:sz w:val="21"/>
          <w:szCs w:val="21"/>
          <w:lang w:val="es-MX"/>
        </w:rPr>
      </w:pPr>
      <w:r w:rsidRPr="00840AAD">
        <w:rPr>
          <w:rFonts w:ascii="Abadi" w:eastAsia="Batang" w:hAnsi="Abadi" w:cs="Arial"/>
          <w:b/>
          <w:bCs/>
          <w:smallCaps/>
          <w:sz w:val="21"/>
          <w:szCs w:val="21"/>
          <w:lang w:val="es-MX"/>
        </w:rPr>
        <w:t>P r e s e n t e.</w:t>
      </w:r>
    </w:p>
    <w:p w14:paraId="3F859831" w14:textId="77777777" w:rsidR="00840AAD" w:rsidRPr="00840AAD" w:rsidRDefault="00840AAD" w:rsidP="00840AAD">
      <w:pPr>
        <w:spacing w:line="360" w:lineRule="auto"/>
        <w:jc w:val="both"/>
        <w:rPr>
          <w:rFonts w:ascii="Abadi" w:eastAsia="Batang" w:hAnsi="Abadi" w:cs="Arial"/>
          <w:sz w:val="21"/>
          <w:szCs w:val="21"/>
        </w:rPr>
      </w:pPr>
    </w:p>
    <w:p w14:paraId="032C61DA" w14:textId="77777777" w:rsidR="00840AAD" w:rsidRPr="00840AAD" w:rsidRDefault="00840AAD" w:rsidP="00840AAD">
      <w:pPr>
        <w:ind w:firstLine="851"/>
        <w:jc w:val="both"/>
        <w:rPr>
          <w:rFonts w:ascii="Abadi" w:hAnsi="Abadi" w:cs="Arial"/>
          <w:sz w:val="21"/>
          <w:szCs w:val="21"/>
        </w:rPr>
      </w:pPr>
      <w:r w:rsidRPr="00840AAD">
        <w:rPr>
          <w:rFonts w:ascii="Abadi" w:hAnsi="Abadi" w:cs="Arial"/>
          <w:sz w:val="21"/>
          <w:szCs w:val="21"/>
        </w:rPr>
        <w:t xml:space="preserve">A la Comisión de Hacienda y Fiscalización de la Sexagésima Cuarta Legislatura le fue turnada para efecto de estudio y dictamen, la iniciativa </w:t>
      </w:r>
      <w:r w:rsidRPr="00840AAD">
        <w:rPr>
          <w:rFonts w:ascii="Abadi" w:hAnsi="Abadi"/>
          <w:sz w:val="21"/>
          <w:szCs w:val="21"/>
          <w:lang w:val="es-ES_tradnl"/>
        </w:rPr>
        <w:t xml:space="preserve">formulada por la diputada y el diputado integrantes del Grupo Parlamentario del Partido Verde Ecologista de México a </w:t>
      </w:r>
      <w:r w:rsidRPr="00840AAD">
        <w:rPr>
          <w:rFonts w:ascii="Abadi" w:hAnsi="Abadi" w:cs="Arial"/>
          <w:sz w:val="21"/>
          <w:szCs w:val="21"/>
        </w:rPr>
        <w:t xml:space="preserve">efecto </w:t>
      </w:r>
      <w:bookmarkStart w:id="26" w:name="_Hlk530644564"/>
      <w:r w:rsidRPr="00840AAD">
        <w:rPr>
          <w:rFonts w:ascii="Abadi" w:hAnsi="Abadi" w:cs="Arial"/>
          <w:sz w:val="21"/>
          <w:szCs w:val="21"/>
        </w:rPr>
        <w:t xml:space="preserve">de </w:t>
      </w:r>
      <w:bookmarkEnd w:id="26"/>
      <w:r w:rsidRPr="00840AAD">
        <w:rPr>
          <w:rFonts w:ascii="Abadi" w:hAnsi="Abadi"/>
          <w:sz w:val="21"/>
          <w:szCs w:val="21"/>
          <w:lang w:val="es-ES_tradnl"/>
        </w:rPr>
        <w:t>reformar y adicionar diversos artículos de la Ley para la Gestión Integral de Residuos del Estado y los Municipios de Guanajuato y de la Ley de Contrataciones Públicas para el Estado de Guanajuato, en la parte correspondiente al segundo de los ordenamientos</w:t>
      </w:r>
      <w:r w:rsidRPr="00840AAD">
        <w:rPr>
          <w:rFonts w:ascii="Abadi" w:hAnsi="Abadi" w:cs="Arial"/>
          <w:sz w:val="21"/>
          <w:szCs w:val="21"/>
        </w:rPr>
        <w:t>.</w:t>
      </w:r>
    </w:p>
    <w:p w14:paraId="58B297B3" w14:textId="77777777" w:rsidR="00840AAD" w:rsidRPr="00840AAD" w:rsidRDefault="00840AAD" w:rsidP="00840AAD">
      <w:pPr>
        <w:tabs>
          <w:tab w:val="left" w:pos="0"/>
        </w:tabs>
        <w:jc w:val="both"/>
        <w:rPr>
          <w:rFonts w:ascii="Abadi" w:hAnsi="Abadi" w:cs="Arial"/>
          <w:sz w:val="21"/>
          <w:szCs w:val="21"/>
        </w:rPr>
      </w:pPr>
    </w:p>
    <w:p w14:paraId="56728E03" w14:textId="77777777" w:rsidR="00840AAD" w:rsidRPr="00840AAD" w:rsidRDefault="00840AAD" w:rsidP="00840AAD">
      <w:pPr>
        <w:tabs>
          <w:tab w:val="left" w:pos="0"/>
        </w:tabs>
        <w:ind w:firstLine="851"/>
        <w:jc w:val="both"/>
        <w:rPr>
          <w:rFonts w:ascii="Abadi" w:eastAsia="Batang" w:hAnsi="Abadi" w:cs="Arial"/>
          <w:color w:val="000000"/>
          <w:sz w:val="21"/>
          <w:szCs w:val="21"/>
        </w:rPr>
      </w:pPr>
      <w:r w:rsidRPr="00840AAD">
        <w:rPr>
          <w:rFonts w:ascii="Abadi" w:eastAsia="Batang" w:hAnsi="Abadi" w:cs="Arial"/>
          <w:color w:val="000000"/>
          <w:sz w:val="21"/>
          <w:szCs w:val="21"/>
          <w:lang w:val="es-MX"/>
        </w:rPr>
        <w:t xml:space="preserve">Con fundamento en </w:t>
      </w:r>
      <w:r w:rsidRPr="00840AAD">
        <w:rPr>
          <w:rFonts w:ascii="Abadi" w:eastAsia="Batang" w:hAnsi="Abadi" w:cs="Arial"/>
          <w:color w:val="000000"/>
          <w:sz w:val="21"/>
          <w:szCs w:val="21"/>
        </w:rPr>
        <w:t xml:space="preserve">los artículos 89, fracción V; 112, fracción XV; y 171 de </w:t>
      </w:r>
      <w:smartTag w:uri="urn:schemas-microsoft-com:office:smarttags" w:element="PersonName">
        <w:smartTagPr>
          <w:attr w:name="ProductID" w:val="la Ley Org￡nica"/>
        </w:smartTagPr>
        <w:r w:rsidRPr="00840AAD">
          <w:rPr>
            <w:rFonts w:ascii="Abadi" w:eastAsia="Batang" w:hAnsi="Abadi" w:cs="Arial"/>
            <w:color w:val="000000"/>
            <w:sz w:val="21"/>
            <w:szCs w:val="21"/>
          </w:rPr>
          <w:t>la Ley Orgánica</w:t>
        </w:r>
      </w:smartTag>
      <w:r w:rsidRPr="00840AAD">
        <w:rPr>
          <w:rFonts w:ascii="Abadi" w:eastAsia="Batang" w:hAnsi="Abadi" w:cs="Arial"/>
          <w:color w:val="000000"/>
          <w:sz w:val="21"/>
          <w:szCs w:val="21"/>
        </w:rPr>
        <w:t xml:space="preserve"> del Poder Legislativo del Estado de Guanajuato, analizamos la iniciativa referida, presentando a la consideración de </w:t>
      </w:r>
      <w:smartTag w:uri="urn:schemas-microsoft-com:office:smarttags" w:element="PersonName">
        <w:smartTagPr>
          <w:attr w:name="ProductID" w:val="la Asamblea"/>
        </w:smartTagPr>
        <w:r w:rsidRPr="00840AAD">
          <w:rPr>
            <w:rFonts w:ascii="Abadi" w:eastAsia="Batang" w:hAnsi="Abadi" w:cs="Arial"/>
            <w:color w:val="000000"/>
            <w:sz w:val="21"/>
            <w:szCs w:val="21"/>
          </w:rPr>
          <w:t>la Asamblea</w:t>
        </w:r>
      </w:smartTag>
      <w:r w:rsidRPr="00840AAD">
        <w:rPr>
          <w:rFonts w:ascii="Abadi" w:eastAsia="Batang" w:hAnsi="Abadi" w:cs="Arial"/>
          <w:color w:val="000000"/>
          <w:sz w:val="21"/>
          <w:szCs w:val="21"/>
        </w:rPr>
        <w:t xml:space="preserve"> el siguiente:</w:t>
      </w:r>
    </w:p>
    <w:p w14:paraId="03BEEDB9" w14:textId="77777777" w:rsidR="00840AAD" w:rsidRPr="00840AAD" w:rsidRDefault="00840AAD" w:rsidP="00840AAD">
      <w:pPr>
        <w:spacing w:line="360" w:lineRule="auto"/>
        <w:jc w:val="both"/>
        <w:rPr>
          <w:rFonts w:ascii="Abadi" w:hAnsi="Abadi" w:cs="Arial"/>
          <w:b/>
          <w:bCs/>
          <w:sz w:val="21"/>
          <w:szCs w:val="21"/>
        </w:rPr>
      </w:pPr>
    </w:p>
    <w:p w14:paraId="4EB28382" w14:textId="77777777" w:rsidR="00840AAD" w:rsidRPr="00840AAD" w:rsidRDefault="00840AAD" w:rsidP="00840AAD">
      <w:pPr>
        <w:spacing w:line="360" w:lineRule="auto"/>
        <w:jc w:val="center"/>
        <w:rPr>
          <w:rFonts w:ascii="Abadi" w:hAnsi="Abadi" w:cs="Arial"/>
          <w:b/>
          <w:bCs/>
          <w:sz w:val="21"/>
          <w:szCs w:val="21"/>
        </w:rPr>
      </w:pPr>
      <w:r w:rsidRPr="00840AAD">
        <w:rPr>
          <w:rFonts w:ascii="Abadi" w:hAnsi="Abadi" w:cs="Arial"/>
          <w:b/>
          <w:bCs/>
          <w:sz w:val="21"/>
          <w:szCs w:val="21"/>
        </w:rPr>
        <w:t>D i c t a m e n</w:t>
      </w:r>
    </w:p>
    <w:p w14:paraId="316BFFFF" w14:textId="77777777" w:rsidR="00840AAD" w:rsidRPr="00840AAD" w:rsidRDefault="00840AAD" w:rsidP="00840AAD">
      <w:pPr>
        <w:jc w:val="both"/>
        <w:rPr>
          <w:rFonts w:ascii="Abadi" w:hAnsi="Abadi" w:cs="Arial"/>
          <w:sz w:val="21"/>
          <w:szCs w:val="21"/>
          <w:lang w:val="es-MX"/>
        </w:rPr>
      </w:pPr>
    </w:p>
    <w:p w14:paraId="1748B773" w14:textId="77777777" w:rsidR="00840AAD" w:rsidRPr="00840AAD" w:rsidRDefault="00840AAD" w:rsidP="00840AAD">
      <w:pPr>
        <w:rPr>
          <w:rFonts w:ascii="Abadi" w:hAnsi="Abadi" w:cs="Arial"/>
          <w:b/>
          <w:bCs/>
          <w:sz w:val="21"/>
          <w:szCs w:val="21"/>
        </w:rPr>
      </w:pPr>
      <w:r w:rsidRPr="00840AAD">
        <w:rPr>
          <w:rFonts w:ascii="Abadi" w:hAnsi="Abadi" w:cs="Arial"/>
          <w:b/>
          <w:bCs/>
          <w:sz w:val="21"/>
          <w:szCs w:val="21"/>
        </w:rPr>
        <w:t>I.</w:t>
      </w:r>
      <w:r w:rsidRPr="00840AAD">
        <w:rPr>
          <w:rFonts w:ascii="Abadi" w:hAnsi="Abadi" w:cs="Arial"/>
          <w:b/>
          <w:bCs/>
          <w:sz w:val="21"/>
          <w:szCs w:val="21"/>
        </w:rPr>
        <w:tab/>
        <w:t>Proceso legislativo.</w:t>
      </w:r>
    </w:p>
    <w:p w14:paraId="5BB27A23" w14:textId="77777777" w:rsidR="00840AAD" w:rsidRPr="00840AAD" w:rsidRDefault="00840AAD" w:rsidP="00840AAD">
      <w:pPr>
        <w:ind w:firstLine="709"/>
        <w:jc w:val="both"/>
        <w:rPr>
          <w:rFonts w:ascii="Abadi" w:hAnsi="Abadi" w:cs="Arial"/>
          <w:sz w:val="21"/>
          <w:szCs w:val="21"/>
        </w:rPr>
      </w:pPr>
    </w:p>
    <w:p w14:paraId="690475DE" w14:textId="77777777" w:rsidR="00840AAD" w:rsidRPr="00840AAD" w:rsidRDefault="00840AAD" w:rsidP="00840AAD">
      <w:pPr>
        <w:jc w:val="both"/>
        <w:rPr>
          <w:rFonts w:ascii="Abadi" w:hAnsi="Abadi" w:cs="Arial"/>
          <w:sz w:val="21"/>
          <w:szCs w:val="21"/>
        </w:rPr>
      </w:pPr>
      <w:r w:rsidRPr="00840AAD">
        <w:rPr>
          <w:rFonts w:ascii="Abadi" w:hAnsi="Abadi" w:cs="Arial"/>
          <w:b/>
          <w:bCs/>
          <w:sz w:val="21"/>
          <w:szCs w:val="21"/>
        </w:rPr>
        <w:t>I.1.</w:t>
      </w:r>
      <w:r w:rsidRPr="00840AAD">
        <w:rPr>
          <w:rFonts w:ascii="Abadi" w:hAnsi="Abadi" w:cs="Arial"/>
          <w:sz w:val="21"/>
          <w:szCs w:val="21"/>
        </w:rPr>
        <w:tab/>
        <w:t xml:space="preserve">En sesión ordinaria celebrada el 3 de junio de 2021 se presentó la iniciativa </w:t>
      </w:r>
      <w:r w:rsidRPr="00840AAD">
        <w:rPr>
          <w:rFonts w:ascii="Abadi" w:hAnsi="Abadi"/>
          <w:sz w:val="21"/>
          <w:szCs w:val="21"/>
          <w:lang w:val="es-ES_tradnl"/>
        </w:rPr>
        <w:t xml:space="preserve">formulada por la diputada y el diputado integrantes del Grupo Parlamentario del Partido Verde Ecologista de México ante la Sexagésima Cuarta Legislatura a </w:t>
      </w:r>
      <w:r w:rsidRPr="00840AAD">
        <w:rPr>
          <w:rFonts w:ascii="Abadi" w:hAnsi="Abadi" w:cs="Arial"/>
          <w:sz w:val="21"/>
          <w:szCs w:val="21"/>
        </w:rPr>
        <w:t xml:space="preserve">efecto de </w:t>
      </w:r>
      <w:r w:rsidRPr="00840AAD">
        <w:rPr>
          <w:rFonts w:ascii="Abadi" w:hAnsi="Abadi"/>
          <w:sz w:val="21"/>
          <w:szCs w:val="21"/>
          <w:lang w:val="es-ES_tradnl"/>
        </w:rPr>
        <w:t>reformar y adicionar diversos artículos de la Ley para la Gestión Integral de Residuos del Estado y los Municipios de Guanajuato y de la Ley de Contrataciones Públicas para el Estado de Guanajuato, en la parte correspondiente a reformar la fracción IV del artículo 13 y las fracciones VIII y IX del artículo 22 y adicionar una fracción X al artículo 22 del segundo de los ordenamientos</w:t>
      </w:r>
      <w:r w:rsidRPr="00840AAD">
        <w:rPr>
          <w:rFonts w:ascii="Abadi" w:hAnsi="Abadi" w:cs="Arial"/>
          <w:sz w:val="21"/>
          <w:szCs w:val="21"/>
        </w:rPr>
        <w:t>.</w:t>
      </w:r>
    </w:p>
    <w:p w14:paraId="6B2AA7BA" w14:textId="77777777" w:rsidR="00840AAD" w:rsidRPr="00840AAD" w:rsidRDefault="00840AAD" w:rsidP="00840AAD">
      <w:pPr>
        <w:jc w:val="both"/>
        <w:rPr>
          <w:rFonts w:ascii="Abadi" w:hAnsi="Abadi" w:cs="Arial"/>
          <w:sz w:val="21"/>
          <w:szCs w:val="21"/>
        </w:rPr>
      </w:pPr>
    </w:p>
    <w:p w14:paraId="5E7181DB" w14:textId="77777777" w:rsidR="00840AAD" w:rsidRPr="00840AAD" w:rsidRDefault="00840AAD" w:rsidP="00840AAD">
      <w:pPr>
        <w:jc w:val="both"/>
        <w:rPr>
          <w:rFonts w:ascii="Abadi" w:hAnsi="Abadi" w:cs="Arial"/>
          <w:sz w:val="21"/>
          <w:szCs w:val="21"/>
        </w:rPr>
      </w:pPr>
      <w:r w:rsidRPr="00840AAD">
        <w:rPr>
          <w:rFonts w:ascii="Abadi" w:hAnsi="Abadi" w:cs="Arial"/>
          <w:sz w:val="21"/>
          <w:szCs w:val="21"/>
        </w:rPr>
        <w:t xml:space="preserve">La presidencia del Congreso turnó la referida iniciativa a la Comisión de Hacienda y Fiscalización para su estudio y dictamen, misma que la radicó el 14 de junio de 2021. </w:t>
      </w:r>
    </w:p>
    <w:p w14:paraId="438F8EFE" w14:textId="77777777" w:rsidR="00840AAD" w:rsidRPr="00840AAD" w:rsidRDefault="00840AAD" w:rsidP="00840AAD">
      <w:pPr>
        <w:ind w:firstLine="708"/>
        <w:jc w:val="both"/>
        <w:rPr>
          <w:rFonts w:ascii="Abadi" w:eastAsia="Batang" w:hAnsi="Abadi" w:cs="Arial"/>
          <w:sz w:val="21"/>
          <w:szCs w:val="21"/>
        </w:rPr>
      </w:pPr>
    </w:p>
    <w:p w14:paraId="20D82783" w14:textId="57CF4760" w:rsidR="00840AAD" w:rsidRPr="00840AAD" w:rsidRDefault="00840AAD" w:rsidP="00840AAD">
      <w:pPr>
        <w:jc w:val="both"/>
        <w:rPr>
          <w:rFonts w:ascii="Abadi" w:eastAsia="Batang" w:hAnsi="Abadi" w:cs="Arial"/>
          <w:sz w:val="21"/>
          <w:szCs w:val="21"/>
        </w:rPr>
      </w:pPr>
      <w:r w:rsidRPr="00840AAD">
        <w:rPr>
          <w:rFonts w:ascii="Abadi" w:hAnsi="Abadi" w:cs="Arial"/>
          <w:b/>
          <w:bCs/>
          <w:sz w:val="21"/>
          <w:szCs w:val="21"/>
        </w:rPr>
        <w:t>I.2.</w:t>
      </w:r>
      <w:r w:rsidRPr="00840AAD">
        <w:rPr>
          <w:rFonts w:ascii="Abadi" w:hAnsi="Abadi" w:cs="Arial"/>
          <w:sz w:val="21"/>
          <w:szCs w:val="21"/>
        </w:rPr>
        <w:t xml:space="preserve"> </w:t>
      </w:r>
      <w:r w:rsidRPr="00840AAD">
        <w:rPr>
          <w:rFonts w:ascii="Abadi" w:eastAsia="Batang" w:hAnsi="Abadi" w:cs="Arial"/>
          <w:sz w:val="21"/>
          <w:szCs w:val="21"/>
        </w:rPr>
        <w:t>En la reunión de la Comisión de Hacienda y Fiscalización que tuvo verificativo el 2 de agosto de 2021 se aprobó como metodología para el análisis y dictaminación de la iniciativa, que la misma se remitiera a las diputadas y a los diputados integrantes de la Sexagésima Cuarta Legislatura</w:t>
      </w:r>
      <w:bookmarkStart w:id="27" w:name="_Hlk48134490"/>
      <w:r w:rsidRPr="00840AAD">
        <w:rPr>
          <w:rFonts w:ascii="Abadi" w:eastAsia="Batang" w:hAnsi="Abadi" w:cs="Arial"/>
          <w:sz w:val="21"/>
          <w:szCs w:val="21"/>
        </w:rPr>
        <w:t xml:space="preserve">; al Poder Judicial del Estado, a los organismos autónomos, a la Coordinación General Jurídica de Gobierno del Estado, a la Secretaría de Finanzas, Inversión y Administración, a la Auditoría Superior del Estado y </w:t>
      </w:r>
      <w:bookmarkEnd w:id="27"/>
      <w:r w:rsidRPr="00840AAD">
        <w:rPr>
          <w:rFonts w:ascii="Abadi" w:eastAsia="Batang" w:hAnsi="Abadi" w:cs="Arial"/>
          <w:sz w:val="21"/>
          <w:szCs w:val="21"/>
        </w:rPr>
        <w:t xml:space="preserve">a la Unidad de Estudios de las Finanzas Públicas del Congreso del Estado, quienes contaron con un plazo de 15 días hábiles, para remitir los comentarios y observaciones que estimaran pertinentes. Se estableció además un </w:t>
      </w:r>
      <w:proofErr w:type="gramStart"/>
      <w:r w:rsidRPr="00840AAD">
        <w:rPr>
          <w:rFonts w:ascii="Abadi" w:eastAsia="Batang" w:hAnsi="Abadi" w:cs="Arial"/>
          <w:sz w:val="21"/>
          <w:szCs w:val="21"/>
        </w:rPr>
        <w:t>link</w:t>
      </w:r>
      <w:proofErr w:type="gramEnd"/>
      <w:r w:rsidRPr="00840AAD">
        <w:rPr>
          <w:rFonts w:ascii="Abadi" w:eastAsia="Batang" w:hAnsi="Abadi" w:cs="Arial"/>
          <w:sz w:val="21"/>
          <w:szCs w:val="21"/>
        </w:rPr>
        <w:t xml:space="preserve"> en la página web del Congreso del Estado, para consulta y participación ciudadana por un plazo de 15 días hábiles.</w:t>
      </w:r>
    </w:p>
    <w:p w14:paraId="1F709C51" w14:textId="77777777" w:rsidR="00840AAD" w:rsidRPr="00840AAD" w:rsidRDefault="00840AAD" w:rsidP="00840AAD">
      <w:pPr>
        <w:jc w:val="both"/>
        <w:rPr>
          <w:rFonts w:ascii="Abadi" w:eastAsia="Batang" w:hAnsi="Abadi" w:cs="Arial"/>
          <w:sz w:val="21"/>
          <w:szCs w:val="21"/>
        </w:rPr>
      </w:pPr>
    </w:p>
    <w:p w14:paraId="3E298D18" w14:textId="77777777" w:rsidR="00840AAD" w:rsidRPr="00840AAD" w:rsidRDefault="00840AAD" w:rsidP="00840AAD">
      <w:pPr>
        <w:jc w:val="both"/>
        <w:rPr>
          <w:rFonts w:ascii="Abadi" w:eastAsia="Batang" w:hAnsi="Abadi" w:cs="Arial"/>
          <w:sz w:val="21"/>
          <w:szCs w:val="21"/>
        </w:rPr>
      </w:pPr>
      <w:r w:rsidRPr="00840AAD">
        <w:rPr>
          <w:rFonts w:ascii="Abadi" w:eastAsia="Batang" w:hAnsi="Abadi" w:cs="Arial"/>
          <w:sz w:val="21"/>
          <w:szCs w:val="21"/>
        </w:rPr>
        <w:t>Al respecto, se recibieron opiniones, observaciones, propuestas y comentarios de: el Poder Judicial del Estado de Guanajuato, el Tribunal de Justicia Administrativa del Estado, la Universidad de Guanajuato, la Procuraduría de los Derechos Humanos del Estado de Guanajuato, el Instituto de Acceso a la Información Pública para el Estado de Guanajuato, la Auditoría Superior del Estado de Guanajuato y la Unidad de Estudios de las Finanzas Públicas del Congreso del Estado.</w:t>
      </w:r>
    </w:p>
    <w:p w14:paraId="5B169800" w14:textId="77777777" w:rsidR="00840AAD" w:rsidRPr="00840AAD" w:rsidRDefault="00840AAD" w:rsidP="00840AAD">
      <w:pPr>
        <w:jc w:val="both"/>
        <w:rPr>
          <w:rFonts w:ascii="Abadi" w:eastAsia="Batang" w:hAnsi="Abadi" w:cs="Arial"/>
          <w:sz w:val="21"/>
          <w:szCs w:val="21"/>
        </w:rPr>
      </w:pPr>
    </w:p>
    <w:p w14:paraId="0CD22061" w14:textId="77777777" w:rsidR="00840AAD" w:rsidRPr="00840AAD" w:rsidRDefault="00840AAD" w:rsidP="00840AAD">
      <w:pPr>
        <w:jc w:val="both"/>
        <w:rPr>
          <w:rFonts w:ascii="Abadi" w:eastAsia="Batang" w:hAnsi="Abadi" w:cs="Arial"/>
          <w:bCs/>
          <w:sz w:val="21"/>
          <w:szCs w:val="21"/>
        </w:rPr>
      </w:pPr>
      <w:r w:rsidRPr="00840AAD">
        <w:rPr>
          <w:rFonts w:ascii="Abadi" w:eastAsia="Batang" w:hAnsi="Abadi" w:cs="Arial"/>
          <w:bCs/>
          <w:sz w:val="21"/>
          <w:szCs w:val="21"/>
        </w:rPr>
        <w:t>El Instituto Electoral del Estado de Guanajuato manifestó que, a la luz del marco normativo electoral previsto en la Constitución Política para el Estado de Guanajuato, así como en la Ley de Instituciones y Procedimientos Electorales para el Estado de Guanajuato, se advierte que el contenido de la iniciativa no incide en materia electoral.</w:t>
      </w:r>
    </w:p>
    <w:p w14:paraId="7430DDAF" w14:textId="77777777" w:rsidR="00840AAD" w:rsidRPr="00840AAD" w:rsidRDefault="00840AAD" w:rsidP="00840AAD">
      <w:pPr>
        <w:jc w:val="both"/>
        <w:rPr>
          <w:rFonts w:ascii="Abadi" w:eastAsia="Batang" w:hAnsi="Abadi" w:cs="Arial"/>
          <w:bCs/>
          <w:sz w:val="21"/>
          <w:szCs w:val="21"/>
        </w:rPr>
      </w:pPr>
    </w:p>
    <w:p w14:paraId="11B58879" w14:textId="77777777" w:rsidR="00840AAD" w:rsidRPr="00840AAD" w:rsidRDefault="00840AAD" w:rsidP="00840AAD">
      <w:pPr>
        <w:jc w:val="both"/>
        <w:rPr>
          <w:rFonts w:ascii="Abadi" w:eastAsia="Batang" w:hAnsi="Abadi" w:cs="Arial"/>
          <w:sz w:val="21"/>
          <w:szCs w:val="21"/>
        </w:rPr>
      </w:pPr>
      <w:r w:rsidRPr="00840AAD">
        <w:rPr>
          <w:rFonts w:ascii="Abadi" w:eastAsia="Batang" w:hAnsi="Abadi" w:cs="Arial"/>
          <w:sz w:val="21"/>
          <w:szCs w:val="21"/>
        </w:rPr>
        <w:t>Se elaboró un documento con formato de comparativo, mismo que se circuló a la Comisión.</w:t>
      </w:r>
    </w:p>
    <w:p w14:paraId="7C415435" w14:textId="77777777" w:rsidR="00840AAD" w:rsidRPr="00840AAD" w:rsidRDefault="00840AAD" w:rsidP="00840AAD">
      <w:pPr>
        <w:ind w:firstLine="708"/>
        <w:jc w:val="both"/>
        <w:rPr>
          <w:rFonts w:ascii="Abadi" w:eastAsia="Batang" w:hAnsi="Abadi" w:cs="Arial"/>
          <w:sz w:val="21"/>
          <w:szCs w:val="21"/>
        </w:rPr>
      </w:pPr>
    </w:p>
    <w:p w14:paraId="714875AE" w14:textId="77777777" w:rsidR="00840AAD" w:rsidRPr="00840AAD" w:rsidRDefault="00840AAD" w:rsidP="00840AAD">
      <w:pPr>
        <w:jc w:val="both"/>
        <w:rPr>
          <w:rFonts w:ascii="Abadi" w:hAnsi="Abadi" w:cs="Arial"/>
          <w:sz w:val="21"/>
          <w:szCs w:val="21"/>
        </w:rPr>
      </w:pPr>
      <w:r w:rsidRPr="00840AAD">
        <w:rPr>
          <w:rFonts w:ascii="Abadi" w:hAnsi="Abadi" w:cs="Arial"/>
          <w:sz w:val="21"/>
          <w:szCs w:val="21"/>
        </w:rPr>
        <w:t>El 8 de junio de 2022 se llevó a cabo una mesa de trabajo, en la que participamos las diputadas Alma Edwviges Alcaraz Hernández y Ruth Noemí Tiscareño Agoitia y el diputado Víctor Manuel Zanella Huerta, integrantes de esta Comisión, asesores de los grupos parlamentarios representados en la Comisión, funcionarios de la Coordinación General Jurídica, de la Secretaría de Finanzas, Inversión y Administración y de la Unidad de Estudios de las Finanzas Públicas del Congreso del Estado y la secretaría técnica, en la que analizamos la iniciativa.</w:t>
      </w:r>
    </w:p>
    <w:p w14:paraId="03D77AF1" w14:textId="77777777" w:rsidR="00840AAD" w:rsidRPr="00840AAD" w:rsidRDefault="00840AAD" w:rsidP="00840AAD">
      <w:pPr>
        <w:jc w:val="both"/>
        <w:rPr>
          <w:rFonts w:ascii="Abadi" w:hAnsi="Abadi" w:cs="Arial"/>
          <w:sz w:val="21"/>
          <w:szCs w:val="21"/>
        </w:rPr>
      </w:pPr>
    </w:p>
    <w:p w14:paraId="7C942439" w14:textId="77777777" w:rsidR="00840AAD" w:rsidRPr="00840AAD" w:rsidRDefault="00840AAD" w:rsidP="00840AAD">
      <w:pPr>
        <w:jc w:val="both"/>
        <w:rPr>
          <w:rFonts w:ascii="Abadi" w:hAnsi="Abadi" w:cs="Arial"/>
          <w:sz w:val="21"/>
          <w:szCs w:val="21"/>
        </w:rPr>
      </w:pPr>
      <w:r w:rsidRPr="00840AAD">
        <w:rPr>
          <w:rFonts w:ascii="Abadi" w:hAnsi="Abadi" w:cs="Arial"/>
          <w:b/>
          <w:bCs/>
          <w:sz w:val="21"/>
          <w:szCs w:val="21"/>
        </w:rPr>
        <w:t>1.3.</w:t>
      </w:r>
      <w:r w:rsidRPr="00840AAD">
        <w:rPr>
          <w:rFonts w:ascii="Abadi" w:hAnsi="Abadi" w:cs="Arial"/>
          <w:sz w:val="21"/>
          <w:szCs w:val="21"/>
        </w:rPr>
        <w:t xml:space="preserve">  La presidencia instruyó a la secretaría técnica la elaboración del proyecto de dictamen en sentido negativo, conforme lo dispuesto en los artículos 94, fracción VII y 272 fracción VIII inciso e de la Ley Orgánica del Poder Legislativo del Estado, dicho proyecto </w:t>
      </w:r>
      <w:r w:rsidRPr="00840AAD">
        <w:rPr>
          <w:rFonts w:ascii="Abadi" w:hAnsi="Abadi" w:cs="Arial" w:hint="eastAsia"/>
          <w:sz w:val="21"/>
          <w:szCs w:val="21"/>
        </w:rPr>
        <w:t>fue</w:t>
      </w:r>
      <w:r w:rsidRPr="00840AAD">
        <w:rPr>
          <w:rFonts w:ascii="Abadi" w:hAnsi="Abadi" w:cs="Arial"/>
          <w:sz w:val="21"/>
          <w:szCs w:val="21"/>
        </w:rPr>
        <w:t xml:space="preserve"> materia de revisión por las diputadas y los diputados integrantes de esta Comisión Dictaminadora.</w:t>
      </w:r>
    </w:p>
    <w:p w14:paraId="5A3E9325" w14:textId="77777777" w:rsidR="00840AAD" w:rsidRPr="00840AAD" w:rsidRDefault="00840AAD" w:rsidP="00840AAD">
      <w:pPr>
        <w:jc w:val="both"/>
        <w:rPr>
          <w:rFonts w:ascii="Abadi" w:hAnsi="Abadi" w:cs="Arial"/>
          <w:sz w:val="21"/>
          <w:szCs w:val="21"/>
        </w:rPr>
      </w:pPr>
    </w:p>
    <w:p w14:paraId="2D9FD6C6" w14:textId="77777777" w:rsidR="00840AAD" w:rsidRPr="00840AAD" w:rsidRDefault="00840AAD" w:rsidP="00840AAD">
      <w:pPr>
        <w:jc w:val="both"/>
        <w:rPr>
          <w:rFonts w:ascii="Abadi" w:hAnsi="Abadi" w:cs="Arial"/>
          <w:b/>
          <w:bCs/>
          <w:sz w:val="21"/>
          <w:szCs w:val="21"/>
        </w:rPr>
      </w:pPr>
      <w:r w:rsidRPr="00840AAD">
        <w:rPr>
          <w:rFonts w:ascii="Abadi" w:hAnsi="Abadi" w:cs="Arial"/>
          <w:b/>
          <w:bCs/>
          <w:sz w:val="21"/>
          <w:szCs w:val="21"/>
        </w:rPr>
        <w:t>II.</w:t>
      </w:r>
      <w:r w:rsidRPr="00840AAD">
        <w:rPr>
          <w:rFonts w:ascii="Abadi" w:hAnsi="Abadi" w:cs="Arial"/>
          <w:sz w:val="21"/>
          <w:szCs w:val="21"/>
        </w:rPr>
        <w:tab/>
      </w:r>
      <w:r w:rsidRPr="00840AAD">
        <w:rPr>
          <w:rFonts w:ascii="Abadi" w:hAnsi="Abadi" w:cs="Arial"/>
          <w:b/>
          <w:bCs/>
          <w:sz w:val="21"/>
          <w:szCs w:val="21"/>
        </w:rPr>
        <w:t>Consideraciones de la diputada y el diputado iniciantes.</w:t>
      </w:r>
    </w:p>
    <w:p w14:paraId="67FF25B8" w14:textId="77777777" w:rsidR="00840AAD" w:rsidRPr="00840AAD" w:rsidRDefault="00840AAD" w:rsidP="00840AAD">
      <w:pPr>
        <w:jc w:val="both"/>
        <w:rPr>
          <w:rFonts w:ascii="Abadi" w:hAnsi="Abadi" w:cs="Arial"/>
          <w:b/>
          <w:bCs/>
          <w:sz w:val="21"/>
          <w:szCs w:val="21"/>
        </w:rPr>
      </w:pPr>
    </w:p>
    <w:p w14:paraId="42570219" w14:textId="77777777" w:rsidR="00840AAD" w:rsidRPr="00840AAD" w:rsidRDefault="00840AAD" w:rsidP="00840AAD">
      <w:pPr>
        <w:jc w:val="both"/>
        <w:rPr>
          <w:rFonts w:ascii="Abadi" w:hAnsi="Abadi" w:cs="Arial"/>
          <w:sz w:val="21"/>
          <w:szCs w:val="21"/>
        </w:rPr>
      </w:pPr>
      <w:r w:rsidRPr="00840AAD">
        <w:rPr>
          <w:rFonts w:ascii="Abadi" w:hAnsi="Abadi" w:cs="Arial"/>
          <w:b/>
          <w:bCs/>
          <w:sz w:val="21"/>
          <w:szCs w:val="21"/>
        </w:rPr>
        <w:tab/>
      </w:r>
      <w:r w:rsidRPr="00840AAD">
        <w:rPr>
          <w:rFonts w:ascii="Abadi" w:hAnsi="Abadi" w:cs="Arial"/>
          <w:sz w:val="21"/>
          <w:szCs w:val="21"/>
        </w:rPr>
        <w:t>En la exposición de motivos de la iniciativa materia del presente dictamen, se refiere:</w:t>
      </w:r>
    </w:p>
    <w:p w14:paraId="1EF85565" w14:textId="77777777" w:rsidR="00840AAD" w:rsidRPr="00840AAD" w:rsidRDefault="00840AAD" w:rsidP="00840AAD">
      <w:pPr>
        <w:jc w:val="both"/>
        <w:rPr>
          <w:rFonts w:ascii="Abadi" w:hAnsi="Abadi" w:cs="Arial"/>
          <w:sz w:val="21"/>
          <w:szCs w:val="21"/>
        </w:rPr>
      </w:pPr>
    </w:p>
    <w:p w14:paraId="37F0D524"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 xml:space="preserve">…Por lo que respecta a Guanajuato, se encuentra dentro de los primeros 10 Estados en generación de residuos, ya que se estima que diariamente se generan entre 4 y 5 mil toneladas al día, de las cuales derivado a su mala disposición únicamente el 10% es reciclado.  </w:t>
      </w:r>
    </w:p>
    <w:p w14:paraId="2D2D8A90" w14:textId="77777777" w:rsidR="00840AAD" w:rsidRPr="00840AAD" w:rsidRDefault="00840AAD" w:rsidP="00840AAD">
      <w:pPr>
        <w:ind w:left="709"/>
        <w:jc w:val="both"/>
        <w:rPr>
          <w:rFonts w:ascii="Abadi" w:hAnsi="Abadi" w:cs="Arial"/>
          <w:i/>
          <w:iCs/>
          <w:sz w:val="21"/>
          <w:szCs w:val="21"/>
        </w:rPr>
      </w:pPr>
    </w:p>
    <w:p w14:paraId="472990E7"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 xml:space="preserve">La generación de residuos es responsabilidad de todas y todos, sin embargo, del total de los residuos que se producen no tenemos datos precisos de cuanto es lo que producen los entes de Gobierno. </w:t>
      </w:r>
    </w:p>
    <w:p w14:paraId="20A8B88C" w14:textId="77777777" w:rsidR="00840AAD" w:rsidRPr="00840AAD" w:rsidRDefault="00840AAD" w:rsidP="00840AAD">
      <w:pPr>
        <w:ind w:left="709"/>
        <w:jc w:val="both"/>
        <w:rPr>
          <w:rFonts w:ascii="Abadi" w:hAnsi="Abadi" w:cs="Arial"/>
          <w:i/>
          <w:iCs/>
          <w:sz w:val="21"/>
          <w:szCs w:val="21"/>
        </w:rPr>
      </w:pPr>
    </w:p>
    <w:p w14:paraId="03BCA968"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Si bien, durante esta pandemia los productos de un solo uso fueron aliados para que la economía de los establecimientos que ofrecen servicios de alimentos no cerraran y pudieran operar mediante la modalidad de servicio a domicilio.</w:t>
      </w:r>
    </w:p>
    <w:p w14:paraId="77BBA663"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 xml:space="preserve"> </w:t>
      </w:r>
    </w:p>
    <w:p w14:paraId="74EB193A"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Y por lo que respecta a los entes de gobierno, 2020 fue un año donde las circunstancias los obligó a limitarse a realizar eventos institucionales, convenciones o congresos presenciales.</w:t>
      </w:r>
    </w:p>
    <w:p w14:paraId="7A33AA3F" w14:textId="77777777" w:rsidR="00840AAD" w:rsidRPr="00840AAD" w:rsidRDefault="00840AAD" w:rsidP="00840AAD">
      <w:pPr>
        <w:ind w:left="709"/>
        <w:jc w:val="both"/>
        <w:rPr>
          <w:rFonts w:ascii="Abadi" w:hAnsi="Abadi" w:cs="Arial"/>
          <w:i/>
          <w:iCs/>
          <w:sz w:val="21"/>
          <w:szCs w:val="21"/>
        </w:rPr>
      </w:pPr>
    </w:p>
    <w:p w14:paraId="2B172D8C"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 xml:space="preserve">Pero años atrás en estos eventos era muy común observar como para su realización se contrataban servicios donde los alimentos son entregados en recipientes de un solo uso, que por el material que generalmente están compuestos no son susceptibles a ser reciclados, llegando directamente a los centros de disposición final de residuos. </w:t>
      </w:r>
    </w:p>
    <w:p w14:paraId="333B14AC" w14:textId="77777777" w:rsidR="00840AAD" w:rsidRPr="00840AAD" w:rsidRDefault="00840AAD" w:rsidP="00840AAD">
      <w:pPr>
        <w:ind w:left="709"/>
        <w:jc w:val="both"/>
        <w:rPr>
          <w:rFonts w:ascii="Abadi" w:hAnsi="Abadi" w:cs="Arial"/>
          <w:i/>
          <w:iCs/>
          <w:sz w:val="21"/>
          <w:szCs w:val="21"/>
        </w:rPr>
      </w:pPr>
    </w:p>
    <w:p w14:paraId="7C94E8E4"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 xml:space="preserve">Es por eso que la diputada y su servidor presentamos esta iniciativa con el propósito de que los entes de Gobierno realicen adquisiciones y contraten servicios que sean amigables con el Medio Ambiente. </w:t>
      </w:r>
    </w:p>
    <w:p w14:paraId="77B76DEF" w14:textId="77777777" w:rsidR="00840AAD" w:rsidRPr="00840AAD" w:rsidRDefault="00840AAD" w:rsidP="00840AAD">
      <w:pPr>
        <w:ind w:left="709"/>
        <w:jc w:val="both"/>
        <w:rPr>
          <w:rFonts w:ascii="Abadi" w:hAnsi="Abadi" w:cs="Arial"/>
          <w:i/>
          <w:iCs/>
          <w:sz w:val="21"/>
          <w:szCs w:val="21"/>
        </w:rPr>
      </w:pPr>
    </w:p>
    <w:p w14:paraId="53015472"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w:t>
      </w:r>
    </w:p>
    <w:p w14:paraId="75118588" w14:textId="77777777" w:rsidR="00840AAD" w:rsidRPr="00840AAD" w:rsidRDefault="00840AAD" w:rsidP="00840AAD">
      <w:pPr>
        <w:ind w:left="709"/>
        <w:jc w:val="both"/>
        <w:rPr>
          <w:rFonts w:ascii="Abadi" w:hAnsi="Abadi" w:cs="Arial"/>
          <w:i/>
          <w:iCs/>
          <w:sz w:val="21"/>
          <w:szCs w:val="21"/>
        </w:rPr>
      </w:pPr>
    </w:p>
    <w:p w14:paraId="3C3CB6BB"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 xml:space="preserve">Ahora bien, respecto a las modificaciones a la Ley de Contrataciones Públicas para el Estado de Guanajuato proponemos que tenga una verdadera coordinación con lo dispuesto en la Ley para la Gestión Integral de Residuos del Estado y los Municipios de Guanajuato, para que las adquisiciones se realicen tomando en consideración el Sistema de Manejo Ambiental. </w:t>
      </w:r>
    </w:p>
    <w:p w14:paraId="003AF563" w14:textId="77777777" w:rsidR="00840AAD" w:rsidRPr="00840AAD" w:rsidRDefault="00840AAD" w:rsidP="00840AAD">
      <w:pPr>
        <w:ind w:left="709"/>
        <w:jc w:val="both"/>
        <w:rPr>
          <w:rFonts w:ascii="Abadi" w:hAnsi="Abadi" w:cs="Arial"/>
          <w:i/>
          <w:iCs/>
          <w:sz w:val="21"/>
          <w:szCs w:val="21"/>
        </w:rPr>
      </w:pPr>
    </w:p>
    <w:p w14:paraId="70E47515"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El cual contempla una cultura de responsabilidad ambiental, eficiencia administrativa por medio del consumo racional de los recursos materiales y la disminución de impacto ambiental que son generadas por las actividades realizadas por las dependencias y entes de gobierno.</w:t>
      </w:r>
    </w:p>
    <w:p w14:paraId="076CA796" w14:textId="77777777" w:rsidR="00840AAD" w:rsidRPr="00840AAD" w:rsidRDefault="00840AAD" w:rsidP="00840AAD">
      <w:pPr>
        <w:ind w:left="709"/>
        <w:jc w:val="both"/>
        <w:rPr>
          <w:rFonts w:ascii="Abadi" w:hAnsi="Abadi" w:cs="Arial"/>
          <w:i/>
          <w:iCs/>
          <w:sz w:val="21"/>
          <w:szCs w:val="21"/>
        </w:rPr>
      </w:pPr>
    </w:p>
    <w:p w14:paraId="6E65D837"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Respecto a los insumos que por la operatividad y requerimientos propios que las áreas administrativas necesitan, los entes de Gobierno preparan su programa anual de adquisiciones, es por eso, que en la presente iniciativa se contempla que en dicho programa se tomen en cuenta aspectos que no afecten a nuestro Medio Ambiente.</w:t>
      </w:r>
    </w:p>
    <w:p w14:paraId="5424B50F"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 xml:space="preserve"> </w:t>
      </w:r>
    </w:p>
    <w:p w14:paraId="1F42DCB0"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 xml:space="preserve">Si bien los Comités y Subcomités determinan, cumpliendo con principios de legalidad, eficacia, eficiencia, economía, honradez, concurrencia, igualdad, publicidad, oposición y transparencia, y buscando siempre que la oferta o postura sea la mejor para los entes de gobierno, en cuanto a precio, calidad y financiamiento, ya es momento que contemplemos aspectos que beneficien nuestro Medio Ambiente, puesto que algo que hoy podría considerarse barato, en algunos años podría costarnos MUY CARO. </w:t>
      </w:r>
    </w:p>
    <w:p w14:paraId="6319166A" w14:textId="77777777" w:rsidR="00840AAD" w:rsidRPr="00840AAD" w:rsidRDefault="00840AAD" w:rsidP="00840AAD">
      <w:pPr>
        <w:ind w:left="709"/>
        <w:jc w:val="both"/>
        <w:rPr>
          <w:rFonts w:ascii="Abadi" w:hAnsi="Abadi" w:cs="Arial"/>
          <w:i/>
          <w:iCs/>
          <w:sz w:val="21"/>
          <w:szCs w:val="21"/>
        </w:rPr>
      </w:pPr>
    </w:p>
    <w:p w14:paraId="547DCF7A"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Con esta iniciativa, estaríamos contribuyendo al cumplimiento de la “Agenda 2030 para el Desarrollo Sostenible” de la Organización de las Naciones Unidas, buscando alcanzar las metas de los objetivos “Ciudades y Comunidades Sostenibles”, “Agua Limpia y Saneamiento”, “Acción por el Clima” y “Vida de Ecosistemas Terrestres”. La presente iniciativa crea los mecanismos necesarios para proteger el medio ambiente y garantizar las disposiciones constitucionales de un medio ambiente adecuado para las personas a través de un desarrollo sustentable y bienestar en cada una de nuestras comunidades.</w:t>
      </w:r>
    </w:p>
    <w:p w14:paraId="798D5588" w14:textId="77777777" w:rsidR="00840AAD" w:rsidRPr="00840AAD" w:rsidRDefault="00840AAD" w:rsidP="00840AAD">
      <w:pPr>
        <w:ind w:left="709"/>
        <w:jc w:val="both"/>
        <w:rPr>
          <w:rFonts w:ascii="Abadi" w:hAnsi="Abadi" w:cs="Arial"/>
          <w:i/>
          <w:iCs/>
          <w:sz w:val="21"/>
          <w:szCs w:val="21"/>
        </w:rPr>
      </w:pPr>
    </w:p>
    <w:p w14:paraId="3E1736EC"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Finalmente, a efecto de satisfacer lo establecido por el artículo 209 de la Ley Orgánica del Poder Legislativo, relativo a la evaluación del impacto jurídico, administrativo, presupuestario y social, se manifiesta que como se ha expuesto hasta aquí en las consideraciones de la exposición de motivos, por lo que hace al:</w:t>
      </w:r>
    </w:p>
    <w:p w14:paraId="1BA2C099" w14:textId="77777777" w:rsidR="00840AAD" w:rsidRPr="00840AAD" w:rsidRDefault="00840AAD" w:rsidP="00840AAD">
      <w:pPr>
        <w:ind w:left="709"/>
        <w:jc w:val="both"/>
        <w:rPr>
          <w:rFonts w:ascii="Abadi" w:hAnsi="Abadi" w:cs="Arial"/>
          <w:i/>
          <w:iCs/>
          <w:sz w:val="21"/>
          <w:szCs w:val="21"/>
        </w:rPr>
      </w:pPr>
    </w:p>
    <w:p w14:paraId="4DC35E49"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a) impacto jurídico, consistente en reformas y adiciones a diversos artículos del Ley para la Gestión Integral de Residuos del Estado y los Municipios de Guanajuato y Ley de Contrataciones Públicas para el Estado de Guanajuato;</w:t>
      </w:r>
    </w:p>
    <w:p w14:paraId="5B04F2E8" w14:textId="77777777" w:rsidR="00840AAD" w:rsidRPr="00840AAD" w:rsidRDefault="00840AAD" w:rsidP="00840AAD">
      <w:pPr>
        <w:ind w:left="709"/>
        <w:jc w:val="both"/>
        <w:rPr>
          <w:rFonts w:ascii="Abadi" w:hAnsi="Abadi" w:cs="Arial"/>
          <w:i/>
          <w:iCs/>
          <w:sz w:val="21"/>
          <w:szCs w:val="21"/>
        </w:rPr>
      </w:pPr>
    </w:p>
    <w:p w14:paraId="67E786B2"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b) impacto administrativo, por lo que respecta al presente impacto, no representa ni requiere la creación de una nueva área administrativa;</w:t>
      </w:r>
    </w:p>
    <w:p w14:paraId="38274164" w14:textId="77777777" w:rsidR="00840AAD" w:rsidRPr="00840AAD" w:rsidRDefault="00840AAD" w:rsidP="00840AAD">
      <w:pPr>
        <w:ind w:left="709"/>
        <w:jc w:val="both"/>
        <w:rPr>
          <w:rFonts w:ascii="Abadi" w:hAnsi="Abadi" w:cs="Arial"/>
          <w:i/>
          <w:iCs/>
          <w:sz w:val="21"/>
          <w:szCs w:val="21"/>
        </w:rPr>
      </w:pPr>
    </w:p>
    <w:p w14:paraId="5504744A"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c) impacto presupuestario, La presenta impactara de forma mínima en el presupuesto derivado a que los productos considerados amigables con el Medio Ambiente, tiene un costo mínimo superior a los ofertados en el mercado.</w:t>
      </w:r>
    </w:p>
    <w:p w14:paraId="26EE285B" w14:textId="77777777" w:rsidR="00840AAD" w:rsidRPr="00840AAD" w:rsidRDefault="00840AAD" w:rsidP="00840AAD">
      <w:pPr>
        <w:ind w:left="709"/>
        <w:jc w:val="both"/>
        <w:rPr>
          <w:rFonts w:ascii="Abadi" w:hAnsi="Abadi" w:cs="Arial"/>
          <w:i/>
          <w:iCs/>
          <w:sz w:val="21"/>
          <w:szCs w:val="21"/>
        </w:rPr>
      </w:pPr>
    </w:p>
    <w:p w14:paraId="198EED00"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d) impacto social, Con la presente propuesta los impactos en la sociedad se verán reflejados a largo plazo, lo anterior por tratarse de medidas que de forma inmediata los entes públicos deben atender para que, ante los efectos del cambio climático, estos se lleven de forma paulatina permitiendo así mayor capacidad de resiliencia de las personas; y</w:t>
      </w:r>
    </w:p>
    <w:p w14:paraId="1B26C67C" w14:textId="77777777" w:rsidR="00840AAD" w:rsidRPr="00840AAD" w:rsidRDefault="00840AAD" w:rsidP="00840AAD">
      <w:pPr>
        <w:ind w:left="709"/>
        <w:jc w:val="both"/>
        <w:rPr>
          <w:rFonts w:ascii="Abadi" w:hAnsi="Abadi" w:cs="Arial"/>
          <w:i/>
          <w:iCs/>
          <w:sz w:val="21"/>
          <w:szCs w:val="21"/>
        </w:rPr>
      </w:pPr>
    </w:p>
    <w:p w14:paraId="39994057" w14:textId="77777777" w:rsidR="00840AAD" w:rsidRPr="00840AAD" w:rsidRDefault="00840AAD" w:rsidP="00840AAD">
      <w:pPr>
        <w:ind w:left="709"/>
        <w:jc w:val="both"/>
        <w:rPr>
          <w:rFonts w:ascii="Abadi" w:hAnsi="Abadi" w:cs="Arial"/>
          <w:i/>
          <w:iCs/>
          <w:sz w:val="21"/>
          <w:szCs w:val="21"/>
        </w:rPr>
      </w:pPr>
      <w:r w:rsidRPr="00840AAD">
        <w:rPr>
          <w:rFonts w:ascii="Abadi" w:hAnsi="Abadi" w:cs="Arial"/>
          <w:i/>
          <w:iCs/>
          <w:sz w:val="21"/>
          <w:szCs w:val="21"/>
        </w:rPr>
        <w:t xml:space="preserve">e) Impacto Ambiental, La presente propuesta contiene un impacto que beneficiara directamente a nuestro Medio Ambiente, lo anterior teniendo como beneficios contribuir a que los entes de gobierno adquieran bienes y contraten servicios que su daño al ambiente sea mínimo. Considerando que por su composición sean valorizables, pudiendo reutilizarse, reusarse y reciclarse.  </w:t>
      </w:r>
    </w:p>
    <w:p w14:paraId="47461369" w14:textId="77777777" w:rsidR="00840AAD" w:rsidRPr="00840AAD" w:rsidRDefault="00840AAD" w:rsidP="00840AAD">
      <w:pPr>
        <w:ind w:left="709"/>
        <w:jc w:val="both"/>
        <w:rPr>
          <w:rFonts w:ascii="Abadi" w:hAnsi="Abadi" w:cs="Arial"/>
          <w:i/>
          <w:iCs/>
          <w:sz w:val="21"/>
          <w:szCs w:val="21"/>
        </w:rPr>
      </w:pPr>
    </w:p>
    <w:p w14:paraId="666379C2" w14:textId="77777777" w:rsidR="00840AAD" w:rsidRPr="00840AAD" w:rsidRDefault="00840AAD" w:rsidP="00840AAD">
      <w:pPr>
        <w:autoSpaceDE w:val="0"/>
        <w:autoSpaceDN w:val="0"/>
        <w:adjustRightInd w:val="0"/>
        <w:ind w:right="615"/>
        <w:jc w:val="both"/>
        <w:rPr>
          <w:rFonts w:ascii="Abadi" w:eastAsia="Batang" w:hAnsi="Abadi" w:cs="Arial"/>
          <w:i/>
          <w:sz w:val="21"/>
          <w:szCs w:val="21"/>
          <w:lang w:val="es-MX"/>
        </w:rPr>
      </w:pPr>
      <w:r w:rsidRPr="00840AAD">
        <w:rPr>
          <w:rFonts w:ascii="Abadi" w:hAnsi="Abadi"/>
          <w:b/>
          <w:sz w:val="21"/>
          <w:szCs w:val="21"/>
          <w:lang w:val="es-MX"/>
        </w:rPr>
        <w:t>III.</w:t>
      </w:r>
      <w:r w:rsidRPr="00840AAD">
        <w:rPr>
          <w:rFonts w:ascii="Abadi" w:hAnsi="Abadi"/>
          <w:b/>
          <w:sz w:val="21"/>
          <w:szCs w:val="21"/>
          <w:lang w:val="es-MX"/>
        </w:rPr>
        <w:tab/>
        <w:t>Consideraciones de la Comisión Dictaminadora</w:t>
      </w:r>
    </w:p>
    <w:p w14:paraId="114306C8" w14:textId="77777777" w:rsidR="00840AAD" w:rsidRPr="00840AAD" w:rsidRDefault="00840AAD" w:rsidP="00840AAD">
      <w:pPr>
        <w:ind w:firstLine="708"/>
        <w:jc w:val="both"/>
        <w:rPr>
          <w:rFonts w:ascii="Abadi" w:hAnsi="Abadi" w:cs="Arial"/>
          <w:sz w:val="21"/>
          <w:szCs w:val="21"/>
        </w:rPr>
      </w:pPr>
    </w:p>
    <w:p w14:paraId="32092689" w14:textId="4F779B30" w:rsidR="00840AAD" w:rsidRPr="00840AAD" w:rsidRDefault="00840AAD" w:rsidP="00A80FE9">
      <w:pPr>
        <w:ind w:firstLine="708"/>
        <w:jc w:val="both"/>
        <w:rPr>
          <w:rFonts w:ascii="Abadi" w:eastAsia="Batang" w:hAnsi="Abadi" w:cs="Arial"/>
          <w:sz w:val="21"/>
          <w:szCs w:val="21"/>
        </w:rPr>
      </w:pPr>
      <w:r w:rsidRPr="00840AAD">
        <w:rPr>
          <w:rFonts w:ascii="Abadi" w:eastAsia="Batang" w:hAnsi="Abadi" w:cs="Arial"/>
          <w:sz w:val="21"/>
          <w:szCs w:val="21"/>
        </w:rPr>
        <w:t xml:space="preserve">En términos generales el objeto de la iniciativa materia del presente dictamen es emprender acciones que contribuyan a reducir el impacto ambiental en el Estado, señalando a través del uso racional de los bienes adquiridos, arrendados o asignados; y la vigilancia a efecto de que los mismos se destinen al cumplimiento de los programas y acciones previamente determinados, considerando lo dispuesto en su Sistema de Manejo Ambiental. </w:t>
      </w:r>
    </w:p>
    <w:p w14:paraId="24182558" w14:textId="77777777" w:rsidR="00840AAD" w:rsidRPr="00840AAD" w:rsidRDefault="00840AAD" w:rsidP="00840AAD">
      <w:pPr>
        <w:ind w:firstLine="708"/>
        <w:jc w:val="both"/>
        <w:rPr>
          <w:rFonts w:ascii="Abadi" w:eastAsia="Batang" w:hAnsi="Abadi" w:cs="Arial"/>
          <w:sz w:val="21"/>
          <w:szCs w:val="21"/>
        </w:rPr>
      </w:pPr>
    </w:p>
    <w:p w14:paraId="4D5D7710" w14:textId="77777777" w:rsidR="00840AAD" w:rsidRPr="00840AAD" w:rsidRDefault="00840AAD" w:rsidP="00840AAD">
      <w:pPr>
        <w:ind w:firstLine="708"/>
        <w:jc w:val="both"/>
        <w:rPr>
          <w:rFonts w:ascii="Abadi" w:eastAsia="Batang" w:hAnsi="Abadi" w:cs="Arial"/>
          <w:sz w:val="21"/>
          <w:szCs w:val="21"/>
        </w:rPr>
      </w:pPr>
      <w:r w:rsidRPr="00840AAD">
        <w:rPr>
          <w:rFonts w:ascii="Abadi" w:eastAsia="Batang" w:hAnsi="Abadi" w:cs="Arial"/>
          <w:sz w:val="21"/>
          <w:szCs w:val="21"/>
        </w:rPr>
        <w:t>Al respecto, el artículo 275 de la Ley Orgánica del Poder Legislativo del Estado establece que la Unidad de Estudios de las Finanzas Públicas será el órgano técnico encargado de apoyar a las comisiones legislativas y a los integrantes del Congreso del Estado, así como colaborar con el Centro de Estudios Parlamentarios en el ejercicio de las funciones e investigaciones legislativas en materia de finanzas públicas; de igual manera en su numeral 276 fracción V, alude, que una de sus atribuciones será la de analizar las iniciativas de Ley o Decreto cuya materia incida en las actividades financieras. Hecho el análisis correspondiente, dicha unidad concluyó que las incorporaciones propuestas en la iniciativa provocarían un impacto presupuestal en el costo que se tiene que invertir en la adquisición de bienes compuestos total o parcialmente de materiales valorizables dado que por estar sujetos a procesos previos para contar con dichas características o tratarse de otros materiales con menos disponibilidad en la industria, el costo unitario de los mismos normalmente supera a los ordinarios por ser estos últimos los más económicos de producir entre el veintinueve al treinta y nueve por ciento en promedio.</w:t>
      </w:r>
    </w:p>
    <w:p w14:paraId="15AD6F57" w14:textId="77777777" w:rsidR="00840AAD" w:rsidRPr="00840AAD" w:rsidRDefault="00840AAD" w:rsidP="00840AAD">
      <w:pPr>
        <w:ind w:firstLine="708"/>
        <w:jc w:val="both"/>
        <w:rPr>
          <w:rFonts w:ascii="Abadi" w:eastAsia="Batang" w:hAnsi="Abadi" w:cs="Arial"/>
          <w:sz w:val="21"/>
          <w:szCs w:val="21"/>
        </w:rPr>
      </w:pPr>
    </w:p>
    <w:p w14:paraId="39951DDE" w14:textId="77777777" w:rsidR="00840AAD" w:rsidRPr="00840AAD" w:rsidRDefault="00840AAD" w:rsidP="00840AAD">
      <w:pPr>
        <w:ind w:firstLine="708"/>
        <w:jc w:val="both"/>
        <w:rPr>
          <w:rFonts w:ascii="Abadi" w:eastAsia="Batang" w:hAnsi="Abadi" w:cs="Arial"/>
          <w:sz w:val="21"/>
          <w:szCs w:val="21"/>
        </w:rPr>
      </w:pPr>
      <w:r w:rsidRPr="00840AAD">
        <w:rPr>
          <w:rFonts w:ascii="Abadi" w:eastAsia="Batang" w:hAnsi="Abadi" w:cs="Arial"/>
          <w:sz w:val="21"/>
          <w:szCs w:val="21"/>
        </w:rPr>
        <w:t>Con relación a la propuesta a fin de reformar el artículo 13, fracción IV de la Ley de Contrataciones Públicas para el Estado de Guanajuato se desprende que el numeral 4, fracción XVII de la Ley para la Gestión Integral de Residuos del Estado y los Municipios de Guanajuato define el concepto de «</w:t>
      </w:r>
      <w:r w:rsidRPr="00840AAD">
        <w:rPr>
          <w:rFonts w:ascii="Abadi" w:eastAsia="Batang" w:hAnsi="Abadi" w:cs="Arial"/>
          <w:i/>
          <w:iCs/>
          <w:sz w:val="21"/>
          <w:szCs w:val="21"/>
        </w:rPr>
        <w:t>Sistema de manejo ambiental: Conjunto de medidas adoptadas a través de las cuales se incorporan criterios ambientales en las actividades cotidianas de los entes públicos, con el objetivo de minimizar su impacto negativo al ambiente, mediante el ahorro y consumo eficiente de agua, energía y materiales, y que alienta con sus políticas de adquisiciones la prevención de la generación de residuos, su aprovechamiento y su manejo integral</w:t>
      </w:r>
      <w:r w:rsidRPr="00840AAD">
        <w:rPr>
          <w:rFonts w:ascii="Abadi" w:eastAsia="Batang" w:hAnsi="Abadi" w:cs="Arial"/>
          <w:sz w:val="21"/>
          <w:szCs w:val="21"/>
        </w:rPr>
        <w:t>.»</w:t>
      </w:r>
    </w:p>
    <w:p w14:paraId="28A7AF82" w14:textId="77777777" w:rsidR="00840AAD" w:rsidRPr="00840AAD" w:rsidRDefault="00840AAD" w:rsidP="00840AAD">
      <w:pPr>
        <w:ind w:firstLine="708"/>
        <w:jc w:val="both"/>
        <w:rPr>
          <w:rFonts w:ascii="Abadi" w:eastAsia="Batang" w:hAnsi="Abadi" w:cs="Arial"/>
          <w:sz w:val="21"/>
          <w:szCs w:val="21"/>
        </w:rPr>
      </w:pPr>
    </w:p>
    <w:p w14:paraId="4404CA3F" w14:textId="77777777" w:rsidR="00840AAD" w:rsidRPr="00840AAD" w:rsidRDefault="00840AAD" w:rsidP="00840AAD">
      <w:pPr>
        <w:ind w:firstLine="708"/>
        <w:jc w:val="both"/>
        <w:rPr>
          <w:rFonts w:ascii="Abadi" w:eastAsia="Batang" w:hAnsi="Abadi" w:cs="Arial"/>
          <w:sz w:val="21"/>
          <w:szCs w:val="21"/>
        </w:rPr>
      </w:pPr>
      <w:r w:rsidRPr="00840AAD">
        <w:rPr>
          <w:rFonts w:ascii="Abadi" w:eastAsia="Batang" w:hAnsi="Abadi" w:cs="Arial"/>
          <w:sz w:val="21"/>
          <w:szCs w:val="21"/>
        </w:rPr>
        <w:t>De dicho precepto legal, se advierte que actualmente ya se prevé la obligación para que los sujetos de ley se apeguen al sistema de manejo ambiental, siendo este el conjunto de medidas y criterios ambientales, incluidas sus políticas de adquisiciones, que los entes públicos deben adoptar.</w:t>
      </w:r>
    </w:p>
    <w:p w14:paraId="6E5E7EF6" w14:textId="77777777" w:rsidR="00840AAD" w:rsidRPr="00840AAD" w:rsidRDefault="00840AAD" w:rsidP="00A80FE9">
      <w:pPr>
        <w:jc w:val="both"/>
        <w:rPr>
          <w:rFonts w:ascii="Abadi" w:eastAsia="Batang" w:hAnsi="Abadi" w:cs="Arial"/>
          <w:sz w:val="21"/>
          <w:szCs w:val="21"/>
        </w:rPr>
      </w:pPr>
    </w:p>
    <w:p w14:paraId="3A39A30C" w14:textId="77777777" w:rsidR="00840AAD" w:rsidRPr="00840AAD" w:rsidRDefault="00840AAD" w:rsidP="00840AAD">
      <w:pPr>
        <w:ind w:firstLine="708"/>
        <w:jc w:val="both"/>
        <w:rPr>
          <w:rFonts w:ascii="Abadi" w:eastAsia="Batang" w:hAnsi="Abadi" w:cs="Arial"/>
          <w:sz w:val="21"/>
          <w:szCs w:val="21"/>
        </w:rPr>
      </w:pPr>
      <w:r w:rsidRPr="00840AAD">
        <w:rPr>
          <w:rFonts w:ascii="Abadi" w:eastAsia="Batang" w:hAnsi="Abadi" w:cs="Arial"/>
          <w:sz w:val="21"/>
          <w:szCs w:val="21"/>
        </w:rPr>
        <w:t>En tal sentido, la reforma propuesta a la fracción IV del artículo 13 de la ley que nos ocupa, guarda en términos generales, la misma prevención ya establecida en el artículo 4 fracción XVII de la Ley para la Gestión Integral de Residuos del Estado y los Municipios de Guanajuato, razón por la que se considera innecesario efectuar dicha reforma, pues se estaría replicando una disposición actualmente regulada y obligatoria para todos los sujetos de la Ley de Contrataciones Públicas para el Estado de Guanajuato, en conexión con lo dispuesto por el artículo 30 de la Ley para la Gestión Integral de Residuos del Estado y los Municipios de Guanajuato, que precisa que los poderes Ejecutivo, Legislativo y Judicial del Estado, los ayuntamientos, así como los organismos autónomos, implementarán sistemas de manejo ambiental en todas sus dependencias y entidades, promoviendo que en sus procesos de adquisiciones de bienes para la prestación de sus servicios y cumplimiento de sus funciones, se opte por la utilización y el consumo de productos compuestos total o parcialmente de materiales valorizables.</w:t>
      </w:r>
    </w:p>
    <w:p w14:paraId="5030CA9E" w14:textId="77777777" w:rsidR="00840AAD" w:rsidRPr="00840AAD" w:rsidRDefault="00840AAD" w:rsidP="00840AAD">
      <w:pPr>
        <w:autoSpaceDE w:val="0"/>
        <w:autoSpaceDN w:val="0"/>
        <w:adjustRightInd w:val="0"/>
        <w:ind w:right="-93" w:firstLine="708"/>
        <w:jc w:val="both"/>
        <w:rPr>
          <w:rFonts w:ascii="Abadi" w:eastAsia="Batang" w:hAnsi="Abadi" w:cs="Arial"/>
          <w:sz w:val="21"/>
          <w:szCs w:val="21"/>
        </w:rPr>
      </w:pPr>
    </w:p>
    <w:p w14:paraId="7AD9DF45" w14:textId="77777777" w:rsidR="00840AAD" w:rsidRPr="00840AAD" w:rsidRDefault="00840AAD" w:rsidP="00840AAD">
      <w:pPr>
        <w:autoSpaceDE w:val="0"/>
        <w:autoSpaceDN w:val="0"/>
        <w:adjustRightInd w:val="0"/>
        <w:ind w:right="-93" w:firstLine="708"/>
        <w:jc w:val="both"/>
        <w:rPr>
          <w:rFonts w:ascii="Abadi" w:eastAsia="Batang" w:hAnsi="Abadi" w:cs="Arial"/>
          <w:sz w:val="21"/>
          <w:szCs w:val="21"/>
        </w:rPr>
      </w:pPr>
      <w:r w:rsidRPr="00840AAD">
        <w:rPr>
          <w:rFonts w:ascii="Abadi" w:eastAsia="Batang" w:hAnsi="Abadi" w:cs="Arial"/>
          <w:sz w:val="21"/>
          <w:szCs w:val="21"/>
        </w:rPr>
        <w:t>Por otra parte, respecto a la propuesta de adición de la fracción X del artículo 22 de la Ley materia del presente dictamen, se observa que dicha Ley, en su artículo 21, fracción V señala:</w:t>
      </w:r>
    </w:p>
    <w:p w14:paraId="13574C09" w14:textId="77777777" w:rsidR="00840AAD" w:rsidRPr="00840AAD" w:rsidRDefault="00840AAD" w:rsidP="00840AAD">
      <w:pPr>
        <w:autoSpaceDE w:val="0"/>
        <w:autoSpaceDN w:val="0"/>
        <w:adjustRightInd w:val="0"/>
        <w:ind w:right="-93" w:firstLine="708"/>
        <w:jc w:val="both"/>
        <w:rPr>
          <w:rFonts w:ascii="Abadi" w:eastAsia="Batang" w:hAnsi="Abadi" w:cs="Arial"/>
          <w:sz w:val="21"/>
          <w:szCs w:val="21"/>
        </w:rPr>
      </w:pPr>
    </w:p>
    <w:p w14:paraId="170CB363" w14:textId="77777777" w:rsidR="00840AAD" w:rsidRPr="00840AAD" w:rsidRDefault="00840AAD" w:rsidP="00840AAD">
      <w:pPr>
        <w:autoSpaceDE w:val="0"/>
        <w:autoSpaceDN w:val="0"/>
        <w:adjustRightInd w:val="0"/>
        <w:ind w:left="851" w:right="-93"/>
        <w:jc w:val="both"/>
        <w:rPr>
          <w:rFonts w:ascii="Abadi" w:eastAsia="Batang" w:hAnsi="Abadi" w:cs="Arial"/>
          <w:i/>
          <w:iCs/>
          <w:sz w:val="21"/>
          <w:szCs w:val="21"/>
        </w:rPr>
      </w:pPr>
      <w:r w:rsidRPr="00840AAD">
        <w:rPr>
          <w:rFonts w:ascii="Abadi" w:eastAsia="Batang" w:hAnsi="Abadi" w:cs="Arial"/>
          <w:i/>
          <w:iCs/>
          <w:sz w:val="21"/>
          <w:szCs w:val="21"/>
        </w:rPr>
        <w:t>«Artículo 21. En la planeación de las adquisiciones, arrendamientos y contratación de servicios que realicen los sujetos de esta ley se atenderá a:</w:t>
      </w:r>
    </w:p>
    <w:p w14:paraId="5D4AA6B1" w14:textId="77777777" w:rsidR="00840AAD" w:rsidRPr="00840AAD" w:rsidRDefault="00840AAD" w:rsidP="00840AAD">
      <w:pPr>
        <w:autoSpaceDE w:val="0"/>
        <w:autoSpaceDN w:val="0"/>
        <w:adjustRightInd w:val="0"/>
        <w:ind w:left="851" w:right="-93"/>
        <w:jc w:val="both"/>
        <w:rPr>
          <w:rFonts w:ascii="Abadi" w:eastAsia="Batang" w:hAnsi="Abadi" w:cs="Arial"/>
          <w:i/>
          <w:iCs/>
          <w:sz w:val="21"/>
          <w:szCs w:val="21"/>
        </w:rPr>
      </w:pPr>
    </w:p>
    <w:p w14:paraId="13E9CA51" w14:textId="77777777" w:rsidR="00840AAD" w:rsidRPr="00840AAD" w:rsidRDefault="00840AAD" w:rsidP="00840AAD">
      <w:pPr>
        <w:autoSpaceDE w:val="0"/>
        <w:autoSpaceDN w:val="0"/>
        <w:adjustRightInd w:val="0"/>
        <w:ind w:left="851" w:right="-93"/>
        <w:jc w:val="both"/>
        <w:rPr>
          <w:rFonts w:ascii="Abadi" w:eastAsia="Batang" w:hAnsi="Abadi" w:cs="Arial"/>
          <w:i/>
          <w:iCs/>
          <w:sz w:val="21"/>
          <w:szCs w:val="21"/>
        </w:rPr>
      </w:pPr>
      <w:r w:rsidRPr="00840AAD">
        <w:rPr>
          <w:rFonts w:ascii="Abadi" w:eastAsia="Batang" w:hAnsi="Abadi" w:cs="Arial"/>
          <w:i/>
          <w:iCs/>
          <w:sz w:val="21"/>
          <w:szCs w:val="21"/>
        </w:rPr>
        <w:t>V. Al uso sustentable de los recursos naturales para la protección y preservación del medio ambiente, en los términos que dicten las leyes aplicables;»</w:t>
      </w:r>
    </w:p>
    <w:p w14:paraId="0B033C21" w14:textId="77777777" w:rsidR="00840AAD" w:rsidRPr="00840AAD" w:rsidRDefault="00840AAD" w:rsidP="00840AAD">
      <w:pPr>
        <w:autoSpaceDE w:val="0"/>
        <w:autoSpaceDN w:val="0"/>
        <w:adjustRightInd w:val="0"/>
        <w:ind w:right="-93" w:firstLine="708"/>
        <w:jc w:val="both"/>
        <w:rPr>
          <w:rFonts w:ascii="Abadi" w:eastAsia="Batang" w:hAnsi="Abadi" w:cs="Arial"/>
          <w:sz w:val="21"/>
          <w:szCs w:val="21"/>
        </w:rPr>
      </w:pPr>
    </w:p>
    <w:p w14:paraId="50418868" w14:textId="6656426C" w:rsidR="00A80FE9" w:rsidRPr="00840AAD" w:rsidRDefault="00840AAD" w:rsidP="00A80FE9">
      <w:pPr>
        <w:autoSpaceDE w:val="0"/>
        <w:autoSpaceDN w:val="0"/>
        <w:adjustRightInd w:val="0"/>
        <w:ind w:right="-93" w:firstLine="708"/>
        <w:jc w:val="both"/>
        <w:rPr>
          <w:rFonts w:ascii="Abadi" w:eastAsia="Batang" w:hAnsi="Abadi" w:cs="Arial"/>
          <w:sz w:val="21"/>
          <w:szCs w:val="21"/>
        </w:rPr>
      </w:pPr>
      <w:r w:rsidRPr="00840AAD">
        <w:rPr>
          <w:rFonts w:ascii="Abadi" w:eastAsia="Batang" w:hAnsi="Abadi" w:cs="Arial"/>
          <w:sz w:val="21"/>
          <w:szCs w:val="21"/>
        </w:rPr>
        <w:t xml:space="preserve">Razón por la cual, si bien es cierto que la Ley de Contrataciones Públicas para el Estado de Guanajuato no indica de manera expresa el término: </w:t>
      </w:r>
      <w:r w:rsidRPr="00840AAD">
        <w:rPr>
          <w:rFonts w:ascii="Abadi" w:eastAsia="Batang" w:hAnsi="Abadi" w:cs="Arial"/>
          <w:i/>
          <w:iCs/>
          <w:sz w:val="21"/>
          <w:szCs w:val="21"/>
        </w:rPr>
        <w:t>«sistema de manejo ambiental»,</w:t>
      </w:r>
      <w:r w:rsidRPr="00840AAD">
        <w:rPr>
          <w:rFonts w:ascii="Abadi" w:eastAsia="Batang" w:hAnsi="Abadi" w:cs="Arial"/>
          <w:sz w:val="21"/>
          <w:szCs w:val="21"/>
        </w:rPr>
        <w:t xml:space="preserve"> también lo es que el citado numeral vigente, ya contiene una obligación para los entes públicos, a fin de que durante la planeación de sus adquisiciones, arrendamientos y contratación de servicios se atienda la protección y preservación al ambiente de conformidad con las leyes de la materia, como lo es la Ley para la Gestión Integral de Residuos del Estado y los Municipios de Guanajuato. Ante ello, debido al objeto de las modificaciones propuestas en la iniciativa, se estiman innecesarias, atendiendo a que el marco jurídico ya lo contempla.</w:t>
      </w:r>
    </w:p>
    <w:p w14:paraId="6BFE0F02" w14:textId="77777777" w:rsidR="00840AAD" w:rsidRPr="00840AAD" w:rsidRDefault="00840AAD" w:rsidP="00840AAD">
      <w:pPr>
        <w:autoSpaceDE w:val="0"/>
        <w:autoSpaceDN w:val="0"/>
        <w:adjustRightInd w:val="0"/>
        <w:ind w:right="-93" w:firstLine="708"/>
        <w:jc w:val="both"/>
        <w:rPr>
          <w:rFonts w:ascii="Abadi" w:eastAsia="Batang" w:hAnsi="Abadi" w:cs="Arial"/>
          <w:sz w:val="21"/>
          <w:szCs w:val="21"/>
        </w:rPr>
      </w:pPr>
    </w:p>
    <w:p w14:paraId="0C929DEA" w14:textId="77777777" w:rsidR="00840AAD" w:rsidRPr="00840AAD" w:rsidRDefault="00840AAD" w:rsidP="00840AAD">
      <w:pPr>
        <w:autoSpaceDE w:val="0"/>
        <w:autoSpaceDN w:val="0"/>
        <w:adjustRightInd w:val="0"/>
        <w:ind w:right="-93" w:firstLine="708"/>
        <w:jc w:val="both"/>
        <w:rPr>
          <w:rFonts w:ascii="Abadi" w:eastAsia="Batang" w:hAnsi="Abadi" w:cs="Arial"/>
          <w:sz w:val="21"/>
          <w:szCs w:val="21"/>
        </w:rPr>
      </w:pPr>
      <w:r w:rsidRPr="00840AAD">
        <w:rPr>
          <w:rFonts w:ascii="Abadi" w:eastAsia="Batang" w:hAnsi="Abadi" w:cs="Arial"/>
          <w:sz w:val="21"/>
          <w:szCs w:val="21"/>
        </w:rPr>
        <w:t>Adicional a lo anterior, en la iniciativa no se precisan los elementos técnicos y legales para poder detectar qué bienes no afectan el medio ambiente, ni los</w:t>
      </w:r>
      <w:r w:rsidRPr="00840AAD">
        <w:rPr>
          <w:rFonts w:ascii="Abadi" w:hAnsi="Abadi"/>
          <w:sz w:val="21"/>
          <w:szCs w:val="21"/>
        </w:rPr>
        <w:t xml:space="preserve"> </w:t>
      </w:r>
      <w:r w:rsidRPr="00840AAD">
        <w:rPr>
          <w:rFonts w:ascii="Abadi" w:eastAsia="Batang" w:hAnsi="Abadi" w:cs="Arial"/>
          <w:sz w:val="21"/>
          <w:szCs w:val="21"/>
        </w:rPr>
        <w:t>instrumentos para determinar y evaluar tal condición. Lo anterior, debido a que el texto propuesto denota una obligatoriedad que impactaría desfavorablemente en los procesos de contratación, específicamente en lo relativo a determinar qué bienes y servicios no afectan el ambiente, y si los procesos para su elaboración o prestación, respectivamente, afectan o no el medio ambiente.</w:t>
      </w:r>
    </w:p>
    <w:p w14:paraId="6FC0D9EB" w14:textId="77777777" w:rsidR="00840AAD" w:rsidRPr="00840AAD" w:rsidRDefault="00840AAD" w:rsidP="00840AAD">
      <w:pPr>
        <w:autoSpaceDE w:val="0"/>
        <w:autoSpaceDN w:val="0"/>
        <w:adjustRightInd w:val="0"/>
        <w:ind w:right="-93" w:firstLine="708"/>
        <w:jc w:val="both"/>
        <w:rPr>
          <w:rFonts w:ascii="Abadi" w:eastAsia="Batang" w:hAnsi="Abadi" w:cs="Arial"/>
          <w:sz w:val="21"/>
          <w:szCs w:val="21"/>
        </w:rPr>
      </w:pPr>
    </w:p>
    <w:p w14:paraId="54750A40" w14:textId="77777777" w:rsidR="00840AAD" w:rsidRPr="00840AAD" w:rsidRDefault="00840AAD" w:rsidP="00840AAD">
      <w:pPr>
        <w:autoSpaceDE w:val="0"/>
        <w:autoSpaceDN w:val="0"/>
        <w:adjustRightInd w:val="0"/>
        <w:ind w:right="-93" w:firstLine="708"/>
        <w:jc w:val="both"/>
        <w:rPr>
          <w:rFonts w:ascii="Abadi" w:eastAsia="Batang" w:hAnsi="Abadi" w:cs="Arial"/>
          <w:sz w:val="21"/>
          <w:szCs w:val="21"/>
        </w:rPr>
      </w:pPr>
      <w:r w:rsidRPr="00840AAD">
        <w:rPr>
          <w:rFonts w:ascii="Abadi" w:eastAsia="Batang" w:hAnsi="Abadi" w:cs="Arial"/>
          <w:sz w:val="21"/>
          <w:szCs w:val="21"/>
        </w:rPr>
        <w:t>También debemos considerar el principio constitucional de respetar la igualdad de condiciones en materia de adquisiciones, arrendamientos y contrataciones, toda vez que se estaría frente a una desigualdad de condiciones con respecto a aquellos proveedores que no demuestren que sus productos o servicios no afectan el medio ambiente, lo que conllevaría a que solamente ciertos proveedores pudieran suministrar ciertos productos o servicios en los procesos de contratación, lo cual se aleja del principio constitucional antes referido.</w:t>
      </w:r>
    </w:p>
    <w:p w14:paraId="29171916" w14:textId="77777777" w:rsidR="00840AAD" w:rsidRPr="00840AAD" w:rsidRDefault="00840AAD" w:rsidP="00840AAD">
      <w:pPr>
        <w:autoSpaceDE w:val="0"/>
        <w:autoSpaceDN w:val="0"/>
        <w:adjustRightInd w:val="0"/>
        <w:ind w:right="-93" w:firstLine="708"/>
        <w:jc w:val="both"/>
        <w:rPr>
          <w:rFonts w:ascii="Abadi" w:eastAsia="Batang" w:hAnsi="Abadi" w:cs="Arial"/>
          <w:sz w:val="21"/>
          <w:szCs w:val="21"/>
        </w:rPr>
      </w:pPr>
    </w:p>
    <w:p w14:paraId="762A20AE" w14:textId="77777777" w:rsidR="00840AAD" w:rsidRPr="00840AAD" w:rsidRDefault="00840AAD" w:rsidP="00840AAD">
      <w:pPr>
        <w:autoSpaceDE w:val="0"/>
        <w:autoSpaceDN w:val="0"/>
        <w:adjustRightInd w:val="0"/>
        <w:ind w:right="-93" w:firstLine="708"/>
        <w:jc w:val="both"/>
        <w:rPr>
          <w:rFonts w:ascii="Abadi" w:eastAsia="Batang" w:hAnsi="Abadi" w:cs="Arial"/>
          <w:sz w:val="21"/>
          <w:szCs w:val="21"/>
        </w:rPr>
      </w:pPr>
      <w:r w:rsidRPr="00840AAD">
        <w:rPr>
          <w:rFonts w:ascii="Abadi" w:eastAsia="Batang" w:hAnsi="Abadi" w:cs="Arial"/>
          <w:sz w:val="21"/>
          <w:szCs w:val="21"/>
        </w:rPr>
        <w:t>No se omite considerar el eventual impacto económico motivado por establecer un mecanismo, o bien, disponer de las personas integrantes de la estructura administrativa actual, a fin de realizar funciones inherentes a acreditar qué bienes y servicios, así como los procesos para su elaboración o prestación, afectan o no el medio ambiente, lo cual además de los costos para su implementación, podría extender el plazo para efectuar los procesos de licitación en materia de adquisiciones, contrataciones y arrendamientos.</w:t>
      </w:r>
    </w:p>
    <w:p w14:paraId="49349C2F" w14:textId="77777777" w:rsidR="00840AAD" w:rsidRPr="00840AAD" w:rsidRDefault="00840AAD" w:rsidP="00840AAD">
      <w:pPr>
        <w:autoSpaceDE w:val="0"/>
        <w:autoSpaceDN w:val="0"/>
        <w:adjustRightInd w:val="0"/>
        <w:ind w:right="-93" w:firstLine="708"/>
        <w:jc w:val="both"/>
        <w:rPr>
          <w:rFonts w:ascii="Abadi" w:eastAsia="Batang" w:hAnsi="Abadi" w:cs="Arial"/>
          <w:sz w:val="21"/>
          <w:szCs w:val="21"/>
        </w:rPr>
      </w:pPr>
    </w:p>
    <w:p w14:paraId="0258A35A" w14:textId="77777777" w:rsidR="00840AAD" w:rsidRPr="00840AAD" w:rsidRDefault="00840AAD" w:rsidP="00840AAD">
      <w:pPr>
        <w:ind w:firstLine="708"/>
        <w:jc w:val="both"/>
        <w:rPr>
          <w:rFonts w:ascii="Abadi" w:eastAsia="Batang" w:hAnsi="Abadi" w:cs="Arial"/>
          <w:sz w:val="21"/>
          <w:szCs w:val="21"/>
        </w:rPr>
      </w:pPr>
      <w:r w:rsidRPr="00840AAD">
        <w:rPr>
          <w:rFonts w:ascii="Abadi" w:eastAsia="Batang" w:hAnsi="Abadi" w:cs="Arial"/>
          <w:sz w:val="21"/>
          <w:szCs w:val="21"/>
        </w:rPr>
        <w:t>Es en atención a los argumentos vertidos, que determinamos improcedentes las modificaciones propuestas</w:t>
      </w:r>
    </w:p>
    <w:p w14:paraId="1D7F52DE" w14:textId="77777777" w:rsidR="00840AAD" w:rsidRPr="00840AAD" w:rsidRDefault="00840AAD" w:rsidP="00840AAD">
      <w:pPr>
        <w:ind w:firstLine="708"/>
        <w:jc w:val="both"/>
        <w:rPr>
          <w:rFonts w:ascii="Abadi" w:hAnsi="Abadi" w:cs="Arial"/>
          <w:sz w:val="21"/>
          <w:szCs w:val="21"/>
        </w:rPr>
      </w:pPr>
    </w:p>
    <w:p w14:paraId="389AD7B5" w14:textId="77777777" w:rsidR="00840AAD" w:rsidRPr="00840AAD" w:rsidRDefault="00840AAD" w:rsidP="00840AAD">
      <w:pPr>
        <w:ind w:firstLine="708"/>
        <w:jc w:val="both"/>
        <w:rPr>
          <w:rFonts w:ascii="Abadi" w:eastAsia="Batang" w:hAnsi="Abadi" w:cs="Arial"/>
          <w:sz w:val="21"/>
          <w:szCs w:val="21"/>
        </w:rPr>
      </w:pPr>
      <w:r w:rsidRPr="00840AAD">
        <w:rPr>
          <w:rFonts w:ascii="Abadi" w:eastAsia="Batang" w:hAnsi="Abadi" w:cs="Arial"/>
          <w:sz w:val="21"/>
          <w:szCs w:val="21"/>
        </w:rPr>
        <w:t xml:space="preserve">Por lo anteriormente expuesto, y con fundamento en lo dispuesto por los artículos 171 y 204 de </w:t>
      </w:r>
      <w:smartTag w:uri="urn:schemas-microsoft-com:office:smarttags" w:element="PersonName">
        <w:smartTagPr>
          <w:attr w:name="ProductID" w:val="la Ley Org￡nica"/>
        </w:smartTagPr>
        <w:r w:rsidRPr="00840AAD">
          <w:rPr>
            <w:rFonts w:ascii="Abadi" w:eastAsia="Batang" w:hAnsi="Abadi" w:cs="Arial"/>
            <w:sz w:val="21"/>
            <w:szCs w:val="21"/>
          </w:rPr>
          <w:t>la Ley Orgánica</w:t>
        </w:r>
      </w:smartTag>
      <w:r w:rsidRPr="00840AAD">
        <w:rPr>
          <w:rFonts w:ascii="Abadi" w:eastAsia="Batang" w:hAnsi="Abadi" w:cs="Arial"/>
          <w:sz w:val="21"/>
          <w:szCs w:val="21"/>
        </w:rPr>
        <w:t xml:space="preserve"> del Poder Legislativo del Estado, quienes integramos la Comisión de Hacienda y Fiscalización, sometemos a la consideración de </w:t>
      </w:r>
      <w:smartTag w:uri="urn:schemas-microsoft-com:office:smarttags" w:element="PersonName">
        <w:smartTagPr>
          <w:attr w:name="ProductID" w:val="la Asamblea"/>
        </w:smartTagPr>
        <w:r w:rsidRPr="00840AAD">
          <w:rPr>
            <w:rFonts w:ascii="Abadi" w:eastAsia="Batang" w:hAnsi="Abadi" w:cs="Arial"/>
            <w:sz w:val="21"/>
            <w:szCs w:val="21"/>
          </w:rPr>
          <w:t>la Asamblea</w:t>
        </w:r>
      </w:smartTag>
      <w:r w:rsidRPr="00840AAD">
        <w:rPr>
          <w:rFonts w:ascii="Abadi" w:eastAsia="Batang" w:hAnsi="Abadi" w:cs="Arial"/>
          <w:sz w:val="21"/>
          <w:szCs w:val="21"/>
        </w:rPr>
        <w:t>, la aprobación del siguiente:</w:t>
      </w:r>
    </w:p>
    <w:p w14:paraId="2752090E" w14:textId="77777777" w:rsidR="00840AAD" w:rsidRPr="00840AAD" w:rsidRDefault="00840AAD" w:rsidP="00840AAD">
      <w:pPr>
        <w:ind w:firstLine="540"/>
        <w:jc w:val="center"/>
        <w:rPr>
          <w:rFonts w:ascii="Abadi" w:hAnsi="Abadi"/>
          <w:b/>
          <w:sz w:val="21"/>
          <w:szCs w:val="21"/>
        </w:rPr>
      </w:pPr>
    </w:p>
    <w:p w14:paraId="113230CF" w14:textId="77777777" w:rsidR="00840AAD" w:rsidRPr="00840AAD" w:rsidRDefault="00840AAD" w:rsidP="00840AAD">
      <w:pPr>
        <w:jc w:val="center"/>
        <w:rPr>
          <w:rFonts w:ascii="Abadi" w:hAnsi="Abadi"/>
          <w:b/>
          <w:sz w:val="21"/>
          <w:szCs w:val="21"/>
        </w:rPr>
      </w:pPr>
      <w:r w:rsidRPr="00840AAD">
        <w:rPr>
          <w:rFonts w:ascii="Abadi" w:hAnsi="Abadi"/>
          <w:b/>
          <w:sz w:val="21"/>
          <w:szCs w:val="21"/>
        </w:rPr>
        <w:t>A c u e r d o</w:t>
      </w:r>
    </w:p>
    <w:p w14:paraId="4D873D0E" w14:textId="77777777" w:rsidR="00840AAD" w:rsidRPr="00840AAD" w:rsidRDefault="00840AAD" w:rsidP="00840AAD">
      <w:pPr>
        <w:ind w:firstLine="540"/>
        <w:jc w:val="both"/>
        <w:rPr>
          <w:rFonts w:ascii="Abadi" w:hAnsi="Abadi"/>
          <w:b/>
          <w:sz w:val="21"/>
          <w:szCs w:val="21"/>
        </w:rPr>
      </w:pPr>
    </w:p>
    <w:p w14:paraId="62DEB7F7" w14:textId="04C5176D" w:rsidR="00840AAD" w:rsidRPr="00840AAD" w:rsidRDefault="00840AAD" w:rsidP="003B22C1">
      <w:pPr>
        <w:ind w:firstLine="540"/>
        <w:jc w:val="both"/>
        <w:rPr>
          <w:rFonts w:ascii="Abadi" w:hAnsi="Abadi" w:cs="Arial"/>
          <w:sz w:val="21"/>
          <w:szCs w:val="21"/>
        </w:rPr>
      </w:pPr>
      <w:r w:rsidRPr="00840AAD">
        <w:rPr>
          <w:rFonts w:ascii="Abadi" w:hAnsi="Abadi"/>
          <w:b/>
          <w:sz w:val="21"/>
          <w:szCs w:val="21"/>
        </w:rPr>
        <w:t>Artículo Único.</w:t>
      </w:r>
      <w:r w:rsidRPr="00840AAD">
        <w:rPr>
          <w:rFonts w:ascii="Abadi" w:hAnsi="Abadi"/>
          <w:sz w:val="21"/>
          <w:szCs w:val="21"/>
        </w:rPr>
        <w:t xml:space="preserve"> Se </w:t>
      </w:r>
      <w:r w:rsidRPr="00840AAD">
        <w:rPr>
          <w:rFonts w:ascii="Abadi" w:hAnsi="Abadi" w:cs="Arial"/>
          <w:sz w:val="21"/>
          <w:szCs w:val="21"/>
        </w:rPr>
        <w:t xml:space="preserve">considera improcedente la iniciativa </w:t>
      </w:r>
      <w:r w:rsidRPr="00840AAD">
        <w:rPr>
          <w:rFonts w:ascii="Abadi" w:hAnsi="Abadi"/>
          <w:sz w:val="21"/>
          <w:szCs w:val="21"/>
          <w:lang w:val="es-ES_tradnl"/>
        </w:rPr>
        <w:t xml:space="preserve">formulada por la diputada y el diputado integrantes del Grupo Parlamentario del Partido Verde Ecologista de México ante la Sexagésima Cuarta Legislatura a </w:t>
      </w:r>
      <w:r w:rsidRPr="00840AAD">
        <w:rPr>
          <w:rFonts w:ascii="Abadi" w:hAnsi="Abadi" w:cs="Arial"/>
          <w:sz w:val="21"/>
          <w:szCs w:val="21"/>
        </w:rPr>
        <w:t xml:space="preserve">efecto de </w:t>
      </w:r>
      <w:r w:rsidRPr="00840AAD">
        <w:rPr>
          <w:rFonts w:ascii="Abadi" w:hAnsi="Abadi"/>
          <w:sz w:val="21"/>
          <w:szCs w:val="21"/>
          <w:lang w:val="es-ES_tradnl"/>
        </w:rPr>
        <w:t>reformar y adicionar diversos artículos de la Ley para la Gestión Integral de Residuos del Estado y los Municipios de Guanajuato y de la Ley de Contrataciones Públicas para el Estado de Guanajuato, en la parte correspondiente a reformar la fracción IV del artículo 13 y las fracciones VIII y IX del artículo 22 y adicionar una fracción X al artículo 22 del segundo de los ordenamientos</w:t>
      </w:r>
      <w:r w:rsidRPr="00840AAD">
        <w:rPr>
          <w:rFonts w:ascii="Abadi" w:hAnsi="Abadi" w:cs="Arial"/>
          <w:sz w:val="21"/>
          <w:szCs w:val="21"/>
        </w:rPr>
        <w:t>. En consecuencia, se ordena su archivo definitivo.</w:t>
      </w:r>
    </w:p>
    <w:p w14:paraId="15446622" w14:textId="77777777" w:rsidR="00840AAD" w:rsidRPr="00840AAD" w:rsidRDefault="00840AAD" w:rsidP="00840AAD">
      <w:pPr>
        <w:ind w:firstLine="540"/>
        <w:jc w:val="both"/>
        <w:rPr>
          <w:rFonts w:ascii="Abadi" w:hAnsi="Abadi" w:cs="Arial"/>
          <w:sz w:val="21"/>
          <w:szCs w:val="21"/>
        </w:rPr>
      </w:pPr>
    </w:p>
    <w:p w14:paraId="7C0EF34D" w14:textId="77777777" w:rsidR="00840AAD" w:rsidRPr="00840AAD" w:rsidRDefault="00840AAD" w:rsidP="00840AAD">
      <w:pPr>
        <w:ind w:firstLine="540"/>
        <w:jc w:val="both"/>
        <w:rPr>
          <w:rFonts w:ascii="Abadi" w:hAnsi="Abadi" w:cs="Arial"/>
          <w:sz w:val="21"/>
          <w:szCs w:val="21"/>
        </w:rPr>
      </w:pPr>
      <w:r w:rsidRPr="00840AAD">
        <w:rPr>
          <w:rFonts w:ascii="Abadi" w:hAnsi="Abadi" w:cs="Arial"/>
          <w:sz w:val="21"/>
          <w:szCs w:val="21"/>
        </w:rPr>
        <w:t>Comuníquese el presente acuerdo a la Secretaría General del Congreso del Estado para los efectos conducentes.</w:t>
      </w:r>
    </w:p>
    <w:p w14:paraId="6498BFB7" w14:textId="77777777" w:rsidR="00840AAD" w:rsidRPr="00840AAD" w:rsidRDefault="00840AAD" w:rsidP="00840AAD">
      <w:pPr>
        <w:ind w:firstLine="540"/>
        <w:jc w:val="both"/>
        <w:rPr>
          <w:rFonts w:ascii="Abadi" w:hAnsi="Abadi"/>
          <w:sz w:val="21"/>
          <w:szCs w:val="21"/>
        </w:rPr>
      </w:pPr>
    </w:p>
    <w:p w14:paraId="52FFBB4D" w14:textId="77777777" w:rsidR="00840AAD" w:rsidRPr="00840AAD" w:rsidRDefault="00840AAD" w:rsidP="00840AAD">
      <w:pPr>
        <w:jc w:val="center"/>
        <w:rPr>
          <w:rFonts w:ascii="Abadi" w:hAnsi="Abadi" w:cs="Arial"/>
          <w:b/>
          <w:iCs/>
          <w:sz w:val="21"/>
          <w:szCs w:val="21"/>
          <w:lang w:val="es-MX"/>
        </w:rPr>
      </w:pPr>
      <w:r w:rsidRPr="00840AAD">
        <w:rPr>
          <w:rFonts w:ascii="Abadi" w:hAnsi="Abadi" w:cs="Arial"/>
          <w:b/>
          <w:iCs/>
          <w:sz w:val="21"/>
          <w:szCs w:val="21"/>
          <w:lang w:val="es-MX"/>
        </w:rPr>
        <w:t>Guanajuato, Gto., 20 de junio de 2022</w:t>
      </w:r>
    </w:p>
    <w:p w14:paraId="37C1616C" w14:textId="77777777" w:rsidR="00840AAD" w:rsidRPr="00840AAD" w:rsidRDefault="00840AAD" w:rsidP="00840AAD">
      <w:pPr>
        <w:jc w:val="center"/>
        <w:rPr>
          <w:rFonts w:ascii="Abadi" w:hAnsi="Abadi" w:cs="Arial"/>
          <w:b/>
          <w:iCs/>
          <w:sz w:val="21"/>
          <w:szCs w:val="21"/>
          <w:lang w:val="es-MX"/>
        </w:rPr>
      </w:pPr>
      <w:smartTag w:uri="urn:schemas-microsoft-com:office:smarttags" w:element="PersonName">
        <w:smartTagPr>
          <w:attr w:name="ProductID" w:val="La Comisi￳n"/>
        </w:smartTagPr>
        <w:r w:rsidRPr="00840AAD">
          <w:rPr>
            <w:rFonts w:ascii="Abadi" w:hAnsi="Abadi" w:cs="Arial"/>
            <w:b/>
            <w:iCs/>
            <w:sz w:val="21"/>
            <w:szCs w:val="21"/>
            <w:lang w:val="es-MX"/>
          </w:rPr>
          <w:t>La Comisión</w:t>
        </w:r>
      </w:smartTag>
      <w:r w:rsidRPr="00840AAD">
        <w:rPr>
          <w:rFonts w:ascii="Abadi" w:hAnsi="Abadi" w:cs="Arial"/>
          <w:b/>
          <w:iCs/>
          <w:sz w:val="21"/>
          <w:szCs w:val="21"/>
          <w:lang w:val="es-MX"/>
        </w:rPr>
        <w:t xml:space="preserve"> de Hacienda y Fiscalización</w:t>
      </w:r>
    </w:p>
    <w:p w14:paraId="18B6255B" w14:textId="77777777" w:rsidR="00A80FE9" w:rsidRDefault="00A80FE9" w:rsidP="00840AAD">
      <w:pPr>
        <w:jc w:val="center"/>
        <w:rPr>
          <w:rFonts w:ascii="Abadi" w:hAnsi="Abadi" w:cs="Arial"/>
          <w:bCs/>
          <w:i/>
          <w:sz w:val="21"/>
          <w:szCs w:val="21"/>
          <w:lang w:val="es-MX"/>
        </w:rPr>
      </w:pPr>
    </w:p>
    <w:p w14:paraId="2F94CADE" w14:textId="46DCC647" w:rsidR="00840AAD" w:rsidRPr="00840AAD" w:rsidRDefault="00840AAD" w:rsidP="00A80FE9">
      <w:pPr>
        <w:jc w:val="center"/>
        <w:rPr>
          <w:rFonts w:ascii="Abadi" w:hAnsi="Abadi" w:cs="Arial"/>
          <w:bCs/>
          <w:i/>
          <w:sz w:val="21"/>
          <w:szCs w:val="21"/>
          <w:lang w:val="es-MX"/>
        </w:rPr>
      </w:pPr>
      <w:r w:rsidRPr="00840AAD">
        <w:rPr>
          <w:rFonts w:ascii="Abadi" w:hAnsi="Abadi" w:cs="Arial"/>
          <w:bCs/>
          <w:i/>
          <w:sz w:val="21"/>
          <w:szCs w:val="21"/>
          <w:lang w:val="es-MX"/>
        </w:rPr>
        <w:t>Firma electrónica</w:t>
      </w:r>
    </w:p>
    <w:p w14:paraId="7A377133" w14:textId="77777777" w:rsidR="00840AAD" w:rsidRPr="00840AAD" w:rsidRDefault="00840AAD" w:rsidP="00A80FE9">
      <w:pPr>
        <w:jc w:val="center"/>
        <w:rPr>
          <w:rFonts w:ascii="Abadi" w:hAnsi="Abadi" w:cs="Arial"/>
          <w:b/>
          <w:iCs/>
          <w:sz w:val="21"/>
          <w:szCs w:val="21"/>
          <w:lang w:val="es-MX"/>
        </w:rPr>
      </w:pPr>
    </w:p>
    <w:p w14:paraId="3BFEA777" w14:textId="77777777" w:rsidR="00840AAD" w:rsidRPr="00840AAD" w:rsidRDefault="00840AAD" w:rsidP="00A80FE9">
      <w:pPr>
        <w:jc w:val="center"/>
        <w:rPr>
          <w:rFonts w:ascii="Abadi" w:hAnsi="Abadi" w:cs="Calibri"/>
          <w:b/>
          <w:bCs/>
          <w:sz w:val="21"/>
          <w:szCs w:val="21"/>
        </w:rPr>
      </w:pPr>
      <w:r w:rsidRPr="00840AAD">
        <w:rPr>
          <w:rFonts w:ascii="Abadi" w:hAnsi="Abadi" w:cs="Calibri"/>
          <w:b/>
          <w:bCs/>
          <w:sz w:val="21"/>
          <w:szCs w:val="21"/>
        </w:rPr>
        <w:t>Diputado Víctor Manuel Zanella Huerta</w:t>
      </w:r>
    </w:p>
    <w:p w14:paraId="37E13C6B" w14:textId="77777777" w:rsidR="00840AAD" w:rsidRPr="00840AAD" w:rsidRDefault="00840AAD" w:rsidP="00A80FE9">
      <w:pPr>
        <w:jc w:val="center"/>
        <w:rPr>
          <w:rFonts w:ascii="Abadi" w:hAnsi="Abadi" w:cs="Calibri"/>
          <w:b/>
          <w:bCs/>
          <w:sz w:val="21"/>
          <w:szCs w:val="21"/>
        </w:rPr>
      </w:pPr>
    </w:p>
    <w:p w14:paraId="34E9E6F0" w14:textId="1EAF6617" w:rsidR="00840AAD" w:rsidRDefault="00840AAD" w:rsidP="00A80FE9">
      <w:pPr>
        <w:ind w:right="-234"/>
        <w:jc w:val="center"/>
        <w:rPr>
          <w:rFonts w:ascii="Abadi" w:hAnsi="Abadi" w:cs="Calibri"/>
          <w:b/>
          <w:bCs/>
          <w:sz w:val="21"/>
          <w:szCs w:val="21"/>
        </w:rPr>
      </w:pPr>
      <w:r w:rsidRPr="00840AAD">
        <w:rPr>
          <w:rFonts w:ascii="Abadi" w:hAnsi="Abadi" w:cs="Calibri"/>
          <w:b/>
          <w:bCs/>
          <w:sz w:val="21"/>
          <w:szCs w:val="21"/>
        </w:rPr>
        <w:t>Diputada Ruth Noemí Tiscareño Agoitia</w:t>
      </w:r>
    </w:p>
    <w:p w14:paraId="51150F42" w14:textId="77777777" w:rsidR="00A80FE9" w:rsidRDefault="00A80FE9" w:rsidP="00A80FE9">
      <w:pPr>
        <w:ind w:right="-234"/>
        <w:jc w:val="center"/>
        <w:rPr>
          <w:rFonts w:ascii="Abadi" w:hAnsi="Abadi" w:cs="Calibri"/>
          <w:b/>
          <w:bCs/>
          <w:sz w:val="21"/>
          <w:szCs w:val="21"/>
        </w:rPr>
      </w:pPr>
    </w:p>
    <w:p w14:paraId="04F3042A" w14:textId="225C7C30" w:rsidR="00840AAD" w:rsidRPr="00840AAD" w:rsidRDefault="00840AAD" w:rsidP="00A80FE9">
      <w:pPr>
        <w:ind w:right="-234"/>
        <w:jc w:val="center"/>
        <w:rPr>
          <w:rFonts w:ascii="Abadi" w:hAnsi="Abadi" w:cs="Calibri"/>
          <w:b/>
          <w:bCs/>
          <w:sz w:val="21"/>
          <w:szCs w:val="21"/>
        </w:rPr>
      </w:pPr>
      <w:r w:rsidRPr="00840AAD">
        <w:rPr>
          <w:rFonts w:ascii="Abadi" w:hAnsi="Abadi" w:cs="Calibri"/>
          <w:b/>
          <w:bCs/>
          <w:sz w:val="21"/>
          <w:szCs w:val="21"/>
        </w:rPr>
        <w:t>Diputado Miguel Ángel Salim Alle</w:t>
      </w:r>
    </w:p>
    <w:p w14:paraId="79F36C96" w14:textId="77777777" w:rsidR="00840AAD" w:rsidRPr="00840AAD" w:rsidRDefault="00840AAD" w:rsidP="00A80FE9">
      <w:pPr>
        <w:jc w:val="center"/>
        <w:rPr>
          <w:rFonts w:ascii="Abadi" w:hAnsi="Abadi" w:cs="Calibri"/>
          <w:b/>
          <w:bCs/>
          <w:sz w:val="21"/>
          <w:szCs w:val="21"/>
        </w:rPr>
      </w:pPr>
    </w:p>
    <w:p w14:paraId="0A99B294" w14:textId="49EC4118" w:rsidR="00840AAD" w:rsidRPr="00840AAD" w:rsidRDefault="00840AAD" w:rsidP="00A80FE9">
      <w:pPr>
        <w:ind w:right="-234"/>
        <w:jc w:val="center"/>
        <w:rPr>
          <w:rFonts w:ascii="Abadi" w:hAnsi="Abadi" w:cs="Calibri"/>
          <w:b/>
          <w:bCs/>
          <w:sz w:val="21"/>
          <w:szCs w:val="21"/>
        </w:rPr>
      </w:pPr>
      <w:r w:rsidRPr="00840AAD">
        <w:rPr>
          <w:rFonts w:ascii="Abadi" w:hAnsi="Abadi" w:cs="Calibri"/>
          <w:b/>
          <w:bCs/>
          <w:sz w:val="21"/>
          <w:szCs w:val="21"/>
        </w:rPr>
        <w:t>Diputado José Alfonso Borja Pimentel</w:t>
      </w:r>
    </w:p>
    <w:p w14:paraId="45648373" w14:textId="77777777" w:rsidR="00840AAD" w:rsidRPr="00840AAD" w:rsidRDefault="00840AAD" w:rsidP="00A80FE9">
      <w:pPr>
        <w:ind w:right="-234"/>
        <w:jc w:val="center"/>
        <w:rPr>
          <w:rFonts w:ascii="Abadi" w:hAnsi="Abadi" w:cs="Calibri"/>
          <w:b/>
          <w:bCs/>
          <w:sz w:val="21"/>
          <w:szCs w:val="21"/>
        </w:rPr>
      </w:pPr>
    </w:p>
    <w:p w14:paraId="3C13A8A5" w14:textId="77777777" w:rsidR="00840AAD" w:rsidRPr="00840AAD" w:rsidRDefault="00840AAD" w:rsidP="00A80FE9">
      <w:pPr>
        <w:ind w:right="-234"/>
        <w:jc w:val="center"/>
        <w:rPr>
          <w:rFonts w:ascii="Abadi" w:hAnsi="Abadi" w:cs="Calibri"/>
          <w:b/>
          <w:bCs/>
          <w:sz w:val="21"/>
          <w:szCs w:val="21"/>
        </w:rPr>
      </w:pPr>
      <w:r w:rsidRPr="00840AAD">
        <w:rPr>
          <w:rFonts w:ascii="Abadi" w:hAnsi="Abadi" w:cs="Calibri"/>
          <w:b/>
          <w:bCs/>
          <w:sz w:val="21"/>
          <w:szCs w:val="21"/>
        </w:rPr>
        <w:t>Diputada Alma Edwviges Alcaraz Hernández</w:t>
      </w:r>
    </w:p>
    <w:p w14:paraId="5939A1EC" w14:textId="078A0D2A" w:rsidR="00840AAD" w:rsidRPr="00840AAD" w:rsidRDefault="00840AAD" w:rsidP="00A80FE9">
      <w:pPr>
        <w:ind w:right="-234"/>
        <w:jc w:val="center"/>
        <w:rPr>
          <w:rFonts w:ascii="Abadi" w:hAnsi="Abadi" w:cs="Calibri"/>
          <w:i/>
          <w:iCs/>
          <w:sz w:val="21"/>
          <w:szCs w:val="21"/>
        </w:rPr>
      </w:pPr>
      <w:r w:rsidRPr="00840AAD">
        <w:rPr>
          <w:rFonts w:ascii="Abadi" w:hAnsi="Abadi" w:cs="Calibri"/>
          <w:i/>
          <w:iCs/>
          <w:sz w:val="21"/>
          <w:szCs w:val="21"/>
        </w:rPr>
        <w:t>Voto en contra</w:t>
      </w:r>
    </w:p>
    <w:p w14:paraId="5042EDEC" w14:textId="6C7B4E25" w:rsidR="00EF5F19" w:rsidRDefault="00EF5F19" w:rsidP="00A80FE9">
      <w:pPr>
        <w:tabs>
          <w:tab w:val="left" w:pos="856"/>
        </w:tabs>
        <w:kinsoku w:val="0"/>
        <w:overflowPunct w:val="0"/>
        <w:autoSpaceDE w:val="0"/>
        <w:autoSpaceDN w:val="0"/>
        <w:adjustRightInd w:val="0"/>
        <w:ind w:right="17"/>
        <w:jc w:val="both"/>
        <w:rPr>
          <w:rFonts w:ascii="Abadi" w:hAnsi="Abadi" w:cs="Arial"/>
          <w:b/>
          <w:bCs/>
          <w:sz w:val="21"/>
          <w:szCs w:val="21"/>
        </w:rPr>
      </w:pPr>
    </w:p>
    <w:p w14:paraId="5171DA73" w14:textId="77777777" w:rsidR="00A80FE9" w:rsidRPr="00EF5F19" w:rsidRDefault="00A80FE9" w:rsidP="00A80FE9">
      <w:pPr>
        <w:tabs>
          <w:tab w:val="left" w:pos="856"/>
        </w:tabs>
        <w:kinsoku w:val="0"/>
        <w:overflowPunct w:val="0"/>
        <w:autoSpaceDE w:val="0"/>
        <w:autoSpaceDN w:val="0"/>
        <w:adjustRightInd w:val="0"/>
        <w:ind w:right="17"/>
        <w:jc w:val="both"/>
        <w:rPr>
          <w:rFonts w:ascii="Abadi" w:hAnsi="Abadi"/>
          <w:sz w:val="20"/>
          <w:szCs w:val="20"/>
        </w:rPr>
      </w:pPr>
    </w:p>
    <w:p w14:paraId="57727C48" w14:textId="55475143" w:rsidR="004574A0" w:rsidRDefault="004574A0" w:rsidP="005433FA">
      <w:pPr>
        <w:pStyle w:val="Prrafodelista"/>
        <w:numPr>
          <w:ilvl w:val="0"/>
          <w:numId w:val="9"/>
        </w:numPr>
        <w:tabs>
          <w:tab w:val="left" w:pos="856"/>
        </w:tabs>
        <w:kinsoku w:val="0"/>
        <w:overflowPunct w:val="0"/>
        <w:autoSpaceDE w:val="0"/>
        <w:autoSpaceDN w:val="0"/>
        <w:adjustRightInd w:val="0"/>
        <w:spacing w:before="22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9"/>
          <w:sz w:val="20"/>
          <w:szCs w:val="20"/>
        </w:rPr>
        <w:t xml:space="preserve"> </w:t>
      </w:r>
      <w:r w:rsidRPr="00531B12">
        <w:rPr>
          <w:rFonts w:ascii="Abadi" w:hAnsi="Abadi"/>
          <w:b/>
          <w:bCs/>
          <w:sz w:val="20"/>
          <w:szCs w:val="20"/>
        </w:rPr>
        <w:t>Y,</w:t>
      </w:r>
      <w:r w:rsidRPr="00531B12">
        <w:rPr>
          <w:rFonts w:ascii="Abadi" w:hAnsi="Abadi"/>
          <w:b/>
          <w:bCs/>
          <w:spacing w:val="9"/>
          <w:sz w:val="20"/>
          <w:szCs w:val="20"/>
        </w:rPr>
        <w:t xml:space="preserve"> </w:t>
      </w:r>
      <w:r w:rsidRPr="00531B12">
        <w:rPr>
          <w:rFonts w:ascii="Abadi" w:hAnsi="Abadi"/>
          <w:b/>
          <w:bCs/>
          <w:sz w:val="20"/>
          <w:szCs w:val="20"/>
        </w:rPr>
        <w:t>EN</w:t>
      </w:r>
      <w:r w:rsidRPr="00531B12">
        <w:rPr>
          <w:rFonts w:ascii="Abadi" w:hAnsi="Abadi"/>
          <w:b/>
          <w:bCs/>
          <w:spacing w:val="9"/>
          <w:sz w:val="20"/>
          <w:szCs w:val="20"/>
        </w:rPr>
        <w:t xml:space="preserve"> </w:t>
      </w:r>
      <w:r w:rsidRPr="00531B12">
        <w:rPr>
          <w:rFonts w:ascii="Abadi" w:hAnsi="Abadi"/>
          <w:b/>
          <w:bCs/>
          <w:sz w:val="20"/>
          <w:szCs w:val="20"/>
        </w:rPr>
        <w:t>SU</w:t>
      </w:r>
      <w:r w:rsidRPr="00531B12">
        <w:rPr>
          <w:rFonts w:ascii="Abadi" w:hAnsi="Abadi"/>
          <w:b/>
          <w:bCs/>
          <w:spacing w:val="9"/>
          <w:sz w:val="20"/>
          <w:szCs w:val="20"/>
        </w:rPr>
        <w:t xml:space="preserve"> </w:t>
      </w:r>
      <w:r w:rsidRPr="00531B12">
        <w:rPr>
          <w:rFonts w:ascii="Abadi" w:hAnsi="Abadi"/>
          <w:b/>
          <w:bCs/>
          <w:sz w:val="20"/>
          <w:szCs w:val="20"/>
        </w:rPr>
        <w:t>CASO,</w:t>
      </w:r>
      <w:r w:rsidRPr="00531B12">
        <w:rPr>
          <w:rFonts w:ascii="Abadi" w:hAnsi="Abadi"/>
          <w:b/>
          <w:bCs/>
          <w:spacing w:val="9"/>
          <w:sz w:val="20"/>
          <w:szCs w:val="20"/>
        </w:rPr>
        <w:t xml:space="preserve"> </w:t>
      </w:r>
      <w:r w:rsidRPr="00531B12">
        <w:rPr>
          <w:rFonts w:ascii="Abadi" w:hAnsi="Abadi"/>
          <w:b/>
          <w:bCs/>
          <w:sz w:val="20"/>
          <w:szCs w:val="20"/>
        </w:rPr>
        <w:t>APROBACIÓN</w:t>
      </w:r>
      <w:r w:rsidRPr="00531B12">
        <w:rPr>
          <w:rFonts w:ascii="Abadi" w:hAnsi="Abadi"/>
          <w:b/>
          <w:bCs/>
          <w:spacing w:val="9"/>
          <w:sz w:val="20"/>
          <w:szCs w:val="20"/>
        </w:rPr>
        <w:t xml:space="preserve"> </w:t>
      </w:r>
      <w:r w:rsidRPr="00531B12">
        <w:rPr>
          <w:rFonts w:ascii="Abadi" w:hAnsi="Abadi"/>
          <w:b/>
          <w:bCs/>
          <w:sz w:val="20"/>
          <w:szCs w:val="20"/>
        </w:rPr>
        <w:t>DEL</w:t>
      </w:r>
      <w:r w:rsidRPr="00531B12">
        <w:rPr>
          <w:rFonts w:ascii="Abadi" w:hAnsi="Abadi"/>
          <w:b/>
          <w:bCs/>
          <w:spacing w:val="9"/>
          <w:sz w:val="20"/>
          <w:szCs w:val="20"/>
        </w:rPr>
        <w:t xml:space="preserve"> </w:t>
      </w:r>
      <w:r w:rsidRPr="00531B12">
        <w:rPr>
          <w:rFonts w:ascii="Abadi" w:hAnsi="Abadi"/>
          <w:b/>
          <w:bCs/>
          <w:sz w:val="20"/>
          <w:szCs w:val="20"/>
        </w:rPr>
        <w:t>DICTAMEN</w:t>
      </w:r>
      <w:r w:rsidRPr="00531B12">
        <w:rPr>
          <w:rFonts w:ascii="Abadi" w:hAnsi="Abadi"/>
          <w:b/>
          <w:bCs/>
          <w:spacing w:val="9"/>
          <w:sz w:val="20"/>
          <w:szCs w:val="20"/>
        </w:rPr>
        <w:t xml:space="preserve"> </w:t>
      </w:r>
      <w:r w:rsidRPr="00531B12">
        <w:rPr>
          <w:rFonts w:ascii="Abadi" w:hAnsi="Abadi"/>
          <w:b/>
          <w:bCs/>
          <w:sz w:val="20"/>
          <w:szCs w:val="20"/>
        </w:rPr>
        <w:t>SIGNADO</w:t>
      </w:r>
      <w:r w:rsidRPr="00531B12">
        <w:rPr>
          <w:rFonts w:ascii="Abadi" w:hAnsi="Abadi"/>
          <w:b/>
          <w:bCs/>
          <w:spacing w:val="9"/>
          <w:sz w:val="20"/>
          <w:szCs w:val="20"/>
        </w:rPr>
        <w:t xml:space="preserve"> </w:t>
      </w:r>
      <w:r w:rsidRPr="00531B12">
        <w:rPr>
          <w:rFonts w:ascii="Abadi" w:hAnsi="Abadi"/>
          <w:b/>
          <w:bCs/>
          <w:sz w:val="20"/>
          <w:szCs w:val="20"/>
        </w:rPr>
        <w:t>POR</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9"/>
          <w:sz w:val="20"/>
          <w:szCs w:val="20"/>
        </w:rPr>
        <w:t xml:space="preserve"> </w:t>
      </w:r>
      <w:r w:rsidRPr="00531B12">
        <w:rPr>
          <w:rFonts w:ascii="Abadi" w:hAnsi="Abadi"/>
          <w:b/>
          <w:bCs/>
          <w:sz w:val="20"/>
          <w:szCs w:val="20"/>
        </w:rPr>
        <w:t>COMISIÓN</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HACIENDA</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0"/>
          <w:sz w:val="20"/>
          <w:szCs w:val="20"/>
        </w:rPr>
        <w:t xml:space="preserve"> </w:t>
      </w:r>
      <w:r w:rsidRPr="00531B12">
        <w:rPr>
          <w:rFonts w:ascii="Abadi" w:hAnsi="Abadi"/>
          <w:b/>
          <w:bCs/>
          <w:sz w:val="20"/>
          <w:szCs w:val="20"/>
        </w:rPr>
        <w:t>FISCALIZACIÓN</w:t>
      </w:r>
      <w:r w:rsidRPr="00531B12">
        <w:rPr>
          <w:rFonts w:ascii="Abadi" w:hAnsi="Abadi"/>
          <w:b/>
          <w:bCs/>
          <w:spacing w:val="10"/>
          <w:sz w:val="20"/>
          <w:szCs w:val="20"/>
        </w:rPr>
        <w:t xml:space="preserve"> </w:t>
      </w:r>
      <w:r w:rsidRPr="00531B12">
        <w:rPr>
          <w:rFonts w:ascii="Abadi" w:hAnsi="Abadi"/>
          <w:b/>
          <w:bCs/>
          <w:sz w:val="20"/>
          <w:szCs w:val="20"/>
        </w:rPr>
        <w:t>RELATIVO</w:t>
      </w:r>
      <w:r w:rsidRPr="00531B12">
        <w:rPr>
          <w:rFonts w:ascii="Abadi" w:hAnsi="Abadi"/>
          <w:b/>
          <w:bCs/>
          <w:spacing w:val="10"/>
          <w:sz w:val="20"/>
          <w:szCs w:val="20"/>
        </w:rPr>
        <w:t xml:space="preserve"> </w:t>
      </w:r>
      <w:r w:rsidRPr="00531B12">
        <w:rPr>
          <w:rFonts w:ascii="Abadi" w:hAnsi="Abadi"/>
          <w:b/>
          <w:bCs/>
          <w:sz w:val="20"/>
          <w:szCs w:val="20"/>
        </w:rPr>
        <w:t>A</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INICIATIVA</w:t>
      </w:r>
      <w:r w:rsidRPr="00531B12">
        <w:rPr>
          <w:rFonts w:ascii="Abadi" w:hAnsi="Abadi"/>
          <w:b/>
          <w:bCs/>
          <w:spacing w:val="10"/>
          <w:sz w:val="20"/>
          <w:szCs w:val="20"/>
        </w:rPr>
        <w:t xml:space="preserve"> </w:t>
      </w:r>
      <w:r w:rsidRPr="00531B12">
        <w:rPr>
          <w:rFonts w:ascii="Abadi" w:hAnsi="Abadi"/>
          <w:b/>
          <w:bCs/>
          <w:sz w:val="20"/>
          <w:szCs w:val="20"/>
        </w:rPr>
        <w:t>FORMULADA</w:t>
      </w:r>
      <w:r w:rsidRPr="00531B12">
        <w:rPr>
          <w:rFonts w:ascii="Abadi" w:hAnsi="Abadi"/>
          <w:b/>
          <w:bCs/>
          <w:spacing w:val="10"/>
          <w:sz w:val="20"/>
          <w:szCs w:val="20"/>
        </w:rPr>
        <w:t xml:space="preserve"> </w:t>
      </w:r>
      <w:r w:rsidRPr="00531B12">
        <w:rPr>
          <w:rFonts w:ascii="Abadi" w:hAnsi="Abadi"/>
          <w:b/>
          <w:bCs/>
          <w:sz w:val="20"/>
          <w:szCs w:val="20"/>
        </w:rPr>
        <w:t>POR</w:t>
      </w:r>
      <w:r w:rsidRPr="00531B12">
        <w:rPr>
          <w:rFonts w:ascii="Abadi" w:hAnsi="Abadi"/>
          <w:b/>
          <w:bCs/>
          <w:spacing w:val="10"/>
          <w:sz w:val="20"/>
          <w:szCs w:val="20"/>
        </w:rPr>
        <w:t xml:space="preserve"> </w:t>
      </w:r>
      <w:r w:rsidRPr="00531B12">
        <w:rPr>
          <w:rFonts w:ascii="Abadi" w:hAnsi="Abadi"/>
          <w:b/>
          <w:bCs/>
          <w:sz w:val="20"/>
          <w:szCs w:val="20"/>
        </w:rPr>
        <w:t>DIPUTADAS</w:t>
      </w:r>
      <w:r w:rsidRPr="00531B12">
        <w:rPr>
          <w:rFonts w:ascii="Abadi" w:hAnsi="Abadi"/>
          <w:b/>
          <w:bCs/>
          <w:spacing w:val="-1"/>
          <w:sz w:val="20"/>
          <w:szCs w:val="20"/>
        </w:rPr>
        <w:t xml:space="preserve"> </w:t>
      </w:r>
      <w:r w:rsidRPr="00531B12">
        <w:rPr>
          <w:rFonts w:ascii="Abadi" w:hAnsi="Abadi"/>
          <w:b/>
          <w:bCs/>
          <w:sz w:val="20"/>
          <w:szCs w:val="20"/>
        </w:rPr>
        <w:t>Y</w:t>
      </w:r>
      <w:r w:rsidRPr="00531B12">
        <w:rPr>
          <w:rFonts w:ascii="Abadi" w:hAnsi="Abadi"/>
          <w:b/>
          <w:bCs/>
          <w:spacing w:val="36"/>
          <w:sz w:val="20"/>
          <w:szCs w:val="20"/>
        </w:rPr>
        <w:t xml:space="preserve"> </w:t>
      </w:r>
      <w:r w:rsidRPr="00531B12">
        <w:rPr>
          <w:rFonts w:ascii="Abadi" w:hAnsi="Abadi"/>
          <w:b/>
          <w:bCs/>
          <w:sz w:val="20"/>
          <w:szCs w:val="20"/>
        </w:rPr>
        <w:t>DIPUTADOS</w:t>
      </w:r>
      <w:r w:rsidRPr="00531B12">
        <w:rPr>
          <w:rFonts w:ascii="Abadi" w:hAnsi="Abadi"/>
          <w:b/>
          <w:bCs/>
          <w:spacing w:val="36"/>
          <w:sz w:val="20"/>
          <w:szCs w:val="20"/>
        </w:rPr>
        <w:t xml:space="preserve"> </w:t>
      </w:r>
      <w:r w:rsidRPr="00531B12">
        <w:rPr>
          <w:rFonts w:ascii="Abadi" w:hAnsi="Abadi"/>
          <w:b/>
          <w:bCs/>
          <w:sz w:val="20"/>
          <w:szCs w:val="20"/>
        </w:rPr>
        <w:t>INTEGRANTES</w:t>
      </w:r>
      <w:r w:rsidRPr="00531B12">
        <w:rPr>
          <w:rFonts w:ascii="Abadi" w:hAnsi="Abadi"/>
          <w:b/>
          <w:bCs/>
          <w:spacing w:val="37"/>
          <w:sz w:val="20"/>
          <w:szCs w:val="20"/>
        </w:rPr>
        <w:t xml:space="preserve"> </w:t>
      </w:r>
      <w:r w:rsidRPr="00531B12">
        <w:rPr>
          <w:rFonts w:ascii="Abadi" w:hAnsi="Abadi"/>
          <w:b/>
          <w:bCs/>
          <w:sz w:val="20"/>
          <w:szCs w:val="20"/>
        </w:rPr>
        <w:t>DEL</w:t>
      </w:r>
      <w:r w:rsidRPr="00531B12">
        <w:rPr>
          <w:rFonts w:ascii="Abadi" w:hAnsi="Abadi"/>
          <w:b/>
          <w:bCs/>
          <w:spacing w:val="38"/>
          <w:sz w:val="20"/>
          <w:szCs w:val="20"/>
        </w:rPr>
        <w:t xml:space="preserve"> </w:t>
      </w:r>
      <w:r w:rsidRPr="00531B12">
        <w:rPr>
          <w:rFonts w:ascii="Abadi" w:hAnsi="Abadi"/>
          <w:b/>
          <w:bCs/>
          <w:sz w:val="20"/>
          <w:szCs w:val="20"/>
        </w:rPr>
        <w:t>GRUPO</w:t>
      </w:r>
      <w:r w:rsidRPr="00531B12">
        <w:rPr>
          <w:rFonts w:ascii="Abadi" w:hAnsi="Abadi"/>
          <w:b/>
          <w:bCs/>
          <w:spacing w:val="37"/>
          <w:sz w:val="20"/>
          <w:szCs w:val="20"/>
        </w:rPr>
        <w:t xml:space="preserve"> </w:t>
      </w:r>
      <w:r w:rsidRPr="00531B12">
        <w:rPr>
          <w:rFonts w:ascii="Abadi" w:hAnsi="Abadi"/>
          <w:b/>
          <w:bCs/>
          <w:sz w:val="20"/>
          <w:szCs w:val="20"/>
        </w:rPr>
        <w:t>PARLAMENTARIO</w:t>
      </w:r>
      <w:r w:rsidRPr="00531B12">
        <w:rPr>
          <w:rFonts w:ascii="Abadi" w:hAnsi="Abadi"/>
          <w:b/>
          <w:bCs/>
          <w:spacing w:val="37"/>
          <w:sz w:val="20"/>
          <w:szCs w:val="20"/>
        </w:rPr>
        <w:t xml:space="preserve"> </w:t>
      </w:r>
      <w:r w:rsidRPr="00531B12">
        <w:rPr>
          <w:rFonts w:ascii="Abadi" w:hAnsi="Abadi"/>
          <w:b/>
          <w:bCs/>
          <w:sz w:val="20"/>
          <w:szCs w:val="20"/>
        </w:rPr>
        <w:t>DEL</w:t>
      </w:r>
      <w:r w:rsidRPr="00531B12">
        <w:rPr>
          <w:rFonts w:ascii="Abadi" w:hAnsi="Abadi"/>
          <w:b/>
          <w:bCs/>
          <w:spacing w:val="36"/>
          <w:sz w:val="20"/>
          <w:szCs w:val="20"/>
        </w:rPr>
        <w:t xml:space="preserve"> </w:t>
      </w:r>
      <w:r w:rsidRPr="00531B12">
        <w:rPr>
          <w:rFonts w:ascii="Abadi" w:hAnsi="Abadi"/>
          <w:b/>
          <w:bCs/>
          <w:sz w:val="20"/>
          <w:szCs w:val="20"/>
        </w:rPr>
        <w:t>PARTIDO</w:t>
      </w:r>
      <w:r w:rsidRPr="00531B12">
        <w:rPr>
          <w:rFonts w:ascii="Abadi" w:hAnsi="Abadi"/>
          <w:b/>
          <w:bCs/>
          <w:spacing w:val="37"/>
          <w:sz w:val="20"/>
          <w:szCs w:val="20"/>
        </w:rPr>
        <w:t xml:space="preserve"> </w:t>
      </w:r>
      <w:r w:rsidRPr="00531B12">
        <w:rPr>
          <w:rFonts w:ascii="Abadi" w:hAnsi="Abadi"/>
          <w:b/>
          <w:bCs/>
          <w:sz w:val="20"/>
          <w:szCs w:val="20"/>
        </w:rPr>
        <w:t>MORENA</w:t>
      </w:r>
      <w:r w:rsidRPr="00531B12">
        <w:rPr>
          <w:rFonts w:ascii="Abadi" w:hAnsi="Abadi"/>
          <w:b/>
          <w:bCs/>
          <w:spacing w:val="37"/>
          <w:sz w:val="20"/>
          <w:szCs w:val="20"/>
        </w:rPr>
        <w:t xml:space="preserve"> </w:t>
      </w:r>
      <w:r w:rsidRPr="00531B12">
        <w:rPr>
          <w:rFonts w:ascii="Abadi" w:hAnsi="Abadi"/>
          <w:b/>
          <w:bCs/>
          <w:sz w:val="20"/>
          <w:szCs w:val="20"/>
        </w:rPr>
        <w:t>A</w:t>
      </w:r>
      <w:r w:rsidRPr="00531B12">
        <w:rPr>
          <w:rFonts w:ascii="Abadi" w:hAnsi="Abadi"/>
          <w:b/>
          <w:bCs/>
          <w:spacing w:val="-1"/>
          <w:sz w:val="20"/>
          <w:szCs w:val="20"/>
        </w:rPr>
        <w:t xml:space="preserve"> </w:t>
      </w:r>
      <w:r w:rsidRPr="00531B12">
        <w:rPr>
          <w:rFonts w:ascii="Abadi" w:hAnsi="Abadi"/>
          <w:b/>
          <w:bCs/>
          <w:sz w:val="20"/>
          <w:szCs w:val="20"/>
        </w:rPr>
        <w:t>EFECTO</w:t>
      </w:r>
      <w:r w:rsidRPr="00531B12">
        <w:rPr>
          <w:rFonts w:ascii="Abadi" w:hAnsi="Abadi"/>
          <w:b/>
          <w:bCs/>
          <w:spacing w:val="31"/>
          <w:sz w:val="20"/>
          <w:szCs w:val="20"/>
        </w:rPr>
        <w:t xml:space="preserve"> </w:t>
      </w:r>
      <w:r w:rsidRPr="00531B12">
        <w:rPr>
          <w:rFonts w:ascii="Abadi" w:hAnsi="Abadi"/>
          <w:b/>
          <w:bCs/>
          <w:sz w:val="20"/>
          <w:szCs w:val="20"/>
        </w:rPr>
        <w:t>DE</w:t>
      </w:r>
      <w:r w:rsidRPr="00531B12">
        <w:rPr>
          <w:rFonts w:ascii="Abadi" w:hAnsi="Abadi"/>
          <w:b/>
          <w:bCs/>
          <w:spacing w:val="31"/>
          <w:sz w:val="20"/>
          <w:szCs w:val="20"/>
        </w:rPr>
        <w:t xml:space="preserve"> </w:t>
      </w:r>
      <w:r w:rsidRPr="00531B12">
        <w:rPr>
          <w:rFonts w:ascii="Abadi" w:hAnsi="Abadi"/>
          <w:b/>
          <w:bCs/>
          <w:sz w:val="20"/>
          <w:szCs w:val="20"/>
        </w:rPr>
        <w:t>REFORMAR</w:t>
      </w:r>
      <w:r w:rsidRPr="00531B12">
        <w:rPr>
          <w:rFonts w:ascii="Abadi" w:hAnsi="Abadi"/>
          <w:b/>
          <w:bCs/>
          <w:spacing w:val="31"/>
          <w:sz w:val="20"/>
          <w:szCs w:val="20"/>
        </w:rPr>
        <w:t xml:space="preserve"> </w:t>
      </w:r>
      <w:r w:rsidRPr="00531B12">
        <w:rPr>
          <w:rFonts w:ascii="Abadi" w:hAnsi="Abadi"/>
          <w:b/>
          <w:bCs/>
          <w:sz w:val="20"/>
          <w:szCs w:val="20"/>
        </w:rPr>
        <w:t>EL</w:t>
      </w:r>
      <w:r w:rsidRPr="00531B12">
        <w:rPr>
          <w:rFonts w:ascii="Abadi" w:hAnsi="Abadi"/>
          <w:b/>
          <w:bCs/>
          <w:spacing w:val="31"/>
          <w:sz w:val="20"/>
          <w:szCs w:val="20"/>
        </w:rPr>
        <w:t xml:space="preserve"> </w:t>
      </w:r>
      <w:r w:rsidRPr="00531B12">
        <w:rPr>
          <w:rFonts w:ascii="Abadi" w:hAnsi="Abadi"/>
          <w:b/>
          <w:bCs/>
          <w:sz w:val="20"/>
          <w:szCs w:val="20"/>
        </w:rPr>
        <w:t>PRIMER</w:t>
      </w:r>
      <w:r w:rsidRPr="00531B12">
        <w:rPr>
          <w:rFonts w:ascii="Abadi" w:hAnsi="Abadi"/>
          <w:b/>
          <w:bCs/>
          <w:spacing w:val="31"/>
          <w:sz w:val="20"/>
          <w:szCs w:val="20"/>
        </w:rPr>
        <w:t xml:space="preserve"> </w:t>
      </w:r>
      <w:r w:rsidRPr="00531B12">
        <w:rPr>
          <w:rFonts w:ascii="Abadi" w:hAnsi="Abadi"/>
          <w:b/>
          <w:bCs/>
          <w:sz w:val="20"/>
          <w:szCs w:val="20"/>
        </w:rPr>
        <w:t>PÁRRAFO</w:t>
      </w:r>
      <w:r w:rsidRPr="00531B12">
        <w:rPr>
          <w:rFonts w:ascii="Abadi" w:hAnsi="Abadi"/>
          <w:b/>
          <w:bCs/>
          <w:spacing w:val="31"/>
          <w:sz w:val="20"/>
          <w:szCs w:val="20"/>
        </w:rPr>
        <w:t xml:space="preserve"> </w:t>
      </w:r>
      <w:r w:rsidRPr="00531B12">
        <w:rPr>
          <w:rFonts w:ascii="Abadi" w:hAnsi="Abadi"/>
          <w:b/>
          <w:bCs/>
          <w:sz w:val="20"/>
          <w:szCs w:val="20"/>
        </w:rPr>
        <w:t>DEL</w:t>
      </w:r>
      <w:r w:rsidRPr="00531B12">
        <w:rPr>
          <w:rFonts w:ascii="Abadi" w:hAnsi="Abadi"/>
          <w:b/>
          <w:bCs/>
          <w:spacing w:val="31"/>
          <w:sz w:val="20"/>
          <w:szCs w:val="20"/>
        </w:rPr>
        <w:t xml:space="preserve"> </w:t>
      </w:r>
      <w:r w:rsidRPr="00531B12">
        <w:rPr>
          <w:rFonts w:ascii="Abadi" w:hAnsi="Abadi"/>
          <w:b/>
          <w:bCs/>
          <w:sz w:val="20"/>
          <w:szCs w:val="20"/>
        </w:rPr>
        <w:t>ARTÍCULO</w:t>
      </w:r>
      <w:r w:rsidRPr="00531B12">
        <w:rPr>
          <w:rFonts w:ascii="Abadi" w:hAnsi="Abadi"/>
          <w:b/>
          <w:bCs/>
          <w:spacing w:val="31"/>
          <w:sz w:val="20"/>
          <w:szCs w:val="20"/>
        </w:rPr>
        <w:t xml:space="preserve"> </w:t>
      </w:r>
      <w:r w:rsidRPr="00531B12">
        <w:rPr>
          <w:rFonts w:ascii="Abadi" w:hAnsi="Abadi"/>
          <w:b/>
          <w:bCs/>
          <w:sz w:val="20"/>
          <w:szCs w:val="20"/>
        </w:rPr>
        <w:t>62</w:t>
      </w:r>
      <w:r w:rsidRPr="00531B12">
        <w:rPr>
          <w:rFonts w:ascii="Abadi" w:hAnsi="Abadi"/>
          <w:b/>
          <w:bCs/>
          <w:spacing w:val="31"/>
          <w:sz w:val="20"/>
          <w:szCs w:val="20"/>
        </w:rPr>
        <w:t xml:space="preserve"> </w:t>
      </w:r>
      <w:r w:rsidRPr="00531B12">
        <w:rPr>
          <w:rFonts w:ascii="Abadi" w:hAnsi="Abadi"/>
          <w:b/>
          <w:bCs/>
          <w:sz w:val="20"/>
          <w:szCs w:val="20"/>
        </w:rPr>
        <w:t>Y</w:t>
      </w:r>
      <w:r w:rsidRPr="00531B12">
        <w:rPr>
          <w:rFonts w:ascii="Abadi" w:hAnsi="Abadi"/>
          <w:b/>
          <w:bCs/>
          <w:spacing w:val="31"/>
          <w:sz w:val="20"/>
          <w:szCs w:val="20"/>
        </w:rPr>
        <w:t xml:space="preserve"> </w:t>
      </w:r>
      <w:r w:rsidRPr="00531B12">
        <w:rPr>
          <w:rFonts w:ascii="Abadi" w:hAnsi="Abadi"/>
          <w:b/>
          <w:bCs/>
          <w:sz w:val="20"/>
          <w:szCs w:val="20"/>
        </w:rPr>
        <w:t>ADICIONAR</w:t>
      </w:r>
      <w:r w:rsidRPr="00531B12">
        <w:rPr>
          <w:rFonts w:ascii="Abadi" w:hAnsi="Abadi"/>
          <w:b/>
          <w:bCs/>
          <w:spacing w:val="31"/>
          <w:sz w:val="20"/>
          <w:szCs w:val="20"/>
        </w:rPr>
        <w:t xml:space="preserve"> </w:t>
      </w:r>
      <w:r w:rsidRPr="00531B12">
        <w:rPr>
          <w:rFonts w:ascii="Abadi" w:hAnsi="Abadi"/>
          <w:b/>
          <w:bCs/>
          <w:sz w:val="20"/>
          <w:szCs w:val="20"/>
        </w:rPr>
        <w:t>UN</w:t>
      </w:r>
      <w:r w:rsidRPr="00531B12">
        <w:rPr>
          <w:rFonts w:ascii="Abadi" w:hAnsi="Abadi"/>
          <w:b/>
          <w:bCs/>
          <w:spacing w:val="31"/>
          <w:sz w:val="20"/>
          <w:szCs w:val="20"/>
        </w:rPr>
        <w:t xml:space="preserve"> </w:t>
      </w:r>
      <w:r w:rsidRPr="00531B12">
        <w:rPr>
          <w:rFonts w:ascii="Abadi" w:hAnsi="Abadi"/>
          <w:b/>
          <w:bCs/>
          <w:sz w:val="20"/>
          <w:szCs w:val="20"/>
        </w:rPr>
        <w:t>CUARTO</w:t>
      </w:r>
      <w:r w:rsidRPr="00531B12">
        <w:rPr>
          <w:rFonts w:ascii="Abadi" w:hAnsi="Abadi"/>
          <w:b/>
          <w:bCs/>
          <w:spacing w:val="-1"/>
          <w:sz w:val="20"/>
          <w:szCs w:val="20"/>
        </w:rPr>
        <w:t xml:space="preserve"> </w:t>
      </w:r>
      <w:r w:rsidRPr="00531B12">
        <w:rPr>
          <w:rFonts w:ascii="Abadi" w:hAnsi="Abadi"/>
          <w:b/>
          <w:bCs/>
          <w:sz w:val="20"/>
          <w:szCs w:val="20"/>
        </w:rPr>
        <w:t>PÁRRAFO</w:t>
      </w:r>
      <w:r w:rsidRPr="00531B12">
        <w:rPr>
          <w:rFonts w:ascii="Abadi" w:hAnsi="Abadi"/>
          <w:b/>
          <w:bCs/>
          <w:spacing w:val="50"/>
          <w:sz w:val="20"/>
          <w:szCs w:val="20"/>
        </w:rPr>
        <w:t xml:space="preserve"> </w:t>
      </w:r>
      <w:r w:rsidRPr="00531B12">
        <w:rPr>
          <w:rFonts w:ascii="Abadi" w:hAnsi="Abadi"/>
          <w:b/>
          <w:bCs/>
          <w:sz w:val="20"/>
          <w:szCs w:val="20"/>
        </w:rPr>
        <w:t>AL</w:t>
      </w:r>
      <w:r w:rsidRPr="00531B12">
        <w:rPr>
          <w:rFonts w:ascii="Abadi" w:hAnsi="Abadi"/>
          <w:b/>
          <w:bCs/>
          <w:spacing w:val="50"/>
          <w:sz w:val="20"/>
          <w:szCs w:val="20"/>
        </w:rPr>
        <w:t xml:space="preserve"> </w:t>
      </w:r>
      <w:r w:rsidRPr="00531B12">
        <w:rPr>
          <w:rFonts w:ascii="Abadi" w:hAnsi="Abadi"/>
          <w:b/>
          <w:bCs/>
          <w:sz w:val="20"/>
          <w:szCs w:val="20"/>
        </w:rPr>
        <w:t>ARTÍCULO</w:t>
      </w:r>
      <w:r w:rsidRPr="00531B12">
        <w:rPr>
          <w:rFonts w:ascii="Abadi" w:hAnsi="Abadi"/>
          <w:b/>
          <w:bCs/>
          <w:spacing w:val="50"/>
          <w:sz w:val="20"/>
          <w:szCs w:val="20"/>
        </w:rPr>
        <w:t xml:space="preserve"> </w:t>
      </w:r>
      <w:r w:rsidRPr="00531B12">
        <w:rPr>
          <w:rFonts w:ascii="Abadi" w:hAnsi="Abadi"/>
          <w:b/>
          <w:bCs/>
          <w:sz w:val="20"/>
          <w:szCs w:val="20"/>
        </w:rPr>
        <w:t>61</w:t>
      </w:r>
      <w:r w:rsidRPr="00531B12">
        <w:rPr>
          <w:rFonts w:ascii="Abadi" w:hAnsi="Abadi"/>
          <w:b/>
          <w:bCs/>
          <w:spacing w:val="50"/>
          <w:sz w:val="20"/>
          <w:szCs w:val="20"/>
        </w:rPr>
        <w:t xml:space="preserve"> </w:t>
      </w:r>
      <w:r w:rsidRPr="00531B12">
        <w:rPr>
          <w:rFonts w:ascii="Abadi" w:hAnsi="Abadi"/>
          <w:b/>
          <w:bCs/>
          <w:sz w:val="20"/>
          <w:szCs w:val="20"/>
        </w:rPr>
        <w:t>TER</w:t>
      </w:r>
      <w:r w:rsidRPr="00531B12">
        <w:rPr>
          <w:rFonts w:ascii="Abadi" w:hAnsi="Abadi"/>
          <w:b/>
          <w:bCs/>
          <w:spacing w:val="50"/>
          <w:sz w:val="20"/>
          <w:szCs w:val="20"/>
        </w:rPr>
        <w:t xml:space="preserve"> </w:t>
      </w:r>
      <w:r w:rsidRPr="00531B12">
        <w:rPr>
          <w:rFonts w:ascii="Abadi" w:hAnsi="Abadi"/>
          <w:b/>
          <w:bCs/>
          <w:sz w:val="20"/>
          <w:szCs w:val="20"/>
        </w:rPr>
        <w:t>1</w:t>
      </w:r>
      <w:r w:rsidRPr="00531B12">
        <w:rPr>
          <w:rFonts w:ascii="Abadi" w:hAnsi="Abadi"/>
          <w:b/>
          <w:bCs/>
          <w:spacing w:val="50"/>
          <w:sz w:val="20"/>
          <w:szCs w:val="20"/>
        </w:rPr>
        <w:t xml:space="preserve"> </w:t>
      </w:r>
      <w:r w:rsidRPr="00531B12">
        <w:rPr>
          <w:rFonts w:ascii="Abadi" w:hAnsi="Abadi"/>
          <w:b/>
          <w:bCs/>
          <w:sz w:val="20"/>
          <w:szCs w:val="20"/>
        </w:rPr>
        <w:t>DE</w:t>
      </w:r>
      <w:r w:rsidRPr="00531B12">
        <w:rPr>
          <w:rFonts w:ascii="Abadi" w:hAnsi="Abadi"/>
          <w:b/>
          <w:bCs/>
          <w:spacing w:val="50"/>
          <w:sz w:val="20"/>
          <w:szCs w:val="20"/>
        </w:rPr>
        <w:t xml:space="preserve"> </w:t>
      </w:r>
      <w:r w:rsidRPr="00531B12">
        <w:rPr>
          <w:rFonts w:ascii="Abadi" w:hAnsi="Abadi"/>
          <w:b/>
          <w:bCs/>
          <w:sz w:val="20"/>
          <w:szCs w:val="20"/>
        </w:rPr>
        <w:t>LA</w:t>
      </w:r>
      <w:r w:rsidRPr="00531B12">
        <w:rPr>
          <w:rFonts w:ascii="Abadi" w:hAnsi="Abadi"/>
          <w:b/>
          <w:bCs/>
          <w:spacing w:val="50"/>
          <w:sz w:val="20"/>
          <w:szCs w:val="20"/>
        </w:rPr>
        <w:t xml:space="preserve"> </w:t>
      </w:r>
      <w:r w:rsidRPr="00531B12">
        <w:rPr>
          <w:rFonts w:ascii="Abadi" w:hAnsi="Abadi"/>
          <w:b/>
          <w:bCs/>
          <w:sz w:val="20"/>
          <w:szCs w:val="20"/>
        </w:rPr>
        <w:t>LEY</w:t>
      </w:r>
      <w:r w:rsidRPr="00531B12">
        <w:rPr>
          <w:rFonts w:ascii="Abadi" w:hAnsi="Abadi"/>
          <w:b/>
          <w:bCs/>
          <w:spacing w:val="50"/>
          <w:sz w:val="20"/>
          <w:szCs w:val="20"/>
        </w:rPr>
        <w:t xml:space="preserve"> </w:t>
      </w:r>
      <w:r w:rsidRPr="00531B12">
        <w:rPr>
          <w:rFonts w:ascii="Abadi" w:hAnsi="Abadi"/>
          <w:b/>
          <w:bCs/>
          <w:sz w:val="20"/>
          <w:szCs w:val="20"/>
        </w:rPr>
        <w:t>PARA</w:t>
      </w:r>
      <w:r w:rsidRPr="00531B12">
        <w:rPr>
          <w:rFonts w:ascii="Abadi" w:hAnsi="Abadi"/>
          <w:b/>
          <w:bCs/>
          <w:spacing w:val="50"/>
          <w:sz w:val="20"/>
          <w:szCs w:val="20"/>
        </w:rPr>
        <w:t xml:space="preserve"> </w:t>
      </w:r>
      <w:r w:rsidRPr="00531B12">
        <w:rPr>
          <w:rFonts w:ascii="Abadi" w:hAnsi="Abadi"/>
          <w:b/>
          <w:bCs/>
          <w:sz w:val="20"/>
          <w:szCs w:val="20"/>
        </w:rPr>
        <w:t>EL</w:t>
      </w:r>
      <w:r w:rsidRPr="00531B12">
        <w:rPr>
          <w:rFonts w:ascii="Abadi" w:hAnsi="Abadi"/>
          <w:b/>
          <w:bCs/>
          <w:spacing w:val="50"/>
          <w:sz w:val="20"/>
          <w:szCs w:val="20"/>
        </w:rPr>
        <w:t xml:space="preserve"> </w:t>
      </w:r>
      <w:r w:rsidRPr="00531B12">
        <w:rPr>
          <w:rFonts w:ascii="Abadi" w:hAnsi="Abadi"/>
          <w:b/>
          <w:bCs/>
          <w:sz w:val="20"/>
          <w:szCs w:val="20"/>
        </w:rPr>
        <w:t>EJERCICIO</w:t>
      </w:r>
      <w:r w:rsidRPr="00531B12">
        <w:rPr>
          <w:rFonts w:ascii="Abadi" w:hAnsi="Abadi"/>
          <w:b/>
          <w:bCs/>
          <w:spacing w:val="50"/>
          <w:sz w:val="20"/>
          <w:szCs w:val="20"/>
        </w:rPr>
        <w:t xml:space="preserve"> </w:t>
      </w:r>
      <w:r w:rsidRPr="00531B12">
        <w:rPr>
          <w:rFonts w:ascii="Abadi" w:hAnsi="Abadi"/>
          <w:b/>
          <w:bCs/>
          <w:sz w:val="20"/>
          <w:szCs w:val="20"/>
        </w:rPr>
        <w:t>Y</w:t>
      </w:r>
      <w:r w:rsidRPr="00531B12">
        <w:rPr>
          <w:rFonts w:ascii="Abadi" w:hAnsi="Abadi"/>
          <w:b/>
          <w:bCs/>
          <w:spacing w:val="50"/>
          <w:sz w:val="20"/>
          <w:szCs w:val="20"/>
        </w:rPr>
        <w:t xml:space="preserve"> </w:t>
      </w:r>
      <w:r w:rsidRPr="00531B12">
        <w:rPr>
          <w:rFonts w:ascii="Abadi" w:hAnsi="Abadi"/>
          <w:b/>
          <w:bCs/>
          <w:sz w:val="20"/>
          <w:szCs w:val="20"/>
        </w:rPr>
        <w:t>CONTROL</w:t>
      </w:r>
      <w:r w:rsidRPr="00531B12">
        <w:rPr>
          <w:rFonts w:ascii="Abadi" w:hAnsi="Abadi"/>
          <w:b/>
          <w:bCs/>
          <w:spacing w:val="50"/>
          <w:sz w:val="20"/>
          <w:szCs w:val="20"/>
        </w:rPr>
        <w:t xml:space="preserve"> </w:t>
      </w:r>
      <w:r w:rsidRPr="00531B12">
        <w:rPr>
          <w:rFonts w:ascii="Abadi" w:hAnsi="Abadi"/>
          <w:b/>
          <w:bCs/>
          <w:sz w:val="20"/>
          <w:szCs w:val="20"/>
        </w:rPr>
        <w:t>DE</w:t>
      </w:r>
      <w:r w:rsidRPr="00531B12">
        <w:rPr>
          <w:rFonts w:ascii="Abadi" w:hAnsi="Abadi"/>
          <w:b/>
          <w:bCs/>
          <w:spacing w:val="50"/>
          <w:sz w:val="20"/>
          <w:szCs w:val="20"/>
        </w:rPr>
        <w:t xml:space="preserve"> </w:t>
      </w:r>
      <w:r w:rsidRPr="00531B12">
        <w:rPr>
          <w:rFonts w:ascii="Abadi" w:hAnsi="Abadi"/>
          <w:b/>
          <w:bCs/>
          <w:sz w:val="20"/>
          <w:szCs w:val="20"/>
        </w:rPr>
        <w:t>LOS</w:t>
      </w:r>
      <w:r w:rsidRPr="00531B12">
        <w:rPr>
          <w:rFonts w:ascii="Abadi" w:hAnsi="Abadi"/>
          <w:b/>
          <w:bCs/>
          <w:spacing w:val="-1"/>
          <w:sz w:val="20"/>
          <w:szCs w:val="20"/>
        </w:rPr>
        <w:t xml:space="preserve"> </w:t>
      </w:r>
      <w:r w:rsidRPr="00531B12">
        <w:rPr>
          <w:rFonts w:ascii="Abadi" w:hAnsi="Abadi"/>
          <w:b/>
          <w:bCs/>
          <w:sz w:val="20"/>
          <w:szCs w:val="20"/>
        </w:rPr>
        <w:t>RECURSOS</w:t>
      </w:r>
      <w:r w:rsidRPr="00531B12">
        <w:rPr>
          <w:rFonts w:ascii="Abadi" w:hAnsi="Abadi"/>
          <w:b/>
          <w:bCs/>
          <w:spacing w:val="-15"/>
          <w:sz w:val="20"/>
          <w:szCs w:val="20"/>
        </w:rPr>
        <w:t xml:space="preserve"> </w:t>
      </w:r>
      <w:r w:rsidRPr="00531B12">
        <w:rPr>
          <w:rFonts w:ascii="Abadi" w:hAnsi="Abadi"/>
          <w:b/>
          <w:bCs/>
          <w:sz w:val="20"/>
          <w:szCs w:val="20"/>
        </w:rPr>
        <w:t>PÚBLICOS</w:t>
      </w:r>
      <w:r w:rsidRPr="00531B12">
        <w:rPr>
          <w:rFonts w:ascii="Abadi" w:hAnsi="Abadi"/>
          <w:b/>
          <w:bCs/>
          <w:spacing w:val="-15"/>
          <w:sz w:val="20"/>
          <w:szCs w:val="20"/>
        </w:rPr>
        <w:t xml:space="preserve"> </w:t>
      </w:r>
      <w:r w:rsidRPr="00531B12">
        <w:rPr>
          <w:rFonts w:ascii="Abadi" w:hAnsi="Abadi"/>
          <w:b/>
          <w:bCs/>
          <w:sz w:val="20"/>
          <w:szCs w:val="20"/>
        </w:rPr>
        <w:t>PARA</w:t>
      </w:r>
      <w:r w:rsidRPr="00531B12">
        <w:rPr>
          <w:rFonts w:ascii="Abadi" w:hAnsi="Abadi"/>
          <w:b/>
          <w:bCs/>
          <w:spacing w:val="-15"/>
          <w:sz w:val="20"/>
          <w:szCs w:val="20"/>
        </w:rPr>
        <w:t xml:space="preserve"> </w:t>
      </w:r>
      <w:r w:rsidRPr="00531B12">
        <w:rPr>
          <w:rFonts w:ascii="Abadi" w:hAnsi="Abadi"/>
          <w:b/>
          <w:bCs/>
          <w:sz w:val="20"/>
          <w:szCs w:val="20"/>
        </w:rPr>
        <w:t>EL</w:t>
      </w:r>
      <w:r w:rsidRPr="00531B12">
        <w:rPr>
          <w:rFonts w:ascii="Abadi" w:hAnsi="Abadi"/>
          <w:b/>
          <w:bCs/>
          <w:spacing w:val="-15"/>
          <w:sz w:val="20"/>
          <w:szCs w:val="20"/>
        </w:rPr>
        <w:t xml:space="preserve"> </w:t>
      </w:r>
      <w:r w:rsidRPr="00531B12">
        <w:rPr>
          <w:rFonts w:ascii="Abadi" w:hAnsi="Abadi"/>
          <w:b/>
          <w:bCs/>
          <w:sz w:val="20"/>
          <w:szCs w:val="20"/>
        </w:rPr>
        <w:t>ESTADO</w:t>
      </w:r>
      <w:r w:rsidRPr="00531B12">
        <w:rPr>
          <w:rFonts w:ascii="Abadi" w:hAnsi="Abadi"/>
          <w:b/>
          <w:bCs/>
          <w:spacing w:val="-15"/>
          <w:sz w:val="20"/>
          <w:szCs w:val="20"/>
        </w:rPr>
        <w:t xml:space="preserve"> </w:t>
      </w:r>
      <w:r w:rsidRPr="00531B12">
        <w:rPr>
          <w:rFonts w:ascii="Abadi" w:hAnsi="Abadi"/>
          <w:b/>
          <w:bCs/>
          <w:sz w:val="20"/>
          <w:szCs w:val="20"/>
        </w:rPr>
        <w:t>Y</w:t>
      </w:r>
      <w:r w:rsidRPr="00531B12">
        <w:rPr>
          <w:rFonts w:ascii="Abadi" w:hAnsi="Abadi"/>
          <w:b/>
          <w:bCs/>
          <w:spacing w:val="-15"/>
          <w:sz w:val="20"/>
          <w:szCs w:val="20"/>
        </w:rPr>
        <w:t xml:space="preserve"> </w:t>
      </w:r>
      <w:r w:rsidRPr="00531B12">
        <w:rPr>
          <w:rFonts w:ascii="Abadi" w:hAnsi="Abadi"/>
          <w:b/>
          <w:bCs/>
          <w:sz w:val="20"/>
          <w:szCs w:val="20"/>
        </w:rPr>
        <w:t>LOS</w:t>
      </w:r>
      <w:r w:rsidRPr="00531B12">
        <w:rPr>
          <w:rFonts w:ascii="Abadi" w:hAnsi="Abadi"/>
          <w:b/>
          <w:bCs/>
          <w:spacing w:val="-15"/>
          <w:sz w:val="20"/>
          <w:szCs w:val="20"/>
        </w:rPr>
        <w:t xml:space="preserve"> </w:t>
      </w:r>
      <w:r w:rsidRPr="00531B12">
        <w:rPr>
          <w:rFonts w:ascii="Abadi" w:hAnsi="Abadi"/>
          <w:b/>
          <w:bCs/>
          <w:sz w:val="20"/>
          <w:szCs w:val="20"/>
        </w:rPr>
        <w:t>MUNICIPIOS</w:t>
      </w:r>
      <w:r w:rsidRPr="00531B12">
        <w:rPr>
          <w:rFonts w:ascii="Abadi" w:hAnsi="Abadi"/>
          <w:b/>
          <w:bCs/>
          <w:spacing w:val="-15"/>
          <w:sz w:val="20"/>
          <w:szCs w:val="20"/>
        </w:rPr>
        <w:t xml:space="preserve"> </w:t>
      </w:r>
      <w:r w:rsidRPr="00531B12">
        <w:rPr>
          <w:rFonts w:ascii="Abadi" w:hAnsi="Abadi"/>
          <w:b/>
          <w:bCs/>
          <w:sz w:val="20"/>
          <w:szCs w:val="20"/>
        </w:rPr>
        <w:t>DE</w:t>
      </w:r>
      <w:r w:rsidRPr="00531B12">
        <w:rPr>
          <w:rFonts w:ascii="Abadi" w:hAnsi="Abadi"/>
          <w:b/>
          <w:bCs/>
          <w:spacing w:val="-15"/>
          <w:sz w:val="20"/>
          <w:szCs w:val="20"/>
        </w:rPr>
        <w:t xml:space="preserve"> </w:t>
      </w:r>
      <w:r w:rsidRPr="00531B12">
        <w:rPr>
          <w:rFonts w:ascii="Abadi" w:hAnsi="Abadi"/>
          <w:b/>
          <w:bCs/>
          <w:sz w:val="20"/>
          <w:szCs w:val="20"/>
        </w:rPr>
        <w:t>GUANAJUATO;</w:t>
      </w:r>
      <w:r w:rsidRPr="00531B12">
        <w:rPr>
          <w:rFonts w:ascii="Abadi" w:hAnsi="Abadi"/>
          <w:b/>
          <w:bCs/>
          <w:spacing w:val="-15"/>
          <w:sz w:val="20"/>
          <w:szCs w:val="20"/>
        </w:rPr>
        <w:t xml:space="preserve"> </w:t>
      </w:r>
      <w:r w:rsidRPr="00531B12">
        <w:rPr>
          <w:rFonts w:ascii="Abadi" w:hAnsi="Abadi"/>
          <w:b/>
          <w:bCs/>
          <w:sz w:val="20"/>
          <w:szCs w:val="20"/>
        </w:rPr>
        <w:t>Y</w:t>
      </w:r>
      <w:r w:rsidRPr="00531B12">
        <w:rPr>
          <w:rFonts w:ascii="Abadi" w:hAnsi="Abadi"/>
          <w:b/>
          <w:bCs/>
          <w:spacing w:val="-13"/>
          <w:sz w:val="20"/>
          <w:szCs w:val="20"/>
        </w:rPr>
        <w:t xml:space="preserve"> </w:t>
      </w:r>
      <w:r w:rsidRPr="00531B12">
        <w:rPr>
          <w:rFonts w:ascii="Abadi" w:hAnsi="Abadi"/>
          <w:b/>
          <w:bCs/>
          <w:sz w:val="20"/>
          <w:szCs w:val="20"/>
        </w:rPr>
        <w:t>DEROGAR</w:t>
      </w:r>
      <w:r w:rsidRPr="00531B12">
        <w:rPr>
          <w:rFonts w:ascii="Abadi" w:hAnsi="Abadi"/>
          <w:b/>
          <w:bCs/>
          <w:spacing w:val="-1"/>
          <w:sz w:val="20"/>
          <w:szCs w:val="20"/>
        </w:rPr>
        <w:t xml:space="preserve"> </w:t>
      </w:r>
      <w:r w:rsidRPr="00531B12">
        <w:rPr>
          <w:rFonts w:ascii="Abadi" w:hAnsi="Abadi"/>
          <w:b/>
          <w:bCs/>
          <w:sz w:val="20"/>
          <w:szCs w:val="20"/>
        </w:rPr>
        <w:t>LA</w:t>
      </w:r>
      <w:r w:rsidRPr="00531B12">
        <w:rPr>
          <w:rFonts w:ascii="Abadi" w:hAnsi="Abadi"/>
          <w:b/>
          <w:bCs/>
          <w:spacing w:val="29"/>
          <w:sz w:val="20"/>
          <w:szCs w:val="20"/>
        </w:rPr>
        <w:t xml:space="preserve"> </w:t>
      </w:r>
      <w:r w:rsidRPr="00531B12">
        <w:rPr>
          <w:rFonts w:ascii="Abadi" w:hAnsi="Abadi"/>
          <w:b/>
          <w:bCs/>
          <w:sz w:val="20"/>
          <w:szCs w:val="20"/>
        </w:rPr>
        <w:t>FRACCIÓN</w:t>
      </w:r>
      <w:r w:rsidRPr="00531B12">
        <w:rPr>
          <w:rFonts w:ascii="Abadi" w:hAnsi="Abadi"/>
          <w:b/>
          <w:bCs/>
          <w:spacing w:val="28"/>
          <w:sz w:val="20"/>
          <w:szCs w:val="20"/>
        </w:rPr>
        <w:t xml:space="preserve"> </w:t>
      </w:r>
      <w:r w:rsidRPr="00531B12">
        <w:rPr>
          <w:rFonts w:ascii="Abadi" w:hAnsi="Abadi"/>
          <w:b/>
          <w:bCs/>
          <w:sz w:val="20"/>
          <w:szCs w:val="20"/>
        </w:rPr>
        <w:t>IX</w:t>
      </w:r>
      <w:r w:rsidRPr="00531B12">
        <w:rPr>
          <w:rFonts w:ascii="Abadi" w:hAnsi="Abadi"/>
          <w:b/>
          <w:bCs/>
          <w:spacing w:val="29"/>
          <w:sz w:val="20"/>
          <w:szCs w:val="20"/>
        </w:rPr>
        <w:t xml:space="preserve"> </w:t>
      </w:r>
      <w:r w:rsidRPr="00531B12">
        <w:rPr>
          <w:rFonts w:ascii="Abadi" w:hAnsi="Abadi"/>
          <w:b/>
          <w:bCs/>
          <w:sz w:val="20"/>
          <w:szCs w:val="20"/>
        </w:rPr>
        <w:t>DEL</w:t>
      </w:r>
      <w:r w:rsidRPr="00531B12">
        <w:rPr>
          <w:rFonts w:ascii="Abadi" w:hAnsi="Abadi"/>
          <w:b/>
          <w:bCs/>
          <w:spacing w:val="28"/>
          <w:sz w:val="20"/>
          <w:szCs w:val="20"/>
        </w:rPr>
        <w:t xml:space="preserve"> </w:t>
      </w:r>
      <w:r w:rsidRPr="00531B12">
        <w:rPr>
          <w:rFonts w:ascii="Abadi" w:hAnsi="Abadi"/>
          <w:b/>
          <w:bCs/>
          <w:sz w:val="20"/>
          <w:szCs w:val="20"/>
        </w:rPr>
        <w:t>ARTÍCULO</w:t>
      </w:r>
      <w:r w:rsidRPr="00531B12">
        <w:rPr>
          <w:rFonts w:ascii="Abadi" w:hAnsi="Abadi"/>
          <w:b/>
          <w:bCs/>
          <w:spacing w:val="28"/>
          <w:sz w:val="20"/>
          <w:szCs w:val="20"/>
        </w:rPr>
        <w:t xml:space="preserve"> </w:t>
      </w:r>
      <w:r w:rsidRPr="00531B12">
        <w:rPr>
          <w:rFonts w:ascii="Abadi" w:hAnsi="Abadi"/>
          <w:b/>
          <w:bCs/>
          <w:sz w:val="20"/>
          <w:szCs w:val="20"/>
        </w:rPr>
        <w:t>7</w:t>
      </w:r>
      <w:r w:rsidRPr="00531B12">
        <w:rPr>
          <w:rFonts w:ascii="Abadi" w:hAnsi="Abadi"/>
          <w:b/>
          <w:bCs/>
          <w:spacing w:val="28"/>
          <w:sz w:val="20"/>
          <w:szCs w:val="20"/>
        </w:rPr>
        <w:t xml:space="preserve"> </w:t>
      </w:r>
      <w:r w:rsidRPr="00531B12">
        <w:rPr>
          <w:rFonts w:ascii="Abadi" w:hAnsi="Abadi"/>
          <w:b/>
          <w:bCs/>
          <w:sz w:val="20"/>
          <w:szCs w:val="20"/>
        </w:rPr>
        <w:t>DE</w:t>
      </w:r>
      <w:r w:rsidRPr="00531B12">
        <w:rPr>
          <w:rFonts w:ascii="Abadi" w:hAnsi="Abadi"/>
          <w:b/>
          <w:bCs/>
          <w:spacing w:val="28"/>
          <w:sz w:val="20"/>
          <w:szCs w:val="20"/>
        </w:rPr>
        <w:t xml:space="preserve"> </w:t>
      </w:r>
      <w:r w:rsidRPr="00531B12">
        <w:rPr>
          <w:rFonts w:ascii="Abadi" w:hAnsi="Abadi"/>
          <w:b/>
          <w:bCs/>
          <w:sz w:val="20"/>
          <w:szCs w:val="20"/>
        </w:rPr>
        <w:t>LA</w:t>
      </w:r>
      <w:r w:rsidRPr="00531B12">
        <w:rPr>
          <w:rFonts w:ascii="Abadi" w:hAnsi="Abadi"/>
          <w:b/>
          <w:bCs/>
          <w:spacing w:val="28"/>
          <w:sz w:val="20"/>
          <w:szCs w:val="20"/>
        </w:rPr>
        <w:t xml:space="preserve"> </w:t>
      </w:r>
      <w:r w:rsidRPr="00531B12">
        <w:rPr>
          <w:rFonts w:ascii="Abadi" w:hAnsi="Abadi"/>
          <w:b/>
          <w:bCs/>
          <w:sz w:val="20"/>
          <w:szCs w:val="20"/>
        </w:rPr>
        <w:t>LEY</w:t>
      </w:r>
      <w:r w:rsidRPr="00531B12">
        <w:rPr>
          <w:rFonts w:ascii="Abadi" w:hAnsi="Abadi"/>
          <w:b/>
          <w:bCs/>
          <w:spacing w:val="28"/>
          <w:sz w:val="20"/>
          <w:szCs w:val="20"/>
        </w:rPr>
        <w:t xml:space="preserve"> </w:t>
      </w:r>
      <w:r w:rsidRPr="00531B12">
        <w:rPr>
          <w:rFonts w:ascii="Abadi" w:hAnsi="Abadi"/>
          <w:b/>
          <w:bCs/>
          <w:sz w:val="20"/>
          <w:szCs w:val="20"/>
        </w:rPr>
        <w:t>DE</w:t>
      </w:r>
      <w:r w:rsidRPr="00531B12">
        <w:rPr>
          <w:rFonts w:ascii="Abadi" w:hAnsi="Abadi"/>
          <w:b/>
          <w:bCs/>
          <w:spacing w:val="29"/>
          <w:sz w:val="20"/>
          <w:szCs w:val="20"/>
        </w:rPr>
        <w:t xml:space="preserve"> </w:t>
      </w:r>
      <w:r w:rsidRPr="00531B12">
        <w:rPr>
          <w:rFonts w:ascii="Abadi" w:hAnsi="Abadi"/>
          <w:b/>
          <w:bCs/>
          <w:sz w:val="20"/>
          <w:szCs w:val="20"/>
        </w:rPr>
        <w:t>CONTRATACIONES</w:t>
      </w:r>
      <w:r w:rsidRPr="00531B12">
        <w:rPr>
          <w:rFonts w:ascii="Abadi" w:hAnsi="Abadi"/>
          <w:b/>
          <w:bCs/>
          <w:spacing w:val="29"/>
          <w:sz w:val="20"/>
          <w:szCs w:val="20"/>
        </w:rPr>
        <w:t xml:space="preserve"> </w:t>
      </w:r>
      <w:r w:rsidRPr="00531B12">
        <w:rPr>
          <w:rFonts w:ascii="Abadi" w:hAnsi="Abadi"/>
          <w:b/>
          <w:bCs/>
          <w:sz w:val="20"/>
          <w:szCs w:val="20"/>
        </w:rPr>
        <w:t>PÚBLICAS</w:t>
      </w:r>
      <w:r w:rsidRPr="00531B12">
        <w:rPr>
          <w:rFonts w:ascii="Abadi" w:hAnsi="Abadi"/>
          <w:b/>
          <w:bCs/>
          <w:spacing w:val="29"/>
          <w:sz w:val="20"/>
          <w:szCs w:val="20"/>
        </w:rPr>
        <w:t xml:space="preserve"> </w:t>
      </w:r>
      <w:r w:rsidRPr="00531B12">
        <w:rPr>
          <w:rFonts w:ascii="Abadi" w:hAnsi="Abadi"/>
          <w:b/>
          <w:bCs/>
          <w:sz w:val="20"/>
          <w:szCs w:val="20"/>
        </w:rPr>
        <w:t>PARA</w:t>
      </w:r>
      <w:r w:rsidRPr="00531B12">
        <w:rPr>
          <w:rFonts w:ascii="Abadi" w:hAnsi="Abadi"/>
          <w:b/>
          <w:bCs/>
          <w:spacing w:val="29"/>
          <w:sz w:val="20"/>
          <w:szCs w:val="20"/>
        </w:rPr>
        <w:t xml:space="preserve"> </w:t>
      </w:r>
      <w:r w:rsidRPr="00531B12">
        <w:rPr>
          <w:rFonts w:ascii="Abadi" w:hAnsi="Abadi"/>
          <w:b/>
          <w:bCs/>
          <w:sz w:val="20"/>
          <w:szCs w:val="20"/>
        </w:rPr>
        <w:t>EL</w:t>
      </w:r>
      <w:r w:rsidRPr="00531B12">
        <w:rPr>
          <w:rFonts w:ascii="Abadi" w:hAnsi="Abadi"/>
          <w:b/>
          <w:bCs/>
          <w:spacing w:val="-1"/>
          <w:sz w:val="20"/>
          <w:szCs w:val="20"/>
        </w:rPr>
        <w:t xml:space="preserve"> </w:t>
      </w:r>
      <w:r w:rsidRPr="00531B12">
        <w:rPr>
          <w:rFonts w:ascii="Abadi" w:hAnsi="Abadi"/>
          <w:b/>
          <w:bCs/>
          <w:sz w:val="20"/>
          <w:szCs w:val="20"/>
        </w:rPr>
        <w:t>ESTADO</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GUANAJUATO.</w:t>
      </w:r>
    </w:p>
    <w:p w14:paraId="658086EE" w14:textId="7A5DC306" w:rsidR="002B5DDE" w:rsidRDefault="002B5DDE" w:rsidP="003B22C1">
      <w:pPr>
        <w:rPr>
          <w:rFonts w:ascii="Abadi" w:hAnsi="Abadi"/>
          <w:sz w:val="20"/>
          <w:szCs w:val="20"/>
        </w:rPr>
      </w:pPr>
    </w:p>
    <w:p w14:paraId="3DB153A6" w14:textId="77777777" w:rsidR="00616877" w:rsidRPr="00616877" w:rsidRDefault="00616877" w:rsidP="00616877">
      <w:pPr>
        <w:autoSpaceDE w:val="0"/>
        <w:autoSpaceDN w:val="0"/>
        <w:adjustRightInd w:val="0"/>
        <w:ind w:right="615"/>
        <w:jc w:val="both"/>
        <w:rPr>
          <w:rFonts w:ascii="Abadi" w:eastAsia="Batang" w:hAnsi="Abadi" w:cs="Arial"/>
          <w:b/>
          <w:bCs/>
          <w:smallCaps/>
          <w:sz w:val="21"/>
          <w:szCs w:val="21"/>
          <w:lang w:val="es-MX"/>
        </w:rPr>
      </w:pPr>
      <w:r w:rsidRPr="00616877">
        <w:rPr>
          <w:rFonts w:ascii="Abadi" w:eastAsia="Batang" w:hAnsi="Abadi" w:cs="Arial"/>
          <w:b/>
          <w:bCs/>
          <w:smallCaps/>
          <w:sz w:val="21"/>
          <w:szCs w:val="21"/>
          <w:lang w:val="es-MX"/>
        </w:rPr>
        <w:t>C. Presidenta del Congreso del Estado</w:t>
      </w:r>
    </w:p>
    <w:p w14:paraId="56E2E4BD" w14:textId="77777777" w:rsidR="00616877" w:rsidRPr="00616877" w:rsidRDefault="00616877" w:rsidP="00616877">
      <w:pPr>
        <w:autoSpaceDE w:val="0"/>
        <w:autoSpaceDN w:val="0"/>
        <w:adjustRightInd w:val="0"/>
        <w:ind w:right="615"/>
        <w:jc w:val="both"/>
        <w:rPr>
          <w:rFonts w:ascii="Abadi" w:eastAsia="Batang" w:hAnsi="Abadi" w:cs="Arial"/>
          <w:b/>
          <w:bCs/>
          <w:smallCaps/>
          <w:sz w:val="21"/>
          <w:szCs w:val="21"/>
          <w:lang w:val="es-MX"/>
        </w:rPr>
      </w:pPr>
      <w:r w:rsidRPr="00616877">
        <w:rPr>
          <w:rFonts w:ascii="Abadi" w:eastAsia="Batang" w:hAnsi="Abadi" w:cs="Arial"/>
          <w:b/>
          <w:bCs/>
          <w:smallCaps/>
          <w:sz w:val="21"/>
          <w:szCs w:val="21"/>
          <w:lang w:val="es-MX"/>
        </w:rPr>
        <w:t>P r e s e n t e.</w:t>
      </w:r>
    </w:p>
    <w:p w14:paraId="596E13E8" w14:textId="77777777" w:rsidR="00616877" w:rsidRPr="00616877" w:rsidRDefault="00616877" w:rsidP="00616877">
      <w:pPr>
        <w:spacing w:line="360" w:lineRule="auto"/>
        <w:jc w:val="both"/>
        <w:rPr>
          <w:rFonts w:ascii="Abadi" w:eastAsia="Batang" w:hAnsi="Abadi" w:cs="Arial"/>
          <w:sz w:val="21"/>
          <w:szCs w:val="21"/>
        </w:rPr>
      </w:pPr>
    </w:p>
    <w:p w14:paraId="6EFE7EAD" w14:textId="77777777" w:rsidR="00616877" w:rsidRPr="00616877" w:rsidRDefault="00616877" w:rsidP="00616877">
      <w:pPr>
        <w:ind w:firstLine="851"/>
        <w:jc w:val="both"/>
        <w:rPr>
          <w:rFonts w:ascii="Abadi" w:hAnsi="Abadi" w:cs="Arial"/>
          <w:sz w:val="21"/>
          <w:szCs w:val="21"/>
        </w:rPr>
      </w:pPr>
      <w:r w:rsidRPr="00616877">
        <w:rPr>
          <w:rFonts w:ascii="Abadi" w:hAnsi="Abadi" w:cs="Arial"/>
          <w:sz w:val="21"/>
          <w:szCs w:val="21"/>
        </w:rPr>
        <w:t xml:space="preserve">A esta Comisión de Hacienda y Fiscalización le fue turnada para efecto de estudio y dictamen, la iniciativa </w:t>
      </w:r>
      <w:r w:rsidRPr="00616877">
        <w:rPr>
          <w:rFonts w:ascii="Abadi" w:hAnsi="Abadi"/>
          <w:sz w:val="21"/>
          <w:szCs w:val="21"/>
          <w:lang w:val="es-ES_tradnl"/>
        </w:rPr>
        <w:t>formulada por diputadas y diputados integrantes del Grupo Parlamentario del Partido MORENA a efecto de reformar el primer párrafo del artículo 62 y adicionar un cuarto párrafo al artículo 61 ter 1 de la Ley para el Ejercicio y Control de los Recursos Públicos para el Estado y los Municipios de Guanajuato; y derogar la fracción IX del artículo 7 de la Ley de Contrataciones Públicas para el Estado de Guanajuato</w:t>
      </w:r>
      <w:r w:rsidRPr="00616877">
        <w:rPr>
          <w:rFonts w:ascii="Abadi" w:hAnsi="Abadi" w:cs="Arial"/>
          <w:sz w:val="21"/>
          <w:szCs w:val="21"/>
        </w:rPr>
        <w:t>.</w:t>
      </w:r>
    </w:p>
    <w:p w14:paraId="344E930E" w14:textId="77777777" w:rsidR="00616877" w:rsidRPr="00616877" w:rsidRDefault="00616877" w:rsidP="00616877">
      <w:pPr>
        <w:tabs>
          <w:tab w:val="left" w:pos="0"/>
        </w:tabs>
        <w:jc w:val="both"/>
        <w:rPr>
          <w:rFonts w:ascii="Abadi" w:hAnsi="Abadi" w:cs="Arial"/>
          <w:sz w:val="21"/>
          <w:szCs w:val="21"/>
        </w:rPr>
      </w:pPr>
    </w:p>
    <w:p w14:paraId="456C629E" w14:textId="77777777" w:rsidR="00616877" w:rsidRPr="00616877" w:rsidRDefault="00616877" w:rsidP="00616877">
      <w:pPr>
        <w:tabs>
          <w:tab w:val="left" w:pos="0"/>
        </w:tabs>
        <w:ind w:firstLine="851"/>
        <w:jc w:val="both"/>
        <w:rPr>
          <w:rFonts w:ascii="Abadi" w:eastAsia="Batang" w:hAnsi="Abadi" w:cs="Arial"/>
          <w:color w:val="000000"/>
          <w:sz w:val="21"/>
          <w:szCs w:val="21"/>
        </w:rPr>
      </w:pPr>
      <w:r w:rsidRPr="00616877">
        <w:rPr>
          <w:rFonts w:ascii="Abadi" w:eastAsia="Batang" w:hAnsi="Abadi" w:cs="Arial"/>
          <w:color w:val="000000"/>
          <w:sz w:val="21"/>
          <w:szCs w:val="21"/>
          <w:lang w:val="es-MX"/>
        </w:rPr>
        <w:t xml:space="preserve">Con fundamento en </w:t>
      </w:r>
      <w:r w:rsidRPr="00616877">
        <w:rPr>
          <w:rFonts w:ascii="Abadi" w:eastAsia="Batang" w:hAnsi="Abadi" w:cs="Arial"/>
          <w:color w:val="000000"/>
          <w:sz w:val="21"/>
          <w:szCs w:val="21"/>
        </w:rPr>
        <w:t xml:space="preserve">los artículos 89, fracción V; 112, fracción XV; y 171 de </w:t>
      </w:r>
      <w:smartTag w:uri="urn:schemas-microsoft-com:office:smarttags" w:element="PersonName">
        <w:smartTagPr>
          <w:attr w:name="ProductID" w:val="la Ley Org￡nica"/>
        </w:smartTagPr>
        <w:r w:rsidRPr="00616877">
          <w:rPr>
            <w:rFonts w:ascii="Abadi" w:eastAsia="Batang" w:hAnsi="Abadi" w:cs="Arial"/>
            <w:color w:val="000000"/>
            <w:sz w:val="21"/>
            <w:szCs w:val="21"/>
          </w:rPr>
          <w:t>la Ley Orgánica</w:t>
        </w:r>
      </w:smartTag>
      <w:r w:rsidRPr="00616877">
        <w:rPr>
          <w:rFonts w:ascii="Abadi" w:eastAsia="Batang" w:hAnsi="Abadi" w:cs="Arial"/>
          <w:color w:val="000000"/>
          <w:sz w:val="21"/>
          <w:szCs w:val="21"/>
        </w:rPr>
        <w:t xml:space="preserve"> del Poder Legislativo del Estado de Guanajuato, analizamos la iniciativa referida, presentando a la consideración de </w:t>
      </w:r>
      <w:smartTag w:uri="urn:schemas-microsoft-com:office:smarttags" w:element="PersonName">
        <w:smartTagPr>
          <w:attr w:name="ProductID" w:val="la Asamblea"/>
        </w:smartTagPr>
        <w:r w:rsidRPr="00616877">
          <w:rPr>
            <w:rFonts w:ascii="Abadi" w:eastAsia="Batang" w:hAnsi="Abadi" w:cs="Arial"/>
            <w:color w:val="000000"/>
            <w:sz w:val="21"/>
            <w:szCs w:val="21"/>
          </w:rPr>
          <w:t>la Asamblea</w:t>
        </w:r>
      </w:smartTag>
      <w:r w:rsidRPr="00616877">
        <w:rPr>
          <w:rFonts w:ascii="Abadi" w:eastAsia="Batang" w:hAnsi="Abadi" w:cs="Arial"/>
          <w:color w:val="000000"/>
          <w:sz w:val="21"/>
          <w:szCs w:val="21"/>
        </w:rPr>
        <w:t xml:space="preserve"> el siguiente:</w:t>
      </w:r>
    </w:p>
    <w:p w14:paraId="6A101BC4" w14:textId="77777777" w:rsidR="00616877" w:rsidRPr="00616877" w:rsidRDefault="00616877" w:rsidP="00616877">
      <w:pPr>
        <w:spacing w:line="360" w:lineRule="auto"/>
        <w:jc w:val="both"/>
        <w:rPr>
          <w:rFonts w:ascii="Abadi" w:hAnsi="Abadi" w:cs="Arial"/>
          <w:b/>
          <w:bCs/>
          <w:sz w:val="21"/>
          <w:szCs w:val="21"/>
        </w:rPr>
      </w:pPr>
    </w:p>
    <w:p w14:paraId="07061C47" w14:textId="77777777" w:rsidR="00616877" w:rsidRPr="00616877" w:rsidRDefault="00616877" w:rsidP="00616877">
      <w:pPr>
        <w:spacing w:line="360" w:lineRule="auto"/>
        <w:jc w:val="center"/>
        <w:rPr>
          <w:rFonts w:ascii="Abadi" w:hAnsi="Abadi" w:cs="Arial"/>
          <w:b/>
          <w:bCs/>
          <w:sz w:val="21"/>
          <w:szCs w:val="21"/>
        </w:rPr>
      </w:pPr>
      <w:r w:rsidRPr="00616877">
        <w:rPr>
          <w:rFonts w:ascii="Abadi" w:hAnsi="Abadi" w:cs="Arial"/>
          <w:b/>
          <w:bCs/>
          <w:sz w:val="21"/>
          <w:szCs w:val="21"/>
        </w:rPr>
        <w:t>D i c t a m e n</w:t>
      </w:r>
    </w:p>
    <w:p w14:paraId="10777CC1" w14:textId="77777777" w:rsidR="00616877" w:rsidRPr="00616877" w:rsidRDefault="00616877" w:rsidP="00616877">
      <w:pPr>
        <w:jc w:val="both"/>
        <w:rPr>
          <w:rFonts w:ascii="Abadi" w:hAnsi="Abadi" w:cs="Arial"/>
          <w:sz w:val="21"/>
          <w:szCs w:val="21"/>
          <w:lang w:val="es-MX"/>
        </w:rPr>
      </w:pPr>
    </w:p>
    <w:p w14:paraId="52F9AAFD" w14:textId="77777777" w:rsidR="00616877" w:rsidRPr="00616877" w:rsidRDefault="00616877" w:rsidP="00616877">
      <w:pPr>
        <w:rPr>
          <w:rFonts w:ascii="Abadi" w:hAnsi="Abadi" w:cs="Arial"/>
          <w:b/>
          <w:bCs/>
          <w:sz w:val="21"/>
          <w:szCs w:val="21"/>
        </w:rPr>
      </w:pPr>
      <w:r w:rsidRPr="00616877">
        <w:rPr>
          <w:rFonts w:ascii="Abadi" w:hAnsi="Abadi" w:cs="Arial"/>
          <w:b/>
          <w:bCs/>
          <w:sz w:val="21"/>
          <w:szCs w:val="21"/>
        </w:rPr>
        <w:t>I.</w:t>
      </w:r>
      <w:r w:rsidRPr="00616877">
        <w:rPr>
          <w:rFonts w:ascii="Abadi" w:hAnsi="Abadi" w:cs="Arial"/>
          <w:b/>
          <w:bCs/>
          <w:sz w:val="21"/>
          <w:szCs w:val="21"/>
        </w:rPr>
        <w:tab/>
        <w:t>Proceso legislativo.</w:t>
      </w:r>
    </w:p>
    <w:p w14:paraId="4F219290" w14:textId="77777777" w:rsidR="00616877" w:rsidRPr="00616877" w:rsidRDefault="00616877" w:rsidP="00616877">
      <w:pPr>
        <w:ind w:firstLine="709"/>
        <w:jc w:val="both"/>
        <w:rPr>
          <w:rFonts w:ascii="Abadi" w:hAnsi="Abadi" w:cs="Arial"/>
          <w:sz w:val="21"/>
          <w:szCs w:val="21"/>
        </w:rPr>
      </w:pPr>
    </w:p>
    <w:p w14:paraId="5600724E" w14:textId="77777777" w:rsidR="00616877" w:rsidRPr="00616877" w:rsidRDefault="00616877" w:rsidP="00616877">
      <w:pPr>
        <w:jc w:val="both"/>
        <w:rPr>
          <w:rFonts w:ascii="Abadi" w:hAnsi="Abadi" w:cs="Arial"/>
          <w:sz w:val="21"/>
          <w:szCs w:val="21"/>
        </w:rPr>
      </w:pPr>
      <w:r w:rsidRPr="00616877">
        <w:rPr>
          <w:rFonts w:ascii="Abadi" w:hAnsi="Abadi" w:cs="Arial"/>
          <w:b/>
          <w:bCs/>
          <w:sz w:val="21"/>
          <w:szCs w:val="21"/>
        </w:rPr>
        <w:t>I.1.</w:t>
      </w:r>
      <w:r w:rsidRPr="00616877">
        <w:rPr>
          <w:rFonts w:ascii="Abadi" w:hAnsi="Abadi" w:cs="Arial"/>
          <w:sz w:val="21"/>
          <w:szCs w:val="21"/>
        </w:rPr>
        <w:tab/>
        <w:t xml:space="preserve">En sesión ordinaria celebrada el 24 de febrero de 2022 se presentó la iniciativa </w:t>
      </w:r>
      <w:r w:rsidRPr="00616877">
        <w:rPr>
          <w:rFonts w:ascii="Abadi" w:hAnsi="Abadi"/>
          <w:sz w:val="21"/>
          <w:szCs w:val="21"/>
          <w:lang w:val="es-ES_tradnl"/>
        </w:rPr>
        <w:t>formulada por diputadas diputados integrantes del Grupo Parlamentario del Partido MORENA a efecto de reformar el primer párrafo del artículo 62 y adicionar un cuarto párrafo al artículo 61 ter 1 de la Ley para el Ejercicio y Control de los Recursos Públicos para el Estado y los Municipios de Guanajuato; y derogar la fracción IX del artículo 7 de la Ley de Contrataciones Públicas para el Estado de Guanajuato</w:t>
      </w:r>
      <w:r w:rsidRPr="00616877">
        <w:rPr>
          <w:rFonts w:ascii="Abadi" w:hAnsi="Abadi" w:cs="Arial"/>
          <w:sz w:val="21"/>
          <w:szCs w:val="21"/>
        </w:rPr>
        <w:t>.</w:t>
      </w:r>
    </w:p>
    <w:p w14:paraId="6A2E0BED" w14:textId="77777777" w:rsidR="00616877" w:rsidRPr="00616877" w:rsidRDefault="00616877" w:rsidP="00616877">
      <w:pPr>
        <w:jc w:val="both"/>
        <w:rPr>
          <w:rFonts w:ascii="Abadi" w:hAnsi="Abadi" w:cs="Arial"/>
          <w:sz w:val="21"/>
          <w:szCs w:val="21"/>
        </w:rPr>
      </w:pPr>
    </w:p>
    <w:p w14:paraId="038C6B07" w14:textId="77777777" w:rsidR="00616877" w:rsidRPr="00616877" w:rsidRDefault="00616877" w:rsidP="00616877">
      <w:pPr>
        <w:jc w:val="both"/>
        <w:rPr>
          <w:rFonts w:ascii="Abadi" w:hAnsi="Abadi" w:cs="Arial"/>
          <w:sz w:val="21"/>
          <w:szCs w:val="21"/>
        </w:rPr>
      </w:pPr>
      <w:r w:rsidRPr="00616877">
        <w:rPr>
          <w:rFonts w:ascii="Abadi" w:hAnsi="Abadi" w:cs="Arial"/>
          <w:sz w:val="21"/>
          <w:szCs w:val="21"/>
        </w:rPr>
        <w:t xml:space="preserve">La presidencia del Congreso turnó la referida iniciativa a la Comisión de Hacienda y Fiscalización para su estudio y dictamen, misma que la radicó el 1 de marzo de 2022. </w:t>
      </w:r>
    </w:p>
    <w:p w14:paraId="3CF29C8C" w14:textId="77777777" w:rsidR="00616877" w:rsidRPr="00616877" w:rsidRDefault="00616877" w:rsidP="00616877">
      <w:pPr>
        <w:ind w:firstLine="708"/>
        <w:jc w:val="both"/>
        <w:rPr>
          <w:rFonts w:ascii="Abadi" w:eastAsia="Batang" w:hAnsi="Abadi" w:cs="Arial"/>
          <w:sz w:val="21"/>
          <w:szCs w:val="21"/>
        </w:rPr>
      </w:pPr>
    </w:p>
    <w:p w14:paraId="426C78C2" w14:textId="77777777" w:rsidR="00616877" w:rsidRPr="00616877" w:rsidRDefault="00616877" w:rsidP="00616877">
      <w:pPr>
        <w:jc w:val="both"/>
        <w:rPr>
          <w:rFonts w:ascii="Abadi" w:eastAsia="Batang" w:hAnsi="Abadi" w:cs="Arial"/>
          <w:sz w:val="21"/>
          <w:szCs w:val="21"/>
        </w:rPr>
      </w:pPr>
      <w:r w:rsidRPr="00616877">
        <w:rPr>
          <w:rFonts w:ascii="Abadi" w:hAnsi="Abadi" w:cs="Arial"/>
          <w:b/>
          <w:bCs/>
          <w:sz w:val="21"/>
          <w:szCs w:val="21"/>
        </w:rPr>
        <w:t>I.2.</w:t>
      </w:r>
      <w:r w:rsidRPr="00616877">
        <w:rPr>
          <w:rFonts w:ascii="Abadi" w:hAnsi="Abadi" w:cs="Arial"/>
          <w:sz w:val="21"/>
          <w:szCs w:val="21"/>
        </w:rPr>
        <w:t xml:space="preserve"> </w:t>
      </w:r>
      <w:r w:rsidRPr="00616877">
        <w:rPr>
          <w:rFonts w:ascii="Abadi" w:eastAsia="Batang" w:hAnsi="Abadi" w:cs="Arial"/>
          <w:sz w:val="21"/>
          <w:szCs w:val="21"/>
        </w:rPr>
        <w:t xml:space="preserve">En la reunión de la Comisión de Hacienda y Fiscalización que tuvo verificativo el 19 de abril de 2022 se aprobó como metodología para el análisis y dictaminación de la iniciativa, que la misma se remitiera a la Secretaría de Finanzas, Inversión y Administración, a la Coordinación General Jurídica de Gobierno del Estado y a la Unidad de Estudios de las Finanzas Públicas del Congreso del Estado, quienes contaron con un plazo de 10 días hábiles, para remitir los comentarios y observaciones que estimaran pertinentes. Se estableció además un </w:t>
      </w:r>
      <w:proofErr w:type="gramStart"/>
      <w:r w:rsidRPr="00616877">
        <w:rPr>
          <w:rFonts w:ascii="Abadi" w:eastAsia="Batang" w:hAnsi="Abadi" w:cs="Arial"/>
          <w:sz w:val="21"/>
          <w:szCs w:val="21"/>
        </w:rPr>
        <w:t>link</w:t>
      </w:r>
      <w:proofErr w:type="gramEnd"/>
      <w:r w:rsidRPr="00616877">
        <w:rPr>
          <w:rFonts w:ascii="Abadi" w:eastAsia="Batang" w:hAnsi="Abadi" w:cs="Arial"/>
          <w:sz w:val="21"/>
          <w:szCs w:val="21"/>
        </w:rPr>
        <w:t xml:space="preserve"> en la página web del Congreso del Estado, para consulta y participación ciudadana por un término de 10 días hábiles.</w:t>
      </w:r>
    </w:p>
    <w:p w14:paraId="56617268" w14:textId="77777777" w:rsidR="00616877" w:rsidRPr="00616877" w:rsidRDefault="00616877" w:rsidP="00616877">
      <w:pPr>
        <w:jc w:val="both"/>
        <w:rPr>
          <w:rFonts w:ascii="Abadi" w:eastAsia="Batang" w:hAnsi="Abadi" w:cs="Arial"/>
          <w:sz w:val="21"/>
          <w:szCs w:val="21"/>
        </w:rPr>
      </w:pPr>
    </w:p>
    <w:p w14:paraId="736EE801" w14:textId="77777777" w:rsidR="00616877" w:rsidRPr="00616877" w:rsidRDefault="00616877" w:rsidP="00616877">
      <w:pPr>
        <w:jc w:val="both"/>
        <w:rPr>
          <w:rFonts w:ascii="Abadi" w:eastAsia="Batang" w:hAnsi="Abadi" w:cs="Arial"/>
          <w:sz w:val="21"/>
          <w:szCs w:val="21"/>
        </w:rPr>
      </w:pPr>
      <w:r w:rsidRPr="00616877">
        <w:rPr>
          <w:rFonts w:ascii="Abadi" w:eastAsia="Batang" w:hAnsi="Abadi" w:cs="Arial"/>
          <w:sz w:val="21"/>
          <w:szCs w:val="21"/>
        </w:rPr>
        <w:t>Al respecto, se recibió la opinión de la Unidad de Estudios de las Finanzas Públicas del Congreso del Estado; así como la opinión consolidada de la Coordinación General Jurídica de Gobierno del Estado con la Secretaría de Finanzas, Inversión y Administración.</w:t>
      </w:r>
    </w:p>
    <w:p w14:paraId="7CAA9A60" w14:textId="77777777" w:rsidR="00616877" w:rsidRPr="00616877" w:rsidRDefault="00616877" w:rsidP="00616877">
      <w:pPr>
        <w:jc w:val="both"/>
        <w:rPr>
          <w:rFonts w:ascii="Abadi" w:eastAsia="Batang" w:hAnsi="Abadi" w:cs="Arial"/>
          <w:sz w:val="21"/>
          <w:szCs w:val="21"/>
        </w:rPr>
      </w:pPr>
    </w:p>
    <w:p w14:paraId="37F158AD" w14:textId="77777777" w:rsidR="00616877" w:rsidRPr="00616877" w:rsidRDefault="00616877" w:rsidP="00616877">
      <w:pPr>
        <w:jc w:val="both"/>
        <w:rPr>
          <w:rFonts w:ascii="Abadi" w:eastAsia="Batang" w:hAnsi="Abadi" w:cs="Arial"/>
          <w:sz w:val="21"/>
          <w:szCs w:val="21"/>
        </w:rPr>
      </w:pPr>
      <w:r w:rsidRPr="00616877">
        <w:rPr>
          <w:rFonts w:ascii="Abadi" w:eastAsia="Batang" w:hAnsi="Abadi" w:cs="Arial"/>
          <w:sz w:val="21"/>
          <w:szCs w:val="21"/>
        </w:rPr>
        <w:t>Se elaboró un documento con formato de comparativo, mismo que se circuló a quienes integran esta Comisión.</w:t>
      </w:r>
    </w:p>
    <w:p w14:paraId="40E3ABCE" w14:textId="77777777" w:rsidR="00616877" w:rsidRPr="00616877" w:rsidRDefault="00616877" w:rsidP="00616877">
      <w:pPr>
        <w:ind w:firstLine="708"/>
        <w:jc w:val="both"/>
        <w:rPr>
          <w:rFonts w:ascii="Abadi" w:eastAsia="Batang" w:hAnsi="Abadi" w:cs="Arial"/>
          <w:sz w:val="21"/>
          <w:szCs w:val="21"/>
        </w:rPr>
      </w:pPr>
    </w:p>
    <w:p w14:paraId="7942D832" w14:textId="77777777" w:rsidR="00616877" w:rsidRPr="00616877" w:rsidRDefault="00616877" w:rsidP="00616877">
      <w:pPr>
        <w:jc w:val="both"/>
        <w:rPr>
          <w:rFonts w:ascii="Abadi" w:hAnsi="Abadi" w:cs="Arial"/>
          <w:sz w:val="21"/>
          <w:szCs w:val="21"/>
        </w:rPr>
      </w:pPr>
      <w:r w:rsidRPr="00616877">
        <w:rPr>
          <w:rFonts w:ascii="Abadi" w:hAnsi="Abadi" w:cs="Arial"/>
          <w:sz w:val="21"/>
          <w:szCs w:val="21"/>
        </w:rPr>
        <w:t>El 8 de junio de 2022 se llevó a cabo una mesa de trabajo, en la que participamos las diputadas Alma Edwviges Alcaraz Hernández y Ruth Noemí Tiscareño Agoitia y el diputado Víctor Manuel Zanella Huerta, integrantes de esta Comisión, así como la diputada Martha Edith Moreno Valencia, asesores de los grupos parlamentarios representados en la Comisión, funcionarios de la Coordinación General Jurídica, de la Secretaría de Finanzas, Inversión y Administración y de la Unidad de Estudios de las Finanzas Públicas del Congreso del Estado y la secretaría técnica, en la que analizamos la iniciativa.</w:t>
      </w:r>
    </w:p>
    <w:p w14:paraId="146CF89E" w14:textId="77777777" w:rsidR="00616877" w:rsidRPr="00616877" w:rsidRDefault="00616877" w:rsidP="00616877">
      <w:pPr>
        <w:jc w:val="both"/>
        <w:rPr>
          <w:rFonts w:ascii="Abadi" w:hAnsi="Abadi" w:cs="Arial"/>
          <w:sz w:val="21"/>
          <w:szCs w:val="21"/>
        </w:rPr>
      </w:pPr>
    </w:p>
    <w:p w14:paraId="338A8204" w14:textId="77777777" w:rsidR="00616877" w:rsidRPr="00616877" w:rsidRDefault="00616877" w:rsidP="00616877">
      <w:pPr>
        <w:jc w:val="both"/>
        <w:rPr>
          <w:rFonts w:ascii="Abadi" w:hAnsi="Abadi" w:cs="Arial"/>
          <w:sz w:val="21"/>
          <w:szCs w:val="21"/>
        </w:rPr>
      </w:pPr>
      <w:r w:rsidRPr="00616877">
        <w:rPr>
          <w:rFonts w:ascii="Abadi" w:hAnsi="Abadi" w:cs="Arial"/>
          <w:b/>
          <w:bCs/>
          <w:sz w:val="21"/>
          <w:szCs w:val="21"/>
        </w:rPr>
        <w:t>1.3.</w:t>
      </w:r>
      <w:r w:rsidRPr="00616877">
        <w:rPr>
          <w:rFonts w:ascii="Abadi" w:hAnsi="Abadi" w:cs="Arial"/>
          <w:sz w:val="21"/>
          <w:szCs w:val="21"/>
        </w:rPr>
        <w:t xml:space="preserve">  La presidencia instruyó a la secretaría técnica la elaboración del proyecto de dictamen en sentido negativo, conforme lo dispuesto en los artículos 94, fracción VII y 272 fracción VIII inciso e de la Ley Orgánica del Poder Legislativo del Estado, dicho proyecto </w:t>
      </w:r>
      <w:r w:rsidRPr="00616877">
        <w:rPr>
          <w:rFonts w:ascii="Abadi" w:hAnsi="Abadi" w:cs="Arial" w:hint="eastAsia"/>
          <w:sz w:val="21"/>
          <w:szCs w:val="21"/>
        </w:rPr>
        <w:t>fue</w:t>
      </w:r>
      <w:r w:rsidRPr="00616877">
        <w:rPr>
          <w:rFonts w:ascii="Abadi" w:hAnsi="Abadi" w:cs="Arial"/>
          <w:sz w:val="21"/>
          <w:szCs w:val="21"/>
        </w:rPr>
        <w:t xml:space="preserve"> materia de revisión por las diputadas y los diputados integrantes de esta Comisión Dictaminadora.</w:t>
      </w:r>
    </w:p>
    <w:p w14:paraId="63AAAB44" w14:textId="77777777" w:rsidR="00616877" w:rsidRPr="00616877" w:rsidRDefault="00616877" w:rsidP="00616877">
      <w:pPr>
        <w:jc w:val="both"/>
        <w:rPr>
          <w:rFonts w:ascii="Abadi" w:hAnsi="Abadi" w:cs="Arial"/>
          <w:sz w:val="21"/>
          <w:szCs w:val="21"/>
        </w:rPr>
      </w:pPr>
    </w:p>
    <w:p w14:paraId="25794B69" w14:textId="77777777" w:rsidR="00616877" w:rsidRPr="00616877" w:rsidRDefault="00616877" w:rsidP="00616877">
      <w:pPr>
        <w:jc w:val="both"/>
        <w:rPr>
          <w:rFonts w:ascii="Abadi" w:hAnsi="Abadi" w:cs="Arial"/>
          <w:b/>
          <w:bCs/>
          <w:sz w:val="21"/>
          <w:szCs w:val="21"/>
        </w:rPr>
      </w:pPr>
      <w:r w:rsidRPr="00616877">
        <w:rPr>
          <w:rFonts w:ascii="Abadi" w:hAnsi="Abadi" w:cs="Arial"/>
          <w:b/>
          <w:bCs/>
          <w:sz w:val="21"/>
          <w:szCs w:val="21"/>
        </w:rPr>
        <w:t>II.</w:t>
      </w:r>
      <w:r w:rsidRPr="00616877">
        <w:rPr>
          <w:rFonts w:ascii="Abadi" w:hAnsi="Abadi" w:cs="Arial"/>
          <w:sz w:val="21"/>
          <w:szCs w:val="21"/>
        </w:rPr>
        <w:tab/>
      </w:r>
      <w:r w:rsidRPr="00616877">
        <w:rPr>
          <w:rFonts w:ascii="Abadi" w:hAnsi="Abadi" w:cs="Arial"/>
          <w:b/>
          <w:bCs/>
          <w:sz w:val="21"/>
          <w:szCs w:val="21"/>
        </w:rPr>
        <w:t>Consideraciones de las diputadas y los diputados iniciantes.</w:t>
      </w:r>
    </w:p>
    <w:p w14:paraId="394ED0B7" w14:textId="77777777" w:rsidR="00616877" w:rsidRPr="00616877" w:rsidRDefault="00616877" w:rsidP="00616877">
      <w:pPr>
        <w:jc w:val="both"/>
        <w:rPr>
          <w:rFonts w:ascii="Abadi" w:hAnsi="Abadi" w:cs="Arial"/>
          <w:b/>
          <w:bCs/>
          <w:sz w:val="21"/>
          <w:szCs w:val="21"/>
        </w:rPr>
      </w:pPr>
    </w:p>
    <w:p w14:paraId="1FA9C098" w14:textId="77777777" w:rsidR="00616877" w:rsidRPr="00616877" w:rsidRDefault="00616877" w:rsidP="00616877">
      <w:pPr>
        <w:jc w:val="both"/>
        <w:rPr>
          <w:rFonts w:ascii="Abadi" w:hAnsi="Abadi" w:cs="Arial"/>
          <w:sz w:val="21"/>
          <w:szCs w:val="21"/>
        </w:rPr>
      </w:pPr>
      <w:r w:rsidRPr="00616877">
        <w:rPr>
          <w:rFonts w:ascii="Abadi" w:hAnsi="Abadi" w:cs="Arial"/>
          <w:b/>
          <w:bCs/>
          <w:sz w:val="21"/>
          <w:szCs w:val="21"/>
        </w:rPr>
        <w:tab/>
      </w:r>
      <w:r w:rsidRPr="00616877">
        <w:rPr>
          <w:rFonts w:ascii="Abadi" w:hAnsi="Abadi" w:cs="Arial"/>
          <w:sz w:val="21"/>
          <w:szCs w:val="21"/>
        </w:rPr>
        <w:t>En la exposición de motivos de la iniciativa materia del presente dictamen, se refiere:</w:t>
      </w:r>
    </w:p>
    <w:p w14:paraId="4E4E3EF7" w14:textId="77777777" w:rsidR="00616877" w:rsidRPr="00616877" w:rsidRDefault="00616877" w:rsidP="00616877">
      <w:pPr>
        <w:jc w:val="both"/>
        <w:rPr>
          <w:rFonts w:ascii="Abadi" w:hAnsi="Abadi" w:cs="Arial"/>
          <w:sz w:val="21"/>
          <w:szCs w:val="21"/>
        </w:rPr>
      </w:pPr>
    </w:p>
    <w:p w14:paraId="2AD268F7"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 xml:space="preserve">En el Poder Legislativo se cristaliza la voluntad popular mediante la representación política. Por esto, todas las constituciones que surgieron al calor de movimientos populares igualitaristas asignaron a los Congresos una amplia atribución de vigilancia sobre la cosa pública, incluyendo el patrimonio y presupuesto públicos. </w:t>
      </w:r>
    </w:p>
    <w:p w14:paraId="6511A066" w14:textId="77777777" w:rsidR="00616877" w:rsidRPr="00616877" w:rsidRDefault="00616877" w:rsidP="00616877">
      <w:pPr>
        <w:ind w:left="709"/>
        <w:jc w:val="both"/>
        <w:rPr>
          <w:rFonts w:ascii="Abadi" w:hAnsi="Abadi" w:cs="Arial"/>
          <w:i/>
          <w:iCs/>
          <w:sz w:val="21"/>
          <w:szCs w:val="21"/>
        </w:rPr>
      </w:pPr>
    </w:p>
    <w:p w14:paraId="70434CA2"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En nuestro país, como parte de esa atribución, desde su origen la Constitución asignó al Poder Legislativo la facultad de aprobar anualmente el presupuesto de egresos federal, exclusiva y específicamente a la Cámara de Diputados.</w:t>
      </w:r>
      <w:r w:rsidRPr="00616877">
        <w:rPr>
          <w:rFonts w:ascii="Abadi" w:hAnsi="Abadi" w:cs="Arial"/>
          <w:i/>
          <w:iCs/>
          <w:sz w:val="21"/>
          <w:szCs w:val="21"/>
          <w:vertAlign w:val="superscript"/>
        </w:rPr>
        <w:footnoteReference w:id="158"/>
      </w:r>
      <w:r w:rsidRPr="00616877">
        <w:rPr>
          <w:rFonts w:ascii="Abadi" w:hAnsi="Abadi" w:cs="Arial"/>
          <w:i/>
          <w:iCs/>
          <w:sz w:val="21"/>
          <w:szCs w:val="21"/>
        </w:rPr>
        <w:t xml:space="preserve"> Por su parte, en el ámbito subnacional esta facultad se traslada también exclusivamente a las Legislaturas locales</w:t>
      </w:r>
      <w:r w:rsidRPr="00616877">
        <w:rPr>
          <w:rFonts w:ascii="Abadi" w:hAnsi="Abadi" w:cs="Arial"/>
          <w:i/>
          <w:iCs/>
          <w:sz w:val="21"/>
          <w:szCs w:val="21"/>
          <w:vertAlign w:val="superscript"/>
        </w:rPr>
        <w:footnoteReference w:id="159"/>
      </w:r>
      <w:r w:rsidRPr="00616877">
        <w:rPr>
          <w:rFonts w:ascii="Abadi" w:hAnsi="Abadi" w:cs="Arial"/>
          <w:i/>
          <w:iCs/>
          <w:sz w:val="21"/>
          <w:szCs w:val="21"/>
        </w:rPr>
        <w:t>, de las que nuestra entidad no es la excepción.</w:t>
      </w:r>
      <w:r w:rsidRPr="00616877">
        <w:rPr>
          <w:rFonts w:ascii="Abadi" w:hAnsi="Abadi" w:cs="Arial"/>
          <w:i/>
          <w:iCs/>
          <w:sz w:val="21"/>
          <w:szCs w:val="21"/>
          <w:vertAlign w:val="superscript"/>
        </w:rPr>
        <w:footnoteReference w:id="160"/>
      </w:r>
    </w:p>
    <w:p w14:paraId="60DFCC0D" w14:textId="77777777" w:rsidR="00616877" w:rsidRPr="00616877" w:rsidRDefault="00616877" w:rsidP="00616877">
      <w:pPr>
        <w:ind w:left="709"/>
        <w:jc w:val="both"/>
        <w:rPr>
          <w:rFonts w:ascii="Abadi" w:hAnsi="Abadi" w:cs="Arial"/>
          <w:i/>
          <w:iCs/>
          <w:sz w:val="21"/>
          <w:szCs w:val="21"/>
        </w:rPr>
      </w:pPr>
    </w:p>
    <w:p w14:paraId="04A3E977"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 xml:space="preserve">Este diseño institucional de control político sobre la asignación de los recursos públicos busca filtrar las decisiones del gasto por el tamiz de la democracia, así como limitar la discrecionalidad en materia por parte de quien ejerza dichos recursos. Sin embargo, como toda creación humana, este diseño institucional es susceptible de complementarse, actualizarse o corregirse de acuerdo con los retos y demandas sociales que nos exija la propia democracia. </w:t>
      </w:r>
    </w:p>
    <w:p w14:paraId="1F402C6F" w14:textId="77777777" w:rsidR="00616877" w:rsidRPr="00616877" w:rsidRDefault="00616877" w:rsidP="00616877">
      <w:pPr>
        <w:ind w:left="709"/>
        <w:jc w:val="both"/>
        <w:rPr>
          <w:rFonts w:ascii="Abadi" w:hAnsi="Abadi" w:cs="Arial"/>
          <w:i/>
          <w:iCs/>
          <w:sz w:val="21"/>
          <w:szCs w:val="21"/>
        </w:rPr>
      </w:pPr>
    </w:p>
    <w:p w14:paraId="7BF56C9F"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 xml:space="preserve">En este sentido, desde Morena hemos luchado por reducir los márgenes de discrecionalidad sobre las asignaciones del presupuesto público en todos los poderes y niveles de gobierno, consiguiendo avances institucionales como la prohibición constitucional de partidas secretas en el presupuesto de egresos de la federación.  </w:t>
      </w:r>
    </w:p>
    <w:p w14:paraId="115508D9" w14:textId="77777777" w:rsidR="00616877" w:rsidRPr="00616877" w:rsidRDefault="00616877" w:rsidP="00616877">
      <w:pPr>
        <w:ind w:left="709"/>
        <w:jc w:val="both"/>
        <w:rPr>
          <w:rFonts w:ascii="Abadi" w:hAnsi="Abadi" w:cs="Arial"/>
          <w:i/>
          <w:iCs/>
          <w:sz w:val="21"/>
          <w:szCs w:val="21"/>
        </w:rPr>
      </w:pPr>
    </w:p>
    <w:p w14:paraId="064134B1"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 xml:space="preserve">Sin embargo, en el estado de Guanajuato la situación ha sido más compleja, pues luego de 30 años ininterrumpidos de gobiernos emanados del mismo partido político, la capacidad de mejora continua de los mecanismos de control político sobre los recursos públicos ha ido decayendo. Así, existen múltiples ámbitos del gasto que requieren una revisión exhaustiva para la reducción de los márgenes de discrecionalidad que escapan al control democrático encargado a este Congreso. Uno de estos ámbitos son los gastos realizados por concepto de comunicación social y publicidad. </w:t>
      </w:r>
    </w:p>
    <w:p w14:paraId="0E8F2533"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 xml:space="preserve"> </w:t>
      </w:r>
    </w:p>
    <w:p w14:paraId="2492C02A"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 xml:space="preserve">Durante los últimos años, el Gobierno del Estado de Guanajuato ha sobrepasado los gastos en comunicación social aprobados en el presupuesto de egresos del estado para los ejercicios fiscales respectivos. Año con año, el gasto en comunicación social del gobierno estatal tiende a tener ampliaciones presupuestales que incrementan, hasta en 277%, el monto aprobado para dicho rubro por el Poder Legislativo en la Ley del Presupuesto General de Egresos, sin que exista una deliberación y aprobación por parte de la ciudadanía o sus representantes.  </w:t>
      </w:r>
    </w:p>
    <w:p w14:paraId="2CE2CC4C" w14:textId="77777777" w:rsidR="00616877" w:rsidRPr="00616877" w:rsidRDefault="00616877" w:rsidP="00616877">
      <w:pPr>
        <w:ind w:left="709"/>
        <w:jc w:val="both"/>
        <w:rPr>
          <w:rFonts w:ascii="Abadi" w:hAnsi="Abadi" w:cs="Arial"/>
          <w:i/>
          <w:iCs/>
          <w:sz w:val="21"/>
          <w:szCs w:val="21"/>
        </w:rPr>
      </w:pPr>
    </w:p>
    <w:p w14:paraId="13C44C90" w14:textId="77777777" w:rsidR="00616877" w:rsidRPr="00616877" w:rsidRDefault="00616877" w:rsidP="00616877">
      <w:pPr>
        <w:ind w:left="709"/>
        <w:jc w:val="both"/>
        <w:rPr>
          <w:rFonts w:ascii="Abadi" w:hAnsi="Abadi" w:cs="Arial"/>
          <w:i/>
          <w:iCs/>
          <w:sz w:val="21"/>
          <w:szCs w:val="2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963"/>
        <w:gridCol w:w="963"/>
        <w:gridCol w:w="665"/>
      </w:tblGrid>
      <w:tr w:rsidR="00616877" w:rsidRPr="00616877" w14:paraId="358689F9" w14:textId="77777777" w:rsidTr="004E6068">
        <w:tc>
          <w:tcPr>
            <w:tcW w:w="7374" w:type="dxa"/>
            <w:gridSpan w:val="4"/>
            <w:shd w:val="clear" w:color="auto" w:fill="auto"/>
          </w:tcPr>
          <w:p w14:paraId="6CB9F8B1" w14:textId="77777777" w:rsidR="00616877" w:rsidRPr="00616877" w:rsidRDefault="00616877" w:rsidP="00616877">
            <w:pPr>
              <w:jc w:val="both"/>
              <w:rPr>
                <w:rFonts w:ascii="Abadi" w:eastAsia="Calibri" w:hAnsi="Abadi" w:cs="Arial"/>
                <w:i/>
                <w:iCs/>
                <w:sz w:val="21"/>
                <w:szCs w:val="21"/>
              </w:rPr>
            </w:pPr>
            <w:r w:rsidRPr="00616877">
              <w:rPr>
                <w:rFonts w:ascii="Abadi" w:eastAsia="Calibri" w:hAnsi="Abadi" w:cs="Arial"/>
                <w:i/>
                <w:iCs/>
                <w:sz w:val="21"/>
                <w:szCs w:val="21"/>
              </w:rPr>
              <w:t>Presupuesto de servicios de comunicación social y publicidad</w:t>
            </w:r>
          </w:p>
        </w:tc>
      </w:tr>
      <w:tr w:rsidR="00616877" w:rsidRPr="00616877" w14:paraId="4D41894E" w14:textId="77777777" w:rsidTr="004E6068">
        <w:tc>
          <w:tcPr>
            <w:tcW w:w="1457" w:type="dxa"/>
            <w:shd w:val="clear" w:color="auto" w:fill="auto"/>
          </w:tcPr>
          <w:p w14:paraId="0567F00D" w14:textId="77777777" w:rsidR="00616877" w:rsidRPr="00616877" w:rsidRDefault="00616877" w:rsidP="00616877">
            <w:pPr>
              <w:jc w:val="center"/>
              <w:rPr>
                <w:rFonts w:ascii="Abadi" w:eastAsia="Calibri" w:hAnsi="Abadi" w:cs="Arial"/>
                <w:i/>
                <w:iCs/>
                <w:sz w:val="21"/>
                <w:szCs w:val="21"/>
              </w:rPr>
            </w:pPr>
            <w:r w:rsidRPr="00616877">
              <w:rPr>
                <w:rFonts w:ascii="Abadi" w:eastAsia="Calibri" w:hAnsi="Abadi" w:cs="Arial"/>
                <w:i/>
                <w:iCs/>
                <w:sz w:val="21"/>
                <w:szCs w:val="21"/>
              </w:rPr>
              <w:t>Ejercicio</w:t>
            </w:r>
          </w:p>
        </w:tc>
        <w:tc>
          <w:tcPr>
            <w:tcW w:w="1804" w:type="dxa"/>
            <w:shd w:val="clear" w:color="auto" w:fill="auto"/>
          </w:tcPr>
          <w:p w14:paraId="7F70C6FC" w14:textId="77777777" w:rsidR="00616877" w:rsidRPr="00616877" w:rsidRDefault="00616877" w:rsidP="00616877">
            <w:pPr>
              <w:jc w:val="center"/>
              <w:rPr>
                <w:rFonts w:ascii="Abadi" w:eastAsia="Calibri" w:hAnsi="Abadi" w:cs="Arial"/>
                <w:i/>
                <w:iCs/>
                <w:sz w:val="21"/>
                <w:szCs w:val="21"/>
              </w:rPr>
            </w:pPr>
            <w:r w:rsidRPr="00616877">
              <w:rPr>
                <w:rFonts w:ascii="Abadi" w:eastAsia="Calibri" w:hAnsi="Abadi" w:cs="Arial"/>
                <w:i/>
                <w:iCs/>
                <w:sz w:val="21"/>
                <w:szCs w:val="21"/>
              </w:rPr>
              <w:t>Aprobado</w:t>
            </w:r>
          </w:p>
        </w:tc>
        <w:tc>
          <w:tcPr>
            <w:tcW w:w="2135" w:type="dxa"/>
            <w:shd w:val="clear" w:color="auto" w:fill="auto"/>
          </w:tcPr>
          <w:p w14:paraId="248EAE74" w14:textId="77777777" w:rsidR="00616877" w:rsidRPr="00616877" w:rsidRDefault="00616877" w:rsidP="00616877">
            <w:pPr>
              <w:jc w:val="center"/>
              <w:rPr>
                <w:rFonts w:ascii="Abadi" w:eastAsia="Calibri" w:hAnsi="Abadi" w:cs="Arial"/>
                <w:i/>
                <w:iCs/>
                <w:sz w:val="21"/>
                <w:szCs w:val="21"/>
              </w:rPr>
            </w:pPr>
            <w:r w:rsidRPr="00616877">
              <w:rPr>
                <w:rFonts w:ascii="Abadi" w:eastAsia="Calibri" w:hAnsi="Abadi" w:cs="Arial"/>
                <w:i/>
                <w:iCs/>
                <w:sz w:val="21"/>
                <w:szCs w:val="21"/>
              </w:rPr>
              <w:t>Modificado</w:t>
            </w:r>
          </w:p>
        </w:tc>
        <w:tc>
          <w:tcPr>
            <w:tcW w:w="1978" w:type="dxa"/>
            <w:shd w:val="clear" w:color="auto" w:fill="auto"/>
          </w:tcPr>
          <w:p w14:paraId="10C76A31" w14:textId="77777777" w:rsidR="00616877" w:rsidRPr="00616877" w:rsidRDefault="00616877" w:rsidP="00616877">
            <w:pPr>
              <w:jc w:val="center"/>
              <w:rPr>
                <w:rFonts w:ascii="Abadi" w:eastAsia="Calibri" w:hAnsi="Abadi" w:cs="Arial"/>
                <w:i/>
                <w:iCs/>
                <w:sz w:val="21"/>
                <w:szCs w:val="21"/>
              </w:rPr>
            </w:pPr>
            <w:r w:rsidRPr="00616877">
              <w:rPr>
                <w:rFonts w:ascii="Abadi" w:eastAsia="Calibri" w:hAnsi="Abadi" w:cs="Arial"/>
                <w:i/>
                <w:iCs/>
                <w:sz w:val="21"/>
                <w:szCs w:val="21"/>
              </w:rPr>
              <w:t>Incremento</w:t>
            </w:r>
          </w:p>
        </w:tc>
      </w:tr>
      <w:tr w:rsidR="00616877" w:rsidRPr="00616877" w14:paraId="16E209B2" w14:textId="77777777" w:rsidTr="004E6068">
        <w:tc>
          <w:tcPr>
            <w:tcW w:w="1457" w:type="dxa"/>
            <w:shd w:val="clear" w:color="auto" w:fill="auto"/>
          </w:tcPr>
          <w:p w14:paraId="663D5551" w14:textId="77777777" w:rsidR="00616877" w:rsidRPr="00616877" w:rsidRDefault="00616877" w:rsidP="00616877">
            <w:pPr>
              <w:jc w:val="center"/>
              <w:rPr>
                <w:rFonts w:ascii="Abadi" w:eastAsia="Calibri" w:hAnsi="Abadi" w:cs="Arial"/>
                <w:i/>
                <w:iCs/>
                <w:sz w:val="21"/>
                <w:szCs w:val="21"/>
              </w:rPr>
            </w:pPr>
            <w:r w:rsidRPr="00616877">
              <w:rPr>
                <w:rFonts w:ascii="Abadi" w:eastAsia="Calibri" w:hAnsi="Abadi" w:cs="Arial"/>
                <w:i/>
                <w:iCs/>
                <w:sz w:val="21"/>
                <w:szCs w:val="21"/>
              </w:rPr>
              <w:t>2017</w:t>
            </w:r>
          </w:p>
        </w:tc>
        <w:tc>
          <w:tcPr>
            <w:tcW w:w="1804" w:type="dxa"/>
            <w:shd w:val="clear" w:color="auto" w:fill="auto"/>
          </w:tcPr>
          <w:p w14:paraId="59FEF86A" w14:textId="77777777" w:rsidR="00616877" w:rsidRPr="00616877" w:rsidRDefault="00616877" w:rsidP="00616877">
            <w:pPr>
              <w:jc w:val="both"/>
              <w:rPr>
                <w:rFonts w:ascii="Abadi" w:eastAsia="Calibri" w:hAnsi="Abadi" w:cs="Arial"/>
                <w:i/>
                <w:iCs/>
                <w:sz w:val="21"/>
                <w:szCs w:val="21"/>
              </w:rPr>
            </w:pPr>
            <w:r w:rsidRPr="00616877">
              <w:rPr>
                <w:rFonts w:ascii="Abadi" w:eastAsia="Calibri" w:hAnsi="Abadi" w:cs="Arial"/>
                <w:i/>
                <w:iCs/>
                <w:sz w:val="21"/>
                <w:szCs w:val="21"/>
              </w:rPr>
              <w:t>$174,336,818.56</w:t>
            </w:r>
          </w:p>
        </w:tc>
        <w:tc>
          <w:tcPr>
            <w:tcW w:w="2135" w:type="dxa"/>
            <w:shd w:val="clear" w:color="auto" w:fill="auto"/>
          </w:tcPr>
          <w:p w14:paraId="258CDB3E" w14:textId="77777777" w:rsidR="00616877" w:rsidRPr="00616877" w:rsidRDefault="00616877" w:rsidP="00616877">
            <w:pPr>
              <w:jc w:val="both"/>
              <w:rPr>
                <w:rFonts w:ascii="Abadi" w:eastAsia="Calibri" w:hAnsi="Abadi" w:cs="Arial"/>
                <w:i/>
                <w:iCs/>
                <w:sz w:val="21"/>
                <w:szCs w:val="21"/>
              </w:rPr>
            </w:pPr>
            <w:r w:rsidRPr="00616877">
              <w:rPr>
                <w:rFonts w:ascii="Abadi" w:eastAsia="Calibri" w:hAnsi="Abadi" w:cs="Arial"/>
                <w:i/>
                <w:iCs/>
                <w:sz w:val="21"/>
                <w:szCs w:val="21"/>
              </w:rPr>
              <w:t>$400,724,166.82</w:t>
            </w:r>
          </w:p>
        </w:tc>
        <w:tc>
          <w:tcPr>
            <w:tcW w:w="1978" w:type="dxa"/>
            <w:shd w:val="clear" w:color="auto" w:fill="auto"/>
          </w:tcPr>
          <w:p w14:paraId="27C3A01C" w14:textId="77777777" w:rsidR="00616877" w:rsidRPr="00616877" w:rsidRDefault="00616877" w:rsidP="00616877">
            <w:pPr>
              <w:jc w:val="center"/>
              <w:rPr>
                <w:rFonts w:ascii="Abadi" w:eastAsia="Calibri" w:hAnsi="Abadi" w:cs="Arial"/>
                <w:i/>
                <w:iCs/>
                <w:sz w:val="21"/>
                <w:szCs w:val="21"/>
              </w:rPr>
            </w:pPr>
            <w:r w:rsidRPr="00616877">
              <w:rPr>
                <w:rFonts w:ascii="Abadi" w:eastAsia="Calibri" w:hAnsi="Abadi" w:cs="Arial"/>
                <w:i/>
                <w:iCs/>
                <w:sz w:val="21"/>
                <w:szCs w:val="21"/>
              </w:rPr>
              <w:t>130%</w:t>
            </w:r>
          </w:p>
        </w:tc>
      </w:tr>
      <w:tr w:rsidR="00616877" w:rsidRPr="00616877" w14:paraId="396D9EAC" w14:textId="77777777" w:rsidTr="004E6068">
        <w:tc>
          <w:tcPr>
            <w:tcW w:w="1457" w:type="dxa"/>
            <w:shd w:val="clear" w:color="auto" w:fill="auto"/>
          </w:tcPr>
          <w:p w14:paraId="789ABBFD" w14:textId="77777777" w:rsidR="00616877" w:rsidRPr="00616877" w:rsidRDefault="00616877" w:rsidP="00616877">
            <w:pPr>
              <w:jc w:val="center"/>
              <w:rPr>
                <w:rFonts w:ascii="Abadi" w:eastAsia="Calibri" w:hAnsi="Abadi" w:cs="Arial"/>
                <w:i/>
                <w:iCs/>
                <w:sz w:val="21"/>
                <w:szCs w:val="21"/>
              </w:rPr>
            </w:pPr>
            <w:r w:rsidRPr="00616877">
              <w:rPr>
                <w:rFonts w:ascii="Abadi" w:eastAsia="Calibri" w:hAnsi="Abadi" w:cs="Arial"/>
                <w:i/>
                <w:iCs/>
                <w:sz w:val="21"/>
                <w:szCs w:val="21"/>
              </w:rPr>
              <w:t>2018</w:t>
            </w:r>
          </w:p>
        </w:tc>
        <w:tc>
          <w:tcPr>
            <w:tcW w:w="1804" w:type="dxa"/>
            <w:shd w:val="clear" w:color="auto" w:fill="auto"/>
          </w:tcPr>
          <w:p w14:paraId="632AE04E" w14:textId="77777777" w:rsidR="00616877" w:rsidRPr="00616877" w:rsidRDefault="00616877" w:rsidP="00616877">
            <w:pPr>
              <w:jc w:val="both"/>
              <w:rPr>
                <w:rFonts w:ascii="Abadi" w:eastAsia="Calibri" w:hAnsi="Abadi" w:cs="Arial"/>
                <w:i/>
                <w:iCs/>
                <w:sz w:val="21"/>
                <w:szCs w:val="21"/>
              </w:rPr>
            </w:pPr>
            <w:r w:rsidRPr="00616877">
              <w:rPr>
                <w:rFonts w:ascii="Abadi" w:eastAsia="Calibri" w:hAnsi="Abadi" w:cs="Arial"/>
                <w:i/>
                <w:iCs/>
                <w:sz w:val="21"/>
                <w:szCs w:val="21"/>
              </w:rPr>
              <w:t>$166,202,335.65</w:t>
            </w:r>
          </w:p>
        </w:tc>
        <w:tc>
          <w:tcPr>
            <w:tcW w:w="2135" w:type="dxa"/>
            <w:shd w:val="clear" w:color="auto" w:fill="auto"/>
          </w:tcPr>
          <w:p w14:paraId="7EEBF2DD" w14:textId="77777777" w:rsidR="00616877" w:rsidRPr="00616877" w:rsidRDefault="00616877" w:rsidP="00616877">
            <w:pPr>
              <w:jc w:val="both"/>
              <w:rPr>
                <w:rFonts w:ascii="Abadi" w:eastAsia="Calibri" w:hAnsi="Abadi" w:cs="Arial"/>
                <w:i/>
                <w:iCs/>
                <w:sz w:val="21"/>
                <w:szCs w:val="21"/>
              </w:rPr>
            </w:pPr>
            <w:r w:rsidRPr="00616877">
              <w:rPr>
                <w:rFonts w:ascii="Abadi" w:eastAsia="Calibri" w:hAnsi="Abadi" w:cs="Arial"/>
                <w:i/>
                <w:iCs/>
                <w:sz w:val="21"/>
                <w:szCs w:val="21"/>
              </w:rPr>
              <w:t>$350,234,476.64</w:t>
            </w:r>
          </w:p>
        </w:tc>
        <w:tc>
          <w:tcPr>
            <w:tcW w:w="1978" w:type="dxa"/>
            <w:shd w:val="clear" w:color="auto" w:fill="auto"/>
          </w:tcPr>
          <w:p w14:paraId="3CD10305" w14:textId="77777777" w:rsidR="00616877" w:rsidRPr="00616877" w:rsidRDefault="00616877" w:rsidP="00616877">
            <w:pPr>
              <w:jc w:val="center"/>
              <w:rPr>
                <w:rFonts w:ascii="Abadi" w:eastAsia="Calibri" w:hAnsi="Abadi" w:cs="Arial"/>
                <w:i/>
                <w:iCs/>
                <w:sz w:val="21"/>
                <w:szCs w:val="21"/>
              </w:rPr>
            </w:pPr>
            <w:r w:rsidRPr="00616877">
              <w:rPr>
                <w:rFonts w:ascii="Abadi" w:eastAsia="Calibri" w:hAnsi="Abadi" w:cs="Arial"/>
                <w:i/>
                <w:iCs/>
                <w:sz w:val="21"/>
                <w:szCs w:val="21"/>
              </w:rPr>
              <w:t>111%</w:t>
            </w:r>
          </w:p>
        </w:tc>
      </w:tr>
      <w:tr w:rsidR="00616877" w:rsidRPr="00616877" w14:paraId="6FF526FD" w14:textId="77777777" w:rsidTr="004E6068">
        <w:tc>
          <w:tcPr>
            <w:tcW w:w="1457" w:type="dxa"/>
            <w:shd w:val="clear" w:color="auto" w:fill="auto"/>
          </w:tcPr>
          <w:p w14:paraId="3D6D0DBE" w14:textId="77777777" w:rsidR="00616877" w:rsidRPr="00616877" w:rsidRDefault="00616877" w:rsidP="00616877">
            <w:pPr>
              <w:jc w:val="center"/>
              <w:rPr>
                <w:rFonts w:ascii="Abadi" w:eastAsia="Calibri" w:hAnsi="Abadi" w:cs="Arial"/>
                <w:i/>
                <w:iCs/>
                <w:sz w:val="21"/>
                <w:szCs w:val="21"/>
              </w:rPr>
            </w:pPr>
            <w:r w:rsidRPr="00616877">
              <w:rPr>
                <w:rFonts w:ascii="Abadi" w:eastAsia="Calibri" w:hAnsi="Abadi" w:cs="Arial"/>
                <w:i/>
                <w:iCs/>
                <w:sz w:val="21"/>
                <w:szCs w:val="21"/>
              </w:rPr>
              <w:t>2019</w:t>
            </w:r>
          </w:p>
        </w:tc>
        <w:tc>
          <w:tcPr>
            <w:tcW w:w="1804" w:type="dxa"/>
            <w:shd w:val="clear" w:color="auto" w:fill="auto"/>
          </w:tcPr>
          <w:p w14:paraId="1BB50306" w14:textId="77777777" w:rsidR="00616877" w:rsidRPr="00616877" w:rsidRDefault="00616877" w:rsidP="00616877">
            <w:pPr>
              <w:jc w:val="both"/>
              <w:rPr>
                <w:rFonts w:ascii="Abadi" w:eastAsia="Calibri" w:hAnsi="Abadi" w:cs="Arial"/>
                <w:i/>
                <w:iCs/>
                <w:sz w:val="21"/>
                <w:szCs w:val="21"/>
              </w:rPr>
            </w:pPr>
            <w:r w:rsidRPr="00616877">
              <w:rPr>
                <w:rFonts w:ascii="Abadi" w:eastAsia="Calibri" w:hAnsi="Abadi" w:cs="Arial"/>
                <w:i/>
                <w:iCs/>
                <w:sz w:val="21"/>
                <w:szCs w:val="21"/>
              </w:rPr>
              <w:t>$165,667,539.22</w:t>
            </w:r>
          </w:p>
        </w:tc>
        <w:tc>
          <w:tcPr>
            <w:tcW w:w="2135" w:type="dxa"/>
            <w:shd w:val="clear" w:color="auto" w:fill="auto"/>
          </w:tcPr>
          <w:p w14:paraId="0A41BE39" w14:textId="77777777" w:rsidR="00616877" w:rsidRPr="00616877" w:rsidRDefault="00616877" w:rsidP="00616877">
            <w:pPr>
              <w:jc w:val="both"/>
              <w:rPr>
                <w:rFonts w:ascii="Abadi" w:eastAsia="Calibri" w:hAnsi="Abadi" w:cs="Arial"/>
                <w:i/>
                <w:iCs/>
                <w:sz w:val="21"/>
                <w:szCs w:val="21"/>
              </w:rPr>
            </w:pPr>
            <w:r w:rsidRPr="00616877">
              <w:rPr>
                <w:rFonts w:ascii="Abadi" w:eastAsia="Calibri" w:hAnsi="Abadi" w:cs="Arial"/>
                <w:i/>
                <w:iCs/>
                <w:sz w:val="21"/>
                <w:szCs w:val="21"/>
              </w:rPr>
              <w:t>$415,390,673.29</w:t>
            </w:r>
          </w:p>
        </w:tc>
        <w:tc>
          <w:tcPr>
            <w:tcW w:w="1978" w:type="dxa"/>
            <w:shd w:val="clear" w:color="auto" w:fill="auto"/>
          </w:tcPr>
          <w:p w14:paraId="172B374C" w14:textId="77777777" w:rsidR="00616877" w:rsidRPr="00616877" w:rsidRDefault="00616877" w:rsidP="00616877">
            <w:pPr>
              <w:jc w:val="center"/>
              <w:rPr>
                <w:rFonts w:ascii="Abadi" w:eastAsia="Calibri" w:hAnsi="Abadi" w:cs="Arial"/>
                <w:i/>
                <w:iCs/>
                <w:sz w:val="21"/>
                <w:szCs w:val="21"/>
              </w:rPr>
            </w:pPr>
            <w:r w:rsidRPr="00616877">
              <w:rPr>
                <w:rFonts w:ascii="Abadi" w:eastAsia="Calibri" w:hAnsi="Abadi" w:cs="Arial"/>
                <w:i/>
                <w:iCs/>
                <w:sz w:val="21"/>
                <w:szCs w:val="21"/>
              </w:rPr>
              <w:t>151%</w:t>
            </w:r>
          </w:p>
        </w:tc>
      </w:tr>
      <w:tr w:rsidR="00616877" w:rsidRPr="00616877" w14:paraId="48391679" w14:textId="77777777" w:rsidTr="004E6068">
        <w:tc>
          <w:tcPr>
            <w:tcW w:w="1457" w:type="dxa"/>
            <w:shd w:val="clear" w:color="auto" w:fill="auto"/>
          </w:tcPr>
          <w:p w14:paraId="2AE5A395" w14:textId="77777777" w:rsidR="00616877" w:rsidRPr="00616877" w:rsidRDefault="00616877" w:rsidP="00616877">
            <w:pPr>
              <w:jc w:val="center"/>
              <w:rPr>
                <w:rFonts w:ascii="Abadi" w:eastAsia="Calibri" w:hAnsi="Abadi" w:cs="Arial"/>
                <w:i/>
                <w:iCs/>
                <w:sz w:val="21"/>
                <w:szCs w:val="21"/>
              </w:rPr>
            </w:pPr>
            <w:r w:rsidRPr="00616877">
              <w:rPr>
                <w:rFonts w:ascii="Abadi" w:eastAsia="Calibri" w:hAnsi="Abadi" w:cs="Arial"/>
                <w:i/>
                <w:iCs/>
                <w:sz w:val="21"/>
                <w:szCs w:val="21"/>
              </w:rPr>
              <w:t>2020</w:t>
            </w:r>
          </w:p>
        </w:tc>
        <w:tc>
          <w:tcPr>
            <w:tcW w:w="1804" w:type="dxa"/>
            <w:shd w:val="clear" w:color="auto" w:fill="auto"/>
          </w:tcPr>
          <w:p w14:paraId="46C165B8" w14:textId="77777777" w:rsidR="00616877" w:rsidRPr="00616877" w:rsidRDefault="00616877" w:rsidP="00616877">
            <w:pPr>
              <w:jc w:val="both"/>
              <w:rPr>
                <w:rFonts w:ascii="Abadi" w:eastAsia="Calibri" w:hAnsi="Abadi" w:cs="Arial"/>
                <w:i/>
                <w:iCs/>
                <w:sz w:val="21"/>
                <w:szCs w:val="21"/>
              </w:rPr>
            </w:pPr>
            <w:r w:rsidRPr="00616877">
              <w:rPr>
                <w:rFonts w:ascii="Abadi" w:eastAsia="Calibri" w:hAnsi="Abadi" w:cs="Arial"/>
                <w:i/>
                <w:iCs/>
                <w:sz w:val="21"/>
                <w:szCs w:val="21"/>
              </w:rPr>
              <w:t>$203,549,013.38</w:t>
            </w:r>
          </w:p>
        </w:tc>
        <w:tc>
          <w:tcPr>
            <w:tcW w:w="2135" w:type="dxa"/>
            <w:shd w:val="clear" w:color="auto" w:fill="auto"/>
          </w:tcPr>
          <w:p w14:paraId="04680E7A" w14:textId="77777777" w:rsidR="00616877" w:rsidRPr="00616877" w:rsidRDefault="00616877" w:rsidP="00616877">
            <w:pPr>
              <w:jc w:val="both"/>
              <w:rPr>
                <w:rFonts w:ascii="Abadi" w:eastAsia="Calibri" w:hAnsi="Abadi" w:cs="Arial"/>
                <w:i/>
                <w:iCs/>
                <w:sz w:val="21"/>
                <w:szCs w:val="21"/>
              </w:rPr>
            </w:pPr>
            <w:r w:rsidRPr="00616877">
              <w:rPr>
                <w:rFonts w:ascii="Abadi" w:eastAsia="Calibri" w:hAnsi="Abadi" w:cs="Arial"/>
                <w:i/>
                <w:iCs/>
                <w:sz w:val="21"/>
                <w:szCs w:val="21"/>
              </w:rPr>
              <w:t>$507,272,597.46</w:t>
            </w:r>
          </w:p>
        </w:tc>
        <w:tc>
          <w:tcPr>
            <w:tcW w:w="1978" w:type="dxa"/>
            <w:shd w:val="clear" w:color="auto" w:fill="auto"/>
          </w:tcPr>
          <w:p w14:paraId="27000E80" w14:textId="77777777" w:rsidR="00616877" w:rsidRPr="00616877" w:rsidRDefault="00616877" w:rsidP="00616877">
            <w:pPr>
              <w:jc w:val="center"/>
              <w:rPr>
                <w:rFonts w:ascii="Abadi" w:eastAsia="Calibri" w:hAnsi="Abadi" w:cs="Arial"/>
                <w:i/>
                <w:iCs/>
                <w:sz w:val="21"/>
                <w:szCs w:val="21"/>
              </w:rPr>
            </w:pPr>
            <w:r w:rsidRPr="00616877">
              <w:rPr>
                <w:rFonts w:ascii="Abadi" w:eastAsia="Calibri" w:hAnsi="Abadi" w:cs="Arial"/>
                <w:i/>
                <w:iCs/>
                <w:sz w:val="21"/>
                <w:szCs w:val="21"/>
              </w:rPr>
              <w:t>149%</w:t>
            </w:r>
          </w:p>
        </w:tc>
      </w:tr>
      <w:tr w:rsidR="00616877" w:rsidRPr="00616877" w14:paraId="30B57E5F" w14:textId="77777777" w:rsidTr="004E6068">
        <w:tc>
          <w:tcPr>
            <w:tcW w:w="1457" w:type="dxa"/>
            <w:shd w:val="clear" w:color="auto" w:fill="auto"/>
          </w:tcPr>
          <w:p w14:paraId="511FEEDB" w14:textId="77777777" w:rsidR="00616877" w:rsidRPr="00616877" w:rsidRDefault="00616877" w:rsidP="00616877">
            <w:pPr>
              <w:jc w:val="center"/>
              <w:rPr>
                <w:rFonts w:ascii="Abadi" w:eastAsia="Calibri" w:hAnsi="Abadi" w:cs="Arial"/>
                <w:i/>
                <w:iCs/>
                <w:sz w:val="21"/>
                <w:szCs w:val="21"/>
              </w:rPr>
            </w:pPr>
            <w:r w:rsidRPr="00616877">
              <w:rPr>
                <w:rFonts w:ascii="Abadi" w:eastAsia="Calibri" w:hAnsi="Abadi" w:cs="Arial"/>
                <w:i/>
                <w:iCs/>
                <w:sz w:val="21"/>
                <w:szCs w:val="21"/>
              </w:rPr>
              <w:t>2021</w:t>
            </w:r>
          </w:p>
        </w:tc>
        <w:tc>
          <w:tcPr>
            <w:tcW w:w="1804" w:type="dxa"/>
            <w:shd w:val="clear" w:color="auto" w:fill="auto"/>
          </w:tcPr>
          <w:p w14:paraId="511B2BA9" w14:textId="77777777" w:rsidR="00616877" w:rsidRPr="00616877" w:rsidRDefault="00616877" w:rsidP="00616877">
            <w:pPr>
              <w:jc w:val="both"/>
              <w:rPr>
                <w:rFonts w:ascii="Abadi" w:eastAsia="Calibri" w:hAnsi="Abadi" w:cs="Arial"/>
                <w:i/>
                <w:iCs/>
                <w:sz w:val="21"/>
                <w:szCs w:val="21"/>
              </w:rPr>
            </w:pPr>
            <w:r w:rsidRPr="00616877">
              <w:rPr>
                <w:rFonts w:ascii="Abadi" w:eastAsia="Calibri" w:hAnsi="Abadi" w:cs="Arial"/>
                <w:i/>
                <w:iCs/>
                <w:sz w:val="21"/>
                <w:szCs w:val="21"/>
              </w:rPr>
              <w:t>$136,984,057.59</w:t>
            </w:r>
          </w:p>
        </w:tc>
        <w:tc>
          <w:tcPr>
            <w:tcW w:w="2135" w:type="dxa"/>
            <w:shd w:val="clear" w:color="auto" w:fill="auto"/>
          </w:tcPr>
          <w:p w14:paraId="1A66E603" w14:textId="77777777" w:rsidR="00616877" w:rsidRPr="00616877" w:rsidRDefault="00616877" w:rsidP="00616877">
            <w:pPr>
              <w:jc w:val="both"/>
              <w:rPr>
                <w:rFonts w:ascii="Abadi" w:eastAsia="Calibri" w:hAnsi="Abadi" w:cs="Arial"/>
                <w:i/>
                <w:iCs/>
                <w:sz w:val="21"/>
                <w:szCs w:val="21"/>
              </w:rPr>
            </w:pPr>
            <w:r w:rsidRPr="00616877">
              <w:rPr>
                <w:rFonts w:ascii="Abadi" w:eastAsia="Calibri" w:hAnsi="Abadi" w:cs="Arial"/>
                <w:i/>
                <w:iCs/>
                <w:sz w:val="21"/>
                <w:szCs w:val="21"/>
              </w:rPr>
              <w:t>$516,947,995.00</w:t>
            </w:r>
          </w:p>
        </w:tc>
        <w:tc>
          <w:tcPr>
            <w:tcW w:w="1978" w:type="dxa"/>
            <w:shd w:val="clear" w:color="auto" w:fill="auto"/>
          </w:tcPr>
          <w:p w14:paraId="7892BEFA" w14:textId="77777777" w:rsidR="00616877" w:rsidRPr="00616877" w:rsidRDefault="00616877" w:rsidP="00616877">
            <w:pPr>
              <w:jc w:val="center"/>
              <w:rPr>
                <w:rFonts w:ascii="Abadi" w:eastAsia="Calibri" w:hAnsi="Abadi" w:cs="Arial"/>
                <w:i/>
                <w:iCs/>
                <w:sz w:val="21"/>
                <w:szCs w:val="21"/>
              </w:rPr>
            </w:pPr>
            <w:r w:rsidRPr="00616877">
              <w:rPr>
                <w:rFonts w:ascii="Abadi" w:eastAsia="Calibri" w:hAnsi="Abadi" w:cs="Arial"/>
                <w:i/>
                <w:iCs/>
                <w:sz w:val="21"/>
                <w:szCs w:val="21"/>
              </w:rPr>
              <w:t>277%</w:t>
            </w:r>
          </w:p>
        </w:tc>
      </w:tr>
    </w:tbl>
    <w:p w14:paraId="3DBDDE99"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ab/>
        <w:t>Fuente:</w:t>
      </w:r>
      <w:r w:rsidRPr="00616877">
        <w:rPr>
          <w:rFonts w:ascii="Abadi" w:hAnsi="Abadi"/>
          <w:sz w:val="21"/>
          <w:szCs w:val="21"/>
        </w:rPr>
        <w:t xml:space="preserve"> </w:t>
      </w:r>
      <w:r w:rsidRPr="00616877">
        <w:rPr>
          <w:rFonts w:ascii="Abadi" w:hAnsi="Abadi" w:cs="Arial"/>
          <w:i/>
          <w:iCs/>
          <w:sz w:val="21"/>
          <w:szCs w:val="21"/>
        </w:rPr>
        <w:t>elaboración propia con base en datos de la Cuenta Pública estatal.</w:t>
      </w:r>
    </w:p>
    <w:p w14:paraId="3811767D" w14:textId="77777777" w:rsidR="00616877" w:rsidRPr="00616877" w:rsidRDefault="00616877" w:rsidP="00616877">
      <w:pPr>
        <w:ind w:left="709"/>
        <w:jc w:val="both"/>
        <w:rPr>
          <w:rFonts w:ascii="Abadi" w:hAnsi="Abadi" w:cs="Arial"/>
          <w:i/>
          <w:iCs/>
          <w:sz w:val="21"/>
          <w:szCs w:val="21"/>
        </w:rPr>
      </w:pPr>
    </w:p>
    <w:p w14:paraId="10FB6A43"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De igual manera, de 2017 a 2021, los gobiernos de Acción Nacional han ejercido $2,016,372,453.26 en el concepto de servicios de comunicación social y publicidad; esto es, más de 1 millón de pesos diarios</w:t>
      </w:r>
      <w:r w:rsidRPr="00616877">
        <w:rPr>
          <w:rFonts w:ascii="Abadi" w:hAnsi="Abadi" w:cs="Arial"/>
          <w:i/>
          <w:iCs/>
          <w:sz w:val="21"/>
          <w:szCs w:val="21"/>
          <w:vertAlign w:val="superscript"/>
        </w:rPr>
        <w:footnoteReference w:id="161"/>
      </w:r>
      <w:r w:rsidRPr="00616877">
        <w:rPr>
          <w:rFonts w:ascii="Abadi" w:hAnsi="Abadi" w:cs="Arial"/>
          <w:i/>
          <w:iCs/>
          <w:sz w:val="21"/>
          <w:szCs w:val="21"/>
        </w:rPr>
        <w:t>. Lo anterior empeora si se observa únicamente el ejercicio 2021, cuando el gasto ascendió a $486,389,045.00, lo cual supone un gasto de $1,332,572.73 por día.</w:t>
      </w:r>
    </w:p>
    <w:p w14:paraId="18283F72"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 xml:space="preserve"> </w:t>
      </w:r>
    </w:p>
    <w:p w14:paraId="5B16A73E"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 xml:space="preserve">Estas ampliaciones reflejan un grado de discrecionalidad intolerable para cualquier democracia, toda vez que se vulneran los mecanismos institucionales de control político sobre el ejercicio de los recursos públicos y, con ello, la posibilidad de discutir pública y democráticamente el destino que deben tener dichos recursos.  </w:t>
      </w:r>
    </w:p>
    <w:p w14:paraId="64594A7B" w14:textId="77777777" w:rsidR="00616877" w:rsidRPr="00616877" w:rsidRDefault="00616877" w:rsidP="00616877">
      <w:pPr>
        <w:jc w:val="both"/>
        <w:rPr>
          <w:rFonts w:ascii="Abadi" w:hAnsi="Abadi" w:cs="Arial"/>
          <w:i/>
          <w:iCs/>
          <w:sz w:val="21"/>
          <w:szCs w:val="21"/>
        </w:rPr>
      </w:pPr>
    </w:p>
    <w:p w14:paraId="508B36F6"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Quienes suscribimos la presente iniciativa consideramos que, como representantes populares, no debemos renunciar a nuestra responsabilidad de control político sobre la hacienda pública, en este caso particular sobre los gastos en propaganda realizados con presupuesto público.</w:t>
      </w:r>
    </w:p>
    <w:p w14:paraId="07C852E3" w14:textId="77777777" w:rsidR="00616877" w:rsidRPr="00616877" w:rsidRDefault="00616877" w:rsidP="00616877">
      <w:pPr>
        <w:ind w:left="709"/>
        <w:jc w:val="both"/>
        <w:rPr>
          <w:rFonts w:ascii="Abadi" w:hAnsi="Abadi" w:cs="Arial"/>
          <w:i/>
          <w:iCs/>
          <w:sz w:val="21"/>
          <w:szCs w:val="21"/>
        </w:rPr>
      </w:pPr>
    </w:p>
    <w:p w14:paraId="2B2087F0"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 xml:space="preserve">En este sentido, con la finalidad de reducir los márgenes de discrecionalidad sobre el gasto en comunicación social y publicidad proponemos modificar la Ley para el Ejercicio y Control de los Recursos Públicos para el Estado y los Municipios de Guanajuato con la finalidad de eliminar la discrecionalidad de ampliar los gastos en este concepto.  </w:t>
      </w:r>
    </w:p>
    <w:p w14:paraId="1A0BC1E1" w14:textId="77777777" w:rsidR="00616877" w:rsidRPr="00616877" w:rsidRDefault="00616877" w:rsidP="00616877">
      <w:pPr>
        <w:ind w:left="709"/>
        <w:jc w:val="both"/>
        <w:rPr>
          <w:rFonts w:ascii="Abadi" w:hAnsi="Abadi" w:cs="Arial"/>
          <w:i/>
          <w:iCs/>
          <w:sz w:val="21"/>
          <w:szCs w:val="21"/>
        </w:rPr>
      </w:pPr>
    </w:p>
    <w:p w14:paraId="50199759"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 xml:space="preserve">Hoy en día, las disposiciones sobre programación, presupuestación, ejercicio y evaluación del gasto público vigentes en la Ley para el Ejercicio y Control de los Recursos le han permitido al Gobierno del Estado hacer ampliaciones de este tipo. Por esto, quienes suscribimos esta iniciativa creemos pertinente añadir la exclusión de los gastos en servicios de comunicación social y publicidad a la posibilidad de hacer ampliaciones o traspasos sin consultarlo al Congreso.   </w:t>
      </w:r>
    </w:p>
    <w:p w14:paraId="00D01D88" w14:textId="77777777" w:rsidR="00616877" w:rsidRPr="00616877" w:rsidRDefault="00616877" w:rsidP="00616877">
      <w:pPr>
        <w:ind w:left="709"/>
        <w:jc w:val="both"/>
        <w:rPr>
          <w:rFonts w:ascii="Abadi" w:hAnsi="Abadi" w:cs="Arial"/>
          <w:i/>
          <w:iCs/>
          <w:sz w:val="21"/>
          <w:szCs w:val="21"/>
        </w:rPr>
      </w:pPr>
    </w:p>
    <w:p w14:paraId="4B09A8F9"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Lo anterior en el entendido de que ampliaciones de dicha magnitud suponen, en los hechos, una modificación al Presupuesto de Egresos del Estado que no pasa por el filtro democrático de la deliberación y aprobación por parte de este Poder Legislativo.</w:t>
      </w:r>
    </w:p>
    <w:p w14:paraId="4CA425A2" w14:textId="77777777" w:rsidR="00616877" w:rsidRPr="00616877" w:rsidRDefault="00616877" w:rsidP="00616877">
      <w:pPr>
        <w:ind w:left="709"/>
        <w:jc w:val="both"/>
        <w:rPr>
          <w:rFonts w:ascii="Abadi" w:hAnsi="Abadi" w:cs="Arial"/>
          <w:i/>
          <w:iCs/>
          <w:sz w:val="21"/>
          <w:szCs w:val="21"/>
        </w:rPr>
      </w:pPr>
    </w:p>
    <w:p w14:paraId="5044A09A"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 xml:space="preserve">Adicionalmente, proponemos modificar la Ley de Contrataciones Públicas de nuestra entidad, misma que tiene como objeto regular, controlar y vigilar los actos y contratos llevados a cabo y celebrados por las autoridades del ámbito estatal en materia de prestación de servicios, entre otras.  </w:t>
      </w:r>
    </w:p>
    <w:p w14:paraId="73D20B3C" w14:textId="77777777" w:rsidR="00616877" w:rsidRPr="00616877" w:rsidRDefault="00616877" w:rsidP="00616877">
      <w:pPr>
        <w:ind w:left="709"/>
        <w:jc w:val="both"/>
        <w:rPr>
          <w:rFonts w:ascii="Abadi" w:hAnsi="Abadi" w:cs="Arial"/>
          <w:i/>
          <w:iCs/>
          <w:sz w:val="21"/>
          <w:szCs w:val="21"/>
        </w:rPr>
      </w:pPr>
    </w:p>
    <w:p w14:paraId="5C05EE16"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 xml:space="preserve">Actualmente, el artículo 7 de la Ley de Contrataciones excluye de su aplicación a los servicios de comunicación y publicidad, así como gastos ceremoniales, de representación, congresos y exposiciones, exclusión que no existe en otras entidades como CDMX o Puebla.  </w:t>
      </w:r>
    </w:p>
    <w:p w14:paraId="6A8BB468" w14:textId="77777777" w:rsidR="00616877" w:rsidRPr="00616877" w:rsidRDefault="00616877" w:rsidP="00616877">
      <w:pPr>
        <w:ind w:left="709"/>
        <w:jc w:val="both"/>
        <w:rPr>
          <w:rFonts w:ascii="Abadi" w:hAnsi="Abadi" w:cs="Arial"/>
          <w:i/>
          <w:iCs/>
          <w:sz w:val="21"/>
          <w:szCs w:val="21"/>
        </w:rPr>
      </w:pPr>
    </w:p>
    <w:p w14:paraId="0C94E1A3"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De ser aprobada, la presente iniciativa tendría los siguientes impactos:</w:t>
      </w:r>
    </w:p>
    <w:p w14:paraId="46A0D440" w14:textId="77777777" w:rsidR="00616877" w:rsidRPr="00616877" w:rsidRDefault="00616877" w:rsidP="00616877">
      <w:pPr>
        <w:ind w:left="709"/>
        <w:jc w:val="both"/>
        <w:rPr>
          <w:rFonts w:ascii="Abadi" w:hAnsi="Abadi" w:cs="Arial"/>
          <w:i/>
          <w:iCs/>
          <w:sz w:val="21"/>
          <w:szCs w:val="21"/>
        </w:rPr>
      </w:pPr>
    </w:p>
    <w:p w14:paraId="22FB7145"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 xml:space="preserve">I. Jurídico: Se reforman los artículos 61 ter 1 y 62 de la Ley para el Ejercicio y Control de los Recursos Públicos para el Estado y los Municipios de Guanajuato; se deroga la fracción IX del artículo 7 de la Ley de Contrataciones Públicas para el Estado de Guanajuato, recorriéndose en su orden las fracciones subsecuentes. </w:t>
      </w:r>
    </w:p>
    <w:p w14:paraId="23352BA0" w14:textId="77777777" w:rsidR="00616877" w:rsidRPr="00616877" w:rsidRDefault="00616877" w:rsidP="00616877">
      <w:pPr>
        <w:ind w:left="709"/>
        <w:jc w:val="both"/>
        <w:rPr>
          <w:rFonts w:ascii="Abadi" w:hAnsi="Abadi" w:cs="Arial"/>
          <w:i/>
          <w:iCs/>
          <w:sz w:val="21"/>
          <w:szCs w:val="21"/>
        </w:rPr>
      </w:pPr>
    </w:p>
    <w:p w14:paraId="49D75E82"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II. Administrativo: La presente iniciativa no incluye impactos administrativos.</w:t>
      </w:r>
    </w:p>
    <w:p w14:paraId="665182B5" w14:textId="77777777" w:rsidR="00616877" w:rsidRPr="00616877" w:rsidRDefault="00616877" w:rsidP="00616877">
      <w:pPr>
        <w:ind w:left="709"/>
        <w:jc w:val="both"/>
        <w:rPr>
          <w:rFonts w:ascii="Abadi" w:hAnsi="Abadi" w:cs="Arial"/>
          <w:i/>
          <w:iCs/>
          <w:sz w:val="21"/>
          <w:szCs w:val="21"/>
        </w:rPr>
      </w:pPr>
    </w:p>
    <w:p w14:paraId="60103FA8"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III. Presupuestal: La presente iniciativa no incluye impactos presupuestales.</w:t>
      </w:r>
    </w:p>
    <w:p w14:paraId="6A66EB11" w14:textId="77777777" w:rsidR="00616877" w:rsidRPr="00616877" w:rsidRDefault="00616877" w:rsidP="00616877">
      <w:pPr>
        <w:ind w:left="709"/>
        <w:jc w:val="both"/>
        <w:rPr>
          <w:rFonts w:ascii="Abadi" w:hAnsi="Abadi" w:cs="Arial"/>
          <w:i/>
          <w:iCs/>
          <w:sz w:val="21"/>
          <w:szCs w:val="21"/>
        </w:rPr>
      </w:pPr>
    </w:p>
    <w:p w14:paraId="0954DF9E" w14:textId="77777777" w:rsidR="00616877" w:rsidRPr="00616877" w:rsidRDefault="00616877" w:rsidP="00616877">
      <w:pPr>
        <w:ind w:left="709"/>
        <w:jc w:val="both"/>
        <w:rPr>
          <w:rFonts w:ascii="Abadi" w:hAnsi="Abadi" w:cs="Arial"/>
          <w:i/>
          <w:iCs/>
          <w:sz w:val="21"/>
          <w:szCs w:val="21"/>
        </w:rPr>
      </w:pPr>
      <w:r w:rsidRPr="00616877">
        <w:rPr>
          <w:rFonts w:ascii="Abadi" w:hAnsi="Abadi" w:cs="Arial"/>
          <w:i/>
          <w:iCs/>
          <w:sz w:val="21"/>
          <w:szCs w:val="21"/>
        </w:rPr>
        <w:t>IV. Social: Con la presente iniciativa se contribuye a reducir los márgenes de discrecionalidad en el ejercicio del presupuesto, con lo cual se abona a fortalecer la democracia y la gobernanza presupuestal.</w:t>
      </w:r>
    </w:p>
    <w:p w14:paraId="18136E38" w14:textId="77777777" w:rsidR="00616877" w:rsidRPr="00616877" w:rsidRDefault="00616877" w:rsidP="00616877">
      <w:pPr>
        <w:ind w:left="709"/>
        <w:jc w:val="both"/>
        <w:rPr>
          <w:rFonts w:ascii="Abadi" w:hAnsi="Abadi" w:cs="Arial"/>
          <w:i/>
          <w:iCs/>
          <w:sz w:val="21"/>
          <w:szCs w:val="21"/>
        </w:rPr>
      </w:pPr>
    </w:p>
    <w:p w14:paraId="3C780833" w14:textId="77777777" w:rsidR="00616877" w:rsidRPr="00616877" w:rsidRDefault="00616877" w:rsidP="00616877">
      <w:pPr>
        <w:autoSpaceDE w:val="0"/>
        <w:autoSpaceDN w:val="0"/>
        <w:adjustRightInd w:val="0"/>
        <w:ind w:right="615"/>
        <w:jc w:val="both"/>
        <w:rPr>
          <w:rFonts w:ascii="Abadi" w:eastAsia="Batang" w:hAnsi="Abadi" w:cs="Arial"/>
          <w:i/>
          <w:sz w:val="21"/>
          <w:szCs w:val="21"/>
          <w:lang w:val="es-MX"/>
        </w:rPr>
      </w:pPr>
      <w:r w:rsidRPr="00616877">
        <w:rPr>
          <w:rFonts w:ascii="Abadi" w:hAnsi="Abadi"/>
          <w:b/>
          <w:sz w:val="21"/>
          <w:szCs w:val="21"/>
          <w:lang w:val="es-MX"/>
        </w:rPr>
        <w:t>III.</w:t>
      </w:r>
      <w:r w:rsidRPr="00616877">
        <w:rPr>
          <w:rFonts w:ascii="Abadi" w:hAnsi="Abadi"/>
          <w:b/>
          <w:sz w:val="21"/>
          <w:szCs w:val="21"/>
          <w:lang w:val="es-MX"/>
        </w:rPr>
        <w:tab/>
        <w:t>Consideraciones de la Comisión Dictaminadora</w:t>
      </w:r>
    </w:p>
    <w:p w14:paraId="63DF6CA9" w14:textId="77777777" w:rsidR="00616877" w:rsidRPr="00616877" w:rsidRDefault="00616877" w:rsidP="00616877">
      <w:pPr>
        <w:ind w:firstLine="708"/>
        <w:jc w:val="both"/>
        <w:rPr>
          <w:rFonts w:ascii="Abadi" w:hAnsi="Abadi" w:cs="Arial"/>
          <w:sz w:val="21"/>
          <w:szCs w:val="21"/>
        </w:rPr>
      </w:pPr>
    </w:p>
    <w:p w14:paraId="0D586AF6" w14:textId="77777777" w:rsidR="00616877" w:rsidRPr="00616877" w:rsidRDefault="00616877" w:rsidP="00616877">
      <w:pPr>
        <w:ind w:firstLine="708"/>
        <w:jc w:val="both"/>
        <w:rPr>
          <w:rFonts w:ascii="Abadi" w:hAnsi="Abadi"/>
          <w:sz w:val="21"/>
          <w:szCs w:val="21"/>
        </w:rPr>
      </w:pPr>
      <w:r w:rsidRPr="00616877">
        <w:rPr>
          <w:rFonts w:ascii="Abadi" w:eastAsia="Batang" w:hAnsi="Abadi" w:cs="Arial"/>
          <w:sz w:val="21"/>
          <w:szCs w:val="21"/>
        </w:rPr>
        <w:t>Como podemos observar del contenido de la iniciativa materia del presente dictamen su objetivo en términos generales es que todas las ampliaciones líquidas y traspasos presupuestales del Poder Ejecutivo del Estado destinados a gastos de comunicación social y publicidad se autoricen por el Poder Legislativo; y eliminar la excepción que establece la Ley de Contrataciones Públicas para el Estado de Guanajuato respecto a l</w:t>
      </w:r>
      <w:r w:rsidRPr="00616877">
        <w:rPr>
          <w:rFonts w:ascii="Abadi" w:hAnsi="Abadi"/>
          <w:sz w:val="21"/>
          <w:szCs w:val="21"/>
        </w:rPr>
        <w:t>os servicios de comunicación y publicidad, así como los relacionados a gastos de ceremonial, de orden social, cultural y de representación, congresos, convenciones y exposiciones.</w:t>
      </w:r>
    </w:p>
    <w:p w14:paraId="140C117F" w14:textId="77777777" w:rsidR="00616877" w:rsidRPr="00616877" w:rsidRDefault="00616877" w:rsidP="00616877">
      <w:pPr>
        <w:ind w:firstLine="708"/>
        <w:jc w:val="both"/>
        <w:rPr>
          <w:rFonts w:ascii="Abadi" w:hAnsi="Abadi"/>
          <w:sz w:val="21"/>
          <w:szCs w:val="21"/>
        </w:rPr>
      </w:pPr>
    </w:p>
    <w:p w14:paraId="2E07FC78" w14:textId="77777777" w:rsidR="00616877" w:rsidRPr="00616877" w:rsidRDefault="00616877" w:rsidP="00616877">
      <w:pPr>
        <w:ind w:firstLine="708"/>
        <w:jc w:val="both"/>
        <w:rPr>
          <w:rFonts w:ascii="Abadi" w:eastAsia="Batang" w:hAnsi="Abadi" w:cs="Arial"/>
          <w:sz w:val="21"/>
          <w:szCs w:val="21"/>
        </w:rPr>
      </w:pPr>
      <w:r w:rsidRPr="00616877">
        <w:rPr>
          <w:rFonts w:ascii="Abadi" w:hAnsi="Abadi"/>
          <w:sz w:val="21"/>
          <w:szCs w:val="21"/>
        </w:rPr>
        <w:t xml:space="preserve">Un principio rector del Presupuesto es el de especialidad, que, de acuerdo a </w:t>
      </w:r>
      <w:r w:rsidRPr="00616877">
        <w:rPr>
          <w:rFonts w:ascii="Abadi" w:eastAsia="Batang" w:hAnsi="Abadi" w:cs="Arial"/>
          <w:sz w:val="21"/>
          <w:szCs w:val="21"/>
        </w:rPr>
        <w:t>Sergio Francisco de la Garza, citando a Gabino Fraga, consiste en que «…las autorizaciones presupuestales no deben darse por partidas globales, sino detallando para cada caso el monto autorizado»</w:t>
      </w:r>
      <w:r w:rsidRPr="00616877">
        <w:rPr>
          <w:rFonts w:ascii="Abadi" w:eastAsia="Batang" w:hAnsi="Abadi" w:cs="Arial"/>
          <w:sz w:val="21"/>
          <w:szCs w:val="21"/>
          <w:vertAlign w:val="superscript"/>
        </w:rPr>
        <w:footnoteReference w:id="162"/>
      </w:r>
      <w:r w:rsidRPr="00616877">
        <w:rPr>
          <w:rFonts w:ascii="Abadi" w:eastAsia="Batang" w:hAnsi="Abadi" w:cs="Arial"/>
          <w:sz w:val="21"/>
          <w:szCs w:val="21"/>
        </w:rPr>
        <w:t>, esto es, que los recursos sean aplicados conforme al texto de las partidas señaladas en el mismo.</w:t>
      </w:r>
    </w:p>
    <w:p w14:paraId="036D5E71" w14:textId="77777777" w:rsidR="00616877" w:rsidRPr="00616877" w:rsidRDefault="00616877" w:rsidP="00616877">
      <w:pPr>
        <w:ind w:firstLine="708"/>
        <w:jc w:val="both"/>
        <w:rPr>
          <w:rFonts w:ascii="Abadi" w:eastAsia="Batang" w:hAnsi="Abadi" w:cs="Arial"/>
          <w:sz w:val="21"/>
          <w:szCs w:val="21"/>
        </w:rPr>
      </w:pPr>
    </w:p>
    <w:p w14:paraId="15CCB62C" w14:textId="77777777" w:rsidR="00616877" w:rsidRPr="00616877" w:rsidRDefault="00616877" w:rsidP="00616877">
      <w:pPr>
        <w:ind w:firstLine="708"/>
        <w:jc w:val="both"/>
        <w:rPr>
          <w:rFonts w:ascii="Abadi" w:eastAsia="Batang" w:hAnsi="Abadi" w:cs="Arial"/>
          <w:sz w:val="21"/>
          <w:szCs w:val="21"/>
        </w:rPr>
      </w:pPr>
      <w:r w:rsidRPr="00616877">
        <w:rPr>
          <w:rFonts w:ascii="Abadi" w:eastAsia="Batang" w:hAnsi="Abadi" w:cs="Arial"/>
          <w:sz w:val="21"/>
          <w:szCs w:val="21"/>
        </w:rPr>
        <w:t>La práctica presupuestaria ha llevado a una interpretación flexible de este principio, considerando adecuado recurrir a las transferencias entre distintas partidas, siempre y cuando se atengan a normas de procedimiento que garanticen un mínimo de racionalidad y de cumplimiento de mandato parlamentario contenido en el presupuesto</w:t>
      </w:r>
      <w:r w:rsidRPr="00616877">
        <w:rPr>
          <w:rFonts w:ascii="Abadi" w:eastAsia="Batang" w:hAnsi="Abadi" w:cs="Arial"/>
          <w:sz w:val="21"/>
          <w:szCs w:val="21"/>
          <w:vertAlign w:val="superscript"/>
        </w:rPr>
        <w:footnoteReference w:id="163"/>
      </w:r>
      <w:r w:rsidRPr="00616877">
        <w:rPr>
          <w:rFonts w:ascii="Abadi" w:eastAsia="Batang" w:hAnsi="Abadi" w:cs="Arial"/>
          <w:sz w:val="21"/>
          <w:szCs w:val="21"/>
        </w:rPr>
        <w:t>.</w:t>
      </w:r>
    </w:p>
    <w:p w14:paraId="69757466" w14:textId="77777777" w:rsidR="00616877" w:rsidRPr="00616877" w:rsidRDefault="00616877" w:rsidP="00616877">
      <w:pPr>
        <w:ind w:firstLine="708"/>
        <w:jc w:val="both"/>
        <w:rPr>
          <w:rFonts w:ascii="Abadi" w:eastAsia="Batang" w:hAnsi="Abadi" w:cs="Arial"/>
          <w:sz w:val="21"/>
          <w:szCs w:val="21"/>
        </w:rPr>
      </w:pPr>
    </w:p>
    <w:p w14:paraId="59FF52A8" w14:textId="77777777" w:rsidR="00616877" w:rsidRPr="00616877" w:rsidRDefault="00616877" w:rsidP="00616877">
      <w:pPr>
        <w:ind w:firstLine="708"/>
        <w:jc w:val="both"/>
        <w:rPr>
          <w:rFonts w:ascii="Abadi" w:eastAsia="Batang" w:hAnsi="Abadi" w:cs="Arial"/>
          <w:sz w:val="21"/>
          <w:szCs w:val="21"/>
        </w:rPr>
      </w:pPr>
      <w:r w:rsidRPr="00616877">
        <w:rPr>
          <w:rFonts w:ascii="Abadi" w:eastAsia="Batang" w:hAnsi="Abadi" w:cs="Arial"/>
          <w:sz w:val="21"/>
          <w:szCs w:val="21"/>
        </w:rPr>
        <w:t>Dicho principio se encuentra previsto en nuestra legislación local, en el artículo 57 de la Ley para el Ejercicio y Control de los Recursos Públicos para el Estado y los Municipios de Guanajuato, que establece:</w:t>
      </w:r>
    </w:p>
    <w:p w14:paraId="3312DC8F" w14:textId="77777777" w:rsidR="00616877" w:rsidRPr="00616877" w:rsidRDefault="00616877" w:rsidP="00616877">
      <w:pPr>
        <w:ind w:firstLine="708"/>
        <w:jc w:val="both"/>
        <w:rPr>
          <w:rFonts w:ascii="Abadi" w:eastAsia="Batang" w:hAnsi="Abadi" w:cs="Arial"/>
          <w:sz w:val="21"/>
          <w:szCs w:val="21"/>
        </w:rPr>
      </w:pPr>
    </w:p>
    <w:p w14:paraId="75A43881" w14:textId="77777777" w:rsidR="00616877" w:rsidRPr="00616877" w:rsidRDefault="00616877" w:rsidP="00616877">
      <w:pPr>
        <w:ind w:left="709"/>
        <w:jc w:val="both"/>
        <w:rPr>
          <w:rFonts w:ascii="Abadi" w:hAnsi="Abadi" w:cs="Arial"/>
          <w:i/>
          <w:iCs/>
          <w:sz w:val="21"/>
          <w:szCs w:val="21"/>
          <w:lang w:eastAsia="en-US"/>
        </w:rPr>
      </w:pPr>
      <w:r w:rsidRPr="00616877">
        <w:rPr>
          <w:rFonts w:ascii="Abadi" w:hAnsi="Abadi"/>
          <w:b/>
          <w:i/>
          <w:iCs/>
          <w:sz w:val="21"/>
          <w:szCs w:val="21"/>
          <w:lang w:eastAsia="en-US"/>
        </w:rPr>
        <w:t>Artículo</w:t>
      </w:r>
      <w:r w:rsidRPr="00616877">
        <w:rPr>
          <w:rFonts w:ascii="Abadi" w:hAnsi="Abadi"/>
          <w:i/>
          <w:iCs/>
          <w:sz w:val="21"/>
          <w:szCs w:val="21"/>
          <w:lang w:eastAsia="en-US"/>
        </w:rPr>
        <w:t xml:space="preserve"> </w:t>
      </w:r>
      <w:r w:rsidRPr="00616877">
        <w:rPr>
          <w:rFonts w:ascii="Abadi" w:hAnsi="Abadi"/>
          <w:b/>
          <w:i/>
          <w:iCs/>
          <w:sz w:val="21"/>
          <w:szCs w:val="21"/>
          <w:lang w:eastAsia="en-US"/>
        </w:rPr>
        <w:t>57.</w:t>
      </w:r>
      <w:r w:rsidRPr="00616877">
        <w:rPr>
          <w:rFonts w:ascii="Abadi" w:hAnsi="Abadi"/>
          <w:i/>
          <w:iCs/>
          <w:sz w:val="21"/>
          <w:szCs w:val="21"/>
          <w:lang w:eastAsia="en-US"/>
        </w:rPr>
        <w:t xml:space="preserve"> </w:t>
      </w:r>
      <w:r w:rsidRPr="00616877">
        <w:rPr>
          <w:rFonts w:ascii="Abadi" w:hAnsi="Abadi" w:cs="Arial"/>
          <w:i/>
          <w:iCs/>
          <w:sz w:val="21"/>
          <w:szCs w:val="21"/>
          <w:lang w:eastAsia="en-US"/>
        </w:rPr>
        <w:t>Ningún gasto podrá efectuarse sin que exista partida expresa del presupuesto de egresos que lo autorice se determine por ley posterior o se realice con cargo a ingresos excedentes. Para que proceda una erogación y ésta sea lícita, deberá sujetarse al texto y suficiencia de la partida. Tampoco podrán utilizarse las partidas para cubrir necesidades distintas a aquéllas que comprenden su definición, salvo lo dispuesto en el artículo 149 de la Ley del Trabajo de los Servidores Públicos al Servicio del Estado y de los Municipios.</w:t>
      </w:r>
    </w:p>
    <w:p w14:paraId="1A5446C0" w14:textId="77777777" w:rsidR="00616877" w:rsidRPr="00616877" w:rsidRDefault="00616877" w:rsidP="00616877">
      <w:pPr>
        <w:jc w:val="both"/>
        <w:rPr>
          <w:rFonts w:ascii="Abadi" w:hAnsi="Abadi" w:cs="Arial"/>
          <w:i/>
          <w:iCs/>
          <w:sz w:val="21"/>
          <w:szCs w:val="21"/>
          <w:lang w:eastAsia="en-US"/>
        </w:rPr>
      </w:pPr>
    </w:p>
    <w:p w14:paraId="2E2B0653" w14:textId="77777777" w:rsidR="00616877" w:rsidRPr="00616877" w:rsidRDefault="00616877" w:rsidP="00616877">
      <w:pPr>
        <w:ind w:left="34" w:right="68" w:firstLine="674"/>
        <w:jc w:val="both"/>
        <w:rPr>
          <w:rFonts w:ascii="Abadi" w:eastAsia="Batang" w:hAnsi="Abadi" w:cs="Arial"/>
          <w:sz w:val="21"/>
          <w:szCs w:val="21"/>
        </w:rPr>
      </w:pPr>
      <w:r w:rsidRPr="00616877">
        <w:rPr>
          <w:rFonts w:ascii="Abadi" w:eastAsia="Batang" w:hAnsi="Abadi" w:cs="Arial"/>
          <w:sz w:val="21"/>
          <w:szCs w:val="21"/>
        </w:rPr>
        <w:t>Por su parte, la fracción I del artículo 3 de la referida Ley para el Ejercicio y Control de los Recursos Públicos establece:</w:t>
      </w:r>
    </w:p>
    <w:p w14:paraId="439E5812" w14:textId="77777777" w:rsidR="00616877" w:rsidRPr="00616877" w:rsidRDefault="00616877" w:rsidP="00616877">
      <w:pPr>
        <w:ind w:left="34" w:right="68" w:firstLine="674"/>
        <w:rPr>
          <w:rFonts w:ascii="Abadi" w:eastAsia="Batang" w:hAnsi="Abadi" w:cs="Arial"/>
          <w:sz w:val="21"/>
          <w:szCs w:val="21"/>
        </w:rPr>
      </w:pPr>
    </w:p>
    <w:p w14:paraId="2CA5940A" w14:textId="77777777" w:rsidR="00616877" w:rsidRPr="00616877" w:rsidRDefault="00616877" w:rsidP="00616877">
      <w:pPr>
        <w:ind w:left="709" w:right="68"/>
        <w:jc w:val="both"/>
        <w:rPr>
          <w:rFonts w:ascii="Abadi" w:hAnsi="Abadi"/>
          <w:i/>
          <w:iCs/>
          <w:sz w:val="21"/>
          <w:szCs w:val="21"/>
        </w:rPr>
      </w:pPr>
      <w:r w:rsidRPr="00616877">
        <w:rPr>
          <w:rFonts w:ascii="Abadi" w:hAnsi="Abadi"/>
          <w:b/>
          <w:i/>
          <w:iCs/>
          <w:sz w:val="21"/>
          <w:szCs w:val="21"/>
        </w:rPr>
        <w:t>Adecuaciones presupuestarias:</w:t>
      </w:r>
      <w:r w:rsidRPr="00616877">
        <w:rPr>
          <w:rFonts w:ascii="Abadi" w:hAnsi="Abadi"/>
          <w:sz w:val="21"/>
          <w:szCs w:val="21"/>
        </w:rPr>
        <w:t xml:space="preserve"> </w:t>
      </w:r>
      <w:r w:rsidRPr="00616877">
        <w:rPr>
          <w:rFonts w:ascii="Abadi" w:hAnsi="Abadi"/>
          <w:i/>
          <w:iCs/>
          <w:sz w:val="21"/>
          <w:szCs w:val="21"/>
        </w:rPr>
        <w:t>Las modificaciones a las estructuras funcional programática, administrativa y económica, a los calendarios de presupuesto y las ampliaciones y reducciones al presupuesto de egresos o a los flujos de efectivo correspondientes;</w:t>
      </w:r>
    </w:p>
    <w:p w14:paraId="672D13E1" w14:textId="77777777" w:rsidR="00616877" w:rsidRPr="00616877" w:rsidRDefault="00616877" w:rsidP="00616877">
      <w:pPr>
        <w:ind w:left="34" w:right="68" w:firstLine="674"/>
        <w:rPr>
          <w:rFonts w:ascii="Abadi" w:eastAsia="Batang" w:hAnsi="Abadi" w:cs="Arial"/>
          <w:sz w:val="21"/>
          <w:szCs w:val="21"/>
        </w:rPr>
      </w:pPr>
    </w:p>
    <w:p w14:paraId="47608D2F" w14:textId="77777777" w:rsidR="00616877" w:rsidRPr="00616877" w:rsidRDefault="00616877" w:rsidP="00616877">
      <w:pPr>
        <w:ind w:left="34" w:right="68" w:firstLine="674"/>
        <w:rPr>
          <w:rFonts w:ascii="Abadi" w:eastAsia="Batang" w:hAnsi="Abadi" w:cs="Arial"/>
          <w:sz w:val="21"/>
          <w:szCs w:val="21"/>
        </w:rPr>
      </w:pPr>
      <w:r w:rsidRPr="00616877">
        <w:rPr>
          <w:rFonts w:ascii="Abadi" w:eastAsia="Batang" w:hAnsi="Abadi" w:cs="Arial"/>
          <w:sz w:val="21"/>
          <w:szCs w:val="21"/>
        </w:rPr>
        <w:t>Dentro de dicho concepto encuadran las ampliaciones líquidas.</w:t>
      </w:r>
    </w:p>
    <w:p w14:paraId="5E1513DF" w14:textId="77777777" w:rsidR="00616877" w:rsidRPr="00616877" w:rsidRDefault="00616877" w:rsidP="00616877">
      <w:pPr>
        <w:ind w:left="34" w:right="68" w:firstLine="674"/>
        <w:rPr>
          <w:rFonts w:ascii="Abadi" w:eastAsia="Batang" w:hAnsi="Abadi" w:cs="Arial"/>
          <w:sz w:val="21"/>
          <w:szCs w:val="21"/>
        </w:rPr>
      </w:pPr>
    </w:p>
    <w:p w14:paraId="69A83D02" w14:textId="77777777" w:rsidR="00616877" w:rsidRPr="00616877" w:rsidRDefault="00616877" w:rsidP="00616877">
      <w:pPr>
        <w:ind w:left="34" w:right="68" w:firstLine="674"/>
        <w:jc w:val="both"/>
        <w:rPr>
          <w:rFonts w:ascii="Abadi" w:eastAsia="Batang" w:hAnsi="Abadi" w:cs="Arial"/>
          <w:sz w:val="21"/>
          <w:szCs w:val="21"/>
        </w:rPr>
      </w:pPr>
      <w:r w:rsidRPr="00616877">
        <w:rPr>
          <w:rFonts w:ascii="Abadi" w:eastAsia="Batang" w:hAnsi="Abadi" w:cs="Arial"/>
          <w:sz w:val="21"/>
          <w:szCs w:val="21"/>
        </w:rPr>
        <w:t>De igual forma, la fracción LXIII del citado artículo 3 define la figura de traspaso en los siguientes términos:</w:t>
      </w:r>
    </w:p>
    <w:p w14:paraId="76395E40" w14:textId="77777777" w:rsidR="00616877" w:rsidRPr="00616877" w:rsidRDefault="00616877" w:rsidP="00616877">
      <w:pPr>
        <w:ind w:left="34" w:right="68" w:firstLine="674"/>
        <w:rPr>
          <w:rFonts w:ascii="Abadi" w:eastAsia="Batang" w:hAnsi="Abadi" w:cs="Arial"/>
          <w:sz w:val="21"/>
          <w:szCs w:val="21"/>
        </w:rPr>
      </w:pPr>
    </w:p>
    <w:p w14:paraId="11E1A601" w14:textId="77777777" w:rsidR="00616877" w:rsidRPr="00616877" w:rsidRDefault="00616877" w:rsidP="00616877">
      <w:pPr>
        <w:ind w:left="709" w:right="68"/>
        <w:rPr>
          <w:rFonts w:ascii="Abadi" w:hAnsi="Abadi"/>
          <w:i/>
          <w:iCs/>
          <w:sz w:val="21"/>
          <w:szCs w:val="21"/>
        </w:rPr>
      </w:pPr>
      <w:r w:rsidRPr="00616877">
        <w:rPr>
          <w:rFonts w:ascii="Abadi" w:eastAsia="Batang" w:hAnsi="Abadi" w:cs="Arial"/>
          <w:b/>
          <w:bCs/>
          <w:i/>
          <w:iCs/>
          <w:sz w:val="21"/>
          <w:szCs w:val="21"/>
        </w:rPr>
        <w:t>LXIII.</w:t>
      </w:r>
      <w:r w:rsidRPr="00616877">
        <w:rPr>
          <w:rFonts w:ascii="Abadi" w:eastAsia="Batang" w:hAnsi="Abadi" w:cs="Arial"/>
          <w:i/>
          <w:iCs/>
          <w:sz w:val="21"/>
          <w:szCs w:val="21"/>
        </w:rPr>
        <w:t xml:space="preserve"> </w:t>
      </w:r>
      <w:r w:rsidRPr="00616877">
        <w:rPr>
          <w:rFonts w:ascii="Abadi" w:hAnsi="Abadi"/>
          <w:b/>
          <w:i/>
          <w:iCs/>
          <w:sz w:val="21"/>
          <w:szCs w:val="21"/>
        </w:rPr>
        <w:t>Traspaso:</w:t>
      </w:r>
      <w:r w:rsidRPr="00616877">
        <w:rPr>
          <w:rFonts w:ascii="Abadi" w:hAnsi="Abadi"/>
          <w:i/>
          <w:iCs/>
          <w:sz w:val="21"/>
          <w:szCs w:val="21"/>
        </w:rPr>
        <w:t xml:space="preserve"> Los movimientos que consisten en trasladar el importe total o parcial de la asignación de una clave presupuestaria a otra, previa autorización de la autoridad facultada de conformidad con las leyes y reglamentos en la materia;</w:t>
      </w:r>
    </w:p>
    <w:p w14:paraId="18AA2572" w14:textId="77777777" w:rsidR="00616877" w:rsidRPr="00616877" w:rsidRDefault="00616877" w:rsidP="00616877">
      <w:pPr>
        <w:ind w:left="709" w:right="68"/>
        <w:rPr>
          <w:rFonts w:ascii="Abadi" w:eastAsia="Batang" w:hAnsi="Abadi" w:cs="Arial"/>
          <w:i/>
          <w:iCs/>
          <w:sz w:val="21"/>
          <w:szCs w:val="21"/>
        </w:rPr>
      </w:pPr>
    </w:p>
    <w:p w14:paraId="526B38EA" w14:textId="77777777" w:rsidR="00616877" w:rsidRPr="00616877" w:rsidRDefault="00616877" w:rsidP="00616877">
      <w:pPr>
        <w:ind w:left="34" w:right="68" w:firstLine="674"/>
        <w:jc w:val="both"/>
        <w:rPr>
          <w:rFonts w:ascii="Abadi" w:eastAsia="Batang" w:hAnsi="Abadi" w:cs="Arial"/>
          <w:sz w:val="21"/>
          <w:szCs w:val="21"/>
        </w:rPr>
      </w:pPr>
      <w:r w:rsidRPr="00616877">
        <w:rPr>
          <w:rFonts w:ascii="Abadi" w:eastAsia="Batang" w:hAnsi="Abadi" w:cs="Arial"/>
          <w:sz w:val="21"/>
          <w:szCs w:val="21"/>
        </w:rPr>
        <w:t>En tal sentido la Ley para el Ejercicio y Control de los Recursos Públicos para el Estado y los Municipios de Guanajuato en sus artículos 61 ter, 61 ter 1, 62 y 63 de la citada ley regulan las figuras de ampliaciones líquidas y los traspasos presupuestales,  las cuales en ambos casos podrán realizarse siempre y cuando no superen el 6.5% en el primer caso de los ingresos proyectados; y en el segundo, cuando en su conjunto no rebasen un monto equivalente al referido porcentaje de los presupuestos anuales de quien los otorga y de quien los recibe, respectivamente. En caso de superar dicho porcentaje se requeriría autorización del Poder Legislativo para poder realizarlos.</w:t>
      </w:r>
    </w:p>
    <w:p w14:paraId="7673532E" w14:textId="77777777" w:rsidR="00616877" w:rsidRPr="00616877" w:rsidRDefault="00616877" w:rsidP="00616877">
      <w:pPr>
        <w:ind w:left="34" w:right="68" w:firstLine="674"/>
        <w:jc w:val="both"/>
        <w:rPr>
          <w:rFonts w:ascii="Abadi" w:eastAsia="Batang" w:hAnsi="Abadi" w:cs="Arial"/>
          <w:sz w:val="21"/>
          <w:szCs w:val="21"/>
        </w:rPr>
      </w:pPr>
    </w:p>
    <w:p w14:paraId="78EA9772" w14:textId="538EBDCE" w:rsidR="00616877" w:rsidRPr="00616877" w:rsidRDefault="00616877" w:rsidP="00616877">
      <w:pPr>
        <w:ind w:left="34" w:right="68" w:firstLine="674"/>
        <w:jc w:val="both"/>
        <w:rPr>
          <w:rFonts w:ascii="Abadi" w:eastAsia="Batang" w:hAnsi="Abadi" w:cs="Arial"/>
          <w:sz w:val="21"/>
          <w:szCs w:val="21"/>
        </w:rPr>
      </w:pPr>
      <w:r w:rsidRPr="00616877">
        <w:rPr>
          <w:rFonts w:ascii="Abadi" w:eastAsia="Batang" w:hAnsi="Abadi" w:cs="Arial"/>
          <w:sz w:val="21"/>
          <w:szCs w:val="21"/>
        </w:rPr>
        <w:t>Como podemos observar, el principio de especialidad del presupuesto tiene excepciones regladas, como lo es el traspaso, acotado por la propia ley a movimientos de recursos públicos presupuestales para satisfacer necesidades propias de la función pública, supeditado a la autorización expresa de la Secretaría de Finanzas, Inversión y Administración y al tope porcentual fijado del 6.5%, los cuales además existe la obligación de ser informados al Poder Legislativo en la cuenta pública. Es así que, el traspaso presupuestal cumple con los principios de legalidad al estar previsto en la ley; y orientación de gasto público, al destinarse a actividades propias de la función pública. Para su realización se requiere autorización expresa del órgano hacendario estatal -Secretaría de Finanzas, Inversión y Administración-; y está limitado al 6.5% de los montos presupuestarios de las dependencias y entidades -no del total del presupuesto anual aprobado-.</w:t>
      </w:r>
    </w:p>
    <w:p w14:paraId="5AC0ED3E" w14:textId="77777777" w:rsidR="00616877" w:rsidRPr="00616877" w:rsidRDefault="00616877" w:rsidP="00616877">
      <w:pPr>
        <w:ind w:left="34" w:right="68" w:firstLine="674"/>
        <w:rPr>
          <w:rFonts w:ascii="Abadi" w:eastAsia="Batang" w:hAnsi="Abadi" w:cs="Arial"/>
          <w:sz w:val="21"/>
          <w:szCs w:val="21"/>
        </w:rPr>
      </w:pPr>
    </w:p>
    <w:p w14:paraId="365A550A" w14:textId="77777777" w:rsidR="00616877" w:rsidRPr="00616877" w:rsidRDefault="00616877" w:rsidP="00616877">
      <w:pPr>
        <w:ind w:left="34" w:right="68" w:firstLine="674"/>
        <w:jc w:val="both"/>
        <w:rPr>
          <w:rFonts w:ascii="Abadi" w:hAnsi="Abadi" w:cs="Calibri"/>
          <w:sz w:val="21"/>
          <w:szCs w:val="21"/>
        </w:rPr>
      </w:pPr>
      <w:r w:rsidRPr="00616877">
        <w:rPr>
          <w:rFonts w:ascii="Abadi" w:eastAsia="Batang" w:hAnsi="Abadi" w:cs="Arial"/>
          <w:sz w:val="21"/>
          <w:szCs w:val="21"/>
        </w:rPr>
        <w:t>En el caso de las ampliaciones líquidas</w:t>
      </w:r>
      <w:r w:rsidRPr="00616877">
        <w:rPr>
          <w:rFonts w:ascii="Abadi" w:hAnsi="Abadi" w:cs="Calibri"/>
          <w:sz w:val="21"/>
          <w:szCs w:val="21"/>
        </w:rPr>
        <w:t xml:space="preserve">, de conformidad con el artículo 61 ter, estas solamente podrán realizarse en casos debidamente justificados y previa autorización </w:t>
      </w:r>
      <w:r w:rsidRPr="00616877">
        <w:rPr>
          <w:rFonts w:ascii="Abadi" w:eastAsia="Batang" w:hAnsi="Abadi" w:cs="Arial"/>
          <w:sz w:val="21"/>
          <w:szCs w:val="21"/>
        </w:rPr>
        <w:t>Secretaría de Finanzas, Inversión y Administración,</w:t>
      </w:r>
      <w:r w:rsidRPr="00616877">
        <w:rPr>
          <w:rFonts w:ascii="Abadi" w:hAnsi="Abadi" w:cs="Calibri"/>
          <w:sz w:val="21"/>
          <w:szCs w:val="21"/>
        </w:rPr>
        <w:t xml:space="preserve"> siempre y cuando, se garantice el </w:t>
      </w:r>
      <w:r w:rsidRPr="00616877">
        <w:rPr>
          <w:rFonts w:ascii="Abadi" w:eastAsia="Batang" w:hAnsi="Abadi" w:cs="Arial"/>
          <w:sz w:val="21"/>
          <w:szCs w:val="21"/>
        </w:rPr>
        <w:t>cumplimiento de los objetivos de los programas a cargo de los sujetos de la ley. El citado artículo previene que dichas adecuaciones presupuestarias que impliquen recursos de origen estatal deben ser mínimas, privilegiando la eficacia y la eficiencia en el ejercicio del gasto público.</w:t>
      </w:r>
    </w:p>
    <w:p w14:paraId="427D4197" w14:textId="77777777" w:rsidR="00616877" w:rsidRPr="00616877" w:rsidRDefault="00616877" w:rsidP="00616877">
      <w:pPr>
        <w:ind w:left="34" w:right="68" w:firstLine="674"/>
        <w:jc w:val="both"/>
        <w:rPr>
          <w:rFonts w:ascii="Abadi" w:eastAsia="Batang" w:hAnsi="Abadi" w:cs="Arial"/>
          <w:sz w:val="21"/>
          <w:szCs w:val="21"/>
        </w:rPr>
      </w:pPr>
    </w:p>
    <w:p w14:paraId="5A4A1957" w14:textId="77777777" w:rsidR="00616877" w:rsidRPr="00616877" w:rsidRDefault="00616877" w:rsidP="00616877">
      <w:pPr>
        <w:ind w:left="34" w:right="68" w:firstLine="674"/>
        <w:jc w:val="both"/>
        <w:rPr>
          <w:rFonts w:ascii="Abadi" w:eastAsia="Batang" w:hAnsi="Abadi" w:cs="Arial"/>
          <w:sz w:val="21"/>
          <w:szCs w:val="21"/>
        </w:rPr>
      </w:pPr>
      <w:r w:rsidRPr="00616877">
        <w:rPr>
          <w:rFonts w:ascii="Abadi" w:eastAsia="Batang" w:hAnsi="Abadi" w:cs="Arial"/>
          <w:sz w:val="21"/>
          <w:szCs w:val="21"/>
        </w:rPr>
        <w:t xml:space="preserve">Por otra parte, podemos desprender del contenido de los artículos 15, fracción I de la Ley de Disciplina Financiera de las Entidades Federativas y los Municipios y 67, fracción I de la Ley para el Ejercicio y Control de los Recursos Públicos para el Estado y los Municipios de Guanajuato, identifican los gastos de comunicación social como no prioritarios y sobre los cuales en caso de disminución de ingresos se deben realizar ajustes de reducción, y aun cuando la realización de estos gastos no se realicen bajo las disposiciones que marca la Ley de Contrataciones Públicas para el Estado de Guanajuato, no implica que no estén regulados o no deban transparentarse, ya que como ya se apuntó anteriormente, se informan en la cuenta pública. </w:t>
      </w:r>
    </w:p>
    <w:p w14:paraId="67BB167D" w14:textId="77777777" w:rsidR="00616877" w:rsidRPr="00616877" w:rsidRDefault="00616877" w:rsidP="00616877">
      <w:pPr>
        <w:ind w:left="34" w:right="68" w:firstLine="674"/>
        <w:jc w:val="both"/>
        <w:rPr>
          <w:rFonts w:ascii="Abadi" w:eastAsia="Batang" w:hAnsi="Abadi" w:cs="Arial"/>
          <w:sz w:val="21"/>
          <w:szCs w:val="21"/>
        </w:rPr>
      </w:pPr>
    </w:p>
    <w:p w14:paraId="0F5AAB3B" w14:textId="77777777" w:rsidR="00616877" w:rsidRPr="00616877" w:rsidRDefault="00616877" w:rsidP="00616877">
      <w:pPr>
        <w:ind w:left="34" w:right="68" w:firstLine="674"/>
        <w:jc w:val="both"/>
        <w:rPr>
          <w:rFonts w:ascii="Abadi" w:eastAsia="Batang" w:hAnsi="Abadi" w:cs="Arial"/>
          <w:sz w:val="21"/>
          <w:szCs w:val="21"/>
        </w:rPr>
      </w:pPr>
      <w:r w:rsidRPr="00616877">
        <w:rPr>
          <w:rFonts w:ascii="Abadi" w:eastAsia="Batang" w:hAnsi="Abadi" w:cs="Arial"/>
          <w:sz w:val="21"/>
          <w:szCs w:val="21"/>
        </w:rPr>
        <w:t xml:space="preserve">Asimismo, la pretensión contenida en la iniciativa materia del presente dictamen es que el Congreso autorice todos los traspasos y ampliaciones líquidas destinados a gastos de comunicación social y publicidad sin importar el porcentaje que representen del presupuesto, lo cual implicaría someter al proceso legislativo el otorgamiento de la autorización correspondiente, no resultando operativo y contraviniendo la propia naturaleza del artículo 62 de la Ley para el Ejercicio y Control de los Recursos Públicos para el Estado y los Municipios de Guanajuato que se pretende reformar, ya que las ampliaciones líquidas y los traspasos presupuestales son realizados una vez que se analizan las distintas circunstancias que representa el hacer o no la adecuación, aunado a que- el hacerlos no vulnera la trasparencia-. </w:t>
      </w:r>
    </w:p>
    <w:p w14:paraId="2467A68A" w14:textId="77777777" w:rsidR="00616877" w:rsidRPr="00616877" w:rsidRDefault="00616877" w:rsidP="00616877">
      <w:pPr>
        <w:ind w:left="34" w:right="68" w:firstLine="674"/>
        <w:jc w:val="both"/>
        <w:rPr>
          <w:rFonts w:ascii="Abadi" w:eastAsia="Batang" w:hAnsi="Abadi" w:cs="Arial"/>
          <w:sz w:val="21"/>
          <w:szCs w:val="21"/>
        </w:rPr>
      </w:pPr>
    </w:p>
    <w:p w14:paraId="6DACE950" w14:textId="37C7659C" w:rsidR="00616877" w:rsidRPr="00616877" w:rsidRDefault="00616877" w:rsidP="00616877">
      <w:pPr>
        <w:ind w:left="34" w:right="68" w:firstLine="674"/>
        <w:jc w:val="both"/>
        <w:rPr>
          <w:rFonts w:ascii="Abadi" w:eastAsia="Batang" w:hAnsi="Abadi" w:cs="Arial"/>
          <w:sz w:val="21"/>
          <w:szCs w:val="21"/>
        </w:rPr>
      </w:pPr>
      <w:r w:rsidRPr="00616877">
        <w:rPr>
          <w:rFonts w:ascii="Abadi" w:eastAsia="Batang" w:hAnsi="Abadi" w:cs="Arial"/>
          <w:sz w:val="21"/>
          <w:szCs w:val="21"/>
        </w:rPr>
        <w:t xml:space="preserve">De igual forma, debemos considerar que en el transcurso del año, el ejercicio fiscal se encuentra en una dinámica de administración y operación constante, por lo que los datos que se consideran para tomar este tipo de determinaciones, corresponden a la realidad presupuestal que prevalece que en el momento que se realiza, razón por la cual el uso de esta facultad no es arbitrario o irresponsable, siendo de importancia también dar a conocer los alcances que hace el gobierno en los distintos programas públicos que ejecuta, aunado a que la excepción que marca la Ley de Contrataciones Públicas para el Estado de Guanajuato está considerada con el objeto de facilitar los procesos que se requieren para realizar este tipo de gastos, sin que exima la obligación de su trasparencia o de responsabilidades a los servidores públicos. </w:t>
      </w:r>
    </w:p>
    <w:p w14:paraId="1D7F9B13" w14:textId="77777777" w:rsidR="00616877" w:rsidRPr="00616877" w:rsidRDefault="00616877" w:rsidP="00616877">
      <w:pPr>
        <w:ind w:left="34" w:right="68" w:firstLine="674"/>
        <w:rPr>
          <w:rFonts w:ascii="Abadi" w:eastAsia="Batang" w:hAnsi="Abadi" w:cs="Arial"/>
          <w:sz w:val="21"/>
          <w:szCs w:val="21"/>
        </w:rPr>
      </w:pPr>
    </w:p>
    <w:p w14:paraId="436CE8DE" w14:textId="77777777" w:rsidR="00616877" w:rsidRPr="00616877" w:rsidRDefault="00616877" w:rsidP="00616877">
      <w:pPr>
        <w:ind w:left="34" w:right="68" w:firstLine="674"/>
        <w:jc w:val="both"/>
        <w:rPr>
          <w:rFonts w:ascii="Abadi" w:eastAsia="Batang" w:hAnsi="Abadi" w:cs="Arial"/>
          <w:sz w:val="21"/>
          <w:szCs w:val="21"/>
        </w:rPr>
      </w:pPr>
      <w:r w:rsidRPr="00616877">
        <w:rPr>
          <w:rFonts w:ascii="Abadi" w:eastAsia="Batang" w:hAnsi="Abadi" w:cs="Arial"/>
          <w:sz w:val="21"/>
          <w:szCs w:val="21"/>
        </w:rPr>
        <w:t>De igual forma, el que dichos gastos se excluyan de la regulación de la Ley de Contrataciones Públicas para el Estado de Guanajuato no implica que puedan llevarse a cabo de manera arbitraria, pues el propio artículo 7 de dicha ley, consigna en su apartado final que dichos actos y contratos se llevarán a cabo en apego a lo establecido en el primer párrafo del artículo 134 de la Constitución Política de los Estados Unidos Mexicanos, para lo cual los sujetos de la ley deberán prever las mejores condiciones disponibles en cuanto a precio, financiamiento, calidad, oportunidad y demás circunstancias que contribuyan a preservar la hacienda pública estatal.</w:t>
      </w:r>
    </w:p>
    <w:p w14:paraId="442E52A2" w14:textId="77777777" w:rsidR="00616877" w:rsidRPr="00616877" w:rsidRDefault="00616877" w:rsidP="00616877">
      <w:pPr>
        <w:ind w:left="34" w:right="68" w:firstLine="674"/>
        <w:jc w:val="both"/>
        <w:rPr>
          <w:rFonts w:ascii="Abadi" w:eastAsia="Batang" w:hAnsi="Abadi" w:cs="Arial"/>
          <w:sz w:val="21"/>
          <w:szCs w:val="21"/>
        </w:rPr>
      </w:pPr>
    </w:p>
    <w:p w14:paraId="4024DD5B" w14:textId="77777777" w:rsidR="00616877" w:rsidRPr="00616877" w:rsidRDefault="00616877" w:rsidP="00616877">
      <w:pPr>
        <w:ind w:left="34" w:right="68" w:firstLine="674"/>
        <w:jc w:val="both"/>
        <w:rPr>
          <w:rFonts w:ascii="Abadi" w:eastAsia="Batang" w:hAnsi="Abadi" w:cs="Arial"/>
          <w:sz w:val="21"/>
          <w:szCs w:val="21"/>
        </w:rPr>
      </w:pPr>
      <w:r w:rsidRPr="00616877">
        <w:rPr>
          <w:rFonts w:ascii="Abadi" w:eastAsia="Batang" w:hAnsi="Abadi" w:cs="Arial"/>
          <w:sz w:val="21"/>
          <w:szCs w:val="21"/>
        </w:rPr>
        <w:t xml:space="preserve">En este sentido, el primer párrafo del artículo 134 de nuestra Carta Magna establece: </w:t>
      </w:r>
    </w:p>
    <w:p w14:paraId="614CB0FE" w14:textId="77777777" w:rsidR="00616877" w:rsidRPr="00616877" w:rsidRDefault="00616877" w:rsidP="00616877">
      <w:pPr>
        <w:ind w:left="34" w:right="68" w:firstLine="674"/>
        <w:jc w:val="both"/>
        <w:rPr>
          <w:rFonts w:ascii="Abadi" w:eastAsia="Batang" w:hAnsi="Abadi" w:cs="Arial"/>
          <w:sz w:val="21"/>
          <w:szCs w:val="21"/>
        </w:rPr>
      </w:pPr>
    </w:p>
    <w:p w14:paraId="562EDE4F" w14:textId="77777777" w:rsidR="00616877" w:rsidRPr="00616877" w:rsidRDefault="00616877" w:rsidP="00616877">
      <w:pPr>
        <w:ind w:left="709" w:right="68" w:hanging="1"/>
        <w:jc w:val="both"/>
        <w:rPr>
          <w:rFonts w:ascii="Abadi" w:eastAsia="Batang" w:hAnsi="Abadi" w:cs="Arial"/>
          <w:i/>
          <w:iCs/>
          <w:sz w:val="21"/>
          <w:szCs w:val="21"/>
        </w:rPr>
      </w:pPr>
      <w:r w:rsidRPr="00616877">
        <w:rPr>
          <w:rFonts w:ascii="Abadi" w:eastAsia="Batang" w:hAnsi="Abadi" w:cs="Arial"/>
          <w:i/>
          <w:iCs/>
          <w:sz w:val="21"/>
          <w:szCs w:val="21"/>
        </w:rPr>
        <w:t>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5F1354F7" w14:textId="77777777" w:rsidR="00616877" w:rsidRPr="00616877" w:rsidRDefault="00616877" w:rsidP="00616877">
      <w:pPr>
        <w:ind w:left="709" w:right="68" w:hanging="1"/>
        <w:rPr>
          <w:rFonts w:ascii="Abadi" w:eastAsia="Batang" w:hAnsi="Abadi" w:cs="Arial"/>
          <w:i/>
          <w:iCs/>
          <w:sz w:val="21"/>
          <w:szCs w:val="21"/>
        </w:rPr>
      </w:pPr>
    </w:p>
    <w:p w14:paraId="03AF6086" w14:textId="77777777" w:rsidR="00616877" w:rsidRPr="00616877" w:rsidRDefault="00616877" w:rsidP="00616877">
      <w:pPr>
        <w:ind w:left="34" w:right="68" w:firstLine="674"/>
        <w:jc w:val="both"/>
        <w:rPr>
          <w:rFonts w:ascii="Abadi" w:eastAsia="Batang" w:hAnsi="Abadi" w:cs="Arial"/>
          <w:sz w:val="21"/>
          <w:szCs w:val="21"/>
        </w:rPr>
      </w:pPr>
      <w:r w:rsidRPr="00616877">
        <w:rPr>
          <w:rFonts w:ascii="Abadi" w:eastAsia="Batang" w:hAnsi="Abadi" w:cs="Arial"/>
          <w:sz w:val="21"/>
          <w:szCs w:val="21"/>
        </w:rPr>
        <w:t>Por lo anterior, l</w:t>
      </w:r>
      <w:r w:rsidRPr="00616877">
        <w:rPr>
          <w:rFonts w:ascii="Abadi" w:hAnsi="Abadi"/>
          <w:sz w:val="21"/>
          <w:szCs w:val="21"/>
        </w:rPr>
        <w:t>os servicios de comunicación y publicidad, así como los relacionados a gastos de ceremonial, de orden social, cultural y de representación, congresos, convenciones y exposiciones deberán cumplir en todo momento los principios aplicables al gasto público, mismos que también serán objeto de la función de fiscalización a cargo de este poder Legislativo.</w:t>
      </w:r>
    </w:p>
    <w:p w14:paraId="7A16B185" w14:textId="77777777" w:rsidR="00616877" w:rsidRPr="00616877" w:rsidRDefault="00616877" w:rsidP="00616877">
      <w:pPr>
        <w:ind w:left="34" w:right="68" w:firstLine="674"/>
        <w:rPr>
          <w:rFonts w:ascii="Abadi" w:eastAsia="Batang" w:hAnsi="Abadi" w:cs="Arial"/>
          <w:sz w:val="21"/>
          <w:szCs w:val="21"/>
        </w:rPr>
      </w:pPr>
    </w:p>
    <w:p w14:paraId="53A52809" w14:textId="77777777" w:rsidR="00616877" w:rsidRPr="00616877" w:rsidRDefault="00616877" w:rsidP="00616877">
      <w:pPr>
        <w:ind w:left="34" w:right="68" w:firstLine="674"/>
        <w:jc w:val="both"/>
        <w:rPr>
          <w:rFonts w:ascii="Abadi" w:eastAsia="Batang" w:hAnsi="Abadi" w:cs="Arial"/>
          <w:sz w:val="21"/>
          <w:szCs w:val="21"/>
        </w:rPr>
      </w:pPr>
      <w:r w:rsidRPr="00616877">
        <w:rPr>
          <w:rFonts w:ascii="Abadi" w:eastAsia="Batang" w:hAnsi="Abadi" w:cs="Arial"/>
          <w:sz w:val="21"/>
          <w:szCs w:val="21"/>
        </w:rPr>
        <w:t>Es conveniente señalar, que a nivel federal, la Ley de Presupuesto y Responsabilidad Hacendaria</w:t>
      </w:r>
      <w:r w:rsidRPr="00616877">
        <w:rPr>
          <w:rFonts w:ascii="Abadi" w:eastAsia="Batang" w:hAnsi="Abadi" w:cs="Arial"/>
          <w:sz w:val="21"/>
          <w:szCs w:val="21"/>
          <w:vertAlign w:val="superscript"/>
        </w:rPr>
        <w:footnoteReference w:id="164"/>
      </w:r>
      <w:r w:rsidRPr="00616877">
        <w:rPr>
          <w:rFonts w:ascii="Abadi" w:eastAsia="Batang" w:hAnsi="Abadi" w:cs="Arial"/>
          <w:sz w:val="21"/>
          <w:szCs w:val="21"/>
        </w:rPr>
        <w:t xml:space="preserve"> también contempla la posibilidad de realizar adecuaciones presupuestales sin que tenga que mediar autorización del Congreso de la Unión, lo cual se señala en el artículo 58 al indicar que </w:t>
      </w:r>
      <w:r w:rsidRPr="00616877">
        <w:rPr>
          <w:rFonts w:ascii="Abadi" w:eastAsia="Batang" w:hAnsi="Abadi" w:cs="Arial"/>
          <w:i/>
          <w:iCs/>
          <w:sz w:val="21"/>
          <w:szCs w:val="21"/>
        </w:rPr>
        <w:t xml:space="preserve">«las adecuaciones presupuestarias se realizarán siempre que permitan un mejor cumplimiento de los objetivos de los programas a cargo de las dependencias y entidades, y comprenderán: I. Modificaciones a las estructuras: a) Administrativa; b) Funcional y programática; c) Económica; y d) Geográfica II. Modificaciones a los calendarios de presupuesto, y III. Ampliaciones y reducciones líquidas al Presupuesto de Egresos o a los flujos de efectivo correspondientes…»; </w:t>
      </w:r>
      <w:r w:rsidRPr="00616877">
        <w:rPr>
          <w:rFonts w:ascii="Abadi" w:eastAsia="Batang" w:hAnsi="Abadi" w:cs="Arial"/>
          <w:sz w:val="21"/>
          <w:szCs w:val="21"/>
        </w:rPr>
        <w:t>asimismo señala que «</w:t>
      </w:r>
      <w:r w:rsidRPr="00616877">
        <w:rPr>
          <w:rFonts w:ascii="Abadi" w:eastAsia="Batang" w:hAnsi="Abadi" w:cs="Arial"/>
          <w:i/>
          <w:iCs/>
          <w:sz w:val="21"/>
          <w:szCs w:val="21"/>
        </w:rPr>
        <w:t xml:space="preserve">las adecuaciones presupuestarias internas serán autorizadas por las propias dependencias y entidades informando al respecto a la Secretaría, en los términos de lo dispuesto en el Reglamento. Cuando las adecuaciones presupuestarias representen en su conjunto o por una sola vez una variación mayor al 5 por ciento del presupuesto total del ramo de que se trate o del presupuesto de una entidad, la Secretaría deberá reportarlo en los informes trimestrales. Con base en esta información, la Comisión de Presupuesto y Cuenta Pública podrá emitir opinión sobre dichas adecuaciones.». </w:t>
      </w:r>
      <w:r w:rsidRPr="00616877">
        <w:rPr>
          <w:rFonts w:ascii="Abadi" w:eastAsia="Batang" w:hAnsi="Abadi" w:cs="Arial"/>
          <w:sz w:val="21"/>
          <w:szCs w:val="21"/>
        </w:rPr>
        <w:t>Dicha facultad para el Ejecutivo Federal en realidad no se encuentra limitada por tema o por porcentaje alguno en monto, sino que sólo se establece uno de referencia para condicionar que cuando se exceda el porcentaje, debe reportarse en los informes trimestrales a efecto del posicionamiento que hará en su momento la Comisión de Presupuesto y Cuenta Pública, sin que esta actividad sea vinculatoria para el Ejecutivo Federal.</w:t>
      </w:r>
    </w:p>
    <w:p w14:paraId="01FDD0B1" w14:textId="77777777" w:rsidR="00616877" w:rsidRPr="00616877" w:rsidRDefault="00616877" w:rsidP="00616877">
      <w:pPr>
        <w:tabs>
          <w:tab w:val="left" w:pos="1260"/>
        </w:tabs>
        <w:ind w:left="34" w:right="68"/>
        <w:jc w:val="both"/>
        <w:rPr>
          <w:rFonts w:ascii="Abadi" w:eastAsia="Batang" w:hAnsi="Abadi" w:cs="Arial"/>
          <w:sz w:val="21"/>
          <w:szCs w:val="21"/>
        </w:rPr>
      </w:pPr>
    </w:p>
    <w:p w14:paraId="013BCD9A" w14:textId="77777777" w:rsidR="00616877" w:rsidRPr="00616877" w:rsidRDefault="00616877" w:rsidP="00616877">
      <w:pPr>
        <w:ind w:left="34" w:right="68"/>
        <w:jc w:val="both"/>
        <w:rPr>
          <w:rFonts w:ascii="Abadi" w:eastAsia="Batang" w:hAnsi="Abadi" w:cs="Arial"/>
          <w:i/>
          <w:iCs/>
          <w:sz w:val="21"/>
          <w:szCs w:val="21"/>
        </w:rPr>
      </w:pPr>
      <w:r w:rsidRPr="00616877">
        <w:rPr>
          <w:rFonts w:ascii="Abadi" w:eastAsia="Batang" w:hAnsi="Abadi" w:cs="Arial"/>
          <w:sz w:val="21"/>
          <w:szCs w:val="21"/>
        </w:rPr>
        <w:tab/>
        <w:t xml:space="preserve">De igual forma, los gastos que se tienen actualmente considerados a nivel estatal para este rubro, fueron sujetos al proceso de análisis y dictaminación que se agotó para aprobar el paquete fiscal para el ejercicio fiscal 2022. Aunado a que este tipo de gastos están acotados por la propia ley y deben difundirse como parte de la información presupuestal y en consecuencia con el seguimiento de su aplicación como lo señala el artículo 37 de la Ley para el Ejercicio y Control de los Recursos Públicos para el Estado y los Municipios de Guanajuato y como parte de las obligaciones comunes que marca el artículo 26 fracción XXIII, de la Ley de Trasparencia y Acceso a la Información Pública para el Estado de Guanajuato, al señalar </w:t>
      </w:r>
      <w:r w:rsidRPr="00616877">
        <w:rPr>
          <w:rFonts w:ascii="Abadi" w:eastAsia="Batang" w:hAnsi="Abadi" w:cs="Arial"/>
          <w:i/>
          <w:iCs/>
          <w:sz w:val="21"/>
          <w:szCs w:val="21"/>
        </w:rPr>
        <w:t>«Los montos destinados a gastos relativos a comunicación social y publicidad oficial desglosada por tipo de medio, proveedores, número de contrato y concepto o campaña.»</w:t>
      </w:r>
    </w:p>
    <w:p w14:paraId="6E4B425E" w14:textId="77777777" w:rsidR="00616877" w:rsidRPr="00616877" w:rsidRDefault="00616877" w:rsidP="00616877">
      <w:pPr>
        <w:tabs>
          <w:tab w:val="left" w:pos="1260"/>
        </w:tabs>
        <w:ind w:left="34" w:right="68"/>
        <w:rPr>
          <w:rFonts w:ascii="Abadi" w:eastAsia="Batang" w:hAnsi="Abadi" w:cs="Arial"/>
          <w:sz w:val="21"/>
          <w:szCs w:val="21"/>
        </w:rPr>
      </w:pPr>
    </w:p>
    <w:p w14:paraId="583E148A" w14:textId="77777777" w:rsidR="00616877" w:rsidRPr="00616877" w:rsidRDefault="00616877" w:rsidP="00616877">
      <w:pPr>
        <w:tabs>
          <w:tab w:val="left" w:pos="34"/>
        </w:tabs>
        <w:ind w:left="34" w:right="68"/>
        <w:jc w:val="both"/>
        <w:rPr>
          <w:rFonts w:ascii="Abadi" w:eastAsia="Batang" w:hAnsi="Abadi" w:cs="Arial"/>
          <w:sz w:val="21"/>
          <w:szCs w:val="21"/>
        </w:rPr>
      </w:pPr>
      <w:r w:rsidRPr="00616877">
        <w:rPr>
          <w:rFonts w:ascii="Abadi" w:eastAsia="Batang" w:hAnsi="Abadi" w:cs="Arial"/>
          <w:sz w:val="21"/>
          <w:szCs w:val="21"/>
        </w:rPr>
        <w:tab/>
        <w:t>Cabe señalar que el presupuesto asignado en la Ley del Presupuesto General de Egresos del Estado de Guanajuato para este ejercicio fiscal 2022</w:t>
      </w:r>
      <w:r w:rsidRPr="00616877">
        <w:rPr>
          <w:rFonts w:ascii="Abadi" w:eastAsia="Batang" w:hAnsi="Abadi" w:cs="Arial"/>
          <w:sz w:val="21"/>
          <w:szCs w:val="21"/>
          <w:vertAlign w:val="superscript"/>
        </w:rPr>
        <w:footnoteReference w:id="165"/>
      </w:r>
      <w:r w:rsidRPr="00616877">
        <w:rPr>
          <w:rFonts w:ascii="Abadi" w:eastAsia="Batang" w:hAnsi="Abadi" w:cs="Arial"/>
          <w:sz w:val="21"/>
          <w:szCs w:val="21"/>
        </w:rPr>
        <w:t xml:space="preserve"> en gastos de comunicación social de la administración pública estatal, de los poderes Legislativo y Judicial y de los organismos autónomos, ascienden a la cantidad de $151’231,414.24 mismos que se detallan en el Anexo 6 de dicha Ley, la cual representa el 0.16% del presupuesto total para el Estado de Guanajuato. </w:t>
      </w:r>
    </w:p>
    <w:p w14:paraId="60A6DDA7" w14:textId="77777777" w:rsidR="00616877" w:rsidRPr="00616877" w:rsidRDefault="00616877" w:rsidP="00616877">
      <w:pPr>
        <w:tabs>
          <w:tab w:val="left" w:pos="1260"/>
        </w:tabs>
        <w:ind w:left="34" w:right="68"/>
        <w:jc w:val="both"/>
        <w:rPr>
          <w:rFonts w:ascii="Abadi" w:eastAsia="Batang" w:hAnsi="Abadi" w:cs="Arial"/>
          <w:sz w:val="21"/>
          <w:szCs w:val="21"/>
        </w:rPr>
      </w:pPr>
    </w:p>
    <w:p w14:paraId="7C92429B" w14:textId="77777777" w:rsidR="00616877" w:rsidRPr="00616877" w:rsidRDefault="00616877" w:rsidP="00616877">
      <w:pPr>
        <w:tabs>
          <w:tab w:val="left" w:pos="34"/>
        </w:tabs>
        <w:ind w:left="34" w:right="68"/>
        <w:jc w:val="both"/>
        <w:rPr>
          <w:rFonts w:ascii="Abadi" w:eastAsia="Batang" w:hAnsi="Abadi" w:cs="Arial"/>
          <w:sz w:val="21"/>
          <w:szCs w:val="21"/>
        </w:rPr>
      </w:pPr>
      <w:r w:rsidRPr="00616877">
        <w:rPr>
          <w:rFonts w:ascii="Abadi" w:eastAsia="Batang" w:hAnsi="Abadi" w:cs="Arial"/>
          <w:sz w:val="21"/>
          <w:szCs w:val="21"/>
        </w:rPr>
        <w:tab/>
        <w:t>También, es importante mencionar que los montos destinados a gastos relativos a comunicación social y publicidad oficial desglosada por tipo de medio, proveedores, número de contrato o campaña, en atención a las obligaciones comunes que marca el artículo 26 fracción XXIII de la Ley de Trasparencia y Acceso a la Información Pública para el Estado de Guanajuato, se encuentran publicados de manera trimestral en la página oficial del Instituto de Acceso a la Información Pública para el Estado de Guanajuato</w:t>
      </w:r>
      <w:r w:rsidRPr="00616877">
        <w:rPr>
          <w:rFonts w:ascii="Abadi" w:eastAsia="Batang" w:hAnsi="Abadi" w:cs="Arial"/>
          <w:sz w:val="21"/>
          <w:szCs w:val="21"/>
          <w:vertAlign w:val="superscript"/>
        </w:rPr>
        <w:footnoteReference w:id="166"/>
      </w:r>
      <w:r w:rsidRPr="00616877">
        <w:rPr>
          <w:rFonts w:ascii="Abadi" w:eastAsia="Batang" w:hAnsi="Abadi" w:cs="Arial"/>
          <w:sz w:val="21"/>
          <w:szCs w:val="21"/>
        </w:rPr>
        <w:t>, lo que permite tener un seguimiento a estos gastos.</w:t>
      </w:r>
    </w:p>
    <w:p w14:paraId="12122694" w14:textId="77777777" w:rsidR="00616877" w:rsidRPr="00616877" w:rsidRDefault="00616877" w:rsidP="00616877">
      <w:pPr>
        <w:tabs>
          <w:tab w:val="left" w:pos="1260"/>
        </w:tabs>
        <w:ind w:left="34" w:right="68"/>
        <w:jc w:val="both"/>
        <w:rPr>
          <w:rFonts w:ascii="Abadi" w:eastAsia="Batang" w:hAnsi="Abadi" w:cs="Arial"/>
          <w:sz w:val="21"/>
          <w:szCs w:val="21"/>
        </w:rPr>
      </w:pPr>
    </w:p>
    <w:p w14:paraId="5D5EAF64" w14:textId="77777777" w:rsidR="00616877" w:rsidRPr="00616877" w:rsidRDefault="00616877" w:rsidP="00616877">
      <w:pPr>
        <w:autoSpaceDE w:val="0"/>
        <w:autoSpaceDN w:val="0"/>
        <w:adjustRightInd w:val="0"/>
        <w:ind w:right="-93" w:firstLine="708"/>
        <w:jc w:val="both"/>
        <w:rPr>
          <w:rFonts w:ascii="Abadi" w:eastAsia="Batang" w:hAnsi="Abadi" w:cs="Arial"/>
          <w:sz w:val="21"/>
          <w:szCs w:val="21"/>
        </w:rPr>
      </w:pPr>
      <w:r w:rsidRPr="00616877">
        <w:rPr>
          <w:rFonts w:ascii="Abadi" w:eastAsia="Batang" w:hAnsi="Abadi" w:cs="Arial"/>
          <w:sz w:val="21"/>
          <w:szCs w:val="21"/>
        </w:rPr>
        <w:t>En atención a los argumentos vertidos, determinamos improcedentes las reformas, adiciones y derogación propuestas.</w:t>
      </w:r>
    </w:p>
    <w:p w14:paraId="147B6EF1" w14:textId="77777777" w:rsidR="00616877" w:rsidRPr="00616877" w:rsidRDefault="00616877" w:rsidP="00616877">
      <w:pPr>
        <w:autoSpaceDE w:val="0"/>
        <w:autoSpaceDN w:val="0"/>
        <w:adjustRightInd w:val="0"/>
        <w:ind w:right="-93" w:firstLine="708"/>
        <w:jc w:val="both"/>
        <w:rPr>
          <w:rFonts w:ascii="Abadi" w:eastAsia="Batang" w:hAnsi="Abadi" w:cs="Arial"/>
          <w:sz w:val="21"/>
          <w:szCs w:val="21"/>
        </w:rPr>
      </w:pPr>
    </w:p>
    <w:p w14:paraId="5E5BBE55" w14:textId="77777777" w:rsidR="00616877" w:rsidRPr="00616877" w:rsidRDefault="00616877" w:rsidP="00616877">
      <w:pPr>
        <w:ind w:firstLine="708"/>
        <w:jc w:val="both"/>
        <w:rPr>
          <w:rFonts w:ascii="Abadi" w:eastAsia="Batang" w:hAnsi="Abadi" w:cs="Arial"/>
          <w:sz w:val="21"/>
          <w:szCs w:val="21"/>
        </w:rPr>
      </w:pPr>
      <w:r w:rsidRPr="00616877">
        <w:rPr>
          <w:rFonts w:ascii="Abadi" w:eastAsia="Batang" w:hAnsi="Abadi" w:cs="Arial"/>
          <w:sz w:val="21"/>
          <w:szCs w:val="21"/>
        </w:rPr>
        <w:t xml:space="preserve">Por lo anteriormente expuesto, y con fundamento en lo dispuesto por los artículos 171 y 204 de </w:t>
      </w:r>
      <w:smartTag w:uri="urn:schemas-microsoft-com:office:smarttags" w:element="PersonName">
        <w:smartTagPr>
          <w:attr w:name="ProductID" w:val="la Ley Org￡nica"/>
        </w:smartTagPr>
        <w:r w:rsidRPr="00616877">
          <w:rPr>
            <w:rFonts w:ascii="Abadi" w:eastAsia="Batang" w:hAnsi="Abadi" w:cs="Arial"/>
            <w:sz w:val="21"/>
            <w:szCs w:val="21"/>
          </w:rPr>
          <w:t>la Ley Orgánica</w:t>
        </w:r>
      </w:smartTag>
      <w:r w:rsidRPr="00616877">
        <w:rPr>
          <w:rFonts w:ascii="Abadi" w:eastAsia="Batang" w:hAnsi="Abadi" w:cs="Arial"/>
          <w:sz w:val="21"/>
          <w:szCs w:val="21"/>
        </w:rPr>
        <w:t xml:space="preserve"> del Poder Legislativo del Estado, quienes integramos la Comisión de Hacienda y Fiscalización, sometemos a la consideración de </w:t>
      </w:r>
      <w:smartTag w:uri="urn:schemas-microsoft-com:office:smarttags" w:element="PersonName">
        <w:smartTagPr>
          <w:attr w:name="ProductID" w:val="la Asamblea"/>
        </w:smartTagPr>
        <w:r w:rsidRPr="00616877">
          <w:rPr>
            <w:rFonts w:ascii="Abadi" w:eastAsia="Batang" w:hAnsi="Abadi" w:cs="Arial"/>
            <w:sz w:val="21"/>
            <w:szCs w:val="21"/>
          </w:rPr>
          <w:t>la Asamblea</w:t>
        </w:r>
      </w:smartTag>
      <w:r w:rsidRPr="00616877">
        <w:rPr>
          <w:rFonts w:ascii="Abadi" w:eastAsia="Batang" w:hAnsi="Abadi" w:cs="Arial"/>
          <w:sz w:val="21"/>
          <w:szCs w:val="21"/>
        </w:rPr>
        <w:t>, la aprobación del siguiente:</w:t>
      </w:r>
    </w:p>
    <w:p w14:paraId="00A1B839" w14:textId="77777777" w:rsidR="00616877" w:rsidRPr="00616877" w:rsidRDefault="00616877" w:rsidP="00616877">
      <w:pPr>
        <w:ind w:firstLine="540"/>
        <w:jc w:val="center"/>
        <w:rPr>
          <w:rFonts w:ascii="Abadi" w:hAnsi="Abadi"/>
          <w:b/>
          <w:sz w:val="21"/>
          <w:szCs w:val="21"/>
        </w:rPr>
      </w:pPr>
    </w:p>
    <w:p w14:paraId="5725010D" w14:textId="77777777" w:rsidR="00616877" w:rsidRPr="00616877" w:rsidRDefault="00616877" w:rsidP="00616877">
      <w:pPr>
        <w:jc w:val="center"/>
        <w:rPr>
          <w:rFonts w:ascii="Abadi" w:hAnsi="Abadi"/>
          <w:b/>
          <w:sz w:val="21"/>
          <w:szCs w:val="21"/>
        </w:rPr>
      </w:pPr>
      <w:r w:rsidRPr="00616877">
        <w:rPr>
          <w:rFonts w:ascii="Abadi" w:hAnsi="Abadi"/>
          <w:b/>
          <w:sz w:val="21"/>
          <w:szCs w:val="21"/>
        </w:rPr>
        <w:t>A c u e r d o</w:t>
      </w:r>
    </w:p>
    <w:p w14:paraId="41A63F38" w14:textId="77777777" w:rsidR="00616877" w:rsidRPr="00616877" w:rsidRDefault="00616877" w:rsidP="00616877">
      <w:pPr>
        <w:ind w:firstLine="540"/>
        <w:jc w:val="both"/>
        <w:rPr>
          <w:rFonts w:ascii="Abadi" w:hAnsi="Abadi"/>
          <w:b/>
          <w:sz w:val="21"/>
          <w:szCs w:val="21"/>
        </w:rPr>
      </w:pPr>
    </w:p>
    <w:p w14:paraId="21D41113" w14:textId="77777777" w:rsidR="00616877" w:rsidRPr="00616877" w:rsidRDefault="00616877" w:rsidP="00616877">
      <w:pPr>
        <w:ind w:firstLine="540"/>
        <w:jc w:val="both"/>
        <w:rPr>
          <w:rFonts w:ascii="Abadi" w:hAnsi="Abadi" w:cs="Arial"/>
          <w:sz w:val="21"/>
          <w:szCs w:val="21"/>
        </w:rPr>
      </w:pPr>
      <w:r w:rsidRPr="00616877">
        <w:rPr>
          <w:rFonts w:ascii="Abadi" w:hAnsi="Abadi"/>
          <w:b/>
          <w:sz w:val="21"/>
          <w:szCs w:val="21"/>
        </w:rPr>
        <w:t>Artículo Único.</w:t>
      </w:r>
      <w:r w:rsidRPr="00616877">
        <w:rPr>
          <w:rFonts w:ascii="Abadi" w:hAnsi="Abadi"/>
          <w:sz w:val="21"/>
          <w:szCs w:val="21"/>
        </w:rPr>
        <w:t xml:space="preserve"> Se </w:t>
      </w:r>
      <w:r w:rsidRPr="00616877">
        <w:rPr>
          <w:rFonts w:ascii="Abadi" w:hAnsi="Abadi" w:cs="Arial"/>
          <w:sz w:val="21"/>
          <w:szCs w:val="21"/>
        </w:rPr>
        <w:t xml:space="preserve">considera improcedente la iniciativa la iniciativa </w:t>
      </w:r>
      <w:r w:rsidRPr="00616877">
        <w:rPr>
          <w:rFonts w:ascii="Abadi" w:hAnsi="Abadi"/>
          <w:sz w:val="21"/>
          <w:szCs w:val="21"/>
          <w:lang w:val="es-ES_tradnl"/>
        </w:rPr>
        <w:t>formulada por diputadas y diputados integrantes del Grupo Parlamentario del Partido MORENA a efecto de reformar el primer párrafo del artículo 62 y adicionar un cuarto párrafo al artículo 61 ter 1 de la Ley para el Ejercicio y Control de los Recursos Públicos para el Estado y los Municipios de Guanajuato; y derogar la fracción IX del artículo 7 de la Ley de Contrataciones Públicas para el Estado de Guanajuato</w:t>
      </w:r>
      <w:r w:rsidRPr="00616877">
        <w:rPr>
          <w:rFonts w:ascii="Abadi" w:hAnsi="Abadi" w:cs="Arial"/>
          <w:sz w:val="21"/>
          <w:szCs w:val="21"/>
        </w:rPr>
        <w:t>. En consecuencia, se ordena su archivo definitivo.</w:t>
      </w:r>
    </w:p>
    <w:p w14:paraId="5F9FD58D" w14:textId="77777777" w:rsidR="00616877" w:rsidRPr="00616877" w:rsidRDefault="00616877" w:rsidP="00616877">
      <w:pPr>
        <w:ind w:firstLine="540"/>
        <w:jc w:val="both"/>
        <w:rPr>
          <w:rFonts w:ascii="Abadi" w:hAnsi="Abadi" w:cs="Arial"/>
          <w:sz w:val="21"/>
          <w:szCs w:val="21"/>
        </w:rPr>
      </w:pPr>
    </w:p>
    <w:p w14:paraId="11D05F49" w14:textId="77777777" w:rsidR="00616877" w:rsidRPr="00616877" w:rsidRDefault="00616877" w:rsidP="00616877">
      <w:pPr>
        <w:ind w:firstLine="540"/>
        <w:jc w:val="both"/>
        <w:rPr>
          <w:rFonts w:ascii="Abadi" w:hAnsi="Abadi" w:cs="Arial"/>
          <w:sz w:val="21"/>
          <w:szCs w:val="21"/>
        </w:rPr>
      </w:pPr>
      <w:r w:rsidRPr="00616877">
        <w:rPr>
          <w:rFonts w:ascii="Abadi" w:hAnsi="Abadi" w:cs="Arial"/>
          <w:sz w:val="21"/>
          <w:szCs w:val="21"/>
        </w:rPr>
        <w:t>Comuníquese el presente acuerdo a la Secretaría General del Congreso del Estado para los efectos conducentes.</w:t>
      </w:r>
    </w:p>
    <w:p w14:paraId="01E43DED" w14:textId="0C39883C" w:rsidR="00616877" w:rsidRDefault="00616877" w:rsidP="00616877">
      <w:pPr>
        <w:ind w:firstLine="540"/>
        <w:jc w:val="both"/>
        <w:rPr>
          <w:rFonts w:ascii="Abadi" w:hAnsi="Abadi"/>
          <w:sz w:val="21"/>
          <w:szCs w:val="21"/>
        </w:rPr>
      </w:pPr>
    </w:p>
    <w:p w14:paraId="162C0EEF" w14:textId="77777777" w:rsidR="00616877" w:rsidRPr="00616877" w:rsidRDefault="00616877" w:rsidP="00616877">
      <w:pPr>
        <w:ind w:firstLine="540"/>
        <w:jc w:val="both"/>
        <w:rPr>
          <w:rFonts w:ascii="Abadi" w:hAnsi="Abadi"/>
          <w:sz w:val="21"/>
          <w:szCs w:val="21"/>
        </w:rPr>
      </w:pPr>
    </w:p>
    <w:p w14:paraId="2C286EBD" w14:textId="77777777" w:rsidR="00616877" w:rsidRPr="00616877" w:rsidRDefault="00616877" w:rsidP="00616877">
      <w:pPr>
        <w:jc w:val="center"/>
        <w:rPr>
          <w:rFonts w:ascii="Abadi" w:hAnsi="Abadi" w:cs="Arial"/>
          <w:b/>
          <w:iCs/>
          <w:sz w:val="21"/>
          <w:szCs w:val="21"/>
          <w:lang w:val="es-MX"/>
        </w:rPr>
      </w:pPr>
      <w:r w:rsidRPr="00616877">
        <w:rPr>
          <w:rFonts w:ascii="Abadi" w:hAnsi="Abadi" w:cs="Arial"/>
          <w:b/>
          <w:iCs/>
          <w:sz w:val="21"/>
          <w:szCs w:val="21"/>
          <w:lang w:val="es-MX"/>
        </w:rPr>
        <w:t>Guanajuato, Gto., 20 de junio de 2022</w:t>
      </w:r>
    </w:p>
    <w:p w14:paraId="262D00A3" w14:textId="77777777" w:rsidR="00616877" w:rsidRPr="00616877" w:rsidRDefault="00616877" w:rsidP="00616877">
      <w:pPr>
        <w:jc w:val="center"/>
        <w:rPr>
          <w:rFonts w:ascii="Abadi" w:hAnsi="Abadi" w:cs="Arial"/>
          <w:b/>
          <w:iCs/>
          <w:sz w:val="21"/>
          <w:szCs w:val="21"/>
          <w:lang w:val="es-MX"/>
        </w:rPr>
      </w:pPr>
      <w:smartTag w:uri="urn:schemas-microsoft-com:office:smarttags" w:element="PersonName">
        <w:smartTagPr>
          <w:attr w:name="ProductID" w:val="La Comisi￳n"/>
        </w:smartTagPr>
        <w:r w:rsidRPr="00616877">
          <w:rPr>
            <w:rFonts w:ascii="Abadi" w:hAnsi="Abadi" w:cs="Arial"/>
            <w:b/>
            <w:iCs/>
            <w:sz w:val="21"/>
            <w:szCs w:val="21"/>
            <w:lang w:val="es-MX"/>
          </w:rPr>
          <w:t>La Comisión</w:t>
        </w:r>
      </w:smartTag>
      <w:r w:rsidRPr="00616877">
        <w:rPr>
          <w:rFonts w:ascii="Abadi" w:hAnsi="Abadi" w:cs="Arial"/>
          <w:b/>
          <w:iCs/>
          <w:sz w:val="21"/>
          <w:szCs w:val="21"/>
          <w:lang w:val="es-MX"/>
        </w:rPr>
        <w:t xml:space="preserve"> de Hacienda y Fiscalización</w:t>
      </w:r>
    </w:p>
    <w:p w14:paraId="2AA4AE1D" w14:textId="77777777" w:rsidR="00616877" w:rsidRDefault="00616877" w:rsidP="00616877">
      <w:pPr>
        <w:jc w:val="center"/>
        <w:rPr>
          <w:rFonts w:ascii="Abadi" w:hAnsi="Abadi" w:cs="Arial"/>
          <w:bCs/>
          <w:i/>
          <w:sz w:val="21"/>
          <w:szCs w:val="21"/>
          <w:lang w:val="es-MX"/>
        </w:rPr>
      </w:pPr>
    </w:p>
    <w:p w14:paraId="277E2BA2" w14:textId="70A2A519" w:rsidR="00616877" w:rsidRPr="00616877" w:rsidRDefault="00616877" w:rsidP="00616877">
      <w:pPr>
        <w:jc w:val="center"/>
        <w:rPr>
          <w:rFonts w:ascii="Abadi" w:hAnsi="Abadi" w:cs="Arial"/>
          <w:bCs/>
          <w:i/>
          <w:sz w:val="21"/>
          <w:szCs w:val="21"/>
          <w:lang w:val="es-MX"/>
        </w:rPr>
      </w:pPr>
      <w:r w:rsidRPr="00616877">
        <w:rPr>
          <w:rFonts w:ascii="Abadi" w:hAnsi="Abadi" w:cs="Arial"/>
          <w:bCs/>
          <w:i/>
          <w:sz w:val="21"/>
          <w:szCs w:val="21"/>
          <w:lang w:val="es-MX"/>
        </w:rPr>
        <w:t>Firma electrónica</w:t>
      </w:r>
    </w:p>
    <w:p w14:paraId="4496E4A9" w14:textId="77777777" w:rsidR="00616877" w:rsidRPr="00616877" w:rsidRDefault="00616877" w:rsidP="00616877">
      <w:pPr>
        <w:rPr>
          <w:rFonts w:ascii="Abadi" w:hAnsi="Abadi" w:cs="Arial"/>
          <w:b/>
          <w:iCs/>
          <w:sz w:val="21"/>
          <w:szCs w:val="21"/>
          <w:lang w:val="es-MX"/>
        </w:rPr>
      </w:pPr>
    </w:p>
    <w:p w14:paraId="3B7EA015" w14:textId="49911999" w:rsidR="00616877" w:rsidRPr="00616877" w:rsidRDefault="00616877" w:rsidP="00616877">
      <w:pPr>
        <w:jc w:val="center"/>
        <w:rPr>
          <w:rFonts w:ascii="Abadi" w:hAnsi="Abadi" w:cs="Calibri"/>
          <w:b/>
          <w:bCs/>
          <w:sz w:val="21"/>
          <w:szCs w:val="21"/>
        </w:rPr>
      </w:pPr>
      <w:r w:rsidRPr="00616877">
        <w:rPr>
          <w:rFonts w:ascii="Abadi" w:hAnsi="Abadi" w:cs="Calibri"/>
          <w:b/>
          <w:bCs/>
          <w:sz w:val="21"/>
          <w:szCs w:val="21"/>
        </w:rPr>
        <w:t>Diputado Víctor Manuel Zanella Huerta</w:t>
      </w:r>
    </w:p>
    <w:p w14:paraId="03D019B4" w14:textId="77777777" w:rsidR="00616877" w:rsidRPr="00616877" w:rsidRDefault="00616877" w:rsidP="00616877">
      <w:pPr>
        <w:jc w:val="center"/>
        <w:rPr>
          <w:rFonts w:ascii="Abadi" w:hAnsi="Abadi" w:cs="Calibri"/>
          <w:b/>
          <w:bCs/>
          <w:sz w:val="21"/>
          <w:szCs w:val="21"/>
        </w:rPr>
      </w:pPr>
    </w:p>
    <w:p w14:paraId="51D3D837" w14:textId="77777777" w:rsidR="00616877" w:rsidRDefault="00616877" w:rsidP="00616877">
      <w:pPr>
        <w:ind w:right="-234"/>
        <w:jc w:val="center"/>
        <w:rPr>
          <w:rFonts w:ascii="Abadi" w:hAnsi="Abadi" w:cs="Calibri"/>
          <w:b/>
          <w:bCs/>
          <w:sz w:val="21"/>
          <w:szCs w:val="21"/>
        </w:rPr>
      </w:pPr>
      <w:r w:rsidRPr="00616877">
        <w:rPr>
          <w:rFonts w:ascii="Abadi" w:hAnsi="Abadi" w:cs="Calibri"/>
          <w:b/>
          <w:bCs/>
          <w:sz w:val="21"/>
          <w:szCs w:val="21"/>
        </w:rPr>
        <w:t xml:space="preserve">Diputada Ruth Noemí Tiscareño Agoitia      </w:t>
      </w:r>
    </w:p>
    <w:p w14:paraId="5FE70A27" w14:textId="77777777" w:rsidR="00616877" w:rsidRDefault="00616877" w:rsidP="00616877">
      <w:pPr>
        <w:ind w:right="-234"/>
        <w:jc w:val="center"/>
        <w:rPr>
          <w:rFonts w:ascii="Abadi" w:hAnsi="Abadi" w:cs="Calibri"/>
          <w:b/>
          <w:bCs/>
          <w:sz w:val="21"/>
          <w:szCs w:val="21"/>
        </w:rPr>
      </w:pPr>
    </w:p>
    <w:p w14:paraId="5F226F47" w14:textId="4819B7FD" w:rsidR="00616877" w:rsidRPr="00616877" w:rsidRDefault="00616877" w:rsidP="00616877">
      <w:pPr>
        <w:ind w:right="-234"/>
        <w:jc w:val="center"/>
        <w:rPr>
          <w:rFonts w:ascii="Abadi" w:hAnsi="Abadi" w:cs="Calibri"/>
          <w:b/>
          <w:bCs/>
          <w:sz w:val="21"/>
          <w:szCs w:val="21"/>
        </w:rPr>
      </w:pPr>
      <w:r w:rsidRPr="00616877">
        <w:rPr>
          <w:rFonts w:ascii="Abadi" w:hAnsi="Abadi" w:cs="Calibri"/>
          <w:b/>
          <w:bCs/>
          <w:sz w:val="21"/>
          <w:szCs w:val="21"/>
        </w:rPr>
        <w:t>Diputado Miguel Ángel Salim Alle</w:t>
      </w:r>
    </w:p>
    <w:p w14:paraId="4713CED5" w14:textId="77777777" w:rsidR="00616877" w:rsidRPr="00616877" w:rsidRDefault="00616877" w:rsidP="00616877">
      <w:pPr>
        <w:jc w:val="center"/>
        <w:rPr>
          <w:rFonts w:ascii="Abadi" w:hAnsi="Abadi" w:cs="Calibri"/>
          <w:b/>
          <w:bCs/>
          <w:sz w:val="21"/>
          <w:szCs w:val="21"/>
        </w:rPr>
      </w:pPr>
    </w:p>
    <w:p w14:paraId="5DF2ABA0" w14:textId="6C917D1C" w:rsidR="00616877" w:rsidRPr="00616877" w:rsidRDefault="00616877" w:rsidP="00616877">
      <w:pPr>
        <w:ind w:right="-234"/>
        <w:jc w:val="center"/>
        <w:rPr>
          <w:rFonts w:ascii="Abadi" w:hAnsi="Abadi" w:cs="Calibri"/>
          <w:b/>
          <w:bCs/>
          <w:sz w:val="21"/>
          <w:szCs w:val="21"/>
        </w:rPr>
      </w:pPr>
      <w:r w:rsidRPr="00616877">
        <w:rPr>
          <w:rFonts w:ascii="Abadi" w:hAnsi="Abadi" w:cs="Calibri"/>
          <w:b/>
          <w:bCs/>
          <w:sz w:val="21"/>
          <w:szCs w:val="21"/>
        </w:rPr>
        <w:t>Diputado José Alfonso Borja Pimentel</w:t>
      </w:r>
    </w:p>
    <w:p w14:paraId="41AF08B2" w14:textId="77777777" w:rsidR="00616877" w:rsidRPr="00616877" w:rsidRDefault="00616877" w:rsidP="00616877">
      <w:pPr>
        <w:ind w:right="-234"/>
        <w:jc w:val="center"/>
        <w:rPr>
          <w:rFonts w:ascii="Abadi" w:hAnsi="Abadi" w:cs="Calibri"/>
          <w:b/>
          <w:bCs/>
          <w:sz w:val="21"/>
          <w:szCs w:val="21"/>
        </w:rPr>
      </w:pPr>
    </w:p>
    <w:p w14:paraId="72ED59E5" w14:textId="77777777" w:rsidR="00616877" w:rsidRPr="00616877" w:rsidRDefault="00616877" w:rsidP="00616877">
      <w:pPr>
        <w:ind w:right="-234"/>
        <w:jc w:val="center"/>
        <w:rPr>
          <w:rFonts w:ascii="Abadi" w:hAnsi="Abadi" w:cs="Calibri"/>
          <w:b/>
          <w:bCs/>
          <w:sz w:val="21"/>
          <w:szCs w:val="21"/>
        </w:rPr>
      </w:pPr>
      <w:r w:rsidRPr="00616877">
        <w:rPr>
          <w:rFonts w:ascii="Abadi" w:hAnsi="Abadi" w:cs="Calibri"/>
          <w:b/>
          <w:bCs/>
          <w:sz w:val="21"/>
          <w:szCs w:val="21"/>
        </w:rPr>
        <w:t>Diputada Alma Edwviges Alcaraz Hernández</w:t>
      </w:r>
    </w:p>
    <w:p w14:paraId="169EA01A" w14:textId="24798B44" w:rsidR="00616877" w:rsidRPr="00616877" w:rsidRDefault="00616877" w:rsidP="00616877">
      <w:pPr>
        <w:ind w:right="-234"/>
        <w:jc w:val="center"/>
        <w:rPr>
          <w:rFonts w:ascii="Abadi" w:hAnsi="Abadi" w:cs="Calibri"/>
          <w:sz w:val="21"/>
          <w:szCs w:val="21"/>
        </w:rPr>
      </w:pPr>
      <w:r w:rsidRPr="00616877">
        <w:rPr>
          <w:rFonts w:ascii="Abadi" w:hAnsi="Abadi" w:cs="Calibri"/>
          <w:sz w:val="21"/>
          <w:szCs w:val="21"/>
        </w:rPr>
        <w:t>Voto en contra</w:t>
      </w:r>
    </w:p>
    <w:p w14:paraId="7A0FBA16" w14:textId="4862C6F7" w:rsidR="003B22C1" w:rsidRDefault="003B22C1" w:rsidP="003B22C1">
      <w:pPr>
        <w:rPr>
          <w:rFonts w:ascii="Abadi" w:hAnsi="Abadi"/>
          <w:sz w:val="20"/>
          <w:szCs w:val="20"/>
        </w:rPr>
      </w:pPr>
    </w:p>
    <w:p w14:paraId="1077DE01" w14:textId="77777777" w:rsidR="003B22C1" w:rsidRPr="003B22C1" w:rsidRDefault="003B22C1" w:rsidP="003B22C1">
      <w:pPr>
        <w:rPr>
          <w:rFonts w:ascii="Abadi" w:hAnsi="Abadi"/>
          <w:sz w:val="20"/>
          <w:szCs w:val="20"/>
        </w:rPr>
      </w:pPr>
    </w:p>
    <w:p w14:paraId="57A6CAD8" w14:textId="1CA95F0E" w:rsidR="002B5DDE" w:rsidRDefault="002B5DDE"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1"/>
          <w:sz w:val="20"/>
          <w:szCs w:val="20"/>
        </w:rPr>
        <w:t xml:space="preserve"> </w:t>
      </w:r>
      <w:r w:rsidRPr="00531B12">
        <w:rPr>
          <w:rFonts w:ascii="Abadi" w:hAnsi="Abadi"/>
          <w:b/>
          <w:bCs/>
          <w:sz w:val="20"/>
          <w:szCs w:val="20"/>
        </w:rPr>
        <w:t>Y,</w:t>
      </w:r>
      <w:r w:rsidRPr="00531B12">
        <w:rPr>
          <w:rFonts w:ascii="Abadi" w:hAnsi="Abadi"/>
          <w:b/>
          <w:bCs/>
          <w:spacing w:val="11"/>
          <w:sz w:val="20"/>
          <w:szCs w:val="20"/>
        </w:rPr>
        <w:t xml:space="preserve"> </w:t>
      </w:r>
      <w:r w:rsidRPr="00531B12">
        <w:rPr>
          <w:rFonts w:ascii="Abadi" w:hAnsi="Abadi"/>
          <w:b/>
          <w:bCs/>
          <w:sz w:val="20"/>
          <w:szCs w:val="20"/>
        </w:rPr>
        <w:t>EN</w:t>
      </w:r>
      <w:r w:rsidRPr="00531B12">
        <w:rPr>
          <w:rFonts w:ascii="Abadi" w:hAnsi="Abadi"/>
          <w:b/>
          <w:bCs/>
          <w:spacing w:val="11"/>
          <w:sz w:val="20"/>
          <w:szCs w:val="20"/>
        </w:rPr>
        <w:t xml:space="preserve"> </w:t>
      </w:r>
      <w:r w:rsidRPr="00531B12">
        <w:rPr>
          <w:rFonts w:ascii="Abadi" w:hAnsi="Abadi"/>
          <w:b/>
          <w:bCs/>
          <w:sz w:val="20"/>
          <w:szCs w:val="20"/>
        </w:rPr>
        <w:t>SU</w:t>
      </w:r>
      <w:r w:rsidRPr="00531B12">
        <w:rPr>
          <w:rFonts w:ascii="Abadi" w:hAnsi="Abadi"/>
          <w:b/>
          <w:bCs/>
          <w:spacing w:val="11"/>
          <w:sz w:val="20"/>
          <w:szCs w:val="20"/>
        </w:rPr>
        <w:t xml:space="preserve"> </w:t>
      </w:r>
      <w:r w:rsidRPr="00531B12">
        <w:rPr>
          <w:rFonts w:ascii="Abadi" w:hAnsi="Abadi"/>
          <w:b/>
          <w:bCs/>
          <w:sz w:val="20"/>
          <w:szCs w:val="20"/>
        </w:rPr>
        <w:t>CASO,</w:t>
      </w:r>
      <w:r w:rsidRPr="00531B12">
        <w:rPr>
          <w:rFonts w:ascii="Abadi" w:hAnsi="Abadi"/>
          <w:b/>
          <w:bCs/>
          <w:spacing w:val="11"/>
          <w:sz w:val="20"/>
          <w:szCs w:val="20"/>
        </w:rPr>
        <w:t xml:space="preserve"> </w:t>
      </w:r>
      <w:r w:rsidRPr="00531B12">
        <w:rPr>
          <w:rFonts w:ascii="Abadi" w:hAnsi="Abadi"/>
          <w:b/>
          <w:bCs/>
          <w:sz w:val="20"/>
          <w:szCs w:val="20"/>
        </w:rPr>
        <w:t>APROBACIÓN</w:t>
      </w:r>
      <w:r w:rsidRPr="00531B12">
        <w:rPr>
          <w:rFonts w:ascii="Abadi" w:hAnsi="Abadi"/>
          <w:b/>
          <w:bCs/>
          <w:spacing w:val="11"/>
          <w:sz w:val="20"/>
          <w:szCs w:val="20"/>
        </w:rPr>
        <w:t xml:space="preserve"> </w:t>
      </w:r>
      <w:r w:rsidRPr="00531B12">
        <w:rPr>
          <w:rFonts w:ascii="Abadi" w:hAnsi="Abadi"/>
          <w:b/>
          <w:bCs/>
          <w:sz w:val="20"/>
          <w:szCs w:val="20"/>
        </w:rPr>
        <w:t>DEL</w:t>
      </w:r>
      <w:r w:rsidRPr="00531B12">
        <w:rPr>
          <w:rFonts w:ascii="Abadi" w:hAnsi="Abadi"/>
          <w:b/>
          <w:bCs/>
          <w:spacing w:val="11"/>
          <w:sz w:val="20"/>
          <w:szCs w:val="20"/>
        </w:rPr>
        <w:t xml:space="preserve"> </w:t>
      </w:r>
      <w:r w:rsidRPr="00531B12">
        <w:rPr>
          <w:rFonts w:ascii="Abadi" w:hAnsi="Abadi"/>
          <w:b/>
          <w:bCs/>
          <w:sz w:val="20"/>
          <w:szCs w:val="20"/>
        </w:rPr>
        <w:t>DICTAMEN</w:t>
      </w:r>
      <w:r w:rsidRPr="00531B12">
        <w:rPr>
          <w:rFonts w:ascii="Abadi" w:hAnsi="Abadi"/>
          <w:b/>
          <w:bCs/>
          <w:spacing w:val="11"/>
          <w:sz w:val="20"/>
          <w:szCs w:val="20"/>
        </w:rPr>
        <w:t xml:space="preserve"> </w:t>
      </w:r>
      <w:r w:rsidRPr="00531B12">
        <w:rPr>
          <w:rFonts w:ascii="Abadi" w:hAnsi="Abadi"/>
          <w:b/>
          <w:bCs/>
          <w:sz w:val="20"/>
          <w:szCs w:val="20"/>
        </w:rPr>
        <w:t>SUSCRITO</w:t>
      </w:r>
      <w:r w:rsidRPr="00531B12">
        <w:rPr>
          <w:rFonts w:ascii="Abadi" w:hAnsi="Abadi"/>
          <w:b/>
          <w:bCs/>
          <w:spacing w:val="11"/>
          <w:sz w:val="20"/>
          <w:szCs w:val="20"/>
        </w:rPr>
        <w:t xml:space="preserve"> </w:t>
      </w:r>
      <w:r w:rsidRPr="00531B12">
        <w:rPr>
          <w:rFonts w:ascii="Abadi" w:hAnsi="Abadi"/>
          <w:b/>
          <w:bCs/>
          <w:sz w:val="20"/>
          <w:szCs w:val="20"/>
        </w:rPr>
        <w:t>POR</w:t>
      </w:r>
      <w:r w:rsidRPr="00531B12">
        <w:rPr>
          <w:rFonts w:ascii="Abadi" w:hAnsi="Abadi"/>
          <w:b/>
          <w:bCs/>
          <w:spacing w:val="11"/>
          <w:sz w:val="20"/>
          <w:szCs w:val="20"/>
        </w:rPr>
        <w:t xml:space="preserve"> </w:t>
      </w:r>
      <w:r w:rsidRPr="00531B12">
        <w:rPr>
          <w:rFonts w:ascii="Abadi" w:hAnsi="Abadi"/>
          <w:b/>
          <w:bCs/>
          <w:sz w:val="20"/>
          <w:szCs w:val="20"/>
        </w:rPr>
        <w:t>LA</w:t>
      </w:r>
      <w:r w:rsidRPr="00531B12">
        <w:rPr>
          <w:rFonts w:ascii="Abadi" w:hAnsi="Abadi"/>
          <w:b/>
          <w:bCs/>
          <w:spacing w:val="11"/>
          <w:sz w:val="20"/>
          <w:szCs w:val="20"/>
        </w:rPr>
        <w:t xml:space="preserve"> </w:t>
      </w:r>
      <w:r w:rsidRPr="00531B12">
        <w:rPr>
          <w:rFonts w:ascii="Abadi" w:hAnsi="Abadi"/>
          <w:b/>
          <w:bCs/>
          <w:sz w:val="20"/>
          <w:szCs w:val="20"/>
        </w:rPr>
        <w:t>COMISIÓN</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57"/>
          <w:w w:val="150"/>
          <w:sz w:val="20"/>
          <w:szCs w:val="20"/>
        </w:rPr>
        <w:t xml:space="preserve"> </w:t>
      </w:r>
      <w:r w:rsidRPr="00531B12">
        <w:rPr>
          <w:rFonts w:ascii="Abadi" w:hAnsi="Abadi"/>
          <w:b/>
          <w:bCs/>
          <w:sz w:val="20"/>
          <w:szCs w:val="20"/>
        </w:rPr>
        <w:t>HACIENDA</w:t>
      </w:r>
      <w:r w:rsidRPr="00531B12">
        <w:rPr>
          <w:rFonts w:ascii="Abadi" w:hAnsi="Abadi"/>
          <w:b/>
          <w:bCs/>
          <w:spacing w:val="57"/>
          <w:w w:val="150"/>
          <w:sz w:val="20"/>
          <w:szCs w:val="20"/>
        </w:rPr>
        <w:t xml:space="preserve"> </w:t>
      </w:r>
      <w:r w:rsidRPr="00531B12">
        <w:rPr>
          <w:rFonts w:ascii="Abadi" w:hAnsi="Abadi"/>
          <w:b/>
          <w:bCs/>
          <w:sz w:val="20"/>
          <w:szCs w:val="20"/>
        </w:rPr>
        <w:t>Y</w:t>
      </w:r>
      <w:r w:rsidRPr="00531B12">
        <w:rPr>
          <w:rFonts w:ascii="Abadi" w:hAnsi="Abadi"/>
          <w:b/>
          <w:bCs/>
          <w:spacing w:val="57"/>
          <w:w w:val="150"/>
          <w:sz w:val="20"/>
          <w:szCs w:val="20"/>
        </w:rPr>
        <w:t xml:space="preserve"> </w:t>
      </w:r>
      <w:r w:rsidRPr="00531B12">
        <w:rPr>
          <w:rFonts w:ascii="Abadi" w:hAnsi="Abadi"/>
          <w:b/>
          <w:bCs/>
          <w:sz w:val="20"/>
          <w:szCs w:val="20"/>
        </w:rPr>
        <w:t>FISCALIZACIÓN</w:t>
      </w:r>
      <w:r w:rsidRPr="00531B12">
        <w:rPr>
          <w:rFonts w:ascii="Abadi" w:hAnsi="Abadi"/>
          <w:b/>
          <w:bCs/>
          <w:spacing w:val="57"/>
          <w:w w:val="150"/>
          <w:sz w:val="20"/>
          <w:szCs w:val="20"/>
        </w:rPr>
        <w:t xml:space="preserve"> </w:t>
      </w:r>
      <w:r w:rsidRPr="00531B12">
        <w:rPr>
          <w:rFonts w:ascii="Abadi" w:hAnsi="Abadi"/>
          <w:b/>
          <w:bCs/>
          <w:sz w:val="20"/>
          <w:szCs w:val="20"/>
        </w:rPr>
        <w:t>RELATIVO</w:t>
      </w:r>
      <w:r w:rsidRPr="00531B12">
        <w:rPr>
          <w:rFonts w:ascii="Abadi" w:hAnsi="Abadi"/>
          <w:b/>
          <w:bCs/>
          <w:spacing w:val="57"/>
          <w:w w:val="150"/>
          <w:sz w:val="20"/>
          <w:szCs w:val="20"/>
        </w:rPr>
        <w:t xml:space="preserve"> </w:t>
      </w:r>
      <w:r w:rsidRPr="00531B12">
        <w:rPr>
          <w:rFonts w:ascii="Abadi" w:hAnsi="Abadi"/>
          <w:b/>
          <w:bCs/>
          <w:sz w:val="20"/>
          <w:szCs w:val="20"/>
        </w:rPr>
        <w:t>A</w:t>
      </w:r>
      <w:r w:rsidRPr="00531B12">
        <w:rPr>
          <w:rFonts w:ascii="Abadi" w:hAnsi="Abadi"/>
          <w:b/>
          <w:bCs/>
          <w:spacing w:val="57"/>
          <w:w w:val="150"/>
          <w:sz w:val="20"/>
          <w:szCs w:val="20"/>
        </w:rPr>
        <w:t xml:space="preserve"> </w:t>
      </w:r>
      <w:r w:rsidRPr="00531B12">
        <w:rPr>
          <w:rFonts w:ascii="Abadi" w:hAnsi="Abadi"/>
          <w:b/>
          <w:bCs/>
          <w:sz w:val="20"/>
          <w:szCs w:val="20"/>
        </w:rPr>
        <w:t>DOS</w:t>
      </w:r>
      <w:r w:rsidRPr="00531B12">
        <w:rPr>
          <w:rFonts w:ascii="Abadi" w:hAnsi="Abadi"/>
          <w:b/>
          <w:bCs/>
          <w:spacing w:val="57"/>
          <w:w w:val="150"/>
          <w:sz w:val="20"/>
          <w:szCs w:val="20"/>
        </w:rPr>
        <w:t xml:space="preserve"> </w:t>
      </w:r>
      <w:r w:rsidRPr="00531B12">
        <w:rPr>
          <w:rFonts w:ascii="Abadi" w:hAnsi="Abadi"/>
          <w:b/>
          <w:bCs/>
          <w:sz w:val="20"/>
          <w:szCs w:val="20"/>
        </w:rPr>
        <w:t>INICIATIVAS</w:t>
      </w:r>
      <w:r w:rsidRPr="00531B12">
        <w:rPr>
          <w:rFonts w:ascii="Abadi" w:hAnsi="Abadi"/>
          <w:b/>
          <w:bCs/>
          <w:spacing w:val="57"/>
          <w:w w:val="150"/>
          <w:sz w:val="20"/>
          <w:szCs w:val="20"/>
        </w:rPr>
        <w:t xml:space="preserve"> </w:t>
      </w:r>
      <w:r w:rsidRPr="00531B12">
        <w:rPr>
          <w:rFonts w:ascii="Abadi" w:hAnsi="Abadi"/>
          <w:b/>
          <w:bCs/>
          <w:sz w:val="20"/>
          <w:szCs w:val="20"/>
        </w:rPr>
        <w:t>FORMULADAS</w:t>
      </w:r>
      <w:r w:rsidRPr="00531B12">
        <w:rPr>
          <w:rFonts w:ascii="Abadi" w:hAnsi="Abadi"/>
          <w:b/>
          <w:bCs/>
          <w:spacing w:val="57"/>
          <w:w w:val="150"/>
          <w:sz w:val="20"/>
          <w:szCs w:val="20"/>
        </w:rPr>
        <w:t xml:space="preserve"> </w:t>
      </w:r>
      <w:r w:rsidRPr="00531B12">
        <w:rPr>
          <w:rFonts w:ascii="Abadi" w:hAnsi="Abadi"/>
          <w:b/>
          <w:bCs/>
          <w:sz w:val="20"/>
          <w:szCs w:val="20"/>
        </w:rPr>
        <w:t>POR</w:t>
      </w:r>
      <w:r w:rsidRPr="00531B12">
        <w:rPr>
          <w:rFonts w:ascii="Abadi" w:hAnsi="Abadi"/>
          <w:b/>
          <w:bCs/>
          <w:spacing w:val="-1"/>
          <w:sz w:val="20"/>
          <w:szCs w:val="20"/>
        </w:rPr>
        <w:t xml:space="preserve"> </w:t>
      </w:r>
      <w:r w:rsidRPr="00531B12">
        <w:rPr>
          <w:rFonts w:ascii="Abadi" w:hAnsi="Abadi"/>
          <w:b/>
          <w:bCs/>
          <w:sz w:val="20"/>
          <w:szCs w:val="20"/>
        </w:rPr>
        <w:t>DIPUTADAS</w:t>
      </w:r>
      <w:r w:rsidRPr="00531B12">
        <w:rPr>
          <w:rFonts w:ascii="Abadi" w:hAnsi="Abadi"/>
          <w:b/>
          <w:bCs/>
          <w:spacing w:val="72"/>
          <w:sz w:val="20"/>
          <w:szCs w:val="20"/>
        </w:rPr>
        <w:t xml:space="preserve"> </w:t>
      </w:r>
      <w:r w:rsidRPr="00531B12">
        <w:rPr>
          <w:rFonts w:ascii="Abadi" w:hAnsi="Abadi"/>
          <w:b/>
          <w:bCs/>
          <w:sz w:val="20"/>
          <w:szCs w:val="20"/>
        </w:rPr>
        <w:t>Y</w:t>
      </w:r>
      <w:r w:rsidRPr="00531B12">
        <w:rPr>
          <w:rFonts w:ascii="Abadi" w:hAnsi="Abadi"/>
          <w:b/>
          <w:bCs/>
          <w:spacing w:val="72"/>
          <w:sz w:val="20"/>
          <w:szCs w:val="20"/>
        </w:rPr>
        <w:t xml:space="preserve"> </w:t>
      </w:r>
      <w:r w:rsidRPr="00531B12">
        <w:rPr>
          <w:rFonts w:ascii="Abadi" w:hAnsi="Abadi"/>
          <w:b/>
          <w:bCs/>
          <w:sz w:val="20"/>
          <w:szCs w:val="20"/>
        </w:rPr>
        <w:t>DIPUTADOS</w:t>
      </w:r>
      <w:r w:rsidRPr="00531B12">
        <w:rPr>
          <w:rFonts w:ascii="Abadi" w:hAnsi="Abadi"/>
          <w:b/>
          <w:bCs/>
          <w:spacing w:val="72"/>
          <w:sz w:val="20"/>
          <w:szCs w:val="20"/>
        </w:rPr>
        <w:t xml:space="preserve"> </w:t>
      </w:r>
      <w:r w:rsidRPr="00531B12">
        <w:rPr>
          <w:rFonts w:ascii="Abadi" w:hAnsi="Abadi"/>
          <w:b/>
          <w:bCs/>
          <w:sz w:val="20"/>
          <w:szCs w:val="20"/>
        </w:rPr>
        <w:t>INTEGRANTES</w:t>
      </w:r>
      <w:r w:rsidRPr="00531B12">
        <w:rPr>
          <w:rFonts w:ascii="Abadi" w:hAnsi="Abadi"/>
          <w:b/>
          <w:bCs/>
          <w:spacing w:val="72"/>
          <w:sz w:val="20"/>
          <w:szCs w:val="20"/>
        </w:rPr>
        <w:t xml:space="preserve"> </w:t>
      </w:r>
      <w:r w:rsidRPr="00531B12">
        <w:rPr>
          <w:rFonts w:ascii="Abadi" w:hAnsi="Abadi"/>
          <w:b/>
          <w:bCs/>
          <w:sz w:val="20"/>
          <w:szCs w:val="20"/>
        </w:rPr>
        <w:t>DEL</w:t>
      </w:r>
      <w:r w:rsidRPr="00531B12">
        <w:rPr>
          <w:rFonts w:ascii="Abadi" w:hAnsi="Abadi"/>
          <w:b/>
          <w:bCs/>
          <w:spacing w:val="72"/>
          <w:sz w:val="20"/>
          <w:szCs w:val="20"/>
        </w:rPr>
        <w:t xml:space="preserve"> </w:t>
      </w:r>
      <w:r w:rsidRPr="00531B12">
        <w:rPr>
          <w:rFonts w:ascii="Abadi" w:hAnsi="Abadi"/>
          <w:b/>
          <w:bCs/>
          <w:sz w:val="20"/>
          <w:szCs w:val="20"/>
        </w:rPr>
        <w:t>GRUPO</w:t>
      </w:r>
      <w:r w:rsidRPr="00531B12">
        <w:rPr>
          <w:rFonts w:ascii="Abadi" w:hAnsi="Abadi"/>
          <w:b/>
          <w:bCs/>
          <w:spacing w:val="72"/>
          <w:sz w:val="20"/>
          <w:szCs w:val="20"/>
        </w:rPr>
        <w:t xml:space="preserve"> </w:t>
      </w:r>
      <w:r w:rsidRPr="00531B12">
        <w:rPr>
          <w:rFonts w:ascii="Abadi" w:hAnsi="Abadi"/>
          <w:b/>
          <w:bCs/>
          <w:sz w:val="20"/>
          <w:szCs w:val="20"/>
        </w:rPr>
        <w:t>PARLAMENTARIO</w:t>
      </w:r>
      <w:r w:rsidRPr="00531B12">
        <w:rPr>
          <w:rFonts w:ascii="Abadi" w:hAnsi="Abadi"/>
          <w:b/>
          <w:bCs/>
          <w:spacing w:val="72"/>
          <w:sz w:val="20"/>
          <w:szCs w:val="20"/>
        </w:rPr>
        <w:t xml:space="preserve"> </w:t>
      </w:r>
      <w:r w:rsidRPr="00531B12">
        <w:rPr>
          <w:rFonts w:ascii="Abadi" w:hAnsi="Abadi"/>
          <w:b/>
          <w:bCs/>
          <w:sz w:val="20"/>
          <w:szCs w:val="20"/>
        </w:rPr>
        <w:t>DEL</w:t>
      </w:r>
      <w:r w:rsidRPr="00531B12">
        <w:rPr>
          <w:rFonts w:ascii="Abadi" w:hAnsi="Abadi"/>
          <w:b/>
          <w:bCs/>
          <w:spacing w:val="72"/>
          <w:sz w:val="20"/>
          <w:szCs w:val="20"/>
        </w:rPr>
        <w:t xml:space="preserve"> </w:t>
      </w:r>
      <w:r w:rsidRPr="00531B12">
        <w:rPr>
          <w:rFonts w:ascii="Abadi" w:hAnsi="Abadi"/>
          <w:b/>
          <w:bCs/>
          <w:sz w:val="20"/>
          <w:szCs w:val="20"/>
        </w:rPr>
        <w:t>PARTIDO</w:t>
      </w:r>
      <w:r w:rsidRPr="00531B12">
        <w:rPr>
          <w:rFonts w:ascii="Abadi" w:hAnsi="Abadi"/>
          <w:b/>
          <w:bCs/>
          <w:spacing w:val="-1"/>
          <w:sz w:val="20"/>
          <w:szCs w:val="20"/>
        </w:rPr>
        <w:t xml:space="preserve"> </w:t>
      </w:r>
      <w:r w:rsidRPr="00531B12">
        <w:rPr>
          <w:rFonts w:ascii="Abadi" w:hAnsi="Abadi"/>
          <w:b/>
          <w:bCs/>
          <w:sz w:val="20"/>
          <w:szCs w:val="20"/>
        </w:rPr>
        <w:t>ACCIÓN</w:t>
      </w:r>
      <w:r w:rsidRPr="00531B12">
        <w:rPr>
          <w:rFonts w:ascii="Abadi" w:hAnsi="Abadi"/>
          <w:b/>
          <w:bCs/>
          <w:spacing w:val="-7"/>
          <w:sz w:val="20"/>
          <w:szCs w:val="20"/>
        </w:rPr>
        <w:t xml:space="preserve"> </w:t>
      </w:r>
      <w:r w:rsidRPr="00531B12">
        <w:rPr>
          <w:rFonts w:ascii="Abadi" w:hAnsi="Abadi"/>
          <w:b/>
          <w:bCs/>
          <w:sz w:val="20"/>
          <w:szCs w:val="20"/>
        </w:rPr>
        <w:t>NACIONAL</w:t>
      </w:r>
      <w:r w:rsidRPr="00531B12">
        <w:rPr>
          <w:rFonts w:ascii="Abadi" w:hAnsi="Abadi"/>
          <w:b/>
          <w:bCs/>
          <w:spacing w:val="-7"/>
          <w:sz w:val="20"/>
          <w:szCs w:val="20"/>
        </w:rPr>
        <w:t xml:space="preserve"> </w:t>
      </w:r>
      <w:r w:rsidRPr="00531B12">
        <w:rPr>
          <w:rFonts w:ascii="Abadi" w:hAnsi="Abadi"/>
          <w:b/>
          <w:bCs/>
          <w:sz w:val="20"/>
          <w:szCs w:val="20"/>
        </w:rPr>
        <w:t>A</w:t>
      </w:r>
      <w:r w:rsidRPr="00531B12">
        <w:rPr>
          <w:rFonts w:ascii="Abadi" w:hAnsi="Abadi"/>
          <w:b/>
          <w:bCs/>
          <w:spacing w:val="-7"/>
          <w:sz w:val="20"/>
          <w:szCs w:val="20"/>
        </w:rPr>
        <w:t xml:space="preserve"> </w:t>
      </w:r>
      <w:r w:rsidRPr="00531B12">
        <w:rPr>
          <w:rFonts w:ascii="Abadi" w:hAnsi="Abadi"/>
          <w:b/>
          <w:bCs/>
          <w:sz w:val="20"/>
          <w:szCs w:val="20"/>
        </w:rPr>
        <w:t>EFECTO</w:t>
      </w:r>
      <w:r w:rsidRPr="00531B12">
        <w:rPr>
          <w:rFonts w:ascii="Abadi" w:hAnsi="Abadi"/>
          <w:b/>
          <w:bCs/>
          <w:spacing w:val="-7"/>
          <w:sz w:val="20"/>
          <w:szCs w:val="20"/>
        </w:rPr>
        <w:t xml:space="preserve"> </w:t>
      </w:r>
      <w:r w:rsidRPr="00531B12">
        <w:rPr>
          <w:rFonts w:ascii="Abadi" w:hAnsi="Abadi"/>
          <w:b/>
          <w:bCs/>
          <w:sz w:val="20"/>
          <w:szCs w:val="20"/>
        </w:rPr>
        <w:t>DE</w:t>
      </w:r>
      <w:r w:rsidRPr="00531B12">
        <w:rPr>
          <w:rFonts w:ascii="Abadi" w:hAnsi="Abadi"/>
          <w:b/>
          <w:bCs/>
          <w:spacing w:val="-7"/>
          <w:sz w:val="20"/>
          <w:szCs w:val="20"/>
        </w:rPr>
        <w:t xml:space="preserve"> </w:t>
      </w:r>
      <w:r w:rsidRPr="00531B12">
        <w:rPr>
          <w:rFonts w:ascii="Abadi" w:hAnsi="Abadi"/>
          <w:b/>
          <w:bCs/>
          <w:sz w:val="20"/>
          <w:szCs w:val="20"/>
        </w:rPr>
        <w:t>REFORMAR,</w:t>
      </w:r>
      <w:r w:rsidRPr="00531B12">
        <w:rPr>
          <w:rFonts w:ascii="Abadi" w:hAnsi="Abadi"/>
          <w:b/>
          <w:bCs/>
          <w:spacing w:val="-7"/>
          <w:sz w:val="20"/>
          <w:szCs w:val="20"/>
        </w:rPr>
        <w:t xml:space="preserve"> </w:t>
      </w:r>
      <w:r w:rsidRPr="00531B12">
        <w:rPr>
          <w:rFonts w:ascii="Abadi" w:hAnsi="Abadi"/>
          <w:b/>
          <w:bCs/>
          <w:sz w:val="20"/>
          <w:szCs w:val="20"/>
        </w:rPr>
        <w:t>ADICIONAR</w:t>
      </w:r>
      <w:r w:rsidRPr="00531B12">
        <w:rPr>
          <w:rFonts w:ascii="Abadi" w:hAnsi="Abadi"/>
          <w:b/>
          <w:bCs/>
          <w:spacing w:val="-7"/>
          <w:sz w:val="20"/>
          <w:szCs w:val="20"/>
        </w:rPr>
        <w:t xml:space="preserve"> </w:t>
      </w:r>
      <w:r w:rsidRPr="00531B12">
        <w:rPr>
          <w:rFonts w:ascii="Abadi" w:hAnsi="Abadi"/>
          <w:b/>
          <w:bCs/>
          <w:sz w:val="20"/>
          <w:szCs w:val="20"/>
        </w:rPr>
        <w:t>Y</w:t>
      </w:r>
      <w:r w:rsidRPr="00531B12">
        <w:rPr>
          <w:rFonts w:ascii="Abadi" w:hAnsi="Abadi"/>
          <w:b/>
          <w:bCs/>
          <w:spacing w:val="-6"/>
          <w:sz w:val="20"/>
          <w:szCs w:val="20"/>
        </w:rPr>
        <w:t xml:space="preserve"> </w:t>
      </w:r>
      <w:r w:rsidRPr="00531B12">
        <w:rPr>
          <w:rFonts w:ascii="Abadi" w:hAnsi="Abadi"/>
          <w:b/>
          <w:bCs/>
          <w:sz w:val="20"/>
          <w:szCs w:val="20"/>
        </w:rPr>
        <w:t>DEROGAR</w:t>
      </w:r>
      <w:r w:rsidRPr="00531B12">
        <w:rPr>
          <w:rFonts w:ascii="Abadi" w:hAnsi="Abadi"/>
          <w:b/>
          <w:bCs/>
          <w:spacing w:val="-7"/>
          <w:sz w:val="20"/>
          <w:szCs w:val="20"/>
        </w:rPr>
        <w:t xml:space="preserve"> </w:t>
      </w:r>
      <w:r w:rsidRPr="00531B12">
        <w:rPr>
          <w:rFonts w:ascii="Abadi" w:hAnsi="Abadi"/>
          <w:b/>
          <w:bCs/>
          <w:sz w:val="20"/>
          <w:szCs w:val="20"/>
        </w:rPr>
        <w:t>DIVERSOS</w:t>
      </w:r>
      <w:r w:rsidRPr="00531B12">
        <w:rPr>
          <w:rFonts w:ascii="Abadi" w:hAnsi="Abadi"/>
          <w:b/>
          <w:bCs/>
          <w:spacing w:val="-6"/>
          <w:sz w:val="20"/>
          <w:szCs w:val="20"/>
        </w:rPr>
        <w:t xml:space="preserve"> </w:t>
      </w:r>
      <w:r w:rsidRPr="00531B12">
        <w:rPr>
          <w:rFonts w:ascii="Abadi" w:hAnsi="Abadi"/>
          <w:b/>
          <w:bCs/>
          <w:sz w:val="20"/>
          <w:szCs w:val="20"/>
        </w:rPr>
        <w:t>ARTÍCULOS</w:t>
      </w:r>
      <w:r w:rsidRPr="00531B12">
        <w:rPr>
          <w:rFonts w:ascii="Abadi" w:hAnsi="Abadi"/>
          <w:b/>
          <w:bCs/>
          <w:spacing w:val="-1"/>
          <w:sz w:val="20"/>
          <w:szCs w:val="20"/>
        </w:rPr>
        <w:t xml:space="preserve"> </w:t>
      </w:r>
      <w:r w:rsidRPr="00531B12">
        <w:rPr>
          <w:rFonts w:ascii="Abadi" w:hAnsi="Abadi"/>
          <w:b/>
          <w:bCs/>
          <w:sz w:val="20"/>
          <w:szCs w:val="20"/>
        </w:rPr>
        <w:t>DE LA LEY DE CONTRATACIONES PÚBLICAS PARA EL ESTADO DE</w:t>
      </w:r>
      <w:r w:rsidRPr="00531B12">
        <w:rPr>
          <w:rFonts w:ascii="Abadi" w:hAnsi="Abadi"/>
          <w:b/>
          <w:bCs/>
          <w:spacing w:val="-1"/>
          <w:sz w:val="20"/>
          <w:szCs w:val="20"/>
        </w:rPr>
        <w:t xml:space="preserve"> </w:t>
      </w:r>
      <w:r w:rsidRPr="00531B12">
        <w:rPr>
          <w:rFonts w:ascii="Abadi" w:hAnsi="Abadi"/>
          <w:b/>
          <w:bCs/>
          <w:sz w:val="20"/>
          <w:szCs w:val="20"/>
        </w:rPr>
        <w:t>GUANAJUATO.</w:t>
      </w:r>
    </w:p>
    <w:p w14:paraId="0FE32DBC" w14:textId="5D5C438F" w:rsidR="000C178C" w:rsidRDefault="000C178C" w:rsidP="00616877">
      <w:pPr>
        <w:rPr>
          <w:rFonts w:ascii="Abadi" w:hAnsi="Abadi"/>
          <w:sz w:val="20"/>
          <w:szCs w:val="20"/>
        </w:rPr>
      </w:pPr>
    </w:p>
    <w:p w14:paraId="64F90211" w14:textId="77777777" w:rsidR="00B03B15" w:rsidRPr="00B03B15" w:rsidRDefault="00B03B15" w:rsidP="00B03B15">
      <w:pPr>
        <w:autoSpaceDE w:val="0"/>
        <w:autoSpaceDN w:val="0"/>
        <w:adjustRightInd w:val="0"/>
        <w:ind w:right="615"/>
        <w:jc w:val="both"/>
        <w:rPr>
          <w:rFonts w:ascii="Abadi" w:eastAsia="Batang" w:hAnsi="Abadi" w:cs="Arial"/>
          <w:b/>
          <w:bCs/>
          <w:smallCaps/>
          <w:sz w:val="21"/>
          <w:szCs w:val="21"/>
          <w:lang w:val="es-MX" w:eastAsia="en-US"/>
        </w:rPr>
      </w:pPr>
      <w:r w:rsidRPr="00B03B15">
        <w:rPr>
          <w:rFonts w:ascii="Abadi" w:eastAsia="Batang" w:hAnsi="Abadi" w:cs="Arial"/>
          <w:b/>
          <w:bCs/>
          <w:smallCaps/>
          <w:sz w:val="21"/>
          <w:szCs w:val="21"/>
          <w:lang w:val="es-MX" w:eastAsia="en-US"/>
        </w:rPr>
        <w:t>C. Presidenta del Congreso del Estado</w:t>
      </w:r>
    </w:p>
    <w:p w14:paraId="3FD121E3" w14:textId="77777777" w:rsidR="00B03B15" w:rsidRPr="00B03B15" w:rsidRDefault="00B03B15" w:rsidP="00B03B15">
      <w:pPr>
        <w:autoSpaceDE w:val="0"/>
        <w:autoSpaceDN w:val="0"/>
        <w:adjustRightInd w:val="0"/>
        <w:ind w:right="615"/>
        <w:jc w:val="both"/>
        <w:rPr>
          <w:rFonts w:ascii="Abadi" w:eastAsia="Batang" w:hAnsi="Abadi" w:cs="Arial"/>
          <w:b/>
          <w:bCs/>
          <w:smallCaps/>
          <w:sz w:val="21"/>
          <w:szCs w:val="21"/>
          <w:lang w:val="es-MX" w:eastAsia="en-US"/>
        </w:rPr>
      </w:pPr>
      <w:r w:rsidRPr="00B03B15">
        <w:rPr>
          <w:rFonts w:ascii="Abadi" w:eastAsia="Batang" w:hAnsi="Abadi" w:cs="Arial"/>
          <w:b/>
          <w:bCs/>
          <w:smallCaps/>
          <w:sz w:val="21"/>
          <w:szCs w:val="21"/>
          <w:lang w:val="es-MX" w:eastAsia="en-US"/>
        </w:rPr>
        <w:t>P r e s e n t e.</w:t>
      </w:r>
    </w:p>
    <w:p w14:paraId="550DE7E4" w14:textId="77777777" w:rsidR="00B03B15" w:rsidRPr="00B03B15" w:rsidRDefault="00B03B15" w:rsidP="00B03B15">
      <w:pPr>
        <w:spacing w:line="360" w:lineRule="auto"/>
        <w:jc w:val="both"/>
        <w:rPr>
          <w:rFonts w:ascii="Abadi" w:eastAsia="Batang" w:hAnsi="Abadi" w:cs="Arial"/>
          <w:sz w:val="21"/>
          <w:szCs w:val="21"/>
          <w:lang w:val="es-MX" w:eastAsia="en-US"/>
        </w:rPr>
      </w:pPr>
    </w:p>
    <w:p w14:paraId="1185FB49" w14:textId="77777777" w:rsidR="00B03B15" w:rsidRPr="00B03B15" w:rsidRDefault="00B03B15" w:rsidP="00B03B15">
      <w:pPr>
        <w:ind w:firstLine="851"/>
        <w:jc w:val="both"/>
        <w:rPr>
          <w:rFonts w:ascii="Abadi" w:hAnsi="Abadi" w:cs="Arial"/>
          <w:sz w:val="21"/>
          <w:szCs w:val="21"/>
          <w:lang w:val="es-MX" w:eastAsia="en-US"/>
        </w:rPr>
      </w:pPr>
      <w:r w:rsidRPr="00B03B15">
        <w:rPr>
          <w:rFonts w:ascii="Abadi" w:hAnsi="Abadi" w:cs="Arial"/>
          <w:sz w:val="21"/>
          <w:szCs w:val="21"/>
          <w:lang w:val="es-MX" w:eastAsia="en-US"/>
        </w:rPr>
        <w:t xml:space="preserve">A esta Comisión de Hacienda y Fiscalización le fueron turnadas para efecto de estudio y dictamen, dos iniciativas </w:t>
      </w:r>
      <w:r w:rsidRPr="00B03B15">
        <w:rPr>
          <w:rFonts w:ascii="Abadi" w:hAnsi="Abadi"/>
          <w:sz w:val="21"/>
          <w:szCs w:val="21"/>
          <w:lang w:val="es-ES_tradnl" w:eastAsia="en-US"/>
        </w:rPr>
        <w:t>formuladas por diputadas y diputados integrantes del Grupo Parlamentario del Partido Acción Nacional a efecto de reformar, adicionar y derogar diversos artículos de la Ley de Contrataciones Públicas para el Estado de Guanajuato</w:t>
      </w:r>
      <w:r w:rsidRPr="00B03B15">
        <w:rPr>
          <w:rFonts w:ascii="Abadi" w:hAnsi="Abadi" w:cs="Arial"/>
          <w:sz w:val="21"/>
          <w:szCs w:val="21"/>
          <w:lang w:val="es-MX" w:eastAsia="en-US"/>
        </w:rPr>
        <w:t>.</w:t>
      </w:r>
    </w:p>
    <w:p w14:paraId="5C05D0BF" w14:textId="77777777" w:rsidR="00B03B15" w:rsidRPr="00B03B15" w:rsidRDefault="00B03B15" w:rsidP="00B03B15">
      <w:pPr>
        <w:tabs>
          <w:tab w:val="left" w:pos="0"/>
        </w:tabs>
        <w:jc w:val="both"/>
        <w:rPr>
          <w:rFonts w:ascii="Abadi" w:hAnsi="Abadi" w:cs="Arial"/>
          <w:sz w:val="21"/>
          <w:szCs w:val="21"/>
          <w:lang w:val="es-MX" w:eastAsia="en-US"/>
        </w:rPr>
      </w:pPr>
    </w:p>
    <w:p w14:paraId="66261630" w14:textId="77777777" w:rsidR="00B03B15" w:rsidRPr="00B03B15" w:rsidRDefault="00B03B15" w:rsidP="00B03B15">
      <w:pPr>
        <w:tabs>
          <w:tab w:val="left" w:pos="0"/>
        </w:tabs>
        <w:ind w:firstLine="851"/>
        <w:jc w:val="both"/>
        <w:rPr>
          <w:rFonts w:ascii="Abadi" w:eastAsia="Batang" w:hAnsi="Abadi" w:cs="Arial"/>
          <w:color w:val="000000"/>
          <w:sz w:val="21"/>
          <w:szCs w:val="21"/>
          <w:lang w:val="es-MX" w:eastAsia="en-US"/>
        </w:rPr>
      </w:pPr>
      <w:r w:rsidRPr="00B03B15">
        <w:rPr>
          <w:rFonts w:ascii="Abadi" w:eastAsia="Batang" w:hAnsi="Abadi" w:cs="Arial"/>
          <w:color w:val="000000"/>
          <w:sz w:val="21"/>
          <w:szCs w:val="21"/>
          <w:lang w:val="es-MX" w:eastAsia="en-US"/>
        </w:rPr>
        <w:t xml:space="preserve">Con fundamento en los artículos 89, fracción V; 112, fracción XV; y 171 de </w:t>
      </w:r>
      <w:smartTag w:uri="urn:schemas-microsoft-com:office:smarttags" w:element="PersonName">
        <w:smartTagPr>
          <w:attr w:name="ProductID" w:val="la Ley Org￡nica"/>
        </w:smartTagPr>
        <w:r w:rsidRPr="00B03B15">
          <w:rPr>
            <w:rFonts w:ascii="Abadi" w:eastAsia="Batang" w:hAnsi="Abadi" w:cs="Arial"/>
            <w:color w:val="000000"/>
            <w:sz w:val="21"/>
            <w:szCs w:val="21"/>
            <w:lang w:val="es-MX" w:eastAsia="en-US"/>
          </w:rPr>
          <w:t>la Ley Orgánica</w:t>
        </w:r>
      </w:smartTag>
      <w:r w:rsidRPr="00B03B15">
        <w:rPr>
          <w:rFonts w:ascii="Abadi" w:eastAsia="Batang" w:hAnsi="Abadi" w:cs="Arial"/>
          <w:color w:val="000000"/>
          <w:sz w:val="21"/>
          <w:szCs w:val="21"/>
          <w:lang w:val="es-MX" w:eastAsia="en-US"/>
        </w:rPr>
        <w:t xml:space="preserve"> del Poder Legislativo del Estado de Guanajuato, analizamos la iniciativa referida, presentando a la consideración de </w:t>
      </w:r>
      <w:smartTag w:uri="urn:schemas-microsoft-com:office:smarttags" w:element="PersonName">
        <w:smartTagPr>
          <w:attr w:name="ProductID" w:val="la Asamblea"/>
        </w:smartTagPr>
        <w:r w:rsidRPr="00B03B15">
          <w:rPr>
            <w:rFonts w:ascii="Abadi" w:eastAsia="Batang" w:hAnsi="Abadi" w:cs="Arial"/>
            <w:color w:val="000000"/>
            <w:sz w:val="21"/>
            <w:szCs w:val="21"/>
            <w:lang w:val="es-MX" w:eastAsia="en-US"/>
          </w:rPr>
          <w:t>la Asamblea</w:t>
        </w:r>
      </w:smartTag>
      <w:r w:rsidRPr="00B03B15">
        <w:rPr>
          <w:rFonts w:ascii="Abadi" w:eastAsia="Batang" w:hAnsi="Abadi" w:cs="Arial"/>
          <w:color w:val="000000"/>
          <w:sz w:val="21"/>
          <w:szCs w:val="21"/>
          <w:lang w:val="es-MX" w:eastAsia="en-US"/>
        </w:rPr>
        <w:t xml:space="preserve"> el siguiente:</w:t>
      </w:r>
    </w:p>
    <w:p w14:paraId="5E2E115E" w14:textId="77777777" w:rsidR="00B03B15" w:rsidRPr="00B03B15" w:rsidRDefault="00B03B15" w:rsidP="00B03B15">
      <w:pPr>
        <w:spacing w:line="360" w:lineRule="auto"/>
        <w:jc w:val="both"/>
        <w:rPr>
          <w:rFonts w:ascii="Abadi" w:hAnsi="Abadi" w:cs="Arial"/>
          <w:b/>
          <w:bCs/>
          <w:sz w:val="21"/>
          <w:szCs w:val="21"/>
          <w:lang w:val="es-MX" w:eastAsia="en-US"/>
        </w:rPr>
      </w:pPr>
    </w:p>
    <w:p w14:paraId="285D2C80" w14:textId="77777777" w:rsidR="00B03B15" w:rsidRPr="00B03B15" w:rsidRDefault="00B03B15" w:rsidP="00B03B15">
      <w:pPr>
        <w:spacing w:line="360" w:lineRule="auto"/>
        <w:jc w:val="center"/>
        <w:rPr>
          <w:rFonts w:ascii="Abadi" w:hAnsi="Abadi" w:cs="Arial"/>
          <w:b/>
          <w:bCs/>
          <w:sz w:val="21"/>
          <w:szCs w:val="21"/>
          <w:lang w:val="es-MX" w:eastAsia="en-US"/>
        </w:rPr>
      </w:pPr>
      <w:r w:rsidRPr="00B03B15">
        <w:rPr>
          <w:rFonts w:ascii="Abadi" w:hAnsi="Abadi" w:cs="Arial"/>
          <w:b/>
          <w:bCs/>
          <w:sz w:val="21"/>
          <w:szCs w:val="21"/>
          <w:lang w:val="es-MX" w:eastAsia="en-US"/>
        </w:rPr>
        <w:t>D i c t a m e n</w:t>
      </w:r>
    </w:p>
    <w:p w14:paraId="1980ECD0" w14:textId="77777777" w:rsidR="00B03B15" w:rsidRPr="00B03B15" w:rsidRDefault="00B03B15" w:rsidP="00B03B15">
      <w:pPr>
        <w:jc w:val="both"/>
        <w:rPr>
          <w:rFonts w:ascii="Abadi" w:hAnsi="Abadi" w:cs="Arial"/>
          <w:sz w:val="21"/>
          <w:szCs w:val="21"/>
          <w:lang w:val="es-MX" w:eastAsia="en-US"/>
        </w:rPr>
      </w:pPr>
    </w:p>
    <w:p w14:paraId="0209B7E4" w14:textId="77777777" w:rsidR="00B03B15" w:rsidRPr="00B03B15" w:rsidRDefault="00B03B15" w:rsidP="00B03B15">
      <w:pPr>
        <w:rPr>
          <w:rFonts w:ascii="Abadi" w:hAnsi="Abadi" w:cs="Arial"/>
          <w:b/>
          <w:bCs/>
          <w:sz w:val="21"/>
          <w:szCs w:val="21"/>
          <w:lang w:val="es-MX" w:eastAsia="en-US"/>
        </w:rPr>
      </w:pPr>
      <w:r w:rsidRPr="00B03B15">
        <w:rPr>
          <w:rFonts w:ascii="Abadi" w:hAnsi="Abadi" w:cs="Arial"/>
          <w:b/>
          <w:bCs/>
          <w:sz w:val="21"/>
          <w:szCs w:val="21"/>
          <w:lang w:val="es-MX" w:eastAsia="en-US"/>
        </w:rPr>
        <w:t>I.</w:t>
      </w:r>
      <w:r w:rsidRPr="00B03B15">
        <w:rPr>
          <w:rFonts w:ascii="Abadi" w:hAnsi="Abadi" w:cs="Arial"/>
          <w:b/>
          <w:bCs/>
          <w:sz w:val="21"/>
          <w:szCs w:val="21"/>
          <w:lang w:val="es-MX" w:eastAsia="en-US"/>
        </w:rPr>
        <w:tab/>
        <w:t>Proceso legislativo.</w:t>
      </w:r>
    </w:p>
    <w:p w14:paraId="49E04E84" w14:textId="77777777" w:rsidR="00B03B15" w:rsidRPr="00B03B15" w:rsidRDefault="00B03B15" w:rsidP="00B03B15">
      <w:pPr>
        <w:ind w:firstLine="709"/>
        <w:jc w:val="both"/>
        <w:rPr>
          <w:rFonts w:ascii="Abadi" w:hAnsi="Abadi" w:cs="Arial"/>
          <w:sz w:val="21"/>
          <w:szCs w:val="21"/>
          <w:lang w:val="es-MX" w:eastAsia="en-US"/>
        </w:rPr>
      </w:pPr>
    </w:p>
    <w:p w14:paraId="3D30E9A2" w14:textId="77777777" w:rsidR="00B03B15" w:rsidRPr="00B03B15" w:rsidRDefault="00B03B15" w:rsidP="00B03B15">
      <w:pPr>
        <w:jc w:val="both"/>
        <w:rPr>
          <w:rFonts w:ascii="Abadi" w:hAnsi="Abadi" w:cs="Arial"/>
          <w:sz w:val="21"/>
          <w:szCs w:val="21"/>
          <w:lang w:val="es-MX" w:eastAsia="en-US"/>
        </w:rPr>
      </w:pPr>
      <w:r w:rsidRPr="00B03B15">
        <w:rPr>
          <w:rFonts w:ascii="Abadi" w:hAnsi="Abadi" w:cs="Arial"/>
          <w:b/>
          <w:bCs/>
          <w:sz w:val="21"/>
          <w:szCs w:val="21"/>
          <w:lang w:val="es-MX" w:eastAsia="en-US"/>
        </w:rPr>
        <w:t>I.1.</w:t>
      </w:r>
      <w:r w:rsidRPr="00B03B15">
        <w:rPr>
          <w:rFonts w:ascii="Abadi" w:hAnsi="Abadi" w:cs="Arial"/>
          <w:sz w:val="21"/>
          <w:szCs w:val="21"/>
          <w:lang w:val="es-MX" w:eastAsia="en-US"/>
        </w:rPr>
        <w:tab/>
        <w:t>En las sesiones ordinarias celebradas los días 28 de abril y 5 de mayo de 2022, las diputadas y diputados integrantes del Grupo Parlamentario del Partido Acción Nacional presentaron las siguientes iniciativas:</w:t>
      </w:r>
    </w:p>
    <w:p w14:paraId="187FC7DE" w14:textId="77777777" w:rsidR="00B03B15" w:rsidRPr="00B03B15" w:rsidRDefault="00B03B15" w:rsidP="00B03B15">
      <w:pPr>
        <w:jc w:val="both"/>
        <w:rPr>
          <w:rFonts w:ascii="Abadi" w:hAnsi="Abadi" w:cs="Arial"/>
          <w:sz w:val="21"/>
          <w:szCs w:val="21"/>
          <w:lang w:val="es-MX" w:eastAsia="en-US"/>
        </w:rPr>
      </w:pPr>
    </w:p>
    <w:p w14:paraId="79234538" w14:textId="77777777" w:rsidR="00B03B15" w:rsidRPr="00B03B15" w:rsidRDefault="00B03B15" w:rsidP="001A28E5">
      <w:pPr>
        <w:numPr>
          <w:ilvl w:val="0"/>
          <w:numId w:val="76"/>
        </w:numPr>
        <w:jc w:val="both"/>
        <w:rPr>
          <w:rFonts w:ascii="Abadi" w:hAnsi="Abadi" w:cs="Arial"/>
          <w:sz w:val="21"/>
          <w:szCs w:val="21"/>
          <w:lang w:val="es-MX" w:eastAsia="en-US"/>
        </w:rPr>
      </w:pPr>
      <w:r w:rsidRPr="00B03B15">
        <w:rPr>
          <w:rFonts w:ascii="Abadi" w:hAnsi="Abadi"/>
          <w:sz w:val="21"/>
          <w:szCs w:val="21"/>
          <w:lang w:val="es-ES_tradnl" w:eastAsia="en-US"/>
        </w:rPr>
        <w:t>A efecto de adicionar la fracción VI al artículo 36, recorriendo en su orden la subsecuente de la Ley de Contrataciones Públicas para el Estado de Guanajuato</w:t>
      </w:r>
      <w:r w:rsidRPr="00B03B15">
        <w:rPr>
          <w:rFonts w:ascii="Abadi" w:hAnsi="Abadi" w:cs="Arial"/>
          <w:sz w:val="21"/>
          <w:szCs w:val="21"/>
          <w:lang w:val="es-MX" w:eastAsia="en-US"/>
        </w:rPr>
        <w:t>; y</w:t>
      </w:r>
    </w:p>
    <w:p w14:paraId="592370AD" w14:textId="77777777" w:rsidR="00B03B15" w:rsidRPr="00B03B15" w:rsidRDefault="00B03B15" w:rsidP="00B03B15">
      <w:pPr>
        <w:ind w:left="720"/>
        <w:jc w:val="both"/>
        <w:rPr>
          <w:rFonts w:ascii="Abadi" w:hAnsi="Abadi" w:cs="Arial"/>
          <w:sz w:val="21"/>
          <w:szCs w:val="21"/>
          <w:lang w:val="es-MX" w:eastAsia="en-US"/>
        </w:rPr>
      </w:pPr>
    </w:p>
    <w:p w14:paraId="3FA67616" w14:textId="77777777" w:rsidR="00B03B15" w:rsidRPr="00B03B15" w:rsidRDefault="00B03B15" w:rsidP="001A28E5">
      <w:pPr>
        <w:numPr>
          <w:ilvl w:val="0"/>
          <w:numId w:val="76"/>
        </w:numPr>
        <w:jc w:val="both"/>
        <w:rPr>
          <w:rFonts w:ascii="Abadi" w:hAnsi="Abadi" w:cs="Arial"/>
          <w:sz w:val="21"/>
          <w:szCs w:val="21"/>
          <w:lang w:val="es-MX" w:eastAsia="en-US"/>
        </w:rPr>
      </w:pPr>
      <w:r w:rsidRPr="00B03B15">
        <w:rPr>
          <w:rFonts w:ascii="Abadi" w:hAnsi="Abadi" w:cs="Arial"/>
          <w:bCs/>
          <w:sz w:val="21"/>
          <w:szCs w:val="21"/>
          <w:lang w:val="es-MX" w:eastAsia="en-US"/>
        </w:rPr>
        <w:t>A fin de reformar los artículos 42, fracción III; 84; 86; y 127; y adicionar un segundo párrafo al artículo 41; un artículo 52 BIS; las fracciones VIII y IX al artículo 125; y un segundo párrafo al artículo 130; y derogar las fracciones I y II del artículo 40; la fracción II del artículo 42; y el segundo párrafo del artículo 85 de la Ley de Contrataciones Públicas para el Estado de Guanajuato.</w:t>
      </w:r>
    </w:p>
    <w:p w14:paraId="700D10A4" w14:textId="77777777" w:rsidR="00B03B15" w:rsidRPr="00B03B15" w:rsidRDefault="00B03B15" w:rsidP="00B03B15">
      <w:pPr>
        <w:jc w:val="both"/>
        <w:rPr>
          <w:rFonts w:ascii="Abadi" w:hAnsi="Abadi" w:cs="Arial"/>
          <w:sz w:val="21"/>
          <w:szCs w:val="21"/>
          <w:lang w:val="es-MX" w:eastAsia="en-US"/>
        </w:rPr>
      </w:pPr>
    </w:p>
    <w:p w14:paraId="40445DF0" w14:textId="77777777" w:rsidR="00B03B15" w:rsidRPr="00B03B15" w:rsidRDefault="00B03B15" w:rsidP="00B03B15">
      <w:pPr>
        <w:jc w:val="both"/>
        <w:rPr>
          <w:rFonts w:ascii="Abadi" w:hAnsi="Abadi" w:cs="Arial"/>
          <w:sz w:val="21"/>
          <w:szCs w:val="21"/>
          <w:lang w:val="es-MX" w:eastAsia="en-US"/>
        </w:rPr>
      </w:pPr>
      <w:r w:rsidRPr="00B03B15">
        <w:rPr>
          <w:rFonts w:ascii="Abadi" w:hAnsi="Abadi" w:cs="Arial"/>
          <w:sz w:val="21"/>
          <w:szCs w:val="21"/>
          <w:lang w:val="es-MX" w:eastAsia="en-US"/>
        </w:rPr>
        <w:t xml:space="preserve">La presidencia del Congreso turnó las referidas iniciativas a la Comisión de Hacienda y Fiscalización para su estudio y dictamen, misma que las radicó en fechas 5 y 12 de mayo de 2022. </w:t>
      </w:r>
    </w:p>
    <w:p w14:paraId="19D48B7E" w14:textId="77777777" w:rsidR="00B03B15" w:rsidRPr="00B03B15" w:rsidRDefault="00B03B15" w:rsidP="00B03B15">
      <w:pPr>
        <w:ind w:firstLine="708"/>
        <w:jc w:val="both"/>
        <w:rPr>
          <w:rFonts w:ascii="Abadi" w:eastAsia="Batang" w:hAnsi="Abadi" w:cs="Arial"/>
          <w:sz w:val="21"/>
          <w:szCs w:val="21"/>
          <w:lang w:val="es-MX" w:eastAsia="en-US"/>
        </w:rPr>
      </w:pPr>
    </w:p>
    <w:p w14:paraId="09F8294F" w14:textId="77777777" w:rsidR="00B03B15" w:rsidRPr="00B03B15" w:rsidRDefault="00B03B15" w:rsidP="00B03B15">
      <w:pPr>
        <w:jc w:val="both"/>
        <w:rPr>
          <w:rFonts w:ascii="Abadi" w:eastAsia="Batang" w:hAnsi="Abadi" w:cs="Arial"/>
          <w:sz w:val="21"/>
          <w:szCs w:val="21"/>
          <w:lang w:val="es-MX" w:eastAsia="en-US"/>
        </w:rPr>
      </w:pPr>
      <w:r w:rsidRPr="00B03B15">
        <w:rPr>
          <w:rFonts w:ascii="Abadi" w:hAnsi="Abadi" w:cs="Arial"/>
          <w:b/>
          <w:bCs/>
          <w:sz w:val="21"/>
          <w:szCs w:val="21"/>
          <w:lang w:val="es-MX" w:eastAsia="en-US"/>
        </w:rPr>
        <w:t>I.2.</w:t>
      </w:r>
      <w:r w:rsidRPr="00B03B15">
        <w:rPr>
          <w:rFonts w:ascii="Abadi" w:hAnsi="Abadi" w:cs="Arial"/>
          <w:sz w:val="21"/>
          <w:szCs w:val="21"/>
          <w:lang w:val="es-MX" w:eastAsia="en-US"/>
        </w:rPr>
        <w:t xml:space="preserve"> </w:t>
      </w:r>
      <w:r w:rsidRPr="00B03B15">
        <w:rPr>
          <w:rFonts w:ascii="Abadi" w:eastAsia="Batang" w:hAnsi="Abadi" w:cs="Arial"/>
          <w:sz w:val="21"/>
          <w:szCs w:val="21"/>
          <w:lang w:val="es-MX" w:eastAsia="en-US"/>
        </w:rPr>
        <w:t xml:space="preserve">En la reunión de esta Comisión que tuvo verificativo el 12 de mayo de 2022 se aprobó como metodología para el análisis y dictaminación de las referidas iniciativas, que las mismas se remitieran a la Secretaría de Finanzas, Inversión y Administración, a la Coordinación General Jurídica de Gobierno del Estado y a la Unidad de Estudios de las Finanzas Públicas del Congreso del Estado, quienes contaron con un plazo de 10 días hábiles, para remitir los comentarios y observaciones que estimaran pertinentes. Se estableció además un </w:t>
      </w:r>
      <w:proofErr w:type="gramStart"/>
      <w:r w:rsidRPr="00B03B15">
        <w:rPr>
          <w:rFonts w:ascii="Abadi" w:eastAsia="Batang" w:hAnsi="Abadi" w:cs="Arial"/>
          <w:sz w:val="21"/>
          <w:szCs w:val="21"/>
          <w:lang w:val="es-MX" w:eastAsia="en-US"/>
        </w:rPr>
        <w:t>link</w:t>
      </w:r>
      <w:proofErr w:type="gramEnd"/>
      <w:r w:rsidRPr="00B03B15">
        <w:rPr>
          <w:rFonts w:ascii="Abadi" w:eastAsia="Batang" w:hAnsi="Abadi" w:cs="Arial"/>
          <w:sz w:val="21"/>
          <w:szCs w:val="21"/>
          <w:lang w:val="es-MX" w:eastAsia="en-US"/>
        </w:rPr>
        <w:t xml:space="preserve"> en la página web del Congreso del Estado, para consulta y participación ciudadana por un término de 10 días hábiles.</w:t>
      </w:r>
    </w:p>
    <w:p w14:paraId="10556896" w14:textId="77777777" w:rsidR="00B03B15" w:rsidRPr="00B03B15" w:rsidRDefault="00B03B15" w:rsidP="00B03B15">
      <w:pPr>
        <w:jc w:val="both"/>
        <w:rPr>
          <w:rFonts w:ascii="Abadi" w:eastAsia="Batang" w:hAnsi="Abadi" w:cs="Arial"/>
          <w:sz w:val="21"/>
          <w:szCs w:val="21"/>
          <w:lang w:val="es-MX" w:eastAsia="en-US"/>
        </w:rPr>
      </w:pPr>
    </w:p>
    <w:p w14:paraId="3799EE67" w14:textId="77777777" w:rsidR="00B03B15" w:rsidRPr="00B03B15" w:rsidRDefault="00B03B15" w:rsidP="00B03B15">
      <w:pPr>
        <w:jc w:val="both"/>
        <w:rPr>
          <w:rFonts w:ascii="Abadi" w:eastAsia="Batang" w:hAnsi="Abadi" w:cs="Arial"/>
          <w:sz w:val="21"/>
          <w:szCs w:val="21"/>
          <w:lang w:val="es-MX" w:eastAsia="en-US"/>
        </w:rPr>
      </w:pPr>
      <w:r w:rsidRPr="00B03B15">
        <w:rPr>
          <w:rFonts w:ascii="Abadi" w:eastAsia="Batang" w:hAnsi="Abadi" w:cs="Arial"/>
          <w:sz w:val="21"/>
          <w:szCs w:val="21"/>
          <w:lang w:val="es-MX" w:eastAsia="en-US"/>
        </w:rPr>
        <w:t>Al respecto, se recibieron las opiniones de la Unidad de Estudios de las Finanzas Públicas del Congreso del Estado; así como las opiniones consolidadas de la Coordinación General Jurídica de Gobierno del Estado con la Secretaría de Finanzas, Inversión y Administración.</w:t>
      </w:r>
    </w:p>
    <w:p w14:paraId="275BA9D4" w14:textId="77777777" w:rsidR="00B03B15" w:rsidRPr="00B03B15" w:rsidRDefault="00B03B15" w:rsidP="00B03B15">
      <w:pPr>
        <w:jc w:val="both"/>
        <w:rPr>
          <w:rFonts w:ascii="Abadi" w:eastAsia="Batang" w:hAnsi="Abadi" w:cs="Arial"/>
          <w:sz w:val="21"/>
          <w:szCs w:val="21"/>
          <w:lang w:val="es-MX" w:eastAsia="en-US"/>
        </w:rPr>
      </w:pPr>
    </w:p>
    <w:p w14:paraId="028EFDA4" w14:textId="77777777" w:rsidR="00B03B15" w:rsidRPr="00B03B15" w:rsidRDefault="00B03B15" w:rsidP="00B03B15">
      <w:pPr>
        <w:jc w:val="both"/>
        <w:rPr>
          <w:rFonts w:ascii="Abadi" w:eastAsia="Batang" w:hAnsi="Abadi" w:cs="Arial"/>
          <w:sz w:val="21"/>
          <w:szCs w:val="21"/>
          <w:lang w:val="es-MX" w:eastAsia="en-US"/>
        </w:rPr>
      </w:pPr>
      <w:r w:rsidRPr="00B03B15">
        <w:rPr>
          <w:rFonts w:ascii="Abadi" w:eastAsia="Batang" w:hAnsi="Abadi" w:cs="Arial"/>
          <w:sz w:val="21"/>
          <w:szCs w:val="21"/>
          <w:lang w:val="es-MX" w:eastAsia="en-US"/>
        </w:rPr>
        <w:t>Se elaboró un documento con formato de comparativo, mismo que se circuló a quienes integran esta Comisión.</w:t>
      </w:r>
    </w:p>
    <w:p w14:paraId="42A524F7" w14:textId="77777777" w:rsidR="00B03B15" w:rsidRPr="00B03B15" w:rsidRDefault="00B03B15" w:rsidP="00B03B15">
      <w:pPr>
        <w:ind w:firstLine="708"/>
        <w:jc w:val="both"/>
        <w:rPr>
          <w:rFonts w:ascii="Abadi" w:eastAsia="Batang" w:hAnsi="Abadi" w:cs="Arial"/>
          <w:sz w:val="21"/>
          <w:szCs w:val="21"/>
          <w:lang w:val="es-MX" w:eastAsia="en-US"/>
        </w:rPr>
      </w:pPr>
    </w:p>
    <w:p w14:paraId="5487EDE6" w14:textId="77777777" w:rsidR="00B03B15" w:rsidRPr="00B03B15" w:rsidRDefault="00B03B15" w:rsidP="00B03B15">
      <w:pPr>
        <w:jc w:val="both"/>
        <w:rPr>
          <w:rFonts w:ascii="Abadi" w:hAnsi="Abadi" w:cs="Arial"/>
          <w:sz w:val="21"/>
          <w:szCs w:val="21"/>
          <w:lang w:val="es-MX" w:eastAsia="en-US"/>
        </w:rPr>
      </w:pPr>
      <w:r w:rsidRPr="00B03B15">
        <w:rPr>
          <w:rFonts w:ascii="Abadi" w:hAnsi="Abadi" w:cs="Arial"/>
          <w:sz w:val="21"/>
          <w:szCs w:val="21"/>
          <w:lang w:val="es-MX" w:eastAsia="en-US"/>
        </w:rPr>
        <w:t>El 8 de junio de 2022 se llevó a cabo una mesa de trabajo, en la que participamos las diputadas Alma Edwviges Alcaraz Hernández y Ruth Noemí Tiscareño Agoitia y el diputado Víctor Manuel Zanella Huerta, integrantes de esta Comisión, asesores de los grupos parlamentarios representados en la Comisión, funcionarios de la Coordinación General Jurídica, de la Secretaría de Finanzas, Inversión y Administración y de la Unidad de Estudios de las Finanzas Públicas del Congreso del Estado y la secretaría técnica, en la que analizamos la iniciativa.</w:t>
      </w:r>
    </w:p>
    <w:p w14:paraId="7DBE7D0C" w14:textId="77777777" w:rsidR="00B03B15" w:rsidRPr="00B03B15" w:rsidRDefault="00B03B15" w:rsidP="00B03B15">
      <w:pPr>
        <w:jc w:val="both"/>
        <w:rPr>
          <w:rFonts w:ascii="Abadi" w:hAnsi="Abadi" w:cs="Arial"/>
          <w:sz w:val="21"/>
          <w:szCs w:val="21"/>
          <w:lang w:val="es-MX" w:eastAsia="en-US"/>
        </w:rPr>
      </w:pPr>
    </w:p>
    <w:p w14:paraId="0FD0362A" w14:textId="77777777" w:rsidR="00B03B15" w:rsidRPr="00B03B15" w:rsidRDefault="00B03B15" w:rsidP="00B03B15">
      <w:pPr>
        <w:jc w:val="both"/>
        <w:rPr>
          <w:rFonts w:ascii="Abadi" w:hAnsi="Abadi" w:cs="Arial"/>
          <w:sz w:val="21"/>
          <w:szCs w:val="21"/>
          <w:lang w:val="es-MX" w:eastAsia="en-US"/>
        </w:rPr>
      </w:pPr>
      <w:r w:rsidRPr="00B03B15">
        <w:rPr>
          <w:rFonts w:ascii="Abadi" w:hAnsi="Abadi" w:cs="Arial"/>
          <w:b/>
          <w:bCs/>
          <w:sz w:val="21"/>
          <w:szCs w:val="21"/>
          <w:lang w:val="es-MX" w:eastAsia="en-US"/>
        </w:rPr>
        <w:t>I.3.</w:t>
      </w:r>
      <w:r w:rsidRPr="00B03B15">
        <w:rPr>
          <w:rFonts w:ascii="Abadi" w:hAnsi="Abadi" w:cs="Arial"/>
          <w:sz w:val="21"/>
          <w:szCs w:val="21"/>
          <w:lang w:val="es-MX" w:eastAsia="en-US"/>
        </w:rPr>
        <w:t xml:space="preserve">  La presidencia instruyó a la secretaría técnica la elaboración del proyecto de dictamen en sentido positivo, conforme lo dispuesto en los artículos 94, fracción VII y 272 fracción VIII inciso e de la Ley Orgánica del Poder Legislativo del Estado, considerando las propuestas vertidas en la mesa de trabajo. Dicho proyecto </w:t>
      </w:r>
      <w:r w:rsidRPr="00B03B15">
        <w:rPr>
          <w:rFonts w:ascii="Abadi" w:hAnsi="Abadi" w:cs="Arial" w:hint="eastAsia"/>
          <w:sz w:val="21"/>
          <w:szCs w:val="21"/>
          <w:lang w:val="es-MX" w:eastAsia="en-US"/>
        </w:rPr>
        <w:t>fue</w:t>
      </w:r>
      <w:r w:rsidRPr="00B03B15">
        <w:rPr>
          <w:rFonts w:ascii="Abadi" w:hAnsi="Abadi" w:cs="Arial"/>
          <w:sz w:val="21"/>
          <w:szCs w:val="21"/>
          <w:lang w:val="es-MX" w:eastAsia="en-US"/>
        </w:rPr>
        <w:t xml:space="preserve"> materia de revisión por las diputadas y los diputados integrantes de esta Comisión Dictaminadora.</w:t>
      </w:r>
    </w:p>
    <w:p w14:paraId="41BAA606" w14:textId="77777777" w:rsidR="00B03B15" w:rsidRPr="00B03B15" w:rsidRDefault="00B03B15" w:rsidP="00B03B15">
      <w:pPr>
        <w:jc w:val="both"/>
        <w:rPr>
          <w:rFonts w:ascii="Abadi" w:hAnsi="Abadi" w:cs="Arial"/>
          <w:sz w:val="21"/>
          <w:szCs w:val="21"/>
          <w:lang w:val="es-MX" w:eastAsia="en-US"/>
        </w:rPr>
      </w:pPr>
    </w:p>
    <w:p w14:paraId="308019EF" w14:textId="77777777" w:rsidR="00B03B15" w:rsidRPr="00B03B15" w:rsidRDefault="00B03B15" w:rsidP="00B03B15">
      <w:pPr>
        <w:jc w:val="both"/>
        <w:rPr>
          <w:rFonts w:ascii="Abadi" w:hAnsi="Abadi" w:cs="Arial"/>
          <w:b/>
          <w:bCs/>
          <w:sz w:val="21"/>
          <w:szCs w:val="21"/>
          <w:lang w:val="es-MX" w:eastAsia="en-US"/>
        </w:rPr>
      </w:pPr>
      <w:r w:rsidRPr="00B03B15">
        <w:rPr>
          <w:rFonts w:ascii="Abadi" w:hAnsi="Abadi" w:cs="Arial"/>
          <w:b/>
          <w:bCs/>
          <w:sz w:val="21"/>
          <w:szCs w:val="21"/>
          <w:lang w:val="es-MX" w:eastAsia="en-US"/>
        </w:rPr>
        <w:t>II.</w:t>
      </w:r>
      <w:r w:rsidRPr="00B03B15">
        <w:rPr>
          <w:rFonts w:ascii="Abadi" w:hAnsi="Abadi" w:cs="Arial"/>
          <w:sz w:val="21"/>
          <w:szCs w:val="21"/>
          <w:lang w:val="es-MX" w:eastAsia="en-US"/>
        </w:rPr>
        <w:tab/>
      </w:r>
      <w:r w:rsidRPr="00B03B15">
        <w:rPr>
          <w:rFonts w:ascii="Abadi" w:hAnsi="Abadi" w:cs="Arial"/>
          <w:b/>
          <w:bCs/>
          <w:sz w:val="21"/>
          <w:szCs w:val="21"/>
          <w:lang w:val="es-MX" w:eastAsia="en-US"/>
        </w:rPr>
        <w:t>Consideraciones de las diputadas y los diputados iniciantes.</w:t>
      </w:r>
    </w:p>
    <w:p w14:paraId="3D6FB2ED" w14:textId="77777777" w:rsidR="00B03B15" w:rsidRPr="00B03B15" w:rsidRDefault="00B03B15" w:rsidP="00B03B15">
      <w:pPr>
        <w:jc w:val="both"/>
        <w:rPr>
          <w:rFonts w:ascii="Abadi" w:hAnsi="Abadi" w:cs="Arial"/>
          <w:b/>
          <w:bCs/>
          <w:sz w:val="21"/>
          <w:szCs w:val="21"/>
          <w:lang w:val="es-MX" w:eastAsia="en-US"/>
        </w:rPr>
      </w:pPr>
    </w:p>
    <w:p w14:paraId="0130046B" w14:textId="77777777" w:rsidR="00B03B15" w:rsidRPr="00B03B15" w:rsidRDefault="00B03B15" w:rsidP="00B03B15">
      <w:pPr>
        <w:jc w:val="both"/>
        <w:rPr>
          <w:rFonts w:ascii="Abadi" w:hAnsi="Abadi" w:cs="Arial"/>
          <w:sz w:val="21"/>
          <w:szCs w:val="21"/>
          <w:lang w:val="es-MX" w:eastAsia="en-US"/>
        </w:rPr>
      </w:pPr>
      <w:r w:rsidRPr="00B03B15">
        <w:rPr>
          <w:rFonts w:ascii="Abadi" w:hAnsi="Abadi" w:cs="Arial"/>
          <w:b/>
          <w:bCs/>
          <w:sz w:val="21"/>
          <w:szCs w:val="21"/>
          <w:lang w:val="es-MX" w:eastAsia="en-US"/>
        </w:rPr>
        <w:t xml:space="preserve">II.1. </w:t>
      </w:r>
      <w:r w:rsidRPr="00B03B15">
        <w:rPr>
          <w:rFonts w:ascii="Abadi" w:hAnsi="Abadi" w:cs="Arial"/>
          <w:sz w:val="21"/>
          <w:szCs w:val="21"/>
          <w:lang w:val="es-MX" w:eastAsia="en-US"/>
        </w:rPr>
        <w:t xml:space="preserve">En la exposición de motivos de la iniciativa </w:t>
      </w:r>
      <w:r w:rsidRPr="00B03B15">
        <w:rPr>
          <w:rFonts w:ascii="Abadi" w:hAnsi="Abadi"/>
          <w:sz w:val="21"/>
          <w:szCs w:val="21"/>
          <w:lang w:val="es-ES_tradnl" w:eastAsia="en-US"/>
        </w:rPr>
        <w:t>a efecto de adicionar la fracción VI al artículo 36 de la Ley de Contrataciones Públicas para el Estado de Guanajuato</w:t>
      </w:r>
      <w:r w:rsidRPr="00B03B15">
        <w:rPr>
          <w:rFonts w:ascii="Abadi" w:hAnsi="Abadi" w:cs="Arial"/>
          <w:sz w:val="21"/>
          <w:szCs w:val="21"/>
          <w:lang w:val="es-MX" w:eastAsia="en-US"/>
        </w:rPr>
        <w:t>, se refiere:</w:t>
      </w:r>
    </w:p>
    <w:p w14:paraId="2A2639F0" w14:textId="77777777" w:rsidR="00B03B15" w:rsidRPr="00B03B15" w:rsidRDefault="00B03B15" w:rsidP="00B03B15">
      <w:pPr>
        <w:jc w:val="both"/>
        <w:rPr>
          <w:rFonts w:ascii="Abadi" w:hAnsi="Abadi" w:cs="Arial"/>
          <w:sz w:val="21"/>
          <w:szCs w:val="21"/>
          <w:lang w:val="es-MX" w:eastAsia="en-US"/>
        </w:rPr>
      </w:pPr>
    </w:p>
    <w:p w14:paraId="17898774"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«En una sociedad en constante evolución, y sin duda en donde los avances tecnológicos son una constante, ya que en cada momento nos proporciona herramientas para poder realizar nuestras actividades con mayor facilidad. </w:t>
      </w:r>
    </w:p>
    <w:p w14:paraId="121E3543" w14:textId="77777777" w:rsidR="00B03B15" w:rsidRPr="00B03B15" w:rsidRDefault="00B03B15" w:rsidP="00B03B15">
      <w:pPr>
        <w:ind w:left="709"/>
        <w:jc w:val="both"/>
        <w:rPr>
          <w:rFonts w:ascii="Abadi" w:hAnsi="Abadi" w:cs="Arial"/>
          <w:i/>
          <w:iCs/>
          <w:sz w:val="21"/>
          <w:szCs w:val="21"/>
          <w:lang w:val="es-MX" w:eastAsia="en-US"/>
        </w:rPr>
      </w:pPr>
    </w:p>
    <w:p w14:paraId="2BEE0B71"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La pandemia de SARS- COV2, irrumpió en nuestras vidas, cambiando nuestros hábitos y formas de trabajo. Ahora el home office y el uso de plataformas digitales, es una tarea habitual, para cubrir nuestras necesidades que van desde la alimentación, transporte, y adquisición de productos comerciales. </w:t>
      </w:r>
    </w:p>
    <w:p w14:paraId="6639C3CE" w14:textId="77777777" w:rsidR="00B03B15" w:rsidRPr="00B03B15" w:rsidRDefault="00B03B15" w:rsidP="00B03B15">
      <w:pPr>
        <w:ind w:left="709"/>
        <w:jc w:val="both"/>
        <w:rPr>
          <w:rFonts w:ascii="Abadi" w:hAnsi="Abadi" w:cs="Arial"/>
          <w:i/>
          <w:iCs/>
          <w:sz w:val="21"/>
          <w:szCs w:val="21"/>
          <w:lang w:val="es-MX" w:eastAsia="en-US"/>
        </w:rPr>
      </w:pPr>
    </w:p>
    <w:p w14:paraId="51199E8C"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Las expresiones como son: Geolocalización y Georreferenciación, cada vez son más comunes en nuestra vida diaria, al usarlas desde un teléfono móvil o en nuestros aparatos electrónicos, de tal manera que hemos adoptado la frase normalizada, "mandarme tu ubicación o la ubicación de un determinado lugar' por ejemplo, es algo común y que encontramos en el Internet o en el ciber espacio, la definición y formas de aplicación de dichos conceptos. Por ello, la geolocalización es una tecnología que utiliza datos obtenidos de la computadora o dispositivo móvil de un individuo para identificar o describir su ubicación física real. </w:t>
      </w:r>
    </w:p>
    <w:p w14:paraId="5EE447CF" w14:textId="77777777" w:rsidR="00B03B15" w:rsidRPr="00B03B15" w:rsidRDefault="00B03B15" w:rsidP="00B03B15">
      <w:pPr>
        <w:ind w:left="709"/>
        <w:jc w:val="both"/>
        <w:rPr>
          <w:rFonts w:ascii="Abadi" w:hAnsi="Abadi" w:cs="Arial"/>
          <w:i/>
          <w:iCs/>
          <w:sz w:val="21"/>
          <w:szCs w:val="21"/>
          <w:lang w:val="es-MX" w:eastAsia="en-US"/>
        </w:rPr>
      </w:pPr>
    </w:p>
    <w:p w14:paraId="76A3C010"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Un sistema de geolocalización es una solución de la tecnología de la información que determina la ubicación de un objeto en un entorno físico (geoespacial) o virtual (Internet). A menudo, el objeto es una persona que quiere utilizar un servicio basado en la ubicación, mientras mantiene su privacidad.</w:t>
      </w:r>
    </w:p>
    <w:p w14:paraId="030C2D49" w14:textId="77777777" w:rsidR="00B03B15" w:rsidRPr="00B03B15" w:rsidRDefault="00B03B15" w:rsidP="00B03B15">
      <w:pPr>
        <w:ind w:left="709"/>
        <w:jc w:val="both"/>
        <w:rPr>
          <w:rFonts w:ascii="Abadi" w:hAnsi="Abadi" w:cs="Arial"/>
          <w:i/>
          <w:iCs/>
          <w:sz w:val="21"/>
          <w:szCs w:val="21"/>
          <w:lang w:val="es-MX" w:eastAsia="en-US"/>
        </w:rPr>
      </w:pPr>
    </w:p>
    <w:p w14:paraId="05320C96"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Por otra parte, la georreferenciación es la ubicación de un punto concreto sobre la superficie terrestre. Es una técnica de procesamiento espacial que utiliza las coordenadas de mapa para determinar una localización geográfica única en el espacio y, así, poder facilitar esta información a las diferentes entidades cartográficas de forma digitalizada. </w:t>
      </w:r>
    </w:p>
    <w:p w14:paraId="6C197969" w14:textId="77777777" w:rsidR="00B03B15" w:rsidRPr="00B03B15" w:rsidRDefault="00B03B15" w:rsidP="00B03B15">
      <w:pPr>
        <w:ind w:left="709"/>
        <w:jc w:val="both"/>
        <w:rPr>
          <w:rFonts w:ascii="Abadi" w:hAnsi="Abadi" w:cs="Arial"/>
          <w:i/>
          <w:iCs/>
          <w:sz w:val="21"/>
          <w:szCs w:val="21"/>
          <w:lang w:val="es-MX" w:eastAsia="en-US"/>
        </w:rPr>
      </w:pPr>
    </w:p>
    <w:p w14:paraId="28539458"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La georreferenciación es propia de los sistemas de información geográfica y se trata de un valor fundamental para el análisis de los datos, lo que permite es que se combine información de diferentes sistemas de coordenadas con el fin de conseguir una ubicación lo más precisa posible.</w:t>
      </w:r>
    </w:p>
    <w:p w14:paraId="296EAB31" w14:textId="77777777" w:rsidR="00B03B15" w:rsidRPr="00B03B15" w:rsidRDefault="00B03B15" w:rsidP="00B03B15">
      <w:pPr>
        <w:ind w:left="709"/>
        <w:jc w:val="both"/>
        <w:rPr>
          <w:rFonts w:ascii="Abadi" w:hAnsi="Abadi" w:cs="Arial"/>
          <w:i/>
          <w:iCs/>
          <w:sz w:val="21"/>
          <w:szCs w:val="21"/>
          <w:lang w:val="es-MX" w:eastAsia="en-US"/>
        </w:rPr>
      </w:pPr>
    </w:p>
    <w:p w14:paraId="15AA4B9F"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Además, con la georreferenciación se obtienen datos con diferentes capas de información. De esta forma, una misma base de datos georreferenciados, con la configuración adecuada, puede adaptarse a las distintas necesidades de quien requiera la información.</w:t>
      </w:r>
    </w:p>
    <w:p w14:paraId="4123DDEA"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 </w:t>
      </w:r>
    </w:p>
    <w:p w14:paraId="18053AF8"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Con la georreferenciación, tenemos una reducción de los errores o distorsiones geométricas que ello implica, sirve para ofrecer ubicaciones lo más preciso posible. Es decir que la georreferenciación, puede dar respuesta tanto para empresas privadas, ciudadanos y la administración pública para tener información de calidad sobre una zona determinada. </w:t>
      </w:r>
    </w:p>
    <w:p w14:paraId="1BB3F138" w14:textId="77777777" w:rsidR="00B03B15" w:rsidRPr="00B03B15" w:rsidRDefault="00B03B15" w:rsidP="00B03B15">
      <w:pPr>
        <w:ind w:left="709"/>
        <w:jc w:val="both"/>
        <w:rPr>
          <w:rFonts w:ascii="Abadi" w:hAnsi="Abadi" w:cs="Arial"/>
          <w:i/>
          <w:iCs/>
          <w:sz w:val="21"/>
          <w:szCs w:val="21"/>
          <w:lang w:val="es-MX" w:eastAsia="en-US"/>
        </w:rPr>
      </w:pPr>
    </w:p>
    <w:p w14:paraId="6139C2DD"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En nuestro País, la georreferenciación, se ha utilizado en el sector público para identificar parcelas o infraestructura hidráulica, y el tener datos sobre que producen y que acciones de sanidad o climáticas se deben aplicar.</w:t>
      </w:r>
    </w:p>
    <w:p w14:paraId="7FF58A19" w14:textId="77777777" w:rsidR="00B03B15" w:rsidRPr="00B03B15" w:rsidRDefault="00B03B15" w:rsidP="00B03B15">
      <w:pPr>
        <w:ind w:left="709"/>
        <w:jc w:val="both"/>
        <w:rPr>
          <w:rFonts w:ascii="Abadi" w:hAnsi="Abadi" w:cs="Arial"/>
          <w:i/>
          <w:iCs/>
          <w:sz w:val="21"/>
          <w:szCs w:val="21"/>
          <w:lang w:val="es-MX" w:eastAsia="en-US"/>
        </w:rPr>
      </w:pPr>
    </w:p>
    <w:p w14:paraId="09BFDDEB"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Dicho concepto lo podemos ubicar en la Ley del Sistema Nacional de Información Estadística y Geográfica en su artículo 2 en su fracción VI; Información Geográfica: al conjunto organizado de datos espaciales georreferenciados, que mediante símbolos y códigos genera el conocimiento acerca de las condiciones físico-ambientales, de los recursos naturales y de las obras de naturaleza antrópica del territorio nacional. </w:t>
      </w:r>
    </w:p>
    <w:p w14:paraId="20B1252A" w14:textId="77777777" w:rsidR="00B03B15" w:rsidRPr="00B03B15" w:rsidRDefault="00B03B15" w:rsidP="00B03B15">
      <w:pPr>
        <w:ind w:left="709"/>
        <w:jc w:val="both"/>
        <w:rPr>
          <w:rFonts w:ascii="Abadi" w:hAnsi="Abadi" w:cs="Arial"/>
          <w:i/>
          <w:iCs/>
          <w:sz w:val="21"/>
          <w:szCs w:val="21"/>
          <w:lang w:val="es-MX" w:eastAsia="en-US"/>
        </w:rPr>
      </w:pPr>
    </w:p>
    <w:p w14:paraId="46EB76DA"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El Instituto Nacional de Estadística y Geografía (INEGI), es un autoridad técnica y legal sobre la aplicación de padrones o capas de datos georreferenciados y por ello aplica una norma técnica para el Sistema Geodésico Nacional, en su artículo 3 (cita) señala que Georreferenciación. - el conjunto de actividades u operaciones,</w:t>
      </w:r>
      <w:r w:rsidRPr="00B03B15">
        <w:rPr>
          <w:rFonts w:ascii="Abadi" w:hAnsi="Abadi"/>
          <w:sz w:val="21"/>
          <w:szCs w:val="21"/>
          <w:lang w:val="es-MX" w:eastAsia="en-US"/>
        </w:rPr>
        <w:t xml:space="preserve"> </w:t>
      </w:r>
      <w:r w:rsidRPr="00B03B15">
        <w:rPr>
          <w:rFonts w:ascii="Abadi" w:hAnsi="Abadi" w:cs="Arial"/>
          <w:i/>
          <w:iCs/>
          <w:sz w:val="21"/>
          <w:szCs w:val="21"/>
          <w:lang w:val="es-MX" w:eastAsia="en-US"/>
        </w:rPr>
        <w:t xml:space="preserve">destinadas a establecer la ubicación de puntos, conjuntos de puntos o de información geográfica en general, con relación a un determinado sistema de referencia terrestre. </w:t>
      </w:r>
    </w:p>
    <w:p w14:paraId="49570D89" w14:textId="77777777" w:rsidR="00B03B15" w:rsidRPr="00B03B15" w:rsidRDefault="00B03B15" w:rsidP="00FD5C72">
      <w:pPr>
        <w:jc w:val="both"/>
        <w:rPr>
          <w:rFonts w:ascii="Abadi" w:hAnsi="Abadi" w:cs="Arial"/>
          <w:i/>
          <w:iCs/>
          <w:sz w:val="21"/>
          <w:szCs w:val="21"/>
          <w:lang w:val="es-MX" w:eastAsia="en-US"/>
        </w:rPr>
      </w:pPr>
    </w:p>
    <w:p w14:paraId="2BAF173D"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Además, con las reformas recientes al Código Fiscal de la Federación el año pasado, en el artículo 27, en materia del Registro Federal de Contribuyentes, incluyó:</w:t>
      </w:r>
    </w:p>
    <w:p w14:paraId="771B4A29" w14:textId="77777777" w:rsidR="00B03B15" w:rsidRPr="00B03B15" w:rsidRDefault="00B03B15" w:rsidP="00B03B15">
      <w:pPr>
        <w:ind w:left="709"/>
        <w:jc w:val="both"/>
        <w:rPr>
          <w:rFonts w:ascii="Abadi" w:hAnsi="Abadi" w:cs="Arial"/>
          <w:i/>
          <w:iCs/>
          <w:sz w:val="21"/>
          <w:szCs w:val="21"/>
          <w:lang w:val="es-MX" w:eastAsia="en-US"/>
        </w:rPr>
      </w:pPr>
    </w:p>
    <w:p w14:paraId="6CF90047"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C. Facultades de la autoridad fiscal:</w:t>
      </w:r>
    </w:p>
    <w:p w14:paraId="278C8786" w14:textId="77777777" w:rsidR="00B03B15" w:rsidRPr="00B03B15" w:rsidRDefault="00B03B15" w:rsidP="00B03B15">
      <w:pPr>
        <w:ind w:left="709"/>
        <w:jc w:val="both"/>
        <w:rPr>
          <w:rFonts w:ascii="Abadi" w:hAnsi="Abadi" w:cs="Arial"/>
          <w:i/>
          <w:iCs/>
          <w:sz w:val="21"/>
          <w:szCs w:val="21"/>
          <w:lang w:val="es-MX" w:eastAsia="en-US"/>
        </w:rPr>
      </w:pPr>
    </w:p>
    <w:p w14:paraId="5537F087"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l. Llevar a cabo verificaciones conforme al procedimiento establecido en el artículo 49 de este Código, sin que por ello se considere que inician sus facultades de comprobación, para constatar los siguientes datos: </w:t>
      </w:r>
    </w:p>
    <w:p w14:paraId="5E134481" w14:textId="77777777" w:rsidR="00B03B15" w:rsidRPr="00B03B15" w:rsidRDefault="00B03B15" w:rsidP="00B03B15">
      <w:pPr>
        <w:ind w:left="709"/>
        <w:jc w:val="both"/>
        <w:rPr>
          <w:rFonts w:ascii="Abadi" w:hAnsi="Abadi" w:cs="Arial"/>
          <w:i/>
          <w:iCs/>
          <w:sz w:val="21"/>
          <w:szCs w:val="21"/>
          <w:lang w:val="es-MX" w:eastAsia="en-US"/>
        </w:rPr>
      </w:pPr>
    </w:p>
    <w:p w14:paraId="2438046C"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En la verificación de la existencia y localización del domicilio fiscal, las autoridades fiscales podrán utilizar servicios, medios tecnológicos o cualquier otra herramienta tecnológica que proporcionen georreferenciación, vistas panorámicas o satelitales, cuya información también podrá ser utilizada para la elaboración y diseño de un marco geográfico fiscal, así como para la actualización de la información en el Registro Federal de Contribuyentes referente al domicilio fiscal de los contribuyentes. </w:t>
      </w:r>
    </w:p>
    <w:p w14:paraId="140E6ADE" w14:textId="77777777" w:rsidR="00B03B15" w:rsidRPr="00B03B15" w:rsidRDefault="00B03B15" w:rsidP="00B03B15">
      <w:pPr>
        <w:ind w:left="709"/>
        <w:jc w:val="both"/>
        <w:rPr>
          <w:rFonts w:ascii="Abadi" w:hAnsi="Abadi" w:cs="Arial"/>
          <w:i/>
          <w:iCs/>
          <w:sz w:val="21"/>
          <w:szCs w:val="21"/>
          <w:lang w:val="es-MX" w:eastAsia="en-US"/>
        </w:rPr>
      </w:pPr>
    </w:p>
    <w:p w14:paraId="08269301"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Por lo que el uso de los datos o base de datos georreferenciados, permite reducir los errores de ubicación y una precisión fidedigna y poco viable de poder tener alternaciones.</w:t>
      </w:r>
    </w:p>
    <w:p w14:paraId="4AE2445C" w14:textId="77777777" w:rsidR="00B03B15" w:rsidRPr="00B03B15" w:rsidRDefault="00B03B15" w:rsidP="00B03B15">
      <w:pPr>
        <w:ind w:left="709"/>
        <w:jc w:val="both"/>
        <w:rPr>
          <w:rFonts w:ascii="Abadi" w:hAnsi="Abadi" w:cs="Arial"/>
          <w:i/>
          <w:iCs/>
          <w:sz w:val="21"/>
          <w:szCs w:val="21"/>
          <w:lang w:val="es-MX" w:eastAsia="en-US"/>
        </w:rPr>
      </w:pPr>
    </w:p>
    <w:p w14:paraId="656563B2"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Por tal motivo si dichas herramientas resultaron indispensables para no dejar de comunicarnos e incluso tener actividades económicas esenciales como en los años que tuvimos el inicio de la pandemia, son ahora herramientas de gran utilidad para</w:t>
      </w:r>
      <w:r w:rsidRPr="00B03B15">
        <w:rPr>
          <w:rFonts w:ascii="Abadi" w:hAnsi="Abadi"/>
          <w:sz w:val="21"/>
          <w:szCs w:val="21"/>
          <w:lang w:val="es-MX" w:eastAsia="en-US"/>
        </w:rPr>
        <w:t xml:space="preserve"> </w:t>
      </w:r>
      <w:r w:rsidRPr="00B03B15">
        <w:rPr>
          <w:rFonts w:ascii="Abadi" w:hAnsi="Abadi" w:cs="Arial"/>
          <w:i/>
          <w:iCs/>
          <w:sz w:val="21"/>
          <w:szCs w:val="21"/>
          <w:lang w:val="es-MX" w:eastAsia="en-US"/>
        </w:rPr>
        <w:t xml:space="preserve">contar con padrones transparentes que ayuden a inhibir cualquier intento de simulación o conductas lesivas por quienes lo integran o quienes proporcionan sus datos. </w:t>
      </w:r>
    </w:p>
    <w:p w14:paraId="7DAEA18A" w14:textId="77777777" w:rsidR="00B03B15" w:rsidRPr="00B03B15" w:rsidRDefault="00B03B15" w:rsidP="00B03B15">
      <w:pPr>
        <w:ind w:left="709"/>
        <w:jc w:val="both"/>
        <w:rPr>
          <w:rFonts w:ascii="Abadi" w:hAnsi="Abadi" w:cs="Arial"/>
          <w:i/>
          <w:iCs/>
          <w:sz w:val="21"/>
          <w:szCs w:val="21"/>
          <w:lang w:val="es-MX" w:eastAsia="en-US"/>
        </w:rPr>
      </w:pPr>
    </w:p>
    <w:p w14:paraId="2F783155"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Estas conductas se pueden contrarrestar si al padrón se le puede incorporar dicha herramienta, al que podemos integrar el requisito de una georreferenciación, con el objetivo de fortalecer la transparencia proactiva; esto es el Padrón de Proveedores del Gobierno Estatal, así como en los demás poderes, organismos autónomos; que sin lugar a duda, será </w:t>
      </w:r>
      <w:proofErr w:type="gramStart"/>
      <w:r w:rsidRPr="00B03B15">
        <w:rPr>
          <w:rFonts w:ascii="Abadi" w:hAnsi="Abadi" w:cs="Arial"/>
          <w:i/>
          <w:iCs/>
          <w:sz w:val="21"/>
          <w:szCs w:val="21"/>
          <w:lang w:val="es-MX" w:eastAsia="en-US"/>
        </w:rPr>
        <w:t>un modelo a implementar</w:t>
      </w:r>
      <w:proofErr w:type="gramEnd"/>
      <w:r w:rsidRPr="00B03B15">
        <w:rPr>
          <w:rFonts w:ascii="Abadi" w:hAnsi="Abadi" w:cs="Arial"/>
          <w:i/>
          <w:iCs/>
          <w:sz w:val="21"/>
          <w:szCs w:val="21"/>
          <w:lang w:val="es-MX" w:eastAsia="en-US"/>
        </w:rPr>
        <w:t xml:space="preserve"> por los municipios.</w:t>
      </w:r>
    </w:p>
    <w:p w14:paraId="310949A5"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 </w:t>
      </w:r>
    </w:p>
    <w:p w14:paraId="4C5B0885"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Por lo anterior, se propone que, en la Ley de Contrataciones Públicas para el Estado de Guanajuato, se modifiquen en los actuales requisitos establecidos en el artículo 36 para agregar la georreferenciación de los domicilios de las sociedades o asociaciones o personas físicas solicitantes, así como elementos por medios de fotografías o cualquier otro medio que permita identificar el interior, exterior de la empresa, negociación o establecimiento en donde lleve a cabo sus activades.</w:t>
      </w:r>
    </w:p>
    <w:p w14:paraId="5B62BE64" w14:textId="77777777" w:rsidR="00B03B15" w:rsidRPr="00B03B15" w:rsidRDefault="00B03B15" w:rsidP="00B03B15">
      <w:pPr>
        <w:ind w:left="709"/>
        <w:jc w:val="both"/>
        <w:rPr>
          <w:rFonts w:ascii="Abadi" w:hAnsi="Abadi" w:cs="Arial"/>
          <w:i/>
          <w:iCs/>
          <w:sz w:val="21"/>
          <w:szCs w:val="21"/>
          <w:lang w:val="es-MX" w:eastAsia="en-US"/>
        </w:rPr>
      </w:pPr>
    </w:p>
    <w:p w14:paraId="762EE7A1"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Dicho concepto en la aplicación de padrones de productores agrícolas, contribuyentes e incluso se han usado para los vehículos es el aspecto de la seguridad. Que incluso servirá de modelo para otros padrones en la administración pública en el estado. </w:t>
      </w:r>
    </w:p>
    <w:p w14:paraId="0078FB83" w14:textId="77777777" w:rsidR="00B03B15" w:rsidRPr="00B03B15" w:rsidRDefault="00B03B15" w:rsidP="00B03B15">
      <w:pPr>
        <w:ind w:left="709"/>
        <w:jc w:val="both"/>
        <w:rPr>
          <w:rFonts w:ascii="Abadi" w:hAnsi="Abadi" w:cs="Arial"/>
          <w:i/>
          <w:iCs/>
          <w:sz w:val="21"/>
          <w:szCs w:val="21"/>
          <w:lang w:val="es-MX" w:eastAsia="en-US"/>
        </w:rPr>
      </w:pPr>
    </w:p>
    <w:p w14:paraId="3C5572FC"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Finalmente, de conformidad con lo dispuesto por el artículo 209 de la Ley Orgánica del Poder Legislativo para el Estado de Guanajuato, manifestamos que de ser aprobada la presente iniciativa de reformas la Ley, se tendrían los siguientes impactos:</w:t>
      </w:r>
    </w:p>
    <w:p w14:paraId="3528EF56" w14:textId="77777777" w:rsidR="00B03B15" w:rsidRPr="00B03B15" w:rsidRDefault="00B03B15" w:rsidP="00B03B15">
      <w:pPr>
        <w:ind w:left="709"/>
        <w:jc w:val="both"/>
        <w:rPr>
          <w:rFonts w:ascii="Abadi" w:hAnsi="Abadi" w:cs="Arial"/>
          <w:i/>
          <w:iCs/>
          <w:sz w:val="21"/>
          <w:szCs w:val="21"/>
          <w:lang w:val="es-MX" w:eastAsia="en-US"/>
        </w:rPr>
      </w:pPr>
    </w:p>
    <w:p w14:paraId="7E72879C" w14:textId="77777777" w:rsidR="00B03B15" w:rsidRPr="00B03B15" w:rsidRDefault="00B03B15" w:rsidP="00B03B15">
      <w:pPr>
        <w:ind w:left="709"/>
        <w:jc w:val="both"/>
        <w:rPr>
          <w:rFonts w:ascii="Abadi" w:hAnsi="Abadi" w:cs="Arial"/>
          <w:i/>
          <w:iCs/>
          <w:sz w:val="21"/>
          <w:szCs w:val="21"/>
          <w:lang w:val="es-MX" w:eastAsia="en-US"/>
        </w:rPr>
      </w:pPr>
    </w:p>
    <w:p w14:paraId="0AC975EB" w14:textId="77777777" w:rsidR="00B03B15" w:rsidRPr="00B03B15" w:rsidRDefault="00B03B15" w:rsidP="00B03B15">
      <w:pPr>
        <w:ind w:left="709"/>
        <w:jc w:val="both"/>
        <w:rPr>
          <w:rFonts w:ascii="Abadi" w:hAnsi="Abadi" w:cs="Arial"/>
          <w:i/>
          <w:iCs/>
          <w:sz w:val="21"/>
          <w:szCs w:val="21"/>
          <w:lang w:val="es-MX" w:eastAsia="en-US"/>
        </w:rPr>
      </w:pPr>
    </w:p>
    <w:p w14:paraId="6DBD70CA"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l. Impacto jurídico. Se modifican diversas disposiciones de la Ley de Contrataciones Públicas para el Estado de Guanajuato.</w:t>
      </w:r>
    </w:p>
    <w:p w14:paraId="179CECF9" w14:textId="77777777" w:rsidR="00B03B15" w:rsidRPr="00B03B15" w:rsidRDefault="00B03B15" w:rsidP="00B03B15">
      <w:pPr>
        <w:ind w:left="709"/>
        <w:jc w:val="both"/>
        <w:rPr>
          <w:rFonts w:ascii="Abadi" w:hAnsi="Abadi" w:cs="Arial"/>
          <w:i/>
          <w:iCs/>
          <w:sz w:val="21"/>
          <w:szCs w:val="21"/>
          <w:lang w:val="es-MX" w:eastAsia="en-US"/>
        </w:rPr>
      </w:pPr>
    </w:p>
    <w:p w14:paraId="7A3BBC09"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II. Impacto administrativo. La iniciativa que se plantea fortalece las</w:t>
      </w:r>
      <w:r w:rsidRPr="00B03B15">
        <w:rPr>
          <w:rFonts w:ascii="Abadi" w:hAnsi="Abadi"/>
          <w:sz w:val="21"/>
          <w:szCs w:val="21"/>
          <w:lang w:val="es-MX" w:eastAsia="en-US"/>
        </w:rPr>
        <w:t xml:space="preserve"> </w:t>
      </w:r>
      <w:r w:rsidRPr="00B03B15">
        <w:rPr>
          <w:rFonts w:ascii="Abadi" w:hAnsi="Abadi" w:cs="Arial"/>
          <w:i/>
          <w:iCs/>
          <w:sz w:val="21"/>
          <w:szCs w:val="21"/>
          <w:lang w:val="es-MX" w:eastAsia="en-US"/>
        </w:rPr>
        <w:t>disposiciones por lo que se incorporan nuevas obligaciones para los proveedores de los poderes y organismos autónomos.</w:t>
      </w:r>
    </w:p>
    <w:p w14:paraId="60A98C38" w14:textId="77777777" w:rsidR="00B03B15" w:rsidRPr="00B03B15" w:rsidRDefault="00B03B15" w:rsidP="00B03B15">
      <w:pPr>
        <w:ind w:left="709"/>
        <w:jc w:val="both"/>
        <w:rPr>
          <w:rFonts w:ascii="Abadi" w:hAnsi="Abadi" w:cs="Arial"/>
          <w:i/>
          <w:iCs/>
          <w:sz w:val="21"/>
          <w:szCs w:val="21"/>
          <w:lang w:val="es-MX" w:eastAsia="en-US"/>
        </w:rPr>
      </w:pPr>
    </w:p>
    <w:p w14:paraId="6375305C"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III. Impacto presupuestal. La presente iniciativa no tiene impacto</w:t>
      </w:r>
      <w:r w:rsidRPr="00B03B15">
        <w:rPr>
          <w:rFonts w:ascii="Abadi" w:hAnsi="Abadi"/>
          <w:sz w:val="21"/>
          <w:szCs w:val="21"/>
          <w:lang w:val="es-MX" w:eastAsia="en-US"/>
        </w:rPr>
        <w:t xml:space="preserve"> </w:t>
      </w:r>
      <w:r w:rsidRPr="00B03B15">
        <w:rPr>
          <w:rFonts w:ascii="Abadi" w:hAnsi="Abadi" w:cs="Arial"/>
          <w:i/>
          <w:iCs/>
          <w:sz w:val="21"/>
          <w:szCs w:val="21"/>
          <w:lang w:val="es-MX" w:eastAsia="en-US"/>
        </w:rPr>
        <w:t>presupuestal al no traer consigo la generación de nuevas plazas o cambios en la estructura administrativa.</w:t>
      </w:r>
    </w:p>
    <w:p w14:paraId="21CD2878" w14:textId="77777777" w:rsidR="00B03B15" w:rsidRPr="00B03B15" w:rsidRDefault="00B03B15" w:rsidP="00B03B15">
      <w:pPr>
        <w:ind w:left="709"/>
        <w:jc w:val="both"/>
        <w:rPr>
          <w:rFonts w:ascii="Abadi" w:hAnsi="Abadi" w:cs="Arial"/>
          <w:i/>
          <w:iCs/>
          <w:sz w:val="21"/>
          <w:szCs w:val="21"/>
          <w:lang w:val="es-MX" w:eastAsia="en-US"/>
        </w:rPr>
      </w:pPr>
    </w:p>
    <w:p w14:paraId="56963E69"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IV. Impacto social. La presente propuesta de reforma permite tener una certeza y transparencia en el padrón de proveedores en el estado...»</w:t>
      </w:r>
    </w:p>
    <w:p w14:paraId="5CE53289" w14:textId="77777777" w:rsidR="00B03B15" w:rsidRPr="00B03B15" w:rsidRDefault="00B03B15" w:rsidP="00B03B15">
      <w:pPr>
        <w:ind w:left="709"/>
        <w:jc w:val="both"/>
        <w:rPr>
          <w:rFonts w:ascii="Abadi" w:hAnsi="Abadi" w:cs="Arial"/>
          <w:i/>
          <w:iCs/>
          <w:sz w:val="21"/>
          <w:szCs w:val="21"/>
          <w:lang w:val="es-MX" w:eastAsia="en-US"/>
        </w:rPr>
      </w:pPr>
    </w:p>
    <w:p w14:paraId="5FD09D4A" w14:textId="77777777" w:rsidR="00B03B15" w:rsidRPr="00B03B15" w:rsidRDefault="00B03B15" w:rsidP="00B03B15">
      <w:pPr>
        <w:jc w:val="both"/>
        <w:rPr>
          <w:rFonts w:ascii="Abadi" w:hAnsi="Abadi" w:cs="Arial"/>
          <w:sz w:val="21"/>
          <w:szCs w:val="21"/>
          <w:lang w:val="es-MX" w:eastAsia="en-US"/>
        </w:rPr>
      </w:pPr>
      <w:r w:rsidRPr="00B03B15">
        <w:rPr>
          <w:rFonts w:ascii="Abadi" w:hAnsi="Abadi" w:cs="Arial"/>
          <w:b/>
          <w:bCs/>
          <w:sz w:val="21"/>
          <w:szCs w:val="21"/>
          <w:lang w:val="es-MX" w:eastAsia="en-US"/>
        </w:rPr>
        <w:t xml:space="preserve">II.2. </w:t>
      </w:r>
      <w:r w:rsidRPr="00B03B15">
        <w:rPr>
          <w:rFonts w:ascii="Abadi" w:hAnsi="Abadi" w:cs="Arial"/>
          <w:sz w:val="21"/>
          <w:szCs w:val="21"/>
          <w:lang w:val="es-MX" w:eastAsia="en-US"/>
        </w:rPr>
        <w:t xml:space="preserve">En la exposición de motivos de la iniciativa </w:t>
      </w:r>
      <w:r w:rsidRPr="00B03B15">
        <w:rPr>
          <w:rFonts w:ascii="Abadi" w:hAnsi="Abadi"/>
          <w:sz w:val="21"/>
          <w:szCs w:val="21"/>
          <w:lang w:val="es-ES_tradnl" w:eastAsia="en-US"/>
        </w:rPr>
        <w:t>a efecto de reformar, adicionar y derogar diversos artículos de la Ley de Contrataciones Públicas para el Estado de Guanajuato</w:t>
      </w:r>
      <w:r w:rsidRPr="00B03B15">
        <w:rPr>
          <w:rFonts w:ascii="Abadi" w:hAnsi="Abadi" w:cs="Arial"/>
          <w:sz w:val="21"/>
          <w:szCs w:val="21"/>
          <w:lang w:val="es-MX" w:eastAsia="en-US"/>
        </w:rPr>
        <w:t>, se señala:</w:t>
      </w:r>
    </w:p>
    <w:p w14:paraId="612F12D2" w14:textId="77777777" w:rsidR="00B03B15" w:rsidRPr="00B03B15" w:rsidRDefault="00B03B15" w:rsidP="00B03B15">
      <w:pPr>
        <w:ind w:left="709"/>
        <w:jc w:val="both"/>
        <w:rPr>
          <w:rFonts w:ascii="Abadi" w:hAnsi="Abadi" w:cs="Arial"/>
          <w:i/>
          <w:iCs/>
          <w:sz w:val="21"/>
          <w:szCs w:val="21"/>
          <w:lang w:val="es-MX" w:eastAsia="en-US"/>
        </w:rPr>
      </w:pPr>
    </w:p>
    <w:p w14:paraId="65F1F48D"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 a fin de garantizar en la entidad la observancia estricta de las disposiciones consignadas en nuestra Carta Magna, se expidió por parte de la Sexagésima Legislatura Constitucional del Estado Libre y Soberano de Guanajuato, la Ley de Contrataciones Públicas para el Estado de Guanajuato, mediante Decreto Legislativo número 262, publicado en el Periódico Oficial del Gobierno del Estado de Guanajuato número 206, décima quinta parte, del 26 de diciembre de 2014, en vigor desde el 01 de febrero de 2015, en atención a lo dispuesto por el artículo primero transitorio. </w:t>
      </w:r>
    </w:p>
    <w:p w14:paraId="0E3FC581" w14:textId="77777777" w:rsidR="00B03B15" w:rsidRPr="00B03B15" w:rsidRDefault="00B03B15" w:rsidP="00B03B15">
      <w:pPr>
        <w:ind w:left="709"/>
        <w:jc w:val="both"/>
        <w:rPr>
          <w:rFonts w:ascii="Abadi" w:hAnsi="Abadi" w:cs="Arial"/>
          <w:i/>
          <w:iCs/>
          <w:sz w:val="21"/>
          <w:szCs w:val="21"/>
          <w:lang w:val="es-MX" w:eastAsia="en-US"/>
        </w:rPr>
      </w:pPr>
    </w:p>
    <w:p w14:paraId="3F889824"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Dicha Ley, de conformidad con el artículo 1, es de orden público e interés general y tiene por objeto regular, controlar y vigilar los actos y contratos que lleven a cabo y celebren los sujetos</w:t>
      </w:r>
      <w:r w:rsidRPr="00B03B15">
        <w:rPr>
          <w:rFonts w:ascii="Abadi" w:hAnsi="Abadi" w:cs="Arial"/>
          <w:i/>
          <w:iCs/>
          <w:sz w:val="21"/>
          <w:szCs w:val="21"/>
          <w:vertAlign w:val="superscript"/>
          <w:lang w:val="es-MX" w:eastAsia="en-US"/>
        </w:rPr>
        <w:footnoteReference w:id="167"/>
      </w:r>
      <w:r w:rsidRPr="00B03B15">
        <w:rPr>
          <w:rFonts w:ascii="Abadi" w:hAnsi="Abadi" w:cs="Arial"/>
          <w:i/>
          <w:iCs/>
          <w:sz w:val="21"/>
          <w:szCs w:val="21"/>
          <w:lang w:val="es-MX" w:eastAsia="en-US"/>
        </w:rPr>
        <w:t xml:space="preserve"> de la misma, en materia de adquisiciones, enajenaciones y arrendamientos de bienes muebles e inmuebles y de prestación de servicios. </w:t>
      </w:r>
    </w:p>
    <w:p w14:paraId="76417258" w14:textId="77777777" w:rsidR="00B03B15" w:rsidRPr="00B03B15" w:rsidRDefault="00B03B15" w:rsidP="00B03B15">
      <w:pPr>
        <w:ind w:left="709"/>
        <w:jc w:val="both"/>
        <w:rPr>
          <w:rFonts w:ascii="Abadi" w:hAnsi="Abadi" w:cs="Arial"/>
          <w:i/>
          <w:iCs/>
          <w:sz w:val="21"/>
          <w:szCs w:val="21"/>
          <w:lang w:val="es-MX" w:eastAsia="en-US"/>
        </w:rPr>
      </w:pPr>
    </w:p>
    <w:p w14:paraId="2CF3FF79" w14:textId="48A58D8C" w:rsidR="00B03B15" w:rsidRPr="00B03B15" w:rsidRDefault="00B03B15" w:rsidP="00BA66A3">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Ahora bien, resulta importante tener en consideración que los ordenamientos jurídicos que rigen a nuestra sociedad pueden ser objeto de modificaciones que les permitan tener un alcance sobre supuestos de hechos no contemplados y que emergen del proceso constante de cambio en las actividades cotidianas de la ciudadanía, a fin de que la norma jurídica se encuentre actualizada con las exigencias que la sociedad demanda. </w:t>
      </w:r>
    </w:p>
    <w:p w14:paraId="279CA325" w14:textId="77777777" w:rsidR="00B03B15" w:rsidRPr="00B03B15" w:rsidRDefault="00B03B15" w:rsidP="00B03B15">
      <w:pPr>
        <w:ind w:left="709"/>
        <w:jc w:val="both"/>
        <w:rPr>
          <w:rFonts w:ascii="Abadi" w:hAnsi="Abadi" w:cs="Arial"/>
          <w:i/>
          <w:iCs/>
          <w:sz w:val="21"/>
          <w:szCs w:val="21"/>
          <w:lang w:val="es-MX" w:eastAsia="en-US"/>
        </w:rPr>
      </w:pPr>
    </w:p>
    <w:p w14:paraId="3F2B8248"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En dicho tenor, las disposiciones normativas relativas a los procesos de adquisiciones, arrendamientos y enajenaciones de todo tipo de bienes, prestación de servicios de cualquier naturaleza, con cargo al erario público, representan instrumentos fundamentales para la protección de la hacienda pública y el ejercicio eficiente y transparente de las finanzas. </w:t>
      </w:r>
    </w:p>
    <w:p w14:paraId="0331D4B5" w14:textId="77777777" w:rsidR="00B03B15" w:rsidRPr="00B03B15" w:rsidRDefault="00B03B15" w:rsidP="00B03B15">
      <w:pPr>
        <w:ind w:left="709"/>
        <w:jc w:val="both"/>
        <w:rPr>
          <w:rFonts w:ascii="Abadi" w:hAnsi="Abadi" w:cs="Arial"/>
          <w:i/>
          <w:iCs/>
          <w:sz w:val="21"/>
          <w:szCs w:val="21"/>
          <w:lang w:val="es-MX" w:eastAsia="en-US"/>
        </w:rPr>
      </w:pPr>
    </w:p>
    <w:p w14:paraId="29B9E159"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Por tanto, son estas normas en materia de adquisiciones y contrataciones las que permiten identificar con transparencia a las personas proveedoras que ofertan bienes y servicios para dotar los requerimientos de los entes públicos; así como los procedimientos que regulan las compras y contrataciones que garantizan los procesos competitivos que deben realizarse con estricto apego al derecho y con ello atender las exigencias de cuidado que exige la norma constitucional sobre el uso de recursos públicos. </w:t>
      </w:r>
    </w:p>
    <w:p w14:paraId="5B06D2A6" w14:textId="77777777" w:rsidR="00B03B15" w:rsidRPr="00B03B15" w:rsidRDefault="00B03B15" w:rsidP="00B03B15">
      <w:pPr>
        <w:ind w:left="709"/>
        <w:jc w:val="both"/>
        <w:rPr>
          <w:rFonts w:ascii="Abadi" w:hAnsi="Abadi" w:cs="Arial"/>
          <w:i/>
          <w:iCs/>
          <w:sz w:val="21"/>
          <w:szCs w:val="21"/>
          <w:lang w:val="es-MX" w:eastAsia="en-US"/>
        </w:rPr>
      </w:pPr>
    </w:p>
    <w:p w14:paraId="2FCC0771"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Al efecto, derivado de un ejercicio de verificación respecto de la pertinencia de la norma, se ha determinado la necesidad de modificar diversas disposiciones de la Ley de Contrataciones para el Estado de Guanajuato, a fin de· dotar a nuestra entidad de un marco jurídico que le permita hacer frente, de manera eficaz a las situaciones que se suscitan en la materia.</w:t>
      </w:r>
    </w:p>
    <w:p w14:paraId="41464B6C" w14:textId="77777777" w:rsidR="00B03B15" w:rsidRPr="00B03B15" w:rsidRDefault="00B03B15" w:rsidP="00B03B15">
      <w:pPr>
        <w:ind w:left="709"/>
        <w:jc w:val="both"/>
        <w:rPr>
          <w:rFonts w:ascii="Abadi" w:hAnsi="Abadi" w:cs="Arial"/>
          <w:i/>
          <w:iCs/>
          <w:sz w:val="21"/>
          <w:szCs w:val="21"/>
          <w:lang w:val="es-MX" w:eastAsia="en-US"/>
        </w:rPr>
      </w:pPr>
    </w:p>
    <w:p w14:paraId="40C8521D"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Contenido de la iniciativa </w:t>
      </w:r>
    </w:p>
    <w:p w14:paraId="6003013E" w14:textId="77777777" w:rsidR="00B03B15" w:rsidRPr="00B03B15" w:rsidRDefault="00B03B15" w:rsidP="00B03B15">
      <w:pPr>
        <w:ind w:left="709"/>
        <w:jc w:val="both"/>
        <w:rPr>
          <w:rFonts w:ascii="Abadi" w:hAnsi="Abadi" w:cs="Arial"/>
          <w:i/>
          <w:iCs/>
          <w:sz w:val="21"/>
          <w:szCs w:val="21"/>
          <w:lang w:val="es-MX" w:eastAsia="en-US"/>
        </w:rPr>
      </w:pPr>
    </w:p>
    <w:p w14:paraId="6E539823"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La iniciativa que se pone a consideración de esta Honorable Asamblea, se concentra en tres componentes principales, los cuales se propone integrar en la Ley de Contrataciones Públicas para el Estado de Guanajuato, en atención a lo siguiente: </w:t>
      </w:r>
    </w:p>
    <w:p w14:paraId="18007725" w14:textId="77777777" w:rsidR="00B03B15" w:rsidRPr="00B03B15" w:rsidRDefault="00B03B15" w:rsidP="00B03B15">
      <w:pPr>
        <w:ind w:left="709"/>
        <w:jc w:val="both"/>
        <w:rPr>
          <w:rFonts w:ascii="Abadi" w:hAnsi="Abadi" w:cs="Arial"/>
          <w:i/>
          <w:iCs/>
          <w:sz w:val="21"/>
          <w:szCs w:val="21"/>
          <w:lang w:val="es-MX" w:eastAsia="en-US"/>
        </w:rPr>
      </w:pPr>
    </w:p>
    <w:p w14:paraId="64E786CE"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El primero se refiere a la adecuación del esquema sancionatorio, contenido en los Capítulos I y II del Título Noveno, a fin de armonizarlo con las disposiciones previstas por la legislación federal.</w:t>
      </w:r>
    </w:p>
    <w:p w14:paraId="212B67CD" w14:textId="77777777" w:rsidR="00B03B15" w:rsidRPr="00B03B15" w:rsidRDefault="00B03B15" w:rsidP="00B03B15">
      <w:pPr>
        <w:ind w:left="709"/>
        <w:jc w:val="both"/>
        <w:rPr>
          <w:rFonts w:ascii="Abadi" w:hAnsi="Abadi" w:cs="Arial"/>
          <w:i/>
          <w:iCs/>
          <w:sz w:val="21"/>
          <w:szCs w:val="21"/>
          <w:lang w:val="es-MX" w:eastAsia="en-US"/>
        </w:rPr>
      </w:pPr>
    </w:p>
    <w:p w14:paraId="1939EA95"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La segunda propuesta está enfocada en reconocer de forma detallada las notificaciones electrónicas que practican las áreas que llevan a cabo los diferentes procesos de contrataciones. Finalmente, el tercer componente de la iniciativa, propone ajustar las disposiciones a fin de cohesionar las hipótesis relativas a la enajenación de bienes muebles para maximizar su aprovechamiento.</w:t>
      </w:r>
    </w:p>
    <w:p w14:paraId="5DE91810" w14:textId="77777777" w:rsidR="00B03B15" w:rsidRPr="00B03B15" w:rsidRDefault="00B03B15" w:rsidP="00B03B15">
      <w:pPr>
        <w:ind w:left="709"/>
        <w:jc w:val="both"/>
        <w:rPr>
          <w:rFonts w:ascii="Abadi" w:hAnsi="Abadi" w:cs="Arial"/>
          <w:i/>
          <w:iCs/>
          <w:sz w:val="21"/>
          <w:szCs w:val="21"/>
          <w:lang w:val="es-MX" w:eastAsia="en-US"/>
        </w:rPr>
      </w:pPr>
    </w:p>
    <w:p w14:paraId="524D1805"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i. Esquema sancionatorio</w:t>
      </w:r>
    </w:p>
    <w:p w14:paraId="729F5B78" w14:textId="77777777" w:rsidR="00B03B15" w:rsidRPr="00B03B15" w:rsidRDefault="00B03B15" w:rsidP="00B03B15">
      <w:pPr>
        <w:ind w:left="709"/>
        <w:jc w:val="both"/>
        <w:rPr>
          <w:rFonts w:ascii="Abadi" w:hAnsi="Abadi" w:cs="Arial"/>
          <w:i/>
          <w:iCs/>
          <w:sz w:val="21"/>
          <w:szCs w:val="21"/>
          <w:lang w:val="es-MX" w:eastAsia="en-US"/>
        </w:rPr>
      </w:pPr>
    </w:p>
    <w:p w14:paraId="1694E189" w14:textId="1BFFAC9C" w:rsidR="00B03B15" w:rsidRPr="00B03B15" w:rsidRDefault="00B03B15" w:rsidP="00BA66A3">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El padrón de proveedores es un registro ordenado y sistematizado de las personas con capacidad para contratar, que desean enajenar o arrendar bienes muebles o prestar servicios, lo cual permite su identificación, por lo que facilita los procedimientos de contratación que llevan a cabo los entes en el sector público. </w:t>
      </w:r>
    </w:p>
    <w:p w14:paraId="1F2936C1" w14:textId="77777777" w:rsidR="00B03B15" w:rsidRPr="00B03B15" w:rsidRDefault="00B03B15" w:rsidP="00BA66A3">
      <w:pPr>
        <w:jc w:val="both"/>
        <w:rPr>
          <w:rFonts w:ascii="Abadi" w:hAnsi="Abadi" w:cs="Arial"/>
          <w:i/>
          <w:iCs/>
          <w:sz w:val="21"/>
          <w:szCs w:val="21"/>
          <w:lang w:val="es-MX" w:eastAsia="en-US"/>
        </w:rPr>
      </w:pPr>
    </w:p>
    <w:p w14:paraId="0B2642EA"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El padrón es por tanto, una herramienta relevante en los procesos de contratación al proveer una base de datos oportuna sobre las personas que tienen la capacidad de ofrecer productos y/o servicios conforme a la ley, para atender los requerimientos de las. dependencias y entidades de la administración pública estatal, en el cumplimiento de sus funciones. En razón de la relevancia de este instrumento, es menester precisar que las omisiones o actuaciones que se efectúen con dolo o mala fe por parte de las personas proveedores inscritas en el mismo, están sujetos a las sanciones que se establezcan en la norma.</w:t>
      </w:r>
    </w:p>
    <w:p w14:paraId="55E1B258" w14:textId="77777777" w:rsidR="00B03B15" w:rsidRPr="00B03B15" w:rsidRDefault="00B03B15" w:rsidP="00B03B15">
      <w:pPr>
        <w:ind w:left="709"/>
        <w:jc w:val="both"/>
        <w:rPr>
          <w:rFonts w:ascii="Abadi" w:hAnsi="Abadi" w:cs="Arial"/>
          <w:i/>
          <w:iCs/>
          <w:sz w:val="21"/>
          <w:szCs w:val="21"/>
          <w:lang w:val="es-MX" w:eastAsia="en-US"/>
        </w:rPr>
      </w:pPr>
    </w:p>
    <w:p w14:paraId="4E83C1AB"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La norma vigente prevé supuestos respecto a la cancelación del registro de proveedores en el padrón. Sin embargo, es oportuno que hipótesis previstas en materia de cancelación se trasladen a los rubros relativos a las infracciones previstas en la Ley, es decir, contemplarlas como parte de las disposiciones aplicables en materia de multa e inhabilitación. </w:t>
      </w:r>
    </w:p>
    <w:p w14:paraId="2FA9A5F2" w14:textId="77777777" w:rsidR="00B03B15" w:rsidRPr="00B03B15" w:rsidRDefault="00B03B15" w:rsidP="00B03B15">
      <w:pPr>
        <w:ind w:left="709"/>
        <w:jc w:val="both"/>
        <w:rPr>
          <w:rFonts w:ascii="Abadi" w:hAnsi="Abadi" w:cs="Arial"/>
          <w:i/>
          <w:iCs/>
          <w:sz w:val="21"/>
          <w:szCs w:val="21"/>
          <w:lang w:val="es-MX" w:eastAsia="en-US"/>
        </w:rPr>
      </w:pPr>
    </w:p>
    <w:p w14:paraId="1A50132D"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En ese sentido, se propone eliminar la actual disposición señalada en la fracción I del artículo 40, para reubicarla, junto con las hipótesis de que prevén cualquier otra actuación con dolo o mala fe por parte de los particulares que participen en los procesos de contratación, como supuestos de infracción a la Ley dentro de su artículo 125, y que de actualizarse, ameriten sanción en términos de lo previsto en el numeral 127, con sujeción a las reglas para la aplicación de sanciones referidas en el arábigo 130 del citado cuerpo normativo, homologándolo así con las previstas en la legislación federal.</w:t>
      </w:r>
    </w:p>
    <w:p w14:paraId="0CFC6C29" w14:textId="77777777" w:rsidR="00B03B15" w:rsidRPr="00B03B15" w:rsidRDefault="00B03B15" w:rsidP="00B03B15">
      <w:pPr>
        <w:ind w:left="709"/>
        <w:jc w:val="both"/>
        <w:rPr>
          <w:rFonts w:ascii="Abadi" w:hAnsi="Abadi" w:cs="Arial"/>
          <w:i/>
          <w:iCs/>
          <w:sz w:val="21"/>
          <w:szCs w:val="21"/>
          <w:lang w:val="es-MX" w:eastAsia="en-US"/>
        </w:rPr>
      </w:pPr>
    </w:p>
    <w:p w14:paraId="4ACE06F5"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De igual manera, a fin de adecuar con lo dispuesto por el texto de la Ley que rige en materia federal, se estima necesario eliminar la hipótesis contenida en la fracción II del vigente artículo 40, para que una de las consecuencias de la rescisión contractual sea la inhabilitación temporal, y no así la cancelación del padrón, este último efecto sobre el cual, el Tribunal Local en materia de Justicia Administrativa se ha pronunciado respecto de su inconstitucionalidad, por tener un efecto perpetuo que resulta contrario a los principios del derecho sancionador. Es de mencionarse que el artículo 56 BIS de la Ley de Adquisiciones, Arrendamientos y Servicios del Sector Público, señala respecto al registro de proveedores, lo siguiente:</w:t>
      </w:r>
    </w:p>
    <w:p w14:paraId="5CEDC955" w14:textId="77777777" w:rsidR="00B03B15" w:rsidRPr="00B03B15" w:rsidRDefault="00B03B15" w:rsidP="00B03B15">
      <w:pPr>
        <w:ind w:left="709"/>
        <w:jc w:val="both"/>
        <w:rPr>
          <w:rFonts w:ascii="Abadi" w:hAnsi="Abadi" w:cs="Arial"/>
          <w:i/>
          <w:iCs/>
          <w:sz w:val="21"/>
          <w:szCs w:val="21"/>
          <w:lang w:val="es-MX" w:eastAsia="en-US"/>
        </w:rPr>
      </w:pPr>
    </w:p>
    <w:p w14:paraId="2951A409" w14:textId="77777777" w:rsidR="00B03B15" w:rsidRPr="00B03B15" w:rsidRDefault="00B03B15" w:rsidP="00B03B15">
      <w:pPr>
        <w:ind w:left="1560"/>
        <w:jc w:val="both"/>
        <w:rPr>
          <w:rFonts w:ascii="Abadi" w:hAnsi="Abadi" w:cs="Arial"/>
          <w:i/>
          <w:iCs/>
          <w:sz w:val="21"/>
          <w:szCs w:val="21"/>
          <w:lang w:val="es-MX" w:eastAsia="en-US"/>
        </w:rPr>
      </w:pPr>
      <w:r w:rsidRPr="00B03B15">
        <w:rPr>
          <w:rFonts w:ascii="Abadi" w:hAnsi="Abadi" w:cs="Arial"/>
          <w:i/>
          <w:iCs/>
          <w:sz w:val="21"/>
          <w:szCs w:val="21"/>
          <w:lang w:val="es-MX" w:eastAsia="en-US"/>
        </w:rPr>
        <w:t>“Artículo 56 Bis. El sistema integral de información contará, en los términos del Reglamento de esta Ley, con un registro único de proveedores, el cual los clasificará de acuerdo, entre otros aspectos, por su actividad, datos generales, nacionalidad e historial en materia de contrataciones y su cumplimiento.</w:t>
      </w:r>
    </w:p>
    <w:p w14:paraId="3C0EC529" w14:textId="77777777" w:rsidR="00B03B15" w:rsidRPr="00B03B15" w:rsidRDefault="00B03B15" w:rsidP="00B03B15">
      <w:pPr>
        <w:ind w:left="1560"/>
        <w:jc w:val="both"/>
        <w:rPr>
          <w:rFonts w:ascii="Abadi" w:hAnsi="Abadi" w:cs="Arial"/>
          <w:i/>
          <w:iCs/>
          <w:sz w:val="21"/>
          <w:szCs w:val="21"/>
          <w:lang w:val="es-MX" w:eastAsia="en-US"/>
        </w:rPr>
      </w:pPr>
    </w:p>
    <w:p w14:paraId="1DAE9235" w14:textId="77777777" w:rsidR="00B03B15" w:rsidRPr="00B03B15" w:rsidRDefault="00B03B15" w:rsidP="00B03B15">
      <w:pPr>
        <w:ind w:left="1560"/>
        <w:jc w:val="both"/>
        <w:rPr>
          <w:rFonts w:ascii="Abadi" w:hAnsi="Abadi" w:cs="Arial"/>
          <w:i/>
          <w:iCs/>
          <w:sz w:val="21"/>
          <w:szCs w:val="21"/>
          <w:lang w:val="es-MX" w:eastAsia="en-US"/>
        </w:rPr>
      </w:pPr>
      <w:r w:rsidRPr="00B03B15">
        <w:rPr>
          <w:rFonts w:ascii="Abadi" w:hAnsi="Abadi" w:cs="Arial"/>
          <w:i/>
          <w:iCs/>
          <w:sz w:val="21"/>
          <w:szCs w:val="21"/>
          <w:lang w:val="es-MX" w:eastAsia="en-US"/>
        </w:rPr>
        <w:t>Este registro deberá ser permanente y estar a disposición de cualquier interesado…”</w:t>
      </w:r>
    </w:p>
    <w:p w14:paraId="4D2BCCB3" w14:textId="77777777" w:rsidR="00B03B15" w:rsidRPr="00B03B15" w:rsidRDefault="00B03B15" w:rsidP="00B03B15">
      <w:pPr>
        <w:ind w:left="1560"/>
        <w:jc w:val="both"/>
        <w:rPr>
          <w:rFonts w:ascii="Abadi" w:hAnsi="Abadi" w:cs="Arial"/>
          <w:i/>
          <w:iCs/>
          <w:sz w:val="21"/>
          <w:szCs w:val="21"/>
          <w:lang w:val="es-MX" w:eastAsia="en-US"/>
        </w:rPr>
      </w:pPr>
    </w:p>
    <w:p w14:paraId="2458D9E1"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En consonancia con este tratamiento, la legislación federal prevé en el Título Quinto, "De las Infracciones y Sanciones", un Capítulo Único relacionado con Infracciones y Sanciones, con elementos cuya naturaleza se comparte y se busca reflejar en la propuesta de reforma que se somete a consideración de esa Asamblea Legislativa, a fin de homologar su tratamiento para las disposiciones aplicables a esta entidad federativa. </w:t>
      </w:r>
    </w:p>
    <w:p w14:paraId="67E80E5B" w14:textId="77777777" w:rsidR="00B03B15" w:rsidRPr="00B03B15" w:rsidRDefault="00B03B15" w:rsidP="00BA66A3">
      <w:pPr>
        <w:jc w:val="both"/>
        <w:rPr>
          <w:rFonts w:ascii="Abadi" w:hAnsi="Abadi" w:cs="Arial"/>
          <w:i/>
          <w:iCs/>
          <w:sz w:val="21"/>
          <w:szCs w:val="21"/>
          <w:lang w:val="es-MX" w:eastAsia="en-US"/>
        </w:rPr>
      </w:pPr>
    </w:p>
    <w:p w14:paraId="4C7BB5F7"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Asimismo, al artículo 41 se adiciona un segundo párrafo, para establecer que el procedimiento para decretar la cancelación del registro, solo será instaurado en el caso de actualizarse el supuesto de haya transcurrido un año a partir de haberse decretado la suspensión del registro, sin que se lleve a cabo la actualización de la información por parte del proveedor; de igual manera se deroga la fracción II y se reforma la fracción III, ambas del numeral 42.</w:t>
      </w:r>
    </w:p>
    <w:p w14:paraId="410096B4" w14:textId="77777777" w:rsidR="00B03B15" w:rsidRPr="00B03B15" w:rsidRDefault="00B03B15" w:rsidP="00B03B15">
      <w:pPr>
        <w:ind w:left="1560"/>
        <w:jc w:val="both"/>
        <w:rPr>
          <w:rFonts w:ascii="Abadi" w:hAnsi="Abadi" w:cs="Arial"/>
          <w:i/>
          <w:iCs/>
          <w:sz w:val="21"/>
          <w:szCs w:val="21"/>
          <w:lang w:val="es-MX" w:eastAsia="en-US"/>
        </w:rPr>
      </w:pPr>
    </w:p>
    <w:p w14:paraId="4EA2464A"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ii. Uso de medios electrónicos</w:t>
      </w:r>
    </w:p>
    <w:p w14:paraId="426F68FD" w14:textId="77777777" w:rsidR="00B03B15" w:rsidRPr="00B03B15" w:rsidRDefault="00B03B15" w:rsidP="00B03B15">
      <w:pPr>
        <w:ind w:left="709"/>
        <w:jc w:val="both"/>
        <w:rPr>
          <w:rFonts w:ascii="Abadi" w:hAnsi="Abadi" w:cs="Arial"/>
          <w:i/>
          <w:iCs/>
          <w:sz w:val="21"/>
          <w:szCs w:val="21"/>
          <w:lang w:val="es-MX" w:eastAsia="en-US"/>
        </w:rPr>
      </w:pPr>
    </w:p>
    <w:p w14:paraId="471B7F29"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Asimismo, es preciso continuar con los esfuerzos del uso de medios remotos para el desarrollo de procesos administrativos y legales en materia de contrataciones. Ello permitirá no sólo facilitar los procesos de interlocución</w:t>
      </w:r>
      <w:r w:rsidRPr="00B03B15">
        <w:rPr>
          <w:rFonts w:ascii="Abadi" w:hAnsi="Abadi"/>
          <w:sz w:val="21"/>
          <w:szCs w:val="21"/>
          <w:lang w:val="es-MX" w:eastAsia="en-US"/>
        </w:rPr>
        <w:t xml:space="preserve"> </w:t>
      </w:r>
      <w:r w:rsidRPr="00B03B15">
        <w:rPr>
          <w:rFonts w:ascii="Abadi" w:hAnsi="Abadi" w:cs="Arial"/>
          <w:i/>
          <w:iCs/>
          <w:sz w:val="21"/>
          <w:szCs w:val="21"/>
          <w:lang w:val="es-MX" w:eastAsia="en-US"/>
        </w:rPr>
        <w:t xml:space="preserve">entre el gobierno y la ciudadanía, sino también ayuda a la disminución de costos entre las diversas partes relacionadas con los procesos. </w:t>
      </w:r>
    </w:p>
    <w:p w14:paraId="04EA2C27" w14:textId="77777777" w:rsidR="00B03B15" w:rsidRPr="00B03B15" w:rsidRDefault="00B03B15" w:rsidP="00B03B15">
      <w:pPr>
        <w:ind w:left="709"/>
        <w:jc w:val="both"/>
        <w:rPr>
          <w:rFonts w:ascii="Abadi" w:hAnsi="Abadi" w:cs="Arial"/>
          <w:i/>
          <w:iCs/>
          <w:sz w:val="21"/>
          <w:szCs w:val="21"/>
          <w:lang w:val="es-MX" w:eastAsia="en-US"/>
        </w:rPr>
      </w:pPr>
    </w:p>
    <w:p w14:paraId="26AC88FF"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Por tanto, se estima necesario adicionar el artículo 52 Bis, a fin de legitimar el uso de medios electrónicos para que las notificaciones que practiquen el personal de las áreas contratantes como parte de la ejecución de los contratos, así como de los diversos procedimientos administrativos que la ley contempla, se simplifiquen. Con la práctica de notificaciones electrónicas, se permitirá por un lado, reducir el número de impugnaciones de proveedores contra formalidades de los actos de notificación, contemplando además que gran parte de los proveedores adjudicados tienen domicilio fuera del estado de Guanajuato, lo que eventualmente deja sujeto a controversias las notificaciones personales que la parte contratante desahoga fuera de la circunscripción territorial del Estado.</w:t>
      </w:r>
    </w:p>
    <w:p w14:paraId="44105449" w14:textId="77777777" w:rsidR="00B03B15" w:rsidRPr="00B03B15" w:rsidRDefault="00B03B15" w:rsidP="00B03B15">
      <w:pPr>
        <w:ind w:left="709"/>
        <w:jc w:val="both"/>
        <w:rPr>
          <w:rFonts w:ascii="Abadi" w:hAnsi="Abadi" w:cs="Arial"/>
          <w:i/>
          <w:iCs/>
          <w:sz w:val="21"/>
          <w:szCs w:val="21"/>
          <w:lang w:val="es-MX" w:eastAsia="en-US"/>
        </w:rPr>
      </w:pPr>
    </w:p>
    <w:p w14:paraId="417E5075"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Adicionalmente, es preciso resaltar que para el sector público coadyuva en disminuir los costos operativos que implican las citadas notificaciones.</w:t>
      </w:r>
    </w:p>
    <w:p w14:paraId="25E16D79" w14:textId="77777777" w:rsidR="00B03B15" w:rsidRPr="00B03B15" w:rsidRDefault="00B03B15" w:rsidP="00B03B15">
      <w:pPr>
        <w:ind w:left="709"/>
        <w:jc w:val="both"/>
        <w:rPr>
          <w:rFonts w:ascii="Abadi" w:hAnsi="Abadi" w:cs="Arial"/>
          <w:i/>
          <w:iCs/>
          <w:sz w:val="21"/>
          <w:szCs w:val="21"/>
          <w:lang w:val="es-MX" w:eastAsia="en-US"/>
        </w:rPr>
      </w:pPr>
    </w:p>
    <w:p w14:paraId="5431940C"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iii. Enajenación de bienes muebles</w:t>
      </w:r>
    </w:p>
    <w:p w14:paraId="0D096914" w14:textId="77777777" w:rsidR="00B03B15" w:rsidRPr="00B03B15" w:rsidRDefault="00B03B15" w:rsidP="00B03B15">
      <w:pPr>
        <w:ind w:left="709"/>
        <w:jc w:val="both"/>
        <w:rPr>
          <w:rFonts w:ascii="Abadi" w:hAnsi="Abadi" w:cs="Arial"/>
          <w:i/>
          <w:iCs/>
          <w:sz w:val="21"/>
          <w:szCs w:val="21"/>
          <w:lang w:val="es-MX" w:eastAsia="en-US"/>
        </w:rPr>
      </w:pPr>
    </w:p>
    <w:p w14:paraId="3D10DA24"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La administración de bienes muebles del sector público, exige por un lado, procurar el debido cuidado de los mismos para que conserven su valor en términos de su uso a través del tiempo, y por otro, que se potencialice su aprovechamiento al ser destinados a fines que conlleven un beneficio para la sociedad. Para ello resulta necesario regular los supuestos de enajenación y baja de muebles, que permitan preservar el patrimonio estatal, lo cual permea en su utilidad a la sociedad.</w:t>
      </w:r>
    </w:p>
    <w:p w14:paraId="4A8D618E" w14:textId="77777777" w:rsidR="00B03B15" w:rsidRPr="00B03B15" w:rsidRDefault="00B03B15" w:rsidP="00B03B15">
      <w:pPr>
        <w:ind w:left="709"/>
        <w:jc w:val="both"/>
        <w:rPr>
          <w:rFonts w:ascii="Abadi" w:hAnsi="Abadi" w:cs="Arial"/>
          <w:i/>
          <w:iCs/>
          <w:sz w:val="21"/>
          <w:szCs w:val="21"/>
          <w:lang w:val="es-MX" w:eastAsia="en-US"/>
        </w:rPr>
      </w:pPr>
    </w:p>
    <w:p w14:paraId="5331E8CC" w14:textId="348CC145" w:rsidR="00B03B15" w:rsidRPr="00B03B15" w:rsidRDefault="00B03B15" w:rsidP="00D244A3">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Así, se proponen reformas a los artículos 84, 85 y 86 de la Ley, puesto que las disposiciones actuales contienen previsiones que es oportuno cohesionar, a fin de proveer de mayor orden a la norma aplicable y considerar precisiones, para dar claridad y mayor certeza a las excepciones que se encuentran consideradas, favoreciendo con ello de manera sustancial su aplicación, y por ende lograr un impacto positivo en la sociedad a través de las operaciones en materia de enajenaciones mobiliarias.</w:t>
      </w:r>
    </w:p>
    <w:p w14:paraId="3CBCCEA0"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w:t>
      </w:r>
    </w:p>
    <w:p w14:paraId="324F94E9" w14:textId="77777777" w:rsidR="00B03B15" w:rsidRPr="00B03B15" w:rsidRDefault="00B03B15" w:rsidP="00B03B15">
      <w:pPr>
        <w:ind w:left="709"/>
        <w:jc w:val="both"/>
        <w:rPr>
          <w:rFonts w:ascii="Abadi" w:hAnsi="Abadi" w:cs="Arial"/>
          <w:i/>
          <w:iCs/>
          <w:sz w:val="21"/>
          <w:szCs w:val="21"/>
          <w:lang w:val="es-MX" w:eastAsia="en-US"/>
        </w:rPr>
      </w:pPr>
    </w:p>
    <w:p w14:paraId="32107EBE"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Evaluación ex ante</w:t>
      </w:r>
    </w:p>
    <w:p w14:paraId="3DDB1F88" w14:textId="77777777" w:rsidR="00B03B15" w:rsidRPr="00B03B15" w:rsidRDefault="00B03B15" w:rsidP="00B03B15">
      <w:pPr>
        <w:ind w:left="709"/>
        <w:jc w:val="both"/>
        <w:rPr>
          <w:rFonts w:ascii="Abadi" w:hAnsi="Abadi" w:cs="Arial"/>
          <w:i/>
          <w:iCs/>
          <w:sz w:val="21"/>
          <w:szCs w:val="21"/>
          <w:lang w:val="es-MX" w:eastAsia="en-US"/>
        </w:rPr>
      </w:pPr>
    </w:p>
    <w:p w14:paraId="1A557C73"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A fin de dar cumplimiento a lo previsto por el artículo 209 de la Ley Orgánica del Poder Legislativo del Estado de Guanajuato, relativo a la evaluación ex ante de la norma, a partir de la evaluación del impacto jurídico, administrativo, presupuestario y social, se indica lo siguiente: </w:t>
      </w:r>
    </w:p>
    <w:p w14:paraId="5C940BA9" w14:textId="77777777" w:rsidR="00B03B15" w:rsidRPr="00B03B15" w:rsidRDefault="00B03B15" w:rsidP="00B03B15">
      <w:pPr>
        <w:ind w:left="709"/>
        <w:jc w:val="both"/>
        <w:rPr>
          <w:rFonts w:ascii="Abadi" w:hAnsi="Abadi" w:cs="Arial"/>
          <w:i/>
          <w:iCs/>
          <w:sz w:val="21"/>
          <w:szCs w:val="21"/>
          <w:lang w:val="es-MX" w:eastAsia="en-US"/>
        </w:rPr>
      </w:pPr>
    </w:p>
    <w:p w14:paraId="369041F7"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l. Impacto jurídico: Con la presente iniciativa se fortalece el marco jurídico del Estado, a fin de dotarlo de eficiencia y transparencia en materia de contrataciones, a través del uso de la facultad contenida en el artículo 56 fracción II de la Constitución Política para el Estado de Guanajuato; </w:t>
      </w:r>
    </w:p>
    <w:p w14:paraId="573F65F7" w14:textId="77777777" w:rsidR="00B03B15" w:rsidRPr="00B03B15" w:rsidRDefault="00B03B15" w:rsidP="00B03B15">
      <w:pPr>
        <w:ind w:left="709"/>
        <w:jc w:val="both"/>
        <w:rPr>
          <w:rFonts w:ascii="Abadi" w:hAnsi="Abadi" w:cs="Arial"/>
          <w:i/>
          <w:iCs/>
          <w:sz w:val="21"/>
          <w:szCs w:val="21"/>
          <w:lang w:val="es-MX" w:eastAsia="en-US"/>
        </w:rPr>
      </w:pPr>
    </w:p>
    <w:p w14:paraId="36378847"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 xml:space="preserve">II. Impacto administrativo: En razón de las disposiciones previstas, se tendrán impactos en el instrumento reglamentario de la ley de la materia, por lo que en su momento se deberán realizar las modificaciones correspondientes; </w:t>
      </w:r>
    </w:p>
    <w:p w14:paraId="0B73D394" w14:textId="77777777" w:rsidR="00B03B15" w:rsidRPr="00B03B15" w:rsidRDefault="00B03B15" w:rsidP="00B03B15">
      <w:pPr>
        <w:ind w:left="709"/>
        <w:jc w:val="both"/>
        <w:rPr>
          <w:rFonts w:ascii="Abadi" w:hAnsi="Abadi" w:cs="Arial"/>
          <w:i/>
          <w:iCs/>
          <w:sz w:val="21"/>
          <w:szCs w:val="21"/>
          <w:lang w:val="es-MX" w:eastAsia="en-US"/>
        </w:rPr>
      </w:pPr>
    </w:p>
    <w:p w14:paraId="758888B0"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III. Impacto presupuestario: La presente propuesta no implica ningún impacto presupuestario, ya que no se requieren recursos presupuestales adicionales a los ya ejercidos en la actualidad, por virtud de las reformas propuestas.</w:t>
      </w:r>
    </w:p>
    <w:p w14:paraId="11F0C36C" w14:textId="77777777" w:rsidR="00B03B15" w:rsidRPr="00B03B15" w:rsidRDefault="00B03B15" w:rsidP="00B03B15">
      <w:pPr>
        <w:ind w:left="709"/>
        <w:jc w:val="both"/>
        <w:rPr>
          <w:rFonts w:ascii="Abadi" w:hAnsi="Abadi" w:cs="Arial"/>
          <w:i/>
          <w:iCs/>
          <w:sz w:val="21"/>
          <w:szCs w:val="21"/>
          <w:lang w:val="es-MX" w:eastAsia="en-US"/>
        </w:rPr>
      </w:pPr>
    </w:p>
    <w:p w14:paraId="5C85C6E5" w14:textId="77777777" w:rsidR="00B03B15" w:rsidRPr="00B03B15" w:rsidRDefault="00B03B15" w:rsidP="00B03B15">
      <w:pPr>
        <w:ind w:left="709"/>
        <w:jc w:val="both"/>
        <w:rPr>
          <w:rFonts w:ascii="Abadi" w:hAnsi="Abadi" w:cs="Arial"/>
          <w:i/>
          <w:iCs/>
          <w:sz w:val="21"/>
          <w:szCs w:val="21"/>
          <w:lang w:val="es-MX" w:eastAsia="en-US"/>
        </w:rPr>
      </w:pPr>
      <w:r w:rsidRPr="00B03B15">
        <w:rPr>
          <w:rFonts w:ascii="Abadi" w:hAnsi="Abadi" w:cs="Arial"/>
          <w:i/>
          <w:iCs/>
          <w:sz w:val="21"/>
          <w:szCs w:val="21"/>
          <w:lang w:val="es-MX" w:eastAsia="en-US"/>
        </w:rPr>
        <w:t>IV. Impacto social: Las normas en materia de adquisiciones pretenden mejorar los instrumentos de regulación en los procesos que al efecto llevan a cabo los sujetos obligados. Ello con el propósito de mejorar la eficiencia y eficacia en el ejercicio de la hacienda y de la función pública.»</w:t>
      </w:r>
    </w:p>
    <w:p w14:paraId="132C3608" w14:textId="77777777" w:rsidR="00B03B15" w:rsidRPr="00B03B15" w:rsidRDefault="00B03B15" w:rsidP="00B03B15">
      <w:pPr>
        <w:ind w:left="709"/>
        <w:jc w:val="both"/>
        <w:rPr>
          <w:rFonts w:ascii="Abadi" w:hAnsi="Abadi" w:cs="Arial"/>
          <w:i/>
          <w:iCs/>
          <w:sz w:val="21"/>
          <w:szCs w:val="21"/>
          <w:lang w:val="es-MX" w:eastAsia="en-US"/>
        </w:rPr>
      </w:pPr>
    </w:p>
    <w:p w14:paraId="22218788" w14:textId="77777777" w:rsidR="00B03B15" w:rsidRPr="00B03B15" w:rsidRDefault="00B03B15" w:rsidP="00B03B15">
      <w:pPr>
        <w:autoSpaceDE w:val="0"/>
        <w:autoSpaceDN w:val="0"/>
        <w:adjustRightInd w:val="0"/>
        <w:ind w:right="615"/>
        <w:jc w:val="both"/>
        <w:rPr>
          <w:rFonts w:ascii="Abadi" w:eastAsia="Batang" w:hAnsi="Abadi" w:cs="Arial"/>
          <w:i/>
          <w:sz w:val="21"/>
          <w:szCs w:val="21"/>
          <w:lang w:val="es-MX" w:eastAsia="en-US"/>
        </w:rPr>
      </w:pPr>
      <w:r w:rsidRPr="00B03B15">
        <w:rPr>
          <w:rFonts w:ascii="Abadi" w:hAnsi="Abadi"/>
          <w:b/>
          <w:sz w:val="21"/>
          <w:szCs w:val="21"/>
          <w:lang w:val="es-MX" w:eastAsia="en-US"/>
        </w:rPr>
        <w:t>III.</w:t>
      </w:r>
      <w:r w:rsidRPr="00B03B15">
        <w:rPr>
          <w:rFonts w:ascii="Abadi" w:hAnsi="Abadi"/>
          <w:b/>
          <w:sz w:val="21"/>
          <w:szCs w:val="21"/>
          <w:lang w:val="es-MX" w:eastAsia="en-US"/>
        </w:rPr>
        <w:tab/>
        <w:t>Consideraciones de la Comisión Dictaminadora</w:t>
      </w:r>
    </w:p>
    <w:p w14:paraId="7B592FD7" w14:textId="77777777" w:rsidR="00B03B15" w:rsidRPr="00B03B15" w:rsidRDefault="00B03B15" w:rsidP="00B03B15">
      <w:pPr>
        <w:ind w:firstLine="708"/>
        <w:jc w:val="both"/>
        <w:rPr>
          <w:rFonts w:ascii="Abadi" w:hAnsi="Abadi" w:cs="Arial"/>
          <w:sz w:val="21"/>
          <w:szCs w:val="21"/>
          <w:lang w:val="es-MX" w:eastAsia="en-US"/>
        </w:rPr>
      </w:pPr>
    </w:p>
    <w:p w14:paraId="278D373B" w14:textId="77777777" w:rsidR="00B03B15" w:rsidRPr="00B03B15" w:rsidRDefault="00B03B15" w:rsidP="00B03B15">
      <w:pPr>
        <w:autoSpaceDE w:val="0"/>
        <w:autoSpaceDN w:val="0"/>
        <w:adjustRightInd w:val="0"/>
        <w:ind w:right="-93" w:firstLine="708"/>
        <w:jc w:val="both"/>
        <w:rPr>
          <w:rFonts w:ascii="Abadi" w:eastAsia="Batang" w:hAnsi="Abadi" w:cs="Arial"/>
          <w:sz w:val="21"/>
          <w:szCs w:val="21"/>
          <w:lang w:val="es-MX" w:eastAsia="en-US"/>
        </w:rPr>
      </w:pPr>
      <w:r w:rsidRPr="00B03B15">
        <w:rPr>
          <w:rFonts w:ascii="Abadi" w:eastAsia="Batang" w:hAnsi="Abadi" w:cs="Arial"/>
          <w:sz w:val="21"/>
          <w:szCs w:val="21"/>
          <w:lang w:val="es-MX" w:eastAsia="en-US"/>
        </w:rPr>
        <w:t>Como podemos observar del contenido de las iniciativas materia del presente dictamen, la primera tiene por objeto incorporar en la ley georreferenciación como una herramienta que será de gran utilidad para fortalecer la transparencia en los padrones de proveedores de los sujetos de la ley, dando certeza a la ubicación de los proveedores; y en el caso de la segunda, su objetivo es la adecuación del esquema sancionatorio, a fin de armonizarlo a la legislación federal; regular de forma detallada las notificaciones electrónicas dentro de los diferentes procesos de contrataciones; y adecuar  diversas disposiciones a fin de cohesionar las hipótesis relativas a la enajenación de bienes muebles para maximizar su aprovechamiento.</w:t>
      </w:r>
    </w:p>
    <w:p w14:paraId="6F8C8A1A" w14:textId="77777777" w:rsidR="00B03B15" w:rsidRPr="00B03B15" w:rsidRDefault="00B03B15" w:rsidP="00B03B15">
      <w:pPr>
        <w:autoSpaceDE w:val="0"/>
        <w:autoSpaceDN w:val="0"/>
        <w:adjustRightInd w:val="0"/>
        <w:ind w:right="-93" w:firstLine="708"/>
        <w:jc w:val="both"/>
        <w:rPr>
          <w:rFonts w:ascii="Abadi" w:eastAsia="Batang" w:hAnsi="Abadi" w:cs="Arial"/>
          <w:sz w:val="21"/>
          <w:szCs w:val="21"/>
          <w:lang w:val="es-MX" w:eastAsia="en-US"/>
        </w:rPr>
      </w:pPr>
    </w:p>
    <w:p w14:paraId="7D9B0612" w14:textId="77777777" w:rsidR="00B03B15" w:rsidRPr="00B03B15" w:rsidRDefault="00B03B15" w:rsidP="00B03B15">
      <w:pPr>
        <w:ind w:firstLine="708"/>
        <w:jc w:val="both"/>
        <w:rPr>
          <w:rFonts w:ascii="Abadi" w:eastAsia="Batang" w:hAnsi="Abadi" w:cs="Arial"/>
          <w:sz w:val="21"/>
          <w:szCs w:val="21"/>
          <w:lang w:val="es-MX" w:eastAsia="en-US"/>
        </w:rPr>
      </w:pPr>
      <w:r w:rsidRPr="00B03B15">
        <w:rPr>
          <w:rFonts w:ascii="Abadi" w:eastAsia="Batang" w:hAnsi="Abadi" w:cs="Arial"/>
          <w:sz w:val="21"/>
          <w:szCs w:val="21"/>
          <w:lang w:val="es-MX" w:eastAsia="en-US"/>
        </w:rPr>
        <w:t xml:space="preserve">Al respecto, coincidimos con las y los iniciantes en la necesidad de actualizar el marco normativo que regula el régimen contractual del Estado, con la finalidad de incrementar la efectividad de los procedimientos relacionados con este y permitir el aprovechamiento de los avances tecnológicos, propiciando condiciones que garanticen la observancia a los principios previstos en el párrafo primero del artículo 134 de la Constitución Política de los Estados Unidos Mexicanos y doten de mayor certeza a los particulares. </w:t>
      </w:r>
    </w:p>
    <w:p w14:paraId="504C2C52" w14:textId="77777777" w:rsidR="00B03B15" w:rsidRPr="00B03B15" w:rsidRDefault="00B03B15" w:rsidP="00D244A3">
      <w:pPr>
        <w:jc w:val="both"/>
        <w:rPr>
          <w:rFonts w:ascii="Abadi" w:eastAsia="Batang" w:hAnsi="Abadi" w:cs="Arial"/>
          <w:sz w:val="21"/>
          <w:szCs w:val="21"/>
          <w:lang w:val="es-MX" w:eastAsia="en-US"/>
        </w:rPr>
      </w:pPr>
    </w:p>
    <w:p w14:paraId="154D313D" w14:textId="77777777" w:rsidR="00B03B15" w:rsidRPr="00B03B15" w:rsidRDefault="00B03B15" w:rsidP="00B03B15">
      <w:pPr>
        <w:ind w:firstLine="708"/>
        <w:jc w:val="both"/>
        <w:rPr>
          <w:rFonts w:ascii="Abadi" w:eastAsia="Batang" w:hAnsi="Abadi" w:cs="Arial"/>
          <w:sz w:val="21"/>
          <w:szCs w:val="21"/>
          <w:lang w:val="es-MX" w:eastAsia="en-US"/>
        </w:rPr>
      </w:pPr>
      <w:r w:rsidRPr="00B03B15">
        <w:rPr>
          <w:rFonts w:ascii="Abadi" w:eastAsia="Batang" w:hAnsi="Abadi" w:cs="Arial"/>
          <w:sz w:val="21"/>
          <w:szCs w:val="21"/>
          <w:lang w:val="es-MX" w:eastAsia="en-US"/>
        </w:rPr>
        <w:t xml:space="preserve">En este orden de ideas, el artículo 134 de nuestra Carta Magna prevé que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 </w:t>
      </w:r>
    </w:p>
    <w:p w14:paraId="4D66B6C5" w14:textId="77777777" w:rsidR="00B03B15" w:rsidRPr="00B03B15" w:rsidRDefault="00B03B15" w:rsidP="00B03B15">
      <w:pPr>
        <w:ind w:firstLine="708"/>
        <w:jc w:val="both"/>
        <w:rPr>
          <w:rFonts w:ascii="Abadi" w:eastAsia="Batang" w:hAnsi="Abadi" w:cs="Arial"/>
          <w:sz w:val="21"/>
          <w:szCs w:val="21"/>
          <w:lang w:val="es-MX" w:eastAsia="en-US"/>
        </w:rPr>
      </w:pPr>
    </w:p>
    <w:p w14:paraId="787E7396" w14:textId="77777777" w:rsidR="00B03B15" w:rsidRPr="00B03B15" w:rsidRDefault="00B03B15" w:rsidP="00B03B15">
      <w:pPr>
        <w:ind w:firstLine="708"/>
        <w:jc w:val="both"/>
        <w:rPr>
          <w:rFonts w:ascii="Abadi" w:eastAsia="Batang" w:hAnsi="Abadi" w:cs="Arial"/>
          <w:sz w:val="21"/>
          <w:szCs w:val="21"/>
          <w:lang w:val="es-MX" w:eastAsia="en-US"/>
        </w:rPr>
      </w:pPr>
      <w:r w:rsidRPr="00B03B15">
        <w:rPr>
          <w:rFonts w:ascii="Abadi" w:eastAsia="Batang" w:hAnsi="Abadi" w:cs="Arial"/>
          <w:sz w:val="21"/>
          <w:szCs w:val="21"/>
          <w:lang w:val="es-MX" w:eastAsia="en-US"/>
        </w:rPr>
        <w:t>En la tesis 1a. CXLV/2009</w:t>
      </w:r>
      <w:r w:rsidRPr="00B03B15">
        <w:rPr>
          <w:rFonts w:ascii="Abadi" w:eastAsia="Batang" w:hAnsi="Abadi" w:cs="Arial"/>
          <w:sz w:val="21"/>
          <w:szCs w:val="21"/>
          <w:vertAlign w:val="superscript"/>
          <w:lang w:val="es-MX" w:eastAsia="en-US"/>
        </w:rPr>
        <w:footnoteReference w:id="168"/>
      </w:r>
      <w:r w:rsidRPr="00B03B15">
        <w:rPr>
          <w:rFonts w:ascii="Abadi" w:eastAsia="Batang" w:hAnsi="Abadi" w:cs="Arial"/>
          <w:sz w:val="21"/>
          <w:szCs w:val="21"/>
          <w:lang w:val="es-MX" w:eastAsia="en-US"/>
        </w:rPr>
        <w:t xml:space="preserve">, la Primera Sala de la Suprema Corte de Justicia de la Nación estableció el alcance de los referidos principios.  </w:t>
      </w:r>
    </w:p>
    <w:p w14:paraId="26254166" w14:textId="77777777" w:rsidR="00B03B15" w:rsidRPr="00B03B15" w:rsidRDefault="00B03B15" w:rsidP="00B03B15">
      <w:pPr>
        <w:ind w:firstLine="708"/>
        <w:jc w:val="both"/>
        <w:rPr>
          <w:rFonts w:ascii="Abadi" w:eastAsia="Batang" w:hAnsi="Abadi" w:cs="Arial"/>
          <w:sz w:val="21"/>
          <w:szCs w:val="21"/>
          <w:lang w:val="es-MX" w:eastAsia="en-US"/>
        </w:rPr>
      </w:pPr>
    </w:p>
    <w:p w14:paraId="7E4A9BED" w14:textId="77777777" w:rsidR="00B03B15" w:rsidRPr="00B03B15" w:rsidRDefault="00B03B15" w:rsidP="00B03B15">
      <w:pPr>
        <w:ind w:firstLine="708"/>
        <w:jc w:val="both"/>
        <w:rPr>
          <w:rFonts w:ascii="Abadi" w:eastAsia="Batang" w:hAnsi="Abadi" w:cs="Arial"/>
          <w:sz w:val="21"/>
          <w:szCs w:val="21"/>
          <w:lang w:val="es-MX" w:eastAsia="en-US"/>
        </w:rPr>
      </w:pPr>
      <w:r w:rsidRPr="00B03B15">
        <w:rPr>
          <w:rFonts w:ascii="Abadi" w:eastAsia="Batang" w:hAnsi="Abadi" w:cs="Arial"/>
          <w:sz w:val="21"/>
          <w:szCs w:val="21"/>
          <w:lang w:val="es-MX" w:eastAsia="en-US"/>
        </w:rPr>
        <w:t>El de legalidad se traduce en que el gasto público debe estar prescrito en el Presupuesto de Egresos o en una ley, lo cual significa la sujeción de las autoridades a un modelo normativo previamente establecido. El de honradez implica que el gasto no debe llevarse a cabo de manera abusiva,</w:t>
      </w:r>
      <w:r w:rsidRPr="00B03B15">
        <w:rPr>
          <w:rFonts w:ascii="Abadi" w:hAnsi="Abadi"/>
          <w:sz w:val="21"/>
          <w:szCs w:val="21"/>
          <w:lang w:val="es-MX" w:eastAsia="en-US"/>
        </w:rPr>
        <w:t xml:space="preserve"> </w:t>
      </w:r>
      <w:r w:rsidRPr="00B03B15">
        <w:rPr>
          <w:rFonts w:ascii="Abadi" w:eastAsia="Batang" w:hAnsi="Abadi" w:cs="Arial"/>
          <w:sz w:val="21"/>
          <w:szCs w:val="21"/>
          <w:lang w:val="es-MX" w:eastAsia="en-US"/>
        </w:rPr>
        <w:t xml:space="preserve">ni para un destino diverso al programado. El de eficiencia significa que las autoridades deben disponer de los medios que estimen convenientes para que el ejercicio del gasto público logre el fin para el cual se programó y destinó.  </w:t>
      </w:r>
    </w:p>
    <w:p w14:paraId="0F4CC3F1" w14:textId="77777777" w:rsidR="00B03B15" w:rsidRPr="00B03B15" w:rsidRDefault="00B03B15" w:rsidP="00B03B15">
      <w:pPr>
        <w:ind w:firstLine="708"/>
        <w:jc w:val="both"/>
        <w:rPr>
          <w:rFonts w:ascii="Abadi" w:eastAsia="Batang" w:hAnsi="Abadi" w:cs="Arial"/>
          <w:sz w:val="21"/>
          <w:szCs w:val="21"/>
          <w:lang w:val="es-MX" w:eastAsia="en-US"/>
        </w:rPr>
      </w:pPr>
    </w:p>
    <w:p w14:paraId="0F05BD4F" w14:textId="77777777" w:rsidR="00B03B15" w:rsidRPr="00B03B15" w:rsidRDefault="00B03B15" w:rsidP="00B03B15">
      <w:pPr>
        <w:ind w:firstLine="708"/>
        <w:jc w:val="both"/>
        <w:rPr>
          <w:rFonts w:ascii="Abadi" w:eastAsia="Batang" w:hAnsi="Abadi" w:cs="Arial"/>
          <w:sz w:val="21"/>
          <w:szCs w:val="21"/>
          <w:lang w:val="es-MX" w:eastAsia="en-US"/>
        </w:rPr>
      </w:pPr>
      <w:r w:rsidRPr="00B03B15">
        <w:rPr>
          <w:rFonts w:ascii="Abadi" w:eastAsia="Batang" w:hAnsi="Abadi" w:cs="Arial"/>
          <w:sz w:val="21"/>
          <w:szCs w:val="21"/>
          <w:lang w:val="es-MX" w:eastAsia="en-US"/>
        </w:rPr>
        <w:t xml:space="preserve">Además, conforme al principio de eficacia es indispensable contar con la capacidad suficiente para lograr las metas estimadas. El principio de economía se traduce en que el gasto público debe ejercerse recta y prudentemente, buscando las mejores condiciones de contratación para el Estado. Finalmente, el principio de transparencia tiene por objeto permitir que el ejercicio del gasto sea del conocimiento público. </w:t>
      </w:r>
    </w:p>
    <w:p w14:paraId="6A3C417C" w14:textId="77777777" w:rsidR="00B03B15" w:rsidRPr="00B03B15" w:rsidRDefault="00B03B15" w:rsidP="00B03B15">
      <w:pPr>
        <w:ind w:firstLine="708"/>
        <w:jc w:val="both"/>
        <w:rPr>
          <w:rFonts w:ascii="Abadi" w:eastAsia="Batang" w:hAnsi="Abadi" w:cs="Arial"/>
          <w:sz w:val="21"/>
          <w:szCs w:val="21"/>
          <w:lang w:val="es-MX" w:eastAsia="en-US"/>
        </w:rPr>
      </w:pPr>
    </w:p>
    <w:p w14:paraId="24A91E52" w14:textId="77777777" w:rsidR="00B03B15" w:rsidRPr="00B03B15" w:rsidRDefault="00B03B15" w:rsidP="00B03B15">
      <w:pPr>
        <w:ind w:firstLine="708"/>
        <w:jc w:val="both"/>
        <w:rPr>
          <w:rFonts w:ascii="Abadi" w:eastAsia="Batang" w:hAnsi="Abadi" w:cs="Arial"/>
          <w:sz w:val="21"/>
          <w:szCs w:val="21"/>
          <w:lang w:val="es-MX" w:eastAsia="en-US"/>
        </w:rPr>
      </w:pPr>
      <w:r w:rsidRPr="00B03B15">
        <w:rPr>
          <w:rFonts w:ascii="Abadi" w:eastAsia="Batang" w:hAnsi="Abadi" w:cs="Arial"/>
          <w:sz w:val="21"/>
          <w:szCs w:val="21"/>
          <w:lang w:val="es-MX" w:eastAsia="en-US"/>
        </w:rPr>
        <w:t>En la tesis 1a. CCXXXVIII/2015 (10a.)</w:t>
      </w:r>
      <w:r w:rsidRPr="00B03B15">
        <w:rPr>
          <w:rFonts w:ascii="Abadi" w:eastAsia="Batang" w:hAnsi="Abadi" w:cs="Arial"/>
          <w:sz w:val="21"/>
          <w:szCs w:val="21"/>
          <w:vertAlign w:val="superscript"/>
          <w:lang w:val="es-MX" w:eastAsia="en-US"/>
        </w:rPr>
        <w:footnoteReference w:id="169"/>
      </w:r>
      <w:r w:rsidRPr="00B03B15">
        <w:rPr>
          <w:rFonts w:ascii="Abadi" w:eastAsia="Batang" w:hAnsi="Abadi" w:cs="Arial"/>
          <w:sz w:val="21"/>
          <w:szCs w:val="21"/>
          <w:lang w:val="es-MX" w:eastAsia="en-US"/>
        </w:rPr>
        <w:t xml:space="preserve">, la referida Sala señaló que el citado artículo 134 constitucional tiene un contenido normativo complejo, al contener distintas reglas y principios en materia de ejercicio de recursos por parte del Estado que tienen aplicación en todos los niveles de gobierno. Además, confiere una facultad reglamentaria en favor del legislador secundario para reglamentar todo el régimen contractual del Estado, regulando los procedimientos, bases, reglas, requisitos y demás elementos para lograr la realización de los principios que lo informan.  </w:t>
      </w:r>
    </w:p>
    <w:p w14:paraId="268E4CCC" w14:textId="77777777" w:rsidR="00B03B15" w:rsidRPr="00B03B15" w:rsidRDefault="00B03B15" w:rsidP="00D244A3">
      <w:pPr>
        <w:jc w:val="both"/>
        <w:rPr>
          <w:rFonts w:ascii="Abadi" w:eastAsia="Batang" w:hAnsi="Abadi" w:cs="Arial"/>
          <w:sz w:val="21"/>
          <w:szCs w:val="21"/>
          <w:lang w:val="es-MX" w:eastAsia="en-US"/>
        </w:rPr>
      </w:pPr>
    </w:p>
    <w:p w14:paraId="3C24F524" w14:textId="77777777" w:rsidR="00B03B15" w:rsidRPr="00B03B15" w:rsidRDefault="00B03B15" w:rsidP="00B03B15">
      <w:pPr>
        <w:ind w:firstLine="708"/>
        <w:jc w:val="both"/>
        <w:rPr>
          <w:rFonts w:ascii="Abadi" w:eastAsia="Batang" w:hAnsi="Abadi" w:cs="Arial"/>
          <w:sz w:val="21"/>
          <w:szCs w:val="21"/>
          <w:lang w:val="es-MX" w:eastAsia="en-US"/>
        </w:rPr>
      </w:pPr>
      <w:r w:rsidRPr="00B03B15">
        <w:rPr>
          <w:rFonts w:ascii="Abadi" w:eastAsia="Batang" w:hAnsi="Abadi" w:cs="Arial"/>
          <w:sz w:val="21"/>
          <w:szCs w:val="21"/>
          <w:lang w:val="es-MX" w:eastAsia="en-US"/>
        </w:rPr>
        <w:t>En la tesis 1a. CCXXXIX/2015 (10a.)</w:t>
      </w:r>
      <w:r w:rsidRPr="00B03B15">
        <w:rPr>
          <w:rFonts w:ascii="Abadi" w:eastAsia="Batang" w:hAnsi="Abadi" w:cs="Arial"/>
          <w:sz w:val="21"/>
          <w:szCs w:val="21"/>
          <w:vertAlign w:val="superscript"/>
          <w:lang w:val="es-MX" w:eastAsia="en-US"/>
        </w:rPr>
        <w:footnoteReference w:id="170"/>
      </w:r>
      <w:r w:rsidRPr="00B03B15">
        <w:rPr>
          <w:rFonts w:ascii="Abadi" w:eastAsia="Batang" w:hAnsi="Abadi" w:cs="Arial"/>
          <w:sz w:val="21"/>
          <w:szCs w:val="21"/>
          <w:lang w:val="es-MX" w:eastAsia="en-US"/>
        </w:rPr>
        <w:t xml:space="preserve">, el órgano judicial señaló que el citado artículo 134 establece los contenidos materiales rectores del régimen contractual del Estado y una cláusula competencial en la forma de un mandato al legislador para reglamentar los procesos tanto de contratación del Estado, como aquellos destinados a controlar su debido cumplimiento. Lo anterior, implica que resulte aplicable el principio de reserva de ley, según el cual dicha materia debe reglamentarse en la ley y no en otras fuentes de inferior rango. Además, todos estos niveles de gobierno, mediante sus órganos legislativos, deben reglamentar la norma constitucional.  </w:t>
      </w:r>
    </w:p>
    <w:p w14:paraId="70DD4768" w14:textId="77777777" w:rsidR="00B03B15" w:rsidRPr="00B03B15" w:rsidRDefault="00B03B15" w:rsidP="00B03B15">
      <w:pPr>
        <w:ind w:firstLine="708"/>
        <w:jc w:val="both"/>
        <w:rPr>
          <w:rFonts w:ascii="Abadi" w:eastAsia="Batang" w:hAnsi="Abadi" w:cs="Arial"/>
          <w:sz w:val="21"/>
          <w:szCs w:val="21"/>
          <w:lang w:val="es-MX" w:eastAsia="en-US"/>
        </w:rPr>
      </w:pPr>
    </w:p>
    <w:p w14:paraId="74095F1C" w14:textId="77777777" w:rsidR="00B03B15" w:rsidRPr="00B03B15" w:rsidRDefault="00B03B15" w:rsidP="00B03B15">
      <w:pPr>
        <w:ind w:firstLine="708"/>
        <w:jc w:val="both"/>
        <w:rPr>
          <w:rFonts w:ascii="Abadi" w:eastAsia="Batang" w:hAnsi="Abadi" w:cs="Arial"/>
          <w:sz w:val="21"/>
          <w:szCs w:val="21"/>
          <w:lang w:val="es-MX" w:eastAsia="en-US"/>
        </w:rPr>
      </w:pPr>
      <w:r w:rsidRPr="00B03B15">
        <w:rPr>
          <w:rFonts w:ascii="Abadi" w:eastAsia="Batang" w:hAnsi="Abadi" w:cs="Arial"/>
          <w:sz w:val="21"/>
          <w:szCs w:val="21"/>
          <w:lang w:val="es-MX" w:eastAsia="en-US"/>
        </w:rPr>
        <w:t>En la jurisprudencia P./J. 106/2010</w:t>
      </w:r>
      <w:r w:rsidRPr="00B03B15">
        <w:rPr>
          <w:rFonts w:ascii="Abadi" w:eastAsia="Batang" w:hAnsi="Abadi" w:cs="Arial"/>
          <w:sz w:val="21"/>
          <w:szCs w:val="21"/>
          <w:vertAlign w:val="superscript"/>
          <w:lang w:val="es-MX" w:eastAsia="en-US"/>
        </w:rPr>
        <w:footnoteReference w:id="171"/>
      </w:r>
      <w:r w:rsidRPr="00B03B15">
        <w:rPr>
          <w:rFonts w:ascii="Abadi" w:eastAsia="Batang" w:hAnsi="Abadi" w:cs="Arial"/>
          <w:sz w:val="21"/>
          <w:szCs w:val="21"/>
          <w:lang w:val="es-MX" w:eastAsia="en-US"/>
        </w:rPr>
        <w:t>, el Pleno de la Suprema Corte de Justicia de la Nación precisó que para cumplir lo dispuesto en el artículo 134 constitucional, es necesario que las leyes expedidas en torno al uso de recursos públicos recojan y desarrollen los principios y mandatos constitucionales, así como que permitan que puedan ser efectivamente realizados.</w:t>
      </w:r>
    </w:p>
    <w:p w14:paraId="2692989B" w14:textId="77777777" w:rsidR="00B03B15" w:rsidRPr="00B03B15" w:rsidRDefault="00B03B15" w:rsidP="00B03B15">
      <w:pPr>
        <w:ind w:firstLine="708"/>
        <w:jc w:val="both"/>
        <w:rPr>
          <w:rFonts w:ascii="Abadi" w:eastAsia="Batang" w:hAnsi="Abadi" w:cs="Arial"/>
          <w:sz w:val="21"/>
          <w:szCs w:val="21"/>
          <w:lang w:val="es-MX" w:eastAsia="en-US"/>
        </w:rPr>
      </w:pPr>
    </w:p>
    <w:p w14:paraId="60F52748" w14:textId="77777777" w:rsidR="00B03B15" w:rsidRPr="00B03B15" w:rsidRDefault="00B03B15" w:rsidP="00B03B15">
      <w:pPr>
        <w:spacing w:after="160"/>
        <w:ind w:firstLine="708"/>
        <w:jc w:val="both"/>
        <w:rPr>
          <w:rFonts w:ascii="Abadi" w:hAnsi="Abadi"/>
          <w:sz w:val="21"/>
          <w:szCs w:val="21"/>
          <w:lang w:val="es-MX" w:eastAsia="en-US"/>
        </w:rPr>
      </w:pPr>
      <w:r w:rsidRPr="00B03B15">
        <w:rPr>
          <w:rFonts w:ascii="Abadi" w:hAnsi="Abadi"/>
          <w:color w:val="000000"/>
          <w:sz w:val="21"/>
          <w:szCs w:val="21"/>
          <w:lang w:val="es-MX" w:eastAsia="en-US"/>
        </w:rPr>
        <w:t xml:space="preserve">A través de la reforma que se propone se dotará de una herramienta tecnológica que dará certeza de la ubicación de los proveedores, lo que permitirá contar con un padrón actualizado y vinculado con los domicilios, evitando el riesgo de tener en la base de datos, ubicaciones inexistentes o desactualizadas, aunado a que la verificación que se realice de forma </w:t>
      </w:r>
      <w:r w:rsidRPr="00B03B15">
        <w:rPr>
          <w:rFonts w:ascii="Abadi" w:hAnsi="Abadi"/>
          <w:sz w:val="21"/>
          <w:szCs w:val="21"/>
          <w:lang w:val="es-MX" w:eastAsia="en-US"/>
        </w:rPr>
        <w:t>personal en los domicilios de los proveedores locales y foráneos, permitirá validar su existencia accediendo a su ubicación sin inconveniente, implicando menos traslados para atender estas diligencias.</w:t>
      </w:r>
    </w:p>
    <w:p w14:paraId="37F0DF1B" w14:textId="77777777" w:rsidR="00B03B15" w:rsidRPr="00B03B15" w:rsidRDefault="00B03B15" w:rsidP="00B03B15">
      <w:pPr>
        <w:ind w:firstLine="708"/>
        <w:jc w:val="both"/>
        <w:rPr>
          <w:rFonts w:ascii="Abadi" w:hAnsi="Abadi"/>
          <w:sz w:val="21"/>
          <w:szCs w:val="21"/>
          <w:lang w:val="es-MX" w:eastAsia="en-US"/>
        </w:rPr>
      </w:pPr>
      <w:r w:rsidRPr="00B03B15">
        <w:rPr>
          <w:rFonts w:ascii="Abadi" w:hAnsi="Abadi"/>
          <w:sz w:val="21"/>
          <w:szCs w:val="21"/>
          <w:lang w:val="es-MX" w:eastAsia="en-US"/>
        </w:rPr>
        <w:t>Asimismo, en materia fiscal es un dato que solicita la autoridad, estableciéndolo como la ubicación geográfica del domicilio fiscal; esto a nivel federal, se encuentra normado en el Código Fiscal de la Federación</w:t>
      </w:r>
      <w:r w:rsidRPr="00B03B15">
        <w:rPr>
          <w:rFonts w:ascii="Abadi" w:hAnsi="Abadi"/>
          <w:sz w:val="21"/>
          <w:szCs w:val="21"/>
          <w:vertAlign w:val="superscript"/>
          <w:lang w:val="es-MX" w:eastAsia="en-US"/>
        </w:rPr>
        <w:footnoteReference w:id="172"/>
      </w:r>
      <w:r w:rsidRPr="00B03B15">
        <w:rPr>
          <w:rFonts w:ascii="Abadi" w:hAnsi="Abadi"/>
          <w:sz w:val="21"/>
          <w:szCs w:val="21"/>
          <w:lang w:val="es-MX" w:eastAsia="en-US"/>
        </w:rPr>
        <w:t xml:space="preserve"> </w:t>
      </w:r>
      <w:r w:rsidRPr="00B03B15">
        <w:rPr>
          <w:rFonts w:ascii="Abadi" w:hAnsi="Abadi"/>
          <w:color w:val="000000"/>
          <w:sz w:val="21"/>
          <w:szCs w:val="21"/>
          <w:lang w:val="es-MX" w:eastAsia="en-US"/>
        </w:rPr>
        <w:t>en su artículo 27, Letra C, fracción I, último párrafo, al indicar que</w:t>
      </w:r>
      <w:r w:rsidRPr="00B03B15">
        <w:rPr>
          <w:rFonts w:ascii="Abadi" w:hAnsi="Abadi"/>
          <w:sz w:val="21"/>
          <w:szCs w:val="21"/>
          <w:lang w:val="es-MX" w:eastAsia="en-US"/>
        </w:rPr>
        <w:t xml:space="preserve"> </w:t>
      </w:r>
      <w:r w:rsidRPr="00B03B15">
        <w:rPr>
          <w:rFonts w:ascii="Abadi" w:hAnsi="Abadi"/>
          <w:i/>
          <w:iCs/>
          <w:sz w:val="21"/>
          <w:szCs w:val="21"/>
          <w:lang w:val="es-MX" w:eastAsia="en-US"/>
        </w:rPr>
        <w:t>«En la verificación de la existencia y localización del domicilio fiscal, las autoridades fiscales podrán utilizar servicios, medios tecnológicos o cualquier otra herramienta tecnológica que proporcionen georreferenciación, vistas panorámicas o satelitales, cuya información también podrá ser utilizada para la elaboración y diseño de un marco geográfico fiscal, así como para la actualización de la información en el Registro Federal de Contribuyentes referente al domicilio fiscal de los contribuyentes.»</w:t>
      </w:r>
      <w:r w:rsidRPr="00B03B15">
        <w:rPr>
          <w:rFonts w:ascii="Abadi" w:hAnsi="Abadi"/>
          <w:sz w:val="21"/>
          <w:szCs w:val="21"/>
          <w:lang w:val="es-MX" w:eastAsia="en-US"/>
        </w:rPr>
        <w:t xml:space="preserve">, </w:t>
      </w:r>
      <w:r w:rsidRPr="00B03B15">
        <w:rPr>
          <w:rFonts w:ascii="Abadi" w:hAnsi="Abadi"/>
          <w:color w:val="000000"/>
          <w:sz w:val="21"/>
          <w:szCs w:val="21"/>
          <w:lang w:val="es-MX" w:eastAsia="en-US"/>
        </w:rPr>
        <w:t>esta adición se dio en el mes de noviembre del año 2021 y fue armonizada en el Código Fiscal para el Estado de Guanajuato</w:t>
      </w:r>
      <w:r w:rsidRPr="00B03B15">
        <w:rPr>
          <w:rFonts w:ascii="Abadi" w:hAnsi="Abadi"/>
          <w:sz w:val="21"/>
          <w:szCs w:val="21"/>
          <w:vertAlign w:val="superscript"/>
          <w:lang w:val="es-MX" w:eastAsia="en-US"/>
        </w:rPr>
        <w:footnoteReference w:id="173"/>
      </w:r>
      <w:r w:rsidRPr="00B03B15">
        <w:rPr>
          <w:rFonts w:ascii="Abadi" w:hAnsi="Abadi"/>
          <w:sz w:val="21"/>
          <w:szCs w:val="21"/>
          <w:lang w:val="es-MX" w:eastAsia="en-US"/>
        </w:rPr>
        <w:t xml:space="preserve"> </w:t>
      </w:r>
      <w:r w:rsidRPr="00B03B15">
        <w:rPr>
          <w:rFonts w:ascii="Abadi" w:hAnsi="Abadi"/>
          <w:color w:val="000000"/>
          <w:sz w:val="21"/>
          <w:szCs w:val="21"/>
          <w:lang w:val="es-MX" w:eastAsia="en-US"/>
        </w:rPr>
        <w:t xml:space="preserve">en su artículo 50, fracción XIX párrafo noveno, inciso a, numeral 2, segundo párrafo que señala </w:t>
      </w:r>
      <w:r w:rsidRPr="00B03B15">
        <w:rPr>
          <w:rFonts w:ascii="Abadi" w:hAnsi="Abadi"/>
          <w:i/>
          <w:iCs/>
          <w:sz w:val="21"/>
          <w:szCs w:val="21"/>
          <w:lang w:val="es-MX" w:eastAsia="en-US"/>
        </w:rPr>
        <w:t>«En la verificación de la existencia y localización del domicilio fiscal, las autoridades fiscales podrán utilizar servicios o medios tecnológicos que proporcionen georreferenciación, vistas panorámicas o satelitales, cuya información también podrá ser utilizada para la elaboración y diseño de un marco geográfico fiscal.»</w:t>
      </w:r>
      <w:r w:rsidRPr="00B03B15">
        <w:rPr>
          <w:rFonts w:ascii="Abadi" w:hAnsi="Abadi"/>
          <w:sz w:val="21"/>
          <w:szCs w:val="21"/>
          <w:lang w:val="es-MX" w:eastAsia="en-US"/>
        </w:rPr>
        <w:t xml:space="preserve">, </w:t>
      </w:r>
      <w:r w:rsidRPr="00B03B15">
        <w:rPr>
          <w:rFonts w:ascii="Abadi" w:hAnsi="Abadi"/>
          <w:color w:val="000000"/>
          <w:sz w:val="21"/>
          <w:szCs w:val="21"/>
          <w:lang w:val="es-MX" w:eastAsia="en-US"/>
        </w:rPr>
        <w:t>la anterior reforma obedeció a la necesidad de actualizar datos físicos mediante el aprovechamiento de las distintas herramientas tecnológicas, para facilitar la ubicación real de los contribuyentes y actualizar los supuestos para implementar acciones en caso de que en una verificación física, la ubicación demuestre ser falsa, lo que daría origen a una responsabilidad para el sujeto obligado, ya que este ejercicio otorga un previo consentimiento de ser ese el lugar del principal asiento de sus negocios, por al considerar dicha herramienta en la Ley de Contrataciones Públicas para el Estado de Guanajuato dará certeza de los domicilios de los proveedores</w:t>
      </w:r>
      <w:r w:rsidRPr="00B03B15">
        <w:rPr>
          <w:rFonts w:ascii="Abadi" w:hAnsi="Abadi"/>
          <w:sz w:val="21"/>
          <w:szCs w:val="21"/>
          <w:lang w:val="es-MX" w:eastAsia="en-US"/>
        </w:rPr>
        <w:t>.</w:t>
      </w:r>
    </w:p>
    <w:p w14:paraId="2EABE281" w14:textId="77777777" w:rsidR="00B03B15" w:rsidRPr="00B03B15" w:rsidRDefault="00B03B15" w:rsidP="00B03B15">
      <w:pPr>
        <w:ind w:firstLine="708"/>
        <w:jc w:val="both"/>
        <w:rPr>
          <w:rFonts w:ascii="Abadi" w:hAnsi="Abadi"/>
          <w:sz w:val="21"/>
          <w:szCs w:val="21"/>
          <w:lang w:val="es-MX" w:eastAsia="en-US"/>
        </w:rPr>
      </w:pPr>
    </w:p>
    <w:p w14:paraId="131D4496" w14:textId="77777777" w:rsidR="00B03B15" w:rsidRPr="00B03B15" w:rsidRDefault="00B03B15" w:rsidP="00B03B15">
      <w:pPr>
        <w:ind w:firstLine="708"/>
        <w:jc w:val="both"/>
        <w:rPr>
          <w:rFonts w:ascii="Abadi" w:hAnsi="Abadi" w:cs="Arial"/>
          <w:bCs/>
          <w:sz w:val="21"/>
          <w:szCs w:val="21"/>
          <w:lang w:val="es-MX" w:eastAsia="en-US"/>
        </w:rPr>
      </w:pPr>
      <w:r w:rsidRPr="00B03B15">
        <w:rPr>
          <w:rFonts w:ascii="Abadi" w:hAnsi="Abadi" w:cs="Arial"/>
          <w:bCs/>
          <w:sz w:val="21"/>
          <w:szCs w:val="21"/>
          <w:lang w:val="es-MX" w:eastAsia="en-US"/>
        </w:rPr>
        <w:t xml:space="preserve">En el caso de la segunda iniciativa en estudio, la misma tiene por objeto reformar diversas disposiciones de la Ley de Contrataciones Públicas para el Estado de Guanajuato, con el objeto de trasladar los supuestos en que procederá la cancelación del registro en el padrón de proveedores a las disposiciones que prevén las infracciones a dicho ordenamiento legal; establecer que una de las consecuencias de la rescisión contractual será la inhabilitación temporal y no la cancelación en el padrón; incorporar el uso de medios electrónicos para la práctica de notificaciones; y reformar disposiciones relativas a la enajenación de bienes muebles. </w:t>
      </w:r>
    </w:p>
    <w:p w14:paraId="64DCDA2C" w14:textId="77777777" w:rsidR="00B03B15" w:rsidRPr="00B03B15" w:rsidRDefault="00B03B15" w:rsidP="00B03B15">
      <w:pPr>
        <w:ind w:firstLine="708"/>
        <w:jc w:val="both"/>
        <w:rPr>
          <w:rFonts w:ascii="Abadi" w:hAnsi="Abadi" w:cs="Arial"/>
          <w:bCs/>
          <w:sz w:val="21"/>
          <w:szCs w:val="21"/>
          <w:lang w:val="es-MX" w:eastAsia="en-US"/>
        </w:rPr>
      </w:pPr>
    </w:p>
    <w:p w14:paraId="07AAC638" w14:textId="77777777" w:rsidR="00B03B15" w:rsidRPr="00B03B15" w:rsidRDefault="00B03B15" w:rsidP="00B03B15">
      <w:pPr>
        <w:ind w:firstLine="708"/>
        <w:jc w:val="both"/>
        <w:rPr>
          <w:rFonts w:ascii="Abadi" w:hAnsi="Abadi"/>
          <w:sz w:val="21"/>
          <w:szCs w:val="21"/>
          <w:lang w:val="es-MX" w:eastAsia="en-US"/>
        </w:rPr>
      </w:pPr>
      <w:r w:rsidRPr="00B03B15">
        <w:rPr>
          <w:rFonts w:ascii="Abadi" w:hAnsi="Abadi" w:cs="Arial"/>
          <w:bCs/>
          <w:sz w:val="21"/>
          <w:szCs w:val="21"/>
          <w:lang w:val="es-MX" w:eastAsia="en-US"/>
        </w:rPr>
        <w:t>Las reformas, adiciones y derogaciones propuestas no generan nuevos procesos o procedimientos que impliquen un impacto presupuestal para los sujetos de la ley, por el contrario, en el caso de la incorporación de la opción de la notificación electrónica permitirá ahorros dado que se obviará el procedimiento que actualmente se realiza de forma personal en los domicilios de los proveedores, implicando traslados y la disposición del personal para atender estas diligencias</w:t>
      </w:r>
      <w:r w:rsidRPr="00B03B15">
        <w:rPr>
          <w:rFonts w:ascii="Abadi" w:hAnsi="Abadi"/>
          <w:sz w:val="21"/>
          <w:szCs w:val="21"/>
          <w:lang w:val="es-MX" w:eastAsia="en-US"/>
        </w:rPr>
        <w:t>.</w:t>
      </w:r>
    </w:p>
    <w:p w14:paraId="6D18C66B" w14:textId="77777777" w:rsidR="00B03B15" w:rsidRPr="00B03B15" w:rsidRDefault="00B03B15" w:rsidP="00D244A3">
      <w:pPr>
        <w:jc w:val="both"/>
        <w:rPr>
          <w:rFonts w:ascii="Abadi" w:hAnsi="Abadi" w:cs="Arial"/>
          <w:bCs/>
          <w:sz w:val="21"/>
          <w:szCs w:val="21"/>
          <w:lang w:val="es-MX" w:eastAsia="en-US"/>
        </w:rPr>
      </w:pPr>
    </w:p>
    <w:p w14:paraId="6A80F054" w14:textId="77777777" w:rsidR="00B03B15" w:rsidRPr="00B03B15" w:rsidRDefault="00B03B15" w:rsidP="00B03B15">
      <w:pPr>
        <w:ind w:firstLine="708"/>
        <w:jc w:val="both"/>
        <w:rPr>
          <w:rFonts w:ascii="Abadi" w:hAnsi="Abadi" w:cs="Arial"/>
          <w:bCs/>
          <w:sz w:val="21"/>
          <w:szCs w:val="21"/>
          <w:lang w:val="es-MX" w:eastAsia="en-US"/>
        </w:rPr>
      </w:pPr>
      <w:r w:rsidRPr="00B03B15">
        <w:rPr>
          <w:rFonts w:ascii="Abadi" w:hAnsi="Abadi" w:cs="Arial"/>
          <w:bCs/>
          <w:sz w:val="21"/>
          <w:szCs w:val="21"/>
          <w:lang w:val="es-MX" w:eastAsia="en-US"/>
        </w:rPr>
        <w:t>Asimismo, el esquema sancionatorio que se propone permitirá contar con sanciones proporcionales a la conducta que las origina, lo que consideramos es un mecanismo equitativo y no excesivo en la imposición de sanciones a que obliga el artículo 22 de la Constitución Política de los Estados Unidos Mexicanos</w:t>
      </w:r>
      <w:r w:rsidRPr="00B03B15">
        <w:rPr>
          <w:rFonts w:ascii="Abadi" w:hAnsi="Abadi"/>
          <w:sz w:val="21"/>
          <w:szCs w:val="21"/>
          <w:vertAlign w:val="superscript"/>
          <w:lang w:val="es-MX" w:eastAsia="en-US"/>
        </w:rPr>
        <w:footnoteReference w:id="174"/>
      </w:r>
      <w:r w:rsidRPr="00B03B15">
        <w:rPr>
          <w:rFonts w:ascii="Abadi" w:hAnsi="Abadi"/>
          <w:sz w:val="21"/>
          <w:szCs w:val="21"/>
          <w:lang w:val="es-MX" w:eastAsia="en-US"/>
        </w:rPr>
        <w:t xml:space="preserve">, </w:t>
      </w:r>
      <w:r w:rsidRPr="00B03B15">
        <w:rPr>
          <w:rFonts w:ascii="Abadi" w:hAnsi="Abadi" w:cs="Arial"/>
          <w:bCs/>
          <w:sz w:val="21"/>
          <w:szCs w:val="21"/>
          <w:lang w:val="es-MX" w:eastAsia="en-US"/>
        </w:rPr>
        <w:t>principio que además de considerarse en el ámbito penal, aplica para faltas e ilícitos administrativos y fiscales.</w:t>
      </w:r>
    </w:p>
    <w:p w14:paraId="6F90B149" w14:textId="77777777" w:rsidR="00B03B15" w:rsidRPr="00B03B15" w:rsidRDefault="00B03B15" w:rsidP="00B03B15">
      <w:pPr>
        <w:jc w:val="both"/>
        <w:rPr>
          <w:rFonts w:ascii="Abadi" w:hAnsi="Abadi" w:cs="Arial"/>
          <w:bCs/>
          <w:sz w:val="21"/>
          <w:szCs w:val="21"/>
          <w:lang w:val="es-MX" w:eastAsia="en-US"/>
        </w:rPr>
      </w:pPr>
    </w:p>
    <w:p w14:paraId="1CEE3781" w14:textId="77777777" w:rsidR="00B03B15" w:rsidRPr="00B03B15" w:rsidRDefault="00B03B15" w:rsidP="00B03B15">
      <w:pPr>
        <w:ind w:firstLine="708"/>
        <w:jc w:val="both"/>
        <w:rPr>
          <w:rFonts w:ascii="Abadi" w:hAnsi="Abadi" w:cs="Arial"/>
          <w:bCs/>
          <w:sz w:val="21"/>
          <w:szCs w:val="21"/>
          <w:lang w:val="es-MX" w:eastAsia="en-US"/>
        </w:rPr>
      </w:pPr>
      <w:r w:rsidRPr="00B03B15">
        <w:rPr>
          <w:rFonts w:ascii="Abadi" w:hAnsi="Abadi" w:cs="Arial"/>
          <w:bCs/>
          <w:sz w:val="21"/>
          <w:szCs w:val="21"/>
          <w:lang w:val="es-MX" w:eastAsia="en-US"/>
        </w:rPr>
        <w:t>Es de precisar que la Ley de Adquisiciones, Arrendamientos y Servicios del Sector Público</w:t>
      </w:r>
      <w:r w:rsidRPr="00B03B15">
        <w:rPr>
          <w:rFonts w:ascii="Abadi" w:hAnsi="Abadi"/>
          <w:sz w:val="21"/>
          <w:szCs w:val="21"/>
          <w:vertAlign w:val="superscript"/>
          <w:lang w:val="es-MX" w:eastAsia="en-US"/>
        </w:rPr>
        <w:footnoteReference w:id="175"/>
      </w:r>
      <w:r w:rsidRPr="00B03B15">
        <w:rPr>
          <w:rFonts w:ascii="Abadi" w:hAnsi="Abadi"/>
          <w:i/>
          <w:iCs/>
          <w:sz w:val="21"/>
          <w:szCs w:val="21"/>
          <w:lang w:val="es-MX" w:eastAsia="en-US"/>
        </w:rPr>
        <w:t xml:space="preserve"> </w:t>
      </w:r>
      <w:r w:rsidRPr="00B03B15">
        <w:rPr>
          <w:rFonts w:ascii="Abadi" w:hAnsi="Abadi" w:cs="Arial"/>
          <w:bCs/>
          <w:sz w:val="21"/>
          <w:szCs w:val="21"/>
          <w:lang w:val="es-MX" w:eastAsia="en-US"/>
        </w:rPr>
        <w:t xml:space="preserve">reglamenta a nivel federal los alcances del artículo 134 de la Constitución Política de los Estados Unidos Mexicanos, respecto al tema de las adquisiciones, arrendamientos de bienes muebles y prestación de servicios de cualquier naturaleza, con la finalidad de buscar la transparencia de los procesos. En este sentido, en el apartado de sanciones, se busca armonizar la ley a dicho ordenamiento contemplando diversas disposiciones contenidas en el Título Quinto denominado </w:t>
      </w:r>
      <w:r w:rsidRPr="00B03B15">
        <w:rPr>
          <w:rFonts w:ascii="Abadi" w:hAnsi="Abadi" w:cs="Arial"/>
          <w:bCs/>
          <w:i/>
          <w:iCs/>
          <w:sz w:val="21"/>
          <w:szCs w:val="21"/>
          <w:lang w:val="es-MX" w:eastAsia="en-US"/>
        </w:rPr>
        <w:t>De las infracciones y Sanciones</w:t>
      </w:r>
      <w:r w:rsidRPr="00B03B15">
        <w:rPr>
          <w:rFonts w:ascii="Abadi" w:hAnsi="Abadi" w:cs="Arial"/>
          <w:bCs/>
          <w:sz w:val="21"/>
          <w:szCs w:val="21"/>
          <w:lang w:val="es-MX" w:eastAsia="en-US"/>
        </w:rPr>
        <w:t>, a fin de tener disposiciones homologadas. Asimismo, tendrá alcances a nivel municipal en lo no previsto en esta materia en la Ley Orgánica Municipal para el Estado de Guanajuato</w:t>
      </w:r>
      <w:r w:rsidRPr="00B03B15">
        <w:rPr>
          <w:rFonts w:ascii="Abadi" w:hAnsi="Abadi"/>
          <w:sz w:val="21"/>
          <w:szCs w:val="21"/>
          <w:vertAlign w:val="superscript"/>
          <w:lang w:val="es-MX" w:eastAsia="en-US"/>
        </w:rPr>
        <w:footnoteReference w:id="176"/>
      </w:r>
      <w:r w:rsidRPr="00B03B15">
        <w:rPr>
          <w:rFonts w:ascii="Abadi" w:hAnsi="Abadi"/>
          <w:sz w:val="21"/>
          <w:szCs w:val="21"/>
          <w:lang w:val="es-MX" w:eastAsia="en-US"/>
        </w:rPr>
        <w:t xml:space="preserve">, </w:t>
      </w:r>
      <w:r w:rsidRPr="00B03B15">
        <w:rPr>
          <w:rFonts w:ascii="Abadi" w:hAnsi="Abadi" w:cs="Arial"/>
          <w:bCs/>
          <w:sz w:val="21"/>
          <w:szCs w:val="21"/>
          <w:lang w:val="es-MX" w:eastAsia="en-US"/>
        </w:rPr>
        <w:t>caso en la que aplica de manera supletoria la Ley de Contrataciones Públicas para el Estado de Guanajuato.</w:t>
      </w:r>
    </w:p>
    <w:p w14:paraId="79D41E9C" w14:textId="77777777" w:rsidR="00B03B15" w:rsidRPr="00B03B15" w:rsidRDefault="00B03B15" w:rsidP="00B03B15">
      <w:pPr>
        <w:ind w:firstLine="708"/>
        <w:jc w:val="both"/>
        <w:rPr>
          <w:rFonts w:ascii="Abadi" w:hAnsi="Abadi" w:cs="Arial"/>
          <w:bCs/>
          <w:sz w:val="21"/>
          <w:szCs w:val="21"/>
          <w:lang w:val="es-MX" w:eastAsia="en-US"/>
        </w:rPr>
      </w:pPr>
    </w:p>
    <w:p w14:paraId="59A74334" w14:textId="77777777" w:rsidR="00B03B15" w:rsidRPr="00B03B15" w:rsidRDefault="00B03B15" w:rsidP="00B03B15">
      <w:pPr>
        <w:ind w:firstLine="708"/>
        <w:jc w:val="both"/>
        <w:rPr>
          <w:rFonts w:ascii="Abadi" w:hAnsi="Abadi" w:cs="Arial"/>
          <w:bCs/>
          <w:sz w:val="21"/>
          <w:szCs w:val="21"/>
          <w:lang w:val="es-MX" w:eastAsia="en-US"/>
        </w:rPr>
      </w:pPr>
      <w:r w:rsidRPr="00B03B15">
        <w:rPr>
          <w:rFonts w:ascii="Abadi" w:hAnsi="Abadi" w:cs="Arial"/>
          <w:bCs/>
          <w:sz w:val="21"/>
          <w:szCs w:val="21"/>
          <w:lang w:val="es-MX" w:eastAsia="en-US"/>
        </w:rPr>
        <w:t>Con relación a la regulación de los supuestos de enajenación y baja de muebles, se tiene por objetivo la transparencia de los procesos y dar certeza al precisar los supuestos para llevarlos a cabo, clarificando además el trámite para el patrimonio mobiliario inútil, incosteable u obsoleto y como consecuencia se transparentan las enajenaciones a título gratuito, como un acto que debe ser considerado como excepción a la subasta pública y no a la baja de los bienes.</w:t>
      </w:r>
    </w:p>
    <w:p w14:paraId="00C9F78A" w14:textId="77777777" w:rsidR="00B03B15" w:rsidRPr="00B03B15" w:rsidRDefault="00B03B15" w:rsidP="00B03B15">
      <w:pPr>
        <w:ind w:firstLine="708"/>
        <w:jc w:val="both"/>
        <w:rPr>
          <w:rFonts w:ascii="Abadi" w:hAnsi="Abadi" w:cs="Arial"/>
          <w:bCs/>
          <w:sz w:val="21"/>
          <w:szCs w:val="21"/>
          <w:lang w:val="es-MX" w:eastAsia="en-US"/>
        </w:rPr>
      </w:pPr>
    </w:p>
    <w:p w14:paraId="5F2A0DD9" w14:textId="77777777" w:rsidR="00B03B15" w:rsidRPr="00B03B15" w:rsidRDefault="00B03B15" w:rsidP="00B03B15">
      <w:pPr>
        <w:ind w:firstLine="708"/>
        <w:jc w:val="both"/>
        <w:rPr>
          <w:rFonts w:ascii="Abadi" w:hAnsi="Abadi" w:cs="Arial"/>
          <w:bCs/>
          <w:sz w:val="21"/>
          <w:szCs w:val="21"/>
          <w:lang w:val="es-MX" w:eastAsia="en-US"/>
        </w:rPr>
      </w:pPr>
      <w:r w:rsidRPr="00B03B15">
        <w:rPr>
          <w:rFonts w:ascii="Abadi" w:hAnsi="Abadi"/>
          <w:sz w:val="21"/>
          <w:szCs w:val="21"/>
          <w:lang w:val="es-MX" w:eastAsia="en-US"/>
        </w:rPr>
        <w:t xml:space="preserve">Asimismo, de la evaluación del impacto presupuestario realizado por la Unidad de Estudios de las Finanzas Públicas a las iniciativas materia del presente dictamen se desprende que el alcance de las reformas está perfilado al fortalecimiento de los procesos </w:t>
      </w:r>
      <w:r w:rsidRPr="00B03B15">
        <w:rPr>
          <w:rFonts w:ascii="Abadi" w:hAnsi="Abadi"/>
          <w:i/>
          <w:iCs/>
          <w:sz w:val="21"/>
          <w:szCs w:val="21"/>
          <w:lang w:val="es-MX" w:eastAsia="en-US"/>
        </w:rPr>
        <w:t>«en materia de adquisiciones, enajenaciones y arrendamientos de bienes muebles e inmuebles y de prestación de servicios.»</w:t>
      </w:r>
      <w:r w:rsidRPr="00B03B15">
        <w:rPr>
          <w:rFonts w:ascii="Abadi" w:hAnsi="Abadi"/>
          <w:i/>
          <w:iCs/>
          <w:sz w:val="21"/>
          <w:szCs w:val="21"/>
          <w:lang w:val="es-MX" w:eastAsia="es-MX"/>
        </w:rPr>
        <w:t xml:space="preserve">, </w:t>
      </w:r>
      <w:r w:rsidRPr="00B03B15">
        <w:rPr>
          <w:rFonts w:ascii="Abadi" w:hAnsi="Abadi"/>
          <w:sz w:val="21"/>
          <w:szCs w:val="21"/>
          <w:lang w:val="es-MX" w:eastAsia="es-MX"/>
        </w:rPr>
        <w:t xml:space="preserve">advirtiéndose que </w:t>
      </w:r>
      <w:r w:rsidRPr="00B03B15">
        <w:rPr>
          <w:rFonts w:ascii="Abadi" w:hAnsi="Abadi"/>
          <w:sz w:val="21"/>
          <w:szCs w:val="21"/>
          <w:lang w:val="es-MX" w:eastAsia="en-US"/>
        </w:rPr>
        <w:t>no genera una afectación presupuestal, pues al contrario, disminuirá gastos vinculados a los actuales procedimientos de verificación de domicilios y mitigar la existencia de proveedores con datos incorrectos o falsos. de la opción de la notificación electrónica, disminuyendo además los gastos vinculados a los actuales procedimientos de notificación.</w:t>
      </w:r>
    </w:p>
    <w:p w14:paraId="6B6217D2" w14:textId="77777777" w:rsidR="00B03B15" w:rsidRPr="00B03B15" w:rsidRDefault="00B03B15" w:rsidP="00B03B15">
      <w:pPr>
        <w:jc w:val="both"/>
        <w:rPr>
          <w:rFonts w:ascii="Abadi" w:hAnsi="Abadi" w:cs="Arial"/>
          <w:bCs/>
          <w:sz w:val="21"/>
          <w:szCs w:val="21"/>
          <w:lang w:val="es-MX" w:eastAsia="en-US"/>
        </w:rPr>
      </w:pPr>
    </w:p>
    <w:p w14:paraId="2D38BE5D" w14:textId="77777777" w:rsidR="00B03B15" w:rsidRPr="00B03B15" w:rsidRDefault="00B03B15" w:rsidP="00B03B15">
      <w:pPr>
        <w:jc w:val="both"/>
        <w:rPr>
          <w:rFonts w:ascii="Abadi" w:hAnsi="Abadi"/>
          <w:b/>
          <w:sz w:val="21"/>
          <w:szCs w:val="21"/>
          <w:lang w:val="es-MX" w:eastAsia="en-US"/>
        </w:rPr>
      </w:pPr>
      <w:r w:rsidRPr="00B03B15">
        <w:rPr>
          <w:rFonts w:ascii="Abadi" w:hAnsi="Abadi"/>
          <w:b/>
          <w:sz w:val="21"/>
          <w:szCs w:val="21"/>
          <w:lang w:val="es-MX" w:eastAsia="en-US"/>
        </w:rPr>
        <w:tab/>
        <w:t>IV.</w:t>
      </w:r>
      <w:r w:rsidRPr="00B03B15">
        <w:rPr>
          <w:rFonts w:ascii="Abadi" w:hAnsi="Abadi"/>
          <w:bCs/>
          <w:sz w:val="21"/>
          <w:szCs w:val="21"/>
          <w:lang w:val="es-MX" w:eastAsia="en-US"/>
        </w:rPr>
        <w:t xml:space="preserve"> </w:t>
      </w:r>
      <w:r w:rsidRPr="00B03B15">
        <w:rPr>
          <w:rFonts w:ascii="Abadi" w:hAnsi="Abadi"/>
          <w:b/>
          <w:sz w:val="21"/>
          <w:szCs w:val="21"/>
          <w:lang w:val="es-MX" w:eastAsia="en-US"/>
        </w:rPr>
        <w:t>Modificaciones a la iniciativa</w:t>
      </w:r>
    </w:p>
    <w:p w14:paraId="74EBBEFD" w14:textId="77777777" w:rsidR="00B03B15" w:rsidRPr="00B03B15" w:rsidRDefault="00B03B15" w:rsidP="00B03B15">
      <w:pPr>
        <w:jc w:val="both"/>
        <w:rPr>
          <w:rFonts w:ascii="Abadi" w:hAnsi="Abadi"/>
          <w:b/>
          <w:sz w:val="21"/>
          <w:szCs w:val="21"/>
          <w:lang w:val="es-MX" w:eastAsia="en-US"/>
        </w:rPr>
      </w:pPr>
    </w:p>
    <w:p w14:paraId="130ADB83" w14:textId="77777777" w:rsidR="00B03B15" w:rsidRPr="00B03B15" w:rsidRDefault="00B03B15" w:rsidP="00B03B15">
      <w:pPr>
        <w:ind w:firstLine="708"/>
        <w:jc w:val="both"/>
        <w:rPr>
          <w:rFonts w:ascii="Abadi" w:hAnsi="Abadi"/>
          <w:bCs/>
          <w:sz w:val="21"/>
          <w:szCs w:val="21"/>
          <w:lang w:val="es-MX" w:eastAsia="en-US"/>
        </w:rPr>
      </w:pPr>
      <w:r w:rsidRPr="00B03B15">
        <w:rPr>
          <w:rFonts w:ascii="Abadi" w:hAnsi="Abadi"/>
          <w:bCs/>
          <w:sz w:val="21"/>
          <w:szCs w:val="21"/>
          <w:lang w:val="es-MX" w:eastAsia="en-US"/>
        </w:rPr>
        <w:t>Derivado de la mesa de trabajo llevada a cabo para el análisis de la iniciativa realizamos las siguientes adecuaciones al decreto contenido en el presente dictamen:</w:t>
      </w:r>
    </w:p>
    <w:p w14:paraId="2293DDC6" w14:textId="77777777" w:rsidR="00B03B15" w:rsidRPr="00B03B15" w:rsidRDefault="00B03B15" w:rsidP="00B03B15">
      <w:pPr>
        <w:ind w:firstLine="708"/>
        <w:jc w:val="both"/>
        <w:rPr>
          <w:rFonts w:ascii="Abadi" w:hAnsi="Abadi"/>
          <w:bCs/>
          <w:sz w:val="21"/>
          <w:szCs w:val="21"/>
          <w:lang w:val="es-MX" w:eastAsia="en-US"/>
        </w:rPr>
      </w:pPr>
    </w:p>
    <w:p w14:paraId="1DAFBCB7" w14:textId="77777777" w:rsidR="00B03B15" w:rsidRPr="00B03B15" w:rsidRDefault="00B03B15" w:rsidP="001A28E5">
      <w:pPr>
        <w:numPr>
          <w:ilvl w:val="0"/>
          <w:numId w:val="81"/>
        </w:numPr>
        <w:jc w:val="both"/>
        <w:rPr>
          <w:rFonts w:ascii="Abadi" w:hAnsi="Abadi"/>
          <w:bCs/>
          <w:sz w:val="21"/>
          <w:szCs w:val="21"/>
          <w:lang w:val="es-MX" w:eastAsia="en-US"/>
        </w:rPr>
      </w:pPr>
      <w:r w:rsidRPr="00B03B15">
        <w:rPr>
          <w:rFonts w:ascii="Abadi" w:hAnsi="Abadi"/>
          <w:bCs/>
          <w:sz w:val="21"/>
          <w:szCs w:val="21"/>
          <w:lang w:val="es-MX" w:eastAsia="en-US"/>
        </w:rPr>
        <w:t xml:space="preserve">En el artículo 36, con la finalidad de abonar a la brevedad y claridad del texto de la fracción VI, realizamos ajustes de forma en su redacción. Asimismo, por técnica legislativa y atendiendo a la estructura actual del artículo incluimos la reforma de la fracción V para omitir la conjunción </w:t>
      </w:r>
      <w:r w:rsidRPr="00B03B15">
        <w:rPr>
          <w:rFonts w:ascii="Abadi" w:hAnsi="Abadi"/>
          <w:bCs/>
          <w:i/>
          <w:iCs/>
          <w:sz w:val="21"/>
          <w:szCs w:val="21"/>
          <w:lang w:val="es-MX" w:eastAsia="en-US"/>
        </w:rPr>
        <w:t>«y»</w:t>
      </w:r>
      <w:r w:rsidRPr="00B03B15">
        <w:rPr>
          <w:rFonts w:ascii="Abadi" w:hAnsi="Abadi"/>
          <w:bCs/>
          <w:sz w:val="21"/>
          <w:szCs w:val="21"/>
          <w:lang w:val="es-MX" w:eastAsia="en-US"/>
        </w:rPr>
        <w:t xml:space="preserve">. </w:t>
      </w:r>
    </w:p>
    <w:p w14:paraId="79E76C67" w14:textId="77777777" w:rsidR="00B03B15" w:rsidRPr="00B03B15" w:rsidRDefault="00B03B15" w:rsidP="00B03B15">
      <w:pPr>
        <w:ind w:left="1068"/>
        <w:jc w:val="both"/>
        <w:rPr>
          <w:rFonts w:ascii="Abadi" w:hAnsi="Abadi"/>
          <w:bCs/>
          <w:sz w:val="21"/>
          <w:szCs w:val="21"/>
          <w:lang w:val="es-MX" w:eastAsia="en-US"/>
        </w:rPr>
      </w:pPr>
    </w:p>
    <w:p w14:paraId="3E36A6E6" w14:textId="77777777" w:rsidR="00B03B15" w:rsidRPr="00B03B15" w:rsidRDefault="00B03B15" w:rsidP="001A28E5">
      <w:pPr>
        <w:numPr>
          <w:ilvl w:val="0"/>
          <w:numId w:val="81"/>
        </w:numPr>
        <w:jc w:val="both"/>
        <w:rPr>
          <w:rFonts w:ascii="Abadi" w:hAnsi="Abadi"/>
          <w:bCs/>
          <w:sz w:val="21"/>
          <w:szCs w:val="21"/>
          <w:lang w:val="es-MX" w:eastAsia="en-US"/>
        </w:rPr>
      </w:pPr>
      <w:r w:rsidRPr="00B03B15">
        <w:rPr>
          <w:rFonts w:ascii="Abadi" w:hAnsi="Abadi"/>
          <w:bCs/>
          <w:sz w:val="21"/>
          <w:szCs w:val="21"/>
          <w:lang w:val="es-MX" w:eastAsia="en-US"/>
        </w:rPr>
        <w:t xml:space="preserve">En el segundo párrafo del artículo 41, se corrigió el reenvío a la fracción V del artículo 40, pues la fracción III prevista en la iniciativa se refiere al supuesto de </w:t>
      </w:r>
      <w:r w:rsidRPr="00B03B15">
        <w:rPr>
          <w:rFonts w:ascii="Abadi" w:hAnsi="Abadi"/>
          <w:sz w:val="21"/>
          <w:szCs w:val="21"/>
          <w:lang w:val="es-MX" w:eastAsia="en-US"/>
        </w:rPr>
        <w:t>fallecimiento en el caso de las personas físicas.</w:t>
      </w:r>
    </w:p>
    <w:p w14:paraId="51ADAC95" w14:textId="77777777" w:rsidR="00B03B15" w:rsidRPr="00B03B15" w:rsidRDefault="00B03B15" w:rsidP="00B03B15">
      <w:pPr>
        <w:ind w:left="708"/>
        <w:rPr>
          <w:rFonts w:ascii="Abadi" w:hAnsi="Abadi"/>
          <w:bCs/>
          <w:sz w:val="21"/>
          <w:szCs w:val="21"/>
          <w:lang w:val="es-MX" w:eastAsia="en-US"/>
        </w:rPr>
      </w:pPr>
    </w:p>
    <w:p w14:paraId="0EC2A09B" w14:textId="77777777" w:rsidR="00B03B15" w:rsidRPr="00B03B15" w:rsidRDefault="00B03B15" w:rsidP="001A28E5">
      <w:pPr>
        <w:numPr>
          <w:ilvl w:val="0"/>
          <w:numId w:val="81"/>
        </w:numPr>
        <w:jc w:val="both"/>
        <w:rPr>
          <w:rFonts w:ascii="Abadi" w:hAnsi="Abadi"/>
          <w:bCs/>
          <w:sz w:val="21"/>
          <w:szCs w:val="21"/>
          <w:lang w:val="es-MX" w:eastAsia="en-US"/>
        </w:rPr>
      </w:pPr>
      <w:r w:rsidRPr="00B03B15">
        <w:rPr>
          <w:rFonts w:ascii="Abadi" w:hAnsi="Abadi"/>
          <w:bCs/>
          <w:sz w:val="21"/>
          <w:szCs w:val="21"/>
          <w:lang w:val="es-MX" w:eastAsia="en-US"/>
        </w:rPr>
        <w:t>En el artículo 86, así como en el último párrafo del artículo 130, para mejorar la sintaxis y claridad del texto se hicieron adecuaciones de forma en su redacción.</w:t>
      </w:r>
    </w:p>
    <w:p w14:paraId="5B9810EE" w14:textId="77777777" w:rsidR="00B03B15" w:rsidRPr="00B03B15" w:rsidRDefault="00B03B15" w:rsidP="00B03B15">
      <w:pPr>
        <w:ind w:left="708"/>
        <w:rPr>
          <w:rFonts w:ascii="Abadi" w:hAnsi="Abadi"/>
          <w:bCs/>
          <w:sz w:val="21"/>
          <w:szCs w:val="21"/>
          <w:lang w:val="es-MX" w:eastAsia="en-US"/>
        </w:rPr>
      </w:pPr>
    </w:p>
    <w:p w14:paraId="73CE6442" w14:textId="77777777" w:rsidR="00B03B15" w:rsidRPr="00B03B15" w:rsidRDefault="00B03B15" w:rsidP="001A28E5">
      <w:pPr>
        <w:numPr>
          <w:ilvl w:val="0"/>
          <w:numId w:val="81"/>
        </w:numPr>
        <w:jc w:val="both"/>
        <w:rPr>
          <w:rFonts w:ascii="Abadi" w:hAnsi="Abadi"/>
          <w:bCs/>
          <w:sz w:val="21"/>
          <w:szCs w:val="21"/>
          <w:lang w:val="es-MX" w:eastAsia="en-US"/>
        </w:rPr>
      </w:pPr>
      <w:r w:rsidRPr="00B03B15">
        <w:rPr>
          <w:rFonts w:ascii="Abadi" w:hAnsi="Abadi"/>
          <w:bCs/>
          <w:sz w:val="21"/>
          <w:szCs w:val="21"/>
          <w:lang w:val="es-MX" w:eastAsia="en-US"/>
        </w:rPr>
        <w:t>Respecto al artículo 125 también en aras de abonar a la claridad del texto se reestructuró el contenido de la fracción VIII; y por técnica legislativa, atendiendo a la estructura actual del artículo incluimos la reforma de las fracciones VI y VII para ajustar su contenido a la nueva estructura.</w:t>
      </w:r>
    </w:p>
    <w:p w14:paraId="4FE92419" w14:textId="77777777" w:rsidR="00B03B15" w:rsidRPr="00B03B15" w:rsidRDefault="00B03B15" w:rsidP="00B03B15">
      <w:pPr>
        <w:ind w:left="708"/>
        <w:rPr>
          <w:rFonts w:ascii="Abadi" w:hAnsi="Abadi"/>
          <w:bCs/>
          <w:sz w:val="21"/>
          <w:szCs w:val="21"/>
          <w:lang w:val="es-MX" w:eastAsia="en-US"/>
        </w:rPr>
      </w:pPr>
    </w:p>
    <w:p w14:paraId="3E1AB11E" w14:textId="77777777" w:rsidR="00B03B15" w:rsidRPr="00B03B15" w:rsidRDefault="00B03B15" w:rsidP="001A28E5">
      <w:pPr>
        <w:numPr>
          <w:ilvl w:val="0"/>
          <w:numId w:val="81"/>
        </w:numPr>
        <w:jc w:val="both"/>
        <w:rPr>
          <w:rFonts w:ascii="Abadi" w:hAnsi="Abadi"/>
          <w:bCs/>
          <w:sz w:val="21"/>
          <w:szCs w:val="21"/>
          <w:lang w:val="es-MX" w:eastAsia="en-US"/>
        </w:rPr>
      </w:pPr>
      <w:r w:rsidRPr="00B03B15">
        <w:rPr>
          <w:rFonts w:ascii="Abadi" w:hAnsi="Abadi"/>
          <w:bCs/>
          <w:sz w:val="21"/>
          <w:szCs w:val="21"/>
          <w:lang w:val="es-MX" w:eastAsia="en-US"/>
        </w:rPr>
        <w:t>En el artículo 127 su contenido se reestructuró para que en lugar de integrarse por párrafos se establezcan fracciones, lo cual también incidirá en la claridad del texto de la ley.</w:t>
      </w:r>
    </w:p>
    <w:p w14:paraId="2109A42B" w14:textId="77777777" w:rsidR="00B03B15" w:rsidRPr="00B03B15" w:rsidRDefault="00B03B15" w:rsidP="00B03B15">
      <w:pPr>
        <w:ind w:left="708"/>
        <w:rPr>
          <w:rFonts w:ascii="Abadi" w:hAnsi="Abadi"/>
          <w:bCs/>
          <w:sz w:val="21"/>
          <w:szCs w:val="21"/>
          <w:lang w:val="es-MX" w:eastAsia="en-US"/>
        </w:rPr>
      </w:pPr>
    </w:p>
    <w:p w14:paraId="09EBB80D" w14:textId="77777777" w:rsidR="00B03B15" w:rsidRPr="00B03B15" w:rsidRDefault="00B03B15" w:rsidP="001A28E5">
      <w:pPr>
        <w:numPr>
          <w:ilvl w:val="0"/>
          <w:numId w:val="81"/>
        </w:numPr>
        <w:jc w:val="both"/>
        <w:rPr>
          <w:rFonts w:ascii="Abadi" w:hAnsi="Abadi"/>
          <w:bCs/>
          <w:sz w:val="21"/>
          <w:szCs w:val="21"/>
          <w:lang w:val="es-MX" w:eastAsia="en-US"/>
        </w:rPr>
      </w:pPr>
      <w:r w:rsidRPr="00B03B15">
        <w:rPr>
          <w:rFonts w:ascii="Abadi" w:hAnsi="Abadi"/>
          <w:bCs/>
          <w:sz w:val="21"/>
          <w:szCs w:val="21"/>
          <w:lang w:val="es-MX" w:eastAsia="en-US"/>
        </w:rPr>
        <w:t xml:space="preserve">Se incluyó un artículo segundo transitorio a fin de establecer un término máximo de </w:t>
      </w:r>
      <w:r w:rsidRPr="00B03B15">
        <w:rPr>
          <w:rFonts w:ascii="Abadi" w:hAnsi="Abadi"/>
          <w:sz w:val="21"/>
          <w:szCs w:val="21"/>
          <w:lang w:val="es-MX" w:eastAsia="en-US"/>
        </w:rPr>
        <w:t>90 días hábiles para que los sujetos de la ley armonicen los reglamentos y disposiciones administrativas derivadas de la mismas a las disposiciones del decreto contenido en el presente dictamen.</w:t>
      </w:r>
    </w:p>
    <w:p w14:paraId="33008791" w14:textId="77777777" w:rsidR="00B03B15" w:rsidRPr="00B03B15" w:rsidRDefault="00B03B15" w:rsidP="00B03B15">
      <w:pPr>
        <w:ind w:left="708"/>
        <w:rPr>
          <w:rFonts w:ascii="Abadi" w:hAnsi="Abadi"/>
          <w:bCs/>
          <w:sz w:val="21"/>
          <w:szCs w:val="21"/>
          <w:lang w:val="es-MX" w:eastAsia="en-US"/>
        </w:rPr>
      </w:pPr>
    </w:p>
    <w:p w14:paraId="3C13B3F1" w14:textId="095137E5" w:rsidR="00B03B15" w:rsidRPr="00B03B15" w:rsidRDefault="00B03B15" w:rsidP="007B7DFE">
      <w:pPr>
        <w:ind w:firstLine="708"/>
        <w:jc w:val="both"/>
        <w:rPr>
          <w:rFonts w:ascii="Abadi" w:hAnsi="Abadi"/>
          <w:sz w:val="21"/>
          <w:szCs w:val="21"/>
          <w:lang w:val="es-MX" w:eastAsia="en-US"/>
        </w:rPr>
      </w:pPr>
      <w:r w:rsidRPr="00B03B15">
        <w:rPr>
          <w:rFonts w:ascii="Abadi" w:hAnsi="Abadi" w:cs="Arial"/>
          <w:bCs/>
          <w:sz w:val="21"/>
          <w:szCs w:val="21"/>
          <w:lang w:val="es-MX" w:eastAsia="en-US"/>
        </w:rPr>
        <w:t>Es así, que consideramos que las modificaciones propuestas buscan el fortalecimiento de</w:t>
      </w:r>
      <w:r w:rsidRPr="00B03B15">
        <w:rPr>
          <w:rFonts w:ascii="Abadi" w:hAnsi="Abadi"/>
          <w:sz w:val="21"/>
          <w:szCs w:val="21"/>
          <w:lang w:val="es-MX" w:eastAsia="es-MX"/>
        </w:rPr>
        <w:t xml:space="preserve"> los procesos previstos en la Ley de Contrataciones Públicas para el Estado de Guanajuato, por lo que sus alcances son favorables para la transparencia y adecuado manejo de los recursos públicos vinculados a </w:t>
      </w:r>
      <w:r w:rsidRPr="00B03B15">
        <w:rPr>
          <w:rFonts w:ascii="Abadi" w:hAnsi="Abadi"/>
          <w:sz w:val="21"/>
          <w:szCs w:val="21"/>
          <w:lang w:val="es-MX" w:eastAsia="en-US"/>
        </w:rPr>
        <w:t>adquisiciones, enajenaciones y arrendamientos de bienes muebles e inmuebles y de prestación de servicios, razón por la cual las consideramos procedentes.</w:t>
      </w:r>
    </w:p>
    <w:p w14:paraId="5AEB0475" w14:textId="77777777" w:rsidR="00B03B15" w:rsidRPr="00B03B15" w:rsidRDefault="00B03B15" w:rsidP="00B03B15">
      <w:pPr>
        <w:ind w:firstLine="708"/>
        <w:jc w:val="both"/>
        <w:rPr>
          <w:rFonts w:ascii="Abadi" w:eastAsia="Batang" w:hAnsi="Abadi" w:cs="Arial"/>
          <w:sz w:val="21"/>
          <w:szCs w:val="21"/>
          <w:lang w:val="es-MX" w:eastAsia="en-US"/>
        </w:rPr>
      </w:pPr>
    </w:p>
    <w:p w14:paraId="0516E987" w14:textId="77777777" w:rsidR="00B03B15" w:rsidRPr="00B03B15" w:rsidRDefault="00B03B15" w:rsidP="00B03B15">
      <w:pPr>
        <w:ind w:firstLine="708"/>
        <w:jc w:val="both"/>
        <w:rPr>
          <w:rFonts w:ascii="Abadi" w:eastAsia="Batang" w:hAnsi="Abadi" w:cs="Arial"/>
          <w:sz w:val="21"/>
          <w:szCs w:val="21"/>
          <w:lang w:val="es-MX" w:eastAsia="en-US"/>
        </w:rPr>
      </w:pPr>
      <w:r w:rsidRPr="00B03B15">
        <w:rPr>
          <w:rFonts w:ascii="Abadi" w:eastAsia="Batang" w:hAnsi="Abadi" w:cs="Arial"/>
          <w:sz w:val="21"/>
          <w:szCs w:val="21"/>
          <w:lang w:val="es-MX" w:eastAsia="en-US"/>
        </w:rPr>
        <w:t xml:space="preserve">Asimismo, consideramos procedente armonizar el esquema sancionatorio previsto en la ley con la legislación federal, el uso de los medios electrónicos para la notificación de actos administrativos, así como el brindar cohesión a las disposiciones relativas a la enajenación del patrimonio mobiliario.  </w:t>
      </w:r>
    </w:p>
    <w:p w14:paraId="5B099E88" w14:textId="77777777" w:rsidR="00B03B15" w:rsidRPr="00B03B15" w:rsidRDefault="00B03B15" w:rsidP="00B03B15">
      <w:pPr>
        <w:jc w:val="both"/>
        <w:rPr>
          <w:rFonts w:ascii="Abadi" w:hAnsi="Abadi"/>
          <w:sz w:val="21"/>
          <w:szCs w:val="21"/>
          <w:lang w:val="es-MX" w:eastAsia="en-US"/>
        </w:rPr>
      </w:pPr>
    </w:p>
    <w:p w14:paraId="1B13B3FB" w14:textId="77777777" w:rsidR="00B03B15" w:rsidRPr="00B03B15" w:rsidRDefault="00B03B15" w:rsidP="00B03B15">
      <w:pPr>
        <w:ind w:firstLine="708"/>
        <w:jc w:val="both"/>
        <w:rPr>
          <w:rFonts w:ascii="Abadi" w:hAnsi="Abadi"/>
          <w:sz w:val="21"/>
          <w:szCs w:val="21"/>
          <w:lang w:val="es-MX" w:eastAsia="en-US"/>
        </w:rPr>
      </w:pPr>
      <w:r w:rsidRPr="00B03B15">
        <w:rPr>
          <w:rFonts w:ascii="Abadi" w:hAnsi="Abadi"/>
          <w:sz w:val="21"/>
          <w:szCs w:val="21"/>
          <w:lang w:val="es-MX" w:eastAsia="en-US"/>
        </w:rPr>
        <w:t>Finalmente, se destaca que el cumplimiento de los Objetivos del Desarrollo Sostenible de la Agenda 2030 está presente en el dictamen puesto a su consideración, pues el mismo incide de manera directa en el Objetivo 16 denominado Paz, Justicia e Instituciones Sólidas, respecto a las metas 16.5, 16.6 y 16.10.</w:t>
      </w:r>
    </w:p>
    <w:p w14:paraId="5DEC5F3A" w14:textId="77777777" w:rsidR="00B03B15" w:rsidRPr="00B03B15" w:rsidRDefault="00B03B15" w:rsidP="00B03B15">
      <w:pPr>
        <w:ind w:firstLine="708"/>
        <w:jc w:val="both"/>
        <w:rPr>
          <w:rFonts w:ascii="Abadi" w:hAnsi="Abadi"/>
          <w:sz w:val="21"/>
          <w:szCs w:val="21"/>
          <w:lang w:val="es-MX" w:eastAsia="en-US"/>
        </w:rPr>
      </w:pPr>
      <w:r w:rsidRPr="00B03B15">
        <w:rPr>
          <w:rFonts w:ascii="Abadi" w:hAnsi="Abadi"/>
          <w:sz w:val="21"/>
          <w:szCs w:val="21"/>
          <w:lang w:val="es-MX" w:eastAsia="en-US"/>
        </w:rPr>
        <w:t xml:space="preserve"> </w:t>
      </w:r>
    </w:p>
    <w:p w14:paraId="500E1301" w14:textId="77777777" w:rsidR="00B03B15" w:rsidRPr="00B03B15" w:rsidRDefault="00B03B15" w:rsidP="00B03B15">
      <w:pPr>
        <w:ind w:firstLine="708"/>
        <w:jc w:val="both"/>
        <w:rPr>
          <w:rFonts w:ascii="Abadi" w:eastAsia="Batang" w:hAnsi="Abadi" w:cs="Arial"/>
          <w:sz w:val="21"/>
          <w:szCs w:val="21"/>
          <w:lang w:eastAsia="en-US"/>
        </w:rPr>
      </w:pPr>
      <w:r w:rsidRPr="00B03B15">
        <w:rPr>
          <w:rFonts w:ascii="Abadi" w:eastAsia="Batang" w:hAnsi="Abadi" w:cs="Arial"/>
          <w:sz w:val="21"/>
          <w:szCs w:val="21"/>
          <w:lang w:eastAsia="en-US"/>
        </w:rPr>
        <w:t xml:space="preserve">Por lo anteriormente expuesto, y con fundamento en lo dispuesto por los artículos 171 y 204 de </w:t>
      </w:r>
      <w:smartTag w:uri="urn:schemas-microsoft-com:office:smarttags" w:element="PersonName">
        <w:smartTagPr>
          <w:attr w:name="ProductID" w:val="la Ley Org￡nica"/>
        </w:smartTagPr>
        <w:r w:rsidRPr="00B03B15">
          <w:rPr>
            <w:rFonts w:ascii="Abadi" w:eastAsia="Batang" w:hAnsi="Abadi" w:cs="Arial"/>
            <w:sz w:val="21"/>
            <w:szCs w:val="21"/>
            <w:lang w:eastAsia="en-US"/>
          </w:rPr>
          <w:t>la Ley Orgánica</w:t>
        </w:r>
      </w:smartTag>
      <w:r w:rsidRPr="00B03B15">
        <w:rPr>
          <w:rFonts w:ascii="Abadi" w:eastAsia="Batang" w:hAnsi="Abadi" w:cs="Arial"/>
          <w:sz w:val="21"/>
          <w:szCs w:val="21"/>
          <w:lang w:eastAsia="en-US"/>
        </w:rPr>
        <w:t xml:space="preserve"> del Poder Legislativo del Estado, quienes integramos la Comisión de Hacienda y Fiscalización, sometemos a la consideración de </w:t>
      </w:r>
      <w:smartTag w:uri="urn:schemas-microsoft-com:office:smarttags" w:element="PersonName">
        <w:smartTagPr>
          <w:attr w:name="ProductID" w:val="la Asamblea"/>
        </w:smartTagPr>
        <w:r w:rsidRPr="00B03B15">
          <w:rPr>
            <w:rFonts w:ascii="Abadi" w:eastAsia="Batang" w:hAnsi="Abadi" w:cs="Arial"/>
            <w:sz w:val="21"/>
            <w:szCs w:val="21"/>
            <w:lang w:eastAsia="en-US"/>
          </w:rPr>
          <w:t>la Asamblea</w:t>
        </w:r>
      </w:smartTag>
      <w:r w:rsidRPr="00B03B15">
        <w:rPr>
          <w:rFonts w:ascii="Abadi" w:eastAsia="Batang" w:hAnsi="Abadi" w:cs="Arial"/>
          <w:sz w:val="21"/>
          <w:szCs w:val="21"/>
          <w:lang w:eastAsia="en-US"/>
        </w:rPr>
        <w:t>, la aprobación del siguiente:</w:t>
      </w:r>
    </w:p>
    <w:p w14:paraId="46FBEC86" w14:textId="77777777" w:rsidR="00B03B15" w:rsidRPr="00B03B15" w:rsidRDefault="00B03B15" w:rsidP="00B03B15">
      <w:pPr>
        <w:ind w:firstLine="540"/>
        <w:jc w:val="center"/>
        <w:rPr>
          <w:rFonts w:ascii="Abadi" w:hAnsi="Abadi"/>
          <w:b/>
          <w:sz w:val="21"/>
          <w:szCs w:val="21"/>
          <w:lang w:val="es-MX" w:eastAsia="en-US"/>
        </w:rPr>
      </w:pPr>
    </w:p>
    <w:p w14:paraId="49AD9E61" w14:textId="77777777" w:rsidR="00B03B15" w:rsidRPr="00B03B15" w:rsidRDefault="00B03B15" w:rsidP="00B03B15">
      <w:pPr>
        <w:jc w:val="center"/>
        <w:rPr>
          <w:rFonts w:ascii="Abadi" w:hAnsi="Abadi"/>
          <w:b/>
          <w:sz w:val="21"/>
          <w:szCs w:val="21"/>
          <w:lang w:val="es-MX" w:eastAsia="en-US"/>
        </w:rPr>
      </w:pPr>
      <w:r w:rsidRPr="00B03B15">
        <w:rPr>
          <w:rFonts w:ascii="Abadi" w:hAnsi="Abadi"/>
          <w:b/>
          <w:sz w:val="21"/>
          <w:szCs w:val="21"/>
          <w:lang w:val="es-MX" w:eastAsia="en-US"/>
        </w:rPr>
        <w:t xml:space="preserve">D e c r </w:t>
      </w:r>
      <w:proofErr w:type="gramStart"/>
      <w:r w:rsidRPr="00B03B15">
        <w:rPr>
          <w:rFonts w:ascii="Abadi" w:hAnsi="Abadi"/>
          <w:b/>
          <w:sz w:val="21"/>
          <w:szCs w:val="21"/>
          <w:lang w:val="es-MX" w:eastAsia="en-US"/>
        </w:rPr>
        <w:t>e</w:t>
      </w:r>
      <w:proofErr w:type="gramEnd"/>
      <w:r w:rsidRPr="00B03B15">
        <w:rPr>
          <w:rFonts w:ascii="Abadi" w:hAnsi="Abadi"/>
          <w:b/>
          <w:sz w:val="21"/>
          <w:szCs w:val="21"/>
          <w:lang w:val="es-MX" w:eastAsia="en-US"/>
        </w:rPr>
        <w:t xml:space="preserve"> t o</w:t>
      </w:r>
    </w:p>
    <w:p w14:paraId="24A1D6F1" w14:textId="77777777" w:rsidR="00B03B15" w:rsidRPr="00B03B15" w:rsidRDefault="00B03B15" w:rsidP="00B03B15">
      <w:pPr>
        <w:ind w:firstLine="540"/>
        <w:jc w:val="both"/>
        <w:rPr>
          <w:rFonts w:ascii="Abadi" w:hAnsi="Abadi"/>
          <w:b/>
          <w:sz w:val="21"/>
          <w:szCs w:val="21"/>
          <w:lang w:val="es-MX" w:eastAsia="en-US"/>
        </w:rPr>
      </w:pPr>
    </w:p>
    <w:p w14:paraId="6FBF9E02" w14:textId="77777777" w:rsidR="00B03B15" w:rsidRPr="00B03B15" w:rsidRDefault="00B03B15" w:rsidP="00B03B15">
      <w:pPr>
        <w:ind w:firstLine="540"/>
        <w:jc w:val="both"/>
        <w:rPr>
          <w:rFonts w:ascii="Abadi" w:hAnsi="Abadi"/>
          <w:sz w:val="21"/>
          <w:szCs w:val="21"/>
          <w:lang w:val="es-MX" w:eastAsia="en-US"/>
        </w:rPr>
      </w:pPr>
      <w:r w:rsidRPr="00B03B15">
        <w:rPr>
          <w:rFonts w:ascii="Abadi" w:hAnsi="Abadi"/>
          <w:b/>
          <w:sz w:val="21"/>
          <w:szCs w:val="21"/>
          <w:lang w:val="es-MX" w:eastAsia="en-US"/>
        </w:rPr>
        <w:t>Artículo Único.</w:t>
      </w:r>
      <w:r w:rsidRPr="00B03B15">
        <w:rPr>
          <w:rFonts w:ascii="Abadi" w:hAnsi="Abadi"/>
          <w:sz w:val="21"/>
          <w:szCs w:val="21"/>
          <w:lang w:val="es-MX" w:eastAsia="en-US"/>
        </w:rPr>
        <w:t xml:space="preserve"> </w:t>
      </w:r>
      <w:r w:rsidRPr="00B03B15">
        <w:rPr>
          <w:rFonts w:ascii="Abadi" w:hAnsi="Abadi" w:cs="Arial"/>
          <w:bCs/>
          <w:sz w:val="21"/>
          <w:szCs w:val="21"/>
          <w:lang w:val="es-MX" w:eastAsia="en-US"/>
        </w:rPr>
        <w:t xml:space="preserve">Se </w:t>
      </w:r>
      <w:r w:rsidRPr="00B03B15">
        <w:rPr>
          <w:rFonts w:ascii="Abadi" w:hAnsi="Abadi" w:cs="Arial"/>
          <w:b/>
          <w:sz w:val="21"/>
          <w:szCs w:val="21"/>
          <w:lang w:val="es-MX" w:eastAsia="en-US"/>
        </w:rPr>
        <w:t>reforman</w:t>
      </w:r>
      <w:r w:rsidRPr="00B03B15">
        <w:rPr>
          <w:rFonts w:ascii="Abadi" w:hAnsi="Abadi" w:cs="Arial"/>
          <w:bCs/>
          <w:sz w:val="21"/>
          <w:szCs w:val="21"/>
          <w:lang w:val="es-MX" w:eastAsia="en-US"/>
        </w:rPr>
        <w:t xml:space="preserve"> los artículos 36, fracción V; 42, fracción III; 84; 85, primer párrafo; 86 primer párrafo y fracciones V y VII; 125, fracciones VI y VII; y 127; se </w:t>
      </w:r>
      <w:r w:rsidRPr="00B03B15">
        <w:rPr>
          <w:rFonts w:ascii="Abadi" w:hAnsi="Abadi" w:cs="Arial"/>
          <w:b/>
          <w:sz w:val="21"/>
          <w:szCs w:val="21"/>
          <w:lang w:val="es-MX" w:eastAsia="en-US"/>
        </w:rPr>
        <w:t>adicionan</w:t>
      </w:r>
      <w:r w:rsidRPr="00B03B15">
        <w:rPr>
          <w:rFonts w:ascii="Abadi" w:hAnsi="Abadi" w:cs="Arial"/>
          <w:bCs/>
          <w:sz w:val="21"/>
          <w:szCs w:val="21"/>
          <w:lang w:val="es-MX" w:eastAsia="en-US"/>
        </w:rPr>
        <w:t xml:space="preserve"> la fracción VI al artículo 36, quedando la actual fracción VI como fracción VII; un segundo párrafo al artículo 41; un artículo 52 Bis; las fracciones VIII y IX al artículo 125; y un segundo párrafo al artículo 130; y se </w:t>
      </w:r>
      <w:r w:rsidRPr="00B03B15">
        <w:rPr>
          <w:rFonts w:ascii="Abadi" w:hAnsi="Abadi" w:cs="Arial"/>
          <w:b/>
          <w:sz w:val="21"/>
          <w:szCs w:val="21"/>
          <w:lang w:val="es-MX" w:eastAsia="en-US"/>
        </w:rPr>
        <w:t>derogan</w:t>
      </w:r>
      <w:r w:rsidRPr="00B03B15">
        <w:rPr>
          <w:rFonts w:ascii="Abadi" w:hAnsi="Abadi" w:cs="Arial"/>
          <w:bCs/>
          <w:sz w:val="21"/>
          <w:szCs w:val="21"/>
          <w:lang w:val="es-MX" w:eastAsia="en-US"/>
        </w:rPr>
        <w:t xml:space="preserve"> las fracciones I y II del artículo 40; la fracción II del artículo 42; y el segundo párrafo del artículo 85 de la Ley de Contrataciones Públicas para el Estado de Guanajuato, para quedar en los siguientes términos:</w:t>
      </w:r>
      <w:r w:rsidRPr="00B03B15">
        <w:rPr>
          <w:rFonts w:ascii="Abadi" w:hAnsi="Abadi"/>
          <w:sz w:val="21"/>
          <w:szCs w:val="21"/>
          <w:lang w:val="es-MX" w:eastAsia="en-US"/>
        </w:rPr>
        <w:t xml:space="preserve"> </w:t>
      </w:r>
    </w:p>
    <w:p w14:paraId="251DB75A" w14:textId="77777777" w:rsidR="00B03B15" w:rsidRPr="00B03B15" w:rsidRDefault="00B03B15" w:rsidP="00B03B15">
      <w:pPr>
        <w:ind w:firstLine="540"/>
        <w:jc w:val="both"/>
        <w:rPr>
          <w:rFonts w:ascii="Abadi" w:hAnsi="Abadi"/>
          <w:sz w:val="21"/>
          <w:szCs w:val="21"/>
          <w:lang w:val="es-MX" w:eastAsia="en-US"/>
        </w:rPr>
      </w:pPr>
    </w:p>
    <w:p w14:paraId="000FBEA8" w14:textId="77777777" w:rsidR="00B03B15" w:rsidRPr="00B03B15" w:rsidRDefault="00B03B15" w:rsidP="00B03B15">
      <w:pPr>
        <w:jc w:val="right"/>
        <w:rPr>
          <w:rFonts w:ascii="Abadi" w:hAnsi="Abadi"/>
          <w:b/>
          <w:bCs/>
          <w:i/>
          <w:iCs/>
          <w:sz w:val="21"/>
          <w:szCs w:val="21"/>
          <w:lang w:val="es-MX" w:eastAsia="en-US"/>
        </w:rPr>
      </w:pPr>
      <w:r w:rsidRPr="00B03B15">
        <w:rPr>
          <w:rFonts w:ascii="Abadi" w:hAnsi="Abadi"/>
          <w:sz w:val="21"/>
          <w:szCs w:val="21"/>
          <w:lang w:val="es-MX" w:eastAsia="en-US"/>
        </w:rPr>
        <w:t>«</w:t>
      </w:r>
      <w:r w:rsidRPr="00B03B15">
        <w:rPr>
          <w:rFonts w:ascii="Abadi" w:hAnsi="Abadi"/>
          <w:b/>
          <w:bCs/>
          <w:i/>
          <w:iCs/>
          <w:sz w:val="21"/>
          <w:szCs w:val="21"/>
          <w:lang w:val="es-MX" w:eastAsia="en-US"/>
        </w:rPr>
        <w:t>Requisitos para inscripción…</w:t>
      </w:r>
    </w:p>
    <w:p w14:paraId="7711E707" w14:textId="77777777" w:rsidR="00B03B15" w:rsidRPr="00B03B15" w:rsidRDefault="00B03B15" w:rsidP="00B03B15">
      <w:pPr>
        <w:ind w:left="851" w:hanging="284"/>
        <w:jc w:val="both"/>
        <w:rPr>
          <w:rFonts w:ascii="Abadi" w:hAnsi="Abadi"/>
          <w:sz w:val="21"/>
          <w:szCs w:val="21"/>
          <w:lang w:val="es-MX" w:eastAsia="en-US"/>
        </w:rPr>
      </w:pPr>
      <w:r w:rsidRPr="00B03B15">
        <w:rPr>
          <w:rFonts w:ascii="Abadi" w:hAnsi="Abadi"/>
          <w:b/>
          <w:bCs/>
          <w:sz w:val="21"/>
          <w:szCs w:val="21"/>
          <w:lang w:val="es-MX" w:eastAsia="en-US"/>
        </w:rPr>
        <w:t>Artículo 36.</w:t>
      </w:r>
      <w:r w:rsidRPr="00B03B15">
        <w:rPr>
          <w:rFonts w:ascii="Abadi" w:hAnsi="Abadi"/>
          <w:sz w:val="21"/>
          <w:szCs w:val="21"/>
          <w:lang w:val="es-MX" w:eastAsia="en-US"/>
        </w:rPr>
        <w:t xml:space="preserve"> Para la inscripción…</w:t>
      </w:r>
    </w:p>
    <w:p w14:paraId="04D8FA00" w14:textId="77777777" w:rsidR="00B03B15" w:rsidRPr="00B03B15" w:rsidRDefault="00B03B15" w:rsidP="00B03B15">
      <w:pPr>
        <w:ind w:firstLine="708"/>
        <w:jc w:val="both"/>
        <w:rPr>
          <w:rFonts w:ascii="Abadi" w:hAnsi="Abadi"/>
          <w:sz w:val="21"/>
          <w:szCs w:val="21"/>
          <w:lang w:val="es-MX" w:eastAsia="en-US"/>
        </w:rPr>
      </w:pPr>
    </w:p>
    <w:p w14:paraId="12FB75E5" w14:textId="77777777" w:rsidR="00B03B15" w:rsidRPr="00B03B15" w:rsidRDefault="00B03B15" w:rsidP="00B03B15">
      <w:pPr>
        <w:ind w:firstLine="604"/>
        <w:rPr>
          <w:rFonts w:ascii="Abadi" w:hAnsi="Abadi" w:cs="Arial"/>
          <w:bCs/>
          <w:sz w:val="21"/>
          <w:szCs w:val="21"/>
          <w:lang w:val="es-ES_tradnl" w:eastAsia="en-US"/>
        </w:rPr>
      </w:pPr>
      <w:r w:rsidRPr="00B03B15">
        <w:rPr>
          <w:rFonts w:ascii="Abadi" w:hAnsi="Abadi" w:cs="Arial"/>
          <w:b/>
          <w:sz w:val="21"/>
          <w:szCs w:val="21"/>
          <w:lang w:val="es-ES_tradnl" w:eastAsia="en-US"/>
        </w:rPr>
        <w:t xml:space="preserve">I </w:t>
      </w:r>
      <w:r w:rsidRPr="00B03B15">
        <w:rPr>
          <w:rFonts w:ascii="Abadi" w:hAnsi="Abadi" w:cs="Arial"/>
          <w:bCs/>
          <w:sz w:val="21"/>
          <w:szCs w:val="21"/>
          <w:lang w:val="es-ES_tradnl" w:eastAsia="en-US"/>
        </w:rPr>
        <w:t xml:space="preserve">a </w:t>
      </w:r>
      <w:r w:rsidRPr="00B03B15">
        <w:rPr>
          <w:rFonts w:ascii="Abadi" w:hAnsi="Abadi" w:cs="Arial"/>
          <w:b/>
          <w:sz w:val="21"/>
          <w:szCs w:val="21"/>
          <w:lang w:val="es-ES_tradnl" w:eastAsia="en-US"/>
        </w:rPr>
        <w:t>IV.</w:t>
      </w:r>
      <w:r w:rsidRPr="00B03B15">
        <w:rPr>
          <w:rFonts w:ascii="Abadi" w:hAnsi="Abadi" w:cs="Arial"/>
          <w:bCs/>
          <w:sz w:val="21"/>
          <w:szCs w:val="21"/>
          <w:lang w:val="es-ES_tradnl" w:eastAsia="en-US"/>
        </w:rPr>
        <w:t xml:space="preserve"> ... </w:t>
      </w:r>
    </w:p>
    <w:p w14:paraId="53E685E4" w14:textId="77777777" w:rsidR="00B03B15" w:rsidRPr="00B03B15" w:rsidRDefault="00B03B15" w:rsidP="00B03B15">
      <w:pPr>
        <w:jc w:val="center"/>
        <w:rPr>
          <w:rFonts w:ascii="Abadi" w:hAnsi="Abadi" w:cs="Arial"/>
          <w:bCs/>
          <w:sz w:val="21"/>
          <w:szCs w:val="21"/>
          <w:lang w:val="es-ES_tradnl" w:eastAsia="en-US"/>
        </w:rPr>
      </w:pPr>
    </w:p>
    <w:p w14:paraId="4DAB6268" w14:textId="77777777" w:rsidR="00B03B15" w:rsidRPr="00B03B15" w:rsidRDefault="00B03B15" w:rsidP="00B03B15">
      <w:pPr>
        <w:ind w:left="993" w:hanging="426"/>
        <w:jc w:val="both"/>
        <w:rPr>
          <w:rFonts w:ascii="Abadi" w:hAnsi="Abadi" w:cs="Arial"/>
          <w:b/>
          <w:sz w:val="21"/>
          <w:szCs w:val="21"/>
          <w:lang w:val="es-ES_tradnl" w:eastAsia="en-US"/>
        </w:rPr>
      </w:pPr>
    </w:p>
    <w:p w14:paraId="42EAFCCF" w14:textId="77777777" w:rsidR="00B03B15" w:rsidRPr="00B03B15" w:rsidRDefault="00B03B15" w:rsidP="00B03B15">
      <w:pPr>
        <w:ind w:left="993" w:hanging="426"/>
        <w:jc w:val="both"/>
        <w:rPr>
          <w:rFonts w:ascii="Abadi" w:hAnsi="Abadi" w:cs="Arial"/>
          <w:b/>
          <w:sz w:val="21"/>
          <w:szCs w:val="21"/>
          <w:lang w:val="es-ES_tradnl" w:eastAsia="en-US"/>
        </w:rPr>
      </w:pPr>
      <w:r w:rsidRPr="00B03B15">
        <w:rPr>
          <w:rFonts w:ascii="Abadi" w:hAnsi="Abadi"/>
          <w:b/>
          <w:bCs/>
          <w:sz w:val="21"/>
          <w:szCs w:val="21"/>
          <w:lang w:val="es-MX" w:eastAsia="en-US"/>
        </w:rPr>
        <w:t>V.</w:t>
      </w:r>
      <w:r w:rsidRPr="00B03B15">
        <w:rPr>
          <w:rFonts w:ascii="Abadi" w:hAnsi="Abadi"/>
          <w:sz w:val="21"/>
          <w:szCs w:val="21"/>
          <w:lang w:val="es-MX" w:eastAsia="en-US"/>
        </w:rPr>
        <w:t xml:space="preserve"> Demostrar su solvencia económica y capacidad para la producción o suministro de bienes muebles y en su caso para el arrendamiento de estos o la prestación de servicios;</w:t>
      </w:r>
    </w:p>
    <w:p w14:paraId="4BF1608C" w14:textId="77777777" w:rsidR="00B03B15" w:rsidRPr="00B03B15" w:rsidRDefault="00B03B15" w:rsidP="00B03B15">
      <w:pPr>
        <w:ind w:left="993" w:hanging="426"/>
        <w:jc w:val="both"/>
        <w:rPr>
          <w:rFonts w:ascii="Abadi" w:hAnsi="Abadi" w:cs="Arial"/>
          <w:b/>
          <w:sz w:val="21"/>
          <w:szCs w:val="21"/>
          <w:lang w:val="es-ES_tradnl" w:eastAsia="en-US"/>
        </w:rPr>
      </w:pPr>
    </w:p>
    <w:p w14:paraId="51064668" w14:textId="5770AA9A" w:rsidR="00B03B15" w:rsidRPr="00B03B15" w:rsidRDefault="00B03B15" w:rsidP="007B7DFE">
      <w:pPr>
        <w:ind w:left="993" w:hanging="426"/>
        <w:jc w:val="both"/>
        <w:rPr>
          <w:rFonts w:ascii="Abadi" w:hAnsi="Abadi" w:cs="Arial"/>
          <w:bCs/>
          <w:sz w:val="21"/>
          <w:szCs w:val="21"/>
          <w:lang w:val="es-ES_tradnl" w:eastAsia="en-US"/>
        </w:rPr>
      </w:pPr>
      <w:r w:rsidRPr="00B03B15">
        <w:rPr>
          <w:rFonts w:ascii="Abadi" w:hAnsi="Abadi" w:cs="Arial"/>
          <w:b/>
          <w:sz w:val="21"/>
          <w:szCs w:val="21"/>
          <w:lang w:val="es-ES_tradnl" w:eastAsia="en-US"/>
        </w:rPr>
        <w:t>VI.</w:t>
      </w:r>
      <w:r w:rsidRPr="00B03B15">
        <w:rPr>
          <w:rFonts w:ascii="Abadi" w:hAnsi="Abadi" w:cs="Arial"/>
          <w:bCs/>
          <w:sz w:val="21"/>
          <w:szCs w:val="21"/>
          <w:lang w:val="es-ES_tradnl" w:eastAsia="en-US"/>
        </w:rPr>
        <w:t xml:space="preserve"> Proporcionar la georreferenciación del domicilio de la persona solicitante, así como fotografías o cualquier otro medio que permita identificar el interior y exterior del inmueble en que lleve a cabo sus actividades; y</w:t>
      </w:r>
    </w:p>
    <w:p w14:paraId="78C7F033" w14:textId="77777777" w:rsidR="00B03B15" w:rsidRPr="00B03B15" w:rsidRDefault="00B03B15" w:rsidP="00B03B15">
      <w:pPr>
        <w:ind w:firstLine="708"/>
        <w:jc w:val="both"/>
        <w:rPr>
          <w:rFonts w:ascii="Abadi" w:hAnsi="Abadi"/>
          <w:sz w:val="21"/>
          <w:szCs w:val="21"/>
          <w:lang w:val="es-MX" w:eastAsia="en-US"/>
        </w:rPr>
      </w:pPr>
    </w:p>
    <w:p w14:paraId="2956CE5D" w14:textId="77777777" w:rsidR="00B03B15" w:rsidRPr="00B03B15" w:rsidRDefault="00B03B15" w:rsidP="00B03B15">
      <w:pPr>
        <w:ind w:left="993" w:hanging="567"/>
        <w:jc w:val="both"/>
        <w:rPr>
          <w:rFonts w:ascii="Abadi" w:hAnsi="Abadi" w:cs="Arial"/>
          <w:bCs/>
          <w:sz w:val="21"/>
          <w:szCs w:val="21"/>
          <w:lang w:val="es-ES_tradnl" w:eastAsia="en-US"/>
        </w:rPr>
      </w:pPr>
      <w:r w:rsidRPr="00B03B15">
        <w:rPr>
          <w:rFonts w:ascii="Abadi" w:hAnsi="Abadi"/>
          <w:b/>
          <w:bCs/>
          <w:sz w:val="21"/>
          <w:szCs w:val="21"/>
          <w:lang w:val="es-MX" w:eastAsia="en-US"/>
        </w:rPr>
        <w:t xml:space="preserve">VII. </w:t>
      </w:r>
      <w:r w:rsidRPr="00B03B15">
        <w:rPr>
          <w:rFonts w:ascii="Abadi" w:hAnsi="Abadi"/>
          <w:sz w:val="21"/>
          <w:szCs w:val="21"/>
          <w:lang w:val="es-MX" w:eastAsia="en-US"/>
        </w:rPr>
        <w:t>Proporcionar la información complementaria que se les solicite, en términos de la presente ley</w:t>
      </w:r>
      <w:r w:rsidRPr="00B03B15">
        <w:rPr>
          <w:rFonts w:ascii="Abadi" w:hAnsi="Abadi" w:cs="Arial"/>
          <w:bCs/>
          <w:sz w:val="21"/>
          <w:szCs w:val="21"/>
          <w:lang w:val="es-ES_tradnl" w:eastAsia="en-US"/>
        </w:rPr>
        <w:t>.</w:t>
      </w:r>
    </w:p>
    <w:p w14:paraId="023786C1" w14:textId="77777777" w:rsidR="00B03B15" w:rsidRPr="00B03B15" w:rsidRDefault="00B03B15" w:rsidP="00B03B15">
      <w:pPr>
        <w:ind w:firstLine="567"/>
        <w:jc w:val="both"/>
        <w:rPr>
          <w:rFonts w:ascii="Abadi" w:hAnsi="Abadi" w:cs="Arial"/>
          <w:bCs/>
          <w:sz w:val="21"/>
          <w:szCs w:val="21"/>
          <w:lang w:val="es-ES_tradnl" w:eastAsia="en-US"/>
        </w:rPr>
      </w:pPr>
    </w:p>
    <w:p w14:paraId="273939BC" w14:textId="77777777" w:rsidR="00B03B15" w:rsidRPr="00B03B15" w:rsidRDefault="00B03B15" w:rsidP="00B03B15">
      <w:pPr>
        <w:ind w:firstLine="567"/>
        <w:jc w:val="both"/>
        <w:rPr>
          <w:rFonts w:ascii="Abadi" w:hAnsi="Abadi" w:cs="Arial"/>
          <w:bCs/>
          <w:sz w:val="21"/>
          <w:szCs w:val="21"/>
          <w:lang w:val="es-ES_tradnl" w:eastAsia="en-US"/>
        </w:rPr>
      </w:pPr>
    </w:p>
    <w:p w14:paraId="5968ADCD" w14:textId="77777777" w:rsidR="00B03B15" w:rsidRPr="00B03B15" w:rsidRDefault="00B03B15" w:rsidP="00B03B15">
      <w:pPr>
        <w:jc w:val="right"/>
        <w:rPr>
          <w:rFonts w:ascii="Abadi" w:hAnsi="Abadi"/>
          <w:b/>
          <w:bCs/>
          <w:i/>
          <w:iCs/>
          <w:sz w:val="21"/>
          <w:szCs w:val="21"/>
          <w:lang w:val="es-MX" w:eastAsia="en-US"/>
        </w:rPr>
      </w:pPr>
      <w:r w:rsidRPr="00B03B15">
        <w:rPr>
          <w:rFonts w:ascii="Abadi" w:hAnsi="Abadi"/>
          <w:b/>
          <w:bCs/>
          <w:i/>
          <w:iCs/>
          <w:sz w:val="21"/>
          <w:szCs w:val="21"/>
          <w:lang w:val="es-MX" w:eastAsia="en-US"/>
        </w:rPr>
        <w:t>Cancelación de registro</w:t>
      </w:r>
    </w:p>
    <w:p w14:paraId="1FE06D69" w14:textId="77777777" w:rsidR="00B03B15" w:rsidRPr="00B03B15" w:rsidRDefault="00B03B15" w:rsidP="00B03B15">
      <w:pPr>
        <w:ind w:firstLine="567"/>
        <w:rPr>
          <w:rFonts w:ascii="Abadi" w:hAnsi="Abadi"/>
          <w:sz w:val="21"/>
          <w:szCs w:val="21"/>
          <w:lang w:val="es-MX" w:eastAsia="en-US"/>
        </w:rPr>
      </w:pPr>
      <w:r w:rsidRPr="00B03B15">
        <w:rPr>
          <w:rFonts w:ascii="Abadi" w:hAnsi="Abadi"/>
          <w:b/>
          <w:bCs/>
          <w:sz w:val="21"/>
          <w:szCs w:val="21"/>
          <w:lang w:val="es-MX" w:eastAsia="en-US"/>
        </w:rPr>
        <w:t xml:space="preserve">Artículo 40. </w:t>
      </w:r>
      <w:r w:rsidRPr="00B03B15">
        <w:rPr>
          <w:rFonts w:ascii="Abadi" w:hAnsi="Abadi"/>
          <w:sz w:val="21"/>
          <w:szCs w:val="21"/>
          <w:lang w:val="es-MX" w:eastAsia="en-US"/>
        </w:rPr>
        <w:t>Se cancelará el…</w:t>
      </w:r>
    </w:p>
    <w:p w14:paraId="7FD22A1C" w14:textId="77777777" w:rsidR="00B03B15" w:rsidRPr="00B03B15" w:rsidRDefault="00B03B15" w:rsidP="00B03B15">
      <w:pPr>
        <w:ind w:firstLine="567"/>
        <w:rPr>
          <w:rFonts w:ascii="Abadi" w:hAnsi="Abadi"/>
          <w:sz w:val="21"/>
          <w:szCs w:val="21"/>
          <w:lang w:val="es-ES_tradnl" w:eastAsia="en-US"/>
        </w:rPr>
      </w:pPr>
    </w:p>
    <w:p w14:paraId="3CA673A0" w14:textId="77777777" w:rsidR="00B03B15" w:rsidRPr="00B03B15" w:rsidRDefault="00B03B15" w:rsidP="00B03B15">
      <w:pPr>
        <w:ind w:firstLine="567"/>
        <w:rPr>
          <w:rFonts w:ascii="Abadi" w:hAnsi="Abadi"/>
          <w:sz w:val="21"/>
          <w:szCs w:val="21"/>
          <w:lang w:val="es-ES_tradnl" w:eastAsia="en-US"/>
        </w:rPr>
      </w:pPr>
    </w:p>
    <w:p w14:paraId="58AE99EA" w14:textId="77777777" w:rsidR="00B03B15" w:rsidRPr="00B03B15" w:rsidRDefault="00B03B15" w:rsidP="00B03B15">
      <w:pPr>
        <w:ind w:firstLine="567"/>
        <w:jc w:val="both"/>
        <w:rPr>
          <w:rFonts w:ascii="Abadi" w:hAnsi="Abadi"/>
          <w:sz w:val="21"/>
          <w:szCs w:val="21"/>
          <w:lang w:val="es-MX" w:eastAsia="en-US"/>
        </w:rPr>
      </w:pPr>
      <w:r w:rsidRPr="00B03B15">
        <w:rPr>
          <w:rFonts w:ascii="Abadi" w:hAnsi="Abadi"/>
          <w:b/>
          <w:bCs/>
          <w:sz w:val="21"/>
          <w:szCs w:val="21"/>
          <w:lang w:val="es-MX" w:eastAsia="en-US"/>
        </w:rPr>
        <w:t>I.</w:t>
      </w:r>
      <w:r w:rsidRPr="00B03B15">
        <w:rPr>
          <w:rFonts w:ascii="Abadi" w:hAnsi="Abadi"/>
          <w:sz w:val="21"/>
          <w:szCs w:val="21"/>
          <w:lang w:val="es-MX" w:eastAsia="en-US"/>
        </w:rPr>
        <w:t xml:space="preserve"> Derogada;</w:t>
      </w:r>
    </w:p>
    <w:p w14:paraId="3D538937" w14:textId="77777777" w:rsidR="00B03B15" w:rsidRPr="00B03B15" w:rsidRDefault="00B03B15" w:rsidP="00B03B15">
      <w:pPr>
        <w:ind w:firstLine="567"/>
        <w:jc w:val="both"/>
        <w:rPr>
          <w:rFonts w:ascii="Abadi" w:hAnsi="Abadi"/>
          <w:sz w:val="21"/>
          <w:szCs w:val="21"/>
          <w:lang w:val="es-MX" w:eastAsia="en-US"/>
        </w:rPr>
      </w:pPr>
    </w:p>
    <w:p w14:paraId="48C3C957" w14:textId="77777777" w:rsidR="00B03B15" w:rsidRPr="00B03B15" w:rsidRDefault="00B03B15" w:rsidP="00B03B15">
      <w:pPr>
        <w:ind w:firstLine="567"/>
        <w:jc w:val="both"/>
        <w:rPr>
          <w:rFonts w:ascii="Abadi" w:hAnsi="Abadi"/>
          <w:sz w:val="21"/>
          <w:szCs w:val="21"/>
          <w:lang w:val="es-MX" w:eastAsia="en-US"/>
        </w:rPr>
      </w:pPr>
    </w:p>
    <w:p w14:paraId="1A0FD797" w14:textId="77777777" w:rsidR="00B03B15" w:rsidRPr="00B03B15" w:rsidRDefault="00B03B15" w:rsidP="00B03B15">
      <w:pPr>
        <w:ind w:firstLine="567"/>
        <w:jc w:val="both"/>
        <w:rPr>
          <w:rFonts w:ascii="Abadi" w:hAnsi="Abadi"/>
          <w:sz w:val="21"/>
          <w:szCs w:val="21"/>
          <w:lang w:val="es-MX" w:eastAsia="en-US"/>
        </w:rPr>
      </w:pPr>
      <w:r w:rsidRPr="00B03B15">
        <w:rPr>
          <w:rFonts w:ascii="Abadi" w:hAnsi="Abadi"/>
          <w:b/>
          <w:bCs/>
          <w:sz w:val="21"/>
          <w:szCs w:val="21"/>
          <w:lang w:val="es-MX" w:eastAsia="en-US"/>
        </w:rPr>
        <w:t>II.</w:t>
      </w:r>
      <w:r w:rsidRPr="00B03B15">
        <w:rPr>
          <w:rFonts w:ascii="Abadi" w:hAnsi="Abadi"/>
          <w:sz w:val="21"/>
          <w:szCs w:val="21"/>
          <w:lang w:val="es-MX" w:eastAsia="en-US"/>
        </w:rPr>
        <w:t xml:space="preserve"> Derogada;</w:t>
      </w:r>
    </w:p>
    <w:p w14:paraId="6CCE6C2F" w14:textId="77777777" w:rsidR="00B03B15" w:rsidRPr="00B03B15" w:rsidRDefault="00B03B15" w:rsidP="00B03B15">
      <w:pPr>
        <w:ind w:firstLine="567"/>
        <w:jc w:val="both"/>
        <w:rPr>
          <w:rFonts w:ascii="Abadi" w:hAnsi="Abadi"/>
          <w:b/>
          <w:bCs/>
          <w:sz w:val="21"/>
          <w:szCs w:val="21"/>
          <w:lang w:val="es-MX" w:eastAsia="en-US"/>
        </w:rPr>
      </w:pPr>
    </w:p>
    <w:p w14:paraId="461926FB" w14:textId="77777777" w:rsidR="00B03B15" w:rsidRPr="00B03B15" w:rsidRDefault="00B03B15" w:rsidP="00B03B15">
      <w:pPr>
        <w:ind w:firstLine="567"/>
        <w:jc w:val="both"/>
        <w:rPr>
          <w:rFonts w:ascii="Abadi" w:hAnsi="Abadi"/>
          <w:b/>
          <w:bCs/>
          <w:sz w:val="21"/>
          <w:szCs w:val="21"/>
          <w:lang w:val="es-MX" w:eastAsia="en-US"/>
        </w:rPr>
      </w:pPr>
    </w:p>
    <w:p w14:paraId="4DF95834" w14:textId="77777777" w:rsidR="00B03B15" w:rsidRPr="00B03B15" w:rsidRDefault="00B03B15" w:rsidP="00B03B15">
      <w:pPr>
        <w:ind w:firstLine="567"/>
        <w:jc w:val="both"/>
        <w:rPr>
          <w:rFonts w:ascii="Abadi" w:hAnsi="Abadi"/>
          <w:sz w:val="21"/>
          <w:szCs w:val="21"/>
          <w:lang w:val="es-MX" w:eastAsia="en-US"/>
        </w:rPr>
      </w:pPr>
      <w:r w:rsidRPr="00B03B15">
        <w:rPr>
          <w:rFonts w:ascii="Abadi" w:hAnsi="Abadi"/>
          <w:b/>
          <w:bCs/>
          <w:sz w:val="21"/>
          <w:szCs w:val="21"/>
          <w:lang w:val="es-MX" w:eastAsia="en-US"/>
        </w:rPr>
        <w:t>III a V.</w:t>
      </w:r>
      <w:r w:rsidRPr="00B03B15">
        <w:rPr>
          <w:rFonts w:ascii="Abadi" w:hAnsi="Abadi"/>
          <w:sz w:val="21"/>
          <w:szCs w:val="21"/>
          <w:lang w:val="es-MX" w:eastAsia="en-US"/>
        </w:rPr>
        <w:t xml:space="preserve"> …</w:t>
      </w:r>
    </w:p>
    <w:p w14:paraId="71B9A7BE" w14:textId="77777777" w:rsidR="00B03B15" w:rsidRPr="00B03B15" w:rsidRDefault="00B03B15" w:rsidP="00B03B15">
      <w:pPr>
        <w:ind w:firstLine="567"/>
        <w:jc w:val="both"/>
        <w:rPr>
          <w:rFonts w:ascii="Abadi" w:hAnsi="Abadi"/>
          <w:sz w:val="21"/>
          <w:szCs w:val="21"/>
          <w:lang w:val="es-MX" w:eastAsia="en-US"/>
        </w:rPr>
      </w:pPr>
    </w:p>
    <w:p w14:paraId="395C3E14" w14:textId="77777777" w:rsidR="00646AC5" w:rsidRDefault="00646AC5" w:rsidP="00B03B15">
      <w:pPr>
        <w:jc w:val="right"/>
        <w:rPr>
          <w:rFonts w:ascii="Abadi" w:hAnsi="Abadi"/>
          <w:b/>
          <w:bCs/>
          <w:i/>
          <w:iCs/>
          <w:sz w:val="21"/>
          <w:szCs w:val="21"/>
          <w:lang w:val="es-MX" w:eastAsia="en-US"/>
        </w:rPr>
      </w:pPr>
    </w:p>
    <w:p w14:paraId="7A651097" w14:textId="4D07A546" w:rsidR="00B03B15" w:rsidRPr="00B03B15" w:rsidRDefault="00B03B15" w:rsidP="00B03B15">
      <w:pPr>
        <w:jc w:val="right"/>
        <w:rPr>
          <w:rFonts w:ascii="Abadi" w:hAnsi="Abadi"/>
          <w:b/>
          <w:bCs/>
          <w:i/>
          <w:iCs/>
          <w:sz w:val="21"/>
          <w:szCs w:val="21"/>
          <w:lang w:val="es-MX" w:eastAsia="en-US"/>
        </w:rPr>
      </w:pPr>
      <w:r w:rsidRPr="00B03B15">
        <w:rPr>
          <w:rFonts w:ascii="Abadi" w:hAnsi="Abadi"/>
          <w:b/>
          <w:bCs/>
          <w:i/>
          <w:iCs/>
          <w:sz w:val="21"/>
          <w:szCs w:val="21"/>
          <w:lang w:val="es-MX" w:eastAsia="en-US"/>
        </w:rPr>
        <w:t>Alegatos y pruebas…</w:t>
      </w:r>
    </w:p>
    <w:p w14:paraId="123A78B4" w14:textId="77777777" w:rsidR="00B03B15" w:rsidRPr="00B03B15" w:rsidRDefault="00B03B15" w:rsidP="00B03B15">
      <w:pPr>
        <w:ind w:firstLine="567"/>
        <w:jc w:val="both"/>
        <w:rPr>
          <w:rFonts w:ascii="Abadi" w:hAnsi="Abadi"/>
          <w:sz w:val="21"/>
          <w:szCs w:val="21"/>
          <w:lang w:val="es-MX" w:eastAsia="en-US"/>
        </w:rPr>
      </w:pPr>
      <w:r w:rsidRPr="00B03B15">
        <w:rPr>
          <w:rFonts w:ascii="Abadi" w:hAnsi="Abadi"/>
          <w:b/>
          <w:bCs/>
          <w:sz w:val="21"/>
          <w:szCs w:val="21"/>
          <w:lang w:val="es-MX" w:eastAsia="en-US"/>
        </w:rPr>
        <w:t>Artículo 41.</w:t>
      </w:r>
      <w:r w:rsidRPr="00B03B15">
        <w:rPr>
          <w:rFonts w:ascii="Abadi" w:hAnsi="Abadi"/>
          <w:sz w:val="21"/>
          <w:szCs w:val="21"/>
          <w:lang w:val="es-MX" w:eastAsia="en-US"/>
        </w:rPr>
        <w:t xml:space="preserve"> Previamente a decretar …</w:t>
      </w:r>
    </w:p>
    <w:p w14:paraId="68355101" w14:textId="77777777" w:rsidR="00B03B15" w:rsidRPr="00B03B15" w:rsidRDefault="00B03B15" w:rsidP="00B03B15">
      <w:pPr>
        <w:jc w:val="both"/>
        <w:rPr>
          <w:rFonts w:ascii="Abadi" w:hAnsi="Abadi"/>
          <w:sz w:val="21"/>
          <w:szCs w:val="21"/>
          <w:lang w:val="es-MX" w:eastAsia="en-US"/>
        </w:rPr>
      </w:pPr>
    </w:p>
    <w:p w14:paraId="6071755E" w14:textId="77777777" w:rsidR="00B03B15" w:rsidRPr="00B03B15" w:rsidRDefault="00B03B15" w:rsidP="00B03B15">
      <w:pPr>
        <w:ind w:firstLine="567"/>
        <w:jc w:val="both"/>
        <w:rPr>
          <w:rFonts w:ascii="Abadi" w:hAnsi="Abadi"/>
          <w:sz w:val="21"/>
          <w:szCs w:val="21"/>
          <w:lang w:val="es-MX" w:eastAsia="en-US"/>
        </w:rPr>
      </w:pPr>
      <w:r w:rsidRPr="00B03B15">
        <w:rPr>
          <w:rFonts w:ascii="Abadi" w:hAnsi="Abadi"/>
          <w:sz w:val="21"/>
          <w:szCs w:val="21"/>
          <w:lang w:val="es-MX" w:eastAsia="en-US"/>
        </w:rPr>
        <w:t>El procedimiento para decretar la cancelación del registro sólo será instaurado cuando se actualice el supuesto previsto en el artículo 40, fracción V de esta ley.</w:t>
      </w:r>
    </w:p>
    <w:p w14:paraId="7BB08776" w14:textId="77777777" w:rsidR="00B03B15" w:rsidRPr="00B03B15" w:rsidRDefault="00B03B15" w:rsidP="00B03B15">
      <w:pPr>
        <w:ind w:firstLine="567"/>
        <w:jc w:val="both"/>
        <w:rPr>
          <w:rFonts w:ascii="Abadi" w:hAnsi="Abadi"/>
          <w:b/>
          <w:bCs/>
          <w:sz w:val="21"/>
          <w:szCs w:val="21"/>
          <w:lang w:val="es-MX" w:eastAsia="en-US"/>
        </w:rPr>
      </w:pPr>
    </w:p>
    <w:p w14:paraId="2FB6FAEC" w14:textId="77777777" w:rsidR="00646AC5" w:rsidRDefault="00646AC5" w:rsidP="00B03B15">
      <w:pPr>
        <w:jc w:val="right"/>
        <w:rPr>
          <w:rFonts w:ascii="Abadi" w:hAnsi="Abadi"/>
          <w:b/>
          <w:bCs/>
          <w:i/>
          <w:iCs/>
          <w:sz w:val="21"/>
          <w:szCs w:val="21"/>
          <w:lang w:val="es-MX" w:eastAsia="en-US"/>
        </w:rPr>
      </w:pPr>
    </w:p>
    <w:p w14:paraId="3E49C4C9" w14:textId="22C66254" w:rsidR="00B03B15" w:rsidRPr="00B03B15" w:rsidRDefault="00B03B15" w:rsidP="00B03B15">
      <w:pPr>
        <w:jc w:val="right"/>
        <w:rPr>
          <w:rFonts w:ascii="Abadi" w:hAnsi="Abadi"/>
          <w:b/>
          <w:bCs/>
          <w:i/>
          <w:iCs/>
          <w:sz w:val="21"/>
          <w:szCs w:val="21"/>
          <w:lang w:val="es-MX" w:eastAsia="en-US"/>
        </w:rPr>
      </w:pPr>
      <w:r w:rsidRPr="00B03B15">
        <w:rPr>
          <w:rFonts w:ascii="Abadi" w:hAnsi="Abadi"/>
          <w:b/>
          <w:bCs/>
          <w:i/>
          <w:iCs/>
          <w:sz w:val="21"/>
          <w:szCs w:val="21"/>
          <w:lang w:val="es-MX" w:eastAsia="en-US"/>
        </w:rPr>
        <w:t>Impedimentos para participar…</w:t>
      </w:r>
    </w:p>
    <w:p w14:paraId="2F0F23DE" w14:textId="77777777" w:rsidR="00B03B15" w:rsidRPr="00B03B15" w:rsidRDefault="00B03B15" w:rsidP="00B03B15">
      <w:pPr>
        <w:ind w:firstLine="567"/>
        <w:rPr>
          <w:rFonts w:ascii="Abadi" w:hAnsi="Abadi"/>
          <w:sz w:val="21"/>
          <w:szCs w:val="21"/>
          <w:lang w:val="es-MX" w:eastAsia="en-US"/>
        </w:rPr>
      </w:pPr>
      <w:r w:rsidRPr="00B03B15">
        <w:rPr>
          <w:rFonts w:ascii="Abadi" w:hAnsi="Abadi"/>
          <w:b/>
          <w:bCs/>
          <w:sz w:val="21"/>
          <w:szCs w:val="21"/>
          <w:lang w:val="es-MX" w:eastAsia="en-US"/>
        </w:rPr>
        <w:t>Artículo 42.</w:t>
      </w:r>
      <w:r w:rsidRPr="00B03B15">
        <w:rPr>
          <w:rFonts w:ascii="Abadi" w:hAnsi="Abadi"/>
          <w:sz w:val="21"/>
          <w:szCs w:val="21"/>
          <w:lang w:val="es-MX" w:eastAsia="en-US"/>
        </w:rPr>
        <w:t xml:space="preserve"> Están impedidos para…</w:t>
      </w:r>
    </w:p>
    <w:p w14:paraId="0FFF8EBB" w14:textId="77777777" w:rsidR="00B03B15" w:rsidRPr="00B03B15" w:rsidRDefault="00B03B15" w:rsidP="007B7DFE">
      <w:pPr>
        <w:rPr>
          <w:rFonts w:ascii="Abadi" w:hAnsi="Abadi"/>
          <w:sz w:val="21"/>
          <w:szCs w:val="21"/>
          <w:lang w:val="es-MX" w:eastAsia="en-US"/>
        </w:rPr>
      </w:pPr>
    </w:p>
    <w:p w14:paraId="5A1363A4" w14:textId="77777777" w:rsidR="00B03B15" w:rsidRPr="00B03B15" w:rsidRDefault="00B03B15" w:rsidP="001A28E5">
      <w:pPr>
        <w:numPr>
          <w:ilvl w:val="0"/>
          <w:numId w:val="77"/>
        </w:numPr>
        <w:ind w:left="851" w:hanging="284"/>
        <w:rPr>
          <w:rFonts w:ascii="Abadi" w:hAnsi="Abadi"/>
          <w:sz w:val="21"/>
          <w:szCs w:val="21"/>
          <w:lang w:val="es-MX" w:eastAsia="en-US"/>
        </w:rPr>
      </w:pPr>
      <w:r w:rsidRPr="00B03B15">
        <w:rPr>
          <w:rFonts w:ascii="Abadi" w:hAnsi="Abadi"/>
          <w:sz w:val="21"/>
          <w:szCs w:val="21"/>
          <w:lang w:val="es-MX" w:eastAsia="en-US"/>
        </w:rPr>
        <w:t>…</w:t>
      </w:r>
    </w:p>
    <w:p w14:paraId="6B3919CB" w14:textId="77777777" w:rsidR="00B03B15" w:rsidRPr="00B03B15" w:rsidRDefault="00B03B15" w:rsidP="007B7DFE">
      <w:pPr>
        <w:rPr>
          <w:rFonts w:ascii="Abadi" w:hAnsi="Abadi"/>
          <w:sz w:val="21"/>
          <w:szCs w:val="21"/>
          <w:lang w:val="es-MX" w:eastAsia="en-US"/>
        </w:rPr>
      </w:pPr>
    </w:p>
    <w:p w14:paraId="089F6767" w14:textId="77777777" w:rsidR="00B03B15" w:rsidRPr="00B03B15" w:rsidRDefault="00B03B15" w:rsidP="00B03B15">
      <w:pPr>
        <w:ind w:firstLine="567"/>
        <w:jc w:val="both"/>
        <w:rPr>
          <w:rFonts w:ascii="Abadi" w:hAnsi="Abadi"/>
          <w:b/>
          <w:bCs/>
          <w:sz w:val="21"/>
          <w:szCs w:val="21"/>
          <w:lang w:val="es-MX" w:eastAsia="en-US"/>
        </w:rPr>
      </w:pPr>
      <w:r w:rsidRPr="00B03B15">
        <w:rPr>
          <w:rFonts w:ascii="Abadi" w:hAnsi="Abadi"/>
          <w:b/>
          <w:bCs/>
          <w:sz w:val="21"/>
          <w:szCs w:val="21"/>
          <w:lang w:val="es-MX" w:eastAsia="en-US"/>
        </w:rPr>
        <w:t>II.</w:t>
      </w:r>
      <w:r w:rsidRPr="00B03B15">
        <w:rPr>
          <w:rFonts w:ascii="Abadi" w:hAnsi="Abadi"/>
          <w:sz w:val="21"/>
          <w:szCs w:val="21"/>
          <w:lang w:val="es-MX" w:eastAsia="en-US"/>
        </w:rPr>
        <w:t xml:space="preserve"> </w:t>
      </w:r>
      <w:r w:rsidRPr="00B03B15">
        <w:rPr>
          <w:rFonts w:ascii="Abadi" w:hAnsi="Abadi"/>
          <w:b/>
          <w:bCs/>
          <w:sz w:val="21"/>
          <w:szCs w:val="21"/>
          <w:lang w:val="es-MX" w:eastAsia="en-US"/>
        </w:rPr>
        <w:t>Derogada;</w:t>
      </w:r>
    </w:p>
    <w:p w14:paraId="423796FC" w14:textId="77777777" w:rsidR="00B03B15" w:rsidRPr="00B03B15" w:rsidRDefault="00B03B15" w:rsidP="00B03B15">
      <w:pPr>
        <w:rPr>
          <w:rFonts w:ascii="Abadi" w:hAnsi="Abadi"/>
          <w:sz w:val="21"/>
          <w:szCs w:val="21"/>
          <w:lang w:val="es-MX" w:eastAsia="en-US"/>
        </w:rPr>
      </w:pPr>
    </w:p>
    <w:p w14:paraId="69A819BC" w14:textId="77777777" w:rsidR="00B03B15" w:rsidRPr="00B03B15" w:rsidRDefault="00B03B15" w:rsidP="00B03B15">
      <w:pPr>
        <w:ind w:left="1134" w:hanging="567"/>
        <w:jc w:val="both"/>
        <w:rPr>
          <w:rFonts w:ascii="Abadi" w:hAnsi="Abadi"/>
          <w:sz w:val="21"/>
          <w:szCs w:val="21"/>
          <w:lang w:val="es-MX" w:eastAsia="en-US"/>
        </w:rPr>
      </w:pPr>
      <w:r w:rsidRPr="00B03B15">
        <w:rPr>
          <w:rFonts w:ascii="Abadi" w:hAnsi="Abadi"/>
          <w:b/>
          <w:bCs/>
          <w:sz w:val="21"/>
          <w:szCs w:val="21"/>
          <w:lang w:val="es-MX" w:eastAsia="en-US"/>
        </w:rPr>
        <w:t>III.</w:t>
      </w:r>
      <w:r w:rsidRPr="00B03B15">
        <w:rPr>
          <w:rFonts w:ascii="Abadi" w:hAnsi="Abadi"/>
          <w:sz w:val="21"/>
          <w:szCs w:val="21"/>
          <w:lang w:val="es-MX" w:eastAsia="en-US"/>
        </w:rPr>
        <w:t xml:space="preserve">  Aquellas que hubieren proporcionado información que resulte falsa o que hayan actuado con dolo o mala fe en alguna etapa del procedimiento para la adjudicación de un contrato;</w:t>
      </w:r>
    </w:p>
    <w:p w14:paraId="70F0397B" w14:textId="77777777" w:rsidR="00B03B15" w:rsidRPr="00B03B15" w:rsidRDefault="00B03B15" w:rsidP="00B03B15">
      <w:pPr>
        <w:ind w:firstLine="567"/>
        <w:jc w:val="both"/>
        <w:rPr>
          <w:rFonts w:ascii="Abadi" w:hAnsi="Abadi"/>
          <w:sz w:val="21"/>
          <w:szCs w:val="21"/>
          <w:lang w:val="es-MX" w:eastAsia="en-US"/>
        </w:rPr>
      </w:pPr>
    </w:p>
    <w:p w14:paraId="4ADA0B02" w14:textId="77777777" w:rsidR="00B03B15" w:rsidRPr="00B03B15" w:rsidRDefault="00B03B15" w:rsidP="00B03B15">
      <w:pPr>
        <w:ind w:firstLine="567"/>
        <w:jc w:val="both"/>
        <w:rPr>
          <w:rFonts w:ascii="Abadi" w:hAnsi="Abadi"/>
          <w:sz w:val="21"/>
          <w:szCs w:val="21"/>
          <w:lang w:val="es-MX" w:eastAsia="en-US"/>
        </w:rPr>
      </w:pPr>
      <w:r w:rsidRPr="00B03B15">
        <w:rPr>
          <w:rFonts w:ascii="Abadi" w:hAnsi="Abadi"/>
          <w:b/>
          <w:bCs/>
          <w:sz w:val="21"/>
          <w:szCs w:val="21"/>
          <w:lang w:val="es-MX" w:eastAsia="en-US"/>
        </w:rPr>
        <w:t>IV</w:t>
      </w:r>
      <w:r w:rsidRPr="00B03B15">
        <w:rPr>
          <w:rFonts w:ascii="Abadi" w:hAnsi="Abadi"/>
          <w:sz w:val="21"/>
          <w:szCs w:val="21"/>
          <w:lang w:val="es-MX" w:eastAsia="en-US"/>
        </w:rPr>
        <w:t xml:space="preserve"> a </w:t>
      </w:r>
      <w:r w:rsidRPr="00B03B15">
        <w:rPr>
          <w:rFonts w:ascii="Abadi" w:hAnsi="Abadi"/>
          <w:b/>
          <w:bCs/>
          <w:sz w:val="21"/>
          <w:szCs w:val="21"/>
          <w:lang w:val="es-MX" w:eastAsia="en-US"/>
        </w:rPr>
        <w:t>XIV.</w:t>
      </w:r>
      <w:r w:rsidRPr="00B03B15">
        <w:rPr>
          <w:rFonts w:ascii="Abadi" w:hAnsi="Abadi"/>
          <w:sz w:val="21"/>
          <w:szCs w:val="21"/>
          <w:lang w:val="es-MX" w:eastAsia="en-US"/>
        </w:rPr>
        <w:t xml:space="preserve"> …</w:t>
      </w:r>
    </w:p>
    <w:p w14:paraId="6AB5090A" w14:textId="77777777" w:rsidR="00B03B15" w:rsidRPr="00B03B15" w:rsidRDefault="00B03B15" w:rsidP="007B7DFE">
      <w:pPr>
        <w:rPr>
          <w:rFonts w:ascii="Abadi" w:hAnsi="Abadi"/>
          <w:sz w:val="21"/>
          <w:szCs w:val="21"/>
          <w:lang w:val="es-MX" w:eastAsia="en-US"/>
        </w:rPr>
      </w:pPr>
    </w:p>
    <w:p w14:paraId="67B15B50" w14:textId="77777777" w:rsidR="00646AC5" w:rsidRDefault="00646AC5" w:rsidP="00B03B15">
      <w:pPr>
        <w:jc w:val="right"/>
        <w:rPr>
          <w:rFonts w:ascii="Abadi" w:hAnsi="Abadi" w:cs="Arial"/>
          <w:b/>
          <w:i/>
          <w:iCs/>
          <w:sz w:val="21"/>
          <w:szCs w:val="21"/>
          <w:lang w:val="es-MX" w:eastAsia="en-US"/>
        </w:rPr>
      </w:pPr>
    </w:p>
    <w:p w14:paraId="3E28A9B6" w14:textId="57FB8886" w:rsidR="00B03B15" w:rsidRPr="00B03B15" w:rsidRDefault="00B03B15" w:rsidP="00B03B15">
      <w:pPr>
        <w:jc w:val="right"/>
        <w:rPr>
          <w:rFonts w:ascii="Abadi" w:hAnsi="Abadi" w:cs="Arial"/>
          <w:b/>
          <w:sz w:val="21"/>
          <w:szCs w:val="21"/>
          <w:lang w:val="es-MX" w:eastAsia="en-US"/>
        </w:rPr>
      </w:pPr>
      <w:r w:rsidRPr="00B03B15">
        <w:rPr>
          <w:rFonts w:ascii="Abadi" w:hAnsi="Abadi" w:cs="Arial"/>
          <w:b/>
          <w:i/>
          <w:iCs/>
          <w:sz w:val="21"/>
          <w:szCs w:val="21"/>
          <w:lang w:val="es-MX" w:eastAsia="en-US"/>
        </w:rPr>
        <w:t>Notificaciones electrónicas</w:t>
      </w:r>
    </w:p>
    <w:p w14:paraId="3903863B" w14:textId="77777777" w:rsidR="00B03B15" w:rsidRPr="00B03B15" w:rsidRDefault="00B03B15" w:rsidP="00B03B15">
      <w:pPr>
        <w:ind w:firstLine="540"/>
        <w:jc w:val="both"/>
        <w:rPr>
          <w:rFonts w:ascii="Abadi" w:hAnsi="Abadi" w:cs="Arial"/>
          <w:bCs/>
          <w:sz w:val="21"/>
          <w:szCs w:val="21"/>
          <w:lang w:val="es-MX" w:eastAsia="en-US"/>
        </w:rPr>
      </w:pPr>
      <w:r w:rsidRPr="00B03B15">
        <w:rPr>
          <w:rFonts w:ascii="Abadi" w:hAnsi="Abadi" w:cs="Arial"/>
          <w:b/>
          <w:sz w:val="21"/>
          <w:szCs w:val="21"/>
          <w:lang w:val="es-MX" w:eastAsia="en-US"/>
        </w:rPr>
        <w:t xml:space="preserve">Artículo 52 Bis. </w:t>
      </w:r>
      <w:r w:rsidRPr="00B03B15">
        <w:rPr>
          <w:rFonts w:ascii="Abadi" w:hAnsi="Abadi" w:cs="Arial"/>
          <w:bCs/>
          <w:sz w:val="21"/>
          <w:szCs w:val="21"/>
          <w:lang w:val="es-MX" w:eastAsia="en-US"/>
        </w:rPr>
        <w:t xml:space="preserve">Las notificaciones de los actos derivados de la ejecución de los contratos celebrados al amparo de esta ley, así como aquellos que deriven de los procedimientos sancionatorios, rescisorios, y de cancelación y suspensión del Padrón-de Proveedores, podrán realizarse a través de medios electrónicos en armonía con lo señalado en el artículo anterior, con base a lo que al efecto normen los sujetos de esta ley en los correspondientes Reglamentos. </w:t>
      </w:r>
    </w:p>
    <w:p w14:paraId="57415A7A" w14:textId="77777777" w:rsidR="00B03B15" w:rsidRPr="00B03B15" w:rsidRDefault="00B03B15" w:rsidP="00B03B15">
      <w:pPr>
        <w:jc w:val="both"/>
        <w:rPr>
          <w:rFonts w:ascii="Abadi" w:hAnsi="Abadi" w:cs="Arial"/>
          <w:bCs/>
          <w:sz w:val="21"/>
          <w:szCs w:val="21"/>
          <w:lang w:val="es-MX" w:eastAsia="en-US"/>
        </w:rPr>
      </w:pPr>
    </w:p>
    <w:p w14:paraId="0138DA62" w14:textId="77777777" w:rsidR="00B03B15" w:rsidRPr="00B03B15" w:rsidRDefault="00B03B15" w:rsidP="00B03B15">
      <w:pPr>
        <w:ind w:firstLine="540"/>
        <w:jc w:val="both"/>
        <w:rPr>
          <w:rFonts w:ascii="Abadi" w:hAnsi="Abadi" w:cs="Arial"/>
          <w:bCs/>
          <w:sz w:val="21"/>
          <w:szCs w:val="21"/>
          <w:lang w:val="es-MX" w:eastAsia="en-US"/>
        </w:rPr>
      </w:pPr>
      <w:r w:rsidRPr="00B03B15">
        <w:rPr>
          <w:rFonts w:ascii="Abadi" w:hAnsi="Abadi" w:cs="Arial"/>
          <w:bCs/>
          <w:sz w:val="21"/>
          <w:szCs w:val="21"/>
          <w:lang w:val="es-MX" w:eastAsia="en-US"/>
        </w:rPr>
        <w:t>Las notificaciones que se practiquen por esta vía, se desahogarán en días y horas hábiles, y se tendrán por realizadas con el acuse de recibo electrónico que genere el correspondiente sistema electrónico. El acuse de recibo electrónico deberá certificarse y agregarse al expediente, y la certificación hará las veces de notificación.</w:t>
      </w:r>
    </w:p>
    <w:p w14:paraId="7D1E8FD4" w14:textId="77777777" w:rsidR="00B03B15" w:rsidRPr="00B03B15" w:rsidRDefault="00B03B15" w:rsidP="00B03B15">
      <w:pPr>
        <w:ind w:firstLine="540"/>
        <w:jc w:val="both"/>
        <w:rPr>
          <w:rFonts w:ascii="Abadi" w:hAnsi="Abadi"/>
          <w:sz w:val="21"/>
          <w:szCs w:val="21"/>
          <w:lang w:val="es-MX" w:eastAsia="en-US"/>
        </w:rPr>
      </w:pPr>
    </w:p>
    <w:p w14:paraId="1880BAFF" w14:textId="77777777" w:rsidR="00B03B15" w:rsidRPr="00B03B15" w:rsidRDefault="00B03B15" w:rsidP="00B03B15">
      <w:pPr>
        <w:jc w:val="right"/>
        <w:rPr>
          <w:rFonts w:ascii="Abadi" w:hAnsi="Abadi"/>
          <w:b/>
          <w:bCs/>
          <w:sz w:val="21"/>
          <w:szCs w:val="21"/>
          <w:lang w:val="es-MX" w:eastAsia="en-US"/>
        </w:rPr>
      </w:pPr>
      <w:r w:rsidRPr="00B03B15">
        <w:rPr>
          <w:rFonts w:ascii="Abadi" w:hAnsi="Abadi" w:cs="Arial"/>
          <w:b/>
          <w:i/>
          <w:iCs/>
          <w:sz w:val="21"/>
          <w:szCs w:val="21"/>
          <w:lang w:val="es-MX" w:eastAsia="en-US"/>
        </w:rPr>
        <w:t>Enajenación de bienes muebles</w:t>
      </w:r>
    </w:p>
    <w:p w14:paraId="1D9274C6" w14:textId="77777777" w:rsidR="00B03B15" w:rsidRPr="00B03B15" w:rsidRDefault="00B03B15" w:rsidP="00B03B15">
      <w:pPr>
        <w:ind w:firstLine="708"/>
        <w:jc w:val="both"/>
        <w:rPr>
          <w:rFonts w:ascii="Abadi" w:hAnsi="Abadi"/>
          <w:sz w:val="21"/>
          <w:szCs w:val="21"/>
          <w:lang w:val="es-MX" w:eastAsia="en-US"/>
        </w:rPr>
      </w:pPr>
      <w:r w:rsidRPr="00B03B15">
        <w:rPr>
          <w:rFonts w:ascii="Abadi" w:hAnsi="Abadi"/>
          <w:b/>
          <w:bCs/>
          <w:sz w:val="21"/>
          <w:szCs w:val="21"/>
          <w:lang w:val="es-MX" w:eastAsia="en-US"/>
        </w:rPr>
        <w:t>Artículo 84.</w:t>
      </w:r>
      <w:r w:rsidRPr="00B03B15">
        <w:rPr>
          <w:rFonts w:ascii="Abadi" w:hAnsi="Abadi"/>
          <w:sz w:val="21"/>
          <w:szCs w:val="21"/>
          <w:lang w:val="es-MX" w:eastAsia="en-US"/>
        </w:rPr>
        <w:t xml:space="preserve"> Corresponde a los comités, en los términos de esta ley, la enajenación a título oneroso o gratuito de los bienes del patrimonio mobiliario.</w:t>
      </w:r>
    </w:p>
    <w:p w14:paraId="169682E2" w14:textId="77777777" w:rsidR="00B03B15" w:rsidRPr="00B03B15" w:rsidRDefault="00B03B15" w:rsidP="00B03B15">
      <w:pPr>
        <w:jc w:val="both"/>
        <w:rPr>
          <w:rFonts w:ascii="Abadi" w:hAnsi="Abadi" w:cs="Calibri Light"/>
          <w:b/>
          <w:bCs/>
          <w:i/>
          <w:iCs/>
          <w:sz w:val="21"/>
          <w:szCs w:val="21"/>
          <w:lang w:val="es-MX" w:eastAsia="en-US"/>
        </w:rPr>
      </w:pPr>
    </w:p>
    <w:p w14:paraId="2727DF5C" w14:textId="77777777" w:rsidR="00B03B15" w:rsidRPr="00B03B15" w:rsidRDefault="00B03B15" w:rsidP="00B03B15">
      <w:pPr>
        <w:ind w:firstLine="709"/>
        <w:jc w:val="both"/>
        <w:rPr>
          <w:rFonts w:ascii="Abadi" w:hAnsi="Abadi"/>
          <w:sz w:val="21"/>
          <w:szCs w:val="21"/>
          <w:lang w:val="es-MX" w:eastAsia="en-US"/>
        </w:rPr>
      </w:pPr>
      <w:r w:rsidRPr="00B03B15">
        <w:rPr>
          <w:rFonts w:ascii="Abadi" w:hAnsi="Abadi"/>
          <w:sz w:val="21"/>
          <w:szCs w:val="21"/>
          <w:lang w:val="es-MX" w:eastAsia="en-US"/>
        </w:rPr>
        <w:t>La enajenación podrá realizarse cuando se actualice cualquiera de los siguientes supuestos:</w:t>
      </w:r>
    </w:p>
    <w:p w14:paraId="3FB09C4C" w14:textId="77777777" w:rsidR="00B03B15" w:rsidRPr="00B03B15" w:rsidRDefault="00B03B15" w:rsidP="00B03B15">
      <w:pPr>
        <w:ind w:firstLine="709"/>
        <w:jc w:val="both"/>
        <w:rPr>
          <w:rFonts w:ascii="Abadi" w:hAnsi="Abadi"/>
          <w:sz w:val="21"/>
          <w:szCs w:val="21"/>
          <w:lang w:val="es-MX" w:eastAsia="en-US"/>
        </w:rPr>
      </w:pPr>
    </w:p>
    <w:p w14:paraId="7568DB36" w14:textId="77777777" w:rsidR="00B03B15" w:rsidRPr="00B03B15" w:rsidRDefault="00B03B15" w:rsidP="001A28E5">
      <w:pPr>
        <w:numPr>
          <w:ilvl w:val="0"/>
          <w:numId w:val="78"/>
        </w:numPr>
        <w:ind w:left="1134" w:hanging="425"/>
        <w:jc w:val="both"/>
        <w:rPr>
          <w:rFonts w:ascii="Abadi" w:hAnsi="Abadi" w:cs="Calibri Light"/>
          <w:bCs/>
          <w:sz w:val="21"/>
          <w:szCs w:val="21"/>
          <w:lang w:val="es-MX" w:eastAsia="en-US"/>
        </w:rPr>
      </w:pPr>
      <w:r w:rsidRPr="00B03B15">
        <w:rPr>
          <w:rFonts w:ascii="Abadi" w:hAnsi="Abadi" w:cs="Calibri Light"/>
          <w:bCs/>
          <w:sz w:val="21"/>
          <w:szCs w:val="21"/>
          <w:lang w:val="es-MX" w:eastAsia="en-US"/>
        </w:rPr>
        <w:t>Los bienes ya no sean adecuados para la prestación del servicio o resulte incosteable seguirlos utilizando;</w:t>
      </w:r>
    </w:p>
    <w:p w14:paraId="52AE8B05" w14:textId="77777777" w:rsidR="00B03B15" w:rsidRPr="00B03B15" w:rsidRDefault="00B03B15" w:rsidP="00B03B15">
      <w:pPr>
        <w:ind w:left="604" w:firstLine="105"/>
        <w:jc w:val="both"/>
        <w:rPr>
          <w:rFonts w:ascii="Abadi" w:hAnsi="Abadi" w:cs="Calibri Light"/>
          <w:bCs/>
          <w:sz w:val="21"/>
          <w:szCs w:val="21"/>
          <w:lang w:val="es-MX" w:eastAsia="en-US"/>
        </w:rPr>
      </w:pPr>
    </w:p>
    <w:p w14:paraId="0D1827F2" w14:textId="77777777" w:rsidR="00B03B15" w:rsidRPr="00B03B15" w:rsidRDefault="00B03B15" w:rsidP="001A28E5">
      <w:pPr>
        <w:numPr>
          <w:ilvl w:val="0"/>
          <w:numId w:val="78"/>
        </w:numPr>
        <w:ind w:left="1134" w:hanging="425"/>
        <w:jc w:val="both"/>
        <w:rPr>
          <w:rFonts w:ascii="Abadi" w:hAnsi="Abadi" w:cs="Calibri Light"/>
          <w:bCs/>
          <w:sz w:val="21"/>
          <w:szCs w:val="21"/>
          <w:lang w:val="es-MX" w:eastAsia="en-US"/>
        </w:rPr>
      </w:pPr>
      <w:r w:rsidRPr="00B03B15">
        <w:rPr>
          <w:rFonts w:ascii="Abadi" w:hAnsi="Abadi" w:cs="Calibri Light"/>
          <w:bCs/>
          <w:sz w:val="21"/>
          <w:szCs w:val="21"/>
          <w:lang w:val="es-MX" w:eastAsia="en-US"/>
        </w:rPr>
        <w:t xml:space="preserve">Previo dictamen que determine que no es recomendable la rehabilitación de los bienes o sea más costeable su enajenación por el estado en que se encuentren; </w:t>
      </w:r>
    </w:p>
    <w:p w14:paraId="72C11C51" w14:textId="77777777" w:rsidR="00B03B15" w:rsidRPr="00B03B15" w:rsidRDefault="00B03B15" w:rsidP="00B03B15">
      <w:pPr>
        <w:ind w:left="708"/>
        <w:rPr>
          <w:rFonts w:ascii="Abadi" w:hAnsi="Abadi" w:cs="Calibri Light"/>
          <w:b/>
          <w:sz w:val="21"/>
          <w:szCs w:val="21"/>
          <w:lang w:val="es-MX" w:eastAsia="en-US"/>
        </w:rPr>
      </w:pPr>
    </w:p>
    <w:p w14:paraId="75685279" w14:textId="77777777" w:rsidR="00B03B15" w:rsidRPr="00B03B15" w:rsidRDefault="00B03B15" w:rsidP="001A28E5">
      <w:pPr>
        <w:numPr>
          <w:ilvl w:val="0"/>
          <w:numId w:val="78"/>
        </w:numPr>
        <w:ind w:left="1134" w:hanging="425"/>
        <w:jc w:val="both"/>
        <w:rPr>
          <w:rFonts w:ascii="Abadi" w:hAnsi="Abadi" w:cs="Calibri Light"/>
          <w:bCs/>
          <w:sz w:val="21"/>
          <w:szCs w:val="21"/>
          <w:lang w:val="es-MX" w:eastAsia="en-US"/>
        </w:rPr>
      </w:pPr>
      <w:r w:rsidRPr="00B03B15">
        <w:rPr>
          <w:rFonts w:ascii="Abadi" w:hAnsi="Abadi" w:cs="Calibri Light"/>
          <w:bCs/>
          <w:sz w:val="21"/>
          <w:szCs w:val="21"/>
          <w:lang w:val="es-MX" w:eastAsia="en-US"/>
        </w:rPr>
        <w:t>Se actualice alguna de las hipótesis previstas en las fracciones V y VII del artículo 86 de esta ley.</w:t>
      </w:r>
    </w:p>
    <w:p w14:paraId="3E30E052" w14:textId="77777777" w:rsidR="00B03B15" w:rsidRPr="00B03B15" w:rsidRDefault="00B03B15" w:rsidP="00B03B15">
      <w:pPr>
        <w:ind w:left="708"/>
        <w:rPr>
          <w:rFonts w:ascii="Abadi" w:hAnsi="Abadi" w:cs="Calibri Light"/>
          <w:b/>
          <w:sz w:val="21"/>
          <w:szCs w:val="21"/>
          <w:lang w:val="es-MX" w:eastAsia="en-US"/>
        </w:rPr>
      </w:pPr>
    </w:p>
    <w:p w14:paraId="336CA7D9" w14:textId="77777777" w:rsidR="00646AC5" w:rsidRDefault="00646AC5" w:rsidP="00B03B15">
      <w:pPr>
        <w:jc w:val="right"/>
        <w:rPr>
          <w:rFonts w:ascii="Abadi" w:hAnsi="Abadi" w:cs="Arial"/>
          <w:b/>
          <w:i/>
          <w:iCs/>
          <w:sz w:val="21"/>
          <w:szCs w:val="21"/>
          <w:lang w:val="es-MX" w:eastAsia="en-US"/>
        </w:rPr>
      </w:pPr>
    </w:p>
    <w:p w14:paraId="741A8712" w14:textId="19C4F160" w:rsidR="00B03B15" w:rsidRPr="00B03B15" w:rsidRDefault="00B03B15" w:rsidP="00B03B15">
      <w:pPr>
        <w:jc w:val="right"/>
        <w:rPr>
          <w:rFonts w:ascii="Abadi" w:hAnsi="Abadi" w:cs="Arial"/>
          <w:b/>
          <w:i/>
          <w:iCs/>
          <w:sz w:val="21"/>
          <w:szCs w:val="21"/>
          <w:lang w:val="es-MX" w:eastAsia="en-US"/>
        </w:rPr>
      </w:pPr>
      <w:r w:rsidRPr="00B03B15">
        <w:rPr>
          <w:rFonts w:ascii="Abadi" w:hAnsi="Abadi" w:cs="Arial"/>
          <w:b/>
          <w:i/>
          <w:iCs/>
          <w:sz w:val="21"/>
          <w:szCs w:val="21"/>
          <w:lang w:val="es-MX" w:eastAsia="en-US"/>
        </w:rPr>
        <w:t>Baja de bienes muebles</w:t>
      </w:r>
    </w:p>
    <w:p w14:paraId="38BCC336" w14:textId="77777777" w:rsidR="00B03B15" w:rsidRPr="00B03B15" w:rsidRDefault="00B03B15" w:rsidP="00B03B15">
      <w:pPr>
        <w:ind w:firstLine="708"/>
        <w:jc w:val="both"/>
        <w:rPr>
          <w:rFonts w:ascii="Abadi" w:hAnsi="Abadi"/>
          <w:sz w:val="21"/>
          <w:szCs w:val="21"/>
          <w:lang w:val="es-MX" w:eastAsia="en-US"/>
        </w:rPr>
      </w:pPr>
      <w:r w:rsidRPr="00B03B15">
        <w:rPr>
          <w:rFonts w:ascii="Abadi" w:hAnsi="Abadi"/>
          <w:b/>
          <w:bCs/>
          <w:sz w:val="21"/>
          <w:szCs w:val="21"/>
          <w:lang w:val="es-MX" w:eastAsia="en-US"/>
        </w:rPr>
        <w:t xml:space="preserve">Artículo 85. </w:t>
      </w:r>
      <w:r w:rsidRPr="00B03B15">
        <w:rPr>
          <w:rFonts w:ascii="Abadi" w:hAnsi="Abadi"/>
          <w:sz w:val="21"/>
          <w:szCs w:val="21"/>
          <w:lang w:val="es-MX" w:eastAsia="en-US"/>
        </w:rPr>
        <w:t>Los bienes del patrimonio mobiliario que resulten inútiles, incosteables u obsoletos, deberán ser dados de baja a través del dictamen formulado por la Secretaría u órgano de administración correspondiente.</w:t>
      </w:r>
    </w:p>
    <w:p w14:paraId="3C99CA41" w14:textId="77777777" w:rsidR="00B03B15" w:rsidRPr="00B03B15" w:rsidRDefault="00B03B15" w:rsidP="00B03B15">
      <w:pPr>
        <w:ind w:firstLine="708"/>
        <w:jc w:val="both"/>
        <w:rPr>
          <w:rFonts w:ascii="Abadi" w:hAnsi="Abadi"/>
          <w:sz w:val="21"/>
          <w:szCs w:val="21"/>
          <w:lang w:val="es-MX" w:eastAsia="en-US"/>
        </w:rPr>
      </w:pPr>
    </w:p>
    <w:p w14:paraId="656111FA" w14:textId="77777777" w:rsidR="00646AC5" w:rsidRDefault="00646AC5" w:rsidP="00B03B15">
      <w:pPr>
        <w:jc w:val="right"/>
        <w:rPr>
          <w:rFonts w:ascii="Abadi" w:hAnsi="Abadi" w:cs="Arial"/>
          <w:b/>
          <w:i/>
          <w:iCs/>
          <w:sz w:val="21"/>
          <w:szCs w:val="21"/>
          <w:lang w:val="es-MX" w:eastAsia="en-US"/>
        </w:rPr>
      </w:pPr>
    </w:p>
    <w:p w14:paraId="72F0FF12" w14:textId="6A6FFD9B" w:rsidR="00B03B15" w:rsidRPr="00B03B15" w:rsidRDefault="00B03B15" w:rsidP="00B03B15">
      <w:pPr>
        <w:jc w:val="right"/>
        <w:rPr>
          <w:rFonts w:ascii="Abadi" w:hAnsi="Abadi" w:cs="Arial"/>
          <w:b/>
          <w:i/>
          <w:iCs/>
          <w:sz w:val="21"/>
          <w:szCs w:val="21"/>
          <w:lang w:val="es-MX" w:eastAsia="en-US"/>
        </w:rPr>
      </w:pPr>
      <w:r w:rsidRPr="00B03B15">
        <w:rPr>
          <w:rFonts w:ascii="Abadi" w:hAnsi="Abadi" w:cs="Arial"/>
          <w:b/>
          <w:i/>
          <w:iCs/>
          <w:sz w:val="21"/>
          <w:szCs w:val="21"/>
          <w:lang w:val="es-MX" w:eastAsia="en-US"/>
        </w:rPr>
        <w:t>Excepciones a la subasta pública</w:t>
      </w:r>
    </w:p>
    <w:p w14:paraId="22763F1D" w14:textId="77777777" w:rsidR="00B03B15" w:rsidRPr="00B03B15" w:rsidRDefault="00B03B15" w:rsidP="00B03B15">
      <w:pPr>
        <w:ind w:firstLine="708"/>
        <w:jc w:val="both"/>
        <w:rPr>
          <w:rFonts w:ascii="Abadi" w:hAnsi="Abadi"/>
          <w:sz w:val="21"/>
          <w:szCs w:val="21"/>
          <w:lang w:val="es-MX" w:eastAsia="en-US"/>
        </w:rPr>
      </w:pPr>
      <w:r w:rsidRPr="00B03B15">
        <w:rPr>
          <w:rFonts w:ascii="Abadi" w:hAnsi="Abadi"/>
          <w:b/>
          <w:bCs/>
          <w:sz w:val="21"/>
          <w:szCs w:val="21"/>
          <w:lang w:val="es-MX" w:eastAsia="en-US"/>
        </w:rPr>
        <w:t>Artículo 86.</w:t>
      </w:r>
      <w:r w:rsidRPr="00B03B15">
        <w:rPr>
          <w:rFonts w:ascii="Abadi" w:hAnsi="Abadi"/>
          <w:sz w:val="21"/>
          <w:szCs w:val="21"/>
          <w:lang w:val="es-MX" w:eastAsia="en-US"/>
        </w:rPr>
        <w:t xml:space="preserve"> En los casos que se determine la enajenación de los bienes del patrimonio mobiliario, se procederá a su venta a través de subasta pública, con excepción de que se actualice alguno de los siguientes supuestos:</w:t>
      </w:r>
    </w:p>
    <w:p w14:paraId="2D6012D4" w14:textId="77777777" w:rsidR="00B03B15" w:rsidRPr="00B03B15" w:rsidRDefault="00B03B15" w:rsidP="00B03B15">
      <w:pPr>
        <w:jc w:val="both"/>
        <w:rPr>
          <w:rFonts w:ascii="Abadi" w:hAnsi="Abadi"/>
          <w:b/>
          <w:bCs/>
          <w:sz w:val="21"/>
          <w:szCs w:val="21"/>
          <w:lang w:val="es-MX" w:eastAsia="en-US"/>
        </w:rPr>
      </w:pPr>
    </w:p>
    <w:p w14:paraId="77BDFF94" w14:textId="3EDF1055" w:rsidR="00B03B15" w:rsidRPr="00B03B15" w:rsidRDefault="00B03B15" w:rsidP="007B7DFE">
      <w:pPr>
        <w:ind w:firstLine="708"/>
        <w:jc w:val="both"/>
        <w:rPr>
          <w:rFonts w:ascii="Abadi" w:hAnsi="Abadi"/>
          <w:sz w:val="21"/>
          <w:szCs w:val="21"/>
          <w:lang w:val="es-MX" w:eastAsia="en-US"/>
        </w:rPr>
      </w:pPr>
      <w:r w:rsidRPr="00B03B15">
        <w:rPr>
          <w:rFonts w:ascii="Abadi" w:hAnsi="Abadi"/>
          <w:b/>
          <w:bCs/>
          <w:sz w:val="21"/>
          <w:szCs w:val="21"/>
          <w:lang w:val="es-MX" w:eastAsia="en-US"/>
        </w:rPr>
        <w:t xml:space="preserve">I </w:t>
      </w:r>
      <w:r w:rsidRPr="00B03B15">
        <w:rPr>
          <w:rFonts w:ascii="Abadi" w:hAnsi="Abadi"/>
          <w:sz w:val="21"/>
          <w:szCs w:val="21"/>
          <w:lang w:val="es-MX" w:eastAsia="en-US"/>
        </w:rPr>
        <w:t>a</w:t>
      </w:r>
      <w:r w:rsidRPr="00B03B15">
        <w:rPr>
          <w:rFonts w:ascii="Abadi" w:hAnsi="Abadi"/>
          <w:b/>
          <w:bCs/>
          <w:sz w:val="21"/>
          <w:szCs w:val="21"/>
          <w:lang w:val="es-MX" w:eastAsia="en-US"/>
        </w:rPr>
        <w:t xml:space="preserve"> IV. </w:t>
      </w:r>
      <w:r w:rsidRPr="00B03B15">
        <w:rPr>
          <w:rFonts w:ascii="Abadi" w:hAnsi="Abadi"/>
          <w:sz w:val="21"/>
          <w:szCs w:val="21"/>
          <w:lang w:val="es-MX" w:eastAsia="en-US"/>
        </w:rPr>
        <w:t>…</w:t>
      </w:r>
    </w:p>
    <w:p w14:paraId="4F02C787" w14:textId="77777777" w:rsidR="00B03B15" w:rsidRPr="00B03B15" w:rsidRDefault="00B03B15" w:rsidP="00B03B15">
      <w:pPr>
        <w:jc w:val="both"/>
        <w:rPr>
          <w:rFonts w:ascii="Abadi" w:hAnsi="Abadi"/>
          <w:sz w:val="21"/>
          <w:szCs w:val="21"/>
          <w:lang w:val="es-MX" w:eastAsia="en-US"/>
        </w:rPr>
      </w:pPr>
    </w:p>
    <w:p w14:paraId="38AD5C23" w14:textId="77777777" w:rsidR="00B03B15" w:rsidRPr="00B03B15" w:rsidRDefault="00B03B15" w:rsidP="00B03B15">
      <w:pPr>
        <w:ind w:left="993" w:hanging="285"/>
        <w:jc w:val="both"/>
        <w:rPr>
          <w:rFonts w:ascii="Abadi" w:hAnsi="Abadi"/>
          <w:sz w:val="21"/>
          <w:szCs w:val="21"/>
          <w:lang w:val="es-MX" w:eastAsia="en-US"/>
        </w:rPr>
      </w:pPr>
      <w:r w:rsidRPr="00B03B15">
        <w:rPr>
          <w:rFonts w:ascii="Abadi" w:hAnsi="Abadi"/>
          <w:b/>
          <w:bCs/>
          <w:sz w:val="21"/>
          <w:szCs w:val="21"/>
          <w:lang w:val="es-MX" w:eastAsia="en-US"/>
        </w:rPr>
        <w:t>V.</w:t>
      </w:r>
      <w:r w:rsidRPr="00B03B15">
        <w:rPr>
          <w:rFonts w:ascii="Abadi" w:hAnsi="Abadi"/>
          <w:sz w:val="21"/>
          <w:szCs w:val="21"/>
          <w:lang w:val="es-MX" w:eastAsia="en-US"/>
        </w:rPr>
        <w:t xml:space="preserve"> Cuando el destino de los bienes del patrimonio mobiliario sea su enajenación a título gratuito a favor de particulares en situación de vulnerabilidad o cuando se trate de programas sociales estatales, o a favor de municipios, instituciones educativas, de beneficencia, de la Federación o de otras entidades federativas, mediante acuerdo del sujeto de esta ley que corresponda, observando las demás disposiciones legales que resulten aplicables;</w:t>
      </w:r>
    </w:p>
    <w:p w14:paraId="6DB4793D" w14:textId="77777777" w:rsidR="00B03B15" w:rsidRPr="00B03B15" w:rsidRDefault="00B03B15" w:rsidP="00B03B15">
      <w:pPr>
        <w:jc w:val="both"/>
        <w:rPr>
          <w:rFonts w:ascii="Abadi" w:hAnsi="Abadi"/>
          <w:sz w:val="21"/>
          <w:szCs w:val="21"/>
          <w:lang w:val="es-MX" w:eastAsia="en-US"/>
        </w:rPr>
      </w:pPr>
    </w:p>
    <w:p w14:paraId="3F9C00C9" w14:textId="77777777" w:rsidR="00B03B15" w:rsidRPr="00B03B15" w:rsidRDefault="00B03B15" w:rsidP="00B03B15">
      <w:pPr>
        <w:ind w:firstLine="708"/>
        <w:jc w:val="both"/>
        <w:rPr>
          <w:rFonts w:ascii="Abadi" w:hAnsi="Abadi"/>
          <w:sz w:val="21"/>
          <w:szCs w:val="21"/>
          <w:lang w:val="es-MX" w:eastAsia="en-US"/>
        </w:rPr>
      </w:pPr>
      <w:r w:rsidRPr="00B03B15">
        <w:rPr>
          <w:rFonts w:ascii="Abadi" w:hAnsi="Abadi"/>
          <w:b/>
          <w:bCs/>
          <w:sz w:val="21"/>
          <w:szCs w:val="21"/>
          <w:lang w:val="es-MX" w:eastAsia="en-US"/>
        </w:rPr>
        <w:t>VI.</w:t>
      </w:r>
      <w:r w:rsidRPr="00B03B15">
        <w:rPr>
          <w:rFonts w:ascii="Abadi" w:hAnsi="Abadi"/>
          <w:sz w:val="21"/>
          <w:szCs w:val="21"/>
          <w:lang w:val="es-MX" w:eastAsia="en-US"/>
        </w:rPr>
        <w:t xml:space="preserve"> Cuando se pacte…</w:t>
      </w:r>
    </w:p>
    <w:p w14:paraId="5ED700F3" w14:textId="77777777" w:rsidR="00B03B15" w:rsidRPr="00B03B15" w:rsidRDefault="00B03B15" w:rsidP="00B03B15">
      <w:pPr>
        <w:jc w:val="both"/>
        <w:rPr>
          <w:rFonts w:ascii="Abadi" w:hAnsi="Abadi"/>
          <w:sz w:val="21"/>
          <w:szCs w:val="21"/>
          <w:lang w:val="es-MX" w:eastAsia="en-US"/>
        </w:rPr>
      </w:pPr>
    </w:p>
    <w:p w14:paraId="794C53A0" w14:textId="77777777" w:rsidR="00B03B15" w:rsidRPr="00B03B15" w:rsidRDefault="00B03B15" w:rsidP="00B03B15">
      <w:pPr>
        <w:ind w:left="1134" w:hanging="567"/>
        <w:jc w:val="both"/>
        <w:rPr>
          <w:rFonts w:ascii="Abadi" w:hAnsi="Abadi"/>
          <w:sz w:val="21"/>
          <w:szCs w:val="21"/>
          <w:lang w:val="es-MX" w:eastAsia="en-US"/>
        </w:rPr>
      </w:pPr>
      <w:r w:rsidRPr="00B03B15">
        <w:rPr>
          <w:rFonts w:ascii="Abadi" w:hAnsi="Abadi"/>
          <w:b/>
          <w:bCs/>
          <w:sz w:val="21"/>
          <w:szCs w:val="21"/>
          <w:lang w:val="es-MX" w:eastAsia="en-US"/>
        </w:rPr>
        <w:t>VII.</w:t>
      </w:r>
      <w:r w:rsidRPr="00B03B15">
        <w:rPr>
          <w:rFonts w:ascii="Abadi" w:hAnsi="Abadi"/>
          <w:sz w:val="21"/>
          <w:szCs w:val="21"/>
          <w:lang w:val="es-MX" w:eastAsia="en-US"/>
        </w:rPr>
        <w:t xml:space="preserve"> Cuando se autorice la venta de bienes del patrimonio mobiliario a los servidores públicos que los tengan bajo su resguardo, considerando su naturaleza, valor comercial o utilidad, así como la responsabilidad que haya tenido el servidor público solicitante en el cuidado de los mismos durante su resguardo, de conformidad con lo que se establezca en los reglamentos de esta ley.</w:t>
      </w:r>
    </w:p>
    <w:p w14:paraId="003109CE" w14:textId="77777777" w:rsidR="00B03B15" w:rsidRPr="00B03B15" w:rsidRDefault="00B03B15" w:rsidP="00B03B15">
      <w:pPr>
        <w:jc w:val="both"/>
        <w:rPr>
          <w:rFonts w:ascii="Abadi" w:hAnsi="Abadi"/>
          <w:sz w:val="21"/>
          <w:szCs w:val="21"/>
          <w:lang w:val="es-MX" w:eastAsia="en-US"/>
        </w:rPr>
      </w:pPr>
    </w:p>
    <w:p w14:paraId="7451CDDE" w14:textId="77777777" w:rsidR="00B03B15" w:rsidRPr="00B03B15" w:rsidRDefault="00B03B15" w:rsidP="00B03B15">
      <w:pPr>
        <w:ind w:left="426" w:firstLine="708"/>
        <w:jc w:val="both"/>
        <w:rPr>
          <w:rFonts w:ascii="Abadi" w:hAnsi="Abadi"/>
          <w:sz w:val="21"/>
          <w:szCs w:val="21"/>
          <w:lang w:val="es-MX" w:eastAsia="en-US"/>
        </w:rPr>
      </w:pPr>
      <w:r w:rsidRPr="00B03B15">
        <w:rPr>
          <w:rFonts w:ascii="Abadi" w:hAnsi="Abadi"/>
          <w:sz w:val="21"/>
          <w:szCs w:val="21"/>
          <w:lang w:val="es-MX" w:eastAsia="en-US"/>
        </w:rPr>
        <w:t>En los supuestos…</w:t>
      </w:r>
    </w:p>
    <w:p w14:paraId="0153BA09" w14:textId="77777777" w:rsidR="00B03B15" w:rsidRPr="00B03B15" w:rsidRDefault="00B03B15" w:rsidP="00B03B15">
      <w:pPr>
        <w:ind w:left="426" w:firstLine="708"/>
        <w:jc w:val="both"/>
        <w:rPr>
          <w:rFonts w:ascii="Abadi" w:hAnsi="Abadi"/>
          <w:sz w:val="21"/>
          <w:szCs w:val="21"/>
          <w:lang w:val="es-MX" w:eastAsia="en-US"/>
        </w:rPr>
      </w:pPr>
    </w:p>
    <w:p w14:paraId="04149ADA" w14:textId="77777777" w:rsidR="00B03B15" w:rsidRPr="00B03B15" w:rsidRDefault="00B03B15" w:rsidP="00B03B15">
      <w:pPr>
        <w:jc w:val="right"/>
        <w:rPr>
          <w:rFonts w:ascii="Abadi" w:hAnsi="Abadi" w:cs="Arial"/>
          <w:b/>
          <w:i/>
          <w:iCs/>
          <w:sz w:val="21"/>
          <w:szCs w:val="21"/>
          <w:lang w:val="es-MX" w:eastAsia="en-US"/>
        </w:rPr>
      </w:pPr>
    </w:p>
    <w:p w14:paraId="25855DC9" w14:textId="77777777" w:rsidR="00B03B15" w:rsidRPr="00B03B15" w:rsidRDefault="00B03B15" w:rsidP="00B03B15">
      <w:pPr>
        <w:jc w:val="right"/>
        <w:rPr>
          <w:rFonts w:ascii="Abadi" w:hAnsi="Abadi" w:cs="Arial"/>
          <w:b/>
          <w:i/>
          <w:iCs/>
          <w:sz w:val="21"/>
          <w:szCs w:val="21"/>
          <w:lang w:val="es-MX" w:eastAsia="en-US"/>
        </w:rPr>
      </w:pPr>
      <w:r w:rsidRPr="00B03B15">
        <w:rPr>
          <w:rFonts w:ascii="Abadi" w:hAnsi="Abadi" w:cs="Arial"/>
          <w:b/>
          <w:i/>
          <w:iCs/>
          <w:sz w:val="21"/>
          <w:szCs w:val="21"/>
          <w:lang w:val="es-MX" w:eastAsia="en-US"/>
        </w:rPr>
        <w:t>Infracciones</w:t>
      </w:r>
    </w:p>
    <w:p w14:paraId="086BBD06" w14:textId="77777777" w:rsidR="00B03B15" w:rsidRPr="00B03B15" w:rsidRDefault="00B03B15" w:rsidP="00B03B15">
      <w:pPr>
        <w:ind w:firstLine="708"/>
        <w:rPr>
          <w:rFonts w:ascii="Abadi" w:hAnsi="Abadi"/>
          <w:sz w:val="21"/>
          <w:szCs w:val="21"/>
          <w:lang w:val="es-MX" w:eastAsia="en-US"/>
        </w:rPr>
      </w:pPr>
      <w:r w:rsidRPr="00B03B15">
        <w:rPr>
          <w:rFonts w:ascii="Abadi" w:hAnsi="Abadi"/>
          <w:b/>
          <w:bCs/>
          <w:sz w:val="21"/>
          <w:szCs w:val="21"/>
          <w:lang w:val="es-MX" w:eastAsia="en-US"/>
        </w:rPr>
        <w:t>Artículo 125.</w:t>
      </w:r>
      <w:r w:rsidRPr="00B03B15">
        <w:rPr>
          <w:rFonts w:ascii="Abadi" w:hAnsi="Abadi"/>
          <w:sz w:val="21"/>
          <w:szCs w:val="21"/>
          <w:lang w:val="es-MX" w:eastAsia="en-US"/>
        </w:rPr>
        <w:t xml:space="preserve"> Son infracciones cometidas…</w:t>
      </w:r>
    </w:p>
    <w:p w14:paraId="283F50EE" w14:textId="77777777" w:rsidR="00B03B15" w:rsidRPr="00B03B15" w:rsidRDefault="00B03B15" w:rsidP="00B03B15">
      <w:pPr>
        <w:rPr>
          <w:rFonts w:ascii="Abadi" w:hAnsi="Abadi" w:cs="Calibri Light"/>
          <w:b/>
          <w:i/>
          <w:iCs/>
          <w:sz w:val="21"/>
          <w:szCs w:val="21"/>
          <w:lang w:val="es-MX" w:eastAsia="en-US"/>
        </w:rPr>
      </w:pPr>
    </w:p>
    <w:p w14:paraId="20109012" w14:textId="77777777" w:rsidR="00B03B15" w:rsidRPr="00B03B15" w:rsidRDefault="00B03B15" w:rsidP="00B03B15">
      <w:pPr>
        <w:ind w:firstLine="708"/>
        <w:rPr>
          <w:rFonts w:ascii="Abadi" w:hAnsi="Abadi" w:cs="Calibri Light"/>
          <w:bCs/>
          <w:sz w:val="21"/>
          <w:szCs w:val="21"/>
          <w:lang w:val="es-MX" w:eastAsia="en-US"/>
        </w:rPr>
      </w:pPr>
      <w:r w:rsidRPr="00B03B15">
        <w:rPr>
          <w:rFonts w:ascii="Abadi" w:hAnsi="Abadi" w:cs="Calibri Light"/>
          <w:b/>
          <w:sz w:val="21"/>
          <w:szCs w:val="21"/>
          <w:lang w:val="es-MX" w:eastAsia="en-US"/>
        </w:rPr>
        <w:t xml:space="preserve">I </w:t>
      </w:r>
      <w:r w:rsidRPr="00B03B15">
        <w:rPr>
          <w:rFonts w:ascii="Abadi" w:hAnsi="Abadi" w:cs="Calibri Light"/>
          <w:bCs/>
          <w:sz w:val="21"/>
          <w:szCs w:val="21"/>
          <w:lang w:val="es-MX" w:eastAsia="en-US"/>
        </w:rPr>
        <w:t>a</w:t>
      </w:r>
      <w:r w:rsidRPr="00B03B15">
        <w:rPr>
          <w:rFonts w:ascii="Abadi" w:hAnsi="Abadi" w:cs="Calibri Light"/>
          <w:b/>
          <w:sz w:val="21"/>
          <w:szCs w:val="21"/>
          <w:lang w:val="es-MX" w:eastAsia="en-US"/>
        </w:rPr>
        <w:t xml:space="preserve"> V. </w:t>
      </w:r>
      <w:r w:rsidRPr="00B03B15">
        <w:rPr>
          <w:rFonts w:ascii="Abadi" w:hAnsi="Abadi" w:cs="Calibri Light"/>
          <w:bCs/>
          <w:sz w:val="21"/>
          <w:szCs w:val="21"/>
          <w:lang w:val="es-MX" w:eastAsia="en-US"/>
        </w:rPr>
        <w:t>…</w:t>
      </w:r>
    </w:p>
    <w:p w14:paraId="3673B6F4" w14:textId="77777777" w:rsidR="00B03B15" w:rsidRPr="00B03B15" w:rsidRDefault="00B03B15" w:rsidP="00B03B15">
      <w:pPr>
        <w:ind w:left="746" w:hanging="746"/>
        <w:jc w:val="both"/>
        <w:rPr>
          <w:rFonts w:ascii="Abadi" w:hAnsi="Abadi" w:cs="Calibri Light"/>
          <w:b/>
          <w:bCs/>
          <w:sz w:val="21"/>
          <w:szCs w:val="21"/>
          <w:lang w:val="es-MX" w:eastAsia="en-US"/>
        </w:rPr>
      </w:pPr>
    </w:p>
    <w:p w14:paraId="103E7783" w14:textId="77777777" w:rsidR="00B03B15" w:rsidRPr="00B03B15" w:rsidRDefault="00B03B15" w:rsidP="00B03B15">
      <w:pPr>
        <w:ind w:left="1418" w:hanging="709"/>
        <w:jc w:val="both"/>
        <w:rPr>
          <w:rFonts w:ascii="Abadi" w:hAnsi="Abadi"/>
          <w:sz w:val="21"/>
          <w:szCs w:val="21"/>
          <w:lang w:val="es-MX" w:eastAsia="en-US"/>
        </w:rPr>
      </w:pPr>
      <w:r w:rsidRPr="00B03B15">
        <w:rPr>
          <w:rFonts w:ascii="Abadi" w:hAnsi="Abadi" w:cs="Calibri Light"/>
          <w:b/>
          <w:bCs/>
          <w:sz w:val="21"/>
          <w:szCs w:val="21"/>
          <w:lang w:val="es-MX" w:eastAsia="en-US"/>
        </w:rPr>
        <w:t xml:space="preserve">VI.     </w:t>
      </w:r>
      <w:r w:rsidRPr="00B03B15">
        <w:rPr>
          <w:rFonts w:ascii="Abadi" w:hAnsi="Abadi"/>
          <w:sz w:val="21"/>
          <w:szCs w:val="21"/>
          <w:lang w:val="es-MX" w:eastAsia="en-US"/>
        </w:rPr>
        <w:t>Omitir presentar las garantías en los términos de ley y contrato;</w:t>
      </w:r>
    </w:p>
    <w:p w14:paraId="477B95AF" w14:textId="77777777" w:rsidR="00B03B15" w:rsidRPr="00B03B15" w:rsidRDefault="00B03B15" w:rsidP="00B03B15">
      <w:pPr>
        <w:ind w:left="1418" w:hanging="709"/>
        <w:jc w:val="both"/>
        <w:rPr>
          <w:rFonts w:ascii="Abadi" w:hAnsi="Abadi" w:cs="Calibri Light"/>
          <w:b/>
          <w:bCs/>
          <w:sz w:val="21"/>
          <w:szCs w:val="21"/>
          <w:lang w:val="es-MX" w:eastAsia="en-US"/>
        </w:rPr>
      </w:pPr>
    </w:p>
    <w:p w14:paraId="6B2A4425" w14:textId="77777777" w:rsidR="00B03B15" w:rsidRPr="00B03B15" w:rsidRDefault="00B03B15" w:rsidP="00B03B15">
      <w:pPr>
        <w:ind w:left="1418" w:hanging="709"/>
        <w:jc w:val="both"/>
        <w:rPr>
          <w:rFonts w:ascii="Abadi" w:hAnsi="Abadi" w:cs="Calibri Light"/>
          <w:b/>
          <w:bCs/>
          <w:sz w:val="21"/>
          <w:szCs w:val="21"/>
          <w:lang w:val="es-MX" w:eastAsia="en-US"/>
        </w:rPr>
      </w:pPr>
      <w:r w:rsidRPr="00B03B15">
        <w:rPr>
          <w:rFonts w:ascii="Abadi" w:hAnsi="Abadi" w:cs="Calibri Light"/>
          <w:b/>
          <w:bCs/>
          <w:sz w:val="21"/>
          <w:szCs w:val="21"/>
          <w:lang w:val="es-MX" w:eastAsia="en-US"/>
        </w:rPr>
        <w:t xml:space="preserve">VII.   </w:t>
      </w:r>
      <w:r w:rsidRPr="00B03B15">
        <w:rPr>
          <w:rFonts w:ascii="Abadi" w:hAnsi="Abadi"/>
          <w:sz w:val="21"/>
          <w:szCs w:val="21"/>
          <w:lang w:val="es-MX" w:eastAsia="en-US"/>
        </w:rPr>
        <w:t>Negarse a reponer las mercancías que no reúnan los requisitos de calidad o a responder por los vicios ocultos de las mismas durante el periodo establecido en el contrato;</w:t>
      </w:r>
    </w:p>
    <w:p w14:paraId="4F853D05" w14:textId="77777777" w:rsidR="00B03B15" w:rsidRPr="00B03B15" w:rsidRDefault="00B03B15" w:rsidP="00B03B15">
      <w:pPr>
        <w:ind w:left="1418" w:hanging="709"/>
        <w:jc w:val="both"/>
        <w:rPr>
          <w:rFonts w:ascii="Abadi" w:hAnsi="Abadi" w:cs="Calibri Light"/>
          <w:b/>
          <w:bCs/>
          <w:sz w:val="21"/>
          <w:szCs w:val="21"/>
          <w:lang w:val="es-MX" w:eastAsia="en-US"/>
        </w:rPr>
      </w:pPr>
    </w:p>
    <w:p w14:paraId="4582D324" w14:textId="77777777" w:rsidR="00B03B15" w:rsidRPr="00B03B15" w:rsidRDefault="00B03B15" w:rsidP="00B03B15">
      <w:pPr>
        <w:ind w:left="1418" w:hanging="709"/>
        <w:jc w:val="both"/>
        <w:rPr>
          <w:rFonts w:ascii="Abadi" w:hAnsi="Abadi" w:cs="Calibri Light"/>
          <w:sz w:val="21"/>
          <w:szCs w:val="21"/>
          <w:lang w:val="es-MX" w:eastAsia="en-US"/>
        </w:rPr>
      </w:pPr>
      <w:r w:rsidRPr="00B03B15">
        <w:rPr>
          <w:rFonts w:ascii="Abadi" w:hAnsi="Abadi" w:cs="Calibri Light"/>
          <w:b/>
          <w:bCs/>
          <w:sz w:val="21"/>
          <w:szCs w:val="21"/>
          <w:lang w:val="es-MX" w:eastAsia="en-US"/>
        </w:rPr>
        <w:t xml:space="preserve">VIII.  </w:t>
      </w:r>
      <w:r w:rsidRPr="00B03B15">
        <w:rPr>
          <w:rFonts w:ascii="Abadi" w:hAnsi="Abadi" w:cs="Calibri Light"/>
          <w:sz w:val="21"/>
          <w:szCs w:val="21"/>
          <w:lang w:val="es-MX" w:eastAsia="en-US"/>
        </w:rPr>
        <w:t>Proporcionar información falsa o actuar con dolo o mala fe:</w:t>
      </w:r>
    </w:p>
    <w:p w14:paraId="46EADC40" w14:textId="77777777" w:rsidR="00B03B15" w:rsidRPr="00B03B15" w:rsidRDefault="00B03B15" w:rsidP="00B03B15">
      <w:pPr>
        <w:ind w:left="1418" w:hanging="709"/>
        <w:jc w:val="both"/>
        <w:rPr>
          <w:rFonts w:ascii="Abadi" w:hAnsi="Abadi" w:cs="Calibri Light"/>
          <w:sz w:val="21"/>
          <w:szCs w:val="21"/>
          <w:lang w:val="es-MX" w:eastAsia="en-US"/>
        </w:rPr>
      </w:pPr>
    </w:p>
    <w:p w14:paraId="3B106ABA" w14:textId="77777777" w:rsidR="00B03B15" w:rsidRPr="00B03B15" w:rsidRDefault="00B03B15" w:rsidP="001A28E5">
      <w:pPr>
        <w:numPr>
          <w:ilvl w:val="0"/>
          <w:numId w:val="79"/>
        </w:numPr>
        <w:jc w:val="both"/>
        <w:rPr>
          <w:rFonts w:ascii="Abadi" w:hAnsi="Abadi" w:cs="Calibri Light"/>
          <w:b/>
          <w:bCs/>
          <w:sz w:val="21"/>
          <w:szCs w:val="21"/>
          <w:lang w:val="es-MX" w:eastAsia="en-US"/>
        </w:rPr>
      </w:pPr>
      <w:r w:rsidRPr="00B03B15">
        <w:rPr>
          <w:rFonts w:ascii="Abadi" w:hAnsi="Abadi" w:cs="Calibri Light"/>
          <w:sz w:val="21"/>
          <w:szCs w:val="21"/>
          <w:lang w:val="es-MX" w:eastAsia="en-US"/>
        </w:rPr>
        <w:t>En el registro o actualización del padrón de proveedores;</w:t>
      </w:r>
    </w:p>
    <w:p w14:paraId="7FDB357D" w14:textId="77777777" w:rsidR="00B03B15" w:rsidRPr="00B03B15" w:rsidRDefault="00B03B15" w:rsidP="001A28E5">
      <w:pPr>
        <w:numPr>
          <w:ilvl w:val="0"/>
          <w:numId w:val="79"/>
        </w:numPr>
        <w:jc w:val="both"/>
        <w:rPr>
          <w:rFonts w:ascii="Abadi" w:hAnsi="Abadi" w:cs="Calibri Light"/>
          <w:b/>
          <w:bCs/>
          <w:sz w:val="21"/>
          <w:szCs w:val="21"/>
          <w:lang w:val="es-MX" w:eastAsia="en-US"/>
        </w:rPr>
      </w:pPr>
      <w:r w:rsidRPr="00B03B15">
        <w:rPr>
          <w:rFonts w:ascii="Abadi" w:hAnsi="Abadi" w:cs="Calibri Light"/>
          <w:sz w:val="21"/>
          <w:szCs w:val="21"/>
          <w:lang w:val="es-MX" w:eastAsia="en-US"/>
        </w:rPr>
        <w:t>En alguna etapa del procedimiento para la adjudicación de un contrato;</w:t>
      </w:r>
    </w:p>
    <w:p w14:paraId="179FE709" w14:textId="77777777" w:rsidR="00B03B15" w:rsidRPr="00B03B15" w:rsidRDefault="00B03B15" w:rsidP="001A28E5">
      <w:pPr>
        <w:numPr>
          <w:ilvl w:val="0"/>
          <w:numId w:val="79"/>
        </w:numPr>
        <w:jc w:val="both"/>
        <w:rPr>
          <w:rFonts w:ascii="Abadi" w:hAnsi="Abadi" w:cs="Calibri Light"/>
          <w:b/>
          <w:bCs/>
          <w:sz w:val="21"/>
          <w:szCs w:val="21"/>
          <w:lang w:val="es-MX" w:eastAsia="en-US"/>
        </w:rPr>
      </w:pPr>
      <w:r w:rsidRPr="00B03B15">
        <w:rPr>
          <w:rFonts w:ascii="Abadi" w:hAnsi="Abadi" w:cs="Calibri Light"/>
          <w:sz w:val="21"/>
          <w:szCs w:val="21"/>
          <w:lang w:val="es-MX" w:eastAsia="en-US"/>
        </w:rPr>
        <w:t>En la celebración de un contrato;</w:t>
      </w:r>
    </w:p>
    <w:p w14:paraId="6C6F0A06" w14:textId="77777777" w:rsidR="00B03B15" w:rsidRPr="00B03B15" w:rsidRDefault="00B03B15" w:rsidP="001A28E5">
      <w:pPr>
        <w:numPr>
          <w:ilvl w:val="0"/>
          <w:numId w:val="79"/>
        </w:numPr>
        <w:jc w:val="both"/>
        <w:rPr>
          <w:rFonts w:ascii="Abadi" w:hAnsi="Abadi" w:cs="Calibri Light"/>
          <w:b/>
          <w:bCs/>
          <w:sz w:val="21"/>
          <w:szCs w:val="21"/>
          <w:lang w:val="es-MX" w:eastAsia="en-US"/>
        </w:rPr>
      </w:pPr>
      <w:r w:rsidRPr="00B03B15">
        <w:rPr>
          <w:rFonts w:ascii="Abadi" w:hAnsi="Abadi" w:cs="Calibri Light"/>
          <w:sz w:val="21"/>
          <w:szCs w:val="21"/>
          <w:lang w:val="es-MX" w:eastAsia="en-US"/>
        </w:rPr>
        <w:t>Durante la vigencia de un contrato; o</w:t>
      </w:r>
    </w:p>
    <w:p w14:paraId="7AE08C80" w14:textId="77777777" w:rsidR="00B03B15" w:rsidRPr="00B03B15" w:rsidRDefault="00B03B15" w:rsidP="001A28E5">
      <w:pPr>
        <w:numPr>
          <w:ilvl w:val="0"/>
          <w:numId w:val="79"/>
        </w:numPr>
        <w:jc w:val="both"/>
        <w:rPr>
          <w:rFonts w:ascii="Abadi" w:hAnsi="Abadi" w:cs="Calibri Light"/>
          <w:b/>
          <w:bCs/>
          <w:sz w:val="21"/>
          <w:szCs w:val="21"/>
          <w:lang w:val="es-MX" w:eastAsia="en-US"/>
        </w:rPr>
      </w:pPr>
      <w:r w:rsidRPr="00B03B15">
        <w:rPr>
          <w:rFonts w:ascii="Abadi" w:hAnsi="Abadi" w:cs="Calibri Light"/>
          <w:sz w:val="21"/>
          <w:szCs w:val="21"/>
          <w:lang w:val="es-MX" w:eastAsia="en-US"/>
        </w:rPr>
        <w:t>En la presentación o desahogo de algún medio de defensa; y</w:t>
      </w:r>
    </w:p>
    <w:p w14:paraId="137B0250" w14:textId="77777777" w:rsidR="00B03B15" w:rsidRPr="00B03B15" w:rsidRDefault="00B03B15" w:rsidP="00B03B15">
      <w:pPr>
        <w:ind w:left="1636"/>
        <w:jc w:val="both"/>
        <w:rPr>
          <w:rFonts w:ascii="Abadi" w:hAnsi="Abadi" w:cs="Calibri Light"/>
          <w:b/>
          <w:bCs/>
          <w:sz w:val="21"/>
          <w:szCs w:val="21"/>
          <w:lang w:val="es-MX" w:eastAsia="en-US"/>
        </w:rPr>
      </w:pPr>
    </w:p>
    <w:p w14:paraId="71147B9F" w14:textId="77777777" w:rsidR="00B03B15" w:rsidRPr="00B03B15" w:rsidRDefault="00B03B15" w:rsidP="00B03B15">
      <w:pPr>
        <w:ind w:left="1418" w:hanging="710"/>
        <w:jc w:val="both"/>
        <w:rPr>
          <w:rFonts w:ascii="Abadi" w:hAnsi="Abadi" w:cs="Calibri Light"/>
          <w:sz w:val="21"/>
          <w:szCs w:val="21"/>
          <w:lang w:val="es-MX" w:eastAsia="en-US"/>
        </w:rPr>
      </w:pPr>
      <w:r w:rsidRPr="00B03B15">
        <w:rPr>
          <w:rFonts w:ascii="Abadi" w:hAnsi="Abadi" w:cs="Calibri Light"/>
          <w:b/>
          <w:bCs/>
          <w:sz w:val="21"/>
          <w:szCs w:val="21"/>
          <w:lang w:val="es-MX" w:eastAsia="en-US"/>
        </w:rPr>
        <w:t xml:space="preserve">IX.     </w:t>
      </w:r>
      <w:r w:rsidRPr="00B03B15">
        <w:rPr>
          <w:rFonts w:ascii="Abadi" w:hAnsi="Abadi" w:cs="Calibri Light"/>
          <w:sz w:val="21"/>
          <w:szCs w:val="21"/>
          <w:lang w:val="es-MX" w:eastAsia="en-US"/>
        </w:rPr>
        <w:t>Haber sido sujeto de determinación de rescisión administrativa conforme a lo previsto en el artículo 117 de esta ley.</w:t>
      </w:r>
    </w:p>
    <w:p w14:paraId="39D76452" w14:textId="77777777" w:rsidR="00B03B15" w:rsidRPr="00B03B15" w:rsidRDefault="00B03B15" w:rsidP="00B03B15">
      <w:pPr>
        <w:ind w:left="1418" w:hanging="710"/>
        <w:jc w:val="both"/>
        <w:rPr>
          <w:rFonts w:ascii="Abadi" w:hAnsi="Abadi" w:cs="Calibri Light"/>
          <w:b/>
          <w:bCs/>
          <w:sz w:val="21"/>
          <w:szCs w:val="21"/>
          <w:lang w:val="es-MX" w:eastAsia="en-US"/>
        </w:rPr>
      </w:pPr>
    </w:p>
    <w:p w14:paraId="17306473" w14:textId="77777777" w:rsidR="00B03B15" w:rsidRPr="00B03B15" w:rsidRDefault="00B03B15" w:rsidP="00B03B15">
      <w:pPr>
        <w:jc w:val="right"/>
        <w:rPr>
          <w:rFonts w:ascii="Abadi" w:hAnsi="Abadi" w:cs="Arial"/>
          <w:b/>
          <w:i/>
          <w:iCs/>
          <w:sz w:val="21"/>
          <w:szCs w:val="21"/>
          <w:lang w:val="es-MX" w:eastAsia="en-US"/>
        </w:rPr>
      </w:pPr>
      <w:r w:rsidRPr="00B03B15">
        <w:rPr>
          <w:rFonts w:ascii="Abadi" w:hAnsi="Abadi" w:cs="Arial"/>
          <w:b/>
          <w:i/>
          <w:iCs/>
          <w:sz w:val="21"/>
          <w:szCs w:val="21"/>
          <w:lang w:val="es-MX" w:eastAsia="en-US"/>
        </w:rPr>
        <w:t>Multa e inhabilitación</w:t>
      </w:r>
    </w:p>
    <w:p w14:paraId="368A4E45" w14:textId="77777777" w:rsidR="00B03B15" w:rsidRPr="00B03B15" w:rsidRDefault="00B03B15" w:rsidP="00B03B15">
      <w:pPr>
        <w:ind w:firstLine="708"/>
        <w:jc w:val="both"/>
        <w:rPr>
          <w:rFonts w:ascii="Abadi" w:hAnsi="Abadi"/>
          <w:sz w:val="21"/>
          <w:szCs w:val="21"/>
          <w:lang w:val="es-MX" w:eastAsia="en-US"/>
        </w:rPr>
      </w:pPr>
      <w:r w:rsidRPr="00B03B15">
        <w:rPr>
          <w:rFonts w:ascii="Abadi" w:hAnsi="Abadi"/>
          <w:b/>
          <w:bCs/>
          <w:sz w:val="21"/>
          <w:szCs w:val="21"/>
          <w:lang w:val="es-MX" w:eastAsia="en-US"/>
        </w:rPr>
        <w:t>Artículo 127.</w:t>
      </w:r>
      <w:r w:rsidRPr="00B03B15">
        <w:rPr>
          <w:rFonts w:ascii="Abadi" w:hAnsi="Abadi"/>
          <w:sz w:val="21"/>
          <w:szCs w:val="21"/>
          <w:lang w:val="es-MX" w:eastAsia="en-US"/>
        </w:rPr>
        <w:t xml:space="preserve"> Los licitantes, postores o proveedores que cometan las infracciones contenidas en el artículo 125 de esta Ley, serán sancionados conforme a lo siguiente:</w:t>
      </w:r>
    </w:p>
    <w:p w14:paraId="72E97345" w14:textId="77777777" w:rsidR="00B03B15" w:rsidRPr="00B03B15" w:rsidRDefault="00B03B15" w:rsidP="00B03B15">
      <w:pPr>
        <w:ind w:firstLine="708"/>
        <w:jc w:val="both"/>
        <w:rPr>
          <w:rFonts w:ascii="Abadi" w:hAnsi="Abadi"/>
          <w:sz w:val="21"/>
          <w:szCs w:val="21"/>
          <w:lang w:val="es-MX" w:eastAsia="en-US"/>
        </w:rPr>
      </w:pPr>
    </w:p>
    <w:p w14:paraId="00F825D7" w14:textId="77777777" w:rsidR="00B03B15" w:rsidRPr="00B03B15" w:rsidRDefault="00B03B15" w:rsidP="001A28E5">
      <w:pPr>
        <w:numPr>
          <w:ilvl w:val="0"/>
          <w:numId w:val="80"/>
        </w:numPr>
        <w:shd w:val="clear" w:color="auto" w:fill="FFFFFF"/>
        <w:ind w:hanging="229"/>
        <w:jc w:val="both"/>
        <w:rPr>
          <w:rFonts w:ascii="Abadi" w:hAnsi="Abadi" w:cs="Arial"/>
          <w:color w:val="222222"/>
          <w:sz w:val="21"/>
          <w:szCs w:val="21"/>
          <w:lang w:val="es-MX" w:eastAsia="es-MX"/>
        </w:rPr>
      </w:pPr>
      <w:r w:rsidRPr="00B03B15">
        <w:rPr>
          <w:rFonts w:ascii="Abadi" w:hAnsi="Abadi" w:cs="Arial"/>
          <w:color w:val="222222"/>
          <w:sz w:val="21"/>
          <w:szCs w:val="21"/>
          <w:lang w:val="es-MX" w:eastAsia="es-MX"/>
        </w:rPr>
        <w:t>Las infracciones contenidas en las fracciones I, II, III, V, VI y VII del artículo 125 de esta ley, serán sancionadas con una multa por un importe equivalente de veinte a quinientas veces la Unidad de Medida y Actualización diaria elevada al mes, vigente al momento de la infracción, e inhabilitación temporal para participar en los procedimientos de contratación y celebrar contratos por el periodo de tres meses a cinco años; </w:t>
      </w:r>
    </w:p>
    <w:p w14:paraId="4AD061AD" w14:textId="77777777" w:rsidR="00B03B15" w:rsidRPr="00B03B15" w:rsidRDefault="00B03B15" w:rsidP="00B03B15">
      <w:pPr>
        <w:shd w:val="clear" w:color="auto" w:fill="FFFFFF"/>
        <w:ind w:left="1080"/>
        <w:jc w:val="both"/>
        <w:rPr>
          <w:rFonts w:ascii="Abadi" w:hAnsi="Abadi" w:cs="Arial"/>
          <w:color w:val="222222"/>
          <w:sz w:val="21"/>
          <w:szCs w:val="21"/>
          <w:lang w:val="es-MX" w:eastAsia="es-MX"/>
        </w:rPr>
      </w:pPr>
    </w:p>
    <w:p w14:paraId="37400902" w14:textId="77777777" w:rsidR="00B03B15" w:rsidRPr="00B03B15" w:rsidRDefault="00B03B15" w:rsidP="001A28E5">
      <w:pPr>
        <w:numPr>
          <w:ilvl w:val="0"/>
          <w:numId w:val="80"/>
        </w:numPr>
        <w:shd w:val="clear" w:color="auto" w:fill="FFFFFF"/>
        <w:ind w:hanging="371"/>
        <w:jc w:val="both"/>
        <w:rPr>
          <w:rFonts w:ascii="Abadi" w:hAnsi="Abadi" w:cs="Arial"/>
          <w:color w:val="222222"/>
          <w:sz w:val="21"/>
          <w:szCs w:val="21"/>
          <w:lang w:val="es-MX" w:eastAsia="es-MX"/>
        </w:rPr>
      </w:pPr>
      <w:r w:rsidRPr="00B03B15">
        <w:rPr>
          <w:rFonts w:ascii="Abadi" w:hAnsi="Abadi" w:cs="Arial"/>
          <w:color w:val="222222"/>
          <w:sz w:val="21"/>
          <w:szCs w:val="21"/>
          <w:lang w:val="es-MX" w:eastAsia="es-MX"/>
        </w:rPr>
        <w:t>La infracción contenida en la fracción IV será sancionada con una multa por un importe equivalente de veinte a quinientas veces la Unidad de Medida y Actualización diaria elevada al mes, vigente al momento de la infracción, e inhabilitación temporal para participar en los procedimientos de contratación y celebrar contratos, la cual no será menor de un año ni mayor de dos.</w:t>
      </w:r>
    </w:p>
    <w:p w14:paraId="2EA66AE5" w14:textId="77777777" w:rsidR="00B03B15" w:rsidRPr="00B03B15" w:rsidRDefault="00B03B15" w:rsidP="00B03B15">
      <w:pPr>
        <w:shd w:val="clear" w:color="auto" w:fill="FFFFFF"/>
        <w:ind w:left="567"/>
        <w:jc w:val="both"/>
        <w:rPr>
          <w:rFonts w:ascii="Abadi" w:hAnsi="Abadi" w:cs="Arial"/>
          <w:color w:val="222222"/>
          <w:sz w:val="21"/>
          <w:szCs w:val="21"/>
          <w:lang w:val="es-MX" w:eastAsia="es-MX"/>
        </w:rPr>
      </w:pPr>
    </w:p>
    <w:p w14:paraId="415F8C83" w14:textId="77777777" w:rsidR="00B03B15" w:rsidRPr="00B03B15" w:rsidRDefault="00B03B15" w:rsidP="00B03B15">
      <w:pPr>
        <w:ind w:left="1134"/>
        <w:jc w:val="both"/>
        <w:rPr>
          <w:rFonts w:ascii="Abadi" w:hAnsi="Abadi"/>
          <w:sz w:val="21"/>
          <w:szCs w:val="21"/>
          <w:lang w:val="es-MX" w:eastAsia="en-US"/>
        </w:rPr>
      </w:pPr>
      <w:r w:rsidRPr="00B03B15">
        <w:rPr>
          <w:rFonts w:ascii="Abadi" w:hAnsi="Abadi"/>
          <w:sz w:val="21"/>
          <w:szCs w:val="21"/>
          <w:lang w:val="es-MX" w:eastAsia="en-US"/>
        </w:rPr>
        <w:t>Cuando los licitantes, postores o proveedores, injustificadamente y por causas imputables a los mismos, no formalicen contratos cuyo monto no exceda de cincuenta veces la Unidad de Medida y Actualización diaria elevada al mes, serán sancionados con una multa por un importe equivalente de diez hasta cuarenta y cinco veces la Unidad de Medida y Actualización diaria elevada al mes vigente al momento de la infracción, lo anterior, sin demérito de la inhabilitación temporal señalada en el párrafo anterior;</w:t>
      </w:r>
    </w:p>
    <w:p w14:paraId="099E55B6" w14:textId="77777777" w:rsidR="00B03B15" w:rsidRPr="00B03B15" w:rsidRDefault="00B03B15" w:rsidP="00B03B15">
      <w:pPr>
        <w:shd w:val="clear" w:color="auto" w:fill="FFFFFF"/>
        <w:ind w:left="567"/>
        <w:jc w:val="both"/>
        <w:rPr>
          <w:rFonts w:ascii="Abadi" w:hAnsi="Abadi" w:cs="Arial"/>
          <w:color w:val="222222"/>
          <w:sz w:val="21"/>
          <w:szCs w:val="21"/>
          <w:lang w:val="es-MX" w:eastAsia="es-MX"/>
        </w:rPr>
      </w:pPr>
    </w:p>
    <w:p w14:paraId="1A4ACB9C" w14:textId="77777777" w:rsidR="00B03B15" w:rsidRPr="00B03B15" w:rsidRDefault="00B03B15" w:rsidP="001A28E5">
      <w:pPr>
        <w:numPr>
          <w:ilvl w:val="0"/>
          <w:numId w:val="80"/>
        </w:numPr>
        <w:shd w:val="clear" w:color="auto" w:fill="FFFFFF"/>
        <w:jc w:val="both"/>
        <w:rPr>
          <w:rFonts w:ascii="Abadi" w:hAnsi="Abadi" w:cs="Arial"/>
          <w:color w:val="222222"/>
          <w:sz w:val="21"/>
          <w:szCs w:val="21"/>
          <w:lang w:val="es-MX" w:eastAsia="es-MX"/>
        </w:rPr>
      </w:pPr>
      <w:r w:rsidRPr="00B03B15">
        <w:rPr>
          <w:rFonts w:ascii="Abadi" w:hAnsi="Abadi" w:cs="Arial"/>
          <w:color w:val="222222"/>
          <w:sz w:val="21"/>
          <w:szCs w:val="21"/>
          <w:lang w:val="es-MX" w:eastAsia="es-MX"/>
        </w:rPr>
        <w:t>La infracción contenida en la fracción VIII será sancionada con una multa por un importe equivalente de veinte a quinientas veces la Unidad de Medida y Actualización diaria elevada al mes, vigente al momento de la infracción, e inhabilitación temporal para participar en los procedimientos de contratación y celebrar contratos, la cual no será menor de tres años y hasta cinco años; </w:t>
      </w:r>
    </w:p>
    <w:p w14:paraId="4271E4C2" w14:textId="77777777" w:rsidR="00B03B15" w:rsidRPr="00B03B15" w:rsidRDefault="00B03B15" w:rsidP="00B03B15">
      <w:pPr>
        <w:shd w:val="clear" w:color="auto" w:fill="FFFFFF"/>
        <w:ind w:left="567"/>
        <w:jc w:val="both"/>
        <w:rPr>
          <w:rFonts w:ascii="Abadi" w:hAnsi="Abadi" w:cs="Arial"/>
          <w:color w:val="222222"/>
          <w:sz w:val="21"/>
          <w:szCs w:val="21"/>
          <w:lang w:val="es-MX" w:eastAsia="es-MX"/>
        </w:rPr>
      </w:pPr>
    </w:p>
    <w:p w14:paraId="2661AC16" w14:textId="77777777" w:rsidR="00B03B15" w:rsidRPr="00B03B15" w:rsidRDefault="00B03B15" w:rsidP="001A28E5">
      <w:pPr>
        <w:numPr>
          <w:ilvl w:val="0"/>
          <w:numId w:val="80"/>
        </w:numPr>
        <w:ind w:left="1134" w:hanging="567"/>
        <w:jc w:val="both"/>
        <w:rPr>
          <w:rFonts w:ascii="Abadi" w:hAnsi="Abadi"/>
          <w:sz w:val="21"/>
          <w:szCs w:val="21"/>
          <w:lang w:val="es-MX" w:eastAsia="en-US"/>
        </w:rPr>
      </w:pPr>
      <w:r w:rsidRPr="00B03B15">
        <w:rPr>
          <w:rFonts w:ascii="Abadi" w:hAnsi="Abadi" w:cs="Arial"/>
          <w:color w:val="222222"/>
          <w:sz w:val="21"/>
          <w:szCs w:val="21"/>
          <w:lang w:val="es-MX" w:eastAsia="es-MX"/>
        </w:rPr>
        <w:t>La infracción contenida en la fracción IX será sancionada únicamente con inhabilitación temporal, la cual no será menor de tres años y hasta cinco.</w:t>
      </w:r>
    </w:p>
    <w:p w14:paraId="0C139805" w14:textId="77777777" w:rsidR="00B03B15" w:rsidRPr="00B03B15" w:rsidRDefault="00B03B15" w:rsidP="00B03B15">
      <w:pPr>
        <w:jc w:val="both"/>
        <w:rPr>
          <w:rFonts w:ascii="Abadi" w:hAnsi="Abadi"/>
          <w:b/>
          <w:bCs/>
          <w:i/>
          <w:iCs/>
          <w:sz w:val="21"/>
          <w:szCs w:val="21"/>
          <w:lang w:val="es-MX" w:eastAsia="en-US"/>
        </w:rPr>
      </w:pPr>
    </w:p>
    <w:p w14:paraId="66BBAAFE" w14:textId="77777777" w:rsidR="00B03B15" w:rsidRPr="00B03B15" w:rsidRDefault="00B03B15" w:rsidP="00B03B15">
      <w:pPr>
        <w:ind w:firstLine="708"/>
        <w:jc w:val="both"/>
        <w:rPr>
          <w:rFonts w:ascii="Abadi" w:hAnsi="Abadi"/>
          <w:sz w:val="21"/>
          <w:szCs w:val="21"/>
          <w:lang w:val="es-MX" w:eastAsia="en-US"/>
        </w:rPr>
      </w:pPr>
      <w:r w:rsidRPr="00B03B15">
        <w:rPr>
          <w:rFonts w:ascii="Abadi" w:hAnsi="Abadi"/>
          <w:sz w:val="21"/>
          <w:szCs w:val="21"/>
          <w:lang w:val="es-MX" w:eastAsia="en-US"/>
        </w:rPr>
        <w:t>Las sanciones que se impongan deberán ser proporcionales al costo de la prestación contratada.</w:t>
      </w:r>
    </w:p>
    <w:p w14:paraId="489BAE6F" w14:textId="77777777" w:rsidR="00B03B15" w:rsidRPr="00B03B15" w:rsidRDefault="00B03B15" w:rsidP="00B03B15">
      <w:pPr>
        <w:ind w:firstLine="708"/>
        <w:jc w:val="both"/>
        <w:rPr>
          <w:rFonts w:ascii="Abadi" w:hAnsi="Abadi"/>
          <w:b/>
          <w:bCs/>
          <w:sz w:val="21"/>
          <w:szCs w:val="21"/>
          <w:lang w:val="es-MX" w:eastAsia="en-US"/>
        </w:rPr>
      </w:pPr>
    </w:p>
    <w:p w14:paraId="177FC233" w14:textId="77777777" w:rsidR="00B03B15" w:rsidRPr="00B03B15" w:rsidRDefault="00B03B15" w:rsidP="00B03B15">
      <w:pPr>
        <w:ind w:firstLine="708"/>
        <w:jc w:val="both"/>
        <w:rPr>
          <w:rFonts w:ascii="Abadi" w:hAnsi="Abadi"/>
          <w:sz w:val="21"/>
          <w:szCs w:val="21"/>
          <w:lang w:val="es-MX" w:eastAsia="en-US"/>
        </w:rPr>
      </w:pPr>
      <w:r w:rsidRPr="00B03B15">
        <w:rPr>
          <w:rFonts w:ascii="Abadi" w:hAnsi="Abadi"/>
          <w:sz w:val="21"/>
          <w:szCs w:val="21"/>
          <w:lang w:val="es-MX" w:eastAsia="en-US"/>
        </w:rPr>
        <w:t>Tratándose de reincidencia se impondrá una multa por un monto de hasta el doble de la impuesta con anterioridad, sin perjuicio de la inhabilitación antes referida.</w:t>
      </w:r>
    </w:p>
    <w:p w14:paraId="1B49EB42" w14:textId="77777777" w:rsidR="00B03B15" w:rsidRPr="00B03B15" w:rsidRDefault="00B03B15" w:rsidP="00B03B15">
      <w:pPr>
        <w:ind w:left="1418" w:hanging="710"/>
        <w:jc w:val="both"/>
        <w:rPr>
          <w:rFonts w:ascii="Abadi" w:hAnsi="Abadi"/>
          <w:sz w:val="21"/>
          <w:szCs w:val="21"/>
          <w:lang w:val="es-MX" w:eastAsia="en-US"/>
        </w:rPr>
      </w:pPr>
    </w:p>
    <w:p w14:paraId="7DD2F673" w14:textId="77777777" w:rsidR="00B03B15" w:rsidRPr="00B03B15" w:rsidRDefault="00B03B15" w:rsidP="00B03B15">
      <w:pPr>
        <w:ind w:firstLine="708"/>
        <w:jc w:val="both"/>
        <w:rPr>
          <w:rFonts w:ascii="Abadi" w:hAnsi="Abadi"/>
          <w:sz w:val="21"/>
          <w:szCs w:val="21"/>
          <w:lang w:val="es-MX" w:eastAsia="en-US"/>
        </w:rPr>
      </w:pPr>
      <w:r w:rsidRPr="00B03B15">
        <w:rPr>
          <w:rFonts w:ascii="Abadi" w:hAnsi="Abadi"/>
          <w:sz w:val="21"/>
          <w:szCs w:val="21"/>
          <w:lang w:val="es-MX" w:eastAsia="en-US"/>
        </w:rPr>
        <w:t xml:space="preserve">Si al día en que se cumpla el plazo de inhabilitación a que se refieren las fracciones anteriores, el sancionado no ha pagado la multa que hubiera sido impuesta, la mencionada inhabilitación subsistirá hasta que se realice el pago correspondiente. </w:t>
      </w:r>
    </w:p>
    <w:p w14:paraId="214591D1" w14:textId="77777777" w:rsidR="00B03B15" w:rsidRPr="00B03B15" w:rsidRDefault="00B03B15" w:rsidP="00B03B15">
      <w:pPr>
        <w:jc w:val="right"/>
        <w:rPr>
          <w:rFonts w:ascii="Abadi" w:hAnsi="Abadi" w:cs="Arial"/>
          <w:b/>
          <w:i/>
          <w:iCs/>
          <w:sz w:val="21"/>
          <w:szCs w:val="21"/>
          <w:lang w:val="es-MX" w:eastAsia="en-US"/>
        </w:rPr>
      </w:pPr>
    </w:p>
    <w:p w14:paraId="04F7B21B" w14:textId="77777777" w:rsidR="00B03B15" w:rsidRPr="00B03B15" w:rsidRDefault="00B03B15" w:rsidP="00B03B15">
      <w:pPr>
        <w:jc w:val="right"/>
        <w:rPr>
          <w:rFonts w:ascii="Abadi" w:hAnsi="Abadi" w:cs="Arial"/>
          <w:b/>
          <w:i/>
          <w:iCs/>
          <w:sz w:val="21"/>
          <w:szCs w:val="21"/>
          <w:lang w:val="es-MX" w:eastAsia="en-US"/>
        </w:rPr>
      </w:pPr>
      <w:r w:rsidRPr="00B03B15">
        <w:rPr>
          <w:rFonts w:ascii="Abadi" w:hAnsi="Abadi" w:cs="Arial"/>
          <w:b/>
          <w:i/>
          <w:iCs/>
          <w:sz w:val="21"/>
          <w:szCs w:val="21"/>
          <w:lang w:val="es-MX" w:eastAsia="en-US"/>
        </w:rPr>
        <w:t>Reglas para la…</w:t>
      </w:r>
    </w:p>
    <w:p w14:paraId="2D786B9C" w14:textId="77777777" w:rsidR="00B03B15" w:rsidRPr="00B03B15" w:rsidRDefault="00B03B15" w:rsidP="00B03B15">
      <w:pPr>
        <w:ind w:firstLine="708"/>
        <w:jc w:val="both"/>
        <w:rPr>
          <w:rFonts w:ascii="Abadi" w:hAnsi="Abadi"/>
          <w:sz w:val="21"/>
          <w:szCs w:val="21"/>
          <w:lang w:val="es-MX" w:eastAsia="en-US"/>
        </w:rPr>
      </w:pPr>
      <w:r w:rsidRPr="00B03B15">
        <w:rPr>
          <w:rFonts w:ascii="Abadi" w:hAnsi="Abadi"/>
          <w:b/>
          <w:bCs/>
          <w:sz w:val="21"/>
          <w:szCs w:val="21"/>
          <w:lang w:val="es-MX" w:eastAsia="en-US"/>
        </w:rPr>
        <w:t>Artículo 130.</w:t>
      </w:r>
      <w:r w:rsidRPr="00B03B15">
        <w:rPr>
          <w:rFonts w:ascii="Abadi" w:hAnsi="Abadi"/>
          <w:sz w:val="21"/>
          <w:szCs w:val="21"/>
          <w:lang w:val="es-MX" w:eastAsia="en-US"/>
        </w:rPr>
        <w:t xml:space="preserve"> En el procedimiento…</w:t>
      </w:r>
    </w:p>
    <w:p w14:paraId="7FC5032E" w14:textId="77777777" w:rsidR="00B03B15" w:rsidRPr="00B03B15" w:rsidRDefault="00B03B15" w:rsidP="00B03B15">
      <w:pPr>
        <w:jc w:val="both"/>
        <w:rPr>
          <w:rFonts w:ascii="Abadi" w:hAnsi="Abadi"/>
          <w:bCs/>
          <w:sz w:val="21"/>
          <w:szCs w:val="21"/>
          <w:lang w:val="es-MX" w:eastAsia="en-US"/>
        </w:rPr>
      </w:pPr>
    </w:p>
    <w:p w14:paraId="4417EECD" w14:textId="77777777" w:rsidR="00B03B15" w:rsidRPr="00B03B15" w:rsidRDefault="00B03B15" w:rsidP="00B03B15">
      <w:pPr>
        <w:ind w:firstLine="708"/>
        <w:jc w:val="both"/>
        <w:rPr>
          <w:rFonts w:ascii="Abadi" w:hAnsi="Abadi"/>
          <w:bCs/>
          <w:sz w:val="21"/>
          <w:szCs w:val="21"/>
          <w:lang w:val="es-MX" w:eastAsia="en-US"/>
        </w:rPr>
      </w:pPr>
      <w:r w:rsidRPr="00B03B15">
        <w:rPr>
          <w:rFonts w:ascii="Abadi" w:hAnsi="Abadi"/>
          <w:b/>
          <w:sz w:val="21"/>
          <w:szCs w:val="21"/>
          <w:lang w:val="es-MX" w:eastAsia="en-US"/>
        </w:rPr>
        <w:t>I</w:t>
      </w:r>
      <w:r w:rsidRPr="00B03B15">
        <w:rPr>
          <w:rFonts w:ascii="Abadi" w:hAnsi="Abadi"/>
          <w:bCs/>
          <w:sz w:val="21"/>
          <w:szCs w:val="21"/>
          <w:lang w:val="es-MX" w:eastAsia="en-US"/>
        </w:rPr>
        <w:t xml:space="preserve"> a </w:t>
      </w:r>
      <w:r w:rsidRPr="00B03B15">
        <w:rPr>
          <w:rFonts w:ascii="Abadi" w:hAnsi="Abadi"/>
          <w:b/>
          <w:sz w:val="21"/>
          <w:szCs w:val="21"/>
          <w:lang w:val="es-MX" w:eastAsia="en-US"/>
        </w:rPr>
        <w:t>IV.</w:t>
      </w:r>
      <w:r w:rsidRPr="00B03B15">
        <w:rPr>
          <w:rFonts w:ascii="Abadi" w:hAnsi="Abadi"/>
          <w:bCs/>
          <w:sz w:val="21"/>
          <w:szCs w:val="21"/>
          <w:lang w:val="es-MX" w:eastAsia="en-US"/>
        </w:rPr>
        <w:t xml:space="preserve"> …</w:t>
      </w:r>
    </w:p>
    <w:p w14:paraId="6531084F" w14:textId="77777777" w:rsidR="00B03B15" w:rsidRPr="00B03B15" w:rsidRDefault="00B03B15" w:rsidP="00B03B15">
      <w:pPr>
        <w:jc w:val="both"/>
        <w:rPr>
          <w:rFonts w:ascii="Abadi" w:hAnsi="Abadi"/>
          <w:bCs/>
          <w:sz w:val="21"/>
          <w:szCs w:val="21"/>
          <w:lang w:val="es-MX" w:eastAsia="en-US"/>
        </w:rPr>
      </w:pPr>
    </w:p>
    <w:p w14:paraId="2518B6BC" w14:textId="77777777" w:rsidR="00B03B15" w:rsidRPr="00B03B15" w:rsidRDefault="00B03B15" w:rsidP="00B03B15">
      <w:pPr>
        <w:ind w:firstLine="708"/>
        <w:jc w:val="both"/>
        <w:rPr>
          <w:rFonts w:ascii="Abadi" w:hAnsi="Abadi"/>
          <w:sz w:val="21"/>
          <w:szCs w:val="21"/>
          <w:lang w:val="es-MX" w:eastAsia="en-US"/>
        </w:rPr>
      </w:pPr>
      <w:r w:rsidRPr="00B03B15">
        <w:rPr>
          <w:rFonts w:ascii="Abadi" w:hAnsi="Abadi"/>
          <w:sz w:val="21"/>
          <w:szCs w:val="21"/>
          <w:lang w:val="es-MX" w:eastAsia="en-US"/>
        </w:rPr>
        <w:t>En el caso de la infracción prevista en la fracción IX del artículo 125 de esta ley, la sanción de inhabilitación se impondrá en la resolución del procedimiento de rescisión administrativa.»</w:t>
      </w:r>
    </w:p>
    <w:p w14:paraId="3918F99C" w14:textId="77777777" w:rsidR="007B7DFE" w:rsidRDefault="007B7DFE" w:rsidP="00B03B15">
      <w:pPr>
        <w:jc w:val="center"/>
        <w:rPr>
          <w:rFonts w:ascii="Abadi" w:hAnsi="Abadi"/>
          <w:b/>
          <w:bCs/>
          <w:sz w:val="21"/>
          <w:szCs w:val="21"/>
          <w:lang w:val="es-MX" w:eastAsia="en-US"/>
        </w:rPr>
      </w:pPr>
    </w:p>
    <w:p w14:paraId="402723B0" w14:textId="36CB8779" w:rsidR="00B03B15" w:rsidRPr="00B03B15" w:rsidRDefault="00B03B15" w:rsidP="00B03B15">
      <w:pPr>
        <w:jc w:val="center"/>
        <w:rPr>
          <w:rFonts w:ascii="Abadi" w:hAnsi="Abadi" w:cs="Calibri Light"/>
          <w:b/>
          <w:sz w:val="21"/>
          <w:szCs w:val="21"/>
          <w:lang w:val="es-MX" w:eastAsia="en-US"/>
        </w:rPr>
      </w:pPr>
      <w:r w:rsidRPr="00B03B15">
        <w:rPr>
          <w:rFonts w:ascii="Abadi" w:hAnsi="Abadi"/>
          <w:b/>
          <w:bCs/>
          <w:sz w:val="21"/>
          <w:szCs w:val="21"/>
          <w:lang w:val="es-MX" w:eastAsia="en-US"/>
        </w:rPr>
        <w:t xml:space="preserve">T R A N S I T O R I O S </w:t>
      </w:r>
    </w:p>
    <w:p w14:paraId="3890E52A" w14:textId="77777777" w:rsidR="00B03B15" w:rsidRPr="00B03B15" w:rsidRDefault="00B03B15" w:rsidP="00B03B15">
      <w:pPr>
        <w:jc w:val="both"/>
        <w:rPr>
          <w:rFonts w:ascii="Abadi" w:hAnsi="Abadi" w:cs="Calibri Light"/>
          <w:b/>
          <w:sz w:val="21"/>
          <w:szCs w:val="21"/>
          <w:lang w:val="es-MX" w:eastAsia="en-US"/>
        </w:rPr>
      </w:pPr>
    </w:p>
    <w:p w14:paraId="29B44803" w14:textId="77777777" w:rsidR="00B03B15" w:rsidRPr="00B03B15" w:rsidRDefault="00B03B15" w:rsidP="00B03B15">
      <w:pPr>
        <w:jc w:val="right"/>
        <w:rPr>
          <w:rFonts w:ascii="Abadi" w:hAnsi="Abadi" w:cs="Arial"/>
          <w:b/>
          <w:i/>
          <w:iCs/>
          <w:snapToGrid w:val="0"/>
          <w:sz w:val="21"/>
          <w:szCs w:val="21"/>
          <w:lang w:val="es-MX" w:eastAsia="en-US"/>
        </w:rPr>
      </w:pPr>
      <w:r w:rsidRPr="00B03B15">
        <w:rPr>
          <w:rFonts w:ascii="Abadi" w:hAnsi="Abadi" w:cs="Arial"/>
          <w:b/>
          <w:i/>
          <w:iCs/>
          <w:snapToGrid w:val="0"/>
          <w:sz w:val="21"/>
          <w:szCs w:val="21"/>
          <w:lang w:val="es-MX" w:eastAsia="en-US"/>
        </w:rPr>
        <w:t xml:space="preserve">Entrada en vigor </w:t>
      </w:r>
    </w:p>
    <w:p w14:paraId="043B6712" w14:textId="77777777" w:rsidR="00B03B15" w:rsidRPr="00B03B15" w:rsidRDefault="00B03B15" w:rsidP="00B03B15">
      <w:pPr>
        <w:ind w:firstLine="708"/>
        <w:jc w:val="both"/>
        <w:rPr>
          <w:rFonts w:ascii="Abadi" w:hAnsi="Abadi" w:cs="Arial"/>
          <w:b/>
          <w:snapToGrid w:val="0"/>
          <w:sz w:val="21"/>
          <w:szCs w:val="21"/>
          <w:lang w:val="es-MX" w:eastAsia="en-US"/>
        </w:rPr>
      </w:pPr>
      <w:r w:rsidRPr="00B03B15">
        <w:rPr>
          <w:rFonts w:ascii="Abadi" w:hAnsi="Abadi" w:cs="Arial"/>
          <w:b/>
          <w:snapToGrid w:val="0"/>
          <w:sz w:val="21"/>
          <w:szCs w:val="21"/>
          <w:lang w:val="es-MX" w:eastAsia="en-US"/>
        </w:rPr>
        <w:t xml:space="preserve">Artículo Primero. </w:t>
      </w:r>
      <w:r w:rsidRPr="00B03B15">
        <w:rPr>
          <w:rFonts w:ascii="Abadi" w:hAnsi="Abadi" w:cs="Arial"/>
          <w:bCs/>
          <w:snapToGrid w:val="0"/>
          <w:sz w:val="21"/>
          <w:szCs w:val="21"/>
          <w:lang w:val="es-MX" w:eastAsia="en-US"/>
        </w:rPr>
        <w:t>El presente Decreto entrará en vigor el día siguiente al de su publicación en el Periódico Oficial del Gobierno del Estado de Guanajuato.</w:t>
      </w:r>
      <w:r w:rsidRPr="00B03B15">
        <w:rPr>
          <w:rFonts w:ascii="Abadi" w:hAnsi="Abadi" w:cs="Arial"/>
          <w:b/>
          <w:snapToGrid w:val="0"/>
          <w:sz w:val="21"/>
          <w:szCs w:val="21"/>
          <w:lang w:val="es-MX" w:eastAsia="en-US"/>
        </w:rPr>
        <w:t xml:space="preserve"> </w:t>
      </w:r>
    </w:p>
    <w:p w14:paraId="75EDD80E" w14:textId="77777777" w:rsidR="00B03B15" w:rsidRPr="00B03B15" w:rsidRDefault="00B03B15" w:rsidP="00B03B15">
      <w:pPr>
        <w:ind w:firstLine="708"/>
        <w:jc w:val="both"/>
        <w:rPr>
          <w:rFonts w:ascii="Abadi" w:hAnsi="Abadi" w:cs="Arial"/>
          <w:b/>
          <w:snapToGrid w:val="0"/>
          <w:sz w:val="21"/>
          <w:szCs w:val="21"/>
          <w:lang w:val="es-MX" w:eastAsia="en-US"/>
        </w:rPr>
      </w:pPr>
    </w:p>
    <w:p w14:paraId="40868BF8" w14:textId="77777777" w:rsidR="00B03B15" w:rsidRPr="00B03B15" w:rsidRDefault="00B03B15" w:rsidP="00B03B15">
      <w:pPr>
        <w:jc w:val="right"/>
        <w:rPr>
          <w:rFonts w:ascii="Abadi" w:hAnsi="Abadi" w:cs="Arial"/>
          <w:b/>
          <w:i/>
          <w:iCs/>
          <w:snapToGrid w:val="0"/>
          <w:sz w:val="21"/>
          <w:szCs w:val="21"/>
          <w:lang w:val="es-MX" w:eastAsia="en-US"/>
        </w:rPr>
      </w:pPr>
      <w:r w:rsidRPr="00B03B15">
        <w:rPr>
          <w:rFonts w:ascii="Abadi" w:hAnsi="Abadi" w:cs="Arial"/>
          <w:b/>
          <w:i/>
          <w:iCs/>
          <w:snapToGrid w:val="0"/>
          <w:sz w:val="21"/>
          <w:szCs w:val="21"/>
          <w:lang w:val="es-MX" w:eastAsia="en-US"/>
        </w:rPr>
        <w:t>Término para armonizar la reglamentación</w:t>
      </w:r>
    </w:p>
    <w:p w14:paraId="04B47EBE" w14:textId="77777777" w:rsidR="00B03B15" w:rsidRPr="00B03B15" w:rsidRDefault="00B03B15" w:rsidP="00B03B15">
      <w:pPr>
        <w:ind w:firstLine="708"/>
        <w:jc w:val="both"/>
        <w:rPr>
          <w:rFonts w:ascii="Abadi" w:hAnsi="Abadi" w:cs="Calibri Light"/>
          <w:b/>
          <w:sz w:val="21"/>
          <w:szCs w:val="21"/>
          <w:lang w:val="es-MX" w:eastAsia="en-US"/>
        </w:rPr>
      </w:pPr>
      <w:r w:rsidRPr="00B03B15">
        <w:rPr>
          <w:rFonts w:ascii="Abadi" w:hAnsi="Abadi"/>
          <w:b/>
          <w:bCs/>
          <w:sz w:val="21"/>
          <w:szCs w:val="21"/>
          <w:lang w:val="es-MX" w:eastAsia="en-US"/>
        </w:rPr>
        <w:t>Artículo Segundo.</w:t>
      </w:r>
      <w:r w:rsidRPr="00B03B15">
        <w:rPr>
          <w:rFonts w:ascii="Abadi" w:hAnsi="Abadi"/>
          <w:sz w:val="21"/>
          <w:szCs w:val="21"/>
          <w:lang w:val="es-MX" w:eastAsia="en-US"/>
        </w:rPr>
        <w:t xml:space="preserve"> Los sujetos de esta ley en un término no mayor de 90 días hábiles deberán armonizar los reglamentos y disposiciones administrativas derivadas de la ley a las disposiciones contenidas en el presente decreto. </w:t>
      </w:r>
    </w:p>
    <w:p w14:paraId="1B6EE3BE" w14:textId="6620E39D" w:rsidR="00B03B15" w:rsidRDefault="00B03B15" w:rsidP="00B03B15">
      <w:pPr>
        <w:ind w:left="604" w:firstLine="105"/>
        <w:jc w:val="both"/>
        <w:rPr>
          <w:rFonts w:ascii="Abadi" w:hAnsi="Abadi" w:cs="Calibri Light"/>
          <w:b/>
          <w:sz w:val="21"/>
          <w:szCs w:val="21"/>
          <w:lang w:val="es-MX" w:eastAsia="en-US"/>
        </w:rPr>
      </w:pPr>
    </w:p>
    <w:p w14:paraId="16C8F77F" w14:textId="77777777" w:rsidR="007B7DFE" w:rsidRPr="00B03B15" w:rsidRDefault="007B7DFE" w:rsidP="00B03B15">
      <w:pPr>
        <w:ind w:left="604" w:firstLine="105"/>
        <w:jc w:val="both"/>
        <w:rPr>
          <w:rFonts w:ascii="Abadi" w:hAnsi="Abadi" w:cs="Calibri Light"/>
          <w:b/>
          <w:sz w:val="21"/>
          <w:szCs w:val="21"/>
          <w:lang w:val="es-MX" w:eastAsia="en-US"/>
        </w:rPr>
      </w:pPr>
    </w:p>
    <w:p w14:paraId="0823A3A7" w14:textId="77777777" w:rsidR="00B03B15" w:rsidRPr="00B03B15" w:rsidRDefault="00B03B15" w:rsidP="007B7DFE">
      <w:pPr>
        <w:jc w:val="center"/>
        <w:rPr>
          <w:rFonts w:ascii="Abadi" w:hAnsi="Abadi" w:cs="Arial"/>
          <w:b/>
          <w:iCs/>
          <w:sz w:val="21"/>
          <w:szCs w:val="21"/>
          <w:lang w:val="es-MX" w:eastAsia="en-US"/>
        </w:rPr>
      </w:pPr>
      <w:r w:rsidRPr="00B03B15">
        <w:rPr>
          <w:rFonts w:ascii="Abadi" w:hAnsi="Abadi" w:cs="Arial"/>
          <w:b/>
          <w:iCs/>
          <w:sz w:val="21"/>
          <w:szCs w:val="21"/>
          <w:lang w:val="es-MX" w:eastAsia="en-US"/>
        </w:rPr>
        <w:t>Guanajuato, Gto., 20 de junio de 2022</w:t>
      </w:r>
    </w:p>
    <w:p w14:paraId="5A49F6E9" w14:textId="77777777" w:rsidR="00B03B15" w:rsidRPr="00B03B15" w:rsidRDefault="00B03B15" w:rsidP="007B7DFE">
      <w:pPr>
        <w:jc w:val="center"/>
        <w:rPr>
          <w:rFonts w:ascii="Abadi" w:hAnsi="Abadi" w:cs="Arial"/>
          <w:b/>
          <w:iCs/>
          <w:sz w:val="21"/>
          <w:szCs w:val="21"/>
          <w:lang w:val="es-MX" w:eastAsia="en-US"/>
        </w:rPr>
      </w:pPr>
      <w:smartTag w:uri="urn:schemas-microsoft-com:office:smarttags" w:element="PersonName">
        <w:smartTagPr>
          <w:attr w:name="ProductID" w:val="La Comisi￳n"/>
        </w:smartTagPr>
        <w:r w:rsidRPr="00B03B15">
          <w:rPr>
            <w:rFonts w:ascii="Abadi" w:hAnsi="Abadi" w:cs="Arial"/>
            <w:b/>
            <w:iCs/>
            <w:sz w:val="21"/>
            <w:szCs w:val="21"/>
            <w:lang w:val="es-MX" w:eastAsia="en-US"/>
          </w:rPr>
          <w:t>La Comisión</w:t>
        </w:r>
      </w:smartTag>
      <w:r w:rsidRPr="00B03B15">
        <w:rPr>
          <w:rFonts w:ascii="Abadi" w:hAnsi="Abadi" w:cs="Arial"/>
          <w:b/>
          <w:iCs/>
          <w:sz w:val="21"/>
          <w:szCs w:val="21"/>
          <w:lang w:val="es-MX" w:eastAsia="en-US"/>
        </w:rPr>
        <w:t xml:space="preserve"> de Hacienda y Fiscalización</w:t>
      </w:r>
    </w:p>
    <w:p w14:paraId="5114D953" w14:textId="77777777" w:rsidR="007B7DFE" w:rsidRDefault="007B7DFE" w:rsidP="007B7DFE">
      <w:pPr>
        <w:jc w:val="center"/>
        <w:rPr>
          <w:rFonts w:ascii="Abadi" w:hAnsi="Abadi" w:cs="Arial"/>
          <w:bCs/>
          <w:i/>
          <w:sz w:val="21"/>
          <w:szCs w:val="21"/>
          <w:lang w:val="es-MX" w:eastAsia="en-US"/>
        </w:rPr>
      </w:pPr>
    </w:p>
    <w:p w14:paraId="62924027" w14:textId="51875D58" w:rsidR="00B03B15" w:rsidRPr="00B03B15" w:rsidRDefault="00B03B15" w:rsidP="007B7DFE">
      <w:pPr>
        <w:jc w:val="center"/>
        <w:rPr>
          <w:rFonts w:ascii="Abadi" w:hAnsi="Abadi" w:cs="Arial"/>
          <w:bCs/>
          <w:i/>
          <w:sz w:val="21"/>
          <w:szCs w:val="21"/>
          <w:lang w:val="es-MX" w:eastAsia="en-US"/>
        </w:rPr>
      </w:pPr>
      <w:r w:rsidRPr="00B03B15">
        <w:rPr>
          <w:rFonts w:ascii="Abadi" w:hAnsi="Abadi" w:cs="Arial"/>
          <w:bCs/>
          <w:i/>
          <w:sz w:val="21"/>
          <w:szCs w:val="21"/>
          <w:lang w:val="es-MX" w:eastAsia="en-US"/>
        </w:rPr>
        <w:t>Firma electrónica</w:t>
      </w:r>
    </w:p>
    <w:p w14:paraId="4438D851" w14:textId="77777777" w:rsidR="00B03B15" w:rsidRPr="00B03B15" w:rsidRDefault="00B03B15" w:rsidP="007B7DFE">
      <w:pPr>
        <w:jc w:val="center"/>
        <w:rPr>
          <w:rFonts w:ascii="Abadi" w:hAnsi="Abadi" w:cs="Arial"/>
          <w:b/>
          <w:iCs/>
          <w:sz w:val="21"/>
          <w:szCs w:val="21"/>
          <w:lang w:val="es-MX" w:eastAsia="en-US"/>
        </w:rPr>
      </w:pPr>
    </w:p>
    <w:p w14:paraId="53CF800E" w14:textId="77777777" w:rsidR="00B03B15" w:rsidRPr="00B03B15" w:rsidRDefault="00B03B15" w:rsidP="007B7DFE">
      <w:pPr>
        <w:jc w:val="center"/>
        <w:rPr>
          <w:rFonts w:ascii="Abadi" w:hAnsi="Abadi" w:cs="Calibri"/>
          <w:b/>
          <w:bCs/>
          <w:sz w:val="21"/>
          <w:szCs w:val="21"/>
          <w:lang w:val="es-MX" w:eastAsia="en-US"/>
        </w:rPr>
      </w:pPr>
      <w:r w:rsidRPr="00B03B15">
        <w:rPr>
          <w:rFonts w:ascii="Abadi" w:hAnsi="Abadi" w:cs="Calibri"/>
          <w:b/>
          <w:bCs/>
          <w:sz w:val="21"/>
          <w:szCs w:val="21"/>
          <w:lang w:val="es-MX" w:eastAsia="en-US"/>
        </w:rPr>
        <w:t>Diputado Víctor Manuel Zanella Huerta</w:t>
      </w:r>
    </w:p>
    <w:p w14:paraId="3ED0C321" w14:textId="77777777" w:rsidR="00B03B15" w:rsidRPr="00B03B15" w:rsidRDefault="00B03B15" w:rsidP="007B7DFE">
      <w:pPr>
        <w:jc w:val="center"/>
        <w:rPr>
          <w:rFonts w:ascii="Abadi" w:hAnsi="Abadi" w:cs="Calibri"/>
          <w:b/>
          <w:bCs/>
          <w:sz w:val="21"/>
          <w:szCs w:val="21"/>
          <w:lang w:val="es-MX" w:eastAsia="en-US"/>
        </w:rPr>
      </w:pPr>
    </w:p>
    <w:p w14:paraId="69DA8C59" w14:textId="77777777" w:rsidR="00B03B15" w:rsidRPr="00B03B15" w:rsidRDefault="00B03B15" w:rsidP="007B7DFE">
      <w:pPr>
        <w:ind w:right="-234"/>
        <w:jc w:val="center"/>
        <w:rPr>
          <w:rFonts w:ascii="Abadi" w:hAnsi="Abadi" w:cs="Calibri"/>
          <w:b/>
          <w:bCs/>
          <w:sz w:val="21"/>
          <w:szCs w:val="21"/>
          <w:lang w:val="es-MX" w:eastAsia="en-US"/>
        </w:rPr>
      </w:pPr>
      <w:r w:rsidRPr="00B03B15">
        <w:rPr>
          <w:rFonts w:ascii="Abadi" w:hAnsi="Abadi" w:cs="Calibri"/>
          <w:b/>
          <w:bCs/>
          <w:sz w:val="21"/>
          <w:szCs w:val="21"/>
          <w:lang w:val="es-MX" w:eastAsia="en-US"/>
        </w:rPr>
        <w:t>Diputada Ruth Noemí Tiscareño Agoitia      Diputado Miguel Ángel Salim Alle</w:t>
      </w:r>
    </w:p>
    <w:p w14:paraId="635A3576" w14:textId="77777777" w:rsidR="00B03B15" w:rsidRPr="00B03B15" w:rsidRDefault="00B03B15" w:rsidP="007B7DFE">
      <w:pPr>
        <w:jc w:val="center"/>
        <w:rPr>
          <w:rFonts w:ascii="Abadi" w:hAnsi="Abadi" w:cs="Calibri"/>
          <w:b/>
          <w:bCs/>
          <w:sz w:val="21"/>
          <w:szCs w:val="21"/>
          <w:lang w:val="es-MX" w:eastAsia="en-US"/>
        </w:rPr>
      </w:pPr>
    </w:p>
    <w:p w14:paraId="16C1E296" w14:textId="27E2359F" w:rsidR="00B03B15" w:rsidRPr="00B03B15" w:rsidRDefault="00B03B15" w:rsidP="007B7DFE">
      <w:pPr>
        <w:ind w:right="-234"/>
        <w:jc w:val="center"/>
        <w:rPr>
          <w:rFonts w:ascii="Abadi" w:hAnsi="Abadi" w:cs="Calibri"/>
          <w:b/>
          <w:bCs/>
          <w:sz w:val="21"/>
          <w:szCs w:val="21"/>
          <w:lang w:val="es-MX" w:eastAsia="en-US"/>
        </w:rPr>
      </w:pPr>
      <w:r w:rsidRPr="00B03B15">
        <w:rPr>
          <w:rFonts w:ascii="Abadi" w:hAnsi="Abadi" w:cs="Calibri"/>
          <w:b/>
          <w:bCs/>
          <w:sz w:val="21"/>
          <w:szCs w:val="21"/>
          <w:lang w:val="es-MX" w:eastAsia="en-US"/>
        </w:rPr>
        <w:t>Diputado José Alfonso Borja Pimentel</w:t>
      </w:r>
    </w:p>
    <w:p w14:paraId="5042E0B0" w14:textId="77777777" w:rsidR="00B03B15" w:rsidRPr="00B03B15" w:rsidRDefault="00B03B15" w:rsidP="007B7DFE">
      <w:pPr>
        <w:ind w:right="-234"/>
        <w:jc w:val="center"/>
        <w:rPr>
          <w:rFonts w:ascii="Abadi" w:hAnsi="Abadi" w:cs="Calibri"/>
          <w:b/>
          <w:bCs/>
          <w:sz w:val="21"/>
          <w:szCs w:val="21"/>
          <w:lang w:val="es-MX" w:eastAsia="en-US"/>
        </w:rPr>
      </w:pPr>
    </w:p>
    <w:p w14:paraId="3798B7F7" w14:textId="30B29774" w:rsidR="00616877" w:rsidRDefault="00B03B15" w:rsidP="007B7DFE">
      <w:pPr>
        <w:jc w:val="center"/>
        <w:rPr>
          <w:rFonts w:ascii="Abadi" w:hAnsi="Abadi"/>
          <w:sz w:val="20"/>
          <w:szCs w:val="20"/>
        </w:rPr>
      </w:pPr>
      <w:r w:rsidRPr="00B03B15">
        <w:rPr>
          <w:rFonts w:ascii="Abadi" w:hAnsi="Abadi" w:cs="Calibri"/>
          <w:b/>
          <w:bCs/>
          <w:sz w:val="21"/>
          <w:szCs w:val="21"/>
          <w:lang w:val="es-MX" w:eastAsia="en-US"/>
        </w:rPr>
        <w:t>Diputada Alma Edwviges Alcaraz Hernández</w:t>
      </w:r>
    </w:p>
    <w:p w14:paraId="510556BD" w14:textId="6492A74C" w:rsidR="00616877" w:rsidRDefault="00616877" w:rsidP="00616877">
      <w:pPr>
        <w:rPr>
          <w:rFonts w:ascii="Abadi" w:hAnsi="Abadi"/>
          <w:sz w:val="20"/>
          <w:szCs w:val="20"/>
        </w:rPr>
      </w:pPr>
    </w:p>
    <w:p w14:paraId="6928E8E5" w14:textId="77777777" w:rsidR="007B7DFE" w:rsidRPr="00616877" w:rsidRDefault="007B7DFE" w:rsidP="00616877">
      <w:pPr>
        <w:rPr>
          <w:rFonts w:ascii="Abadi" w:hAnsi="Abadi"/>
          <w:sz w:val="20"/>
          <w:szCs w:val="20"/>
        </w:rPr>
      </w:pPr>
    </w:p>
    <w:p w14:paraId="7347E887" w14:textId="08257452" w:rsidR="000C178C" w:rsidRPr="00E72A43" w:rsidRDefault="000C178C" w:rsidP="00E72A43">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51"/>
          <w:w w:val="150"/>
          <w:sz w:val="20"/>
          <w:szCs w:val="20"/>
        </w:rPr>
        <w:t xml:space="preserve"> </w:t>
      </w:r>
      <w:r w:rsidRPr="00531B12">
        <w:rPr>
          <w:rFonts w:ascii="Abadi" w:hAnsi="Abadi"/>
          <w:b/>
          <w:bCs/>
          <w:sz w:val="20"/>
          <w:szCs w:val="20"/>
        </w:rPr>
        <w:t>Y,</w:t>
      </w:r>
      <w:r w:rsidRPr="00531B12">
        <w:rPr>
          <w:rFonts w:ascii="Abadi" w:hAnsi="Abadi"/>
          <w:b/>
          <w:bCs/>
          <w:spacing w:val="51"/>
          <w:w w:val="150"/>
          <w:sz w:val="20"/>
          <w:szCs w:val="20"/>
        </w:rPr>
        <w:t xml:space="preserve"> </w:t>
      </w:r>
      <w:r w:rsidRPr="00531B12">
        <w:rPr>
          <w:rFonts w:ascii="Abadi" w:hAnsi="Abadi"/>
          <w:b/>
          <w:bCs/>
          <w:sz w:val="20"/>
          <w:szCs w:val="20"/>
        </w:rPr>
        <w:t>EN</w:t>
      </w:r>
      <w:r w:rsidRPr="00531B12">
        <w:rPr>
          <w:rFonts w:ascii="Abadi" w:hAnsi="Abadi"/>
          <w:b/>
          <w:bCs/>
          <w:spacing w:val="51"/>
          <w:w w:val="150"/>
          <w:sz w:val="20"/>
          <w:szCs w:val="20"/>
        </w:rPr>
        <w:t xml:space="preserve"> </w:t>
      </w:r>
      <w:r w:rsidRPr="00531B12">
        <w:rPr>
          <w:rFonts w:ascii="Abadi" w:hAnsi="Abadi"/>
          <w:b/>
          <w:bCs/>
          <w:sz w:val="20"/>
          <w:szCs w:val="20"/>
        </w:rPr>
        <w:t>SU</w:t>
      </w:r>
      <w:r w:rsidRPr="00531B12">
        <w:rPr>
          <w:rFonts w:ascii="Abadi" w:hAnsi="Abadi"/>
          <w:b/>
          <w:bCs/>
          <w:spacing w:val="51"/>
          <w:w w:val="150"/>
          <w:sz w:val="20"/>
          <w:szCs w:val="20"/>
        </w:rPr>
        <w:t xml:space="preserve"> </w:t>
      </w:r>
      <w:r w:rsidRPr="00531B12">
        <w:rPr>
          <w:rFonts w:ascii="Abadi" w:hAnsi="Abadi"/>
          <w:b/>
          <w:bCs/>
          <w:sz w:val="20"/>
          <w:szCs w:val="20"/>
        </w:rPr>
        <w:t>CASO,</w:t>
      </w:r>
      <w:r w:rsidRPr="00531B12">
        <w:rPr>
          <w:rFonts w:ascii="Abadi" w:hAnsi="Abadi"/>
          <w:b/>
          <w:bCs/>
          <w:spacing w:val="51"/>
          <w:w w:val="150"/>
          <w:sz w:val="20"/>
          <w:szCs w:val="20"/>
        </w:rPr>
        <w:t xml:space="preserve"> </w:t>
      </w:r>
      <w:r w:rsidRPr="00531B12">
        <w:rPr>
          <w:rFonts w:ascii="Abadi" w:hAnsi="Abadi"/>
          <w:b/>
          <w:bCs/>
          <w:sz w:val="20"/>
          <w:szCs w:val="20"/>
        </w:rPr>
        <w:t>APROBACIÓN</w:t>
      </w:r>
      <w:r w:rsidRPr="00531B12">
        <w:rPr>
          <w:rFonts w:ascii="Abadi" w:hAnsi="Abadi"/>
          <w:b/>
          <w:bCs/>
          <w:spacing w:val="51"/>
          <w:w w:val="150"/>
          <w:sz w:val="20"/>
          <w:szCs w:val="20"/>
        </w:rPr>
        <w:t xml:space="preserve"> </w:t>
      </w:r>
      <w:r w:rsidRPr="00531B12">
        <w:rPr>
          <w:rFonts w:ascii="Abadi" w:hAnsi="Abadi"/>
          <w:b/>
          <w:bCs/>
          <w:sz w:val="20"/>
          <w:szCs w:val="20"/>
        </w:rPr>
        <w:t>DEL</w:t>
      </w:r>
      <w:r w:rsidRPr="00531B12">
        <w:rPr>
          <w:rFonts w:ascii="Abadi" w:hAnsi="Abadi"/>
          <w:b/>
          <w:bCs/>
          <w:spacing w:val="51"/>
          <w:w w:val="150"/>
          <w:sz w:val="20"/>
          <w:szCs w:val="20"/>
        </w:rPr>
        <w:t xml:space="preserve"> </w:t>
      </w:r>
      <w:r w:rsidRPr="00531B12">
        <w:rPr>
          <w:rFonts w:ascii="Abadi" w:hAnsi="Abadi"/>
          <w:b/>
          <w:bCs/>
          <w:sz w:val="20"/>
          <w:szCs w:val="20"/>
        </w:rPr>
        <w:t>DICTAMEN</w:t>
      </w:r>
      <w:r w:rsidRPr="00531B12">
        <w:rPr>
          <w:rFonts w:ascii="Abadi" w:hAnsi="Abadi"/>
          <w:b/>
          <w:bCs/>
          <w:spacing w:val="51"/>
          <w:w w:val="150"/>
          <w:sz w:val="20"/>
          <w:szCs w:val="20"/>
        </w:rPr>
        <w:t xml:space="preserve"> </w:t>
      </w:r>
      <w:r w:rsidRPr="00531B12">
        <w:rPr>
          <w:rFonts w:ascii="Abadi" w:hAnsi="Abadi"/>
          <w:b/>
          <w:bCs/>
          <w:sz w:val="20"/>
          <w:szCs w:val="20"/>
        </w:rPr>
        <w:t>PRESENTADO</w:t>
      </w:r>
      <w:r w:rsidRPr="00531B12">
        <w:rPr>
          <w:rFonts w:ascii="Abadi" w:hAnsi="Abadi"/>
          <w:b/>
          <w:bCs/>
          <w:spacing w:val="51"/>
          <w:w w:val="150"/>
          <w:sz w:val="20"/>
          <w:szCs w:val="20"/>
        </w:rPr>
        <w:t xml:space="preserve"> </w:t>
      </w:r>
      <w:r w:rsidRPr="00531B12">
        <w:rPr>
          <w:rFonts w:ascii="Abadi" w:hAnsi="Abadi"/>
          <w:b/>
          <w:bCs/>
          <w:sz w:val="20"/>
          <w:szCs w:val="20"/>
        </w:rPr>
        <w:t>POR</w:t>
      </w:r>
      <w:r w:rsidRPr="00531B12">
        <w:rPr>
          <w:rFonts w:ascii="Abadi" w:hAnsi="Abadi"/>
          <w:b/>
          <w:bCs/>
          <w:spacing w:val="51"/>
          <w:w w:val="150"/>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COMISIÓN</w:t>
      </w:r>
      <w:r w:rsidRPr="00531B12">
        <w:rPr>
          <w:rFonts w:ascii="Abadi" w:hAnsi="Abadi"/>
          <w:b/>
          <w:bCs/>
          <w:spacing w:val="15"/>
          <w:sz w:val="20"/>
          <w:szCs w:val="20"/>
        </w:rPr>
        <w:t xml:space="preserve"> </w:t>
      </w:r>
      <w:r w:rsidRPr="00531B12">
        <w:rPr>
          <w:rFonts w:ascii="Abadi" w:hAnsi="Abadi"/>
          <w:b/>
          <w:bCs/>
          <w:sz w:val="20"/>
          <w:szCs w:val="20"/>
        </w:rPr>
        <w:t>DE</w:t>
      </w:r>
      <w:r w:rsidRPr="00531B12">
        <w:rPr>
          <w:rFonts w:ascii="Abadi" w:hAnsi="Abadi"/>
          <w:b/>
          <w:bCs/>
          <w:spacing w:val="15"/>
          <w:sz w:val="20"/>
          <w:szCs w:val="20"/>
        </w:rPr>
        <w:t xml:space="preserve"> </w:t>
      </w:r>
      <w:r w:rsidRPr="00531B12">
        <w:rPr>
          <w:rFonts w:ascii="Abadi" w:hAnsi="Abadi"/>
          <w:b/>
          <w:bCs/>
          <w:sz w:val="20"/>
          <w:szCs w:val="20"/>
        </w:rPr>
        <w:t>HACIENDA</w:t>
      </w:r>
      <w:r w:rsidRPr="00531B12">
        <w:rPr>
          <w:rFonts w:ascii="Abadi" w:hAnsi="Abadi"/>
          <w:b/>
          <w:bCs/>
          <w:spacing w:val="15"/>
          <w:sz w:val="20"/>
          <w:szCs w:val="20"/>
        </w:rPr>
        <w:t xml:space="preserve"> </w:t>
      </w:r>
      <w:r w:rsidRPr="00531B12">
        <w:rPr>
          <w:rFonts w:ascii="Abadi" w:hAnsi="Abadi"/>
          <w:b/>
          <w:bCs/>
          <w:sz w:val="20"/>
          <w:szCs w:val="20"/>
        </w:rPr>
        <w:t>Y</w:t>
      </w:r>
      <w:r w:rsidRPr="00531B12">
        <w:rPr>
          <w:rFonts w:ascii="Abadi" w:hAnsi="Abadi"/>
          <w:b/>
          <w:bCs/>
          <w:spacing w:val="15"/>
          <w:sz w:val="20"/>
          <w:szCs w:val="20"/>
        </w:rPr>
        <w:t xml:space="preserve"> </w:t>
      </w:r>
      <w:r w:rsidRPr="00531B12">
        <w:rPr>
          <w:rFonts w:ascii="Abadi" w:hAnsi="Abadi"/>
          <w:b/>
          <w:bCs/>
          <w:sz w:val="20"/>
          <w:szCs w:val="20"/>
        </w:rPr>
        <w:t>FISCALIZACIÓN</w:t>
      </w:r>
      <w:r w:rsidRPr="00531B12">
        <w:rPr>
          <w:rFonts w:ascii="Abadi" w:hAnsi="Abadi"/>
          <w:b/>
          <w:bCs/>
          <w:spacing w:val="15"/>
          <w:sz w:val="20"/>
          <w:szCs w:val="20"/>
        </w:rPr>
        <w:t xml:space="preserve"> </w:t>
      </w:r>
      <w:r w:rsidRPr="00531B12">
        <w:rPr>
          <w:rFonts w:ascii="Abadi" w:hAnsi="Abadi"/>
          <w:b/>
          <w:bCs/>
          <w:sz w:val="20"/>
          <w:szCs w:val="20"/>
        </w:rPr>
        <w:t>RELATIVO</w:t>
      </w:r>
      <w:r w:rsidRPr="00531B12">
        <w:rPr>
          <w:rFonts w:ascii="Abadi" w:hAnsi="Abadi"/>
          <w:b/>
          <w:bCs/>
          <w:spacing w:val="15"/>
          <w:sz w:val="20"/>
          <w:szCs w:val="20"/>
        </w:rPr>
        <w:t xml:space="preserve"> </w:t>
      </w:r>
      <w:r w:rsidRPr="00531B12">
        <w:rPr>
          <w:rFonts w:ascii="Abadi" w:hAnsi="Abadi"/>
          <w:b/>
          <w:bCs/>
          <w:sz w:val="20"/>
          <w:szCs w:val="20"/>
        </w:rPr>
        <w:t>A</w:t>
      </w:r>
      <w:r w:rsidRPr="00531B12">
        <w:rPr>
          <w:rFonts w:ascii="Abadi" w:hAnsi="Abadi"/>
          <w:b/>
          <w:bCs/>
          <w:spacing w:val="15"/>
          <w:sz w:val="20"/>
          <w:szCs w:val="20"/>
        </w:rPr>
        <w:t xml:space="preserve"> </w:t>
      </w:r>
      <w:r w:rsidRPr="00531B12">
        <w:rPr>
          <w:rFonts w:ascii="Abadi" w:hAnsi="Abadi"/>
          <w:b/>
          <w:bCs/>
          <w:sz w:val="20"/>
          <w:szCs w:val="20"/>
        </w:rPr>
        <w:t>LA</w:t>
      </w:r>
      <w:r w:rsidRPr="00531B12">
        <w:rPr>
          <w:rFonts w:ascii="Abadi" w:hAnsi="Abadi"/>
          <w:b/>
          <w:bCs/>
          <w:spacing w:val="15"/>
          <w:sz w:val="20"/>
          <w:szCs w:val="20"/>
        </w:rPr>
        <w:t xml:space="preserve"> </w:t>
      </w:r>
      <w:r w:rsidRPr="00531B12">
        <w:rPr>
          <w:rFonts w:ascii="Abadi" w:hAnsi="Abadi"/>
          <w:b/>
          <w:bCs/>
          <w:sz w:val="20"/>
          <w:szCs w:val="20"/>
        </w:rPr>
        <w:t>INICIATIVA</w:t>
      </w:r>
      <w:r w:rsidRPr="00531B12">
        <w:rPr>
          <w:rFonts w:ascii="Abadi" w:hAnsi="Abadi"/>
          <w:b/>
          <w:bCs/>
          <w:spacing w:val="15"/>
          <w:sz w:val="20"/>
          <w:szCs w:val="20"/>
        </w:rPr>
        <w:t xml:space="preserve"> </w:t>
      </w:r>
      <w:r w:rsidRPr="00531B12">
        <w:rPr>
          <w:rFonts w:ascii="Abadi" w:hAnsi="Abadi"/>
          <w:b/>
          <w:bCs/>
          <w:sz w:val="20"/>
          <w:szCs w:val="20"/>
        </w:rPr>
        <w:t>FORMULADA</w:t>
      </w:r>
      <w:r w:rsidRPr="00531B12">
        <w:rPr>
          <w:rFonts w:ascii="Abadi" w:hAnsi="Abadi"/>
          <w:b/>
          <w:bCs/>
          <w:spacing w:val="16"/>
          <w:sz w:val="20"/>
          <w:szCs w:val="20"/>
        </w:rPr>
        <w:t xml:space="preserve"> </w:t>
      </w:r>
      <w:r w:rsidRPr="00531B12">
        <w:rPr>
          <w:rFonts w:ascii="Abadi" w:hAnsi="Abadi"/>
          <w:b/>
          <w:bCs/>
          <w:sz w:val="20"/>
          <w:szCs w:val="20"/>
        </w:rPr>
        <w:t>POR</w:t>
      </w:r>
      <w:r w:rsidRPr="00531B12">
        <w:rPr>
          <w:rFonts w:ascii="Abadi" w:hAnsi="Abadi"/>
          <w:b/>
          <w:bCs/>
          <w:spacing w:val="-1"/>
          <w:sz w:val="20"/>
          <w:szCs w:val="20"/>
        </w:rPr>
        <w:t xml:space="preserve"> </w:t>
      </w:r>
      <w:r w:rsidRPr="00531B12">
        <w:rPr>
          <w:rFonts w:ascii="Abadi" w:hAnsi="Abadi"/>
          <w:b/>
          <w:bCs/>
          <w:sz w:val="20"/>
          <w:szCs w:val="20"/>
        </w:rPr>
        <w:t>EL</w:t>
      </w:r>
      <w:r w:rsidRPr="00531B12">
        <w:rPr>
          <w:rFonts w:ascii="Abadi" w:hAnsi="Abadi"/>
          <w:b/>
          <w:bCs/>
          <w:spacing w:val="26"/>
          <w:sz w:val="20"/>
          <w:szCs w:val="20"/>
        </w:rPr>
        <w:t xml:space="preserve"> </w:t>
      </w:r>
      <w:r w:rsidRPr="00531B12">
        <w:rPr>
          <w:rFonts w:ascii="Abadi" w:hAnsi="Abadi"/>
          <w:b/>
          <w:bCs/>
          <w:sz w:val="20"/>
          <w:szCs w:val="20"/>
        </w:rPr>
        <w:t>GOBERNADOR</w:t>
      </w:r>
      <w:r w:rsidRPr="00531B12">
        <w:rPr>
          <w:rFonts w:ascii="Abadi" w:hAnsi="Abadi"/>
          <w:b/>
          <w:bCs/>
          <w:spacing w:val="26"/>
          <w:sz w:val="20"/>
          <w:szCs w:val="20"/>
        </w:rPr>
        <w:t xml:space="preserve"> </w:t>
      </w:r>
      <w:r w:rsidRPr="00531B12">
        <w:rPr>
          <w:rFonts w:ascii="Abadi" w:hAnsi="Abadi"/>
          <w:b/>
          <w:bCs/>
          <w:sz w:val="20"/>
          <w:szCs w:val="20"/>
        </w:rPr>
        <w:t>DEL</w:t>
      </w:r>
      <w:r w:rsidRPr="00531B12">
        <w:rPr>
          <w:rFonts w:ascii="Abadi" w:hAnsi="Abadi"/>
          <w:b/>
          <w:bCs/>
          <w:spacing w:val="26"/>
          <w:sz w:val="20"/>
          <w:szCs w:val="20"/>
        </w:rPr>
        <w:t xml:space="preserve"> </w:t>
      </w:r>
      <w:r w:rsidRPr="00531B12">
        <w:rPr>
          <w:rFonts w:ascii="Abadi" w:hAnsi="Abadi"/>
          <w:b/>
          <w:bCs/>
          <w:sz w:val="20"/>
          <w:szCs w:val="20"/>
        </w:rPr>
        <w:t>ESTADO</w:t>
      </w:r>
      <w:r w:rsidRPr="00531B12">
        <w:rPr>
          <w:rFonts w:ascii="Abadi" w:hAnsi="Abadi"/>
          <w:b/>
          <w:bCs/>
          <w:spacing w:val="26"/>
          <w:sz w:val="20"/>
          <w:szCs w:val="20"/>
        </w:rPr>
        <w:t xml:space="preserve"> </w:t>
      </w:r>
      <w:r w:rsidRPr="00531B12">
        <w:rPr>
          <w:rFonts w:ascii="Abadi" w:hAnsi="Abadi"/>
          <w:b/>
          <w:bCs/>
          <w:sz w:val="20"/>
          <w:szCs w:val="20"/>
        </w:rPr>
        <w:t>A</w:t>
      </w:r>
      <w:r w:rsidRPr="00531B12">
        <w:rPr>
          <w:rFonts w:ascii="Abadi" w:hAnsi="Abadi"/>
          <w:b/>
          <w:bCs/>
          <w:spacing w:val="26"/>
          <w:sz w:val="20"/>
          <w:szCs w:val="20"/>
        </w:rPr>
        <w:t xml:space="preserve"> </w:t>
      </w:r>
      <w:r w:rsidRPr="00531B12">
        <w:rPr>
          <w:rFonts w:ascii="Abadi" w:hAnsi="Abadi"/>
          <w:b/>
          <w:bCs/>
          <w:sz w:val="20"/>
          <w:szCs w:val="20"/>
        </w:rPr>
        <w:t>EFECTO</w:t>
      </w:r>
      <w:r w:rsidRPr="00531B12">
        <w:rPr>
          <w:rFonts w:ascii="Abadi" w:hAnsi="Abadi"/>
          <w:b/>
          <w:bCs/>
          <w:spacing w:val="26"/>
          <w:sz w:val="20"/>
          <w:szCs w:val="20"/>
        </w:rPr>
        <w:t xml:space="preserve"> </w:t>
      </w:r>
      <w:r w:rsidRPr="00531B12">
        <w:rPr>
          <w:rFonts w:ascii="Abadi" w:hAnsi="Abadi"/>
          <w:b/>
          <w:bCs/>
          <w:sz w:val="20"/>
          <w:szCs w:val="20"/>
        </w:rPr>
        <w:t>DE</w:t>
      </w:r>
      <w:r w:rsidRPr="00531B12">
        <w:rPr>
          <w:rFonts w:ascii="Abadi" w:hAnsi="Abadi"/>
          <w:b/>
          <w:bCs/>
          <w:spacing w:val="26"/>
          <w:sz w:val="20"/>
          <w:szCs w:val="20"/>
        </w:rPr>
        <w:t xml:space="preserve"> </w:t>
      </w:r>
      <w:r w:rsidRPr="00531B12">
        <w:rPr>
          <w:rFonts w:ascii="Abadi" w:hAnsi="Abadi"/>
          <w:b/>
          <w:bCs/>
          <w:sz w:val="20"/>
          <w:szCs w:val="20"/>
        </w:rPr>
        <w:t>QUE</w:t>
      </w:r>
      <w:r w:rsidRPr="00E72A43">
        <w:rPr>
          <w:rFonts w:ascii="Abadi" w:hAnsi="Abadi"/>
          <w:b/>
          <w:bCs/>
          <w:spacing w:val="26"/>
          <w:sz w:val="20"/>
          <w:szCs w:val="20"/>
        </w:rPr>
        <w:t xml:space="preserve"> </w:t>
      </w:r>
      <w:r w:rsidRPr="00E72A43">
        <w:rPr>
          <w:rFonts w:ascii="Abadi" w:hAnsi="Abadi"/>
          <w:b/>
          <w:bCs/>
          <w:sz w:val="20"/>
          <w:szCs w:val="20"/>
        </w:rPr>
        <w:t>SE</w:t>
      </w:r>
      <w:r w:rsidRPr="00E72A43">
        <w:rPr>
          <w:rFonts w:ascii="Abadi" w:hAnsi="Abadi"/>
          <w:b/>
          <w:bCs/>
          <w:spacing w:val="26"/>
          <w:sz w:val="20"/>
          <w:szCs w:val="20"/>
        </w:rPr>
        <w:t xml:space="preserve"> </w:t>
      </w:r>
      <w:r w:rsidRPr="00E72A43">
        <w:rPr>
          <w:rFonts w:ascii="Abadi" w:hAnsi="Abadi"/>
          <w:b/>
          <w:bCs/>
          <w:sz w:val="20"/>
          <w:szCs w:val="20"/>
        </w:rPr>
        <w:t>LE</w:t>
      </w:r>
      <w:r w:rsidRPr="00E72A43">
        <w:rPr>
          <w:rFonts w:ascii="Abadi" w:hAnsi="Abadi"/>
          <w:b/>
          <w:bCs/>
          <w:spacing w:val="26"/>
          <w:sz w:val="20"/>
          <w:szCs w:val="20"/>
        </w:rPr>
        <w:t xml:space="preserve"> </w:t>
      </w:r>
      <w:r w:rsidRPr="00E72A43">
        <w:rPr>
          <w:rFonts w:ascii="Abadi" w:hAnsi="Abadi"/>
          <w:b/>
          <w:bCs/>
          <w:sz w:val="20"/>
          <w:szCs w:val="20"/>
        </w:rPr>
        <w:t>AUTORICE,</w:t>
      </w:r>
      <w:r w:rsidRPr="00E72A43">
        <w:rPr>
          <w:rFonts w:ascii="Abadi" w:hAnsi="Abadi"/>
          <w:b/>
          <w:bCs/>
          <w:spacing w:val="26"/>
          <w:sz w:val="20"/>
          <w:szCs w:val="20"/>
        </w:rPr>
        <w:t xml:space="preserve"> </w:t>
      </w:r>
      <w:r w:rsidRPr="00E72A43">
        <w:rPr>
          <w:rFonts w:ascii="Abadi" w:hAnsi="Abadi"/>
          <w:b/>
          <w:bCs/>
          <w:sz w:val="20"/>
          <w:szCs w:val="20"/>
        </w:rPr>
        <w:t>PREVIA</w:t>
      </w:r>
      <w:r w:rsidR="00E72A43">
        <w:rPr>
          <w:rFonts w:ascii="Abadi" w:hAnsi="Abadi"/>
          <w:b/>
          <w:bCs/>
          <w:spacing w:val="-1"/>
          <w:sz w:val="20"/>
          <w:szCs w:val="20"/>
        </w:rPr>
        <w:t xml:space="preserve"> </w:t>
      </w:r>
      <w:r w:rsidRPr="00E72A43">
        <w:rPr>
          <w:rFonts w:ascii="Abadi" w:hAnsi="Abadi"/>
          <w:b/>
          <w:bCs/>
          <w:sz w:val="20"/>
          <w:szCs w:val="20"/>
        </w:rPr>
        <w:t>DESAFECTACIÓN</w:t>
      </w:r>
      <w:r w:rsidRPr="00E72A43">
        <w:rPr>
          <w:rFonts w:ascii="Abadi" w:hAnsi="Abadi"/>
          <w:b/>
          <w:bCs/>
          <w:spacing w:val="26"/>
          <w:sz w:val="20"/>
          <w:szCs w:val="20"/>
        </w:rPr>
        <w:t xml:space="preserve"> </w:t>
      </w:r>
      <w:r w:rsidRPr="00E72A43">
        <w:rPr>
          <w:rFonts w:ascii="Abadi" w:hAnsi="Abadi"/>
          <w:b/>
          <w:bCs/>
          <w:sz w:val="20"/>
          <w:szCs w:val="20"/>
        </w:rPr>
        <w:t>DEL</w:t>
      </w:r>
      <w:r w:rsidRPr="00E72A43">
        <w:rPr>
          <w:rFonts w:ascii="Abadi" w:hAnsi="Abadi"/>
          <w:b/>
          <w:bCs/>
          <w:spacing w:val="26"/>
          <w:sz w:val="20"/>
          <w:szCs w:val="20"/>
        </w:rPr>
        <w:t xml:space="preserve"> </w:t>
      </w:r>
      <w:r w:rsidRPr="00E72A43">
        <w:rPr>
          <w:rFonts w:ascii="Abadi" w:hAnsi="Abadi"/>
          <w:b/>
          <w:bCs/>
          <w:sz w:val="20"/>
          <w:szCs w:val="20"/>
        </w:rPr>
        <w:t>DOMINIO</w:t>
      </w:r>
      <w:r w:rsidRPr="00E72A43">
        <w:rPr>
          <w:rFonts w:ascii="Abadi" w:hAnsi="Abadi"/>
          <w:b/>
          <w:bCs/>
          <w:spacing w:val="26"/>
          <w:sz w:val="20"/>
          <w:szCs w:val="20"/>
        </w:rPr>
        <w:t xml:space="preserve"> </w:t>
      </w:r>
      <w:r w:rsidRPr="00E72A43">
        <w:rPr>
          <w:rFonts w:ascii="Abadi" w:hAnsi="Abadi"/>
          <w:b/>
          <w:bCs/>
          <w:sz w:val="20"/>
          <w:szCs w:val="20"/>
        </w:rPr>
        <w:t>PÚBLICO</w:t>
      </w:r>
      <w:r w:rsidRPr="00E72A43">
        <w:rPr>
          <w:rFonts w:ascii="Abadi" w:hAnsi="Abadi"/>
          <w:b/>
          <w:bCs/>
          <w:spacing w:val="26"/>
          <w:sz w:val="20"/>
          <w:szCs w:val="20"/>
        </w:rPr>
        <w:t xml:space="preserve"> </w:t>
      </w:r>
      <w:r w:rsidRPr="00E72A43">
        <w:rPr>
          <w:rFonts w:ascii="Abadi" w:hAnsi="Abadi"/>
          <w:b/>
          <w:bCs/>
          <w:sz w:val="20"/>
          <w:szCs w:val="20"/>
        </w:rPr>
        <w:t>DEL</w:t>
      </w:r>
      <w:r w:rsidRPr="00E72A43">
        <w:rPr>
          <w:rFonts w:ascii="Abadi" w:hAnsi="Abadi"/>
          <w:b/>
          <w:bCs/>
          <w:spacing w:val="26"/>
          <w:sz w:val="20"/>
          <w:szCs w:val="20"/>
        </w:rPr>
        <w:t xml:space="preserve"> </w:t>
      </w:r>
      <w:r w:rsidRPr="00E72A43">
        <w:rPr>
          <w:rFonts w:ascii="Abadi" w:hAnsi="Abadi"/>
          <w:b/>
          <w:bCs/>
          <w:sz w:val="20"/>
          <w:szCs w:val="20"/>
        </w:rPr>
        <w:t>ESTADO,</w:t>
      </w:r>
      <w:r w:rsidRPr="00E72A43">
        <w:rPr>
          <w:rFonts w:ascii="Abadi" w:hAnsi="Abadi"/>
          <w:b/>
          <w:bCs/>
          <w:spacing w:val="26"/>
          <w:sz w:val="20"/>
          <w:szCs w:val="20"/>
        </w:rPr>
        <w:t xml:space="preserve"> </w:t>
      </w:r>
      <w:r w:rsidRPr="00E72A43">
        <w:rPr>
          <w:rFonts w:ascii="Abadi" w:hAnsi="Abadi"/>
          <w:b/>
          <w:bCs/>
          <w:sz w:val="20"/>
          <w:szCs w:val="20"/>
        </w:rPr>
        <w:t>LA</w:t>
      </w:r>
      <w:r w:rsidRPr="00E72A43">
        <w:rPr>
          <w:rFonts w:ascii="Abadi" w:hAnsi="Abadi"/>
          <w:b/>
          <w:bCs/>
          <w:spacing w:val="26"/>
          <w:sz w:val="20"/>
          <w:szCs w:val="20"/>
        </w:rPr>
        <w:t xml:space="preserve"> </w:t>
      </w:r>
      <w:r w:rsidRPr="00E72A43">
        <w:rPr>
          <w:rFonts w:ascii="Abadi" w:hAnsi="Abadi"/>
          <w:b/>
          <w:bCs/>
          <w:sz w:val="20"/>
          <w:szCs w:val="20"/>
        </w:rPr>
        <w:t>ENAJENACIÓN</w:t>
      </w:r>
      <w:r w:rsidRPr="00E72A43">
        <w:rPr>
          <w:rFonts w:ascii="Abadi" w:hAnsi="Abadi"/>
          <w:b/>
          <w:bCs/>
          <w:spacing w:val="26"/>
          <w:sz w:val="20"/>
          <w:szCs w:val="20"/>
        </w:rPr>
        <w:t xml:space="preserve"> </w:t>
      </w:r>
      <w:r w:rsidRPr="00E72A43">
        <w:rPr>
          <w:rFonts w:ascii="Abadi" w:hAnsi="Abadi"/>
          <w:b/>
          <w:bCs/>
          <w:sz w:val="20"/>
          <w:szCs w:val="20"/>
        </w:rPr>
        <w:t>MEDIANTE</w:t>
      </w:r>
      <w:r w:rsidRPr="00E72A43">
        <w:rPr>
          <w:rFonts w:ascii="Abadi" w:hAnsi="Abadi"/>
          <w:b/>
          <w:bCs/>
          <w:spacing w:val="26"/>
          <w:sz w:val="20"/>
          <w:szCs w:val="20"/>
        </w:rPr>
        <w:t xml:space="preserve"> </w:t>
      </w:r>
      <w:r w:rsidRPr="00E72A43">
        <w:rPr>
          <w:rFonts w:ascii="Abadi" w:hAnsi="Abadi"/>
          <w:b/>
          <w:bCs/>
          <w:sz w:val="20"/>
          <w:szCs w:val="20"/>
        </w:rPr>
        <w:t>LA</w:t>
      </w:r>
      <w:r w:rsidRPr="00E72A43">
        <w:rPr>
          <w:rFonts w:ascii="Abadi" w:hAnsi="Abadi"/>
          <w:b/>
          <w:bCs/>
          <w:spacing w:val="-1"/>
          <w:sz w:val="20"/>
          <w:szCs w:val="20"/>
        </w:rPr>
        <w:t xml:space="preserve"> </w:t>
      </w:r>
      <w:r w:rsidRPr="00E72A43">
        <w:rPr>
          <w:rFonts w:ascii="Abadi" w:hAnsi="Abadi"/>
          <w:b/>
          <w:bCs/>
          <w:sz w:val="20"/>
          <w:szCs w:val="20"/>
        </w:rPr>
        <w:t>FIGURA</w:t>
      </w:r>
      <w:r w:rsidRPr="00E72A43">
        <w:rPr>
          <w:rFonts w:ascii="Abadi" w:hAnsi="Abadi"/>
          <w:b/>
          <w:bCs/>
          <w:spacing w:val="70"/>
          <w:sz w:val="20"/>
          <w:szCs w:val="20"/>
        </w:rPr>
        <w:t xml:space="preserve"> </w:t>
      </w:r>
      <w:r w:rsidRPr="00E72A43">
        <w:rPr>
          <w:rFonts w:ascii="Abadi" w:hAnsi="Abadi"/>
          <w:b/>
          <w:bCs/>
          <w:sz w:val="20"/>
          <w:szCs w:val="20"/>
        </w:rPr>
        <w:t>DE</w:t>
      </w:r>
      <w:r w:rsidRPr="00E72A43">
        <w:rPr>
          <w:rFonts w:ascii="Abadi" w:hAnsi="Abadi"/>
          <w:b/>
          <w:bCs/>
          <w:spacing w:val="70"/>
          <w:sz w:val="20"/>
          <w:szCs w:val="20"/>
        </w:rPr>
        <w:t xml:space="preserve"> </w:t>
      </w:r>
      <w:r w:rsidRPr="00E72A43">
        <w:rPr>
          <w:rFonts w:ascii="Abadi" w:hAnsi="Abadi"/>
          <w:b/>
          <w:bCs/>
          <w:sz w:val="20"/>
          <w:szCs w:val="20"/>
        </w:rPr>
        <w:t>DONACIÓN</w:t>
      </w:r>
      <w:r w:rsidRPr="00E72A43">
        <w:rPr>
          <w:rFonts w:ascii="Abadi" w:hAnsi="Abadi"/>
          <w:b/>
          <w:bCs/>
          <w:spacing w:val="70"/>
          <w:sz w:val="20"/>
          <w:szCs w:val="20"/>
        </w:rPr>
        <w:t xml:space="preserve"> </w:t>
      </w:r>
      <w:r w:rsidRPr="00E72A43">
        <w:rPr>
          <w:rFonts w:ascii="Abadi" w:hAnsi="Abadi"/>
          <w:b/>
          <w:bCs/>
          <w:sz w:val="20"/>
          <w:szCs w:val="20"/>
        </w:rPr>
        <w:t>DE</w:t>
      </w:r>
      <w:r w:rsidRPr="00E72A43">
        <w:rPr>
          <w:rFonts w:ascii="Abadi" w:hAnsi="Abadi"/>
          <w:b/>
          <w:bCs/>
          <w:spacing w:val="70"/>
          <w:sz w:val="20"/>
          <w:szCs w:val="20"/>
        </w:rPr>
        <w:t xml:space="preserve"> </w:t>
      </w:r>
      <w:r w:rsidRPr="00E72A43">
        <w:rPr>
          <w:rFonts w:ascii="Abadi" w:hAnsi="Abadi"/>
          <w:b/>
          <w:bCs/>
          <w:sz w:val="20"/>
          <w:szCs w:val="20"/>
        </w:rPr>
        <w:t>UNA</w:t>
      </w:r>
      <w:r w:rsidRPr="00E72A43">
        <w:rPr>
          <w:rFonts w:ascii="Abadi" w:hAnsi="Abadi"/>
          <w:b/>
          <w:bCs/>
          <w:spacing w:val="70"/>
          <w:sz w:val="20"/>
          <w:szCs w:val="20"/>
        </w:rPr>
        <w:t xml:space="preserve"> </w:t>
      </w:r>
      <w:r w:rsidRPr="00E72A43">
        <w:rPr>
          <w:rFonts w:ascii="Abadi" w:hAnsi="Abadi"/>
          <w:b/>
          <w:bCs/>
          <w:sz w:val="20"/>
          <w:szCs w:val="20"/>
        </w:rPr>
        <w:t>FRACCIÓN</w:t>
      </w:r>
      <w:r w:rsidRPr="00E72A43">
        <w:rPr>
          <w:rFonts w:ascii="Abadi" w:hAnsi="Abadi"/>
          <w:b/>
          <w:bCs/>
          <w:spacing w:val="70"/>
          <w:sz w:val="20"/>
          <w:szCs w:val="20"/>
        </w:rPr>
        <w:t xml:space="preserve"> </w:t>
      </w:r>
      <w:r w:rsidRPr="00E72A43">
        <w:rPr>
          <w:rFonts w:ascii="Abadi" w:hAnsi="Abadi"/>
          <w:b/>
          <w:bCs/>
          <w:sz w:val="20"/>
          <w:szCs w:val="20"/>
        </w:rPr>
        <w:t>DE</w:t>
      </w:r>
      <w:r w:rsidRPr="00E72A43">
        <w:rPr>
          <w:rFonts w:ascii="Abadi" w:hAnsi="Abadi"/>
          <w:b/>
          <w:bCs/>
          <w:spacing w:val="70"/>
          <w:sz w:val="20"/>
          <w:szCs w:val="20"/>
        </w:rPr>
        <w:t xml:space="preserve"> </w:t>
      </w:r>
      <w:r w:rsidRPr="00E72A43">
        <w:rPr>
          <w:rFonts w:ascii="Abadi" w:hAnsi="Abadi"/>
          <w:b/>
          <w:bCs/>
          <w:sz w:val="20"/>
          <w:szCs w:val="20"/>
        </w:rPr>
        <w:t>UN</w:t>
      </w:r>
      <w:r w:rsidRPr="00E72A43">
        <w:rPr>
          <w:rFonts w:ascii="Abadi" w:hAnsi="Abadi"/>
          <w:b/>
          <w:bCs/>
          <w:spacing w:val="70"/>
          <w:sz w:val="20"/>
          <w:szCs w:val="20"/>
        </w:rPr>
        <w:t xml:space="preserve"> </w:t>
      </w:r>
      <w:r w:rsidRPr="00E72A43">
        <w:rPr>
          <w:rFonts w:ascii="Abadi" w:hAnsi="Abadi"/>
          <w:b/>
          <w:bCs/>
          <w:sz w:val="20"/>
          <w:szCs w:val="20"/>
        </w:rPr>
        <w:t>BIEN</w:t>
      </w:r>
      <w:r w:rsidRPr="00E72A43">
        <w:rPr>
          <w:rFonts w:ascii="Abadi" w:hAnsi="Abadi"/>
          <w:b/>
          <w:bCs/>
          <w:spacing w:val="70"/>
          <w:sz w:val="20"/>
          <w:szCs w:val="20"/>
        </w:rPr>
        <w:t xml:space="preserve"> </w:t>
      </w:r>
      <w:r w:rsidRPr="00E72A43">
        <w:rPr>
          <w:rFonts w:ascii="Abadi" w:hAnsi="Abadi"/>
          <w:b/>
          <w:bCs/>
          <w:sz w:val="20"/>
          <w:szCs w:val="20"/>
        </w:rPr>
        <w:t>INMUEBLE</w:t>
      </w:r>
      <w:r w:rsidRPr="00E72A43">
        <w:rPr>
          <w:rFonts w:ascii="Abadi" w:hAnsi="Abadi"/>
          <w:b/>
          <w:bCs/>
          <w:spacing w:val="70"/>
          <w:sz w:val="20"/>
          <w:szCs w:val="20"/>
        </w:rPr>
        <w:t xml:space="preserve"> </w:t>
      </w:r>
      <w:r w:rsidRPr="00E72A43">
        <w:rPr>
          <w:rFonts w:ascii="Abadi" w:hAnsi="Abadi"/>
          <w:b/>
          <w:bCs/>
          <w:sz w:val="20"/>
          <w:szCs w:val="20"/>
        </w:rPr>
        <w:t>EN</w:t>
      </w:r>
      <w:r w:rsidRPr="00E72A43">
        <w:rPr>
          <w:rFonts w:ascii="Abadi" w:hAnsi="Abadi"/>
          <w:b/>
          <w:bCs/>
          <w:spacing w:val="70"/>
          <w:sz w:val="20"/>
          <w:szCs w:val="20"/>
        </w:rPr>
        <w:t xml:space="preserve"> </w:t>
      </w:r>
      <w:r w:rsidRPr="00E72A43">
        <w:rPr>
          <w:rFonts w:ascii="Abadi" w:hAnsi="Abadi"/>
          <w:b/>
          <w:bCs/>
          <w:sz w:val="20"/>
          <w:szCs w:val="20"/>
        </w:rPr>
        <w:t>FAVOR</w:t>
      </w:r>
      <w:r w:rsidRPr="00E72A43">
        <w:rPr>
          <w:rFonts w:ascii="Abadi" w:hAnsi="Abadi"/>
          <w:b/>
          <w:bCs/>
          <w:spacing w:val="70"/>
          <w:sz w:val="20"/>
          <w:szCs w:val="20"/>
        </w:rPr>
        <w:t xml:space="preserve"> </w:t>
      </w:r>
      <w:r w:rsidRPr="00E72A43">
        <w:rPr>
          <w:rFonts w:ascii="Abadi" w:hAnsi="Abadi"/>
          <w:b/>
          <w:bCs/>
          <w:sz w:val="20"/>
          <w:szCs w:val="20"/>
        </w:rPr>
        <w:t>DEL</w:t>
      </w:r>
      <w:r w:rsidRPr="00E72A43">
        <w:rPr>
          <w:rFonts w:ascii="Abadi" w:hAnsi="Abadi"/>
          <w:b/>
          <w:bCs/>
          <w:spacing w:val="-1"/>
          <w:sz w:val="20"/>
          <w:szCs w:val="20"/>
        </w:rPr>
        <w:t xml:space="preserve"> </w:t>
      </w:r>
      <w:r w:rsidRPr="00E72A43">
        <w:rPr>
          <w:rFonts w:ascii="Abadi" w:hAnsi="Abadi"/>
          <w:b/>
          <w:bCs/>
          <w:sz w:val="20"/>
          <w:szCs w:val="20"/>
        </w:rPr>
        <w:t>MUNICIPIO DE CORTAZAR, GTO., PARA DESTINARLO A LA CASA DE LA CULTURA.</w:t>
      </w:r>
    </w:p>
    <w:p w14:paraId="28B06666" w14:textId="426F3159" w:rsidR="000C178C" w:rsidRDefault="000C178C" w:rsidP="000C178C">
      <w:pPr>
        <w:kinsoku w:val="0"/>
        <w:overflowPunct w:val="0"/>
        <w:autoSpaceDE w:val="0"/>
        <w:autoSpaceDN w:val="0"/>
        <w:adjustRightInd w:val="0"/>
        <w:spacing w:before="4"/>
        <w:ind w:right="17"/>
        <w:jc w:val="both"/>
        <w:rPr>
          <w:rFonts w:ascii="Abadi" w:hAnsi="Abadi" w:cs="Arial"/>
          <w:sz w:val="20"/>
          <w:szCs w:val="20"/>
        </w:rPr>
      </w:pPr>
    </w:p>
    <w:p w14:paraId="2E4DEE0D" w14:textId="77777777" w:rsidR="00284C17" w:rsidRPr="00284C17" w:rsidRDefault="00284C17" w:rsidP="00284C17">
      <w:pPr>
        <w:keepNext/>
        <w:outlineLvl w:val="0"/>
        <w:rPr>
          <w:rFonts w:ascii="Abadi" w:hAnsi="Abadi" w:cs="Arial"/>
          <w:b/>
          <w:sz w:val="21"/>
          <w:szCs w:val="21"/>
        </w:rPr>
      </w:pPr>
      <w:r w:rsidRPr="00284C17">
        <w:rPr>
          <w:rFonts w:ascii="Abadi" w:hAnsi="Abadi" w:cs="Arial"/>
          <w:b/>
          <w:sz w:val="21"/>
          <w:szCs w:val="21"/>
        </w:rPr>
        <w:t>C. Presidenta del Congreso del Estado</w:t>
      </w:r>
    </w:p>
    <w:p w14:paraId="7EB2337F" w14:textId="77777777" w:rsidR="00284C17" w:rsidRPr="00284C17" w:rsidRDefault="00284C17" w:rsidP="00284C17">
      <w:pPr>
        <w:rPr>
          <w:rFonts w:ascii="Abadi" w:hAnsi="Abadi" w:cs="Arial"/>
          <w:b/>
          <w:sz w:val="21"/>
          <w:szCs w:val="21"/>
        </w:rPr>
      </w:pPr>
      <w:r w:rsidRPr="00284C17">
        <w:rPr>
          <w:rFonts w:ascii="Abadi" w:hAnsi="Abadi" w:cs="Arial"/>
          <w:b/>
          <w:sz w:val="21"/>
          <w:szCs w:val="21"/>
        </w:rPr>
        <w:t>P r e s e n t e.</w:t>
      </w:r>
    </w:p>
    <w:p w14:paraId="156E99FB" w14:textId="77777777" w:rsidR="00284C17" w:rsidRPr="00284C17" w:rsidRDefault="00284C17" w:rsidP="00284C17">
      <w:pPr>
        <w:spacing w:line="360" w:lineRule="auto"/>
        <w:rPr>
          <w:rFonts w:ascii="Abadi" w:hAnsi="Abadi"/>
          <w:b/>
          <w:sz w:val="21"/>
          <w:szCs w:val="21"/>
          <w:lang w:val="es-MX"/>
        </w:rPr>
      </w:pPr>
    </w:p>
    <w:p w14:paraId="4F15FBFD" w14:textId="77777777" w:rsidR="00284C17" w:rsidRPr="00284C17" w:rsidRDefault="00284C17" w:rsidP="00284C17">
      <w:pPr>
        <w:spacing w:line="360" w:lineRule="auto"/>
        <w:jc w:val="both"/>
        <w:rPr>
          <w:rFonts w:ascii="Abadi" w:hAnsi="Abadi"/>
          <w:sz w:val="21"/>
          <w:szCs w:val="21"/>
          <w:lang w:val="es-MX"/>
        </w:rPr>
      </w:pPr>
      <w:r w:rsidRPr="00284C17">
        <w:rPr>
          <w:rFonts w:ascii="Abadi" w:hAnsi="Abadi"/>
          <w:b/>
          <w:sz w:val="21"/>
          <w:szCs w:val="21"/>
          <w:lang w:val="es-MX"/>
        </w:rPr>
        <w:tab/>
      </w:r>
      <w:r w:rsidRPr="00284C17">
        <w:rPr>
          <w:rFonts w:ascii="Abadi" w:hAnsi="Abadi"/>
          <w:sz w:val="21"/>
          <w:szCs w:val="21"/>
          <w:lang w:val="es-MX"/>
        </w:rPr>
        <w:t>A esta Comisión de Hacienda y Fiscalización le fue turnada para su estudio y dictamen, la iniciativa formulada por el Gobernador del Estado a efecto de que</w:t>
      </w:r>
      <w:r w:rsidRPr="00284C17">
        <w:rPr>
          <w:rFonts w:ascii="Abadi" w:hAnsi="Abadi"/>
          <w:sz w:val="21"/>
          <w:szCs w:val="21"/>
          <w:lang w:val="es-ES_tradnl"/>
        </w:rPr>
        <w:t xml:space="preserve"> se le autorice, previa desafectación del dominio público del Estado, la enajenación mediante la figura de donación de una </w:t>
      </w:r>
      <w:r w:rsidRPr="00284C17">
        <w:rPr>
          <w:rFonts w:ascii="Abadi" w:hAnsi="Abadi"/>
          <w:sz w:val="21"/>
          <w:szCs w:val="21"/>
          <w:lang w:val="es-MX"/>
        </w:rPr>
        <w:t>fracción de un bien inmueble en favor del municipio de Cortazar, Gto., para destinarlo a la Casa de la Cultura.</w:t>
      </w:r>
    </w:p>
    <w:p w14:paraId="1970EF88" w14:textId="77777777" w:rsidR="00284C17" w:rsidRPr="00284C17" w:rsidRDefault="00284C17" w:rsidP="00284C17">
      <w:pPr>
        <w:jc w:val="both"/>
        <w:rPr>
          <w:rFonts w:ascii="Abadi" w:hAnsi="Abadi"/>
          <w:sz w:val="21"/>
          <w:szCs w:val="21"/>
          <w:lang w:val="es-MX"/>
        </w:rPr>
      </w:pPr>
    </w:p>
    <w:p w14:paraId="1CA1E6FC" w14:textId="77777777" w:rsidR="00284C17" w:rsidRPr="00284C17" w:rsidRDefault="00284C17" w:rsidP="00284C17">
      <w:pPr>
        <w:spacing w:line="360" w:lineRule="auto"/>
        <w:jc w:val="both"/>
        <w:rPr>
          <w:rFonts w:ascii="Abadi" w:hAnsi="Abadi" w:cs="Arial"/>
          <w:iCs/>
          <w:sz w:val="21"/>
          <w:szCs w:val="21"/>
          <w:lang w:val="es-MX" w:eastAsia="en-US"/>
        </w:rPr>
      </w:pPr>
      <w:r w:rsidRPr="00284C17">
        <w:rPr>
          <w:rFonts w:ascii="Abadi" w:hAnsi="Abadi"/>
          <w:sz w:val="21"/>
          <w:szCs w:val="21"/>
          <w:lang w:val="es-MX"/>
        </w:rPr>
        <w:tab/>
      </w:r>
      <w:r w:rsidRPr="00284C17">
        <w:rPr>
          <w:rFonts w:ascii="Abadi" w:hAnsi="Abadi" w:cs="Arial"/>
          <w:iCs/>
          <w:sz w:val="21"/>
          <w:szCs w:val="21"/>
          <w:lang w:val="es-MX" w:eastAsia="en-US"/>
        </w:rPr>
        <w:t xml:space="preserve">Analizada la iniciativa de referencia, con fundamento en los artículos 75, 89, fracción V, 112, fracciones IV y V y 171 de </w:t>
      </w:r>
      <w:smartTag w:uri="urn:schemas-microsoft-com:office:smarttags" w:element="PersonName">
        <w:smartTagPr>
          <w:attr w:name="ProductID" w:val="LA LEY ORG￁NICA"/>
        </w:smartTagPr>
        <w:r w:rsidRPr="00284C17">
          <w:rPr>
            <w:rFonts w:ascii="Abadi" w:hAnsi="Abadi" w:cs="Arial"/>
            <w:iCs/>
            <w:sz w:val="21"/>
            <w:szCs w:val="21"/>
            <w:lang w:val="es-MX" w:eastAsia="en-US"/>
          </w:rPr>
          <w:t>la Ley Orgánica</w:t>
        </w:r>
      </w:smartTag>
      <w:r w:rsidRPr="00284C17">
        <w:rPr>
          <w:rFonts w:ascii="Abadi" w:hAnsi="Abadi" w:cs="Arial"/>
          <w:iCs/>
          <w:sz w:val="21"/>
          <w:szCs w:val="21"/>
          <w:lang w:val="es-MX" w:eastAsia="en-US"/>
        </w:rPr>
        <w:t xml:space="preserve"> del Poder Legislativo del Estado de Guanajuato, nos permitimos rendir el siguiente:</w:t>
      </w:r>
    </w:p>
    <w:p w14:paraId="0A271C54" w14:textId="77777777" w:rsidR="00284C17" w:rsidRPr="00284C17" w:rsidRDefault="00284C17" w:rsidP="00284C17">
      <w:pPr>
        <w:keepNext/>
        <w:jc w:val="center"/>
        <w:outlineLvl w:val="1"/>
        <w:rPr>
          <w:rFonts w:ascii="Abadi" w:hAnsi="Abadi"/>
          <w:b/>
          <w:sz w:val="21"/>
          <w:szCs w:val="21"/>
          <w:lang w:val="es-MX"/>
        </w:rPr>
      </w:pPr>
    </w:p>
    <w:p w14:paraId="197680A2" w14:textId="77777777" w:rsidR="00284C17" w:rsidRPr="00284C17" w:rsidRDefault="00284C17" w:rsidP="00284C17">
      <w:pPr>
        <w:keepNext/>
        <w:spacing w:line="360" w:lineRule="auto"/>
        <w:jc w:val="center"/>
        <w:outlineLvl w:val="1"/>
        <w:rPr>
          <w:rFonts w:ascii="Abadi" w:hAnsi="Abadi"/>
          <w:b/>
          <w:sz w:val="21"/>
          <w:szCs w:val="21"/>
          <w:lang w:val="es-MX"/>
        </w:rPr>
      </w:pPr>
      <w:r w:rsidRPr="00284C17">
        <w:rPr>
          <w:rFonts w:ascii="Abadi" w:hAnsi="Abadi"/>
          <w:b/>
          <w:sz w:val="21"/>
          <w:szCs w:val="21"/>
          <w:lang w:val="es-MX"/>
        </w:rPr>
        <w:t xml:space="preserve">D i c t a m e n </w:t>
      </w:r>
    </w:p>
    <w:p w14:paraId="72319094" w14:textId="77777777" w:rsidR="00284C17" w:rsidRPr="00284C17" w:rsidRDefault="00284C17" w:rsidP="00284C17">
      <w:pPr>
        <w:jc w:val="center"/>
        <w:rPr>
          <w:rFonts w:ascii="Abadi" w:hAnsi="Abadi"/>
          <w:b/>
          <w:sz w:val="21"/>
          <w:szCs w:val="21"/>
          <w:lang w:val="es-MX"/>
        </w:rPr>
      </w:pPr>
    </w:p>
    <w:p w14:paraId="728473C6" w14:textId="77777777" w:rsidR="00284C17" w:rsidRPr="00284C17" w:rsidRDefault="00284C17" w:rsidP="00284C17">
      <w:pPr>
        <w:spacing w:line="360" w:lineRule="auto"/>
        <w:jc w:val="both"/>
        <w:rPr>
          <w:rFonts w:ascii="Abadi" w:hAnsi="Abadi"/>
          <w:sz w:val="21"/>
          <w:szCs w:val="21"/>
          <w:lang w:val="es-MX"/>
        </w:rPr>
      </w:pPr>
      <w:r w:rsidRPr="00284C17">
        <w:rPr>
          <w:rFonts w:ascii="Abadi" w:hAnsi="Abadi"/>
          <w:b/>
          <w:sz w:val="21"/>
          <w:szCs w:val="21"/>
          <w:lang w:val="es-MX"/>
        </w:rPr>
        <w:tab/>
      </w:r>
      <w:r w:rsidRPr="00284C17">
        <w:rPr>
          <w:rFonts w:ascii="Abadi" w:hAnsi="Abadi"/>
          <w:sz w:val="21"/>
          <w:szCs w:val="21"/>
          <w:lang w:val="es-MX"/>
        </w:rPr>
        <w:t>El Gobernador del Estado, mediante iniciativa de decreto de fecha 28 de marzo de 2022, solicitó al Congreso del Estado se le autorice, previa desafectación del dominio público, la enajenación mediante la figura de donación de una fracción de un bien inmueble ubicado en Calzada Ángel León Torres número 601, zona centro, del municipio de Cortazar, Gto., en favor de dicho Municipio, para destinarlo a la Casa de la Cultura</w:t>
      </w:r>
      <w:r w:rsidRPr="00284C17">
        <w:rPr>
          <w:rFonts w:ascii="Abadi" w:hAnsi="Abadi"/>
          <w:i/>
          <w:iCs/>
          <w:sz w:val="21"/>
          <w:szCs w:val="21"/>
          <w:lang w:val="es-ES_tradnl"/>
        </w:rPr>
        <w:t>.</w:t>
      </w:r>
    </w:p>
    <w:p w14:paraId="5E5A766D" w14:textId="77777777" w:rsidR="00284C17" w:rsidRPr="00284C17" w:rsidRDefault="00284C17" w:rsidP="00284C17">
      <w:pPr>
        <w:spacing w:line="360" w:lineRule="auto"/>
        <w:jc w:val="both"/>
        <w:rPr>
          <w:rFonts w:ascii="Abadi" w:hAnsi="Abadi" w:cs="Arial"/>
          <w:iCs/>
          <w:sz w:val="21"/>
          <w:szCs w:val="21"/>
          <w:lang w:val="es-MX"/>
        </w:rPr>
      </w:pPr>
    </w:p>
    <w:p w14:paraId="36541FA1" w14:textId="780B17DD" w:rsidR="00284C17" w:rsidRPr="00284C17" w:rsidRDefault="00284C17" w:rsidP="00800312">
      <w:pPr>
        <w:spacing w:line="360" w:lineRule="auto"/>
        <w:jc w:val="both"/>
        <w:rPr>
          <w:rFonts w:ascii="Abadi" w:hAnsi="Abadi"/>
          <w:sz w:val="21"/>
          <w:szCs w:val="21"/>
          <w:lang w:val="es-MX"/>
        </w:rPr>
      </w:pPr>
      <w:r w:rsidRPr="00284C17">
        <w:rPr>
          <w:rFonts w:ascii="Abadi" w:hAnsi="Abadi"/>
          <w:sz w:val="21"/>
          <w:szCs w:val="21"/>
          <w:lang w:val="es-MX"/>
        </w:rPr>
        <w:tab/>
        <w:t xml:space="preserve">Dicha iniciativa se turnó a esta Comisión de Hacienda y Fiscalización el 31 de marzo de 2022 para su estudio y dictamen, siendo radicada el 5 de abril del año en curso. En dicha fecha también se acordó llevar a cabo una mesa de trabajo con funcionarios de la </w:t>
      </w:r>
      <w:bookmarkStart w:id="28" w:name="_Hlk87713543"/>
      <w:r w:rsidRPr="00284C17">
        <w:rPr>
          <w:rFonts w:ascii="Abadi" w:hAnsi="Abadi"/>
          <w:sz w:val="21"/>
          <w:szCs w:val="21"/>
          <w:lang w:val="es-MX"/>
        </w:rPr>
        <w:t xml:space="preserve">Secretaría de Finanzas, Inversión y Administración del Estado y de la Coordinación General Jurídica del Gobierno del Estado </w:t>
      </w:r>
      <w:bookmarkEnd w:id="28"/>
      <w:r w:rsidRPr="00284C17">
        <w:rPr>
          <w:rFonts w:ascii="Abadi" w:hAnsi="Abadi"/>
          <w:sz w:val="21"/>
          <w:szCs w:val="21"/>
          <w:lang w:val="es-MX"/>
        </w:rPr>
        <w:t xml:space="preserve">a fin de que expusieran lo relativo al contenido de la iniciativa. </w:t>
      </w:r>
    </w:p>
    <w:p w14:paraId="544E3E13" w14:textId="77777777" w:rsidR="00284C17" w:rsidRPr="00284C17" w:rsidRDefault="00284C17" w:rsidP="00284C17">
      <w:pPr>
        <w:spacing w:line="360" w:lineRule="auto"/>
        <w:ind w:firstLine="708"/>
        <w:jc w:val="both"/>
        <w:rPr>
          <w:rFonts w:ascii="Abadi" w:hAnsi="Abadi" w:cs="Arial"/>
          <w:sz w:val="21"/>
          <w:szCs w:val="21"/>
          <w:lang w:val="es-MX" w:eastAsia="en-US"/>
        </w:rPr>
      </w:pPr>
    </w:p>
    <w:p w14:paraId="58B04FE5" w14:textId="77777777" w:rsidR="00284C17" w:rsidRPr="00284C17" w:rsidRDefault="00284C17" w:rsidP="00284C17">
      <w:pPr>
        <w:spacing w:line="360" w:lineRule="auto"/>
        <w:ind w:firstLine="708"/>
        <w:jc w:val="both"/>
        <w:rPr>
          <w:rFonts w:ascii="Abadi" w:hAnsi="Abadi" w:cs="Arial"/>
          <w:sz w:val="21"/>
          <w:szCs w:val="21"/>
          <w:lang w:val="es-MX" w:eastAsia="en-US"/>
        </w:rPr>
      </w:pPr>
      <w:r w:rsidRPr="00284C17">
        <w:rPr>
          <w:rFonts w:ascii="Abadi" w:hAnsi="Abadi" w:cs="Arial"/>
          <w:sz w:val="21"/>
          <w:szCs w:val="21"/>
          <w:lang w:val="es-MX" w:eastAsia="en-US"/>
        </w:rPr>
        <w:t xml:space="preserve">La propiedad de la fracción del bien inmueble materia de la donación se acredita mediante copia certificada de la escritura pública número 1,686, de fecha 9 de mayo de 1978, levantada bajo la fe del licenciado José Belmonte Moreno, titular de </w:t>
      </w:r>
      <w:smartTag w:uri="urn:schemas-microsoft-com:office:smarttags" w:element="PersonName">
        <w:smartTagPr>
          <w:attr w:name="ProductID" w:val="la Notar￭a P￺blica"/>
        </w:smartTagPr>
        <w:r w:rsidRPr="00284C17">
          <w:rPr>
            <w:rFonts w:ascii="Abadi" w:hAnsi="Abadi" w:cs="Arial"/>
            <w:sz w:val="21"/>
            <w:szCs w:val="21"/>
            <w:lang w:val="es-MX" w:eastAsia="en-US"/>
          </w:rPr>
          <w:t>la Notaría Pública</w:t>
        </w:r>
      </w:smartTag>
      <w:r w:rsidRPr="00284C17">
        <w:rPr>
          <w:rFonts w:ascii="Abadi" w:hAnsi="Abadi" w:cs="Arial"/>
          <w:sz w:val="21"/>
          <w:szCs w:val="21"/>
          <w:lang w:val="es-MX" w:eastAsia="en-US"/>
        </w:rPr>
        <w:t xml:space="preserve"> número 30, en legal ejercicio en el Partido Judicial de Celaya, Gto., y debidamente inscrita en el Registro Público de la Propiedad el 17 de mayo de 1978, mediante la que se formalizaron las diligencias de información Ad-perpetuam a fin de acreditar la propiedad de un bien inmueble, al haber operado la prescripción positiva a favor del Gobierno del Estado.</w:t>
      </w:r>
    </w:p>
    <w:p w14:paraId="7EF5DABB" w14:textId="77777777" w:rsidR="00284C17" w:rsidRPr="00284C17" w:rsidRDefault="00284C17" w:rsidP="00284C17">
      <w:pPr>
        <w:spacing w:line="360" w:lineRule="auto"/>
        <w:ind w:firstLine="708"/>
        <w:jc w:val="both"/>
        <w:rPr>
          <w:rFonts w:ascii="Abadi" w:hAnsi="Abadi" w:cs="Arial"/>
          <w:sz w:val="21"/>
          <w:szCs w:val="21"/>
          <w:lang w:val="es-MX" w:eastAsia="en-US"/>
        </w:rPr>
      </w:pPr>
    </w:p>
    <w:p w14:paraId="38D53045" w14:textId="77777777" w:rsidR="00284C17" w:rsidRPr="00284C17" w:rsidRDefault="00284C17" w:rsidP="00284C17">
      <w:pPr>
        <w:spacing w:line="360" w:lineRule="auto"/>
        <w:ind w:firstLine="708"/>
        <w:jc w:val="both"/>
        <w:rPr>
          <w:rFonts w:ascii="Abadi" w:hAnsi="Abadi" w:cs="Arial"/>
          <w:sz w:val="21"/>
          <w:szCs w:val="21"/>
          <w:lang w:val="es-MX" w:eastAsia="en-US"/>
        </w:rPr>
      </w:pPr>
      <w:r w:rsidRPr="00284C17">
        <w:rPr>
          <w:rFonts w:ascii="Abadi" w:hAnsi="Abadi" w:cs="Arial"/>
          <w:sz w:val="21"/>
          <w:szCs w:val="21"/>
          <w:lang w:val="es-MX" w:eastAsia="en-US"/>
        </w:rPr>
        <w:t>Se integraron al expediente de la iniciativa, el plano de localización que establece la superficie, medidas y colindancias de la fracción del bien inmueble que se pretende donar; así como los certificados de gravámenes y de historia registral de la misma.</w:t>
      </w:r>
    </w:p>
    <w:p w14:paraId="65A9961D" w14:textId="77777777" w:rsidR="00284C17" w:rsidRPr="00284C17" w:rsidRDefault="00284C17" w:rsidP="00284C17">
      <w:pPr>
        <w:spacing w:line="360" w:lineRule="auto"/>
        <w:ind w:firstLine="708"/>
        <w:jc w:val="both"/>
        <w:rPr>
          <w:rFonts w:ascii="Abadi" w:hAnsi="Abadi" w:cs="Arial"/>
          <w:sz w:val="21"/>
          <w:szCs w:val="21"/>
          <w:lang w:val="es-MX" w:eastAsia="en-US"/>
        </w:rPr>
      </w:pPr>
    </w:p>
    <w:p w14:paraId="35F0C894" w14:textId="77777777" w:rsidR="00284C17" w:rsidRPr="00284C17" w:rsidRDefault="00284C17" w:rsidP="00284C17">
      <w:pPr>
        <w:spacing w:line="360" w:lineRule="auto"/>
        <w:ind w:firstLine="708"/>
        <w:jc w:val="both"/>
        <w:rPr>
          <w:rFonts w:ascii="Abadi" w:hAnsi="Abadi" w:cs="Arial"/>
          <w:sz w:val="21"/>
          <w:szCs w:val="21"/>
          <w:lang w:val="es-MX" w:eastAsia="en-US"/>
        </w:rPr>
      </w:pPr>
      <w:r w:rsidRPr="00284C17">
        <w:rPr>
          <w:rFonts w:ascii="Abadi" w:hAnsi="Abadi" w:cs="Arial"/>
          <w:sz w:val="21"/>
          <w:szCs w:val="21"/>
          <w:lang w:val="es-MX" w:eastAsia="en-US"/>
        </w:rPr>
        <w:t>Obra además en el expediente de la iniciativa, copia certificada del oficio número P.M./1092/2021, de fecha 5 de marzo de 2021, mediante el cual el presidente municipal de Cortazar, Gto., solicitó al Gobernador del Estado la donación de la fracción del bien inmueble materia del presente dictamen para el uso de la Casa de la Cultura, señalando que la población de Cortazar, antiguo San José de los Amoles, es un pueblo que guarda una historia muy particular y conserva muchas tradiciones seculares; el cual está en un proceso de desarrollo urbano, económico, cultural y deportivo por lo que la atención a los niños y jóvenes es de suma importancia.</w:t>
      </w:r>
    </w:p>
    <w:p w14:paraId="714B9AC6" w14:textId="77777777" w:rsidR="00284C17" w:rsidRPr="00284C17" w:rsidRDefault="00284C17" w:rsidP="00284C17">
      <w:pPr>
        <w:spacing w:line="360" w:lineRule="auto"/>
        <w:ind w:firstLine="708"/>
        <w:jc w:val="both"/>
        <w:rPr>
          <w:rFonts w:ascii="Abadi" w:hAnsi="Abadi" w:cs="Arial"/>
          <w:sz w:val="21"/>
          <w:szCs w:val="21"/>
          <w:lang w:val="es-MX" w:eastAsia="en-US"/>
        </w:rPr>
      </w:pPr>
    </w:p>
    <w:p w14:paraId="7C7D82EE" w14:textId="77777777" w:rsidR="00284C17" w:rsidRPr="00284C17" w:rsidRDefault="00284C17" w:rsidP="00284C17">
      <w:pPr>
        <w:spacing w:line="360" w:lineRule="auto"/>
        <w:ind w:firstLine="708"/>
        <w:jc w:val="both"/>
        <w:rPr>
          <w:rFonts w:ascii="Abadi" w:hAnsi="Abadi" w:cs="Arial"/>
          <w:sz w:val="21"/>
          <w:szCs w:val="21"/>
          <w:lang w:val="es-MX" w:eastAsia="en-US"/>
        </w:rPr>
      </w:pPr>
      <w:r w:rsidRPr="00284C17">
        <w:rPr>
          <w:rFonts w:ascii="Abadi" w:hAnsi="Abadi" w:cs="Arial"/>
          <w:sz w:val="21"/>
          <w:szCs w:val="21"/>
          <w:lang w:val="es-MX" w:eastAsia="en-US"/>
        </w:rPr>
        <w:t>También se integró al expediente, copia certificada del oficio número DGCL.- 022/2022, de fecha 17 de enero de 2022, por el cual el director general de Consejería Legal de la Secretaría de Educación del Estado le informa al Secretario de Finanzas, Inversión y Administración que dicha Secretaría no tiene inconveniente, en que se acuerde la donación de la fracción del bien inmueble que nos ocupa, con la finalidad de establecer una Casa de la Cultura, la cual beneficiará a la comunidad educativa como a la población en general de la ciudad de Cortazar, Gto.</w:t>
      </w:r>
    </w:p>
    <w:p w14:paraId="7614DEF7" w14:textId="77777777" w:rsidR="00284C17" w:rsidRPr="00284C17" w:rsidRDefault="00284C17" w:rsidP="00284C17">
      <w:pPr>
        <w:spacing w:line="360" w:lineRule="auto"/>
        <w:ind w:firstLine="708"/>
        <w:jc w:val="both"/>
        <w:rPr>
          <w:rFonts w:ascii="Abadi" w:hAnsi="Abadi" w:cs="Arial"/>
          <w:sz w:val="21"/>
          <w:szCs w:val="21"/>
          <w:lang w:val="es-MX" w:eastAsia="en-US"/>
        </w:rPr>
      </w:pPr>
      <w:r w:rsidRPr="00284C17">
        <w:rPr>
          <w:rFonts w:ascii="Abadi" w:hAnsi="Abadi" w:cs="Arial"/>
          <w:sz w:val="21"/>
          <w:szCs w:val="21"/>
          <w:lang w:val="es-MX" w:eastAsia="en-US"/>
        </w:rPr>
        <w:t>En la mesa de trabajo celebrada el 13 de junio del año en curso, funcionarios de la Secretaría de Finanzas, Inversión y Administración y de la Coordinación General Jurídica del Gobierno del Estado expusieron a quienes integramos esta Comisión lo referente al contenido de la iniciativa.</w:t>
      </w:r>
    </w:p>
    <w:p w14:paraId="19BAA956" w14:textId="77777777" w:rsidR="00284C17" w:rsidRPr="00284C17" w:rsidRDefault="00284C17" w:rsidP="00284C17">
      <w:pPr>
        <w:ind w:firstLine="708"/>
        <w:jc w:val="both"/>
        <w:rPr>
          <w:rFonts w:ascii="Abadi" w:hAnsi="Abadi" w:cs="Arial"/>
          <w:iCs/>
          <w:sz w:val="21"/>
          <w:szCs w:val="21"/>
          <w:lang w:val="es-MX"/>
        </w:rPr>
      </w:pPr>
    </w:p>
    <w:p w14:paraId="28FF089B" w14:textId="77777777" w:rsidR="00284C17" w:rsidRPr="00284C17" w:rsidRDefault="00284C17" w:rsidP="00284C17">
      <w:pPr>
        <w:ind w:firstLine="708"/>
        <w:jc w:val="both"/>
        <w:rPr>
          <w:rFonts w:ascii="Abadi" w:hAnsi="Abadi" w:cs="Arial"/>
          <w:iCs/>
          <w:sz w:val="21"/>
          <w:szCs w:val="21"/>
          <w:lang w:val="es-MX"/>
        </w:rPr>
      </w:pPr>
      <w:r w:rsidRPr="00284C17">
        <w:rPr>
          <w:rFonts w:ascii="Abadi" w:hAnsi="Abadi" w:cs="Arial"/>
          <w:iCs/>
          <w:sz w:val="21"/>
          <w:szCs w:val="21"/>
          <w:lang w:val="es-MX"/>
        </w:rPr>
        <w:t>En la exposición de motivos de la iniciativa que nos ocupa, se establece que:</w:t>
      </w:r>
    </w:p>
    <w:p w14:paraId="5AF9FD45" w14:textId="77777777" w:rsidR="00284C17" w:rsidRPr="00284C17" w:rsidRDefault="00284C17" w:rsidP="00284C17">
      <w:pPr>
        <w:ind w:firstLine="708"/>
        <w:jc w:val="both"/>
        <w:rPr>
          <w:rFonts w:ascii="Abadi" w:hAnsi="Abadi" w:cs="Arial"/>
          <w:iCs/>
          <w:sz w:val="21"/>
          <w:szCs w:val="21"/>
          <w:lang w:val="es-MX"/>
        </w:rPr>
      </w:pPr>
    </w:p>
    <w:p w14:paraId="43762D89" w14:textId="77777777" w:rsidR="00284C17" w:rsidRPr="00284C17" w:rsidRDefault="00284C17" w:rsidP="00284C17">
      <w:pPr>
        <w:spacing w:line="276" w:lineRule="auto"/>
        <w:ind w:left="709"/>
        <w:jc w:val="both"/>
        <w:rPr>
          <w:rFonts w:ascii="Abadi" w:hAnsi="Abadi" w:cs="Arial"/>
          <w:i/>
          <w:sz w:val="21"/>
          <w:szCs w:val="21"/>
          <w:lang w:val="es-ES_tradnl"/>
        </w:rPr>
      </w:pPr>
      <w:r w:rsidRPr="00284C17">
        <w:rPr>
          <w:rFonts w:ascii="Abadi" w:hAnsi="Abadi" w:cs="Arial"/>
          <w:i/>
          <w:sz w:val="21"/>
          <w:szCs w:val="21"/>
          <w:lang w:val="es-ES_tradnl"/>
        </w:rPr>
        <w:t>«Con la actualización del Programa de Gobierno 2018-2024</w:t>
      </w:r>
      <w:r w:rsidRPr="00284C17">
        <w:rPr>
          <w:rFonts w:ascii="Abadi" w:hAnsi="Abadi" w:cs="Arial"/>
          <w:i/>
          <w:sz w:val="21"/>
          <w:szCs w:val="21"/>
          <w:vertAlign w:val="superscript"/>
          <w:lang w:val="es-ES_tradnl"/>
        </w:rPr>
        <w:footnoteReference w:id="177"/>
      </w:r>
      <w:r w:rsidRPr="00284C17">
        <w:rPr>
          <w:rFonts w:ascii="Abadi" w:hAnsi="Abadi" w:cs="Arial"/>
          <w:i/>
          <w:sz w:val="21"/>
          <w:szCs w:val="21"/>
          <w:lang w:val="es-ES_tradnl"/>
        </w:rPr>
        <w:t xml:space="preserve"> se busca tener una visión que contemple las nuevas realidades y proponga acciones que den pauta a la recuperación y el desarrollo sostenible de los sectores productivos y de la sociedad en general. Parte de nuestra misión es ser un Gobierno que trabaja para impulsar el desarrollo integral de la población con políticas públicas sostenibles, incluyentes e innovadoras que proyectan el liderazgo de Guanajuato y su gente a nivel nacional e internacional.</w:t>
      </w:r>
    </w:p>
    <w:p w14:paraId="27BDC912" w14:textId="77777777" w:rsidR="00284C17" w:rsidRPr="00284C17" w:rsidRDefault="00284C17" w:rsidP="00284C17">
      <w:pPr>
        <w:spacing w:line="276" w:lineRule="auto"/>
        <w:ind w:left="709"/>
        <w:jc w:val="both"/>
        <w:rPr>
          <w:rFonts w:ascii="Abadi" w:hAnsi="Abadi" w:cs="Arial"/>
          <w:i/>
          <w:sz w:val="21"/>
          <w:szCs w:val="21"/>
          <w:lang w:val="es-ES_tradnl"/>
        </w:rPr>
      </w:pPr>
    </w:p>
    <w:p w14:paraId="36D78B62" w14:textId="77777777" w:rsidR="00284C17" w:rsidRPr="00284C17" w:rsidRDefault="00284C17" w:rsidP="00284C17">
      <w:pPr>
        <w:spacing w:line="276" w:lineRule="auto"/>
        <w:ind w:left="709"/>
        <w:jc w:val="both"/>
        <w:rPr>
          <w:rFonts w:ascii="Abadi" w:hAnsi="Abadi" w:cs="Arial"/>
          <w:i/>
          <w:sz w:val="21"/>
          <w:szCs w:val="21"/>
        </w:rPr>
      </w:pPr>
      <w:r w:rsidRPr="00284C17">
        <w:rPr>
          <w:rFonts w:ascii="Abadi" w:hAnsi="Abadi" w:cs="Arial"/>
          <w:i/>
          <w:sz w:val="21"/>
          <w:szCs w:val="21"/>
        </w:rPr>
        <w:t>En tal sentido, se busca generar las condiciones que contribuyan al desarrollo integral del Estado, mediante el fortalecimiento del tejido social y las instituciones; la implementación de políticas públicas innovadoras e incluyentes; el desempeño de excelencia en un marco de transparencia y honestidad para los habitantes del estado; contribuir a mejorar la calidad de vida, el bienestar social y el desarrollo sostenible, en un marco de Estado de Derecho, paz social y corresponsabilidad global. Además, el «Eje Gobierno Humano y Eficaz», está enfocado al actuar del Gobierno Estatal, con el fin de que este sea lo más asertivo y eficiente posible, pero sin olvidar lo más importante, lo que le da realmente su esencia y misión principal, es decir, servir a la ciudadanía con un enfoque eminentemente humano.</w:t>
      </w:r>
    </w:p>
    <w:p w14:paraId="060B1243" w14:textId="77777777" w:rsidR="00284C17" w:rsidRPr="00284C17" w:rsidRDefault="00284C17" w:rsidP="00284C17">
      <w:pPr>
        <w:autoSpaceDE w:val="0"/>
        <w:autoSpaceDN w:val="0"/>
        <w:adjustRightInd w:val="0"/>
        <w:spacing w:line="276" w:lineRule="auto"/>
        <w:ind w:left="709"/>
        <w:jc w:val="both"/>
        <w:rPr>
          <w:rFonts w:ascii="Abadi" w:hAnsi="Abadi" w:cs="Arial"/>
          <w:i/>
          <w:iCs/>
          <w:sz w:val="21"/>
          <w:szCs w:val="21"/>
        </w:rPr>
      </w:pPr>
      <w:r w:rsidRPr="00284C17">
        <w:rPr>
          <w:rFonts w:ascii="Abadi" w:hAnsi="Abadi" w:cs="Arial"/>
          <w:i/>
          <w:iCs/>
          <w:sz w:val="21"/>
          <w:szCs w:val="21"/>
        </w:rPr>
        <w:t>…</w:t>
      </w:r>
    </w:p>
    <w:p w14:paraId="71C837C7" w14:textId="77777777" w:rsidR="00284C17" w:rsidRPr="00284C17" w:rsidRDefault="00284C17" w:rsidP="00284C17">
      <w:pPr>
        <w:autoSpaceDE w:val="0"/>
        <w:autoSpaceDN w:val="0"/>
        <w:adjustRightInd w:val="0"/>
        <w:spacing w:line="276" w:lineRule="auto"/>
        <w:ind w:left="709"/>
        <w:jc w:val="both"/>
        <w:rPr>
          <w:rFonts w:ascii="Abadi" w:hAnsi="Abadi" w:cs="Arial"/>
          <w:i/>
          <w:iCs/>
          <w:sz w:val="21"/>
          <w:szCs w:val="21"/>
        </w:rPr>
      </w:pPr>
    </w:p>
    <w:p w14:paraId="2910CA46" w14:textId="77777777" w:rsidR="00284C17" w:rsidRPr="00284C17" w:rsidRDefault="00284C17" w:rsidP="00284C17">
      <w:pPr>
        <w:autoSpaceDE w:val="0"/>
        <w:autoSpaceDN w:val="0"/>
        <w:adjustRightInd w:val="0"/>
        <w:spacing w:line="276" w:lineRule="auto"/>
        <w:ind w:left="709"/>
        <w:jc w:val="both"/>
        <w:rPr>
          <w:rFonts w:ascii="Abadi" w:hAnsi="Abadi" w:cs="Arial"/>
          <w:i/>
          <w:iCs/>
          <w:sz w:val="21"/>
          <w:szCs w:val="21"/>
        </w:rPr>
      </w:pPr>
      <w:r w:rsidRPr="00284C17">
        <w:rPr>
          <w:rFonts w:ascii="Abadi" w:hAnsi="Abadi" w:cs="Arial"/>
          <w:i/>
          <w:iCs/>
          <w:sz w:val="21"/>
          <w:szCs w:val="21"/>
        </w:rPr>
        <w:t xml:space="preserve">Así, en razón de que la solicitud realizada por el municipio de Cortazar, Gto., se inscribe en el marco de los objetivos y metas previstos en los instrumentos de planeación que orientan la actuación de la administración pública estatal, el Ejecutivo del Estado estima pertinente transmitir a favor de dicho municipio, la propiedad de una fracción del inmueble anteriormente enunciado, para destinarla a la Casa de Cultura, para lo cual se requiere la previa desafectación de la fracción del bien inmueble citado con antelación, para que éste ingrese al dominio privado del Estado y se autorice su enajenación por esa Soberanía. </w:t>
      </w:r>
    </w:p>
    <w:p w14:paraId="042CB860" w14:textId="77777777" w:rsidR="00284C17" w:rsidRPr="00284C17" w:rsidRDefault="00284C17" w:rsidP="00284C17">
      <w:pPr>
        <w:autoSpaceDE w:val="0"/>
        <w:autoSpaceDN w:val="0"/>
        <w:adjustRightInd w:val="0"/>
        <w:spacing w:line="276" w:lineRule="auto"/>
        <w:ind w:left="709"/>
        <w:jc w:val="both"/>
        <w:rPr>
          <w:rFonts w:ascii="Abadi" w:hAnsi="Abadi" w:cs="Arial"/>
          <w:i/>
          <w:iCs/>
          <w:sz w:val="21"/>
          <w:szCs w:val="21"/>
        </w:rPr>
      </w:pPr>
    </w:p>
    <w:p w14:paraId="42A9DF4A" w14:textId="77777777" w:rsidR="00284C17" w:rsidRPr="00284C17" w:rsidRDefault="00284C17" w:rsidP="00284C17">
      <w:pPr>
        <w:autoSpaceDE w:val="0"/>
        <w:autoSpaceDN w:val="0"/>
        <w:adjustRightInd w:val="0"/>
        <w:spacing w:line="276" w:lineRule="auto"/>
        <w:ind w:left="709"/>
        <w:jc w:val="both"/>
        <w:rPr>
          <w:rFonts w:ascii="Abadi" w:hAnsi="Abadi" w:cs="Arial"/>
          <w:i/>
          <w:iCs/>
          <w:sz w:val="21"/>
          <w:szCs w:val="21"/>
        </w:rPr>
      </w:pPr>
      <w:r w:rsidRPr="00284C17">
        <w:rPr>
          <w:rFonts w:ascii="Abadi" w:hAnsi="Abadi" w:cs="Arial"/>
          <w:i/>
          <w:iCs/>
          <w:sz w:val="21"/>
          <w:szCs w:val="21"/>
        </w:rPr>
        <w:t>Finalmente, si bien la evaluación legislativa no pertenece expresamente al rubro de la técnica legislativa (y más bien a la de ciencia de la legislación), existe una relación sumamente estrecha entre ambos; los resultados arrojados por la evaluación legislativa respecto a los productos donde una norma tiene incidencia directa no sólo en el contenido sustantivo de la legislación -qué se legisla- sino también en la plasmación lingüística de la norma -con qué palabras se legisla-, por ello, atendiendo la previsión del artículo 209 de la Ley Orgánica del Poder Legislativo del Estado de Guanajuato, relativo a la evaluación ex ante de la norma, a partir de la evaluación del impacto jurídico, administrativo, presupuestario y social, se manifiesta:</w:t>
      </w:r>
    </w:p>
    <w:p w14:paraId="09E7FE5E" w14:textId="77777777" w:rsidR="00284C17" w:rsidRPr="00284C17" w:rsidRDefault="00284C17" w:rsidP="00284C17">
      <w:pPr>
        <w:autoSpaceDE w:val="0"/>
        <w:autoSpaceDN w:val="0"/>
        <w:adjustRightInd w:val="0"/>
        <w:spacing w:line="276" w:lineRule="auto"/>
        <w:ind w:left="709"/>
        <w:jc w:val="both"/>
        <w:rPr>
          <w:rFonts w:ascii="Abadi" w:hAnsi="Abadi" w:cs="Arial"/>
          <w:i/>
          <w:iCs/>
          <w:sz w:val="21"/>
          <w:szCs w:val="21"/>
        </w:rPr>
      </w:pPr>
    </w:p>
    <w:p w14:paraId="2415FF84" w14:textId="77777777" w:rsidR="00284C17" w:rsidRPr="00284C17" w:rsidRDefault="00284C17" w:rsidP="001A28E5">
      <w:pPr>
        <w:widowControl w:val="0"/>
        <w:numPr>
          <w:ilvl w:val="0"/>
          <w:numId w:val="82"/>
        </w:numPr>
        <w:autoSpaceDE w:val="0"/>
        <w:autoSpaceDN w:val="0"/>
        <w:adjustRightInd w:val="0"/>
        <w:spacing w:line="276" w:lineRule="auto"/>
        <w:ind w:left="709" w:firstLine="0"/>
        <w:contextualSpacing/>
        <w:jc w:val="both"/>
        <w:rPr>
          <w:rFonts w:ascii="Abadi" w:hAnsi="Abadi"/>
          <w:b/>
          <w:i/>
          <w:iCs/>
          <w:sz w:val="21"/>
          <w:szCs w:val="21"/>
        </w:rPr>
      </w:pPr>
      <w:r w:rsidRPr="00284C17">
        <w:rPr>
          <w:rFonts w:ascii="Abadi" w:hAnsi="Abadi"/>
          <w:b/>
          <w:i/>
          <w:iCs/>
          <w:sz w:val="21"/>
          <w:szCs w:val="21"/>
        </w:rPr>
        <w:t>Impacto jurídico:</w:t>
      </w:r>
      <w:r w:rsidRPr="00284C17">
        <w:rPr>
          <w:rFonts w:ascii="Abadi" w:hAnsi="Abadi"/>
          <w:i/>
          <w:iCs/>
          <w:sz w:val="21"/>
          <w:szCs w:val="21"/>
        </w:rPr>
        <w:t xml:space="preserve"> se traduce en </w:t>
      </w:r>
      <w:r w:rsidRPr="00284C17">
        <w:rPr>
          <w:rFonts w:ascii="Abadi" w:hAnsi="Abadi"/>
          <w:i/>
          <w:iCs/>
          <w:sz w:val="21"/>
          <w:szCs w:val="21"/>
          <w:lang w:val="es-MX"/>
        </w:rPr>
        <w:t xml:space="preserve">la autorización de ese Congreso para que el Ejecutivo del Estado pueda realizar la donación del inmueble materia de la presente iniciativa, misma que es requerida con fundamento en lo establecido en los artículos 63 fracciones XVI y XVII y 77 fracción XVII de la </w:t>
      </w:r>
      <w:r w:rsidRPr="00284C17">
        <w:rPr>
          <w:rFonts w:ascii="Abadi" w:hAnsi="Abadi"/>
          <w:i/>
          <w:iCs/>
          <w:sz w:val="21"/>
          <w:szCs w:val="21"/>
        </w:rPr>
        <w:t xml:space="preserve">Constitución Política para el Estado de Guanajuato, </w:t>
      </w:r>
      <w:r w:rsidRPr="00284C17">
        <w:rPr>
          <w:rFonts w:ascii="Abadi" w:hAnsi="Abadi" w:cs="Arial"/>
          <w:i/>
          <w:iCs/>
          <w:sz w:val="21"/>
          <w:szCs w:val="21"/>
        </w:rPr>
        <w:t>así como 7, fracción IV, 48, 49 fracción IV y 50 de la Ley del Patrimonio Inmobiliario del Estado</w:t>
      </w:r>
      <w:r w:rsidRPr="00284C17">
        <w:rPr>
          <w:rFonts w:ascii="Abadi" w:hAnsi="Abadi"/>
          <w:i/>
          <w:iCs/>
          <w:sz w:val="21"/>
          <w:szCs w:val="21"/>
        </w:rPr>
        <w:t xml:space="preserve">; </w:t>
      </w:r>
    </w:p>
    <w:p w14:paraId="7AF83A99" w14:textId="77777777" w:rsidR="00284C17" w:rsidRPr="00284C17" w:rsidRDefault="00284C17" w:rsidP="00284C17">
      <w:pPr>
        <w:widowControl w:val="0"/>
        <w:autoSpaceDE w:val="0"/>
        <w:autoSpaceDN w:val="0"/>
        <w:adjustRightInd w:val="0"/>
        <w:spacing w:line="276" w:lineRule="auto"/>
        <w:ind w:left="709"/>
        <w:contextualSpacing/>
        <w:jc w:val="both"/>
        <w:rPr>
          <w:rFonts w:ascii="Abadi" w:hAnsi="Abadi"/>
          <w:b/>
          <w:i/>
          <w:iCs/>
          <w:sz w:val="21"/>
          <w:szCs w:val="21"/>
        </w:rPr>
      </w:pPr>
    </w:p>
    <w:p w14:paraId="1FED0302" w14:textId="77777777" w:rsidR="00284C17" w:rsidRPr="00284C17" w:rsidRDefault="00284C17" w:rsidP="001A28E5">
      <w:pPr>
        <w:widowControl w:val="0"/>
        <w:numPr>
          <w:ilvl w:val="0"/>
          <w:numId w:val="82"/>
        </w:numPr>
        <w:autoSpaceDE w:val="0"/>
        <w:autoSpaceDN w:val="0"/>
        <w:adjustRightInd w:val="0"/>
        <w:spacing w:line="276" w:lineRule="auto"/>
        <w:ind w:left="709" w:firstLine="0"/>
        <w:contextualSpacing/>
        <w:jc w:val="both"/>
        <w:rPr>
          <w:rFonts w:ascii="Abadi" w:hAnsi="Abadi"/>
          <w:i/>
          <w:iCs/>
          <w:sz w:val="21"/>
          <w:szCs w:val="21"/>
        </w:rPr>
      </w:pPr>
      <w:r w:rsidRPr="00284C17">
        <w:rPr>
          <w:rFonts w:ascii="Abadi" w:hAnsi="Abadi"/>
          <w:b/>
          <w:i/>
          <w:iCs/>
          <w:sz w:val="21"/>
          <w:szCs w:val="21"/>
        </w:rPr>
        <w:t>Impacto administrativo:</w:t>
      </w:r>
      <w:r w:rsidRPr="00284C17">
        <w:rPr>
          <w:rFonts w:ascii="Abadi" w:hAnsi="Abadi"/>
          <w:i/>
          <w:iCs/>
          <w:sz w:val="21"/>
          <w:szCs w:val="21"/>
        </w:rPr>
        <w:t xml:space="preserve"> en razón de los alcances y naturaleza de la Iniciativa que se propone, no se actualizan impactos de orden administrativo; </w:t>
      </w:r>
    </w:p>
    <w:p w14:paraId="62992E47" w14:textId="77777777" w:rsidR="00284C17" w:rsidRPr="00284C17" w:rsidRDefault="00284C17" w:rsidP="00284C17">
      <w:pPr>
        <w:ind w:left="708"/>
        <w:rPr>
          <w:rFonts w:ascii="Abadi" w:hAnsi="Abadi"/>
          <w:i/>
          <w:iCs/>
          <w:sz w:val="21"/>
          <w:szCs w:val="21"/>
        </w:rPr>
      </w:pPr>
    </w:p>
    <w:p w14:paraId="29914FBB" w14:textId="77777777" w:rsidR="00284C17" w:rsidRPr="00284C17" w:rsidRDefault="00284C17" w:rsidP="001A28E5">
      <w:pPr>
        <w:widowControl w:val="0"/>
        <w:numPr>
          <w:ilvl w:val="0"/>
          <w:numId w:val="82"/>
        </w:numPr>
        <w:autoSpaceDE w:val="0"/>
        <w:autoSpaceDN w:val="0"/>
        <w:adjustRightInd w:val="0"/>
        <w:spacing w:line="276" w:lineRule="auto"/>
        <w:ind w:left="709" w:firstLine="0"/>
        <w:contextualSpacing/>
        <w:jc w:val="both"/>
        <w:rPr>
          <w:rFonts w:ascii="Abadi" w:hAnsi="Abadi"/>
          <w:i/>
          <w:iCs/>
          <w:sz w:val="21"/>
          <w:szCs w:val="21"/>
        </w:rPr>
      </w:pPr>
      <w:r w:rsidRPr="00284C17">
        <w:rPr>
          <w:rFonts w:ascii="Abadi" w:hAnsi="Abadi"/>
          <w:b/>
          <w:i/>
          <w:iCs/>
          <w:sz w:val="21"/>
          <w:szCs w:val="21"/>
        </w:rPr>
        <w:t>Impacto presupuestario:</w:t>
      </w:r>
      <w:r w:rsidRPr="00284C17">
        <w:rPr>
          <w:rFonts w:ascii="Abadi" w:hAnsi="Abadi"/>
          <w:i/>
          <w:iCs/>
          <w:sz w:val="21"/>
          <w:szCs w:val="21"/>
        </w:rPr>
        <w:t xml:space="preserve"> en razón de los alcances y naturaleza de la Iniciativa que se propone, no se actualizan impactos de orden presupuestario; y </w:t>
      </w:r>
    </w:p>
    <w:p w14:paraId="46AC8F07" w14:textId="77777777" w:rsidR="00284C17" w:rsidRPr="00284C17" w:rsidRDefault="00284C17" w:rsidP="00284C17">
      <w:pPr>
        <w:ind w:left="708"/>
        <w:rPr>
          <w:rFonts w:ascii="Abadi" w:hAnsi="Abadi"/>
          <w:sz w:val="21"/>
          <w:szCs w:val="21"/>
        </w:rPr>
      </w:pPr>
    </w:p>
    <w:p w14:paraId="64F7CE11" w14:textId="77777777" w:rsidR="00284C17" w:rsidRPr="00284C17" w:rsidRDefault="00284C17" w:rsidP="001A28E5">
      <w:pPr>
        <w:widowControl w:val="0"/>
        <w:numPr>
          <w:ilvl w:val="0"/>
          <w:numId w:val="82"/>
        </w:numPr>
        <w:autoSpaceDE w:val="0"/>
        <w:autoSpaceDN w:val="0"/>
        <w:adjustRightInd w:val="0"/>
        <w:spacing w:line="276" w:lineRule="auto"/>
        <w:ind w:left="709" w:firstLine="0"/>
        <w:contextualSpacing/>
        <w:jc w:val="both"/>
        <w:rPr>
          <w:rFonts w:ascii="Abadi" w:hAnsi="Abadi"/>
          <w:i/>
          <w:iCs/>
          <w:sz w:val="21"/>
          <w:szCs w:val="21"/>
        </w:rPr>
      </w:pPr>
      <w:r w:rsidRPr="00284C17">
        <w:rPr>
          <w:rFonts w:ascii="Abadi" w:hAnsi="Abadi"/>
          <w:b/>
          <w:i/>
          <w:iCs/>
          <w:sz w:val="21"/>
          <w:szCs w:val="21"/>
        </w:rPr>
        <w:t>Impacto social:</w:t>
      </w:r>
      <w:r w:rsidRPr="00284C17">
        <w:rPr>
          <w:rFonts w:ascii="Abadi" w:hAnsi="Abadi"/>
          <w:i/>
          <w:iCs/>
          <w:sz w:val="21"/>
          <w:szCs w:val="21"/>
        </w:rPr>
        <w:t xml:space="preserve"> con la instalación de la Casa de Cultur, se beneficia a la población de Cortazar, Gto., toda vez que, al apoyar al municipio, a través de la donación de una fracción del bien inmueble, permitirá que éste cuente con la infraestructura adecuada, que le permita llevar a cabo de manera óptima la prestación de servicios públicos a la ciudadanía.</w:t>
      </w:r>
      <w:r w:rsidRPr="00284C17">
        <w:rPr>
          <w:rFonts w:ascii="Abadi" w:hAnsi="Abadi" w:cs="Arial"/>
          <w:i/>
          <w:iCs/>
          <w:sz w:val="21"/>
          <w:szCs w:val="21"/>
        </w:rPr>
        <w:t>»</w:t>
      </w:r>
    </w:p>
    <w:p w14:paraId="11A949CE" w14:textId="77777777" w:rsidR="00284C17" w:rsidRPr="00284C17" w:rsidRDefault="00284C17" w:rsidP="00284C17">
      <w:pPr>
        <w:spacing w:line="276" w:lineRule="auto"/>
        <w:ind w:left="709"/>
        <w:jc w:val="both"/>
        <w:rPr>
          <w:rFonts w:ascii="Abadi" w:hAnsi="Abadi" w:cs="Arial"/>
          <w:i/>
          <w:sz w:val="21"/>
          <w:szCs w:val="21"/>
        </w:rPr>
      </w:pPr>
    </w:p>
    <w:p w14:paraId="3B1E20ED" w14:textId="3FED566A" w:rsidR="00284C17" w:rsidRDefault="00284C17" w:rsidP="00800312">
      <w:pPr>
        <w:spacing w:line="360" w:lineRule="auto"/>
        <w:ind w:firstLine="708"/>
        <w:jc w:val="both"/>
        <w:rPr>
          <w:rFonts w:ascii="Abadi" w:hAnsi="Abadi" w:cs="Arial"/>
          <w:sz w:val="21"/>
          <w:szCs w:val="21"/>
          <w:lang w:val="es-MX"/>
        </w:rPr>
      </w:pPr>
      <w:r w:rsidRPr="00284C17">
        <w:rPr>
          <w:rFonts w:ascii="Abadi" w:hAnsi="Abadi" w:cs="Arial"/>
          <w:sz w:val="21"/>
          <w:szCs w:val="21"/>
          <w:lang w:val="es-MX"/>
        </w:rPr>
        <w:t>Al respecto, cabe señalar que el artículo 49, fracción IV de la Ley del Patrimonio Inmobiliario del Estado señala que la donación de los bienes inmuebles de dominio privado del Estado podrá realizarse en favor de los municipios u organismos autónomos por Ley, para que los destinen a la prestación de servicios públicos de su competencia, o bien, en fines educativos o de asistencia social.</w:t>
      </w:r>
    </w:p>
    <w:p w14:paraId="0F18F9FA" w14:textId="77777777" w:rsidR="00800312" w:rsidRPr="00284C17" w:rsidRDefault="00800312" w:rsidP="00800312">
      <w:pPr>
        <w:spacing w:line="360" w:lineRule="auto"/>
        <w:ind w:firstLine="708"/>
        <w:jc w:val="both"/>
        <w:rPr>
          <w:rFonts w:ascii="Abadi" w:hAnsi="Abadi" w:cs="Arial"/>
          <w:sz w:val="21"/>
          <w:szCs w:val="21"/>
          <w:lang w:val="es-MX"/>
        </w:rPr>
      </w:pPr>
    </w:p>
    <w:p w14:paraId="0DE2097B" w14:textId="77777777" w:rsidR="00284C17" w:rsidRPr="00284C17" w:rsidRDefault="00284C17" w:rsidP="00284C17">
      <w:pPr>
        <w:spacing w:line="360" w:lineRule="auto"/>
        <w:ind w:firstLine="708"/>
        <w:jc w:val="both"/>
        <w:rPr>
          <w:rFonts w:ascii="Abadi" w:hAnsi="Abadi" w:cs="Arial"/>
          <w:sz w:val="21"/>
          <w:szCs w:val="21"/>
          <w:lang w:val="es-MX"/>
        </w:rPr>
      </w:pPr>
      <w:r w:rsidRPr="00284C17">
        <w:rPr>
          <w:rFonts w:ascii="Abadi" w:hAnsi="Abadi" w:cs="Arial"/>
          <w:sz w:val="21"/>
          <w:szCs w:val="21"/>
          <w:lang w:val="es-MX"/>
        </w:rPr>
        <w:t xml:space="preserve">En atención a los argumentos antes señalados, las diputadas y los diputados integrantes de esta Comisión determinamos procedente autorizar la donación que se solicita, considerando que se cumplen los requisitos establecidos en la normatividad aplicable. De igual manera, debemos señalar que con la donación que se propone se apoyará al municipio de Cortazar, Gto., para la prestación de los servicios públicos a su cargo, de manera específica el de casas de la cultura. </w:t>
      </w:r>
    </w:p>
    <w:p w14:paraId="33925DF2" w14:textId="77777777" w:rsidR="00284C17" w:rsidRPr="00284C17" w:rsidRDefault="00284C17" w:rsidP="00284C17">
      <w:pPr>
        <w:spacing w:line="360" w:lineRule="auto"/>
        <w:ind w:firstLine="708"/>
        <w:jc w:val="both"/>
        <w:rPr>
          <w:rFonts w:ascii="Abadi" w:hAnsi="Abadi" w:cs="Arial"/>
          <w:sz w:val="21"/>
          <w:szCs w:val="21"/>
          <w:lang w:val="es-MX"/>
        </w:rPr>
      </w:pPr>
    </w:p>
    <w:p w14:paraId="112AD17A" w14:textId="77777777" w:rsidR="00284C17" w:rsidRPr="00284C17" w:rsidRDefault="00284C17" w:rsidP="00284C17">
      <w:pPr>
        <w:spacing w:line="360" w:lineRule="auto"/>
        <w:ind w:firstLine="708"/>
        <w:jc w:val="both"/>
        <w:rPr>
          <w:rFonts w:ascii="Abadi" w:hAnsi="Abadi" w:cs="Arial"/>
          <w:sz w:val="21"/>
          <w:szCs w:val="21"/>
          <w:lang w:val="es-MX"/>
        </w:rPr>
      </w:pPr>
      <w:r w:rsidRPr="00284C17">
        <w:rPr>
          <w:rFonts w:ascii="Abadi" w:hAnsi="Abadi" w:cs="Arial"/>
          <w:sz w:val="21"/>
          <w:szCs w:val="21"/>
          <w:lang w:val="es-MX"/>
        </w:rPr>
        <w:t>Por otra parte, es preciso señalar que la fracción del bien inmueble que se pretende donar pertenece al dominio público del Estado, de conformidad con lo establecido por los artículos 13, 14, fracción II y 19, fracción II de la Ley del Patrimonio Inmobiliario del Estado, en virtud de lo cual, para estar en posibilidad de transmitir la propiedad de la misma, se requiere previamente decretar su desafectación.</w:t>
      </w:r>
    </w:p>
    <w:p w14:paraId="32B2F084" w14:textId="77777777" w:rsidR="00284C17" w:rsidRPr="00284C17" w:rsidRDefault="00284C17" w:rsidP="00284C17">
      <w:pPr>
        <w:spacing w:line="360" w:lineRule="auto"/>
        <w:ind w:firstLine="708"/>
        <w:jc w:val="both"/>
        <w:rPr>
          <w:rFonts w:ascii="Abadi" w:hAnsi="Abadi"/>
          <w:b/>
          <w:bCs/>
          <w:sz w:val="21"/>
          <w:szCs w:val="21"/>
        </w:rPr>
      </w:pPr>
    </w:p>
    <w:p w14:paraId="15C1BE77" w14:textId="77777777" w:rsidR="00284C17" w:rsidRPr="00284C17" w:rsidRDefault="00284C17" w:rsidP="00284C17">
      <w:pPr>
        <w:tabs>
          <w:tab w:val="left" w:pos="7380"/>
        </w:tabs>
        <w:spacing w:line="360" w:lineRule="auto"/>
        <w:ind w:firstLine="708"/>
        <w:jc w:val="both"/>
        <w:rPr>
          <w:rFonts w:ascii="Abadi" w:hAnsi="Abadi"/>
          <w:sz w:val="21"/>
          <w:szCs w:val="21"/>
        </w:rPr>
      </w:pPr>
      <w:r w:rsidRPr="00284C17">
        <w:rPr>
          <w:rFonts w:ascii="Abadi" w:hAnsi="Abadi" w:cs="Arial"/>
          <w:sz w:val="21"/>
          <w:szCs w:val="21"/>
          <w:lang w:val="es-MX" w:eastAsia="en-US"/>
        </w:rPr>
        <w:t xml:space="preserve">Para garantizar que se cumplan las condiciones de la donación, se establece que </w:t>
      </w:r>
      <w:r w:rsidRPr="00284C17">
        <w:rPr>
          <w:rFonts w:ascii="Abadi" w:hAnsi="Abadi"/>
          <w:bCs/>
          <w:sz w:val="21"/>
          <w:szCs w:val="21"/>
        </w:rPr>
        <w:t xml:space="preserve">si el municipio de Cortazar, Gto., le diera un uso o destino distinto al autorizado en el decreto </w:t>
      </w:r>
      <w:r w:rsidRPr="00284C17">
        <w:rPr>
          <w:rFonts w:ascii="Abadi" w:hAnsi="Abadi" w:cs="Arial"/>
          <w:sz w:val="21"/>
          <w:szCs w:val="21"/>
          <w:lang w:val="es-MX" w:eastAsia="en-US"/>
        </w:rPr>
        <w:t>operaría la reversión de la fracción del bien inmueble</w:t>
      </w:r>
      <w:r w:rsidRPr="00284C17">
        <w:rPr>
          <w:rFonts w:ascii="Abadi" w:hAnsi="Abadi"/>
          <w:sz w:val="21"/>
          <w:szCs w:val="21"/>
        </w:rPr>
        <w:t>.</w:t>
      </w:r>
    </w:p>
    <w:p w14:paraId="44B48BC9" w14:textId="77777777" w:rsidR="00284C17" w:rsidRPr="00284C17" w:rsidRDefault="00284C17" w:rsidP="00284C17">
      <w:pPr>
        <w:tabs>
          <w:tab w:val="left" w:pos="7380"/>
        </w:tabs>
        <w:spacing w:line="360" w:lineRule="auto"/>
        <w:ind w:firstLine="708"/>
        <w:jc w:val="both"/>
        <w:rPr>
          <w:rFonts w:ascii="Abadi" w:hAnsi="Abadi" w:cs="Arial"/>
          <w:sz w:val="21"/>
          <w:szCs w:val="21"/>
          <w:lang w:val="es-MX" w:eastAsia="en-US"/>
        </w:rPr>
      </w:pPr>
    </w:p>
    <w:p w14:paraId="4A451840" w14:textId="7ECD9A88" w:rsidR="00284C17" w:rsidRDefault="00284C17" w:rsidP="00800312">
      <w:pPr>
        <w:tabs>
          <w:tab w:val="left" w:pos="7380"/>
        </w:tabs>
        <w:spacing w:line="360" w:lineRule="auto"/>
        <w:ind w:firstLine="708"/>
        <w:jc w:val="both"/>
        <w:rPr>
          <w:rFonts w:ascii="Abadi" w:hAnsi="Abadi"/>
          <w:bCs/>
          <w:sz w:val="21"/>
          <w:szCs w:val="21"/>
        </w:rPr>
      </w:pPr>
      <w:r w:rsidRPr="00284C17">
        <w:rPr>
          <w:rFonts w:ascii="Abadi" w:hAnsi="Abadi"/>
          <w:bCs/>
          <w:sz w:val="21"/>
          <w:szCs w:val="21"/>
        </w:rPr>
        <w:t>Finalmente, es de destacar que el cumplimiento de los Objetivos del Desarrollo Sostenible de la Agenda 2030 está presente en el dictamen puesto a su consideración, pues el mismo incide en el objetivo 4, denominado Educación de Calidad, respecto a la meta 4.7, referido a la contribución de la cultura al desarrollo sostenible. Lo anterior, en atención a que el bien inmueble que se pretende donar se destinará a la prestación del servicio público correspondiente a la Casa de la Cultura.</w:t>
      </w:r>
    </w:p>
    <w:p w14:paraId="30AE5123" w14:textId="77777777" w:rsidR="00800312" w:rsidRPr="00284C17" w:rsidRDefault="00800312" w:rsidP="00800312">
      <w:pPr>
        <w:tabs>
          <w:tab w:val="left" w:pos="7380"/>
        </w:tabs>
        <w:spacing w:line="360" w:lineRule="auto"/>
        <w:ind w:firstLine="708"/>
        <w:jc w:val="both"/>
        <w:rPr>
          <w:rFonts w:ascii="Abadi" w:hAnsi="Abadi"/>
          <w:bCs/>
          <w:sz w:val="21"/>
          <w:szCs w:val="21"/>
        </w:rPr>
      </w:pPr>
    </w:p>
    <w:p w14:paraId="57C0353A" w14:textId="5445FCEF" w:rsidR="00284C17" w:rsidRDefault="00284C17" w:rsidP="00284C17">
      <w:pPr>
        <w:spacing w:line="360" w:lineRule="auto"/>
        <w:ind w:firstLine="708"/>
        <w:jc w:val="both"/>
        <w:rPr>
          <w:rFonts w:ascii="Abadi" w:hAnsi="Abadi"/>
          <w:sz w:val="21"/>
          <w:szCs w:val="21"/>
          <w:lang w:val="es-MX"/>
        </w:rPr>
      </w:pPr>
      <w:r w:rsidRPr="00284C17">
        <w:rPr>
          <w:rFonts w:ascii="Abadi" w:hAnsi="Abadi"/>
          <w:sz w:val="21"/>
          <w:szCs w:val="21"/>
          <w:lang w:val="es-MX"/>
        </w:rPr>
        <w:t xml:space="preserve">Por lo expuesto y con fundamento en los artículos 63 fracciones XVI y XVII de la Constitución Política Local, </w:t>
      </w:r>
      <w:r w:rsidRPr="00284C17">
        <w:rPr>
          <w:rFonts w:ascii="Abadi" w:hAnsi="Abadi" w:cs="Arial"/>
          <w:sz w:val="21"/>
          <w:szCs w:val="21"/>
          <w:lang w:val="es-MX"/>
        </w:rPr>
        <w:t>7 fracci</w:t>
      </w:r>
      <w:r w:rsidRPr="00284C17">
        <w:rPr>
          <w:rFonts w:ascii="Abadi" w:hAnsi="Abadi"/>
          <w:sz w:val="21"/>
          <w:szCs w:val="21"/>
          <w:lang w:val="es-MX"/>
        </w:rPr>
        <w:t xml:space="preserve">ones II, IV y V y 49, fracción IV de la Ley del Patrimonio Inmobiliario del Estado, así como 204 de </w:t>
      </w:r>
      <w:smartTag w:uri="urn:schemas-microsoft-com:office:smarttags" w:element="PersonName">
        <w:smartTagPr>
          <w:attr w:name="ProductID" w:val="la Secretaria"/>
        </w:smartTagPr>
        <w:r w:rsidRPr="00284C17">
          <w:rPr>
            <w:rFonts w:ascii="Abadi" w:hAnsi="Abadi"/>
            <w:sz w:val="21"/>
            <w:szCs w:val="21"/>
            <w:lang w:val="es-MX"/>
          </w:rPr>
          <w:t>la Ley Orgánica</w:t>
        </w:r>
      </w:smartTag>
      <w:r w:rsidRPr="00284C17">
        <w:rPr>
          <w:rFonts w:ascii="Abadi" w:hAnsi="Abadi"/>
          <w:sz w:val="21"/>
          <w:szCs w:val="21"/>
          <w:lang w:val="es-MX"/>
        </w:rPr>
        <w:t xml:space="preserve"> del Poder Legislativo del Estado de Guanajuato, nos permitimos someter a la consideración de la Asamblea la aprobación del siguiente proyecto de:</w:t>
      </w:r>
    </w:p>
    <w:p w14:paraId="1C053611" w14:textId="77777777" w:rsidR="00800312" w:rsidRPr="00284C17" w:rsidRDefault="00800312" w:rsidP="00284C17">
      <w:pPr>
        <w:spacing w:line="360" w:lineRule="auto"/>
        <w:ind w:firstLine="708"/>
        <w:jc w:val="both"/>
        <w:rPr>
          <w:rFonts w:ascii="Abadi" w:hAnsi="Abadi"/>
          <w:sz w:val="21"/>
          <w:szCs w:val="21"/>
          <w:lang w:val="es-MX"/>
        </w:rPr>
      </w:pPr>
    </w:p>
    <w:p w14:paraId="03C6D415" w14:textId="77777777" w:rsidR="00284C17" w:rsidRPr="00284C17" w:rsidRDefault="00284C17" w:rsidP="00284C17">
      <w:pPr>
        <w:spacing w:line="360" w:lineRule="auto"/>
        <w:jc w:val="center"/>
        <w:rPr>
          <w:rFonts w:ascii="Abadi" w:hAnsi="Abadi" w:cs="Arial"/>
          <w:b/>
          <w:bCs/>
          <w:sz w:val="21"/>
          <w:szCs w:val="21"/>
          <w:lang w:val="es-MX"/>
        </w:rPr>
      </w:pPr>
      <w:r w:rsidRPr="00284C17">
        <w:rPr>
          <w:rFonts w:ascii="Abadi" w:hAnsi="Abadi" w:cs="Arial"/>
          <w:b/>
          <w:bCs/>
          <w:sz w:val="21"/>
          <w:szCs w:val="21"/>
          <w:lang w:val="es-MX"/>
        </w:rPr>
        <w:t xml:space="preserve">D e c r </w:t>
      </w:r>
      <w:proofErr w:type="gramStart"/>
      <w:r w:rsidRPr="00284C17">
        <w:rPr>
          <w:rFonts w:ascii="Abadi" w:hAnsi="Abadi" w:cs="Arial"/>
          <w:b/>
          <w:bCs/>
          <w:sz w:val="21"/>
          <w:szCs w:val="21"/>
          <w:lang w:val="es-MX"/>
        </w:rPr>
        <w:t>e</w:t>
      </w:r>
      <w:proofErr w:type="gramEnd"/>
      <w:r w:rsidRPr="00284C17">
        <w:rPr>
          <w:rFonts w:ascii="Abadi" w:hAnsi="Abadi" w:cs="Arial"/>
          <w:b/>
          <w:bCs/>
          <w:sz w:val="21"/>
          <w:szCs w:val="21"/>
          <w:lang w:val="es-MX"/>
        </w:rPr>
        <w:t xml:space="preserve"> t o</w:t>
      </w:r>
    </w:p>
    <w:p w14:paraId="7DC2CD37" w14:textId="77777777" w:rsidR="00284C17" w:rsidRPr="00284C17" w:rsidRDefault="00284C17" w:rsidP="00284C17">
      <w:pPr>
        <w:spacing w:line="276" w:lineRule="auto"/>
        <w:jc w:val="right"/>
        <w:rPr>
          <w:rFonts w:ascii="Abadi" w:hAnsi="Abadi" w:cs="Arial"/>
          <w:b/>
          <w:i/>
          <w:sz w:val="21"/>
          <w:szCs w:val="21"/>
        </w:rPr>
      </w:pPr>
    </w:p>
    <w:p w14:paraId="3547C1E6" w14:textId="77777777" w:rsidR="00284C17" w:rsidRPr="00284C17" w:rsidRDefault="00284C17" w:rsidP="00284C17">
      <w:pPr>
        <w:spacing w:line="276" w:lineRule="auto"/>
        <w:jc w:val="right"/>
        <w:rPr>
          <w:rFonts w:ascii="Abadi" w:hAnsi="Abadi" w:cs="Arial"/>
          <w:b/>
          <w:i/>
          <w:sz w:val="21"/>
          <w:szCs w:val="21"/>
          <w:lang w:val="es-ES_tradnl"/>
        </w:rPr>
      </w:pPr>
      <w:r w:rsidRPr="00284C17">
        <w:rPr>
          <w:rFonts w:ascii="Abadi" w:hAnsi="Abadi" w:cs="Arial"/>
          <w:b/>
          <w:i/>
          <w:sz w:val="21"/>
          <w:szCs w:val="21"/>
        </w:rPr>
        <w:t>Desafectación del dominio público del Estado</w:t>
      </w:r>
    </w:p>
    <w:p w14:paraId="4B9B284B" w14:textId="169E5C42" w:rsidR="00284C17" w:rsidRPr="00284C17" w:rsidRDefault="00284C17" w:rsidP="00800312">
      <w:pPr>
        <w:autoSpaceDE w:val="0"/>
        <w:autoSpaceDN w:val="0"/>
        <w:adjustRightInd w:val="0"/>
        <w:spacing w:line="360" w:lineRule="auto"/>
        <w:ind w:firstLine="708"/>
        <w:jc w:val="both"/>
        <w:rPr>
          <w:rFonts w:ascii="Abadi" w:hAnsi="Abadi" w:cs="Arial"/>
          <w:sz w:val="21"/>
          <w:szCs w:val="21"/>
        </w:rPr>
      </w:pPr>
      <w:r w:rsidRPr="00284C17">
        <w:rPr>
          <w:rFonts w:ascii="Abadi" w:hAnsi="Abadi" w:cs="Arial"/>
          <w:b/>
          <w:bCs/>
          <w:sz w:val="21"/>
          <w:szCs w:val="21"/>
        </w:rPr>
        <w:t xml:space="preserve">Artículo Primero. </w:t>
      </w:r>
      <w:r w:rsidRPr="00284C17">
        <w:rPr>
          <w:rFonts w:ascii="Abadi" w:hAnsi="Abadi" w:cs="Arial"/>
          <w:sz w:val="21"/>
          <w:szCs w:val="21"/>
        </w:rPr>
        <w:t>Se desafecta del dominio público del Estado una fracción del bien inmueble ubicado en Calzada Ángel León Torres número 601, zona centro del municipio de Cortazar, Gto., la cual cuenta con una superficie de 3,349.02 m² tres mil trescientos cuarenta y nueve punto cero dos metros cuadrados y las siguientes medidas y colindancias, conforme a plano topográfico: Al norte, en línea quebrada de cinco tramos, el primero de 3.01 tres punto cero un metros, el segundo de 2.99 dos punto noventa y nueve metros, el tercero de 2.90 dos punto noventa metros, el cuarto de 34.25 treinta y cuatro punto veinticinco metros y el quinto de 3.13 tres punto trece metros con calle Rosales; al sur, en 45.10 cuarenta y cinco punto diez metros con Gobierno del Estado; al oriente, en trece tramos, tres tramos en línea quebrada de 8.98 ocho punto noventa y ocho metros, 9.64 nueve punto sesenta y cuatro metros y 2.27 dos punto veintisiete metros; tres tramos en línea curva de 3.25 tres punto veinticinco metros, 3.01 tres punto cero un metros y 4.92 cuatro punto noventa y dos metros; y siete tramos en línea quebrada de 0.80 cero punto ochenta metros, 7.21 siete punto veintiún metros, 3.08 tres punto cero ocho metros, 11.76 once punto setenta y seis metros, 6.96 seis punto noventa y seis metros, 11.38 once punto treinta y ocho metros y 3.98 tres punto noventa y ocho metros con Gobierno del Estado; y al poniente, en línea quebrada de nueve tramos, el primero de 15.33 quince punto treinta y tres metros, el segundo de 2.73 dos punto setenta y tres metros, el tercero de 6.38 seis punto treinta y ocho metros, el cuarto de 14.22 catorce punto veintidós metros, el quinto de 8.01 ocho punto cero un metros, el sexto de 9.98 nueve punto noventa y ocho metros, el séptimo de 3.19 tres punto diecinueve</w:t>
      </w:r>
      <w:r w:rsidRPr="00284C17">
        <w:rPr>
          <w:rFonts w:ascii="Abadi" w:hAnsi="Abadi"/>
          <w:sz w:val="21"/>
          <w:szCs w:val="21"/>
        </w:rPr>
        <w:t xml:space="preserve"> </w:t>
      </w:r>
      <w:r w:rsidRPr="00284C17">
        <w:rPr>
          <w:rFonts w:ascii="Abadi" w:hAnsi="Abadi" w:cs="Arial"/>
          <w:sz w:val="21"/>
          <w:szCs w:val="21"/>
        </w:rPr>
        <w:t>metros, el octavo de 2.87 dos punto ochenta y siete metros y el noveno de 3.25 tres punto veinticinco metros con Calzada Ángel León Torres.</w:t>
      </w:r>
    </w:p>
    <w:p w14:paraId="1A65B33E" w14:textId="77777777" w:rsidR="00284C17" w:rsidRPr="00284C17" w:rsidRDefault="00284C17" w:rsidP="00284C17">
      <w:pPr>
        <w:spacing w:line="360" w:lineRule="auto"/>
        <w:jc w:val="center"/>
        <w:rPr>
          <w:rFonts w:ascii="Abadi" w:hAnsi="Abadi" w:cs="Arial"/>
          <w:b/>
          <w:bCs/>
          <w:sz w:val="21"/>
          <w:szCs w:val="21"/>
          <w:lang w:val="es-MX"/>
        </w:rPr>
      </w:pPr>
    </w:p>
    <w:p w14:paraId="4A9A1DE0" w14:textId="77777777" w:rsidR="00284C17" w:rsidRPr="00284C17" w:rsidRDefault="00284C17" w:rsidP="00284C17">
      <w:pPr>
        <w:jc w:val="right"/>
        <w:rPr>
          <w:rFonts w:ascii="Abadi" w:hAnsi="Abadi" w:cs="Arial"/>
          <w:b/>
          <w:i/>
          <w:sz w:val="21"/>
          <w:szCs w:val="21"/>
          <w:lang w:val="es-MX"/>
        </w:rPr>
      </w:pPr>
      <w:r w:rsidRPr="00284C17">
        <w:rPr>
          <w:rFonts w:ascii="Abadi" w:hAnsi="Abadi" w:cs="Arial"/>
          <w:b/>
          <w:i/>
          <w:sz w:val="21"/>
          <w:szCs w:val="21"/>
          <w:lang w:val="es-MX"/>
        </w:rPr>
        <w:t>Autorización para la enajenación</w:t>
      </w:r>
    </w:p>
    <w:p w14:paraId="1578F7BD" w14:textId="77777777" w:rsidR="00284C17" w:rsidRPr="00284C17" w:rsidRDefault="00284C17" w:rsidP="00284C17">
      <w:pPr>
        <w:spacing w:line="360" w:lineRule="auto"/>
        <w:ind w:firstLine="708"/>
        <w:jc w:val="both"/>
        <w:rPr>
          <w:rFonts w:ascii="Abadi" w:hAnsi="Abadi" w:cs="Arial"/>
          <w:bCs/>
          <w:sz w:val="21"/>
          <w:szCs w:val="21"/>
        </w:rPr>
      </w:pPr>
      <w:r w:rsidRPr="00284C17">
        <w:rPr>
          <w:rFonts w:ascii="Abadi" w:hAnsi="Abadi" w:cs="Arial"/>
          <w:b/>
          <w:sz w:val="21"/>
          <w:szCs w:val="21"/>
          <w:lang w:val="es-MX"/>
        </w:rPr>
        <w:t xml:space="preserve">Artículo Segundo. </w:t>
      </w:r>
      <w:r w:rsidRPr="00284C17">
        <w:rPr>
          <w:rFonts w:ascii="Abadi" w:hAnsi="Abadi" w:cs="Arial"/>
          <w:bCs/>
          <w:sz w:val="21"/>
          <w:szCs w:val="21"/>
          <w:lang w:val="es-MX" w:eastAsia="en-US"/>
        </w:rPr>
        <w:t xml:space="preserve">Se autoriza al titular del Poder Ejecutivo del Estado </w:t>
      </w:r>
      <w:r w:rsidRPr="00284C17">
        <w:rPr>
          <w:rFonts w:ascii="Abadi" w:hAnsi="Abadi" w:cs="Arial"/>
          <w:bCs/>
          <w:sz w:val="21"/>
          <w:szCs w:val="21"/>
        </w:rPr>
        <w:t xml:space="preserve">a enajenar la fracción del bien inmueble descrita en el artículo anterior, mediante la figura de donación al municipio de </w:t>
      </w:r>
      <w:r w:rsidRPr="00284C17">
        <w:rPr>
          <w:rFonts w:ascii="Abadi" w:hAnsi="Abadi" w:cs="Arial"/>
          <w:sz w:val="21"/>
          <w:szCs w:val="21"/>
        </w:rPr>
        <w:t>Cortazar, Gto., para que e</w:t>
      </w:r>
      <w:r w:rsidRPr="00284C17">
        <w:rPr>
          <w:rFonts w:ascii="Abadi" w:hAnsi="Abadi" w:cs="Arial"/>
          <w:bCs/>
          <w:sz w:val="21"/>
          <w:szCs w:val="21"/>
        </w:rPr>
        <w:t xml:space="preserve">ste la destine a </w:t>
      </w:r>
      <w:r w:rsidRPr="00284C17">
        <w:rPr>
          <w:rFonts w:ascii="Abadi" w:hAnsi="Abadi"/>
          <w:sz w:val="21"/>
          <w:szCs w:val="21"/>
          <w:lang w:val="es-ES_tradnl"/>
        </w:rPr>
        <w:t>la Casa de la Cultura</w:t>
      </w:r>
      <w:r w:rsidRPr="00284C17">
        <w:rPr>
          <w:rFonts w:ascii="Abadi" w:hAnsi="Abadi" w:cs="Arial"/>
          <w:bCs/>
          <w:sz w:val="21"/>
          <w:szCs w:val="21"/>
        </w:rPr>
        <w:t>.</w:t>
      </w:r>
    </w:p>
    <w:p w14:paraId="5CC4CD93" w14:textId="77777777" w:rsidR="00284C17" w:rsidRPr="00284C17" w:rsidRDefault="00284C17" w:rsidP="00284C17">
      <w:pPr>
        <w:jc w:val="right"/>
        <w:rPr>
          <w:rFonts w:ascii="Abadi" w:hAnsi="Abadi" w:cs="Arial"/>
          <w:b/>
          <w:i/>
          <w:sz w:val="21"/>
          <w:szCs w:val="21"/>
          <w:lang w:val="es-MX"/>
        </w:rPr>
      </w:pPr>
    </w:p>
    <w:p w14:paraId="050F57EC" w14:textId="77777777" w:rsidR="00284C17" w:rsidRPr="00284C17" w:rsidRDefault="00284C17" w:rsidP="00284C17">
      <w:pPr>
        <w:jc w:val="right"/>
        <w:rPr>
          <w:rFonts w:ascii="Abadi" w:hAnsi="Abadi" w:cs="Arial"/>
          <w:b/>
          <w:i/>
          <w:sz w:val="21"/>
          <w:szCs w:val="21"/>
          <w:lang w:val="es-MX"/>
        </w:rPr>
      </w:pPr>
      <w:r w:rsidRPr="00284C17">
        <w:rPr>
          <w:rFonts w:ascii="Abadi" w:hAnsi="Abadi" w:cs="Arial"/>
          <w:b/>
          <w:i/>
          <w:sz w:val="21"/>
          <w:szCs w:val="21"/>
          <w:lang w:val="es-MX"/>
        </w:rPr>
        <w:t>Reversión</w:t>
      </w:r>
    </w:p>
    <w:p w14:paraId="543D5AF1" w14:textId="253F5251" w:rsidR="00284C17" w:rsidRDefault="00284C17" w:rsidP="001D05E8">
      <w:pPr>
        <w:spacing w:line="360" w:lineRule="auto"/>
        <w:ind w:firstLine="708"/>
        <w:jc w:val="both"/>
        <w:rPr>
          <w:rFonts w:ascii="Abadi" w:hAnsi="Abadi"/>
          <w:sz w:val="21"/>
          <w:szCs w:val="21"/>
          <w:lang w:val="es-MX"/>
        </w:rPr>
      </w:pPr>
      <w:r w:rsidRPr="00284C17">
        <w:rPr>
          <w:rFonts w:ascii="Abadi" w:hAnsi="Abadi" w:cs="Arial"/>
          <w:b/>
          <w:sz w:val="21"/>
          <w:szCs w:val="21"/>
          <w:lang w:val="es-MX" w:eastAsia="en-US"/>
        </w:rPr>
        <w:t xml:space="preserve">Artículo Tercero. </w:t>
      </w:r>
      <w:r w:rsidRPr="00284C17">
        <w:rPr>
          <w:rFonts w:ascii="Abadi" w:hAnsi="Abadi" w:cs="Arial"/>
          <w:bCs/>
          <w:sz w:val="21"/>
          <w:szCs w:val="21"/>
          <w:lang w:val="es-MX" w:eastAsia="en-US"/>
        </w:rPr>
        <w:t xml:space="preserve">La fracción del bien inmueble donada revertirá al patrimonio del Estado, con todas las </w:t>
      </w:r>
      <w:r w:rsidRPr="00284C17">
        <w:rPr>
          <w:rFonts w:ascii="Abadi" w:hAnsi="Abadi"/>
          <w:sz w:val="21"/>
          <w:szCs w:val="21"/>
          <w:lang w:val="es-MX"/>
        </w:rPr>
        <w:t>accesiones y edificaciones</w:t>
      </w:r>
      <w:r w:rsidRPr="00284C17">
        <w:rPr>
          <w:rFonts w:ascii="Abadi" w:hAnsi="Abadi" w:cs="Arial"/>
          <w:bCs/>
          <w:sz w:val="21"/>
          <w:szCs w:val="21"/>
          <w:lang w:val="es-MX" w:eastAsia="en-US"/>
        </w:rPr>
        <w:t xml:space="preserve"> que en la misma se encuentren o se construyan, si el donatario le diere un uso o destino distinto al señalado en el artículo anterior; haciendo la notificación correspondiente al Congreso del Estado que se realizó la reversión</w:t>
      </w:r>
      <w:r w:rsidRPr="00284C17">
        <w:rPr>
          <w:rFonts w:ascii="Abadi" w:hAnsi="Abadi"/>
          <w:sz w:val="21"/>
          <w:szCs w:val="21"/>
          <w:lang w:val="es-MX"/>
        </w:rPr>
        <w:t>.</w:t>
      </w:r>
    </w:p>
    <w:p w14:paraId="0945C133" w14:textId="77777777" w:rsidR="001D05E8" w:rsidRPr="00284C17" w:rsidRDefault="001D05E8" w:rsidP="001D05E8">
      <w:pPr>
        <w:spacing w:line="360" w:lineRule="auto"/>
        <w:ind w:firstLine="708"/>
        <w:jc w:val="both"/>
        <w:rPr>
          <w:rFonts w:ascii="Abadi" w:hAnsi="Abadi"/>
          <w:sz w:val="21"/>
          <w:szCs w:val="21"/>
          <w:lang w:val="es-MX"/>
        </w:rPr>
      </w:pPr>
    </w:p>
    <w:p w14:paraId="50D6B886" w14:textId="77777777" w:rsidR="00284C17" w:rsidRPr="00284C17" w:rsidRDefault="00284C17" w:rsidP="00284C17">
      <w:pPr>
        <w:spacing w:line="360" w:lineRule="auto"/>
        <w:ind w:firstLine="708"/>
        <w:jc w:val="both"/>
        <w:rPr>
          <w:rFonts w:ascii="Abadi" w:hAnsi="Abadi" w:cs="Arial"/>
          <w:bCs/>
          <w:sz w:val="21"/>
          <w:szCs w:val="21"/>
          <w:lang w:val="es-MX" w:eastAsia="en-US"/>
        </w:rPr>
      </w:pPr>
      <w:r w:rsidRPr="00284C17">
        <w:rPr>
          <w:rFonts w:ascii="Abadi" w:hAnsi="Abadi" w:cs="Arial"/>
          <w:bCs/>
          <w:sz w:val="21"/>
          <w:szCs w:val="21"/>
          <w:lang w:val="es-MX" w:eastAsia="en-US"/>
        </w:rPr>
        <w:t>En caso de ejercer la reversión de la fracción del bien inmueble, quedaría sin efecto la desafectación prevista en el artículo primero del presente Decreto.</w:t>
      </w:r>
    </w:p>
    <w:p w14:paraId="5871D8E0" w14:textId="77777777" w:rsidR="00284C17" w:rsidRPr="00284C17" w:rsidRDefault="00284C17" w:rsidP="00284C17">
      <w:pPr>
        <w:jc w:val="right"/>
        <w:rPr>
          <w:rFonts w:ascii="Abadi" w:hAnsi="Abadi"/>
          <w:sz w:val="21"/>
          <w:szCs w:val="21"/>
        </w:rPr>
      </w:pPr>
    </w:p>
    <w:p w14:paraId="2299EE4E" w14:textId="77777777" w:rsidR="00284C17" w:rsidRPr="00284C17" w:rsidRDefault="00284C17" w:rsidP="00284C17">
      <w:pPr>
        <w:jc w:val="right"/>
        <w:rPr>
          <w:rFonts w:ascii="Abadi" w:hAnsi="Abadi" w:cs="Arial"/>
          <w:b/>
          <w:i/>
          <w:sz w:val="21"/>
          <w:szCs w:val="21"/>
          <w:lang w:val="es-MX"/>
        </w:rPr>
      </w:pPr>
      <w:r w:rsidRPr="00284C17">
        <w:rPr>
          <w:rFonts w:ascii="Abadi" w:hAnsi="Abadi"/>
          <w:sz w:val="21"/>
          <w:szCs w:val="21"/>
        </w:rPr>
        <w:t xml:space="preserve"> </w:t>
      </w:r>
      <w:r w:rsidRPr="00284C17">
        <w:rPr>
          <w:rFonts w:ascii="Abadi" w:hAnsi="Abadi" w:cs="Arial"/>
          <w:b/>
          <w:i/>
          <w:sz w:val="21"/>
          <w:szCs w:val="21"/>
          <w:lang w:val="es-MX"/>
        </w:rPr>
        <w:t>Información al Congreso del Estado</w:t>
      </w:r>
    </w:p>
    <w:p w14:paraId="0657F384" w14:textId="77777777" w:rsidR="00284C17" w:rsidRPr="00284C17" w:rsidRDefault="00284C17" w:rsidP="00284C17">
      <w:pPr>
        <w:spacing w:line="360" w:lineRule="auto"/>
        <w:ind w:firstLine="708"/>
        <w:jc w:val="both"/>
        <w:rPr>
          <w:rFonts w:ascii="Abadi" w:hAnsi="Abadi" w:cs="Arial"/>
          <w:sz w:val="21"/>
          <w:szCs w:val="21"/>
          <w:lang w:val="es-MX" w:eastAsia="en-US"/>
        </w:rPr>
      </w:pPr>
      <w:r w:rsidRPr="00284C17">
        <w:rPr>
          <w:rFonts w:ascii="Abadi" w:hAnsi="Abadi" w:cs="Arial"/>
          <w:b/>
          <w:sz w:val="21"/>
          <w:szCs w:val="21"/>
          <w:lang w:val="es-MX" w:eastAsia="en-US"/>
        </w:rPr>
        <w:t xml:space="preserve">Artículo Cuarto. </w:t>
      </w:r>
      <w:r w:rsidRPr="00284C17">
        <w:rPr>
          <w:rFonts w:ascii="Abadi" w:hAnsi="Abadi" w:cs="Arial"/>
          <w:sz w:val="21"/>
          <w:szCs w:val="21"/>
          <w:lang w:val="es-MX" w:eastAsia="en-US"/>
        </w:rPr>
        <w:t xml:space="preserve">El titular del Poder Ejecutivo del Estado, por conducto de la Secretaría de Finanzas, Inversión y Administración, deberá informar al Congreso del Estado sobre la donación que se autoriza mediante el presente Decreto, en un término de treinta días hábiles siguientes a su celebración y una vez realizada la inscripción correspondiente en el Registro Público de la Propiedad, independientemente de la información que deberá integrarse a la cuenta pública del Poder Ejecutivo del Estado. </w:t>
      </w:r>
    </w:p>
    <w:p w14:paraId="7725C5DF" w14:textId="77777777" w:rsidR="00284C17" w:rsidRPr="00284C17" w:rsidRDefault="00284C17" w:rsidP="00284C17">
      <w:pPr>
        <w:jc w:val="right"/>
        <w:rPr>
          <w:rFonts w:ascii="Abadi" w:hAnsi="Abadi" w:cs="Arial"/>
          <w:b/>
          <w:i/>
          <w:sz w:val="21"/>
          <w:szCs w:val="21"/>
          <w:lang w:val="es-MX"/>
        </w:rPr>
      </w:pPr>
    </w:p>
    <w:p w14:paraId="7F2501AE" w14:textId="77777777" w:rsidR="00284C17" w:rsidRPr="00284C17" w:rsidRDefault="00284C17" w:rsidP="00284C17">
      <w:pPr>
        <w:jc w:val="right"/>
        <w:rPr>
          <w:rFonts w:ascii="Abadi" w:hAnsi="Abadi" w:cs="Arial"/>
          <w:b/>
          <w:i/>
          <w:sz w:val="21"/>
          <w:szCs w:val="21"/>
          <w:lang w:val="es-MX"/>
        </w:rPr>
      </w:pPr>
      <w:r w:rsidRPr="00284C17">
        <w:rPr>
          <w:rFonts w:ascii="Abadi" w:hAnsi="Abadi" w:cs="Arial"/>
          <w:b/>
          <w:i/>
          <w:sz w:val="21"/>
          <w:szCs w:val="21"/>
          <w:lang w:val="es-MX"/>
        </w:rPr>
        <w:t>Baja del padrón</w:t>
      </w:r>
    </w:p>
    <w:p w14:paraId="48A93C4C" w14:textId="3A75CDC6" w:rsidR="00284C17" w:rsidRPr="00284C17" w:rsidRDefault="00284C17" w:rsidP="00800312">
      <w:pPr>
        <w:spacing w:line="360" w:lineRule="auto"/>
        <w:ind w:firstLine="708"/>
        <w:jc w:val="both"/>
        <w:rPr>
          <w:rFonts w:ascii="Abadi" w:hAnsi="Abadi" w:cs="Arial"/>
          <w:sz w:val="21"/>
          <w:szCs w:val="21"/>
          <w:lang w:val="es-MX" w:eastAsia="en-US"/>
        </w:rPr>
      </w:pPr>
      <w:r w:rsidRPr="00284C17">
        <w:rPr>
          <w:rFonts w:ascii="Abadi" w:hAnsi="Abadi" w:cs="Arial"/>
          <w:b/>
          <w:bCs/>
          <w:sz w:val="21"/>
          <w:szCs w:val="21"/>
          <w:lang w:val="es-MX" w:eastAsia="en-US"/>
        </w:rPr>
        <w:t xml:space="preserve">Artículo Quinto. </w:t>
      </w:r>
      <w:r w:rsidRPr="00284C17">
        <w:rPr>
          <w:rFonts w:ascii="Abadi" w:hAnsi="Abadi" w:cs="Arial"/>
          <w:sz w:val="21"/>
          <w:szCs w:val="21"/>
          <w:lang w:val="es-MX" w:eastAsia="en-US"/>
        </w:rPr>
        <w:t xml:space="preserve">Una vez realizada la donación procédase a dar de baja la fracción del bien inmueble materia de la misma, del Padrón de la Propiedad Inmobiliaria Estatal y de alta en el padrón inmobiliario del municipio de Cortazar, Gto. </w:t>
      </w:r>
    </w:p>
    <w:p w14:paraId="1F7AFC43" w14:textId="77777777" w:rsidR="00284C17" w:rsidRPr="00284C17" w:rsidRDefault="00284C17" w:rsidP="00284C17">
      <w:pPr>
        <w:rPr>
          <w:rFonts w:ascii="Abadi" w:hAnsi="Abadi"/>
          <w:sz w:val="21"/>
          <w:szCs w:val="21"/>
          <w:lang w:val="en-US"/>
        </w:rPr>
      </w:pPr>
    </w:p>
    <w:p w14:paraId="4C2C6936" w14:textId="77777777" w:rsidR="00284C17" w:rsidRPr="00284C17" w:rsidRDefault="00284C17" w:rsidP="00284C17">
      <w:pPr>
        <w:keepNext/>
        <w:spacing w:line="360" w:lineRule="auto"/>
        <w:jc w:val="center"/>
        <w:outlineLvl w:val="1"/>
        <w:rPr>
          <w:rFonts w:ascii="Abadi" w:hAnsi="Abadi"/>
          <w:b/>
          <w:sz w:val="21"/>
          <w:szCs w:val="21"/>
          <w:lang w:val="en-US"/>
        </w:rPr>
      </w:pPr>
      <w:r w:rsidRPr="00284C17">
        <w:rPr>
          <w:rFonts w:ascii="Abadi" w:hAnsi="Abadi"/>
          <w:b/>
          <w:sz w:val="21"/>
          <w:szCs w:val="21"/>
          <w:lang w:val="en-US"/>
        </w:rPr>
        <w:t xml:space="preserve">T r a n s i t o r i o </w:t>
      </w:r>
    </w:p>
    <w:p w14:paraId="5ECD1269" w14:textId="77777777" w:rsidR="00284C17" w:rsidRPr="00284C17" w:rsidRDefault="00284C17" w:rsidP="00284C17">
      <w:pPr>
        <w:jc w:val="right"/>
        <w:rPr>
          <w:rFonts w:ascii="Abadi" w:hAnsi="Abadi" w:cs="Arial"/>
          <w:i/>
          <w:sz w:val="21"/>
          <w:szCs w:val="21"/>
          <w:lang w:val="es-MX"/>
        </w:rPr>
      </w:pPr>
      <w:r w:rsidRPr="00284C17">
        <w:rPr>
          <w:rFonts w:ascii="Abadi" w:hAnsi="Abadi" w:cs="Arial"/>
          <w:b/>
          <w:i/>
          <w:sz w:val="21"/>
          <w:szCs w:val="21"/>
          <w:lang w:val="es-MX"/>
        </w:rPr>
        <w:t>Inicio de vigencia</w:t>
      </w:r>
    </w:p>
    <w:p w14:paraId="7C481F28" w14:textId="77777777" w:rsidR="00284C17" w:rsidRPr="00284C17" w:rsidRDefault="00284C17" w:rsidP="00284C17">
      <w:pPr>
        <w:spacing w:line="360" w:lineRule="auto"/>
        <w:jc w:val="both"/>
        <w:rPr>
          <w:rFonts w:ascii="Abadi" w:hAnsi="Abadi"/>
          <w:sz w:val="21"/>
          <w:szCs w:val="21"/>
          <w:lang w:val="es-MX"/>
        </w:rPr>
      </w:pPr>
      <w:r w:rsidRPr="00284C17">
        <w:rPr>
          <w:rFonts w:ascii="Abadi" w:hAnsi="Abadi" w:cs="Arial"/>
          <w:sz w:val="21"/>
          <w:szCs w:val="21"/>
          <w:lang w:val="es-MX"/>
        </w:rPr>
        <w:tab/>
      </w:r>
      <w:r w:rsidRPr="00284C17">
        <w:rPr>
          <w:rFonts w:ascii="Abadi" w:hAnsi="Abadi" w:cs="Arial"/>
          <w:b/>
          <w:sz w:val="21"/>
          <w:szCs w:val="21"/>
          <w:lang w:val="es-MX"/>
        </w:rPr>
        <w:t xml:space="preserve">Artículo Único. </w:t>
      </w:r>
      <w:r w:rsidRPr="00284C17">
        <w:rPr>
          <w:rFonts w:ascii="Abadi" w:hAnsi="Abadi"/>
          <w:sz w:val="21"/>
          <w:szCs w:val="21"/>
          <w:lang w:val="es-MX"/>
        </w:rPr>
        <w:t>El presente Decreto entrará en vigencia el día siguiente al de su publicación en el Periódico Oficial del Gobierno del Estado de Guanajuato.</w:t>
      </w:r>
    </w:p>
    <w:p w14:paraId="75E039A3" w14:textId="77777777" w:rsidR="00284C17" w:rsidRPr="00284C17" w:rsidRDefault="00284C17" w:rsidP="00800312">
      <w:pPr>
        <w:spacing w:line="360" w:lineRule="auto"/>
        <w:jc w:val="center"/>
        <w:rPr>
          <w:rFonts w:ascii="Abadi" w:hAnsi="Abadi"/>
          <w:sz w:val="21"/>
          <w:szCs w:val="21"/>
          <w:lang w:val="es-MX"/>
        </w:rPr>
      </w:pPr>
    </w:p>
    <w:p w14:paraId="36102903" w14:textId="77777777" w:rsidR="00284C17" w:rsidRPr="00284C17" w:rsidRDefault="00284C17" w:rsidP="00800312">
      <w:pPr>
        <w:jc w:val="center"/>
        <w:rPr>
          <w:rFonts w:ascii="Abadi" w:hAnsi="Abadi" w:cs="Arial"/>
          <w:b/>
          <w:bCs/>
          <w:sz w:val="21"/>
          <w:szCs w:val="21"/>
          <w:lang w:val="es-MX" w:eastAsia="x-none"/>
        </w:rPr>
      </w:pPr>
      <w:r w:rsidRPr="00284C17">
        <w:rPr>
          <w:rFonts w:ascii="Abadi" w:hAnsi="Abadi" w:cs="Arial"/>
          <w:b/>
          <w:bCs/>
          <w:sz w:val="21"/>
          <w:szCs w:val="21"/>
          <w:lang w:val="es-MX" w:eastAsia="x-none"/>
        </w:rPr>
        <w:t>Guanajuato, Gto., 20 de junio de 2022</w:t>
      </w:r>
    </w:p>
    <w:p w14:paraId="2502293D" w14:textId="77777777" w:rsidR="00284C17" w:rsidRPr="00284C17" w:rsidRDefault="00284C17" w:rsidP="00800312">
      <w:pPr>
        <w:jc w:val="center"/>
        <w:rPr>
          <w:rFonts w:ascii="Abadi" w:hAnsi="Abadi" w:cs="Arial"/>
          <w:b/>
          <w:bCs/>
          <w:sz w:val="21"/>
          <w:szCs w:val="21"/>
          <w:lang w:val="es-MX" w:eastAsia="x-none"/>
        </w:rPr>
      </w:pPr>
      <w:smartTag w:uri="urn:schemas-microsoft-com:office:smarttags" w:element="PersonName">
        <w:smartTagPr>
          <w:attr w:name="ProductID" w:val="La Comisi￳n"/>
        </w:smartTagPr>
        <w:r w:rsidRPr="00284C17">
          <w:rPr>
            <w:rFonts w:ascii="Abadi" w:hAnsi="Abadi" w:cs="Arial"/>
            <w:b/>
            <w:bCs/>
            <w:sz w:val="21"/>
            <w:szCs w:val="21"/>
            <w:lang w:val="es-MX" w:eastAsia="x-none"/>
          </w:rPr>
          <w:t>La Comisión</w:t>
        </w:r>
      </w:smartTag>
      <w:r w:rsidRPr="00284C17">
        <w:rPr>
          <w:rFonts w:ascii="Abadi" w:hAnsi="Abadi" w:cs="Arial"/>
          <w:b/>
          <w:bCs/>
          <w:sz w:val="21"/>
          <w:szCs w:val="21"/>
          <w:lang w:val="es-MX" w:eastAsia="x-none"/>
        </w:rPr>
        <w:t xml:space="preserve"> de Hacienda y Fiscalización</w:t>
      </w:r>
    </w:p>
    <w:p w14:paraId="5EF4D822" w14:textId="77777777" w:rsidR="00284C17" w:rsidRPr="00284C17" w:rsidRDefault="00284C17" w:rsidP="00800312">
      <w:pPr>
        <w:jc w:val="center"/>
        <w:rPr>
          <w:rFonts w:ascii="Abadi" w:hAnsi="Abadi"/>
          <w:i/>
          <w:iCs/>
          <w:sz w:val="21"/>
          <w:szCs w:val="21"/>
        </w:rPr>
      </w:pPr>
      <w:r w:rsidRPr="00284C17">
        <w:rPr>
          <w:rFonts w:ascii="Abadi" w:hAnsi="Abadi"/>
          <w:i/>
          <w:iCs/>
          <w:sz w:val="21"/>
          <w:szCs w:val="21"/>
        </w:rPr>
        <w:t>Firma electrónica</w:t>
      </w:r>
    </w:p>
    <w:p w14:paraId="72147B6C" w14:textId="77777777" w:rsidR="00284C17" w:rsidRPr="00284C17" w:rsidRDefault="00284C17" w:rsidP="00800312">
      <w:pPr>
        <w:jc w:val="center"/>
        <w:rPr>
          <w:rFonts w:ascii="Abadi" w:hAnsi="Abadi"/>
          <w:sz w:val="21"/>
          <w:szCs w:val="21"/>
        </w:rPr>
      </w:pPr>
    </w:p>
    <w:p w14:paraId="16CFCDBB" w14:textId="77777777" w:rsidR="00284C17" w:rsidRPr="00284C17" w:rsidRDefault="00284C17" w:rsidP="00800312">
      <w:pPr>
        <w:jc w:val="center"/>
        <w:rPr>
          <w:rFonts w:ascii="Abadi" w:hAnsi="Abadi"/>
          <w:sz w:val="21"/>
          <w:szCs w:val="21"/>
        </w:rPr>
      </w:pPr>
    </w:p>
    <w:p w14:paraId="3D143D33" w14:textId="77777777" w:rsidR="00284C17" w:rsidRPr="00284C17" w:rsidRDefault="00284C17" w:rsidP="00800312">
      <w:pPr>
        <w:jc w:val="center"/>
        <w:rPr>
          <w:rFonts w:ascii="Abadi" w:hAnsi="Abadi" w:cs="Arial"/>
          <w:b/>
          <w:sz w:val="21"/>
          <w:szCs w:val="21"/>
        </w:rPr>
      </w:pPr>
      <w:r w:rsidRPr="00284C17">
        <w:rPr>
          <w:rFonts w:ascii="Abadi" w:hAnsi="Abadi" w:cs="Arial"/>
          <w:b/>
          <w:sz w:val="21"/>
          <w:szCs w:val="21"/>
        </w:rPr>
        <w:t>Diputado Víctor Manuel Zanella Huerta</w:t>
      </w:r>
    </w:p>
    <w:p w14:paraId="3232DA8F" w14:textId="77777777" w:rsidR="00284C17" w:rsidRPr="00284C17" w:rsidRDefault="00284C17" w:rsidP="00800312">
      <w:pPr>
        <w:jc w:val="center"/>
        <w:rPr>
          <w:rFonts w:ascii="Abadi" w:hAnsi="Abadi" w:cs="Arial"/>
          <w:sz w:val="21"/>
          <w:szCs w:val="21"/>
        </w:rPr>
      </w:pPr>
    </w:p>
    <w:p w14:paraId="71C4146D" w14:textId="539162CC" w:rsidR="00800312" w:rsidRDefault="00284C17" w:rsidP="00800312">
      <w:pPr>
        <w:ind w:right="-234"/>
        <w:jc w:val="center"/>
        <w:rPr>
          <w:rFonts w:ascii="Abadi" w:hAnsi="Abadi" w:cs="Calibri"/>
          <w:b/>
          <w:bCs/>
          <w:sz w:val="21"/>
          <w:szCs w:val="21"/>
        </w:rPr>
      </w:pPr>
      <w:r w:rsidRPr="00284C17">
        <w:rPr>
          <w:rFonts w:ascii="Abadi" w:hAnsi="Abadi" w:cs="Calibri"/>
          <w:b/>
          <w:bCs/>
          <w:sz w:val="21"/>
          <w:szCs w:val="21"/>
        </w:rPr>
        <w:t>Diputada Ruth Noemí Tiscareño Agoitia</w:t>
      </w:r>
    </w:p>
    <w:p w14:paraId="4D354CBE" w14:textId="77777777" w:rsidR="00800312" w:rsidRDefault="00800312" w:rsidP="00800312">
      <w:pPr>
        <w:ind w:right="-234"/>
        <w:jc w:val="center"/>
        <w:rPr>
          <w:rFonts w:ascii="Abadi" w:hAnsi="Abadi" w:cs="Calibri"/>
          <w:b/>
          <w:bCs/>
          <w:sz w:val="21"/>
          <w:szCs w:val="21"/>
        </w:rPr>
      </w:pPr>
    </w:p>
    <w:p w14:paraId="04CF4E69" w14:textId="0A507F6E" w:rsidR="00284C17" w:rsidRPr="00284C17" w:rsidRDefault="00284C17" w:rsidP="00800312">
      <w:pPr>
        <w:ind w:right="-234"/>
        <w:jc w:val="center"/>
        <w:rPr>
          <w:rFonts w:ascii="Abadi" w:hAnsi="Abadi" w:cs="Calibri"/>
          <w:b/>
          <w:bCs/>
          <w:sz w:val="21"/>
          <w:szCs w:val="21"/>
        </w:rPr>
      </w:pPr>
      <w:r w:rsidRPr="00284C17">
        <w:rPr>
          <w:rFonts w:ascii="Abadi" w:hAnsi="Abadi" w:cs="Calibri"/>
          <w:b/>
          <w:bCs/>
          <w:sz w:val="21"/>
          <w:szCs w:val="21"/>
        </w:rPr>
        <w:t>Diputado Miguel Ángel Salim Alle</w:t>
      </w:r>
    </w:p>
    <w:p w14:paraId="1FFFB3CA" w14:textId="77777777" w:rsidR="00284C17" w:rsidRPr="00284C17" w:rsidRDefault="00284C17" w:rsidP="00800312">
      <w:pPr>
        <w:jc w:val="center"/>
        <w:rPr>
          <w:rFonts w:ascii="Abadi" w:hAnsi="Abadi" w:cs="Calibri"/>
          <w:b/>
          <w:bCs/>
          <w:sz w:val="21"/>
          <w:szCs w:val="21"/>
        </w:rPr>
      </w:pPr>
    </w:p>
    <w:p w14:paraId="2A616A06" w14:textId="0B88213A" w:rsidR="00800312" w:rsidRDefault="00284C17" w:rsidP="00800312">
      <w:pPr>
        <w:ind w:right="-234"/>
        <w:jc w:val="center"/>
        <w:rPr>
          <w:rFonts w:ascii="Abadi" w:hAnsi="Abadi" w:cs="Calibri"/>
          <w:b/>
          <w:bCs/>
          <w:sz w:val="21"/>
          <w:szCs w:val="21"/>
        </w:rPr>
      </w:pPr>
      <w:r w:rsidRPr="00284C17">
        <w:rPr>
          <w:rFonts w:ascii="Abadi" w:hAnsi="Abadi" w:cs="Calibri"/>
          <w:b/>
          <w:bCs/>
          <w:sz w:val="21"/>
          <w:szCs w:val="21"/>
        </w:rPr>
        <w:t>Diputado José Alfonso Borja Pimentel</w:t>
      </w:r>
    </w:p>
    <w:p w14:paraId="3D98D609" w14:textId="77777777" w:rsidR="00800312" w:rsidRDefault="00800312" w:rsidP="00800312">
      <w:pPr>
        <w:ind w:right="-234"/>
        <w:jc w:val="center"/>
        <w:rPr>
          <w:rFonts w:ascii="Abadi" w:hAnsi="Abadi" w:cs="Calibri"/>
          <w:b/>
          <w:bCs/>
          <w:sz w:val="21"/>
          <w:szCs w:val="21"/>
        </w:rPr>
      </w:pPr>
    </w:p>
    <w:p w14:paraId="2FA11537" w14:textId="762D295D" w:rsidR="00284C17" w:rsidRPr="00284C17" w:rsidRDefault="00284C17" w:rsidP="00800312">
      <w:pPr>
        <w:ind w:right="-234"/>
        <w:jc w:val="center"/>
        <w:rPr>
          <w:rFonts w:ascii="Abadi" w:hAnsi="Abadi" w:cs="Calibri"/>
          <w:b/>
          <w:bCs/>
          <w:sz w:val="21"/>
          <w:szCs w:val="21"/>
        </w:rPr>
      </w:pPr>
      <w:r w:rsidRPr="00284C17">
        <w:rPr>
          <w:rFonts w:ascii="Abadi" w:hAnsi="Abadi" w:cs="Calibri"/>
          <w:b/>
          <w:bCs/>
          <w:sz w:val="21"/>
          <w:szCs w:val="21"/>
        </w:rPr>
        <w:t>Diputada Alma Edwviges Alcaraz Hernández</w:t>
      </w:r>
    </w:p>
    <w:p w14:paraId="51B7A7BC" w14:textId="77777777" w:rsidR="00284C17" w:rsidRPr="00284C17" w:rsidRDefault="00284C17" w:rsidP="00284C17">
      <w:pPr>
        <w:jc w:val="center"/>
        <w:rPr>
          <w:rFonts w:ascii="Abadi" w:hAnsi="Abadi" w:cs="Arial"/>
          <w:b/>
          <w:bCs/>
          <w:sz w:val="21"/>
          <w:szCs w:val="21"/>
          <w:lang w:val="es-MX"/>
        </w:rPr>
      </w:pPr>
    </w:p>
    <w:p w14:paraId="3EC4F993" w14:textId="25A758DE" w:rsidR="00507315" w:rsidRDefault="00507315" w:rsidP="000C178C">
      <w:pPr>
        <w:kinsoku w:val="0"/>
        <w:overflowPunct w:val="0"/>
        <w:autoSpaceDE w:val="0"/>
        <w:autoSpaceDN w:val="0"/>
        <w:adjustRightInd w:val="0"/>
        <w:spacing w:before="4"/>
        <w:ind w:right="17"/>
        <w:jc w:val="both"/>
        <w:rPr>
          <w:rFonts w:ascii="Abadi" w:hAnsi="Abadi" w:cs="Arial"/>
          <w:sz w:val="20"/>
          <w:szCs w:val="20"/>
        </w:rPr>
      </w:pPr>
    </w:p>
    <w:p w14:paraId="2008F5AC" w14:textId="77777777" w:rsidR="00507315" w:rsidRPr="00507315" w:rsidRDefault="00507315" w:rsidP="000C178C">
      <w:pPr>
        <w:kinsoku w:val="0"/>
        <w:overflowPunct w:val="0"/>
        <w:autoSpaceDE w:val="0"/>
        <w:autoSpaceDN w:val="0"/>
        <w:adjustRightInd w:val="0"/>
        <w:spacing w:before="4"/>
        <w:ind w:right="17"/>
        <w:jc w:val="both"/>
        <w:rPr>
          <w:rFonts w:ascii="Abadi" w:hAnsi="Abadi" w:cs="Arial"/>
          <w:sz w:val="20"/>
          <w:szCs w:val="20"/>
        </w:rPr>
      </w:pPr>
    </w:p>
    <w:p w14:paraId="00A7D2B9" w14:textId="75B85A9C" w:rsidR="00114D26" w:rsidRDefault="00114D26"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1"/>
          <w:sz w:val="20"/>
          <w:szCs w:val="20"/>
        </w:rPr>
        <w:t xml:space="preserve"> </w:t>
      </w:r>
      <w:r w:rsidRPr="00531B12">
        <w:rPr>
          <w:rFonts w:ascii="Abadi" w:hAnsi="Abadi"/>
          <w:b/>
          <w:bCs/>
          <w:sz w:val="20"/>
          <w:szCs w:val="20"/>
        </w:rPr>
        <w:t>Y,</w:t>
      </w:r>
      <w:r w:rsidRPr="00531B12">
        <w:rPr>
          <w:rFonts w:ascii="Abadi" w:hAnsi="Abadi"/>
          <w:b/>
          <w:bCs/>
          <w:spacing w:val="11"/>
          <w:sz w:val="20"/>
          <w:szCs w:val="20"/>
        </w:rPr>
        <w:t xml:space="preserve"> </w:t>
      </w:r>
      <w:r w:rsidRPr="00531B12">
        <w:rPr>
          <w:rFonts w:ascii="Abadi" w:hAnsi="Abadi"/>
          <w:b/>
          <w:bCs/>
          <w:sz w:val="20"/>
          <w:szCs w:val="20"/>
        </w:rPr>
        <w:t>EN</w:t>
      </w:r>
      <w:r w:rsidRPr="00531B12">
        <w:rPr>
          <w:rFonts w:ascii="Abadi" w:hAnsi="Abadi"/>
          <w:b/>
          <w:bCs/>
          <w:spacing w:val="11"/>
          <w:sz w:val="20"/>
          <w:szCs w:val="20"/>
        </w:rPr>
        <w:t xml:space="preserve"> </w:t>
      </w:r>
      <w:r w:rsidRPr="00531B12">
        <w:rPr>
          <w:rFonts w:ascii="Abadi" w:hAnsi="Abadi"/>
          <w:b/>
          <w:bCs/>
          <w:sz w:val="20"/>
          <w:szCs w:val="20"/>
        </w:rPr>
        <w:t>SU</w:t>
      </w:r>
      <w:r w:rsidRPr="00531B12">
        <w:rPr>
          <w:rFonts w:ascii="Abadi" w:hAnsi="Abadi"/>
          <w:b/>
          <w:bCs/>
          <w:spacing w:val="11"/>
          <w:sz w:val="20"/>
          <w:szCs w:val="20"/>
        </w:rPr>
        <w:t xml:space="preserve"> </w:t>
      </w:r>
      <w:r w:rsidRPr="00531B12">
        <w:rPr>
          <w:rFonts w:ascii="Abadi" w:hAnsi="Abadi"/>
          <w:b/>
          <w:bCs/>
          <w:sz w:val="20"/>
          <w:szCs w:val="20"/>
        </w:rPr>
        <w:t>CASO,</w:t>
      </w:r>
      <w:r w:rsidRPr="00531B12">
        <w:rPr>
          <w:rFonts w:ascii="Abadi" w:hAnsi="Abadi"/>
          <w:b/>
          <w:bCs/>
          <w:spacing w:val="10"/>
          <w:sz w:val="20"/>
          <w:szCs w:val="20"/>
        </w:rPr>
        <w:t xml:space="preserve"> </w:t>
      </w:r>
      <w:r w:rsidRPr="00531B12">
        <w:rPr>
          <w:rFonts w:ascii="Abadi" w:hAnsi="Abadi"/>
          <w:b/>
          <w:bCs/>
          <w:sz w:val="20"/>
          <w:szCs w:val="20"/>
        </w:rPr>
        <w:t>APROBACIÓN</w:t>
      </w:r>
      <w:r w:rsidRPr="00531B12">
        <w:rPr>
          <w:rFonts w:ascii="Abadi" w:hAnsi="Abadi"/>
          <w:b/>
          <w:bCs/>
          <w:spacing w:val="11"/>
          <w:sz w:val="20"/>
          <w:szCs w:val="20"/>
        </w:rPr>
        <w:t xml:space="preserve"> </w:t>
      </w:r>
      <w:r w:rsidRPr="00531B12">
        <w:rPr>
          <w:rFonts w:ascii="Abadi" w:hAnsi="Abadi"/>
          <w:b/>
          <w:bCs/>
          <w:sz w:val="20"/>
          <w:szCs w:val="20"/>
        </w:rPr>
        <w:t>DEL</w:t>
      </w:r>
      <w:r w:rsidRPr="00531B12">
        <w:rPr>
          <w:rFonts w:ascii="Abadi" w:hAnsi="Abadi"/>
          <w:b/>
          <w:bCs/>
          <w:spacing w:val="11"/>
          <w:sz w:val="20"/>
          <w:szCs w:val="20"/>
        </w:rPr>
        <w:t xml:space="preserve"> </w:t>
      </w:r>
      <w:r w:rsidRPr="00531B12">
        <w:rPr>
          <w:rFonts w:ascii="Abadi" w:hAnsi="Abadi"/>
          <w:b/>
          <w:bCs/>
          <w:sz w:val="20"/>
          <w:szCs w:val="20"/>
        </w:rPr>
        <w:t>DICTAMEN</w:t>
      </w:r>
      <w:r w:rsidRPr="00531B12">
        <w:rPr>
          <w:rFonts w:ascii="Abadi" w:hAnsi="Abadi"/>
          <w:b/>
          <w:bCs/>
          <w:spacing w:val="11"/>
          <w:sz w:val="20"/>
          <w:szCs w:val="20"/>
        </w:rPr>
        <w:t xml:space="preserve"> </w:t>
      </w:r>
      <w:r w:rsidRPr="00531B12">
        <w:rPr>
          <w:rFonts w:ascii="Abadi" w:hAnsi="Abadi"/>
          <w:b/>
          <w:bCs/>
          <w:sz w:val="20"/>
          <w:szCs w:val="20"/>
        </w:rPr>
        <w:t>SUSCRITO</w:t>
      </w:r>
      <w:r w:rsidRPr="00531B12">
        <w:rPr>
          <w:rFonts w:ascii="Abadi" w:hAnsi="Abadi"/>
          <w:b/>
          <w:bCs/>
          <w:spacing w:val="11"/>
          <w:sz w:val="20"/>
          <w:szCs w:val="20"/>
        </w:rPr>
        <w:t xml:space="preserve"> </w:t>
      </w:r>
      <w:r w:rsidRPr="00531B12">
        <w:rPr>
          <w:rFonts w:ascii="Abadi" w:hAnsi="Abadi"/>
          <w:b/>
          <w:bCs/>
          <w:sz w:val="20"/>
          <w:szCs w:val="20"/>
        </w:rPr>
        <w:t>POR</w:t>
      </w:r>
      <w:r w:rsidRPr="00531B12">
        <w:rPr>
          <w:rFonts w:ascii="Abadi" w:hAnsi="Abadi"/>
          <w:b/>
          <w:bCs/>
          <w:spacing w:val="11"/>
          <w:sz w:val="20"/>
          <w:szCs w:val="20"/>
        </w:rPr>
        <w:t xml:space="preserve"> </w:t>
      </w:r>
      <w:r w:rsidRPr="00531B12">
        <w:rPr>
          <w:rFonts w:ascii="Abadi" w:hAnsi="Abadi"/>
          <w:b/>
          <w:bCs/>
          <w:sz w:val="20"/>
          <w:szCs w:val="20"/>
        </w:rPr>
        <w:t>LA</w:t>
      </w:r>
      <w:r w:rsidRPr="00531B12">
        <w:rPr>
          <w:rFonts w:ascii="Abadi" w:hAnsi="Abadi"/>
          <w:b/>
          <w:bCs/>
          <w:spacing w:val="11"/>
          <w:sz w:val="20"/>
          <w:szCs w:val="20"/>
        </w:rPr>
        <w:t xml:space="preserve"> </w:t>
      </w:r>
      <w:r w:rsidRPr="00531B12">
        <w:rPr>
          <w:rFonts w:ascii="Abadi" w:hAnsi="Abadi"/>
          <w:b/>
          <w:bCs/>
          <w:sz w:val="20"/>
          <w:szCs w:val="20"/>
        </w:rPr>
        <w:t>COMISIÓN</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67"/>
          <w:w w:val="150"/>
          <w:sz w:val="20"/>
          <w:szCs w:val="20"/>
        </w:rPr>
        <w:t xml:space="preserve"> </w:t>
      </w:r>
      <w:r w:rsidRPr="00531B12">
        <w:rPr>
          <w:rFonts w:ascii="Abadi" w:hAnsi="Abadi"/>
          <w:b/>
          <w:bCs/>
          <w:sz w:val="20"/>
          <w:szCs w:val="20"/>
        </w:rPr>
        <w:t>HACIENDA</w:t>
      </w:r>
      <w:r w:rsidRPr="00531B12">
        <w:rPr>
          <w:rFonts w:ascii="Abadi" w:hAnsi="Abadi"/>
          <w:b/>
          <w:bCs/>
          <w:spacing w:val="67"/>
          <w:w w:val="150"/>
          <w:sz w:val="20"/>
          <w:szCs w:val="20"/>
        </w:rPr>
        <w:t xml:space="preserve"> </w:t>
      </w:r>
      <w:r w:rsidRPr="00531B12">
        <w:rPr>
          <w:rFonts w:ascii="Abadi" w:hAnsi="Abadi"/>
          <w:b/>
          <w:bCs/>
          <w:sz w:val="20"/>
          <w:szCs w:val="20"/>
        </w:rPr>
        <w:t>Y</w:t>
      </w:r>
      <w:r w:rsidRPr="00531B12">
        <w:rPr>
          <w:rFonts w:ascii="Abadi" w:hAnsi="Abadi"/>
          <w:b/>
          <w:bCs/>
          <w:spacing w:val="67"/>
          <w:w w:val="150"/>
          <w:sz w:val="20"/>
          <w:szCs w:val="20"/>
        </w:rPr>
        <w:t xml:space="preserve"> </w:t>
      </w:r>
      <w:r w:rsidRPr="00531B12">
        <w:rPr>
          <w:rFonts w:ascii="Abadi" w:hAnsi="Abadi"/>
          <w:b/>
          <w:bCs/>
          <w:sz w:val="20"/>
          <w:szCs w:val="20"/>
        </w:rPr>
        <w:t>FISCALIZACIÓN</w:t>
      </w:r>
      <w:r w:rsidRPr="00531B12">
        <w:rPr>
          <w:rFonts w:ascii="Abadi" w:hAnsi="Abadi"/>
          <w:b/>
          <w:bCs/>
          <w:spacing w:val="67"/>
          <w:w w:val="150"/>
          <w:sz w:val="20"/>
          <w:szCs w:val="20"/>
        </w:rPr>
        <w:t xml:space="preserve"> </w:t>
      </w:r>
      <w:r w:rsidRPr="00531B12">
        <w:rPr>
          <w:rFonts w:ascii="Abadi" w:hAnsi="Abadi"/>
          <w:b/>
          <w:bCs/>
          <w:sz w:val="20"/>
          <w:szCs w:val="20"/>
        </w:rPr>
        <w:t>RELATIVO</w:t>
      </w:r>
      <w:r w:rsidRPr="00531B12">
        <w:rPr>
          <w:rFonts w:ascii="Abadi" w:hAnsi="Abadi"/>
          <w:b/>
          <w:bCs/>
          <w:spacing w:val="67"/>
          <w:w w:val="150"/>
          <w:sz w:val="20"/>
          <w:szCs w:val="20"/>
        </w:rPr>
        <w:t xml:space="preserve"> </w:t>
      </w:r>
      <w:r w:rsidRPr="00531B12">
        <w:rPr>
          <w:rFonts w:ascii="Abadi" w:hAnsi="Abadi"/>
          <w:b/>
          <w:bCs/>
          <w:sz w:val="20"/>
          <w:szCs w:val="20"/>
        </w:rPr>
        <w:t>A</w:t>
      </w:r>
      <w:r w:rsidRPr="00531B12">
        <w:rPr>
          <w:rFonts w:ascii="Abadi" w:hAnsi="Abadi"/>
          <w:b/>
          <w:bCs/>
          <w:spacing w:val="67"/>
          <w:w w:val="150"/>
          <w:sz w:val="20"/>
          <w:szCs w:val="20"/>
        </w:rPr>
        <w:t xml:space="preserve"> </w:t>
      </w:r>
      <w:r w:rsidRPr="00531B12">
        <w:rPr>
          <w:rFonts w:ascii="Abadi" w:hAnsi="Abadi"/>
          <w:b/>
          <w:bCs/>
          <w:sz w:val="20"/>
          <w:szCs w:val="20"/>
        </w:rPr>
        <w:t>LA</w:t>
      </w:r>
      <w:r w:rsidRPr="00531B12">
        <w:rPr>
          <w:rFonts w:ascii="Abadi" w:hAnsi="Abadi"/>
          <w:b/>
          <w:bCs/>
          <w:spacing w:val="67"/>
          <w:w w:val="150"/>
          <w:sz w:val="20"/>
          <w:szCs w:val="20"/>
        </w:rPr>
        <w:t xml:space="preserve"> </w:t>
      </w:r>
      <w:r w:rsidRPr="00531B12">
        <w:rPr>
          <w:rFonts w:ascii="Abadi" w:hAnsi="Abadi"/>
          <w:b/>
          <w:bCs/>
          <w:sz w:val="20"/>
          <w:szCs w:val="20"/>
        </w:rPr>
        <w:t>INICIATIVA</w:t>
      </w:r>
      <w:r w:rsidRPr="00531B12">
        <w:rPr>
          <w:rFonts w:ascii="Abadi" w:hAnsi="Abadi"/>
          <w:b/>
          <w:bCs/>
          <w:spacing w:val="67"/>
          <w:w w:val="150"/>
          <w:sz w:val="20"/>
          <w:szCs w:val="20"/>
        </w:rPr>
        <w:t xml:space="preserve"> </w:t>
      </w:r>
      <w:r w:rsidRPr="00531B12">
        <w:rPr>
          <w:rFonts w:ascii="Abadi" w:hAnsi="Abadi"/>
          <w:b/>
          <w:bCs/>
          <w:sz w:val="20"/>
          <w:szCs w:val="20"/>
        </w:rPr>
        <w:t>FORMULADA</w:t>
      </w:r>
      <w:r w:rsidRPr="00531B12">
        <w:rPr>
          <w:rFonts w:ascii="Abadi" w:hAnsi="Abadi"/>
          <w:b/>
          <w:bCs/>
          <w:spacing w:val="67"/>
          <w:w w:val="150"/>
          <w:sz w:val="20"/>
          <w:szCs w:val="20"/>
        </w:rPr>
        <w:t xml:space="preserve"> </w:t>
      </w:r>
      <w:r w:rsidRPr="00531B12">
        <w:rPr>
          <w:rFonts w:ascii="Abadi" w:hAnsi="Abadi"/>
          <w:b/>
          <w:bCs/>
          <w:sz w:val="20"/>
          <w:szCs w:val="20"/>
        </w:rPr>
        <w:t>POR</w:t>
      </w:r>
      <w:r w:rsidRPr="00531B12">
        <w:rPr>
          <w:rFonts w:ascii="Abadi" w:hAnsi="Abadi"/>
          <w:b/>
          <w:bCs/>
          <w:spacing w:val="67"/>
          <w:w w:val="150"/>
          <w:sz w:val="20"/>
          <w:szCs w:val="20"/>
        </w:rPr>
        <w:t xml:space="preserve"> </w:t>
      </w:r>
      <w:r w:rsidRPr="00531B12">
        <w:rPr>
          <w:rFonts w:ascii="Abadi" w:hAnsi="Abadi"/>
          <w:b/>
          <w:bCs/>
          <w:sz w:val="20"/>
          <w:szCs w:val="20"/>
        </w:rPr>
        <w:t>EL</w:t>
      </w:r>
      <w:r w:rsidRPr="00531B12">
        <w:rPr>
          <w:rFonts w:ascii="Abadi" w:hAnsi="Abadi"/>
          <w:b/>
          <w:bCs/>
          <w:spacing w:val="-1"/>
          <w:sz w:val="20"/>
          <w:szCs w:val="20"/>
        </w:rPr>
        <w:t xml:space="preserve"> </w:t>
      </w:r>
      <w:r w:rsidRPr="00531B12">
        <w:rPr>
          <w:rFonts w:ascii="Abadi" w:hAnsi="Abadi"/>
          <w:b/>
          <w:bCs/>
          <w:sz w:val="20"/>
          <w:szCs w:val="20"/>
        </w:rPr>
        <w:t>GOBERNADOR DEL ESTADO</w:t>
      </w:r>
      <w:r w:rsidRPr="00531B12">
        <w:rPr>
          <w:rFonts w:ascii="Abadi" w:hAnsi="Abadi"/>
          <w:b/>
          <w:bCs/>
          <w:spacing w:val="5"/>
          <w:sz w:val="20"/>
          <w:szCs w:val="20"/>
        </w:rPr>
        <w:t xml:space="preserve"> </w:t>
      </w:r>
      <w:r w:rsidRPr="00531B12">
        <w:rPr>
          <w:rFonts w:ascii="Abadi" w:hAnsi="Abadi"/>
          <w:b/>
          <w:bCs/>
          <w:sz w:val="20"/>
          <w:szCs w:val="20"/>
        </w:rPr>
        <w:t>A</w:t>
      </w:r>
      <w:r w:rsidRPr="00531B12">
        <w:rPr>
          <w:rFonts w:ascii="Abadi" w:hAnsi="Abadi"/>
          <w:b/>
          <w:bCs/>
          <w:spacing w:val="5"/>
          <w:sz w:val="20"/>
          <w:szCs w:val="20"/>
        </w:rPr>
        <w:t xml:space="preserve"> </w:t>
      </w:r>
      <w:r w:rsidRPr="00531B12">
        <w:rPr>
          <w:rFonts w:ascii="Abadi" w:hAnsi="Abadi"/>
          <w:b/>
          <w:bCs/>
          <w:sz w:val="20"/>
          <w:szCs w:val="20"/>
        </w:rPr>
        <w:t>EFECTO DE</w:t>
      </w:r>
      <w:r w:rsidRPr="00531B12">
        <w:rPr>
          <w:rFonts w:ascii="Abadi" w:hAnsi="Abadi"/>
          <w:b/>
          <w:bCs/>
          <w:spacing w:val="5"/>
          <w:sz w:val="20"/>
          <w:szCs w:val="20"/>
        </w:rPr>
        <w:t xml:space="preserve"> </w:t>
      </w:r>
      <w:r w:rsidRPr="00531B12">
        <w:rPr>
          <w:rFonts w:ascii="Abadi" w:hAnsi="Abadi"/>
          <w:b/>
          <w:bCs/>
          <w:sz w:val="20"/>
          <w:szCs w:val="20"/>
        </w:rPr>
        <w:t>QUE</w:t>
      </w:r>
      <w:r w:rsidRPr="00531B12">
        <w:rPr>
          <w:rFonts w:ascii="Abadi" w:hAnsi="Abadi"/>
          <w:b/>
          <w:bCs/>
          <w:spacing w:val="5"/>
          <w:sz w:val="20"/>
          <w:szCs w:val="20"/>
        </w:rPr>
        <w:t xml:space="preserve"> </w:t>
      </w:r>
      <w:r w:rsidRPr="00531B12">
        <w:rPr>
          <w:rFonts w:ascii="Abadi" w:hAnsi="Abadi"/>
          <w:b/>
          <w:bCs/>
          <w:sz w:val="20"/>
          <w:szCs w:val="20"/>
        </w:rPr>
        <w:t>SE</w:t>
      </w:r>
      <w:r w:rsidRPr="00531B12">
        <w:rPr>
          <w:rFonts w:ascii="Abadi" w:hAnsi="Abadi"/>
          <w:b/>
          <w:bCs/>
          <w:spacing w:val="5"/>
          <w:sz w:val="20"/>
          <w:szCs w:val="20"/>
        </w:rPr>
        <w:t xml:space="preserve"> </w:t>
      </w:r>
      <w:r w:rsidRPr="00531B12">
        <w:rPr>
          <w:rFonts w:ascii="Abadi" w:hAnsi="Abadi"/>
          <w:b/>
          <w:bCs/>
          <w:sz w:val="20"/>
          <w:szCs w:val="20"/>
        </w:rPr>
        <w:t>LE</w:t>
      </w:r>
      <w:r w:rsidRPr="00531B12">
        <w:rPr>
          <w:rFonts w:ascii="Abadi" w:hAnsi="Abadi"/>
          <w:b/>
          <w:bCs/>
          <w:spacing w:val="5"/>
          <w:sz w:val="20"/>
          <w:szCs w:val="20"/>
        </w:rPr>
        <w:t xml:space="preserve"> </w:t>
      </w:r>
      <w:r w:rsidRPr="00531B12">
        <w:rPr>
          <w:rFonts w:ascii="Abadi" w:hAnsi="Abadi"/>
          <w:b/>
          <w:bCs/>
          <w:sz w:val="20"/>
          <w:szCs w:val="20"/>
        </w:rPr>
        <w:t>AUTORICE</w:t>
      </w:r>
      <w:r w:rsidRPr="00531B12">
        <w:rPr>
          <w:rFonts w:ascii="Abadi" w:hAnsi="Abadi"/>
          <w:b/>
          <w:bCs/>
          <w:spacing w:val="5"/>
          <w:sz w:val="20"/>
          <w:szCs w:val="20"/>
        </w:rPr>
        <w:t xml:space="preserve"> </w:t>
      </w:r>
      <w:r w:rsidRPr="00531B12">
        <w:rPr>
          <w:rFonts w:ascii="Abadi" w:hAnsi="Abadi"/>
          <w:b/>
          <w:bCs/>
          <w:sz w:val="20"/>
          <w:szCs w:val="20"/>
        </w:rPr>
        <w:t>PREVIA</w:t>
      </w:r>
      <w:r w:rsidRPr="00531B12">
        <w:rPr>
          <w:rFonts w:ascii="Abadi" w:hAnsi="Abadi"/>
          <w:b/>
          <w:bCs/>
          <w:spacing w:val="5"/>
          <w:sz w:val="20"/>
          <w:szCs w:val="20"/>
        </w:rPr>
        <w:t xml:space="preserve"> </w:t>
      </w:r>
      <w:r w:rsidRPr="00531B12">
        <w:rPr>
          <w:rFonts w:ascii="Abadi" w:hAnsi="Abadi"/>
          <w:b/>
          <w:bCs/>
          <w:sz w:val="20"/>
          <w:szCs w:val="20"/>
        </w:rPr>
        <w:t>DESAFECTACIÓN</w:t>
      </w:r>
      <w:r w:rsidRPr="00531B12">
        <w:rPr>
          <w:rFonts w:ascii="Abadi" w:hAnsi="Abadi"/>
          <w:b/>
          <w:bCs/>
          <w:spacing w:val="-1"/>
          <w:sz w:val="20"/>
          <w:szCs w:val="20"/>
        </w:rPr>
        <w:t xml:space="preserve"> </w:t>
      </w:r>
      <w:r w:rsidRPr="00531B12">
        <w:rPr>
          <w:rFonts w:ascii="Abadi" w:hAnsi="Abadi"/>
          <w:b/>
          <w:bCs/>
          <w:sz w:val="20"/>
          <w:szCs w:val="20"/>
        </w:rPr>
        <w:t>DEL</w:t>
      </w:r>
      <w:r w:rsidRPr="00531B12">
        <w:rPr>
          <w:rFonts w:ascii="Abadi" w:hAnsi="Abadi"/>
          <w:b/>
          <w:bCs/>
          <w:spacing w:val="7"/>
          <w:sz w:val="20"/>
          <w:szCs w:val="20"/>
        </w:rPr>
        <w:t xml:space="preserve"> </w:t>
      </w:r>
      <w:r w:rsidRPr="00531B12">
        <w:rPr>
          <w:rFonts w:ascii="Abadi" w:hAnsi="Abadi"/>
          <w:b/>
          <w:bCs/>
          <w:sz w:val="20"/>
          <w:szCs w:val="20"/>
        </w:rPr>
        <w:t>DOMINIO</w:t>
      </w:r>
      <w:r w:rsidRPr="00531B12">
        <w:rPr>
          <w:rFonts w:ascii="Abadi" w:hAnsi="Abadi"/>
          <w:b/>
          <w:bCs/>
          <w:spacing w:val="7"/>
          <w:sz w:val="20"/>
          <w:szCs w:val="20"/>
        </w:rPr>
        <w:t xml:space="preserve"> </w:t>
      </w:r>
      <w:r w:rsidRPr="00531B12">
        <w:rPr>
          <w:rFonts w:ascii="Abadi" w:hAnsi="Abadi"/>
          <w:b/>
          <w:bCs/>
          <w:sz w:val="20"/>
          <w:szCs w:val="20"/>
        </w:rPr>
        <w:t>PÚBLICO</w:t>
      </w:r>
      <w:r w:rsidRPr="00531B12">
        <w:rPr>
          <w:rFonts w:ascii="Abadi" w:hAnsi="Abadi"/>
          <w:b/>
          <w:bCs/>
          <w:spacing w:val="7"/>
          <w:sz w:val="20"/>
          <w:szCs w:val="20"/>
        </w:rPr>
        <w:t xml:space="preserve"> </w:t>
      </w:r>
      <w:r w:rsidRPr="00531B12">
        <w:rPr>
          <w:rFonts w:ascii="Abadi" w:hAnsi="Abadi"/>
          <w:b/>
          <w:bCs/>
          <w:sz w:val="20"/>
          <w:szCs w:val="20"/>
        </w:rPr>
        <w:t>DEL</w:t>
      </w:r>
      <w:r w:rsidRPr="00531B12">
        <w:rPr>
          <w:rFonts w:ascii="Abadi" w:hAnsi="Abadi"/>
          <w:b/>
          <w:bCs/>
          <w:spacing w:val="7"/>
          <w:sz w:val="20"/>
          <w:szCs w:val="20"/>
        </w:rPr>
        <w:t xml:space="preserve"> </w:t>
      </w:r>
      <w:r w:rsidRPr="00531B12">
        <w:rPr>
          <w:rFonts w:ascii="Abadi" w:hAnsi="Abadi"/>
          <w:b/>
          <w:bCs/>
          <w:sz w:val="20"/>
          <w:szCs w:val="20"/>
        </w:rPr>
        <w:t>ESTADO</w:t>
      </w:r>
      <w:r w:rsidRPr="00531B12">
        <w:rPr>
          <w:rFonts w:ascii="Abadi" w:hAnsi="Abadi"/>
          <w:b/>
          <w:bCs/>
          <w:spacing w:val="7"/>
          <w:sz w:val="20"/>
          <w:szCs w:val="20"/>
        </w:rPr>
        <w:t xml:space="preserve"> </w:t>
      </w:r>
      <w:r w:rsidRPr="00531B12">
        <w:rPr>
          <w:rFonts w:ascii="Abadi" w:hAnsi="Abadi"/>
          <w:b/>
          <w:bCs/>
          <w:sz w:val="20"/>
          <w:szCs w:val="20"/>
        </w:rPr>
        <w:t>LA</w:t>
      </w:r>
      <w:r w:rsidRPr="00531B12">
        <w:rPr>
          <w:rFonts w:ascii="Abadi" w:hAnsi="Abadi"/>
          <w:b/>
          <w:bCs/>
          <w:spacing w:val="7"/>
          <w:sz w:val="20"/>
          <w:szCs w:val="20"/>
        </w:rPr>
        <w:t xml:space="preserve"> </w:t>
      </w:r>
      <w:r w:rsidRPr="00531B12">
        <w:rPr>
          <w:rFonts w:ascii="Abadi" w:hAnsi="Abadi"/>
          <w:b/>
          <w:bCs/>
          <w:sz w:val="20"/>
          <w:szCs w:val="20"/>
        </w:rPr>
        <w:t>ENAJENACIÓN</w:t>
      </w:r>
      <w:r w:rsidRPr="00531B12">
        <w:rPr>
          <w:rFonts w:ascii="Abadi" w:hAnsi="Abadi"/>
          <w:b/>
          <w:bCs/>
          <w:spacing w:val="7"/>
          <w:sz w:val="20"/>
          <w:szCs w:val="20"/>
        </w:rPr>
        <w:t xml:space="preserve"> </w:t>
      </w:r>
      <w:r w:rsidRPr="00531B12">
        <w:rPr>
          <w:rFonts w:ascii="Abadi" w:hAnsi="Abadi"/>
          <w:b/>
          <w:bCs/>
          <w:sz w:val="20"/>
          <w:szCs w:val="20"/>
        </w:rPr>
        <w:t>DE</w:t>
      </w:r>
      <w:r w:rsidRPr="00531B12">
        <w:rPr>
          <w:rFonts w:ascii="Abadi" w:hAnsi="Abadi"/>
          <w:b/>
          <w:bCs/>
          <w:spacing w:val="7"/>
          <w:sz w:val="20"/>
          <w:szCs w:val="20"/>
        </w:rPr>
        <w:t xml:space="preserve"> </w:t>
      </w:r>
      <w:r w:rsidRPr="00531B12">
        <w:rPr>
          <w:rFonts w:ascii="Abadi" w:hAnsi="Abadi"/>
          <w:b/>
          <w:bCs/>
          <w:sz w:val="20"/>
          <w:szCs w:val="20"/>
        </w:rPr>
        <w:t>TRES</w:t>
      </w:r>
      <w:r w:rsidRPr="00531B12">
        <w:rPr>
          <w:rFonts w:ascii="Abadi" w:hAnsi="Abadi"/>
          <w:b/>
          <w:bCs/>
          <w:spacing w:val="7"/>
          <w:sz w:val="20"/>
          <w:szCs w:val="20"/>
        </w:rPr>
        <w:t xml:space="preserve"> </w:t>
      </w:r>
      <w:r w:rsidRPr="00531B12">
        <w:rPr>
          <w:rFonts w:ascii="Abadi" w:hAnsi="Abadi"/>
          <w:b/>
          <w:bCs/>
          <w:sz w:val="20"/>
          <w:szCs w:val="20"/>
        </w:rPr>
        <w:t>BIENES</w:t>
      </w:r>
      <w:r w:rsidRPr="00531B12">
        <w:rPr>
          <w:rFonts w:ascii="Abadi" w:hAnsi="Abadi"/>
          <w:b/>
          <w:bCs/>
          <w:spacing w:val="7"/>
          <w:sz w:val="20"/>
          <w:szCs w:val="20"/>
        </w:rPr>
        <w:t xml:space="preserve"> </w:t>
      </w:r>
      <w:r w:rsidRPr="00531B12">
        <w:rPr>
          <w:rFonts w:ascii="Abadi" w:hAnsi="Abadi"/>
          <w:b/>
          <w:bCs/>
          <w:sz w:val="20"/>
          <w:szCs w:val="20"/>
        </w:rPr>
        <w:t>INMUEBLES</w:t>
      </w:r>
      <w:r w:rsidRPr="00531B12">
        <w:rPr>
          <w:rFonts w:ascii="Abadi" w:hAnsi="Abadi"/>
          <w:b/>
          <w:bCs/>
          <w:spacing w:val="7"/>
          <w:sz w:val="20"/>
          <w:szCs w:val="20"/>
        </w:rPr>
        <w:t xml:space="preserve"> </w:t>
      </w:r>
      <w:r w:rsidRPr="00531B12">
        <w:rPr>
          <w:rFonts w:ascii="Abadi" w:hAnsi="Abadi"/>
          <w:b/>
          <w:bCs/>
          <w:sz w:val="20"/>
          <w:szCs w:val="20"/>
        </w:rPr>
        <w:t>DE</w:t>
      </w:r>
      <w:r w:rsidRPr="00531B12">
        <w:rPr>
          <w:rFonts w:ascii="Abadi" w:hAnsi="Abadi"/>
          <w:b/>
          <w:bCs/>
          <w:spacing w:val="-1"/>
          <w:sz w:val="20"/>
          <w:szCs w:val="20"/>
        </w:rPr>
        <w:t xml:space="preserve"> </w:t>
      </w:r>
      <w:r w:rsidRPr="00531B12">
        <w:rPr>
          <w:rFonts w:ascii="Abadi" w:hAnsi="Abadi"/>
          <w:b/>
          <w:bCs/>
          <w:sz w:val="20"/>
          <w:szCs w:val="20"/>
        </w:rPr>
        <w:t>PROPIEDAD</w:t>
      </w:r>
      <w:r w:rsidRPr="00531B12">
        <w:rPr>
          <w:rFonts w:ascii="Abadi" w:hAnsi="Abadi"/>
          <w:b/>
          <w:bCs/>
          <w:spacing w:val="19"/>
          <w:sz w:val="20"/>
          <w:szCs w:val="20"/>
        </w:rPr>
        <w:t xml:space="preserve"> </w:t>
      </w:r>
      <w:r w:rsidRPr="00531B12">
        <w:rPr>
          <w:rFonts w:ascii="Abadi" w:hAnsi="Abadi"/>
          <w:b/>
          <w:bCs/>
          <w:sz w:val="20"/>
          <w:szCs w:val="20"/>
        </w:rPr>
        <w:t>ESTATAL</w:t>
      </w:r>
      <w:r w:rsidRPr="00531B12">
        <w:rPr>
          <w:rFonts w:ascii="Abadi" w:hAnsi="Abadi"/>
          <w:b/>
          <w:bCs/>
          <w:spacing w:val="19"/>
          <w:sz w:val="20"/>
          <w:szCs w:val="20"/>
        </w:rPr>
        <w:t xml:space="preserve"> </w:t>
      </w:r>
      <w:r w:rsidRPr="00531B12">
        <w:rPr>
          <w:rFonts w:ascii="Abadi" w:hAnsi="Abadi"/>
          <w:b/>
          <w:bCs/>
          <w:sz w:val="20"/>
          <w:szCs w:val="20"/>
        </w:rPr>
        <w:t>EN</w:t>
      </w:r>
      <w:r w:rsidRPr="00531B12">
        <w:rPr>
          <w:rFonts w:ascii="Abadi" w:hAnsi="Abadi"/>
          <w:b/>
          <w:bCs/>
          <w:spacing w:val="20"/>
          <w:sz w:val="20"/>
          <w:szCs w:val="20"/>
        </w:rPr>
        <w:t xml:space="preserve"> </w:t>
      </w:r>
      <w:r w:rsidRPr="00531B12">
        <w:rPr>
          <w:rFonts w:ascii="Abadi" w:hAnsi="Abadi"/>
          <w:b/>
          <w:bCs/>
          <w:sz w:val="20"/>
          <w:szCs w:val="20"/>
        </w:rPr>
        <w:t>FAVOR</w:t>
      </w:r>
      <w:r w:rsidRPr="00531B12">
        <w:rPr>
          <w:rFonts w:ascii="Abadi" w:hAnsi="Abadi"/>
          <w:b/>
          <w:bCs/>
          <w:spacing w:val="19"/>
          <w:sz w:val="20"/>
          <w:szCs w:val="20"/>
        </w:rPr>
        <w:t xml:space="preserve"> </w:t>
      </w:r>
      <w:r w:rsidRPr="00531B12">
        <w:rPr>
          <w:rFonts w:ascii="Abadi" w:hAnsi="Abadi"/>
          <w:b/>
          <w:bCs/>
          <w:sz w:val="20"/>
          <w:szCs w:val="20"/>
        </w:rPr>
        <w:t>DE</w:t>
      </w:r>
      <w:r w:rsidRPr="00531B12">
        <w:rPr>
          <w:rFonts w:ascii="Abadi" w:hAnsi="Abadi"/>
          <w:b/>
          <w:bCs/>
          <w:spacing w:val="20"/>
          <w:sz w:val="20"/>
          <w:szCs w:val="20"/>
        </w:rPr>
        <w:t xml:space="preserve"> </w:t>
      </w:r>
      <w:r w:rsidRPr="00531B12">
        <w:rPr>
          <w:rFonts w:ascii="Abadi" w:hAnsi="Abadi"/>
          <w:b/>
          <w:bCs/>
          <w:sz w:val="20"/>
          <w:szCs w:val="20"/>
        </w:rPr>
        <w:t>LA</w:t>
      </w:r>
      <w:r w:rsidRPr="00531B12">
        <w:rPr>
          <w:rFonts w:ascii="Abadi" w:hAnsi="Abadi"/>
          <w:b/>
          <w:bCs/>
          <w:spacing w:val="20"/>
          <w:sz w:val="20"/>
          <w:szCs w:val="20"/>
        </w:rPr>
        <w:t xml:space="preserve"> </w:t>
      </w:r>
      <w:r w:rsidRPr="00531B12">
        <w:rPr>
          <w:rFonts w:ascii="Abadi" w:hAnsi="Abadi"/>
          <w:b/>
          <w:bCs/>
          <w:sz w:val="20"/>
          <w:szCs w:val="20"/>
        </w:rPr>
        <w:t>PERSONA</w:t>
      </w:r>
      <w:r w:rsidRPr="00531B12">
        <w:rPr>
          <w:rFonts w:ascii="Abadi" w:hAnsi="Abadi"/>
          <w:b/>
          <w:bCs/>
          <w:spacing w:val="20"/>
          <w:sz w:val="20"/>
          <w:szCs w:val="20"/>
        </w:rPr>
        <w:t xml:space="preserve"> </w:t>
      </w:r>
      <w:r w:rsidRPr="00531B12">
        <w:rPr>
          <w:rFonts w:ascii="Abadi" w:hAnsi="Abadi"/>
          <w:b/>
          <w:bCs/>
          <w:sz w:val="20"/>
          <w:szCs w:val="20"/>
        </w:rPr>
        <w:t>MORAL</w:t>
      </w:r>
      <w:r w:rsidRPr="00531B12">
        <w:rPr>
          <w:rFonts w:ascii="Abadi" w:hAnsi="Abadi"/>
          <w:b/>
          <w:bCs/>
          <w:spacing w:val="19"/>
          <w:sz w:val="20"/>
          <w:szCs w:val="20"/>
        </w:rPr>
        <w:t xml:space="preserve"> </w:t>
      </w:r>
      <w:r w:rsidRPr="00531B12">
        <w:rPr>
          <w:rFonts w:ascii="Abadi" w:hAnsi="Abadi"/>
          <w:b/>
          <w:bCs/>
          <w:sz w:val="20"/>
          <w:szCs w:val="20"/>
        </w:rPr>
        <w:t>DENOMINADA</w:t>
      </w:r>
      <w:r w:rsidRPr="00531B12">
        <w:rPr>
          <w:rFonts w:ascii="Abadi" w:hAnsi="Abadi"/>
          <w:b/>
          <w:bCs/>
          <w:spacing w:val="20"/>
          <w:sz w:val="20"/>
          <w:szCs w:val="20"/>
        </w:rPr>
        <w:t xml:space="preserve"> </w:t>
      </w:r>
      <w:r w:rsidRPr="00531B12">
        <w:rPr>
          <w:rFonts w:ascii="Abadi" w:hAnsi="Abadi"/>
          <w:b/>
          <w:bCs/>
          <w:i/>
          <w:iCs/>
          <w:sz w:val="20"/>
          <w:szCs w:val="20"/>
        </w:rPr>
        <w:t>TOYOTA</w:t>
      </w:r>
      <w:r w:rsidRPr="00531B12">
        <w:rPr>
          <w:rFonts w:ascii="Abadi" w:hAnsi="Abadi"/>
          <w:b/>
          <w:bCs/>
          <w:i/>
          <w:iCs/>
          <w:spacing w:val="20"/>
          <w:sz w:val="20"/>
          <w:szCs w:val="20"/>
        </w:rPr>
        <w:t xml:space="preserve"> </w:t>
      </w:r>
      <w:r w:rsidRPr="00531B12">
        <w:rPr>
          <w:rFonts w:ascii="Abadi" w:hAnsi="Abadi"/>
          <w:b/>
          <w:bCs/>
          <w:i/>
          <w:iCs/>
          <w:sz w:val="20"/>
          <w:szCs w:val="20"/>
        </w:rPr>
        <w:t>MOTOR</w:t>
      </w:r>
      <w:r w:rsidRPr="00531B12">
        <w:rPr>
          <w:rFonts w:ascii="Abadi" w:hAnsi="Abadi"/>
          <w:b/>
          <w:bCs/>
          <w:i/>
          <w:iCs/>
          <w:spacing w:val="-1"/>
          <w:sz w:val="20"/>
          <w:szCs w:val="20"/>
        </w:rPr>
        <w:t xml:space="preserve"> </w:t>
      </w:r>
      <w:r w:rsidRPr="00531B12">
        <w:rPr>
          <w:rFonts w:ascii="Abadi" w:hAnsi="Abadi"/>
          <w:b/>
          <w:bCs/>
          <w:i/>
          <w:iCs/>
          <w:sz w:val="20"/>
          <w:szCs w:val="20"/>
        </w:rPr>
        <w:t>MANUFACTURING DE GUANAJUATO,</w:t>
      </w:r>
      <w:r w:rsidRPr="00531B12">
        <w:rPr>
          <w:rFonts w:ascii="Abadi" w:hAnsi="Abadi"/>
          <w:b/>
          <w:bCs/>
          <w:i/>
          <w:iCs/>
          <w:spacing w:val="-1"/>
          <w:sz w:val="20"/>
          <w:szCs w:val="20"/>
        </w:rPr>
        <w:t xml:space="preserve"> </w:t>
      </w:r>
      <w:r w:rsidRPr="00531B12">
        <w:rPr>
          <w:rFonts w:ascii="Abadi" w:hAnsi="Abadi"/>
          <w:b/>
          <w:bCs/>
          <w:i/>
          <w:iCs/>
          <w:sz w:val="20"/>
          <w:szCs w:val="20"/>
        </w:rPr>
        <w:t>S.A. DE C.V</w:t>
      </w:r>
      <w:r w:rsidRPr="00531B12">
        <w:rPr>
          <w:rFonts w:ascii="Abadi" w:hAnsi="Abadi"/>
          <w:b/>
          <w:bCs/>
          <w:sz w:val="20"/>
          <w:szCs w:val="20"/>
        </w:rPr>
        <w:t>.</w:t>
      </w:r>
    </w:p>
    <w:p w14:paraId="08DC2F79" w14:textId="0EB7A599" w:rsidR="004869C0" w:rsidRDefault="004869C0" w:rsidP="00E72A43">
      <w:pPr>
        <w:rPr>
          <w:rFonts w:ascii="Abadi" w:hAnsi="Abadi"/>
          <w:sz w:val="20"/>
          <w:szCs w:val="20"/>
        </w:rPr>
      </w:pPr>
    </w:p>
    <w:p w14:paraId="2C1C1182" w14:textId="77777777" w:rsidR="001D05E8" w:rsidRPr="001D05E8" w:rsidRDefault="001D05E8" w:rsidP="001D05E8">
      <w:pPr>
        <w:keepNext/>
        <w:spacing w:line="276" w:lineRule="auto"/>
        <w:outlineLvl w:val="0"/>
        <w:rPr>
          <w:rFonts w:ascii="Abadi" w:hAnsi="Abadi" w:cs="Arial"/>
          <w:b/>
          <w:sz w:val="21"/>
          <w:szCs w:val="21"/>
          <w:lang w:eastAsia="en-US"/>
        </w:rPr>
      </w:pPr>
      <w:r w:rsidRPr="001D05E8">
        <w:rPr>
          <w:rFonts w:ascii="Abadi" w:hAnsi="Abadi" w:cs="Arial"/>
          <w:b/>
          <w:sz w:val="21"/>
          <w:szCs w:val="21"/>
          <w:lang w:eastAsia="en-US"/>
        </w:rPr>
        <w:t>C. Presidenta del Congreso del Estado</w:t>
      </w:r>
    </w:p>
    <w:p w14:paraId="4BD87494" w14:textId="77777777" w:rsidR="001D05E8" w:rsidRPr="001D05E8" w:rsidRDefault="001D05E8" w:rsidP="001D05E8">
      <w:pPr>
        <w:spacing w:line="276" w:lineRule="auto"/>
        <w:rPr>
          <w:rFonts w:ascii="Abadi" w:hAnsi="Abadi" w:cs="Arial"/>
          <w:b/>
          <w:sz w:val="21"/>
          <w:szCs w:val="21"/>
          <w:lang w:val="es-MX" w:eastAsia="en-US"/>
        </w:rPr>
      </w:pPr>
      <w:r w:rsidRPr="001D05E8">
        <w:rPr>
          <w:rFonts w:ascii="Abadi" w:hAnsi="Abadi" w:cs="Arial"/>
          <w:b/>
          <w:sz w:val="21"/>
          <w:szCs w:val="21"/>
          <w:lang w:val="es-MX" w:eastAsia="en-US"/>
        </w:rPr>
        <w:t>P r e s e n t e.</w:t>
      </w:r>
    </w:p>
    <w:p w14:paraId="49FD2F20" w14:textId="77777777" w:rsidR="001D05E8" w:rsidRPr="001D05E8" w:rsidRDefault="001D05E8" w:rsidP="001D05E8">
      <w:pPr>
        <w:spacing w:line="360" w:lineRule="auto"/>
        <w:rPr>
          <w:rFonts w:ascii="Abadi" w:hAnsi="Abadi"/>
          <w:b/>
          <w:sz w:val="21"/>
          <w:szCs w:val="21"/>
          <w:lang w:val="es-MX" w:eastAsia="en-US"/>
        </w:rPr>
      </w:pPr>
    </w:p>
    <w:p w14:paraId="1105C4E8" w14:textId="77777777" w:rsidR="001D05E8" w:rsidRPr="001D05E8" w:rsidRDefault="001D05E8" w:rsidP="001D05E8">
      <w:pPr>
        <w:jc w:val="both"/>
        <w:rPr>
          <w:rFonts w:ascii="Abadi" w:hAnsi="Abadi"/>
          <w:sz w:val="21"/>
          <w:szCs w:val="21"/>
          <w:lang w:val="es-MX" w:eastAsia="en-US"/>
        </w:rPr>
      </w:pPr>
      <w:r w:rsidRPr="001D05E8">
        <w:rPr>
          <w:rFonts w:ascii="Abadi" w:hAnsi="Abadi"/>
          <w:b/>
          <w:sz w:val="21"/>
          <w:szCs w:val="21"/>
          <w:lang w:val="es-MX" w:eastAsia="en-US"/>
        </w:rPr>
        <w:tab/>
      </w:r>
      <w:r w:rsidRPr="001D05E8">
        <w:rPr>
          <w:rFonts w:ascii="Abadi" w:hAnsi="Abadi"/>
          <w:sz w:val="21"/>
          <w:szCs w:val="21"/>
          <w:lang w:val="es-MX" w:eastAsia="en-US"/>
        </w:rPr>
        <w:t xml:space="preserve">A esta Comisión de Hacienda y Fiscalización le fue turnada para efectos de su estudio y dictamen, la iniciativa formulada por el Gobernador del Estado, a efecto de que se le autorice, previa desafectación del dominio público del Estado la enajenación de tres bienes inmuebles de propiedad estatal en favor de la persona moral denominada </w:t>
      </w:r>
      <w:r w:rsidRPr="001D05E8">
        <w:rPr>
          <w:rFonts w:ascii="Abadi" w:hAnsi="Abadi"/>
          <w:i/>
          <w:iCs/>
          <w:sz w:val="21"/>
          <w:szCs w:val="21"/>
          <w:lang w:val="es-MX" w:eastAsia="en-US"/>
        </w:rPr>
        <w:t>Toyota Motor Manufacturing de Guanajuato, S.A. de C.V.</w:t>
      </w:r>
    </w:p>
    <w:p w14:paraId="255FA970" w14:textId="77777777" w:rsidR="001D05E8" w:rsidRPr="001D05E8" w:rsidRDefault="001D05E8" w:rsidP="001D05E8">
      <w:pPr>
        <w:jc w:val="both"/>
        <w:rPr>
          <w:rFonts w:ascii="Abadi" w:hAnsi="Abadi"/>
          <w:sz w:val="21"/>
          <w:szCs w:val="21"/>
          <w:lang w:val="es-MX"/>
        </w:rPr>
      </w:pPr>
    </w:p>
    <w:p w14:paraId="61F3E728" w14:textId="77777777" w:rsidR="001D05E8" w:rsidRPr="001D05E8" w:rsidRDefault="001D05E8" w:rsidP="001D05E8">
      <w:pPr>
        <w:jc w:val="both"/>
        <w:rPr>
          <w:rFonts w:ascii="Abadi" w:hAnsi="Abadi" w:cs="Arial"/>
          <w:iCs/>
          <w:sz w:val="21"/>
          <w:szCs w:val="21"/>
          <w:lang w:val="es-MX" w:eastAsia="en-US"/>
        </w:rPr>
      </w:pPr>
      <w:r w:rsidRPr="001D05E8">
        <w:rPr>
          <w:rFonts w:ascii="Abadi" w:hAnsi="Abadi"/>
          <w:sz w:val="21"/>
          <w:szCs w:val="21"/>
          <w:lang w:val="es-MX"/>
        </w:rPr>
        <w:tab/>
      </w:r>
      <w:r w:rsidRPr="001D05E8">
        <w:rPr>
          <w:rFonts w:ascii="Abadi" w:hAnsi="Abadi" w:cs="Arial"/>
          <w:iCs/>
          <w:sz w:val="21"/>
          <w:szCs w:val="21"/>
          <w:lang w:val="es-MX" w:eastAsia="en-US"/>
        </w:rPr>
        <w:t xml:space="preserve">Analizada la iniciativa de referencia, con fundamento en los artículos 75, 89, fracción V, 112, fracciones IV y V y 171 de </w:t>
      </w:r>
      <w:smartTag w:uri="urn:schemas-microsoft-com:office:smarttags" w:element="PersonName">
        <w:smartTagPr>
          <w:attr w:name="ProductID" w:val="LA LEY ORG￁NICA"/>
        </w:smartTagPr>
        <w:r w:rsidRPr="001D05E8">
          <w:rPr>
            <w:rFonts w:ascii="Abadi" w:hAnsi="Abadi" w:cs="Arial"/>
            <w:iCs/>
            <w:sz w:val="21"/>
            <w:szCs w:val="21"/>
            <w:lang w:val="es-MX" w:eastAsia="en-US"/>
          </w:rPr>
          <w:t>la Ley Orgánica</w:t>
        </w:r>
      </w:smartTag>
      <w:r w:rsidRPr="001D05E8">
        <w:rPr>
          <w:rFonts w:ascii="Abadi" w:hAnsi="Abadi" w:cs="Arial"/>
          <w:iCs/>
          <w:sz w:val="21"/>
          <w:szCs w:val="21"/>
          <w:lang w:val="es-MX" w:eastAsia="en-US"/>
        </w:rPr>
        <w:t xml:space="preserve"> del Poder Legislativo del Estado de Guanajuato, nos permitimos rendir el siguiente:</w:t>
      </w:r>
    </w:p>
    <w:p w14:paraId="64F7CF95" w14:textId="77777777" w:rsidR="001D05E8" w:rsidRPr="001D05E8" w:rsidRDefault="001D05E8" w:rsidP="001D05E8">
      <w:pPr>
        <w:keepNext/>
        <w:jc w:val="center"/>
        <w:outlineLvl w:val="1"/>
        <w:rPr>
          <w:rFonts w:ascii="Abadi" w:hAnsi="Abadi"/>
          <w:b/>
          <w:sz w:val="21"/>
          <w:szCs w:val="21"/>
          <w:lang w:val="es-MX" w:eastAsia="en-US"/>
        </w:rPr>
      </w:pPr>
    </w:p>
    <w:p w14:paraId="11E3701B" w14:textId="77777777" w:rsidR="001D05E8" w:rsidRPr="001D05E8" w:rsidRDefault="001D05E8" w:rsidP="001D05E8">
      <w:pPr>
        <w:keepNext/>
        <w:jc w:val="center"/>
        <w:outlineLvl w:val="1"/>
        <w:rPr>
          <w:rFonts w:ascii="Abadi" w:hAnsi="Abadi"/>
          <w:b/>
          <w:sz w:val="21"/>
          <w:szCs w:val="21"/>
          <w:lang w:val="es-MX" w:eastAsia="en-US"/>
        </w:rPr>
      </w:pPr>
      <w:r w:rsidRPr="001D05E8">
        <w:rPr>
          <w:rFonts w:ascii="Abadi" w:hAnsi="Abadi"/>
          <w:b/>
          <w:sz w:val="21"/>
          <w:szCs w:val="21"/>
          <w:lang w:val="es-MX" w:eastAsia="en-US"/>
        </w:rPr>
        <w:t xml:space="preserve">D i c t a m e n </w:t>
      </w:r>
    </w:p>
    <w:p w14:paraId="5D5081A4" w14:textId="77777777" w:rsidR="001D05E8" w:rsidRPr="001D05E8" w:rsidRDefault="001D05E8" w:rsidP="001D05E8">
      <w:pPr>
        <w:jc w:val="center"/>
        <w:rPr>
          <w:rFonts w:ascii="Abadi" w:hAnsi="Abadi"/>
          <w:b/>
          <w:sz w:val="21"/>
          <w:szCs w:val="21"/>
          <w:lang w:val="es-MX" w:eastAsia="en-US"/>
        </w:rPr>
      </w:pPr>
    </w:p>
    <w:p w14:paraId="748A5581" w14:textId="77777777" w:rsidR="001D05E8" w:rsidRPr="001D05E8" w:rsidRDefault="001D05E8" w:rsidP="001D05E8">
      <w:pPr>
        <w:jc w:val="both"/>
        <w:rPr>
          <w:rFonts w:ascii="Abadi" w:hAnsi="Abadi"/>
          <w:sz w:val="21"/>
          <w:szCs w:val="21"/>
          <w:lang w:val="es-MX" w:eastAsia="en-US"/>
        </w:rPr>
      </w:pPr>
      <w:r w:rsidRPr="001D05E8">
        <w:rPr>
          <w:rFonts w:ascii="Abadi" w:hAnsi="Abadi"/>
          <w:b/>
          <w:sz w:val="21"/>
          <w:szCs w:val="21"/>
          <w:lang w:val="es-MX" w:eastAsia="en-US"/>
        </w:rPr>
        <w:tab/>
      </w:r>
      <w:r w:rsidRPr="001D05E8">
        <w:rPr>
          <w:rFonts w:ascii="Abadi" w:hAnsi="Abadi"/>
          <w:sz w:val="21"/>
          <w:szCs w:val="21"/>
          <w:lang w:val="es-MX" w:eastAsia="en-US"/>
        </w:rPr>
        <w:t xml:space="preserve">El Gobernador del Estado, mediante iniciativa de decreto de fecha 28 de marzo de 2022, solicitó al Congreso del Estado se le autorice, previa desafectación del dominio público, la enajenación de tres bienes inmuebles de propiedad estatal ubicados en el Ejido Caleras de Ameche del municipio de Apaseo el Grande, Gto., en favor de la persona moral denominada </w:t>
      </w:r>
      <w:r w:rsidRPr="001D05E8">
        <w:rPr>
          <w:rFonts w:ascii="Abadi" w:hAnsi="Abadi"/>
          <w:i/>
          <w:iCs/>
          <w:sz w:val="21"/>
          <w:szCs w:val="21"/>
          <w:lang w:val="es-MX" w:eastAsia="en-US"/>
        </w:rPr>
        <w:t>Toyota Motor Manufacturing de Guanajuato, S.A. de C.V.</w:t>
      </w:r>
    </w:p>
    <w:p w14:paraId="79FF2966" w14:textId="77777777" w:rsidR="001D05E8" w:rsidRPr="001D05E8" w:rsidRDefault="001D05E8" w:rsidP="001D05E8">
      <w:pPr>
        <w:jc w:val="both"/>
        <w:rPr>
          <w:rFonts w:ascii="Abadi" w:hAnsi="Abadi" w:cs="Arial"/>
          <w:iCs/>
          <w:sz w:val="21"/>
          <w:szCs w:val="21"/>
          <w:lang w:val="es-MX" w:eastAsia="en-US"/>
        </w:rPr>
      </w:pPr>
    </w:p>
    <w:p w14:paraId="4CE431DA" w14:textId="77777777" w:rsidR="001D05E8" w:rsidRPr="001D05E8" w:rsidRDefault="001D05E8" w:rsidP="001D05E8">
      <w:pPr>
        <w:jc w:val="both"/>
        <w:rPr>
          <w:rFonts w:ascii="Abadi" w:hAnsi="Abadi"/>
          <w:sz w:val="21"/>
          <w:szCs w:val="21"/>
          <w:lang w:val="es-MX"/>
        </w:rPr>
      </w:pPr>
      <w:r w:rsidRPr="001D05E8">
        <w:rPr>
          <w:rFonts w:ascii="Abadi" w:hAnsi="Abadi"/>
          <w:sz w:val="21"/>
          <w:szCs w:val="21"/>
          <w:lang w:val="es-MX"/>
        </w:rPr>
        <w:tab/>
        <w:t xml:space="preserve">Dicha iniciativa se turnó a esta Comisión de Hacienda y Fiscalización el 31 de marzo de 2022 para su estudio y dictamen, siendo radicada el 5 de abril del año en curso. En dicha fecha también se acordó llevar a cabo una mesa de trabajo con funcionarios </w:t>
      </w:r>
      <w:r w:rsidRPr="001D05E8">
        <w:rPr>
          <w:rFonts w:ascii="Abadi" w:hAnsi="Abadi"/>
          <w:sz w:val="21"/>
          <w:szCs w:val="21"/>
          <w:lang w:val="es-MX" w:eastAsia="en-US"/>
        </w:rPr>
        <w:t xml:space="preserve">de las Secretarías de Finanzas, Inversión y Administración y de Desarrollo Económico Sustentable, así como de la Coordinación General Jurídica </w:t>
      </w:r>
      <w:r w:rsidRPr="001D05E8">
        <w:rPr>
          <w:rFonts w:ascii="Abadi" w:hAnsi="Abadi"/>
          <w:sz w:val="21"/>
          <w:szCs w:val="21"/>
          <w:lang w:val="es-MX"/>
        </w:rPr>
        <w:t xml:space="preserve">a fin de que expusieran lo relativo al contenido de la iniciativa. </w:t>
      </w:r>
    </w:p>
    <w:p w14:paraId="69596583" w14:textId="77777777" w:rsidR="001D05E8" w:rsidRPr="001D05E8" w:rsidRDefault="001D05E8" w:rsidP="001D05E8">
      <w:pPr>
        <w:jc w:val="both"/>
        <w:rPr>
          <w:rFonts w:ascii="Abadi" w:hAnsi="Abadi"/>
          <w:sz w:val="21"/>
          <w:szCs w:val="21"/>
          <w:lang w:val="es-MX"/>
        </w:rPr>
      </w:pPr>
    </w:p>
    <w:p w14:paraId="25985352"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La propiedad de los bienes inmuebles materia de la enajenación se acredita mediante los siguientes instrumentos que se anexaron a la iniciativa:</w:t>
      </w:r>
    </w:p>
    <w:p w14:paraId="5FC12683" w14:textId="77777777" w:rsidR="001D05E8" w:rsidRPr="001D05E8" w:rsidRDefault="001D05E8" w:rsidP="001D05E8">
      <w:pPr>
        <w:ind w:firstLine="708"/>
        <w:jc w:val="both"/>
        <w:rPr>
          <w:rFonts w:ascii="Abadi" w:hAnsi="Abadi" w:cs="Arial"/>
          <w:sz w:val="21"/>
          <w:szCs w:val="21"/>
          <w:lang w:val="es-MX" w:eastAsia="en-US"/>
        </w:rPr>
      </w:pPr>
    </w:p>
    <w:p w14:paraId="0FEF5280" w14:textId="77777777" w:rsidR="001D05E8" w:rsidRPr="001D05E8" w:rsidRDefault="001D05E8" w:rsidP="001A28E5">
      <w:pPr>
        <w:numPr>
          <w:ilvl w:val="0"/>
          <w:numId w:val="85"/>
        </w:numPr>
        <w:spacing w:after="200" w:line="276" w:lineRule="auto"/>
        <w:jc w:val="both"/>
        <w:rPr>
          <w:rFonts w:ascii="Abadi" w:hAnsi="Abadi" w:cs="Arial"/>
          <w:sz w:val="21"/>
          <w:szCs w:val="21"/>
          <w:lang w:val="es-MX" w:eastAsia="en-US"/>
        </w:rPr>
      </w:pPr>
      <w:r w:rsidRPr="001D05E8">
        <w:rPr>
          <w:rFonts w:ascii="Abadi" w:hAnsi="Abadi" w:cs="Arial"/>
          <w:sz w:val="21"/>
          <w:szCs w:val="21"/>
          <w:lang w:val="es-MX" w:eastAsia="en-US"/>
        </w:rPr>
        <w:t xml:space="preserve">Copia certificada del primer testimonio de la escritura pública número 14,750, de fecha 16 de octubre de 2019, otorgada ante la fe del licenciado Marcelo Gay Guerra, titular de </w:t>
      </w:r>
      <w:smartTag w:uri="urn:schemas-microsoft-com:office:smarttags" w:element="PersonName">
        <w:smartTagPr>
          <w:attr w:name="ProductID" w:val="la Notar￭a P￺blica"/>
        </w:smartTagPr>
        <w:r w:rsidRPr="001D05E8">
          <w:rPr>
            <w:rFonts w:ascii="Abadi" w:hAnsi="Abadi" w:cs="Arial"/>
            <w:sz w:val="21"/>
            <w:szCs w:val="21"/>
            <w:lang w:val="es-MX" w:eastAsia="en-US"/>
          </w:rPr>
          <w:t>la Notaría Pública</w:t>
        </w:r>
      </w:smartTag>
      <w:r w:rsidRPr="001D05E8">
        <w:rPr>
          <w:rFonts w:ascii="Abadi" w:hAnsi="Abadi" w:cs="Arial"/>
          <w:sz w:val="21"/>
          <w:szCs w:val="21"/>
          <w:lang w:val="es-MX" w:eastAsia="en-US"/>
        </w:rPr>
        <w:t xml:space="preserve"> número 85, en legal ejercicio en el Partido Judicial de León, Gto., y debidamente inscrita en el Registro Público de la Propiedad el 27 de mayo de 2020, bajo el folio real R5*56570, por la que se formalizó el contrato de compraventa de la fracción de la parcela identificada como 23 Z 1 P </w:t>
      </w:r>
      <w:r w:rsidRPr="001D05E8">
        <w:rPr>
          <w:rFonts w:ascii="Abadi" w:hAnsi="Abadi" w:cs="Arial"/>
          <w:sz w:val="21"/>
          <w:szCs w:val="21"/>
          <w:vertAlign w:val="subscript"/>
          <w:lang w:val="es-MX" w:eastAsia="en-US"/>
        </w:rPr>
        <w:t>1/2</w:t>
      </w:r>
      <w:r w:rsidRPr="001D05E8">
        <w:rPr>
          <w:rFonts w:ascii="Abadi" w:hAnsi="Abadi" w:cs="Arial"/>
          <w:sz w:val="21"/>
          <w:szCs w:val="21"/>
          <w:lang w:val="es-MX" w:eastAsia="en-US"/>
        </w:rPr>
        <w:t>, ubicada en el Ejido Caleras de Ameche del municipio de Apaseo el Grande, Gto., en favor del estado de Guanajuato, con una superficie de 16,112.88 m².</w:t>
      </w:r>
    </w:p>
    <w:p w14:paraId="6B3CA2FB" w14:textId="77777777" w:rsidR="001D05E8" w:rsidRPr="001D05E8" w:rsidRDefault="001D05E8" w:rsidP="001D05E8">
      <w:pPr>
        <w:ind w:left="1068"/>
        <w:jc w:val="both"/>
        <w:rPr>
          <w:rFonts w:ascii="Abadi" w:hAnsi="Abadi" w:cs="Arial"/>
          <w:sz w:val="21"/>
          <w:szCs w:val="21"/>
          <w:lang w:val="es-MX" w:eastAsia="en-US"/>
        </w:rPr>
      </w:pPr>
    </w:p>
    <w:p w14:paraId="10457704" w14:textId="77777777" w:rsidR="001D05E8" w:rsidRPr="001D05E8" w:rsidRDefault="001D05E8" w:rsidP="001D05E8">
      <w:pPr>
        <w:ind w:left="1068"/>
        <w:jc w:val="both"/>
        <w:rPr>
          <w:rFonts w:ascii="Abadi" w:hAnsi="Abadi" w:cs="Arial"/>
          <w:sz w:val="21"/>
          <w:szCs w:val="21"/>
          <w:lang w:val="es-MX" w:eastAsia="en-US"/>
        </w:rPr>
      </w:pPr>
    </w:p>
    <w:p w14:paraId="40060EE5" w14:textId="0A2F5BBD" w:rsidR="001D05E8" w:rsidRPr="001D05E8" w:rsidRDefault="001D05E8" w:rsidP="001A28E5">
      <w:pPr>
        <w:numPr>
          <w:ilvl w:val="0"/>
          <w:numId w:val="85"/>
        </w:numPr>
        <w:spacing w:after="200" w:line="276" w:lineRule="auto"/>
        <w:jc w:val="both"/>
        <w:rPr>
          <w:rFonts w:ascii="Abadi" w:hAnsi="Abadi" w:cs="Arial"/>
          <w:sz w:val="21"/>
          <w:szCs w:val="21"/>
          <w:lang w:val="es-MX" w:eastAsia="en-US"/>
        </w:rPr>
      </w:pPr>
      <w:r w:rsidRPr="001D05E8">
        <w:rPr>
          <w:rFonts w:ascii="Abadi" w:hAnsi="Abadi" w:cs="Arial"/>
          <w:sz w:val="21"/>
          <w:szCs w:val="21"/>
          <w:lang w:val="es-MX" w:eastAsia="en-US"/>
        </w:rPr>
        <w:t xml:space="preserve">Copia certificada del primer testimonio de la escritura pública número 1,911, de fecha 22 de noviembre de 2019, otorgada ante la fe del licenciado José Carlos Guerra Aguilera, titular de </w:t>
      </w:r>
      <w:smartTag w:uri="urn:schemas-microsoft-com:office:smarttags" w:element="PersonName">
        <w:smartTagPr>
          <w:attr w:name="ProductID" w:val="la Notar￭a P￺blica"/>
        </w:smartTagPr>
        <w:r w:rsidRPr="001D05E8">
          <w:rPr>
            <w:rFonts w:ascii="Abadi" w:hAnsi="Abadi" w:cs="Arial"/>
            <w:sz w:val="21"/>
            <w:szCs w:val="21"/>
            <w:lang w:val="es-MX" w:eastAsia="en-US"/>
          </w:rPr>
          <w:t>la Notaría Pública</w:t>
        </w:r>
      </w:smartTag>
      <w:r w:rsidRPr="001D05E8">
        <w:rPr>
          <w:rFonts w:ascii="Abadi" w:hAnsi="Abadi" w:cs="Arial"/>
          <w:sz w:val="21"/>
          <w:szCs w:val="21"/>
          <w:lang w:val="es-MX" w:eastAsia="en-US"/>
        </w:rPr>
        <w:t xml:space="preserve"> número 12, en legal ejercicio en el Partido Judicial de Celaya, Gto., y debidamente inscrita en el Registro Público de la Propiedad el 25 de febrero de 2020, bajo el folio real R5*58615, por la que se formalizó el contrato de compraventa de la fracción de la parcela identificada como 29 Z 1 P </w:t>
      </w:r>
      <w:r w:rsidRPr="001D05E8">
        <w:rPr>
          <w:rFonts w:ascii="Abadi" w:hAnsi="Abadi" w:cs="Arial"/>
          <w:sz w:val="21"/>
          <w:szCs w:val="21"/>
          <w:vertAlign w:val="subscript"/>
          <w:lang w:val="es-MX" w:eastAsia="en-US"/>
        </w:rPr>
        <w:t>1/2</w:t>
      </w:r>
      <w:r w:rsidRPr="001D05E8">
        <w:rPr>
          <w:rFonts w:ascii="Abadi" w:hAnsi="Abadi" w:cs="Arial"/>
          <w:sz w:val="21"/>
          <w:szCs w:val="21"/>
          <w:lang w:val="es-MX" w:eastAsia="en-US"/>
        </w:rPr>
        <w:t>, ubicada en el Ejido Caleras de Ameche del municipio de Apaseo el Grande, Gto., en favor del estado de Guanajuato, con una superficie de 15,355.59 m².</w:t>
      </w:r>
    </w:p>
    <w:p w14:paraId="43762B4D" w14:textId="77777777" w:rsidR="001D05E8" w:rsidRPr="001D05E8" w:rsidRDefault="001D05E8" w:rsidP="001A28E5">
      <w:pPr>
        <w:numPr>
          <w:ilvl w:val="0"/>
          <w:numId w:val="85"/>
        </w:numPr>
        <w:spacing w:after="200" w:line="276" w:lineRule="auto"/>
        <w:jc w:val="both"/>
        <w:rPr>
          <w:rFonts w:ascii="Abadi" w:hAnsi="Abadi" w:cs="Arial"/>
          <w:sz w:val="21"/>
          <w:szCs w:val="21"/>
          <w:lang w:val="es-MX" w:eastAsia="en-US"/>
        </w:rPr>
      </w:pPr>
      <w:r w:rsidRPr="001D05E8">
        <w:rPr>
          <w:rFonts w:ascii="Abadi" w:hAnsi="Abadi" w:cs="Arial"/>
          <w:sz w:val="21"/>
          <w:szCs w:val="21"/>
          <w:lang w:val="es-MX" w:eastAsia="en-US"/>
        </w:rPr>
        <w:t xml:space="preserve">Declaratoria de expropiación por causa de utilidad pública emitida por el titular del Ejecutivo del Estado el 29 de noviembre de 2018, dentro del expediente SOP-07/18, debidamente inscrita en el Registro Público de la Propiedad el 19 de febrero de 2019, bajo el folio real R5*54283 y publicada en el Periódico Oficial del Gobierno del Estado de Guanajuato número 157, segunda parte, de fecha 7 de agosto de 2019, mediante la cual se afectó una fracción de terreno con una superficie de 33,171.112 m² que forma parte de un predio de mayor extensión, identificado como parcela número 35 Z 1 P ½, respecto del cual se adquirió el dominio pleno, ubicado en el Ejido Caleras de Ameche del municipio de Apaseo el Grande, Gto., con la finalidad de destinarla al proyecto denominado </w:t>
      </w:r>
      <w:r w:rsidRPr="001D05E8">
        <w:rPr>
          <w:rFonts w:ascii="Abadi" w:hAnsi="Abadi" w:cs="Arial"/>
          <w:i/>
          <w:iCs/>
          <w:sz w:val="21"/>
          <w:szCs w:val="21"/>
          <w:lang w:val="es-MX" w:eastAsia="en-US"/>
        </w:rPr>
        <w:t xml:space="preserve">«Acceso Ferroviario al Parque Automotriz, en Apaseo el Grande, Guanajuato», </w:t>
      </w:r>
      <w:r w:rsidRPr="001D05E8">
        <w:rPr>
          <w:rFonts w:ascii="Abadi" w:hAnsi="Abadi" w:cs="Arial"/>
          <w:sz w:val="21"/>
          <w:szCs w:val="21"/>
          <w:lang w:val="es-MX" w:eastAsia="en-US"/>
        </w:rPr>
        <w:t>que tiene como principal objetivo dar mayor movilidad en la región impulsando la economía basada en la conectividad regional, fortaleciendo la infraestructura para brindar mayor dinamismo al desarrollo económico y logístico del Estado.</w:t>
      </w:r>
    </w:p>
    <w:p w14:paraId="27680716" w14:textId="77777777" w:rsidR="001D05E8" w:rsidRPr="001D05E8" w:rsidRDefault="001D05E8" w:rsidP="001D05E8">
      <w:pPr>
        <w:ind w:left="708"/>
        <w:rPr>
          <w:rFonts w:ascii="Abadi" w:hAnsi="Abadi"/>
          <w:sz w:val="21"/>
          <w:szCs w:val="21"/>
          <w:lang w:val="es-MX" w:eastAsia="en-US"/>
        </w:rPr>
      </w:pPr>
    </w:p>
    <w:p w14:paraId="5CE48FDC"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 xml:space="preserve">De acuerdo a la información que se integró al expediente, la persona moral denominada </w:t>
      </w:r>
      <w:r w:rsidRPr="001D05E8">
        <w:rPr>
          <w:rFonts w:ascii="Abadi" w:hAnsi="Abadi" w:cs="Arial"/>
          <w:i/>
          <w:iCs/>
          <w:sz w:val="21"/>
          <w:szCs w:val="21"/>
          <w:lang w:val="es-MX" w:eastAsia="en-US"/>
        </w:rPr>
        <w:t>Toyota Motor Manufacturing de Guanajuato, S.A. de C.V.,</w:t>
      </w:r>
      <w:r w:rsidRPr="001D05E8">
        <w:rPr>
          <w:rFonts w:ascii="Abadi" w:hAnsi="Abadi" w:cs="Arial"/>
          <w:sz w:val="21"/>
          <w:szCs w:val="21"/>
          <w:lang w:val="es-ES_tradnl" w:eastAsia="en-US"/>
        </w:rPr>
        <w:t xml:space="preserve"> se encuentra legalmente constituida a través de la escritura pública número 70,534, de fecha 18 de noviembre de 2015, otorgada bajo la fe del licenciado Erik Namur Campesino, titular de la Notaría Pública número 94 </w:t>
      </w:r>
      <w:r w:rsidRPr="001D05E8">
        <w:rPr>
          <w:rFonts w:ascii="Abadi" w:hAnsi="Abadi" w:cs="Arial"/>
          <w:sz w:val="21"/>
          <w:szCs w:val="21"/>
          <w:lang w:val="es-MX" w:eastAsia="en-US"/>
        </w:rPr>
        <w:t xml:space="preserve">del Partido Judicial del Distrito Federal, debidamente inscrita en el Registro Público Comercio del Distrito Federal bajo el folio mercantil electrónico número 547275. </w:t>
      </w:r>
    </w:p>
    <w:p w14:paraId="476FE5F4" w14:textId="77777777" w:rsidR="001D05E8" w:rsidRPr="001D05E8" w:rsidRDefault="001D05E8" w:rsidP="001D05E8">
      <w:pPr>
        <w:ind w:firstLine="708"/>
        <w:jc w:val="both"/>
        <w:rPr>
          <w:rFonts w:ascii="Abadi" w:hAnsi="Abadi" w:cs="Arial"/>
          <w:sz w:val="21"/>
          <w:szCs w:val="21"/>
          <w:lang w:val="es-MX" w:eastAsia="en-US"/>
        </w:rPr>
      </w:pPr>
    </w:p>
    <w:p w14:paraId="2AD5A539"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 xml:space="preserve">De igual forma, se integró al expediente de la iniciativa copia del convenio de apoyos complementarios y transmisión de tierra celebrado el 30 de noviembre de 2015, por el Gobierno del Estado de Guanajuato y Toyota Motor Manufacturing de Guanajuato, S.A. de C.V., contando con la participación en calidad de testigo de la persona moral denominada Toyota Motors de México S. de R.L. de C.V., el cual tuvo por objeto: Establecer las bases y mecanismos mediante los cuales el Gobierno del Estado transmitiría a la empresa </w:t>
      </w:r>
      <w:r w:rsidRPr="001D05E8">
        <w:rPr>
          <w:rFonts w:ascii="Abadi" w:hAnsi="Abadi" w:cs="Arial"/>
          <w:i/>
          <w:iCs/>
          <w:sz w:val="21"/>
          <w:szCs w:val="21"/>
          <w:lang w:val="es-MX" w:eastAsia="en-US"/>
        </w:rPr>
        <w:t>Toyota Motor Manufacturing de Guanajuato, S.A. de C.V.,</w:t>
      </w:r>
      <w:r w:rsidRPr="001D05E8">
        <w:rPr>
          <w:rFonts w:ascii="Abadi" w:hAnsi="Abadi" w:cs="Arial"/>
          <w:sz w:val="21"/>
          <w:szCs w:val="21"/>
          <w:lang w:val="es-ES_tradnl" w:eastAsia="en-US"/>
        </w:rPr>
        <w:t xml:space="preserve"> </w:t>
      </w:r>
      <w:r w:rsidRPr="001D05E8">
        <w:rPr>
          <w:rFonts w:ascii="Abadi" w:hAnsi="Abadi" w:cs="Arial"/>
          <w:sz w:val="21"/>
          <w:szCs w:val="21"/>
          <w:lang w:val="es-MX" w:eastAsia="en-US"/>
        </w:rPr>
        <w:t xml:space="preserve">la propiedad del polígono de 607 hectáreas, para ser destinado a la implementación, desarrollo y ejecución del proyecto de un complejo de manufactura de vehículos en la entidad; definir las bases bajo las cuales la empresa recibiría los incentivos pagados por el Gobierno Federal y complementariamente los apoyos estatales; y la realización de las acciones tendientes a la generación de infraestructura que permitiera la adecuada operación del proyecto, conforme a los calendarios que las partes estipulasen. </w:t>
      </w:r>
    </w:p>
    <w:p w14:paraId="61303E8B" w14:textId="77777777" w:rsidR="001D05E8" w:rsidRPr="001D05E8" w:rsidRDefault="001D05E8" w:rsidP="001D05E8">
      <w:pPr>
        <w:ind w:firstLine="708"/>
        <w:jc w:val="both"/>
        <w:rPr>
          <w:rFonts w:ascii="Abadi" w:hAnsi="Abadi" w:cs="Arial"/>
          <w:sz w:val="21"/>
          <w:szCs w:val="21"/>
          <w:lang w:val="es-MX" w:eastAsia="en-US"/>
        </w:rPr>
      </w:pPr>
    </w:p>
    <w:p w14:paraId="12DC353D"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 xml:space="preserve">En la Cláusula Tercera se pactó por las partes que el Gobierno del Estado se comprometió a transferir a la empresa la totalidad del polígono a cambio de una contraprestación total de un dólar americano por metro cuadrado, como contraprestación; y que, la diferencia que resultase entre el valor de adquisición del Gobierno y el valor de la contraprestación referida, constituiría un incentivo otorgado a la empresa. </w:t>
      </w:r>
    </w:p>
    <w:p w14:paraId="24F3175D" w14:textId="77777777" w:rsidR="001D05E8" w:rsidRPr="001D05E8" w:rsidRDefault="001D05E8" w:rsidP="001D05E8">
      <w:pPr>
        <w:ind w:firstLine="708"/>
        <w:jc w:val="both"/>
        <w:rPr>
          <w:rFonts w:ascii="Abadi" w:hAnsi="Abadi" w:cs="Arial"/>
          <w:sz w:val="21"/>
          <w:szCs w:val="21"/>
          <w:lang w:val="es-MX" w:eastAsia="en-US"/>
        </w:rPr>
      </w:pPr>
    </w:p>
    <w:p w14:paraId="1CD41916"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De igual forma, en el numeral IV del capítulo de Declaraciones de este instrumento consensual, se estableció que:</w:t>
      </w:r>
    </w:p>
    <w:p w14:paraId="0FD333B7" w14:textId="77777777" w:rsidR="001D05E8" w:rsidRPr="001D05E8" w:rsidRDefault="001D05E8" w:rsidP="001D05E8">
      <w:pPr>
        <w:spacing w:line="276" w:lineRule="auto"/>
        <w:ind w:left="1428"/>
        <w:jc w:val="both"/>
        <w:rPr>
          <w:rFonts w:ascii="Abadi" w:hAnsi="Abadi" w:cs="Arial"/>
          <w:sz w:val="21"/>
          <w:szCs w:val="21"/>
          <w:lang w:eastAsia="en-US"/>
        </w:rPr>
      </w:pPr>
    </w:p>
    <w:p w14:paraId="3473BB56" w14:textId="77777777" w:rsidR="001D05E8" w:rsidRPr="001D05E8" w:rsidRDefault="001D05E8" w:rsidP="001D05E8">
      <w:pPr>
        <w:ind w:left="709"/>
        <w:jc w:val="both"/>
        <w:rPr>
          <w:rFonts w:ascii="Abadi" w:hAnsi="Abadi" w:cs="Arial"/>
          <w:i/>
          <w:sz w:val="21"/>
          <w:szCs w:val="21"/>
          <w:lang w:eastAsia="en-US"/>
        </w:rPr>
      </w:pPr>
      <w:r w:rsidRPr="001D05E8">
        <w:rPr>
          <w:rFonts w:ascii="Abadi" w:hAnsi="Abadi" w:cs="Arial"/>
          <w:i/>
          <w:sz w:val="21"/>
          <w:szCs w:val="21"/>
          <w:lang w:eastAsia="en-US"/>
        </w:rPr>
        <w:t xml:space="preserve">«El Gobierno Federal no es parte de ese convenio ni de la carta de intención, pero existen compromisos de apoyo asumidos por el Gobierno Federal a través de la Secretaría de Economía, Proméexico y otras secretarías y dependencias de estado, los cuales </w:t>
      </w:r>
      <w:r w:rsidRPr="001D05E8">
        <w:rPr>
          <w:rFonts w:ascii="Abadi" w:hAnsi="Abadi" w:cs="Arial"/>
          <w:b/>
          <w:bCs/>
          <w:i/>
          <w:sz w:val="21"/>
          <w:szCs w:val="21"/>
          <w:u w:val="single"/>
          <w:lang w:eastAsia="en-US"/>
        </w:rPr>
        <w:t>constituyen condiciones esenciales para el desarrollo e implementación del proyecto».</w:t>
      </w:r>
    </w:p>
    <w:p w14:paraId="56E6B37F" w14:textId="77777777" w:rsidR="001D05E8" w:rsidRPr="001D05E8" w:rsidRDefault="001D05E8" w:rsidP="001D05E8">
      <w:pPr>
        <w:spacing w:line="276" w:lineRule="auto"/>
        <w:ind w:firstLine="708"/>
        <w:jc w:val="both"/>
        <w:rPr>
          <w:rFonts w:ascii="Abadi" w:hAnsi="Abadi" w:cs="Arial"/>
          <w:sz w:val="21"/>
          <w:szCs w:val="21"/>
          <w:lang w:eastAsia="en-US"/>
        </w:rPr>
      </w:pPr>
    </w:p>
    <w:p w14:paraId="6B81067F"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 xml:space="preserve">En el Anexo A de dicho convenio identificado como «Incentivos Federales e Incentivos Estatales», se hizo mención </w:t>
      </w:r>
      <w:proofErr w:type="gramStart"/>
      <w:r w:rsidRPr="001D05E8">
        <w:rPr>
          <w:rFonts w:ascii="Abadi" w:hAnsi="Abadi" w:cs="Arial"/>
          <w:sz w:val="21"/>
          <w:szCs w:val="21"/>
          <w:lang w:val="es-MX" w:eastAsia="en-US"/>
        </w:rPr>
        <w:t>a</w:t>
      </w:r>
      <w:proofErr w:type="gramEnd"/>
      <w:r w:rsidRPr="001D05E8">
        <w:rPr>
          <w:rFonts w:ascii="Abadi" w:hAnsi="Abadi" w:cs="Arial"/>
          <w:sz w:val="21"/>
          <w:szCs w:val="21"/>
          <w:lang w:val="es-MX" w:eastAsia="en-US"/>
        </w:rPr>
        <w:t xml:space="preserve"> II. Apoyo a la Infraestructura (pagado por el Gobierno Federal), consistente en: vías de acceso, puentes (Pasos elevados), infraestructura ferroviaria, líneas eléctricas, proyecto ejecutivo, estudios técnicos, permisos y derechos de paso.</w:t>
      </w:r>
    </w:p>
    <w:p w14:paraId="4FE31D8A" w14:textId="77777777" w:rsidR="001D05E8" w:rsidRPr="001D05E8" w:rsidRDefault="001D05E8" w:rsidP="001D05E8">
      <w:pPr>
        <w:ind w:firstLine="708"/>
        <w:jc w:val="both"/>
        <w:rPr>
          <w:rFonts w:ascii="Abadi" w:hAnsi="Abadi" w:cs="Arial"/>
          <w:sz w:val="21"/>
          <w:szCs w:val="21"/>
          <w:lang w:val="es-MX" w:eastAsia="en-US"/>
        </w:rPr>
      </w:pPr>
    </w:p>
    <w:p w14:paraId="501A35A9" w14:textId="50AA586E" w:rsidR="001D05E8" w:rsidRPr="001D05E8" w:rsidRDefault="001D05E8" w:rsidP="001D05E8">
      <w:pPr>
        <w:spacing w:after="200"/>
        <w:ind w:firstLine="708"/>
        <w:jc w:val="both"/>
        <w:rPr>
          <w:rFonts w:ascii="Abadi" w:hAnsi="Abadi" w:cs="Arial"/>
          <w:sz w:val="21"/>
          <w:szCs w:val="21"/>
          <w:lang w:val="es-MX" w:eastAsia="en-US"/>
        </w:rPr>
      </w:pPr>
      <w:r w:rsidRPr="001D05E8">
        <w:rPr>
          <w:rFonts w:ascii="Abadi" w:hAnsi="Abadi" w:cs="Arial"/>
          <w:sz w:val="21"/>
          <w:szCs w:val="21"/>
          <w:lang w:val="es-MX" w:eastAsia="en-US"/>
        </w:rPr>
        <w:t>También se anexó a la iniciativa copia de la publicación en el Periódico Oficial del Gobierno del Estado de Guanajuato número 186, tercera parte, de fecha 20 de noviembre de 2015 del Decreto número 9 expedido por la Sexagésima Tercera Legislatura, mediante el cual se desafectaron del dominio público del Estado los bienes inmuebles adquiridos y los que se adquirieran para la constitución de una reserva territorial de aproximadamente 607-00-00 seiscientas siete hectáreas en el municipio de Apaseo el Grande, Gto., autorizando en lo general al titular del Poder Ejecutivo del Estado para realizar los actos necesarios para su enajenación, para destinarlos a la conformación de un polo de desarrollo industrial en el citado Municipio por el que se fortalezca el clúster automotriz del Estado y se fomente el desarrollo integral de la región Laja–Bajío, a fin de generar mejores condiciones de vida para los guanajuatenses.</w:t>
      </w:r>
    </w:p>
    <w:p w14:paraId="18898564"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 xml:space="preserve">Además, obra en el expediente copia del oficio número DGRMSGC/DCP/5316/2020, de fecha 16 de diciembre de 2020, mediante el cual el Director de Control Patrimonial de la Secretaría de Finanzas, Inversión y Administración le informó al Director General de Infraestructura Industrial de la Secretaría de Desarrollo Económico Sustentable que la Secretaría de Infraestructura, Conectividad y Movilidad, solicitó gestionar la autorización del titular del Poder Ejecutivo del Estado, para llevar a cabo los trámites correspondientes de desafectación y autorización del Congreso del Estado, con el objeto de transmitir a favor de </w:t>
      </w:r>
      <w:r w:rsidRPr="001D05E8">
        <w:rPr>
          <w:rFonts w:ascii="Abadi" w:hAnsi="Abadi" w:cs="Arial"/>
          <w:i/>
          <w:iCs/>
          <w:sz w:val="21"/>
          <w:szCs w:val="21"/>
          <w:lang w:val="es-MX" w:eastAsia="en-US"/>
        </w:rPr>
        <w:t>Toyota Motor Manufacturing de Guanajuato, S.A. de C.V.,</w:t>
      </w:r>
      <w:r w:rsidRPr="001D05E8">
        <w:rPr>
          <w:rFonts w:ascii="Abadi" w:hAnsi="Abadi" w:cs="Arial"/>
          <w:sz w:val="21"/>
          <w:szCs w:val="21"/>
          <w:lang w:val="es-MX" w:eastAsia="en-US"/>
        </w:rPr>
        <w:t xml:space="preserve"> tres inmuebles de propiedad estatal que conforman el polígono denominado «</w:t>
      </w:r>
      <w:r w:rsidRPr="001D05E8">
        <w:rPr>
          <w:rFonts w:ascii="Abadi" w:hAnsi="Abadi" w:cs="Arial"/>
          <w:i/>
          <w:iCs/>
          <w:sz w:val="21"/>
          <w:szCs w:val="21"/>
          <w:lang w:val="es-MX" w:eastAsia="en-US"/>
        </w:rPr>
        <w:t>Espuela Ferroviaria»</w:t>
      </w:r>
      <w:r w:rsidRPr="001D05E8">
        <w:rPr>
          <w:rFonts w:ascii="Abadi" w:hAnsi="Abadi" w:cs="Arial"/>
          <w:sz w:val="21"/>
          <w:szCs w:val="21"/>
          <w:lang w:val="es-MX" w:eastAsia="en-US"/>
        </w:rPr>
        <w:t>, en seguimiento a los acuerdos establecidos en el convenio de cesión parcial de derechos posesorios, celebrado por el Gobierno del Estado de Guanajuato, con la referida sociedad mercantil el 27 de mayo de 2019, en el que se consignó que para el desarrollo del proyecto, era necesaria la instrumentación de infraestructura ferroviaria, habiéndose determinado un polígono con una superficie de alrededor de 7.8 hectáreas conformado por cinco predios; concluyendo que con los elementos con los que se cuenta no es posible determinar que el polígono para la «</w:t>
      </w:r>
      <w:r w:rsidRPr="001D05E8">
        <w:rPr>
          <w:rFonts w:ascii="Abadi" w:hAnsi="Abadi" w:cs="Arial"/>
          <w:i/>
          <w:iCs/>
          <w:sz w:val="21"/>
          <w:szCs w:val="21"/>
          <w:lang w:val="es-MX" w:eastAsia="en-US"/>
        </w:rPr>
        <w:t>Espuela Ferroviaria»</w:t>
      </w:r>
      <w:r w:rsidRPr="001D05E8">
        <w:rPr>
          <w:rFonts w:ascii="Abadi" w:hAnsi="Abadi" w:cs="Arial"/>
          <w:sz w:val="21"/>
          <w:szCs w:val="21"/>
          <w:lang w:val="es-MX" w:eastAsia="en-US"/>
        </w:rPr>
        <w:t>, forme parte del referido Decreto número 9, por lo que solicitó se informe si es posible identificar si la solicitud formulada por la Secretaría de Infraestructura, Conectividad y Movilidad, forma parte del referido Decreto, y tener la certeza de que la superficie sobre la que versa la petición ya se encuentra desafectada y con autorización de enajenación.</w:t>
      </w:r>
    </w:p>
    <w:p w14:paraId="6ECF1482" w14:textId="77777777" w:rsidR="001D05E8" w:rsidRPr="001D05E8" w:rsidRDefault="001D05E8" w:rsidP="001D05E8">
      <w:pPr>
        <w:ind w:firstLine="708"/>
        <w:jc w:val="both"/>
        <w:rPr>
          <w:rFonts w:ascii="Abadi" w:hAnsi="Abadi" w:cs="Arial"/>
          <w:sz w:val="21"/>
          <w:szCs w:val="21"/>
          <w:lang w:val="es-MX" w:eastAsia="en-US"/>
        </w:rPr>
      </w:pPr>
    </w:p>
    <w:p w14:paraId="1952AE7F"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 xml:space="preserve">En este orden de ideas, mediante oficios DGII 119/2020 y DGII 002/2021, de fechas 18 de diciembre de 2020 y 15 de enero de 2021, respectivamente, el Director General de Infraestructura Industrial de la Secretaría de Desarrollo Económico Sustentable informó al Director de Control Patrimonial de la Secretaría de Finanzas, Inversión y Administración que dicha Secretaría está en la mejor disposición de participar en mesas interinstitucionales a efecto de analizar de manera integral el tema materia de la consulta; remitiéndole copia certificada del oficio suscrito por el titular de la Secretaría de Desarrollo Económico Sustentable en el que informó al Congreso del Estado haber adquirido la totalidad del polígono destinado para la consolidación de la reserva territorial, donde se erigirá el complejo industrial para la instalación de la empresa </w:t>
      </w:r>
      <w:r w:rsidRPr="001D05E8">
        <w:rPr>
          <w:rFonts w:ascii="Abadi" w:hAnsi="Abadi" w:cs="Arial"/>
          <w:i/>
          <w:iCs/>
          <w:sz w:val="21"/>
          <w:szCs w:val="21"/>
          <w:lang w:val="es-MX" w:eastAsia="en-US"/>
        </w:rPr>
        <w:t>Toyota Motor Manufacturing de Guanajuato S.A. de C.V.,</w:t>
      </w:r>
      <w:r w:rsidRPr="001D05E8">
        <w:rPr>
          <w:rFonts w:ascii="Abadi" w:hAnsi="Abadi" w:cs="Arial"/>
          <w:sz w:val="21"/>
          <w:szCs w:val="21"/>
          <w:lang w:val="es-MX" w:eastAsia="en-US"/>
        </w:rPr>
        <w:t xml:space="preserve"> dando cumplimiento al Decreto número 9 publicado en el Periódico Oficial del Gobierno del Estado de Guanajuato fecha 20 de noviembre de 2015, tercera parte.</w:t>
      </w:r>
    </w:p>
    <w:p w14:paraId="13FD0DF0" w14:textId="77777777" w:rsidR="001D05E8" w:rsidRPr="001D05E8" w:rsidRDefault="001D05E8" w:rsidP="001D05E8">
      <w:pPr>
        <w:ind w:firstLine="708"/>
        <w:jc w:val="both"/>
        <w:rPr>
          <w:rFonts w:ascii="Abadi" w:hAnsi="Abadi" w:cs="Arial"/>
          <w:sz w:val="21"/>
          <w:szCs w:val="21"/>
          <w:lang w:val="es-MX" w:eastAsia="en-US"/>
        </w:rPr>
      </w:pPr>
    </w:p>
    <w:p w14:paraId="35F60863" w14:textId="608F9F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Se integraron al expediente de la iniciativa, los planos de localización que establecen la superficie, medidas y colindancias de los bienes inmuebles materia de la enajenación; así como los certificados de gravámenes y de historia registral de los mismos.</w:t>
      </w:r>
    </w:p>
    <w:p w14:paraId="3AAC9C4D" w14:textId="77777777" w:rsidR="001D05E8" w:rsidRPr="001D05E8" w:rsidRDefault="001D05E8" w:rsidP="001D05E8">
      <w:pPr>
        <w:ind w:firstLine="708"/>
        <w:jc w:val="both"/>
        <w:rPr>
          <w:rFonts w:ascii="Abadi" w:hAnsi="Abadi" w:cs="Arial"/>
          <w:sz w:val="21"/>
          <w:szCs w:val="21"/>
          <w:lang w:val="es-MX" w:eastAsia="en-US"/>
        </w:rPr>
      </w:pPr>
    </w:p>
    <w:p w14:paraId="0AF503C0"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Posteriormente, mediante oficio número CGJ/DALR-2142/2022, de fecha 3 de mayo de 2022, la Coordinadora General Jurídica de Gobierno del Estado remitió los avalúos inmobiliarios de fecha 26 de abril de 2022, elaborados por la Dirección de Catastro adscrita a la Dirección General de Recursos Materiales, Servicios Generales y Catastro de la Secretaría de Finanzas, Inversión y Administración del Estado para determinar el valor comercial de las parcelas números 35 Z-1 P1/2, 23 Z- 1 P1/2 y 29 Z- 1 P1/2 del Ejido Caleras de Ameche.</w:t>
      </w:r>
    </w:p>
    <w:p w14:paraId="749DA50E" w14:textId="77777777" w:rsidR="001D05E8" w:rsidRPr="001D05E8" w:rsidRDefault="001D05E8" w:rsidP="001D05E8">
      <w:pPr>
        <w:spacing w:line="276" w:lineRule="auto"/>
        <w:ind w:firstLine="708"/>
        <w:jc w:val="both"/>
        <w:rPr>
          <w:rFonts w:ascii="Abadi" w:hAnsi="Abadi" w:cs="Arial"/>
          <w:iCs/>
          <w:sz w:val="21"/>
          <w:szCs w:val="21"/>
          <w:lang w:val="es-MX" w:eastAsia="en-US"/>
        </w:rPr>
      </w:pPr>
    </w:p>
    <w:p w14:paraId="5ED1EECA" w14:textId="77777777" w:rsidR="001D05E8" w:rsidRPr="001D05E8" w:rsidRDefault="001D05E8" w:rsidP="001D05E8">
      <w:pPr>
        <w:spacing w:line="276" w:lineRule="auto"/>
        <w:ind w:firstLine="708"/>
        <w:jc w:val="both"/>
        <w:rPr>
          <w:rFonts w:ascii="Abadi" w:hAnsi="Abadi" w:cs="Arial"/>
          <w:iCs/>
          <w:sz w:val="21"/>
          <w:szCs w:val="21"/>
          <w:lang w:val="es-MX" w:eastAsia="en-US"/>
        </w:rPr>
      </w:pPr>
      <w:r w:rsidRPr="001D05E8">
        <w:rPr>
          <w:rFonts w:ascii="Abadi" w:hAnsi="Abadi" w:cs="Arial"/>
          <w:iCs/>
          <w:sz w:val="21"/>
          <w:szCs w:val="21"/>
          <w:lang w:val="es-MX" w:eastAsia="en-US"/>
        </w:rPr>
        <w:t>En la exposición de motivos de la iniciativa que nos ocupa, se establece que:</w:t>
      </w:r>
    </w:p>
    <w:p w14:paraId="36C29A05" w14:textId="77777777" w:rsidR="001D05E8" w:rsidRPr="001D05E8" w:rsidRDefault="001D05E8" w:rsidP="001D05E8">
      <w:pPr>
        <w:spacing w:line="276" w:lineRule="auto"/>
        <w:ind w:firstLine="708"/>
        <w:jc w:val="both"/>
        <w:rPr>
          <w:rFonts w:ascii="Abadi" w:hAnsi="Abadi" w:cs="Arial"/>
          <w:iCs/>
          <w:sz w:val="21"/>
          <w:szCs w:val="21"/>
          <w:lang w:val="es-MX" w:eastAsia="en-US"/>
        </w:rPr>
      </w:pPr>
    </w:p>
    <w:p w14:paraId="629B751A" w14:textId="77777777" w:rsidR="001D05E8" w:rsidRPr="001D05E8" w:rsidRDefault="001D05E8" w:rsidP="001D05E8">
      <w:pPr>
        <w:ind w:left="709"/>
        <w:jc w:val="both"/>
        <w:rPr>
          <w:rFonts w:ascii="Abadi" w:hAnsi="Abadi" w:cs="Arial"/>
          <w:i/>
          <w:iCs/>
          <w:sz w:val="21"/>
          <w:szCs w:val="21"/>
          <w:lang w:val="es-MX" w:eastAsia="en-US"/>
        </w:rPr>
      </w:pPr>
      <w:r w:rsidRPr="001D05E8">
        <w:rPr>
          <w:rFonts w:ascii="Abadi" w:hAnsi="Abadi" w:cs="Arial"/>
          <w:i/>
          <w:iCs/>
          <w:sz w:val="21"/>
          <w:szCs w:val="21"/>
          <w:lang w:val="es-MX" w:eastAsia="en-US"/>
        </w:rPr>
        <w:t>Con la actualización del Programa de Gobierno 2018-2024</w:t>
      </w:r>
      <w:r w:rsidRPr="001D05E8">
        <w:rPr>
          <w:rFonts w:ascii="Abadi" w:hAnsi="Abadi" w:cs="Arial"/>
          <w:i/>
          <w:iCs/>
          <w:sz w:val="21"/>
          <w:szCs w:val="21"/>
          <w:vertAlign w:val="superscript"/>
          <w:lang w:val="es-MX" w:eastAsia="en-US"/>
        </w:rPr>
        <w:footnoteReference w:id="178"/>
      </w:r>
      <w:r w:rsidRPr="001D05E8">
        <w:rPr>
          <w:rFonts w:ascii="Abadi" w:hAnsi="Abadi" w:cs="Arial"/>
          <w:i/>
          <w:iCs/>
          <w:sz w:val="21"/>
          <w:szCs w:val="21"/>
          <w:lang w:val="es-MX" w:eastAsia="en-US"/>
        </w:rPr>
        <w:t xml:space="preserve"> se busca tener una visión que contemple las nuevas realidades y proponga acciones que den pauta a la recuperación y el desarrollo sostenible de los sectores productivos y de la sociedad en general. Parte de nuestra misión es ser un Gobierno que trabaja para impulsar el desarrollo integral de la población con políticas públicas sostenibles, incluyentes e innovadoras que proyectan el liderazgo de Guanajuato y su gente a nivel nacional e internacional.</w:t>
      </w:r>
    </w:p>
    <w:p w14:paraId="00E844A2" w14:textId="77777777" w:rsidR="001D05E8" w:rsidRPr="001D05E8" w:rsidRDefault="001D05E8" w:rsidP="001D05E8">
      <w:pPr>
        <w:ind w:left="709"/>
        <w:jc w:val="both"/>
        <w:rPr>
          <w:rFonts w:ascii="Abadi" w:hAnsi="Abadi" w:cs="Arial"/>
          <w:i/>
          <w:iCs/>
          <w:sz w:val="21"/>
          <w:szCs w:val="21"/>
          <w:lang w:val="es-MX" w:eastAsia="en-US"/>
        </w:rPr>
      </w:pPr>
    </w:p>
    <w:p w14:paraId="699DBAB0" w14:textId="77777777" w:rsidR="001D05E8" w:rsidRPr="001D05E8" w:rsidRDefault="001D05E8" w:rsidP="001D05E8">
      <w:pPr>
        <w:ind w:left="709"/>
        <w:jc w:val="both"/>
        <w:rPr>
          <w:rFonts w:ascii="Abadi" w:hAnsi="Abadi" w:cs="Arial"/>
          <w:i/>
          <w:iCs/>
          <w:sz w:val="21"/>
          <w:szCs w:val="21"/>
          <w:lang w:val="es-MX" w:eastAsia="en-US"/>
        </w:rPr>
      </w:pPr>
      <w:r w:rsidRPr="001D05E8">
        <w:rPr>
          <w:rFonts w:ascii="Abadi" w:hAnsi="Abadi" w:cs="Arial"/>
          <w:i/>
          <w:iCs/>
          <w:sz w:val="21"/>
          <w:szCs w:val="21"/>
          <w:lang w:val="es-MX" w:eastAsia="en-US"/>
        </w:rPr>
        <w:t xml:space="preserve">En tal sentido, el «Eje Economía para todos» prevé como línea estratégica el impulso a la reactivación de la economía para generar más y mejores oportunidades de empleo e ingreso para la población y entre su principales objetivos se encuentran el 4.1 «Fortalecer la generación de empleo en el estado de Guanajuato a través de la atracción de inversiones, la formación y desarrollo del capital humano», 4.2 «Fortalecer la creación, desarrollo, permanencia e internacionalización de las unidades económicas en la entidad» y 4.6 «Fortalecer la infraestructura logística e industrial para la competitividad del estado». </w:t>
      </w:r>
    </w:p>
    <w:p w14:paraId="630FE8D9" w14:textId="77777777" w:rsidR="001D05E8" w:rsidRPr="001D05E8" w:rsidRDefault="001D05E8" w:rsidP="001D05E8">
      <w:pPr>
        <w:ind w:left="709"/>
        <w:jc w:val="both"/>
        <w:rPr>
          <w:rFonts w:ascii="Abadi" w:hAnsi="Abadi" w:cs="Arial"/>
          <w:i/>
          <w:iCs/>
          <w:sz w:val="21"/>
          <w:szCs w:val="21"/>
          <w:lang w:val="es-MX" w:eastAsia="en-US"/>
        </w:rPr>
      </w:pPr>
    </w:p>
    <w:p w14:paraId="4D738695" w14:textId="052D4912" w:rsidR="001D05E8" w:rsidRPr="001D05E8" w:rsidRDefault="001D05E8" w:rsidP="001D05E8">
      <w:pPr>
        <w:ind w:left="709"/>
        <w:jc w:val="both"/>
        <w:rPr>
          <w:rFonts w:ascii="Abadi" w:hAnsi="Abadi" w:cs="Arial"/>
          <w:i/>
          <w:iCs/>
          <w:sz w:val="21"/>
          <w:szCs w:val="21"/>
          <w:lang w:val="es-MX" w:eastAsia="en-US"/>
        </w:rPr>
      </w:pPr>
      <w:r w:rsidRPr="001D05E8">
        <w:rPr>
          <w:rFonts w:ascii="Abadi" w:hAnsi="Abadi" w:cs="Arial"/>
          <w:i/>
          <w:iCs/>
          <w:sz w:val="21"/>
          <w:szCs w:val="21"/>
          <w:lang w:val="es-MX" w:eastAsia="en-US"/>
        </w:rPr>
        <w:t>Aunado a lo anterior, el Estado enfrenta actualmente grandes retos, entre ellos, la alta concentración o dependencia de las exportaciones en el sector automotriz, generadas por las empresas armadoras ubicadas en esta entidad federativa. En este sentido, el progreso tecnológico, de infraestructura, de comunicaciones y del capital humano, entre otros, permiten que países en desarrollo sean capaces de manufacturar los productos con las calidades requeridas y a costos competitivos, conforme a lo cual Guanajuato se sitúa con el cuarenta y ocho por ciento de las exportaciones que se realizan por ferrocarril, así como con el trece por ciento respecto de las importaciones que se efectúan por el mismo medio.</w:t>
      </w:r>
    </w:p>
    <w:p w14:paraId="63FED719" w14:textId="77777777" w:rsidR="001D05E8" w:rsidRPr="001D05E8" w:rsidRDefault="001D05E8" w:rsidP="001D05E8">
      <w:pPr>
        <w:ind w:left="709"/>
        <w:jc w:val="both"/>
        <w:rPr>
          <w:rFonts w:ascii="Abadi" w:hAnsi="Abadi" w:cs="Arial"/>
          <w:i/>
          <w:iCs/>
          <w:sz w:val="21"/>
          <w:szCs w:val="21"/>
          <w:lang w:val="es-MX" w:eastAsia="en-US"/>
        </w:rPr>
      </w:pPr>
    </w:p>
    <w:p w14:paraId="428EB32C" w14:textId="77777777" w:rsidR="001D05E8" w:rsidRPr="001D05E8" w:rsidRDefault="001D05E8" w:rsidP="001D05E8">
      <w:pPr>
        <w:ind w:left="709"/>
        <w:jc w:val="both"/>
        <w:rPr>
          <w:rFonts w:ascii="Abadi" w:hAnsi="Abadi"/>
          <w:sz w:val="21"/>
          <w:szCs w:val="21"/>
          <w:lang w:val="es-MX" w:eastAsia="en-US"/>
        </w:rPr>
      </w:pPr>
      <w:r w:rsidRPr="001D05E8">
        <w:rPr>
          <w:rFonts w:ascii="Abadi" w:hAnsi="Abadi" w:cs="Arial"/>
          <w:i/>
          <w:iCs/>
          <w:sz w:val="21"/>
          <w:szCs w:val="21"/>
          <w:lang w:val="es-MX" w:eastAsia="en-US"/>
        </w:rPr>
        <w:t>Como resultado de las acciones del gobierno estatal, mediante Decreto número 9, publicado en el ejemplar del Periódico Oficial del Gobierno del Estado número 186, Tercera Parte, de fecha 20 de noviembre de 2015, se autorizó la desafectación del dominio público del Estado, de los bienes inmuebles adquiridos y los que se adquieran para la constitución de una reserva territorial de aproximadamente 607-00-00 seiscientas siete hectáreas, ubicadas en el municipio de Apaseo el Grande, Gto., y se facultó al titular del Poder Ejecutivo del Estado para que se realizaran los actos necesarios para su enajenación, a efecto de que se destinen a la conformación de un polo de desarrollo industrial por el que se fortalezca el clúster automotriz del Estado y se fomente el desarrollo integral de la región Laja-Bajío, siendo que derivado de lo anterior, se enajenaron diversos bienes a favor de la empresa denominada Toyota Motor Manufacturing de Guanajuato S.A. de C.V.</w:t>
      </w:r>
    </w:p>
    <w:p w14:paraId="777C77B2" w14:textId="77777777" w:rsidR="001D05E8" w:rsidRPr="001D05E8" w:rsidRDefault="001D05E8" w:rsidP="001D05E8">
      <w:pPr>
        <w:ind w:left="709"/>
        <w:jc w:val="both"/>
        <w:rPr>
          <w:rFonts w:ascii="Abadi" w:hAnsi="Abadi"/>
          <w:sz w:val="21"/>
          <w:szCs w:val="21"/>
          <w:lang w:val="es-MX" w:eastAsia="en-US"/>
        </w:rPr>
      </w:pPr>
    </w:p>
    <w:p w14:paraId="7D08EA43" w14:textId="77777777" w:rsidR="001D05E8" w:rsidRPr="001D05E8" w:rsidRDefault="001D05E8" w:rsidP="001D05E8">
      <w:pPr>
        <w:ind w:left="709"/>
        <w:jc w:val="both"/>
        <w:rPr>
          <w:rFonts w:ascii="Abadi" w:hAnsi="Abadi" w:cs="Arial"/>
          <w:i/>
          <w:iCs/>
          <w:sz w:val="21"/>
          <w:szCs w:val="21"/>
          <w:lang w:val="es-MX" w:eastAsia="en-US"/>
        </w:rPr>
      </w:pPr>
      <w:r w:rsidRPr="001D05E8">
        <w:rPr>
          <w:rFonts w:ascii="Abadi" w:hAnsi="Abadi" w:cs="Arial"/>
          <w:i/>
          <w:iCs/>
          <w:sz w:val="21"/>
          <w:szCs w:val="21"/>
          <w:lang w:val="es-MX" w:eastAsia="en-US"/>
        </w:rPr>
        <w:t xml:space="preserve">En razón de lo anterior, y toda vez que para el desarrollo del proyecto citado en el párrafo que antecede, es necesaria la instrumentación de la infraestructura ferroviaria, se determinó un polígono con una superficie aproximada de 7.80 siete punto ochenta hectáreas, conformado por cinco predios, ubicados en el municipio de Apaseo el Grande, Gto., esto mediante convenio de cesión parcial de derechos posesorios, de fecha 27 de mayo de 2019, celebrado entre el Gobierno del Estado de Guanajuato y la supracitada sociedad, a fin de transmitir la posesión, y posteriormente la propiedad del polígono «Espuela Ferroviaria». </w:t>
      </w:r>
    </w:p>
    <w:p w14:paraId="5A0FFD41" w14:textId="77777777" w:rsidR="001D05E8" w:rsidRPr="001D05E8" w:rsidRDefault="001D05E8" w:rsidP="001D05E8">
      <w:pPr>
        <w:ind w:left="709"/>
        <w:jc w:val="both"/>
        <w:rPr>
          <w:rFonts w:ascii="Abadi" w:hAnsi="Abadi" w:cs="Arial"/>
          <w:i/>
          <w:iCs/>
          <w:sz w:val="21"/>
          <w:szCs w:val="21"/>
          <w:lang w:val="es-MX" w:eastAsia="en-US"/>
        </w:rPr>
      </w:pPr>
    </w:p>
    <w:p w14:paraId="32739CA0" w14:textId="77777777" w:rsidR="001D05E8" w:rsidRPr="001D05E8" w:rsidRDefault="001D05E8" w:rsidP="001D05E8">
      <w:pPr>
        <w:ind w:left="709"/>
        <w:jc w:val="both"/>
        <w:rPr>
          <w:rFonts w:ascii="Abadi" w:hAnsi="Abadi" w:cs="Arial"/>
          <w:i/>
          <w:iCs/>
          <w:sz w:val="21"/>
          <w:szCs w:val="21"/>
          <w:lang w:val="es-MX" w:eastAsia="en-US"/>
        </w:rPr>
      </w:pPr>
      <w:r w:rsidRPr="001D05E8">
        <w:rPr>
          <w:rFonts w:ascii="Abadi" w:hAnsi="Abadi" w:cs="Arial"/>
          <w:i/>
          <w:iCs/>
          <w:sz w:val="21"/>
          <w:szCs w:val="21"/>
          <w:lang w:val="es-MX" w:eastAsia="en-US"/>
        </w:rPr>
        <w:t>Actualmente, se ha consolidado la propiedad a favor del estado de Guanajuato, de tres inmuebles localizados en el municipio de Apaseo el Grande, Gto., y comprendidos en el polígono aludido, los cuales se detallan a continuación:</w:t>
      </w:r>
    </w:p>
    <w:p w14:paraId="184C8330" w14:textId="77777777" w:rsidR="001D05E8" w:rsidRPr="001D05E8" w:rsidRDefault="001D05E8" w:rsidP="001D05E8">
      <w:pPr>
        <w:ind w:left="709"/>
        <w:jc w:val="both"/>
        <w:rPr>
          <w:rFonts w:ascii="Abadi" w:hAnsi="Abadi" w:cs="Arial"/>
          <w:i/>
          <w:iCs/>
          <w:sz w:val="21"/>
          <w:szCs w:val="21"/>
          <w:lang w:val="es-MX" w:eastAsia="en-US"/>
        </w:rPr>
      </w:pPr>
    </w:p>
    <w:p w14:paraId="4A5192D7" w14:textId="77777777" w:rsidR="001D05E8" w:rsidRPr="001D05E8" w:rsidRDefault="001D05E8" w:rsidP="001D05E8">
      <w:pPr>
        <w:ind w:left="709"/>
        <w:jc w:val="both"/>
        <w:rPr>
          <w:rFonts w:ascii="Abadi" w:hAnsi="Abadi" w:cs="Arial"/>
          <w:i/>
          <w:iCs/>
          <w:sz w:val="21"/>
          <w:szCs w:val="21"/>
          <w:lang w:val="es-MX" w:eastAsia="en-US"/>
        </w:rPr>
      </w:pPr>
      <w:r w:rsidRPr="001D05E8">
        <w:rPr>
          <w:rFonts w:ascii="Abadi" w:hAnsi="Abadi" w:cs="Arial"/>
          <w:i/>
          <w:iCs/>
          <w:sz w:val="21"/>
          <w:szCs w:val="21"/>
          <w:lang w:val="es-MX" w:eastAsia="en-US"/>
        </w:rPr>
        <w:t>…</w:t>
      </w:r>
    </w:p>
    <w:p w14:paraId="367B2A1B" w14:textId="77777777" w:rsidR="001D05E8" w:rsidRPr="001D05E8" w:rsidRDefault="001D05E8" w:rsidP="001D05E8">
      <w:pPr>
        <w:ind w:left="709"/>
        <w:jc w:val="both"/>
        <w:rPr>
          <w:rFonts w:ascii="Abadi" w:hAnsi="Abadi" w:cs="Arial"/>
          <w:i/>
          <w:iCs/>
          <w:sz w:val="21"/>
          <w:szCs w:val="21"/>
          <w:lang w:val="es-MX" w:eastAsia="en-US"/>
        </w:rPr>
      </w:pPr>
    </w:p>
    <w:p w14:paraId="2E0B2C25" w14:textId="77777777" w:rsidR="001D05E8" w:rsidRPr="001D05E8" w:rsidRDefault="001D05E8" w:rsidP="001D05E8">
      <w:pPr>
        <w:ind w:left="709"/>
        <w:jc w:val="both"/>
        <w:rPr>
          <w:rFonts w:ascii="Abadi" w:hAnsi="Abadi" w:cs="Arial"/>
          <w:i/>
          <w:iCs/>
          <w:sz w:val="21"/>
          <w:szCs w:val="21"/>
          <w:lang w:val="es-MX" w:eastAsia="en-US"/>
        </w:rPr>
      </w:pPr>
      <w:r w:rsidRPr="001D05E8">
        <w:rPr>
          <w:rFonts w:ascii="Abadi" w:hAnsi="Abadi" w:cs="Arial"/>
          <w:i/>
          <w:iCs/>
          <w:sz w:val="21"/>
          <w:szCs w:val="21"/>
          <w:lang w:val="es-MX" w:eastAsia="en-US"/>
        </w:rPr>
        <w:t xml:space="preserve">Así, y en razón de que se han celebrado los instrumentos bajo los cuales se establecen los términos y condiciones por las que el Gobierno del Estado de Guanajuato transmitirá a la empresa la propiedad de los aludidos inmuebles a fin de que sean destinados a la implementación, desarrollo y ejecución del complejo de manufactura de vehículos, lo cual se inscribe en el marco de los objetivos y metas previstos en los instrumentos de planeación que orientan la actuación de la administración pública estatal, es que el Ejecutivo del Estado a mi cargo, estima pertinente transmitir a favor de dicha sociedad mercantil, la propiedad de los inmuebles anteriormente enunciados, con base en los plazos y condiciones acordadas con la empresa armadora, para que estos ingresen al dominio privado del Estado y se autorice su enajenación por esa Soberanía. </w:t>
      </w:r>
    </w:p>
    <w:p w14:paraId="7DA95537" w14:textId="77777777" w:rsidR="001D05E8" w:rsidRPr="001D05E8" w:rsidRDefault="001D05E8" w:rsidP="001D05E8">
      <w:pPr>
        <w:ind w:left="709"/>
        <w:jc w:val="both"/>
        <w:rPr>
          <w:rFonts w:ascii="Abadi" w:hAnsi="Abadi" w:cs="Arial"/>
          <w:i/>
          <w:iCs/>
          <w:sz w:val="21"/>
          <w:szCs w:val="21"/>
          <w:lang w:val="es-MX" w:eastAsia="en-US"/>
        </w:rPr>
      </w:pPr>
    </w:p>
    <w:p w14:paraId="64370DA6" w14:textId="77777777" w:rsidR="001D05E8" w:rsidRPr="001D05E8" w:rsidRDefault="001D05E8" w:rsidP="001D05E8">
      <w:pPr>
        <w:ind w:left="709"/>
        <w:jc w:val="both"/>
        <w:rPr>
          <w:rFonts w:ascii="Abadi" w:hAnsi="Abadi" w:cs="Arial"/>
          <w:i/>
          <w:iCs/>
          <w:sz w:val="21"/>
          <w:szCs w:val="21"/>
          <w:lang w:val="es-MX" w:eastAsia="en-US"/>
        </w:rPr>
      </w:pPr>
      <w:r w:rsidRPr="001D05E8">
        <w:rPr>
          <w:rFonts w:ascii="Abadi" w:hAnsi="Abadi" w:cs="Arial"/>
          <w:i/>
          <w:iCs/>
          <w:sz w:val="21"/>
          <w:szCs w:val="21"/>
          <w:lang w:val="es-MX" w:eastAsia="en-US"/>
        </w:rPr>
        <w:t>Finalmente, si bien la evaluación legislativa no pertenece expresamente al rubro de la técnica legislativa (y más bien a la de ciencia de la legislación), existe una relación sumamente estrecha entre ambos; los resultados arrojados por la evaluación legislativa respecto a los productos donde una norma tiene incidencia directa no sólo en el contenido sustantivo de la legislación -qué se legisla- sino también en la plasmación lingüística de la norma -con qué palabras se legisla-, por ello, atendiendo la previsión del artículo 209 de la Ley Orgánica del Poder Legislativo del Estado de Guanajuato, relativo a la evaluación ex ante de la norma, a partir de la evaluación del impacto jurídico, administrativo, presupuestario y social, se manifiesta:</w:t>
      </w:r>
    </w:p>
    <w:p w14:paraId="2F137E16" w14:textId="77777777" w:rsidR="001D05E8" w:rsidRPr="001D05E8" w:rsidRDefault="001D05E8" w:rsidP="001D05E8">
      <w:pPr>
        <w:ind w:left="709"/>
        <w:jc w:val="both"/>
        <w:rPr>
          <w:rFonts w:ascii="Abadi" w:hAnsi="Abadi" w:cs="Arial"/>
          <w:i/>
          <w:iCs/>
          <w:sz w:val="21"/>
          <w:szCs w:val="21"/>
          <w:lang w:val="es-MX" w:eastAsia="en-US"/>
        </w:rPr>
      </w:pPr>
    </w:p>
    <w:p w14:paraId="19D8D13C" w14:textId="77777777" w:rsidR="001D05E8" w:rsidRPr="001D05E8" w:rsidRDefault="001D05E8" w:rsidP="001A28E5">
      <w:pPr>
        <w:numPr>
          <w:ilvl w:val="0"/>
          <w:numId w:val="83"/>
        </w:numPr>
        <w:spacing w:after="200" w:line="276" w:lineRule="auto"/>
        <w:jc w:val="both"/>
        <w:rPr>
          <w:rFonts w:ascii="Abadi" w:hAnsi="Abadi" w:cs="Arial"/>
          <w:i/>
          <w:iCs/>
          <w:sz w:val="21"/>
          <w:szCs w:val="21"/>
          <w:lang w:val="es-MX" w:eastAsia="en-US"/>
        </w:rPr>
      </w:pPr>
      <w:r w:rsidRPr="001D05E8">
        <w:rPr>
          <w:rFonts w:ascii="Abadi" w:hAnsi="Abadi" w:cs="Arial"/>
          <w:i/>
          <w:iCs/>
          <w:sz w:val="21"/>
          <w:szCs w:val="21"/>
          <w:lang w:val="es-MX" w:eastAsia="en-US"/>
        </w:rPr>
        <w:t>Impacto jurídico: se traduce en la autorización de ese Congreso para que el Ejecutivo del Estado realice los actos necesarios para la enajenación de los bienes inmuebles materia de la presente iniciativa, misma que es requerida con fundamento en lo establecido en los artículos 63 fracciones XVI y XVII, 77 fracción XVII de la Constitución Política para el Estado de Guanajuato, así como 7 fracciones 11 y IV, 48, 49 fracción III y 55 de la Ley del Patrimonio Inmobiliario del Estado;</w:t>
      </w:r>
    </w:p>
    <w:p w14:paraId="2DDFA9F6" w14:textId="77777777" w:rsidR="001D05E8" w:rsidRPr="001D05E8" w:rsidRDefault="001D05E8" w:rsidP="001D05E8">
      <w:pPr>
        <w:ind w:left="1429"/>
        <w:jc w:val="both"/>
        <w:rPr>
          <w:rFonts w:ascii="Abadi" w:hAnsi="Abadi" w:cs="Arial"/>
          <w:i/>
          <w:iCs/>
          <w:sz w:val="21"/>
          <w:szCs w:val="21"/>
          <w:lang w:val="es-MX" w:eastAsia="en-US"/>
        </w:rPr>
      </w:pPr>
    </w:p>
    <w:p w14:paraId="788820EC" w14:textId="77777777" w:rsidR="001D05E8" w:rsidRPr="001D05E8" w:rsidRDefault="001D05E8" w:rsidP="001A28E5">
      <w:pPr>
        <w:numPr>
          <w:ilvl w:val="0"/>
          <w:numId w:val="83"/>
        </w:numPr>
        <w:spacing w:after="200" w:line="276" w:lineRule="auto"/>
        <w:jc w:val="both"/>
        <w:rPr>
          <w:rFonts w:ascii="Abadi" w:hAnsi="Abadi" w:cs="Arial"/>
          <w:i/>
          <w:iCs/>
          <w:sz w:val="21"/>
          <w:szCs w:val="21"/>
          <w:lang w:val="es-MX" w:eastAsia="en-US"/>
        </w:rPr>
      </w:pPr>
      <w:r w:rsidRPr="001D05E8">
        <w:rPr>
          <w:rFonts w:ascii="Abadi" w:hAnsi="Abadi" w:cs="Arial"/>
          <w:i/>
          <w:iCs/>
          <w:sz w:val="21"/>
          <w:szCs w:val="21"/>
          <w:lang w:val="es-MX" w:eastAsia="en-US"/>
        </w:rPr>
        <w:t>Impacto administrativo: en razón de los alcances y naturaleza de la Iniciativa que se propone, no se actualizan impactos de orden administrativo;</w:t>
      </w:r>
    </w:p>
    <w:p w14:paraId="196406C8" w14:textId="77777777" w:rsidR="001D05E8" w:rsidRPr="001D05E8" w:rsidRDefault="001D05E8" w:rsidP="001D05E8">
      <w:pPr>
        <w:ind w:left="708"/>
        <w:rPr>
          <w:rFonts w:ascii="Abadi" w:hAnsi="Abadi" w:cs="Arial"/>
          <w:i/>
          <w:iCs/>
          <w:sz w:val="21"/>
          <w:szCs w:val="21"/>
          <w:lang w:val="es-MX" w:eastAsia="en-US"/>
        </w:rPr>
      </w:pPr>
    </w:p>
    <w:p w14:paraId="2D64E2AD" w14:textId="77777777" w:rsidR="001D05E8" w:rsidRPr="001D05E8" w:rsidRDefault="001D05E8" w:rsidP="001A28E5">
      <w:pPr>
        <w:numPr>
          <w:ilvl w:val="0"/>
          <w:numId w:val="83"/>
        </w:numPr>
        <w:spacing w:after="200" w:line="276" w:lineRule="auto"/>
        <w:jc w:val="both"/>
        <w:rPr>
          <w:rFonts w:ascii="Abadi" w:hAnsi="Abadi" w:cs="Arial"/>
          <w:i/>
          <w:iCs/>
          <w:sz w:val="21"/>
          <w:szCs w:val="21"/>
          <w:lang w:val="es-MX" w:eastAsia="en-US"/>
        </w:rPr>
      </w:pPr>
      <w:r w:rsidRPr="001D05E8">
        <w:rPr>
          <w:rFonts w:ascii="Abadi" w:hAnsi="Abadi" w:cs="Arial"/>
          <w:i/>
          <w:iCs/>
          <w:sz w:val="21"/>
          <w:szCs w:val="21"/>
          <w:lang w:val="es-MX" w:eastAsia="en-US"/>
        </w:rPr>
        <w:t>Impacto presupuestario: la presente iniciativa no implica un incremento del gasto presupuestal, ya que los recursos financieros, materiales y humanos con los que cuenta la Secretaría de Finanzas, Inversión y Administración, son suficientes para realizar la enajenación cuya autorización se solicita; y</w:t>
      </w:r>
    </w:p>
    <w:p w14:paraId="1258CD49" w14:textId="77777777" w:rsidR="001D05E8" w:rsidRPr="001D05E8" w:rsidRDefault="001D05E8" w:rsidP="001D05E8">
      <w:pPr>
        <w:ind w:left="708"/>
        <w:rPr>
          <w:rFonts w:ascii="Abadi" w:hAnsi="Abadi" w:cs="Arial"/>
          <w:i/>
          <w:iCs/>
          <w:sz w:val="21"/>
          <w:szCs w:val="21"/>
          <w:lang w:val="es-MX" w:eastAsia="en-US"/>
        </w:rPr>
      </w:pPr>
    </w:p>
    <w:p w14:paraId="73C8131A" w14:textId="77777777" w:rsidR="001D05E8" w:rsidRPr="001D05E8" w:rsidRDefault="001D05E8" w:rsidP="001A28E5">
      <w:pPr>
        <w:numPr>
          <w:ilvl w:val="0"/>
          <w:numId w:val="83"/>
        </w:numPr>
        <w:spacing w:after="200" w:line="276" w:lineRule="auto"/>
        <w:jc w:val="both"/>
        <w:rPr>
          <w:rFonts w:ascii="Abadi" w:hAnsi="Abadi" w:cs="Arial"/>
          <w:i/>
          <w:iCs/>
          <w:sz w:val="21"/>
          <w:szCs w:val="21"/>
          <w:lang w:val="es-MX" w:eastAsia="en-US"/>
        </w:rPr>
      </w:pPr>
      <w:r w:rsidRPr="001D05E8">
        <w:rPr>
          <w:rFonts w:ascii="Abadi" w:hAnsi="Abadi" w:cs="Arial"/>
          <w:i/>
          <w:iCs/>
          <w:sz w:val="21"/>
          <w:szCs w:val="21"/>
          <w:lang w:val="es-MX" w:eastAsia="en-US"/>
        </w:rPr>
        <w:t>Impacto social: con la instrumentación de la infraestructura ferroviaria se contribuye a la reactivación de la economía con la consecuente generación de mejoras en las condiciones sociales, económicas y de desarrollo de la población guanajuatense.</w:t>
      </w:r>
    </w:p>
    <w:p w14:paraId="5D91C561" w14:textId="77777777" w:rsidR="001D05E8" w:rsidRPr="001D05E8" w:rsidRDefault="001D05E8" w:rsidP="001D05E8">
      <w:pPr>
        <w:spacing w:line="276" w:lineRule="auto"/>
        <w:ind w:left="709"/>
        <w:jc w:val="both"/>
        <w:rPr>
          <w:rFonts w:ascii="Abadi" w:hAnsi="Abadi" w:cs="Arial"/>
          <w:i/>
          <w:sz w:val="21"/>
          <w:szCs w:val="21"/>
          <w:lang w:val="es-MX" w:eastAsia="en-US"/>
        </w:rPr>
      </w:pPr>
    </w:p>
    <w:p w14:paraId="3C4DFAAC"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En la mesa de trabajo celebrada el 13 de junio del año en curso, funcionarios de la Secretaría de Finanzas, Inversión y Administración, de la Secretaría de Desarrollo Económico Sustentable, de la Secretaría de Infraestructura, Conectividad y Movilidad y de la Coordinación General Jurídica del Gobierno del Estado expusieron a quienes integramos esta Comisión lo referente al contenido de la iniciativa.</w:t>
      </w:r>
    </w:p>
    <w:p w14:paraId="1696698F" w14:textId="77777777" w:rsidR="001D05E8" w:rsidRPr="001D05E8" w:rsidRDefault="001D05E8" w:rsidP="001D05E8">
      <w:pPr>
        <w:ind w:firstLine="708"/>
        <w:jc w:val="both"/>
        <w:rPr>
          <w:rFonts w:ascii="Abadi" w:hAnsi="Abadi" w:cs="Arial"/>
          <w:sz w:val="21"/>
          <w:szCs w:val="21"/>
          <w:lang w:val="es-MX" w:eastAsia="en-US"/>
        </w:rPr>
      </w:pPr>
    </w:p>
    <w:p w14:paraId="235C5AF5"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En tal sentido, se informó que el mayor porcentaje de producción de la planta ensambladora Toyota que se ubica en el municipio de Apaseo el Grande, Gto., es para exportación, para lo cual, actualmente la operación logística se lleva a cabo por medio de Kansas City Southern México.</w:t>
      </w:r>
    </w:p>
    <w:p w14:paraId="291A31D6" w14:textId="77777777" w:rsidR="001D05E8" w:rsidRPr="001D05E8" w:rsidRDefault="001D05E8" w:rsidP="001D05E8">
      <w:pPr>
        <w:ind w:firstLine="708"/>
        <w:jc w:val="both"/>
        <w:rPr>
          <w:rFonts w:ascii="Abadi" w:hAnsi="Abadi" w:cs="Arial"/>
          <w:sz w:val="21"/>
          <w:szCs w:val="21"/>
          <w:lang w:val="es-MX" w:eastAsia="en-US"/>
        </w:rPr>
      </w:pPr>
    </w:p>
    <w:p w14:paraId="66109005" w14:textId="088C09CB" w:rsidR="001D05E8" w:rsidRPr="001D05E8" w:rsidRDefault="001D05E8" w:rsidP="001D05E8">
      <w:pPr>
        <w:ind w:firstLine="708"/>
        <w:jc w:val="both"/>
        <w:rPr>
          <w:rFonts w:ascii="Abadi" w:hAnsi="Abadi"/>
          <w:sz w:val="21"/>
          <w:szCs w:val="21"/>
          <w:lang w:val="es-MX" w:eastAsia="en-US"/>
        </w:rPr>
      </w:pPr>
      <w:r w:rsidRPr="001D05E8">
        <w:rPr>
          <w:rFonts w:ascii="Abadi" w:hAnsi="Abadi"/>
          <w:sz w:val="21"/>
          <w:szCs w:val="21"/>
          <w:lang w:val="es-MX" w:eastAsia="en-US"/>
        </w:rPr>
        <w:t xml:space="preserve">En su momento, la empresa </w:t>
      </w:r>
      <w:r w:rsidRPr="001D05E8">
        <w:rPr>
          <w:rFonts w:ascii="Abadi" w:hAnsi="Abadi"/>
          <w:i/>
          <w:iCs/>
          <w:sz w:val="21"/>
          <w:szCs w:val="21"/>
          <w:lang w:val="es-MX" w:eastAsia="en-US"/>
        </w:rPr>
        <w:t>Toyota Motor Manufacturing de Guanajuato, S.A. de C.V.,</w:t>
      </w:r>
      <w:r w:rsidRPr="001D05E8">
        <w:rPr>
          <w:rFonts w:ascii="Abadi" w:hAnsi="Abadi"/>
          <w:sz w:val="21"/>
          <w:szCs w:val="21"/>
          <w:lang w:val="es-MX" w:eastAsia="en-US"/>
        </w:rPr>
        <w:t xml:space="preserve"> se comprometió a realizar una inversión de al menos 947.8 millones de dólares americanos y a la creación de 2,000 empleos directos, en un período de 5 años; contando actualmente con una inversión acumulada a finales de 2021 de aproximadamente 856 millones de dólares americanos (cerca del 90% de lo pactado con Gobierno del Estado); generando 2,176 empleos directos y a través de sus proveedores otros 2,719 empleos, llegando a un total de 4,895. El 80% de los empleados provienen de Celaya, el 10% de las comunidades aledañas al complejo productivo y el 10% restante de la zona conurbada de Querétaro.</w:t>
      </w:r>
    </w:p>
    <w:p w14:paraId="2471F725" w14:textId="77777777" w:rsidR="001D05E8" w:rsidRPr="001D05E8" w:rsidRDefault="001D05E8" w:rsidP="001D05E8">
      <w:pPr>
        <w:ind w:firstLine="708"/>
        <w:jc w:val="both"/>
        <w:rPr>
          <w:rFonts w:ascii="Abadi" w:hAnsi="Abadi"/>
          <w:sz w:val="21"/>
          <w:szCs w:val="21"/>
          <w:lang w:val="es-MX" w:eastAsia="en-US"/>
        </w:rPr>
      </w:pPr>
    </w:p>
    <w:p w14:paraId="43230C6D" w14:textId="77777777" w:rsidR="001D05E8" w:rsidRPr="001D05E8" w:rsidRDefault="001D05E8" w:rsidP="001D05E8">
      <w:pPr>
        <w:ind w:firstLine="708"/>
        <w:jc w:val="both"/>
        <w:rPr>
          <w:rFonts w:ascii="Abadi" w:hAnsi="Abadi"/>
          <w:sz w:val="21"/>
          <w:szCs w:val="21"/>
          <w:lang w:val="es-MX" w:eastAsia="en-US"/>
        </w:rPr>
      </w:pPr>
      <w:r w:rsidRPr="001D05E8">
        <w:rPr>
          <w:rFonts w:ascii="Abadi" w:hAnsi="Abadi"/>
          <w:sz w:val="21"/>
          <w:szCs w:val="21"/>
          <w:lang w:val="es-MX" w:eastAsia="en-US"/>
        </w:rPr>
        <w:t>Por otra parte, se informó que la empresa también ha realizado diversas actividades de responsabilidad social como las siguientes: Limpieza anual del Río Apaseo, beneficiando a la comunidad de Caleras de Ameche; una planta de tratamiento de agua en la comunidad «El Castillo»; mejoras en la infraestructura de algunas escuelas y jardines de niños de la zona; reforestación de 20,891 árboles y plantas endémicas en diferentes comunidades, del municipio de Apaseo el Grande; apoyo a la Secretaría de Salud, Jurisdicción III durante las jornadas de vacunación con la renta de espacios para que la población pudiera vacunarse contra el COVID-19 (Centro de Negocios Celaya); donaciones de material -caretas, mascarillas, gel antibacterial y material de limpieza a escuelas, DIF municipales (Celaya/Apaseo el Grande y Protección Civil; pláticas a sus asociados en el CECYTEG Apaseo el Grande para un regreso seguro al trabajo; donaciones de juguetes para el día del niño en AMANC Guanajuato y DIF Apaseo el Grande); donaciones de alimentos y pañales para el Asilo de Ancianos A.C. de Celaya, Gto.; donaciones y mejoras durante el 2021 fueron por más de $5’000,000.00; proyecto de construcción de un albergue para los familiares de los niños que reciben tratamiento de cáncer con la asociación AMANC Guanajuato, para lo cual realizó un torneo de Golf entre los socios, logrando recaudar $3.9 millones de pesos; trabajo en conjunto con la Secretaría de Educación para ser parte del programa «Territorios de Aprendizaje», en el cual se tiene contemplado recibir al primer grupo durante el segundo semestre de 2022; y jornadas de salud.</w:t>
      </w:r>
    </w:p>
    <w:p w14:paraId="32A07E1A" w14:textId="77777777" w:rsidR="001D05E8" w:rsidRPr="001D05E8" w:rsidRDefault="001D05E8" w:rsidP="001D05E8">
      <w:pPr>
        <w:ind w:firstLine="708"/>
        <w:jc w:val="both"/>
        <w:rPr>
          <w:rFonts w:ascii="Abadi" w:hAnsi="Abadi" w:cs="Arial"/>
          <w:sz w:val="21"/>
          <w:szCs w:val="21"/>
          <w:lang w:val="es-MX" w:eastAsia="en-US"/>
        </w:rPr>
      </w:pPr>
    </w:p>
    <w:p w14:paraId="52127061"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 xml:space="preserve">Asimismo, se ha recaudado una importante suma de recursos por parte del Estado, por concepto de impuestos y derechos a cargo de la empresa </w:t>
      </w:r>
      <w:r w:rsidRPr="001D05E8">
        <w:rPr>
          <w:rFonts w:ascii="Abadi" w:hAnsi="Abadi" w:cs="Arial"/>
          <w:i/>
          <w:iCs/>
          <w:sz w:val="21"/>
          <w:szCs w:val="21"/>
          <w:lang w:val="es-MX" w:eastAsia="en-US"/>
        </w:rPr>
        <w:t>Toyota Motor Manufacturing de Guanajuato, S.A. de C.V.</w:t>
      </w:r>
      <w:r w:rsidRPr="001D05E8">
        <w:rPr>
          <w:rFonts w:ascii="Abadi" w:hAnsi="Abadi" w:cs="Arial"/>
          <w:sz w:val="21"/>
          <w:szCs w:val="21"/>
          <w:lang w:val="es-MX" w:eastAsia="en-US"/>
        </w:rPr>
        <w:t xml:space="preserve"> y de algunos de sus proveedores.</w:t>
      </w:r>
    </w:p>
    <w:p w14:paraId="286E1746" w14:textId="77777777" w:rsidR="001D05E8" w:rsidRPr="001D05E8" w:rsidRDefault="001D05E8" w:rsidP="001D05E8">
      <w:pPr>
        <w:ind w:firstLine="708"/>
        <w:jc w:val="both"/>
        <w:rPr>
          <w:rFonts w:ascii="Abadi" w:hAnsi="Abadi" w:cs="Arial"/>
          <w:sz w:val="21"/>
          <w:szCs w:val="21"/>
          <w:lang w:val="es-MX" w:eastAsia="en-US"/>
        </w:rPr>
      </w:pPr>
    </w:p>
    <w:p w14:paraId="227FB0B3"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 xml:space="preserve">Cabe apuntar que en el mes de febrero de 2017, se informó al Gobierno del Estado que el Gobierno Federal no estaba en posibilidad de cumplir los compromisos asumidos con la persona moral denominada </w:t>
      </w:r>
      <w:r w:rsidRPr="001D05E8">
        <w:rPr>
          <w:rFonts w:ascii="Abadi" w:hAnsi="Abadi" w:cs="Arial"/>
          <w:i/>
          <w:iCs/>
          <w:sz w:val="21"/>
          <w:szCs w:val="21"/>
          <w:lang w:val="es-MX" w:eastAsia="en-US"/>
        </w:rPr>
        <w:t>Toyota Motor Manufacturing de Guanajuato, S.A., de C.V.,</w:t>
      </w:r>
      <w:r w:rsidRPr="001D05E8">
        <w:rPr>
          <w:rFonts w:ascii="Abadi" w:hAnsi="Abadi" w:cs="Arial"/>
          <w:sz w:val="21"/>
          <w:szCs w:val="21"/>
          <w:lang w:val="es-MX" w:eastAsia="en-US"/>
        </w:rPr>
        <w:t xml:space="preserve"> relacionados con la infraestructura ferroviaria y el suministro eléctrico, por lo cual los directivos de dicha empresa solicitaron el apoyo al Gobierno del Estado para que se realizara la liberación del derecho de vía donde más tarde se desarrollaría el proyecto de Espuela Ferroviaria. En razón de lo cual y considerando los beneficios generados por la citada empresa, el Gobierno del Estado atendió los compromisos asumidos por el Gobierno Federal que no estuvieron en posibilidad de cumplir. Es así que el 27 de mayo de 2019 se firmó el convenio de cesión parcial de derechos posesorios entre la empresa y el Gobierno del Estado, </w:t>
      </w:r>
      <w:r w:rsidRPr="001D05E8">
        <w:rPr>
          <w:rFonts w:ascii="Abadi" w:hAnsi="Abadi"/>
          <w:sz w:val="21"/>
          <w:szCs w:val="21"/>
          <w:lang w:val="es-MX" w:eastAsia="en-US"/>
        </w:rPr>
        <w:t>con el objeto de precisar los términos y condiciones estipulados previamente en el Convenio de Apoyos para establecer las bases y mecanismos mediante los cuales el Gobierno del Estado transmitirá a la empresa a la firma del convenio, la posesión del Polígono Espuela Ferroviaria; y posteriormente, la propiedad del Polígono Espuela Ferroviaria, en la medida en la que el Gobierno del Estado perfeccionara la adquisición de la propiedad de los predios que conforman el mismo, se destinara a la implementación, desarrollo y ejecución del proyecto ferroviario, siempre y cuando se solicitara la autorización correspondiente al Congreso del Estado</w:t>
      </w:r>
      <w:r w:rsidRPr="001D05E8">
        <w:rPr>
          <w:rFonts w:ascii="Abadi" w:hAnsi="Abadi" w:cs="Arial"/>
          <w:sz w:val="21"/>
          <w:szCs w:val="21"/>
          <w:lang w:val="es-MX" w:eastAsia="en-US"/>
        </w:rPr>
        <w:t>.</w:t>
      </w:r>
    </w:p>
    <w:p w14:paraId="17AA7575" w14:textId="77777777" w:rsidR="001D05E8" w:rsidRPr="001D05E8" w:rsidRDefault="001D05E8" w:rsidP="001D05E8">
      <w:pPr>
        <w:ind w:firstLine="708"/>
        <w:jc w:val="both"/>
        <w:rPr>
          <w:rFonts w:ascii="Abadi" w:hAnsi="Abadi" w:cs="Arial"/>
          <w:sz w:val="21"/>
          <w:szCs w:val="21"/>
          <w:lang w:val="es-MX" w:eastAsia="en-US"/>
        </w:rPr>
      </w:pPr>
    </w:p>
    <w:p w14:paraId="0168C65A"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 xml:space="preserve">En la cláusula primera, segundo párrafo del citado convenio, se estableció lo siguiente: </w:t>
      </w:r>
    </w:p>
    <w:p w14:paraId="2B8E0AB1" w14:textId="77777777" w:rsidR="001D05E8" w:rsidRPr="001D05E8" w:rsidRDefault="001D05E8" w:rsidP="001D05E8">
      <w:pPr>
        <w:spacing w:line="276" w:lineRule="auto"/>
        <w:ind w:left="1068"/>
        <w:jc w:val="both"/>
        <w:rPr>
          <w:rFonts w:ascii="Abadi" w:hAnsi="Abadi" w:cs="Arial"/>
          <w:sz w:val="21"/>
          <w:szCs w:val="21"/>
          <w:lang w:eastAsia="en-US"/>
        </w:rPr>
      </w:pPr>
    </w:p>
    <w:p w14:paraId="033CF149" w14:textId="77777777" w:rsidR="001D05E8" w:rsidRPr="001D05E8" w:rsidRDefault="001D05E8" w:rsidP="001D05E8">
      <w:pPr>
        <w:ind w:left="709"/>
        <w:jc w:val="both"/>
        <w:rPr>
          <w:rFonts w:ascii="Abadi" w:hAnsi="Abadi" w:cs="Arial"/>
          <w:i/>
          <w:iCs/>
          <w:sz w:val="21"/>
          <w:szCs w:val="21"/>
          <w:lang w:eastAsia="en-US"/>
        </w:rPr>
      </w:pPr>
      <w:r w:rsidRPr="001D05E8">
        <w:rPr>
          <w:rFonts w:ascii="Abadi" w:hAnsi="Abadi" w:cs="Arial"/>
          <w:i/>
          <w:iCs/>
          <w:sz w:val="21"/>
          <w:szCs w:val="21"/>
          <w:lang w:eastAsia="en-US"/>
        </w:rPr>
        <w:t xml:space="preserve">«Sin perjuicio a lo anterior, salvo que se establezca lo contrario en el presente convenio, “LAS PARTES” acuerdan que la transmisión de la POSESIÓN y la PROPIEDAD a la “EMPRESA” del Polígono Espuela Ferroviaria y el desarrollo del Proyecto Ferroviario se sujetarán a lo establecido en el </w:t>
      </w:r>
      <w:r w:rsidRPr="001D05E8">
        <w:rPr>
          <w:rFonts w:ascii="Abadi" w:hAnsi="Abadi" w:cs="Arial"/>
          <w:b/>
          <w:bCs/>
          <w:i/>
          <w:iCs/>
          <w:sz w:val="21"/>
          <w:szCs w:val="21"/>
          <w:lang w:eastAsia="en-US"/>
        </w:rPr>
        <w:t>Convenio de Apoyos</w:t>
      </w:r>
      <w:r w:rsidRPr="001D05E8">
        <w:rPr>
          <w:rFonts w:ascii="Abadi" w:hAnsi="Abadi" w:cs="Arial"/>
          <w:i/>
          <w:iCs/>
          <w:sz w:val="21"/>
          <w:szCs w:val="21"/>
          <w:lang w:eastAsia="en-US"/>
        </w:rPr>
        <w:t>, y a la culminación de los procesos correspondientes en términos de la normatividad aplicable».</w:t>
      </w:r>
    </w:p>
    <w:p w14:paraId="54013959" w14:textId="77777777" w:rsidR="001D05E8" w:rsidRPr="001D05E8" w:rsidRDefault="001D05E8" w:rsidP="001D05E8">
      <w:pPr>
        <w:ind w:firstLine="708"/>
        <w:jc w:val="both"/>
        <w:rPr>
          <w:rFonts w:ascii="Abadi" w:hAnsi="Abadi" w:cs="Arial"/>
          <w:sz w:val="21"/>
          <w:szCs w:val="21"/>
          <w:lang w:val="es-MX" w:eastAsia="en-US"/>
        </w:rPr>
      </w:pPr>
    </w:p>
    <w:p w14:paraId="4E01F9E4" w14:textId="77777777" w:rsidR="001D05E8" w:rsidRPr="001D05E8" w:rsidRDefault="001D05E8" w:rsidP="001D05E8">
      <w:pPr>
        <w:ind w:firstLine="708"/>
        <w:jc w:val="both"/>
        <w:rPr>
          <w:rFonts w:ascii="Abadi" w:hAnsi="Abadi" w:cs="Arial"/>
          <w:bCs/>
          <w:sz w:val="21"/>
          <w:szCs w:val="21"/>
          <w:lang w:val="es-MX" w:eastAsia="en-US"/>
        </w:rPr>
      </w:pPr>
      <w:r w:rsidRPr="001D05E8">
        <w:rPr>
          <w:rFonts w:ascii="Abadi" w:hAnsi="Abadi" w:cs="Arial"/>
          <w:sz w:val="21"/>
          <w:szCs w:val="21"/>
          <w:lang w:val="es-MX" w:eastAsia="en-US"/>
        </w:rPr>
        <w:t xml:space="preserve">En este orden de ideas, en primer término es necesario referir que, por enajenación, en términos jurídicos, se entiende la </w:t>
      </w:r>
      <w:r w:rsidRPr="001D05E8">
        <w:rPr>
          <w:rFonts w:ascii="Abadi" w:hAnsi="Abadi" w:cs="Arial"/>
          <w:i/>
          <w:iCs/>
          <w:sz w:val="21"/>
          <w:szCs w:val="21"/>
          <w:lang w:val="es-MX" w:eastAsia="en-US"/>
        </w:rPr>
        <w:t>«transmisión legalmente autorizada de una cosa o derecho, de la persona que tiene su propiedad a otra que la adquiere en virtud de este acto</w:t>
      </w:r>
      <w:r w:rsidRPr="001D05E8">
        <w:rPr>
          <w:rFonts w:ascii="Abadi" w:hAnsi="Abadi" w:cs="Arial"/>
          <w:bCs/>
          <w:i/>
          <w:iCs/>
          <w:sz w:val="21"/>
          <w:szCs w:val="21"/>
          <w:lang w:val="es-MX" w:eastAsia="en-US"/>
        </w:rPr>
        <w:t>»</w:t>
      </w:r>
      <w:r w:rsidRPr="001D05E8">
        <w:rPr>
          <w:rFonts w:ascii="Abadi" w:hAnsi="Abadi" w:cs="Arial"/>
          <w:bCs/>
          <w:sz w:val="21"/>
          <w:szCs w:val="21"/>
          <w:vertAlign w:val="superscript"/>
          <w:lang w:val="es-MX" w:eastAsia="en-US"/>
        </w:rPr>
        <w:footnoteReference w:id="179"/>
      </w:r>
      <w:r w:rsidRPr="001D05E8">
        <w:rPr>
          <w:rFonts w:ascii="Abadi" w:hAnsi="Abadi" w:cs="Arial"/>
          <w:bCs/>
          <w:sz w:val="21"/>
          <w:szCs w:val="21"/>
          <w:lang w:val="es-MX" w:eastAsia="en-US"/>
        </w:rPr>
        <w:t xml:space="preserve">.  </w:t>
      </w:r>
    </w:p>
    <w:p w14:paraId="3CDC7DDD" w14:textId="77777777" w:rsidR="001D05E8" w:rsidRPr="001D05E8" w:rsidRDefault="001D05E8" w:rsidP="001D05E8">
      <w:pPr>
        <w:spacing w:line="276" w:lineRule="auto"/>
        <w:ind w:firstLine="708"/>
        <w:jc w:val="both"/>
        <w:rPr>
          <w:rFonts w:ascii="Abadi" w:hAnsi="Abadi" w:cs="Arial"/>
          <w:bCs/>
          <w:sz w:val="21"/>
          <w:szCs w:val="21"/>
          <w:lang w:val="es-MX" w:eastAsia="en-US"/>
        </w:rPr>
      </w:pPr>
    </w:p>
    <w:p w14:paraId="71D55F8C" w14:textId="77777777" w:rsidR="001D05E8" w:rsidRPr="001D05E8" w:rsidRDefault="001D05E8" w:rsidP="001D05E8">
      <w:pPr>
        <w:ind w:firstLine="708"/>
        <w:jc w:val="both"/>
        <w:rPr>
          <w:rFonts w:ascii="Abadi" w:hAnsi="Abadi" w:cs="Arial"/>
          <w:bCs/>
          <w:sz w:val="21"/>
          <w:szCs w:val="21"/>
          <w:lang w:eastAsia="en-US"/>
        </w:rPr>
      </w:pPr>
      <w:r w:rsidRPr="001D05E8">
        <w:rPr>
          <w:rFonts w:ascii="Abadi" w:hAnsi="Abadi" w:cs="Arial"/>
          <w:sz w:val="21"/>
          <w:szCs w:val="21"/>
          <w:lang w:val="es-MX" w:eastAsia="en-US"/>
        </w:rPr>
        <w:t>Doctrinalmente, una enajenación a título oneroso lo es cuando las partes contratantes estipulan provechos y gravámenes recíprocos y una enajenación a título gratuito lo es cuando el provecho es solamente para una de las partes contratantes. Desde un punto de vista económico, en todo contrato oneroso debe haber reciprocidad de beneficios, de tal suerte que el patrimonio de cada contratante permanece fundamentalmente idéntico, ya que al mismo tiempo que sufre una disminución por la carga o gravamen que reporte en beneficio de la otra parte, recibe simultáneamente un provecho como prestación correlativa y, por lo tanto, se mantiene un cierto equilibrio patrimonial. En cambio, en los contratos gratuitos, solo una de las partes se beneficia a costa de la otra, quien necesariamente sufre la disminución patrimonial consiguiente</w:t>
      </w:r>
      <w:r w:rsidRPr="001D05E8">
        <w:rPr>
          <w:rFonts w:ascii="Abadi" w:hAnsi="Abadi" w:cs="Arial"/>
          <w:bCs/>
          <w:sz w:val="21"/>
          <w:szCs w:val="21"/>
          <w:vertAlign w:val="superscript"/>
          <w:lang w:eastAsia="en-US"/>
        </w:rPr>
        <w:footnoteReference w:id="180"/>
      </w:r>
      <w:r w:rsidRPr="001D05E8">
        <w:rPr>
          <w:rFonts w:ascii="Abadi" w:hAnsi="Abadi" w:cs="Arial"/>
          <w:bCs/>
          <w:sz w:val="21"/>
          <w:szCs w:val="21"/>
          <w:lang w:eastAsia="en-US"/>
        </w:rPr>
        <w:t xml:space="preserve">. </w:t>
      </w:r>
    </w:p>
    <w:p w14:paraId="21BF7D04" w14:textId="77777777" w:rsidR="001D05E8" w:rsidRPr="001D05E8" w:rsidRDefault="001D05E8" w:rsidP="001D05E8">
      <w:pPr>
        <w:spacing w:line="276" w:lineRule="auto"/>
        <w:ind w:firstLine="708"/>
        <w:jc w:val="both"/>
        <w:rPr>
          <w:rFonts w:ascii="Abadi" w:hAnsi="Abadi" w:cs="Arial"/>
          <w:bCs/>
          <w:sz w:val="21"/>
          <w:szCs w:val="21"/>
          <w:lang w:eastAsia="en-US"/>
        </w:rPr>
      </w:pPr>
    </w:p>
    <w:p w14:paraId="4A2BBF5F" w14:textId="77777777" w:rsidR="001D05E8" w:rsidRPr="001D05E8" w:rsidRDefault="001D05E8" w:rsidP="001D05E8">
      <w:pPr>
        <w:ind w:firstLine="708"/>
        <w:jc w:val="both"/>
        <w:rPr>
          <w:rFonts w:ascii="Abadi" w:hAnsi="Abadi" w:cs="Arial"/>
          <w:bCs/>
          <w:sz w:val="21"/>
          <w:szCs w:val="21"/>
          <w:lang w:eastAsia="en-US"/>
        </w:rPr>
      </w:pPr>
      <w:r w:rsidRPr="001D05E8">
        <w:rPr>
          <w:rFonts w:ascii="Abadi" w:hAnsi="Abadi" w:cs="Arial"/>
          <w:sz w:val="21"/>
          <w:szCs w:val="21"/>
          <w:lang w:val="es-MX" w:eastAsia="en-US"/>
        </w:rPr>
        <w:t>En tal sentido, el artículo 1324 del Código Civil para el Estado de Guanajuato señala</w:t>
      </w:r>
      <w:r w:rsidRPr="001D05E8">
        <w:rPr>
          <w:rFonts w:ascii="Abadi" w:hAnsi="Abadi" w:cs="Arial"/>
          <w:bCs/>
          <w:sz w:val="21"/>
          <w:szCs w:val="21"/>
          <w:lang w:eastAsia="en-US"/>
        </w:rPr>
        <w:t>:</w:t>
      </w:r>
    </w:p>
    <w:p w14:paraId="0B596CD7" w14:textId="77777777" w:rsidR="001D05E8" w:rsidRPr="001D05E8" w:rsidRDefault="001D05E8" w:rsidP="001D05E8">
      <w:pPr>
        <w:spacing w:line="276" w:lineRule="auto"/>
        <w:ind w:left="1413"/>
        <w:jc w:val="both"/>
        <w:rPr>
          <w:rFonts w:ascii="Abadi" w:hAnsi="Abadi" w:cs="Arial"/>
          <w:b/>
          <w:bCs/>
          <w:sz w:val="21"/>
          <w:szCs w:val="21"/>
          <w:lang w:val="es-MX" w:eastAsia="en-US"/>
        </w:rPr>
      </w:pPr>
    </w:p>
    <w:p w14:paraId="5987240D" w14:textId="29597907" w:rsidR="001D05E8" w:rsidRPr="001D05E8" w:rsidRDefault="001D05E8" w:rsidP="001D05E8">
      <w:pPr>
        <w:ind w:left="709"/>
        <w:jc w:val="both"/>
        <w:rPr>
          <w:rFonts w:ascii="Abadi" w:hAnsi="Abadi" w:cs="Arial"/>
          <w:bCs/>
          <w:i/>
          <w:iCs/>
          <w:sz w:val="21"/>
          <w:szCs w:val="21"/>
          <w:lang w:val="es-MX" w:eastAsia="en-US"/>
        </w:rPr>
      </w:pPr>
      <w:r w:rsidRPr="001D05E8">
        <w:rPr>
          <w:rFonts w:ascii="Abadi" w:hAnsi="Abadi" w:cs="Arial"/>
          <w:b/>
          <w:bCs/>
          <w:i/>
          <w:iCs/>
          <w:sz w:val="21"/>
          <w:szCs w:val="21"/>
          <w:lang w:val="es-MX" w:eastAsia="en-US"/>
        </w:rPr>
        <w:t>Art. 1324.</w:t>
      </w:r>
      <w:r w:rsidRPr="001D05E8">
        <w:rPr>
          <w:rFonts w:ascii="Abadi" w:hAnsi="Abadi" w:cs="Arial"/>
          <w:bCs/>
          <w:i/>
          <w:iCs/>
          <w:sz w:val="21"/>
          <w:szCs w:val="21"/>
          <w:lang w:val="es-MX" w:eastAsia="en-US"/>
        </w:rPr>
        <w:t xml:space="preserve"> Es contrato oneroso aquel en que se estipulan provechos y gravámenes recíprocos; y gratuito aquél en que el provecho es solamente de una de las partes.</w:t>
      </w:r>
    </w:p>
    <w:p w14:paraId="307EFC19" w14:textId="77777777" w:rsidR="001D05E8" w:rsidRPr="001D05E8" w:rsidRDefault="001D05E8" w:rsidP="001D05E8">
      <w:pPr>
        <w:ind w:firstLine="708"/>
        <w:jc w:val="both"/>
        <w:rPr>
          <w:rFonts w:ascii="Abadi" w:hAnsi="Abadi" w:cs="Arial"/>
          <w:sz w:val="21"/>
          <w:szCs w:val="21"/>
          <w:lang w:val="es-MX" w:eastAsia="en-US"/>
        </w:rPr>
      </w:pPr>
    </w:p>
    <w:p w14:paraId="129A267F"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 xml:space="preserve">Al respecto, cabe señalar que el artículo 49, fracción III de la Ley del Patrimonio Inmobiliario del Estado señala que la enajenación de los bienes inmuebles del dominio privado del Estado se podrá realizar bajo el acto jurídico de </w:t>
      </w:r>
      <w:r w:rsidRPr="001D05E8">
        <w:rPr>
          <w:rFonts w:ascii="Abadi" w:hAnsi="Abadi" w:cs="Arial"/>
          <w:sz w:val="21"/>
          <w:szCs w:val="21"/>
          <w:lang w:eastAsia="en-US"/>
        </w:rPr>
        <w:t>venta, cuando el producto de la misma represente un incremento al patrimonio del Estado o, en su caso, se realice en favor de personas físicas o morales que requieran disponer de dichos inmuebles para la creación, fomento o conservación de una empresa que beneficie a la colectividad</w:t>
      </w:r>
      <w:r w:rsidRPr="001D05E8">
        <w:rPr>
          <w:rFonts w:ascii="Abadi" w:hAnsi="Abadi" w:cs="Arial"/>
          <w:sz w:val="21"/>
          <w:szCs w:val="21"/>
          <w:lang w:val="es-MX" w:eastAsia="en-US"/>
        </w:rPr>
        <w:t>.</w:t>
      </w:r>
    </w:p>
    <w:p w14:paraId="3EC3A0B1" w14:textId="77777777" w:rsidR="001D05E8" w:rsidRPr="001D05E8" w:rsidRDefault="001D05E8" w:rsidP="001D05E8">
      <w:pPr>
        <w:ind w:firstLine="708"/>
        <w:jc w:val="both"/>
        <w:rPr>
          <w:rFonts w:ascii="Abadi" w:hAnsi="Abadi" w:cs="Arial"/>
          <w:sz w:val="21"/>
          <w:szCs w:val="21"/>
          <w:lang w:val="es-MX" w:eastAsia="en-US"/>
        </w:rPr>
      </w:pPr>
    </w:p>
    <w:p w14:paraId="71F875DF"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 xml:space="preserve">Una vez realizado el análisis de la documentación integrada al expediente de la iniciativa y atendiendo a los argumentos expuestos en la mesa de trabajo, las diputadas y los diputados integrantes de esta Comisión determinamos procedente autorizar la enajenación que se solicita, considerando que se cumplen los requisitos establecidos en la normatividad aplicable. </w:t>
      </w:r>
    </w:p>
    <w:p w14:paraId="63CEE877" w14:textId="77777777" w:rsidR="001D05E8" w:rsidRPr="001D05E8" w:rsidRDefault="001D05E8" w:rsidP="001D05E8">
      <w:pPr>
        <w:ind w:firstLine="708"/>
        <w:jc w:val="both"/>
        <w:rPr>
          <w:rFonts w:ascii="Abadi" w:hAnsi="Abadi"/>
          <w:sz w:val="21"/>
          <w:szCs w:val="21"/>
          <w:lang w:val="es-MX" w:eastAsia="en-US"/>
        </w:rPr>
      </w:pPr>
    </w:p>
    <w:p w14:paraId="13B91232" w14:textId="77777777" w:rsidR="001D05E8" w:rsidRPr="001D05E8" w:rsidRDefault="001D05E8" w:rsidP="001D05E8">
      <w:pPr>
        <w:ind w:firstLine="708"/>
        <w:jc w:val="both"/>
        <w:rPr>
          <w:rFonts w:ascii="Abadi" w:hAnsi="Abadi"/>
          <w:sz w:val="21"/>
          <w:szCs w:val="21"/>
          <w:lang w:val="es-MX" w:eastAsia="en-US"/>
        </w:rPr>
      </w:pPr>
      <w:r w:rsidRPr="001D05E8">
        <w:rPr>
          <w:rFonts w:ascii="Abadi" w:hAnsi="Abadi"/>
          <w:sz w:val="21"/>
          <w:szCs w:val="21"/>
          <w:lang w:val="es-MX" w:eastAsia="en-US"/>
        </w:rPr>
        <w:t xml:space="preserve">Como podemos desprender de lo antes señalado, la enajenación materia del presente dictamen tiene por objeto el desarrollo de infraestructura ferroviaria para la operación de la empresa </w:t>
      </w:r>
      <w:r w:rsidRPr="001D05E8">
        <w:rPr>
          <w:rFonts w:ascii="Abadi" w:hAnsi="Abadi"/>
          <w:i/>
          <w:iCs/>
          <w:sz w:val="21"/>
          <w:szCs w:val="21"/>
          <w:lang w:val="es-MX" w:eastAsia="en-US"/>
        </w:rPr>
        <w:t>Toyota Motor Manufacturing de Guanajuato, S.A. de C.V., Para tal efecto dicha</w:t>
      </w:r>
      <w:r w:rsidRPr="001D05E8">
        <w:rPr>
          <w:rFonts w:ascii="Abadi" w:hAnsi="Abadi"/>
          <w:sz w:val="21"/>
          <w:szCs w:val="21"/>
          <w:lang w:val="es-MX" w:eastAsia="en-US"/>
        </w:rPr>
        <w:t xml:space="preserve"> empresa tendrá que pagar un dólar por metro cuadrado al Estado, por la totalidad de las 6-46-39.580 hectáreas del terreno donde va montada su espuela ferroviaria, y que actualmente son propiedad del Estado.</w:t>
      </w:r>
    </w:p>
    <w:p w14:paraId="3DFBD065" w14:textId="77777777" w:rsidR="001D05E8" w:rsidRPr="001D05E8" w:rsidRDefault="001D05E8" w:rsidP="001D05E8">
      <w:pPr>
        <w:ind w:firstLine="708"/>
        <w:jc w:val="both"/>
        <w:rPr>
          <w:rFonts w:ascii="Abadi" w:hAnsi="Abadi"/>
          <w:sz w:val="21"/>
          <w:szCs w:val="21"/>
          <w:lang w:val="es-MX" w:eastAsia="en-US"/>
        </w:rPr>
      </w:pPr>
    </w:p>
    <w:p w14:paraId="230B4D22" w14:textId="6D8ACD88" w:rsidR="001D05E8" w:rsidRPr="001D05E8" w:rsidRDefault="001D05E8" w:rsidP="001D05E8">
      <w:pPr>
        <w:ind w:firstLine="708"/>
        <w:jc w:val="both"/>
        <w:rPr>
          <w:rFonts w:ascii="Abadi" w:hAnsi="Abadi"/>
          <w:sz w:val="21"/>
          <w:szCs w:val="21"/>
          <w:lang w:val="es-MX" w:eastAsia="en-US"/>
        </w:rPr>
      </w:pPr>
      <w:r w:rsidRPr="001D05E8">
        <w:rPr>
          <w:rFonts w:ascii="Abadi" w:hAnsi="Abadi"/>
          <w:sz w:val="21"/>
          <w:szCs w:val="21"/>
          <w:lang w:val="es-MX" w:eastAsia="en-US"/>
        </w:rPr>
        <w:t xml:space="preserve">Si bien la iniciativa no precisa si la enajenación será a título oneroso o bien, gratuito, el carácter de aquella se desprende del expediente integrado a la misma. Es así, que, en la Cláusula Tercera inciso a del Convenio de Apoyos Complementarios y Transmisión de Tierra celebrado el 30 de noviembre de 2015 se estipuló que el Gobierno del Estado se comprometió a transferir a la empresa </w:t>
      </w:r>
      <w:r w:rsidRPr="001D05E8">
        <w:rPr>
          <w:rFonts w:ascii="Abadi" w:hAnsi="Abadi"/>
          <w:i/>
          <w:iCs/>
          <w:sz w:val="21"/>
          <w:szCs w:val="21"/>
          <w:lang w:val="es-MX" w:eastAsia="en-US"/>
        </w:rPr>
        <w:t>Toyota Motor Manufacturing de Guanajuato, S.A. de C.V.,</w:t>
      </w:r>
      <w:r w:rsidRPr="001D05E8">
        <w:rPr>
          <w:rFonts w:ascii="Abadi" w:hAnsi="Abadi"/>
          <w:sz w:val="21"/>
          <w:szCs w:val="21"/>
          <w:lang w:val="es-MX" w:eastAsia="en-US"/>
        </w:rPr>
        <w:t xml:space="preserve"> la totalidad del polígono de alrededor de 607 hectáreas ubicado en el municipio de Apaseo el Grande, Gto., a cambio de una contraprestación total de un dólar americano por metro cuadrado (la contraprestación) y que la diferencia que resulte entre el valor de adquisición del Gobierno del Estado y el valor de la contraprestación referida constituye un incentivo otorgado a la empresa, conforme a la autorización otorgada por la Comisión para la Atracción de Inversiones del Estado de Guanajuato. Razón por la cual la autorización de este Poder Legislativo es para la realización de la enajenación de los bienes inmuebles que se solicita a título oneroso, al existir reciprocidad de provechos y gravámenes entre las partes.</w:t>
      </w:r>
    </w:p>
    <w:p w14:paraId="039ACF52" w14:textId="77777777" w:rsidR="001D05E8" w:rsidRPr="001D05E8" w:rsidRDefault="001D05E8" w:rsidP="001D05E8">
      <w:pPr>
        <w:ind w:firstLine="708"/>
        <w:jc w:val="both"/>
        <w:rPr>
          <w:rFonts w:ascii="Abadi" w:hAnsi="Abadi"/>
          <w:sz w:val="21"/>
          <w:szCs w:val="21"/>
          <w:lang w:val="es-MX" w:eastAsia="en-US"/>
        </w:rPr>
      </w:pPr>
    </w:p>
    <w:p w14:paraId="65103894" w14:textId="77777777" w:rsidR="001D05E8" w:rsidRPr="001D05E8" w:rsidRDefault="001D05E8" w:rsidP="001D05E8">
      <w:pPr>
        <w:ind w:firstLine="708"/>
        <w:jc w:val="both"/>
        <w:rPr>
          <w:rFonts w:ascii="Abadi" w:hAnsi="Abadi"/>
          <w:sz w:val="21"/>
          <w:szCs w:val="21"/>
          <w:lang w:val="es-MX" w:eastAsia="en-US"/>
        </w:rPr>
      </w:pPr>
      <w:r w:rsidRPr="001D05E8">
        <w:rPr>
          <w:rFonts w:ascii="Abadi" w:hAnsi="Abadi"/>
          <w:sz w:val="21"/>
          <w:szCs w:val="21"/>
          <w:lang w:val="es-MX" w:eastAsia="en-US"/>
        </w:rPr>
        <w:t>Esta enajenación de tipo onerosa será a título de compraventa pues, de acuerdo con el artículo 1741 del Código Civil para el Estado de Guanajuato</w:t>
      </w:r>
      <w:r w:rsidRPr="001D05E8">
        <w:rPr>
          <w:rFonts w:ascii="Abadi" w:hAnsi="Abadi"/>
          <w:sz w:val="21"/>
          <w:szCs w:val="21"/>
          <w:vertAlign w:val="superscript"/>
          <w:lang w:val="es-MX" w:eastAsia="en-US"/>
        </w:rPr>
        <w:footnoteReference w:id="181"/>
      </w:r>
      <w:r w:rsidRPr="001D05E8">
        <w:rPr>
          <w:rFonts w:ascii="Abadi" w:hAnsi="Abadi" w:cs="Arial"/>
          <w:bCs/>
          <w:sz w:val="21"/>
          <w:szCs w:val="21"/>
          <w:lang w:val="es-ES_tradnl" w:eastAsia="en-US"/>
        </w:rPr>
        <w:t xml:space="preserve">, </w:t>
      </w:r>
      <w:r w:rsidRPr="001D05E8">
        <w:rPr>
          <w:rFonts w:ascii="Abadi" w:hAnsi="Abadi"/>
          <w:sz w:val="21"/>
          <w:szCs w:val="21"/>
          <w:lang w:val="es-MX" w:eastAsia="en-US"/>
        </w:rPr>
        <w:t>la compraventa «…</w:t>
      </w:r>
      <w:r w:rsidRPr="001D05E8">
        <w:rPr>
          <w:rFonts w:ascii="Abadi" w:hAnsi="Abadi"/>
          <w:i/>
          <w:iCs/>
          <w:sz w:val="21"/>
          <w:szCs w:val="21"/>
          <w:lang w:val="es-MX" w:eastAsia="en-US"/>
        </w:rPr>
        <w:t>es un contrato por el cual una de las partes transfiere a otra la propiedad de una cosa o de un derecho obligándose ésta última a pagarle por ella un precio cierto y en dinero</w:t>
      </w:r>
      <w:r w:rsidRPr="001D05E8">
        <w:rPr>
          <w:rFonts w:ascii="Abadi" w:hAnsi="Abadi"/>
          <w:sz w:val="21"/>
          <w:szCs w:val="21"/>
          <w:lang w:val="es-MX" w:eastAsia="en-US"/>
        </w:rPr>
        <w:t>».</w:t>
      </w:r>
    </w:p>
    <w:p w14:paraId="3A578405" w14:textId="77777777" w:rsidR="001D05E8" w:rsidRPr="001D05E8" w:rsidRDefault="001D05E8" w:rsidP="001D05E8">
      <w:pPr>
        <w:ind w:firstLine="708"/>
        <w:jc w:val="both"/>
        <w:rPr>
          <w:rFonts w:ascii="Abadi" w:hAnsi="Abadi" w:cs="Arial"/>
          <w:bCs/>
          <w:sz w:val="21"/>
          <w:szCs w:val="21"/>
          <w:lang w:val="es-ES_tradnl" w:eastAsia="en-US"/>
        </w:rPr>
      </w:pPr>
    </w:p>
    <w:p w14:paraId="4A709021" w14:textId="77777777" w:rsidR="001D05E8" w:rsidRPr="001D05E8" w:rsidRDefault="001D05E8" w:rsidP="001D05E8">
      <w:pPr>
        <w:ind w:firstLine="708"/>
        <w:jc w:val="both"/>
        <w:rPr>
          <w:rFonts w:ascii="Abadi" w:hAnsi="Abadi"/>
          <w:sz w:val="21"/>
          <w:szCs w:val="21"/>
          <w:lang w:val="es-MX" w:eastAsia="en-US"/>
        </w:rPr>
      </w:pPr>
      <w:r w:rsidRPr="001D05E8">
        <w:rPr>
          <w:rFonts w:ascii="Abadi" w:hAnsi="Abadi"/>
          <w:sz w:val="21"/>
          <w:szCs w:val="21"/>
          <w:lang w:val="es-MX" w:eastAsia="en-US"/>
        </w:rPr>
        <w:t xml:space="preserve">De acuerdo a los avalúos que se integraron al expediente y considerando el valor de adquisición previsto en la Cláusula Tercera inciso a del Convenio de Apoyos Complementarios y Transmisión de Tierra, no existiría una correspondencia entre el valor comercial de los bienes inmuebles propiedad del Estado con el precio previamente pactado para su venta con la empresa </w:t>
      </w:r>
      <w:r w:rsidRPr="001D05E8">
        <w:rPr>
          <w:rFonts w:ascii="Abadi" w:hAnsi="Abadi"/>
          <w:i/>
          <w:iCs/>
          <w:sz w:val="21"/>
          <w:szCs w:val="21"/>
          <w:lang w:val="es-MX" w:eastAsia="en-US"/>
        </w:rPr>
        <w:t xml:space="preserve">Toyota Motor Manufacturing de Guanajuato, S.A. de C.V., </w:t>
      </w:r>
      <w:r w:rsidRPr="001D05E8">
        <w:rPr>
          <w:rFonts w:ascii="Abadi" w:hAnsi="Abadi"/>
          <w:sz w:val="21"/>
          <w:szCs w:val="21"/>
          <w:lang w:val="es-MX" w:eastAsia="en-US"/>
        </w:rPr>
        <w:t>por lo tanto, no operaría el primer supuesto previsto en la fracción III del artículo 49 de la Ley del Patrimonio Inmobiliario del Estado que alude a la procedencia de la compraventa cuando el producto de la misma represente un incremento al patrimonio del Estado.</w:t>
      </w:r>
    </w:p>
    <w:p w14:paraId="5B56136F" w14:textId="77777777" w:rsidR="001D05E8" w:rsidRPr="001D05E8" w:rsidRDefault="001D05E8" w:rsidP="001D05E8">
      <w:pPr>
        <w:ind w:firstLine="708"/>
        <w:jc w:val="both"/>
        <w:rPr>
          <w:rFonts w:ascii="Abadi" w:hAnsi="Abadi"/>
          <w:sz w:val="21"/>
          <w:szCs w:val="21"/>
          <w:lang w:val="es-MX" w:eastAsia="en-US"/>
        </w:rPr>
      </w:pPr>
    </w:p>
    <w:p w14:paraId="1034742D" w14:textId="77777777" w:rsidR="001D05E8" w:rsidRPr="001D05E8" w:rsidRDefault="001D05E8" w:rsidP="001D05E8">
      <w:pPr>
        <w:ind w:firstLine="708"/>
        <w:jc w:val="both"/>
        <w:rPr>
          <w:rFonts w:ascii="Abadi" w:hAnsi="Abadi"/>
          <w:sz w:val="21"/>
          <w:szCs w:val="21"/>
          <w:lang w:val="es-MX" w:eastAsia="en-US"/>
        </w:rPr>
      </w:pPr>
      <w:r w:rsidRPr="001D05E8">
        <w:rPr>
          <w:rFonts w:ascii="Abadi" w:hAnsi="Abadi"/>
          <w:sz w:val="21"/>
          <w:szCs w:val="21"/>
          <w:lang w:val="es-MX" w:eastAsia="en-US"/>
        </w:rPr>
        <w:t>No obstante, en el caso que nos ocupa sería aplicable el segundo supuesto consistente en la factibilidad de realizar la venta en favor de personas físicas o morales que requieran disponer de dichos inmuebles para la creación, fomento o conservación de una empresa que beneficie a la colectividad, independientemente de que el producto de la misma represente un incremento al patrimonio del Estado.</w:t>
      </w:r>
    </w:p>
    <w:p w14:paraId="47599693" w14:textId="77777777" w:rsidR="001D05E8" w:rsidRPr="001D05E8" w:rsidRDefault="001D05E8" w:rsidP="001D05E8">
      <w:pPr>
        <w:spacing w:line="276" w:lineRule="auto"/>
        <w:ind w:firstLine="708"/>
        <w:jc w:val="both"/>
        <w:rPr>
          <w:rFonts w:ascii="Abadi" w:hAnsi="Abadi" w:cs="Arial"/>
          <w:bCs/>
          <w:sz w:val="21"/>
          <w:szCs w:val="21"/>
          <w:lang w:val="es-ES_tradnl" w:eastAsia="en-US"/>
        </w:rPr>
      </w:pPr>
    </w:p>
    <w:p w14:paraId="52F25008" w14:textId="77777777" w:rsidR="001D05E8" w:rsidRPr="001D05E8" w:rsidRDefault="001D05E8" w:rsidP="001D05E8">
      <w:pPr>
        <w:ind w:firstLine="708"/>
        <w:jc w:val="both"/>
        <w:rPr>
          <w:rFonts w:ascii="Abadi" w:hAnsi="Abadi" w:cs="Arial"/>
          <w:bCs/>
          <w:sz w:val="21"/>
          <w:szCs w:val="21"/>
          <w:lang w:val="es-ES_tradnl" w:eastAsia="en-US"/>
        </w:rPr>
      </w:pPr>
      <w:r w:rsidRPr="001D05E8">
        <w:rPr>
          <w:rFonts w:ascii="Abadi" w:hAnsi="Abadi"/>
          <w:sz w:val="21"/>
          <w:szCs w:val="21"/>
          <w:lang w:val="es-MX" w:eastAsia="en-US"/>
        </w:rPr>
        <w:t xml:space="preserve">Como ya se apuntó previamente, la enajenación solicitada tiene por objeto la construcción de una obra de infraestructura ferroviaria (espuela ferroviaria) necesaria para las operaciones de la empresa </w:t>
      </w:r>
      <w:r w:rsidRPr="001D05E8">
        <w:rPr>
          <w:rFonts w:ascii="Abadi" w:hAnsi="Abadi"/>
          <w:i/>
          <w:iCs/>
          <w:sz w:val="21"/>
          <w:szCs w:val="21"/>
          <w:lang w:val="es-MX" w:eastAsia="en-US"/>
        </w:rPr>
        <w:t>Toyota Motor Manufacturing de Guanajuato, S.A. de C.V.</w:t>
      </w:r>
      <w:r w:rsidRPr="001D05E8">
        <w:rPr>
          <w:rFonts w:ascii="Abadi" w:hAnsi="Abadi"/>
          <w:sz w:val="21"/>
          <w:szCs w:val="21"/>
          <w:lang w:val="es-MX" w:eastAsia="en-US"/>
        </w:rPr>
        <w:t xml:space="preserve"> Esta obra formaba parte de los apoyos ofrecidos por el Gobierno Federal para la atracción de esta empresa a nuestro Estado, pero al no otorgarse dichos apoyos, el Gobierno del Estado asumió este compromiso, con la finalidad de que la empresa continuara con su intención de ubicar su planta ensambladora en la Entidad. De lo contrario, en términos de las Cláusulas Sexta</w:t>
      </w:r>
      <w:r w:rsidRPr="001D05E8">
        <w:rPr>
          <w:rFonts w:ascii="Abadi" w:hAnsi="Abadi" w:cs="Arial"/>
          <w:bCs/>
          <w:sz w:val="21"/>
          <w:szCs w:val="21"/>
          <w:vertAlign w:val="superscript"/>
          <w:lang w:val="es-ES_tradnl" w:eastAsia="en-US"/>
        </w:rPr>
        <w:footnoteReference w:id="182"/>
      </w:r>
      <w:r w:rsidRPr="001D05E8">
        <w:rPr>
          <w:rFonts w:ascii="Abadi" w:hAnsi="Abadi" w:cs="Arial"/>
          <w:bCs/>
          <w:sz w:val="21"/>
          <w:szCs w:val="21"/>
          <w:lang w:val="es-ES_tradnl" w:eastAsia="en-US"/>
        </w:rPr>
        <w:t xml:space="preserve"> </w:t>
      </w:r>
      <w:r w:rsidRPr="001D05E8">
        <w:rPr>
          <w:rFonts w:ascii="Abadi" w:hAnsi="Abadi"/>
          <w:sz w:val="21"/>
          <w:szCs w:val="21"/>
          <w:lang w:val="es-MX" w:eastAsia="en-US"/>
        </w:rPr>
        <w:t>y Novena</w:t>
      </w:r>
      <w:r w:rsidRPr="001D05E8">
        <w:rPr>
          <w:rFonts w:ascii="Abadi" w:hAnsi="Abadi" w:cs="Arial"/>
          <w:bCs/>
          <w:sz w:val="21"/>
          <w:szCs w:val="21"/>
          <w:vertAlign w:val="superscript"/>
          <w:lang w:val="es-ES_tradnl" w:eastAsia="en-US"/>
        </w:rPr>
        <w:footnoteReference w:id="183"/>
      </w:r>
      <w:r w:rsidRPr="001D05E8">
        <w:rPr>
          <w:rFonts w:ascii="Abadi" w:hAnsi="Abadi" w:cs="Arial"/>
          <w:bCs/>
          <w:sz w:val="21"/>
          <w:szCs w:val="21"/>
          <w:lang w:val="es-ES_tradnl" w:eastAsia="en-US"/>
        </w:rPr>
        <w:t xml:space="preserve"> </w:t>
      </w:r>
      <w:r w:rsidRPr="001D05E8">
        <w:rPr>
          <w:rFonts w:ascii="Abadi" w:hAnsi="Abadi"/>
          <w:sz w:val="21"/>
          <w:szCs w:val="21"/>
          <w:lang w:val="es-MX" w:eastAsia="en-US"/>
        </w:rPr>
        <w:t>del Convenio de Apoyos Complementarios y Transmisión de Tierra, el incumplimiento del compromiso del Gobierno Federal motivaría la terminación del referido convenio</w:t>
      </w:r>
      <w:r w:rsidRPr="001D05E8">
        <w:rPr>
          <w:rFonts w:ascii="Abadi" w:hAnsi="Abadi" w:cs="Arial"/>
          <w:bCs/>
          <w:sz w:val="21"/>
          <w:szCs w:val="21"/>
          <w:lang w:val="es-ES_tradnl" w:eastAsia="en-US"/>
        </w:rPr>
        <w:t xml:space="preserve">. </w:t>
      </w:r>
    </w:p>
    <w:p w14:paraId="34F51973" w14:textId="77777777" w:rsidR="001D05E8" w:rsidRPr="001D05E8" w:rsidRDefault="001D05E8" w:rsidP="001D05E8">
      <w:pPr>
        <w:tabs>
          <w:tab w:val="left" w:pos="7380"/>
        </w:tabs>
        <w:ind w:firstLine="708"/>
        <w:jc w:val="both"/>
        <w:rPr>
          <w:rFonts w:ascii="Abadi" w:hAnsi="Abadi" w:cs="Arial"/>
          <w:sz w:val="21"/>
          <w:szCs w:val="21"/>
          <w:lang w:val="es-MX" w:eastAsia="en-US"/>
        </w:rPr>
      </w:pPr>
    </w:p>
    <w:p w14:paraId="39DE22C0" w14:textId="77777777" w:rsidR="001D05E8" w:rsidRPr="001D05E8" w:rsidRDefault="001D05E8" w:rsidP="001D05E8">
      <w:pPr>
        <w:tabs>
          <w:tab w:val="left" w:pos="7380"/>
        </w:tabs>
        <w:ind w:firstLine="708"/>
        <w:jc w:val="both"/>
        <w:rPr>
          <w:rFonts w:ascii="Abadi" w:hAnsi="Abadi" w:cs="Arial"/>
          <w:sz w:val="21"/>
          <w:szCs w:val="21"/>
          <w:lang w:val="es-MX" w:eastAsia="en-US"/>
        </w:rPr>
      </w:pPr>
      <w:r w:rsidRPr="001D05E8">
        <w:rPr>
          <w:rFonts w:ascii="Abadi" w:hAnsi="Abadi" w:cs="Arial"/>
          <w:sz w:val="21"/>
          <w:szCs w:val="21"/>
          <w:lang w:val="es-MX" w:eastAsia="en-US"/>
        </w:rPr>
        <w:t>Asimismo, consideramos que la referida empresa representa un beneficio a la población de los municipios circundantes a través de la generación de fuentes de empleo directas e indirectas a través de sus proveedores. Aunado a los ingresos que por concepto de contribuciones genera para el Estado, que se destinan a obras y acciones en beneficio de la ciudadanía y a las diversas actividades de responsabilidad social que realiza la persona moral.</w:t>
      </w:r>
    </w:p>
    <w:p w14:paraId="19E7EEA7" w14:textId="77777777" w:rsidR="001D05E8" w:rsidRPr="001D05E8" w:rsidRDefault="001D05E8" w:rsidP="001D05E8">
      <w:pPr>
        <w:tabs>
          <w:tab w:val="left" w:pos="7380"/>
        </w:tabs>
        <w:ind w:firstLine="708"/>
        <w:jc w:val="both"/>
        <w:rPr>
          <w:rFonts w:ascii="Abadi" w:hAnsi="Abadi" w:cs="Arial"/>
          <w:sz w:val="21"/>
          <w:szCs w:val="21"/>
          <w:lang w:val="es-MX" w:eastAsia="en-US"/>
        </w:rPr>
      </w:pPr>
    </w:p>
    <w:p w14:paraId="71BB3A68" w14:textId="77777777" w:rsidR="001D05E8" w:rsidRPr="001D05E8" w:rsidRDefault="001D05E8" w:rsidP="001D05E8">
      <w:pPr>
        <w:tabs>
          <w:tab w:val="left" w:pos="7380"/>
        </w:tabs>
        <w:ind w:firstLine="708"/>
        <w:jc w:val="both"/>
        <w:rPr>
          <w:rFonts w:ascii="Abadi" w:hAnsi="Abadi" w:cs="Arial"/>
          <w:sz w:val="21"/>
          <w:szCs w:val="21"/>
          <w:lang w:val="es-MX" w:eastAsia="en-US"/>
        </w:rPr>
      </w:pPr>
      <w:r w:rsidRPr="001D05E8">
        <w:rPr>
          <w:rFonts w:ascii="Abadi" w:hAnsi="Abadi" w:cs="Arial"/>
          <w:sz w:val="21"/>
          <w:szCs w:val="21"/>
          <w:lang w:val="es-MX" w:eastAsia="en-US"/>
        </w:rPr>
        <w:t>Por otra parte, es preciso señalar que el bien inmueble que se pretende enajenar pertenece al dominio público del Estado, de conformidad con lo establecido por los artículos 14, fracción V de la Ley del Patrimonio Inmobiliario del Estado, en virtud de lo cual, para estar en posibilidad de transmitir la propiedad del mismo, se requiere previamente decretar su desafectación.</w:t>
      </w:r>
    </w:p>
    <w:p w14:paraId="36BC9B66" w14:textId="77777777" w:rsidR="001D05E8" w:rsidRPr="001D05E8" w:rsidRDefault="001D05E8" w:rsidP="001D05E8">
      <w:pPr>
        <w:tabs>
          <w:tab w:val="left" w:pos="7380"/>
        </w:tabs>
        <w:ind w:firstLine="708"/>
        <w:jc w:val="both"/>
        <w:rPr>
          <w:rFonts w:ascii="Abadi" w:hAnsi="Abadi" w:cs="Arial"/>
          <w:sz w:val="21"/>
          <w:szCs w:val="21"/>
          <w:lang w:val="es-MX" w:eastAsia="en-US"/>
        </w:rPr>
      </w:pPr>
    </w:p>
    <w:p w14:paraId="7F349175" w14:textId="1EB196BB"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sz w:val="21"/>
          <w:szCs w:val="21"/>
          <w:lang w:val="es-MX" w:eastAsia="en-US"/>
        </w:rPr>
        <w:t>Finalmente, es de destacar que el cumplimiento de los Objetivos del Desarrollo Sostenible de la Agenda 2030 está presente en el dictamen puesto a su consideración, pues el mismo incide en los Objetivos 8 Trabajo Decente y Crecimiento Económico y 9 Industria, Innovación e Infraestructura. Lo anterior, en atención a que los bienes inmuebles materia de la enajenación se destinarán a una empresa cuya operación beneficia a la colectividad a través de la generación de fuentes de empleos.</w:t>
      </w:r>
    </w:p>
    <w:p w14:paraId="1EBD2C0B" w14:textId="77777777" w:rsidR="001D05E8" w:rsidRPr="001D05E8" w:rsidRDefault="001D05E8" w:rsidP="001D05E8">
      <w:pPr>
        <w:ind w:firstLine="708"/>
        <w:jc w:val="both"/>
        <w:rPr>
          <w:rFonts w:ascii="Abadi" w:hAnsi="Abadi"/>
          <w:sz w:val="21"/>
          <w:szCs w:val="21"/>
          <w:lang w:val="es-MX" w:eastAsia="en-US"/>
        </w:rPr>
      </w:pPr>
    </w:p>
    <w:p w14:paraId="5A4F6342" w14:textId="77777777" w:rsidR="001D05E8" w:rsidRPr="001D05E8" w:rsidRDefault="001D05E8" w:rsidP="001D05E8">
      <w:pPr>
        <w:ind w:firstLine="708"/>
        <w:jc w:val="both"/>
        <w:rPr>
          <w:rFonts w:ascii="Abadi" w:hAnsi="Abadi"/>
          <w:sz w:val="21"/>
          <w:szCs w:val="21"/>
          <w:lang w:val="es-MX" w:eastAsia="en-US"/>
        </w:rPr>
      </w:pPr>
      <w:r w:rsidRPr="001D05E8">
        <w:rPr>
          <w:rFonts w:ascii="Abadi" w:hAnsi="Abadi"/>
          <w:sz w:val="21"/>
          <w:szCs w:val="21"/>
          <w:lang w:val="es-MX" w:eastAsia="en-US"/>
        </w:rPr>
        <w:t xml:space="preserve">Por lo expuesto y con fundamento en los artículos 63 fracciones XVI y XVII de la Constitución Política para el Estado de Guanajuato, </w:t>
      </w:r>
      <w:r w:rsidRPr="001D05E8">
        <w:rPr>
          <w:rFonts w:ascii="Abadi" w:hAnsi="Abadi" w:cs="Arial"/>
          <w:sz w:val="21"/>
          <w:szCs w:val="21"/>
          <w:lang w:val="es-MX" w:eastAsia="en-US"/>
        </w:rPr>
        <w:t>7 fracci</w:t>
      </w:r>
      <w:r w:rsidRPr="001D05E8">
        <w:rPr>
          <w:rFonts w:ascii="Abadi" w:hAnsi="Abadi"/>
          <w:sz w:val="21"/>
          <w:szCs w:val="21"/>
          <w:lang w:val="es-MX" w:eastAsia="en-US"/>
        </w:rPr>
        <w:t xml:space="preserve">ones II, IV y V y 49, fracción III de la Ley del Patrimonio Inmobiliario del Estado, así como 204 de </w:t>
      </w:r>
      <w:smartTag w:uri="urn:schemas-microsoft-com:office:smarttags" w:element="PersonName">
        <w:smartTagPr>
          <w:attr w:name="ProductID" w:val="la Secretaria"/>
        </w:smartTagPr>
        <w:r w:rsidRPr="001D05E8">
          <w:rPr>
            <w:rFonts w:ascii="Abadi" w:hAnsi="Abadi"/>
            <w:sz w:val="21"/>
            <w:szCs w:val="21"/>
            <w:lang w:val="es-MX" w:eastAsia="en-US"/>
          </w:rPr>
          <w:t>la Ley Orgánica</w:t>
        </w:r>
      </w:smartTag>
      <w:r w:rsidRPr="001D05E8">
        <w:rPr>
          <w:rFonts w:ascii="Abadi" w:hAnsi="Abadi"/>
          <w:sz w:val="21"/>
          <w:szCs w:val="21"/>
          <w:lang w:val="es-MX" w:eastAsia="en-US"/>
        </w:rPr>
        <w:t xml:space="preserve"> del Poder Legislativo del Estado de Guanajuato, nos permitimos someter a la consideración de la Asamblea la aprobación del siguiente proyecto de:</w:t>
      </w:r>
    </w:p>
    <w:p w14:paraId="329FBCD6" w14:textId="77777777" w:rsidR="001D05E8" w:rsidRPr="001D05E8" w:rsidRDefault="001D05E8" w:rsidP="001D05E8">
      <w:pPr>
        <w:spacing w:line="360" w:lineRule="auto"/>
        <w:jc w:val="center"/>
        <w:rPr>
          <w:rFonts w:ascii="Abadi" w:hAnsi="Abadi" w:cs="Arial"/>
          <w:b/>
          <w:bCs/>
          <w:sz w:val="21"/>
          <w:szCs w:val="21"/>
          <w:lang w:val="es-MX" w:eastAsia="en-US"/>
        </w:rPr>
      </w:pPr>
    </w:p>
    <w:p w14:paraId="351C19C3" w14:textId="77777777" w:rsidR="001D05E8" w:rsidRPr="001D05E8" w:rsidRDefault="001D05E8" w:rsidP="001D05E8">
      <w:pPr>
        <w:spacing w:line="360" w:lineRule="auto"/>
        <w:jc w:val="center"/>
        <w:rPr>
          <w:rFonts w:ascii="Abadi" w:hAnsi="Abadi" w:cs="Arial"/>
          <w:b/>
          <w:bCs/>
          <w:sz w:val="21"/>
          <w:szCs w:val="21"/>
          <w:lang w:val="es-MX" w:eastAsia="en-US"/>
        </w:rPr>
      </w:pPr>
      <w:r w:rsidRPr="001D05E8">
        <w:rPr>
          <w:rFonts w:ascii="Abadi" w:hAnsi="Abadi" w:cs="Arial"/>
          <w:b/>
          <w:bCs/>
          <w:sz w:val="21"/>
          <w:szCs w:val="21"/>
          <w:lang w:val="es-MX" w:eastAsia="en-US"/>
        </w:rPr>
        <w:t xml:space="preserve">D e c r </w:t>
      </w:r>
      <w:proofErr w:type="gramStart"/>
      <w:r w:rsidRPr="001D05E8">
        <w:rPr>
          <w:rFonts w:ascii="Abadi" w:hAnsi="Abadi" w:cs="Arial"/>
          <w:b/>
          <w:bCs/>
          <w:sz w:val="21"/>
          <w:szCs w:val="21"/>
          <w:lang w:val="es-MX" w:eastAsia="en-US"/>
        </w:rPr>
        <w:t>e</w:t>
      </w:r>
      <w:proofErr w:type="gramEnd"/>
      <w:r w:rsidRPr="001D05E8">
        <w:rPr>
          <w:rFonts w:ascii="Abadi" w:hAnsi="Abadi" w:cs="Arial"/>
          <w:b/>
          <w:bCs/>
          <w:sz w:val="21"/>
          <w:szCs w:val="21"/>
          <w:lang w:val="es-MX" w:eastAsia="en-US"/>
        </w:rPr>
        <w:t xml:space="preserve"> t o</w:t>
      </w:r>
    </w:p>
    <w:p w14:paraId="12151447" w14:textId="77777777" w:rsidR="001D05E8" w:rsidRPr="001D05E8" w:rsidRDefault="001D05E8" w:rsidP="001D05E8">
      <w:pPr>
        <w:spacing w:line="360" w:lineRule="auto"/>
        <w:jc w:val="center"/>
        <w:rPr>
          <w:rFonts w:ascii="Abadi" w:hAnsi="Abadi" w:cs="Arial"/>
          <w:b/>
          <w:bCs/>
          <w:sz w:val="21"/>
          <w:szCs w:val="21"/>
          <w:lang w:val="es-MX" w:eastAsia="en-US"/>
        </w:rPr>
      </w:pPr>
    </w:p>
    <w:p w14:paraId="4DB79161" w14:textId="77777777" w:rsidR="001D05E8" w:rsidRPr="001D05E8" w:rsidRDefault="001D05E8" w:rsidP="001D05E8">
      <w:pPr>
        <w:jc w:val="right"/>
        <w:rPr>
          <w:rFonts w:ascii="Abadi" w:hAnsi="Abadi" w:cs="Arial"/>
          <w:b/>
          <w:i/>
          <w:sz w:val="21"/>
          <w:szCs w:val="21"/>
          <w:lang w:val="es-ES_tradnl" w:eastAsia="en-US"/>
        </w:rPr>
      </w:pPr>
      <w:r w:rsidRPr="001D05E8">
        <w:rPr>
          <w:rFonts w:ascii="Abadi" w:hAnsi="Abadi" w:cs="Arial"/>
          <w:b/>
          <w:i/>
          <w:sz w:val="21"/>
          <w:szCs w:val="21"/>
          <w:lang w:val="es-MX" w:eastAsia="en-US"/>
        </w:rPr>
        <w:t>Desafectación del dominio público del Estado</w:t>
      </w:r>
    </w:p>
    <w:p w14:paraId="165108D0"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b/>
          <w:bCs/>
          <w:sz w:val="21"/>
          <w:szCs w:val="21"/>
          <w:lang w:val="es-MX" w:eastAsia="en-US"/>
        </w:rPr>
        <w:t xml:space="preserve">Artículo Primero. </w:t>
      </w:r>
      <w:r w:rsidRPr="001D05E8">
        <w:rPr>
          <w:rFonts w:ascii="Abadi" w:hAnsi="Abadi" w:cs="Arial"/>
          <w:sz w:val="21"/>
          <w:szCs w:val="21"/>
          <w:lang w:val="es-MX" w:eastAsia="en-US"/>
        </w:rPr>
        <w:t>Se desafectan del dominio público del Estado tres bienes inmuebles ubicados en el municipio de Apaseo el Grande, Gto., los cuales cuentan con las siguientes superficies, medidas y colindancias:</w:t>
      </w:r>
    </w:p>
    <w:p w14:paraId="3DCBCD7C" w14:textId="77777777" w:rsidR="001D05E8" w:rsidRPr="001D05E8" w:rsidRDefault="001D05E8" w:rsidP="001D05E8">
      <w:pPr>
        <w:ind w:firstLine="708"/>
        <w:jc w:val="both"/>
        <w:rPr>
          <w:rFonts w:ascii="Abadi" w:hAnsi="Abadi" w:cs="Arial"/>
          <w:sz w:val="21"/>
          <w:szCs w:val="21"/>
          <w:lang w:val="es-MX" w:eastAsia="en-US"/>
        </w:rPr>
      </w:pPr>
    </w:p>
    <w:p w14:paraId="0AE3C853" w14:textId="4CFA5350" w:rsidR="001D05E8" w:rsidRPr="001D05E8" w:rsidRDefault="001D05E8" w:rsidP="001A28E5">
      <w:pPr>
        <w:numPr>
          <w:ilvl w:val="0"/>
          <w:numId w:val="84"/>
        </w:numPr>
        <w:spacing w:after="200" w:line="276" w:lineRule="auto"/>
        <w:ind w:left="426" w:hanging="426"/>
        <w:jc w:val="both"/>
        <w:rPr>
          <w:rFonts w:ascii="Abadi" w:hAnsi="Abadi" w:cs="Arial"/>
          <w:sz w:val="21"/>
          <w:szCs w:val="21"/>
          <w:lang w:val="es-MX" w:eastAsia="en-US"/>
        </w:rPr>
      </w:pPr>
      <w:r w:rsidRPr="001D05E8">
        <w:rPr>
          <w:rFonts w:ascii="Abadi" w:hAnsi="Abadi" w:cs="Arial"/>
          <w:sz w:val="21"/>
          <w:szCs w:val="21"/>
          <w:lang w:val="es-MX" w:eastAsia="en-US"/>
        </w:rPr>
        <w:t>Fracción de la parcela número 35 Z-1 P1-/2 del Ejido Caleras de Ameche,</w:t>
      </w:r>
      <w:r w:rsidRPr="001D05E8">
        <w:rPr>
          <w:rFonts w:ascii="Abadi" w:hAnsi="Abadi"/>
          <w:sz w:val="21"/>
          <w:szCs w:val="21"/>
          <w:lang w:val="es-MX" w:eastAsia="en-US"/>
        </w:rPr>
        <w:t xml:space="preserve"> </w:t>
      </w:r>
      <w:r w:rsidRPr="001D05E8">
        <w:rPr>
          <w:rFonts w:ascii="Abadi" w:hAnsi="Abadi" w:cs="Arial"/>
          <w:sz w:val="21"/>
          <w:szCs w:val="21"/>
          <w:lang w:val="es-MX" w:eastAsia="en-US"/>
        </w:rPr>
        <w:t>la que conforme a plano topográfico cuenta con una superficie de 33,171.11 m² treinta y tres mil ciento setenta y uno punto once metros cuadrados y las siguientes medidas y colindancias: Al este, en 58.80 cincuenta y ocho punto ochenta metros con regadera; al sureste, en línea quebrada de dos tramos de suroeste a noreste, el primero de 165.58 ciento sesenta y cinco punto cincuenta y ocho metros y el segundo de 450.80 cuatrocientos cincuenta punto ochenta metros con el resto del predio; al noroeste, en línea quebrada de dos tramos de suroeste a noreste, el primero de 50.68 cincuenta punto sesenta y ocho metros y el segundo de 592.88 quinientos noventa y dos punto ochenta y ocho metros con brecha;</w:t>
      </w:r>
    </w:p>
    <w:p w14:paraId="210F2D99" w14:textId="0F762095" w:rsidR="001D05E8" w:rsidRPr="001D05E8" w:rsidRDefault="001D05E8" w:rsidP="001A28E5">
      <w:pPr>
        <w:numPr>
          <w:ilvl w:val="0"/>
          <w:numId w:val="84"/>
        </w:numPr>
        <w:spacing w:after="200" w:line="276" w:lineRule="auto"/>
        <w:ind w:left="426" w:hanging="426"/>
        <w:jc w:val="both"/>
        <w:rPr>
          <w:rFonts w:ascii="Abadi" w:hAnsi="Abadi" w:cs="Arial"/>
          <w:sz w:val="21"/>
          <w:szCs w:val="21"/>
          <w:lang w:val="es-MX" w:eastAsia="en-US"/>
        </w:rPr>
      </w:pPr>
      <w:r w:rsidRPr="001D05E8">
        <w:rPr>
          <w:rFonts w:ascii="Abadi" w:hAnsi="Abadi" w:cs="Arial"/>
          <w:sz w:val="21"/>
          <w:szCs w:val="21"/>
          <w:lang w:val="es-MX" w:eastAsia="en-US"/>
        </w:rPr>
        <w:t>Parcela número 23 Z-1 P1-/2 del Ejido Caleras de Ameche, la cual conforme a plano topográfico cuenta con una superficie de 16,112.88 m² dieciséis mil ciento doce punto ochenta y ocho metros cuadrados y las siguientes medidas y colindancias: al este, en 63.82 sesenta y tres punto ochenta y dos metros con brecha; al oeste, en 62.22 sesenta y dos punto veintidós metros con brecha; al noroeste, en 266.65 doscientos sesenta y seis punto sesenta y cinco metros con brecha; y al sureste, en 264.14 doscientos sesenta y cuatro punto catorce metros con resto de la propiedad; y</w:t>
      </w:r>
    </w:p>
    <w:p w14:paraId="52D2947A" w14:textId="63F376B0" w:rsidR="001D05E8" w:rsidRPr="001D05E8" w:rsidRDefault="001D05E8" w:rsidP="001A28E5">
      <w:pPr>
        <w:numPr>
          <w:ilvl w:val="0"/>
          <w:numId w:val="84"/>
        </w:numPr>
        <w:spacing w:after="200" w:line="276" w:lineRule="auto"/>
        <w:ind w:left="426" w:hanging="426"/>
        <w:jc w:val="both"/>
        <w:rPr>
          <w:rFonts w:ascii="Abadi" w:hAnsi="Abadi" w:cs="Arial"/>
          <w:sz w:val="21"/>
          <w:szCs w:val="21"/>
          <w:lang w:val="es-MX" w:eastAsia="en-US"/>
        </w:rPr>
      </w:pPr>
      <w:r w:rsidRPr="001D05E8">
        <w:rPr>
          <w:rFonts w:ascii="Abadi" w:hAnsi="Abadi" w:cs="Arial"/>
          <w:sz w:val="21"/>
          <w:szCs w:val="21"/>
          <w:lang w:val="es-MX" w:eastAsia="en-US"/>
        </w:rPr>
        <w:t>Parcela número 29 Z-1 P1/2 del Ejido Caleras de Ameche, la cual conforme a plano topográfico cuenta con una superficie de 15,355.59 m² quince mil trescientos cincuenta y cinco punto cincuenta y nueve metros cuadrados y las siguientes medidas y colindancias: al este, en 59.71 cincuenta y nueve punto setenta y un metros con brecha; al oeste, en 58.06 cincuenta y ocho punto cero seis metros con regadera; al noroeste, en 270.53 doscientos setenta punto cincuenta y tres metros con brecha; y al sureste, en 268.87 doscientos sesenta y ocho punto ochenta y siete metros con resto de la propiedad.</w:t>
      </w:r>
    </w:p>
    <w:p w14:paraId="7396E52F" w14:textId="77777777" w:rsidR="001D05E8" w:rsidRPr="001D05E8" w:rsidRDefault="001D05E8" w:rsidP="001D05E8">
      <w:pPr>
        <w:jc w:val="center"/>
        <w:rPr>
          <w:rFonts w:ascii="Abadi" w:hAnsi="Abadi" w:cs="Arial"/>
          <w:b/>
          <w:bCs/>
          <w:sz w:val="21"/>
          <w:szCs w:val="21"/>
          <w:lang w:val="es-MX" w:eastAsia="en-US"/>
        </w:rPr>
      </w:pPr>
    </w:p>
    <w:p w14:paraId="7EE3263E" w14:textId="77777777" w:rsidR="001D05E8" w:rsidRPr="001D05E8" w:rsidRDefault="001D05E8" w:rsidP="001D05E8">
      <w:pPr>
        <w:jc w:val="right"/>
        <w:rPr>
          <w:rFonts w:ascii="Abadi" w:hAnsi="Abadi" w:cs="Arial"/>
          <w:b/>
          <w:i/>
          <w:sz w:val="21"/>
          <w:szCs w:val="21"/>
          <w:lang w:val="es-MX" w:eastAsia="en-US"/>
        </w:rPr>
      </w:pPr>
      <w:r w:rsidRPr="001D05E8">
        <w:rPr>
          <w:rFonts w:ascii="Abadi" w:hAnsi="Abadi" w:cs="Arial"/>
          <w:b/>
          <w:i/>
          <w:sz w:val="21"/>
          <w:szCs w:val="21"/>
          <w:lang w:val="es-MX" w:eastAsia="en-US"/>
        </w:rPr>
        <w:t>Autorización para la enajenación de los bienes inmuebles</w:t>
      </w:r>
    </w:p>
    <w:p w14:paraId="6B3F278F" w14:textId="77777777" w:rsidR="001D05E8" w:rsidRPr="001D05E8" w:rsidRDefault="001D05E8" w:rsidP="001D05E8">
      <w:pPr>
        <w:ind w:firstLine="708"/>
        <w:jc w:val="both"/>
        <w:rPr>
          <w:rFonts w:ascii="Abadi" w:hAnsi="Abadi"/>
          <w:i/>
          <w:iCs/>
          <w:sz w:val="21"/>
          <w:szCs w:val="21"/>
          <w:lang w:val="es-MX" w:eastAsia="en-US"/>
        </w:rPr>
      </w:pPr>
      <w:r w:rsidRPr="001D05E8">
        <w:rPr>
          <w:rFonts w:ascii="Abadi" w:hAnsi="Abadi" w:cs="Arial"/>
          <w:b/>
          <w:bCs/>
          <w:iCs/>
          <w:sz w:val="21"/>
          <w:szCs w:val="21"/>
          <w:lang w:val="es-MX" w:eastAsia="en-US"/>
        </w:rPr>
        <w:t>Artículo Segundo.</w:t>
      </w:r>
      <w:r w:rsidRPr="001D05E8">
        <w:rPr>
          <w:rFonts w:ascii="Abadi" w:hAnsi="Abadi" w:cs="Arial"/>
          <w:iCs/>
          <w:sz w:val="21"/>
          <w:szCs w:val="21"/>
          <w:lang w:val="es-MX" w:eastAsia="en-US"/>
        </w:rPr>
        <w:t xml:space="preserve"> Se autoriza al titular del Poder Ejecutivo del Estado a enajenar a título oneroso los bienes inmuebles descritos en el artículo primero del presente Decreto, en favor de la persona moral denominada «</w:t>
      </w:r>
      <w:r w:rsidRPr="001D05E8">
        <w:rPr>
          <w:rFonts w:ascii="Abadi" w:hAnsi="Abadi"/>
          <w:i/>
          <w:iCs/>
          <w:sz w:val="21"/>
          <w:szCs w:val="21"/>
          <w:lang w:val="es-MX" w:eastAsia="en-US"/>
        </w:rPr>
        <w:t>Toyota Motor Manufacturing de Guanajuato, S.A. de C.V.»</w:t>
      </w:r>
    </w:p>
    <w:p w14:paraId="70DD8FB5" w14:textId="77777777" w:rsidR="001D05E8" w:rsidRPr="001D05E8" w:rsidRDefault="001D05E8" w:rsidP="001D05E8">
      <w:pPr>
        <w:ind w:firstLine="708"/>
        <w:jc w:val="both"/>
        <w:rPr>
          <w:rFonts w:ascii="Abadi" w:hAnsi="Abadi"/>
          <w:i/>
          <w:iCs/>
          <w:sz w:val="21"/>
          <w:szCs w:val="21"/>
          <w:lang w:val="es-MX" w:eastAsia="en-US"/>
        </w:rPr>
      </w:pPr>
    </w:p>
    <w:p w14:paraId="7EDF0F35" w14:textId="77777777" w:rsidR="001D05E8" w:rsidRPr="001D05E8" w:rsidRDefault="001D05E8" w:rsidP="001D05E8">
      <w:pPr>
        <w:ind w:firstLine="708"/>
        <w:jc w:val="both"/>
        <w:rPr>
          <w:rFonts w:ascii="Abadi" w:hAnsi="Abadi"/>
          <w:i/>
          <w:iCs/>
          <w:sz w:val="21"/>
          <w:szCs w:val="21"/>
          <w:lang w:val="es-MX" w:eastAsia="en-US"/>
        </w:rPr>
      </w:pPr>
    </w:p>
    <w:p w14:paraId="4E575937" w14:textId="77777777" w:rsidR="001D05E8" w:rsidRPr="001D05E8" w:rsidRDefault="001D05E8" w:rsidP="001D05E8">
      <w:pPr>
        <w:jc w:val="right"/>
        <w:rPr>
          <w:rFonts w:ascii="Abadi" w:hAnsi="Abadi" w:cs="Arial"/>
          <w:b/>
          <w:i/>
          <w:sz w:val="21"/>
          <w:szCs w:val="21"/>
          <w:lang w:val="es-MX" w:eastAsia="en-US"/>
        </w:rPr>
      </w:pPr>
      <w:r w:rsidRPr="001D05E8">
        <w:rPr>
          <w:rFonts w:ascii="Abadi" w:hAnsi="Abadi" w:cs="Arial"/>
          <w:b/>
          <w:i/>
          <w:sz w:val="21"/>
          <w:szCs w:val="21"/>
          <w:lang w:val="es-MX" w:eastAsia="en-US"/>
        </w:rPr>
        <w:t>Condiciones de la compra-venta</w:t>
      </w:r>
    </w:p>
    <w:p w14:paraId="080681A7" w14:textId="77777777" w:rsidR="001D05E8" w:rsidRPr="001D05E8" w:rsidRDefault="001D05E8" w:rsidP="001D05E8">
      <w:pPr>
        <w:spacing w:after="200"/>
        <w:ind w:firstLine="708"/>
        <w:jc w:val="both"/>
        <w:rPr>
          <w:rFonts w:ascii="Abadi" w:hAnsi="Abadi" w:cs="Arial"/>
          <w:iCs/>
          <w:sz w:val="21"/>
          <w:szCs w:val="21"/>
          <w:lang w:val="es-MX" w:eastAsia="en-US"/>
        </w:rPr>
      </w:pPr>
      <w:r w:rsidRPr="001D05E8">
        <w:rPr>
          <w:rFonts w:ascii="Abadi" w:hAnsi="Abadi" w:cs="Arial"/>
          <w:b/>
          <w:sz w:val="21"/>
          <w:szCs w:val="21"/>
          <w:lang w:val="es-MX" w:eastAsia="en-US"/>
        </w:rPr>
        <w:t xml:space="preserve">Artículo Tercero. </w:t>
      </w:r>
      <w:r w:rsidRPr="001D05E8">
        <w:rPr>
          <w:rFonts w:ascii="Abadi" w:hAnsi="Abadi" w:cs="Arial"/>
          <w:iCs/>
          <w:sz w:val="21"/>
          <w:szCs w:val="21"/>
          <w:lang w:val="es-MX" w:eastAsia="en-US"/>
        </w:rPr>
        <w:t xml:space="preserve">El precio que se fije para la compra-venta de los bienes inmuebles descritos en el artículo primero del presente Decreto, será determinado conforme a lo estipulado en la Cláusula Tercera inciso a del Convenio de Apoyos Complementarios y Transmisión de Tierra </w:t>
      </w:r>
      <w:r w:rsidRPr="001D05E8">
        <w:rPr>
          <w:rFonts w:ascii="Abadi" w:hAnsi="Abadi" w:cs="Arial"/>
          <w:sz w:val="21"/>
          <w:szCs w:val="21"/>
          <w:lang w:val="es-MX" w:eastAsia="en-US"/>
        </w:rPr>
        <w:t xml:space="preserve">celebrado el 30 de noviembre de 2015, por el Gobierno del Estado de Guanajuato con la empresa </w:t>
      </w:r>
      <w:r w:rsidRPr="001D05E8">
        <w:rPr>
          <w:rFonts w:ascii="Abadi" w:hAnsi="Abadi" w:cs="Arial"/>
          <w:i/>
          <w:iCs/>
          <w:sz w:val="21"/>
          <w:szCs w:val="21"/>
          <w:lang w:val="es-MX" w:eastAsia="en-US"/>
        </w:rPr>
        <w:t>Toyota Motor Manufacturing de Guanajuato, S.A. de C.V</w:t>
      </w:r>
      <w:r w:rsidRPr="001D05E8">
        <w:rPr>
          <w:rFonts w:ascii="Abadi" w:hAnsi="Abadi" w:cs="Arial"/>
          <w:iCs/>
          <w:sz w:val="21"/>
          <w:szCs w:val="21"/>
          <w:lang w:val="es-MX" w:eastAsia="en-US"/>
        </w:rPr>
        <w:t>.</w:t>
      </w:r>
    </w:p>
    <w:p w14:paraId="7CA8A201" w14:textId="77777777" w:rsidR="001D05E8" w:rsidRPr="001D05E8" w:rsidRDefault="001D05E8" w:rsidP="001D05E8">
      <w:pPr>
        <w:spacing w:after="200"/>
        <w:ind w:firstLine="708"/>
        <w:jc w:val="both"/>
        <w:rPr>
          <w:rFonts w:ascii="Abadi" w:hAnsi="Abadi" w:cs="Arial"/>
          <w:iCs/>
          <w:sz w:val="21"/>
          <w:szCs w:val="21"/>
          <w:lang w:val="es-MX" w:eastAsia="en-US"/>
        </w:rPr>
      </w:pPr>
    </w:p>
    <w:p w14:paraId="6C5C055C" w14:textId="77777777" w:rsidR="001D05E8" w:rsidRPr="001D05E8" w:rsidRDefault="001D05E8" w:rsidP="001D05E8">
      <w:pPr>
        <w:jc w:val="right"/>
        <w:rPr>
          <w:rFonts w:ascii="Abadi" w:hAnsi="Abadi" w:cs="Arial"/>
          <w:b/>
          <w:i/>
          <w:sz w:val="21"/>
          <w:szCs w:val="21"/>
          <w:lang w:val="es-MX" w:eastAsia="en-US"/>
        </w:rPr>
      </w:pPr>
      <w:r w:rsidRPr="001D05E8">
        <w:rPr>
          <w:rFonts w:ascii="Abadi" w:hAnsi="Abadi" w:cs="Arial"/>
          <w:b/>
          <w:i/>
          <w:sz w:val="21"/>
          <w:szCs w:val="21"/>
          <w:lang w:val="es-MX" w:eastAsia="en-US"/>
        </w:rPr>
        <w:t>Plazo para ejercer la autorización</w:t>
      </w:r>
    </w:p>
    <w:p w14:paraId="21468426"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b/>
          <w:sz w:val="21"/>
          <w:szCs w:val="21"/>
          <w:lang w:val="es-MX" w:eastAsia="en-US"/>
        </w:rPr>
        <w:t xml:space="preserve">Artículo Cuarto. </w:t>
      </w:r>
      <w:r w:rsidRPr="001D05E8">
        <w:rPr>
          <w:rFonts w:ascii="Abadi" w:hAnsi="Abadi" w:cs="Arial"/>
          <w:sz w:val="21"/>
          <w:szCs w:val="21"/>
          <w:lang w:val="es-MX" w:eastAsia="en-US"/>
        </w:rPr>
        <w:t>La presente autorización deberá ser ejercida en un plazo máximo de veinticuatro meses, contado a partir de la entrada en vigor del presente Decreto, de lo contrario quedará sin efecto.</w:t>
      </w:r>
    </w:p>
    <w:p w14:paraId="294864AC" w14:textId="77777777" w:rsidR="001D05E8" w:rsidRPr="001D05E8" w:rsidRDefault="001D05E8" w:rsidP="001D05E8">
      <w:pPr>
        <w:ind w:firstLine="708"/>
        <w:jc w:val="both"/>
        <w:rPr>
          <w:rFonts w:ascii="Abadi" w:hAnsi="Abadi" w:cs="Arial"/>
          <w:sz w:val="21"/>
          <w:szCs w:val="21"/>
          <w:lang w:val="es-MX" w:eastAsia="en-US"/>
        </w:rPr>
      </w:pPr>
    </w:p>
    <w:p w14:paraId="594ADD2B" w14:textId="77777777" w:rsidR="001D05E8" w:rsidRPr="001D05E8" w:rsidRDefault="001D05E8" w:rsidP="001D05E8">
      <w:pPr>
        <w:ind w:firstLine="708"/>
        <w:jc w:val="both"/>
        <w:rPr>
          <w:rFonts w:ascii="Abadi" w:hAnsi="Abadi" w:cs="Arial"/>
          <w:sz w:val="21"/>
          <w:szCs w:val="21"/>
          <w:lang w:val="es-MX" w:eastAsia="en-US"/>
        </w:rPr>
      </w:pPr>
    </w:p>
    <w:p w14:paraId="2813ADCA" w14:textId="77777777" w:rsidR="001D05E8" w:rsidRPr="001D05E8" w:rsidRDefault="001D05E8" w:rsidP="001D05E8">
      <w:pPr>
        <w:jc w:val="right"/>
        <w:rPr>
          <w:rFonts w:ascii="Abadi" w:hAnsi="Abadi" w:cs="Arial"/>
          <w:b/>
          <w:i/>
          <w:sz w:val="21"/>
          <w:szCs w:val="21"/>
          <w:lang w:val="es-MX" w:eastAsia="en-US"/>
        </w:rPr>
      </w:pPr>
      <w:r w:rsidRPr="001D05E8">
        <w:rPr>
          <w:rFonts w:ascii="Abadi" w:hAnsi="Abadi"/>
          <w:sz w:val="21"/>
          <w:szCs w:val="21"/>
          <w:lang w:val="es-MX" w:eastAsia="en-US"/>
        </w:rPr>
        <w:t xml:space="preserve"> </w:t>
      </w:r>
      <w:r w:rsidRPr="001D05E8">
        <w:rPr>
          <w:rFonts w:ascii="Abadi" w:hAnsi="Abadi" w:cs="Arial"/>
          <w:b/>
          <w:i/>
          <w:sz w:val="21"/>
          <w:szCs w:val="21"/>
          <w:lang w:val="es-MX" w:eastAsia="en-US"/>
        </w:rPr>
        <w:t>Información al Congreso del Estado</w:t>
      </w:r>
    </w:p>
    <w:p w14:paraId="15FED8D4"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b/>
          <w:sz w:val="21"/>
          <w:szCs w:val="21"/>
          <w:lang w:val="es-MX" w:eastAsia="en-US"/>
        </w:rPr>
        <w:t xml:space="preserve">Artículo Quinto. </w:t>
      </w:r>
      <w:r w:rsidRPr="001D05E8">
        <w:rPr>
          <w:rFonts w:ascii="Abadi" w:hAnsi="Abadi" w:cs="Arial"/>
          <w:sz w:val="21"/>
          <w:szCs w:val="21"/>
          <w:lang w:val="es-MX" w:eastAsia="en-US"/>
        </w:rPr>
        <w:t xml:space="preserve">El Ejecutivo del Estado, por conducto de la Secretaría de Finanzas, Inversión y Administración, deberá informar al Congreso del Estado sobre la enajenación que se autoriza mediante el presente Decreto, en un término de treinta días hábiles siguientes a su celebración y una vez realizada la inscripción correspondiente en el Registro Público de la Propiedad, independientemente de la información que deberá integrarse a la cuenta pública del Poder Ejecutivo del Estado. </w:t>
      </w:r>
    </w:p>
    <w:p w14:paraId="6CD10A90" w14:textId="77777777" w:rsidR="001D05E8" w:rsidRPr="001D05E8" w:rsidRDefault="001D05E8" w:rsidP="001D05E8">
      <w:pPr>
        <w:ind w:firstLine="708"/>
        <w:jc w:val="both"/>
        <w:rPr>
          <w:rFonts w:ascii="Abadi" w:hAnsi="Abadi" w:cs="Arial"/>
          <w:sz w:val="21"/>
          <w:szCs w:val="21"/>
          <w:lang w:val="es-MX" w:eastAsia="en-US"/>
        </w:rPr>
      </w:pPr>
    </w:p>
    <w:p w14:paraId="2A8F3671" w14:textId="77777777" w:rsidR="001D05E8" w:rsidRPr="001D05E8" w:rsidRDefault="001D05E8" w:rsidP="001D05E8">
      <w:pPr>
        <w:spacing w:line="276" w:lineRule="auto"/>
        <w:jc w:val="right"/>
        <w:rPr>
          <w:rFonts w:ascii="Abadi" w:hAnsi="Abadi" w:cs="Arial"/>
          <w:b/>
          <w:i/>
          <w:sz w:val="21"/>
          <w:szCs w:val="21"/>
          <w:lang w:val="es-MX" w:eastAsia="en-US"/>
        </w:rPr>
      </w:pPr>
    </w:p>
    <w:p w14:paraId="532857E7" w14:textId="77777777" w:rsidR="001D05E8" w:rsidRPr="001D05E8" w:rsidRDefault="001D05E8" w:rsidP="001D05E8">
      <w:pPr>
        <w:jc w:val="right"/>
        <w:rPr>
          <w:rFonts w:ascii="Abadi" w:hAnsi="Abadi" w:cs="Arial"/>
          <w:b/>
          <w:i/>
          <w:sz w:val="21"/>
          <w:szCs w:val="21"/>
          <w:lang w:val="es-MX" w:eastAsia="en-US"/>
        </w:rPr>
      </w:pPr>
      <w:r w:rsidRPr="001D05E8">
        <w:rPr>
          <w:rFonts w:ascii="Abadi" w:hAnsi="Abadi" w:cs="Arial"/>
          <w:b/>
          <w:i/>
          <w:sz w:val="21"/>
          <w:szCs w:val="21"/>
          <w:lang w:val="es-MX" w:eastAsia="en-US"/>
        </w:rPr>
        <w:t>Baja del padrón</w:t>
      </w:r>
    </w:p>
    <w:p w14:paraId="4DC1245D" w14:textId="77777777" w:rsidR="001D05E8" w:rsidRPr="001D05E8" w:rsidRDefault="001D05E8" w:rsidP="001D05E8">
      <w:pPr>
        <w:ind w:firstLine="708"/>
        <w:jc w:val="both"/>
        <w:rPr>
          <w:rFonts w:ascii="Abadi" w:hAnsi="Abadi" w:cs="Arial"/>
          <w:sz w:val="21"/>
          <w:szCs w:val="21"/>
          <w:lang w:val="es-MX" w:eastAsia="en-US"/>
        </w:rPr>
      </w:pPr>
      <w:r w:rsidRPr="001D05E8">
        <w:rPr>
          <w:rFonts w:ascii="Abadi" w:hAnsi="Abadi" w:cs="Arial"/>
          <w:b/>
          <w:bCs/>
          <w:sz w:val="21"/>
          <w:szCs w:val="21"/>
          <w:lang w:val="es-MX" w:eastAsia="en-US"/>
        </w:rPr>
        <w:t xml:space="preserve">Artículo Sexto. </w:t>
      </w:r>
      <w:r w:rsidRPr="001D05E8">
        <w:rPr>
          <w:rFonts w:ascii="Abadi" w:hAnsi="Abadi" w:cs="Arial"/>
          <w:sz w:val="21"/>
          <w:szCs w:val="21"/>
          <w:lang w:val="es-MX" w:eastAsia="en-US"/>
        </w:rPr>
        <w:t xml:space="preserve">Una vez realizada la enajenación, procédase a dar de baja los bienes inmuebles materia de la misma, del Padrón de la Propiedad Inmobiliaria Estatal. </w:t>
      </w:r>
    </w:p>
    <w:p w14:paraId="64084B61" w14:textId="77777777" w:rsidR="001D05E8" w:rsidRPr="001D05E8" w:rsidRDefault="001D05E8" w:rsidP="001D05E8">
      <w:pPr>
        <w:keepNext/>
        <w:outlineLvl w:val="1"/>
        <w:rPr>
          <w:rFonts w:ascii="Abadi" w:hAnsi="Abadi"/>
          <w:b/>
          <w:sz w:val="21"/>
          <w:szCs w:val="21"/>
          <w:lang w:val="en-US" w:eastAsia="en-US"/>
        </w:rPr>
      </w:pPr>
    </w:p>
    <w:p w14:paraId="2D40A274" w14:textId="77777777" w:rsidR="001D05E8" w:rsidRPr="001D05E8" w:rsidRDefault="001D05E8" w:rsidP="001D05E8">
      <w:pPr>
        <w:keepNext/>
        <w:jc w:val="center"/>
        <w:outlineLvl w:val="1"/>
        <w:rPr>
          <w:rFonts w:ascii="Abadi" w:hAnsi="Abadi"/>
          <w:b/>
          <w:sz w:val="21"/>
          <w:szCs w:val="21"/>
          <w:lang w:val="en-US" w:eastAsia="en-US"/>
        </w:rPr>
      </w:pPr>
    </w:p>
    <w:p w14:paraId="23A50A4B" w14:textId="77777777" w:rsidR="001D05E8" w:rsidRPr="001D05E8" w:rsidRDefault="001D05E8" w:rsidP="001D05E8">
      <w:pPr>
        <w:keepNext/>
        <w:jc w:val="center"/>
        <w:outlineLvl w:val="1"/>
        <w:rPr>
          <w:rFonts w:ascii="Abadi" w:hAnsi="Abadi"/>
          <w:b/>
          <w:sz w:val="21"/>
          <w:szCs w:val="21"/>
          <w:lang w:val="en-US" w:eastAsia="en-US"/>
        </w:rPr>
      </w:pPr>
      <w:r w:rsidRPr="001D05E8">
        <w:rPr>
          <w:rFonts w:ascii="Abadi" w:hAnsi="Abadi"/>
          <w:b/>
          <w:sz w:val="21"/>
          <w:szCs w:val="21"/>
          <w:lang w:val="en-US" w:eastAsia="en-US"/>
        </w:rPr>
        <w:t xml:space="preserve">T r a n s i t o r i o </w:t>
      </w:r>
    </w:p>
    <w:p w14:paraId="0D88A409" w14:textId="77777777" w:rsidR="001D05E8" w:rsidRPr="001D05E8" w:rsidRDefault="001D05E8" w:rsidP="001D05E8">
      <w:pPr>
        <w:jc w:val="right"/>
        <w:rPr>
          <w:rFonts w:ascii="Abadi" w:hAnsi="Abadi" w:cs="Arial"/>
          <w:i/>
          <w:sz w:val="21"/>
          <w:szCs w:val="21"/>
          <w:lang w:val="es-MX" w:eastAsia="en-US"/>
        </w:rPr>
      </w:pPr>
      <w:r w:rsidRPr="001D05E8">
        <w:rPr>
          <w:rFonts w:ascii="Abadi" w:hAnsi="Abadi" w:cs="Arial"/>
          <w:b/>
          <w:i/>
          <w:sz w:val="21"/>
          <w:szCs w:val="21"/>
          <w:lang w:val="es-MX" w:eastAsia="en-US"/>
        </w:rPr>
        <w:t>Inicio de vigencia</w:t>
      </w:r>
    </w:p>
    <w:p w14:paraId="4E099701" w14:textId="77777777" w:rsidR="001D05E8" w:rsidRPr="001D05E8" w:rsidRDefault="001D05E8" w:rsidP="001D05E8">
      <w:pPr>
        <w:jc w:val="both"/>
        <w:rPr>
          <w:rFonts w:ascii="Abadi" w:hAnsi="Abadi"/>
          <w:sz w:val="21"/>
          <w:szCs w:val="21"/>
          <w:lang w:val="es-MX" w:eastAsia="en-US"/>
        </w:rPr>
      </w:pPr>
      <w:r w:rsidRPr="001D05E8">
        <w:rPr>
          <w:rFonts w:ascii="Abadi" w:hAnsi="Abadi" w:cs="Arial"/>
          <w:sz w:val="21"/>
          <w:szCs w:val="21"/>
          <w:lang w:val="es-MX" w:eastAsia="en-US"/>
        </w:rPr>
        <w:tab/>
      </w:r>
      <w:r w:rsidRPr="001D05E8">
        <w:rPr>
          <w:rFonts w:ascii="Abadi" w:hAnsi="Abadi" w:cs="Arial"/>
          <w:b/>
          <w:sz w:val="21"/>
          <w:szCs w:val="21"/>
          <w:lang w:val="es-MX" w:eastAsia="en-US"/>
        </w:rPr>
        <w:t xml:space="preserve">Artículo Único. </w:t>
      </w:r>
      <w:r w:rsidRPr="001D05E8">
        <w:rPr>
          <w:rFonts w:ascii="Abadi" w:hAnsi="Abadi"/>
          <w:sz w:val="21"/>
          <w:szCs w:val="21"/>
          <w:lang w:val="es-MX" w:eastAsia="en-US"/>
        </w:rPr>
        <w:t>El presente Decreto entrará en vigencia el día siguiente al de su publicación en el Periódico Oficial del Gobierno del Estado de Guanajuato.</w:t>
      </w:r>
    </w:p>
    <w:p w14:paraId="60F2E1DF" w14:textId="77777777" w:rsidR="001D05E8" w:rsidRPr="001D05E8" w:rsidRDefault="001D05E8" w:rsidP="001D05E8">
      <w:pPr>
        <w:spacing w:line="276" w:lineRule="auto"/>
        <w:jc w:val="center"/>
        <w:rPr>
          <w:rFonts w:ascii="Abadi" w:hAnsi="Abadi" w:cs="Arial"/>
          <w:b/>
          <w:bCs/>
          <w:sz w:val="21"/>
          <w:szCs w:val="21"/>
          <w:lang w:val="es-MX" w:eastAsia="x-none"/>
        </w:rPr>
      </w:pPr>
    </w:p>
    <w:p w14:paraId="60D0000D" w14:textId="77777777" w:rsidR="001D05E8" w:rsidRPr="001D05E8" w:rsidRDefault="001D05E8" w:rsidP="001D05E8">
      <w:pPr>
        <w:spacing w:line="276" w:lineRule="auto"/>
        <w:jc w:val="center"/>
        <w:rPr>
          <w:rFonts w:ascii="Abadi" w:hAnsi="Abadi" w:cs="Arial"/>
          <w:b/>
          <w:bCs/>
          <w:sz w:val="21"/>
          <w:szCs w:val="21"/>
          <w:lang w:val="es-MX" w:eastAsia="x-none"/>
        </w:rPr>
      </w:pPr>
      <w:r w:rsidRPr="001D05E8">
        <w:rPr>
          <w:rFonts w:ascii="Abadi" w:hAnsi="Abadi" w:cs="Arial"/>
          <w:b/>
          <w:bCs/>
          <w:sz w:val="21"/>
          <w:szCs w:val="21"/>
          <w:lang w:val="es-MX" w:eastAsia="x-none"/>
        </w:rPr>
        <w:t>Guanajuato, Gto., 20 de junio de 2022</w:t>
      </w:r>
    </w:p>
    <w:p w14:paraId="269EDCF9" w14:textId="77777777" w:rsidR="001D05E8" w:rsidRPr="001D05E8" w:rsidRDefault="001D05E8" w:rsidP="001D05E8">
      <w:pPr>
        <w:spacing w:line="276" w:lineRule="auto"/>
        <w:jc w:val="center"/>
        <w:rPr>
          <w:rFonts w:ascii="Abadi" w:hAnsi="Abadi" w:cs="Arial"/>
          <w:b/>
          <w:bCs/>
          <w:sz w:val="21"/>
          <w:szCs w:val="21"/>
          <w:lang w:val="es-MX" w:eastAsia="x-none"/>
        </w:rPr>
      </w:pPr>
      <w:smartTag w:uri="urn:schemas-microsoft-com:office:smarttags" w:element="PersonName">
        <w:smartTagPr>
          <w:attr w:name="ProductID" w:val="La Comisi￳n"/>
        </w:smartTagPr>
        <w:r w:rsidRPr="001D05E8">
          <w:rPr>
            <w:rFonts w:ascii="Abadi" w:hAnsi="Abadi" w:cs="Arial"/>
            <w:b/>
            <w:bCs/>
            <w:sz w:val="21"/>
            <w:szCs w:val="21"/>
            <w:lang w:val="es-MX" w:eastAsia="x-none"/>
          </w:rPr>
          <w:t>La Comisión</w:t>
        </w:r>
      </w:smartTag>
      <w:r w:rsidRPr="001D05E8">
        <w:rPr>
          <w:rFonts w:ascii="Abadi" w:hAnsi="Abadi" w:cs="Arial"/>
          <w:b/>
          <w:bCs/>
          <w:sz w:val="21"/>
          <w:szCs w:val="21"/>
          <w:lang w:val="es-MX" w:eastAsia="x-none"/>
        </w:rPr>
        <w:t xml:space="preserve"> de Hacienda y Fiscalización</w:t>
      </w:r>
    </w:p>
    <w:p w14:paraId="379005AA" w14:textId="77777777" w:rsidR="001D05E8" w:rsidRPr="001D05E8" w:rsidRDefault="001D05E8" w:rsidP="001D05E8">
      <w:pPr>
        <w:spacing w:line="276" w:lineRule="auto"/>
        <w:jc w:val="center"/>
        <w:rPr>
          <w:rFonts w:ascii="Abadi" w:hAnsi="Abadi"/>
          <w:i/>
          <w:iCs/>
          <w:sz w:val="21"/>
          <w:szCs w:val="21"/>
          <w:lang w:val="es-MX" w:eastAsia="en-US"/>
        </w:rPr>
      </w:pPr>
      <w:r w:rsidRPr="001D05E8">
        <w:rPr>
          <w:rFonts w:ascii="Abadi" w:hAnsi="Abadi"/>
          <w:i/>
          <w:iCs/>
          <w:sz w:val="21"/>
          <w:szCs w:val="21"/>
          <w:lang w:val="es-MX" w:eastAsia="en-US"/>
        </w:rPr>
        <w:t>Firma electrónica</w:t>
      </w:r>
    </w:p>
    <w:p w14:paraId="2B360FFE" w14:textId="77777777" w:rsidR="001D05E8" w:rsidRPr="001D05E8" w:rsidRDefault="001D05E8" w:rsidP="001D05E8">
      <w:pPr>
        <w:spacing w:line="276" w:lineRule="auto"/>
        <w:jc w:val="center"/>
        <w:rPr>
          <w:rFonts w:ascii="Abadi" w:hAnsi="Abadi"/>
          <w:sz w:val="21"/>
          <w:szCs w:val="21"/>
          <w:lang w:val="es-MX" w:eastAsia="en-US"/>
        </w:rPr>
      </w:pPr>
    </w:p>
    <w:p w14:paraId="491A6422" w14:textId="786A2B9A" w:rsidR="001D05E8" w:rsidRPr="001D05E8" w:rsidRDefault="001D05E8" w:rsidP="001D05E8">
      <w:pPr>
        <w:spacing w:line="276" w:lineRule="auto"/>
        <w:jc w:val="center"/>
        <w:rPr>
          <w:rFonts w:ascii="Abadi" w:hAnsi="Abadi" w:cs="Arial"/>
          <w:b/>
          <w:sz w:val="21"/>
          <w:szCs w:val="21"/>
          <w:lang w:val="es-MX" w:eastAsia="en-US"/>
        </w:rPr>
      </w:pPr>
      <w:r w:rsidRPr="001D05E8">
        <w:rPr>
          <w:rFonts w:ascii="Abadi" w:hAnsi="Abadi" w:cs="Arial"/>
          <w:b/>
          <w:sz w:val="21"/>
          <w:szCs w:val="21"/>
          <w:lang w:val="es-MX" w:eastAsia="en-US"/>
        </w:rPr>
        <w:t>Diputado Víctor Manuel Zanella Huerta</w:t>
      </w:r>
    </w:p>
    <w:p w14:paraId="30F49432" w14:textId="1C17A4FD" w:rsidR="001D05E8" w:rsidRDefault="001D05E8" w:rsidP="001D05E8">
      <w:pPr>
        <w:spacing w:line="276" w:lineRule="auto"/>
        <w:ind w:right="-234"/>
        <w:jc w:val="center"/>
        <w:rPr>
          <w:rFonts w:ascii="Abadi" w:hAnsi="Abadi" w:cs="Calibri"/>
          <w:b/>
          <w:bCs/>
          <w:sz w:val="21"/>
          <w:szCs w:val="21"/>
          <w:lang w:val="es-MX" w:eastAsia="en-US"/>
        </w:rPr>
      </w:pPr>
      <w:r w:rsidRPr="001D05E8">
        <w:rPr>
          <w:rFonts w:ascii="Abadi" w:hAnsi="Abadi" w:cs="Calibri"/>
          <w:b/>
          <w:bCs/>
          <w:sz w:val="21"/>
          <w:szCs w:val="21"/>
          <w:lang w:val="es-MX" w:eastAsia="en-US"/>
        </w:rPr>
        <w:t>Diputada Ruth Noemí Tiscareño Agoitia</w:t>
      </w:r>
    </w:p>
    <w:p w14:paraId="4928C3C0" w14:textId="77777777" w:rsidR="001D05E8" w:rsidRDefault="001D05E8" w:rsidP="001D05E8">
      <w:pPr>
        <w:spacing w:line="276" w:lineRule="auto"/>
        <w:ind w:right="-234"/>
        <w:jc w:val="center"/>
        <w:rPr>
          <w:rFonts w:ascii="Abadi" w:hAnsi="Abadi" w:cs="Calibri"/>
          <w:b/>
          <w:bCs/>
          <w:sz w:val="21"/>
          <w:szCs w:val="21"/>
          <w:lang w:val="es-MX" w:eastAsia="en-US"/>
        </w:rPr>
      </w:pPr>
    </w:p>
    <w:p w14:paraId="5E5F063E" w14:textId="45181D4C" w:rsidR="001D05E8" w:rsidRPr="001D05E8" w:rsidRDefault="001D05E8" w:rsidP="001D05E8">
      <w:pPr>
        <w:spacing w:line="276" w:lineRule="auto"/>
        <w:ind w:right="-234"/>
        <w:jc w:val="center"/>
        <w:rPr>
          <w:rFonts w:ascii="Abadi" w:hAnsi="Abadi" w:cs="Calibri"/>
          <w:b/>
          <w:bCs/>
          <w:sz w:val="21"/>
          <w:szCs w:val="21"/>
          <w:lang w:val="es-MX" w:eastAsia="en-US"/>
        </w:rPr>
      </w:pPr>
      <w:r w:rsidRPr="001D05E8">
        <w:rPr>
          <w:rFonts w:ascii="Abadi" w:hAnsi="Abadi" w:cs="Calibri"/>
          <w:b/>
          <w:bCs/>
          <w:sz w:val="21"/>
          <w:szCs w:val="21"/>
          <w:lang w:val="es-MX" w:eastAsia="en-US"/>
        </w:rPr>
        <w:t>Diputado Miguel Ángel Salim Alle</w:t>
      </w:r>
    </w:p>
    <w:p w14:paraId="7E7F64A4" w14:textId="77777777" w:rsidR="001D05E8" w:rsidRPr="001D05E8" w:rsidRDefault="001D05E8" w:rsidP="001D05E8">
      <w:pPr>
        <w:spacing w:line="276" w:lineRule="auto"/>
        <w:jc w:val="center"/>
        <w:rPr>
          <w:rFonts w:ascii="Abadi" w:hAnsi="Abadi" w:cs="Calibri"/>
          <w:b/>
          <w:bCs/>
          <w:sz w:val="21"/>
          <w:szCs w:val="21"/>
          <w:lang w:val="es-MX" w:eastAsia="en-US"/>
        </w:rPr>
      </w:pPr>
    </w:p>
    <w:p w14:paraId="2530B5E0" w14:textId="52214311" w:rsidR="001D05E8" w:rsidRDefault="001D05E8" w:rsidP="001D05E8">
      <w:pPr>
        <w:spacing w:line="276" w:lineRule="auto"/>
        <w:ind w:right="-234"/>
        <w:jc w:val="center"/>
        <w:rPr>
          <w:rFonts w:ascii="Abadi" w:hAnsi="Abadi" w:cs="Calibri"/>
          <w:b/>
          <w:bCs/>
          <w:sz w:val="21"/>
          <w:szCs w:val="21"/>
          <w:lang w:val="es-MX" w:eastAsia="en-US"/>
        </w:rPr>
      </w:pPr>
      <w:r w:rsidRPr="001D05E8">
        <w:rPr>
          <w:rFonts w:ascii="Abadi" w:hAnsi="Abadi" w:cs="Calibri"/>
          <w:b/>
          <w:bCs/>
          <w:sz w:val="21"/>
          <w:szCs w:val="21"/>
          <w:lang w:val="es-MX" w:eastAsia="en-US"/>
        </w:rPr>
        <w:t>Diputado José Alfonso Borja Pimentel</w:t>
      </w:r>
    </w:p>
    <w:p w14:paraId="2E41601B" w14:textId="77777777" w:rsidR="001D05E8" w:rsidRDefault="001D05E8" w:rsidP="001D05E8">
      <w:pPr>
        <w:spacing w:line="276" w:lineRule="auto"/>
        <w:ind w:right="-234"/>
        <w:jc w:val="center"/>
        <w:rPr>
          <w:rFonts w:ascii="Abadi" w:hAnsi="Abadi" w:cs="Calibri"/>
          <w:b/>
          <w:bCs/>
          <w:sz w:val="21"/>
          <w:szCs w:val="21"/>
          <w:lang w:val="es-MX" w:eastAsia="en-US"/>
        </w:rPr>
      </w:pPr>
    </w:p>
    <w:p w14:paraId="7844EBE6" w14:textId="3BEA801B" w:rsidR="001D05E8" w:rsidRPr="001D05E8" w:rsidRDefault="001D05E8" w:rsidP="001D05E8">
      <w:pPr>
        <w:spacing w:line="276" w:lineRule="auto"/>
        <w:ind w:right="-234"/>
        <w:jc w:val="center"/>
        <w:rPr>
          <w:rFonts w:ascii="Abadi" w:hAnsi="Abadi" w:cs="Calibri"/>
          <w:b/>
          <w:bCs/>
          <w:sz w:val="21"/>
          <w:szCs w:val="21"/>
          <w:lang w:val="es-MX" w:eastAsia="en-US"/>
        </w:rPr>
      </w:pPr>
      <w:r w:rsidRPr="001D05E8">
        <w:rPr>
          <w:rFonts w:ascii="Abadi" w:hAnsi="Abadi" w:cs="Calibri"/>
          <w:b/>
          <w:bCs/>
          <w:sz w:val="21"/>
          <w:szCs w:val="21"/>
          <w:lang w:val="es-MX" w:eastAsia="en-US"/>
        </w:rPr>
        <w:t>Diputada Alma Edwviges Alcaraz Hernández</w:t>
      </w:r>
    </w:p>
    <w:p w14:paraId="36589954" w14:textId="6116D61D" w:rsidR="00E72A43" w:rsidRDefault="001D05E8" w:rsidP="001D05E8">
      <w:pPr>
        <w:jc w:val="center"/>
        <w:rPr>
          <w:rFonts w:ascii="Abadi" w:hAnsi="Abadi"/>
          <w:sz w:val="20"/>
          <w:szCs w:val="20"/>
        </w:rPr>
      </w:pPr>
      <w:r w:rsidRPr="001D05E8">
        <w:rPr>
          <w:rFonts w:ascii="Abadi" w:hAnsi="Abadi" w:cs="Calibri"/>
          <w:i/>
          <w:iCs/>
          <w:sz w:val="21"/>
          <w:szCs w:val="21"/>
          <w:lang w:val="es-MX" w:eastAsia="en-US"/>
        </w:rPr>
        <w:t>Voto en contra</w:t>
      </w:r>
    </w:p>
    <w:p w14:paraId="72136D0B" w14:textId="19A41739" w:rsidR="00E72A43" w:rsidRDefault="00E72A43" w:rsidP="00E72A43">
      <w:pPr>
        <w:rPr>
          <w:rFonts w:ascii="Abadi" w:hAnsi="Abadi"/>
          <w:sz w:val="20"/>
          <w:szCs w:val="20"/>
        </w:rPr>
      </w:pPr>
    </w:p>
    <w:p w14:paraId="471B9A88" w14:textId="77777777" w:rsidR="001D05E8" w:rsidRPr="00E72A43" w:rsidRDefault="001D05E8" w:rsidP="00E72A43">
      <w:pPr>
        <w:rPr>
          <w:rFonts w:ascii="Abadi" w:hAnsi="Abadi"/>
          <w:sz w:val="20"/>
          <w:szCs w:val="20"/>
        </w:rPr>
      </w:pPr>
    </w:p>
    <w:p w14:paraId="7E1255E6" w14:textId="77777777" w:rsidR="004869C0" w:rsidRPr="00531B12" w:rsidRDefault="004869C0"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2"/>
          <w:sz w:val="20"/>
          <w:szCs w:val="20"/>
        </w:rPr>
        <w:t xml:space="preserve"> </w:t>
      </w:r>
      <w:r w:rsidRPr="00531B12">
        <w:rPr>
          <w:rFonts w:ascii="Abadi" w:hAnsi="Abadi"/>
          <w:b/>
          <w:bCs/>
          <w:sz w:val="20"/>
          <w:szCs w:val="20"/>
        </w:rPr>
        <w:t>Y,</w:t>
      </w:r>
      <w:r w:rsidRPr="00531B12">
        <w:rPr>
          <w:rFonts w:ascii="Abadi" w:hAnsi="Abadi"/>
          <w:b/>
          <w:bCs/>
          <w:spacing w:val="-13"/>
          <w:sz w:val="20"/>
          <w:szCs w:val="20"/>
        </w:rPr>
        <w:t xml:space="preserve"> </w:t>
      </w:r>
      <w:r w:rsidRPr="00531B12">
        <w:rPr>
          <w:rFonts w:ascii="Abadi" w:hAnsi="Abadi"/>
          <w:b/>
          <w:bCs/>
          <w:sz w:val="20"/>
          <w:szCs w:val="20"/>
        </w:rPr>
        <w:t>EN</w:t>
      </w:r>
      <w:r w:rsidRPr="00531B12">
        <w:rPr>
          <w:rFonts w:ascii="Abadi" w:hAnsi="Abadi"/>
          <w:b/>
          <w:bCs/>
          <w:spacing w:val="-12"/>
          <w:sz w:val="20"/>
          <w:szCs w:val="20"/>
        </w:rPr>
        <w:t xml:space="preserve"> </w:t>
      </w:r>
      <w:r w:rsidRPr="00531B12">
        <w:rPr>
          <w:rFonts w:ascii="Abadi" w:hAnsi="Abadi"/>
          <w:b/>
          <w:bCs/>
          <w:sz w:val="20"/>
          <w:szCs w:val="20"/>
        </w:rPr>
        <w:t>SU</w:t>
      </w:r>
      <w:r w:rsidRPr="00531B12">
        <w:rPr>
          <w:rFonts w:ascii="Abadi" w:hAnsi="Abadi"/>
          <w:b/>
          <w:bCs/>
          <w:spacing w:val="-12"/>
          <w:sz w:val="20"/>
          <w:szCs w:val="20"/>
        </w:rPr>
        <w:t xml:space="preserve"> </w:t>
      </w:r>
      <w:r w:rsidRPr="00531B12">
        <w:rPr>
          <w:rFonts w:ascii="Abadi" w:hAnsi="Abadi"/>
          <w:b/>
          <w:bCs/>
          <w:sz w:val="20"/>
          <w:szCs w:val="20"/>
        </w:rPr>
        <w:t>CASO,</w:t>
      </w:r>
      <w:r w:rsidRPr="00531B12">
        <w:rPr>
          <w:rFonts w:ascii="Abadi" w:hAnsi="Abadi"/>
          <w:b/>
          <w:bCs/>
          <w:spacing w:val="-13"/>
          <w:sz w:val="20"/>
          <w:szCs w:val="20"/>
        </w:rPr>
        <w:t xml:space="preserve"> </w:t>
      </w:r>
      <w:r w:rsidRPr="00531B12">
        <w:rPr>
          <w:rFonts w:ascii="Abadi" w:hAnsi="Abadi"/>
          <w:b/>
          <w:bCs/>
          <w:sz w:val="20"/>
          <w:szCs w:val="20"/>
        </w:rPr>
        <w:t>APROBACIÓN</w:t>
      </w:r>
      <w:r w:rsidRPr="00531B12">
        <w:rPr>
          <w:rFonts w:ascii="Abadi" w:hAnsi="Abadi"/>
          <w:b/>
          <w:bCs/>
          <w:spacing w:val="-12"/>
          <w:sz w:val="20"/>
          <w:szCs w:val="20"/>
        </w:rPr>
        <w:t xml:space="preserve"> </w:t>
      </w:r>
      <w:r w:rsidRPr="00DB792E">
        <w:rPr>
          <w:rFonts w:ascii="Abadi" w:hAnsi="Abadi"/>
          <w:b/>
          <w:bCs/>
          <w:sz w:val="20"/>
          <w:szCs w:val="20"/>
        </w:rPr>
        <w:t>DEL</w:t>
      </w:r>
      <w:r w:rsidRPr="00DB792E">
        <w:rPr>
          <w:rFonts w:ascii="Abadi" w:hAnsi="Abadi"/>
          <w:b/>
          <w:bCs/>
          <w:spacing w:val="-13"/>
          <w:sz w:val="20"/>
          <w:szCs w:val="20"/>
        </w:rPr>
        <w:t xml:space="preserve"> </w:t>
      </w:r>
      <w:r w:rsidRPr="00DB792E">
        <w:rPr>
          <w:rFonts w:ascii="Abadi" w:hAnsi="Abadi"/>
          <w:b/>
          <w:bCs/>
          <w:sz w:val="20"/>
          <w:szCs w:val="20"/>
        </w:rPr>
        <w:t>DICTAMEN</w:t>
      </w:r>
      <w:r w:rsidRPr="00DB792E">
        <w:rPr>
          <w:rFonts w:ascii="Abadi" w:hAnsi="Abadi"/>
          <w:b/>
          <w:bCs/>
          <w:spacing w:val="-12"/>
          <w:sz w:val="20"/>
          <w:szCs w:val="20"/>
        </w:rPr>
        <w:t xml:space="preserve"> </w:t>
      </w:r>
      <w:r w:rsidRPr="00DB792E">
        <w:rPr>
          <w:rFonts w:ascii="Abadi" w:hAnsi="Abadi"/>
          <w:b/>
          <w:bCs/>
          <w:sz w:val="20"/>
          <w:szCs w:val="20"/>
        </w:rPr>
        <w:t>FORMULADO</w:t>
      </w:r>
      <w:r w:rsidRPr="00DB792E">
        <w:rPr>
          <w:rFonts w:ascii="Abadi" w:hAnsi="Abadi"/>
          <w:b/>
          <w:bCs/>
          <w:spacing w:val="-12"/>
          <w:sz w:val="20"/>
          <w:szCs w:val="20"/>
        </w:rPr>
        <w:t xml:space="preserve"> </w:t>
      </w:r>
      <w:r w:rsidRPr="00DB792E">
        <w:rPr>
          <w:rFonts w:ascii="Abadi" w:hAnsi="Abadi"/>
          <w:b/>
          <w:bCs/>
          <w:sz w:val="20"/>
          <w:szCs w:val="20"/>
        </w:rPr>
        <w:t>POR</w:t>
      </w:r>
      <w:r w:rsidRPr="00DB792E">
        <w:rPr>
          <w:rFonts w:ascii="Abadi" w:hAnsi="Abadi"/>
          <w:b/>
          <w:bCs/>
          <w:spacing w:val="-13"/>
          <w:sz w:val="20"/>
          <w:szCs w:val="20"/>
        </w:rPr>
        <w:t xml:space="preserve"> </w:t>
      </w:r>
      <w:r w:rsidRPr="00DB792E">
        <w:rPr>
          <w:rFonts w:ascii="Abadi" w:hAnsi="Abadi"/>
          <w:b/>
          <w:bCs/>
          <w:sz w:val="20"/>
          <w:szCs w:val="20"/>
        </w:rPr>
        <w:t>LA</w:t>
      </w:r>
      <w:r w:rsidRPr="00531B12">
        <w:rPr>
          <w:rFonts w:ascii="Abadi" w:hAnsi="Abadi"/>
          <w:b/>
          <w:bCs/>
          <w:spacing w:val="-12"/>
          <w:sz w:val="20"/>
          <w:szCs w:val="20"/>
        </w:rPr>
        <w:t xml:space="preserve"> </w:t>
      </w:r>
      <w:r w:rsidRPr="00531B12">
        <w:rPr>
          <w:rFonts w:ascii="Abadi" w:hAnsi="Abadi"/>
          <w:b/>
          <w:bCs/>
          <w:sz w:val="20"/>
          <w:szCs w:val="20"/>
        </w:rPr>
        <w:t>COMISIÓN</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HACIENDA</w:t>
      </w:r>
      <w:r w:rsidRPr="00531B12">
        <w:rPr>
          <w:rFonts w:ascii="Abadi" w:hAnsi="Abadi"/>
          <w:b/>
          <w:bCs/>
          <w:spacing w:val="-2"/>
          <w:sz w:val="20"/>
          <w:szCs w:val="20"/>
        </w:rPr>
        <w:t xml:space="preserve"> </w:t>
      </w:r>
      <w:r w:rsidRPr="00531B12">
        <w:rPr>
          <w:rFonts w:ascii="Abadi" w:hAnsi="Abadi"/>
          <w:b/>
          <w:bCs/>
          <w:sz w:val="20"/>
          <w:szCs w:val="20"/>
        </w:rPr>
        <w:t>Y</w:t>
      </w:r>
      <w:r w:rsidRPr="00531B12">
        <w:rPr>
          <w:rFonts w:ascii="Abadi" w:hAnsi="Abadi"/>
          <w:b/>
          <w:bCs/>
          <w:spacing w:val="-2"/>
          <w:sz w:val="20"/>
          <w:szCs w:val="20"/>
        </w:rPr>
        <w:t xml:space="preserve"> </w:t>
      </w:r>
      <w:r w:rsidRPr="00531B12">
        <w:rPr>
          <w:rFonts w:ascii="Abadi" w:hAnsi="Abadi"/>
          <w:b/>
          <w:bCs/>
          <w:sz w:val="20"/>
          <w:szCs w:val="20"/>
        </w:rPr>
        <w:t>FISCALIZACIÓN</w:t>
      </w:r>
      <w:r w:rsidRPr="00531B12">
        <w:rPr>
          <w:rFonts w:ascii="Abadi" w:hAnsi="Abadi"/>
          <w:b/>
          <w:bCs/>
          <w:spacing w:val="-2"/>
          <w:sz w:val="20"/>
          <w:szCs w:val="20"/>
        </w:rPr>
        <w:t xml:space="preserve"> </w:t>
      </w:r>
      <w:r w:rsidRPr="00531B12">
        <w:rPr>
          <w:rFonts w:ascii="Abadi" w:hAnsi="Abadi"/>
          <w:b/>
          <w:bCs/>
          <w:sz w:val="20"/>
          <w:szCs w:val="20"/>
        </w:rPr>
        <w:t>RELATIVO</w:t>
      </w:r>
      <w:r w:rsidRPr="00531B12">
        <w:rPr>
          <w:rFonts w:ascii="Abadi" w:hAnsi="Abadi"/>
          <w:b/>
          <w:bCs/>
          <w:spacing w:val="-2"/>
          <w:sz w:val="20"/>
          <w:szCs w:val="20"/>
        </w:rPr>
        <w:t xml:space="preserve"> </w:t>
      </w:r>
      <w:r w:rsidRPr="00531B12">
        <w:rPr>
          <w:rFonts w:ascii="Abadi" w:hAnsi="Abadi"/>
          <w:b/>
          <w:bCs/>
          <w:sz w:val="20"/>
          <w:szCs w:val="20"/>
        </w:rPr>
        <w:t>AL</w:t>
      </w:r>
      <w:r w:rsidRPr="00531B12">
        <w:rPr>
          <w:rFonts w:ascii="Abadi" w:hAnsi="Abadi"/>
          <w:b/>
          <w:bCs/>
          <w:spacing w:val="-2"/>
          <w:sz w:val="20"/>
          <w:szCs w:val="20"/>
        </w:rPr>
        <w:t xml:space="preserve"> </w:t>
      </w:r>
      <w:r w:rsidRPr="00531B12">
        <w:rPr>
          <w:rFonts w:ascii="Abadi" w:hAnsi="Abadi"/>
          <w:b/>
          <w:bCs/>
          <w:sz w:val="20"/>
          <w:szCs w:val="20"/>
        </w:rPr>
        <w:t>INFORME</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RESULTADOS</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LA</w:t>
      </w:r>
      <w:r w:rsidRPr="00531B12">
        <w:rPr>
          <w:rFonts w:ascii="Abadi" w:hAnsi="Abadi"/>
          <w:b/>
          <w:bCs/>
          <w:spacing w:val="-2"/>
          <w:sz w:val="20"/>
          <w:szCs w:val="20"/>
        </w:rPr>
        <w:t xml:space="preserve"> </w:t>
      </w:r>
      <w:r w:rsidRPr="00531B12">
        <w:rPr>
          <w:rFonts w:ascii="Abadi" w:hAnsi="Abadi"/>
          <w:b/>
          <w:bCs/>
          <w:sz w:val="20"/>
          <w:szCs w:val="20"/>
        </w:rPr>
        <w:t>AUDITORÍA</w:t>
      </w:r>
      <w:r w:rsidRPr="00531B12">
        <w:rPr>
          <w:rFonts w:ascii="Abadi" w:hAnsi="Abadi"/>
          <w:b/>
          <w:bCs/>
          <w:spacing w:val="-1"/>
          <w:sz w:val="20"/>
          <w:szCs w:val="20"/>
        </w:rPr>
        <w:t xml:space="preserve"> </w:t>
      </w:r>
      <w:r w:rsidRPr="00531B12">
        <w:rPr>
          <w:rFonts w:ascii="Abadi" w:hAnsi="Abadi"/>
          <w:b/>
          <w:bCs/>
          <w:sz w:val="20"/>
          <w:szCs w:val="20"/>
        </w:rPr>
        <w:t>PRACTICADA</w:t>
      </w:r>
      <w:r w:rsidRPr="00531B12">
        <w:rPr>
          <w:rFonts w:ascii="Abadi" w:hAnsi="Abadi"/>
          <w:b/>
          <w:bCs/>
          <w:spacing w:val="58"/>
          <w:w w:val="150"/>
          <w:sz w:val="20"/>
          <w:szCs w:val="20"/>
        </w:rPr>
        <w:t xml:space="preserve"> </w:t>
      </w:r>
      <w:r w:rsidRPr="00531B12">
        <w:rPr>
          <w:rFonts w:ascii="Abadi" w:hAnsi="Abadi"/>
          <w:b/>
          <w:bCs/>
          <w:sz w:val="20"/>
          <w:szCs w:val="20"/>
        </w:rPr>
        <w:t>POR</w:t>
      </w:r>
      <w:r w:rsidRPr="00531B12">
        <w:rPr>
          <w:rFonts w:ascii="Abadi" w:hAnsi="Abadi"/>
          <w:b/>
          <w:bCs/>
          <w:spacing w:val="58"/>
          <w:w w:val="150"/>
          <w:sz w:val="20"/>
          <w:szCs w:val="20"/>
        </w:rPr>
        <w:t xml:space="preserve"> </w:t>
      </w:r>
      <w:r w:rsidRPr="00531B12">
        <w:rPr>
          <w:rFonts w:ascii="Abadi" w:hAnsi="Abadi"/>
          <w:b/>
          <w:bCs/>
          <w:sz w:val="20"/>
          <w:szCs w:val="20"/>
        </w:rPr>
        <w:t>LA</w:t>
      </w:r>
      <w:r w:rsidRPr="00531B12">
        <w:rPr>
          <w:rFonts w:ascii="Abadi" w:hAnsi="Abadi"/>
          <w:b/>
          <w:bCs/>
          <w:spacing w:val="58"/>
          <w:w w:val="150"/>
          <w:sz w:val="20"/>
          <w:szCs w:val="20"/>
        </w:rPr>
        <w:t xml:space="preserve"> </w:t>
      </w:r>
      <w:r w:rsidRPr="00531B12">
        <w:rPr>
          <w:rFonts w:ascii="Abadi" w:hAnsi="Abadi"/>
          <w:b/>
          <w:bCs/>
          <w:sz w:val="20"/>
          <w:szCs w:val="20"/>
        </w:rPr>
        <w:t>AUDITORÍA</w:t>
      </w:r>
      <w:r w:rsidRPr="00531B12">
        <w:rPr>
          <w:rFonts w:ascii="Abadi" w:hAnsi="Abadi"/>
          <w:b/>
          <w:bCs/>
          <w:spacing w:val="58"/>
          <w:w w:val="150"/>
          <w:sz w:val="20"/>
          <w:szCs w:val="20"/>
        </w:rPr>
        <w:t xml:space="preserve"> </w:t>
      </w:r>
      <w:r w:rsidRPr="00531B12">
        <w:rPr>
          <w:rFonts w:ascii="Abadi" w:hAnsi="Abadi"/>
          <w:b/>
          <w:bCs/>
          <w:sz w:val="20"/>
          <w:szCs w:val="20"/>
        </w:rPr>
        <w:t>SUPERIOR</w:t>
      </w:r>
      <w:r w:rsidRPr="00531B12">
        <w:rPr>
          <w:rFonts w:ascii="Abadi" w:hAnsi="Abadi"/>
          <w:b/>
          <w:bCs/>
          <w:spacing w:val="58"/>
          <w:w w:val="150"/>
          <w:sz w:val="20"/>
          <w:szCs w:val="20"/>
        </w:rPr>
        <w:t xml:space="preserve"> </w:t>
      </w:r>
      <w:r w:rsidRPr="00531B12">
        <w:rPr>
          <w:rFonts w:ascii="Abadi" w:hAnsi="Abadi"/>
          <w:b/>
          <w:bCs/>
          <w:sz w:val="20"/>
          <w:szCs w:val="20"/>
        </w:rPr>
        <w:t>DEL</w:t>
      </w:r>
      <w:r w:rsidRPr="00531B12">
        <w:rPr>
          <w:rFonts w:ascii="Abadi" w:hAnsi="Abadi"/>
          <w:b/>
          <w:bCs/>
          <w:spacing w:val="58"/>
          <w:w w:val="150"/>
          <w:sz w:val="20"/>
          <w:szCs w:val="20"/>
        </w:rPr>
        <w:t xml:space="preserve"> </w:t>
      </w:r>
      <w:r w:rsidRPr="00531B12">
        <w:rPr>
          <w:rFonts w:ascii="Abadi" w:hAnsi="Abadi"/>
          <w:b/>
          <w:bCs/>
          <w:sz w:val="20"/>
          <w:szCs w:val="20"/>
        </w:rPr>
        <w:t>ESTADO</w:t>
      </w:r>
      <w:r w:rsidRPr="00531B12">
        <w:rPr>
          <w:rFonts w:ascii="Abadi" w:hAnsi="Abadi"/>
          <w:b/>
          <w:bCs/>
          <w:spacing w:val="58"/>
          <w:w w:val="150"/>
          <w:sz w:val="20"/>
          <w:szCs w:val="20"/>
        </w:rPr>
        <w:t xml:space="preserve"> </w:t>
      </w:r>
      <w:r w:rsidRPr="00531B12">
        <w:rPr>
          <w:rFonts w:ascii="Abadi" w:hAnsi="Abadi"/>
          <w:b/>
          <w:bCs/>
          <w:sz w:val="20"/>
          <w:szCs w:val="20"/>
        </w:rPr>
        <w:t>DE</w:t>
      </w:r>
      <w:r w:rsidRPr="00531B12">
        <w:rPr>
          <w:rFonts w:ascii="Abadi" w:hAnsi="Abadi"/>
          <w:b/>
          <w:bCs/>
          <w:spacing w:val="58"/>
          <w:w w:val="150"/>
          <w:sz w:val="20"/>
          <w:szCs w:val="20"/>
        </w:rPr>
        <w:t xml:space="preserve"> </w:t>
      </w:r>
      <w:r w:rsidRPr="00531B12">
        <w:rPr>
          <w:rFonts w:ascii="Abadi" w:hAnsi="Abadi"/>
          <w:b/>
          <w:bCs/>
          <w:sz w:val="20"/>
          <w:szCs w:val="20"/>
        </w:rPr>
        <w:t>GUANAJUATO,</w:t>
      </w:r>
      <w:r w:rsidRPr="00531B12">
        <w:rPr>
          <w:rFonts w:ascii="Abadi" w:hAnsi="Abadi"/>
          <w:b/>
          <w:bCs/>
          <w:spacing w:val="58"/>
          <w:w w:val="150"/>
          <w:sz w:val="20"/>
          <w:szCs w:val="20"/>
        </w:rPr>
        <w:t xml:space="preserve"> </w:t>
      </w:r>
      <w:r w:rsidRPr="00531B12">
        <w:rPr>
          <w:rFonts w:ascii="Abadi" w:hAnsi="Abadi"/>
          <w:b/>
          <w:bCs/>
          <w:sz w:val="20"/>
          <w:szCs w:val="20"/>
        </w:rPr>
        <w:t>A</w:t>
      </w:r>
      <w:r w:rsidRPr="00531B12">
        <w:rPr>
          <w:rFonts w:ascii="Abadi" w:hAnsi="Abadi"/>
          <w:b/>
          <w:bCs/>
          <w:spacing w:val="58"/>
          <w:w w:val="150"/>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INFRAESTRUCTURA</w:t>
      </w:r>
      <w:r w:rsidRPr="00531B12">
        <w:rPr>
          <w:rFonts w:ascii="Abadi" w:hAnsi="Abadi"/>
          <w:b/>
          <w:bCs/>
          <w:spacing w:val="-10"/>
          <w:sz w:val="20"/>
          <w:szCs w:val="20"/>
        </w:rPr>
        <w:t xml:space="preserve"> </w:t>
      </w:r>
      <w:r w:rsidRPr="00531B12">
        <w:rPr>
          <w:rFonts w:ascii="Abadi" w:hAnsi="Abadi"/>
          <w:b/>
          <w:bCs/>
          <w:sz w:val="20"/>
          <w:szCs w:val="20"/>
        </w:rPr>
        <w:t>PÚBLICA</w:t>
      </w:r>
      <w:r w:rsidRPr="00531B12">
        <w:rPr>
          <w:rFonts w:ascii="Abadi" w:hAnsi="Abadi"/>
          <w:b/>
          <w:bCs/>
          <w:spacing w:val="-10"/>
          <w:sz w:val="20"/>
          <w:szCs w:val="20"/>
        </w:rPr>
        <w:t xml:space="preserve"> </w:t>
      </w:r>
      <w:r w:rsidRPr="00531B12">
        <w:rPr>
          <w:rFonts w:ascii="Abadi" w:hAnsi="Abadi"/>
          <w:b/>
          <w:bCs/>
          <w:sz w:val="20"/>
          <w:szCs w:val="20"/>
        </w:rPr>
        <w:t>MUNICIPAL</w:t>
      </w:r>
      <w:r w:rsidRPr="00531B12">
        <w:rPr>
          <w:rFonts w:ascii="Abadi" w:hAnsi="Abadi"/>
          <w:b/>
          <w:bCs/>
          <w:spacing w:val="-10"/>
          <w:sz w:val="20"/>
          <w:szCs w:val="20"/>
        </w:rPr>
        <w:t xml:space="preserve"> </w:t>
      </w:r>
      <w:r w:rsidRPr="00531B12">
        <w:rPr>
          <w:rFonts w:ascii="Abadi" w:hAnsi="Abadi"/>
          <w:b/>
          <w:bCs/>
          <w:sz w:val="20"/>
          <w:szCs w:val="20"/>
        </w:rPr>
        <w:t>RESPECTO</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LAS</w:t>
      </w:r>
      <w:r w:rsidRPr="00531B12">
        <w:rPr>
          <w:rFonts w:ascii="Abadi" w:hAnsi="Abadi"/>
          <w:b/>
          <w:bCs/>
          <w:spacing w:val="-10"/>
          <w:sz w:val="20"/>
          <w:szCs w:val="20"/>
        </w:rPr>
        <w:t xml:space="preserve"> </w:t>
      </w:r>
      <w:r w:rsidRPr="00531B12">
        <w:rPr>
          <w:rFonts w:ascii="Abadi" w:hAnsi="Abadi"/>
          <w:b/>
          <w:bCs/>
          <w:sz w:val="20"/>
          <w:szCs w:val="20"/>
        </w:rPr>
        <w:t>OPERACIONES</w:t>
      </w:r>
      <w:r w:rsidRPr="00531B12">
        <w:rPr>
          <w:rFonts w:ascii="Abadi" w:hAnsi="Abadi"/>
          <w:b/>
          <w:bCs/>
          <w:spacing w:val="-10"/>
          <w:sz w:val="20"/>
          <w:szCs w:val="20"/>
        </w:rPr>
        <w:t xml:space="preserve"> </w:t>
      </w:r>
      <w:r w:rsidRPr="00531B12">
        <w:rPr>
          <w:rFonts w:ascii="Abadi" w:hAnsi="Abadi"/>
          <w:b/>
          <w:bCs/>
          <w:sz w:val="20"/>
          <w:szCs w:val="20"/>
        </w:rPr>
        <w:t>REALIZADAS</w:t>
      </w:r>
      <w:r w:rsidRPr="00531B12">
        <w:rPr>
          <w:rFonts w:ascii="Abadi" w:hAnsi="Abadi"/>
          <w:b/>
          <w:bCs/>
          <w:spacing w:val="-10"/>
          <w:sz w:val="20"/>
          <w:szCs w:val="20"/>
        </w:rPr>
        <w:t xml:space="preserve"> </w:t>
      </w:r>
      <w:r w:rsidRPr="00531B12">
        <w:rPr>
          <w:rFonts w:ascii="Abadi" w:hAnsi="Abadi"/>
          <w:b/>
          <w:bCs/>
          <w:sz w:val="20"/>
          <w:szCs w:val="20"/>
        </w:rPr>
        <w:t>POR</w:t>
      </w:r>
      <w:r w:rsidRPr="00531B12">
        <w:rPr>
          <w:rFonts w:ascii="Abadi" w:hAnsi="Abadi"/>
          <w:b/>
          <w:bCs/>
          <w:spacing w:val="-1"/>
          <w:sz w:val="20"/>
          <w:szCs w:val="20"/>
        </w:rPr>
        <w:t xml:space="preserve"> </w:t>
      </w:r>
      <w:r w:rsidRPr="00531B12">
        <w:rPr>
          <w:rFonts w:ascii="Abadi" w:hAnsi="Abadi"/>
          <w:b/>
          <w:bCs/>
          <w:sz w:val="20"/>
          <w:szCs w:val="20"/>
        </w:rPr>
        <w:t>LA</w:t>
      </w:r>
      <w:r w:rsidRPr="00531B12">
        <w:rPr>
          <w:rFonts w:ascii="Abadi" w:hAnsi="Abadi"/>
          <w:b/>
          <w:bCs/>
          <w:spacing w:val="18"/>
          <w:sz w:val="20"/>
          <w:szCs w:val="20"/>
        </w:rPr>
        <w:t xml:space="preserve"> </w:t>
      </w:r>
      <w:r w:rsidRPr="00531B12">
        <w:rPr>
          <w:rFonts w:ascii="Abadi" w:hAnsi="Abadi"/>
          <w:b/>
          <w:bCs/>
          <w:sz w:val="20"/>
          <w:szCs w:val="20"/>
        </w:rPr>
        <w:t>ADMINISTRACIÓN</w:t>
      </w:r>
      <w:r w:rsidRPr="00531B12">
        <w:rPr>
          <w:rFonts w:ascii="Abadi" w:hAnsi="Abadi"/>
          <w:b/>
          <w:bCs/>
          <w:spacing w:val="18"/>
          <w:sz w:val="20"/>
          <w:szCs w:val="20"/>
        </w:rPr>
        <w:t xml:space="preserve"> </w:t>
      </w:r>
      <w:r w:rsidRPr="00531B12">
        <w:rPr>
          <w:rFonts w:ascii="Abadi" w:hAnsi="Abadi"/>
          <w:b/>
          <w:bCs/>
          <w:sz w:val="20"/>
          <w:szCs w:val="20"/>
        </w:rPr>
        <w:t>MUNICIPAL</w:t>
      </w:r>
      <w:r w:rsidRPr="00531B12">
        <w:rPr>
          <w:rFonts w:ascii="Abadi" w:hAnsi="Abadi"/>
          <w:b/>
          <w:bCs/>
          <w:spacing w:val="18"/>
          <w:sz w:val="20"/>
          <w:szCs w:val="20"/>
        </w:rPr>
        <w:t xml:space="preserve"> </w:t>
      </w:r>
      <w:r w:rsidRPr="00531B12">
        <w:rPr>
          <w:rFonts w:ascii="Abadi" w:hAnsi="Abadi"/>
          <w:b/>
          <w:bCs/>
          <w:sz w:val="20"/>
          <w:szCs w:val="20"/>
        </w:rPr>
        <w:t>DE</w:t>
      </w:r>
      <w:r w:rsidRPr="00531B12">
        <w:rPr>
          <w:rFonts w:ascii="Abadi" w:hAnsi="Abadi"/>
          <w:b/>
          <w:bCs/>
          <w:spacing w:val="19"/>
          <w:sz w:val="20"/>
          <w:szCs w:val="20"/>
        </w:rPr>
        <w:t xml:space="preserve"> </w:t>
      </w:r>
      <w:r w:rsidRPr="00531B12">
        <w:rPr>
          <w:rFonts w:ascii="Abadi" w:hAnsi="Abadi"/>
          <w:b/>
          <w:bCs/>
          <w:sz w:val="20"/>
          <w:szCs w:val="20"/>
        </w:rPr>
        <w:t>DOLORES</w:t>
      </w:r>
      <w:r w:rsidRPr="00531B12">
        <w:rPr>
          <w:rFonts w:ascii="Abadi" w:hAnsi="Abadi"/>
          <w:b/>
          <w:bCs/>
          <w:spacing w:val="19"/>
          <w:sz w:val="20"/>
          <w:szCs w:val="20"/>
        </w:rPr>
        <w:t xml:space="preserve"> </w:t>
      </w:r>
      <w:r w:rsidRPr="00531B12">
        <w:rPr>
          <w:rFonts w:ascii="Abadi" w:hAnsi="Abadi"/>
          <w:b/>
          <w:bCs/>
          <w:sz w:val="20"/>
          <w:szCs w:val="20"/>
        </w:rPr>
        <w:t>HIDALGO</w:t>
      </w:r>
      <w:r w:rsidRPr="00531B12">
        <w:rPr>
          <w:rFonts w:ascii="Abadi" w:hAnsi="Abadi"/>
          <w:b/>
          <w:bCs/>
          <w:spacing w:val="18"/>
          <w:sz w:val="20"/>
          <w:szCs w:val="20"/>
        </w:rPr>
        <w:t xml:space="preserve"> </w:t>
      </w:r>
      <w:r w:rsidRPr="00531B12">
        <w:rPr>
          <w:rFonts w:ascii="Abadi" w:hAnsi="Abadi"/>
          <w:b/>
          <w:bCs/>
          <w:sz w:val="20"/>
          <w:szCs w:val="20"/>
        </w:rPr>
        <w:t>CUNA</w:t>
      </w:r>
      <w:r w:rsidRPr="00531B12">
        <w:rPr>
          <w:rFonts w:ascii="Abadi" w:hAnsi="Abadi"/>
          <w:b/>
          <w:bCs/>
          <w:spacing w:val="18"/>
          <w:sz w:val="20"/>
          <w:szCs w:val="20"/>
        </w:rPr>
        <w:t xml:space="preserve"> </w:t>
      </w:r>
      <w:r w:rsidRPr="00531B12">
        <w:rPr>
          <w:rFonts w:ascii="Abadi" w:hAnsi="Abadi"/>
          <w:b/>
          <w:bCs/>
          <w:sz w:val="20"/>
          <w:szCs w:val="20"/>
        </w:rPr>
        <w:t>DE</w:t>
      </w:r>
      <w:r w:rsidRPr="00531B12">
        <w:rPr>
          <w:rFonts w:ascii="Abadi" w:hAnsi="Abadi"/>
          <w:b/>
          <w:bCs/>
          <w:spacing w:val="18"/>
          <w:sz w:val="20"/>
          <w:szCs w:val="20"/>
        </w:rPr>
        <w:t xml:space="preserve"> </w:t>
      </w:r>
      <w:r w:rsidRPr="00531B12">
        <w:rPr>
          <w:rFonts w:ascii="Abadi" w:hAnsi="Abadi"/>
          <w:b/>
          <w:bCs/>
          <w:sz w:val="20"/>
          <w:szCs w:val="20"/>
        </w:rPr>
        <w:t>LA</w:t>
      </w:r>
      <w:r w:rsidRPr="00531B12">
        <w:rPr>
          <w:rFonts w:ascii="Abadi" w:hAnsi="Abadi"/>
          <w:b/>
          <w:bCs/>
          <w:spacing w:val="18"/>
          <w:sz w:val="20"/>
          <w:szCs w:val="20"/>
        </w:rPr>
        <w:t xml:space="preserve"> </w:t>
      </w:r>
      <w:r w:rsidRPr="00531B12">
        <w:rPr>
          <w:rFonts w:ascii="Abadi" w:hAnsi="Abadi"/>
          <w:b/>
          <w:bCs/>
          <w:sz w:val="20"/>
          <w:szCs w:val="20"/>
        </w:rPr>
        <w:t>INDEPENDENCIA</w:t>
      </w:r>
      <w:r w:rsidRPr="00531B12">
        <w:rPr>
          <w:rFonts w:ascii="Abadi" w:hAnsi="Abadi"/>
          <w:b/>
          <w:bCs/>
          <w:spacing w:val="-1"/>
          <w:sz w:val="20"/>
          <w:szCs w:val="20"/>
        </w:rPr>
        <w:t xml:space="preserve"> </w:t>
      </w:r>
      <w:r w:rsidRPr="00531B12">
        <w:rPr>
          <w:rFonts w:ascii="Abadi" w:hAnsi="Abadi"/>
          <w:b/>
          <w:bCs/>
          <w:sz w:val="20"/>
          <w:szCs w:val="20"/>
        </w:rPr>
        <w:t>NACIONAL,</w:t>
      </w:r>
      <w:r w:rsidRPr="00531B12">
        <w:rPr>
          <w:rFonts w:ascii="Abadi" w:hAnsi="Abadi"/>
          <w:b/>
          <w:bCs/>
          <w:spacing w:val="9"/>
          <w:sz w:val="20"/>
          <w:szCs w:val="20"/>
        </w:rPr>
        <w:t xml:space="preserve"> </w:t>
      </w:r>
      <w:r w:rsidRPr="00531B12">
        <w:rPr>
          <w:rFonts w:ascii="Abadi" w:hAnsi="Abadi"/>
          <w:b/>
          <w:bCs/>
          <w:sz w:val="20"/>
          <w:szCs w:val="20"/>
        </w:rPr>
        <w:t>GTO.,</w:t>
      </w:r>
      <w:r w:rsidRPr="00531B12">
        <w:rPr>
          <w:rFonts w:ascii="Abadi" w:hAnsi="Abadi"/>
          <w:b/>
          <w:bCs/>
          <w:spacing w:val="9"/>
          <w:sz w:val="20"/>
          <w:szCs w:val="20"/>
        </w:rPr>
        <w:t xml:space="preserve"> </w:t>
      </w:r>
      <w:r w:rsidRPr="00531B12">
        <w:rPr>
          <w:rFonts w:ascii="Abadi" w:hAnsi="Abadi"/>
          <w:b/>
          <w:bCs/>
          <w:sz w:val="20"/>
          <w:szCs w:val="20"/>
        </w:rPr>
        <w:t>CORRESPONDIENTES</w:t>
      </w:r>
      <w:r w:rsidRPr="00531B12">
        <w:rPr>
          <w:rFonts w:ascii="Abadi" w:hAnsi="Abadi"/>
          <w:b/>
          <w:bCs/>
          <w:spacing w:val="10"/>
          <w:sz w:val="20"/>
          <w:szCs w:val="20"/>
        </w:rPr>
        <w:t xml:space="preserve"> </w:t>
      </w:r>
      <w:r w:rsidRPr="00531B12">
        <w:rPr>
          <w:rFonts w:ascii="Abadi" w:hAnsi="Abadi"/>
          <w:b/>
          <w:bCs/>
          <w:sz w:val="20"/>
          <w:szCs w:val="20"/>
        </w:rPr>
        <w:t>AL</w:t>
      </w:r>
      <w:r w:rsidRPr="00531B12">
        <w:rPr>
          <w:rFonts w:ascii="Abadi" w:hAnsi="Abadi"/>
          <w:b/>
          <w:bCs/>
          <w:spacing w:val="9"/>
          <w:sz w:val="20"/>
          <w:szCs w:val="20"/>
        </w:rPr>
        <w:t xml:space="preserve"> </w:t>
      </w:r>
      <w:r w:rsidRPr="00531B12">
        <w:rPr>
          <w:rFonts w:ascii="Abadi" w:hAnsi="Abadi"/>
          <w:b/>
          <w:bCs/>
          <w:sz w:val="20"/>
          <w:szCs w:val="20"/>
        </w:rPr>
        <w:t>PERIODO</w:t>
      </w:r>
      <w:r w:rsidRPr="00531B12">
        <w:rPr>
          <w:rFonts w:ascii="Abadi" w:hAnsi="Abadi"/>
          <w:b/>
          <w:bCs/>
          <w:spacing w:val="9"/>
          <w:sz w:val="20"/>
          <w:szCs w:val="20"/>
        </w:rPr>
        <w:t xml:space="preserve"> </w:t>
      </w:r>
      <w:r w:rsidRPr="00531B12">
        <w:rPr>
          <w:rFonts w:ascii="Abadi" w:hAnsi="Abadi"/>
          <w:b/>
          <w:bCs/>
          <w:sz w:val="20"/>
          <w:szCs w:val="20"/>
        </w:rPr>
        <w:t>COMPRENDIDO</w:t>
      </w:r>
      <w:r w:rsidRPr="00531B12">
        <w:rPr>
          <w:rFonts w:ascii="Abadi" w:hAnsi="Abadi"/>
          <w:b/>
          <w:bCs/>
          <w:spacing w:val="9"/>
          <w:sz w:val="20"/>
          <w:szCs w:val="20"/>
        </w:rPr>
        <w:t xml:space="preserve"> </w:t>
      </w:r>
      <w:r w:rsidRPr="00531B12">
        <w:rPr>
          <w:rFonts w:ascii="Abadi" w:hAnsi="Abadi"/>
          <w:b/>
          <w:bCs/>
          <w:sz w:val="20"/>
          <w:szCs w:val="20"/>
        </w:rPr>
        <w:t>DEL</w:t>
      </w:r>
      <w:r w:rsidRPr="00531B12">
        <w:rPr>
          <w:rFonts w:ascii="Abadi" w:hAnsi="Abadi"/>
          <w:b/>
          <w:bCs/>
          <w:spacing w:val="9"/>
          <w:sz w:val="20"/>
          <w:szCs w:val="20"/>
        </w:rPr>
        <w:t xml:space="preserve"> </w:t>
      </w:r>
      <w:r w:rsidRPr="00531B12">
        <w:rPr>
          <w:rFonts w:ascii="Abadi" w:hAnsi="Abadi"/>
          <w:b/>
          <w:bCs/>
          <w:sz w:val="20"/>
          <w:szCs w:val="20"/>
        </w:rPr>
        <w:t>1</w:t>
      </w:r>
      <w:r w:rsidRPr="00531B12">
        <w:rPr>
          <w:rFonts w:ascii="Abadi" w:hAnsi="Abadi"/>
          <w:b/>
          <w:bCs/>
          <w:spacing w:val="9"/>
          <w:sz w:val="20"/>
          <w:szCs w:val="20"/>
        </w:rPr>
        <w:t xml:space="preserve"> </w:t>
      </w:r>
      <w:r w:rsidRPr="00531B12">
        <w:rPr>
          <w:rFonts w:ascii="Abadi" w:hAnsi="Abadi"/>
          <w:b/>
          <w:bCs/>
          <w:sz w:val="20"/>
          <w:szCs w:val="20"/>
        </w:rPr>
        <w:t>DE</w:t>
      </w:r>
      <w:r w:rsidRPr="00531B12">
        <w:rPr>
          <w:rFonts w:ascii="Abadi" w:hAnsi="Abadi"/>
          <w:b/>
          <w:bCs/>
          <w:spacing w:val="9"/>
          <w:sz w:val="20"/>
          <w:szCs w:val="20"/>
        </w:rPr>
        <w:t xml:space="preserve"> </w:t>
      </w:r>
      <w:r w:rsidRPr="00531B12">
        <w:rPr>
          <w:rFonts w:ascii="Abadi" w:hAnsi="Abadi"/>
          <w:b/>
          <w:bCs/>
          <w:sz w:val="20"/>
          <w:szCs w:val="20"/>
        </w:rPr>
        <w:t>ENERO</w:t>
      </w:r>
      <w:r w:rsidRPr="00531B12">
        <w:rPr>
          <w:rFonts w:ascii="Abadi" w:hAnsi="Abadi"/>
          <w:b/>
          <w:bCs/>
          <w:spacing w:val="9"/>
          <w:sz w:val="20"/>
          <w:szCs w:val="20"/>
        </w:rPr>
        <w:t xml:space="preserve"> </w:t>
      </w:r>
      <w:r w:rsidRPr="00531B12">
        <w:rPr>
          <w:rFonts w:ascii="Abadi" w:hAnsi="Abadi"/>
          <w:b/>
          <w:bCs/>
          <w:sz w:val="20"/>
          <w:szCs w:val="20"/>
        </w:rPr>
        <w:t>AL</w:t>
      </w:r>
      <w:r w:rsidRPr="00531B12">
        <w:rPr>
          <w:rFonts w:ascii="Abadi" w:hAnsi="Abadi"/>
          <w:b/>
          <w:bCs/>
          <w:spacing w:val="-1"/>
          <w:sz w:val="20"/>
          <w:szCs w:val="20"/>
        </w:rPr>
        <w:t xml:space="preserve"> </w:t>
      </w:r>
      <w:r w:rsidRPr="00531B12">
        <w:rPr>
          <w:rFonts w:ascii="Abadi" w:hAnsi="Abadi"/>
          <w:b/>
          <w:bCs/>
          <w:sz w:val="20"/>
          <w:szCs w:val="20"/>
        </w:rPr>
        <w:t>31 DE DICIEMBRE DEL EJERCICIO FISCAL</w:t>
      </w:r>
      <w:r w:rsidRPr="00531B12">
        <w:rPr>
          <w:rFonts w:ascii="Abadi" w:hAnsi="Abadi"/>
          <w:b/>
          <w:bCs/>
          <w:spacing w:val="-1"/>
          <w:sz w:val="20"/>
          <w:szCs w:val="20"/>
        </w:rPr>
        <w:t xml:space="preserve"> </w:t>
      </w:r>
      <w:r w:rsidRPr="00531B12">
        <w:rPr>
          <w:rFonts w:ascii="Abadi" w:hAnsi="Abadi"/>
          <w:b/>
          <w:bCs/>
          <w:sz w:val="20"/>
          <w:szCs w:val="20"/>
        </w:rPr>
        <w:t>DEL AÑO 2020.</w:t>
      </w:r>
    </w:p>
    <w:p w14:paraId="3C78FF05" w14:textId="7F70E001" w:rsidR="004869C0" w:rsidRDefault="004869C0" w:rsidP="00DB792E">
      <w:pPr>
        <w:tabs>
          <w:tab w:val="left" w:pos="856"/>
        </w:tabs>
        <w:kinsoku w:val="0"/>
        <w:overflowPunct w:val="0"/>
        <w:autoSpaceDE w:val="0"/>
        <w:autoSpaceDN w:val="0"/>
        <w:adjustRightInd w:val="0"/>
        <w:ind w:left="360" w:right="17"/>
        <w:jc w:val="both"/>
        <w:rPr>
          <w:rFonts w:ascii="Abadi" w:hAnsi="Abadi"/>
          <w:sz w:val="20"/>
          <w:szCs w:val="20"/>
        </w:rPr>
      </w:pPr>
    </w:p>
    <w:p w14:paraId="2012EF66" w14:textId="77777777" w:rsidR="00C3155A" w:rsidRPr="00C3155A" w:rsidRDefault="00C3155A" w:rsidP="00C3155A">
      <w:pPr>
        <w:jc w:val="both"/>
        <w:rPr>
          <w:rFonts w:ascii="Abadi" w:hAnsi="Abadi" w:cs="Arial"/>
          <w:b/>
          <w:bCs/>
          <w:smallCaps/>
          <w:sz w:val="21"/>
          <w:szCs w:val="21"/>
          <w:lang w:val="es-MX"/>
        </w:rPr>
      </w:pPr>
      <w:r w:rsidRPr="00C3155A">
        <w:rPr>
          <w:rFonts w:ascii="Abadi" w:hAnsi="Abadi" w:cs="Arial"/>
          <w:b/>
          <w:bCs/>
          <w:smallCaps/>
          <w:sz w:val="21"/>
          <w:szCs w:val="21"/>
          <w:lang w:val="es-MX"/>
        </w:rPr>
        <w:t>C. Presidenta del Congreso del Estado</w:t>
      </w:r>
    </w:p>
    <w:p w14:paraId="1176E0D8" w14:textId="77777777" w:rsidR="00C3155A" w:rsidRPr="00C3155A" w:rsidRDefault="00C3155A" w:rsidP="00C3155A">
      <w:pPr>
        <w:jc w:val="both"/>
        <w:rPr>
          <w:rFonts w:ascii="Abadi" w:hAnsi="Abadi" w:cs="Arial"/>
          <w:b/>
          <w:bCs/>
          <w:smallCaps/>
          <w:sz w:val="21"/>
          <w:szCs w:val="21"/>
          <w:lang w:val="es-MX"/>
        </w:rPr>
      </w:pPr>
      <w:r w:rsidRPr="00C3155A">
        <w:rPr>
          <w:rFonts w:ascii="Abadi" w:hAnsi="Abadi" w:cs="Arial"/>
          <w:b/>
          <w:bCs/>
          <w:smallCaps/>
          <w:sz w:val="21"/>
          <w:szCs w:val="21"/>
          <w:lang w:val="es-MX"/>
        </w:rPr>
        <w:t>P r e s e n t e.</w:t>
      </w:r>
    </w:p>
    <w:p w14:paraId="189C6835" w14:textId="77777777" w:rsidR="00C3155A" w:rsidRPr="00C3155A" w:rsidRDefault="00C3155A" w:rsidP="00C3155A">
      <w:pPr>
        <w:jc w:val="both"/>
        <w:rPr>
          <w:rFonts w:ascii="Abadi" w:hAnsi="Abadi" w:cs="Arial"/>
          <w:sz w:val="21"/>
          <w:szCs w:val="21"/>
          <w:lang w:val="es-MX"/>
        </w:rPr>
      </w:pPr>
    </w:p>
    <w:p w14:paraId="43567366" w14:textId="77777777" w:rsidR="00C3155A" w:rsidRPr="00C3155A" w:rsidRDefault="00C3155A" w:rsidP="00C3155A">
      <w:pPr>
        <w:ind w:firstLine="708"/>
        <w:jc w:val="both"/>
        <w:rPr>
          <w:rFonts w:ascii="Abadi" w:hAnsi="Abadi" w:cs="Arial"/>
          <w:sz w:val="21"/>
          <w:szCs w:val="21"/>
        </w:rPr>
      </w:pPr>
      <w:r w:rsidRPr="00C3155A">
        <w:rPr>
          <w:rFonts w:ascii="Abadi" w:hAnsi="Abadi" w:cs="Arial"/>
          <w:sz w:val="21"/>
          <w:szCs w:val="21"/>
        </w:rPr>
        <w:t>A esta Comisión de Hacienda y Fiscalización le fue turnado para su estudio y dictamen, el informe de resultados de la auditoría practicada por la Auditoría Superior del Estado de Guanajuato, a la infraestructura pública municipal respecto de las operaciones realizadas por la administración municipal de Dolores Hidalgo Cuna de la Independencia Nacional, Gto., correspondientes al periodo comprendido del 1 de enero al 31 de diciembre del ejercicio fiscal del año 2020.</w:t>
      </w:r>
    </w:p>
    <w:p w14:paraId="6695E818" w14:textId="77777777" w:rsidR="00C3155A" w:rsidRPr="00C3155A" w:rsidRDefault="00C3155A" w:rsidP="00C3155A">
      <w:pPr>
        <w:ind w:firstLine="708"/>
        <w:jc w:val="both"/>
        <w:rPr>
          <w:rFonts w:ascii="Abadi" w:hAnsi="Abadi" w:cs="Arial"/>
          <w:sz w:val="21"/>
          <w:szCs w:val="21"/>
        </w:rPr>
      </w:pPr>
    </w:p>
    <w:p w14:paraId="1FF5CAF8" w14:textId="77777777" w:rsidR="00C3155A" w:rsidRPr="00C3155A" w:rsidRDefault="00C3155A" w:rsidP="00C3155A">
      <w:pPr>
        <w:ind w:firstLine="708"/>
        <w:jc w:val="both"/>
        <w:rPr>
          <w:rFonts w:ascii="Abadi" w:hAnsi="Abadi" w:cs="Arial"/>
          <w:sz w:val="21"/>
          <w:szCs w:val="21"/>
        </w:rPr>
      </w:pPr>
      <w:r w:rsidRPr="00C3155A">
        <w:rPr>
          <w:rFonts w:ascii="Abadi" w:hAnsi="Abadi" w:cs="Arial"/>
          <w:sz w:val="21"/>
          <w:szCs w:val="21"/>
        </w:rPr>
        <w:t>Una vez analizado el referido informe de resultados, con fundamento en lo dispuesto por los artículos 112, fracción XII</w:t>
      </w:r>
      <w:r w:rsidRPr="00C3155A">
        <w:rPr>
          <w:rFonts w:ascii="Abadi" w:hAnsi="Abadi" w:cs="Arial"/>
          <w:sz w:val="21"/>
          <w:szCs w:val="21"/>
          <w:lang w:val="es-MX"/>
        </w:rPr>
        <w:t>, primer párrafo</w:t>
      </w:r>
      <w:r w:rsidRPr="00C3155A">
        <w:rPr>
          <w:rFonts w:ascii="Abadi" w:hAnsi="Abadi" w:cs="Arial"/>
          <w:sz w:val="21"/>
          <w:szCs w:val="21"/>
        </w:rPr>
        <w:t xml:space="preserve"> y 171 de </w:t>
      </w:r>
      <w:smartTag w:uri="urn:schemas-microsoft-com:office:smarttags" w:element="PersonName">
        <w:smartTagPr>
          <w:attr w:name="ProductID" w:val="la Ley Org￡nica"/>
        </w:smartTagPr>
        <w:r w:rsidRPr="00C3155A">
          <w:rPr>
            <w:rFonts w:ascii="Abadi" w:hAnsi="Abadi" w:cs="Arial"/>
            <w:sz w:val="21"/>
            <w:szCs w:val="21"/>
          </w:rPr>
          <w:t>la Ley Orgánica</w:t>
        </w:r>
      </w:smartTag>
      <w:r w:rsidRPr="00C3155A">
        <w:rPr>
          <w:rFonts w:ascii="Abadi" w:hAnsi="Abadi" w:cs="Arial"/>
          <w:sz w:val="21"/>
          <w:szCs w:val="21"/>
        </w:rPr>
        <w:t xml:space="preserve"> del Poder Legislativo, nos permitimos rendir el siguiente:</w:t>
      </w:r>
    </w:p>
    <w:p w14:paraId="3378554D" w14:textId="77777777" w:rsidR="00C3155A" w:rsidRPr="00C3155A" w:rsidRDefault="00C3155A" w:rsidP="00C3155A">
      <w:pPr>
        <w:ind w:firstLine="708"/>
        <w:jc w:val="both"/>
        <w:rPr>
          <w:rFonts w:ascii="Abadi" w:hAnsi="Abadi" w:cs="Arial"/>
          <w:sz w:val="21"/>
          <w:szCs w:val="21"/>
        </w:rPr>
      </w:pPr>
    </w:p>
    <w:p w14:paraId="2A6D3035" w14:textId="77777777" w:rsidR="00C3155A" w:rsidRPr="00C3155A" w:rsidRDefault="00C3155A" w:rsidP="00C3155A">
      <w:pPr>
        <w:keepNext/>
        <w:jc w:val="both"/>
        <w:outlineLvl w:val="0"/>
        <w:rPr>
          <w:rFonts w:ascii="Abadi" w:eastAsia="Arial Unicode MS" w:hAnsi="Abadi" w:cs="Arial"/>
          <w:b/>
          <w:bCs/>
          <w:sz w:val="21"/>
          <w:szCs w:val="21"/>
          <w:lang w:val="es-MX"/>
        </w:rPr>
      </w:pPr>
    </w:p>
    <w:p w14:paraId="39DF34CD" w14:textId="77777777" w:rsidR="00C3155A" w:rsidRPr="00C3155A" w:rsidRDefault="00C3155A" w:rsidP="00C3155A">
      <w:pPr>
        <w:keepNext/>
        <w:jc w:val="center"/>
        <w:outlineLvl w:val="0"/>
        <w:rPr>
          <w:rFonts w:ascii="Abadi" w:eastAsia="Arial Unicode MS" w:hAnsi="Abadi" w:cs="Arial"/>
          <w:b/>
          <w:bCs/>
          <w:sz w:val="21"/>
          <w:szCs w:val="21"/>
        </w:rPr>
      </w:pPr>
      <w:r w:rsidRPr="00C3155A">
        <w:rPr>
          <w:rFonts w:ascii="Abadi" w:eastAsia="Arial Unicode MS" w:hAnsi="Abadi" w:cs="Arial"/>
          <w:b/>
          <w:bCs/>
          <w:sz w:val="21"/>
          <w:szCs w:val="21"/>
        </w:rPr>
        <w:t>D i c t a m e n</w:t>
      </w:r>
    </w:p>
    <w:p w14:paraId="42F96441" w14:textId="77777777" w:rsidR="00C3155A" w:rsidRPr="00C3155A" w:rsidRDefault="00C3155A" w:rsidP="00C3155A">
      <w:pPr>
        <w:jc w:val="both"/>
        <w:rPr>
          <w:rFonts w:ascii="Abadi" w:hAnsi="Abadi" w:cs="Arial"/>
          <w:sz w:val="21"/>
          <w:szCs w:val="21"/>
          <w:lang w:val="es-MX"/>
        </w:rPr>
      </w:pPr>
    </w:p>
    <w:p w14:paraId="7487EBE6" w14:textId="77777777" w:rsidR="00C3155A" w:rsidRPr="00C3155A" w:rsidRDefault="00C3155A" w:rsidP="00C3155A">
      <w:pPr>
        <w:ind w:firstLine="708"/>
        <w:jc w:val="both"/>
        <w:rPr>
          <w:rFonts w:ascii="Abadi" w:hAnsi="Abadi" w:cs="Arial"/>
          <w:b/>
          <w:bCs/>
          <w:sz w:val="21"/>
          <w:szCs w:val="21"/>
          <w:lang w:val="es-MX"/>
        </w:rPr>
      </w:pPr>
      <w:r w:rsidRPr="00C3155A">
        <w:rPr>
          <w:rFonts w:ascii="Abadi" w:hAnsi="Abadi" w:cs="Arial"/>
          <w:b/>
          <w:bCs/>
          <w:sz w:val="21"/>
          <w:szCs w:val="21"/>
          <w:lang w:val="es-MX"/>
        </w:rPr>
        <w:t>I. Competencia:</w:t>
      </w:r>
    </w:p>
    <w:p w14:paraId="1D71D20A" w14:textId="77777777" w:rsidR="00C3155A" w:rsidRPr="00C3155A" w:rsidRDefault="00C3155A" w:rsidP="00C3155A">
      <w:pPr>
        <w:ind w:firstLine="708"/>
        <w:jc w:val="both"/>
        <w:rPr>
          <w:rFonts w:ascii="Abadi" w:hAnsi="Abadi" w:cs="Arial"/>
          <w:b/>
          <w:bCs/>
          <w:sz w:val="21"/>
          <w:szCs w:val="21"/>
          <w:lang w:val="es-MX"/>
        </w:rPr>
      </w:pPr>
    </w:p>
    <w:p w14:paraId="32938A4C" w14:textId="77777777" w:rsidR="00C3155A" w:rsidRPr="00C3155A" w:rsidRDefault="00C3155A" w:rsidP="00C3155A">
      <w:pPr>
        <w:ind w:firstLine="708"/>
        <w:jc w:val="both"/>
        <w:rPr>
          <w:rFonts w:ascii="Abadi" w:hAnsi="Abadi" w:cs="Arial"/>
          <w:sz w:val="21"/>
          <w:szCs w:val="21"/>
        </w:rPr>
      </w:pPr>
      <w:r w:rsidRPr="00C3155A">
        <w:rPr>
          <w:rFonts w:ascii="Abadi" w:hAnsi="Abadi" w:cs="Arial"/>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C3155A">
          <w:rPr>
            <w:rFonts w:ascii="Abadi" w:hAnsi="Abadi" w:cs="Arial"/>
            <w:sz w:val="21"/>
            <w:szCs w:val="21"/>
          </w:rPr>
          <w:t>la Constitución Política</w:t>
        </w:r>
      </w:smartTag>
      <w:r w:rsidRPr="00C3155A">
        <w:rPr>
          <w:rFonts w:ascii="Abadi" w:hAnsi="Abadi" w:cs="Arial"/>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612D5615" w14:textId="77777777" w:rsidR="00C3155A" w:rsidRPr="00C3155A" w:rsidRDefault="00C3155A" w:rsidP="00C3155A">
      <w:pPr>
        <w:ind w:firstLine="708"/>
        <w:jc w:val="both"/>
        <w:rPr>
          <w:rFonts w:ascii="Abadi" w:hAnsi="Abadi" w:cs="Arial"/>
          <w:sz w:val="21"/>
          <w:szCs w:val="21"/>
        </w:rPr>
      </w:pPr>
    </w:p>
    <w:p w14:paraId="2227C781" w14:textId="11A5C822" w:rsidR="00C3155A" w:rsidRPr="00C3155A" w:rsidRDefault="00C3155A" w:rsidP="00A449DD">
      <w:pPr>
        <w:ind w:firstLine="708"/>
        <w:jc w:val="both"/>
        <w:rPr>
          <w:rFonts w:ascii="Abadi" w:hAnsi="Abadi" w:cs="Arial"/>
          <w:sz w:val="21"/>
          <w:szCs w:val="21"/>
        </w:rPr>
      </w:pPr>
      <w:r w:rsidRPr="00C3155A">
        <w:rPr>
          <w:rFonts w:ascii="Abadi" w:hAnsi="Abadi" w:cs="Arial"/>
          <w:sz w:val="21"/>
          <w:szCs w:val="21"/>
        </w:rPr>
        <w:t xml:space="preserve">El artículo 49 de </w:t>
      </w:r>
      <w:smartTag w:uri="urn:schemas-microsoft-com:office:smarttags" w:element="PersonName">
        <w:smartTagPr>
          <w:attr w:name="ProductID" w:val="la Ley"/>
        </w:smartTagPr>
        <w:r w:rsidRPr="00C3155A">
          <w:rPr>
            <w:rFonts w:ascii="Abadi" w:hAnsi="Abadi" w:cs="Arial"/>
            <w:sz w:val="21"/>
            <w:szCs w:val="21"/>
          </w:rPr>
          <w:t>la Ley</w:t>
        </w:r>
      </w:smartTag>
      <w:r w:rsidRPr="00C3155A">
        <w:rPr>
          <w:rFonts w:ascii="Abadi" w:hAnsi="Abadi" w:cs="Arial"/>
          <w:sz w:val="21"/>
          <w:szCs w:val="21"/>
        </w:rPr>
        <w:t xml:space="preserve"> de Coordinación Fiscal establece la facultad de la Auditoría Superior de la Federación para fiscalizar el ejercicio de los recursos </w:t>
      </w:r>
      <w:r w:rsidRPr="00C3155A">
        <w:rPr>
          <w:rFonts w:ascii="Abadi" w:hAnsi="Abadi" w:cs="Arial"/>
          <w:sz w:val="21"/>
          <w:szCs w:val="21"/>
          <w:lang w:val="es-MX"/>
        </w:rPr>
        <w:t xml:space="preserve">de los fondos de aportaciones federales, </w:t>
      </w:r>
      <w:r w:rsidRPr="00C3155A">
        <w:rPr>
          <w:rFonts w:ascii="Abadi" w:hAnsi="Abadi" w:cs="Arial"/>
          <w:sz w:val="21"/>
          <w:szCs w:val="21"/>
        </w:rPr>
        <w:t>en los términos de la Ley de Fiscalización y Rendición de Cuentas de la Federación.</w:t>
      </w:r>
    </w:p>
    <w:p w14:paraId="6B1D5775" w14:textId="77777777" w:rsidR="00C3155A" w:rsidRPr="00C3155A" w:rsidRDefault="00C3155A" w:rsidP="00C3155A">
      <w:pPr>
        <w:ind w:firstLine="708"/>
        <w:jc w:val="both"/>
        <w:rPr>
          <w:rFonts w:ascii="Abadi" w:hAnsi="Abadi" w:cs="Arial"/>
          <w:sz w:val="21"/>
          <w:szCs w:val="21"/>
        </w:rPr>
      </w:pPr>
    </w:p>
    <w:p w14:paraId="5FB11B2A" w14:textId="77777777" w:rsidR="00C3155A" w:rsidRPr="00C3155A" w:rsidRDefault="00C3155A" w:rsidP="00C3155A">
      <w:pPr>
        <w:ind w:firstLine="708"/>
        <w:jc w:val="both"/>
        <w:rPr>
          <w:rFonts w:ascii="Abadi" w:hAnsi="Abadi" w:cs="Arial"/>
          <w:sz w:val="21"/>
          <w:szCs w:val="21"/>
        </w:rPr>
      </w:pPr>
      <w:r w:rsidRPr="00C3155A">
        <w:rPr>
          <w:rFonts w:ascii="Abadi" w:hAnsi="Abadi" w:cs="Arial"/>
          <w:sz w:val="21"/>
          <w:szCs w:val="21"/>
        </w:rPr>
        <w:t>Dicho artículo también señala que cuando las entidades de fiscalización de los poderes legislativos locales detecten que los recursos de los fondos de aportaciones no se han destinado a los fines establecidos en dicha Ley, deberán hacerlo del conocimiento inmediato de la Auditoría Superior de la Federación.</w:t>
      </w:r>
    </w:p>
    <w:p w14:paraId="286BF73F" w14:textId="77777777" w:rsidR="00C3155A" w:rsidRPr="00C3155A" w:rsidRDefault="00C3155A" w:rsidP="00C3155A">
      <w:pPr>
        <w:ind w:firstLine="708"/>
        <w:jc w:val="both"/>
        <w:rPr>
          <w:rFonts w:ascii="Abadi" w:hAnsi="Abadi" w:cs="Arial"/>
          <w:sz w:val="21"/>
          <w:szCs w:val="21"/>
          <w:lang w:val="es-MX"/>
        </w:rPr>
      </w:pPr>
    </w:p>
    <w:p w14:paraId="50F8EF52"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90208E8" w14:textId="77777777" w:rsidR="00C3155A" w:rsidRPr="00C3155A" w:rsidRDefault="00C3155A" w:rsidP="00C3155A">
      <w:pPr>
        <w:ind w:firstLine="708"/>
        <w:jc w:val="both"/>
        <w:rPr>
          <w:rFonts w:ascii="Abadi" w:hAnsi="Abadi" w:cs="Arial"/>
          <w:sz w:val="21"/>
          <w:szCs w:val="21"/>
          <w:lang w:val="es-MX"/>
        </w:rPr>
      </w:pPr>
    </w:p>
    <w:p w14:paraId="5E1CB09A" w14:textId="77777777" w:rsidR="00C3155A" w:rsidRPr="00C3155A" w:rsidRDefault="00C3155A" w:rsidP="00C3155A">
      <w:pPr>
        <w:ind w:firstLine="708"/>
        <w:jc w:val="both"/>
        <w:rPr>
          <w:rFonts w:ascii="Abadi" w:hAnsi="Abadi" w:cs="Arial"/>
          <w:sz w:val="21"/>
          <w:szCs w:val="21"/>
          <w:lang w:val="es-MX" w:eastAsia="x-none"/>
        </w:rPr>
      </w:pPr>
      <w:r w:rsidRPr="00C3155A">
        <w:rPr>
          <w:rFonts w:ascii="Abadi" w:hAnsi="Abadi" w:cs="Arial"/>
          <w:sz w:val="21"/>
          <w:szCs w:val="21"/>
          <w:lang w:val="es-MX" w:eastAsia="x-none"/>
        </w:rPr>
        <w:t xml:space="preserve">El artículo 82, fracción XXIV de </w:t>
      </w:r>
      <w:smartTag w:uri="urn:schemas-microsoft-com:office:smarttags" w:element="PersonName">
        <w:smartTagPr>
          <w:attr w:name="ProductID" w:val="la Ley"/>
        </w:smartTagPr>
        <w:r w:rsidRPr="00C3155A">
          <w:rPr>
            <w:rFonts w:ascii="Abadi" w:hAnsi="Abadi" w:cs="Arial"/>
            <w:sz w:val="21"/>
            <w:szCs w:val="21"/>
            <w:lang w:val="es-MX" w:eastAsia="x-none"/>
          </w:rPr>
          <w:t>la Ley</w:t>
        </w:r>
      </w:smartTag>
      <w:r w:rsidRPr="00C3155A">
        <w:rPr>
          <w:rFonts w:ascii="Abadi" w:hAnsi="Abadi" w:cs="Arial"/>
          <w:sz w:val="21"/>
          <w:szCs w:val="21"/>
          <w:lang w:val="es-MX" w:eastAsia="x-none"/>
        </w:rPr>
        <w:t xml:space="preserve"> de Fiscalización Superior del Estado de Guanajuato establece como atribución del Auditor Superior, rendir al Congreso, los informes derivados del ejercicio de la función de fiscalización.</w:t>
      </w:r>
    </w:p>
    <w:p w14:paraId="0DAFFBC2" w14:textId="77777777" w:rsidR="00C3155A" w:rsidRPr="00C3155A" w:rsidRDefault="00C3155A" w:rsidP="00C3155A">
      <w:pPr>
        <w:ind w:firstLine="708"/>
        <w:jc w:val="both"/>
        <w:rPr>
          <w:rFonts w:ascii="Abadi" w:hAnsi="Abadi" w:cs="Arial"/>
          <w:sz w:val="21"/>
          <w:szCs w:val="21"/>
          <w:lang w:val="es-MX"/>
        </w:rPr>
      </w:pPr>
    </w:p>
    <w:p w14:paraId="335A05F6"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1FA388F5" w14:textId="77777777" w:rsidR="00C3155A" w:rsidRPr="00C3155A" w:rsidRDefault="00C3155A" w:rsidP="00C3155A">
      <w:pPr>
        <w:ind w:firstLine="708"/>
        <w:jc w:val="both"/>
        <w:rPr>
          <w:rFonts w:ascii="Abadi" w:hAnsi="Abadi" w:cs="Arial"/>
          <w:sz w:val="21"/>
          <w:szCs w:val="21"/>
          <w:lang w:val="es-MX"/>
        </w:rPr>
      </w:pPr>
    </w:p>
    <w:p w14:paraId="5FC9E9A2"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 xml:space="preserve">Con la finalidad de que el Congreso dé cumplimiento a lo señalado en el párrafo anterior, </w:t>
      </w:r>
      <w:smartTag w:uri="urn:schemas-microsoft-com:office:smarttags" w:element="PersonName">
        <w:smartTagPr>
          <w:attr w:name="ProductID" w:val="la Ley Org￡nica"/>
        </w:smartTagPr>
        <w:r w:rsidRPr="00C3155A">
          <w:rPr>
            <w:rFonts w:ascii="Abadi" w:hAnsi="Abadi" w:cs="Arial"/>
            <w:sz w:val="21"/>
            <w:szCs w:val="21"/>
            <w:lang w:val="es-MX"/>
          </w:rPr>
          <w:t>la Ley Orgánica</w:t>
        </w:r>
      </w:smartTag>
      <w:r w:rsidRPr="00C3155A">
        <w:rPr>
          <w:rFonts w:ascii="Abadi" w:hAnsi="Abadi" w:cs="Arial"/>
          <w:sz w:val="21"/>
          <w:szCs w:val="21"/>
          <w:lang w:val="es-MX"/>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6014C264" w14:textId="77777777" w:rsidR="00C3155A" w:rsidRPr="00C3155A" w:rsidRDefault="00C3155A" w:rsidP="00C3155A">
      <w:pPr>
        <w:ind w:firstLine="708"/>
        <w:jc w:val="both"/>
        <w:rPr>
          <w:rFonts w:ascii="Abadi" w:hAnsi="Abadi" w:cs="Arial"/>
          <w:sz w:val="21"/>
          <w:szCs w:val="21"/>
          <w:lang w:val="es-MX"/>
        </w:rPr>
      </w:pPr>
    </w:p>
    <w:p w14:paraId="6F7F75FB" w14:textId="0F365836" w:rsidR="00C3155A" w:rsidRPr="00C3155A" w:rsidRDefault="00C3155A" w:rsidP="00A449DD">
      <w:pPr>
        <w:ind w:firstLine="708"/>
        <w:jc w:val="both"/>
        <w:rPr>
          <w:rFonts w:ascii="Abadi" w:hAnsi="Abadi" w:cs="Arial"/>
          <w:sz w:val="21"/>
          <w:szCs w:val="21"/>
          <w:lang w:val="es-MX"/>
        </w:rPr>
      </w:pPr>
      <w:r w:rsidRPr="00C3155A">
        <w:rPr>
          <w:rFonts w:ascii="Abadi" w:hAnsi="Abadi" w:cs="Arial"/>
          <w:sz w:val="21"/>
          <w:szCs w:val="21"/>
          <w:lang w:val="es-MX"/>
        </w:rPr>
        <w:t>A efecto de cumplir con las atribuciones conferidas a esta Comisión, y en observancia a lo que establece el artículo 38 de la Ley de Fiscalización Superior del Estado de Guanajuato, el presente dictamen se ocupará exclusivamente del aspecto que la propia Ley señala y por el cual podría ser observado o no, el informe de resultados.</w:t>
      </w:r>
    </w:p>
    <w:p w14:paraId="07DE1FE3" w14:textId="77777777" w:rsidR="00C3155A" w:rsidRPr="00C3155A" w:rsidRDefault="00C3155A" w:rsidP="00C3155A">
      <w:pPr>
        <w:ind w:firstLine="708"/>
        <w:jc w:val="both"/>
        <w:rPr>
          <w:rFonts w:ascii="Abadi" w:hAnsi="Abadi" w:cs="Arial"/>
          <w:b/>
          <w:bCs/>
          <w:sz w:val="21"/>
          <w:szCs w:val="21"/>
          <w:lang w:val="es-MX"/>
        </w:rPr>
      </w:pPr>
    </w:p>
    <w:p w14:paraId="6F7A0B1F" w14:textId="77777777" w:rsidR="00C3155A" w:rsidRPr="00C3155A" w:rsidRDefault="00C3155A" w:rsidP="00C3155A">
      <w:pPr>
        <w:ind w:firstLine="708"/>
        <w:jc w:val="both"/>
        <w:rPr>
          <w:rFonts w:ascii="Abadi" w:hAnsi="Abadi" w:cs="Arial"/>
          <w:b/>
          <w:bCs/>
          <w:sz w:val="21"/>
          <w:szCs w:val="21"/>
          <w:lang w:val="es-MX"/>
        </w:rPr>
      </w:pPr>
      <w:r w:rsidRPr="00C3155A">
        <w:rPr>
          <w:rFonts w:ascii="Abadi" w:hAnsi="Abadi" w:cs="Arial"/>
          <w:b/>
          <w:bCs/>
          <w:sz w:val="21"/>
          <w:szCs w:val="21"/>
          <w:lang w:val="es-MX"/>
        </w:rPr>
        <w:t>II. Antecedentes:</w:t>
      </w:r>
    </w:p>
    <w:p w14:paraId="3809A54A" w14:textId="77777777" w:rsidR="00C3155A" w:rsidRPr="00C3155A" w:rsidRDefault="00C3155A" w:rsidP="00C3155A">
      <w:pPr>
        <w:ind w:firstLine="708"/>
        <w:jc w:val="both"/>
        <w:rPr>
          <w:rFonts w:ascii="Abadi" w:hAnsi="Abadi" w:cs="Arial"/>
          <w:sz w:val="21"/>
          <w:szCs w:val="21"/>
          <w:lang w:val="es-MX"/>
        </w:rPr>
      </w:pPr>
    </w:p>
    <w:p w14:paraId="6516D9A1"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 xml:space="preserve">De conformidad con los artículos 66, fracción IV de </w:t>
      </w:r>
      <w:smartTag w:uri="urn:schemas-microsoft-com:office:smarttags" w:element="PersonName">
        <w:smartTagPr>
          <w:attr w:name="ProductID" w:val="la Constituci￳n Pol￭tica"/>
        </w:smartTagPr>
        <w:r w:rsidRPr="00C3155A">
          <w:rPr>
            <w:rFonts w:ascii="Abadi" w:hAnsi="Abadi" w:cs="Arial"/>
            <w:sz w:val="21"/>
            <w:szCs w:val="21"/>
            <w:lang w:val="es-MX"/>
          </w:rPr>
          <w:t>la Constitución Política</w:t>
        </w:r>
      </w:smartTag>
      <w:r w:rsidRPr="00C3155A">
        <w:rPr>
          <w:rFonts w:ascii="Abadi" w:hAnsi="Abadi" w:cs="Arial"/>
          <w:sz w:val="21"/>
          <w:szCs w:val="21"/>
          <w:lang w:val="es-MX"/>
        </w:rPr>
        <w:t xml:space="preserve"> Local y 82, fracción III de la </w:t>
      </w:r>
      <w:r w:rsidRPr="00C3155A">
        <w:rPr>
          <w:rFonts w:ascii="Abadi" w:hAnsi="Abadi" w:cs="Arial"/>
          <w:sz w:val="21"/>
          <w:szCs w:val="21"/>
        </w:rPr>
        <w:t>Ley de Fiscalización Superior del Estado de Guanajuato,</w:t>
      </w:r>
      <w:r w:rsidRPr="00C3155A">
        <w:rPr>
          <w:rFonts w:ascii="Abadi" w:hAnsi="Abadi" w:cs="Arial"/>
          <w:sz w:val="21"/>
          <w:szCs w:val="21"/>
          <w:lang w:val="es-MX"/>
        </w:rPr>
        <w:t xml:space="preserve"> corresponde a la Auditoría Superior del Estado, acordar y practicar auditorías conforme a su programa anual y ejecutar las que acuerde el Congreso del Estado en los términos de la fracción XXVIII del artículo 63 de dicha Constitución.</w:t>
      </w:r>
    </w:p>
    <w:p w14:paraId="38A7D5D9" w14:textId="77777777" w:rsidR="00C3155A" w:rsidRPr="00C3155A" w:rsidRDefault="00C3155A" w:rsidP="00C3155A">
      <w:pPr>
        <w:ind w:firstLine="708"/>
        <w:jc w:val="both"/>
        <w:rPr>
          <w:rFonts w:ascii="Abadi" w:hAnsi="Abadi" w:cs="Arial"/>
          <w:sz w:val="21"/>
          <w:szCs w:val="21"/>
        </w:rPr>
      </w:pPr>
    </w:p>
    <w:p w14:paraId="19C3AFF0"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03415652" w14:textId="77777777" w:rsidR="00C3155A" w:rsidRPr="00C3155A" w:rsidRDefault="00C3155A" w:rsidP="00C3155A">
      <w:pPr>
        <w:ind w:firstLine="708"/>
        <w:jc w:val="both"/>
        <w:rPr>
          <w:rFonts w:ascii="Abadi" w:hAnsi="Abadi" w:cs="Arial"/>
          <w:sz w:val="21"/>
          <w:szCs w:val="21"/>
        </w:rPr>
      </w:pPr>
    </w:p>
    <w:p w14:paraId="7C9929E1"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En ejercicio de esta función, el Auditor Superior del Estado aprobó el Programa General de Fiscalización 2021 de la Auditoría Superior del Estado de Guanajuato. En dicho Programa se contempló la práctica de una auditoría a la infraestructura pública municipal respecto de las operaciones realizadas por la administración municipal de Dolores Hidalgo Cuna de la Independencia Nacional, Gto., correspondientes al periodo comprendido del 1 de enero al 31 de diciembre del ejercicio fiscal del año 2020.</w:t>
      </w:r>
    </w:p>
    <w:p w14:paraId="1AE88F62" w14:textId="77777777" w:rsidR="00C3155A" w:rsidRPr="00C3155A" w:rsidRDefault="00C3155A" w:rsidP="00C3155A">
      <w:pPr>
        <w:ind w:firstLine="708"/>
        <w:jc w:val="both"/>
        <w:rPr>
          <w:rFonts w:ascii="Abadi" w:hAnsi="Abadi" w:cs="Arial"/>
          <w:sz w:val="21"/>
          <w:szCs w:val="21"/>
          <w:lang w:val="es-MX"/>
        </w:rPr>
      </w:pPr>
    </w:p>
    <w:p w14:paraId="66D169B5"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La auditoría practicada conforme a lo expresado en los párrafos anteriores concluyó con la elaboración del informe de resultados que se remitió al Congreso, el cual se turnó a esta Comisión de Hacienda y Fiscalización el 24 de marzo de 2022 para su estudio y dictamen, siendo radicado en la misma fecha.</w:t>
      </w:r>
    </w:p>
    <w:p w14:paraId="0AD12D0F" w14:textId="77777777" w:rsidR="00C3155A" w:rsidRPr="00C3155A" w:rsidRDefault="00C3155A" w:rsidP="00C3155A">
      <w:pPr>
        <w:ind w:firstLine="708"/>
        <w:jc w:val="both"/>
        <w:rPr>
          <w:rFonts w:ascii="Abadi" w:hAnsi="Abadi" w:cs="Arial"/>
          <w:sz w:val="21"/>
          <w:szCs w:val="21"/>
          <w:lang w:val="es-MX"/>
        </w:rPr>
      </w:pPr>
    </w:p>
    <w:p w14:paraId="15BA45EF" w14:textId="77777777" w:rsidR="00C3155A" w:rsidRPr="00C3155A" w:rsidRDefault="00C3155A" w:rsidP="00C3155A">
      <w:pPr>
        <w:ind w:firstLine="708"/>
        <w:jc w:val="both"/>
        <w:rPr>
          <w:rFonts w:ascii="Abadi" w:hAnsi="Abadi" w:cs="Arial"/>
          <w:b/>
          <w:bCs/>
          <w:sz w:val="21"/>
          <w:szCs w:val="21"/>
          <w:lang w:val="es-MX"/>
        </w:rPr>
      </w:pPr>
      <w:r w:rsidRPr="00C3155A">
        <w:rPr>
          <w:rFonts w:ascii="Abadi" w:hAnsi="Abadi" w:cs="Arial"/>
          <w:b/>
          <w:bCs/>
          <w:sz w:val="21"/>
          <w:szCs w:val="21"/>
          <w:lang w:val="es-MX"/>
        </w:rPr>
        <w:t>III. Procedimiento de Auditoría:</w:t>
      </w:r>
    </w:p>
    <w:p w14:paraId="26199F1E" w14:textId="77777777" w:rsidR="00C3155A" w:rsidRPr="00C3155A" w:rsidRDefault="00C3155A" w:rsidP="00C3155A">
      <w:pPr>
        <w:ind w:firstLine="708"/>
        <w:jc w:val="both"/>
        <w:rPr>
          <w:rFonts w:ascii="Abadi" w:hAnsi="Abadi" w:cs="Arial"/>
          <w:sz w:val="21"/>
          <w:szCs w:val="21"/>
          <w:lang w:val="es-MX"/>
        </w:rPr>
      </w:pPr>
    </w:p>
    <w:p w14:paraId="3FFA0BB4"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La auditoría practicada a la infraestructura pública municipal respecto de las operaciones realizadas por la administración municipal de Dolores Hidalgo Cuna de la Independencia Nacional, Gto., correspondientes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769FCF01" w14:textId="77777777" w:rsidR="00C3155A" w:rsidRPr="00C3155A" w:rsidRDefault="00C3155A" w:rsidP="00C3155A">
      <w:pPr>
        <w:ind w:firstLine="708"/>
        <w:jc w:val="both"/>
        <w:rPr>
          <w:rFonts w:ascii="Abadi" w:hAnsi="Abadi" w:cs="Arial"/>
          <w:sz w:val="21"/>
          <w:szCs w:val="21"/>
          <w:lang w:val="es-MX"/>
        </w:rPr>
      </w:pPr>
    </w:p>
    <w:p w14:paraId="6BD558AA" w14:textId="77777777" w:rsidR="00C3155A" w:rsidRPr="00C3155A" w:rsidRDefault="00C3155A" w:rsidP="00C3155A">
      <w:pPr>
        <w:ind w:firstLine="708"/>
        <w:jc w:val="both"/>
        <w:rPr>
          <w:rFonts w:ascii="Abadi" w:hAnsi="Abadi" w:cs="Arial"/>
          <w:sz w:val="21"/>
          <w:szCs w:val="21"/>
          <w:lang w:val="es-MX"/>
        </w:rPr>
      </w:pPr>
    </w:p>
    <w:p w14:paraId="72B762F9"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Asimismo, dentro del objetivo de la auditoría también se encuentra el de verificar que los recursos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administrativa y contable de las obras, abarcando todas su etapas tales como: planeación, presupuestación, programación, licitación, adjudicación, contratación, ejecución, control, liquidación y entrega-recepción.</w:t>
      </w:r>
    </w:p>
    <w:p w14:paraId="005CD5FC" w14:textId="77777777" w:rsidR="00C3155A" w:rsidRPr="00C3155A" w:rsidRDefault="00C3155A" w:rsidP="00C3155A">
      <w:pPr>
        <w:ind w:firstLine="708"/>
        <w:jc w:val="both"/>
        <w:rPr>
          <w:rFonts w:ascii="Abadi" w:hAnsi="Abadi" w:cs="Arial"/>
          <w:sz w:val="21"/>
          <w:szCs w:val="21"/>
          <w:lang w:val="es-MX"/>
        </w:rPr>
      </w:pPr>
    </w:p>
    <w:p w14:paraId="0489CAD7"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Por otra parte, la auditoría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3537469E" w14:textId="77777777" w:rsidR="00C3155A" w:rsidRPr="00C3155A" w:rsidRDefault="00C3155A" w:rsidP="00C3155A">
      <w:pPr>
        <w:ind w:firstLine="708"/>
        <w:jc w:val="both"/>
        <w:rPr>
          <w:rFonts w:ascii="Abadi" w:hAnsi="Abadi" w:cs="Arial"/>
          <w:sz w:val="21"/>
          <w:szCs w:val="21"/>
          <w:lang w:val="es-MX"/>
        </w:rPr>
      </w:pPr>
    </w:p>
    <w:p w14:paraId="70160DD0" w14:textId="06C6CFC8" w:rsidR="00C3155A" w:rsidRPr="00C3155A" w:rsidRDefault="00C3155A" w:rsidP="00A449DD">
      <w:pPr>
        <w:ind w:firstLine="708"/>
        <w:jc w:val="both"/>
        <w:rPr>
          <w:rFonts w:ascii="Abadi" w:hAnsi="Abadi" w:cs="Arial"/>
          <w:sz w:val="21"/>
          <w:szCs w:val="21"/>
          <w:lang w:val="es-MX"/>
        </w:rPr>
      </w:pPr>
      <w:r w:rsidRPr="00C3155A">
        <w:rPr>
          <w:rFonts w:ascii="Abadi" w:hAnsi="Abadi" w:cs="Arial"/>
          <w:sz w:val="21"/>
          <w:szCs w:val="21"/>
          <w:lang w:val="es-MX"/>
        </w:rPr>
        <w:t>En la auditoría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191CCC4E" w14:textId="77777777" w:rsidR="00C3155A" w:rsidRPr="00C3155A" w:rsidRDefault="00C3155A" w:rsidP="00C3155A">
      <w:pPr>
        <w:autoSpaceDE w:val="0"/>
        <w:autoSpaceDN w:val="0"/>
        <w:adjustRightInd w:val="0"/>
        <w:ind w:firstLine="708"/>
        <w:jc w:val="both"/>
        <w:rPr>
          <w:rFonts w:ascii="Abadi" w:hAnsi="Abadi" w:cs="Arial"/>
          <w:sz w:val="21"/>
          <w:szCs w:val="21"/>
          <w:lang w:val="es-MX"/>
        </w:rPr>
      </w:pPr>
    </w:p>
    <w:p w14:paraId="00D67F37" w14:textId="77777777" w:rsidR="00C3155A" w:rsidRPr="00C3155A" w:rsidRDefault="00C3155A" w:rsidP="00C3155A">
      <w:pPr>
        <w:autoSpaceDE w:val="0"/>
        <w:autoSpaceDN w:val="0"/>
        <w:adjustRightInd w:val="0"/>
        <w:ind w:firstLine="708"/>
        <w:jc w:val="both"/>
        <w:rPr>
          <w:rFonts w:ascii="Abadi" w:hAnsi="Abadi" w:cs="Arial"/>
          <w:sz w:val="21"/>
          <w:szCs w:val="21"/>
          <w:lang w:val="es-MX"/>
        </w:rPr>
      </w:pPr>
      <w:r w:rsidRPr="00C3155A">
        <w:rPr>
          <w:rFonts w:ascii="Abadi" w:hAnsi="Abadi" w:cs="Arial"/>
          <w:sz w:val="21"/>
          <w:szCs w:val="21"/>
          <w:lang w:val="es-MX"/>
        </w:rPr>
        <w:t>De igual forma, en la auditoría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auditoría.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3FDB2145" w14:textId="77777777" w:rsidR="00C3155A" w:rsidRPr="00C3155A" w:rsidRDefault="00C3155A" w:rsidP="00C3155A">
      <w:pPr>
        <w:autoSpaceDE w:val="0"/>
        <w:autoSpaceDN w:val="0"/>
        <w:adjustRightInd w:val="0"/>
        <w:ind w:firstLine="708"/>
        <w:jc w:val="both"/>
        <w:rPr>
          <w:rFonts w:ascii="Abadi" w:hAnsi="Abadi" w:cs="Arial"/>
          <w:sz w:val="21"/>
          <w:szCs w:val="21"/>
          <w:lang w:val="es-MX"/>
        </w:rPr>
      </w:pPr>
    </w:p>
    <w:p w14:paraId="54982810" w14:textId="77777777" w:rsidR="00C3155A" w:rsidRPr="00C3155A" w:rsidRDefault="00C3155A" w:rsidP="00C3155A">
      <w:pPr>
        <w:autoSpaceDE w:val="0"/>
        <w:autoSpaceDN w:val="0"/>
        <w:adjustRightInd w:val="0"/>
        <w:ind w:firstLine="708"/>
        <w:jc w:val="both"/>
        <w:rPr>
          <w:rFonts w:ascii="Abadi" w:hAnsi="Abadi" w:cs="Arial"/>
          <w:sz w:val="21"/>
          <w:szCs w:val="21"/>
          <w:lang w:val="es-MX"/>
        </w:rPr>
      </w:pPr>
      <w:r w:rsidRPr="00C3155A">
        <w:rPr>
          <w:rFonts w:ascii="Abadi" w:hAnsi="Abadi" w:cs="Arial"/>
          <w:sz w:val="21"/>
          <w:szCs w:val="21"/>
          <w:lang w:val="es-MX"/>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6C45C481" w14:textId="77777777" w:rsidR="00C3155A" w:rsidRPr="00C3155A" w:rsidRDefault="00C3155A" w:rsidP="00C3155A">
      <w:pPr>
        <w:autoSpaceDE w:val="0"/>
        <w:autoSpaceDN w:val="0"/>
        <w:adjustRightInd w:val="0"/>
        <w:ind w:firstLine="708"/>
        <w:jc w:val="both"/>
        <w:rPr>
          <w:rFonts w:ascii="Abadi" w:hAnsi="Abadi" w:cs="Arial"/>
          <w:sz w:val="21"/>
          <w:szCs w:val="21"/>
          <w:lang w:val="es-MX"/>
        </w:rPr>
      </w:pPr>
    </w:p>
    <w:p w14:paraId="4B9068C5" w14:textId="77777777" w:rsidR="00C3155A" w:rsidRPr="00C3155A" w:rsidRDefault="00C3155A" w:rsidP="00C3155A">
      <w:pPr>
        <w:autoSpaceDE w:val="0"/>
        <w:autoSpaceDN w:val="0"/>
        <w:adjustRightInd w:val="0"/>
        <w:ind w:firstLine="708"/>
        <w:jc w:val="both"/>
        <w:rPr>
          <w:rFonts w:ascii="Abadi" w:hAnsi="Abadi" w:cs="Arial"/>
          <w:sz w:val="21"/>
          <w:szCs w:val="21"/>
          <w:lang w:val="es-MX"/>
        </w:rPr>
      </w:pPr>
      <w:r w:rsidRPr="00C3155A">
        <w:rPr>
          <w:rFonts w:ascii="Abadi" w:hAnsi="Abadi" w:cs="Arial"/>
          <w:sz w:val="21"/>
          <w:szCs w:val="21"/>
          <w:lang w:val="es-MX"/>
        </w:rPr>
        <w:t>El 18 de agosto de 2021 se notificó al presidente municipal de Dolores Hidalgo Cuna de la Independencia Nacional, Gto., la orden de inicio del procedimiento de auditoría.</w:t>
      </w:r>
    </w:p>
    <w:p w14:paraId="7E103A95" w14:textId="77777777" w:rsidR="00C3155A" w:rsidRPr="00C3155A" w:rsidRDefault="00C3155A" w:rsidP="00C3155A">
      <w:pPr>
        <w:autoSpaceDE w:val="0"/>
        <w:autoSpaceDN w:val="0"/>
        <w:adjustRightInd w:val="0"/>
        <w:ind w:firstLine="708"/>
        <w:jc w:val="both"/>
        <w:rPr>
          <w:rFonts w:ascii="Abadi" w:hAnsi="Abadi" w:cs="Arial"/>
          <w:sz w:val="21"/>
          <w:szCs w:val="21"/>
          <w:lang w:val="es-MX"/>
        </w:rPr>
      </w:pPr>
    </w:p>
    <w:p w14:paraId="4FA47158" w14:textId="77777777" w:rsidR="00C3155A" w:rsidRPr="00C3155A" w:rsidRDefault="00C3155A" w:rsidP="00C3155A">
      <w:pPr>
        <w:autoSpaceDE w:val="0"/>
        <w:autoSpaceDN w:val="0"/>
        <w:adjustRightInd w:val="0"/>
        <w:ind w:firstLine="708"/>
        <w:jc w:val="both"/>
        <w:rPr>
          <w:rFonts w:ascii="Abadi" w:hAnsi="Abadi" w:cs="Arial"/>
          <w:sz w:val="21"/>
          <w:szCs w:val="21"/>
          <w:lang w:val="es-MX"/>
        </w:rPr>
      </w:pPr>
      <w:r w:rsidRPr="00C3155A">
        <w:rPr>
          <w:rFonts w:ascii="Abadi" w:hAnsi="Abadi" w:cs="Arial"/>
          <w:sz w:val="21"/>
          <w:szCs w:val="21"/>
          <w:lang w:val="es-MX"/>
        </w:rPr>
        <w:t>Posteriormente, en fechas 13 y 14 de enero de 2022, se notificó al presidente y al ex-presidente municipales de Dolores Hidalgo Cuna de la Independencia Nacional, Gto., el pliego de observaciones y recomendaciones derivado de la auditoría practicada a la infraestructura pública municipal respecto de las operaciones realizadas por dicha administración municipal, correspondientes al ejercicio fiscal del año 2020, al cual se dio respuesta el 2 de febrero de 2022 por parte del presidente municipal de Dolores Hidalgo Cuna de la Independencia Nacional, Gto.</w:t>
      </w:r>
    </w:p>
    <w:p w14:paraId="729D29B0" w14:textId="77777777" w:rsidR="00C3155A" w:rsidRPr="00C3155A" w:rsidRDefault="00C3155A" w:rsidP="00C3155A">
      <w:pPr>
        <w:autoSpaceDE w:val="0"/>
        <w:autoSpaceDN w:val="0"/>
        <w:adjustRightInd w:val="0"/>
        <w:ind w:firstLine="708"/>
        <w:jc w:val="both"/>
        <w:rPr>
          <w:rFonts w:ascii="Abadi" w:hAnsi="Abadi" w:cs="Arial"/>
          <w:sz w:val="21"/>
          <w:szCs w:val="21"/>
          <w:lang w:val="es-MX"/>
        </w:rPr>
      </w:pPr>
    </w:p>
    <w:p w14:paraId="12553449" w14:textId="77777777" w:rsidR="00C3155A" w:rsidRPr="00C3155A" w:rsidRDefault="00C3155A" w:rsidP="00C3155A">
      <w:pPr>
        <w:ind w:firstLine="708"/>
        <w:jc w:val="both"/>
        <w:rPr>
          <w:rFonts w:ascii="Abadi" w:hAnsi="Abadi" w:cs="Arial"/>
          <w:sz w:val="21"/>
          <w:szCs w:val="21"/>
          <w:lang w:val="es-MX"/>
        </w:rPr>
      </w:pPr>
    </w:p>
    <w:p w14:paraId="69C384FF"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 xml:space="preserve">El 9 de febrero de 2022, el informe de resultados se notificó al presidente y al ex-presidente municipales de Dolores Hidalgo Cuna de la Independencia Nacional, Gto., para que, en su caso, hicieran valer el recurso de reconsideración previsto por los artículos del 48 al 55 de </w:t>
      </w:r>
      <w:smartTag w:uri="urn:schemas-microsoft-com:office:smarttags" w:element="PersonName">
        <w:smartTagPr>
          <w:attr w:name="ProductID" w:val="la Ley"/>
        </w:smartTagPr>
        <w:r w:rsidRPr="00C3155A">
          <w:rPr>
            <w:rFonts w:ascii="Abadi" w:hAnsi="Abadi" w:cs="Arial"/>
            <w:sz w:val="21"/>
            <w:szCs w:val="21"/>
            <w:lang w:val="es-MX"/>
          </w:rPr>
          <w:t>la Ley</w:t>
        </w:r>
      </w:smartTag>
      <w:r w:rsidRPr="00C3155A">
        <w:rPr>
          <w:rFonts w:ascii="Abadi" w:hAnsi="Abadi" w:cs="Arial"/>
          <w:sz w:val="21"/>
          <w:szCs w:val="21"/>
          <w:lang w:val="es-MX"/>
        </w:rPr>
        <w:t xml:space="preserve"> de Fiscalización Superior del Estado de Guanajuato, haciéndoles saber que contaban con un término de cinco días hábiles para tal efecto. Con lo anterior, se dio cumplimiento a la fracción IV del artículo 37 de la citada Ley.</w:t>
      </w:r>
    </w:p>
    <w:p w14:paraId="0CD2187C" w14:textId="77777777" w:rsidR="00C3155A" w:rsidRPr="00C3155A" w:rsidRDefault="00C3155A" w:rsidP="00C3155A">
      <w:pPr>
        <w:ind w:firstLine="708"/>
        <w:jc w:val="both"/>
        <w:rPr>
          <w:rFonts w:ascii="Abadi" w:hAnsi="Abadi" w:cs="Arial"/>
          <w:sz w:val="21"/>
          <w:szCs w:val="21"/>
          <w:lang w:val="es-MX"/>
        </w:rPr>
      </w:pPr>
    </w:p>
    <w:p w14:paraId="73020B76"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 xml:space="preserve">El 16 de febrero de 2022, dentro del plazo que prevé la fracción IV del artículo 37 de </w:t>
      </w:r>
      <w:smartTag w:uri="urn:schemas-microsoft-com:office:smarttags" w:element="PersonName">
        <w:smartTagPr>
          <w:attr w:name="ProductID" w:val="la Ley"/>
        </w:smartTagPr>
        <w:r w:rsidRPr="00C3155A">
          <w:rPr>
            <w:rFonts w:ascii="Abadi" w:hAnsi="Abadi" w:cs="Arial"/>
            <w:sz w:val="21"/>
            <w:szCs w:val="21"/>
            <w:lang w:val="es-MX"/>
          </w:rPr>
          <w:t>la Ley</w:t>
        </w:r>
      </w:smartTag>
      <w:r w:rsidRPr="00C3155A">
        <w:rPr>
          <w:rFonts w:ascii="Abadi" w:hAnsi="Abadi" w:cs="Arial"/>
          <w:sz w:val="21"/>
          <w:szCs w:val="21"/>
          <w:lang w:val="es-MX"/>
        </w:rPr>
        <w:t xml:space="preserve"> de Fiscalización Superior del Estado de Guanajuato, el presidente municipal de Dolores Hidalgo Cuna de la Independencia Nacional, Gto., interpuso recurso de reconsideración en contra del informe de resultados de la auditoría practicada a la infraestructura pública respecto de las operaciones realizadas por la administración municipal de Dolores Hidalgo Cuna de la Independencia Nacional, Gto., correspondientes al ejercicio fiscal del año 2020, siendo admitido dicho recurso, al colmarse los requisitos de procedibilidad previstos por el artículo 51 de </w:t>
      </w:r>
      <w:smartTag w:uri="urn:schemas-microsoft-com:office:smarttags" w:element="PersonName">
        <w:smartTagPr>
          <w:attr w:name="ProductID" w:val="la Ley"/>
        </w:smartTagPr>
        <w:r w:rsidRPr="00C3155A">
          <w:rPr>
            <w:rFonts w:ascii="Abadi" w:hAnsi="Abadi" w:cs="Arial"/>
            <w:sz w:val="21"/>
            <w:szCs w:val="21"/>
            <w:lang w:val="es-MX"/>
          </w:rPr>
          <w:t>la Ley</w:t>
        </w:r>
      </w:smartTag>
      <w:r w:rsidRPr="00C3155A">
        <w:rPr>
          <w:rFonts w:ascii="Abadi" w:hAnsi="Abadi" w:cs="Arial"/>
          <w:sz w:val="21"/>
          <w:szCs w:val="21"/>
          <w:lang w:val="es-MX"/>
        </w:rPr>
        <w:t xml:space="preserve"> de Fiscalización Superior del Estado de Guanajuato.</w:t>
      </w:r>
    </w:p>
    <w:p w14:paraId="307E9379" w14:textId="77777777" w:rsidR="00C3155A" w:rsidRPr="00C3155A" w:rsidRDefault="00C3155A" w:rsidP="00C3155A">
      <w:pPr>
        <w:ind w:firstLine="708"/>
        <w:jc w:val="both"/>
        <w:rPr>
          <w:rFonts w:ascii="Abadi" w:hAnsi="Abadi" w:cs="Arial"/>
          <w:sz w:val="21"/>
          <w:szCs w:val="21"/>
          <w:lang w:val="es-MX"/>
        </w:rPr>
      </w:pPr>
    </w:p>
    <w:p w14:paraId="02EC4820"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Una vez tramitado el recurso, el Auditor Superior el 8 de marzo de 2022 emitió la resolución correspondiente, a la cual haremos referencia en un apartado posterior, misma que se notificó al presidente municipal de Dolores Hidalgo Cuna de la Independencia Nacional, Gto., el 14 de marzo de 2022.</w:t>
      </w:r>
    </w:p>
    <w:p w14:paraId="3D97ABD2"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w:t>
      </w:r>
    </w:p>
    <w:p w14:paraId="7EA779F8" w14:textId="77777777" w:rsidR="00C3155A" w:rsidRPr="00C3155A" w:rsidRDefault="00C3155A" w:rsidP="00C3155A">
      <w:pPr>
        <w:ind w:firstLine="708"/>
        <w:jc w:val="both"/>
        <w:rPr>
          <w:rFonts w:ascii="Abadi" w:hAnsi="Abadi" w:cs="Arial"/>
          <w:b/>
          <w:bCs/>
          <w:sz w:val="21"/>
          <w:szCs w:val="21"/>
        </w:rPr>
      </w:pPr>
      <w:r w:rsidRPr="00C3155A">
        <w:rPr>
          <w:rFonts w:ascii="Abadi" w:hAnsi="Abadi" w:cs="Arial"/>
          <w:b/>
          <w:bCs/>
          <w:sz w:val="21"/>
          <w:szCs w:val="21"/>
        </w:rPr>
        <w:t>IV. Contenido del Informe de Resultados:</w:t>
      </w:r>
    </w:p>
    <w:p w14:paraId="79FF1866" w14:textId="77777777" w:rsidR="00C3155A" w:rsidRPr="00C3155A" w:rsidRDefault="00C3155A" w:rsidP="00C3155A">
      <w:pPr>
        <w:jc w:val="both"/>
        <w:rPr>
          <w:rFonts w:ascii="Abadi" w:hAnsi="Abadi" w:cs="Arial"/>
          <w:b/>
          <w:bCs/>
          <w:sz w:val="21"/>
          <w:szCs w:val="21"/>
        </w:rPr>
      </w:pPr>
    </w:p>
    <w:p w14:paraId="4A580441" w14:textId="77777777" w:rsidR="00C3155A" w:rsidRPr="00C3155A" w:rsidRDefault="00C3155A" w:rsidP="00C3155A">
      <w:pPr>
        <w:jc w:val="both"/>
        <w:rPr>
          <w:rFonts w:ascii="Abadi" w:hAnsi="Abadi" w:cs="Arial"/>
          <w:sz w:val="21"/>
          <w:szCs w:val="21"/>
        </w:rPr>
      </w:pPr>
      <w:r w:rsidRPr="00C3155A">
        <w:rPr>
          <w:rFonts w:ascii="Abadi" w:hAnsi="Abadi" w:cs="Arial"/>
          <w:b/>
          <w:bCs/>
          <w:sz w:val="21"/>
          <w:szCs w:val="21"/>
        </w:rPr>
        <w:tab/>
      </w:r>
      <w:r w:rsidRPr="00C3155A">
        <w:rPr>
          <w:rFonts w:ascii="Abadi" w:hAnsi="Abadi" w:cs="Arial"/>
          <w:bCs/>
          <w:sz w:val="21"/>
          <w:szCs w:val="21"/>
        </w:rPr>
        <w:t>En cumplimiento a lo establecido por el</w:t>
      </w:r>
      <w:r w:rsidRPr="00C3155A">
        <w:rPr>
          <w:rFonts w:ascii="Abadi" w:hAnsi="Abadi" w:cs="Arial"/>
          <w:sz w:val="21"/>
          <w:szCs w:val="21"/>
        </w:rPr>
        <w:t xml:space="preserve"> artículo 37, fracción III de la Ley de Fiscalización Superior del Estado, el informe de resultados contiene los siguientes apartados:</w:t>
      </w:r>
    </w:p>
    <w:p w14:paraId="2DA80D8D" w14:textId="77777777" w:rsidR="00C3155A" w:rsidRPr="00C3155A" w:rsidRDefault="00C3155A" w:rsidP="00C3155A">
      <w:pPr>
        <w:jc w:val="both"/>
        <w:rPr>
          <w:rFonts w:ascii="Abadi" w:hAnsi="Abadi" w:cs="Arial"/>
          <w:sz w:val="21"/>
          <w:szCs w:val="21"/>
        </w:rPr>
      </w:pPr>
    </w:p>
    <w:p w14:paraId="231CAF32" w14:textId="77777777" w:rsidR="00C3155A" w:rsidRPr="00C3155A" w:rsidRDefault="00C3155A" w:rsidP="001A28E5">
      <w:pPr>
        <w:numPr>
          <w:ilvl w:val="0"/>
          <w:numId w:val="86"/>
        </w:numPr>
        <w:jc w:val="both"/>
        <w:rPr>
          <w:rFonts w:ascii="Abadi" w:hAnsi="Abadi" w:cs="Arial"/>
          <w:b/>
          <w:bCs/>
          <w:sz w:val="21"/>
          <w:szCs w:val="21"/>
        </w:rPr>
      </w:pPr>
      <w:r w:rsidRPr="00C3155A">
        <w:rPr>
          <w:rFonts w:ascii="Abadi" w:hAnsi="Abadi" w:cs="Arial"/>
          <w:b/>
          <w:bCs/>
          <w:sz w:val="21"/>
          <w:szCs w:val="21"/>
        </w:rPr>
        <w:t>Introducción.</w:t>
      </w:r>
    </w:p>
    <w:p w14:paraId="1E79C3E5" w14:textId="77777777" w:rsidR="00C3155A" w:rsidRPr="00C3155A" w:rsidRDefault="00C3155A" w:rsidP="00C3155A">
      <w:pPr>
        <w:ind w:left="705"/>
        <w:jc w:val="both"/>
        <w:rPr>
          <w:rFonts w:ascii="Abadi" w:hAnsi="Abadi" w:cs="Arial"/>
          <w:sz w:val="21"/>
          <w:szCs w:val="21"/>
        </w:rPr>
      </w:pPr>
    </w:p>
    <w:p w14:paraId="405CDA8B" w14:textId="77777777" w:rsidR="00C3155A" w:rsidRPr="00C3155A" w:rsidRDefault="00C3155A" w:rsidP="00C3155A">
      <w:pPr>
        <w:ind w:firstLine="705"/>
        <w:jc w:val="both"/>
        <w:rPr>
          <w:rFonts w:ascii="Abadi" w:hAnsi="Abadi" w:cs="Arial"/>
          <w:sz w:val="21"/>
          <w:szCs w:val="21"/>
        </w:rPr>
      </w:pPr>
      <w:r w:rsidRPr="00C3155A">
        <w:rPr>
          <w:rFonts w:ascii="Abadi" w:hAnsi="Abadi" w:cs="Arial"/>
          <w:sz w:val="21"/>
          <w:szCs w:val="21"/>
        </w:rPr>
        <w:t>Por lo que se refiere a este punto, se establecen los criterios de selección; el objetivo de la auditoría; el alcance de la auditoría respecto a los apartados de ingresos y egresos,</w:t>
      </w:r>
      <w:r w:rsidRPr="00C3155A">
        <w:rPr>
          <w:rFonts w:ascii="Abadi" w:hAnsi="Abadi" w:cs="Arial"/>
          <w:sz w:val="21"/>
          <w:szCs w:val="21"/>
          <w:lang w:val="es-MX"/>
        </w:rPr>
        <w:t xml:space="preserve"> precisando que el detalle de los alcances de la auditoría se consigna en el Anexo 01 del informe de resultados.</w:t>
      </w:r>
    </w:p>
    <w:p w14:paraId="4538E2BC" w14:textId="77777777" w:rsidR="00C3155A" w:rsidRPr="00C3155A" w:rsidRDefault="00C3155A" w:rsidP="00C3155A">
      <w:pPr>
        <w:ind w:firstLine="705"/>
        <w:jc w:val="both"/>
        <w:rPr>
          <w:rFonts w:ascii="Abadi" w:hAnsi="Abadi" w:cs="Arial"/>
          <w:sz w:val="21"/>
          <w:szCs w:val="21"/>
        </w:rPr>
      </w:pPr>
    </w:p>
    <w:p w14:paraId="325F10C7" w14:textId="77777777" w:rsidR="00C3155A" w:rsidRPr="00C3155A" w:rsidRDefault="00C3155A" w:rsidP="00C3155A">
      <w:pPr>
        <w:ind w:firstLine="705"/>
        <w:jc w:val="both"/>
        <w:rPr>
          <w:rFonts w:ascii="Abadi" w:hAnsi="Abadi" w:cs="Arial"/>
          <w:sz w:val="21"/>
          <w:szCs w:val="21"/>
        </w:rPr>
      </w:pPr>
      <w:r w:rsidRPr="00C3155A">
        <w:rPr>
          <w:rFonts w:ascii="Abadi" w:hAnsi="Abadi" w:cs="Arial"/>
          <w:sz w:val="21"/>
          <w:szCs w:val="21"/>
        </w:rPr>
        <w:t>También en este apartado se precisan los procedimientos de auditoría aplicados, siendo estos: inspección, observación, confirmación externa, recálculo, procedimientos analíticos, re ejecución e indagación.</w:t>
      </w:r>
    </w:p>
    <w:p w14:paraId="04136AE7" w14:textId="77777777" w:rsidR="00C3155A" w:rsidRPr="00C3155A" w:rsidRDefault="00C3155A" w:rsidP="00C3155A">
      <w:pPr>
        <w:ind w:firstLine="705"/>
        <w:jc w:val="both"/>
        <w:rPr>
          <w:rFonts w:ascii="Abadi" w:hAnsi="Abadi" w:cs="Arial"/>
          <w:sz w:val="21"/>
          <w:szCs w:val="21"/>
        </w:rPr>
      </w:pPr>
    </w:p>
    <w:p w14:paraId="77F8D3C4" w14:textId="77777777" w:rsidR="00C3155A" w:rsidRPr="00C3155A" w:rsidRDefault="00C3155A" w:rsidP="00C3155A">
      <w:pPr>
        <w:ind w:firstLine="705"/>
        <w:jc w:val="both"/>
        <w:rPr>
          <w:rFonts w:ascii="Abadi" w:hAnsi="Abadi" w:cs="Arial"/>
          <w:sz w:val="21"/>
          <w:szCs w:val="21"/>
        </w:rPr>
      </w:pPr>
      <w:bookmarkStart w:id="29" w:name="_Hlk85484289"/>
      <w:r w:rsidRPr="00C3155A">
        <w:rPr>
          <w:rFonts w:ascii="Abadi" w:hAnsi="Abadi" w:cs="Arial"/>
          <w:sz w:val="21"/>
          <w:szCs w:val="21"/>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bookmarkEnd w:id="29"/>
      <w:r w:rsidRPr="00C3155A">
        <w:rPr>
          <w:rFonts w:ascii="Abadi" w:hAnsi="Abadi" w:cs="Arial"/>
          <w:sz w:val="21"/>
          <w:szCs w:val="21"/>
        </w:rPr>
        <w:t>:</w:t>
      </w:r>
    </w:p>
    <w:p w14:paraId="1FE0FAB8" w14:textId="77777777" w:rsidR="00C3155A" w:rsidRPr="00C3155A" w:rsidRDefault="00C3155A" w:rsidP="00C3155A">
      <w:pPr>
        <w:jc w:val="both"/>
        <w:rPr>
          <w:rFonts w:ascii="Abadi" w:hAnsi="Abadi" w:cs="Arial"/>
          <w:i/>
          <w:iCs/>
          <w:sz w:val="21"/>
          <w:szCs w:val="21"/>
          <w:lang w:val="es-MX" w:eastAsia="x-none"/>
        </w:rPr>
      </w:pPr>
    </w:p>
    <w:p w14:paraId="14FF29B5" w14:textId="77777777" w:rsidR="00C3155A" w:rsidRPr="00C3155A" w:rsidRDefault="00C3155A" w:rsidP="00C3155A">
      <w:pPr>
        <w:jc w:val="both"/>
        <w:rPr>
          <w:rFonts w:ascii="Abadi" w:hAnsi="Abadi" w:cs="Arial"/>
          <w:i/>
          <w:iCs/>
          <w:sz w:val="21"/>
          <w:szCs w:val="21"/>
          <w:lang w:val="es-MX" w:eastAsia="x-none"/>
        </w:rPr>
      </w:pPr>
      <w:r w:rsidRPr="00C3155A">
        <w:rPr>
          <w:rFonts w:ascii="Abadi" w:hAnsi="Abadi" w:cs="Arial"/>
          <w:i/>
          <w:iCs/>
          <w:sz w:val="21"/>
          <w:szCs w:val="21"/>
          <w:lang w:val="es-MX"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1BEFB576" w14:textId="77777777" w:rsidR="00C3155A" w:rsidRPr="00C3155A" w:rsidRDefault="00C3155A" w:rsidP="00C3155A">
      <w:pPr>
        <w:rPr>
          <w:rFonts w:ascii="Abadi" w:hAnsi="Abadi" w:cs="Arial"/>
          <w:i/>
          <w:iCs/>
          <w:sz w:val="21"/>
          <w:szCs w:val="21"/>
          <w:lang w:val="es-MX" w:eastAsia="x-none"/>
        </w:rPr>
      </w:pPr>
    </w:p>
    <w:p w14:paraId="561125E4" w14:textId="77777777" w:rsidR="00C3155A" w:rsidRPr="00C3155A" w:rsidRDefault="00C3155A" w:rsidP="00C3155A">
      <w:pPr>
        <w:jc w:val="both"/>
        <w:rPr>
          <w:rFonts w:ascii="Abadi" w:hAnsi="Abadi" w:cs="Arial"/>
          <w:i/>
          <w:iCs/>
          <w:sz w:val="21"/>
          <w:szCs w:val="21"/>
          <w:lang w:val="es-MX" w:eastAsia="x-none"/>
        </w:rPr>
      </w:pPr>
      <w:r w:rsidRPr="00C3155A">
        <w:rPr>
          <w:rFonts w:ascii="Abadi" w:hAnsi="Abadi" w:cs="Arial"/>
          <w:i/>
          <w:iCs/>
          <w:sz w:val="21"/>
          <w:szCs w:val="21"/>
          <w:lang w:val="es-MX"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6AE7743E" w14:textId="77777777" w:rsidR="00C3155A" w:rsidRPr="00C3155A" w:rsidRDefault="00C3155A" w:rsidP="00C3155A">
      <w:pPr>
        <w:jc w:val="both"/>
        <w:rPr>
          <w:rFonts w:ascii="Abadi" w:hAnsi="Abadi" w:cs="Arial"/>
          <w:i/>
          <w:iCs/>
          <w:sz w:val="21"/>
          <w:szCs w:val="21"/>
          <w:lang w:val="es-MX" w:eastAsia="x-none"/>
        </w:rPr>
      </w:pPr>
    </w:p>
    <w:p w14:paraId="4C635540" w14:textId="77777777" w:rsidR="00C3155A" w:rsidRPr="00C3155A" w:rsidRDefault="00C3155A" w:rsidP="00C3155A">
      <w:pPr>
        <w:jc w:val="both"/>
        <w:rPr>
          <w:rFonts w:ascii="Abadi" w:hAnsi="Abadi" w:cs="Arial"/>
          <w:i/>
          <w:iCs/>
          <w:sz w:val="21"/>
          <w:szCs w:val="21"/>
          <w:lang w:val="es-MX" w:eastAsia="x-none"/>
        </w:rPr>
      </w:pPr>
      <w:r w:rsidRPr="00C3155A">
        <w:rPr>
          <w:rFonts w:ascii="Abadi" w:hAnsi="Abadi" w:cs="Arial"/>
          <w:i/>
          <w:iCs/>
          <w:sz w:val="21"/>
          <w:szCs w:val="21"/>
          <w:lang w:val="es-MX"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19CA534A" w14:textId="77777777" w:rsidR="00C3155A" w:rsidRPr="00C3155A" w:rsidRDefault="00C3155A" w:rsidP="00C3155A">
      <w:pPr>
        <w:ind w:firstLine="705"/>
        <w:jc w:val="both"/>
        <w:rPr>
          <w:rFonts w:ascii="Abadi" w:hAnsi="Abadi" w:cs="Arial"/>
          <w:sz w:val="21"/>
          <w:szCs w:val="21"/>
          <w:lang w:val="es-MX"/>
        </w:rPr>
      </w:pPr>
    </w:p>
    <w:p w14:paraId="01EA0BF6" w14:textId="77777777" w:rsidR="00C3155A" w:rsidRPr="00C3155A" w:rsidRDefault="00C3155A" w:rsidP="00C3155A">
      <w:pPr>
        <w:ind w:firstLine="705"/>
        <w:jc w:val="both"/>
        <w:rPr>
          <w:rFonts w:ascii="Abadi" w:hAnsi="Abadi" w:cs="Arial"/>
          <w:sz w:val="21"/>
          <w:szCs w:val="21"/>
          <w:lang w:val="es-MX"/>
        </w:rPr>
      </w:pPr>
      <w:r w:rsidRPr="00C3155A">
        <w:rPr>
          <w:rFonts w:ascii="Abadi" w:hAnsi="Abadi" w:cs="Arial"/>
          <w:sz w:val="21"/>
          <w:szCs w:val="21"/>
          <w:lang w:val="es-MX"/>
        </w:rPr>
        <w:t>Derivado de lo anterior, en el proceso de auditoría se inspeccionó que los comprobantes fiscales que soportan las erogaciones del sujeto fiscalizado, no correspondan a contribuyentes que se encuentren en los supuestos previstos del artículo 69-B del Código Fiscal de la Federación, empresas que facturan operaciones simuladas o inexistentes con el carácter de «Definitivos», emitidas por el Servicio de Administración Tributaria.</w:t>
      </w:r>
    </w:p>
    <w:p w14:paraId="0AD99A30" w14:textId="77777777" w:rsidR="00C3155A" w:rsidRPr="00C3155A" w:rsidRDefault="00C3155A" w:rsidP="00C3155A">
      <w:pPr>
        <w:ind w:firstLine="705"/>
        <w:jc w:val="both"/>
        <w:rPr>
          <w:rFonts w:ascii="Abadi" w:hAnsi="Abadi" w:cs="Arial"/>
          <w:sz w:val="21"/>
          <w:szCs w:val="21"/>
          <w:lang w:val="es-MX"/>
        </w:rPr>
      </w:pPr>
    </w:p>
    <w:p w14:paraId="58FCD14B" w14:textId="77777777" w:rsidR="00C3155A" w:rsidRPr="00C3155A" w:rsidRDefault="00C3155A" w:rsidP="00C3155A">
      <w:pPr>
        <w:ind w:firstLine="705"/>
        <w:jc w:val="both"/>
        <w:rPr>
          <w:rFonts w:ascii="Abadi" w:hAnsi="Abadi" w:cs="Arial"/>
          <w:sz w:val="21"/>
          <w:szCs w:val="21"/>
          <w:lang w:val="es-MX"/>
        </w:rPr>
      </w:pPr>
      <w:r w:rsidRPr="00C3155A">
        <w:rPr>
          <w:rFonts w:ascii="Abadi" w:hAnsi="Abadi" w:cs="Arial"/>
          <w:sz w:val="21"/>
          <w:szCs w:val="21"/>
          <w:lang w:val="es-MX"/>
        </w:rPr>
        <w:t>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y/o contractuales con el sujeto fiscalizado.</w:t>
      </w:r>
    </w:p>
    <w:p w14:paraId="75F6215F" w14:textId="77777777" w:rsidR="00C3155A" w:rsidRPr="00C3155A" w:rsidRDefault="00C3155A" w:rsidP="00C3155A">
      <w:pPr>
        <w:ind w:firstLine="705"/>
        <w:jc w:val="both"/>
        <w:rPr>
          <w:rFonts w:ascii="Abadi" w:hAnsi="Abadi" w:cs="Arial"/>
          <w:sz w:val="21"/>
          <w:szCs w:val="21"/>
          <w:lang w:val="es-MX"/>
        </w:rPr>
      </w:pPr>
    </w:p>
    <w:p w14:paraId="7E6B2315" w14:textId="77777777" w:rsidR="00C3155A" w:rsidRPr="00C3155A" w:rsidRDefault="00C3155A" w:rsidP="00C3155A">
      <w:pPr>
        <w:ind w:firstLine="705"/>
        <w:jc w:val="both"/>
        <w:rPr>
          <w:rFonts w:ascii="Abadi" w:hAnsi="Abadi" w:cs="Arial"/>
          <w:sz w:val="21"/>
          <w:szCs w:val="21"/>
        </w:rPr>
      </w:pPr>
      <w:r w:rsidRPr="00C3155A">
        <w:rPr>
          <w:rFonts w:ascii="Abadi" w:hAnsi="Abadi" w:cs="Arial"/>
          <w:sz w:val="21"/>
          <w:szCs w:val="21"/>
        </w:rPr>
        <w:t xml:space="preserve">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Dolores Hidalgo Cuna de la Independencia Nacional, Gto., </w:t>
      </w:r>
      <w:r w:rsidRPr="00C3155A">
        <w:rPr>
          <w:rFonts w:ascii="Abadi" w:hAnsi="Abadi" w:cs="Arial"/>
          <w:sz w:val="21"/>
          <w:szCs w:val="21"/>
          <w:lang w:val="es-MX" w:eastAsia="x-none"/>
        </w:rPr>
        <w:t>cumplió con las disposiciones normativas aplicables, excepto por los resultados con observaciones y recomendaciones contenidos en el informe de resultados. También se precisa que se presentaron limitantes en la aplicación de los procedimientos de auditoría, derivado de la contingencia por la pandemia del virus SARS-CoV2</w:t>
      </w:r>
      <w:r w:rsidRPr="00C3155A">
        <w:rPr>
          <w:rFonts w:ascii="Abadi" w:hAnsi="Abadi" w:cs="Arial"/>
          <w:sz w:val="21"/>
          <w:szCs w:val="21"/>
        </w:rPr>
        <w:t>.</w:t>
      </w:r>
    </w:p>
    <w:p w14:paraId="6F2DDA48" w14:textId="77777777" w:rsidR="00C3155A" w:rsidRPr="00C3155A" w:rsidRDefault="00C3155A" w:rsidP="00C3155A">
      <w:pPr>
        <w:ind w:firstLine="705"/>
        <w:jc w:val="both"/>
        <w:rPr>
          <w:rFonts w:ascii="Abadi" w:hAnsi="Abadi" w:cs="Arial"/>
          <w:sz w:val="21"/>
          <w:szCs w:val="21"/>
          <w:lang w:val="es-MX" w:eastAsia="x-none"/>
        </w:rPr>
      </w:pPr>
    </w:p>
    <w:p w14:paraId="4D1BED86" w14:textId="77777777" w:rsidR="00C3155A" w:rsidRPr="00C3155A" w:rsidRDefault="00C3155A" w:rsidP="00C3155A">
      <w:pPr>
        <w:ind w:firstLine="705"/>
        <w:jc w:val="both"/>
        <w:rPr>
          <w:rFonts w:ascii="Abadi" w:hAnsi="Abadi" w:cs="Arial"/>
          <w:sz w:val="21"/>
          <w:szCs w:val="21"/>
        </w:rPr>
      </w:pPr>
      <w:r w:rsidRPr="00C3155A">
        <w:rPr>
          <w:rFonts w:ascii="Abadi" w:hAnsi="Abadi" w:cs="Arial"/>
          <w:sz w:val="21"/>
          <w:szCs w:val="21"/>
        </w:rPr>
        <w:t xml:space="preserve">En cuanto al rubro de resultados de la fiscalización efectuada, se establece el estatus que guardan las observaciones y recomendaciones, las cuales se agrupan bajo su respectivo tipo y rubro, señalando que se determinaron 14 observaciones, mismas que no fueron solventadas. </w:t>
      </w:r>
    </w:p>
    <w:p w14:paraId="437400C6" w14:textId="77777777" w:rsidR="00C3155A" w:rsidRPr="00C3155A" w:rsidRDefault="00C3155A" w:rsidP="00C3155A">
      <w:pPr>
        <w:ind w:firstLine="705"/>
        <w:jc w:val="both"/>
        <w:rPr>
          <w:rFonts w:ascii="Abadi" w:hAnsi="Abadi" w:cs="Arial"/>
          <w:sz w:val="21"/>
          <w:szCs w:val="21"/>
        </w:rPr>
      </w:pPr>
    </w:p>
    <w:p w14:paraId="544E96A0" w14:textId="77777777" w:rsidR="00C3155A" w:rsidRPr="00C3155A" w:rsidRDefault="00C3155A" w:rsidP="00C3155A">
      <w:pPr>
        <w:ind w:firstLine="705"/>
        <w:jc w:val="both"/>
        <w:rPr>
          <w:rFonts w:ascii="Abadi" w:hAnsi="Abadi" w:cs="Arial"/>
          <w:sz w:val="21"/>
          <w:szCs w:val="21"/>
        </w:rPr>
      </w:pPr>
      <w:r w:rsidRPr="00C3155A">
        <w:rPr>
          <w:rFonts w:ascii="Abadi" w:hAnsi="Abadi" w:cs="Arial"/>
          <w:sz w:val="21"/>
          <w:szCs w:val="21"/>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007, 008, 009, 010, 012, 013 y 014, </w:t>
      </w:r>
      <w:r w:rsidRPr="00C3155A">
        <w:rPr>
          <w:rFonts w:ascii="Abadi" w:hAnsi="Abadi" w:cs="Arial"/>
          <w:sz w:val="21"/>
          <w:szCs w:val="21"/>
          <w:lang w:val="es-MX"/>
        </w:rPr>
        <w:t>existen importes no solventados por la cuantía que ahí se refiere</w:t>
      </w:r>
      <w:r w:rsidRPr="00C3155A">
        <w:rPr>
          <w:rFonts w:ascii="Abadi" w:hAnsi="Abadi" w:cs="Arial"/>
          <w:sz w:val="21"/>
          <w:szCs w:val="21"/>
        </w:rPr>
        <w:t xml:space="preserve">. </w:t>
      </w:r>
    </w:p>
    <w:p w14:paraId="72BF118D" w14:textId="77777777" w:rsidR="00C3155A" w:rsidRPr="00C3155A" w:rsidRDefault="00C3155A" w:rsidP="00A449DD">
      <w:pPr>
        <w:jc w:val="both"/>
        <w:rPr>
          <w:rFonts w:ascii="Abadi" w:hAnsi="Abadi" w:cs="Arial"/>
          <w:sz w:val="21"/>
          <w:szCs w:val="21"/>
        </w:rPr>
      </w:pPr>
    </w:p>
    <w:p w14:paraId="27114656" w14:textId="77777777" w:rsidR="00C3155A" w:rsidRPr="00C3155A" w:rsidRDefault="00C3155A" w:rsidP="00C3155A">
      <w:pPr>
        <w:ind w:firstLine="705"/>
        <w:jc w:val="both"/>
        <w:rPr>
          <w:rFonts w:ascii="Abadi" w:hAnsi="Abadi" w:cs="Arial"/>
          <w:sz w:val="21"/>
          <w:szCs w:val="21"/>
        </w:rPr>
      </w:pPr>
      <w:r w:rsidRPr="00C3155A">
        <w:rPr>
          <w:rFonts w:ascii="Abadi" w:hAnsi="Abadi" w:cs="Arial"/>
          <w:sz w:val="21"/>
          <w:szCs w:val="21"/>
        </w:rPr>
        <w:t>En lo referente al rubro de identificación de operaciones con Empresas que Facturan Operaciones Simuladas (EFOS) u operaciones inexistentes se refiere que como parte de la planeación de la auditoría se realizaron procedimientos analíticos a las personas físicas y/o morales con las que la administración pública municipal de Dolores Hidalgo Cuna de la Independencia Nacional,  Gto., celebró operaciones; entre los procedimientos expuestos, se verificó que estas no se encontraran en el listado de Empresas que Facturan Operaciones Simuladas (EFOS) u operaciones inexistentes con el carácter de «</w:t>
      </w:r>
      <w:r w:rsidRPr="00C3155A">
        <w:rPr>
          <w:rFonts w:ascii="Abadi" w:hAnsi="Abadi" w:cs="Arial"/>
          <w:i/>
          <w:iCs/>
          <w:sz w:val="21"/>
          <w:szCs w:val="21"/>
        </w:rPr>
        <w:t>Definitivos»</w:t>
      </w:r>
      <w:r w:rsidRPr="00C3155A">
        <w:rPr>
          <w:rFonts w:ascii="Abadi" w:hAnsi="Abadi" w:cs="Arial"/>
          <w:sz w:val="21"/>
          <w:szCs w:val="21"/>
        </w:rPr>
        <w:t xml:space="preserve"> publicados en el Diario Oficial de la Federación y en el sitio de información estadística del Servicio de Administración Tributaria, concluyendo que no se identificaron empresas clasificadas como EFOS.</w:t>
      </w:r>
    </w:p>
    <w:p w14:paraId="5CC40B4F" w14:textId="77777777" w:rsidR="00C3155A" w:rsidRPr="00C3155A" w:rsidRDefault="00C3155A" w:rsidP="00C3155A">
      <w:pPr>
        <w:ind w:firstLine="705"/>
        <w:jc w:val="both"/>
        <w:rPr>
          <w:rFonts w:ascii="Abadi" w:hAnsi="Abadi" w:cs="Arial"/>
          <w:sz w:val="21"/>
          <w:szCs w:val="21"/>
        </w:rPr>
      </w:pPr>
    </w:p>
    <w:p w14:paraId="67F2CD22" w14:textId="77777777" w:rsidR="00C3155A" w:rsidRPr="00C3155A" w:rsidRDefault="00C3155A" w:rsidP="001A28E5">
      <w:pPr>
        <w:numPr>
          <w:ilvl w:val="0"/>
          <w:numId w:val="86"/>
        </w:numPr>
        <w:tabs>
          <w:tab w:val="num" w:pos="0"/>
        </w:tabs>
        <w:jc w:val="both"/>
        <w:rPr>
          <w:rFonts w:ascii="Abadi" w:hAnsi="Abadi" w:cs="Arial"/>
          <w:b/>
          <w:bCs/>
          <w:sz w:val="21"/>
          <w:szCs w:val="21"/>
        </w:rPr>
      </w:pPr>
      <w:r w:rsidRPr="00C3155A">
        <w:rPr>
          <w:rFonts w:ascii="Abadi" w:hAnsi="Abadi" w:cs="Arial"/>
          <w:b/>
          <w:bCs/>
          <w:sz w:val="21"/>
          <w:szCs w:val="21"/>
        </w:rPr>
        <w:t xml:space="preserve">Observaciones y recomendaciones, la respuesta emitida por el sujeto fiscalizado y la valoración correspondiente. </w:t>
      </w:r>
    </w:p>
    <w:p w14:paraId="68B47FB8" w14:textId="77777777" w:rsidR="00C3155A" w:rsidRPr="00C3155A" w:rsidRDefault="00C3155A" w:rsidP="00C3155A">
      <w:pPr>
        <w:ind w:left="1065"/>
        <w:jc w:val="both"/>
        <w:rPr>
          <w:rFonts w:ascii="Abadi" w:hAnsi="Abadi" w:cs="Arial"/>
          <w:b/>
          <w:bCs/>
          <w:sz w:val="21"/>
          <w:szCs w:val="21"/>
        </w:rPr>
      </w:pPr>
    </w:p>
    <w:p w14:paraId="6F94A509" w14:textId="77777777" w:rsidR="00C3155A" w:rsidRPr="00C3155A" w:rsidRDefault="00C3155A" w:rsidP="00C3155A">
      <w:pPr>
        <w:ind w:firstLine="705"/>
        <w:jc w:val="both"/>
        <w:rPr>
          <w:rFonts w:ascii="Abadi" w:hAnsi="Abadi" w:cs="Arial"/>
          <w:sz w:val="21"/>
          <w:szCs w:val="21"/>
          <w:lang w:val="es-MX"/>
        </w:rPr>
      </w:pPr>
      <w:r w:rsidRPr="00C3155A">
        <w:rPr>
          <w:rFonts w:ascii="Abadi" w:hAnsi="Abadi" w:cs="Arial"/>
          <w:sz w:val="21"/>
          <w:szCs w:val="21"/>
          <w:lang w:val="es-MX"/>
        </w:rPr>
        <w:t>En esta parte se desglosa la valoración de las observaciones y recomendaciones formuladas por el Órgano Técnico, considerando como no solventadas las observaciones plasmadas en los numerales: 001, referente a contrato de arrendamiento de maquinaria y equipo de construcción. Contrato MDH/DIC/FIBIR/R33/2020/TG-03. (1 de 3); 002, correspondiente a contrato de arrendamiento de maquinaria y equipo de construcción. Contrato MDH/DIC/FIBIR/R33/2020/TG-04. (2 de 3); 003, relativo a adjudicación de contratos de arrendamiento de maquinaria y equipo de construcción. Contratos MDH/DIC/FIBIR/R33/2020/TG-03 y MDH/DIC/FIBIR/R33/2020/TG-04. (3 de 3); 004, referido a cantidades de obra. Contrato MDH/DIC/R33/2020/5D-01; 005, referente a cantidades de obra. Contrato MDH/DIC/R33/2020/5D-03; 006, correspondiente a cantidades de obra. Contrato MDH/DIC/R33/2020/5D-04; 007, relativo a cantidades de obra. Contrato MDH/DIC/R33/2020/5D-07. (1 de 2); 008, referido a especificación de concepto de obra. Contrato MDH/DIC/R33/2020/5D-07. (2 de 2); 009, referente a cantidades de obra. Contrato MDH/DIC/R33/2020/SE-10; 010, correspondiente a cantidades de obra. Contrato MDH/DIC/SEDESHU/PSBGTO/2020/SD-04. (1 de 2); 011, relativo a operatividad de la obra. Contrato MDH/DIC/SEDESHU/PSBGTO/2020/SD-04. (2 de 2); 012, referido a cantidades de obra. Contrato MDH/DIC/CONV-SFA/2020/S5-02; 013, referente a cantidades de obra. Contrato MDH/DIC/SEDESHU/PEMC/2020/SE-23; y 014, correspondiente a cantidades de obra. Contrato MDH/DIC/SEDESHU/PEMC/2020/SE-17.</w:t>
      </w:r>
    </w:p>
    <w:p w14:paraId="348C3964" w14:textId="77777777" w:rsidR="00C3155A" w:rsidRPr="00C3155A" w:rsidRDefault="00C3155A" w:rsidP="00C3155A">
      <w:pPr>
        <w:ind w:firstLine="705"/>
        <w:jc w:val="both"/>
        <w:rPr>
          <w:rFonts w:ascii="Abadi" w:hAnsi="Abadi" w:cs="Arial"/>
          <w:sz w:val="21"/>
          <w:szCs w:val="21"/>
          <w:lang w:val="es-MX"/>
        </w:rPr>
      </w:pPr>
    </w:p>
    <w:p w14:paraId="02827332" w14:textId="1FFB690A" w:rsidR="00C3155A" w:rsidRDefault="00C3155A" w:rsidP="00C3155A">
      <w:pPr>
        <w:ind w:firstLine="705"/>
        <w:jc w:val="both"/>
        <w:rPr>
          <w:rFonts w:ascii="Abadi" w:hAnsi="Abadi" w:cs="ArialNarrow"/>
          <w:sz w:val="21"/>
          <w:szCs w:val="21"/>
          <w:lang w:val="es-MX" w:eastAsia="es-MX"/>
        </w:rPr>
      </w:pPr>
      <w:r w:rsidRPr="00C3155A">
        <w:rPr>
          <w:rFonts w:ascii="Abadi" w:hAnsi="Abadi" w:cs="Arial"/>
          <w:sz w:val="21"/>
          <w:szCs w:val="21"/>
          <w:lang w:val="es-MX"/>
        </w:rPr>
        <w:t xml:space="preserve">En el apartado de Recomendaciones Generales, se establece que </w:t>
      </w:r>
      <w:r w:rsidRPr="00C3155A">
        <w:rPr>
          <w:rFonts w:ascii="Abadi" w:hAnsi="Abadi" w:cs="ArialNarrow"/>
          <w:sz w:val="21"/>
          <w:szCs w:val="21"/>
          <w:lang w:val="es-MX" w:eastAsia="es-MX"/>
        </w:rPr>
        <w:t>del proceso de fiscalización efectuado no se desprendieron recomendaciones.</w:t>
      </w:r>
    </w:p>
    <w:p w14:paraId="0AF97050" w14:textId="77777777" w:rsidR="00A449DD" w:rsidRPr="00C3155A" w:rsidRDefault="00A449DD" w:rsidP="00C3155A">
      <w:pPr>
        <w:ind w:firstLine="705"/>
        <w:jc w:val="both"/>
        <w:rPr>
          <w:rFonts w:ascii="Abadi" w:hAnsi="Abadi" w:cs="ArialNarrow"/>
          <w:sz w:val="21"/>
          <w:szCs w:val="21"/>
          <w:lang w:val="es-MX" w:eastAsia="es-MX"/>
        </w:rPr>
      </w:pPr>
    </w:p>
    <w:p w14:paraId="6189EBAD" w14:textId="77777777" w:rsidR="00C3155A" w:rsidRPr="00C3155A" w:rsidRDefault="00C3155A" w:rsidP="001A28E5">
      <w:pPr>
        <w:numPr>
          <w:ilvl w:val="0"/>
          <w:numId w:val="86"/>
        </w:numPr>
        <w:jc w:val="both"/>
        <w:rPr>
          <w:rFonts w:ascii="Abadi" w:hAnsi="Abadi" w:cs="Arial"/>
          <w:b/>
          <w:bCs/>
          <w:sz w:val="21"/>
          <w:szCs w:val="21"/>
          <w:lang w:val="es-MX"/>
        </w:rPr>
      </w:pPr>
      <w:r w:rsidRPr="00C3155A">
        <w:rPr>
          <w:rFonts w:ascii="Abadi" w:hAnsi="Abadi" w:cs="Arial"/>
          <w:b/>
          <w:bCs/>
          <w:sz w:val="21"/>
          <w:szCs w:val="21"/>
          <w:lang w:val="es-MX"/>
        </w:rPr>
        <w:t xml:space="preserve">Promoción del ejercicio de facultades de comprobación fiscal. </w:t>
      </w:r>
    </w:p>
    <w:p w14:paraId="032333A1" w14:textId="77777777" w:rsidR="00C3155A" w:rsidRPr="00C3155A" w:rsidRDefault="00C3155A" w:rsidP="00C3155A">
      <w:pPr>
        <w:ind w:firstLine="705"/>
        <w:jc w:val="both"/>
        <w:rPr>
          <w:rFonts w:ascii="Abadi" w:hAnsi="Abadi" w:cs="Arial"/>
          <w:sz w:val="21"/>
          <w:szCs w:val="21"/>
        </w:rPr>
      </w:pPr>
    </w:p>
    <w:p w14:paraId="7880618E" w14:textId="77777777" w:rsidR="00C3155A" w:rsidRPr="00C3155A" w:rsidRDefault="00C3155A" w:rsidP="00C3155A">
      <w:pPr>
        <w:ind w:firstLine="705"/>
        <w:jc w:val="both"/>
        <w:rPr>
          <w:rFonts w:ascii="Abadi" w:hAnsi="Abadi" w:cs="Arial"/>
          <w:sz w:val="21"/>
          <w:szCs w:val="21"/>
          <w:lang w:val="es-MX"/>
        </w:rPr>
      </w:pPr>
      <w:r w:rsidRPr="00C3155A">
        <w:rPr>
          <w:rFonts w:ascii="Abadi" w:hAnsi="Abadi" w:cs="Arial"/>
          <w:sz w:val="21"/>
          <w:szCs w:val="21"/>
          <w:lang w:val="es-MX"/>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702B7C05" w14:textId="77777777" w:rsidR="00C3155A" w:rsidRPr="00C3155A" w:rsidRDefault="00C3155A" w:rsidP="00C3155A">
      <w:pPr>
        <w:ind w:firstLine="705"/>
        <w:jc w:val="both"/>
        <w:rPr>
          <w:rFonts w:ascii="Abadi" w:hAnsi="Abadi" w:cs="Arial"/>
          <w:sz w:val="21"/>
          <w:szCs w:val="21"/>
          <w:lang w:val="es-MX"/>
        </w:rPr>
      </w:pPr>
    </w:p>
    <w:p w14:paraId="4F41D143" w14:textId="77777777" w:rsidR="00C3155A" w:rsidRPr="00C3155A" w:rsidRDefault="00C3155A" w:rsidP="001A28E5">
      <w:pPr>
        <w:numPr>
          <w:ilvl w:val="0"/>
          <w:numId w:val="86"/>
        </w:numPr>
        <w:jc w:val="both"/>
        <w:rPr>
          <w:rFonts w:ascii="Abadi" w:hAnsi="Abadi" w:cs="Arial"/>
          <w:b/>
          <w:bCs/>
          <w:sz w:val="21"/>
          <w:szCs w:val="21"/>
          <w:lang w:val="es-MX"/>
        </w:rPr>
      </w:pPr>
      <w:r w:rsidRPr="00C3155A">
        <w:rPr>
          <w:rFonts w:ascii="Abadi" w:hAnsi="Abadi" w:cs="Arial"/>
          <w:b/>
          <w:bCs/>
          <w:sz w:val="21"/>
          <w:szCs w:val="21"/>
          <w:lang w:val="es-MX"/>
        </w:rPr>
        <w:t>Comunicado ante órganos de control y autoridades que administran padrones de proveedores y contratistas.</w:t>
      </w:r>
    </w:p>
    <w:p w14:paraId="2B05E483" w14:textId="77777777" w:rsidR="00C3155A" w:rsidRPr="00C3155A" w:rsidRDefault="00C3155A" w:rsidP="00C3155A">
      <w:pPr>
        <w:ind w:firstLine="705"/>
        <w:jc w:val="both"/>
        <w:rPr>
          <w:rFonts w:ascii="Abadi" w:hAnsi="Abadi" w:cs="Arial"/>
          <w:sz w:val="21"/>
          <w:szCs w:val="21"/>
        </w:rPr>
      </w:pPr>
    </w:p>
    <w:p w14:paraId="1C1C4205" w14:textId="77777777" w:rsidR="00C3155A" w:rsidRPr="00C3155A" w:rsidRDefault="00C3155A" w:rsidP="00C3155A">
      <w:pPr>
        <w:ind w:firstLine="705"/>
        <w:jc w:val="both"/>
        <w:rPr>
          <w:rFonts w:ascii="Abadi" w:hAnsi="Abadi" w:cs="Arial"/>
          <w:sz w:val="21"/>
          <w:szCs w:val="21"/>
          <w:lang w:val="es-MX"/>
        </w:rPr>
      </w:pPr>
      <w:r w:rsidRPr="00C3155A">
        <w:rPr>
          <w:rFonts w:ascii="Abadi" w:hAnsi="Abadi" w:cs="Arial"/>
          <w:sz w:val="21"/>
          <w:szCs w:val="21"/>
          <w:lang w:val="es-MX"/>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auditoría, es procedente hacer del conocimiento del Órgano Interno de Control de </w:t>
      </w:r>
      <w:r w:rsidRPr="00C3155A">
        <w:rPr>
          <w:rFonts w:ascii="Abadi" w:hAnsi="Abadi" w:cs="Arial"/>
          <w:sz w:val="21"/>
          <w:szCs w:val="21"/>
        </w:rPr>
        <w:t xml:space="preserve">Dolores Hidalgo Cuna de la Independencia Nacional, </w:t>
      </w:r>
      <w:r w:rsidRPr="00C3155A">
        <w:rPr>
          <w:rFonts w:ascii="Abadi" w:hAnsi="Abadi" w:cs="Arial"/>
          <w:sz w:val="21"/>
          <w:szCs w:val="21"/>
          <w:lang w:val="es-MX"/>
        </w:rPr>
        <w:t xml:space="preserve"> Gto., y de la Secretaría de Infraestructura, Conectividad y Movilidad, del Estado, las presuntas irregularidades o incumplimientos de estos en contrataciones públicas detectadas durante la auditoría, precisando los contratistas y las observaciones de las que se desprende su intervención.</w:t>
      </w:r>
    </w:p>
    <w:p w14:paraId="031D77C9" w14:textId="77777777" w:rsidR="00C3155A" w:rsidRPr="00C3155A" w:rsidRDefault="00C3155A" w:rsidP="00C3155A">
      <w:pPr>
        <w:ind w:firstLine="705"/>
        <w:jc w:val="both"/>
        <w:rPr>
          <w:rFonts w:ascii="Abadi" w:hAnsi="Abadi" w:cs="Arial"/>
          <w:sz w:val="21"/>
          <w:szCs w:val="21"/>
          <w:lang w:val="es-MX"/>
        </w:rPr>
      </w:pPr>
    </w:p>
    <w:p w14:paraId="1C8915D1" w14:textId="77777777" w:rsidR="00C3155A" w:rsidRPr="00C3155A" w:rsidRDefault="00C3155A" w:rsidP="001A28E5">
      <w:pPr>
        <w:numPr>
          <w:ilvl w:val="0"/>
          <w:numId w:val="86"/>
        </w:numPr>
        <w:jc w:val="both"/>
        <w:rPr>
          <w:rFonts w:ascii="Abadi" w:hAnsi="Abadi" w:cs="Arial"/>
          <w:b/>
          <w:bCs/>
          <w:sz w:val="21"/>
          <w:szCs w:val="21"/>
        </w:rPr>
      </w:pPr>
      <w:r w:rsidRPr="00C3155A">
        <w:rPr>
          <w:rFonts w:ascii="Abadi" w:hAnsi="Abadi" w:cs="Arial"/>
          <w:b/>
          <w:bCs/>
          <w:sz w:val="21"/>
          <w:szCs w:val="21"/>
        </w:rPr>
        <w:t xml:space="preserve">Recurso de Reconsideración. </w:t>
      </w:r>
    </w:p>
    <w:p w14:paraId="5216A474" w14:textId="77777777" w:rsidR="00C3155A" w:rsidRPr="00C3155A" w:rsidRDefault="00C3155A" w:rsidP="00C3155A">
      <w:pPr>
        <w:ind w:left="705"/>
        <w:jc w:val="both"/>
        <w:rPr>
          <w:rFonts w:ascii="Abadi" w:hAnsi="Abadi" w:cs="Arial"/>
          <w:b/>
          <w:bCs/>
          <w:sz w:val="21"/>
          <w:szCs w:val="21"/>
        </w:rPr>
      </w:pPr>
    </w:p>
    <w:p w14:paraId="49AFE974" w14:textId="77777777" w:rsidR="00C3155A" w:rsidRPr="00C3155A" w:rsidRDefault="00C3155A" w:rsidP="00C3155A">
      <w:pPr>
        <w:ind w:firstLine="705"/>
        <w:jc w:val="both"/>
        <w:rPr>
          <w:rFonts w:ascii="Abadi" w:hAnsi="Abadi" w:cs="Arial"/>
          <w:sz w:val="21"/>
          <w:szCs w:val="21"/>
          <w:lang w:val="es-MX"/>
        </w:rPr>
      </w:pPr>
      <w:r w:rsidRPr="00C3155A">
        <w:rPr>
          <w:rFonts w:ascii="Abadi" w:hAnsi="Abadi" w:cs="Arial"/>
          <w:sz w:val="21"/>
          <w:szCs w:val="21"/>
        </w:rPr>
        <w:t xml:space="preserve">El 16 de febrero de 2022, dentro del plazo que prevé la fracción IV del artículo 37 de </w:t>
      </w:r>
      <w:smartTag w:uri="urn:schemas-microsoft-com:office:smarttags" w:element="PersonName">
        <w:smartTagPr>
          <w:attr w:name="ProductID" w:val="la Ley"/>
        </w:smartTagPr>
        <w:r w:rsidRPr="00C3155A">
          <w:rPr>
            <w:rFonts w:ascii="Abadi" w:hAnsi="Abadi" w:cs="Arial"/>
            <w:sz w:val="21"/>
            <w:szCs w:val="21"/>
          </w:rPr>
          <w:t>la Ley</w:t>
        </w:r>
      </w:smartTag>
      <w:r w:rsidRPr="00C3155A">
        <w:rPr>
          <w:rFonts w:ascii="Abadi" w:hAnsi="Abadi" w:cs="Arial"/>
          <w:sz w:val="21"/>
          <w:szCs w:val="21"/>
        </w:rPr>
        <w:t xml:space="preserve"> de Fiscalización Superior del Estado de Guanajuato, el </w:t>
      </w:r>
      <w:r w:rsidRPr="00C3155A">
        <w:rPr>
          <w:rFonts w:ascii="Abadi" w:hAnsi="Abadi" w:cs="Arial"/>
          <w:sz w:val="21"/>
          <w:szCs w:val="21"/>
          <w:lang w:val="es-MX"/>
        </w:rPr>
        <w:t>presidente municipal de Dolores Hidalgo Cuna de la Independencia Nacional, Gto.,</w:t>
      </w:r>
      <w:r w:rsidRPr="00C3155A">
        <w:rPr>
          <w:rFonts w:ascii="Abadi" w:hAnsi="Abadi" w:cs="Arial"/>
          <w:sz w:val="21"/>
          <w:szCs w:val="21"/>
        </w:rPr>
        <w:t xml:space="preserve"> interpuso recurso de reconsideración en contra del informe de resultados </w:t>
      </w:r>
      <w:r w:rsidRPr="00C3155A">
        <w:rPr>
          <w:rFonts w:ascii="Abadi" w:hAnsi="Abadi" w:cs="Arial"/>
          <w:sz w:val="21"/>
          <w:szCs w:val="21"/>
          <w:lang w:val="es-MX"/>
        </w:rPr>
        <w:t>de la auditoría practicada a la infraestructura pública municipal respecto de las operaciones realizadas por dicha administración municipal, correspondientes al ejercicio fiscal del año 2020</w:t>
      </w:r>
      <w:r w:rsidRPr="00C3155A">
        <w:rPr>
          <w:rFonts w:ascii="Abadi" w:hAnsi="Abadi" w:cs="Arial"/>
          <w:sz w:val="21"/>
          <w:szCs w:val="21"/>
        </w:rPr>
        <w:t xml:space="preserve">, concretamente en contra de las observaciones establecidas en los numerales </w:t>
      </w:r>
      <w:r w:rsidRPr="00C3155A">
        <w:rPr>
          <w:rFonts w:ascii="Abadi" w:hAnsi="Abadi" w:cs="Arial"/>
          <w:sz w:val="21"/>
          <w:szCs w:val="21"/>
          <w:lang w:val="es-MX"/>
        </w:rPr>
        <w:t xml:space="preserve">007, relativo a cantidades de obra. Contrato MDH/DIC/R33/2020/5D-07. (1 de 2); 008, referido a especificación de concepto de obra. Contrato MDH/DIC/R33/2020/5D-07. (2 de 2); 009, referente a cantidades de obra. Contrato MDH/DIC/R33/2020/SE-10; 010, correspondiente a cantidades de obra. Contrato MDH/DIC/SEDESHU/PSBGTO/2020/SD-04. (1 de 2); 011, relativo a operatividad de la obra. Contrato MDH/DIC/SEDESHU/PSBGTO/2020/SD-04. (2 de 2); 012, referido a cantidades de obra. Contrato MDH/DIC/CONV-SFA/2020/S5-02; 013, referente a cantidades de obra. Contrato MDH/DIC/SEDESHU/PEMC/2020/SE-23; y 014, correspondiente a cantidades de obra. Contrato MDH/DIC/SEDESHU/PEMC/2020/SE-17, </w:t>
      </w:r>
      <w:r w:rsidRPr="00C3155A">
        <w:rPr>
          <w:rFonts w:ascii="Abadi" w:hAnsi="Abadi" w:cs="Arial"/>
          <w:sz w:val="21"/>
          <w:szCs w:val="21"/>
        </w:rPr>
        <w:t>mismos que se encuentran relacionados con el Capítulo II, denominado Observaciones y Recomendaciones; Respuesta Emitida por el Sujeto</w:t>
      </w:r>
      <w:r w:rsidRPr="00C3155A">
        <w:rPr>
          <w:rFonts w:ascii="Abadi" w:hAnsi="Abadi" w:cs="Arial"/>
          <w:sz w:val="21"/>
          <w:szCs w:val="21"/>
          <w:lang w:val="es-MX"/>
        </w:rPr>
        <w:t xml:space="preserve"> Fiscalizado y Valoración Correspondiente del informe de resultados materia del presente dictamen.</w:t>
      </w:r>
    </w:p>
    <w:p w14:paraId="7C9BF5E2" w14:textId="77777777" w:rsidR="00C3155A" w:rsidRPr="00C3155A" w:rsidRDefault="00C3155A" w:rsidP="00C3155A">
      <w:pPr>
        <w:ind w:firstLine="705"/>
        <w:jc w:val="both"/>
        <w:rPr>
          <w:rFonts w:ascii="Abadi" w:hAnsi="Abadi" w:cs="Arial"/>
          <w:sz w:val="21"/>
          <w:szCs w:val="21"/>
          <w:lang w:val="es-MX"/>
        </w:rPr>
      </w:pPr>
    </w:p>
    <w:p w14:paraId="0634CAC7"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 xml:space="preserve">En tal sentido, mediante acuerdo de fecha 17 de febrero de 2022, emitido por el Director General de Asuntos Jurídicos de la Auditoría Superior del Estado de Guanajuato, se admitió el recurso de reconsideración, al colmarse los requisitos de procedibilidad previstos por el artículo 51 de </w:t>
      </w:r>
      <w:smartTag w:uri="urn:schemas-microsoft-com:office:smarttags" w:element="PersonName">
        <w:smartTagPr>
          <w:attr w:name="ProductID" w:val="la Ley"/>
        </w:smartTagPr>
        <w:r w:rsidRPr="00C3155A">
          <w:rPr>
            <w:rFonts w:ascii="Abadi" w:hAnsi="Abadi" w:cs="Arial"/>
            <w:sz w:val="21"/>
            <w:szCs w:val="21"/>
            <w:lang w:val="es-MX"/>
          </w:rPr>
          <w:t>la Ley</w:t>
        </w:r>
      </w:smartTag>
      <w:r w:rsidRPr="00C3155A">
        <w:rPr>
          <w:rFonts w:ascii="Abadi" w:hAnsi="Abadi" w:cs="Arial"/>
          <w:sz w:val="21"/>
          <w:szCs w:val="21"/>
          <w:lang w:val="es-MX"/>
        </w:rPr>
        <w:t xml:space="preserve"> de Fiscalización Superior del Estado de Guanajuato, instruyendo la integración del expediente respectivo y el registro correspondiente. Asimismo, mediante dicho acuerdo se admitieron los medios de prueba aportados por el recurrente, al tener el carácter de supervenientes. También a través de dicho acuerdo se suspendió el plazo establecido en el artículo 55 de la Ley de Fiscalización Superior del Estado de Guanajuato por un término de hasta 20 días hábiles, con la finalidad de realizar la debida valoración de las pruebas documentales presentadas.</w:t>
      </w:r>
    </w:p>
    <w:p w14:paraId="3253E885" w14:textId="77777777" w:rsidR="00C3155A" w:rsidRPr="00C3155A" w:rsidRDefault="00C3155A" w:rsidP="00C3155A">
      <w:pPr>
        <w:ind w:firstLine="708"/>
        <w:jc w:val="both"/>
        <w:rPr>
          <w:rFonts w:ascii="Abadi" w:hAnsi="Abadi" w:cs="Arial"/>
          <w:sz w:val="21"/>
          <w:szCs w:val="21"/>
          <w:lang w:val="es-MX"/>
        </w:rPr>
      </w:pPr>
    </w:p>
    <w:p w14:paraId="580C00F2"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Una vez tramitado el recurso, el Auditor Superior del Estado, el 8 de marzo de 2022 emitió la resolución correspondiente, determinándose respecto a las observaciones establecidas en los numerales 007, 008, 010, 012, 013 y 014, que las pruebas documentales aportadas por el recurrente resultaron insuficientes para aclarar, atender o solventar las observaciones y, en su caso, modificar el complemento de la valoración, por los argumentos señalados en el considerando séptimo de la resolución. Derivado de lo anterior, se confirmó el sentido de la valoración de las observaciones como no solventadas, con acciones de impacto económico pendientes de realizar por el sujeto fiscalizado.</w:t>
      </w:r>
    </w:p>
    <w:p w14:paraId="5F8D1A74" w14:textId="77777777" w:rsidR="00C3155A" w:rsidRPr="00C3155A" w:rsidRDefault="00C3155A" w:rsidP="00C3155A">
      <w:pPr>
        <w:ind w:firstLine="708"/>
        <w:jc w:val="both"/>
        <w:rPr>
          <w:rFonts w:ascii="Abadi" w:hAnsi="Abadi" w:cs="Arial"/>
          <w:sz w:val="21"/>
          <w:szCs w:val="21"/>
          <w:lang w:val="es-MX"/>
        </w:rPr>
      </w:pPr>
    </w:p>
    <w:p w14:paraId="433CCC7A"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Finalmente, en cuanto a las observaciones plasmadas en los numerales 009 y 011, se resolvió que las probanzas aportadas resultaron improcedentes e ineficaces para aclararlas, atenderlas o solventarlas, de acuerdo a lo expresado en el considerando séptimo de la resolución. En razón de lo cual, se confirmó el sentido de la valoración de las observaciones como no solventadas, con acciones de impacto económico pendientes de realizar por el sujeto fiscalizado.</w:t>
      </w:r>
    </w:p>
    <w:p w14:paraId="0E7D3339" w14:textId="77777777" w:rsidR="00C3155A" w:rsidRPr="00C3155A" w:rsidRDefault="00C3155A" w:rsidP="00C3155A">
      <w:pPr>
        <w:ind w:firstLine="708"/>
        <w:jc w:val="both"/>
        <w:rPr>
          <w:rFonts w:ascii="Abadi" w:hAnsi="Abadi" w:cs="Arial"/>
          <w:sz w:val="21"/>
          <w:szCs w:val="21"/>
          <w:lang w:val="es-MX"/>
        </w:rPr>
      </w:pPr>
    </w:p>
    <w:p w14:paraId="7422CF72" w14:textId="77777777" w:rsidR="00C3155A" w:rsidRPr="00C3155A" w:rsidRDefault="00C3155A" w:rsidP="00C3155A">
      <w:pPr>
        <w:ind w:firstLine="705"/>
        <w:jc w:val="both"/>
        <w:rPr>
          <w:rFonts w:ascii="Abadi" w:hAnsi="Abadi" w:cs="Arial"/>
          <w:sz w:val="21"/>
          <w:szCs w:val="21"/>
          <w:lang w:val="es-MX"/>
        </w:rPr>
      </w:pPr>
      <w:r w:rsidRPr="00C3155A">
        <w:rPr>
          <w:rFonts w:ascii="Abadi" w:hAnsi="Abadi" w:cs="Arial"/>
          <w:sz w:val="21"/>
          <w:szCs w:val="21"/>
          <w:lang w:val="es-MX"/>
        </w:rPr>
        <w:t>La referida resolución se notificó al presidente municipal de Dolores Hidalgo Cuna de la Independencia Nacional, Gto., el 14 de marzo de 2022.</w:t>
      </w:r>
    </w:p>
    <w:p w14:paraId="767D3C07" w14:textId="77777777" w:rsidR="00C3155A" w:rsidRPr="00C3155A" w:rsidRDefault="00C3155A" w:rsidP="00C3155A">
      <w:pPr>
        <w:ind w:firstLine="705"/>
        <w:jc w:val="both"/>
        <w:rPr>
          <w:rFonts w:ascii="Abadi" w:hAnsi="Abadi" w:cs="Arial"/>
          <w:sz w:val="21"/>
          <w:szCs w:val="21"/>
          <w:lang w:val="es-MX"/>
        </w:rPr>
      </w:pPr>
    </w:p>
    <w:p w14:paraId="3D74BCDF" w14:textId="77777777" w:rsidR="00C3155A" w:rsidRPr="00C3155A" w:rsidRDefault="00C3155A" w:rsidP="001A28E5">
      <w:pPr>
        <w:numPr>
          <w:ilvl w:val="0"/>
          <w:numId w:val="86"/>
        </w:numPr>
        <w:jc w:val="both"/>
        <w:rPr>
          <w:rFonts w:ascii="Abadi" w:hAnsi="Abadi" w:cs="Arial"/>
          <w:b/>
          <w:bCs/>
          <w:sz w:val="21"/>
          <w:szCs w:val="21"/>
          <w:lang w:val="es-MX"/>
        </w:rPr>
      </w:pPr>
      <w:r w:rsidRPr="00C3155A">
        <w:rPr>
          <w:rFonts w:ascii="Abadi" w:hAnsi="Abadi" w:cs="Arial"/>
          <w:b/>
          <w:bCs/>
          <w:sz w:val="21"/>
          <w:szCs w:val="21"/>
          <w:lang w:val="es-MX"/>
        </w:rPr>
        <w:t xml:space="preserve">Anexos. </w:t>
      </w:r>
    </w:p>
    <w:p w14:paraId="427E993E" w14:textId="77777777" w:rsidR="00C3155A" w:rsidRPr="00C3155A" w:rsidRDefault="00C3155A" w:rsidP="00C3155A">
      <w:pPr>
        <w:ind w:firstLine="705"/>
        <w:jc w:val="both"/>
        <w:rPr>
          <w:rFonts w:ascii="Abadi" w:hAnsi="Abadi" w:cs="Arial"/>
          <w:sz w:val="21"/>
          <w:szCs w:val="21"/>
        </w:rPr>
      </w:pPr>
    </w:p>
    <w:p w14:paraId="0DC9BE63" w14:textId="77777777" w:rsidR="00C3155A" w:rsidRPr="00C3155A" w:rsidRDefault="00C3155A" w:rsidP="00C3155A">
      <w:pPr>
        <w:ind w:firstLine="705"/>
        <w:jc w:val="both"/>
        <w:rPr>
          <w:rFonts w:ascii="Abadi" w:hAnsi="Abadi" w:cs="Arial"/>
          <w:sz w:val="21"/>
          <w:szCs w:val="21"/>
        </w:rPr>
      </w:pPr>
      <w:r w:rsidRPr="00C3155A">
        <w:rPr>
          <w:rFonts w:ascii="Abadi" w:hAnsi="Abadi" w:cs="Arial"/>
          <w:sz w:val="21"/>
          <w:szCs w:val="21"/>
        </w:rPr>
        <w:t>En esta parte, se adjuntan los anexos técnicos derivados de la auditoría.</w:t>
      </w:r>
    </w:p>
    <w:p w14:paraId="0F998DCC" w14:textId="77777777" w:rsidR="00C3155A" w:rsidRPr="00C3155A" w:rsidRDefault="00C3155A" w:rsidP="00C3155A">
      <w:pPr>
        <w:ind w:firstLine="705"/>
        <w:jc w:val="both"/>
        <w:rPr>
          <w:rFonts w:ascii="Abadi" w:hAnsi="Abadi" w:cs="Arial"/>
          <w:sz w:val="21"/>
          <w:szCs w:val="21"/>
        </w:rPr>
      </w:pPr>
    </w:p>
    <w:p w14:paraId="10E17692" w14:textId="77777777" w:rsidR="00C3155A" w:rsidRPr="00C3155A" w:rsidRDefault="00C3155A" w:rsidP="00C3155A">
      <w:pPr>
        <w:ind w:firstLine="708"/>
        <w:jc w:val="both"/>
        <w:rPr>
          <w:rFonts w:ascii="Abadi" w:hAnsi="Abadi" w:cs="Arial"/>
          <w:b/>
          <w:bCs/>
          <w:sz w:val="21"/>
          <w:szCs w:val="21"/>
          <w:lang w:val="es-MX"/>
        </w:rPr>
      </w:pPr>
      <w:r w:rsidRPr="00C3155A">
        <w:rPr>
          <w:rFonts w:ascii="Abadi" w:hAnsi="Abadi" w:cs="Arial"/>
          <w:b/>
          <w:bCs/>
          <w:sz w:val="21"/>
          <w:szCs w:val="21"/>
          <w:lang w:val="es-MX"/>
        </w:rPr>
        <w:t>V. Conclusiones:</w:t>
      </w:r>
    </w:p>
    <w:p w14:paraId="348E8001" w14:textId="77777777" w:rsidR="00C3155A" w:rsidRPr="00C3155A" w:rsidRDefault="00C3155A" w:rsidP="00C3155A">
      <w:pPr>
        <w:jc w:val="both"/>
        <w:rPr>
          <w:rFonts w:ascii="Abadi" w:hAnsi="Abadi" w:cs="Arial"/>
          <w:sz w:val="21"/>
          <w:szCs w:val="21"/>
          <w:lang w:val="es-MX"/>
        </w:rPr>
      </w:pPr>
    </w:p>
    <w:p w14:paraId="59D16C58" w14:textId="77777777" w:rsidR="00C3155A" w:rsidRPr="00C3155A" w:rsidRDefault="00C3155A" w:rsidP="00C3155A">
      <w:pPr>
        <w:jc w:val="both"/>
        <w:rPr>
          <w:rFonts w:ascii="Abadi" w:hAnsi="Abadi" w:cs="Arial"/>
          <w:sz w:val="21"/>
          <w:szCs w:val="21"/>
        </w:rPr>
      </w:pPr>
      <w:r w:rsidRPr="00C3155A">
        <w:rPr>
          <w:rFonts w:ascii="Abadi" w:hAnsi="Abadi" w:cs="Arial"/>
          <w:sz w:val="21"/>
          <w:szCs w:val="21"/>
          <w:lang w:val="es-MX"/>
        </w:rPr>
        <w:tab/>
      </w:r>
      <w:r w:rsidRPr="00C3155A">
        <w:rPr>
          <w:rFonts w:ascii="Abadi" w:hAnsi="Abadi" w:cs="Arial"/>
          <w:sz w:val="21"/>
          <w:szCs w:val="21"/>
        </w:rPr>
        <w:t xml:space="preserve">Como ya lo habíamos señalado en párrafos anteriores, el artículo 38 de </w:t>
      </w:r>
      <w:smartTag w:uri="urn:schemas-microsoft-com:office:smarttags" w:element="PersonName">
        <w:smartTagPr>
          <w:attr w:name="ProductID" w:val="la Ley"/>
        </w:smartTagPr>
        <w:r w:rsidRPr="00C3155A">
          <w:rPr>
            <w:rFonts w:ascii="Abadi" w:hAnsi="Abadi" w:cs="Arial"/>
            <w:sz w:val="21"/>
            <w:szCs w:val="21"/>
          </w:rPr>
          <w:t>la Ley</w:t>
        </w:r>
      </w:smartTag>
      <w:r w:rsidRPr="00C3155A">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2365ED5" w14:textId="77777777" w:rsidR="00C3155A" w:rsidRPr="00C3155A" w:rsidRDefault="00C3155A" w:rsidP="00C3155A">
      <w:pPr>
        <w:jc w:val="both"/>
        <w:rPr>
          <w:rFonts w:ascii="Abadi" w:hAnsi="Abadi" w:cs="Arial"/>
          <w:sz w:val="21"/>
          <w:szCs w:val="21"/>
        </w:rPr>
      </w:pPr>
    </w:p>
    <w:p w14:paraId="0AE0FCAE" w14:textId="77777777" w:rsidR="00C3155A" w:rsidRPr="00C3155A" w:rsidRDefault="00C3155A" w:rsidP="00C3155A">
      <w:pPr>
        <w:jc w:val="both"/>
        <w:rPr>
          <w:rFonts w:ascii="Abadi" w:hAnsi="Abadi" w:cs="Arial"/>
          <w:sz w:val="21"/>
          <w:szCs w:val="21"/>
        </w:rPr>
      </w:pPr>
      <w:r w:rsidRPr="00C3155A">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744A56E1" w14:textId="77777777" w:rsidR="00C3155A" w:rsidRPr="00C3155A" w:rsidRDefault="00C3155A" w:rsidP="00C3155A">
      <w:pPr>
        <w:jc w:val="both"/>
        <w:rPr>
          <w:rFonts w:ascii="Abadi" w:hAnsi="Abadi" w:cs="Arial"/>
          <w:sz w:val="21"/>
          <w:szCs w:val="21"/>
        </w:rPr>
      </w:pPr>
    </w:p>
    <w:p w14:paraId="62F3F45E" w14:textId="77777777" w:rsidR="00C3155A" w:rsidRPr="00C3155A" w:rsidRDefault="00C3155A" w:rsidP="00C3155A">
      <w:pPr>
        <w:ind w:firstLine="708"/>
        <w:jc w:val="both"/>
        <w:rPr>
          <w:rFonts w:ascii="Abadi" w:hAnsi="Abadi" w:cs="Arial"/>
          <w:sz w:val="21"/>
          <w:szCs w:val="21"/>
        </w:rPr>
      </w:pPr>
      <w:r w:rsidRPr="00C3155A">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auditoría al presidente y </w:t>
      </w:r>
      <w:r w:rsidRPr="00C3155A">
        <w:rPr>
          <w:rFonts w:ascii="Abadi" w:hAnsi="Abadi" w:cs="Arial"/>
          <w:sz w:val="21"/>
          <w:szCs w:val="21"/>
          <w:lang w:val="es-MX"/>
        </w:rPr>
        <w:t xml:space="preserve">al ex-presidente municipales de Dolores Hidalgo Cuna de la Independencia Nacional, Gto., </w:t>
      </w:r>
      <w:r w:rsidRPr="00C3155A">
        <w:rPr>
          <w:rFonts w:ascii="Abadi" w:hAnsi="Abadi" w:cs="Arial"/>
          <w:sz w:val="21"/>
          <w:szCs w:val="21"/>
        </w:rPr>
        <w:t xml:space="preserve">concediéndoles el plazo que establece </w:t>
      </w:r>
      <w:smartTag w:uri="urn:schemas-microsoft-com:office:smarttags" w:element="PersonName">
        <w:smartTagPr>
          <w:attr w:name="ProductID" w:val="la Ley"/>
        </w:smartTagPr>
        <w:r w:rsidRPr="00C3155A">
          <w:rPr>
            <w:rFonts w:ascii="Abadi" w:hAnsi="Abadi" w:cs="Arial"/>
            <w:sz w:val="21"/>
            <w:szCs w:val="21"/>
          </w:rPr>
          <w:t>la Ley</w:t>
        </w:r>
      </w:smartTag>
      <w:r w:rsidRPr="00C3155A">
        <w:rPr>
          <w:rFonts w:ascii="Abadi" w:hAnsi="Abadi" w:cs="Arial"/>
          <w:sz w:val="21"/>
          <w:szCs w:val="21"/>
        </w:rPr>
        <w:t xml:space="preserve"> para aclarar, atender o solventar documentalmente las observaciones determinadas por el Órgano Técnico. Al respecto, el </w:t>
      </w:r>
      <w:r w:rsidRPr="00C3155A">
        <w:rPr>
          <w:rFonts w:ascii="Abadi" w:hAnsi="Abadi" w:cs="Arial"/>
          <w:sz w:val="21"/>
          <w:szCs w:val="21"/>
          <w:lang w:val="es-MX"/>
        </w:rPr>
        <w:t xml:space="preserve">presidente municipal de Dolores Hidalgo Cuna de la Independencia Nacional, Gto., </w:t>
      </w:r>
      <w:r w:rsidRPr="00C3155A">
        <w:rPr>
          <w:rFonts w:ascii="Abadi" w:hAnsi="Abadi" w:cs="Arial"/>
          <w:sz w:val="21"/>
          <w:szCs w:val="21"/>
        </w:rPr>
        <w:t>presentó la información y documentación para aclarar y en su caso, solventar las observaciones determinadas y atender las recomendaciones efectuadas.</w:t>
      </w:r>
    </w:p>
    <w:p w14:paraId="43F29317" w14:textId="77777777" w:rsidR="00C3155A" w:rsidRPr="00C3155A" w:rsidRDefault="00C3155A" w:rsidP="00C3155A">
      <w:pPr>
        <w:jc w:val="both"/>
        <w:rPr>
          <w:rFonts w:ascii="Abadi" w:hAnsi="Abadi" w:cs="Arial"/>
          <w:sz w:val="21"/>
          <w:szCs w:val="21"/>
        </w:rPr>
      </w:pPr>
    </w:p>
    <w:p w14:paraId="4C01A422" w14:textId="77777777" w:rsidR="00C3155A" w:rsidRPr="00C3155A" w:rsidRDefault="00C3155A" w:rsidP="00C3155A">
      <w:pPr>
        <w:ind w:firstLine="708"/>
        <w:jc w:val="both"/>
        <w:rPr>
          <w:rFonts w:ascii="Abadi" w:hAnsi="Abadi" w:cs="Arial"/>
          <w:sz w:val="21"/>
          <w:szCs w:val="21"/>
        </w:rPr>
      </w:pPr>
      <w:r w:rsidRPr="00C3155A">
        <w:rPr>
          <w:rFonts w:ascii="Abadi" w:hAnsi="Abadi" w:cs="Arial"/>
          <w:sz w:val="21"/>
          <w:szCs w:val="21"/>
        </w:rPr>
        <w:t xml:space="preserve">De igual manera, existe en el informe de resultados la constancia de que este se notificó al presidente y </w:t>
      </w:r>
      <w:r w:rsidRPr="00C3155A">
        <w:rPr>
          <w:rFonts w:ascii="Abadi" w:hAnsi="Abadi" w:cs="Arial"/>
          <w:sz w:val="21"/>
          <w:szCs w:val="21"/>
          <w:lang w:val="es-MX"/>
        </w:rPr>
        <w:t>al ex-presidente municipales de Dolores Hidalgo Cuna de la Independencia Nacional</w:t>
      </w:r>
      <w:r w:rsidRPr="00C3155A">
        <w:rPr>
          <w:rFonts w:ascii="Abadi" w:hAnsi="Abadi" w:cs="Arial"/>
          <w:sz w:val="21"/>
          <w:szCs w:val="21"/>
        </w:rPr>
        <w:t xml:space="preserve">, Gto., concediéndoles el término señalado en el artículo 37, fracción IV de </w:t>
      </w:r>
      <w:smartTag w:uri="urn:schemas-microsoft-com:office:smarttags" w:element="PersonName">
        <w:smartTagPr>
          <w:attr w:name="ProductID" w:val="la Ley"/>
        </w:smartTagPr>
        <w:r w:rsidRPr="00C3155A">
          <w:rPr>
            <w:rFonts w:ascii="Abadi" w:hAnsi="Abadi" w:cs="Arial"/>
            <w:sz w:val="21"/>
            <w:szCs w:val="21"/>
          </w:rPr>
          <w:t>la Ley</w:t>
        </w:r>
      </w:smartTag>
      <w:r w:rsidRPr="00C3155A">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w:t>
      </w:r>
      <w:r w:rsidRPr="00C3155A">
        <w:rPr>
          <w:rFonts w:ascii="Abadi" w:hAnsi="Abadi" w:cs="Arial"/>
          <w:sz w:val="21"/>
          <w:szCs w:val="21"/>
          <w:lang w:val="es-MX"/>
        </w:rPr>
        <w:t>presidente municipal de Dolores Hidalgo Cuna de la Independencia Nacional</w:t>
      </w:r>
      <w:r w:rsidRPr="00C3155A">
        <w:rPr>
          <w:rFonts w:ascii="Abadi" w:hAnsi="Abadi" w:cs="Arial"/>
          <w:sz w:val="21"/>
          <w:szCs w:val="21"/>
        </w:rPr>
        <w:t>, Gto. En tal virtud, se considera que fue respetado el derecho de audiencia o defensa por parte del Órgano Técnico.</w:t>
      </w:r>
    </w:p>
    <w:p w14:paraId="760290D4" w14:textId="77777777" w:rsidR="00C3155A" w:rsidRPr="00C3155A" w:rsidRDefault="00C3155A" w:rsidP="00C3155A">
      <w:pPr>
        <w:ind w:firstLine="708"/>
        <w:jc w:val="both"/>
        <w:rPr>
          <w:rFonts w:ascii="Abadi" w:hAnsi="Abadi" w:cs="Arial"/>
          <w:sz w:val="21"/>
          <w:szCs w:val="21"/>
        </w:rPr>
      </w:pPr>
    </w:p>
    <w:p w14:paraId="5B7B051B" w14:textId="77777777" w:rsidR="00C3155A" w:rsidRPr="00C3155A" w:rsidRDefault="00C3155A" w:rsidP="00C3155A">
      <w:pPr>
        <w:ind w:firstLine="708"/>
        <w:jc w:val="both"/>
        <w:rPr>
          <w:rFonts w:ascii="Abadi" w:hAnsi="Abadi" w:cs="Arial"/>
          <w:sz w:val="21"/>
          <w:szCs w:val="21"/>
        </w:rPr>
      </w:pPr>
      <w:r w:rsidRPr="00C3155A">
        <w:rPr>
          <w:rFonts w:ascii="Abadi" w:hAnsi="Abadi" w:cs="Arial"/>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197FD2D3" w14:textId="77777777" w:rsidR="00C3155A" w:rsidRPr="00C3155A" w:rsidRDefault="00C3155A" w:rsidP="00C3155A">
      <w:pPr>
        <w:ind w:firstLine="708"/>
        <w:jc w:val="both"/>
        <w:rPr>
          <w:rFonts w:ascii="Abadi" w:hAnsi="Abadi" w:cs="Arial"/>
          <w:sz w:val="21"/>
          <w:szCs w:val="21"/>
        </w:rPr>
      </w:pPr>
    </w:p>
    <w:p w14:paraId="57C79F59" w14:textId="77777777" w:rsidR="00C3155A" w:rsidRPr="00C3155A" w:rsidRDefault="00C3155A" w:rsidP="00C3155A">
      <w:pPr>
        <w:ind w:firstLine="708"/>
        <w:jc w:val="both"/>
        <w:rPr>
          <w:rFonts w:ascii="Abadi" w:hAnsi="Abadi" w:cs="Arial"/>
          <w:sz w:val="21"/>
          <w:szCs w:val="21"/>
        </w:rPr>
      </w:pPr>
      <w:r w:rsidRPr="00C3155A">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20390A1A" w14:textId="77777777" w:rsidR="00C3155A" w:rsidRPr="00C3155A" w:rsidRDefault="00C3155A" w:rsidP="00C3155A">
      <w:pPr>
        <w:ind w:firstLine="708"/>
        <w:jc w:val="both"/>
        <w:rPr>
          <w:rFonts w:ascii="Abadi" w:hAnsi="Abadi" w:cs="Arial"/>
          <w:sz w:val="21"/>
          <w:szCs w:val="21"/>
        </w:rPr>
      </w:pPr>
    </w:p>
    <w:p w14:paraId="47454915" w14:textId="77777777" w:rsidR="00C3155A" w:rsidRPr="00C3155A" w:rsidRDefault="00C3155A" w:rsidP="00C3155A">
      <w:pPr>
        <w:ind w:firstLine="708"/>
        <w:jc w:val="both"/>
        <w:rPr>
          <w:rFonts w:ascii="Abadi" w:hAnsi="Abadi" w:cs="Arial"/>
          <w:sz w:val="21"/>
          <w:szCs w:val="21"/>
        </w:rPr>
      </w:pPr>
      <w:r w:rsidRPr="00C3155A">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1BA036CF" w14:textId="77777777" w:rsidR="00C3155A" w:rsidRPr="00C3155A" w:rsidRDefault="00C3155A" w:rsidP="00C3155A">
      <w:pPr>
        <w:jc w:val="both"/>
        <w:rPr>
          <w:rFonts w:ascii="Abadi" w:hAnsi="Abadi" w:cs="Arial"/>
          <w:sz w:val="21"/>
          <w:szCs w:val="21"/>
        </w:rPr>
      </w:pPr>
    </w:p>
    <w:p w14:paraId="6C63667C" w14:textId="77777777" w:rsidR="00C3155A" w:rsidRPr="00C3155A" w:rsidRDefault="00C3155A" w:rsidP="00C3155A">
      <w:pPr>
        <w:ind w:firstLine="708"/>
        <w:jc w:val="both"/>
        <w:rPr>
          <w:rFonts w:ascii="Abadi" w:hAnsi="Abadi" w:cs="Arial"/>
          <w:sz w:val="21"/>
          <w:szCs w:val="21"/>
        </w:rPr>
      </w:pPr>
      <w:r w:rsidRPr="00C3155A">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3C5F983C" w14:textId="77777777" w:rsidR="00C3155A" w:rsidRPr="00C3155A" w:rsidRDefault="00C3155A" w:rsidP="00C3155A">
      <w:pPr>
        <w:ind w:firstLine="708"/>
        <w:jc w:val="both"/>
        <w:rPr>
          <w:rFonts w:ascii="Abadi" w:hAnsi="Abadi" w:cs="Arial"/>
          <w:sz w:val="21"/>
          <w:szCs w:val="21"/>
        </w:rPr>
      </w:pPr>
    </w:p>
    <w:p w14:paraId="3A6012EF" w14:textId="77777777" w:rsidR="00C3155A" w:rsidRPr="00C3155A" w:rsidRDefault="00C3155A" w:rsidP="00C3155A">
      <w:pPr>
        <w:ind w:firstLine="708"/>
        <w:jc w:val="both"/>
        <w:rPr>
          <w:rFonts w:ascii="Abadi" w:hAnsi="Abadi" w:cs="Arial"/>
          <w:sz w:val="21"/>
          <w:szCs w:val="21"/>
        </w:rPr>
      </w:pPr>
      <w:r w:rsidRPr="00C3155A">
        <w:rPr>
          <w:rFonts w:ascii="Abadi" w:hAnsi="Abadi" w:cs="Arial"/>
          <w:sz w:val="21"/>
          <w:szCs w:val="21"/>
        </w:rPr>
        <w:t xml:space="preserve">En razón de lo anteriormente señalado, concluimos que el informe de resultados de la auditoría practicada </w:t>
      </w:r>
      <w:r w:rsidRPr="00C3155A">
        <w:rPr>
          <w:rFonts w:ascii="Abadi" w:hAnsi="Abadi" w:cs="Arial"/>
          <w:sz w:val="21"/>
          <w:szCs w:val="21"/>
          <w:lang w:val="es-MX"/>
        </w:rPr>
        <w:t xml:space="preserve">a la infraestructura pública municipal respecto de las operaciones realizadas por la administración municipal de Dolores Hidalgo Cuna de la Independencia Nacional, Gto., </w:t>
      </w:r>
      <w:r w:rsidRPr="00C3155A">
        <w:rPr>
          <w:rFonts w:ascii="Abadi" w:hAnsi="Abadi" w:cs="Arial"/>
          <w:sz w:val="21"/>
          <w:szCs w:val="21"/>
        </w:rPr>
        <w:t xml:space="preserve">correspondientes al ejercicio fiscal del año 2020, debe sancionarse por el Congreso en los términos presentados por la Auditoría Superior del Estado y proceder a su aprobación, considerando que no se actualiza el supuesto contenido en el artículo 38 de </w:t>
      </w:r>
      <w:smartTag w:uri="urn:schemas-microsoft-com:office:smarttags" w:element="PersonName">
        <w:smartTagPr>
          <w:attr w:name="ProductID" w:val="la Ley"/>
        </w:smartTagPr>
        <w:r w:rsidRPr="00C3155A">
          <w:rPr>
            <w:rFonts w:ascii="Abadi" w:hAnsi="Abadi" w:cs="Arial"/>
            <w:sz w:val="21"/>
            <w:szCs w:val="21"/>
          </w:rPr>
          <w:t>la Ley</w:t>
        </w:r>
      </w:smartTag>
      <w:r w:rsidRPr="00C3155A">
        <w:rPr>
          <w:rFonts w:ascii="Abadi" w:hAnsi="Abadi" w:cs="Arial"/>
          <w:sz w:val="21"/>
          <w:szCs w:val="21"/>
        </w:rPr>
        <w:t xml:space="preserve"> de Fiscalización Superior del Estado de Guanajuato, razón por la cual no podría ser observado por el Pleno del Congreso.</w:t>
      </w:r>
    </w:p>
    <w:p w14:paraId="12C32C33" w14:textId="77777777" w:rsidR="00C3155A" w:rsidRPr="00C3155A" w:rsidRDefault="00C3155A" w:rsidP="00C3155A">
      <w:pPr>
        <w:ind w:firstLine="708"/>
        <w:jc w:val="both"/>
        <w:rPr>
          <w:rFonts w:ascii="Abadi" w:hAnsi="Abadi" w:cs="Arial"/>
          <w:sz w:val="21"/>
          <w:szCs w:val="21"/>
        </w:rPr>
      </w:pPr>
    </w:p>
    <w:p w14:paraId="64835E0B"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lang w:val="es-MX"/>
        </w:rPr>
        <w:t xml:space="preserve">Por lo expuesto, con fundamento en el artículo 204 de </w:t>
      </w:r>
      <w:smartTag w:uri="urn:schemas-microsoft-com:office:smarttags" w:element="PersonName">
        <w:smartTagPr>
          <w:attr w:name="ProductID" w:val="la Ley Org￡nica"/>
        </w:smartTagPr>
        <w:r w:rsidRPr="00C3155A">
          <w:rPr>
            <w:rFonts w:ascii="Abadi" w:hAnsi="Abadi" w:cs="Arial"/>
            <w:sz w:val="21"/>
            <w:szCs w:val="21"/>
            <w:lang w:val="es-MX"/>
          </w:rPr>
          <w:t>la Ley Orgánica</w:t>
        </w:r>
      </w:smartTag>
      <w:r w:rsidRPr="00C3155A">
        <w:rPr>
          <w:rFonts w:ascii="Abadi" w:hAnsi="Abadi" w:cs="Arial"/>
          <w:sz w:val="21"/>
          <w:szCs w:val="21"/>
          <w:lang w:val="es-MX"/>
        </w:rPr>
        <w:t xml:space="preserve"> del Poder Legislativo, nos permitimos someter a la consideración de </w:t>
      </w:r>
      <w:smartTag w:uri="urn:schemas-microsoft-com:office:smarttags" w:element="PersonName">
        <w:smartTagPr>
          <w:attr w:name="ProductID" w:val="la Asamblea"/>
        </w:smartTagPr>
        <w:r w:rsidRPr="00C3155A">
          <w:rPr>
            <w:rFonts w:ascii="Abadi" w:hAnsi="Abadi" w:cs="Arial"/>
            <w:sz w:val="21"/>
            <w:szCs w:val="21"/>
            <w:lang w:val="es-MX"/>
          </w:rPr>
          <w:t>la Asamblea</w:t>
        </w:r>
      </w:smartTag>
      <w:r w:rsidRPr="00C3155A">
        <w:rPr>
          <w:rFonts w:ascii="Abadi" w:hAnsi="Abadi" w:cs="Arial"/>
          <w:sz w:val="21"/>
          <w:szCs w:val="21"/>
          <w:lang w:val="es-MX"/>
        </w:rPr>
        <w:t>, la aprobación del siguiente:</w:t>
      </w:r>
    </w:p>
    <w:p w14:paraId="1EBBAAB5" w14:textId="77777777" w:rsidR="00C3155A" w:rsidRPr="00C3155A" w:rsidRDefault="00C3155A" w:rsidP="00C3155A">
      <w:pPr>
        <w:ind w:firstLine="708"/>
        <w:jc w:val="both"/>
        <w:rPr>
          <w:rFonts w:ascii="Abadi" w:hAnsi="Abadi" w:cs="Arial"/>
          <w:sz w:val="21"/>
          <w:szCs w:val="21"/>
          <w:lang w:val="es-MX"/>
        </w:rPr>
      </w:pPr>
    </w:p>
    <w:p w14:paraId="2090AC03" w14:textId="77777777" w:rsidR="00C3155A" w:rsidRPr="00C3155A" w:rsidRDefault="00C3155A" w:rsidP="00C3155A">
      <w:pPr>
        <w:keepNext/>
        <w:jc w:val="center"/>
        <w:outlineLvl w:val="0"/>
        <w:rPr>
          <w:rFonts w:ascii="Abadi" w:eastAsia="Arial Unicode MS" w:hAnsi="Abadi" w:cs="Arial"/>
          <w:b/>
          <w:bCs/>
          <w:smallCaps/>
          <w:sz w:val="21"/>
          <w:szCs w:val="21"/>
        </w:rPr>
      </w:pPr>
      <w:r w:rsidRPr="00C3155A">
        <w:rPr>
          <w:rFonts w:ascii="Abadi" w:eastAsia="Arial Unicode MS" w:hAnsi="Abadi" w:cs="Arial"/>
          <w:b/>
          <w:bCs/>
          <w:smallCaps/>
          <w:sz w:val="21"/>
          <w:szCs w:val="21"/>
        </w:rPr>
        <w:t>A C U E R D O</w:t>
      </w:r>
    </w:p>
    <w:p w14:paraId="6923A2CA" w14:textId="77777777" w:rsidR="00C3155A" w:rsidRPr="00C3155A" w:rsidRDefault="00C3155A" w:rsidP="00C3155A">
      <w:pPr>
        <w:rPr>
          <w:rFonts w:ascii="Abadi" w:hAnsi="Abadi" w:cs="Arial"/>
          <w:sz w:val="21"/>
          <w:szCs w:val="21"/>
          <w:lang w:val="es-MX"/>
        </w:rPr>
      </w:pPr>
    </w:p>
    <w:p w14:paraId="172905F6"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b/>
          <w:sz w:val="21"/>
          <w:szCs w:val="21"/>
        </w:rPr>
        <w:t>Único.</w:t>
      </w:r>
      <w:r w:rsidRPr="00C3155A">
        <w:rPr>
          <w:rFonts w:ascii="Abadi" w:hAnsi="Abadi" w:cs="Arial"/>
          <w:sz w:val="21"/>
          <w:szCs w:val="21"/>
        </w:rPr>
        <w:t xml:space="preserve"> </w:t>
      </w:r>
      <w:r w:rsidRPr="00C3155A">
        <w:rPr>
          <w:rFonts w:ascii="Abadi" w:hAnsi="Abadi" w:cs="Arial"/>
          <w:sz w:val="21"/>
          <w:szCs w:val="21"/>
          <w:lang w:val="es-MX"/>
        </w:rPr>
        <w:t xml:space="preserve">Con fundamento en el artículo 63 fracción XIX de </w:t>
      </w:r>
      <w:smartTag w:uri="urn:schemas-microsoft-com:office:smarttags" w:element="PersonName">
        <w:smartTagPr>
          <w:attr w:name="ProductID" w:val="la Constituci￳n Pol￭tica"/>
        </w:smartTagPr>
        <w:r w:rsidRPr="00C3155A">
          <w:rPr>
            <w:rFonts w:ascii="Abadi" w:hAnsi="Abadi" w:cs="Arial"/>
            <w:sz w:val="21"/>
            <w:szCs w:val="21"/>
            <w:lang w:val="es-MX"/>
          </w:rPr>
          <w:t>la Constitución Política</w:t>
        </w:r>
      </w:smartTag>
      <w:r w:rsidRPr="00C3155A">
        <w:rPr>
          <w:rFonts w:ascii="Abadi" w:hAnsi="Abadi" w:cs="Arial"/>
          <w:sz w:val="21"/>
          <w:szCs w:val="21"/>
          <w:lang w:val="es-MX"/>
        </w:rPr>
        <w:t xml:space="preserve"> para el Estado, en relación con el artículo 37, fracciones V y VI de la Ley de Fiscalización Superior del Estado de Guanajuato, se aprueba el informe de resultados formulado por la Auditoría Superior del Estado de Guanajuato, relativo a la auditoría practicada a la infraestructura pública municipal respecto de las operaciones realizadas por la administración municipal de Dolores Hidalgo Cuna de la Independencia Nacional, Gto., correspondientes al periodo comprendido del 1 de enero al 31 de diciembre del ejercicio fiscal del año 2020.</w:t>
      </w:r>
    </w:p>
    <w:p w14:paraId="1BD67B65" w14:textId="77777777" w:rsidR="00C3155A" w:rsidRPr="00C3155A" w:rsidRDefault="00C3155A" w:rsidP="00C3155A">
      <w:pPr>
        <w:ind w:firstLine="708"/>
        <w:jc w:val="both"/>
        <w:rPr>
          <w:rFonts w:ascii="Abadi" w:hAnsi="Abadi" w:cs="Arial"/>
          <w:sz w:val="21"/>
          <w:szCs w:val="21"/>
          <w:lang w:val="es-MX"/>
        </w:rPr>
      </w:pPr>
    </w:p>
    <w:p w14:paraId="0E48A10B"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C3155A">
        <w:rPr>
          <w:rFonts w:ascii="Abadi" w:hAnsi="Abadi" w:cs="Arial"/>
          <w:sz w:val="21"/>
          <w:szCs w:val="21"/>
          <w:lang w:val="es-MX"/>
        </w:rPr>
        <w:t xml:space="preserve">. </w:t>
      </w:r>
      <w:r w:rsidRPr="00C3155A">
        <w:rPr>
          <w:rFonts w:ascii="Abadi" w:hAnsi="Abadi" w:cs="Arial"/>
          <w:sz w:val="21"/>
          <w:szCs w:val="21"/>
        </w:rPr>
        <w:t>Asimismo, dará seguimiento a las observaciones no solventadas contenidas en el informe de resultados</w:t>
      </w:r>
      <w:r w:rsidRPr="00C3155A">
        <w:rPr>
          <w:rFonts w:ascii="Abadi" w:hAnsi="Abadi" w:cs="Arial"/>
          <w:sz w:val="21"/>
          <w:szCs w:val="21"/>
          <w:lang w:val="es-MX"/>
        </w:rPr>
        <w:t>.</w:t>
      </w:r>
    </w:p>
    <w:p w14:paraId="1356E430" w14:textId="77777777" w:rsidR="00C3155A" w:rsidRPr="00C3155A" w:rsidRDefault="00C3155A" w:rsidP="00C3155A">
      <w:pPr>
        <w:ind w:firstLine="708"/>
        <w:jc w:val="both"/>
        <w:rPr>
          <w:rFonts w:ascii="Abadi" w:hAnsi="Abadi" w:cs="Arial"/>
          <w:sz w:val="21"/>
          <w:szCs w:val="21"/>
        </w:rPr>
      </w:pPr>
      <w:r w:rsidRPr="00C3155A">
        <w:rPr>
          <w:rFonts w:ascii="Abadi" w:hAnsi="Abadi" w:cs="Arial"/>
          <w:sz w:val="21"/>
          <w:szCs w:val="21"/>
        </w:rPr>
        <w:t>Del proceso de fiscalización no se desprendieron recomendaciones.</w:t>
      </w:r>
    </w:p>
    <w:p w14:paraId="077CB9F7" w14:textId="77777777" w:rsidR="00C3155A" w:rsidRPr="00C3155A" w:rsidRDefault="00C3155A" w:rsidP="00C3155A">
      <w:pPr>
        <w:ind w:firstLine="708"/>
        <w:jc w:val="both"/>
        <w:rPr>
          <w:rFonts w:ascii="Abadi" w:hAnsi="Abadi" w:cs="Arial"/>
          <w:sz w:val="21"/>
          <w:szCs w:val="21"/>
          <w:lang w:val="es-MX" w:eastAsia="x-none"/>
        </w:rPr>
      </w:pPr>
    </w:p>
    <w:p w14:paraId="56F6F8DE" w14:textId="77777777" w:rsidR="00C3155A" w:rsidRPr="00C3155A" w:rsidRDefault="00C3155A" w:rsidP="00C3155A">
      <w:pPr>
        <w:ind w:firstLine="708"/>
        <w:jc w:val="both"/>
        <w:rPr>
          <w:rFonts w:ascii="Abadi" w:hAnsi="Abadi" w:cs="Arial"/>
          <w:sz w:val="21"/>
          <w:szCs w:val="21"/>
          <w:lang w:val="es-MX"/>
        </w:rPr>
      </w:pPr>
      <w:r w:rsidRPr="00C3155A">
        <w:rPr>
          <w:rFonts w:ascii="Abadi" w:hAnsi="Abadi" w:cs="Arial"/>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C3155A">
        <w:rPr>
          <w:rFonts w:ascii="Abadi" w:hAnsi="Abadi" w:cs="Arial"/>
          <w:sz w:val="21"/>
          <w:szCs w:val="21"/>
          <w:lang w:val="es-MX"/>
        </w:rPr>
        <w:t>.</w:t>
      </w:r>
    </w:p>
    <w:p w14:paraId="5BB64911" w14:textId="77777777" w:rsidR="00C3155A" w:rsidRPr="00C3155A" w:rsidRDefault="00C3155A" w:rsidP="00C3155A">
      <w:pPr>
        <w:ind w:firstLine="708"/>
        <w:jc w:val="both"/>
        <w:rPr>
          <w:rFonts w:ascii="Abadi" w:hAnsi="Abadi" w:cs="Arial"/>
          <w:sz w:val="21"/>
          <w:szCs w:val="21"/>
          <w:lang w:val="es-MX"/>
        </w:rPr>
      </w:pPr>
    </w:p>
    <w:p w14:paraId="7B1E0B02" w14:textId="77777777" w:rsidR="00C3155A" w:rsidRPr="00C3155A" w:rsidRDefault="00C3155A" w:rsidP="00C3155A">
      <w:pPr>
        <w:jc w:val="center"/>
        <w:rPr>
          <w:rFonts w:ascii="Abadi" w:hAnsi="Abadi" w:cs="Arial"/>
          <w:b/>
          <w:bCs/>
          <w:sz w:val="21"/>
          <w:szCs w:val="21"/>
          <w:lang w:val="es-MX" w:eastAsia="x-none"/>
        </w:rPr>
      </w:pPr>
      <w:r w:rsidRPr="00C3155A">
        <w:rPr>
          <w:rFonts w:ascii="Abadi" w:hAnsi="Abadi" w:cs="Arial"/>
          <w:b/>
          <w:bCs/>
          <w:sz w:val="21"/>
          <w:szCs w:val="21"/>
          <w:lang w:val="es-MX" w:eastAsia="x-none"/>
        </w:rPr>
        <w:t>Guanajuato, Gto., 14 de junio de 2022</w:t>
      </w:r>
    </w:p>
    <w:p w14:paraId="4A9932E7" w14:textId="77777777" w:rsidR="00C3155A" w:rsidRPr="00C3155A" w:rsidRDefault="00C3155A" w:rsidP="00C3155A">
      <w:pPr>
        <w:jc w:val="center"/>
        <w:rPr>
          <w:rFonts w:ascii="Abadi" w:hAnsi="Abadi" w:cs="Arial"/>
          <w:b/>
          <w:bCs/>
          <w:sz w:val="21"/>
          <w:szCs w:val="21"/>
          <w:lang w:val="es-MX" w:eastAsia="x-none"/>
        </w:rPr>
      </w:pPr>
      <w:smartTag w:uri="urn:schemas-microsoft-com:office:smarttags" w:element="PersonName">
        <w:smartTagPr>
          <w:attr w:name="ProductID" w:val="La Comisi￳n"/>
        </w:smartTagPr>
        <w:r w:rsidRPr="00C3155A">
          <w:rPr>
            <w:rFonts w:ascii="Abadi" w:hAnsi="Abadi" w:cs="Arial"/>
            <w:b/>
            <w:bCs/>
            <w:sz w:val="21"/>
            <w:szCs w:val="21"/>
            <w:lang w:val="es-MX" w:eastAsia="x-none"/>
          </w:rPr>
          <w:t>La Comisión</w:t>
        </w:r>
      </w:smartTag>
      <w:r w:rsidRPr="00C3155A">
        <w:rPr>
          <w:rFonts w:ascii="Abadi" w:hAnsi="Abadi" w:cs="Arial"/>
          <w:b/>
          <w:bCs/>
          <w:sz w:val="21"/>
          <w:szCs w:val="21"/>
          <w:lang w:val="es-MX" w:eastAsia="x-none"/>
        </w:rPr>
        <w:t xml:space="preserve"> de Hacienda y Fiscalización</w:t>
      </w:r>
    </w:p>
    <w:p w14:paraId="7242A666" w14:textId="77777777" w:rsidR="00C3155A" w:rsidRPr="00C3155A" w:rsidRDefault="00C3155A" w:rsidP="00C3155A">
      <w:pPr>
        <w:jc w:val="center"/>
        <w:rPr>
          <w:rFonts w:ascii="Abadi" w:hAnsi="Abadi" w:cs="Arial"/>
          <w:sz w:val="21"/>
          <w:szCs w:val="21"/>
          <w:lang w:val="es-MX"/>
        </w:rPr>
      </w:pPr>
    </w:p>
    <w:p w14:paraId="01F69922" w14:textId="77777777" w:rsidR="00C3155A" w:rsidRPr="00C3155A" w:rsidRDefault="00C3155A" w:rsidP="00C3155A">
      <w:pPr>
        <w:jc w:val="center"/>
        <w:rPr>
          <w:rFonts w:ascii="Abadi" w:hAnsi="Abadi" w:cs="Arial"/>
          <w:sz w:val="21"/>
          <w:szCs w:val="21"/>
          <w:lang w:val="es-MX"/>
        </w:rPr>
      </w:pPr>
    </w:p>
    <w:p w14:paraId="6C5D6D6A" w14:textId="77777777" w:rsidR="00C3155A" w:rsidRPr="00C3155A" w:rsidRDefault="00C3155A" w:rsidP="00C3155A">
      <w:pPr>
        <w:jc w:val="center"/>
        <w:rPr>
          <w:rFonts w:ascii="Abadi" w:hAnsi="Abadi" w:cs="Arial"/>
          <w:sz w:val="21"/>
          <w:szCs w:val="21"/>
          <w:lang w:val="es-MX"/>
        </w:rPr>
      </w:pPr>
      <w:r w:rsidRPr="00C3155A">
        <w:rPr>
          <w:rFonts w:ascii="Abadi" w:hAnsi="Abadi" w:cs="Arial"/>
          <w:b/>
          <w:sz w:val="21"/>
          <w:szCs w:val="21"/>
          <w:lang w:val="es-MX" w:eastAsia="x-none"/>
        </w:rPr>
        <w:t>Diputado Víctor Manuel Zanella Huerta</w:t>
      </w:r>
    </w:p>
    <w:p w14:paraId="53EBB9F9" w14:textId="77777777" w:rsidR="00C3155A" w:rsidRPr="00C3155A" w:rsidRDefault="00C3155A" w:rsidP="00C3155A">
      <w:pPr>
        <w:rPr>
          <w:rFonts w:ascii="Abadi" w:hAnsi="Abadi" w:cs="Arial"/>
          <w:b/>
          <w:bCs/>
          <w:sz w:val="21"/>
          <w:szCs w:val="21"/>
          <w:lang w:val="es-MX" w:eastAsia="x-none"/>
        </w:rPr>
      </w:pPr>
    </w:p>
    <w:p w14:paraId="154A6418" w14:textId="415D761B" w:rsidR="00C3155A" w:rsidRPr="00C3155A" w:rsidRDefault="00C3155A" w:rsidP="00C3155A">
      <w:pPr>
        <w:jc w:val="center"/>
        <w:rPr>
          <w:rFonts w:ascii="Abadi" w:hAnsi="Abadi" w:cs="Arial"/>
          <w:b/>
          <w:sz w:val="21"/>
          <w:szCs w:val="21"/>
          <w:lang w:val="es-MX" w:eastAsia="x-none"/>
        </w:rPr>
      </w:pPr>
      <w:r w:rsidRPr="00C3155A">
        <w:rPr>
          <w:rFonts w:ascii="Abadi" w:hAnsi="Abadi" w:cs="Arial"/>
          <w:b/>
          <w:sz w:val="21"/>
          <w:szCs w:val="21"/>
          <w:lang w:val="es-MX" w:eastAsia="x-none"/>
        </w:rPr>
        <w:t>Diputada Ruth Noemí Tiscareño Agoitia</w:t>
      </w:r>
    </w:p>
    <w:p w14:paraId="61EEB001" w14:textId="77777777" w:rsidR="00C3155A" w:rsidRPr="00C3155A" w:rsidRDefault="00C3155A" w:rsidP="00C3155A">
      <w:pPr>
        <w:jc w:val="center"/>
        <w:rPr>
          <w:rFonts w:ascii="Abadi" w:hAnsi="Abadi" w:cs="Arial"/>
          <w:b/>
          <w:sz w:val="21"/>
          <w:szCs w:val="21"/>
          <w:lang w:val="es-MX" w:eastAsia="x-none"/>
        </w:rPr>
      </w:pPr>
    </w:p>
    <w:p w14:paraId="1CE2F48D" w14:textId="3988CB4B" w:rsidR="00C3155A" w:rsidRPr="00C3155A" w:rsidRDefault="00C3155A" w:rsidP="00C3155A">
      <w:pPr>
        <w:jc w:val="center"/>
        <w:rPr>
          <w:rFonts w:ascii="Abadi" w:hAnsi="Abadi" w:cs="Arial"/>
          <w:b/>
          <w:sz w:val="21"/>
          <w:szCs w:val="21"/>
          <w:lang w:val="es-MX" w:eastAsia="x-none"/>
        </w:rPr>
      </w:pPr>
      <w:r w:rsidRPr="00C3155A">
        <w:rPr>
          <w:rFonts w:ascii="Abadi" w:hAnsi="Abadi" w:cs="Arial"/>
          <w:b/>
          <w:sz w:val="21"/>
          <w:szCs w:val="21"/>
          <w:lang w:val="es-MX" w:eastAsia="x-none"/>
        </w:rPr>
        <w:t>Diputado Miguel Ángel Salim Alle</w:t>
      </w:r>
    </w:p>
    <w:p w14:paraId="4619875C" w14:textId="77777777" w:rsidR="00C3155A" w:rsidRPr="00C3155A" w:rsidRDefault="00C3155A" w:rsidP="00C3155A">
      <w:pPr>
        <w:rPr>
          <w:rFonts w:ascii="Abadi" w:hAnsi="Abadi" w:cs="Arial"/>
          <w:b/>
          <w:sz w:val="21"/>
          <w:szCs w:val="21"/>
          <w:lang w:val="es-MX" w:eastAsia="x-none"/>
        </w:rPr>
      </w:pPr>
    </w:p>
    <w:p w14:paraId="5C6AB860" w14:textId="4FEBBBC9" w:rsidR="00C3155A" w:rsidRPr="00C3155A" w:rsidRDefault="00C3155A" w:rsidP="00C3155A">
      <w:pPr>
        <w:jc w:val="center"/>
        <w:rPr>
          <w:rFonts w:ascii="Abadi" w:hAnsi="Abadi" w:cs="Arial"/>
          <w:b/>
          <w:sz w:val="21"/>
          <w:szCs w:val="21"/>
          <w:lang w:val="es-MX" w:eastAsia="x-none"/>
        </w:rPr>
      </w:pPr>
      <w:r w:rsidRPr="00C3155A">
        <w:rPr>
          <w:rFonts w:ascii="Abadi" w:hAnsi="Abadi" w:cs="Arial"/>
          <w:b/>
          <w:sz w:val="21"/>
          <w:szCs w:val="21"/>
          <w:lang w:val="es-MX" w:eastAsia="x-none"/>
        </w:rPr>
        <w:t>Diputado José Alfonso Borja Pimentel</w:t>
      </w:r>
    </w:p>
    <w:p w14:paraId="225DADB9" w14:textId="77777777" w:rsidR="00C3155A" w:rsidRPr="00C3155A" w:rsidRDefault="00C3155A" w:rsidP="00C3155A">
      <w:pPr>
        <w:rPr>
          <w:rFonts w:ascii="Abadi" w:hAnsi="Abadi" w:cs="Arial"/>
          <w:b/>
          <w:sz w:val="21"/>
          <w:szCs w:val="21"/>
          <w:lang w:val="es-MX" w:eastAsia="x-none"/>
        </w:rPr>
      </w:pPr>
    </w:p>
    <w:p w14:paraId="7EDE4647" w14:textId="77777777" w:rsidR="00C3155A" w:rsidRPr="00C3155A" w:rsidRDefault="00C3155A" w:rsidP="00C3155A">
      <w:pPr>
        <w:jc w:val="center"/>
        <w:rPr>
          <w:rFonts w:ascii="Abadi" w:hAnsi="Abadi" w:cs="Arial"/>
          <w:b/>
          <w:sz w:val="21"/>
          <w:szCs w:val="21"/>
          <w:lang w:val="es-MX" w:eastAsia="x-none"/>
        </w:rPr>
      </w:pPr>
      <w:r w:rsidRPr="00C3155A">
        <w:rPr>
          <w:rFonts w:ascii="Abadi" w:hAnsi="Abadi" w:cs="Arial"/>
          <w:b/>
          <w:sz w:val="21"/>
          <w:szCs w:val="21"/>
          <w:lang w:val="es-MX" w:eastAsia="x-none"/>
        </w:rPr>
        <w:t>Diputada Alma Edwviges Alcaraz Hernández</w:t>
      </w:r>
    </w:p>
    <w:p w14:paraId="284E6FF0" w14:textId="6429217A" w:rsidR="00DB792E" w:rsidRDefault="00DB792E" w:rsidP="00DB792E">
      <w:pPr>
        <w:tabs>
          <w:tab w:val="left" w:pos="856"/>
        </w:tabs>
        <w:kinsoku w:val="0"/>
        <w:overflowPunct w:val="0"/>
        <w:autoSpaceDE w:val="0"/>
        <w:autoSpaceDN w:val="0"/>
        <w:adjustRightInd w:val="0"/>
        <w:ind w:left="360" w:right="17"/>
        <w:jc w:val="both"/>
        <w:rPr>
          <w:rFonts w:ascii="Abadi" w:hAnsi="Abadi"/>
          <w:sz w:val="20"/>
          <w:szCs w:val="20"/>
        </w:rPr>
      </w:pPr>
    </w:p>
    <w:p w14:paraId="18F6369D" w14:textId="77777777" w:rsidR="00DB792E" w:rsidRPr="00DB792E" w:rsidRDefault="00DB792E" w:rsidP="00DB792E">
      <w:pPr>
        <w:tabs>
          <w:tab w:val="left" w:pos="856"/>
        </w:tabs>
        <w:kinsoku w:val="0"/>
        <w:overflowPunct w:val="0"/>
        <w:autoSpaceDE w:val="0"/>
        <w:autoSpaceDN w:val="0"/>
        <w:adjustRightInd w:val="0"/>
        <w:ind w:left="360" w:right="17"/>
        <w:jc w:val="both"/>
        <w:rPr>
          <w:rFonts w:ascii="Abadi" w:hAnsi="Abadi"/>
          <w:sz w:val="20"/>
          <w:szCs w:val="20"/>
        </w:rPr>
      </w:pPr>
    </w:p>
    <w:p w14:paraId="31439E5D" w14:textId="64684295" w:rsidR="00642028" w:rsidRDefault="00642028" w:rsidP="005433FA">
      <w:pPr>
        <w:pStyle w:val="Prrafodelista"/>
        <w:numPr>
          <w:ilvl w:val="0"/>
          <w:numId w:val="9"/>
        </w:numPr>
        <w:tabs>
          <w:tab w:val="left" w:pos="856"/>
        </w:tabs>
        <w:kinsoku w:val="0"/>
        <w:overflowPunct w:val="0"/>
        <w:autoSpaceDE w:val="0"/>
        <w:autoSpaceDN w:val="0"/>
        <w:adjustRightInd w:val="0"/>
        <w:spacing w:before="22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0"/>
          <w:sz w:val="20"/>
          <w:szCs w:val="20"/>
        </w:rPr>
        <w:t xml:space="preserve"> </w:t>
      </w:r>
      <w:r w:rsidRPr="00531B12">
        <w:rPr>
          <w:rFonts w:ascii="Abadi" w:hAnsi="Abadi"/>
          <w:b/>
          <w:bCs/>
          <w:sz w:val="20"/>
          <w:szCs w:val="20"/>
        </w:rPr>
        <w:t>EN</w:t>
      </w:r>
      <w:r w:rsidRPr="00531B12">
        <w:rPr>
          <w:rFonts w:ascii="Abadi" w:hAnsi="Abadi"/>
          <w:b/>
          <w:bCs/>
          <w:spacing w:val="10"/>
          <w:sz w:val="20"/>
          <w:szCs w:val="20"/>
        </w:rPr>
        <w:t xml:space="preserve"> </w:t>
      </w:r>
      <w:r w:rsidRPr="00531B12">
        <w:rPr>
          <w:rFonts w:ascii="Abadi" w:hAnsi="Abadi"/>
          <w:b/>
          <w:bCs/>
          <w:sz w:val="20"/>
          <w:szCs w:val="20"/>
        </w:rPr>
        <w:t>SU</w:t>
      </w:r>
      <w:r w:rsidRPr="00531B12">
        <w:rPr>
          <w:rFonts w:ascii="Abadi" w:hAnsi="Abadi"/>
          <w:b/>
          <w:bCs/>
          <w:spacing w:val="10"/>
          <w:sz w:val="20"/>
          <w:szCs w:val="20"/>
        </w:rPr>
        <w:t xml:space="preserve"> </w:t>
      </w:r>
      <w:r w:rsidRPr="00531B12">
        <w:rPr>
          <w:rFonts w:ascii="Abadi" w:hAnsi="Abadi"/>
          <w:b/>
          <w:bCs/>
          <w:sz w:val="20"/>
          <w:szCs w:val="20"/>
        </w:rPr>
        <w:t>CASO,</w:t>
      </w:r>
      <w:r w:rsidRPr="00531B12">
        <w:rPr>
          <w:rFonts w:ascii="Abadi" w:hAnsi="Abadi"/>
          <w:b/>
          <w:bCs/>
          <w:spacing w:val="10"/>
          <w:sz w:val="20"/>
          <w:szCs w:val="20"/>
        </w:rPr>
        <w:t xml:space="preserve"> </w:t>
      </w:r>
      <w:r w:rsidRPr="00531B12">
        <w:rPr>
          <w:rFonts w:ascii="Abadi" w:hAnsi="Abadi"/>
          <w:b/>
          <w:bCs/>
          <w:sz w:val="20"/>
          <w:szCs w:val="20"/>
        </w:rPr>
        <w:t>APROBACIÓN</w:t>
      </w:r>
      <w:r w:rsidRPr="00531B12">
        <w:rPr>
          <w:rFonts w:ascii="Abadi" w:hAnsi="Abadi"/>
          <w:b/>
          <w:bCs/>
          <w:spacing w:val="10"/>
          <w:sz w:val="20"/>
          <w:szCs w:val="20"/>
        </w:rPr>
        <w:t xml:space="preserve"> </w:t>
      </w:r>
      <w:r w:rsidRPr="00531B12">
        <w:rPr>
          <w:rFonts w:ascii="Abadi" w:hAnsi="Abadi"/>
          <w:b/>
          <w:bCs/>
          <w:sz w:val="20"/>
          <w:szCs w:val="20"/>
        </w:rPr>
        <w:t>DEL</w:t>
      </w:r>
      <w:r w:rsidRPr="00531B12">
        <w:rPr>
          <w:rFonts w:ascii="Abadi" w:hAnsi="Abadi"/>
          <w:b/>
          <w:bCs/>
          <w:spacing w:val="10"/>
          <w:sz w:val="20"/>
          <w:szCs w:val="20"/>
        </w:rPr>
        <w:t xml:space="preserve"> </w:t>
      </w:r>
      <w:r w:rsidRPr="00531B12">
        <w:rPr>
          <w:rFonts w:ascii="Abadi" w:hAnsi="Abadi"/>
          <w:b/>
          <w:bCs/>
          <w:sz w:val="20"/>
          <w:szCs w:val="20"/>
        </w:rPr>
        <w:t>DICTAMEN</w:t>
      </w:r>
      <w:r w:rsidRPr="00531B12">
        <w:rPr>
          <w:rFonts w:ascii="Abadi" w:hAnsi="Abadi"/>
          <w:b/>
          <w:bCs/>
          <w:spacing w:val="10"/>
          <w:sz w:val="20"/>
          <w:szCs w:val="20"/>
        </w:rPr>
        <w:t xml:space="preserve"> </w:t>
      </w:r>
      <w:r w:rsidRPr="00531B12">
        <w:rPr>
          <w:rFonts w:ascii="Abadi" w:hAnsi="Abadi"/>
          <w:b/>
          <w:bCs/>
          <w:sz w:val="20"/>
          <w:szCs w:val="20"/>
        </w:rPr>
        <w:t>SIGNADO</w:t>
      </w:r>
      <w:r w:rsidRPr="00531B12">
        <w:rPr>
          <w:rFonts w:ascii="Abadi" w:hAnsi="Abadi"/>
          <w:b/>
          <w:bCs/>
          <w:spacing w:val="10"/>
          <w:sz w:val="20"/>
          <w:szCs w:val="20"/>
        </w:rPr>
        <w:t xml:space="preserve"> </w:t>
      </w:r>
      <w:r w:rsidRPr="00531B12">
        <w:rPr>
          <w:rFonts w:ascii="Abadi" w:hAnsi="Abadi"/>
          <w:b/>
          <w:bCs/>
          <w:sz w:val="20"/>
          <w:szCs w:val="20"/>
        </w:rPr>
        <w:t>POR</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COMISIÓN</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HACIENDA</w:t>
      </w:r>
      <w:r w:rsidRPr="00531B12">
        <w:rPr>
          <w:rFonts w:ascii="Abadi" w:hAnsi="Abadi"/>
          <w:b/>
          <w:bCs/>
          <w:spacing w:val="-2"/>
          <w:sz w:val="20"/>
          <w:szCs w:val="20"/>
        </w:rPr>
        <w:t xml:space="preserve"> </w:t>
      </w:r>
      <w:r w:rsidRPr="00531B12">
        <w:rPr>
          <w:rFonts w:ascii="Abadi" w:hAnsi="Abadi"/>
          <w:b/>
          <w:bCs/>
          <w:sz w:val="20"/>
          <w:szCs w:val="20"/>
        </w:rPr>
        <w:t>Y</w:t>
      </w:r>
      <w:r w:rsidRPr="00531B12">
        <w:rPr>
          <w:rFonts w:ascii="Abadi" w:hAnsi="Abadi"/>
          <w:b/>
          <w:bCs/>
          <w:spacing w:val="-2"/>
          <w:sz w:val="20"/>
          <w:szCs w:val="20"/>
        </w:rPr>
        <w:t xml:space="preserve"> </w:t>
      </w:r>
      <w:r w:rsidRPr="00531B12">
        <w:rPr>
          <w:rFonts w:ascii="Abadi" w:hAnsi="Abadi"/>
          <w:b/>
          <w:bCs/>
          <w:sz w:val="20"/>
          <w:szCs w:val="20"/>
        </w:rPr>
        <w:t>FISCALIZACIÓN</w:t>
      </w:r>
      <w:r w:rsidRPr="00531B12">
        <w:rPr>
          <w:rFonts w:ascii="Abadi" w:hAnsi="Abadi"/>
          <w:b/>
          <w:bCs/>
          <w:spacing w:val="-2"/>
          <w:sz w:val="20"/>
          <w:szCs w:val="20"/>
        </w:rPr>
        <w:t xml:space="preserve"> </w:t>
      </w:r>
      <w:r w:rsidRPr="00531B12">
        <w:rPr>
          <w:rFonts w:ascii="Abadi" w:hAnsi="Abadi"/>
          <w:b/>
          <w:bCs/>
          <w:sz w:val="20"/>
          <w:szCs w:val="20"/>
        </w:rPr>
        <w:t>RELATIVO</w:t>
      </w:r>
      <w:r w:rsidRPr="00531B12">
        <w:rPr>
          <w:rFonts w:ascii="Abadi" w:hAnsi="Abadi"/>
          <w:b/>
          <w:bCs/>
          <w:spacing w:val="-2"/>
          <w:sz w:val="20"/>
          <w:szCs w:val="20"/>
        </w:rPr>
        <w:t xml:space="preserve"> </w:t>
      </w:r>
      <w:r w:rsidRPr="00531B12">
        <w:rPr>
          <w:rFonts w:ascii="Abadi" w:hAnsi="Abadi"/>
          <w:b/>
          <w:bCs/>
          <w:sz w:val="20"/>
          <w:szCs w:val="20"/>
        </w:rPr>
        <w:t>AL</w:t>
      </w:r>
      <w:r w:rsidRPr="00531B12">
        <w:rPr>
          <w:rFonts w:ascii="Abadi" w:hAnsi="Abadi"/>
          <w:b/>
          <w:bCs/>
          <w:spacing w:val="-2"/>
          <w:sz w:val="20"/>
          <w:szCs w:val="20"/>
        </w:rPr>
        <w:t xml:space="preserve"> </w:t>
      </w:r>
      <w:r w:rsidRPr="00531B12">
        <w:rPr>
          <w:rFonts w:ascii="Abadi" w:hAnsi="Abadi"/>
          <w:b/>
          <w:bCs/>
          <w:sz w:val="20"/>
          <w:szCs w:val="20"/>
        </w:rPr>
        <w:t>INFORME</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RESULTADOS</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LA</w:t>
      </w:r>
      <w:r w:rsidRPr="00531B12">
        <w:rPr>
          <w:rFonts w:ascii="Abadi" w:hAnsi="Abadi"/>
          <w:b/>
          <w:bCs/>
          <w:spacing w:val="-2"/>
          <w:sz w:val="20"/>
          <w:szCs w:val="20"/>
        </w:rPr>
        <w:t xml:space="preserve"> </w:t>
      </w:r>
      <w:r w:rsidRPr="00531B12">
        <w:rPr>
          <w:rFonts w:ascii="Abadi" w:hAnsi="Abadi"/>
          <w:b/>
          <w:bCs/>
          <w:sz w:val="20"/>
          <w:szCs w:val="20"/>
        </w:rPr>
        <w:t>AUDITORÍA</w:t>
      </w:r>
      <w:r w:rsidRPr="00531B12">
        <w:rPr>
          <w:rFonts w:ascii="Abadi" w:hAnsi="Abadi"/>
          <w:b/>
          <w:bCs/>
          <w:spacing w:val="-1"/>
          <w:sz w:val="20"/>
          <w:szCs w:val="20"/>
        </w:rPr>
        <w:t xml:space="preserve"> </w:t>
      </w:r>
      <w:r w:rsidRPr="00531B12">
        <w:rPr>
          <w:rFonts w:ascii="Abadi" w:hAnsi="Abadi"/>
          <w:b/>
          <w:bCs/>
          <w:sz w:val="20"/>
          <w:szCs w:val="20"/>
        </w:rPr>
        <w:t>PRACTICADA</w:t>
      </w:r>
      <w:r w:rsidRPr="00531B12">
        <w:rPr>
          <w:rFonts w:ascii="Abadi" w:hAnsi="Abadi"/>
          <w:b/>
          <w:bCs/>
          <w:spacing w:val="59"/>
          <w:w w:val="150"/>
          <w:sz w:val="20"/>
          <w:szCs w:val="20"/>
        </w:rPr>
        <w:t xml:space="preserve"> </w:t>
      </w:r>
      <w:r w:rsidRPr="00531B12">
        <w:rPr>
          <w:rFonts w:ascii="Abadi" w:hAnsi="Abadi"/>
          <w:b/>
          <w:bCs/>
          <w:sz w:val="20"/>
          <w:szCs w:val="20"/>
        </w:rPr>
        <w:t>POR</w:t>
      </w:r>
      <w:r w:rsidRPr="00531B12">
        <w:rPr>
          <w:rFonts w:ascii="Abadi" w:hAnsi="Abadi"/>
          <w:b/>
          <w:bCs/>
          <w:spacing w:val="58"/>
          <w:w w:val="150"/>
          <w:sz w:val="20"/>
          <w:szCs w:val="20"/>
        </w:rPr>
        <w:t xml:space="preserve"> </w:t>
      </w:r>
      <w:r w:rsidRPr="00531B12">
        <w:rPr>
          <w:rFonts w:ascii="Abadi" w:hAnsi="Abadi"/>
          <w:b/>
          <w:bCs/>
          <w:sz w:val="20"/>
          <w:szCs w:val="20"/>
        </w:rPr>
        <w:t>LA</w:t>
      </w:r>
      <w:r w:rsidRPr="00531B12">
        <w:rPr>
          <w:rFonts w:ascii="Abadi" w:hAnsi="Abadi"/>
          <w:b/>
          <w:bCs/>
          <w:spacing w:val="58"/>
          <w:w w:val="150"/>
          <w:sz w:val="20"/>
          <w:szCs w:val="20"/>
        </w:rPr>
        <w:t xml:space="preserve"> </w:t>
      </w:r>
      <w:r w:rsidRPr="00531B12">
        <w:rPr>
          <w:rFonts w:ascii="Abadi" w:hAnsi="Abadi"/>
          <w:b/>
          <w:bCs/>
          <w:sz w:val="20"/>
          <w:szCs w:val="20"/>
        </w:rPr>
        <w:t>AUDITORÍA</w:t>
      </w:r>
      <w:r w:rsidRPr="00531B12">
        <w:rPr>
          <w:rFonts w:ascii="Abadi" w:hAnsi="Abadi"/>
          <w:b/>
          <w:bCs/>
          <w:spacing w:val="58"/>
          <w:w w:val="150"/>
          <w:sz w:val="20"/>
          <w:szCs w:val="20"/>
        </w:rPr>
        <w:t xml:space="preserve"> </w:t>
      </w:r>
      <w:r w:rsidRPr="00531B12">
        <w:rPr>
          <w:rFonts w:ascii="Abadi" w:hAnsi="Abadi"/>
          <w:b/>
          <w:bCs/>
          <w:sz w:val="20"/>
          <w:szCs w:val="20"/>
        </w:rPr>
        <w:t>SUPERIOR</w:t>
      </w:r>
      <w:r w:rsidRPr="00531B12">
        <w:rPr>
          <w:rFonts w:ascii="Abadi" w:hAnsi="Abadi"/>
          <w:b/>
          <w:bCs/>
          <w:spacing w:val="58"/>
          <w:w w:val="150"/>
          <w:sz w:val="20"/>
          <w:szCs w:val="20"/>
        </w:rPr>
        <w:t xml:space="preserve"> </w:t>
      </w:r>
      <w:r w:rsidRPr="00531B12">
        <w:rPr>
          <w:rFonts w:ascii="Abadi" w:hAnsi="Abadi"/>
          <w:b/>
          <w:bCs/>
          <w:sz w:val="20"/>
          <w:szCs w:val="20"/>
        </w:rPr>
        <w:t>DEL</w:t>
      </w:r>
      <w:r w:rsidRPr="00531B12">
        <w:rPr>
          <w:rFonts w:ascii="Abadi" w:hAnsi="Abadi"/>
          <w:b/>
          <w:bCs/>
          <w:spacing w:val="58"/>
          <w:w w:val="150"/>
          <w:sz w:val="20"/>
          <w:szCs w:val="20"/>
        </w:rPr>
        <w:t xml:space="preserve"> </w:t>
      </w:r>
      <w:r w:rsidRPr="00531B12">
        <w:rPr>
          <w:rFonts w:ascii="Abadi" w:hAnsi="Abadi"/>
          <w:b/>
          <w:bCs/>
          <w:sz w:val="20"/>
          <w:szCs w:val="20"/>
        </w:rPr>
        <w:t>ESTADO</w:t>
      </w:r>
      <w:r w:rsidRPr="00531B12">
        <w:rPr>
          <w:rFonts w:ascii="Abadi" w:hAnsi="Abadi"/>
          <w:b/>
          <w:bCs/>
          <w:spacing w:val="58"/>
          <w:w w:val="150"/>
          <w:sz w:val="20"/>
          <w:szCs w:val="20"/>
        </w:rPr>
        <w:t xml:space="preserve"> </w:t>
      </w:r>
      <w:r w:rsidRPr="00531B12">
        <w:rPr>
          <w:rFonts w:ascii="Abadi" w:hAnsi="Abadi"/>
          <w:b/>
          <w:bCs/>
          <w:sz w:val="20"/>
          <w:szCs w:val="20"/>
        </w:rPr>
        <w:t>DE</w:t>
      </w:r>
      <w:r w:rsidRPr="00531B12">
        <w:rPr>
          <w:rFonts w:ascii="Abadi" w:hAnsi="Abadi"/>
          <w:b/>
          <w:bCs/>
          <w:spacing w:val="58"/>
          <w:w w:val="150"/>
          <w:sz w:val="20"/>
          <w:szCs w:val="20"/>
        </w:rPr>
        <w:t xml:space="preserve"> </w:t>
      </w:r>
      <w:r w:rsidRPr="00531B12">
        <w:rPr>
          <w:rFonts w:ascii="Abadi" w:hAnsi="Abadi"/>
          <w:b/>
          <w:bCs/>
          <w:sz w:val="20"/>
          <w:szCs w:val="20"/>
        </w:rPr>
        <w:t>GUANAJUATO,</w:t>
      </w:r>
      <w:r w:rsidRPr="00531B12">
        <w:rPr>
          <w:rFonts w:ascii="Abadi" w:hAnsi="Abadi"/>
          <w:b/>
          <w:bCs/>
          <w:spacing w:val="58"/>
          <w:w w:val="150"/>
          <w:sz w:val="20"/>
          <w:szCs w:val="20"/>
        </w:rPr>
        <w:t xml:space="preserve"> </w:t>
      </w:r>
      <w:r w:rsidRPr="00531B12">
        <w:rPr>
          <w:rFonts w:ascii="Abadi" w:hAnsi="Abadi"/>
          <w:b/>
          <w:bCs/>
          <w:sz w:val="20"/>
          <w:szCs w:val="20"/>
        </w:rPr>
        <w:t>A</w:t>
      </w:r>
      <w:r w:rsidRPr="00531B12">
        <w:rPr>
          <w:rFonts w:ascii="Abadi" w:hAnsi="Abadi"/>
          <w:b/>
          <w:bCs/>
          <w:spacing w:val="58"/>
          <w:w w:val="150"/>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INFRAESTRUCTURA</w:t>
      </w:r>
      <w:r w:rsidRPr="00531B12">
        <w:rPr>
          <w:rFonts w:ascii="Abadi" w:hAnsi="Abadi"/>
          <w:b/>
          <w:bCs/>
          <w:spacing w:val="-10"/>
          <w:sz w:val="20"/>
          <w:szCs w:val="20"/>
        </w:rPr>
        <w:t xml:space="preserve"> </w:t>
      </w:r>
      <w:r w:rsidRPr="00531B12">
        <w:rPr>
          <w:rFonts w:ascii="Abadi" w:hAnsi="Abadi"/>
          <w:b/>
          <w:bCs/>
          <w:sz w:val="20"/>
          <w:szCs w:val="20"/>
        </w:rPr>
        <w:t>PÚBLICA</w:t>
      </w:r>
      <w:r w:rsidRPr="00531B12">
        <w:rPr>
          <w:rFonts w:ascii="Abadi" w:hAnsi="Abadi"/>
          <w:b/>
          <w:bCs/>
          <w:spacing w:val="-10"/>
          <w:sz w:val="20"/>
          <w:szCs w:val="20"/>
        </w:rPr>
        <w:t xml:space="preserve"> </w:t>
      </w:r>
      <w:r w:rsidRPr="00531B12">
        <w:rPr>
          <w:rFonts w:ascii="Abadi" w:hAnsi="Abadi"/>
          <w:b/>
          <w:bCs/>
          <w:sz w:val="20"/>
          <w:szCs w:val="20"/>
        </w:rPr>
        <w:t>MUNICIPAL</w:t>
      </w:r>
      <w:r w:rsidRPr="00531B12">
        <w:rPr>
          <w:rFonts w:ascii="Abadi" w:hAnsi="Abadi"/>
          <w:b/>
          <w:bCs/>
          <w:spacing w:val="-10"/>
          <w:sz w:val="20"/>
          <w:szCs w:val="20"/>
        </w:rPr>
        <w:t xml:space="preserve"> </w:t>
      </w:r>
      <w:r w:rsidRPr="00531B12">
        <w:rPr>
          <w:rFonts w:ascii="Abadi" w:hAnsi="Abadi"/>
          <w:b/>
          <w:bCs/>
          <w:sz w:val="20"/>
          <w:szCs w:val="20"/>
        </w:rPr>
        <w:t>RESPECTO</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LAS</w:t>
      </w:r>
      <w:r w:rsidRPr="00531B12">
        <w:rPr>
          <w:rFonts w:ascii="Abadi" w:hAnsi="Abadi"/>
          <w:b/>
          <w:bCs/>
          <w:spacing w:val="-10"/>
          <w:sz w:val="20"/>
          <w:szCs w:val="20"/>
        </w:rPr>
        <w:t xml:space="preserve"> </w:t>
      </w:r>
      <w:r w:rsidRPr="00531B12">
        <w:rPr>
          <w:rFonts w:ascii="Abadi" w:hAnsi="Abadi"/>
          <w:b/>
          <w:bCs/>
          <w:sz w:val="20"/>
          <w:szCs w:val="20"/>
        </w:rPr>
        <w:t>OPERACIONES</w:t>
      </w:r>
      <w:r w:rsidRPr="00531B12">
        <w:rPr>
          <w:rFonts w:ascii="Abadi" w:hAnsi="Abadi"/>
          <w:b/>
          <w:bCs/>
          <w:spacing w:val="-10"/>
          <w:sz w:val="20"/>
          <w:szCs w:val="20"/>
        </w:rPr>
        <w:t xml:space="preserve"> </w:t>
      </w:r>
      <w:r w:rsidRPr="00531B12">
        <w:rPr>
          <w:rFonts w:ascii="Abadi" w:hAnsi="Abadi"/>
          <w:b/>
          <w:bCs/>
          <w:sz w:val="20"/>
          <w:szCs w:val="20"/>
        </w:rPr>
        <w:t>REALIZADAS</w:t>
      </w:r>
      <w:r w:rsidRPr="00531B12">
        <w:rPr>
          <w:rFonts w:ascii="Abadi" w:hAnsi="Abadi"/>
          <w:b/>
          <w:bCs/>
          <w:spacing w:val="-10"/>
          <w:sz w:val="20"/>
          <w:szCs w:val="20"/>
        </w:rPr>
        <w:t xml:space="preserve"> </w:t>
      </w:r>
      <w:r w:rsidRPr="00531B12">
        <w:rPr>
          <w:rFonts w:ascii="Abadi" w:hAnsi="Abadi"/>
          <w:b/>
          <w:bCs/>
          <w:sz w:val="20"/>
          <w:szCs w:val="20"/>
        </w:rPr>
        <w:t>POR</w:t>
      </w:r>
      <w:r w:rsidRPr="00531B12">
        <w:rPr>
          <w:rFonts w:ascii="Abadi" w:hAnsi="Abadi"/>
          <w:b/>
          <w:bCs/>
          <w:spacing w:val="-1"/>
          <w:sz w:val="20"/>
          <w:szCs w:val="20"/>
        </w:rPr>
        <w:t xml:space="preserve"> </w:t>
      </w:r>
      <w:r w:rsidRPr="00531B12">
        <w:rPr>
          <w:rFonts w:ascii="Abadi" w:hAnsi="Abadi"/>
          <w:b/>
          <w:bCs/>
          <w:sz w:val="20"/>
          <w:szCs w:val="20"/>
        </w:rPr>
        <w:t>LA</w:t>
      </w:r>
      <w:r w:rsidRPr="00531B12">
        <w:rPr>
          <w:rFonts w:ascii="Abadi" w:hAnsi="Abadi"/>
          <w:b/>
          <w:bCs/>
          <w:spacing w:val="15"/>
          <w:sz w:val="20"/>
          <w:szCs w:val="20"/>
        </w:rPr>
        <w:t xml:space="preserve"> </w:t>
      </w:r>
      <w:r w:rsidRPr="00531B12">
        <w:rPr>
          <w:rFonts w:ascii="Abadi" w:hAnsi="Abadi"/>
          <w:b/>
          <w:bCs/>
          <w:sz w:val="20"/>
          <w:szCs w:val="20"/>
        </w:rPr>
        <w:t>ADMINISTRACIÓN</w:t>
      </w:r>
      <w:r w:rsidRPr="00531B12">
        <w:rPr>
          <w:rFonts w:ascii="Abadi" w:hAnsi="Abadi"/>
          <w:b/>
          <w:bCs/>
          <w:spacing w:val="16"/>
          <w:sz w:val="20"/>
          <w:szCs w:val="20"/>
        </w:rPr>
        <w:t xml:space="preserve"> </w:t>
      </w:r>
      <w:r w:rsidRPr="00531B12">
        <w:rPr>
          <w:rFonts w:ascii="Abadi" w:hAnsi="Abadi"/>
          <w:b/>
          <w:bCs/>
          <w:sz w:val="20"/>
          <w:szCs w:val="20"/>
        </w:rPr>
        <w:t>MUNICIPAL</w:t>
      </w:r>
      <w:r w:rsidRPr="00531B12">
        <w:rPr>
          <w:rFonts w:ascii="Abadi" w:hAnsi="Abadi"/>
          <w:b/>
          <w:bCs/>
          <w:spacing w:val="15"/>
          <w:sz w:val="20"/>
          <w:szCs w:val="20"/>
        </w:rPr>
        <w:t xml:space="preserve"> </w:t>
      </w:r>
      <w:r w:rsidRPr="00531B12">
        <w:rPr>
          <w:rFonts w:ascii="Abadi" w:hAnsi="Abadi"/>
          <w:b/>
          <w:bCs/>
          <w:sz w:val="20"/>
          <w:szCs w:val="20"/>
        </w:rPr>
        <w:t>DE</w:t>
      </w:r>
      <w:r w:rsidRPr="00531B12">
        <w:rPr>
          <w:rFonts w:ascii="Abadi" w:hAnsi="Abadi"/>
          <w:b/>
          <w:bCs/>
          <w:spacing w:val="15"/>
          <w:sz w:val="20"/>
          <w:szCs w:val="20"/>
        </w:rPr>
        <w:t xml:space="preserve"> </w:t>
      </w:r>
      <w:r w:rsidRPr="00531B12">
        <w:rPr>
          <w:rFonts w:ascii="Abadi" w:hAnsi="Abadi"/>
          <w:b/>
          <w:bCs/>
          <w:sz w:val="20"/>
          <w:szCs w:val="20"/>
        </w:rPr>
        <w:t>VILLAGRÁN,</w:t>
      </w:r>
      <w:r w:rsidRPr="00531B12">
        <w:rPr>
          <w:rFonts w:ascii="Abadi" w:hAnsi="Abadi"/>
          <w:b/>
          <w:bCs/>
          <w:spacing w:val="15"/>
          <w:sz w:val="20"/>
          <w:szCs w:val="20"/>
        </w:rPr>
        <w:t xml:space="preserve"> </w:t>
      </w:r>
      <w:r w:rsidRPr="00531B12">
        <w:rPr>
          <w:rFonts w:ascii="Abadi" w:hAnsi="Abadi"/>
          <w:b/>
          <w:bCs/>
          <w:sz w:val="20"/>
          <w:szCs w:val="20"/>
        </w:rPr>
        <w:t>GTO.,</w:t>
      </w:r>
      <w:r w:rsidRPr="00531B12">
        <w:rPr>
          <w:rFonts w:ascii="Abadi" w:hAnsi="Abadi"/>
          <w:b/>
          <w:bCs/>
          <w:spacing w:val="15"/>
          <w:sz w:val="20"/>
          <w:szCs w:val="20"/>
        </w:rPr>
        <w:t xml:space="preserve"> </w:t>
      </w:r>
      <w:r w:rsidRPr="00531B12">
        <w:rPr>
          <w:rFonts w:ascii="Abadi" w:hAnsi="Abadi"/>
          <w:b/>
          <w:bCs/>
          <w:sz w:val="20"/>
          <w:szCs w:val="20"/>
        </w:rPr>
        <w:t>CORRESPONDIENTES</w:t>
      </w:r>
      <w:r w:rsidRPr="00531B12">
        <w:rPr>
          <w:rFonts w:ascii="Abadi" w:hAnsi="Abadi"/>
          <w:b/>
          <w:bCs/>
          <w:spacing w:val="16"/>
          <w:sz w:val="20"/>
          <w:szCs w:val="20"/>
        </w:rPr>
        <w:t xml:space="preserve"> </w:t>
      </w:r>
      <w:r w:rsidRPr="00531B12">
        <w:rPr>
          <w:rFonts w:ascii="Abadi" w:hAnsi="Abadi"/>
          <w:b/>
          <w:bCs/>
          <w:sz w:val="20"/>
          <w:szCs w:val="20"/>
        </w:rPr>
        <w:t>AL</w:t>
      </w:r>
      <w:r w:rsidRPr="00531B12">
        <w:rPr>
          <w:rFonts w:ascii="Abadi" w:hAnsi="Abadi"/>
          <w:b/>
          <w:bCs/>
          <w:spacing w:val="15"/>
          <w:sz w:val="20"/>
          <w:szCs w:val="20"/>
        </w:rPr>
        <w:t xml:space="preserve"> </w:t>
      </w:r>
      <w:r w:rsidRPr="00531B12">
        <w:rPr>
          <w:rFonts w:ascii="Abadi" w:hAnsi="Abadi"/>
          <w:b/>
          <w:bCs/>
          <w:sz w:val="20"/>
          <w:szCs w:val="20"/>
        </w:rPr>
        <w:t>PERIODO</w:t>
      </w:r>
      <w:r w:rsidRPr="00531B12">
        <w:rPr>
          <w:rFonts w:ascii="Abadi" w:hAnsi="Abadi"/>
          <w:b/>
          <w:bCs/>
          <w:spacing w:val="-1"/>
          <w:sz w:val="20"/>
          <w:szCs w:val="20"/>
        </w:rPr>
        <w:t xml:space="preserve"> </w:t>
      </w:r>
      <w:r w:rsidRPr="00531B12">
        <w:rPr>
          <w:rFonts w:ascii="Abadi" w:hAnsi="Abadi"/>
          <w:b/>
          <w:bCs/>
          <w:sz w:val="20"/>
          <w:szCs w:val="20"/>
        </w:rPr>
        <w:t>COMPRENDIDO</w:t>
      </w:r>
      <w:r w:rsidRPr="00531B12">
        <w:rPr>
          <w:rFonts w:ascii="Abadi" w:hAnsi="Abadi"/>
          <w:b/>
          <w:bCs/>
          <w:spacing w:val="16"/>
          <w:sz w:val="20"/>
          <w:szCs w:val="20"/>
        </w:rPr>
        <w:t xml:space="preserve"> </w:t>
      </w:r>
      <w:r w:rsidRPr="00531B12">
        <w:rPr>
          <w:rFonts w:ascii="Abadi" w:hAnsi="Abadi"/>
          <w:b/>
          <w:bCs/>
          <w:sz w:val="20"/>
          <w:szCs w:val="20"/>
        </w:rPr>
        <w:t>DEL</w:t>
      </w:r>
      <w:r w:rsidRPr="00531B12">
        <w:rPr>
          <w:rFonts w:ascii="Abadi" w:hAnsi="Abadi"/>
          <w:b/>
          <w:bCs/>
          <w:spacing w:val="16"/>
          <w:sz w:val="20"/>
          <w:szCs w:val="20"/>
        </w:rPr>
        <w:t xml:space="preserve"> </w:t>
      </w:r>
      <w:r w:rsidRPr="00531B12">
        <w:rPr>
          <w:rFonts w:ascii="Abadi" w:hAnsi="Abadi"/>
          <w:b/>
          <w:bCs/>
          <w:sz w:val="20"/>
          <w:szCs w:val="20"/>
        </w:rPr>
        <w:t>1</w:t>
      </w:r>
      <w:r w:rsidRPr="00531B12">
        <w:rPr>
          <w:rFonts w:ascii="Abadi" w:hAnsi="Abadi"/>
          <w:b/>
          <w:bCs/>
          <w:spacing w:val="16"/>
          <w:sz w:val="20"/>
          <w:szCs w:val="20"/>
        </w:rPr>
        <w:t xml:space="preserve"> </w:t>
      </w:r>
      <w:r w:rsidRPr="00531B12">
        <w:rPr>
          <w:rFonts w:ascii="Abadi" w:hAnsi="Abadi"/>
          <w:b/>
          <w:bCs/>
          <w:sz w:val="20"/>
          <w:szCs w:val="20"/>
        </w:rPr>
        <w:t>DE</w:t>
      </w:r>
      <w:r w:rsidRPr="00531B12">
        <w:rPr>
          <w:rFonts w:ascii="Abadi" w:hAnsi="Abadi"/>
          <w:b/>
          <w:bCs/>
          <w:spacing w:val="16"/>
          <w:sz w:val="20"/>
          <w:szCs w:val="20"/>
        </w:rPr>
        <w:t xml:space="preserve"> </w:t>
      </w:r>
      <w:r w:rsidRPr="00531B12">
        <w:rPr>
          <w:rFonts w:ascii="Abadi" w:hAnsi="Abadi"/>
          <w:b/>
          <w:bCs/>
          <w:sz w:val="20"/>
          <w:szCs w:val="20"/>
        </w:rPr>
        <w:t>ENERO</w:t>
      </w:r>
      <w:r w:rsidRPr="00531B12">
        <w:rPr>
          <w:rFonts w:ascii="Abadi" w:hAnsi="Abadi"/>
          <w:b/>
          <w:bCs/>
          <w:spacing w:val="16"/>
          <w:sz w:val="20"/>
          <w:szCs w:val="20"/>
        </w:rPr>
        <w:t xml:space="preserve"> </w:t>
      </w:r>
      <w:r w:rsidRPr="00531B12">
        <w:rPr>
          <w:rFonts w:ascii="Abadi" w:hAnsi="Abadi"/>
          <w:b/>
          <w:bCs/>
          <w:sz w:val="20"/>
          <w:szCs w:val="20"/>
        </w:rPr>
        <w:t>AL</w:t>
      </w:r>
      <w:r w:rsidRPr="00531B12">
        <w:rPr>
          <w:rFonts w:ascii="Abadi" w:hAnsi="Abadi"/>
          <w:b/>
          <w:bCs/>
          <w:spacing w:val="16"/>
          <w:sz w:val="20"/>
          <w:szCs w:val="20"/>
        </w:rPr>
        <w:t xml:space="preserve"> </w:t>
      </w:r>
      <w:r w:rsidRPr="00531B12">
        <w:rPr>
          <w:rFonts w:ascii="Abadi" w:hAnsi="Abadi"/>
          <w:b/>
          <w:bCs/>
          <w:sz w:val="20"/>
          <w:szCs w:val="20"/>
        </w:rPr>
        <w:t>31</w:t>
      </w:r>
      <w:r w:rsidRPr="00531B12">
        <w:rPr>
          <w:rFonts w:ascii="Abadi" w:hAnsi="Abadi"/>
          <w:b/>
          <w:bCs/>
          <w:spacing w:val="16"/>
          <w:sz w:val="20"/>
          <w:szCs w:val="20"/>
        </w:rPr>
        <w:t xml:space="preserve"> </w:t>
      </w:r>
      <w:r w:rsidRPr="00531B12">
        <w:rPr>
          <w:rFonts w:ascii="Abadi" w:hAnsi="Abadi"/>
          <w:b/>
          <w:bCs/>
          <w:sz w:val="20"/>
          <w:szCs w:val="20"/>
        </w:rPr>
        <w:t>DE</w:t>
      </w:r>
      <w:r w:rsidRPr="00531B12">
        <w:rPr>
          <w:rFonts w:ascii="Abadi" w:hAnsi="Abadi"/>
          <w:b/>
          <w:bCs/>
          <w:spacing w:val="16"/>
          <w:sz w:val="20"/>
          <w:szCs w:val="20"/>
        </w:rPr>
        <w:t xml:space="preserve"> </w:t>
      </w:r>
      <w:r w:rsidRPr="00531B12">
        <w:rPr>
          <w:rFonts w:ascii="Abadi" w:hAnsi="Abadi"/>
          <w:b/>
          <w:bCs/>
          <w:sz w:val="20"/>
          <w:szCs w:val="20"/>
        </w:rPr>
        <w:t>DICIEMBRE</w:t>
      </w:r>
      <w:r w:rsidRPr="00531B12">
        <w:rPr>
          <w:rFonts w:ascii="Abadi" w:hAnsi="Abadi"/>
          <w:b/>
          <w:bCs/>
          <w:spacing w:val="16"/>
          <w:sz w:val="20"/>
          <w:szCs w:val="20"/>
        </w:rPr>
        <w:t xml:space="preserve"> </w:t>
      </w:r>
      <w:r w:rsidRPr="00531B12">
        <w:rPr>
          <w:rFonts w:ascii="Abadi" w:hAnsi="Abadi"/>
          <w:b/>
          <w:bCs/>
          <w:sz w:val="20"/>
          <w:szCs w:val="20"/>
        </w:rPr>
        <w:t>DEL</w:t>
      </w:r>
      <w:r w:rsidRPr="00531B12">
        <w:rPr>
          <w:rFonts w:ascii="Abadi" w:hAnsi="Abadi"/>
          <w:b/>
          <w:bCs/>
          <w:spacing w:val="16"/>
          <w:sz w:val="20"/>
          <w:szCs w:val="20"/>
        </w:rPr>
        <w:t xml:space="preserve"> </w:t>
      </w:r>
      <w:r w:rsidRPr="00531B12">
        <w:rPr>
          <w:rFonts w:ascii="Abadi" w:hAnsi="Abadi"/>
          <w:b/>
          <w:bCs/>
          <w:sz w:val="20"/>
          <w:szCs w:val="20"/>
        </w:rPr>
        <w:t>EJERCICIO</w:t>
      </w:r>
      <w:r w:rsidRPr="00531B12">
        <w:rPr>
          <w:rFonts w:ascii="Abadi" w:hAnsi="Abadi"/>
          <w:b/>
          <w:bCs/>
          <w:spacing w:val="16"/>
          <w:sz w:val="20"/>
          <w:szCs w:val="20"/>
        </w:rPr>
        <w:t xml:space="preserve"> </w:t>
      </w:r>
      <w:r w:rsidRPr="00531B12">
        <w:rPr>
          <w:rFonts w:ascii="Abadi" w:hAnsi="Abadi"/>
          <w:b/>
          <w:bCs/>
          <w:sz w:val="20"/>
          <w:szCs w:val="20"/>
        </w:rPr>
        <w:t>FISCAL</w:t>
      </w:r>
      <w:r w:rsidRPr="00531B12">
        <w:rPr>
          <w:rFonts w:ascii="Abadi" w:hAnsi="Abadi"/>
          <w:b/>
          <w:bCs/>
          <w:spacing w:val="15"/>
          <w:sz w:val="20"/>
          <w:szCs w:val="20"/>
        </w:rPr>
        <w:t xml:space="preserve"> </w:t>
      </w:r>
      <w:r w:rsidRPr="00531B12">
        <w:rPr>
          <w:rFonts w:ascii="Abadi" w:hAnsi="Abadi"/>
          <w:b/>
          <w:bCs/>
          <w:sz w:val="20"/>
          <w:szCs w:val="20"/>
        </w:rPr>
        <w:t>DEL</w:t>
      </w:r>
      <w:r w:rsidRPr="00531B12">
        <w:rPr>
          <w:rFonts w:ascii="Abadi" w:hAnsi="Abadi"/>
          <w:b/>
          <w:bCs/>
          <w:spacing w:val="16"/>
          <w:sz w:val="20"/>
          <w:szCs w:val="20"/>
        </w:rPr>
        <w:t xml:space="preserve"> </w:t>
      </w:r>
      <w:r w:rsidRPr="00531B12">
        <w:rPr>
          <w:rFonts w:ascii="Abadi" w:hAnsi="Abadi"/>
          <w:b/>
          <w:bCs/>
          <w:sz w:val="20"/>
          <w:szCs w:val="20"/>
        </w:rPr>
        <w:t>AÑO</w:t>
      </w:r>
      <w:r w:rsidRPr="00531B12">
        <w:rPr>
          <w:rFonts w:ascii="Abadi" w:hAnsi="Abadi"/>
          <w:b/>
          <w:bCs/>
          <w:spacing w:val="-1"/>
          <w:sz w:val="20"/>
          <w:szCs w:val="20"/>
        </w:rPr>
        <w:t xml:space="preserve"> </w:t>
      </w:r>
      <w:r w:rsidRPr="00531B12">
        <w:rPr>
          <w:rFonts w:ascii="Abadi" w:hAnsi="Abadi"/>
          <w:b/>
          <w:bCs/>
          <w:sz w:val="20"/>
          <w:szCs w:val="20"/>
        </w:rPr>
        <w:t>2020.</w:t>
      </w:r>
    </w:p>
    <w:p w14:paraId="41700AE3" w14:textId="2DA73F30" w:rsidR="00DE589A" w:rsidRDefault="00DE589A" w:rsidP="00BB1DFA">
      <w:pPr>
        <w:rPr>
          <w:rFonts w:ascii="Abadi" w:hAnsi="Abadi"/>
          <w:sz w:val="20"/>
          <w:szCs w:val="20"/>
        </w:rPr>
      </w:pPr>
    </w:p>
    <w:p w14:paraId="5F68BEB7" w14:textId="77777777" w:rsidR="001025BF" w:rsidRPr="001025BF" w:rsidRDefault="001025BF" w:rsidP="001025BF">
      <w:pPr>
        <w:jc w:val="both"/>
        <w:rPr>
          <w:rFonts w:ascii="Abadi" w:hAnsi="Abadi" w:cs="Arial"/>
          <w:b/>
          <w:bCs/>
          <w:smallCaps/>
          <w:sz w:val="21"/>
          <w:szCs w:val="21"/>
          <w:lang w:val="es-MX"/>
        </w:rPr>
      </w:pPr>
      <w:r w:rsidRPr="001025BF">
        <w:rPr>
          <w:rFonts w:ascii="Abadi" w:hAnsi="Abadi" w:cs="Arial"/>
          <w:b/>
          <w:bCs/>
          <w:smallCaps/>
          <w:sz w:val="21"/>
          <w:szCs w:val="21"/>
          <w:lang w:val="es-MX"/>
        </w:rPr>
        <w:t>C. Presidenta del Congreso del Estado</w:t>
      </w:r>
    </w:p>
    <w:p w14:paraId="506967E4" w14:textId="77777777" w:rsidR="001025BF" w:rsidRPr="001025BF" w:rsidRDefault="001025BF" w:rsidP="001025BF">
      <w:pPr>
        <w:jc w:val="both"/>
        <w:rPr>
          <w:rFonts w:ascii="Abadi" w:hAnsi="Abadi" w:cs="Arial"/>
          <w:b/>
          <w:bCs/>
          <w:smallCaps/>
          <w:sz w:val="21"/>
          <w:szCs w:val="21"/>
          <w:lang w:val="es-MX"/>
        </w:rPr>
      </w:pPr>
      <w:r w:rsidRPr="001025BF">
        <w:rPr>
          <w:rFonts w:ascii="Abadi" w:hAnsi="Abadi" w:cs="Arial"/>
          <w:b/>
          <w:bCs/>
          <w:smallCaps/>
          <w:sz w:val="21"/>
          <w:szCs w:val="21"/>
          <w:lang w:val="es-MX"/>
        </w:rPr>
        <w:t>P r e s e n t e.</w:t>
      </w:r>
    </w:p>
    <w:p w14:paraId="76C387DE" w14:textId="77777777" w:rsidR="001025BF" w:rsidRPr="001025BF" w:rsidRDefault="001025BF" w:rsidP="001025BF">
      <w:pPr>
        <w:jc w:val="both"/>
        <w:rPr>
          <w:rFonts w:ascii="Abadi" w:hAnsi="Abadi" w:cs="Arial"/>
          <w:sz w:val="21"/>
          <w:szCs w:val="21"/>
          <w:lang w:val="es-MX"/>
        </w:rPr>
      </w:pPr>
    </w:p>
    <w:p w14:paraId="46403B05" w14:textId="77777777" w:rsidR="001025BF" w:rsidRPr="001025BF" w:rsidRDefault="001025BF" w:rsidP="001025BF">
      <w:pPr>
        <w:ind w:firstLine="708"/>
        <w:jc w:val="both"/>
        <w:rPr>
          <w:rFonts w:ascii="Abadi" w:hAnsi="Abadi" w:cs="Arial"/>
          <w:sz w:val="21"/>
          <w:szCs w:val="21"/>
        </w:rPr>
      </w:pPr>
      <w:r w:rsidRPr="001025BF">
        <w:rPr>
          <w:rFonts w:ascii="Abadi" w:hAnsi="Abadi" w:cs="Arial"/>
          <w:sz w:val="21"/>
          <w:szCs w:val="21"/>
        </w:rPr>
        <w:t>A esta Comisión de Hacienda y Fiscalización le fue turnado para su estudio y dictamen, el informe de resultados de la auditoría practicada por la Auditoría Superior del Estado de Guanajuato, a la infraestructura pública municipal respecto de las operaciones realizadas por la administración municipal de Villagrán, Gto., correspondientes al periodo comprendido del 1 de enero al 31 de diciembre del ejercicio fiscal del año 2020.</w:t>
      </w:r>
    </w:p>
    <w:p w14:paraId="292513E5" w14:textId="77777777" w:rsidR="001025BF" w:rsidRPr="001025BF" w:rsidRDefault="001025BF" w:rsidP="001025BF">
      <w:pPr>
        <w:ind w:firstLine="708"/>
        <w:jc w:val="both"/>
        <w:rPr>
          <w:rFonts w:ascii="Abadi" w:hAnsi="Abadi" w:cs="Arial"/>
          <w:sz w:val="21"/>
          <w:szCs w:val="21"/>
        </w:rPr>
      </w:pPr>
    </w:p>
    <w:p w14:paraId="0E79134F" w14:textId="77777777" w:rsidR="001025BF" w:rsidRPr="001025BF" w:rsidRDefault="001025BF" w:rsidP="001025BF">
      <w:pPr>
        <w:ind w:firstLine="708"/>
        <w:jc w:val="both"/>
        <w:rPr>
          <w:rFonts w:ascii="Abadi" w:hAnsi="Abadi" w:cs="Arial"/>
          <w:sz w:val="21"/>
          <w:szCs w:val="21"/>
        </w:rPr>
      </w:pPr>
      <w:r w:rsidRPr="001025BF">
        <w:rPr>
          <w:rFonts w:ascii="Abadi" w:hAnsi="Abadi" w:cs="Arial"/>
          <w:sz w:val="21"/>
          <w:szCs w:val="21"/>
        </w:rPr>
        <w:t>Una vez analizado el referido informe de resultados, con fundamento en lo dispuesto por los artículos 112, fracción XII</w:t>
      </w:r>
      <w:r w:rsidRPr="001025BF">
        <w:rPr>
          <w:rFonts w:ascii="Abadi" w:hAnsi="Abadi" w:cs="Arial"/>
          <w:sz w:val="21"/>
          <w:szCs w:val="21"/>
          <w:lang w:val="es-MX"/>
        </w:rPr>
        <w:t>, primer párrafo</w:t>
      </w:r>
      <w:r w:rsidRPr="001025BF">
        <w:rPr>
          <w:rFonts w:ascii="Abadi" w:hAnsi="Abadi" w:cs="Arial"/>
          <w:sz w:val="21"/>
          <w:szCs w:val="21"/>
        </w:rPr>
        <w:t xml:space="preserve"> y 171 de </w:t>
      </w:r>
      <w:smartTag w:uri="urn:schemas-microsoft-com:office:smarttags" w:element="PersonName">
        <w:smartTagPr>
          <w:attr w:name="ProductID" w:val="la Ley Org￡nica"/>
        </w:smartTagPr>
        <w:r w:rsidRPr="001025BF">
          <w:rPr>
            <w:rFonts w:ascii="Abadi" w:hAnsi="Abadi" w:cs="Arial"/>
            <w:sz w:val="21"/>
            <w:szCs w:val="21"/>
          </w:rPr>
          <w:t>la Ley Orgánica</w:t>
        </w:r>
      </w:smartTag>
      <w:r w:rsidRPr="001025BF">
        <w:rPr>
          <w:rFonts w:ascii="Abadi" w:hAnsi="Abadi" w:cs="Arial"/>
          <w:sz w:val="21"/>
          <w:szCs w:val="21"/>
        </w:rPr>
        <w:t xml:space="preserve"> del Poder Legislativo, nos permitimos rendir el siguiente:</w:t>
      </w:r>
    </w:p>
    <w:p w14:paraId="55E66C61" w14:textId="77777777" w:rsidR="001025BF" w:rsidRPr="001025BF" w:rsidRDefault="001025BF" w:rsidP="001025BF">
      <w:pPr>
        <w:ind w:firstLine="708"/>
        <w:jc w:val="both"/>
        <w:rPr>
          <w:rFonts w:ascii="Abadi" w:hAnsi="Abadi" w:cs="Arial"/>
          <w:sz w:val="21"/>
          <w:szCs w:val="21"/>
        </w:rPr>
      </w:pPr>
    </w:p>
    <w:p w14:paraId="03D8A54D" w14:textId="77777777" w:rsidR="001025BF" w:rsidRPr="001025BF" w:rsidRDefault="001025BF" w:rsidP="001025BF">
      <w:pPr>
        <w:keepNext/>
        <w:jc w:val="both"/>
        <w:outlineLvl w:val="0"/>
        <w:rPr>
          <w:rFonts w:ascii="Abadi" w:eastAsia="Arial Unicode MS" w:hAnsi="Abadi" w:cs="Arial"/>
          <w:b/>
          <w:bCs/>
          <w:sz w:val="21"/>
          <w:szCs w:val="21"/>
          <w:lang w:val="es-MX"/>
        </w:rPr>
      </w:pPr>
    </w:p>
    <w:p w14:paraId="294A2935" w14:textId="77777777" w:rsidR="001025BF" w:rsidRPr="001025BF" w:rsidRDefault="001025BF" w:rsidP="001025BF">
      <w:pPr>
        <w:keepNext/>
        <w:jc w:val="center"/>
        <w:outlineLvl w:val="0"/>
        <w:rPr>
          <w:rFonts w:ascii="Abadi" w:eastAsia="Arial Unicode MS" w:hAnsi="Abadi" w:cs="Arial"/>
          <w:b/>
          <w:bCs/>
          <w:sz w:val="21"/>
          <w:szCs w:val="21"/>
        </w:rPr>
      </w:pPr>
      <w:r w:rsidRPr="001025BF">
        <w:rPr>
          <w:rFonts w:ascii="Abadi" w:eastAsia="Arial Unicode MS" w:hAnsi="Abadi" w:cs="Arial"/>
          <w:b/>
          <w:bCs/>
          <w:sz w:val="21"/>
          <w:szCs w:val="21"/>
        </w:rPr>
        <w:t>D i c t a m e n</w:t>
      </w:r>
    </w:p>
    <w:p w14:paraId="1D1B8C81" w14:textId="77777777" w:rsidR="001025BF" w:rsidRPr="001025BF" w:rsidRDefault="001025BF" w:rsidP="001025BF">
      <w:pPr>
        <w:jc w:val="both"/>
        <w:rPr>
          <w:rFonts w:ascii="Abadi" w:hAnsi="Abadi" w:cs="Arial"/>
          <w:sz w:val="21"/>
          <w:szCs w:val="21"/>
          <w:lang w:val="es-MX"/>
        </w:rPr>
      </w:pPr>
    </w:p>
    <w:p w14:paraId="44E9F7D2" w14:textId="77777777" w:rsidR="001025BF" w:rsidRPr="001025BF" w:rsidRDefault="001025BF" w:rsidP="001025BF">
      <w:pPr>
        <w:ind w:firstLine="708"/>
        <w:jc w:val="both"/>
        <w:rPr>
          <w:rFonts w:ascii="Abadi" w:hAnsi="Abadi" w:cs="Arial"/>
          <w:b/>
          <w:bCs/>
          <w:sz w:val="21"/>
          <w:szCs w:val="21"/>
          <w:lang w:val="es-MX"/>
        </w:rPr>
      </w:pPr>
      <w:r w:rsidRPr="001025BF">
        <w:rPr>
          <w:rFonts w:ascii="Abadi" w:hAnsi="Abadi" w:cs="Arial"/>
          <w:b/>
          <w:bCs/>
          <w:sz w:val="21"/>
          <w:szCs w:val="21"/>
          <w:lang w:val="es-MX"/>
        </w:rPr>
        <w:t>I. Competencia:</w:t>
      </w:r>
    </w:p>
    <w:p w14:paraId="5ED50DA7" w14:textId="77777777" w:rsidR="001025BF" w:rsidRPr="001025BF" w:rsidRDefault="001025BF" w:rsidP="001025BF">
      <w:pPr>
        <w:ind w:firstLine="708"/>
        <w:jc w:val="both"/>
        <w:rPr>
          <w:rFonts w:ascii="Abadi" w:hAnsi="Abadi" w:cs="Arial"/>
          <w:b/>
          <w:bCs/>
          <w:sz w:val="21"/>
          <w:szCs w:val="21"/>
          <w:lang w:val="es-MX"/>
        </w:rPr>
      </w:pPr>
    </w:p>
    <w:p w14:paraId="2E799BC2" w14:textId="77777777" w:rsidR="001025BF" w:rsidRPr="001025BF" w:rsidRDefault="001025BF" w:rsidP="001025BF">
      <w:pPr>
        <w:ind w:firstLine="708"/>
        <w:jc w:val="both"/>
        <w:rPr>
          <w:rFonts w:ascii="Abadi" w:hAnsi="Abadi" w:cs="Arial"/>
          <w:sz w:val="21"/>
          <w:szCs w:val="21"/>
        </w:rPr>
      </w:pPr>
      <w:r w:rsidRPr="001025BF">
        <w:rPr>
          <w:rFonts w:ascii="Abadi" w:hAnsi="Abadi" w:cs="Arial"/>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1025BF">
          <w:rPr>
            <w:rFonts w:ascii="Abadi" w:hAnsi="Abadi" w:cs="Arial"/>
            <w:sz w:val="21"/>
            <w:szCs w:val="21"/>
          </w:rPr>
          <w:t>la Constitución Política</w:t>
        </w:r>
      </w:smartTag>
      <w:r w:rsidRPr="001025BF">
        <w:rPr>
          <w:rFonts w:ascii="Abadi" w:hAnsi="Abadi" w:cs="Arial"/>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A591E06" w14:textId="77777777" w:rsidR="001025BF" w:rsidRPr="001025BF" w:rsidRDefault="001025BF" w:rsidP="001025BF">
      <w:pPr>
        <w:ind w:firstLine="708"/>
        <w:jc w:val="both"/>
        <w:rPr>
          <w:rFonts w:ascii="Abadi" w:hAnsi="Abadi" w:cs="Arial"/>
          <w:sz w:val="21"/>
          <w:szCs w:val="21"/>
        </w:rPr>
      </w:pPr>
    </w:p>
    <w:p w14:paraId="66772CE6" w14:textId="0031C05B" w:rsidR="001025BF" w:rsidRPr="001025BF" w:rsidRDefault="001025BF" w:rsidP="003975A9">
      <w:pPr>
        <w:ind w:firstLine="708"/>
        <w:jc w:val="both"/>
        <w:rPr>
          <w:rFonts w:ascii="Abadi" w:hAnsi="Abadi" w:cs="Arial"/>
          <w:sz w:val="21"/>
          <w:szCs w:val="21"/>
        </w:rPr>
      </w:pPr>
      <w:r w:rsidRPr="001025BF">
        <w:rPr>
          <w:rFonts w:ascii="Abadi" w:hAnsi="Abadi" w:cs="Arial"/>
          <w:sz w:val="21"/>
          <w:szCs w:val="21"/>
        </w:rPr>
        <w:t xml:space="preserve">El artículo 49 de </w:t>
      </w:r>
      <w:smartTag w:uri="urn:schemas-microsoft-com:office:smarttags" w:element="PersonName">
        <w:smartTagPr>
          <w:attr w:name="ProductID" w:val="la Ley"/>
        </w:smartTagPr>
        <w:r w:rsidRPr="001025BF">
          <w:rPr>
            <w:rFonts w:ascii="Abadi" w:hAnsi="Abadi" w:cs="Arial"/>
            <w:sz w:val="21"/>
            <w:szCs w:val="21"/>
          </w:rPr>
          <w:t>la Ley</w:t>
        </w:r>
      </w:smartTag>
      <w:r w:rsidRPr="001025BF">
        <w:rPr>
          <w:rFonts w:ascii="Abadi" w:hAnsi="Abadi" w:cs="Arial"/>
          <w:sz w:val="21"/>
          <w:szCs w:val="21"/>
        </w:rPr>
        <w:t xml:space="preserve"> de Coordinación Fiscal establece la facultad de la Auditoría Superior de la Federación para fiscalizar el ejercicio de los recursos </w:t>
      </w:r>
      <w:r w:rsidRPr="001025BF">
        <w:rPr>
          <w:rFonts w:ascii="Abadi" w:hAnsi="Abadi" w:cs="Arial"/>
          <w:sz w:val="21"/>
          <w:szCs w:val="21"/>
          <w:lang w:val="es-MX"/>
        </w:rPr>
        <w:t xml:space="preserve">de los fondos de aportaciones federales, </w:t>
      </w:r>
      <w:r w:rsidRPr="001025BF">
        <w:rPr>
          <w:rFonts w:ascii="Abadi" w:hAnsi="Abadi" w:cs="Arial"/>
          <w:sz w:val="21"/>
          <w:szCs w:val="21"/>
        </w:rPr>
        <w:t>en los términos de la Ley de Fiscalización y Rendición de Cuentas de la Federación.</w:t>
      </w:r>
    </w:p>
    <w:p w14:paraId="0502618E" w14:textId="77777777" w:rsidR="001025BF" w:rsidRPr="001025BF" w:rsidRDefault="001025BF" w:rsidP="001025BF">
      <w:pPr>
        <w:ind w:firstLine="708"/>
        <w:jc w:val="both"/>
        <w:rPr>
          <w:rFonts w:ascii="Abadi" w:hAnsi="Abadi" w:cs="Arial"/>
          <w:sz w:val="21"/>
          <w:szCs w:val="21"/>
        </w:rPr>
      </w:pPr>
    </w:p>
    <w:p w14:paraId="47652A93" w14:textId="77777777" w:rsidR="001025BF" w:rsidRPr="001025BF" w:rsidRDefault="001025BF" w:rsidP="001025BF">
      <w:pPr>
        <w:ind w:firstLine="708"/>
        <w:jc w:val="both"/>
        <w:rPr>
          <w:rFonts w:ascii="Abadi" w:hAnsi="Abadi" w:cs="Arial"/>
          <w:sz w:val="21"/>
          <w:szCs w:val="21"/>
        </w:rPr>
      </w:pPr>
      <w:r w:rsidRPr="001025BF">
        <w:rPr>
          <w:rFonts w:ascii="Abadi" w:hAnsi="Abadi" w:cs="Arial"/>
          <w:sz w:val="21"/>
          <w:szCs w:val="21"/>
        </w:rPr>
        <w:t>Dicho artículo también señala que cuando las entidades de fiscalización de los poderes legislativos locales detecten que los recursos de los fondos de aportaciones no se han destinado a los fines establecidos en dicha Ley, deberán hacerlo del conocimiento inmediato de la Auditoría Superior de la Federación.</w:t>
      </w:r>
    </w:p>
    <w:p w14:paraId="0F1F26C4" w14:textId="77777777" w:rsidR="001025BF" w:rsidRPr="001025BF" w:rsidRDefault="001025BF" w:rsidP="001025BF">
      <w:pPr>
        <w:ind w:firstLine="708"/>
        <w:jc w:val="both"/>
        <w:rPr>
          <w:rFonts w:ascii="Abadi" w:hAnsi="Abadi" w:cs="Arial"/>
          <w:sz w:val="21"/>
          <w:szCs w:val="21"/>
          <w:lang w:val="es-MX"/>
        </w:rPr>
      </w:pPr>
    </w:p>
    <w:p w14:paraId="391EED1E"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lang w:val="es-MX"/>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27B6F69" w14:textId="77777777" w:rsidR="001025BF" w:rsidRPr="001025BF" w:rsidRDefault="001025BF" w:rsidP="001025BF">
      <w:pPr>
        <w:ind w:firstLine="708"/>
        <w:jc w:val="both"/>
        <w:rPr>
          <w:rFonts w:ascii="Abadi" w:hAnsi="Abadi" w:cs="Arial"/>
          <w:sz w:val="21"/>
          <w:szCs w:val="21"/>
          <w:lang w:val="es-MX"/>
        </w:rPr>
      </w:pPr>
    </w:p>
    <w:p w14:paraId="046E1558" w14:textId="77777777" w:rsidR="001025BF" w:rsidRPr="001025BF" w:rsidRDefault="001025BF" w:rsidP="001025BF">
      <w:pPr>
        <w:ind w:firstLine="708"/>
        <w:jc w:val="both"/>
        <w:rPr>
          <w:rFonts w:ascii="Abadi" w:hAnsi="Abadi" w:cs="Arial"/>
          <w:sz w:val="21"/>
          <w:szCs w:val="21"/>
          <w:lang w:val="es-MX" w:eastAsia="x-none"/>
        </w:rPr>
      </w:pPr>
      <w:r w:rsidRPr="001025BF">
        <w:rPr>
          <w:rFonts w:ascii="Abadi" w:hAnsi="Abadi" w:cs="Arial"/>
          <w:sz w:val="21"/>
          <w:szCs w:val="21"/>
          <w:lang w:val="es-MX" w:eastAsia="x-none"/>
        </w:rPr>
        <w:t xml:space="preserve">El artículo 82, fracción XXIV de </w:t>
      </w:r>
      <w:smartTag w:uri="urn:schemas-microsoft-com:office:smarttags" w:element="PersonName">
        <w:smartTagPr>
          <w:attr w:name="ProductID" w:val="la Ley"/>
        </w:smartTagPr>
        <w:r w:rsidRPr="001025BF">
          <w:rPr>
            <w:rFonts w:ascii="Abadi" w:hAnsi="Abadi" w:cs="Arial"/>
            <w:sz w:val="21"/>
            <w:szCs w:val="21"/>
            <w:lang w:val="es-MX" w:eastAsia="x-none"/>
          </w:rPr>
          <w:t>la Ley</w:t>
        </w:r>
      </w:smartTag>
      <w:r w:rsidRPr="001025BF">
        <w:rPr>
          <w:rFonts w:ascii="Abadi" w:hAnsi="Abadi" w:cs="Arial"/>
          <w:sz w:val="21"/>
          <w:szCs w:val="21"/>
          <w:lang w:val="es-MX" w:eastAsia="x-none"/>
        </w:rPr>
        <w:t xml:space="preserve"> de Fiscalización Superior del Estado de Guanajuato establece como atribución del Auditor Superior, rendir al Congreso, los informes derivados del ejercicio de la función de fiscalización.</w:t>
      </w:r>
    </w:p>
    <w:p w14:paraId="0E3590BC" w14:textId="77777777" w:rsidR="001025BF" w:rsidRPr="001025BF" w:rsidRDefault="001025BF" w:rsidP="001025BF">
      <w:pPr>
        <w:ind w:firstLine="708"/>
        <w:jc w:val="both"/>
        <w:rPr>
          <w:rFonts w:ascii="Abadi" w:hAnsi="Abadi" w:cs="Arial"/>
          <w:sz w:val="21"/>
          <w:szCs w:val="21"/>
          <w:lang w:val="es-MX"/>
        </w:rPr>
      </w:pPr>
    </w:p>
    <w:p w14:paraId="37FE45E1"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lang w:val="es-MX"/>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30CB8A74" w14:textId="77777777" w:rsidR="001025BF" w:rsidRPr="001025BF" w:rsidRDefault="001025BF" w:rsidP="001025BF">
      <w:pPr>
        <w:ind w:firstLine="708"/>
        <w:jc w:val="both"/>
        <w:rPr>
          <w:rFonts w:ascii="Abadi" w:hAnsi="Abadi" w:cs="Arial"/>
          <w:sz w:val="21"/>
          <w:szCs w:val="21"/>
          <w:lang w:val="es-MX"/>
        </w:rPr>
      </w:pPr>
    </w:p>
    <w:p w14:paraId="0B8B4315"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lang w:val="es-MX"/>
        </w:rPr>
        <w:t xml:space="preserve">Con la finalidad de que el Congreso dé cumplimiento a lo señalado en el párrafo anterior, </w:t>
      </w:r>
      <w:smartTag w:uri="urn:schemas-microsoft-com:office:smarttags" w:element="PersonName">
        <w:smartTagPr>
          <w:attr w:name="ProductID" w:val="la Ley Org￡nica"/>
        </w:smartTagPr>
        <w:r w:rsidRPr="001025BF">
          <w:rPr>
            <w:rFonts w:ascii="Abadi" w:hAnsi="Abadi" w:cs="Arial"/>
            <w:sz w:val="21"/>
            <w:szCs w:val="21"/>
            <w:lang w:val="es-MX"/>
          </w:rPr>
          <w:t>la Ley Orgánica</w:t>
        </w:r>
      </w:smartTag>
      <w:r w:rsidRPr="001025BF">
        <w:rPr>
          <w:rFonts w:ascii="Abadi" w:hAnsi="Abadi" w:cs="Arial"/>
          <w:sz w:val="21"/>
          <w:szCs w:val="21"/>
          <w:lang w:val="es-MX"/>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8994648" w14:textId="77777777" w:rsidR="001025BF" w:rsidRPr="001025BF" w:rsidRDefault="001025BF" w:rsidP="001025BF">
      <w:pPr>
        <w:ind w:firstLine="708"/>
        <w:jc w:val="both"/>
        <w:rPr>
          <w:rFonts w:ascii="Abadi" w:hAnsi="Abadi" w:cs="Arial"/>
          <w:sz w:val="21"/>
          <w:szCs w:val="21"/>
          <w:lang w:val="es-MX"/>
        </w:rPr>
      </w:pPr>
    </w:p>
    <w:p w14:paraId="2B2A2734"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lang w:val="es-MX"/>
        </w:rPr>
        <w:t>A efecto de cumplir con las atribuciones conferidas a esta Comisión, y en observancia a lo que establece el artículo 38 de la Ley de Fiscalización Superior del Estado de Guanajuato, el presente dictamen se ocupará exclusivamente del aspecto que la propia Ley señala y por el cual podría ser observado o no, el informe de resultados.</w:t>
      </w:r>
    </w:p>
    <w:p w14:paraId="49258757" w14:textId="77777777" w:rsidR="001025BF" w:rsidRPr="001025BF" w:rsidRDefault="001025BF" w:rsidP="000365D7">
      <w:pPr>
        <w:jc w:val="both"/>
        <w:rPr>
          <w:rFonts w:ascii="Abadi" w:hAnsi="Abadi" w:cs="Arial"/>
          <w:b/>
          <w:bCs/>
          <w:sz w:val="21"/>
          <w:szCs w:val="21"/>
          <w:lang w:val="es-MX"/>
        </w:rPr>
      </w:pPr>
    </w:p>
    <w:p w14:paraId="3FC5EBAC" w14:textId="77777777" w:rsidR="001025BF" w:rsidRPr="001025BF" w:rsidRDefault="001025BF" w:rsidP="001025BF">
      <w:pPr>
        <w:ind w:firstLine="708"/>
        <w:jc w:val="both"/>
        <w:rPr>
          <w:rFonts w:ascii="Abadi" w:hAnsi="Abadi" w:cs="Arial"/>
          <w:b/>
          <w:bCs/>
          <w:sz w:val="21"/>
          <w:szCs w:val="21"/>
          <w:lang w:val="es-MX"/>
        </w:rPr>
      </w:pPr>
      <w:r w:rsidRPr="001025BF">
        <w:rPr>
          <w:rFonts w:ascii="Abadi" w:hAnsi="Abadi" w:cs="Arial"/>
          <w:b/>
          <w:bCs/>
          <w:sz w:val="21"/>
          <w:szCs w:val="21"/>
          <w:lang w:val="es-MX"/>
        </w:rPr>
        <w:t>II. Antecedentes:</w:t>
      </w:r>
    </w:p>
    <w:p w14:paraId="26EF01DF" w14:textId="77777777" w:rsidR="001025BF" w:rsidRPr="001025BF" w:rsidRDefault="001025BF" w:rsidP="001025BF">
      <w:pPr>
        <w:ind w:firstLine="708"/>
        <w:jc w:val="both"/>
        <w:rPr>
          <w:rFonts w:ascii="Abadi" w:hAnsi="Abadi" w:cs="Arial"/>
          <w:sz w:val="21"/>
          <w:szCs w:val="21"/>
          <w:lang w:val="es-MX"/>
        </w:rPr>
      </w:pPr>
    </w:p>
    <w:p w14:paraId="3A27A06E"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lang w:val="es-MX"/>
        </w:rPr>
        <w:t xml:space="preserve">De conformidad con los artículos 66, fracción IV de </w:t>
      </w:r>
      <w:smartTag w:uri="urn:schemas-microsoft-com:office:smarttags" w:element="PersonName">
        <w:smartTagPr>
          <w:attr w:name="ProductID" w:val="la Constituci￳n Pol￭tica"/>
        </w:smartTagPr>
        <w:r w:rsidRPr="001025BF">
          <w:rPr>
            <w:rFonts w:ascii="Abadi" w:hAnsi="Abadi" w:cs="Arial"/>
            <w:sz w:val="21"/>
            <w:szCs w:val="21"/>
            <w:lang w:val="es-MX"/>
          </w:rPr>
          <w:t>la Constitución Política</w:t>
        </w:r>
      </w:smartTag>
      <w:r w:rsidRPr="001025BF">
        <w:rPr>
          <w:rFonts w:ascii="Abadi" w:hAnsi="Abadi" w:cs="Arial"/>
          <w:sz w:val="21"/>
          <w:szCs w:val="21"/>
          <w:lang w:val="es-MX"/>
        </w:rPr>
        <w:t xml:space="preserve"> Local y 82, fracción III de la </w:t>
      </w:r>
      <w:r w:rsidRPr="001025BF">
        <w:rPr>
          <w:rFonts w:ascii="Abadi" w:hAnsi="Abadi" w:cs="Arial"/>
          <w:sz w:val="21"/>
          <w:szCs w:val="21"/>
        </w:rPr>
        <w:t>Ley de Fiscalización Superior del Estado de Guanajuato,</w:t>
      </w:r>
      <w:r w:rsidRPr="001025BF">
        <w:rPr>
          <w:rFonts w:ascii="Abadi" w:hAnsi="Abadi" w:cs="Arial"/>
          <w:sz w:val="21"/>
          <w:szCs w:val="21"/>
          <w:lang w:val="es-MX"/>
        </w:rPr>
        <w:t xml:space="preserve"> corresponde a la Auditoría Superior del Estado, acordar y practicar auditorías conforme a su programa anual y ejecutar las que acuerde el Congreso del Estado en los términos de la fracción XXVIII del artículo 63 de dicha Constitución.</w:t>
      </w:r>
    </w:p>
    <w:p w14:paraId="1D425C54" w14:textId="77777777" w:rsidR="001025BF" w:rsidRPr="001025BF" w:rsidRDefault="001025BF" w:rsidP="001025BF">
      <w:pPr>
        <w:ind w:firstLine="708"/>
        <w:jc w:val="both"/>
        <w:rPr>
          <w:rFonts w:ascii="Abadi" w:hAnsi="Abadi" w:cs="Arial"/>
          <w:sz w:val="21"/>
          <w:szCs w:val="21"/>
        </w:rPr>
      </w:pPr>
    </w:p>
    <w:p w14:paraId="15DCB71E"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lang w:val="es-MX"/>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4F69C101" w14:textId="77777777" w:rsidR="001025BF" w:rsidRPr="001025BF" w:rsidRDefault="001025BF" w:rsidP="001025BF">
      <w:pPr>
        <w:ind w:firstLine="708"/>
        <w:jc w:val="both"/>
        <w:rPr>
          <w:rFonts w:ascii="Abadi" w:hAnsi="Abadi" w:cs="Arial"/>
          <w:sz w:val="21"/>
          <w:szCs w:val="21"/>
        </w:rPr>
      </w:pPr>
    </w:p>
    <w:p w14:paraId="271E2BAA"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lang w:val="es-MX"/>
        </w:rPr>
        <w:t>En ejercicio de esta función, el Auditor Superior del Estado aprobó el Programa General de Fiscalización 2021 de la Auditoría Superior del Estado de Guanajuato. En dicho Programa se contempló la práctica de una auditoría a la infraestructura pública municipal respecto de las operaciones realizadas por la administración municipal de Villagrán, Gto., correspondientes al periodo comprendido del 1 de enero al 31 de diciembre del ejercicio fiscal del año 2020.</w:t>
      </w:r>
    </w:p>
    <w:p w14:paraId="4B7DEC9A" w14:textId="77777777" w:rsidR="001025BF" w:rsidRPr="001025BF" w:rsidRDefault="001025BF" w:rsidP="001025BF">
      <w:pPr>
        <w:ind w:firstLine="708"/>
        <w:jc w:val="both"/>
        <w:rPr>
          <w:rFonts w:ascii="Abadi" w:hAnsi="Abadi" w:cs="Arial"/>
          <w:sz w:val="21"/>
          <w:szCs w:val="21"/>
          <w:lang w:val="es-MX"/>
        </w:rPr>
      </w:pPr>
    </w:p>
    <w:p w14:paraId="38EAB39A"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lang w:val="es-MX"/>
        </w:rPr>
        <w:t>La auditoría practicada conforme a lo expresado en los párrafos anteriores concluyó con la elaboración del informe de resultados que se remitió al Congreso, el cual se turnó a esta Comisión de Hacienda y Fiscalización el 24 de marzo de 2022 para su estudio y dictamen, siendo radicado en la misma fecha.</w:t>
      </w:r>
    </w:p>
    <w:p w14:paraId="1EF8E4C1" w14:textId="77777777" w:rsidR="001025BF" w:rsidRPr="001025BF" w:rsidRDefault="001025BF" w:rsidP="001025BF">
      <w:pPr>
        <w:ind w:firstLine="708"/>
        <w:jc w:val="both"/>
        <w:rPr>
          <w:rFonts w:ascii="Abadi" w:hAnsi="Abadi" w:cs="Arial"/>
          <w:sz w:val="21"/>
          <w:szCs w:val="21"/>
          <w:lang w:val="es-MX"/>
        </w:rPr>
      </w:pPr>
    </w:p>
    <w:p w14:paraId="4D6C705E" w14:textId="77777777" w:rsidR="001025BF" w:rsidRPr="001025BF" w:rsidRDefault="001025BF" w:rsidP="001025BF">
      <w:pPr>
        <w:ind w:firstLine="708"/>
        <w:jc w:val="both"/>
        <w:rPr>
          <w:rFonts w:ascii="Abadi" w:hAnsi="Abadi" w:cs="Arial"/>
          <w:b/>
          <w:bCs/>
          <w:sz w:val="21"/>
          <w:szCs w:val="21"/>
          <w:lang w:val="es-MX"/>
        </w:rPr>
      </w:pPr>
      <w:r w:rsidRPr="001025BF">
        <w:rPr>
          <w:rFonts w:ascii="Abadi" w:hAnsi="Abadi" w:cs="Arial"/>
          <w:b/>
          <w:bCs/>
          <w:sz w:val="21"/>
          <w:szCs w:val="21"/>
          <w:lang w:val="es-MX"/>
        </w:rPr>
        <w:t>III. Procedimiento de Auditoría:</w:t>
      </w:r>
    </w:p>
    <w:p w14:paraId="541F9F16" w14:textId="77777777" w:rsidR="001025BF" w:rsidRPr="001025BF" w:rsidRDefault="001025BF" w:rsidP="001025BF">
      <w:pPr>
        <w:ind w:firstLine="708"/>
        <w:jc w:val="both"/>
        <w:rPr>
          <w:rFonts w:ascii="Abadi" w:hAnsi="Abadi" w:cs="Arial"/>
          <w:sz w:val="21"/>
          <w:szCs w:val="21"/>
          <w:lang w:val="es-MX"/>
        </w:rPr>
      </w:pPr>
    </w:p>
    <w:p w14:paraId="5C270022"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lang w:val="es-MX"/>
        </w:rPr>
        <w:t>La auditoría practicada a la infraestructura pública municipal respecto de las operaciones realizadas por la administración municipal de Villagrán, Gto., correspondientes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5F3CFCD4" w14:textId="77777777" w:rsidR="001025BF" w:rsidRPr="001025BF" w:rsidRDefault="001025BF" w:rsidP="001025BF">
      <w:pPr>
        <w:ind w:firstLine="708"/>
        <w:jc w:val="both"/>
        <w:rPr>
          <w:rFonts w:ascii="Abadi" w:hAnsi="Abadi" w:cs="Arial"/>
          <w:sz w:val="21"/>
          <w:szCs w:val="21"/>
          <w:lang w:val="es-MX"/>
        </w:rPr>
      </w:pPr>
    </w:p>
    <w:p w14:paraId="41BC411C" w14:textId="77777777" w:rsidR="001025BF" w:rsidRPr="001025BF" w:rsidRDefault="001025BF" w:rsidP="001025BF">
      <w:pPr>
        <w:ind w:firstLine="708"/>
        <w:jc w:val="both"/>
        <w:rPr>
          <w:rFonts w:ascii="Abadi" w:hAnsi="Abadi" w:cs="Arial"/>
          <w:sz w:val="21"/>
          <w:szCs w:val="21"/>
          <w:lang w:val="es-MX"/>
        </w:rPr>
      </w:pPr>
    </w:p>
    <w:p w14:paraId="6E1A9ED1"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lang w:val="es-MX"/>
        </w:rPr>
        <w:t>Asimismo, dentro del objetivo de la auditoría también se encuentra el de verificar que los recursos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administrativa y contable de las obras, abarcando todas su etapas tales como: planeación, presupuestación, programación, licitación, adjudicación, contratación, ejecución, control, liquidación y entrega-recepción.</w:t>
      </w:r>
    </w:p>
    <w:p w14:paraId="0E4BBB5A" w14:textId="77777777" w:rsidR="001025BF" w:rsidRPr="001025BF" w:rsidRDefault="001025BF" w:rsidP="001025BF">
      <w:pPr>
        <w:ind w:firstLine="708"/>
        <w:jc w:val="both"/>
        <w:rPr>
          <w:rFonts w:ascii="Abadi" w:hAnsi="Abadi" w:cs="Arial"/>
          <w:sz w:val="21"/>
          <w:szCs w:val="21"/>
          <w:lang w:val="es-MX"/>
        </w:rPr>
      </w:pPr>
    </w:p>
    <w:p w14:paraId="0A5F3641"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lang w:val="es-MX"/>
        </w:rPr>
        <w:t>Por otra parte, la auditoría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01B104D4" w14:textId="77777777" w:rsidR="001025BF" w:rsidRPr="001025BF" w:rsidRDefault="001025BF" w:rsidP="001025BF">
      <w:pPr>
        <w:ind w:firstLine="708"/>
        <w:jc w:val="both"/>
        <w:rPr>
          <w:rFonts w:ascii="Abadi" w:hAnsi="Abadi" w:cs="Arial"/>
          <w:sz w:val="21"/>
          <w:szCs w:val="21"/>
          <w:lang w:val="es-MX"/>
        </w:rPr>
      </w:pPr>
    </w:p>
    <w:p w14:paraId="728AAA58" w14:textId="4DFC0A19" w:rsidR="001025BF" w:rsidRPr="001025BF" w:rsidRDefault="001025BF" w:rsidP="000365D7">
      <w:pPr>
        <w:ind w:firstLine="708"/>
        <w:jc w:val="both"/>
        <w:rPr>
          <w:rFonts w:ascii="Abadi" w:hAnsi="Abadi" w:cs="Arial"/>
          <w:sz w:val="21"/>
          <w:szCs w:val="21"/>
          <w:lang w:val="es-MX"/>
        </w:rPr>
      </w:pPr>
      <w:r w:rsidRPr="001025BF">
        <w:rPr>
          <w:rFonts w:ascii="Abadi" w:hAnsi="Abadi" w:cs="Arial"/>
          <w:sz w:val="21"/>
          <w:szCs w:val="21"/>
          <w:lang w:val="es-MX"/>
        </w:rPr>
        <w:t>En la auditoría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4CB5F817" w14:textId="77777777" w:rsidR="001025BF" w:rsidRPr="001025BF" w:rsidRDefault="001025BF" w:rsidP="001025BF">
      <w:pPr>
        <w:autoSpaceDE w:val="0"/>
        <w:autoSpaceDN w:val="0"/>
        <w:adjustRightInd w:val="0"/>
        <w:ind w:firstLine="708"/>
        <w:jc w:val="both"/>
        <w:rPr>
          <w:rFonts w:ascii="Abadi" w:hAnsi="Abadi" w:cs="Arial"/>
          <w:sz w:val="21"/>
          <w:szCs w:val="21"/>
          <w:lang w:val="es-MX"/>
        </w:rPr>
      </w:pPr>
    </w:p>
    <w:p w14:paraId="7BFB6996" w14:textId="77777777" w:rsidR="001025BF" w:rsidRPr="001025BF" w:rsidRDefault="001025BF" w:rsidP="001025BF">
      <w:pPr>
        <w:autoSpaceDE w:val="0"/>
        <w:autoSpaceDN w:val="0"/>
        <w:adjustRightInd w:val="0"/>
        <w:ind w:firstLine="708"/>
        <w:jc w:val="both"/>
        <w:rPr>
          <w:rFonts w:ascii="Abadi" w:hAnsi="Abadi" w:cs="Arial"/>
          <w:sz w:val="21"/>
          <w:szCs w:val="21"/>
          <w:lang w:val="es-MX"/>
        </w:rPr>
      </w:pPr>
      <w:r w:rsidRPr="001025BF">
        <w:rPr>
          <w:rFonts w:ascii="Abadi" w:hAnsi="Abadi" w:cs="Arial"/>
          <w:sz w:val="21"/>
          <w:szCs w:val="21"/>
          <w:lang w:val="es-MX"/>
        </w:rPr>
        <w:t>De igual forma, en la auditoría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auditoría.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770E9A85" w14:textId="77777777" w:rsidR="001025BF" w:rsidRPr="001025BF" w:rsidRDefault="001025BF" w:rsidP="001025BF">
      <w:pPr>
        <w:autoSpaceDE w:val="0"/>
        <w:autoSpaceDN w:val="0"/>
        <w:adjustRightInd w:val="0"/>
        <w:ind w:firstLine="708"/>
        <w:jc w:val="both"/>
        <w:rPr>
          <w:rFonts w:ascii="Abadi" w:hAnsi="Abadi" w:cs="Arial"/>
          <w:sz w:val="21"/>
          <w:szCs w:val="21"/>
          <w:lang w:val="es-MX"/>
        </w:rPr>
      </w:pPr>
    </w:p>
    <w:p w14:paraId="064AEA6A"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lang w:val="es-MX"/>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w:t>
      </w:r>
    </w:p>
    <w:p w14:paraId="030F8EFF" w14:textId="77777777" w:rsidR="001025BF" w:rsidRPr="001025BF" w:rsidRDefault="001025BF" w:rsidP="001025BF">
      <w:pPr>
        <w:ind w:firstLine="708"/>
        <w:jc w:val="both"/>
        <w:rPr>
          <w:rFonts w:ascii="Abadi" w:hAnsi="Abadi" w:cs="Arial"/>
          <w:sz w:val="21"/>
          <w:szCs w:val="21"/>
          <w:lang w:val="es-MX"/>
        </w:rPr>
      </w:pPr>
    </w:p>
    <w:p w14:paraId="06ED7FBE"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lang w:val="es-MX"/>
        </w:rPr>
        <w:t>El 18 de agosto de 2021 se notificó al presidente municipal de Villagrán, Gto., la orden de inicio del procedimiento de auditoría.</w:t>
      </w:r>
    </w:p>
    <w:p w14:paraId="604A4ADB" w14:textId="77777777" w:rsidR="001025BF" w:rsidRPr="001025BF" w:rsidRDefault="001025BF" w:rsidP="001025BF">
      <w:pPr>
        <w:ind w:firstLine="708"/>
        <w:jc w:val="both"/>
        <w:rPr>
          <w:rFonts w:ascii="Abadi" w:hAnsi="Abadi" w:cs="Arial"/>
          <w:sz w:val="21"/>
          <w:szCs w:val="21"/>
          <w:lang w:val="es-MX"/>
        </w:rPr>
      </w:pPr>
    </w:p>
    <w:p w14:paraId="1D269230"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lang w:val="es-MX"/>
        </w:rPr>
        <w:t>El 1 de diciembre de 2021, se notificó al presidente municipal de Villagrán, Gto., la suspensión del plazo de la revisión materia del presente dictamen, de conformidad con lo establecido en el Acuerdo de Suspensión de Plazos publicado en el Periódico Oficial del Gobierno del Estado de Guanajuato el 19 de noviembre de 2021.</w:t>
      </w:r>
    </w:p>
    <w:p w14:paraId="6BC2EF6F" w14:textId="77777777" w:rsidR="001025BF" w:rsidRPr="001025BF" w:rsidRDefault="001025BF" w:rsidP="001025BF">
      <w:pPr>
        <w:ind w:firstLine="708"/>
        <w:jc w:val="both"/>
        <w:rPr>
          <w:rFonts w:ascii="Abadi" w:hAnsi="Abadi" w:cs="Arial"/>
          <w:sz w:val="21"/>
          <w:szCs w:val="21"/>
          <w:lang w:val="es-MX"/>
        </w:rPr>
      </w:pPr>
    </w:p>
    <w:p w14:paraId="32C7C9E9" w14:textId="55589C37" w:rsidR="001025BF" w:rsidRPr="001025BF" w:rsidRDefault="001025BF" w:rsidP="000365D7">
      <w:pPr>
        <w:ind w:firstLine="708"/>
        <w:jc w:val="both"/>
        <w:rPr>
          <w:rFonts w:ascii="Abadi" w:hAnsi="Abadi" w:cs="Arial"/>
          <w:sz w:val="21"/>
          <w:szCs w:val="21"/>
          <w:lang w:val="es-MX"/>
        </w:rPr>
      </w:pPr>
      <w:r w:rsidRPr="001025BF">
        <w:rPr>
          <w:rFonts w:ascii="Abadi" w:hAnsi="Abadi" w:cs="Arial"/>
          <w:sz w:val="21"/>
          <w:szCs w:val="21"/>
          <w:lang w:val="es-MX"/>
        </w:rPr>
        <w:t>Posteriormente, el 2 de febrero de 2022 se notificó al presidente municipal de Villagrán, Gto., el pliego de observaciones y recomendaciones derivado de la auditoría practicada a la infraestructura pública municipal respecto de las operaciones realizadas por dicha administración municipal, correspondientes al ejercicio fiscal del año 2020, al cual se dio respuesta en fechas 24 y 28 de febrero de 2022 por parte del referido funcionario municipal.</w:t>
      </w:r>
    </w:p>
    <w:p w14:paraId="3599C776" w14:textId="77777777" w:rsidR="001025BF" w:rsidRPr="001025BF" w:rsidRDefault="001025BF" w:rsidP="001025BF">
      <w:pPr>
        <w:ind w:firstLine="708"/>
        <w:jc w:val="both"/>
        <w:rPr>
          <w:rFonts w:ascii="Abadi" w:hAnsi="Abadi" w:cs="Arial"/>
          <w:sz w:val="21"/>
          <w:szCs w:val="21"/>
          <w:lang w:val="es-MX"/>
        </w:rPr>
      </w:pPr>
    </w:p>
    <w:p w14:paraId="6785CF35"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lang w:val="es-MX"/>
        </w:rPr>
        <w:t xml:space="preserve">El 4 de marzo de 2022, el informe de resultados se notificó al presidente municipal de Villagrán, Gto., para que, en su caso, hiciera valer el recurso de reconsideración previsto por los artículos del 48 al 55 de </w:t>
      </w:r>
      <w:smartTag w:uri="urn:schemas-microsoft-com:office:smarttags" w:element="PersonName">
        <w:smartTagPr>
          <w:attr w:name="ProductID" w:val="la Ley"/>
        </w:smartTagPr>
        <w:r w:rsidRPr="001025BF">
          <w:rPr>
            <w:rFonts w:ascii="Abadi" w:hAnsi="Abadi" w:cs="Arial"/>
            <w:sz w:val="21"/>
            <w:szCs w:val="21"/>
            <w:lang w:val="es-MX"/>
          </w:rPr>
          <w:t>la Ley</w:t>
        </w:r>
      </w:smartTag>
      <w:r w:rsidRPr="001025BF">
        <w:rPr>
          <w:rFonts w:ascii="Abadi" w:hAnsi="Abadi" w:cs="Arial"/>
          <w:sz w:val="21"/>
          <w:szCs w:val="21"/>
          <w:lang w:val="es-MX"/>
        </w:rPr>
        <w:t xml:space="preserve"> de Fiscalización Superior del Estado de Guanajuato, haciéndole saber que contaba con un término de cinco días hábiles para tal efecto. Con lo anterior, se dio cumplimiento a la fracción IV del artículo 37 de la citada Ley.</w:t>
      </w:r>
    </w:p>
    <w:p w14:paraId="136B2030" w14:textId="77777777" w:rsidR="001025BF" w:rsidRPr="001025BF" w:rsidRDefault="001025BF" w:rsidP="001025BF">
      <w:pPr>
        <w:ind w:firstLine="708"/>
        <w:jc w:val="both"/>
        <w:rPr>
          <w:rFonts w:ascii="Abadi" w:hAnsi="Abadi" w:cs="Arial"/>
          <w:sz w:val="21"/>
          <w:szCs w:val="21"/>
          <w:lang w:val="es-MX"/>
        </w:rPr>
      </w:pPr>
    </w:p>
    <w:p w14:paraId="0FBE958D"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lang w:val="es-MX"/>
        </w:rPr>
        <w:t>Este término transcurrió sin que, dentro del mismo, se hubiere promovido el recurso de reconsideración, como consta en la razón levantada por el Auditor Superior del Estado el 14 de marzo de 2022, en la que se realiza el cómputo del término para la interposición del recurso, contado a partir del día hábil siguiente de la notificación del informe de resultados.</w:t>
      </w:r>
    </w:p>
    <w:p w14:paraId="1D7BF9F9" w14:textId="77777777" w:rsidR="001025BF" w:rsidRPr="001025BF" w:rsidRDefault="001025BF" w:rsidP="001025BF">
      <w:pPr>
        <w:ind w:firstLine="708"/>
        <w:jc w:val="both"/>
        <w:rPr>
          <w:rFonts w:ascii="Abadi" w:hAnsi="Abadi" w:cs="Arial"/>
          <w:sz w:val="21"/>
          <w:szCs w:val="21"/>
          <w:lang w:val="es-MX"/>
        </w:rPr>
      </w:pPr>
    </w:p>
    <w:p w14:paraId="38317E54" w14:textId="77777777" w:rsidR="001025BF" w:rsidRPr="001025BF" w:rsidRDefault="001025BF" w:rsidP="001025BF">
      <w:pPr>
        <w:ind w:firstLine="708"/>
        <w:jc w:val="both"/>
        <w:rPr>
          <w:rFonts w:ascii="Abadi" w:hAnsi="Abadi" w:cs="Arial"/>
          <w:b/>
          <w:bCs/>
          <w:sz w:val="21"/>
          <w:szCs w:val="21"/>
        </w:rPr>
      </w:pPr>
      <w:r w:rsidRPr="001025BF">
        <w:rPr>
          <w:rFonts w:ascii="Abadi" w:hAnsi="Abadi" w:cs="Arial"/>
          <w:b/>
          <w:bCs/>
          <w:sz w:val="21"/>
          <w:szCs w:val="21"/>
        </w:rPr>
        <w:t>IV. Contenido del Informe de Resultados:</w:t>
      </w:r>
    </w:p>
    <w:p w14:paraId="5DC8312F" w14:textId="77777777" w:rsidR="001025BF" w:rsidRPr="001025BF" w:rsidRDefault="001025BF" w:rsidP="001025BF">
      <w:pPr>
        <w:jc w:val="both"/>
        <w:rPr>
          <w:rFonts w:ascii="Abadi" w:hAnsi="Abadi" w:cs="Arial"/>
          <w:b/>
          <w:bCs/>
          <w:sz w:val="21"/>
          <w:szCs w:val="21"/>
        </w:rPr>
      </w:pPr>
    </w:p>
    <w:p w14:paraId="6413BBA7" w14:textId="77777777" w:rsidR="001025BF" w:rsidRPr="001025BF" w:rsidRDefault="001025BF" w:rsidP="001025BF">
      <w:pPr>
        <w:jc w:val="both"/>
        <w:rPr>
          <w:rFonts w:ascii="Abadi" w:hAnsi="Abadi" w:cs="Arial"/>
          <w:sz w:val="21"/>
          <w:szCs w:val="21"/>
        </w:rPr>
      </w:pPr>
      <w:r w:rsidRPr="001025BF">
        <w:rPr>
          <w:rFonts w:ascii="Abadi" w:hAnsi="Abadi" w:cs="Arial"/>
          <w:b/>
          <w:bCs/>
          <w:sz w:val="21"/>
          <w:szCs w:val="21"/>
        </w:rPr>
        <w:tab/>
      </w:r>
      <w:r w:rsidRPr="001025BF">
        <w:rPr>
          <w:rFonts w:ascii="Abadi" w:hAnsi="Abadi" w:cs="Arial"/>
          <w:bCs/>
          <w:sz w:val="21"/>
          <w:szCs w:val="21"/>
        </w:rPr>
        <w:t>En cumplimiento a lo establecido por el</w:t>
      </w:r>
      <w:r w:rsidRPr="001025BF">
        <w:rPr>
          <w:rFonts w:ascii="Abadi" w:hAnsi="Abadi" w:cs="Arial"/>
          <w:sz w:val="21"/>
          <w:szCs w:val="21"/>
        </w:rPr>
        <w:t xml:space="preserve"> artículo 37, fracción III de la Ley de Fiscalización Superior del Estado, el informe de resultados contiene los siguientes apartados:</w:t>
      </w:r>
    </w:p>
    <w:p w14:paraId="6412DEDE" w14:textId="77777777" w:rsidR="001025BF" w:rsidRPr="001025BF" w:rsidRDefault="001025BF" w:rsidP="001025BF">
      <w:pPr>
        <w:jc w:val="both"/>
        <w:rPr>
          <w:rFonts w:ascii="Abadi" w:hAnsi="Abadi" w:cs="Arial"/>
          <w:sz w:val="21"/>
          <w:szCs w:val="21"/>
        </w:rPr>
      </w:pPr>
    </w:p>
    <w:p w14:paraId="42FCC563" w14:textId="77777777" w:rsidR="001025BF" w:rsidRPr="001025BF" w:rsidRDefault="001025BF" w:rsidP="001A28E5">
      <w:pPr>
        <w:numPr>
          <w:ilvl w:val="0"/>
          <w:numId w:val="87"/>
        </w:numPr>
        <w:jc w:val="both"/>
        <w:rPr>
          <w:rFonts w:ascii="Abadi" w:hAnsi="Abadi" w:cs="Arial"/>
          <w:b/>
          <w:bCs/>
          <w:sz w:val="21"/>
          <w:szCs w:val="21"/>
        </w:rPr>
      </w:pPr>
      <w:r w:rsidRPr="001025BF">
        <w:rPr>
          <w:rFonts w:ascii="Abadi" w:hAnsi="Abadi" w:cs="Arial"/>
          <w:b/>
          <w:bCs/>
          <w:sz w:val="21"/>
          <w:szCs w:val="21"/>
        </w:rPr>
        <w:t>Introducción.</w:t>
      </w:r>
    </w:p>
    <w:p w14:paraId="762D3F87" w14:textId="77777777" w:rsidR="001025BF" w:rsidRPr="001025BF" w:rsidRDefault="001025BF" w:rsidP="001025BF">
      <w:pPr>
        <w:ind w:left="705"/>
        <w:jc w:val="both"/>
        <w:rPr>
          <w:rFonts w:ascii="Abadi" w:hAnsi="Abadi" w:cs="Arial"/>
          <w:sz w:val="21"/>
          <w:szCs w:val="21"/>
        </w:rPr>
      </w:pPr>
    </w:p>
    <w:p w14:paraId="40EB12B5" w14:textId="77777777" w:rsidR="001025BF" w:rsidRPr="001025BF" w:rsidRDefault="001025BF" w:rsidP="001025BF">
      <w:pPr>
        <w:ind w:firstLine="705"/>
        <w:jc w:val="both"/>
        <w:rPr>
          <w:rFonts w:ascii="Abadi" w:hAnsi="Abadi" w:cs="Arial"/>
          <w:sz w:val="21"/>
          <w:szCs w:val="21"/>
        </w:rPr>
      </w:pPr>
      <w:r w:rsidRPr="001025BF">
        <w:rPr>
          <w:rFonts w:ascii="Abadi" w:hAnsi="Abadi" w:cs="Arial"/>
          <w:sz w:val="21"/>
          <w:szCs w:val="21"/>
        </w:rPr>
        <w:t>Por lo que se refiere a este punto, se establecen los criterios de selección; el objetivo de la auditoría; el alcance de la auditoría respecto a los apartados de ingresos y egresos,</w:t>
      </w:r>
      <w:r w:rsidRPr="001025BF">
        <w:rPr>
          <w:rFonts w:ascii="Abadi" w:hAnsi="Abadi" w:cs="Arial"/>
          <w:sz w:val="21"/>
          <w:szCs w:val="21"/>
          <w:lang w:val="es-MX"/>
        </w:rPr>
        <w:t xml:space="preserve"> precisando que el detalle de los alcances de la auditoría se consigna en el Anexo 02 del informe de resultados.</w:t>
      </w:r>
    </w:p>
    <w:p w14:paraId="15397C8D" w14:textId="77777777" w:rsidR="001025BF" w:rsidRPr="001025BF" w:rsidRDefault="001025BF" w:rsidP="001025BF">
      <w:pPr>
        <w:ind w:firstLine="705"/>
        <w:jc w:val="both"/>
        <w:rPr>
          <w:rFonts w:ascii="Abadi" w:hAnsi="Abadi" w:cs="Arial"/>
          <w:sz w:val="21"/>
          <w:szCs w:val="21"/>
        </w:rPr>
      </w:pPr>
    </w:p>
    <w:p w14:paraId="596BFC0C" w14:textId="77777777" w:rsidR="001025BF" w:rsidRPr="001025BF" w:rsidRDefault="001025BF" w:rsidP="001025BF">
      <w:pPr>
        <w:ind w:firstLine="705"/>
        <w:jc w:val="both"/>
        <w:rPr>
          <w:rFonts w:ascii="Abadi" w:hAnsi="Abadi" w:cs="Arial"/>
          <w:sz w:val="21"/>
          <w:szCs w:val="21"/>
        </w:rPr>
      </w:pPr>
      <w:r w:rsidRPr="001025BF">
        <w:rPr>
          <w:rFonts w:ascii="Abadi" w:hAnsi="Abadi" w:cs="Arial"/>
          <w:sz w:val="21"/>
          <w:szCs w:val="21"/>
        </w:rPr>
        <w:t>También en este apartado se precisan los procedimientos de auditoría aplicados, siendo estos: inspección, observación, confirmación externa, recálculo, procedimientos analíticos, re ejecución e indagación.</w:t>
      </w:r>
    </w:p>
    <w:p w14:paraId="1EB1357F" w14:textId="77777777" w:rsidR="001025BF" w:rsidRPr="001025BF" w:rsidRDefault="001025BF" w:rsidP="001025BF">
      <w:pPr>
        <w:ind w:firstLine="705"/>
        <w:jc w:val="both"/>
        <w:rPr>
          <w:rFonts w:ascii="Abadi" w:hAnsi="Abadi" w:cs="Arial"/>
          <w:sz w:val="21"/>
          <w:szCs w:val="21"/>
        </w:rPr>
      </w:pPr>
    </w:p>
    <w:p w14:paraId="0F5E1A83" w14:textId="77777777" w:rsidR="001025BF" w:rsidRPr="001025BF" w:rsidRDefault="001025BF" w:rsidP="001025BF">
      <w:pPr>
        <w:ind w:firstLine="705"/>
        <w:jc w:val="both"/>
        <w:rPr>
          <w:rFonts w:ascii="Abadi" w:hAnsi="Abadi" w:cs="Arial"/>
          <w:sz w:val="21"/>
          <w:szCs w:val="21"/>
        </w:rPr>
      </w:pPr>
      <w:r w:rsidRPr="001025BF">
        <w:rPr>
          <w:rFonts w:ascii="Abadi" w:hAnsi="Abadi" w:cs="Arial"/>
          <w:sz w:val="21"/>
          <w:szCs w:val="21"/>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282BD11C" w14:textId="77777777" w:rsidR="001025BF" w:rsidRPr="001025BF" w:rsidRDefault="001025BF" w:rsidP="001025BF">
      <w:pPr>
        <w:jc w:val="both"/>
        <w:rPr>
          <w:rFonts w:ascii="Abadi" w:hAnsi="Abadi" w:cs="Arial"/>
          <w:i/>
          <w:iCs/>
          <w:sz w:val="21"/>
          <w:szCs w:val="21"/>
          <w:lang w:val="es-MX" w:eastAsia="x-none"/>
        </w:rPr>
      </w:pPr>
    </w:p>
    <w:p w14:paraId="3401D785" w14:textId="77777777" w:rsidR="001025BF" w:rsidRPr="001025BF" w:rsidRDefault="001025BF" w:rsidP="001025BF">
      <w:pPr>
        <w:jc w:val="both"/>
        <w:rPr>
          <w:rFonts w:ascii="Abadi" w:hAnsi="Abadi" w:cs="Arial"/>
          <w:i/>
          <w:iCs/>
          <w:sz w:val="21"/>
          <w:szCs w:val="21"/>
          <w:lang w:val="es-MX" w:eastAsia="x-none"/>
        </w:rPr>
      </w:pPr>
      <w:r w:rsidRPr="001025BF">
        <w:rPr>
          <w:rFonts w:ascii="Abadi" w:hAnsi="Abadi" w:cs="Arial"/>
          <w:i/>
          <w:iCs/>
          <w:sz w:val="21"/>
          <w:szCs w:val="21"/>
          <w:lang w:val="es-MX"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45B5D392" w14:textId="77777777" w:rsidR="001025BF" w:rsidRPr="001025BF" w:rsidRDefault="001025BF" w:rsidP="001025BF">
      <w:pPr>
        <w:jc w:val="both"/>
        <w:rPr>
          <w:rFonts w:ascii="Abadi" w:hAnsi="Abadi" w:cs="Arial"/>
          <w:i/>
          <w:iCs/>
          <w:sz w:val="21"/>
          <w:szCs w:val="21"/>
          <w:lang w:val="es-MX" w:eastAsia="x-none"/>
        </w:rPr>
      </w:pPr>
      <w:r w:rsidRPr="001025BF">
        <w:rPr>
          <w:rFonts w:ascii="Abadi" w:hAnsi="Abadi" w:cs="Arial"/>
          <w:i/>
          <w:iCs/>
          <w:sz w:val="21"/>
          <w:szCs w:val="21"/>
          <w:lang w:val="es-MX"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6B82621A" w14:textId="77777777" w:rsidR="001025BF" w:rsidRPr="001025BF" w:rsidRDefault="001025BF" w:rsidP="001025BF">
      <w:pPr>
        <w:jc w:val="both"/>
        <w:rPr>
          <w:rFonts w:ascii="Abadi" w:hAnsi="Abadi" w:cs="Arial"/>
          <w:i/>
          <w:iCs/>
          <w:sz w:val="21"/>
          <w:szCs w:val="21"/>
          <w:lang w:val="es-MX" w:eastAsia="x-none"/>
        </w:rPr>
      </w:pPr>
    </w:p>
    <w:p w14:paraId="03FA6607" w14:textId="77777777" w:rsidR="001025BF" w:rsidRPr="001025BF" w:rsidRDefault="001025BF" w:rsidP="001025BF">
      <w:pPr>
        <w:jc w:val="both"/>
        <w:rPr>
          <w:rFonts w:ascii="Abadi" w:hAnsi="Abadi" w:cs="Arial"/>
          <w:i/>
          <w:iCs/>
          <w:sz w:val="21"/>
          <w:szCs w:val="21"/>
          <w:lang w:val="es-MX" w:eastAsia="x-none"/>
        </w:rPr>
      </w:pPr>
      <w:r w:rsidRPr="001025BF">
        <w:rPr>
          <w:rFonts w:ascii="Abadi" w:hAnsi="Abadi" w:cs="Arial"/>
          <w:i/>
          <w:iCs/>
          <w:sz w:val="21"/>
          <w:szCs w:val="21"/>
          <w:lang w:val="es-MX"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3828C148" w14:textId="77777777" w:rsidR="001025BF" w:rsidRPr="001025BF" w:rsidRDefault="001025BF" w:rsidP="001025BF">
      <w:pPr>
        <w:ind w:firstLine="705"/>
        <w:jc w:val="both"/>
        <w:rPr>
          <w:rFonts w:ascii="Abadi" w:hAnsi="Abadi" w:cs="Arial"/>
          <w:sz w:val="21"/>
          <w:szCs w:val="21"/>
          <w:lang w:val="es-MX"/>
        </w:rPr>
      </w:pPr>
    </w:p>
    <w:p w14:paraId="0E8BBD7A" w14:textId="77777777" w:rsidR="001025BF" w:rsidRPr="001025BF" w:rsidRDefault="001025BF" w:rsidP="001025BF">
      <w:pPr>
        <w:ind w:firstLine="705"/>
        <w:jc w:val="both"/>
        <w:rPr>
          <w:rFonts w:ascii="Abadi" w:hAnsi="Abadi" w:cs="Arial"/>
          <w:sz w:val="21"/>
          <w:szCs w:val="21"/>
          <w:lang w:val="es-MX"/>
        </w:rPr>
      </w:pPr>
      <w:r w:rsidRPr="001025BF">
        <w:rPr>
          <w:rFonts w:ascii="Abadi" w:hAnsi="Abadi" w:cs="Arial"/>
          <w:sz w:val="21"/>
          <w:szCs w:val="21"/>
          <w:lang w:val="es-MX"/>
        </w:rPr>
        <w:t>Derivado de lo anterior, en el proceso de auditoría se inspeccionó que los comprobantes fiscales que soportan las erogaciones del sujeto fiscalizado, no correspondan a contribuyentes que se encuentren en los supuestos previstos del artículo 69-B del Código Fiscal de la Federación, empresas que facturan operaciones simuladas o inexistentes con el carácter de «Definitivos», emitidas por el Servicio de Administración Tributaria.</w:t>
      </w:r>
    </w:p>
    <w:p w14:paraId="21F0AE64" w14:textId="77777777" w:rsidR="001025BF" w:rsidRPr="001025BF" w:rsidRDefault="001025BF" w:rsidP="001025BF">
      <w:pPr>
        <w:ind w:firstLine="705"/>
        <w:jc w:val="both"/>
        <w:rPr>
          <w:rFonts w:ascii="Abadi" w:hAnsi="Abadi" w:cs="Arial"/>
          <w:sz w:val="21"/>
          <w:szCs w:val="21"/>
          <w:lang w:val="es-MX"/>
        </w:rPr>
      </w:pPr>
    </w:p>
    <w:p w14:paraId="295EE73B" w14:textId="77777777" w:rsidR="001025BF" w:rsidRPr="001025BF" w:rsidRDefault="001025BF" w:rsidP="001025BF">
      <w:pPr>
        <w:ind w:firstLine="705"/>
        <w:jc w:val="both"/>
        <w:rPr>
          <w:rFonts w:ascii="Abadi" w:hAnsi="Abadi" w:cs="Arial"/>
          <w:sz w:val="21"/>
          <w:szCs w:val="21"/>
          <w:lang w:val="es-MX"/>
        </w:rPr>
      </w:pPr>
      <w:r w:rsidRPr="001025BF">
        <w:rPr>
          <w:rFonts w:ascii="Abadi" w:hAnsi="Abadi" w:cs="Arial"/>
          <w:sz w:val="21"/>
          <w:szCs w:val="21"/>
          <w:lang w:val="es-MX"/>
        </w:rPr>
        <w:t>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y/o contractuales con el sujeto fiscalizado.</w:t>
      </w:r>
    </w:p>
    <w:p w14:paraId="38D97F0D" w14:textId="77777777" w:rsidR="001025BF" w:rsidRPr="001025BF" w:rsidRDefault="001025BF" w:rsidP="001025BF">
      <w:pPr>
        <w:ind w:firstLine="705"/>
        <w:jc w:val="both"/>
        <w:rPr>
          <w:rFonts w:ascii="Abadi" w:hAnsi="Abadi" w:cs="Arial"/>
          <w:sz w:val="21"/>
          <w:szCs w:val="21"/>
          <w:lang w:val="es-MX"/>
        </w:rPr>
      </w:pPr>
    </w:p>
    <w:p w14:paraId="0AEBED8B" w14:textId="77777777" w:rsidR="001025BF" w:rsidRPr="001025BF" w:rsidRDefault="001025BF" w:rsidP="001025BF">
      <w:pPr>
        <w:ind w:firstLine="705"/>
        <w:jc w:val="both"/>
        <w:rPr>
          <w:rFonts w:ascii="Abadi" w:hAnsi="Abadi" w:cs="Arial"/>
          <w:sz w:val="21"/>
          <w:szCs w:val="21"/>
          <w:lang w:val="es-MX"/>
        </w:rPr>
      </w:pPr>
      <w:r w:rsidRPr="001025BF">
        <w:rPr>
          <w:rFonts w:ascii="Abadi" w:hAnsi="Abadi" w:cs="Arial"/>
          <w:sz w:val="21"/>
          <w:szCs w:val="21"/>
          <w:lang w:val="es-MX"/>
        </w:rPr>
        <w:t>También se verificó las características y calidad de los materiales en apego a las especificaciones contractuales relacionadas a la estructura metálica que compone el techado de una cancha, así como su seguridad y estabilidad estructural, a través de la práctica de la observancia de las normas, estándares, procedimientos técnicos y de fiscalización aplicables y se emitieron los dictámenes respectivos con apoyo de un especialista en estructuras externo, de lo cual se obtuvo el resultado de la observación plasmada en el numeral 004.</w:t>
      </w:r>
    </w:p>
    <w:p w14:paraId="18049C7B" w14:textId="77777777" w:rsidR="001025BF" w:rsidRPr="001025BF" w:rsidRDefault="001025BF" w:rsidP="001025BF">
      <w:pPr>
        <w:ind w:firstLine="705"/>
        <w:jc w:val="both"/>
        <w:rPr>
          <w:rFonts w:ascii="Abadi" w:hAnsi="Abadi" w:cs="Arial"/>
          <w:sz w:val="21"/>
          <w:szCs w:val="21"/>
          <w:lang w:val="es-MX"/>
        </w:rPr>
      </w:pPr>
    </w:p>
    <w:p w14:paraId="03F3C9E4" w14:textId="77777777" w:rsidR="001025BF" w:rsidRPr="001025BF" w:rsidRDefault="001025BF" w:rsidP="001025BF">
      <w:pPr>
        <w:ind w:firstLine="705"/>
        <w:jc w:val="both"/>
        <w:rPr>
          <w:rFonts w:ascii="Abadi" w:hAnsi="Abadi" w:cs="Arial"/>
          <w:sz w:val="21"/>
          <w:szCs w:val="21"/>
        </w:rPr>
      </w:pPr>
      <w:r w:rsidRPr="001025BF">
        <w:rPr>
          <w:rFonts w:ascii="Abadi" w:hAnsi="Abadi" w:cs="Arial"/>
          <w:sz w:val="21"/>
          <w:szCs w:val="21"/>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Villagrán, Gto., no cumplió con las disposiciones normativas aplicables, de conformidad con lo señalado en el informe de resultados.</w:t>
      </w:r>
    </w:p>
    <w:p w14:paraId="3A94F3F0" w14:textId="77777777" w:rsidR="001025BF" w:rsidRPr="001025BF" w:rsidRDefault="001025BF" w:rsidP="001025BF">
      <w:pPr>
        <w:ind w:firstLine="705"/>
        <w:jc w:val="both"/>
        <w:rPr>
          <w:rFonts w:ascii="Abadi" w:hAnsi="Abadi" w:cs="Arial"/>
          <w:sz w:val="21"/>
          <w:szCs w:val="21"/>
          <w:lang w:val="es-MX" w:eastAsia="x-none"/>
        </w:rPr>
      </w:pPr>
    </w:p>
    <w:p w14:paraId="7F5F1C4B" w14:textId="77777777" w:rsidR="001025BF" w:rsidRPr="001025BF" w:rsidRDefault="001025BF" w:rsidP="001025BF">
      <w:pPr>
        <w:ind w:firstLine="705"/>
        <w:jc w:val="both"/>
        <w:rPr>
          <w:rFonts w:ascii="Abadi" w:hAnsi="Abadi" w:cs="Arial"/>
          <w:sz w:val="21"/>
          <w:szCs w:val="21"/>
        </w:rPr>
      </w:pPr>
      <w:r w:rsidRPr="001025BF">
        <w:rPr>
          <w:rFonts w:ascii="Abadi" w:hAnsi="Abadi" w:cs="Arial"/>
          <w:sz w:val="21"/>
          <w:szCs w:val="21"/>
        </w:rPr>
        <w:t xml:space="preserve">En cuanto al rubro de resultados de la fiscalización efectuada, se establece el estatus que guardan las observaciones y recomendaciones, las cuales se agrupan bajo su respectivo tipo y rubro, señalando que se determinaron 15 observaciones, las cuales no fueron solventadas. </w:t>
      </w:r>
    </w:p>
    <w:p w14:paraId="7ECD6ED7" w14:textId="77777777" w:rsidR="001025BF" w:rsidRPr="001025BF" w:rsidRDefault="001025BF" w:rsidP="001025BF">
      <w:pPr>
        <w:ind w:firstLine="705"/>
        <w:jc w:val="both"/>
        <w:rPr>
          <w:rFonts w:ascii="Abadi" w:hAnsi="Abadi" w:cs="Arial"/>
          <w:sz w:val="21"/>
          <w:szCs w:val="21"/>
        </w:rPr>
      </w:pPr>
    </w:p>
    <w:p w14:paraId="2A222937" w14:textId="77777777" w:rsidR="001025BF" w:rsidRPr="001025BF" w:rsidRDefault="001025BF" w:rsidP="001025BF">
      <w:pPr>
        <w:ind w:firstLine="705"/>
        <w:jc w:val="both"/>
        <w:rPr>
          <w:rFonts w:ascii="Abadi" w:hAnsi="Abadi" w:cs="Arial"/>
          <w:sz w:val="21"/>
          <w:szCs w:val="21"/>
        </w:rPr>
      </w:pPr>
      <w:r w:rsidRPr="001025BF">
        <w:rPr>
          <w:rFonts w:ascii="Abadi" w:hAnsi="Abadi" w:cs="Arial"/>
          <w:sz w:val="21"/>
          <w:szCs w:val="21"/>
        </w:rPr>
        <w:t xml:space="preserve">También en dicho apartado se establece el impacto de las irregularidades detectadas que persistieron después de la valoración de la respuesta al pliego de observaciones y recomendaciones, destacando la cuantificación monetaria de las observaciones, precisando que, en el caso de las observaciones plasmadas en los numerales 001, 002, 003, 004, 005, 006, 008, 009, 010, 011, 012 y 013 existen importes no solventados por la cuantía que ahí se refiere. </w:t>
      </w:r>
    </w:p>
    <w:p w14:paraId="7B93E73D" w14:textId="77777777" w:rsidR="001025BF" w:rsidRPr="001025BF" w:rsidRDefault="001025BF" w:rsidP="001025BF">
      <w:pPr>
        <w:ind w:firstLine="705"/>
        <w:jc w:val="both"/>
        <w:rPr>
          <w:rFonts w:ascii="Abadi" w:hAnsi="Abadi" w:cs="Arial"/>
          <w:sz w:val="21"/>
          <w:szCs w:val="21"/>
        </w:rPr>
      </w:pPr>
    </w:p>
    <w:p w14:paraId="741AFB34" w14:textId="77777777" w:rsidR="001025BF" w:rsidRPr="001025BF" w:rsidRDefault="001025BF" w:rsidP="001025BF">
      <w:pPr>
        <w:ind w:firstLine="705"/>
        <w:jc w:val="both"/>
        <w:rPr>
          <w:rFonts w:ascii="Abadi" w:hAnsi="Abadi" w:cs="Arial"/>
          <w:sz w:val="21"/>
          <w:szCs w:val="21"/>
        </w:rPr>
      </w:pPr>
      <w:r w:rsidRPr="001025BF">
        <w:rPr>
          <w:rFonts w:ascii="Abadi" w:hAnsi="Abadi" w:cs="Arial"/>
          <w:sz w:val="21"/>
          <w:szCs w:val="21"/>
        </w:rPr>
        <w:t>En lo referente al rubro de identificación de operaciones con Empresas que Facturan Operaciones Simuladas (EFOS) u operaciones inexistentes se refiere que como parte de la planeación de la auditoría se realizaron procedimientos analíticos a las personas físicas y/o morales con las que la administración pública municipal de Villagrán, Gto., celebró operaciones; entre los procedimientos expuestos, se verificó que estas no se encontraran en el listado de Empresas que Facturan Operaciones Simuladas (EFOS) u operaciones inexistentes con el carácter de «</w:t>
      </w:r>
      <w:r w:rsidRPr="001025BF">
        <w:rPr>
          <w:rFonts w:ascii="Abadi" w:hAnsi="Abadi" w:cs="Arial"/>
          <w:i/>
          <w:iCs/>
          <w:sz w:val="21"/>
          <w:szCs w:val="21"/>
        </w:rPr>
        <w:t>Definitivos»</w:t>
      </w:r>
      <w:r w:rsidRPr="001025BF">
        <w:rPr>
          <w:rFonts w:ascii="Abadi" w:hAnsi="Abadi" w:cs="Arial"/>
          <w:sz w:val="21"/>
          <w:szCs w:val="21"/>
        </w:rPr>
        <w:t xml:space="preserve"> publicados en el Diario Oficial de la Federación y en el sitio de información estadística del Servicio de Administración Tributaria, concluyendo que el análisis e identificación de empresas clasificadas como EFOS, se incluyó en el informe de resultados de la revisión practicada a la cuenta pública de dicho Municipio, correspondiente al ejercicio fiscal de 2020.</w:t>
      </w:r>
    </w:p>
    <w:p w14:paraId="4A23F765" w14:textId="77777777" w:rsidR="001025BF" w:rsidRPr="001025BF" w:rsidRDefault="001025BF" w:rsidP="001025BF">
      <w:pPr>
        <w:ind w:firstLine="705"/>
        <w:jc w:val="both"/>
        <w:rPr>
          <w:rFonts w:ascii="Abadi" w:hAnsi="Abadi" w:cs="Arial"/>
          <w:sz w:val="21"/>
          <w:szCs w:val="21"/>
        </w:rPr>
      </w:pPr>
    </w:p>
    <w:p w14:paraId="60D6C11F" w14:textId="77777777" w:rsidR="001025BF" w:rsidRPr="001025BF" w:rsidRDefault="001025BF" w:rsidP="001A28E5">
      <w:pPr>
        <w:numPr>
          <w:ilvl w:val="0"/>
          <w:numId w:val="87"/>
        </w:numPr>
        <w:tabs>
          <w:tab w:val="num" w:pos="0"/>
        </w:tabs>
        <w:jc w:val="both"/>
        <w:rPr>
          <w:rFonts w:ascii="Abadi" w:hAnsi="Abadi" w:cs="Arial"/>
          <w:b/>
          <w:bCs/>
          <w:sz w:val="21"/>
          <w:szCs w:val="21"/>
        </w:rPr>
      </w:pPr>
      <w:r w:rsidRPr="001025BF">
        <w:rPr>
          <w:rFonts w:ascii="Abadi" w:hAnsi="Abadi" w:cs="Arial"/>
          <w:b/>
          <w:bCs/>
          <w:sz w:val="21"/>
          <w:szCs w:val="21"/>
        </w:rPr>
        <w:t xml:space="preserve">Observaciones y recomendaciones, la respuesta emitida por el sujeto fiscalizado y la valoración correspondiente. </w:t>
      </w:r>
    </w:p>
    <w:p w14:paraId="29BB9D87" w14:textId="77777777" w:rsidR="001025BF" w:rsidRPr="001025BF" w:rsidRDefault="001025BF" w:rsidP="001025BF">
      <w:pPr>
        <w:ind w:left="1065"/>
        <w:jc w:val="both"/>
        <w:rPr>
          <w:rFonts w:ascii="Abadi" w:hAnsi="Abadi" w:cs="Arial"/>
          <w:b/>
          <w:bCs/>
          <w:sz w:val="21"/>
          <w:szCs w:val="21"/>
        </w:rPr>
      </w:pPr>
    </w:p>
    <w:p w14:paraId="1D9700AA" w14:textId="77777777" w:rsidR="001025BF" w:rsidRPr="001025BF" w:rsidRDefault="001025BF" w:rsidP="001025BF">
      <w:pPr>
        <w:ind w:firstLine="705"/>
        <w:jc w:val="both"/>
        <w:rPr>
          <w:rFonts w:ascii="Abadi" w:hAnsi="Abadi" w:cs="Arial"/>
          <w:sz w:val="21"/>
          <w:szCs w:val="21"/>
          <w:lang w:val="es-MX"/>
        </w:rPr>
      </w:pPr>
      <w:r w:rsidRPr="001025BF">
        <w:rPr>
          <w:rFonts w:ascii="Abadi" w:hAnsi="Abadi" w:cs="Arial"/>
          <w:sz w:val="21"/>
          <w:szCs w:val="21"/>
          <w:lang w:val="es-MX"/>
        </w:rPr>
        <w:t>En esta parte se desglosa la valoración de las observaciones y recomendaciones formuladas por el Órgano Técnico, considerando como no solventadas las observaciones plasmadas en los numerales: 001, referente a cantidades de obra. Contrato PMV/CODE/2018-41; 002, correspondiente a cantidades de obra. Contrato PMV/SDIFEG/2018-64. (1 de 4); 003, relativo a especificación convenida. Contrato PMV/SDIFEG/2018-64. (2 de 4); 004, referido a calidad de estructura. Contrato PMV/SDIFEG/2018-64. (3 de 4); 005, referente a calidad en acabado. Contrato PMV/SDIFEG/2018-64. (4 de 4); 006, correspondiente a precio unitario. Contrato PMV/SEDESHU-GTO-PSBGTO-44/2020-10; 007, relativo a reconocimiento contable. Contrato PMV/SEDESHU-GTO-ITS-44/2018-63 (1 de 3); 008, referido a cantidades de obra. Contrato PMV/SEDESHU-GTO-ITS-44/2018-63 (2 de 3); 009, referente a calidad de obra. Contrato PMV/SEDESHU-GTO-ITS-44/2018-63 (3 de 3); 010, correspondiente a cantidades de obra. Contrato PMV/FAIS/2019-27; 011, relativo a cantidades de obra. Contrato PMV/SEDESHU-GTO-ITS-44/2018-39. (1 de 2); 012, referido a calidad de obra. Contrato PMV/SEDESHU-GTO-ITS-44/2018-39. (2 de 2); 013, referente a cantidades de obra. Contrato PMV/CODE/2018-36-A. (1 de 2); 014, correspondiente a documentación soporte. Contrato PMV/CODE/2018-36-A (2 de 2); y 015, relativo a cuentas de anticipo.</w:t>
      </w:r>
    </w:p>
    <w:p w14:paraId="45012B36" w14:textId="77777777" w:rsidR="001025BF" w:rsidRPr="001025BF" w:rsidRDefault="001025BF" w:rsidP="001025BF">
      <w:pPr>
        <w:ind w:firstLine="705"/>
        <w:jc w:val="both"/>
        <w:rPr>
          <w:rFonts w:ascii="Abadi" w:hAnsi="Abadi" w:cs="Arial"/>
          <w:sz w:val="21"/>
          <w:szCs w:val="21"/>
          <w:lang w:val="es-MX"/>
        </w:rPr>
      </w:pPr>
    </w:p>
    <w:p w14:paraId="58E38BF6" w14:textId="77777777" w:rsidR="001025BF" w:rsidRPr="001025BF" w:rsidRDefault="001025BF" w:rsidP="001025BF">
      <w:pPr>
        <w:ind w:firstLine="705"/>
        <w:jc w:val="both"/>
        <w:rPr>
          <w:rFonts w:ascii="Abadi" w:hAnsi="Abadi" w:cs="ArialNarrow"/>
          <w:sz w:val="21"/>
          <w:szCs w:val="21"/>
          <w:lang w:val="es-MX" w:eastAsia="es-MX"/>
        </w:rPr>
      </w:pPr>
      <w:r w:rsidRPr="001025BF">
        <w:rPr>
          <w:rFonts w:ascii="Abadi" w:hAnsi="Abadi" w:cs="Arial"/>
          <w:sz w:val="21"/>
          <w:szCs w:val="21"/>
          <w:lang w:val="es-MX"/>
        </w:rPr>
        <w:t xml:space="preserve">En el apartado de Recomendaciones Generales, se establece que </w:t>
      </w:r>
      <w:r w:rsidRPr="001025BF">
        <w:rPr>
          <w:rFonts w:ascii="Abadi" w:hAnsi="Abadi" w:cs="ArialNarrow"/>
          <w:sz w:val="21"/>
          <w:szCs w:val="21"/>
          <w:lang w:val="es-MX" w:eastAsia="es-MX"/>
        </w:rPr>
        <w:t>del proceso de fiscalización efectuado no se desprendieron recomendaciones.</w:t>
      </w:r>
    </w:p>
    <w:p w14:paraId="2C7D31F0" w14:textId="77777777" w:rsidR="001025BF" w:rsidRPr="001025BF" w:rsidRDefault="001025BF" w:rsidP="001025BF">
      <w:pPr>
        <w:ind w:firstLine="705"/>
        <w:jc w:val="both"/>
        <w:rPr>
          <w:rFonts w:ascii="Abadi" w:hAnsi="Abadi" w:cs="Arial"/>
          <w:sz w:val="21"/>
          <w:szCs w:val="21"/>
          <w:lang w:val="es-MX"/>
        </w:rPr>
      </w:pPr>
    </w:p>
    <w:p w14:paraId="59F1884C" w14:textId="77777777" w:rsidR="001025BF" w:rsidRPr="001025BF" w:rsidRDefault="001025BF" w:rsidP="001A28E5">
      <w:pPr>
        <w:numPr>
          <w:ilvl w:val="0"/>
          <w:numId w:val="87"/>
        </w:numPr>
        <w:jc w:val="both"/>
        <w:rPr>
          <w:rFonts w:ascii="Abadi" w:hAnsi="Abadi" w:cs="Arial"/>
          <w:b/>
          <w:bCs/>
          <w:sz w:val="21"/>
          <w:szCs w:val="21"/>
          <w:lang w:val="es-MX"/>
        </w:rPr>
      </w:pPr>
      <w:r w:rsidRPr="001025BF">
        <w:rPr>
          <w:rFonts w:ascii="Abadi" w:hAnsi="Abadi" w:cs="Arial"/>
          <w:b/>
          <w:bCs/>
          <w:sz w:val="21"/>
          <w:szCs w:val="21"/>
          <w:lang w:val="es-MX"/>
        </w:rPr>
        <w:t xml:space="preserve">Promoción del ejercicio de facultades de comprobación fiscal. </w:t>
      </w:r>
    </w:p>
    <w:p w14:paraId="2206A9B9" w14:textId="77777777" w:rsidR="001025BF" w:rsidRPr="001025BF" w:rsidRDefault="001025BF" w:rsidP="001025BF">
      <w:pPr>
        <w:ind w:firstLine="705"/>
        <w:jc w:val="both"/>
        <w:rPr>
          <w:rFonts w:ascii="Abadi" w:hAnsi="Abadi" w:cs="Arial"/>
          <w:sz w:val="21"/>
          <w:szCs w:val="21"/>
        </w:rPr>
      </w:pPr>
    </w:p>
    <w:p w14:paraId="74A9D713" w14:textId="77777777" w:rsidR="001025BF" w:rsidRPr="001025BF" w:rsidRDefault="001025BF" w:rsidP="001025BF">
      <w:pPr>
        <w:ind w:firstLine="705"/>
        <w:jc w:val="both"/>
        <w:rPr>
          <w:rFonts w:ascii="Abadi" w:hAnsi="Abadi" w:cs="Arial"/>
          <w:sz w:val="21"/>
          <w:szCs w:val="21"/>
          <w:lang w:val="es-MX"/>
        </w:rPr>
      </w:pPr>
      <w:r w:rsidRPr="001025BF">
        <w:rPr>
          <w:rFonts w:ascii="Abadi" w:hAnsi="Abadi" w:cs="Arial"/>
          <w:sz w:val="21"/>
          <w:szCs w:val="21"/>
          <w:lang w:val="es-MX"/>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se desprenden posibles incumplimientos de los contribuyentes a las disposiciones fiscales aplicables, por lo que es procedente la promoción del inicio de facultades de comprobación fiscal, precisando que las presuntas irregularidades o incumplimientos se desprenden de las observaciones plasmadas en los numerales 001, 002, 011 y 013, estableciendo los contratistas que incurrieron en irregularidades, siendo la autoridad fiscal competente el Servicio de Administración Tributaria, órgano desconcentrado de la Secretaría de Hacienda y Crédito Público.</w:t>
      </w:r>
    </w:p>
    <w:p w14:paraId="32ACEEF0" w14:textId="77777777" w:rsidR="001025BF" w:rsidRPr="001025BF" w:rsidRDefault="001025BF" w:rsidP="001025BF">
      <w:pPr>
        <w:ind w:firstLine="705"/>
        <w:jc w:val="both"/>
        <w:rPr>
          <w:rFonts w:ascii="Abadi" w:hAnsi="Abadi" w:cs="Arial"/>
          <w:sz w:val="21"/>
          <w:szCs w:val="21"/>
          <w:lang w:val="es-MX"/>
        </w:rPr>
      </w:pPr>
    </w:p>
    <w:p w14:paraId="2F572A8E" w14:textId="77777777" w:rsidR="001025BF" w:rsidRPr="001025BF" w:rsidRDefault="001025BF" w:rsidP="001A28E5">
      <w:pPr>
        <w:numPr>
          <w:ilvl w:val="0"/>
          <w:numId w:val="87"/>
        </w:numPr>
        <w:jc w:val="both"/>
        <w:rPr>
          <w:rFonts w:ascii="Abadi" w:hAnsi="Abadi" w:cs="Arial"/>
          <w:b/>
          <w:bCs/>
          <w:sz w:val="21"/>
          <w:szCs w:val="21"/>
          <w:lang w:val="es-MX"/>
        </w:rPr>
      </w:pPr>
      <w:r w:rsidRPr="001025BF">
        <w:rPr>
          <w:rFonts w:ascii="Abadi" w:hAnsi="Abadi" w:cs="Arial"/>
          <w:b/>
          <w:bCs/>
          <w:sz w:val="21"/>
          <w:szCs w:val="21"/>
          <w:lang w:val="es-MX"/>
        </w:rPr>
        <w:t>Comunicado ante órganos de control y autoridades que administran padrones de proveedores y contratistas.</w:t>
      </w:r>
    </w:p>
    <w:p w14:paraId="3E085A5C" w14:textId="77777777" w:rsidR="001025BF" w:rsidRPr="001025BF" w:rsidRDefault="001025BF" w:rsidP="001025BF">
      <w:pPr>
        <w:ind w:firstLine="705"/>
        <w:jc w:val="both"/>
        <w:rPr>
          <w:rFonts w:ascii="Abadi" w:hAnsi="Abadi" w:cs="Arial"/>
          <w:sz w:val="21"/>
          <w:szCs w:val="21"/>
        </w:rPr>
      </w:pPr>
    </w:p>
    <w:p w14:paraId="617F4DEB" w14:textId="77777777" w:rsidR="001025BF" w:rsidRPr="001025BF" w:rsidRDefault="001025BF" w:rsidP="001025BF">
      <w:pPr>
        <w:ind w:firstLine="705"/>
        <w:jc w:val="both"/>
        <w:rPr>
          <w:rFonts w:ascii="Abadi" w:hAnsi="Abadi" w:cs="Arial"/>
          <w:sz w:val="21"/>
          <w:szCs w:val="21"/>
          <w:lang w:val="es-MX"/>
        </w:rPr>
      </w:pPr>
      <w:r w:rsidRPr="001025BF">
        <w:rPr>
          <w:rFonts w:ascii="Abadi" w:hAnsi="Abadi" w:cs="Arial"/>
          <w:sz w:val="21"/>
          <w:szCs w:val="21"/>
          <w:lang w:val="es-MX"/>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auditoría, es procedente hacer del conocimiento del Órgano Interno de Control de Villagrán, Gto., y de la Secretaría de Infraestructura, Conectividad y Movilidad, del Estado, las presuntas irregularidades o incumplimientos de estos en contrataciones públicas detectadas durante la auditoría, precisando los contratistas y las observaciones de las que se desprende su intervención.</w:t>
      </w:r>
    </w:p>
    <w:p w14:paraId="6BDD09AF" w14:textId="77777777" w:rsidR="001025BF" w:rsidRPr="001025BF" w:rsidRDefault="001025BF" w:rsidP="001025BF">
      <w:pPr>
        <w:ind w:firstLine="705"/>
        <w:jc w:val="both"/>
        <w:rPr>
          <w:rFonts w:ascii="Abadi" w:hAnsi="Abadi" w:cs="Arial"/>
          <w:sz w:val="21"/>
          <w:szCs w:val="21"/>
          <w:lang w:val="es-MX"/>
        </w:rPr>
      </w:pPr>
    </w:p>
    <w:p w14:paraId="19C96C32" w14:textId="77777777" w:rsidR="001025BF" w:rsidRPr="001025BF" w:rsidRDefault="001025BF" w:rsidP="001A28E5">
      <w:pPr>
        <w:numPr>
          <w:ilvl w:val="0"/>
          <w:numId w:val="87"/>
        </w:numPr>
        <w:jc w:val="both"/>
        <w:rPr>
          <w:rFonts w:ascii="Abadi" w:hAnsi="Abadi" w:cs="Arial"/>
          <w:b/>
          <w:bCs/>
          <w:sz w:val="21"/>
          <w:szCs w:val="21"/>
          <w:lang w:val="es-MX"/>
        </w:rPr>
      </w:pPr>
      <w:r w:rsidRPr="001025BF">
        <w:rPr>
          <w:rFonts w:ascii="Abadi" w:hAnsi="Abadi" w:cs="Arial"/>
          <w:b/>
          <w:bCs/>
          <w:sz w:val="21"/>
          <w:szCs w:val="21"/>
          <w:lang w:val="es-MX"/>
        </w:rPr>
        <w:t xml:space="preserve">Anexos. </w:t>
      </w:r>
    </w:p>
    <w:p w14:paraId="5F488A1C" w14:textId="77777777" w:rsidR="001025BF" w:rsidRPr="001025BF" w:rsidRDefault="001025BF" w:rsidP="001025BF">
      <w:pPr>
        <w:ind w:firstLine="705"/>
        <w:jc w:val="both"/>
        <w:rPr>
          <w:rFonts w:ascii="Abadi" w:hAnsi="Abadi" w:cs="Arial"/>
          <w:sz w:val="21"/>
          <w:szCs w:val="21"/>
        </w:rPr>
      </w:pPr>
    </w:p>
    <w:p w14:paraId="7CE74D1A" w14:textId="77777777" w:rsidR="001025BF" w:rsidRPr="001025BF" w:rsidRDefault="001025BF" w:rsidP="001025BF">
      <w:pPr>
        <w:ind w:firstLine="705"/>
        <w:jc w:val="both"/>
        <w:rPr>
          <w:rFonts w:ascii="Abadi" w:hAnsi="Abadi" w:cs="Arial"/>
          <w:sz w:val="21"/>
          <w:szCs w:val="21"/>
        </w:rPr>
      </w:pPr>
      <w:r w:rsidRPr="001025BF">
        <w:rPr>
          <w:rFonts w:ascii="Abadi" w:hAnsi="Abadi" w:cs="Arial"/>
          <w:sz w:val="21"/>
          <w:szCs w:val="21"/>
        </w:rPr>
        <w:t>En esta parte, se adjuntan los anexos técnicos derivados de la auditoría.</w:t>
      </w:r>
    </w:p>
    <w:p w14:paraId="5085E517" w14:textId="77777777" w:rsidR="001025BF" w:rsidRPr="001025BF" w:rsidRDefault="001025BF" w:rsidP="001025BF">
      <w:pPr>
        <w:ind w:firstLine="705"/>
        <w:jc w:val="both"/>
        <w:rPr>
          <w:rFonts w:ascii="Abadi" w:hAnsi="Abadi" w:cs="Arial"/>
          <w:sz w:val="21"/>
          <w:szCs w:val="21"/>
        </w:rPr>
      </w:pPr>
    </w:p>
    <w:p w14:paraId="3BB28CEE" w14:textId="77777777" w:rsidR="001025BF" w:rsidRPr="001025BF" w:rsidRDefault="001025BF" w:rsidP="001025BF">
      <w:pPr>
        <w:ind w:firstLine="708"/>
        <w:jc w:val="both"/>
        <w:rPr>
          <w:rFonts w:ascii="Abadi" w:hAnsi="Abadi" w:cs="Arial"/>
          <w:b/>
          <w:bCs/>
          <w:sz w:val="21"/>
          <w:szCs w:val="21"/>
          <w:lang w:val="es-MX"/>
        </w:rPr>
      </w:pPr>
      <w:r w:rsidRPr="001025BF">
        <w:rPr>
          <w:rFonts w:ascii="Abadi" w:hAnsi="Abadi" w:cs="Arial"/>
          <w:b/>
          <w:bCs/>
          <w:sz w:val="21"/>
          <w:szCs w:val="21"/>
          <w:lang w:val="es-MX"/>
        </w:rPr>
        <w:t>V. Conclusiones:</w:t>
      </w:r>
    </w:p>
    <w:p w14:paraId="4BD55DAD" w14:textId="77777777" w:rsidR="001025BF" w:rsidRPr="001025BF" w:rsidRDefault="001025BF" w:rsidP="001025BF">
      <w:pPr>
        <w:jc w:val="both"/>
        <w:rPr>
          <w:rFonts w:ascii="Abadi" w:hAnsi="Abadi" w:cs="Arial"/>
          <w:sz w:val="21"/>
          <w:szCs w:val="21"/>
          <w:lang w:val="es-MX"/>
        </w:rPr>
      </w:pPr>
    </w:p>
    <w:p w14:paraId="5377A02C" w14:textId="77777777" w:rsidR="001025BF" w:rsidRPr="001025BF" w:rsidRDefault="001025BF" w:rsidP="001025BF">
      <w:pPr>
        <w:jc w:val="both"/>
        <w:rPr>
          <w:rFonts w:ascii="Abadi" w:hAnsi="Abadi" w:cs="Arial"/>
          <w:sz w:val="21"/>
          <w:szCs w:val="21"/>
        </w:rPr>
      </w:pPr>
      <w:r w:rsidRPr="001025BF">
        <w:rPr>
          <w:rFonts w:ascii="Abadi" w:hAnsi="Abadi" w:cs="Arial"/>
          <w:sz w:val="21"/>
          <w:szCs w:val="21"/>
          <w:lang w:val="es-MX"/>
        </w:rPr>
        <w:tab/>
      </w:r>
      <w:r w:rsidRPr="001025BF">
        <w:rPr>
          <w:rFonts w:ascii="Abadi" w:hAnsi="Abadi" w:cs="Arial"/>
          <w:sz w:val="21"/>
          <w:szCs w:val="21"/>
        </w:rPr>
        <w:t xml:space="preserve">Como ya lo habíamos señalado en párrafos anteriores, el artículo 38 de </w:t>
      </w:r>
      <w:smartTag w:uri="urn:schemas-microsoft-com:office:smarttags" w:element="PersonName">
        <w:smartTagPr>
          <w:attr w:name="ProductID" w:val="la Ley"/>
        </w:smartTagPr>
        <w:r w:rsidRPr="001025BF">
          <w:rPr>
            <w:rFonts w:ascii="Abadi" w:hAnsi="Abadi" w:cs="Arial"/>
            <w:sz w:val="21"/>
            <w:szCs w:val="21"/>
          </w:rPr>
          <w:t>la Ley</w:t>
        </w:r>
      </w:smartTag>
      <w:r w:rsidRPr="001025BF">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F488829" w14:textId="77777777" w:rsidR="001025BF" w:rsidRPr="001025BF" w:rsidRDefault="001025BF" w:rsidP="001025BF">
      <w:pPr>
        <w:jc w:val="both"/>
        <w:rPr>
          <w:rFonts w:ascii="Abadi" w:hAnsi="Abadi" w:cs="Arial"/>
          <w:sz w:val="21"/>
          <w:szCs w:val="21"/>
        </w:rPr>
      </w:pPr>
    </w:p>
    <w:p w14:paraId="0C9C4E03" w14:textId="77777777" w:rsidR="001025BF" w:rsidRPr="001025BF" w:rsidRDefault="001025BF" w:rsidP="001025BF">
      <w:pPr>
        <w:jc w:val="both"/>
        <w:rPr>
          <w:rFonts w:ascii="Abadi" w:hAnsi="Abadi" w:cs="Arial"/>
          <w:sz w:val="21"/>
          <w:szCs w:val="21"/>
        </w:rPr>
      </w:pPr>
      <w:r w:rsidRPr="001025BF">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636976A5" w14:textId="77777777" w:rsidR="001025BF" w:rsidRPr="001025BF" w:rsidRDefault="001025BF" w:rsidP="001025BF">
      <w:pPr>
        <w:ind w:firstLine="708"/>
        <w:jc w:val="both"/>
        <w:rPr>
          <w:rFonts w:ascii="Abadi" w:hAnsi="Abadi" w:cs="Arial"/>
          <w:sz w:val="21"/>
          <w:szCs w:val="21"/>
        </w:rPr>
      </w:pPr>
      <w:r w:rsidRPr="001025BF">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auditoría </w:t>
      </w:r>
      <w:r w:rsidRPr="001025BF">
        <w:rPr>
          <w:rFonts w:ascii="Abadi" w:hAnsi="Abadi" w:cs="Arial"/>
          <w:sz w:val="21"/>
          <w:szCs w:val="21"/>
          <w:lang w:val="es-MX"/>
        </w:rPr>
        <w:t xml:space="preserve">al presidente municipal de Villagrán, Gto., </w:t>
      </w:r>
      <w:r w:rsidRPr="001025BF">
        <w:rPr>
          <w:rFonts w:ascii="Abadi" w:hAnsi="Abadi" w:cs="Arial"/>
          <w:sz w:val="21"/>
          <w:szCs w:val="21"/>
        </w:rPr>
        <w:t xml:space="preserve">concediéndole el plazo que establece </w:t>
      </w:r>
      <w:smartTag w:uri="urn:schemas-microsoft-com:office:smarttags" w:element="PersonName">
        <w:smartTagPr>
          <w:attr w:name="ProductID" w:val="la Ley"/>
        </w:smartTagPr>
        <w:r w:rsidRPr="001025BF">
          <w:rPr>
            <w:rFonts w:ascii="Abadi" w:hAnsi="Abadi" w:cs="Arial"/>
            <w:sz w:val="21"/>
            <w:szCs w:val="21"/>
          </w:rPr>
          <w:t>la Ley</w:t>
        </w:r>
      </w:smartTag>
      <w:r w:rsidRPr="001025BF">
        <w:rPr>
          <w:rFonts w:ascii="Abadi" w:hAnsi="Abadi" w:cs="Arial"/>
          <w:sz w:val="21"/>
          <w:szCs w:val="21"/>
        </w:rPr>
        <w:t xml:space="preserve"> para aclarar, atender o solventar documentalmente las observaciones determinadas por el Órgano Técnico. Al respecto, </w:t>
      </w:r>
      <w:r w:rsidRPr="001025BF">
        <w:rPr>
          <w:rFonts w:ascii="Abadi" w:hAnsi="Abadi" w:cs="Arial"/>
          <w:sz w:val="21"/>
          <w:szCs w:val="21"/>
          <w:lang w:val="es-MX"/>
        </w:rPr>
        <w:t xml:space="preserve">el referido funcionario municipal </w:t>
      </w:r>
      <w:r w:rsidRPr="001025BF">
        <w:rPr>
          <w:rFonts w:ascii="Abadi" w:hAnsi="Abadi" w:cs="Arial"/>
          <w:sz w:val="21"/>
          <w:szCs w:val="21"/>
        </w:rPr>
        <w:t>presentó la información y documentación para aclarar y en su caso, solventar las observaciones determinadas y atender las recomendaciones efectuadas.</w:t>
      </w:r>
    </w:p>
    <w:p w14:paraId="5FF98290" w14:textId="77777777" w:rsidR="001025BF" w:rsidRPr="001025BF" w:rsidRDefault="001025BF" w:rsidP="001025BF">
      <w:pPr>
        <w:jc w:val="both"/>
        <w:rPr>
          <w:rFonts w:ascii="Abadi" w:hAnsi="Abadi" w:cs="Arial"/>
          <w:sz w:val="21"/>
          <w:szCs w:val="21"/>
        </w:rPr>
      </w:pPr>
    </w:p>
    <w:p w14:paraId="0212BA5D" w14:textId="77777777" w:rsidR="001025BF" w:rsidRPr="001025BF" w:rsidRDefault="001025BF" w:rsidP="001025BF">
      <w:pPr>
        <w:ind w:firstLine="708"/>
        <w:jc w:val="both"/>
        <w:rPr>
          <w:rFonts w:ascii="Abadi" w:hAnsi="Abadi" w:cs="Arial"/>
          <w:sz w:val="21"/>
          <w:szCs w:val="21"/>
        </w:rPr>
      </w:pPr>
      <w:r w:rsidRPr="001025BF">
        <w:rPr>
          <w:rFonts w:ascii="Abadi" w:hAnsi="Abadi" w:cs="Arial"/>
          <w:sz w:val="21"/>
          <w:szCs w:val="21"/>
        </w:rPr>
        <w:t xml:space="preserve">De igual manera, existe en el informe de resultados la constancia de que este se notificó al presidente municipal de Villagrán, Gto., concediéndole el término señalado en el artículo 37, fracción IV de </w:t>
      </w:r>
      <w:smartTag w:uri="urn:schemas-microsoft-com:office:smarttags" w:element="PersonName">
        <w:smartTagPr>
          <w:attr w:name="ProductID" w:val="la Ley"/>
        </w:smartTagPr>
        <w:r w:rsidRPr="001025BF">
          <w:rPr>
            <w:rFonts w:ascii="Abadi" w:hAnsi="Abadi" w:cs="Arial"/>
            <w:sz w:val="21"/>
            <w:szCs w:val="21"/>
          </w:rPr>
          <w:t>la Ley</w:t>
        </w:r>
      </w:smartTag>
      <w:r w:rsidRPr="001025BF">
        <w:rPr>
          <w:rFonts w:ascii="Abadi" w:hAnsi="Abadi" w:cs="Arial"/>
          <w:sz w:val="21"/>
          <w:szCs w:val="21"/>
        </w:rPr>
        <w:t xml:space="preserve"> de Fiscalización Superior del Estado de Guanajuato, a efecto de que en su caso, hiciera valer el recurso de reconsideración que prevén los artículos del 48 al 55 de dicho ordenamiento legal; no habiéndose presentado en este plazo el referido medio de impugnación, tal y como se desprende de la razón levantada por el Auditor Superior y que obra en el informe de resultados. En tal virtud, se considera que fue respetado el derecho de audiencia o defensa por parte del Órgano Técnico.</w:t>
      </w:r>
    </w:p>
    <w:p w14:paraId="2384326A" w14:textId="77777777" w:rsidR="001025BF" w:rsidRPr="001025BF" w:rsidRDefault="001025BF" w:rsidP="001025BF">
      <w:pPr>
        <w:ind w:firstLine="708"/>
        <w:jc w:val="both"/>
        <w:rPr>
          <w:rFonts w:ascii="Abadi" w:hAnsi="Abadi" w:cs="Arial"/>
          <w:sz w:val="21"/>
          <w:szCs w:val="21"/>
        </w:rPr>
      </w:pPr>
    </w:p>
    <w:p w14:paraId="017E34A4" w14:textId="7CF20483" w:rsidR="001025BF" w:rsidRPr="001025BF" w:rsidRDefault="001025BF" w:rsidP="001D0FC3">
      <w:pPr>
        <w:ind w:firstLine="708"/>
        <w:jc w:val="both"/>
        <w:rPr>
          <w:rFonts w:ascii="Abadi" w:hAnsi="Abadi" w:cs="Arial"/>
          <w:sz w:val="21"/>
          <w:szCs w:val="21"/>
        </w:rPr>
      </w:pPr>
      <w:r w:rsidRPr="001025BF">
        <w:rPr>
          <w:rFonts w:ascii="Abadi" w:hAnsi="Abadi" w:cs="Arial"/>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61B62E80" w14:textId="77777777" w:rsidR="001025BF" w:rsidRPr="001025BF" w:rsidRDefault="001025BF" w:rsidP="001025BF">
      <w:pPr>
        <w:ind w:firstLine="708"/>
        <w:jc w:val="both"/>
        <w:rPr>
          <w:rFonts w:ascii="Abadi" w:hAnsi="Abadi" w:cs="Arial"/>
          <w:sz w:val="21"/>
          <w:szCs w:val="21"/>
        </w:rPr>
      </w:pPr>
    </w:p>
    <w:p w14:paraId="2522C3D0" w14:textId="77777777" w:rsidR="001025BF" w:rsidRPr="001025BF" w:rsidRDefault="001025BF" w:rsidP="001025BF">
      <w:pPr>
        <w:ind w:firstLine="708"/>
        <w:jc w:val="both"/>
        <w:rPr>
          <w:rFonts w:ascii="Abadi" w:hAnsi="Abadi" w:cs="Arial"/>
          <w:sz w:val="21"/>
          <w:szCs w:val="21"/>
        </w:rPr>
      </w:pPr>
      <w:r w:rsidRPr="001025BF">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41BEC34D" w14:textId="77777777" w:rsidR="001025BF" w:rsidRPr="001025BF" w:rsidRDefault="001025BF" w:rsidP="001025BF">
      <w:pPr>
        <w:ind w:firstLine="708"/>
        <w:jc w:val="both"/>
        <w:rPr>
          <w:rFonts w:ascii="Abadi" w:hAnsi="Abadi" w:cs="Arial"/>
          <w:sz w:val="21"/>
          <w:szCs w:val="21"/>
        </w:rPr>
      </w:pPr>
      <w:r w:rsidRPr="001025BF">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4E57386A" w14:textId="77777777" w:rsidR="001025BF" w:rsidRPr="001025BF" w:rsidRDefault="001025BF" w:rsidP="001025BF">
      <w:pPr>
        <w:ind w:firstLine="708"/>
        <w:jc w:val="both"/>
        <w:rPr>
          <w:rFonts w:ascii="Abadi" w:hAnsi="Abadi" w:cs="Arial"/>
          <w:sz w:val="21"/>
          <w:szCs w:val="21"/>
        </w:rPr>
      </w:pPr>
    </w:p>
    <w:p w14:paraId="031C1360" w14:textId="77777777" w:rsidR="001025BF" w:rsidRPr="001025BF" w:rsidRDefault="001025BF" w:rsidP="001025BF">
      <w:pPr>
        <w:ind w:firstLine="708"/>
        <w:jc w:val="both"/>
        <w:rPr>
          <w:rFonts w:ascii="Abadi" w:hAnsi="Abadi" w:cs="Arial"/>
          <w:sz w:val="21"/>
          <w:szCs w:val="21"/>
        </w:rPr>
      </w:pPr>
      <w:r w:rsidRPr="001025BF">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67200DAF" w14:textId="77777777" w:rsidR="001025BF" w:rsidRPr="001025BF" w:rsidRDefault="001025BF" w:rsidP="001025BF">
      <w:pPr>
        <w:ind w:firstLine="708"/>
        <w:jc w:val="both"/>
        <w:rPr>
          <w:rFonts w:ascii="Abadi" w:hAnsi="Abadi" w:cs="Arial"/>
          <w:sz w:val="21"/>
          <w:szCs w:val="21"/>
        </w:rPr>
      </w:pPr>
    </w:p>
    <w:p w14:paraId="53B9DB2D" w14:textId="77777777" w:rsidR="001025BF" w:rsidRPr="001025BF" w:rsidRDefault="001025BF" w:rsidP="001025BF">
      <w:pPr>
        <w:ind w:firstLine="708"/>
        <w:jc w:val="both"/>
        <w:rPr>
          <w:rFonts w:ascii="Abadi" w:hAnsi="Abadi" w:cs="Arial"/>
          <w:sz w:val="21"/>
          <w:szCs w:val="21"/>
        </w:rPr>
      </w:pPr>
      <w:r w:rsidRPr="001025BF">
        <w:rPr>
          <w:rFonts w:ascii="Abadi" w:hAnsi="Abadi" w:cs="Arial"/>
          <w:sz w:val="21"/>
          <w:szCs w:val="21"/>
        </w:rPr>
        <w:t xml:space="preserve">En razón de lo anteriormente señalado, concluimos que el informe de resultados de la auditoría practicada </w:t>
      </w:r>
      <w:r w:rsidRPr="001025BF">
        <w:rPr>
          <w:rFonts w:ascii="Abadi" w:hAnsi="Abadi" w:cs="Arial"/>
          <w:sz w:val="21"/>
          <w:szCs w:val="21"/>
          <w:lang w:val="es-MX"/>
        </w:rPr>
        <w:t xml:space="preserve">a la infraestructura pública municipal respecto de las operaciones realizadas por la administración municipal de Villagrán, Gto., </w:t>
      </w:r>
      <w:r w:rsidRPr="001025BF">
        <w:rPr>
          <w:rFonts w:ascii="Abadi" w:hAnsi="Abadi" w:cs="Arial"/>
          <w:sz w:val="21"/>
          <w:szCs w:val="21"/>
        </w:rPr>
        <w:t xml:space="preserve">correspondientes al ejercicio fiscal del año 2020, debe sancionarse por el Congreso en los términos presentados por la Auditoría Superior del Estado y proceder a su aprobación, considerando que no se actualiza el supuesto contenido en el artículo 38 de </w:t>
      </w:r>
      <w:smartTag w:uri="urn:schemas-microsoft-com:office:smarttags" w:element="PersonName">
        <w:smartTagPr>
          <w:attr w:name="ProductID" w:val="la Ley"/>
        </w:smartTagPr>
        <w:r w:rsidRPr="001025BF">
          <w:rPr>
            <w:rFonts w:ascii="Abadi" w:hAnsi="Abadi" w:cs="Arial"/>
            <w:sz w:val="21"/>
            <w:szCs w:val="21"/>
          </w:rPr>
          <w:t>la Ley</w:t>
        </w:r>
      </w:smartTag>
      <w:r w:rsidRPr="001025BF">
        <w:rPr>
          <w:rFonts w:ascii="Abadi" w:hAnsi="Abadi" w:cs="Arial"/>
          <w:sz w:val="21"/>
          <w:szCs w:val="21"/>
        </w:rPr>
        <w:t xml:space="preserve"> de Fiscalización Superior del Estado de Guanajuato, razón por la cual no podría ser observado por el Pleno del Congreso.</w:t>
      </w:r>
    </w:p>
    <w:p w14:paraId="1C1A2DB5" w14:textId="77777777" w:rsidR="001025BF" w:rsidRPr="001025BF" w:rsidRDefault="001025BF" w:rsidP="001025BF">
      <w:pPr>
        <w:ind w:firstLine="708"/>
        <w:jc w:val="both"/>
        <w:rPr>
          <w:rFonts w:ascii="Abadi" w:hAnsi="Abadi" w:cs="Arial"/>
          <w:sz w:val="21"/>
          <w:szCs w:val="21"/>
        </w:rPr>
      </w:pPr>
    </w:p>
    <w:p w14:paraId="335842DC"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lang w:val="es-MX"/>
        </w:rPr>
        <w:t xml:space="preserve">Por lo expuesto, con fundamento en el artículo 204 de </w:t>
      </w:r>
      <w:smartTag w:uri="urn:schemas-microsoft-com:office:smarttags" w:element="PersonName">
        <w:smartTagPr>
          <w:attr w:name="ProductID" w:val="la Ley Org￡nica"/>
        </w:smartTagPr>
        <w:r w:rsidRPr="001025BF">
          <w:rPr>
            <w:rFonts w:ascii="Abadi" w:hAnsi="Abadi" w:cs="Arial"/>
            <w:sz w:val="21"/>
            <w:szCs w:val="21"/>
            <w:lang w:val="es-MX"/>
          </w:rPr>
          <w:t>la Ley Orgánica</w:t>
        </w:r>
      </w:smartTag>
      <w:r w:rsidRPr="001025BF">
        <w:rPr>
          <w:rFonts w:ascii="Abadi" w:hAnsi="Abadi" w:cs="Arial"/>
          <w:sz w:val="21"/>
          <w:szCs w:val="21"/>
          <w:lang w:val="es-MX"/>
        </w:rPr>
        <w:t xml:space="preserve"> del Poder Legislativo, nos permitimos someter a la consideración de </w:t>
      </w:r>
      <w:smartTag w:uri="urn:schemas-microsoft-com:office:smarttags" w:element="PersonName">
        <w:smartTagPr>
          <w:attr w:name="ProductID" w:val="la Asamblea"/>
        </w:smartTagPr>
        <w:r w:rsidRPr="001025BF">
          <w:rPr>
            <w:rFonts w:ascii="Abadi" w:hAnsi="Abadi" w:cs="Arial"/>
            <w:sz w:val="21"/>
            <w:szCs w:val="21"/>
            <w:lang w:val="es-MX"/>
          </w:rPr>
          <w:t>la Asamblea</w:t>
        </w:r>
      </w:smartTag>
      <w:r w:rsidRPr="001025BF">
        <w:rPr>
          <w:rFonts w:ascii="Abadi" w:hAnsi="Abadi" w:cs="Arial"/>
          <w:sz w:val="21"/>
          <w:szCs w:val="21"/>
          <w:lang w:val="es-MX"/>
        </w:rPr>
        <w:t>, la aprobación del siguiente:</w:t>
      </w:r>
    </w:p>
    <w:p w14:paraId="5C09BE0C" w14:textId="77777777" w:rsidR="001025BF" w:rsidRPr="001025BF" w:rsidRDefault="001025BF" w:rsidP="001025BF">
      <w:pPr>
        <w:ind w:firstLine="708"/>
        <w:jc w:val="both"/>
        <w:rPr>
          <w:rFonts w:ascii="Abadi" w:hAnsi="Abadi" w:cs="Arial"/>
          <w:sz w:val="21"/>
          <w:szCs w:val="21"/>
          <w:lang w:val="es-MX"/>
        </w:rPr>
      </w:pPr>
    </w:p>
    <w:p w14:paraId="7CCCC12D" w14:textId="77777777" w:rsidR="001025BF" w:rsidRPr="001025BF" w:rsidRDefault="001025BF" w:rsidP="001025BF">
      <w:pPr>
        <w:keepNext/>
        <w:jc w:val="center"/>
        <w:outlineLvl w:val="0"/>
        <w:rPr>
          <w:rFonts w:ascii="Abadi" w:eastAsia="Arial Unicode MS" w:hAnsi="Abadi" w:cs="Arial"/>
          <w:b/>
          <w:bCs/>
          <w:smallCaps/>
          <w:sz w:val="21"/>
          <w:szCs w:val="21"/>
        </w:rPr>
      </w:pPr>
      <w:r w:rsidRPr="001025BF">
        <w:rPr>
          <w:rFonts w:ascii="Abadi" w:eastAsia="Arial Unicode MS" w:hAnsi="Abadi" w:cs="Arial"/>
          <w:b/>
          <w:bCs/>
          <w:smallCaps/>
          <w:sz w:val="21"/>
          <w:szCs w:val="21"/>
        </w:rPr>
        <w:t>A C U E R D O</w:t>
      </w:r>
    </w:p>
    <w:p w14:paraId="561BCDFD" w14:textId="77777777" w:rsidR="001025BF" w:rsidRPr="001025BF" w:rsidRDefault="001025BF" w:rsidP="001025BF">
      <w:pPr>
        <w:rPr>
          <w:rFonts w:ascii="Abadi" w:hAnsi="Abadi" w:cs="Arial"/>
          <w:sz w:val="21"/>
          <w:szCs w:val="21"/>
          <w:lang w:val="es-MX"/>
        </w:rPr>
      </w:pPr>
    </w:p>
    <w:p w14:paraId="03BA3975"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b/>
          <w:sz w:val="21"/>
          <w:szCs w:val="21"/>
        </w:rPr>
        <w:t>Único.</w:t>
      </w:r>
      <w:r w:rsidRPr="001025BF">
        <w:rPr>
          <w:rFonts w:ascii="Abadi" w:hAnsi="Abadi" w:cs="Arial"/>
          <w:sz w:val="21"/>
          <w:szCs w:val="21"/>
        </w:rPr>
        <w:t xml:space="preserve"> </w:t>
      </w:r>
      <w:r w:rsidRPr="001025BF">
        <w:rPr>
          <w:rFonts w:ascii="Abadi" w:hAnsi="Abadi" w:cs="Arial"/>
          <w:sz w:val="21"/>
          <w:szCs w:val="21"/>
          <w:lang w:val="es-MX"/>
        </w:rPr>
        <w:t xml:space="preserve">Con fundamento en el artículo 63 fracción XIX de </w:t>
      </w:r>
      <w:smartTag w:uri="urn:schemas-microsoft-com:office:smarttags" w:element="PersonName">
        <w:smartTagPr>
          <w:attr w:name="ProductID" w:val="la Constituci￳n Pol￭tica"/>
        </w:smartTagPr>
        <w:r w:rsidRPr="001025BF">
          <w:rPr>
            <w:rFonts w:ascii="Abadi" w:hAnsi="Abadi" w:cs="Arial"/>
            <w:sz w:val="21"/>
            <w:szCs w:val="21"/>
            <w:lang w:val="es-MX"/>
          </w:rPr>
          <w:t>la Constitución Política</w:t>
        </w:r>
      </w:smartTag>
      <w:r w:rsidRPr="001025BF">
        <w:rPr>
          <w:rFonts w:ascii="Abadi" w:hAnsi="Abadi" w:cs="Arial"/>
          <w:sz w:val="21"/>
          <w:szCs w:val="21"/>
          <w:lang w:val="es-MX"/>
        </w:rPr>
        <w:t xml:space="preserve"> para el Estado, en relación con el artículo 37, fracciones V y VI de la Ley de Fiscalización Superior del Estado de Guanajuato, se aprueba el informe de resultados formulado por la Auditoría Superior del Estado de Guanajuato, relativo a la auditoría practicada a la infraestructura pública municipal respecto de las operaciones realizadas por la administración municipal de Villagrán, Gto., correspondientes al periodo comprendido del 1 de enero al 31 de diciembre del ejercicio fiscal del año 2020.</w:t>
      </w:r>
    </w:p>
    <w:p w14:paraId="1A3AE91D" w14:textId="77777777" w:rsidR="001025BF" w:rsidRPr="001025BF" w:rsidRDefault="001025BF" w:rsidP="001025BF">
      <w:pPr>
        <w:ind w:firstLine="708"/>
        <w:jc w:val="both"/>
        <w:rPr>
          <w:rFonts w:ascii="Abadi" w:hAnsi="Abadi" w:cs="Arial"/>
          <w:sz w:val="21"/>
          <w:szCs w:val="21"/>
          <w:lang w:val="es-MX"/>
        </w:rPr>
      </w:pPr>
    </w:p>
    <w:p w14:paraId="610DCC6F"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1025BF">
        <w:rPr>
          <w:rFonts w:ascii="Abadi" w:hAnsi="Abadi" w:cs="Arial"/>
          <w:sz w:val="21"/>
          <w:szCs w:val="21"/>
          <w:lang w:val="es-MX"/>
        </w:rPr>
        <w:t xml:space="preserve">. </w:t>
      </w:r>
      <w:r w:rsidRPr="001025BF">
        <w:rPr>
          <w:rFonts w:ascii="Abadi" w:hAnsi="Abadi" w:cs="Arial"/>
          <w:sz w:val="21"/>
          <w:szCs w:val="21"/>
        </w:rPr>
        <w:t>Asimismo, dará seguimiento a las observaciones no solventadas contenidas en el informe de resultados</w:t>
      </w:r>
      <w:r w:rsidRPr="001025BF">
        <w:rPr>
          <w:rFonts w:ascii="Abadi" w:hAnsi="Abadi" w:cs="Arial"/>
          <w:sz w:val="21"/>
          <w:szCs w:val="21"/>
          <w:lang w:val="es-MX"/>
        </w:rPr>
        <w:t>.</w:t>
      </w:r>
    </w:p>
    <w:p w14:paraId="6968A26D" w14:textId="77777777" w:rsidR="001025BF" w:rsidRPr="001025BF" w:rsidRDefault="001025BF" w:rsidP="001025BF">
      <w:pPr>
        <w:ind w:firstLine="708"/>
        <w:jc w:val="both"/>
        <w:rPr>
          <w:rFonts w:ascii="Abadi" w:hAnsi="Abadi" w:cs="Arial"/>
          <w:sz w:val="21"/>
          <w:szCs w:val="21"/>
          <w:lang w:val="es-MX"/>
        </w:rPr>
      </w:pPr>
    </w:p>
    <w:p w14:paraId="6E2C2336" w14:textId="77777777" w:rsidR="001025BF" w:rsidRPr="001025BF" w:rsidRDefault="001025BF" w:rsidP="001025BF">
      <w:pPr>
        <w:ind w:firstLine="708"/>
        <w:jc w:val="both"/>
        <w:rPr>
          <w:rFonts w:ascii="Abadi" w:hAnsi="Abadi" w:cs="Arial"/>
          <w:sz w:val="21"/>
          <w:szCs w:val="21"/>
        </w:rPr>
      </w:pPr>
      <w:r w:rsidRPr="001025BF">
        <w:rPr>
          <w:rFonts w:ascii="Abadi" w:hAnsi="Abadi" w:cs="Arial"/>
          <w:sz w:val="21"/>
          <w:szCs w:val="21"/>
        </w:rPr>
        <w:t>Del proceso de fiscalización no se desprendieron recomendaciones.</w:t>
      </w:r>
    </w:p>
    <w:p w14:paraId="2E4FB2DF" w14:textId="77777777" w:rsidR="001025BF" w:rsidRPr="001025BF" w:rsidRDefault="001025BF" w:rsidP="001025BF">
      <w:pPr>
        <w:ind w:firstLine="708"/>
        <w:jc w:val="both"/>
        <w:rPr>
          <w:rFonts w:ascii="Abadi" w:hAnsi="Abadi" w:cs="Arial"/>
          <w:sz w:val="21"/>
          <w:szCs w:val="21"/>
          <w:lang w:val="es-MX" w:eastAsia="x-none"/>
        </w:rPr>
      </w:pPr>
    </w:p>
    <w:p w14:paraId="428DF059" w14:textId="77777777" w:rsidR="001025BF" w:rsidRPr="001025BF" w:rsidRDefault="001025BF" w:rsidP="001025BF">
      <w:pPr>
        <w:ind w:firstLine="708"/>
        <w:jc w:val="both"/>
        <w:rPr>
          <w:rFonts w:ascii="Abadi" w:hAnsi="Abadi" w:cs="Arial"/>
          <w:sz w:val="21"/>
          <w:szCs w:val="21"/>
          <w:lang w:val="es-MX"/>
        </w:rPr>
      </w:pPr>
      <w:r w:rsidRPr="001025BF">
        <w:rPr>
          <w:rFonts w:ascii="Abadi" w:hAnsi="Abadi" w:cs="Arial"/>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1025BF">
        <w:rPr>
          <w:rFonts w:ascii="Abadi" w:hAnsi="Abadi" w:cs="Arial"/>
          <w:sz w:val="21"/>
          <w:szCs w:val="21"/>
          <w:lang w:val="es-MX"/>
        </w:rPr>
        <w:t>.</w:t>
      </w:r>
    </w:p>
    <w:p w14:paraId="5A4A7048" w14:textId="77777777" w:rsidR="001025BF" w:rsidRPr="001025BF" w:rsidRDefault="001025BF" w:rsidP="001025BF">
      <w:pPr>
        <w:ind w:firstLine="708"/>
        <w:jc w:val="both"/>
        <w:rPr>
          <w:rFonts w:ascii="Abadi" w:hAnsi="Abadi" w:cs="Arial"/>
          <w:sz w:val="21"/>
          <w:szCs w:val="21"/>
          <w:lang w:val="es-MX"/>
        </w:rPr>
      </w:pPr>
    </w:p>
    <w:p w14:paraId="74C24DD9" w14:textId="77777777" w:rsidR="001025BF" w:rsidRPr="001025BF" w:rsidRDefault="001025BF" w:rsidP="001D0FC3">
      <w:pPr>
        <w:jc w:val="center"/>
        <w:rPr>
          <w:rFonts w:ascii="Abadi" w:hAnsi="Abadi" w:cs="Arial"/>
          <w:b/>
          <w:bCs/>
          <w:sz w:val="21"/>
          <w:szCs w:val="21"/>
          <w:lang w:val="es-MX" w:eastAsia="x-none"/>
        </w:rPr>
      </w:pPr>
      <w:r w:rsidRPr="001025BF">
        <w:rPr>
          <w:rFonts w:ascii="Abadi" w:hAnsi="Abadi" w:cs="Arial"/>
          <w:b/>
          <w:bCs/>
          <w:sz w:val="21"/>
          <w:szCs w:val="21"/>
          <w:lang w:val="es-MX" w:eastAsia="x-none"/>
        </w:rPr>
        <w:t>Guanajuato, Gto., 14 de junio de 2022</w:t>
      </w:r>
    </w:p>
    <w:p w14:paraId="5D3179E9" w14:textId="77777777" w:rsidR="001025BF" w:rsidRPr="001025BF" w:rsidRDefault="001025BF" w:rsidP="001D0FC3">
      <w:pPr>
        <w:jc w:val="center"/>
        <w:rPr>
          <w:rFonts w:ascii="Abadi" w:hAnsi="Abadi" w:cs="Arial"/>
          <w:b/>
          <w:bCs/>
          <w:sz w:val="21"/>
          <w:szCs w:val="21"/>
          <w:lang w:val="es-MX" w:eastAsia="x-none"/>
        </w:rPr>
      </w:pPr>
      <w:smartTag w:uri="urn:schemas-microsoft-com:office:smarttags" w:element="PersonName">
        <w:smartTagPr>
          <w:attr w:name="ProductID" w:val="La Comisi￳n"/>
        </w:smartTagPr>
        <w:r w:rsidRPr="001025BF">
          <w:rPr>
            <w:rFonts w:ascii="Abadi" w:hAnsi="Abadi" w:cs="Arial"/>
            <w:b/>
            <w:bCs/>
            <w:sz w:val="21"/>
            <w:szCs w:val="21"/>
            <w:lang w:val="es-MX" w:eastAsia="x-none"/>
          </w:rPr>
          <w:t>La Comisión</w:t>
        </w:r>
      </w:smartTag>
      <w:r w:rsidRPr="001025BF">
        <w:rPr>
          <w:rFonts w:ascii="Abadi" w:hAnsi="Abadi" w:cs="Arial"/>
          <w:b/>
          <w:bCs/>
          <w:sz w:val="21"/>
          <w:szCs w:val="21"/>
          <w:lang w:val="es-MX" w:eastAsia="x-none"/>
        </w:rPr>
        <w:t xml:space="preserve"> de Hacienda y Fiscalización</w:t>
      </w:r>
    </w:p>
    <w:p w14:paraId="7D0A25AA" w14:textId="77777777" w:rsidR="003975A9" w:rsidRDefault="003975A9" w:rsidP="001D0FC3">
      <w:pPr>
        <w:jc w:val="center"/>
        <w:rPr>
          <w:rFonts w:ascii="Abadi" w:hAnsi="Abadi" w:cs="Arial"/>
          <w:i/>
          <w:iCs/>
          <w:sz w:val="21"/>
          <w:szCs w:val="21"/>
          <w:lang w:val="es-MX" w:eastAsia="x-none"/>
        </w:rPr>
      </w:pPr>
    </w:p>
    <w:p w14:paraId="4E1ED80E" w14:textId="0FAD0E4C" w:rsidR="001025BF" w:rsidRPr="001025BF" w:rsidRDefault="001025BF" w:rsidP="001D0FC3">
      <w:pPr>
        <w:jc w:val="center"/>
        <w:rPr>
          <w:rFonts w:ascii="Abadi" w:hAnsi="Abadi" w:cs="Arial"/>
          <w:i/>
          <w:iCs/>
          <w:sz w:val="21"/>
          <w:szCs w:val="21"/>
          <w:lang w:val="es-MX" w:eastAsia="x-none"/>
        </w:rPr>
      </w:pPr>
      <w:r w:rsidRPr="001025BF">
        <w:rPr>
          <w:rFonts w:ascii="Abadi" w:hAnsi="Abadi" w:cs="Arial"/>
          <w:i/>
          <w:iCs/>
          <w:sz w:val="21"/>
          <w:szCs w:val="21"/>
          <w:lang w:val="es-MX" w:eastAsia="x-none"/>
        </w:rPr>
        <w:t>Firma electrónica</w:t>
      </w:r>
    </w:p>
    <w:p w14:paraId="105366F5" w14:textId="77777777" w:rsidR="001025BF" w:rsidRPr="001025BF" w:rsidRDefault="001025BF" w:rsidP="001D0FC3">
      <w:pPr>
        <w:jc w:val="center"/>
        <w:rPr>
          <w:rFonts w:ascii="Abadi" w:hAnsi="Abadi" w:cs="Arial"/>
          <w:sz w:val="21"/>
          <w:szCs w:val="21"/>
          <w:lang w:val="es-MX"/>
        </w:rPr>
      </w:pPr>
    </w:p>
    <w:p w14:paraId="6AA17E9F" w14:textId="77777777" w:rsidR="001025BF" w:rsidRPr="001025BF" w:rsidRDefault="001025BF" w:rsidP="001D0FC3">
      <w:pPr>
        <w:jc w:val="center"/>
        <w:rPr>
          <w:rFonts w:ascii="Abadi" w:hAnsi="Abadi" w:cs="Arial"/>
          <w:sz w:val="21"/>
          <w:szCs w:val="21"/>
          <w:lang w:val="es-MX"/>
        </w:rPr>
      </w:pPr>
    </w:p>
    <w:p w14:paraId="50838DC0" w14:textId="77777777" w:rsidR="001025BF" w:rsidRPr="001025BF" w:rsidRDefault="001025BF" w:rsidP="001D0FC3">
      <w:pPr>
        <w:jc w:val="center"/>
        <w:rPr>
          <w:rFonts w:ascii="Abadi" w:hAnsi="Abadi" w:cs="Arial"/>
          <w:sz w:val="21"/>
          <w:szCs w:val="21"/>
          <w:lang w:val="es-MX"/>
        </w:rPr>
      </w:pPr>
      <w:r w:rsidRPr="001025BF">
        <w:rPr>
          <w:rFonts w:ascii="Abadi" w:hAnsi="Abadi" w:cs="Arial"/>
          <w:b/>
          <w:sz w:val="21"/>
          <w:szCs w:val="21"/>
          <w:lang w:val="es-MX" w:eastAsia="x-none"/>
        </w:rPr>
        <w:t>Diputado Víctor Manuel Zanella Huerta</w:t>
      </w:r>
    </w:p>
    <w:p w14:paraId="31475EA1" w14:textId="77777777" w:rsidR="001025BF" w:rsidRPr="001025BF" w:rsidRDefault="001025BF" w:rsidP="001D0FC3">
      <w:pPr>
        <w:jc w:val="center"/>
        <w:rPr>
          <w:rFonts w:ascii="Abadi" w:hAnsi="Abadi" w:cs="Arial"/>
          <w:b/>
          <w:bCs/>
          <w:sz w:val="21"/>
          <w:szCs w:val="21"/>
          <w:lang w:val="es-MX" w:eastAsia="x-none"/>
        </w:rPr>
      </w:pPr>
    </w:p>
    <w:p w14:paraId="1A062460" w14:textId="4D8A5ABD" w:rsidR="001025BF" w:rsidRPr="001025BF" w:rsidRDefault="001025BF" w:rsidP="001D0FC3">
      <w:pPr>
        <w:jc w:val="center"/>
        <w:rPr>
          <w:rFonts w:ascii="Abadi" w:hAnsi="Abadi" w:cs="Arial"/>
          <w:b/>
          <w:sz w:val="21"/>
          <w:szCs w:val="21"/>
          <w:lang w:val="es-MX" w:eastAsia="x-none"/>
        </w:rPr>
      </w:pPr>
      <w:r w:rsidRPr="001025BF">
        <w:rPr>
          <w:rFonts w:ascii="Abadi" w:hAnsi="Abadi" w:cs="Arial"/>
          <w:b/>
          <w:sz w:val="21"/>
          <w:szCs w:val="21"/>
          <w:lang w:val="es-MX" w:eastAsia="x-none"/>
        </w:rPr>
        <w:t>Diputada Ruth Noemí Tiscareño Agoitia</w:t>
      </w:r>
    </w:p>
    <w:p w14:paraId="78AE4133" w14:textId="77777777" w:rsidR="001025BF" w:rsidRPr="001025BF" w:rsidRDefault="001025BF" w:rsidP="001D0FC3">
      <w:pPr>
        <w:jc w:val="center"/>
        <w:rPr>
          <w:rFonts w:ascii="Abadi" w:hAnsi="Abadi" w:cs="Arial"/>
          <w:b/>
          <w:sz w:val="21"/>
          <w:szCs w:val="21"/>
          <w:lang w:val="es-MX" w:eastAsia="x-none"/>
        </w:rPr>
      </w:pPr>
    </w:p>
    <w:p w14:paraId="500848EC" w14:textId="4C8264BC" w:rsidR="001025BF" w:rsidRPr="001025BF" w:rsidRDefault="001025BF" w:rsidP="001D0FC3">
      <w:pPr>
        <w:jc w:val="center"/>
        <w:rPr>
          <w:rFonts w:ascii="Abadi" w:hAnsi="Abadi" w:cs="Arial"/>
          <w:b/>
          <w:sz w:val="21"/>
          <w:szCs w:val="21"/>
          <w:lang w:val="es-MX" w:eastAsia="x-none"/>
        </w:rPr>
      </w:pPr>
      <w:r w:rsidRPr="001025BF">
        <w:rPr>
          <w:rFonts w:ascii="Abadi" w:hAnsi="Abadi" w:cs="Arial"/>
          <w:b/>
          <w:sz w:val="21"/>
          <w:szCs w:val="21"/>
          <w:lang w:val="es-MX" w:eastAsia="x-none"/>
        </w:rPr>
        <w:t>Diputado Miguel Ángel Salim Alle</w:t>
      </w:r>
    </w:p>
    <w:p w14:paraId="68E26843" w14:textId="77777777" w:rsidR="001025BF" w:rsidRPr="001025BF" w:rsidRDefault="001025BF" w:rsidP="001D0FC3">
      <w:pPr>
        <w:jc w:val="center"/>
        <w:rPr>
          <w:rFonts w:ascii="Abadi" w:hAnsi="Abadi" w:cs="Arial"/>
          <w:b/>
          <w:sz w:val="21"/>
          <w:szCs w:val="21"/>
          <w:lang w:val="es-MX" w:eastAsia="x-none"/>
        </w:rPr>
      </w:pPr>
    </w:p>
    <w:p w14:paraId="50C6CD12" w14:textId="4FC7F37A" w:rsidR="001025BF" w:rsidRPr="001025BF" w:rsidRDefault="001025BF" w:rsidP="001D0FC3">
      <w:pPr>
        <w:jc w:val="center"/>
        <w:rPr>
          <w:rFonts w:ascii="Abadi" w:hAnsi="Abadi" w:cs="Arial"/>
          <w:b/>
          <w:sz w:val="21"/>
          <w:szCs w:val="21"/>
          <w:lang w:val="es-MX" w:eastAsia="x-none"/>
        </w:rPr>
      </w:pPr>
      <w:r w:rsidRPr="001025BF">
        <w:rPr>
          <w:rFonts w:ascii="Abadi" w:hAnsi="Abadi" w:cs="Arial"/>
          <w:b/>
          <w:sz w:val="21"/>
          <w:szCs w:val="21"/>
          <w:lang w:val="es-MX" w:eastAsia="x-none"/>
        </w:rPr>
        <w:t>Diputado José Alfonso Borja Pimentel</w:t>
      </w:r>
    </w:p>
    <w:p w14:paraId="660148FD" w14:textId="77777777" w:rsidR="001025BF" w:rsidRPr="001025BF" w:rsidRDefault="001025BF" w:rsidP="001D0FC3">
      <w:pPr>
        <w:jc w:val="center"/>
        <w:rPr>
          <w:rFonts w:ascii="Abadi" w:hAnsi="Abadi" w:cs="Arial"/>
          <w:b/>
          <w:sz w:val="21"/>
          <w:szCs w:val="21"/>
          <w:lang w:val="es-MX" w:eastAsia="x-none"/>
        </w:rPr>
      </w:pPr>
    </w:p>
    <w:p w14:paraId="5A5A1183" w14:textId="77777777" w:rsidR="001025BF" w:rsidRPr="001025BF" w:rsidRDefault="001025BF" w:rsidP="001D0FC3">
      <w:pPr>
        <w:jc w:val="center"/>
        <w:rPr>
          <w:rFonts w:ascii="Abadi" w:hAnsi="Abadi" w:cs="Arial"/>
          <w:b/>
          <w:sz w:val="21"/>
          <w:szCs w:val="21"/>
          <w:lang w:val="es-MX" w:eastAsia="x-none"/>
        </w:rPr>
      </w:pPr>
      <w:r w:rsidRPr="001025BF">
        <w:rPr>
          <w:rFonts w:ascii="Abadi" w:hAnsi="Abadi" w:cs="Arial"/>
          <w:b/>
          <w:sz w:val="21"/>
          <w:szCs w:val="21"/>
          <w:lang w:val="es-MX" w:eastAsia="x-none"/>
        </w:rPr>
        <w:t>Diputada Alma Edwviges Alcaraz Hernández</w:t>
      </w:r>
    </w:p>
    <w:p w14:paraId="4C5EB53E" w14:textId="44D481F6" w:rsidR="001025BF" w:rsidRPr="001025BF" w:rsidRDefault="001025BF" w:rsidP="001D0FC3">
      <w:pPr>
        <w:ind w:firstLine="708"/>
        <w:jc w:val="center"/>
        <w:rPr>
          <w:rFonts w:ascii="Abadi" w:hAnsi="Abadi" w:cs="Arial"/>
          <w:bCs/>
          <w:i/>
          <w:iCs/>
          <w:sz w:val="21"/>
          <w:szCs w:val="21"/>
          <w:lang w:val="es-MX" w:eastAsia="x-none"/>
        </w:rPr>
      </w:pPr>
      <w:r w:rsidRPr="001025BF">
        <w:rPr>
          <w:rFonts w:ascii="Abadi" w:hAnsi="Abadi" w:cs="Arial"/>
          <w:bCs/>
          <w:i/>
          <w:iCs/>
          <w:sz w:val="21"/>
          <w:szCs w:val="21"/>
          <w:lang w:val="es-MX" w:eastAsia="x-none"/>
        </w:rPr>
        <w:t>Voto en contra</w:t>
      </w:r>
    </w:p>
    <w:p w14:paraId="042FD481" w14:textId="39F817F4" w:rsidR="00BB1DFA" w:rsidRDefault="00BB1DFA" w:rsidP="00BB1DFA">
      <w:pPr>
        <w:rPr>
          <w:rFonts w:ascii="Abadi" w:hAnsi="Abadi"/>
          <w:sz w:val="20"/>
          <w:szCs w:val="20"/>
        </w:rPr>
      </w:pPr>
    </w:p>
    <w:p w14:paraId="7DBBC33A" w14:textId="77777777" w:rsidR="00BB1DFA" w:rsidRPr="00BB1DFA" w:rsidRDefault="00BB1DFA" w:rsidP="00BB1DFA">
      <w:pPr>
        <w:rPr>
          <w:rFonts w:ascii="Abadi" w:hAnsi="Abadi"/>
          <w:sz w:val="20"/>
          <w:szCs w:val="20"/>
        </w:rPr>
      </w:pPr>
    </w:p>
    <w:p w14:paraId="6C698616" w14:textId="47B56375" w:rsidR="00DE589A" w:rsidRDefault="00DE589A"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cs="Verdana"/>
          <w:b/>
          <w:bCs/>
          <w:sz w:val="20"/>
          <w:szCs w:val="20"/>
        </w:rPr>
      </w:pPr>
      <w:r w:rsidRPr="00531B12">
        <w:rPr>
          <w:rFonts w:ascii="Abadi" w:hAnsi="Abadi"/>
          <w:b/>
          <w:bCs/>
          <w:sz w:val="20"/>
          <w:szCs w:val="20"/>
        </w:rPr>
        <w:t>DISCUSIÓN</w:t>
      </w:r>
      <w:r w:rsidRPr="00531B12">
        <w:rPr>
          <w:rFonts w:ascii="Abadi" w:hAnsi="Abadi"/>
          <w:b/>
          <w:bCs/>
          <w:spacing w:val="11"/>
          <w:sz w:val="20"/>
          <w:szCs w:val="20"/>
        </w:rPr>
        <w:t xml:space="preserve"> </w:t>
      </w:r>
      <w:r w:rsidRPr="00531B12">
        <w:rPr>
          <w:rFonts w:ascii="Abadi" w:hAnsi="Abadi"/>
          <w:b/>
          <w:bCs/>
          <w:sz w:val="20"/>
          <w:szCs w:val="20"/>
        </w:rPr>
        <w:t>Y,</w:t>
      </w:r>
      <w:r w:rsidRPr="00531B12">
        <w:rPr>
          <w:rFonts w:ascii="Abadi" w:hAnsi="Abadi"/>
          <w:b/>
          <w:bCs/>
          <w:spacing w:val="11"/>
          <w:sz w:val="20"/>
          <w:szCs w:val="20"/>
        </w:rPr>
        <w:t xml:space="preserve"> </w:t>
      </w:r>
      <w:r w:rsidRPr="00531B12">
        <w:rPr>
          <w:rFonts w:ascii="Abadi" w:hAnsi="Abadi"/>
          <w:b/>
          <w:bCs/>
          <w:sz w:val="20"/>
          <w:szCs w:val="20"/>
        </w:rPr>
        <w:t>EN</w:t>
      </w:r>
      <w:r w:rsidRPr="00531B12">
        <w:rPr>
          <w:rFonts w:ascii="Abadi" w:hAnsi="Abadi"/>
          <w:b/>
          <w:bCs/>
          <w:spacing w:val="11"/>
          <w:sz w:val="20"/>
          <w:szCs w:val="20"/>
        </w:rPr>
        <w:t xml:space="preserve"> </w:t>
      </w:r>
      <w:r w:rsidRPr="00531B12">
        <w:rPr>
          <w:rFonts w:ascii="Abadi" w:hAnsi="Abadi"/>
          <w:b/>
          <w:bCs/>
          <w:sz w:val="20"/>
          <w:szCs w:val="20"/>
        </w:rPr>
        <w:t>SU</w:t>
      </w:r>
      <w:r w:rsidRPr="00531B12">
        <w:rPr>
          <w:rFonts w:ascii="Abadi" w:hAnsi="Abadi"/>
          <w:b/>
          <w:bCs/>
          <w:spacing w:val="11"/>
          <w:sz w:val="20"/>
          <w:szCs w:val="20"/>
        </w:rPr>
        <w:t xml:space="preserve"> </w:t>
      </w:r>
      <w:r w:rsidRPr="00531B12">
        <w:rPr>
          <w:rFonts w:ascii="Abadi" w:hAnsi="Abadi"/>
          <w:b/>
          <w:bCs/>
          <w:sz w:val="20"/>
          <w:szCs w:val="20"/>
        </w:rPr>
        <w:t>CASO,</w:t>
      </w:r>
      <w:r w:rsidRPr="00531B12">
        <w:rPr>
          <w:rFonts w:ascii="Abadi" w:hAnsi="Abadi"/>
          <w:b/>
          <w:bCs/>
          <w:spacing w:val="11"/>
          <w:sz w:val="20"/>
          <w:szCs w:val="20"/>
        </w:rPr>
        <w:t xml:space="preserve"> </w:t>
      </w:r>
      <w:r w:rsidRPr="00531B12">
        <w:rPr>
          <w:rFonts w:ascii="Abadi" w:hAnsi="Abadi"/>
          <w:b/>
          <w:bCs/>
          <w:sz w:val="20"/>
          <w:szCs w:val="20"/>
        </w:rPr>
        <w:t>APROBACIÓN</w:t>
      </w:r>
      <w:r w:rsidRPr="00531B12">
        <w:rPr>
          <w:rFonts w:ascii="Abadi" w:hAnsi="Abadi"/>
          <w:b/>
          <w:bCs/>
          <w:spacing w:val="11"/>
          <w:sz w:val="20"/>
          <w:szCs w:val="20"/>
        </w:rPr>
        <w:t xml:space="preserve"> </w:t>
      </w:r>
      <w:r w:rsidRPr="00531B12">
        <w:rPr>
          <w:rFonts w:ascii="Abadi" w:hAnsi="Abadi"/>
          <w:b/>
          <w:bCs/>
          <w:sz w:val="20"/>
          <w:szCs w:val="20"/>
        </w:rPr>
        <w:t>DEL</w:t>
      </w:r>
      <w:r w:rsidRPr="00531B12">
        <w:rPr>
          <w:rFonts w:ascii="Abadi" w:hAnsi="Abadi"/>
          <w:b/>
          <w:bCs/>
          <w:spacing w:val="11"/>
          <w:sz w:val="20"/>
          <w:szCs w:val="20"/>
        </w:rPr>
        <w:t xml:space="preserve"> </w:t>
      </w:r>
      <w:r w:rsidRPr="00531B12">
        <w:rPr>
          <w:rFonts w:ascii="Abadi" w:hAnsi="Abadi"/>
          <w:b/>
          <w:bCs/>
          <w:sz w:val="20"/>
          <w:szCs w:val="20"/>
        </w:rPr>
        <w:t>DICTAMEN</w:t>
      </w:r>
      <w:r w:rsidRPr="00531B12">
        <w:rPr>
          <w:rFonts w:ascii="Abadi" w:hAnsi="Abadi"/>
          <w:b/>
          <w:bCs/>
          <w:spacing w:val="11"/>
          <w:sz w:val="20"/>
          <w:szCs w:val="20"/>
        </w:rPr>
        <w:t xml:space="preserve"> </w:t>
      </w:r>
      <w:r w:rsidRPr="00531B12">
        <w:rPr>
          <w:rFonts w:ascii="Abadi" w:hAnsi="Abadi"/>
          <w:b/>
          <w:bCs/>
          <w:sz w:val="20"/>
          <w:szCs w:val="20"/>
        </w:rPr>
        <w:t>SUSCRITO</w:t>
      </w:r>
      <w:r w:rsidRPr="00531B12">
        <w:rPr>
          <w:rFonts w:ascii="Abadi" w:hAnsi="Abadi"/>
          <w:b/>
          <w:bCs/>
          <w:spacing w:val="11"/>
          <w:sz w:val="20"/>
          <w:szCs w:val="20"/>
        </w:rPr>
        <w:t xml:space="preserve"> </w:t>
      </w:r>
      <w:r w:rsidRPr="00531B12">
        <w:rPr>
          <w:rFonts w:ascii="Abadi" w:hAnsi="Abadi"/>
          <w:b/>
          <w:bCs/>
          <w:sz w:val="20"/>
          <w:szCs w:val="20"/>
        </w:rPr>
        <w:t>POR</w:t>
      </w:r>
      <w:r w:rsidRPr="00531B12">
        <w:rPr>
          <w:rFonts w:ascii="Abadi" w:hAnsi="Abadi"/>
          <w:b/>
          <w:bCs/>
          <w:spacing w:val="11"/>
          <w:sz w:val="20"/>
          <w:szCs w:val="20"/>
        </w:rPr>
        <w:t xml:space="preserve"> </w:t>
      </w:r>
      <w:r w:rsidRPr="00531B12">
        <w:rPr>
          <w:rFonts w:ascii="Abadi" w:hAnsi="Abadi"/>
          <w:b/>
          <w:bCs/>
          <w:sz w:val="20"/>
          <w:szCs w:val="20"/>
        </w:rPr>
        <w:t>LA</w:t>
      </w:r>
      <w:r w:rsidRPr="00531B12">
        <w:rPr>
          <w:rFonts w:ascii="Abadi" w:hAnsi="Abadi"/>
          <w:b/>
          <w:bCs/>
          <w:spacing w:val="11"/>
          <w:sz w:val="20"/>
          <w:szCs w:val="20"/>
        </w:rPr>
        <w:t xml:space="preserve"> </w:t>
      </w:r>
      <w:r w:rsidRPr="00531B12">
        <w:rPr>
          <w:rFonts w:ascii="Abadi" w:hAnsi="Abadi"/>
          <w:b/>
          <w:bCs/>
          <w:sz w:val="20"/>
          <w:szCs w:val="20"/>
        </w:rPr>
        <w:t>COMISIÓN</w:t>
      </w:r>
      <w:r w:rsidRPr="00531B12">
        <w:rPr>
          <w:rFonts w:ascii="Abadi" w:hAnsi="Abadi"/>
          <w:b/>
          <w:bCs/>
          <w:spacing w:val="-1"/>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HACIENDA</w:t>
      </w:r>
      <w:r w:rsidRPr="00531B12">
        <w:rPr>
          <w:rFonts w:ascii="Abadi" w:hAnsi="Abadi"/>
          <w:b/>
          <w:bCs/>
          <w:spacing w:val="-2"/>
          <w:sz w:val="20"/>
          <w:szCs w:val="20"/>
        </w:rPr>
        <w:t xml:space="preserve"> </w:t>
      </w:r>
      <w:r w:rsidRPr="00531B12">
        <w:rPr>
          <w:rFonts w:ascii="Abadi" w:hAnsi="Abadi"/>
          <w:b/>
          <w:bCs/>
          <w:sz w:val="20"/>
          <w:szCs w:val="20"/>
        </w:rPr>
        <w:t>Y</w:t>
      </w:r>
      <w:r w:rsidRPr="00531B12">
        <w:rPr>
          <w:rFonts w:ascii="Abadi" w:hAnsi="Abadi"/>
          <w:b/>
          <w:bCs/>
          <w:spacing w:val="-2"/>
          <w:sz w:val="20"/>
          <w:szCs w:val="20"/>
        </w:rPr>
        <w:t xml:space="preserve"> </w:t>
      </w:r>
      <w:r w:rsidRPr="00531B12">
        <w:rPr>
          <w:rFonts w:ascii="Abadi" w:hAnsi="Abadi"/>
          <w:b/>
          <w:bCs/>
          <w:sz w:val="20"/>
          <w:szCs w:val="20"/>
        </w:rPr>
        <w:t>FISCALIZACIÓN</w:t>
      </w:r>
      <w:r w:rsidRPr="00531B12">
        <w:rPr>
          <w:rFonts w:ascii="Abadi" w:hAnsi="Abadi"/>
          <w:b/>
          <w:bCs/>
          <w:spacing w:val="-2"/>
          <w:sz w:val="20"/>
          <w:szCs w:val="20"/>
        </w:rPr>
        <w:t xml:space="preserve"> </w:t>
      </w:r>
      <w:r w:rsidRPr="00531B12">
        <w:rPr>
          <w:rFonts w:ascii="Abadi" w:hAnsi="Abadi"/>
          <w:b/>
          <w:bCs/>
          <w:sz w:val="20"/>
          <w:szCs w:val="20"/>
        </w:rPr>
        <w:t>RELATIVO</w:t>
      </w:r>
      <w:r w:rsidRPr="00531B12">
        <w:rPr>
          <w:rFonts w:ascii="Abadi" w:hAnsi="Abadi"/>
          <w:b/>
          <w:bCs/>
          <w:spacing w:val="-2"/>
          <w:sz w:val="20"/>
          <w:szCs w:val="20"/>
        </w:rPr>
        <w:t xml:space="preserve"> </w:t>
      </w:r>
      <w:r w:rsidRPr="00531B12">
        <w:rPr>
          <w:rFonts w:ascii="Abadi" w:hAnsi="Abadi"/>
          <w:b/>
          <w:bCs/>
          <w:sz w:val="20"/>
          <w:szCs w:val="20"/>
        </w:rPr>
        <w:t>AL</w:t>
      </w:r>
      <w:r w:rsidRPr="00531B12">
        <w:rPr>
          <w:rFonts w:ascii="Abadi" w:hAnsi="Abadi"/>
          <w:b/>
          <w:bCs/>
          <w:spacing w:val="-2"/>
          <w:sz w:val="20"/>
          <w:szCs w:val="20"/>
        </w:rPr>
        <w:t xml:space="preserve"> </w:t>
      </w:r>
      <w:r w:rsidRPr="00531B12">
        <w:rPr>
          <w:rFonts w:ascii="Abadi" w:hAnsi="Abadi"/>
          <w:b/>
          <w:bCs/>
          <w:sz w:val="20"/>
          <w:szCs w:val="20"/>
        </w:rPr>
        <w:t>INFORME</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RESULTADOS</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LA</w:t>
      </w:r>
      <w:r w:rsidRPr="00531B12">
        <w:rPr>
          <w:rFonts w:ascii="Abadi" w:hAnsi="Abadi"/>
          <w:b/>
          <w:bCs/>
          <w:spacing w:val="-2"/>
          <w:sz w:val="20"/>
          <w:szCs w:val="20"/>
        </w:rPr>
        <w:t xml:space="preserve"> </w:t>
      </w:r>
      <w:r w:rsidRPr="00531B12">
        <w:rPr>
          <w:rFonts w:ascii="Abadi" w:hAnsi="Abadi"/>
          <w:b/>
          <w:bCs/>
          <w:sz w:val="20"/>
          <w:szCs w:val="20"/>
        </w:rPr>
        <w:t>AUDITORÍA</w:t>
      </w:r>
      <w:r w:rsidRPr="00531B12">
        <w:rPr>
          <w:rFonts w:ascii="Abadi" w:hAnsi="Abadi"/>
          <w:b/>
          <w:bCs/>
          <w:spacing w:val="-1"/>
          <w:sz w:val="20"/>
          <w:szCs w:val="20"/>
        </w:rPr>
        <w:t xml:space="preserve"> </w:t>
      </w:r>
      <w:r w:rsidRPr="00531B12">
        <w:rPr>
          <w:rFonts w:ascii="Abadi" w:hAnsi="Abadi"/>
          <w:b/>
          <w:bCs/>
          <w:sz w:val="20"/>
          <w:szCs w:val="20"/>
        </w:rPr>
        <w:t>PRACTICADA</w:t>
      </w:r>
      <w:r w:rsidRPr="00531B12">
        <w:rPr>
          <w:rFonts w:ascii="Abadi" w:hAnsi="Abadi"/>
          <w:b/>
          <w:bCs/>
          <w:spacing w:val="58"/>
          <w:w w:val="150"/>
          <w:sz w:val="20"/>
          <w:szCs w:val="20"/>
        </w:rPr>
        <w:t xml:space="preserve"> </w:t>
      </w:r>
      <w:r w:rsidRPr="00531B12">
        <w:rPr>
          <w:rFonts w:ascii="Abadi" w:hAnsi="Abadi"/>
          <w:b/>
          <w:bCs/>
          <w:sz w:val="20"/>
          <w:szCs w:val="20"/>
        </w:rPr>
        <w:t>POR</w:t>
      </w:r>
      <w:r w:rsidRPr="00531B12">
        <w:rPr>
          <w:rFonts w:ascii="Abadi" w:hAnsi="Abadi"/>
          <w:b/>
          <w:bCs/>
          <w:spacing w:val="58"/>
          <w:w w:val="150"/>
          <w:sz w:val="20"/>
          <w:szCs w:val="20"/>
        </w:rPr>
        <w:t xml:space="preserve"> </w:t>
      </w:r>
      <w:r w:rsidRPr="00531B12">
        <w:rPr>
          <w:rFonts w:ascii="Abadi" w:hAnsi="Abadi"/>
          <w:b/>
          <w:bCs/>
          <w:sz w:val="20"/>
          <w:szCs w:val="20"/>
        </w:rPr>
        <w:t>LA</w:t>
      </w:r>
      <w:r w:rsidRPr="00531B12">
        <w:rPr>
          <w:rFonts w:ascii="Abadi" w:hAnsi="Abadi"/>
          <w:b/>
          <w:bCs/>
          <w:spacing w:val="58"/>
          <w:w w:val="150"/>
          <w:sz w:val="20"/>
          <w:szCs w:val="20"/>
        </w:rPr>
        <w:t xml:space="preserve"> </w:t>
      </w:r>
      <w:r w:rsidRPr="00531B12">
        <w:rPr>
          <w:rFonts w:ascii="Abadi" w:hAnsi="Abadi"/>
          <w:b/>
          <w:bCs/>
          <w:sz w:val="20"/>
          <w:szCs w:val="20"/>
        </w:rPr>
        <w:t>AUDITORÍA</w:t>
      </w:r>
      <w:r w:rsidRPr="00531B12">
        <w:rPr>
          <w:rFonts w:ascii="Abadi" w:hAnsi="Abadi"/>
          <w:b/>
          <w:bCs/>
          <w:spacing w:val="58"/>
          <w:w w:val="150"/>
          <w:sz w:val="20"/>
          <w:szCs w:val="20"/>
        </w:rPr>
        <w:t xml:space="preserve"> </w:t>
      </w:r>
      <w:r w:rsidRPr="00531B12">
        <w:rPr>
          <w:rFonts w:ascii="Abadi" w:hAnsi="Abadi"/>
          <w:b/>
          <w:bCs/>
          <w:sz w:val="20"/>
          <w:szCs w:val="20"/>
        </w:rPr>
        <w:t>SUPERIOR</w:t>
      </w:r>
      <w:r w:rsidRPr="00531B12">
        <w:rPr>
          <w:rFonts w:ascii="Abadi" w:hAnsi="Abadi"/>
          <w:b/>
          <w:bCs/>
          <w:spacing w:val="58"/>
          <w:w w:val="150"/>
          <w:sz w:val="20"/>
          <w:szCs w:val="20"/>
        </w:rPr>
        <w:t xml:space="preserve"> </w:t>
      </w:r>
      <w:r w:rsidRPr="00531B12">
        <w:rPr>
          <w:rFonts w:ascii="Abadi" w:hAnsi="Abadi"/>
          <w:b/>
          <w:bCs/>
          <w:sz w:val="20"/>
          <w:szCs w:val="20"/>
        </w:rPr>
        <w:t>DEL</w:t>
      </w:r>
      <w:r w:rsidRPr="00531B12">
        <w:rPr>
          <w:rFonts w:ascii="Abadi" w:hAnsi="Abadi"/>
          <w:b/>
          <w:bCs/>
          <w:spacing w:val="58"/>
          <w:w w:val="150"/>
          <w:sz w:val="20"/>
          <w:szCs w:val="20"/>
        </w:rPr>
        <w:t xml:space="preserve"> </w:t>
      </w:r>
      <w:r w:rsidRPr="00531B12">
        <w:rPr>
          <w:rFonts w:ascii="Abadi" w:hAnsi="Abadi"/>
          <w:b/>
          <w:bCs/>
          <w:sz w:val="20"/>
          <w:szCs w:val="20"/>
        </w:rPr>
        <w:t>ESTADO</w:t>
      </w:r>
      <w:r w:rsidRPr="00531B12">
        <w:rPr>
          <w:rFonts w:ascii="Abadi" w:hAnsi="Abadi"/>
          <w:b/>
          <w:bCs/>
          <w:spacing w:val="58"/>
          <w:w w:val="150"/>
          <w:sz w:val="20"/>
          <w:szCs w:val="20"/>
        </w:rPr>
        <w:t xml:space="preserve"> </w:t>
      </w:r>
      <w:r w:rsidRPr="00531B12">
        <w:rPr>
          <w:rFonts w:ascii="Abadi" w:hAnsi="Abadi"/>
          <w:b/>
          <w:bCs/>
          <w:sz w:val="20"/>
          <w:szCs w:val="20"/>
        </w:rPr>
        <w:t>DE</w:t>
      </w:r>
      <w:r w:rsidRPr="00531B12">
        <w:rPr>
          <w:rFonts w:ascii="Abadi" w:hAnsi="Abadi"/>
          <w:b/>
          <w:bCs/>
          <w:spacing w:val="58"/>
          <w:w w:val="150"/>
          <w:sz w:val="20"/>
          <w:szCs w:val="20"/>
        </w:rPr>
        <w:t xml:space="preserve"> </w:t>
      </w:r>
      <w:r w:rsidRPr="00531B12">
        <w:rPr>
          <w:rFonts w:ascii="Abadi" w:hAnsi="Abadi"/>
          <w:b/>
          <w:bCs/>
          <w:sz w:val="20"/>
          <w:szCs w:val="20"/>
        </w:rPr>
        <w:t>GUANAJUATO,</w:t>
      </w:r>
      <w:r w:rsidRPr="00531B12">
        <w:rPr>
          <w:rFonts w:ascii="Abadi" w:hAnsi="Abadi"/>
          <w:b/>
          <w:bCs/>
          <w:spacing w:val="58"/>
          <w:w w:val="150"/>
          <w:sz w:val="20"/>
          <w:szCs w:val="20"/>
        </w:rPr>
        <w:t xml:space="preserve"> </w:t>
      </w:r>
      <w:r w:rsidRPr="00531B12">
        <w:rPr>
          <w:rFonts w:ascii="Abadi" w:hAnsi="Abadi"/>
          <w:b/>
          <w:bCs/>
          <w:sz w:val="20"/>
          <w:szCs w:val="20"/>
        </w:rPr>
        <w:t>A</w:t>
      </w:r>
      <w:r w:rsidRPr="00531B12">
        <w:rPr>
          <w:rFonts w:ascii="Abadi" w:hAnsi="Abadi"/>
          <w:b/>
          <w:bCs/>
          <w:spacing w:val="58"/>
          <w:w w:val="150"/>
          <w:sz w:val="20"/>
          <w:szCs w:val="20"/>
        </w:rPr>
        <w:t xml:space="preserve"> </w:t>
      </w:r>
      <w:r w:rsidRPr="00531B12">
        <w:rPr>
          <w:rFonts w:ascii="Abadi" w:hAnsi="Abadi"/>
          <w:b/>
          <w:bCs/>
          <w:sz w:val="20"/>
          <w:szCs w:val="20"/>
        </w:rPr>
        <w:t>LA</w:t>
      </w:r>
      <w:r w:rsidRPr="00531B12">
        <w:rPr>
          <w:rFonts w:ascii="Abadi" w:hAnsi="Abadi"/>
          <w:b/>
          <w:bCs/>
          <w:spacing w:val="-1"/>
          <w:sz w:val="20"/>
          <w:szCs w:val="20"/>
        </w:rPr>
        <w:t xml:space="preserve"> </w:t>
      </w:r>
      <w:r w:rsidRPr="00531B12">
        <w:rPr>
          <w:rFonts w:ascii="Abadi" w:hAnsi="Abadi"/>
          <w:b/>
          <w:bCs/>
          <w:sz w:val="20"/>
          <w:szCs w:val="20"/>
        </w:rPr>
        <w:t>INFRAESTRUCTURA</w:t>
      </w:r>
      <w:r w:rsidRPr="00531B12">
        <w:rPr>
          <w:rFonts w:ascii="Abadi" w:hAnsi="Abadi"/>
          <w:b/>
          <w:bCs/>
          <w:spacing w:val="-10"/>
          <w:sz w:val="20"/>
          <w:szCs w:val="20"/>
        </w:rPr>
        <w:t xml:space="preserve"> </w:t>
      </w:r>
      <w:r w:rsidRPr="00531B12">
        <w:rPr>
          <w:rFonts w:ascii="Abadi" w:hAnsi="Abadi"/>
          <w:b/>
          <w:bCs/>
          <w:sz w:val="20"/>
          <w:szCs w:val="20"/>
        </w:rPr>
        <w:t>PÚBLICA</w:t>
      </w:r>
      <w:r w:rsidRPr="00531B12">
        <w:rPr>
          <w:rFonts w:ascii="Abadi" w:hAnsi="Abadi"/>
          <w:b/>
          <w:bCs/>
          <w:spacing w:val="-10"/>
          <w:sz w:val="20"/>
          <w:szCs w:val="20"/>
        </w:rPr>
        <w:t xml:space="preserve"> </w:t>
      </w:r>
      <w:r w:rsidRPr="00531B12">
        <w:rPr>
          <w:rFonts w:ascii="Abadi" w:hAnsi="Abadi"/>
          <w:b/>
          <w:bCs/>
          <w:sz w:val="20"/>
          <w:szCs w:val="20"/>
        </w:rPr>
        <w:t>MUNICIPAL</w:t>
      </w:r>
      <w:r w:rsidRPr="00531B12">
        <w:rPr>
          <w:rFonts w:ascii="Abadi" w:hAnsi="Abadi"/>
          <w:b/>
          <w:bCs/>
          <w:spacing w:val="-10"/>
          <w:sz w:val="20"/>
          <w:szCs w:val="20"/>
        </w:rPr>
        <w:t xml:space="preserve"> </w:t>
      </w:r>
      <w:r w:rsidRPr="00531B12">
        <w:rPr>
          <w:rFonts w:ascii="Abadi" w:hAnsi="Abadi"/>
          <w:b/>
          <w:bCs/>
          <w:sz w:val="20"/>
          <w:szCs w:val="20"/>
        </w:rPr>
        <w:t>RESPECTO</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LAS</w:t>
      </w:r>
      <w:r w:rsidRPr="00531B12">
        <w:rPr>
          <w:rFonts w:ascii="Abadi" w:hAnsi="Abadi"/>
          <w:b/>
          <w:bCs/>
          <w:spacing w:val="-10"/>
          <w:sz w:val="20"/>
          <w:szCs w:val="20"/>
        </w:rPr>
        <w:t xml:space="preserve"> </w:t>
      </w:r>
      <w:r w:rsidRPr="00531B12">
        <w:rPr>
          <w:rFonts w:ascii="Abadi" w:hAnsi="Abadi"/>
          <w:b/>
          <w:bCs/>
          <w:sz w:val="20"/>
          <w:szCs w:val="20"/>
        </w:rPr>
        <w:t>OPERACIONES</w:t>
      </w:r>
      <w:r w:rsidRPr="00531B12">
        <w:rPr>
          <w:rFonts w:ascii="Abadi" w:hAnsi="Abadi"/>
          <w:b/>
          <w:bCs/>
          <w:spacing w:val="-10"/>
          <w:sz w:val="20"/>
          <w:szCs w:val="20"/>
        </w:rPr>
        <w:t xml:space="preserve"> </w:t>
      </w:r>
      <w:r w:rsidRPr="00531B12">
        <w:rPr>
          <w:rFonts w:ascii="Abadi" w:hAnsi="Abadi"/>
          <w:b/>
          <w:bCs/>
          <w:sz w:val="20"/>
          <w:szCs w:val="20"/>
        </w:rPr>
        <w:t>REALIZADAS</w:t>
      </w:r>
      <w:r w:rsidRPr="00531B12">
        <w:rPr>
          <w:rFonts w:ascii="Abadi" w:hAnsi="Abadi"/>
          <w:b/>
          <w:bCs/>
          <w:spacing w:val="-10"/>
          <w:sz w:val="20"/>
          <w:szCs w:val="20"/>
        </w:rPr>
        <w:t xml:space="preserve"> </w:t>
      </w:r>
      <w:r w:rsidRPr="00531B12">
        <w:rPr>
          <w:rFonts w:ascii="Abadi" w:hAnsi="Abadi"/>
          <w:b/>
          <w:bCs/>
          <w:sz w:val="20"/>
          <w:szCs w:val="20"/>
        </w:rPr>
        <w:t>POR</w:t>
      </w:r>
      <w:r w:rsidRPr="00531B12">
        <w:rPr>
          <w:rFonts w:ascii="Abadi" w:hAnsi="Abadi"/>
          <w:b/>
          <w:bCs/>
          <w:spacing w:val="-1"/>
          <w:sz w:val="20"/>
          <w:szCs w:val="20"/>
        </w:rPr>
        <w:t xml:space="preserve"> </w:t>
      </w:r>
      <w:r w:rsidRPr="00531B12">
        <w:rPr>
          <w:rFonts w:ascii="Abadi" w:hAnsi="Abadi"/>
          <w:b/>
          <w:bCs/>
          <w:sz w:val="20"/>
          <w:szCs w:val="20"/>
        </w:rPr>
        <w:t>LA</w:t>
      </w:r>
      <w:r w:rsidRPr="00531B12">
        <w:rPr>
          <w:rFonts w:ascii="Abadi" w:hAnsi="Abadi"/>
          <w:b/>
          <w:bCs/>
          <w:spacing w:val="23"/>
          <w:sz w:val="20"/>
          <w:szCs w:val="20"/>
        </w:rPr>
        <w:t xml:space="preserve"> </w:t>
      </w:r>
      <w:r w:rsidRPr="00531B12">
        <w:rPr>
          <w:rFonts w:ascii="Abadi" w:hAnsi="Abadi"/>
          <w:b/>
          <w:bCs/>
          <w:sz w:val="20"/>
          <w:szCs w:val="20"/>
        </w:rPr>
        <w:t>ADMINISTRACIÓN</w:t>
      </w:r>
      <w:r w:rsidRPr="00531B12">
        <w:rPr>
          <w:rFonts w:ascii="Abadi" w:hAnsi="Abadi"/>
          <w:b/>
          <w:bCs/>
          <w:spacing w:val="23"/>
          <w:sz w:val="20"/>
          <w:szCs w:val="20"/>
        </w:rPr>
        <w:t xml:space="preserve"> </w:t>
      </w:r>
      <w:r w:rsidRPr="00531B12">
        <w:rPr>
          <w:rFonts w:ascii="Abadi" w:hAnsi="Abadi"/>
          <w:b/>
          <w:bCs/>
          <w:sz w:val="20"/>
          <w:szCs w:val="20"/>
        </w:rPr>
        <w:t>MUNICIPAL</w:t>
      </w:r>
      <w:r w:rsidRPr="00531B12">
        <w:rPr>
          <w:rFonts w:ascii="Abadi" w:hAnsi="Abadi"/>
          <w:b/>
          <w:bCs/>
          <w:spacing w:val="22"/>
          <w:sz w:val="20"/>
          <w:szCs w:val="20"/>
        </w:rPr>
        <w:t xml:space="preserve"> </w:t>
      </w:r>
      <w:r w:rsidRPr="00531B12">
        <w:rPr>
          <w:rFonts w:ascii="Abadi" w:hAnsi="Abadi"/>
          <w:b/>
          <w:bCs/>
          <w:sz w:val="20"/>
          <w:szCs w:val="20"/>
        </w:rPr>
        <w:t>DE</w:t>
      </w:r>
      <w:r w:rsidRPr="00531B12">
        <w:rPr>
          <w:rFonts w:ascii="Abadi" w:hAnsi="Abadi"/>
          <w:b/>
          <w:bCs/>
          <w:spacing w:val="23"/>
          <w:sz w:val="20"/>
          <w:szCs w:val="20"/>
        </w:rPr>
        <w:t xml:space="preserve"> </w:t>
      </w:r>
      <w:r w:rsidRPr="00531B12">
        <w:rPr>
          <w:rFonts w:ascii="Abadi" w:hAnsi="Abadi"/>
          <w:b/>
          <w:bCs/>
          <w:sz w:val="20"/>
          <w:szCs w:val="20"/>
        </w:rPr>
        <w:t>IRAPUATO,</w:t>
      </w:r>
      <w:r w:rsidRPr="00531B12">
        <w:rPr>
          <w:rFonts w:ascii="Abadi" w:hAnsi="Abadi"/>
          <w:b/>
          <w:bCs/>
          <w:spacing w:val="23"/>
          <w:sz w:val="20"/>
          <w:szCs w:val="20"/>
        </w:rPr>
        <w:t xml:space="preserve"> </w:t>
      </w:r>
      <w:r w:rsidRPr="00531B12">
        <w:rPr>
          <w:rFonts w:ascii="Abadi" w:hAnsi="Abadi"/>
          <w:b/>
          <w:bCs/>
          <w:sz w:val="20"/>
          <w:szCs w:val="20"/>
        </w:rPr>
        <w:t>GTO.,</w:t>
      </w:r>
      <w:r w:rsidRPr="00531B12">
        <w:rPr>
          <w:rFonts w:ascii="Abadi" w:hAnsi="Abadi"/>
          <w:b/>
          <w:bCs/>
          <w:spacing w:val="23"/>
          <w:sz w:val="20"/>
          <w:szCs w:val="20"/>
        </w:rPr>
        <w:t xml:space="preserve"> </w:t>
      </w:r>
      <w:r w:rsidRPr="00531B12">
        <w:rPr>
          <w:rFonts w:ascii="Abadi" w:hAnsi="Abadi"/>
          <w:b/>
          <w:bCs/>
          <w:sz w:val="20"/>
          <w:szCs w:val="20"/>
        </w:rPr>
        <w:t>CORRESPONDIENTES</w:t>
      </w:r>
      <w:r w:rsidRPr="00531B12">
        <w:rPr>
          <w:rFonts w:ascii="Abadi" w:hAnsi="Abadi"/>
          <w:b/>
          <w:bCs/>
          <w:spacing w:val="23"/>
          <w:sz w:val="20"/>
          <w:szCs w:val="20"/>
        </w:rPr>
        <w:t xml:space="preserve"> </w:t>
      </w:r>
      <w:r w:rsidRPr="00531B12">
        <w:rPr>
          <w:rFonts w:ascii="Abadi" w:hAnsi="Abadi"/>
          <w:b/>
          <w:bCs/>
          <w:sz w:val="20"/>
          <w:szCs w:val="20"/>
        </w:rPr>
        <w:t>AL</w:t>
      </w:r>
      <w:r w:rsidRPr="00531B12">
        <w:rPr>
          <w:rFonts w:ascii="Abadi" w:hAnsi="Abadi"/>
          <w:b/>
          <w:bCs/>
          <w:spacing w:val="22"/>
          <w:sz w:val="20"/>
          <w:szCs w:val="20"/>
        </w:rPr>
        <w:t xml:space="preserve"> </w:t>
      </w:r>
      <w:r w:rsidRPr="00531B12">
        <w:rPr>
          <w:rFonts w:ascii="Abadi" w:hAnsi="Abadi"/>
          <w:b/>
          <w:bCs/>
          <w:sz w:val="20"/>
          <w:szCs w:val="20"/>
        </w:rPr>
        <w:t>PERIODO</w:t>
      </w:r>
      <w:r w:rsidRPr="00531B12">
        <w:rPr>
          <w:rFonts w:ascii="Abadi" w:hAnsi="Abadi"/>
          <w:b/>
          <w:bCs/>
          <w:spacing w:val="-1"/>
          <w:sz w:val="20"/>
          <w:szCs w:val="20"/>
        </w:rPr>
        <w:t xml:space="preserve"> </w:t>
      </w:r>
      <w:r w:rsidRPr="00531B12">
        <w:rPr>
          <w:rFonts w:ascii="Abadi" w:hAnsi="Abadi"/>
          <w:b/>
          <w:bCs/>
          <w:sz w:val="20"/>
          <w:szCs w:val="20"/>
        </w:rPr>
        <w:t>COMPRENDIDO</w:t>
      </w:r>
      <w:r w:rsidRPr="00531B12">
        <w:rPr>
          <w:rFonts w:ascii="Abadi" w:hAnsi="Abadi"/>
          <w:b/>
          <w:bCs/>
          <w:spacing w:val="16"/>
          <w:sz w:val="20"/>
          <w:szCs w:val="20"/>
        </w:rPr>
        <w:t xml:space="preserve"> </w:t>
      </w:r>
      <w:r w:rsidRPr="00531B12">
        <w:rPr>
          <w:rFonts w:ascii="Abadi" w:hAnsi="Abadi"/>
          <w:b/>
          <w:bCs/>
          <w:sz w:val="20"/>
          <w:szCs w:val="20"/>
        </w:rPr>
        <w:t>DEL</w:t>
      </w:r>
      <w:r w:rsidRPr="00531B12">
        <w:rPr>
          <w:rFonts w:ascii="Abadi" w:hAnsi="Abadi"/>
          <w:b/>
          <w:bCs/>
          <w:spacing w:val="16"/>
          <w:sz w:val="20"/>
          <w:szCs w:val="20"/>
        </w:rPr>
        <w:t xml:space="preserve"> </w:t>
      </w:r>
      <w:r w:rsidRPr="00531B12">
        <w:rPr>
          <w:rFonts w:ascii="Abadi" w:hAnsi="Abadi"/>
          <w:b/>
          <w:bCs/>
          <w:sz w:val="20"/>
          <w:szCs w:val="20"/>
        </w:rPr>
        <w:t>1</w:t>
      </w:r>
      <w:r w:rsidRPr="00531B12">
        <w:rPr>
          <w:rFonts w:ascii="Abadi" w:hAnsi="Abadi"/>
          <w:b/>
          <w:bCs/>
          <w:spacing w:val="16"/>
          <w:sz w:val="20"/>
          <w:szCs w:val="20"/>
        </w:rPr>
        <w:t xml:space="preserve"> </w:t>
      </w:r>
      <w:r w:rsidRPr="00531B12">
        <w:rPr>
          <w:rFonts w:ascii="Abadi" w:hAnsi="Abadi"/>
          <w:b/>
          <w:bCs/>
          <w:sz w:val="20"/>
          <w:szCs w:val="20"/>
        </w:rPr>
        <w:t>DE</w:t>
      </w:r>
      <w:r w:rsidRPr="00531B12">
        <w:rPr>
          <w:rFonts w:ascii="Abadi" w:hAnsi="Abadi"/>
          <w:b/>
          <w:bCs/>
          <w:spacing w:val="16"/>
          <w:sz w:val="20"/>
          <w:szCs w:val="20"/>
        </w:rPr>
        <w:t xml:space="preserve"> </w:t>
      </w:r>
      <w:r w:rsidRPr="00531B12">
        <w:rPr>
          <w:rFonts w:ascii="Abadi" w:hAnsi="Abadi"/>
          <w:b/>
          <w:bCs/>
          <w:sz w:val="20"/>
          <w:szCs w:val="20"/>
        </w:rPr>
        <w:t>ENERO</w:t>
      </w:r>
      <w:r w:rsidRPr="00531B12">
        <w:rPr>
          <w:rFonts w:ascii="Abadi" w:hAnsi="Abadi"/>
          <w:b/>
          <w:bCs/>
          <w:spacing w:val="16"/>
          <w:sz w:val="20"/>
          <w:szCs w:val="20"/>
        </w:rPr>
        <w:t xml:space="preserve"> </w:t>
      </w:r>
      <w:r w:rsidRPr="00531B12">
        <w:rPr>
          <w:rFonts w:ascii="Abadi" w:hAnsi="Abadi"/>
          <w:b/>
          <w:bCs/>
          <w:sz w:val="20"/>
          <w:szCs w:val="20"/>
        </w:rPr>
        <w:t>AL</w:t>
      </w:r>
      <w:r w:rsidRPr="00531B12">
        <w:rPr>
          <w:rFonts w:ascii="Abadi" w:hAnsi="Abadi"/>
          <w:b/>
          <w:bCs/>
          <w:spacing w:val="16"/>
          <w:sz w:val="20"/>
          <w:szCs w:val="20"/>
        </w:rPr>
        <w:t xml:space="preserve"> </w:t>
      </w:r>
      <w:r w:rsidRPr="00531B12">
        <w:rPr>
          <w:rFonts w:ascii="Abadi" w:hAnsi="Abadi"/>
          <w:b/>
          <w:bCs/>
          <w:sz w:val="20"/>
          <w:szCs w:val="20"/>
        </w:rPr>
        <w:t>31</w:t>
      </w:r>
      <w:r w:rsidRPr="00531B12">
        <w:rPr>
          <w:rFonts w:ascii="Abadi" w:hAnsi="Abadi"/>
          <w:b/>
          <w:bCs/>
          <w:spacing w:val="16"/>
          <w:sz w:val="20"/>
          <w:szCs w:val="20"/>
        </w:rPr>
        <w:t xml:space="preserve"> </w:t>
      </w:r>
      <w:r w:rsidRPr="00531B12">
        <w:rPr>
          <w:rFonts w:ascii="Abadi" w:hAnsi="Abadi"/>
          <w:b/>
          <w:bCs/>
          <w:sz w:val="20"/>
          <w:szCs w:val="20"/>
        </w:rPr>
        <w:t>DE</w:t>
      </w:r>
      <w:r w:rsidRPr="00531B12">
        <w:rPr>
          <w:rFonts w:ascii="Abadi" w:hAnsi="Abadi"/>
          <w:b/>
          <w:bCs/>
          <w:spacing w:val="17"/>
          <w:sz w:val="20"/>
          <w:szCs w:val="20"/>
        </w:rPr>
        <w:t xml:space="preserve"> </w:t>
      </w:r>
      <w:r w:rsidRPr="00531B12">
        <w:rPr>
          <w:rFonts w:ascii="Abadi" w:hAnsi="Abadi"/>
          <w:b/>
          <w:bCs/>
          <w:sz w:val="20"/>
          <w:szCs w:val="20"/>
        </w:rPr>
        <w:t>DICIEMBRE</w:t>
      </w:r>
      <w:r w:rsidRPr="00531B12">
        <w:rPr>
          <w:rFonts w:ascii="Abadi" w:hAnsi="Abadi"/>
          <w:b/>
          <w:bCs/>
          <w:spacing w:val="16"/>
          <w:sz w:val="20"/>
          <w:szCs w:val="20"/>
        </w:rPr>
        <w:t xml:space="preserve"> </w:t>
      </w:r>
      <w:r w:rsidRPr="00531B12">
        <w:rPr>
          <w:rFonts w:ascii="Abadi" w:hAnsi="Abadi"/>
          <w:b/>
          <w:bCs/>
          <w:sz w:val="20"/>
          <w:szCs w:val="20"/>
        </w:rPr>
        <w:t>DEL</w:t>
      </w:r>
      <w:r w:rsidRPr="00531B12">
        <w:rPr>
          <w:rFonts w:ascii="Abadi" w:hAnsi="Abadi"/>
          <w:b/>
          <w:bCs/>
          <w:spacing w:val="16"/>
          <w:sz w:val="20"/>
          <w:szCs w:val="20"/>
        </w:rPr>
        <w:t xml:space="preserve"> </w:t>
      </w:r>
      <w:r w:rsidRPr="00531B12">
        <w:rPr>
          <w:rFonts w:ascii="Abadi" w:hAnsi="Abadi"/>
          <w:b/>
          <w:bCs/>
          <w:sz w:val="20"/>
          <w:szCs w:val="20"/>
        </w:rPr>
        <w:t>EJERCICIO</w:t>
      </w:r>
      <w:r w:rsidRPr="00531B12">
        <w:rPr>
          <w:rFonts w:ascii="Abadi" w:hAnsi="Abadi"/>
          <w:b/>
          <w:bCs/>
          <w:spacing w:val="16"/>
          <w:sz w:val="20"/>
          <w:szCs w:val="20"/>
        </w:rPr>
        <w:t xml:space="preserve"> </w:t>
      </w:r>
      <w:r w:rsidRPr="00531B12">
        <w:rPr>
          <w:rFonts w:ascii="Abadi" w:hAnsi="Abadi"/>
          <w:b/>
          <w:bCs/>
          <w:sz w:val="20"/>
          <w:szCs w:val="20"/>
        </w:rPr>
        <w:t>FISCAL</w:t>
      </w:r>
      <w:r w:rsidRPr="00531B12">
        <w:rPr>
          <w:rFonts w:ascii="Abadi" w:hAnsi="Abadi"/>
          <w:b/>
          <w:bCs/>
          <w:spacing w:val="15"/>
          <w:sz w:val="20"/>
          <w:szCs w:val="20"/>
        </w:rPr>
        <w:t xml:space="preserve"> </w:t>
      </w:r>
      <w:r w:rsidRPr="00531B12">
        <w:rPr>
          <w:rFonts w:ascii="Abadi" w:hAnsi="Abadi"/>
          <w:b/>
          <w:bCs/>
          <w:sz w:val="20"/>
          <w:szCs w:val="20"/>
        </w:rPr>
        <w:t>DEL</w:t>
      </w:r>
      <w:r w:rsidRPr="00531B12">
        <w:rPr>
          <w:rFonts w:ascii="Abadi" w:hAnsi="Abadi"/>
          <w:b/>
          <w:bCs/>
          <w:spacing w:val="16"/>
          <w:sz w:val="20"/>
          <w:szCs w:val="20"/>
        </w:rPr>
        <w:t xml:space="preserve"> </w:t>
      </w:r>
      <w:r w:rsidRPr="00531B12">
        <w:rPr>
          <w:rFonts w:ascii="Abadi" w:hAnsi="Abadi"/>
          <w:b/>
          <w:bCs/>
          <w:sz w:val="20"/>
          <w:szCs w:val="20"/>
        </w:rPr>
        <w:t>AÑO</w:t>
      </w:r>
      <w:r w:rsidRPr="00531B12">
        <w:rPr>
          <w:rFonts w:ascii="Abadi" w:hAnsi="Abadi"/>
          <w:b/>
          <w:bCs/>
          <w:spacing w:val="-1"/>
          <w:sz w:val="20"/>
          <w:szCs w:val="20"/>
        </w:rPr>
        <w:t xml:space="preserve"> </w:t>
      </w:r>
      <w:r w:rsidRPr="00531B12">
        <w:rPr>
          <w:rFonts w:ascii="Abadi" w:hAnsi="Abadi"/>
          <w:b/>
          <w:bCs/>
          <w:sz w:val="20"/>
          <w:szCs w:val="20"/>
        </w:rPr>
        <w:t>2020</w:t>
      </w:r>
      <w:r w:rsidRPr="00531B12">
        <w:rPr>
          <w:rFonts w:ascii="Abadi" w:hAnsi="Abadi" w:cs="Verdana"/>
          <w:b/>
          <w:bCs/>
          <w:sz w:val="20"/>
          <w:szCs w:val="20"/>
        </w:rPr>
        <w:t>.</w:t>
      </w:r>
    </w:p>
    <w:p w14:paraId="09E13149" w14:textId="1AA8A730" w:rsidR="003D5B62" w:rsidRDefault="003D5B62" w:rsidP="003975A9">
      <w:pPr>
        <w:rPr>
          <w:rFonts w:ascii="Abadi" w:hAnsi="Abadi" w:cs="Verdana"/>
          <w:sz w:val="20"/>
          <w:szCs w:val="20"/>
        </w:rPr>
      </w:pPr>
    </w:p>
    <w:p w14:paraId="2CB97894" w14:textId="77777777" w:rsidR="006B3E22" w:rsidRPr="006B3E22" w:rsidRDefault="006B3E22" w:rsidP="006B3E22">
      <w:pPr>
        <w:jc w:val="both"/>
        <w:rPr>
          <w:rFonts w:ascii="Abadi" w:hAnsi="Abadi" w:cs="Arial"/>
          <w:b/>
          <w:bCs/>
          <w:smallCaps/>
          <w:sz w:val="21"/>
          <w:szCs w:val="21"/>
          <w:lang w:val="es-MX"/>
        </w:rPr>
      </w:pPr>
      <w:r w:rsidRPr="006B3E22">
        <w:rPr>
          <w:rFonts w:ascii="Abadi" w:hAnsi="Abadi" w:cs="Arial"/>
          <w:b/>
          <w:bCs/>
          <w:smallCaps/>
          <w:sz w:val="21"/>
          <w:szCs w:val="21"/>
          <w:lang w:val="es-MX"/>
        </w:rPr>
        <w:t>C. Presidenta del Congreso del Estado</w:t>
      </w:r>
    </w:p>
    <w:p w14:paraId="62538228" w14:textId="77777777" w:rsidR="006B3E22" w:rsidRPr="006B3E22" w:rsidRDefault="006B3E22" w:rsidP="006B3E22">
      <w:pPr>
        <w:jc w:val="both"/>
        <w:rPr>
          <w:rFonts w:ascii="Abadi" w:hAnsi="Abadi" w:cs="Arial"/>
          <w:b/>
          <w:bCs/>
          <w:smallCaps/>
          <w:sz w:val="21"/>
          <w:szCs w:val="21"/>
          <w:lang w:val="es-MX"/>
        </w:rPr>
      </w:pPr>
      <w:r w:rsidRPr="006B3E22">
        <w:rPr>
          <w:rFonts w:ascii="Abadi" w:hAnsi="Abadi" w:cs="Arial"/>
          <w:b/>
          <w:bCs/>
          <w:smallCaps/>
          <w:sz w:val="21"/>
          <w:szCs w:val="21"/>
          <w:lang w:val="es-MX"/>
        </w:rPr>
        <w:t>P r e s e n t e.</w:t>
      </w:r>
    </w:p>
    <w:p w14:paraId="38B521CE" w14:textId="77777777" w:rsidR="006B3E22" w:rsidRPr="006B3E22" w:rsidRDefault="006B3E22" w:rsidP="006B3E22">
      <w:pPr>
        <w:jc w:val="both"/>
        <w:rPr>
          <w:rFonts w:ascii="Abadi" w:hAnsi="Abadi" w:cs="Arial"/>
          <w:sz w:val="21"/>
          <w:szCs w:val="21"/>
          <w:lang w:val="es-MX"/>
        </w:rPr>
      </w:pPr>
    </w:p>
    <w:p w14:paraId="17DEBD8C" w14:textId="77777777" w:rsidR="006B3E22" w:rsidRPr="006B3E22" w:rsidRDefault="006B3E22" w:rsidP="006B3E22">
      <w:pPr>
        <w:ind w:firstLine="708"/>
        <w:jc w:val="both"/>
        <w:rPr>
          <w:rFonts w:ascii="Abadi" w:hAnsi="Abadi" w:cs="Arial"/>
          <w:sz w:val="21"/>
          <w:szCs w:val="21"/>
        </w:rPr>
      </w:pPr>
      <w:r w:rsidRPr="006B3E22">
        <w:rPr>
          <w:rFonts w:ascii="Abadi" w:hAnsi="Abadi" w:cs="Arial"/>
          <w:sz w:val="21"/>
          <w:szCs w:val="21"/>
        </w:rPr>
        <w:t>A esta Comisión de Hacienda y Fiscalización le fue turnado para su estudio y dictamen, el informe de resultados de la auditoría practicada por la Auditoría Superior del Estado de Guanajuato, a la infraestructura pública municipal respecto de las operaciones realizadas por la administración municipal de Irapuato, Gto., correspondientes al periodo comprendido del 1 de enero al 31 de diciembre del ejercicio fiscal del año 2020.</w:t>
      </w:r>
    </w:p>
    <w:p w14:paraId="571A51F0" w14:textId="77777777" w:rsidR="006B3E22" w:rsidRPr="006B3E22" w:rsidRDefault="006B3E22" w:rsidP="006B3E22">
      <w:pPr>
        <w:ind w:firstLine="708"/>
        <w:jc w:val="both"/>
        <w:rPr>
          <w:rFonts w:ascii="Abadi" w:hAnsi="Abadi" w:cs="Arial"/>
          <w:sz w:val="21"/>
          <w:szCs w:val="21"/>
        </w:rPr>
      </w:pPr>
    </w:p>
    <w:p w14:paraId="27C6593A" w14:textId="77777777" w:rsidR="006B3E22" w:rsidRPr="006B3E22" w:rsidRDefault="006B3E22" w:rsidP="006B3E22">
      <w:pPr>
        <w:ind w:firstLine="708"/>
        <w:jc w:val="both"/>
        <w:rPr>
          <w:rFonts w:ascii="Abadi" w:hAnsi="Abadi" w:cs="Arial"/>
          <w:sz w:val="21"/>
          <w:szCs w:val="21"/>
        </w:rPr>
      </w:pPr>
      <w:r w:rsidRPr="006B3E22">
        <w:rPr>
          <w:rFonts w:ascii="Abadi" w:hAnsi="Abadi" w:cs="Arial"/>
          <w:sz w:val="21"/>
          <w:szCs w:val="21"/>
        </w:rPr>
        <w:t>Una vez analizado el referido informe de resultados, con fundamento en lo dispuesto por los artículos 112, fracción XII</w:t>
      </w:r>
      <w:r w:rsidRPr="006B3E22">
        <w:rPr>
          <w:rFonts w:ascii="Abadi" w:hAnsi="Abadi" w:cs="Arial"/>
          <w:sz w:val="21"/>
          <w:szCs w:val="21"/>
          <w:lang w:val="es-MX"/>
        </w:rPr>
        <w:t>, primer párrafo</w:t>
      </w:r>
      <w:r w:rsidRPr="006B3E22">
        <w:rPr>
          <w:rFonts w:ascii="Abadi" w:hAnsi="Abadi" w:cs="Arial"/>
          <w:sz w:val="21"/>
          <w:szCs w:val="21"/>
        </w:rPr>
        <w:t xml:space="preserve"> y 171 de </w:t>
      </w:r>
      <w:smartTag w:uri="urn:schemas-microsoft-com:office:smarttags" w:element="PersonName">
        <w:smartTagPr>
          <w:attr w:name="ProductID" w:val="la Ley Org￡nica"/>
        </w:smartTagPr>
        <w:r w:rsidRPr="006B3E22">
          <w:rPr>
            <w:rFonts w:ascii="Abadi" w:hAnsi="Abadi" w:cs="Arial"/>
            <w:sz w:val="21"/>
            <w:szCs w:val="21"/>
          </w:rPr>
          <w:t>la Ley Orgánica</w:t>
        </w:r>
      </w:smartTag>
      <w:r w:rsidRPr="006B3E22">
        <w:rPr>
          <w:rFonts w:ascii="Abadi" w:hAnsi="Abadi" w:cs="Arial"/>
          <w:sz w:val="21"/>
          <w:szCs w:val="21"/>
        </w:rPr>
        <w:t xml:space="preserve"> del Poder Legislativo, nos permitimos rendir el siguiente:</w:t>
      </w:r>
    </w:p>
    <w:p w14:paraId="7F59D544" w14:textId="77777777" w:rsidR="006B3E22" w:rsidRPr="006B3E22" w:rsidRDefault="006B3E22" w:rsidP="006B3E22">
      <w:pPr>
        <w:ind w:firstLine="708"/>
        <w:jc w:val="both"/>
        <w:rPr>
          <w:rFonts w:ascii="Abadi" w:hAnsi="Abadi" w:cs="Arial"/>
          <w:sz w:val="21"/>
          <w:szCs w:val="21"/>
        </w:rPr>
      </w:pPr>
    </w:p>
    <w:p w14:paraId="345791AF" w14:textId="77777777" w:rsidR="006B3E22" w:rsidRPr="006B3E22" w:rsidRDefault="006B3E22" w:rsidP="006B3E22">
      <w:pPr>
        <w:keepNext/>
        <w:jc w:val="both"/>
        <w:outlineLvl w:val="0"/>
        <w:rPr>
          <w:rFonts w:ascii="Abadi" w:eastAsia="Arial Unicode MS" w:hAnsi="Abadi" w:cs="Arial"/>
          <w:b/>
          <w:bCs/>
          <w:sz w:val="21"/>
          <w:szCs w:val="21"/>
          <w:lang w:val="es-MX"/>
        </w:rPr>
      </w:pPr>
    </w:p>
    <w:p w14:paraId="1E7CA358" w14:textId="77777777" w:rsidR="006B3E22" w:rsidRPr="006B3E22" w:rsidRDefault="006B3E22" w:rsidP="006B3E22">
      <w:pPr>
        <w:keepNext/>
        <w:jc w:val="center"/>
        <w:outlineLvl w:val="0"/>
        <w:rPr>
          <w:rFonts w:ascii="Abadi" w:eastAsia="Arial Unicode MS" w:hAnsi="Abadi" w:cs="Arial"/>
          <w:b/>
          <w:bCs/>
          <w:sz w:val="21"/>
          <w:szCs w:val="21"/>
        </w:rPr>
      </w:pPr>
      <w:r w:rsidRPr="006B3E22">
        <w:rPr>
          <w:rFonts w:ascii="Abadi" w:eastAsia="Arial Unicode MS" w:hAnsi="Abadi" w:cs="Arial"/>
          <w:b/>
          <w:bCs/>
          <w:sz w:val="21"/>
          <w:szCs w:val="21"/>
        </w:rPr>
        <w:t>D i c t a m e n</w:t>
      </w:r>
    </w:p>
    <w:p w14:paraId="2E93265C" w14:textId="77777777" w:rsidR="006B3E22" w:rsidRPr="006B3E22" w:rsidRDefault="006B3E22" w:rsidP="006B3E22">
      <w:pPr>
        <w:jc w:val="both"/>
        <w:rPr>
          <w:rFonts w:ascii="Abadi" w:hAnsi="Abadi" w:cs="Arial"/>
          <w:sz w:val="21"/>
          <w:szCs w:val="21"/>
          <w:lang w:val="es-MX"/>
        </w:rPr>
      </w:pPr>
    </w:p>
    <w:p w14:paraId="5E336486" w14:textId="77777777" w:rsidR="006B3E22" w:rsidRPr="006B3E22" w:rsidRDefault="006B3E22" w:rsidP="006B3E22">
      <w:pPr>
        <w:ind w:firstLine="708"/>
        <w:jc w:val="both"/>
        <w:rPr>
          <w:rFonts w:ascii="Abadi" w:hAnsi="Abadi" w:cs="Arial"/>
          <w:b/>
          <w:bCs/>
          <w:sz w:val="21"/>
          <w:szCs w:val="21"/>
          <w:lang w:val="es-MX"/>
        </w:rPr>
      </w:pPr>
      <w:r w:rsidRPr="006B3E22">
        <w:rPr>
          <w:rFonts w:ascii="Abadi" w:hAnsi="Abadi" w:cs="Arial"/>
          <w:b/>
          <w:bCs/>
          <w:sz w:val="21"/>
          <w:szCs w:val="21"/>
          <w:lang w:val="es-MX"/>
        </w:rPr>
        <w:t>I. Competencia:</w:t>
      </w:r>
    </w:p>
    <w:p w14:paraId="74A43EFF" w14:textId="77777777" w:rsidR="006B3E22" w:rsidRPr="006B3E22" w:rsidRDefault="006B3E22" w:rsidP="006B3E22">
      <w:pPr>
        <w:ind w:firstLine="708"/>
        <w:jc w:val="both"/>
        <w:rPr>
          <w:rFonts w:ascii="Abadi" w:hAnsi="Abadi" w:cs="Arial"/>
          <w:b/>
          <w:bCs/>
          <w:sz w:val="21"/>
          <w:szCs w:val="21"/>
          <w:lang w:val="es-MX"/>
        </w:rPr>
      </w:pPr>
    </w:p>
    <w:p w14:paraId="5C11A011" w14:textId="77777777" w:rsidR="006B3E22" w:rsidRPr="006B3E22" w:rsidRDefault="006B3E22" w:rsidP="006B3E22">
      <w:pPr>
        <w:ind w:firstLine="708"/>
        <w:jc w:val="both"/>
        <w:rPr>
          <w:rFonts w:ascii="Abadi" w:hAnsi="Abadi" w:cs="Arial"/>
          <w:sz w:val="21"/>
          <w:szCs w:val="21"/>
        </w:rPr>
      </w:pPr>
      <w:r w:rsidRPr="006B3E22">
        <w:rPr>
          <w:rFonts w:ascii="Abadi" w:hAnsi="Abadi" w:cs="Arial"/>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6B3E22">
          <w:rPr>
            <w:rFonts w:ascii="Abadi" w:hAnsi="Abadi" w:cs="Arial"/>
            <w:sz w:val="21"/>
            <w:szCs w:val="21"/>
          </w:rPr>
          <w:t>la Constitución Política</w:t>
        </w:r>
      </w:smartTag>
      <w:r w:rsidRPr="006B3E22">
        <w:rPr>
          <w:rFonts w:ascii="Abadi" w:hAnsi="Abadi" w:cs="Arial"/>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2B368784" w14:textId="77777777" w:rsidR="006B3E22" w:rsidRPr="006B3E22" w:rsidRDefault="006B3E22" w:rsidP="006B3E22">
      <w:pPr>
        <w:ind w:firstLine="708"/>
        <w:jc w:val="both"/>
        <w:rPr>
          <w:rFonts w:ascii="Abadi" w:hAnsi="Abadi" w:cs="Arial"/>
          <w:sz w:val="21"/>
          <w:szCs w:val="21"/>
        </w:rPr>
      </w:pPr>
    </w:p>
    <w:p w14:paraId="2E333DBC" w14:textId="1C2F97CD" w:rsidR="006B3E22" w:rsidRPr="006B3E22" w:rsidRDefault="006B3E22" w:rsidP="00A60466">
      <w:pPr>
        <w:ind w:firstLine="708"/>
        <w:jc w:val="both"/>
        <w:rPr>
          <w:rFonts w:ascii="Abadi" w:hAnsi="Abadi" w:cs="Arial"/>
          <w:sz w:val="21"/>
          <w:szCs w:val="21"/>
        </w:rPr>
      </w:pPr>
      <w:r w:rsidRPr="006B3E22">
        <w:rPr>
          <w:rFonts w:ascii="Abadi" w:hAnsi="Abadi" w:cs="Arial"/>
          <w:sz w:val="21"/>
          <w:szCs w:val="21"/>
        </w:rPr>
        <w:t xml:space="preserve">El artículo 49 de </w:t>
      </w:r>
      <w:smartTag w:uri="urn:schemas-microsoft-com:office:smarttags" w:element="PersonName">
        <w:smartTagPr>
          <w:attr w:name="ProductID" w:val="la Ley"/>
        </w:smartTagPr>
        <w:r w:rsidRPr="006B3E22">
          <w:rPr>
            <w:rFonts w:ascii="Abadi" w:hAnsi="Abadi" w:cs="Arial"/>
            <w:sz w:val="21"/>
            <w:szCs w:val="21"/>
          </w:rPr>
          <w:t>la Ley</w:t>
        </w:r>
      </w:smartTag>
      <w:r w:rsidRPr="006B3E22">
        <w:rPr>
          <w:rFonts w:ascii="Abadi" w:hAnsi="Abadi" w:cs="Arial"/>
          <w:sz w:val="21"/>
          <w:szCs w:val="21"/>
        </w:rPr>
        <w:t xml:space="preserve"> de Coordinación Fiscal establece la facultad de la Auditoría Superior de la Federación para fiscalizar el ejercicio de los recursos </w:t>
      </w:r>
      <w:r w:rsidRPr="006B3E22">
        <w:rPr>
          <w:rFonts w:ascii="Abadi" w:hAnsi="Abadi" w:cs="Arial"/>
          <w:sz w:val="21"/>
          <w:szCs w:val="21"/>
          <w:lang w:val="es-MX"/>
        </w:rPr>
        <w:t xml:space="preserve">de los fondos de aportaciones federales, </w:t>
      </w:r>
      <w:r w:rsidRPr="006B3E22">
        <w:rPr>
          <w:rFonts w:ascii="Abadi" w:hAnsi="Abadi" w:cs="Arial"/>
          <w:sz w:val="21"/>
          <w:szCs w:val="21"/>
        </w:rPr>
        <w:t>en los términos de la Ley de Fiscalización y Rendición de Cuentas de la Federación.</w:t>
      </w:r>
    </w:p>
    <w:p w14:paraId="7ED42757" w14:textId="77777777" w:rsidR="006B3E22" w:rsidRPr="006B3E22" w:rsidRDefault="006B3E22" w:rsidP="006B3E22">
      <w:pPr>
        <w:ind w:firstLine="708"/>
        <w:jc w:val="both"/>
        <w:rPr>
          <w:rFonts w:ascii="Abadi" w:hAnsi="Abadi" w:cs="Arial"/>
          <w:sz w:val="21"/>
          <w:szCs w:val="21"/>
        </w:rPr>
      </w:pPr>
    </w:p>
    <w:p w14:paraId="2BF630D7" w14:textId="77777777" w:rsidR="006B3E22" w:rsidRPr="006B3E22" w:rsidRDefault="006B3E22" w:rsidP="006B3E22">
      <w:pPr>
        <w:ind w:firstLine="708"/>
        <w:jc w:val="both"/>
        <w:rPr>
          <w:rFonts w:ascii="Abadi" w:hAnsi="Abadi" w:cs="Arial"/>
          <w:sz w:val="21"/>
          <w:szCs w:val="21"/>
        </w:rPr>
      </w:pPr>
      <w:r w:rsidRPr="006B3E22">
        <w:rPr>
          <w:rFonts w:ascii="Abadi" w:hAnsi="Abadi" w:cs="Arial"/>
          <w:sz w:val="21"/>
          <w:szCs w:val="21"/>
        </w:rPr>
        <w:t>Dicho artículo también señala que cuando las entidades de fiscalización de los poderes legislativos locales detecten que los recursos de los fondos de aportaciones no se han destinado a los fines establecidos en dicha Ley, deberán hacerlo del conocimiento inmediato de la Auditoría Superior de la Federación.</w:t>
      </w:r>
    </w:p>
    <w:p w14:paraId="1EBC61E1" w14:textId="77777777" w:rsidR="006B3E22" w:rsidRPr="006B3E22" w:rsidRDefault="006B3E22" w:rsidP="006B3E22">
      <w:pPr>
        <w:ind w:firstLine="708"/>
        <w:jc w:val="both"/>
        <w:rPr>
          <w:rFonts w:ascii="Abadi" w:hAnsi="Abadi" w:cs="Arial"/>
          <w:sz w:val="21"/>
          <w:szCs w:val="21"/>
          <w:lang w:val="es-MX"/>
        </w:rPr>
      </w:pPr>
    </w:p>
    <w:p w14:paraId="3C03A9F0"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39B34AD" w14:textId="77777777" w:rsidR="006B3E22" w:rsidRPr="006B3E22" w:rsidRDefault="006B3E22" w:rsidP="006B3E22">
      <w:pPr>
        <w:ind w:firstLine="708"/>
        <w:jc w:val="both"/>
        <w:rPr>
          <w:rFonts w:ascii="Abadi" w:hAnsi="Abadi" w:cs="Arial"/>
          <w:sz w:val="21"/>
          <w:szCs w:val="21"/>
          <w:lang w:val="es-MX"/>
        </w:rPr>
      </w:pPr>
    </w:p>
    <w:p w14:paraId="2440BE8B" w14:textId="77777777" w:rsidR="006B3E22" w:rsidRPr="006B3E22" w:rsidRDefault="006B3E22" w:rsidP="006B3E22">
      <w:pPr>
        <w:ind w:firstLine="708"/>
        <w:jc w:val="both"/>
        <w:rPr>
          <w:rFonts w:ascii="Abadi" w:hAnsi="Abadi" w:cs="Arial"/>
          <w:sz w:val="21"/>
          <w:szCs w:val="21"/>
          <w:lang w:val="es-MX" w:eastAsia="x-none"/>
        </w:rPr>
      </w:pPr>
      <w:r w:rsidRPr="006B3E22">
        <w:rPr>
          <w:rFonts w:ascii="Abadi" w:hAnsi="Abadi" w:cs="Arial"/>
          <w:sz w:val="21"/>
          <w:szCs w:val="21"/>
          <w:lang w:val="es-MX" w:eastAsia="x-none"/>
        </w:rPr>
        <w:t xml:space="preserve">El artículo 82, fracción XXIV de </w:t>
      </w:r>
      <w:smartTag w:uri="urn:schemas-microsoft-com:office:smarttags" w:element="PersonName">
        <w:smartTagPr>
          <w:attr w:name="ProductID" w:val="la Ley"/>
        </w:smartTagPr>
        <w:r w:rsidRPr="006B3E22">
          <w:rPr>
            <w:rFonts w:ascii="Abadi" w:hAnsi="Abadi" w:cs="Arial"/>
            <w:sz w:val="21"/>
            <w:szCs w:val="21"/>
            <w:lang w:val="es-MX" w:eastAsia="x-none"/>
          </w:rPr>
          <w:t>la Ley</w:t>
        </w:r>
      </w:smartTag>
      <w:r w:rsidRPr="006B3E22">
        <w:rPr>
          <w:rFonts w:ascii="Abadi" w:hAnsi="Abadi" w:cs="Arial"/>
          <w:sz w:val="21"/>
          <w:szCs w:val="21"/>
          <w:lang w:val="es-MX" w:eastAsia="x-none"/>
        </w:rPr>
        <w:t xml:space="preserve"> de Fiscalización Superior del Estado de Guanajuato establece como atribución del Auditor Superior, rendir al Congreso, los informes derivados del ejercicio de la función de fiscalización.</w:t>
      </w:r>
    </w:p>
    <w:p w14:paraId="62DAB156" w14:textId="77777777" w:rsidR="006B3E22" w:rsidRPr="006B3E22" w:rsidRDefault="006B3E22" w:rsidP="006B3E22">
      <w:pPr>
        <w:ind w:firstLine="708"/>
        <w:jc w:val="both"/>
        <w:rPr>
          <w:rFonts w:ascii="Abadi" w:hAnsi="Abadi" w:cs="Arial"/>
          <w:sz w:val="21"/>
          <w:szCs w:val="21"/>
          <w:lang w:val="es-MX"/>
        </w:rPr>
      </w:pPr>
    </w:p>
    <w:p w14:paraId="7AD21E15"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9D916C5" w14:textId="77777777" w:rsidR="006B3E22" w:rsidRPr="006B3E22" w:rsidRDefault="006B3E22" w:rsidP="006B3E22">
      <w:pPr>
        <w:ind w:firstLine="708"/>
        <w:jc w:val="both"/>
        <w:rPr>
          <w:rFonts w:ascii="Abadi" w:hAnsi="Abadi" w:cs="Arial"/>
          <w:sz w:val="21"/>
          <w:szCs w:val="21"/>
          <w:lang w:val="es-MX"/>
        </w:rPr>
      </w:pPr>
    </w:p>
    <w:p w14:paraId="484B693E"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 xml:space="preserve">Con la finalidad de que el Congreso dé cumplimiento a lo señalado en el párrafo anterior, </w:t>
      </w:r>
      <w:smartTag w:uri="urn:schemas-microsoft-com:office:smarttags" w:element="PersonName">
        <w:smartTagPr>
          <w:attr w:name="ProductID" w:val="la Ley Org￡nica"/>
        </w:smartTagPr>
        <w:r w:rsidRPr="006B3E22">
          <w:rPr>
            <w:rFonts w:ascii="Abadi" w:hAnsi="Abadi" w:cs="Arial"/>
            <w:sz w:val="21"/>
            <w:szCs w:val="21"/>
            <w:lang w:val="es-MX"/>
          </w:rPr>
          <w:t>la Ley Orgánica</w:t>
        </w:r>
      </w:smartTag>
      <w:r w:rsidRPr="006B3E22">
        <w:rPr>
          <w:rFonts w:ascii="Abadi" w:hAnsi="Abadi" w:cs="Arial"/>
          <w:sz w:val="21"/>
          <w:szCs w:val="21"/>
          <w:lang w:val="es-MX"/>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0115C06" w14:textId="77777777" w:rsidR="006B3E22" w:rsidRPr="006B3E22" w:rsidRDefault="006B3E22" w:rsidP="006B3E22">
      <w:pPr>
        <w:ind w:firstLine="708"/>
        <w:jc w:val="both"/>
        <w:rPr>
          <w:rFonts w:ascii="Abadi" w:hAnsi="Abadi" w:cs="Arial"/>
          <w:sz w:val="21"/>
          <w:szCs w:val="21"/>
          <w:lang w:val="es-MX"/>
        </w:rPr>
      </w:pPr>
    </w:p>
    <w:p w14:paraId="54EA3FCE" w14:textId="2B956A28" w:rsidR="006B3E22" w:rsidRPr="006B3E22" w:rsidRDefault="006B3E22" w:rsidP="00A60466">
      <w:pPr>
        <w:ind w:firstLine="708"/>
        <w:jc w:val="both"/>
        <w:rPr>
          <w:rFonts w:ascii="Abadi" w:hAnsi="Abadi" w:cs="Arial"/>
          <w:sz w:val="21"/>
          <w:szCs w:val="21"/>
          <w:lang w:val="es-MX"/>
        </w:rPr>
      </w:pPr>
      <w:r w:rsidRPr="006B3E22">
        <w:rPr>
          <w:rFonts w:ascii="Abadi" w:hAnsi="Abadi" w:cs="Arial"/>
          <w:sz w:val="21"/>
          <w:szCs w:val="21"/>
          <w:lang w:val="es-MX"/>
        </w:rPr>
        <w:t>A efecto de cumplir con las atribuciones conferidas a esta Comisión, y en observancia a lo que establece el artículo 38 de la Ley de Fiscalización Superior del Estado de Guanajuato, el presente dictamen se ocupará exclusivamente del aspecto que la propia Ley señala y por el cual podría ser observado o no, el informe de resultados.</w:t>
      </w:r>
    </w:p>
    <w:p w14:paraId="399EA8CA" w14:textId="77777777" w:rsidR="006B3E22" w:rsidRPr="006B3E22" w:rsidRDefault="006B3E22" w:rsidP="006B3E22">
      <w:pPr>
        <w:ind w:firstLine="708"/>
        <w:jc w:val="both"/>
        <w:rPr>
          <w:rFonts w:ascii="Abadi" w:hAnsi="Abadi" w:cs="Arial"/>
          <w:b/>
          <w:bCs/>
          <w:sz w:val="21"/>
          <w:szCs w:val="21"/>
          <w:lang w:val="es-MX"/>
        </w:rPr>
      </w:pPr>
    </w:p>
    <w:p w14:paraId="16BE16E4" w14:textId="77777777" w:rsidR="006B3E22" w:rsidRPr="006B3E22" w:rsidRDefault="006B3E22" w:rsidP="006B3E22">
      <w:pPr>
        <w:ind w:firstLine="708"/>
        <w:jc w:val="both"/>
        <w:rPr>
          <w:rFonts w:ascii="Abadi" w:hAnsi="Abadi" w:cs="Arial"/>
          <w:b/>
          <w:bCs/>
          <w:sz w:val="21"/>
          <w:szCs w:val="21"/>
          <w:lang w:val="es-MX"/>
        </w:rPr>
      </w:pPr>
      <w:r w:rsidRPr="006B3E22">
        <w:rPr>
          <w:rFonts w:ascii="Abadi" w:hAnsi="Abadi" w:cs="Arial"/>
          <w:b/>
          <w:bCs/>
          <w:sz w:val="21"/>
          <w:szCs w:val="21"/>
          <w:lang w:val="es-MX"/>
        </w:rPr>
        <w:t>II. Antecedentes:</w:t>
      </w:r>
    </w:p>
    <w:p w14:paraId="1580E393" w14:textId="77777777" w:rsidR="006B3E22" w:rsidRPr="006B3E22" w:rsidRDefault="006B3E22" w:rsidP="006B3E22">
      <w:pPr>
        <w:ind w:firstLine="708"/>
        <w:jc w:val="both"/>
        <w:rPr>
          <w:rFonts w:ascii="Abadi" w:hAnsi="Abadi" w:cs="Arial"/>
          <w:sz w:val="21"/>
          <w:szCs w:val="21"/>
          <w:lang w:val="es-MX"/>
        </w:rPr>
      </w:pPr>
    </w:p>
    <w:p w14:paraId="0CA74177"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 xml:space="preserve">De conformidad con los artículos 66, fracción IV de </w:t>
      </w:r>
      <w:smartTag w:uri="urn:schemas-microsoft-com:office:smarttags" w:element="PersonName">
        <w:smartTagPr>
          <w:attr w:name="ProductID" w:val="la Constituci￳n Pol￭tica"/>
        </w:smartTagPr>
        <w:r w:rsidRPr="006B3E22">
          <w:rPr>
            <w:rFonts w:ascii="Abadi" w:hAnsi="Abadi" w:cs="Arial"/>
            <w:sz w:val="21"/>
            <w:szCs w:val="21"/>
            <w:lang w:val="es-MX"/>
          </w:rPr>
          <w:t>la Constitución Política</w:t>
        </w:r>
      </w:smartTag>
      <w:r w:rsidRPr="006B3E22">
        <w:rPr>
          <w:rFonts w:ascii="Abadi" w:hAnsi="Abadi" w:cs="Arial"/>
          <w:sz w:val="21"/>
          <w:szCs w:val="21"/>
          <w:lang w:val="es-MX"/>
        </w:rPr>
        <w:t xml:space="preserve"> Local y 82, fracción III de la </w:t>
      </w:r>
      <w:r w:rsidRPr="006B3E22">
        <w:rPr>
          <w:rFonts w:ascii="Abadi" w:hAnsi="Abadi" w:cs="Arial"/>
          <w:sz w:val="21"/>
          <w:szCs w:val="21"/>
        </w:rPr>
        <w:t>Ley de Fiscalización Superior del Estado de Guanajuato,</w:t>
      </w:r>
      <w:r w:rsidRPr="006B3E22">
        <w:rPr>
          <w:rFonts w:ascii="Abadi" w:hAnsi="Abadi" w:cs="Arial"/>
          <w:sz w:val="21"/>
          <w:szCs w:val="21"/>
          <w:lang w:val="es-MX"/>
        </w:rPr>
        <w:t xml:space="preserve"> corresponde a la Auditoría Superior del Estado, acordar y practicar auditorías conforme a su programa anual y ejecutar las que acuerde el Congreso del Estado en los términos de la fracción XXVIII del artículo 63 de dicha Constitución.</w:t>
      </w:r>
    </w:p>
    <w:p w14:paraId="07873B84" w14:textId="77777777" w:rsidR="006B3E22" w:rsidRPr="006B3E22" w:rsidRDefault="006B3E22" w:rsidP="006B3E22">
      <w:pPr>
        <w:ind w:firstLine="708"/>
        <w:jc w:val="both"/>
        <w:rPr>
          <w:rFonts w:ascii="Abadi" w:hAnsi="Abadi" w:cs="Arial"/>
          <w:sz w:val="21"/>
          <w:szCs w:val="21"/>
        </w:rPr>
      </w:pPr>
    </w:p>
    <w:p w14:paraId="6A02DCCA"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0ADD272C" w14:textId="77777777" w:rsidR="006B3E22" w:rsidRPr="006B3E22" w:rsidRDefault="006B3E22" w:rsidP="006B3E22">
      <w:pPr>
        <w:ind w:firstLine="708"/>
        <w:jc w:val="both"/>
        <w:rPr>
          <w:rFonts w:ascii="Abadi" w:hAnsi="Abadi" w:cs="Arial"/>
          <w:sz w:val="21"/>
          <w:szCs w:val="21"/>
        </w:rPr>
      </w:pPr>
    </w:p>
    <w:p w14:paraId="61348B23"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En ejercicio de esta función, el Auditor Superior del Estado aprobó el Programa General de Fiscalización 2021 de la Auditoría Superior del Estado de Guanajuato. En dicho Programa se contempló la práctica de una auditoría a la infraestructura pública municipal respecto de las operaciones realizadas por la administración municipal de Irapuato, Gto., correspondientes al periodo comprendido del 1 de enero al 31 de diciembre del ejercicio fiscal del año 2020.</w:t>
      </w:r>
    </w:p>
    <w:p w14:paraId="37CABAD9" w14:textId="77777777" w:rsidR="006B3E22" w:rsidRPr="006B3E22" w:rsidRDefault="006B3E22" w:rsidP="006B3E22">
      <w:pPr>
        <w:ind w:firstLine="708"/>
        <w:jc w:val="both"/>
        <w:rPr>
          <w:rFonts w:ascii="Abadi" w:hAnsi="Abadi" w:cs="Arial"/>
          <w:sz w:val="21"/>
          <w:szCs w:val="21"/>
          <w:lang w:val="es-MX"/>
        </w:rPr>
      </w:pPr>
    </w:p>
    <w:p w14:paraId="776ED758"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La auditoría practicada conforme a lo expresado en los párrafos anteriores concluyó con la elaboración del informe de resultados que se remitió al Congreso, el cual se turnó a esta Comisión de Hacienda y Fiscalización el 19 de mayo de 2022 para su estudio y dictamen,</w:t>
      </w:r>
      <w:r w:rsidRPr="006B3E22">
        <w:rPr>
          <w:rFonts w:ascii="Abadi" w:hAnsi="Abadi" w:cs="Arial"/>
          <w:b/>
          <w:bCs/>
          <w:sz w:val="21"/>
          <w:szCs w:val="21"/>
          <w:lang w:val="es-MX"/>
        </w:rPr>
        <w:t xml:space="preserve"> </w:t>
      </w:r>
      <w:r w:rsidRPr="006B3E22">
        <w:rPr>
          <w:rFonts w:ascii="Abadi" w:hAnsi="Abadi" w:cs="Arial"/>
          <w:sz w:val="21"/>
          <w:szCs w:val="21"/>
          <w:lang w:val="es-MX"/>
        </w:rPr>
        <w:t>siendo radicado el 26 de mayo del año en curso.</w:t>
      </w:r>
    </w:p>
    <w:p w14:paraId="724833DE" w14:textId="77777777" w:rsidR="006B3E22" w:rsidRPr="006B3E22" w:rsidRDefault="006B3E22" w:rsidP="006B3E22">
      <w:pPr>
        <w:ind w:firstLine="708"/>
        <w:jc w:val="both"/>
        <w:rPr>
          <w:rFonts w:ascii="Abadi" w:hAnsi="Abadi" w:cs="Arial"/>
          <w:sz w:val="21"/>
          <w:szCs w:val="21"/>
          <w:lang w:val="es-MX"/>
        </w:rPr>
      </w:pPr>
    </w:p>
    <w:p w14:paraId="56FAB0E0" w14:textId="77777777" w:rsidR="006B3E22" w:rsidRPr="006B3E22" w:rsidRDefault="006B3E22" w:rsidP="006B3E22">
      <w:pPr>
        <w:ind w:firstLine="708"/>
        <w:jc w:val="both"/>
        <w:rPr>
          <w:rFonts w:ascii="Abadi" w:hAnsi="Abadi" w:cs="Arial"/>
          <w:b/>
          <w:bCs/>
          <w:sz w:val="21"/>
          <w:szCs w:val="21"/>
          <w:lang w:val="es-MX"/>
        </w:rPr>
      </w:pPr>
      <w:r w:rsidRPr="006B3E22">
        <w:rPr>
          <w:rFonts w:ascii="Abadi" w:hAnsi="Abadi" w:cs="Arial"/>
          <w:b/>
          <w:bCs/>
          <w:sz w:val="21"/>
          <w:szCs w:val="21"/>
          <w:lang w:val="es-MX"/>
        </w:rPr>
        <w:t>III. Procedimiento de Auditoría:</w:t>
      </w:r>
    </w:p>
    <w:p w14:paraId="6A606A7F" w14:textId="77777777" w:rsidR="006B3E22" w:rsidRPr="006B3E22" w:rsidRDefault="006B3E22" w:rsidP="006B3E22">
      <w:pPr>
        <w:ind w:firstLine="708"/>
        <w:jc w:val="both"/>
        <w:rPr>
          <w:rFonts w:ascii="Abadi" w:hAnsi="Abadi" w:cs="Arial"/>
          <w:sz w:val="21"/>
          <w:szCs w:val="21"/>
          <w:lang w:val="es-MX"/>
        </w:rPr>
      </w:pPr>
    </w:p>
    <w:p w14:paraId="0FE28446"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La auditoría practicada a la infraestructura pública municipal respecto de las operaciones realizadas por la administración municipal de Irapuato, Gto., correspondientes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1476E50B" w14:textId="77777777" w:rsidR="006B3E22" w:rsidRPr="006B3E22" w:rsidRDefault="006B3E22" w:rsidP="008117EB">
      <w:pPr>
        <w:jc w:val="both"/>
        <w:rPr>
          <w:rFonts w:ascii="Abadi" w:hAnsi="Abadi" w:cs="Arial"/>
          <w:sz w:val="21"/>
          <w:szCs w:val="21"/>
          <w:lang w:val="es-MX"/>
        </w:rPr>
      </w:pPr>
    </w:p>
    <w:p w14:paraId="303D86E0"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Asimismo, dentro del objetivo de la auditoría también se encuentra el de verificar que los recursos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administrativa y contable de las obras, abarcando todas su etapas tales como: planeación, presupuestación, programación, licitación, adjudicación, contratación, ejecución, control, liquidación y entrega-recepción.</w:t>
      </w:r>
    </w:p>
    <w:p w14:paraId="436C1BD6" w14:textId="77777777" w:rsidR="006B3E22" w:rsidRPr="006B3E22" w:rsidRDefault="006B3E22" w:rsidP="006B3E22">
      <w:pPr>
        <w:ind w:firstLine="708"/>
        <w:jc w:val="both"/>
        <w:rPr>
          <w:rFonts w:ascii="Abadi" w:hAnsi="Abadi" w:cs="Arial"/>
          <w:sz w:val="21"/>
          <w:szCs w:val="21"/>
          <w:lang w:val="es-MX"/>
        </w:rPr>
      </w:pPr>
    </w:p>
    <w:p w14:paraId="2574C021"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Por otra parte, la auditoría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0AFB6E3C" w14:textId="77777777" w:rsidR="006B3E22" w:rsidRPr="006B3E22" w:rsidRDefault="006B3E22" w:rsidP="006B3E22">
      <w:pPr>
        <w:ind w:firstLine="708"/>
        <w:jc w:val="both"/>
        <w:rPr>
          <w:rFonts w:ascii="Abadi" w:hAnsi="Abadi" w:cs="Arial"/>
          <w:sz w:val="21"/>
          <w:szCs w:val="21"/>
          <w:lang w:val="es-MX"/>
        </w:rPr>
      </w:pPr>
    </w:p>
    <w:p w14:paraId="2B50D6A6" w14:textId="4F5432A0" w:rsidR="006B3E22" w:rsidRPr="006B3E22" w:rsidRDefault="006B3E22" w:rsidP="008117EB">
      <w:pPr>
        <w:ind w:firstLine="708"/>
        <w:jc w:val="both"/>
        <w:rPr>
          <w:rFonts w:ascii="Abadi" w:hAnsi="Abadi" w:cs="Arial"/>
          <w:sz w:val="21"/>
          <w:szCs w:val="21"/>
          <w:lang w:val="es-MX"/>
        </w:rPr>
      </w:pPr>
      <w:r w:rsidRPr="006B3E22">
        <w:rPr>
          <w:rFonts w:ascii="Abadi" w:hAnsi="Abadi" w:cs="Arial"/>
          <w:sz w:val="21"/>
          <w:szCs w:val="21"/>
          <w:lang w:val="es-MX"/>
        </w:rPr>
        <w:t>En la auditoría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57477419" w14:textId="77777777" w:rsidR="006B3E22" w:rsidRPr="006B3E22" w:rsidRDefault="006B3E22" w:rsidP="006B3E22">
      <w:pPr>
        <w:autoSpaceDE w:val="0"/>
        <w:autoSpaceDN w:val="0"/>
        <w:adjustRightInd w:val="0"/>
        <w:ind w:firstLine="708"/>
        <w:jc w:val="both"/>
        <w:rPr>
          <w:rFonts w:ascii="Abadi" w:hAnsi="Abadi" w:cs="Arial"/>
          <w:sz w:val="21"/>
          <w:szCs w:val="21"/>
          <w:lang w:val="es-MX"/>
        </w:rPr>
      </w:pPr>
    </w:p>
    <w:p w14:paraId="6B3DBC18" w14:textId="77777777" w:rsidR="006B3E22" w:rsidRPr="006B3E22" w:rsidRDefault="006B3E22" w:rsidP="006B3E22">
      <w:pPr>
        <w:autoSpaceDE w:val="0"/>
        <w:autoSpaceDN w:val="0"/>
        <w:adjustRightInd w:val="0"/>
        <w:ind w:firstLine="708"/>
        <w:jc w:val="both"/>
        <w:rPr>
          <w:rFonts w:ascii="Abadi" w:hAnsi="Abadi" w:cs="Arial"/>
          <w:sz w:val="21"/>
          <w:szCs w:val="21"/>
          <w:lang w:val="es-MX"/>
        </w:rPr>
      </w:pPr>
      <w:r w:rsidRPr="006B3E22">
        <w:rPr>
          <w:rFonts w:ascii="Abadi" w:hAnsi="Abadi" w:cs="Arial"/>
          <w:sz w:val="21"/>
          <w:szCs w:val="21"/>
          <w:lang w:val="es-MX"/>
        </w:rPr>
        <w:t>De igual forma, en la auditoría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auditoría.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3A65DCD4" w14:textId="77777777" w:rsidR="006B3E22" w:rsidRPr="006B3E22" w:rsidRDefault="006B3E22" w:rsidP="006B3E22">
      <w:pPr>
        <w:autoSpaceDE w:val="0"/>
        <w:autoSpaceDN w:val="0"/>
        <w:adjustRightInd w:val="0"/>
        <w:ind w:firstLine="708"/>
        <w:jc w:val="both"/>
        <w:rPr>
          <w:rFonts w:ascii="Abadi" w:hAnsi="Abadi" w:cs="Arial"/>
          <w:sz w:val="21"/>
          <w:szCs w:val="21"/>
          <w:lang w:val="es-MX"/>
        </w:rPr>
      </w:pPr>
    </w:p>
    <w:p w14:paraId="70D59172"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4C39B9D9" w14:textId="77777777" w:rsidR="006B3E22" w:rsidRPr="006B3E22" w:rsidRDefault="006B3E22" w:rsidP="006B3E22">
      <w:pPr>
        <w:ind w:firstLine="708"/>
        <w:jc w:val="both"/>
        <w:rPr>
          <w:rFonts w:ascii="Abadi" w:hAnsi="Abadi" w:cs="Arial"/>
          <w:sz w:val="21"/>
          <w:szCs w:val="21"/>
          <w:lang w:val="es-MX"/>
        </w:rPr>
      </w:pPr>
    </w:p>
    <w:p w14:paraId="5D9BA85A"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El 23 de junio de 2021 se notificó al presidente municipal de Irapuato, Gto., la orden de inicio del procedimiento de auditoría.</w:t>
      </w:r>
    </w:p>
    <w:p w14:paraId="37965B77" w14:textId="77777777" w:rsidR="006B3E22" w:rsidRPr="006B3E22" w:rsidRDefault="006B3E22" w:rsidP="006B3E22">
      <w:pPr>
        <w:ind w:firstLine="708"/>
        <w:jc w:val="both"/>
        <w:rPr>
          <w:rFonts w:ascii="Abadi" w:hAnsi="Abadi" w:cs="Arial"/>
          <w:sz w:val="21"/>
          <w:szCs w:val="21"/>
          <w:lang w:val="es-MX"/>
        </w:rPr>
      </w:pPr>
    </w:p>
    <w:p w14:paraId="5FFE1D6A" w14:textId="210A2F10" w:rsidR="006B3E22" w:rsidRPr="006B3E22" w:rsidRDefault="006B3E22" w:rsidP="008117EB">
      <w:pPr>
        <w:ind w:firstLine="708"/>
        <w:jc w:val="both"/>
        <w:rPr>
          <w:rFonts w:ascii="Abadi" w:hAnsi="Abadi" w:cs="Arial"/>
          <w:sz w:val="21"/>
          <w:szCs w:val="21"/>
          <w:lang w:val="es-MX"/>
        </w:rPr>
      </w:pPr>
      <w:r w:rsidRPr="006B3E22">
        <w:rPr>
          <w:rFonts w:ascii="Abadi" w:hAnsi="Abadi" w:cs="Arial"/>
          <w:sz w:val="21"/>
          <w:szCs w:val="21"/>
          <w:lang w:val="es-MX"/>
        </w:rPr>
        <w:t xml:space="preserve">Posteriormente, en fechas 1 de diciembre de 2021 y 28 de marzo de </w:t>
      </w:r>
      <w:proofErr w:type="gramStart"/>
      <w:r w:rsidRPr="006B3E22">
        <w:rPr>
          <w:rFonts w:ascii="Abadi" w:hAnsi="Abadi" w:cs="Arial"/>
          <w:sz w:val="21"/>
          <w:szCs w:val="21"/>
          <w:lang w:val="es-MX"/>
        </w:rPr>
        <w:t>2022  se</w:t>
      </w:r>
      <w:proofErr w:type="gramEnd"/>
      <w:r w:rsidRPr="006B3E22">
        <w:rPr>
          <w:rFonts w:ascii="Abadi" w:hAnsi="Abadi" w:cs="Arial"/>
          <w:sz w:val="21"/>
          <w:szCs w:val="21"/>
          <w:lang w:val="es-MX"/>
        </w:rPr>
        <w:t xml:space="preserve"> notificó a la presidenta municipal de Irapuato, Gto., la suspensión del plazo de la auditoría materia del presente dictamen, de conformidad con lo establecido en los Acuerdos de Suspensión de Plazos publicados en el Periódico Oficial del Gobierno del Estado de Guanajuato los días 19 de noviembre de 2021 y 21 de febrero de 2022.</w:t>
      </w:r>
    </w:p>
    <w:p w14:paraId="32BB5EAC" w14:textId="77777777" w:rsidR="006B3E22" w:rsidRPr="006B3E22" w:rsidRDefault="006B3E22" w:rsidP="006B3E22">
      <w:pPr>
        <w:ind w:firstLine="708"/>
        <w:jc w:val="both"/>
        <w:rPr>
          <w:rFonts w:ascii="Abadi" w:hAnsi="Abadi" w:cs="Arial"/>
          <w:sz w:val="21"/>
          <w:szCs w:val="21"/>
          <w:lang w:val="es-MX"/>
        </w:rPr>
      </w:pPr>
    </w:p>
    <w:p w14:paraId="592BCD4A"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El 4 de marzo de 2022 se notificó a la presidenta y al ex-presidente municipales de Irapuato, Gto., el pliego de observaciones y recomendaciones derivado de la auditoría practicada a la infraestructura pública municipal respecto de las operaciones realizadas por dicha administración municipal, correspondientes al ejercicio fiscal del año 2020, al cual se dio respuesta los días 25 y 28 de marzo, así como 18 de abril de 2022 por parte del ex-presidente, el tesorero y la presidenta municipales de Irapuato, Gto., respectivamente.</w:t>
      </w:r>
    </w:p>
    <w:p w14:paraId="006F83CD" w14:textId="77777777" w:rsidR="006B3E22" w:rsidRPr="006B3E22" w:rsidRDefault="006B3E22" w:rsidP="006B3E22">
      <w:pPr>
        <w:ind w:firstLine="708"/>
        <w:jc w:val="both"/>
        <w:rPr>
          <w:rFonts w:ascii="Abadi" w:hAnsi="Abadi" w:cs="Arial"/>
          <w:sz w:val="21"/>
          <w:szCs w:val="21"/>
          <w:lang w:val="es-MX"/>
        </w:rPr>
      </w:pPr>
    </w:p>
    <w:p w14:paraId="512002DF"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 xml:space="preserve">El 22 de abril 2022, el informe de resultados se notificó a la presidenta y al ex-presidente municipales de Irapuato, Gto., para que, en su caso, hicieran valer el recurso de reconsideración previsto por los artículos del 48 al 55 de </w:t>
      </w:r>
      <w:smartTag w:uri="urn:schemas-microsoft-com:office:smarttags" w:element="PersonName">
        <w:smartTagPr>
          <w:attr w:name="ProductID" w:val="la Ley"/>
        </w:smartTagPr>
        <w:r w:rsidRPr="006B3E22">
          <w:rPr>
            <w:rFonts w:ascii="Abadi" w:hAnsi="Abadi" w:cs="Arial"/>
            <w:sz w:val="21"/>
            <w:szCs w:val="21"/>
            <w:lang w:val="es-MX"/>
          </w:rPr>
          <w:t>la Ley</w:t>
        </w:r>
      </w:smartTag>
      <w:r w:rsidRPr="006B3E22">
        <w:rPr>
          <w:rFonts w:ascii="Abadi" w:hAnsi="Abadi" w:cs="Arial"/>
          <w:sz w:val="21"/>
          <w:szCs w:val="21"/>
          <w:lang w:val="es-MX"/>
        </w:rPr>
        <w:t xml:space="preserve"> de Fiscalización Superior del Estado de Guanajuato, haciéndoles saber que contaban con un término de cinco días hábiles para tal efecto. Con lo anterior, se dio cumplimiento a la fracción IV del artículo 37 de la citada Ley.</w:t>
      </w:r>
    </w:p>
    <w:p w14:paraId="541B1614" w14:textId="77777777" w:rsidR="006B3E22" w:rsidRPr="006B3E22" w:rsidRDefault="006B3E22" w:rsidP="006B3E22">
      <w:pPr>
        <w:ind w:firstLine="708"/>
        <w:jc w:val="both"/>
        <w:rPr>
          <w:rFonts w:ascii="Abadi" w:hAnsi="Abadi" w:cs="Arial"/>
          <w:sz w:val="21"/>
          <w:szCs w:val="21"/>
          <w:lang w:val="es-MX"/>
        </w:rPr>
      </w:pPr>
    </w:p>
    <w:p w14:paraId="2E2AE63E"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 xml:space="preserve">El 29 de abril de 2022, dentro del plazo que prevé la fracción IV del artículo 37 de </w:t>
      </w:r>
      <w:smartTag w:uri="urn:schemas-microsoft-com:office:smarttags" w:element="PersonName">
        <w:smartTagPr>
          <w:attr w:name="ProductID" w:val="la Ley"/>
        </w:smartTagPr>
        <w:r w:rsidRPr="006B3E22">
          <w:rPr>
            <w:rFonts w:ascii="Abadi" w:hAnsi="Abadi" w:cs="Arial"/>
            <w:sz w:val="21"/>
            <w:szCs w:val="21"/>
            <w:lang w:val="es-MX"/>
          </w:rPr>
          <w:t>la Ley</w:t>
        </w:r>
      </w:smartTag>
      <w:r w:rsidRPr="006B3E22">
        <w:rPr>
          <w:rFonts w:ascii="Abadi" w:hAnsi="Abadi" w:cs="Arial"/>
          <w:sz w:val="21"/>
          <w:szCs w:val="21"/>
          <w:lang w:val="es-MX"/>
        </w:rPr>
        <w:t xml:space="preserve"> de Fiscalización Superior del Estado de Guanajuato, el tesorero municipal de Irapuato, Gto., interpuso recurso de reconsideración en contra del informe de resultados de la auditoría practicada a la infraestructura pública municipal respecto de las operaciones realizadas por la administración municipal de Irapuato, Gto., correspondientes al periodo comprendido del 1 de enero al 31 de diciembre del ejercicio fiscal del año 2020, siendo admitido dicho recurso, al colmarse los requisitos de procedibilidad previstos por el artículo 51 de </w:t>
      </w:r>
      <w:smartTag w:uri="urn:schemas-microsoft-com:office:smarttags" w:element="PersonName">
        <w:smartTagPr>
          <w:attr w:name="ProductID" w:val="la Ley"/>
        </w:smartTagPr>
        <w:r w:rsidRPr="006B3E22">
          <w:rPr>
            <w:rFonts w:ascii="Abadi" w:hAnsi="Abadi" w:cs="Arial"/>
            <w:sz w:val="21"/>
            <w:szCs w:val="21"/>
            <w:lang w:val="es-MX"/>
          </w:rPr>
          <w:t>la Ley</w:t>
        </w:r>
      </w:smartTag>
      <w:r w:rsidRPr="006B3E22">
        <w:rPr>
          <w:rFonts w:ascii="Abadi" w:hAnsi="Abadi" w:cs="Arial"/>
          <w:sz w:val="21"/>
          <w:szCs w:val="21"/>
          <w:lang w:val="es-MX"/>
        </w:rPr>
        <w:t xml:space="preserve"> de Fiscalización Superior del Estado de Guanajuato.</w:t>
      </w:r>
    </w:p>
    <w:p w14:paraId="3ECF9E5B" w14:textId="77777777" w:rsidR="006B3E22" w:rsidRPr="006B3E22" w:rsidRDefault="006B3E22" w:rsidP="006B3E22">
      <w:pPr>
        <w:ind w:firstLine="708"/>
        <w:jc w:val="both"/>
        <w:rPr>
          <w:rFonts w:ascii="Abadi" w:hAnsi="Abadi" w:cs="Arial"/>
          <w:sz w:val="21"/>
          <w:szCs w:val="21"/>
          <w:lang w:val="es-MX"/>
        </w:rPr>
      </w:pPr>
    </w:p>
    <w:p w14:paraId="3DFAEDFD"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Una vez tramitado el recurso, el Auditor Superior el 11 de mayo de 2022 emitió la resolución correspondiente, a la cual haremos referencia en un apartado posterior, misma que se notificó al tesorero municipal de Irapuato, Gto., en la misma fecha.</w:t>
      </w:r>
    </w:p>
    <w:p w14:paraId="5E88D016" w14:textId="77777777" w:rsidR="006B3E22" w:rsidRPr="006B3E22" w:rsidRDefault="006B3E22" w:rsidP="006B3E22">
      <w:pPr>
        <w:ind w:firstLine="708"/>
        <w:jc w:val="both"/>
        <w:rPr>
          <w:rFonts w:ascii="Abadi" w:hAnsi="Abadi" w:cs="Arial"/>
          <w:sz w:val="21"/>
          <w:szCs w:val="21"/>
          <w:lang w:val="es-MX"/>
        </w:rPr>
      </w:pPr>
    </w:p>
    <w:p w14:paraId="41A3B947" w14:textId="77777777" w:rsidR="006B3E22" w:rsidRPr="006B3E22" w:rsidRDefault="006B3E22" w:rsidP="006B3E22">
      <w:pPr>
        <w:ind w:firstLine="708"/>
        <w:jc w:val="both"/>
        <w:rPr>
          <w:rFonts w:ascii="Abadi" w:hAnsi="Abadi" w:cs="Arial"/>
          <w:b/>
          <w:bCs/>
          <w:sz w:val="21"/>
          <w:szCs w:val="21"/>
        </w:rPr>
      </w:pPr>
      <w:r w:rsidRPr="006B3E22">
        <w:rPr>
          <w:rFonts w:ascii="Abadi" w:hAnsi="Abadi" w:cs="Arial"/>
          <w:b/>
          <w:bCs/>
          <w:sz w:val="21"/>
          <w:szCs w:val="21"/>
        </w:rPr>
        <w:t>IV. Contenido del Informe de Resultados:</w:t>
      </w:r>
    </w:p>
    <w:p w14:paraId="4107B81A" w14:textId="77777777" w:rsidR="006B3E22" w:rsidRPr="006B3E22" w:rsidRDefault="006B3E22" w:rsidP="006B3E22">
      <w:pPr>
        <w:jc w:val="both"/>
        <w:rPr>
          <w:rFonts w:ascii="Abadi" w:hAnsi="Abadi" w:cs="Arial"/>
          <w:b/>
          <w:bCs/>
          <w:sz w:val="21"/>
          <w:szCs w:val="21"/>
        </w:rPr>
      </w:pPr>
    </w:p>
    <w:p w14:paraId="602E9915" w14:textId="77777777" w:rsidR="006B3E22" w:rsidRPr="006B3E22" w:rsidRDefault="006B3E22" w:rsidP="006B3E22">
      <w:pPr>
        <w:jc w:val="both"/>
        <w:rPr>
          <w:rFonts w:ascii="Abadi" w:hAnsi="Abadi" w:cs="Arial"/>
          <w:sz w:val="21"/>
          <w:szCs w:val="21"/>
        </w:rPr>
      </w:pPr>
      <w:r w:rsidRPr="006B3E22">
        <w:rPr>
          <w:rFonts w:ascii="Abadi" w:hAnsi="Abadi" w:cs="Arial"/>
          <w:b/>
          <w:bCs/>
          <w:sz w:val="21"/>
          <w:szCs w:val="21"/>
        </w:rPr>
        <w:tab/>
      </w:r>
      <w:r w:rsidRPr="006B3E22">
        <w:rPr>
          <w:rFonts w:ascii="Abadi" w:hAnsi="Abadi" w:cs="Arial"/>
          <w:bCs/>
          <w:sz w:val="21"/>
          <w:szCs w:val="21"/>
        </w:rPr>
        <w:t>En cumplimiento a lo establecido por el</w:t>
      </w:r>
      <w:r w:rsidRPr="006B3E22">
        <w:rPr>
          <w:rFonts w:ascii="Abadi" w:hAnsi="Abadi" w:cs="Arial"/>
          <w:sz w:val="21"/>
          <w:szCs w:val="21"/>
        </w:rPr>
        <w:t xml:space="preserve"> artículo 37, fracción III de la Ley de Fiscalización Superior del Estado, el informe de resultados contiene los siguientes apartados:</w:t>
      </w:r>
    </w:p>
    <w:p w14:paraId="34124F3C" w14:textId="77777777" w:rsidR="006B3E22" w:rsidRPr="006B3E22" w:rsidRDefault="006B3E22" w:rsidP="006B3E22">
      <w:pPr>
        <w:jc w:val="both"/>
        <w:rPr>
          <w:rFonts w:ascii="Abadi" w:hAnsi="Abadi" w:cs="Arial"/>
          <w:sz w:val="21"/>
          <w:szCs w:val="21"/>
        </w:rPr>
      </w:pPr>
    </w:p>
    <w:p w14:paraId="3D767249" w14:textId="77777777" w:rsidR="006B3E22" w:rsidRPr="006B3E22" w:rsidRDefault="006B3E22" w:rsidP="001A28E5">
      <w:pPr>
        <w:numPr>
          <w:ilvl w:val="0"/>
          <w:numId w:val="88"/>
        </w:numPr>
        <w:jc w:val="both"/>
        <w:rPr>
          <w:rFonts w:ascii="Abadi" w:hAnsi="Abadi" w:cs="Arial"/>
          <w:b/>
          <w:bCs/>
          <w:sz w:val="21"/>
          <w:szCs w:val="21"/>
        </w:rPr>
      </w:pPr>
      <w:r w:rsidRPr="006B3E22">
        <w:rPr>
          <w:rFonts w:ascii="Abadi" w:hAnsi="Abadi" w:cs="Arial"/>
          <w:b/>
          <w:bCs/>
          <w:sz w:val="21"/>
          <w:szCs w:val="21"/>
        </w:rPr>
        <w:t>Introducción.</w:t>
      </w:r>
    </w:p>
    <w:p w14:paraId="040B2AEC" w14:textId="77777777" w:rsidR="006B3E22" w:rsidRPr="006B3E22" w:rsidRDefault="006B3E22" w:rsidP="006B3E22">
      <w:pPr>
        <w:ind w:left="705"/>
        <w:jc w:val="both"/>
        <w:rPr>
          <w:rFonts w:ascii="Abadi" w:hAnsi="Abadi" w:cs="Arial"/>
          <w:sz w:val="21"/>
          <w:szCs w:val="21"/>
        </w:rPr>
      </w:pPr>
    </w:p>
    <w:p w14:paraId="3B7A4F64" w14:textId="77777777" w:rsidR="006B3E22" w:rsidRPr="006B3E22" w:rsidRDefault="006B3E22" w:rsidP="006B3E22">
      <w:pPr>
        <w:ind w:firstLine="705"/>
        <w:jc w:val="both"/>
        <w:rPr>
          <w:rFonts w:ascii="Abadi" w:hAnsi="Abadi" w:cs="Arial"/>
          <w:sz w:val="21"/>
          <w:szCs w:val="21"/>
        </w:rPr>
      </w:pPr>
      <w:r w:rsidRPr="006B3E22">
        <w:rPr>
          <w:rFonts w:ascii="Abadi" w:hAnsi="Abadi" w:cs="Arial"/>
          <w:sz w:val="21"/>
          <w:szCs w:val="21"/>
        </w:rPr>
        <w:t>Por lo que se refiere a este punto, se establecen los criterios de selección; el objetivo de la auditoría; el alcance de la auditoría respecto a los apartados de ingresos y egresos,</w:t>
      </w:r>
      <w:r w:rsidRPr="006B3E22">
        <w:rPr>
          <w:rFonts w:ascii="Abadi" w:hAnsi="Abadi" w:cs="Arial"/>
          <w:sz w:val="21"/>
          <w:szCs w:val="21"/>
          <w:lang w:val="es-MX"/>
        </w:rPr>
        <w:t xml:space="preserve"> precisando que el detalle de los alcances de la auditoría se consigna en el Anexo 01 del informe de resultados.</w:t>
      </w:r>
    </w:p>
    <w:p w14:paraId="5E4476E2" w14:textId="77777777" w:rsidR="006B3E22" w:rsidRPr="006B3E22" w:rsidRDefault="006B3E22" w:rsidP="006B3E22">
      <w:pPr>
        <w:ind w:firstLine="705"/>
        <w:jc w:val="both"/>
        <w:rPr>
          <w:rFonts w:ascii="Abadi" w:hAnsi="Abadi" w:cs="Arial"/>
          <w:sz w:val="21"/>
          <w:szCs w:val="21"/>
        </w:rPr>
      </w:pPr>
    </w:p>
    <w:p w14:paraId="0391A7DA" w14:textId="77777777" w:rsidR="006B3E22" w:rsidRPr="006B3E22" w:rsidRDefault="006B3E22" w:rsidP="006B3E22">
      <w:pPr>
        <w:ind w:firstLine="705"/>
        <w:jc w:val="both"/>
        <w:rPr>
          <w:rFonts w:ascii="Abadi" w:hAnsi="Abadi" w:cs="Arial"/>
          <w:sz w:val="21"/>
          <w:szCs w:val="21"/>
        </w:rPr>
      </w:pPr>
      <w:r w:rsidRPr="006B3E22">
        <w:rPr>
          <w:rFonts w:ascii="Abadi" w:hAnsi="Abadi" w:cs="Arial"/>
          <w:sz w:val="21"/>
          <w:szCs w:val="21"/>
        </w:rPr>
        <w:t>También en este apartado se precisan los procedimientos de auditoría aplicados, siendo estos: inspección, observación, confirmación externa, recálculo, procedimientos analíticos, re ejecución e indagación.</w:t>
      </w:r>
    </w:p>
    <w:p w14:paraId="05E11151" w14:textId="77777777" w:rsidR="006B3E22" w:rsidRPr="006B3E22" w:rsidRDefault="006B3E22" w:rsidP="006B3E22">
      <w:pPr>
        <w:ind w:firstLine="705"/>
        <w:jc w:val="both"/>
        <w:rPr>
          <w:rFonts w:ascii="Abadi" w:hAnsi="Abadi" w:cs="Arial"/>
          <w:sz w:val="21"/>
          <w:szCs w:val="21"/>
        </w:rPr>
      </w:pPr>
    </w:p>
    <w:p w14:paraId="26620FF8" w14:textId="77777777" w:rsidR="006B3E22" w:rsidRPr="006B3E22" w:rsidRDefault="006B3E22" w:rsidP="006B3E22">
      <w:pPr>
        <w:ind w:firstLine="705"/>
        <w:jc w:val="both"/>
        <w:rPr>
          <w:rFonts w:ascii="Abadi" w:hAnsi="Abadi" w:cs="Arial"/>
          <w:sz w:val="21"/>
          <w:szCs w:val="21"/>
        </w:rPr>
      </w:pPr>
      <w:r w:rsidRPr="006B3E22">
        <w:rPr>
          <w:rFonts w:ascii="Abadi" w:hAnsi="Abadi" w:cs="Arial"/>
          <w:sz w:val="21"/>
          <w:szCs w:val="21"/>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1B0B51C5" w14:textId="77777777" w:rsidR="006B3E22" w:rsidRPr="006B3E22" w:rsidRDefault="006B3E22" w:rsidP="006B3E22">
      <w:pPr>
        <w:jc w:val="both"/>
        <w:rPr>
          <w:rFonts w:ascii="Abadi" w:hAnsi="Abadi" w:cs="Arial"/>
          <w:i/>
          <w:iCs/>
          <w:sz w:val="21"/>
          <w:szCs w:val="21"/>
          <w:lang w:val="es-MX" w:eastAsia="x-none"/>
        </w:rPr>
      </w:pPr>
    </w:p>
    <w:p w14:paraId="1C4CC0A5" w14:textId="77777777" w:rsidR="006B3E22" w:rsidRPr="006B3E22" w:rsidRDefault="006B3E22" w:rsidP="006B3E22">
      <w:pPr>
        <w:jc w:val="both"/>
        <w:rPr>
          <w:rFonts w:ascii="Abadi" w:hAnsi="Abadi" w:cs="Arial"/>
          <w:i/>
          <w:iCs/>
          <w:sz w:val="21"/>
          <w:szCs w:val="21"/>
          <w:lang w:val="es-MX" w:eastAsia="x-none"/>
        </w:rPr>
      </w:pPr>
      <w:r w:rsidRPr="006B3E22">
        <w:rPr>
          <w:rFonts w:ascii="Abadi" w:hAnsi="Abadi" w:cs="Arial"/>
          <w:i/>
          <w:iCs/>
          <w:sz w:val="21"/>
          <w:szCs w:val="21"/>
          <w:lang w:val="es-MX"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478737C2" w14:textId="77777777" w:rsidR="006B3E22" w:rsidRPr="006B3E22" w:rsidRDefault="006B3E22" w:rsidP="006B3E22">
      <w:pPr>
        <w:rPr>
          <w:rFonts w:ascii="Abadi" w:hAnsi="Abadi" w:cs="Arial"/>
          <w:i/>
          <w:iCs/>
          <w:sz w:val="21"/>
          <w:szCs w:val="21"/>
          <w:lang w:val="es-MX" w:eastAsia="x-none"/>
        </w:rPr>
      </w:pPr>
    </w:p>
    <w:p w14:paraId="2972E1B3" w14:textId="77777777" w:rsidR="006B3E22" w:rsidRPr="006B3E22" w:rsidRDefault="006B3E22" w:rsidP="006B3E22">
      <w:pPr>
        <w:jc w:val="both"/>
        <w:rPr>
          <w:rFonts w:ascii="Abadi" w:hAnsi="Abadi" w:cs="Arial"/>
          <w:i/>
          <w:iCs/>
          <w:sz w:val="21"/>
          <w:szCs w:val="21"/>
          <w:lang w:val="es-MX" w:eastAsia="x-none"/>
        </w:rPr>
      </w:pPr>
      <w:r w:rsidRPr="006B3E22">
        <w:rPr>
          <w:rFonts w:ascii="Abadi" w:hAnsi="Abadi" w:cs="Arial"/>
          <w:i/>
          <w:iCs/>
          <w:sz w:val="21"/>
          <w:szCs w:val="21"/>
          <w:lang w:val="es-MX"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374949CC" w14:textId="77777777" w:rsidR="006B3E22" w:rsidRPr="006B3E22" w:rsidRDefault="006B3E22" w:rsidP="006B3E22">
      <w:pPr>
        <w:jc w:val="both"/>
        <w:rPr>
          <w:rFonts w:ascii="Abadi" w:hAnsi="Abadi" w:cs="Arial"/>
          <w:i/>
          <w:iCs/>
          <w:sz w:val="21"/>
          <w:szCs w:val="21"/>
          <w:lang w:val="es-MX" w:eastAsia="x-none"/>
        </w:rPr>
      </w:pPr>
    </w:p>
    <w:p w14:paraId="11A0F2AD" w14:textId="77777777" w:rsidR="006B3E22" w:rsidRPr="006B3E22" w:rsidRDefault="006B3E22" w:rsidP="006B3E22">
      <w:pPr>
        <w:jc w:val="both"/>
        <w:rPr>
          <w:rFonts w:ascii="Abadi" w:hAnsi="Abadi" w:cs="Arial"/>
          <w:i/>
          <w:iCs/>
          <w:sz w:val="21"/>
          <w:szCs w:val="21"/>
          <w:lang w:val="es-MX" w:eastAsia="x-none"/>
        </w:rPr>
      </w:pPr>
      <w:r w:rsidRPr="006B3E22">
        <w:rPr>
          <w:rFonts w:ascii="Abadi" w:hAnsi="Abadi" w:cs="Arial"/>
          <w:i/>
          <w:iCs/>
          <w:sz w:val="21"/>
          <w:szCs w:val="21"/>
          <w:lang w:val="es-MX"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668A88F9" w14:textId="77777777" w:rsidR="006B3E22" w:rsidRPr="006B3E22" w:rsidRDefault="006B3E22" w:rsidP="006B3E22">
      <w:pPr>
        <w:ind w:firstLine="705"/>
        <w:jc w:val="both"/>
        <w:rPr>
          <w:rFonts w:ascii="Abadi" w:hAnsi="Abadi" w:cs="Arial"/>
          <w:sz w:val="21"/>
          <w:szCs w:val="21"/>
          <w:lang w:val="es-MX"/>
        </w:rPr>
      </w:pPr>
    </w:p>
    <w:p w14:paraId="6BB5A626" w14:textId="77777777" w:rsidR="006B3E22" w:rsidRPr="006B3E22" w:rsidRDefault="006B3E22" w:rsidP="006B3E22">
      <w:pPr>
        <w:ind w:firstLine="705"/>
        <w:jc w:val="both"/>
        <w:rPr>
          <w:rFonts w:ascii="Abadi" w:hAnsi="Abadi" w:cs="Arial"/>
          <w:sz w:val="21"/>
          <w:szCs w:val="21"/>
          <w:lang w:val="es-MX"/>
        </w:rPr>
      </w:pPr>
      <w:r w:rsidRPr="006B3E22">
        <w:rPr>
          <w:rFonts w:ascii="Abadi" w:hAnsi="Abadi" w:cs="Arial"/>
          <w:sz w:val="21"/>
          <w:szCs w:val="21"/>
          <w:lang w:val="es-MX"/>
        </w:rPr>
        <w:t>Derivado de lo anterior, en el proceso de auditoría se inspeccionó que los comprobantes fiscales que soportan las erogaciones del sujeto fiscalizado, no correspondan a contribuyentes que se encuentren en los supuestos previstos del artículo 69-B del Código Fiscal de la Federación, empresas que facturan operaciones simuladas o inexistentes con el carácter de «Definitivos», emitidas por el Servicio de Administración Tributaria.</w:t>
      </w:r>
    </w:p>
    <w:p w14:paraId="59AA5CB0" w14:textId="77777777" w:rsidR="006B3E22" w:rsidRPr="006B3E22" w:rsidRDefault="006B3E22" w:rsidP="008117EB">
      <w:pPr>
        <w:jc w:val="both"/>
        <w:rPr>
          <w:rFonts w:ascii="Abadi" w:hAnsi="Abadi" w:cs="Arial"/>
          <w:sz w:val="21"/>
          <w:szCs w:val="21"/>
          <w:lang w:val="es-MX"/>
        </w:rPr>
      </w:pPr>
    </w:p>
    <w:p w14:paraId="77B2AD6B" w14:textId="77777777" w:rsidR="006B3E22" w:rsidRPr="006B3E22" w:rsidRDefault="006B3E22" w:rsidP="006B3E22">
      <w:pPr>
        <w:ind w:firstLine="705"/>
        <w:jc w:val="both"/>
        <w:rPr>
          <w:rFonts w:ascii="Abadi" w:hAnsi="Abadi" w:cs="Arial"/>
          <w:sz w:val="21"/>
          <w:szCs w:val="21"/>
          <w:lang w:val="es-MX"/>
        </w:rPr>
      </w:pPr>
      <w:r w:rsidRPr="006B3E22">
        <w:rPr>
          <w:rFonts w:ascii="Abadi" w:hAnsi="Abadi" w:cs="Arial"/>
          <w:sz w:val="21"/>
          <w:szCs w:val="21"/>
          <w:lang w:val="es-MX"/>
        </w:rPr>
        <w:t>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y/o contractuales con el sujeto fiscalizado.</w:t>
      </w:r>
    </w:p>
    <w:p w14:paraId="1CB3C7C7" w14:textId="77777777" w:rsidR="006B3E22" w:rsidRPr="006B3E22" w:rsidRDefault="006B3E22" w:rsidP="006B3E22">
      <w:pPr>
        <w:ind w:firstLine="705"/>
        <w:jc w:val="both"/>
        <w:rPr>
          <w:rFonts w:ascii="Abadi" w:hAnsi="Abadi" w:cs="Arial"/>
          <w:sz w:val="21"/>
          <w:szCs w:val="21"/>
          <w:lang w:val="es-MX"/>
        </w:rPr>
      </w:pPr>
    </w:p>
    <w:p w14:paraId="3803D1F8" w14:textId="77777777" w:rsidR="006B3E22" w:rsidRPr="006B3E22" w:rsidRDefault="006B3E22" w:rsidP="006B3E22">
      <w:pPr>
        <w:ind w:firstLine="705"/>
        <w:jc w:val="both"/>
        <w:rPr>
          <w:rFonts w:ascii="Abadi" w:hAnsi="Abadi" w:cs="Arial"/>
          <w:sz w:val="21"/>
          <w:szCs w:val="21"/>
        </w:rPr>
      </w:pPr>
      <w:r w:rsidRPr="006B3E22">
        <w:rPr>
          <w:rFonts w:ascii="Abadi" w:hAnsi="Abadi" w:cs="Arial"/>
          <w:sz w:val="21"/>
          <w:szCs w:val="21"/>
        </w:rPr>
        <w:t>Adicionalmente se verificó el cumplimiento de la calidad de los materiales empleados y de los procedimientos constructivos en la ejecución de la obra pública, a través de la revisión estructural en observancia de las normas, estándares, procedimientos técnicos y de fiscalización aplicables y se emitió el dictamen respectivo con apoyo del especialista en estructuras externo SINESCO, Servicios de Ingeniería Especializada y Consultoría, de lo cual se obtuvo el resultado citado en la observación plasmada en el numeral 025.</w:t>
      </w:r>
    </w:p>
    <w:p w14:paraId="777F15F5" w14:textId="77777777" w:rsidR="006B3E22" w:rsidRPr="006B3E22" w:rsidRDefault="006B3E22" w:rsidP="008117EB">
      <w:pPr>
        <w:jc w:val="both"/>
        <w:rPr>
          <w:rFonts w:ascii="Abadi" w:hAnsi="Abadi" w:cs="Arial"/>
          <w:sz w:val="21"/>
          <w:szCs w:val="21"/>
          <w:lang w:val="es-MX"/>
        </w:rPr>
      </w:pPr>
    </w:p>
    <w:p w14:paraId="617A5DD3" w14:textId="77777777" w:rsidR="006B3E22" w:rsidRPr="006B3E22" w:rsidRDefault="006B3E22" w:rsidP="006B3E22">
      <w:pPr>
        <w:ind w:firstLine="705"/>
        <w:jc w:val="both"/>
        <w:rPr>
          <w:rFonts w:ascii="Abadi" w:hAnsi="Abadi" w:cs="Arial"/>
          <w:sz w:val="21"/>
          <w:szCs w:val="21"/>
        </w:rPr>
      </w:pPr>
      <w:r w:rsidRPr="006B3E22">
        <w:rPr>
          <w:rFonts w:ascii="Abadi" w:hAnsi="Abadi" w:cs="Arial"/>
          <w:sz w:val="21"/>
          <w:szCs w:val="21"/>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Irapuato, Gto., no cumplió con las disposiciones normativas aplicables, de conformidad con lo señalado en el informe de resultados.</w:t>
      </w:r>
    </w:p>
    <w:p w14:paraId="2E6E5161" w14:textId="77777777" w:rsidR="006B3E22" w:rsidRPr="006B3E22" w:rsidRDefault="006B3E22" w:rsidP="006B3E22">
      <w:pPr>
        <w:ind w:firstLine="705"/>
        <w:jc w:val="both"/>
        <w:rPr>
          <w:rFonts w:ascii="Abadi" w:hAnsi="Abadi" w:cs="Arial"/>
          <w:sz w:val="21"/>
          <w:szCs w:val="21"/>
        </w:rPr>
      </w:pPr>
    </w:p>
    <w:p w14:paraId="5934B507" w14:textId="77777777" w:rsidR="006B3E22" w:rsidRPr="006B3E22" w:rsidRDefault="006B3E22" w:rsidP="006B3E22">
      <w:pPr>
        <w:ind w:firstLine="705"/>
        <w:jc w:val="both"/>
        <w:rPr>
          <w:rFonts w:ascii="Abadi" w:hAnsi="Abadi" w:cs="Arial"/>
          <w:sz w:val="21"/>
          <w:szCs w:val="21"/>
        </w:rPr>
      </w:pPr>
      <w:r w:rsidRPr="006B3E22">
        <w:rPr>
          <w:rFonts w:ascii="Abadi" w:hAnsi="Abadi" w:cs="Arial"/>
          <w:sz w:val="21"/>
          <w:szCs w:val="21"/>
        </w:rPr>
        <w:t>En cuanto al rubro de resultados de la fiscalización efectuada, se establece el estatus que guardan las observaciones y recomendaciones, las cuales se agrupan bajo su respectivo tipo y rubro, señalando que se determinaron 25 observaciones, mismas que no fueron solventadas. Asimismo, se formularon 12 recomendaciones, de las cuales 4 se atendieron y 8 no se atendieron.</w:t>
      </w:r>
    </w:p>
    <w:p w14:paraId="5611AFA0" w14:textId="77777777" w:rsidR="006B3E22" w:rsidRPr="006B3E22" w:rsidRDefault="006B3E22" w:rsidP="006B3E22">
      <w:pPr>
        <w:ind w:firstLine="705"/>
        <w:jc w:val="both"/>
        <w:rPr>
          <w:rFonts w:ascii="Abadi" w:hAnsi="Abadi" w:cs="Arial"/>
          <w:sz w:val="21"/>
          <w:szCs w:val="21"/>
        </w:rPr>
      </w:pPr>
    </w:p>
    <w:p w14:paraId="7F8B5E0B" w14:textId="77777777" w:rsidR="006B3E22" w:rsidRPr="006B3E22" w:rsidRDefault="006B3E22" w:rsidP="006B3E22">
      <w:pPr>
        <w:ind w:firstLine="705"/>
        <w:jc w:val="both"/>
        <w:rPr>
          <w:rFonts w:ascii="Abadi" w:hAnsi="Abadi" w:cs="Arial"/>
          <w:sz w:val="21"/>
          <w:szCs w:val="21"/>
        </w:rPr>
      </w:pPr>
      <w:r w:rsidRPr="006B3E22">
        <w:rPr>
          <w:rFonts w:ascii="Abadi" w:hAnsi="Abadi" w:cs="Arial"/>
          <w:sz w:val="21"/>
          <w:szCs w:val="21"/>
        </w:rPr>
        <w:t xml:space="preserve">También en dicho apartado se establece el impacto de las irregularidades detectadas que persistieron después de la valoración de la respuesta al pliego de observaciones y recomendaciones, destacando la cuantificación monetaria de las observaciones, precisando que, en el caso de las observaciones plasmadas en los numerales 001, 002, 003, 004, 009, 010, 011, 012, 013, 014, 015, 016, 017, 018, 019, 020, 021, 022, 023, 024 y 025, existen importes no solventados por la cuantía que ahí se refiere. </w:t>
      </w:r>
    </w:p>
    <w:p w14:paraId="20A3D2CB" w14:textId="77777777" w:rsidR="006B3E22" w:rsidRPr="006B3E22" w:rsidRDefault="006B3E22" w:rsidP="006B3E22">
      <w:pPr>
        <w:ind w:firstLine="705"/>
        <w:jc w:val="both"/>
        <w:rPr>
          <w:rFonts w:ascii="Abadi" w:hAnsi="Abadi" w:cs="Arial"/>
          <w:sz w:val="21"/>
          <w:szCs w:val="21"/>
        </w:rPr>
      </w:pPr>
    </w:p>
    <w:p w14:paraId="47DA86E5" w14:textId="77777777" w:rsidR="006B3E22" w:rsidRPr="006B3E22" w:rsidRDefault="006B3E22" w:rsidP="006B3E22">
      <w:pPr>
        <w:ind w:firstLine="705"/>
        <w:jc w:val="both"/>
        <w:rPr>
          <w:rFonts w:ascii="Abadi" w:hAnsi="Abadi" w:cs="Arial"/>
          <w:sz w:val="21"/>
          <w:szCs w:val="21"/>
        </w:rPr>
      </w:pPr>
      <w:r w:rsidRPr="006B3E22">
        <w:rPr>
          <w:rFonts w:ascii="Abadi" w:hAnsi="Abadi" w:cs="Arial"/>
          <w:sz w:val="21"/>
          <w:szCs w:val="21"/>
        </w:rPr>
        <w:t>En lo referente al rubro de identificación de operaciones con Empresas que Facturan Operaciones Simuladas (EFOS) u operaciones inexistentes se refiere que como parte de la planeación de la auditoría se realizaron procedimientos analíticos a las personas físicas y/o morales con las que la administración pública municipal de Irapuato, Gto., celebró operaciones; entre los procedimientos expuestos, se verificó que estas no se encontraran en el listado de Empresas que Facturan Operaciones Simuladas (EFOS) u operaciones inexistentes con el carácter de «</w:t>
      </w:r>
      <w:r w:rsidRPr="006B3E22">
        <w:rPr>
          <w:rFonts w:ascii="Abadi" w:hAnsi="Abadi" w:cs="Arial"/>
          <w:i/>
          <w:iCs/>
          <w:sz w:val="21"/>
          <w:szCs w:val="21"/>
        </w:rPr>
        <w:t>Definitivos»</w:t>
      </w:r>
      <w:r w:rsidRPr="006B3E22">
        <w:rPr>
          <w:rFonts w:ascii="Abadi" w:hAnsi="Abadi" w:cs="Arial"/>
          <w:sz w:val="21"/>
          <w:szCs w:val="21"/>
        </w:rPr>
        <w:t xml:space="preserve"> publicados en el Diario Oficial de la Federación y en el sitio de información estadística del Servicio de Administración Tributaria, concluyendo que no se identificaron empresas clasificadas como EFOS.</w:t>
      </w:r>
    </w:p>
    <w:p w14:paraId="2575CE2B" w14:textId="77777777" w:rsidR="006B3E22" w:rsidRPr="006B3E22" w:rsidRDefault="006B3E22" w:rsidP="006B3E22">
      <w:pPr>
        <w:ind w:firstLine="705"/>
        <w:jc w:val="both"/>
        <w:rPr>
          <w:rFonts w:ascii="Abadi" w:hAnsi="Abadi" w:cs="Arial"/>
          <w:sz w:val="21"/>
          <w:szCs w:val="21"/>
        </w:rPr>
      </w:pPr>
    </w:p>
    <w:p w14:paraId="33730C55" w14:textId="77777777" w:rsidR="006B3E22" w:rsidRPr="006B3E22" w:rsidRDefault="006B3E22" w:rsidP="001A28E5">
      <w:pPr>
        <w:numPr>
          <w:ilvl w:val="0"/>
          <w:numId w:val="88"/>
        </w:numPr>
        <w:tabs>
          <w:tab w:val="num" w:pos="0"/>
        </w:tabs>
        <w:jc w:val="both"/>
        <w:rPr>
          <w:rFonts w:ascii="Abadi" w:hAnsi="Abadi" w:cs="Arial"/>
          <w:b/>
          <w:bCs/>
          <w:sz w:val="21"/>
          <w:szCs w:val="21"/>
        </w:rPr>
      </w:pPr>
      <w:r w:rsidRPr="006B3E22">
        <w:rPr>
          <w:rFonts w:ascii="Abadi" w:hAnsi="Abadi" w:cs="Arial"/>
          <w:b/>
          <w:bCs/>
          <w:sz w:val="21"/>
          <w:szCs w:val="21"/>
        </w:rPr>
        <w:t xml:space="preserve">Observaciones y recomendaciones, la respuesta emitida por el sujeto fiscalizado y la valoración correspondiente. </w:t>
      </w:r>
    </w:p>
    <w:p w14:paraId="5FACE202" w14:textId="77777777" w:rsidR="006B3E22" w:rsidRPr="006B3E22" w:rsidRDefault="006B3E22" w:rsidP="006B3E22">
      <w:pPr>
        <w:ind w:left="1065"/>
        <w:jc w:val="both"/>
        <w:rPr>
          <w:rFonts w:ascii="Abadi" w:hAnsi="Abadi" w:cs="Arial"/>
          <w:b/>
          <w:bCs/>
          <w:sz w:val="21"/>
          <w:szCs w:val="21"/>
        </w:rPr>
      </w:pPr>
    </w:p>
    <w:p w14:paraId="06674B5C" w14:textId="77777777" w:rsidR="006B3E22" w:rsidRPr="006B3E22" w:rsidRDefault="006B3E22" w:rsidP="006B3E22">
      <w:pPr>
        <w:ind w:firstLine="705"/>
        <w:jc w:val="both"/>
        <w:rPr>
          <w:rFonts w:ascii="Abadi" w:hAnsi="Abadi" w:cs="Arial"/>
          <w:sz w:val="21"/>
          <w:szCs w:val="21"/>
          <w:lang w:val="es-MX"/>
        </w:rPr>
      </w:pPr>
      <w:r w:rsidRPr="006B3E22">
        <w:rPr>
          <w:rFonts w:ascii="Abadi" w:hAnsi="Abadi" w:cs="Arial"/>
          <w:sz w:val="21"/>
          <w:szCs w:val="21"/>
          <w:lang w:val="es-MX"/>
        </w:rPr>
        <w:t>En esta parte se desglosa la valoración de las observaciones y recomendaciones formuladas por el Órgano Técnico, considerando como no solventadas las observaciones plasmadas en los numerales 001, referente a cantidades de obra. Contrato EMC-SE-0368-19-032. (1 de 2); 002, correspondiente a precio unitario. Contrato EMC-SE-0368-19-032. (2 de 2); 003, relativo a cantidades de obra. Contrato EMC-SE-2806-19-044. (1 de 2); 004, referido a precio unitario. Contrato EMC-SE-2806-19-044. (2 de 2); 005, referente a precio unitario. Contrato EMC-SE-0050-19-045; 006, correspondiente a cantidades de obra. Contrato EMC-SE-2806-20-007; 007, relativo a cantidades de obra. Contrato EMC-SE-1466-20-012. (1 de 2); 008, referido a precio unitario. Contrato EMC-SE-1466-20-012. (2 de 2); 009, referente a cantidades de obra. Contrato EMC-SE-0771-20-015; 010, correspondiente a cantidades de obra. Contrato RM-EG-0685-20-017; 011, relativo a cantidades de obra. Contrato RM-EG-0685-20-018. (1 de 2); 012, referido a precio unitario. Contrato RM-EG-0685-20-018. (2 de 2); 013, referente a cantidades de obra. Contrato RM-EG-0685-20-019. (1 de 2); 014, correspondiente a precio unitario. Contrato RM-EG-0685-20-019. (2 de 2); 015, relativo a cantidades de obra. Contrato RM-EG-0050-20-023. (1 de 2); 016, referido a precio unitario. Contrato RM-EG-0050-20-023. (2 de 2); 017, referente a cantidades de obra. Contrato RM-EG-0050-20-024. (1 de 2); 018, correspondiente a precio unitario. Contrato RM-EG-0050-20-024. (2 de 2); 019, relativo a cantidades de obra. Contrato RM-EG-0050-20-025; 020, referido a cantidades de obra. Contrato RM-EG-0050-20-026; 021, referente a cantidades de obra. Contrato RM-EG-1323-20-027; 022, correspondiente a cantidades de obra. Contrato RM-EG-1323-20-028; 023, relativo a costos indirectos. Contrato RM-EG-0685-20-042; 024, referido a precio unitario. Contrato RM-EG-1323-20-043. (1 de 2); y 025, referente a planeación y ejecución de obra. Contrato RM-EG-1323-20-043. (2 de 2).</w:t>
      </w:r>
    </w:p>
    <w:p w14:paraId="43C2B9BA" w14:textId="77777777" w:rsidR="006B3E22" w:rsidRPr="006B3E22" w:rsidRDefault="006B3E22" w:rsidP="006B3E22">
      <w:pPr>
        <w:ind w:firstLine="705"/>
        <w:jc w:val="both"/>
        <w:rPr>
          <w:rFonts w:ascii="Abadi" w:hAnsi="Abadi" w:cs="Arial"/>
          <w:sz w:val="21"/>
          <w:szCs w:val="21"/>
          <w:lang w:val="es-MX"/>
        </w:rPr>
      </w:pPr>
    </w:p>
    <w:p w14:paraId="12B38137" w14:textId="06A8A854" w:rsidR="006B3E22" w:rsidRPr="006B3E22" w:rsidRDefault="006B3E22" w:rsidP="00A60466">
      <w:pPr>
        <w:ind w:firstLine="705"/>
        <w:jc w:val="both"/>
        <w:rPr>
          <w:rFonts w:ascii="Abadi" w:hAnsi="Abadi" w:cs="Arial"/>
          <w:sz w:val="21"/>
          <w:szCs w:val="21"/>
          <w:lang w:val="es-MX"/>
        </w:rPr>
      </w:pPr>
      <w:r w:rsidRPr="006B3E22">
        <w:rPr>
          <w:rFonts w:ascii="Abadi" w:hAnsi="Abadi" w:cs="Arial"/>
          <w:sz w:val="21"/>
          <w:szCs w:val="21"/>
          <w:lang w:val="es-MX"/>
        </w:rPr>
        <w:t xml:space="preserve">En el apartado de Recomendaciones Generales, se atendieron los numerales 001, correspondiente a cantidades de obra. Contrato EMC-SE-3216-20-005. (1 de 2); 002, relativo a precio unitario. Contrato EMC-SE-3216-20-005. (2 de 2); 003, referido a precio unitario. Contrato EMC-SE-1466-20-012; y 009, referente a cantidades de obra. Contrato RM-EG-1323-20-027; y no se atendieron los numerales 004, correspondiente a precio unitario.  Contrato ISM-SE-0002-20-018; 005, relativo a cantidades de obra. Contrato EMC-SE-0771-20-015; 006, referido a cantidades de obra. Contrato RM-EG-0685-20-018; 007, referente a cantidades de obra. Contrato RM-EG-0685-20-019; 008, correspondiente a precio unitario. Contrato RM-EG-0050-20-024; 010, relativo a cantidades de obra. Contrato RM-EG-1323-20-028; 011, referido a costos indirectos. Contrato RM-EG-0685-20-042; y 012, referente a contrato de usufructo. </w:t>
      </w:r>
    </w:p>
    <w:p w14:paraId="0B70D9D9" w14:textId="77777777" w:rsidR="006B3E22" w:rsidRPr="006B3E22" w:rsidRDefault="006B3E22" w:rsidP="006B3E22">
      <w:pPr>
        <w:ind w:firstLine="705"/>
        <w:jc w:val="both"/>
        <w:rPr>
          <w:rFonts w:ascii="Abadi" w:hAnsi="Abadi" w:cs="Arial"/>
          <w:sz w:val="21"/>
          <w:szCs w:val="21"/>
          <w:lang w:val="es-MX"/>
        </w:rPr>
      </w:pPr>
    </w:p>
    <w:p w14:paraId="03621C86" w14:textId="77777777" w:rsidR="006B3E22" w:rsidRPr="006B3E22" w:rsidRDefault="006B3E22" w:rsidP="006B3E22">
      <w:pPr>
        <w:ind w:firstLine="705"/>
        <w:jc w:val="both"/>
        <w:rPr>
          <w:rFonts w:ascii="Abadi" w:hAnsi="Abadi" w:cs="Arial"/>
          <w:sz w:val="21"/>
          <w:szCs w:val="21"/>
          <w:lang w:val="es-MX"/>
        </w:rPr>
      </w:pPr>
    </w:p>
    <w:p w14:paraId="65ECE71E" w14:textId="77777777" w:rsidR="006B3E22" w:rsidRPr="006B3E22" w:rsidRDefault="006B3E22" w:rsidP="001A28E5">
      <w:pPr>
        <w:numPr>
          <w:ilvl w:val="0"/>
          <w:numId w:val="88"/>
        </w:numPr>
        <w:jc w:val="both"/>
        <w:rPr>
          <w:rFonts w:ascii="Abadi" w:hAnsi="Abadi" w:cs="Arial"/>
          <w:b/>
          <w:bCs/>
          <w:sz w:val="21"/>
          <w:szCs w:val="21"/>
          <w:lang w:val="es-MX"/>
        </w:rPr>
      </w:pPr>
      <w:r w:rsidRPr="006B3E22">
        <w:rPr>
          <w:rFonts w:ascii="Abadi" w:hAnsi="Abadi" w:cs="Arial"/>
          <w:b/>
          <w:bCs/>
          <w:sz w:val="21"/>
          <w:szCs w:val="21"/>
          <w:lang w:val="es-MX"/>
        </w:rPr>
        <w:t xml:space="preserve">Promoción del ejercicio de facultades de comprobación fiscal. </w:t>
      </w:r>
    </w:p>
    <w:p w14:paraId="4C6B4AB5" w14:textId="77777777" w:rsidR="006B3E22" w:rsidRPr="006B3E22" w:rsidRDefault="006B3E22" w:rsidP="006B3E22">
      <w:pPr>
        <w:ind w:firstLine="705"/>
        <w:jc w:val="both"/>
        <w:rPr>
          <w:rFonts w:ascii="Abadi" w:hAnsi="Abadi" w:cs="Arial"/>
          <w:sz w:val="21"/>
          <w:szCs w:val="21"/>
        </w:rPr>
      </w:pPr>
    </w:p>
    <w:p w14:paraId="4B1DCF4E" w14:textId="77777777" w:rsidR="006B3E22" w:rsidRPr="006B3E22" w:rsidRDefault="006B3E22" w:rsidP="006B3E22">
      <w:pPr>
        <w:ind w:firstLine="705"/>
        <w:jc w:val="both"/>
        <w:rPr>
          <w:rFonts w:ascii="Abadi" w:hAnsi="Abadi" w:cs="Arial"/>
          <w:sz w:val="21"/>
          <w:szCs w:val="21"/>
          <w:lang w:val="es-MX"/>
        </w:rPr>
      </w:pPr>
      <w:r w:rsidRPr="006B3E22">
        <w:rPr>
          <w:rFonts w:ascii="Abadi" w:hAnsi="Abadi" w:cs="Arial"/>
          <w:sz w:val="21"/>
          <w:szCs w:val="21"/>
          <w:lang w:val="es-MX"/>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51A6BD19" w14:textId="77777777" w:rsidR="006B3E22" w:rsidRPr="006B3E22" w:rsidRDefault="006B3E22" w:rsidP="006B3E22">
      <w:pPr>
        <w:ind w:firstLine="705"/>
        <w:jc w:val="both"/>
        <w:rPr>
          <w:rFonts w:ascii="Abadi" w:hAnsi="Abadi" w:cs="Arial"/>
          <w:sz w:val="21"/>
          <w:szCs w:val="21"/>
          <w:lang w:val="es-MX"/>
        </w:rPr>
      </w:pPr>
    </w:p>
    <w:p w14:paraId="04B15927" w14:textId="77777777" w:rsidR="006B3E22" w:rsidRPr="006B3E22" w:rsidRDefault="006B3E22" w:rsidP="001A28E5">
      <w:pPr>
        <w:numPr>
          <w:ilvl w:val="0"/>
          <w:numId w:val="88"/>
        </w:numPr>
        <w:jc w:val="both"/>
        <w:rPr>
          <w:rFonts w:ascii="Abadi" w:hAnsi="Abadi" w:cs="Arial"/>
          <w:b/>
          <w:bCs/>
          <w:sz w:val="21"/>
          <w:szCs w:val="21"/>
          <w:lang w:val="es-MX"/>
        </w:rPr>
      </w:pPr>
      <w:r w:rsidRPr="006B3E22">
        <w:rPr>
          <w:rFonts w:ascii="Abadi" w:hAnsi="Abadi" w:cs="Arial"/>
          <w:b/>
          <w:bCs/>
          <w:sz w:val="21"/>
          <w:szCs w:val="21"/>
          <w:lang w:val="es-MX"/>
        </w:rPr>
        <w:t>Comunicado ante órganos de control y autoridades que administran padrones de proveedores y contratistas.</w:t>
      </w:r>
    </w:p>
    <w:p w14:paraId="22B5E451" w14:textId="77777777" w:rsidR="006B3E22" w:rsidRPr="006B3E22" w:rsidRDefault="006B3E22" w:rsidP="006B3E22">
      <w:pPr>
        <w:ind w:firstLine="705"/>
        <w:jc w:val="both"/>
        <w:rPr>
          <w:rFonts w:ascii="Abadi" w:hAnsi="Abadi" w:cs="Arial"/>
          <w:sz w:val="21"/>
          <w:szCs w:val="21"/>
        </w:rPr>
      </w:pPr>
    </w:p>
    <w:p w14:paraId="3704C547" w14:textId="77777777" w:rsidR="006B3E22" w:rsidRPr="006B3E22" w:rsidRDefault="006B3E22" w:rsidP="006B3E22">
      <w:pPr>
        <w:ind w:firstLine="705"/>
        <w:jc w:val="both"/>
        <w:rPr>
          <w:rFonts w:ascii="Abadi" w:hAnsi="Abadi" w:cs="Arial"/>
          <w:sz w:val="21"/>
          <w:szCs w:val="21"/>
          <w:lang w:val="es-MX"/>
        </w:rPr>
      </w:pPr>
      <w:r w:rsidRPr="006B3E22">
        <w:rPr>
          <w:rFonts w:ascii="Abadi" w:hAnsi="Abadi" w:cs="Arial"/>
          <w:sz w:val="21"/>
          <w:szCs w:val="21"/>
          <w:lang w:val="es-MX"/>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auditoría, es procedente hacer del conocimiento del Órgano Interno de Control de Irapuato, Gto., y de la Secretaría de Infraestructura, Conectividad y Movilidad, del Estado, las presuntas irregularidades o incumplimientos de estos en contrataciones públicas detectadas durante la auditoría, precisando los contratistas y las observaciones de las que se desprende su intervención.</w:t>
      </w:r>
    </w:p>
    <w:p w14:paraId="4D110411" w14:textId="77777777" w:rsidR="006B3E22" w:rsidRPr="006B3E22" w:rsidRDefault="006B3E22" w:rsidP="006B3E22">
      <w:pPr>
        <w:ind w:firstLine="705"/>
        <w:jc w:val="both"/>
        <w:rPr>
          <w:rFonts w:ascii="Abadi" w:hAnsi="Abadi" w:cs="Arial"/>
          <w:sz w:val="21"/>
          <w:szCs w:val="21"/>
          <w:lang w:val="es-MX"/>
        </w:rPr>
      </w:pPr>
    </w:p>
    <w:p w14:paraId="20D5E0C3" w14:textId="77777777" w:rsidR="006B3E22" w:rsidRPr="006B3E22" w:rsidRDefault="006B3E22" w:rsidP="001A28E5">
      <w:pPr>
        <w:numPr>
          <w:ilvl w:val="0"/>
          <w:numId w:val="88"/>
        </w:numPr>
        <w:jc w:val="both"/>
        <w:rPr>
          <w:rFonts w:ascii="Abadi" w:hAnsi="Abadi" w:cs="Arial"/>
          <w:b/>
          <w:bCs/>
          <w:sz w:val="21"/>
          <w:szCs w:val="21"/>
        </w:rPr>
      </w:pPr>
      <w:r w:rsidRPr="006B3E22">
        <w:rPr>
          <w:rFonts w:ascii="Abadi" w:hAnsi="Abadi" w:cs="Arial"/>
          <w:b/>
          <w:bCs/>
          <w:sz w:val="21"/>
          <w:szCs w:val="21"/>
        </w:rPr>
        <w:t xml:space="preserve">Recurso de Reconsideración. </w:t>
      </w:r>
    </w:p>
    <w:p w14:paraId="481C517C" w14:textId="77777777" w:rsidR="006B3E22" w:rsidRPr="006B3E22" w:rsidRDefault="006B3E22" w:rsidP="006B3E22">
      <w:pPr>
        <w:ind w:left="705"/>
        <w:jc w:val="both"/>
        <w:rPr>
          <w:rFonts w:ascii="Abadi" w:hAnsi="Abadi" w:cs="Arial"/>
          <w:b/>
          <w:bCs/>
          <w:sz w:val="21"/>
          <w:szCs w:val="21"/>
        </w:rPr>
      </w:pPr>
    </w:p>
    <w:p w14:paraId="016EE82E" w14:textId="77777777" w:rsidR="006B3E22" w:rsidRPr="006B3E22" w:rsidRDefault="006B3E22" w:rsidP="006B3E22">
      <w:pPr>
        <w:ind w:firstLine="705"/>
        <w:jc w:val="both"/>
        <w:rPr>
          <w:rFonts w:ascii="Abadi" w:hAnsi="Abadi" w:cs="Arial"/>
          <w:sz w:val="21"/>
          <w:szCs w:val="21"/>
          <w:lang w:val="es-MX"/>
        </w:rPr>
      </w:pPr>
      <w:r w:rsidRPr="006B3E22">
        <w:rPr>
          <w:rFonts w:ascii="Abadi" w:hAnsi="Abadi" w:cs="Arial"/>
          <w:sz w:val="21"/>
          <w:szCs w:val="21"/>
        </w:rPr>
        <w:t xml:space="preserve">El 29 de abril de 2022, dentro del plazo que prevé la fracción IV del artículo 37 de </w:t>
      </w:r>
      <w:smartTag w:uri="urn:schemas-microsoft-com:office:smarttags" w:element="PersonName">
        <w:smartTagPr>
          <w:attr w:name="ProductID" w:val="la Ley"/>
        </w:smartTagPr>
        <w:r w:rsidRPr="006B3E22">
          <w:rPr>
            <w:rFonts w:ascii="Abadi" w:hAnsi="Abadi" w:cs="Arial"/>
            <w:sz w:val="21"/>
            <w:szCs w:val="21"/>
          </w:rPr>
          <w:t>la Ley</w:t>
        </w:r>
      </w:smartTag>
      <w:r w:rsidRPr="006B3E22">
        <w:rPr>
          <w:rFonts w:ascii="Abadi" w:hAnsi="Abadi" w:cs="Arial"/>
          <w:sz w:val="21"/>
          <w:szCs w:val="21"/>
        </w:rPr>
        <w:t xml:space="preserve"> de Fiscalización Superior del Estado de Guanajuato, el tesorero</w:t>
      </w:r>
      <w:r w:rsidRPr="006B3E22">
        <w:rPr>
          <w:rFonts w:ascii="Abadi" w:hAnsi="Abadi" w:cs="Arial"/>
          <w:sz w:val="21"/>
          <w:szCs w:val="21"/>
          <w:lang w:val="es-MX"/>
        </w:rPr>
        <w:t xml:space="preserve"> municipal de Irapuato, Gto., </w:t>
      </w:r>
      <w:r w:rsidRPr="006B3E22">
        <w:rPr>
          <w:rFonts w:ascii="Abadi" w:hAnsi="Abadi" w:cs="Arial"/>
          <w:sz w:val="21"/>
          <w:szCs w:val="21"/>
        </w:rPr>
        <w:t xml:space="preserve">interpuso recurso de reconsideración en contra del informe de resultados de la auditoría practicada </w:t>
      </w:r>
      <w:r w:rsidRPr="006B3E22">
        <w:rPr>
          <w:rFonts w:ascii="Abadi" w:hAnsi="Abadi" w:cs="Arial"/>
          <w:sz w:val="21"/>
          <w:szCs w:val="21"/>
          <w:lang w:val="es-MX"/>
        </w:rPr>
        <w:t>a la infraestructura pública municipal respecto de las operaciones realizadas por la administración municipal de Irapuato, Gto., correspondientes al periodo comprendido del 1 de enero al 31 de diciembre del ejercicio fiscal del año 2020</w:t>
      </w:r>
      <w:r w:rsidRPr="006B3E22">
        <w:rPr>
          <w:rFonts w:ascii="Abadi" w:hAnsi="Abadi" w:cs="Arial"/>
          <w:sz w:val="21"/>
          <w:szCs w:val="21"/>
        </w:rPr>
        <w:t xml:space="preserve">, concretamente en contra de las observaciones contenidas en los numerales </w:t>
      </w:r>
      <w:r w:rsidRPr="006B3E22">
        <w:rPr>
          <w:rFonts w:ascii="Abadi" w:hAnsi="Abadi" w:cs="Arial"/>
          <w:sz w:val="21"/>
          <w:szCs w:val="21"/>
          <w:lang w:val="es-MX"/>
        </w:rPr>
        <w:t xml:space="preserve">010, correspondiente a cantidades de obra. Contrato RM-EG-0685-20-017; 015, relativo a cantidades de obra. Contrato RM-EG-0050-20-023. (1 de 2); 017, referido a cantidades de obra. Contrato RM-EG-0050-20-024. (1 de 2); 020, referente a cantidades de obra. Contrato RM-EG-0050-20-026; 022, correspondiente a cantidades de obra. Contrato RM-EG-1323-20-028; y 024, relativo a precio unitario. Contrato RM-EG-1323-20-043. (1 de 2); así como de la recomendación establecida en el numeral 012, referido a contrato de usufructo, </w:t>
      </w:r>
      <w:r w:rsidRPr="006B3E22">
        <w:rPr>
          <w:rFonts w:ascii="Abadi" w:hAnsi="Abadi" w:cs="Arial"/>
          <w:sz w:val="21"/>
          <w:szCs w:val="21"/>
        </w:rPr>
        <w:t>mismos que se encuentran relacionados con el Capítulo II, denominado Observaciones y Recomendaciones; Respuesta Emitida por el Sujeto</w:t>
      </w:r>
      <w:r w:rsidRPr="006B3E22">
        <w:rPr>
          <w:rFonts w:ascii="Abadi" w:hAnsi="Abadi" w:cs="Arial"/>
          <w:sz w:val="21"/>
          <w:szCs w:val="21"/>
          <w:lang w:val="es-MX"/>
        </w:rPr>
        <w:t xml:space="preserve"> Fiscalizado y Valoración Correspondiente del informe de resultados materia del presente dictamen. </w:t>
      </w:r>
    </w:p>
    <w:p w14:paraId="16CDCFEE" w14:textId="77777777" w:rsidR="006B3E22" w:rsidRPr="006B3E22" w:rsidRDefault="006B3E22" w:rsidP="006B3E22">
      <w:pPr>
        <w:ind w:firstLine="708"/>
        <w:jc w:val="both"/>
        <w:rPr>
          <w:rFonts w:ascii="Abadi" w:hAnsi="Abadi" w:cs="Arial"/>
          <w:sz w:val="21"/>
          <w:szCs w:val="21"/>
          <w:lang w:val="es-MX"/>
        </w:rPr>
      </w:pPr>
    </w:p>
    <w:p w14:paraId="70AE9F2C"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 xml:space="preserve">En tal sentido, mediante acuerdo de fecha 6 de mayo de 2022, emitido por el Director General de Asuntos Jurídicos de la Auditoría Superior del Estado de Guanajuato, se admitió el recurso de reconsideración, al colmarse los requisitos de procedibilidad previstos por el artículo 51 de </w:t>
      </w:r>
      <w:smartTag w:uri="urn:schemas-microsoft-com:office:smarttags" w:element="PersonName">
        <w:smartTagPr>
          <w:attr w:name="ProductID" w:val="la Ley"/>
        </w:smartTagPr>
        <w:r w:rsidRPr="006B3E22">
          <w:rPr>
            <w:rFonts w:ascii="Abadi" w:hAnsi="Abadi" w:cs="Arial"/>
            <w:sz w:val="21"/>
            <w:szCs w:val="21"/>
            <w:lang w:val="es-MX"/>
          </w:rPr>
          <w:t>la Ley</w:t>
        </w:r>
      </w:smartTag>
      <w:r w:rsidRPr="006B3E22">
        <w:rPr>
          <w:rFonts w:ascii="Abadi" w:hAnsi="Abadi" w:cs="Arial"/>
          <w:sz w:val="21"/>
          <w:szCs w:val="21"/>
          <w:lang w:val="es-MX"/>
        </w:rPr>
        <w:t xml:space="preserve"> de Fiscalización Superior del Estado de Guanajuato, instruyendo la integración del expediente respectivo y el registro correspondiente. Asimismo, mediante dicho acuerdo se admitieron los medios de prueba ofrecidos por el recurrente, al tratarse de pruebas novedosas y supervenientes.</w:t>
      </w:r>
    </w:p>
    <w:p w14:paraId="761D4BC9" w14:textId="77777777" w:rsidR="006B3E22" w:rsidRPr="006B3E22" w:rsidRDefault="006B3E22" w:rsidP="006B3E22">
      <w:pPr>
        <w:ind w:firstLine="708"/>
        <w:jc w:val="both"/>
        <w:rPr>
          <w:rFonts w:ascii="Abadi" w:hAnsi="Abadi" w:cs="Arial"/>
          <w:sz w:val="21"/>
          <w:szCs w:val="21"/>
          <w:lang w:val="es-MX"/>
        </w:rPr>
      </w:pPr>
    </w:p>
    <w:p w14:paraId="5CF15CB9"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Una vez tramitado el recurso, el Auditor Superior del Estado, el 11 de mayo de 2022 emitió la resolución correspondiente, determinándose respecto a las observaciones plasmadas en los numerales 010, 015, 017, 020 y 022, que los argumentos hechos valer por el recurrente resultaron infundados e inoperantes, de acuerdo a lo expresado en el considerando séptimo de la resolución. En consecuencia, se confirmó el sentido de la valoración de las observaciones como no solventadas, con acciones de impacto económico pendientes de realizar por el sujeto fiscalizado.</w:t>
      </w:r>
    </w:p>
    <w:p w14:paraId="327F050B" w14:textId="77777777" w:rsidR="006B3E22" w:rsidRPr="006B3E22" w:rsidRDefault="006B3E22" w:rsidP="006B3E22">
      <w:pPr>
        <w:ind w:firstLine="708"/>
        <w:jc w:val="both"/>
        <w:rPr>
          <w:rFonts w:ascii="Abadi" w:hAnsi="Abadi" w:cs="Arial"/>
          <w:sz w:val="21"/>
          <w:szCs w:val="21"/>
          <w:lang w:val="es-MX"/>
        </w:rPr>
      </w:pPr>
    </w:p>
    <w:p w14:paraId="4DF136AF" w14:textId="77777777" w:rsidR="006B3E22" w:rsidRPr="006B3E22" w:rsidRDefault="006B3E22" w:rsidP="006B3E22">
      <w:pPr>
        <w:ind w:firstLine="708"/>
        <w:jc w:val="both"/>
        <w:rPr>
          <w:rFonts w:ascii="Abadi" w:hAnsi="Abadi"/>
          <w:sz w:val="21"/>
          <w:szCs w:val="21"/>
          <w:lang w:val="es-MX"/>
        </w:rPr>
      </w:pPr>
      <w:r w:rsidRPr="006B3E22">
        <w:rPr>
          <w:rFonts w:ascii="Abadi" w:hAnsi="Abadi" w:cs="Arial"/>
          <w:sz w:val="21"/>
          <w:szCs w:val="21"/>
          <w:lang w:val="es-MX"/>
        </w:rPr>
        <w:t>En cuanto a la observación establecida en el numeral 024, se resolvió que el agravio hecho valer por el recurrente resultó inoperante, por las razones expresadas en el considerando séptimo de la resolución. En tal sentido, se confirmó el sentido de la valoración de la observación como no solventada, con acciones correctivas y de impacto económico pendientes de realizar por el sujeto fiscalizado.</w:t>
      </w:r>
    </w:p>
    <w:p w14:paraId="39CBC08D" w14:textId="77777777" w:rsidR="006B3E22" w:rsidRPr="006B3E22" w:rsidRDefault="006B3E22" w:rsidP="006B3E22">
      <w:pPr>
        <w:ind w:firstLine="708"/>
        <w:jc w:val="both"/>
        <w:rPr>
          <w:rFonts w:ascii="Abadi" w:hAnsi="Abadi" w:cs="Arial"/>
          <w:sz w:val="21"/>
          <w:szCs w:val="21"/>
          <w:lang w:val="es-MX"/>
        </w:rPr>
      </w:pPr>
    </w:p>
    <w:p w14:paraId="58A6A70E"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Finalmente, por lo que hace a la recomendación establecida en el numeral 012, se determinó que la documental aportada por el recurrente resultó insuficiente para modificar el sentido de su valoración, por los argumentos referidos en el considerando séptimo de la resolución. En razón de lo anterior se confirmó el sentido de la valoración de la recomendación como no atendida.</w:t>
      </w:r>
    </w:p>
    <w:p w14:paraId="0C63A905" w14:textId="77777777" w:rsidR="006B3E22" w:rsidRPr="006B3E22" w:rsidRDefault="006B3E22" w:rsidP="006B3E22">
      <w:pPr>
        <w:ind w:firstLine="708"/>
        <w:jc w:val="both"/>
        <w:rPr>
          <w:rFonts w:ascii="Abadi" w:hAnsi="Abadi" w:cs="Arial"/>
          <w:sz w:val="21"/>
          <w:szCs w:val="21"/>
          <w:lang w:val="es-MX"/>
        </w:rPr>
      </w:pPr>
    </w:p>
    <w:p w14:paraId="6657CBA1"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La referida resolución se notificó al tesorero municipal de Irapuato, Gto., el 11 de mayo de 2022.</w:t>
      </w:r>
    </w:p>
    <w:p w14:paraId="512BBCC6" w14:textId="77777777" w:rsidR="006B3E22" w:rsidRPr="006B3E22" w:rsidRDefault="006B3E22" w:rsidP="006B3E22">
      <w:pPr>
        <w:ind w:firstLine="708"/>
        <w:jc w:val="both"/>
        <w:rPr>
          <w:rFonts w:ascii="Abadi" w:hAnsi="Abadi" w:cs="Arial"/>
          <w:sz w:val="21"/>
          <w:szCs w:val="21"/>
          <w:lang w:val="es-MX"/>
        </w:rPr>
      </w:pPr>
    </w:p>
    <w:p w14:paraId="15F5D73E" w14:textId="77777777" w:rsidR="006B3E22" w:rsidRPr="006B3E22" w:rsidRDefault="006B3E22" w:rsidP="001A28E5">
      <w:pPr>
        <w:numPr>
          <w:ilvl w:val="0"/>
          <w:numId w:val="88"/>
        </w:numPr>
        <w:jc w:val="both"/>
        <w:rPr>
          <w:rFonts w:ascii="Abadi" w:hAnsi="Abadi" w:cs="Arial"/>
          <w:b/>
          <w:bCs/>
          <w:sz w:val="21"/>
          <w:szCs w:val="21"/>
          <w:lang w:val="es-MX"/>
        </w:rPr>
      </w:pPr>
      <w:r w:rsidRPr="006B3E22">
        <w:rPr>
          <w:rFonts w:ascii="Abadi" w:hAnsi="Abadi" w:cs="Arial"/>
          <w:b/>
          <w:bCs/>
          <w:sz w:val="21"/>
          <w:szCs w:val="21"/>
          <w:lang w:val="es-MX"/>
        </w:rPr>
        <w:t xml:space="preserve">Anexos. </w:t>
      </w:r>
    </w:p>
    <w:p w14:paraId="134F1ACD" w14:textId="77777777" w:rsidR="006B3E22" w:rsidRPr="006B3E22" w:rsidRDefault="006B3E22" w:rsidP="006B3E22">
      <w:pPr>
        <w:ind w:firstLine="705"/>
        <w:jc w:val="both"/>
        <w:rPr>
          <w:rFonts w:ascii="Abadi" w:hAnsi="Abadi" w:cs="Arial"/>
          <w:sz w:val="21"/>
          <w:szCs w:val="21"/>
        </w:rPr>
      </w:pPr>
    </w:p>
    <w:p w14:paraId="5CC3E391" w14:textId="77777777" w:rsidR="006B3E22" w:rsidRPr="006B3E22" w:rsidRDefault="006B3E22" w:rsidP="006B3E22">
      <w:pPr>
        <w:ind w:firstLine="705"/>
        <w:jc w:val="both"/>
        <w:rPr>
          <w:rFonts w:ascii="Abadi" w:hAnsi="Abadi" w:cs="Arial"/>
          <w:sz w:val="21"/>
          <w:szCs w:val="21"/>
        </w:rPr>
      </w:pPr>
      <w:r w:rsidRPr="006B3E22">
        <w:rPr>
          <w:rFonts w:ascii="Abadi" w:hAnsi="Abadi" w:cs="Arial"/>
          <w:sz w:val="21"/>
          <w:szCs w:val="21"/>
        </w:rPr>
        <w:t>En esta parte, se adjuntan los anexos técnicos derivados de la auditoría.</w:t>
      </w:r>
    </w:p>
    <w:p w14:paraId="61FE1B3F" w14:textId="77777777" w:rsidR="006B3E22" w:rsidRPr="006B3E22" w:rsidRDefault="006B3E22" w:rsidP="006B3E22">
      <w:pPr>
        <w:ind w:firstLine="705"/>
        <w:jc w:val="both"/>
        <w:rPr>
          <w:rFonts w:ascii="Abadi" w:hAnsi="Abadi" w:cs="Arial"/>
          <w:sz w:val="21"/>
          <w:szCs w:val="21"/>
        </w:rPr>
      </w:pPr>
    </w:p>
    <w:p w14:paraId="6C683D77" w14:textId="77777777" w:rsidR="006B3E22" w:rsidRPr="006B3E22" w:rsidRDefault="006B3E22" w:rsidP="006B3E22">
      <w:pPr>
        <w:ind w:firstLine="705"/>
        <w:jc w:val="both"/>
        <w:rPr>
          <w:rFonts w:ascii="Abadi" w:hAnsi="Abadi" w:cs="Arial"/>
          <w:sz w:val="21"/>
          <w:szCs w:val="21"/>
        </w:rPr>
      </w:pPr>
    </w:p>
    <w:p w14:paraId="760AE88D" w14:textId="77777777" w:rsidR="006B3E22" w:rsidRPr="006B3E22" w:rsidRDefault="006B3E22" w:rsidP="006B3E22">
      <w:pPr>
        <w:ind w:firstLine="708"/>
        <w:jc w:val="both"/>
        <w:rPr>
          <w:rFonts w:ascii="Abadi" w:hAnsi="Abadi" w:cs="Arial"/>
          <w:b/>
          <w:bCs/>
          <w:sz w:val="21"/>
          <w:szCs w:val="21"/>
          <w:lang w:val="es-MX"/>
        </w:rPr>
      </w:pPr>
      <w:r w:rsidRPr="006B3E22">
        <w:rPr>
          <w:rFonts w:ascii="Abadi" w:hAnsi="Abadi" w:cs="Arial"/>
          <w:b/>
          <w:bCs/>
          <w:sz w:val="21"/>
          <w:szCs w:val="21"/>
          <w:lang w:val="es-MX"/>
        </w:rPr>
        <w:t>V. Conclusiones:</w:t>
      </w:r>
    </w:p>
    <w:p w14:paraId="1B885FD6" w14:textId="77777777" w:rsidR="006B3E22" w:rsidRPr="006B3E22" w:rsidRDefault="006B3E22" w:rsidP="006B3E22">
      <w:pPr>
        <w:jc w:val="both"/>
        <w:rPr>
          <w:rFonts w:ascii="Abadi" w:hAnsi="Abadi" w:cs="Arial"/>
          <w:sz w:val="21"/>
          <w:szCs w:val="21"/>
          <w:lang w:val="es-MX"/>
        </w:rPr>
      </w:pPr>
    </w:p>
    <w:p w14:paraId="59D15CE6" w14:textId="77777777" w:rsidR="006B3E22" w:rsidRPr="006B3E22" w:rsidRDefault="006B3E22" w:rsidP="006B3E22">
      <w:pPr>
        <w:jc w:val="both"/>
        <w:rPr>
          <w:rFonts w:ascii="Abadi" w:hAnsi="Abadi" w:cs="Arial"/>
          <w:sz w:val="21"/>
          <w:szCs w:val="21"/>
        </w:rPr>
      </w:pPr>
      <w:r w:rsidRPr="006B3E22">
        <w:rPr>
          <w:rFonts w:ascii="Abadi" w:hAnsi="Abadi" w:cs="Arial"/>
          <w:sz w:val="21"/>
          <w:szCs w:val="21"/>
          <w:lang w:val="es-MX"/>
        </w:rPr>
        <w:tab/>
      </w:r>
      <w:r w:rsidRPr="006B3E22">
        <w:rPr>
          <w:rFonts w:ascii="Abadi" w:hAnsi="Abadi" w:cs="Arial"/>
          <w:sz w:val="21"/>
          <w:szCs w:val="21"/>
        </w:rPr>
        <w:t xml:space="preserve">Como ya lo habíamos señalado en párrafos anteriores, el artículo 38 de </w:t>
      </w:r>
      <w:smartTag w:uri="urn:schemas-microsoft-com:office:smarttags" w:element="PersonName">
        <w:smartTagPr>
          <w:attr w:name="ProductID" w:val="la Ley"/>
        </w:smartTagPr>
        <w:r w:rsidRPr="006B3E22">
          <w:rPr>
            <w:rFonts w:ascii="Abadi" w:hAnsi="Abadi" w:cs="Arial"/>
            <w:sz w:val="21"/>
            <w:szCs w:val="21"/>
          </w:rPr>
          <w:t>la Ley</w:t>
        </w:r>
      </w:smartTag>
      <w:r w:rsidRPr="006B3E22">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4FE5BA52" w14:textId="77777777" w:rsidR="006B3E22" w:rsidRPr="006B3E22" w:rsidRDefault="006B3E22" w:rsidP="006B3E22">
      <w:pPr>
        <w:jc w:val="both"/>
        <w:rPr>
          <w:rFonts w:ascii="Abadi" w:hAnsi="Abadi" w:cs="Arial"/>
          <w:sz w:val="21"/>
          <w:szCs w:val="21"/>
        </w:rPr>
      </w:pPr>
    </w:p>
    <w:p w14:paraId="3B29C2AB" w14:textId="77777777" w:rsidR="006B3E22" w:rsidRPr="006B3E22" w:rsidRDefault="006B3E22" w:rsidP="006B3E22">
      <w:pPr>
        <w:jc w:val="both"/>
        <w:rPr>
          <w:rFonts w:ascii="Abadi" w:hAnsi="Abadi" w:cs="Arial"/>
          <w:sz w:val="21"/>
          <w:szCs w:val="21"/>
        </w:rPr>
      </w:pPr>
      <w:r w:rsidRPr="006B3E22">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4C1DDCA8" w14:textId="77777777" w:rsidR="006B3E22" w:rsidRPr="006B3E22" w:rsidRDefault="006B3E22" w:rsidP="006B3E22">
      <w:pPr>
        <w:jc w:val="both"/>
        <w:rPr>
          <w:rFonts w:ascii="Abadi" w:hAnsi="Abadi" w:cs="Arial"/>
          <w:sz w:val="21"/>
          <w:szCs w:val="21"/>
        </w:rPr>
      </w:pPr>
    </w:p>
    <w:p w14:paraId="30A6FE43" w14:textId="77777777" w:rsidR="006B3E22" w:rsidRPr="006B3E22" w:rsidRDefault="006B3E22" w:rsidP="006B3E22">
      <w:pPr>
        <w:ind w:firstLine="708"/>
        <w:jc w:val="both"/>
        <w:rPr>
          <w:rFonts w:ascii="Abadi" w:hAnsi="Abadi" w:cs="Arial"/>
          <w:sz w:val="21"/>
          <w:szCs w:val="21"/>
        </w:rPr>
      </w:pPr>
      <w:r w:rsidRPr="006B3E22">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auditoría a la presidenta y </w:t>
      </w:r>
      <w:r w:rsidRPr="006B3E22">
        <w:rPr>
          <w:rFonts w:ascii="Abadi" w:hAnsi="Abadi" w:cs="Arial"/>
          <w:sz w:val="21"/>
          <w:szCs w:val="21"/>
          <w:lang w:val="es-MX"/>
        </w:rPr>
        <w:t xml:space="preserve">al ex-presidente municipales de Irapuato, Gto., </w:t>
      </w:r>
      <w:r w:rsidRPr="006B3E22">
        <w:rPr>
          <w:rFonts w:ascii="Abadi" w:hAnsi="Abadi" w:cs="Arial"/>
          <w:sz w:val="21"/>
          <w:szCs w:val="21"/>
        </w:rPr>
        <w:t xml:space="preserve">concediéndoles el plazo que establece </w:t>
      </w:r>
      <w:smartTag w:uri="urn:schemas-microsoft-com:office:smarttags" w:element="PersonName">
        <w:smartTagPr>
          <w:attr w:name="ProductID" w:val="la Ley"/>
        </w:smartTagPr>
        <w:r w:rsidRPr="006B3E22">
          <w:rPr>
            <w:rFonts w:ascii="Abadi" w:hAnsi="Abadi" w:cs="Arial"/>
            <w:sz w:val="21"/>
            <w:szCs w:val="21"/>
          </w:rPr>
          <w:t>la Ley</w:t>
        </w:r>
      </w:smartTag>
      <w:r w:rsidRPr="006B3E22">
        <w:rPr>
          <w:rFonts w:ascii="Abadi" w:hAnsi="Abadi" w:cs="Arial"/>
          <w:sz w:val="21"/>
          <w:szCs w:val="21"/>
        </w:rPr>
        <w:t xml:space="preserve"> para aclarar, atender o solventar documentalmente las observaciones determinadas por el Órgano Técnico. Al respecto, el </w:t>
      </w:r>
      <w:r w:rsidRPr="006B3E22">
        <w:rPr>
          <w:rFonts w:ascii="Abadi" w:hAnsi="Abadi" w:cs="Arial"/>
          <w:sz w:val="21"/>
          <w:szCs w:val="21"/>
          <w:lang w:val="es-MX"/>
        </w:rPr>
        <w:t>ex-presidente, el tesorero y la presidenta municipales de Irapuato Gto., presentaron</w:t>
      </w:r>
      <w:r w:rsidRPr="006B3E22">
        <w:rPr>
          <w:rFonts w:ascii="Abadi" w:hAnsi="Abadi" w:cs="Arial"/>
          <w:sz w:val="21"/>
          <w:szCs w:val="21"/>
        </w:rPr>
        <w:t xml:space="preserve"> la información y documentación que consideraron suficiente para aclarar y en su caso, solventar las observaciones determinadas y atender las recomendaciones efectuadas.</w:t>
      </w:r>
    </w:p>
    <w:p w14:paraId="11751307" w14:textId="77777777" w:rsidR="006B3E22" w:rsidRPr="006B3E22" w:rsidRDefault="006B3E22" w:rsidP="006B3E22">
      <w:pPr>
        <w:jc w:val="both"/>
        <w:rPr>
          <w:rFonts w:ascii="Abadi" w:hAnsi="Abadi" w:cs="Arial"/>
          <w:sz w:val="21"/>
          <w:szCs w:val="21"/>
        </w:rPr>
      </w:pPr>
    </w:p>
    <w:p w14:paraId="5367C058" w14:textId="77777777" w:rsidR="006B3E22" w:rsidRPr="006B3E22" w:rsidRDefault="006B3E22" w:rsidP="006B3E22">
      <w:pPr>
        <w:ind w:firstLine="708"/>
        <w:jc w:val="both"/>
        <w:rPr>
          <w:rFonts w:ascii="Abadi" w:hAnsi="Abadi" w:cs="Arial"/>
          <w:sz w:val="21"/>
          <w:szCs w:val="21"/>
        </w:rPr>
      </w:pPr>
      <w:r w:rsidRPr="006B3E22">
        <w:rPr>
          <w:rFonts w:ascii="Abadi" w:hAnsi="Abadi" w:cs="Arial"/>
          <w:sz w:val="21"/>
          <w:szCs w:val="21"/>
        </w:rPr>
        <w:t xml:space="preserve">De igual manera, existe en el informe de resultados la constancia de que este se notificó a la presidenta y al ex-presidente municipales de Irapuato, Gto., concediéndoles el término señalado en el artículo 37, fracción IV de </w:t>
      </w:r>
      <w:smartTag w:uri="urn:schemas-microsoft-com:office:smarttags" w:element="PersonName">
        <w:smartTagPr>
          <w:attr w:name="ProductID" w:val="la Ley"/>
        </w:smartTagPr>
        <w:r w:rsidRPr="006B3E22">
          <w:rPr>
            <w:rFonts w:ascii="Abadi" w:hAnsi="Abadi" w:cs="Arial"/>
            <w:sz w:val="21"/>
            <w:szCs w:val="21"/>
          </w:rPr>
          <w:t>la Ley</w:t>
        </w:r>
      </w:smartTag>
      <w:r w:rsidRPr="006B3E22">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tesorero municipal de Irapuato, Gto. En tal virtud, se considera que fue respetado el derecho de audiencia o defensa por parte del Órgano Técnico.</w:t>
      </w:r>
    </w:p>
    <w:p w14:paraId="4E4AD0C7" w14:textId="77777777" w:rsidR="006B3E22" w:rsidRPr="006B3E22" w:rsidRDefault="006B3E22" w:rsidP="006B3E22">
      <w:pPr>
        <w:ind w:firstLine="708"/>
        <w:jc w:val="both"/>
        <w:rPr>
          <w:rFonts w:ascii="Abadi" w:hAnsi="Abadi" w:cs="Arial"/>
          <w:sz w:val="21"/>
          <w:szCs w:val="21"/>
        </w:rPr>
      </w:pPr>
    </w:p>
    <w:p w14:paraId="27382FD8" w14:textId="77777777" w:rsidR="006B3E22" w:rsidRPr="006B3E22" w:rsidRDefault="006B3E22" w:rsidP="006B3E22">
      <w:pPr>
        <w:ind w:firstLine="708"/>
        <w:jc w:val="both"/>
        <w:rPr>
          <w:rFonts w:ascii="Abadi" w:hAnsi="Abadi" w:cs="Arial"/>
          <w:sz w:val="21"/>
          <w:szCs w:val="21"/>
        </w:rPr>
      </w:pPr>
      <w:r w:rsidRPr="006B3E22">
        <w:rPr>
          <w:rFonts w:ascii="Abadi" w:hAnsi="Abadi" w:cs="Arial"/>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31904B3C" w14:textId="77777777" w:rsidR="006B3E22" w:rsidRPr="006B3E22" w:rsidRDefault="006B3E22" w:rsidP="006B3E22">
      <w:pPr>
        <w:ind w:firstLine="708"/>
        <w:jc w:val="both"/>
        <w:rPr>
          <w:rFonts w:ascii="Abadi" w:hAnsi="Abadi" w:cs="Arial"/>
          <w:sz w:val="21"/>
          <w:szCs w:val="21"/>
        </w:rPr>
      </w:pPr>
    </w:p>
    <w:p w14:paraId="07A30781" w14:textId="77777777" w:rsidR="006B3E22" w:rsidRPr="006B3E22" w:rsidRDefault="006B3E22" w:rsidP="006B3E22">
      <w:pPr>
        <w:ind w:firstLine="708"/>
        <w:jc w:val="both"/>
        <w:rPr>
          <w:rFonts w:ascii="Abadi" w:hAnsi="Abadi" w:cs="Arial"/>
          <w:sz w:val="21"/>
          <w:szCs w:val="21"/>
        </w:rPr>
      </w:pPr>
      <w:r w:rsidRPr="006B3E22">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14639703" w14:textId="77777777" w:rsidR="006B3E22" w:rsidRPr="006B3E22" w:rsidRDefault="006B3E22" w:rsidP="006B3E22">
      <w:pPr>
        <w:ind w:firstLine="708"/>
        <w:jc w:val="both"/>
        <w:rPr>
          <w:rFonts w:ascii="Abadi" w:hAnsi="Abadi" w:cs="Arial"/>
          <w:sz w:val="21"/>
          <w:szCs w:val="21"/>
        </w:rPr>
      </w:pPr>
    </w:p>
    <w:p w14:paraId="4BA51BF1" w14:textId="77777777" w:rsidR="006B3E22" w:rsidRPr="006B3E22" w:rsidRDefault="006B3E22" w:rsidP="006B3E22">
      <w:pPr>
        <w:ind w:firstLine="708"/>
        <w:jc w:val="both"/>
        <w:rPr>
          <w:rFonts w:ascii="Abadi" w:hAnsi="Abadi" w:cs="Arial"/>
          <w:sz w:val="21"/>
          <w:szCs w:val="21"/>
        </w:rPr>
      </w:pPr>
      <w:r w:rsidRPr="006B3E22">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recomendaciones no atendidas y a las observaciones no solventadas, contenidas en el informe de resultados.</w:t>
      </w:r>
    </w:p>
    <w:p w14:paraId="182DBBD4" w14:textId="77777777" w:rsidR="006B3E22" w:rsidRPr="006B3E22" w:rsidRDefault="006B3E22" w:rsidP="006B3E22">
      <w:pPr>
        <w:ind w:firstLine="708"/>
        <w:jc w:val="both"/>
        <w:rPr>
          <w:rFonts w:ascii="Abadi" w:hAnsi="Abadi" w:cs="Arial"/>
          <w:sz w:val="21"/>
          <w:szCs w:val="21"/>
        </w:rPr>
      </w:pPr>
    </w:p>
    <w:p w14:paraId="2D8B6E3D" w14:textId="77777777" w:rsidR="006B3E22" w:rsidRPr="006B3E22" w:rsidRDefault="006B3E22" w:rsidP="006B3E22">
      <w:pPr>
        <w:ind w:firstLine="708"/>
        <w:jc w:val="both"/>
        <w:rPr>
          <w:rFonts w:ascii="Abadi" w:hAnsi="Abadi" w:cs="Arial"/>
          <w:sz w:val="21"/>
          <w:szCs w:val="21"/>
        </w:rPr>
      </w:pPr>
      <w:r w:rsidRPr="006B3E22">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5910D2CE" w14:textId="77777777" w:rsidR="006B3E22" w:rsidRPr="006B3E22" w:rsidRDefault="006B3E22" w:rsidP="006B3E22">
      <w:pPr>
        <w:ind w:firstLine="708"/>
        <w:jc w:val="both"/>
        <w:rPr>
          <w:rFonts w:ascii="Abadi" w:hAnsi="Abadi" w:cs="Arial"/>
          <w:sz w:val="21"/>
          <w:szCs w:val="21"/>
        </w:rPr>
      </w:pPr>
      <w:r w:rsidRPr="006B3E22">
        <w:rPr>
          <w:rFonts w:ascii="Abadi" w:hAnsi="Abadi" w:cs="Arial"/>
          <w:sz w:val="21"/>
          <w:szCs w:val="21"/>
        </w:rPr>
        <w:t xml:space="preserve">En razón de lo anteriormente señalado, concluimos que el informe de resultados de la auditoría practicada </w:t>
      </w:r>
      <w:r w:rsidRPr="006B3E22">
        <w:rPr>
          <w:rFonts w:ascii="Abadi" w:hAnsi="Abadi" w:cs="Arial"/>
          <w:sz w:val="21"/>
          <w:szCs w:val="21"/>
          <w:lang w:val="es-MX"/>
        </w:rPr>
        <w:t xml:space="preserve">a la infraestructura pública municipal respecto de las operaciones realizadas por la administración municipal de Irapuato, Gto., </w:t>
      </w:r>
      <w:r w:rsidRPr="006B3E22">
        <w:rPr>
          <w:rFonts w:ascii="Abadi" w:hAnsi="Abadi" w:cs="Arial"/>
          <w:sz w:val="21"/>
          <w:szCs w:val="21"/>
        </w:rPr>
        <w:t xml:space="preserve">correspondientes al ejercicio fiscal del año 2020, debe sancionarse por el Congreso en los términos presentados por la Auditoría Superior del Estado y proceder a su aprobación, considerando que no se actualiza el supuesto contenido en el artículo 38 de </w:t>
      </w:r>
      <w:smartTag w:uri="urn:schemas-microsoft-com:office:smarttags" w:element="PersonName">
        <w:smartTagPr>
          <w:attr w:name="ProductID" w:val="la Ley"/>
        </w:smartTagPr>
        <w:r w:rsidRPr="006B3E22">
          <w:rPr>
            <w:rFonts w:ascii="Abadi" w:hAnsi="Abadi" w:cs="Arial"/>
            <w:sz w:val="21"/>
            <w:szCs w:val="21"/>
          </w:rPr>
          <w:t>la Ley</w:t>
        </w:r>
      </w:smartTag>
      <w:r w:rsidRPr="006B3E22">
        <w:rPr>
          <w:rFonts w:ascii="Abadi" w:hAnsi="Abadi" w:cs="Arial"/>
          <w:sz w:val="21"/>
          <w:szCs w:val="21"/>
        </w:rPr>
        <w:t xml:space="preserve"> de Fiscalización Superior del Estado de Guanajuato, razón por la cual no podría ser observado por el Pleno del Congreso.</w:t>
      </w:r>
    </w:p>
    <w:p w14:paraId="75740EF6" w14:textId="77777777" w:rsidR="006B3E22" w:rsidRPr="006B3E22" w:rsidRDefault="006B3E22" w:rsidP="006B3E22">
      <w:pPr>
        <w:ind w:firstLine="708"/>
        <w:jc w:val="both"/>
        <w:rPr>
          <w:rFonts w:ascii="Abadi" w:hAnsi="Abadi" w:cs="Arial"/>
          <w:sz w:val="21"/>
          <w:szCs w:val="21"/>
        </w:rPr>
      </w:pPr>
    </w:p>
    <w:p w14:paraId="006EE350"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lang w:val="es-MX"/>
        </w:rPr>
        <w:t xml:space="preserve">Por lo expuesto, con fundamento en el artículo 204 de </w:t>
      </w:r>
      <w:smartTag w:uri="urn:schemas-microsoft-com:office:smarttags" w:element="PersonName">
        <w:smartTagPr>
          <w:attr w:name="ProductID" w:val="la Ley Org￡nica"/>
        </w:smartTagPr>
        <w:r w:rsidRPr="006B3E22">
          <w:rPr>
            <w:rFonts w:ascii="Abadi" w:hAnsi="Abadi" w:cs="Arial"/>
            <w:sz w:val="21"/>
            <w:szCs w:val="21"/>
            <w:lang w:val="es-MX"/>
          </w:rPr>
          <w:t>la Ley Orgánica</w:t>
        </w:r>
      </w:smartTag>
      <w:r w:rsidRPr="006B3E22">
        <w:rPr>
          <w:rFonts w:ascii="Abadi" w:hAnsi="Abadi" w:cs="Arial"/>
          <w:sz w:val="21"/>
          <w:szCs w:val="21"/>
          <w:lang w:val="es-MX"/>
        </w:rPr>
        <w:t xml:space="preserve"> del Poder Legislativo, nos permitimos someter a la consideración de </w:t>
      </w:r>
      <w:smartTag w:uri="urn:schemas-microsoft-com:office:smarttags" w:element="PersonName">
        <w:smartTagPr>
          <w:attr w:name="ProductID" w:val="la Asamblea"/>
        </w:smartTagPr>
        <w:r w:rsidRPr="006B3E22">
          <w:rPr>
            <w:rFonts w:ascii="Abadi" w:hAnsi="Abadi" w:cs="Arial"/>
            <w:sz w:val="21"/>
            <w:szCs w:val="21"/>
            <w:lang w:val="es-MX"/>
          </w:rPr>
          <w:t>la Asamblea</w:t>
        </w:r>
      </w:smartTag>
      <w:r w:rsidRPr="006B3E22">
        <w:rPr>
          <w:rFonts w:ascii="Abadi" w:hAnsi="Abadi" w:cs="Arial"/>
          <w:sz w:val="21"/>
          <w:szCs w:val="21"/>
          <w:lang w:val="es-MX"/>
        </w:rPr>
        <w:t>, la aprobación del siguiente:</w:t>
      </w:r>
    </w:p>
    <w:p w14:paraId="391335ED" w14:textId="77777777" w:rsidR="006B3E22" w:rsidRPr="006B3E22" w:rsidRDefault="006B3E22" w:rsidP="006B3E22">
      <w:pPr>
        <w:keepNext/>
        <w:jc w:val="center"/>
        <w:outlineLvl w:val="0"/>
        <w:rPr>
          <w:rFonts w:ascii="Abadi" w:eastAsia="Arial Unicode MS" w:hAnsi="Abadi" w:cs="Arial"/>
          <w:b/>
          <w:bCs/>
          <w:smallCaps/>
          <w:sz w:val="21"/>
          <w:szCs w:val="21"/>
        </w:rPr>
      </w:pPr>
    </w:p>
    <w:p w14:paraId="310891FA" w14:textId="77777777" w:rsidR="006B3E22" w:rsidRPr="006B3E22" w:rsidRDefault="006B3E22" w:rsidP="006B3E22">
      <w:pPr>
        <w:keepNext/>
        <w:jc w:val="center"/>
        <w:outlineLvl w:val="0"/>
        <w:rPr>
          <w:rFonts w:ascii="Abadi" w:eastAsia="Arial Unicode MS" w:hAnsi="Abadi" w:cs="Arial"/>
          <w:b/>
          <w:bCs/>
          <w:smallCaps/>
          <w:sz w:val="21"/>
          <w:szCs w:val="21"/>
        </w:rPr>
      </w:pPr>
      <w:r w:rsidRPr="006B3E22">
        <w:rPr>
          <w:rFonts w:ascii="Abadi" w:eastAsia="Arial Unicode MS" w:hAnsi="Abadi" w:cs="Arial"/>
          <w:b/>
          <w:bCs/>
          <w:smallCaps/>
          <w:sz w:val="21"/>
          <w:szCs w:val="21"/>
        </w:rPr>
        <w:t>A C U E R D O</w:t>
      </w:r>
    </w:p>
    <w:p w14:paraId="30D4F0B3" w14:textId="77777777" w:rsidR="006B3E22" w:rsidRPr="006B3E22" w:rsidRDefault="006B3E22" w:rsidP="006B3E22">
      <w:pPr>
        <w:rPr>
          <w:rFonts w:ascii="Abadi" w:hAnsi="Abadi" w:cs="Arial"/>
          <w:sz w:val="21"/>
          <w:szCs w:val="21"/>
          <w:lang w:val="es-MX"/>
        </w:rPr>
      </w:pPr>
    </w:p>
    <w:p w14:paraId="7422C470"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b/>
          <w:sz w:val="21"/>
          <w:szCs w:val="21"/>
        </w:rPr>
        <w:t>Único.</w:t>
      </w:r>
      <w:r w:rsidRPr="006B3E22">
        <w:rPr>
          <w:rFonts w:ascii="Abadi" w:hAnsi="Abadi" w:cs="Arial"/>
          <w:sz w:val="21"/>
          <w:szCs w:val="21"/>
        </w:rPr>
        <w:t xml:space="preserve"> </w:t>
      </w:r>
      <w:r w:rsidRPr="006B3E22">
        <w:rPr>
          <w:rFonts w:ascii="Abadi" w:hAnsi="Abadi" w:cs="Arial"/>
          <w:sz w:val="21"/>
          <w:szCs w:val="21"/>
          <w:lang w:val="es-MX"/>
        </w:rPr>
        <w:t xml:space="preserve">Con fundamento en el artículo 63 fracción XIX de </w:t>
      </w:r>
      <w:smartTag w:uri="urn:schemas-microsoft-com:office:smarttags" w:element="PersonName">
        <w:smartTagPr>
          <w:attr w:name="ProductID" w:val="la Constituci￳n Pol￭tica"/>
        </w:smartTagPr>
        <w:r w:rsidRPr="006B3E22">
          <w:rPr>
            <w:rFonts w:ascii="Abadi" w:hAnsi="Abadi" w:cs="Arial"/>
            <w:sz w:val="21"/>
            <w:szCs w:val="21"/>
            <w:lang w:val="es-MX"/>
          </w:rPr>
          <w:t>la Constitución Política</w:t>
        </w:r>
      </w:smartTag>
      <w:r w:rsidRPr="006B3E22">
        <w:rPr>
          <w:rFonts w:ascii="Abadi" w:hAnsi="Abadi" w:cs="Arial"/>
          <w:sz w:val="21"/>
          <w:szCs w:val="21"/>
          <w:lang w:val="es-MX"/>
        </w:rPr>
        <w:t xml:space="preserve"> para el Estado, en relación con el artículo 37, fracciones V y VI de la Ley de Fiscalización Superior del Estado de Guanajuato, se aprueba el informe de resultados formulado por la Auditoría Superior del Estado de Guanajuato, relativo a la auditoría practicada a la infraestructura pública municipal respecto de las operaciones realizadas por la administración municipal de Irapuato, Gto., correspondientes al periodo comprendido del 1 de enero al 31 de diciembre del ejercicio fiscal del año 2020.</w:t>
      </w:r>
    </w:p>
    <w:p w14:paraId="74D6EC7A" w14:textId="77777777" w:rsidR="006B3E22" w:rsidRPr="006B3E22" w:rsidRDefault="006B3E22" w:rsidP="006B3E22">
      <w:pPr>
        <w:ind w:firstLine="708"/>
        <w:jc w:val="both"/>
        <w:rPr>
          <w:rFonts w:ascii="Abadi" w:hAnsi="Abadi" w:cs="Arial"/>
          <w:sz w:val="21"/>
          <w:szCs w:val="21"/>
          <w:lang w:val="es-MX"/>
        </w:rPr>
      </w:pPr>
    </w:p>
    <w:p w14:paraId="743B04D2"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6B3E22">
        <w:rPr>
          <w:rFonts w:ascii="Abadi" w:hAnsi="Abadi" w:cs="Arial"/>
          <w:sz w:val="21"/>
          <w:szCs w:val="21"/>
          <w:lang w:val="es-MX"/>
        </w:rPr>
        <w:t>. Asimismo, dará</w:t>
      </w:r>
      <w:r w:rsidRPr="006B3E22">
        <w:rPr>
          <w:rFonts w:ascii="Abadi" w:hAnsi="Abadi" w:cs="Arial"/>
          <w:sz w:val="21"/>
          <w:szCs w:val="21"/>
        </w:rPr>
        <w:t xml:space="preserve"> seguimiento a las recomendaciones no atendidas y </w:t>
      </w:r>
      <w:r w:rsidRPr="006B3E22">
        <w:rPr>
          <w:rFonts w:ascii="Abadi" w:hAnsi="Abadi" w:cs="Arial"/>
          <w:sz w:val="21"/>
          <w:szCs w:val="21"/>
          <w:lang w:val="es-MX"/>
        </w:rPr>
        <w:t xml:space="preserve">a las </w:t>
      </w:r>
      <w:r w:rsidRPr="006B3E22">
        <w:rPr>
          <w:rFonts w:ascii="Abadi" w:hAnsi="Abadi" w:cs="Arial"/>
          <w:sz w:val="21"/>
          <w:szCs w:val="21"/>
        </w:rPr>
        <w:t>observaciones no solventadas contenidas en el informe de resultados</w:t>
      </w:r>
      <w:r w:rsidRPr="006B3E22">
        <w:rPr>
          <w:rFonts w:ascii="Abadi" w:hAnsi="Abadi" w:cs="Arial"/>
          <w:sz w:val="21"/>
          <w:szCs w:val="21"/>
          <w:lang w:val="es-MX"/>
        </w:rPr>
        <w:t>.</w:t>
      </w:r>
    </w:p>
    <w:p w14:paraId="1734D9E9" w14:textId="77777777" w:rsidR="006B3E22" w:rsidRPr="006B3E22" w:rsidRDefault="006B3E22" w:rsidP="006B3E22">
      <w:pPr>
        <w:ind w:firstLine="708"/>
        <w:jc w:val="both"/>
        <w:rPr>
          <w:rFonts w:ascii="Abadi" w:hAnsi="Abadi" w:cs="Arial"/>
          <w:sz w:val="21"/>
          <w:szCs w:val="21"/>
          <w:lang w:val="es-MX"/>
        </w:rPr>
      </w:pPr>
    </w:p>
    <w:p w14:paraId="61988F97" w14:textId="77777777" w:rsidR="006B3E22" w:rsidRPr="006B3E22" w:rsidRDefault="006B3E22" w:rsidP="006B3E22">
      <w:pPr>
        <w:ind w:firstLine="708"/>
        <w:jc w:val="both"/>
        <w:rPr>
          <w:rFonts w:ascii="Abadi" w:hAnsi="Abadi" w:cs="Arial"/>
          <w:sz w:val="21"/>
          <w:szCs w:val="21"/>
          <w:lang w:val="es-MX" w:eastAsia="x-none"/>
        </w:rPr>
      </w:pPr>
      <w:r w:rsidRPr="006B3E22">
        <w:rPr>
          <w:rFonts w:ascii="Abadi" w:hAnsi="Abadi" w:cs="Arial"/>
          <w:sz w:val="21"/>
          <w:szCs w:val="21"/>
        </w:rPr>
        <w:t xml:space="preserve">Se ordena dar vista del informe de resultados al ayuntamiento del municipio de </w:t>
      </w:r>
      <w:r w:rsidRPr="006B3E22">
        <w:rPr>
          <w:rFonts w:ascii="Abadi" w:hAnsi="Abadi" w:cs="Arial"/>
          <w:sz w:val="21"/>
          <w:szCs w:val="21"/>
          <w:lang w:val="es-MX"/>
        </w:rPr>
        <w:t>Irapuato</w:t>
      </w:r>
      <w:r w:rsidRPr="006B3E22">
        <w:rPr>
          <w:rFonts w:ascii="Abadi" w:hAnsi="Abadi" w:cs="Arial"/>
          <w:sz w:val="21"/>
          <w:szCs w:val="21"/>
        </w:rPr>
        <w:t xml:space="preserve">, Gto., </w:t>
      </w:r>
      <w:r w:rsidRPr="006B3E22">
        <w:rPr>
          <w:rFonts w:ascii="Abadi" w:hAnsi="Abadi" w:cs="Arial"/>
          <w:sz w:val="21"/>
          <w:szCs w:val="21"/>
          <w:lang w:val="x-none" w:eastAsia="x-none"/>
        </w:rPr>
        <w:t>a efecto de que se atienda</w:t>
      </w:r>
      <w:r w:rsidRPr="006B3E22">
        <w:rPr>
          <w:rFonts w:ascii="Abadi" w:hAnsi="Abadi" w:cs="Arial"/>
          <w:sz w:val="21"/>
          <w:szCs w:val="21"/>
          <w:lang w:val="es-MX" w:eastAsia="x-none"/>
        </w:rPr>
        <w:t>n</w:t>
      </w:r>
      <w:r w:rsidRPr="006B3E22">
        <w:rPr>
          <w:rFonts w:ascii="Abadi" w:hAnsi="Abadi" w:cs="Arial"/>
          <w:sz w:val="21"/>
          <w:szCs w:val="21"/>
          <w:lang w:val="x-none" w:eastAsia="x-none"/>
        </w:rPr>
        <w:t xml:space="preserve"> la</w:t>
      </w:r>
      <w:r w:rsidRPr="006B3E22">
        <w:rPr>
          <w:rFonts w:ascii="Abadi" w:hAnsi="Abadi" w:cs="Arial"/>
          <w:sz w:val="21"/>
          <w:szCs w:val="21"/>
          <w:lang w:val="es-MX" w:eastAsia="x-none"/>
        </w:rPr>
        <w:t>s</w:t>
      </w:r>
      <w:r w:rsidRPr="006B3E22">
        <w:rPr>
          <w:rFonts w:ascii="Abadi" w:hAnsi="Abadi" w:cs="Arial"/>
          <w:sz w:val="21"/>
          <w:szCs w:val="21"/>
          <w:lang w:val="x-none" w:eastAsia="x-none"/>
        </w:rPr>
        <w:t xml:space="preserve"> recomendaci</w:t>
      </w:r>
      <w:r w:rsidRPr="006B3E22">
        <w:rPr>
          <w:rFonts w:ascii="Abadi" w:hAnsi="Abadi" w:cs="Arial"/>
          <w:sz w:val="21"/>
          <w:szCs w:val="21"/>
          <w:lang w:val="es-MX" w:eastAsia="x-none"/>
        </w:rPr>
        <w:t>ones</w:t>
      </w:r>
      <w:r w:rsidRPr="006B3E22">
        <w:rPr>
          <w:rFonts w:ascii="Abadi" w:hAnsi="Abadi" w:cs="Arial"/>
          <w:sz w:val="21"/>
          <w:szCs w:val="21"/>
          <w:lang w:val="x-none" w:eastAsia="x-none"/>
        </w:rPr>
        <w:t xml:space="preserve"> contenida</w:t>
      </w:r>
      <w:r w:rsidRPr="006B3E22">
        <w:rPr>
          <w:rFonts w:ascii="Abadi" w:hAnsi="Abadi" w:cs="Arial"/>
          <w:sz w:val="21"/>
          <w:szCs w:val="21"/>
          <w:lang w:val="es-MX" w:eastAsia="x-none"/>
        </w:rPr>
        <w:t>s</w:t>
      </w:r>
      <w:r w:rsidRPr="006B3E22">
        <w:rPr>
          <w:rFonts w:ascii="Abadi" w:hAnsi="Abadi" w:cs="Arial"/>
          <w:sz w:val="21"/>
          <w:szCs w:val="21"/>
          <w:lang w:val="x-none" w:eastAsia="x-none"/>
        </w:rPr>
        <w:t xml:space="preserve"> en dicho informe, en el plazo que establece el artículo 66 de </w:t>
      </w:r>
      <w:smartTag w:uri="urn:schemas-microsoft-com:office:smarttags" w:element="PersonName">
        <w:smartTagPr>
          <w:attr w:name="ProductID" w:val="la Ley"/>
        </w:smartTagPr>
        <w:r w:rsidRPr="006B3E22">
          <w:rPr>
            <w:rFonts w:ascii="Abadi" w:hAnsi="Abadi" w:cs="Arial"/>
            <w:sz w:val="21"/>
            <w:szCs w:val="21"/>
            <w:lang w:val="x-none" w:eastAsia="x-none"/>
          </w:rPr>
          <w:t>la Ley</w:t>
        </w:r>
      </w:smartTag>
      <w:r w:rsidRPr="006B3E22">
        <w:rPr>
          <w:rFonts w:ascii="Abadi" w:hAnsi="Abadi" w:cs="Arial"/>
          <w:sz w:val="21"/>
          <w:szCs w:val="21"/>
          <w:lang w:val="x-none" w:eastAsia="x-none"/>
        </w:rPr>
        <w:t xml:space="preserve"> de Fiscalización Superior del Estado de Guanajuato, informando a la Auditoría Superior del Estado de Guanajuato de las acciones realizadas para ello, con objeto de que esta última realice el seguimiento correspondiente</w:t>
      </w:r>
      <w:r w:rsidRPr="006B3E22">
        <w:rPr>
          <w:rFonts w:ascii="Abadi" w:hAnsi="Abadi" w:cs="Arial"/>
          <w:sz w:val="21"/>
          <w:szCs w:val="21"/>
          <w:lang w:val="es-MX" w:eastAsia="x-none"/>
        </w:rPr>
        <w:t>.</w:t>
      </w:r>
    </w:p>
    <w:p w14:paraId="34C98CCA" w14:textId="77777777" w:rsidR="006B3E22" w:rsidRPr="006B3E22" w:rsidRDefault="006B3E22" w:rsidP="006B3E22">
      <w:pPr>
        <w:ind w:firstLine="708"/>
        <w:jc w:val="both"/>
        <w:rPr>
          <w:rFonts w:ascii="Abadi" w:hAnsi="Abadi" w:cs="Arial"/>
          <w:sz w:val="21"/>
          <w:szCs w:val="21"/>
          <w:lang w:val="es-MX" w:eastAsia="x-none"/>
        </w:rPr>
      </w:pPr>
    </w:p>
    <w:p w14:paraId="332B01AB" w14:textId="77777777" w:rsidR="006B3E22" w:rsidRPr="006B3E22" w:rsidRDefault="006B3E22" w:rsidP="006B3E22">
      <w:pPr>
        <w:ind w:firstLine="708"/>
        <w:jc w:val="both"/>
        <w:rPr>
          <w:rFonts w:ascii="Abadi" w:hAnsi="Abadi" w:cs="Arial"/>
          <w:sz w:val="21"/>
          <w:szCs w:val="21"/>
          <w:lang w:val="es-MX"/>
        </w:rPr>
      </w:pPr>
      <w:r w:rsidRPr="006B3E22">
        <w:rPr>
          <w:rFonts w:ascii="Abadi" w:hAnsi="Abadi" w:cs="Arial"/>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6B3E22">
        <w:rPr>
          <w:rFonts w:ascii="Abadi" w:hAnsi="Abadi" w:cs="Arial"/>
          <w:sz w:val="21"/>
          <w:szCs w:val="21"/>
          <w:lang w:val="es-MX"/>
        </w:rPr>
        <w:t>.</w:t>
      </w:r>
    </w:p>
    <w:p w14:paraId="13EBC043" w14:textId="77777777" w:rsidR="006B3E22" w:rsidRPr="006B3E22" w:rsidRDefault="006B3E22" w:rsidP="006B3E22">
      <w:pPr>
        <w:ind w:firstLine="708"/>
        <w:jc w:val="both"/>
        <w:rPr>
          <w:rFonts w:ascii="Abadi" w:hAnsi="Abadi" w:cs="Arial"/>
          <w:sz w:val="21"/>
          <w:szCs w:val="21"/>
          <w:lang w:val="es-MX"/>
        </w:rPr>
      </w:pPr>
    </w:p>
    <w:p w14:paraId="563B7439" w14:textId="77777777" w:rsidR="006B3E22" w:rsidRPr="006B3E22" w:rsidRDefault="006B3E22" w:rsidP="008117EB">
      <w:pPr>
        <w:jc w:val="center"/>
        <w:rPr>
          <w:rFonts w:ascii="Abadi" w:hAnsi="Abadi" w:cs="Arial"/>
          <w:b/>
          <w:bCs/>
          <w:sz w:val="21"/>
          <w:szCs w:val="21"/>
          <w:lang w:val="es-MX" w:eastAsia="x-none"/>
        </w:rPr>
      </w:pPr>
      <w:r w:rsidRPr="006B3E22">
        <w:rPr>
          <w:rFonts w:ascii="Abadi" w:hAnsi="Abadi" w:cs="Arial"/>
          <w:b/>
          <w:bCs/>
          <w:sz w:val="21"/>
          <w:szCs w:val="21"/>
          <w:lang w:val="es-MX" w:eastAsia="x-none"/>
        </w:rPr>
        <w:t>Guanajuato, Gto., 14 de junio de 2022</w:t>
      </w:r>
    </w:p>
    <w:p w14:paraId="41E69D27" w14:textId="77777777" w:rsidR="006B3E22" w:rsidRPr="006B3E22" w:rsidRDefault="006B3E22" w:rsidP="008117EB">
      <w:pPr>
        <w:jc w:val="center"/>
        <w:rPr>
          <w:rFonts w:ascii="Abadi" w:hAnsi="Abadi" w:cs="Arial"/>
          <w:b/>
          <w:bCs/>
          <w:sz w:val="21"/>
          <w:szCs w:val="21"/>
          <w:lang w:val="es-MX" w:eastAsia="x-none"/>
        </w:rPr>
      </w:pPr>
      <w:smartTag w:uri="urn:schemas-microsoft-com:office:smarttags" w:element="PersonName">
        <w:smartTagPr>
          <w:attr w:name="ProductID" w:val="La Comisi￳n"/>
        </w:smartTagPr>
        <w:r w:rsidRPr="006B3E22">
          <w:rPr>
            <w:rFonts w:ascii="Abadi" w:hAnsi="Abadi" w:cs="Arial"/>
            <w:b/>
            <w:bCs/>
            <w:sz w:val="21"/>
            <w:szCs w:val="21"/>
            <w:lang w:val="es-MX" w:eastAsia="x-none"/>
          </w:rPr>
          <w:t>La Comisión</w:t>
        </w:r>
      </w:smartTag>
      <w:r w:rsidRPr="006B3E22">
        <w:rPr>
          <w:rFonts w:ascii="Abadi" w:hAnsi="Abadi" w:cs="Arial"/>
          <w:b/>
          <w:bCs/>
          <w:sz w:val="21"/>
          <w:szCs w:val="21"/>
          <w:lang w:val="es-MX" w:eastAsia="x-none"/>
        </w:rPr>
        <w:t xml:space="preserve"> de Hacienda y Fiscalización</w:t>
      </w:r>
    </w:p>
    <w:p w14:paraId="4727B0F7" w14:textId="77777777" w:rsidR="006B3E22" w:rsidRPr="006B3E22" w:rsidRDefault="006B3E22" w:rsidP="008117EB">
      <w:pPr>
        <w:jc w:val="center"/>
        <w:rPr>
          <w:rFonts w:ascii="Abadi" w:hAnsi="Abadi" w:cs="Arial"/>
          <w:i/>
          <w:iCs/>
          <w:sz w:val="21"/>
          <w:szCs w:val="21"/>
          <w:lang w:val="es-MX" w:eastAsia="x-none"/>
        </w:rPr>
      </w:pPr>
      <w:r w:rsidRPr="006B3E22">
        <w:rPr>
          <w:rFonts w:ascii="Abadi" w:hAnsi="Abadi" w:cs="Arial"/>
          <w:i/>
          <w:iCs/>
          <w:sz w:val="21"/>
          <w:szCs w:val="21"/>
          <w:lang w:val="es-MX" w:eastAsia="x-none"/>
        </w:rPr>
        <w:t>Firma electrónica</w:t>
      </w:r>
    </w:p>
    <w:p w14:paraId="58BCDEBA" w14:textId="77777777" w:rsidR="006B3E22" w:rsidRPr="006B3E22" w:rsidRDefault="006B3E22" w:rsidP="008117EB">
      <w:pPr>
        <w:jc w:val="center"/>
        <w:rPr>
          <w:rFonts w:ascii="Abadi" w:hAnsi="Abadi" w:cs="Arial"/>
          <w:sz w:val="21"/>
          <w:szCs w:val="21"/>
          <w:lang w:val="es-MX"/>
        </w:rPr>
      </w:pPr>
    </w:p>
    <w:p w14:paraId="60B96E18" w14:textId="77777777" w:rsidR="006B3E22" w:rsidRPr="006B3E22" w:rsidRDefault="006B3E22" w:rsidP="008117EB">
      <w:pPr>
        <w:jc w:val="center"/>
        <w:rPr>
          <w:rFonts w:ascii="Abadi" w:hAnsi="Abadi" w:cs="Arial"/>
          <w:sz w:val="21"/>
          <w:szCs w:val="21"/>
          <w:lang w:val="es-MX"/>
        </w:rPr>
      </w:pPr>
    </w:p>
    <w:p w14:paraId="224E8865" w14:textId="21F08418" w:rsidR="006B3E22" w:rsidRPr="006B3E22" w:rsidRDefault="006B3E22" w:rsidP="008117EB">
      <w:pPr>
        <w:jc w:val="center"/>
        <w:rPr>
          <w:rFonts w:ascii="Abadi" w:hAnsi="Abadi" w:cs="Arial"/>
          <w:sz w:val="21"/>
          <w:szCs w:val="21"/>
          <w:lang w:val="es-MX"/>
        </w:rPr>
      </w:pPr>
      <w:r w:rsidRPr="006B3E22">
        <w:rPr>
          <w:rFonts w:ascii="Abadi" w:hAnsi="Abadi" w:cs="Arial"/>
          <w:b/>
          <w:sz w:val="21"/>
          <w:szCs w:val="21"/>
          <w:lang w:val="es-MX" w:eastAsia="x-none"/>
        </w:rPr>
        <w:t>Diputado Víctor Manuel Zanella Huerta</w:t>
      </w:r>
    </w:p>
    <w:p w14:paraId="39D356BF" w14:textId="77777777" w:rsidR="006B3E22" w:rsidRPr="006B3E22" w:rsidRDefault="006B3E22" w:rsidP="008117EB">
      <w:pPr>
        <w:jc w:val="center"/>
        <w:rPr>
          <w:rFonts w:ascii="Abadi" w:hAnsi="Abadi" w:cs="Arial"/>
          <w:b/>
          <w:bCs/>
          <w:sz w:val="21"/>
          <w:szCs w:val="21"/>
          <w:lang w:val="es-MX" w:eastAsia="x-none"/>
        </w:rPr>
      </w:pPr>
    </w:p>
    <w:p w14:paraId="7BB39EDF" w14:textId="23AA9EE7" w:rsidR="006B3E22" w:rsidRPr="006B3E22" w:rsidRDefault="006B3E22" w:rsidP="008117EB">
      <w:pPr>
        <w:jc w:val="center"/>
        <w:rPr>
          <w:rFonts w:ascii="Abadi" w:hAnsi="Abadi" w:cs="Arial"/>
          <w:b/>
          <w:sz w:val="21"/>
          <w:szCs w:val="21"/>
          <w:lang w:val="es-MX" w:eastAsia="x-none"/>
        </w:rPr>
      </w:pPr>
      <w:r w:rsidRPr="006B3E22">
        <w:rPr>
          <w:rFonts w:ascii="Abadi" w:hAnsi="Abadi" w:cs="Arial"/>
          <w:b/>
          <w:sz w:val="21"/>
          <w:szCs w:val="21"/>
          <w:lang w:val="es-MX" w:eastAsia="x-none"/>
        </w:rPr>
        <w:t>Diputada Ruth Noemí Tiscareño Agoitia</w:t>
      </w:r>
    </w:p>
    <w:p w14:paraId="34E2C7C6" w14:textId="77777777" w:rsidR="006B3E22" w:rsidRPr="006B3E22" w:rsidRDefault="006B3E22" w:rsidP="008117EB">
      <w:pPr>
        <w:jc w:val="center"/>
        <w:rPr>
          <w:rFonts w:ascii="Abadi" w:hAnsi="Abadi" w:cs="Arial"/>
          <w:b/>
          <w:sz w:val="21"/>
          <w:szCs w:val="21"/>
          <w:lang w:val="es-MX" w:eastAsia="x-none"/>
        </w:rPr>
      </w:pPr>
    </w:p>
    <w:p w14:paraId="34C42DB5" w14:textId="344F6072" w:rsidR="006B3E22" w:rsidRPr="006B3E22" w:rsidRDefault="006B3E22" w:rsidP="008117EB">
      <w:pPr>
        <w:jc w:val="center"/>
        <w:rPr>
          <w:rFonts w:ascii="Abadi" w:hAnsi="Abadi" w:cs="Arial"/>
          <w:b/>
          <w:sz w:val="21"/>
          <w:szCs w:val="21"/>
          <w:lang w:val="es-MX" w:eastAsia="x-none"/>
        </w:rPr>
      </w:pPr>
      <w:r w:rsidRPr="006B3E22">
        <w:rPr>
          <w:rFonts w:ascii="Abadi" w:hAnsi="Abadi" w:cs="Arial"/>
          <w:b/>
          <w:sz w:val="21"/>
          <w:szCs w:val="21"/>
          <w:lang w:val="es-MX" w:eastAsia="x-none"/>
        </w:rPr>
        <w:t>Diputado Miguel Ángel Salim Alle</w:t>
      </w:r>
    </w:p>
    <w:p w14:paraId="651A3A04" w14:textId="77777777" w:rsidR="006B3E22" w:rsidRPr="006B3E22" w:rsidRDefault="006B3E22" w:rsidP="008117EB">
      <w:pPr>
        <w:jc w:val="center"/>
        <w:rPr>
          <w:rFonts w:ascii="Abadi" w:hAnsi="Abadi" w:cs="Arial"/>
          <w:b/>
          <w:sz w:val="21"/>
          <w:szCs w:val="21"/>
          <w:lang w:val="es-MX" w:eastAsia="x-none"/>
        </w:rPr>
      </w:pPr>
    </w:p>
    <w:p w14:paraId="59B8D60F" w14:textId="3EA6015B" w:rsidR="006B3E22" w:rsidRDefault="006B3E22" w:rsidP="008117EB">
      <w:pPr>
        <w:jc w:val="center"/>
        <w:rPr>
          <w:rFonts w:ascii="Abadi" w:hAnsi="Abadi" w:cs="Arial"/>
          <w:b/>
          <w:sz w:val="21"/>
          <w:szCs w:val="21"/>
          <w:lang w:val="es-MX" w:eastAsia="x-none"/>
        </w:rPr>
      </w:pPr>
      <w:r w:rsidRPr="006B3E22">
        <w:rPr>
          <w:rFonts w:ascii="Abadi" w:hAnsi="Abadi" w:cs="Arial"/>
          <w:b/>
          <w:sz w:val="21"/>
          <w:szCs w:val="21"/>
          <w:lang w:val="es-MX" w:eastAsia="x-none"/>
        </w:rPr>
        <w:t>Diputado José Alfonso Borja Pimentel</w:t>
      </w:r>
    </w:p>
    <w:p w14:paraId="018EE5D1" w14:textId="77777777" w:rsidR="008117EB" w:rsidRPr="006B3E22" w:rsidRDefault="008117EB" w:rsidP="008117EB">
      <w:pPr>
        <w:jc w:val="center"/>
        <w:rPr>
          <w:rFonts w:ascii="Abadi" w:hAnsi="Abadi" w:cs="Arial"/>
          <w:b/>
          <w:sz w:val="21"/>
          <w:szCs w:val="21"/>
          <w:lang w:val="es-MX" w:eastAsia="x-none"/>
        </w:rPr>
      </w:pPr>
    </w:p>
    <w:p w14:paraId="22F8F3C3" w14:textId="77777777" w:rsidR="006B3E22" w:rsidRPr="006B3E22" w:rsidRDefault="006B3E22" w:rsidP="008117EB">
      <w:pPr>
        <w:jc w:val="center"/>
        <w:rPr>
          <w:rFonts w:ascii="Abadi" w:hAnsi="Abadi" w:cs="Arial"/>
          <w:b/>
          <w:sz w:val="21"/>
          <w:szCs w:val="21"/>
          <w:lang w:val="es-MX" w:eastAsia="x-none"/>
        </w:rPr>
      </w:pPr>
      <w:r w:rsidRPr="006B3E22">
        <w:rPr>
          <w:rFonts w:ascii="Abadi" w:hAnsi="Abadi" w:cs="Arial"/>
          <w:b/>
          <w:sz w:val="21"/>
          <w:szCs w:val="21"/>
          <w:lang w:val="es-MX" w:eastAsia="x-none"/>
        </w:rPr>
        <w:t>Diputada Alma Edwviges Alcaraz Hernández</w:t>
      </w:r>
    </w:p>
    <w:p w14:paraId="43AC5269" w14:textId="30FD9D44" w:rsidR="006B3E22" w:rsidRPr="006B3E22" w:rsidRDefault="006B3E22" w:rsidP="008117EB">
      <w:pPr>
        <w:ind w:firstLine="708"/>
        <w:jc w:val="center"/>
        <w:rPr>
          <w:rFonts w:ascii="Abadi" w:hAnsi="Abadi" w:cs="Arial"/>
          <w:bCs/>
          <w:sz w:val="21"/>
          <w:szCs w:val="21"/>
          <w:lang w:val="es-MX" w:eastAsia="x-none"/>
        </w:rPr>
      </w:pPr>
      <w:r w:rsidRPr="006B3E22">
        <w:rPr>
          <w:rFonts w:ascii="Abadi" w:hAnsi="Abadi" w:cs="Arial"/>
          <w:bCs/>
          <w:sz w:val="21"/>
          <w:szCs w:val="21"/>
          <w:lang w:val="es-MX" w:eastAsia="x-none"/>
        </w:rPr>
        <w:t>Voto en contra</w:t>
      </w:r>
    </w:p>
    <w:p w14:paraId="44E2666D" w14:textId="77777777" w:rsidR="006B3E22" w:rsidRPr="006B3E22" w:rsidRDefault="006B3E22" w:rsidP="006B3E22">
      <w:pPr>
        <w:jc w:val="both"/>
        <w:rPr>
          <w:rFonts w:ascii="Abadi" w:hAnsi="Abadi" w:cs="Arial"/>
          <w:sz w:val="21"/>
          <w:szCs w:val="21"/>
          <w:lang w:val="es-MX"/>
        </w:rPr>
      </w:pPr>
    </w:p>
    <w:p w14:paraId="5322A950" w14:textId="73C649D6" w:rsidR="003975A9" w:rsidRDefault="003975A9" w:rsidP="003975A9">
      <w:pPr>
        <w:rPr>
          <w:rFonts w:ascii="Abadi" w:hAnsi="Abadi" w:cs="Verdana"/>
          <w:sz w:val="20"/>
          <w:szCs w:val="20"/>
        </w:rPr>
      </w:pPr>
    </w:p>
    <w:p w14:paraId="190B868A" w14:textId="77777777" w:rsidR="003975A9" w:rsidRPr="003975A9" w:rsidRDefault="003975A9" w:rsidP="003975A9">
      <w:pPr>
        <w:rPr>
          <w:rFonts w:ascii="Abadi" w:hAnsi="Abadi" w:cs="Verdana"/>
          <w:sz w:val="20"/>
          <w:szCs w:val="20"/>
        </w:rPr>
      </w:pPr>
    </w:p>
    <w:p w14:paraId="60C58377" w14:textId="57EA361F" w:rsidR="003D5B62" w:rsidRDefault="003D5B62"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3"/>
          <w:sz w:val="20"/>
          <w:szCs w:val="20"/>
        </w:rPr>
        <w:t xml:space="preserve"> </w:t>
      </w:r>
      <w:r w:rsidRPr="00531B12">
        <w:rPr>
          <w:rFonts w:ascii="Abadi" w:hAnsi="Abadi"/>
          <w:b/>
          <w:bCs/>
          <w:sz w:val="20"/>
          <w:szCs w:val="20"/>
        </w:rPr>
        <w:t>Y,</w:t>
      </w:r>
      <w:r w:rsidRPr="00531B12">
        <w:rPr>
          <w:rFonts w:ascii="Abadi" w:hAnsi="Abadi"/>
          <w:b/>
          <w:bCs/>
          <w:spacing w:val="13"/>
          <w:sz w:val="20"/>
          <w:szCs w:val="20"/>
        </w:rPr>
        <w:t xml:space="preserve"> </w:t>
      </w:r>
      <w:r w:rsidRPr="00531B12">
        <w:rPr>
          <w:rFonts w:ascii="Abadi" w:hAnsi="Abadi"/>
          <w:b/>
          <w:bCs/>
          <w:sz w:val="20"/>
          <w:szCs w:val="20"/>
        </w:rPr>
        <w:t>EN</w:t>
      </w:r>
      <w:r w:rsidRPr="00531B12">
        <w:rPr>
          <w:rFonts w:ascii="Abadi" w:hAnsi="Abadi"/>
          <w:b/>
          <w:bCs/>
          <w:spacing w:val="14"/>
          <w:sz w:val="20"/>
          <w:szCs w:val="20"/>
        </w:rPr>
        <w:t xml:space="preserve"> </w:t>
      </w:r>
      <w:r w:rsidRPr="00531B12">
        <w:rPr>
          <w:rFonts w:ascii="Abadi" w:hAnsi="Abadi"/>
          <w:b/>
          <w:bCs/>
          <w:sz w:val="20"/>
          <w:szCs w:val="20"/>
        </w:rPr>
        <w:t>SU</w:t>
      </w:r>
      <w:r w:rsidRPr="00531B12">
        <w:rPr>
          <w:rFonts w:ascii="Abadi" w:hAnsi="Abadi"/>
          <w:b/>
          <w:bCs/>
          <w:spacing w:val="14"/>
          <w:sz w:val="20"/>
          <w:szCs w:val="20"/>
        </w:rPr>
        <w:t xml:space="preserve"> </w:t>
      </w:r>
      <w:r w:rsidRPr="00531B12">
        <w:rPr>
          <w:rFonts w:ascii="Abadi" w:hAnsi="Abadi"/>
          <w:b/>
          <w:bCs/>
          <w:sz w:val="20"/>
          <w:szCs w:val="20"/>
        </w:rPr>
        <w:t>CASO,</w:t>
      </w:r>
      <w:r w:rsidRPr="00531B12">
        <w:rPr>
          <w:rFonts w:ascii="Abadi" w:hAnsi="Abadi"/>
          <w:b/>
          <w:bCs/>
          <w:spacing w:val="13"/>
          <w:sz w:val="20"/>
          <w:szCs w:val="20"/>
        </w:rPr>
        <w:t xml:space="preserve"> </w:t>
      </w:r>
      <w:r w:rsidRPr="00531B12">
        <w:rPr>
          <w:rFonts w:ascii="Abadi" w:hAnsi="Abadi"/>
          <w:b/>
          <w:bCs/>
          <w:sz w:val="20"/>
          <w:szCs w:val="20"/>
        </w:rPr>
        <w:t>APROBACIÓN</w:t>
      </w:r>
      <w:r w:rsidRPr="00531B12">
        <w:rPr>
          <w:rFonts w:ascii="Abadi" w:hAnsi="Abadi"/>
          <w:b/>
          <w:bCs/>
          <w:spacing w:val="14"/>
          <w:sz w:val="20"/>
          <w:szCs w:val="20"/>
        </w:rPr>
        <w:t xml:space="preserve"> </w:t>
      </w:r>
      <w:r w:rsidRPr="00531B12">
        <w:rPr>
          <w:rFonts w:ascii="Abadi" w:hAnsi="Abadi"/>
          <w:b/>
          <w:bCs/>
          <w:sz w:val="20"/>
          <w:szCs w:val="20"/>
        </w:rPr>
        <w:t>DEL</w:t>
      </w:r>
      <w:r w:rsidRPr="00531B12">
        <w:rPr>
          <w:rFonts w:ascii="Abadi" w:hAnsi="Abadi"/>
          <w:b/>
          <w:bCs/>
          <w:spacing w:val="13"/>
          <w:sz w:val="20"/>
          <w:szCs w:val="20"/>
        </w:rPr>
        <w:t xml:space="preserve"> </w:t>
      </w:r>
      <w:r w:rsidRPr="00531B12">
        <w:rPr>
          <w:rFonts w:ascii="Abadi" w:hAnsi="Abadi"/>
          <w:b/>
          <w:bCs/>
          <w:sz w:val="20"/>
          <w:szCs w:val="20"/>
        </w:rPr>
        <w:t>DICTAMEN</w:t>
      </w:r>
      <w:r w:rsidRPr="00531B12">
        <w:rPr>
          <w:rFonts w:ascii="Abadi" w:hAnsi="Abadi"/>
          <w:b/>
          <w:bCs/>
          <w:spacing w:val="14"/>
          <w:sz w:val="20"/>
          <w:szCs w:val="20"/>
        </w:rPr>
        <w:t xml:space="preserve"> </w:t>
      </w:r>
      <w:r w:rsidRPr="00531B12">
        <w:rPr>
          <w:rFonts w:ascii="Abadi" w:hAnsi="Abadi"/>
          <w:b/>
          <w:bCs/>
          <w:sz w:val="20"/>
          <w:szCs w:val="20"/>
        </w:rPr>
        <w:t>EMITIDO</w:t>
      </w:r>
      <w:r w:rsidRPr="00531B12">
        <w:rPr>
          <w:rFonts w:ascii="Abadi" w:hAnsi="Abadi"/>
          <w:b/>
          <w:bCs/>
          <w:spacing w:val="14"/>
          <w:sz w:val="20"/>
          <w:szCs w:val="20"/>
        </w:rPr>
        <w:t xml:space="preserve"> </w:t>
      </w:r>
      <w:r w:rsidRPr="00531B12">
        <w:rPr>
          <w:rFonts w:ascii="Abadi" w:hAnsi="Abadi"/>
          <w:b/>
          <w:bCs/>
          <w:sz w:val="20"/>
          <w:szCs w:val="20"/>
        </w:rPr>
        <w:t>POR</w:t>
      </w:r>
      <w:r w:rsidRPr="00531B12">
        <w:rPr>
          <w:rFonts w:ascii="Abadi" w:hAnsi="Abadi"/>
          <w:b/>
          <w:bCs/>
          <w:spacing w:val="13"/>
          <w:sz w:val="20"/>
          <w:szCs w:val="20"/>
        </w:rPr>
        <w:t xml:space="preserve"> </w:t>
      </w:r>
      <w:r w:rsidRPr="00531B12">
        <w:rPr>
          <w:rFonts w:ascii="Abadi" w:hAnsi="Abadi"/>
          <w:b/>
          <w:bCs/>
          <w:sz w:val="20"/>
          <w:szCs w:val="20"/>
        </w:rPr>
        <w:t>LA</w:t>
      </w:r>
      <w:r w:rsidRPr="00531B12">
        <w:rPr>
          <w:rFonts w:ascii="Abadi" w:hAnsi="Abadi"/>
          <w:b/>
          <w:bCs/>
          <w:spacing w:val="13"/>
          <w:sz w:val="20"/>
          <w:szCs w:val="20"/>
        </w:rPr>
        <w:t xml:space="preserve"> </w:t>
      </w:r>
      <w:r w:rsidRPr="00531B12">
        <w:rPr>
          <w:rFonts w:ascii="Abadi" w:hAnsi="Abadi"/>
          <w:b/>
          <w:bCs/>
          <w:sz w:val="20"/>
          <w:szCs w:val="20"/>
        </w:rPr>
        <w:t>COMISIÓN DE HACIENDA Y FISCALIZACIÓN RELATIVO AL INFORME DE RESULTADOS DE LA REVISIÓN PRACTICADA POR LA AUDITORÍA SUPERIOR DEL ESTADO DE GUANAJUATO, A LA CUENTA PÚBLICA MUNICIPAL DE</w:t>
      </w:r>
      <w:r w:rsidRPr="00531B12">
        <w:rPr>
          <w:rFonts w:ascii="Abadi" w:hAnsi="Abadi"/>
          <w:b/>
          <w:bCs/>
          <w:spacing w:val="8"/>
          <w:sz w:val="20"/>
          <w:szCs w:val="20"/>
        </w:rPr>
        <w:t xml:space="preserve"> </w:t>
      </w:r>
      <w:r w:rsidRPr="00531B12">
        <w:rPr>
          <w:rFonts w:ascii="Abadi" w:hAnsi="Abadi"/>
          <w:b/>
          <w:bCs/>
          <w:sz w:val="20"/>
          <w:szCs w:val="20"/>
        </w:rPr>
        <w:t>TIERRA BLANCA, GTO., CORRESPONDIENTE AL EJERCICIO FISCAL DEL AÑO 2020.</w:t>
      </w:r>
    </w:p>
    <w:p w14:paraId="452D72ED" w14:textId="77777777" w:rsidR="0099475C" w:rsidRPr="00A60466" w:rsidRDefault="0099475C" w:rsidP="00A60466">
      <w:pPr>
        <w:rPr>
          <w:rFonts w:ascii="Abadi" w:hAnsi="Abadi"/>
          <w:sz w:val="20"/>
          <w:szCs w:val="20"/>
        </w:rPr>
      </w:pPr>
    </w:p>
    <w:p w14:paraId="00082BA1" w14:textId="77777777" w:rsidR="00CB1D5E" w:rsidRPr="00CB1D5E" w:rsidRDefault="00CB1D5E" w:rsidP="00CB1D5E">
      <w:pPr>
        <w:jc w:val="both"/>
        <w:rPr>
          <w:rFonts w:ascii="Abadi" w:hAnsi="Abadi" w:cs="Arial"/>
          <w:b/>
          <w:bCs/>
          <w:smallCaps/>
          <w:sz w:val="21"/>
          <w:szCs w:val="21"/>
          <w:lang w:val="es-MX"/>
        </w:rPr>
      </w:pPr>
      <w:r w:rsidRPr="00CB1D5E">
        <w:rPr>
          <w:rFonts w:ascii="Abadi" w:hAnsi="Abadi" w:cs="Arial"/>
          <w:b/>
          <w:bCs/>
          <w:smallCaps/>
          <w:sz w:val="21"/>
          <w:szCs w:val="21"/>
          <w:lang w:val="es-MX"/>
        </w:rPr>
        <w:t>C. Presidenta del Congreso del Estado</w:t>
      </w:r>
    </w:p>
    <w:p w14:paraId="547E5DAF" w14:textId="77777777" w:rsidR="00CB1D5E" w:rsidRPr="00CB1D5E" w:rsidRDefault="00CB1D5E" w:rsidP="00CB1D5E">
      <w:pPr>
        <w:jc w:val="both"/>
        <w:rPr>
          <w:rFonts w:ascii="Abadi" w:hAnsi="Abadi" w:cs="Arial"/>
          <w:b/>
          <w:bCs/>
          <w:smallCaps/>
          <w:sz w:val="21"/>
          <w:szCs w:val="21"/>
        </w:rPr>
      </w:pPr>
      <w:r w:rsidRPr="00CB1D5E">
        <w:rPr>
          <w:rFonts w:ascii="Abadi" w:hAnsi="Abadi" w:cs="Arial"/>
          <w:b/>
          <w:bCs/>
          <w:smallCaps/>
          <w:sz w:val="21"/>
          <w:szCs w:val="21"/>
        </w:rPr>
        <w:t>P r e s e n t e.</w:t>
      </w:r>
    </w:p>
    <w:p w14:paraId="0EDCE423" w14:textId="77777777" w:rsidR="00CB1D5E" w:rsidRPr="00CB1D5E" w:rsidRDefault="00CB1D5E" w:rsidP="00CB1D5E">
      <w:pPr>
        <w:jc w:val="both"/>
        <w:rPr>
          <w:rFonts w:ascii="Abadi" w:hAnsi="Abadi" w:cs="Arial"/>
          <w:sz w:val="21"/>
          <w:szCs w:val="21"/>
          <w:lang w:val="es-MX" w:eastAsia="x-none"/>
        </w:rPr>
      </w:pPr>
    </w:p>
    <w:p w14:paraId="4B28C07F" w14:textId="77777777" w:rsidR="00CB1D5E" w:rsidRPr="00CB1D5E" w:rsidRDefault="00CB1D5E" w:rsidP="00CB1D5E">
      <w:pPr>
        <w:ind w:firstLine="708"/>
        <w:jc w:val="both"/>
        <w:rPr>
          <w:rFonts w:ascii="Abadi" w:hAnsi="Abadi" w:cs="Arial"/>
          <w:sz w:val="21"/>
          <w:szCs w:val="21"/>
          <w:lang w:val="x-none" w:eastAsia="x-none"/>
        </w:rPr>
      </w:pPr>
      <w:r w:rsidRPr="00CB1D5E">
        <w:rPr>
          <w:rFonts w:ascii="Abadi" w:hAnsi="Abadi" w:cs="Arial"/>
          <w:sz w:val="21"/>
          <w:szCs w:val="21"/>
          <w:lang w:val="x-none" w:eastAsia="x-none"/>
        </w:rPr>
        <w:t xml:space="preserve">A </w:t>
      </w:r>
      <w:r w:rsidRPr="00CB1D5E">
        <w:rPr>
          <w:rFonts w:ascii="Abadi" w:hAnsi="Abadi" w:cs="Arial"/>
          <w:sz w:val="21"/>
          <w:szCs w:val="21"/>
          <w:lang w:val="es-MX" w:eastAsia="x-none"/>
        </w:rPr>
        <w:t>esta</w:t>
      </w:r>
      <w:r w:rsidRPr="00CB1D5E">
        <w:rPr>
          <w:rFonts w:ascii="Abadi" w:hAnsi="Abadi" w:cs="Arial"/>
          <w:sz w:val="21"/>
          <w:szCs w:val="21"/>
          <w:lang w:val="x-none" w:eastAsia="x-none"/>
        </w:rPr>
        <w:t xml:space="preserve"> Comisión de Hacienda y Fiscalización</w:t>
      </w:r>
      <w:r w:rsidRPr="00CB1D5E">
        <w:rPr>
          <w:rFonts w:ascii="Abadi" w:hAnsi="Abadi" w:cs="Arial"/>
          <w:sz w:val="21"/>
          <w:szCs w:val="21"/>
          <w:lang w:val="es-MX" w:eastAsia="x-none"/>
        </w:rPr>
        <w:t xml:space="preserve">, </w:t>
      </w:r>
      <w:r w:rsidRPr="00CB1D5E">
        <w:rPr>
          <w:rFonts w:ascii="Abadi" w:hAnsi="Abadi" w:cs="Arial"/>
          <w:sz w:val="21"/>
          <w:szCs w:val="21"/>
          <w:lang w:val="x-none" w:eastAsia="x-none"/>
        </w:rPr>
        <w:t xml:space="preserve">le fue turnado para su estudio y dictamen, el informe de resultados de la revisión practicada por </w:t>
      </w:r>
      <w:r w:rsidRPr="00CB1D5E">
        <w:rPr>
          <w:rFonts w:ascii="Abadi" w:hAnsi="Abadi" w:cs="Arial"/>
          <w:sz w:val="21"/>
          <w:szCs w:val="21"/>
          <w:lang w:val="es-MX" w:eastAsia="x-none"/>
        </w:rPr>
        <w:t xml:space="preserve">la </w:t>
      </w:r>
      <w:r w:rsidRPr="00CB1D5E">
        <w:rPr>
          <w:rFonts w:ascii="Abadi" w:hAnsi="Abadi" w:cs="Arial"/>
          <w:sz w:val="21"/>
          <w:szCs w:val="21"/>
          <w:lang w:val="x-none" w:eastAsia="x-none"/>
        </w:rPr>
        <w:t xml:space="preserve">Auditoría Superior del Estado de Guanajuato, a la cuenta pública municipal de </w:t>
      </w:r>
      <w:r w:rsidRPr="00CB1D5E">
        <w:rPr>
          <w:rFonts w:ascii="Abadi" w:hAnsi="Abadi" w:cs="Arial"/>
          <w:sz w:val="21"/>
          <w:szCs w:val="21"/>
          <w:lang w:val="es-MX" w:eastAsia="x-none"/>
        </w:rPr>
        <w:t>Tierra Blanca</w:t>
      </w:r>
      <w:r w:rsidRPr="00CB1D5E">
        <w:rPr>
          <w:rFonts w:ascii="Abadi" w:hAnsi="Abadi" w:cs="Arial"/>
          <w:sz w:val="21"/>
          <w:szCs w:val="21"/>
          <w:lang w:val="x-none" w:eastAsia="x-none"/>
        </w:rPr>
        <w:t xml:space="preserve">, Gto., correspondiente al ejercicio fiscal del año </w:t>
      </w:r>
      <w:r w:rsidRPr="00CB1D5E">
        <w:rPr>
          <w:rFonts w:ascii="Abadi" w:hAnsi="Abadi" w:cs="Arial"/>
          <w:sz w:val="21"/>
          <w:szCs w:val="21"/>
          <w:lang w:val="es-MX" w:eastAsia="x-none"/>
        </w:rPr>
        <w:t>2020</w:t>
      </w:r>
      <w:r w:rsidRPr="00CB1D5E">
        <w:rPr>
          <w:rFonts w:ascii="Abadi" w:hAnsi="Abadi" w:cs="Arial"/>
          <w:sz w:val="21"/>
          <w:szCs w:val="21"/>
          <w:lang w:val="x-none" w:eastAsia="x-none"/>
        </w:rPr>
        <w:t>.</w:t>
      </w:r>
    </w:p>
    <w:p w14:paraId="756DA14C" w14:textId="77777777" w:rsidR="00CB1D5E" w:rsidRPr="00CB1D5E" w:rsidRDefault="00CB1D5E" w:rsidP="00CB1D5E">
      <w:pPr>
        <w:ind w:firstLine="708"/>
        <w:jc w:val="both"/>
        <w:rPr>
          <w:rFonts w:ascii="Abadi" w:hAnsi="Abadi" w:cs="Arial"/>
          <w:sz w:val="21"/>
          <w:szCs w:val="21"/>
          <w:lang w:val="x-none" w:eastAsia="x-none"/>
        </w:rPr>
      </w:pPr>
    </w:p>
    <w:p w14:paraId="09D1E6A9" w14:textId="77777777" w:rsidR="00CB1D5E" w:rsidRPr="00CB1D5E" w:rsidRDefault="00CB1D5E" w:rsidP="00CB1D5E">
      <w:pPr>
        <w:ind w:firstLine="708"/>
        <w:jc w:val="both"/>
        <w:rPr>
          <w:rFonts w:ascii="Abadi" w:hAnsi="Abadi" w:cs="Arial"/>
          <w:sz w:val="21"/>
          <w:szCs w:val="21"/>
          <w:lang w:val="x-none" w:eastAsia="x-none"/>
        </w:rPr>
      </w:pPr>
      <w:r w:rsidRPr="00CB1D5E">
        <w:rPr>
          <w:rFonts w:ascii="Abadi" w:hAnsi="Abadi" w:cs="Arial"/>
          <w:sz w:val="21"/>
          <w:szCs w:val="21"/>
          <w:lang w:val="x-none" w:eastAsia="x-none"/>
        </w:rPr>
        <w:t>Una vez analizado el referido informe de resultados, con fundamento en lo dispuesto por los artículos 112, fracción XII</w:t>
      </w:r>
      <w:r w:rsidRPr="00CB1D5E">
        <w:rPr>
          <w:rFonts w:ascii="Abadi" w:hAnsi="Abadi" w:cs="Arial"/>
          <w:sz w:val="21"/>
          <w:szCs w:val="21"/>
          <w:lang w:val="es-MX" w:eastAsia="x-none"/>
        </w:rPr>
        <w:t>, primer párrafo</w:t>
      </w:r>
      <w:r w:rsidRPr="00CB1D5E">
        <w:rPr>
          <w:rFonts w:ascii="Abadi" w:hAnsi="Abadi" w:cs="Arial"/>
          <w:sz w:val="21"/>
          <w:szCs w:val="21"/>
          <w:lang w:val="x-none" w:eastAsia="x-none"/>
        </w:rPr>
        <w:t xml:space="preserve"> y 171 de </w:t>
      </w:r>
      <w:smartTag w:uri="urn:schemas-microsoft-com:office:smarttags" w:element="PersonName">
        <w:smartTagPr>
          <w:attr w:name="ProductID" w:val="la Ley Org￡nica"/>
        </w:smartTagPr>
        <w:r w:rsidRPr="00CB1D5E">
          <w:rPr>
            <w:rFonts w:ascii="Abadi" w:hAnsi="Abadi" w:cs="Arial"/>
            <w:sz w:val="21"/>
            <w:szCs w:val="21"/>
            <w:lang w:val="x-none" w:eastAsia="x-none"/>
          </w:rPr>
          <w:t>la Ley Orgánica</w:t>
        </w:r>
      </w:smartTag>
      <w:r w:rsidRPr="00CB1D5E">
        <w:rPr>
          <w:rFonts w:ascii="Abadi" w:hAnsi="Abadi" w:cs="Arial"/>
          <w:sz w:val="21"/>
          <w:szCs w:val="21"/>
          <w:lang w:val="x-none" w:eastAsia="x-none"/>
        </w:rPr>
        <w:t xml:space="preserve"> del Poder Legislativo, nos permitimos rendir el siguiente:</w:t>
      </w:r>
    </w:p>
    <w:p w14:paraId="548A9339" w14:textId="77777777" w:rsidR="00CB1D5E" w:rsidRPr="00CB1D5E" w:rsidRDefault="00CB1D5E" w:rsidP="00CB1D5E">
      <w:pPr>
        <w:ind w:firstLine="708"/>
        <w:jc w:val="both"/>
        <w:rPr>
          <w:rFonts w:ascii="Abadi" w:hAnsi="Abadi" w:cs="Arial"/>
          <w:sz w:val="21"/>
          <w:szCs w:val="21"/>
          <w:lang w:val="x-none" w:eastAsia="x-none"/>
        </w:rPr>
      </w:pPr>
    </w:p>
    <w:p w14:paraId="633EC387" w14:textId="77777777" w:rsidR="00CB1D5E" w:rsidRPr="00CB1D5E" w:rsidRDefault="00CB1D5E" w:rsidP="00CB1D5E">
      <w:pPr>
        <w:keepNext/>
        <w:jc w:val="center"/>
        <w:outlineLvl w:val="0"/>
        <w:rPr>
          <w:rFonts w:ascii="Abadi" w:eastAsia="Arial Unicode MS" w:hAnsi="Abadi" w:cs="Arial"/>
          <w:b/>
          <w:bCs/>
          <w:sz w:val="21"/>
          <w:szCs w:val="21"/>
        </w:rPr>
      </w:pPr>
      <w:r w:rsidRPr="00CB1D5E">
        <w:rPr>
          <w:rFonts w:ascii="Abadi" w:eastAsia="Arial Unicode MS" w:hAnsi="Abadi" w:cs="Arial"/>
          <w:b/>
          <w:bCs/>
          <w:sz w:val="21"/>
          <w:szCs w:val="21"/>
        </w:rPr>
        <w:t>D i c t a m e n</w:t>
      </w:r>
    </w:p>
    <w:p w14:paraId="13497598" w14:textId="77777777" w:rsidR="00626E93" w:rsidRDefault="00626E93" w:rsidP="00CB1D5E">
      <w:pPr>
        <w:ind w:firstLine="708"/>
        <w:jc w:val="both"/>
        <w:rPr>
          <w:rFonts w:ascii="Abadi" w:hAnsi="Abadi" w:cs="Arial"/>
          <w:b/>
          <w:bCs/>
          <w:sz w:val="21"/>
          <w:szCs w:val="21"/>
          <w:lang w:val="es-MX" w:eastAsia="x-none"/>
        </w:rPr>
      </w:pPr>
    </w:p>
    <w:p w14:paraId="79DFF95E" w14:textId="7FB664E4" w:rsidR="00CB1D5E" w:rsidRPr="00CB1D5E" w:rsidRDefault="00CB1D5E" w:rsidP="00CB1D5E">
      <w:pPr>
        <w:ind w:firstLine="708"/>
        <w:jc w:val="both"/>
        <w:rPr>
          <w:rFonts w:ascii="Abadi" w:hAnsi="Abadi" w:cs="Arial"/>
          <w:b/>
          <w:bCs/>
          <w:sz w:val="21"/>
          <w:szCs w:val="21"/>
          <w:lang w:val="es-MX" w:eastAsia="x-none"/>
        </w:rPr>
      </w:pPr>
      <w:r w:rsidRPr="00CB1D5E">
        <w:rPr>
          <w:rFonts w:ascii="Abadi" w:hAnsi="Abadi" w:cs="Arial"/>
          <w:b/>
          <w:bCs/>
          <w:sz w:val="21"/>
          <w:szCs w:val="21"/>
          <w:lang w:val="es-MX" w:eastAsia="x-none"/>
        </w:rPr>
        <w:t>I. Competencia:</w:t>
      </w:r>
    </w:p>
    <w:p w14:paraId="206E777F" w14:textId="77777777" w:rsidR="00CB1D5E" w:rsidRPr="00CB1D5E" w:rsidRDefault="00CB1D5E" w:rsidP="00CB1D5E">
      <w:pPr>
        <w:ind w:firstLine="708"/>
        <w:jc w:val="both"/>
        <w:rPr>
          <w:rFonts w:ascii="Abadi" w:hAnsi="Abadi" w:cs="Arial"/>
          <w:b/>
          <w:bCs/>
          <w:sz w:val="21"/>
          <w:szCs w:val="21"/>
          <w:lang w:val="es-MX" w:eastAsia="x-none"/>
        </w:rPr>
      </w:pPr>
    </w:p>
    <w:p w14:paraId="48EB0FCA"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CB1D5E">
          <w:rPr>
            <w:rFonts w:ascii="Abadi" w:hAnsi="Abadi" w:cs="Arial"/>
            <w:sz w:val="21"/>
            <w:szCs w:val="21"/>
            <w:lang w:val="es-MX" w:eastAsia="x-none"/>
          </w:rPr>
          <w:t>la Constitución Política</w:t>
        </w:r>
      </w:smartTag>
      <w:r w:rsidRPr="00CB1D5E">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7CC98B40" w14:textId="77777777" w:rsidR="00CB1D5E" w:rsidRPr="00CB1D5E" w:rsidRDefault="00CB1D5E" w:rsidP="00CB1D5E">
      <w:pPr>
        <w:ind w:firstLine="708"/>
        <w:jc w:val="both"/>
        <w:rPr>
          <w:rFonts w:ascii="Abadi" w:hAnsi="Abadi" w:cs="Arial"/>
          <w:sz w:val="21"/>
          <w:szCs w:val="21"/>
          <w:lang w:val="es-MX" w:eastAsia="x-none"/>
        </w:rPr>
      </w:pPr>
    </w:p>
    <w:p w14:paraId="5AF01268"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0BCD3438" w14:textId="77777777" w:rsidR="00CB1D5E" w:rsidRPr="00CB1D5E" w:rsidRDefault="00CB1D5E" w:rsidP="00626E93">
      <w:pPr>
        <w:jc w:val="both"/>
        <w:rPr>
          <w:rFonts w:ascii="Abadi" w:hAnsi="Abadi" w:cs="Arial"/>
          <w:sz w:val="21"/>
          <w:szCs w:val="21"/>
          <w:lang w:val="es-MX" w:eastAsia="x-none"/>
        </w:rPr>
      </w:pPr>
    </w:p>
    <w:p w14:paraId="5A58F719"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CB1D5E">
          <w:rPr>
            <w:rFonts w:ascii="Abadi" w:hAnsi="Abadi" w:cs="Arial"/>
            <w:sz w:val="21"/>
            <w:szCs w:val="21"/>
            <w:lang w:val="es-MX" w:eastAsia="x-none"/>
          </w:rPr>
          <w:t>la Constitución Política</w:t>
        </w:r>
      </w:smartTag>
      <w:r w:rsidRPr="00CB1D5E">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220C611C" w14:textId="77777777" w:rsidR="00CB1D5E" w:rsidRPr="00CB1D5E" w:rsidRDefault="00CB1D5E" w:rsidP="00CB1D5E">
      <w:pPr>
        <w:ind w:firstLine="708"/>
        <w:jc w:val="both"/>
        <w:rPr>
          <w:rFonts w:ascii="Abadi" w:hAnsi="Abadi" w:cs="Arial"/>
          <w:sz w:val="21"/>
          <w:szCs w:val="21"/>
          <w:lang w:val="es-MX" w:eastAsia="x-none"/>
        </w:rPr>
      </w:pPr>
    </w:p>
    <w:p w14:paraId="4FF63FA5"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4F479EE" w14:textId="77777777" w:rsidR="00CB1D5E" w:rsidRPr="00CB1D5E" w:rsidRDefault="00CB1D5E" w:rsidP="00CB1D5E">
      <w:pPr>
        <w:ind w:firstLine="708"/>
        <w:jc w:val="both"/>
        <w:rPr>
          <w:rFonts w:ascii="Abadi" w:hAnsi="Abadi" w:cs="Arial"/>
          <w:sz w:val="21"/>
          <w:szCs w:val="21"/>
          <w:lang w:val="es-MX" w:eastAsia="x-none"/>
        </w:rPr>
      </w:pPr>
    </w:p>
    <w:p w14:paraId="21F662E6"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 xml:space="preserve">De igual forma, el artículo 82, fracción XXIV de </w:t>
      </w:r>
      <w:smartTag w:uri="urn:schemas-microsoft-com:office:smarttags" w:element="PersonName">
        <w:smartTagPr>
          <w:attr w:name="ProductID" w:val="la Ley"/>
        </w:smartTagPr>
        <w:r w:rsidRPr="00CB1D5E">
          <w:rPr>
            <w:rFonts w:ascii="Abadi" w:hAnsi="Abadi" w:cs="Arial"/>
            <w:sz w:val="21"/>
            <w:szCs w:val="21"/>
            <w:lang w:val="es-MX" w:eastAsia="x-none"/>
          </w:rPr>
          <w:t>la Ley</w:t>
        </w:r>
      </w:smartTag>
      <w:r w:rsidRPr="00CB1D5E">
        <w:rPr>
          <w:rFonts w:ascii="Abadi" w:hAnsi="Abadi" w:cs="Arial"/>
          <w:sz w:val="21"/>
          <w:szCs w:val="21"/>
          <w:lang w:val="es-MX" w:eastAsia="x-none"/>
        </w:rPr>
        <w:t xml:space="preserve"> de Fiscalización Superior del Estado de Guanajuato consigna como atribución del Auditor Superior rendir al Congreso del Estado, los informes derivados del ejercicio de la función de fiscalización.</w:t>
      </w:r>
    </w:p>
    <w:p w14:paraId="043CD751" w14:textId="77777777" w:rsidR="00CB1D5E" w:rsidRPr="00CB1D5E" w:rsidRDefault="00CB1D5E" w:rsidP="00CB1D5E">
      <w:pPr>
        <w:ind w:firstLine="708"/>
        <w:jc w:val="both"/>
        <w:rPr>
          <w:rFonts w:ascii="Abadi" w:hAnsi="Abadi" w:cs="Arial"/>
          <w:sz w:val="21"/>
          <w:szCs w:val="21"/>
          <w:lang w:val="es-MX" w:eastAsia="x-none"/>
        </w:rPr>
      </w:pPr>
    </w:p>
    <w:p w14:paraId="2D1CF606"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4B17157A" w14:textId="77777777" w:rsidR="00CB1D5E" w:rsidRPr="00CB1D5E" w:rsidRDefault="00CB1D5E" w:rsidP="00CB1D5E">
      <w:pPr>
        <w:ind w:firstLine="708"/>
        <w:jc w:val="both"/>
        <w:rPr>
          <w:rFonts w:ascii="Abadi" w:hAnsi="Abadi" w:cs="Arial"/>
          <w:sz w:val="21"/>
          <w:szCs w:val="21"/>
          <w:lang w:val="es-MX" w:eastAsia="x-none"/>
        </w:rPr>
      </w:pPr>
    </w:p>
    <w:p w14:paraId="4F9FC63B"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 xml:space="preserve">Con la finalidad de que el Congreso dé cumplimiento a lo señalado en el párrafo anterior, </w:t>
      </w:r>
      <w:smartTag w:uri="urn:schemas-microsoft-com:office:smarttags" w:element="PersonName">
        <w:smartTagPr>
          <w:attr w:name="ProductID" w:val="la Ley Org￡nica"/>
        </w:smartTagPr>
        <w:r w:rsidRPr="00CB1D5E">
          <w:rPr>
            <w:rFonts w:ascii="Abadi" w:hAnsi="Abadi" w:cs="Arial"/>
            <w:sz w:val="21"/>
            <w:szCs w:val="21"/>
            <w:lang w:val="es-MX" w:eastAsia="x-none"/>
          </w:rPr>
          <w:t>la Ley Orgánica</w:t>
        </w:r>
      </w:smartTag>
      <w:r w:rsidRPr="00CB1D5E">
        <w:rPr>
          <w:rFonts w:ascii="Abadi" w:hAnsi="Abadi" w:cs="Arial"/>
          <w:sz w:val="21"/>
          <w:szCs w:val="21"/>
          <w:lang w:val="es-MX" w:eastAsia="x-none"/>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F84A844" w14:textId="77777777" w:rsidR="00CB1D5E" w:rsidRPr="00CB1D5E" w:rsidRDefault="00CB1D5E" w:rsidP="00CB1D5E">
      <w:pPr>
        <w:ind w:firstLine="708"/>
        <w:jc w:val="both"/>
        <w:rPr>
          <w:rFonts w:ascii="Abadi" w:hAnsi="Abadi" w:cs="Arial"/>
          <w:sz w:val="21"/>
          <w:szCs w:val="21"/>
          <w:lang w:val="es-MX" w:eastAsia="x-none"/>
        </w:rPr>
      </w:pPr>
    </w:p>
    <w:p w14:paraId="5F380295"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02C7EBB8" w14:textId="77777777" w:rsidR="00CB1D5E" w:rsidRPr="00CB1D5E" w:rsidRDefault="00CB1D5E" w:rsidP="00CB1D5E">
      <w:pPr>
        <w:ind w:firstLine="708"/>
        <w:jc w:val="both"/>
        <w:rPr>
          <w:rFonts w:ascii="Abadi" w:hAnsi="Abadi" w:cs="Arial"/>
          <w:b/>
          <w:bCs/>
          <w:sz w:val="21"/>
          <w:szCs w:val="21"/>
          <w:lang w:val="es-MX" w:eastAsia="x-none"/>
        </w:rPr>
      </w:pPr>
      <w:r w:rsidRPr="00CB1D5E">
        <w:rPr>
          <w:rFonts w:ascii="Abadi" w:hAnsi="Abadi" w:cs="Arial"/>
          <w:b/>
          <w:bCs/>
          <w:sz w:val="21"/>
          <w:szCs w:val="21"/>
          <w:lang w:val="es-MX" w:eastAsia="x-none"/>
        </w:rPr>
        <w:t>II. Antecedentes:</w:t>
      </w:r>
    </w:p>
    <w:p w14:paraId="4AAAA04D" w14:textId="77777777" w:rsidR="00CB1D5E" w:rsidRPr="00CB1D5E" w:rsidRDefault="00CB1D5E" w:rsidP="00CB1D5E">
      <w:pPr>
        <w:ind w:firstLine="708"/>
        <w:jc w:val="both"/>
        <w:rPr>
          <w:rFonts w:ascii="Abadi" w:hAnsi="Abadi" w:cs="Arial"/>
          <w:sz w:val="21"/>
          <w:szCs w:val="21"/>
          <w:lang w:val="es-MX" w:eastAsia="x-none"/>
        </w:rPr>
      </w:pPr>
    </w:p>
    <w:p w14:paraId="0ED47522"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CB1D5E">
          <w:rPr>
            <w:rFonts w:ascii="Abadi" w:hAnsi="Abadi" w:cs="Arial"/>
            <w:sz w:val="21"/>
            <w:szCs w:val="21"/>
            <w:lang w:val="es-MX" w:eastAsia="x-none"/>
          </w:rPr>
          <w:t>la Constitución Política</w:t>
        </w:r>
      </w:smartTag>
      <w:r w:rsidRPr="00CB1D5E">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079E4497" w14:textId="77777777" w:rsidR="00CB1D5E" w:rsidRPr="00CB1D5E" w:rsidRDefault="00CB1D5E" w:rsidP="00CB1D5E">
      <w:pPr>
        <w:ind w:firstLine="708"/>
        <w:jc w:val="both"/>
        <w:rPr>
          <w:rFonts w:ascii="Abadi" w:hAnsi="Abadi" w:cs="Arial"/>
          <w:sz w:val="21"/>
          <w:szCs w:val="21"/>
          <w:lang w:val="es-MX" w:eastAsia="x-none"/>
        </w:rPr>
      </w:pPr>
    </w:p>
    <w:p w14:paraId="5DBA00E9"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Por su parte, el artículo 66 de la Constitución Política Local, establece que los sujetos de fiscalización presentarán al Congreso del Estado los informes financieros y su cuenta pública con la periodicidad, forma y términos que establezca la Ley.</w:t>
      </w:r>
    </w:p>
    <w:p w14:paraId="43C1E35B" w14:textId="77777777" w:rsidR="00CB1D5E" w:rsidRPr="00CB1D5E" w:rsidRDefault="00CB1D5E" w:rsidP="00CB1D5E">
      <w:pPr>
        <w:ind w:firstLine="708"/>
        <w:jc w:val="both"/>
        <w:rPr>
          <w:rFonts w:ascii="Abadi" w:hAnsi="Abadi" w:cs="Arial"/>
          <w:sz w:val="21"/>
          <w:szCs w:val="21"/>
          <w:lang w:val="es-MX" w:eastAsia="x-none"/>
        </w:rPr>
      </w:pPr>
    </w:p>
    <w:p w14:paraId="003BE571"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 xml:space="preserve">La fracción III del artículo 3 de </w:t>
      </w:r>
      <w:smartTag w:uri="urn:schemas-microsoft-com:office:smarttags" w:element="PersonName">
        <w:smartTagPr>
          <w:attr w:name="ProductID" w:val="la Ley"/>
        </w:smartTagPr>
        <w:r w:rsidRPr="00CB1D5E">
          <w:rPr>
            <w:rFonts w:ascii="Abadi" w:hAnsi="Abadi" w:cs="Arial"/>
            <w:sz w:val="21"/>
            <w:szCs w:val="21"/>
            <w:lang w:val="es-MX" w:eastAsia="x-none"/>
          </w:rPr>
          <w:t>la Ley</w:t>
        </w:r>
      </w:smartTag>
      <w:r w:rsidRPr="00CB1D5E">
        <w:rPr>
          <w:rFonts w:ascii="Abadi" w:hAnsi="Abadi" w:cs="Arial"/>
          <w:sz w:val="21"/>
          <w:szCs w:val="21"/>
          <w:lang w:val="es-MX" w:eastAsia="x-none"/>
        </w:rPr>
        <w:t xml:space="preserve"> de Fiscalización Superior del Estado de Guanajuato señala que la Auditoría Superior del Estado será competente para fiscalizar la gestión financiera de los sujetos de fiscalización, a través de sus cuentas públicas.</w:t>
      </w:r>
    </w:p>
    <w:p w14:paraId="14DDC930" w14:textId="77777777" w:rsidR="00CB1D5E" w:rsidRPr="00CB1D5E" w:rsidRDefault="00CB1D5E" w:rsidP="00CB1D5E">
      <w:pPr>
        <w:ind w:firstLine="708"/>
        <w:jc w:val="both"/>
        <w:rPr>
          <w:rFonts w:ascii="Abadi" w:hAnsi="Abadi" w:cs="Arial"/>
          <w:sz w:val="21"/>
          <w:szCs w:val="21"/>
          <w:lang w:val="es-MX" w:eastAsia="x-none"/>
        </w:rPr>
      </w:pPr>
    </w:p>
    <w:p w14:paraId="1B7C0591"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7FEE4653" w14:textId="77777777" w:rsidR="00CB1D5E" w:rsidRPr="00CB1D5E" w:rsidRDefault="00CB1D5E" w:rsidP="00CB1D5E">
      <w:pPr>
        <w:ind w:firstLine="708"/>
        <w:jc w:val="both"/>
        <w:rPr>
          <w:rFonts w:ascii="Abadi" w:hAnsi="Abadi" w:cs="Arial"/>
          <w:sz w:val="21"/>
          <w:szCs w:val="21"/>
          <w:lang w:val="es-MX" w:eastAsia="x-none"/>
        </w:rPr>
      </w:pPr>
    </w:p>
    <w:p w14:paraId="730CC879"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No será impedimento para que la Auditoría Superior del Estado realice la función de fiscalización, si la cuenta pública no está presentada y disponible en los plazos y requisitos señalados en la ley.</w:t>
      </w:r>
    </w:p>
    <w:p w14:paraId="4C73C091" w14:textId="77777777" w:rsidR="00CB1D5E" w:rsidRPr="00CB1D5E" w:rsidRDefault="00CB1D5E" w:rsidP="00CB1D5E">
      <w:pPr>
        <w:ind w:firstLine="708"/>
        <w:jc w:val="both"/>
        <w:rPr>
          <w:rFonts w:ascii="Abadi" w:hAnsi="Abadi" w:cs="Arial"/>
          <w:sz w:val="21"/>
          <w:szCs w:val="21"/>
          <w:lang w:val="es-MX" w:eastAsia="x-none"/>
        </w:rPr>
      </w:pPr>
    </w:p>
    <w:p w14:paraId="0FAF6933"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CB1D5E">
          <w:rPr>
            <w:rFonts w:ascii="Abadi" w:hAnsi="Abadi" w:cs="Arial"/>
            <w:sz w:val="21"/>
            <w:szCs w:val="21"/>
            <w:lang w:val="es-MX" w:eastAsia="x-none"/>
          </w:rPr>
          <w:t>la Ley Orgánica</w:t>
        </w:r>
      </w:smartTag>
      <w:r w:rsidRPr="00CB1D5E">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28B64563" w14:textId="77777777" w:rsidR="00CB1D5E" w:rsidRPr="00CB1D5E" w:rsidRDefault="00CB1D5E" w:rsidP="00626E93">
      <w:pPr>
        <w:jc w:val="both"/>
        <w:rPr>
          <w:rFonts w:ascii="Abadi" w:hAnsi="Abadi" w:cs="Arial"/>
          <w:sz w:val="21"/>
          <w:szCs w:val="21"/>
          <w:lang w:val="es-MX" w:eastAsia="x-none"/>
        </w:rPr>
      </w:pPr>
    </w:p>
    <w:p w14:paraId="7390B3C3" w14:textId="77777777" w:rsidR="00CB1D5E" w:rsidRPr="00CB1D5E" w:rsidRDefault="00CB1D5E" w:rsidP="00CB1D5E">
      <w:pPr>
        <w:ind w:right="60" w:firstLine="709"/>
        <w:jc w:val="both"/>
        <w:rPr>
          <w:rFonts w:ascii="Abadi" w:hAnsi="Abadi" w:cs="Arial"/>
          <w:sz w:val="21"/>
          <w:szCs w:val="21"/>
          <w:lang w:val="es-MX" w:eastAsia="x-none"/>
        </w:rPr>
      </w:pPr>
      <w:r w:rsidRPr="00CB1D5E">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114D4703" w14:textId="77777777" w:rsidR="00CB1D5E" w:rsidRPr="00CB1D5E" w:rsidRDefault="00CB1D5E" w:rsidP="00CB1D5E">
      <w:pPr>
        <w:ind w:right="58" w:firstLine="709"/>
        <w:jc w:val="both"/>
        <w:rPr>
          <w:rFonts w:ascii="Abadi" w:eastAsia="DejaVu Sans" w:hAnsi="Abadi" w:cs="Tahoma"/>
          <w:iCs/>
          <w:kern w:val="1"/>
          <w:sz w:val="21"/>
          <w:szCs w:val="21"/>
          <w:lang w:eastAsia="ar-SA"/>
        </w:rPr>
      </w:pPr>
    </w:p>
    <w:p w14:paraId="5CAA0BA4"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028D6C59" w14:textId="77777777" w:rsidR="00CB1D5E" w:rsidRPr="00CB1D5E" w:rsidRDefault="00CB1D5E" w:rsidP="00CB1D5E">
      <w:pPr>
        <w:ind w:firstLine="708"/>
        <w:jc w:val="both"/>
        <w:rPr>
          <w:rFonts w:ascii="Abadi" w:hAnsi="Abadi" w:cs="Arial"/>
          <w:sz w:val="21"/>
          <w:szCs w:val="21"/>
          <w:lang w:val="es-MX" w:eastAsia="x-none"/>
        </w:rPr>
      </w:pPr>
    </w:p>
    <w:p w14:paraId="068236AD"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4C7841FF" w14:textId="77777777" w:rsidR="00CB1D5E" w:rsidRPr="00CB1D5E" w:rsidRDefault="00CB1D5E" w:rsidP="00CB1D5E">
      <w:pPr>
        <w:ind w:firstLine="708"/>
        <w:jc w:val="both"/>
        <w:rPr>
          <w:rFonts w:ascii="Abadi" w:hAnsi="Abadi" w:cs="Arial"/>
          <w:sz w:val="21"/>
          <w:szCs w:val="21"/>
          <w:lang w:val="es-MX" w:eastAsia="x-none"/>
        </w:rPr>
      </w:pPr>
    </w:p>
    <w:p w14:paraId="3C88B87B" w14:textId="77777777" w:rsidR="00CB1D5E" w:rsidRPr="00CB1D5E" w:rsidRDefault="00CB1D5E" w:rsidP="00CB1D5E">
      <w:pPr>
        <w:ind w:right="60" w:firstLine="709"/>
        <w:jc w:val="both"/>
        <w:rPr>
          <w:rFonts w:ascii="Abadi" w:hAnsi="Abadi" w:cs="Arial"/>
          <w:sz w:val="21"/>
          <w:szCs w:val="21"/>
          <w:lang w:val="es-MX" w:eastAsia="x-none"/>
        </w:rPr>
      </w:pPr>
      <w:r w:rsidRPr="00CB1D5E">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641A23F8" w14:textId="77777777" w:rsidR="00CB1D5E" w:rsidRPr="00CB1D5E" w:rsidRDefault="00CB1D5E" w:rsidP="00CB1D5E">
      <w:pPr>
        <w:ind w:firstLine="708"/>
        <w:jc w:val="both"/>
        <w:rPr>
          <w:rFonts w:ascii="Abadi" w:hAnsi="Abadi" w:cs="Arial"/>
          <w:sz w:val="21"/>
          <w:szCs w:val="21"/>
          <w:lang w:eastAsia="x-none"/>
        </w:rPr>
      </w:pPr>
    </w:p>
    <w:p w14:paraId="59E2C067"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6AFC0B0E" w14:textId="77777777" w:rsidR="00CB1D5E" w:rsidRPr="00CB1D5E" w:rsidRDefault="00CB1D5E" w:rsidP="00CB1D5E">
      <w:pPr>
        <w:ind w:firstLine="708"/>
        <w:jc w:val="both"/>
        <w:rPr>
          <w:rFonts w:ascii="Abadi" w:hAnsi="Abadi" w:cs="Arial"/>
          <w:sz w:val="21"/>
          <w:szCs w:val="21"/>
          <w:lang w:val="es-MX" w:eastAsia="x-none"/>
        </w:rPr>
      </w:pPr>
    </w:p>
    <w:p w14:paraId="6240F78B" w14:textId="77777777" w:rsidR="00CB1D5E" w:rsidRPr="00CB1D5E" w:rsidRDefault="00CB1D5E" w:rsidP="00CB1D5E">
      <w:pPr>
        <w:tabs>
          <w:tab w:val="left" w:pos="709"/>
        </w:tabs>
        <w:jc w:val="both"/>
        <w:rPr>
          <w:rFonts w:ascii="Abadi" w:hAnsi="Abadi" w:cs="Arial"/>
          <w:sz w:val="21"/>
          <w:szCs w:val="21"/>
          <w:lang w:val="es-MX" w:eastAsia="x-none"/>
        </w:rPr>
      </w:pPr>
      <w:r w:rsidRPr="00CB1D5E">
        <w:rPr>
          <w:rFonts w:ascii="Abadi" w:hAnsi="Abadi" w:cs="Arial"/>
          <w:sz w:val="21"/>
          <w:szCs w:val="21"/>
        </w:rPr>
        <w:tab/>
        <w:t xml:space="preserve">El citado artículo también refiere </w:t>
      </w:r>
      <w:r w:rsidRPr="00CB1D5E">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71657938" w14:textId="77777777" w:rsidR="00CB1D5E" w:rsidRPr="00CB1D5E" w:rsidRDefault="00CB1D5E" w:rsidP="00CB1D5E">
      <w:pPr>
        <w:tabs>
          <w:tab w:val="left" w:pos="709"/>
        </w:tabs>
        <w:jc w:val="both"/>
        <w:rPr>
          <w:rFonts w:ascii="Abadi" w:hAnsi="Abadi" w:cs="Arial"/>
          <w:sz w:val="21"/>
          <w:szCs w:val="21"/>
          <w:lang w:val="es-MX" w:eastAsia="x-none"/>
        </w:rPr>
      </w:pPr>
      <w:r w:rsidRPr="00CB1D5E">
        <w:rPr>
          <w:rFonts w:ascii="Abadi" w:hAnsi="Abadi" w:cs="Arial"/>
          <w:sz w:val="21"/>
          <w:szCs w:val="21"/>
          <w:lang w:val="es-MX" w:eastAsia="x-none"/>
        </w:rPr>
        <w:tab/>
        <w:t xml:space="preserve">En términos del numeral 23 de la </w:t>
      </w:r>
      <w:r w:rsidRPr="00CB1D5E">
        <w:rPr>
          <w:rFonts w:ascii="Abadi" w:hAnsi="Abadi" w:cs="Arial"/>
          <w:sz w:val="21"/>
          <w:szCs w:val="21"/>
        </w:rPr>
        <w:t>Ley de Fiscalización Superior del Estado de Guanajuato, p</w:t>
      </w:r>
      <w:r w:rsidRPr="00CB1D5E">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5CE83E7F" w14:textId="77777777" w:rsidR="00CB1D5E" w:rsidRPr="00CB1D5E" w:rsidRDefault="00CB1D5E" w:rsidP="00CB1D5E">
      <w:pPr>
        <w:tabs>
          <w:tab w:val="left" w:pos="709"/>
        </w:tabs>
        <w:jc w:val="both"/>
        <w:rPr>
          <w:rFonts w:ascii="Abadi" w:hAnsi="Abadi" w:cs="Arial"/>
          <w:sz w:val="21"/>
          <w:szCs w:val="21"/>
          <w:lang w:val="es-MX" w:eastAsia="x-none"/>
        </w:rPr>
      </w:pPr>
    </w:p>
    <w:p w14:paraId="54B2705E"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5C8DA502" w14:textId="77777777" w:rsidR="00CB1D5E" w:rsidRPr="00CB1D5E" w:rsidRDefault="00CB1D5E" w:rsidP="00CB1D5E">
      <w:pPr>
        <w:ind w:firstLine="708"/>
        <w:jc w:val="both"/>
        <w:rPr>
          <w:rFonts w:ascii="Abadi" w:hAnsi="Abadi" w:cs="Arial"/>
          <w:sz w:val="21"/>
          <w:szCs w:val="21"/>
          <w:lang w:val="es-MX" w:eastAsia="x-none"/>
        </w:rPr>
      </w:pPr>
    </w:p>
    <w:p w14:paraId="410015EB"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En cumplimiento a los citados preceptos, en su oportunidad se remitió a este Congreso del Estado, la cuenta pública municipal de Tierra Blanca, Gto., correspondiente al ejercicio fiscal del año 2020, turnándose a la Auditoría Superior del Estado para su revisión.</w:t>
      </w:r>
    </w:p>
    <w:p w14:paraId="3B55AA32" w14:textId="77777777" w:rsidR="00CB1D5E" w:rsidRPr="00CB1D5E" w:rsidRDefault="00CB1D5E" w:rsidP="00CB1D5E">
      <w:pPr>
        <w:ind w:firstLine="708"/>
        <w:jc w:val="both"/>
        <w:rPr>
          <w:rFonts w:ascii="Abadi" w:hAnsi="Abadi" w:cs="Arial"/>
          <w:sz w:val="21"/>
          <w:szCs w:val="21"/>
          <w:lang w:val="es-MX" w:eastAsia="x-none"/>
        </w:rPr>
      </w:pPr>
    </w:p>
    <w:p w14:paraId="606F0120" w14:textId="77777777" w:rsidR="00CB1D5E" w:rsidRPr="00CB1D5E" w:rsidRDefault="00CB1D5E" w:rsidP="00CB1D5E">
      <w:pPr>
        <w:ind w:firstLine="708"/>
        <w:jc w:val="both"/>
        <w:rPr>
          <w:rFonts w:ascii="Abadi" w:hAnsi="Abadi" w:cs="Arial"/>
          <w:sz w:val="21"/>
          <w:szCs w:val="21"/>
          <w:lang w:eastAsia="x-none"/>
        </w:rPr>
      </w:pPr>
      <w:r w:rsidRPr="00CB1D5E">
        <w:rPr>
          <w:rFonts w:ascii="Abadi" w:hAnsi="Abadi" w:cs="Arial"/>
          <w:sz w:val="21"/>
          <w:szCs w:val="21"/>
          <w:lang w:eastAsia="x-none"/>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1D8B14F9" w14:textId="77777777" w:rsidR="00CB1D5E" w:rsidRPr="00CB1D5E" w:rsidRDefault="00CB1D5E" w:rsidP="00CB1D5E">
      <w:pPr>
        <w:ind w:firstLine="708"/>
        <w:jc w:val="both"/>
        <w:rPr>
          <w:rFonts w:ascii="Abadi" w:hAnsi="Abadi" w:cs="Arial"/>
          <w:sz w:val="21"/>
          <w:szCs w:val="21"/>
          <w:lang w:val="es-MX" w:eastAsia="x-none"/>
        </w:rPr>
      </w:pPr>
    </w:p>
    <w:p w14:paraId="7BB060F5"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En ejercicio de esta función, el Auditor Superior del Estado aprobó el Programa General de Fiscalización 2021. En dicho Programa se contempló la revisión de la cuenta pública municipal de Tierra Blanca, Gto., correspondiente al ejercicio fiscal del año 2020.</w:t>
      </w:r>
    </w:p>
    <w:p w14:paraId="3884824D" w14:textId="77777777" w:rsidR="00CB1D5E" w:rsidRPr="00CB1D5E" w:rsidRDefault="00CB1D5E" w:rsidP="00CB1D5E">
      <w:pPr>
        <w:ind w:firstLine="708"/>
        <w:jc w:val="both"/>
        <w:rPr>
          <w:rFonts w:ascii="Abadi" w:hAnsi="Abadi" w:cs="Arial"/>
          <w:sz w:val="21"/>
          <w:szCs w:val="21"/>
          <w:lang w:val="es-MX" w:eastAsia="x-none"/>
        </w:rPr>
      </w:pPr>
    </w:p>
    <w:p w14:paraId="4E87A202" w14:textId="77777777" w:rsidR="00CB1D5E" w:rsidRPr="00CB1D5E" w:rsidRDefault="00CB1D5E" w:rsidP="00CB1D5E">
      <w:pPr>
        <w:ind w:firstLine="708"/>
        <w:jc w:val="both"/>
        <w:rPr>
          <w:rFonts w:ascii="Abadi" w:hAnsi="Abadi" w:cs="Arial"/>
          <w:bCs/>
          <w:sz w:val="21"/>
          <w:szCs w:val="21"/>
          <w:lang w:val="es-MX" w:eastAsia="x-none"/>
        </w:rPr>
      </w:pPr>
      <w:r w:rsidRPr="00CB1D5E">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CB1D5E">
        <w:rPr>
          <w:rFonts w:ascii="Abadi" w:hAnsi="Abadi" w:cs="Arial"/>
          <w:bCs/>
          <w:sz w:val="21"/>
          <w:szCs w:val="21"/>
          <w:lang w:val="es-MX" w:eastAsia="x-none"/>
        </w:rPr>
        <w:t>el 21 de abril de 2022 para su estudio y dictamen, siendo radicado el 26 de abril del año en curso.</w:t>
      </w:r>
    </w:p>
    <w:p w14:paraId="445EFEFE" w14:textId="77777777" w:rsidR="00CB1D5E" w:rsidRPr="00CB1D5E" w:rsidRDefault="00CB1D5E" w:rsidP="00CB1D5E">
      <w:pPr>
        <w:ind w:firstLine="708"/>
        <w:jc w:val="both"/>
        <w:rPr>
          <w:rFonts w:ascii="Abadi" w:hAnsi="Abadi" w:cs="Arial"/>
          <w:bCs/>
          <w:sz w:val="21"/>
          <w:szCs w:val="21"/>
          <w:lang w:val="es-MX" w:eastAsia="x-none"/>
        </w:rPr>
      </w:pPr>
    </w:p>
    <w:p w14:paraId="0B692F11" w14:textId="77777777" w:rsidR="00CB1D5E" w:rsidRPr="00CB1D5E" w:rsidRDefault="00CB1D5E" w:rsidP="00CB1D5E">
      <w:pPr>
        <w:ind w:firstLine="708"/>
        <w:jc w:val="both"/>
        <w:rPr>
          <w:rFonts w:ascii="Abadi" w:hAnsi="Abadi" w:cs="Arial"/>
          <w:sz w:val="21"/>
          <w:szCs w:val="21"/>
          <w:lang w:val="es-MX" w:eastAsia="x-none"/>
        </w:rPr>
      </w:pPr>
    </w:p>
    <w:p w14:paraId="5D3F5C04" w14:textId="77777777" w:rsidR="00CB1D5E" w:rsidRPr="00CB1D5E" w:rsidRDefault="00CB1D5E" w:rsidP="00CB1D5E">
      <w:pPr>
        <w:ind w:firstLine="708"/>
        <w:jc w:val="both"/>
        <w:rPr>
          <w:rFonts w:ascii="Abadi" w:hAnsi="Abadi" w:cs="Arial"/>
          <w:b/>
          <w:bCs/>
          <w:sz w:val="21"/>
          <w:szCs w:val="21"/>
          <w:lang w:val="es-MX" w:eastAsia="x-none"/>
        </w:rPr>
      </w:pPr>
      <w:r w:rsidRPr="00CB1D5E">
        <w:rPr>
          <w:rFonts w:ascii="Abadi" w:hAnsi="Abadi" w:cs="Arial"/>
          <w:b/>
          <w:bCs/>
          <w:sz w:val="21"/>
          <w:szCs w:val="21"/>
          <w:lang w:val="es-MX" w:eastAsia="x-none"/>
        </w:rPr>
        <w:t>III. Procedimiento de Revisión:</w:t>
      </w:r>
    </w:p>
    <w:p w14:paraId="62B9F22C" w14:textId="77777777" w:rsidR="00CB1D5E" w:rsidRPr="00CB1D5E" w:rsidRDefault="00CB1D5E" w:rsidP="00CB1D5E">
      <w:pPr>
        <w:ind w:firstLine="708"/>
        <w:jc w:val="both"/>
        <w:rPr>
          <w:rFonts w:ascii="Abadi" w:hAnsi="Abadi" w:cs="Arial"/>
          <w:sz w:val="21"/>
          <w:szCs w:val="21"/>
          <w:lang w:val="es-MX" w:eastAsia="x-none"/>
        </w:rPr>
      </w:pPr>
    </w:p>
    <w:p w14:paraId="128C7155"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La revisión de la cuenta pública municipal de Tierra Blanca, Gto.,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30E47A35" w14:textId="77777777" w:rsidR="00CB1D5E" w:rsidRPr="00CB1D5E" w:rsidRDefault="00CB1D5E" w:rsidP="00CB1D5E">
      <w:pPr>
        <w:ind w:firstLine="708"/>
        <w:jc w:val="both"/>
        <w:rPr>
          <w:rFonts w:ascii="Abadi" w:hAnsi="Abadi" w:cs="Arial"/>
          <w:sz w:val="21"/>
          <w:szCs w:val="21"/>
          <w:lang w:eastAsia="x-none"/>
        </w:rPr>
      </w:pPr>
    </w:p>
    <w:p w14:paraId="48312329"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201EC8EB" w14:textId="77777777" w:rsidR="00CB1D5E" w:rsidRPr="00CB1D5E" w:rsidRDefault="00CB1D5E" w:rsidP="00CB1D5E">
      <w:pPr>
        <w:ind w:firstLine="708"/>
        <w:jc w:val="both"/>
        <w:rPr>
          <w:rFonts w:ascii="Abadi" w:hAnsi="Abadi" w:cs="Arial"/>
          <w:sz w:val="21"/>
          <w:szCs w:val="21"/>
          <w:lang w:val="es-MX" w:eastAsia="x-none"/>
        </w:rPr>
      </w:pPr>
    </w:p>
    <w:p w14:paraId="11E7AF26" w14:textId="412E2FC5" w:rsidR="00CB1D5E" w:rsidRPr="00CB1D5E" w:rsidRDefault="00CB1D5E" w:rsidP="00626E93">
      <w:pPr>
        <w:ind w:firstLine="708"/>
        <w:jc w:val="both"/>
        <w:rPr>
          <w:rFonts w:ascii="Abadi" w:hAnsi="Abadi" w:cs="Arial"/>
          <w:sz w:val="21"/>
          <w:szCs w:val="21"/>
          <w:lang w:val="es-MX" w:eastAsia="x-none"/>
        </w:rPr>
      </w:pPr>
      <w:r w:rsidRPr="00CB1D5E">
        <w:rPr>
          <w:rFonts w:ascii="Abadi" w:hAnsi="Abadi" w:cs="Arial"/>
          <w:sz w:val="21"/>
          <w:szCs w:val="21"/>
          <w:lang w:val="es-MX" w:eastAsia="x-none"/>
        </w:rPr>
        <w:t>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00370625" w14:textId="77777777" w:rsidR="00CB1D5E" w:rsidRPr="00CB1D5E" w:rsidRDefault="00CB1D5E" w:rsidP="00CB1D5E">
      <w:pPr>
        <w:ind w:firstLine="708"/>
        <w:jc w:val="both"/>
        <w:rPr>
          <w:rFonts w:ascii="Abadi" w:hAnsi="Abadi" w:cs="Arial"/>
          <w:sz w:val="21"/>
          <w:szCs w:val="21"/>
          <w:lang w:val="es-MX" w:eastAsia="x-none"/>
        </w:rPr>
      </w:pPr>
    </w:p>
    <w:p w14:paraId="59F37BE7"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6CE52B2D" w14:textId="77777777" w:rsidR="00CB1D5E" w:rsidRPr="00CB1D5E" w:rsidRDefault="00CB1D5E" w:rsidP="00CB1D5E">
      <w:pPr>
        <w:ind w:firstLine="708"/>
        <w:jc w:val="both"/>
        <w:rPr>
          <w:rFonts w:ascii="Abadi" w:hAnsi="Abadi" w:cs="Arial"/>
          <w:sz w:val="21"/>
          <w:szCs w:val="21"/>
          <w:lang w:val="es-MX" w:eastAsia="x-none"/>
        </w:rPr>
      </w:pPr>
    </w:p>
    <w:p w14:paraId="2EB658E8" w14:textId="77777777" w:rsidR="00CB1D5E" w:rsidRPr="00CB1D5E" w:rsidRDefault="00CB1D5E" w:rsidP="00CB1D5E">
      <w:pPr>
        <w:ind w:firstLine="705"/>
        <w:jc w:val="both"/>
        <w:rPr>
          <w:rFonts w:ascii="Abadi" w:hAnsi="Abadi" w:cs="Arial"/>
          <w:sz w:val="21"/>
          <w:szCs w:val="21"/>
          <w:lang w:val="es-MX" w:eastAsia="x-none"/>
        </w:rPr>
      </w:pPr>
      <w:r w:rsidRPr="00CB1D5E">
        <w:rPr>
          <w:rFonts w:ascii="Abadi" w:hAnsi="Abadi" w:cs="Arial"/>
          <w:sz w:val="21"/>
          <w:szCs w:val="21"/>
          <w:lang w:val="es-MX" w:eastAsia="x-none"/>
        </w:rPr>
        <w:t>El informe de resultados establece que se practicó la revisión de la cuenta pública respecto de las operaciones realizadas por la administración municipal de Tierra Blanca, Gto., correspondientes al ejercicio fiscal 2020, en lo referente a los apartados de ingresos y egresos.</w:t>
      </w:r>
    </w:p>
    <w:p w14:paraId="247D83FD" w14:textId="77777777" w:rsidR="00CB1D5E" w:rsidRPr="00CB1D5E" w:rsidRDefault="00CB1D5E" w:rsidP="00CB1D5E">
      <w:pPr>
        <w:ind w:firstLine="705"/>
        <w:jc w:val="both"/>
        <w:rPr>
          <w:rFonts w:ascii="Abadi" w:hAnsi="Abadi" w:cs="Arial"/>
          <w:sz w:val="21"/>
          <w:szCs w:val="21"/>
          <w:lang w:val="es-MX" w:eastAsia="x-none"/>
        </w:rPr>
      </w:pPr>
    </w:p>
    <w:p w14:paraId="7E3D543A" w14:textId="77777777" w:rsidR="00CB1D5E" w:rsidRPr="00CB1D5E" w:rsidRDefault="00CB1D5E" w:rsidP="00CB1D5E">
      <w:pPr>
        <w:autoSpaceDE w:val="0"/>
        <w:autoSpaceDN w:val="0"/>
        <w:adjustRightInd w:val="0"/>
        <w:ind w:firstLine="708"/>
        <w:jc w:val="both"/>
        <w:rPr>
          <w:rFonts w:ascii="Abadi" w:hAnsi="Abadi" w:cs="Arial"/>
          <w:sz w:val="21"/>
          <w:szCs w:val="21"/>
          <w:lang w:val="es-MX" w:eastAsia="x-none"/>
        </w:rPr>
      </w:pPr>
      <w:r w:rsidRPr="00CB1D5E">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0A0C5DC2" w14:textId="77777777" w:rsidR="00CB1D5E" w:rsidRPr="00CB1D5E" w:rsidRDefault="00CB1D5E" w:rsidP="00626E93">
      <w:pPr>
        <w:jc w:val="both"/>
        <w:rPr>
          <w:rFonts w:ascii="Abadi" w:hAnsi="Abadi" w:cs="Arial"/>
          <w:sz w:val="21"/>
          <w:szCs w:val="21"/>
          <w:lang w:val="es-MX" w:eastAsia="x-none"/>
        </w:rPr>
      </w:pPr>
    </w:p>
    <w:p w14:paraId="17757EEC"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1192D3FE" w14:textId="77777777" w:rsidR="00CB1D5E" w:rsidRPr="00CB1D5E" w:rsidRDefault="00CB1D5E" w:rsidP="00CB1D5E">
      <w:pPr>
        <w:ind w:firstLine="708"/>
        <w:jc w:val="both"/>
        <w:rPr>
          <w:rFonts w:ascii="Abadi" w:hAnsi="Abadi" w:cs="Arial"/>
          <w:sz w:val="21"/>
          <w:szCs w:val="21"/>
          <w:lang w:val="es-MX" w:eastAsia="x-none"/>
        </w:rPr>
      </w:pPr>
    </w:p>
    <w:p w14:paraId="48DB69DA" w14:textId="77777777" w:rsidR="00CB1D5E" w:rsidRPr="00CB1D5E" w:rsidRDefault="00CB1D5E" w:rsidP="00CB1D5E">
      <w:pPr>
        <w:ind w:firstLine="708"/>
        <w:jc w:val="both"/>
        <w:rPr>
          <w:rFonts w:ascii="Abadi" w:hAnsi="Abadi" w:cs="Arial"/>
          <w:sz w:val="21"/>
          <w:szCs w:val="21"/>
        </w:rPr>
      </w:pPr>
      <w:r w:rsidRPr="00CB1D5E">
        <w:rPr>
          <w:rFonts w:ascii="Abadi" w:hAnsi="Abadi" w:cs="Arial"/>
          <w:sz w:val="21"/>
          <w:szCs w:val="21"/>
        </w:rPr>
        <w:t>El 18 de agosto de 2021 se notificó al presidente municipal de Tierra Blanca, Gto., la orden de inicio del procedimiento de revisión de la cuenta pública.</w:t>
      </w:r>
    </w:p>
    <w:p w14:paraId="24789AFA" w14:textId="77777777" w:rsidR="00CB1D5E" w:rsidRPr="00CB1D5E" w:rsidRDefault="00CB1D5E" w:rsidP="00CB1D5E">
      <w:pPr>
        <w:ind w:firstLine="708"/>
        <w:jc w:val="both"/>
        <w:rPr>
          <w:rFonts w:ascii="Abadi" w:hAnsi="Abadi" w:cs="Arial"/>
          <w:sz w:val="21"/>
          <w:szCs w:val="21"/>
        </w:rPr>
      </w:pPr>
    </w:p>
    <w:p w14:paraId="41DE26F0" w14:textId="77777777" w:rsidR="00CB1D5E" w:rsidRPr="00CB1D5E" w:rsidRDefault="00CB1D5E" w:rsidP="00CB1D5E">
      <w:pPr>
        <w:ind w:firstLine="708"/>
        <w:jc w:val="both"/>
        <w:rPr>
          <w:rFonts w:ascii="Abadi" w:hAnsi="Abadi" w:cs="Arial"/>
          <w:sz w:val="21"/>
          <w:szCs w:val="21"/>
        </w:rPr>
      </w:pPr>
      <w:r w:rsidRPr="00CB1D5E">
        <w:rPr>
          <w:rFonts w:ascii="Abadi" w:hAnsi="Abadi" w:cs="Arial"/>
          <w:sz w:val="21"/>
          <w:szCs w:val="21"/>
        </w:rPr>
        <w:t>Posteriormente, en fechas 30 de noviembre de 2021, 6 y 10 de enero de 2022, se notificó al presidente y al ex-presidente municipales de Tierra Blanca, Gto., la suspensión del plazo de la revisión materia del presente dictamen, de conformidad con lo establecido en los Acuerdos de Suspensión de Plazos publicados en el Periódico Oficial del Gobierno del Estado de Guanajuato los días 19 de noviembre y 17 de diciembre de 2021.</w:t>
      </w:r>
    </w:p>
    <w:p w14:paraId="02888EEC" w14:textId="77777777" w:rsidR="00CB1D5E" w:rsidRPr="00CB1D5E" w:rsidRDefault="00CB1D5E" w:rsidP="00CB1D5E">
      <w:pPr>
        <w:ind w:firstLine="708"/>
        <w:jc w:val="both"/>
        <w:rPr>
          <w:rFonts w:ascii="Abadi" w:hAnsi="Abadi" w:cs="Arial"/>
          <w:sz w:val="21"/>
          <w:szCs w:val="21"/>
        </w:rPr>
      </w:pPr>
    </w:p>
    <w:p w14:paraId="4BDF9D05" w14:textId="77777777" w:rsidR="00CB1D5E" w:rsidRPr="00CB1D5E" w:rsidRDefault="00CB1D5E" w:rsidP="00CB1D5E">
      <w:pPr>
        <w:ind w:firstLine="708"/>
        <w:jc w:val="both"/>
        <w:rPr>
          <w:rFonts w:ascii="Abadi" w:hAnsi="Abadi" w:cs="Arial"/>
          <w:sz w:val="21"/>
          <w:szCs w:val="21"/>
        </w:rPr>
      </w:pPr>
      <w:r w:rsidRPr="00CB1D5E">
        <w:rPr>
          <w:rFonts w:ascii="Abadi" w:hAnsi="Abadi" w:cs="Arial"/>
          <w:sz w:val="21"/>
          <w:szCs w:val="21"/>
        </w:rPr>
        <w:t>El 19 de enero de 2022, se notificó al presidente y al ex-presidente municipales de Tierra Blanca, Gto., el pliego de observaciones y recomendaciones derivado de la revisión practicada a la cuenta pública municipal de Tierra Blanca, Gto., correspondiente al ejercicio fiscal del año 2020, al cual se dio respuesta en fechas 8, 18 y 24 de febrero de 2022 por parte del presidente y ex-presidente municipales, así como del secretario de Ayuntamiento y del tesorero municipal.</w:t>
      </w:r>
    </w:p>
    <w:p w14:paraId="5C97A5E1" w14:textId="77777777" w:rsidR="00CB1D5E" w:rsidRPr="00CB1D5E" w:rsidRDefault="00CB1D5E" w:rsidP="00CB1D5E">
      <w:pPr>
        <w:ind w:firstLine="708"/>
        <w:jc w:val="both"/>
        <w:rPr>
          <w:rFonts w:ascii="Abadi" w:hAnsi="Abadi" w:cs="Arial"/>
          <w:sz w:val="21"/>
          <w:szCs w:val="21"/>
        </w:rPr>
      </w:pPr>
    </w:p>
    <w:p w14:paraId="40C38A25"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 xml:space="preserve">El 29 de marzo de 2022, el informe de resultados se notificó al presidente y al ex-presidente municipales de Tierra Blanca, Gto., para que, en su caso, hicieran valer el recurso de reconsideración previsto por los artículos del 48 al 55 de </w:t>
      </w:r>
      <w:smartTag w:uri="urn:schemas-microsoft-com:office:smarttags" w:element="PersonName">
        <w:smartTagPr>
          <w:attr w:name="ProductID" w:val="la Ley"/>
        </w:smartTagPr>
        <w:r w:rsidRPr="00CB1D5E">
          <w:rPr>
            <w:rFonts w:ascii="Abadi" w:hAnsi="Abadi" w:cs="Arial"/>
            <w:sz w:val="21"/>
            <w:szCs w:val="21"/>
            <w:lang w:val="es-MX" w:eastAsia="x-none"/>
          </w:rPr>
          <w:t>la Ley</w:t>
        </w:r>
      </w:smartTag>
      <w:r w:rsidRPr="00CB1D5E">
        <w:rPr>
          <w:rFonts w:ascii="Abadi" w:hAnsi="Abadi" w:cs="Arial"/>
          <w:sz w:val="21"/>
          <w:szCs w:val="21"/>
          <w:lang w:val="es-MX" w:eastAsia="x-none"/>
        </w:rPr>
        <w:t xml:space="preserve"> de Fiscalización Superior del Estado de Guanajuato, haciéndoles saber que contaban con un término de cinco días hábiles para tal efecto. Con lo anterior, se dio cumplimiento a la fracción IV del artículo 37 de la citada Ley.</w:t>
      </w:r>
    </w:p>
    <w:p w14:paraId="0D476D16" w14:textId="77777777" w:rsidR="00CB1D5E" w:rsidRPr="00CB1D5E" w:rsidRDefault="00CB1D5E" w:rsidP="00626E93">
      <w:pPr>
        <w:jc w:val="both"/>
        <w:rPr>
          <w:rFonts w:ascii="Abadi" w:hAnsi="Abadi" w:cs="Arial"/>
          <w:sz w:val="21"/>
          <w:szCs w:val="21"/>
          <w:lang w:val="es-MX" w:eastAsia="x-none"/>
        </w:rPr>
      </w:pPr>
    </w:p>
    <w:p w14:paraId="0830A2F6" w14:textId="77777777" w:rsidR="00CB1D5E" w:rsidRPr="00CB1D5E" w:rsidRDefault="00CB1D5E" w:rsidP="00CB1D5E">
      <w:pPr>
        <w:ind w:firstLine="708"/>
        <w:jc w:val="both"/>
        <w:rPr>
          <w:rFonts w:ascii="Abadi" w:hAnsi="Abadi" w:cs="Arial"/>
          <w:sz w:val="21"/>
          <w:szCs w:val="21"/>
          <w:lang w:val="es-MX" w:eastAsia="x-none"/>
        </w:rPr>
      </w:pPr>
      <w:r w:rsidRPr="00CB1D5E">
        <w:rPr>
          <w:rFonts w:ascii="Abadi" w:hAnsi="Abadi" w:cs="Arial"/>
          <w:sz w:val="21"/>
          <w:szCs w:val="21"/>
          <w:lang w:val="es-MX" w:eastAsia="x-none"/>
        </w:rPr>
        <w:t>Este término transcurrió sin que, dentro del mismo, se hubiere promovido el recurso de reconsideración, como consta en la razón levantada por el Auditor Superior del Estado el 18 de abril de 2022, en la que se realiza el cómputo del término para la interposición del recurso, contado a partir del día hábil siguiente de la notificación del informe de resultados.</w:t>
      </w:r>
    </w:p>
    <w:p w14:paraId="4CE87329" w14:textId="77777777" w:rsidR="00CB1D5E" w:rsidRPr="00CB1D5E" w:rsidRDefault="00CB1D5E" w:rsidP="00CB1D5E">
      <w:pPr>
        <w:ind w:firstLine="708"/>
        <w:jc w:val="both"/>
        <w:rPr>
          <w:rFonts w:ascii="Abadi" w:hAnsi="Abadi" w:cs="Arial"/>
          <w:sz w:val="21"/>
          <w:szCs w:val="21"/>
          <w:lang w:val="es-MX" w:eastAsia="x-none"/>
        </w:rPr>
      </w:pPr>
    </w:p>
    <w:p w14:paraId="0C96C3CA" w14:textId="77777777" w:rsidR="00CB1D5E" w:rsidRPr="00CB1D5E" w:rsidRDefault="00CB1D5E" w:rsidP="00CB1D5E">
      <w:pPr>
        <w:ind w:firstLine="708"/>
        <w:jc w:val="both"/>
        <w:rPr>
          <w:rFonts w:ascii="Abadi" w:hAnsi="Abadi" w:cs="Arial"/>
          <w:b/>
          <w:bCs/>
          <w:sz w:val="21"/>
          <w:szCs w:val="21"/>
          <w:lang w:eastAsia="x-none"/>
        </w:rPr>
      </w:pPr>
      <w:r w:rsidRPr="00CB1D5E">
        <w:rPr>
          <w:rFonts w:ascii="Abadi" w:hAnsi="Abadi" w:cs="Arial"/>
          <w:b/>
          <w:bCs/>
          <w:sz w:val="21"/>
          <w:szCs w:val="21"/>
          <w:lang w:eastAsia="x-none"/>
        </w:rPr>
        <w:t>IV. Contenido del Informe de Resultados:</w:t>
      </w:r>
    </w:p>
    <w:p w14:paraId="0EE1D256" w14:textId="77777777" w:rsidR="00CB1D5E" w:rsidRPr="00CB1D5E" w:rsidRDefault="00CB1D5E" w:rsidP="00CB1D5E">
      <w:pPr>
        <w:jc w:val="both"/>
        <w:rPr>
          <w:rFonts w:ascii="Abadi" w:hAnsi="Abadi" w:cs="Arial"/>
          <w:b/>
          <w:bCs/>
          <w:sz w:val="21"/>
          <w:szCs w:val="21"/>
          <w:lang w:eastAsia="x-none"/>
        </w:rPr>
      </w:pPr>
    </w:p>
    <w:p w14:paraId="084ED854" w14:textId="77777777" w:rsidR="00CB1D5E" w:rsidRPr="00CB1D5E" w:rsidRDefault="00CB1D5E" w:rsidP="00CB1D5E">
      <w:pPr>
        <w:jc w:val="both"/>
        <w:rPr>
          <w:rFonts w:ascii="Abadi" w:hAnsi="Abadi" w:cs="Arial"/>
          <w:sz w:val="21"/>
          <w:szCs w:val="21"/>
          <w:lang w:eastAsia="x-none"/>
        </w:rPr>
      </w:pPr>
      <w:r w:rsidRPr="00CB1D5E">
        <w:rPr>
          <w:rFonts w:ascii="Abadi" w:hAnsi="Abadi" w:cs="Arial"/>
          <w:b/>
          <w:bCs/>
          <w:sz w:val="21"/>
          <w:szCs w:val="21"/>
          <w:lang w:eastAsia="x-none"/>
        </w:rPr>
        <w:tab/>
      </w:r>
      <w:r w:rsidRPr="00CB1D5E">
        <w:rPr>
          <w:rFonts w:ascii="Abadi" w:hAnsi="Abadi" w:cs="Arial"/>
          <w:bCs/>
          <w:sz w:val="21"/>
          <w:szCs w:val="21"/>
          <w:lang w:eastAsia="x-none"/>
        </w:rPr>
        <w:t>En cumplimiento a lo establecido por el</w:t>
      </w:r>
      <w:r w:rsidRPr="00CB1D5E">
        <w:rPr>
          <w:rFonts w:ascii="Abadi" w:hAnsi="Abadi" w:cs="Arial"/>
          <w:sz w:val="21"/>
          <w:szCs w:val="21"/>
          <w:lang w:eastAsia="x-none"/>
        </w:rPr>
        <w:t xml:space="preserve"> artículo 37, fracción III de la Ley de Fiscalización Superior del Estado, el informe de resultados contiene los siguientes apartados:</w:t>
      </w:r>
    </w:p>
    <w:p w14:paraId="53CDD300" w14:textId="77777777" w:rsidR="00CB1D5E" w:rsidRPr="00CB1D5E" w:rsidRDefault="00CB1D5E" w:rsidP="00CB1D5E">
      <w:pPr>
        <w:jc w:val="both"/>
        <w:rPr>
          <w:rFonts w:ascii="Abadi" w:hAnsi="Abadi" w:cs="Arial"/>
          <w:sz w:val="21"/>
          <w:szCs w:val="21"/>
          <w:lang w:eastAsia="x-none"/>
        </w:rPr>
      </w:pPr>
    </w:p>
    <w:p w14:paraId="1A248197" w14:textId="77777777" w:rsidR="00CB1D5E" w:rsidRPr="00CB1D5E" w:rsidRDefault="00CB1D5E" w:rsidP="001A28E5">
      <w:pPr>
        <w:numPr>
          <w:ilvl w:val="0"/>
          <w:numId w:val="89"/>
        </w:numPr>
        <w:jc w:val="both"/>
        <w:rPr>
          <w:rFonts w:ascii="Abadi" w:hAnsi="Abadi" w:cs="Arial"/>
          <w:b/>
          <w:bCs/>
          <w:sz w:val="21"/>
          <w:szCs w:val="21"/>
          <w:lang w:eastAsia="x-none"/>
        </w:rPr>
      </w:pPr>
      <w:r w:rsidRPr="00CB1D5E">
        <w:rPr>
          <w:rFonts w:ascii="Abadi" w:hAnsi="Abadi" w:cs="Arial"/>
          <w:b/>
          <w:bCs/>
          <w:sz w:val="21"/>
          <w:szCs w:val="21"/>
          <w:lang w:eastAsia="x-none"/>
        </w:rPr>
        <w:t>Introducción.</w:t>
      </w:r>
    </w:p>
    <w:p w14:paraId="058C487D" w14:textId="77777777" w:rsidR="00CB1D5E" w:rsidRPr="00CB1D5E" w:rsidRDefault="00CB1D5E" w:rsidP="00CB1D5E">
      <w:pPr>
        <w:ind w:left="705"/>
        <w:jc w:val="both"/>
        <w:rPr>
          <w:rFonts w:ascii="Abadi" w:hAnsi="Abadi" w:cs="Arial"/>
          <w:b/>
          <w:bCs/>
          <w:sz w:val="21"/>
          <w:szCs w:val="21"/>
          <w:lang w:eastAsia="x-none"/>
        </w:rPr>
      </w:pPr>
    </w:p>
    <w:p w14:paraId="71C59396" w14:textId="77777777" w:rsidR="00CB1D5E" w:rsidRPr="00CB1D5E" w:rsidRDefault="00CB1D5E" w:rsidP="00CB1D5E">
      <w:pPr>
        <w:ind w:firstLine="705"/>
        <w:jc w:val="both"/>
        <w:rPr>
          <w:rFonts w:ascii="Abadi" w:hAnsi="Abadi" w:cs="Arial"/>
          <w:sz w:val="21"/>
          <w:szCs w:val="21"/>
          <w:lang w:eastAsia="x-none"/>
        </w:rPr>
      </w:pPr>
      <w:r w:rsidRPr="00CB1D5E">
        <w:rPr>
          <w:rFonts w:ascii="Abadi" w:hAnsi="Abadi" w:cs="Arial"/>
          <w:sz w:val="21"/>
          <w:szCs w:val="21"/>
          <w:lang w:eastAsia="x-none"/>
        </w:rPr>
        <w:t xml:space="preserve">Por lo que se refiere a este punto, se establecen los criterios de selección; el objetivo de la revisión; el alcance de la revisión respecto a los apartados de ingresos y egresos, </w:t>
      </w:r>
      <w:r w:rsidRPr="00CB1D5E">
        <w:rPr>
          <w:rFonts w:ascii="Abadi" w:hAnsi="Abadi" w:cs="Arial"/>
          <w:sz w:val="21"/>
          <w:szCs w:val="21"/>
          <w:lang w:val="es-MX" w:eastAsia="x-none"/>
        </w:rPr>
        <w:t>precisando que el detalle de los alcances de la revisión se consigna en el Anexo 01 del informe de resultados.</w:t>
      </w:r>
    </w:p>
    <w:p w14:paraId="43BBD9D4" w14:textId="77777777" w:rsidR="00CB1D5E" w:rsidRPr="00CB1D5E" w:rsidRDefault="00CB1D5E" w:rsidP="00CB1D5E">
      <w:pPr>
        <w:ind w:firstLine="705"/>
        <w:jc w:val="both"/>
        <w:rPr>
          <w:rFonts w:ascii="Abadi" w:hAnsi="Abadi" w:cs="Arial"/>
          <w:sz w:val="21"/>
          <w:szCs w:val="21"/>
          <w:lang w:eastAsia="x-none"/>
        </w:rPr>
      </w:pPr>
    </w:p>
    <w:p w14:paraId="18A06911" w14:textId="77777777" w:rsidR="00CB1D5E" w:rsidRPr="00CB1D5E" w:rsidRDefault="00CB1D5E" w:rsidP="00CB1D5E">
      <w:pPr>
        <w:ind w:firstLine="705"/>
        <w:jc w:val="both"/>
        <w:rPr>
          <w:rFonts w:ascii="Abadi" w:hAnsi="Abadi" w:cs="Arial"/>
          <w:sz w:val="21"/>
          <w:szCs w:val="21"/>
          <w:lang w:eastAsia="x-none"/>
        </w:rPr>
      </w:pPr>
      <w:r w:rsidRPr="00CB1D5E">
        <w:rPr>
          <w:rFonts w:ascii="Abadi" w:hAnsi="Abadi" w:cs="Arial"/>
          <w:sz w:val="21"/>
          <w:szCs w:val="21"/>
          <w:lang w:eastAsia="x-none"/>
        </w:rPr>
        <w:t>También en este apartado se precisan los procedimientos de auditoría aplicados, siendo estos: inspección, observación, confirmación externa, recálculo, procedimientos analíticos, re ejecución e indagación.</w:t>
      </w:r>
    </w:p>
    <w:p w14:paraId="5CEB7CDA" w14:textId="77777777" w:rsidR="00CB1D5E" w:rsidRPr="00CB1D5E" w:rsidRDefault="00CB1D5E" w:rsidP="00CB1D5E">
      <w:pPr>
        <w:ind w:firstLine="705"/>
        <w:jc w:val="both"/>
        <w:rPr>
          <w:rFonts w:ascii="Abadi" w:hAnsi="Abadi" w:cs="Arial"/>
          <w:sz w:val="21"/>
          <w:szCs w:val="21"/>
          <w:lang w:eastAsia="x-none"/>
        </w:rPr>
      </w:pPr>
    </w:p>
    <w:p w14:paraId="5121A291" w14:textId="77777777" w:rsidR="00CB1D5E" w:rsidRPr="00CB1D5E" w:rsidRDefault="00CB1D5E" w:rsidP="00CB1D5E">
      <w:pPr>
        <w:ind w:firstLine="705"/>
        <w:jc w:val="both"/>
        <w:rPr>
          <w:rFonts w:ascii="Abadi" w:hAnsi="Abadi" w:cs="Arial"/>
          <w:sz w:val="21"/>
          <w:szCs w:val="21"/>
          <w:lang w:eastAsia="x-none"/>
        </w:rPr>
      </w:pPr>
      <w:r w:rsidRPr="00CB1D5E">
        <w:rPr>
          <w:rFonts w:ascii="Abadi" w:hAnsi="Abadi" w:cs="Arial"/>
          <w:sz w:val="21"/>
          <w:szCs w:val="21"/>
          <w:lang w:eastAsia="x-none"/>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126679AF" w14:textId="77777777" w:rsidR="00CB1D5E" w:rsidRPr="00CB1D5E" w:rsidRDefault="00CB1D5E" w:rsidP="00CB1D5E">
      <w:pPr>
        <w:jc w:val="both"/>
        <w:rPr>
          <w:rFonts w:ascii="Abadi" w:hAnsi="Abadi"/>
          <w:i/>
          <w:iCs/>
          <w:sz w:val="21"/>
          <w:szCs w:val="21"/>
          <w:lang w:eastAsia="x-none"/>
        </w:rPr>
      </w:pPr>
    </w:p>
    <w:p w14:paraId="0056DC5C" w14:textId="77777777" w:rsidR="00CB1D5E" w:rsidRPr="00CB1D5E" w:rsidRDefault="00CB1D5E" w:rsidP="00CB1D5E">
      <w:pPr>
        <w:jc w:val="both"/>
        <w:rPr>
          <w:rFonts w:ascii="Abadi" w:hAnsi="Abadi" w:cs="Arial"/>
          <w:i/>
          <w:iCs/>
          <w:sz w:val="21"/>
          <w:szCs w:val="21"/>
          <w:lang w:eastAsia="x-none"/>
        </w:rPr>
      </w:pPr>
      <w:r w:rsidRPr="00CB1D5E">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1F50683A" w14:textId="77777777" w:rsidR="00CB1D5E" w:rsidRPr="00CB1D5E" w:rsidRDefault="00CB1D5E" w:rsidP="00CB1D5E">
      <w:pPr>
        <w:jc w:val="both"/>
        <w:rPr>
          <w:rFonts w:ascii="Abadi" w:hAnsi="Abadi" w:cs="Arial"/>
          <w:i/>
          <w:iCs/>
          <w:sz w:val="21"/>
          <w:szCs w:val="21"/>
          <w:lang w:eastAsia="x-none"/>
        </w:rPr>
      </w:pPr>
    </w:p>
    <w:p w14:paraId="6ABB3264" w14:textId="77777777" w:rsidR="00CB1D5E" w:rsidRPr="00CB1D5E" w:rsidRDefault="00CB1D5E" w:rsidP="00CB1D5E">
      <w:pPr>
        <w:jc w:val="both"/>
        <w:rPr>
          <w:rFonts w:ascii="Abadi" w:hAnsi="Abadi" w:cs="Arial"/>
          <w:i/>
          <w:iCs/>
          <w:sz w:val="21"/>
          <w:szCs w:val="21"/>
          <w:lang w:eastAsia="x-none"/>
        </w:rPr>
      </w:pPr>
      <w:r w:rsidRPr="00CB1D5E">
        <w:rPr>
          <w:rFonts w:ascii="Abadi" w:hAnsi="Abadi" w:cs="Arial"/>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2A890CD5" w14:textId="77777777" w:rsidR="00CB1D5E" w:rsidRPr="00CB1D5E" w:rsidRDefault="00CB1D5E" w:rsidP="00CB1D5E">
      <w:pPr>
        <w:jc w:val="both"/>
        <w:rPr>
          <w:rFonts w:ascii="Abadi" w:hAnsi="Abadi" w:cs="Arial"/>
          <w:i/>
          <w:iCs/>
          <w:sz w:val="21"/>
          <w:szCs w:val="21"/>
          <w:lang w:eastAsia="x-none"/>
        </w:rPr>
      </w:pPr>
    </w:p>
    <w:p w14:paraId="66BE0D6F" w14:textId="77777777" w:rsidR="00CB1D5E" w:rsidRPr="00CB1D5E" w:rsidRDefault="00CB1D5E" w:rsidP="00CB1D5E">
      <w:pPr>
        <w:jc w:val="both"/>
        <w:rPr>
          <w:rFonts w:ascii="Abadi" w:hAnsi="Abadi" w:cs="Arial"/>
          <w:i/>
          <w:iCs/>
          <w:sz w:val="21"/>
          <w:szCs w:val="21"/>
          <w:lang w:eastAsia="x-none"/>
        </w:rPr>
      </w:pPr>
      <w:r w:rsidRPr="00CB1D5E">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24165529" w14:textId="77777777" w:rsidR="00CB1D5E" w:rsidRPr="00CB1D5E" w:rsidRDefault="00CB1D5E" w:rsidP="00CB1D5E">
      <w:pPr>
        <w:jc w:val="both"/>
        <w:rPr>
          <w:rFonts w:ascii="Abadi" w:hAnsi="Abadi" w:cs="Arial"/>
          <w:sz w:val="21"/>
          <w:szCs w:val="21"/>
          <w:lang w:eastAsia="x-none"/>
        </w:rPr>
      </w:pPr>
    </w:p>
    <w:p w14:paraId="07CDC6B6" w14:textId="77777777" w:rsidR="00CB1D5E" w:rsidRPr="00CB1D5E" w:rsidRDefault="00CB1D5E" w:rsidP="00CB1D5E">
      <w:pPr>
        <w:ind w:firstLine="705"/>
        <w:jc w:val="both"/>
        <w:rPr>
          <w:rFonts w:ascii="Abadi" w:hAnsi="Abadi" w:cs="Arial"/>
          <w:sz w:val="21"/>
          <w:szCs w:val="21"/>
          <w:lang w:eastAsia="x-none"/>
        </w:rPr>
      </w:pPr>
      <w:r w:rsidRPr="00CB1D5E">
        <w:rPr>
          <w:rFonts w:ascii="Abadi" w:hAnsi="Abadi" w:cs="Arial"/>
          <w:sz w:val="21"/>
          <w:szCs w:val="21"/>
          <w:lang w:eastAsia="x-none"/>
        </w:rPr>
        <w:t xml:space="preserve">Derivado de lo anterior, en el proceso de auditoría se inspeccionó que los comprobantes fiscales que soportan las erogaciones del ente fiscalizado, no correspondan a contribuyentes que se encuentren en los supuestos previstos en el artículo 69-B del Código Fiscal de la Federación, empresas que facturan operaciones simuladas o inexistentes con el carácter de </w:t>
      </w:r>
      <w:r w:rsidRPr="00CB1D5E">
        <w:rPr>
          <w:rFonts w:ascii="Abadi" w:hAnsi="Abadi" w:cs="Arial"/>
          <w:i/>
          <w:iCs/>
          <w:sz w:val="21"/>
          <w:szCs w:val="21"/>
          <w:lang w:eastAsia="x-none"/>
        </w:rPr>
        <w:t>«Definitivos»,</w:t>
      </w:r>
      <w:r w:rsidRPr="00CB1D5E">
        <w:rPr>
          <w:rFonts w:ascii="Abadi" w:hAnsi="Abadi" w:cs="Arial"/>
          <w:sz w:val="21"/>
          <w:szCs w:val="21"/>
          <w:lang w:eastAsia="x-none"/>
        </w:rPr>
        <w:t xml:space="preserve"> emitidas por el Servicio de Administración Tributaria.</w:t>
      </w:r>
    </w:p>
    <w:p w14:paraId="7C4CEC29" w14:textId="77777777" w:rsidR="00CB1D5E" w:rsidRPr="00CB1D5E" w:rsidRDefault="00CB1D5E" w:rsidP="00CB1D5E">
      <w:pPr>
        <w:ind w:firstLine="705"/>
        <w:jc w:val="both"/>
        <w:rPr>
          <w:rFonts w:ascii="Abadi" w:hAnsi="Abadi" w:cs="Arial"/>
          <w:sz w:val="21"/>
          <w:szCs w:val="21"/>
          <w:lang w:val="es-MX" w:eastAsia="x-none"/>
        </w:rPr>
      </w:pPr>
    </w:p>
    <w:p w14:paraId="3E60D6A0" w14:textId="28A1FDEA" w:rsidR="00CB1D5E" w:rsidRPr="00CB1D5E" w:rsidRDefault="00CB1D5E" w:rsidP="00626E93">
      <w:pPr>
        <w:ind w:firstLine="705"/>
        <w:jc w:val="both"/>
        <w:rPr>
          <w:rFonts w:ascii="Abadi" w:hAnsi="Abadi" w:cs="Arial"/>
          <w:sz w:val="21"/>
          <w:szCs w:val="21"/>
          <w:lang w:eastAsia="x-none"/>
        </w:rPr>
      </w:pPr>
      <w:r w:rsidRPr="00CB1D5E">
        <w:rPr>
          <w:rFonts w:ascii="Abadi" w:hAnsi="Abadi" w:cs="Arial"/>
          <w:sz w:val="21"/>
          <w:szCs w:val="21"/>
          <w:lang w:eastAsia="x-none"/>
        </w:rPr>
        <w:t>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24167DCF" w14:textId="77777777" w:rsidR="00CB1D5E" w:rsidRPr="00CB1D5E" w:rsidRDefault="00CB1D5E" w:rsidP="00CB1D5E">
      <w:pPr>
        <w:ind w:firstLine="705"/>
        <w:jc w:val="both"/>
        <w:rPr>
          <w:rFonts w:ascii="Abadi" w:hAnsi="Abadi"/>
          <w:sz w:val="21"/>
          <w:szCs w:val="21"/>
          <w:lang w:eastAsia="x-none"/>
        </w:rPr>
      </w:pPr>
    </w:p>
    <w:p w14:paraId="0DE54532" w14:textId="77777777" w:rsidR="00CB1D5E" w:rsidRPr="00CB1D5E" w:rsidRDefault="00CB1D5E" w:rsidP="00CB1D5E">
      <w:pPr>
        <w:ind w:firstLine="705"/>
        <w:jc w:val="both"/>
        <w:rPr>
          <w:rFonts w:ascii="Abadi" w:hAnsi="Abadi" w:cs="Arial"/>
          <w:sz w:val="21"/>
          <w:szCs w:val="21"/>
          <w:lang w:val="es-MX" w:eastAsia="x-none"/>
        </w:rPr>
      </w:pPr>
      <w:r w:rsidRPr="00CB1D5E">
        <w:rPr>
          <w:rFonts w:ascii="Abadi" w:hAnsi="Abadi" w:cs="Arial"/>
          <w:sz w:val="21"/>
          <w:szCs w:val="21"/>
          <w:lang w:val="es-MX" w:eastAsia="x-none"/>
        </w:rPr>
        <w:t>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fiscalizado;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fiscalizado.</w:t>
      </w:r>
    </w:p>
    <w:p w14:paraId="2F9C3E38" w14:textId="77777777" w:rsidR="00CB1D5E" w:rsidRPr="00CB1D5E" w:rsidRDefault="00CB1D5E" w:rsidP="00CB1D5E">
      <w:pPr>
        <w:ind w:firstLine="705"/>
        <w:jc w:val="both"/>
        <w:rPr>
          <w:rFonts w:ascii="Abadi" w:hAnsi="Abadi" w:cs="Arial"/>
          <w:sz w:val="21"/>
          <w:szCs w:val="21"/>
          <w:lang w:val="es-MX" w:eastAsia="x-none"/>
        </w:rPr>
      </w:pPr>
    </w:p>
    <w:p w14:paraId="180BC6E2" w14:textId="77777777" w:rsidR="00CB1D5E" w:rsidRPr="00CB1D5E" w:rsidRDefault="00CB1D5E" w:rsidP="00CB1D5E">
      <w:pPr>
        <w:ind w:firstLine="705"/>
        <w:jc w:val="both"/>
        <w:rPr>
          <w:rFonts w:ascii="Abadi" w:hAnsi="Abadi" w:cs="Arial"/>
          <w:sz w:val="21"/>
          <w:szCs w:val="21"/>
          <w:lang w:val="es-MX" w:eastAsia="x-none"/>
        </w:rPr>
      </w:pPr>
      <w:r w:rsidRPr="00CB1D5E">
        <w:rPr>
          <w:rFonts w:ascii="Abadi" w:hAnsi="Abadi" w:cs="Arial"/>
          <w:sz w:val="21"/>
          <w:szCs w:val="21"/>
          <w:lang w:val="es-MX" w:eastAsia="x-none"/>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Tierra Blanca, Gto., cumplió con las disposiciones normativas aplicables, excepto por los resultados precisados en el informe de resultados; señalando además que se presentaron limitantes al alcance que se refiere a la aplicación de los procedimientos de inspecciones físicas de bienes adquiridos y confirmación de apoyos. También se refiere que se presentaron limitantes en la aplicación de los procedimientos de auditoría, derivado de la contingencia por la pandemia del virus SARS-CoV2.</w:t>
      </w:r>
    </w:p>
    <w:p w14:paraId="16D98C18" w14:textId="77777777" w:rsidR="00CB1D5E" w:rsidRPr="00CB1D5E" w:rsidRDefault="00CB1D5E" w:rsidP="00CB1D5E">
      <w:pPr>
        <w:ind w:firstLine="705"/>
        <w:jc w:val="both"/>
        <w:rPr>
          <w:rFonts w:ascii="Abadi" w:hAnsi="Abadi" w:cs="Arial"/>
          <w:sz w:val="21"/>
          <w:szCs w:val="21"/>
          <w:lang w:val="es-MX" w:eastAsia="x-none"/>
        </w:rPr>
      </w:pPr>
    </w:p>
    <w:p w14:paraId="32E02CD7" w14:textId="77777777" w:rsidR="00CB1D5E" w:rsidRPr="00CB1D5E" w:rsidRDefault="00CB1D5E" w:rsidP="00CB1D5E">
      <w:pPr>
        <w:ind w:firstLine="705"/>
        <w:jc w:val="both"/>
        <w:rPr>
          <w:rFonts w:ascii="Abadi" w:hAnsi="Abadi" w:cs="Arial"/>
          <w:sz w:val="21"/>
          <w:szCs w:val="21"/>
        </w:rPr>
      </w:pPr>
      <w:r w:rsidRPr="00CB1D5E">
        <w:rPr>
          <w:rFonts w:ascii="Abadi" w:hAnsi="Abadi" w:cs="Arial"/>
          <w:sz w:val="21"/>
          <w:szCs w:val="21"/>
          <w:lang w:val="es-MX" w:eastAsia="x-none"/>
        </w:rPr>
        <w:t>En cuanto al rubro de resultados de la fiscalización efectuada, se establece el estatus que guardan las observaciones y re</w:t>
      </w:r>
      <w:r w:rsidRPr="00CB1D5E">
        <w:rPr>
          <w:rFonts w:ascii="Abadi" w:hAnsi="Abadi" w:cs="Arial"/>
          <w:sz w:val="21"/>
          <w:szCs w:val="21"/>
        </w:rPr>
        <w:t xml:space="preserve">comendaciones, las cuales se agrupan bajo su respectivo tipo y rubro, señalando que se determinaron 6 observaciones, de las cuales 2 se solventaron y 4 no fueron solventadas. Asimismo, se formuló 1 recomendación que no se atendió. </w:t>
      </w:r>
    </w:p>
    <w:p w14:paraId="5D250FD1" w14:textId="77777777" w:rsidR="00CB1D5E" w:rsidRPr="00CB1D5E" w:rsidRDefault="00CB1D5E" w:rsidP="00CB1D5E">
      <w:pPr>
        <w:ind w:firstLine="705"/>
        <w:jc w:val="both"/>
        <w:rPr>
          <w:rFonts w:ascii="Abadi" w:hAnsi="Abadi" w:cs="Arial"/>
          <w:sz w:val="21"/>
          <w:szCs w:val="21"/>
          <w:lang w:eastAsia="x-none"/>
        </w:rPr>
      </w:pPr>
    </w:p>
    <w:p w14:paraId="212BD73D" w14:textId="563327DD" w:rsidR="00CB1D5E" w:rsidRPr="00CB1D5E" w:rsidRDefault="00CB1D5E" w:rsidP="00626E93">
      <w:pPr>
        <w:ind w:firstLine="705"/>
        <w:jc w:val="both"/>
        <w:rPr>
          <w:rFonts w:ascii="Abadi" w:hAnsi="Abadi" w:cs="Arial"/>
          <w:sz w:val="21"/>
          <w:szCs w:val="21"/>
          <w:lang w:val="es-MX" w:eastAsia="x-none"/>
        </w:rPr>
      </w:pPr>
      <w:r w:rsidRPr="00CB1D5E">
        <w:rPr>
          <w:rFonts w:ascii="Abadi" w:hAnsi="Abadi" w:cs="Arial"/>
          <w:sz w:val="21"/>
          <w:szCs w:val="21"/>
          <w:lang w:val="es-MX" w:eastAsia="x-none"/>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 observación plasmada en el numeral 005, existe un importe no solventado por la cuantía que ahí se refiere. </w:t>
      </w:r>
    </w:p>
    <w:p w14:paraId="29ECF27D" w14:textId="77777777" w:rsidR="00CB1D5E" w:rsidRPr="00CB1D5E" w:rsidRDefault="00CB1D5E" w:rsidP="00CB1D5E">
      <w:pPr>
        <w:ind w:firstLine="705"/>
        <w:jc w:val="both"/>
        <w:rPr>
          <w:rFonts w:ascii="Abadi" w:hAnsi="Abadi" w:cs="Arial"/>
          <w:sz w:val="21"/>
          <w:szCs w:val="21"/>
          <w:lang w:val="es-MX" w:eastAsia="x-none"/>
        </w:rPr>
      </w:pPr>
    </w:p>
    <w:p w14:paraId="021F6926" w14:textId="77777777" w:rsidR="00CB1D5E" w:rsidRPr="00CB1D5E" w:rsidRDefault="00CB1D5E" w:rsidP="00CB1D5E">
      <w:pPr>
        <w:ind w:firstLine="705"/>
        <w:jc w:val="both"/>
        <w:rPr>
          <w:rFonts w:ascii="Abadi" w:hAnsi="Abadi" w:cs="Arial"/>
          <w:sz w:val="21"/>
          <w:szCs w:val="21"/>
          <w:lang w:eastAsia="x-none"/>
        </w:rPr>
      </w:pPr>
      <w:r w:rsidRPr="00CB1D5E">
        <w:rPr>
          <w:rFonts w:ascii="Abadi" w:hAnsi="Abadi" w:cs="Arial"/>
          <w:sz w:val="21"/>
          <w:szCs w:val="21"/>
          <w:lang w:eastAsia="x-none"/>
        </w:rPr>
        <w:t>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Tierra Blanca, Gto., celebró operaciones; entre los procedimientos expuestos, se verificó que estas no se encontraran en el listado de Empresas que Facturan Operaciones Simuladas (EFOS) u operaciones inexistentes con el carácter de «</w:t>
      </w:r>
      <w:r w:rsidRPr="00CB1D5E">
        <w:rPr>
          <w:rFonts w:ascii="Abadi" w:hAnsi="Abadi" w:cs="Arial"/>
          <w:i/>
          <w:iCs/>
          <w:sz w:val="21"/>
          <w:szCs w:val="21"/>
          <w:lang w:eastAsia="x-none"/>
        </w:rPr>
        <w:t>Definitivos»</w:t>
      </w:r>
      <w:r w:rsidRPr="00CB1D5E">
        <w:rPr>
          <w:rFonts w:ascii="Abadi" w:hAnsi="Abadi" w:cs="Arial"/>
          <w:sz w:val="21"/>
          <w:szCs w:val="21"/>
          <w:lang w:eastAsia="x-none"/>
        </w:rPr>
        <w:t xml:space="preserve"> publicados en el Diario Oficial de la Federación y en el sitio de información estadística del Servicio de Administración Tributaria, concluyendo que no se identificaron empresas clasificadas como EFOS.</w:t>
      </w:r>
    </w:p>
    <w:p w14:paraId="0A119214" w14:textId="77777777" w:rsidR="00CB1D5E" w:rsidRPr="00CB1D5E" w:rsidRDefault="00CB1D5E" w:rsidP="00CB1D5E">
      <w:pPr>
        <w:ind w:firstLine="705"/>
        <w:jc w:val="both"/>
        <w:rPr>
          <w:rFonts w:ascii="Abadi" w:hAnsi="Abadi" w:cs="Arial"/>
          <w:sz w:val="21"/>
          <w:szCs w:val="21"/>
          <w:lang w:eastAsia="x-none"/>
        </w:rPr>
      </w:pPr>
    </w:p>
    <w:p w14:paraId="5F1DB061" w14:textId="77777777" w:rsidR="00CB1D5E" w:rsidRPr="00CB1D5E" w:rsidRDefault="00CB1D5E" w:rsidP="001A28E5">
      <w:pPr>
        <w:numPr>
          <w:ilvl w:val="0"/>
          <w:numId w:val="89"/>
        </w:numPr>
        <w:tabs>
          <w:tab w:val="num" w:pos="0"/>
        </w:tabs>
        <w:jc w:val="both"/>
        <w:rPr>
          <w:rFonts w:ascii="Abadi" w:hAnsi="Abadi" w:cs="Arial"/>
          <w:b/>
          <w:bCs/>
          <w:sz w:val="21"/>
          <w:szCs w:val="21"/>
          <w:lang w:eastAsia="x-none"/>
        </w:rPr>
      </w:pPr>
      <w:r w:rsidRPr="00CB1D5E">
        <w:rPr>
          <w:rFonts w:ascii="Abadi" w:hAnsi="Abadi" w:cs="Arial"/>
          <w:b/>
          <w:bCs/>
          <w:sz w:val="21"/>
          <w:szCs w:val="21"/>
          <w:lang w:eastAsia="x-none"/>
        </w:rPr>
        <w:t xml:space="preserve">Observaciones y recomendaciones, la respuesta emitida por el sujeto fiscalizado y la valoración correspondiente. </w:t>
      </w:r>
    </w:p>
    <w:p w14:paraId="11046308" w14:textId="77777777" w:rsidR="00CB1D5E" w:rsidRPr="00CB1D5E" w:rsidRDefault="00CB1D5E" w:rsidP="00CB1D5E">
      <w:pPr>
        <w:ind w:left="1065"/>
        <w:jc w:val="both"/>
        <w:rPr>
          <w:rFonts w:ascii="Abadi" w:hAnsi="Abadi" w:cs="Arial"/>
          <w:b/>
          <w:bCs/>
          <w:sz w:val="21"/>
          <w:szCs w:val="21"/>
          <w:lang w:eastAsia="x-none"/>
        </w:rPr>
      </w:pPr>
    </w:p>
    <w:p w14:paraId="7057E060" w14:textId="77777777" w:rsidR="00CB1D5E" w:rsidRPr="00CB1D5E" w:rsidRDefault="00CB1D5E" w:rsidP="00CB1D5E">
      <w:pPr>
        <w:ind w:firstLine="705"/>
        <w:jc w:val="both"/>
        <w:rPr>
          <w:rFonts w:ascii="Abadi" w:hAnsi="Abadi" w:cs="Arial"/>
          <w:sz w:val="21"/>
          <w:szCs w:val="21"/>
          <w:lang w:val="es-MX" w:eastAsia="x-none"/>
        </w:rPr>
      </w:pPr>
      <w:r w:rsidRPr="00CB1D5E">
        <w:rPr>
          <w:rFonts w:ascii="Abadi" w:hAnsi="Abadi" w:cs="Arial"/>
          <w:sz w:val="21"/>
          <w:szCs w:val="21"/>
          <w:lang w:val="es-MX" w:eastAsia="x-none"/>
        </w:rPr>
        <w:t xml:space="preserve">En esta parte se desglosa la valoración de las observaciones formuladas por el Órgano Técnico, </w:t>
      </w:r>
      <w:r w:rsidRPr="00CB1D5E">
        <w:rPr>
          <w:rFonts w:ascii="Abadi" w:hAnsi="Abadi" w:cs="Arial"/>
          <w:sz w:val="21"/>
          <w:szCs w:val="21"/>
          <w:lang w:eastAsia="x-none"/>
        </w:rPr>
        <w:t xml:space="preserve">considerando como solventadas las observaciones plasmadas en los numerales 001, referente a equipo de cómputo; y 004, referido a </w:t>
      </w:r>
      <w:r w:rsidRPr="00CB1D5E">
        <w:rPr>
          <w:rFonts w:ascii="Abadi" w:hAnsi="Abadi" w:cs="Arial"/>
          <w:sz w:val="21"/>
          <w:szCs w:val="21"/>
          <w:lang w:val="es-MX" w:eastAsia="x-none"/>
        </w:rPr>
        <w:t>pago de servicios profesionales.</w:t>
      </w:r>
    </w:p>
    <w:p w14:paraId="7647C519" w14:textId="77777777" w:rsidR="00CB1D5E" w:rsidRPr="00CB1D5E" w:rsidRDefault="00CB1D5E" w:rsidP="00CB1D5E">
      <w:pPr>
        <w:ind w:firstLine="705"/>
        <w:jc w:val="both"/>
        <w:rPr>
          <w:rFonts w:ascii="Abadi" w:hAnsi="Abadi" w:cs="Arial"/>
          <w:sz w:val="21"/>
          <w:szCs w:val="21"/>
          <w:lang w:eastAsia="x-none"/>
        </w:rPr>
      </w:pPr>
    </w:p>
    <w:p w14:paraId="3A614499" w14:textId="77777777" w:rsidR="00CB1D5E" w:rsidRPr="00CB1D5E" w:rsidRDefault="00CB1D5E" w:rsidP="00CB1D5E">
      <w:pPr>
        <w:ind w:firstLine="705"/>
        <w:jc w:val="both"/>
        <w:rPr>
          <w:rFonts w:ascii="Abadi" w:hAnsi="Abadi" w:cs="Arial"/>
          <w:sz w:val="21"/>
          <w:szCs w:val="21"/>
          <w:lang w:val="es-MX" w:eastAsia="x-none"/>
        </w:rPr>
      </w:pPr>
      <w:r w:rsidRPr="00CB1D5E">
        <w:rPr>
          <w:rFonts w:ascii="Abadi" w:hAnsi="Abadi" w:cs="Arial"/>
          <w:sz w:val="21"/>
          <w:szCs w:val="21"/>
          <w:lang w:eastAsia="x-none"/>
        </w:rPr>
        <w:t xml:space="preserve">No se solventaron las observaciones establecidas en los numerales </w:t>
      </w:r>
      <w:r w:rsidRPr="00CB1D5E">
        <w:rPr>
          <w:rFonts w:ascii="Abadi" w:hAnsi="Abadi" w:cs="Arial"/>
          <w:sz w:val="21"/>
          <w:szCs w:val="21"/>
          <w:lang w:val="es-MX" w:eastAsia="x-none"/>
        </w:rPr>
        <w:t xml:space="preserve">002, correspondiente a procedimiento de adquisición de computadoras; 003, relativo a investigación de mercado; 005, referido a </w:t>
      </w:r>
      <w:r w:rsidRPr="00CB1D5E">
        <w:rPr>
          <w:rFonts w:ascii="Abadi" w:hAnsi="Abadi" w:cs="Arial"/>
          <w:sz w:val="21"/>
          <w:szCs w:val="21"/>
          <w:lang w:eastAsia="x-none"/>
        </w:rPr>
        <w:t xml:space="preserve">servicios publicitarios; y 006, </w:t>
      </w:r>
      <w:r w:rsidRPr="00CB1D5E">
        <w:rPr>
          <w:rFonts w:ascii="Abadi" w:hAnsi="Abadi" w:cs="Arial"/>
          <w:sz w:val="21"/>
          <w:szCs w:val="21"/>
          <w:lang w:val="es-MX" w:eastAsia="x-none"/>
        </w:rPr>
        <w:t>referente a procedimiento de contratación de servicios de mantenimiento a pozo.</w:t>
      </w:r>
    </w:p>
    <w:p w14:paraId="40916671" w14:textId="77777777" w:rsidR="00CB1D5E" w:rsidRPr="00CB1D5E" w:rsidRDefault="00CB1D5E" w:rsidP="00CB1D5E">
      <w:pPr>
        <w:ind w:firstLine="705"/>
        <w:jc w:val="both"/>
        <w:rPr>
          <w:rFonts w:ascii="Abadi" w:hAnsi="Abadi" w:cs="Arial"/>
          <w:sz w:val="21"/>
          <w:szCs w:val="21"/>
          <w:lang w:val="es-MX" w:eastAsia="x-none"/>
        </w:rPr>
      </w:pPr>
    </w:p>
    <w:p w14:paraId="2513D41F" w14:textId="77777777" w:rsidR="00CB1D5E" w:rsidRPr="00CB1D5E" w:rsidRDefault="00CB1D5E" w:rsidP="00CB1D5E">
      <w:pPr>
        <w:ind w:firstLine="705"/>
        <w:jc w:val="both"/>
        <w:rPr>
          <w:rFonts w:ascii="Abadi" w:hAnsi="Abadi" w:cs="Arial"/>
          <w:sz w:val="21"/>
          <w:szCs w:val="21"/>
          <w:lang w:val="es-MX" w:eastAsia="x-none"/>
        </w:rPr>
      </w:pPr>
      <w:r w:rsidRPr="00CB1D5E">
        <w:rPr>
          <w:rFonts w:ascii="Abadi" w:hAnsi="Abadi" w:cs="Arial"/>
          <w:sz w:val="21"/>
          <w:szCs w:val="21"/>
          <w:lang w:val="es-MX" w:eastAsia="x-none"/>
        </w:rPr>
        <w:t>En el apartado de Recomendaciones Generales, no se atendió el numeral 001, correspondiente a disposiciones administrativas en materia de control de bienes muebles.</w:t>
      </w:r>
    </w:p>
    <w:p w14:paraId="04BD5F4A" w14:textId="77777777" w:rsidR="00CB1D5E" w:rsidRPr="00CB1D5E" w:rsidRDefault="00CB1D5E" w:rsidP="00CB1D5E">
      <w:pPr>
        <w:ind w:firstLine="705"/>
        <w:jc w:val="both"/>
        <w:rPr>
          <w:rFonts w:ascii="Abadi" w:hAnsi="Abadi" w:cs="Arial"/>
          <w:sz w:val="21"/>
          <w:szCs w:val="21"/>
          <w:lang w:eastAsia="x-none"/>
        </w:rPr>
      </w:pPr>
    </w:p>
    <w:p w14:paraId="6FFD4BEF" w14:textId="77777777" w:rsidR="00CB1D5E" w:rsidRPr="00CB1D5E" w:rsidRDefault="00CB1D5E" w:rsidP="001A28E5">
      <w:pPr>
        <w:numPr>
          <w:ilvl w:val="0"/>
          <w:numId w:val="89"/>
        </w:numPr>
        <w:jc w:val="both"/>
        <w:rPr>
          <w:rFonts w:ascii="Abadi" w:hAnsi="Abadi" w:cs="Arial"/>
          <w:b/>
          <w:bCs/>
          <w:sz w:val="21"/>
          <w:szCs w:val="21"/>
          <w:lang w:val="es-MX" w:eastAsia="x-none"/>
        </w:rPr>
      </w:pPr>
      <w:r w:rsidRPr="00CB1D5E">
        <w:rPr>
          <w:rFonts w:ascii="Abadi" w:hAnsi="Abadi" w:cs="Arial"/>
          <w:b/>
          <w:bCs/>
          <w:sz w:val="21"/>
          <w:szCs w:val="21"/>
          <w:lang w:val="es-MX" w:eastAsia="x-none"/>
        </w:rPr>
        <w:t xml:space="preserve">Promoción del ejercicio de facultades de comprobación fiscal. </w:t>
      </w:r>
    </w:p>
    <w:p w14:paraId="6356F68D" w14:textId="77777777" w:rsidR="00CB1D5E" w:rsidRPr="00CB1D5E" w:rsidRDefault="00CB1D5E" w:rsidP="00CB1D5E">
      <w:pPr>
        <w:ind w:firstLine="705"/>
        <w:jc w:val="both"/>
        <w:rPr>
          <w:rFonts w:ascii="Abadi" w:hAnsi="Abadi" w:cs="Arial"/>
          <w:sz w:val="21"/>
          <w:szCs w:val="21"/>
          <w:lang w:eastAsia="x-none"/>
        </w:rPr>
      </w:pPr>
    </w:p>
    <w:p w14:paraId="1A3D5A43" w14:textId="77777777" w:rsidR="00CB1D5E" w:rsidRPr="00CB1D5E" w:rsidRDefault="00CB1D5E" w:rsidP="00CB1D5E">
      <w:pPr>
        <w:ind w:firstLine="705"/>
        <w:jc w:val="both"/>
        <w:rPr>
          <w:rFonts w:ascii="Abadi" w:hAnsi="Abadi" w:cs="Arial"/>
          <w:sz w:val="21"/>
          <w:szCs w:val="21"/>
          <w:lang w:val="es-MX" w:eastAsia="x-none"/>
        </w:rPr>
      </w:pPr>
      <w:r w:rsidRPr="00CB1D5E">
        <w:rPr>
          <w:rFonts w:ascii="Abadi" w:hAnsi="Abadi" w:cs="Arial"/>
          <w:sz w:val="21"/>
          <w:szCs w:val="21"/>
          <w:lang w:val="es-MX" w:eastAsia="x-none"/>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3EBC8A6A" w14:textId="77777777" w:rsidR="00CB1D5E" w:rsidRPr="00CB1D5E" w:rsidRDefault="00CB1D5E" w:rsidP="00CB1D5E">
      <w:pPr>
        <w:ind w:firstLine="705"/>
        <w:jc w:val="both"/>
        <w:rPr>
          <w:rFonts w:ascii="Abadi" w:hAnsi="Abadi" w:cs="Arial"/>
          <w:sz w:val="21"/>
          <w:szCs w:val="21"/>
          <w:lang w:val="es-MX" w:eastAsia="x-none"/>
        </w:rPr>
      </w:pPr>
    </w:p>
    <w:p w14:paraId="6216E8AF" w14:textId="77777777" w:rsidR="00CB1D5E" w:rsidRPr="00CB1D5E" w:rsidRDefault="00CB1D5E" w:rsidP="001A28E5">
      <w:pPr>
        <w:numPr>
          <w:ilvl w:val="0"/>
          <w:numId w:val="89"/>
        </w:numPr>
        <w:jc w:val="both"/>
        <w:rPr>
          <w:rFonts w:ascii="Abadi" w:hAnsi="Abadi" w:cs="Arial"/>
          <w:b/>
          <w:bCs/>
          <w:sz w:val="21"/>
          <w:szCs w:val="21"/>
          <w:lang w:val="es-MX" w:eastAsia="x-none"/>
        </w:rPr>
      </w:pPr>
      <w:r w:rsidRPr="00CB1D5E">
        <w:rPr>
          <w:rFonts w:ascii="Abadi" w:hAnsi="Abadi" w:cs="Arial"/>
          <w:b/>
          <w:bCs/>
          <w:sz w:val="21"/>
          <w:szCs w:val="21"/>
          <w:lang w:val="es-MX" w:eastAsia="x-none"/>
        </w:rPr>
        <w:t>Comunicado ante órganos de control y autoridades que administran padrones de proveedores y contratistas.</w:t>
      </w:r>
    </w:p>
    <w:p w14:paraId="23E97C29" w14:textId="77777777" w:rsidR="00CB1D5E" w:rsidRPr="00CB1D5E" w:rsidRDefault="00CB1D5E" w:rsidP="00CB1D5E">
      <w:pPr>
        <w:ind w:firstLine="705"/>
        <w:jc w:val="both"/>
        <w:rPr>
          <w:rFonts w:ascii="Abadi" w:hAnsi="Abadi" w:cs="Arial"/>
          <w:sz w:val="21"/>
          <w:szCs w:val="21"/>
          <w:lang w:eastAsia="x-none"/>
        </w:rPr>
      </w:pPr>
    </w:p>
    <w:p w14:paraId="4F4CEAAA" w14:textId="77777777" w:rsidR="00CB1D5E" w:rsidRPr="00CB1D5E" w:rsidRDefault="00CB1D5E" w:rsidP="00CB1D5E">
      <w:pPr>
        <w:ind w:firstLine="705"/>
        <w:jc w:val="both"/>
        <w:rPr>
          <w:rFonts w:ascii="Abadi" w:hAnsi="Abadi" w:cs="Arial"/>
          <w:sz w:val="21"/>
          <w:szCs w:val="21"/>
          <w:lang w:val="es-MX" w:eastAsia="x-none"/>
        </w:rPr>
      </w:pPr>
      <w:r w:rsidRPr="00CB1D5E">
        <w:rPr>
          <w:rFonts w:ascii="Abadi" w:hAnsi="Abadi" w:cs="Arial"/>
          <w:sz w:val="21"/>
          <w:szCs w:val="21"/>
          <w:lang w:val="es-MX" w:eastAsia="x-none"/>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revisión, es procedente hacer del conocimiento del Órgano Interno de Control y de la Tesorería Municipal de Tierra Blanca, Gto., las presuntas irregularidades o incumplimientos de estos en contrataciones públicas detectadas durante la revisión, precisando el proveedor y la observación de la que se desprende su intervención.</w:t>
      </w:r>
    </w:p>
    <w:p w14:paraId="54D35752" w14:textId="77777777" w:rsidR="00CB1D5E" w:rsidRPr="00CB1D5E" w:rsidRDefault="00CB1D5E" w:rsidP="00CB1D5E">
      <w:pPr>
        <w:ind w:firstLine="705"/>
        <w:jc w:val="both"/>
        <w:rPr>
          <w:rFonts w:ascii="Abadi" w:hAnsi="Abadi" w:cs="Arial"/>
          <w:sz w:val="21"/>
          <w:szCs w:val="21"/>
          <w:lang w:val="es-MX" w:eastAsia="x-none"/>
        </w:rPr>
      </w:pPr>
    </w:p>
    <w:p w14:paraId="4AC9BD47" w14:textId="77777777" w:rsidR="00CB1D5E" w:rsidRPr="00CB1D5E" w:rsidRDefault="00CB1D5E" w:rsidP="001A28E5">
      <w:pPr>
        <w:numPr>
          <w:ilvl w:val="0"/>
          <w:numId w:val="89"/>
        </w:numPr>
        <w:jc w:val="both"/>
        <w:rPr>
          <w:rFonts w:ascii="Abadi" w:hAnsi="Abadi" w:cs="Arial"/>
          <w:b/>
          <w:bCs/>
          <w:sz w:val="21"/>
          <w:szCs w:val="21"/>
          <w:lang w:val="es-MX" w:eastAsia="x-none"/>
        </w:rPr>
      </w:pPr>
      <w:r w:rsidRPr="00CB1D5E">
        <w:rPr>
          <w:rFonts w:ascii="Abadi" w:hAnsi="Abadi" w:cs="Arial"/>
          <w:b/>
          <w:bCs/>
          <w:sz w:val="21"/>
          <w:szCs w:val="21"/>
          <w:lang w:val="es-MX" w:eastAsia="x-none"/>
        </w:rPr>
        <w:t xml:space="preserve">Anexos. </w:t>
      </w:r>
    </w:p>
    <w:p w14:paraId="386F3A7D" w14:textId="77777777" w:rsidR="00CB1D5E" w:rsidRPr="00CB1D5E" w:rsidRDefault="00CB1D5E" w:rsidP="00CB1D5E">
      <w:pPr>
        <w:ind w:firstLine="705"/>
        <w:jc w:val="both"/>
        <w:rPr>
          <w:rFonts w:ascii="Abadi" w:hAnsi="Abadi" w:cs="Arial"/>
          <w:sz w:val="21"/>
          <w:szCs w:val="21"/>
          <w:lang w:eastAsia="x-none"/>
        </w:rPr>
      </w:pPr>
    </w:p>
    <w:p w14:paraId="1E23A441" w14:textId="77777777" w:rsidR="00CB1D5E" w:rsidRPr="00CB1D5E" w:rsidRDefault="00CB1D5E" w:rsidP="00CB1D5E">
      <w:pPr>
        <w:ind w:firstLine="705"/>
        <w:jc w:val="both"/>
        <w:rPr>
          <w:rFonts w:ascii="Abadi" w:hAnsi="Abadi" w:cs="Arial"/>
          <w:sz w:val="21"/>
          <w:szCs w:val="21"/>
          <w:lang w:eastAsia="x-none"/>
        </w:rPr>
      </w:pPr>
      <w:r w:rsidRPr="00CB1D5E">
        <w:rPr>
          <w:rFonts w:ascii="Abadi" w:hAnsi="Abadi" w:cs="Arial"/>
          <w:sz w:val="21"/>
          <w:szCs w:val="21"/>
          <w:lang w:eastAsia="x-none"/>
        </w:rPr>
        <w:t>En esta parte, se adjuntan los anexos técnicos derivados de la revisión practicada.</w:t>
      </w:r>
    </w:p>
    <w:p w14:paraId="58611918" w14:textId="77777777" w:rsidR="00CB1D5E" w:rsidRPr="00CB1D5E" w:rsidRDefault="00CB1D5E" w:rsidP="00CB1D5E">
      <w:pPr>
        <w:ind w:firstLine="705"/>
        <w:jc w:val="both"/>
        <w:rPr>
          <w:rFonts w:ascii="Abadi" w:hAnsi="Abadi" w:cs="Arial"/>
          <w:sz w:val="21"/>
          <w:szCs w:val="21"/>
          <w:lang w:eastAsia="x-none"/>
        </w:rPr>
      </w:pPr>
    </w:p>
    <w:p w14:paraId="200C9280" w14:textId="77777777" w:rsidR="00CB1D5E" w:rsidRPr="00CB1D5E" w:rsidRDefault="00CB1D5E" w:rsidP="00CB1D5E">
      <w:pPr>
        <w:ind w:firstLine="708"/>
        <w:jc w:val="both"/>
        <w:rPr>
          <w:rFonts w:ascii="Abadi" w:hAnsi="Abadi" w:cs="Arial"/>
          <w:b/>
          <w:bCs/>
          <w:sz w:val="21"/>
          <w:szCs w:val="21"/>
        </w:rPr>
      </w:pPr>
      <w:r w:rsidRPr="00CB1D5E">
        <w:rPr>
          <w:rFonts w:ascii="Abadi" w:hAnsi="Abadi" w:cs="Arial"/>
          <w:b/>
          <w:bCs/>
          <w:sz w:val="21"/>
          <w:szCs w:val="21"/>
        </w:rPr>
        <w:t>V. Conclusiones:</w:t>
      </w:r>
    </w:p>
    <w:p w14:paraId="1D5CF7BE" w14:textId="77777777" w:rsidR="00CB1D5E" w:rsidRPr="00CB1D5E" w:rsidRDefault="00CB1D5E" w:rsidP="00CB1D5E">
      <w:pPr>
        <w:jc w:val="both"/>
        <w:rPr>
          <w:rFonts w:ascii="Abadi" w:hAnsi="Abadi" w:cs="Arial"/>
          <w:sz w:val="21"/>
          <w:szCs w:val="21"/>
        </w:rPr>
      </w:pPr>
    </w:p>
    <w:p w14:paraId="1298F331" w14:textId="77777777" w:rsidR="00CB1D5E" w:rsidRPr="00CB1D5E" w:rsidRDefault="00CB1D5E" w:rsidP="00CB1D5E">
      <w:pPr>
        <w:jc w:val="both"/>
        <w:rPr>
          <w:rFonts w:ascii="Abadi" w:hAnsi="Abadi" w:cs="Arial"/>
          <w:sz w:val="21"/>
          <w:szCs w:val="21"/>
        </w:rPr>
      </w:pPr>
      <w:r w:rsidRPr="00CB1D5E">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CB1D5E">
          <w:rPr>
            <w:rFonts w:ascii="Abadi" w:hAnsi="Abadi" w:cs="Arial"/>
            <w:sz w:val="21"/>
            <w:szCs w:val="21"/>
          </w:rPr>
          <w:t>la Ley</w:t>
        </w:r>
      </w:smartTag>
      <w:r w:rsidRPr="00CB1D5E">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0B65700" w14:textId="77777777" w:rsidR="00CB1D5E" w:rsidRPr="00CB1D5E" w:rsidRDefault="00CB1D5E" w:rsidP="00CB1D5E">
      <w:pPr>
        <w:jc w:val="both"/>
        <w:rPr>
          <w:rFonts w:ascii="Abadi" w:hAnsi="Abadi" w:cs="Arial"/>
          <w:sz w:val="21"/>
          <w:szCs w:val="21"/>
        </w:rPr>
      </w:pPr>
    </w:p>
    <w:p w14:paraId="7AF0B4A9" w14:textId="7029811A" w:rsidR="00CB1D5E" w:rsidRPr="00CB1D5E" w:rsidRDefault="00CB1D5E" w:rsidP="00626E93">
      <w:pPr>
        <w:jc w:val="both"/>
        <w:rPr>
          <w:rFonts w:ascii="Abadi" w:hAnsi="Abadi" w:cs="Arial"/>
          <w:sz w:val="21"/>
          <w:szCs w:val="21"/>
        </w:rPr>
      </w:pPr>
      <w:r w:rsidRPr="00CB1D5E">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7F4FAFA7" w14:textId="77777777" w:rsidR="00CB1D5E" w:rsidRPr="00CB1D5E" w:rsidRDefault="00CB1D5E" w:rsidP="00CB1D5E">
      <w:pPr>
        <w:ind w:firstLine="708"/>
        <w:jc w:val="both"/>
        <w:rPr>
          <w:rFonts w:ascii="Abadi" w:hAnsi="Abadi" w:cs="Arial"/>
          <w:sz w:val="21"/>
          <w:szCs w:val="21"/>
        </w:rPr>
      </w:pPr>
    </w:p>
    <w:p w14:paraId="2F12880A" w14:textId="77777777" w:rsidR="00CB1D5E" w:rsidRPr="00CB1D5E" w:rsidRDefault="00CB1D5E" w:rsidP="00CB1D5E">
      <w:pPr>
        <w:ind w:firstLine="708"/>
        <w:jc w:val="both"/>
        <w:rPr>
          <w:rFonts w:ascii="Abadi" w:hAnsi="Abadi" w:cs="Arial"/>
          <w:sz w:val="21"/>
          <w:szCs w:val="21"/>
        </w:rPr>
      </w:pPr>
      <w:r w:rsidRPr="00CB1D5E">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y al ex-presidente municipales de Tierra Blanca, Gto., concediéndoles el plazo que establece </w:t>
      </w:r>
      <w:smartTag w:uri="urn:schemas-microsoft-com:office:smarttags" w:element="PersonName">
        <w:smartTagPr>
          <w:attr w:name="ProductID" w:val="la Ley"/>
        </w:smartTagPr>
        <w:r w:rsidRPr="00CB1D5E">
          <w:rPr>
            <w:rFonts w:ascii="Abadi" w:hAnsi="Abadi" w:cs="Arial"/>
            <w:sz w:val="21"/>
            <w:szCs w:val="21"/>
          </w:rPr>
          <w:t>la Ley</w:t>
        </w:r>
      </w:smartTag>
      <w:r w:rsidRPr="00CB1D5E">
        <w:rPr>
          <w:rFonts w:ascii="Abadi" w:hAnsi="Abadi" w:cs="Arial"/>
          <w:sz w:val="21"/>
          <w:szCs w:val="21"/>
        </w:rPr>
        <w:t xml:space="preserve"> para aclarar, atender o solventar documentalmente las observaciones determinadas por el Órgano Técnico. Al respecto el presidente y el ex-presidente municipales, así como del secretario de Ayuntamiento y del tesorero municipal de Tierra Blanca, Gto., presentaron información y documentación para aclarar y en su caso, solventar las observaciones determinadas y atender las recomendaciones efectuadas.</w:t>
      </w:r>
    </w:p>
    <w:p w14:paraId="74F9B089" w14:textId="77777777" w:rsidR="00CB1D5E" w:rsidRPr="00CB1D5E" w:rsidRDefault="00CB1D5E" w:rsidP="00CB1D5E">
      <w:pPr>
        <w:ind w:firstLine="708"/>
        <w:jc w:val="both"/>
        <w:rPr>
          <w:rFonts w:ascii="Abadi" w:hAnsi="Abadi" w:cs="Arial"/>
          <w:sz w:val="21"/>
          <w:szCs w:val="21"/>
        </w:rPr>
      </w:pPr>
    </w:p>
    <w:p w14:paraId="29F66DDC" w14:textId="77777777" w:rsidR="00CB1D5E" w:rsidRPr="00CB1D5E" w:rsidRDefault="00CB1D5E" w:rsidP="00CB1D5E">
      <w:pPr>
        <w:ind w:firstLine="708"/>
        <w:jc w:val="both"/>
        <w:rPr>
          <w:rFonts w:ascii="Abadi" w:hAnsi="Abadi" w:cs="Arial"/>
          <w:sz w:val="21"/>
          <w:szCs w:val="21"/>
        </w:rPr>
      </w:pPr>
      <w:r w:rsidRPr="00CB1D5E">
        <w:rPr>
          <w:rFonts w:ascii="Abadi" w:hAnsi="Abadi" w:cs="Arial"/>
          <w:sz w:val="21"/>
          <w:szCs w:val="21"/>
        </w:rPr>
        <w:t xml:space="preserve">De igual manera, existe en el informe de resultados la constancia de que este se notificó al presidente y al ex-presidente municipales de Tierra Blanca, Gto., concediéndoles el término señalado en el artículo 37, fracción IV de </w:t>
      </w:r>
      <w:smartTag w:uri="urn:schemas-microsoft-com:office:smarttags" w:element="PersonName">
        <w:smartTagPr>
          <w:attr w:name="ProductID" w:val="la Ley"/>
        </w:smartTagPr>
        <w:r w:rsidRPr="00CB1D5E">
          <w:rPr>
            <w:rFonts w:ascii="Abadi" w:hAnsi="Abadi" w:cs="Arial"/>
            <w:sz w:val="21"/>
            <w:szCs w:val="21"/>
          </w:rPr>
          <w:t>la Ley</w:t>
        </w:r>
      </w:smartTag>
      <w:r w:rsidRPr="00CB1D5E">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razón levantada por el Auditor Superior y que obra en el informe de resultados. En tal virtud, se considera que fue respetado el derecho de audiencia o defensa por parte del Órgano Técnico.</w:t>
      </w:r>
    </w:p>
    <w:p w14:paraId="6DE14E96" w14:textId="77777777" w:rsidR="00CB1D5E" w:rsidRPr="00CB1D5E" w:rsidRDefault="00CB1D5E" w:rsidP="00CB1D5E">
      <w:pPr>
        <w:ind w:firstLine="708"/>
        <w:jc w:val="both"/>
        <w:rPr>
          <w:rFonts w:ascii="Abadi" w:hAnsi="Abadi" w:cs="Arial"/>
          <w:sz w:val="21"/>
          <w:szCs w:val="21"/>
        </w:rPr>
      </w:pPr>
    </w:p>
    <w:p w14:paraId="7790BD23" w14:textId="77777777" w:rsidR="00CB1D5E" w:rsidRPr="00CB1D5E" w:rsidRDefault="00CB1D5E" w:rsidP="00CB1D5E">
      <w:pPr>
        <w:ind w:firstLine="708"/>
        <w:jc w:val="both"/>
        <w:rPr>
          <w:rFonts w:ascii="Abadi" w:hAnsi="Abadi" w:cs="Arial"/>
          <w:sz w:val="21"/>
          <w:szCs w:val="21"/>
        </w:rPr>
      </w:pPr>
      <w:r w:rsidRPr="00CB1D5E">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53A9C501" w14:textId="77777777" w:rsidR="00CB1D5E" w:rsidRPr="00CB1D5E" w:rsidRDefault="00CB1D5E" w:rsidP="00626E93">
      <w:pPr>
        <w:jc w:val="both"/>
        <w:rPr>
          <w:rFonts w:ascii="Abadi" w:hAnsi="Abadi" w:cs="Arial"/>
          <w:sz w:val="21"/>
          <w:szCs w:val="21"/>
        </w:rPr>
      </w:pPr>
    </w:p>
    <w:p w14:paraId="32F7AA28" w14:textId="77777777" w:rsidR="00CB1D5E" w:rsidRPr="00CB1D5E" w:rsidRDefault="00CB1D5E" w:rsidP="00CB1D5E">
      <w:pPr>
        <w:ind w:firstLine="708"/>
        <w:jc w:val="both"/>
        <w:rPr>
          <w:rFonts w:ascii="Abadi" w:hAnsi="Abadi" w:cs="Arial"/>
          <w:sz w:val="21"/>
          <w:szCs w:val="21"/>
        </w:rPr>
      </w:pPr>
      <w:r w:rsidRPr="00CB1D5E">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62477E7F" w14:textId="77777777" w:rsidR="00CB1D5E" w:rsidRPr="00CB1D5E" w:rsidRDefault="00CB1D5E" w:rsidP="00CB1D5E">
      <w:pPr>
        <w:jc w:val="both"/>
        <w:rPr>
          <w:rFonts w:ascii="Abadi" w:hAnsi="Abadi" w:cs="Arial"/>
          <w:sz w:val="21"/>
          <w:szCs w:val="21"/>
        </w:rPr>
      </w:pPr>
    </w:p>
    <w:p w14:paraId="6BCCB04A" w14:textId="77777777" w:rsidR="00CB1D5E" w:rsidRPr="00CB1D5E" w:rsidRDefault="00CB1D5E" w:rsidP="00CB1D5E">
      <w:pPr>
        <w:ind w:firstLine="708"/>
        <w:jc w:val="both"/>
        <w:rPr>
          <w:rFonts w:ascii="Abadi" w:hAnsi="Abadi" w:cs="Arial"/>
          <w:sz w:val="21"/>
          <w:szCs w:val="21"/>
        </w:rPr>
      </w:pPr>
      <w:r w:rsidRPr="00CB1D5E">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 recomendación no atendida y a las observaciones no solventadas contenidas en el informe de resultados.</w:t>
      </w:r>
    </w:p>
    <w:p w14:paraId="26940524" w14:textId="77777777" w:rsidR="00CB1D5E" w:rsidRPr="00CB1D5E" w:rsidRDefault="00CB1D5E" w:rsidP="00CB1D5E">
      <w:pPr>
        <w:ind w:firstLine="708"/>
        <w:jc w:val="both"/>
        <w:rPr>
          <w:rFonts w:ascii="Abadi" w:hAnsi="Abadi" w:cs="Arial"/>
          <w:sz w:val="21"/>
          <w:szCs w:val="21"/>
        </w:rPr>
      </w:pPr>
    </w:p>
    <w:p w14:paraId="1795EC1B" w14:textId="77777777" w:rsidR="00CB1D5E" w:rsidRPr="00CB1D5E" w:rsidRDefault="00CB1D5E" w:rsidP="00CB1D5E">
      <w:pPr>
        <w:ind w:firstLine="708"/>
        <w:jc w:val="both"/>
        <w:rPr>
          <w:rFonts w:ascii="Abadi" w:hAnsi="Abadi" w:cs="Arial"/>
          <w:sz w:val="21"/>
          <w:szCs w:val="21"/>
        </w:rPr>
      </w:pPr>
      <w:r w:rsidRPr="00CB1D5E">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6D8F79DC" w14:textId="77777777" w:rsidR="00CB1D5E" w:rsidRPr="00CB1D5E" w:rsidRDefault="00CB1D5E" w:rsidP="00CB1D5E">
      <w:pPr>
        <w:ind w:firstLine="708"/>
        <w:jc w:val="both"/>
        <w:rPr>
          <w:rFonts w:ascii="Abadi" w:hAnsi="Abadi" w:cs="Arial"/>
          <w:sz w:val="21"/>
          <w:szCs w:val="21"/>
        </w:rPr>
      </w:pPr>
    </w:p>
    <w:p w14:paraId="13776F1C" w14:textId="1E86BAE4" w:rsidR="00CB1D5E" w:rsidRPr="00CB1D5E" w:rsidRDefault="00CB1D5E" w:rsidP="00626E93">
      <w:pPr>
        <w:ind w:firstLine="708"/>
        <w:jc w:val="both"/>
        <w:rPr>
          <w:rFonts w:ascii="Abadi" w:hAnsi="Abadi" w:cs="Arial"/>
          <w:sz w:val="21"/>
          <w:szCs w:val="21"/>
        </w:rPr>
      </w:pPr>
      <w:r w:rsidRPr="00CB1D5E">
        <w:rPr>
          <w:rFonts w:ascii="Abadi" w:hAnsi="Abadi" w:cs="Arial"/>
          <w:sz w:val="21"/>
          <w:szCs w:val="21"/>
        </w:rPr>
        <w:t xml:space="preserve">En razón de lo anteriormente señalado, concluimos que el informe de resultados de la revisión practicada a la cuenta pública de Tierra Blanca, Gto., correspondiente al ejercicio fiscal del año 2020, debe sancionarse por el Congreso en los términos presentados por la Auditoría Superior del Estado y proceder a su aprobación, considerando que no se actualiza el supuesto contenido en el artículo 38 de </w:t>
      </w:r>
      <w:smartTag w:uri="urn:schemas-microsoft-com:office:smarttags" w:element="PersonName">
        <w:smartTagPr>
          <w:attr w:name="ProductID" w:val="la Ley"/>
        </w:smartTagPr>
        <w:r w:rsidRPr="00CB1D5E">
          <w:rPr>
            <w:rFonts w:ascii="Abadi" w:hAnsi="Abadi" w:cs="Arial"/>
            <w:sz w:val="21"/>
            <w:szCs w:val="21"/>
          </w:rPr>
          <w:t>la Ley</w:t>
        </w:r>
      </w:smartTag>
      <w:r w:rsidRPr="00CB1D5E">
        <w:rPr>
          <w:rFonts w:ascii="Abadi" w:hAnsi="Abadi" w:cs="Arial"/>
          <w:sz w:val="21"/>
          <w:szCs w:val="21"/>
        </w:rPr>
        <w:t xml:space="preserve"> de Fiscalización Superior del Estado de Guanajuato, razón por la cual no podría ser observado por el Pleno del Congreso.</w:t>
      </w:r>
    </w:p>
    <w:p w14:paraId="67EE3B31" w14:textId="77777777" w:rsidR="00CB1D5E" w:rsidRPr="00CB1D5E" w:rsidRDefault="00CB1D5E" w:rsidP="00CB1D5E">
      <w:pPr>
        <w:ind w:firstLine="708"/>
        <w:jc w:val="both"/>
        <w:rPr>
          <w:rFonts w:ascii="Abadi" w:hAnsi="Abadi" w:cs="Arial"/>
          <w:sz w:val="21"/>
          <w:szCs w:val="21"/>
        </w:rPr>
      </w:pPr>
    </w:p>
    <w:p w14:paraId="3961C595" w14:textId="77777777" w:rsidR="00CB1D5E" w:rsidRPr="00CB1D5E" w:rsidRDefault="00CB1D5E" w:rsidP="00CB1D5E">
      <w:pPr>
        <w:ind w:firstLine="708"/>
        <w:jc w:val="both"/>
        <w:rPr>
          <w:rFonts w:ascii="Abadi" w:hAnsi="Abadi" w:cs="Arial"/>
          <w:sz w:val="21"/>
          <w:szCs w:val="21"/>
        </w:rPr>
      </w:pPr>
    </w:p>
    <w:p w14:paraId="76E5A57D" w14:textId="77777777" w:rsidR="00CB1D5E" w:rsidRPr="00CB1D5E" w:rsidRDefault="00CB1D5E" w:rsidP="00CB1D5E">
      <w:pPr>
        <w:ind w:firstLine="708"/>
        <w:jc w:val="both"/>
        <w:rPr>
          <w:rFonts w:ascii="Abadi" w:hAnsi="Abadi" w:cs="Arial"/>
          <w:sz w:val="21"/>
          <w:szCs w:val="21"/>
          <w:lang w:val="x-none" w:eastAsia="x-none"/>
        </w:rPr>
      </w:pPr>
      <w:r w:rsidRPr="00CB1D5E">
        <w:rPr>
          <w:rFonts w:ascii="Abadi" w:hAnsi="Abadi" w:cs="Arial"/>
          <w:sz w:val="21"/>
          <w:szCs w:val="21"/>
        </w:rPr>
        <w:t xml:space="preserve">Por lo expuesto, con fundamento en el artículo 204 de </w:t>
      </w:r>
      <w:smartTag w:uri="urn:schemas-microsoft-com:office:smarttags" w:element="PersonName">
        <w:smartTagPr>
          <w:attr w:name="ProductID" w:val="la Ley Org￡nica"/>
        </w:smartTagPr>
        <w:r w:rsidRPr="00CB1D5E">
          <w:rPr>
            <w:rFonts w:ascii="Abadi" w:hAnsi="Abadi" w:cs="Arial"/>
            <w:sz w:val="21"/>
            <w:szCs w:val="21"/>
          </w:rPr>
          <w:t>la Ley Orgánica</w:t>
        </w:r>
      </w:smartTag>
      <w:r w:rsidRPr="00CB1D5E">
        <w:rPr>
          <w:rFonts w:ascii="Abadi" w:hAnsi="Abadi" w:cs="Arial"/>
          <w:sz w:val="21"/>
          <w:szCs w:val="21"/>
        </w:rPr>
        <w:t xml:space="preserve"> del Poder Legislativo, nos permitimos someter a la consideración de </w:t>
      </w:r>
      <w:smartTag w:uri="urn:schemas-microsoft-com:office:smarttags" w:element="PersonName">
        <w:smartTagPr>
          <w:attr w:name="ProductID" w:val="la Asamblea"/>
        </w:smartTagPr>
        <w:r w:rsidRPr="00CB1D5E">
          <w:rPr>
            <w:rFonts w:ascii="Abadi" w:hAnsi="Abadi" w:cs="Arial"/>
            <w:sz w:val="21"/>
            <w:szCs w:val="21"/>
          </w:rPr>
          <w:t>la Asamblea</w:t>
        </w:r>
      </w:smartTag>
      <w:r w:rsidRPr="00CB1D5E">
        <w:rPr>
          <w:rFonts w:ascii="Abadi" w:hAnsi="Abadi" w:cs="Arial"/>
          <w:sz w:val="21"/>
          <w:szCs w:val="21"/>
        </w:rPr>
        <w:t>, la aprobación del siguiente</w:t>
      </w:r>
      <w:r w:rsidRPr="00CB1D5E">
        <w:rPr>
          <w:rFonts w:ascii="Abadi" w:hAnsi="Abadi" w:cs="Arial"/>
          <w:sz w:val="21"/>
          <w:szCs w:val="21"/>
          <w:lang w:val="x-none" w:eastAsia="x-none"/>
        </w:rPr>
        <w:t>:</w:t>
      </w:r>
    </w:p>
    <w:p w14:paraId="630AADBC" w14:textId="77777777" w:rsidR="00CB1D5E" w:rsidRPr="00CB1D5E" w:rsidRDefault="00CB1D5E" w:rsidP="00CB1D5E">
      <w:pPr>
        <w:keepNext/>
        <w:jc w:val="center"/>
        <w:outlineLvl w:val="0"/>
        <w:rPr>
          <w:rFonts w:ascii="Abadi" w:eastAsia="Arial Unicode MS" w:hAnsi="Abadi" w:cs="Arial"/>
          <w:b/>
          <w:bCs/>
          <w:smallCaps/>
          <w:sz w:val="21"/>
          <w:szCs w:val="21"/>
        </w:rPr>
      </w:pPr>
    </w:p>
    <w:p w14:paraId="2BB7F2EB" w14:textId="77777777" w:rsidR="00CB1D5E" w:rsidRPr="00CB1D5E" w:rsidRDefault="00CB1D5E" w:rsidP="00CB1D5E">
      <w:pPr>
        <w:keepNext/>
        <w:jc w:val="center"/>
        <w:outlineLvl w:val="0"/>
        <w:rPr>
          <w:rFonts w:ascii="Abadi" w:eastAsia="Arial Unicode MS" w:hAnsi="Abadi" w:cs="Arial"/>
          <w:b/>
          <w:bCs/>
          <w:smallCaps/>
          <w:sz w:val="21"/>
          <w:szCs w:val="21"/>
        </w:rPr>
      </w:pPr>
      <w:r w:rsidRPr="00CB1D5E">
        <w:rPr>
          <w:rFonts w:ascii="Abadi" w:eastAsia="Arial Unicode MS" w:hAnsi="Abadi" w:cs="Arial"/>
          <w:b/>
          <w:bCs/>
          <w:smallCaps/>
          <w:sz w:val="21"/>
          <w:szCs w:val="21"/>
        </w:rPr>
        <w:t>A c u e r d o</w:t>
      </w:r>
    </w:p>
    <w:p w14:paraId="4AEEF13F" w14:textId="77777777" w:rsidR="00CB1D5E" w:rsidRPr="00CB1D5E" w:rsidRDefault="00CB1D5E" w:rsidP="00CB1D5E">
      <w:pPr>
        <w:rPr>
          <w:rFonts w:ascii="Abadi" w:hAnsi="Abadi"/>
          <w:sz w:val="21"/>
          <w:szCs w:val="21"/>
        </w:rPr>
      </w:pPr>
    </w:p>
    <w:p w14:paraId="4BA3A4D0" w14:textId="21B66B91" w:rsidR="00CB1D5E" w:rsidRPr="00CB1D5E" w:rsidRDefault="00CB1D5E" w:rsidP="00626E93">
      <w:pPr>
        <w:ind w:firstLine="708"/>
        <w:jc w:val="both"/>
        <w:rPr>
          <w:rFonts w:ascii="Abadi" w:hAnsi="Abadi" w:cs="Arial"/>
          <w:sz w:val="21"/>
          <w:szCs w:val="21"/>
        </w:rPr>
      </w:pPr>
      <w:r w:rsidRPr="00CB1D5E">
        <w:rPr>
          <w:rFonts w:ascii="Abadi" w:hAnsi="Abadi" w:cs="Arial"/>
          <w:b/>
          <w:bCs/>
          <w:sz w:val="21"/>
          <w:szCs w:val="21"/>
        </w:rPr>
        <w:t xml:space="preserve">Único. </w:t>
      </w:r>
      <w:r w:rsidRPr="00CB1D5E">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CB1D5E">
          <w:rPr>
            <w:rFonts w:ascii="Abadi" w:hAnsi="Abadi" w:cs="Arial"/>
            <w:sz w:val="21"/>
            <w:szCs w:val="21"/>
          </w:rPr>
          <w:t>la Constitución Política</w:t>
        </w:r>
      </w:smartTag>
      <w:r w:rsidRPr="00CB1D5E">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Tierra Blanca, Gto., correspondiente al ejercicio fiscal del año 2020, con base en el informe de resultados formulado por la Auditoría Superior del Estado de Guanajuato.</w:t>
      </w:r>
    </w:p>
    <w:p w14:paraId="5FF6A8AF" w14:textId="77777777" w:rsidR="00CB1D5E" w:rsidRPr="00CB1D5E" w:rsidRDefault="00CB1D5E" w:rsidP="00CB1D5E">
      <w:pPr>
        <w:ind w:firstLine="708"/>
        <w:jc w:val="both"/>
        <w:rPr>
          <w:rFonts w:ascii="Abadi" w:hAnsi="Abadi" w:cs="Arial"/>
          <w:sz w:val="21"/>
          <w:szCs w:val="21"/>
        </w:rPr>
      </w:pPr>
    </w:p>
    <w:p w14:paraId="14A96B71" w14:textId="27E2ABF6" w:rsidR="00CB1D5E" w:rsidRPr="00CB1D5E" w:rsidRDefault="00CB1D5E" w:rsidP="00626E93">
      <w:pPr>
        <w:ind w:firstLine="708"/>
        <w:jc w:val="both"/>
        <w:rPr>
          <w:rFonts w:ascii="Abadi" w:hAnsi="Abadi" w:cs="Arial"/>
          <w:sz w:val="21"/>
          <w:szCs w:val="21"/>
          <w:lang w:val="es-MX" w:eastAsia="x-none"/>
        </w:rPr>
      </w:pPr>
      <w:r w:rsidRPr="00CB1D5E">
        <w:rPr>
          <w:rFonts w:ascii="Abadi" w:hAnsi="Abadi" w:cs="Arial"/>
          <w:sz w:val="21"/>
          <w:szCs w:val="21"/>
          <w:lang w:val="x-none" w:eastAsia="x-none"/>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CB1D5E">
        <w:rPr>
          <w:rFonts w:ascii="Abadi" w:hAnsi="Abadi" w:cs="Arial"/>
          <w:sz w:val="21"/>
          <w:szCs w:val="21"/>
          <w:lang w:val="es-MX" w:eastAsia="x-none"/>
        </w:rPr>
        <w:t>.</w:t>
      </w:r>
      <w:r w:rsidRPr="00CB1D5E">
        <w:rPr>
          <w:rFonts w:ascii="Abadi" w:hAnsi="Abadi" w:cs="Arial"/>
          <w:sz w:val="21"/>
          <w:szCs w:val="21"/>
          <w:lang w:val="x-none" w:eastAsia="x-none"/>
        </w:rPr>
        <w:t xml:space="preserve"> </w:t>
      </w:r>
      <w:r w:rsidRPr="00CB1D5E">
        <w:rPr>
          <w:rFonts w:ascii="Abadi" w:hAnsi="Abadi" w:cs="Arial"/>
          <w:sz w:val="21"/>
          <w:szCs w:val="21"/>
          <w:lang w:val="es-MX" w:eastAsia="x-none"/>
        </w:rPr>
        <w:t>Asimismo, dará</w:t>
      </w:r>
      <w:r w:rsidRPr="00CB1D5E">
        <w:rPr>
          <w:rFonts w:ascii="Abadi" w:hAnsi="Abadi" w:cs="Arial"/>
          <w:sz w:val="21"/>
          <w:szCs w:val="21"/>
          <w:lang w:val="x-none" w:eastAsia="x-none"/>
        </w:rPr>
        <w:t xml:space="preserve"> seguimiento a la recomendaci</w:t>
      </w:r>
      <w:r w:rsidRPr="00CB1D5E">
        <w:rPr>
          <w:rFonts w:ascii="Abadi" w:hAnsi="Abadi" w:cs="Arial"/>
          <w:sz w:val="21"/>
          <w:szCs w:val="21"/>
          <w:lang w:val="es-MX" w:eastAsia="x-none"/>
        </w:rPr>
        <w:t>ón</w:t>
      </w:r>
      <w:r w:rsidRPr="00CB1D5E">
        <w:rPr>
          <w:rFonts w:ascii="Abadi" w:hAnsi="Abadi" w:cs="Arial"/>
          <w:sz w:val="21"/>
          <w:szCs w:val="21"/>
          <w:lang w:val="x-none" w:eastAsia="x-none"/>
        </w:rPr>
        <w:t xml:space="preserve"> no atendida y a las observaciones no solventadas contenidas en el informe de resultados</w:t>
      </w:r>
      <w:r w:rsidRPr="00CB1D5E">
        <w:rPr>
          <w:rFonts w:ascii="Abadi" w:hAnsi="Abadi" w:cs="Arial"/>
          <w:sz w:val="21"/>
          <w:szCs w:val="21"/>
          <w:lang w:val="es-MX" w:eastAsia="x-none"/>
        </w:rPr>
        <w:t>.</w:t>
      </w:r>
    </w:p>
    <w:p w14:paraId="428B9BFA" w14:textId="77777777" w:rsidR="00CB1D5E" w:rsidRPr="00CB1D5E" w:rsidRDefault="00CB1D5E" w:rsidP="00CB1D5E">
      <w:pPr>
        <w:ind w:firstLine="708"/>
        <w:jc w:val="both"/>
        <w:rPr>
          <w:rFonts w:ascii="Abadi" w:hAnsi="Abadi" w:cs="Arial"/>
          <w:sz w:val="21"/>
          <w:szCs w:val="21"/>
          <w:lang w:val="es-MX" w:eastAsia="x-none"/>
        </w:rPr>
      </w:pPr>
    </w:p>
    <w:p w14:paraId="00EB9C11" w14:textId="77777777" w:rsidR="00CB1D5E" w:rsidRPr="00CB1D5E" w:rsidRDefault="00CB1D5E" w:rsidP="00CB1D5E">
      <w:pPr>
        <w:ind w:firstLine="708"/>
        <w:jc w:val="both"/>
        <w:rPr>
          <w:rFonts w:ascii="Abadi" w:hAnsi="Abadi" w:cs="Arial"/>
          <w:sz w:val="21"/>
          <w:szCs w:val="21"/>
        </w:rPr>
      </w:pPr>
      <w:r w:rsidRPr="00CB1D5E">
        <w:rPr>
          <w:rFonts w:ascii="Abadi" w:hAnsi="Abadi" w:cs="Arial"/>
          <w:sz w:val="21"/>
          <w:szCs w:val="21"/>
        </w:rPr>
        <w:t xml:space="preserve">Se ordena dar vista del informe de resultados al ayuntamiento del municipio de </w:t>
      </w:r>
      <w:r w:rsidRPr="00CB1D5E">
        <w:rPr>
          <w:rFonts w:ascii="Abadi" w:hAnsi="Abadi" w:cs="Arial"/>
          <w:sz w:val="21"/>
          <w:szCs w:val="21"/>
          <w:lang w:val="es-MX"/>
        </w:rPr>
        <w:t>Tierra Blanca,</w:t>
      </w:r>
      <w:r w:rsidRPr="00CB1D5E">
        <w:rPr>
          <w:rFonts w:ascii="Abadi" w:hAnsi="Abadi" w:cs="Arial"/>
          <w:sz w:val="21"/>
          <w:szCs w:val="21"/>
        </w:rPr>
        <w:t xml:space="preserve"> Gto., a efecto de que se atienda la recomendación contenida en dicho informe, en el plazo que establece el artículo 66 de </w:t>
      </w:r>
      <w:smartTag w:uri="urn:schemas-microsoft-com:office:smarttags" w:element="PersonName">
        <w:smartTagPr>
          <w:attr w:name="ProductID" w:val="la Ley"/>
        </w:smartTagPr>
        <w:r w:rsidRPr="00CB1D5E">
          <w:rPr>
            <w:rFonts w:ascii="Abadi" w:hAnsi="Abadi" w:cs="Arial"/>
            <w:sz w:val="21"/>
            <w:szCs w:val="21"/>
          </w:rPr>
          <w:t>la Ley</w:t>
        </w:r>
      </w:smartTag>
      <w:r w:rsidRPr="00CB1D5E">
        <w:rPr>
          <w:rFonts w:ascii="Abadi" w:hAnsi="Abadi" w:cs="Arial"/>
          <w:sz w:val="21"/>
          <w:szCs w:val="21"/>
        </w:rPr>
        <w:t xml:space="preserve"> de Fiscalización Superior del Estado de Guanajuato, informando a la Auditoría Superior del Estado de Guanajuato de las acciones realizadas para ello, con objeto de que esta última realice el seguimiento correspondiente.</w:t>
      </w:r>
    </w:p>
    <w:p w14:paraId="4297D2D1" w14:textId="77777777" w:rsidR="00CB1D5E" w:rsidRPr="00CB1D5E" w:rsidRDefault="00CB1D5E" w:rsidP="00626E93">
      <w:pPr>
        <w:jc w:val="both"/>
        <w:rPr>
          <w:rFonts w:ascii="Abadi" w:hAnsi="Abadi" w:cs="Arial"/>
          <w:sz w:val="21"/>
          <w:szCs w:val="21"/>
        </w:rPr>
      </w:pPr>
    </w:p>
    <w:p w14:paraId="557F63A2" w14:textId="77777777" w:rsidR="00CB1D5E" w:rsidRPr="00CB1D5E" w:rsidRDefault="00CB1D5E" w:rsidP="00CB1D5E">
      <w:pPr>
        <w:ind w:firstLine="708"/>
        <w:jc w:val="both"/>
        <w:rPr>
          <w:rFonts w:ascii="Abadi" w:hAnsi="Abadi" w:cs="Arial"/>
          <w:sz w:val="21"/>
          <w:szCs w:val="21"/>
        </w:rPr>
      </w:pPr>
      <w:r w:rsidRPr="00CB1D5E">
        <w:rPr>
          <w:rFonts w:ascii="Abadi" w:hAnsi="Abadi" w:cs="Arial"/>
          <w:sz w:val="21"/>
          <w:szCs w:val="21"/>
        </w:rPr>
        <w:t>Remítase el presente acuerdo al titular del Poder Ejecutivo del Estado para su publicación en el Periódico Oficial del Gobierno del Estado.</w:t>
      </w:r>
    </w:p>
    <w:p w14:paraId="7D64AC18" w14:textId="77777777" w:rsidR="00CB1D5E" w:rsidRPr="00CB1D5E" w:rsidRDefault="00CB1D5E" w:rsidP="00626E93">
      <w:pPr>
        <w:jc w:val="both"/>
        <w:rPr>
          <w:rFonts w:ascii="Abadi" w:hAnsi="Abadi" w:cs="Arial"/>
          <w:sz w:val="21"/>
          <w:szCs w:val="21"/>
        </w:rPr>
      </w:pPr>
    </w:p>
    <w:p w14:paraId="1A2B2303" w14:textId="77777777" w:rsidR="00CB1D5E" w:rsidRPr="00CB1D5E" w:rsidRDefault="00CB1D5E" w:rsidP="00CB1D5E">
      <w:pPr>
        <w:ind w:firstLine="708"/>
        <w:jc w:val="both"/>
        <w:rPr>
          <w:rFonts w:ascii="Abadi" w:hAnsi="Abadi" w:cs="Arial"/>
          <w:sz w:val="21"/>
          <w:szCs w:val="21"/>
          <w:lang w:val="x-none" w:eastAsia="x-none"/>
        </w:rPr>
      </w:pPr>
      <w:r w:rsidRPr="00CB1D5E">
        <w:rPr>
          <w:rFonts w:ascii="Abadi" w:hAnsi="Abadi" w:cs="Arial"/>
          <w:sz w:val="21"/>
          <w:szCs w:val="21"/>
          <w:lang w:val="x-none"/>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CB1D5E">
        <w:rPr>
          <w:rFonts w:ascii="Abadi" w:hAnsi="Abadi" w:cs="Arial"/>
          <w:sz w:val="21"/>
          <w:szCs w:val="21"/>
          <w:lang w:val="x-none" w:eastAsia="x-none"/>
        </w:rPr>
        <w:t>.</w:t>
      </w:r>
    </w:p>
    <w:p w14:paraId="03EADB2C" w14:textId="77777777" w:rsidR="00CB1D5E" w:rsidRPr="00CB1D5E" w:rsidRDefault="00CB1D5E" w:rsidP="00CB1D5E">
      <w:pPr>
        <w:jc w:val="center"/>
        <w:rPr>
          <w:rFonts w:ascii="Abadi" w:hAnsi="Abadi" w:cs="Arial"/>
          <w:b/>
          <w:bCs/>
          <w:sz w:val="21"/>
          <w:szCs w:val="21"/>
          <w:lang w:eastAsia="x-none"/>
        </w:rPr>
      </w:pPr>
    </w:p>
    <w:p w14:paraId="63E6D97C" w14:textId="77777777" w:rsidR="00CB1D5E" w:rsidRPr="00CB1D5E" w:rsidRDefault="00CB1D5E" w:rsidP="00626E93">
      <w:pPr>
        <w:jc w:val="center"/>
        <w:rPr>
          <w:rFonts w:ascii="Abadi" w:hAnsi="Abadi" w:cs="Arial"/>
          <w:b/>
          <w:bCs/>
          <w:sz w:val="21"/>
          <w:szCs w:val="21"/>
          <w:lang w:eastAsia="x-none"/>
        </w:rPr>
      </w:pPr>
      <w:r w:rsidRPr="00CB1D5E">
        <w:rPr>
          <w:rFonts w:ascii="Abadi" w:hAnsi="Abadi" w:cs="Arial"/>
          <w:b/>
          <w:bCs/>
          <w:sz w:val="21"/>
          <w:szCs w:val="21"/>
          <w:lang w:eastAsia="x-none"/>
        </w:rPr>
        <w:t>Guanajuato, Gto., 14 de junio de 2022</w:t>
      </w:r>
    </w:p>
    <w:p w14:paraId="2A325439" w14:textId="77777777" w:rsidR="00CB1D5E" w:rsidRPr="00CB1D5E" w:rsidRDefault="00CB1D5E" w:rsidP="00626E93">
      <w:pPr>
        <w:jc w:val="center"/>
        <w:rPr>
          <w:rFonts w:ascii="Abadi" w:hAnsi="Abadi" w:cs="Arial"/>
          <w:b/>
          <w:bCs/>
          <w:sz w:val="21"/>
          <w:szCs w:val="21"/>
          <w:lang w:eastAsia="x-none"/>
        </w:rPr>
      </w:pPr>
      <w:smartTag w:uri="urn:schemas-microsoft-com:office:smarttags" w:element="PersonName">
        <w:smartTagPr>
          <w:attr w:name="ProductID" w:val="La Comisi￳n"/>
        </w:smartTagPr>
        <w:r w:rsidRPr="00CB1D5E">
          <w:rPr>
            <w:rFonts w:ascii="Abadi" w:hAnsi="Abadi" w:cs="Arial"/>
            <w:b/>
            <w:bCs/>
            <w:sz w:val="21"/>
            <w:szCs w:val="21"/>
            <w:lang w:eastAsia="x-none"/>
          </w:rPr>
          <w:t>La Comisión</w:t>
        </w:r>
      </w:smartTag>
      <w:r w:rsidRPr="00CB1D5E">
        <w:rPr>
          <w:rFonts w:ascii="Abadi" w:hAnsi="Abadi" w:cs="Arial"/>
          <w:b/>
          <w:bCs/>
          <w:sz w:val="21"/>
          <w:szCs w:val="21"/>
          <w:lang w:eastAsia="x-none"/>
        </w:rPr>
        <w:t xml:space="preserve"> de Hacienda y Fiscalización</w:t>
      </w:r>
    </w:p>
    <w:p w14:paraId="67D5D0F1" w14:textId="77777777" w:rsidR="00CB1D5E" w:rsidRPr="00CB1D5E" w:rsidRDefault="00CB1D5E" w:rsidP="00626E93">
      <w:pPr>
        <w:jc w:val="center"/>
        <w:rPr>
          <w:rFonts w:ascii="Abadi" w:hAnsi="Abadi" w:cs="Arial"/>
          <w:sz w:val="21"/>
          <w:szCs w:val="21"/>
        </w:rPr>
      </w:pPr>
    </w:p>
    <w:p w14:paraId="10BD9D46" w14:textId="77777777" w:rsidR="00CB1D5E" w:rsidRPr="00CB1D5E" w:rsidRDefault="00CB1D5E" w:rsidP="00626E93">
      <w:pPr>
        <w:jc w:val="center"/>
        <w:rPr>
          <w:rFonts w:ascii="Abadi" w:hAnsi="Abadi" w:cs="Arial"/>
          <w:sz w:val="21"/>
          <w:szCs w:val="21"/>
        </w:rPr>
      </w:pPr>
    </w:p>
    <w:p w14:paraId="5547333C" w14:textId="77777777" w:rsidR="00CB1D5E" w:rsidRPr="00CB1D5E" w:rsidRDefault="00CB1D5E" w:rsidP="00626E93">
      <w:pPr>
        <w:jc w:val="center"/>
        <w:rPr>
          <w:rFonts w:ascii="Abadi" w:hAnsi="Abadi" w:cs="Arial"/>
          <w:sz w:val="21"/>
          <w:szCs w:val="21"/>
        </w:rPr>
      </w:pPr>
      <w:r w:rsidRPr="00CB1D5E">
        <w:rPr>
          <w:rFonts w:ascii="Abadi" w:hAnsi="Abadi" w:cs="Arial"/>
          <w:b/>
          <w:sz w:val="21"/>
          <w:szCs w:val="21"/>
          <w:lang w:eastAsia="x-none"/>
        </w:rPr>
        <w:t>Diputado Víctor Manuel Zanella Huerta</w:t>
      </w:r>
    </w:p>
    <w:p w14:paraId="1A7EBB16" w14:textId="77777777" w:rsidR="00CB1D5E" w:rsidRPr="00CB1D5E" w:rsidRDefault="00CB1D5E" w:rsidP="00626E93">
      <w:pPr>
        <w:rPr>
          <w:rFonts w:ascii="Abadi" w:hAnsi="Abadi" w:cs="Arial"/>
          <w:b/>
          <w:bCs/>
          <w:sz w:val="21"/>
          <w:szCs w:val="21"/>
          <w:lang w:eastAsia="x-none"/>
        </w:rPr>
      </w:pPr>
    </w:p>
    <w:p w14:paraId="0ADC0D44" w14:textId="32DEBB42" w:rsidR="00CB1D5E" w:rsidRPr="00CB1D5E" w:rsidRDefault="00CB1D5E" w:rsidP="00626E93">
      <w:pPr>
        <w:jc w:val="center"/>
        <w:rPr>
          <w:rFonts w:ascii="Abadi" w:hAnsi="Abadi" w:cs="Arial"/>
          <w:b/>
          <w:sz w:val="21"/>
          <w:szCs w:val="21"/>
          <w:lang w:eastAsia="x-none"/>
        </w:rPr>
      </w:pPr>
      <w:r w:rsidRPr="00CB1D5E">
        <w:rPr>
          <w:rFonts w:ascii="Abadi" w:hAnsi="Abadi" w:cs="Arial"/>
          <w:b/>
          <w:sz w:val="21"/>
          <w:szCs w:val="21"/>
          <w:lang w:eastAsia="x-none"/>
        </w:rPr>
        <w:t>Diputada Ruth Noemí Tiscareño Agoitia</w:t>
      </w:r>
    </w:p>
    <w:p w14:paraId="0A256229" w14:textId="77777777" w:rsidR="00CB1D5E" w:rsidRPr="00CB1D5E" w:rsidRDefault="00CB1D5E" w:rsidP="00626E93">
      <w:pPr>
        <w:rPr>
          <w:rFonts w:ascii="Abadi" w:hAnsi="Abadi" w:cs="Arial"/>
          <w:b/>
          <w:sz w:val="21"/>
          <w:szCs w:val="21"/>
          <w:lang w:eastAsia="x-none"/>
        </w:rPr>
      </w:pPr>
    </w:p>
    <w:p w14:paraId="57336748" w14:textId="50ED18D6" w:rsidR="00CB1D5E" w:rsidRPr="00CB1D5E" w:rsidRDefault="00CB1D5E" w:rsidP="00626E93">
      <w:pPr>
        <w:jc w:val="center"/>
        <w:rPr>
          <w:rFonts w:ascii="Abadi" w:hAnsi="Abadi" w:cs="Arial"/>
          <w:b/>
          <w:sz w:val="21"/>
          <w:szCs w:val="21"/>
          <w:lang w:eastAsia="x-none"/>
        </w:rPr>
      </w:pPr>
      <w:r w:rsidRPr="00CB1D5E">
        <w:rPr>
          <w:rFonts w:ascii="Abadi" w:hAnsi="Abadi" w:cs="Arial"/>
          <w:b/>
          <w:sz w:val="21"/>
          <w:szCs w:val="21"/>
          <w:lang w:eastAsia="x-none"/>
        </w:rPr>
        <w:t>Diputado Miguel Ángel Salim Alle</w:t>
      </w:r>
    </w:p>
    <w:p w14:paraId="37D544A5" w14:textId="77777777" w:rsidR="00CB1D5E" w:rsidRPr="00CB1D5E" w:rsidRDefault="00CB1D5E" w:rsidP="00626E93">
      <w:pPr>
        <w:rPr>
          <w:rFonts w:ascii="Abadi" w:hAnsi="Abadi" w:cs="Arial"/>
          <w:b/>
          <w:sz w:val="21"/>
          <w:szCs w:val="21"/>
          <w:lang w:eastAsia="x-none"/>
        </w:rPr>
      </w:pPr>
    </w:p>
    <w:p w14:paraId="0BB75173" w14:textId="25C2B3F0" w:rsidR="00CB1D5E" w:rsidRPr="00CB1D5E" w:rsidRDefault="00CB1D5E" w:rsidP="00626E93">
      <w:pPr>
        <w:jc w:val="center"/>
        <w:rPr>
          <w:rFonts w:ascii="Abadi" w:hAnsi="Abadi" w:cs="Arial"/>
          <w:b/>
          <w:sz w:val="21"/>
          <w:szCs w:val="21"/>
          <w:lang w:eastAsia="x-none"/>
        </w:rPr>
      </w:pPr>
      <w:r w:rsidRPr="00CB1D5E">
        <w:rPr>
          <w:rFonts w:ascii="Abadi" w:hAnsi="Abadi" w:cs="Arial"/>
          <w:b/>
          <w:sz w:val="21"/>
          <w:szCs w:val="21"/>
          <w:lang w:eastAsia="x-none"/>
        </w:rPr>
        <w:t>Diputado José Alfonso Borja Pimentel</w:t>
      </w:r>
    </w:p>
    <w:p w14:paraId="606DECCD" w14:textId="77777777" w:rsidR="00CB1D5E" w:rsidRPr="00CB1D5E" w:rsidRDefault="00CB1D5E" w:rsidP="00626E93">
      <w:pPr>
        <w:rPr>
          <w:rFonts w:ascii="Abadi" w:hAnsi="Abadi" w:cs="Arial"/>
          <w:b/>
          <w:sz w:val="21"/>
          <w:szCs w:val="21"/>
          <w:lang w:eastAsia="x-none"/>
        </w:rPr>
      </w:pPr>
    </w:p>
    <w:p w14:paraId="74224CA9" w14:textId="77777777" w:rsidR="00CB1D5E" w:rsidRPr="00CB1D5E" w:rsidRDefault="00CB1D5E" w:rsidP="00626E93">
      <w:pPr>
        <w:jc w:val="center"/>
        <w:rPr>
          <w:rFonts w:ascii="Abadi" w:hAnsi="Abadi" w:cs="Arial"/>
          <w:b/>
          <w:sz w:val="21"/>
          <w:szCs w:val="21"/>
          <w:lang w:eastAsia="x-none"/>
        </w:rPr>
      </w:pPr>
      <w:r w:rsidRPr="00CB1D5E">
        <w:rPr>
          <w:rFonts w:ascii="Abadi" w:hAnsi="Abadi" w:cs="Arial"/>
          <w:b/>
          <w:sz w:val="21"/>
          <w:szCs w:val="21"/>
          <w:lang w:eastAsia="x-none"/>
        </w:rPr>
        <w:t>Diputada Alma Edwviges Alcaraz Hernández</w:t>
      </w:r>
    </w:p>
    <w:p w14:paraId="6F1304FA" w14:textId="77777777" w:rsidR="00A60466" w:rsidRPr="00A60466" w:rsidRDefault="00A60466" w:rsidP="00A60466">
      <w:pPr>
        <w:tabs>
          <w:tab w:val="left" w:pos="856"/>
        </w:tabs>
        <w:kinsoku w:val="0"/>
        <w:overflowPunct w:val="0"/>
        <w:autoSpaceDE w:val="0"/>
        <w:autoSpaceDN w:val="0"/>
        <w:adjustRightInd w:val="0"/>
        <w:ind w:right="17"/>
        <w:jc w:val="both"/>
        <w:rPr>
          <w:rFonts w:ascii="Abadi" w:hAnsi="Abadi"/>
          <w:sz w:val="20"/>
          <w:szCs w:val="20"/>
        </w:rPr>
      </w:pPr>
    </w:p>
    <w:p w14:paraId="1A0F772A" w14:textId="77777777" w:rsidR="006167A9" w:rsidRPr="00626E93" w:rsidRDefault="006167A9" w:rsidP="006167A9">
      <w:pPr>
        <w:tabs>
          <w:tab w:val="left" w:pos="856"/>
        </w:tabs>
        <w:kinsoku w:val="0"/>
        <w:overflowPunct w:val="0"/>
        <w:autoSpaceDE w:val="0"/>
        <w:autoSpaceDN w:val="0"/>
        <w:adjustRightInd w:val="0"/>
        <w:ind w:left="360" w:right="17"/>
        <w:jc w:val="both"/>
        <w:rPr>
          <w:rFonts w:ascii="Abadi" w:hAnsi="Abadi" w:cs="Verdana"/>
          <w:sz w:val="20"/>
          <w:szCs w:val="20"/>
        </w:rPr>
      </w:pPr>
    </w:p>
    <w:p w14:paraId="5E5B3E74" w14:textId="77777777" w:rsidR="006167A9" w:rsidRDefault="006167A9" w:rsidP="006167A9">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1"/>
          <w:sz w:val="20"/>
          <w:szCs w:val="20"/>
        </w:rPr>
        <w:t xml:space="preserve"> </w:t>
      </w:r>
      <w:r w:rsidRPr="00531B12">
        <w:rPr>
          <w:rFonts w:ascii="Abadi" w:hAnsi="Abadi"/>
          <w:b/>
          <w:bCs/>
          <w:sz w:val="20"/>
          <w:szCs w:val="20"/>
        </w:rPr>
        <w:t>Y,</w:t>
      </w:r>
      <w:r w:rsidRPr="00531B12">
        <w:rPr>
          <w:rFonts w:ascii="Abadi" w:hAnsi="Abadi"/>
          <w:b/>
          <w:bCs/>
          <w:spacing w:val="11"/>
          <w:sz w:val="20"/>
          <w:szCs w:val="20"/>
        </w:rPr>
        <w:t xml:space="preserve"> </w:t>
      </w:r>
      <w:r w:rsidRPr="00531B12">
        <w:rPr>
          <w:rFonts w:ascii="Abadi" w:hAnsi="Abadi"/>
          <w:b/>
          <w:bCs/>
          <w:sz w:val="20"/>
          <w:szCs w:val="20"/>
        </w:rPr>
        <w:t>EN</w:t>
      </w:r>
      <w:r w:rsidRPr="00531B12">
        <w:rPr>
          <w:rFonts w:ascii="Abadi" w:hAnsi="Abadi"/>
          <w:b/>
          <w:bCs/>
          <w:spacing w:val="11"/>
          <w:sz w:val="20"/>
          <w:szCs w:val="20"/>
        </w:rPr>
        <w:t xml:space="preserve"> </w:t>
      </w:r>
      <w:r w:rsidRPr="00531B12">
        <w:rPr>
          <w:rFonts w:ascii="Abadi" w:hAnsi="Abadi"/>
          <w:b/>
          <w:bCs/>
          <w:sz w:val="20"/>
          <w:szCs w:val="20"/>
        </w:rPr>
        <w:t>SU</w:t>
      </w:r>
      <w:r w:rsidRPr="00531B12">
        <w:rPr>
          <w:rFonts w:ascii="Abadi" w:hAnsi="Abadi"/>
          <w:b/>
          <w:bCs/>
          <w:spacing w:val="11"/>
          <w:sz w:val="20"/>
          <w:szCs w:val="20"/>
        </w:rPr>
        <w:t xml:space="preserve"> </w:t>
      </w:r>
      <w:r w:rsidRPr="00531B12">
        <w:rPr>
          <w:rFonts w:ascii="Abadi" w:hAnsi="Abadi"/>
          <w:b/>
          <w:bCs/>
          <w:sz w:val="20"/>
          <w:szCs w:val="20"/>
        </w:rPr>
        <w:t>CASO,</w:t>
      </w:r>
      <w:r w:rsidRPr="00531B12">
        <w:rPr>
          <w:rFonts w:ascii="Abadi" w:hAnsi="Abadi"/>
          <w:b/>
          <w:bCs/>
          <w:spacing w:val="11"/>
          <w:sz w:val="20"/>
          <w:szCs w:val="20"/>
        </w:rPr>
        <w:t xml:space="preserve"> </w:t>
      </w:r>
      <w:r w:rsidRPr="00531B12">
        <w:rPr>
          <w:rFonts w:ascii="Abadi" w:hAnsi="Abadi"/>
          <w:b/>
          <w:bCs/>
          <w:sz w:val="20"/>
          <w:szCs w:val="20"/>
        </w:rPr>
        <w:t>APROBACIÓN</w:t>
      </w:r>
      <w:r w:rsidRPr="00531B12">
        <w:rPr>
          <w:rFonts w:ascii="Abadi" w:hAnsi="Abadi"/>
          <w:b/>
          <w:bCs/>
          <w:spacing w:val="11"/>
          <w:sz w:val="20"/>
          <w:szCs w:val="20"/>
        </w:rPr>
        <w:t xml:space="preserve"> </w:t>
      </w:r>
      <w:r w:rsidRPr="00531B12">
        <w:rPr>
          <w:rFonts w:ascii="Abadi" w:hAnsi="Abadi"/>
          <w:b/>
          <w:bCs/>
          <w:sz w:val="20"/>
          <w:szCs w:val="20"/>
        </w:rPr>
        <w:t>DEL</w:t>
      </w:r>
      <w:r w:rsidRPr="00531B12">
        <w:rPr>
          <w:rFonts w:ascii="Abadi" w:hAnsi="Abadi"/>
          <w:b/>
          <w:bCs/>
          <w:spacing w:val="11"/>
          <w:sz w:val="20"/>
          <w:szCs w:val="20"/>
        </w:rPr>
        <w:t xml:space="preserve"> </w:t>
      </w:r>
      <w:r w:rsidRPr="00531B12">
        <w:rPr>
          <w:rFonts w:ascii="Abadi" w:hAnsi="Abadi"/>
          <w:b/>
          <w:bCs/>
          <w:sz w:val="20"/>
          <w:szCs w:val="20"/>
        </w:rPr>
        <w:t>DICTAMEN</w:t>
      </w:r>
      <w:r w:rsidRPr="00531B12">
        <w:rPr>
          <w:rFonts w:ascii="Abadi" w:hAnsi="Abadi"/>
          <w:b/>
          <w:bCs/>
          <w:spacing w:val="11"/>
          <w:sz w:val="20"/>
          <w:szCs w:val="20"/>
        </w:rPr>
        <w:t xml:space="preserve"> </w:t>
      </w:r>
      <w:r w:rsidRPr="00531B12">
        <w:rPr>
          <w:rFonts w:ascii="Abadi" w:hAnsi="Abadi"/>
          <w:b/>
          <w:bCs/>
          <w:sz w:val="20"/>
          <w:szCs w:val="20"/>
        </w:rPr>
        <w:t>SIGNADO</w:t>
      </w:r>
      <w:r w:rsidRPr="00531B12">
        <w:rPr>
          <w:rFonts w:ascii="Abadi" w:hAnsi="Abadi"/>
          <w:b/>
          <w:bCs/>
          <w:spacing w:val="11"/>
          <w:sz w:val="20"/>
          <w:szCs w:val="20"/>
        </w:rPr>
        <w:t xml:space="preserve"> </w:t>
      </w:r>
      <w:r w:rsidRPr="00531B12">
        <w:rPr>
          <w:rFonts w:ascii="Abadi" w:hAnsi="Abadi"/>
          <w:b/>
          <w:bCs/>
          <w:sz w:val="20"/>
          <w:szCs w:val="20"/>
        </w:rPr>
        <w:t>POR</w:t>
      </w:r>
      <w:r w:rsidRPr="00531B12">
        <w:rPr>
          <w:rFonts w:ascii="Abadi" w:hAnsi="Abadi"/>
          <w:b/>
          <w:bCs/>
          <w:spacing w:val="11"/>
          <w:sz w:val="20"/>
          <w:szCs w:val="20"/>
        </w:rPr>
        <w:t xml:space="preserve"> </w:t>
      </w:r>
      <w:r w:rsidRPr="00531B12">
        <w:rPr>
          <w:rFonts w:ascii="Abadi" w:hAnsi="Abadi"/>
          <w:b/>
          <w:bCs/>
          <w:sz w:val="20"/>
          <w:szCs w:val="20"/>
        </w:rPr>
        <w:t>LA</w:t>
      </w:r>
      <w:r w:rsidRPr="00531B12">
        <w:rPr>
          <w:rFonts w:ascii="Abadi" w:hAnsi="Abadi"/>
          <w:b/>
          <w:bCs/>
          <w:spacing w:val="11"/>
          <w:sz w:val="20"/>
          <w:szCs w:val="20"/>
        </w:rPr>
        <w:t xml:space="preserve"> </w:t>
      </w:r>
      <w:r w:rsidRPr="00531B12">
        <w:rPr>
          <w:rFonts w:ascii="Abadi" w:hAnsi="Abadi"/>
          <w:b/>
          <w:bCs/>
          <w:sz w:val="20"/>
          <w:szCs w:val="20"/>
        </w:rPr>
        <w:t>COMISIÓN DE</w:t>
      </w:r>
      <w:r w:rsidRPr="00531B12">
        <w:rPr>
          <w:rFonts w:ascii="Abadi" w:hAnsi="Abadi"/>
          <w:b/>
          <w:bCs/>
          <w:spacing w:val="10"/>
          <w:sz w:val="20"/>
          <w:szCs w:val="20"/>
        </w:rPr>
        <w:t xml:space="preserve"> </w:t>
      </w:r>
      <w:r w:rsidRPr="00531B12">
        <w:rPr>
          <w:rFonts w:ascii="Abadi" w:hAnsi="Abadi"/>
          <w:b/>
          <w:bCs/>
          <w:sz w:val="20"/>
          <w:szCs w:val="20"/>
        </w:rPr>
        <w:t>HACIENDA</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0"/>
          <w:sz w:val="20"/>
          <w:szCs w:val="20"/>
        </w:rPr>
        <w:t xml:space="preserve"> </w:t>
      </w:r>
      <w:r w:rsidRPr="00531B12">
        <w:rPr>
          <w:rFonts w:ascii="Abadi" w:hAnsi="Abadi"/>
          <w:b/>
          <w:bCs/>
          <w:sz w:val="20"/>
          <w:szCs w:val="20"/>
        </w:rPr>
        <w:t>FISCALIZACIÓN</w:t>
      </w:r>
      <w:r w:rsidRPr="00531B12">
        <w:rPr>
          <w:rFonts w:ascii="Abadi" w:hAnsi="Abadi"/>
          <w:b/>
          <w:bCs/>
          <w:spacing w:val="10"/>
          <w:sz w:val="20"/>
          <w:szCs w:val="20"/>
        </w:rPr>
        <w:t xml:space="preserve"> </w:t>
      </w:r>
      <w:r w:rsidRPr="00531B12">
        <w:rPr>
          <w:rFonts w:ascii="Abadi" w:hAnsi="Abadi"/>
          <w:b/>
          <w:bCs/>
          <w:sz w:val="20"/>
          <w:szCs w:val="20"/>
        </w:rPr>
        <w:t>RELATIVO</w:t>
      </w:r>
      <w:r w:rsidRPr="00531B12">
        <w:rPr>
          <w:rFonts w:ascii="Abadi" w:hAnsi="Abadi"/>
          <w:b/>
          <w:bCs/>
          <w:spacing w:val="10"/>
          <w:sz w:val="20"/>
          <w:szCs w:val="20"/>
        </w:rPr>
        <w:t xml:space="preserve"> </w:t>
      </w:r>
      <w:r w:rsidRPr="00531B12">
        <w:rPr>
          <w:rFonts w:ascii="Abadi" w:hAnsi="Abadi"/>
          <w:b/>
          <w:bCs/>
          <w:sz w:val="20"/>
          <w:szCs w:val="20"/>
        </w:rPr>
        <w:t>AL</w:t>
      </w:r>
      <w:r w:rsidRPr="00531B12">
        <w:rPr>
          <w:rFonts w:ascii="Abadi" w:hAnsi="Abadi"/>
          <w:b/>
          <w:bCs/>
          <w:spacing w:val="9"/>
          <w:sz w:val="20"/>
          <w:szCs w:val="20"/>
        </w:rPr>
        <w:t xml:space="preserve"> </w:t>
      </w:r>
      <w:r w:rsidRPr="00531B12">
        <w:rPr>
          <w:rFonts w:ascii="Abadi" w:hAnsi="Abadi"/>
          <w:b/>
          <w:bCs/>
          <w:sz w:val="20"/>
          <w:szCs w:val="20"/>
        </w:rPr>
        <w:t>INFORME</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RESULTADOS</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REVISIÓN PRACTICADA</w:t>
      </w:r>
      <w:r w:rsidRPr="00531B12">
        <w:rPr>
          <w:rFonts w:ascii="Abadi" w:hAnsi="Abadi"/>
          <w:b/>
          <w:bCs/>
          <w:spacing w:val="10"/>
          <w:sz w:val="20"/>
          <w:szCs w:val="20"/>
        </w:rPr>
        <w:t xml:space="preserve"> </w:t>
      </w:r>
      <w:r w:rsidRPr="00531B12">
        <w:rPr>
          <w:rFonts w:ascii="Abadi" w:hAnsi="Abadi"/>
          <w:b/>
          <w:bCs/>
          <w:sz w:val="20"/>
          <w:szCs w:val="20"/>
        </w:rPr>
        <w:t>POR</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AUDITORÍA</w:t>
      </w:r>
      <w:r w:rsidRPr="00531B12">
        <w:rPr>
          <w:rFonts w:ascii="Abadi" w:hAnsi="Abadi"/>
          <w:b/>
          <w:bCs/>
          <w:spacing w:val="9"/>
          <w:sz w:val="20"/>
          <w:szCs w:val="20"/>
        </w:rPr>
        <w:t xml:space="preserve"> </w:t>
      </w:r>
      <w:r w:rsidRPr="00531B12">
        <w:rPr>
          <w:rFonts w:ascii="Abadi" w:hAnsi="Abadi"/>
          <w:b/>
          <w:bCs/>
          <w:sz w:val="20"/>
          <w:szCs w:val="20"/>
        </w:rPr>
        <w:t>SUPERIOR</w:t>
      </w:r>
      <w:r w:rsidRPr="00531B12">
        <w:rPr>
          <w:rFonts w:ascii="Abadi" w:hAnsi="Abadi"/>
          <w:b/>
          <w:bCs/>
          <w:spacing w:val="9"/>
          <w:sz w:val="20"/>
          <w:szCs w:val="20"/>
        </w:rPr>
        <w:t xml:space="preserve"> </w:t>
      </w:r>
      <w:r w:rsidRPr="00531B12">
        <w:rPr>
          <w:rFonts w:ascii="Abadi" w:hAnsi="Abadi"/>
          <w:b/>
          <w:bCs/>
          <w:sz w:val="20"/>
          <w:szCs w:val="20"/>
        </w:rPr>
        <w:t>DEL</w:t>
      </w:r>
      <w:r w:rsidRPr="00531B12">
        <w:rPr>
          <w:rFonts w:ascii="Abadi" w:hAnsi="Abadi"/>
          <w:b/>
          <w:bCs/>
          <w:spacing w:val="9"/>
          <w:sz w:val="20"/>
          <w:szCs w:val="20"/>
        </w:rPr>
        <w:t xml:space="preserve"> </w:t>
      </w:r>
      <w:r w:rsidRPr="00531B12">
        <w:rPr>
          <w:rFonts w:ascii="Abadi" w:hAnsi="Abadi"/>
          <w:b/>
          <w:bCs/>
          <w:sz w:val="20"/>
          <w:szCs w:val="20"/>
        </w:rPr>
        <w:t>ESTADO</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GUANAJUATO,</w:t>
      </w:r>
      <w:r w:rsidRPr="00531B12">
        <w:rPr>
          <w:rFonts w:ascii="Abadi" w:hAnsi="Abadi"/>
          <w:b/>
          <w:bCs/>
          <w:spacing w:val="9"/>
          <w:sz w:val="20"/>
          <w:szCs w:val="20"/>
        </w:rPr>
        <w:t xml:space="preserve"> </w:t>
      </w:r>
      <w:r w:rsidRPr="00531B12">
        <w:rPr>
          <w:rFonts w:ascii="Abadi" w:hAnsi="Abadi"/>
          <w:b/>
          <w:bCs/>
          <w:sz w:val="20"/>
          <w:szCs w:val="20"/>
        </w:rPr>
        <w:t>A</w:t>
      </w:r>
      <w:r w:rsidRPr="00531B12">
        <w:rPr>
          <w:rFonts w:ascii="Abadi" w:hAnsi="Abadi"/>
          <w:b/>
          <w:bCs/>
          <w:spacing w:val="8"/>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CUENTA PÚBLICA</w:t>
      </w:r>
      <w:r w:rsidRPr="00531B12">
        <w:rPr>
          <w:rFonts w:ascii="Abadi" w:hAnsi="Abadi"/>
          <w:b/>
          <w:bCs/>
          <w:spacing w:val="80"/>
          <w:sz w:val="20"/>
          <w:szCs w:val="20"/>
        </w:rPr>
        <w:t xml:space="preserve"> </w:t>
      </w:r>
      <w:r w:rsidRPr="00531B12">
        <w:rPr>
          <w:rFonts w:ascii="Abadi" w:hAnsi="Abadi"/>
          <w:b/>
          <w:bCs/>
          <w:sz w:val="20"/>
          <w:szCs w:val="20"/>
        </w:rPr>
        <w:t>MUNICIPAL</w:t>
      </w:r>
      <w:r w:rsidRPr="00531B12">
        <w:rPr>
          <w:rFonts w:ascii="Abadi" w:hAnsi="Abadi"/>
          <w:b/>
          <w:bCs/>
          <w:spacing w:val="80"/>
          <w:sz w:val="20"/>
          <w:szCs w:val="20"/>
        </w:rPr>
        <w:t xml:space="preserve"> </w:t>
      </w:r>
      <w:r w:rsidRPr="00531B12">
        <w:rPr>
          <w:rFonts w:ascii="Abadi" w:hAnsi="Abadi"/>
          <w:b/>
          <w:bCs/>
          <w:sz w:val="20"/>
          <w:szCs w:val="20"/>
        </w:rPr>
        <w:t>DE</w:t>
      </w:r>
      <w:r w:rsidRPr="00531B12">
        <w:rPr>
          <w:rFonts w:ascii="Abadi" w:hAnsi="Abadi"/>
          <w:b/>
          <w:bCs/>
          <w:spacing w:val="80"/>
          <w:sz w:val="20"/>
          <w:szCs w:val="20"/>
        </w:rPr>
        <w:t xml:space="preserve"> </w:t>
      </w:r>
      <w:r w:rsidRPr="00531B12">
        <w:rPr>
          <w:rFonts w:ascii="Abadi" w:hAnsi="Abadi"/>
          <w:b/>
          <w:bCs/>
          <w:sz w:val="20"/>
          <w:szCs w:val="20"/>
        </w:rPr>
        <w:t>SAN</w:t>
      </w:r>
      <w:r w:rsidRPr="00531B12">
        <w:rPr>
          <w:rFonts w:ascii="Abadi" w:hAnsi="Abadi"/>
          <w:b/>
          <w:bCs/>
          <w:spacing w:val="80"/>
          <w:sz w:val="20"/>
          <w:szCs w:val="20"/>
        </w:rPr>
        <w:t xml:space="preserve"> </w:t>
      </w:r>
      <w:r w:rsidRPr="00531B12">
        <w:rPr>
          <w:rFonts w:ascii="Abadi" w:hAnsi="Abadi"/>
          <w:b/>
          <w:bCs/>
          <w:sz w:val="20"/>
          <w:szCs w:val="20"/>
        </w:rPr>
        <w:t>MIGUEL</w:t>
      </w:r>
      <w:r w:rsidRPr="00531B12">
        <w:rPr>
          <w:rFonts w:ascii="Abadi" w:hAnsi="Abadi"/>
          <w:b/>
          <w:bCs/>
          <w:spacing w:val="80"/>
          <w:sz w:val="20"/>
          <w:szCs w:val="20"/>
        </w:rPr>
        <w:t xml:space="preserve"> </w:t>
      </w:r>
      <w:r w:rsidRPr="00531B12">
        <w:rPr>
          <w:rFonts w:ascii="Abadi" w:hAnsi="Abadi"/>
          <w:b/>
          <w:bCs/>
          <w:sz w:val="20"/>
          <w:szCs w:val="20"/>
        </w:rPr>
        <w:t>DE</w:t>
      </w:r>
      <w:r w:rsidRPr="00531B12">
        <w:rPr>
          <w:rFonts w:ascii="Abadi" w:hAnsi="Abadi"/>
          <w:b/>
          <w:bCs/>
          <w:spacing w:val="80"/>
          <w:sz w:val="20"/>
          <w:szCs w:val="20"/>
        </w:rPr>
        <w:t xml:space="preserve"> </w:t>
      </w:r>
      <w:r w:rsidRPr="00531B12">
        <w:rPr>
          <w:rFonts w:ascii="Abadi" w:hAnsi="Abadi"/>
          <w:b/>
          <w:bCs/>
          <w:sz w:val="20"/>
          <w:szCs w:val="20"/>
        </w:rPr>
        <w:t>ALLENDE,</w:t>
      </w:r>
      <w:r w:rsidRPr="00531B12">
        <w:rPr>
          <w:rFonts w:ascii="Abadi" w:hAnsi="Abadi"/>
          <w:b/>
          <w:bCs/>
          <w:spacing w:val="80"/>
          <w:sz w:val="20"/>
          <w:szCs w:val="20"/>
        </w:rPr>
        <w:t xml:space="preserve"> </w:t>
      </w:r>
      <w:r w:rsidRPr="00531B12">
        <w:rPr>
          <w:rFonts w:ascii="Abadi" w:hAnsi="Abadi"/>
          <w:b/>
          <w:bCs/>
          <w:sz w:val="20"/>
          <w:szCs w:val="20"/>
        </w:rPr>
        <w:t>GTO.,</w:t>
      </w:r>
      <w:r w:rsidRPr="00531B12">
        <w:rPr>
          <w:rFonts w:ascii="Abadi" w:hAnsi="Abadi"/>
          <w:b/>
          <w:bCs/>
          <w:spacing w:val="80"/>
          <w:sz w:val="20"/>
          <w:szCs w:val="20"/>
        </w:rPr>
        <w:t xml:space="preserve"> </w:t>
      </w:r>
      <w:r w:rsidRPr="00531B12">
        <w:rPr>
          <w:rFonts w:ascii="Abadi" w:hAnsi="Abadi"/>
          <w:b/>
          <w:bCs/>
          <w:sz w:val="20"/>
          <w:szCs w:val="20"/>
        </w:rPr>
        <w:t>CORRESPONDIENTE</w:t>
      </w:r>
      <w:r w:rsidRPr="00531B12">
        <w:rPr>
          <w:rFonts w:ascii="Abadi" w:hAnsi="Abadi"/>
          <w:b/>
          <w:bCs/>
          <w:spacing w:val="80"/>
          <w:sz w:val="20"/>
          <w:szCs w:val="20"/>
        </w:rPr>
        <w:t xml:space="preserve"> </w:t>
      </w:r>
      <w:r w:rsidRPr="00531B12">
        <w:rPr>
          <w:rFonts w:ascii="Abadi" w:hAnsi="Abadi"/>
          <w:b/>
          <w:bCs/>
          <w:sz w:val="20"/>
          <w:szCs w:val="20"/>
        </w:rPr>
        <w:t>AL EJERCICIO FISCAL DEL AÑO</w:t>
      </w:r>
      <w:r w:rsidRPr="00531B12">
        <w:rPr>
          <w:rFonts w:ascii="Abadi" w:hAnsi="Abadi"/>
          <w:b/>
          <w:bCs/>
          <w:spacing w:val="-1"/>
          <w:sz w:val="20"/>
          <w:szCs w:val="20"/>
        </w:rPr>
        <w:t xml:space="preserve"> </w:t>
      </w:r>
      <w:r w:rsidRPr="00531B12">
        <w:rPr>
          <w:rFonts w:ascii="Abadi" w:hAnsi="Abadi"/>
          <w:b/>
          <w:bCs/>
          <w:sz w:val="20"/>
          <w:szCs w:val="20"/>
        </w:rPr>
        <w:t>2020.</w:t>
      </w:r>
    </w:p>
    <w:p w14:paraId="14B549E9" w14:textId="588E9F78" w:rsidR="003D5B62" w:rsidRDefault="003D5B62" w:rsidP="006167A9">
      <w:pPr>
        <w:tabs>
          <w:tab w:val="left" w:pos="856"/>
        </w:tabs>
        <w:kinsoku w:val="0"/>
        <w:overflowPunct w:val="0"/>
        <w:autoSpaceDE w:val="0"/>
        <w:autoSpaceDN w:val="0"/>
        <w:adjustRightInd w:val="0"/>
        <w:ind w:right="17"/>
        <w:jc w:val="both"/>
        <w:rPr>
          <w:rFonts w:ascii="Abadi" w:hAnsi="Abadi" w:cs="Verdana"/>
          <w:sz w:val="20"/>
          <w:szCs w:val="20"/>
        </w:rPr>
      </w:pPr>
    </w:p>
    <w:p w14:paraId="2B54C544" w14:textId="77777777" w:rsidR="00E62709" w:rsidRPr="00E62709" w:rsidRDefault="00E62709" w:rsidP="00E62709">
      <w:pPr>
        <w:jc w:val="both"/>
        <w:rPr>
          <w:rFonts w:ascii="Abadi" w:hAnsi="Abadi" w:cs="Arial"/>
          <w:b/>
          <w:bCs/>
          <w:smallCaps/>
          <w:sz w:val="21"/>
          <w:szCs w:val="21"/>
          <w:lang w:val="es-MX"/>
        </w:rPr>
      </w:pPr>
      <w:r w:rsidRPr="00E62709">
        <w:rPr>
          <w:rFonts w:ascii="Abadi" w:hAnsi="Abadi" w:cs="Arial"/>
          <w:b/>
          <w:bCs/>
          <w:smallCaps/>
          <w:sz w:val="21"/>
          <w:szCs w:val="21"/>
          <w:lang w:val="es-MX"/>
        </w:rPr>
        <w:t>C. Presidenta del Congreso del Estado</w:t>
      </w:r>
    </w:p>
    <w:p w14:paraId="6E209C8D" w14:textId="77777777" w:rsidR="00E62709" w:rsidRPr="00E62709" w:rsidRDefault="00E62709" w:rsidP="00E62709">
      <w:pPr>
        <w:jc w:val="both"/>
        <w:rPr>
          <w:rFonts w:ascii="Abadi" w:hAnsi="Abadi" w:cs="Arial"/>
          <w:b/>
          <w:bCs/>
          <w:smallCaps/>
          <w:sz w:val="21"/>
          <w:szCs w:val="21"/>
        </w:rPr>
      </w:pPr>
      <w:r w:rsidRPr="00E62709">
        <w:rPr>
          <w:rFonts w:ascii="Abadi" w:hAnsi="Abadi" w:cs="Arial"/>
          <w:b/>
          <w:bCs/>
          <w:smallCaps/>
          <w:sz w:val="21"/>
          <w:szCs w:val="21"/>
        </w:rPr>
        <w:t>P r e s e n t e.</w:t>
      </w:r>
    </w:p>
    <w:p w14:paraId="7422C36B" w14:textId="77777777" w:rsidR="00E62709" w:rsidRPr="00E62709" w:rsidRDefault="00E62709" w:rsidP="00E62709">
      <w:pPr>
        <w:jc w:val="both"/>
        <w:rPr>
          <w:rFonts w:ascii="Abadi" w:hAnsi="Abadi" w:cs="Arial"/>
          <w:sz w:val="21"/>
          <w:szCs w:val="21"/>
          <w:lang w:val="es-MX" w:eastAsia="x-none"/>
        </w:rPr>
      </w:pPr>
    </w:p>
    <w:p w14:paraId="74AFE192" w14:textId="77777777" w:rsidR="00E62709" w:rsidRPr="00E62709" w:rsidRDefault="00E62709" w:rsidP="00E62709">
      <w:pPr>
        <w:ind w:firstLine="708"/>
        <w:jc w:val="both"/>
        <w:rPr>
          <w:rFonts w:ascii="Abadi" w:hAnsi="Abadi" w:cs="Arial"/>
          <w:sz w:val="21"/>
          <w:szCs w:val="21"/>
          <w:lang w:val="x-none" w:eastAsia="x-none"/>
        </w:rPr>
      </w:pPr>
      <w:r w:rsidRPr="00E62709">
        <w:rPr>
          <w:rFonts w:ascii="Abadi" w:hAnsi="Abadi" w:cs="Arial"/>
          <w:sz w:val="21"/>
          <w:szCs w:val="21"/>
          <w:lang w:val="x-none" w:eastAsia="x-none"/>
        </w:rPr>
        <w:t xml:space="preserve">A </w:t>
      </w:r>
      <w:r w:rsidRPr="00E62709">
        <w:rPr>
          <w:rFonts w:ascii="Abadi" w:hAnsi="Abadi" w:cs="Arial"/>
          <w:sz w:val="21"/>
          <w:szCs w:val="21"/>
          <w:lang w:val="es-MX" w:eastAsia="x-none"/>
        </w:rPr>
        <w:t>esta</w:t>
      </w:r>
      <w:r w:rsidRPr="00E62709">
        <w:rPr>
          <w:rFonts w:ascii="Abadi" w:hAnsi="Abadi" w:cs="Arial"/>
          <w:sz w:val="21"/>
          <w:szCs w:val="21"/>
          <w:lang w:val="x-none" w:eastAsia="x-none"/>
        </w:rPr>
        <w:t xml:space="preserve"> Comisión de Hacienda y Fiscalización</w:t>
      </w:r>
      <w:r w:rsidRPr="00E62709">
        <w:rPr>
          <w:rFonts w:ascii="Abadi" w:hAnsi="Abadi" w:cs="Arial"/>
          <w:sz w:val="21"/>
          <w:szCs w:val="21"/>
          <w:lang w:val="es-MX" w:eastAsia="x-none"/>
        </w:rPr>
        <w:t xml:space="preserve">, </w:t>
      </w:r>
      <w:r w:rsidRPr="00E62709">
        <w:rPr>
          <w:rFonts w:ascii="Abadi" w:hAnsi="Abadi" w:cs="Arial"/>
          <w:sz w:val="21"/>
          <w:szCs w:val="21"/>
          <w:lang w:val="x-none" w:eastAsia="x-none"/>
        </w:rPr>
        <w:t xml:space="preserve">le fue turnado para su estudio y dictamen, el informe de resultados de la revisión practicada por </w:t>
      </w:r>
      <w:r w:rsidRPr="00E62709">
        <w:rPr>
          <w:rFonts w:ascii="Abadi" w:hAnsi="Abadi" w:cs="Arial"/>
          <w:sz w:val="21"/>
          <w:szCs w:val="21"/>
          <w:lang w:val="es-MX" w:eastAsia="x-none"/>
        </w:rPr>
        <w:t xml:space="preserve">la </w:t>
      </w:r>
      <w:r w:rsidRPr="00E62709">
        <w:rPr>
          <w:rFonts w:ascii="Abadi" w:hAnsi="Abadi" w:cs="Arial"/>
          <w:sz w:val="21"/>
          <w:szCs w:val="21"/>
          <w:lang w:val="x-none" w:eastAsia="x-none"/>
        </w:rPr>
        <w:t xml:space="preserve">Auditoría Superior del Estado de Guanajuato, a la cuenta pública municipal de </w:t>
      </w:r>
      <w:r w:rsidRPr="00E62709">
        <w:rPr>
          <w:rFonts w:ascii="Abadi" w:hAnsi="Abadi" w:cs="Arial"/>
          <w:sz w:val="21"/>
          <w:szCs w:val="21"/>
          <w:lang w:val="es-MX" w:eastAsia="x-none"/>
        </w:rPr>
        <w:t>San Miguel de Allende</w:t>
      </w:r>
      <w:r w:rsidRPr="00E62709">
        <w:rPr>
          <w:rFonts w:ascii="Abadi" w:hAnsi="Abadi" w:cs="Arial"/>
          <w:sz w:val="21"/>
          <w:szCs w:val="21"/>
          <w:lang w:val="x-none" w:eastAsia="x-none"/>
        </w:rPr>
        <w:t xml:space="preserve">, Gto., correspondiente al ejercicio fiscal del año </w:t>
      </w:r>
      <w:r w:rsidRPr="00E62709">
        <w:rPr>
          <w:rFonts w:ascii="Abadi" w:hAnsi="Abadi" w:cs="Arial"/>
          <w:sz w:val="21"/>
          <w:szCs w:val="21"/>
          <w:lang w:val="es-MX" w:eastAsia="x-none"/>
        </w:rPr>
        <w:t>2020</w:t>
      </w:r>
      <w:r w:rsidRPr="00E62709">
        <w:rPr>
          <w:rFonts w:ascii="Abadi" w:hAnsi="Abadi" w:cs="Arial"/>
          <w:sz w:val="21"/>
          <w:szCs w:val="21"/>
          <w:lang w:val="x-none" w:eastAsia="x-none"/>
        </w:rPr>
        <w:t>.</w:t>
      </w:r>
    </w:p>
    <w:p w14:paraId="1A6D8811" w14:textId="77777777" w:rsidR="00E62709" w:rsidRPr="00E62709" w:rsidRDefault="00E62709" w:rsidP="00E62709">
      <w:pPr>
        <w:ind w:firstLine="708"/>
        <w:jc w:val="both"/>
        <w:rPr>
          <w:rFonts w:ascii="Abadi" w:hAnsi="Abadi" w:cs="Arial"/>
          <w:sz w:val="21"/>
          <w:szCs w:val="21"/>
          <w:lang w:val="x-none" w:eastAsia="x-none"/>
        </w:rPr>
      </w:pPr>
    </w:p>
    <w:p w14:paraId="7709A88C" w14:textId="77777777" w:rsidR="00E62709" w:rsidRPr="00E62709" w:rsidRDefault="00E62709" w:rsidP="00E62709">
      <w:pPr>
        <w:ind w:firstLine="708"/>
        <w:jc w:val="both"/>
        <w:rPr>
          <w:rFonts w:ascii="Abadi" w:hAnsi="Abadi" w:cs="Arial"/>
          <w:sz w:val="21"/>
          <w:szCs w:val="21"/>
          <w:lang w:val="x-none" w:eastAsia="x-none"/>
        </w:rPr>
      </w:pPr>
      <w:r w:rsidRPr="00E62709">
        <w:rPr>
          <w:rFonts w:ascii="Abadi" w:hAnsi="Abadi" w:cs="Arial"/>
          <w:sz w:val="21"/>
          <w:szCs w:val="21"/>
          <w:lang w:val="x-none" w:eastAsia="x-none"/>
        </w:rPr>
        <w:t>Una vez analizado el referido informe de resultados, con fundamento en lo dispuesto por los artículos 112, fracción XII</w:t>
      </w:r>
      <w:r w:rsidRPr="00E62709">
        <w:rPr>
          <w:rFonts w:ascii="Abadi" w:hAnsi="Abadi" w:cs="Arial"/>
          <w:sz w:val="21"/>
          <w:szCs w:val="21"/>
          <w:lang w:val="es-MX" w:eastAsia="x-none"/>
        </w:rPr>
        <w:t>, primer párrafo</w:t>
      </w:r>
      <w:r w:rsidRPr="00E62709">
        <w:rPr>
          <w:rFonts w:ascii="Abadi" w:hAnsi="Abadi" w:cs="Arial"/>
          <w:sz w:val="21"/>
          <w:szCs w:val="21"/>
          <w:lang w:val="x-none" w:eastAsia="x-none"/>
        </w:rPr>
        <w:t xml:space="preserve"> y 171 de </w:t>
      </w:r>
      <w:smartTag w:uri="urn:schemas-microsoft-com:office:smarttags" w:element="PersonName">
        <w:smartTagPr>
          <w:attr w:name="ProductID" w:val="la Ley Org￡nica"/>
        </w:smartTagPr>
        <w:r w:rsidRPr="00E62709">
          <w:rPr>
            <w:rFonts w:ascii="Abadi" w:hAnsi="Abadi" w:cs="Arial"/>
            <w:sz w:val="21"/>
            <w:szCs w:val="21"/>
            <w:lang w:val="x-none" w:eastAsia="x-none"/>
          </w:rPr>
          <w:t>la Ley Orgánica</w:t>
        </w:r>
      </w:smartTag>
      <w:r w:rsidRPr="00E62709">
        <w:rPr>
          <w:rFonts w:ascii="Abadi" w:hAnsi="Abadi" w:cs="Arial"/>
          <w:sz w:val="21"/>
          <w:szCs w:val="21"/>
          <w:lang w:val="x-none" w:eastAsia="x-none"/>
        </w:rPr>
        <w:t xml:space="preserve"> del Poder Legislativo, nos permitimos rendir el siguiente:</w:t>
      </w:r>
    </w:p>
    <w:p w14:paraId="489401CA" w14:textId="77777777" w:rsidR="00E62709" w:rsidRPr="00E62709" w:rsidRDefault="00E62709" w:rsidP="00E62709">
      <w:pPr>
        <w:ind w:firstLine="708"/>
        <w:jc w:val="both"/>
        <w:rPr>
          <w:rFonts w:ascii="Abadi" w:hAnsi="Abadi" w:cs="Arial"/>
          <w:sz w:val="21"/>
          <w:szCs w:val="21"/>
          <w:lang w:val="x-none" w:eastAsia="x-none"/>
        </w:rPr>
      </w:pPr>
    </w:p>
    <w:p w14:paraId="711570D4" w14:textId="77777777" w:rsidR="00E62709" w:rsidRPr="00E62709" w:rsidRDefault="00E62709" w:rsidP="00E62709">
      <w:pPr>
        <w:keepNext/>
        <w:jc w:val="center"/>
        <w:outlineLvl w:val="0"/>
        <w:rPr>
          <w:rFonts w:ascii="Abadi" w:eastAsia="Arial Unicode MS" w:hAnsi="Abadi" w:cs="Arial"/>
          <w:b/>
          <w:bCs/>
          <w:sz w:val="21"/>
          <w:szCs w:val="21"/>
        </w:rPr>
      </w:pPr>
      <w:r w:rsidRPr="00E62709">
        <w:rPr>
          <w:rFonts w:ascii="Abadi" w:eastAsia="Arial Unicode MS" w:hAnsi="Abadi" w:cs="Arial"/>
          <w:b/>
          <w:bCs/>
          <w:sz w:val="21"/>
          <w:szCs w:val="21"/>
        </w:rPr>
        <w:t>D i c t a m e n</w:t>
      </w:r>
    </w:p>
    <w:p w14:paraId="16AE5198" w14:textId="77777777" w:rsidR="00E62709" w:rsidRDefault="00E62709" w:rsidP="00E62709">
      <w:pPr>
        <w:ind w:firstLine="708"/>
        <w:jc w:val="both"/>
        <w:rPr>
          <w:rFonts w:ascii="Abadi" w:hAnsi="Abadi" w:cs="Arial"/>
          <w:b/>
          <w:bCs/>
          <w:sz w:val="21"/>
          <w:szCs w:val="21"/>
          <w:lang w:val="es-MX" w:eastAsia="x-none"/>
        </w:rPr>
      </w:pPr>
    </w:p>
    <w:p w14:paraId="5E967C09" w14:textId="2719751B" w:rsidR="00E62709" w:rsidRPr="00E62709" w:rsidRDefault="00E62709" w:rsidP="00E62709">
      <w:pPr>
        <w:ind w:firstLine="708"/>
        <w:jc w:val="both"/>
        <w:rPr>
          <w:rFonts w:ascii="Abadi" w:hAnsi="Abadi" w:cs="Arial"/>
          <w:b/>
          <w:bCs/>
          <w:sz w:val="21"/>
          <w:szCs w:val="21"/>
          <w:lang w:val="es-MX" w:eastAsia="x-none"/>
        </w:rPr>
      </w:pPr>
      <w:r w:rsidRPr="00E62709">
        <w:rPr>
          <w:rFonts w:ascii="Abadi" w:hAnsi="Abadi" w:cs="Arial"/>
          <w:b/>
          <w:bCs/>
          <w:sz w:val="21"/>
          <w:szCs w:val="21"/>
          <w:lang w:val="es-MX" w:eastAsia="x-none"/>
        </w:rPr>
        <w:t>I. Competencia:</w:t>
      </w:r>
    </w:p>
    <w:p w14:paraId="4E214B65" w14:textId="77777777" w:rsidR="00E62709" w:rsidRPr="00E62709" w:rsidRDefault="00E62709" w:rsidP="00E62709">
      <w:pPr>
        <w:ind w:firstLine="708"/>
        <w:jc w:val="both"/>
        <w:rPr>
          <w:rFonts w:ascii="Abadi" w:hAnsi="Abadi" w:cs="Arial"/>
          <w:b/>
          <w:bCs/>
          <w:sz w:val="21"/>
          <w:szCs w:val="21"/>
          <w:lang w:val="es-MX" w:eastAsia="x-none"/>
        </w:rPr>
      </w:pPr>
    </w:p>
    <w:p w14:paraId="6E5651A2"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E62709">
          <w:rPr>
            <w:rFonts w:ascii="Abadi" w:hAnsi="Abadi" w:cs="Arial"/>
            <w:sz w:val="21"/>
            <w:szCs w:val="21"/>
            <w:lang w:val="es-MX" w:eastAsia="x-none"/>
          </w:rPr>
          <w:t>la Constitución Política</w:t>
        </w:r>
      </w:smartTag>
      <w:r w:rsidRPr="00E62709">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00869BEE" w14:textId="77777777" w:rsidR="00E62709" w:rsidRPr="00E62709" w:rsidRDefault="00E62709" w:rsidP="00E62709">
      <w:pPr>
        <w:ind w:firstLine="708"/>
        <w:jc w:val="both"/>
        <w:rPr>
          <w:rFonts w:ascii="Abadi" w:hAnsi="Abadi" w:cs="Arial"/>
          <w:sz w:val="21"/>
          <w:szCs w:val="21"/>
          <w:lang w:val="es-MX" w:eastAsia="x-none"/>
        </w:rPr>
      </w:pPr>
    </w:p>
    <w:p w14:paraId="4F775DAD" w14:textId="4CB06B84"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3151A4D1" w14:textId="77777777" w:rsidR="00E62709" w:rsidRPr="00E62709" w:rsidRDefault="00E62709" w:rsidP="00E62709">
      <w:pPr>
        <w:ind w:firstLine="708"/>
        <w:jc w:val="both"/>
        <w:rPr>
          <w:rFonts w:ascii="Abadi" w:hAnsi="Abadi" w:cs="Arial"/>
          <w:sz w:val="21"/>
          <w:szCs w:val="21"/>
          <w:lang w:val="es-MX" w:eastAsia="x-none"/>
        </w:rPr>
      </w:pPr>
    </w:p>
    <w:p w14:paraId="242CC024"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E62709">
          <w:rPr>
            <w:rFonts w:ascii="Abadi" w:hAnsi="Abadi" w:cs="Arial"/>
            <w:sz w:val="21"/>
            <w:szCs w:val="21"/>
            <w:lang w:val="es-MX" w:eastAsia="x-none"/>
          </w:rPr>
          <w:t>la Constitución Política</w:t>
        </w:r>
      </w:smartTag>
      <w:r w:rsidRPr="00E62709">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63D3F33A" w14:textId="77777777" w:rsidR="00E62709" w:rsidRPr="00E62709" w:rsidRDefault="00E62709" w:rsidP="00E62709">
      <w:pPr>
        <w:ind w:firstLine="708"/>
        <w:jc w:val="both"/>
        <w:rPr>
          <w:rFonts w:ascii="Abadi" w:hAnsi="Abadi" w:cs="Arial"/>
          <w:sz w:val="21"/>
          <w:szCs w:val="21"/>
          <w:lang w:val="es-MX" w:eastAsia="x-none"/>
        </w:rPr>
      </w:pPr>
    </w:p>
    <w:p w14:paraId="5526E338"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FE7AB71" w14:textId="77777777" w:rsidR="00E62709" w:rsidRPr="00E62709" w:rsidRDefault="00E62709" w:rsidP="00E62709">
      <w:pPr>
        <w:ind w:firstLine="708"/>
        <w:jc w:val="both"/>
        <w:rPr>
          <w:rFonts w:ascii="Abadi" w:hAnsi="Abadi" w:cs="Arial"/>
          <w:sz w:val="21"/>
          <w:szCs w:val="21"/>
          <w:lang w:val="es-MX" w:eastAsia="x-none"/>
        </w:rPr>
      </w:pPr>
    </w:p>
    <w:p w14:paraId="05A8EE90"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 xml:space="preserve">De igual forma, el artículo 82, fracción XXIV de </w:t>
      </w:r>
      <w:smartTag w:uri="urn:schemas-microsoft-com:office:smarttags" w:element="PersonName">
        <w:smartTagPr>
          <w:attr w:name="ProductID" w:val="la Ley"/>
        </w:smartTagPr>
        <w:r w:rsidRPr="00E62709">
          <w:rPr>
            <w:rFonts w:ascii="Abadi" w:hAnsi="Abadi" w:cs="Arial"/>
            <w:sz w:val="21"/>
            <w:szCs w:val="21"/>
            <w:lang w:val="es-MX" w:eastAsia="x-none"/>
          </w:rPr>
          <w:t>la Ley</w:t>
        </w:r>
      </w:smartTag>
      <w:r w:rsidRPr="00E62709">
        <w:rPr>
          <w:rFonts w:ascii="Abadi" w:hAnsi="Abadi" w:cs="Arial"/>
          <w:sz w:val="21"/>
          <w:szCs w:val="21"/>
          <w:lang w:val="es-MX" w:eastAsia="x-none"/>
        </w:rPr>
        <w:t xml:space="preserve"> de Fiscalización Superior del Estado de Guanajuato consigna como atribución del Auditor Superior rendir al Congreso del Estado, los informes derivados del ejercicio de la función de fiscalización.</w:t>
      </w:r>
    </w:p>
    <w:p w14:paraId="3CD4BBFE" w14:textId="77777777" w:rsidR="00E62709" w:rsidRPr="00E62709" w:rsidRDefault="00E62709" w:rsidP="00E62709">
      <w:pPr>
        <w:ind w:firstLine="708"/>
        <w:jc w:val="both"/>
        <w:rPr>
          <w:rFonts w:ascii="Abadi" w:hAnsi="Abadi" w:cs="Arial"/>
          <w:sz w:val="21"/>
          <w:szCs w:val="21"/>
          <w:lang w:val="es-MX" w:eastAsia="x-none"/>
        </w:rPr>
      </w:pPr>
    </w:p>
    <w:p w14:paraId="483CC329"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5E17C519" w14:textId="77777777" w:rsidR="00E62709" w:rsidRPr="00E62709" w:rsidRDefault="00E62709" w:rsidP="00E62709">
      <w:pPr>
        <w:ind w:firstLine="708"/>
        <w:jc w:val="both"/>
        <w:rPr>
          <w:rFonts w:ascii="Abadi" w:hAnsi="Abadi" w:cs="Arial"/>
          <w:sz w:val="21"/>
          <w:szCs w:val="21"/>
          <w:lang w:val="es-MX" w:eastAsia="x-none"/>
        </w:rPr>
      </w:pPr>
    </w:p>
    <w:p w14:paraId="50F13BAE"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 xml:space="preserve">Con la finalidad de que el Congreso dé cumplimiento a lo señalado en el párrafo anterior, </w:t>
      </w:r>
      <w:smartTag w:uri="urn:schemas-microsoft-com:office:smarttags" w:element="PersonName">
        <w:smartTagPr>
          <w:attr w:name="ProductID" w:val="la Ley Org￡nica"/>
        </w:smartTagPr>
        <w:r w:rsidRPr="00E62709">
          <w:rPr>
            <w:rFonts w:ascii="Abadi" w:hAnsi="Abadi" w:cs="Arial"/>
            <w:sz w:val="21"/>
            <w:szCs w:val="21"/>
            <w:lang w:val="es-MX" w:eastAsia="x-none"/>
          </w:rPr>
          <w:t>la Ley Orgánica</w:t>
        </w:r>
      </w:smartTag>
      <w:r w:rsidRPr="00E62709">
        <w:rPr>
          <w:rFonts w:ascii="Abadi" w:hAnsi="Abadi" w:cs="Arial"/>
          <w:sz w:val="21"/>
          <w:szCs w:val="21"/>
          <w:lang w:val="es-MX" w:eastAsia="x-none"/>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518B55C1" w14:textId="77777777" w:rsidR="00E62709" w:rsidRPr="00E62709" w:rsidRDefault="00E62709" w:rsidP="00E62709">
      <w:pPr>
        <w:ind w:firstLine="708"/>
        <w:jc w:val="both"/>
        <w:rPr>
          <w:rFonts w:ascii="Abadi" w:hAnsi="Abadi" w:cs="Arial"/>
          <w:sz w:val="21"/>
          <w:szCs w:val="21"/>
          <w:lang w:val="es-MX" w:eastAsia="x-none"/>
        </w:rPr>
      </w:pPr>
    </w:p>
    <w:p w14:paraId="6965BB41"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7ECDAD43" w14:textId="77777777" w:rsidR="00E62709" w:rsidRPr="00E62709" w:rsidRDefault="00E62709" w:rsidP="00E62709">
      <w:pPr>
        <w:ind w:firstLine="708"/>
        <w:jc w:val="both"/>
        <w:rPr>
          <w:rFonts w:ascii="Abadi" w:hAnsi="Abadi" w:cs="Arial"/>
          <w:b/>
          <w:bCs/>
          <w:sz w:val="21"/>
          <w:szCs w:val="21"/>
          <w:lang w:val="es-MX" w:eastAsia="x-none"/>
        </w:rPr>
      </w:pPr>
      <w:r w:rsidRPr="00E62709">
        <w:rPr>
          <w:rFonts w:ascii="Abadi" w:hAnsi="Abadi" w:cs="Arial"/>
          <w:b/>
          <w:bCs/>
          <w:sz w:val="21"/>
          <w:szCs w:val="21"/>
          <w:lang w:val="es-MX" w:eastAsia="x-none"/>
        </w:rPr>
        <w:t>II. Antecedentes:</w:t>
      </w:r>
    </w:p>
    <w:p w14:paraId="337CDED3" w14:textId="77777777" w:rsidR="00E62709" w:rsidRPr="00E62709" w:rsidRDefault="00E62709" w:rsidP="00E62709">
      <w:pPr>
        <w:ind w:firstLine="708"/>
        <w:jc w:val="both"/>
        <w:rPr>
          <w:rFonts w:ascii="Abadi" w:hAnsi="Abadi" w:cs="Arial"/>
          <w:sz w:val="21"/>
          <w:szCs w:val="21"/>
          <w:lang w:val="es-MX" w:eastAsia="x-none"/>
        </w:rPr>
      </w:pPr>
    </w:p>
    <w:p w14:paraId="587D0550"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E62709">
          <w:rPr>
            <w:rFonts w:ascii="Abadi" w:hAnsi="Abadi" w:cs="Arial"/>
            <w:sz w:val="21"/>
            <w:szCs w:val="21"/>
            <w:lang w:val="es-MX" w:eastAsia="x-none"/>
          </w:rPr>
          <w:t>la Constitución Política</w:t>
        </w:r>
      </w:smartTag>
      <w:r w:rsidRPr="00E62709">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4F41C4E6" w14:textId="77777777" w:rsidR="00E62709" w:rsidRPr="00E62709" w:rsidRDefault="00E62709" w:rsidP="00E62709">
      <w:pPr>
        <w:ind w:firstLine="708"/>
        <w:jc w:val="both"/>
        <w:rPr>
          <w:rFonts w:ascii="Abadi" w:hAnsi="Abadi" w:cs="Arial"/>
          <w:sz w:val="21"/>
          <w:szCs w:val="21"/>
          <w:lang w:val="es-MX" w:eastAsia="x-none"/>
        </w:rPr>
      </w:pPr>
    </w:p>
    <w:p w14:paraId="292B888B"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Por su parte, el artículo 66 de la Constitución Política Local, establece que los sujetos de fiscalización presentarán al Congreso del Estado los informes financieros y su cuenta pública con la periodicidad, forma y términos que establezca la Ley.</w:t>
      </w:r>
    </w:p>
    <w:p w14:paraId="0621FFEF" w14:textId="77777777" w:rsidR="00E62709" w:rsidRPr="00E62709" w:rsidRDefault="00E62709" w:rsidP="00E62709">
      <w:pPr>
        <w:ind w:firstLine="708"/>
        <w:jc w:val="both"/>
        <w:rPr>
          <w:rFonts w:ascii="Abadi" w:hAnsi="Abadi" w:cs="Arial"/>
          <w:sz w:val="21"/>
          <w:szCs w:val="21"/>
          <w:lang w:val="es-MX" w:eastAsia="x-none"/>
        </w:rPr>
      </w:pPr>
    </w:p>
    <w:p w14:paraId="61643995"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 xml:space="preserve">La fracción III del artículo 3 de </w:t>
      </w:r>
      <w:smartTag w:uri="urn:schemas-microsoft-com:office:smarttags" w:element="PersonName">
        <w:smartTagPr>
          <w:attr w:name="ProductID" w:val="la Ley"/>
        </w:smartTagPr>
        <w:r w:rsidRPr="00E62709">
          <w:rPr>
            <w:rFonts w:ascii="Abadi" w:hAnsi="Abadi" w:cs="Arial"/>
            <w:sz w:val="21"/>
            <w:szCs w:val="21"/>
            <w:lang w:val="es-MX" w:eastAsia="x-none"/>
          </w:rPr>
          <w:t>la Ley</w:t>
        </w:r>
      </w:smartTag>
      <w:r w:rsidRPr="00E62709">
        <w:rPr>
          <w:rFonts w:ascii="Abadi" w:hAnsi="Abadi" w:cs="Arial"/>
          <w:sz w:val="21"/>
          <w:szCs w:val="21"/>
          <w:lang w:val="es-MX" w:eastAsia="x-none"/>
        </w:rPr>
        <w:t xml:space="preserve"> de Fiscalización Superior del Estado de Guanajuato señala que la Auditoría Superior del Estado será competente para fiscalizar la gestión financiera de los sujetos de fiscalización, a través de sus cuentas públicas.</w:t>
      </w:r>
    </w:p>
    <w:p w14:paraId="5D01E716" w14:textId="77777777" w:rsidR="00E62709" w:rsidRPr="00E62709" w:rsidRDefault="00E62709" w:rsidP="00E62709">
      <w:pPr>
        <w:ind w:firstLine="708"/>
        <w:jc w:val="both"/>
        <w:rPr>
          <w:rFonts w:ascii="Abadi" w:hAnsi="Abadi" w:cs="Arial"/>
          <w:sz w:val="21"/>
          <w:szCs w:val="21"/>
          <w:lang w:val="es-MX" w:eastAsia="x-none"/>
        </w:rPr>
      </w:pPr>
    </w:p>
    <w:p w14:paraId="2D0B2EA7"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21099995" w14:textId="77777777" w:rsidR="00E62709" w:rsidRPr="00E62709" w:rsidRDefault="00E62709" w:rsidP="00E62709">
      <w:pPr>
        <w:ind w:firstLine="708"/>
        <w:jc w:val="both"/>
        <w:rPr>
          <w:rFonts w:ascii="Abadi" w:hAnsi="Abadi" w:cs="Arial"/>
          <w:sz w:val="21"/>
          <w:szCs w:val="21"/>
          <w:lang w:val="es-MX" w:eastAsia="x-none"/>
        </w:rPr>
      </w:pPr>
    </w:p>
    <w:p w14:paraId="0855A59A"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No será impedimento para que la Auditoría Superior del Estado realice la función de fiscalización, si la cuenta pública no está presentada y disponible en los plazos y requisitos señalados en la ley.</w:t>
      </w:r>
    </w:p>
    <w:p w14:paraId="58BEA876" w14:textId="77777777" w:rsidR="00E62709" w:rsidRPr="00E62709" w:rsidRDefault="00E62709" w:rsidP="00E62709">
      <w:pPr>
        <w:ind w:firstLine="708"/>
        <w:jc w:val="both"/>
        <w:rPr>
          <w:rFonts w:ascii="Abadi" w:hAnsi="Abadi" w:cs="Arial"/>
          <w:sz w:val="21"/>
          <w:szCs w:val="21"/>
          <w:lang w:val="es-MX" w:eastAsia="x-none"/>
        </w:rPr>
      </w:pPr>
    </w:p>
    <w:p w14:paraId="25519474"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E62709">
          <w:rPr>
            <w:rFonts w:ascii="Abadi" w:hAnsi="Abadi" w:cs="Arial"/>
            <w:sz w:val="21"/>
            <w:szCs w:val="21"/>
            <w:lang w:val="es-MX" w:eastAsia="x-none"/>
          </w:rPr>
          <w:t>la Ley Orgánica</w:t>
        </w:r>
      </w:smartTag>
      <w:r w:rsidRPr="00E62709">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4422E9E5" w14:textId="77777777" w:rsidR="00E62709" w:rsidRPr="00E62709" w:rsidRDefault="00E62709" w:rsidP="00E62709">
      <w:pPr>
        <w:jc w:val="both"/>
        <w:rPr>
          <w:rFonts w:ascii="Abadi" w:hAnsi="Abadi" w:cs="Arial"/>
          <w:sz w:val="21"/>
          <w:szCs w:val="21"/>
          <w:lang w:val="es-MX" w:eastAsia="x-none"/>
        </w:rPr>
      </w:pPr>
    </w:p>
    <w:p w14:paraId="0A73C1A6" w14:textId="77777777" w:rsidR="00E62709" w:rsidRPr="00E62709" w:rsidRDefault="00E62709" w:rsidP="00E62709">
      <w:pPr>
        <w:ind w:right="60" w:firstLine="709"/>
        <w:jc w:val="both"/>
        <w:rPr>
          <w:rFonts w:ascii="Abadi" w:hAnsi="Abadi" w:cs="Arial"/>
          <w:sz w:val="21"/>
          <w:szCs w:val="21"/>
          <w:lang w:val="es-MX" w:eastAsia="x-none"/>
        </w:rPr>
      </w:pPr>
      <w:r w:rsidRPr="00E62709">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15D8AD69" w14:textId="77777777" w:rsidR="00E62709" w:rsidRPr="00E62709" w:rsidRDefault="00E62709" w:rsidP="00E62709">
      <w:pPr>
        <w:ind w:right="58" w:firstLine="709"/>
        <w:jc w:val="both"/>
        <w:rPr>
          <w:rFonts w:ascii="Abadi" w:eastAsia="DejaVu Sans" w:hAnsi="Abadi" w:cs="Tahoma"/>
          <w:iCs/>
          <w:kern w:val="2"/>
          <w:sz w:val="21"/>
          <w:szCs w:val="21"/>
          <w:lang w:eastAsia="ar-SA"/>
        </w:rPr>
      </w:pPr>
    </w:p>
    <w:p w14:paraId="34816026"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625264D3" w14:textId="77777777" w:rsidR="00E62709" w:rsidRPr="00E62709" w:rsidRDefault="00E62709" w:rsidP="00E62709">
      <w:pPr>
        <w:ind w:firstLine="708"/>
        <w:jc w:val="both"/>
        <w:rPr>
          <w:rFonts w:ascii="Abadi" w:hAnsi="Abadi" w:cs="Arial"/>
          <w:sz w:val="21"/>
          <w:szCs w:val="21"/>
          <w:lang w:val="es-MX" w:eastAsia="x-none"/>
        </w:rPr>
      </w:pPr>
    </w:p>
    <w:p w14:paraId="0DF2D663"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38173E60" w14:textId="77777777" w:rsidR="00E62709" w:rsidRPr="00E62709" w:rsidRDefault="00E62709" w:rsidP="00E62709">
      <w:pPr>
        <w:ind w:firstLine="708"/>
        <w:jc w:val="both"/>
        <w:rPr>
          <w:rFonts w:ascii="Abadi" w:hAnsi="Abadi" w:cs="Arial"/>
          <w:sz w:val="21"/>
          <w:szCs w:val="21"/>
          <w:lang w:val="es-MX" w:eastAsia="x-none"/>
        </w:rPr>
      </w:pPr>
    </w:p>
    <w:p w14:paraId="6EC0BB5E" w14:textId="77777777" w:rsidR="00E62709" w:rsidRPr="00E62709" w:rsidRDefault="00E62709" w:rsidP="00E62709">
      <w:pPr>
        <w:ind w:right="60" w:firstLine="709"/>
        <w:jc w:val="both"/>
        <w:rPr>
          <w:rFonts w:ascii="Abadi" w:hAnsi="Abadi" w:cs="Arial"/>
          <w:sz w:val="21"/>
          <w:szCs w:val="21"/>
          <w:lang w:val="es-MX" w:eastAsia="x-none"/>
        </w:rPr>
      </w:pPr>
      <w:r w:rsidRPr="00E62709">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72E104D3" w14:textId="77777777" w:rsidR="00E62709" w:rsidRPr="00E62709" w:rsidRDefault="00E62709" w:rsidP="00E62709">
      <w:pPr>
        <w:ind w:firstLine="708"/>
        <w:jc w:val="both"/>
        <w:rPr>
          <w:rFonts w:ascii="Abadi" w:hAnsi="Abadi" w:cs="Arial"/>
          <w:sz w:val="21"/>
          <w:szCs w:val="21"/>
          <w:lang w:eastAsia="x-none"/>
        </w:rPr>
      </w:pPr>
    </w:p>
    <w:p w14:paraId="3D830046"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65AE4D60" w14:textId="77777777" w:rsidR="00E62709" w:rsidRPr="00E62709" w:rsidRDefault="00E62709" w:rsidP="00E62709">
      <w:pPr>
        <w:ind w:firstLine="708"/>
        <w:jc w:val="both"/>
        <w:rPr>
          <w:rFonts w:ascii="Abadi" w:hAnsi="Abadi" w:cs="Arial"/>
          <w:sz w:val="21"/>
          <w:szCs w:val="21"/>
          <w:lang w:val="es-MX" w:eastAsia="x-none"/>
        </w:rPr>
      </w:pPr>
    </w:p>
    <w:p w14:paraId="6ADB54CF" w14:textId="77777777" w:rsidR="00E62709" w:rsidRPr="00E62709" w:rsidRDefault="00E62709" w:rsidP="00E62709">
      <w:pPr>
        <w:tabs>
          <w:tab w:val="left" w:pos="709"/>
        </w:tabs>
        <w:jc w:val="both"/>
        <w:rPr>
          <w:rFonts w:ascii="Abadi" w:hAnsi="Abadi" w:cs="Arial"/>
          <w:sz w:val="21"/>
          <w:szCs w:val="21"/>
          <w:lang w:val="es-MX" w:eastAsia="x-none"/>
        </w:rPr>
      </w:pPr>
      <w:r w:rsidRPr="00E62709">
        <w:rPr>
          <w:rFonts w:ascii="Abadi" w:hAnsi="Abadi" w:cs="Arial"/>
          <w:sz w:val="21"/>
          <w:szCs w:val="21"/>
        </w:rPr>
        <w:tab/>
        <w:t xml:space="preserve">El citado artículo también refiere </w:t>
      </w:r>
      <w:r w:rsidRPr="00E62709">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7B51697B" w14:textId="77777777" w:rsidR="00E62709" w:rsidRPr="00E62709" w:rsidRDefault="00E62709" w:rsidP="00E62709">
      <w:pPr>
        <w:tabs>
          <w:tab w:val="left" w:pos="709"/>
        </w:tabs>
        <w:jc w:val="both"/>
        <w:rPr>
          <w:rFonts w:ascii="Abadi" w:hAnsi="Abadi" w:cs="Arial"/>
          <w:sz w:val="21"/>
          <w:szCs w:val="21"/>
          <w:lang w:val="es-MX" w:eastAsia="x-none"/>
        </w:rPr>
      </w:pPr>
      <w:r w:rsidRPr="00E62709">
        <w:rPr>
          <w:rFonts w:ascii="Abadi" w:hAnsi="Abadi" w:cs="Arial"/>
          <w:sz w:val="21"/>
          <w:szCs w:val="21"/>
          <w:lang w:val="es-MX" w:eastAsia="x-none"/>
        </w:rPr>
        <w:tab/>
        <w:t xml:space="preserve">En términos del numeral 23 de la </w:t>
      </w:r>
      <w:r w:rsidRPr="00E62709">
        <w:rPr>
          <w:rFonts w:ascii="Abadi" w:hAnsi="Abadi" w:cs="Arial"/>
          <w:sz w:val="21"/>
          <w:szCs w:val="21"/>
        </w:rPr>
        <w:t>Ley de Fiscalización Superior del Estado de Guanajuato, p</w:t>
      </w:r>
      <w:r w:rsidRPr="00E62709">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7D487D41" w14:textId="77777777" w:rsidR="00E62709" w:rsidRPr="00E62709" w:rsidRDefault="00E62709" w:rsidP="00E62709">
      <w:pPr>
        <w:tabs>
          <w:tab w:val="left" w:pos="709"/>
        </w:tabs>
        <w:jc w:val="both"/>
        <w:rPr>
          <w:rFonts w:ascii="Abadi" w:hAnsi="Abadi" w:cs="Arial"/>
          <w:sz w:val="21"/>
          <w:szCs w:val="21"/>
          <w:lang w:val="es-MX" w:eastAsia="x-none"/>
        </w:rPr>
      </w:pPr>
    </w:p>
    <w:p w14:paraId="60FA2444"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774E3611" w14:textId="77777777" w:rsidR="00E62709" w:rsidRPr="00E62709" w:rsidRDefault="00E62709" w:rsidP="00E62709">
      <w:pPr>
        <w:ind w:firstLine="708"/>
        <w:jc w:val="both"/>
        <w:rPr>
          <w:rFonts w:ascii="Abadi" w:hAnsi="Abadi" w:cs="Arial"/>
          <w:sz w:val="21"/>
          <w:szCs w:val="21"/>
          <w:lang w:val="es-MX" w:eastAsia="x-none"/>
        </w:rPr>
      </w:pPr>
    </w:p>
    <w:p w14:paraId="0E7D2390"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En cumplimiento a los citados preceptos, en su oportunidad se remitió a este Congreso del Estado, la cuenta pública municipal de San Miguel de Allende, Gto., correspondiente al ejercicio fiscal del año 2020, turnándose a la Auditoría Superior del Estado para su revisión.</w:t>
      </w:r>
    </w:p>
    <w:p w14:paraId="71CA08AD" w14:textId="77777777" w:rsidR="00E62709" w:rsidRPr="00E62709" w:rsidRDefault="00E62709" w:rsidP="00E62709">
      <w:pPr>
        <w:ind w:firstLine="708"/>
        <w:jc w:val="both"/>
        <w:rPr>
          <w:rFonts w:ascii="Abadi" w:hAnsi="Abadi" w:cs="Arial"/>
          <w:sz w:val="21"/>
          <w:szCs w:val="21"/>
          <w:lang w:val="es-MX" w:eastAsia="x-none"/>
        </w:rPr>
      </w:pPr>
    </w:p>
    <w:p w14:paraId="6EBBCBFB" w14:textId="77777777" w:rsidR="00E62709" w:rsidRPr="00E62709" w:rsidRDefault="00E62709" w:rsidP="00E62709">
      <w:pPr>
        <w:ind w:firstLine="708"/>
        <w:jc w:val="both"/>
        <w:rPr>
          <w:rFonts w:ascii="Abadi" w:hAnsi="Abadi" w:cs="Arial"/>
          <w:sz w:val="21"/>
          <w:szCs w:val="21"/>
          <w:lang w:eastAsia="x-none"/>
        </w:rPr>
      </w:pPr>
      <w:r w:rsidRPr="00E62709">
        <w:rPr>
          <w:rFonts w:ascii="Abadi" w:hAnsi="Abadi" w:cs="Arial"/>
          <w:sz w:val="21"/>
          <w:szCs w:val="21"/>
          <w:lang w:eastAsia="x-none"/>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358D5532" w14:textId="77777777" w:rsidR="00E62709" w:rsidRPr="00E62709" w:rsidRDefault="00E62709" w:rsidP="00E62709">
      <w:pPr>
        <w:ind w:firstLine="708"/>
        <w:jc w:val="both"/>
        <w:rPr>
          <w:rFonts w:ascii="Abadi" w:hAnsi="Abadi" w:cs="Arial"/>
          <w:sz w:val="21"/>
          <w:szCs w:val="21"/>
          <w:lang w:val="es-MX" w:eastAsia="x-none"/>
        </w:rPr>
      </w:pPr>
    </w:p>
    <w:p w14:paraId="0A0A2021"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En ejercicio de esta función, el Auditor Superior del Estado aprobó el Programa General de Fiscalización 2021. En dicho Programa se contempló la revisión de la cuenta pública municipal de San Miguel de Allende, Gto., correspondiente al ejercicio fiscal del año 2020.</w:t>
      </w:r>
    </w:p>
    <w:p w14:paraId="417F57F9" w14:textId="77777777" w:rsidR="00E62709" w:rsidRPr="00E62709" w:rsidRDefault="00E62709" w:rsidP="00E62709">
      <w:pPr>
        <w:ind w:firstLine="708"/>
        <w:jc w:val="both"/>
        <w:rPr>
          <w:rFonts w:ascii="Abadi" w:hAnsi="Abadi" w:cs="Arial"/>
          <w:sz w:val="21"/>
          <w:szCs w:val="21"/>
          <w:lang w:val="es-MX" w:eastAsia="x-none"/>
        </w:rPr>
      </w:pPr>
    </w:p>
    <w:p w14:paraId="4D5EB7F5" w14:textId="77777777" w:rsidR="00E62709" w:rsidRPr="00E62709" w:rsidRDefault="00E62709" w:rsidP="00E62709">
      <w:pPr>
        <w:ind w:firstLine="708"/>
        <w:jc w:val="both"/>
        <w:rPr>
          <w:rFonts w:ascii="Abadi" w:hAnsi="Abadi" w:cs="Arial"/>
          <w:bCs/>
          <w:sz w:val="21"/>
          <w:szCs w:val="21"/>
          <w:lang w:val="es-MX" w:eastAsia="x-none"/>
        </w:rPr>
      </w:pPr>
      <w:r w:rsidRPr="00E62709">
        <w:rPr>
          <w:rFonts w:ascii="Abadi" w:hAnsi="Abadi" w:cs="Arial"/>
          <w:sz w:val="21"/>
          <w:szCs w:val="21"/>
          <w:lang w:val="es-MX" w:eastAsia="x-none"/>
        </w:rPr>
        <w:t xml:space="preserve">La revisión concluyó con la elaboración del informe de resultados materia del presente dictamen, remitiéndose al Congreso, el cual se turnó a esta </w:t>
      </w:r>
      <w:proofErr w:type="gramStart"/>
      <w:r w:rsidRPr="00E62709">
        <w:rPr>
          <w:rFonts w:ascii="Abadi" w:hAnsi="Abadi" w:cs="Arial"/>
          <w:sz w:val="21"/>
          <w:szCs w:val="21"/>
          <w:lang w:val="es-MX" w:eastAsia="x-none"/>
        </w:rPr>
        <w:t xml:space="preserve">Comisión  </w:t>
      </w:r>
      <w:r w:rsidRPr="00E62709">
        <w:rPr>
          <w:rFonts w:ascii="Abadi" w:hAnsi="Abadi" w:cs="Arial"/>
          <w:bCs/>
          <w:sz w:val="21"/>
          <w:szCs w:val="21"/>
          <w:lang w:val="es-MX" w:eastAsia="x-none"/>
        </w:rPr>
        <w:t>el</w:t>
      </w:r>
      <w:proofErr w:type="gramEnd"/>
      <w:r w:rsidRPr="00E62709">
        <w:rPr>
          <w:rFonts w:ascii="Abadi" w:hAnsi="Abadi" w:cs="Arial"/>
          <w:bCs/>
          <w:sz w:val="21"/>
          <w:szCs w:val="21"/>
          <w:lang w:val="es-MX" w:eastAsia="x-none"/>
        </w:rPr>
        <w:t xml:space="preserve"> 3 de marzo de 2022 para su estudio y dictamen,</w:t>
      </w:r>
      <w:r w:rsidRPr="00E62709">
        <w:rPr>
          <w:rFonts w:ascii="Abadi" w:hAnsi="Abadi" w:cs="Arial"/>
          <w:b/>
          <w:sz w:val="21"/>
          <w:szCs w:val="21"/>
          <w:lang w:val="es-MX" w:eastAsia="x-none"/>
        </w:rPr>
        <w:t xml:space="preserve"> </w:t>
      </w:r>
      <w:r w:rsidRPr="00E62709">
        <w:rPr>
          <w:rFonts w:ascii="Abadi" w:hAnsi="Abadi" w:cs="Arial"/>
          <w:bCs/>
          <w:sz w:val="21"/>
          <w:szCs w:val="21"/>
          <w:lang w:val="es-MX" w:eastAsia="x-none"/>
        </w:rPr>
        <w:t>siendo radicado el 8 de marzo del año en curso.</w:t>
      </w:r>
    </w:p>
    <w:p w14:paraId="45C41D4D" w14:textId="77777777" w:rsidR="00E62709" w:rsidRPr="00E62709" w:rsidRDefault="00E62709" w:rsidP="00E62709">
      <w:pPr>
        <w:ind w:firstLine="708"/>
        <w:jc w:val="both"/>
        <w:rPr>
          <w:rFonts w:ascii="Abadi" w:hAnsi="Abadi" w:cs="Arial"/>
          <w:b/>
          <w:sz w:val="21"/>
          <w:szCs w:val="21"/>
          <w:lang w:val="es-MX" w:eastAsia="x-none"/>
        </w:rPr>
      </w:pPr>
    </w:p>
    <w:p w14:paraId="0FA4F103" w14:textId="77777777" w:rsidR="00E62709" w:rsidRPr="00E62709" w:rsidRDefault="00E62709" w:rsidP="00E62709">
      <w:pPr>
        <w:ind w:firstLine="708"/>
        <w:jc w:val="both"/>
        <w:rPr>
          <w:rFonts w:ascii="Abadi" w:hAnsi="Abadi" w:cs="Arial"/>
          <w:sz w:val="21"/>
          <w:szCs w:val="21"/>
          <w:lang w:val="es-MX" w:eastAsia="x-none"/>
        </w:rPr>
      </w:pPr>
    </w:p>
    <w:p w14:paraId="45BEB1FE" w14:textId="77777777" w:rsidR="00E62709" w:rsidRPr="00E62709" w:rsidRDefault="00E62709" w:rsidP="00E62709">
      <w:pPr>
        <w:ind w:firstLine="708"/>
        <w:jc w:val="both"/>
        <w:rPr>
          <w:rFonts w:ascii="Abadi" w:hAnsi="Abadi" w:cs="Arial"/>
          <w:b/>
          <w:bCs/>
          <w:sz w:val="21"/>
          <w:szCs w:val="21"/>
          <w:lang w:val="es-MX" w:eastAsia="x-none"/>
        </w:rPr>
      </w:pPr>
      <w:r w:rsidRPr="00E62709">
        <w:rPr>
          <w:rFonts w:ascii="Abadi" w:hAnsi="Abadi" w:cs="Arial"/>
          <w:b/>
          <w:bCs/>
          <w:sz w:val="21"/>
          <w:szCs w:val="21"/>
          <w:lang w:val="es-MX" w:eastAsia="x-none"/>
        </w:rPr>
        <w:t>III. Procedimiento de Revisión:</w:t>
      </w:r>
    </w:p>
    <w:p w14:paraId="3FBF3610" w14:textId="77777777" w:rsidR="00E62709" w:rsidRPr="00E62709" w:rsidRDefault="00E62709" w:rsidP="00E62709">
      <w:pPr>
        <w:ind w:firstLine="708"/>
        <w:jc w:val="both"/>
        <w:rPr>
          <w:rFonts w:ascii="Abadi" w:hAnsi="Abadi" w:cs="Arial"/>
          <w:sz w:val="21"/>
          <w:szCs w:val="21"/>
          <w:lang w:val="es-MX" w:eastAsia="x-none"/>
        </w:rPr>
      </w:pPr>
    </w:p>
    <w:p w14:paraId="2589E705"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La revisión de la cuenta pública municipal de San Miguel de Allende, Gto.,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3670712D" w14:textId="77777777" w:rsidR="00E62709" w:rsidRPr="00E62709" w:rsidRDefault="00E62709" w:rsidP="00E62709">
      <w:pPr>
        <w:ind w:firstLine="708"/>
        <w:jc w:val="both"/>
        <w:rPr>
          <w:rFonts w:ascii="Abadi" w:hAnsi="Abadi" w:cs="Arial"/>
          <w:sz w:val="21"/>
          <w:szCs w:val="21"/>
          <w:lang w:eastAsia="x-none"/>
        </w:rPr>
      </w:pPr>
    </w:p>
    <w:p w14:paraId="12B29455"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67F13135" w14:textId="77777777" w:rsidR="00E62709" w:rsidRPr="00E62709" w:rsidRDefault="00E62709" w:rsidP="00E62709">
      <w:pPr>
        <w:ind w:firstLine="708"/>
        <w:jc w:val="both"/>
        <w:rPr>
          <w:rFonts w:ascii="Abadi" w:hAnsi="Abadi" w:cs="Arial"/>
          <w:sz w:val="21"/>
          <w:szCs w:val="21"/>
          <w:lang w:val="es-MX" w:eastAsia="x-none"/>
        </w:rPr>
      </w:pPr>
    </w:p>
    <w:p w14:paraId="52CA8EA5" w14:textId="7C0D17DB"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3FCF2F1A" w14:textId="77777777" w:rsidR="00E62709" w:rsidRPr="00E62709" w:rsidRDefault="00E62709" w:rsidP="00E62709">
      <w:pPr>
        <w:ind w:firstLine="708"/>
        <w:jc w:val="both"/>
        <w:rPr>
          <w:rFonts w:ascii="Abadi" w:hAnsi="Abadi" w:cs="Arial"/>
          <w:sz w:val="21"/>
          <w:szCs w:val="21"/>
          <w:lang w:val="es-MX" w:eastAsia="x-none"/>
        </w:rPr>
      </w:pPr>
    </w:p>
    <w:p w14:paraId="0A4EC626"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0B146125" w14:textId="77777777" w:rsidR="00E62709" w:rsidRPr="00E62709" w:rsidRDefault="00E62709" w:rsidP="00E62709">
      <w:pPr>
        <w:ind w:firstLine="708"/>
        <w:jc w:val="both"/>
        <w:rPr>
          <w:rFonts w:ascii="Abadi" w:hAnsi="Abadi" w:cs="Arial"/>
          <w:sz w:val="21"/>
          <w:szCs w:val="21"/>
          <w:lang w:val="es-MX" w:eastAsia="x-none"/>
        </w:rPr>
      </w:pPr>
    </w:p>
    <w:p w14:paraId="27DF8AE8" w14:textId="77777777" w:rsidR="00E62709" w:rsidRPr="00E62709" w:rsidRDefault="00E62709" w:rsidP="00E62709">
      <w:pPr>
        <w:ind w:firstLine="705"/>
        <w:jc w:val="both"/>
        <w:rPr>
          <w:rFonts w:ascii="Abadi" w:hAnsi="Abadi" w:cs="Arial"/>
          <w:sz w:val="21"/>
          <w:szCs w:val="21"/>
          <w:lang w:val="es-MX" w:eastAsia="x-none"/>
        </w:rPr>
      </w:pPr>
      <w:r w:rsidRPr="00E62709">
        <w:rPr>
          <w:rFonts w:ascii="Abadi" w:hAnsi="Abadi" w:cs="Arial"/>
          <w:sz w:val="21"/>
          <w:szCs w:val="21"/>
          <w:lang w:val="es-MX" w:eastAsia="x-none"/>
        </w:rPr>
        <w:t>El informe de resultados establece que se practicó la revisión de la cuenta pública respecto de las operaciones realizadas por la administración municipal de San Miguel de Allende, Gto., correspondientes al ejercicio fiscal 2020, en lo referente a los apartados de ingresos y egresos.</w:t>
      </w:r>
    </w:p>
    <w:p w14:paraId="45E09E2D" w14:textId="77777777" w:rsidR="00E62709" w:rsidRPr="00E62709" w:rsidRDefault="00E62709" w:rsidP="00E62709">
      <w:pPr>
        <w:ind w:firstLine="705"/>
        <w:jc w:val="both"/>
        <w:rPr>
          <w:rFonts w:ascii="Abadi" w:hAnsi="Abadi" w:cs="Arial"/>
          <w:sz w:val="21"/>
          <w:szCs w:val="21"/>
          <w:lang w:val="es-MX" w:eastAsia="x-none"/>
        </w:rPr>
      </w:pPr>
    </w:p>
    <w:p w14:paraId="55211184" w14:textId="77777777" w:rsidR="00E62709" w:rsidRPr="00E62709" w:rsidRDefault="00E62709" w:rsidP="00E62709">
      <w:pPr>
        <w:autoSpaceDE w:val="0"/>
        <w:autoSpaceDN w:val="0"/>
        <w:adjustRightInd w:val="0"/>
        <w:ind w:firstLine="708"/>
        <w:jc w:val="both"/>
        <w:rPr>
          <w:rFonts w:ascii="Abadi" w:hAnsi="Abadi" w:cs="Arial"/>
          <w:sz w:val="21"/>
          <w:szCs w:val="21"/>
          <w:lang w:val="es-MX" w:eastAsia="x-none"/>
        </w:rPr>
      </w:pPr>
      <w:r w:rsidRPr="00E62709">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412C485A" w14:textId="77777777" w:rsidR="00E62709" w:rsidRPr="00E62709" w:rsidRDefault="00E62709" w:rsidP="00E62709">
      <w:pPr>
        <w:jc w:val="both"/>
        <w:rPr>
          <w:rFonts w:ascii="Abadi" w:hAnsi="Abadi" w:cs="Arial"/>
          <w:sz w:val="21"/>
          <w:szCs w:val="21"/>
          <w:lang w:val="es-MX" w:eastAsia="x-none"/>
        </w:rPr>
      </w:pPr>
    </w:p>
    <w:p w14:paraId="7885D4BE" w14:textId="77777777" w:rsidR="00E62709" w:rsidRPr="00E62709" w:rsidRDefault="00E62709" w:rsidP="00E62709">
      <w:pPr>
        <w:jc w:val="both"/>
        <w:rPr>
          <w:rFonts w:ascii="Abadi" w:hAnsi="Abadi" w:cs="Arial"/>
          <w:sz w:val="21"/>
          <w:szCs w:val="21"/>
          <w:lang w:val="es-MX" w:eastAsia="x-none"/>
        </w:rPr>
      </w:pPr>
    </w:p>
    <w:p w14:paraId="413F6540"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381C1534" w14:textId="77777777" w:rsidR="00E62709" w:rsidRPr="00E62709" w:rsidRDefault="00E62709" w:rsidP="00E62709">
      <w:pPr>
        <w:ind w:firstLine="708"/>
        <w:jc w:val="both"/>
        <w:rPr>
          <w:rFonts w:ascii="Abadi" w:hAnsi="Abadi" w:cs="Arial"/>
          <w:sz w:val="21"/>
          <w:szCs w:val="21"/>
          <w:lang w:val="es-MX" w:eastAsia="x-none"/>
        </w:rPr>
      </w:pPr>
    </w:p>
    <w:p w14:paraId="28663446" w14:textId="77777777" w:rsidR="00E62709" w:rsidRPr="00E62709" w:rsidRDefault="00E62709" w:rsidP="00E62709">
      <w:pPr>
        <w:ind w:firstLine="708"/>
        <w:jc w:val="both"/>
        <w:rPr>
          <w:rFonts w:ascii="Abadi" w:hAnsi="Abadi" w:cs="Arial"/>
          <w:sz w:val="21"/>
          <w:szCs w:val="21"/>
        </w:rPr>
      </w:pPr>
      <w:r w:rsidRPr="00E62709">
        <w:rPr>
          <w:rFonts w:ascii="Abadi" w:hAnsi="Abadi" w:cs="Arial"/>
          <w:sz w:val="21"/>
          <w:szCs w:val="21"/>
        </w:rPr>
        <w:t>El 22 de junio de 2021 se notificó al presidente municipal interino de San Miguel de Allende, Gto., la orden de inicio del procedimiento de revisión de la cuenta pública.</w:t>
      </w:r>
    </w:p>
    <w:p w14:paraId="73F026BC" w14:textId="77777777" w:rsidR="00E62709" w:rsidRPr="00E62709" w:rsidRDefault="00E62709" w:rsidP="00E62709">
      <w:pPr>
        <w:ind w:firstLine="708"/>
        <w:jc w:val="both"/>
        <w:rPr>
          <w:rFonts w:ascii="Abadi" w:hAnsi="Abadi" w:cs="Arial"/>
          <w:sz w:val="21"/>
          <w:szCs w:val="21"/>
        </w:rPr>
      </w:pPr>
    </w:p>
    <w:p w14:paraId="5F0AFB2C" w14:textId="77777777" w:rsidR="00E62709" w:rsidRPr="00E62709" w:rsidRDefault="00E62709" w:rsidP="00E62709">
      <w:pPr>
        <w:ind w:firstLine="708"/>
        <w:jc w:val="both"/>
        <w:rPr>
          <w:rFonts w:ascii="Abadi" w:hAnsi="Abadi" w:cs="Arial"/>
          <w:sz w:val="21"/>
          <w:szCs w:val="21"/>
        </w:rPr>
      </w:pPr>
      <w:r w:rsidRPr="00E62709">
        <w:rPr>
          <w:rFonts w:ascii="Abadi" w:hAnsi="Abadi" w:cs="Arial"/>
          <w:sz w:val="21"/>
          <w:szCs w:val="21"/>
        </w:rPr>
        <w:t>Posteriormente, el 4 de octubre de 2021, se notificó al presidente municipal de San Miguel de Allende, Gto., el pliego de observaciones y recomendaciones derivado de la revisión practicada a la cuenta pública municipal de San Miguel de Allende, Gto., correspondiente al ejercicio fiscal del año 2020, al cual se dio respuesta en fechas 18 de octubre y 23 de noviembre de 2021 por parte del tesorero y ex-tesorero municipales de San Miguel de Allende, Gto., respectivamente.</w:t>
      </w:r>
    </w:p>
    <w:p w14:paraId="4352B102" w14:textId="77777777" w:rsidR="00E62709" w:rsidRPr="00E62709" w:rsidRDefault="00E62709" w:rsidP="00E62709">
      <w:pPr>
        <w:ind w:firstLine="708"/>
        <w:jc w:val="both"/>
        <w:rPr>
          <w:rFonts w:ascii="Abadi" w:hAnsi="Abadi" w:cs="Arial"/>
          <w:sz w:val="21"/>
          <w:szCs w:val="21"/>
        </w:rPr>
      </w:pPr>
    </w:p>
    <w:p w14:paraId="565D7464" w14:textId="77777777" w:rsidR="00E62709" w:rsidRPr="00E62709" w:rsidRDefault="00E62709" w:rsidP="00E62709">
      <w:pPr>
        <w:ind w:firstLine="708"/>
        <w:jc w:val="both"/>
        <w:rPr>
          <w:rFonts w:ascii="Abadi" w:hAnsi="Abadi" w:cs="Arial"/>
          <w:sz w:val="21"/>
          <w:szCs w:val="21"/>
        </w:rPr>
      </w:pPr>
      <w:r w:rsidRPr="00E62709">
        <w:rPr>
          <w:rFonts w:ascii="Abadi" w:hAnsi="Abadi" w:cs="Arial"/>
          <w:sz w:val="21"/>
          <w:szCs w:val="21"/>
        </w:rPr>
        <w:t>En fechas 30 de noviembre y 3 de diciembre de 2021, 6 y 7 de enero de 2022 se notificó al ex-presidente y al presidente municipales de San Miguel de Allende, Gto., la suspensión del plazo de la revisión materia del presente dictamen, de conformidad con lo establecido en los Acuerdos de Suspensión de Plazos publicados en el Periódico Oficial del Gobierno del Estado de Guanajuato los días 19 de noviembre y 17 de diciembre de 2021.</w:t>
      </w:r>
    </w:p>
    <w:p w14:paraId="5A46F1EC" w14:textId="77777777" w:rsidR="00E62709" w:rsidRPr="00E62709" w:rsidRDefault="00E62709" w:rsidP="00E62709">
      <w:pPr>
        <w:ind w:firstLine="708"/>
        <w:jc w:val="both"/>
        <w:rPr>
          <w:rFonts w:ascii="Abadi" w:hAnsi="Abadi" w:cs="Arial"/>
          <w:sz w:val="21"/>
          <w:szCs w:val="21"/>
        </w:rPr>
      </w:pPr>
    </w:p>
    <w:p w14:paraId="57A84036" w14:textId="0C394474"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 xml:space="preserve">En fechas 20 y 21 de enero de 2022, el informe de resultados se notificó al presidente y al ex-presidente municipales de San Miguel de Allende, Gto., para que, en su caso, hicieran valer el recurso de reconsideración previsto por los artículos del 48 al 55 de </w:t>
      </w:r>
      <w:smartTag w:uri="urn:schemas-microsoft-com:office:smarttags" w:element="PersonName">
        <w:smartTagPr>
          <w:attr w:name="ProductID" w:val="la Ley"/>
        </w:smartTagPr>
        <w:r w:rsidRPr="00E62709">
          <w:rPr>
            <w:rFonts w:ascii="Abadi" w:hAnsi="Abadi" w:cs="Arial"/>
            <w:sz w:val="21"/>
            <w:szCs w:val="21"/>
            <w:lang w:val="es-MX" w:eastAsia="x-none"/>
          </w:rPr>
          <w:t>la Ley</w:t>
        </w:r>
      </w:smartTag>
      <w:r w:rsidRPr="00E62709">
        <w:rPr>
          <w:rFonts w:ascii="Abadi" w:hAnsi="Abadi" w:cs="Arial"/>
          <w:sz w:val="21"/>
          <w:szCs w:val="21"/>
          <w:lang w:val="es-MX" w:eastAsia="x-none"/>
        </w:rPr>
        <w:t xml:space="preserve"> de Fiscalización Superior del Estado de Guanajuato, haciéndoles saber que contaban con un término de cinco días hábiles para tal efecto. Con lo anterior, se dio cumplimiento a la fracción IV del artículo 37 de la citada Ley.</w:t>
      </w:r>
    </w:p>
    <w:p w14:paraId="6CB42E15" w14:textId="77777777" w:rsidR="00E62709" w:rsidRPr="00E62709" w:rsidRDefault="00E62709" w:rsidP="00E62709">
      <w:pPr>
        <w:ind w:firstLine="708"/>
        <w:jc w:val="both"/>
        <w:rPr>
          <w:rFonts w:ascii="Abadi" w:hAnsi="Abadi" w:cs="Arial"/>
          <w:sz w:val="21"/>
          <w:szCs w:val="21"/>
          <w:lang w:val="es-MX" w:eastAsia="x-none"/>
        </w:rPr>
      </w:pPr>
    </w:p>
    <w:p w14:paraId="5758CCFF"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 xml:space="preserve">El 27 de enero de 2022, dentro del plazo que prevé la fracción IV del artículo 37 de </w:t>
      </w:r>
      <w:smartTag w:uri="urn:schemas-microsoft-com:office:smarttags" w:element="PersonName">
        <w:smartTagPr>
          <w:attr w:name="ProductID" w:val="la Ley"/>
        </w:smartTagPr>
        <w:r w:rsidRPr="00E62709">
          <w:rPr>
            <w:rFonts w:ascii="Abadi" w:hAnsi="Abadi" w:cs="Arial"/>
            <w:sz w:val="21"/>
            <w:szCs w:val="21"/>
            <w:lang w:val="es-MX" w:eastAsia="x-none"/>
          </w:rPr>
          <w:t>la Ley</w:t>
        </w:r>
      </w:smartTag>
      <w:r w:rsidRPr="00E62709">
        <w:rPr>
          <w:rFonts w:ascii="Abadi" w:hAnsi="Abadi" w:cs="Arial"/>
          <w:sz w:val="21"/>
          <w:szCs w:val="21"/>
          <w:lang w:val="es-MX" w:eastAsia="x-none"/>
        </w:rPr>
        <w:t xml:space="preserve"> de Fiscalización Superior del Estado de Guanajuato, el ex-presidente municipal de San Miguel de Allende, Gto., interpuso recurso de reconsideración en contra del informe de resultados de la revisión practicada a la cuenta pública de dicho Municipio, correspondiente al ejercicio fiscal del año 2020, siendo admitido dicho recurso, al colmarse los requisitos de procedibilidad previstos por el artículo 51 de </w:t>
      </w:r>
      <w:smartTag w:uri="urn:schemas-microsoft-com:office:smarttags" w:element="PersonName">
        <w:smartTagPr>
          <w:attr w:name="ProductID" w:val="la Ley"/>
        </w:smartTagPr>
        <w:r w:rsidRPr="00E62709">
          <w:rPr>
            <w:rFonts w:ascii="Abadi" w:hAnsi="Abadi" w:cs="Arial"/>
            <w:sz w:val="21"/>
            <w:szCs w:val="21"/>
            <w:lang w:val="es-MX" w:eastAsia="x-none"/>
          </w:rPr>
          <w:t>la Ley</w:t>
        </w:r>
      </w:smartTag>
      <w:r w:rsidRPr="00E62709">
        <w:rPr>
          <w:rFonts w:ascii="Abadi" w:hAnsi="Abadi" w:cs="Arial"/>
          <w:sz w:val="21"/>
          <w:szCs w:val="21"/>
          <w:lang w:val="es-MX" w:eastAsia="x-none"/>
        </w:rPr>
        <w:t xml:space="preserve"> de Fiscalización Superior del Estado de Guanajuato.</w:t>
      </w:r>
    </w:p>
    <w:p w14:paraId="04BD25BC" w14:textId="77777777" w:rsidR="00E62709" w:rsidRPr="00E62709" w:rsidRDefault="00E62709" w:rsidP="00E62709">
      <w:pPr>
        <w:ind w:firstLine="708"/>
        <w:jc w:val="both"/>
        <w:rPr>
          <w:rFonts w:ascii="Abadi" w:hAnsi="Abadi"/>
          <w:sz w:val="21"/>
          <w:szCs w:val="21"/>
        </w:rPr>
      </w:pPr>
    </w:p>
    <w:p w14:paraId="675D61A1"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Una vez tramitado el recurso, el Auditor Superior el 14 de febrero de 2022 emitió la resolución correspondiente, a la cual haremos referencia en un apartado posterior, misma que se notificó al ex-presidente municipal de San Miguel de Allende, Gto., el 18 de febrero de 2022.</w:t>
      </w:r>
    </w:p>
    <w:p w14:paraId="04775082" w14:textId="77777777" w:rsidR="00E62709" w:rsidRPr="00E62709" w:rsidRDefault="00E62709" w:rsidP="00E62709">
      <w:pPr>
        <w:ind w:firstLine="708"/>
        <w:jc w:val="both"/>
        <w:rPr>
          <w:rFonts w:ascii="Abadi" w:hAnsi="Abadi" w:cs="Arial"/>
          <w:sz w:val="21"/>
          <w:szCs w:val="21"/>
          <w:lang w:val="es-MX" w:eastAsia="x-none"/>
        </w:rPr>
      </w:pPr>
    </w:p>
    <w:p w14:paraId="705837BB" w14:textId="77777777" w:rsidR="00E62709" w:rsidRPr="00E62709" w:rsidRDefault="00E62709" w:rsidP="00E62709">
      <w:pPr>
        <w:ind w:firstLine="708"/>
        <w:jc w:val="both"/>
        <w:rPr>
          <w:rFonts w:ascii="Abadi" w:hAnsi="Abadi" w:cs="Arial"/>
          <w:b/>
          <w:bCs/>
          <w:sz w:val="21"/>
          <w:szCs w:val="21"/>
          <w:lang w:eastAsia="x-none"/>
        </w:rPr>
      </w:pPr>
      <w:r w:rsidRPr="00E62709">
        <w:rPr>
          <w:rFonts w:ascii="Abadi" w:hAnsi="Abadi" w:cs="Arial"/>
          <w:b/>
          <w:bCs/>
          <w:sz w:val="21"/>
          <w:szCs w:val="21"/>
          <w:lang w:eastAsia="x-none"/>
        </w:rPr>
        <w:t>IV. Contenido del Informe de Resultados:</w:t>
      </w:r>
    </w:p>
    <w:p w14:paraId="035EFD18" w14:textId="77777777" w:rsidR="00E62709" w:rsidRPr="00E62709" w:rsidRDefault="00E62709" w:rsidP="00E62709">
      <w:pPr>
        <w:jc w:val="both"/>
        <w:rPr>
          <w:rFonts w:ascii="Abadi" w:hAnsi="Abadi" w:cs="Arial"/>
          <w:b/>
          <w:bCs/>
          <w:sz w:val="21"/>
          <w:szCs w:val="21"/>
          <w:lang w:eastAsia="x-none"/>
        </w:rPr>
      </w:pPr>
    </w:p>
    <w:p w14:paraId="6E203471" w14:textId="77777777" w:rsidR="00E62709" w:rsidRPr="00E62709" w:rsidRDefault="00E62709" w:rsidP="00E62709">
      <w:pPr>
        <w:jc w:val="both"/>
        <w:rPr>
          <w:rFonts w:ascii="Abadi" w:hAnsi="Abadi" w:cs="Arial"/>
          <w:sz w:val="21"/>
          <w:szCs w:val="21"/>
          <w:lang w:eastAsia="x-none"/>
        </w:rPr>
      </w:pPr>
      <w:r w:rsidRPr="00E62709">
        <w:rPr>
          <w:rFonts w:ascii="Abadi" w:hAnsi="Abadi" w:cs="Arial"/>
          <w:b/>
          <w:bCs/>
          <w:sz w:val="21"/>
          <w:szCs w:val="21"/>
          <w:lang w:eastAsia="x-none"/>
        </w:rPr>
        <w:tab/>
      </w:r>
      <w:r w:rsidRPr="00E62709">
        <w:rPr>
          <w:rFonts w:ascii="Abadi" w:hAnsi="Abadi" w:cs="Arial"/>
          <w:bCs/>
          <w:sz w:val="21"/>
          <w:szCs w:val="21"/>
          <w:lang w:eastAsia="x-none"/>
        </w:rPr>
        <w:t>En cumplimiento a lo establecido por el</w:t>
      </w:r>
      <w:r w:rsidRPr="00E62709">
        <w:rPr>
          <w:rFonts w:ascii="Abadi" w:hAnsi="Abadi" w:cs="Arial"/>
          <w:sz w:val="21"/>
          <w:szCs w:val="21"/>
          <w:lang w:eastAsia="x-none"/>
        </w:rPr>
        <w:t xml:space="preserve"> artículo 37, fracción III de la Ley de Fiscalización Superior del Estado, el informe de resultados contiene los siguientes apartados:</w:t>
      </w:r>
    </w:p>
    <w:p w14:paraId="6488D221" w14:textId="77777777" w:rsidR="00E62709" w:rsidRPr="00E62709" w:rsidRDefault="00E62709" w:rsidP="00E62709">
      <w:pPr>
        <w:jc w:val="both"/>
        <w:rPr>
          <w:rFonts w:ascii="Abadi" w:hAnsi="Abadi" w:cs="Arial"/>
          <w:sz w:val="21"/>
          <w:szCs w:val="21"/>
          <w:lang w:eastAsia="x-none"/>
        </w:rPr>
      </w:pPr>
    </w:p>
    <w:p w14:paraId="6FF21839" w14:textId="77777777" w:rsidR="00E62709" w:rsidRPr="00E62709" w:rsidRDefault="00E62709" w:rsidP="001A28E5">
      <w:pPr>
        <w:numPr>
          <w:ilvl w:val="0"/>
          <w:numId w:val="90"/>
        </w:numPr>
        <w:jc w:val="both"/>
        <w:rPr>
          <w:rFonts w:ascii="Abadi" w:hAnsi="Abadi" w:cs="Arial"/>
          <w:b/>
          <w:bCs/>
          <w:sz w:val="21"/>
          <w:szCs w:val="21"/>
          <w:lang w:eastAsia="x-none"/>
        </w:rPr>
      </w:pPr>
      <w:r w:rsidRPr="00E62709">
        <w:rPr>
          <w:rFonts w:ascii="Abadi" w:hAnsi="Abadi" w:cs="Arial"/>
          <w:b/>
          <w:bCs/>
          <w:sz w:val="21"/>
          <w:szCs w:val="21"/>
          <w:lang w:eastAsia="x-none"/>
        </w:rPr>
        <w:t>Introducción.</w:t>
      </w:r>
    </w:p>
    <w:p w14:paraId="3598338D" w14:textId="77777777" w:rsidR="00E62709" w:rsidRPr="00E62709" w:rsidRDefault="00E62709" w:rsidP="00E62709">
      <w:pPr>
        <w:ind w:left="705"/>
        <w:jc w:val="both"/>
        <w:rPr>
          <w:rFonts w:ascii="Abadi" w:hAnsi="Abadi" w:cs="Arial"/>
          <w:b/>
          <w:bCs/>
          <w:sz w:val="21"/>
          <w:szCs w:val="21"/>
          <w:lang w:eastAsia="x-none"/>
        </w:rPr>
      </w:pPr>
    </w:p>
    <w:p w14:paraId="2AFE70FB" w14:textId="77777777" w:rsidR="00E62709" w:rsidRPr="00E62709" w:rsidRDefault="00E62709" w:rsidP="00E62709">
      <w:pPr>
        <w:ind w:firstLine="705"/>
        <w:jc w:val="both"/>
        <w:rPr>
          <w:rFonts w:ascii="Abadi" w:hAnsi="Abadi" w:cs="Arial"/>
          <w:sz w:val="21"/>
          <w:szCs w:val="21"/>
          <w:lang w:eastAsia="x-none"/>
        </w:rPr>
      </w:pPr>
      <w:r w:rsidRPr="00E62709">
        <w:rPr>
          <w:rFonts w:ascii="Abadi" w:hAnsi="Abadi" w:cs="Arial"/>
          <w:sz w:val="21"/>
          <w:szCs w:val="21"/>
          <w:lang w:eastAsia="x-none"/>
        </w:rPr>
        <w:t xml:space="preserve">Por lo que se refiere a este punto, se establecen los criterios de selección; el objetivo de la revisión; el alcance de la revisión respecto a los apartados de ingresos y egresos, </w:t>
      </w:r>
      <w:r w:rsidRPr="00E62709">
        <w:rPr>
          <w:rFonts w:ascii="Abadi" w:hAnsi="Abadi" w:cs="Arial"/>
          <w:sz w:val="21"/>
          <w:szCs w:val="21"/>
          <w:lang w:val="es-MX" w:eastAsia="x-none"/>
        </w:rPr>
        <w:t>precisando que el detalle de los alcances de la revisión se consigna en el Anexo 01 del informe de resultados.</w:t>
      </w:r>
    </w:p>
    <w:p w14:paraId="7E410EF8" w14:textId="77777777" w:rsidR="00E62709" w:rsidRPr="00E62709" w:rsidRDefault="00E62709" w:rsidP="00E62709">
      <w:pPr>
        <w:ind w:firstLine="705"/>
        <w:jc w:val="both"/>
        <w:rPr>
          <w:rFonts w:ascii="Abadi" w:hAnsi="Abadi" w:cs="Arial"/>
          <w:sz w:val="21"/>
          <w:szCs w:val="21"/>
          <w:lang w:eastAsia="x-none"/>
        </w:rPr>
      </w:pPr>
    </w:p>
    <w:p w14:paraId="20E82C5E" w14:textId="77777777" w:rsidR="00E62709" w:rsidRPr="00E62709" w:rsidRDefault="00E62709" w:rsidP="00E62709">
      <w:pPr>
        <w:ind w:firstLine="705"/>
        <w:jc w:val="both"/>
        <w:rPr>
          <w:rFonts w:ascii="Abadi" w:hAnsi="Abadi" w:cs="Arial"/>
          <w:sz w:val="21"/>
          <w:szCs w:val="21"/>
          <w:lang w:eastAsia="x-none"/>
        </w:rPr>
      </w:pPr>
      <w:r w:rsidRPr="00E62709">
        <w:rPr>
          <w:rFonts w:ascii="Abadi" w:hAnsi="Abadi" w:cs="Arial"/>
          <w:sz w:val="21"/>
          <w:szCs w:val="21"/>
          <w:lang w:eastAsia="x-none"/>
        </w:rPr>
        <w:t>También en este apartado se precisan los procedimientos de auditoría aplicados, siendo estos: inspección, observación, confirmación externa, recálculo, procedimientos analíticos, re ejecución e indagación.</w:t>
      </w:r>
    </w:p>
    <w:p w14:paraId="05FAD7C3" w14:textId="77777777" w:rsidR="00E62709" w:rsidRPr="00E62709" w:rsidRDefault="00E62709" w:rsidP="00E62709">
      <w:pPr>
        <w:ind w:firstLine="705"/>
        <w:jc w:val="both"/>
        <w:rPr>
          <w:rFonts w:ascii="Abadi" w:hAnsi="Abadi" w:cs="Arial"/>
          <w:sz w:val="21"/>
          <w:szCs w:val="21"/>
          <w:lang w:eastAsia="x-none"/>
        </w:rPr>
      </w:pPr>
    </w:p>
    <w:p w14:paraId="0333FD81" w14:textId="77777777" w:rsidR="00E62709" w:rsidRPr="00E62709" w:rsidRDefault="00E62709" w:rsidP="00E62709">
      <w:pPr>
        <w:ind w:firstLine="705"/>
        <w:jc w:val="both"/>
        <w:rPr>
          <w:rFonts w:ascii="Abadi" w:hAnsi="Abadi" w:cs="Arial"/>
          <w:sz w:val="21"/>
          <w:szCs w:val="21"/>
          <w:lang w:eastAsia="x-none"/>
        </w:rPr>
      </w:pPr>
      <w:r w:rsidRPr="00E62709">
        <w:rPr>
          <w:rFonts w:ascii="Abadi" w:hAnsi="Abadi" w:cs="Arial"/>
          <w:sz w:val="21"/>
          <w:szCs w:val="21"/>
          <w:lang w:eastAsia="x-none"/>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768701A7" w14:textId="77777777" w:rsidR="00E62709" w:rsidRPr="00E62709" w:rsidRDefault="00E62709" w:rsidP="00E62709">
      <w:pPr>
        <w:jc w:val="both"/>
        <w:rPr>
          <w:rFonts w:ascii="Abadi" w:hAnsi="Abadi"/>
          <w:i/>
          <w:iCs/>
          <w:sz w:val="21"/>
          <w:szCs w:val="21"/>
          <w:lang w:eastAsia="x-none"/>
        </w:rPr>
      </w:pPr>
    </w:p>
    <w:p w14:paraId="34576093" w14:textId="77777777" w:rsidR="00E62709" w:rsidRPr="00E62709" w:rsidRDefault="00E62709" w:rsidP="00E62709">
      <w:pPr>
        <w:jc w:val="both"/>
        <w:rPr>
          <w:rFonts w:ascii="Abadi" w:hAnsi="Abadi" w:cs="Arial"/>
          <w:i/>
          <w:iCs/>
          <w:sz w:val="21"/>
          <w:szCs w:val="21"/>
          <w:lang w:eastAsia="x-none"/>
        </w:rPr>
      </w:pPr>
      <w:r w:rsidRPr="00E62709">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1720B974" w14:textId="77777777" w:rsidR="00E62709" w:rsidRPr="00E62709" w:rsidRDefault="00E62709" w:rsidP="00E62709">
      <w:pPr>
        <w:jc w:val="both"/>
        <w:rPr>
          <w:rFonts w:ascii="Abadi" w:hAnsi="Abadi" w:cs="Arial"/>
          <w:i/>
          <w:iCs/>
          <w:sz w:val="21"/>
          <w:szCs w:val="21"/>
          <w:lang w:eastAsia="x-none"/>
        </w:rPr>
      </w:pPr>
      <w:r w:rsidRPr="00E62709">
        <w:rPr>
          <w:rFonts w:ascii="Abadi" w:hAnsi="Abadi" w:cs="Arial"/>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5D7746A5" w14:textId="77777777" w:rsidR="00E62709" w:rsidRPr="00E62709" w:rsidRDefault="00E62709" w:rsidP="00E62709">
      <w:pPr>
        <w:jc w:val="both"/>
        <w:rPr>
          <w:rFonts w:ascii="Abadi" w:hAnsi="Abadi" w:cs="Arial"/>
          <w:i/>
          <w:iCs/>
          <w:sz w:val="21"/>
          <w:szCs w:val="21"/>
          <w:lang w:eastAsia="x-none"/>
        </w:rPr>
      </w:pPr>
    </w:p>
    <w:p w14:paraId="43DE07ED" w14:textId="77777777" w:rsidR="00E62709" w:rsidRPr="00E62709" w:rsidRDefault="00E62709" w:rsidP="00E62709">
      <w:pPr>
        <w:jc w:val="both"/>
        <w:rPr>
          <w:rFonts w:ascii="Abadi" w:hAnsi="Abadi" w:cs="Arial"/>
          <w:i/>
          <w:iCs/>
          <w:sz w:val="21"/>
          <w:szCs w:val="21"/>
          <w:lang w:eastAsia="x-none"/>
        </w:rPr>
      </w:pPr>
      <w:r w:rsidRPr="00E62709">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37E2DCB9" w14:textId="77777777" w:rsidR="00E62709" w:rsidRPr="00E62709" w:rsidRDefault="00E62709" w:rsidP="00E62709">
      <w:pPr>
        <w:jc w:val="both"/>
        <w:rPr>
          <w:rFonts w:ascii="Abadi" w:hAnsi="Abadi" w:cs="Arial"/>
          <w:sz w:val="21"/>
          <w:szCs w:val="21"/>
          <w:lang w:eastAsia="x-none"/>
        </w:rPr>
      </w:pPr>
    </w:p>
    <w:p w14:paraId="153A85F1" w14:textId="77777777" w:rsidR="00E62709" w:rsidRPr="00E62709" w:rsidRDefault="00E62709" w:rsidP="00E62709">
      <w:pPr>
        <w:ind w:firstLine="705"/>
        <w:jc w:val="both"/>
        <w:rPr>
          <w:rFonts w:ascii="Abadi" w:hAnsi="Abadi" w:cs="Arial"/>
          <w:sz w:val="21"/>
          <w:szCs w:val="21"/>
          <w:lang w:eastAsia="x-none"/>
        </w:rPr>
      </w:pPr>
      <w:r w:rsidRPr="00E62709">
        <w:rPr>
          <w:rFonts w:ascii="Abadi" w:hAnsi="Abadi" w:cs="Arial"/>
          <w:sz w:val="21"/>
          <w:szCs w:val="21"/>
          <w:lang w:eastAsia="x-none"/>
        </w:rPr>
        <w:t xml:space="preserve">Derivado de lo anterior, en el proceso de auditoría se inspeccionó que los comprobantes fiscales que soportan las erogaciones del ente fiscalizado, no correspondan a contribuyentes que se encuentren en los supuestos previstos en el artículo 69-B del Código Fiscal de la Federación, empresas que facturan operaciones simuladas o inexistentes con el carácter de </w:t>
      </w:r>
      <w:r w:rsidRPr="00E62709">
        <w:rPr>
          <w:rFonts w:ascii="Abadi" w:hAnsi="Abadi" w:cs="Arial"/>
          <w:i/>
          <w:iCs/>
          <w:sz w:val="21"/>
          <w:szCs w:val="21"/>
          <w:lang w:eastAsia="x-none"/>
        </w:rPr>
        <w:t>«Definitivos»,</w:t>
      </w:r>
      <w:r w:rsidRPr="00E62709">
        <w:rPr>
          <w:rFonts w:ascii="Abadi" w:hAnsi="Abadi" w:cs="Arial"/>
          <w:sz w:val="21"/>
          <w:szCs w:val="21"/>
          <w:lang w:eastAsia="x-none"/>
        </w:rPr>
        <w:t xml:space="preserve"> emitidas por el Servicio de Administración Tributaria.</w:t>
      </w:r>
    </w:p>
    <w:p w14:paraId="01313523" w14:textId="77777777" w:rsidR="00E62709" w:rsidRPr="00E62709" w:rsidRDefault="00E62709" w:rsidP="00E62709">
      <w:pPr>
        <w:ind w:firstLine="705"/>
        <w:jc w:val="both"/>
        <w:rPr>
          <w:rFonts w:ascii="Abadi" w:hAnsi="Abadi" w:cs="Arial"/>
          <w:sz w:val="21"/>
          <w:szCs w:val="21"/>
          <w:lang w:val="es-MX" w:eastAsia="x-none"/>
        </w:rPr>
      </w:pPr>
    </w:p>
    <w:p w14:paraId="57D0373C" w14:textId="77777777" w:rsidR="00E62709" w:rsidRPr="00E62709" w:rsidRDefault="00E62709" w:rsidP="00E62709">
      <w:pPr>
        <w:ind w:firstLine="705"/>
        <w:jc w:val="both"/>
        <w:rPr>
          <w:rFonts w:ascii="Abadi" w:hAnsi="Abadi" w:cs="Arial"/>
          <w:sz w:val="21"/>
          <w:szCs w:val="21"/>
          <w:lang w:eastAsia="x-none"/>
        </w:rPr>
      </w:pPr>
      <w:r w:rsidRPr="00E62709">
        <w:rPr>
          <w:rFonts w:ascii="Abadi" w:hAnsi="Abadi" w:cs="Arial"/>
          <w:sz w:val="21"/>
          <w:szCs w:val="21"/>
          <w:lang w:eastAsia="x-none"/>
        </w:rPr>
        <w:t>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69E3E97D" w14:textId="77777777" w:rsidR="00E62709" w:rsidRPr="00E62709" w:rsidRDefault="00E62709" w:rsidP="00E62709">
      <w:pPr>
        <w:ind w:firstLine="705"/>
        <w:jc w:val="both"/>
        <w:rPr>
          <w:rFonts w:ascii="Abadi" w:hAnsi="Abadi"/>
          <w:sz w:val="21"/>
          <w:szCs w:val="21"/>
          <w:lang w:eastAsia="x-none"/>
        </w:rPr>
      </w:pPr>
    </w:p>
    <w:p w14:paraId="67814CE7" w14:textId="77777777" w:rsidR="00E62709" w:rsidRPr="00E62709" w:rsidRDefault="00E62709" w:rsidP="00E62709">
      <w:pPr>
        <w:ind w:firstLine="705"/>
        <w:jc w:val="both"/>
        <w:rPr>
          <w:rFonts w:ascii="Abadi" w:hAnsi="Abadi" w:cs="Arial"/>
          <w:sz w:val="21"/>
          <w:szCs w:val="21"/>
          <w:lang w:val="es-MX" w:eastAsia="x-none"/>
        </w:rPr>
      </w:pPr>
      <w:r w:rsidRPr="00E62709">
        <w:rPr>
          <w:rFonts w:ascii="Abadi" w:hAnsi="Abadi" w:cs="Arial"/>
          <w:sz w:val="21"/>
          <w:szCs w:val="21"/>
          <w:lang w:val="es-MX" w:eastAsia="x-none"/>
        </w:rPr>
        <w:t>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fiscalizado;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fiscalizado.</w:t>
      </w:r>
    </w:p>
    <w:p w14:paraId="66703AB8" w14:textId="77777777" w:rsidR="00E62709" w:rsidRPr="00E62709" w:rsidRDefault="00E62709" w:rsidP="00E62709">
      <w:pPr>
        <w:ind w:firstLine="705"/>
        <w:jc w:val="both"/>
        <w:rPr>
          <w:rFonts w:ascii="Abadi" w:hAnsi="Abadi" w:cs="Arial"/>
          <w:sz w:val="21"/>
          <w:szCs w:val="21"/>
          <w:lang w:val="es-MX" w:eastAsia="x-none"/>
        </w:rPr>
      </w:pPr>
    </w:p>
    <w:p w14:paraId="7A8987E5" w14:textId="77777777" w:rsidR="00E62709" w:rsidRPr="00E62709" w:rsidRDefault="00E62709" w:rsidP="00E62709">
      <w:pPr>
        <w:ind w:firstLine="705"/>
        <w:jc w:val="both"/>
        <w:rPr>
          <w:rFonts w:ascii="Abadi" w:hAnsi="Abadi" w:cs="Arial"/>
          <w:sz w:val="21"/>
          <w:szCs w:val="21"/>
          <w:lang w:val="es-MX" w:eastAsia="x-none"/>
        </w:rPr>
      </w:pPr>
      <w:r w:rsidRPr="00E62709">
        <w:rPr>
          <w:rFonts w:ascii="Abadi" w:hAnsi="Abadi" w:cs="Arial"/>
          <w:sz w:val="21"/>
          <w:szCs w:val="21"/>
          <w:lang w:val="es-MX" w:eastAsia="x-none"/>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San Miguel de Allende, Gto., no cumplió con las disposiciones normativas aplicables, de acuerdo a lo que se precisa en el informe de resultados; señalando además que se presentaron limitantes al alcance que se refiere a la aplicación del procedimiento de confirmaciones con beneficiarios de apoyos y ayudas sociales. También se precisa que se presentaron limitantes en la aplicación de los procedimientos de auditoría, derivado de la contingencia por la pandemia del virus SARS-CoV2.</w:t>
      </w:r>
    </w:p>
    <w:p w14:paraId="092F6158" w14:textId="77777777" w:rsidR="00E62709" w:rsidRPr="00E62709" w:rsidRDefault="00E62709" w:rsidP="00E62709">
      <w:pPr>
        <w:ind w:firstLine="705"/>
        <w:jc w:val="both"/>
        <w:rPr>
          <w:rFonts w:ascii="Abadi" w:hAnsi="Abadi" w:cs="Arial"/>
          <w:sz w:val="21"/>
          <w:szCs w:val="21"/>
          <w:lang w:val="es-MX" w:eastAsia="x-none"/>
        </w:rPr>
      </w:pPr>
    </w:p>
    <w:p w14:paraId="79B617E6" w14:textId="77777777" w:rsidR="00E62709" w:rsidRPr="00E62709" w:rsidRDefault="00E62709" w:rsidP="00E62709">
      <w:pPr>
        <w:ind w:firstLine="705"/>
        <w:jc w:val="both"/>
        <w:rPr>
          <w:rFonts w:ascii="Abadi" w:hAnsi="Abadi" w:cs="Arial"/>
          <w:sz w:val="21"/>
          <w:szCs w:val="21"/>
        </w:rPr>
      </w:pPr>
      <w:r w:rsidRPr="00E62709">
        <w:rPr>
          <w:rFonts w:ascii="Abadi" w:hAnsi="Abadi" w:cs="Arial"/>
          <w:sz w:val="21"/>
          <w:szCs w:val="21"/>
          <w:lang w:val="es-MX" w:eastAsia="x-none"/>
        </w:rPr>
        <w:t>En cuanto al rubro de resultados</w:t>
      </w:r>
      <w:r w:rsidRPr="00E62709">
        <w:rPr>
          <w:rFonts w:ascii="Abadi" w:hAnsi="Abadi" w:cs="Arial"/>
          <w:sz w:val="21"/>
          <w:szCs w:val="21"/>
        </w:rPr>
        <w:t xml:space="preserve"> de la fiscalización efectuada, se establece el estatus que guardan las observaciones y recomendaciones, las cuales se agrupan bajo su respectivo tipo y rubro, señalando que se determinaron 2 observaciones, las cuales no fueron solventadas. Asimismo, se formularon 2 recomendaciones que se atendieron.</w:t>
      </w:r>
    </w:p>
    <w:p w14:paraId="48B2C1B4" w14:textId="77777777" w:rsidR="00E62709" w:rsidRPr="00E62709" w:rsidRDefault="00E62709" w:rsidP="00E62709">
      <w:pPr>
        <w:jc w:val="both"/>
        <w:rPr>
          <w:rFonts w:ascii="Abadi" w:hAnsi="Abadi" w:cs="Arial"/>
          <w:sz w:val="21"/>
          <w:szCs w:val="21"/>
          <w:lang w:val="es-MX" w:eastAsia="x-none"/>
        </w:rPr>
      </w:pPr>
    </w:p>
    <w:p w14:paraId="0CBDEB37" w14:textId="77777777" w:rsidR="00E62709" w:rsidRPr="00E62709" w:rsidRDefault="00E62709" w:rsidP="00E62709">
      <w:pPr>
        <w:ind w:firstLine="705"/>
        <w:jc w:val="both"/>
        <w:rPr>
          <w:rFonts w:ascii="Abadi" w:hAnsi="Abadi" w:cs="Arial"/>
          <w:sz w:val="21"/>
          <w:szCs w:val="21"/>
          <w:lang w:val="es-MX" w:eastAsia="x-none"/>
        </w:rPr>
      </w:pPr>
      <w:r w:rsidRPr="00E62709">
        <w:rPr>
          <w:rFonts w:ascii="Abadi" w:hAnsi="Abadi" w:cs="Arial"/>
          <w:sz w:val="21"/>
          <w:szCs w:val="21"/>
          <w:lang w:val="es-MX" w:eastAsia="x-none"/>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 observación plasmada en el numeral 001, existe un importe no solventado por la cuantía que ahí se refiere. </w:t>
      </w:r>
    </w:p>
    <w:p w14:paraId="6CF541C5" w14:textId="77777777" w:rsidR="00E62709" w:rsidRPr="00E62709" w:rsidRDefault="00E62709" w:rsidP="00E62709">
      <w:pPr>
        <w:ind w:firstLine="705"/>
        <w:jc w:val="both"/>
        <w:rPr>
          <w:rFonts w:ascii="Abadi" w:hAnsi="Abadi" w:cs="Arial"/>
          <w:sz w:val="21"/>
          <w:szCs w:val="21"/>
          <w:lang w:val="es-MX" w:eastAsia="x-none"/>
        </w:rPr>
      </w:pPr>
    </w:p>
    <w:p w14:paraId="17E90387" w14:textId="77777777" w:rsidR="00E62709" w:rsidRPr="00E62709" w:rsidRDefault="00E62709" w:rsidP="00E62709">
      <w:pPr>
        <w:ind w:firstLine="705"/>
        <w:jc w:val="both"/>
        <w:rPr>
          <w:rFonts w:ascii="Abadi" w:hAnsi="Abadi" w:cs="Arial"/>
          <w:sz w:val="21"/>
          <w:szCs w:val="21"/>
          <w:lang w:eastAsia="x-none"/>
        </w:rPr>
      </w:pPr>
      <w:r w:rsidRPr="00E62709">
        <w:rPr>
          <w:rFonts w:ascii="Abadi" w:hAnsi="Abadi" w:cs="Arial"/>
          <w:sz w:val="21"/>
          <w:szCs w:val="21"/>
          <w:lang w:eastAsia="x-none"/>
        </w:rPr>
        <w:t>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San Miguel de Allende, Gto., celebró operaciones; entre los procedimientos expuestos, se verificó que estas no se encontraran en el listado de Empresas que Facturan Operaciones Simuladas (EFOS) u operaciones inexistentes con el carácter de «</w:t>
      </w:r>
      <w:r w:rsidRPr="00E62709">
        <w:rPr>
          <w:rFonts w:ascii="Abadi" w:hAnsi="Abadi" w:cs="Arial"/>
          <w:i/>
          <w:iCs/>
          <w:sz w:val="21"/>
          <w:szCs w:val="21"/>
          <w:lang w:eastAsia="x-none"/>
        </w:rPr>
        <w:t>Definitivos»</w:t>
      </w:r>
      <w:r w:rsidRPr="00E62709">
        <w:rPr>
          <w:rFonts w:ascii="Abadi" w:hAnsi="Abadi" w:cs="Arial"/>
          <w:sz w:val="21"/>
          <w:szCs w:val="21"/>
          <w:lang w:eastAsia="x-none"/>
        </w:rPr>
        <w:t xml:space="preserve"> publicados en el Diario Oficial de la Federación y en el sitio de información estadística del Servicio de Administración Tributaria, concluyendo que se identificaron tres empresas clasificadas como EFOS.</w:t>
      </w:r>
    </w:p>
    <w:p w14:paraId="61390751" w14:textId="77777777" w:rsidR="00E62709" w:rsidRPr="00E62709" w:rsidRDefault="00E62709" w:rsidP="00E62709">
      <w:pPr>
        <w:ind w:firstLine="705"/>
        <w:jc w:val="both"/>
        <w:rPr>
          <w:rFonts w:ascii="Abadi" w:hAnsi="Abadi" w:cs="Arial"/>
          <w:sz w:val="21"/>
          <w:szCs w:val="21"/>
          <w:lang w:eastAsia="x-none"/>
        </w:rPr>
      </w:pPr>
    </w:p>
    <w:p w14:paraId="63DA8DE2" w14:textId="77777777" w:rsidR="00E62709" w:rsidRPr="00E62709" w:rsidRDefault="00E62709" w:rsidP="001A28E5">
      <w:pPr>
        <w:numPr>
          <w:ilvl w:val="0"/>
          <w:numId w:val="90"/>
        </w:numPr>
        <w:tabs>
          <w:tab w:val="num" w:pos="0"/>
        </w:tabs>
        <w:jc w:val="both"/>
        <w:rPr>
          <w:rFonts w:ascii="Abadi" w:hAnsi="Abadi" w:cs="Arial"/>
          <w:b/>
          <w:bCs/>
          <w:sz w:val="21"/>
          <w:szCs w:val="21"/>
          <w:lang w:eastAsia="x-none"/>
        </w:rPr>
      </w:pPr>
      <w:r w:rsidRPr="00E62709">
        <w:rPr>
          <w:rFonts w:ascii="Abadi" w:hAnsi="Abadi" w:cs="Arial"/>
          <w:b/>
          <w:bCs/>
          <w:sz w:val="21"/>
          <w:szCs w:val="21"/>
          <w:lang w:eastAsia="x-none"/>
        </w:rPr>
        <w:t xml:space="preserve">Observaciones y recomendaciones, la respuesta emitida por el sujeto fiscalizado y la valoración correspondiente. </w:t>
      </w:r>
    </w:p>
    <w:p w14:paraId="528200AD" w14:textId="77777777" w:rsidR="00E62709" w:rsidRPr="00E62709" w:rsidRDefault="00E62709" w:rsidP="00E62709">
      <w:pPr>
        <w:ind w:left="1065"/>
        <w:jc w:val="both"/>
        <w:rPr>
          <w:rFonts w:ascii="Abadi" w:hAnsi="Abadi" w:cs="Arial"/>
          <w:b/>
          <w:bCs/>
          <w:sz w:val="21"/>
          <w:szCs w:val="21"/>
          <w:lang w:eastAsia="x-none"/>
        </w:rPr>
      </w:pPr>
    </w:p>
    <w:p w14:paraId="6060C410" w14:textId="77777777" w:rsidR="00E62709" w:rsidRPr="00E62709" w:rsidRDefault="00E62709" w:rsidP="00E62709">
      <w:pPr>
        <w:ind w:firstLine="705"/>
        <w:jc w:val="both"/>
        <w:rPr>
          <w:rFonts w:ascii="Abadi" w:hAnsi="Abadi" w:cs="Arial"/>
          <w:sz w:val="21"/>
          <w:szCs w:val="21"/>
          <w:lang w:eastAsia="x-none"/>
        </w:rPr>
      </w:pPr>
      <w:r w:rsidRPr="00E62709">
        <w:rPr>
          <w:rFonts w:ascii="Abadi" w:hAnsi="Abadi" w:cs="Arial"/>
          <w:sz w:val="21"/>
          <w:szCs w:val="21"/>
          <w:lang w:val="es-MX" w:eastAsia="x-none"/>
        </w:rPr>
        <w:t xml:space="preserve">En esta parte se desglosa la valoración de las observaciones formuladas por el Órgano Técnico, considerando como no solventadas las observaciones plasmadas en los numerales 001, referente a </w:t>
      </w:r>
      <w:r w:rsidRPr="00E62709">
        <w:rPr>
          <w:rFonts w:ascii="Abadi" w:hAnsi="Abadi" w:cs="Arial"/>
          <w:sz w:val="21"/>
          <w:szCs w:val="21"/>
          <w:lang w:eastAsia="x-none"/>
        </w:rPr>
        <w:t xml:space="preserve">contrato de arrendamiento de semáforos; y 002, correspondiente a </w:t>
      </w:r>
      <w:r w:rsidRPr="00E62709">
        <w:rPr>
          <w:rFonts w:ascii="Abadi" w:hAnsi="Abadi" w:cs="Arial"/>
          <w:sz w:val="21"/>
          <w:szCs w:val="21"/>
          <w:lang w:val="es-MX" w:eastAsia="x-none"/>
        </w:rPr>
        <w:t>registro contable de licenciamiento.</w:t>
      </w:r>
    </w:p>
    <w:p w14:paraId="7B4E8422" w14:textId="77777777" w:rsidR="00E62709" w:rsidRPr="00E62709" w:rsidRDefault="00E62709" w:rsidP="00E62709">
      <w:pPr>
        <w:ind w:firstLine="705"/>
        <w:jc w:val="both"/>
        <w:rPr>
          <w:rFonts w:ascii="Abadi" w:hAnsi="Abadi" w:cs="Arial"/>
          <w:sz w:val="21"/>
          <w:szCs w:val="21"/>
          <w:lang w:val="es-MX" w:eastAsia="x-none"/>
        </w:rPr>
      </w:pPr>
    </w:p>
    <w:p w14:paraId="0E3002E4" w14:textId="77777777" w:rsidR="00E62709" w:rsidRPr="00E62709" w:rsidRDefault="00E62709" w:rsidP="00E62709">
      <w:pPr>
        <w:ind w:firstLine="705"/>
        <w:jc w:val="both"/>
        <w:rPr>
          <w:rFonts w:ascii="Abadi" w:hAnsi="Abadi" w:cs="Arial"/>
          <w:sz w:val="21"/>
          <w:szCs w:val="21"/>
          <w:lang w:val="es-MX" w:eastAsia="x-none"/>
        </w:rPr>
      </w:pPr>
      <w:r w:rsidRPr="00E62709">
        <w:rPr>
          <w:rFonts w:ascii="Abadi" w:hAnsi="Abadi" w:cs="Arial"/>
          <w:sz w:val="21"/>
          <w:szCs w:val="21"/>
          <w:lang w:val="es-MX" w:eastAsia="x-none"/>
        </w:rPr>
        <w:t>En el apartado de Recomendaciones Generales, se atendieron los numerales 001, relativo a pena convencional; y 002, referido a opción de compra.</w:t>
      </w:r>
    </w:p>
    <w:p w14:paraId="62EBA617" w14:textId="77777777" w:rsidR="00E62709" w:rsidRPr="00E62709" w:rsidRDefault="00E62709" w:rsidP="00E62709">
      <w:pPr>
        <w:ind w:firstLine="705"/>
        <w:jc w:val="both"/>
        <w:rPr>
          <w:rFonts w:ascii="Abadi" w:hAnsi="Abadi" w:cs="Arial"/>
          <w:sz w:val="21"/>
          <w:szCs w:val="21"/>
          <w:lang w:val="es-MX" w:eastAsia="x-none"/>
        </w:rPr>
      </w:pPr>
    </w:p>
    <w:p w14:paraId="054FA237" w14:textId="77777777" w:rsidR="00E62709" w:rsidRPr="00E62709" w:rsidRDefault="00E62709" w:rsidP="001A28E5">
      <w:pPr>
        <w:numPr>
          <w:ilvl w:val="0"/>
          <w:numId w:val="90"/>
        </w:numPr>
        <w:jc w:val="both"/>
        <w:rPr>
          <w:rFonts w:ascii="Abadi" w:hAnsi="Abadi" w:cs="Arial"/>
          <w:b/>
          <w:bCs/>
          <w:sz w:val="21"/>
          <w:szCs w:val="21"/>
          <w:lang w:val="es-MX" w:eastAsia="x-none"/>
        </w:rPr>
      </w:pPr>
      <w:r w:rsidRPr="00E62709">
        <w:rPr>
          <w:rFonts w:ascii="Abadi" w:hAnsi="Abadi" w:cs="Arial"/>
          <w:b/>
          <w:bCs/>
          <w:sz w:val="21"/>
          <w:szCs w:val="21"/>
          <w:lang w:val="es-MX" w:eastAsia="x-none"/>
        </w:rPr>
        <w:t xml:space="preserve">Promoción del ejercicio de facultades de comprobación fiscal. </w:t>
      </w:r>
    </w:p>
    <w:p w14:paraId="5B0ED3FF" w14:textId="77777777" w:rsidR="00E62709" w:rsidRPr="00E62709" w:rsidRDefault="00E62709" w:rsidP="00E62709">
      <w:pPr>
        <w:ind w:firstLine="705"/>
        <w:jc w:val="both"/>
        <w:rPr>
          <w:rFonts w:ascii="Abadi" w:hAnsi="Abadi" w:cs="Arial"/>
          <w:sz w:val="21"/>
          <w:szCs w:val="21"/>
          <w:lang w:eastAsia="x-none"/>
        </w:rPr>
      </w:pPr>
    </w:p>
    <w:p w14:paraId="62E7CA6E" w14:textId="549B92BC" w:rsidR="00E62709" w:rsidRDefault="00E62709" w:rsidP="00E62709">
      <w:pPr>
        <w:ind w:firstLine="705"/>
        <w:jc w:val="both"/>
        <w:rPr>
          <w:rFonts w:ascii="Abadi" w:hAnsi="Abadi" w:cs="Arial"/>
          <w:sz w:val="21"/>
          <w:szCs w:val="21"/>
          <w:lang w:val="es-MX" w:eastAsia="x-none"/>
        </w:rPr>
      </w:pPr>
      <w:r w:rsidRPr="00E62709">
        <w:rPr>
          <w:rFonts w:ascii="Abadi" w:hAnsi="Abadi" w:cs="Arial"/>
          <w:sz w:val="21"/>
          <w:szCs w:val="21"/>
          <w:lang w:val="es-MX" w:eastAsia="x-none"/>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6F592AE2" w14:textId="77777777" w:rsidR="00E62709" w:rsidRPr="00E62709" w:rsidRDefault="00E62709" w:rsidP="00E62709">
      <w:pPr>
        <w:ind w:firstLine="705"/>
        <w:jc w:val="both"/>
        <w:rPr>
          <w:rFonts w:ascii="Abadi" w:hAnsi="Abadi" w:cs="Arial"/>
          <w:sz w:val="21"/>
          <w:szCs w:val="21"/>
          <w:lang w:val="es-MX" w:eastAsia="x-none"/>
        </w:rPr>
      </w:pPr>
    </w:p>
    <w:p w14:paraId="714DD445" w14:textId="77777777" w:rsidR="00E62709" w:rsidRPr="00E62709" w:rsidRDefault="00E62709" w:rsidP="001A28E5">
      <w:pPr>
        <w:numPr>
          <w:ilvl w:val="0"/>
          <w:numId w:val="90"/>
        </w:numPr>
        <w:jc w:val="both"/>
        <w:rPr>
          <w:rFonts w:ascii="Abadi" w:hAnsi="Abadi" w:cs="Arial"/>
          <w:b/>
          <w:bCs/>
          <w:sz w:val="21"/>
          <w:szCs w:val="21"/>
          <w:lang w:val="es-MX" w:eastAsia="x-none"/>
        </w:rPr>
      </w:pPr>
      <w:r w:rsidRPr="00E62709">
        <w:rPr>
          <w:rFonts w:ascii="Abadi" w:hAnsi="Abadi" w:cs="Arial"/>
          <w:b/>
          <w:bCs/>
          <w:sz w:val="21"/>
          <w:szCs w:val="21"/>
          <w:lang w:val="es-MX" w:eastAsia="x-none"/>
        </w:rPr>
        <w:t>Comunicado ante órganos de control y autoridades que administran padrones de proveedores y contratistas.</w:t>
      </w:r>
    </w:p>
    <w:p w14:paraId="51D55400" w14:textId="77777777" w:rsidR="00E62709" w:rsidRPr="00E62709" w:rsidRDefault="00E62709" w:rsidP="00E62709">
      <w:pPr>
        <w:ind w:firstLine="705"/>
        <w:jc w:val="both"/>
        <w:rPr>
          <w:rFonts w:ascii="Abadi" w:hAnsi="Abadi" w:cs="Arial"/>
          <w:sz w:val="21"/>
          <w:szCs w:val="21"/>
          <w:lang w:eastAsia="x-none"/>
        </w:rPr>
      </w:pPr>
    </w:p>
    <w:p w14:paraId="00046470" w14:textId="77777777" w:rsidR="00E62709" w:rsidRPr="00E62709" w:rsidRDefault="00E62709" w:rsidP="00E62709">
      <w:pPr>
        <w:ind w:firstLine="705"/>
        <w:jc w:val="both"/>
        <w:rPr>
          <w:rFonts w:ascii="Abadi" w:hAnsi="Abadi" w:cs="Arial"/>
          <w:sz w:val="21"/>
          <w:szCs w:val="21"/>
          <w:lang w:val="es-MX" w:eastAsia="x-none"/>
        </w:rPr>
      </w:pPr>
      <w:r w:rsidRPr="00E62709">
        <w:rPr>
          <w:rFonts w:ascii="Abadi" w:hAnsi="Abadi" w:cs="Arial"/>
          <w:sz w:val="21"/>
          <w:szCs w:val="21"/>
          <w:lang w:val="es-MX" w:eastAsia="x-none"/>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revisión, es procedente hacer del conocimiento del Órgano Interno de Control, de la Tesorería Municipal y de la Oficialía Mayor de San Miguel de Allende, Gto., las presuntas irregularidades o incumplimientos de estos en contrataciones públicas detectadas durante la revisión, precisando los proveedores y las observaciones de las que se desprende su intervención.</w:t>
      </w:r>
    </w:p>
    <w:p w14:paraId="438DC766" w14:textId="77777777" w:rsidR="00E62709" w:rsidRPr="00E62709" w:rsidRDefault="00E62709" w:rsidP="00E62709">
      <w:pPr>
        <w:ind w:firstLine="705"/>
        <w:jc w:val="both"/>
        <w:rPr>
          <w:rFonts w:ascii="Abadi" w:hAnsi="Abadi" w:cs="Arial"/>
          <w:sz w:val="21"/>
          <w:szCs w:val="21"/>
          <w:lang w:val="es-MX" w:eastAsia="x-none"/>
        </w:rPr>
      </w:pPr>
    </w:p>
    <w:p w14:paraId="31275C10" w14:textId="77777777" w:rsidR="00E62709" w:rsidRPr="00E62709" w:rsidRDefault="00E62709" w:rsidP="001A28E5">
      <w:pPr>
        <w:numPr>
          <w:ilvl w:val="0"/>
          <w:numId w:val="90"/>
        </w:numPr>
        <w:jc w:val="both"/>
        <w:rPr>
          <w:rFonts w:ascii="Abadi" w:hAnsi="Abadi" w:cs="Arial"/>
          <w:b/>
          <w:bCs/>
          <w:sz w:val="21"/>
          <w:szCs w:val="21"/>
          <w:lang w:eastAsia="x-none"/>
        </w:rPr>
      </w:pPr>
      <w:r w:rsidRPr="00E62709">
        <w:rPr>
          <w:rFonts w:ascii="Abadi" w:hAnsi="Abadi" w:cs="Arial"/>
          <w:b/>
          <w:bCs/>
          <w:sz w:val="21"/>
          <w:szCs w:val="21"/>
          <w:lang w:eastAsia="x-none"/>
        </w:rPr>
        <w:t xml:space="preserve">Recurso de Reconsideración. </w:t>
      </w:r>
    </w:p>
    <w:p w14:paraId="4E03A881" w14:textId="77777777" w:rsidR="00E62709" w:rsidRPr="00E62709" w:rsidRDefault="00E62709" w:rsidP="00E62709">
      <w:pPr>
        <w:ind w:left="705"/>
        <w:jc w:val="both"/>
        <w:rPr>
          <w:rFonts w:ascii="Abadi" w:hAnsi="Abadi" w:cs="Arial"/>
          <w:b/>
          <w:bCs/>
          <w:sz w:val="21"/>
          <w:szCs w:val="21"/>
          <w:lang w:eastAsia="x-none"/>
        </w:rPr>
      </w:pPr>
    </w:p>
    <w:p w14:paraId="7D643CC5" w14:textId="77777777" w:rsidR="00E62709" w:rsidRPr="00E62709" w:rsidRDefault="00E62709" w:rsidP="00E62709">
      <w:pPr>
        <w:ind w:firstLine="705"/>
        <w:jc w:val="both"/>
        <w:rPr>
          <w:rFonts w:ascii="Abadi" w:hAnsi="Abadi" w:cs="Arial"/>
          <w:sz w:val="21"/>
          <w:szCs w:val="21"/>
          <w:lang w:val="es-MX" w:eastAsia="x-none"/>
        </w:rPr>
      </w:pPr>
      <w:r w:rsidRPr="00E62709">
        <w:rPr>
          <w:rFonts w:ascii="Abadi" w:hAnsi="Abadi" w:cs="Arial"/>
          <w:sz w:val="21"/>
          <w:szCs w:val="21"/>
          <w:lang w:eastAsia="x-none"/>
        </w:rPr>
        <w:t xml:space="preserve">El 27 de enero de 2022, dentro del plazo que prevé la fracción IV del artículo 37 de </w:t>
      </w:r>
      <w:smartTag w:uri="urn:schemas-microsoft-com:office:smarttags" w:element="PersonName">
        <w:smartTagPr>
          <w:attr w:name="ProductID" w:val="la Ley"/>
        </w:smartTagPr>
        <w:r w:rsidRPr="00E62709">
          <w:rPr>
            <w:rFonts w:ascii="Abadi" w:hAnsi="Abadi" w:cs="Arial"/>
            <w:sz w:val="21"/>
            <w:szCs w:val="21"/>
            <w:lang w:eastAsia="x-none"/>
          </w:rPr>
          <w:t>la Ley</w:t>
        </w:r>
      </w:smartTag>
      <w:r w:rsidRPr="00E62709">
        <w:rPr>
          <w:rFonts w:ascii="Abadi" w:hAnsi="Abadi" w:cs="Arial"/>
          <w:sz w:val="21"/>
          <w:szCs w:val="21"/>
          <w:lang w:eastAsia="x-none"/>
        </w:rPr>
        <w:t xml:space="preserve"> de Fiscalización Superior del Estado de Guanajuato, el ex-</w:t>
      </w:r>
      <w:r w:rsidRPr="00E62709">
        <w:rPr>
          <w:rFonts w:ascii="Abadi" w:hAnsi="Abadi" w:cs="Arial"/>
          <w:sz w:val="21"/>
          <w:szCs w:val="21"/>
          <w:lang w:val="es-MX" w:eastAsia="x-none"/>
        </w:rPr>
        <w:t>presidente municipal de San Miguel de Allende, Gto.,</w:t>
      </w:r>
      <w:r w:rsidRPr="00E62709">
        <w:rPr>
          <w:rFonts w:ascii="Abadi" w:hAnsi="Abadi" w:cs="Arial"/>
          <w:sz w:val="21"/>
          <w:szCs w:val="21"/>
          <w:lang w:eastAsia="x-none"/>
        </w:rPr>
        <w:t xml:space="preserve"> interpuso recurso de reconsideración en contra del informe de resultados de la revisión practicada </w:t>
      </w:r>
      <w:r w:rsidRPr="00E62709">
        <w:rPr>
          <w:rFonts w:ascii="Abadi" w:hAnsi="Abadi" w:cs="Arial"/>
          <w:sz w:val="21"/>
          <w:szCs w:val="21"/>
          <w:lang w:val="es-MX" w:eastAsia="x-none"/>
        </w:rPr>
        <w:t>a la cuenta pública de dicho Municipio, correspondiente al ejercicio fiscal del año 2020</w:t>
      </w:r>
      <w:r w:rsidRPr="00E62709">
        <w:rPr>
          <w:rFonts w:ascii="Abadi" w:hAnsi="Abadi" w:cs="Arial"/>
          <w:sz w:val="21"/>
          <w:szCs w:val="21"/>
          <w:lang w:eastAsia="x-none"/>
        </w:rPr>
        <w:t xml:space="preserve">, concretamente en contra de las observaciones establecidas en los numerales </w:t>
      </w:r>
      <w:r w:rsidRPr="00E62709">
        <w:rPr>
          <w:rFonts w:ascii="Abadi" w:hAnsi="Abadi" w:cs="Arial"/>
          <w:sz w:val="21"/>
          <w:szCs w:val="21"/>
          <w:lang w:val="es-MX" w:eastAsia="x-none"/>
        </w:rPr>
        <w:t xml:space="preserve">001, referente a </w:t>
      </w:r>
      <w:r w:rsidRPr="00E62709">
        <w:rPr>
          <w:rFonts w:ascii="Abadi" w:hAnsi="Abadi" w:cs="Arial"/>
          <w:sz w:val="21"/>
          <w:szCs w:val="21"/>
          <w:lang w:eastAsia="x-none"/>
        </w:rPr>
        <w:t xml:space="preserve">contrato de arrendamiento de semáforos; y 002, correspondiente a </w:t>
      </w:r>
      <w:r w:rsidRPr="00E62709">
        <w:rPr>
          <w:rFonts w:ascii="Abadi" w:hAnsi="Abadi" w:cs="Arial"/>
          <w:sz w:val="21"/>
          <w:szCs w:val="21"/>
          <w:lang w:val="es-MX" w:eastAsia="x-none"/>
        </w:rPr>
        <w:t xml:space="preserve">registro contable de licenciamiento, </w:t>
      </w:r>
      <w:r w:rsidRPr="00E62709">
        <w:rPr>
          <w:rFonts w:ascii="Abadi" w:hAnsi="Abadi" w:cs="Arial"/>
          <w:sz w:val="21"/>
          <w:szCs w:val="21"/>
          <w:lang w:eastAsia="x-none"/>
        </w:rPr>
        <w:t>mismos que se encuentran relacionados con el Capítulo II, denominado Observaciones y Recomendaciones; Respuesta Emitida por el Sujeto</w:t>
      </w:r>
      <w:r w:rsidRPr="00E62709">
        <w:rPr>
          <w:rFonts w:ascii="Abadi" w:hAnsi="Abadi" w:cs="Arial"/>
          <w:sz w:val="21"/>
          <w:szCs w:val="21"/>
          <w:lang w:val="es-MX" w:eastAsia="x-none"/>
        </w:rPr>
        <w:t xml:space="preserve"> Fiscalizado y Valoración Correspondiente. </w:t>
      </w:r>
    </w:p>
    <w:p w14:paraId="097C3E97" w14:textId="77777777" w:rsidR="00E62709" w:rsidRPr="00E62709" w:rsidRDefault="00E62709" w:rsidP="00E62709">
      <w:pPr>
        <w:ind w:firstLine="705"/>
        <w:jc w:val="both"/>
        <w:rPr>
          <w:rFonts w:ascii="Abadi" w:hAnsi="Abadi" w:cs="Arial"/>
          <w:sz w:val="21"/>
          <w:szCs w:val="21"/>
          <w:lang w:val="es-MX" w:eastAsia="x-none"/>
        </w:rPr>
      </w:pPr>
    </w:p>
    <w:p w14:paraId="7E79E56B"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 xml:space="preserve">En tal sentido, mediante acuerdo de fecha 1 de febrero de 2022, emitido por el Director General de Asuntos Jurídicos de la Auditoría Superior del Estado de Guanajuato, se admitió el recurso de reconsideración, al colmarse los requisitos de procedibilidad previstos por el artículo 51 de </w:t>
      </w:r>
      <w:smartTag w:uri="urn:schemas-microsoft-com:office:smarttags" w:element="PersonName">
        <w:smartTagPr>
          <w:attr w:name="ProductID" w:val="la Ley"/>
        </w:smartTagPr>
        <w:r w:rsidRPr="00E62709">
          <w:rPr>
            <w:rFonts w:ascii="Abadi" w:hAnsi="Abadi" w:cs="Arial"/>
            <w:sz w:val="21"/>
            <w:szCs w:val="21"/>
            <w:lang w:val="es-MX" w:eastAsia="x-none"/>
          </w:rPr>
          <w:t>la Ley</w:t>
        </w:r>
      </w:smartTag>
      <w:r w:rsidRPr="00E62709">
        <w:rPr>
          <w:rFonts w:ascii="Abadi" w:hAnsi="Abadi" w:cs="Arial"/>
          <w:sz w:val="21"/>
          <w:szCs w:val="21"/>
          <w:lang w:val="es-MX" w:eastAsia="x-none"/>
        </w:rPr>
        <w:t xml:space="preserve"> de Fiscalización Superior del Estado de Guanajuato, instruyendo la integración del expediente respectivo y el registro correspondiente. Asimismo, mediante dicho acuerdo se admitió el medio de prueba ofrecido por el recurrente consistente en la instrumental de actuaciones.</w:t>
      </w:r>
    </w:p>
    <w:p w14:paraId="25632D6A" w14:textId="77777777" w:rsidR="00E62709" w:rsidRPr="00E62709" w:rsidRDefault="00E62709" w:rsidP="00E62709">
      <w:pPr>
        <w:ind w:firstLine="708"/>
        <w:jc w:val="both"/>
        <w:rPr>
          <w:rFonts w:ascii="Abadi" w:hAnsi="Abadi" w:cs="Arial"/>
          <w:sz w:val="21"/>
          <w:szCs w:val="21"/>
          <w:lang w:val="es-MX" w:eastAsia="x-none"/>
        </w:rPr>
      </w:pPr>
    </w:p>
    <w:p w14:paraId="68D1F294"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 xml:space="preserve">Una vez tramitado el recurso, el Auditor Superior del Estado, el 14 de febrero de 2022 emitió la resolución correspondiente, determinándose respecto a la observación establecida en el numeral 001, que los agravios hechos valer por el recurrente resultaron infundados e inoperantes, por los argumentos referidos en el considerando séptimo de la resolución. En razón de lo cual, se confirmó el sentido de la valoración de la observación como no solventada, con acciones de impacto económico pendientes de realizar por el sujeto fiscalizado. </w:t>
      </w:r>
    </w:p>
    <w:p w14:paraId="59540503" w14:textId="77777777" w:rsidR="00E62709" w:rsidRPr="00E62709" w:rsidRDefault="00E62709" w:rsidP="00E62709">
      <w:pPr>
        <w:ind w:firstLine="708"/>
        <w:jc w:val="both"/>
        <w:rPr>
          <w:rFonts w:ascii="Abadi" w:hAnsi="Abadi" w:cs="Arial"/>
          <w:sz w:val="21"/>
          <w:szCs w:val="21"/>
          <w:lang w:val="es-MX" w:eastAsia="x-none"/>
        </w:rPr>
      </w:pPr>
    </w:p>
    <w:p w14:paraId="0751177D"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En cuanto a la observación plasmada en el numeral 002, se resolvió que el agravio formulado por el recurrente resultó inatendible, por las razones expresadas en el considerando séptimo de la resolución. Derivado de lo anterior, se confirmó el sentido de la valoración de la observación como no solventada, con acciones correctivas pendientes de realizar por el sujeto fiscalizado.</w:t>
      </w:r>
    </w:p>
    <w:p w14:paraId="4CFED041" w14:textId="77777777" w:rsidR="00E62709" w:rsidRPr="00E62709" w:rsidRDefault="00E62709" w:rsidP="00E62709">
      <w:pPr>
        <w:ind w:firstLine="708"/>
        <w:jc w:val="both"/>
        <w:rPr>
          <w:rFonts w:ascii="Abadi" w:hAnsi="Abadi" w:cs="Arial"/>
          <w:sz w:val="21"/>
          <w:szCs w:val="21"/>
          <w:lang w:val="es-MX" w:eastAsia="x-none"/>
        </w:rPr>
      </w:pPr>
    </w:p>
    <w:p w14:paraId="66883024"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es-MX" w:eastAsia="x-none"/>
        </w:rPr>
        <w:t>La referida resolución se notificó al ex-presidente municipal de San Miguel de Allende, Gto., el 18 de febrero de 2022.</w:t>
      </w:r>
    </w:p>
    <w:p w14:paraId="11ABCFD0" w14:textId="77777777" w:rsidR="00E62709" w:rsidRPr="00E62709" w:rsidRDefault="00E62709" w:rsidP="00E62709">
      <w:pPr>
        <w:ind w:firstLine="705"/>
        <w:jc w:val="both"/>
        <w:rPr>
          <w:rFonts w:ascii="Abadi" w:hAnsi="Abadi" w:cs="Arial"/>
          <w:sz w:val="21"/>
          <w:szCs w:val="21"/>
          <w:lang w:val="es-MX" w:eastAsia="x-none"/>
        </w:rPr>
      </w:pPr>
    </w:p>
    <w:p w14:paraId="07502646" w14:textId="77777777" w:rsidR="00E62709" w:rsidRPr="00E62709" w:rsidRDefault="00E62709" w:rsidP="001A28E5">
      <w:pPr>
        <w:numPr>
          <w:ilvl w:val="0"/>
          <w:numId w:val="90"/>
        </w:numPr>
        <w:jc w:val="both"/>
        <w:rPr>
          <w:rFonts w:ascii="Abadi" w:hAnsi="Abadi" w:cs="Arial"/>
          <w:b/>
          <w:bCs/>
          <w:sz w:val="21"/>
          <w:szCs w:val="21"/>
          <w:lang w:val="es-MX" w:eastAsia="x-none"/>
        </w:rPr>
      </w:pPr>
      <w:r w:rsidRPr="00E62709">
        <w:rPr>
          <w:rFonts w:ascii="Abadi" w:hAnsi="Abadi" w:cs="Arial"/>
          <w:b/>
          <w:bCs/>
          <w:sz w:val="21"/>
          <w:szCs w:val="21"/>
          <w:lang w:val="es-MX" w:eastAsia="x-none"/>
        </w:rPr>
        <w:t xml:space="preserve">Anexos. </w:t>
      </w:r>
    </w:p>
    <w:p w14:paraId="28D8F863" w14:textId="77777777" w:rsidR="00E62709" w:rsidRPr="00E62709" w:rsidRDefault="00E62709" w:rsidP="00E62709">
      <w:pPr>
        <w:ind w:firstLine="705"/>
        <w:jc w:val="both"/>
        <w:rPr>
          <w:rFonts w:ascii="Abadi" w:hAnsi="Abadi" w:cs="Arial"/>
          <w:sz w:val="21"/>
          <w:szCs w:val="21"/>
          <w:lang w:eastAsia="x-none"/>
        </w:rPr>
      </w:pPr>
    </w:p>
    <w:p w14:paraId="26BDC735" w14:textId="77777777" w:rsidR="00E62709" w:rsidRPr="00E62709" w:rsidRDefault="00E62709" w:rsidP="00E62709">
      <w:pPr>
        <w:ind w:firstLine="705"/>
        <w:jc w:val="both"/>
        <w:rPr>
          <w:rFonts w:ascii="Abadi" w:hAnsi="Abadi" w:cs="Arial"/>
          <w:sz w:val="21"/>
          <w:szCs w:val="21"/>
          <w:lang w:eastAsia="x-none"/>
        </w:rPr>
      </w:pPr>
      <w:r w:rsidRPr="00E62709">
        <w:rPr>
          <w:rFonts w:ascii="Abadi" w:hAnsi="Abadi" w:cs="Arial"/>
          <w:sz w:val="21"/>
          <w:szCs w:val="21"/>
          <w:lang w:eastAsia="x-none"/>
        </w:rPr>
        <w:t>En esta parte, se adjuntan los anexos técnicos derivados de la revisión practicada.</w:t>
      </w:r>
    </w:p>
    <w:p w14:paraId="598FFC8B" w14:textId="77777777" w:rsidR="00E62709" w:rsidRPr="00E62709" w:rsidRDefault="00E62709" w:rsidP="00E62709">
      <w:pPr>
        <w:ind w:firstLine="705"/>
        <w:jc w:val="both"/>
        <w:rPr>
          <w:rFonts w:ascii="Abadi" w:hAnsi="Abadi" w:cs="Arial"/>
          <w:sz w:val="21"/>
          <w:szCs w:val="21"/>
          <w:lang w:eastAsia="x-none"/>
        </w:rPr>
      </w:pPr>
    </w:p>
    <w:p w14:paraId="03D8347F" w14:textId="77777777" w:rsidR="00E62709" w:rsidRPr="00E62709" w:rsidRDefault="00E62709" w:rsidP="00E62709">
      <w:pPr>
        <w:ind w:firstLine="708"/>
        <w:jc w:val="both"/>
        <w:rPr>
          <w:rFonts w:ascii="Abadi" w:hAnsi="Abadi" w:cs="Arial"/>
          <w:b/>
          <w:bCs/>
          <w:sz w:val="21"/>
          <w:szCs w:val="21"/>
        </w:rPr>
      </w:pPr>
      <w:r w:rsidRPr="00E62709">
        <w:rPr>
          <w:rFonts w:ascii="Abadi" w:hAnsi="Abadi" w:cs="Arial"/>
          <w:b/>
          <w:bCs/>
          <w:sz w:val="21"/>
          <w:szCs w:val="21"/>
        </w:rPr>
        <w:t>V. Conclusiones:</w:t>
      </w:r>
    </w:p>
    <w:p w14:paraId="18629101" w14:textId="77777777" w:rsidR="00E62709" w:rsidRPr="00E62709" w:rsidRDefault="00E62709" w:rsidP="00E62709">
      <w:pPr>
        <w:jc w:val="both"/>
        <w:rPr>
          <w:rFonts w:ascii="Abadi" w:hAnsi="Abadi" w:cs="Arial"/>
          <w:sz w:val="21"/>
          <w:szCs w:val="21"/>
        </w:rPr>
      </w:pPr>
    </w:p>
    <w:p w14:paraId="186194EE" w14:textId="77777777" w:rsidR="00E62709" w:rsidRPr="00E62709" w:rsidRDefault="00E62709" w:rsidP="00E62709">
      <w:pPr>
        <w:jc w:val="both"/>
        <w:rPr>
          <w:rFonts w:ascii="Abadi" w:hAnsi="Abadi" w:cs="Arial"/>
          <w:sz w:val="21"/>
          <w:szCs w:val="21"/>
        </w:rPr>
      </w:pPr>
      <w:r w:rsidRPr="00E62709">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E62709">
          <w:rPr>
            <w:rFonts w:ascii="Abadi" w:hAnsi="Abadi" w:cs="Arial"/>
            <w:sz w:val="21"/>
            <w:szCs w:val="21"/>
          </w:rPr>
          <w:t>la Ley</w:t>
        </w:r>
      </w:smartTag>
      <w:r w:rsidRPr="00E62709">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29B1F76" w14:textId="77777777" w:rsidR="00E62709" w:rsidRPr="00E62709" w:rsidRDefault="00E62709" w:rsidP="00E62709">
      <w:pPr>
        <w:jc w:val="both"/>
        <w:rPr>
          <w:rFonts w:ascii="Abadi" w:hAnsi="Abadi" w:cs="Arial"/>
          <w:sz w:val="21"/>
          <w:szCs w:val="21"/>
        </w:rPr>
      </w:pPr>
    </w:p>
    <w:p w14:paraId="73306AF4" w14:textId="0DD2372E" w:rsidR="00E62709" w:rsidRPr="00E62709" w:rsidRDefault="00E62709" w:rsidP="00E62709">
      <w:pPr>
        <w:jc w:val="both"/>
        <w:rPr>
          <w:rFonts w:ascii="Abadi" w:hAnsi="Abadi" w:cs="Arial"/>
          <w:sz w:val="21"/>
          <w:szCs w:val="21"/>
        </w:rPr>
      </w:pPr>
      <w:r w:rsidRPr="00E62709">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2383FE8A" w14:textId="77777777" w:rsidR="00E62709" w:rsidRPr="00E62709" w:rsidRDefault="00E62709" w:rsidP="00E62709">
      <w:pPr>
        <w:ind w:firstLine="708"/>
        <w:jc w:val="both"/>
        <w:rPr>
          <w:rFonts w:ascii="Abadi" w:hAnsi="Abadi" w:cs="Arial"/>
          <w:sz w:val="21"/>
          <w:szCs w:val="21"/>
        </w:rPr>
      </w:pPr>
    </w:p>
    <w:p w14:paraId="19C8BD31" w14:textId="77777777" w:rsidR="00E62709" w:rsidRPr="00E62709" w:rsidRDefault="00E62709" w:rsidP="00E62709">
      <w:pPr>
        <w:ind w:firstLine="708"/>
        <w:jc w:val="both"/>
        <w:rPr>
          <w:rFonts w:ascii="Abadi" w:hAnsi="Abadi" w:cs="Arial"/>
          <w:sz w:val="21"/>
          <w:szCs w:val="21"/>
        </w:rPr>
      </w:pPr>
      <w:r w:rsidRPr="00E62709">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municipal de San Miguel de Allende, Gto., concediéndole el plazo que establece </w:t>
      </w:r>
      <w:smartTag w:uri="urn:schemas-microsoft-com:office:smarttags" w:element="PersonName">
        <w:smartTagPr>
          <w:attr w:name="ProductID" w:val="la Ley"/>
        </w:smartTagPr>
        <w:r w:rsidRPr="00E62709">
          <w:rPr>
            <w:rFonts w:ascii="Abadi" w:hAnsi="Abadi" w:cs="Arial"/>
            <w:sz w:val="21"/>
            <w:szCs w:val="21"/>
          </w:rPr>
          <w:t>la Ley</w:t>
        </w:r>
      </w:smartTag>
      <w:r w:rsidRPr="00E62709">
        <w:rPr>
          <w:rFonts w:ascii="Abadi" w:hAnsi="Abadi" w:cs="Arial"/>
          <w:sz w:val="21"/>
          <w:szCs w:val="21"/>
        </w:rPr>
        <w:t xml:space="preserve"> para aclarar, atender o solventar documentalmente las observaciones determinadas por el Órgano Técnico. Al respecto, el tesorero y el ex-tesorero municipales de San Miguel de Allende, Gto., presentaron información y documentación para aclarar y en su caso, solventar las observaciones determinadas y atender las recomendaciones efectuadas.</w:t>
      </w:r>
    </w:p>
    <w:p w14:paraId="450EB819" w14:textId="77777777" w:rsidR="00E62709" w:rsidRPr="00E62709" w:rsidRDefault="00E62709" w:rsidP="00E62709">
      <w:pPr>
        <w:ind w:firstLine="708"/>
        <w:jc w:val="both"/>
        <w:rPr>
          <w:rFonts w:ascii="Abadi" w:hAnsi="Abadi" w:cs="Arial"/>
          <w:sz w:val="21"/>
          <w:szCs w:val="21"/>
        </w:rPr>
      </w:pPr>
    </w:p>
    <w:p w14:paraId="60B972DE" w14:textId="77777777" w:rsidR="00E62709" w:rsidRPr="00E62709" w:rsidRDefault="00E62709" w:rsidP="00E62709">
      <w:pPr>
        <w:ind w:firstLine="708"/>
        <w:jc w:val="both"/>
        <w:rPr>
          <w:rFonts w:ascii="Abadi" w:hAnsi="Abadi" w:cs="Arial"/>
          <w:sz w:val="21"/>
          <w:szCs w:val="21"/>
        </w:rPr>
      </w:pPr>
      <w:r w:rsidRPr="00E62709">
        <w:rPr>
          <w:rFonts w:ascii="Abadi" w:hAnsi="Abadi" w:cs="Arial"/>
          <w:sz w:val="21"/>
          <w:szCs w:val="21"/>
        </w:rPr>
        <w:t xml:space="preserve">De igual manera, existe en el informe de resultados la constancia de que este se notificó al presidente y al ex-presidente municipales de San Miguel de Allende, Gto., concediéndoles el término señalado en el artículo 37, fracción IV de </w:t>
      </w:r>
      <w:smartTag w:uri="urn:schemas-microsoft-com:office:smarttags" w:element="PersonName">
        <w:smartTagPr>
          <w:attr w:name="ProductID" w:val="la Ley"/>
        </w:smartTagPr>
        <w:r w:rsidRPr="00E62709">
          <w:rPr>
            <w:rFonts w:ascii="Abadi" w:hAnsi="Abadi" w:cs="Arial"/>
            <w:sz w:val="21"/>
            <w:szCs w:val="21"/>
          </w:rPr>
          <w:t>la Ley</w:t>
        </w:r>
      </w:smartTag>
      <w:r w:rsidRPr="00E62709">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ex-presidente municipal de San Miguel de Allende, Gto. En tal virtud, se considera que fue respetado el derecho de audiencia o defensa por parte del Órgano Técnico.</w:t>
      </w:r>
    </w:p>
    <w:p w14:paraId="45789C0B" w14:textId="77777777" w:rsidR="00E62709" w:rsidRPr="00E62709" w:rsidRDefault="00E62709" w:rsidP="00E62709">
      <w:pPr>
        <w:ind w:firstLine="708"/>
        <w:jc w:val="both"/>
        <w:rPr>
          <w:rFonts w:ascii="Abadi" w:hAnsi="Abadi" w:cs="Arial"/>
          <w:sz w:val="21"/>
          <w:szCs w:val="21"/>
        </w:rPr>
      </w:pPr>
    </w:p>
    <w:p w14:paraId="1EC19B0F" w14:textId="7DF02D9B" w:rsidR="00E62709" w:rsidRPr="00E62709" w:rsidRDefault="00E62709" w:rsidP="00E62709">
      <w:pPr>
        <w:ind w:firstLine="708"/>
        <w:jc w:val="both"/>
        <w:rPr>
          <w:rFonts w:ascii="Abadi" w:hAnsi="Abadi" w:cs="Arial"/>
          <w:sz w:val="21"/>
          <w:szCs w:val="21"/>
        </w:rPr>
      </w:pPr>
      <w:r w:rsidRPr="00E62709">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04665350" w14:textId="77777777" w:rsidR="00E62709" w:rsidRPr="00E62709" w:rsidRDefault="00E62709" w:rsidP="00E62709">
      <w:pPr>
        <w:ind w:firstLine="708"/>
        <w:jc w:val="both"/>
        <w:rPr>
          <w:rFonts w:ascii="Abadi" w:hAnsi="Abadi" w:cs="Arial"/>
          <w:sz w:val="21"/>
          <w:szCs w:val="21"/>
        </w:rPr>
      </w:pPr>
    </w:p>
    <w:p w14:paraId="6496D4C4" w14:textId="77777777" w:rsidR="00E62709" w:rsidRPr="00E62709" w:rsidRDefault="00E62709" w:rsidP="00E62709">
      <w:pPr>
        <w:ind w:firstLine="708"/>
        <w:jc w:val="both"/>
        <w:rPr>
          <w:rFonts w:ascii="Abadi" w:hAnsi="Abadi" w:cs="Arial"/>
          <w:sz w:val="21"/>
          <w:szCs w:val="21"/>
        </w:rPr>
      </w:pPr>
      <w:r w:rsidRPr="00E62709">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096D3F98" w14:textId="77777777" w:rsidR="00E62709" w:rsidRPr="00E62709" w:rsidRDefault="00E62709" w:rsidP="00E62709">
      <w:pPr>
        <w:jc w:val="both"/>
        <w:rPr>
          <w:rFonts w:ascii="Abadi" w:hAnsi="Abadi" w:cs="Arial"/>
          <w:sz w:val="21"/>
          <w:szCs w:val="21"/>
        </w:rPr>
      </w:pPr>
    </w:p>
    <w:p w14:paraId="3F2D5C45" w14:textId="77777777" w:rsidR="00E62709" w:rsidRPr="00E62709" w:rsidRDefault="00E62709" w:rsidP="00E62709">
      <w:pPr>
        <w:ind w:firstLine="708"/>
        <w:jc w:val="both"/>
        <w:rPr>
          <w:rFonts w:ascii="Abadi" w:hAnsi="Abadi" w:cs="Arial"/>
          <w:sz w:val="21"/>
          <w:szCs w:val="21"/>
        </w:rPr>
      </w:pPr>
      <w:r w:rsidRPr="00E62709">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4A39A9CB" w14:textId="77777777" w:rsidR="00E62709" w:rsidRPr="00E62709" w:rsidRDefault="00E62709" w:rsidP="00E62709">
      <w:pPr>
        <w:ind w:firstLine="708"/>
        <w:jc w:val="both"/>
        <w:rPr>
          <w:rFonts w:ascii="Abadi" w:hAnsi="Abadi" w:cs="Arial"/>
          <w:sz w:val="21"/>
          <w:szCs w:val="21"/>
        </w:rPr>
      </w:pPr>
    </w:p>
    <w:p w14:paraId="2133ABB6" w14:textId="77777777" w:rsidR="00E62709" w:rsidRPr="00E62709" w:rsidRDefault="00E62709" w:rsidP="00E62709">
      <w:pPr>
        <w:ind w:firstLine="708"/>
        <w:jc w:val="both"/>
        <w:rPr>
          <w:rFonts w:ascii="Abadi" w:hAnsi="Abadi" w:cs="Arial"/>
          <w:sz w:val="21"/>
          <w:szCs w:val="21"/>
        </w:rPr>
      </w:pPr>
      <w:r w:rsidRPr="00E62709">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564F2C39" w14:textId="77777777" w:rsidR="00E62709" w:rsidRPr="00E62709" w:rsidRDefault="00E62709" w:rsidP="00E62709">
      <w:pPr>
        <w:ind w:firstLine="708"/>
        <w:jc w:val="both"/>
        <w:rPr>
          <w:rFonts w:ascii="Abadi" w:hAnsi="Abadi" w:cs="Arial"/>
          <w:sz w:val="21"/>
          <w:szCs w:val="21"/>
        </w:rPr>
      </w:pPr>
    </w:p>
    <w:p w14:paraId="36606F02" w14:textId="77777777" w:rsidR="00E62709" w:rsidRPr="00E62709" w:rsidRDefault="00E62709" w:rsidP="00E62709">
      <w:pPr>
        <w:ind w:firstLine="708"/>
        <w:jc w:val="both"/>
        <w:rPr>
          <w:rFonts w:ascii="Abadi" w:hAnsi="Abadi" w:cs="Arial"/>
          <w:sz w:val="21"/>
          <w:szCs w:val="21"/>
        </w:rPr>
      </w:pPr>
      <w:r w:rsidRPr="00E62709">
        <w:rPr>
          <w:rFonts w:ascii="Abadi" w:hAnsi="Abadi" w:cs="Arial"/>
          <w:sz w:val="21"/>
          <w:szCs w:val="21"/>
        </w:rPr>
        <w:t xml:space="preserve">En razón de lo anteriormente señalado, concluimos que el informe de resultados de la revisión practicada a la cuenta pública de San Miguel de Allende, Gto., correspondiente al ejercicio fiscal del año 2020, debe sancionarse por el Congreso en los términos presentados por la Auditoría Superior del Estado y proceder a su aprobación, considerando que no se actualiza el supuesto contenido en el artículo 38 de </w:t>
      </w:r>
      <w:smartTag w:uri="urn:schemas-microsoft-com:office:smarttags" w:element="PersonName">
        <w:smartTagPr>
          <w:attr w:name="ProductID" w:val="la Ley"/>
        </w:smartTagPr>
        <w:r w:rsidRPr="00E62709">
          <w:rPr>
            <w:rFonts w:ascii="Abadi" w:hAnsi="Abadi" w:cs="Arial"/>
            <w:sz w:val="21"/>
            <w:szCs w:val="21"/>
          </w:rPr>
          <w:t>la Ley</w:t>
        </w:r>
      </w:smartTag>
      <w:r w:rsidRPr="00E62709">
        <w:rPr>
          <w:rFonts w:ascii="Abadi" w:hAnsi="Abadi" w:cs="Arial"/>
          <w:sz w:val="21"/>
          <w:szCs w:val="21"/>
        </w:rPr>
        <w:t xml:space="preserve"> de Fiscalización Superior del Estado de Guanajuato, razón por la cual no podría ser observado por el Pleno del Congreso.</w:t>
      </w:r>
    </w:p>
    <w:p w14:paraId="2C8F7393" w14:textId="77777777" w:rsidR="00E62709" w:rsidRPr="00E62709" w:rsidRDefault="00E62709" w:rsidP="00E62709">
      <w:pPr>
        <w:ind w:firstLine="708"/>
        <w:jc w:val="both"/>
        <w:rPr>
          <w:rFonts w:ascii="Abadi" w:hAnsi="Abadi" w:cs="Arial"/>
          <w:sz w:val="21"/>
          <w:szCs w:val="21"/>
        </w:rPr>
      </w:pPr>
    </w:p>
    <w:p w14:paraId="16518BB2" w14:textId="77777777" w:rsidR="00E62709" w:rsidRPr="00E62709" w:rsidRDefault="00E62709" w:rsidP="00E62709">
      <w:pPr>
        <w:ind w:firstLine="708"/>
        <w:jc w:val="both"/>
        <w:rPr>
          <w:rFonts w:ascii="Abadi" w:hAnsi="Abadi" w:cs="Arial"/>
          <w:sz w:val="21"/>
          <w:szCs w:val="21"/>
          <w:lang w:val="x-none" w:eastAsia="x-none"/>
        </w:rPr>
      </w:pPr>
      <w:r w:rsidRPr="00E62709">
        <w:rPr>
          <w:rFonts w:ascii="Abadi" w:hAnsi="Abadi" w:cs="Arial"/>
          <w:sz w:val="21"/>
          <w:szCs w:val="21"/>
        </w:rPr>
        <w:t xml:space="preserve">Por lo expuesto, con fundamento en el artículo 204 de </w:t>
      </w:r>
      <w:smartTag w:uri="urn:schemas-microsoft-com:office:smarttags" w:element="PersonName">
        <w:smartTagPr>
          <w:attr w:name="ProductID" w:val="la Ley Org￡nica"/>
        </w:smartTagPr>
        <w:r w:rsidRPr="00E62709">
          <w:rPr>
            <w:rFonts w:ascii="Abadi" w:hAnsi="Abadi" w:cs="Arial"/>
            <w:sz w:val="21"/>
            <w:szCs w:val="21"/>
          </w:rPr>
          <w:t>la Ley Orgánica</w:t>
        </w:r>
      </w:smartTag>
      <w:r w:rsidRPr="00E62709">
        <w:rPr>
          <w:rFonts w:ascii="Abadi" w:hAnsi="Abadi" w:cs="Arial"/>
          <w:sz w:val="21"/>
          <w:szCs w:val="21"/>
        </w:rPr>
        <w:t xml:space="preserve"> del Poder Legislativo, nos permitimos someter a la consideración de </w:t>
      </w:r>
      <w:smartTag w:uri="urn:schemas-microsoft-com:office:smarttags" w:element="PersonName">
        <w:smartTagPr>
          <w:attr w:name="ProductID" w:val="la Asamblea"/>
        </w:smartTagPr>
        <w:r w:rsidRPr="00E62709">
          <w:rPr>
            <w:rFonts w:ascii="Abadi" w:hAnsi="Abadi" w:cs="Arial"/>
            <w:sz w:val="21"/>
            <w:szCs w:val="21"/>
          </w:rPr>
          <w:t>la Asamblea</w:t>
        </w:r>
      </w:smartTag>
      <w:r w:rsidRPr="00E62709">
        <w:rPr>
          <w:rFonts w:ascii="Abadi" w:hAnsi="Abadi" w:cs="Arial"/>
          <w:sz w:val="21"/>
          <w:szCs w:val="21"/>
        </w:rPr>
        <w:t>, la aprobación del siguiente</w:t>
      </w:r>
      <w:r w:rsidRPr="00E62709">
        <w:rPr>
          <w:rFonts w:ascii="Abadi" w:hAnsi="Abadi" w:cs="Arial"/>
          <w:sz w:val="21"/>
          <w:szCs w:val="21"/>
          <w:lang w:val="x-none" w:eastAsia="x-none"/>
        </w:rPr>
        <w:t>:</w:t>
      </w:r>
    </w:p>
    <w:p w14:paraId="5674AB0C" w14:textId="77777777" w:rsidR="00E62709" w:rsidRPr="00E62709" w:rsidRDefault="00E62709" w:rsidP="00E62709">
      <w:pPr>
        <w:jc w:val="both"/>
        <w:rPr>
          <w:rFonts w:ascii="Abadi" w:hAnsi="Abadi" w:cs="Arial"/>
          <w:sz w:val="21"/>
          <w:szCs w:val="21"/>
          <w:lang w:val="x-none" w:eastAsia="x-none"/>
        </w:rPr>
      </w:pPr>
    </w:p>
    <w:p w14:paraId="54D2DB73" w14:textId="77777777" w:rsidR="00E62709" w:rsidRPr="00E62709" w:rsidRDefault="00E62709" w:rsidP="00E62709">
      <w:pPr>
        <w:keepNext/>
        <w:jc w:val="center"/>
        <w:outlineLvl w:val="0"/>
        <w:rPr>
          <w:rFonts w:ascii="Abadi" w:eastAsia="Arial Unicode MS" w:hAnsi="Abadi" w:cs="Arial"/>
          <w:b/>
          <w:bCs/>
          <w:smallCaps/>
          <w:sz w:val="21"/>
          <w:szCs w:val="21"/>
        </w:rPr>
      </w:pPr>
      <w:r w:rsidRPr="00E62709">
        <w:rPr>
          <w:rFonts w:ascii="Abadi" w:eastAsia="Arial Unicode MS" w:hAnsi="Abadi" w:cs="Arial"/>
          <w:b/>
          <w:bCs/>
          <w:smallCaps/>
          <w:sz w:val="21"/>
          <w:szCs w:val="21"/>
        </w:rPr>
        <w:t>A c u e r d o</w:t>
      </w:r>
    </w:p>
    <w:p w14:paraId="1AA5E272" w14:textId="77777777" w:rsidR="00E62709" w:rsidRPr="00E62709" w:rsidRDefault="00E62709" w:rsidP="00E62709">
      <w:pPr>
        <w:rPr>
          <w:rFonts w:ascii="Abadi" w:hAnsi="Abadi"/>
          <w:sz w:val="21"/>
          <w:szCs w:val="21"/>
        </w:rPr>
      </w:pPr>
    </w:p>
    <w:p w14:paraId="1733A81A" w14:textId="59805C5B" w:rsidR="00E62709" w:rsidRDefault="00E62709" w:rsidP="00E62709">
      <w:pPr>
        <w:ind w:firstLine="708"/>
        <w:jc w:val="both"/>
        <w:rPr>
          <w:rFonts w:ascii="Abadi" w:hAnsi="Abadi" w:cs="Arial"/>
          <w:sz w:val="21"/>
          <w:szCs w:val="21"/>
        </w:rPr>
      </w:pPr>
      <w:r w:rsidRPr="00E62709">
        <w:rPr>
          <w:rFonts w:ascii="Abadi" w:hAnsi="Abadi" w:cs="Arial"/>
          <w:b/>
          <w:bCs/>
          <w:sz w:val="21"/>
          <w:szCs w:val="21"/>
        </w:rPr>
        <w:t xml:space="preserve">Único. </w:t>
      </w:r>
      <w:r w:rsidRPr="00E62709">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E62709">
          <w:rPr>
            <w:rFonts w:ascii="Abadi" w:hAnsi="Abadi" w:cs="Arial"/>
            <w:sz w:val="21"/>
            <w:szCs w:val="21"/>
          </w:rPr>
          <w:t>la Constitución Política</w:t>
        </w:r>
      </w:smartTag>
      <w:r w:rsidRPr="00E62709">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San Miguel de Allende, Gto., correspondiente al ejercicio fiscal del año 2020, con base en el informe de resultados formulado por la Auditoría Superior del Estado de Guanajuato.</w:t>
      </w:r>
    </w:p>
    <w:p w14:paraId="2C63FD81" w14:textId="77777777" w:rsidR="00E62709" w:rsidRPr="00E62709" w:rsidRDefault="00E62709" w:rsidP="00E62709">
      <w:pPr>
        <w:ind w:firstLine="708"/>
        <w:jc w:val="both"/>
        <w:rPr>
          <w:rFonts w:ascii="Abadi" w:hAnsi="Abadi" w:cs="Arial"/>
          <w:sz w:val="21"/>
          <w:szCs w:val="21"/>
        </w:rPr>
      </w:pPr>
    </w:p>
    <w:p w14:paraId="33C4B5C1" w14:textId="77777777" w:rsidR="00E62709" w:rsidRPr="00E62709" w:rsidRDefault="00E62709" w:rsidP="00E62709">
      <w:pPr>
        <w:ind w:firstLine="708"/>
        <w:jc w:val="both"/>
        <w:rPr>
          <w:rFonts w:ascii="Abadi" w:hAnsi="Abadi" w:cs="Arial"/>
          <w:sz w:val="21"/>
          <w:szCs w:val="21"/>
          <w:lang w:val="es-MX" w:eastAsia="x-none"/>
        </w:rPr>
      </w:pPr>
      <w:r w:rsidRPr="00E62709">
        <w:rPr>
          <w:rFonts w:ascii="Abadi" w:hAnsi="Abadi" w:cs="Arial"/>
          <w:sz w:val="21"/>
          <w:szCs w:val="21"/>
          <w:lang w:val="x-none" w:eastAsia="x-none"/>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E62709">
        <w:rPr>
          <w:rFonts w:ascii="Abadi" w:hAnsi="Abadi" w:cs="Arial"/>
          <w:sz w:val="21"/>
          <w:szCs w:val="21"/>
          <w:lang w:val="es-MX" w:eastAsia="x-none"/>
        </w:rPr>
        <w:t>.</w:t>
      </w:r>
      <w:r w:rsidRPr="00E62709">
        <w:rPr>
          <w:rFonts w:ascii="Abadi" w:hAnsi="Abadi" w:cs="Arial"/>
          <w:sz w:val="21"/>
          <w:szCs w:val="21"/>
          <w:lang w:val="x-none" w:eastAsia="x-none"/>
        </w:rPr>
        <w:t xml:space="preserve"> </w:t>
      </w:r>
      <w:r w:rsidRPr="00E62709">
        <w:rPr>
          <w:rFonts w:ascii="Abadi" w:hAnsi="Abadi" w:cs="Arial"/>
          <w:sz w:val="21"/>
          <w:szCs w:val="21"/>
          <w:lang w:val="es-MX" w:eastAsia="x-none"/>
        </w:rPr>
        <w:t>Asimismo, dará</w:t>
      </w:r>
      <w:r w:rsidRPr="00E62709">
        <w:rPr>
          <w:rFonts w:ascii="Abadi" w:hAnsi="Abadi" w:cs="Arial"/>
          <w:sz w:val="21"/>
          <w:szCs w:val="21"/>
          <w:lang w:val="x-none" w:eastAsia="x-none"/>
        </w:rPr>
        <w:t xml:space="preserve"> seguimiento a la</w:t>
      </w:r>
      <w:r w:rsidRPr="00E62709">
        <w:rPr>
          <w:rFonts w:ascii="Abadi" w:hAnsi="Abadi" w:cs="Arial"/>
          <w:sz w:val="21"/>
          <w:szCs w:val="21"/>
          <w:lang w:val="es-MX" w:eastAsia="x-none"/>
        </w:rPr>
        <w:t>s</w:t>
      </w:r>
      <w:r w:rsidRPr="00E62709">
        <w:rPr>
          <w:rFonts w:ascii="Abadi" w:hAnsi="Abadi" w:cs="Arial"/>
          <w:sz w:val="21"/>
          <w:szCs w:val="21"/>
          <w:lang w:val="x-none" w:eastAsia="x-none"/>
        </w:rPr>
        <w:t xml:space="preserve"> observaciones no solventadas contenidas en el informe de resultados</w:t>
      </w:r>
      <w:r w:rsidRPr="00E62709">
        <w:rPr>
          <w:rFonts w:ascii="Abadi" w:hAnsi="Abadi" w:cs="Arial"/>
          <w:sz w:val="21"/>
          <w:szCs w:val="21"/>
          <w:lang w:val="es-MX" w:eastAsia="x-none"/>
        </w:rPr>
        <w:t>.</w:t>
      </w:r>
    </w:p>
    <w:p w14:paraId="3E1FD894" w14:textId="77777777" w:rsidR="00E62709" w:rsidRPr="00E62709" w:rsidRDefault="00E62709" w:rsidP="00E62709">
      <w:pPr>
        <w:jc w:val="both"/>
        <w:rPr>
          <w:rFonts w:ascii="Abadi" w:hAnsi="Abadi" w:cs="Arial"/>
          <w:sz w:val="21"/>
          <w:szCs w:val="21"/>
          <w:lang w:val="es-MX" w:eastAsia="x-none"/>
        </w:rPr>
      </w:pPr>
    </w:p>
    <w:p w14:paraId="4FEB2A3B" w14:textId="2F274939" w:rsidR="00E62709" w:rsidRPr="00E62709" w:rsidRDefault="00E62709" w:rsidP="00E62709">
      <w:pPr>
        <w:ind w:firstLine="708"/>
        <w:jc w:val="both"/>
        <w:rPr>
          <w:rFonts w:ascii="Abadi" w:hAnsi="Abadi" w:cs="Arial"/>
          <w:sz w:val="21"/>
          <w:szCs w:val="21"/>
          <w:lang w:val="x-none" w:eastAsia="x-none"/>
        </w:rPr>
      </w:pPr>
      <w:r w:rsidRPr="00E62709">
        <w:rPr>
          <w:rFonts w:ascii="Abadi" w:hAnsi="Abadi" w:cs="Arial"/>
          <w:sz w:val="21"/>
          <w:szCs w:val="21"/>
          <w:lang w:val="es-MX" w:eastAsia="x-none"/>
        </w:rPr>
        <w:t>Se tienen por atendidas las</w:t>
      </w:r>
      <w:r w:rsidRPr="00E62709">
        <w:rPr>
          <w:rFonts w:ascii="Abadi" w:hAnsi="Abadi" w:cs="Arial"/>
          <w:sz w:val="21"/>
          <w:szCs w:val="21"/>
          <w:lang w:val="x-none" w:eastAsia="x-none"/>
        </w:rPr>
        <w:t xml:space="preserve"> recomendaciones</w:t>
      </w:r>
      <w:r w:rsidRPr="00E62709">
        <w:rPr>
          <w:rFonts w:ascii="Abadi" w:hAnsi="Abadi" w:cs="Arial"/>
          <w:sz w:val="21"/>
          <w:szCs w:val="21"/>
          <w:lang w:val="es-MX" w:eastAsia="x-none"/>
        </w:rPr>
        <w:t xml:space="preserve"> contenidas en el informe de resultados</w:t>
      </w:r>
      <w:r w:rsidRPr="00E62709">
        <w:rPr>
          <w:rFonts w:ascii="Abadi" w:hAnsi="Abadi" w:cs="Arial"/>
          <w:sz w:val="21"/>
          <w:szCs w:val="21"/>
          <w:lang w:val="x-none" w:eastAsia="x-none"/>
        </w:rPr>
        <w:t>.</w:t>
      </w:r>
    </w:p>
    <w:p w14:paraId="0BBFFD64" w14:textId="77777777" w:rsidR="00E62709" w:rsidRPr="00E62709" w:rsidRDefault="00E62709" w:rsidP="00E62709">
      <w:pPr>
        <w:ind w:firstLine="708"/>
        <w:jc w:val="both"/>
        <w:rPr>
          <w:rFonts w:ascii="Abadi" w:hAnsi="Abadi" w:cs="Arial"/>
          <w:sz w:val="21"/>
          <w:szCs w:val="21"/>
        </w:rPr>
      </w:pPr>
    </w:p>
    <w:p w14:paraId="2D591929" w14:textId="2D5145EB" w:rsidR="00E62709" w:rsidRPr="00E62709" w:rsidRDefault="00E62709" w:rsidP="00E62709">
      <w:pPr>
        <w:ind w:firstLine="708"/>
        <w:jc w:val="both"/>
        <w:rPr>
          <w:rFonts w:ascii="Abadi" w:hAnsi="Abadi" w:cs="Arial"/>
          <w:sz w:val="21"/>
          <w:szCs w:val="21"/>
        </w:rPr>
      </w:pPr>
      <w:r w:rsidRPr="00E62709">
        <w:rPr>
          <w:rFonts w:ascii="Abadi" w:hAnsi="Abadi" w:cs="Arial"/>
          <w:sz w:val="21"/>
          <w:szCs w:val="21"/>
        </w:rPr>
        <w:t>Remítase el presente acuerdo al titular del Poder Ejecutivo del Estado para su publicación en el Periódico Oficial del Gobierno del Estado.</w:t>
      </w:r>
    </w:p>
    <w:p w14:paraId="4E26FA68" w14:textId="77777777" w:rsidR="00E62709" w:rsidRPr="00E62709" w:rsidRDefault="00E62709" w:rsidP="00E62709">
      <w:pPr>
        <w:ind w:firstLine="708"/>
        <w:jc w:val="both"/>
        <w:rPr>
          <w:rFonts w:ascii="Abadi" w:hAnsi="Abadi" w:cs="Arial"/>
          <w:sz w:val="21"/>
          <w:szCs w:val="21"/>
        </w:rPr>
      </w:pPr>
    </w:p>
    <w:p w14:paraId="486150AE" w14:textId="77777777" w:rsidR="00E62709" w:rsidRPr="00E62709" w:rsidRDefault="00E62709" w:rsidP="00E62709">
      <w:pPr>
        <w:ind w:firstLine="708"/>
        <w:jc w:val="both"/>
        <w:rPr>
          <w:rFonts w:ascii="Abadi" w:hAnsi="Abadi" w:cs="Arial"/>
          <w:sz w:val="21"/>
          <w:szCs w:val="21"/>
          <w:lang w:val="x-none" w:eastAsia="x-none"/>
        </w:rPr>
      </w:pPr>
      <w:r w:rsidRPr="00E62709">
        <w:rPr>
          <w:rFonts w:ascii="Abadi" w:hAnsi="Abadi" w:cs="Arial"/>
          <w:sz w:val="21"/>
          <w:szCs w:val="21"/>
          <w:lang w:val="x-none"/>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E62709">
        <w:rPr>
          <w:rFonts w:ascii="Abadi" w:hAnsi="Abadi" w:cs="Arial"/>
          <w:sz w:val="21"/>
          <w:szCs w:val="21"/>
          <w:lang w:val="x-none" w:eastAsia="x-none"/>
        </w:rPr>
        <w:t>.</w:t>
      </w:r>
    </w:p>
    <w:p w14:paraId="58610870" w14:textId="77777777" w:rsidR="00E62709" w:rsidRPr="00E62709" w:rsidRDefault="00E62709" w:rsidP="00E62709">
      <w:pPr>
        <w:jc w:val="center"/>
        <w:rPr>
          <w:rFonts w:ascii="Abadi" w:hAnsi="Abadi" w:cs="Arial"/>
          <w:b/>
          <w:bCs/>
          <w:sz w:val="21"/>
          <w:szCs w:val="21"/>
          <w:lang w:eastAsia="x-none"/>
        </w:rPr>
      </w:pPr>
    </w:p>
    <w:p w14:paraId="1D8D99BD" w14:textId="77777777" w:rsidR="00E62709" w:rsidRPr="00E62709" w:rsidRDefault="00E62709" w:rsidP="00E62709">
      <w:pPr>
        <w:jc w:val="center"/>
        <w:rPr>
          <w:rFonts w:ascii="Abadi" w:hAnsi="Abadi" w:cs="Arial"/>
          <w:b/>
          <w:bCs/>
          <w:sz w:val="21"/>
          <w:szCs w:val="21"/>
          <w:lang w:eastAsia="x-none"/>
        </w:rPr>
      </w:pPr>
      <w:r w:rsidRPr="00E62709">
        <w:rPr>
          <w:rFonts w:ascii="Abadi" w:hAnsi="Abadi" w:cs="Arial"/>
          <w:b/>
          <w:bCs/>
          <w:sz w:val="21"/>
          <w:szCs w:val="21"/>
          <w:lang w:eastAsia="x-none"/>
        </w:rPr>
        <w:t>Guanajuato, Gto., 16 de junio de 2022</w:t>
      </w:r>
    </w:p>
    <w:p w14:paraId="5C4FB476" w14:textId="77777777" w:rsidR="00E62709" w:rsidRPr="00E62709" w:rsidRDefault="00E62709" w:rsidP="00E62709">
      <w:pPr>
        <w:jc w:val="center"/>
        <w:rPr>
          <w:rFonts w:ascii="Abadi" w:hAnsi="Abadi" w:cs="Arial"/>
          <w:b/>
          <w:bCs/>
          <w:sz w:val="21"/>
          <w:szCs w:val="21"/>
          <w:lang w:eastAsia="x-none"/>
        </w:rPr>
      </w:pPr>
      <w:smartTag w:uri="urn:schemas-microsoft-com:office:smarttags" w:element="PersonName">
        <w:smartTagPr>
          <w:attr w:name="ProductID" w:val="La Comisi￳n"/>
        </w:smartTagPr>
        <w:r w:rsidRPr="00E62709">
          <w:rPr>
            <w:rFonts w:ascii="Abadi" w:hAnsi="Abadi" w:cs="Arial"/>
            <w:b/>
            <w:bCs/>
            <w:sz w:val="21"/>
            <w:szCs w:val="21"/>
            <w:lang w:eastAsia="x-none"/>
          </w:rPr>
          <w:t>La Comisión</w:t>
        </w:r>
      </w:smartTag>
      <w:r w:rsidRPr="00E62709">
        <w:rPr>
          <w:rFonts w:ascii="Abadi" w:hAnsi="Abadi" w:cs="Arial"/>
          <w:b/>
          <w:bCs/>
          <w:sz w:val="21"/>
          <w:szCs w:val="21"/>
          <w:lang w:eastAsia="x-none"/>
        </w:rPr>
        <w:t xml:space="preserve"> de Hacienda y Fiscalización</w:t>
      </w:r>
    </w:p>
    <w:p w14:paraId="78CAF3AC" w14:textId="77777777" w:rsidR="00E62709" w:rsidRPr="00E62709" w:rsidRDefault="00E62709" w:rsidP="00E62709">
      <w:pPr>
        <w:jc w:val="center"/>
        <w:rPr>
          <w:rFonts w:ascii="Abadi" w:hAnsi="Abadi" w:cs="Arial"/>
          <w:sz w:val="21"/>
          <w:szCs w:val="21"/>
        </w:rPr>
      </w:pPr>
    </w:p>
    <w:p w14:paraId="1CF30167" w14:textId="77777777" w:rsidR="00E62709" w:rsidRPr="00E62709" w:rsidRDefault="00E62709" w:rsidP="00E62709">
      <w:pPr>
        <w:jc w:val="center"/>
        <w:rPr>
          <w:rFonts w:ascii="Abadi" w:hAnsi="Abadi" w:cs="Arial"/>
          <w:sz w:val="21"/>
          <w:szCs w:val="21"/>
        </w:rPr>
      </w:pPr>
    </w:p>
    <w:p w14:paraId="31897FE5" w14:textId="77777777" w:rsidR="00E62709" w:rsidRPr="00E62709" w:rsidRDefault="00E62709" w:rsidP="00E62709">
      <w:pPr>
        <w:jc w:val="center"/>
        <w:rPr>
          <w:rFonts w:ascii="Abadi" w:hAnsi="Abadi" w:cs="Arial"/>
          <w:sz w:val="21"/>
          <w:szCs w:val="21"/>
        </w:rPr>
      </w:pPr>
      <w:r w:rsidRPr="00E62709">
        <w:rPr>
          <w:rFonts w:ascii="Abadi" w:hAnsi="Abadi" w:cs="Arial"/>
          <w:b/>
          <w:sz w:val="21"/>
          <w:szCs w:val="21"/>
          <w:lang w:eastAsia="x-none"/>
        </w:rPr>
        <w:t>Diputado Víctor Manuel Zanella Huerta</w:t>
      </w:r>
    </w:p>
    <w:p w14:paraId="5F86A313" w14:textId="2323277A" w:rsidR="00E62709" w:rsidRDefault="00E62709" w:rsidP="00E62709">
      <w:pPr>
        <w:rPr>
          <w:rFonts w:ascii="Abadi" w:hAnsi="Abadi" w:cs="Arial"/>
          <w:sz w:val="21"/>
          <w:szCs w:val="21"/>
          <w:lang w:eastAsia="x-none"/>
        </w:rPr>
      </w:pPr>
    </w:p>
    <w:p w14:paraId="16AE43B9" w14:textId="77777777" w:rsidR="00E62709" w:rsidRPr="00E62709" w:rsidRDefault="00E62709" w:rsidP="00E62709">
      <w:pPr>
        <w:rPr>
          <w:rFonts w:ascii="Abadi" w:hAnsi="Abadi" w:cs="Arial"/>
          <w:b/>
          <w:bCs/>
          <w:sz w:val="21"/>
          <w:szCs w:val="21"/>
          <w:lang w:eastAsia="x-none"/>
        </w:rPr>
      </w:pPr>
    </w:p>
    <w:p w14:paraId="4B2AF2A8" w14:textId="13010DAA" w:rsidR="00E62709" w:rsidRPr="00E62709" w:rsidRDefault="00E62709" w:rsidP="00E62709">
      <w:pPr>
        <w:jc w:val="center"/>
        <w:rPr>
          <w:rFonts w:ascii="Abadi" w:hAnsi="Abadi" w:cs="Arial"/>
          <w:b/>
          <w:sz w:val="21"/>
          <w:szCs w:val="21"/>
          <w:lang w:eastAsia="x-none"/>
        </w:rPr>
      </w:pPr>
      <w:r w:rsidRPr="00E62709">
        <w:rPr>
          <w:rFonts w:ascii="Abadi" w:hAnsi="Abadi" w:cs="Arial"/>
          <w:b/>
          <w:sz w:val="21"/>
          <w:szCs w:val="21"/>
          <w:lang w:eastAsia="x-none"/>
        </w:rPr>
        <w:t>Diputada Ruth Noemí Tiscareño Agoitia</w:t>
      </w:r>
    </w:p>
    <w:p w14:paraId="49AC004E" w14:textId="77777777" w:rsidR="00E62709" w:rsidRPr="00E62709" w:rsidRDefault="00E62709" w:rsidP="00E62709">
      <w:pPr>
        <w:jc w:val="center"/>
        <w:rPr>
          <w:rFonts w:ascii="Abadi" w:hAnsi="Abadi" w:cs="Arial"/>
          <w:b/>
          <w:sz w:val="21"/>
          <w:szCs w:val="21"/>
          <w:lang w:eastAsia="x-none"/>
        </w:rPr>
      </w:pPr>
    </w:p>
    <w:p w14:paraId="6694920A" w14:textId="77777777" w:rsidR="00E62709" w:rsidRPr="00E62709" w:rsidRDefault="00E62709" w:rsidP="00E62709">
      <w:pPr>
        <w:jc w:val="center"/>
        <w:rPr>
          <w:rFonts w:ascii="Abadi" w:hAnsi="Abadi" w:cs="Arial"/>
          <w:b/>
          <w:sz w:val="21"/>
          <w:szCs w:val="21"/>
          <w:lang w:eastAsia="x-none"/>
        </w:rPr>
      </w:pPr>
    </w:p>
    <w:p w14:paraId="6CB38470" w14:textId="2A75F765" w:rsidR="00E62709" w:rsidRPr="00E62709" w:rsidRDefault="00E62709" w:rsidP="00E62709">
      <w:pPr>
        <w:jc w:val="center"/>
        <w:rPr>
          <w:rFonts w:ascii="Abadi" w:hAnsi="Abadi" w:cs="Arial"/>
          <w:b/>
          <w:sz w:val="21"/>
          <w:szCs w:val="21"/>
          <w:lang w:eastAsia="x-none"/>
        </w:rPr>
      </w:pPr>
      <w:r w:rsidRPr="00E62709">
        <w:rPr>
          <w:rFonts w:ascii="Abadi" w:hAnsi="Abadi" w:cs="Arial"/>
          <w:b/>
          <w:sz w:val="21"/>
          <w:szCs w:val="21"/>
          <w:lang w:eastAsia="x-none"/>
        </w:rPr>
        <w:t>Diputado Miguel Ángel Salim Alle</w:t>
      </w:r>
    </w:p>
    <w:p w14:paraId="3DECB1BA" w14:textId="77777777" w:rsidR="00E62709" w:rsidRPr="00E62709" w:rsidRDefault="00E62709" w:rsidP="00E62709">
      <w:pPr>
        <w:jc w:val="center"/>
        <w:rPr>
          <w:rFonts w:ascii="Abadi" w:hAnsi="Abadi" w:cs="Arial"/>
          <w:b/>
          <w:sz w:val="21"/>
          <w:szCs w:val="21"/>
          <w:lang w:eastAsia="x-none"/>
        </w:rPr>
      </w:pPr>
    </w:p>
    <w:p w14:paraId="3C6AFBEB" w14:textId="77777777" w:rsidR="00E62709" w:rsidRPr="00E62709" w:rsidRDefault="00E62709" w:rsidP="00E62709">
      <w:pPr>
        <w:jc w:val="center"/>
        <w:rPr>
          <w:rFonts w:ascii="Abadi" w:hAnsi="Abadi" w:cs="Arial"/>
          <w:b/>
          <w:sz w:val="21"/>
          <w:szCs w:val="21"/>
          <w:lang w:eastAsia="x-none"/>
        </w:rPr>
      </w:pPr>
    </w:p>
    <w:p w14:paraId="6F4F4DEB" w14:textId="0AA09FDB" w:rsidR="00E62709" w:rsidRPr="00E62709" w:rsidRDefault="00E62709" w:rsidP="00E62709">
      <w:pPr>
        <w:jc w:val="center"/>
        <w:rPr>
          <w:rFonts w:ascii="Abadi" w:hAnsi="Abadi" w:cs="Arial"/>
          <w:b/>
          <w:sz w:val="21"/>
          <w:szCs w:val="21"/>
          <w:lang w:eastAsia="x-none"/>
        </w:rPr>
      </w:pPr>
      <w:r w:rsidRPr="00E62709">
        <w:rPr>
          <w:rFonts w:ascii="Abadi" w:hAnsi="Abadi" w:cs="Arial"/>
          <w:b/>
          <w:sz w:val="21"/>
          <w:szCs w:val="21"/>
          <w:lang w:eastAsia="x-none"/>
        </w:rPr>
        <w:t>Diputado José Alfonso Borja Pimentel</w:t>
      </w:r>
    </w:p>
    <w:p w14:paraId="506D319F" w14:textId="77777777" w:rsidR="00E62709" w:rsidRPr="00E62709" w:rsidRDefault="00E62709" w:rsidP="00E62709">
      <w:pPr>
        <w:jc w:val="center"/>
        <w:rPr>
          <w:rFonts w:ascii="Abadi" w:hAnsi="Abadi" w:cs="Arial"/>
          <w:b/>
          <w:sz w:val="21"/>
          <w:szCs w:val="21"/>
          <w:lang w:eastAsia="x-none"/>
        </w:rPr>
      </w:pPr>
    </w:p>
    <w:p w14:paraId="08158758" w14:textId="77777777" w:rsidR="00E62709" w:rsidRPr="00E62709" w:rsidRDefault="00E62709" w:rsidP="00E62709">
      <w:pPr>
        <w:jc w:val="center"/>
        <w:rPr>
          <w:rFonts w:ascii="Abadi" w:hAnsi="Abadi" w:cs="Arial"/>
          <w:b/>
          <w:sz w:val="21"/>
          <w:szCs w:val="21"/>
          <w:lang w:eastAsia="x-none"/>
        </w:rPr>
      </w:pPr>
    </w:p>
    <w:p w14:paraId="3CF5E1A2" w14:textId="77777777" w:rsidR="00E62709" w:rsidRPr="00E62709" w:rsidRDefault="00E62709" w:rsidP="00E62709">
      <w:pPr>
        <w:jc w:val="center"/>
        <w:rPr>
          <w:rFonts w:ascii="Abadi" w:hAnsi="Abadi" w:cs="Arial"/>
          <w:b/>
          <w:sz w:val="21"/>
          <w:szCs w:val="21"/>
          <w:lang w:eastAsia="x-none"/>
        </w:rPr>
      </w:pPr>
      <w:r w:rsidRPr="00E62709">
        <w:rPr>
          <w:rFonts w:ascii="Abadi" w:hAnsi="Abadi" w:cs="Arial"/>
          <w:b/>
          <w:sz w:val="21"/>
          <w:szCs w:val="21"/>
          <w:lang w:eastAsia="x-none"/>
        </w:rPr>
        <w:t>Diputada Alma Edwviges Alcaraz Hernández</w:t>
      </w:r>
    </w:p>
    <w:p w14:paraId="0CB703A2" w14:textId="641325A2" w:rsidR="00E62709" w:rsidRDefault="00E62709" w:rsidP="00E62709">
      <w:pPr>
        <w:rPr>
          <w:rFonts w:ascii="Abadi" w:hAnsi="Abadi"/>
          <w:sz w:val="20"/>
          <w:szCs w:val="20"/>
        </w:rPr>
      </w:pPr>
    </w:p>
    <w:p w14:paraId="4D979224" w14:textId="77777777" w:rsidR="00E62709" w:rsidRPr="00E62709" w:rsidRDefault="00E62709" w:rsidP="00E62709">
      <w:pPr>
        <w:rPr>
          <w:rFonts w:ascii="Abadi" w:hAnsi="Abadi"/>
          <w:sz w:val="20"/>
          <w:szCs w:val="20"/>
        </w:rPr>
      </w:pPr>
    </w:p>
    <w:p w14:paraId="7829C03A" w14:textId="183A106C" w:rsidR="000C4CDA" w:rsidRDefault="000C4CDA"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1"/>
          <w:sz w:val="20"/>
          <w:szCs w:val="20"/>
        </w:rPr>
        <w:t xml:space="preserve"> </w:t>
      </w:r>
      <w:r w:rsidRPr="00531B12">
        <w:rPr>
          <w:rFonts w:ascii="Abadi" w:hAnsi="Abadi"/>
          <w:b/>
          <w:bCs/>
          <w:sz w:val="20"/>
          <w:szCs w:val="20"/>
        </w:rPr>
        <w:t>Y,</w:t>
      </w:r>
      <w:r w:rsidRPr="00531B12">
        <w:rPr>
          <w:rFonts w:ascii="Abadi" w:hAnsi="Abadi"/>
          <w:b/>
          <w:bCs/>
          <w:spacing w:val="11"/>
          <w:sz w:val="20"/>
          <w:szCs w:val="20"/>
        </w:rPr>
        <w:t xml:space="preserve"> </w:t>
      </w:r>
      <w:r w:rsidRPr="00531B12">
        <w:rPr>
          <w:rFonts w:ascii="Abadi" w:hAnsi="Abadi"/>
          <w:b/>
          <w:bCs/>
          <w:sz w:val="20"/>
          <w:szCs w:val="20"/>
        </w:rPr>
        <w:t>EN</w:t>
      </w:r>
      <w:r w:rsidRPr="00531B12">
        <w:rPr>
          <w:rFonts w:ascii="Abadi" w:hAnsi="Abadi"/>
          <w:b/>
          <w:bCs/>
          <w:spacing w:val="11"/>
          <w:sz w:val="20"/>
          <w:szCs w:val="20"/>
        </w:rPr>
        <w:t xml:space="preserve"> </w:t>
      </w:r>
      <w:r w:rsidRPr="00531B12">
        <w:rPr>
          <w:rFonts w:ascii="Abadi" w:hAnsi="Abadi"/>
          <w:b/>
          <w:bCs/>
          <w:sz w:val="20"/>
          <w:szCs w:val="20"/>
        </w:rPr>
        <w:t>SU</w:t>
      </w:r>
      <w:r w:rsidRPr="00531B12">
        <w:rPr>
          <w:rFonts w:ascii="Abadi" w:hAnsi="Abadi"/>
          <w:b/>
          <w:bCs/>
          <w:spacing w:val="11"/>
          <w:sz w:val="20"/>
          <w:szCs w:val="20"/>
        </w:rPr>
        <w:t xml:space="preserve"> </w:t>
      </w:r>
      <w:r w:rsidRPr="00531B12">
        <w:rPr>
          <w:rFonts w:ascii="Abadi" w:hAnsi="Abadi"/>
          <w:b/>
          <w:bCs/>
          <w:sz w:val="20"/>
          <w:szCs w:val="20"/>
        </w:rPr>
        <w:t>CASO,</w:t>
      </w:r>
      <w:r w:rsidRPr="00531B12">
        <w:rPr>
          <w:rFonts w:ascii="Abadi" w:hAnsi="Abadi"/>
          <w:b/>
          <w:bCs/>
          <w:spacing w:val="11"/>
          <w:sz w:val="20"/>
          <w:szCs w:val="20"/>
        </w:rPr>
        <w:t xml:space="preserve"> </w:t>
      </w:r>
      <w:r w:rsidRPr="00531B12">
        <w:rPr>
          <w:rFonts w:ascii="Abadi" w:hAnsi="Abadi"/>
          <w:b/>
          <w:bCs/>
          <w:sz w:val="20"/>
          <w:szCs w:val="20"/>
        </w:rPr>
        <w:t>APROBACIÓN</w:t>
      </w:r>
      <w:r w:rsidRPr="00531B12">
        <w:rPr>
          <w:rFonts w:ascii="Abadi" w:hAnsi="Abadi"/>
          <w:b/>
          <w:bCs/>
          <w:spacing w:val="11"/>
          <w:sz w:val="20"/>
          <w:szCs w:val="20"/>
        </w:rPr>
        <w:t xml:space="preserve"> </w:t>
      </w:r>
      <w:r w:rsidRPr="00531B12">
        <w:rPr>
          <w:rFonts w:ascii="Abadi" w:hAnsi="Abadi"/>
          <w:b/>
          <w:bCs/>
          <w:sz w:val="20"/>
          <w:szCs w:val="20"/>
        </w:rPr>
        <w:t>DEL</w:t>
      </w:r>
      <w:r w:rsidRPr="00531B12">
        <w:rPr>
          <w:rFonts w:ascii="Abadi" w:hAnsi="Abadi"/>
          <w:b/>
          <w:bCs/>
          <w:spacing w:val="11"/>
          <w:sz w:val="20"/>
          <w:szCs w:val="20"/>
        </w:rPr>
        <w:t xml:space="preserve"> </w:t>
      </w:r>
      <w:r w:rsidRPr="00531B12">
        <w:rPr>
          <w:rFonts w:ascii="Abadi" w:hAnsi="Abadi"/>
          <w:b/>
          <w:bCs/>
          <w:sz w:val="20"/>
          <w:szCs w:val="20"/>
        </w:rPr>
        <w:t>DICTAMEN</w:t>
      </w:r>
      <w:r w:rsidRPr="00531B12">
        <w:rPr>
          <w:rFonts w:ascii="Abadi" w:hAnsi="Abadi"/>
          <w:b/>
          <w:bCs/>
          <w:spacing w:val="11"/>
          <w:sz w:val="20"/>
          <w:szCs w:val="20"/>
        </w:rPr>
        <w:t xml:space="preserve"> </w:t>
      </w:r>
      <w:r w:rsidRPr="00531B12">
        <w:rPr>
          <w:rFonts w:ascii="Abadi" w:hAnsi="Abadi"/>
          <w:b/>
          <w:bCs/>
          <w:sz w:val="20"/>
          <w:szCs w:val="20"/>
        </w:rPr>
        <w:t>SIGNADO</w:t>
      </w:r>
      <w:r w:rsidRPr="00531B12">
        <w:rPr>
          <w:rFonts w:ascii="Abadi" w:hAnsi="Abadi"/>
          <w:b/>
          <w:bCs/>
          <w:spacing w:val="11"/>
          <w:sz w:val="20"/>
          <w:szCs w:val="20"/>
        </w:rPr>
        <w:t xml:space="preserve"> </w:t>
      </w:r>
      <w:r w:rsidRPr="00531B12">
        <w:rPr>
          <w:rFonts w:ascii="Abadi" w:hAnsi="Abadi"/>
          <w:b/>
          <w:bCs/>
          <w:sz w:val="20"/>
          <w:szCs w:val="20"/>
        </w:rPr>
        <w:t>POR</w:t>
      </w:r>
      <w:r w:rsidRPr="00531B12">
        <w:rPr>
          <w:rFonts w:ascii="Abadi" w:hAnsi="Abadi"/>
          <w:b/>
          <w:bCs/>
          <w:spacing w:val="11"/>
          <w:sz w:val="20"/>
          <w:szCs w:val="20"/>
        </w:rPr>
        <w:t xml:space="preserve"> </w:t>
      </w:r>
      <w:r w:rsidRPr="00531B12">
        <w:rPr>
          <w:rFonts w:ascii="Abadi" w:hAnsi="Abadi"/>
          <w:b/>
          <w:bCs/>
          <w:sz w:val="20"/>
          <w:szCs w:val="20"/>
        </w:rPr>
        <w:t>LA</w:t>
      </w:r>
      <w:r w:rsidRPr="00531B12">
        <w:rPr>
          <w:rFonts w:ascii="Abadi" w:hAnsi="Abadi"/>
          <w:b/>
          <w:bCs/>
          <w:spacing w:val="11"/>
          <w:sz w:val="20"/>
          <w:szCs w:val="20"/>
        </w:rPr>
        <w:t xml:space="preserve"> </w:t>
      </w:r>
      <w:r w:rsidRPr="00531B12">
        <w:rPr>
          <w:rFonts w:ascii="Abadi" w:hAnsi="Abadi"/>
          <w:b/>
          <w:bCs/>
          <w:sz w:val="20"/>
          <w:szCs w:val="20"/>
        </w:rPr>
        <w:t>COMISIÓN DE</w:t>
      </w:r>
      <w:r w:rsidRPr="00531B12">
        <w:rPr>
          <w:rFonts w:ascii="Abadi" w:hAnsi="Abadi"/>
          <w:b/>
          <w:bCs/>
          <w:spacing w:val="10"/>
          <w:sz w:val="20"/>
          <w:szCs w:val="20"/>
        </w:rPr>
        <w:t xml:space="preserve"> </w:t>
      </w:r>
      <w:r w:rsidRPr="00531B12">
        <w:rPr>
          <w:rFonts w:ascii="Abadi" w:hAnsi="Abadi"/>
          <w:b/>
          <w:bCs/>
          <w:sz w:val="20"/>
          <w:szCs w:val="20"/>
        </w:rPr>
        <w:t>HACIENDA</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0"/>
          <w:sz w:val="20"/>
          <w:szCs w:val="20"/>
        </w:rPr>
        <w:t xml:space="preserve"> </w:t>
      </w:r>
      <w:r w:rsidRPr="00531B12">
        <w:rPr>
          <w:rFonts w:ascii="Abadi" w:hAnsi="Abadi"/>
          <w:b/>
          <w:bCs/>
          <w:sz w:val="20"/>
          <w:szCs w:val="20"/>
        </w:rPr>
        <w:t>FISCALIZACIÓN</w:t>
      </w:r>
      <w:r w:rsidRPr="00531B12">
        <w:rPr>
          <w:rFonts w:ascii="Abadi" w:hAnsi="Abadi"/>
          <w:b/>
          <w:bCs/>
          <w:spacing w:val="10"/>
          <w:sz w:val="20"/>
          <w:szCs w:val="20"/>
        </w:rPr>
        <w:t xml:space="preserve"> </w:t>
      </w:r>
      <w:r w:rsidRPr="00531B12">
        <w:rPr>
          <w:rFonts w:ascii="Abadi" w:hAnsi="Abadi"/>
          <w:b/>
          <w:bCs/>
          <w:sz w:val="20"/>
          <w:szCs w:val="20"/>
        </w:rPr>
        <w:t>RELATIVO</w:t>
      </w:r>
      <w:r w:rsidRPr="00531B12">
        <w:rPr>
          <w:rFonts w:ascii="Abadi" w:hAnsi="Abadi"/>
          <w:b/>
          <w:bCs/>
          <w:spacing w:val="10"/>
          <w:sz w:val="20"/>
          <w:szCs w:val="20"/>
        </w:rPr>
        <w:t xml:space="preserve"> </w:t>
      </w:r>
      <w:r w:rsidRPr="00531B12">
        <w:rPr>
          <w:rFonts w:ascii="Abadi" w:hAnsi="Abadi"/>
          <w:b/>
          <w:bCs/>
          <w:sz w:val="20"/>
          <w:szCs w:val="20"/>
        </w:rPr>
        <w:t>AL</w:t>
      </w:r>
      <w:r w:rsidRPr="00531B12">
        <w:rPr>
          <w:rFonts w:ascii="Abadi" w:hAnsi="Abadi"/>
          <w:b/>
          <w:bCs/>
          <w:spacing w:val="9"/>
          <w:sz w:val="20"/>
          <w:szCs w:val="20"/>
        </w:rPr>
        <w:t xml:space="preserve"> </w:t>
      </w:r>
      <w:r w:rsidRPr="00531B12">
        <w:rPr>
          <w:rFonts w:ascii="Abadi" w:hAnsi="Abadi"/>
          <w:b/>
          <w:bCs/>
          <w:sz w:val="20"/>
          <w:szCs w:val="20"/>
        </w:rPr>
        <w:t>INFORME</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RESULTADOS</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REVISIÓN PRACTICADA</w:t>
      </w:r>
      <w:r w:rsidRPr="00531B12">
        <w:rPr>
          <w:rFonts w:ascii="Abadi" w:hAnsi="Abadi"/>
          <w:b/>
          <w:bCs/>
          <w:spacing w:val="10"/>
          <w:sz w:val="20"/>
          <w:szCs w:val="20"/>
        </w:rPr>
        <w:t xml:space="preserve"> </w:t>
      </w:r>
      <w:r w:rsidRPr="00531B12">
        <w:rPr>
          <w:rFonts w:ascii="Abadi" w:hAnsi="Abadi"/>
          <w:b/>
          <w:bCs/>
          <w:sz w:val="20"/>
          <w:szCs w:val="20"/>
        </w:rPr>
        <w:t>POR</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AUDITORÍA</w:t>
      </w:r>
      <w:r w:rsidRPr="00531B12">
        <w:rPr>
          <w:rFonts w:ascii="Abadi" w:hAnsi="Abadi"/>
          <w:b/>
          <w:bCs/>
          <w:spacing w:val="10"/>
          <w:sz w:val="20"/>
          <w:szCs w:val="20"/>
        </w:rPr>
        <w:t xml:space="preserve"> </w:t>
      </w:r>
      <w:r w:rsidRPr="00531B12">
        <w:rPr>
          <w:rFonts w:ascii="Abadi" w:hAnsi="Abadi"/>
          <w:b/>
          <w:bCs/>
          <w:sz w:val="20"/>
          <w:szCs w:val="20"/>
        </w:rPr>
        <w:t>SUPERIOR</w:t>
      </w:r>
      <w:r w:rsidRPr="00531B12">
        <w:rPr>
          <w:rFonts w:ascii="Abadi" w:hAnsi="Abadi"/>
          <w:b/>
          <w:bCs/>
          <w:spacing w:val="9"/>
          <w:sz w:val="20"/>
          <w:szCs w:val="20"/>
        </w:rPr>
        <w:t xml:space="preserve"> </w:t>
      </w:r>
      <w:r w:rsidRPr="00531B12">
        <w:rPr>
          <w:rFonts w:ascii="Abadi" w:hAnsi="Abadi"/>
          <w:b/>
          <w:bCs/>
          <w:sz w:val="20"/>
          <w:szCs w:val="20"/>
        </w:rPr>
        <w:t>DEL</w:t>
      </w:r>
      <w:r w:rsidRPr="00531B12">
        <w:rPr>
          <w:rFonts w:ascii="Abadi" w:hAnsi="Abadi"/>
          <w:b/>
          <w:bCs/>
          <w:spacing w:val="9"/>
          <w:sz w:val="20"/>
          <w:szCs w:val="20"/>
        </w:rPr>
        <w:t xml:space="preserve"> </w:t>
      </w:r>
      <w:r w:rsidRPr="00531B12">
        <w:rPr>
          <w:rFonts w:ascii="Abadi" w:hAnsi="Abadi"/>
          <w:b/>
          <w:bCs/>
          <w:sz w:val="20"/>
          <w:szCs w:val="20"/>
        </w:rPr>
        <w:t>ESTADO</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GUANAJUATO,</w:t>
      </w:r>
      <w:r w:rsidRPr="00531B12">
        <w:rPr>
          <w:rFonts w:ascii="Abadi" w:hAnsi="Abadi"/>
          <w:b/>
          <w:bCs/>
          <w:spacing w:val="9"/>
          <w:sz w:val="20"/>
          <w:szCs w:val="20"/>
        </w:rPr>
        <w:t xml:space="preserve"> </w:t>
      </w:r>
      <w:r w:rsidRPr="00531B12">
        <w:rPr>
          <w:rFonts w:ascii="Abadi" w:hAnsi="Abadi"/>
          <w:b/>
          <w:bCs/>
          <w:sz w:val="20"/>
          <w:szCs w:val="20"/>
        </w:rPr>
        <w:t>A</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CUENTA PÚBLICA</w:t>
      </w:r>
      <w:r w:rsidRPr="00531B12">
        <w:rPr>
          <w:rFonts w:ascii="Abadi" w:hAnsi="Abadi"/>
          <w:b/>
          <w:bCs/>
          <w:spacing w:val="-8"/>
          <w:sz w:val="20"/>
          <w:szCs w:val="20"/>
        </w:rPr>
        <w:t xml:space="preserve"> </w:t>
      </w:r>
      <w:r w:rsidRPr="00531B12">
        <w:rPr>
          <w:rFonts w:ascii="Abadi" w:hAnsi="Abadi"/>
          <w:b/>
          <w:bCs/>
          <w:sz w:val="20"/>
          <w:szCs w:val="20"/>
        </w:rPr>
        <w:t>MUNICIPAL</w:t>
      </w:r>
      <w:r w:rsidRPr="00531B12">
        <w:rPr>
          <w:rFonts w:ascii="Abadi" w:hAnsi="Abadi"/>
          <w:b/>
          <w:bCs/>
          <w:spacing w:val="-8"/>
          <w:sz w:val="20"/>
          <w:szCs w:val="20"/>
        </w:rPr>
        <w:t xml:space="preserve"> </w:t>
      </w:r>
      <w:r w:rsidRPr="00531B12">
        <w:rPr>
          <w:rFonts w:ascii="Abadi" w:hAnsi="Abadi"/>
          <w:b/>
          <w:bCs/>
          <w:sz w:val="20"/>
          <w:szCs w:val="20"/>
        </w:rPr>
        <w:t>DE</w:t>
      </w:r>
      <w:r w:rsidRPr="00531B12">
        <w:rPr>
          <w:rFonts w:ascii="Abadi" w:hAnsi="Abadi"/>
          <w:b/>
          <w:bCs/>
          <w:spacing w:val="-8"/>
          <w:sz w:val="20"/>
          <w:szCs w:val="20"/>
        </w:rPr>
        <w:t xml:space="preserve"> </w:t>
      </w:r>
      <w:r w:rsidRPr="00531B12">
        <w:rPr>
          <w:rFonts w:ascii="Abadi" w:hAnsi="Abadi"/>
          <w:b/>
          <w:bCs/>
          <w:sz w:val="20"/>
          <w:szCs w:val="20"/>
        </w:rPr>
        <w:t>SALAMANCA,</w:t>
      </w:r>
      <w:r w:rsidRPr="00531B12">
        <w:rPr>
          <w:rFonts w:ascii="Abadi" w:hAnsi="Abadi"/>
          <w:b/>
          <w:bCs/>
          <w:spacing w:val="-8"/>
          <w:sz w:val="20"/>
          <w:szCs w:val="20"/>
        </w:rPr>
        <w:t xml:space="preserve"> </w:t>
      </w:r>
      <w:r w:rsidRPr="00531B12">
        <w:rPr>
          <w:rFonts w:ascii="Abadi" w:hAnsi="Abadi"/>
          <w:b/>
          <w:bCs/>
          <w:sz w:val="20"/>
          <w:szCs w:val="20"/>
        </w:rPr>
        <w:t>GTO.,</w:t>
      </w:r>
      <w:r w:rsidRPr="00531B12">
        <w:rPr>
          <w:rFonts w:ascii="Abadi" w:hAnsi="Abadi"/>
          <w:b/>
          <w:bCs/>
          <w:spacing w:val="-8"/>
          <w:sz w:val="20"/>
          <w:szCs w:val="20"/>
        </w:rPr>
        <w:t xml:space="preserve"> </w:t>
      </w:r>
      <w:r w:rsidRPr="00531B12">
        <w:rPr>
          <w:rFonts w:ascii="Abadi" w:hAnsi="Abadi"/>
          <w:b/>
          <w:bCs/>
          <w:sz w:val="20"/>
          <w:szCs w:val="20"/>
        </w:rPr>
        <w:t>CORRESPONDIENTE</w:t>
      </w:r>
      <w:r w:rsidRPr="00531B12">
        <w:rPr>
          <w:rFonts w:ascii="Abadi" w:hAnsi="Abadi"/>
          <w:b/>
          <w:bCs/>
          <w:spacing w:val="-8"/>
          <w:sz w:val="20"/>
          <w:szCs w:val="20"/>
        </w:rPr>
        <w:t xml:space="preserve"> </w:t>
      </w:r>
      <w:r w:rsidRPr="00531B12">
        <w:rPr>
          <w:rFonts w:ascii="Abadi" w:hAnsi="Abadi"/>
          <w:b/>
          <w:bCs/>
          <w:sz w:val="20"/>
          <w:szCs w:val="20"/>
        </w:rPr>
        <w:t>AL</w:t>
      </w:r>
      <w:r w:rsidRPr="00531B12">
        <w:rPr>
          <w:rFonts w:ascii="Abadi" w:hAnsi="Abadi"/>
          <w:b/>
          <w:bCs/>
          <w:spacing w:val="-8"/>
          <w:sz w:val="20"/>
          <w:szCs w:val="20"/>
        </w:rPr>
        <w:t xml:space="preserve"> </w:t>
      </w:r>
      <w:r w:rsidRPr="00531B12">
        <w:rPr>
          <w:rFonts w:ascii="Abadi" w:hAnsi="Abadi"/>
          <w:b/>
          <w:bCs/>
          <w:sz w:val="20"/>
          <w:szCs w:val="20"/>
        </w:rPr>
        <w:t>EJERCICIO</w:t>
      </w:r>
      <w:r w:rsidRPr="00531B12">
        <w:rPr>
          <w:rFonts w:ascii="Abadi" w:hAnsi="Abadi"/>
          <w:b/>
          <w:bCs/>
          <w:spacing w:val="-8"/>
          <w:sz w:val="20"/>
          <w:szCs w:val="20"/>
        </w:rPr>
        <w:t xml:space="preserve"> </w:t>
      </w:r>
      <w:r w:rsidRPr="00531B12">
        <w:rPr>
          <w:rFonts w:ascii="Abadi" w:hAnsi="Abadi"/>
          <w:b/>
          <w:bCs/>
          <w:sz w:val="20"/>
          <w:szCs w:val="20"/>
        </w:rPr>
        <w:t>FISCAL</w:t>
      </w:r>
      <w:r w:rsidRPr="00531B12">
        <w:rPr>
          <w:rFonts w:ascii="Abadi" w:hAnsi="Abadi"/>
          <w:b/>
          <w:bCs/>
          <w:spacing w:val="-8"/>
          <w:sz w:val="20"/>
          <w:szCs w:val="20"/>
        </w:rPr>
        <w:t xml:space="preserve"> </w:t>
      </w:r>
      <w:r w:rsidRPr="00531B12">
        <w:rPr>
          <w:rFonts w:ascii="Abadi" w:hAnsi="Abadi"/>
          <w:b/>
          <w:bCs/>
          <w:sz w:val="20"/>
          <w:szCs w:val="20"/>
        </w:rPr>
        <w:t>DEL AÑO 2020.</w:t>
      </w:r>
    </w:p>
    <w:p w14:paraId="155316DB" w14:textId="567A4D2A" w:rsidR="00BE5BB6" w:rsidRDefault="00BE5BB6" w:rsidP="00BE5BB6">
      <w:pPr>
        <w:pStyle w:val="Prrafodelista"/>
        <w:rPr>
          <w:rFonts w:ascii="Abadi" w:hAnsi="Abadi"/>
          <w:sz w:val="20"/>
          <w:szCs w:val="20"/>
        </w:rPr>
      </w:pPr>
    </w:p>
    <w:p w14:paraId="5BCE9010" w14:textId="77777777" w:rsidR="0020615A" w:rsidRPr="0020615A" w:rsidRDefault="0020615A" w:rsidP="0020615A">
      <w:pPr>
        <w:jc w:val="both"/>
        <w:rPr>
          <w:rFonts w:ascii="Abadi" w:hAnsi="Abadi" w:cs="Arial"/>
          <w:b/>
          <w:bCs/>
          <w:smallCaps/>
          <w:sz w:val="21"/>
          <w:szCs w:val="21"/>
          <w:lang w:val="es-MX"/>
        </w:rPr>
      </w:pPr>
      <w:r w:rsidRPr="0020615A">
        <w:rPr>
          <w:rFonts w:ascii="Abadi" w:hAnsi="Abadi" w:cs="Arial"/>
          <w:b/>
          <w:bCs/>
          <w:smallCaps/>
          <w:sz w:val="21"/>
          <w:szCs w:val="21"/>
          <w:lang w:val="es-MX"/>
        </w:rPr>
        <w:t>C. Presidenta del Congreso del Estado</w:t>
      </w:r>
    </w:p>
    <w:p w14:paraId="1E79907A" w14:textId="77777777" w:rsidR="0020615A" w:rsidRPr="0020615A" w:rsidRDefault="0020615A" w:rsidP="0020615A">
      <w:pPr>
        <w:jc w:val="both"/>
        <w:rPr>
          <w:rFonts w:ascii="Abadi" w:hAnsi="Abadi" w:cs="Arial"/>
          <w:b/>
          <w:bCs/>
          <w:smallCaps/>
          <w:sz w:val="21"/>
          <w:szCs w:val="21"/>
        </w:rPr>
      </w:pPr>
      <w:r w:rsidRPr="0020615A">
        <w:rPr>
          <w:rFonts w:ascii="Abadi" w:hAnsi="Abadi" w:cs="Arial"/>
          <w:b/>
          <w:bCs/>
          <w:smallCaps/>
          <w:sz w:val="21"/>
          <w:szCs w:val="21"/>
        </w:rPr>
        <w:t>P r e s e n t e.</w:t>
      </w:r>
    </w:p>
    <w:p w14:paraId="38A869EB" w14:textId="77777777" w:rsidR="0020615A" w:rsidRPr="0020615A" w:rsidRDefault="0020615A" w:rsidP="0020615A">
      <w:pPr>
        <w:jc w:val="both"/>
        <w:rPr>
          <w:rFonts w:ascii="Abadi" w:hAnsi="Abadi" w:cs="Arial"/>
          <w:sz w:val="21"/>
          <w:szCs w:val="21"/>
          <w:lang w:val="es-MX" w:eastAsia="x-none"/>
        </w:rPr>
      </w:pPr>
    </w:p>
    <w:p w14:paraId="2FF42ECB" w14:textId="77777777" w:rsidR="0020615A" w:rsidRPr="0020615A" w:rsidRDefault="0020615A" w:rsidP="0020615A">
      <w:pPr>
        <w:ind w:firstLine="708"/>
        <w:jc w:val="both"/>
        <w:rPr>
          <w:rFonts w:ascii="Abadi" w:hAnsi="Abadi" w:cs="Arial"/>
          <w:sz w:val="21"/>
          <w:szCs w:val="21"/>
          <w:lang w:val="x-none" w:eastAsia="x-none"/>
        </w:rPr>
      </w:pPr>
      <w:r w:rsidRPr="0020615A">
        <w:rPr>
          <w:rFonts w:ascii="Abadi" w:hAnsi="Abadi" w:cs="Arial"/>
          <w:sz w:val="21"/>
          <w:szCs w:val="21"/>
          <w:lang w:val="x-none" w:eastAsia="x-none"/>
        </w:rPr>
        <w:t xml:space="preserve">A </w:t>
      </w:r>
      <w:r w:rsidRPr="0020615A">
        <w:rPr>
          <w:rFonts w:ascii="Abadi" w:hAnsi="Abadi" w:cs="Arial"/>
          <w:sz w:val="21"/>
          <w:szCs w:val="21"/>
          <w:lang w:val="es-MX" w:eastAsia="x-none"/>
        </w:rPr>
        <w:t>esta</w:t>
      </w:r>
      <w:r w:rsidRPr="0020615A">
        <w:rPr>
          <w:rFonts w:ascii="Abadi" w:hAnsi="Abadi" w:cs="Arial"/>
          <w:sz w:val="21"/>
          <w:szCs w:val="21"/>
          <w:lang w:val="x-none" w:eastAsia="x-none"/>
        </w:rPr>
        <w:t xml:space="preserve"> Comisión de Hacienda y Fiscalización</w:t>
      </w:r>
      <w:r w:rsidRPr="0020615A">
        <w:rPr>
          <w:rFonts w:ascii="Abadi" w:hAnsi="Abadi" w:cs="Arial"/>
          <w:sz w:val="21"/>
          <w:szCs w:val="21"/>
          <w:lang w:val="es-MX" w:eastAsia="x-none"/>
        </w:rPr>
        <w:t xml:space="preserve">, </w:t>
      </w:r>
      <w:r w:rsidRPr="0020615A">
        <w:rPr>
          <w:rFonts w:ascii="Abadi" w:hAnsi="Abadi" w:cs="Arial"/>
          <w:sz w:val="21"/>
          <w:szCs w:val="21"/>
          <w:lang w:val="x-none" w:eastAsia="x-none"/>
        </w:rPr>
        <w:t xml:space="preserve">le fue turnado para su estudio y dictamen, el informe de resultados de la revisión practicada por </w:t>
      </w:r>
      <w:r w:rsidRPr="0020615A">
        <w:rPr>
          <w:rFonts w:ascii="Abadi" w:hAnsi="Abadi" w:cs="Arial"/>
          <w:sz w:val="21"/>
          <w:szCs w:val="21"/>
          <w:lang w:val="es-MX" w:eastAsia="x-none"/>
        </w:rPr>
        <w:t xml:space="preserve">la </w:t>
      </w:r>
      <w:r w:rsidRPr="0020615A">
        <w:rPr>
          <w:rFonts w:ascii="Abadi" w:hAnsi="Abadi" w:cs="Arial"/>
          <w:sz w:val="21"/>
          <w:szCs w:val="21"/>
          <w:lang w:val="x-none" w:eastAsia="x-none"/>
        </w:rPr>
        <w:t xml:space="preserve">Auditoría Superior del Estado de Guanajuato, a la cuenta pública municipal de </w:t>
      </w:r>
      <w:r w:rsidRPr="0020615A">
        <w:rPr>
          <w:rFonts w:ascii="Abadi" w:hAnsi="Abadi" w:cs="Arial"/>
          <w:sz w:val="21"/>
          <w:szCs w:val="21"/>
          <w:lang w:val="es-MX" w:eastAsia="x-none"/>
        </w:rPr>
        <w:t>Salamanca</w:t>
      </w:r>
      <w:r w:rsidRPr="0020615A">
        <w:rPr>
          <w:rFonts w:ascii="Abadi" w:hAnsi="Abadi" w:cs="Arial"/>
          <w:sz w:val="21"/>
          <w:szCs w:val="21"/>
          <w:lang w:val="x-none" w:eastAsia="x-none"/>
        </w:rPr>
        <w:t xml:space="preserve">, Gto., correspondiente al ejercicio fiscal del año </w:t>
      </w:r>
      <w:r w:rsidRPr="0020615A">
        <w:rPr>
          <w:rFonts w:ascii="Abadi" w:hAnsi="Abadi" w:cs="Arial"/>
          <w:sz w:val="21"/>
          <w:szCs w:val="21"/>
          <w:lang w:val="es-MX" w:eastAsia="x-none"/>
        </w:rPr>
        <w:t>2020</w:t>
      </w:r>
      <w:r w:rsidRPr="0020615A">
        <w:rPr>
          <w:rFonts w:ascii="Abadi" w:hAnsi="Abadi" w:cs="Arial"/>
          <w:sz w:val="21"/>
          <w:szCs w:val="21"/>
          <w:lang w:val="x-none" w:eastAsia="x-none"/>
        </w:rPr>
        <w:t>.</w:t>
      </w:r>
    </w:p>
    <w:p w14:paraId="45B3F418" w14:textId="77777777" w:rsidR="0020615A" w:rsidRPr="0020615A" w:rsidRDefault="0020615A" w:rsidP="0020615A">
      <w:pPr>
        <w:ind w:firstLine="708"/>
        <w:jc w:val="both"/>
        <w:rPr>
          <w:rFonts w:ascii="Abadi" w:hAnsi="Abadi" w:cs="Arial"/>
          <w:sz w:val="21"/>
          <w:szCs w:val="21"/>
          <w:lang w:val="x-none" w:eastAsia="x-none"/>
        </w:rPr>
      </w:pPr>
    </w:p>
    <w:p w14:paraId="23A80819" w14:textId="77777777" w:rsidR="0020615A" w:rsidRPr="0020615A" w:rsidRDefault="0020615A" w:rsidP="0020615A">
      <w:pPr>
        <w:ind w:firstLine="708"/>
        <w:jc w:val="both"/>
        <w:rPr>
          <w:rFonts w:ascii="Abadi" w:hAnsi="Abadi" w:cs="Arial"/>
          <w:sz w:val="21"/>
          <w:szCs w:val="21"/>
          <w:lang w:val="x-none" w:eastAsia="x-none"/>
        </w:rPr>
      </w:pPr>
      <w:r w:rsidRPr="0020615A">
        <w:rPr>
          <w:rFonts w:ascii="Abadi" w:hAnsi="Abadi" w:cs="Arial"/>
          <w:sz w:val="21"/>
          <w:szCs w:val="21"/>
          <w:lang w:val="x-none" w:eastAsia="x-none"/>
        </w:rPr>
        <w:t>Una vez analizado el referido informe de resultados, con fundamento en lo dispuesto por los artículos 112, fracción XII</w:t>
      </w:r>
      <w:r w:rsidRPr="0020615A">
        <w:rPr>
          <w:rFonts w:ascii="Abadi" w:hAnsi="Abadi" w:cs="Arial"/>
          <w:sz w:val="21"/>
          <w:szCs w:val="21"/>
          <w:lang w:val="es-MX" w:eastAsia="x-none"/>
        </w:rPr>
        <w:t>, primer párrafo</w:t>
      </w:r>
      <w:r w:rsidRPr="0020615A">
        <w:rPr>
          <w:rFonts w:ascii="Abadi" w:hAnsi="Abadi" w:cs="Arial"/>
          <w:sz w:val="21"/>
          <w:szCs w:val="21"/>
          <w:lang w:val="x-none" w:eastAsia="x-none"/>
        </w:rPr>
        <w:t xml:space="preserve"> y 171 de </w:t>
      </w:r>
      <w:smartTag w:uri="urn:schemas-microsoft-com:office:smarttags" w:element="PersonName">
        <w:smartTagPr>
          <w:attr w:name="ProductID" w:val="la Ley Org￡nica"/>
        </w:smartTagPr>
        <w:r w:rsidRPr="0020615A">
          <w:rPr>
            <w:rFonts w:ascii="Abadi" w:hAnsi="Abadi" w:cs="Arial"/>
            <w:sz w:val="21"/>
            <w:szCs w:val="21"/>
            <w:lang w:val="x-none" w:eastAsia="x-none"/>
          </w:rPr>
          <w:t>la Ley Orgánica</w:t>
        </w:r>
      </w:smartTag>
      <w:r w:rsidRPr="0020615A">
        <w:rPr>
          <w:rFonts w:ascii="Abadi" w:hAnsi="Abadi" w:cs="Arial"/>
          <w:sz w:val="21"/>
          <w:szCs w:val="21"/>
          <w:lang w:val="x-none" w:eastAsia="x-none"/>
        </w:rPr>
        <w:t xml:space="preserve"> del Poder Legislativo, nos permitimos rendir el siguiente:</w:t>
      </w:r>
    </w:p>
    <w:p w14:paraId="004B7696" w14:textId="77777777" w:rsidR="0020615A" w:rsidRPr="0020615A" w:rsidRDefault="0020615A" w:rsidP="0020615A">
      <w:pPr>
        <w:ind w:firstLine="708"/>
        <w:jc w:val="both"/>
        <w:rPr>
          <w:rFonts w:ascii="Abadi" w:hAnsi="Abadi" w:cs="Arial"/>
          <w:sz w:val="21"/>
          <w:szCs w:val="21"/>
          <w:lang w:val="x-none" w:eastAsia="x-none"/>
        </w:rPr>
      </w:pPr>
    </w:p>
    <w:p w14:paraId="6A110140" w14:textId="77777777" w:rsidR="0020615A" w:rsidRPr="0020615A" w:rsidRDefault="0020615A" w:rsidP="0020615A">
      <w:pPr>
        <w:keepNext/>
        <w:jc w:val="center"/>
        <w:outlineLvl w:val="0"/>
        <w:rPr>
          <w:rFonts w:ascii="Abadi" w:eastAsia="Arial Unicode MS" w:hAnsi="Abadi" w:cs="Arial"/>
          <w:b/>
          <w:bCs/>
          <w:sz w:val="21"/>
          <w:szCs w:val="21"/>
        </w:rPr>
      </w:pPr>
      <w:r w:rsidRPr="0020615A">
        <w:rPr>
          <w:rFonts w:ascii="Abadi" w:eastAsia="Arial Unicode MS" w:hAnsi="Abadi" w:cs="Arial"/>
          <w:b/>
          <w:bCs/>
          <w:sz w:val="21"/>
          <w:szCs w:val="21"/>
        </w:rPr>
        <w:t>D i c t a m e n</w:t>
      </w:r>
    </w:p>
    <w:p w14:paraId="47144A1B" w14:textId="77777777" w:rsidR="0020615A" w:rsidRDefault="0020615A" w:rsidP="0020615A">
      <w:pPr>
        <w:ind w:firstLine="708"/>
        <w:jc w:val="both"/>
        <w:rPr>
          <w:rFonts w:ascii="Abadi" w:hAnsi="Abadi" w:cs="Arial"/>
          <w:b/>
          <w:bCs/>
          <w:sz w:val="21"/>
          <w:szCs w:val="21"/>
          <w:lang w:val="es-MX" w:eastAsia="x-none"/>
        </w:rPr>
      </w:pPr>
    </w:p>
    <w:p w14:paraId="2969ED43" w14:textId="3B51AADA" w:rsidR="0020615A" w:rsidRPr="0020615A" w:rsidRDefault="0020615A" w:rsidP="0020615A">
      <w:pPr>
        <w:ind w:firstLine="708"/>
        <w:jc w:val="both"/>
        <w:rPr>
          <w:rFonts w:ascii="Abadi" w:hAnsi="Abadi" w:cs="Arial"/>
          <w:b/>
          <w:bCs/>
          <w:sz w:val="21"/>
          <w:szCs w:val="21"/>
          <w:lang w:val="es-MX" w:eastAsia="x-none"/>
        </w:rPr>
      </w:pPr>
      <w:r w:rsidRPr="0020615A">
        <w:rPr>
          <w:rFonts w:ascii="Abadi" w:hAnsi="Abadi" w:cs="Arial"/>
          <w:b/>
          <w:bCs/>
          <w:sz w:val="21"/>
          <w:szCs w:val="21"/>
          <w:lang w:val="es-MX" w:eastAsia="x-none"/>
        </w:rPr>
        <w:t>I. Competencia:</w:t>
      </w:r>
    </w:p>
    <w:p w14:paraId="5FBFF29D" w14:textId="77777777" w:rsidR="0020615A" w:rsidRPr="0020615A" w:rsidRDefault="0020615A" w:rsidP="0020615A">
      <w:pPr>
        <w:ind w:firstLine="708"/>
        <w:jc w:val="both"/>
        <w:rPr>
          <w:rFonts w:ascii="Abadi" w:hAnsi="Abadi" w:cs="Arial"/>
          <w:b/>
          <w:bCs/>
          <w:sz w:val="21"/>
          <w:szCs w:val="21"/>
          <w:lang w:val="es-MX" w:eastAsia="x-none"/>
        </w:rPr>
      </w:pPr>
    </w:p>
    <w:p w14:paraId="61CB519E"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20615A">
          <w:rPr>
            <w:rFonts w:ascii="Abadi" w:hAnsi="Abadi" w:cs="Arial"/>
            <w:sz w:val="21"/>
            <w:szCs w:val="21"/>
            <w:lang w:val="es-MX" w:eastAsia="x-none"/>
          </w:rPr>
          <w:t>la Constitución Política</w:t>
        </w:r>
      </w:smartTag>
      <w:r w:rsidRPr="0020615A">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5006F968" w14:textId="77777777" w:rsidR="0020615A" w:rsidRPr="0020615A" w:rsidRDefault="0020615A" w:rsidP="0020615A">
      <w:pPr>
        <w:ind w:firstLine="708"/>
        <w:jc w:val="both"/>
        <w:rPr>
          <w:rFonts w:ascii="Abadi" w:hAnsi="Abadi" w:cs="Arial"/>
          <w:sz w:val="21"/>
          <w:szCs w:val="21"/>
          <w:lang w:val="es-MX" w:eastAsia="x-none"/>
        </w:rPr>
      </w:pPr>
    </w:p>
    <w:p w14:paraId="369AF0E9"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31E6F54F" w14:textId="77777777" w:rsidR="0020615A" w:rsidRPr="0020615A" w:rsidRDefault="0020615A" w:rsidP="0020615A">
      <w:pPr>
        <w:jc w:val="both"/>
        <w:rPr>
          <w:rFonts w:ascii="Abadi" w:hAnsi="Abadi" w:cs="Arial"/>
          <w:sz w:val="21"/>
          <w:szCs w:val="21"/>
          <w:lang w:val="es-MX" w:eastAsia="x-none"/>
        </w:rPr>
      </w:pPr>
    </w:p>
    <w:p w14:paraId="045D9E36"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20615A">
          <w:rPr>
            <w:rFonts w:ascii="Abadi" w:hAnsi="Abadi" w:cs="Arial"/>
            <w:sz w:val="21"/>
            <w:szCs w:val="21"/>
            <w:lang w:val="es-MX" w:eastAsia="x-none"/>
          </w:rPr>
          <w:t>la Constitución Política</w:t>
        </w:r>
      </w:smartTag>
      <w:r w:rsidRPr="0020615A">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168B2E2C" w14:textId="77777777" w:rsidR="0020615A" w:rsidRPr="0020615A" w:rsidRDefault="0020615A" w:rsidP="0020615A">
      <w:pPr>
        <w:ind w:firstLine="708"/>
        <w:jc w:val="both"/>
        <w:rPr>
          <w:rFonts w:ascii="Abadi" w:hAnsi="Abadi" w:cs="Arial"/>
          <w:sz w:val="21"/>
          <w:szCs w:val="21"/>
          <w:lang w:val="es-MX" w:eastAsia="x-none"/>
        </w:rPr>
      </w:pPr>
    </w:p>
    <w:p w14:paraId="74771C6E"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88AAEFC" w14:textId="77777777" w:rsidR="0020615A" w:rsidRPr="0020615A" w:rsidRDefault="0020615A" w:rsidP="0020615A">
      <w:pPr>
        <w:ind w:firstLine="708"/>
        <w:jc w:val="both"/>
        <w:rPr>
          <w:rFonts w:ascii="Abadi" w:hAnsi="Abadi" w:cs="Arial"/>
          <w:sz w:val="21"/>
          <w:szCs w:val="21"/>
          <w:lang w:val="es-MX" w:eastAsia="x-none"/>
        </w:rPr>
      </w:pPr>
    </w:p>
    <w:p w14:paraId="1B67B950"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 xml:space="preserve">De igual forma, el artículo 82, fracción XXIV de </w:t>
      </w:r>
      <w:smartTag w:uri="urn:schemas-microsoft-com:office:smarttags" w:element="PersonName">
        <w:smartTagPr>
          <w:attr w:name="ProductID" w:val="la Ley"/>
        </w:smartTagPr>
        <w:r w:rsidRPr="0020615A">
          <w:rPr>
            <w:rFonts w:ascii="Abadi" w:hAnsi="Abadi" w:cs="Arial"/>
            <w:sz w:val="21"/>
            <w:szCs w:val="21"/>
            <w:lang w:val="es-MX" w:eastAsia="x-none"/>
          </w:rPr>
          <w:t>la Ley</w:t>
        </w:r>
      </w:smartTag>
      <w:r w:rsidRPr="0020615A">
        <w:rPr>
          <w:rFonts w:ascii="Abadi" w:hAnsi="Abadi" w:cs="Arial"/>
          <w:sz w:val="21"/>
          <w:szCs w:val="21"/>
          <w:lang w:val="es-MX" w:eastAsia="x-none"/>
        </w:rPr>
        <w:t xml:space="preserve"> de Fiscalización Superior del Estado de Guanajuato consigna como atribución del Auditor Superior rendir al Congreso del Estado, los informes derivados del ejercicio de la función de fiscalización.</w:t>
      </w:r>
    </w:p>
    <w:p w14:paraId="753CFBA4" w14:textId="77777777" w:rsidR="0020615A" w:rsidRPr="0020615A" w:rsidRDefault="0020615A" w:rsidP="0020615A">
      <w:pPr>
        <w:ind w:firstLine="708"/>
        <w:jc w:val="both"/>
        <w:rPr>
          <w:rFonts w:ascii="Abadi" w:hAnsi="Abadi" w:cs="Arial"/>
          <w:sz w:val="21"/>
          <w:szCs w:val="21"/>
          <w:lang w:val="es-MX" w:eastAsia="x-none"/>
        </w:rPr>
      </w:pPr>
    </w:p>
    <w:p w14:paraId="3F8EAAA7"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5F35AE0B" w14:textId="77777777" w:rsidR="0020615A" w:rsidRPr="0020615A" w:rsidRDefault="0020615A" w:rsidP="0020615A">
      <w:pPr>
        <w:ind w:firstLine="708"/>
        <w:jc w:val="both"/>
        <w:rPr>
          <w:rFonts w:ascii="Abadi" w:hAnsi="Abadi" w:cs="Arial"/>
          <w:sz w:val="21"/>
          <w:szCs w:val="21"/>
          <w:lang w:val="es-MX" w:eastAsia="x-none"/>
        </w:rPr>
      </w:pPr>
    </w:p>
    <w:p w14:paraId="2962D2FC"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 xml:space="preserve">Con la finalidad de que el Congreso dé cumplimiento a lo señalado en el párrafo anterior, </w:t>
      </w:r>
      <w:smartTag w:uri="urn:schemas-microsoft-com:office:smarttags" w:element="PersonName">
        <w:smartTagPr>
          <w:attr w:name="ProductID" w:val="la Ley Org￡nica"/>
        </w:smartTagPr>
        <w:r w:rsidRPr="0020615A">
          <w:rPr>
            <w:rFonts w:ascii="Abadi" w:hAnsi="Abadi" w:cs="Arial"/>
            <w:sz w:val="21"/>
            <w:szCs w:val="21"/>
            <w:lang w:val="es-MX" w:eastAsia="x-none"/>
          </w:rPr>
          <w:t>la Ley Orgánica</w:t>
        </w:r>
      </w:smartTag>
      <w:r w:rsidRPr="0020615A">
        <w:rPr>
          <w:rFonts w:ascii="Abadi" w:hAnsi="Abadi" w:cs="Arial"/>
          <w:sz w:val="21"/>
          <w:szCs w:val="21"/>
          <w:lang w:val="es-MX" w:eastAsia="x-none"/>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4F44D21B" w14:textId="77777777" w:rsidR="0020615A" w:rsidRPr="0020615A" w:rsidRDefault="0020615A" w:rsidP="0020615A">
      <w:pPr>
        <w:ind w:firstLine="708"/>
        <w:jc w:val="both"/>
        <w:rPr>
          <w:rFonts w:ascii="Abadi" w:hAnsi="Abadi" w:cs="Arial"/>
          <w:sz w:val="21"/>
          <w:szCs w:val="21"/>
          <w:lang w:val="es-MX" w:eastAsia="x-none"/>
        </w:rPr>
      </w:pPr>
    </w:p>
    <w:p w14:paraId="1E3D375E"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2D81D7A8" w14:textId="77777777" w:rsidR="0020615A" w:rsidRPr="0020615A" w:rsidRDefault="0020615A" w:rsidP="0020615A">
      <w:pPr>
        <w:ind w:firstLine="708"/>
        <w:jc w:val="both"/>
        <w:rPr>
          <w:rFonts w:ascii="Abadi" w:hAnsi="Abadi" w:cs="Arial"/>
          <w:b/>
          <w:bCs/>
          <w:sz w:val="21"/>
          <w:szCs w:val="21"/>
          <w:lang w:val="es-MX" w:eastAsia="x-none"/>
        </w:rPr>
      </w:pPr>
      <w:r w:rsidRPr="0020615A">
        <w:rPr>
          <w:rFonts w:ascii="Abadi" w:hAnsi="Abadi" w:cs="Arial"/>
          <w:b/>
          <w:bCs/>
          <w:sz w:val="21"/>
          <w:szCs w:val="21"/>
          <w:lang w:val="es-MX" w:eastAsia="x-none"/>
        </w:rPr>
        <w:t>II. Antecedentes:</w:t>
      </w:r>
    </w:p>
    <w:p w14:paraId="693B1EF2" w14:textId="77777777" w:rsidR="0020615A" w:rsidRPr="0020615A" w:rsidRDefault="0020615A" w:rsidP="0020615A">
      <w:pPr>
        <w:ind w:firstLine="708"/>
        <w:jc w:val="both"/>
        <w:rPr>
          <w:rFonts w:ascii="Abadi" w:hAnsi="Abadi" w:cs="Arial"/>
          <w:sz w:val="21"/>
          <w:szCs w:val="21"/>
          <w:lang w:val="es-MX" w:eastAsia="x-none"/>
        </w:rPr>
      </w:pPr>
    </w:p>
    <w:p w14:paraId="1C1F1EBB"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20615A">
          <w:rPr>
            <w:rFonts w:ascii="Abadi" w:hAnsi="Abadi" w:cs="Arial"/>
            <w:sz w:val="21"/>
            <w:szCs w:val="21"/>
            <w:lang w:val="es-MX" w:eastAsia="x-none"/>
          </w:rPr>
          <w:t>la Constitución Política</w:t>
        </w:r>
      </w:smartTag>
      <w:r w:rsidRPr="0020615A">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70EAA63A" w14:textId="77777777" w:rsidR="0020615A" w:rsidRPr="0020615A" w:rsidRDefault="0020615A" w:rsidP="0020615A">
      <w:pPr>
        <w:ind w:firstLine="708"/>
        <w:jc w:val="both"/>
        <w:rPr>
          <w:rFonts w:ascii="Abadi" w:hAnsi="Abadi" w:cs="Arial"/>
          <w:sz w:val="21"/>
          <w:szCs w:val="21"/>
          <w:lang w:val="es-MX" w:eastAsia="x-none"/>
        </w:rPr>
      </w:pPr>
    </w:p>
    <w:p w14:paraId="74F7E50B"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Por su parte, el artículo 66 de la Constitución Política Local, establece que los sujetos de fiscalización presentarán al Congreso del Estado los informes financieros y su cuenta pública con la periodicidad, forma y términos que establezca la Ley.</w:t>
      </w:r>
    </w:p>
    <w:p w14:paraId="651ADF70" w14:textId="77777777" w:rsidR="0020615A" w:rsidRPr="0020615A" w:rsidRDefault="0020615A" w:rsidP="0020615A">
      <w:pPr>
        <w:ind w:firstLine="708"/>
        <w:jc w:val="both"/>
        <w:rPr>
          <w:rFonts w:ascii="Abadi" w:hAnsi="Abadi" w:cs="Arial"/>
          <w:sz w:val="21"/>
          <w:szCs w:val="21"/>
          <w:lang w:val="es-MX" w:eastAsia="x-none"/>
        </w:rPr>
      </w:pPr>
    </w:p>
    <w:p w14:paraId="52FAC30C"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 xml:space="preserve">La fracción III del artículo 3 de </w:t>
      </w:r>
      <w:smartTag w:uri="urn:schemas-microsoft-com:office:smarttags" w:element="PersonName">
        <w:smartTagPr>
          <w:attr w:name="ProductID" w:val="la Ley"/>
        </w:smartTagPr>
        <w:r w:rsidRPr="0020615A">
          <w:rPr>
            <w:rFonts w:ascii="Abadi" w:hAnsi="Abadi" w:cs="Arial"/>
            <w:sz w:val="21"/>
            <w:szCs w:val="21"/>
            <w:lang w:val="es-MX" w:eastAsia="x-none"/>
          </w:rPr>
          <w:t>la Ley</w:t>
        </w:r>
      </w:smartTag>
      <w:r w:rsidRPr="0020615A">
        <w:rPr>
          <w:rFonts w:ascii="Abadi" w:hAnsi="Abadi" w:cs="Arial"/>
          <w:sz w:val="21"/>
          <w:szCs w:val="21"/>
          <w:lang w:val="es-MX" w:eastAsia="x-none"/>
        </w:rPr>
        <w:t xml:space="preserve"> de Fiscalización Superior del Estado de Guanajuato señala que la Auditoría Superior del Estado será competente para fiscalizar la gestión financiera de los sujetos de fiscalización, a través de sus cuentas públicas.</w:t>
      </w:r>
    </w:p>
    <w:p w14:paraId="79198AC2" w14:textId="77777777" w:rsidR="0020615A" w:rsidRPr="0020615A" w:rsidRDefault="0020615A" w:rsidP="0020615A">
      <w:pPr>
        <w:ind w:firstLine="708"/>
        <w:jc w:val="both"/>
        <w:rPr>
          <w:rFonts w:ascii="Abadi" w:hAnsi="Abadi" w:cs="Arial"/>
          <w:sz w:val="21"/>
          <w:szCs w:val="21"/>
          <w:lang w:val="es-MX" w:eastAsia="x-none"/>
        </w:rPr>
      </w:pPr>
    </w:p>
    <w:p w14:paraId="63ED27CA"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1C1C5F34" w14:textId="77777777" w:rsidR="0020615A" w:rsidRPr="0020615A" w:rsidRDefault="0020615A" w:rsidP="0020615A">
      <w:pPr>
        <w:ind w:firstLine="708"/>
        <w:jc w:val="both"/>
        <w:rPr>
          <w:rFonts w:ascii="Abadi" w:hAnsi="Abadi" w:cs="Arial"/>
          <w:sz w:val="21"/>
          <w:szCs w:val="21"/>
          <w:lang w:val="es-MX" w:eastAsia="x-none"/>
        </w:rPr>
      </w:pPr>
    </w:p>
    <w:p w14:paraId="077D1A2C"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No será impedimento para que la Auditoría Superior del Estado realice la función de fiscalización, si la cuenta pública no está presentada y disponible en los plazos y requisitos señalados en la ley.</w:t>
      </w:r>
    </w:p>
    <w:p w14:paraId="6561BA03" w14:textId="77777777" w:rsidR="0020615A" w:rsidRPr="0020615A" w:rsidRDefault="0020615A" w:rsidP="0020615A">
      <w:pPr>
        <w:ind w:firstLine="708"/>
        <w:jc w:val="both"/>
        <w:rPr>
          <w:rFonts w:ascii="Abadi" w:hAnsi="Abadi" w:cs="Arial"/>
          <w:sz w:val="21"/>
          <w:szCs w:val="21"/>
          <w:lang w:val="es-MX" w:eastAsia="x-none"/>
        </w:rPr>
      </w:pPr>
    </w:p>
    <w:p w14:paraId="7129EF7C"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20615A">
          <w:rPr>
            <w:rFonts w:ascii="Abadi" w:hAnsi="Abadi" w:cs="Arial"/>
            <w:sz w:val="21"/>
            <w:szCs w:val="21"/>
            <w:lang w:val="es-MX" w:eastAsia="x-none"/>
          </w:rPr>
          <w:t>la Ley Orgánica</w:t>
        </w:r>
      </w:smartTag>
      <w:r w:rsidRPr="0020615A">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46749BC2" w14:textId="77777777" w:rsidR="0020615A" w:rsidRPr="0020615A" w:rsidRDefault="0020615A" w:rsidP="0020615A">
      <w:pPr>
        <w:jc w:val="both"/>
        <w:rPr>
          <w:rFonts w:ascii="Abadi" w:hAnsi="Abadi" w:cs="Arial"/>
          <w:sz w:val="21"/>
          <w:szCs w:val="21"/>
          <w:lang w:val="es-MX" w:eastAsia="x-none"/>
        </w:rPr>
      </w:pPr>
    </w:p>
    <w:p w14:paraId="028842B3" w14:textId="77777777" w:rsidR="0020615A" w:rsidRPr="0020615A" w:rsidRDefault="0020615A" w:rsidP="0020615A">
      <w:pPr>
        <w:ind w:right="60" w:firstLine="709"/>
        <w:jc w:val="both"/>
        <w:rPr>
          <w:rFonts w:ascii="Abadi" w:hAnsi="Abadi" w:cs="Arial"/>
          <w:sz w:val="21"/>
          <w:szCs w:val="21"/>
          <w:lang w:val="es-MX" w:eastAsia="x-none"/>
        </w:rPr>
      </w:pPr>
      <w:r w:rsidRPr="0020615A">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40738752" w14:textId="77777777" w:rsidR="0020615A" w:rsidRPr="0020615A" w:rsidRDefault="0020615A" w:rsidP="0020615A">
      <w:pPr>
        <w:ind w:right="58" w:firstLine="709"/>
        <w:jc w:val="both"/>
        <w:rPr>
          <w:rFonts w:ascii="Abadi" w:eastAsia="DejaVu Sans" w:hAnsi="Abadi" w:cs="Tahoma"/>
          <w:iCs/>
          <w:kern w:val="1"/>
          <w:sz w:val="21"/>
          <w:szCs w:val="21"/>
          <w:lang w:eastAsia="ar-SA"/>
        </w:rPr>
      </w:pPr>
    </w:p>
    <w:p w14:paraId="2B1B3AC5"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4EAA6A36" w14:textId="77777777" w:rsidR="0020615A" w:rsidRPr="0020615A" w:rsidRDefault="0020615A" w:rsidP="0020615A">
      <w:pPr>
        <w:ind w:firstLine="708"/>
        <w:jc w:val="both"/>
        <w:rPr>
          <w:rFonts w:ascii="Abadi" w:hAnsi="Abadi" w:cs="Arial"/>
          <w:sz w:val="21"/>
          <w:szCs w:val="21"/>
          <w:lang w:val="es-MX" w:eastAsia="x-none"/>
        </w:rPr>
      </w:pPr>
    </w:p>
    <w:p w14:paraId="7AB980DD"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3991AA07" w14:textId="77777777" w:rsidR="0020615A" w:rsidRPr="0020615A" w:rsidRDefault="0020615A" w:rsidP="0020615A">
      <w:pPr>
        <w:ind w:firstLine="708"/>
        <w:jc w:val="both"/>
        <w:rPr>
          <w:rFonts w:ascii="Abadi" w:hAnsi="Abadi" w:cs="Arial"/>
          <w:sz w:val="21"/>
          <w:szCs w:val="21"/>
          <w:lang w:val="es-MX" w:eastAsia="x-none"/>
        </w:rPr>
      </w:pPr>
    </w:p>
    <w:p w14:paraId="24349F3E" w14:textId="77777777" w:rsidR="0020615A" w:rsidRPr="0020615A" w:rsidRDefault="0020615A" w:rsidP="0020615A">
      <w:pPr>
        <w:ind w:right="60" w:firstLine="709"/>
        <w:jc w:val="both"/>
        <w:rPr>
          <w:rFonts w:ascii="Abadi" w:hAnsi="Abadi" w:cs="Arial"/>
          <w:sz w:val="21"/>
          <w:szCs w:val="21"/>
          <w:lang w:val="es-MX" w:eastAsia="x-none"/>
        </w:rPr>
      </w:pPr>
      <w:r w:rsidRPr="0020615A">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11CDD90E" w14:textId="77777777" w:rsidR="0020615A" w:rsidRPr="0020615A" w:rsidRDefault="0020615A" w:rsidP="0020615A">
      <w:pPr>
        <w:ind w:firstLine="708"/>
        <w:jc w:val="both"/>
        <w:rPr>
          <w:rFonts w:ascii="Abadi" w:hAnsi="Abadi" w:cs="Arial"/>
          <w:sz w:val="21"/>
          <w:szCs w:val="21"/>
          <w:lang w:eastAsia="x-none"/>
        </w:rPr>
      </w:pPr>
    </w:p>
    <w:p w14:paraId="210CA529"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7D28DCC6" w14:textId="77777777" w:rsidR="0020615A" w:rsidRPr="0020615A" w:rsidRDefault="0020615A" w:rsidP="0020615A">
      <w:pPr>
        <w:ind w:firstLine="708"/>
        <w:jc w:val="both"/>
        <w:rPr>
          <w:rFonts w:ascii="Abadi" w:hAnsi="Abadi" w:cs="Arial"/>
          <w:sz w:val="21"/>
          <w:szCs w:val="21"/>
          <w:lang w:val="es-MX" w:eastAsia="x-none"/>
        </w:rPr>
      </w:pPr>
    </w:p>
    <w:p w14:paraId="23AA91B1" w14:textId="77777777" w:rsidR="0020615A" w:rsidRPr="0020615A" w:rsidRDefault="0020615A" w:rsidP="0020615A">
      <w:pPr>
        <w:tabs>
          <w:tab w:val="left" w:pos="709"/>
        </w:tabs>
        <w:jc w:val="both"/>
        <w:rPr>
          <w:rFonts w:ascii="Abadi" w:hAnsi="Abadi" w:cs="Arial"/>
          <w:sz w:val="21"/>
          <w:szCs w:val="21"/>
          <w:lang w:val="es-MX" w:eastAsia="x-none"/>
        </w:rPr>
      </w:pPr>
      <w:r w:rsidRPr="0020615A">
        <w:rPr>
          <w:rFonts w:ascii="Abadi" w:hAnsi="Abadi" w:cs="Arial"/>
          <w:sz w:val="21"/>
          <w:szCs w:val="21"/>
        </w:rPr>
        <w:tab/>
        <w:t xml:space="preserve">El citado artículo también refiere </w:t>
      </w:r>
      <w:r w:rsidRPr="0020615A">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61A3ED38" w14:textId="77777777" w:rsidR="0020615A" w:rsidRPr="0020615A" w:rsidRDefault="0020615A" w:rsidP="0020615A">
      <w:pPr>
        <w:tabs>
          <w:tab w:val="left" w:pos="709"/>
        </w:tabs>
        <w:jc w:val="both"/>
        <w:rPr>
          <w:rFonts w:ascii="Abadi" w:hAnsi="Abadi" w:cs="Arial"/>
          <w:sz w:val="21"/>
          <w:szCs w:val="21"/>
          <w:lang w:val="es-MX" w:eastAsia="x-none"/>
        </w:rPr>
      </w:pPr>
      <w:r w:rsidRPr="0020615A">
        <w:rPr>
          <w:rFonts w:ascii="Abadi" w:hAnsi="Abadi" w:cs="Arial"/>
          <w:sz w:val="21"/>
          <w:szCs w:val="21"/>
          <w:lang w:val="es-MX" w:eastAsia="x-none"/>
        </w:rPr>
        <w:tab/>
        <w:t xml:space="preserve">En términos del numeral 23 de la </w:t>
      </w:r>
      <w:r w:rsidRPr="0020615A">
        <w:rPr>
          <w:rFonts w:ascii="Abadi" w:hAnsi="Abadi" w:cs="Arial"/>
          <w:sz w:val="21"/>
          <w:szCs w:val="21"/>
        </w:rPr>
        <w:t>Ley de Fiscalización Superior del Estado de Guanajuato, p</w:t>
      </w:r>
      <w:r w:rsidRPr="0020615A">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68D066D7" w14:textId="77777777" w:rsidR="0020615A" w:rsidRPr="0020615A" w:rsidRDefault="0020615A" w:rsidP="0020615A">
      <w:pPr>
        <w:tabs>
          <w:tab w:val="left" w:pos="709"/>
        </w:tabs>
        <w:jc w:val="both"/>
        <w:rPr>
          <w:rFonts w:ascii="Abadi" w:hAnsi="Abadi" w:cs="Arial"/>
          <w:sz w:val="21"/>
          <w:szCs w:val="21"/>
          <w:lang w:val="es-MX" w:eastAsia="x-none"/>
        </w:rPr>
      </w:pPr>
    </w:p>
    <w:p w14:paraId="1E063CB8"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705426EC" w14:textId="77777777" w:rsidR="0020615A" w:rsidRPr="0020615A" w:rsidRDefault="0020615A" w:rsidP="0020615A">
      <w:pPr>
        <w:ind w:firstLine="708"/>
        <w:jc w:val="both"/>
        <w:rPr>
          <w:rFonts w:ascii="Abadi" w:hAnsi="Abadi" w:cs="Arial"/>
          <w:sz w:val="21"/>
          <w:szCs w:val="21"/>
          <w:lang w:val="es-MX" w:eastAsia="x-none"/>
        </w:rPr>
      </w:pPr>
    </w:p>
    <w:p w14:paraId="676621E5"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En cumplimiento a los citados preceptos, en su oportunidad se remitió a este Congreso del Estado, la cuenta pública municipal de Salamanca, Gto., correspondiente al ejercicio fiscal del año 2020, turnándose a la Auditoría Superior del Estado para su revisión.</w:t>
      </w:r>
    </w:p>
    <w:p w14:paraId="542F3943" w14:textId="77777777" w:rsidR="0020615A" w:rsidRPr="0020615A" w:rsidRDefault="0020615A" w:rsidP="0020615A">
      <w:pPr>
        <w:ind w:firstLine="708"/>
        <w:jc w:val="both"/>
        <w:rPr>
          <w:rFonts w:ascii="Abadi" w:hAnsi="Abadi" w:cs="Arial"/>
          <w:sz w:val="21"/>
          <w:szCs w:val="21"/>
          <w:lang w:val="es-MX" w:eastAsia="x-none"/>
        </w:rPr>
      </w:pPr>
    </w:p>
    <w:p w14:paraId="32B4AED6" w14:textId="77777777" w:rsidR="0020615A" w:rsidRPr="0020615A" w:rsidRDefault="0020615A" w:rsidP="0020615A">
      <w:pPr>
        <w:ind w:firstLine="708"/>
        <w:jc w:val="both"/>
        <w:rPr>
          <w:rFonts w:ascii="Abadi" w:hAnsi="Abadi" w:cs="Arial"/>
          <w:sz w:val="21"/>
          <w:szCs w:val="21"/>
          <w:lang w:eastAsia="x-none"/>
        </w:rPr>
      </w:pPr>
      <w:r w:rsidRPr="0020615A">
        <w:rPr>
          <w:rFonts w:ascii="Abadi" w:hAnsi="Abadi" w:cs="Arial"/>
          <w:sz w:val="21"/>
          <w:szCs w:val="21"/>
          <w:lang w:eastAsia="x-none"/>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58A40602" w14:textId="77777777" w:rsidR="0020615A" w:rsidRPr="0020615A" w:rsidRDefault="0020615A" w:rsidP="0020615A">
      <w:pPr>
        <w:ind w:firstLine="708"/>
        <w:jc w:val="both"/>
        <w:rPr>
          <w:rFonts w:ascii="Abadi" w:hAnsi="Abadi" w:cs="Arial"/>
          <w:sz w:val="21"/>
          <w:szCs w:val="21"/>
          <w:lang w:val="es-MX" w:eastAsia="x-none"/>
        </w:rPr>
      </w:pPr>
    </w:p>
    <w:p w14:paraId="27875265"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En ejercicio de esta función, el Auditor Superior del Estado aprobó el Programa General de Fiscalización 2021. En dicho Programa se contempló la revisión de la cuenta pública municipal de Salamanca, Gto., correspondiente al ejercicio fiscal del año 2020.</w:t>
      </w:r>
    </w:p>
    <w:p w14:paraId="0D70B41A" w14:textId="77777777" w:rsidR="0020615A" w:rsidRPr="0020615A" w:rsidRDefault="0020615A" w:rsidP="0020615A">
      <w:pPr>
        <w:ind w:firstLine="708"/>
        <w:jc w:val="both"/>
        <w:rPr>
          <w:rFonts w:ascii="Abadi" w:hAnsi="Abadi" w:cs="Arial"/>
          <w:sz w:val="21"/>
          <w:szCs w:val="21"/>
          <w:lang w:val="es-MX" w:eastAsia="x-none"/>
        </w:rPr>
      </w:pPr>
    </w:p>
    <w:p w14:paraId="37BA00E5"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20615A">
        <w:rPr>
          <w:rFonts w:ascii="Abadi" w:hAnsi="Abadi" w:cs="Arial"/>
          <w:bCs/>
          <w:sz w:val="21"/>
          <w:szCs w:val="21"/>
          <w:lang w:val="es-MX" w:eastAsia="x-none"/>
        </w:rPr>
        <w:t>el 28 de abril de 2022</w:t>
      </w:r>
      <w:r w:rsidRPr="0020615A">
        <w:rPr>
          <w:rFonts w:ascii="Abadi" w:hAnsi="Abadi" w:cs="Arial"/>
          <w:sz w:val="21"/>
          <w:szCs w:val="21"/>
          <w:lang w:val="es-MX" w:eastAsia="x-none"/>
        </w:rPr>
        <w:t xml:space="preserve"> para su estudio y dictamen, siendo radicado el 5 de mayo del año en curso.</w:t>
      </w:r>
    </w:p>
    <w:p w14:paraId="75C1148D" w14:textId="77777777" w:rsidR="0020615A" w:rsidRPr="0020615A" w:rsidRDefault="0020615A" w:rsidP="0020615A">
      <w:pPr>
        <w:ind w:firstLine="708"/>
        <w:jc w:val="both"/>
        <w:rPr>
          <w:rFonts w:ascii="Abadi" w:hAnsi="Abadi" w:cs="Arial"/>
          <w:sz w:val="21"/>
          <w:szCs w:val="21"/>
          <w:lang w:val="es-MX" w:eastAsia="x-none"/>
        </w:rPr>
      </w:pPr>
    </w:p>
    <w:p w14:paraId="0B3E4A61" w14:textId="77777777" w:rsidR="0020615A" w:rsidRPr="0020615A" w:rsidRDefault="0020615A" w:rsidP="0020615A">
      <w:pPr>
        <w:ind w:firstLine="708"/>
        <w:jc w:val="both"/>
        <w:rPr>
          <w:rFonts w:ascii="Abadi" w:hAnsi="Abadi" w:cs="Arial"/>
          <w:sz w:val="21"/>
          <w:szCs w:val="21"/>
          <w:lang w:val="es-MX" w:eastAsia="x-none"/>
        </w:rPr>
      </w:pPr>
    </w:p>
    <w:p w14:paraId="6FB8271A" w14:textId="77777777" w:rsidR="0020615A" w:rsidRPr="0020615A" w:rsidRDefault="0020615A" w:rsidP="0020615A">
      <w:pPr>
        <w:ind w:firstLine="708"/>
        <w:jc w:val="both"/>
        <w:rPr>
          <w:rFonts w:ascii="Abadi" w:hAnsi="Abadi" w:cs="Arial"/>
          <w:b/>
          <w:bCs/>
          <w:sz w:val="21"/>
          <w:szCs w:val="21"/>
          <w:lang w:val="es-MX" w:eastAsia="x-none"/>
        </w:rPr>
      </w:pPr>
      <w:r w:rsidRPr="0020615A">
        <w:rPr>
          <w:rFonts w:ascii="Abadi" w:hAnsi="Abadi" w:cs="Arial"/>
          <w:b/>
          <w:bCs/>
          <w:sz w:val="21"/>
          <w:szCs w:val="21"/>
          <w:lang w:val="es-MX" w:eastAsia="x-none"/>
        </w:rPr>
        <w:t>III. Procedimiento de Revisión:</w:t>
      </w:r>
    </w:p>
    <w:p w14:paraId="06C115AC" w14:textId="77777777" w:rsidR="0020615A" w:rsidRPr="0020615A" w:rsidRDefault="0020615A" w:rsidP="0020615A">
      <w:pPr>
        <w:ind w:firstLine="708"/>
        <w:jc w:val="both"/>
        <w:rPr>
          <w:rFonts w:ascii="Abadi" w:hAnsi="Abadi" w:cs="Arial"/>
          <w:sz w:val="21"/>
          <w:szCs w:val="21"/>
          <w:lang w:val="es-MX" w:eastAsia="x-none"/>
        </w:rPr>
      </w:pPr>
    </w:p>
    <w:p w14:paraId="38691976"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La revisión de la cuenta pública municipal de Salamanca, Gto.,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3302A3A0" w14:textId="77777777" w:rsidR="0020615A" w:rsidRPr="0020615A" w:rsidRDefault="0020615A" w:rsidP="0020615A">
      <w:pPr>
        <w:ind w:firstLine="708"/>
        <w:jc w:val="both"/>
        <w:rPr>
          <w:rFonts w:ascii="Abadi" w:hAnsi="Abadi" w:cs="Arial"/>
          <w:sz w:val="21"/>
          <w:szCs w:val="21"/>
          <w:lang w:eastAsia="x-none"/>
        </w:rPr>
      </w:pPr>
    </w:p>
    <w:p w14:paraId="074C1036"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0C16AE5A" w14:textId="77777777" w:rsidR="0020615A" w:rsidRPr="0020615A" w:rsidRDefault="0020615A" w:rsidP="0020615A">
      <w:pPr>
        <w:ind w:firstLine="708"/>
        <w:jc w:val="both"/>
        <w:rPr>
          <w:rFonts w:ascii="Abadi" w:hAnsi="Abadi" w:cs="Arial"/>
          <w:sz w:val="21"/>
          <w:szCs w:val="21"/>
          <w:lang w:val="es-MX" w:eastAsia="x-none"/>
        </w:rPr>
      </w:pPr>
    </w:p>
    <w:p w14:paraId="5D2B7827"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128EAEA8" w14:textId="77777777" w:rsidR="0020615A" w:rsidRPr="0020615A" w:rsidRDefault="0020615A" w:rsidP="0020615A">
      <w:pPr>
        <w:jc w:val="both"/>
        <w:rPr>
          <w:rFonts w:ascii="Abadi" w:hAnsi="Abadi" w:cs="Arial"/>
          <w:sz w:val="21"/>
          <w:szCs w:val="21"/>
          <w:lang w:val="es-MX" w:eastAsia="x-none"/>
        </w:rPr>
      </w:pPr>
    </w:p>
    <w:p w14:paraId="06CF159D"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517CCC73" w14:textId="77777777" w:rsidR="0020615A" w:rsidRPr="0020615A" w:rsidRDefault="0020615A" w:rsidP="0020615A">
      <w:pPr>
        <w:ind w:firstLine="708"/>
        <w:jc w:val="both"/>
        <w:rPr>
          <w:rFonts w:ascii="Abadi" w:hAnsi="Abadi" w:cs="Arial"/>
          <w:sz w:val="21"/>
          <w:szCs w:val="21"/>
          <w:lang w:val="es-MX" w:eastAsia="x-none"/>
        </w:rPr>
      </w:pPr>
    </w:p>
    <w:p w14:paraId="3BBC3C42" w14:textId="77777777" w:rsidR="0020615A" w:rsidRPr="0020615A" w:rsidRDefault="0020615A" w:rsidP="0020615A">
      <w:pPr>
        <w:ind w:firstLine="705"/>
        <w:jc w:val="both"/>
        <w:rPr>
          <w:rFonts w:ascii="Abadi" w:hAnsi="Abadi" w:cs="Arial"/>
          <w:sz w:val="21"/>
          <w:szCs w:val="21"/>
          <w:lang w:val="es-MX" w:eastAsia="x-none"/>
        </w:rPr>
      </w:pPr>
      <w:r w:rsidRPr="0020615A">
        <w:rPr>
          <w:rFonts w:ascii="Abadi" w:hAnsi="Abadi" w:cs="Arial"/>
          <w:sz w:val="21"/>
          <w:szCs w:val="21"/>
          <w:lang w:val="es-MX" w:eastAsia="x-none"/>
        </w:rPr>
        <w:t>El informe de resultados establece que se practicó la revisión de la cuenta pública respecto de las operaciones realizadas por la administración municipal de Salamanca, Gto., correspondientes al ejercicio fiscal 2020, en lo referente a los apartados de ingresos y egresos.</w:t>
      </w:r>
    </w:p>
    <w:p w14:paraId="3F6079B5" w14:textId="77777777" w:rsidR="0020615A" w:rsidRPr="0020615A" w:rsidRDefault="0020615A" w:rsidP="0020615A">
      <w:pPr>
        <w:ind w:firstLine="705"/>
        <w:jc w:val="both"/>
        <w:rPr>
          <w:rFonts w:ascii="Abadi" w:hAnsi="Abadi" w:cs="Arial"/>
          <w:sz w:val="21"/>
          <w:szCs w:val="21"/>
          <w:lang w:val="es-MX" w:eastAsia="x-none"/>
        </w:rPr>
      </w:pPr>
    </w:p>
    <w:p w14:paraId="7329E466" w14:textId="77777777" w:rsidR="0020615A" w:rsidRPr="0020615A" w:rsidRDefault="0020615A" w:rsidP="0020615A">
      <w:pPr>
        <w:autoSpaceDE w:val="0"/>
        <w:autoSpaceDN w:val="0"/>
        <w:adjustRightInd w:val="0"/>
        <w:ind w:firstLine="708"/>
        <w:jc w:val="both"/>
        <w:rPr>
          <w:rFonts w:ascii="Abadi" w:hAnsi="Abadi" w:cs="Arial"/>
          <w:sz w:val="21"/>
          <w:szCs w:val="21"/>
          <w:lang w:val="es-MX" w:eastAsia="x-none"/>
        </w:rPr>
      </w:pPr>
      <w:r w:rsidRPr="0020615A">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117A5026" w14:textId="77777777" w:rsidR="0020615A" w:rsidRPr="0020615A" w:rsidRDefault="0020615A" w:rsidP="0020615A">
      <w:pPr>
        <w:jc w:val="both"/>
        <w:rPr>
          <w:rFonts w:ascii="Abadi" w:hAnsi="Abadi" w:cs="Arial"/>
          <w:sz w:val="21"/>
          <w:szCs w:val="21"/>
          <w:lang w:val="es-MX" w:eastAsia="x-none"/>
        </w:rPr>
      </w:pPr>
    </w:p>
    <w:p w14:paraId="1C617DD3"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6324CE15" w14:textId="77777777" w:rsidR="0020615A" w:rsidRPr="0020615A" w:rsidRDefault="0020615A" w:rsidP="0020615A">
      <w:pPr>
        <w:ind w:firstLine="708"/>
        <w:jc w:val="both"/>
        <w:rPr>
          <w:rFonts w:ascii="Abadi" w:hAnsi="Abadi" w:cs="Arial"/>
          <w:sz w:val="21"/>
          <w:szCs w:val="21"/>
          <w:lang w:val="es-MX" w:eastAsia="x-none"/>
        </w:rPr>
      </w:pPr>
    </w:p>
    <w:p w14:paraId="1602F1F2" w14:textId="77777777" w:rsidR="0020615A" w:rsidRPr="0020615A" w:rsidRDefault="0020615A" w:rsidP="0020615A">
      <w:pPr>
        <w:ind w:firstLine="708"/>
        <w:jc w:val="both"/>
        <w:rPr>
          <w:rFonts w:ascii="Abadi" w:hAnsi="Abadi" w:cs="Arial"/>
          <w:sz w:val="21"/>
          <w:szCs w:val="21"/>
        </w:rPr>
      </w:pPr>
      <w:r w:rsidRPr="0020615A">
        <w:rPr>
          <w:rFonts w:ascii="Abadi" w:hAnsi="Abadi" w:cs="Arial"/>
          <w:sz w:val="21"/>
          <w:szCs w:val="21"/>
        </w:rPr>
        <w:t xml:space="preserve">El 23 de junio de 2021 se notificó a la presidenta municipal de </w:t>
      </w:r>
      <w:r w:rsidRPr="0020615A">
        <w:rPr>
          <w:rFonts w:ascii="Abadi" w:hAnsi="Abadi" w:cs="Arial"/>
          <w:sz w:val="21"/>
          <w:szCs w:val="21"/>
          <w:lang w:val="es-MX"/>
        </w:rPr>
        <w:t>Salamanca</w:t>
      </w:r>
      <w:r w:rsidRPr="0020615A">
        <w:rPr>
          <w:rFonts w:ascii="Abadi" w:hAnsi="Abadi" w:cs="Arial"/>
          <w:sz w:val="21"/>
          <w:szCs w:val="21"/>
        </w:rPr>
        <w:t>, Gto., la orden de inicio del procedimiento de revisión de la cuenta pública.</w:t>
      </w:r>
    </w:p>
    <w:p w14:paraId="0A087D20" w14:textId="77777777" w:rsidR="0020615A" w:rsidRPr="0020615A" w:rsidRDefault="0020615A" w:rsidP="0020615A">
      <w:pPr>
        <w:ind w:firstLine="708"/>
        <w:jc w:val="both"/>
        <w:rPr>
          <w:rFonts w:ascii="Abadi" w:hAnsi="Abadi" w:cs="Arial"/>
          <w:sz w:val="21"/>
          <w:szCs w:val="21"/>
        </w:rPr>
      </w:pPr>
    </w:p>
    <w:p w14:paraId="02B4EE8C" w14:textId="77777777" w:rsidR="0020615A" w:rsidRPr="0020615A" w:rsidRDefault="0020615A" w:rsidP="0020615A">
      <w:pPr>
        <w:ind w:firstLine="708"/>
        <w:jc w:val="both"/>
        <w:rPr>
          <w:rFonts w:ascii="Abadi" w:hAnsi="Abadi" w:cs="Arial"/>
          <w:sz w:val="21"/>
          <w:szCs w:val="21"/>
        </w:rPr>
      </w:pPr>
      <w:r w:rsidRPr="0020615A">
        <w:rPr>
          <w:rFonts w:ascii="Abadi" w:hAnsi="Abadi" w:cs="Arial"/>
          <w:sz w:val="21"/>
          <w:szCs w:val="21"/>
        </w:rPr>
        <w:t xml:space="preserve">Posteriormente, en fechas 2 de diciembre de 2021 y 10 de enero de 2022, se notificó al presidente y a la ex-presidenta municipales de </w:t>
      </w:r>
      <w:r w:rsidRPr="0020615A">
        <w:rPr>
          <w:rFonts w:ascii="Abadi" w:hAnsi="Abadi" w:cs="Arial"/>
          <w:sz w:val="21"/>
          <w:szCs w:val="21"/>
          <w:lang w:val="es-MX"/>
        </w:rPr>
        <w:t>Salamanca</w:t>
      </w:r>
      <w:r w:rsidRPr="0020615A">
        <w:rPr>
          <w:rFonts w:ascii="Abadi" w:hAnsi="Abadi" w:cs="Arial"/>
          <w:sz w:val="21"/>
          <w:szCs w:val="21"/>
        </w:rPr>
        <w:t>, Gto., la suspensión del plazo de la revisión materia del presente dictamen, de conformidad con lo establecido en los Acuerdos de Suspensión de Plazos publicados en el Periódico Oficial del Gobierno del Estado de Guanajuato los días 19 de noviembre y 17 de diciembre de 2021.</w:t>
      </w:r>
    </w:p>
    <w:p w14:paraId="723033FE" w14:textId="77777777" w:rsidR="0020615A" w:rsidRPr="0020615A" w:rsidRDefault="0020615A" w:rsidP="0020615A">
      <w:pPr>
        <w:ind w:firstLine="708"/>
        <w:jc w:val="both"/>
        <w:rPr>
          <w:rFonts w:ascii="Abadi" w:hAnsi="Abadi" w:cs="Arial"/>
          <w:sz w:val="21"/>
          <w:szCs w:val="21"/>
        </w:rPr>
      </w:pPr>
    </w:p>
    <w:p w14:paraId="3E478DE3" w14:textId="77777777" w:rsidR="0020615A" w:rsidRPr="0020615A" w:rsidRDefault="0020615A" w:rsidP="0020615A">
      <w:pPr>
        <w:ind w:firstLine="708"/>
        <w:jc w:val="both"/>
        <w:rPr>
          <w:rFonts w:ascii="Abadi" w:hAnsi="Abadi" w:cs="Arial"/>
          <w:sz w:val="21"/>
          <w:szCs w:val="21"/>
        </w:rPr>
      </w:pPr>
      <w:r w:rsidRPr="0020615A">
        <w:rPr>
          <w:rFonts w:ascii="Abadi" w:hAnsi="Abadi" w:cs="Arial"/>
          <w:sz w:val="21"/>
          <w:szCs w:val="21"/>
        </w:rPr>
        <w:t xml:space="preserve">Los días 6 y 7 de diciembre de 2021, se notificó al presidente y a la ex-presidenta municipales de </w:t>
      </w:r>
      <w:r w:rsidRPr="0020615A">
        <w:rPr>
          <w:rFonts w:ascii="Abadi" w:hAnsi="Abadi" w:cs="Arial"/>
          <w:sz w:val="21"/>
          <w:szCs w:val="21"/>
          <w:lang w:val="es-MX"/>
        </w:rPr>
        <w:t>Salamanca</w:t>
      </w:r>
      <w:r w:rsidRPr="0020615A">
        <w:rPr>
          <w:rFonts w:ascii="Abadi" w:hAnsi="Abadi" w:cs="Arial"/>
          <w:sz w:val="21"/>
          <w:szCs w:val="21"/>
        </w:rPr>
        <w:t xml:space="preserve">, Gto., el pliego de observaciones y recomendaciones derivado de la revisión practicada a la cuenta pública municipal de </w:t>
      </w:r>
      <w:r w:rsidRPr="0020615A">
        <w:rPr>
          <w:rFonts w:ascii="Abadi" w:hAnsi="Abadi" w:cs="Arial"/>
          <w:sz w:val="21"/>
          <w:szCs w:val="21"/>
          <w:lang w:val="es-MX"/>
        </w:rPr>
        <w:t>Salamanca</w:t>
      </w:r>
      <w:r w:rsidRPr="0020615A">
        <w:rPr>
          <w:rFonts w:ascii="Abadi" w:hAnsi="Abadi" w:cs="Arial"/>
          <w:sz w:val="21"/>
          <w:szCs w:val="21"/>
        </w:rPr>
        <w:t>, Gto., correspondiente al ejercicio fiscal del año 2020, al cual se dio respuesta en fechas 17 de diciembre de 2021 y 10 de enero de 2022 por parte de la ex-presidenta, del presidente y de la tesorera municipales de Salamanca, Gto.</w:t>
      </w:r>
    </w:p>
    <w:p w14:paraId="5A1B1C8C" w14:textId="77777777" w:rsidR="0020615A" w:rsidRPr="0020615A" w:rsidRDefault="0020615A" w:rsidP="0020615A">
      <w:pPr>
        <w:ind w:firstLine="708"/>
        <w:jc w:val="both"/>
        <w:rPr>
          <w:rFonts w:ascii="Abadi" w:hAnsi="Abadi" w:cs="Arial"/>
          <w:sz w:val="21"/>
          <w:szCs w:val="21"/>
        </w:rPr>
      </w:pPr>
    </w:p>
    <w:p w14:paraId="669A39AC" w14:textId="3C87ECE4" w:rsid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 xml:space="preserve">El 28 de febrero de 2022, el informe de resultados se notificó al presidente y a la ex-presidenta municipales de Salamanca, Gto., para que, en su caso, hicieran valer el recurso de reconsideración previsto por los artículos del 48 al 55 de </w:t>
      </w:r>
      <w:smartTag w:uri="urn:schemas-microsoft-com:office:smarttags" w:element="PersonName">
        <w:smartTagPr>
          <w:attr w:name="ProductID" w:val="la Ley"/>
        </w:smartTagPr>
        <w:r w:rsidRPr="0020615A">
          <w:rPr>
            <w:rFonts w:ascii="Abadi" w:hAnsi="Abadi" w:cs="Arial"/>
            <w:sz w:val="21"/>
            <w:szCs w:val="21"/>
            <w:lang w:val="es-MX" w:eastAsia="x-none"/>
          </w:rPr>
          <w:t>la Ley</w:t>
        </w:r>
      </w:smartTag>
      <w:r w:rsidRPr="0020615A">
        <w:rPr>
          <w:rFonts w:ascii="Abadi" w:hAnsi="Abadi" w:cs="Arial"/>
          <w:sz w:val="21"/>
          <w:szCs w:val="21"/>
          <w:lang w:val="es-MX" w:eastAsia="x-none"/>
        </w:rPr>
        <w:t xml:space="preserve"> de Fiscalización Superior del Estado de Guanajuato, haciéndoles saber que contaban con un término de cinco días hábiles para tal efecto. Con lo anterior, se dio cumplimiento a la fracción IV del artículo 37 de la citada Ley.</w:t>
      </w:r>
    </w:p>
    <w:p w14:paraId="4597C17E" w14:textId="77777777" w:rsidR="0020615A" w:rsidRPr="0020615A" w:rsidRDefault="0020615A" w:rsidP="0020615A">
      <w:pPr>
        <w:ind w:firstLine="708"/>
        <w:jc w:val="both"/>
        <w:rPr>
          <w:rFonts w:ascii="Abadi" w:hAnsi="Abadi" w:cs="Arial"/>
          <w:sz w:val="21"/>
          <w:szCs w:val="21"/>
          <w:lang w:val="es-MX" w:eastAsia="x-none"/>
        </w:rPr>
      </w:pPr>
    </w:p>
    <w:p w14:paraId="45A3716C"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 xml:space="preserve">El 4 de marzo de 2022, dentro del plazo que prevé la fracción IV del artículo 37 de </w:t>
      </w:r>
      <w:smartTag w:uri="urn:schemas-microsoft-com:office:smarttags" w:element="PersonName">
        <w:smartTagPr>
          <w:attr w:name="ProductID" w:val="la Ley"/>
        </w:smartTagPr>
        <w:r w:rsidRPr="0020615A">
          <w:rPr>
            <w:rFonts w:ascii="Abadi" w:hAnsi="Abadi" w:cs="Arial"/>
            <w:sz w:val="21"/>
            <w:szCs w:val="21"/>
            <w:lang w:val="es-MX" w:eastAsia="x-none"/>
          </w:rPr>
          <w:t>la Ley</w:t>
        </w:r>
      </w:smartTag>
      <w:r w:rsidRPr="0020615A">
        <w:rPr>
          <w:rFonts w:ascii="Abadi" w:hAnsi="Abadi" w:cs="Arial"/>
          <w:sz w:val="21"/>
          <w:szCs w:val="21"/>
          <w:lang w:val="es-MX" w:eastAsia="x-none"/>
        </w:rPr>
        <w:t xml:space="preserve"> de Fiscalización Superior del Estado de Guanajuato, la ex-presidenta municipal de Salamanca, Gto., interpuso recurso de reconsideración en contra del informe de resultados de la revisión practicada a la cuenta pública de dicho Municipio, correspondiente al ejercicio fiscal del año 2020, siendo admitido dicho recurso, al colmarse los requisitos de procedibilidad previstos por el artículo 51 de </w:t>
      </w:r>
      <w:smartTag w:uri="urn:schemas-microsoft-com:office:smarttags" w:element="PersonName">
        <w:smartTagPr>
          <w:attr w:name="ProductID" w:val="la Ley"/>
        </w:smartTagPr>
        <w:r w:rsidRPr="0020615A">
          <w:rPr>
            <w:rFonts w:ascii="Abadi" w:hAnsi="Abadi" w:cs="Arial"/>
            <w:sz w:val="21"/>
            <w:szCs w:val="21"/>
            <w:lang w:val="es-MX" w:eastAsia="x-none"/>
          </w:rPr>
          <w:t>la Ley</w:t>
        </w:r>
      </w:smartTag>
      <w:r w:rsidRPr="0020615A">
        <w:rPr>
          <w:rFonts w:ascii="Abadi" w:hAnsi="Abadi" w:cs="Arial"/>
          <w:sz w:val="21"/>
          <w:szCs w:val="21"/>
          <w:lang w:val="es-MX" w:eastAsia="x-none"/>
        </w:rPr>
        <w:t xml:space="preserve"> de Fiscalización Superior del Estado de Guanajuato.</w:t>
      </w:r>
    </w:p>
    <w:p w14:paraId="2A431254" w14:textId="77777777" w:rsidR="0020615A" w:rsidRPr="0020615A" w:rsidRDefault="0020615A" w:rsidP="0020615A">
      <w:pPr>
        <w:ind w:firstLine="708"/>
        <w:jc w:val="both"/>
        <w:rPr>
          <w:rFonts w:ascii="Abadi" w:hAnsi="Abadi"/>
          <w:sz w:val="21"/>
          <w:szCs w:val="21"/>
        </w:rPr>
      </w:pPr>
    </w:p>
    <w:p w14:paraId="6A22EF0A"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Una vez tramitado el recurso, el Auditor Superior el 1 de abril de 2022 emitió la resolución correspondiente, a la cual haremos referencia en un apartado posterior, misma que se notificó a la ex-presidenta municipal de Salamanca, Gto., el 7 de abril de 2022.</w:t>
      </w:r>
    </w:p>
    <w:p w14:paraId="59393A42" w14:textId="77777777" w:rsidR="0020615A" w:rsidRPr="0020615A" w:rsidRDefault="0020615A" w:rsidP="0020615A">
      <w:pPr>
        <w:ind w:firstLine="708"/>
        <w:jc w:val="both"/>
        <w:rPr>
          <w:rFonts w:ascii="Abadi" w:hAnsi="Abadi" w:cs="Arial"/>
          <w:sz w:val="21"/>
          <w:szCs w:val="21"/>
          <w:lang w:val="es-MX" w:eastAsia="x-none"/>
        </w:rPr>
      </w:pPr>
    </w:p>
    <w:p w14:paraId="037CD7D6" w14:textId="77777777" w:rsidR="0020615A" w:rsidRPr="0020615A" w:rsidRDefault="0020615A" w:rsidP="0020615A">
      <w:pPr>
        <w:ind w:firstLine="708"/>
        <w:jc w:val="both"/>
        <w:rPr>
          <w:rFonts w:ascii="Abadi" w:hAnsi="Abadi" w:cs="Arial"/>
          <w:b/>
          <w:bCs/>
          <w:sz w:val="21"/>
          <w:szCs w:val="21"/>
          <w:lang w:eastAsia="x-none"/>
        </w:rPr>
      </w:pPr>
      <w:r w:rsidRPr="0020615A">
        <w:rPr>
          <w:rFonts w:ascii="Abadi" w:hAnsi="Abadi" w:cs="Arial"/>
          <w:b/>
          <w:bCs/>
          <w:sz w:val="21"/>
          <w:szCs w:val="21"/>
          <w:lang w:eastAsia="x-none"/>
        </w:rPr>
        <w:t>IV. Contenido del Informe de Resultados:</w:t>
      </w:r>
    </w:p>
    <w:p w14:paraId="6770E8C2" w14:textId="77777777" w:rsidR="0020615A" w:rsidRPr="0020615A" w:rsidRDefault="0020615A" w:rsidP="0020615A">
      <w:pPr>
        <w:jc w:val="both"/>
        <w:rPr>
          <w:rFonts w:ascii="Abadi" w:hAnsi="Abadi" w:cs="Arial"/>
          <w:b/>
          <w:bCs/>
          <w:sz w:val="21"/>
          <w:szCs w:val="21"/>
          <w:lang w:eastAsia="x-none"/>
        </w:rPr>
      </w:pPr>
    </w:p>
    <w:p w14:paraId="719E4745" w14:textId="77777777" w:rsidR="0020615A" w:rsidRPr="0020615A" w:rsidRDefault="0020615A" w:rsidP="0020615A">
      <w:pPr>
        <w:jc w:val="both"/>
        <w:rPr>
          <w:rFonts w:ascii="Abadi" w:hAnsi="Abadi" w:cs="Arial"/>
          <w:sz w:val="21"/>
          <w:szCs w:val="21"/>
          <w:lang w:eastAsia="x-none"/>
        </w:rPr>
      </w:pPr>
      <w:r w:rsidRPr="0020615A">
        <w:rPr>
          <w:rFonts w:ascii="Abadi" w:hAnsi="Abadi" w:cs="Arial"/>
          <w:b/>
          <w:bCs/>
          <w:sz w:val="21"/>
          <w:szCs w:val="21"/>
          <w:lang w:eastAsia="x-none"/>
        </w:rPr>
        <w:tab/>
      </w:r>
      <w:r w:rsidRPr="0020615A">
        <w:rPr>
          <w:rFonts w:ascii="Abadi" w:hAnsi="Abadi" w:cs="Arial"/>
          <w:bCs/>
          <w:sz w:val="21"/>
          <w:szCs w:val="21"/>
          <w:lang w:eastAsia="x-none"/>
        </w:rPr>
        <w:t>En cumplimiento a lo establecido por el</w:t>
      </w:r>
      <w:r w:rsidRPr="0020615A">
        <w:rPr>
          <w:rFonts w:ascii="Abadi" w:hAnsi="Abadi" w:cs="Arial"/>
          <w:sz w:val="21"/>
          <w:szCs w:val="21"/>
          <w:lang w:eastAsia="x-none"/>
        </w:rPr>
        <w:t xml:space="preserve"> artículo 37, fracción III de la Ley de Fiscalización Superior del Estado, el informe de resultados contiene los siguientes apartados:</w:t>
      </w:r>
    </w:p>
    <w:p w14:paraId="60211860" w14:textId="77777777" w:rsidR="0020615A" w:rsidRPr="0020615A" w:rsidRDefault="0020615A" w:rsidP="0020615A">
      <w:pPr>
        <w:jc w:val="both"/>
        <w:rPr>
          <w:rFonts w:ascii="Abadi" w:hAnsi="Abadi" w:cs="Arial"/>
          <w:sz w:val="21"/>
          <w:szCs w:val="21"/>
          <w:lang w:eastAsia="x-none"/>
        </w:rPr>
      </w:pPr>
    </w:p>
    <w:p w14:paraId="70B113E2" w14:textId="77777777" w:rsidR="0020615A" w:rsidRPr="0020615A" w:rsidRDefault="0020615A" w:rsidP="001A28E5">
      <w:pPr>
        <w:numPr>
          <w:ilvl w:val="0"/>
          <w:numId w:val="91"/>
        </w:numPr>
        <w:jc w:val="both"/>
        <w:rPr>
          <w:rFonts w:ascii="Abadi" w:hAnsi="Abadi" w:cs="Arial"/>
          <w:b/>
          <w:bCs/>
          <w:sz w:val="21"/>
          <w:szCs w:val="21"/>
          <w:lang w:eastAsia="x-none"/>
        </w:rPr>
      </w:pPr>
      <w:r w:rsidRPr="0020615A">
        <w:rPr>
          <w:rFonts w:ascii="Abadi" w:hAnsi="Abadi" w:cs="Arial"/>
          <w:b/>
          <w:bCs/>
          <w:sz w:val="21"/>
          <w:szCs w:val="21"/>
          <w:lang w:eastAsia="x-none"/>
        </w:rPr>
        <w:t>Introducción.</w:t>
      </w:r>
    </w:p>
    <w:p w14:paraId="5454AC5A" w14:textId="77777777" w:rsidR="0020615A" w:rsidRPr="0020615A" w:rsidRDefault="0020615A" w:rsidP="0020615A">
      <w:pPr>
        <w:ind w:left="705"/>
        <w:jc w:val="both"/>
        <w:rPr>
          <w:rFonts w:ascii="Abadi" w:hAnsi="Abadi" w:cs="Arial"/>
          <w:b/>
          <w:bCs/>
          <w:sz w:val="21"/>
          <w:szCs w:val="21"/>
          <w:lang w:eastAsia="x-none"/>
        </w:rPr>
      </w:pPr>
    </w:p>
    <w:p w14:paraId="4F64DE39" w14:textId="77777777" w:rsidR="0020615A" w:rsidRPr="0020615A" w:rsidRDefault="0020615A" w:rsidP="0020615A">
      <w:pPr>
        <w:ind w:firstLine="705"/>
        <w:jc w:val="both"/>
        <w:rPr>
          <w:rFonts w:ascii="Abadi" w:hAnsi="Abadi" w:cs="Arial"/>
          <w:sz w:val="21"/>
          <w:szCs w:val="21"/>
          <w:lang w:eastAsia="x-none"/>
        </w:rPr>
      </w:pPr>
      <w:r w:rsidRPr="0020615A">
        <w:rPr>
          <w:rFonts w:ascii="Abadi" w:hAnsi="Abadi" w:cs="Arial"/>
          <w:sz w:val="21"/>
          <w:szCs w:val="21"/>
          <w:lang w:eastAsia="x-none"/>
        </w:rPr>
        <w:t xml:space="preserve">Por lo que se refiere a este punto, se establecen los criterios de selección; el objetivo de la revisión; el alcance de la revisión respecto a los apartados de ingresos y egresos, </w:t>
      </w:r>
      <w:r w:rsidRPr="0020615A">
        <w:rPr>
          <w:rFonts w:ascii="Abadi" w:hAnsi="Abadi" w:cs="Arial"/>
          <w:sz w:val="21"/>
          <w:szCs w:val="21"/>
          <w:lang w:val="es-MX" w:eastAsia="x-none"/>
        </w:rPr>
        <w:t>precisando que el detalle de los alcances de la revisión se consigna en el Anexo 01 del informe de resultados.</w:t>
      </w:r>
    </w:p>
    <w:p w14:paraId="6BAE0F44" w14:textId="77777777" w:rsidR="0020615A" w:rsidRPr="0020615A" w:rsidRDefault="0020615A" w:rsidP="0020615A">
      <w:pPr>
        <w:ind w:firstLine="705"/>
        <w:jc w:val="both"/>
        <w:rPr>
          <w:rFonts w:ascii="Abadi" w:hAnsi="Abadi" w:cs="Arial"/>
          <w:sz w:val="21"/>
          <w:szCs w:val="21"/>
          <w:lang w:eastAsia="x-none"/>
        </w:rPr>
      </w:pPr>
    </w:p>
    <w:p w14:paraId="0F8C8663" w14:textId="77777777" w:rsidR="0020615A" w:rsidRPr="0020615A" w:rsidRDefault="0020615A" w:rsidP="0020615A">
      <w:pPr>
        <w:ind w:firstLine="705"/>
        <w:jc w:val="both"/>
        <w:rPr>
          <w:rFonts w:ascii="Abadi" w:hAnsi="Abadi" w:cs="Arial"/>
          <w:sz w:val="21"/>
          <w:szCs w:val="21"/>
          <w:lang w:eastAsia="x-none"/>
        </w:rPr>
      </w:pPr>
      <w:r w:rsidRPr="0020615A">
        <w:rPr>
          <w:rFonts w:ascii="Abadi" w:hAnsi="Abadi" w:cs="Arial"/>
          <w:sz w:val="21"/>
          <w:szCs w:val="21"/>
          <w:lang w:eastAsia="x-none"/>
        </w:rPr>
        <w:t>También en este apartado se precisan los procedimientos de auditoría aplicados, siendo estos: inspección, observación, confirmación externa, recálculo, procedimientos analíticos, re ejecución e indagación.</w:t>
      </w:r>
    </w:p>
    <w:p w14:paraId="1D0C3FFC" w14:textId="77777777" w:rsidR="0020615A" w:rsidRPr="0020615A" w:rsidRDefault="0020615A" w:rsidP="0020615A">
      <w:pPr>
        <w:ind w:firstLine="705"/>
        <w:jc w:val="both"/>
        <w:rPr>
          <w:rFonts w:ascii="Abadi" w:hAnsi="Abadi" w:cs="Arial"/>
          <w:sz w:val="21"/>
          <w:szCs w:val="21"/>
          <w:lang w:eastAsia="x-none"/>
        </w:rPr>
      </w:pPr>
    </w:p>
    <w:p w14:paraId="79FF6CFA" w14:textId="77777777" w:rsidR="0020615A" w:rsidRPr="0020615A" w:rsidRDefault="0020615A" w:rsidP="0020615A">
      <w:pPr>
        <w:ind w:firstLine="705"/>
        <w:jc w:val="both"/>
        <w:rPr>
          <w:rFonts w:ascii="Abadi" w:hAnsi="Abadi" w:cs="Arial"/>
          <w:sz w:val="21"/>
          <w:szCs w:val="21"/>
          <w:lang w:eastAsia="x-none"/>
        </w:rPr>
      </w:pPr>
      <w:r w:rsidRPr="0020615A">
        <w:rPr>
          <w:rFonts w:ascii="Abadi" w:hAnsi="Abadi" w:cs="Arial"/>
          <w:sz w:val="21"/>
          <w:szCs w:val="21"/>
          <w:lang w:eastAsia="x-none"/>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5704A922" w14:textId="77777777" w:rsidR="0020615A" w:rsidRPr="0020615A" w:rsidRDefault="0020615A" w:rsidP="0020615A">
      <w:pPr>
        <w:jc w:val="both"/>
        <w:rPr>
          <w:rFonts w:ascii="Abadi" w:hAnsi="Abadi"/>
          <w:i/>
          <w:iCs/>
          <w:sz w:val="21"/>
          <w:szCs w:val="21"/>
          <w:lang w:eastAsia="x-none"/>
        </w:rPr>
      </w:pPr>
    </w:p>
    <w:p w14:paraId="68D94FFF" w14:textId="77777777" w:rsidR="0020615A" w:rsidRPr="0020615A" w:rsidRDefault="0020615A" w:rsidP="0020615A">
      <w:pPr>
        <w:jc w:val="both"/>
        <w:rPr>
          <w:rFonts w:ascii="Abadi" w:hAnsi="Abadi" w:cs="Arial"/>
          <w:i/>
          <w:iCs/>
          <w:sz w:val="21"/>
          <w:szCs w:val="21"/>
          <w:lang w:eastAsia="x-none"/>
        </w:rPr>
      </w:pPr>
      <w:r w:rsidRPr="0020615A">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73DED0E3" w14:textId="77777777" w:rsidR="0020615A" w:rsidRPr="0020615A" w:rsidRDefault="0020615A" w:rsidP="0020615A">
      <w:pPr>
        <w:rPr>
          <w:rFonts w:ascii="Abadi" w:hAnsi="Abadi" w:cs="Arial"/>
          <w:i/>
          <w:iCs/>
          <w:sz w:val="21"/>
          <w:szCs w:val="21"/>
          <w:lang w:eastAsia="x-none"/>
        </w:rPr>
      </w:pPr>
    </w:p>
    <w:p w14:paraId="460079D8" w14:textId="77777777" w:rsidR="0020615A" w:rsidRPr="0020615A" w:rsidRDefault="0020615A" w:rsidP="0020615A">
      <w:pPr>
        <w:jc w:val="both"/>
        <w:rPr>
          <w:rFonts w:ascii="Abadi" w:hAnsi="Abadi" w:cs="Arial"/>
          <w:i/>
          <w:iCs/>
          <w:sz w:val="21"/>
          <w:szCs w:val="21"/>
          <w:lang w:eastAsia="x-none"/>
        </w:rPr>
      </w:pPr>
      <w:r w:rsidRPr="0020615A">
        <w:rPr>
          <w:rFonts w:ascii="Abadi" w:hAnsi="Abadi" w:cs="Arial"/>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1B4F242B" w14:textId="77777777" w:rsidR="0020615A" w:rsidRPr="0020615A" w:rsidRDefault="0020615A" w:rsidP="0020615A">
      <w:pPr>
        <w:jc w:val="both"/>
        <w:rPr>
          <w:rFonts w:ascii="Abadi" w:hAnsi="Abadi" w:cs="Arial"/>
          <w:i/>
          <w:iCs/>
          <w:sz w:val="21"/>
          <w:szCs w:val="21"/>
          <w:lang w:eastAsia="x-none"/>
        </w:rPr>
      </w:pPr>
    </w:p>
    <w:p w14:paraId="462B5126" w14:textId="77777777" w:rsidR="0020615A" w:rsidRPr="0020615A" w:rsidRDefault="0020615A" w:rsidP="0020615A">
      <w:pPr>
        <w:jc w:val="both"/>
        <w:rPr>
          <w:rFonts w:ascii="Abadi" w:hAnsi="Abadi" w:cs="Arial"/>
          <w:i/>
          <w:iCs/>
          <w:sz w:val="21"/>
          <w:szCs w:val="21"/>
          <w:lang w:eastAsia="x-none"/>
        </w:rPr>
      </w:pPr>
      <w:r w:rsidRPr="0020615A">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06D4FC3E" w14:textId="77777777" w:rsidR="0020615A" w:rsidRPr="0020615A" w:rsidRDefault="0020615A" w:rsidP="0020615A">
      <w:pPr>
        <w:jc w:val="both"/>
        <w:rPr>
          <w:rFonts w:ascii="Abadi" w:hAnsi="Abadi" w:cs="Arial"/>
          <w:i/>
          <w:iCs/>
          <w:sz w:val="21"/>
          <w:szCs w:val="21"/>
          <w:lang w:eastAsia="x-none"/>
        </w:rPr>
      </w:pPr>
    </w:p>
    <w:p w14:paraId="33DD9D68" w14:textId="77777777" w:rsidR="0020615A" w:rsidRPr="0020615A" w:rsidRDefault="0020615A" w:rsidP="0020615A">
      <w:pPr>
        <w:ind w:firstLine="705"/>
        <w:jc w:val="both"/>
        <w:rPr>
          <w:rFonts w:ascii="Abadi" w:hAnsi="Abadi" w:cs="Arial"/>
          <w:sz w:val="21"/>
          <w:szCs w:val="21"/>
          <w:lang w:eastAsia="x-none"/>
        </w:rPr>
      </w:pPr>
      <w:r w:rsidRPr="0020615A">
        <w:rPr>
          <w:rFonts w:ascii="Abadi" w:hAnsi="Abadi" w:cs="Arial"/>
          <w:sz w:val="21"/>
          <w:szCs w:val="21"/>
          <w:lang w:eastAsia="x-none"/>
        </w:rPr>
        <w:t xml:space="preserve">Derivado de lo anterior, en el proceso de auditoría se inspeccionó que los comprobantes fiscales que soportan las erogaciones del ente fiscalizado, no correspondan a contribuyentes que se encuentren en los supuestos previstos en el artículo 69-B del Código Fiscal de la Federación, empresas que facturan operaciones simuladas o inexistentes con el carácter de </w:t>
      </w:r>
      <w:r w:rsidRPr="0020615A">
        <w:rPr>
          <w:rFonts w:ascii="Abadi" w:hAnsi="Abadi" w:cs="Arial"/>
          <w:i/>
          <w:iCs/>
          <w:sz w:val="21"/>
          <w:szCs w:val="21"/>
          <w:lang w:eastAsia="x-none"/>
        </w:rPr>
        <w:t>«Definitivos»,</w:t>
      </w:r>
      <w:r w:rsidRPr="0020615A">
        <w:rPr>
          <w:rFonts w:ascii="Abadi" w:hAnsi="Abadi" w:cs="Arial"/>
          <w:sz w:val="21"/>
          <w:szCs w:val="21"/>
          <w:lang w:eastAsia="x-none"/>
        </w:rPr>
        <w:t xml:space="preserve"> emitidas por el Servicio de Administración Tributaria.</w:t>
      </w:r>
    </w:p>
    <w:p w14:paraId="57EC722D" w14:textId="77777777" w:rsidR="0020615A" w:rsidRPr="0020615A" w:rsidRDefault="0020615A" w:rsidP="0020615A">
      <w:pPr>
        <w:ind w:firstLine="705"/>
        <w:jc w:val="both"/>
        <w:rPr>
          <w:rFonts w:ascii="Abadi" w:hAnsi="Abadi" w:cs="Arial"/>
          <w:sz w:val="21"/>
          <w:szCs w:val="21"/>
          <w:lang w:val="es-MX" w:eastAsia="x-none"/>
        </w:rPr>
      </w:pPr>
    </w:p>
    <w:p w14:paraId="24E5088F" w14:textId="77777777" w:rsidR="0020615A" w:rsidRPr="0020615A" w:rsidRDefault="0020615A" w:rsidP="0020615A">
      <w:pPr>
        <w:ind w:firstLine="705"/>
        <w:jc w:val="both"/>
        <w:rPr>
          <w:rFonts w:ascii="Abadi" w:hAnsi="Abadi" w:cs="Arial"/>
          <w:sz w:val="21"/>
          <w:szCs w:val="21"/>
          <w:lang w:eastAsia="x-none"/>
        </w:rPr>
      </w:pPr>
      <w:r w:rsidRPr="0020615A">
        <w:rPr>
          <w:rFonts w:ascii="Abadi" w:hAnsi="Abadi" w:cs="Arial"/>
          <w:sz w:val="21"/>
          <w:szCs w:val="21"/>
          <w:lang w:eastAsia="x-none"/>
        </w:rPr>
        <w:t>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y 2019);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0186121F" w14:textId="77777777" w:rsidR="0020615A" w:rsidRPr="0020615A" w:rsidRDefault="0020615A" w:rsidP="0020615A">
      <w:pPr>
        <w:ind w:firstLine="705"/>
        <w:jc w:val="both"/>
        <w:rPr>
          <w:rFonts w:ascii="Abadi" w:hAnsi="Abadi"/>
          <w:sz w:val="21"/>
          <w:szCs w:val="21"/>
          <w:lang w:eastAsia="x-none"/>
        </w:rPr>
      </w:pPr>
    </w:p>
    <w:p w14:paraId="0F71DD45" w14:textId="77777777" w:rsidR="0020615A" w:rsidRPr="0020615A" w:rsidRDefault="0020615A" w:rsidP="0020615A">
      <w:pPr>
        <w:ind w:firstLine="705"/>
        <w:jc w:val="both"/>
        <w:rPr>
          <w:rFonts w:ascii="Abadi" w:hAnsi="Abadi" w:cs="Arial"/>
          <w:sz w:val="21"/>
          <w:szCs w:val="21"/>
          <w:lang w:val="es-MX" w:eastAsia="x-none"/>
        </w:rPr>
      </w:pPr>
      <w:r w:rsidRPr="0020615A">
        <w:rPr>
          <w:rFonts w:ascii="Abadi" w:hAnsi="Abadi" w:cs="Arial"/>
          <w:sz w:val="21"/>
          <w:szCs w:val="21"/>
          <w:lang w:val="es-MX" w:eastAsia="x-none"/>
        </w:rPr>
        <w:t>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fiscalizado;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fiscalizado.</w:t>
      </w:r>
    </w:p>
    <w:p w14:paraId="1E4267C7" w14:textId="77777777" w:rsidR="0020615A" w:rsidRPr="0020615A" w:rsidRDefault="0020615A" w:rsidP="0020615A">
      <w:pPr>
        <w:ind w:firstLine="705"/>
        <w:jc w:val="both"/>
        <w:rPr>
          <w:rFonts w:ascii="Abadi" w:hAnsi="Abadi" w:cs="Arial"/>
          <w:sz w:val="21"/>
          <w:szCs w:val="21"/>
          <w:lang w:val="es-MX" w:eastAsia="x-none"/>
        </w:rPr>
      </w:pPr>
    </w:p>
    <w:p w14:paraId="7493F5C0" w14:textId="77777777" w:rsidR="0020615A" w:rsidRPr="0020615A" w:rsidRDefault="0020615A" w:rsidP="0020615A">
      <w:pPr>
        <w:ind w:firstLine="705"/>
        <w:jc w:val="both"/>
        <w:rPr>
          <w:rFonts w:ascii="Abadi" w:hAnsi="Abadi" w:cs="Arial"/>
          <w:sz w:val="21"/>
          <w:szCs w:val="21"/>
          <w:lang w:val="es-MX" w:eastAsia="x-none"/>
        </w:rPr>
      </w:pPr>
      <w:r w:rsidRPr="0020615A">
        <w:rPr>
          <w:rFonts w:ascii="Abadi" w:hAnsi="Abadi" w:cs="Arial"/>
          <w:sz w:val="21"/>
          <w:szCs w:val="21"/>
          <w:lang w:val="es-MX" w:eastAsia="x-none"/>
        </w:rPr>
        <w:t>En este orden de ideas, cabe precisar que, a fin de fomentar la participación ciudadana, la Auditoría Superior del Estado cuenta con diversos mecanismos para recibir solicitudes, denuncias y sugerencias, relacionados con hechos presuntamente irregulares en la captación, manejo y utilización de los recursos públicos, desvío de recursos hacia fines distintos a lo autorizado, entre otros supuestos de procedencia. Derivado de lo cual se recibió una solicitud ciudadana que fue remitida formalmente, de la que, una vez aplicados los procedimientos de auditoría inherentes, no se obtuvieron observaciones o recomendaciones para integrarlas al informe de resultados.</w:t>
      </w:r>
    </w:p>
    <w:p w14:paraId="6B47AEA3" w14:textId="77777777" w:rsidR="0020615A" w:rsidRPr="0020615A" w:rsidRDefault="0020615A" w:rsidP="0020615A">
      <w:pPr>
        <w:ind w:firstLine="705"/>
        <w:jc w:val="both"/>
        <w:rPr>
          <w:rFonts w:ascii="Abadi" w:hAnsi="Abadi" w:cs="Arial"/>
          <w:sz w:val="21"/>
          <w:szCs w:val="21"/>
          <w:lang w:val="es-MX" w:eastAsia="x-none"/>
        </w:rPr>
      </w:pPr>
    </w:p>
    <w:p w14:paraId="38038A64" w14:textId="77777777" w:rsidR="0020615A" w:rsidRPr="0020615A" w:rsidRDefault="0020615A" w:rsidP="0020615A">
      <w:pPr>
        <w:ind w:firstLine="705"/>
        <w:jc w:val="both"/>
        <w:rPr>
          <w:rFonts w:ascii="Abadi" w:hAnsi="Abadi" w:cs="Arial"/>
          <w:sz w:val="21"/>
          <w:szCs w:val="21"/>
          <w:lang w:val="es-MX" w:eastAsia="x-none"/>
        </w:rPr>
      </w:pPr>
      <w:r w:rsidRPr="0020615A">
        <w:rPr>
          <w:rFonts w:ascii="Abadi" w:hAnsi="Abadi" w:cs="Arial"/>
          <w:sz w:val="21"/>
          <w:szCs w:val="21"/>
          <w:lang w:val="es-MX" w:eastAsia="x-none"/>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Salamanca, Gto., cumplió con las disposiciones normativas aplicables, excepto por los resultados referidos en el informe de resultados; señalando además que se presentaron limitantes al alcance que se refiere a la aplicación del procedimiento de confirmaciones con beneficiarios, respecto de la recepción de apoyos otorgados por la administración municipal. También se precisa que se presentaron limitantes en la aplicación de los procedimientos de auditoría, derivado de la contingencia por la pandemia del virus SARS-CoV2.</w:t>
      </w:r>
    </w:p>
    <w:p w14:paraId="7AE0FCCF" w14:textId="77777777" w:rsidR="0020615A" w:rsidRPr="0020615A" w:rsidRDefault="0020615A" w:rsidP="0020615A">
      <w:pPr>
        <w:ind w:firstLine="705"/>
        <w:jc w:val="both"/>
        <w:rPr>
          <w:rFonts w:ascii="Abadi" w:hAnsi="Abadi" w:cs="Arial"/>
          <w:sz w:val="21"/>
          <w:szCs w:val="21"/>
          <w:lang w:val="es-MX" w:eastAsia="x-none"/>
        </w:rPr>
      </w:pPr>
    </w:p>
    <w:p w14:paraId="244F9347" w14:textId="77777777" w:rsidR="0020615A" w:rsidRPr="0020615A" w:rsidRDefault="0020615A" w:rsidP="0020615A">
      <w:pPr>
        <w:ind w:firstLine="705"/>
        <w:jc w:val="both"/>
        <w:rPr>
          <w:rFonts w:ascii="Abadi" w:hAnsi="Abadi" w:cs="Arial"/>
          <w:sz w:val="21"/>
          <w:szCs w:val="21"/>
          <w:lang w:eastAsia="x-none"/>
        </w:rPr>
      </w:pPr>
      <w:r w:rsidRPr="0020615A">
        <w:rPr>
          <w:rFonts w:ascii="Abadi" w:hAnsi="Abadi" w:cs="Arial"/>
          <w:sz w:val="21"/>
          <w:szCs w:val="21"/>
          <w:lang w:eastAsia="x-none"/>
        </w:rPr>
        <w:t xml:space="preserve">En cuanto al rubro de resultados de la fiscalización efectuada, se establece el estatus que guardan las observaciones formuladas, las cuales se agrupan bajo su respectivo tipo y rubro, señalando que se determinaron 8 observaciones, mismas que no fueron solventadas. </w:t>
      </w:r>
    </w:p>
    <w:p w14:paraId="1BD1CADC" w14:textId="77777777" w:rsidR="0020615A" w:rsidRPr="0020615A" w:rsidRDefault="0020615A" w:rsidP="0020615A">
      <w:pPr>
        <w:ind w:firstLine="705"/>
        <w:jc w:val="both"/>
        <w:rPr>
          <w:rFonts w:ascii="Abadi" w:hAnsi="Abadi" w:cs="Arial"/>
          <w:sz w:val="21"/>
          <w:szCs w:val="21"/>
          <w:lang w:val="es-MX" w:eastAsia="x-none"/>
        </w:rPr>
      </w:pPr>
      <w:r w:rsidRPr="0020615A">
        <w:rPr>
          <w:rFonts w:ascii="Abadi" w:hAnsi="Abadi" w:cs="Arial"/>
          <w:sz w:val="21"/>
          <w:szCs w:val="21"/>
          <w:lang w:eastAsia="x-none"/>
        </w:rPr>
        <w:t>También en dicho apartado se establece el impacto de las irregularidades detectadas que persistieron después de la valoración de la respuesta al pliego de observaciones y recomendaciones.</w:t>
      </w:r>
      <w:r w:rsidRPr="0020615A">
        <w:rPr>
          <w:rFonts w:ascii="Abadi" w:hAnsi="Abadi" w:cs="Arial"/>
          <w:sz w:val="21"/>
          <w:szCs w:val="21"/>
          <w:lang w:val="es-MX" w:eastAsia="x-none"/>
        </w:rPr>
        <w:t xml:space="preserve"> </w:t>
      </w:r>
    </w:p>
    <w:p w14:paraId="5A601903" w14:textId="77777777" w:rsidR="0020615A" w:rsidRPr="0020615A" w:rsidRDefault="0020615A" w:rsidP="0020615A">
      <w:pPr>
        <w:ind w:firstLine="705"/>
        <w:jc w:val="both"/>
        <w:rPr>
          <w:rFonts w:ascii="Abadi" w:hAnsi="Abadi" w:cs="Arial"/>
          <w:sz w:val="21"/>
          <w:szCs w:val="21"/>
          <w:lang w:val="es-MX" w:eastAsia="x-none"/>
        </w:rPr>
      </w:pPr>
    </w:p>
    <w:p w14:paraId="33AC5FAF" w14:textId="77777777" w:rsidR="0020615A" w:rsidRPr="0020615A" w:rsidRDefault="0020615A" w:rsidP="0020615A">
      <w:pPr>
        <w:ind w:firstLine="705"/>
        <w:jc w:val="both"/>
        <w:rPr>
          <w:rFonts w:ascii="Abadi" w:hAnsi="Abadi" w:cs="Arial"/>
          <w:sz w:val="21"/>
          <w:szCs w:val="21"/>
          <w:lang w:eastAsia="x-none"/>
        </w:rPr>
      </w:pPr>
      <w:r w:rsidRPr="0020615A">
        <w:rPr>
          <w:rFonts w:ascii="Abadi" w:hAnsi="Abadi" w:cs="Arial"/>
          <w:sz w:val="21"/>
          <w:szCs w:val="21"/>
          <w:lang w:eastAsia="x-none"/>
        </w:rPr>
        <w:t>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Salamanca, Gto., celebró operaciones; entre los procedimientos expuestos, se verificó que estas no se encontraran en el listado de Empresas que Facturan Operaciones Simuladas (EFOS) u operaciones inexistentes con el carácter de «</w:t>
      </w:r>
      <w:r w:rsidRPr="0020615A">
        <w:rPr>
          <w:rFonts w:ascii="Abadi" w:hAnsi="Abadi" w:cs="Arial"/>
          <w:i/>
          <w:iCs/>
          <w:sz w:val="21"/>
          <w:szCs w:val="21"/>
          <w:lang w:eastAsia="x-none"/>
        </w:rPr>
        <w:t>Definitivos»</w:t>
      </w:r>
      <w:r w:rsidRPr="0020615A">
        <w:rPr>
          <w:rFonts w:ascii="Abadi" w:hAnsi="Abadi" w:cs="Arial"/>
          <w:sz w:val="21"/>
          <w:szCs w:val="21"/>
          <w:lang w:eastAsia="x-none"/>
        </w:rPr>
        <w:t xml:space="preserve"> publicados en el Diario Oficial de la Federación y en el sitio de información estadística del Servicio de Administración Tributaria, concluyendo que no se identificaron empresas clasificadas como EFOS.</w:t>
      </w:r>
    </w:p>
    <w:p w14:paraId="76DF7D02" w14:textId="77777777" w:rsidR="0020615A" w:rsidRPr="0020615A" w:rsidRDefault="0020615A" w:rsidP="0020615A">
      <w:pPr>
        <w:ind w:firstLine="705"/>
        <w:jc w:val="both"/>
        <w:rPr>
          <w:rFonts w:ascii="Abadi" w:hAnsi="Abadi" w:cs="Arial"/>
          <w:sz w:val="21"/>
          <w:szCs w:val="21"/>
          <w:lang w:eastAsia="x-none"/>
        </w:rPr>
      </w:pPr>
    </w:p>
    <w:p w14:paraId="76CBBE05" w14:textId="77777777" w:rsidR="0020615A" w:rsidRPr="0020615A" w:rsidRDefault="0020615A" w:rsidP="001A28E5">
      <w:pPr>
        <w:numPr>
          <w:ilvl w:val="0"/>
          <w:numId w:val="91"/>
        </w:numPr>
        <w:tabs>
          <w:tab w:val="num" w:pos="0"/>
        </w:tabs>
        <w:jc w:val="both"/>
        <w:rPr>
          <w:rFonts w:ascii="Abadi" w:hAnsi="Abadi" w:cs="Arial"/>
          <w:b/>
          <w:bCs/>
          <w:sz w:val="21"/>
          <w:szCs w:val="21"/>
          <w:lang w:eastAsia="x-none"/>
        </w:rPr>
      </w:pPr>
      <w:r w:rsidRPr="0020615A">
        <w:rPr>
          <w:rFonts w:ascii="Abadi" w:hAnsi="Abadi" w:cs="Arial"/>
          <w:b/>
          <w:bCs/>
          <w:sz w:val="21"/>
          <w:szCs w:val="21"/>
          <w:lang w:eastAsia="x-none"/>
        </w:rPr>
        <w:t xml:space="preserve">Observaciones y recomendaciones, la respuesta emitida por el sujeto fiscalizado y la valoración correspondiente. </w:t>
      </w:r>
    </w:p>
    <w:p w14:paraId="0145AF3F" w14:textId="77777777" w:rsidR="0020615A" w:rsidRPr="0020615A" w:rsidRDefault="0020615A" w:rsidP="0020615A">
      <w:pPr>
        <w:ind w:left="1065"/>
        <w:jc w:val="both"/>
        <w:rPr>
          <w:rFonts w:ascii="Abadi" w:hAnsi="Abadi" w:cs="Arial"/>
          <w:b/>
          <w:bCs/>
          <w:sz w:val="21"/>
          <w:szCs w:val="21"/>
          <w:lang w:eastAsia="x-none"/>
        </w:rPr>
      </w:pPr>
    </w:p>
    <w:p w14:paraId="6960A6E0" w14:textId="77777777" w:rsidR="0020615A" w:rsidRPr="0020615A" w:rsidRDefault="0020615A" w:rsidP="0020615A">
      <w:pPr>
        <w:ind w:firstLine="705"/>
        <w:jc w:val="both"/>
        <w:rPr>
          <w:rFonts w:ascii="Abadi" w:hAnsi="Abadi" w:cs="Arial"/>
          <w:sz w:val="21"/>
          <w:szCs w:val="21"/>
          <w:lang w:val="es-MX" w:eastAsia="x-none"/>
        </w:rPr>
      </w:pPr>
      <w:r w:rsidRPr="0020615A">
        <w:rPr>
          <w:rFonts w:ascii="Abadi" w:hAnsi="Abadi" w:cs="Arial"/>
          <w:sz w:val="21"/>
          <w:szCs w:val="21"/>
          <w:lang w:val="es-MX" w:eastAsia="x-none"/>
        </w:rPr>
        <w:t>En esta parte se desglosa la valoración de las observaciones formuladas por el Órgano Técnico, considerando como no solventadas las observaciones plasmadas en los numerales 001, referente a gastos por comprobar; 002, correspondiente a montos máximos de adquisiciones con recursos federales; 003, relativo a investigación de mercado; 004, referido a Complejo Integral de Seguridad Pública, Salamanca, Gto. (C4); 005, referente a vestuario y uniformes; 006, correspondiente a registro contable chalecos y trajes antimotines; 007, relativo a arrendamiento vehículo blindado; y 008, referido a autorización para el arrendamiento de maquinaria.</w:t>
      </w:r>
    </w:p>
    <w:p w14:paraId="3BEED8E9" w14:textId="77777777" w:rsidR="0020615A" w:rsidRPr="0020615A" w:rsidRDefault="0020615A" w:rsidP="0020615A">
      <w:pPr>
        <w:ind w:firstLine="705"/>
        <w:jc w:val="both"/>
        <w:rPr>
          <w:rFonts w:ascii="Abadi" w:hAnsi="Abadi" w:cs="Arial"/>
          <w:sz w:val="21"/>
          <w:szCs w:val="21"/>
          <w:lang w:val="es-MX" w:eastAsia="x-none"/>
        </w:rPr>
      </w:pPr>
    </w:p>
    <w:p w14:paraId="55043969" w14:textId="77777777" w:rsidR="0020615A" w:rsidRPr="0020615A" w:rsidRDefault="0020615A" w:rsidP="0020615A">
      <w:pPr>
        <w:ind w:firstLine="705"/>
        <w:jc w:val="both"/>
        <w:rPr>
          <w:rFonts w:ascii="Abadi" w:hAnsi="Abadi" w:cs="Arial"/>
          <w:sz w:val="21"/>
          <w:szCs w:val="21"/>
          <w:lang w:val="es-MX" w:eastAsia="x-none"/>
        </w:rPr>
      </w:pPr>
      <w:r w:rsidRPr="0020615A">
        <w:rPr>
          <w:rFonts w:ascii="Abadi" w:hAnsi="Abadi" w:cs="Arial"/>
          <w:sz w:val="21"/>
          <w:szCs w:val="21"/>
          <w:lang w:val="es-MX" w:eastAsia="x-none"/>
        </w:rPr>
        <w:t>En el apartado de Recomendaciones Generales, se establece que del proceso de fiscalización realizado no se desprendieron recomendaciones.</w:t>
      </w:r>
    </w:p>
    <w:p w14:paraId="1E1B5806" w14:textId="77777777" w:rsidR="0020615A" w:rsidRPr="0020615A" w:rsidRDefault="0020615A" w:rsidP="0020615A">
      <w:pPr>
        <w:ind w:firstLine="705"/>
        <w:jc w:val="both"/>
        <w:rPr>
          <w:rFonts w:ascii="Abadi" w:hAnsi="Abadi" w:cs="Arial"/>
          <w:sz w:val="21"/>
          <w:szCs w:val="21"/>
          <w:lang w:val="es-MX" w:eastAsia="x-none"/>
        </w:rPr>
      </w:pPr>
    </w:p>
    <w:p w14:paraId="1A0CA0B8" w14:textId="77777777" w:rsidR="0020615A" w:rsidRPr="0020615A" w:rsidRDefault="0020615A" w:rsidP="001A28E5">
      <w:pPr>
        <w:numPr>
          <w:ilvl w:val="0"/>
          <w:numId w:val="91"/>
        </w:numPr>
        <w:jc w:val="both"/>
        <w:rPr>
          <w:rFonts w:ascii="Abadi" w:hAnsi="Abadi" w:cs="Arial"/>
          <w:b/>
          <w:bCs/>
          <w:sz w:val="21"/>
          <w:szCs w:val="21"/>
          <w:lang w:val="es-MX" w:eastAsia="x-none"/>
        </w:rPr>
      </w:pPr>
      <w:r w:rsidRPr="0020615A">
        <w:rPr>
          <w:rFonts w:ascii="Abadi" w:hAnsi="Abadi" w:cs="Arial"/>
          <w:b/>
          <w:bCs/>
          <w:sz w:val="21"/>
          <w:szCs w:val="21"/>
          <w:lang w:val="es-MX" w:eastAsia="x-none"/>
        </w:rPr>
        <w:t xml:space="preserve">Promoción del ejercicio de facultades de comprobación fiscal. </w:t>
      </w:r>
    </w:p>
    <w:p w14:paraId="717E71B5" w14:textId="77777777" w:rsidR="0020615A" w:rsidRPr="0020615A" w:rsidRDefault="0020615A" w:rsidP="0020615A">
      <w:pPr>
        <w:ind w:firstLine="705"/>
        <w:jc w:val="both"/>
        <w:rPr>
          <w:rFonts w:ascii="Abadi" w:hAnsi="Abadi" w:cs="Arial"/>
          <w:sz w:val="21"/>
          <w:szCs w:val="21"/>
          <w:lang w:eastAsia="x-none"/>
        </w:rPr>
      </w:pPr>
    </w:p>
    <w:p w14:paraId="1ADD15CE" w14:textId="77777777" w:rsidR="0020615A" w:rsidRPr="0020615A" w:rsidRDefault="0020615A" w:rsidP="0020615A">
      <w:pPr>
        <w:ind w:firstLine="705"/>
        <w:jc w:val="both"/>
        <w:rPr>
          <w:rFonts w:ascii="Abadi" w:hAnsi="Abadi" w:cs="Arial"/>
          <w:sz w:val="21"/>
          <w:szCs w:val="21"/>
          <w:lang w:val="es-MX" w:eastAsia="x-none"/>
        </w:rPr>
      </w:pPr>
      <w:r w:rsidRPr="0020615A">
        <w:rPr>
          <w:rFonts w:ascii="Abadi" w:hAnsi="Abadi" w:cs="Arial"/>
          <w:sz w:val="21"/>
          <w:szCs w:val="21"/>
          <w:lang w:val="es-MX" w:eastAsia="x-none"/>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2E9A4CCA" w14:textId="77777777" w:rsidR="0020615A" w:rsidRPr="0020615A" w:rsidRDefault="0020615A" w:rsidP="0020615A">
      <w:pPr>
        <w:ind w:firstLine="705"/>
        <w:jc w:val="both"/>
        <w:rPr>
          <w:rFonts w:ascii="Abadi" w:hAnsi="Abadi" w:cs="Arial"/>
          <w:sz w:val="21"/>
          <w:szCs w:val="21"/>
          <w:lang w:val="es-MX" w:eastAsia="x-none"/>
        </w:rPr>
      </w:pPr>
    </w:p>
    <w:p w14:paraId="7080A9C3" w14:textId="77777777" w:rsidR="0020615A" w:rsidRPr="0020615A" w:rsidRDefault="0020615A" w:rsidP="001A28E5">
      <w:pPr>
        <w:numPr>
          <w:ilvl w:val="0"/>
          <w:numId w:val="91"/>
        </w:numPr>
        <w:jc w:val="both"/>
        <w:rPr>
          <w:rFonts w:ascii="Abadi" w:hAnsi="Abadi" w:cs="Arial"/>
          <w:b/>
          <w:bCs/>
          <w:sz w:val="21"/>
          <w:szCs w:val="21"/>
          <w:lang w:val="es-MX" w:eastAsia="x-none"/>
        </w:rPr>
      </w:pPr>
      <w:r w:rsidRPr="0020615A">
        <w:rPr>
          <w:rFonts w:ascii="Abadi" w:hAnsi="Abadi" w:cs="Arial"/>
          <w:b/>
          <w:bCs/>
          <w:sz w:val="21"/>
          <w:szCs w:val="21"/>
          <w:lang w:val="es-MX" w:eastAsia="x-none"/>
        </w:rPr>
        <w:t>Comunicado ante órganos de control y autoridades que administran padrones de proveedores y contratistas.</w:t>
      </w:r>
    </w:p>
    <w:p w14:paraId="12FD8984" w14:textId="77777777" w:rsidR="0020615A" w:rsidRPr="0020615A" w:rsidRDefault="0020615A" w:rsidP="0020615A">
      <w:pPr>
        <w:ind w:firstLine="705"/>
        <w:jc w:val="both"/>
        <w:rPr>
          <w:rFonts w:ascii="Abadi" w:hAnsi="Abadi" w:cs="Arial"/>
          <w:sz w:val="21"/>
          <w:szCs w:val="21"/>
          <w:lang w:eastAsia="x-none"/>
        </w:rPr>
      </w:pPr>
    </w:p>
    <w:p w14:paraId="2391412E" w14:textId="77777777" w:rsidR="0020615A" w:rsidRPr="0020615A" w:rsidRDefault="0020615A" w:rsidP="0020615A">
      <w:pPr>
        <w:ind w:firstLine="705"/>
        <w:jc w:val="both"/>
        <w:rPr>
          <w:rFonts w:ascii="Abadi" w:hAnsi="Abadi" w:cs="Arial"/>
          <w:sz w:val="21"/>
          <w:szCs w:val="21"/>
          <w:lang w:val="es-MX" w:eastAsia="x-none"/>
        </w:rPr>
      </w:pPr>
      <w:r w:rsidRPr="0020615A">
        <w:rPr>
          <w:rFonts w:ascii="Abadi" w:hAnsi="Abadi" w:cs="Arial"/>
          <w:sz w:val="21"/>
          <w:szCs w:val="21"/>
          <w:lang w:val="es-MX" w:eastAsia="x-none"/>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167E4C58" w14:textId="77777777" w:rsidR="0020615A" w:rsidRPr="0020615A" w:rsidRDefault="0020615A" w:rsidP="0020615A">
      <w:pPr>
        <w:ind w:firstLine="705"/>
        <w:jc w:val="both"/>
        <w:rPr>
          <w:rFonts w:ascii="Abadi" w:hAnsi="Abadi" w:cs="Arial"/>
          <w:sz w:val="21"/>
          <w:szCs w:val="21"/>
          <w:lang w:val="es-MX" w:eastAsia="x-none"/>
        </w:rPr>
      </w:pPr>
    </w:p>
    <w:p w14:paraId="06437C27" w14:textId="77777777" w:rsidR="0020615A" w:rsidRPr="0020615A" w:rsidRDefault="0020615A" w:rsidP="001A28E5">
      <w:pPr>
        <w:numPr>
          <w:ilvl w:val="0"/>
          <w:numId w:val="91"/>
        </w:numPr>
        <w:jc w:val="both"/>
        <w:rPr>
          <w:rFonts w:ascii="Abadi" w:hAnsi="Abadi" w:cs="Arial"/>
          <w:b/>
          <w:bCs/>
          <w:sz w:val="21"/>
          <w:szCs w:val="21"/>
          <w:lang w:eastAsia="x-none"/>
        </w:rPr>
      </w:pPr>
      <w:r w:rsidRPr="0020615A">
        <w:rPr>
          <w:rFonts w:ascii="Abadi" w:hAnsi="Abadi" w:cs="Arial"/>
          <w:b/>
          <w:bCs/>
          <w:sz w:val="21"/>
          <w:szCs w:val="21"/>
          <w:lang w:eastAsia="x-none"/>
        </w:rPr>
        <w:t xml:space="preserve">Recurso de Reconsideración. </w:t>
      </w:r>
    </w:p>
    <w:p w14:paraId="65FE8FC6" w14:textId="77777777" w:rsidR="0020615A" w:rsidRPr="0020615A" w:rsidRDefault="0020615A" w:rsidP="0020615A">
      <w:pPr>
        <w:ind w:left="705"/>
        <w:jc w:val="both"/>
        <w:rPr>
          <w:rFonts w:ascii="Abadi" w:hAnsi="Abadi" w:cs="Arial"/>
          <w:b/>
          <w:bCs/>
          <w:sz w:val="21"/>
          <w:szCs w:val="21"/>
          <w:lang w:eastAsia="x-none"/>
        </w:rPr>
      </w:pPr>
    </w:p>
    <w:p w14:paraId="71DE9431" w14:textId="77777777" w:rsidR="0020615A" w:rsidRPr="0020615A" w:rsidRDefault="0020615A" w:rsidP="0020615A">
      <w:pPr>
        <w:ind w:firstLine="705"/>
        <w:jc w:val="both"/>
        <w:rPr>
          <w:rFonts w:ascii="Abadi" w:hAnsi="Abadi" w:cs="Arial"/>
          <w:sz w:val="21"/>
          <w:szCs w:val="21"/>
          <w:lang w:val="es-MX" w:eastAsia="x-none"/>
        </w:rPr>
      </w:pPr>
      <w:r w:rsidRPr="0020615A">
        <w:rPr>
          <w:rFonts w:ascii="Abadi" w:hAnsi="Abadi" w:cs="Arial"/>
          <w:sz w:val="21"/>
          <w:szCs w:val="21"/>
          <w:lang w:eastAsia="x-none"/>
        </w:rPr>
        <w:t xml:space="preserve">El 4 de marzo de 2022, dentro del plazo que prevé la fracción IV del artículo 37 de </w:t>
      </w:r>
      <w:smartTag w:uri="urn:schemas-microsoft-com:office:smarttags" w:element="PersonName">
        <w:smartTagPr>
          <w:attr w:name="ProductID" w:val="la Ley"/>
        </w:smartTagPr>
        <w:r w:rsidRPr="0020615A">
          <w:rPr>
            <w:rFonts w:ascii="Abadi" w:hAnsi="Abadi" w:cs="Arial"/>
            <w:sz w:val="21"/>
            <w:szCs w:val="21"/>
            <w:lang w:eastAsia="x-none"/>
          </w:rPr>
          <w:t>la Ley</w:t>
        </w:r>
      </w:smartTag>
      <w:r w:rsidRPr="0020615A">
        <w:rPr>
          <w:rFonts w:ascii="Abadi" w:hAnsi="Abadi" w:cs="Arial"/>
          <w:sz w:val="21"/>
          <w:szCs w:val="21"/>
          <w:lang w:eastAsia="x-none"/>
        </w:rPr>
        <w:t xml:space="preserve"> de Fiscalización Superior del Estado de Guanajuato, la ex-</w:t>
      </w:r>
      <w:r w:rsidRPr="0020615A">
        <w:rPr>
          <w:rFonts w:ascii="Abadi" w:hAnsi="Abadi" w:cs="Arial"/>
          <w:sz w:val="21"/>
          <w:szCs w:val="21"/>
          <w:lang w:val="es-MX" w:eastAsia="x-none"/>
        </w:rPr>
        <w:t>presidenta municipal de Salamanca, Gto.,</w:t>
      </w:r>
      <w:r w:rsidRPr="0020615A">
        <w:rPr>
          <w:rFonts w:ascii="Abadi" w:hAnsi="Abadi" w:cs="Arial"/>
          <w:sz w:val="21"/>
          <w:szCs w:val="21"/>
          <w:lang w:eastAsia="x-none"/>
        </w:rPr>
        <w:t xml:space="preserve"> interpuso recurso de reconsideración en contra del informe de resultados de la revisión practicada </w:t>
      </w:r>
      <w:r w:rsidRPr="0020615A">
        <w:rPr>
          <w:rFonts w:ascii="Abadi" w:hAnsi="Abadi" w:cs="Arial"/>
          <w:sz w:val="21"/>
          <w:szCs w:val="21"/>
          <w:lang w:val="es-MX" w:eastAsia="x-none"/>
        </w:rPr>
        <w:t>a la cuenta pública de dicho Municipio, correspondiente al ejercicio fiscal del año 2020</w:t>
      </w:r>
      <w:r w:rsidRPr="0020615A">
        <w:rPr>
          <w:rFonts w:ascii="Abadi" w:hAnsi="Abadi" w:cs="Arial"/>
          <w:sz w:val="21"/>
          <w:szCs w:val="21"/>
          <w:lang w:eastAsia="x-none"/>
        </w:rPr>
        <w:t xml:space="preserve">, concretamente en contra de las observaciones establecidas en los numerales </w:t>
      </w:r>
      <w:r w:rsidRPr="0020615A">
        <w:rPr>
          <w:rFonts w:ascii="Abadi" w:hAnsi="Abadi" w:cs="Arial"/>
          <w:sz w:val="21"/>
          <w:szCs w:val="21"/>
          <w:lang w:val="es-MX" w:eastAsia="x-none"/>
        </w:rPr>
        <w:t xml:space="preserve">001, referente a gastos por comprobar; 002, correspondiente a montos máximos de adquisiciones con recursos federales; 003, relativo a investigación de mercado; 004, referido a Complejo Integral de Seguridad Pública, Salamanca, Gto. (C4); 005, referente a vestuario y uniformes; 006, correspondiente a registro contable chalecos y trajes antimotines; 007, relativo a arrendamiento vehículo blindado; y 008, referido a autorización para el arrendamiento de maquinaria, </w:t>
      </w:r>
      <w:r w:rsidRPr="0020615A">
        <w:rPr>
          <w:rFonts w:ascii="Abadi" w:hAnsi="Abadi" w:cs="Arial"/>
          <w:sz w:val="21"/>
          <w:szCs w:val="21"/>
          <w:lang w:eastAsia="x-none"/>
        </w:rPr>
        <w:t>mismos que se encuentran relacionados con el Capítulo II, denominado Observaciones y Recomendaciones; Respuesta Emitida por el Sujeto</w:t>
      </w:r>
      <w:r w:rsidRPr="0020615A">
        <w:rPr>
          <w:rFonts w:ascii="Abadi" w:hAnsi="Abadi" w:cs="Arial"/>
          <w:sz w:val="21"/>
          <w:szCs w:val="21"/>
          <w:lang w:val="es-MX" w:eastAsia="x-none"/>
        </w:rPr>
        <w:t xml:space="preserve"> Fiscalizado y Valoración Correspondiente. </w:t>
      </w:r>
    </w:p>
    <w:p w14:paraId="498E8F70" w14:textId="77777777" w:rsidR="0020615A" w:rsidRPr="0020615A" w:rsidRDefault="0020615A" w:rsidP="0020615A">
      <w:pPr>
        <w:jc w:val="both"/>
        <w:rPr>
          <w:rFonts w:ascii="Abadi" w:hAnsi="Abadi" w:cs="Arial"/>
          <w:sz w:val="21"/>
          <w:szCs w:val="21"/>
          <w:lang w:val="es-MX" w:eastAsia="x-none"/>
        </w:rPr>
      </w:pPr>
    </w:p>
    <w:p w14:paraId="7D219872"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 xml:space="preserve">En tal sentido, mediante acuerdo de fecha 18 de marzo de 2022, emitido por el Director General de Asuntos Jurídicos de la Auditoría Superior del Estado de Guanajuato, se admitió el recurso de reconsideración, al colmarse los requisitos de procedibilidad previstos por el artículo 51 de </w:t>
      </w:r>
      <w:smartTag w:uri="urn:schemas-microsoft-com:office:smarttags" w:element="PersonName">
        <w:smartTagPr>
          <w:attr w:name="ProductID" w:val="la Ley"/>
        </w:smartTagPr>
        <w:r w:rsidRPr="0020615A">
          <w:rPr>
            <w:rFonts w:ascii="Abadi" w:hAnsi="Abadi" w:cs="Arial"/>
            <w:sz w:val="21"/>
            <w:szCs w:val="21"/>
            <w:lang w:val="es-MX" w:eastAsia="x-none"/>
          </w:rPr>
          <w:t>la Ley</w:t>
        </w:r>
      </w:smartTag>
      <w:r w:rsidRPr="0020615A">
        <w:rPr>
          <w:rFonts w:ascii="Abadi" w:hAnsi="Abadi" w:cs="Arial"/>
          <w:sz w:val="21"/>
          <w:szCs w:val="21"/>
          <w:lang w:val="es-MX" w:eastAsia="x-none"/>
        </w:rPr>
        <w:t xml:space="preserve"> de Fiscalización Superior del Estado de Guanajuato, instruyendo la integración del expediente respectivo y el registro correspondiente. </w:t>
      </w:r>
    </w:p>
    <w:p w14:paraId="0CE248AD" w14:textId="77777777" w:rsidR="0020615A" w:rsidRPr="0020615A" w:rsidRDefault="0020615A" w:rsidP="0020615A">
      <w:pPr>
        <w:ind w:firstLine="708"/>
        <w:jc w:val="both"/>
        <w:rPr>
          <w:rFonts w:ascii="Abadi" w:hAnsi="Abadi" w:cs="Arial"/>
          <w:sz w:val="21"/>
          <w:szCs w:val="21"/>
          <w:lang w:val="es-MX" w:eastAsia="x-none"/>
        </w:rPr>
      </w:pPr>
    </w:p>
    <w:p w14:paraId="600AC0AE"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Una vez tramitado el recurso, el Auditor Superior del Estado, el 1 de abril de 2022 emitió la resolución correspondiente, determinándose respecto a las observaciones establecidas en los numerales 001, 002, 003, 004, 005, 006, 007 y 008, que los argumentos hechos valer por la recurrente resultaron inatendibles, por las razones expresadas en el considerando séptimo de la resolución. En razón de lo cual se confirmó el sentido de su valoración como no solventadas, sin acciones pendientes de realizar por el sujeto fiscalizado; excepto en el caso de la observación contenida en el numeral 006, en la que se determinaron acciones correctivas pendientes de realizar por el sujeto fiscalizado.</w:t>
      </w:r>
    </w:p>
    <w:p w14:paraId="178EB705" w14:textId="77777777" w:rsidR="0020615A" w:rsidRPr="0020615A" w:rsidRDefault="0020615A" w:rsidP="0020615A">
      <w:pPr>
        <w:ind w:firstLine="708"/>
        <w:jc w:val="both"/>
        <w:rPr>
          <w:rFonts w:ascii="Abadi" w:hAnsi="Abadi" w:cs="Arial"/>
          <w:sz w:val="21"/>
          <w:szCs w:val="21"/>
          <w:lang w:val="es-MX" w:eastAsia="x-none"/>
        </w:rPr>
      </w:pPr>
    </w:p>
    <w:p w14:paraId="590FEC31" w14:textId="77777777"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es-MX" w:eastAsia="x-none"/>
        </w:rPr>
        <w:t>La referida resolución se notificó a la ex-presidenta municipal de Salamanca, Gto., el 7 de abril de 2022.</w:t>
      </w:r>
    </w:p>
    <w:p w14:paraId="52E5088A" w14:textId="77777777" w:rsidR="0020615A" w:rsidRPr="0020615A" w:rsidRDefault="0020615A" w:rsidP="0020615A">
      <w:pPr>
        <w:ind w:firstLine="705"/>
        <w:jc w:val="both"/>
        <w:rPr>
          <w:rFonts w:ascii="Abadi" w:hAnsi="Abadi" w:cs="Arial"/>
          <w:sz w:val="21"/>
          <w:szCs w:val="21"/>
          <w:lang w:val="es-MX" w:eastAsia="x-none"/>
        </w:rPr>
      </w:pPr>
    </w:p>
    <w:p w14:paraId="37856FD3" w14:textId="77777777" w:rsidR="0020615A" w:rsidRPr="0020615A" w:rsidRDefault="0020615A" w:rsidP="001A28E5">
      <w:pPr>
        <w:numPr>
          <w:ilvl w:val="0"/>
          <w:numId w:val="91"/>
        </w:numPr>
        <w:jc w:val="both"/>
        <w:rPr>
          <w:rFonts w:ascii="Abadi" w:hAnsi="Abadi" w:cs="Arial"/>
          <w:b/>
          <w:bCs/>
          <w:sz w:val="21"/>
          <w:szCs w:val="21"/>
          <w:lang w:val="es-MX" w:eastAsia="x-none"/>
        </w:rPr>
      </w:pPr>
      <w:r w:rsidRPr="0020615A">
        <w:rPr>
          <w:rFonts w:ascii="Abadi" w:hAnsi="Abadi" w:cs="Arial"/>
          <w:b/>
          <w:bCs/>
          <w:sz w:val="21"/>
          <w:szCs w:val="21"/>
          <w:lang w:val="es-MX" w:eastAsia="x-none"/>
        </w:rPr>
        <w:t xml:space="preserve">Anexos. </w:t>
      </w:r>
    </w:p>
    <w:p w14:paraId="151FB564" w14:textId="77777777" w:rsidR="0020615A" w:rsidRPr="0020615A" w:rsidRDefault="0020615A" w:rsidP="0020615A">
      <w:pPr>
        <w:ind w:firstLine="705"/>
        <w:jc w:val="both"/>
        <w:rPr>
          <w:rFonts w:ascii="Abadi" w:hAnsi="Abadi" w:cs="Arial"/>
          <w:sz w:val="21"/>
          <w:szCs w:val="21"/>
          <w:lang w:eastAsia="x-none"/>
        </w:rPr>
      </w:pPr>
    </w:p>
    <w:p w14:paraId="7C7E7898" w14:textId="77777777" w:rsidR="0020615A" w:rsidRPr="0020615A" w:rsidRDefault="0020615A" w:rsidP="0020615A">
      <w:pPr>
        <w:ind w:firstLine="705"/>
        <w:jc w:val="both"/>
        <w:rPr>
          <w:rFonts w:ascii="Abadi" w:hAnsi="Abadi" w:cs="Arial"/>
          <w:sz w:val="21"/>
          <w:szCs w:val="21"/>
          <w:lang w:eastAsia="x-none"/>
        </w:rPr>
      </w:pPr>
      <w:r w:rsidRPr="0020615A">
        <w:rPr>
          <w:rFonts w:ascii="Abadi" w:hAnsi="Abadi" w:cs="Arial"/>
          <w:sz w:val="21"/>
          <w:szCs w:val="21"/>
          <w:lang w:eastAsia="x-none"/>
        </w:rPr>
        <w:t>En esta parte, se adjuntan los anexos técnicos derivados de la revisión practicada.</w:t>
      </w:r>
    </w:p>
    <w:p w14:paraId="1AE5530F" w14:textId="77777777" w:rsidR="0020615A" w:rsidRPr="0020615A" w:rsidRDefault="0020615A" w:rsidP="0020615A">
      <w:pPr>
        <w:ind w:firstLine="705"/>
        <w:jc w:val="both"/>
        <w:rPr>
          <w:rFonts w:ascii="Abadi" w:hAnsi="Abadi" w:cs="Arial"/>
          <w:sz w:val="21"/>
          <w:szCs w:val="21"/>
          <w:lang w:eastAsia="x-none"/>
        </w:rPr>
      </w:pPr>
    </w:p>
    <w:p w14:paraId="6AB03964" w14:textId="77777777" w:rsidR="0020615A" w:rsidRPr="0020615A" w:rsidRDefault="0020615A" w:rsidP="0020615A">
      <w:pPr>
        <w:ind w:firstLine="708"/>
        <w:jc w:val="both"/>
        <w:rPr>
          <w:rFonts w:ascii="Abadi" w:hAnsi="Abadi" w:cs="Arial"/>
          <w:b/>
          <w:bCs/>
          <w:sz w:val="21"/>
          <w:szCs w:val="21"/>
        </w:rPr>
      </w:pPr>
      <w:r w:rsidRPr="0020615A">
        <w:rPr>
          <w:rFonts w:ascii="Abadi" w:hAnsi="Abadi" w:cs="Arial"/>
          <w:b/>
          <w:bCs/>
          <w:sz w:val="21"/>
          <w:szCs w:val="21"/>
        </w:rPr>
        <w:t>V. Conclusiones:</w:t>
      </w:r>
    </w:p>
    <w:p w14:paraId="0596B475" w14:textId="77777777" w:rsidR="0020615A" w:rsidRPr="0020615A" w:rsidRDefault="0020615A" w:rsidP="0020615A">
      <w:pPr>
        <w:jc w:val="both"/>
        <w:rPr>
          <w:rFonts w:ascii="Abadi" w:hAnsi="Abadi" w:cs="Arial"/>
          <w:sz w:val="21"/>
          <w:szCs w:val="21"/>
        </w:rPr>
      </w:pPr>
    </w:p>
    <w:p w14:paraId="01959B0A" w14:textId="77777777" w:rsidR="0020615A" w:rsidRPr="0020615A" w:rsidRDefault="0020615A" w:rsidP="0020615A">
      <w:pPr>
        <w:jc w:val="both"/>
        <w:rPr>
          <w:rFonts w:ascii="Abadi" w:hAnsi="Abadi" w:cs="Arial"/>
          <w:sz w:val="21"/>
          <w:szCs w:val="21"/>
        </w:rPr>
      </w:pPr>
      <w:r w:rsidRPr="0020615A">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20615A">
          <w:rPr>
            <w:rFonts w:ascii="Abadi" w:hAnsi="Abadi" w:cs="Arial"/>
            <w:sz w:val="21"/>
            <w:szCs w:val="21"/>
          </w:rPr>
          <w:t>la Ley</w:t>
        </w:r>
      </w:smartTag>
      <w:r w:rsidRPr="0020615A">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3697A64" w14:textId="77777777" w:rsidR="0020615A" w:rsidRPr="0020615A" w:rsidRDefault="0020615A" w:rsidP="0020615A">
      <w:pPr>
        <w:jc w:val="both"/>
        <w:rPr>
          <w:rFonts w:ascii="Abadi" w:hAnsi="Abadi" w:cs="Arial"/>
          <w:sz w:val="21"/>
          <w:szCs w:val="21"/>
        </w:rPr>
      </w:pPr>
    </w:p>
    <w:p w14:paraId="6FFA2D79" w14:textId="4441E926" w:rsidR="0020615A" w:rsidRPr="0020615A" w:rsidRDefault="0020615A" w:rsidP="0020615A">
      <w:pPr>
        <w:jc w:val="both"/>
        <w:rPr>
          <w:rFonts w:ascii="Abadi" w:hAnsi="Abadi" w:cs="Arial"/>
          <w:sz w:val="21"/>
          <w:szCs w:val="21"/>
        </w:rPr>
      </w:pPr>
      <w:r w:rsidRPr="0020615A">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6BAF6DD2" w14:textId="77777777" w:rsidR="0020615A" w:rsidRPr="0020615A" w:rsidRDefault="0020615A" w:rsidP="0020615A">
      <w:pPr>
        <w:ind w:firstLine="708"/>
        <w:jc w:val="both"/>
        <w:rPr>
          <w:rFonts w:ascii="Abadi" w:hAnsi="Abadi" w:cs="Arial"/>
          <w:sz w:val="21"/>
          <w:szCs w:val="21"/>
        </w:rPr>
      </w:pPr>
    </w:p>
    <w:p w14:paraId="4414FCA9" w14:textId="66DD6222" w:rsidR="0020615A" w:rsidRPr="0020615A" w:rsidRDefault="0020615A" w:rsidP="0020615A">
      <w:pPr>
        <w:ind w:firstLine="708"/>
        <w:jc w:val="both"/>
        <w:rPr>
          <w:rFonts w:ascii="Abadi" w:hAnsi="Abadi" w:cs="Arial"/>
          <w:sz w:val="21"/>
          <w:szCs w:val="21"/>
        </w:rPr>
      </w:pPr>
      <w:r w:rsidRPr="0020615A">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y a la ex-presidenta municipales de Salamanca, Gto., concediéndoles el plazo que establece </w:t>
      </w:r>
      <w:smartTag w:uri="urn:schemas-microsoft-com:office:smarttags" w:element="PersonName">
        <w:smartTagPr>
          <w:attr w:name="ProductID" w:val="la Ley"/>
        </w:smartTagPr>
        <w:r w:rsidRPr="0020615A">
          <w:rPr>
            <w:rFonts w:ascii="Abadi" w:hAnsi="Abadi" w:cs="Arial"/>
            <w:sz w:val="21"/>
            <w:szCs w:val="21"/>
          </w:rPr>
          <w:t>la Ley</w:t>
        </w:r>
      </w:smartTag>
      <w:r w:rsidRPr="0020615A">
        <w:rPr>
          <w:rFonts w:ascii="Abadi" w:hAnsi="Abadi" w:cs="Arial"/>
          <w:sz w:val="21"/>
          <w:szCs w:val="21"/>
        </w:rPr>
        <w:t xml:space="preserve"> para aclarar, atender o solventar documentalmente las observaciones determinadas por el Órgano Técnico. Al respecto, la ex-presidenta, el presidente y la tesorera municipales de Salamanca, Gto., presentaron información y documentación para aclarar y en su caso, solventar las observaciones determinadas.</w:t>
      </w:r>
    </w:p>
    <w:p w14:paraId="742DC478" w14:textId="77777777" w:rsidR="0020615A" w:rsidRPr="0020615A" w:rsidRDefault="0020615A" w:rsidP="0020615A">
      <w:pPr>
        <w:ind w:firstLine="708"/>
        <w:jc w:val="both"/>
        <w:rPr>
          <w:rFonts w:ascii="Abadi" w:hAnsi="Abadi" w:cs="Arial"/>
          <w:sz w:val="21"/>
          <w:szCs w:val="21"/>
        </w:rPr>
      </w:pPr>
    </w:p>
    <w:p w14:paraId="1AD73113" w14:textId="77777777" w:rsidR="0020615A" w:rsidRPr="0020615A" w:rsidRDefault="0020615A" w:rsidP="0020615A">
      <w:pPr>
        <w:ind w:firstLine="708"/>
        <w:jc w:val="both"/>
        <w:rPr>
          <w:rFonts w:ascii="Abadi" w:hAnsi="Abadi" w:cs="Arial"/>
          <w:sz w:val="21"/>
          <w:szCs w:val="21"/>
        </w:rPr>
      </w:pPr>
      <w:r w:rsidRPr="0020615A">
        <w:rPr>
          <w:rFonts w:ascii="Abadi" w:hAnsi="Abadi" w:cs="Arial"/>
          <w:sz w:val="21"/>
          <w:szCs w:val="21"/>
        </w:rPr>
        <w:t xml:space="preserve">De igual manera, existe en el informe de resultados la constancia de que este se notificó al presidente y a la ex-presidenta municipales de Salamanca, Gto., concediéndoles el término señalado en el artículo 37, fracción IV de </w:t>
      </w:r>
      <w:smartTag w:uri="urn:schemas-microsoft-com:office:smarttags" w:element="PersonName">
        <w:smartTagPr>
          <w:attr w:name="ProductID" w:val="la Ley"/>
        </w:smartTagPr>
        <w:r w:rsidRPr="0020615A">
          <w:rPr>
            <w:rFonts w:ascii="Abadi" w:hAnsi="Abadi" w:cs="Arial"/>
            <w:sz w:val="21"/>
            <w:szCs w:val="21"/>
          </w:rPr>
          <w:t>la Ley</w:t>
        </w:r>
      </w:smartTag>
      <w:r w:rsidRPr="0020615A">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 la ex-presidenta municipal de Salamanca, Gto. En tal virtud, se considera que fue respetado el derecho de audiencia o defensa por parte del Órgano Técnico.</w:t>
      </w:r>
    </w:p>
    <w:p w14:paraId="4C825495" w14:textId="77777777" w:rsidR="0020615A" w:rsidRPr="0020615A" w:rsidRDefault="0020615A" w:rsidP="0020615A">
      <w:pPr>
        <w:ind w:firstLine="708"/>
        <w:jc w:val="both"/>
        <w:rPr>
          <w:rFonts w:ascii="Abadi" w:hAnsi="Abadi" w:cs="Arial"/>
          <w:sz w:val="21"/>
          <w:szCs w:val="21"/>
        </w:rPr>
      </w:pPr>
    </w:p>
    <w:p w14:paraId="3EF3B830" w14:textId="77777777" w:rsidR="0020615A" w:rsidRPr="0020615A" w:rsidRDefault="0020615A" w:rsidP="0020615A">
      <w:pPr>
        <w:ind w:firstLine="708"/>
        <w:jc w:val="both"/>
        <w:rPr>
          <w:rFonts w:ascii="Abadi" w:hAnsi="Abadi" w:cs="Arial"/>
          <w:sz w:val="21"/>
          <w:szCs w:val="21"/>
        </w:rPr>
      </w:pPr>
      <w:r w:rsidRPr="0020615A">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330935CB" w14:textId="77777777" w:rsidR="0020615A" w:rsidRPr="0020615A" w:rsidRDefault="0020615A" w:rsidP="0020615A">
      <w:pPr>
        <w:jc w:val="both"/>
        <w:rPr>
          <w:rFonts w:ascii="Abadi" w:hAnsi="Abadi" w:cs="Arial"/>
          <w:sz w:val="21"/>
          <w:szCs w:val="21"/>
        </w:rPr>
      </w:pPr>
    </w:p>
    <w:p w14:paraId="036188D6" w14:textId="77777777" w:rsidR="0020615A" w:rsidRPr="0020615A" w:rsidRDefault="0020615A" w:rsidP="0020615A">
      <w:pPr>
        <w:ind w:firstLine="708"/>
        <w:jc w:val="both"/>
        <w:rPr>
          <w:rFonts w:ascii="Abadi" w:hAnsi="Abadi" w:cs="Arial"/>
          <w:sz w:val="21"/>
          <w:szCs w:val="21"/>
        </w:rPr>
      </w:pPr>
      <w:r w:rsidRPr="0020615A">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4FCB3649" w14:textId="77777777" w:rsidR="0020615A" w:rsidRPr="0020615A" w:rsidRDefault="0020615A" w:rsidP="0020615A">
      <w:pPr>
        <w:ind w:firstLine="708"/>
        <w:jc w:val="both"/>
        <w:rPr>
          <w:rFonts w:ascii="Abadi" w:hAnsi="Abadi" w:cs="Arial"/>
          <w:sz w:val="21"/>
          <w:szCs w:val="21"/>
        </w:rPr>
      </w:pPr>
    </w:p>
    <w:p w14:paraId="41EE5F5E" w14:textId="77777777" w:rsidR="0020615A" w:rsidRPr="0020615A" w:rsidRDefault="0020615A" w:rsidP="0020615A">
      <w:pPr>
        <w:jc w:val="both"/>
        <w:rPr>
          <w:rFonts w:ascii="Abadi" w:hAnsi="Abadi" w:cs="Arial"/>
          <w:sz w:val="21"/>
          <w:szCs w:val="21"/>
        </w:rPr>
      </w:pPr>
      <w:r w:rsidRPr="0020615A">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70CD729C" w14:textId="77777777" w:rsidR="0020615A" w:rsidRPr="0020615A" w:rsidRDefault="0020615A" w:rsidP="0020615A">
      <w:pPr>
        <w:jc w:val="both"/>
        <w:rPr>
          <w:rFonts w:ascii="Abadi" w:hAnsi="Abadi" w:cs="Arial"/>
          <w:sz w:val="21"/>
          <w:szCs w:val="21"/>
        </w:rPr>
      </w:pPr>
    </w:p>
    <w:p w14:paraId="14B2C63B" w14:textId="77777777" w:rsidR="0020615A" w:rsidRPr="0020615A" w:rsidRDefault="0020615A" w:rsidP="0020615A">
      <w:pPr>
        <w:ind w:firstLine="708"/>
        <w:jc w:val="both"/>
        <w:rPr>
          <w:rFonts w:ascii="Abadi" w:hAnsi="Abadi" w:cs="Arial"/>
          <w:sz w:val="21"/>
          <w:szCs w:val="21"/>
        </w:rPr>
      </w:pPr>
      <w:r w:rsidRPr="0020615A">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296B8D24" w14:textId="77777777" w:rsidR="0020615A" w:rsidRPr="0020615A" w:rsidRDefault="0020615A" w:rsidP="0020615A">
      <w:pPr>
        <w:ind w:firstLine="708"/>
        <w:jc w:val="both"/>
        <w:rPr>
          <w:rFonts w:ascii="Abadi" w:hAnsi="Abadi" w:cs="Arial"/>
          <w:sz w:val="21"/>
          <w:szCs w:val="21"/>
        </w:rPr>
      </w:pPr>
    </w:p>
    <w:p w14:paraId="1E127167" w14:textId="77777777" w:rsidR="0020615A" w:rsidRPr="0020615A" w:rsidRDefault="0020615A" w:rsidP="0020615A">
      <w:pPr>
        <w:ind w:firstLine="708"/>
        <w:jc w:val="both"/>
        <w:rPr>
          <w:rFonts w:ascii="Abadi" w:hAnsi="Abadi" w:cs="Arial"/>
          <w:sz w:val="21"/>
          <w:szCs w:val="21"/>
        </w:rPr>
      </w:pPr>
      <w:r w:rsidRPr="0020615A">
        <w:rPr>
          <w:rFonts w:ascii="Abadi" w:hAnsi="Abadi" w:cs="Arial"/>
          <w:sz w:val="21"/>
          <w:szCs w:val="21"/>
        </w:rPr>
        <w:t xml:space="preserve">En razón de lo anteriormente señalado, concluimos que el informe de resultados de la revisión practicada a la cuenta pública de Salamanca, Gto., correspondiente al ejercicio fiscal del año 2020, debe sancionarse por el Congreso en los términos presentados por la Auditoría Superior del Estado y proceder a su aprobación, considerando que no se actualiza el supuesto contenido en el artículo 38 de </w:t>
      </w:r>
      <w:smartTag w:uri="urn:schemas-microsoft-com:office:smarttags" w:element="PersonName">
        <w:smartTagPr>
          <w:attr w:name="ProductID" w:val="la Ley"/>
        </w:smartTagPr>
        <w:r w:rsidRPr="0020615A">
          <w:rPr>
            <w:rFonts w:ascii="Abadi" w:hAnsi="Abadi" w:cs="Arial"/>
            <w:sz w:val="21"/>
            <w:szCs w:val="21"/>
          </w:rPr>
          <w:t>la Ley</w:t>
        </w:r>
      </w:smartTag>
      <w:r w:rsidRPr="0020615A">
        <w:rPr>
          <w:rFonts w:ascii="Abadi" w:hAnsi="Abadi" w:cs="Arial"/>
          <w:sz w:val="21"/>
          <w:szCs w:val="21"/>
        </w:rPr>
        <w:t xml:space="preserve"> de Fiscalización Superior del Estado de Guanajuato, razón por la cual no podría ser observado por el Pleno del Congreso.</w:t>
      </w:r>
    </w:p>
    <w:p w14:paraId="0EFCED11" w14:textId="77777777" w:rsidR="0020615A" w:rsidRPr="0020615A" w:rsidRDefault="0020615A" w:rsidP="0020615A">
      <w:pPr>
        <w:jc w:val="both"/>
        <w:rPr>
          <w:rFonts w:ascii="Abadi" w:hAnsi="Abadi" w:cs="Arial"/>
          <w:sz w:val="21"/>
          <w:szCs w:val="21"/>
        </w:rPr>
      </w:pPr>
    </w:p>
    <w:p w14:paraId="181F4BB1" w14:textId="77777777" w:rsidR="0020615A" w:rsidRPr="0020615A" w:rsidRDefault="0020615A" w:rsidP="0020615A">
      <w:pPr>
        <w:ind w:firstLine="708"/>
        <w:jc w:val="both"/>
        <w:rPr>
          <w:rFonts w:ascii="Abadi" w:hAnsi="Abadi" w:cs="Arial"/>
          <w:sz w:val="21"/>
          <w:szCs w:val="21"/>
          <w:lang w:val="x-none" w:eastAsia="x-none"/>
        </w:rPr>
      </w:pPr>
      <w:r w:rsidRPr="0020615A">
        <w:rPr>
          <w:rFonts w:ascii="Abadi" w:hAnsi="Abadi" w:cs="Arial"/>
          <w:sz w:val="21"/>
          <w:szCs w:val="21"/>
        </w:rPr>
        <w:t xml:space="preserve">Por lo expuesto, con fundamento en el artículo 204 de </w:t>
      </w:r>
      <w:smartTag w:uri="urn:schemas-microsoft-com:office:smarttags" w:element="PersonName">
        <w:smartTagPr>
          <w:attr w:name="ProductID" w:val="la Ley Org￡nica"/>
        </w:smartTagPr>
        <w:r w:rsidRPr="0020615A">
          <w:rPr>
            <w:rFonts w:ascii="Abadi" w:hAnsi="Abadi" w:cs="Arial"/>
            <w:sz w:val="21"/>
            <w:szCs w:val="21"/>
          </w:rPr>
          <w:t>la Ley Orgánica</w:t>
        </w:r>
      </w:smartTag>
      <w:r w:rsidRPr="0020615A">
        <w:rPr>
          <w:rFonts w:ascii="Abadi" w:hAnsi="Abadi" w:cs="Arial"/>
          <w:sz w:val="21"/>
          <w:szCs w:val="21"/>
        </w:rPr>
        <w:t xml:space="preserve"> del Poder Legislativo, nos permitimos someter a la consideración de </w:t>
      </w:r>
      <w:smartTag w:uri="urn:schemas-microsoft-com:office:smarttags" w:element="PersonName">
        <w:smartTagPr>
          <w:attr w:name="ProductID" w:val="la Asamblea"/>
        </w:smartTagPr>
        <w:r w:rsidRPr="0020615A">
          <w:rPr>
            <w:rFonts w:ascii="Abadi" w:hAnsi="Abadi" w:cs="Arial"/>
            <w:sz w:val="21"/>
            <w:szCs w:val="21"/>
          </w:rPr>
          <w:t>la Asamblea</w:t>
        </w:r>
      </w:smartTag>
      <w:r w:rsidRPr="0020615A">
        <w:rPr>
          <w:rFonts w:ascii="Abadi" w:hAnsi="Abadi" w:cs="Arial"/>
          <w:sz w:val="21"/>
          <w:szCs w:val="21"/>
        </w:rPr>
        <w:t>, la aprobación del siguiente</w:t>
      </w:r>
      <w:r w:rsidRPr="0020615A">
        <w:rPr>
          <w:rFonts w:ascii="Abadi" w:hAnsi="Abadi" w:cs="Arial"/>
          <w:sz w:val="21"/>
          <w:szCs w:val="21"/>
          <w:lang w:val="x-none" w:eastAsia="x-none"/>
        </w:rPr>
        <w:t>:</w:t>
      </w:r>
    </w:p>
    <w:p w14:paraId="03A786B8" w14:textId="77777777" w:rsidR="0020615A" w:rsidRPr="0020615A" w:rsidRDefault="0020615A" w:rsidP="0020615A">
      <w:pPr>
        <w:keepNext/>
        <w:jc w:val="center"/>
        <w:outlineLvl w:val="0"/>
        <w:rPr>
          <w:rFonts w:ascii="Abadi" w:eastAsia="Arial Unicode MS" w:hAnsi="Abadi" w:cs="Arial"/>
          <w:b/>
          <w:bCs/>
          <w:smallCaps/>
          <w:sz w:val="21"/>
          <w:szCs w:val="21"/>
        </w:rPr>
      </w:pPr>
    </w:p>
    <w:p w14:paraId="4CE7E3E9" w14:textId="77777777" w:rsidR="0020615A" w:rsidRPr="0020615A" w:rsidRDefault="0020615A" w:rsidP="0020615A">
      <w:pPr>
        <w:keepNext/>
        <w:jc w:val="center"/>
        <w:outlineLvl w:val="0"/>
        <w:rPr>
          <w:rFonts w:ascii="Abadi" w:eastAsia="Arial Unicode MS" w:hAnsi="Abadi" w:cs="Arial"/>
          <w:b/>
          <w:bCs/>
          <w:smallCaps/>
          <w:sz w:val="21"/>
          <w:szCs w:val="21"/>
        </w:rPr>
      </w:pPr>
      <w:r w:rsidRPr="0020615A">
        <w:rPr>
          <w:rFonts w:ascii="Abadi" w:eastAsia="Arial Unicode MS" w:hAnsi="Abadi" w:cs="Arial"/>
          <w:b/>
          <w:bCs/>
          <w:smallCaps/>
          <w:sz w:val="21"/>
          <w:szCs w:val="21"/>
        </w:rPr>
        <w:t>A c u e r d o</w:t>
      </w:r>
    </w:p>
    <w:p w14:paraId="04455535" w14:textId="77777777" w:rsidR="0020615A" w:rsidRPr="0020615A" w:rsidRDefault="0020615A" w:rsidP="0020615A">
      <w:pPr>
        <w:rPr>
          <w:rFonts w:ascii="Abadi" w:hAnsi="Abadi"/>
          <w:sz w:val="21"/>
          <w:szCs w:val="21"/>
        </w:rPr>
      </w:pPr>
    </w:p>
    <w:p w14:paraId="3652F457" w14:textId="4227F546" w:rsidR="0020615A" w:rsidRPr="0020615A" w:rsidRDefault="0020615A" w:rsidP="0020615A">
      <w:pPr>
        <w:ind w:firstLine="708"/>
        <w:jc w:val="both"/>
        <w:rPr>
          <w:rFonts w:ascii="Abadi" w:hAnsi="Abadi" w:cs="Arial"/>
          <w:sz w:val="21"/>
          <w:szCs w:val="21"/>
        </w:rPr>
      </w:pPr>
      <w:r w:rsidRPr="0020615A">
        <w:rPr>
          <w:rFonts w:ascii="Abadi" w:hAnsi="Abadi" w:cs="Arial"/>
          <w:b/>
          <w:bCs/>
          <w:sz w:val="21"/>
          <w:szCs w:val="21"/>
        </w:rPr>
        <w:t xml:space="preserve">Único. </w:t>
      </w:r>
      <w:r w:rsidRPr="0020615A">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20615A">
          <w:rPr>
            <w:rFonts w:ascii="Abadi" w:hAnsi="Abadi" w:cs="Arial"/>
            <w:sz w:val="21"/>
            <w:szCs w:val="21"/>
          </w:rPr>
          <w:t>la Constitución Política</w:t>
        </w:r>
      </w:smartTag>
      <w:r w:rsidRPr="0020615A">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Salamanca, Gto., correspondiente al ejercicio fiscal del año 2020, con base en el informe de resultados formulado por la Auditoría Superior del Estado de Guanajuato.</w:t>
      </w:r>
    </w:p>
    <w:p w14:paraId="277482A7" w14:textId="77777777" w:rsidR="0020615A" w:rsidRPr="0020615A" w:rsidRDefault="0020615A" w:rsidP="0020615A">
      <w:pPr>
        <w:ind w:firstLine="708"/>
        <w:jc w:val="both"/>
        <w:rPr>
          <w:rFonts w:ascii="Abadi" w:hAnsi="Abadi" w:cs="Arial"/>
          <w:sz w:val="21"/>
          <w:szCs w:val="21"/>
        </w:rPr>
      </w:pPr>
    </w:p>
    <w:p w14:paraId="4D26E3D9" w14:textId="37B445B0" w:rsidR="0020615A" w:rsidRPr="0020615A" w:rsidRDefault="0020615A" w:rsidP="0020615A">
      <w:pPr>
        <w:ind w:firstLine="708"/>
        <w:jc w:val="both"/>
        <w:rPr>
          <w:rFonts w:ascii="Abadi" w:hAnsi="Abadi" w:cs="Arial"/>
          <w:sz w:val="21"/>
          <w:szCs w:val="21"/>
          <w:lang w:val="es-MX" w:eastAsia="x-none"/>
        </w:rPr>
      </w:pPr>
      <w:r w:rsidRPr="0020615A">
        <w:rPr>
          <w:rFonts w:ascii="Abadi" w:hAnsi="Abadi" w:cs="Arial"/>
          <w:sz w:val="21"/>
          <w:szCs w:val="21"/>
          <w:lang w:val="x-none" w:eastAsia="x-none"/>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20615A">
        <w:rPr>
          <w:rFonts w:ascii="Abadi" w:hAnsi="Abadi" w:cs="Arial"/>
          <w:sz w:val="21"/>
          <w:szCs w:val="21"/>
          <w:lang w:val="es-MX" w:eastAsia="x-none"/>
        </w:rPr>
        <w:t>.</w:t>
      </w:r>
      <w:r w:rsidRPr="0020615A">
        <w:rPr>
          <w:rFonts w:ascii="Abadi" w:hAnsi="Abadi" w:cs="Arial"/>
          <w:sz w:val="21"/>
          <w:szCs w:val="21"/>
          <w:lang w:val="x-none" w:eastAsia="x-none"/>
        </w:rPr>
        <w:t xml:space="preserve"> </w:t>
      </w:r>
      <w:r w:rsidRPr="0020615A">
        <w:rPr>
          <w:rFonts w:ascii="Abadi" w:hAnsi="Abadi" w:cs="Arial"/>
          <w:sz w:val="21"/>
          <w:szCs w:val="21"/>
          <w:lang w:val="es-MX" w:eastAsia="x-none"/>
        </w:rPr>
        <w:t>Asimismo, dará</w:t>
      </w:r>
      <w:r w:rsidRPr="0020615A">
        <w:rPr>
          <w:rFonts w:ascii="Abadi" w:hAnsi="Abadi" w:cs="Arial"/>
          <w:sz w:val="21"/>
          <w:szCs w:val="21"/>
          <w:lang w:val="x-none" w:eastAsia="x-none"/>
        </w:rPr>
        <w:t xml:space="preserve"> seguimiento a la</w:t>
      </w:r>
      <w:r w:rsidRPr="0020615A">
        <w:rPr>
          <w:rFonts w:ascii="Abadi" w:hAnsi="Abadi" w:cs="Arial"/>
          <w:sz w:val="21"/>
          <w:szCs w:val="21"/>
          <w:lang w:val="es-MX" w:eastAsia="x-none"/>
        </w:rPr>
        <w:t>s</w:t>
      </w:r>
      <w:r w:rsidRPr="0020615A">
        <w:rPr>
          <w:rFonts w:ascii="Abadi" w:hAnsi="Abadi" w:cs="Arial"/>
          <w:sz w:val="21"/>
          <w:szCs w:val="21"/>
          <w:lang w:val="x-none" w:eastAsia="x-none"/>
        </w:rPr>
        <w:t xml:space="preserve"> observaciones no solventadas contenidas en el informe de resultados</w:t>
      </w:r>
      <w:r w:rsidRPr="0020615A">
        <w:rPr>
          <w:rFonts w:ascii="Abadi" w:hAnsi="Abadi" w:cs="Arial"/>
          <w:sz w:val="21"/>
          <w:szCs w:val="21"/>
          <w:lang w:val="es-MX" w:eastAsia="x-none"/>
        </w:rPr>
        <w:t>.</w:t>
      </w:r>
    </w:p>
    <w:p w14:paraId="67FFE926" w14:textId="77777777" w:rsidR="0020615A" w:rsidRPr="0020615A" w:rsidRDefault="0020615A" w:rsidP="0020615A">
      <w:pPr>
        <w:ind w:firstLine="708"/>
        <w:jc w:val="both"/>
        <w:rPr>
          <w:rFonts w:ascii="Abadi" w:hAnsi="Abadi" w:cs="Arial"/>
          <w:sz w:val="21"/>
          <w:szCs w:val="21"/>
          <w:lang w:val="es-MX" w:eastAsia="x-none"/>
        </w:rPr>
      </w:pPr>
    </w:p>
    <w:p w14:paraId="5FA05788" w14:textId="77777777" w:rsidR="0020615A" w:rsidRPr="0020615A" w:rsidRDefault="0020615A" w:rsidP="0020615A">
      <w:pPr>
        <w:ind w:firstLine="708"/>
        <w:jc w:val="both"/>
        <w:rPr>
          <w:rFonts w:ascii="Abadi" w:hAnsi="Abadi" w:cs="Arial"/>
          <w:sz w:val="21"/>
          <w:szCs w:val="21"/>
          <w:lang w:val="x-none" w:eastAsia="x-none"/>
        </w:rPr>
      </w:pPr>
      <w:r w:rsidRPr="0020615A">
        <w:rPr>
          <w:rFonts w:ascii="Abadi" w:hAnsi="Abadi" w:cs="Arial"/>
          <w:sz w:val="21"/>
          <w:szCs w:val="21"/>
        </w:rPr>
        <w:t>Del proceso de fiscalización realizado no se desprendieron recomendaciones</w:t>
      </w:r>
      <w:r w:rsidRPr="0020615A">
        <w:rPr>
          <w:rFonts w:ascii="Abadi" w:hAnsi="Abadi" w:cs="Arial"/>
          <w:sz w:val="21"/>
          <w:szCs w:val="21"/>
          <w:lang w:val="x-none" w:eastAsia="x-none"/>
        </w:rPr>
        <w:t>.</w:t>
      </w:r>
    </w:p>
    <w:p w14:paraId="5E04B00F" w14:textId="77777777" w:rsidR="0020615A" w:rsidRPr="0020615A" w:rsidRDefault="0020615A" w:rsidP="0020615A">
      <w:pPr>
        <w:jc w:val="both"/>
        <w:rPr>
          <w:rFonts w:ascii="Abadi" w:hAnsi="Abadi" w:cs="Arial"/>
          <w:sz w:val="21"/>
          <w:szCs w:val="21"/>
          <w:lang w:val="x-none"/>
        </w:rPr>
      </w:pPr>
    </w:p>
    <w:p w14:paraId="74E308E9" w14:textId="77777777" w:rsidR="0020615A" w:rsidRPr="0020615A" w:rsidRDefault="0020615A" w:rsidP="0020615A">
      <w:pPr>
        <w:ind w:firstLine="708"/>
        <w:jc w:val="both"/>
        <w:rPr>
          <w:rFonts w:ascii="Abadi" w:hAnsi="Abadi" w:cs="Arial"/>
          <w:sz w:val="21"/>
          <w:szCs w:val="21"/>
        </w:rPr>
      </w:pPr>
      <w:r w:rsidRPr="0020615A">
        <w:rPr>
          <w:rFonts w:ascii="Abadi" w:hAnsi="Abadi" w:cs="Arial"/>
          <w:sz w:val="21"/>
          <w:szCs w:val="21"/>
        </w:rPr>
        <w:t>Remítase el presente acuerdo al titular del Poder Ejecutivo del Estado para su publicación en el Periódico Oficial del Gobierno del Estado.</w:t>
      </w:r>
    </w:p>
    <w:p w14:paraId="71CDDF28" w14:textId="77777777" w:rsidR="0020615A" w:rsidRPr="0020615A" w:rsidRDefault="0020615A" w:rsidP="0020615A">
      <w:pPr>
        <w:jc w:val="both"/>
        <w:rPr>
          <w:rFonts w:ascii="Abadi" w:hAnsi="Abadi" w:cs="Arial"/>
          <w:sz w:val="21"/>
          <w:szCs w:val="21"/>
          <w:lang w:eastAsia="x-none"/>
        </w:rPr>
      </w:pPr>
    </w:p>
    <w:p w14:paraId="01F6E830" w14:textId="77777777" w:rsidR="0020615A" w:rsidRPr="0020615A" w:rsidRDefault="0020615A" w:rsidP="0020615A">
      <w:pPr>
        <w:ind w:firstLine="708"/>
        <w:jc w:val="both"/>
        <w:rPr>
          <w:rFonts w:ascii="Abadi" w:hAnsi="Abadi" w:cs="Arial"/>
          <w:sz w:val="21"/>
          <w:szCs w:val="21"/>
          <w:lang w:val="x-none" w:eastAsia="x-none"/>
        </w:rPr>
      </w:pPr>
      <w:r w:rsidRPr="0020615A">
        <w:rPr>
          <w:rFonts w:ascii="Abadi" w:hAnsi="Abadi" w:cs="Arial"/>
          <w:sz w:val="21"/>
          <w:szCs w:val="21"/>
          <w:lang w:val="x-none"/>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20615A">
        <w:rPr>
          <w:rFonts w:ascii="Abadi" w:hAnsi="Abadi" w:cs="Arial"/>
          <w:sz w:val="21"/>
          <w:szCs w:val="21"/>
          <w:lang w:val="x-none" w:eastAsia="x-none"/>
        </w:rPr>
        <w:t>.</w:t>
      </w:r>
    </w:p>
    <w:p w14:paraId="78362737" w14:textId="77777777" w:rsidR="0020615A" w:rsidRPr="0020615A" w:rsidRDefault="0020615A" w:rsidP="0020615A">
      <w:pPr>
        <w:jc w:val="center"/>
        <w:rPr>
          <w:rFonts w:ascii="Abadi" w:hAnsi="Abadi" w:cs="Arial"/>
          <w:b/>
          <w:bCs/>
          <w:sz w:val="21"/>
          <w:szCs w:val="21"/>
          <w:lang w:eastAsia="x-none"/>
        </w:rPr>
      </w:pPr>
    </w:p>
    <w:p w14:paraId="508B6883" w14:textId="77777777" w:rsidR="0020615A" w:rsidRPr="0020615A" w:rsidRDefault="0020615A" w:rsidP="0020615A">
      <w:pPr>
        <w:jc w:val="center"/>
        <w:rPr>
          <w:rFonts w:ascii="Abadi" w:hAnsi="Abadi" w:cs="Arial"/>
          <w:b/>
          <w:bCs/>
          <w:sz w:val="21"/>
          <w:szCs w:val="21"/>
          <w:lang w:eastAsia="x-none"/>
        </w:rPr>
      </w:pPr>
      <w:r w:rsidRPr="0020615A">
        <w:rPr>
          <w:rFonts w:ascii="Abadi" w:hAnsi="Abadi" w:cs="Arial"/>
          <w:b/>
          <w:bCs/>
          <w:sz w:val="21"/>
          <w:szCs w:val="21"/>
          <w:lang w:eastAsia="x-none"/>
        </w:rPr>
        <w:t>Guanajuato, Gto., 16 de junio de 2022</w:t>
      </w:r>
    </w:p>
    <w:p w14:paraId="0F3539FE" w14:textId="77777777" w:rsidR="0020615A" w:rsidRPr="0020615A" w:rsidRDefault="0020615A" w:rsidP="0020615A">
      <w:pPr>
        <w:jc w:val="center"/>
        <w:rPr>
          <w:rFonts w:ascii="Abadi" w:hAnsi="Abadi" w:cs="Arial"/>
          <w:b/>
          <w:bCs/>
          <w:sz w:val="21"/>
          <w:szCs w:val="21"/>
          <w:lang w:eastAsia="x-none"/>
        </w:rPr>
      </w:pPr>
      <w:smartTag w:uri="urn:schemas-microsoft-com:office:smarttags" w:element="PersonName">
        <w:smartTagPr>
          <w:attr w:name="ProductID" w:val="La Comisi￳n"/>
        </w:smartTagPr>
        <w:r w:rsidRPr="0020615A">
          <w:rPr>
            <w:rFonts w:ascii="Abadi" w:hAnsi="Abadi" w:cs="Arial"/>
            <w:b/>
            <w:bCs/>
            <w:sz w:val="21"/>
            <w:szCs w:val="21"/>
            <w:lang w:eastAsia="x-none"/>
          </w:rPr>
          <w:t>La Comisión</w:t>
        </w:r>
      </w:smartTag>
      <w:r w:rsidRPr="0020615A">
        <w:rPr>
          <w:rFonts w:ascii="Abadi" w:hAnsi="Abadi" w:cs="Arial"/>
          <w:b/>
          <w:bCs/>
          <w:sz w:val="21"/>
          <w:szCs w:val="21"/>
          <w:lang w:eastAsia="x-none"/>
        </w:rPr>
        <w:t xml:space="preserve"> de Hacienda y Fiscalización</w:t>
      </w:r>
    </w:p>
    <w:p w14:paraId="07FE74EE" w14:textId="77777777" w:rsidR="0020615A" w:rsidRPr="0020615A" w:rsidRDefault="0020615A" w:rsidP="0020615A">
      <w:pPr>
        <w:jc w:val="center"/>
        <w:rPr>
          <w:rFonts w:ascii="Abadi" w:hAnsi="Abadi" w:cs="Arial"/>
          <w:sz w:val="21"/>
          <w:szCs w:val="21"/>
        </w:rPr>
      </w:pPr>
    </w:p>
    <w:p w14:paraId="47D89604" w14:textId="77777777" w:rsidR="0020615A" w:rsidRPr="0020615A" w:rsidRDefault="0020615A" w:rsidP="0020615A">
      <w:pPr>
        <w:jc w:val="center"/>
        <w:rPr>
          <w:rFonts w:ascii="Abadi" w:hAnsi="Abadi" w:cs="Arial"/>
          <w:sz w:val="21"/>
          <w:szCs w:val="21"/>
        </w:rPr>
      </w:pPr>
    </w:p>
    <w:p w14:paraId="5B000333" w14:textId="77777777" w:rsidR="0020615A" w:rsidRPr="0020615A" w:rsidRDefault="0020615A" w:rsidP="0020615A">
      <w:pPr>
        <w:jc w:val="center"/>
        <w:rPr>
          <w:rFonts w:ascii="Abadi" w:hAnsi="Abadi" w:cs="Arial"/>
          <w:sz w:val="21"/>
          <w:szCs w:val="21"/>
        </w:rPr>
      </w:pPr>
      <w:r w:rsidRPr="0020615A">
        <w:rPr>
          <w:rFonts w:ascii="Abadi" w:hAnsi="Abadi" w:cs="Arial"/>
          <w:b/>
          <w:sz w:val="21"/>
          <w:szCs w:val="21"/>
          <w:lang w:eastAsia="x-none"/>
        </w:rPr>
        <w:t>Diputado Víctor Manuel Zanella Huerta</w:t>
      </w:r>
    </w:p>
    <w:p w14:paraId="2A879D03" w14:textId="77777777" w:rsidR="0020615A" w:rsidRPr="0020615A" w:rsidRDefault="0020615A" w:rsidP="0020615A">
      <w:pPr>
        <w:jc w:val="center"/>
        <w:rPr>
          <w:rFonts w:ascii="Abadi" w:hAnsi="Abadi" w:cs="Arial"/>
          <w:sz w:val="21"/>
          <w:szCs w:val="21"/>
          <w:lang w:eastAsia="x-none"/>
        </w:rPr>
      </w:pPr>
    </w:p>
    <w:p w14:paraId="2F9F3BA1" w14:textId="77777777" w:rsidR="0020615A" w:rsidRPr="0020615A" w:rsidRDefault="0020615A" w:rsidP="0020615A">
      <w:pPr>
        <w:jc w:val="center"/>
        <w:rPr>
          <w:rFonts w:ascii="Abadi" w:hAnsi="Abadi" w:cs="Arial"/>
          <w:b/>
          <w:bCs/>
          <w:sz w:val="21"/>
          <w:szCs w:val="21"/>
          <w:lang w:eastAsia="x-none"/>
        </w:rPr>
      </w:pPr>
    </w:p>
    <w:p w14:paraId="0ABF6A88" w14:textId="319F0BAD" w:rsidR="0020615A" w:rsidRPr="0020615A" w:rsidRDefault="0020615A" w:rsidP="0020615A">
      <w:pPr>
        <w:jc w:val="center"/>
        <w:rPr>
          <w:rFonts w:ascii="Abadi" w:hAnsi="Abadi" w:cs="Arial"/>
          <w:b/>
          <w:sz w:val="21"/>
          <w:szCs w:val="21"/>
          <w:lang w:eastAsia="x-none"/>
        </w:rPr>
      </w:pPr>
      <w:r w:rsidRPr="0020615A">
        <w:rPr>
          <w:rFonts w:ascii="Abadi" w:hAnsi="Abadi" w:cs="Arial"/>
          <w:b/>
          <w:sz w:val="21"/>
          <w:szCs w:val="21"/>
          <w:lang w:eastAsia="x-none"/>
        </w:rPr>
        <w:t>Diputada Ruth Noemí Tiscareño Agoitia</w:t>
      </w:r>
    </w:p>
    <w:p w14:paraId="6C668B1E" w14:textId="77777777" w:rsidR="0020615A" w:rsidRPr="0020615A" w:rsidRDefault="0020615A" w:rsidP="0020615A">
      <w:pPr>
        <w:jc w:val="center"/>
        <w:rPr>
          <w:rFonts w:ascii="Abadi" w:hAnsi="Abadi" w:cs="Arial"/>
          <w:b/>
          <w:sz w:val="21"/>
          <w:szCs w:val="21"/>
          <w:lang w:eastAsia="x-none"/>
        </w:rPr>
      </w:pPr>
    </w:p>
    <w:p w14:paraId="34F3E214" w14:textId="77777777" w:rsidR="0020615A" w:rsidRPr="0020615A" w:rsidRDefault="0020615A" w:rsidP="0020615A">
      <w:pPr>
        <w:jc w:val="center"/>
        <w:rPr>
          <w:rFonts w:ascii="Abadi" w:hAnsi="Abadi" w:cs="Arial"/>
          <w:b/>
          <w:sz w:val="21"/>
          <w:szCs w:val="21"/>
          <w:lang w:eastAsia="x-none"/>
        </w:rPr>
      </w:pPr>
    </w:p>
    <w:p w14:paraId="0B34ED90" w14:textId="3D8FC96F" w:rsidR="0020615A" w:rsidRPr="0020615A" w:rsidRDefault="0020615A" w:rsidP="0020615A">
      <w:pPr>
        <w:jc w:val="center"/>
        <w:rPr>
          <w:rFonts w:ascii="Abadi" w:hAnsi="Abadi" w:cs="Arial"/>
          <w:b/>
          <w:sz w:val="21"/>
          <w:szCs w:val="21"/>
          <w:lang w:eastAsia="x-none"/>
        </w:rPr>
      </w:pPr>
      <w:r w:rsidRPr="0020615A">
        <w:rPr>
          <w:rFonts w:ascii="Abadi" w:hAnsi="Abadi" w:cs="Arial"/>
          <w:b/>
          <w:sz w:val="21"/>
          <w:szCs w:val="21"/>
          <w:lang w:eastAsia="x-none"/>
        </w:rPr>
        <w:t>Diputado Miguel Ángel Salim Alle</w:t>
      </w:r>
    </w:p>
    <w:p w14:paraId="088A6E0E" w14:textId="77777777" w:rsidR="0020615A" w:rsidRPr="0020615A" w:rsidRDefault="0020615A" w:rsidP="0020615A">
      <w:pPr>
        <w:jc w:val="center"/>
        <w:rPr>
          <w:rFonts w:ascii="Abadi" w:hAnsi="Abadi" w:cs="Arial"/>
          <w:b/>
          <w:sz w:val="21"/>
          <w:szCs w:val="21"/>
          <w:lang w:eastAsia="x-none"/>
        </w:rPr>
      </w:pPr>
    </w:p>
    <w:p w14:paraId="41ACC02A" w14:textId="502F7C24" w:rsidR="0020615A" w:rsidRPr="0020615A" w:rsidRDefault="0020615A" w:rsidP="0020615A">
      <w:pPr>
        <w:jc w:val="center"/>
        <w:rPr>
          <w:rFonts w:ascii="Abadi" w:hAnsi="Abadi" w:cs="Arial"/>
          <w:b/>
          <w:sz w:val="21"/>
          <w:szCs w:val="21"/>
          <w:lang w:eastAsia="x-none"/>
        </w:rPr>
      </w:pPr>
      <w:r w:rsidRPr="0020615A">
        <w:rPr>
          <w:rFonts w:ascii="Abadi" w:hAnsi="Abadi" w:cs="Arial"/>
          <w:b/>
          <w:sz w:val="21"/>
          <w:szCs w:val="21"/>
          <w:lang w:eastAsia="x-none"/>
        </w:rPr>
        <w:t>Diputado José Alfonso Borja Pimentel</w:t>
      </w:r>
    </w:p>
    <w:p w14:paraId="1B54E420" w14:textId="77777777" w:rsidR="0020615A" w:rsidRPr="0020615A" w:rsidRDefault="0020615A" w:rsidP="0020615A">
      <w:pPr>
        <w:jc w:val="center"/>
        <w:rPr>
          <w:rFonts w:ascii="Abadi" w:hAnsi="Abadi" w:cs="Arial"/>
          <w:b/>
          <w:sz w:val="21"/>
          <w:szCs w:val="21"/>
          <w:lang w:eastAsia="x-none"/>
        </w:rPr>
      </w:pPr>
    </w:p>
    <w:p w14:paraId="22C06370" w14:textId="77777777" w:rsidR="0020615A" w:rsidRPr="0020615A" w:rsidRDefault="0020615A" w:rsidP="0020615A">
      <w:pPr>
        <w:jc w:val="center"/>
        <w:rPr>
          <w:rFonts w:ascii="Abadi" w:hAnsi="Abadi" w:cs="Arial"/>
          <w:b/>
          <w:sz w:val="21"/>
          <w:szCs w:val="21"/>
          <w:lang w:eastAsia="x-none"/>
        </w:rPr>
      </w:pPr>
    </w:p>
    <w:p w14:paraId="49B381ED" w14:textId="77777777" w:rsidR="0020615A" w:rsidRPr="0020615A" w:rsidRDefault="0020615A" w:rsidP="0020615A">
      <w:pPr>
        <w:jc w:val="center"/>
        <w:rPr>
          <w:rFonts w:ascii="Abadi" w:hAnsi="Abadi" w:cs="Arial"/>
          <w:b/>
          <w:sz w:val="21"/>
          <w:szCs w:val="21"/>
          <w:lang w:eastAsia="x-none"/>
        </w:rPr>
      </w:pPr>
      <w:r w:rsidRPr="0020615A">
        <w:rPr>
          <w:rFonts w:ascii="Abadi" w:hAnsi="Abadi" w:cs="Arial"/>
          <w:b/>
          <w:sz w:val="21"/>
          <w:szCs w:val="21"/>
          <w:lang w:eastAsia="x-none"/>
        </w:rPr>
        <w:t>Diputada Alma Edwviges Alcaraz Hernández</w:t>
      </w:r>
    </w:p>
    <w:p w14:paraId="650DA821" w14:textId="77777777" w:rsidR="006167A9" w:rsidRPr="006167A9" w:rsidRDefault="006167A9" w:rsidP="006167A9">
      <w:pPr>
        <w:rPr>
          <w:rFonts w:ascii="Abadi" w:hAnsi="Abadi"/>
          <w:sz w:val="20"/>
          <w:szCs w:val="20"/>
        </w:rPr>
      </w:pPr>
    </w:p>
    <w:p w14:paraId="209D42CF" w14:textId="6F8D6A2A" w:rsidR="00BE5BB6" w:rsidRDefault="00BE5BB6" w:rsidP="005433FA">
      <w:pPr>
        <w:pStyle w:val="Prrafodelista"/>
        <w:numPr>
          <w:ilvl w:val="0"/>
          <w:numId w:val="9"/>
        </w:numPr>
        <w:tabs>
          <w:tab w:val="left" w:pos="856"/>
        </w:tabs>
        <w:kinsoku w:val="0"/>
        <w:overflowPunct w:val="0"/>
        <w:autoSpaceDE w:val="0"/>
        <w:autoSpaceDN w:val="0"/>
        <w:adjustRightInd w:val="0"/>
        <w:spacing w:before="22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1"/>
          <w:sz w:val="20"/>
          <w:szCs w:val="20"/>
        </w:rPr>
        <w:t xml:space="preserve"> </w:t>
      </w:r>
      <w:r w:rsidRPr="00531B12">
        <w:rPr>
          <w:rFonts w:ascii="Abadi" w:hAnsi="Abadi"/>
          <w:b/>
          <w:bCs/>
          <w:sz w:val="20"/>
          <w:szCs w:val="20"/>
        </w:rPr>
        <w:t>Y,</w:t>
      </w:r>
      <w:r w:rsidRPr="00531B12">
        <w:rPr>
          <w:rFonts w:ascii="Abadi" w:hAnsi="Abadi"/>
          <w:b/>
          <w:bCs/>
          <w:spacing w:val="11"/>
          <w:sz w:val="20"/>
          <w:szCs w:val="20"/>
        </w:rPr>
        <w:t xml:space="preserve"> </w:t>
      </w:r>
      <w:r w:rsidRPr="00531B12">
        <w:rPr>
          <w:rFonts w:ascii="Abadi" w:hAnsi="Abadi"/>
          <w:b/>
          <w:bCs/>
          <w:sz w:val="20"/>
          <w:szCs w:val="20"/>
        </w:rPr>
        <w:t>EN</w:t>
      </w:r>
      <w:r w:rsidRPr="00531B12">
        <w:rPr>
          <w:rFonts w:ascii="Abadi" w:hAnsi="Abadi"/>
          <w:b/>
          <w:bCs/>
          <w:spacing w:val="11"/>
          <w:sz w:val="20"/>
          <w:szCs w:val="20"/>
        </w:rPr>
        <w:t xml:space="preserve"> </w:t>
      </w:r>
      <w:r w:rsidRPr="00531B12">
        <w:rPr>
          <w:rFonts w:ascii="Abadi" w:hAnsi="Abadi"/>
          <w:b/>
          <w:bCs/>
          <w:sz w:val="20"/>
          <w:szCs w:val="20"/>
        </w:rPr>
        <w:t>SU</w:t>
      </w:r>
      <w:r w:rsidRPr="00531B12">
        <w:rPr>
          <w:rFonts w:ascii="Abadi" w:hAnsi="Abadi"/>
          <w:b/>
          <w:bCs/>
          <w:spacing w:val="11"/>
          <w:sz w:val="20"/>
          <w:szCs w:val="20"/>
        </w:rPr>
        <w:t xml:space="preserve"> </w:t>
      </w:r>
      <w:r w:rsidRPr="00531B12">
        <w:rPr>
          <w:rFonts w:ascii="Abadi" w:hAnsi="Abadi"/>
          <w:b/>
          <w:bCs/>
          <w:sz w:val="20"/>
          <w:szCs w:val="20"/>
        </w:rPr>
        <w:t>CASO,</w:t>
      </w:r>
      <w:r w:rsidRPr="00531B12">
        <w:rPr>
          <w:rFonts w:ascii="Abadi" w:hAnsi="Abadi"/>
          <w:b/>
          <w:bCs/>
          <w:spacing w:val="11"/>
          <w:sz w:val="20"/>
          <w:szCs w:val="20"/>
        </w:rPr>
        <w:t xml:space="preserve"> </w:t>
      </w:r>
      <w:r w:rsidRPr="00531B12">
        <w:rPr>
          <w:rFonts w:ascii="Abadi" w:hAnsi="Abadi"/>
          <w:b/>
          <w:bCs/>
          <w:sz w:val="20"/>
          <w:szCs w:val="20"/>
        </w:rPr>
        <w:t>APROBACIÓN</w:t>
      </w:r>
      <w:r w:rsidRPr="00531B12">
        <w:rPr>
          <w:rFonts w:ascii="Abadi" w:hAnsi="Abadi"/>
          <w:b/>
          <w:bCs/>
          <w:spacing w:val="11"/>
          <w:sz w:val="20"/>
          <w:szCs w:val="20"/>
        </w:rPr>
        <w:t xml:space="preserve"> </w:t>
      </w:r>
      <w:r w:rsidRPr="00531B12">
        <w:rPr>
          <w:rFonts w:ascii="Abadi" w:hAnsi="Abadi"/>
          <w:b/>
          <w:bCs/>
          <w:sz w:val="20"/>
          <w:szCs w:val="20"/>
        </w:rPr>
        <w:t>DEL</w:t>
      </w:r>
      <w:r w:rsidRPr="00531B12">
        <w:rPr>
          <w:rFonts w:ascii="Abadi" w:hAnsi="Abadi"/>
          <w:b/>
          <w:bCs/>
          <w:spacing w:val="11"/>
          <w:sz w:val="20"/>
          <w:szCs w:val="20"/>
        </w:rPr>
        <w:t xml:space="preserve"> </w:t>
      </w:r>
      <w:r w:rsidRPr="00531B12">
        <w:rPr>
          <w:rFonts w:ascii="Abadi" w:hAnsi="Abadi"/>
          <w:b/>
          <w:bCs/>
          <w:sz w:val="20"/>
          <w:szCs w:val="20"/>
        </w:rPr>
        <w:t>DICTAMEN</w:t>
      </w:r>
      <w:r w:rsidRPr="00531B12">
        <w:rPr>
          <w:rFonts w:ascii="Abadi" w:hAnsi="Abadi"/>
          <w:b/>
          <w:bCs/>
          <w:spacing w:val="11"/>
          <w:sz w:val="20"/>
          <w:szCs w:val="20"/>
        </w:rPr>
        <w:t xml:space="preserve"> </w:t>
      </w:r>
      <w:r w:rsidRPr="00531B12">
        <w:rPr>
          <w:rFonts w:ascii="Abadi" w:hAnsi="Abadi"/>
          <w:b/>
          <w:bCs/>
          <w:sz w:val="20"/>
          <w:szCs w:val="20"/>
        </w:rPr>
        <w:t>SIGNADO</w:t>
      </w:r>
      <w:r w:rsidRPr="00531B12">
        <w:rPr>
          <w:rFonts w:ascii="Abadi" w:hAnsi="Abadi"/>
          <w:b/>
          <w:bCs/>
          <w:spacing w:val="11"/>
          <w:sz w:val="20"/>
          <w:szCs w:val="20"/>
        </w:rPr>
        <w:t xml:space="preserve"> </w:t>
      </w:r>
      <w:r w:rsidRPr="00531B12">
        <w:rPr>
          <w:rFonts w:ascii="Abadi" w:hAnsi="Abadi"/>
          <w:b/>
          <w:bCs/>
          <w:sz w:val="20"/>
          <w:szCs w:val="20"/>
        </w:rPr>
        <w:t>POR</w:t>
      </w:r>
      <w:r w:rsidRPr="00531B12">
        <w:rPr>
          <w:rFonts w:ascii="Abadi" w:hAnsi="Abadi"/>
          <w:b/>
          <w:bCs/>
          <w:spacing w:val="11"/>
          <w:sz w:val="20"/>
          <w:szCs w:val="20"/>
        </w:rPr>
        <w:t xml:space="preserve"> </w:t>
      </w:r>
      <w:r w:rsidRPr="00531B12">
        <w:rPr>
          <w:rFonts w:ascii="Abadi" w:hAnsi="Abadi"/>
          <w:b/>
          <w:bCs/>
          <w:sz w:val="20"/>
          <w:szCs w:val="20"/>
        </w:rPr>
        <w:t>LA</w:t>
      </w:r>
      <w:r w:rsidRPr="00531B12">
        <w:rPr>
          <w:rFonts w:ascii="Abadi" w:hAnsi="Abadi"/>
          <w:b/>
          <w:bCs/>
          <w:spacing w:val="11"/>
          <w:sz w:val="20"/>
          <w:szCs w:val="20"/>
        </w:rPr>
        <w:t xml:space="preserve"> </w:t>
      </w:r>
      <w:r w:rsidRPr="00531B12">
        <w:rPr>
          <w:rFonts w:ascii="Abadi" w:hAnsi="Abadi"/>
          <w:b/>
          <w:bCs/>
          <w:sz w:val="20"/>
          <w:szCs w:val="20"/>
        </w:rPr>
        <w:t>COMISIÓN DE</w:t>
      </w:r>
      <w:r w:rsidRPr="00531B12">
        <w:rPr>
          <w:rFonts w:ascii="Abadi" w:hAnsi="Abadi"/>
          <w:b/>
          <w:bCs/>
          <w:spacing w:val="10"/>
          <w:sz w:val="20"/>
          <w:szCs w:val="20"/>
        </w:rPr>
        <w:t xml:space="preserve"> </w:t>
      </w:r>
      <w:r w:rsidRPr="00531B12">
        <w:rPr>
          <w:rFonts w:ascii="Abadi" w:hAnsi="Abadi"/>
          <w:b/>
          <w:bCs/>
          <w:sz w:val="20"/>
          <w:szCs w:val="20"/>
        </w:rPr>
        <w:t>HACIENDA</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0"/>
          <w:sz w:val="20"/>
          <w:szCs w:val="20"/>
        </w:rPr>
        <w:t xml:space="preserve"> </w:t>
      </w:r>
      <w:r w:rsidRPr="00531B12">
        <w:rPr>
          <w:rFonts w:ascii="Abadi" w:hAnsi="Abadi"/>
          <w:b/>
          <w:bCs/>
          <w:sz w:val="20"/>
          <w:szCs w:val="20"/>
        </w:rPr>
        <w:t>FISCALIZACIÓN</w:t>
      </w:r>
      <w:r w:rsidRPr="00531B12">
        <w:rPr>
          <w:rFonts w:ascii="Abadi" w:hAnsi="Abadi"/>
          <w:b/>
          <w:bCs/>
          <w:spacing w:val="10"/>
          <w:sz w:val="20"/>
          <w:szCs w:val="20"/>
        </w:rPr>
        <w:t xml:space="preserve"> </w:t>
      </w:r>
      <w:r w:rsidRPr="00531B12">
        <w:rPr>
          <w:rFonts w:ascii="Abadi" w:hAnsi="Abadi"/>
          <w:b/>
          <w:bCs/>
          <w:sz w:val="20"/>
          <w:szCs w:val="20"/>
        </w:rPr>
        <w:t>RELATIVO</w:t>
      </w:r>
      <w:r w:rsidRPr="00531B12">
        <w:rPr>
          <w:rFonts w:ascii="Abadi" w:hAnsi="Abadi"/>
          <w:b/>
          <w:bCs/>
          <w:spacing w:val="10"/>
          <w:sz w:val="20"/>
          <w:szCs w:val="20"/>
        </w:rPr>
        <w:t xml:space="preserve"> </w:t>
      </w:r>
      <w:r w:rsidRPr="00531B12">
        <w:rPr>
          <w:rFonts w:ascii="Abadi" w:hAnsi="Abadi"/>
          <w:b/>
          <w:bCs/>
          <w:sz w:val="20"/>
          <w:szCs w:val="20"/>
        </w:rPr>
        <w:t>AL</w:t>
      </w:r>
      <w:r w:rsidRPr="00531B12">
        <w:rPr>
          <w:rFonts w:ascii="Abadi" w:hAnsi="Abadi"/>
          <w:b/>
          <w:bCs/>
          <w:spacing w:val="9"/>
          <w:sz w:val="20"/>
          <w:szCs w:val="20"/>
        </w:rPr>
        <w:t xml:space="preserve"> </w:t>
      </w:r>
      <w:r w:rsidRPr="00531B12">
        <w:rPr>
          <w:rFonts w:ascii="Abadi" w:hAnsi="Abadi"/>
          <w:b/>
          <w:bCs/>
          <w:sz w:val="20"/>
          <w:szCs w:val="20"/>
        </w:rPr>
        <w:t>INFORME</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RESULTADOS</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REVISIÓN PRACTICADA</w:t>
      </w:r>
      <w:r w:rsidRPr="00531B12">
        <w:rPr>
          <w:rFonts w:ascii="Abadi" w:hAnsi="Abadi"/>
          <w:b/>
          <w:bCs/>
          <w:spacing w:val="10"/>
          <w:sz w:val="20"/>
          <w:szCs w:val="20"/>
        </w:rPr>
        <w:t xml:space="preserve"> </w:t>
      </w:r>
      <w:r w:rsidRPr="00531B12">
        <w:rPr>
          <w:rFonts w:ascii="Abadi" w:hAnsi="Abadi"/>
          <w:b/>
          <w:bCs/>
          <w:sz w:val="20"/>
          <w:szCs w:val="20"/>
        </w:rPr>
        <w:t>POR</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AUDITORÍA</w:t>
      </w:r>
      <w:r w:rsidRPr="00531B12">
        <w:rPr>
          <w:rFonts w:ascii="Abadi" w:hAnsi="Abadi"/>
          <w:b/>
          <w:bCs/>
          <w:spacing w:val="10"/>
          <w:sz w:val="20"/>
          <w:szCs w:val="20"/>
        </w:rPr>
        <w:t xml:space="preserve"> </w:t>
      </w:r>
      <w:r w:rsidRPr="00531B12">
        <w:rPr>
          <w:rFonts w:ascii="Abadi" w:hAnsi="Abadi"/>
          <w:b/>
          <w:bCs/>
          <w:sz w:val="20"/>
          <w:szCs w:val="20"/>
        </w:rPr>
        <w:t>SUPERIOR</w:t>
      </w:r>
      <w:r w:rsidRPr="00531B12">
        <w:rPr>
          <w:rFonts w:ascii="Abadi" w:hAnsi="Abadi"/>
          <w:b/>
          <w:bCs/>
          <w:spacing w:val="9"/>
          <w:sz w:val="20"/>
          <w:szCs w:val="20"/>
        </w:rPr>
        <w:t xml:space="preserve"> </w:t>
      </w:r>
      <w:r w:rsidRPr="00531B12">
        <w:rPr>
          <w:rFonts w:ascii="Abadi" w:hAnsi="Abadi"/>
          <w:b/>
          <w:bCs/>
          <w:sz w:val="20"/>
          <w:szCs w:val="20"/>
        </w:rPr>
        <w:t>DEL</w:t>
      </w:r>
      <w:r w:rsidRPr="00531B12">
        <w:rPr>
          <w:rFonts w:ascii="Abadi" w:hAnsi="Abadi"/>
          <w:b/>
          <w:bCs/>
          <w:spacing w:val="9"/>
          <w:sz w:val="20"/>
          <w:szCs w:val="20"/>
        </w:rPr>
        <w:t xml:space="preserve"> </w:t>
      </w:r>
      <w:r w:rsidRPr="00531B12">
        <w:rPr>
          <w:rFonts w:ascii="Abadi" w:hAnsi="Abadi"/>
          <w:b/>
          <w:bCs/>
          <w:sz w:val="20"/>
          <w:szCs w:val="20"/>
        </w:rPr>
        <w:t>ESTADO</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GUANAJUATO,</w:t>
      </w:r>
      <w:r w:rsidRPr="00531B12">
        <w:rPr>
          <w:rFonts w:ascii="Abadi" w:hAnsi="Abadi"/>
          <w:b/>
          <w:bCs/>
          <w:spacing w:val="9"/>
          <w:sz w:val="20"/>
          <w:szCs w:val="20"/>
        </w:rPr>
        <w:t xml:space="preserve"> </w:t>
      </w:r>
      <w:r w:rsidRPr="00531B12">
        <w:rPr>
          <w:rFonts w:ascii="Abadi" w:hAnsi="Abadi"/>
          <w:b/>
          <w:bCs/>
          <w:sz w:val="20"/>
          <w:szCs w:val="20"/>
        </w:rPr>
        <w:t>A</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CUENTA PÚBLICA</w:t>
      </w:r>
      <w:r w:rsidRPr="00531B12">
        <w:rPr>
          <w:rFonts w:ascii="Abadi" w:hAnsi="Abadi"/>
          <w:b/>
          <w:bCs/>
          <w:spacing w:val="32"/>
          <w:sz w:val="20"/>
          <w:szCs w:val="20"/>
        </w:rPr>
        <w:t xml:space="preserve"> </w:t>
      </w:r>
      <w:r w:rsidRPr="00531B12">
        <w:rPr>
          <w:rFonts w:ascii="Abadi" w:hAnsi="Abadi"/>
          <w:b/>
          <w:bCs/>
          <w:sz w:val="20"/>
          <w:szCs w:val="20"/>
        </w:rPr>
        <w:t>MUNICIPAL</w:t>
      </w:r>
      <w:r w:rsidRPr="00531B12">
        <w:rPr>
          <w:rFonts w:ascii="Abadi" w:hAnsi="Abadi"/>
          <w:b/>
          <w:bCs/>
          <w:spacing w:val="33"/>
          <w:sz w:val="20"/>
          <w:szCs w:val="20"/>
        </w:rPr>
        <w:t xml:space="preserve"> </w:t>
      </w:r>
      <w:r w:rsidRPr="00531B12">
        <w:rPr>
          <w:rFonts w:ascii="Abadi" w:hAnsi="Abadi"/>
          <w:b/>
          <w:bCs/>
          <w:sz w:val="20"/>
          <w:szCs w:val="20"/>
        </w:rPr>
        <w:t>DE</w:t>
      </w:r>
      <w:r w:rsidRPr="00531B12">
        <w:rPr>
          <w:rFonts w:ascii="Abadi" w:hAnsi="Abadi"/>
          <w:b/>
          <w:bCs/>
          <w:spacing w:val="32"/>
          <w:sz w:val="20"/>
          <w:szCs w:val="20"/>
        </w:rPr>
        <w:t xml:space="preserve"> </w:t>
      </w:r>
      <w:r w:rsidRPr="00531B12">
        <w:rPr>
          <w:rFonts w:ascii="Abadi" w:hAnsi="Abadi"/>
          <w:b/>
          <w:bCs/>
          <w:sz w:val="20"/>
          <w:szCs w:val="20"/>
        </w:rPr>
        <w:t>ABASOLO,</w:t>
      </w:r>
      <w:r w:rsidRPr="00531B12">
        <w:rPr>
          <w:rFonts w:ascii="Abadi" w:hAnsi="Abadi"/>
          <w:b/>
          <w:bCs/>
          <w:spacing w:val="32"/>
          <w:sz w:val="20"/>
          <w:szCs w:val="20"/>
        </w:rPr>
        <w:t xml:space="preserve"> </w:t>
      </w:r>
      <w:r w:rsidRPr="00531B12">
        <w:rPr>
          <w:rFonts w:ascii="Abadi" w:hAnsi="Abadi"/>
          <w:b/>
          <w:bCs/>
          <w:sz w:val="20"/>
          <w:szCs w:val="20"/>
        </w:rPr>
        <w:t>GTO.,</w:t>
      </w:r>
      <w:r w:rsidRPr="00531B12">
        <w:rPr>
          <w:rFonts w:ascii="Abadi" w:hAnsi="Abadi"/>
          <w:b/>
          <w:bCs/>
          <w:spacing w:val="32"/>
          <w:sz w:val="20"/>
          <w:szCs w:val="20"/>
        </w:rPr>
        <w:t xml:space="preserve"> </w:t>
      </w:r>
      <w:r w:rsidRPr="00531B12">
        <w:rPr>
          <w:rFonts w:ascii="Abadi" w:hAnsi="Abadi"/>
          <w:b/>
          <w:bCs/>
          <w:sz w:val="20"/>
          <w:szCs w:val="20"/>
        </w:rPr>
        <w:t>CORRESPONDIENTE</w:t>
      </w:r>
      <w:r w:rsidRPr="00531B12">
        <w:rPr>
          <w:rFonts w:ascii="Abadi" w:hAnsi="Abadi"/>
          <w:b/>
          <w:bCs/>
          <w:spacing w:val="32"/>
          <w:sz w:val="20"/>
          <w:szCs w:val="20"/>
        </w:rPr>
        <w:t xml:space="preserve"> </w:t>
      </w:r>
      <w:r w:rsidRPr="00531B12">
        <w:rPr>
          <w:rFonts w:ascii="Abadi" w:hAnsi="Abadi"/>
          <w:b/>
          <w:bCs/>
          <w:sz w:val="20"/>
          <w:szCs w:val="20"/>
        </w:rPr>
        <w:t>AL</w:t>
      </w:r>
      <w:r w:rsidRPr="00531B12">
        <w:rPr>
          <w:rFonts w:ascii="Abadi" w:hAnsi="Abadi"/>
          <w:b/>
          <w:bCs/>
          <w:spacing w:val="32"/>
          <w:sz w:val="20"/>
          <w:szCs w:val="20"/>
        </w:rPr>
        <w:t xml:space="preserve"> </w:t>
      </w:r>
      <w:r w:rsidRPr="00531B12">
        <w:rPr>
          <w:rFonts w:ascii="Abadi" w:hAnsi="Abadi"/>
          <w:b/>
          <w:bCs/>
          <w:sz w:val="20"/>
          <w:szCs w:val="20"/>
        </w:rPr>
        <w:t>EJERCICIO</w:t>
      </w:r>
      <w:r w:rsidRPr="00531B12">
        <w:rPr>
          <w:rFonts w:ascii="Abadi" w:hAnsi="Abadi"/>
          <w:b/>
          <w:bCs/>
          <w:spacing w:val="32"/>
          <w:sz w:val="20"/>
          <w:szCs w:val="20"/>
        </w:rPr>
        <w:t xml:space="preserve"> </w:t>
      </w:r>
      <w:r w:rsidRPr="00531B12">
        <w:rPr>
          <w:rFonts w:ascii="Abadi" w:hAnsi="Abadi"/>
          <w:b/>
          <w:bCs/>
          <w:sz w:val="20"/>
          <w:szCs w:val="20"/>
        </w:rPr>
        <w:t>FISCAL</w:t>
      </w:r>
      <w:r w:rsidRPr="00531B12">
        <w:rPr>
          <w:rFonts w:ascii="Abadi" w:hAnsi="Abadi"/>
          <w:b/>
          <w:bCs/>
          <w:spacing w:val="32"/>
          <w:sz w:val="20"/>
          <w:szCs w:val="20"/>
        </w:rPr>
        <w:t xml:space="preserve"> </w:t>
      </w:r>
      <w:r w:rsidRPr="00531B12">
        <w:rPr>
          <w:rFonts w:ascii="Abadi" w:hAnsi="Abadi"/>
          <w:b/>
          <w:bCs/>
          <w:sz w:val="20"/>
          <w:szCs w:val="20"/>
        </w:rPr>
        <w:t>DEL AÑO 2020.</w:t>
      </w:r>
    </w:p>
    <w:p w14:paraId="5FC9ADFE" w14:textId="577AEC94" w:rsidR="00532A38" w:rsidRDefault="00532A38" w:rsidP="007041B2">
      <w:pPr>
        <w:rPr>
          <w:rFonts w:ascii="Abadi" w:hAnsi="Abadi"/>
          <w:sz w:val="20"/>
          <w:szCs w:val="20"/>
        </w:rPr>
      </w:pPr>
    </w:p>
    <w:p w14:paraId="42568FE9" w14:textId="77777777" w:rsidR="00E4080D" w:rsidRPr="00E4080D" w:rsidRDefault="00E4080D" w:rsidP="00E4080D">
      <w:pPr>
        <w:jc w:val="both"/>
        <w:rPr>
          <w:rFonts w:ascii="Abadi" w:hAnsi="Abadi" w:cs="Arial"/>
          <w:b/>
          <w:bCs/>
          <w:smallCaps/>
          <w:sz w:val="21"/>
          <w:szCs w:val="21"/>
          <w:lang w:val="es-MX"/>
        </w:rPr>
      </w:pPr>
      <w:r w:rsidRPr="00E4080D">
        <w:rPr>
          <w:rFonts w:ascii="Abadi" w:hAnsi="Abadi" w:cs="Arial"/>
          <w:b/>
          <w:bCs/>
          <w:smallCaps/>
          <w:sz w:val="21"/>
          <w:szCs w:val="21"/>
          <w:lang w:val="es-MX"/>
        </w:rPr>
        <w:t>C. Presidenta del Congreso del Estado</w:t>
      </w:r>
    </w:p>
    <w:p w14:paraId="0DDBAD4C" w14:textId="77777777" w:rsidR="00E4080D" w:rsidRPr="00E4080D" w:rsidRDefault="00E4080D" w:rsidP="00E4080D">
      <w:pPr>
        <w:jc w:val="both"/>
        <w:rPr>
          <w:rFonts w:ascii="Abadi" w:hAnsi="Abadi" w:cs="Arial"/>
          <w:b/>
          <w:bCs/>
          <w:smallCaps/>
          <w:sz w:val="21"/>
          <w:szCs w:val="21"/>
        </w:rPr>
      </w:pPr>
      <w:r w:rsidRPr="00E4080D">
        <w:rPr>
          <w:rFonts w:ascii="Abadi" w:hAnsi="Abadi" w:cs="Arial"/>
          <w:b/>
          <w:bCs/>
          <w:smallCaps/>
          <w:sz w:val="21"/>
          <w:szCs w:val="21"/>
        </w:rPr>
        <w:t>P r e s e n t e.</w:t>
      </w:r>
    </w:p>
    <w:p w14:paraId="3F93F34F" w14:textId="77777777" w:rsidR="00E4080D" w:rsidRPr="00E4080D" w:rsidRDefault="00E4080D" w:rsidP="00E4080D">
      <w:pPr>
        <w:jc w:val="both"/>
        <w:rPr>
          <w:rFonts w:ascii="Abadi" w:hAnsi="Abadi" w:cs="Arial"/>
          <w:sz w:val="21"/>
          <w:szCs w:val="21"/>
          <w:lang w:val="es-MX" w:eastAsia="x-none"/>
        </w:rPr>
      </w:pPr>
    </w:p>
    <w:p w14:paraId="29E9E81B" w14:textId="77777777" w:rsidR="00E4080D" w:rsidRPr="00E4080D" w:rsidRDefault="00E4080D" w:rsidP="00E4080D">
      <w:pPr>
        <w:ind w:firstLine="708"/>
        <w:jc w:val="both"/>
        <w:rPr>
          <w:rFonts w:ascii="Abadi" w:hAnsi="Abadi" w:cs="Arial"/>
          <w:sz w:val="21"/>
          <w:szCs w:val="21"/>
          <w:lang w:val="x-none" w:eastAsia="x-none"/>
        </w:rPr>
      </w:pPr>
      <w:r w:rsidRPr="00E4080D">
        <w:rPr>
          <w:rFonts w:ascii="Abadi" w:hAnsi="Abadi" w:cs="Arial"/>
          <w:sz w:val="21"/>
          <w:szCs w:val="21"/>
          <w:lang w:val="x-none" w:eastAsia="x-none"/>
        </w:rPr>
        <w:t xml:space="preserve">A </w:t>
      </w:r>
      <w:r w:rsidRPr="00E4080D">
        <w:rPr>
          <w:rFonts w:ascii="Abadi" w:hAnsi="Abadi" w:cs="Arial"/>
          <w:sz w:val="21"/>
          <w:szCs w:val="21"/>
          <w:lang w:val="es-MX" w:eastAsia="x-none"/>
        </w:rPr>
        <w:t>esta</w:t>
      </w:r>
      <w:r w:rsidRPr="00E4080D">
        <w:rPr>
          <w:rFonts w:ascii="Abadi" w:hAnsi="Abadi" w:cs="Arial"/>
          <w:sz w:val="21"/>
          <w:szCs w:val="21"/>
          <w:lang w:val="x-none" w:eastAsia="x-none"/>
        </w:rPr>
        <w:t xml:space="preserve"> Comisión de Hacienda y Fiscalización</w:t>
      </w:r>
      <w:r w:rsidRPr="00E4080D">
        <w:rPr>
          <w:rFonts w:ascii="Abadi" w:hAnsi="Abadi" w:cs="Arial"/>
          <w:sz w:val="21"/>
          <w:szCs w:val="21"/>
          <w:lang w:val="es-MX" w:eastAsia="x-none"/>
        </w:rPr>
        <w:t xml:space="preserve">, </w:t>
      </w:r>
      <w:r w:rsidRPr="00E4080D">
        <w:rPr>
          <w:rFonts w:ascii="Abadi" w:hAnsi="Abadi" w:cs="Arial"/>
          <w:sz w:val="21"/>
          <w:szCs w:val="21"/>
          <w:lang w:val="x-none" w:eastAsia="x-none"/>
        </w:rPr>
        <w:t xml:space="preserve">le fue turnado para su estudio y dictamen, el informe de resultados de la revisión practicada por </w:t>
      </w:r>
      <w:r w:rsidRPr="00E4080D">
        <w:rPr>
          <w:rFonts w:ascii="Abadi" w:hAnsi="Abadi" w:cs="Arial"/>
          <w:sz w:val="21"/>
          <w:szCs w:val="21"/>
          <w:lang w:val="es-MX" w:eastAsia="x-none"/>
        </w:rPr>
        <w:t xml:space="preserve">la </w:t>
      </w:r>
      <w:r w:rsidRPr="00E4080D">
        <w:rPr>
          <w:rFonts w:ascii="Abadi" w:hAnsi="Abadi" w:cs="Arial"/>
          <w:sz w:val="21"/>
          <w:szCs w:val="21"/>
          <w:lang w:val="x-none" w:eastAsia="x-none"/>
        </w:rPr>
        <w:t xml:space="preserve">Auditoría Superior del Estado de Guanajuato, a la cuenta pública municipal de </w:t>
      </w:r>
      <w:r w:rsidRPr="00E4080D">
        <w:rPr>
          <w:rFonts w:ascii="Abadi" w:hAnsi="Abadi" w:cs="Arial"/>
          <w:sz w:val="21"/>
          <w:szCs w:val="21"/>
          <w:lang w:val="es-MX" w:eastAsia="x-none"/>
        </w:rPr>
        <w:t>Abasolo</w:t>
      </w:r>
      <w:r w:rsidRPr="00E4080D">
        <w:rPr>
          <w:rFonts w:ascii="Abadi" w:hAnsi="Abadi" w:cs="Arial"/>
          <w:sz w:val="21"/>
          <w:szCs w:val="21"/>
          <w:lang w:val="x-none" w:eastAsia="x-none"/>
        </w:rPr>
        <w:t xml:space="preserve">, Gto., correspondiente al ejercicio fiscal del año </w:t>
      </w:r>
      <w:r w:rsidRPr="00E4080D">
        <w:rPr>
          <w:rFonts w:ascii="Abadi" w:hAnsi="Abadi" w:cs="Arial"/>
          <w:sz w:val="21"/>
          <w:szCs w:val="21"/>
          <w:lang w:val="es-MX" w:eastAsia="x-none"/>
        </w:rPr>
        <w:t>2020</w:t>
      </w:r>
      <w:r w:rsidRPr="00E4080D">
        <w:rPr>
          <w:rFonts w:ascii="Abadi" w:hAnsi="Abadi" w:cs="Arial"/>
          <w:sz w:val="21"/>
          <w:szCs w:val="21"/>
          <w:lang w:val="x-none" w:eastAsia="x-none"/>
        </w:rPr>
        <w:t>.</w:t>
      </w:r>
    </w:p>
    <w:p w14:paraId="0D7A1573" w14:textId="77777777" w:rsidR="00E4080D" w:rsidRPr="00E4080D" w:rsidRDefault="00E4080D" w:rsidP="00E4080D">
      <w:pPr>
        <w:ind w:firstLine="708"/>
        <w:jc w:val="both"/>
        <w:rPr>
          <w:rFonts w:ascii="Abadi" w:hAnsi="Abadi" w:cs="Arial"/>
          <w:sz w:val="21"/>
          <w:szCs w:val="21"/>
          <w:lang w:val="x-none" w:eastAsia="x-none"/>
        </w:rPr>
      </w:pPr>
    </w:p>
    <w:p w14:paraId="1F9594C0" w14:textId="77777777" w:rsidR="00E4080D" w:rsidRPr="00E4080D" w:rsidRDefault="00E4080D" w:rsidP="00E4080D">
      <w:pPr>
        <w:ind w:firstLine="708"/>
        <w:jc w:val="both"/>
        <w:rPr>
          <w:rFonts w:ascii="Abadi" w:hAnsi="Abadi" w:cs="Arial"/>
          <w:sz w:val="21"/>
          <w:szCs w:val="21"/>
          <w:lang w:val="x-none" w:eastAsia="x-none"/>
        </w:rPr>
      </w:pPr>
      <w:r w:rsidRPr="00E4080D">
        <w:rPr>
          <w:rFonts w:ascii="Abadi" w:hAnsi="Abadi" w:cs="Arial"/>
          <w:sz w:val="21"/>
          <w:szCs w:val="21"/>
          <w:lang w:val="x-none" w:eastAsia="x-none"/>
        </w:rPr>
        <w:t>Una vez analizado el referido informe de resultados, con fundamento en lo dispuesto por los artículos 112, fracción XII</w:t>
      </w:r>
      <w:r w:rsidRPr="00E4080D">
        <w:rPr>
          <w:rFonts w:ascii="Abadi" w:hAnsi="Abadi" w:cs="Arial"/>
          <w:sz w:val="21"/>
          <w:szCs w:val="21"/>
          <w:lang w:val="es-MX" w:eastAsia="x-none"/>
        </w:rPr>
        <w:t>, primer párrafo</w:t>
      </w:r>
      <w:r w:rsidRPr="00E4080D">
        <w:rPr>
          <w:rFonts w:ascii="Abadi" w:hAnsi="Abadi" w:cs="Arial"/>
          <w:sz w:val="21"/>
          <w:szCs w:val="21"/>
          <w:lang w:val="x-none" w:eastAsia="x-none"/>
        </w:rPr>
        <w:t xml:space="preserve"> y 171 de </w:t>
      </w:r>
      <w:smartTag w:uri="urn:schemas-microsoft-com:office:smarttags" w:element="PersonName">
        <w:smartTagPr>
          <w:attr w:name="ProductID" w:val="la Ley Org￡nica"/>
        </w:smartTagPr>
        <w:r w:rsidRPr="00E4080D">
          <w:rPr>
            <w:rFonts w:ascii="Abadi" w:hAnsi="Abadi" w:cs="Arial"/>
            <w:sz w:val="21"/>
            <w:szCs w:val="21"/>
            <w:lang w:val="x-none" w:eastAsia="x-none"/>
          </w:rPr>
          <w:t>la Ley Orgánica</w:t>
        </w:r>
      </w:smartTag>
      <w:r w:rsidRPr="00E4080D">
        <w:rPr>
          <w:rFonts w:ascii="Abadi" w:hAnsi="Abadi" w:cs="Arial"/>
          <w:sz w:val="21"/>
          <w:szCs w:val="21"/>
          <w:lang w:val="x-none" w:eastAsia="x-none"/>
        </w:rPr>
        <w:t xml:space="preserve"> del Poder Legislativo, nos permitimos rendir el siguiente:</w:t>
      </w:r>
    </w:p>
    <w:p w14:paraId="48785786" w14:textId="77777777" w:rsidR="00E4080D" w:rsidRPr="00E4080D" w:rsidRDefault="00E4080D" w:rsidP="00E4080D">
      <w:pPr>
        <w:ind w:firstLine="708"/>
        <w:jc w:val="both"/>
        <w:rPr>
          <w:rFonts w:ascii="Abadi" w:hAnsi="Abadi" w:cs="Arial"/>
          <w:sz w:val="21"/>
          <w:szCs w:val="21"/>
          <w:lang w:val="x-none" w:eastAsia="x-none"/>
        </w:rPr>
      </w:pPr>
    </w:p>
    <w:p w14:paraId="4BC29E59" w14:textId="77777777" w:rsidR="00E4080D" w:rsidRPr="00E4080D" w:rsidRDefault="00E4080D" w:rsidP="00E4080D">
      <w:pPr>
        <w:keepNext/>
        <w:jc w:val="center"/>
        <w:outlineLvl w:val="0"/>
        <w:rPr>
          <w:rFonts w:ascii="Abadi" w:eastAsia="Arial Unicode MS" w:hAnsi="Abadi" w:cs="Arial"/>
          <w:b/>
          <w:bCs/>
          <w:sz w:val="21"/>
          <w:szCs w:val="21"/>
        </w:rPr>
      </w:pPr>
      <w:r w:rsidRPr="00E4080D">
        <w:rPr>
          <w:rFonts w:ascii="Abadi" w:eastAsia="Arial Unicode MS" w:hAnsi="Abadi" w:cs="Arial"/>
          <w:b/>
          <w:bCs/>
          <w:sz w:val="21"/>
          <w:szCs w:val="21"/>
        </w:rPr>
        <w:t>D i c t a m e n</w:t>
      </w:r>
    </w:p>
    <w:p w14:paraId="5D2C8252" w14:textId="77777777" w:rsidR="009D10FC" w:rsidRDefault="009D10FC" w:rsidP="00E4080D">
      <w:pPr>
        <w:ind w:firstLine="708"/>
        <w:jc w:val="both"/>
        <w:rPr>
          <w:rFonts w:ascii="Abadi" w:hAnsi="Abadi" w:cs="Arial"/>
          <w:b/>
          <w:bCs/>
          <w:sz w:val="21"/>
          <w:szCs w:val="21"/>
          <w:lang w:val="es-MX" w:eastAsia="x-none"/>
        </w:rPr>
      </w:pPr>
    </w:p>
    <w:p w14:paraId="0441A10A" w14:textId="12EE5B2D" w:rsidR="00E4080D" w:rsidRPr="00E4080D" w:rsidRDefault="00E4080D" w:rsidP="00E4080D">
      <w:pPr>
        <w:ind w:firstLine="708"/>
        <w:jc w:val="both"/>
        <w:rPr>
          <w:rFonts w:ascii="Abadi" w:hAnsi="Abadi" w:cs="Arial"/>
          <w:b/>
          <w:bCs/>
          <w:sz w:val="21"/>
          <w:szCs w:val="21"/>
          <w:lang w:val="es-MX" w:eastAsia="x-none"/>
        </w:rPr>
      </w:pPr>
      <w:r w:rsidRPr="00E4080D">
        <w:rPr>
          <w:rFonts w:ascii="Abadi" w:hAnsi="Abadi" w:cs="Arial"/>
          <w:b/>
          <w:bCs/>
          <w:sz w:val="21"/>
          <w:szCs w:val="21"/>
          <w:lang w:val="es-MX" w:eastAsia="x-none"/>
        </w:rPr>
        <w:t>I. Competencia:</w:t>
      </w:r>
    </w:p>
    <w:p w14:paraId="64CBB4E7" w14:textId="77777777" w:rsidR="00E4080D" w:rsidRPr="00E4080D" w:rsidRDefault="00E4080D" w:rsidP="00E4080D">
      <w:pPr>
        <w:ind w:firstLine="708"/>
        <w:jc w:val="both"/>
        <w:rPr>
          <w:rFonts w:ascii="Abadi" w:hAnsi="Abadi" w:cs="Arial"/>
          <w:b/>
          <w:bCs/>
          <w:sz w:val="21"/>
          <w:szCs w:val="21"/>
          <w:lang w:val="es-MX" w:eastAsia="x-none"/>
        </w:rPr>
      </w:pPr>
    </w:p>
    <w:p w14:paraId="75E7EB90"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E4080D">
          <w:rPr>
            <w:rFonts w:ascii="Abadi" w:hAnsi="Abadi" w:cs="Arial"/>
            <w:sz w:val="21"/>
            <w:szCs w:val="21"/>
            <w:lang w:val="es-MX" w:eastAsia="x-none"/>
          </w:rPr>
          <w:t>la Constitución Política</w:t>
        </w:r>
      </w:smartTag>
      <w:r w:rsidRPr="00E4080D">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5D44F7DC" w14:textId="77777777" w:rsidR="00E4080D" w:rsidRPr="00E4080D" w:rsidRDefault="00E4080D" w:rsidP="00E4080D">
      <w:pPr>
        <w:ind w:firstLine="708"/>
        <w:jc w:val="both"/>
        <w:rPr>
          <w:rFonts w:ascii="Abadi" w:hAnsi="Abadi" w:cs="Arial"/>
          <w:sz w:val="21"/>
          <w:szCs w:val="21"/>
          <w:lang w:val="es-MX" w:eastAsia="x-none"/>
        </w:rPr>
      </w:pPr>
    </w:p>
    <w:p w14:paraId="39E59933"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2A5FD0EE" w14:textId="77777777" w:rsidR="00E4080D" w:rsidRPr="00E4080D" w:rsidRDefault="00E4080D" w:rsidP="009D10FC">
      <w:pPr>
        <w:jc w:val="both"/>
        <w:rPr>
          <w:rFonts w:ascii="Abadi" w:hAnsi="Abadi" w:cs="Arial"/>
          <w:sz w:val="21"/>
          <w:szCs w:val="21"/>
          <w:lang w:val="es-MX" w:eastAsia="x-none"/>
        </w:rPr>
      </w:pPr>
    </w:p>
    <w:p w14:paraId="38DF07A3"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E4080D">
          <w:rPr>
            <w:rFonts w:ascii="Abadi" w:hAnsi="Abadi" w:cs="Arial"/>
            <w:sz w:val="21"/>
            <w:szCs w:val="21"/>
            <w:lang w:val="es-MX" w:eastAsia="x-none"/>
          </w:rPr>
          <w:t>la Constitución Política</w:t>
        </w:r>
      </w:smartTag>
      <w:r w:rsidRPr="00E4080D">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5F34D580" w14:textId="77777777" w:rsidR="00E4080D" w:rsidRPr="00E4080D" w:rsidRDefault="00E4080D" w:rsidP="00E4080D">
      <w:pPr>
        <w:ind w:firstLine="708"/>
        <w:jc w:val="both"/>
        <w:rPr>
          <w:rFonts w:ascii="Abadi" w:hAnsi="Abadi" w:cs="Arial"/>
          <w:sz w:val="21"/>
          <w:szCs w:val="21"/>
          <w:lang w:val="es-MX" w:eastAsia="x-none"/>
        </w:rPr>
      </w:pPr>
    </w:p>
    <w:p w14:paraId="08EF6ED0"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47AD6D6" w14:textId="77777777" w:rsidR="00E4080D" w:rsidRPr="00E4080D" w:rsidRDefault="00E4080D" w:rsidP="00E4080D">
      <w:pPr>
        <w:ind w:firstLine="708"/>
        <w:jc w:val="both"/>
        <w:rPr>
          <w:rFonts w:ascii="Abadi" w:hAnsi="Abadi" w:cs="Arial"/>
          <w:sz w:val="21"/>
          <w:szCs w:val="21"/>
          <w:lang w:val="es-MX" w:eastAsia="x-none"/>
        </w:rPr>
      </w:pPr>
    </w:p>
    <w:p w14:paraId="5790AF33"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 xml:space="preserve">De igual forma, el artículo 82, fracción XXIV de </w:t>
      </w:r>
      <w:smartTag w:uri="urn:schemas-microsoft-com:office:smarttags" w:element="PersonName">
        <w:smartTagPr>
          <w:attr w:name="ProductID" w:val="la Ley"/>
        </w:smartTagPr>
        <w:r w:rsidRPr="00E4080D">
          <w:rPr>
            <w:rFonts w:ascii="Abadi" w:hAnsi="Abadi" w:cs="Arial"/>
            <w:sz w:val="21"/>
            <w:szCs w:val="21"/>
            <w:lang w:val="es-MX" w:eastAsia="x-none"/>
          </w:rPr>
          <w:t>la Ley</w:t>
        </w:r>
      </w:smartTag>
      <w:r w:rsidRPr="00E4080D">
        <w:rPr>
          <w:rFonts w:ascii="Abadi" w:hAnsi="Abadi" w:cs="Arial"/>
          <w:sz w:val="21"/>
          <w:szCs w:val="21"/>
          <w:lang w:val="es-MX" w:eastAsia="x-none"/>
        </w:rPr>
        <w:t xml:space="preserve"> de Fiscalización Superior del Estado de Guanajuato consigna como atribución del Auditor Superior rendir al Congreso del Estado, los informes derivados del ejercicio de la función de fiscalización.</w:t>
      </w:r>
    </w:p>
    <w:p w14:paraId="649E2119" w14:textId="77777777" w:rsidR="00E4080D" w:rsidRPr="00E4080D" w:rsidRDefault="00E4080D" w:rsidP="00E4080D">
      <w:pPr>
        <w:ind w:firstLine="708"/>
        <w:jc w:val="both"/>
        <w:rPr>
          <w:rFonts w:ascii="Abadi" w:hAnsi="Abadi" w:cs="Arial"/>
          <w:sz w:val="21"/>
          <w:szCs w:val="21"/>
          <w:lang w:val="es-MX" w:eastAsia="x-none"/>
        </w:rPr>
      </w:pPr>
    </w:p>
    <w:p w14:paraId="2168B9AA"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49A772B8" w14:textId="77777777" w:rsidR="00E4080D" w:rsidRPr="00E4080D" w:rsidRDefault="00E4080D" w:rsidP="00E4080D">
      <w:pPr>
        <w:ind w:firstLine="708"/>
        <w:jc w:val="both"/>
        <w:rPr>
          <w:rFonts w:ascii="Abadi" w:hAnsi="Abadi" w:cs="Arial"/>
          <w:sz w:val="21"/>
          <w:szCs w:val="21"/>
          <w:lang w:val="es-MX" w:eastAsia="x-none"/>
        </w:rPr>
      </w:pPr>
    </w:p>
    <w:p w14:paraId="37E8CD05"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 xml:space="preserve">Con la finalidad de que el Congreso dé cumplimiento a lo señalado en el párrafo anterior, </w:t>
      </w:r>
      <w:smartTag w:uri="urn:schemas-microsoft-com:office:smarttags" w:element="PersonName">
        <w:smartTagPr>
          <w:attr w:name="ProductID" w:val="la Ley Org￡nica"/>
        </w:smartTagPr>
        <w:r w:rsidRPr="00E4080D">
          <w:rPr>
            <w:rFonts w:ascii="Abadi" w:hAnsi="Abadi" w:cs="Arial"/>
            <w:sz w:val="21"/>
            <w:szCs w:val="21"/>
            <w:lang w:val="es-MX" w:eastAsia="x-none"/>
          </w:rPr>
          <w:t>la Ley Orgánica</w:t>
        </w:r>
      </w:smartTag>
      <w:r w:rsidRPr="00E4080D">
        <w:rPr>
          <w:rFonts w:ascii="Abadi" w:hAnsi="Abadi" w:cs="Arial"/>
          <w:sz w:val="21"/>
          <w:szCs w:val="21"/>
          <w:lang w:val="es-MX" w:eastAsia="x-none"/>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90DF9ED" w14:textId="77777777" w:rsidR="00E4080D" w:rsidRPr="00E4080D" w:rsidRDefault="00E4080D" w:rsidP="00E4080D">
      <w:pPr>
        <w:ind w:firstLine="708"/>
        <w:jc w:val="both"/>
        <w:rPr>
          <w:rFonts w:ascii="Abadi" w:hAnsi="Abadi" w:cs="Arial"/>
          <w:sz w:val="21"/>
          <w:szCs w:val="21"/>
          <w:lang w:val="es-MX" w:eastAsia="x-none"/>
        </w:rPr>
      </w:pPr>
    </w:p>
    <w:p w14:paraId="2839F362"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35DF6865" w14:textId="77777777" w:rsidR="009D10FC" w:rsidRDefault="009D10FC" w:rsidP="00E4080D">
      <w:pPr>
        <w:ind w:firstLine="708"/>
        <w:jc w:val="both"/>
        <w:rPr>
          <w:rFonts w:ascii="Abadi" w:hAnsi="Abadi" w:cs="Arial"/>
          <w:b/>
          <w:bCs/>
          <w:sz w:val="21"/>
          <w:szCs w:val="21"/>
          <w:lang w:val="es-MX" w:eastAsia="x-none"/>
        </w:rPr>
      </w:pPr>
    </w:p>
    <w:p w14:paraId="523ABADC" w14:textId="6E6BBA85" w:rsidR="00E4080D" w:rsidRPr="00E4080D" w:rsidRDefault="00E4080D" w:rsidP="00E4080D">
      <w:pPr>
        <w:ind w:firstLine="708"/>
        <w:jc w:val="both"/>
        <w:rPr>
          <w:rFonts w:ascii="Abadi" w:hAnsi="Abadi" w:cs="Arial"/>
          <w:b/>
          <w:bCs/>
          <w:sz w:val="21"/>
          <w:szCs w:val="21"/>
          <w:lang w:val="es-MX" w:eastAsia="x-none"/>
        </w:rPr>
      </w:pPr>
      <w:r w:rsidRPr="00E4080D">
        <w:rPr>
          <w:rFonts w:ascii="Abadi" w:hAnsi="Abadi" w:cs="Arial"/>
          <w:b/>
          <w:bCs/>
          <w:sz w:val="21"/>
          <w:szCs w:val="21"/>
          <w:lang w:val="es-MX" w:eastAsia="x-none"/>
        </w:rPr>
        <w:t>II. Antecedentes:</w:t>
      </w:r>
    </w:p>
    <w:p w14:paraId="321F75F8" w14:textId="77777777" w:rsidR="00E4080D" w:rsidRPr="00E4080D" w:rsidRDefault="00E4080D" w:rsidP="00E4080D">
      <w:pPr>
        <w:ind w:firstLine="708"/>
        <w:jc w:val="both"/>
        <w:rPr>
          <w:rFonts w:ascii="Abadi" w:hAnsi="Abadi" w:cs="Arial"/>
          <w:sz w:val="21"/>
          <w:szCs w:val="21"/>
          <w:lang w:val="es-MX" w:eastAsia="x-none"/>
        </w:rPr>
      </w:pPr>
    </w:p>
    <w:p w14:paraId="7BFD8215"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E4080D">
          <w:rPr>
            <w:rFonts w:ascii="Abadi" w:hAnsi="Abadi" w:cs="Arial"/>
            <w:sz w:val="21"/>
            <w:szCs w:val="21"/>
            <w:lang w:val="es-MX" w:eastAsia="x-none"/>
          </w:rPr>
          <w:t>la Constitución Política</w:t>
        </w:r>
      </w:smartTag>
      <w:r w:rsidRPr="00E4080D">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47745B69" w14:textId="77777777" w:rsidR="00E4080D" w:rsidRPr="00E4080D" w:rsidRDefault="00E4080D" w:rsidP="00E4080D">
      <w:pPr>
        <w:ind w:firstLine="708"/>
        <w:jc w:val="both"/>
        <w:rPr>
          <w:rFonts w:ascii="Abadi" w:hAnsi="Abadi" w:cs="Arial"/>
          <w:sz w:val="21"/>
          <w:szCs w:val="21"/>
          <w:lang w:val="es-MX" w:eastAsia="x-none"/>
        </w:rPr>
      </w:pPr>
    </w:p>
    <w:p w14:paraId="55E3A7AE"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Por su parte, el artículo 66 de la Constitución Política Local, establece que los sujetos de fiscalización presentarán al Congreso del Estado los informes financieros y su cuenta pública con la periodicidad, forma y términos que establezca la Ley.</w:t>
      </w:r>
    </w:p>
    <w:p w14:paraId="19A4A491" w14:textId="77777777" w:rsidR="00E4080D" w:rsidRPr="00E4080D" w:rsidRDefault="00E4080D" w:rsidP="00E4080D">
      <w:pPr>
        <w:ind w:firstLine="708"/>
        <w:jc w:val="both"/>
        <w:rPr>
          <w:rFonts w:ascii="Abadi" w:hAnsi="Abadi" w:cs="Arial"/>
          <w:sz w:val="21"/>
          <w:szCs w:val="21"/>
          <w:lang w:val="es-MX" w:eastAsia="x-none"/>
        </w:rPr>
      </w:pPr>
    </w:p>
    <w:p w14:paraId="5C4A06CC"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 xml:space="preserve">La fracción III del artículo 3 de </w:t>
      </w:r>
      <w:smartTag w:uri="urn:schemas-microsoft-com:office:smarttags" w:element="PersonName">
        <w:smartTagPr>
          <w:attr w:name="ProductID" w:val="la Ley"/>
        </w:smartTagPr>
        <w:r w:rsidRPr="00E4080D">
          <w:rPr>
            <w:rFonts w:ascii="Abadi" w:hAnsi="Abadi" w:cs="Arial"/>
            <w:sz w:val="21"/>
            <w:szCs w:val="21"/>
            <w:lang w:val="es-MX" w:eastAsia="x-none"/>
          </w:rPr>
          <w:t>la Ley</w:t>
        </w:r>
      </w:smartTag>
      <w:r w:rsidRPr="00E4080D">
        <w:rPr>
          <w:rFonts w:ascii="Abadi" w:hAnsi="Abadi" w:cs="Arial"/>
          <w:sz w:val="21"/>
          <w:szCs w:val="21"/>
          <w:lang w:val="es-MX" w:eastAsia="x-none"/>
        </w:rPr>
        <w:t xml:space="preserve"> de Fiscalización Superior del Estado de Guanajuato señala que la Auditoría Superior del Estado será competente para fiscalizar la gestión financiera de los sujetos de fiscalización, a través de sus cuentas públicas.</w:t>
      </w:r>
    </w:p>
    <w:p w14:paraId="1EF39BD3" w14:textId="77777777" w:rsidR="00E4080D" w:rsidRPr="00E4080D" w:rsidRDefault="00E4080D" w:rsidP="00E4080D">
      <w:pPr>
        <w:ind w:firstLine="708"/>
        <w:jc w:val="both"/>
        <w:rPr>
          <w:rFonts w:ascii="Abadi" w:hAnsi="Abadi" w:cs="Arial"/>
          <w:sz w:val="21"/>
          <w:szCs w:val="21"/>
          <w:lang w:val="es-MX" w:eastAsia="x-none"/>
        </w:rPr>
      </w:pPr>
    </w:p>
    <w:p w14:paraId="02ADADB8"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5BEE2AEF" w14:textId="77777777" w:rsidR="00E4080D" w:rsidRPr="00E4080D" w:rsidRDefault="00E4080D" w:rsidP="00E4080D">
      <w:pPr>
        <w:ind w:firstLine="708"/>
        <w:jc w:val="both"/>
        <w:rPr>
          <w:rFonts w:ascii="Abadi" w:hAnsi="Abadi" w:cs="Arial"/>
          <w:sz w:val="21"/>
          <w:szCs w:val="21"/>
          <w:lang w:val="es-MX" w:eastAsia="x-none"/>
        </w:rPr>
      </w:pPr>
    </w:p>
    <w:p w14:paraId="5AF1EA6B"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No será impedimento para que la Auditoría Superior del Estado realice la función de fiscalización, si la cuenta pública no está presentada y disponible en los plazos y requisitos señalados en la ley.</w:t>
      </w:r>
    </w:p>
    <w:p w14:paraId="0DBAE251" w14:textId="77777777" w:rsidR="00E4080D" w:rsidRPr="00E4080D" w:rsidRDefault="00E4080D" w:rsidP="00E4080D">
      <w:pPr>
        <w:ind w:firstLine="708"/>
        <w:jc w:val="both"/>
        <w:rPr>
          <w:rFonts w:ascii="Abadi" w:hAnsi="Abadi" w:cs="Arial"/>
          <w:sz w:val="21"/>
          <w:szCs w:val="21"/>
          <w:lang w:val="es-MX" w:eastAsia="x-none"/>
        </w:rPr>
      </w:pPr>
    </w:p>
    <w:p w14:paraId="704307F4" w14:textId="5A4E8FC5" w:rsidR="00E4080D" w:rsidRPr="00E4080D" w:rsidRDefault="00E4080D" w:rsidP="009D10FC">
      <w:pPr>
        <w:ind w:firstLine="708"/>
        <w:jc w:val="both"/>
        <w:rPr>
          <w:rFonts w:ascii="Abadi" w:hAnsi="Abadi" w:cs="Arial"/>
          <w:sz w:val="21"/>
          <w:szCs w:val="21"/>
          <w:lang w:val="es-MX" w:eastAsia="x-none"/>
        </w:rPr>
      </w:pPr>
      <w:r w:rsidRPr="00E4080D">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E4080D">
          <w:rPr>
            <w:rFonts w:ascii="Abadi" w:hAnsi="Abadi" w:cs="Arial"/>
            <w:sz w:val="21"/>
            <w:szCs w:val="21"/>
            <w:lang w:val="es-MX" w:eastAsia="x-none"/>
          </w:rPr>
          <w:t>la Ley Orgánica</w:t>
        </w:r>
      </w:smartTag>
      <w:r w:rsidRPr="00E4080D">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5695054A" w14:textId="77777777" w:rsidR="00E4080D" w:rsidRPr="00E4080D" w:rsidRDefault="00E4080D" w:rsidP="00E4080D">
      <w:pPr>
        <w:ind w:firstLine="708"/>
        <w:jc w:val="both"/>
        <w:rPr>
          <w:rFonts w:ascii="Abadi" w:hAnsi="Abadi" w:cs="Arial"/>
          <w:sz w:val="21"/>
          <w:szCs w:val="21"/>
          <w:lang w:val="es-MX" w:eastAsia="x-none"/>
        </w:rPr>
      </w:pPr>
    </w:p>
    <w:p w14:paraId="2DF8C638" w14:textId="77777777" w:rsidR="00E4080D" w:rsidRPr="00E4080D" w:rsidRDefault="00E4080D" w:rsidP="00E4080D">
      <w:pPr>
        <w:ind w:right="60" w:firstLine="709"/>
        <w:jc w:val="both"/>
        <w:rPr>
          <w:rFonts w:ascii="Abadi" w:hAnsi="Abadi" w:cs="Arial"/>
          <w:sz w:val="21"/>
          <w:szCs w:val="21"/>
          <w:lang w:val="es-MX" w:eastAsia="x-none"/>
        </w:rPr>
      </w:pPr>
      <w:r w:rsidRPr="00E4080D">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3BD9201F" w14:textId="77777777" w:rsidR="00E4080D" w:rsidRPr="00E4080D" w:rsidRDefault="00E4080D" w:rsidP="00E4080D">
      <w:pPr>
        <w:ind w:right="58" w:firstLine="709"/>
        <w:jc w:val="both"/>
        <w:rPr>
          <w:rFonts w:ascii="Abadi" w:eastAsia="DejaVu Sans" w:hAnsi="Abadi" w:cs="Tahoma"/>
          <w:iCs/>
          <w:kern w:val="1"/>
          <w:sz w:val="21"/>
          <w:szCs w:val="21"/>
          <w:lang w:eastAsia="ar-SA"/>
        </w:rPr>
      </w:pPr>
    </w:p>
    <w:p w14:paraId="13B20D92"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30BF5861" w14:textId="77777777" w:rsidR="00E4080D" w:rsidRPr="00E4080D" w:rsidRDefault="00E4080D" w:rsidP="00E4080D">
      <w:pPr>
        <w:ind w:firstLine="708"/>
        <w:jc w:val="both"/>
        <w:rPr>
          <w:rFonts w:ascii="Abadi" w:hAnsi="Abadi" w:cs="Arial"/>
          <w:sz w:val="21"/>
          <w:szCs w:val="21"/>
          <w:lang w:val="es-MX" w:eastAsia="x-none"/>
        </w:rPr>
      </w:pPr>
    </w:p>
    <w:p w14:paraId="37AE5FE0"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37A0D7A9" w14:textId="77777777" w:rsidR="00E4080D" w:rsidRPr="00E4080D" w:rsidRDefault="00E4080D" w:rsidP="00E4080D">
      <w:pPr>
        <w:ind w:firstLine="708"/>
        <w:jc w:val="both"/>
        <w:rPr>
          <w:rFonts w:ascii="Abadi" w:hAnsi="Abadi" w:cs="Arial"/>
          <w:sz w:val="21"/>
          <w:szCs w:val="21"/>
          <w:lang w:val="es-MX" w:eastAsia="x-none"/>
        </w:rPr>
      </w:pPr>
    </w:p>
    <w:p w14:paraId="307E4C95" w14:textId="77777777" w:rsidR="00E4080D" w:rsidRPr="00E4080D" w:rsidRDefault="00E4080D" w:rsidP="00E4080D">
      <w:pPr>
        <w:ind w:right="60" w:firstLine="709"/>
        <w:jc w:val="both"/>
        <w:rPr>
          <w:rFonts w:ascii="Abadi" w:hAnsi="Abadi" w:cs="Arial"/>
          <w:sz w:val="21"/>
          <w:szCs w:val="21"/>
          <w:lang w:val="es-MX" w:eastAsia="x-none"/>
        </w:rPr>
      </w:pPr>
      <w:r w:rsidRPr="00E4080D">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784CAFF7" w14:textId="77777777" w:rsidR="00E4080D" w:rsidRPr="00E4080D" w:rsidRDefault="00E4080D" w:rsidP="00E4080D">
      <w:pPr>
        <w:ind w:firstLine="708"/>
        <w:jc w:val="both"/>
        <w:rPr>
          <w:rFonts w:ascii="Abadi" w:hAnsi="Abadi" w:cs="Arial"/>
          <w:sz w:val="21"/>
          <w:szCs w:val="21"/>
          <w:lang w:eastAsia="x-none"/>
        </w:rPr>
      </w:pPr>
    </w:p>
    <w:p w14:paraId="31078DA5"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09D1B09C" w14:textId="77777777" w:rsidR="00E4080D" w:rsidRPr="00E4080D" w:rsidRDefault="00E4080D" w:rsidP="00E4080D">
      <w:pPr>
        <w:ind w:firstLine="708"/>
        <w:jc w:val="both"/>
        <w:rPr>
          <w:rFonts w:ascii="Abadi" w:hAnsi="Abadi" w:cs="Arial"/>
          <w:sz w:val="21"/>
          <w:szCs w:val="21"/>
          <w:lang w:val="es-MX" w:eastAsia="x-none"/>
        </w:rPr>
      </w:pPr>
    </w:p>
    <w:p w14:paraId="4C7116F4" w14:textId="77777777" w:rsidR="00E4080D" w:rsidRPr="00E4080D" w:rsidRDefault="00E4080D" w:rsidP="00E4080D">
      <w:pPr>
        <w:tabs>
          <w:tab w:val="left" w:pos="709"/>
        </w:tabs>
        <w:jc w:val="both"/>
        <w:rPr>
          <w:rFonts w:ascii="Abadi" w:hAnsi="Abadi" w:cs="Arial"/>
          <w:sz w:val="21"/>
          <w:szCs w:val="21"/>
          <w:lang w:val="es-MX" w:eastAsia="x-none"/>
        </w:rPr>
      </w:pPr>
      <w:r w:rsidRPr="00E4080D">
        <w:rPr>
          <w:rFonts w:ascii="Abadi" w:hAnsi="Abadi" w:cs="Arial"/>
          <w:sz w:val="21"/>
          <w:szCs w:val="21"/>
        </w:rPr>
        <w:tab/>
        <w:t xml:space="preserve">El citado artículo también refiere </w:t>
      </w:r>
      <w:r w:rsidRPr="00E4080D">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298A7704" w14:textId="77777777" w:rsidR="00E4080D" w:rsidRPr="00E4080D" w:rsidRDefault="00E4080D" w:rsidP="00E4080D">
      <w:pPr>
        <w:tabs>
          <w:tab w:val="left" w:pos="709"/>
        </w:tabs>
        <w:jc w:val="both"/>
        <w:rPr>
          <w:rFonts w:ascii="Abadi" w:hAnsi="Abadi" w:cs="Arial"/>
          <w:sz w:val="21"/>
          <w:szCs w:val="21"/>
          <w:lang w:val="es-MX" w:eastAsia="x-none"/>
        </w:rPr>
      </w:pPr>
      <w:r w:rsidRPr="00E4080D">
        <w:rPr>
          <w:rFonts w:ascii="Abadi" w:hAnsi="Abadi" w:cs="Arial"/>
          <w:sz w:val="21"/>
          <w:szCs w:val="21"/>
          <w:lang w:val="es-MX" w:eastAsia="x-none"/>
        </w:rPr>
        <w:tab/>
        <w:t xml:space="preserve">En términos del numeral 23 de la </w:t>
      </w:r>
      <w:r w:rsidRPr="00E4080D">
        <w:rPr>
          <w:rFonts w:ascii="Abadi" w:hAnsi="Abadi" w:cs="Arial"/>
          <w:sz w:val="21"/>
          <w:szCs w:val="21"/>
        </w:rPr>
        <w:t>Ley de Fiscalización Superior del Estado de Guanajuato, p</w:t>
      </w:r>
      <w:r w:rsidRPr="00E4080D">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4004AF44" w14:textId="77777777" w:rsidR="00E4080D" w:rsidRPr="00E4080D" w:rsidRDefault="00E4080D" w:rsidP="00E4080D">
      <w:pPr>
        <w:tabs>
          <w:tab w:val="left" w:pos="709"/>
        </w:tabs>
        <w:jc w:val="both"/>
        <w:rPr>
          <w:rFonts w:ascii="Abadi" w:hAnsi="Abadi" w:cs="Arial"/>
          <w:sz w:val="21"/>
          <w:szCs w:val="21"/>
          <w:lang w:val="es-MX" w:eastAsia="x-none"/>
        </w:rPr>
      </w:pPr>
    </w:p>
    <w:p w14:paraId="0EC4A33D"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28B72557" w14:textId="77777777" w:rsidR="00E4080D" w:rsidRPr="00E4080D" w:rsidRDefault="00E4080D" w:rsidP="00E4080D">
      <w:pPr>
        <w:ind w:firstLine="708"/>
        <w:jc w:val="both"/>
        <w:rPr>
          <w:rFonts w:ascii="Abadi" w:hAnsi="Abadi" w:cs="Arial"/>
          <w:sz w:val="21"/>
          <w:szCs w:val="21"/>
          <w:lang w:val="es-MX" w:eastAsia="x-none"/>
        </w:rPr>
      </w:pPr>
    </w:p>
    <w:p w14:paraId="15204DB4"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En cumplimiento a los citados preceptos, en su oportunidad se remitió a este Congreso del Estado, la cuenta pública municipal de Abasolo, Gto., correspondiente al ejercicio fiscal del año 2020, turnándose a la Auditoría Superior del Estado para su revisión.</w:t>
      </w:r>
    </w:p>
    <w:p w14:paraId="1351B6BA" w14:textId="77777777" w:rsidR="00E4080D" w:rsidRPr="00E4080D" w:rsidRDefault="00E4080D" w:rsidP="00E4080D">
      <w:pPr>
        <w:ind w:firstLine="708"/>
        <w:jc w:val="both"/>
        <w:rPr>
          <w:rFonts w:ascii="Abadi" w:hAnsi="Abadi" w:cs="Arial"/>
          <w:sz w:val="21"/>
          <w:szCs w:val="21"/>
          <w:lang w:val="es-MX" w:eastAsia="x-none"/>
        </w:rPr>
      </w:pPr>
    </w:p>
    <w:p w14:paraId="40DBCA39" w14:textId="77777777" w:rsidR="00E4080D" w:rsidRPr="00E4080D" w:rsidRDefault="00E4080D" w:rsidP="00E4080D">
      <w:pPr>
        <w:ind w:firstLine="708"/>
        <w:jc w:val="both"/>
        <w:rPr>
          <w:rFonts w:ascii="Abadi" w:hAnsi="Abadi" w:cs="Arial"/>
          <w:sz w:val="21"/>
          <w:szCs w:val="21"/>
          <w:lang w:eastAsia="x-none"/>
        </w:rPr>
      </w:pPr>
      <w:r w:rsidRPr="00E4080D">
        <w:rPr>
          <w:rFonts w:ascii="Abadi" w:hAnsi="Abadi" w:cs="Arial"/>
          <w:sz w:val="21"/>
          <w:szCs w:val="21"/>
          <w:lang w:eastAsia="x-none"/>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4AE9BF94" w14:textId="77777777" w:rsidR="00E4080D" w:rsidRPr="00E4080D" w:rsidRDefault="00E4080D" w:rsidP="00E4080D">
      <w:pPr>
        <w:ind w:firstLine="708"/>
        <w:jc w:val="both"/>
        <w:rPr>
          <w:rFonts w:ascii="Abadi" w:hAnsi="Abadi" w:cs="Arial"/>
          <w:sz w:val="21"/>
          <w:szCs w:val="21"/>
          <w:lang w:val="es-MX" w:eastAsia="x-none"/>
        </w:rPr>
      </w:pPr>
    </w:p>
    <w:p w14:paraId="04676690"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En ejercicio de esta función, el Auditor Superior del Estado aprobó el Programa General de Fiscalización 2021. En dicho Programa se contempló la revisión de la cuenta pública municipal de Abasolo, Gto., correspondiente al ejercicio fiscal del año 2020.</w:t>
      </w:r>
    </w:p>
    <w:p w14:paraId="0DD654F8" w14:textId="77777777" w:rsidR="00E4080D" w:rsidRPr="00E4080D" w:rsidRDefault="00E4080D" w:rsidP="00E4080D">
      <w:pPr>
        <w:ind w:firstLine="708"/>
        <w:jc w:val="both"/>
        <w:rPr>
          <w:rFonts w:ascii="Abadi" w:hAnsi="Abadi" w:cs="Arial"/>
          <w:sz w:val="21"/>
          <w:szCs w:val="21"/>
          <w:lang w:val="es-MX" w:eastAsia="x-none"/>
        </w:rPr>
      </w:pPr>
    </w:p>
    <w:p w14:paraId="72865979" w14:textId="77777777" w:rsidR="00E4080D" w:rsidRPr="00E4080D" w:rsidRDefault="00E4080D" w:rsidP="00E4080D">
      <w:pPr>
        <w:ind w:firstLine="708"/>
        <w:jc w:val="both"/>
        <w:rPr>
          <w:rFonts w:ascii="Abadi" w:hAnsi="Abadi" w:cs="Arial"/>
          <w:bCs/>
          <w:sz w:val="21"/>
          <w:szCs w:val="21"/>
          <w:lang w:val="es-MX" w:eastAsia="x-none"/>
        </w:rPr>
      </w:pPr>
      <w:r w:rsidRPr="00E4080D">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E4080D">
        <w:rPr>
          <w:rFonts w:ascii="Abadi" w:hAnsi="Abadi" w:cs="Arial"/>
          <w:bCs/>
          <w:sz w:val="21"/>
          <w:szCs w:val="21"/>
          <w:lang w:val="es-MX" w:eastAsia="x-none"/>
        </w:rPr>
        <w:t>el 5 de mayo de 2022 para su estudio y dictamen, siendo radicado el 12 de mayo del año en curso.</w:t>
      </w:r>
    </w:p>
    <w:p w14:paraId="27237DAE" w14:textId="77777777" w:rsidR="00E4080D" w:rsidRPr="00E4080D" w:rsidRDefault="00E4080D" w:rsidP="00E4080D">
      <w:pPr>
        <w:ind w:firstLine="708"/>
        <w:jc w:val="both"/>
        <w:rPr>
          <w:rFonts w:ascii="Abadi" w:hAnsi="Abadi" w:cs="Arial"/>
          <w:bCs/>
          <w:sz w:val="21"/>
          <w:szCs w:val="21"/>
          <w:lang w:val="es-MX" w:eastAsia="x-none"/>
        </w:rPr>
      </w:pPr>
    </w:p>
    <w:p w14:paraId="17994678" w14:textId="77777777" w:rsidR="00E4080D" w:rsidRPr="00E4080D" w:rsidRDefault="00E4080D" w:rsidP="00E4080D">
      <w:pPr>
        <w:ind w:firstLine="708"/>
        <w:jc w:val="both"/>
        <w:rPr>
          <w:rFonts w:ascii="Abadi" w:hAnsi="Abadi" w:cs="Arial"/>
          <w:sz w:val="21"/>
          <w:szCs w:val="21"/>
          <w:lang w:val="es-MX" w:eastAsia="x-none"/>
        </w:rPr>
      </w:pPr>
    </w:p>
    <w:p w14:paraId="6E311D4B" w14:textId="77777777" w:rsidR="00E4080D" w:rsidRPr="00E4080D" w:rsidRDefault="00E4080D" w:rsidP="00E4080D">
      <w:pPr>
        <w:ind w:firstLine="708"/>
        <w:jc w:val="both"/>
        <w:rPr>
          <w:rFonts w:ascii="Abadi" w:hAnsi="Abadi" w:cs="Arial"/>
          <w:b/>
          <w:bCs/>
          <w:sz w:val="21"/>
          <w:szCs w:val="21"/>
          <w:lang w:val="es-MX" w:eastAsia="x-none"/>
        </w:rPr>
      </w:pPr>
      <w:r w:rsidRPr="00E4080D">
        <w:rPr>
          <w:rFonts w:ascii="Abadi" w:hAnsi="Abadi" w:cs="Arial"/>
          <w:b/>
          <w:bCs/>
          <w:sz w:val="21"/>
          <w:szCs w:val="21"/>
          <w:lang w:val="es-MX" w:eastAsia="x-none"/>
        </w:rPr>
        <w:t>III. Procedimiento de Revisión:</w:t>
      </w:r>
    </w:p>
    <w:p w14:paraId="6D3DACD2" w14:textId="77777777" w:rsidR="00E4080D" w:rsidRPr="00E4080D" w:rsidRDefault="00E4080D" w:rsidP="00E4080D">
      <w:pPr>
        <w:ind w:firstLine="708"/>
        <w:jc w:val="both"/>
        <w:rPr>
          <w:rFonts w:ascii="Abadi" w:hAnsi="Abadi" w:cs="Arial"/>
          <w:sz w:val="21"/>
          <w:szCs w:val="21"/>
          <w:lang w:val="es-MX" w:eastAsia="x-none"/>
        </w:rPr>
      </w:pPr>
    </w:p>
    <w:p w14:paraId="721BE7C0"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La revisión de la cuenta pública municipal de Abasolo, Gto.,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3396AD82" w14:textId="77777777" w:rsidR="00E4080D" w:rsidRPr="00E4080D" w:rsidRDefault="00E4080D" w:rsidP="00E4080D">
      <w:pPr>
        <w:ind w:firstLine="708"/>
        <w:jc w:val="both"/>
        <w:rPr>
          <w:rFonts w:ascii="Abadi" w:hAnsi="Abadi" w:cs="Arial"/>
          <w:sz w:val="21"/>
          <w:szCs w:val="21"/>
          <w:lang w:eastAsia="x-none"/>
        </w:rPr>
      </w:pPr>
    </w:p>
    <w:p w14:paraId="368B1856"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1131795B" w14:textId="77777777" w:rsidR="00E4080D" w:rsidRPr="00E4080D" w:rsidRDefault="00E4080D" w:rsidP="00E4080D">
      <w:pPr>
        <w:ind w:firstLine="708"/>
        <w:jc w:val="both"/>
        <w:rPr>
          <w:rFonts w:ascii="Abadi" w:hAnsi="Abadi" w:cs="Arial"/>
          <w:sz w:val="21"/>
          <w:szCs w:val="21"/>
          <w:lang w:val="es-MX" w:eastAsia="x-none"/>
        </w:rPr>
      </w:pPr>
    </w:p>
    <w:p w14:paraId="320950EE"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241DC3BF" w14:textId="77777777" w:rsidR="00E4080D" w:rsidRPr="00E4080D" w:rsidRDefault="00E4080D" w:rsidP="009D10FC">
      <w:pPr>
        <w:jc w:val="both"/>
        <w:rPr>
          <w:rFonts w:ascii="Abadi" w:hAnsi="Abadi" w:cs="Arial"/>
          <w:sz w:val="21"/>
          <w:szCs w:val="21"/>
          <w:lang w:val="es-MX" w:eastAsia="x-none"/>
        </w:rPr>
      </w:pPr>
    </w:p>
    <w:p w14:paraId="24EB491C"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71608D69" w14:textId="77777777" w:rsidR="00E4080D" w:rsidRPr="00E4080D" w:rsidRDefault="00E4080D" w:rsidP="00E4080D">
      <w:pPr>
        <w:ind w:firstLine="708"/>
        <w:jc w:val="both"/>
        <w:rPr>
          <w:rFonts w:ascii="Abadi" w:hAnsi="Abadi" w:cs="Arial"/>
          <w:sz w:val="21"/>
          <w:szCs w:val="21"/>
          <w:lang w:val="es-MX" w:eastAsia="x-none"/>
        </w:rPr>
      </w:pPr>
    </w:p>
    <w:p w14:paraId="201DF7F9" w14:textId="77777777" w:rsidR="00E4080D" w:rsidRPr="00E4080D" w:rsidRDefault="00E4080D" w:rsidP="00E4080D">
      <w:pPr>
        <w:ind w:firstLine="705"/>
        <w:jc w:val="both"/>
        <w:rPr>
          <w:rFonts w:ascii="Abadi" w:hAnsi="Abadi" w:cs="Arial"/>
          <w:sz w:val="21"/>
          <w:szCs w:val="21"/>
          <w:lang w:val="es-MX" w:eastAsia="x-none"/>
        </w:rPr>
      </w:pPr>
      <w:r w:rsidRPr="00E4080D">
        <w:rPr>
          <w:rFonts w:ascii="Abadi" w:hAnsi="Abadi" w:cs="Arial"/>
          <w:sz w:val="21"/>
          <w:szCs w:val="21"/>
          <w:lang w:val="es-MX" w:eastAsia="x-none"/>
        </w:rPr>
        <w:t>El informe de resultados establece que se practicó la revisión de la cuenta pública respecto de las operaciones realizadas por la administración municipal de Abasolo, Gto., correspondientes al ejercicio fiscal 2020, en lo referente a los apartados de ingresos y egresos.</w:t>
      </w:r>
    </w:p>
    <w:p w14:paraId="38BEC4A1" w14:textId="77777777" w:rsidR="00E4080D" w:rsidRPr="00E4080D" w:rsidRDefault="00E4080D" w:rsidP="00E4080D">
      <w:pPr>
        <w:ind w:firstLine="705"/>
        <w:jc w:val="both"/>
        <w:rPr>
          <w:rFonts w:ascii="Abadi" w:hAnsi="Abadi" w:cs="Arial"/>
          <w:sz w:val="21"/>
          <w:szCs w:val="21"/>
          <w:lang w:val="es-MX" w:eastAsia="x-none"/>
        </w:rPr>
      </w:pPr>
    </w:p>
    <w:p w14:paraId="65A8EE3D" w14:textId="6CF814B9" w:rsidR="00E4080D" w:rsidRPr="00E4080D" w:rsidRDefault="00E4080D" w:rsidP="009D10FC">
      <w:pPr>
        <w:autoSpaceDE w:val="0"/>
        <w:autoSpaceDN w:val="0"/>
        <w:adjustRightInd w:val="0"/>
        <w:ind w:firstLine="708"/>
        <w:jc w:val="both"/>
        <w:rPr>
          <w:rFonts w:ascii="Abadi" w:hAnsi="Abadi" w:cs="Arial"/>
          <w:sz w:val="21"/>
          <w:szCs w:val="21"/>
          <w:lang w:val="es-MX" w:eastAsia="x-none"/>
        </w:rPr>
      </w:pPr>
      <w:r w:rsidRPr="00E4080D">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1CC8993E" w14:textId="77777777" w:rsidR="00E4080D" w:rsidRPr="00E4080D" w:rsidRDefault="00E4080D" w:rsidP="00E4080D">
      <w:pPr>
        <w:ind w:firstLine="708"/>
        <w:jc w:val="both"/>
        <w:rPr>
          <w:rFonts w:ascii="Abadi" w:hAnsi="Abadi" w:cs="Arial"/>
          <w:sz w:val="21"/>
          <w:szCs w:val="21"/>
          <w:lang w:val="es-MX" w:eastAsia="x-none"/>
        </w:rPr>
      </w:pPr>
    </w:p>
    <w:p w14:paraId="56AB9565"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0F8F3489" w14:textId="77777777" w:rsidR="00E4080D" w:rsidRPr="00E4080D" w:rsidRDefault="00E4080D" w:rsidP="00E4080D">
      <w:pPr>
        <w:ind w:firstLine="708"/>
        <w:jc w:val="both"/>
        <w:rPr>
          <w:rFonts w:ascii="Abadi" w:hAnsi="Abadi" w:cs="Arial"/>
          <w:sz w:val="21"/>
          <w:szCs w:val="21"/>
          <w:lang w:val="es-MX" w:eastAsia="x-none"/>
        </w:rPr>
      </w:pPr>
    </w:p>
    <w:p w14:paraId="03DF3461" w14:textId="77777777" w:rsidR="00E4080D" w:rsidRPr="00E4080D" w:rsidRDefault="00E4080D" w:rsidP="00E4080D">
      <w:pPr>
        <w:ind w:firstLine="708"/>
        <w:jc w:val="both"/>
        <w:rPr>
          <w:rFonts w:ascii="Abadi" w:hAnsi="Abadi" w:cs="Arial"/>
          <w:sz w:val="21"/>
          <w:szCs w:val="21"/>
        </w:rPr>
      </w:pPr>
      <w:r w:rsidRPr="00E4080D">
        <w:rPr>
          <w:rFonts w:ascii="Abadi" w:hAnsi="Abadi" w:cs="Arial"/>
          <w:sz w:val="21"/>
          <w:szCs w:val="21"/>
        </w:rPr>
        <w:t>El 19 de agosto de 2021 se notificó al presidente municipal de Abasolo, Gto., la orden de inicio del procedimiento de revisión de la cuenta pública.</w:t>
      </w:r>
    </w:p>
    <w:p w14:paraId="24E92117" w14:textId="77777777" w:rsidR="00E4080D" w:rsidRPr="00E4080D" w:rsidRDefault="00E4080D" w:rsidP="00E4080D">
      <w:pPr>
        <w:ind w:firstLine="708"/>
        <w:jc w:val="both"/>
        <w:rPr>
          <w:rFonts w:ascii="Abadi" w:hAnsi="Abadi" w:cs="Arial"/>
          <w:sz w:val="21"/>
          <w:szCs w:val="21"/>
        </w:rPr>
      </w:pPr>
    </w:p>
    <w:p w14:paraId="1EA73D82" w14:textId="77777777" w:rsidR="00E4080D" w:rsidRPr="00E4080D" w:rsidRDefault="00E4080D" w:rsidP="00E4080D">
      <w:pPr>
        <w:ind w:firstLine="708"/>
        <w:jc w:val="both"/>
        <w:rPr>
          <w:rFonts w:ascii="Abadi" w:hAnsi="Abadi" w:cs="Arial"/>
          <w:sz w:val="21"/>
          <w:szCs w:val="21"/>
        </w:rPr>
      </w:pPr>
      <w:r w:rsidRPr="00E4080D">
        <w:rPr>
          <w:rFonts w:ascii="Abadi" w:hAnsi="Abadi" w:cs="Arial"/>
          <w:sz w:val="21"/>
          <w:szCs w:val="21"/>
        </w:rPr>
        <w:t xml:space="preserve">Posteriormente, los días 2 y 3 de diciembre de 2021 y 10 de enero de </w:t>
      </w:r>
      <w:proofErr w:type="gramStart"/>
      <w:r w:rsidRPr="00E4080D">
        <w:rPr>
          <w:rFonts w:ascii="Abadi" w:hAnsi="Abadi" w:cs="Arial"/>
          <w:sz w:val="21"/>
          <w:szCs w:val="21"/>
        </w:rPr>
        <w:t>2022  se</w:t>
      </w:r>
      <w:proofErr w:type="gramEnd"/>
      <w:r w:rsidRPr="00E4080D">
        <w:rPr>
          <w:rFonts w:ascii="Abadi" w:hAnsi="Abadi" w:cs="Arial"/>
          <w:sz w:val="21"/>
          <w:szCs w:val="21"/>
        </w:rPr>
        <w:t xml:space="preserve"> notificó a la presidenta y al ex-presidente municipales de Abasolo, Gto., la suspensión del plazo de la revisión materia del presente dictamen, de conformidad con lo establecido en los Acuerdos de Suspensión de Plazos publicados en el Periódico Oficial del Gobierno del Estado de Guanajuato los días 19 de noviembre y 17 de diciembre de 2021.</w:t>
      </w:r>
    </w:p>
    <w:p w14:paraId="10EF6904" w14:textId="77777777" w:rsidR="00E4080D" w:rsidRPr="00E4080D" w:rsidRDefault="00E4080D" w:rsidP="00E4080D">
      <w:pPr>
        <w:ind w:firstLine="708"/>
        <w:jc w:val="both"/>
        <w:rPr>
          <w:rFonts w:ascii="Abadi" w:hAnsi="Abadi" w:cs="Arial"/>
          <w:sz w:val="21"/>
          <w:szCs w:val="21"/>
        </w:rPr>
      </w:pPr>
    </w:p>
    <w:p w14:paraId="4B9C6830" w14:textId="77777777" w:rsidR="00E4080D" w:rsidRPr="00E4080D" w:rsidRDefault="00E4080D" w:rsidP="00E4080D">
      <w:pPr>
        <w:ind w:firstLine="708"/>
        <w:jc w:val="both"/>
        <w:rPr>
          <w:rFonts w:ascii="Abadi" w:hAnsi="Abadi" w:cs="Arial"/>
          <w:sz w:val="21"/>
          <w:szCs w:val="21"/>
        </w:rPr>
      </w:pPr>
      <w:r w:rsidRPr="00E4080D">
        <w:rPr>
          <w:rFonts w:ascii="Abadi" w:hAnsi="Abadi" w:cs="Arial"/>
          <w:sz w:val="21"/>
          <w:szCs w:val="21"/>
        </w:rPr>
        <w:t>El 11 de enero de 2022, se notificó a la presidenta y al ex-presidente municipales de Abasolo, Gto., el pliego de observaciones y recomendaciones derivado de la revisión practicada a la cuenta pública municipal de Abasolo, Gto., correspondiente al ejercicio fiscal del año 2020, al cual se dio respuesta el 1 de febrero de 2022 por parte de la presidenta municipal de Abasolo, Gto.</w:t>
      </w:r>
    </w:p>
    <w:p w14:paraId="4A55D9F2" w14:textId="77777777" w:rsidR="00E4080D" w:rsidRPr="00E4080D" w:rsidRDefault="00E4080D" w:rsidP="00E4080D">
      <w:pPr>
        <w:ind w:firstLine="708"/>
        <w:jc w:val="both"/>
        <w:rPr>
          <w:rFonts w:ascii="Abadi" w:hAnsi="Abadi" w:cs="Arial"/>
          <w:sz w:val="21"/>
          <w:szCs w:val="21"/>
        </w:rPr>
      </w:pPr>
    </w:p>
    <w:p w14:paraId="3A4171B0" w14:textId="691EFCD3" w:rsidR="00E4080D" w:rsidRPr="00E4080D" w:rsidRDefault="00E4080D" w:rsidP="009D10FC">
      <w:pPr>
        <w:ind w:firstLine="708"/>
        <w:jc w:val="both"/>
        <w:rPr>
          <w:rFonts w:ascii="Abadi" w:hAnsi="Abadi" w:cs="Arial"/>
          <w:sz w:val="21"/>
          <w:szCs w:val="21"/>
          <w:lang w:val="es-MX" w:eastAsia="x-none"/>
        </w:rPr>
      </w:pPr>
      <w:r w:rsidRPr="00E4080D">
        <w:rPr>
          <w:rFonts w:ascii="Abadi" w:hAnsi="Abadi" w:cs="Arial"/>
          <w:sz w:val="21"/>
          <w:szCs w:val="21"/>
          <w:lang w:val="es-MX" w:eastAsia="x-none"/>
        </w:rPr>
        <w:t xml:space="preserve">El 29 de marzo de 2022, el informe de resultados se notificó a la presidenta y al ex-presidente municipales de Abasolo, Gto., para que, en su caso, hicieran valer el recurso de reconsideración previsto por los artículos del 48 al 55 de </w:t>
      </w:r>
      <w:smartTag w:uri="urn:schemas-microsoft-com:office:smarttags" w:element="PersonName">
        <w:smartTagPr>
          <w:attr w:name="ProductID" w:val="la Ley"/>
        </w:smartTagPr>
        <w:r w:rsidRPr="00E4080D">
          <w:rPr>
            <w:rFonts w:ascii="Abadi" w:hAnsi="Abadi" w:cs="Arial"/>
            <w:sz w:val="21"/>
            <w:szCs w:val="21"/>
            <w:lang w:val="es-MX" w:eastAsia="x-none"/>
          </w:rPr>
          <w:t>la Ley</w:t>
        </w:r>
      </w:smartTag>
      <w:r w:rsidRPr="00E4080D">
        <w:rPr>
          <w:rFonts w:ascii="Abadi" w:hAnsi="Abadi" w:cs="Arial"/>
          <w:sz w:val="21"/>
          <w:szCs w:val="21"/>
          <w:lang w:val="es-MX" w:eastAsia="x-none"/>
        </w:rPr>
        <w:t xml:space="preserve"> de Fiscalización Superior del Estado de Guanajuato, haciéndoles saber que contaban con un término de cinco días hábiles para tal efecto. Con lo anterior, se dio cumplimiento a la fracción IV del artículo 37 de la citada Ley.</w:t>
      </w:r>
    </w:p>
    <w:p w14:paraId="7BB3437B" w14:textId="77777777" w:rsidR="00E4080D" w:rsidRPr="00E4080D" w:rsidRDefault="00E4080D" w:rsidP="00E4080D">
      <w:pPr>
        <w:ind w:firstLine="708"/>
        <w:jc w:val="both"/>
        <w:rPr>
          <w:rFonts w:ascii="Abadi" w:hAnsi="Abadi" w:cs="Arial"/>
          <w:sz w:val="21"/>
          <w:szCs w:val="21"/>
          <w:lang w:val="es-MX" w:eastAsia="x-none"/>
        </w:rPr>
      </w:pPr>
    </w:p>
    <w:p w14:paraId="2730AEA9"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 xml:space="preserve">El 1 de abril de 2022, dentro del plazo que prevé la fracción IV del artículo 37 de </w:t>
      </w:r>
      <w:smartTag w:uri="urn:schemas-microsoft-com:office:smarttags" w:element="PersonName">
        <w:smartTagPr>
          <w:attr w:name="ProductID" w:val="la Ley"/>
        </w:smartTagPr>
        <w:r w:rsidRPr="00E4080D">
          <w:rPr>
            <w:rFonts w:ascii="Abadi" w:hAnsi="Abadi" w:cs="Arial"/>
            <w:sz w:val="21"/>
            <w:szCs w:val="21"/>
            <w:lang w:val="es-MX" w:eastAsia="x-none"/>
          </w:rPr>
          <w:t>la Ley</w:t>
        </w:r>
      </w:smartTag>
      <w:r w:rsidRPr="00E4080D">
        <w:rPr>
          <w:rFonts w:ascii="Abadi" w:hAnsi="Abadi" w:cs="Arial"/>
          <w:sz w:val="21"/>
          <w:szCs w:val="21"/>
          <w:lang w:val="es-MX" w:eastAsia="x-none"/>
        </w:rPr>
        <w:t xml:space="preserve"> de Fiscalización Superior del Estado de Guanajuato, la presidenta municipal de Abasolo, Gto., interpuso recurso de reconsideración en contra del informe de resultados de la revisión practicada a la cuenta pública de dicho Municipio, correspondiente al ejercicio fiscal del año 2020, siendo admitido dicho recurso, al colmarse los requisitos de procedibilidad previstos por el artículo 51 de </w:t>
      </w:r>
      <w:smartTag w:uri="urn:schemas-microsoft-com:office:smarttags" w:element="PersonName">
        <w:smartTagPr>
          <w:attr w:name="ProductID" w:val="la Ley"/>
        </w:smartTagPr>
        <w:r w:rsidRPr="00E4080D">
          <w:rPr>
            <w:rFonts w:ascii="Abadi" w:hAnsi="Abadi" w:cs="Arial"/>
            <w:sz w:val="21"/>
            <w:szCs w:val="21"/>
            <w:lang w:val="es-MX" w:eastAsia="x-none"/>
          </w:rPr>
          <w:t>la Ley</w:t>
        </w:r>
      </w:smartTag>
      <w:r w:rsidRPr="00E4080D">
        <w:rPr>
          <w:rFonts w:ascii="Abadi" w:hAnsi="Abadi" w:cs="Arial"/>
          <w:sz w:val="21"/>
          <w:szCs w:val="21"/>
          <w:lang w:val="es-MX" w:eastAsia="x-none"/>
        </w:rPr>
        <w:t xml:space="preserve"> de Fiscalización Superior del Estado de Guanajuato.</w:t>
      </w:r>
    </w:p>
    <w:p w14:paraId="11A94F4E" w14:textId="77777777" w:rsidR="00E4080D" w:rsidRPr="00E4080D" w:rsidRDefault="00E4080D" w:rsidP="00E4080D">
      <w:pPr>
        <w:ind w:firstLine="708"/>
        <w:jc w:val="both"/>
        <w:rPr>
          <w:rFonts w:ascii="Abadi" w:hAnsi="Abadi" w:cs="Arial"/>
          <w:sz w:val="21"/>
          <w:szCs w:val="21"/>
          <w:lang w:val="es-MX" w:eastAsia="x-none"/>
        </w:rPr>
      </w:pPr>
    </w:p>
    <w:p w14:paraId="275428DF"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Una vez tramitado el recurso, el Auditor Superior el 22 de abril de 2022 emitió la resolución correspondiente, a la cual haremos referencia en un apartado posterior, misma que se notificó a la presidenta municipal de Abasolo, Gto., el 26 de abril de 2022.</w:t>
      </w:r>
    </w:p>
    <w:p w14:paraId="62B0BC11" w14:textId="77777777" w:rsidR="00E4080D" w:rsidRPr="00E4080D" w:rsidRDefault="00E4080D" w:rsidP="00E4080D">
      <w:pPr>
        <w:ind w:firstLine="708"/>
        <w:jc w:val="both"/>
        <w:rPr>
          <w:rFonts w:ascii="Abadi" w:hAnsi="Abadi" w:cs="Arial"/>
          <w:sz w:val="21"/>
          <w:szCs w:val="21"/>
          <w:lang w:val="es-MX" w:eastAsia="x-none"/>
        </w:rPr>
      </w:pPr>
    </w:p>
    <w:p w14:paraId="312BB5D6" w14:textId="77777777" w:rsidR="00E4080D" w:rsidRPr="00E4080D" w:rsidRDefault="00E4080D" w:rsidP="00E4080D">
      <w:pPr>
        <w:ind w:firstLine="708"/>
        <w:jc w:val="both"/>
        <w:rPr>
          <w:rFonts w:ascii="Abadi" w:hAnsi="Abadi" w:cs="Arial"/>
          <w:b/>
          <w:bCs/>
          <w:sz w:val="21"/>
          <w:szCs w:val="21"/>
          <w:lang w:eastAsia="x-none"/>
        </w:rPr>
      </w:pPr>
      <w:r w:rsidRPr="00E4080D">
        <w:rPr>
          <w:rFonts w:ascii="Abadi" w:hAnsi="Abadi" w:cs="Arial"/>
          <w:b/>
          <w:bCs/>
          <w:sz w:val="21"/>
          <w:szCs w:val="21"/>
          <w:lang w:eastAsia="x-none"/>
        </w:rPr>
        <w:t>IV. Contenido del Informe de Resultados:</w:t>
      </w:r>
    </w:p>
    <w:p w14:paraId="74EBAE87" w14:textId="77777777" w:rsidR="00E4080D" w:rsidRPr="00E4080D" w:rsidRDefault="00E4080D" w:rsidP="00E4080D">
      <w:pPr>
        <w:jc w:val="both"/>
        <w:rPr>
          <w:rFonts w:ascii="Abadi" w:hAnsi="Abadi" w:cs="Arial"/>
          <w:b/>
          <w:bCs/>
          <w:sz w:val="21"/>
          <w:szCs w:val="21"/>
          <w:lang w:eastAsia="x-none"/>
        </w:rPr>
      </w:pPr>
    </w:p>
    <w:p w14:paraId="10935E71" w14:textId="77777777" w:rsidR="00E4080D" w:rsidRPr="00E4080D" w:rsidRDefault="00E4080D" w:rsidP="00E4080D">
      <w:pPr>
        <w:jc w:val="both"/>
        <w:rPr>
          <w:rFonts w:ascii="Abadi" w:hAnsi="Abadi" w:cs="Arial"/>
          <w:sz w:val="21"/>
          <w:szCs w:val="21"/>
          <w:lang w:eastAsia="x-none"/>
        </w:rPr>
      </w:pPr>
      <w:r w:rsidRPr="00E4080D">
        <w:rPr>
          <w:rFonts w:ascii="Abadi" w:hAnsi="Abadi" w:cs="Arial"/>
          <w:b/>
          <w:bCs/>
          <w:sz w:val="21"/>
          <w:szCs w:val="21"/>
          <w:lang w:eastAsia="x-none"/>
        </w:rPr>
        <w:tab/>
      </w:r>
      <w:r w:rsidRPr="00E4080D">
        <w:rPr>
          <w:rFonts w:ascii="Abadi" w:hAnsi="Abadi" w:cs="Arial"/>
          <w:bCs/>
          <w:sz w:val="21"/>
          <w:szCs w:val="21"/>
          <w:lang w:eastAsia="x-none"/>
        </w:rPr>
        <w:t>En cumplimiento a lo establecido por el</w:t>
      </w:r>
      <w:r w:rsidRPr="00E4080D">
        <w:rPr>
          <w:rFonts w:ascii="Abadi" w:hAnsi="Abadi" w:cs="Arial"/>
          <w:sz w:val="21"/>
          <w:szCs w:val="21"/>
          <w:lang w:eastAsia="x-none"/>
        </w:rPr>
        <w:t xml:space="preserve"> artículo 37, fracción III de la Ley de Fiscalización Superior del Estado, el informe de resultados contiene los siguientes apartados:</w:t>
      </w:r>
    </w:p>
    <w:p w14:paraId="009AD006" w14:textId="77777777" w:rsidR="00E4080D" w:rsidRPr="00E4080D" w:rsidRDefault="00E4080D" w:rsidP="00E4080D">
      <w:pPr>
        <w:jc w:val="both"/>
        <w:rPr>
          <w:rFonts w:ascii="Abadi" w:hAnsi="Abadi" w:cs="Arial"/>
          <w:sz w:val="21"/>
          <w:szCs w:val="21"/>
          <w:lang w:eastAsia="x-none"/>
        </w:rPr>
      </w:pPr>
    </w:p>
    <w:p w14:paraId="4E2B27C8" w14:textId="77777777" w:rsidR="00E4080D" w:rsidRPr="00E4080D" w:rsidRDefault="00E4080D" w:rsidP="001A28E5">
      <w:pPr>
        <w:numPr>
          <w:ilvl w:val="0"/>
          <w:numId w:val="92"/>
        </w:numPr>
        <w:jc w:val="both"/>
        <w:rPr>
          <w:rFonts w:ascii="Abadi" w:hAnsi="Abadi" w:cs="Arial"/>
          <w:b/>
          <w:bCs/>
          <w:sz w:val="21"/>
          <w:szCs w:val="21"/>
          <w:lang w:eastAsia="x-none"/>
        </w:rPr>
      </w:pPr>
      <w:r w:rsidRPr="00E4080D">
        <w:rPr>
          <w:rFonts w:ascii="Abadi" w:hAnsi="Abadi" w:cs="Arial"/>
          <w:b/>
          <w:bCs/>
          <w:sz w:val="21"/>
          <w:szCs w:val="21"/>
          <w:lang w:eastAsia="x-none"/>
        </w:rPr>
        <w:t>Introducción.</w:t>
      </w:r>
    </w:p>
    <w:p w14:paraId="68A206EF" w14:textId="77777777" w:rsidR="00E4080D" w:rsidRPr="00E4080D" w:rsidRDefault="00E4080D" w:rsidP="00E4080D">
      <w:pPr>
        <w:ind w:left="705"/>
        <w:jc w:val="both"/>
        <w:rPr>
          <w:rFonts w:ascii="Abadi" w:hAnsi="Abadi" w:cs="Arial"/>
          <w:b/>
          <w:bCs/>
          <w:sz w:val="21"/>
          <w:szCs w:val="21"/>
          <w:lang w:eastAsia="x-none"/>
        </w:rPr>
      </w:pPr>
    </w:p>
    <w:p w14:paraId="2AF0FDFB" w14:textId="77777777" w:rsidR="00E4080D" w:rsidRPr="00E4080D" w:rsidRDefault="00E4080D" w:rsidP="00E4080D">
      <w:pPr>
        <w:ind w:firstLine="705"/>
        <w:jc w:val="both"/>
        <w:rPr>
          <w:rFonts w:ascii="Abadi" w:hAnsi="Abadi" w:cs="Arial"/>
          <w:sz w:val="21"/>
          <w:szCs w:val="21"/>
          <w:lang w:eastAsia="x-none"/>
        </w:rPr>
      </w:pPr>
      <w:r w:rsidRPr="00E4080D">
        <w:rPr>
          <w:rFonts w:ascii="Abadi" w:hAnsi="Abadi" w:cs="Arial"/>
          <w:sz w:val="21"/>
          <w:szCs w:val="21"/>
          <w:lang w:eastAsia="x-none"/>
        </w:rPr>
        <w:t xml:space="preserve">Por lo que se refiere a este punto, se establecen los criterios de selección; el objetivo de la revisión; el alcance de la revisión respecto a los apartados de ingresos y egresos, </w:t>
      </w:r>
      <w:r w:rsidRPr="00E4080D">
        <w:rPr>
          <w:rFonts w:ascii="Abadi" w:hAnsi="Abadi" w:cs="Arial"/>
          <w:sz w:val="21"/>
          <w:szCs w:val="21"/>
          <w:lang w:val="es-MX" w:eastAsia="x-none"/>
        </w:rPr>
        <w:t>precisando que el detalle de los alcances de la revisión se consigna en el Anexo 01 del informe de resultados.</w:t>
      </w:r>
    </w:p>
    <w:p w14:paraId="7A4C4306" w14:textId="77777777" w:rsidR="00E4080D" w:rsidRPr="00E4080D" w:rsidRDefault="00E4080D" w:rsidP="00E4080D">
      <w:pPr>
        <w:ind w:firstLine="705"/>
        <w:jc w:val="both"/>
        <w:rPr>
          <w:rFonts w:ascii="Abadi" w:hAnsi="Abadi" w:cs="Arial"/>
          <w:sz w:val="21"/>
          <w:szCs w:val="21"/>
          <w:lang w:eastAsia="x-none"/>
        </w:rPr>
      </w:pPr>
    </w:p>
    <w:p w14:paraId="5AB429E6" w14:textId="77777777" w:rsidR="00E4080D" w:rsidRPr="00E4080D" w:rsidRDefault="00E4080D" w:rsidP="00E4080D">
      <w:pPr>
        <w:ind w:firstLine="705"/>
        <w:jc w:val="both"/>
        <w:rPr>
          <w:rFonts w:ascii="Abadi" w:hAnsi="Abadi" w:cs="Arial"/>
          <w:sz w:val="21"/>
          <w:szCs w:val="21"/>
          <w:lang w:eastAsia="x-none"/>
        </w:rPr>
      </w:pPr>
      <w:r w:rsidRPr="00E4080D">
        <w:rPr>
          <w:rFonts w:ascii="Abadi" w:hAnsi="Abadi" w:cs="Arial"/>
          <w:sz w:val="21"/>
          <w:szCs w:val="21"/>
          <w:lang w:eastAsia="x-none"/>
        </w:rPr>
        <w:t>También en este apartado se precisan los procedimientos de auditoría aplicados, siendo estos: inspección, observación, confirmación externa, recálculo, procedimientos analíticos, re ejecución e indagación.</w:t>
      </w:r>
    </w:p>
    <w:p w14:paraId="4CB84BF9" w14:textId="77777777" w:rsidR="00E4080D" w:rsidRPr="00E4080D" w:rsidRDefault="00E4080D" w:rsidP="00E4080D">
      <w:pPr>
        <w:ind w:firstLine="705"/>
        <w:jc w:val="both"/>
        <w:rPr>
          <w:rFonts w:ascii="Abadi" w:hAnsi="Abadi" w:cs="Arial"/>
          <w:sz w:val="21"/>
          <w:szCs w:val="21"/>
          <w:lang w:eastAsia="x-none"/>
        </w:rPr>
      </w:pPr>
    </w:p>
    <w:p w14:paraId="55476D1E" w14:textId="77777777" w:rsidR="00E4080D" w:rsidRPr="00E4080D" w:rsidRDefault="00E4080D" w:rsidP="00E4080D">
      <w:pPr>
        <w:ind w:firstLine="705"/>
        <w:jc w:val="both"/>
        <w:rPr>
          <w:rFonts w:ascii="Abadi" w:hAnsi="Abadi" w:cs="Arial"/>
          <w:sz w:val="21"/>
          <w:szCs w:val="21"/>
          <w:lang w:eastAsia="x-none"/>
        </w:rPr>
      </w:pPr>
      <w:r w:rsidRPr="00E4080D">
        <w:rPr>
          <w:rFonts w:ascii="Abadi" w:hAnsi="Abadi" w:cs="Arial"/>
          <w:sz w:val="21"/>
          <w:szCs w:val="21"/>
          <w:lang w:eastAsia="x-none"/>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3031F3B0" w14:textId="77777777" w:rsidR="00E4080D" w:rsidRPr="00E4080D" w:rsidRDefault="00E4080D" w:rsidP="00E4080D">
      <w:pPr>
        <w:jc w:val="both"/>
        <w:rPr>
          <w:rFonts w:ascii="Abadi" w:hAnsi="Abadi"/>
          <w:i/>
          <w:iCs/>
          <w:sz w:val="21"/>
          <w:szCs w:val="21"/>
          <w:lang w:eastAsia="x-none"/>
        </w:rPr>
      </w:pPr>
    </w:p>
    <w:p w14:paraId="075E6DF9" w14:textId="77777777" w:rsidR="00E4080D" w:rsidRPr="00E4080D" w:rsidRDefault="00E4080D" w:rsidP="00E4080D">
      <w:pPr>
        <w:jc w:val="both"/>
        <w:rPr>
          <w:rFonts w:ascii="Abadi" w:hAnsi="Abadi" w:cs="Arial"/>
          <w:i/>
          <w:iCs/>
          <w:sz w:val="21"/>
          <w:szCs w:val="21"/>
          <w:lang w:eastAsia="x-none"/>
        </w:rPr>
      </w:pPr>
      <w:r w:rsidRPr="00E4080D">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4CADA46D" w14:textId="77777777" w:rsidR="00E4080D" w:rsidRPr="00E4080D" w:rsidRDefault="00E4080D" w:rsidP="00E4080D">
      <w:pPr>
        <w:jc w:val="both"/>
        <w:rPr>
          <w:rFonts w:ascii="Abadi" w:hAnsi="Abadi" w:cs="Arial"/>
          <w:i/>
          <w:iCs/>
          <w:sz w:val="21"/>
          <w:szCs w:val="21"/>
          <w:lang w:eastAsia="x-none"/>
        </w:rPr>
      </w:pPr>
      <w:r w:rsidRPr="00E4080D">
        <w:rPr>
          <w:rFonts w:ascii="Abadi" w:hAnsi="Abadi" w:cs="Arial"/>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3C89C190" w14:textId="77777777" w:rsidR="00E4080D" w:rsidRPr="00E4080D" w:rsidRDefault="00E4080D" w:rsidP="00E4080D">
      <w:pPr>
        <w:jc w:val="both"/>
        <w:rPr>
          <w:rFonts w:ascii="Abadi" w:hAnsi="Abadi" w:cs="Arial"/>
          <w:i/>
          <w:iCs/>
          <w:sz w:val="21"/>
          <w:szCs w:val="21"/>
          <w:lang w:eastAsia="x-none"/>
        </w:rPr>
      </w:pPr>
    </w:p>
    <w:p w14:paraId="0BD39499" w14:textId="77777777" w:rsidR="00E4080D" w:rsidRPr="00E4080D" w:rsidRDefault="00E4080D" w:rsidP="00E4080D">
      <w:pPr>
        <w:jc w:val="both"/>
        <w:rPr>
          <w:rFonts w:ascii="Abadi" w:hAnsi="Abadi" w:cs="Arial"/>
          <w:i/>
          <w:iCs/>
          <w:sz w:val="21"/>
          <w:szCs w:val="21"/>
          <w:lang w:eastAsia="x-none"/>
        </w:rPr>
      </w:pPr>
      <w:r w:rsidRPr="00E4080D">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4EF8588B" w14:textId="77777777" w:rsidR="00E4080D" w:rsidRPr="00E4080D" w:rsidRDefault="00E4080D" w:rsidP="00E4080D">
      <w:pPr>
        <w:jc w:val="both"/>
        <w:rPr>
          <w:rFonts w:ascii="Abadi" w:hAnsi="Abadi" w:cs="Arial"/>
          <w:sz w:val="21"/>
          <w:szCs w:val="21"/>
          <w:lang w:eastAsia="x-none"/>
        </w:rPr>
      </w:pPr>
    </w:p>
    <w:p w14:paraId="2869B7B8" w14:textId="77777777" w:rsidR="00E4080D" w:rsidRPr="00E4080D" w:rsidRDefault="00E4080D" w:rsidP="00E4080D">
      <w:pPr>
        <w:ind w:firstLine="705"/>
        <w:jc w:val="both"/>
        <w:rPr>
          <w:rFonts w:ascii="Abadi" w:hAnsi="Abadi" w:cs="Arial"/>
          <w:sz w:val="21"/>
          <w:szCs w:val="21"/>
          <w:lang w:eastAsia="x-none"/>
        </w:rPr>
      </w:pPr>
      <w:r w:rsidRPr="00E4080D">
        <w:rPr>
          <w:rFonts w:ascii="Abadi" w:hAnsi="Abadi" w:cs="Arial"/>
          <w:sz w:val="21"/>
          <w:szCs w:val="21"/>
          <w:lang w:eastAsia="x-none"/>
        </w:rPr>
        <w:t xml:space="preserve">Derivado de lo anterior, en el proceso de auditoría se inspeccionó que los comprobantes fiscales que soportan las erogaciones del ente fiscalizado, no correspondan a contribuyentes que se encuentren en los supuestos previstos en el artículo 69-B del Código Fiscal de la Federación, empresas que facturan operaciones simuladas o inexistentes con el carácter de </w:t>
      </w:r>
      <w:r w:rsidRPr="00E4080D">
        <w:rPr>
          <w:rFonts w:ascii="Abadi" w:hAnsi="Abadi" w:cs="Arial"/>
          <w:i/>
          <w:iCs/>
          <w:sz w:val="21"/>
          <w:szCs w:val="21"/>
          <w:lang w:eastAsia="x-none"/>
        </w:rPr>
        <w:t>«Definitivos»,</w:t>
      </w:r>
      <w:r w:rsidRPr="00E4080D">
        <w:rPr>
          <w:rFonts w:ascii="Abadi" w:hAnsi="Abadi" w:cs="Arial"/>
          <w:sz w:val="21"/>
          <w:szCs w:val="21"/>
          <w:lang w:eastAsia="x-none"/>
        </w:rPr>
        <w:t xml:space="preserve"> emitidas por el Servicio de Administración Tributaria.</w:t>
      </w:r>
    </w:p>
    <w:p w14:paraId="7AB9E4E8" w14:textId="77777777" w:rsidR="00E4080D" w:rsidRPr="00E4080D" w:rsidRDefault="00E4080D" w:rsidP="00E4080D">
      <w:pPr>
        <w:ind w:firstLine="705"/>
        <w:jc w:val="both"/>
        <w:rPr>
          <w:rFonts w:ascii="Abadi" w:hAnsi="Abadi" w:cs="Arial"/>
          <w:sz w:val="21"/>
          <w:szCs w:val="21"/>
          <w:lang w:val="es-MX" w:eastAsia="x-none"/>
        </w:rPr>
      </w:pPr>
    </w:p>
    <w:p w14:paraId="488F9B08" w14:textId="77777777" w:rsidR="00E4080D" w:rsidRPr="00E4080D" w:rsidRDefault="00E4080D" w:rsidP="00E4080D">
      <w:pPr>
        <w:ind w:firstLine="705"/>
        <w:jc w:val="both"/>
        <w:rPr>
          <w:rFonts w:ascii="Abadi" w:hAnsi="Abadi" w:cs="Arial"/>
          <w:sz w:val="21"/>
          <w:szCs w:val="21"/>
          <w:lang w:eastAsia="x-none"/>
        </w:rPr>
      </w:pPr>
      <w:r w:rsidRPr="00E4080D">
        <w:rPr>
          <w:rFonts w:ascii="Abadi" w:hAnsi="Abadi" w:cs="Arial"/>
          <w:sz w:val="21"/>
          <w:szCs w:val="21"/>
          <w:lang w:eastAsia="x-none"/>
        </w:rPr>
        <w:t>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483B5A65" w14:textId="77777777" w:rsidR="00E4080D" w:rsidRPr="00E4080D" w:rsidRDefault="00E4080D" w:rsidP="00E4080D">
      <w:pPr>
        <w:ind w:firstLine="705"/>
        <w:jc w:val="both"/>
        <w:rPr>
          <w:rFonts w:ascii="Abadi" w:hAnsi="Abadi"/>
          <w:sz w:val="21"/>
          <w:szCs w:val="21"/>
          <w:lang w:eastAsia="x-none"/>
        </w:rPr>
      </w:pPr>
    </w:p>
    <w:p w14:paraId="2807C263" w14:textId="77777777" w:rsidR="00E4080D" w:rsidRPr="00E4080D" w:rsidRDefault="00E4080D" w:rsidP="00E4080D">
      <w:pPr>
        <w:ind w:firstLine="705"/>
        <w:jc w:val="both"/>
        <w:rPr>
          <w:rFonts w:ascii="Abadi" w:hAnsi="Abadi" w:cs="Arial"/>
          <w:sz w:val="21"/>
          <w:szCs w:val="21"/>
          <w:lang w:val="es-MX" w:eastAsia="x-none"/>
        </w:rPr>
      </w:pPr>
      <w:r w:rsidRPr="00E4080D">
        <w:rPr>
          <w:rFonts w:ascii="Abadi" w:hAnsi="Abadi" w:cs="Arial"/>
          <w:sz w:val="21"/>
          <w:szCs w:val="21"/>
          <w:lang w:val="es-MX" w:eastAsia="x-none"/>
        </w:rPr>
        <w:t>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fiscalizado;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fiscalizado.</w:t>
      </w:r>
    </w:p>
    <w:p w14:paraId="4CB926CE" w14:textId="77777777" w:rsidR="00E4080D" w:rsidRPr="00E4080D" w:rsidRDefault="00E4080D" w:rsidP="00E4080D">
      <w:pPr>
        <w:ind w:firstLine="705"/>
        <w:jc w:val="both"/>
        <w:rPr>
          <w:rFonts w:ascii="Abadi" w:hAnsi="Abadi" w:cs="Arial"/>
          <w:sz w:val="21"/>
          <w:szCs w:val="21"/>
          <w:lang w:val="es-MX" w:eastAsia="x-none"/>
        </w:rPr>
      </w:pPr>
    </w:p>
    <w:p w14:paraId="76129AAE" w14:textId="77777777" w:rsidR="00E4080D" w:rsidRPr="00E4080D" w:rsidRDefault="00E4080D" w:rsidP="00E4080D">
      <w:pPr>
        <w:ind w:firstLine="705"/>
        <w:jc w:val="both"/>
        <w:rPr>
          <w:rFonts w:ascii="Abadi" w:hAnsi="Abadi" w:cs="Arial"/>
          <w:sz w:val="21"/>
          <w:szCs w:val="21"/>
          <w:lang w:val="es-MX" w:eastAsia="x-none"/>
        </w:rPr>
      </w:pPr>
      <w:r w:rsidRPr="00E4080D">
        <w:rPr>
          <w:rFonts w:ascii="Abadi" w:hAnsi="Abadi" w:cs="Arial"/>
          <w:sz w:val="21"/>
          <w:szCs w:val="21"/>
          <w:lang w:val="es-MX" w:eastAsia="x-none"/>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Abasolo, Gto., cumplió con las disposiciones normativas aplicables, excepto por los resultados referidos en el informe de resultados; señalando además que se presentaron limitantes al alcance que se refiere a la aplicación de los procedimientos de confirmaciones con beneficiarios de vestuarios y uniformes y confirmaciones con los beneficiarios de apoyos. También se precisa que se presentaron limitantes en la aplicación de los procedimientos de auditoría, derivado de la contingencia por la pandemia del virus SARS-CoV2.</w:t>
      </w:r>
    </w:p>
    <w:p w14:paraId="42C4E9FD" w14:textId="77777777" w:rsidR="00E4080D" w:rsidRPr="00E4080D" w:rsidRDefault="00E4080D" w:rsidP="00E4080D">
      <w:pPr>
        <w:ind w:firstLine="705"/>
        <w:jc w:val="both"/>
        <w:rPr>
          <w:rFonts w:ascii="Abadi" w:hAnsi="Abadi" w:cs="Arial"/>
          <w:sz w:val="21"/>
          <w:szCs w:val="21"/>
          <w:lang w:val="es-MX" w:eastAsia="x-none"/>
        </w:rPr>
      </w:pPr>
    </w:p>
    <w:p w14:paraId="17517497" w14:textId="77777777" w:rsidR="00E4080D" w:rsidRPr="00E4080D" w:rsidRDefault="00E4080D" w:rsidP="00E4080D">
      <w:pPr>
        <w:ind w:firstLine="705"/>
        <w:jc w:val="both"/>
        <w:rPr>
          <w:rFonts w:ascii="Abadi" w:hAnsi="Abadi" w:cs="Arial"/>
          <w:sz w:val="21"/>
          <w:szCs w:val="21"/>
        </w:rPr>
      </w:pPr>
      <w:r w:rsidRPr="00E4080D">
        <w:rPr>
          <w:rFonts w:ascii="Abadi" w:hAnsi="Abadi" w:cs="Arial"/>
          <w:sz w:val="21"/>
          <w:szCs w:val="21"/>
          <w:lang w:val="es-MX" w:eastAsia="x-none"/>
        </w:rPr>
        <w:t>En cuanto al rubro de resultados de la fiscalización efect</w:t>
      </w:r>
      <w:r w:rsidRPr="00E4080D">
        <w:rPr>
          <w:rFonts w:ascii="Abadi" w:hAnsi="Abadi" w:cs="Arial"/>
          <w:sz w:val="21"/>
          <w:szCs w:val="21"/>
        </w:rPr>
        <w:t>uada, se establece el estatus que guardan las observaciones y recomendaciones, las cuales se agrupan bajo su respectivo tipo y rubro, señalando que se determinaron 4 observaciones, de las cuales 1 se solventó y 3 no fueron solventadas. Asimismo, se formuló 1 recomendación que fue atendida.</w:t>
      </w:r>
    </w:p>
    <w:p w14:paraId="2AF28AFD" w14:textId="77777777" w:rsidR="00E4080D" w:rsidRPr="00E4080D" w:rsidRDefault="00E4080D" w:rsidP="00E4080D">
      <w:pPr>
        <w:ind w:firstLine="705"/>
        <w:jc w:val="both"/>
        <w:rPr>
          <w:rFonts w:ascii="Abadi" w:hAnsi="Abadi" w:cs="Arial"/>
          <w:sz w:val="21"/>
          <w:szCs w:val="21"/>
        </w:rPr>
      </w:pPr>
    </w:p>
    <w:p w14:paraId="35CAE659" w14:textId="77777777" w:rsidR="00E4080D" w:rsidRPr="00E4080D" w:rsidRDefault="00E4080D" w:rsidP="00E4080D">
      <w:pPr>
        <w:ind w:firstLine="705"/>
        <w:jc w:val="both"/>
        <w:rPr>
          <w:rFonts w:ascii="Abadi" w:hAnsi="Abadi" w:cs="Arial"/>
          <w:sz w:val="21"/>
          <w:szCs w:val="21"/>
          <w:lang w:val="es-MX" w:eastAsia="x-none"/>
        </w:rPr>
      </w:pPr>
      <w:r w:rsidRPr="00E4080D">
        <w:rPr>
          <w:rFonts w:ascii="Abadi" w:hAnsi="Abadi" w:cs="Arial"/>
          <w:sz w:val="21"/>
          <w:szCs w:val="21"/>
          <w:lang w:eastAsia="x-none"/>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 observación plasmada en el numeral 001, </w:t>
      </w:r>
      <w:r w:rsidRPr="00E4080D">
        <w:rPr>
          <w:rFonts w:ascii="Abadi" w:hAnsi="Abadi" w:cs="Arial"/>
          <w:sz w:val="21"/>
          <w:szCs w:val="21"/>
          <w:lang w:val="es-MX" w:eastAsia="x-none"/>
        </w:rPr>
        <w:t>existe un importe no solventado por la cuantía que ahí se refiere. No obstante, en virtud de la resolución recaída al recurso de reconsideración promovido en contra del informe de resultados se modificó el complemento de dicha observación, para quedar sin acciones pendientes de realizar por el sujeto fiscalizado.</w:t>
      </w:r>
    </w:p>
    <w:p w14:paraId="43F3C763" w14:textId="77777777" w:rsidR="00E4080D" w:rsidRPr="00E4080D" w:rsidRDefault="00E4080D" w:rsidP="00E4080D">
      <w:pPr>
        <w:ind w:firstLine="705"/>
        <w:jc w:val="both"/>
        <w:rPr>
          <w:rFonts w:ascii="Abadi" w:hAnsi="Abadi" w:cs="Arial"/>
          <w:sz w:val="21"/>
          <w:szCs w:val="21"/>
          <w:lang w:eastAsia="x-none"/>
        </w:rPr>
      </w:pPr>
    </w:p>
    <w:p w14:paraId="7A34FFBF" w14:textId="77777777" w:rsidR="00E4080D" w:rsidRPr="00E4080D" w:rsidRDefault="00E4080D" w:rsidP="00E4080D">
      <w:pPr>
        <w:ind w:firstLine="705"/>
        <w:jc w:val="both"/>
        <w:rPr>
          <w:rFonts w:ascii="Abadi" w:hAnsi="Abadi" w:cs="Arial"/>
          <w:sz w:val="21"/>
          <w:szCs w:val="21"/>
          <w:lang w:eastAsia="x-none"/>
        </w:rPr>
      </w:pPr>
      <w:r w:rsidRPr="00E4080D">
        <w:rPr>
          <w:rFonts w:ascii="Abadi" w:hAnsi="Abadi" w:cs="Arial"/>
          <w:sz w:val="21"/>
          <w:szCs w:val="21"/>
          <w:lang w:eastAsia="x-none"/>
        </w:rPr>
        <w:t>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Abasolo, Gto., celebró operaciones; entre los procedimientos expuestos, se verificó que estas no se encontraran en el listado de Empresas que Facturan Operaciones Simuladas (EFOS) u operaciones inexistentes con el carácter de «</w:t>
      </w:r>
      <w:r w:rsidRPr="00E4080D">
        <w:rPr>
          <w:rFonts w:ascii="Abadi" w:hAnsi="Abadi" w:cs="Arial"/>
          <w:i/>
          <w:iCs/>
          <w:sz w:val="21"/>
          <w:szCs w:val="21"/>
          <w:lang w:eastAsia="x-none"/>
        </w:rPr>
        <w:t>Definitivos»</w:t>
      </w:r>
      <w:r w:rsidRPr="00E4080D">
        <w:rPr>
          <w:rFonts w:ascii="Abadi" w:hAnsi="Abadi" w:cs="Arial"/>
          <w:sz w:val="21"/>
          <w:szCs w:val="21"/>
          <w:lang w:eastAsia="x-none"/>
        </w:rPr>
        <w:t xml:space="preserve"> publicados en el Diario Oficial de la Federación y en el sitio de información estadística del Servicio de Administración Tributaria, concluyendo que no se identificaron empresas clasificadas como EFOS.</w:t>
      </w:r>
    </w:p>
    <w:p w14:paraId="5E4439F9" w14:textId="77777777" w:rsidR="00E4080D" w:rsidRPr="00E4080D" w:rsidRDefault="00E4080D" w:rsidP="00E4080D">
      <w:pPr>
        <w:ind w:firstLine="705"/>
        <w:jc w:val="both"/>
        <w:rPr>
          <w:rFonts w:ascii="Abadi" w:hAnsi="Abadi" w:cs="Arial"/>
          <w:sz w:val="21"/>
          <w:szCs w:val="21"/>
          <w:lang w:eastAsia="x-none"/>
        </w:rPr>
      </w:pPr>
    </w:p>
    <w:p w14:paraId="7A70DB66" w14:textId="77777777" w:rsidR="00E4080D" w:rsidRPr="00E4080D" w:rsidRDefault="00E4080D" w:rsidP="001A28E5">
      <w:pPr>
        <w:numPr>
          <w:ilvl w:val="0"/>
          <w:numId w:val="92"/>
        </w:numPr>
        <w:tabs>
          <w:tab w:val="num" w:pos="0"/>
        </w:tabs>
        <w:jc w:val="both"/>
        <w:rPr>
          <w:rFonts w:ascii="Abadi" w:hAnsi="Abadi" w:cs="Arial"/>
          <w:b/>
          <w:bCs/>
          <w:sz w:val="21"/>
          <w:szCs w:val="21"/>
          <w:lang w:eastAsia="x-none"/>
        </w:rPr>
      </w:pPr>
      <w:r w:rsidRPr="00E4080D">
        <w:rPr>
          <w:rFonts w:ascii="Abadi" w:hAnsi="Abadi" w:cs="Arial"/>
          <w:b/>
          <w:bCs/>
          <w:sz w:val="21"/>
          <w:szCs w:val="21"/>
          <w:lang w:eastAsia="x-none"/>
        </w:rPr>
        <w:t xml:space="preserve">Observaciones y recomendaciones, la respuesta emitida por el sujeto fiscalizado y la valoración correspondiente. </w:t>
      </w:r>
    </w:p>
    <w:p w14:paraId="569DBF01" w14:textId="77777777" w:rsidR="00E4080D" w:rsidRPr="00E4080D" w:rsidRDefault="00E4080D" w:rsidP="00E4080D">
      <w:pPr>
        <w:ind w:left="1065"/>
        <w:jc w:val="both"/>
        <w:rPr>
          <w:rFonts w:ascii="Abadi" w:hAnsi="Abadi" w:cs="Arial"/>
          <w:b/>
          <w:bCs/>
          <w:sz w:val="21"/>
          <w:szCs w:val="21"/>
          <w:lang w:eastAsia="x-none"/>
        </w:rPr>
      </w:pPr>
    </w:p>
    <w:p w14:paraId="7CB57961" w14:textId="77777777" w:rsidR="00E4080D" w:rsidRPr="00E4080D" w:rsidRDefault="00E4080D" w:rsidP="00E4080D">
      <w:pPr>
        <w:ind w:firstLine="705"/>
        <w:jc w:val="both"/>
        <w:rPr>
          <w:rFonts w:ascii="Abadi" w:hAnsi="Abadi" w:cs="Arial"/>
          <w:sz w:val="21"/>
          <w:szCs w:val="21"/>
          <w:lang w:val="es-MX" w:eastAsia="x-none"/>
        </w:rPr>
      </w:pPr>
      <w:r w:rsidRPr="00E4080D">
        <w:rPr>
          <w:rFonts w:ascii="Abadi" w:hAnsi="Abadi" w:cs="Arial"/>
          <w:sz w:val="21"/>
          <w:szCs w:val="21"/>
          <w:lang w:val="es-MX" w:eastAsia="x-none"/>
        </w:rPr>
        <w:t>En esta parte se desglosa la valoración de las observaciones formuladas por el Órgano Técnico, considerando como solventada la observación plasmada en el numeral 003, relativo a autorización de compra de obsequios para personal.</w:t>
      </w:r>
    </w:p>
    <w:p w14:paraId="58FE6D48" w14:textId="77777777" w:rsidR="00E4080D" w:rsidRPr="00E4080D" w:rsidRDefault="00E4080D" w:rsidP="00E4080D">
      <w:pPr>
        <w:ind w:firstLine="705"/>
        <w:jc w:val="both"/>
        <w:rPr>
          <w:rFonts w:ascii="Abadi" w:hAnsi="Abadi" w:cs="Arial"/>
          <w:sz w:val="21"/>
          <w:szCs w:val="21"/>
          <w:lang w:val="es-MX" w:eastAsia="x-none"/>
        </w:rPr>
      </w:pPr>
    </w:p>
    <w:p w14:paraId="33B3447D" w14:textId="77777777" w:rsidR="00E4080D" w:rsidRPr="00E4080D" w:rsidRDefault="00E4080D" w:rsidP="00E4080D">
      <w:pPr>
        <w:ind w:firstLine="705"/>
        <w:jc w:val="both"/>
        <w:rPr>
          <w:rFonts w:ascii="Abadi" w:hAnsi="Abadi" w:cs="Arial"/>
          <w:sz w:val="21"/>
          <w:szCs w:val="21"/>
          <w:lang w:val="es-MX" w:eastAsia="x-none"/>
        </w:rPr>
      </w:pPr>
      <w:r w:rsidRPr="00E4080D">
        <w:rPr>
          <w:rFonts w:ascii="Abadi" w:hAnsi="Abadi" w:cs="Arial"/>
          <w:sz w:val="21"/>
          <w:szCs w:val="21"/>
          <w:lang w:val="es-MX" w:eastAsia="x-none"/>
        </w:rPr>
        <w:t>No se solventaron las observaciones establecidas en los numerales 001, referente a entrega de botas a personal; 002, correspondiente a informes mensuales de prestación de servicios; y 004, referido a pago de recargos.</w:t>
      </w:r>
    </w:p>
    <w:p w14:paraId="7F57475F" w14:textId="77777777" w:rsidR="00E4080D" w:rsidRPr="00E4080D" w:rsidRDefault="00E4080D" w:rsidP="00E4080D">
      <w:pPr>
        <w:ind w:firstLine="705"/>
        <w:jc w:val="both"/>
        <w:rPr>
          <w:rFonts w:ascii="Abadi" w:hAnsi="Abadi" w:cs="Arial"/>
          <w:sz w:val="21"/>
          <w:szCs w:val="21"/>
          <w:lang w:val="es-MX" w:eastAsia="x-none"/>
        </w:rPr>
      </w:pPr>
    </w:p>
    <w:p w14:paraId="525A1127" w14:textId="77777777" w:rsidR="00E4080D" w:rsidRPr="00E4080D" w:rsidRDefault="00E4080D" w:rsidP="00E4080D">
      <w:pPr>
        <w:ind w:firstLine="705"/>
        <w:jc w:val="both"/>
        <w:rPr>
          <w:rFonts w:ascii="Abadi" w:hAnsi="Abadi" w:cs="Arial"/>
          <w:sz w:val="21"/>
          <w:szCs w:val="21"/>
          <w:lang w:val="es-MX" w:eastAsia="x-none"/>
        </w:rPr>
      </w:pPr>
      <w:r w:rsidRPr="00E4080D">
        <w:rPr>
          <w:rFonts w:ascii="Abadi" w:hAnsi="Abadi" w:cs="Arial"/>
          <w:sz w:val="21"/>
          <w:szCs w:val="21"/>
          <w:lang w:val="es-MX" w:eastAsia="x-none"/>
        </w:rPr>
        <w:t>En el apartado de Recomendaciones Generales, se atendió el numeral 001, relativo a participaciones y aportaciones federales.</w:t>
      </w:r>
    </w:p>
    <w:p w14:paraId="6450F8EE" w14:textId="77777777" w:rsidR="00E4080D" w:rsidRPr="00E4080D" w:rsidRDefault="00E4080D" w:rsidP="00E4080D">
      <w:pPr>
        <w:ind w:firstLine="705"/>
        <w:jc w:val="both"/>
        <w:rPr>
          <w:rFonts w:ascii="Abadi" w:hAnsi="Abadi" w:cs="Arial"/>
          <w:sz w:val="21"/>
          <w:szCs w:val="21"/>
          <w:lang w:val="es-MX" w:eastAsia="x-none"/>
        </w:rPr>
      </w:pPr>
    </w:p>
    <w:p w14:paraId="116AB4A8" w14:textId="77777777" w:rsidR="00E4080D" w:rsidRPr="00E4080D" w:rsidRDefault="00E4080D" w:rsidP="001A28E5">
      <w:pPr>
        <w:numPr>
          <w:ilvl w:val="0"/>
          <w:numId w:val="92"/>
        </w:numPr>
        <w:jc w:val="both"/>
        <w:rPr>
          <w:rFonts w:ascii="Abadi" w:hAnsi="Abadi" w:cs="Arial"/>
          <w:b/>
          <w:bCs/>
          <w:sz w:val="21"/>
          <w:szCs w:val="21"/>
          <w:lang w:val="es-MX" w:eastAsia="x-none"/>
        </w:rPr>
      </w:pPr>
      <w:r w:rsidRPr="00E4080D">
        <w:rPr>
          <w:rFonts w:ascii="Abadi" w:hAnsi="Abadi" w:cs="Arial"/>
          <w:b/>
          <w:bCs/>
          <w:sz w:val="21"/>
          <w:szCs w:val="21"/>
          <w:lang w:val="es-MX" w:eastAsia="x-none"/>
        </w:rPr>
        <w:t xml:space="preserve">Promoción del ejercicio de facultades de comprobación fiscal. </w:t>
      </w:r>
    </w:p>
    <w:p w14:paraId="45A13D9D" w14:textId="77777777" w:rsidR="00E4080D" w:rsidRPr="00E4080D" w:rsidRDefault="00E4080D" w:rsidP="00E4080D">
      <w:pPr>
        <w:ind w:firstLine="705"/>
        <w:jc w:val="both"/>
        <w:rPr>
          <w:rFonts w:ascii="Abadi" w:hAnsi="Abadi" w:cs="Arial"/>
          <w:sz w:val="21"/>
          <w:szCs w:val="21"/>
          <w:lang w:eastAsia="x-none"/>
        </w:rPr>
      </w:pPr>
    </w:p>
    <w:p w14:paraId="55C58CCC" w14:textId="77777777" w:rsidR="00E4080D" w:rsidRPr="00E4080D" w:rsidRDefault="00E4080D" w:rsidP="00E4080D">
      <w:pPr>
        <w:ind w:firstLine="705"/>
        <w:jc w:val="both"/>
        <w:rPr>
          <w:rFonts w:ascii="Abadi" w:hAnsi="Abadi" w:cs="Arial"/>
          <w:sz w:val="21"/>
          <w:szCs w:val="21"/>
          <w:lang w:val="es-MX" w:eastAsia="x-none"/>
        </w:rPr>
      </w:pPr>
      <w:r w:rsidRPr="00E4080D">
        <w:rPr>
          <w:rFonts w:ascii="Abadi" w:hAnsi="Abadi" w:cs="Arial"/>
          <w:sz w:val="21"/>
          <w:szCs w:val="21"/>
          <w:lang w:val="es-MX" w:eastAsia="x-none"/>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16B74302" w14:textId="77777777" w:rsidR="00E4080D" w:rsidRPr="00E4080D" w:rsidRDefault="00E4080D" w:rsidP="00E4080D">
      <w:pPr>
        <w:ind w:firstLine="705"/>
        <w:jc w:val="both"/>
        <w:rPr>
          <w:rFonts w:ascii="Abadi" w:hAnsi="Abadi" w:cs="Arial"/>
          <w:sz w:val="21"/>
          <w:szCs w:val="21"/>
          <w:lang w:val="es-MX" w:eastAsia="x-none"/>
        </w:rPr>
      </w:pPr>
    </w:p>
    <w:p w14:paraId="0F924F7D" w14:textId="77777777" w:rsidR="00E4080D" w:rsidRPr="00E4080D" w:rsidRDefault="00E4080D" w:rsidP="001A28E5">
      <w:pPr>
        <w:numPr>
          <w:ilvl w:val="0"/>
          <w:numId w:val="92"/>
        </w:numPr>
        <w:jc w:val="both"/>
        <w:rPr>
          <w:rFonts w:ascii="Abadi" w:hAnsi="Abadi" w:cs="Arial"/>
          <w:b/>
          <w:bCs/>
          <w:sz w:val="21"/>
          <w:szCs w:val="21"/>
          <w:lang w:val="es-MX" w:eastAsia="x-none"/>
        </w:rPr>
      </w:pPr>
      <w:r w:rsidRPr="00E4080D">
        <w:rPr>
          <w:rFonts w:ascii="Abadi" w:hAnsi="Abadi" w:cs="Arial"/>
          <w:b/>
          <w:bCs/>
          <w:sz w:val="21"/>
          <w:szCs w:val="21"/>
          <w:lang w:val="es-MX" w:eastAsia="x-none"/>
        </w:rPr>
        <w:t>Comunicado ante órganos de control y autoridades que administran padrones de proveedores y contratistas.</w:t>
      </w:r>
    </w:p>
    <w:p w14:paraId="7B0024E1" w14:textId="77777777" w:rsidR="00E4080D" w:rsidRPr="00E4080D" w:rsidRDefault="00E4080D" w:rsidP="00E4080D">
      <w:pPr>
        <w:ind w:firstLine="705"/>
        <w:jc w:val="both"/>
        <w:rPr>
          <w:rFonts w:ascii="Abadi" w:hAnsi="Abadi" w:cs="Arial"/>
          <w:sz w:val="21"/>
          <w:szCs w:val="21"/>
          <w:lang w:eastAsia="x-none"/>
        </w:rPr>
      </w:pPr>
    </w:p>
    <w:p w14:paraId="4F93CDF7" w14:textId="77777777" w:rsidR="00E4080D" w:rsidRPr="00E4080D" w:rsidRDefault="00E4080D" w:rsidP="00E4080D">
      <w:pPr>
        <w:ind w:firstLine="705"/>
        <w:jc w:val="both"/>
        <w:rPr>
          <w:rFonts w:ascii="Abadi" w:hAnsi="Abadi" w:cs="Arial"/>
          <w:sz w:val="21"/>
          <w:szCs w:val="21"/>
          <w:lang w:val="es-MX" w:eastAsia="x-none"/>
        </w:rPr>
      </w:pPr>
      <w:r w:rsidRPr="00E4080D">
        <w:rPr>
          <w:rFonts w:ascii="Abadi" w:hAnsi="Abadi" w:cs="Arial"/>
          <w:sz w:val="21"/>
          <w:szCs w:val="21"/>
          <w:lang w:val="es-MX" w:eastAsia="x-none"/>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revisión, es procedente hacer del conocimiento del Órgano Interno de Control y de la Tesorería Municipal de Abasolo, Gto., las presuntas irregularidades o incumplimientos de estos en contrataciones públicas detectadas durante la revisión, precisando la proveedora y la observación de la que se desprende su intervención.</w:t>
      </w:r>
    </w:p>
    <w:p w14:paraId="74514AE1" w14:textId="77777777" w:rsidR="00E4080D" w:rsidRPr="00E4080D" w:rsidRDefault="00E4080D" w:rsidP="00E4080D">
      <w:pPr>
        <w:ind w:firstLine="705"/>
        <w:jc w:val="both"/>
        <w:rPr>
          <w:rFonts w:ascii="Abadi" w:hAnsi="Abadi" w:cs="Arial"/>
          <w:sz w:val="21"/>
          <w:szCs w:val="21"/>
          <w:lang w:eastAsia="x-none"/>
        </w:rPr>
      </w:pPr>
    </w:p>
    <w:p w14:paraId="6DB284E2" w14:textId="77777777" w:rsidR="00E4080D" w:rsidRPr="00E4080D" w:rsidRDefault="00E4080D" w:rsidP="001A28E5">
      <w:pPr>
        <w:numPr>
          <w:ilvl w:val="0"/>
          <w:numId w:val="92"/>
        </w:numPr>
        <w:jc w:val="both"/>
        <w:rPr>
          <w:rFonts w:ascii="Abadi" w:hAnsi="Abadi" w:cs="Arial"/>
          <w:b/>
          <w:bCs/>
          <w:sz w:val="21"/>
          <w:szCs w:val="21"/>
          <w:lang w:eastAsia="x-none"/>
        </w:rPr>
      </w:pPr>
      <w:r w:rsidRPr="00E4080D">
        <w:rPr>
          <w:rFonts w:ascii="Abadi" w:hAnsi="Abadi" w:cs="Arial"/>
          <w:b/>
          <w:bCs/>
          <w:sz w:val="21"/>
          <w:szCs w:val="21"/>
          <w:lang w:eastAsia="x-none"/>
        </w:rPr>
        <w:t xml:space="preserve">Recurso de Reconsideración. </w:t>
      </w:r>
    </w:p>
    <w:p w14:paraId="74A0C8B6" w14:textId="77777777" w:rsidR="00E4080D" w:rsidRPr="00E4080D" w:rsidRDefault="00E4080D" w:rsidP="00E4080D">
      <w:pPr>
        <w:ind w:left="705"/>
        <w:jc w:val="both"/>
        <w:rPr>
          <w:rFonts w:ascii="Abadi" w:hAnsi="Abadi" w:cs="Arial"/>
          <w:b/>
          <w:bCs/>
          <w:sz w:val="21"/>
          <w:szCs w:val="21"/>
          <w:lang w:eastAsia="x-none"/>
        </w:rPr>
      </w:pPr>
    </w:p>
    <w:p w14:paraId="5740DCA3" w14:textId="77777777" w:rsidR="00E4080D" w:rsidRPr="00E4080D" w:rsidRDefault="00E4080D" w:rsidP="00E4080D">
      <w:pPr>
        <w:ind w:firstLine="705"/>
        <w:jc w:val="both"/>
        <w:rPr>
          <w:rFonts w:ascii="Abadi" w:hAnsi="Abadi" w:cs="Arial"/>
          <w:sz w:val="21"/>
          <w:szCs w:val="21"/>
          <w:lang w:val="es-MX" w:eastAsia="x-none"/>
        </w:rPr>
      </w:pPr>
      <w:r w:rsidRPr="00E4080D">
        <w:rPr>
          <w:rFonts w:ascii="Abadi" w:hAnsi="Abadi" w:cs="Arial"/>
          <w:sz w:val="21"/>
          <w:szCs w:val="21"/>
          <w:lang w:eastAsia="x-none"/>
        </w:rPr>
        <w:t xml:space="preserve">El 1 de abril de 2022, dentro del plazo que prevé la fracción IV del artículo 37 de </w:t>
      </w:r>
      <w:smartTag w:uri="urn:schemas-microsoft-com:office:smarttags" w:element="PersonName">
        <w:smartTagPr>
          <w:attr w:name="ProductID" w:val="la Ley"/>
        </w:smartTagPr>
        <w:r w:rsidRPr="00E4080D">
          <w:rPr>
            <w:rFonts w:ascii="Abadi" w:hAnsi="Abadi" w:cs="Arial"/>
            <w:sz w:val="21"/>
            <w:szCs w:val="21"/>
            <w:lang w:eastAsia="x-none"/>
          </w:rPr>
          <w:t>la Ley</w:t>
        </w:r>
      </w:smartTag>
      <w:r w:rsidRPr="00E4080D">
        <w:rPr>
          <w:rFonts w:ascii="Abadi" w:hAnsi="Abadi" w:cs="Arial"/>
          <w:sz w:val="21"/>
          <w:szCs w:val="21"/>
          <w:lang w:eastAsia="x-none"/>
        </w:rPr>
        <w:t xml:space="preserve"> de Fiscalización Superior del Estado de Guanajuato, la presidenta</w:t>
      </w:r>
      <w:r w:rsidRPr="00E4080D">
        <w:rPr>
          <w:rFonts w:ascii="Abadi" w:hAnsi="Abadi" w:cs="Arial"/>
          <w:sz w:val="21"/>
          <w:szCs w:val="21"/>
          <w:lang w:val="es-MX" w:eastAsia="x-none"/>
        </w:rPr>
        <w:t xml:space="preserve"> municipal de Abasolo, Gto.,</w:t>
      </w:r>
      <w:r w:rsidRPr="00E4080D">
        <w:rPr>
          <w:rFonts w:ascii="Abadi" w:hAnsi="Abadi" w:cs="Arial"/>
          <w:sz w:val="21"/>
          <w:szCs w:val="21"/>
          <w:lang w:eastAsia="x-none"/>
        </w:rPr>
        <w:t xml:space="preserve"> interpuso recurso de reconsideración en contra del informe de resultados de la revisión practicada </w:t>
      </w:r>
      <w:r w:rsidRPr="00E4080D">
        <w:rPr>
          <w:rFonts w:ascii="Abadi" w:hAnsi="Abadi" w:cs="Arial"/>
          <w:sz w:val="21"/>
          <w:szCs w:val="21"/>
          <w:lang w:val="es-MX" w:eastAsia="x-none"/>
        </w:rPr>
        <w:t>a la cuenta pública de dicho Municipio, correspondiente al ejercicio fiscal del año 2020</w:t>
      </w:r>
      <w:r w:rsidRPr="00E4080D">
        <w:rPr>
          <w:rFonts w:ascii="Abadi" w:hAnsi="Abadi" w:cs="Arial"/>
          <w:sz w:val="21"/>
          <w:szCs w:val="21"/>
          <w:lang w:eastAsia="x-none"/>
        </w:rPr>
        <w:t xml:space="preserve">, concretamente en contra de las observaciones establecidas en los numerales </w:t>
      </w:r>
      <w:r w:rsidRPr="00E4080D">
        <w:rPr>
          <w:rFonts w:ascii="Abadi" w:hAnsi="Abadi" w:cs="Arial"/>
          <w:sz w:val="21"/>
          <w:szCs w:val="21"/>
          <w:lang w:val="es-MX" w:eastAsia="x-none"/>
        </w:rPr>
        <w:t xml:space="preserve">001, referente a entrega de botas a personal; y 002, correspondiente a informes mensuales de prestación de servicios, </w:t>
      </w:r>
      <w:r w:rsidRPr="00E4080D">
        <w:rPr>
          <w:rFonts w:ascii="Abadi" w:hAnsi="Abadi" w:cs="Arial"/>
          <w:sz w:val="21"/>
          <w:szCs w:val="21"/>
          <w:lang w:eastAsia="x-none"/>
        </w:rPr>
        <w:t>mismos que se encuentran relacionados con el Capítulo II, denominado Observaciones y Recomendaciones; Respuesta Emitida por el Sujeto</w:t>
      </w:r>
      <w:r w:rsidRPr="00E4080D">
        <w:rPr>
          <w:rFonts w:ascii="Abadi" w:hAnsi="Abadi" w:cs="Arial"/>
          <w:sz w:val="21"/>
          <w:szCs w:val="21"/>
          <w:lang w:val="es-MX" w:eastAsia="x-none"/>
        </w:rPr>
        <w:t xml:space="preserve"> Fiscalizado y Valoración Correspondiente. </w:t>
      </w:r>
    </w:p>
    <w:p w14:paraId="6E5D300E" w14:textId="77777777" w:rsidR="00E4080D" w:rsidRPr="00E4080D" w:rsidRDefault="00E4080D" w:rsidP="00E4080D">
      <w:pPr>
        <w:ind w:firstLine="705"/>
        <w:jc w:val="both"/>
        <w:rPr>
          <w:rFonts w:ascii="Abadi" w:hAnsi="Abadi" w:cs="Arial"/>
          <w:sz w:val="21"/>
          <w:szCs w:val="21"/>
          <w:lang w:val="es-MX" w:eastAsia="x-none"/>
        </w:rPr>
      </w:pPr>
    </w:p>
    <w:p w14:paraId="080976EF"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 xml:space="preserve">En tal sentido, mediante acuerdo de fecha 22 de abril de 2022, emitido por el Director General de Asuntos Jurídicos de la Auditoría Superior del Estado de Guanajuato, se admitió el recurso de reconsideración, al colmarse los requisitos de procedibilidad previstos por el artículo 51 de </w:t>
      </w:r>
      <w:smartTag w:uri="urn:schemas-microsoft-com:office:smarttags" w:element="PersonName">
        <w:smartTagPr>
          <w:attr w:name="ProductID" w:val="la Ley"/>
        </w:smartTagPr>
        <w:r w:rsidRPr="00E4080D">
          <w:rPr>
            <w:rFonts w:ascii="Abadi" w:hAnsi="Abadi" w:cs="Arial"/>
            <w:sz w:val="21"/>
            <w:szCs w:val="21"/>
            <w:lang w:val="es-MX" w:eastAsia="x-none"/>
          </w:rPr>
          <w:t>la Ley</w:t>
        </w:r>
      </w:smartTag>
      <w:r w:rsidRPr="00E4080D">
        <w:rPr>
          <w:rFonts w:ascii="Abadi" w:hAnsi="Abadi" w:cs="Arial"/>
          <w:sz w:val="21"/>
          <w:szCs w:val="21"/>
          <w:lang w:val="es-MX" w:eastAsia="x-none"/>
        </w:rPr>
        <w:t xml:space="preserve"> de Fiscalización Superior del Estado de Guanajuato, instruyendo la integración del expediente respectivo y el registro correspondiente. Asimismo, mediante dicho acuerdo se admitieron solamente los medios de prueba aportados por la recurrente, que resultaron novedosos y supervenientes. </w:t>
      </w:r>
    </w:p>
    <w:p w14:paraId="6E246D63" w14:textId="77777777" w:rsidR="00E4080D" w:rsidRPr="00E4080D" w:rsidRDefault="00E4080D" w:rsidP="00E4080D">
      <w:pPr>
        <w:ind w:firstLine="708"/>
        <w:jc w:val="both"/>
        <w:rPr>
          <w:rFonts w:ascii="Abadi" w:hAnsi="Abadi" w:cs="Arial"/>
          <w:sz w:val="21"/>
          <w:szCs w:val="21"/>
          <w:lang w:val="es-MX" w:eastAsia="x-none"/>
        </w:rPr>
      </w:pPr>
    </w:p>
    <w:p w14:paraId="06856282"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Una vez tramitado el recurso, el Auditor Superior del Estado, el 22 de abril de 2022 emitió la resolución correspondiente, determinándose respecto a la observación plasmada en el numeral 001, que las pruebas documentales aportadas por la recurrente resultaron suficientes para acreditar el reintegro del importe observado, de acuerdo a lo expresado en el considerando séptimo de la resolución. En consecuencia, aun cuando se confirmó el sentido de la valoración de la observación como no solventada, se modificó su complemento, para quedar sin acciones pendientes de realizar por el sujeto fiscalizado.</w:t>
      </w:r>
    </w:p>
    <w:p w14:paraId="4620CC4C" w14:textId="77777777" w:rsidR="00E4080D" w:rsidRPr="00E4080D" w:rsidRDefault="00E4080D" w:rsidP="00E4080D">
      <w:pPr>
        <w:ind w:firstLine="708"/>
        <w:jc w:val="both"/>
        <w:rPr>
          <w:rFonts w:ascii="Abadi" w:hAnsi="Abadi" w:cs="Arial"/>
          <w:sz w:val="21"/>
          <w:szCs w:val="21"/>
          <w:lang w:val="es-MX" w:eastAsia="x-none"/>
        </w:rPr>
      </w:pPr>
    </w:p>
    <w:p w14:paraId="734A6CDA"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En cuanto a la observación establecida en el numeral 002, se resolvió que los agravios formulados por la recurrente resultaron inoperantes, por los argumentos señalados en el considerando séptimo de la resolución. Derivado de lo anterior, se confirmó el sentido de la valoración de la observación como no solventada, sin acciones pendientes de realizar por el sujeto fiscalizado.</w:t>
      </w:r>
    </w:p>
    <w:p w14:paraId="093EE0F5" w14:textId="77777777" w:rsidR="00E4080D" w:rsidRPr="00E4080D" w:rsidRDefault="00E4080D" w:rsidP="00E4080D">
      <w:pPr>
        <w:ind w:firstLine="708"/>
        <w:jc w:val="both"/>
        <w:rPr>
          <w:rFonts w:ascii="Abadi" w:hAnsi="Abadi" w:cs="Arial"/>
          <w:sz w:val="21"/>
          <w:szCs w:val="21"/>
          <w:lang w:val="es-MX" w:eastAsia="x-none"/>
        </w:rPr>
      </w:pPr>
    </w:p>
    <w:p w14:paraId="4C48D0EC"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es-MX" w:eastAsia="x-none"/>
        </w:rPr>
        <w:t>La referida resolución se notificó a la presidenta municipal de Abasolo, Gto., el 26 de abril de 2022.</w:t>
      </w:r>
    </w:p>
    <w:p w14:paraId="2083D73C" w14:textId="77777777" w:rsidR="00E4080D" w:rsidRPr="00E4080D" w:rsidRDefault="00E4080D" w:rsidP="00E4080D">
      <w:pPr>
        <w:ind w:firstLine="705"/>
        <w:jc w:val="both"/>
        <w:rPr>
          <w:rFonts w:ascii="Abadi" w:hAnsi="Abadi" w:cs="Arial"/>
          <w:sz w:val="21"/>
          <w:szCs w:val="21"/>
          <w:lang w:val="es-MX" w:eastAsia="x-none"/>
        </w:rPr>
      </w:pPr>
    </w:p>
    <w:p w14:paraId="7CE4E90B" w14:textId="77777777" w:rsidR="00E4080D" w:rsidRPr="00E4080D" w:rsidRDefault="00E4080D" w:rsidP="001A28E5">
      <w:pPr>
        <w:numPr>
          <w:ilvl w:val="0"/>
          <w:numId w:val="92"/>
        </w:numPr>
        <w:jc w:val="both"/>
        <w:rPr>
          <w:rFonts w:ascii="Abadi" w:hAnsi="Abadi" w:cs="Arial"/>
          <w:b/>
          <w:bCs/>
          <w:sz w:val="21"/>
          <w:szCs w:val="21"/>
          <w:lang w:val="es-MX" w:eastAsia="x-none"/>
        </w:rPr>
      </w:pPr>
      <w:r w:rsidRPr="00E4080D">
        <w:rPr>
          <w:rFonts w:ascii="Abadi" w:hAnsi="Abadi" w:cs="Arial"/>
          <w:b/>
          <w:bCs/>
          <w:sz w:val="21"/>
          <w:szCs w:val="21"/>
          <w:lang w:val="es-MX" w:eastAsia="x-none"/>
        </w:rPr>
        <w:t xml:space="preserve">Anexos. </w:t>
      </w:r>
    </w:p>
    <w:p w14:paraId="74CD3970" w14:textId="77777777" w:rsidR="00E4080D" w:rsidRPr="00E4080D" w:rsidRDefault="00E4080D" w:rsidP="00E4080D">
      <w:pPr>
        <w:ind w:firstLine="705"/>
        <w:jc w:val="both"/>
        <w:rPr>
          <w:rFonts w:ascii="Abadi" w:hAnsi="Abadi" w:cs="Arial"/>
          <w:sz w:val="21"/>
          <w:szCs w:val="21"/>
          <w:lang w:eastAsia="x-none"/>
        </w:rPr>
      </w:pPr>
    </w:p>
    <w:p w14:paraId="00217401" w14:textId="77777777" w:rsidR="00E4080D" w:rsidRPr="00E4080D" w:rsidRDefault="00E4080D" w:rsidP="00E4080D">
      <w:pPr>
        <w:ind w:firstLine="705"/>
        <w:jc w:val="both"/>
        <w:rPr>
          <w:rFonts w:ascii="Abadi" w:hAnsi="Abadi" w:cs="Arial"/>
          <w:sz w:val="21"/>
          <w:szCs w:val="21"/>
          <w:lang w:eastAsia="x-none"/>
        </w:rPr>
      </w:pPr>
      <w:r w:rsidRPr="00E4080D">
        <w:rPr>
          <w:rFonts w:ascii="Abadi" w:hAnsi="Abadi" w:cs="Arial"/>
          <w:sz w:val="21"/>
          <w:szCs w:val="21"/>
          <w:lang w:eastAsia="x-none"/>
        </w:rPr>
        <w:t>En esta parte, se adjuntan los anexos técnicos derivados de la revisión practicada.</w:t>
      </w:r>
    </w:p>
    <w:p w14:paraId="1E6BF6A6" w14:textId="77777777" w:rsidR="00E4080D" w:rsidRPr="00E4080D" w:rsidRDefault="00E4080D" w:rsidP="00E4080D">
      <w:pPr>
        <w:ind w:firstLine="705"/>
        <w:jc w:val="both"/>
        <w:rPr>
          <w:rFonts w:ascii="Abadi" w:hAnsi="Abadi" w:cs="Arial"/>
          <w:sz w:val="21"/>
          <w:szCs w:val="21"/>
          <w:lang w:eastAsia="x-none"/>
        </w:rPr>
      </w:pPr>
    </w:p>
    <w:p w14:paraId="2EE1FF32" w14:textId="77777777" w:rsidR="00E4080D" w:rsidRPr="00E4080D" w:rsidRDefault="00E4080D" w:rsidP="00E4080D">
      <w:pPr>
        <w:ind w:firstLine="708"/>
        <w:jc w:val="both"/>
        <w:rPr>
          <w:rFonts w:ascii="Abadi" w:hAnsi="Abadi" w:cs="Arial"/>
          <w:b/>
          <w:bCs/>
          <w:sz w:val="21"/>
          <w:szCs w:val="21"/>
        </w:rPr>
      </w:pPr>
      <w:r w:rsidRPr="00E4080D">
        <w:rPr>
          <w:rFonts w:ascii="Abadi" w:hAnsi="Abadi" w:cs="Arial"/>
          <w:b/>
          <w:bCs/>
          <w:sz w:val="21"/>
          <w:szCs w:val="21"/>
        </w:rPr>
        <w:t>V. Conclusiones:</w:t>
      </w:r>
    </w:p>
    <w:p w14:paraId="2F07EE91" w14:textId="77777777" w:rsidR="00E4080D" w:rsidRPr="00E4080D" w:rsidRDefault="00E4080D" w:rsidP="00E4080D">
      <w:pPr>
        <w:jc w:val="both"/>
        <w:rPr>
          <w:rFonts w:ascii="Abadi" w:hAnsi="Abadi" w:cs="Arial"/>
          <w:sz w:val="21"/>
          <w:szCs w:val="21"/>
        </w:rPr>
      </w:pPr>
    </w:p>
    <w:p w14:paraId="5E57FC80" w14:textId="77777777" w:rsidR="00E4080D" w:rsidRPr="00E4080D" w:rsidRDefault="00E4080D" w:rsidP="00E4080D">
      <w:pPr>
        <w:jc w:val="both"/>
        <w:rPr>
          <w:rFonts w:ascii="Abadi" w:hAnsi="Abadi" w:cs="Arial"/>
          <w:sz w:val="21"/>
          <w:szCs w:val="21"/>
        </w:rPr>
      </w:pPr>
      <w:r w:rsidRPr="00E4080D">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E4080D">
          <w:rPr>
            <w:rFonts w:ascii="Abadi" w:hAnsi="Abadi" w:cs="Arial"/>
            <w:sz w:val="21"/>
            <w:szCs w:val="21"/>
          </w:rPr>
          <w:t>la Ley</w:t>
        </w:r>
      </w:smartTag>
      <w:r w:rsidRPr="00E4080D">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07EB3CE" w14:textId="77777777" w:rsidR="00E4080D" w:rsidRPr="00E4080D" w:rsidRDefault="00E4080D" w:rsidP="00E4080D">
      <w:pPr>
        <w:jc w:val="both"/>
        <w:rPr>
          <w:rFonts w:ascii="Abadi" w:hAnsi="Abadi" w:cs="Arial"/>
          <w:sz w:val="21"/>
          <w:szCs w:val="21"/>
        </w:rPr>
      </w:pPr>
    </w:p>
    <w:p w14:paraId="2FFB92A9" w14:textId="0E1736C9" w:rsidR="00E4080D" w:rsidRPr="00E4080D" w:rsidRDefault="00E4080D" w:rsidP="009D10FC">
      <w:pPr>
        <w:jc w:val="both"/>
        <w:rPr>
          <w:rFonts w:ascii="Abadi" w:hAnsi="Abadi" w:cs="Arial"/>
          <w:sz w:val="21"/>
          <w:szCs w:val="21"/>
        </w:rPr>
      </w:pPr>
      <w:r w:rsidRPr="00E4080D">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6136245A" w14:textId="77777777" w:rsidR="00E4080D" w:rsidRPr="00E4080D" w:rsidRDefault="00E4080D" w:rsidP="00E4080D">
      <w:pPr>
        <w:ind w:firstLine="708"/>
        <w:jc w:val="both"/>
        <w:rPr>
          <w:rFonts w:ascii="Abadi" w:hAnsi="Abadi" w:cs="Arial"/>
          <w:sz w:val="21"/>
          <w:szCs w:val="21"/>
        </w:rPr>
      </w:pPr>
    </w:p>
    <w:p w14:paraId="751D7971" w14:textId="77777777" w:rsidR="00E4080D" w:rsidRPr="00E4080D" w:rsidRDefault="00E4080D" w:rsidP="00E4080D">
      <w:pPr>
        <w:ind w:firstLine="708"/>
        <w:jc w:val="both"/>
        <w:rPr>
          <w:rFonts w:ascii="Abadi" w:hAnsi="Abadi" w:cs="Arial"/>
          <w:sz w:val="21"/>
          <w:szCs w:val="21"/>
        </w:rPr>
      </w:pPr>
      <w:r w:rsidRPr="00E4080D">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 la presidenta y al ex-presidente municipales de Abasolo, Gto., concediéndoles el plazo que establece </w:t>
      </w:r>
      <w:smartTag w:uri="urn:schemas-microsoft-com:office:smarttags" w:element="PersonName">
        <w:smartTagPr>
          <w:attr w:name="ProductID" w:val="la Ley"/>
        </w:smartTagPr>
        <w:r w:rsidRPr="00E4080D">
          <w:rPr>
            <w:rFonts w:ascii="Abadi" w:hAnsi="Abadi" w:cs="Arial"/>
            <w:sz w:val="21"/>
            <w:szCs w:val="21"/>
          </w:rPr>
          <w:t>la Ley</w:t>
        </w:r>
      </w:smartTag>
      <w:r w:rsidRPr="00E4080D">
        <w:rPr>
          <w:rFonts w:ascii="Abadi" w:hAnsi="Abadi" w:cs="Arial"/>
          <w:sz w:val="21"/>
          <w:szCs w:val="21"/>
        </w:rPr>
        <w:t xml:space="preserve"> para aclarar, atender o solventar documentalmente las observaciones determinadas por el Órgano Técnico. Al respecto, la presidenta municipal de Abasolo, Gto., presentó información y documentación para aclarar y en su caso, solventar las observaciones determinadas y atender las recomendaciones efectuadas.</w:t>
      </w:r>
    </w:p>
    <w:p w14:paraId="06C8E1B6" w14:textId="77777777" w:rsidR="00E4080D" w:rsidRPr="00E4080D" w:rsidRDefault="00E4080D" w:rsidP="00E4080D">
      <w:pPr>
        <w:ind w:firstLine="708"/>
        <w:jc w:val="both"/>
        <w:rPr>
          <w:rFonts w:ascii="Abadi" w:hAnsi="Abadi" w:cs="Arial"/>
          <w:sz w:val="21"/>
          <w:szCs w:val="21"/>
        </w:rPr>
      </w:pPr>
    </w:p>
    <w:p w14:paraId="6387A7C1" w14:textId="77777777" w:rsidR="00E4080D" w:rsidRPr="00E4080D" w:rsidRDefault="00E4080D" w:rsidP="00E4080D">
      <w:pPr>
        <w:ind w:firstLine="708"/>
        <w:jc w:val="both"/>
        <w:rPr>
          <w:rFonts w:ascii="Abadi" w:hAnsi="Abadi" w:cs="Arial"/>
          <w:sz w:val="21"/>
          <w:szCs w:val="21"/>
        </w:rPr>
      </w:pPr>
      <w:r w:rsidRPr="00E4080D">
        <w:rPr>
          <w:rFonts w:ascii="Abadi" w:hAnsi="Abadi" w:cs="Arial"/>
          <w:sz w:val="21"/>
          <w:szCs w:val="21"/>
        </w:rPr>
        <w:t xml:space="preserve">De igual manera, existe en el informe de resultados la constancia de que este se notificó a la presidenta y al ex-presidente municipales de Abasolo, Gto., concediéndoles el término señalado en el artículo 37, fracción IV de </w:t>
      </w:r>
      <w:smartTag w:uri="urn:schemas-microsoft-com:office:smarttags" w:element="PersonName">
        <w:smartTagPr>
          <w:attr w:name="ProductID" w:val="la Ley"/>
        </w:smartTagPr>
        <w:r w:rsidRPr="00E4080D">
          <w:rPr>
            <w:rFonts w:ascii="Abadi" w:hAnsi="Abadi" w:cs="Arial"/>
            <w:sz w:val="21"/>
            <w:szCs w:val="21"/>
          </w:rPr>
          <w:t>la Ley</w:t>
        </w:r>
      </w:smartTag>
      <w:r w:rsidRPr="00E4080D">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 la presidenta municipal de Abasolo, Gto. En tal virtud, se considera que fue respetado el derecho de audiencia o defensa por parte del Órgano Técnico.</w:t>
      </w:r>
    </w:p>
    <w:p w14:paraId="663B907F" w14:textId="77777777" w:rsidR="00E4080D" w:rsidRPr="00E4080D" w:rsidRDefault="00E4080D" w:rsidP="00E4080D">
      <w:pPr>
        <w:ind w:firstLine="708"/>
        <w:jc w:val="both"/>
        <w:rPr>
          <w:rFonts w:ascii="Abadi" w:hAnsi="Abadi" w:cs="Arial"/>
          <w:sz w:val="21"/>
          <w:szCs w:val="21"/>
        </w:rPr>
      </w:pPr>
    </w:p>
    <w:p w14:paraId="16233BDF" w14:textId="77777777" w:rsidR="00E4080D" w:rsidRPr="00E4080D" w:rsidRDefault="00E4080D" w:rsidP="00E4080D">
      <w:pPr>
        <w:ind w:firstLine="708"/>
        <w:jc w:val="both"/>
        <w:rPr>
          <w:rFonts w:ascii="Abadi" w:hAnsi="Abadi" w:cs="Arial"/>
          <w:sz w:val="21"/>
          <w:szCs w:val="21"/>
        </w:rPr>
      </w:pPr>
      <w:r w:rsidRPr="00E4080D">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60BC846B" w14:textId="77777777" w:rsidR="00E4080D" w:rsidRPr="00E4080D" w:rsidRDefault="00E4080D" w:rsidP="00E4080D">
      <w:pPr>
        <w:ind w:firstLine="708"/>
        <w:jc w:val="both"/>
        <w:rPr>
          <w:rFonts w:ascii="Abadi" w:hAnsi="Abadi" w:cs="Arial"/>
          <w:sz w:val="21"/>
          <w:szCs w:val="21"/>
        </w:rPr>
      </w:pPr>
    </w:p>
    <w:p w14:paraId="3B30F5BB" w14:textId="77777777" w:rsidR="00E4080D" w:rsidRPr="00E4080D" w:rsidRDefault="00E4080D" w:rsidP="00E4080D">
      <w:pPr>
        <w:ind w:firstLine="708"/>
        <w:jc w:val="both"/>
        <w:rPr>
          <w:rFonts w:ascii="Abadi" w:hAnsi="Abadi" w:cs="Arial"/>
          <w:sz w:val="21"/>
          <w:szCs w:val="21"/>
        </w:rPr>
      </w:pPr>
      <w:r w:rsidRPr="00E4080D">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604FE03F" w14:textId="77777777" w:rsidR="00E4080D" w:rsidRPr="00E4080D" w:rsidRDefault="00E4080D" w:rsidP="00E4080D">
      <w:pPr>
        <w:ind w:firstLine="708"/>
        <w:jc w:val="both"/>
        <w:rPr>
          <w:rFonts w:ascii="Abadi" w:hAnsi="Abadi" w:cs="Arial"/>
          <w:sz w:val="21"/>
          <w:szCs w:val="21"/>
        </w:rPr>
      </w:pPr>
      <w:r w:rsidRPr="00E4080D">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735ABE81" w14:textId="77777777" w:rsidR="00E4080D" w:rsidRPr="00E4080D" w:rsidRDefault="00E4080D" w:rsidP="00E4080D">
      <w:pPr>
        <w:ind w:firstLine="708"/>
        <w:jc w:val="both"/>
        <w:rPr>
          <w:rFonts w:ascii="Abadi" w:hAnsi="Abadi" w:cs="Arial"/>
          <w:sz w:val="21"/>
          <w:szCs w:val="21"/>
        </w:rPr>
      </w:pPr>
    </w:p>
    <w:p w14:paraId="7B4B5119" w14:textId="77777777" w:rsidR="00E4080D" w:rsidRPr="00E4080D" w:rsidRDefault="00E4080D" w:rsidP="00E4080D">
      <w:pPr>
        <w:ind w:firstLine="708"/>
        <w:jc w:val="both"/>
        <w:rPr>
          <w:rFonts w:ascii="Abadi" w:hAnsi="Abadi" w:cs="Arial"/>
          <w:sz w:val="21"/>
          <w:szCs w:val="21"/>
        </w:rPr>
      </w:pPr>
      <w:r w:rsidRPr="00E4080D">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13731E33" w14:textId="77777777" w:rsidR="00E4080D" w:rsidRPr="00E4080D" w:rsidRDefault="00E4080D" w:rsidP="00E4080D">
      <w:pPr>
        <w:ind w:firstLine="708"/>
        <w:jc w:val="both"/>
        <w:rPr>
          <w:rFonts w:ascii="Abadi" w:hAnsi="Abadi" w:cs="Arial"/>
          <w:sz w:val="21"/>
          <w:szCs w:val="21"/>
        </w:rPr>
      </w:pPr>
    </w:p>
    <w:p w14:paraId="425A5694" w14:textId="77777777" w:rsidR="00E4080D" w:rsidRPr="00E4080D" w:rsidRDefault="00E4080D" w:rsidP="00E4080D">
      <w:pPr>
        <w:ind w:firstLine="708"/>
        <w:jc w:val="both"/>
        <w:rPr>
          <w:rFonts w:ascii="Abadi" w:hAnsi="Abadi" w:cs="Arial"/>
          <w:sz w:val="21"/>
          <w:szCs w:val="21"/>
        </w:rPr>
      </w:pPr>
      <w:r w:rsidRPr="00E4080D">
        <w:rPr>
          <w:rFonts w:ascii="Abadi" w:hAnsi="Abadi" w:cs="Arial"/>
          <w:sz w:val="21"/>
          <w:szCs w:val="21"/>
        </w:rPr>
        <w:t xml:space="preserve">En razón de lo anteriormente señalado, concluimos que el informe de resultados de la revisión practicada a la cuenta pública de Abasolo, Gto., correspondiente al ejercicio fiscal del año 2020, debe sancionarse por el Congreso en los términos presentados por la Auditoría Superior del Estado y proceder a su aprobación, considerando que no se actualiza el supuesto contenido en el artículo 38 de </w:t>
      </w:r>
      <w:smartTag w:uri="urn:schemas-microsoft-com:office:smarttags" w:element="PersonName">
        <w:smartTagPr>
          <w:attr w:name="ProductID" w:val="la Ley"/>
        </w:smartTagPr>
        <w:r w:rsidRPr="00E4080D">
          <w:rPr>
            <w:rFonts w:ascii="Abadi" w:hAnsi="Abadi" w:cs="Arial"/>
            <w:sz w:val="21"/>
            <w:szCs w:val="21"/>
          </w:rPr>
          <w:t>la Ley</w:t>
        </w:r>
      </w:smartTag>
      <w:r w:rsidRPr="00E4080D">
        <w:rPr>
          <w:rFonts w:ascii="Abadi" w:hAnsi="Abadi" w:cs="Arial"/>
          <w:sz w:val="21"/>
          <w:szCs w:val="21"/>
        </w:rPr>
        <w:t xml:space="preserve"> de Fiscalización Superior del Estado de Guanajuato, razón por la cual no podría ser observado por el Pleno del Congreso.</w:t>
      </w:r>
    </w:p>
    <w:p w14:paraId="1EB8539E" w14:textId="77777777" w:rsidR="00E4080D" w:rsidRPr="00E4080D" w:rsidRDefault="00E4080D" w:rsidP="00E4080D">
      <w:pPr>
        <w:ind w:firstLine="708"/>
        <w:jc w:val="both"/>
        <w:rPr>
          <w:rFonts w:ascii="Abadi" w:hAnsi="Abadi" w:cs="Arial"/>
          <w:sz w:val="21"/>
          <w:szCs w:val="21"/>
        </w:rPr>
      </w:pPr>
    </w:p>
    <w:p w14:paraId="206CA4CC" w14:textId="77777777" w:rsidR="00E4080D" w:rsidRPr="00E4080D" w:rsidRDefault="00E4080D" w:rsidP="00E4080D">
      <w:pPr>
        <w:ind w:firstLine="708"/>
        <w:jc w:val="both"/>
        <w:rPr>
          <w:rFonts w:ascii="Abadi" w:hAnsi="Abadi" w:cs="Arial"/>
          <w:sz w:val="21"/>
          <w:szCs w:val="21"/>
          <w:lang w:val="x-none" w:eastAsia="x-none"/>
        </w:rPr>
      </w:pPr>
      <w:r w:rsidRPr="00E4080D">
        <w:rPr>
          <w:rFonts w:ascii="Abadi" w:hAnsi="Abadi" w:cs="Arial"/>
          <w:sz w:val="21"/>
          <w:szCs w:val="21"/>
        </w:rPr>
        <w:t xml:space="preserve">Por lo expuesto, con fundamento en el artículo 204 de </w:t>
      </w:r>
      <w:smartTag w:uri="urn:schemas-microsoft-com:office:smarttags" w:element="PersonName">
        <w:smartTagPr>
          <w:attr w:name="ProductID" w:val="la Ley Org￡nica"/>
        </w:smartTagPr>
        <w:r w:rsidRPr="00E4080D">
          <w:rPr>
            <w:rFonts w:ascii="Abadi" w:hAnsi="Abadi" w:cs="Arial"/>
            <w:sz w:val="21"/>
            <w:szCs w:val="21"/>
          </w:rPr>
          <w:t>la Ley Orgánica</w:t>
        </w:r>
      </w:smartTag>
      <w:r w:rsidRPr="00E4080D">
        <w:rPr>
          <w:rFonts w:ascii="Abadi" w:hAnsi="Abadi" w:cs="Arial"/>
          <w:sz w:val="21"/>
          <w:szCs w:val="21"/>
        </w:rPr>
        <w:t xml:space="preserve"> del Poder Legislativo, nos permitimos someter a la consideración de </w:t>
      </w:r>
      <w:smartTag w:uri="urn:schemas-microsoft-com:office:smarttags" w:element="PersonName">
        <w:smartTagPr>
          <w:attr w:name="ProductID" w:val="la Asamblea"/>
        </w:smartTagPr>
        <w:r w:rsidRPr="00E4080D">
          <w:rPr>
            <w:rFonts w:ascii="Abadi" w:hAnsi="Abadi" w:cs="Arial"/>
            <w:sz w:val="21"/>
            <w:szCs w:val="21"/>
          </w:rPr>
          <w:t>la Asamblea</w:t>
        </w:r>
      </w:smartTag>
      <w:r w:rsidRPr="00E4080D">
        <w:rPr>
          <w:rFonts w:ascii="Abadi" w:hAnsi="Abadi" w:cs="Arial"/>
          <w:sz w:val="21"/>
          <w:szCs w:val="21"/>
        </w:rPr>
        <w:t>, la aprobación del siguiente</w:t>
      </w:r>
      <w:r w:rsidRPr="00E4080D">
        <w:rPr>
          <w:rFonts w:ascii="Abadi" w:hAnsi="Abadi" w:cs="Arial"/>
          <w:sz w:val="21"/>
          <w:szCs w:val="21"/>
          <w:lang w:val="x-none" w:eastAsia="x-none"/>
        </w:rPr>
        <w:t>:</w:t>
      </w:r>
    </w:p>
    <w:p w14:paraId="02FAFC22" w14:textId="77777777" w:rsidR="00E4080D" w:rsidRPr="00E4080D" w:rsidRDefault="00E4080D" w:rsidP="00E4080D">
      <w:pPr>
        <w:keepNext/>
        <w:jc w:val="center"/>
        <w:outlineLvl w:val="0"/>
        <w:rPr>
          <w:rFonts w:ascii="Abadi" w:eastAsia="Arial Unicode MS" w:hAnsi="Abadi" w:cs="Arial"/>
          <w:b/>
          <w:bCs/>
          <w:smallCaps/>
          <w:sz w:val="21"/>
          <w:szCs w:val="21"/>
        </w:rPr>
      </w:pPr>
    </w:p>
    <w:p w14:paraId="71A7458B" w14:textId="77777777" w:rsidR="00E4080D" w:rsidRPr="00E4080D" w:rsidRDefault="00E4080D" w:rsidP="00E4080D">
      <w:pPr>
        <w:keepNext/>
        <w:jc w:val="center"/>
        <w:outlineLvl w:val="0"/>
        <w:rPr>
          <w:rFonts w:ascii="Abadi" w:eastAsia="Arial Unicode MS" w:hAnsi="Abadi" w:cs="Arial"/>
          <w:b/>
          <w:bCs/>
          <w:smallCaps/>
          <w:sz w:val="21"/>
          <w:szCs w:val="21"/>
        </w:rPr>
      </w:pPr>
      <w:r w:rsidRPr="00E4080D">
        <w:rPr>
          <w:rFonts w:ascii="Abadi" w:eastAsia="Arial Unicode MS" w:hAnsi="Abadi" w:cs="Arial"/>
          <w:b/>
          <w:bCs/>
          <w:smallCaps/>
          <w:sz w:val="21"/>
          <w:szCs w:val="21"/>
        </w:rPr>
        <w:t>A c u e r d o</w:t>
      </w:r>
    </w:p>
    <w:p w14:paraId="3923D13F" w14:textId="77777777" w:rsidR="00E4080D" w:rsidRPr="00E4080D" w:rsidRDefault="00E4080D" w:rsidP="00E4080D">
      <w:pPr>
        <w:rPr>
          <w:rFonts w:ascii="Abadi" w:hAnsi="Abadi"/>
          <w:sz w:val="21"/>
          <w:szCs w:val="21"/>
        </w:rPr>
      </w:pPr>
    </w:p>
    <w:p w14:paraId="2E1F3016" w14:textId="77777777" w:rsidR="00E4080D" w:rsidRPr="00E4080D" w:rsidRDefault="00E4080D" w:rsidP="00E4080D">
      <w:pPr>
        <w:ind w:firstLine="708"/>
        <w:jc w:val="both"/>
        <w:rPr>
          <w:rFonts w:ascii="Abadi" w:hAnsi="Abadi" w:cs="Arial"/>
          <w:sz w:val="21"/>
          <w:szCs w:val="21"/>
        </w:rPr>
      </w:pPr>
      <w:r w:rsidRPr="00E4080D">
        <w:rPr>
          <w:rFonts w:ascii="Abadi" w:hAnsi="Abadi" w:cs="Arial"/>
          <w:b/>
          <w:bCs/>
          <w:sz w:val="21"/>
          <w:szCs w:val="21"/>
        </w:rPr>
        <w:t xml:space="preserve">Único. </w:t>
      </w:r>
      <w:r w:rsidRPr="00E4080D">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E4080D">
          <w:rPr>
            <w:rFonts w:ascii="Abadi" w:hAnsi="Abadi" w:cs="Arial"/>
            <w:sz w:val="21"/>
            <w:szCs w:val="21"/>
          </w:rPr>
          <w:t>la Constitución Política</w:t>
        </w:r>
      </w:smartTag>
      <w:r w:rsidRPr="00E4080D">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Abasolo, Gto., correspondiente al ejercicio fiscal del año 2020, con base en el informe de resultados formulado por la Auditoría Superior del Estado de Guanajuato.</w:t>
      </w:r>
    </w:p>
    <w:p w14:paraId="7D84796E" w14:textId="77777777" w:rsidR="00E4080D" w:rsidRPr="00E4080D" w:rsidRDefault="00E4080D" w:rsidP="00E4080D">
      <w:pPr>
        <w:ind w:firstLine="708"/>
        <w:jc w:val="both"/>
        <w:rPr>
          <w:rFonts w:ascii="Abadi" w:hAnsi="Abadi" w:cs="Arial"/>
          <w:sz w:val="21"/>
          <w:szCs w:val="21"/>
          <w:lang w:val="es-MX" w:eastAsia="x-none"/>
        </w:rPr>
      </w:pPr>
      <w:r w:rsidRPr="00E4080D">
        <w:rPr>
          <w:rFonts w:ascii="Abadi" w:hAnsi="Abadi" w:cs="Arial"/>
          <w:sz w:val="21"/>
          <w:szCs w:val="21"/>
          <w:lang w:val="x-none" w:eastAsia="x-none"/>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E4080D">
        <w:rPr>
          <w:rFonts w:ascii="Abadi" w:hAnsi="Abadi" w:cs="Arial"/>
          <w:sz w:val="21"/>
          <w:szCs w:val="21"/>
          <w:lang w:val="es-MX" w:eastAsia="x-none"/>
        </w:rPr>
        <w:t>.</w:t>
      </w:r>
      <w:r w:rsidRPr="00E4080D">
        <w:rPr>
          <w:rFonts w:ascii="Abadi" w:hAnsi="Abadi" w:cs="Arial"/>
          <w:sz w:val="21"/>
          <w:szCs w:val="21"/>
          <w:lang w:val="x-none" w:eastAsia="x-none"/>
        </w:rPr>
        <w:t xml:space="preserve"> </w:t>
      </w:r>
      <w:r w:rsidRPr="00E4080D">
        <w:rPr>
          <w:rFonts w:ascii="Abadi" w:hAnsi="Abadi" w:cs="Arial"/>
          <w:sz w:val="21"/>
          <w:szCs w:val="21"/>
          <w:lang w:val="es-MX" w:eastAsia="x-none"/>
        </w:rPr>
        <w:t>Asimismo, dará</w:t>
      </w:r>
      <w:r w:rsidRPr="00E4080D">
        <w:rPr>
          <w:rFonts w:ascii="Abadi" w:hAnsi="Abadi" w:cs="Arial"/>
          <w:sz w:val="21"/>
          <w:szCs w:val="21"/>
          <w:lang w:val="x-none" w:eastAsia="x-none"/>
        </w:rPr>
        <w:t xml:space="preserve"> seguimiento a las observaciones no solventadas contenidas en el informe de resultados</w:t>
      </w:r>
      <w:r w:rsidRPr="00E4080D">
        <w:rPr>
          <w:rFonts w:ascii="Abadi" w:hAnsi="Abadi" w:cs="Arial"/>
          <w:sz w:val="21"/>
          <w:szCs w:val="21"/>
          <w:lang w:val="es-MX" w:eastAsia="x-none"/>
        </w:rPr>
        <w:t>.</w:t>
      </w:r>
    </w:p>
    <w:p w14:paraId="5E336F10" w14:textId="77777777" w:rsidR="00E4080D" w:rsidRPr="00E4080D" w:rsidRDefault="00E4080D" w:rsidP="00E4080D">
      <w:pPr>
        <w:ind w:firstLine="708"/>
        <w:jc w:val="both"/>
        <w:rPr>
          <w:rFonts w:ascii="Abadi" w:hAnsi="Abadi" w:cs="Arial"/>
          <w:sz w:val="21"/>
          <w:szCs w:val="21"/>
          <w:lang w:val="es-MX" w:eastAsia="x-none"/>
        </w:rPr>
      </w:pPr>
    </w:p>
    <w:p w14:paraId="7638AD9F" w14:textId="77777777" w:rsidR="00E4080D" w:rsidRPr="00E4080D" w:rsidRDefault="00E4080D" w:rsidP="00E4080D">
      <w:pPr>
        <w:ind w:firstLine="708"/>
        <w:jc w:val="both"/>
        <w:rPr>
          <w:rFonts w:ascii="Abadi" w:hAnsi="Abadi" w:cs="Arial"/>
          <w:sz w:val="21"/>
          <w:szCs w:val="21"/>
        </w:rPr>
      </w:pPr>
      <w:r w:rsidRPr="00E4080D">
        <w:rPr>
          <w:rFonts w:ascii="Abadi" w:hAnsi="Abadi" w:cs="Arial"/>
          <w:sz w:val="21"/>
          <w:szCs w:val="21"/>
        </w:rPr>
        <w:t>Se tiene por atendida la recomendación contenida en el informe de resultados.</w:t>
      </w:r>
    </w:p>
    <w:p w14:paraId="7769B3C8" w14:textId="77777777" w:rsidR="00E4080D" w:rsidRPr="00E4080D" w:rsidRDefault="00E4080D" w:rsidP="00E4080D">
      <w:pPr>
        <w:ind w:firstLine="708"/>
        <w:jc w:val="both"/>
        <w:rPr>
          <w:rFonts w:ascii="Abadi" w:hAnsi="Abadi" w:cs="Arial"/>
          <w:sz w:val="21"/>
          <w:szCs w:val="21"/>
        </w:rPr>
      </w:pPr>
    </w:p>
    <w:p w14:paraId="2D22E5C9" w14:textId="77777777" w:rsidR="00E4080D" w:rsidRPr="00E4080D" w:rsidRDefault="00E4080D" w:rsidP="00E4080D">
      <w:pPr>
        <w:ind w:firstLine="708"/>
        <w:jc w:val="both"/>
        <w:rPr>
          <w:rFonts w:ascii="Abadi" w:hAnsi="Abadi" w:cs="Arial"/>
          <w:sz w:val="21"/>
          <w:szCs w:val="21"/>
        </w:rPr>
      </w:pPr>
      <w:r w:rsidRPr="00E4080D">
        <w:rPr>
          <w:rFonts w:ascii="Abadi" w:hAnsi="Abadi" w:cs="Arial"/>
          <w:sz w:val="21"/>
          <w:szCs w:val="21"/>
        </w:rPr>
        <w:t>Remítase el presente acuerdo al titular del Poder Ejecutivo del Estado para su publicación en el Periódico Oficial del Gobierno del Estado.</w:t>
      </w:r>
    </w:p>
    <w:p w14:paraId="2ED619AD" w14:textId="77777777" w:rsidR="00E4080D" w:rsidRPr="00E4080D" w:rsidRDefault="00E4080D" w:rsidP="00E4080D">
      <w:pPr>
        <w:ind w:firstLine="708"/>
        <w:jc w:val="both"/>
        <w:rPr>
          <w:rFonts w:ascii="Abadi" w:hAnsi="Abadi" w:cs="Arial"/>
          <w:sz w:val="21"/>
          <w:szCs w:val="21"/>
        </w:rPr>
      </w:pPr>
    </w:p>
    <w:p w14:paraId="66A3CA87" w14:textId="77777777" w:rsidR="00E4080D" w:rsidRPr="00E4080D" w:rsidRDefault="00E4080D" w:rsidP="00E4080D">
      <w:pPr>
        <w:ind w:firstLine="708"/>
        <w:jc w:val="both"/>
        <w:rPr>
          <w:rFonts w:ascii="Abadi" w:hAnsi="Abadi" w:cs="Arial"/>
          <w:sz w:val="21"/>
          <w:szCs w:val="21"/>
          <w:lang w:val="x-none" w:eastAsia="x-none"/>
        </w:rPr>
      </w:pPr>
      <w:r w:rsidRPr="00E4080D">
        <w:rPr>
          <w:rFonts w:ascii="Abadi" w:hAnsi="Abadi" w:cs="Arial"/>
          <w:sz w:val="21"/>
          <w:szCs w:val="21"/>
          <w:lang w:val="x-none"/>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E4080D">
        <w:rPr>
          <w:rFonts w:ascii="Abadi" w:hAnsi="Abadi" w:cs="Arial"/>
          <w:sz w:val="21"/>
          <w:szCs w:val="21"/>
          <w:lang w:val="x-none" w:eastAsia="x-none"/>
        </w:rPr>
        <w:t>.</w:t>
      </w:r>
    </w:p>
    <w:p w14:paraId="349D7E3A" w14:textId="77777777" w:rsidR="00E4080D" w:rsidRPr="00E4080D" w:rsidRDefault="00E4080D" w:rsidP="00E4080D">
      <w:pPr>
        <w:jc w:val="center"/>
        <w:rPr>
          <w:rFonts w:ascii="Abadi" w:hAnsi="Abadi" w:cs="Arial"/>
          <w:b/>
          <w:bCs/>
          <w:sz w:val="21"/>
          <w:szCs w:val="21"/>
          <w:lang w:eastAsia="x-none"/>
        </w:rPr>
      </w:pPr>
    </w:p>
    <w:p w14:paraId="1900411A" w14:textId="77777777" w:rsidR="00E4080D" w:rsidRPr="00E4080D" w:rsidRDefault="00E4080D" w:rsidP="009D10FC">
      <w:pPr>
        <w:jc w:val="center"/>
        <w:rPr>
          <w:rFonts w:ascii="Abadi" w:hAnsi="Abadi" w:cs="Arial"/>
          <w:b/>
          <w:bCs/>
          <w:sz w:val="21"/>
          <w:szCs w:val="21"/>
          <w:lang w:eastAsia="x-none"/>
        </w:rPr>
      </w:pPr>
      <w:r w:rsidRPr="00E4080D">
        <w:rPr>
          <w:rFonts w:ascii="Abadi" w:hAnsi="Abadi" w:cs="Arial"/>
          <w:b/>
          <w:bCs/>
          <w:sz w:val="21"/>
          <w:szCs w:val="21"/>
          <w:lang w:eastAsia="x-none"/>
        </w:rPr>
        <w:t>Guanajuato, Gto., 16 de junio de 2022</w:t>
      </w:r>
    </w:p>
    <w:p w14:paraId="39CE479B" w14:textId="77777777" w:rsidR="00E4080D" w:rsidRPr="00E4080D" w:rsidRDefault="00E4080D" w:rsidP="009D10FC">
      <w:pPr>
        <w:jc w:val="center"/>
        <w:rPr>
          <w:rFonts w:ascii="Abadi" w:hAnsi="Abadi" w:cs="Arial"/>
          <w:b/>
          <w:bCs/>
          <w:sz w:val="21"/>
          <w:szCs w:val="21"/>
          <w:lang w:eastAsia="x-none"/>
        </w:rPr>
      </w:pPr>
      <w:smartTag w:uri="urn:schemas-microsoft-com:office:smarttags" w:element="PersonName">
        <w:smartTagPr>
          <w:attr w:name="ProductID" w:val="La Comisi￳n"/>
        </w:smartTagPr>
        <w:r w:rsidRPr="00E4080D">
          <w:rPr>
            <w:rFonts w:ascii="Abadi" w:hAnsi="Abadi" w:cs="Arial"/>
            <w:b/>
            <w:bCs/>
            <w:sz w:val="21"/>
            <w:szCs w:val="21"/>
            <w:lang w:eastAsia="x-none"/>
          </w:rPr>
          <w:t>La Comisión</w:t>
        </w:r>
      </w:smartTag>
      <w:r w:rsidRPr="00E4080D">
        <w:rPr>
          <w:rFonts w:ascii="Abadi" w:hAnsi="Abadi" w:cs="Arial"/>
          <w:b/>
          <w:bCs/>
          <w:sz w:val="21"/>
          <w:szCs w:val="21"/>
          <w:lang w:eastAsia="x-none"/>
        </w:rPr>
        <w:t xml:space="preserve"> de Hacienda y Fiscalización</w:t>
      </w:r>
    </w:p>
    <w:p w14:paraId="399DD1E3" w14:textId="77777777" w:rsidR="00E4080D" w:rsidRPr="00E4080D" w:rsidRDefault="00E4080D" w:rsidP="009D10FC">
      <w:pPr>
        <w:jc w:val="center"/>
        <w:rPr>
          <w:rFonts w:ascii="Abadi" w:hAnsi="Abadi" w:cs="Arial"/>
          <w:sz w:val="21"/>
          <w:szCs w:val="21"/>
        </w:rPr>
      </w:pPr>
    </w:p>
    <w:p w14:paraId="7689BD5D" w14:textId="77777777" w:rsidR="00E4080D" w:rsidRPr="00E4080D" w:rsidRDefault="00E4080D" w:rsidP="009D10FC">
      <w:pPr>
        <w:jc w:val="center"/>
        <w:rPr>
          <w:rFonts w:ascii="Abadi" w:hAnsi="Abadi" w:cs="Arial"/>
          <w:sz w:val="21"/>
          <w:szCs w:val="21"/>
        </w:rPr>
      </w:pPr>
    </w:p>
    <w:p w14:paraId="3926D374" w14:textId="1A680C54" w:rsidR="00E4080D" w:rsidRPr="00E4080D" w:rsidRDefault="00E4080D" w:rsidP="009D10FC">
      <w:pPr>
        <w:jc w:val="center"/>
        <w:rPr>
          <w:rFonts w:ascii="Abadi" w:hAnsi="Abadi" w:cs="Arial"/>
          <w:sz w:val="21"/>
          <w:szCs w:val="21"/>
        </w:rPr>
      </w:pPr>
      <w:r w:rsidRPr="00E4080D">
        <w:rPr>
          <w:rFonts w:ascii="Abadi" w:hAnsi="Abadi" w:cs="Arial"/>
          <w:b/>
          <w:sz w:val="21"/>
          <w:szCs w:val="21"/>
          <w:lang w:eastAsia="x-none"/>
        </w:rPr>
        <w:t>Diputado Víctor Manuel Zanella Huerta</w:t>
      </w:r>
    </w:p>
    <w:p w14:paraId="218ADE69" w14:textId="77777777" w:rsidR="00E4080D" w:rsidRPr="00E4080D" w:rsidRDefault="00E4080D" w:rsidP="009D10FC">
      <w:pPr>
        <w:jc w:val="center"/>
        <w:rPr>
          <w:rFonts w:ascii="Abadi" w:hAnsi="Abadi" w:cs="Arial"/>
          <w:b/>
          <w:bCs/>
          <w:sz w:val="21"/>
          <w:szCs w:val="21"/>
          <w:lang w:eastAsia="x-none"/>
        </w:rPr>
      </w:pPr>
    </w:p>
    <w:p w14:paraId="678330BE" w14:textId="70B3A4CC" w:rsidR="00E4080D" w:rsidRPr="00E4080D" w:rsidRDefault="00E4080D" w:rsidP="009D10FC">
      <w:pPr>
        <w:jc w:val="center"/>
        <w:rPr>
          <w:rFonts w:ascii="Abadi" w:hAnsi="Abadi" w:cs="Arial"/>
          <w:b/>
          <w:sz w:val="21"/>
          <w:szCs w:val="21"/>
          <w:lang w:eastAsia="x-none"/>
        </w:rPr>
      </w:pPr>
      <w:r w:rsidRPr="00E4080D">
        <w:rPr>
          <w:rFonts w:ascii="Abadi" w:hAnsi="Abadi" w:cs="Arial"/>
          <w:b/>
          <w:sz w:val="21"/>
          <w:szCs w:val="21"/>
          <w:lang w:eastAsia="x-none"/>
        </w:rPr>
        <w:t>Diputada Ruth Noemí Tiscareño Agoitia</w:t>
      </w:r>
    </w:p>
    <w:p w14:paraId="2EF1D79E" w14:textId="77777777" w:rsidR="00E4080D" w:rsidRPr="00E4080D" w:rsidRDefault="00E4080D" w:rsidP="009D10FC">
      <w:pPr>
        <w:jc w:val="center"/>
        <w:rPr>
          <w:rFonts w:ascii="Abadi" w:hAnsi="Abadi" w:cs="Arial"/>
          <w:b/>
          <w:sz w:val="21"/>
          <w:szCs w:val="21"/>
          <w:lang w:eastAsia="x-none"/>
        </w:rPr>
      </w:pPr>
    </w:p>
    <w:p w14:paraId="0EE9A623" w14:textId="544EDE51" w:rsidR="00E4080D" w:rsidRPr="00E4080D" w:rsidRDefault="00E4080D" w:rsidP="009D10FC">
      <w:pPr>
        <w:jc w:val="center"/>
        <w:rPr>
          <w:rFonts w:ascii="Abadi" w:hAnsi="Abadi" w:cs="Arial"/>
          <w:b/>
          <w:sz w:val="21"/>
          <w:szCs w:val="21"/>
          <w:lang w:eastAsia="x-none"/>
        </w:rPr>
      </w:pPr>
      <w:r w:rsidRPr="00E4080D">
        <w:rPr>
          <w:rFonts w:ascii="Abadi" w:hAnsi="Abadi" w:cs="Arial"/>
          <w:b/>
          <w:sz w:val="21"/>
          <w:szCs w:val="21"/>
          <w:lang w:eastAsia="x-none"/>
        </w:rPr>
        <w:t>Diputado Miguel Ángel Salim Alle</w:t>
      </w:r>
    </w:p>
    <w:p w14:paraId="3497491C" w14:textId="77777777" w:rsidR="00E4080D" w:rsidRPr="00E4080D" w:rsidRDefault="00E4080D" w:rsidP="009D10FC">
      <w:pPr>
        <w:jc w:val="center"/>
        <w:rPr>
          <w:rFonts w:ascii="Abadi" w:hAnsi="Abadi" w:cs="Arial"/>
          <w:b/>
          <w:sz w:val="21"/>
          <w:szCs w:val="21"/>
          <w:lang w:eastAsia="x-none"/>
        </w:rPr>
      </w:pPr>
    </w:p>
    <w:p w14:paraId="67445955" w14:textId="08249121" w:rsidR="00E4080D" w:rsidRPr="00E4080D" w:rsidRDefault="00E4080D" w:rsidP="009D10FC">
      <w:pPr>
        <w:jc w:val="center"/>
        <w:rPr>
          <w:rFonts w:ascii="Abadi" w:hAnsi="Abadi" w:cs="Arial"/>
          <w:b/>
          <w:sz w:val="21"/>
          <w:szCs w:val="21"/>
          <w:lang w:eastAsia="x-none"/>
        </w:rPr>
      </w:pPr>
      <w:r w:rsidRPr="00E4080D">
        <w:rPr>
          <w:rFonts w:ascii="Abadi" w:hAnsi="Abadi" w:cs="Arial"/>
          <w:b/>
          <w:sz w:val="21"/>
          <w:szCs w:val="21"/>
          <w:lang w:eastAsia="x-none"/>
        </w:rPr>
        <w:t>Diputado José Alfonso Borja Pimentel</w:t>
      </w:r>
    </w:p>
    <w:p w14:paraId="44240CB0" w14:textId="77777777" w:rsidR="00E4080D" w:rsidRPr="00E4080D" w:rsidRDefault="00E4080D" w:rsidP="009D10FC">
      <w:pPr>
        <w:jc w:val="center"/>
        <w:rPr>
          <w:rFonts w:ascii="Abadi" w:hAnsi="Abadi" w:cs="Arial"/>
          <w:b/>
          <w:sz w:val="21"/>
          <w:szCs w:val="21"/>
          <w:lang w:eastAsia="x-none"/>
        </w:rPr>
      </w:pPr>
    </w:p>
    <w:p w14:paraId="36078A9D" w14:textId="77777777" w:rsidR="00E4080D" w:rsidRPr="00E4080D" w:rsidRDefault="00E4080D" w:rsidP="009D10FC">
      <w:pPr>
        <w:jc w:val="center"/>
        <w:rPr>
          <w:rFonts w:ascii="Abadi" w:hAnsi="Abadi" w:cs="Arial"/>
          <w:b/>
          <w:sz w:val="21"/>
          <w:szCs w:val="21"/>
          <w:lang w:eastAsia="x-none"/>
        </w:rPr>
      </w:pPr>
      <w:r w:rsidRPr="00E4080D">
        <w:rPr>
          <w:rFonts w:ascii="Abadi" w:hAnsi="Abadi" w:cs="Arial"/>
          <w:b/>
          <w:sz w:val="21"/>
          <w:szCs w:val="21"/>
          <w:lang w:eastAsia="x-none"/>
        </w:rPr>
        <w:t>Diputada Alma Edwviges Alcaraz Hernández</w:t>
      </w:r>
    </w:p>
    <w:p w14:paraId="21D2D750" w14:textId="309AE0F8" w:rsidR="007041B2" w:rsidRDefault="007041B2" w:rsidP="007041B2">
      <w:pPr>
        <w:rPr>
          <w:rFonts w:ascii="Abadi" w:hAnsi="Abadi"/>
          <w:sz w:val="20"/>
          <w:szCs w:val="20"/>
        </w:rPr>
      </w:pPr>
    </w:p>
    <w:p w14:paraId="40B559D1" w14:textId="77777777" w:rsidR="007041B2" w:rsidRPr="007041B2" w:rsidRDefault="007041B2" w:rsidP="007041B2">
      <w:pPr>
        <w:rPr>
          <w:rFonts w:ascii="Abadi" w:hAnsi="Abadi"/>
          <w:sz w:val="20"/>
          <w:szCs w:val="20"/>
        </w:rPr>
      </w:pPr>
    </w:p>
    <w:p w14:paraId="68BAE577" w14:textId="69E4F25A" w:rsidR="00532A38" w:rsidRDefault="00532A38"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1"/>
          <w:sz w:val="20"/>
          <w:szCs w:val="20"/>
        </w:rPr>
        <w:t xml:space="preserve"> </w:t>
      </w:r>
      <w:r w:rsidRPr="00531B12">
        <w:rPr>
          <w:rFonts w:ascii="Abadi" w:hAnsi="Abadi"/>
          <w:b/>
          <w:bCs/>
          <w:sz w:val="20"/>
          <w:szCs w:val="20"/>
        </w:rPr>
        <w:t>Y,</w:t>
      </w:r>
      <w:r w:rsidRPr="00531B12">
        <w:rPr>
          <w:rFonts w:ascii="Abadi" w:hAnsi="Abadi"/>
          <w:b/>
          <w:bCs/>
          <w:spacing w:val="11"/>
          <w:sz w:val="20"/>
          <w:szCs w:val="20"/>
        </w:rPr>
        <w:t xml:space="preserve"> </w:t>
      </w:r>
      <w:r w:rsidRPr="00531B12">
        <w:rPr>
          <w:rFonts w:ascii="Abadi" w:hAnsi="Abadi"/>
          <w:b/>
          <w:bCs/>
          <w:sz w:val="20"/>
          <w:szCs w:val="20"/>
        </w:rPr>
        <w:t>EN</w:t>
      </w:r>
      <w:r w:rsidRPr="00531B12">
        <w:rPr>
          <w:rFonts w:ascii="Abadi" w:hAnsi="Abadi"/>
          <w:b/>
          <w:bCs/>
          <w:spacing w:val="11"/>
          <w:sz w:val="20"/>
          <w:szCs w:val="20"/>
        </w:rPr>
        <w:t xml:space="preserve"> </w:t>
      </w:r>
      <w:r w:rsidRPr="00531B12">
        <w:rPr>
          <w:rFonts w:ascii="Abadi" w:hAnsi="Abadi"/>
          <w:b/>
          <w:bCs/>
          <w:sz w:val="20"/>
          <w:szCs w:val="20"/>
        </w:rPr>
        <w:t>SU</w:t>
      </w:r>
      <w:r w:rsidRPr="00531B12">
        <w:rPr>
          <w:rFonts w:ascii="Abadi" w:hAnsi="Abadi"/>
          <w:b/>
          <w:bCs/>
          <w:spacing w:val="11"/>
          <w:sz w:val="20"/>
          <w:szCs w:val="20"/>
        </w:rPr>
        <w:t xml:space="preserve"> </w:t>
      </w:r>
      <w:r w:rsidRPr="00531B12">
        <w:rPr>
          <w:rFonts w:ascii="Abadi" w:hAnsi="Abadi"/>
          <w:b/>
          <w:bCs/>
          <w:sz w:val="20"/>
          <w:szCs w:val="20"/>
        </w:rPr>
        <w:t>CASO,</w:t>
      </w:r>
      <w:r w:rsidRPr="00531B12">
        <w:rPr>
          <w:rFonts w:ascii="Abadi" w:hAnsi="Abadi"/>
          <w:b/>
          <w:bCs/>
          <w:spacing w:val="11"/>
          <w:sz w:val="20"/>
          <w:szCs w:val="20"/>
        </w:rPr>
        <w:t xml:space="preserve"> </w:t>
      </w:r>
      <w:r w:rsidRPr="00531B12">
        <w:rPr>
          <w:rFonts w:ascii="Abadi" w:hAnsi="Abadi"/>
          <w:b/>
          <w:bCs/>
          <w:sz w:val="20"/>
          <w:szCs w:val="20"/>
        </w:rPr>
        <w:t>APROBACIÓN</w:t>
      </w:r>
      <w:r w:rsidRPr="00531B12">
        <w:rPr>
          <w:rFonts w:ascii="Abadi" w:hAnsi="Abadi"/>
          <w:b/>
          <w:bCs/>
          <w:spacing w:val="11"/>
          <w:sz w:val="20"/>
          <w:szCs w:val="20"/>
        </w:rPr>
        <w:t xml:space="preserve"> </w:t>
      </w:r>
      <w:r w:rsidRPr="00531B12">
        <w:rPr>
          <w:rFonts w:ascii="Abadi" w:hAnsi="Abadi"/>
          <w:b/>
          <w:bCs/>
          <w:sz w:val="20"/>
          <w:szCs w:val="20"/>
        </w:rPr>
        <w:t>DEL</w:t>
      </w:r>
      <w:r w:rsidRPr="00531B12">
        <w:rPr>
          <w:rFonts w:ascii="Abadi" w:hAnsi="Abadi"/>
          <w:b/>
          <w:bCs/>
          <w:spacing w:val="11"/>
          <w:sz w:val="20"/>
          <w:szCs w:val="20"/>
        </w:rPr>
        <w:t xml:space="preserve"> </w:t>
      </w:r>
      <w:r w:rsidRPr="00531B12">
        <w:rPr>
          <w:rFonts w:ascii="Abadi" w:hAnsi="Abadi"/>
          <w:b/>
          <w:bCs/>
          <w:sz w:val="20"/>
          <w:szCs w:val="20"/>
        </w:rPr>
        <w:t>DICTAMEN</w:t>
      </w:r>
      <w:r w:rsidRPr="00531B12">
        <w:rPr>
          <w:rFonts w:ascii="Abadi" w:hAnsi="Abadi"/>
          <w:b/>
          <w:bCs/>
          <w:spacing w:val="11"/>
          <w:sz w:val="20"/>
          <w:szCs w:val="20"/>
        </w:rPr>
        <w:t xml:space="preserve"> </w:t>
      </w:r>
      <w:r w:rsidRPr="00531B12">
        <w:rPr>
          <w:rFonts w:ascii="Abadi" w:hAnsi="Abadi"/>
          <w:b/>
          <w:bCs/>
          <w:sz w:val="20"/>
          <w:szCs w:val="20"/>
        </w:rPr>
        <w:t>SIGNADO</w:t>
      </w:r>
      <w:r w:rsidRPr="00531B12">
        <w:rPr>
          <w:rFonts w:ascii="Abadi" w:hAnsi="Abadi"/>
          <w:b/>
          <w:bCs/>
          <w:spacing w:val="11"/>
          <w:sz w:val="20"/>
          <w:szCs w:val="20"/>
        </w:rPr>
        <w:t xml:space="preserve"> </w:t>
      </w:r>
      <w:r w:rsidRPr="00531B12">
        <w:rPr>
          <w:rFonts w:ascii="Abadi" w:hAnsi="Abadi"/>
          <w:b/>
          <w:bCs/>
          <w:sz w:val="20"/>
          <w:szCs w:val="20"/>
        </w:rPr>
        <w:t>POR</w:t>
      </w:r>
      <w:r w:rsidRPr="00531B12">
        <w:rPr>
          <w:rFonts w:ascii="Abadi" w:hAnsi="Abadi"/>
          <w:b/>
          <w:bCs/>
          <w:spacing w:val="11"/>
          <w:sz w:val="20"/>
          <w:szCs w:val="20"/>
        </w:rPr>
        <w:t xml:space="preserve"> </w:t>
      </w:r>
      <w:r w:rsidRPr="00531B12">
        <w:rPr>
          <w:rFonts w:ascii="Abadi" w:hAnsi="Abadi"/>
          <w:b/>
          <w:bCs/>
          <w:sz w:val="20"/>
          <w:szCs w:val="20"/>
        </w:rPr>
        <w:t>LA</w:t>
      </w:r>
      <w:r w:rsidRPr="00531B12">
        <w:rPr>
          <w:rFonts w:ascii="Abadi" w:hAnsi="Abadi"/>
          <w:b/>
          <w:bCs/>
          <w:spacing w:val="11"/>
          <w:sz w:val="20"/>
          <w:szCs w:val="20"/>
        </w:rPr>
        <w:t xml:space="preserve"> </w:t>
      </w:r>
      <w:r w:rsidRPr="00531B12">
        <w:rPr>
          <w:rFonts w:ascii="Abadi" w:hAnsi="Abadi"/>
          <w:b/>
          <w:bCs/>
          <w:sz w:val="20"/>
          <w:szCs w:val="20"/>
        </w:rPr>
        <w:t>COMISIÓN DE</w:t>
      </w:r>
      <w:r w:rsidRPr="00531B12">
        <w:rPr>
          <w:rFonts w:ascii="Abadi" w:hAnsi="Abadi"/>
          <w:b/>
          <w:bCs/>
          <w:spacing w:val="10"/>
          <w:sz w:val="20"/>
          <w:szCs w:val="20"/>
        </w:rPr>
        <w:t xml:space="preserve"> </w:t>
      </w:r>
      <w:r w:rsidRPr="00531B12">
        <w:rPr>
          <w:rFonts w:ascii="Abadi" w:hAnsi="Abadi"/>
          <w:b/>
          <w:bCs/>
          <w:sz w:val="20"/>
          <w:szCs w:val="20"/>
        </w:rPr>
        <w:t>HACIENDA</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0"/>
          <w:sz w:val="20"/>
          <w:szCs w:val="20"/>
        </w:rPr>
        <w:t xml:space="preserve"> </w:t>
      </w:r>
      <w:r w:rsidRPr="00531B12">
        <w:rPr>
          <w:rFonts w:ascii="Abadi" w:hAnsi="Abadi"/>
          <w:b/>
          <w:bCs/>
          <w:sz w:val="20"/>
          <w:szCs w:val="20"/>
        </w:rPr>
        <w:t>FISCALIZACIÓN</w:t>
      </w:r>
      <w:r w:rsidRPr="00531B12">
        <w:rPr>
          <w:rFonts w:ascii="Abadi" w:hAnsi="Abadi"/>
          <w:b/>
          <w:bCs/>
          <w:spacing w:val="10"/>
          <w:sz w:val="20"/>
          <w:szCs w:val="20"/>
        </w:rPr>
        <w:t xml:space="preserve"> </w:t>
      </w:r>
      <w:r w:rsidRPr="00531B12">
        <w:rPr>
          <w:rFonts w:ascii="Abadi" w:hAnsi="Abadi"/>
          <w:b/>
          <w:bCs/>
          <w:sz w:val="20"/>
          <w:szCs w:val="20"/>
        </w:rPr>
        <w:t>RELATIVO</w:t>
      </w:r>
      <w:r w:rsidRPr="00531B12">
        <w:rPr>
          <w:rFonts w:ascii="Abadi" w:hAnsi="Abadi"/>
          <w:b/>
          <w:bCs/>
          <w:spacing w:val="10"/>
          <w:sz w:val="20"/>
          <w:szCs w:val="20"/>
        </w:rPr>
        <w:t xml:space="preserve"> </w:t>
      </w:r>
      <w:r w:rsidRPr="00531B12">
        <w:rPr>
          <w:rFonts w:ascii="Abadi" w:hAnsi="Abadi"/>
          <w:b/>
          <w:bCs/>
          <w:sz w:val="20"/>
          <w:szCs w:val="20"/>
        </w:rPr>
        <w:t>AL</w:t>
      </w:r>
      <w:r w:rsidRPr="00531B12">
        <w:rPr>
          <w:rFonts w:ascii="Abadi" w:hAnsi="Abadi"/>
          <w:b/>
          <w:bCs/>
          <w:spacing w:val="9"/>
          <w:sz w:val="20"/>
          <w:szCs w:val="20"/>
        </w:rPr>
        <w:t xml:space="preserve"> </w:t>
      </w:r>
      <w:r w:rsidRPr="00531B12">
        <w:rPr>
          <w:rFonts w:ascii="Abadi" w:hAnsi="Abadi"/>
          <w:b/>
          <w:bCs/>
          <w:sz w:val="20"/>
          <w:szCs w:val="20"/>
        </w:rPr>
        <w:t>INFORME</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RESULTADOS</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REVISIÓN PRACTICADA</w:t>
      </w:r>
      <w:r w:rsidRPr="00531B12">
        <w:rPr>
          <w:rFonts w:ascii="Abadi" w:hAnsi="Abadi"/>
          <w:b/>
          <w:bCs/>
          <w:spacing w:val="10"/>
          <w:sz w:val="20"/>
          <w:szCs w:val="20"/>
        </w:rPr>
        <w:t xml:space="preserve"> </w:t>
      </w:r>
      <w:r w:rsidRPr="00531B12">
        <w:rPr>
          <w:rFonts w:ascii="Abadi" w:hAnsi="Abadi"/>
          <w:b/>
          <w:bCs/>
          <w:sz w:val="20"/>
          <w:szCs w:val="20"/>
        </w:rPr>
        <w:t>POR</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AUDITORÍA</w:t>
      </w:r>
      <w:r w:rsidRPr="00531B12">
        <w:rPr>
          <w:rFonts w:ascii="Abadi" w:hAnsi="Abadi"/>
          <w:b/>
          <w:bCs/>
          <w:spacing w:val="10"/>
          <w:sz w:val="20"/>
          <w:szCs w:val="20"/>
        </w:rPr>
        <w:t xml:space="preserve"> </w:t>
      </w:r>
      <w:r w:rsidRPr="00531B12">
        <w:rPr>
          <w:rFonts w:ascii="Abadi" w:hAnsi="Abadi"/>
          <w:b/>
          <w:bCs/>
          <w:sz w:val="20"/>
          <w:szCs w:val="20"/>
        </w:rPr>
        <w:t>SUPERIOR</w:t>
      </w:r>
      <w:r w:rsidRPr="00531B12">
        <w:rPr>
          <w:rFonts w:ascii="Abadi" w:hAnsi="Abadi"/>
          <w:b/>
          <w:bCs/>
          <w:spacing w:val="9"/>
          <w:sz w:val="20"/>
          <w:szCs w:val="20"/>
        </w:rPr>
        <w:t xml:space="preserve"> </w:t>
      </w:r>
      <w:r w:rsidRPr="00531B12">
        <w:rPr>
          <w:rFonts w:ascii="Abadi" w:hAnsi="Abadi"/>
          <w:b/>
          <w:bCs/>
          <w:sz w:val="20"/>
          <w:szCs w:val="20"/>
        </w:rPr>
        <w:t>DEL</w:t>
      </w:r>
      <w:r w:rsidRPr="00531B12">
        <w:rPr>
          <w:rFonts w:ascii="Abadi" w:hAnsi="Abadi"/>
          <w:b/>
          <w:bCs/>
          <w:spacing w:val="9"/>
          <w:sz w:val="20"/>
          <w:szCs w:val="20"/>
        </w:rPr>
        <w:t xml:space="preserve"> </w:t>
      </w:r>
      <w:r w:rsidRPr="00531B12">
        <w:rPr>
          <w:rFonts w:ascii="Abadi" w:hAnsi="Abadi"/>
          <w:b/>
          <w:bCs/>
          <w:sz w:val="20"/>
          <w:szCs w:val="20"/>
        </w:rPr>
        <w:t>ESTADO</w:t>
      </w:r>
      <w:r w:rsidRPr="00531B12">
        <w:rPr>
          <w:rFonts w:ascii="Abadi" w:hAnsi="Abadi"/>
          <w:b/>
          <w:bCs/>
          <w:spacing w:val="9"/>
          <w:sz w:val="20"/>
          <w:szCs w:val="20"/>
        </w:rPr>
        <w:t xml:space="preserve"> </w:t>
      </w:r>
      <w:r w:rsidRPr="00531B12">
        <w:rPr>
          <w:rFonts w:ascii="Abadi" w:hAnsi="Abadi"/>
          <w:b/>
          <w:bCs/>
          <w:sz w:val="20"/>
          <w:szCs w:val="20"/>
        </w:rPr>
        <w:t>DE</w:t>
      </w:r>
      <w:r w:rsidRPr="00531B12">
        <w:rPr>
          <w:rFonts w:ascii="Abadi" w:hAnsi="Abadi"/>
          <w:b/>
          <w:bCs/>
          <w:spacing w:val="9"/>
          <w:sz w:val="20"/>
          <w:szCs w:val="20"/>
        </w:rPr>
        <w:t xml:space="preserve"> </w:t>
      </w:r>
      <w:r w:rsidRPr="00531B12">
        <w:rPr>
          <w:rFonts w:ascii="Abadi" w:hAnsi="Abadi"/>
          <w:b/>
          <w:bCs/>
          <w:sz w:val="20"/>
          <w:szCs w:val="20"/>
        </w:rPr>
        <w:t>GUANAJUATO,</w:t>
      </w:r>
      <w:r w:rsidRPr="00531B12">
        <w:rPr>
          <w:rFonts w:ascii="Abadi" w:hAnsi="Abadi"/>
          <w:b/>
          <w:bCs/>
          <w:spacing w:val="9"/>
          <w:sz w:val="20"/>
          <w:szCs w:val="20"/>
        </w:rPr>
        <w:t xml:space="preserve"> </w:t>
      </w:r>
      <w:r w:rsidRPr="00531B12">
        <w:rPr>
          <w:rFonts w:ascii="Abadi" w:hAnsi="Abadi"/>
          <w:b/>
          <w:bCs/>
          <w:sz w:val="20"/>
          <w:szCs w:val="20"/>
        </w:rPr>
        <w:t>A</w:t>
      </w:r>
      <w:r w:rsidRPr="00531B12">
        <w:rPr>
          <w:rFonts w:ascii="Abadi" w:hAnsi="Abadi"/>
          <w:b/>
          <w:bCs/>
          <w:spacing w:val="11"/>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CUENTA PÚBLICA</w:t>
      </w:r>
      <w:r w:rsidRPr="00531B12">
        <w:rPr>
          <w:rFonts w:ascii="Abadi" w:hAnsi="Abadi"/>
          <w:b/>
          <w:bCs/>
          <w:spacing w:val="24"/>
          <w:sz w:val="20"/>
          <w:szCs w:val="20"/>
        </w:rPr>
        <w:t xml:space="preserve"> </w:t>
      </w:r>
      <w:r w:rsidRPr="00531B12">
        <w:rPr>
          <w:rFonts w:ascii="Abadi" w:hAnsi="Abadi"/>
          <w:b/>
          <w:bCs/>
          <w:sz w:val="20"/>
          <w:szCs w:val="20"/>
        </w:rPr>
        <w:t>MUNICIPAL</w:t>
      </w:r>
      <w:r w:rsidRPr="00531B12">
        <w:rPr>
          <w:rFonts w:ascii="Abadi" w:hAnsi="Abadi"/>
          <w:b/>
          <w:bCs/>
          <w:spacing w:val="24"/>
          <w:sz w:val="20"/>
          <w:szCs w:val="20"/>
        </w:rPr>
        <w:t xml:space="preserve"> </w:t>
      </w:r>
      <w:r w:rsidRPr="00531B12">
        <w:rPr>
          <w:rFonts w:ascii="Abadi" w:hAnsi="Abadi"/>
          <w:b/>
          <w:bCs/>
          <w:sz w:val="20"/>
          <w:szCs w:val="20"/>
        </w:rPr>
        <w:t>DE</w:t>
      </w:r>
      <w:r w:rsidRPr="00531B12">
        <w:rPr>
          <w:rFonts w:ascii="Abadi" w:hAnsi="Abadi"/>
          <w:b/>
          <w:bCs/>
          <w:spacing w:val="24"/>
          <w:sz w:val="20"/>
          <w:szCs w:val="20"/>
        </w:rPr>
        <w:t xml:space="preserve"> </w:t>
      </w:r>
      <w:r w:rsidRPr="00531B12">
        <w:rPr>
          <w:rFonts w:ascii="Abadi" w:hAnsi="Abadi"/>
          <w:b/>
          <w:bCs/>
          <w:sz w:val="20"/>
          <w:szCs w:val="20"/>
        </w:rPr>
        <w:t>APASEO</w:t>
      </w:r>
      <w:r w:rsidRPr="00531B12">
        <w:rPr>
          <w:rFonts w:ascii="Abadi" w:hAnsi="Abadi"/>
          <w:b/>
          <w:bCs/>
          <w:spacing w:val="24"/>
          <w:sz w:val="20"/>
          <w:szCs w:val="20"/>
        </w:rPr>
        <w:t xml:space="preserve"> </w:t>
      </w:r>
      <w:r w:rsidRPr="00531B12">
        <w:rPr>
          <w:rFonts w:ascii="Abadi" w:hAnsi="Abadi"/>
          <w:b/>
          <w:bCs/>
          <w:sz w:val="20"/>
          <w:szCs w:val="20"/>
        </w:rPr>
        <w:t>EL</w:t>
      </w:r>
      <w:r w:rsidRPr="00531B12">
        <w:rPr>
          <w:rFonts w:ascii="Abadi" w:hAnsi="Abadi"/>
          <w:b/>
          <w:bCs/>
          <w:spacing w:val="24"/>
          <w:sz w:val="20"/>
          <w:szCs w:val="20"/>
        </w:rPr>
        <w:t xml:space="preserve"> </w:t>
      </w:r>
      <w:r w:rsidRPr="00531B12">
        <w:rPr>
          <w:rFonts w:ascii="Abadi" w:hAnsi="Abadi"/>
          <w:b/>
          <w:bCs/>
          <w:sz w:val="20"/>
          <w:szCs w:val="20"/>
        </w:rPr>
        <w:t>GRANDE,</w:t>
      </w:r>
      <w:r w:rsidRPr="00531B12">
        <w:rPr>
          <w:rFonts w:ascii="Abadi" w:hAnsi="Abadi"/>
          <w:b/>
          <w:bCs/>
          <w:spacing w:val="24"/>
          <w:sz w:val="20"/>
          <w:szCs w:val="20"/>
        </w:rPr>
        <w:t xml:space="preserve"> </w:t>
      </w:r>
      <w:r w:rsidRPr="00531B12">
        <w:rPr>
          <w:rFonts w:ascii="Abadi" w:hAnsi="Abadi"/>
          <w:b/>
          <w:bCs/>
          <w:sz w:val="20"/>
          <w:szCs w:val="20"/>
        </w:rPr>
        <w:t>GTO.,</w:t>
      </w:r>
      <w:r w:rsidRPr="00531B12">
        <w:rPr>
          <w:rFonts w:ascii="Abadi" w:hAnsi="Abadi"/>
          <w:b/>
          <w:bCs/>
          <w:spacing w:val="24"/>
          <w:sz w:val="20"/>
          <w:szCs w:val="20"/>
        </w:rPr>
        <w:t xml:space="preserve"> </w:t>
      </w:r>
      <w:r w:rsidRPr="00531B12">
        <w:rPr>
          <w:rFonts w:ascii="Abadi" w:hAnsi="Abadi"/>
          <w:b/>
          <w:bCs/>
          <w:sz w:val="20"/>
          <w:szCs w:val="20"/>
        </w:rPr>
        <w:t>CORRESPONDIENTE</w:t>
      </w:r>
      <w:r w:rsidRPr="00531B12">
        <w:rPr>
          <w:rFonts w:ascii="Abadi" w:hAnsi="Abadi"/>
          <w:b/>
          <w:bCs/>
          <w:spacing w:val="24"/>
          <w:sz w:val="20"/>
          <w:szCs w:val="20"/>
        </w:rPr>
        <w:t xml:space="preserve"> </w:t>
      </w:r>
      <w:r w:rsidRPr="00531B12">
        <w:rPr>
          <w:rFonts w:ascii="Abadi" w:hAnsi="Abadi"/>
          <w:b/>
          <w:bCs/>
          <w:sz w:val="20"/>
          <w:szCs w:val="20"/>
        </w:rPr>
        <w:t>AL</w:t>
      </w:r>
      <w:r w:rsidRPr="00531B12">
        <w:rPr>
          <w:rFonts w:ascii="Abadi" w:hAnsi="Abadi"/>
          <w:b/>
          <w:bCs/>
          <w:spacing w:val="24"/>
          <w:sz w:val="20"/>
          <w:szCs w:val="20"/>
        </w:rPr>
        <w:t xml:space="preserve"> </w:t>
      </w:r>
      <w:r w:rsidRPr="00531B12">
        <w:rPr>
          <w:rFonts w:ascii="Abadi" w:hAnsi="Abadi"/>
          <w:b/>
          <w:bCs/>
          <w:sz w:val="20"/>
          <w:szCs w:val="20"/>
        </w:rPr>
        <w:t>EJERCICIO FISCAL DEL AÑO 2020.</w:t>
      </w:r>
    </w:p>
    <w:p w14:paraId="1A6065B7" w14:textId="76237602" w:rsidR="0080731C" w:rsidRDefault="0080731C" w:rsidP="009D10FC">
      <w:pPr>
        <w:rPr>
          <w:rFonts w:ascii="Abadi" w:hAnsi="Abadi"/>
          <w:sz w:val="20"/>
          <w:szCs w:val="20"/>
        </w:rPr>
      </w:pPr>
    </w:p>
    <w:p w14:paraId="03EE6650" w14:textId="77777777" w:rsidR="00EE1C15" w:rsidRPr="00EE1C15" w:rsidRDefault="00EE1C15" w:rsidP="00EE1C15">
      <w:pPr>
        <w:jc w:val="both"/>
        <w:rPr>
          <w:rFonts w:ascii="Abadi" w:hAnsi="Abadi" w:cs="Arial"/>
          <w:b/>
          <w:bCs/>
          <w:smallCaps/>
          <w:sz w:val="21"/>
          <w:szCs w:val="21"/>
          <w:lang w:val="es-MX"/>
        </w:rPr>
      </w:pPr>
      <w:r w:rsidRPr="00EE1C15">
        <w:rPr>
          <w:rFonts w:ascii="Abadi" w:hAnsi="Abadi" w:cs="Arial"/>
          <w:b/>
          <w:bCs/>
          <w:smallCaps/>
          <w:sz w:val="21"/>
          <w:szCs w:val="21"/>
          <w:lang w:val="es-MX"/>
        </w:rPr>
        <w:t>C. Presidenta del Congreso del Estado</w:t>
      </w:r>
    </w:p>
    <w:p w14:paraId="6BD7CC8C" w14:textId="77777777" w:rsidR="00EE1C15" w:rsidRPr="00EE1C15" w:rsidRDefault="00EE1C15" w:rsidP="00EE1C15">
      <w:pPr>
        <w:jc w:val="both"/>
        <w:rPr>
          <w:rFonts w:ascii="Abadi" w:hAnsi="Abadi" w:cs="Arial"/>
          <w:b/>
          <w:bCs/>
          <w:smallCaps/>
          <w:sz w:val="21"/>
          <w:szCs w:val="21"/>
        </w:rPr>
      </w:pPr>
      <w:r w:rsidRPr="00EE1C15">
        <w:rPr>
          <w:rFonts w:ascii="Abadi" w:hAnsi="Abadi" w:cs="Arial"/>
          <w:b/>
          <w:bCs/>
          <w:smallCaps/>
          <w:sz w:val="21"/>
          <w:szCs w:val="21"/>
        </w:rPr>
        <w:t>P r e s e n t e.</w:t>
      </w:r>
    </w:p>
    <w:p w14:paraId="50CF0D9F" w14:textId="77777777" w:rsidR="00EE1C15" w:rsidRPr="00EE1C15" w:rsidRDefault="00EE1C15" w:rsidP="00EE1C15">
      <w:pPr>
        <w:jc w:val="both"/>
        <w:rPr>
          <w:rFonts w:ascii="Abadi" w:hAnsi="Abadi" w:cs="Arial"/>
          <w:sz w:val="21"/>
          <w:szCs w:val="21"/>
          <w:lang w:val="es-MX" w:eastAsia="x-none"/>
        </w:rPr>
      </w:pPr>
    </w:p>
    <w:p w14:paraId="324A62DB" w14:textId="77777777" w:rsidR="00EE1C15" w:rsidRPr="00EE1C15" w:rsidRDefault="00EE1C15" w:rsidP="00EE1C15">
      <w:pPr>
        <w:ind w:firstLine="708"/>
        <w:jc w:val="both"/>
        <w:rPr>
          <w:rFonts w:ascii="Abadi" w:hAnsi="Abadi" w:cs="Arial"/>
          <w:sz w:val="21"/>
          <w:szCs w:val="21"/>
          <w:lang w:val="x-none" w:eastAsia="x-none"/>
        </w:rPr>
      </w:pPr>
      <w:r w:rsidRPr="00EE1C15">
        <w:rPr>
          <w:rFonts w:ascii="Abadi" w:hAnsi="Abadi" w:cs="Arial"/>
          <w:sz w:val="21"/>
          <w:szCs w:val="21"/>
          <w:lang w:val="x-none" w:eastAsia="x-none"/>
        </w:rPr>
        <w:t xml:space="preserve">A </w:t>
      </w:r>
      <w:r w:rsidRPr="00EE1C15">
        <w:rPr>
          <w:rFonts w:ascii="Abadi" w:hAnsi="Abadi" w:cs="Arial"/>
          <w:sz w:val="21"/>
          <w:szCs w:val="21"/>
          <w:lang w:val="es-MX" w:eastAsia="x-none"/>
        </w:rPr>
        <w:t>esta</w:t>
      </w:r>
      <w:r w:rsidRPr="00EE1C15">
        <w:rPr>
          <w:rFonts w:ascii="Abadi" w:hAnsi="Abadi" w:cs="Arial"/>
          <w:sz w:val="21"/>
          <w:szCs w:val="21"/>
          <w:lang w:val="x-none" w:eastAsia="x-none"/>
        </w:rPr>
        <w:t xml:space="preserve"> Comisión de Hacienda y Fiscalización</w:t>
      </w:r>
      <w:r w:rsidRPr="00EE1C15">
        <w:rPr>
          <w:rFonts w:ascii="Abadi" w:hAnsi="Abadi" w:cs="Arial"/>
          <w:sz w:val="21"/>
          <w:szCs w:val="21"/>
          <w:lang w:val="es-MX" w:eastAsia="x-none"/>
        </w:rPr>
        <w:t xml:space="preserve">, </w:t>
      </w:r>
      <w:r w:rsidRPr="00EE1C15">
        <w:rPr>
          <w:rFonts w:ascii="Abadi" w:hAnsi="Abadi" w:cs="Arial"/>
          <w:sz w:val="21"/>
          <w:szCs w:val="21"/>
          <w:lang w:val="x-none" w:eastAsia="x-none"/>
        </w:rPr>
        <w:t xml:space="preserve">le fue turnado para su estudio y dictamen, el informe de resultados de la revisión practicada por </w:t>
      </w:r>
      <w:r w:rsidRPr="00EE1C15">
        <w:rPr>
          <w:rFonts w:ascii="Abadi" w:hAnsi="Abadi" w:cs="Arial"/>
          <w:sz w:val="21"/>
          <w:szCs w:val="21"/>
          <w:lang w:val="es-MX" w:eastAsia="x-none"/>
        </w:rPr>
        <w:t xml:space="preserve">la </w:t>
      </w:r>
      <w:r w:rsidRPr="00EE1C15">
        <w:rPr>
          <w:rFonts w:ascii="Abadi" w:hAnsi="Abadi" w:cs="Arial"/>
          <w:sz w:val="21"/>
          <w:szCs w:val="21"/>
          <w:lang w:val="x-none" w:eastAsia="x-none"/>
        </w:rPr>
        <w:t xml:space="preserve">Auditoría Superior del Estado de Guanajuato, a la cuenta pública municipal de </w:t>
      </w:r>
      <w:r w:rsidRPr="00EE1C15">
        <w:rPr>
          <w:rFonts w:ascii="Abadi" w:hAnsi="Abadi" w:cs="Arial"/>
          <w:sz w:val="21"/>
          <w:szCs w:val="21"/>
          <w:lang w:val="es-MX" w:eastAsia="x-none"/>
        </w:rPr>
        <w:t>Apaseo el Grande</w:t>
      </w:r>
      <w:r w:rsidRPr="00EE1C15">
        <w:rPr>
          <w:rFonts w:ascii="Abadi" w:hAnsi="Abadi" w:cs="Arial"/>
          <w:sz w:val="21"/>
          <w:szCs w:val="21"/>
          <w:lang w:val="x-none" w:eastAsia="x-none"/>
        </w:rPr>
        <w:t xml:space="preserve">, Gto., correspondiente al ejercicio fiscal del año </w:t>
      </w:r>
      <w:r w:rsidRPr="00EE1C15">
        <w:rPr>
          <w:rFonts w:ascii="Abadi" w:hAnsi="Abadi" w:cs="Arial"/>
          <w:sz w:val="21"/>
          <w:szCs w:val="21"/>
          <w:lang w:val="es-MX" w:eastAsia="x-none"/>
        </w:rPr>
        <w:t>2020</w:t>
      </w:r>
      <w:r w:rsidRPr="00EE1C15">
        <w:rPr>
          <w:rFonts w:ascii="Abadi" w:hAnsi="Abadi" w:cs="Arial"/>
          <w:sz w:val="21"/>
          <w:szCs w:val="21"/>
          <w:lang w:val="x-none" w:eastAsia="x-none"/>
        </w:rPr>
        <w:t>.</w:t>
      </w:r>
    </w:p>
    <w:p w14:paraId="6ABF3A15" w14:textId="77777777" w:rsidR="00EE1C15" w:rsidRPr="00EE1C15" w:rsidRDefault="00EE1C15" w:rsidP="00EE1C15">
      <w:pPr>
        <w:ind w:firstLine="708"/>
        <w:jc w:val="both"/>
        <w:rPr>
          <w:rFonts w:ascii="Abadi" w:hAnsi="Abadi" w:cs="Arial"/>
          <w:sz w:val="21"/>
          <w:szCs w:val="21"/>
          <w:lang w:val="x-none" w:eastAsia="x-none"/>
        </w:rPr>
      </w:pPr>
    </w:p>
    <w:p w14:paraId="45241F41" w14:textId="77777777" w:rsidR="00EE1C15" w:rsidRPr="00EE1C15" w:rsidRDefault="00EE1C15" w:rsidP="00EE1C15">
      <w:pPr>
        <w:ind w:firstLine="708"/>
        <w:jc w:val="both"/>
        <w:rPr>
          <w:rFonts w:ascii="Abadi" w:hAnsi="Abadi" w:cs="Arial"/>
          <w:sz w:val="21"/>
          <w:szCs w:val="21"/>
          <w:lang w:val="x-none" w:eastAsia="x-none"/>
        </w:rPr>
      </w:pPr>
      <w:r w:rsidRPr="00EE1C15">
        <w:rPr>
          <w:rFonts w:ascii="Abadi" w:hAnsi="Abadi" w:cs="Arial"/>
          <w:sz w:val="21"/>
          <w:szCs w:val="21"/>
          <w:lang w:val="x-none" w:eastAsia="x-none"/>
        </w:rPr>
        <w:t>Una vez analizado el referido informe de resultados, con fundamento en lo dispuesto por los artículos 112, fracción XII</w:t>
      </w:r>
      <w:r w:rsidRPr="00EE1C15">
        <w:rPr>
          <w:rFonts w:ascii="Abadi" w:hAnsi="Abadi" w:cs="Arial"/>
          <w:sz w:val="21"/>
          <w:szCs w:val="21"/>
          <w:lang w:val="es-MX" w:eastAsia="x-none"/>
        </w:rPr>
        <w:t>, primer párrafo</w:t>
      </w:r>
      <w:r w:rsidRPr="00EE1C15">
        <w:rPr>
          <w:rFonts w:ascii="Abadi" w:hAnsi="Abadi" w:cs="Arial"/>
          <w:sz w:val="21"/>
          <w:szCs w:val="21"/>
          <w:lang w:val="x-none" w:eastAsia="x-none"/>
        </w:rPr>
        <w:t xml:space="preserve"> y 171 de </w:t>
      </w:r>
      <w:smartTag w:uri="urn:schemas-microsoft-com:office:smarttags" w:element="PersonName">
        <w:smartTagPr>
          <w:attr w:name="ProductID" w:val="la Ley Org￡nica"/>
        </w:smartTagPr>
        <w:r w:rsidRPr="00EE1C15">
          <w:rPr>
            <w:rFonts w:ascii="Abadi" w:hAnsi="Abadi" w:cs="Arial"/>
            <w:sz w:val="21"/>
            <w:szCs w:val="21"/>
            <w:lang w:val="x-none" w:eastAsia="x-none"/>
          </w:rPr>
          <w:t>la Ley Orgánica</w:t>
        </w:r>
      </w:smartTag>
      <w:r w:rsidRPr="00EE1C15">
        <w:rPr>
          <w:rFonts w:ascii="Abadi" w:hAnsi="Abadi" w:cs="Arial"/>
          <w:sz w:val="21"/>
          <w:szCs w:val="21"/>
          <w:lang w:val="x-none" w:eastAsia="x-none"/>
        </w:rPr>
        <w:t xml:space="preserve"> del Poder Legislativo, nos permitimos rendir el siguiente:</w:t>
      </w:r>
    </w:p>
    <w:p w14:paraId="15CFE279" w14:textId="77777777" w:rsidR="00EE1C15" w:rsidRPr="00EE1C15" w:rsidRDefault="00EE1C15" w:rsidP="00EE1C15">
      <w:pPr>
        <w:ind w:firstLine="708"/>
        <w:jc w:val="both"/>
        <w:rPr>
          <w:rFonts w:ascii="Abadi" w:hAnsi="Abadi" w:cs="Arial"/>
          <w:sz w:val="21"/>
          <w:szCs w:val="21"/>
          <w:lang w:val="x-none" w:eastAsia="x-none"/>
        </w:rPr>
      </w:pPr>
    </w:p>
    <w:p w14:paraId="632FF7F9" w14:textId="77777777" w:rsidR="00EE1C15" w:rsidRPr="00EE1C15" w:rsidRDefault="00EE1C15" w:rsidP="00EE1C15">
      <w:pPr>
        <w:keepNext/>
        <w:jc w:val="center"/>
        <w:outlineLvl w:val="0"/>
        <w:rPr>
          <w:rFonts w:ascii="Abadi" w:eastAsia="Arial Unicode MS" w:hAnsi="Abadi" w:cs="Arial"/>
          <w:b/>
          <w:bCs/>
          <w:sz w:val="21"/>
          <w:szCs w:val="21"/>
        </w:rPr>
      </w:pPr>
      <w:r w:rsidRPr="00EE1C15">
        <w:rPr>
          <w:rFonts w:ascii="Abadi" w:eastAsia="Arial Unicode MS" w:hAnsi="Abadi" w:cs="Arial"/>
          <w:b/>
          <w:bCs/>
          <w:sz w:val="21"/>
          <w:szCs w:val="21"/>
        </w:rPr>
        <w:t>D i c t a m e n</w:t>
      </w:r>
    </w:p>
    <w:p w14:paraId="65D71F29" w14:textId="77777777" w:rsidR="00EE1C15" w:rsidRDefault="00EE1C15" w:rsidP="00EE1C15">
      <w:pPr>
        <w:ind w:firstLine="708"/>
        <w:jc w:val="both"/>
        <w:rPr>
          <w:rFonts w:ascii="Abadi" w:hAnsi="Abadi" w:cs="Arial"/>
          <w:b/>
          <w:bCs/>
          <w:sz w:val="21"/>
          <w:szCs w:val="21"/>
          <w:lang w:val="es-MX" w:eastAsia="x-none"/>
        </w:rPr>
      </w:pPr>
    </w:p>
    <w:p w14:paraId="4248F841" w14:textId="4C43F33C" w:rsidR="00EE1C15" w:rsidRPr="00EE1C15" w:rsidRDefault="00EE1C15" w:rsidP="00EE1C15">
      <w:pPr>
        <w:ind w:firstLine="708"/>
        <w:jc w:val="both"/>
        <w:rPr>
          <w:rFonts w:ascii="Abadi" w:hAnsi="Abadi" w:cs="Arial"/>
          <w:b/>
          <w:bCs/>
          <w:sz w:val="21"/>
          <w:szCs w:val="21"/>
          <w:lang w:val="es-MX" w:eastAsia="x-none"/>
        </w:rPr>
      </w:pPr>
      <w:r w:rsidRPr="00EE1C15">
        <w:rPr>
          <w:rFonts w:ascii="Abadi" w:hAnsi="Abadi" w:cs="Arial"/>
          <w:b/>
          <w:bCs/>
          <w:sz w:val="21"/>
          <w:szCs w:val="21"/>
          <w:lang w:val="es-MX" w:eastAsia="x-none"/>
        </w:rPr>
        <w:t>I. Competencia:</w:t>
      </w:r>
    </w:p>
    <w:p w14:paraId="0468A591" w14:textId="77777777" w:rsidR="00EE1C15" w:rsidRPr="00EE1C15" w:rsidRDefault="00EE1C15" w:rsidP="00EE1C15">
      <w:pPr>
        <w:ind w:firstLine="708"/>
        <w:jc w:val="both"/>
        <w:rPr>
          <w:rFonts w:ascii="Abadi" w:hAnsi="Abadi" w:cs="Arial"/>
          <w:b/>
          <w:bCs/>
          <w:sz w:val="21"/>
          <w:szCs w:val="21"/>
          <w:lang w:val="es-MX" w:eastAsia="x-none"/>
        </w:rPr>
      </w:pPr>
    </w:p>
    <w:p w14:paraId="3DA457E2"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EE1C15">
          <w:rPr>
            <w:rFonts w:ascii="Abadi" w:hAnsi="Abadi" w:cs="Arial"/>
            <w:sz w:val="21"/>
            <w:szCs w:val="21"/>
            <w:lang w:val="es-MX" w:eastAsia="x-none"/>
          </w:rPr>
          <w:t>la Constitución Política</w:t>
        </w:r>
      </w:smartTag>
      <w:r w:rsidRPr="00EE1C15">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64CC5962" w14:textId="77777777" w:rsidR="00EE1C15" w:rsidRPr="00EE1C15" w:rsidRDefault="00EE1C15" w:rsidP="00EE1C15">
      <w:pPr>
        <w:ind w:firstLine="708"/>
        <w:jc w:val="both"/>
        <w:rPr>
          <w:rFonts w:ascii="Abadi" w:hAnsi="Abadi" w:cs="Arial"/>
          <w:sz w:val="21"/>
          <w:szCs w:val="21"/>
          <w:lang w:val="es-MX" w:eastAsia="x-none"/>
        </w:rPr>
      </w:pPr>
    </w:p>
    <w:p w14:paraId="0E8DEE1B"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7BA811F7" w14:textId="77777777" w:rsidR="00EE1C15" w:rsidRPr="00EE1C15" w:rsidRDefault="00EE1C15" w:rsidP="00EE1C15">
      <w:pPr>
        <w:jc w:val="both"/>
        <w:rPr>
          <w:rFonts w:ascii="Abadi" w:hAnsi="Abadi" w:cs="Arial"/>
          <w:sz w:val="21"/>
          <w:szCs w:val="21"/>
          <w:lang w:val="es-MX" w:eastAsia="x-none"/>
        </w:rPr>
      </w:pPr>
    </w:p>
    <w:p w14:paraId="79C62757"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EE1C15">
          <w:rPr>
            <w:rFonts w:ascii="Abadi" w:hAnsi="Abadi" w:cs="Arial"/>
            <w:sz w:val="21"/>
            <w:szCs w:val="21"/>
            <w:lang w:val="es-MX" w:eastAsia="x-none"/>
          </w:rPr>
          <w:t>la Constitución Política</w:t>
        </w:r>
      </w:smartTag>
      <w:r w:rsidRPr="00EE1C15">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41E02320" w14:textId="77777777" w:rsidR="00EE1C15" w:rsidRPr="00EE1C15" w:rsidRDefault="00EE1C15" w:rsidP="00EE1C15">
      <w:pPr>
        <w:ind w:firstLine="708"/>
        <w:jc w:val="both"/>
        <w:rPr>
          <w:rFonts w:ascii="Abadi" w:hAnsi="Abadi" w:cs="Arial"/>
          <w:sz w:val="21"/>
          <w:szCs w:val="21"/>
          <w:lang w:val="es-MX" w:eastAsia="x-none"/>
        </w:rPr>
      </w:pPr>
    </w:p>
    <w:p w14:paraId="4EB05977"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5E651813" w14:textId="77777777" w:rsidR="00EE1C15" w:rsidRPr="00EE1C15" w:rsidRDefault="00EE1C15" w:rsidP="00EE1C15">
      <w:pPr>
        <w:ind w:firstLine="708"/>
        <w:jc w:val="both"/>
        <w:rPr>
          <w:rFonts w:ascii="Abadi" w:hAnsi="Abadi" w:cs="Arial"/>
          <w:sz w:val="21"/>
          <w:szCs w:val="21"/>
          <w:lang w:val="es-MX" w:eastAsia="x-none"/>
        </w:rPr>
      </w:pPr>
    </w:p>
    <w:p w14:paraId="675975AE"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 xml:space="preserve">De igual forma, el artículo 82, fracción XXIV de </w:t>
      </w:r>
      <w:smartTag w:uri="urn:schemas-microsoft-com:office:smarttags" w:element="PersonName">
        <w:smartTagPr>
          <w:attr w:name="ProductID" w:val="la Ley"/>
        </w:smartTagPr>
        <w:r w:rsidRPr="00EE1C15">
          <w:rPr>
            <w:rFonts w:ascii="Abadi" w:hAnsi="Abadi" w:cs="Arial"/>
            <w:sz w:val="21"/>
            <w:szCs w:val="21"/>
            <w:lang w:val="es-MX" w:eastAsia="x-none"/>
          </w:rPr>
          <w:t>la Ley</w:t>
        </w:r>
      </w:smartTag>
      <w:r w:rsidRPr="00EE1C15">
        <w:rPr>
          <w:rFonts w:ascii="Abadi" w:hAnsi="Abadi" w:cs="Arial"/>
          <w:sz w:val="21"/>
          <w:szCs w:val="21"/>
          <w:lang w:val="es-MX" w:eastAsia="x-none"/>
        </w:rPr>
        <w:t xml:space="preserve"> de Fiscalización Superior del Estado de Guanajuato consigna como atribución del Auditor Superior rendir al Congreso del Estado, los informes derivados del ejercicio de la función de fiscalización.</w:t>
      </w:r>
    </w:p>
    <w:p w14:paraId="6E0479D0" w14:textId="77777777" w:rsidR="00EE1C15" w:rsidRPr="00EE1C15" w:rsidRDefault="00EE1C15" w:rsidP="00EE1C15">
      <w:pPr>
        <w:ind w:firstLine="708"/>
        <w:jc w:val="both"/>
        <w:rPr>
          <w:rFonts w:ascii="Abadi" w:hAnsi="Abadi" w:cs="Arial"/>
          <w:sz w:val="21"/>
          <w:szCs w:val="21"/>
          <w:lang w:val="es-MX" w:eastAsia="x-none"/>
        </w:rPr>
      </w:pPr>
    </w:p>
    <w:p w14:paraId="3CC20617"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7A707EFD" w14:textId="77777777" w:rsidR="00EE1C15" w:rsidRPr="00EE1C15" w:rsidRDefault="00EE1C15" w:rsidP="00EE1C15">
      <w:pPr>
        <w:ind w:firstLine="708"/>
        <w:jc w:val="both"/>
        <w:rPr>
          <w:rFonts w:ascii="Abadi" w:hAnsi="Abadi" w:cs="Arial"/>
          <w:sz w:val="21"/>
          <w:szCs w:val="21"/>
          <w:lang w:val="es-MX" w:eastAsia="x-none"/>
        </w:rPr>
      </w:pPr>
    </w:p>
    <w:p w14:paraId="48C4998F"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 xml:space="preserve">Con la finalidad de que el Congreso dé cumplimiento a lo señalado en el párrafo anterior, </w:t>
      </w:r>
      <w:smartTag w:uri="urn:schemas-microsoft-com:office:smarttags" w:element="PersonName">
        <w:smartTagPr>
          <w:attr w:name="ProductID" w:val="la Ley Org￡nica"/>
        </w:smartTagPr>
        <w:r w:rsidRPr="00EE1C15">
          <w:rPr>
            <w:rFonts w:ascii="Abadi" w:hAnsi="Abadi" w:cs="Arial"/>
            <w:sz w:val="21"/>
            <w:szCs w:val="21"/>
            <w:lang w:val="es-MX" w:eastAsia="x-none"/>
          </w:rPr>
          <w:t>la Ley Orgánica</w:t>
        </w:r>
      </w:smartTag>
      <w:r w:rsidRPr="00EE1C15">
        <w:rPr>
          <w:rFonts w:ascii="Abadi" w:hAnsi="Abadi" w:cs="Arial"/>
          <w:sz w:val="21"/>
          <w:szCs w:val="21"/>
          <w:lang w:val="es-MX" w:eastAsia="x-none"/>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943E149" w14:textId="77777777" w:rsidR="00EE1C15" w:rsidRPr="00EE1C15" w:rsidRDefault="00EE1C15" w:rsidP="00EE1C15">
      <w:pPr>
        <w:ind w:firstLine="708"/>
        <w:jc w:val="both"/>
        <w:rPr>
          <w:rFonts w:ascii="Abadi" w:hAnsi="Abadi" w:cs="Arial"/>
          <w:sz w:val="21"/>
          <w:szCs w:val="21"/>
          <w:lang w:val="es-MX" w:eastAsia="x-none"/>
        </w:rPr>
      </w:pPr>
    </w:p>
    <w:p w14:paraId="7C267B4B"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2A6DAAF3" w14:textId="77777777" w:rsidR="00EE1C15" w:rsidRDefault="00EE1C15" w:rsidP="00EE1C15">
      <w:pPr>
        <w:ind w:firstLine="708"/>
        <w:jc w:val="both"/>
        <w:rPr>
          <w:rFonts w:ascii="Abadi" w:hAnsi="Abadi" w:cs="Arial"/>
          <w:b/>
          <w:bCs/>
          <w:sz w:val="21"/>
          <w:szCs w:val="21"/>
          <w:lang w:val="es-MX" w:eastAsia="x-none"/>
        </w:rPr>
      </w:pPr>
    </w:p>
    <w:p w14:paraId="6B54DAEA" w14:textId="055BB64F" w:rsidR="00EE1C15" w:rsidRPr="00EE1C15" w:rsidRDefault="00EE1C15" w:rsidP="00EE1C15">
      <w:pPr>
        <w:ind w:firstLine="708"/>
        <w:jc w:val="both"/>
        <w:rPr>
          <w:rFonts w:ascii="Abadi" w:hAnsi="Abadi" w:cs="Arial"/>
          <w:b/>
          <w:bCs/>
          <w:sz w:val="21"/>
          <w:szCs w:val="21"/>
          <w:lang w:val="es-MX" w:eastAsia="x-none"/>
        </w:rPr>
      </w:pPr>
      <w:r w:rsidRPr="00EE1C15">
        <w:rPr>
          <w:rFonts w:ascii="Abadi" w:hAnsi="Abadi" w:cs="Arial"/>
          <w:b/>
          <w:bCs/>
          <w:sz w:val="21"/>
          <w:szCs w:val="21"/>
          <w:lang w:val="es-MX" w:eastAsia="x-none"/>
        </w:rPr>
        <w:t>II. Antecedentes:</w:t>
      </w:r>
    </w:p>
    <w:p w14:paraId="315F27CA" w14:textId="77777777" w:rsidR="00EE1C15" w:rsidRPr="00EE1C15" w:rsidRDefault="00EE1C15" w:rsidP="00EE1C15">
      <w:pPr>
        <w:ind w:firstLine="708"/>
        <w:jc w:val="both"/>
        <w:rPr>
          <w:rFonts w:ascii="Abadi" w:hAnsi="Abadi" w:cs="Arial"/>
          <w:sz w:val="21"/>
          <w:szCs w:val="21"/>
          <w:lang w:val="es-MX" w:eastAsia="x-none"/>
        </w:rPr>
      </w:pPr>
    </w:p>
    <w:p w14:paraId="2A862FB3"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EE1C15">
          <w:rPr>
            <w:rFonts w:ascii="Abadi" w:hAnsi="Abadi" w:cs="Arial"/>
            <w:sz w:val="21"/>
            <w:szCs w:val="21"/>
            <w:lang w:val="es-MX" w:eastAsia="x-none"/>
          </w:rPr>
          <w:t>la Constitución Política</w:t>
        </w:r>
      </w:smartTag>
      <w:r w:rsidRPr="00EE1C15">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78E0AC28" w14:textId="77777777" w:rsidR="00EE1C15" w:rsidRPr="00EE1C15" w:rsidRDefault="00EE1C15" w:rsidP="00EE1C15">
      <w:pPr>
        <w:ind w:firstLine="708"/>
        <w:jc w:val="both"/>
        <w:rPr>
          <w:rFonts w:ascii="Abadi" w:hAnsi="Abadi" w:cs="Arial"/>
          <w:sz w:val="21"/>
          <w:szCs w:val="21"/>
          <w:lang w:val="es-MX" w:eastAsia="x-none"/>
        </w:rPr>
      </w:pPr>
    </w:p>
    <w:p w14:paraId="5E397B55"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Por su parte, el artículo 66 de la Constitución Política Local, establece que los sujetos de fiscalización presentarán al Congreso del Estado los informes financieros y su cuenta pública con la periodicidad, forma y términos que establezca la Ley.</w:t>
      </w:r>
    </w:p>
    <w:p w14:paraId="5E3D4F02" w14:textId="77777777" w:rsidR="00EE1C15" w:rsidRPr="00EE1C15" w:rsidRDefault="00EE1C15" w:rsidP="00EE1C15">
      <w:pPr>
        <w:ind w:firstLine="708"/>
        <w:jc w:val="both"/>
        <w:rPr>
          <w:rFonts w:ascii="Abadi" w:hAnsi="Abadi" w:cs="Arial"/>
          <w:sz w:val="21"/>
          <w:szCs w:val="21"/>
          <w:lang w:val="es-MX" w:eastAsia="x-none"/>
        </w:rPr>
      </w:pPr>
    </w:p>
    <w:p w14:paraId="710CE57A"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 xml:space="preserve">La fracción III del artículo 3 de </w:t>
      </w:r>
      <w:smartTag w:uri="urn:schemas-microsoft-com:office:smarttags" w:element="PersonName">
        <w:smartTagPr>
          <w:attr w:name="ProductID" w:val="la Ley"/>
        </w:smartTagPr>
        <w:r w:rsidRPr="00EE1C15">
          <w:rPr>
            <w:rFonts w:ascii="Abadi" w:hAnsi="Abadi" w:cs="Arial"/>
            <w:sz w:val="21"/>
            <w:szCs w:val="21"/>
            <w:lang w:val="es-MX" w:eastAsia="x-none"/>
          </w:rPr>
          <w:t>la Ley</w:t>
        </w:r>
      </w:smartTag>
      <w:r w:rsidRPr="00EE1C15">
        <w:rPr>
          <w:rFonts w:ascii="Abadi" w:hAnsi="Abadi" w:cs="Arial"/>
          <w:sz w:val="21"/>
          <w:szCs w:val="21"/>
          <w:lang w:val="es-MX" w:eastAsia="x-none"/>
        </w:rPr>
        <w:t xml:space="preserve"> de Fiscalización Superior del Estado de Guanajuato señala que la Auditoría Superior del Estado será competente para fiscalizar la gestión financiera de los sujetos de fiscalización, a través de sus cuentas públicas.</w:t>
      </w:r>
    </w:p>
    <w:p w14:paraId="16CC6CCA" w14:textId="77777777" w:rsidR="00EE1C15" w:rsidRPr="00EE1C15" w:rsidRDefault="00EE1C15" w:rsidP="00EE1C15">
      <w:pPr>
        <w:ind w:firstLine="708"/>
        <w:jc w:val="both"/>
        <w:rPr>
          <w:rFonts w:ascii="Abadi" w:hAnsi="Abadi" w:cs="Arial"/>
          <w:sz w:val="21"/>
          <w:szCs w:val="21"/>
          <w:lang w:val="es-MX" w:eastAsia="x-none"/>
        </w:rPr>
      </w:pPr>
    </w:p>
    <w:p w14:paraId="3B76316A"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4052738B" w14:textId="77777777" w:rsidR="00EE1C15" w:rsidRPr="00EE1C15" w:rsidRDefault="00EE1C15" w:rsidP="00EE1C15">
      <w:pPr>
        <w:ind w:firstLine="708"/>
        <w:jc w:val="both"/>
        <w:rPr>
          <w:rFonts w:ascii="Abadi" w:hAnsi="Abadi" w:cs="Arial"/>
          <w:sz w:val="21"/>
          <w:szCs w:val="21"/>
          <w:lang w:val="es-MX" w:eastAsia="x-none"/>
        </w:rPr>
      </w:pPr>
    </w:p>
    <w:p w14:paraId="362772A3"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No será impedimento para que la Auditoría Superior del Estado realice la función de fiscalización, si la cuenta pública no está presentada y disponible en los plazos y requisitos señalados en la ley.</w:t>
      </w:r>
    </w:p>
    <w:p w14:paraId="2265BA92" w14:textId="77777777" w:rsidR="00EE1C15" w:rsidRPr="00EE1C15" w:rsidRDefault="00EE1C15" w:rsidP="00EE1C15">
      <w:pPr>
        <w:ind w:firstLine="708"/>
        <w:jc w:val="both"/>
        <w:rPr>
          <w:rFonts w:ascii="Abadi" w:hAnsi="Abadi" w:cs="Arial"/>
          <w:sz w:val="21"/>
          <w:szCs w:val="21"/>
          <w:lang w:val="es-MX" w:eastAsia="x-none"/>
        </w:rPr>
      </w:pPr>
    </w:p>
    <w:p w14:paraId="33B34756"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EE1C15">
          <w:rPr>
            <w:rFonts w:ascii="Abadi" w:hAnsi="Abadi" w:cs="Arial"/>
            <w:sz w:val="21"/>
            <w:szCs w:val="21"/>
            <w:lang w:val="es-MX" w:eastAsia="x-none"/>
          </w:rPr>
          <w:t>la Ley Orgánica</w:t>
        </w:r>
      </w:smartTag>
      <w:r w:rsidRPr="00EE1C15">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4974701F" w14:textId="77777777" w:rsidR="00EE1C15" w:rsidRPr="00EE1C15" w:rsidRDefault="00EE1C15" w:rsidP="00EE1C15">
      <w:pPr>
        <w:jc w:val="both"/>
        <w:rPr>
          <w:rFonts w:ascii="Abadi" w:hAnsi="Abadi" w:cs="Arial"/>
          <w:sz w:val="21"/>
          <w:szCs w:val="21"/>
          <w:lang w:val="es-MX" w:eastAsia="x-none"/>
        </w:rPr>
      </w:pPr>
    </w:p>
    <w:p w14:paraId="12FE1EFF" w14:textId="77777777" w:rsidR="00EE1C15" w:rsidRPr="00EE1C15" w:rsidRDefault="00EE1C15" w:rsidP="00EE1C15">
      <w:pPr>
        <w:ind w:right="60" w:firstLine="709"/>
        <w:jc w:val="both"/>
        <w:rPr>
          <w:rFonts w:ascii="Abadi" w:hAnsi="Abadi" w:cs="Arial"/>
          <w:sz w:val="21"/>
          <w:szCs w:val="21"/>
          <w:lang w:val="es-MX" w:eastAsia="x-none"/>
        </w:rPr>
      </w:pPr>
      <w:r w:rsidRPr="00EE1C15">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39F7C5EC" w14:textId="77777777" w:rsidR="00EE1C15" w:rsidRPr="00EE1C15" w:rsidRDefault="00EE1C15" w:rsidP="00EE1C15">
      <w:pPr>
        <w:ind w:right="58" w:firstLine="709"/>
        <w:jc w:val="both"/>
        <w:rPr>
          <w:rFonts w:ascii="Abadi" w:eastAsia="DejaVu Sans" w:hAnsi="Abadi" w:cs="Tahoma"/>
          <w:iCs/>
          <w:kern w:val="2"/>
          <w:sz w:val="21"/>
          <w:szCs w:val="21"/>
          <w:lang w:eastAsia="ar-SA"/>
        </w:rPr>
      </w:pPr>
    </w:p>
    <w:p w14:paraId="7170CBCB"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0F471B84" w14:textId="77777777" w:rsidR="00EE1C15" w:rsidRPr="00EE1C15" w:rsidRDefault="00EE1C15" w:rsidP="00EE1C15">
      <w:pPr>
        <w:ind w:firstLine="708"/>
        <w:jc w:val="both"/>
        <w:rPr>
          <w:rFonts w:ascii="Abadi" w:hAnsi="Abadi" w:cs="Arial"/>
          <w:sz w:val="21"/>
          <w:szCs w:val="21"/>
          <w:lang w:val="es-MX" w:eastAsia="x-none"/>
        </w:rPr>
      </w:pPr>
    </w:p>
    <w:p w14:paraId="35F758AB"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6D11570F" w14:textId="77777777" w:rsidR="00EE1C15" w:rsidRPr="00EE1C15" w:rsidRDefault="00EE1C15" w:rsidP="00EE1C15">
      <w:pPr>
        <w:ind w:firstLine="708"/>
        <w:jc w:val="both"/>
        <w:rPr>
          <w:rFonts w:ascii="Abadi" w:hAnsi="Abadi" w:cs="Arial"/>
          <w:sz w:val="21"/>
          <w:szCs w:val="21"/>
          <w:lang w:val="es-MX" w:eastAsia="x-none"/>
        </w:rPr>
      </w:pPr>
    </w:p>
    <w:p w14:paraId="4D45CA77" w14:textId="77777777" w:rsidR="00EE1C15" w:rsidRPr="00EE1C15" w:rsidRDefault="00EE1C15" w:rsidP="00EE1C15">
      <w:pPr>
        <w:ind w:right="60" w:firstLine="709"/>
        <w:jc w:val="both"/>
        <w:rPr>
          <w:rFonts w:ascii="Abadi" w:hAnsi="Abadi" w:cs="Arial"/>
          <w:sz w:val="21"/>
          <w:szCs w:val="21"/>
          <w:lang w:val="es-MX" w:eastAsia="x-none"/>
        </w:rPr>
      </w:pPr>
      <w:r w:rsidRPr="00EE1C15">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0975265A" w14:textId="77777777" w:rsidR="00EE1C15" w:rsidRPr="00EE1C15" w:rsidRDefault="00EE1C15" w:rsidP="00EE1C15">
      <w:pPr>
        <w:ind w:firstLine="708"/>
        <w:jc w:val="both"/>
        <w:rPr>
          <w:rFonts w:ascii="Abadi" w:hAnsi="Abadi" w:cs="Arial"/>
          <w:sz w:val="21"/>
          <w:szCs w:val="21"/>
          <w:lang w:eastAsia="x-none"/>
        </w:rPr>
      </w:pPr>
    </w:p>
    <w:p w14:paraId="6E4D0C7B"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1CE4B6F5" w14:textId="77777777" w:rsidR="00EE1C15" w:rsidRPr="00EE1C15" w:rsidRDefault="00EE1C15" w:rsidP="00EE1C15">
      <w:pPr>
        <w:ind w:firstLine="708"/>
        <w:jc w:val="both"/>
        <w:rPr>
          <w:rFonts w:ascii="Abadi" w:hAnsi="Abadi" w:cs="Arial"/>
          <w:sz w:val="21"/>
          <w:szCs w:val="21"/>
          <w:lang w:val="es-MX" w:eastAsia="x-none"/>
        </w:rPr>
      </w:pPr>
    </w:p>
    <w:p w14:paraId="0D4B9A9E" w14:textId="77777777" w:rsidR="00EE1C15" w:rsidRPr="00EE1C15" w:rsidRDefault="00EE1C15" w:rsidP="00EE1C15">
      <w:pPr>
        <w:tabs>
          <w:tab w:val="left" w:pos="709"/>
        </w:tabs>
        <w:jc w:val="both"/>
        <w:rPr>
          <w:rFonts w:ascii="Abadi" w:hAnsi="Abadi" w:cs="Arial"/>
          <w:sz w:val="21"/>
          <w:szCs w:val="21"/>
          <w:lang w:val="es-MX" w:eastAsia="x-none"/>
        </w:rPr>
      </w:pPr>
      <w:r w:rsidRPr="00EE1C15">
        <w:rPr>
          <w:rFonts w:ascii="Abadi" w:hAnsi="Abadi" w:cs="Arial"/>
          <w:sz w:val="21"/>
          <w:szCs w:val="21"/>
        </w:rPr>
        <w:tab/>
        <w:t xml:space="preserve">El citado artículo también refiere </w:t>
      </w:r>
      <w:r w:rsidRPr="00EE1C15">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2877490F" w14:textId="77777777" w:rsidR="00EE1C15" w:rsidRPr="00EE1C15" w:rsidRDefault="00EE1C15" w:rsidP="00EE1C15">
      <w:pPr>
        <w:tabs>
          <w:tab w:val="left" w:pos="709"/>
        </w:tabs>
        <w:jc w:val="both"/>
        <w:rPr>
          <w:rFonts w:ascii="Abadi" w:hAnsi="Abadi" w:cs="Arial"/>
          <w:sz w:val="21"/>
          <w:szCs w:val="21"/>
          <w:lang w:val="es-MX" w:eastAsia="x-none"/>
        </w:rPr>
      </w:pPr>
      <w:r w:rsidRPr="00EE1C15">
        <w:rPr>
          <w:rFonts w:ascii="Abadi" w:hAnsi="Abadi" w:cs="Arial"/>
          <w:sz w:val="21"/>
          <w:szCs w:val="21"/>
          <w:lang w:val="es-MX" w:eastAsia="x-none"/>
        </w:rPr>
        <w:tab/>
        <w:t xml:space="preserve">En términos del numeral 23 de la </w:t>
      </w:r>
      <w:r w:rsidRPr="00EE1C15">
        <w:rPr>
          <w:rFonts w:ascii="Abadi" w:hAnsi="Abadi" w:cs="Arial"/>
          <w:sz w:val="21"/>
          <w:szCs w:val="21"/>
        </w:rPr>
        <w:t>Ley de Fiscalización Superior del Estado de Guanajuato, p</w:t>
      </w:r>
      <w:r w:rsidRPr="00EE1C15">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033A9DFE" w14:textId="77777777" w:rsidR="00EE1C15" w:rsidRPr="00EE1C15" w:rsidRDefault="00EE1C15" w:rsidP="00EE1C15">
      <w:pPr>
        <w:tabs>
          <w:tab w:val="left" w:pos="709"/>
        </w:tabs>
        <w:jc w:val="both"/>
        <w:rPr>
          <w:rFonts w:ascii="Abadi" w:hAnsi="Abadi" w:cs="Arial"/>
          <w:sz w:val="21"/>
          <w:szCs w:val="21"/>
          <w:lang w:val="es-MX" w:eastAsia="x-none"/>
        </w:rPr>
      </w:pPr>
    </w:p>
    <w:p w14:paraId="7ACBCF12"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77D3CF69" w14:textId="77777777" w:rsidR="00EE1C15" w:rsidRPr="00EE1C15" w:rsidRDefault="00EE1C15" w:rsidP="00EE1C15">
      <w:pPr>
        <w:ind w:firstLine="708"/>
        <w:jc w:val="both"/>
        <w:rPr>
          <w:rFonts w:ascii="Abadi" w:hAnsi="Abadi" w:cs="Arial"/>
          <w:sz w:val="21"/>
          <w:szCs w:val="21"/>
          <w:lang w:val="es-MX" w:eastAsia="x-none"/>
        </w:rPr>
      </w:pPr>
    </w:p>
    <w:p w14:paraId="13C8F93E"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En cumplimiento a los citados preceptos, en su oportunidad se remitió a este Congreso del Estado, la cuenta pública municipal de Apaseo el Grande, Gto., correspondiente al ejercicio fiscal del año 2020, turnándose a la Auditoría Superior del Estado para su revisión.</w:t>
      </w:r>
    </w:p>
    <w:p w14:paraId="200E6A03" w14:textId="77777777" w:rsidR="00EE1C15" w:rsidRPr="00EE1C15" w:rsidRDefault="00EE1C15" w:rsidP="00EE1C15">
      <w:pPr>
        <w:ind w:firstLine="708"/>
        <w:jc w:val="both"/>
        <w:rPr>
          <w:rFonts w:ascii="Abadi" w:hAnsi="Abadi" w:cs="Arial"/>
          <w:sz w:val="21"/>
          <w:szCs w:val="21"/>
          <w:lang w:val="es-MX" w:eastAsia="x-none"/>
        </w:rPr>
      </w:pPr>
    </w:p>
    <w:p w14:paraId="6405A830" w14:textId="77777777" w:rsidR="00EE1C15" w:rsidRPr="00EE1C15" w:rsidRDefault="00EE1C15" w:rsidP="00EE1C15">
      <w:pPr>
        <w:ind w:firstLine="708"/>
        <w:jc w:val="both"/>
        <w:rPr>
          <w:rFonts w:ascii="Abadi" w:hAnsi="Abadi" w:cs="Arial"/>
          <w:sz w:val="21"/>
          <w:szCs w:val="21"/>
          <w:lang w:eastAsia="x-none"/>
        </w:rPr>
      </w:pPr>
      <w:r w:rsidRPr="00EE1C15">
        <w:rPr>
          <w:rFonts w:ascii="Abadi" w:hAnsi="Abadi" w:cs="Arial"/>
          <w:sz w:val="21"/>
          <w:szCs w:val="21"/>
          <w:lang w:eastAsia="x-none"/>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481234FE" w14:textId="77777777" w:rsidR="00EE1C15" w:rsidRPr="00EE1C15" w:rsidRDefault="00EE1C15" w:rsidP="00EE1C15">
      <w:pPr>
        <w:ind w:firstLine="708"/>
        <w:jc w:val="both"/>
        <w:rPr>
          <w:rFonts w:ascii="Abadi" w:hAnsi="Abadi" w:cs="Arial"/>
          <w:sz w:val="21"/>
          <w:szCs w:val="21"/>
          <w:lang w:val="es-MX" w:eastAsia="x-none"/>
        </w:rPr>
      </w:pPr>
    </w:p>
    <w:p w14:paraId="7D87E244"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En ejercicio de esta función, el Auditor Superior del Estado aprobó el Programa General de Fiscalización 2021. En dicho Programa se contempló la revisión de la cuenta pública municipal de Apaseo el Grande, Gto., correspondiente al ejercicio fiscal del año 2020.</w:t>
      </w:r>
    </w:p>
    <w:p w14:paraId="61003D6B" w14:textId="77777777" w:rsidR="00EE1C15" w:rsidRPr="00EE1C15" w:rsidRDefault="00EE1C15" w:rsidP="00EE1C15">
      <w:pPr>
        <w:ind w:firstLine="708"/>
        <w:jc w:val="both"/>
        <w:rPr>
          <w:rFonts w:ascii="Abadi" w:hAnsi="Abadi" w:cs="Arial"/>
          <w:sz w:val="21"/>
          <w:szCs w:val="21"/>
          <w:lang w:val="es-MX" w:eastAsia="x-none"/>
        </w:rPr>
      </w:pPr>
    </w:p>
    <w:p w14:paraId="61410F4E"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EE1C15">
        <w:rPr>
          <w:rFonts w:ascii="Abadi" w:hAnsi="Abadi" w:cs="Arial"/>
          <w:bCs/>
          <w:sz w:val="21"/>
          <w:szCs w:val="21"/>
          <w:lang w:val="es-MX" w:eastAsia="x-none"/>
        </w:rPr>
        <w:t>el 5 de mayo de 2022</w:t>
      </w:r>
      <w:r w:rsidRPr="00EE1C15">
        <w:rPr>
          <w:rFonts w:ascii="Abadi" w:hAnsi="Abadi" w:cs="Arial"/>
          <w:sz w:val="21"/>
          <w:szCs w:val="21"/>
          <w:lang w:val="es-MX" w:eastAsia="x-none"/>
        </w:rPr>
        <w:t xml:space="preserve"> para su estudio y dictamen,</w:t>
      </w:r>
      <w:r w:rsidRPr="00EE1C15">
        <w:rPr>
          <w:rFonts w:ascii="Abadi" w:hAnsi="Abadi" w:cs="Arial"/>
          <w:b/>
          <w:sz w:val="21"/>
          <w:szCs w:val="21"/>
          <w:lang w:val="es-MX" w:eastAsia="x-none"/>
        </w:rPr>
        <w:t xml:space="preserve"> </w:t>
      </w:r>
      <w:r w:rsidRPr="00EE1C15">
        <w:rPr>
          <w:rFonts w:ascii="Abadi" w:hAnsi="Abadi" w:cs="Arial"/>
          <w:sz w:val="21"/>
          <w:szCs w:val="21"/>
          <w:lang w:val="es-MX" w:eastAsia="x-none"/>
        </w:rPr>
        <w:t>siendo radicado el 12 de mayo del año en curso.</w:t>
      </w:r>
    </w:p>
    <w:p w14:paraId="17F51096" w14:textId="77777777" w:rsidR="00EE1C15" w:rsidRPr="00EE1C15" w:rsidRDefault="00EE1C15" w:rsidP="00EE1C15">
      <w:pPr>
        <w:ind w:firstLine="708"/>
        <w:jc w:val="both"/>
        <w:rPr>
          <w:rFonts w:ascii="Abadi" w:hAnsi="Abadi" w:cs="Arial"/>
          <w:sz w:val="21"/>
          <w:szCs w:val="21"/>
          <w:lang w:val="es-MX" w:eastAsia="x-none"/>
        </w:rPr>
      </w:pPr>
    </w:p>
    <w:p w14:paraId="2F89F787" w14:textId="77777777" w:rsidR="00EE1C15" w:rsidRPr="00EE1C15" w:rsidRDefault="00EE1C15" w:rsidP="00EE1C15">
      <w:pPr>
        <w:ind w:firstLine="708"/>
        <w:jc w:val="both"/>
        <w:rPr>
          <w:rFonts w:ascii="Abadi" w:hAnsi="Abadi" w:cs="Arial"/>
          <w:sz w:val="21"/>
          <w:szCs w:val="21"/>
          <w:lang w:val="es-MX" w:eastAsia="x-none"/>
        </w:rPr>
      </w:pPr>
    </w:p>
    <w:p w14:paraId="5AE9AFE3" w14:textId="77777777" w:rsidR="00EE1C15" w:rsidRPr="00EE1C15" w:rsidRDefault="00EE1C15" w:rsidP="00EE1C15">
      <w:pPr>
        <w:ind w:firstLine="708"/>
        <w:jc w:val="both"/>
        <w:rPr>
          <w:rFonts w:ascii="Abadi" w:hAnsi="Abadi" w:cs="Arial"/>
          <w:b/>
          <w:bCs/>
          <w:sz w:val="21"/>
          <w:szCs w:val="21"/>
          <w:lang w:val="es-MX" w:eastAsia="x-none"/>
        </w:rPr>
      </w:pPr>
      <w:r w:rsidRPr="00EE1C15">
        <w:rPr>
          <w:rFonts w:ascii="Abadi" w:hAnsi="Abadi" w:cs="Arial"/>
          <w:b/>
          <w:bCs/>
          <w:sz w:val="21"/>
          <w:szCs w:val="21"/>
          <w:lang w:val="es-MX" w:eastAsia="x-none"/>
        </w:rPr>
        <w:t>III. Procedimiento de Revisión:</w:t>
      </w:r>
    </w:p>
    <w:p w14:paraId="520D79FF" w14:textId="77777777" w:rsidR="00EE1C15" w:rsidRPr="00EE1C15" w:rsidRDefault="00EE1C15" w:rsidP="00EE1C15">
      <w:pPr>
        <w:ind w:firstLine="708"/>
        <w:jc w:val="both"/>
        <w:rPr>
          <w:rFonts w:ascii="Abadi" w:hAnsi="Abadi" w:cs="Arial"/>
          <w:sz w:val="21"/>
          <w:szCs w:val="21"/>
          <w:lang w:val="es-MX" w:eastAsia="x-none"/>
        </w:rPr>
      </w:pPr>
    </w:p>
    <w:p w14:paraId="6A0E0001"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La revisión de la cuenta pública municipal de Apaseo el Grande, Gto.,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3623146F" w14:textId="77777777" w:rsidR="00EE1C15" w:rsidRPr="00EE1C15" w:rsidRDefault="00EE1C15" w:rsidP="00EE1C15">
      <w:pPr>
        <w:ind w:firstLine="708"/>
        <w:jc w:val="both"/>
        <w:rPr>
          <w:rFonts w:ascii="Abadi" w:hAnsi="Abadi" w:cs="Arial"/>
          <w:sz w:val="21"/>
          <w:szCs w:val="21"/>
          <w:lang w:eastAsia="x-none"/>
        </w:rPr>
      </w:pPr>
    </w:p>
    <w:p w14:paraId="7AD3B9A4"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2785C82F" w14:textId="77777777" w:rsidR="00EE1C15" w:rsidRPr="00EE1C15" w:rsidRDefault="00EE1C15" w:rsidP="00EE1C15">
      <w:pPr>
        <w:ind w:firstLine="708"/>
        <w:jc w:val="both"/>
        <w:rPr>
          <w:rFonts w:ascii="Abadi" w:hAnsi="Abadi" w:cs="Arial"/>
          <w:sz w:val="21"/>
          <w:szCs w:val="21"/>
          <w:lang w:val="es-MX" w:eastAsia="x-none"/>
        </w:rPr>
      </w:pPr>
    </w:p>
    <w:p w14:paraId="66226AA6" w14:textId="0800CDAE"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6F76B694" w14:textId="77777777" w:rsidR="00EE1C15" w:rsidRPr="00EE1C15" w:rsidRDefault="00EE1C15" w:rsidP="00EE1C15">
      <w:pPr>
        <w:jc w:val="both"/>
        <w:rPr>
          <w:rFonts w:ascii="Abadi" w:hAnsi="Abadi" w:cs="Arial"/>
          <w:sz w:val="21"/>
          <w:szCs w:val="21"/>
          <w:lang w:val="es-MX" w:eastAsia="x-none"/>
        </w:rPr>
      </w:pPr>
    </w:p>
    <w:p w14:paraId="384748BF"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21BEA054" w14:textId="77777777" w:rsidR="00EE1C15" w:rsidRPr="00EE1C15" w:rsidRDefault="00EE1C15" w:rsidP="00EE1C15">
      <w:pPr>
        <w:ind w:firstLine="708"/>
        <w:jc w:val="both"/>
        <w:rPr>
          <w:rFonts w:ascii="Abadi" w:hAnsi="Abadi" w:cs="Arial"/>
          <w:sz w:val="21"/>
          <w:szCs w:val="21"/>
          <w:lang w:val="es-MX" w:eastAsia="x-none"/>
        </w:rPr>
      </w:pPr>
    </w:p>
    <w:p w14:paraId="2919814C" w14:textId="77777777" w:rsidR="00EE1C15" w:rsidRPr="00EE1C15" w:rsidRDefault="00EE1C15" w:rsidP="00EE1C15">
      <w:pPr>
        <w:ind w:firstLine="705"/>
        <w:jc w:val="both"/>
        <w:rPr>
          <w:rFonts w:ascii="Abadi" w:hAnsi="Abadi" w:cs="Arial"/>
          <w:sz w:val="21"/>
          <w:szCs w:val="21"/>
          <w:lang w:val="es-MX" w:eastAsia="x-none"/>
        </w:rPr>
      </w:pPr>
      <w:r w:rsidRPr="00EE1C15">
        <w:rPr>
          <w:rFonts w:ascii="Abadi" w:hAnsi="Abadi" w:cs="Arial"/>
          <w:sz w:val="21"/>
          <w:szCs w:val="21"/>
          <w:lang w:val="es-MX" w:eastAsia="x-none"/>
        </w:rPr>
        <w:t>El informe de resultados establece que se practicó la revisión de la cuenta pública respecto de las operaciones realizadas por la administración municipal de Apaseo el Grande, Gto., correspondientes al ejercicio fiscal 2020, en lo referente a los apartados de ingresos y egresos.</w:t>
      </w:r>
    </w:p>
    <w:p w14:paraId="5281FEB9" w14:textId="77777777" w:rsidR="00EE1C15" w:rsidRPr="00EE1C15" w:rsidRDefault="00EE1C15" w:rsidP="00EE1C15">
      <w:pPr>
        <w:ind w:firstLine="705"/>
        <w:jc w:val="both"/>
        <w:rPr>
          <w:rFonts w:ascii="Abadi" w:hAnsi="Abadi" w:cs="Arial"/>
          <w:sz w:val="21"/>
          <w:szCs w:val="21"/>
          <w:lang w:val="es-MX" w:eastAsia="x-none"/>
        </w:rPr>
      </w:pPr>
    </w:p>
    <w:p w14:paraId="6C9DE84A" w14:textId="0EEBDAD3" w:rsidR="00EE1C15" w:rsidRPr="00EE1C15" w:rsidRDefault="00EE1C15" w:rsidP="00EE1C15">
      <w:pPr>
        <w:autoSpaceDE w:val="0"/>
        <w:autoSpaceDN w:val="0"/>
        <w:adjustRightInd w:val="0"/>
        <w:ind w:firstLine="708"/>
        <w:jc w:val="both"/>
        <w:rPr>
          <w:rFonts w:ascii="Abadi" w:hAnsi="Abadi" w:cs="Arial"/>
          <w:sz w:val="21"/>
          <w:szCs w:val="21"/>
          <w:lang w:val="es-MX" w:eastAsia="x-none"/>
        </w:rPr>
      </w:pPr>
      <w:r w:rsidRPr="00EE1C15">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00E54DB5" w14:textId="77777777" w:rsidR="00EE1C15" w:rsidRPr="00EE1C15" w:rsidRDefault="00EE1C15" w:rsidP="00EE1C15">
      <w:pPr>
        <w:ind w:firstLine="708"/>
        <w:jc w:val="both"/>
        <w:rPr>
          <w:rFonts w:ascii="Abadi" w:hAnsi="Abadi" w:cs="Arial"/>
          <w:sz w:val="21"/>
          <w:szCs w:val="21"/>
          <w:lang w:val="es-MX" w:eastAsia="x-none"/>
        </w:rPr>
      </w:pPr>
    </w:p>
    <w:p w14:paraId="77E2BEBD"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50BC5C62" w14:textId="77777777" w:rsidR="00EE1C15" w:rsidRPr="00EE1C15" w:rsidRDefault="00EE1C15" w:rsidP="00EE1C15">
      <w:pPr>
        <w:ind w:firstLine="708"/>
        <w:jc w:val="both"/>
        <w:rPr>
          <w:rFonts w:ascii="Abadi" w:hAnsi="Abadi" w:cs="Arial"/>
          <w:sz w:val="21"/>
          <w:szCs w:val="21"/>
          <w:lang w:val="es-MX" w:eastAsia="x-none"/>
        </w:rPr>
      </w:pPr>
    </w:p>
    <w:p w14:paraId="65310D6A" w14:textId="77777777" w:rsidR="00EE1C15" w:rsidRPr="00EE1C15" w:rsidRDefault="00EE1C15" w:rsidP="00EE1C15">
      <w:pPr>
        <w:ind w:firstLine="708"/>
        <w:jc w:val="both"/>
        <w:rPr>
          <w:rFonts w:ascii="Abadi" w:hAnsi="Abadi" w:cs="Arial"/>
          <w:sz w:val="21"/>
          <w:szCs w:val="21"/>
        </w:rPr>
      </w:pPr>
      <w:r w:rsidRPr="00EE1C15">
        <w:rPr>
          <w:rFonts w:ascii="Abadi" w:hAnsi="Abadi" w:cs="Arial"/>
          <w:sz w:val="21"/>
          <w:szCs w:val="21"/>
        </w:rPr>
        <w:t xml:space="preserve">El 18 de agosto de 2021 se notificó al presidente municipal de </w:t>
      </w:r>
      <w:r w:rsidRPr="00EE1C15">
        <w:rPr>
          <w:rFonts w:ascii="Abadi" w:hAnsi="Abadi" w:cs="Arial"/>
          <w:sz w:val="21"/>
          <w:szCs w:val="21"/>
          <w:lang w:val="es-MX"/>
        </w:rPr>
        <w:t>Apaseo el Grande</w:t>
      </w:r>
      <w:r w:rsidRPr="00EE1C15">
        <w:rPr>
          <w:rFonts w:ascii="Abadi" w:hAnsi="Abadi" w:cs="Arial"/>
          <w:sz w:val="21"/>
          <w:szCs w:val="21"/>
        </w:rPr>
        <w:t>, Gto., la orden de inicio del procedimiento de revisión de la cuenta pública.</w:t>
      </w:r>
    </w:p>
    <w:p w14:paraId="25DC9857" w14:textId="77777777" w:rsidR="00EE1C15" w:rsidRPr="00EE1C15" w:rsidRDefault="00EE1C15" w:rsidP="00EE1C15">
      <w:pPr>
        <w:ind w:firstLine="708"/>
        <w:jc w:val="both"/>
        <w:rPr>
          <w:rFonts w:ascii="Abadi" w:hAnsi="Abadi" w:cs="Arial"/>
          <w:sz w:val="21"/>
          <w:szCs w:val="21"/>
        </w:rPr>
      </w:pPr>
    </w:p>
    <w:p w14:paraId="1ACD0C9C" w14:textId="77777777" w:rsidR="00EE1C15" w:rsidRPr="00EE1C15" w:rsidRDefault="00EE1C15" w:rsidP="00EE1C15">
      <w:pPr>
        <w:ind w:firstLine="708"/>
        <w:jc w:val="both"/>
        <w:rPr>
          <w:rFonts w:ascii="Abadi" w:hAnsi="Abadi" w:cs="Arial"/>
          <w:sz w:val="21"/>
          <w:szCs w:val="21"/>
        </w:rPr>
      </w:pPr>
      <w:r w:rsidRPr="00EE1C15">
        <w:rPr>
          <w:rFonts w:ascii="Abadi" w:hAnsi="Abadi" w:cs="Arial"/>
          <w:sz w:val="21"/>
          <w:szCs w:val="21"/>
        </w:rPr>
        <w:t xml:space="preserve">Posteriormente, los días 3 de diciembre de 2021, 10 y 11 de enero de 2022, se notificó al presidente y al ex-presidente municipales de </w:t>
      </w:r>
      <w:r w:rsidRPr="00EE1C15">
        <w:rPr>
          <w:rFonts w:ascii="Abadi" w:hAnsi="Abadi" w:cs="Arial"/>
          <w:sz w:val="21"/>
          <w:szCs w:val="21"/>
          <w:lang w:val="es-MX"/>
        </w:rPr>
        <w:t>Apaseo el Grande</w:t>
      </w:r>
      <w:r w:rsidRPr="00EE1C15">
        <w:rPr>
          <w:rFonts w:ascii="Abadi" w:hAnsi="Abadi" w:cs="Arial"/>
          <w:sz w:val="21"/>
          <w:szCs w:val="21"/>
        </w:rPr>
        <w:t>, Gto., la suspensión del plazo de la revisión materia del presente dictamen, de conformidad con lo establecido en los Acuerdos de Suspensión de Plazos publicados en el Periódico Oficial del Gobierno del Estado de Guanajuato los días 19 de noviembre y 17 de diciembre de 2021.</w:t>
      </w:r>
    </w:p>
    <w:p w14:paraId="47698FB1" w14:textId="77777777" w:rsidR="00EE1C15" w:rsidRPr="00EE1C15" w:rsidRDefault="00EE1C15" w:rsidP="00EE1C15">
      <w:pPr>
        <w:ind w:firstLine="708"/>
        <w:jc w:val="both"/>
        <w:rPr>
          <w:rFonts w:ascii="Abadi" w:hAnsi="Abadi" w:cs="Arial"/>
          <w:sz w:val="21"/>
          <w:szCs w:val="21"/>
        </w:rPr>
      </w:pPr>
    </w:p>
    <w:p w14:paraId="37BA5D08" w14:textId="77777777" w:rsidR="00EE1C15" w:rsidRPr="00EE1C15" w:rsidRDefault="00EE1C15" w:rsidP="00EE1C15">
      <w:pPr>
        <w:ind w:firstLine="708"/>
        <w:jc w:val="both"/>
        <w:rPr>
          <w:rFonts w:ascii="Abadi" w:hAnsi="Abadi" w:cs="Arial"/>
          <w:sz w:val="21"/>
          <w:szCs w:val="21"/>
        </w:rPr>
      </w:pPr>
      <w:r w:rsidRPr="00EE1C15">
        <w:rPr>
          <w:rFonts w:ascii="Abadi" w:hAnsi="Abadi" w:cs="Arial"/>
          <w:sz w:val="21"/>
          <w:szCs w:val="21"/>
        </w:rPr>
        <w:t xml:space="preserve">El 8 de marzo de 2022, se notificó al presidente y al ex-presidente municipales de </w:t>
      </w:r>
      <w:r w:rsidRPr="00EE1C15">
        <w:rPr>
          <w:rFonts w:ascii="Abadi" w:hAnsi="Abadi" w:cs="Arial"/>
          <w:sz w:val="21"/>
          <w:szCs w:val="21"/>
          <w:lang w:val="es-MX"/>
        </w:rPr>
        <w:t>Apaseo el Grande</w:t>
      </w:r>
      <w:r w:rsidRPr="00EE1C15">
        <w:rPr>
          <w:rFonts w:ascii="Abadi" w:hAnsi="Abadi" w:cs="Arial"/>
          <w:sz w:val="21"/>
          <w:szCs w:val="21"/>
        </w:rPr>
        <w:t xml:space="preserve">, Gto., el pliego de observaciones y recomendaciones derivado de la revisión practicada a la cuenta pública municipal de </w:t>
      </w:r>
      <w:r w:rsidRPr="00EE1C15">
        <w:rPr>
          <w:rFonts w:ascii="Abadi" w:hAnsi="Abadi" w:cs="Arial"/>
          <w:sz w:val="21"/>
          <w:szCs w:val="21"/>
          <w:lang w:val="es-MX"/>
        </w:rPr>
        <w:t>Apaseo el Grande</w:t>
      </w:r>
      <w:r w:rsidRPr="00EE1C15">
        <w:rPr>
          <w:rFonts w:ascii="Abadi" w:hAnsi="Abadi" w:cs="Arial"/>
          <w:sz w:val="21"/>
          <w:szCs w:val="21"/>
        </w:rPr>
        <w:t>, Gto., correspondiente al ejercicio fiscal del año 2020, al cual se dio respuesta en fechas 28 y 29 de marzo de 2022 por parte del presidente y el ex-presidente municipales de Apaseo el Grande, Gto.</w:t>
      </w:r>
    </w:p>
    <w:p w14:paraId="038FCCAF" w14:textId="77777777" w:rsidR="00EE1C15" w:rsidRPr="00EE1C15" w:rsidRDefault="00EE1C15" w:rsidP="00EE1C15">
      <w:pPr>
        <w:ind w:firstLine="708"/>
        <w:jc w:val="both"/>
        <w:rPr>
          <w:rFonts w:ascii="Abadi" w:hAnsi="Abadi" w:cs="Arial"/>
          <w:sz w:val="21"/>
          <w:szCs w:val="21"/>
        </w:rPr>
      </w:pPr>
    </w:p>
    <w:p w14:paraId="451BDCFC" w14:textId="61BB5A56"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es-MX" w:eastAsia="x-none"/>
        </w:rPr>
        <w:t xml:space="preserve">El 7 de abril de 2022, el informe de resultados se notificó al presidente y al ex-presidente municipales de Apaseo el Grande, Gto., para que, en su caso, hicieran valer el recurso de reconsideración previsto por los artículos del 48 al 55 de </w:t>
      </w:r>
      <w:smartTag w:uri="urn:schemas-microsoft-com:office:smarttags" w:element="PersonName">
        <w:smartTagPr>
          <w:attr w:name="ProductID" w:val="la Ley"/>
        </w:smartTagPr>
        <w:r w:rsidRPr="00EE1C15">
          <w:rPr>
            <w:rFonts w:ascii="Abadi" w:hAnsi="Abadi" w:cs="Arial"/>
            <w:sz w:val="21"/>
            <w:szCs w:val="21"/>
            <w:lang w:val="es-MX" w:eastAsia="x-none"/>
          </w:rPr>
          <w:t>la Ley</w:t>
        </w:r>
      </w:smartTag>
      <w:r w:rsidRPr="00EE1C15">
        <w:rPr>
          <w:rFonts w:ascii="Abadi" w:hAnsi="Abadi" w:cs="Arial"/>
          <w:sz w:val="21"/>
          <w:szCs w:val="21"/>
          <w:lang w:val="es-MX" w:eastAsia="x-none"/>
        </w:rPr>
        <w:t xml:space="preserve"> de Fiscalización Superior del Estado de Guanajuato, haciéndoles saber que contaban con un término de cinco días hábiles para tal efecto. Con lo anterior, se dio cumplimiento a la fracción IV del artículo 37 de la citada Ley.</w:t>
      </w:r>
    </w:p>
    <w:p w14:paraId="75F64535" w14:textId="77777777" w:rsidR="00EE1C15" w:rsidRPr="00EE1C15" w:rsidRDefault="00EE1C15" w:rsidP="00EE1C15">
      <w:pPr>
        <w:jc w:val="both"/>
        <w:rPr>
          <w:rFonts w:ascii="Abadi" w:hAnsi="Abadi" w:cs="Arial"/>
          <w:sz w:val="21"/>
          <w:szCs w:val="21"/>
          <w:lang w:val="es-MX" w:eastAsia="x-none"/>
        </w:rPr>
      </w:pPr>
    </w:p>
    <w:p w14:paraId="03C9EB62" w14:textId="77777777" w:rsidR="00EE1C15" w:rsidRP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eastAsia="x-none"/>
        </w:rPr>
        <w:t>El 19 de abril de 2022, el presidente municipal de Apaseo el Grande, Gto., interpuso recurso de reconsideración en contra del informe de resultados materia del presente dictamen, mismo que se tuvo por no interpuesto a través del acuerdo del Auditor Superior del Estado de fecha 26 de abril de 2022, al no expresar los agravios que le causa el acto recurrido, de conformidad con lo previsto en el artículo 51, fracción V y último párrafo de la Ley de Fiscalización Superior del Estado de Guanajuato. Dicho acuerdo se notificó al presidente municipal de Apaseo el Grande, Gto., el 29 de abril de 2022</w:t>
      </w:r>
      <w:r w:rsidRPr="00EE1C15">
        <w:rPr>
          <w:rFonts w:ascii="Abadi" w:hAnsi="Abadi" w:cs="Arial"/>
          <w:sz w:val="21"/>
          <w:szCs w:val="21"/>
          <w:lang w:val="es-MX" w:eastAsia="x-none"/>
        </w:rPr>
        <w:t>.</w:t>
      </w:r>
    </w:p>
    <w:p w14:paraId="7457BC15" w14:textId="77777777" w:rsidR="00EE1C15" w:rsidRPr="00EE1C15" w:rsidRDefault="00EE1C15" w:rsidP="00EE1C15">
      <w:pPr>
        <w:ind w:firstLine="708"/>
        <w:jc w:val="both"/>
        <w:rPr>
          <w:rFonts w:ascii="Abadi" w:hAnsi="Abadi" w:cs="Arial"/>
          <w:sz w:val="21"/>
          <w:szCs w:val="21"/>
          <w:lang w:val="es-MX" w:eastAsia="x-none"/>
        </w:rPr>
      </w:pPr>
    </w:p>
    <w:p w14:paraId="64D75548" w14:textId="77777777" w:rsidR="00EE1C15" w:rsidRPr="00EE1C15" w:rsidRDefault="00EE1C15" w:rsidP="00EE1C15">
      <w:pPr>
        <w:ind w:firstLine="708"/>
        <w:jc w:val="both"/>
        <w:rPr>
          <w:rFonts w:ascii="Abadi" w:hAnsi="Abadi" w:cs="Arial"/>
          <w:b/>
          <w:bCs/>
          <w:sz w:val="21"/>
          <w:szCs w:val="21"/>
          <w:lang w:eastAsia="x-none"/>
        </w:rPr>
      </w:pPr>
      <w:r w:rsidRPr="00EE1C15">
        <w:rPr>
          <w:rFonts w:ascii="Abadi" w:hAnsi="Abadi" w:cs="Arial"/>
          <w:b/>
          <w:bCs/>
          <w:sz w:val="21"/>
          <w:szCs w:val="21"/>
          <w:lang w:eastAsia="x-none"/>
        </w:rPr>
        <w:t>IV. Contenido del Informe de Resultados:</w:t>
      </w:r>
    </w:p>
    <w:p w14:paraId="33EF9B7A" w14:textId="77777777" w:rsidR="00EE1C15" w:rsidRPr="00EE1C15" w:rsidRDefault="00EE1C15" w:rsidP="00EE1C15">
      <w:pPr>
        <w:jc w:val="both"/>
        <w:rPr>
          <w:rFonts w:ascii="Abadi" w:hAnsi="Abadi" w:cs="Arial"/>
          <w:b/>
          <w:bCs/>
          <w:sz w:val="21"/>
          <w:szCs w:val="21"/>
          <w:lang w:eastAsia="x-none"/>
        </w:rPr>
      </w:pPr>
    </w:p>
    <w:p w14:paraId="0A2C5584" w14:textId="77777777" w:rsidR="00EE1C15" w:rsidRPr="00EE1C15" w:rsidRDefault="00EE1C15" w:rsidP="00EE1C15">
      <w:pPr>
        <w:jc w:val="both"/>
        <w:rPr>
          <w:rFonts w:ascii="Abadi" w:hAnsi="Abadi" w:cs="Arial"/>
          <w:sz w:val="21"/>
          <w:szCs w:val="21"/>
          <w:lang w:eastAsia="x-none"/>
        </w:rPr>
      </w:pPr>
      <w:r w:rsidRPr="00EE1C15">
        <w:rPr>
          <w:rFonts w:ascii="Abadi" w:hAnsi="Abadi" w:cs="Arial"/>
          <w:b/>
          <w:bCs/>
          <w:sz w:val="21"/>
          <w:szCs w:val="21"/>
          <w:lang w:eastAsia="x-none"/>
        </w:rPr>
        <w:tab/>
      </w:r>
      <w:r w:rsidRPr="00EE1C15">
        <w:rPr>
          <w:rFonts w:ascii="Abadi" w:hAnsi="Abadi" w:cs="Arial"/>
          <w:bCs/>
          <w:sz w:val="21"/>
          <w:szCs w:val="21"/>
          <w:lang w:eastAsia="x-none"/>
        </w:rPr>
        <w:t>En cumplimiento a lo establecido por el</w:t>
      </w:r>
      <w:r w:rsidRPr="00EE1C15">
        <w:rPr>
          <w:rFonts w:ascii="Abadi" w:hAnsi="Abadi" w:cs="Arial"/>
          <w:sz w:val="21"/>
          <w:szCs w:val="21"/>
          <w:lang w:eastAsia="x-none"/>
        </w:rPr>
        <w:t xml:space="preserve"> artículo 37, fracción III de la Ley de Fiscalización Superior del Estado, el informe de resultados contiene los siguientes apartados:</w:t>
      </w:r>
    </w:p>
    <w:p w14:paraId="61D95349" w14:textId="77777777" w:rsidR="00EE1C15" w:rsidRPr="00EE1C15" w:rsidRDefault="00EE1C15" w:rsidP="00EE1C15">
      <w:pPr>
        <w:jc w:val="both"/>
        <w:rPr>
          <w:rFonts w:ascii="Abadi" w:hAnsi="Abadi" w:cs="Arial"/>
          <w:sz w:val="21"/>
          <w:szCs w:val="21"/>
          <w:lang w:eastAsia="x-none"/>
        </w:rPr>
      </w:pPr>
    </w:p>
    <w:p w14:paraId="695D0969" w14:textId="77777777" w:rsidR="00EE1C15" w:rsidRPr="00EE1C15" w:rsidRDefault="00EE1C15" w:rsidP="001A28E5">
      <w:pPr>
        <w:numPr>
          <w:ilvl w:val="0"/>
          <w:numId w:val="93"/>
        </w:numPr>
        <w:jc w:val="both"/>
        <w:rPr>
          <w:rFonts w:ascii="Abadi" w:hAnsi="Abadi" w:cs="Arial"/>
          <w:b/>
          <w:bCs/>
          <w:sz w:val="21"/>
          <w:szCs w:val="21"/>
          <w:lang w:eastAsia="x-none"/>
        </w:rPr>
      </w:pPr>
      <w:r w:rsidRPr="00EE1C15">
        <w:rPr>
          <w:rFonts w:ascii="Abadi" w:hAnsi="Abadi" w:cs="Arial"/>
          <w:b/>
          <w:bCs/>
          <w:sz w:val="21"/>
          <w:szCs w:val="21"/>
          <w:lang w:eastAsia="x-none"/>
        </w:rPr>
        <w:t>Introducción.</w:t>
      </w:r>
    </w:p>
    <w:p w14:paraId="313EDE95" w14:textId="77777777" w:rsidR="00EE1C15" w:rsidRPr="00EE1C15" w:rsidRDefault="00EE1C15" w:rsidP="00EE1C15">
      <w:pPr>
        <w:ind w:left="705"/>
        <w:jc w:val="both"/>
        <w:rPr>
          <w:rFonts w:ascii="Abadi" w:hAnsi="Abadi" w:cs="Arial"/>
          <w:b/>
          <w:bCs/>
          <w:sz w:val="21"/>
          <w:szCs w:val="21"/>
          <w:lang w:eastAsia="x-none"/>
        </w:rPr>
      </w:pPr>
    </w:p>
    <w:p w14:paraId="53EDC103" w14:textId="77777777" w:rsidR="00EE1C15" w:rsidRPr="00EE1C15" w:rsidRDefault="00EE1C15" w:rsidP="00EE1C15">
      <w:pPr>
        <w:ind w:firstLine="705"/>
        <w:jc w:val="both"/>
        <w:rPr>
          <w:rFonts w:ascii="Abadi" w:hAnsi="Abadi" w:cs="Arial"/>
          <w:sz w:val="21"/>
          <w:szCs w:val="21"/>
          <w:lang w:eastAsia="x-none"/>
        </w:rPr>
      </w:pPr>
      <w:r w:rsidRPr="00EE1C15">
        <w:rPr>
          <w:rFonts w:ascii="Abadi" w:hAnsi="Abadi" w:cs="Arial"/>
          <w:sz w:val="21"/>
          <w:szCs w:val="21"/>
          <w:lang w:eastAsia="x-none"/>
        </w:rPr>
        <w:t xml:space="preserve">Por lo que se refiere a este punto, se establecen los criterios de selección; el objetivo de la revisión; el alcance de la revisión respecto a los apartados de ingresos y egresos, </w:t>
      </w:r>
      <w:r w:rsidRPr="00EE1C15">
        <w:rPr>
          <w:rFonts w:ascii="Abadi" w:hAnsi="Abadi" w:cs="Arial"/>
          <w:sz w:val="21"/>
          <w:szCs w:val="21"/>
          <w:lang w:val="es-MX" w:eastAsia="x-none"/>
        </w:rPr>
        <w:t>precisando que el detalle de los alcances de la revisión se consigna en el Anexo 01 del informe de resultados.</w:t>
      </w:r>
    </w:p>
    <w:p w14:paraId="6312637C" w14:textId="77777777" w:rsidR="00EE1C15" w:rsidRPr="00EE1C15" w:rsidRDefault="00EE1C15" w:rsidP="00EE1C15">
      <w:pPr>
        <w:ind w:firstLine="705"/>
        <w:jc w:val="both"/>
        <w:rPr>
          <w:rFonts w:ascii="Abadi" w:hAnsi="Abadi" w:cs="Arial"/>
          <w:sz w:val="21"/>
          <w:szCs w:val="21"/>
          <w:lang w:eastAsia="x-none"/>
        </w:rPr>
      </w:pPr>
    </w:p>
    <w:p w14:paraId="537F6C41" w14:textId="77777777" w:rsidR="00EE1C15" w:rsidRPr="00EE1C15" w:rsidRDefault="00EE1C15" w:rsidP="00EE1C15">
      <w:pPr>
        <w:ind w:firstLine="705"/>
        <w:jc w:val="both"/>
        <w:rPr>
          <w:rFonts w:ascii="Abadi" w:hAnsi="Abadi" w:cs="Arial"/>
          <w:sz w:val="21"/>
          <w:szCs w:val="21"/>
          <w:lang w:eastAsia="x-none"/>
        </w:rPr>
      </w:pPr>
      <w:r w:rsidRPr="00EE1C15">
        <w:rPr>
          <w:rFonts w:ascii="Abadi" w:hAnsi="Abadi" w:cs="Arial"/>
          <w:sz w:val="21"/>
          <w:szCs w:val="21"/>
          <w:lang w:eastAsia="x-none"/>
        </w:rPr>
        <w:t>También en este apartado se precisan los procedimientos de auditoría aplicados, siendo estos: inspección, observación, confirmación externa, recálculo, procedimientos analíticos, re ejecución e indagación.</w:t>
      </w:r>
    </w:p>
    <w:p w14:paraId="5A68DC25" w14:textId="77777777" w:rsidR="00EE1C15" w:rsidRPr="00EE1C15" w:rsidRDefault="00EE1C15" w:rsidP="00EE1C15">
      <w:pPr>
        <w:ind w:firstLine="705"/>
        <w:jc w:val="both"/>
        <w:rPr>
          <w:rFonts w:ascii="Abadi" w:hAnsi="Abadi" w:cs="Arial"/>
          <w:sz w:val="21"/>
          <w:szCs w:val="21"/>
          <w:lang w:eastAsia="x-none"/>
        </w:rPr>
      </w:pPr>
    </w:p>
    <w:p w14:paraId="03D24BD1" w14:textId="77777777" w:rsidR="00EE1C15" w:rsidRPr="00EE1C15" w:rsidRDefault="00EE1C15" w:rsidP="00EE1C15">
      <w:pPr>
        <w:ind w:firstLine="705"/>
        <w:jc w:val="both"/>
        <w:rPr>
          <w:rFonts w:ascii="Abadi" w:hAnsi="Abadi" w:cs="Arial"/>
          <w:sz w:val="21"/>
          <w:szCs w:val="21"/>
          <w:lang w:eastAsia="x-none"/>
        </w:rPr>
      </w:pPr>
      <w:r w:rsidRPr="00EE1C15">
        <w:rPr>
          <w:rFonts w:ascii="Abadi" w:hAnsi="Abadi" w:cs="Arial"/>
          <w:sz w:val="21"/>
          <w:szCs w:val="21"/>
          <w:lang w:eastAsia="x-none"/>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35B33245" w14:textId="77777777" w:rsidR="00EE1C15" w:rsidRPr="00EE1C15" w:rsidRDefault="00EE1C15" w:rsidP="00EE1C15">
      <w:pPr>
        <w:jc w:val="both"/>
        <w:rPr>
          <w:rFonts w:ascii="Abadi" w:hAnsi="Abadi"/>
          <w:i/>
          <w:iCs/>
          <w:sz w:val="21"/>
          <w:szCs w:val="21"/>
          <w:lang w:eastAsia="x-none"/>
        </w:rPr>
      </w:pPr>
    </w:p>
    <w:p w14:paraId="369C5463" w14:textId="77777777" w:rsidR="00EE1C15" w:rsidRPr="00EE1C15" w:rsidRDefault="00EE1C15" w:rsidP="00EE1C15">
      <w:pPr>
        <w:jc w:val="both"/>
        <w:rPr>
          <w:rFonts w:ascii="Abadi" w:hAnsi="Abadi" w:cs="Arial"/>
          <w:i/>
          <w:iCs/>
          <w:sz w:val="21"/>
          <w:szCs w:val="21"/>
          <w:lang w:eastAsia="x-none"/>
        </w:rPr>
      </w:pPr>
      <w:r w:rsidRPr="00EE1C15">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3C89007E" w14:textId="77777777" w:rsidR="00EE1C15" w:rsidRPr="00EE1C15" w:rsidRDefault="00EE1C15" w:rsidP="00EE1C15">
      <w:pPr>
        <w:rPr>
          <w:rFonts w:ascii="Abadi" w:hAnsi="Abadi" w:cs="Arial"/>
          <w:i/>
          <w:iCs/>
          <w:sz w:val="21"/>
          <w:szCs w:val="21"/>
          <w:lang w:eastAsia="x-none"/>
        </w:rPr>
      </w:pPr>
    </w:p>
    <w:p w14:paraId="6EE4AD00" w14:textId="77777777" w:rsidR="00EE1C15" w:rsidRPr="00EE1C15" w:rsidRDefault="00EE1C15" w:rsidP="00EE1C15">
      <w:pPr>
        <w:jc w:val="both"/>
        <w:rPr>
          <w:rFonts w:ascii="Abadi" w:hAnsi="Abadi" w:cs="Arial"/>
          <w:i/>
          <w:iCs/>
          <w:sz w:val="21"/>
          <w:szCs w:val="21"/>
          <w:lang w:eastAsia="x-none"/>
        </w:rPr>
      </w:pPr>
      <w:r w:rsidRPr="00EE1C15">
        <w:rPr>
          <w:rFonts w:ascii="Abadi" w:hAnsi="Abadi" w:cs="Arial"/>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55CDC0ED" w14:textId="77777777" w:rsidR="00EE1C15" w:rsidRPr="00EE1C15" w:rsidRDefault="00EE1C15" w:rsidP="00EE1C15">
      <w:pPr>
        <w:jc w:val="both"/>
        <w:rPr>
          <w:rFonts w:ascii="Abadi" w:hAnsi="Abadi" w:cs="Arial"/>
          <w:i/>
          <w:iCs/>
          <w:sz w:val="21"/>
          <w:szCs w:val="21"/>
          <w:lang w:eastAsia="x-none"/>
        </w:rPr>
      </w:pPr>
    </w:p>
    <w:p w14:paraId="516F1B8A" w14:textId="77777777" w:rsidR="00EE1C15" w:rsidRPr="00EE1C15" w:rsidRDefault="00EE1C15" w:rsidP="00EE1C15">
      <w:pPr>
        <w:jc w:val="both"/>
        <w:rPr>
          <w:rFonts w:ascii="Abadi" w:hAnsi="Abadi" w:cs="Arial"/>
          <w:i/>
          <w:iCs/>
          <w:sz w:val="21"/>
          <w:szCs w:val="21"/>
          <w:lang w:eastAsia="x-none"/>
        </w:rPr>
      </w:pPr>
      <w:r w:rsidRPr="00EE1C15">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2E805600" w14:textId="77777777" w:rsidR="00EE1C15" w:rsidRPr="00EE1C15" w:rsidRDefault="00EE1C15" w:rsidP="00EE1C15">
      <w:pPr>
        <w:jc w:val="both"/>
        <w:rPr>
          <w:rFonts w:ascii="Abadi" w:hAnsi="Abadi" w:cs="Arial"/>
          <w:i/>
          <w:iCs/>
          <w:sz w:val="21"/>
          <w:szCs w:val="21"/>
          <w:lang w:eastAsia="x-none"/>
        </w:rPr>
      </w:pPr>
    </w:p>
    <w:p w14:paraId="0C7001D0" w14:textId="77777777" w:rsidR="00EE1C15" w:rsidRPr="00EE1C15" w:rsidRDefault="00EE1C15" w:rsidP="00EE1C15">
      <w:pPr>
        <w:ind w:firstLine="705"/>
        <w:jc w:val="both"/>
        <w:rPr>
          <w:rFonts w:ascii="Abadi" w:hAnsi="Abadi" w:cs="Arial"/>
          <w:sz w:val="21"/>
          <w:szCs w:val="21"/>
          <w:lang w:eastAsia="x-none"/>
        </w:rPr>
      </w:pPr>
      <w:r w:rsidRPr="00EE1C15">
        <w:rPr>
          <w:rFonts w:ascii="Abadi" w:hAnsi="Abadi" w:cs="Arial"/>
          <w:sz w:val="21"/>
          <w:szCs w:val="21"/>
          <w:lang w:eastAsia="x-none"/>
        </w:rPr>
        <w:t xml:space="preserve">Derivado de lo anterior, en el proceso de auditoría se inspeccionó que los comprobantes fiscales que soportan las erogaciones del ente fiscalizado, no correspondan a contribuyentes que se encuentren en los supuestos previstos en el artículo 69-B del Código Fiscal de la Federación, empresas que facturan operaciones simuladas o inexistentes con el carácter de </w:t>
      </w:r>
      <w:r w:rsidRPr="00EE1C15">
        <w:rPr>
          <w:rFonts w:ascii="Abadi" w:hAnsi="Abadi" w:cs="Arial"/>
          <w:i/>
          <w:iCs/>
          <w:sz w:val="21"/>
          <w:szCs w:val="21"/>
          <w:lang w:eastAsia="x-none"/>
        </w:rPr>
        <w:t>«Definitivos»,</w:t>
      </w:r>
      <w:r w:rsidRPr="00EE1C15">
        <w:rPr>
          <w:rFonts w:ascii="Abadi" w:hAnsi="Abadi" w:cs="Arial"/>
          <w:sz w:val="21"/>
          <w:szCs w:val="21"/>
          <w:lang w:eastAsia="x-none"/>
        </w:rPr>
        <w:t xml:space="preserve"> emitidas por el Servicio de Administración Tributaria.</w:t>
      </w:r>
    </w:p>
    <w:p w14:paraId="40024ACD" w14:textId="77777777" w:rsidR="00EE1C15" w:rsidRPr="00EE1C15" w:rsidRDefault="00EE1C15" w:rsidP="00EE1C15">
      <w:pPr>
        <w:ind w:firstLine="705"/>
        <w:jc w:val="both"/>
        <w:rPr>
          <w:rFonts w:ascii="Abadi" w:hAnsi="Abadi" w:cs="Arial"/>
          <w:sz w:val="21"/>
          <w:szCs w:val="21"/>
          <w:lang w:val="es-MX" w:eastAsia="x-none"/>
        </w:rPr>
      </w:pPr>
    </w:p>
    <w:p w14:paraId="32FC63D4" w14:textId="77777777" w:rsidR="00EE1C15" w:rsidRPr="00EE1C15" w:rsidRDefault="00EE1C15" w:rsidP="00EE1C15">
      <w:pPr>
        <w:ind w:firstLine="705"/>
        <w:jc w:val="both"/>
        <w:rPr>
          <w:rFonts w:ascii="Abadi" w:hAnsi="Abadi" w:cs="Arial"/>
          <w:sz w:val="21"/>
          <w:szCs w:val="21"/>
          <w:lang w:eastAsia="x-none"/>
        </w:rPr>
      </w:pPr>
      <w:r w:rsidRPr="00EE1C15">
        <w:rPr>
          <w:rFonts w:ascii="Abadi" w:hAnsi="Abadi" w:cs="Arial"/>
          <w:sz w:val="21"/>
          <w:szCs w:val="21"/>
          <w:lang w:eastAsia="x-none"/>
        </w:rPr>
        <w:t>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178E8F30" w14:textId="77777777" w:rsidR="00EE1C15" w:rsidRPr="00EE1C15" w:rsidRDefault="00EE1C15" w:rsidP="00EE1C15">
      <w:pPr>
        <w:ind w:firstLine="705"/>
        <w:jc w:val="both"/>
        <w:rPr>
          <w:rFonts w:ascii="Abadi" w:hAnsi="Abadi"/>
          <w:sz w:val="21"/>
          <w:szCs w:val="21"/>
          <w:lang w:eastAsia="x-none"/>
        </w:rPr>
      </w:pPr>
    </w:p>
    <w:p w14:paraId="5317EFBD" w14:textId="77777777" w:rsidR="00EE1C15" w:rsidRPr="00EE1C15" w:rsidRDefault="00EE1C15" w:rsidP="00EE1C15">
      <w:pPr>
        <w:ind w:firstLine="705"/>
        <w:jc w:val="both"/>
        <w:rPr>
          <w:rFonts w:ascii="Abadi" w:hAnsi="Abadi" w:cs="Arial"/>
          <w:sz w:val="21"/>
          <w:szCs w:val="21"/>
          <w:lang w:val="es-MX" w:eastAsia="x-none"/>
        </w:rPr>
      </w:pPr>
      <w:r w:rsidRPr="00EE1C15">
        <w:rPr>
          <w:rFonts w:ascii="Abadi" w:hAnsi="Abadi" w:cs="Arial"/>
          <w:sz w:val="21"/>
          <w:szCs w:val="21"/>
          <w:lang w:val="es-MX" w:eastAsia="x-none"/>
        </w:rPr>
        <w:t>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fiscalizado;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fiscalizado.</w:t>
      </w:r>
    </w:p>
    <w:p w14:paraId="5855148E" w14:textId="77777777" w:rsidR="00EE1C15" w:rsidRPr="00EE1C15" w:rsidRDefault="00EE1C15" w:rsidP="00EE1C15">
      <w:pPr>
        <w:ind w:firstLine="705"/>
        <w:jc w:val="both"/>
        <w:rPr>
          <w:rFonts w:ascii="Abadi" w:hAnsi="Abadi" w:cs="Arial"/>
          <w:sz w:val="21"/>
          <w:szCs w:val="21"/>
          <w:lang w:val="es-MX" w:eastAsia="x-none"/>
        </w:rPr>
      </w:pPr>
    </w:p>
    <w:p w14:paraId="53025ED5" w14:textId="77777777" w:rsidR="00EE1C15" w:rsidRPr="00EE1C15" w:rsidRDefault="00EE1C15" w:rsidP="00EE1C15">
      <w:pPr>
        <w:ind w:firstLine="705"/>
        <w:jc w:val="both"/>
        <w:rPr>
          <w:rFonts w:ascii="Abadi" w:hAnsi="Abadi" w:cs="Arial"/>
          <w:sz w:val="21"/>
          <w:szCs w:val="21"/>
          <w:lang w:val="es-MX" w:eastAsia="x-none"/>
        </w:rPr>
      </w:pPr>
      <w:r w:rsidRPr="00EE1C15">
        <w:rPr>
          <w:rFonts w:ascii="Abadi" w:hAnsi="Abadi" w:cs="Arial"/>
          <w:sz w:val="21"/>
          <w:szCs w:val="21"/>
          <w:lang w:val="es-MX" w:eastAsia="x-none"/>
        </w:rPr>
        <w:t>En este orden de ideas, cabe precisar que, a fin de fomentar la participación ciudadana, la Auditoría Superior del Estado cuenta con diversos mecanismos para recibir solicitudes, denuncias y sugerencias, relacionados con hechos presuntamente irregulares en la captación, manejo y utilización de los recursos públicos, desvío de recursos hacia fines distintos a lo autorizado, entre otros supuestos de procedencia. Derivado de lo cual se recibió una solicitud ciudadana, que fue remitida formalmente, de la que, una vez aplicados los procedimientos de auditoría inherentes, no se obtuvieron observaciones o recomendaciones.</w:t>
      </w:r>
    </w:p>
    <w:p w14:paraId="1CFCE3A7" w14:textId="77777777" w:rsidR="00EE1C15" w:rsidRPr="00EE1C15" w:rsidRDefault="00EE1C15" w:rsidP="00EE1C15">
      <w:pPr>
        <w:ind w:firstLine="705"/>
        <w:jc w:val="both"/>
        <w:rPr>
          <w:rFonts w:ascii="Abadi" w:hAnsi="Abadi"/>
          <w:sz w:val="21"/>
          <w:szCs w:val="21"/>
          <w:lang w:eastAsia="x-none"/>
        </w:rPr>
      </w:pPr>
    </w:p>
    <w:p w14:paraId="2CB64214" w14:textId="77777777" w:rsidR="00EE1C15" w:rsidRPr="00EE1C15" w:rsidRDefault="00EE1C15" w:rsidP="00EE1C15">
      <w:pPr>
        <w:ind w:firstLine="705"/>
        <w:jc w:val="both"/>
        <w:rPr>
          <w:rFonts w:ascii="Abadi" w:hAnsi="Abadi" w:cs="Arial"/>
          <w:sz w:val="21"/>
          <w:szCs w:val="21"/>
          <w:lang w:val="es-MX" w:eastAsia="x-none"/>
        </w:rPr>
      </w:pPr>
      <w:r w:rsidRPr="00EE1C15">
        <w:rPr>
          <w:rFonts w:ascii="Abadi" w:hAnsi="Abadi" w:cs="Arial"/>
          <w:sz w:val="21"/>
          <w:szCs w:val="21"/>
          <w:lang w:val="es-MX" w:eastAsia="x-none"/>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Apaseo el Grande, Gto., no cumplió con las disposiciones normativas aplicables, de acuerdo a lo que se precisa en el informe de resultados; señalando además que se presentaron limitantes en la aplicación de los procedimientos de auditoría, derivado de la contingencia por la pandemia del virus SARS-CoV2.</w:t>
      </w:r>
    </w:p>
    <w:p w14:paraId="6711CCE2" w14:textId="77777777" w:rsidR="00EE1C15" w:rsidRPr="00EE1C15" w:rsidRDefault="00EE1C15" w:rsidP="00EE1C15">
      <w:pPr>
        <w:ind w:firstLine="705"/>
        <w:jc w:val="both"/>
        <w:rPr>
          <w:rFonts w:ascii="Abadi" w:hAnsi="Abadi" w:cs="Arial"/>
          <w:sz w:val="21"/>
          <w:szCs w:val="21"/>
          <w:lang w:val="es-MX" w:eastAsia="x-none"/>
        </w:rPr>
      </w:pPr>
    </w:p>
    <w:p w14:paraId="448BB11D" w14:textId="7421ACC6" w:rsidR="00EE1C15" w:rsidRPr="00EE1C15" w:rsidRDefault="00EE1C15" w:rsidP="00EE1C15">
      <w:pPr>
        <w:ind w:firstLine="705"/>
        <w:jc w:val="both"/>
        <w:rPr>
          <w:rFonts w:ascii="Abadi" w:hAnsi="Abadi" w:cs="Arial"/>
          <w:sz w:val="21"/>
          <w:szCs w:val="21"/>
          <w:lang w:eastAsia="x-none"/>
        </w:rPr>
      </w:pPr>
      <w:r w:rsidRPr="00EE1C15">
        <w:rPr>
          <w:rFonts w:ascii="Abadi" w:hAnsi="Abadi" w:cs="Arial"/>
          <w:sz w:val="21"/>
          <w:szCs w:val="21"/>
          <w:lang w:eastAsia="x-none"/>
        </w:rPr>
        <w:t xml:space="preserve">En cuanto al rubro de resultados de la fiscalización efectuada, se establece el estatus que guardan las observaciones formuladas, las cuales se agrupan bajo su respectivo tipo y rubro, señalando que se determinaron 11 observaciones, de las cuales 1 se solventó y 10 no fueron solventadas. </w:t>
      </w:r>
    </w:p>
    <w:p w14:paraId="3E1687C4" w14:textId="77777777" w:rsidR="00EE1C15" w:rsidRPr="00EE1C15" w:rsidRDefault="00EE1C15" w:rsidP="00EE1C15">
      <w:pPr>
        <w:ind w:firstLine="705"/>
        <w:jc w:val="both"/>
        <w:rPr>
          <w:rFonts w:ascii="Abadi" w:hAnsi="Abadi" w:cs="Arial"/>
          <w:sz w:val="21"/>
          <w:szCs w:val="21"/>
          <w:lang w:eastAsia="x-none"/>
        </w:rPr>
      </w:pPr>
    </w:p>
    <w:p w14:paraId="01634911" w14:textId="77777777" w:rsidR="00EE1C15" w:rsidRPr="00EE1C15" w:rsidRDefault="00EE1C15" w:rsidP="00EE1C15">
      <w:pPr>
        <w:ind w:firstLine="705"/>
        <w:jc w:val="both"/>
        <w:rPr>
          <w:rFonts w:ascii="Abadi" w:hAnsi="Abadi" w:cs="Arial"/>
          <w:sz w:val="21"/>
          <w:szCs w:val="21"/>
          <w:lang w:val="es-MX" w:eastAsia="x-none"/>
        </w:rPr>
      </w:pPr>
      <w:r w:rsidRPr="00EE1C15">
        <w:rPr>
          <w:rFonts w:ascii="Abadi" w:hAnsi="Abadi" w:cs="Arial"/>
          <w:sz w:val="21"/>
          <w:szCs w:val="21"/>
          <w:lang w:eastAsia="x-none"/>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001, 002, 003, 004, 005, 008, 009 y 011, </w:t>
      </w:r>
      <w:r w:rsidRPr="00EE1C15">
        <w:rPr>
          <w:rFonts w:ascii="Abadi" w:hAnsi="Abadi" w:cs="Arial"/>
          <w:sz w:val="21"/>
          <w:szCs w:val="21"/>
          <w:lang w:val="es-MX" w:eastAsia="x-none"/>
        </w:rPr>
        <w:t xml:space="preserve">existen importes no solventados por la cuantía que ahí se refiere. </w:t>
      </w:r>
    </w:p>
    <w:p w14:paraId="58F6C300" w14:textId="77777777" w:rsidR="00EE1C15" w:rsidRPr="00EE1C15" w:rsidRDefault="00EE1C15" w:rsidP="00EE1C15">
      <w:pPr>
        <w:ind w:firstLine="705"/>
        <w:jc w:val="both"/>
        <w:rPr>
          <w:rFonts w:ascii="Abadi" w:hAnsi="Abadi" w:cs="Arial"/>
          <w:sz w:val="21"/>
          <w:szCs w:val="21"/>
          <w:lang w:val="es-MX" w:eastAsia="x-none"/>
        </w:rPr>
      </w:pPr>
    </w:p>
    <w:p w14:paraId="0DA3CF31" w14:textId="77777777" w:rsidR="00EE1C15" w:rsidRPr="00EE1C15" w:rsidRDefault="00EE1C15" w:rsidP="00EE1C15">
      <w:pPr>
        <w:ind w:firstLine="705"/>
        <w:jc w:val="both"/>
        <w:rPr>
          <w:rFonts w:ascii="Abadi" w:hAnsi="Abadi" w:cs="Arial"/>
          <w:sz w:val="21"/>
          <w:szCs w:val="21"/>
          <w:lang w:eastAsia="x-none"/>
        </w:rPr>
      </w:pPr>
      <w:r w:rsidRPr="00EE1C15">
        <w:rPr>
          <w:rFonts w:ascii="Abadi" w:hAnsi="Abadi" w:cs="Arial"/>
          <w:sz w:val="21"/>
          <w:szCs w:val="21"/>
          <w:lang w:eastAsia="x-none"/>
        </w:rPr>
        <w:t>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Apaseo el Grande, Gto., celebró operaciones; entre los procedimientos expuestos, se verificó que estas no se encontraran en el listado de Empresas que Facturan Operaciones Simuladas (EFOS) u operaciones inexistentes con el carácter de «</w:t>
      </w:r>
      <w:r w:rsidRPr="00EE1C15">
        <w:rPr>
          <w:rFonts w:ascii="Abadi" w:hAnsi="Abadi" w:cs="Arial"/>
          <w:i/>
          <w:iCs/>
          <w:sz w:val="21"/>
          <w:szCs w:val="21"/>
          <w:lang w:eastAsia="x-none"/>
        </w:rPr>
        <w:t>Definitivos»</w:t>
      </w:r>
      <w:r w:rsidRPr="00EE1C15">
        <w:rPr>
          <w:rFonts w:ascii="Abadi" w:hAnsi="Abadi" w:cs="Arial"/>
          <w:sz w:val="21"/>
          <w:szCs w:val="21"/>
          <w:lang w:eastAsia="x-none"/>
        </w:rPr>
        <w:t xml:space="preserve"> publicados en el Diario Oficial de la Federación y en el sitio de información estadística del Servicio de Administración Tributaria, concluyendo que no se identificaron empresas clasificadas como EFOS.</w:t>
      </w:r>
    </w:p>
    <w:p w14:paraId="605030DD" w14:textId="77777777" w:rsidR="00EE1C15" w:rsidRPr="00EE1C15" w:rsidRDefault="00EE1C15" w:rsidP="00EE1C15">
      <w:pPr>
        <w:ind w:firstLine="705"/>
        <w:jc w:val="both"/>
        <w:rPr>
          <w:rFonts w:ascii="Abadi" w:hAnsi="Abadi" w:cs="Arial"/>
          <w:sz w:val="21"/>
          <w:szCs w:val="21"/>
          <w:lang w:eastAsia="x-none"/>
        </w:rPr>
      </w:pPr>
    </w:p>
    <w:p w14:paraId="7F6F729C" w14:textId="77777777" w:rsidR="00EE1C15" w:rsidRPr="00EE1C15" w:rsidRDefault="00EE1C15" w:rsidP="001A28E5">
      <w:pPr>
        <w:numPr>
          <w:ilvl w:val="0"/>
          <w:numId w:val="93"/>
        </w:numPr>
        <w:tabs>
          <w:tab w:val="num" w:pos="0"/>
        </w:tabs>
        <w:jc w:val="both"/>
        <w:rPr>
          <w:rFonts w:ascii="Abadi" w:hAnsi="Abadi" w:cs="Arial"/>
          <w:b/>
          <w:bCs/>
          <w:sz w:val="21"/>
          <w:szCs w:val="21"/>
          <w:lang w:eastAsia="x-none"/>
        </w:rPr>
      </w:pPr>
      <w:r w:rsidRPr="00EE1C15">
        <w:rPr>
          <w:rFonts w:ascii="Abadi" w:hAnsi="Abadi" w:cs="Arial"/>
          <w:b/>
          <w:bCs/>
          <w:sz w:val="21"/>
          <w:szCs w:val="21"/>
          <w:lang w:eastAsia="x-none"/>
        </w:rPr>
        <w:t xml:space="preserve">Observaciones y recomendaciones, la respuesta emitida por el sujeto fiscalizado y la valoración correspondiente. </w:t>
      </w:r>
    </w:p>
    <w:p w14:paraId="718CD330" w14:textId="77777777" w:rsidR="00EE1C15" w:rsidRPr="00EE1C15" w:rsidRDefault="00EE1C15" w:rsidP="00EE1C15">
      <w:pPr>
        <w:ind w:left="1065"/>
        <w:jc w:val="both"/>
        <w:rPr>
          <w:rFonts w:ascii="Abadi" w:hAnsi="Abadi" w:cs="Arial"/>
          <w:b/>
          <w:bCs/>
          <w:sz w:val="21"/>
          <w:szCs w:val="21"/>
          <w:lang w:eastAsia="x-none"/>
        </w:rPr>
      </w:pPr>
    </w:p>
    <w:p w14:paraId="428ED6D7" w14:textId="77777777" w:rsidR="00EE1C15" w:rsidRPr="00EE1C15" w:rsidRDefault="00EE1C15" w:rsidP="00EE1C15">
      <w:pPr>
        <w:ind w:firstLine="705"/>
        <w:jc w:val="both"/>
        <w:rPr>
          <w:rFonts w:ascii="Abadi" w:hAnsi="Abadi" w:cs="Arial"/>
          <w:sz w:val="21"/>
          <w:szCs w:val="21"/>
          <w:lang w:val="es-MX" w:eastAsia="x-none"/>
        </w:rPr>
      </w:pPr>
      <w:r w:rsidRPr="00EE1C15">
        <w:rPr>
          <w:rFonts w:ascii="Abadi" w:hAnsi="Abadi" w:cs="Arial"/>
          <w:sz w:val="21"/>
          <w:szCs w:val="21"/>
          <w:lang w:val="es-MX" w:eastAsia="x-none"/>
        </w:rPr>
        <w:t>En esta parte se desglosa la valoración de las observaciones formuladas por el Órgano Técnico, considerando como solventada la observación establecida en el numeral 006, relativo a pagos mayores.</w:t>
      </w:r>
    </w:p>
    <w:p w14:paraId="7CD4E06D" w14:textId="77777777" w:rsidR="00EE1C15" w:rsidRPr="00EE1C15" w:rsidRDefault="00EE1C15" w:rsidP="00EE1C15">
      <w:pPr>
        <w:ind w:firstLine="705"/>
        <w:jc w:val="both"/>
        <w:rPr>
          <w:rFonts w:ascii="Abadi" w:hAnsi="Abadi" w:cs="Arial"/>
          <w:sz w:val="21"/>
          <w:szCs w:val="21"/>
          <w:lang w:val="es-MX" w:eastAsia="x-none"/>
        </w:rPr>
      </w:pPr>
    </w:p>
    <w:p w14:paraId="0DB2AC23" w14:textId="77777777" w:rsidR="00EE1C15" w:rsidRPr="00EE1C15" w:rsidRDefault="00EE1C15" w:rsidP="00EE1C15">
      <w:pPr>
        <w:ind w:firstLine="705"/>
        <w:jc w:val="both"/>
        <w:rPr>
          <w:rFonts w:ascii="Abadi" w:hAnsi="Abadi" w:cs="Arial"/>
          <w:sz w:val="21"/>
          <w:szCs w:val="21"/>
          <w:lang w:val="es-MX" w:eastAsia="x-none"/>
        </w:rPr>
      </w:pPr>
      <w:r w:rsidRPr="00EE1C15">
        <w:rPr>
          <w:rFonts w:ascii="Abadi" w:hAnsi="Abadi" w:cs="Arial"/>
          <w:sz w:val="21"/>
          <w:szCs w:val="21"/>
          <w:lang w:val="es-MX" w:eastAsia="x-none"/>
        </w:rPr>
        <w:t>No se solventaron las observaciones plasmadas en los numerales 001, referente a bienes no localizados; 002, correspondiente a precio adquisición de bienes; 003, relativo a pagos sueldos base; 004, referido a honorarios asimilados; 005, referente a pagos posteriores a la baja; 007, correspondiente a procedimiento de adjudicación directa, con cotización de tres proveedores; 008, relativo a destino final de prendas de seguridad; 009, referido a soporte duplicado prendas de seguridad; 010, referente a evidencia investigación de mercado; y 011, correspondiente a otorgamiento de apoyos.</w:t>
      </w:r>
    </w:p>
    <w:p w14:paraId="1A827BFB" w14:textId="77777777" w:rsidR="00EE1C15" w:rsidRPr="00EE1C15" w:rsidRDefault="00EE1C15" w:rsidP="00EE1C15">
      <w:pPr>
        <w:ind w:firstLine="705"/>
        <w:jc w:val="both"/>
        <w:rPr>
          <w:rFonts w:ascii="Abadi" w:hAnsi="Abadi" w:cs="Arial"/>
          <w:sz w:val="21"/>
          <w:szCs w:val="21"/>
          <w:lang w:val="es-MX" w:eastAsia="x-none"/>
        </w:rPr>
      </w:pPr>
    </w:p>
    <w:p w14:paraId="1ADB07AE" w14:textId="77777777" w:rsidR="00EE1C15" w:rsidRPr="00EE1C15" w:rsidRDefault="00EE1C15" w:rsidP="00EE1C15">
      <w:pPr>
        <w:ind w:firstLine="705"/>
        <w:jc w:val="both"/>
        <w:rPr>
          <w:rFonts w:ascii="Abadi" w:hAnsi="Abadi" w:cs="Arial"/>
          <w:sz w:val="21"/>
          <w:szCs w:val="21"/>
          <w:lang w:val="es-MX" w:eastAsia="x-none"/>
        </w:rPr>
      </w:pPr>
      <w:r w:rsidRPr="00EE1C15">
        <w:rPr>
          <w:rFonts w:ascii="Abadi" w:hAnsi="Abadi" w:cs="Arial"/>
          <w:sz w:val="21"/>
          <w:szCs w:val="21"/>
          <w:lang w:val="es-MX" w:eastAsia="x-none"/>
        </w:rPr>
        <w:t>En el apartado de Recomendaciones Generales, se establece que del proceso de fiscalización realizado no se desprendieron recomendaciones.</w:t>
      </w:r>
    </w:p>
    <w:p w14:paraId="7960C798" w14:textId="77777777" w:rsidR="00EE1C15" w:rsidRPr="00EE1C15" w:rsidRDefault="00EE1C15" w:rsidP="00EE1C15">
      <w:pPr>
        <w:jc w:val="both"/>
        <w:rPr>
          <w:rFonts w:ascii="Abadi" w:hAnsi="Abadi" w:cs="Arial"/>
          <w:sz w:val="21"/>
          <w:szCs w:val="21"/>
          <w:lang w:val="es-MX" w:eastAsia="x-none"/>
        </w:rPr>
      </w:pPr>
    </w:p>
    <w:p w14:paraId="10D60B28" w14:textId="77777777" w:rsidR="00EE1C15" w:rsidRPr="00EE1C15" w:rsidRDefault="00EE1C15" w:rsidP="001A28E5">
      <w:pPr>
        <w:numPr>
          <w:ilvl w:val="0"/>
          <w:numId w:val="93"/>
        </w:numPr>
        <w:jc w:val="both"/>
        <w:rPr>
          <w:rFonts w:ascii="Abadi" w:hAnsi="Abadi" w:cs="Arial"/>
          <w:b/>
          <w:bCs/>
          <w:sz w:val="21"/>
          <w:szCs w:val="21"/>
          <w:lang w:val="es-MX" w:eastAsia="x-none"/>
        </w:rPr>
      </w:pPr>
      <w:r w:rsidRPr="00EE1C15">
        <w:rPr>
          <w:rFonts w:ascii="Abadi" w:hAnsi="Abadi" w:cs="Arial"/>
          <w:b/>
          <w:bCs/>
          <w:sz w:val="21"/>
          <w:szCs w:val="21"/>
          <w:lang w:val="es-MX" w:eastAsia="x-none"/>
        </w:rPr>
        <w:t xml:space="preserve">Promoción del ejercicio de facultades de comprobación fiscal. </w:t>
      </w:r>
    </w:p>
    <w:p w14:paraId="7E76B799" w14:textId="77777777" w:rsidR="00EE1C15" w:rsidRPr="00EE1C15" w:rsidRDefault="00EE1C15" w:rsidP="00EE1C15">
      <w:pPr>
        <w:ind w:firstLine="705"/>
        <w:jc w:val="both"/>
        <w:rPr>
          <w:rFonts w:ascii="Abadi" w:hAnsi="Abadi" w:cs="Arial"/>
          <w:sz w:val="21"/>
          <w:szCs w:val="21"/>
          <w:lang w:eastAsia="x-none"/>
        </w:rPr>
      </w:pPr>
    </w:p>
    <w:p w14:paraId="2B6E6005" w14:textId="77777777" w:rsidR="00EE1C15" w:rsidRPr="00EE1C15" w:rsidRDefault="00EE1C15" w:rsidP="00EE1C15">
      <w:pPr>
        <w:ind w:firstLine="705"/>
        <w:jc w:val="both"/>
        <w:rPr>
          <w:rFonts w:ascii="Abadi" w:hAnsi="Abadi" w:cs="Arial"/>
          <w:sz w:val="21"/>
          <w:szCs w:val="21"/>
          <w:lang w:val="es-MX" w:eastAsia="x-none"/>
        </w:rPr>
      </w:pPr>
      <w:r w:rsidRPr="00EE1C15">
        <w:rPr>
          <w:rFonts w:ascii="Abadi" w:hAnsi="Abadi" w:cs="Arial"/>
          <w:sz w:val="21"/>
          <w:szCs w:val="21"/>
          <w:lang w:val="es-MX" w:eastAsia="x-none"/>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446667F9" w14:textId="77777777" w:rsidR="00EE1C15" w:rsidRPr="00EE1C15" w:rsidRDefault="00EE1C15" w:rsidP="00EE1C15">
      <w:pPr>
        <w:ind w:firstLine="705"/>
        <w:jc w:val="both"/>
        <w:rPr>
          <w:rFonts w:ascii="Abadi" w:hAnsi="Abadi" w:cs="Arial"/>
          <w:sz w:val="21"/>
          <w:szCs w:val="21"/>
          <w:lang w:val="es-MX" w:eastAsia="x-none"/>
        </w:rPr>
      </w:pPr>
    </w:p>
    <w:p w14:paraId="27AF923A" w14:textId="77777777" w:rsidR="00EE1C15" w:rsidRPr="00EE1C15" w:rsidRDefault="00EE1C15" w:rsidP="001A28E5">
      <w:pPr>
        <w:numPr>
          <w:ilvl w:val="0"/>
          <w:numId w:val="93"/>
        </w:numPr>
        <w:jc w:val="both"/>
        <w:rPr>
          <w:rFonts w:ascii="Abadi" w:hAnsi="Abadi" w:cs="Arial"/>
          <w:b/>
          <w:bCs/>
          <w:sz w:val="21"/>
          <w:szCs w:val="21"/>
          <w:lang w:val="es-MX" w:eastAsia="x-none"/>
        </w:rPr>
      </w:pPr>
      <w:r w:rsidRPr="00EE1C15">
        <w:rPr>
          <w:rFonts w:ascii="Abadi" w:hAnsi="Abadi" w:cs="Arial"/>
          <w:b/>
          <w:bCs/>
          <w:sz w:val="21"/>
          <w:szCs w:val="21"/>
          <w:lang w:val="es-MX" w:eastAsia="x-none"/>
        </w:rPr>
        <w:t>Comunicado ante órganos de control y autoridades que administran padrones de proveedores y contratistas.</w:t>
      </w:r>
    </w:p>
    <w:p w14:paraId="15897B96" w14:textId="77777777" w:rsidR="00EE1C15" w:rsidRPr="00EE1C15" w:rsidRDefault="00EE1C15" w:rsidP="00EE1C15">
      <w:pPr>
        <w:ind w:firstLine="705"/>
        <w:jc w:val="both"/>
        <w:rPr>
          <w:rFonts w:ascii="Abadi" w:hAnsi="Abadi" w:cs="Arial"/>
          <w:sz w:val="21"/>
          <w:szCs w:val="21"/>
          <w:lang w:eastAsia="x-none"/>
        </w:rPr>
      </w:pPr>
    </w:p>
    <w:p w14:paraId="5656EC07" w14:textId="77777777" w:rsidR="00EE1C15" w:rsidRPr="00EE1C15" w:rsidRDefault="00EE1C15" w:rsidP="00EE1C15">
      <w:pPr>
        <w:ind w:firstLine="705"/>
        <w:jc w:val="both"/>
        <w:rPr>
          <w:rFonts w:ascii="Abadi" w:hAnsi="Abadi" w:cs="Arial"/>
          <w:sz w:val="21"/>
          <w:szCs w:val="21"/>
          <w:lang w:val="es-MX" w:eastAsia="x-none"/>
        </w:rPr>
      </w:pPr>
      <w:r w:rsidRPr="00EE1C15">
        <w:rPr>
          <w:rFonts w:ascii="Abadi" w:hAnsi="Abadi" w:cs="Arial"/>
          <w:sz w:val="21"/>
          <w:szCs w:val="21"/>
          <w:lang w:val="es-MX" w:eastAsia="x-none"/>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revisión, es procedente hacer del conocimiento del Órgano Interno de Control y de la Tesorería Municipal de Apaseo el Grande, Gto., las presuntas irregularidades o incumplimientos de estos en contrataciones públicas detectadas durante la revisión, precisando los proveedores y las observaciones de las que se desprende su intervención.</w:t>
      </w:r>
    </w:p>
    <w:p w14:paraId="5FA9ADC5" w14:textId="77777777" w:rsidR="00EE1C15" w:rsidRPr="00EE1C15" w:rsidRDefault="00EE1C15" w:rsidP="00EE1C15">
      <w:pPr>
        <w:ind w:firstLine="705"/>
        <w:jc w:val="both"/>
        <w:rPr>
          <w:rFonts w:ascii="Abadi" w:hAnsi="Abadi" w:cs="Arial"/>
          <w:sz w:val="21"/>
          <w:szCs w:val="21"/>
          <w:lang w:eastAsia="x-none"/>
        </w:rPr>
      </w:pPr>
    </w:p>
    <w:p w14:paraId="0B7C479F" w14:textId="77777777" w:rsidR="00EE1C15" w:rsidRPr="00EE1C15" w:rsidRDefault="00EE1C15" w:rsidP="001A28E5">
      <w:pPr>
        <w:numPr>
          <w:ilvl w:val="0"/>
          <w:numId w:val="93"/>
        </w:numPr>
        <w:jc w:val="both"/>
        <w:rPr>
          <w:rFonts w:ascii="Abadi" w:hAnsi="Abadi" w:cs="Arial"/>
          <w:b/>
          <w:bCs/>
          <w:sz w:val="21"/>
          <w:szCs w:val="21"/>
          <w:lang w:val="es-MX" w:eastAsia="x-none"/>
        </w:rPr>
      </w:pPr>
      <w:r w:rsidRPr="00EE1C15">
        <w:rPr>
          <w:rFonts w:ascii="Abadi" w:hAnsi="Abadi" w:cs="Arial"/>
          <w:b/>
          <w:bCs/>
          <w:sz w:val="21"/>
          <w:szCs w:val="21"/>
          <w:lang w:val="es-MX" w:eastAsia="x-none"/>
        </w:rPr>
        <w:t xml:space="preserve">Anexos. </w:t>
      </w:r>
    </w:p>
    <w:p w14:paraId="39D44533" w14:textId="77777777" w:rsidR="00EE1C15" w:rsidRPr="00EE1C15" w:rsidRDefault="00EE1C15" w:rsidP="00EE1C15">
      <w:pPr>
        <w:ind w:firstLine="705"/>
        <w:jc w:val="both"/>
        <w:rPr>
          <w:rFonts w:ascii="Abadi" w:hAnsi="Abadi" w:cs="Arial"/>
          <w:sz w:val="21"/>
          <w:szCs w:val="21"/>
          <w:lang w:eastAsia="x-none"/>
        </w:rPr>
      </w:pPr>
    </w:p>
    <w:p w14:paraId="1F6F9656" w14:textId="77777777" w:rsidR="00EE1C15" w:rsidRPr="00EE1C15" w:rsidRDefault="00EE1C15" w:rsidP="00EE1C15">
      <w:pPr>
        <w:ind w:firstLine="705"/>
        <w:jc w:val="both"/>
        <w:rPr>
          <w:rFonts w:ascii="Abadi" w:hAnsi="Abadi" w:cs="Arial"/>
          <w:sz w:val="21"/>
          <w:szCs w:val="21"/>
          <w:lang w:eastAsia="x-none"/>
        </w:rPr>
      </w:pPr>
      <w:r w:rsidRPr="00EE1C15">
        <w:rPr>
          <w:rFonts w:ascii="Abadi" w:hAnsi="Abadi" w:cs="Arial"/>
          <w:sz w:val="21"/>
          <w:szCs w:val="21"/>
          <w:lang w:eastAsia="x-none"/>
        </w:rPr>
        <w:t>En esta parte, se adjuntan los anexos técnicos derivados de la revisión practicada.</w:t>
      </w:r>
    </w:p>
    <w:p w14:paraId="16E72ECC" w14:textId="77777777" w:rsidR="00EE1C15" w:rsidRPr="00EE1C15" w:rsidRDefault="00EE1C15" w:rsidP="00EE1C15">
      <w:pPr>
        <w:ind w:firstLine="705"/>
        <w:jc w:val="both"/>
        <w:rPr>
          <w:rFonts w:ascii="Abadi" w:hAnsi="Abadi" w:cs="Arial"/>
          <w:sz w:val="21"/>
          <w:szCs w:val="21"/>
          <w:lang w:eastAsia="x-none"/>
        </w:rPr>
      </w:pPr>
    </w:p>
    <w:p w14:paraId="3DFAFB83" w14:textId="77777777" w:rsidR="00EE1C15" w:rsidRPr="00EE1C15" w:rsidRDefault="00EE1C15" w:rsidP="00EE1C15">
      <w:pPr>
        <w:ind w:firstLine="708"/>
        <w:jc w:val="both"/>
        <w:rPr>
          <w:rFonts w:ascii="Abadi" w:hAnsi="Abadi" w:cs="Arial"/>
          <w:b/>
          <w:bCs/>
          <w:sz w:val="21"/>
          <w:szCs w:val="21"/>
        </w:rPr>
      </w:pPr>
      <w:r w:rsidRPr="00EE1C15">
        <w:rPr>
          <w:rFonts w:ascii="Abadi" w:hAnsi="Abadi" w:cs="Arial"/>
          <w:b/>
          <w:bCs/>
          <w:sz w:val="21"/>
          <w:szCs w:val="21"/>
        </w:rPr>
        <w:t>V. Conclusiones:</w:t>
      </w:r>
    </w:p>
    <w:p w14:paraId="608F9B4B" w14:textId="77777777" w:rsidR="00EE1C15" w:rsidRPr="00EE1C15" w:rsidRDefault="00EE1C15" w:rsidP="00EE1C15">
      <w:pPr>
        <w:jc w:val="both"/>
        <w:rPr>
          <w:rFonts w:ascii="Abadi" w:hAnsi="Abadi" w:cs="Arial"/>
          <w:sz w:val="21"/>
          <w:szCs w:val="21"/>
        </w:rPr>
      </w:pPr>
    </w:p>
    <w:p w14:paraId="004569C3" w14:textId="77777777" w:rsidR="00EE1C15" w:rsidRPr="00EE1C15" w:rsidRDefault="00EE1C15" w:rsidP="00EE1C15">
      <w:pPr>
        <w:jc w:val="both"/>
        <w:rPr>
          <w:rFonts w:ascii="Abadi" w:hAnsi="Abadi" w:cs="Arial"/>
          <w:sz w:val="21"/>
          <w:szCs w:val="21"/>
        </w:rPr>
      </w:pPr>
      <w:r w:rsidRPr="00EE1C15">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EE1C15">
          <w:rPr>
            <w:rFonts w:ascii="Abadi" w:hAnsi="Abadi" w:cs="Arial"/>
            <w:sz w:val="21"/>
            <w:szCs w:val="21"/>
          </w:rPr>
          <w:t>la Ley</w:t>
        </w:r>
      </w:smartTag>
      <w:r w:rsidRPr="00EE1C15">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01F70555" w14:textId="77777777" w:rsidR="00EE1C15" w:rsidRPr="00EE1C15" w:rsidRDefault="00EE1C15" w:rsidP="00EE1C15">
      <w:pPr>
        <w:jc w:val="both"/>
        <w:rPr>
          <w:rFonts w:ascii="Abadi" w:hAnsi="Abadi" w:cs="Arial"/>
          <w:sz w:val="21"/>
          <w:szCs w:val="21"/>
        </w:rPr>
      </w:pPr>
      <w:r w:rsidRPr="00EE1C15">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7C9436CA" w14:textId="77777777" w:rsidR="00EE1C15" w:rsidRPr="00EE1C15" w:rsidRDefault="00EE1C15" w:rsidP="00EE1C15">
      <w:pPr>
        <w:ind w:firstLine="708"/>
        <w:jc w:val="both"/>
        <w:rPr>
          <w:rFonts w:ascii="Abadi" w:hAnsi="Abadi" w:cs="Arial"/>
          <w:sz w:val="21"/>
          <w:szCs w:val="21"/>
        </w:rPr>
      </w:pPr>
    </w:p>
    <w:p w14:paraId="5D06D257" w14:textId="77777777" w:rsidR="00EE1C15" w:rsidRPr="00EE1C15" w:rsidRDefault="00EE1C15" w:rsidP="00EE1C15">
      <w:pPr>
        <w:ind w:firstLine="708"/>
        <w:jc w:val="both"/>
        <w:rPr>
          <w:rFonts w:ascii="Abadi" w:hAnsi="Abadi" w:cs="Arial"/>
          <w:sz w:val="21"/>
          <w:szCs w:val="21"/>
        </w:rPr>
      </w:pPr>
      <w:r w:rsidRPr="00EE1C15">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y al ex-presidente municipales de Apaseo el Grande, Gto., concediéndoles el plazo que establece </w:t>
      </w:r>
      <w:smartTag w:uri="urn:schemas-microsoft-com:office:smarttags" w:element="PersonName">
        <w:smartTagPr>
          <w:attr w:name="ProductID" w:val="la Ley"/>
        </w:smartTagPr>
        <w:r w:rsidRPr="00EE1C15">
          <w:rPr>
            <w:rFonts w:ascii="Abadi" w:hAnsi="Abadi" w:cs="Arial"/>
            <w:sz w:val="21"/>
            <w:szCs w:val="21"/>
          </w:rPr>
          <w:t>la Ley</w:t>
        </w:r>
      </w:smartTag>
      <w:r w:rsidRPr="00EE1C15">
        <w:rPr>
          <w:rFonts w:ascii="Abadi" w:hAnsi="Abadi" w:cs="Arial"/>
          <w:sz w:val="21"/>
          <w:szCs w:val="21"/>
        </w:rPr>
        <w:t xml:space="preserve"> para aclarar, atender o solventar documentalmente las observaciones determinadas por el Órgano Técnico. Al respecto, el presidente y el ex-presidente municipales de Apaseo el Grande, Gto., presentaron información para aclarar y en su caso, solventar las observaciones determinadas.</w:t>
      </w:r>
    </w:p>
    <w:p w14:paraId="69C02E0B" w14:textId="77777777" w:rsidR="00EE1C15" w:rsidRPr="00EE1C15" w:rsidRDefault="00EE1C15" w:rsidP="00EE1C15">
      <w:pPr>
        <w:ind w:firstLine="708"/>
        <w:jc w:val="both"/>
        <w:rPr>
          <w:rFonts w:ascii="Abadi" w:hAnsi="Abadi" w:cs="Arial"/>
          <w:sz w:val="21"/>
          <w:szCs w:val="21"/>
        </w:rPr>
      </w:pPr>
    </w:p>
    <w:p w14:paraId="0CB33F0E" w14:textId="77777777" w:rsidR="00EE1C15" w:rsidRPr="00EE1C15" w:rsidRDefault="00EE1C15" w:rsidP="00EE1C15">
      <w:pPr>
        <w:ind w:firstLine="708"/>
        <w:jc w:val="both"/>
        <w:rPr>
          <w:rFonts w:ascii="Abadi" w:hAnsi="Abadi" w:cs="Arial"/>
          <w:sz w:val="21"/>
          <w:szCs w:val="21"/>
        </w:rPr>
      </w:pPr>
      <w:r w:rsidRPr="00EE1C15">
        <w:rPr>
          <w:rFonts w:ascii="Abadi" w:hAnsi="Abadi" w:cs="Arial"/>
          <w:sz w:val="21"/>
          <w:szCs w:val="21"/>
        </w:rPr>
        <w:t xml:space="preserve">De igual manera, existe en el informe de resultados la constancia de que este se notificó al presidente y al ex-presidente municipales de Apaseo el Grande, Gto., concediéndoles el término señalado en el artículo 37, fracción IV de </w:t>
      </w:r>
      <w:smartTag w:uri="urn:schemas-microsoft-com:office:smarttags" w:element="PersonName">
        <w:smartTagPr>
          <w:attr w:name="ProductID" w:val="la Ley"/>
        </w:smartTagPr>
        <w:r w:rsidRPr="00EE1C15">
          <w:rPr>
            <w:rFonts w:ascii="Abadi" w:hAnsi="Abadi" w:cs="Arial"/>
            <w:sz w:val="21"/>
            <w:szCs w:val="21"/>
          </w:rPr>
          <w:t>la Ley</w:t>
        </w:r>
      </w:smartTag>
      <w:r w:rsidRPr="00EE1C15">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se tuvo por no interpuesto al no expresar los agravios que causa el acto recurrido, de conformidad con lo previsto en el artículo 51, fracción V de la Ley de Fiscalización Superior del Estado de Guanajuato. Lo cual se notificó al presidente municipal de Apaseo el Grande, Gto. En tal virtud, se considera que fue respetado el derecho de audiencia o defensa por parte del Órgano Técnico.</w:t>
      </w:r>
    </w:p>
    <w:p w14:paraId="5386B482" w14:textId="77777777" w:rsidR="00EE1C15" w:rsidRPr="00EE1C15" w:rsidRDefault="00EE1C15" w:rsidP="00EE1C15">
      <w:pPr>
        <w:ind w:firstLine="708"/>
        <w:jc w:val="both"/>
        <w:rPr>
          <w:rFonts w:ascii="Abadi" w:hAnsi="Abadi" w:cs="Arial"/>
          <w:sz w:val="21"/>
          <w:szCs w:val="21"/>
        </w:rPr>
      </w:pPr>
    </w:p>
    <w:p w14:paraId="71C7B072" w14:textId="77777777" w:rsidR="00EE1C15" w:rsidRPr="00EE1C15" w:rsidRDefault="00EE1C15" w:rsidP="00EE1C15">
      <w:pPr>
        <w:ind w:firstLine="708"/>
        <w:jc w:val="both"/>
        <w:rPr>
          <w:rFonts w:ascii="Abadi" w:hAnsi="Abadi" w:cs="Arial"/>
          <w:sz w:val="21"/>
          <w:szCs w:val="21"/>
        </w:rPr>
      </w:pPr>
      <w:r w:rsidRPr="00EE1C15">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14C901B9" w14:textId="77777777" w:rsidR="00EE1C15" w:rsidRPr="00EE1C15" w:rsidRDefault="00EE1C15" w:rsidP="00EE1C15">
      <w:pPr>
        <w:ind w:firstLine="708"/>
        <w:jc w:val="both"/>
        <w:rPr>
          <w:rFonts w:ascii="Abadi" w:hAnsi="Abadi" w:cs="Arial"/>
          <w:sz w:val="21"/>
          <w:szCs w:val="21"/>
        </w:rPr>
      </w:pPr>
    </w:p>
    <w:p w14:paraId="7E53D6DE" w14:textId="77777777" w:rsidR="00EE1C15" w:rsidRPr="00EE1C15" w:rsidRDefault="00EE1C15" w:rsidP="00EE1C15">
      <w:pPr>
        <w:ind w:firstLine="708"/>
        <w:jc w:val="both"/>
        <w:rPr>
          <w:rFonts w:ascii="Abadi" w:hAnsi="Abadi" w:cs="Arial"/>
          <w:sz w:val="21"/>
          <w:szCs w:val="21"/>
        </w:rPr>
      </w:pPr>
      <w:r w:rsidRPr="00EE1C15">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7166F97B" w14:textId="77777777" w:rsidR="00EE1C15" w:rsidRPr="00EE1C15" w:rsidRDefault="00EE1C15" w:rsidP="00EE1C15">
      <w:pPr>
        <w:ind w:firstLine="708"/>
        <w:jc w:val="both"/>
        <w:rPr>
          <w:rFonts w:ascii="Abadi" w:hAnsi="Abadi" w:cs="Arial"/>
          <w:sz w:val="21"/>
          <w:szCs w:val="21"/>
        </w:rPr>
      </w:pPr>
    </w:p>
    <w:p w14:paraId="167DE730" w14:textId="77777777" w:rsidR="00EE1C15" w:rsidRPr="00EE1C15" w:rsidRDefault="00EE1C15" w:rsidP="00EE1C15">
      <w:pPr>
        <w:jc w:val="both"/>
        <w:rPr>
          <w:rFonts w:ascii="Abadi" w:hAnsi="Abadi" w:cs="Arial"/>
          <w:sz w:val="21"/>
          <w:szCs w:val="21"/>
        </w:rPr>
      </w:pPr>
      <w:r w:rsidRPr="00EE1C15">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771AC785" w14:textId="77777777" w:rsidR="00EE1C15" w:rsidRPr="00EE1C15" w:rsidRDefault="00EE1C15" w:rsidP="00EE1C15">
      <w:pPr>
        <w:jc w:val="both"/>
        <w:rPr>
          <w:rFonts w:ascii="Abadi" w:hAnsi="Abadi" w:cs="Arial"/>
          <w:sz w:val="21"/>
          <w:szCs w:val="21"/>
        </w:rPr>
      </w:pPr>
    </w:p>
    <w:p w14:paraId="5965242A" w14:textId="77777777" w:rsidR="00EE1C15" w:rsidRPr="00EE1C15" w:rsidRDefault="00EE1C15" w:rsidP="00EE1C15">
      <w:pPr>
        <w:ind w:firstLine="708"/>
        <w:jc w:val="both"/>
        <w:rPr>
          <w:rFonts w:ascii="Abadi" w:hAnsi="Abadi" w:cs="Arial"/>
          <w:sz w:val="21"/>
          <w:szCs w:val="21"/>
        </w:rPr>
      </w:pPr>
      <w:r w:rsidRPr="00EE1C15">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18293A00" w14:textId="77777777" w:rsidR="00EE1C15" w:rsidRPr="00EE1C15" w:rsidRDefault="00EE1C15" w:rsidP="00EE1C15">
      <w:pPr>
        <w:ind w:firstLine="708"/>
        <w:jc w:val="both"/>
        <w:rPr>
          <w:rFonts w:ascii="Abadi" w:hAnsi="Abadi" w:cs="Arial"/>
          <w:sz w:val="21"/>
          <w:szCs w:val="21"/>
        </w:rPr>
      </w:pPr>
    </w:p>
    <w:p w14:paraId="00A2C435" w14:textId="77777777" w:rsidR="00EE1C15" w:rsidRPr="00EE1C15" w:rsidRDefault="00EE1C15" w:rsidP="00EE1C15">
      <w:pPr>
        <w:ind w:firstLine="708"/>
        <w:jc w:val="both"/>
        <w:rPr>
          <w:rFonts w:ascii="Abadi" w:hAnsi="Abadi" w:cs="Arial"/>
          <w:sz w:val="21"/>
          <w:szCs w:val="21"/>
        </w:rPr>
      </w:pPr>
      <w:r w:rsidRPr="00EE1C15">
        <w:rPr>
          <w:rFonts w:ascii="Abadi" w:hAnsi="Abadi" w:cs="Arial"/>
          <w:sz w:val="21"/>
          <w:szCs w:val="21"/>
        </w:rPr>
        <w:t xml:space="preserve">En razón de lo anteriormente señalado, concluimos que el informe de resultados de la revisión practicada a la cuenta pública de Apaseo el Grande, Gto., correspondiente al ejercicio fiscal del año 2020, debe sancionarse por el Congreso en los términos presentados por la Auditoría Superior del Estado y proceder a su aprobación, considerando que no se actualiza el supuesto contenido en el artículo 38 de </w:t>
      </w:r>
      <w:smartTag w:uri="urn:schemas-microsoft-com:office:smarttags" w:element="PersonName">
        <w:smartTagPr>
          <w:attr w:name="ProductID" w:val="la Ley"/>
        </w:smartTagPr>
        <w:r w:rsidRPr="00EE1C15">
          <w:rPr>
            <w:rFonts w:ascii="Abadi" w:hAnsi="Abadi" w:cs="Arial"/>
            <w:sz w:val="21"/>
            <w:szCs w:val="21"/>
          </w:rPr>
          <w:t>la Ley</w:t>
        </w:r>
      </w:smartTag>
      <w:r w:rsidRPr="00EE1C15">
        <w:rPr>
          <w:rFonts w:ascii="Abadi" w:hAnsi="Abadi" w:cs="Arial"/>
          <w:sz w:val="21"/>
          <w:szCs w:val="21"/>
        </w:rPr>
        <w:t xml:space="preserve"> de Fiscalización Superior del Estado de Guanajuato, razón por la cual no podría ser observado por el Pleno del Congreso.</w:t>
      </w:r>
    </w:p>
    <w:p w14:paraId="7F4DCD30" w14:textId="77777777" w:rsidR="00EE1C15" w:rsidRPr="00EE1C15" w:rsidRDefault="00EE1C15" w:rsidP="00EE1C15">
      <w:pPr>
        <w:ind w:firstLine="708"/>
        <w:jc w:val="both"/>
        <w:rPr>
          <w:rFonts w:ascii="Abadi" w:hAnsi="Abadi" w:cs="Arial"/>
          <w:sz w:val="21"/>
          <w:szCs w:val="21"/>
        </w:rPr>
      </w:pPr>
    </w:p>
    <w:p w14:paraId="69F2198B" w14:textId="428B827D" w:rsidR="00EE1C15" w:rsidRPr="00EE1C15" w:rsidRDefault="00EE1C15" w:rsidP="00EE1C15">
      <w:pPr>
        <w:ind w:firstLine="708"/>
        <w:jc w:val="both"/>
        <w:rPr>
          <w:rFonts w:ascii="Abadi" w:hAnsi="Abadi" w:cs="Arial"/>
          <w:sz w:val="21"/>
          <w:szCs w:val="21"/>
          <w:lang w:val="x-none" w:eastAsia="x-none"/>
        </w:rPr>
      </w:pPr>
      <w:r w:rsidRPr="00EE1C15">
        <w:rPr>
          <w:rFonts w:ascii="Abadi" w:hAnsi="Abadi" w:cs="Arial"/>
          <w:sz w:val="21"/>
          <w:szCs w:val="21"/>
        </w:rPr>
        <w:t>Por lo expuesto, con fundamento en el artículo 204 de la Ley Orgánica del Poder Legislativo, nos permitimos someter a la consideración de la Asamblea, la aprobación del siguiente</w:t>
      </w:r>
      <w:r w:rsidRPr="00EE1C15">
        <w:rPr>
          <w:rFonts w:ascii="Abadi" w:hAnsi="Abadi" w:cs="Arial"/>
          <w:sz w:val="21"/>
          <w:szCs w:val="21"/>
          <w:lang w:val="x-none" w:eastAsia="x-none"/>
        </w:rPr>
        <w:t>:</w:t>
      </w:r>
    </w:p>
    <w:p w14:paraId="07CAE32F" w14:textId="77777777" w:rsidR="00EE1C15" w:rsidRPr="00EE1C15" w:rsidRDefault="00EE1C15" w:rsidP="00EE1C15">
      <w:pPr>
        <w:ind w:firstLine="708"/>
        <w:jc w:val="both"/>
        <w:rPr>
          <w:rFonts w:ascii="Abadi" w:hAnsi="Abadi" w:cs="Arial"/>
          <w:sz w:val="21"/>
          <w:szCs w:val="21"/>
          <w:lang w:val="x-none" w:eastAsia="x-none"/>
        </w:rPr>
      </w:pPr>
    </w:p>
    <w:p w14:paraId="0D7A34F4" w14:textId="77777777" w:rsidR="00EE1C15" w:rsidRPr="00EE1C15" w:rsidRDefault="00EE1C15" w:rsidP="00EE1C15">
      <w:pPr>
        <w:keepNext/>
        <w:jc w:val="center"/>
        <w:outlineLvl w:val="0"/>
        <w:rPr>
          <w:rFonts w:ascii="Abadi" w:eastAsia="Arial Unicode MS" w:hAnsi="Abadi" w:cs="Arial"/>
          <w:b/>
          <w:bCs/>
          <w:smallCaps/>
          <w:sz w:val="21"/>
          <w:szCs w:val="21"/>
        </w:rPr>
      </w:pPr>
      <w:r w:rsidRPr="00EE1C15">
        <w:rPr>
          <w:rFonts w:ascii="Abadi" w:eastAsia="Arial Unicode MS" w:hAnsi="Abadi" w:cs="Arial"/>
          <w:b/>
          <w:bCs/>
          <w:smallCaps/>
          <w:sz w:val="21"/>
          <w:szCs w:val="21"/>
        </w:rPr>
        <w:t>A c u e r d o</w:t>
      </w:r>
    </w:p>
    <w:p w14:paraId="67516274" w14:textId="77777777" w:rsidR="00EE1C15" w:rsidRPr="00EE1C15" w:rsidRDefault="00EE1C15" w:rsidP="00EE1C15">
      <w:pPr>
        <w:rPr>
          <w:rFonts w:ascii="Abadi" w:hAnsi="Abadi"/>
          <w:sz w:val="21"/>
          <w:szCs w:val="21"/>
        </w:rPr>
      </w:pPr>
    </w:p>
    <w:p w14:paraId="1DDFD1C8" w14:textId="0B2760D1" w:rsidR="00EE1C15" w:rsidRDefault="00EE1C15" w:rsidP="00EE1C15">
      <w:pPr>
        <w:ind w:firstLine="708"/>
        <w:jc w:val="both"/>
        <w:rPr>
          <w:rFonts w:ascii="Abadi" w:hAnsi="Abadi" w:cs="Arial"/>
          <w:sz w:val="21"/>
          <w:szCs w:val="21"/>
        </w:rPr>
      </w:pPr>
      <w:r w:rsidRPr="00EE1C15">
        <w:rPr>
          <w:rFonts w:ascii="Abadi" w:hAnsi="Abadi" w:cs="Arial"/>
          <w:b/>
          <w:bCs/>
          <w:sz w:val="21"/>
          <w:szCs w:val="21"/>
        </w:rPr>
        <w:t xml:space="preserve">Único. </w:t>
      </w:r>
      <w:r w:rsidRPr="00EE1C15">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EE1C15">
          <w:rPr>
            <w:rFonts w:ascii="Abadi" w:hAnsi="Abadi" w:cs="Arial"/>
            <w:sz w:val="21"/>
            <w:szCs w:val="21"/>
          </w:rPr>
          <w:t>la Constitución Política</w:t>
        </w:r>
      </w:smartTag>
      <w:r w:rsidRPr="00EE1C15">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Apaseo el Grande, Gto., correspondiente al ejercicio fiscal del año 2020, con base en el informe de resultados formulado por la Auditoría Superior del Estado de Guanajuato.</w:t>
      </w:r>
    </w:p>
    <w:p w14:paraId="00B9E58E" w14:textId="77777777" w:rsidR="00EE1C15" w:rsidRPr="00EE1C15" w:rsidRDefault="00EE1C15" w:rsidP="00EE1C15">
      <w:pPr>
        <w:ind w:firstLine="708"/>
        <w:jc w:val="both"/>
        <w:rPr>
          <w:rFonts w:ascii="Abadi" w:hAnsi="Abadi" w:cs="Arial"/>
          <w:sz w:val="21"/>
          <w:szCs w:val="21"/>
        </w:rPr>
      </w:pPr>
    </w:p>
    <w:p w14:paraId="0F86CEB9" w14:textId="5CF3DA91" w:rsidR="00EE1C15" w:rsidRDefault="00EE1C15" w:rsidP="00EE1C15">
      <w:pPr>
        <w:ind w:firstLine="708"/>
        <w:jc w:val="both"/>
        <w:rPr>
          <w:rFonts w:ascii="Abadi" w:hAnsi="Abadi" w:cs="Arial"/>
          <w:sz w:val="21"/>
          <w:szCs w:val="21"/>
          <w:lang w:val="es-MX" w:eastAsia="x-none"/>
        </w:rPr>
      </w:pPr>
      <w:r w:rsidRPr="00EE1C15">
        <w:rPr>
          <w:rFonts w:ascii="Abadi" w:hAnsi="Abadi" w:cs="Arial"/>
          <w:sz w:val="21"/>
          <w:szCs w:val="21"/>
          <w:lang w:val="x-none" w:eastAsia="x-none"/>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EE1C15">
        <w:rPr>
          <w:rFonts w:ascii="Abadi" w:hAnsi="Abadi" w:cs="Arial"/>
          <w:sz w:val="21"/>
          <w:szCs w:val="21"/>
          <w:lang w:val="es-MX" w:eastAsia="x-none"/>
        </w:rPr>
        <w:t>.</w:t>
      </w:r>
      <w:r w:rsidRPr="00EE1C15">
        <w:rPr>
          <w:rFonts w:ascii="Abadi" w:hAnsi="Abadi" w:cs="Arial"/>
          <w:sz w:val="21"/>
          <w:szCs w:val="21"/>
          <w:lang w:val="x-none" w:eastAsia="x-none"/>
        </w:rPr>
        <w:t xml:space="preserve"> </w:t>
      </w:r>
      <w:r w:rsidRPr="00EE1C15">
        <w:rPr>
          <w:rFonts w:ascii="Abadi" w:hAnsi="Abadi" w:cs="Arial"/>
          <w:sz w:val="21"/>
          <w:szCs w:val="21"/>
          <w:lang w:val="es-MX" w:eastAsia="x-none"/>
        </w:rPr>
        <w:t>Asimismo, dará</w:t>
      </w:r>
      <w:r w:rsidRPr="00EE1C15">
        <w:rPr>
          <w:rFonts w:ascii="Abadi" w:hAnsi="Abadi" w:cs="Arial"/>
          <w:sz w:val="21"/>
          <w:szCs w:val="21"/>
          <w:lang w:val="x-none" w:eastAsia="x-none"/>
        </w:rPr>
        <w:t xml:space="preserve"> seguimiento a la</w:t>
      </w:r>
      <w:r w:rsidRPr="00EE1C15">
        <w:rPr>
          <w:rFonts w:ascii="Abadi" w:hAnsi="Abadi" w:cs="Arial"/>
          <w:sz w:val="21"/>
          <w:szCs w:val="21"/>
          <w:lang w:val="es-MX" w:eastAsia="x-none"/>
        </w:rPr>
        <w:t>s</w:t>
      </w:r>
      <w:r w:rsidRPr="00EE1C15">
        <w:rPr>
          <w:rFonts w:ascii="Abadi" w:hAnsi="Abadi" w:cs="Arial"/>
          <w:sz w:val="21"/>
          <w:szCs w:val="21"/>
          <w:lang w:val="x-none" w:eastAsia="x-none"/>
        </w:rPr>
        <w:t xml:space="preserve"> observaciones no solventadas contenidas en el informe de resultados</w:t>
      </w:r>
      <w:r w:rsidRPr="00EE1C15">
        <w:rPr>
          <w:rFonts w:ascii="Abadi" w:hAnsi="Abadi" w:cs="Arial"/>
          <w:sz w:val="21"/>
          <w:szCs w:val="21"/>
          <w:lang w:val="es-MX" w:eastAsia="x-none"/>
        </w:rPr>
        <w:t>.</w:t>
      </w:r>
    </w:p>
    <w:p w14:paraId="1214E2B1" w14:textId="77777777" w:rsidR="00EE1C15" w:rsidRPr="00EE1C15" w:rsidRDefault="00EE1C15" w:rsidP="00EE1C15">
      <w:pPr>
        <w:ind w:firstLine="708"/>
        <w:jc w:val="both"/>
        <w:rPr>
          <w:rFonts w:ascii="Abadi" w:hAnsi="Abadi" w:cs="Arial"/>
          <w:sz w:val="21"/>
          <w:szCs w:val="21"/>
          <w:lang w:val="es-MX" w:eastAsia="x-none"/>
        </w:rPr>
      </w:pPr>
    </w:p>
    <w:p w14:paraId="41B550C5" w14:textId="77777777" w:rsidR="00EE1C15" w:rsidRPr="00EE1C15" w:rsidRDefault="00EE1C15" w:rsidP="00EE1C15">
      <w:pPr>
        <w:ind w:firstLine="708"/>
        <w:jc w:val="both"/>
        <w:rPr>
          <w:rFonts w:ascii="Abadi" w:hAnsi="Abadi" w:cs="Arial"/>
          <w:sz w:val="21"/>
          <w:szCs w:val="21"/>
          <w:lang w:val="x-none" w:eastAsia="x-none"/>
        </w:rPr>
      </w:pPr>
      <w:r w:rsidRPr="00EE1C15">
        <w:rPr>
          <w:rFonts w:ascii="Abadi" w:hAnsi="Abadi" w:cs="Arial"/>
          <w:sz w:val="21"/>
          <w:szCs w:val="21"/>
        </w:rPr>
        <w:t>Del proceso de fiscalización realizado no se desprendieron recomendaciones</w:t>
      </w:r>
      <w:r w:rsidRPr="00EE1C15">
        <w:rPr>
          <w:rFonts w:ascii="Abadi" w:hAnsi="Abadi" w:cs="Arial"/>
          <w:sz w:val="21"/>
          <w:szCs w:val="21"/>
          <w:lang w:val="x-none" w:eastAsia="x-none"/>
        </w:rPr>
        <w:t>.</w:t>
      </w:r>
    </w:p>
    <w:p w14:paraId="51182723" w14:textId="77777777" w:rsidR="00EE1C15" w:rsidRPr="00EE1C15" w:rsidRDefault="00EE1C15" w:rsidP="00EE1C15">
      <w:pPr>
        <w:jc w:val="both"/>
        <w:rPr>
          <w:rFonts w:ascii="Abadi" w:hAnsi="Abadi" w:cs="Arial"/>
          <w:sz w:val="21"/>
          <w:szCs w:val="21"/>
          <w:lang w:val="x-none"/>
        </w:rPr>
      </w:pPr>
    </w:p>
    <w:p w14:paraId="73AE3DB1" w14:textId="6FC5436C" w:rsidR="00EE1C15" w:rsidRDefault="00EE1C15" w:rsidP="00EE1C15">
      <w:pPr>
        <w:ind w:firstLine="708"/>
        <w:jc w:val="both"/>
        <w:rPr>
          <w:rFonts w:ascii="Abadi" w:hAnsi="Abadi" w:cs="Arial"/>
          <w:sz w:val="21"/>
          <w:szCs w:val="21"/>
        </w:rPr>
      </w:pPr>
      <w:r w:rsidRPr="00EE1C15">
        <w:rPr>
          <w:rFonts w:ascii="Abadi" w:hAnsi="Abadi" w:cs="Arial"/>
          <w:sz w:val="21"/>
          <w:szCs w:val="21"/>
        </w:rPr>
        <w:t>Remítase el presente acuerdo al titular del Poder Ejecutivo del Estado para su publicación en el Periódico Oficial del Gobierno del Estado.</w:t>
      </w:r>
    </w:p>
    <w:p w14:paraId="7DB8702E" w14:textId="77777777" w:rsidR="00EE1C15" w:rsidRPr="00EE1C15" w:rsidRDefault="00EE1C15" w:rsidP="00EE1C15">
      <w:pPr>
        <w:ind w:firstLine="708"/>
        <w:jc w:val="both"/>
        <w:rPr>
          <w:rFonts w:ascii="Abadi" w:hAnsi="Abadi" w:cs="Arial"/>
          <w:sz w:val="21"/>
          <w:szCs w:val="21"/>
        </w:rPr>
      </w:pPr>
    </w:p>
    <w:p w14:paraId="7E819CB1" w14:textId="77777777" w:rsidR="00EE1C15" w:rsidRPr="00EE1C15" w:rsidRDefault="00EE1C15" w:rsidP="00EE1C15">
      <w:pPr>
        <w:ind w:firstLine="708"/>
        <w:jc w:val="both"/>
        <w:rPr>
          <w:rFonts w:ascii="Abadi" w:hAnsi="Abadi" w:cs="Arial"/>
          <w:sz w:val="21"/>
          <w:szCs w:val="21"/>
          <w:lang w:val="x-none" w:eastAsia="x-none"/>
        </w:rPr>
      </w:pPr>
      <w:r w:rsidRPr="00EE1C15">
        <w:rPr>
          <w:rFonts w:ascii="Abadi" w:hAnsi="Abadi" w:cs="Arial"/>
          <w:sz w:val="21"/>
          <w:szCs w:val="21"/>
          <w:lang w:val="x-none"/>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EE1C15">
        <w:rPr>
          <w:rFonts w:ascii="Abadi" w:hAnsi="Abadi" w:cs="Arial"/>
          <w:sz w:val="21"/>
          <w:szCs w:val="21"/>
          <w:lang w:val="x-none" w:eastAsia="x-none"/>
        </w:rPr>
        <w:t>.</w:t>
      </w:r>
    </w:p>
    <w:p w14:paraId="4D6539FF" w14:textId="77777777" w:rsidR="00EE1C15" w:rsidRPr="00EE1C15" w:rsidRDefault="00EE1C15" w:rsidP="00EE1C15">
      <w:pPr>
        <w:jc w:val="center"/>
        <w:rPr>
          <w:rFonts w:ascii="Abadi" w:hAnsi="Abadi" w:cs="Arial"/>
          <w:b/>
          <w:bCs/>
          <w:sz w:val="21"/>
          <w:szCs w:val="21"/>
          <w:lang w:eastAsia="x-none"/>
        </w:rPr>
      </w:pPr>
    </w:p>
    <w:p w14:paraId="3F6EC3AE" w14:textId="77777777" w:rsidR="00EE1C15" w:rsidRPr="00EE1C15" w:rsidRDefault="00EE1C15" w:rsidP="00EE1C15">
      <w:pPr>
        <w:jc w:val="center"/>
        <w:rPr>
          <w:rFonts w:ascii="Abadi" w:hAnsi="Abadi" w:cs="Arial"/>
          <w:b/>
          <w:bCs/>
          <w:sz w:val="21"/>
          <w:szCs w:val="21"/>
          <w:lang w:eastAsia="x-none"/>
        </w:rPr>
      </w:pPr>
      <w:r w:rsidRPr="00EE1C15">
        <w:rPr>
          <w:rFonts w:ascii="Abadi" w:hAnsi="Abadi" w:cs="Arial"/>
          <w:b/>
          <w:bCs/>
          <w:sz w:val="21"/>
          <w:szCs w:val="21"/>
          <w:lang w:eastAsia="x-none"/>
        </w:rPr>
        <w:t>Guanajuato, Gto., 16 de junio de 2022</w:t>
      </w:r>
    </w:p>
    <w:p w14:paraId="1755AE19" w14:textId="77777777" w:rsidR="00EE1C15" w:rsidRPr="00EE1C15" w:rsidRDefault="00EE1C15" w:rsidP="00EE1C15">
      <w:pPr>
        <w:jc w:val="center"/>
        <w:rPr>
          <w:rFonts w:ascii="Abadi" w:hAnsi="Abadi" w:cs="Arial"/>
          <w:b/>
          <w:bCs/>
          <w:sz w:val="21"/>
          <w:szCs w:val="21"/>
          <w:lang w:eastAsia="x-none"/>
        </w:rPr>
      </w:pPr>
      <w:smartTag w:uri="urn:schemas-microsoft-com:office:smarttags" w:element="PersonName">
        <w:smartTagPr>
          <w:attr w:name="ProductID" w:val="La Comisi￳n"/>
        </w:smartTagPr>
        <w:r w:rsidRPr="00EE1C15">
          <w:rPr>
            <w:rFonts w:ascii="Abadi" w:hAnsi="Abadi" w:cs="Arial"/>
            <w:b/>
            <w:bCs/>
            <w:sz w:val="21"/>
            <w:szCs w:val="21"/>
            <w:lang w:eastAsia="x-none"/>
          </w:rPr>
          <w:t>La Comisión</w:t>
        </w:r>
      </w:smartTag>
      <w:r w:rsidRPr="00EE1C15">
        <w:rPr>
          <w:rFonts w:ascii="Abadi" w:hAnsi="Abadi" w:cs="Arial"/>
          <w:b/>
          <w:bCs/>
          <w:sz w:val="21"/>
          <w:szCs w:val="21"/>
          <w:lang w:eastAsia="x-none"/>
        </w:rPr>
        <w:t xml:space="preserve"> de Hacienda y Fiscalización</w:t>
      </w:r>
    </w:p>
    <w:p w14:paraId="4D04BE49" w14:textId="77777777" w:rsidR="00EE1C15" w:rsidRPr="00EE1C15" w:rsidRDefault="00EE1C15" w:rsidP="00EE1C15">
      <w:pPr>
        <w:jc w:val="center"/>
        <w:rPr>
          <w:rFonts w:ascii="Abadi" w:hAnsi="Abadi" w:cs="Arial"/>
          <w:sz w:val="21"/>
          <w:szCs w:val="21"/>
        </w:rPr>
      </w:pPr>
    </w:p>
    <w:p w14:paraId="4A04E21E" w14:textId="77777777" w:rsidR="00EE1C15" w:rsidRPr="00EE1C15" w:rsidRDefault="00EE1C15" w:rsidP="00EE1C15">
      <w:pPr>
        <w:jc w:val="center"/>
        <w:rPr>
          <w:rFonts w:ascii="Abadi" w:hAnsi="Abadi" w:cs="Arial"/>
          <w:sz w:val="21"/>
          <w:szCs w:val="21"/>
        </w:rPr>
      </w:pPr>
    </w:p>
    <w:p w14:paraId="59441932" w14:textId="24DD4069" w:rsidR="00EE1C15" w:rsidRPr="00EE1C15" w:rsidRDefault="00EE1C15" w:rsidP="00EE1C15">
      <w:pPr>
        <w:jc w:val="center"/>
        <w:rPr>
          <w:rFonts w:ascii="Abadi" w:hAnsi="Abadi" w:cs="Arial"/>
          <w:sz w:val="21"/>
          <w:szCs w:val="21"/>
        </w:rPr>
      </w:pPr>
      <w:r w:rsidRPr="00EE1C15">
        <w:rPr>
          <w:rFonts w:ascii="Abadi" w:hAnsi="Abadi" w:cs="Arial"/>
          <w:b/>
          <w:sz w:val="21"/>
          <w:szCs w:val="21"/>
          <w:lang w:eastAsia="x-none"/>
        </w:rPr>
        <w:t>Diputado Víctor Manuel Zanella Huerta</w:t>
      </w:r>
    </w:p>
    <w:p w14:paraId="24876D74" w14:textId="77777777" w:rsidR="00EE1C15" w:rsidRPr="00EE1C15" w:rsidRDefault="00EE1C15" w:rsidP="00EE1C15">
      <w:pPr>
        <w:jc w:val="center"/>
        <w:rPr>
          <w:rFonts w:ascii="Abadi" w:hAnsi="Abadi" w:cs="Arial"/>
          <w:b/>
          <w:bCs/>
          <w:sz w:val="21"/>
          <w:szCs w:val="21"/>
          <w:lang w:eastAsia="x-none"/>
        </w:rPr>
      </w:pPr>
    </w:p>
    <w:p w14:paraId="6E085B00" w14:textId="5670B8F3" w:rsidR="00EE1C15" w:rsidRPr="00EE1C15" w:rsidRDefault="00EE1C15" w:rsidP="00EE1C15">
      <w:pPr>
        <w:jc w:val="center"/>
        <w:rPr>
          <w:rFonts w:ascii="Abadi" w:hAnsi="Abadi" w:cs="Arial"/>
          <w:b/>
          <w:sz w:val="21"/>
          <w:szCs w:val="21"/>
          <w:lang w:eastAsia="x-none"/>
        </w:rPr>
      </w:pPr>
      <w:r w:rsidRPr="00EE1C15">
        <w:rPr>
          <w:rFonts w:ascii="Abadi" w:hAnsi="Abadi" w:cs="Arial"/>
          <w:b/>
          <w:sz w:val="21"/>
          <w:szCs w:val="21"/>
          <w:lang w:eastAsia="x-none"/>
        </w:rPr>
        <w:t>Diputada Ruth Noemí Tiscareño Agoitia</w:t>
      </w:r>
    </w:p>
    <w:p w14:paraId="519805E9" w14:textId="77777777" w:rsidR="00EE1C15" w:rsidRPr="00EE1C15" w:rsidRDefault="00EE1C15" w:rsidP="00EE1C15">
      <w:pPr>
        <w:jc w:val="center"/>
        <w:rPr>
          <w:rFonts w:ascii="Abadi" w:hAnsi="Abadi" w:cs="Arial"/>
          <w:b/>
          <w:sz w:val="21"/>
          <w:szCs w:val="21"/>
          <w:lang w:eastAsia="x-none"/>
        </w:rPr>
      </w:pPr>
    </w:p>
    <w:p w14:paraId="50279FAC" w14:textId="0D90C42C" w:rsidR="00EE1C15" w:rsidRPr="00EE1C15" w:rsidRDefault="00EE1C15" w:rsidP="00EE1C15">
      <w:pPr>
        <w:jc w:val="center"/>
        <w:rPr>
          <w:rFonts w:ascii="Abadi" w:hAnsi="Abadi" w:cs="Arial"/>
          <w:b/>
          <w:sz w:val="21"/>
          <w:szCs w:val="21"/>
          <w:lang w:eastAsia="x-none"/>
        </w:rPr>
      </w:pPr>
      <w:r w:rsidRPr="00EE1C15">
        <w:rPr>
          <w:rFonts w:ascii="Abadi" w:hAnsi="Abadi" w:cs="Arial"/>
          <w:b/>
          <w:sz w:val="21"/>
          <w:szCs w:val="21"/>
          <w:lang w:eastAsia="x-none"/>
        </w:rPr>
        <w:t>Diputado Miguel Ángel Salim Alle</w:t>
      </w:r>
    </w:p>
    <w:p w14:paraId="1B257622" w14:textId="77777777" w:rsidR="00EE1C15" w:rsidRPr="00EE1C15" w:rsidRDefault="00EE1C15" w:rsidP="00EE1C15">
      <w:pPr>
        <w:jc w:val="center"/>
        <w:rPr>
          <w:rFonts w:ascii="Abadi" w:hAnsi="Abadi" w:cs="Arial"/>
          <w:b/>
          <w:sz w:val="21"/>
          <w:szCs w:val="21"/>
          <w:lang w:eastAsia="x-none"/>
        </w:rPr>
      </w:pPr>
    </w:p>
    <w:p w14:paraId="0731B85E" w14:textId="11F11FEC" w:rsidR="00EE1C15" w:rsidRPr="00EE1C15" w:rsidRDefault="00EE1C15" w:rsidP="00EE1C15">
      <w:pPr>
        <w:jc w:val="center"/>
        <w:rPr>
          <w:rFonts w:ascii="Abadi" w:hAnsi="Abadi" w:cs="Arial"/>
          <w:b/>
          <w:sz w:val="21"/>
          <w:szCs w:val="21"/>
          <w:lang w:eastAsia="x-none"/>
        </w:rPr>
      </w:pPr>
      <w:r w:rsidRPr="00EE1C15">
        <w:rPr>
          <w:rFonts w:ascii="Abadi" w:hAnsi="Abadi" w:cs="Arial"/>
          <w:b/>
          <w:sz w:val="21"/>
          <w:szCs w:val="21"/>
          <w:lang w:eastAsia="x-none"/>
        </w:rPr>
        <w:t>Diputado José Alfonso Borja Pimentel</w:t>
      </w:r>
    </w:p>
    <w:p w14:paraId="197AA29A" w14:textId="77777777" w:rsidR="00EE1C15" w:rsidRPr="00EE1C15" w:rsidRDefault="00EE1C15" w:rsidP="00EE1C15">
      <w:pPr>
        <w:jc w:val="center"/>
        <w:rPr>
          <w:rFonts w:ascii="Abadi" w:hAnsi="Abadi" w:cs="Arial"/>
          <w:b/>
          <w:sz w:val="21"/>
          <w:szCs w:val="21"/>
          <w:lang w:eastAsia="x-none"/>
        </w:rPr>
      </w:pPr>
    </w:p>
    <w:p w14:paraId="3063F414" w14:textId="77777777" w:rsidR="00EE1C15" w:rsidRPr="00EE1C15" w:rsidRDefault="00EE1C15" w:rsidP="00EE1C15">
      <w:pPr>
        <w:jc w:val="center"/>
        <w:rPr>
          <w:rFonts w:ascii="Abadi" w:hAnsi="Abadi" w:cs="Arial"/>
          <w:b/>
          <w:sz w:val="21"/>
          <w:szCs w:val="21"/>
          <w:lang w:eastAsia="x-none"/>
        </w:rPr>
      </w:pPr>
      <w:r w:rsidRPr="00EE1C15">
        <w:rPr>
          <w:rFonts w:ascii="Abadi" w:hAnsi="Abadi" w:cs="Arial"/>
          <w:b/>
          <w:sz w:val="21"/>
          <w:szCs w:val="21"/>
          <w:lang w:eastAsia="x-none"/>
        </w:rPr>
        <w:t>Diputada Alma Edwviges Alcaraz Hernández</w:t>
      </w:r>
    </w:p>
    <w:p w14:paraId="49732DDA" w14:textId="62B2D93D" w:rsidR="009D10FC" w:rsidRDefault="009D10FC" w:rsidP="009D10FC">
      <w:pPr>
        <w:rPr>
          <w:rFonts w:ascii="Abadi" w:hAnsi="Abadi"/>
          <w:sz w:val="20"/>
          <w:szCs w:val="20"/>
        </w:rPr>
      </w:pPr>
    </w:p>
    <w:p w14:paraId="0244D939" w14:textId="77777777" w:rsidR="009D10FC" w:rsidRPr="009D10FC" w:rsidRDefault="009D10FC" w:rsidP="009D10FC">
      <w:pPr>
        <w:rPr>
          <w:rFonts w:ascii="Abadi" w:hAnsi="Abadi"/>
          <w:sz w:val="20"/>
          <w:szCs w:val="20"/>
        </w:rPr>
      </w:pPr>
    </w:p>
    <w:p w14:paraId="0F325E82" w14:textId="77777777" w:rsidR="0080731C" w:rsidRPr="00531B12" w:rsidRDefault="0080731C" w:rsidP="0080731C">
      <w:pPr>
        <w:pStyle w:val="Prrafodelista"/>
        <w:tabs>
          <w:tab w:val="left" w:pos="856"/>
        </w:tabs>
        <w:kinsoku w:val="0"/>
        <w:overflowPunct w:val="0"/>
        <w:autoSpaceDE w:val="0"/>
        <w:autoSpaceDN w:val="0"/>
        <w:adjustRightInd w:val="0"/>
        <w:ind w:left="720" w:right="17"/>
        <w:jc w:val="both"/>
        <w:rPr>
          <w:rFonts w:ascii="Abadi" w:hAnsi="Abadi"/>
          <w:b/>
          <w:bCs/>
          <w:sz w:val="20"/>
          <w:szCs w:val="20"/>
        </w:rPr>
      </w:pPr>
    </w:p>
    <w:p w14:paraId="53BA4370" w14:textId="6657CE47" w:rsidR="0080731C" w:rsidRDefault="0080731C"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0"/>
          <w:sz w:val="20"/>
          <w:szCs w:val="20"/>
        </w:rPr>
        <w:t xml:space="preserve"> </w:t>
      </w:r>
      <w:r w:rsidRPr="00531B12">
        <w:rPr>
          <w:rFonts w:ascii="Abadi" w:hAnsi="Abadi"/>
          <w:b/>
          <w:bCs/>
          <w:sz w:val="20"/>
          <w:szCs w:val="20"/>
        </w:rPr>
        <w:t>EN</w:t>
      </w:r>
      <w:r w:rsidRPr="00531B12">
        <w:rPr>
          <w:rFonts w:ascii="Abadi" w:hAnsi="Abadi"/>
          <w:b/>
          <w:bCs/>
          <w:spacing w:val="10"/>
          <w:sz w:val="20"/>
          <w:szCs w:val="20"/>
        </w:rPr>
        <w:t xml:space="preserve"> </w:t>
      </w:r>
      <w:r w:rsidRPr="00531B12">
        <w:rPr>
          <w:rFonts w:ascii="Abadi" w:hAnsi="Abadi"/>
          <w:b/>
          <w:bCs/>
          <w:sz w:val="20"/>
          <w:szCs w:val="20"/>
        </w:rPr>
        <w:t>SU</w:t>
      </w:r>
      <w:r w:rsidRPr="00531B12">
        <w:rPr>
          <w:rFonts w:ascii="Abadi" w:hAnsi="Abadi"/>
          <w:b/>
          <w:bCs/>
          <w:spacing w:val="10"/>
          <w:sz w:val="20"/>
          <w:szCs w:val="20"/>
        </w:rPr>
        <w:t xml:space="preserve"> </w:t>
      </w:r>
      <w:r w:rsidRPr="00531B12">
        <w:rPr>
          <w:rFonts w:ascii="Abadi" w:hAnsi="Abadi"/>
          <w:b/>
          <w:bCs/>
          <w:sz w:val="20"/>
          <w:szCs w:val="20"/>
        </w:rPr>
        <w:t>CASO,</w:t>
      </w:r>
      <w:r w:rsidRPr="00531B12">
        <w:rPr>
          <w:rFonts w:ascii="Abadi" w:hAnsi="Abadi"/>
          <w:b/>
          <w:bCs/>
          <w:spacing w:val="10"/>
          <w:sz w:val="20"/>
          <w:szCs w:val="20"/>
        </w:rPr>
        <w:t xml:space="preserve"> </w:t>
      </w:r>
      <w:r w:rsidRPr="00531B12">
        <w:rPr>
          <w:rFonts w:ascii="Abadi" w:hAnsi="Abadi"/>
          <w:b/>
          <w:bCs/>
          <w:sz w:val="20"/>
          <w:szCs w:val="20"/>
        </w:rPr>
        <w:t>APROBACIÓN</w:t>
      </w:r>
      <w:r w:rsidRPr="00531B12">
        <w:rPr>
          <w:rFonts w:ascii="Abadi" w:hAnsi="Abadi"/>
          <w:b/>
          <w:bCs/>
          <w:spacing w:val="10"/>
          <w:sz w:val="20"/>
          <w:szCs w:val="20"/>
        </w:rPr>
        <w:t xml:space="preserve"> </w:t>
      </w:r>
      <w:r w:rsidRPr="00531B12">
        <w:rPr>
          <w:rFonts w:ascii="Abadi" w:hAnsi="Abadi"/>
          <w:b/>
          <w:bCs/>
          <w:sz w:val="20"/>
          <w:szCs w:val="20"/>
        </w:rPr>
        <w:t>DEL</w:t>
      </w:r>
      <w:r w:rsidRPr="00531B12">
        <w:rPr>
          <w:rFonts w:ascii="Abadi" w:hAnsi="Abadi"/>
          <w:b/>
          <w:bCs/>
          <w:spacing w:val="10"/>
          <w:sz w:val="20"/>
          <w:szCs w:val="20"/>
        </w:rPr>
        <w:t xml:space="preserve"> </w:t>
      </w:r>
      <w:r w:rsidRPr="00531B12">
        <w:rPr>
          <w:rFonts w:ascii="Abadi" w:hAnsi="Abadi"/>
          <w:b/>
          <w:bCs/>
          <w:sz w:val="20"/>
          <w:szCs w:val="20"/>
        </w:rPr>
        <w:t>DICTAMEN</w:t>
      </w:r>
      <w:r w:rsidRPr="00531B12">
        <w:rPr>
          <w:rFonts w:ascii="Abadi" w:hAnsi="Abadi"/>
          <w:b/>
          <w:bCs/>
          <w:spacing w:val="10"/>
          <w:sz w:val="20"/>
          <w:szCs w:val="20"/>
        </w:rPr>
        <w:t xml:space="preserve"> </w:t>
      </w:r>
      <w:r w:rsidRPr="00531B12">
        <w:rPr>
          <w:rFonts w:ascii="Abadi" w:hAnsi="Abadi"/>
          <w:b/>
          <w:bCs/>
          <w:sz w:val="20"/>
          <w:szCs w:val="20"/>
        </w:rPr>
        <w:t>SIGNADO</w:t>
      </w:r>
      <w:r w:rsidRPr="00531B12">
        <w:rPr>
          <w:rFonts w:ascii="Abadi" w:hAnsi="Abadi"/>
          <w:b/>
          <w:bCs/>
          <w:spacing w:val="10"/>
          <w:sz w:val="20"/>
          <w:szCs w:val="20"/>
        </w:rPr>
        <w:t xml:space="preserve"> </w:t>
      </w:r>
      <w:r w:rsidRPr="00531B12">
        <w:rPr>
          <w:rFonts w:ascii="Abadi" w:hAnsi="Abadi"/>
          <w:b/>
          <w:bCs/>
          <w:sz w:val="20"/>
          <w:szCs w:val="20"/>
        </w:rPr>
        <w:t>POR</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COMISIÓN DE</w:t>
      </w:r>
      <w:r w:rsidRPr="00531B12">
        <w:rPr>
          <w:rFonts w:ascii="Abadi" w:hAnsi="Abadi"/>
          <w:b/>
          <w:bCs/>
          <w:spacing w:val="9"/>
          <w:sz w:val="20"/>
          <w:szCs w:val="20"/>
        </w:rPr>
        <w:t xml:space="preserve"> </w:t>
      </w:r>
      <w:r w:rsidRPr="00531B12">
        <w:rPr>
          <w:rFonts w:ascii="Abadi" w:hAnsi="Abadi"/>
          <w:b/>
          <w:bCs/>
          <w:sz w:val="20"/>
          <w:szCs w:val="20"/>
        </w:rPr>
        <w:t>HACIENDA</w:t>
      </w:r>
      <w:r w:rsidRPr="00531B12">
        <w:rPr>
          <w:rFonts w:ascii="Abadi" w:hAnsi="Abadi"/>
          <w:b/>
          <w:bCs/>
          <w:spacing w:val="9"/>
          <w:sz w:val="20"/>
          <w:szCs w:val="20"/>
        </w:rPr>
        <w:t xml:space="preserve"> </w:t>
      </w:r>
      <w:r w:rsidRPr="00531B12">
        <w:rPr>
          <w:rFonts w:ascii="Abadi" w:hAnsi="Abadi"/>
          <w:b/>
          <w:bCs/>
          <w:sz w:val="20"/>
          <w:szCs w:val="20"/>
        </w:rPr>
        <w:t>Y</w:t>
      </w:r>
      <w:r w:rsidRPr="00531B12">
        <w:rPr>
          <w:rFonts w:ascii="Abadi" w:hAnsi="Abadi"/>
          <w:b/>
          <w:bCs/>
          <w:spacing w:val="9"/>
          <w:sz w:val="20"/>
          <w:szCs w:val="20"/>
        </w:rPr>
        <w:t xml:space="preserve"> </w:t>
      </w:r>
      <w:r w:rsidRPr="00531B12">
        <w:rPr>
          <w:rFonts w:ascii="Abadi" w:hAnsi="Abadi"/>
          <w:b/>
          <w:bCs/>
          <w:sz w:val="20"/>
          <w:szCs w:val="20"/>
        </w:rPr>
        <w:t>FISCALIZACIÓN</w:t>
      </w:r>
      <w:r w:rsidRPr="00531B12">
        <w:rPr>
          <w:rFonts w:ascii="Abadi" w:hAnsi="Abadi"/>
          <w:b/>
          <w:bCs/>
          <w:spacing w:val="9"/>
          <w:sz w:val="20"/>
          <w:szCs w:val="20"/>
        </w:rPr>
        <w:t xml:space="preserve"> </w:t>
      </w:r>
      <w:r w:rsidRPr="00531B12">
        <w:rPr>
          <w:rFonts w:ascii="Abadi" w:hAnsi="Abadi"/>
          <w:b/>
          <w:bCs/>
          <w:sz w:val="20"/>
          <w:szCs w:val="20"/>
        </w:rPr>
        <w:t>RELATIVO</w:t>
      </w:r>
      <w:r w:rsidRPr="00531B12">
        <w:rPr>
          <w:rFonts w:ascii="Abadi" w:hAnsi="Abadi"/>
          <w:b/>
          <w:bCs/>
          <w:spacing w:val="9"/>
          <w:sz w:val="20"/>
          <w:szCs w:val="20"/>
        </w:rPr>
        <w:t xml:space="preserve"> </w:t>
      </w:r>
      <w:r w:rsidRPr="00531B12">
        <w:rPr>
          <w:rFonts w:ascii="Abadi" w:hAnsi="Abadi"/>
          <w:b/>
          <w:bCs/>
          <w:sz w:val="20"/>
          <w:szCs w:val="20"/>
        </w:rPr>
        <w:t>AL</w:t>
      </w:r>
      <w:r w:rsidRPr="00531B12">
        <w:rPr>
          <w:rFonts w:ascii="Abadi" w:hAnsi="Abadi"/>
          <w:b/>
          <w:bCs/>
          <w:spacing w:val="8"/>
          <w:sz w:val="20"/>
          <w:szCs w:val="20"/>
        </w:rPr>
        <w:t xml:space="preserve"> </w:t>
      </w:r>
      <w:r w:rsidRPr="00531B12">
        <w:rPr>
          <w:rFonts w:ascii="Abadi" w:hAnsi="Abadi"/>
          <w:b/>
          <w:bCs/>
          <w:sz w:val="20"/>
          <w:szCs w:val="20"/>
        </w:rPr>
        <w:t>INFORME</w:t>
      </w:r>
      <w:r w:rsidRPr="00531B12">
        <w:rPr>
          <w:rFonts w:ascii="Abadi" w:hAnsi="Abadi"/>
          <w:b/>
          <w:bCs/>
          <w:spacing w:val="9"/>
          <w:sz w:val="20"/>
          <w:szCs w:val="20"/>
        </w:rPr>
        <w:t xml:space="preserve"> </w:t>
      </w:r>
      <w:r w:rsidRPr="00531B12">
        <w:rPr>
          <w:rFonts w:ascii="Abadi" w:hAnsi="Abadi"/>
          <w:b/>
          <w:bCs/>
          <w:sz w:val="20"/>
          <w:szCs w:val="20"/>
        </w:rPr>
        <w:t>DE</w:t>
      </w:r>
      <w:r w:rsidRPr="00531B12">
        <w:rPr>
          <w:rFonts w:ascii="Abadi" w:hAnsi="Abadi"/>
          <w:b/>
          <w:bCs/>
          <w:spacing w:val="9"/>
          <w:sz w:val="20"/>
          <w:szCs w:val="20"/>
        </w:rPr>
        <w:t xml:space="preserve"> </w:t>
      </w:r>
      <w:r w:rsidRPr="00531B12">
        <w:rPr>
          <w:rFonts w:ascii="Abadi" w:hAnsi="Abadi"/>
          <w:b/>
          <w:bCs/>
          <w:sz w:val="20"/>
          <w:szCs w:val="20"/>
        </w:rPr>
        <w:t>RESULTADOS</w:t>
      </w:r>
      <w:r w:rsidRPr="00531B12">
        <w:rPr>
          <w:rFonts w:ascii="Abadi" w:hAnsi="Abadi"/>
          <w:b/>
          <w:bCs/>
          <w:spacing w:val="9"/>
          <w:sz w:val="20"/>
          <w:szCs w:val="20"/>
        </w:rPr>
        <w:t xml:space="preserve"> </w:t>
      </w:r>
      <w:r w:rsidRPr="00531B12">
        <w:rPr>
          <w:rFonts w:ascii="Abadi" w:hAnsi="Abadi"/>
          <w:b/>
          <w:bCs/>
          <w:sz w:val="20"/>
          <w:szCs w:val="20"/>
        </w:rPr>
        <w:t>DE</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9"/>
          <w:sz w:val="20"/>
          <w:szCs w:val="20"/>
        </w:rPr>
        <w:t xml:space="preserve"> </w:t>
      </w:r>
      <w:r w:rsidRPr="00531B12">
        <w:rPr>
          <w:rFonts w:ascii="Abadi" w:hAnsi="Abadi"/>
          <w:b/>
          <w:bCs/>
          <w:sz w:val="20"/>
          <w:szCs w:val="20"/>
        </w:rPr>
        <w:t>REVISIÓN PRACTICADA</w:t>
      </w:r>
      <w:r w:rsidRPr="00531B12">
        <w:rPr>
          <w:rFonts w:ascii="Abadi" w:hAnsi="Abadi"/>
          <w:b/>
          <w:bCs/>
          <w:spacing w:val="9"/>
          <w:sz w:val="20"/>
          <w:szCs w:val="20"/>
        </w:rPr>
        <w:t xml:space="preserve"> </w:t>
      </w:r>
      <w:r w:rsidRPr="00531B12">
        <w:rPr>
          <w:rFonts w:ascii="Abadi" w:hAnsi="Abadi"/>
          <w:b/>
          <w:bCs/>
          <w:sz w:val="20"/>
          <w:szCs w:val="20"/>
        </w:rPr>
        <w:t>POR</w:t>
      </w:r>
      <w:r w:rsidRPr="00531B12">
        <w:rPr>
          <w:rFonts w:ascii="Abadi" w:hAnsi="Abadi"/>
          <w:b/>
          <w:bCs/>
          <w:spacing w:val="8"/>
          <w:sz w:val="20"/>
          <w:szCs w:val="20"/>
        </w:rPr>
        <w:t xml:space="preserve"> </w:t>
      </w:r>
      <w:r w:rsidRPr="00531B12">
        <w:rPr>
          <w:rFonts w:ascii="Abadi" w:hAnsi="Abadi"/>
          <w:b/>
          <w:bCs/>
          <w:sz w:val="20"/>
          <w:szCs w:val="20"/>
        </w:rPr>
        <w:t>LA</w:t>
      </w:r>
      <w:r w:rsidRPr="00531B12">
        <w:rPr>
          <w:rFonts w:ascii="Abadi" w:hAnsi="Abadi"/>
          <w:b/>
          <w:bCs/>
          <w:spacing w:val="9"/>
          <w:sz w:val="20"/>
          <w:szCs w:val="20"/>
        </w:rPr>
        <w:t xml:space="preserve"> </w:t>
      </w:r>
      <w:r w:rsidRPr="00531B12">
        <w:rPr>
          <w:rFonts w:ascii="Abadi" w:hAnsi="Abadi"/>
          <w:b/>
          <w:bCs/>
          <w:sz w:val="20"/>
          <w:szCs w:val="20"/>
        </w:rPr>
        <w:t>AUDITORÍA</w:t>
      </w:r>
      <w:r w:rsidRPr="00531B12">
        <w:rPr>
          <w:rFonts w:ascii="Abadi" w:hAnsi="Abadi"/>
          <w:b/>
          <w:bCs/>
          <w:spacing w:val="9"/>
          <w:sz w:val="20"/>
          <w:szCs w:val="20"/>
        </w:rPr>
        <w:t xml:space="preserve"> </w:t>
      </w:r>
      <w:r w:rsidRPr="00531B12">
        <w:rPr>
          <w:rFonts w:ascii="Abadi" w:hAnsi="Abadi"/>
          <w:b/>
          <w:bCs/>
          <w:sz w:val="20"/>
          <w:szCs w:val="20"/>
        </w:rPr>
        <w:t>SUPERIOR</w:t>
      </w:r>
      <w:r w:rsidRPr="00531B12">
        <w:rPr>
          <w:rFonts w:ascii="Abadi" w:hAnsi="Abadi"/>
          <w:b/>
          <w:bCs/>
          <w:spacing w:val="8"/>
          <w:sz w:val="20"/>
          <w:szCs w:val="20"/>
        </w:rPr>
        <w:t xml:space="preserve"> </w:t>
      </w:r>
      <w:r w:rsidRPr="00531B12">
        <w:rPr>
          <w:rFonts w:ascii="Abadi" w:hAnsi="Abadi"/>
          <w:b/>
          <w:bCs/>
          <w:sz w:val="20"/>
          <w:szCs w:val="20"/>
        </w:rPr>
        <w:t>DEL</w:t>
      </w:r>
      <w:r w:rsidRPr="00531B12">
        <w:rPr>
          <w:rFonts w:ascii="Abadi" w:hAnsi="Abadi"/>
          <w:b/>
          <w:bCs/>
          <w:spacing w:val="8"/>
          <w:sz w:val="20"/>
          <w:szCs w:val="20"/>
        </w:rPr>
        <w:t xml:space="preserve"> </w:t>
      </w:r>
      <w:r w:rsidRPr="00531B12">
        <w:rPr>
          <w:rFonts w:ascii="Abadi" w:hAnsi="Abadi"/>
          <w:b/>
          <w:bCs/>
          <w:sz w:val="20"/>
          <w:szCs w:val="20"/>
        </w:rPr>
        <w:t>ESTADO</w:t>
      </w:r>
      <w:r w:rsidRPr="00531B12">
        <w:rPr>
          <w:rFonts w:ascii="Abadi" w:hAnsi="Abadi"/>
          <w:b/>
          <w:bCs/>
          <w:spacing w:val="9"/>
          <w:sz w:val="20"/>
          <w:szCs w:val="20"/>
        </w:rPr>
        <w:t xml:space="preserve"> </w:t>
      </w:r>
      <w:r w:rsidRPr="00531B12">
        <w:rPr>
          <w:rFonts w:ascii="Abadi" w:hAnsi="Abadi"/>
          <w:b/>
          <w:bCs/>
          <w:sz w:val="20"/>
          <w:szCs w:val="20"/>
        </w:rPr>
        <w:t>DE</w:t>
      </w:r>
      <w:r w:rsidRPr="00531B12">
        <w:rPr>
          <w:rFonts w:ascii="Abadi" w:hAnsi="Abadi"/>
          <w:b/>
          <w:bCs/>
          <w:spacing w:val="9"/>
          <w:sz w:val="20"/>
          <w:szCs w:val="20"/>
        </w:rPr>
        <w:t xml:space="preserve"> </w:t>
      </w:r>
      <w:r w:rsidRPr="00531B12">
        <w:rPr>
          <w:rFonts w:ascii="Abadi" w:hAnsi="Abadi"/>
          <w:b/>
          <w:bCs/>
          <w:sz w:val="20"/>
          <w:szCs w:val="20"/>
        </w:rPr>
        <w:t>GUANAJUATO,</w:t>
      </w:r>
      <w:r w:rsidRPr="00531B12">
        <w:rPr>
          <w:rFonts w:ascii="Abadi" w:hAnsi="Abadi"/>
          <w:b/>
          <w:bCs/>
          <w:spacing w:val="8"/>
          <w:sz w:val="20"/>
          <w:szCs w:val="20"/>
        </w:rPr>
        <w:t xml:space="preserve"> </w:t>
      </w:r>
      <w:r w:rsidRPr="00531B12">
        <w:rPr>
          <w:rFonts w:ascii="Abadi" w:hAnsi="Abadi"/>
          <w:b/>
          <w:bCs/>
          <w:sz w:val="20"/>
          <w:szCs w:val="20"/>
        </w:rPr>
        <w:t>A</w:t>
      </w:r>
      <w:r w:rsidRPr="00531B12">
        <w:rPr>
          <w:rFonts w:ascii="Abadi" w:hAnsi="Abadi"/>
          <w:b/>
          <w:bCs/>
          <w:spacing w:val="6"/>
          <w:sz w:val="20"/>
          <w:szCs w:val="20"/>
        </w:rPr>
        <w:t xml:space="preserve"> </w:t>
      </w:r>
      <w:r w:rsidRPr="00531B12">
        <w:rPr>
          <w:rFonts w:ascii="Abadi" w:hAnsi="Abadi"/>
          <w:b/>
          <w:bCs/>
          <w:sz w:val="20"/>
          <w:szCs w:val="20"/>
        </w:rPr>
        <w:t>LA</w:t>
      </w:r>
      <w:r w:rsidRPr="00531B12">
        <w:rPr>
          <w:rFonts w:ascii="Abadi" w:hAnsi="Abadi"/>
          <w:b/>
          <w:bCs/>
          <w:spacing w:val="9"/>
          <w:sz w:val="20"/>
          <w:szCs w:val="20"/>
        </w:rPr>
        <w:t xml:space="preserve"> </w:t>
      </w:r>
      <w:r w:rsidRPr="00531B12">
        <w:rPr>
          <w:rFonts w:ascii="Abadi" w:hAnsi="Abadi"/>
          <w:b/>
          <w:bCs/>
          <w:sz w:val="20"/>
          <w:szCs w:val="20"/>
        </w:rPr>
        <w:t>CUENTA PÚBLICA</w:t>
      </w:r>
      <w:r w:rsidRPr="00531B12">
        <w:rPr>
          <w:rFonts w:ascii="Abadi" w:hAnsi="Abadi"/>
          <w:b/>
          <w:bCs/>
          <w:spacing w:val="16"/>
          <w:sz w:val="20"/>
          <w:szCs w:val="20"/>
        </w:rPr>
        <w:t xml:space="preserve"> </w:t>
      </w:r>
      <w:r w:rsidRPr="00531B12">
        <w:rPr>
          <w:rFonts w:ascii="Abadi" w:hAnsi="Abadi"/>
          <w:b/>
          <w:bCs/>
          <w:sz w:val="20"/>
          <w:szCs w:val="20"/>
        </w:rPr>
        <w:t>MUNICIPAL</w:t>
      </w:r>
      <w:r w:rsidRPr="00531B12">
        <w:rPr>
          <w:rFonts w:ascii="Abadi" w:hAnsi="Abadi"/>
          <w:b/>
          <w:bCs/>
          <w:spacing w:val="16"/>
          <w:sz w:val="20"/>
          <w:szCs w:val="20"/>
        </w:rPr>
        <w:t xml:space="preserve"> </w:t>
      </w:r>
      <w:r w:rsidRPr="00531B12">
        <w:rPr>
          <w:rFonts w:ascii="Abadi" w:hAnsi="Abadi"/>
          <w:b/>
          <w:bCs/>
          <w:sz w:val="20"/>
          <w:szCs w:val="20"/>
        </w:rPr>
        <w:t>DE</w:t>
      </w:r>
      <w:r w:rsidRPr="00531B12">
        <w:rPr>
          <w:rFonts w:ascii="Abadi" w:hAnsi="Abadi"/>
          <w:b/>
          <w:bCs/>
          <w:spacing w:val="16"/>
          <w:sz w:val="20"/>
          <w:szCs w:val="20"/>
        </w:rPr>
        <w:t xml:space="preserve"> </w:t>
      </w:r>
      <w:r w:rsidRPr="00531B12">
        <w:rPr>
          <w:rFonts w:ascii="Abadi" w:hAnsi="Abadi"/>
          <w:b/>
          <w:bCs/>
          <w:sz w:val="20"/>
          <w:szCs w:val="20"/>
        </w:rPr>
        <w:t>DOLORES</w:t>
      </w:r>
      <w:r w:rsidRPr="00531B12">
        <w:rPr>
          <w:rFonts w:ascii="Abadi" w:hAnsi="Abadi"/>
          <w:b/>
          <w:bCs/>
          <w:spacing w:val="16"/>
          <w:sz w:val="20"/>
          <w:szCs w:val="20"/>
        </w:rPr>
        <w:t xml:space="preserve"> </w:t>
      </w:r>
      <w:r w:rsidRPr="00531B12">
        <w:rPr>
          <w:rFonts w:ascii="Abadi" w:hAnsi="Abadi"/>
          <w:b/>
          <w:bCs/>
          <w:sz w:val="20"/>
          <w:szCs w:val="20"/>
        </w:rPr>
        <w:t>HIDALGO</w:t>
      </w:r>
      <w:r w:rsidRPr="00531B12">
        <w:rPr>
          <w:rFonts w:ascii="Abadi" w:hAnsi="Abadi"/>
          <w:b/>
          <w:bCs/>
          <w:spacing w:val="16"/>
          <w:sz w:val="20"/>
          <w:szCs w:val="20"/>
        </w:rPr>
        <w:t xml:space="preserve"> </w:t>
      </w:r>
      <w:r w:rsidRPr="00531B12">
        <w:rPr>
          <w:rFonts w:ascii="Abadi" w:hAnsi="Abadi"/>
          <w:b/>
          <w:bCs/>
          <w:sz w:val="20"/>
          <w:szCs w:val="20"/>
        </w:rPr>
        <w:t>CUNA</w:t>
      </w:r>
      <w:r w:rsidRPr="00531B12">
        <w:rPr>
          <w:rFonts w:ascii="Abadi" w:hAnsi="Abadi"/>
          <w:b/>
          <w:bCs/>
          <w:spacing w:val="16"/>
          <w:sz w:val="20"/>
          <w:szCs w:val="20"/>
        </w:rPr>
        <w:t xml:space="preserve"> </w:t>
      </w:r>
      <w:r w:rsidRPr="00531B12">
        <w:rPr>
          <w:rFonts w:ascii="Abadi" w:hAnsi="Abadi"/>
          <w:b/>
          <w:bCs/>
          <w:sz w:val="20"/>
          <w:szCs w:val="20"/>
        </w:rPr>
        <w:t>DE</w:t>
      </w:r>
      <w:r w:rsidRPr="00531B12">
        <w:rPr>
          <w:rFonts w:ascii="Abadi" w:hAnsi="Abadi"/>
          <w:b/>
          <w:bCs/>
          <w:spacing w:val="16"/>
          <w:sz w:val="20"/>
          <w:szCs w:val="20"/>
        </w:rPr>
        <w:t xml:space="preserve"> </w:t>
      </w:r>
      <w:r w:rsidRPr="00531B12">
        <w:rPr>
          <w:rFonts w:ascii="Abadi" w:hAnsi="Abadi"/>
          <w:b/>
          <w:bCs/>
          <w:sz w:val="20"/>
          <w:szCs w:val="20"/>
        </w:rPr>
        <w:t>LA</w:t>
      </w:r>
      <w:r w:rsidRPr="00531B12">
        <w:rPr>
          <w:rFonts w:ascii="Abadi" w:hAnsi="Abadi"/>
          <w:b/>
          <w:bCs/>
          <w:spacing w:val="16"/>
          <w:sz w:val="20"/>
          <w:szCs w:val="20"/>
        </w:rPr>
        <w:t xml:space="preserve"> </w:t>
      </w:r>
      <w:r w:rsidRPr="00531B12">
        <w:rPr>
          <w:rFonts w:ascii="Abadi" w:hAnsi="Abadi"/>
          <w:b/>
          <w:bCs/>
          <w:sz w:val="20"/>
          <w:szCs w:val="20"/>
        </w:rPr>
        <w:t>INDEPENDENCIA</w:t>
      </w:r>
      <w:r w:rsidRPr="00531B12">
        <w:rPr>
          <w:rFonts w:ascii="Abadi" w:hAnsi="Abadi"/>
          <w:b/>
          <w:bCs/>
          <w:spacing w:val="16"/>
          <w:sz w:val="20"/>
          <w:szCs w:val="20"/>
        </w:rPr>
        <w:t xml:space="preserve"> </w:t>
      </w:r>
      <w:r w:rsidRPr="00531B12">
        <w:rPr>
          <w:rFonts w:ascii="Abadi" w:hAnsi="Abadi"/>
          <w:b/>
          <w:bCs/>
          <w:sz w:val="20"/>
          <w:szCs w:val="20"/>
        </w:rPr>
        <w:t>NACIONAL, GTO.,</w:t>
      </w:r>
      <w:r w:rsidRPr="00531B12">
        <w:rPr>
          <w:rFonts w:ascii="Abadi" w:hAnsi="Abadi"/>
          <w:b/>
          <w:bCs/>
          <w:spacing w:val="-1"/>
          <w:sz w:val="20"/>
          <w:szCs w:val="20"/>
        </w:rPr>
        <w:t xml:space="preserve"> </w:t>
      </w:r>
      <w:r w:rsidRPr="00531B12">
        <w:rPr>
          <w:rFonts w:ascii="Abadi" w:hAnsi="Abadi"/>
          <w:b/>
          <w:bCs/>
          <w:sz w:val="20"/>
          <w:szCs w:val="20"/>
        </w:rPr>
        <w:t>CORRESPONDIENTE AL EJERCICIO FISCAL DEL AÑO</w:t>
      </w:r>
      <w:r w:rsidRPr="00531B12">
        <w:rPr>
          <w:rFonts w:ascii="Abadi" w:hAnsi="Abadi"/>
          <w:b/>
          <w:bCs/>
          <w:spacing w:val="-1"/>
          <w:sz w:val="20"/>
          <w:szCs w:val="20"/>
        </w:rPr>
        <w:t xml:space="preserve"> </w:t>
      </w:r>
      <w:r w:rsidRPr="00531B12">
        <w:rPr>
          <w:rFonts w:ascii="Abadi" w:hAnsi="Abadi"/>
          <w:b/>
          <w:bCs/>
          <w:sz w:val="20"/>
          <w:szCs w:val="20"/>
        </w:rPr>
        <w:t>2020.</w:t>
      </w:r>
    </w:p>
    <w:p w14:paraId="51916038" w14:textId="2FCF643D" w:rsidR="00476F8C" w:rsidRDefault="00476F8C" w:rsidP="00EE1C15">
      <w:pPr>
        <w:tabs>
          <w:tab w:val="left" w:pos="856"/>
        </w:tabs>
        <w:kinsoku w:val="0"/>
        <w:overflowPunct w:val="0"/>
        <w:autoSpaceDE w:val="0"/>
        <w:autoSpaceDN w:val="0"/>
        <w:adjustRightInd w:val="0"/>
        <w:ind w:left="360" w:right="17"/>
        <w:jc w:val="both"/>
        <w:rPr>
          <w:rFonts w:ascii="Abadi" w:hAnsi="Abadi"/>
          <w:sz w:val="20"/>
          <w:szCs w:val="20"/>
        </w:rPr>
      </w:pPr>
    </w:p>
    <w:p w14:paraId="2770042A" w14:textId="77777777" w:rsidR="003E74BC" w:rsidRPr="003E74BC" w:rsidRDefault="003E74BC" w:rsidP="003E74BC">
      <w:pPr>
        <w:jc w:val="both"/>
        <w:rPr>
          <w:rFonts w:ascii="Abadi" w:hAnsi="Abadi" w:cs="Arial"/>
          <w:b/>
          <w:bCs/>
          <w:smallCaps/>
          <w:sz w:val="21"/>
          <w:szCs w:val="21"/>
          <w:lang w:val="es-MX"/>
        </w:rPr>
      </w:pPr>
      <w:r w:rsidRPr="003E74BC">
        <w:rPr>
          <w:rFonts w:ascii="Abadi" w:hAnsi="Abadi" w:cs="Arial"/>
          <w:b/>
          <w:bCs/>
          <w:smallCaps/>
          <w:sz w:val="21"/>
          <w:szCs w:val="21"/>
          <w:lang w:val="es-MX"/>
        </w:rPr>
        <w:t>C. Presidenta del Congreso del Estado</w:t>
      </w:r>
    </w:p>
    <w:p w14:paraId="0F5C9966" w14:textId="77777777" w:rsidR="003E74BC" w:rsidRPr="003E74BC" w:rsidRDefault="003E74BC" w:rsidP="003E74BC">
      <w:pPr>
        <w:jc w:val="both"/>
        <w:rPr>
          <w:rFonts w:ascii="Abadi" w:hAnsi="Abadi" w:cs="Arial"/>
          <w:b/>
          <w:bCs/>
          <w:smallCaps/>
          <w:sz w:val="21"/>
          <w:szCs w:val="21"/>
        </w:rPr>
      </w:pPr>
      <w:r w:rsidRPr="003E74BC">
        <w:rPr>
          <w:rFonts w:ascii="Abadi" w:hAnsi="Abadi" w:cs="Arial"/>
          <w:b/>
          <w:bCs/>
          <w:smallCaps/>
          <w:sz w:val="21"/>
          <w:szCs w:val="21"/>
        </w:rPr>
        <w:t>P r e s e n t e.</w:t>
      </w:r>
    </w:p>
    <w:p w14:paraId="6E75A53C" w14:textId="77777777" w:rsidR="003E74BC" w:rsidRPr="003E74BC" w:rsidRDefault="003E74BC" w:rsidP="003E74BC">
      <w:pPr>
        <w:jc w:val="both"/>
        <w:rPr>
          <w:rFonts w:ascii="Abadi" w:hAnsi="Abadi" w:cs="Arial"/>
          <w:sz w:val="21"/>
          <w:szCs w:val="21"/>
          <w:lang w:val="es-MX" w:eastAsia="x-none"/>
        </w:rPr>
      </w:pPr>
    </w:p>
    <w:p w14:paraId="3250DE11" w14:textId="77777777" w:rsidR="003E74BC" w:rsidRPr="003E74BC" w:rsidRDefault="003E74BC" w:rsidP="003E74BC">
      <w:pPr>
        <w:ind w:firstLine="708"/>
        <w:jc w:val="both"/>
        <w:rPr>
          <w:rFonts w:ascii="Abadi" w:hAnsi="Abadi" w:cs="Arial"/>
          <w:sz w:val="21"/>
          <w:szCs w:val="21"/>
          <w:lang w:val="x-none" w:eastAsia="x-none"/>
        </w:rPr>
      </w:pPr>
      <w:r w:rsidRPr="003E74BC">
        <w:rPr>
          <w:rFonts w:ascii="Abadi" w:hAnsi="Abadi" w:cs="Arial"/>
          <w:sz w:val="21"/>
          <w:szCs w:val="21"/>
          <w:lang w:val="x-none" w:eastAsia="x-none"/>
        </w:rPr>
        <w:t xml:space="preserve">A </w:t>
      </w:r>
      <w:r w:rsidRPr="003E74BC">
        <w:rPr>
          <w:rFonts w:ascii="Abadi" w:hAnsi="Abadi" w:cs="Arial"/>
          <w:sz w:val="21"/>
          <w:szCs w:val="21"/>
          <w:lang w:val="es-MX" w:eastAsia="x-none"/>
        </w:rPr>
        <w:t>esta</w:t>
      </w:r>
      <w:r w:rsidRPr="003E74BC">
        <w:rPr>
          <w:rFonts w:ascii="Abadi" w:hAnsi="Abadi" w:cs="Arial"/>
          <w:sz w:val="21"/>
          <w:szCs w:val="21"/>
          <w:lang w:val="x-none" w:eastAsia="x-none"/>
        </w:rPr>
        <w:t xml:space="preserve"> Comisión de Hacienda y Fiscalización</w:t>
      </w:r>
      <w:r w:rsidRPr="003E74BC">
        <w:rPr>
          <w:rFonts w:ascii="Abadi" w:hAnsi="Abadi" w:cs="Arial"/>
          <w:sz w:val="21"/>
          <w:szCs w:val="21"/>
          <w:lang w:val="es-MX" w:eastAsia="x-none"/>
        </w:rPr>
        <w:t xml:space="preserve">, </w:t>
      </w:r>
      <w:r w:rsidRPr="003E74BC">
        <w:rPr>
          <w:rFonts w:ascii="Abadi" w:hAnsi="Abadi" w:cs="Arial"/>
          <w:sz w:val="21"/>
          <w:szCs w:val="21"/>
          <w:lang w:val="x-none" w:eastAsia="x-none"/>
        </w:rPr>
        <w:t xml:space="preserve">le fue turnado para su estudio y dictamen, el informe de resultados de la revisión practicada por </w:t>
      </w:r>
      <w:r w:rsidRPr="003E74BC">
        <w:rPr>
          <w:rFonts w:ascii="Abadi" w:hAnsi="Abadi" w:cs="Arial"/>
          <w:sz w:val="21"/>
          <w:szCs w:val="21"/>
          <w:lang w:val="es-MX" w:eastAsia="x-none"/>
        </w:rPr>
        <w:t xml:space="preserve">la </w:t>
      </w:r>
      <w:r w:rsidRPr="003E74BC">
        <w:rPr>
          <w:rFonts w:ascii="Abadi" w:hAnsi="Abadi" w:cs="Arial"/>
          <w:sz w:val="21"/>
          <w:szCs w:val="21"/>
          <w:lang w:val="x-none" w:eastAsia="x-none"/>
        </w:rPr>
        <w:t xml:space="preserve">Auditoría Superior del Estado de Guanajuato, a la cuenta pública municipal de </w:t>
      </w:r>
      <w:r w:rsidRPr="003E74BC">
        <w:rPr>
          <w:rFonts w:ascii="Abadi" w:hAnsi="Abadi" w:cs="Arial"/>
          <w:sz w:val="21"/>
          <w:szCs w:val="21"/>
          <w:lang w:val="es-MX" w:eastAsia="x-none"/>
        </w:rPr>
        <w:t>Dolores Hidalgo Cuna de la Independencia Nacional</w:t>
      </w:r>
      <w:r w:rsidRPr="003E74BC">
        <w:rPr>
          <w:rFonts w:ascii="Abadi" w:hAnsi="Abadi" w:cs="Arial"/>
          <w:sz w:val="21"/>
          <w:szCs w:val="21"/>
          <w:lang w:val="x-none" w:eastAsia="x-none"/>
        </w:rPr>
        <w:t xml:space="preserve">, Gto., correspondiente al ejercicio fiscal del año </w:t>
      </w:r>
      <w:r w:rsidRPr="003E74BC">
        <w:rPr>
          <w:rFonts w:ascii="Abadi" w:hAnsi="Abadi" w:cs="Arial"/>
          <w:sz w:val="21"/>
          <w:szCs w:val="21"/>
          <w:lang w:val="es-MX" w:eastAsia="x-none"/>
        </w:rPr>
        <w:t>2020</w:t>
      </w:r>
      <w:r w:rsidRPr="003E74BC">
        <w:rPr>
          <w:rFonts w:ascii="Abadi" w:hAnsi="Abadi" w:cs="Arial"/>
          <w:sz w:val="21"/>
          <w:szCs w:val="21"/>
          <w:lang w:val="x-none" w:eastAsia="x-none"/>
        </w:rPr>
        <w:t>.</w:t>
      </w:r>
    </w:p>
    <w:p w14:paraId="636401F9" w14:textId="77777777" w:rsidR="003E74BC" w:rsidRPr="003E74BC" w:rsidRDefault="003E74BC" w:rsidP="003E74BC">
      <w:pPr>
        <w:ind w:firstLine="708"/>
        <w:jc w:val="both"/>
        <w:rPr>
          <w:rFonts w:ascii="Abadi" w:hAnsi="Abadi" w:cs="Arial"/>
          <w:sz w:val="21"/>
          <w:szCs w:val="21"/>
          <w:lang w:val="x-none" w:eastAsia="x-none"/>
        </w:rPr>
      </w:pPr>
    </w:p>
    <w:p w14:paraId="0EAC9875" w14:textId="77777777" w:rsidR="003E74BC" w:rsidRPr="003E74BC" w:rsidRDefault="003E74BC" w:rsidP="003E74BC">
      <w:pPr>
        <w:ind w:firstLine="708"/>
        <w:jc w:val="both"/>
        <w:rPr>
          <w:rFonts w:ascii="Abadi" w:hAnsi="Abadi" w:cs="Arial"/>
          <w:sz w:val="21"/>
          <w:szCs w:val="21"/>
          <w:lang w:val="x-none" w:eastAsia="x-none"/>
        </w:rPr>
      </w:pPr>
      <w:r w:rsidRPr="003E74BC">
        <w:rPr>
          <w:rFonts w:ascii="Abadi" w:hAnsi="Abadi" w:cs="Arial"/>
          <w:sz w:val="21"/>
          <w:szCs w:val="21"/>
          <w:lang w:val="x-none" w:eastAsia="x-none"/>
        </w:rPr>
        <w:t>Una vez analizado el referido informe de resultados, con fundamento en lo dispuesto por los artículos 112, fracción XII</w:t>
      </w:r>
      <w:r w:rsidRPr="003E74BC">
        <w:rPr>
          <w:rFonts w:ascii="Abadi" w:hAnsi="Abadi" w:cs="Arial"/>
          <w:sz w:val="21"/>
          <w:szCs w:val="21"/>
          <w:lang w:val="es-MX" w:eastAsia="x-none"/>
        </w:rPr>
        <w:t>, primer párrafo</w:t>
      </w:r>
      <w:r w:rsidRPr="003E74BC">
        <w:rPr>
          <w:rFonts w:ascii="Abadi" w:hAnsi="Abadi" w:cs="Arial"/>
          <w:sz w:val="21"/>
          <w:szCs w:val="21"/>
          <w:lang w:val="x-none" w:eastAsia="x-none"/>
        </w:rPr>
        <w:t xml:space="preserve"> y 171 de </w:t>
      </w:r>
      <w:smartTag w:uri="urn:schemas-microsoft-com:office:smarttags" w:element="PersonName">
        <w:smartTagPr>
          <w:attr w:name="ProductID" w:val="la Ley Org￡nica"/>
        </w:smartTagPr>
        <w:r w:rsidRPr="003E74BC">
          <w:rPr>
            <w:rFonts w:ascii="Abadi" w:hAnsi="Abadi" w:cs="Arial"/>
            <w:sz w:val="21"/>
            <w:szCs w:val="21"/>
            <w:lang w:val="x-none" w:eastAsia="x-none"/>
          </w:rPr>
          <w:t>la Ley Orgánica</w:t>
        </w:r>
      </w:smartTag>
      <w:r w:rsidRPr="003E74BC">
        <w:rPr>
          <w:rFonts w:ascii="Abadi" w:hAnsi="Abadi" w:cs="Arial"/>
          <w:sz w:val="21"/>
          <w:szCs w:val="21"/>
          <w:lang w:val="x-none" w:eastAsia="x-none"/>
        </w:rPr>
        <w:t xml:space="preserve"> del Poder Legislativo, nos permitimos rendir el siguiente:</w:t>
      </w:r>
    </w:p>
    <w:p w14:paraId="0E6182AB" w14:textId="77777777" w:rsidR="003E74BC" w:rsidRPr="003E74BC" w:rsidRDefault="003E74BC" w:rsidP="003E74BC">
      <w:pPr>
        <w:ind w:firstLine="708"/>
        <w:jc w:val="both"/>
        <w:rPr>
          <w:rFonts w:ascii="Abadi" w:hAnsi="Abadi" w:cs="Arial"/>
          <w:sz w:val="21"/>
          <w:szCs w:val="21"/>
          <w:lang w:val="x-none" w:eastAsia="x-none"/>
        </w:rPr>
      </w:pPr>
    </w:p>
    <w:p w14:paraId="4DDE9C82" w14:textId="77777777" w:rsidR="003E74BC" w:rsidRPr="003E74BC" w:rsidRDefault="003E74BC" w:rsidP="003E74BC">
      <w:pPr>
        <w:keepNext/>
        <w:jc w:val="center"/>
        <w:outlineLvl w:val="0"/>
        <w:rPr>
          <w:rFonts w:ascii="Abadi" w:eastAsia="Arial Unicode MS" w:hAnsi="Abadi" w:cs="Arial"/>
          <w:b/>
          <w:bCs/>
          <w:sz w:val="21"/>
          <w:szCs w:val="21"/>
        </w:rPr>
      </w:pPr>
      <w:r w:rsidRPr="003E74BC">
        <w:rPr>
          <w:rFonts w:ascii="Abadi" w:eastAsia="Arial Unicode MS" w:hAnsi="Abadi" w:cs="Arial"/>
          <w:b/>
          <w:bCs/>
          <w:sz w:val="21"/>
          <w:szCs w:val="21"/>
        </w:rPr>
        <w:t>D i c t a m e n</w:t>
      </w:r>
    </w:p>
    <w:p w14:paraId="2AC2B2C8" w14:textId="77777777" w:rsidR="003E74BC" w:rsidRDefault="003E74BC" w:rsidP="003E74BC">
      <w:pPr>
        <w:ind w:firstLine="708"/>
        <w:jc w:val="both"/>
        <w:rPr>
          <w:rFonts w:ascii="Abadi" w:hAnsi="Abadi" w:cs="Arial"/>
          <w:b/>
          <w:bCs/>
          <w:sz w:val="21"/>
          <w:szCs w:val="21"/>
          <w:lang w:val="es-MX" w:eastAsia="x-none"/>
        </w:rPr>
      </w:pPr>
    </w:p>
    <w:p w14:paraId="7026FE84" w14:textId="5467BCCC" w:rsidR="003E74BC" w:rsidRPr="003E74BC" w:rsidRDefault="003E74BC" w:rsidP="003E74BC">
      <w:pPr>
        <w:ind w:firstLine="708"/>
        <w:jc w:val="both"/>
        <w:rPr>
          <w:rFonts w:ascii="Abadi" w:hAnsi="Abadi" w:cs="Arial"/>
          <w:b/>
          <w:bCs/>
          <w:sz w:val="21"/>
          <w:szCs w:val="21"/>
          <w:lang w:val="es-MX" w:eastAsia="x-none"/>
        </w:rPr>
      </w:pPr>
      <w:r w:rsidRPr="003E74BC">
        <w:rPr>
          <w:rFonts w:ascii="Abadi" w:hAnsi="Abadi" w:cs="Arial"/>
          <w:b/>
          <w:bCs/>
          <w:sz w:val="21"/>
          <w:szCs w:val="21"/>
          <w:lang w:val="es-MX" w:eastAsia="x-none"/>
        </w:rPr>
        <w:t>I. Competencia:</w:t>
      </w:r>
    </w:p>
    <w:p w14:paraId="22FEFF3F" w14:textId="77777777" w:rsidR="003E74BC" w:rsidRPr="003E74BC" w:rsidRDefault="003E74BC" w:rsidP="003E74BC">
      <w:pPr>
        <w:ind w:firstLine="708"/>
        <w:jc w:val="both"/>
        <w:rPr>
          <w:rFonts w:ascii="Abadi" w:hAnsi="Abadi" w:cs="Arial"/>
          <w:b/>
          <w:bCs/>
          <w:sz w:val="21"/>
          <w:szCs w:val="21"/>
          <w:lang w:val="es-MX" w:eastAsia="x-none"/>
        </w:rPr>
      </w:pPr>
    </w:p>
    <w:p w14:paraId="2B92DFF1"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3E74BC">
          <w:rPr>
            <w:rFonts w:ascii="Abadi" w:hAnsi="Abadi" w:cs="Arial"/>
            <w:sz w:val="21"/>
            <w:szCs w:val="21"/>
            <w:lang w:val="es-MX" w:eastAsia="x-none"/>
          </w:rPr>
          <w:t>la Constitución Política</w:t>
        </w:r>
      </w:smartTag>
      <w:r w:rsidRPr="003E74BC">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3CA5E20A" w14:textId="77777777" w:rsidR="003E74BC" w:rsidRPr="003E74BC" w:rsidRDefault="003E74BC" w:rsidP="003E74BC">
      <w:pPr>
        <w:ind w:firstLine="708"/>
        <w:jc w:val="both"/>
        <w:rPr>
          <w:rFonts w:ascii="Abadi" w:hAnsi="Abadi" w:cs="Arial"/>
          <w:sz w:val="21"/>
          <w:szCs w:val="21"/>
          <w:lang w:val="es-MX" w:eastAsia="x-none"/>
        </w:rPr>
      </w:pPr>
    </w:p>
    <w:p w14:paraId="42DD6A08"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76EC0B99" w14:textId="77777777" w:rsidR="003E74BC" w:rsidRPr="003E74BC" w:rsidRDefault="003E74BC" w:rsidP="003E74BC">
      <w:pPr>
        <w:jc w:val="both"/>
        <w:rPr>
          <w:rFonts w:ascii="Abadi" w:hAnsi="Abadi" w:cs="Arial"/>
          <w:sz w:val="21"/>
          <w:szCs w:val="21"/>
          <w:lang w:val="es-MX" w:eastAsia="x-none"/>
        </w:rPr>
      </w:pPr>
    </w:p>
    <w:p w14:paraId="5885E118"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3E74BC">
          <w:rPr>
            <w:rFonts w:ascii="Abadi" w:hAnsi="Abadi" w:cs="Arial"/>
            <w:sz w:val="21"/>
            <w:szCs w:val="21"/>
            <w:lang w:val="es-MX" w:eastAsia="x-none"/>
          </w:rPr>
          <w:t>la Constitución Política</w:t>
        </w:r>
      </w:smartTag>
      <w:r w:rsidRPr="003E74BC">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231940F1" w14:textId="77777777" w:rsidR="003E74BC" w:rsidRPr="003E74BC" w:rsidRDefault="003E74BC" w:rsidP="003E74BC">
      <w:pPr>
        <w:ind w:firstLine="708"/>
        <w:jc w:val="both"/>
        <w:rPr>
          <w:rFonts w:ascii="Abadi" w:hAnsi="Abadi" w:cs="Arial"/>
          <w:sz w:val="21"/>
          <w:szCs w:val="21"/>
          <w:lang w:val="es-MX" w:eastAsia="x-none"/>
        </w:rPr>
      </w:pPr>
    </w:p>
    <w:p w14:paraId="1ADD349F"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3386DC9" w14:textId="77777777" w:rsidR="003E74BC" w:rsidRPr="003E74BC" w:rsidRDefault="003E74BC" w:rsidP="003E74BC">
      <w:pPr>
        <w:ind w:firstLine="708"/>
        <w:jc w:val="both"/>
        <w:rPr>
          <w:rFonts w:ascii="Abadi" w:hAnsi="Abadi" w:cs="Arial"/>
          <w:sz w:val="21"/>
          <w:szCs w:val="21"/>
          <w:lang w:val="es-MX" w:eastAsia="x-none"/>
        </w:rPr>
      </w:pPr>
    </w:p>
    <w:p w14:paraId="16D89070"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 xml:space="preserve">De igual forma, el artículo 82, fracción XXIV de </w:t>
      </w:r>
      <w:smartTag w:uri="urn:schemas-microsoft-com:office:smarttags" w:element="PersonName">
        <w:smartTagPr>
          <w:attr w:name="ProductID" w:val="la Ley"/>
        </w:smartTagPr>
        <w:r w:rsidRPr="003E74BC">
          <w:rPr>
            <w:rFonts w:ascii="Abadi" w:hAnsi="Abadi" w:cs="Arial"/>
            <w:sz w:val="21"/>
            <w:szCs w:val="21"/>
            <w:lang w:val="es-MX" w:eastAsia="x-none"/>
          </w:rPr>
          <w:t>la Ley</w:t>
        </w:r>
      </w:smartTag>
      <w:r w:rsidRPr="003E74BC">
        <w:rPr>
          <w:rFonts w:ascii="Abadi" w:hAnsi="Abadi" w:cs="Arial"/>
          <w:sz w:val="21"/>
          <w:szCs w:val="21"/>
          <w:lang w:val="es-MX" w:eastAsia="x-none"/>
        </w:rPr>
        <w:t xml:space="preserve"> de Fiscalización Superior del Estado de Guanajuato consigna como atribución del Auditor Superior rendir al Congreso del Estado, los informes derivados del ejercicio de la función de fiscalización.</w:t>
      </w:r>
    </w:p>
    <w:p w14:paraId="0D29D90E" w14:textId="77777777" w:rsidR="003E74BC" w:rsidRPr="003E74BC" w:rsidRDefault="003E74BC" w:rsidP="003E74BC">
      <w:pPr>
        <w:ind w:firstLine="708"/>
        <w:jc w:val="both"/>
        <w:rPr>
          <w:rFonts w:ascii="Abadi" w:hAnsi="Abadi" w:cs="Arial"/>
          <w:sz w:val="21"/>
          <w:szCs w:val="21"/>
          <w:lang w:val="es-MX" w:eastAsia="x-none"/>
        </w:rPr>
      </w:pPr>
    </w:p>
    <w:p w14:paraId="1978A2B0"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4406010B" w14:textId="77777777" w:rsidR="003E74BC" w:rsidRPr="003E74BC" w:rsidRDefault="003E74BC" w:rsidP="003E74BC">
      <w:pPr>
        <w:ind w:firstLine="708"/>
        <w:jc w:val="both"/>
        <w:rPr>
          <w:rFonts w:ascii="Abadi" w:hAnsi="Abadi" w:cs="Arial"/>
          <w:sz w:val="21"/>
          <w:szCs w:val="21"/>
          <w:lang w:val="es-MX" w:eastAsia="x-none"/>
        </w:rPr>
      </w:pPr>
    </w:p>
    <w:p w14:paraId="3562EB4C"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 xml:space="preserve">Con la finalidad de que el Congreso dé cumplimiento a lo señalado en el párrafo anterior, </w:t>
      </w:r>
      <w:smartTag w:uri="urn:schemas-microsoft-com:office:smarttags" w:element="PersonName">
        <w:smartTagPr>
          <w:attr w:name="ProductID" w:val="la Ley Org￡nica"/>
        </w:smartTagPr>
        <w:r w:rsidRPr="003E74BC">
          <w:rPr>
            <w:rFonts w:ascii="Abadi" w:hAnsi="Abadi" w:cs="Arial"/>
            <w:sz w:val="21"/>
            <w:szCs w:val="21"/>
            <w:lang w:val="es-MX" w:eastAsia="x-none"/>
          </w:rPr>
          <w:t>la Ley Orgánica</w:t>
        </w:r>
      </w:smartTag>
      <w:r w:rsidRPr="003E74BC">
        <w:rPr>
          <w:rFonts w:ascii="Abadi" w:hAnsi="Abadi" w:cs="Arial"/>
          <w:sz w:val="21"/>
          <w:szCs w:val="21"/>
          <w:lang w:val="es-MX" w:eastAsia="x-none"/>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EE99675" w14:textId="77777777" w:rsidR="003E74BC" w:rsidRPr="003E74BC" w:rsidRDefault="003E74BC" w:rsidP="003E74BC">
      <w:pPr>
        <w:ind w:firstLine="708"/>
        <w:jc w:val="both"/>
        <w:rPr>
          <w:rFonts w:ascii="Abadi" w:hAnsi="Abadi" w:cs="Arial"/>
          <w:sz w:val="21"/>
          <w:szCs w:val="21"/>
          <w:lang w:val="es-MX" w:eastAsia="x-none"/>
        </w:rPr>
      </w:pPr>
    </w:p>
    <w:p w14:paraId="523DC3CB"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268D32EA" w14:textId="77777777" w:rsidR="003E74BC" w:rsidRPr="003E74BC" w:rsidRDefault="003E74BC" w:rsidP="003E74BC">
      <w:pPr>
        <w:ind w:firstLine="708"/>
        <w:jc w:val="both"/>
        <w:rPr>
          <w:rFonts w:ascii="Abadi" w:hAnsi="Abadi" w:cs="Arial"/>
          <w:b/>
          <w:bCs/>
          <w:sz w:val="21"/>
          <w:szCs w:val="21"/>
          <w:lang w:val="es-MX" w:eastAsia="x-none"/>
        </w:rPr>
      </w:pPr>
      <w:r w:rsidRPr="003E74BC">
        <w:rPr>
          <w:rFonts w:ascii="Abadi" w:hAnsi="Abadi" w:cs="Arial"/>
          <w:b/>
          <w:bCs/>
          <w:sz w:val="21"/>
          <w:szCs w:val="21"/>
          <w:lang w:val="es-MX" w:eastAsia="x-none"/>
        </w:rPr>
        <w:t>II. Antecedentes:</w:t>
      </w:r>
    </w:p>
    <w:p w14:paraId="11E711A1" w14:textId="77777777" w:rsidR="003E74BC" w:rsidRPr="003E74BC" w:rsidRDefault="003E74BC" w:rsidP="003E74BC">
      <w:pPr>
        <w:ind w:firstLine="708"/>
        <w:jc w:val="both"/>
        <w:rPr>
          <w:rFonts w:ascii="Abadi" w:hAnsi="Abadi" w:cs="Arial"/>
          <w:sz w:val="21"/>
          <w:szCs w:val="21"/>
          <w:lang w:val="es-MX" w:eastAsia="x-none"/>
        </w:rPr>
      </w:pPr>
    </w:p>
    <w:p w14:paraId="689C0010"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3E74BC">
          <w:rPr>
            <w:rFonts w:ascii="Abadi" w:hAnsi="Abadi" w:cs="Arial"/>
            <w:sz w:val="21"/>
            <w:szCs w:val="21"/>
            <w:lang w:val="es-MX" w:eastAsia="x-none"/>
          </w:rPr>
          <w:t>la Constitución Política</w:t>
        </w:r>
      </w:smartTag>
      <w:r w:rsidRPr="003E74BC">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43BB56F4" w14:textId="77777777" w:rsidR="003E74BC" w:rsidRPr="003E74BC" w:rsidRDefault="003E74BC" w:rsidP="003E74BC">
      <w:pPr>
        <w:ind w:firstLine="708"/>
        <w:jc w:val="both"/>
        <w:rPr>
          <w:rFonts w:ascii="Abadi" w:hAnsi="Abadi" w:cs="Arial"/>
          <w:sz w:val="21"/>
          <w:szCs w:val="21"/>
          <w:lang w:val="es-MX" w:eastAsia="x-none"/>
        </w:rPr>
      </w:pPr>
    </w:p>
    <w:p w14:paraId="0503B320"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Por su parte, el artículo 66 de la Constitución Política Local, establece que los sujetos de fiscalización presentarán al Congreso del Estado los informes financieros y su cuenta pública con la periodicidad, forma y términos que establezca la Ley.</w:t>
      </w:r>
    </w:p>
    <w:p w14:paraId="79FB75FD" w14:textId="77777777" w:rsidR="003E74BC" w:rsidRPr="003E74BC" w:rsidRDefault="003E74BC" w:rsidP="003E74BC">
      <w:pPr>
        <w:ind w:firstLine="708"/>
        <w:jc w:val="both"/>
        <w:rPr>
          <w:rFonts w:ascii="Abadi" w:hAnsi="Abadi" w:cs="Arial"/>
          <w:sz w:val="21"/>
          <w:szCs w:val="21"/>
          <w:lang w:val="es-MX" w:eastAsia="x-none"/>
        </w:rPr>
      </w:pPr>
    </w:p>
    <w:p w14:paraId="3EEA60EC"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 xml:space="preserve">La fracción III del artículo 3 de </w:t>
      </w:r>
      <w:smartTag w:uri="urn:schemas-microsoft-com:office:smarttags" w:element="PersonName">
        <w:smartTagPr>
          <w:attr w:name="ProductID" w:val="la Ley"/>
        </w:smartTagPr>
        <w:r w:rsidRPr="003E74BC">
          <w:rPr>
            <w:rFonts w:ascii="Abadi" w:hAnsi="Abadi" w:cs="Arial"/>
            <w:sz w:val="21"/>
            <w:szCs w:val="21"/>
            <w:lang w:val="es-MX" w:eastAsia="x-none"/>
          </w:rPr>
          <w:t>la Ley</w:t>
        </w:r>
      </w:smartTag>
      <w:r w:rsidRPr="003E74BC">
        <w:rPr>
          <w:rFonts w:ascii="Abadi" w:hAnsi="Abadi" w:cs="Arial"/>
          <w:sz w:val="21"/>
          <w:szCs w:val="21"/>
          <w:lang w:val="es-MX" w:eastAsia="x-none"/>
        </w:rPr>
        <w:t xml:space="preserve"> de Fiscalización Superior del Estado de Guanajuato señala que la Auditoría Superior del Estado será competente para fiscalizar la gestión financiera de los sujetos de fiscalización, a través de sus cuentas públicas.</w:t>
      </w:r>
    </w:p>
    <w:p w14:paraId="40951ADF" w14:textId="77777777" w:rsidR="003E74BC" w:rsidRPr="003E74BC" w:rsidRDefault="003E74BC" w:rsidP="003E74BC">
      <w:pPr>
        <w:ind w:firstLine="708"/>
        <w:jc w:val="both"/>
        <w:rPr>
          <w:rFonts w:ascii="Abadi" w:hAnsi="Abadi" w:cs="Arial"/>
          <w:sz w:val="21"/>
          <w:szCs w:val="21"/>
          <w:lang w:val="es-MX" w:eastAsia="x-none"/>
        </w:rPr>
      </w:pPr>
    </w:p>
    <w:p w14:paraId="3334AE63"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0712C97C" w14:textId="77777777" w:rsidR="003E74BC" w:rsidRPr="003E74BC" w:rsidRDefault="003E74BC" w:rsidP="003E74BC">
      <w:pPr>
        <w:ind w:firstLine="708"/>
        <w:jc w:val="both"/>
        <w:rPr>
          <w:rFonts w:ascii="Abadi" w:hAnsi="Abadi" w:cs="Arial"/>
          <w:sz w:val="21"/>
          <w:szCs w:val="21"/>
          <w:lang w:val="es-MX" w:eastAsia="x-none"/>
        </w:rPr>
      </w:pPr>
    </w:p>
    <w:p w14:paraId="76C85264"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No será impedimento para que la Auditoría Superior del Estado realice la función de fiscalización, si la cuenta pública no está presentada y disponible en los plazos y requisitos señalados en la ley.</w:t>
      </w:r>
    </w:p>
    <w:p w14:paraId="7E0DB6F1" w14:textId="77777777" w:rsidR="003E74BC" w:rsidRPr="003E74BC" w:rsidRDefault="003E74BC" w:rsidP="003E74BC">
      <w:pPr>
        <w:ind w:firstLine="708"/>
        <w:jc w:val="both"/>
        <w:rPr>
          <w:rFonts w:ascii="Abadi" w:hAnsi="Abadi" w:cs="Arial"/>
          <w:sz w:val="21"/>
          <w:szCs w:val="21"/>
          <w:lang w:val="es-MX" w:eastAsia="x-none"/>
        </w:rPr>
      </w:pPr>
    </w:p>
    <w:p w14:paraId="6F303C0D"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3E74BC">
          <w:rPr>
            <w:rFonts w:ascii="Abadi" w:hAnsi="Abadi" w:cs="Arial"/>
            <w:sz w:val="21"/>
            <w:szCs w:val="21"/>
            <w:lang w:val="es-MX" w:eastAsia="x-none"/>
          </w:rPr>
          <w:t>la Ley Orgánica</w:t>
        </w:r>
      </w:smartTag>
      <w:r w:rsidRPr="003E74BC">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029935F5" w14:textId="77777777" w:rsidR="003E74BC" w:rsidRPr="003E74BC" w:rsidRDefault="003E74BC" w:rsidP="003E74BC">
      <w:pPr>
        <w:jc w:val="both"/>
        <w:rPr>
          <w:rFonts w:ascii="Abadi" w:hAnsi="Abadi" w:cs="Arial"/>
          <w:sz w:val="21"/>
          <w:szCs w:val="21"/>
          <w:lang w:val="es-MX" w:eastAsia="x-none"/>
        </w:rPr>
      </w:pPr>
    </w:p>
    <w:p w14:paraId="4AB7A8DB" w14:textId="77777777" w:rsidR="003E74BC" w:rsidRPr="003E74BC" w:rsidRDefault="003E74BC" w:rsidP="003E74BC">
      <w:pPr>
        <w:ind w:right="60" w:firstLine="709"/>
        <w:jc w:val="both"/>
        <w:rPr>
          <w:rFonts w:ascii="Abadi" w:hAnsi="Abadi" w:cs="Arial"/>
          <w:sz w:val="21"/>
          <w:szCs w:val="21"/>
          <w:lang w:val="es-MX" w:eastAsia="x-none"/>
        </w:rPr>
      </w:pPr>
      <w:r w:rsidRPr="003E74BC">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02D5C3E3" w14:textId="77777777" w:rsidR="003E74BC" w:rsidRPr="003E74BC" w:rsidRDefault="003E74BC" w:rsidP="003E74BC">
      <w:pPr>
        <w:ind w:right="58" w:firstLine="709"/>
        <w:jc w:val="both"/>
        <w:rPr>
          <w:rFonts w:ascii="Abadi" w:eastAsia="DejaVu Sans" w:hAnsi="Abadi" w:cs="Tahoma"/>
          <w:iCs/>
          <w:kern w:val="1"/>
          <w:sz w:val="21"/>
          <w:szCs w:val="21"/>
          <w:lang w:eastAsia="ar-SA"/>
        </w:rPr>
      </w:pPr>
    </w:p>
    <w:p w14:paraId="5DC89C47"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74202E34" w14:textId="77777777" w:rsidR="003E74BC" w:rsidRPr="003E74BC" w:rsidRDefault="003E74BC" w:rsidP="003E74BC">
      <w:pPr>
        <w:ind w:firstLine="708"/>
        <w:jc w:val="both"/>
        <w:rPr>
          <w:rFonts w:ascii="Abadi" w:hAnsi="Abadi" w:cs="Arial"/>
          <w:sz w:val="21"/>
          <w:szCs w:val="21"/>
          <w:lang w:val="es-MX" w:eastAsia="x-none"/>
        </w:rPr>
      </w:pPr>
    </w:p>
    <w:p w14:paraId="11996CA4"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45E98AD9" w14:textId="77777777" w:rsidR="003E74BC" w:rsidRPr="003E74BC" w:rsidRDefault="003E74BC" w:rsidP="003E74BC">
      <w:pPr>
        <w:ind w:firstLine="708"/>
        <w:jc w:val="both"/>
        <w:rPr>
          <w:rFonts w:ascii="Abadi" w:hAnsi="Abadi" w:cs="Arial"/>
          <w:sz w:val="21"/>
          <w:szCs w:val="21"/>
          <w:lang w:val="es-MX" w:eastAsia="x-none"/>
        </w:rPr>
      </w:pPr>
    </w:p>
    <w:p w14:paraId="2B80744F" w14:textId="77777777" w:rsidR="003E74BC" w:rsidRPr="003E74BC" w:rsidRDefault="003E74BC" w:rsidP="003E74BC">
      <w:pPr>
        <w:ind w:right="60" w:firstLine="709"/>
        <w:jc w:val="both"/>
        <w:rPr>
          <w:rFonts w:ascii="Abadi" w:hAnsi="Abadi" w:cs="Arial"/>
          <w:sz w:val="21"/>
          <w:szCs w:val="21"/>
          <w:lang w:val="es-MX" w:eastAsia="x-none"/>
        </w:rPr>
      </w:pPr>
      <w:r w:rsidRPr="003E74BC">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79FACD7E" w14:textId="77777777" w:rsidR="003E74BC" w:rsidRPr="003E74BC" w:rsidRDefault="003E74BC" w:rsidP="003E74BC">
      <w:pPr>
        <w:ind w:firstLine="708"/>
        <w:jc w:val="both"/>
        <w:rPr>
          <w:rFonts w:ascii="Abadi" w:hAnsi="Abadi" w:cs="Arial"/>
          <w:sz w:val="21"/>
          <w:szCs w:val="21"/>
          <w:lang w:eastAsia="x-none"/>
        </w:rPr>
      </w:pPr>
    </w:p>
    <w:p w14:paraId="25AA4FF7"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11CA6D82" w14:textId="77777777" w:rsidR="003E74BC" w:rsidRPr="003E74BC" w:rsidRDefault="003E74BC" w:rsidP="003E74BC">
      <w:pPr>
        <w:ind w:firstLine="708"/>
        <w:jc w:val="both"/>
        <w:rPr>
          <w:rFonts w:ascii="Abadi" w:hAnsi="Abadi" w:cs="Arial"/>
          <w:sz w:val="21"/>
          <w:szCs w:val="21"/>
          <w:lang w:val="es-MX" w:eastAsia="x-none"/>
        </w:rPr>
      </w:pPr>
    </w:p>
    <w:p w14:paraId="1DD7BF3D" w14:textId="77777777" w:rsidR="003E74BC" w:rsidRPr="003E74BC" w:rsidRDefault="003E74BC" w:rsidP="003E74BC">
      <w:pPr>
        <w:tabs>
          <w:tab w:val="left" w:pos="709"/>
        </w:tabs>
        <w:jc w:val="both"/>
        <w:rPr>
          <w:rFonts w:ascii="Abadi" w:hAnsi="Abadi" w:cs="Arial"/>
          <w:sz w:val="21"/>
          <w:szCs w:val="21"/>
          <w:lang w:val="es-MX" w:eastAsia="x-none"/>
        </w:rPr>
      </w:pPr>
      <w:r w:rsidRPr="003E74BC">
        <w:rPr>
          <w:rFonts w:ascii="Abadi" w:hAnsi="Abadi" w:cs="Arial"/>
          <w:sz w:val="21"/>
          <w:szCs w:val="21"/>
        </w:rPr>
        <w:tab/>
        <w:t xml:space="preserve">El citado artículo también refiere </w:t>
      </w:r>
      <w:r w:rsidRPr="003E74BC">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78D044AC" w14:textId="77777777" w:rsidR="003E74BC" w:rsidRPr="003E74BC" w:rsidRDefault="003E74BC" w:rsidP="003E74BC">
      <w:pPr>
        <w:tabs>
          <w:tab w:val="left" w:pos="709"/>
        </w:tabs>
        <w:jc w:val="both"/>
        <w:rPr>
          <w:rFonts w:ascii="Abadi" w:hAnsi="Abadi" w:cs="Arial"/>
          <w:sz w:val="21"/>
          <w:szCs w:val="21"/>
          <w:lang w:val="es-MX" w:eastAsia="x-none"/>
        </w:rPr>
      </w:pPr>
      <w:r w:rsidRPr="003E74BC">
        <w:rPr>
          <w:rFonts w:ascii="Abadi" w:hAnsi="Abadi" w:cs="Arial"/>
          <w:sz w:val="21"/>
          <w:szCs w:val="21"/>
          <w:lang w:val="es-MX" w:eastAsia="x-none"/>
        </w:rPr>
        <w:tab/>
        <w:t xml:space="preserve">En términos del numeral 23 de la </w:t>
      </w:r>
      <w:r w:rsidRPr="003E74BC">
        <w:rPr>
          <w:rFonts w:ascii="Abadi" w:hAnsi="Abadi" w:cs="Arial"/>
          <w:sz w:val="21"/>
          <w:szCs w:val="21"/>
        </w:rPr>
        <w:t>Ley de Fiscalización Superior del Estado de Guanajuato, p</w:t>
      </w:r>
      <w:r w:rsidRPr="003E74BC">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68E77F8E" w14:textId="77777777" w:rsidR="003E74BC" w:rsidRPr="003E74BC" w:rsidRDefault="003E74BC" w:rsidP="003E74BC">
      <w:pPr>
        <w:tabs>
          <w:tab w:val="left" w:pos="709"/>
        </w:tabs>
        <w:jc w:val="both"/>
        <w:rPr>
          <w:rFonts w:ascii="Abadi" w:hAnsi="Abadi" w:cs="Arial"/>
          <w:sz w:val="21"/>
          <w:szCs w:val="21"/>
          <w:lang w:val="es-MX" w:eastAsia="x-none"/>
        </w:rPr>
      </w:pPr>
    </w:p>
    <w:p w14:paraId="14155B35"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1258B3F5" w14:textId="77777777" w:rsidR="003E74BC" w:rsidRPr="003E74BC" w:rsidRDefault="003E74BC" w:rsidP="003E74BC">
      <w:pPr>
        <w:ind w:firstLine="708"/>
        <w:jc w:val="both"/>
        <w:rPr>
          <w:rFonts w:ascii="Abadi" w:hAnsi="Abadi" w:cs="Arial"/>
          <w:sz w:val="21"/>
          <w:szCs w:val="21"/>
          <w:lang w:val="es-MX" w:eastAsia="x-none"/>
        </w:rPr>
      </w:pPr>
    </w:p>
    <w:p w14:paraId="6FFC7E37"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En cumplimiento a los citados preceptos, en su oportunidad se remitió a este Congreso del Estado, la cuenta pública municipal de Dolores Hidalgo Cuna de la Independencia Nacional, Gto., correspondiente al ejercicio fiscal del año 2020, turnándose a la Auditoría Superior del Estado para su revisión.</w:t>
      </w:r>
    </w:p>
    <w:p w14:paraId="4482F75F" w14:textId="77777777" w:rsidR="003E74BC" w:rsidRPr="003E74BC" w:rsidRDefault="003E74BC" w:rsidP="003E74BC">
      <w:pPr>
        <w:ind w:firstLine="708"/>
        <w:jc w:val="both"/>
        <w:rPr>
          <w:rFonts w:ascii="Abadi" w:hAnsi="Abadi" w:cs="Arial"/>
          <w:sz w:val="21"/>
          <w:szCs w:val="21"/>
          <w:lang w:val="es-MX" w:eastAsia="x-none"/>
        </w:rPr>
      </w:pPr>
    </w:p>
    <w:p w14:paraId="6F58C6DC" w14:textId="77777777" w:rsidR="003E74BC" w:rsidRPr="003E74BC" w:rsidRDefault="003E74BC" w:rsidP="003E74BC">
      <w:pPr>
        <w:ind w:firstLine="708"/>
        <w:jc w:val="both"/>
        <w:rPr>
          <w:rFonts w:ascii="Abadi" w:hAnsi="Abadi" w:cs="Arial"/>
          <w:sz w:val="21"/>
          <w:szCs w:val="21"/>
          <w:lang w:eastAsia="x-none"/>
        </w:rPr>
      </w:pPr>
      <w:r w:rsidRPr="003E74BC">
        <w:rPr>
          <w:rFonts w:ascii="Abadi" w:hAnsi="Abadi" w:cs="Arial"/>
          <w:sz w:val="21"/>
          <w:szCs w:val="21"/>
          <w:lang w:eastAsia="x-none"/>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3BD1CD79" w14:textId="77777777" w:rsidR="003E74BC" w:rsidRPr="003E74BC" w:rsidRDefault="003E74BC" w:rsidP="003E74BC">
      <w:pPr>
        <w:ind w:firstLine="708"/>
        <w:jc w:val="both"/>
        <w:rPr>
          <w:rFonts w:ascii="Abadi" w:hAnsi="Abadi" w:cs="Arial"/>
          <w:sz w:val="21"/>
          <w:szCs w:val="21"/>
          <w:lang w:val="es-MX" w:eastAsia="x-none"/>
        </w:rPr>
      </w:pPr>
    </w:p>
    <w:p w14:paraId="7AC475FE"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En ejercicio de esta función, el Auditor Superior del Estado aprobó el Programa General de Fiscalización 2021. En dicho Programa se contempló la revisión de la cuenta pública municipal de Dolores Hidalgo Cuna de la Independencia Nacional, Gto., correspondiente al ejercicio fiscal del año 2020.</w:t>
      </w:r>
    </w:p>
    <w:p w14:paraId="5DEF85B6" w14:textId="77777777" w:rsidR="003E74BC" w:rsidRPr="003E74BC" w:rsidRDefault="003E74BC" w:rsidP="003E74BC">
      <w:pPr>
        <w:ind w:firstLine="708"/>
        <w:jc w:val="both"/>
        <w:rPr>
          <w:rFonts w:ascii="Abadi" w:hAnsi="Abadi" w:cs="Arial"/>
          <w:sz w:val="21"/>
          <w:szCs w:val="21"/>
          <w:lang w:val="es-MX" w:eastAsia="x-none"/>
        </w:rPr>
      </w:pPr>
    </w:p>
    <w:p w14:paraId="48E97B72" w14:textId="77777777" w:rsidR="003E74BC" w:rsidRPr="003E74BC" w:rsidRDefault="003E74BC" w:rsidP="003E74BC">
      <w:pPr>
        <w:ind w:firstLine="708"/>
        <w:jc w:val="both"/>
        <w:rPr>
          <w:rFonts w:ascii="Abadi" w:hAnsi="Abadi" w:cs="Arial"/>
          <w:bCs/>
          <w:sz w:val="21"/>
          <w:szCs w:val="21"/>
          <w:lang w:val="es-MX" w:eastAsia="x-none"/>
        </w:rPr>
      </w:pPr>
      <w:r w:rsidRPr="003E74BC">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3E74BC">
        <w:rPr>
          <w:rFonts w:ascii="Abadi" w:hAnsi="Abadi" w:cs="Arial"/>
          <w:bCs/>
          <w:sz w:val="21"/>
          <w:szCs w:val="21"/>
          <w:lang w:val="es-MX" w:eastAsia="x-none"/>
        </w:rPr>
        <w:t>el 5 de mayo de 2022 para su estudio y dictamen, siendo radicado el 12 de mayo del año en curso.</w:t>
      </w:r>
    </w:p>
    <w:p w14:paraId="4031A692" w14:textId="77777777" w:rsidR="003E74BC" w:rsidRPr="003E74BC" w:rsidRDefault="003E74BC" w:rsidP="003E74BC">
      <w:pPr>
        <w:ind w:firstLine="708"/>
        <w:jc w:val="both"/>
        <w:rPr>
          <w:rFonts w:ascii="Abadi" w:hAnsi="Abadi" w:cs="Arial"/>
          <w:bCs/>
          <w:sz w:val="21"/>
          <w:szCs w:val="21"/>
          <w:lang w:val="es-MX" w:eastAsia="x-none"/>
        </w:rPr>
      </w:pPr>
    </w:p>
    <w:p w14:paraId="4BD006EE" w14:textId="77777777" w:rsidR="003E74BC" w:rsidRPr="003E74BC" w:rsidRDefault="003E74BC" w:rsidP="003E74BC">
      <w:pPr>
        <w:ind w:firstLine="708"/>
        <w:jc w:val="both"/>
        <w:rPr>
          <w:rFonts w:ascii="Abadi" w:hAnsi="Abadi" w:cs="Arial"/>
          <w:sz w:val="21"/>
          <w:szCs w:val="21"/>
          <w:lang w:val="es-MX" w:eastAsia="x-none"/>
        </w:rPr>
      </w:pPr>
    </w:p>
    <w:p w14:paraId="06A6B4C7" w14:textId="77777777" w:rsidR="003E74BC" w:rsidRPr="003E74BC" w:rsidRDefault="003E74BC" w:rsidP="003E74BC">
      <w:pPr>
        <w:ind w:firstLine="708"/>
        <w:jc w:val="both"/>
        <w:rPr>
          <w:rFonts w:ascii="Abadi" w:hAnsi="Abadi" w:cs="Arial"/>
          <w:b/>
          <w:bCs/>
          <w:sz w:val="21"/>
          <w:szCs w:val="21"/>
          <w:lang w:val="es-MX" w:eastAsia="x-none"/>
        </w:rPr>
      </w:pPr>
      <w:r w:rsidRPr="003E74BC">
        <w:rPr>
          <w:rFonts w:ascii="Abadi" w:hAnsi="Abadi" w:cs="Arial"/>
          <w:b/>
          <w:bCs/>
          <w:sz w:val="21"/>
          <w:szCs w:val="21"/>
          <w:lang w:val="es-MX" w:eastAsia="x-none"/>
        </w:rPr>
        <w:t>III. Procedimiento de Revisión:</w:t>
      </w:r>
    </w:p>
    <w:p w14:paraId="4471E160" w14:textId="77777777" w:rsidR="003E74BC" w:rsidRPr="003E74BC" w:rsidRDefault="003E74BC" w:rsidP="003E74BC">
      <w:pPr>
        <w:ind w:firstLine="708"/>
        <w:jc w:val="both"/>
        <w:rPr>
          <w:rFonts w:ascii="Abadi" w:hAnsi="Abadi" w:cs="Arial"/>
          <w:sz w:val="21"/>
          <w:szCs w:val="21"/>
          <w:lang w:val="es-MX" w:eastAsia="x-none"/>
        </w:rPr>
      </w:pPr>
    </w:p>
    <w:p w14:paraId="5FE00AB9"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La revisión de la cuenta pública municipal de Dolores Hidalgo Cuna de la Independencia Nacional, Gto.,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310835CC" w14:textId="77777777" w:rsidR="003E74BC" w:rsidRPr="003E74BC" w:rsidRDefault="003E74BC" w:rsidP="003E74BC">
      <w:pPr>
        <w:ind w:firstLine="708"/>
        <w:jc w:val="both"/>
        <w:rPr>
          <w:rFonts w:ascii="Abadi" w:hAnsi="Abadi" w:cs="Arial"/>
          <w:sz w:val="21"/>
          <w:szCs w:val="21"/>
          <w:lang w:eastAsia="x-none"/>
        </w:rPr>
      </w:pPr>
    </w:p>
    <w:p w14:paraId="23049DBD"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03243235" w14:textId="77777777" w:rsidR="003E74BC" w:rsidRPr="003E74BC" w:rsidRDefault="003E74BC" w:rsidP="003E74BC">
      <w:pPr>
        <w:ind w:firstLine="708"/>
        <w:jc w:val="both"/>
        <w:rPr>
          <w:rFonts w:ascii="Abadi" w:hAnsi="Abadi" w:cs="Arial"/>
          <w:sz w:val="21"/>
          <w:szCs w:val="21"/>
          <w:lang w:val="es-MX" w:eastAsia="x-none"/>
        </w:rPr>
      </w:pPr>
    </w:p>
    <w:p w14:paraId="17E7EEC7" w14:textId="7DB64BDD" w:rsid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55894BCE" w14:textId="77777777" w:rsidR="003E74BC" w:rsidRPr="003E74BC" w:rsidRDefault="003E74BC" w:rsidP="003E74BC">
      <w:pPr>
        <w:ind w:firstLine="708"/>
        <w:jc w:val="both"/>
        <w:rPr>
          <w:rFonts w:ascii="Abadi" w:hAnsi="Abadi" w:cs="Arial"/>
          <w:sz w:val="21"/>
          <w:szCs w:val="21"/>
          <w:lang w:val="es-MX" w:eastAsia="x-none"/>
        </w:rPr>
      </w:pPr>
    </w:p>
    <w:p w14:paraId="37BFFE78"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5B920195" w14:textId="77777777" w:rsidR="003E74BC" w:rsidRPr="003E74BC" w:rsidRDefault="003E74BC" w:rsidP="003E74BC">
      <w:pPr>
        <w:ind w:firstLine="708"/>
        <w:jc w:val="both"/>
        <w:rPr>
          <w:rFonts w:ascii="Abadi" w:hAnsi="Abadi" w:cs="Arial"/>
          <w:sz w:val="21"/>
          <w:szCs w:val="21"/>
          <w:lang w:val="es-MX" w:eastAsia="x-none"/>
        </w:rPr>
      </w:pPr>
    </w:p>
    <w:p w14:paraId="0B538F9E" w14:textId="77777777" w:rsidR="003E74BC" w:rsidRPr="003E74BC" w:rsidRDefault="003E74BC" w:rsidP="003E74BC">
      <w:pPr>
        <w:ind w:firstLine="705"/>
        <w:jc w:val="both"/>
        <w:rPr>
          <w:rFonts w:ascii="Abadi" w:hAnsi="Abadi" w:cs="Arial"/>
          <w:sz w:val="21"/>
          <w:szCs w:val="21"/>
          <w:lang w:val="es-MX" w:eastAsia="x-none"/>
        </w:rPr>
      </w:pPr>
      <w:r w:rsidRPr="003E74BC">
        <w:rPr>
          <w:rFonts w:ascii="Abadi" w:hAnsi="Abadi" w:cs="Arial"/>
          <w:sz w:val="21"/>
          <w:szCs w:val="21"/>
          <w:lang w:val="es-MX" w:eastAsia="x-none"/>
        </w:rPr>
        <w:t>El informe de resultados establece que se practicó la revisión de la cuenta pública respecto de las operaciones realizadas por la administración municipal de Dolores Hidalgo Cuna de la Independencia Nacional, Gto., correspondientes al ejercicio fiscal 2020, en lo referente a los apartados de ingresos y egresos.</w:t>
      </w:r>
    </w:p>
    <w:p w14:paraId="1FB955C0" w14:textId="77777777" w:rsidR="003E74BC" w:rsidRPr="003E74BC" w:rsidRDefault="003E74BC" w:rsidP="003E74BC">
      <w:pPr>
        <w:ind w:firstLine="705"/>
        <w:jc w:val="both"/>
        <w:rPr>
          <w:rFonts w:ascii="Abadi" w:hAnsi="Abadi" w:cs="Arial"/>
          <w:sz w:val="21"/>
          <w:szCs w:val="21"/>
          <w:lang w:val="es-MX" w:eastAsia="x-none"/>
        </w:rPr>
      </w:pPr>
    </w:p>
    <w:p w14:paraId="241B66D1" w14:textId="77777777" w:rsidR="003E74BC" w:rsidRPr="003E74BC" w:rsidRDefault="003E74BC" w:rsidP="003E74BC">
      <w:pPr>
        <w:autoSpaceDE w:val="0"/>
        <w:autoSpaceDN w:val="0"/>
        <w:adjustRightInd w:val="0"/>
        <w:ind w:firstLine="708"/>
        <w:jc w:val="both"/>
        <w:rPr>
          <w:rFonts w:ascii="Abadi" w:hAnsi="Abadi" w:cs="Arial"/>
          <w:sz w:val="21"/>
          <w:szCs w:val="21"/>
          <w:lang w:val="es-MX" w:eastAsia="x-none"/>
        </w:rPr>
      </w:pPr>
      <w:r w:rsidRPr="003E74BC">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6A4FF551" w14:textId="77777777" w:rsidR="003E74BC" w:rsidRPr="003E74BC" w:rsidRDefault="003E74BC" w:rsidP="003E74BC">
      <w:pPr>
        <w:jc w:val="both"/>
        <w:rPr>
          <w:rFonts w:ascii="Abadi" w:hAnsi="Abadi" w:cs="Arial"/>
          <w:sz w:val="21"/>
          <w:szCs w:val="21"/>
          <w:lang w:val="es-MX" w:eastAsia="x-none"/>
        </w:rPr>
      </w:pPr>
    </w:p>
    <w:p w14:paraId="188320CF"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798E6CC1" w14:textId="77777777" w:rsidR="003E74BC" w:rsidRPr="003E74BC" w:rsidRDefault="003E74BC" w:rsidP="003E74BC">
      <w:pPr>
        <w:ind w:firstLine="708"/>
        <w:jc w:val="both"/>
        <w:rPr>
          <w:rFonts w:ascii="Abadi" w:hAnsi="Abadi" w:cs="Arial"/>
          <w:sz w:val="21"/>
          <w:szCs w:val="21"/>
          <w:lang w:val="es-MX" w:eastAsia="x-none"/>
        </w:rPr>
      </w:pPr>
    </w:p>
    <w:p w14:paraId="67EF13DC" w14:textId="77777777" w:rsidR="003E74BC" w:rsidRPr="003E74BC" w:rsidRDefault="003E74BC" w:rsidP="003E74BC">
      <w:pPr>
        <w:ind w:firstLine="708"/>
        <w:jc w:val="both"/>
        <w:rPr>
          <w:rFonts w:ascii="Abadi" w:hAnsi="Abadi" w:cs="Arial"/>
          <w:sz w:val="21"/>
          <w:szCs w:val="21"/>
        </w:rPr>
      </w:pPr>
      <w:r w:rsidRPr="003E74BC">
        <w:rPr>
          <w:rFonts w:ascii="Abadi" w:hAnsi="Abadi" w:cs="Arial"/>
          <w:sz w:val="21"/>
          <w:szCs w:val="21"/>
        </w:rPr>
        <w:t>El 18 de agosto de 2021 se notificó al presidente municipal de Dolores Hidalgo Cuna de la Independencia Nacional, Gto., la orden de inicio del procedimiento de revisión de la cuenta pública.</w:t>
      </w:r>
    </w:p>
    <w:p w14:paraId="59D9C08D" w14:textId="77777777" w:rsidR="003E74BC" w:rsidRPr="003E74BC" w:rsidRDefault="003E74BC" w:rsidP="003E74BC">
      <w:pPr>
        <w:ind w:firstLine="708"/>
        <w:jc w:val="both"/>
        <w:rPr>
          <w:rFonts w:ascii="Abadi" w:hAnsi="Abadi" w:cs="Arial"/>
          <w:sz w:val="21"/>
          <w:szCs w:val="21"/>
        </w:rPr>
      </w:pPr>
    </w:p>
    <w:p w14:paraId="11BCD511" w14:textId="77777777" w:rsidR="003E74BC" w:rsidRPr="003E74BC" w:rsidRDefault="003E74BC" w:rsidP="003E74BC">
      <w:pPr>
        <w:ind w:firstLine="708"/>
        <w:jc w:val="both"/>
        <w:rPr>
          <w:rFonts w:ascii="Abadi" w:hAnsi="Abadi" w:cs="Arial"/>
          <w:sz w:val="21"/>
          <w:szCs w:val="21"/>
        </w:rPr>
      </w:pPr>
      <w:r w:rsidRPr="003E74BC">
        <w:rPr>
          <w:rFonts w:ascii="Abadi" w:hAnsi="Abadi" w:cs="Arial"/>
          <w:sz w:val="21"/>
          <w:szCs w:val="21"/>
        </w:rPr>
        <w:t>Posteriormente, en fechas 1 y 8 de diciembre de 2021 y 7 de enero de 2022 se notificó al presidente y al ex-presidente municipales de Dolores Hidalgo Cuna de la Independencia Nacional, Gto., la suspensión del plazo de la revisión materia del presente dictamen, de conformidad con lo establecido en los Acuerdos de Suspensión de Plazos publicados en el Periódico Oficial del Gobierno del Estado de Guanajuato los días 19 de noviembre y 17 de diciembre de 2021.</w:t>
      </w:r>
    </w:p>
    <w:p w14:paraId="1446999C" w14:textId="77777777" w:rsidR="003E74BC" w:rsidRPr="003E74BC" w:rsidRDefault="003E74BC" w:rsidP="003E74BC">
      <w:pPr>
        <w:ind w:firstLine="708"/>
        <w:jc w:val="both"/>
        <w:rPr>
          <w:rFonts w:ascii="Abadi" w:hAnsi="Abadi" w:cs="Arial"/>
          <w:sz w:val="21"/>
          <w:szCs w:val="21"/>
        </w:rPr>
      </w:pPr>
    </w:p>
    <w:p w14:paraId="737FC47E" w14:textId="77777777" w:rsidR="003E74BC" w:rsidRPr="003E74BC" w:rsidRDefault="003E74BC" w:rsidP="003E74BC">
      <w:pPr>
        <w:ind w:firstLine="708"/>
        <w:jc w:val="both"/>
        <w:rPr>
          <w:rFonts w:ascii="Abadi" w:hAnsi="Abadi" w:cs="Arial"/>
          <w:sz w:val="21"/>
          <w:szCs w:val="21"/>
        </w:rPr>
      </w:pPr>
      <w:r w:rsidRPr="003E74BC">
        <w:rPr>
          <w:rFonts w:ascii="Abadi" w:hAnsi="Abadi" w:cs="Arial"/>
          <w:sz w:val="21"/>
          <w:szCs w:val="21"/>
        </w:rPr>
        <w:t>Los días 31 de enero y 1 de febrero de 2022, se notificó al presidente y al ex-presidente municipales de Dolores Hidalgo Cuna de la Independencia Nacional, Gto., el pliego de observaciones y recomendaciones derivado de la revisión practicada a la cuenta pública municipal de Dolores Hidalgo Cuna de la Independencia Nacional, Gto., correspondiente al ejercicio fiscal del año 2020, al cual se dio respuesta el 18 de febrero de 2022 por parte del presidente municipal de Dolores Hidalgo Cuna de la Independencia Nacional, Gto.</w:t>
      </w:r>
    </w:p>
    <w:p w14:paraId="07A21947" w14:textId="77777777" w:rsidR="003E74BC" w:rsidRPr="003E74BC" w:rsidRDefault="003E74BC" w:rsidP="003E74BC">
      <w:pPr>
        <w:ind w:firstLine="708"/>
        <w:jc w:val="both"/>
        <w:rPr>
          <w:rFonts w:ascii="Abadi" w:hAnsi="Abadi" w:cs="Arial"/>
          <w:sz w:val="21"/>
          <w:szCs w:val="21"/>
        </w:rPr>
      </w:pPr>
    </w:p>
    <w:p w14:paraId="71F52C71" w14:textId="15AD173B"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 xml:space="preserve">En fechas 6 y 7 de abril de 2022, el informe de resultados se notificó al presidente y al ex-presidente municipales de Dolores Hidalgo Cuna de la Independencia Nacional, Gto., para que, en su caso, hicieran valer el recurso de reconsideración previsto por los artículos del 48 al 55 de </w:t>
      </w:r>
      <w:smartTag w:uri="urn:schemas-microsoft-com:office:smarttags" w:element="PersonName">
        <w:smartTagPr>
          <w:attr w:name="ProductID" w:val="la Ley"/>
        </w:smartTagPr>
        <w:r w:rsidRPr="003E74BC">
          <w:rPr>
            <w:rFonts w:ascii="Abadi" w:hAnsi="Abadi" w:cs="Arial"/>
            <w:sz w:val="21"/>
            <w:szCs w:val="21"/>
            <w:lang w:val="es-MX" w:eastAsia="x-none"/>
          </w:rPr>
          <w:t>la Ley</w:t>
        </w:r>
      </w:smartTag>
      <w:r w:rsidRPr="003E74BC">
        <w:rPr>
          <w:rFonts w:ascii="Abadi" w:hAnsi="Abadi" w:cs="Arial"/>
          <w:sz w:val="21"/>
          <w:szCs w:val="21"/>
          <w:lang w:val="es-MX" w:eastAsia="x-none"/>
        </w:rPr>
        <w:t xml:space="preserve"> de Fiscalización Superior del Estado de Guanajuato, haciéndoles saber que contaban con un término de cinco días hábiles para tal efecto. Con lo anterior, se dio cumplimiento a la fracción IV del artículo 37 de la citada Ley.</w:t>
      </w:r>
    </w:p>
    <w:p w14:paraId="65B6E9FA" w14:textId="77777777" w:rsidR="003E74BC" w:rsidRPr="003E74BC" w:rsidRDefault="003E74BC" w:rsidP="003E74BC">
      <w:pPr>
        <w:ind w:firstLine="708"/>
        <w:jc w:val="both"/>
        <w:rPr>
          <w:rFonts w:ascii="Abadi" w:hAnsi="Abadi" w:cs="Arial"/>
          <w:sz w:val="21"/>
          <w:szCs w:val="21"/>
          <w:lang w:val="es-MX" w:eastAsia="x-none"/>
        </w:rPr>
      </w:pPr>
    </w:p>
    <w:p w14:paraId="353B10A2"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es-MX" w:eastAsia="x-none"/>
        </w:rPr>
        <w:t>Este término transcurrió sin que, dentro del mismo, se hubiere promovido el recurso de reconsideración, como consta en la razón levantada por el Auditor Superior del Estado el 25 de abril de 2022, en la que se realiza el cómputo del término para la interposición del recurso, contado a partir del día hábil siguiente de la notificación del informe de resultados.</w:t>
      </w:r>
    </w:p>
    <w:p w14:paraId="35F9F783" w14:textId="77777777" w:rsidR="003E74BC" w:rsidRPr="003E74BC" w:rsidRDefault="003E74BC" w:rsidP="003E74BC">
      <w:pPr>
        <w:ind w:firstLine="708"/>
        <w:jc w:val="both"/>
        <w:rPr>
          <w:rFonts w:ascii="Abadi" w:hAnsi="Abadi" w:cs="Arial"/>
          <w:sz w:val="21"/>
          <w:szCs w:val="21"/>
          <w:lang w:val="es-MX" w:eastAsia="x-none"/>
        </w:rPr>
      </w:pPr>
    </w:p>
    <w:p w14:paraId="51991C34" w14:textId="77777777" w:rsidR="003E74BC" w:rsidRPr="003E74BC" w:rsidRDefault="003E74BC" w:rsidP="003E74BC">
      <w:pPr>
        <w:ind w:firstLine="708"/>
        <w:jc w:val="both"/>
        <w:rPr>
          <w:rFonts w:ascii="Abadi" w:hAnsi="Abadi" w:cs="Arial"/>
          <w:b/>
          <w:bCs/>
          <w:sz w:val="21"/>
          <w:szCs w:val="21"/>
          <w:lang w:eastAsia="x-none"/>
        </w:rPr>
      </w:pPr>
      <w:r w:rsidRPr="003E74BC">
        <w:rPr>
          <w:rFonts w:ascii="Abadi" w:hAnsi="Abadi" w:cs="Arial"/>
          <w:b/>
          <w:bCs/>
          <w:sz w:val="21"/>
          <w:szCs w:val="21"/>
          <w:lang w:eastAsia="x-none"/>
        </w:rPr>
        <w:t>IV. Contenido del Informe de Resultados:</w:t>
      </w:r>
    </w:p>
    <w:p w14:paraId="79DBD8E5" w14:textId="77777777" w:rsidR="003E74BC" w:rsidRPr="003E74BC" w:rsidRDefault="003E74BC" w:rsidP="003E74BC">
      <w:pPr>
        <w:jc w:val="both"/>
        <w:rPr>
          <w:rFonts w:ascii="Abadi" w:hAnsi="Abadi" w:cs="Arial"/>
          <w:b/>
          <w:bCs/>
          <w:sz w:val="21"/>
          <w:szCs w:val="21"/>
          <w:lang w:eastAsia="x-none"/>
        </w:rPr>
      </w:pPr>
    </w:p>
    <w:p w14:paraId="021CB983" w14:textId="77777777" w:rsidR="003E74BC" w:rsidRPr="003E74BC" w:rsidRDefault="003E74BC" w:rsidP="003E74BC">
      <w:pPr>
        <w:jc w:val="both"/>
        <w:rPr>
          <w:rFonts w:ascii="Abadi" w:hAnsi="Abadi" w:cs="Arial"/>
          <w:sz w:val="21"/>
          <w:szCs w:val="21"/>
          <w:lang w:eastAsia="x-none"/>
        </w:rPr>
      </w:pPr>
      <w:r w:rsidRPr="003E74BC">
        <w:rPr>
          <w:rFonts w:ascii="Abadi" w:hAnsi="Abadi" w:cs="Arial"/>
          <w:b/>
          <w:bCs/>
          <w:sz w:val="21"/>
          <w:szCs w:val="21"/>
          <w:lang w:eastAsia="x-none"/>
        </w:rPr>
        <w:tab/>
      </w:r>
      <w:r w:rsidRPr="003E74BC">
        <w:rPr>
          <w:rFonts w:ascii="Abadi" w:hAnsi="Abadi" w:cs="Arial"/>
          <w:bCs/>
          <w:sz w:val="21"/>
          <w:szCs w:val="21"/>
          <w:lang w:eastAsia="x-none"/>
        </w:rPr>
        <w:t>En cumplimiento a lo establecido por el</w:t>
      </w:r>
      <w:r w:rsidRPr="003E74BC">
        <w:rPr>
          <w:rFonts w:ascii="Abadi" w:hAnsi="Abadi" w:cs="Arial"/>
          <w:sz w:val="21"/>
          <w:szCs w:val="21"/>
          <w:lang w:eastAsia="x-none"/>
        </w:rPr>
        <w:t xml:space="preserve"> artículo 37, fracción III de la Ley de Fiscalización Superior del Estado, el informe de resultados contiene los siguientes apartados:</w:t>
      </w:r>
    </w:p>
    <w:p w14:paraId="230594DB" w14:textId="77777777" w:rsidR="003E74BC" w:rsidRPr="003E74BC" w:rsidRDefault="003E74BC" w:rsidP="003E74BC">
      <w:pPr>
        <w:jc w:val="both"/>
        <w:rPr>
          <w:rFonts w:ascii="Abadi" w:hAnsi="Abadi" w:cs="Arial"/>
          <w:sz w:val="21"/>
          <w:szCs w:val="21"/>
          <w:lang w:eastAsia="x-none"/>
        </w:rPr>
      </w:pPr>
    </w:p>
    <w:p w14:paraId="282C6D3B" w14:textId="77777777" w:rsidR="003E74BC" w:rsidRPr="003E74BC" w:rsidRDefault="003E74BC" w:rsidP="001A28E5">
      <w:pPr>
        <w:numPr>
          <w:ilvl w:val="0"/>
          <w:numId w:val="94"/>
        </w:numPr>
        <w:jc w:val="both"/>
        <w:rPr>
          <w:rFonts w:ascii="Abadi" w:hAnsi="Abadi" w:cs="Arial"/>
          <w:b/>
          <w:bCs/>
          <w:sz w:val="21"/>
          <w:szCs w:val="21"/>
          <w:lang w:eastAsia="x-none"/>
        </w:rPr>
      </w:pPr>
      <w:r w:rsidRPr="003E74BC">
        <w:rPr>
          <w:rFonts w:ascii="Abadi" w:hAnsi="Abadi" w:cs="Arial"/>
          <w:b/>
          <w:bCs/>
          <w:sz w:val="21"/>
          <w:szCs w:val="21"/>
          <w:lang w:eastAsia="x-none"/>
        </w:rPr>
        <w:t>Introducción.</w:t>
      </w:r>
    </w:p>
    <w:p w14:paraId="4B67287B" w14:textId="77777777" w:rsidR="003E74BC" w:rsidRPr="003E74BC" w:rsidRDefault="003E74BC" w:rsidP="003E74BC">
      <w:pPr>
        <w:ind w:left="705"/>
        <w:jc w:val="both"/>
        <w:rPr>
          <w:rFonts w:ascii="Abadi" w:hAnsi="Abadi" w:cs="Arial"/>
          <w:b/>
          <w:bCs/>
          <w:sz w:val="21"/>
          <w:szCs w:val="21"/>
          <w:lang w:eastAsia="x-none"/>
        </w:rPr>
      </w:pPr>
    </w:p>
    <w:p w14:paraId="4F88CB6D" w14:textId="77777777" w:rsidR="003E74BC" w:rsidRPr="003E74BC" w:rsidRDefault="003E74BC" w:rsidP="003E74BC">
      <w:pPr>
        <w:ind w:firstLine="705"/>
        <w:jc w:val="both"/>
        <w:rPr>
          <w:rFonts w:ascii="Abadi" w:hAnsi="Abadi" w:cs="Arial"/>
          <w:sz w:val="21"/>
          <w:szCs w:val="21"/>
          <w:lang w:eastAsia="x-none"/>
        </w:rPr>
      </w:pPr>
      <w:r w:rsidRPr="003E74BC">
        <w:rPr>
          <w:rFonts w:ascii="Abadi" w:hAnsi="Abadi" w:cs="Arial"/>
          <w:sz w:val="21"/>
          <w:szCs w:val="21"/>
          <w:lang w:eastAsia="x-none"/>
        </w:rPr>
        <w:t xml:space="preserve">Por lo que se refiere a este punto, se establecen los criterios de selección; el objetivo de la revisión; el alcance de la revisión respecto a los apartados de ingresos y egresos, </w:t>
      </w:r>
      <w:r w:rsidRPr="003E74BC">
        <w:rPr>
          <w:rFonts w:ascii="Abadi" w:hAnsi="Abadi" w:cs="Arial"/>
          <w:sz w:val="21"/>
          <w:szCs w:val="21"/>
          <w:lang w:val="es-MX" w:eastAsia="x-none"/>
        </w:rPr>
        <w:t>precisando que el detalle de los alcances de la revisión se consigna en el Anexo 01 del informe de resultados.</w:t>
      </w:r>
    </w:p>
    <w:p w14:paraId="4DF0FF25" w14:textId="77777777" w:rsidR="003E74BC" w:rsidRPr="003E74BC" w:rsidRDefault="003E74BC" w:rsidP="003E74BC">
      <w:pPr>
        <w:ind w:firstLine="705"/>
        <w:jc w:val="both"/>
        <w:rPr>
          <w:rFonts w:ascii="Abadi" w:hAnsi="Abadi" w:cs="Arial"/>
          <w:sz w:val="21"/>
          <w:szCs w:val="21"/>
          <w:lang w:eastAsia="x-none"/>
        </w:rPr>
      </w:pPr>
    </w:p>
    <w:p w14:paraId="31791385" w14:textId="77777777" w:rsidR="003E74BC" w:rsidRPr="003E74BC" w:rsidRDefault="003E74BC" w:rsidP="003E74BC">
      <w:pPr>
        <w:ind w:firstLine="705"/>
        <w:jc w:val="both"/>
        <w:rPr>
          <w:rFonts w:ascii="Abadi" w:hAnsi="Abadi" w:cs="Arial"/>
          <w:sz w:val="21"/>
          <w:szCs w:val="21"/>
          <w:lang w:eastAsia="x-none"/>
        </w:rPr>
      </w:pPr>
      <w:r w:rsidRPr="003E74BC">
        <w:rPr>
          <w:rFonts w:ascii="Abadi" w:hAnsi="Abadi" w:cs="Arial"/>
          <w:sz w:val="21"/>
          <w:szCs w:val="21"/>
          <w:lang w:eastAsia="x-none"/>
        </w:rPr>
        <w:t>También en este apartado se precisan los procedimientos de auditoría aplicados, siendo estos: inspección, observación, confirmación externa, recálculo, procedimientos analíticos, re ejecución e indagación.</w:t>
      </w:r>
    </w:p>
    <w:p w14:paraId="0CEEB06F" w14:textId="77777777" w:rsidR="003E74BC" w:rsidRPr="003E74BC" w:rsidRDefault="003E74BC" w:rsidP="003E74BC">
      <w:pPr>
        <w:ind w:firstLine="705"/>
        <w:jc w:val="both"/>
        <w:rPr>
          <w:rFonts w:ascii="Abadi" w:hAnsi="Abadi" w:cs="Arial"/>
          <w:sz w:val="21"/>
          <w:szCs w:val="21"/>
          <w:lang w:eastAsia="x-none"/>
        </w:rPr>
      </w:pPr>
    </w:p>
    <w:p w14:paraId="3BF34101" w14:textId="77777777" w:rsidR="003E74BC" w:rsidRPr="003E74BC" w:rsidRDefault="003E74BC" w:rsidP="003E74BC">
      <w:pPr>
        <w:ind w:firstLine="705"/>
        <w:jc w:val="both"/>
        <w:rPr>
          <w:rFonts w:ascii="Abadi" w:hAnsi="Abadi" w:cs="Arial"/>
          <w:sz w:val="21"/>
          <w:szCs w:val="21"/>
          <w:lang w:eastAsia="x-none"/>
        </w:rPr>
      </w:pPr>
      <w:r w:rsidRPr="003E74BC">
        <w:rPr>
          <w:rFonts w:ascii="Abadi" w:hAnsi="Abadi" w:cs="Arial"/>
          <w:sz w:val="21"/>
          <w:szCs w:val="21"/>
          <w:lang w:eastAsia="x-none"/>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7E11A36B" w14:textId="77777777" w:rsidR="003E74BC" w:rsidRPr="003E74BC" w:rsidRDefault="003E74BC" w:rsidP="003E74BC">
      <w:pPr>
        <w:jc w:val="both"/>
        <w:rPr>
          <w:rFonts w:ascii="Abadi" w:hAnsi="Abadi"/>
          <w:i/>
          <w:iCs/>
          <w:sz w:val="21"/>
          <w:szCs w:val="21"/>
          <w:lang w:eastAsia="x-none"/>
        </w:rPr>
      </w:pPr>
    </w:p>
    <w:p w14:paraId="05B73AD5" w14:textId="77777777" w:rsidR="003E74BC" w:rsidRPr="003E74BC" w:rsidRDefault="003E74BC" w:rsidP="003E74BC">
      <w:pPr>
        <w:jc w:val="both"/>
        <w:rPr>
          <w:rFonts w:ascii="Abadi" w:hAnsi="Abadi" w:cs="Arial"/>
          <w:i/>
          <w:iCs/>
          <w:sz w:val="21"/>
          <w:szCs w:val="21"/>
          <w:lang w:eastAsia="x-none"/>
        </w:rPr>
      </w:pPr>
      <w:r w:rsidRPr="003E74BC">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6158B3B3" w14:textId="77777777" w:rsidR="003E74BC" w:rsidRPr="003E74BC" w:rsidRDefault="003E74BC" w:rsidP="003E74BC">
      <w:pPr>
        <w:jc w:val="both"/>
        <w:rPr>
          <w:rFonts w:ascii="Abadi" w:hAnsi="Abadi" w:cs="Arial"/>
          <w:i/>
          <w:iCs/>
          <w:sz w:val="21"/>
          <w:szCs w:val="21"/>
          <w:lang w:eastAsia="x-none"/>
        </w:rPr>
      </w:pPr>
    </w:p>
    <w:p w14:paraId="22F2CE51" w14:textId="77777777" w:rsidR="003E74BC" w:rsidRPr="003E74BC" w:rsidRDefault="003E74BC" w:rsidP="003E74BC">
      <w:pPr>
        <w:jc w:val="both"/>
        <w:rPr>
          <w:rFonts w:ascii="Abadi" w:hAnsi="Abadi" w:cs="Arial"/>
          <w:i/>
          <w:iCs/>
          <w:sz w:val="21"/>
          <w:szCs w:val="21"/>
          <w:lang w:eastAsia="x-none"/>
        </w:rPr>
      </w:pPr>
      <w:r w:rsidRPr="003E74BC">
        <w:rPr>
          <w:rFonts w:ascii="Abadi" w:hAnsi="Abadi" w:cs="Arial"/>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57E1CFAB" w14:textId="77777777" w:rsidR="003E74BC" w:rsidRPr="003E74BC" w:rsidRDefault="003E74BC" w:rsidP="003E74BC">
      <w:pPr>
        <w:jc w:val="both"/>
        <w:rPr>
          <w:rFonts w:ascii="Abadi" w:hAnsi="Abadi" w:cs="Arial"/>
          <w:i/>
          <w:iCs/>
          <w:sz w:val="21"/>
          <w:szCs w:val="21"/>
          <w:lang w:eastAsia="x-none"/>
        </w:rPr>
      </w:pPr>
    </w:p>
    <w:p w14:paraId="0CE8AF96" w14:textId="77777777" w:rsidR="003E74BC" w:rsidRPr="003E74BC" w:rsidRDefault="003E74BC" w:rsidP="003E74BC">
      <w:pPr>
        <w:jc w:val="both"/>
        <w:rPr>
          <w:rFonts w:ascii="Abadi" w:hAnsi="Abadi" w:cs="Arial"/>
          <w:i/>
          <w:iCs/>
          <w:sz w:val="21"/>
          <w:szCs w:val="21"/>
          <w:lang w:eastAsia="x-none"/>
        </w:rPr>
      </w:pPr>
      <w:r w:rsidRPr="003E74BC">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55A4C683" w14:textId="77777777" w:rsidR="003E74BC" w:rsidRPr="003E74BC" w:rsidRDefault="003E74BC" w:rsidP="003E74BC">
      <w:pPr>
        <w:jc w:val="both"/>
        <w:rPr>
          <w:rFonts w:ascii="Abadi" w:hAnsi="Abadi" w:cs="Arial"/>
          <w:sz w:val="21"/>
          <w:szCs w:val="21"/>
          <w:lang w:eastAsia="x-none"/>
        </w:rPr>
      </w:pPr>
    </w:p>
    <w:p w14:paraId="2D607232" w14:textId="77777777" w:rsidR="003E74BC" w:rsidRPr="003E74BC" w:rsidRDefault="003E74BC" w:rsidP="003E74BC">
      <w:pPr>
        <w:ind w:firstLine="705"/>
        <w:jc w:val="both"/>
        <w:rPr>
          <w:rFonts w:ascii="Abadi" w:hAnsi="Abadi" w:cs="Arial"/>
          <w:sz w:val="21"/>
          <w:szCs w:val="21"/>
          <w:lang w:eastAsia="x-none"/>
        </w:rPr>
      </w:pPr>
      <w:r w:rsidRPr="003E74BC">
        <w:rPr>
          <w:rFonts w:ascii="Abadi" w:hAnsi="Abadi" w:cs="Arial"/>
          <w:sz w:val="21"/>
          <w:szCs w:val="21"/>
          <w:lang w:eastAsia="x-none"/>
        </w:rPr>
        <w:t xml:space="preserve">Derivado de lo anterior, en el proceso de auditoría se inspeccionó que los comprobantes fiscales que soportan las erogaciones del ente fiscalizado, no correspondan a contribuyentes que se encuentren en los supuestos previstos en el artículo 69-B del Código Fiscal de la Federación, empresas que facturan operaciones simuladas o inexistentes con el carácter de </w:t>
      </w:r>
      <w:r w:rsidRPr="003E74BC">
        <w:rPr>
          <w:rFonts w:ascii="Abadi" w:hAnsi="Abadi" w:cs="Arial"/>
          <w:i/>
          <w:iCs/>
          <w:sz w:val="21"/>
          <w:szCs w:val="21"/>
          <w:lang w:eastAsia="x-none"/>
        </w:rPr>
        <w:t>«Definitivos»,</w:t>
      </w:r>
      <w:r w:rsidRPr="003E74BC">
        <w:rPr>
          <w:rFonts w:ascii="Abadi" w:hAnsi="Abadi" w:cs="Arial"/>
          <w:sz w:val="21"/>
          <w:szCs w:val="21"/>
          <w:lang w:eastAsia="x-none"/>
        </w:rPr>
        <w:t xml:space="preserve"> emitidas por el Servicio de Administración Tributaria.</w:t>
      </w:r>
    </w:p>
    <w:p w14:paraId="6809C380" w14:textId="77777777" w:rsidR="003E74BC" w:rsidRPr="003E74BC" w:rsidRDefault="003E74BC" w:rsidP="003E74BC">
      <w:pPr>
        <w:ind w:firstLine="705"/>
        <w:jc w:val="both"/>
        <w:rPr>
          <w:rFonts w:ascii="Abadi" w:hAnsi="Abadi" w:cs="Arial"/>
          <w:sz w:val="21"/>
          <w:szCs w:val="21"/>
          <w:lang w:val="es-MX" w:eastAsia="x-none"/>
        </w:rPr>
      </w:pPr>
    </w:p>
    <w:p w14:paraId="599DEF73" w14:textId="77777777" w:rsidR="003E74BC" w:rsidRPr="003E74BC" w:rsidRDefault="003E74BC" w:rsidP="003E74BC">
      <w:pPr>
        <w:ind w:firstLine="705"/>
        <w:jc w:val="both"/>
        <w:rPr>
          <w:rFonts w:ascii="Abadi" w:hAnsi="Abadi" w:cs="Arial"/>
          <w:sz w:val="21"/>
          <w:szCs w:val="21"/>
          <w:lang w:eastAsia="x-none"/>
        </w:rPr>
      </w:pPr>
      <w:r w:rsidRPr="003E74BC">
        <w:rPr>
          <w:rFonts w:ascii="Abadi" w:hAnsi="Abadi" w:cs="Arial"/>
          <w:sz w:val="21"/>
          <w:szCs w:val="21"/>
          <w:lang w:eastAsia="x-none"/>
        </w:rPr>
        <w:t>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1AF7E27A" w14:textId="77777777" w:rsidR="003E74BC" w:rsidRPr="003E74BC" w:rsidRDefault="003E74BC" w:rsidP="003E74BC">
      <w:pPr>
        <w:ind w:firstLine="705"/>
        <w:jc w:val="both"/>
        <w:rPr>
          <w:rFonts w:ascii="Abadi" w:hAnsi="Abadi"/>
          <w:sz w:val="21"/>
          <w:szCs w:val="21"/>
          <w:lang w:eastAsia="x-none"/>
        </w:rPr>
      </w:pPr>
    </w:p>
    <w:p w14:paraId="32B811AD" w14:textId="77777777" w:rsidR="003E74BC" w:rsidRPr="003E74BC" w:rsidRDefault="003E74BC" w:rsidP="003E74BC">
      <w:pPr>
        <w:ind w:firstLine="705"/>
        <w:jc w:val="both"/>
        <w:rPr>
          <w:rFonts w:ascii="Abadi" w:hAnsi="Abadi"/>
          <w:sz w:val="21"/>
          <w:szCs w:val="21"/>
          <w:lang w:eastAsia="x-none"/>
        </w:rPr>
      </w:pPr>
    </w:p>
    <w:p w14:paraId="5A8AEBE5" w14:textId="77777777" w:rsidR="003E74BC" w:rsidRPr="003E74BC" w:rsidRDefault="003E74BC" w:rsidP="003E74BC">
      <w:pPr>
        <w:ind w:firstLine="705"/>
        <w:jc w:val="both"/>
        <w:rPr>
          <w:rFonts w:ascii="Abadi" w:hAnsi="Abadi" w:cs="Arial"/>
          <w:sz w:val="21"/>
          <w:szCs w:val="21"/>
          <w:lang w:val="es-MX" w:eastAsia="x-none"/>
        </w:rPr>
      </w:pPr>
      <w:r w:rsidRPr="003E74BC">
        <w:rPr>
          <w:rFonts w:ascii="Abadi" w:hAnsi="Abadi" w:cs="Arial"/>
          <w:sz w:val="21"/>
          <w:szCs w:val="21"/>
          <w:lang w:val="es-MX" w:eastAsia="x-none"/>
        </w:rPr>
        <w:t>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fiscalizado;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fiscalizado.</w:t>
      </w:r>
    </w:p>
    <w:p w14:paraId="1E888610" w14:textId="77777777" w:rsidR="003E74BC" w:rsidRPr="003E74BC" w:rsidRDefault="003E74BC" w:rsidP="003E74BC">
      <w:pPr>
        <w:ind w:firstLine="705"/>
        <w:jc w:val="both"/>
        <w:rPr>
          <w:rFonts w:ascii="Abadi" w:hAnsi="Abadi" w:cs="Arial"/>
          <w:sz w:val="21"/>
          <w:szCs w:val="21"/>
          <w:lang w:val="es-MX" w:eastAsia="x-none"/>
        </w:rPr>
      </w:pPr>
    </w:p>
    <w:p w14:paraId="768BCD6E" w14:textId="77777777" w:rsidR="003E74BC" w:rsidRPr="003E74BC" w:rsidRDefault="003E74BC" w:rsidP="003E74BC">
      <w:pPr>
        <w:ind w:firstLine="705"/>
        <w:jc w:val="both"/>
        <w:rPr>
          <w:rFonts w:ascii="Abadi" w:hAnsi="Abadi" w:cs="Arial"/>
          <w:sz w:val="21"/>
          <w:szCs w:val="21"/>
          <w:lang w:val="es-MX" w:eastAsia="x-none"/>
        </w:rPr>
      </w:pPr>
      <w:r w:rsidRPr="003E74BC">
        <w:rPr>
          <w:rFonts w:ascii="Abadi" w:hAnsi="Abadi" w:cs="Arial"/>
          <w:sz w:val="21"/>
          <w:szCs w:val="21"/>
          <w:lang w:val="es-MX" w:eastAsia="x-none"/>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Dolores Hidalgo Cuna de la Independencia Nacional, Gto., cumplió con las disposiciones normativas aplicables, excepto por los resultados referidos en el informe de resultados; señalando además que se presentaron limitantes al alcance que se refiere a la aplicación de los procedimientos de verificaciones físicas de bienes muebles y confirmaciones con beneficiarios de apoyos. También se precisa que se presentaron limitantes en la aplicación de los procedimientos de auditoría, derivado de la contingencia por la pandemia del virus SARS-CoV2.</w:t>
      </w:r>
    </w:p>
    <w:p w14:paraId="6C54E8F3" w14:textId="77777777" w:rsidR="003E74BC" w:rsidRPr="003E74BC" w:rsidRDefault="003E74BC" w:rsidP="003E74BC">
      <w:pPr>
        <w:ind w:firstLine="705"/>
        <w:jc w:val="both"/>
        <w:rPr>
          <w:rFonts w:ascii="Abadi" w:hAnsi="Abadi" w:cs="Arial"/>
          <w:sz w:val="21"/>
          <w:szCs w:val="21"/>
          <w:lang w:val="es-MX" w:eastAsia="x-none"/>
        </w:rPr>
      </w:pPr>
    </w:p>
    <w:p w14:paraId="10799303" w14:textId="77777777" w:rsidR="003E74BC" w:rsidRPr="003E74BC" w:rsidRDefault="003E74BC" w:rsidP="003E74BC">
      <w:pPr>
        <w:ind w:firstLine="705"/>
        <w:jc w:val="both"/>
        <w:rPr>
          <w:rFonts w:ascii="Abadi" w:hAnsi="Abadi" w:cs="Arial"/>
          <w:sz w:val="21"/>
          <w:szCs w:val="21"/>
        </w:rPr>
      </w:pPr>
      <w:r w:rsidRPr="003E74BC">
        <w:rPr>
          <w:rFonts w:ascii="Abadi" w:hAnsi="Abadi" w:cs="Arial"/>
          <w:sz w:val="21"/>
          <w:szCs w:val="21"/>
          <w:lang w:val="es-MX" w:eastAsia="x-none"/>
        </w:rPr>
        <w:t>En cuanto al rubro de resultados de la fiscalización efect</w:t>
      </w:r>
      <w:r w:rsidRPr="003E74BC">
        <w:rPr>
          <w:rFonts w:ascii="Abadi" w:hAnsi="Abadi" w:cs="Arial"/>
          <w:sz w:val="21"/>
          <w:szCs w:val="21"/>
        </w:rPr>
        <w:t>uada, se establece el estatus que guardan las observaciones y recomendaciones, las cuales se agrupan bajo su respectivo tipo y rubro, señalando que se determinaron 7 observaciones, de las cuales 1 se solventó y 6 no fueron solventadas. Asimismo, se formuló 1 recomendación que fue atendida.</w:t>
      </w:r>
    </w:p>
    <w:p w14:paraId="2309A0C0" w14:textId="77777777" w:rsidR="003E74BC" w:rsidRPr="003E74BC" w:rsidRDefault="003E74BC" w:rsidP="003E74BC">
      <w:pPr>
        <w:ind w:firstLine="705"/>
        <w:jc w:val="both"/>
        <w:rPr>
          <w:rFonts w:ascii="Abadi" w:hAnsi="Abadi" w:cs="Arial"/>
          <w:sz w:val="21"/>
          <w:szCs w:val="21"/>
        </w:rPr>
      </w:pPr>
    </w:p>
    <w:p w14:paraId="4368A43E" w14:textId="77777777" w:rsidR="003E74BC" w:rsidRPr="003E74BC" w:rsidRDefault="003E74BC" w:rsidP="003E74BC">
      <w:pPr>
        <w:ind w:firstLine="705"/>
        <w:jc w:val="both"/>
        <w:rPr>
          <w:rFonts w:ascii="Abadi" w:hAnsi="Abadi" w:cs="Arial"/>
          <w:sz w:val="21"/>
          <w:szCs w:val="21"/>
          <w:lang w:eastAsia="x-none"/>
        </w:rPr>
      </w:pPr>
      <w:r w:rsidRPr="003E74BC">
        <w:rPr>
          <w:rFonts w:ascii="Abadi" w:hAnsi="Abadi" w:cs="Arial"/>
          <w:sz w:val="21"/>
          <w:szCs w:val="21"/>
          <w:lang w:eastAsia="x-none"/>
        </w:rPr>
        <w:t>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Dolores Hidalgo Cuna de la Independencia Nacional, Gto., celebró operaciones; entre los procedimientos expuestos, se verificó que estas no se encontraran en el listado de Empresas que Facturan Operaciones Simuladas (EFOS) u operaciones inexistentes con el carácter de «</w:t>
      </w:r>
      <w:r w:rsidRPr="003E74BC">
        <w:rPr>
          <w:rFonts w:ascii="Abadi" w:hAnsi="Abadi" w:cs="Arial"/>
          <w:i/>
          <w:iCs/>
          <w:sz w:val="21"/>
          <w:szCs w:val="21"/>
          <w:lang w:eastAsia="x-none"/>
        </w:rPr>
        <w:t>Definitivos»</w:t>
      </w:r>
      <w:r w:rsidRPr="003E74BC">
        <w:rPr>
          <w:rFonts w:ascii="Abadi" w:hAnsi="Abadi" w:cs="Arial"/>
          <w:sz w:val="21"/>
          <w:szCs w:val="21"/>
          <w:lang w:eastAsia="x-none"/>
        </w:rPr>
        <w:t xml:space="preserve"> publicados en el Diario Oficial de la Federación y en el sitio de información estadística del Servicio de Administración Tributaria, concluyendo que no se identificaron empresas clasificadas como EFOS.</w:t>
      </w:r>
    </w:p>
    <w:p w14:paraId="2071A4BC" w14:textId="77777777" w:rsidR="003E74BC" w:rsidRPr="003E74BC" w:rsidRDefault="003E74BC" w:rsidP="003E74BC">
      <w:pPr>
        <w:ind w:firstLine="705"/>
        <w:jc w:val="both"/>
        <w:rPr>
          <w:rFonts w:ascii="Abadi" w:hAnsi="Abadi" w:cs="Arial"/>
          <w:sz w:val="21"/>
          <w:szCs w:val="21"/>
          <w:lang w:eastAsia="x-none"/>
        </w:rPr>
      </w:pPr>
    </w:p>
    <w:p w14:paraId="42C97B57" w14:textId="77777777" w:rsidR="003E74BC" w:rsidRPr="003E74BC" w:rsidRDefault="003E74BC" w:rsidP="001A28E5">
      <w:pPr>
        <w:numPr>
          <w:ilvl w:val="0"/>
          <w:numId w:val="94"/>
        </w:numPr>
        <w:tabs>
          <w:tab w:val="num" w:pos="0"/>
        </w:tabs>
        <w:jc w:val="both"/>
        <w:rPr>
          <w:rFonts w:ascii="Abadi" w:hAnsi="Abadi" w:cs="Arial"/>
          <w:b/>
          <w:bCs/>
          <w:sz w:val="21"/>
          <w:szCs w:val="21"/>
          <w:lang w:eastAsia="x-none"/>
        </w:rPr>
      </w:pPr>
      <w:r w:rsidRPr="003E74BC">
        <w:rPr>
          <w:rFonts w:ascii="Abadi" w:hAnsi="Abadi" w:cs="Arial"/>
          <w:b/>
          <w:bCs/>
          <w:sz w:val="21"/>
          <w:szCs w:val="21"/>
          <w:lang w:eastAsia="x-none"/>
        </w:rPr>
        <w:t xml:space="preserve">Observaciones y recomendaciones, la respuesta emitida por el sujeto fiscalizado y la valoración correspondiente. </w:t>
      </w:r>
    </w:p>
    <w:p w14:paraId="468D978A" w14:textId="77777777" w:rsidR="003E74BC" w:rsidRPr="003E74BC" w:rsidRDefault="003E74BC" w:rsidP="003E74BC">
      <w:pPr>
        <w:ind w:left="1065"/>
        <w:jc w:val="both"/>
        <w:rPr>
          <w:rFonts w:ascii="Abadi" w:hAnsi="Abadi" w:cs="Arial"/>
          <w:b/>
          <w:bCs/>
          <w:sz w:val="21"/>
          <w:szCs w:val="21"/>
          <w:lang w:eastAsia="x-none"/>
        </w:rPr>
      </w:pPr>
    </w:p>
    <w:p w14:paraId="40FB684B" w14:textId="77777777" w:rsidR="003E74BC" w:rsidRPr="003E74BC" w:rsidRDefault="003E74BC" w:rsidP="003E74BC">
      <w:pPr>
        <w:ind w:firstLine="705"/>
        <w:jc w:val="both"/>
        <w:rPr>
          <w:rFonts w:ascii="Abadi" w:hAnsi="Abadi" w:cs="Arial"/>
          <w:sz w:val="21"/>
          <w:szCs w:val="21"/>
          <w:lang w:val="es-MX" w:eastAsia="x-none"/>
        </w:rPr>
      </w:pPr>
      <w:r w:rsidRPr="003E74BC">
        <w:rPr>
          <w:rFonts w:ascii="Abadi" w:hAnsi="Abadi" w:cs="Arial"/>
          <w:sz w:val="21"/>
          <w:szCs w:val="21"/>
          <w:lang w:val="es-MX" w:eastAsia="x-none"/>
        </w:rPr>
        <w:t>En esta parte se desglosa la valoración de las observaciones formuladas por el Órgano Técnico, considerando como solventada la observación plasmada en el numeral 002, correspondiente a computadora portátil.</w:t>
      </w:r>
    </w:p>
    <w:p w14:paraId="07DCD2F3" w14:textId="77777777" w:rsidR="003E74BC" w:rsidRPr="003E74BC" w:rsidRDefault="003E74BC" w:rsidP="003E74BC">
      <w:pPr>
        <w:ind w:firstLine="705"/>
        <w:jc w:val="both"/>
        <w:rPr>
          <w:rFonts w:ascii="Abadi" w:hAnsi="Abadi" w:cs="Arial"/>
          <w:sz w:val="21"/>
          <w:szCs w:val="21"/>
          <w:lang w:val="es-MX" w:eastAsia="x-none"/>
        </w:rPr>
      </w:pPr>
    </w:p>
    <w:p w14:paraId="3D95759E" w14:textId="77777777" w:rsidR="003E74BC" w:rsidRPr="003E74BC" w:rsidRDefault="003E74BC" w:rsidP="003E74BC">
      <w:pPr>
        <w:ind w:firstLine="705"/>
        <w:jc w:val="both"/>
        <w:rPr>
          <w:rFonts w:ascii="Abadi" w:hAnsi="Abadi" w:cs="Arial"/>
          <w:sz w:val="21"/>
          <w:szCs w:val="21"/>
          <w:lang w:val="es-MX" w:eastAsia="x-none"/>
        </w:rPr>
      </w:pPr>
      <w:r w:rsidRPr="003E74BC">
        <w:rPr>
          <w:rFonts w:ascii="Abadi" w:hAnsi="Abadi" w:cs="Arial"/>
          <w:sz w:val="21"/>
          <w:szCs w:val="21"/>
          <w:lang w:val="es-MX" w:eastAsia="x-none"/>
        </w:rPr>
        <w:t xml:space="preserve">No se solventaron las observaciones establecidas en los numerales 001, referente a autorización de adquisición de computadoras portátiles; 003, relativo a adquisición y asignación de equipo de telefonía celular; 004, referido a investigación de mercado </w:t>
      </w:r>
      <w:bookmarkStart w:id="30" w:name="_Hlk86849526"/>
      <w:r w:rsidRPr="003E74BC">
        <w:rPr>
          <w:rFonts w:ascii="Abadi" w:hAnsi="Abadi" w:cs="Arial"/>
          <w:sz w:val="21"/>
          <w:szCs w:val="21"/>
          <w:lang w:val="es-MX" w:eastAsia="x-none"/>
        </w:rPr>
        <w:t>terminales digitales móviles (radios)</w:t>
      </w:r>
      <w:bookmarkEnd w:id="30"/>
      <w:r w:rsidRPr="003E74BC">
        <w:rPr>
          <w:rFonts w:ascii="Abadi" w:hAnsi="Abadi" w:cs="Arial"/>
          <w:sz w:val="21"/>
          <w:szCs w:val="21"/>
          <w:lang w:val="es-MX" w:eastAsia="x-none"/>
        </w:rPr>
        <w:t>; 005, referente a procesos de adquisición de horno incinerador; 006, correspondiente a informes mensuales de prestación de servicios; y 007, relativo a estados analíticos presupuestarios.</w:t>
      </w:r>
    </w:p>
    <w:p w14:paraId="29CDF0DD" w14:textId="77777777" w:rsidR="003E74BC" w:rsidRPr="003E74BC" w:rsidRDefault="003E74BC" w:rsidP="003E74BC">
      <w:pPr>
        <w:ind w:firstLine="705"/>
        <w:jc w:val="both"/>
        <w:rPr>
          <w:rFonts w:ascii="Abadi" w:hAnsi="Abadi" w:cs="Arial"/>
          <w:sz w:val="21"/>
          <w:szCs w:val="21"/>
          <w:lang w:val="es-MX" w:eastAsia="x-none"/>
        </w:rPr>
      </w:pPr>
    </w:p>
    <w:p w14:paraId="5C9E062E" w14:textId="77777777" w:rsidR="003E74BC" w:rsidRPr="003E74BC" w:rsidRDefault="003E74BC" w:rsidP="003E74BC">
      <w:pPr>
        <w:ind w:firstLine="705"/>
        <w:jc w:val="both"/>
        <w:rPr>
          <w:rFonts w:ascii="Abadi" w:hAnsi="Abadi" w:cs="Arial"/>
          <w:sz w:val="21"/>
          <w:szCs w:val="21"/>
          <w:lang w:val="es-MX" w:eastAsia="x-none"/>
        </w:rPr>
      </w:pPr>
      <w:r w:rsidRPr="003E74BC">
        <w:rPr>
          <w:rFonts w:ascii="Abadi" w:hAnsi="Abadi" w:cs="Arial"/>
          <w:sz w:val="21"/>
          <w:szCs w:val="21"/>
          <w:lang w:val="es-MX" w:eastAsia="x-none"/>
        </w:rPr>
        <w:t>En el apartado de Recomendaciones Generales, se atendió el numeral 001, referido a predial, cobro menor a cuota mínima.</w:t>
      </w:r>
    </w:p>
    <w:p w14:paraId="355FFFE2" w14:textId="77777777" w:rsidR="003E74BC" w:rsidRPr="003E74BC" w:rsidRDefault="003E74BC" w:rsidP="003E74BC">
      <w:pPr>
        <w:ind w:firstLine="705"/>
        <w:jc w:val="both"/>
        <w:rPr>
          <w:rFonts w:ascii="Abadi" w:hAnsi="Abadi" w:cs="Arial"/>
          <w:sz w:val="21"/>
          <w:szCs w:val="21"/>
          <w:lang w:val="es-MX" w:eastAsia="x-none"/>
        </w:rPr>
      </w:pPr>
    </w:p>
    <w:p w14:paraId="3EE84D87" w14:textId="77777777" w:rsidR="003E74BC" w:rsidRPr="003E74BC" w:rsidRDefault="003E74BC" w:rsidP="001A28E5">
      <w:pPr>
        <w:numPr>
          <w:ilvl w:val="0"/>
          <w:numId w:val="94"/>
        </w:numPr>
        <w:jc w:val="both"/>
        <w:rPr>
          <w:rFonts w:ascii="Abadi" w:hAnsi="Abadi" w:cs="Arial"/>
          <w:b/>
          <w:bCs/>
          <w:sz w:val="21"/>
          <w:szCs w:val="21"/>
          <w:lang w:val="es-MX" w:eastAsia="x-none"/>
        </w:rPr>
      </w:pPr>
      <w:r w:rsidRPr="003E74BC">
        <w:rPr>
          <w:rFonts w:ascii="Abadi" w:hAnsi="Abadi" w:cs="Arial"/>
          <w:b/>
          <w:bCs/>
          <w:sz w:val="21"/>
          <w:szCs w:val="21"/>
          <w:lang w:val="es-MX" w:eastAsia="x-none"/>
        </w:rPr>
        <w:t xml:space="preserve">Promoción del ejercicio de facultades de comprobación fiscal. </w:t>
      </w:r>
    </w:p>
    <w:p w14:paraId="70F3185F" w14:textId="77777777" w:rsidR="003E74BC" w:rsidRPr="003E74BC" w:rsidRDefault="003E74BC" w:rsidP="003E74BC">
      <w:pPr>
        <w:ind w:firstLine="705"/>
        <w:jc w:val="both"/>
        <w:rPr>
          <w:rFonts w:ascii="Abadi" w:hAnsi="Abadi" w:cs="Arial"/>
          <w:sz w:val="21"/>
          <w:szCs w:val="21"/>
          <w:lang w:eastAsia="x-none"/>
        </w:rPr>
      </w:pPr>
    </w:p>
    <w:p w14:paraId="38FAD6AB" w14:textId="77777777" w:rsidR="003E74BC" w:rsidRPr="003E74BC" w:rsidRDefault="003E74BC" w:rsidP="003E74BC">
      <w:pPr>
        <w:ind w:firstLine="705"/>
        <w:jc w:val="both"/>
        <w:rPr>
          <w:rFonts w:ascii="Abadi" w:hAnsi="Abadi" w:cs="Arial"/>
          <w:sz w:val="21"/>
          <w:szCs w:val="21"/>
          <w:lang w:val="es-MX" w:eastAsia="x-none"/>
        </w:rPr>
      </w:pPr>
      <w:r w:rsidRPr="003E74BC">
        <w:rPr>
          <w:rFonts w:ascii="Abadi" w:hAnsi="Abadi" w:cs="Arial"/>
          <w:sz w:val="21"/>
          <w:szCs w:val="21"/>
          <w:lang w:val="es-MX" w:eastAsia="x-none"/>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0A0A362A" w14:textId="77777777" w:rsidR="003E74BC" w:rsidRPr="003E74BC" w:rsidRDefault="003E74BC" w:rsidP="003E74BC">
      <w:pPr>
        <w:ind w:firstLine="705"/>
        <w:jc w:val="both"/>
        <w:rPr>
          <w:rFonts w:ascii="Abadi" w:hAnsi="Abadi" w:cs="Arial"/>
          <w:sz w:val="21"/>
          <w:szCs w:val="21"/>
          <w:lang w:val="es-MX" w:eastAsia="x-none"/>
        </w:rPr>
      </w:pPr>
    </w:p>
    <w:p w14:paraId="44CCAD25" w14:textId="77777777" w:rsidR="003E74BC" w:rsidRPr="003E74BC" w:rsidRDefault="003E74BC" w:rsidP="001A28E5">
      <w:pPr>
        <w:numPr>
          <w:ilvl w:val="0"/>
          <w:numId w:val="94"/>
        </w:numPr>
        <w:jc w:val="both"/>
        <w:rPr>
          <w:rFonts w:ascii="Abadi" w:hAnsi="Abadi" w:cs="Arial"/>
          <w:b/>
          <w:bCs/>
          <w:sz w:val="21"/>
          <w:szCs w:val="21"/>
          <w:lang w:val="es-MX" w:eastAsia="x-none"/>
        </w:rPr>
      </w:pPr>
      <w:r w:rsidRPr="003E74BC">
        <w:rPr>
          <w:rFonts w:ascii="Abadi" w:hAnsi="Abadi" w:cs="Arial"/>
          <w:b/>
          <w:bCs/>
          <w:sz w:val="21"/>
          <w:szCs w:val="21"/>
          <w:lang w:val="es-MX" w:eastAsia="x-none"/>
        </w:rPr>
        <w:t>Comunicado ante órganos de control y autoridades que administran padrones de proveedores y contratistas.</w:t>
      </w:r>
    </w:p>
    <w:p w14:paraId="7B1B2DA5" w14:textId="77777777" w:rsidR="003E74BC" w:rsidRPr="003E74BC" w:rsidRDefault="003E74BC" w:rsidP="003E74BC">
      <w:pPr>
        <w:ind w:firstLine="705"/>
        <w:jc w:val="both"/>
        <w:rPr>
          <w:rFonts w:ascii="Abadi" w:hAnsi="Abadi" w:cs="Arial"/>
          <w:sz w:val="21"/>
          <w:szCs w:val="21"/>
          <w:lang w:eastAsia="x-none"/>
        </w:rPr>
      </w:pPr>
    </w:p>
    <w:p w14:paraId="5CB2FE89" w14:textId="77777777" w:rsidR="003E74BC" w:rsidRPr="003E74BC" w:rsidRDefault="003E74BC" w:rsidP="003E74BC">
      <w:pPr>
        <w:ind w:firstLine="705"/>
        <w:jc w:val="both"/>
        <w:rPr>
          <w:rFonts w:ascii="Abadi" w:hAnsi="Abadi" w:cs="Arial"/>
          <w:sz w:val="21"/>
          <w:szCs w:val="21"/>
          <w:lang w:val="es-MX" w:eastAsia="x-none"/>
        </w:rPr>
      </w:pPr>
      <w:r w:rsidRPr="003E74BC">
        <w:rPr>
          <w:rFonts w:ascii="Abadi" w:hAnsi="Abadi" w:cs="Arial"/>
          <w:sz w:val="21"/>
          <w:szCs w:val="21"/>
          <w:lang w:val="es-MX" w:eastAsia="x-none"/>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revisión, es procedente hacer del conocimiento del Órgano Interno de Control y de la Tesorería Municipal de Dolores Hidalgo Cuna de la Independencia Nacional, Gto., las presuntas irregularidades o incumplimientos de estos en contrataciones públicas detectadas durante la revisión, precisando la proveedora y la observación de la que se desprende su intervención.</w:t>
      </w:r>
    </w:p>
    <w:p w14:paraId="59DBC7AD" w14:textId="77777777" w:rsidR="003E74BC" w:rsidRPr="003E74BC" w:rsidRDefault="003E74BC" w:rsidP="003E74BC">
      <w:pPr>
        <w:ind w:firstLine="705"/>
        <w:jc w:val="both"/>
        <w:rPr>
          <w:rFonts w:ascii="Abadi" w:hAnsi="Abadi" w:cs="Arial"/>
          <w:sz w:val="21"/>
          <w:szCs w:val="21"/>
          <w:lang w:val="es-MX" w:eastAsia="x-none"/>
        </w:rPr>
      </w:pPr>
    </w:p>
    <w:p w14:paraId="5F8825FE" w14:textId="77777777" w:rsidR="003E74BC" w:rsidRPr="003E74BC" w:rsidRDefault="003E74BC" w:rsidP="001A28E5">
      <w:pPr>
        <w:numPr>
          <w:ilvl w:val="0"/>
          <w:numId w:val="94"/>
        </w:numPr>
        <w:jc w:val="both"/>
        <w:rPr>
          <w:rFonts w:ascii="Abadi" w:hAnsi="Abadi" w:cs="Arial"/>
          <w:b/>
          <w:bCs/>
          <w:sz w:val="21"/>
          <w:szCs w:val="21"/>
          <w:lang w:val="es-MX" w:eastAsia="x-none"/>
        </w:rPr>
      </w:pPr>
      <w:r w:rsidRPr="003E74BC">
        <w:rPr>
          <w:rFonts w:ascii="Abadi" w:hAnsi="Abadi" w:cs="Arial"/>
          <w:b/>
          <w:bCs/>
          <w:sz w:val="21"/>
          <w:szCs w:val="21"/>
          <w:lang w:val="es-MX" w:eastAsia="x-none"/>
        </w:rPr>
        <w:t xml:space="preserve">Anexos. </w:t>
      </w:r>
    </w:p>
    <w:p w14:paraId="05265B91" w14:textId="77777777" w:rsidR="003E74BC" w:rsidRPr="003E74BC" w:rsidRDefault="003E74BC" w:rsidP="003E74BC">
      <w:pPr>
        <w:ind w:firstLine="705"/>
        <w:jc w:val="both"/>
        <w:rPr>
          <w:rFonts w:ascii="Abadi" w:hAnsi="Abadi" w:cs="Arial"/>
          <w:sz w:val="21"/>
          <w:szCs w:val="21"/>
          <w:lang w:eastAsia="x-none"/>
        </w:rPr>
      </w:pPr>
    </w:p>
    <w:p w14:paraId="2B93786F" w14:textId="77777777" w:rsidR="003E74BC" w:rsidRPr="003E74BC" w:rsidRDefault="003E74BC" w:rsidP="003E74BC">
      <w:pPr>
        <w:ind w:firstLine="705"/>
        <w:jc w:val="both"/>
        <w:rPr>
          <w:rFonts w:ascii="Abadi" w:hAnsi="Abadi" w:cs="Arial"/>
          <w:sz w:val="21"/>
          <w:szCs w:val="21"/>
          <w:lang w:eastAsia="x-none"/>
        </w:rPr>
      </w:pPr>
      <w:r w:rsidRPr="003E74BC">
        <w:rPr>
          <w:rFonts w:ascii="Abadi" w:hAnsi="Abadi" w:cs="Arial"/>
          <w:sz w:val="21"/>
          <w:szCs w:val="21"/>
          <w:lang w:eastAsia="x-none"/>
        </w:rPr>
        <w:t>En esta parte, se adjuntan los anexos técnicos derivados de la revisión practicada.</w:t>
      </w:r>
    </w:p>
    <w:p w14:paraId="537FFAFD" w14:textId="77777777" w:rsidR="003E74BC" w:rsidRPr="003E74BC" w:rsidRDefault="003E74BC" w:rsidP="003E74BC">
      <w:pPr>
        <w:ind w:firstLine="705"/>
        <w:jc w:val="both"/>
        <w:rPr>
          <w:rFonts w:ascii="Abadi" w:hAnsi="Abadi" w:cs="Arial"/>
          <w:sz w:val="21"/>
          <w:szCs w:val="21"/>
          <w:lang w:eastAsia="x-none"/>
        </w:rPr>
      </w:pPr>
    </w:p>
    <w:p w14:paraId="6FCC8C61" w14:textId="77777777" w:rsidR="003E74BC" w:rsidRPr="003E74BC" w:rsidRDefault="003E74BC" w:rsidP="003E74BC">
      <w:pPr>
        <w:ind w:firstLine="708"/>
        <w:jc w:val="both"/>
        <w:rPr>
          <w:rFonts w:ascii="Abadi" w:hAnsi="Abadi" w:cs="Arial"/>
          <w:b/>
          <w:bCs/>
          <w:sz w:val="21"/>
          <w:szCs w:val="21"/>
        </w:rPr>
      </w:pPr>
      <w:r w:rsidRPr="003E74BC">
        <w:rPr>
          <w:rFonts w:ascii="Abadi" w:hAnsi="Abadi" w:cs="Arial"/>
          <w:b/>
          <w:bCs/>
          <w:sz w:val="21"/>
          <w:szCs w:val="21"/>
        </w:rPr>
        <w:t>V. Conclusiones:</w:t>
      </w:r>
    </w:p>
    <w:p w14:paraId="15326897" w14:textId="77777777" w:rsidR="003E74BC" w:rsidRPr="003E74BC" w:rsidRDefault="003E74BC" w:rsidP="003E74BC">
      <w:pPr>
        <w:jc w:val="both"/>
        <w:rPr>
          <w:rFonts w:ascii="Abadi" w:hAnsi="Abadi" w:cs="Arial"/>
          <w:sz w:val="21"/>
          <w:szCs w:val="21"/>
        </w:rPr>
      </w:pPr>
    </w:p>
    <w:p w14:paraId="49E32C5E" w14:textId="77777777" w:rsidR="003E74BC" w:rsidRPr="003E74BC" w:rsidRDefault="003E74BC" w:rsidP="003E74BC">
      <w:pPr>
        <w:jc w:val="both"/>
        <w:rPr>
          <w:rFonts w:ascii="Abadi" w:hAnsi="Abadi" w:cs="Arial"/>
          <w:sz w:val="21"/>
          <w:szCs w:val="21"/>
        </w:rPr>
      </w:pPr>
      <w:r w:rsidRPr="003E74BC">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3E74BC">
          <w:rPr>
            <w:rFonts w:ascii="Abadi" w:hAnsi="Abadi" w:cs="Arial"/>
            <w:sz w:val="21"/>
            <w:szCs w:val="21"/>
          </w:rPr>
          <w:t>la Ley</w:t>
        </w:r>
      </w:smartTag>
      <w:r w:rsidRPr="003E74BC">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B29DEE0" w14:textId="77777777" w:rsidR="003E74BC" w:rsidRPr="003E74BC" w:rsidRDefault="003E74BC" w:rsidP="003E74BC">
      <w:pPr>
        <w:jc w:val="both"/>
        <w:rPr>
          <w:rFonts w:ascii="Abadi" w:hAnsi="Abadi" w:cs="Arial"/>
          <w:sz w:val="21"/>
          <w:szCs w:val="21"/>
        </w:rPr>
      </w:pPr>
    </w:p>
    <w:p w14:paraId="00581138" w14:textId="77777777" w:rsidR="003E74BC" w:rsidRPr="003E74BC" w:rsidRDefault="003E74BC" w:rsidP="003E74BC">
      <w:pPr>
        <w:jc w:val="both"/>
        <w:rPr>
          <w:rFonts w:ascii="Abadi" w:hAnsi="Abadi" w:cs="Arial"/>
          <w:sz w:val="21"/>
          <w:szCs w:val="21"/>
        </w:rPr>
      </w:pPr>
      <w:r w:rsidRPr="003E74BC">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4D993CA7" w14:textId="77777777" w:rsidR="003E74BC" w:rsidRPr="003E74BC" w:rsidRDefault="003E74BC" w:rsidP="003E74BC">
      <w:pPr>
        <w:ind w:firstLine="708"/>
        <w:jc w:val="both"/>
        <w:rPr>
          <w:rFonts w:ascii="Abadi" w:hAnsi="Abadi" w:cs="Arial"/>
          <w:sz w:val="21"/>
          <w:szCs w:val="21"/>
        </w:rPr>
      </w:pPr>
    </w:p>
    <w:p w14:paraId="0AB8AC10" w14:textId="77777777" w:rsidR="003E74BC" w:rsidRPr="003E74BC" w:rsidRDefault="003E74BC" w:rsidP="003E74BC">
      <w:pPr>
        <w:ind w:firstLine="708"/>
        <w:jc w:val="both"/>
        <w:rPr>
          <w:rFonts w:ascii="Abadi" w:hAnsi="Abadi" w:cs="Arial"/>
          <w:sz w:val="21"/>
          <w:szCs w:val="21"/>
        </w:rPr>
      </w:pPr>
      <w:r w:rsidRPr="003E74BC">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y al ex-presidente municipales de Dolores Hidalgo Cuna de la Independencia Nacional, Gto., concediéndoles el plazo que establece </w:t>
      </w:r>
      <w:smartTag w:uri="urn:schemas-microsoft-com:office:smarttags" w:element="PersonName">
        <w:smartTagPr>
          <w:attr w:name="ProductID" w:val="la Ley"/>
        </w:smartTagPr>
        <w:r w:rsidRPr="003E74BC">
          <w:rPr>
            <w:rFonts w:ascii="Abadi" w:hAnsi="Abadi" w:cs="Arial"/>
            <w:sz w:val="21"/>
            <w:szCs w:val="21"/>
          </w:rPr>
          <w:t>la Ley</w:t>
        </w:r>
      </w:smartTag>
      <w:r w:rsidRPr="003E74BC">
        <w:rPr>
          <w:rFonts w:ascii="Abadi" w:hAnsi="Abadi" w:cs="Arial"/>
          <w:sz w:val="21"/>
          <w:szCs w:val="21"/>
        </w:rPr>
        <w:t xml:space="preserve"> para aclarar, atender o solventar documentalmente las observaciones determinadas por el Órgano Técnico. Al respecto, el presidente municipal de Dolores Hidalgo Cuna de la Independencia Nacional, Gto., presentó información y documentación para aclarar y en su caso, solventar las observaciones determinadas y atender las recomendaciones efectuadas.</w:t>
      </w:r>
    </w:p>
    <w:p w14:paraId="01388D8D" w14:textId="77777777" w:rsidR="003E74BC" w:rsidRPr="003E74BC" w:rsidRDefault="003E74BC" w:rsidP="003E74BC">
      <w:pPr>
        <w:jc w:val="both"/>
        <w:rPr>
          <w:rFonts w:ascii="Abadi" w:hAnsi="Abadi" w:cs="Arial"/>
          <w:sz w:val="21"/>
          <w:szCs w:val="21"/>
        </w:rPr>
      </w:pPr>
    </w:p>
    <w:p w14:paraId="719B16C3" w14:textId="77777777" w:rsidR="003E74BC" w:rsidRPr="003E74BC" w:rsidRDefault="003E74BC" w:rsidP="003E74BC">
      <w:pPr>
        <w:ind w:firstLine="708"/>
        <w:jc w:val="both"/>
        <w:rPr>
          <w:rFonts w:ascii="Abadi" w:hAnsi="Abadi" w:cs="Arial"/>
          <w:sz w:val="21"/>
          <w:szCs w:val="21"/>
        </w:rPr>
      </w:pPr>
      <w:r w:rsidRPr="003E74BC">
        <w:rPr>
          <w:rFonts w:ascii="Abadi" w:hAnsi="Abadi" w:cs="Arial"/>
          <w:sz w:val="21"/>
          <w:szCs w:val="21"/>
        </w:rPr>
        <w:t xml:space="preserve">De igual manera, existe en el informe de resultados la constancia de que este se notificó al  presidente y al ex-presidente municipales de Dolores Hidalgo Cuna de la Independencia Nacional, Gto., concediéndoles el término señalado en el artículo 37, fracción IV de </w:t>
      </w:r>
      <w:smartTag w:uri="urn:schemas-microsoft-com:office:smarttags" w:element="PersonName">
        <w:smartTagPr>
          <w:attr w:name="ProductID" w:val="la Ley"/>
        </w:smartTagPr>
        <w:r w:rsidRPr="003E74BC">
          <w:rPr>
            <w:rFonts w:ascii="Abadi" w:hAnsi="Abadi" w:cs="Arial"/>
            <w:sz w:val="21"/>
            <w:szCs w:val="21"/>
          </w:rPr>
          <w:t>la Ley</w:t>
        </w:r>
      </w:smartTag>
      <w:r w:rsidRPr="003E74BC">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razón levantada por el Auditor Superior y que obra en el informe de resultados. En tal virtud, se considera que fue respetado el derecho de audiencia o defensa por parte del Órgano Técnico.</w:t>
      </w:r>
    </w:p>
    <w:p w14:paraId="65C52E0D" w14:textId="77777777" w:rsidR="003E74BC" w:rsidRPr="003E74BC" w:rsidRDefault="003E74BC" w:rsidP="003E74BC">
      <w:pPr>
        <w:ind w:firstLine="708"/>
        <w:jc w:val="both"/>
        <w:rPr>
          <w:rFonts w:ascii="Abadi" w:hAnsi="Abadi" w:cs="Arial"/>
          <w:sz w:val="21"/>
          <w:szCs w:val="21"/>
        </w:rPr>
      </w:pPr>
    </w:p>
    <w:p w14:paraId="58848DCD" w14:textId="77777777" w:rsidR="003E74BC" w:rsidRPr="003E74BC" w:rsidRDefault="003E74BC" w:rsidP="003E74BC">
      <w:pPr>
        <w:ind w:firstLine="708"/>
        <w:jc w:val="both"/>
        <w:rPr>
          <w:rFonts w:ascii="Abadi" w:hAnsi="Abadi" w:cs="Arial"/>
          <w:sz w:val="21"/>
          <w:szCs w:val="21"/>
        </w:rPr>
      </w:pPr>
      <w:r w:rsidRPr="003E74BC">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7040CC95" w14:textId="77777777" w:rsidR="003E74BC" w:rsidRPr="003E74BC" w:rsidRDefault="003E74BC" w:rsidP="003E74BC">
      <w:pPr>
        <w:ind w:firstLine="708"/>
        <w:jc w:val="both"/>
        <w:rPr>
          <w:rFonts w:ascii="Abadi" w:hAnsi="Abadi" w:cs="Arial"/>
          <w:sz w:val="21"/>
          <w:szCs w:val="21"/>
        </w:rPr>
      </w:pPr>
    </w:p>
    <w:p w14:paraId="00F56B8A" w14:textId="77777777" w:rsidR="003E74BC" w:rsidRPr="003E74BC" w:rsidRDefault="003E74BC" w:rsidP="003E74BC">
      <w:pPr>
        <w:ind w:firstLine="708"/>
        <w:jc w:val="both"/>
        <w:rPr>
          <w:rFonts w:ascii="Abadi" w:hAnsi="Abadi" w:cs="Arial"/>
          <w:sz w:val="21"/>
          <w:szCs w:val="21"/>
        </w:rPr>
      </w:pPr>
      <w:r w:rsidRPr="003E74BC">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622B46E7" w14:textId="77777777" w:rsidR="003E74BC" w:rsidRPr="003E74BC" w:rsidRDefault="003E74BC" w:rsidP="003E74BC">
      <w:pPr>
        <w:ind w:firstLine="708"/>
        <w:jc w:val="both"/>
        <w:rPr>
          <w:rFonts w:ascii="Abadi" w:hAnsi="Abadi" w:cs="Arial"/>
          <w:sz w:val="21"/>
          <w:szCs w:val="21"/>
        </w:rPr>
      </w:pPr>
    </w:p>
    <w:p w14:paraId="314BE77C" w14:textId="77777777" w:rsidR="003E74BC" w:rsidRPr="003E74BC" w:rsidRDefault="003E74BC" w:rsidP="003E74BC">
      <w:pPr>
        <w:ind w:firstLine="708"/>
        <w:jc w:val="both"/>
        <w:rPr>
          <w:rFonts w:ascii="Abadi" w:hAnsi="Abadi" w:cs="Arial"/>
          <w:sz w:val="21"/>
          <w:szCs w:val="21"/>
        </w:rPr>
      </w:pPr>
      <w:r w:rsidRPr="003E74BC">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47FC3DA3" w14:textId="77777777" w:rsidR="003E74BC" w:rsidRPr="003E74BC" w:rsidRDefault="003E74BC" w:rsidP="003E74BC">
      <w:pPr>
        <w:ind w:firstLine="708"/>
        <w:jc w:val="both"/>
        <w:rPr>
          <w:rFonts w:ascii="Abadi" w:hAnsi="Abadi" w:cs="Arial"/>
          <w:sz w:val="21"/>
          <w:szCs w:val="21"/>
        </w:rPr>
      </w:pPr>
      <w:r w:rsidRPr="003E74BC">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32D57BE5" w14:textId="77777777" w:rsidR="003E74BC" w:rsidRPr="003E74BC" w:rsidRDefault="003E74BC" w:rsidP="003E74BC">
      <w:pPr>
        <w:ind w:firstLine="708"/>
        <w:jc w:val="both"/>
        <w:rPr>
          <w:rFonts w:ascii="Abadi" w:hAnsi="Abadi" w:cs="Arial"/>
          <w:sz w:val="21"/>
          <w:szCs w:val="21"/>
        </w:rPr>
      </w:pPr>
    </w:p>
    <w:p w14:paraId="42FEC653" w14:textId="77777777" w:rsidR="003E74BC" w:rsidRPr="003E74BC" w:rsidRDefault="003E74BC" w:rsidP="003E74BC">
      <w:pPr>
        <w:ind w:firstLine="708"/>
        <w:jc w:val="both"/>
        <w:rPr>
          <w:rFonts w:ascii="Abadi" w:hAnsi="Abadi" w:cs="Arial"/>
          <w:sz w:val="21"/>
          <w:szCs w:val="21"/>
        </w:rPr>
      </w:pPr>
      <w:r w:rsidRPr="003E74BC">
        <w:rPr>
          <w:rFonts w:ascii="Abadi" w:hAnsi="Abadi" w:cs="Arial"/>
          <w:sz w:val="21"/>
          <w:szCs w:val="21"/>
        </w:rPr>
        <w:t xml:space="preserve">En razón de lo anteriormente señalado, concluimos que el informe de resultados de la revisión practicada a la cuenta pública de Dolores Hidalgo Cuna de la Independencia Nacional, Gto., correspondiente al ejercicio fiscal del año 2020, debe sancionarse por el Congreso en los términos presentados por la Auditoría Superior del Estado y proceder a su aprobación, considerando que no se actualiza el supuesto contenido en el artículo 38 de </w:t>
      </w:r>
      <w:smartTag w:uri="urn:schemas-microsoft-com:office:smarttags" w:element="PersonName">
        <w:smartTagPr>
          <w:attr w:name="ProductID" w:val="la Ley"/>
        </w:smartTagPr>
        <w:r w:rsidRPr="003E74BC">
          <w:rPr>
            <w:rFonts w:ascii="Abadi" w:hAnsi="Abadi" w:cs="Arial"/>
            <w:sz w:val="21"/>
            <w:szCs w:val="21"/>
          </w:rPr>
          <w:t>la Ley</w:t>
        </w:r>
      </w:smartTag>
      <w:r w:rsidRPr="003E74BC">
        <w:rPr>
          <w:rFonts w:ascii="Abadi" w:hAnsi="Abadi" w:cs="Arial"/>
          <w:sz w:val="21"/>
          <w:szCs w:val="21"/>
        </w:rPr>
        <w:t xml:space="preserve"> de Fiscalización Superior del Estado de Guanajuato, razón por la cual no podría ser observado por el Pleno del Congreso.</w:t>
      </w:r>
    </w:p>
    <w:p w14:paraId="430B3897" w14:textId="77777777" w:rsidR="003E74BC" w:rsidRPr="003E74BC" w:rsidRDefault="003E74BC" w:rsidP="003E74BC">
      <w:pPr>
        <w:ind w:firstLine="708"/>
        <w:jc w:val="both"/>
        <w:rPr>
          <w:rFonts w:ascii="Abadi" w:hAnsi="Abadi" w:cs="Arial"/>
          <w:sz w:val="21"/>
          <w:szCs w:val="21"/>
        </w:rPr>
      </w:pPr>
    </w:p>
    <w:p w14:paraId="2086DBEA" w14:textId="77777777" w:rsidR="003E74BC" w:rsidRPr="003E74BC" w:rsidRDefault="003E74BC" w:rsidP="003E74BC">
      <w:pPr>
        <w:ind w:firstLine="708"/>
        <w:jc w:val="both"/>
        <w:rPr>
          <w:rFonts w:ascii="Abadi" w:hAnsi="Abadi" w:cs="Arial"/>
          <w:sz w:val="21"/>
          <w:szCs w:val="21"/>
          <w:lang w:val="x-none" w:eastAsia="x-none"/>
        </w:rPr>
      </w:pPr>
      <w:r w:rsidRPr="003E74BC">
        <w:rPr>
          <w:rFonts w:ascii="Abadi" w:hAnsi="Abadi" w:cs="Arial"/>
          <w:sz w:val="21"/>
          <w:szCs w:val="21"/>
        </w:rPr>
        <w:t xml:space="preserve">Por lo expuesto, con fundamento en el artículo 204 de </w:t>
      </w:r>
      <w:smartTag w:uri="urn:schemas-microsoft-com:office:smarttags" w:element="PersonName">
        <w:smartTagPr>
          <w:attr w:name="ProductID" w:val="la Ley Org￡nica"/>
        </w:smartTagPr>
        <w:r w:rsidRPr="003E74BC">
          <w:rPr>
            <w:rFonts w:ascii="Abadi" w:hAnsi="Abadi" w:cs="Arial"/>
            <w:sz w:val="21"/>
            <w:szCs w:val="21"/>
          </w:rPr>
          <w:t>la Ley Orgánica</w:t>
        </w:r>
      </w:smartTag>
      <w:r w:rsidRPr="003E74BC">
        <w:rPr>
          <w:rFonts w:ascii="Abadi" w:hAnsi="Abadi" w:cs="Arial"/>
          <w:sz w:val="21"/>
          <w:szCs w:val="21"/>
        </w:rPr>
        <w:t xml:space="preserve"> del Poder Legislativo, nos permitimos someter a la consideración de </w:t>
      </w:r>
      <w:smartTag w:uri="urn:schemas-microsoft-com:office:smarttags" w:element="PersonName">
        <w:smartTagPr>
          <w:attr w:name="ProductID" w:val="la Asamblea"/>
        </w:smartTagPr>
        <w:r w:rsidRPr="003E74BC">
          <w:rPr>
            <w:rFonts w:ascii="Abadi" w:hAnsi="Abadi" w:cs="Arial"/>
            <w:sz w:val="21"/>
            <w:szCs w:val="21"/>
          </w:rPr>
          <w:t>la Asamblea</w:t>
        </w:r>
      </w:smartTag>
      <w:r w:rsidRPr="003E74BC">
        <w:rPr>
          <w:rFonts w:ascii="Abadi" w:hAnsi="Abadi" w:cs="Arial"/>
          <w:sz w:val="21"/>
          <w:szCs w:val="21"/>
        </w:rPr>
        <w:t>, la aprobación del siguiente</w:t>
      </w:r>
      <w:r w:rsidRPr="003E74BC">
        <w:rPr>
          <w:rFonts w:ascii="Abadi" w:hAnsi="Abadi" w:cs="Arial"/>
          <w:sz w:val="21"/>
          <w:szCs w:val="21"/>
          <w:lang w:val="x-none" w:eastAsia="x-none"/>
        </w:rPr>
        <w:t>:</w:t>
      </w:r>
    </w:p>
    <w:p w14:paraId="70AF586D" w14:textId="77777777" w:rsidR="003E74BC" w:rsidRPr="003E74BC" w:rsidRDefault="003E74BC" w:rsidP="003E74BC">
      <w:pPr>
        <w:keepNext/>
        <w:jc w:val="center"/>
        <w:outlineLvl w:val="0"/>
        <w:rPr>
          <w:rFonts w:ascii="Abadi" w:eastAsia="Arial Unicode MS" w:hAnsi="Abadi" w:cs="Arial"/>
          <w:b/>
          <w:bCs/>
          <w:smallCaps/>
          <w:sz w:val="21"/>
          <w:szCs w:val="21"/>
        </w:rPr>
      </w:pPr>
    </w:p>
    <w:p w14:paraId="11E04530" w14:textId="77777777" w:rsidR="003E74BC" w:rsidRPr="003E74BC" w:rsidRDefault="003E74BC" w:rsidP="003E74BC">
      <w:pPr>
        <w:keepNext/>
        <w:jc w:val="center"/>
        <w:outlineLvl w:val="0"/>
        <w:rPr>
          <w:rFonts w:ascii="Abadi" w:eastAsia="Arial Unicode MS" w:hAnsi="Abadi" w:cs="Arial"/>
          <w:b/>
          <w:bCs/>
          <w:smallCaps/>
          <w:sz w:val="21"/>
          <w:szCs w:val="21"/>
        </w:rPr>
      </w:pPr>
      <w:r w:rsidRPr="003E74BC">
        <w:rPr>
          <w:rFonts w:ascii="Abadi" w:eastAsia="Arial Unicode MS" w:hAnsi="Abadi" w:cs="Arial"/>
          <w:b/>
          <w:bCs/>
          <w:smallCaps/>
          <w:sz w:val="21"/>
          <w:szCs w:val="21"/>
        </w:rPr>
        <w:t>A c u e r d o</w:t>
      </w:r>
    </w:p>
    <w:p w14:paraId="63CAF204" w14:textId="77777777" w:rsidR="003E74BC" w:rsidRPr="003E74BC" w:rsidRDefault="003E74BC" w:rsidP="003E74BC">
      <w:pPr>
        <w:rPr>
          <w:rFonts w:ascii="Abadi" w:hAnsi="Abadi"/>
          <w:sz w:val="21"/>
          <w:szCs w:val="21"/>
        </w:rPr>
      </w:pPr>
    </w:p>
    <w:p w14:paraId="7BB36A67" w14:textId="77777777" w:rsidR="003E74BC" w:rsidRPr="003E74BC" w:rsidRDefault="003E74BC" w:rsidP="003E74BC">
      <w:pPr>
        <w:ind w:firstLine="708"/>
        <w:jc w:val="both"/>
        <w:rPr>
          <w:rFonts w:ascii="Abadi" w:hAnsi="Abadi" w:cs="Arial"/>
          <w:sz w:val="21"/>
          <w:szCs w:val="21"/>
        </w:rPr>
      </w:pPr>
      <w:r w:rsidRPr="003E74BC">
        <w:rPr>
          <w:rFonts w:ascii="Abadi" w:hAnsi="Abadi" w:cs="Arial"/>
          <w:b/>
          <w:bCs/>
          <w:sz w:val="21"/>
          <w:szCs w:val="21"/>
        </w:rPr>
        <w:t xml:space="preserve">Único. </w:t>
      </w:r>
      <w:r w:rsidRPr="003E74BC">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3E74BC">
          <w:rPr>
            <w:rFonts w:ascii="Abadi" w:hAnsi="Abadi" w:cs="Arial"/>
            <w:sz w:val="21"/>
            <w:szCs w:val="21"/>
          </w:rPr>
          <w:t>la Constitución Política</w:t>
        </w:r>
      </w:smartTag>
      <w:r w:rsidRPr="003E74BC">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Dolores Hidalgo Cuna de la Independencia Nacional, Gto., correspondiente al ejercicio fiscal del año 2020, con base en el informe de resultados formulado por la Auditoría Superior del Estado de Guanajuato.</w:t>
      </w:r>
    </w:p>
    <w:p w14:paraId="2D05E14A" w14:textId="77777777" w:rsidR="003E74BC" w:rsidRPr="003E74BC" w:rsidRDefault="003E74BC" w:rsidP="003E74BC">
      <w:pPr>
        <w:ind w:firstLine="708"/>
        <w:jc w:val="both"/>
        <w:rPr>
          <w:rFonts w:ascii="Abadi" w:hAnsi="Abadi" w:cs="Arial"/>
          <w:sz w:val="21"/>
          <w:szCs w:val="21"/>
        </w:rPr>
      </w:pPr>
    </w:p>
    <w:p w14:paraId="55A08EB3" w14:textId="77777777" w:rsidR="003E74BC" w:rsidRPr="003E74BC" w:rsidRDefault="003E74BC" w:rsidP="003E74BC">
      <w:pPr>
        <w:ind w:firstLine="708"/>
        <w:jc w:val="both"/>
        <w:rPr>
          <w:rFonts w:ascii="Abadi" w:hAnsi="Abadi" w:cs="Arial"/>
          <w:sz w:val="21"/>
          <w:szCs w:val="21"/>
          <w:lang w:val="es-MX" w:eastAsia="x-none"/>
        </w:rPr>
      </w:pPr>
      <w:r w:rsidRPr="003E74BC">
        <w:rPr>
          <w:rFonts w:ascii="Abadi" w:hAnsi="Abadi" w:cs="Arial"/>
          <w:sz w:val="21"/>
          <w:szCs w:val="21"/>
          <w:lang w:val="x-none" w:eastAsia="x-none"/>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3E74BC">
        <w:rPr>
          <w:rFonts w:ascii="Abadi" w:hAnsi="Abadi" w:cs="Arial"/>
          <w:sz w:val="21"/>
          <w:szCs w:val="21"/>
          <w:lang w:val="es-MX" w:eastAsia="x-none"/>
        </w:rPr>
        <w:t>.</w:t>
      </w:r>
      <w:r w:rsidRPr="003E74BC">
        <w:rPr>
          <w:rFonts w:ascii="Abadi" w:hAnsi="Abadi" w:cs="Arial"/>
          <w:sz w:val="21"/>
          <w:szCs w:val="21"/>
          <w:lang w:val="x-none" w:eastAsia="x-none"/>
        </w:rPr>
        <w:t xml:space="preserve"> </w:t>
      </w:r>
      <w:r w:rsidRPr="003E74BC">
        <w:rPr>
          <w:rFonts w:ascii="Abadi" w:hAnsi="Abadi" w:cs="Arial"/>
          <w:sz w:val="21"/>
          <w:szCs w:val="21"/>
          <w:lang w:val="es-MX" w:eastAsia="x-none"/>
        </w:rPr>
        <w:t>Asimismo, dará</w:t>
      </w:r>
      <w:r w:rsidRPr="003E74BC">
        <w:rPr>
          <w:rFonts w:ascii="Abadi" w:hAnsi="Abadi" w:cs="Arial"/>
          <w:sz w:val="21"/>
          <w:szCs w:val="21"/>
          <w:lang w:val="x-none" w:eastAsia="x-none"/>
        </w:rPr>
        <w:t xml:space="preserve"> seguimiento a las observaciones no solventadas contenidas en el informe de resultados</w:t>
      </w:r>
      <w:r w:rsidRPr="003E74BC">
        <w:rPr>
          <w:rFonts w:ascii="Abadi" w:hAnsi="Abadi" w:cs="Arial"/>
          <w:sz w:val="21"/>
          <w:szCs w:val="21"/>
          <w:lang w:val="es-MX" w:eastAsia="x-none"/>
        </w:rPr>
        <w:t>.</w:t>
      </w:r>
    </w:p>
    <w:p w14:paraId="0B8F596C" w14:textId="77777777" w:rsidR="003E74BC" w:rsidRPr="003E74BC" w:rsidRDefault="003E74BC" w:rsidP="003E74BC">
      <w:pPr>
        <w:ind w:firstLine="708"/>
        <w:jc w:val="both"/>
        <w:rPr>
          <w:rFonts w:ascii="Abadi" w:hAnsi="Abadi" w:cs="Arial"/>
          <w:sz w:val="21"/>
          <w:szCs w:val="21"/>
          <w:lang w:val="es-MX" w:eastAsia="x-none"/>
        </w:rPr>
      </w:pPr>
    </w:p>
    <w:p w14:paraId="15664965" w14:textId="77777777" w:rsidR="003E74BC" w:rsidRPr="003E74BC" w:rsidRDefault="003E74BC" w:rsidP="003E74BC">
      <w:pPr>
        <w:ind w:firstLine="708"/>
        <w:jc w:val="both"/>
        <w:rPr>
          <w:rFonts w:ascii="Abadi" w:hAnsi="Abadi" w:cs="Arial"/>
          <w:sz w:val="21"/>
          <w:szCs w:val="21"/>
        </w:rPr>
      </w:pPr>
      <w:r w:rsidRPr="003E74BC">
        <w:rPr>
          <w:rFonts w:ascii="Abadi" w:hAnsi="Abadi" w:cs="Arial"/>
          <w:sz w:val="21"/>
          <w:szCs w:val="21"/>
        </w:rPr>
        <w:t>Se tiene por atendida la recomendación contenida en el informe de resultados.</w:t>
      </w:r>
    </w:p>
    <w:p w14:paraId="101A7445" w14:textId="77777777" w:rsidR="003E74BC" w:rsidRPr="003E74BC" w:rsidRDefault="003E74BC" w:rsidP="003E74BC">
      <w:pPr>
        <w:ind w:firstLine="708"/>
        <w:jc w:val="both"/>
        <w:rPr>
          <w:rFonts w:ascii="Abadi" w:hAnsi="Abadi" w:cs="Arial"/>
          <w:sz w:val="21"/>
          <w:szCs w:val="21"/>
        </w:rPr>
      </w:pPr>
    </w:p>
    <w:p w14:paraId="61EB46F8" w14:textId="77777777" w:rsidR="003E74BC" w:rsidRPr="003E74BC" w:rsidRDefault="003E74BC" w:rsidP="003E74BC">
      <w:pPr>
        <w:ind w:firstLine="708"/>
        <w:jc w:val="both"/>
        <w:rPr>
          <w:rFonts w:ascii="Abadi" w:hAnsi="Abadi" w:cs="Arial"/>
          <w:sz w:val="21"/>
          <w:szCs w:val="21"/>
        </w:rPr>
      </w:pPr>
      <w:r w:rsidRPr="003E74BC">
        <w:rPr>
          <w:rFonts w:ascii="Abadi" w:hAnsi="Abadi" w:cs="Arial"/>
          <w:sz w:val="21"/>
          <w:szCs w:val="21"/>
        </w:rPr>
        <w:t>Remítase el presente acuerdo al titular del Poder Ejecutivo del Estado para su publicación en el Periódico Oficial del Gobierno del Estado.</w:t>
      </w:r>
    </w:p>
    <w:p w14:paraId="1A0E7203" w14:textId="77777777" w:rsidR="003E74BC" w:rsidRPr="003E74BC" w:rsidRDefault="003E74BC" w:rsidP="003E74BC">
      <w:pPr>
        <w:ind w:firstLine="708"/>
        <w:jc w:val="both"/>
        <w:rPr>
          <w:rFonts w:ascii="Abadi" w:hAnsi="Abadi" w:cs="Arial"/>
          <w:sz w:val="21"/>
          <w:szCs w:val="21"/>
        </w:rPr>
      </w:pPr>
    </w:p>
    <w:p w14:paraId="37388F5E" w14:textId="77777777" w:rsidR="003E74BC" w:rsidRPr="003E74BC" w:rsidRDefault="003E74BC" w:rsidP="003E74BC">
      <w:pPr>
        <w:ind w:firstLine="708"/>
        <w:jc w:val="both"/>
        <w:rPr>
          <w:rFonts w:ascii="Abadi" w:hAnsi="Abadi" w:cs="Arial"/>
          <w:sz w:val="21"/>
          <w:szCs w:val="21"/>
          <w:lang w:val="x-none" w:eastAsia="x-none"/>
        </w:rPr>
      </w:pPr>
      <w:r w:rsidRPr="003E74BC">
        <w:rPr>
          <w:rFonts w:ascii="Abadi" w:hAnsi="Abadi" w:cs="Arial"/>
          <w:sz w:val="21"/>
          <w:szCs w:val="21"/>
          <w:lang w:val="x-none"/>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3E74BC">
        <w:rPr>
          <w:rFonts w:ascii="Abadi" w:hAnsi="Abadi" w:cs="Arial"/>
          <w:sz w:val="21"/>
          <w:szCs w:val="21"/>
          <w:lang w:val="x-none" w:eastAsia="x-none"/>
        </w:rPr>
        <w:t>.</w:t>
      </w:r>
    </w:p>
    <w:p w14:paraId="0FE0DE6C" w14:textId="77777777" w:rsidR="003E74BC" w:rsidRPr="003E74BC" w:rsidRDefault="003E74BC" w:rsidP="003E74BC">
      <w:pPr>
        <w:jc w:val="center"/>
        <w:rPr>
          <w:rFonts w:ascii="Abadi" w:hAnsi="Abadi" w:cs="Arial"/>
          <w:b/>
          <w:bCs/>
          <w:sz w:val="21"/>
          <w:szCs w:val="21"/>
          <w:lang w:eastAsia="x-none"/>
        </w:rPr>
      </w:pPr>
    </w:p>
    <w:p w14:paraId="40C17D79" w14:textId="77777777" w:rsidR="003E74BC" w:rsidRPr="003E74BC" w:rsidRDefault="003E74BC" w:rsidP="003E74BC">
      <w:pPr>
        <w:jc w:val="center"/>
        <w:rPr>
          <w:rFonts w:ascii="Abadi" w:hAnsi="Abadi" w:cs="Arial"/>
          <w:b/>
          <w:bCs/>
          <w:sz w:val="21"/>
          <w:szCs w:val="21"/>
          <w:lang w:eastAsia="x-none"/>
        </w:rPr>
      </w:pPr>
      <w:r w:rsidRPr="003E74BC">
        <w:rPr>
          <w:rFonts w:ascii="Abadi" w:hAnsi="Abadi" w:cs="Arial"/>
          <w:b/>
          <w:bCs/>
          <w:sz w:val="21"/>
          <w:szCs w:val="21"/>
          <w:lang w:eastAsia="x-none"/>
        </w:rPr>
        <w:t>Guanajuato, Gto., 20 de junio de 2022</w:t>
      </w:r>
    </w:p>
    <w:p w14:paraId="59F75330" w14:textId="77777777" w:rsidR="003E74BC" w:rsidRPr="003E74BC" w:rsidRDefault="003E74BC" w:rsidP="003E74BC">
      <w:pPr>
        <w:jc w:val="center"/>
        <w:rPr>
          <w:rFonts w:ascii="Abadi" w:hAnsi="Abadi" w:cs="Arial"/>
          <w:b/>
          <w:bCs/>
          <w:sz w:val="21"/>
          <w:szCs w:val="21"/>
          <w:lang w:eastAsia="x-none"/>
        </w:rPr>
      </w:pPr>
      <w:smartTag w:uri="urn:schemas-microsoft-com:office:smarttags" w:element="PersonName">
        <w:smartTagPr>
          <w:attr w:name="ProductID" w:val="La Comisi￳n"/>
        </w:smartTagPr>
        <w:r w:rsidRPr="003E74BC">
          <w:rPr>
            <w:rFonts w:ascii="Abadi" w:hAnsi="Abadi" w:cs="Arial"/>
            <w:b/>
            <w:bCs/>
            <w:sz w:val="21"/>
            <w:szCs w:val="21"/>
            <w:lang w:eastAsia="x-none"/>
          </w:rPr>
          <w:t>La Comisión</w:t>
        </w:r>
      </w:smartTag>
      <w:r w:rsidRPr="003E74BC">
        <w:rPr>
          <w:rFonts w:ascii="Abadi" w:hAnsi="Abadi" w:cs="Arial"/>
          <w:b/>
          <w:bCs/>
          <w:sz w:val="21"/>
          <w:szCs w:val="21"/>
          <w:lang w:eastAsia="x-none"/>
        </w:rPr>
        <w:t xml:space="preserve"> de Hacienda y Fiscalización</w:t>
      </w:r>
    </w:p>
    <w:p w14:paraId="003F362D" w14:textId="77777777" w:rsidR="003E74BC" w:rsidRPr="003E74BC" w:rsidRDefault="003E74BC" w:rsidP="003E74BC">
      <w:pPr>
        <w:jc w:val="center"/>
        <w:rPr>
          <w:rFonts w:ascii="Abadi" w:hAnsi="Abadi" w:cs="Arial"/>
          <w:i/>
          <w:iCs/>
          <w:sz w:val="21"/>
          <w:szCs w:val="21"/>
          <w:lang w:eastAsia="x-none"/>
        </w:rPr>
      </w:pPr>
      <w:r w:rsidRPr="003E74BC">
        <w:rPr>
          <w:rFonts w:ascii="Abadi" w:hAnsi="Abadi" w:cs="Arial"/>
          <w:i/>
          <w:iCs/>
          <w:sz w:val="21"/>
          <w:szCs w:val="21"/>
          <w:lang w:eastAsia="x-none"/>
        </w:rPr>
        <w:t>Firma electrónica</w:t>
      </w:r>
    </w:p>
    <w:p w14:paraId="140E18BE" w14:textId="77777777" w:rsidR="003E74BC" w:rsidRPr="003E74BC" w:rsidRDefault="003E74BC" w:rsidP="003E74BC">
      <w:pPr>
        <w:jc w:val="center"/>
        <w:rPr>
          <w:rFonts w:ascii="Abadi" w:hAnsi="Abadi" w:cs="Arial"/>
          <w:sz w:val="21"/>
          <w:szCs w:val="21"/>
        </w:rPr>
      </w:pPr>
    </w:p>
    <w:p w14:paraId="7BD7F3EF" w14:textId="77777777" w:rsidR="003E74BC" w:rsidRPr="003E74BC" w:rsidRDefault="003E74BC" w:rsidP="003E74BC">
      <w:pPr>
        <w:jc w:val="center"/>
        <w:rPr>
          <w:rFonts w:ascii="Abadi" w:hAnsi="Abadi" w:cs="Arial"/>
          <w:sz w:val="21"/>
          <w:szCs w:val="21"/>
        </w:rPr>
      </w:pPr>
    </w:p>
    <w:p w14:paraId="26B607E6" w14:textId="77777777" w:rsidR="003E74BC" w:rsidRPr="003E74BC" w:rsidRDefault="003E74BC" w:rsidP="003E74BC">
      <w:pPr>
        <w:jc w:val="center"/>
        <w:rPr>
          <w:rFonts w:ascii="Abadi" w:hAnsi="Abadi" w:cs="Arial"/>
          <w:sz w:val="21"/>
          <w:szCs w:val="21"/>
        </w:rPr>
      </w:pPr>
      <w:r w:rsidRPr="003E74BC">
        <w:rPr>
          <w:rFonts w:ascii="Abadi" w:hAnsi="Abadi" w:cs="Arial"/>
          <w:b/>
          <w:sz w:val="21"/>
          <w:szCs w:val="21"/>
          <w:lang w:eastAsia="x-none"/>
        </w:rPr>
        <w:t>Diputado Víctor Manuel Zanella Huerta</w:t>
      </w:r>
    </w:p>
    <w:p w14:paraId="0212A43F" w14:textId="77777777" w:rsidR="003E74BC" w:rsidRPr="003E74BC" w:rsidRDefault="003E74BC" w:rsidP="003E74BC">
      <w:pPr>
        <w:rPr>
          <w:rFonts w:ascii="Abadi" w:hAnsi="Abadi" w:cs="Arial"/>
          <w:b/>
          <w:bCs/>
          <w:sz w:val="21"/>
          <w:szCs w:val="21"/>
          <w:lang w:eastAsia="x-none"/>
        </w:rPr>
      </w:pPr>
    </w:p>
    <w:p w14:paraId="2033C075" w14:textId="2F366E79" w:rsidR="003E74BC" w:rsidRPr="003E74BC" w:rsidRDefault="003E74BC" w:rsidP="003E74BC">
      <w:pPr>
        <w:jc w:val="center"/>
        <w:rPr>
          <w:rFonts w:ascii="Abadi" w:hAnsi="Abadi" w:cs="Arial"/>
          <w:b/>
          <w:sz w:val="21"/>
          <w:szCs w:val="21"/>
          <w:lang w:eastAsia="x-none"/>
        </w:rPr>
      </w:pPr>
      <w:r w:rsidRPr="003E74BC">
        <w:rPr>
          <w:rFonts w:ascii="Abadi" w:hAnsi="Abadi" w:cs="Arial"/>
          <w:b/>
          <w:sz w:val="21"/>
          <w:szCs w:val="21"/>
          <w:lang w:eastAsia="x-none"/>
        </w:rPr>
        <w:t>Diputada Ruth Noemí Tiscareño Agoitia</w:t>
      </w:r>
    </w:p>
    <w:p w14:paraId="7C6B0B7D" w14:textId="77777777" w:rsidR="003E74BC" w:rsidRPr="003E74BC" w:rsidRDefault="003E74BC" w:rsidP="003E74BC">
      <w:pPr>
        <w:jc w:val="center"/>
        <w:rPr>
          <w:rFonts w:ascii="Abadi" w:hAnsi="Abadi" w:cs="Arial"/>
          <w:b/>
          <w:sz w:val="21"/>
          <w:szCs w:val="21"/>
          <w:lang w:eastAsia="x-none"/>
        </w:rPr>
      </w:pPr>
    </w:p>
    <w:p w14:paraId="31A4BA17" w14:textId="5638D579" w:rsidR="003E74BC" w:rsidRPr="003E74BC" w:rsidRDefault="003E74BC" w:rsidP="003E74BC">
      <w:pPr>
        <w:jc w:val="center"/>
        <w:rPr>
          <w:rFonts w:ascii="Abadi" w:hAnsi="Abadi" w:cs="Arial"/>
          <w:b/>
          <w:sz w:val="21"/>
          <w:szCs w:val="21"/>
          <w:lang w:eastAsia="x-none"/>
        </w:rPr>
      </w:pPr>
      <w:r w:rsidRPr="003E74BC">
        <w:rPr>
          <w:rFonts w:ascii="Abadi" w:hAnsi="Abadi" w:cs="Arial"/>
          <w:b/>
          <w:sz w:val="21"/>
          <w:szCs w:val="21"/>
          <w:lang w:eastAsia="x-none"/>
        </w:rPr>
        <w:t>Diputado Miguel Ángel Salim Alle</w:t>
      </w:r>
    </w:p>
    <w:p w14:paraId="1783CB9D" w14:textId="77777777" w:rsidR="003E74BC" w:rsidRPr="003E74BC" w:rsidRDefault="003E74BC" w:rsidP="003E74BC">
      <w:pPr>
        <w:jc w:val="center"/>
        <w:rPr>
          <w:rFonts w:ascii="Abadi" w:hAnsi="Abadi" w:cs="Arial"/>
          <w:b/>
          <w:sz w:val="21"/>
          <w:szCs w:val="21"/>
          <w:lang w:eastAsia="x-none"/>
        </w:rPr>
      </w:pPr>
    </w:p>
    <w:p w14:paraId="362715E9" w14:textId="5D6261AA" w:rsidR="003E74BC" w:rsidRPr="003E74BC" w:rsidRDefault="003E74BC" w:rsidP="003E74BC">
      <w:pPr>
        <w:jc w:val="center"/>
        <w:rPr>
          <w:rFonts w:ascii="Abadi" w:hAnsi="Abadi" w:cs="Arial"/>
          <w:b/>
          <w:sz w:val="21"/>
          <w:szCs w:val="21"/>
          <w:lang w:eastAsia="x-none"/>
        </w:rPr>
      </w:pPr>
      <w:r w:rsidRPr="003E74BC">
        <w:rPr>
          <w:rFonts w:ascii="Abadi" w:hAnsi="Abadi" w:cs="Arial"/>
          <w:b/>
          <w:sz w:val="21"/>
          <w:szCs w:val="21"/>
          <w:lang w:eastAsia="x-none"/>
        </w:rPr>
        <w:t>Diputado José Alfonso Borja Pimentel</w:t>
      </w:r>
    </w:p>
    <w:p w14:paraId="1A9FF04B" w14:textId="77777777" w:rsidR="003E74BC" w:rsidRPr="003E74BC" w:rsidRDefault="003E74BC" w:rsidP="003E74BC">
      <w:pPr>
        <w:rPr>
          <w:rFonts w:ascii="Abadi" w:hAnsi="Abadi" w:cs="Arial"/>
          <w:b/>
          <w:sz w:val="21"/>
          <w:szCs w:val="21"/>
          <w:lang w:eastAsia="x-none"/>
        </w:rPr>
      </w:pPr>
    </w:p>
    <w:p w14:paraId="6259EF19" w14:textId="77777777" w:rsidR="003E74BC" w:rsidRDefault="003E74BC" w:rsidP="003E74BC">
      <w:pPr>
        <w:jc w:val="center"/>
        <w:rPr>
          <w:rFonts w:ascii="Abadi" w:hAnsi="Abadi" w:cs="Arial"/>
          <w:b/>
          <w:sz w:val="21"/>
          <w:szCs w:val="21"/>
          <w:lang w:eastAsia="x-none"/>
        </w:rPr>
      </w:pPr>
      <w:r w:rsidRPr="003E74BC">
        <w:rPr>
          <w:rFonts w:ascii="Abadi" w:hAnsi="Abadi" w:cs="Arial"/>
          <w:b/>
          <w:sz w:val="21"/>
          <w:szCs w:val="21"/>
          <w:lang w:eastAsia="x-none"/>
        </w:rPr>
        <w:t>Diputada Alma Edwviges Alcaraz Hernández</w:t>
      </w:r>
    </w:p>
    <w:p w14:paraId="42454842" w14:textId="018EE7A9" w:rsidR="00EE1C15" w:rsidRPr="003E74BC" w:rsidRDefault="003E74BC" w:rsidP="003E74BC">
      <w:pPr>
        <w:ind w:firstLine="708"/>
        <w:jc w:val="center"/>
        <w:rPr>
          <w:rFonts w:ascii="Abadi" w:hAnsi="Abadi" w:cs="Arial"/>
          <w:b/>
          <w:sz w:val="21"/>
          <w:szCs w:val="21"/>
          <w:lang w:eastAsia="x-none"/>
        </w:rPr>
      </w:pPr>
      <w:r w:rsidRPr="003E74BC">
        <w:rPr>
          <w:rFonts w:ascii="Abadi" w:hAnsi="Abadi" w:cs="Arial"/>
          <w:bCs/>
          <w:i/>
          <w:iCs/>
          <w:sz w:val="21"/>
          <w:szCs w:val="21"/>
          <w:lang w:eastAsia="x-none"/>
        </w:rPr>
        <w:t>Voto en contra</w:t>
      </w:r>
    </w:p>
    <w:p w14:paraId="3A0A2917" w14:textId="77777777" w:rsidR="00EE1C15" w:rsidRPr="00EE1C15" w:rsidRDefault="00EE1C15" w:rsidP="00EE1C15">
      <w:pPr>
        <w:tabs>
          <w:tab w:val="left" w:pos="856"/>
        </w:tabs>
        <w:kinsoku w:val="0"/>
        <w:overflowPunct w:val="0"/>
        <w:autoSpaceDE w:val="0"/>
        <w:autoSpaceDN w:val="0"/>
        <w:adjustRightInd w:val="0"/>
        <w:ind w:left="360" w:right="17"/>
        <w:jc w:val="both"/>
        <w:rPr>
          <w:rFonts w:ascii="Abadi" w:hAnsi="Abadi"/>
          <w:sz w:val="20"/>
          <w:szCs w:val="20"/>
        </w:rPr>
      </w:pPr>
    </w:p>
    <w:p w14:paraId="17DB27ED" w14:textId="18C6E989" w:rsidR="00476F8C" w:rsidRDefault="00476F8C"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1"/>
          <w:sz w:val="20"/>
          <w:szCs w:val="20"/>
        </w:rPr>
        <w:t xml:space="preserve"> </w:t>
      </w:r>
      <w:r w:rsidRPr="00531B12">
        <w:rPr>
          <w:rFonts w:ascii="Abadi" w:hAnsi="Abadi"/>
          <w:b/>
          <w:bCs/>
          <w:sz w:val="20"/>
          <w:szCs w:val="20"/>
        </w:rPr>
        <w:t>Y,</w:t>
      </w:r>
      <w:r w:rsidRPr="00531B12">
        <w:rPr>
          <w:rFonts w:ascii="Abadi" w:hAnsi="Abadi"/>
          <w:b/>
          <w:bCs/>
          <w:spacing w:val="11"/>
          <w:sz w:val="20"/>
          <w:szCs w:val="20"/>
        </w:rPr>
        <w:t xml:space="preserve"> </w:t>
      </w:r>
      <w:r w:rsidRPr="00531B12">
        <w:rPr>
          <w:rFonts w:ascii="Abadi" w:hAnsi="Abadi"/>
          <w:b/>
          <w:bCs/>
          <w:sz w:val="20"/>
          <w:szCs w:val="20"/>
        </w:rPr>
        <w:t>EN</w:t>
      </w:r>
      <w:r w:rsidRPr="00531B12">
        <w:rPr>
          <w:rFonts w:ascii="Abadi" w:hAnsi="Abadi"/>
          <w:b/>
          <w:bCs/>
          <w:spacing w:val="11"/>
          <w:sz w:val="20"/>
          <w:szCs w:val="20"/>
        </w:rPr>
        <w:t xml:space="preserve"> </w:t>
      </w:r>
      <w:r w:rsidRPr="00531B12">
        <w:rPr>
          <w:rFonts w:ascii="Abadi" w:hAnsi="Abadi"/>
          <w:b/>
          <w:bCs/>
          <w:sz w:val="20"/>
          <w:szCs w:val="20"/>
        </w:rPr>
        <w:t>SU</w:t>
      </w:r>
      <w:r w:rsidRPr="00531B12">
        <w:rPr>
          <w:rFonts w:ascii="Abadi" w:hAnsi="Abadi"/>
          <w:b/>
          <w:bCs/>
          <w:spacing w:val="11"/>
          <w:sz w:val="20"/>
          <w:szCs w:val="20"/>
        </w:rPr>
        <w:t xml:space="preserve"> </w:t>
      </w:r>
      <w:r w:rsidRPr="00531B12">
        <w:rPr>
          <w:rFonts w:ascii="Abadi" w:hAnsi="Abadi"/>
          <w:b/>
          <w:bCs/>
          <w:sz w:val="20"/>
          <w:szCs w:val="20"/>
        </w:rPr>
        <w:t>CASO,</w:t>
      </w:r>
      <w:r w:rsidRPr="00531B12">
        <w:rPr>
          <w:rFonts w:ascii="Abadi" w:hAnsi="Abadi"/>
          <w:b/>
          <w:bCs/>
          <w:spacing w:val="11"/>
          <w:sz w:val="20"/>
          <w:szCs w:val="20"/>
        </w:rPr>
        <w:t xml:space="preserve"> </w:t>
      </w:r>
      <w:r w:rsidRPr="00531B12">
        <w:rPr>
          <w:rFonts w:ascii="Abadi" w:hAnsi="Abadi"/>
          <w:b/>
          <w:bCs/>
          <w:sz w:val="20"/>
          <w:szCs w:val="20"/>
        </w:rPr>
        <w:t>APROBACIÓN</w:t>
      </w:r>
      <w:r w:rsidRPr="00531B12">
        <w:rPr>
          <w:rFonts w:ascii="Abadi" w:hAnsi="Abadi"/>
          <w:b/>
          <w:bCs/>
          <w:spacing w:val="11"/>
          <w:sz w:val="20"/>
          <w:szCs w:val="20"/>
        </w:rPr>
        <w:t xml:space="preserve"> </w:t>
      </w:r>
      <w:r w:rsidRPr="00531B12">
        <w:rPr>
          <w:rFonts w:ascii="Abadi" w:hAnsi="Abadi"/>
          <w:b/>
          <w:bCs/>
          <w:sz w:val="20"/>
          <w:szCs w:val="20"/>
        </w:rPr>
        <w:t>DEL</w:t>
      </w:r>
      <w:r w:rsidRPr="00531B12">
        <w:rPr>
          <w:rFonts w:ascii="Abadi" w:hAnsi="Abadi"/>
          <w:b/>
          <w:bCs/>
          <w:spacing w:val="11"/>
          <w:sz w:val="20"/>
          <w:szCs w:val="20"/>
        </w:rPr>
        <w:t xml:space="preserve"> </w:t>
      </w:r>
      <w:r w:rsidRPr="00531B12">
        <w:rPr>
          <w:rFonts w:ascii="Abadi" w:hAnsi="Abadi"/>
          <w:b/>
          <w:bCs/>
          <w:sz w:val="20"/>
          <w:szCs w:val="20"/>
        </w:rPr>
        <w:t>DICTAMEN</w:t>
      </w:r>
      <w:r w:rsidRPr="00531B12">
        <w:rPr>
          <w:rFonts w:ascii="Abadi" w:hAnsi="Abadi"/>
          <w:b/>
          <w:bCs/>
          <w:spacing w:val="11"/>
          <w:sz w:val="20"/>
          <w:szCs w:val="20"/>
        </w:rPr>
        <w:t xml:space="preserve"> </w:t>
      </w:r>
      <w:r w:rsidRPr="00531B12">
        <w:rPr>
          <w:rFonts w:ascii="Abadi" w:hAnsi="Abadi"/>
          <w:b/>
          <w:bCs/>
          <w:sz w:val="20"/>
          <w:szCs w:val="20"/>
        </w:rPr>
        <w:t>SIGNADO</w:t>
      </w:r>
      <w:r w:rsidRPr="00531B12">
        <w:rPr>
          <w:rFonts w:ascii="Abadi" w:hAnsi="Abadi"/>
          <w:b/>
          <w:bCs/>
          <w:spacing w:val="11"/>
          <w:sz w:val="20"/>
          <w:szCs w:val="20"/>
        </w:rPr>
        <w:t xml:space="preserve"> </w:t>
      </w:r>
      <w:r w:rsidRPr="00531B12">
        <w:rPr>
          <w:rFonts w:ascii="Abadi" w:hAnsi="Abadi"/>
          <w:b/>
          <w:bCs/>
          <w:sz w:val="20"/>
          <w:szCs w:val="20"/>
        </w:rPr>
        <w:t>POR</w:t>
      </w:r>
      <w:r w:rsidRPr="00531B12">
        <w:rPr>
          <w:rFonts w:ascii="Abadi" w:hAnsi="Abadi"/>
          <w:b/>
          <w:bCs/>
          <w:spacing w:val="11"/>
          <w:sz w:val="20"/>
          <w:szCs w:val="20"/>
        </w:rPr>
        <w:t xml:space="preserve"> </w:t>
      </w:r>
      <w:r w:rsidRPr="00531B12">
        <w:rPr>
          <w:rFonts w:ascii="Abadi" w:hAnsi="Abadi"/>
          <w:b/>
          <w:bCs/>
          <w:sz w:val="20"/>
          <w:szCs w:val="20"/>
        </w:rPr>
        <w:t>LA</w:t>
      </w:r>
      <w:r w:rsidRPr="00531B12">
        <w:rPr>
          <w:rFonts w:ascii="Abadi" w:hAnsi="Abadi"/>
          <w:b/>
          <w:bCs/>
          <w:spacing w:val="11"/>
          <w:sz w:val="20"/>
          <w:szCs w:val="20"/>
        </w:rPr>
        <w:t xml:space="preserve"> </w:t>
      </w:r>
      <w:r w:rsidRPr="00531B12">
        <w:rPr>
          <w:rFonts w:ascii="Abadi" w:hAnsi="Abadi"/>
          <w:b/>
          <w:bCs/>
          <w:sz w:val="20"/>
          <w:szCs w:val="20"/>
        </w:rPr>
        <w:t>COMISIÓN DE</w:t>
      </w:r>
      <w:r w:rsidRPr="00531B12">
        <w:rPr>
          <w:rFonts w:ascii="Abadi" w:hAnsi="Abadi"/>
          <w:b/>
          <w:bCs/>
          <w:spacing w:val="10"/>
          <w:sz w:val="20"/>
          <w:szCs w:val="20"/>
        </w:rPr>
        <w:t xml:space="preserve"> </w:t>
      </w:r>
      <w:r w:rsidRPr="00531B12">
        <w:rPr>
          <w:rFonts w:ascii="Abadi" w:hAnsi="Abadi"/>
          <w:b/>
          <w:bCs/>
          <w:sz w:val="20"/>
          <w:szCs w:val="20"/>
        </w:rPr>
        <w:t>HACIENDA</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0"/>
          <w:sz w:val="20"/>
          <w:szCs w:val="20"/>
        </w:rPr>
        <w:t xml:space="preserve"> </w:t>
      </w:r>
      <w:r w:rsidRPr="00531B12">
        <w:rPr>
          <w:rFonts w:ascii="Abadi" w:hAnsi="Abadi"/>
          <w:b/>
          <w:bCs/>
          <w:sz w:val="20"/>
          <w:szCs w:val="20"/>
        </w:rPr>
        <w:t>FISCALIZACIÓN</w:t>
      </w:r>
      <w:r w:rsidRPr="00531B12">
        <w:rPr>
          <w:rFonts w:ascii="Abadi" w:hAnsi="Abadi"/>
          <w:b/>
          <w:bCs/>
          <w:spacing w:val="10"/>
          <w:sz w:val="20"/>
          <w:szCs w:val="20"/>
        </w:rPr>
        <w:t xml:space="preserve"> </w:t>
      </w:r>
      <w:r w:rsidRPr="00531B12">
        <w:rPr>
          <w:rFonts w:ascii="Abadi" w:hAnsi="Abadi"/>
          <w:b/>
          <w:bCs/>
          <w:sz w:val="20"/>
          <w:szCs w:val="20"/>
        </w:rPr>
        <w:t>RELATIVO</w:t>
      </w:r>
      <w:r w:rsidRPr="00531B12">
        <w:rPr>
          <w:rFonts w:ascii="Abadi" w:hAnsi="Abadi"/>
          <w:b/>
          <w:bCs/>
          <w:spacing w:val="10"/>
          <w:sz w:val="20"/>
          <w:szCs w:val="20"/>
        </w:rPr>
        <w:t xml:space="preserve"> </w:t>
      </w:r>
      <w:r w:rsidRPr="00531B12">
        <w:rPr>
          <w:rFonts w:ascii="Abadi" w:hAnsi="Abadi"/>
          <w:b/>
          <w:bCs/>
          <w:sz w:val="20"/>
          <w:szCs w:val="20"/>
        </w:rPr>
        <w:t>AL</w:t>
      </w:r>
      <w:r w:rsidRPr="00531B12">
        <w:rPr>
          <w:rFonts w:ascii="Abadi" w:hAnsi="Abadi"/>
          <w:b/>
          <w:bCs/>
          <w:spacing w:val="9"/>
          <w:sz w:val="20"/>
          <w:szCs w:val="20"/>
        </w:rPr>
        <w:t xml:space="preserve"> </w:t>
      </w:r>
      <w:r w:rsidRPr="00531B12">
        <w:rPr>
          <w:rFonts w:ascii="Abadi" w:hAnsi="Abadi"/>
          <w:b/>
          <w:bCs/>
          <w:sz w:val="20"/>
          <w:szCs w:val="20"/>
        </w:rPr>
        <w:t>INFORME</w:t>
      </w:r>
      <w:r w:rsidRPr="00531B12">
        <w:rPr>
          <w:rFonts w:ascii="Abadi" w:hAnsi="Abadi"/>
          <w:b/>
          <w:bCs/>
          <w:spacing w:val="9"/>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RESULTADOS</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REVISIÓN PRACTICADA</w:t>
      </w:r>
      <w:r w:rsidRPr="00531B12">
        <w:rPr>
          <w:rFonts w:ascii="Abadi" w:hAnsi="Abadi"/>
          <w:b/>
          <w:bCs/>
          <w:spacing w:val="10"/>
          <w:sz w:val="20"/>
          <w:szCs w:val="20"/>
        </w:rPr>
        <w:t xml:space="preserve"> </w:t>
      </w:r>
      <w:r w:rsidRPr="00531B12">
        <w:rPr>
          <w:rFonts w:ascii="Abadi" w:hAnsi="Abadi"/>
          <w:b/>
          <w:bCs/>
          <w:sz w:val="20"/>
          <w:szCs w:val="20"/>
        </w:rPr>
        <w:t>POR</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AUDITORÍA</w:t>
      </w:r>
      <w:r w:rsidRPr="00531B12">
        <w:rPr>
          <w:rFonts w:ascii="Abadi" w:hAnsi="Abadi"/>
          <w:b/>
          <w:bCs/>
          <w:spacing w:val="10"/>
          <w:sz w:val="20"/>
          <w:szCs w:val="20"/>
        </w:rPr>
        <w:t xml:space="preserve"> </w:t>
      </w:r>
      <w:r w:rsidRPr="00531B12">
        <w:rPr>
          <w:rFonts w:ascii="Abadi" w:hAnsi="Abadi"/>
          <w:b/>
          <w:bCs/>
          <w:sz w:val="20"/>
          <w:szCs w:val="20"/>
        </w:rPr>
        <w:t>SUPERIOR</w:t>
      </w:r>
      <w:r w:rsidRPr="00531B12">
        <w:rPr>
          <w:rFonts w:ascii="Abadi" w:hAnsi="Abadi"/>
          <w:b/>
          <w:bCs/>
          <w:spacing w:val="9"/>
          <w:sz w:val="20"/>
          <w:szCs w:val="20"/>
        </w:rPr>
        <w:t xml:space="preserve"> </w:t>
      </w:r>
      <w:r w:rsidRPr="00531B12">
        <w:rPr>
          <w:rFonts w:ascii="Abadi" w:hAnsi="Abadi"/>
          <w:b/>
          <w:bCs/>
          <w:sz w:val="20"/>
          <w:szCs w:val="20"/>
        </w:rPr>
        <w:t>DEL</w:t>
      </w:r>
      <w:r w:rsidRPr="00531B12">
        <w:rPr>
          <w:rFonts w:ascii="Abadi" w:hAnsi="Abadi"/>
          <w:b/>
          <w:bCs/>
          <w:spacing w:val="9"/>
          <w:sz w:val="20"/>
          <w:szCs w:val="20"/>
        </w:rPr>
        <w:t xml:space="preserve"> </w:t>
      </w:r>
      <w:r w:rsidRPr="00531B12">
        <w:rPr>
          <w:rFonts w:ascii="Abadi" w:hAnsi="Abadi"/>
          <w:b/>
          <w:bCs/>
          <w:sz w:val="20"/>
          <w:szCs w:val="20"/>
        </w:rPr>
        <w:t>ESTADO</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GUANAJUATO,</w:t>
      </w:r>
      <w:r w:rsidRPr="00531B12">
        <w:rPr>
          <w:rFonts w:ascii="Abadi" w:hAnsi="Abadi"/>
          <w:b/>
          <w:bCs/>
          <w:spacing w:val="9"/>
          <w:sz w:val="20"/>
          <w:szCs w:val="20"/>
        </w:rPr>
        <w:t xml:space="preserve"> </w:t>
      </w:r>
      <w:r w:rsidRPr="00531B12">
        <w:rPr>
          <w:rFonts w:ascii="Abadi" w:hAnsi="Abadi"/>
          <w:b/>
          <w:bCs/>
          <w:sz w:val="20"/>
          <w:szCs w:val="20"/>
        </w:rPr>
        <w:t>A</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CUENTA PÚBLICA</w:t>
      </w:r>
      <w:r w:rsidRPr="00531B12">
        <w:rPr>
          <w:rFonts w:ascii="Abadi" w:hAnsi="Abadi"/>
          <w:b/>
          <w:bCs/>
          <w:spacing w:val="32"/>
          <w:sz w:val="20"/>
          <w:szCs w:val="20"/>
        </w:rPr>
        <w:t xml:space="preserve"> </w:t>
      </w:r>
      <w:r w:rsidRPr="00531B12">
        <w:rPr>
          <w:rFonts w:ascii="Abadi" w:hAnsi="Abadi"/>
          <w:b/>
          <w:bCs/>
          <w:sz w:val="20"/>
          <w:szCs w:val="20"/>
        </w:rPr>
        <w:t>MUNICIPAL</w:t>
      </w:r>
      <w:r w:rsidRPr="00531B12">
        <w:rPr>
          <w:rFonts w:ascii="Abadi" w:hAnsi="Abadi"/>
          <w:b/>
          <w:bCs/>
          <w:spacing w:val="32"/>
          <w:sz w:val="20"/>
          <w:szCs w:val="20"/>
        </w:rPr>
        <w:t xml:space="preserve"> </w:t>
      </w:r>
      <w:r w:rsidRPr="00531B12">
        <w:rPr>
          <w:rFonts w:ascii="Abadi" w:hAnsi="Abadi"/>
          <w:b/>
          <w:bCs/>
          <w:sz w:val="20"/>
          <w:szCs w:val="20"/>
        </w:rPr>
        <w:t>DE</w:t>
      </w:r>
      <w:r w:rsidRPr="00531B12">
        <w:rPr>
          <w:rFonts w:ascii="Abadi" w:hAnsi="Abadi"/>
          <w:b/>
          <w:bCs/>
          <w:spacing w:val="32"/>
          <w:sz w:val="20"/>
          <w:szCs w:val="20"/>
        </w:rPr>
        <w:t xml:space="preserve"> </w:t>
      </w:r>
      <w:r w:rsidRPr="00531B12">
        <w:rPr>
          <w:rFonts w:ascii="Abadi" w:hAnsi="Abadi"/>
          <w:b/>
          <w:bCs/>
          <w:sz w:val="20"/>
          <w:szCs w:val="20"/>
        </w:rPr>
        <w:t>SAN</w:t>
      </w:r>
      <w:r w:rsidRPr="00531B12">
        <w:rPr>
          <w:rFonts w:ascii="Abadi" w:hAnsi="Abadi"/>
          <w:b/>
          <w:bCs/>
          <w:spacing w:val="33"/>
          <w:sz w:val="20"/>
          <w:szCs w:val="20"/>
        </w:rPr>
        <w:t xml:space="preserve"> </w:t>
      </w:r>
      <w:r w:rsidRPr="00531B12">
        <w:rPr>
          <w:rFonts w:ascii="Abadi" w:hAnsi="Abadi"/>
          <w:b/>
          <w:bCs/>
          <w:sz w:val="20"/>
          <w:szCs w:val="20"/>
        </w:rPr>
        <w:t>JOSÉ</w:t>
      </w:r>
      <w:r w:rsidRPr="00531B12">
        <w:rPr>
          <w:rFonts w:ascii="Abadi" w:hAnsi="Abadi"/>
          <w:b/>
          <w:bCs/>
          <w:spacing w:val="32"/>
          <w:sz w:val="20"/>
          <w:szCs w:val="20"/>
        </w:rPr>
        <w:t xml:space="preserve"> </w:t>
      </w:r>
      <w:r w:rsidRPr="00531B12">
        <w:rPr>
          <w:rFonts w:ascii="Abadi" w:hAnsi="Abadi"/>
          <w:b/>
          <w:bCs/>
          <w:sz w:val="20"/>
          <w:szCs w:val="20"/>
        </w:rPr>
        <w:t>ITURBIDE,</w:t>
      </w:r>
      <w:r w:rsidRPr="00531B12">
        <w:rPr>
          <w:rFonts w:ascii="Abadi" w:hAnsi="Abadi"/>
          <w:b/>
          <w:bCs/>
          <w:spacing w:val="32"/>
          <w:sz w:val="20"/>
          <w:szCs w:val="20"/>
        </w:rPr>
        <w:t xml:space="preserve"> </w:t>
      </w:r>
      <w:r w:rsidRPr="00531B12">
        <w:rPr>
          <w:rFonts w:ascii="Abadi" w:hAnsi="Abadi"/>
          <w:b/>
          <w:bCs/>
          <w:sz w:val="20"/>
          <w:szCs w:val="20"/>
        </w:rPr>
        <w:t>GTO.,</w:t>
      </w:r>
      <w:r w:rsidRPr="00531B12">
        <w:rPr>
          <w:rFonts w:ascii="Abadi" w:hAnsi="Abadi"/>
          <w:b/>
          <w:bCs/>
          <w:spacing w:val="32"/>
          <w:sz w:val="20"/>
          <w:szCs w:val="20"/>
        </w:rPr>
        <w:t xml:space="preserve"> </w:t>
      </w:r>
      <w:r w:rsidRPr="00531B12">
        <w:rPr>
          <w:rFonts w:ascii="Abadi" w:hAnsi="Abadi"/>
          <w:b/>
          <w:bCs/>
          <w:sz w:val="20"/>
          <w:szCs w:val="20"/>
        </w:rPr>
        <w:t>CORRESPONDIENTE</w:t>
      </w:r>
      <w:r w:rsidRPr="00531B12">
        <w:rPr>
          <w:rFonts w:ascii="Abadi" w:hAnsi="Abadi"/>
          <w:b/>
          <w:bCs/>
          <w:spacing w:val="32"/>
          <w:sz w:val="20"/>
          <w:szCs w:val="20"/>
        </w:rPr>
        <w:t xml:space="preserve"> </w:t>
      </w:r>
      <w:r w:rsidRPr="00531B12">
        <w:rPr>
          <w:rFonts w:ascii="Abadi" w:hAnsi="Abadi"/>
          <w:b/>
          <w:bCs/>
          <w:sz w:val="20"/>
          <w:szCs w:val="20"/>
        </w:rPr>
        <w:t>AL</w:t>
      </w:r>
      <w:r w:rsidRPr="00531B12">
        <w:rPr>
          <w:rFonts w:ascii="Abadi" w:hAnsi="Abadi"/>
          <w:b/>
          <w:bCs/>
          <w:spacing w:val="32"/>
          <w:sz w:val="20"/>
          <w:szCs w:val="20"/>
        </w:rPr>
        <w:t xml:space="preserve"> </w:t>
      </w:r>
      <w:r w:rsidRPr="00531B12">
        <w:rPr>
          <w:rFonts w:ascii="Abadi" w:hAnsi="Abadi"/>
          <w:b/>
          <w:bCs/>
          <w:sz w:val="20"/>
          <w:szCs w:val="20"/>
        </w:rPr>
        <w:t>EJERCICIO FISCAL DEL AÑO 2020.</w:t>
      </w:r>
    </w:p>
    <w:p w14:paraId="0B9DDCBC" w14:textId="77777777" w:rsidR="006B00FD" w:rsidRPr="006B00FD" w:rsidRDefault="006B00FD" w:rsidP="006B00FD">
      <w:pPr>
        <w:pStyle w:val="Prrafodelista"/>
        <w:rPr>
          <w:rFonts w:ascii="Abadi" w:hAnsi="Abadi"/>
          <w:b/>
          <w:bCs/>
          <w:sz w:val="20"/>
          <w:szCs w:val="20"/>
        </w:rPr>
      </w:pPr>
    </w:p>
    <w:p w14:paraId="15B274CD" w14:textId="77777777" w:rsidR="007449FF" w:rsidRPr="007449FF" w:rsidRDefault="007449FF" w:rsidP="007449FF">
      <w:pPr>
        <w:jc w:val="both"/>
        <w:rPr>
          <w:rFonts w:ascii="Abadi" w:hAnsi="Abadi" w:cs="Arial"/>
          <w:b/>
          <w:bCs/>
          <w:smallCaps/>
          <w:sz w:val="21"/>
          <w:szCs w:val="21"/>
          <w:lang w:val="es-MX"/>
        </w:rPr>
      </w:pPr>
      <w:r w:rsidRPr="007449FF">
        <w:rPr>
          <w:rFonts w:ascii="Abadi" w:hAnsi="Abadi" w:cs="Arial"/>
          <w:b/>
          <w:bCs/>
          <w:smallCaps/>
          <w:sz w:val="21"/>
          <w:szCs w:val="21"/>
          <w:lang w:val="es-MX"/>
        </w:rPr>
        <w:t>C. Presidenta del Congreso del Estado</w:t>
      </w:r>
    </w:p>
    <w:p w14:paraId="7A37AC0B" w14:textId="77777777" w:rsidR="007449FF" w:rsidRPr="007449FF" w:rsidRDefault="007449FF" w:rsidP="007449FF">
      <w:pPr>
        <w:jc w:val="both"/>
        <w:rPr>
          <w:rFonts w:ascii="Abadi" w:hAnsi="Abadi" w:cs="Arial"/>
          <w:b/>
          <w:bCs/>
          <w:smallCaps/>
          <w:sz w:val="21"/>
          <w:szCs w:val="21"/>
        </w:rPr>
      </w:pPr>
      <w:r w:rsidRPr="007449FF">
        <w:rPr>
          <w:rFonts w:ascii="Abadi" w:hAnsi="Abadi" w:cs="Arial"/>
          <w:b/>
          <w:bCs/>
          <w:smallCaps/>
          <w:sz w:val="21"/>
          <w:szCs w:val="21"/>
        </w:rPr>
        <w:t>P r e s e n t e.</w:t>
      </w:r>
    </w:p>
    <w:p w14:paraId="44D01E74" w14:textId="77777777" w:rsidR="007449FF" w:rsidRPr="007449FF" w:rsidRDefault="007449FF" w:rsidP="007449FF">
      <w:pPr>
        <w:jc w:val="both"/>
        <w:rPr>
          <w:rFonts w:ascii="Abadi" w:hAnsi="Abadi" w:cs="Arial"/>
          <w:sz w:val="21"/>
          <w:szCs w:val="21"/>
          <w:lang w:val="es-MX" w:eastAsia="x-none"/>
        </w:rPr>
      </w:pPr>
    </w:p>
    <w:p w14:paraId="7F2D16BD" w14:textId="77777777" w:rsidR="007449FF" w:rsidRPr="007449FF" w:rsidRDefault="007449FF" w:rsidP="007449FF">
      <w:pPr>
        <w:ind w:firstLine="708"/>
        <w:jc w:val="both"/>
        <w:rPr>
          <w:rFonts w:ascii="Abadi" w:hAnsi="Abadi" w:cs="Arial"/>
          <w:sz w:val="21"/>
          <w:szCs w:val="21"/>
          <w:lang w:val="x-none" w:eastAsia="x-none"/>
        </w:rPr>
      </w:pPr>
      <w:r w:rsidRPr="007449FF">
        <w:rPr>
          <w:rFonts w:ascii="Abadi" w:hAnsi="Abadi" w:cs="Arial"/>
          <w:sz w:val="21"/>
          <w:szCs w:val="21"/>
          <w:lang w:val="x-none" w:eastAsia="x-none"/>
        </w:rPr>
        <w:t xml:space="preserve">A </w:t>
      </w:r>
      <w:r w:rsidRPr="007449FF">
        <w:rPr>
          <w:rFonts w:ascii="Abadi" w:hAnsi="Abadi" w:cs="Arial"/>
          <w:sz w:val="21"/>
          <w:szCs w:val="21"/>
          <w:lang w:val="es-MX" w:eastAsia="x-none"/>
        </w:rPr>
        <w:t>esta</w:t>
      </w:r>
      <w:r w:rsidRPr="007449FF">
        <w:rPr>
          <w:rFonts w:ascii="Abadi" w:hAnsi="Abadi" w:cs="Arial"/>
          <w:sz w:val="21"/>
          <w:szCs w:val="21"/>
          <w:lang w:val="x-none" w:eastAsia="x-none"/>
        </w:rPr>
        <w:t xml:space="preserve"> Comisión de Hacienda y Fiscalización</w:t>
      </w:r>
      <w:r w:rsidRPr="007449FF">
        <w:rPr>
          <w:rFonts w:ascii="Abadi" w:hAnsi="Abadi" w:cs="Arial"/>
          <w:sz w:val="21"/>
          <w:szCs w:val="21"/>
          <w:lang w:val="es-MX" w:eastAsia="x-none"/>
        </w:rPr>
        <w:t xml:space="preserve">, </w:t>
      </w:r>
      <w:r w:rsidRPr="007449FF">
        <w:rPr>
          <w:rFonts w:ascii="Abadi" w:hAnsi="Abadi" w:cs="Arial"/>
          <w:sz w:val="21"/>
          <w:szCs w:val="21"/>
          <w:lang w:val="x-none" w:eastAsia="x-none"/>
        </w:rPr>
        <w:t xml:space="preserve">le fue turnado para su estudio y dictamen, el informe de resultados de la revisión practicada por </w:t>
      </w:r>
      <w:r w:rsidRPr="007449FF">
        <w:rPr>
          <w:rFonts w:ascii="Abadi" w:hAnsi="Abadi" w:cs="Arial"/>
          <w:sz w:val="21"/>
          <w:szCs w:val="21"/>
          <w:lang w:val="es-MX" w:eastAsia="x-none"/>
        </w:rPr>
        <w:t xml:space="preserve">la </w:t>
      </w:r>
      <w:r w:rsidRPr="007449FF">
        <w:rPr>
          <w:rFonts w:ascii="Abadi" w:hAnsi="Abadi" w:cs="Arial"/>
          <w:sz w:val="21"/>
          <w:szCs w:val="21"/>
          <w:lang w:val="x-none" w:eastAsia="x-none"/>
        </w:rPr>
        <w:t xml:space="preserve">Auditoría Superior del Estado de Guanajuato, a la cuenta pública municipal de </w:t>
      </w:r>
      <w:r w:rsidRPr="007449FF">
        <w:rPr>
          <w:rFonts w:ascii="Abadi" w:hAnsi="Abadi" w:cs="Arial"/>
          <w:sz w:val="21"/>
          <w:szCs w:val="21"/>
          <w:lang w:val="es-MX" w:eastAsia="x-none"/>
        </w:rPr>
        <w:t>San José Iturbide</w:t>
      </w:r>
      <w:r w:rsidRPr="007449FF">
        <w:rPr>
          <w:rFonts w:ascii="Abadi" w:hAnsi="Abadi" w:cs="Arial"/>
          <w:sz w:val="21"/>
          <w:szCs w:val="21"/>
          <w:lang w:val="x-none" w:eastAsia="x-none"/>
        </w:rPr>
        <w:t xml:space="preserve">, Gto., correspondiente al ejercicio fiscal del año </w:t>
      </w:r>
      <w:r w:rsidRPr="007449FF">
        <w:rPr>
          <w:rFonts w:ascii="Abadi" w:hAnsi="Abadi" w:cs="Arial"/>
          <w:sz w:val="21"/>
          <w:szCs w:val="21"/>
          <w:lang w:val="es-MX" w:eastAsia="x-none"/>
        </w:rPr>
        <w:t>2020</w:t>
      </w:r>
      <w:r w:rsidRPr="007449FF">
        <w:rPr>
          <w:rFonts w:ascii="Abadi" w:hAnsi="Abadi" w:cs="Arial"/>
          <w:sz w:val="21"/>
          <w:szCs w:val="21"/>
          <w:lang w:val="x-none" w:eastAsia="x-none"/>
        </w:rPr>
        <w:t>.</w:t>
      </w:r>
    </w:p>
    <w:p w14:paraId="7FCE3F40" w14:textId="77777777" w:rsidR="007449FF" w:rsidRPr="007449FF" w:rsidRDefault="007449FF" w:rsidP="007449FF">
      <w:pPr>
        <w:ind w:firstLine="708"/>
        <w:jc w:val="both"/>
        <w:rPr>
          <w:rFonts w:ascii="Abadi" w:hAnsi="Abadi" w:cs="Arial"/>
          <w:sz w:val="21"/>
          <w:szCs w:val="21"/>
          <w:lang w:val="x-none" w:eastAsia="x-none"/>
        </w:rPr>
      </w:pPr>
    </w:p>
    <w:p w14:paraId="265D7E5A" w14:textId="77777777" w:rsidR="007449FF" w:rsidRPr="007449FF" w:rsidRDefault="007449FF" w:rsidP="007449FF">
      <w:pPr>
        <w:ind w:firstLine="708"/>
        <w:jc w:val="both"/>
        <w:rPr>
          <w:rFonts w:ascii="Abadi" w:hAnsi="Abadi" w:cs="Arial"/>
          <w:sz w:val="21"/>
          <w:szCs w:val="21"/>
          <w:lang w:val="x-none" w:eastAsia="x-none"/>
        </w:rPr>
      </w:pPr>
      <w:r w:rsidRPr="007449FF">
        <w:rPr>
          <w:rFonts w:ascii="Abadi" w:hAnsi="Abadi" w:cs="Arial"/>
          <w:sz w:val="21"/>
          <w:szCs w:val="21"/>
          <w:lang w:val="x-none" w:eastAsia="x-none"/>
        </w:rPr>
        <w:t>Una vez analizado el referido informe de resultados, con fundamento en lo dispuesto por los artículos 112, fracción XII</w:t>
      </w:r>
      <w:r w:rsidRPr="007449FF">
        <w:rPr>
          <w:rFonts w:ascii="Abadi" w:hAnsi="Abadi" w:cs="Arial"/>
          <w:sz w:val="21"/>
          <w:szCs w:val="21"/>
          <w:lang w:val="es-MX" w:eastAsia="x-none"/>
        </w:rPr>
        <w:t>, primer párrafo</w:t>
      </w:r>
      <w:r w:rsidRPr="007449FF">
        <w:rPr>
          <w:rFonts w:ascii="Abadi" w:hAnsi="Abadi" w:cs="Arial"/>
          <w:sz w:val="21"/>
          <w:szCs w:val="21"/>
          <w:lang w:val="x-none" w:eastAsia="x-none"/>
        </w:rPr>
        <w:t xml:space="preserve"> y 171 de </w:t>
      </w:r>
      <w:smartTag w:uri="urn:schemas-microsoft-com:office:smarttags" w:element="PersonName">
        <w:smartTagPr>
          <w:attr w:name="ProductID" w:val="la Ley Org￡nica"/>
        </w:smartTagPr>
        <w:r w:rsidRPr="007449FF">
          <w:rPr>
            <w:rFonts w:ascii="Abadi" w:hAnsi="Abadi" w:cs="Arial"/>
            <w:sz w:val="21"/>
            <w:szCs w:val="21"/>
            <w:lang w:val="x-none" w:eastAsia="x-none"/>
          </w:rPr>
          <w:t>la Ley Orgánica</w:t>
        </w:r>
      </w:smartTag>
      <w:r w:rsidRPr="007449FF">
        <w:rPr>
          <w:rFonts w:ascii="Abadi" w:hAnsi="Abadi" w:cs="Arial"/>
          <w:sz w:val="21"/>
          <w:szCs w:val="21"/>
          <w:lang w:val="x-none" w:eastAsia="x-none"/>
        </w:rPr>
        <w:t xml:space="preserve"> del Poder Legislativo, nos permitimos rendir el siguiente:</w:t>
      </w:r>
    </w:p>
    <w:p w14:paraId="6BC4FF29" w14:textId="77777777" w:rsidR="007449FF" w:rsidRPr="007449FF" w:rsidRDefault="007449FF" w:rsidP="007449FF">
      <w:pPr>
        <w:ind w:firstLine="708"/>
        <w:jc w:val="both"/>
        <w:rPr>
          <w:rFonts w:ascii="Abadi" w:hAnsi="Abadi" w:cs="Arial"/>
          <w:sz w:val="21"/>
          <w:szCs w:val="21"/>
          <w:lang w:val="x-none" w:eastAsia="x-none"/>
        </w:rPr>
      </w:pPr>
    </w:p>
    <w:p w14:paraId="7F7DB822" w14:textId="77777777" w:rsidR="007449FF" w:rsidRPr="007449FF" w:rsidRDefault="007449FF" w:rsidP="007449FF">
      <w:pPr>
        <w:keepNext/>
        <w:jc w:val="center"/>
        <w:outlineLvl w:val="0"/>
        <w:rPr>
          <w:rFonts w:ascii="Abadi" w:eastAsia="Arial Unicode MS" w:hAnsi="Abadi" w:cs="Arial"/>
          <w:b/>
          <w:bCs/>
          <w:sz w:val="21"/>
          <w:szCs w:val="21"/>
        </w:rPr>
      </w:pPr>
      <w:r w:rsidRPr="007449FF">
        <w:rPr>
          <w:rFonts w:ascii="Abadi" w:eastAsia="Arial Unicode MS" w:hAnsi="Abadi" w:cs="Arial"/>
          <w:b/>
          <w:bCs/>
          <w:sz w:val="21"/>
          <w:szCs w:val="21"/>
        </w:rPr>
        <w:t>D i c t a m e n</w:t>
      </w:r>
    </w:p>
    <w:p w14:paraId="5399428E" w14:textId="77777777" w:rsidR="007449FF" w:rsidRDefault="007449FF" w:rsidP="007449FF">
      <w:pPr>
        <w:ind w:firstLine="708"/>
        <w:jc w:val="both"/>
        <w:rPr>
          <w:rFonts w:ascii="Abadi" w:hAnsi="Abadi" w:cs="Arial"/>
          <w:b/>
          <w:bCs/>
          <w:sz w:val="21"/>
          <w:szCs w:val="21"/>
          <w:lang w:val="es-MX" w:eastAsia="x-none"/>
        </w:rPr>
      </w:pPr>
    </w:p>
    <w:p w14:paraId="150DF474" w14:textId="7738A830" w:rsidR="007449FF" w:rsidRPr="007449FF" w:rsidRDefault="007449FF" w:rsidP="007449FF">
      <w:pPr>
        <w:ind w:firstLine="708"/>
        <w:jc w:val="both"/>
        <w:rPr>
          <w:rFonts w:ascii="Abadi" w:hAnsi="Abadi" w:cs="Arial"/>
          <w:b/>
          <w:bCs/>
          <w:sz w:val="21"/>
          <w:szCs w:val="21"/>
          <w:lang w:val="es-MX" w:eastAsia="x-none"/>
        </w:rPr>
      </w:pPr>
      <w:r w:rsidRPr="007449FF">
        <w:rPr>
          <w:rFonts w:ascii="Abadi" w:hAnsi="Abadi" w:cs="Arial"/>
          <w:b/>
          <w:bCs/>
          <w:sz w:val="21"/>
          <w:szCs w:val="21"/>
          <w:lang w:val="es-MX" w:eastAsia="x-none"/>
        </w:rPr>
        <w:t>I. Competencia:</w:t>
      </w:r>
    </w:p>
    <w:p w14:paraId="5367C29B" w14:textId="77777777" w:rsidR="007449FF" w:rsidRPr="007449FF" w:rsidRDefault="007449FF" w:rsidP="007449FF">
      <w:pPr>
        <w:ind w:firstLine="708"/>
        <w:jc w:val="both"/>
        <w:rPr>
          <w:rFonts w:ascii="Abadi" w:hAnsi="Abadi" w:cs="Arial"/>
          <w:b/>
          <w:bCs/>
          <w:sz w:val="21"/>
          <w:szCs w:val="21"/>
          <w:lang w:val="es-MX" w:eastAsia="x-none"/>
        </w:rPr>
      </w:pPr>
    </w:p>
    <w:p w14:paraId="4EA1A48D"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7449FF">
          <w:rPr>
            <w:rFonts w:ascii="Abadi" w:hAnsi="Abadi" w:cs="Arial"/>
            <w:sz w:val="21"/>
            <w:szCs w:val="21"/>
            <w:lang w:val="es-MX" w:eastAsia="x-none"/>
          </w:rPr>
          <w:t>la Constitución Política</w:t>
        </w:r>
      </w:smartTag>
      <w:r w:rsidRPr="007449FF">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2A3292CF" w14:textId="77777777" w:rsidR="007449FF" w:rsidRPr="007449FF" w:rsidRDefault="007449FF" w:rsidP="007449FF">
      <w:pPr>
        <w:ind w:firstLine="708"/>
        <w:jc w:val="both"/>
        <w:rPr>
          <w:rFonts w:ascii="Abadi" w:hAnsi="Abadi" w:cs="Arial"/>
          <w:sz w:val="21"/>
          <w:szCs w:val="21"/>
          <w:lang w:val="es-MX" w:eastAsia="x-none"/>
        </w:rPr>
      </w:pPr>
    </w:p>
    <w:p w14:paraId="0E794B2D" w14:textId="622A779D" w:rsid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123BB31B" w14:textId="77777777" w:rsidR="007449FF" w:rsidRPr="007449FF" w:rsidRDefault="007449FF" w:rsidP="007449FF">
      <w:pPr>
        <w:ind w:firstLine="708"/>
        <w:jc w:val="both"/>
        <w:rPr>
          <w:rFonts w:ascii="Abadi" w:hAnsi="Abadi" w:cs="Arial"/>
          <w:sz w:val="21"/>
          <w:szCs w:val="21"/>
          <w:lang w:val="es-MX" w:eastAsia="x-none"/>
        </w:rPr>
      </w:pPr>
    </w:p>
    <w:p w14:paraId="5E45C281"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7449FF">
          <w:rPr>
            <w:rFonts w:ascii="Abadi" w:hAnsi="Abadi" w:cs="Arial"/>
            <w:sz w:val="21"/>
            <w:szCs w:val="21"/>
            <w:lang w:val="es-MX" w:eastAsia="x-none"/>
          </w:rPr>
          <w:t>la Constitución Política</w:t>
        </w:r>
      </w:smartTag>
      <w:r w:rsidRPr="007449FF">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3543C1CE" w14:textId="77777777" w:rsidR="007449FF" w:rsidRPr="007449FF" w:rsidRDefault="007449FF" w:rsidP="007449FF">
      <w:pPr>
        <w:ind w:firstLine="708"/>
        <w:jc w:val="both"/>
        <w:rPr>
          <w:rFonts w:ascii="Abadi" w:hAnsi="Abadi" w:cs="Arial"/>
          <w:sz w:val="21"/>
          <w:szCs w:val="21"/>
          <w:lang w:val="es-MX" w:eastAsia="x-none"/>
        </w:rPr>
      </w:pPr>
    </w:p>
    <w:p w14:paraId="036EC7BE"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BF17793" w14:textId="77777777" w:rsidR="007449FF" w:rsidRPr="007449FF" w:rsidRDefault="007449FF" w:rsidP="007449FF">
      <w:pPr>
        <w:ind w:firstLine="708"/>
        <w:jc w:val="both"/>
        <w:rPr>
          <w:rFonts w:ascii="Abadi" w:hAnsi="Abadi" w:cs="Arial"/>
          <w:sz w:val="21"/>
          <w:szCs w:val="21"/>
          <w:lang w:val="es-MX" w:eastAsia="x-none"/>
        </w:rPr>
      </w:pPr>
    </w:p>
    <w:p w14:paraId="09851B0C"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 xml:space="preserve">De igual forma, el artículo 82, fracción XXIV de </w:t>
      </w:r>
      <w:smartTag w:uri="urn:schemas-microsoft-com:office:smarttags" w:element="PersonName">
        <w:smartTagPr>
          <w:attr w:name="ProductID" w:val="la Ley"/>
        </w:smartTagPr>
        <w:r w:rsidRPr="007449FF">
          <w:rPr>
            <w:rFonts w:ascii="Abadi" w:hAnsi="Abadi" w:cs="Arial"/>
            <w:sz w:val="21"/>
            <w:szCs w:val="21"/>
            <w:lang w:val="es-MX" w:eastAsia="x-none"/>
          </w:rPr>
          <w:t>la Ley</w:t>
        </w:r>
      </w:smartTag>
      <w:r w:rsidRPr="007449FF">
        <w:rPr>
          <w:rFonts w:ascii="Abadi" w:hAnsi="Abadi" w:cs="Arial"/>
          <w:sz w:val="21"/>
          <w:szCs w:val="21"/>
          <w:lang w:val="es-MX" w:eastAsia="x-none"/>
        </w:rPr>
        <w:t xml:space="preserve"> de Fiscalización Superior del Estado de Guanajuato consigna como atribución del Auditor Superior rendir al Congreso del Estado, los informes derivados del ejercicio de la función de fiscalización.</w:t>
      </w:r>
    </w:p>
    <w:p w14:paraId="526B4A44" w14:textId="77777777" w:rsidR="007449FF" w:rsidRPr="007449FF" w:rsidRDefault="007449FF" w:rsidP="007449FF">
      <w:pPr>
        <w:ind w:firstLine="708"/>
        <w:jc w:val="both"/>
        <w:rPr>
          <w:rFonts w:ascii="Abadi" w:hAnsi="Abadi" w:cs="Arial"/>
          <w:sz w:val="21"/>
          <w:szCs w:val="21"/>
          <w:lang w:val="es-MX" w:eastAsia="x-none"/>
        </w:rPr>
      </w:pPr>
    </w:p>
    <w:p w14:paraId="790CE14D"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7E2C3590" w14:textId="77777777" w:rsidR="007449FF" w:rsidRPr="007449FF" w:rsidRDefault="007449FF" w:rsidP="007449FF">
      <w:pPr>
        <w:ind w:firstLine="708"/>
        <w:jc w:val="both"/>
        <w:rPr>
          <w:rFonts w:ascii="Abadi" w:hAnsi="Abadi" w:cs="Arial"/>
          <w:sz w:val="21"/>
          <w:szCs w:val="21"/>
          <w:lang w:val="es-MX" w:eastAsia="x-none"/>
        </w:rPr>
      </w:pPr>
    </w:p>
    <w:p w14:paraId="010FD96A"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 xml:space="preserve">Con la finalidad de que el Congreso dé cumplimiento a lo señalado en el párrafo anterior, </w:t>
      </w:r>
      <w:smartTag w:uri="urn:schemas-microsoft-com:office:smarttags" w:element="PersonName">
        <w:smartTagPr>
          <w:attr w:name="ProductID" w:val="la Ley Org￡nica"/>
        </w:smartTagPr>
        <w:r w:rsidRPr="007449FF">
          <w:rPr>
            <w:rFonts w:ascii="Abadi" w:hAnsi="Abadi" w:cs="Arial"/>
            <w:sz w:val="21"/>
            <w:szCs w:val="21"/>
            <w:lang w:val="es-MX" w:eastAsia="x-none"/>
          </w:rPr>
          <w:t>la Ley Orgánica</w:t>
        </w:r>
      </w:smartTag>
      <w:r w:rsidRPr="007449FF">
        <w:rPr>
          <w:rFonts w:ascii="Abadi" w:hAnsi="Abadi" w:cs="Arial"/>
          <w:sz w:val="21"/>
          <w:szCs w:val="21"/>
          <w:lang w:val="es-MX" w:eastAsia="x-none"/>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581473F9" w14:textId="77777777" w:rsidR="007449FF" w:rsidRPr="007449FF" w:rsidRDefault="007449FF" w:rsidP="007449FF">
      <w:pPr>
        <w:ind w:firstLine="708"/>
        <w:jc w:val="both"/>
        <w:rPr>
          <w:rFonts w:ascii="Abadi" w:hAnsi="Abadi" w:cs="Arial"/>
          <w:sz w:val="21"/>
          <w:szCs w:val="21"/>
          <w:lang w:val="es-MX" w:eastAsia="x-none"/>
        </w:rPr>
      </w:pPr>
    </w:p>
    <w:p w14:paraId="23B207B4"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7FDE4713" w14:textId="77777777" w:rsidR="007449FF" w:rsidRPr="007449FF" w:rsidRDefault="007449FF" w:rsidP="007449FF">
      <w:pPr>
        <w:ind w:firstLine="708"/>
        <w:jc w:val="both"/>
        <w:rPr>
          <w:rFonts w:ascii="Abadi" w:hAnsi="Abadi" w:cs="Arial"/>
          <w:b/>
          <w:bCs/>
          <w:sz w:val="21"/>
          <w:szCs w:val="21"/>
          <w:lang w:val="es-MX" w:eastAsia="x-none"/>
        </w:rPr>
      </w:pPr>
      <w:r w:rsidRPr="007449FF">
        <w:rPr>
          <w:rFonts w:ascii="Abadi" w:hAnsi="Abadi" w:cs="Arial"/>
          <w:b/>
          <w:bCs/>
          <w:sz w:val="21"/>
          <w:szCs w:val="21"/>
          <w:lang w:val="es-MX" w:eastAsia="x-none"/>
        </w:rPr>
        <w:t>II. Antecedentes:</w:t>
      </w:r>
    </w:p>
    <w:p w14:paraId="0D599712" w14:textId="77777777" w:rsidR="007449FF" w:rsidRPr="007449FF" w:rsidRDefault="007449FF" w:rsidP="007449FF">
      <w:pPr>
        <w:ind w:firstLine="708"/>
        <w:jc w:val="both"/>
        <w:rPr>
          <w:rFonts w:ascii="Abadi" w:hAnsi="Abadi" w:cs="Arial"/>
          <w:sz w:val="21"/>
          <w:szCs w:val="21"/>
          <w:lang w:val="es-MX" w:eastAsia="x-none"/>
        </w:rPr>
      </w:pPr>
    </w:p>
    <w:p w14:paraId="4105480F"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7449FF">
          <w:rPr>
            <w:rFonts w:ascii="Abadi" w:hAnsi="Abadi" w:cs="Arial"/>
            <w:sz w:val="21"/>
            <w:szCs w:val="21"/>
            <w:lang w:val="es-MX" w:eastAsia="x-none"/>
          </w:rPr>
          <w:t>la Constitución Política</w:t>
        </w:r>
      </w:smartTag>
      <w:r w:rsidRPr="007449FF">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02AA3BF9" w14:textId="77777777" w:rsidR="007449FF" w:rsidRPr="007449FF" w:rsidRDefault="007449FF" w:rsidP="007449FF">
      <w:pPr>
        <w:ind w:firstLine="708"/>
        <w:jc w:val="both"/>
        <w:rPr>
          <w:rFonts w:ascii="Abadi" w:hAnsi="Abadi" w:cs="Arial"/>
          <w:sz w:val="21"/>
          <w:szCs w:val="21"/>
          <w:lang w:val="es-MX" w:eastAsia="x-none"/>
        </w:rPr>
      </w:pPr>
    </w:p>
    <w:p w14:paraId="57CB6EBC"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Por su parte, el artículo 66 de la Constitución Política Local, establece que los sujetos de fiscalización presentarán al Congreso del Estado los informes financieros y su cuenta pública con la periodicidad, forma y términos que establezca la Ley.</w:t>
      </w:r>
    </w:p>
    <w:p w14:paraId="326413BE" w14:textId="77777777" w:rsidR="007449FF" w:rsidRPr="007449FF" w:rsidRDefault="007449FF" w:rsidP="007449FF">
      <w:pPr>
        <w:ind w:firstLine="708"/>
        <w:jc w:val="both"/>
        <w:rPr>
          <w:rFonts w:ascii="Abadi" w:hAnsi="Abadi" w:cs="Arial"/>
          <w:sz w:val="21"/>
          <w:szCs w:val="21"/>
          <w:lang w:val="es-MX" w:eastAsia="x-none"/>
        </w:rPr>
      </w:pPr>
    </w:p>
    <w:p w14:paraId="44562AA7"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 xml:space="preserve">La fracción III del artículo 3 de </w:t>
      </w:r>
      <w:smartTag w:uri="urn:schemas-microsoft-com:office:smarttags" w:element="PersonName">
        <w:smartTagPr>
          <w:attr w:name="ProductID" w:val="la Ley"/>
        </w:smartTagPr>
        <w:r w:rsidRPr="007449FF">
          <w:rPr>
            <w:rFonts w:ascii="Abadi" w:hAnsi="Abadi" w:cs="Arial"/>
            <w:sz w:val="21"/>
            <w:szCs w:val="21"/>
            <w:lang w:val="es-MX" w:eastAsia="x-none"/>
          </w:rPr>
          <w:t>la Ley</w:t>
        </w:r>
      </w:smartTag>
      <w:r w:rsidRPr="007449FF">
        <w:rPr>
          <w:rFonts w:ascii="Abadi" w:hAnsi="Abadi" w:cs="Arial"/>
          <w:sz w:val="21"/>
          <w:szCs w:val="21"/>
          <w:lang w:val="es-MX" w:eastAsia="x-none"/>
        </w:rPr>
        <w:t xml:space="preserve"> de Fiscalización Superior del Estado de Guanajuato señala que la Auditoría Superior del Estado será competente para fiscalizar la gestión financiera de los sujetos de fiscalización, a través de sus cuentas públicas.</w:t>
      </w:r>
    </w:p>
    <w:p w14:paraId="38AF1F36" w14:textId="77777777" w:rsidR="007449FF" w:rsidRPr="007449FF" w:rsidRDefault="007449FF" w:rsidP="007449FF">
      <w:pPr>
        <w:ind w:firstLine="708"/>
        <w:jc w:val="both"/>
        <w:rPr>
          <w:rFonts w:ascii="Abadi" w:hAnsi="Abadi" w:cs="Arial"/>
          <w:sz w:val="21"/>
          <w:szCs w:val="21"/>
          <w:lang w:val="es-MX" w:eastAsia="x-none"/>
        </w:rPr>
      </w:pPr>
    </w:p>
    <w:p w14:paraId="314D2C97"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78B46BC0" w14:textId="77777777" w:rsidR="007449FF" w:rsidRPr="007449FF" w:rsidRDefault="007449FF" w:rsidP="007449FF">
      <w:pPr>
        <w:ind w:firstLine="708"/>
        <w:jc w:val="both"/>
        <w:rPr>
          <w:rFonts w:ascii="Abadi" w:hAnsi="Abadi" w:cs="Arial"/>
          <w:sz w:val="21"/>
          <w:szCs w:val="21"/>
          <w:lang w:val="es-MX" w:eastAsia="x-none"/>
        </w:rPr>
      </w:pPr>
    </w:p>
    <w:p w14:paraId="3C96AF38"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No será impedimento para que la Auditoría Superior del Estado realice la función de fiscalización, si la cuenta pública no está presentada y disponible en los plazos y requisitos señalados en la ley.</w:t>
      </w:r>
    </w:p>
    <w:p w14:paraId="7BCCC497" w14:textId="77777777" w:rsidR="007449FF" w:rsidRPr="007449FF" w:rsidRDefault="007449FF" w:rsidP="007449FF">
      <w:pPr>
        <w:ind w:firstLine="708"/>
        <w:jc w:val="both"/>
        <w:rPr>
          <w:rFonts w:ascii="Abadi" w:hAnsi="Abadi" w:cs="Arial"/>
          <w:sz w:val="21"/>
          <w:szCs w:val="21"/>
          <w:lang w:val="es-MX" w:eastAsia="x-none"/>
        </w:rPr>
      </w:pPr>
    </w:p>
    <w:p w14:paraId="19248AD4" w14:textId="6946FDD5" w:rsid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7449FF">
          <w:rPr>
            <w:rFonts w:ascii="Abadi" w:hAnsi="Abadi" w:cs="Arial"/>
            <w:sz w:val="21"/>
            <w:szCs w:val="21"/>
            <w:lang w:val="es-MX" w:eastAsia="x-none"/>
          </w:rPr>
          <w:t>la Ley Orgánica</w:t>
        </w:r>
      </w:smartTag>
      <w:r w:rsidRPr="007449FF">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6384C2F9" w14:textId="77777777" w:rsidR="007449FF" w:rsidRPr="007449FF" w:rsidRDefault="007449FF" w:rsidP="007449FF">
      <w:pPr>
        <w:ind w:firstLine="708"/>
        <w:jc w:val="both"/>
        <w:rPr>
          <w:rFonts w:ascii="Abadi" w:hAnsi="Abadi" w:cs="Arial"/>
          <w:sz w:val="21"/>
          <w:szCs w:val="21"/>
          <w:lang w:val="es-MX" w:eastAsia="x-none"/>
        </w:rPr>
      </w:pPr>
    </w:p>
    <w:p w14:paraId="29EEB95D" w14:textId="77777777" w:rsidR="007449FF" w:rsidRPr="007449FF" w:rsidRDefault="007449FF" w:rsidP="007449FF">
      <w:pPr>
        <w:ind w:right="60" w:firstLine="709"/>
        <w:jc w:val="both"/>
        <w:rPr>
          <w:rFonts w:ascii="Abadi" w:hAnsi="Abadi" w:cs="Arial"/>
          <w:sz w:val="21"/>
          <w:szCs w:val="21"/>
          <w:lang w:val="es-MX" w:eastAsia="x-none"/>
        </w:rPr>
      </w:pPr>
      <w:r w:rsidRPr="007449FF">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4649F02A" w14:textId="77777777" w:rsidR="007449FF" w:rsidRPr="007449FF" w:rsidRDefault="007449FF" w:rsidP="007449FF">
      <w:pPr>
        <w:ind w:right="58" w:firstLine="709"/>
        <w:jc w:val="both"/>
        <w:rPr>
          <w:rFonts w:ascii="Abadi" w:eastAsia="DejaVu Sans" w:hAnsi="Abadi" w:cs="Tahoma"/>
          <w:iCs/>
          <w:kern w:val="1"/>
          <w:sz w:val="21"/>
          <w:szCs w:val="21"/>
          <w:lang w:eastAsia="ar-SA"/>
        </w:rPr>
      </w:pPr>
    </w:p>
    <w:p w14:paraId="1D8F4AC2"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1D33C39A" w14:textId="77777777" w:rsidR="007449FF" w:rsidRPr="007449FF" w:rsidRDefault="007449FF" w:rsidP="007449FF">
      <w:pPr>
        <w:ind w:firstLine="708"/>
        <w:jc w:val="both"/>
        <w:rPr>
          <w:rFonts w:ascii="Abadi" w:hAnsi="Abadi" w:cs="Arial"/>
          <w:sz w:val="21"/>
          <w:szCs w:val="21"/>
          <w:lang w:val="es-MX" w:eastAsia="x-none"/>
        </w:rPr>
      </w:pPr>
    </w:p>
    <w:p w14:paraId="65E3BD97"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6CED311B" w14:textId="77777777" w:rsidR="007449FF" w:rsidRPr="007449FF" w:rsidRDefault="007449FF" w:rsidP="007449FF">
      <w:pPr>
        <w:ind w:firstLine="708"/>
        <w:jc w:val="both"/>
        <w:rPr>
          <w:rFonts w:ascii="Abadi" w:hAnsi="Abadi" w:cs="Arial"/>
          <w:sz w:val="21"/>
          <w:szCs w:val="21"/>
          <w:lang w:val="es-MX" w:eastAsia="x-none"/>
        </w:rPr>
      </w:pPr>
    </w:p>
    <w:p w14:paraId="6281BE2F" w14:textId="77777777" w:rsidR="007449FF" w:rsidRPr="007449FF" w:rsidRDefault="007449FF" w:rsidP="007449FF">
      <w:pPr>
        <w:ind w:right="60" w:firstLine="709"/>
        <w:jc w:val="both"/>
        <w:rPr>
          <w:rFonts w:ascii="Abadi" w:hAnsi="Abadi" w:cs="Arial"/>
          <w:sz w:val="21"/>
          <w:szCs w:val="21"/>
          <w:lang w:val="es-MX" w:eastAsia="x-none"/>
        </w:rPr>
      </w:pPr>
      <w:r w:rsidRPr="007449FF">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266A0823" w14:textId="77777777" w:rsidR="007449FF" w:rsidRPr="007449FF" w:rsidRDefault="007449FF" w:rsidP="007449FF">
      <w:pPr>
        <w:ind w:firstLine="708"/>
        <w:jc w:val="both"/>
        <w:rPr>
          <w:rFonts w:ascii="Abadi" w:hAnsi="Abadi" w:cs="Arial"/>
          <w:sz w:val="21"/>
          <w:szCs w:val="21"/>
          <w:lang w:eastAsia="x-none"/>
        </w:rPr>
      </w:pPr>
    </w:p>
    <w:p w14:paraId="4CC6F23E"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074811F6" w14:textId="77777777" w:rsidR="007449FF" w:rsidRPr="007449FF" w:rsidRDefault="007449FF" w:rsidP="007449FF">
      <w:pPr>
        <w:ind w:firstLine="708"/>
        <w:jc w:val="both"/>
        <w:rPr>
          <w:rFonts w:ascii="Abadi" w:hAnsi="Abadi" w:cs="Arial"/>
          <w:sz w:val="21"/>
          <w:szCs w:val="21"/>
          <w:lang w:val="es-MX" w:eastAsia="x-none"/>
        </w:rPr>
      </w:pPr>
    </w:p>
    <w:p w14:paraId="72E5D13F" w14:textId="77777777" w:rsidR="007449FF" w:rsidRPr="007449FF" w:rsidRDefault="007449FF" w:rsidP="007449FF">
      <w:pPr>
        <w:tabs>
          <w:tab w:val="left" w:pos="709"/>
        </w:tabs>
        <w:jc w:val="both"/>
        <w:rPr>
          <w:rFonts w:ascii="Abadi" w:hAnsi="Abadi" w:cs="Arial"/>
          <w:sz w:val="21"/>
          <w:szCs w:val="21"/>
          <w:lang w:val="es-MX" w:eastAsia="x-none"/>
        </w:rPr>
      </w:pPr>
      <w:r w:rsidRPr="007449FF">
        <w:rPr>
          <w:rFonts w:ascii="Abadi" w:hAnsi="Abadi" w:cs="Arial"/>
          <w:sz w:val="21"/>
          <w:szCs w:val="21"/>
        </w:rPr>
        <w:tab/>
        <w:t xml:space="preserve">El citado artículo también refiere </w:t>
      </w:r>
      <w:r w:rsidRPr="007449FF">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759957A4" w14:textId="77777777" w:rsidR="007449FF" w:rsidRPr="007449FF" w:rsidRDefault="007449FF" w:rsidP="007449FF">
      <w:pPr>
        <w:tabs>
          <w:tab w:val="left" w:pos="709"/>
        </w:tabs>
        <w:jc w:val="both"/>
        <w:rPr>
          <w:rFonts w:ascii="Abadi" w:hAnsi="Abadi" w:cs="Arial"/>
          <w:sz w:val="21"/>
          <w:szCs w:val="21"/>
          <w:lang w:val="es-MX" w:eastAsia="x-none"/>
        </w:rPr>
      </w:pPr>
      <w:r w:rsidRPr="007449FF">
        <w:rPr>
          <w:rFonts w:ascii="Abadi" w:hAnsi="Abadi" w:cs="Arial"/>
          <w:sz w:val="21"/>
          <w:szCs w:val="21"/>
          <w:lang w:val="es-MX" w:eastAsia="x-none"/>
        </w:rPr>
        <w:tab/>
        <w:t xml:space="preserve">En términos del numeral 23 de la </w:t>
      </w:r>
      <w:r w:rsidRPr="007449FF">
        <w:rPr>
          <w:rFonts w:ascii="Abadi" w:hAnsi="Abadi" w:cs="Arial"/>
          <w:sz w:val="21"/>
          <w:szCs w:val="21"/>
        </w:rPr>
        <w:t>Ley de Fiscalización Superior del Estado de Guanajuato, p</w:t>
      </w:r>
      <w:r w:rsidRPr="007449FF">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16C4353A" w14:textId="77777777" w:rsidR="007449FF" w:rsidRPr="007449FF" w:rsidRDefault="007449FF" w:rsidP="007449FF">
      <w:pPr>
        <w:tabs>
          <w:tab w:val="left" w:pos="709"/>
        </w:tabs>
        <w:jc w:val="both"/>
        <w:rPr>
          <w:rFonts w:ascii="Abadi" w:hAnsi="Abadi" w:cs="Arial"/>
          <w:sz w:val="21"/>
          <w:szCs w:val="21"/>
          <w:lang w:val="es-MX" w:eastAsia="x-none"/>
        </w:rPr>
      </w:pPr>
    </w:p>
    <w:p w14:paraId="003AB549"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6749625F" w14:textId="77777777" w:rsidR="007449FF" w:rsidRPr="007449FF" w:rsidRDefault="007449FF" w:rsidP="007449FF">
      <w:pPr>
        <w:ind w:firstLine="708"/>
        <w:jc w:val="both"/>
        <w:rPr>
          <w:rFonts w:ascii="Abadi" w:hAnsi="Abadi" w:cs="Arial"/>
          <w:sz w:val="21"/>
          <w:szCs w:val="21"/>
          <w:lang w:val="es-MX" w:eastAsia="x-none"/>
        </w:rPr>
      </w:pPr>
    </w:p>
    <w:p w14:paraId="054FC0D7"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En cumplimiento a los citados preceptos, en su oportunidad se remitió a este Congreso del Estado, la cuenta pública municipal de San José Iturbide, Gto., correspondiente al ejercicio fiscal del año 2020, turnándose a la Auditoría Superior del Estado para su revisión.</w:t>
      </w:r>
    </w:p>
    <w:p w14:paraId="5FA5B04D" w14:textId="77777777" w:rsidR="007449FF" w:rsidRPr="007449FF" w:rsidRDefault="007449FF" w:rsidP="007449FF">
      <w:pPr>
        <w:ind w:firstLine="708"/>
        <w:jc w:val="both"/>
        <w:rPr>
          <w:rFonts w:ascii="Abadi" w:hAnsi="Abadi" w:cs="Arial"/>
          <w:sz w:val="21"/>
          <w:szCs w:val="21"/>
          <w:lang w:val="es-MX" w:eastAsia="x-none"/>
        </w:rPr>
      </w:pPr>
    </w:p>
    <w:p w14:paraId="72695CA7" w14:textId="77777777" w:rsidR="007449FF" w:rsidRPr="007449FF" w:rsidRDefault="007449FF" w:rsidP="007449FF">
      <w:pPr>
        <w:ind w:firstLine="708"/>
        <w:jc w:val="both"/>
        <w:rPr>
          <w:rFonts w:ascii="Abadi" w:hAnsi="Abadi" w:cs="Arial"/>
          <w:sz w:val="21"/>
          <w:szCs w:val="21"/>
          <w:lang w:eastAsia="x-none"/>
        </w:rPr>
      </w:pPr>
      <w:r w:rsidRPr="007449FF">
        <w:rPr>
          <w:rFonts w:ascii="Abadi" w:hAnsi="Abadi" w:cs="Arial"/>
          <w:sz w:val="21"/>
          <w:szCs w:val="21"/>
          <w:lang w:eastAsia="x-none"/>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4F1454F9" w14:textId="77777777" w:rsidR="007449FF" w:rsidRPr="007449FF" w:rsidRDefault="007449FF" w:rsidP="007449FF">
      <w:pPr>
        <w:ind w:firstLine="708"/>
        <w:jc w:val="both"/>
        <w:rPr>
          <w:rFonts w:ascii="Abadi" w:hAnsi="Abadi" w:cs="Arial"/>
          <w:sz w:val="21"/>
          <w:szCs w:val="21"/>
          <w:lang w:val="es-MX" w:eastAsia="x-none"/>
        </w:rPr>
      </w:pPr>
    </w:p>
    <w:p w14:paraId="5A0CBA49"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En ejercicio de esta función, el Auditor Superior del Estado aprobó el Programa General de Fiscalización 2021. En dicho Programa se contempló la revisión de la cuenta pública municipal de San José Iturbide, Gto., correspondiente al ejercicio fiscal del año 2020.</w:t>
      </w:r>
    </w:p>
    <w:p w14:paraId="35535697" w14:textId="77777777" w:rsidR="007449FF" w:rsidRPr="007449FF" w:rsidRDefault="007449FF" w:rsidP="007449FF">
      <w:pPr>
        <w:ind w:firstLine="708"/>
        <w:jc w:val="both"/>
        <w:rPr>
          <w:rFonts w:ascii="Abadi" w:hAnsi="Abadi" w:cs="Arial"/>
          <w:sz w:val="21"/>
          <w:szCs w:val="21"/>
          <w:lang w:val="es-MX" w:eastAsia="x-none"/>
        </w:rPr>
      </w:pPr>
    </w:p>
    <w:p w14:paraId="592DB10D" w14:textId="77777777" w:rsidR="007449FF" w:rsidRPr="007449FF" w:rsidRDefault="007449FF" w:rsidP="007449FF">
      <w:pPr>
        <w:ind w:firstLine="708"/>
        <w:jc w:val="both"/>
        <w:rPr>
          <w:rFonts w:ascii="Abadi" w:hAnsi="Abadi" w:cs="Arial"/>
          <w:bCs/>
          <w:sz w:val="21"/>
          <w:szCs w:val="21"/>
          <w:lang w:val="es-MX" w:eastAsia="x-none"/>
        </w:rPr>
      </w:pPr>
      <w:r w:rsidRPr="007449FF">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7449FF">
        <w:rPr>
          <w:rFonts w:ascii="Abadi" w:hAnsi="Abadi" w:cs="Arial"/>
          <w:bCs/>
          <w:sz w:val="21"/>
          <w:szCs w:val="21"/>
          <w:lang w:val="es-MX" w:eastAsia="x-none"/>
        </w:rPr>
        <w:t>el 5 de mayo de 2022 para su estudio y dictamen, siendo radicado el 12 de mayo del año en curso.</w:t>
      </w:r>
    </w:p>
    <w:p w14:paraId="48EE2387" w14:textId="77777777" w:rsidR="007449FF" w:rsidRPr="007449FF" w:rsidRDefault="007449FF" w:rsidP="007449FF">
      <w:pPr>
        <w:ind w:firstLine="708"/>
        <w:jc w:val="both"/>
        <w:rPr>
          <w:rFonts w:ascii="Abadi" w:hAnsi="Abadi" w:cs="Arial"/>
          <w:bCs/>
          <w:sz w:val="21"/>
          <w:szCs w:val="21"/>
          <w:lang w:val="es-MX" w:eastAsia="x-none"/>
        </w:rPr>
      </w:pPr>
    </w:p>
    <w:p w14:paraId="72D5C9C8" w14:textId="77777777" w:rsidR="007449FF" w:rsidRPr="007449FF" w:rsidRDefault="007449FF" w:rsidP="007449FF">
      <w:pPr>
        <w:ind w:firstLine="708"/>
        <w:jc w:val="both"/>
        <w:rPr>
          <w:rFonts w:ascii="Abadi" w:hAnsi="Abadi" w:cs="Arial"/>
          <w:sz w:val="21"/>
          <w:szCs w:val="21"/>
          <w:lang w:val="es-MX" w:eastAsia="x-none"/>
        </w:rPr>
      </w:pPr>
    </w:p>
    <w:p w14:paraId="0EAAF266" w14:textId="77777777" w:rsidR="007449FF" w:rsidRPr="007449FF" w:rsidRDefault="007449FF" w:rsidP="007449FF">
      <w:pPr>
        <w:ind w:firstLine="708"/>
        <w:jc w:val="both"/>
        <w:rPr>
          <w:rFonts w:ascii="Abadi" w:hAnsi="Abadi" w:cs="Arial"/>
          <w:b/>
          <w:bCs/>
          <w:sz w:val="21"/>
          <w:szCs w:val="21"/>
          <w:lang w:val="es-MX" w:eastAsia="x-none"/>
        </w:rPr>
      </w:pPr>
      <w:r w:rsidRPr="007449FF">
        <w:rPr>
          <w:rFonts w:ascii="Abadi" w:hAnsi="Abadi" w:cs="Arial"/>
          <w:b/>
          <w:bCs/>
          <w:sz w:val="21"/>
          <w:szCs w:val="21"/>
          <w:lang w:val="es-MX" w:eastAsia="x-none"/>
        </w:rPr>
        <w:t>III. Procedimiento de Revisión:</w:t>
      </w:r>
    </w:p>
    <w:p w14:paraId="4F21E688" w14:textId="77777777" w:rsidR="007449FF" w:rsidRPr="007449FF" w:rsidRDefault="007449FF" w:rsidP="007449FF">
      <w:pPr>
        <w:ind w:firstLine="708"/>
        <w:jc w:val="both"/>
        <w:rPr>
          <w:rFonts w:ascii="Abadi" w:hAnsi="Abadi" w:cs="Arial"/>
          <w:sz w:val="21"/>
          <w:szCs w:val="21"/>
          <w:lang w:val="es-MX" w:eastAsia="x-none"/>
        </w:rPr>
      </w:pPr>
    </w:p>
    <w:p w14:paraId="6295C114"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La revisión de la cuenta pública municipal de San José Iturbide, Gto.,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261CF5A8" w14:textId="77777777" w:rsidR="007449FF" w:rsidRPr="007449FF" w:rsidRDefault="007449FF" w:rsidP="007449FF">
      <w:pPr>
        <w:ind w:firstLine="708"/>
        <w:jc w:val="both"/>
        <w:rPr>
          <w:rFonts w:ascii="Abadi" w:hAnsi="Abadi" w:cs="Arial"/>
          <w:sz w:val="21"/>
          <w:szCs w:val="21"/>
          <w:lang w:eastAsia="x-none"/>
        </w:rPr>
      </w:pPr>
    </w:p>
    <w:p w14:paraId="4008FC42"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33C23BBB" w14:textId="77777777" w:rsidR="007449FF" w:rsidRPr="007449FF" w:rsidRDefault="007449FF" w:rsidP="007449FF">
      <w:pPr>
        <w:ind w:firstLine="708"/>
        <w:jc w:val="both"/>
        <w:rPr>
          <w:rFonts w:ascii="Abadi" w:hAnsi="Abadi" w:cs="Arial"/>
          <w:sz w:val="21"/>
          <w:szCs w:val="21"/>
          <w:lang w:val="es-MX" w:eastAsia="x-none"/>
        </w:rPr>
      </w:pPr>
    </w:p>
    <w:p w14:paraId="3D7A40E9"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4FA4BD02" w14:textId="77777777" w:rsidR="007449FF" w:rsidRPr="007449FF" w:rsidRDefault="007449FF" w:rsidP="007449FF">
      <w:pPr>
        <w:jc w:val="both"/>
        <w:rPr>
          <w:rFonts w:ascii="Abadi" w:hAnsi="Abadi" w:cs="Arial"/>
          <w:sz w:val="21"/>
          <w:szCs w:val="21"/>
          <w:lang w:val="es-MX" w:eastAsia="x-none"/>
        </w:rPr>
      </w:pPr>
    </w:p>
    <w:p w14:paraId="7DF3C6DF"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0C214E5A" w14:textId="77777777" w:rsidR="007449FF" w:rsidRPr="007449FF" w:rsidRDefault="007449FF" w:rsidP="007449FF">
      <w:pPr>
        <w:ind w:firstLine="708"/>
        <w:jc w:val="both"/>
        <w:rPr>
          <w:rFonts w:ascii="Abadi" w:hAnsi="Abadi" w:cs="Arial"/>
          <w:sz w:val="21"/>
          <w:szCs w:val="21"/>
          <w:lang w:val="es-MX" w:eastAsia="x-none"/>
        </w:rPr>
      </w:pPr>
    </w:p>
    <w:p w14:paraId="74C7978D" w14:textId="77777777" w:rsidR="007449FF" w:rsidRPr="007449FF" w:rsidRDefault="007449FF" w:rsidP="007449FF">
      <w:pPr>
        <w:ind w:firstLine="705"/>
        <w:jc w:val="both"/>
        <w:rPr>
          <w:rFonts w:ascii="Abadi" w:hAnsi="Abadi" w:cs="Arial"/>
          <w:sz w:val="21"/>
          <w:szCs w:val="21"/>
          <w:lang w:val="es-MX" w:eastAsia="x-none"/>
        </w:rPr>
      </w:pPr>
      <w:r w:rsidRPr="007449FF">
        <w:rPr>
          <w:rFonts w:ascii="Abadi" w:hAnsi="Abadi" w:cs="Arial"/>
          <w:sz w:val="21"/>
          <w:szCs w:val="21"/>
          <w:lang w:val="es-MX" w:eastAsia="x-none"/>
        </w:rPr>
        <w:t>El informe de resultados establece que se practicó la revisión de la cuenta pública respecto de las operaciones realizadas por la administración municipal de San José Iturbide, Gto., correspondientes al ejercicio fiscal 2020, en lo referente a los apartados de ingresos y egresos.</w:t>
      </w:r>
    </w:p>
    <w:p w14:paraId="280DF9A8" w14:textId="77777777" w:rsidR="007449FF" w:rsidRPr="007449FF" w:rsidRDefault="007449FF" w:rsidP="007449FF">
      <w:pPr>
        <w:ind w:firstLine="705"/>
        <w:jc w:val="both"/>
        <w:rPr>
          <w:rFonts w:ascii="Abadi" w:hAnsi="Abadi" w:cs="Arial"/>
          <w:sz w:val="21"/>
          <w:szCs w:val="21"/>
          <w:lang w:val="es-MX" w:eastAsia="x-none"/>
        </w:rPr>
      </w:pPr>
    </w:p>
    <w:p w14:paraId="3B2F5834" w14:textId="77777777" w:rsidR="007449FF" w:rsidRPr="007449FF" w:rsidRDefault="007449FF" w:rsidP="007449FF">
      <w:pPr>
        <w:autoSpaceDE w:val="0"/>
        <w:autoSpaceDN w:val="0"/>
        <w:adjustRightInd w:val="0"/>
        <w:ind w:firstLine="708"/>
        <w:jc w:val="both"/>
        <w:rPr>
          <w:rFonts w:ascii="Abadi" w:hAnsi="Abadi" w:cs="Arial"/>
          <w:sz w:val="21"/>
          <w:szCs w:val="21"/>
          <w:lang w:val="es-MX" w:eastAsia="x-none"/>
        </w:rPr>
      </w:pPr>
      <w:r w:rsidRPr="007449FF">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74DBBC95" w14:textId="77777777" w:rsidR="007449FF" w:rsidRPr="007449FF" w:rsidRDefault="007449FF" w:rsidP="007449FF">
      <w:pPr>
        <w:jc w:val="both"/>
        <w:rPr>
          <w:rFonts w:ascii="Abadi" w:hAnsi="Abadi" w:cs="Arial"/>
          <w:sz w:val="21"/>
          <w:szCs w:val="21"/>
          <w:lang w:val="es-MX" w:eastAsia="x-none"/>
        </w:rPr>
      </w:pPr>
    </w:p>
    <w:p w14:paraId="2CDEA727"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74BF42EE" w14:textId="77777777" w:rsidR="007449FF" w:rsidRPr="007449FF" w:rsidRDefault="007449FF" w:rsidP="007449FF">
      <w:pPr>
        <w:ind w:firstLine="708"/>
        <w:jc w:val="both"/>
        <w:rPr>
          <w:rFonts w:ascii="Abadi" w:hAnsi="Abadi" w:cs="Arial"/>
          <w:sz w:val="21"/>
          <w:szCs w:val="21"/>
          <w:lang w:val="es-MX" w:eastAsia="x-none"/>
        </w:rPr>
      </w:pPr>
    </w:p>
    <w:p w14:paraId="68779467" w14:textId="77777777" w:rsidR="007449FF" w:rsidRPr="007449FF" w:rsidRDefault="007449FF" w:rsidP="007449FF">
      <w:pPr>
        <w:ind w:firstLine="708"/>
        <w:jc w:val="both"/>
        <w:rPr>
          <w:rFonts w:ascii="Abadi" w:hAnsi="Abadi" w:cs="Arial"/>
          <w:sz w:val="21"/>
          <w:szCs w:val="21"/>
        </w:rPr>
      </w:pPr>
      <w:r w:rsidRPr="007449FF">
        <w:rPr>
          <w:rFonts w:ascii="Abadi" w:hAnsi="Abadi" w:cs="Arial"/>
          <w:sz w:val="21"/>
          <w:szCs w:val="21"/>
        </w:rPr>
        <w:t>El 18 de agosto de 2021 se notificó al presidente municipal de San José Iturbide, Gto., la orden de inicio del procedimiento de revisión de la cuenta pública.</w:t>
      </w:r>
    </w:p>
    <w:p w14:paraId="4E851BA5" w14:textId="77777777" w:rsidR="007449FF" w:rsidRPr="007449FF" w:rsidRDefault="007449FF" w:rsidP="007449FF">
      <w:pPr>
        <w:ind w:firstLine="708"/>
        <w:jc w:val="both"/>
        <w:rPr>
          <w:rFonts w:ascii="Abadi" w:hAnsi="Abadi" w:cs="Arial"/>
          <w:sz w:val="21"/>
          <w:szCs w:val="21"/>
        </w:rPr>
      </w:pPr>
    </w:p>
    <w:p w14:paraId="638255D1" w14:textId="77777777" w:rsidR="007449FF" w:rsidRPr="007449FF" w:rsidRDefault="007449FF" w:rsidP="007449FF">
      <w:pPr>
        <w:ind w:firstLine="708"/>
        <w:jc w:val="both"/>
        <w:rPr>
          <w:rFonts w:ascii="Abadi" w:hAnsi="Abadi" w:cs="Arial"/>
          <w:sz w:val="21"/>
          <w:szCs w:val="21"/>
        </w:rPr>
      </w:pPr>
      <w:r w:rsidRPr="007449FF">
        <w:rPr>
          <w:rFonts w:ascii="Abadi" w:hAnsi="Abadi" w:cs="Arial"/>
          <w:sz w:val="21"/>
          <w:szCs w:val="21"/>
        </w:rPr>
        <w:t>Posteriormente, en fechas 3 y 6 de diciembre de 2021, 5 y 10 de enero de 2022, se notificó a la presidenta y al ex-presidente municipales de San José Iturbide, Gto., la suspensión del plazo de la revisión materia del presente dictamen, de conformidad con lo establecido en los Acuerdos de Suspensión de Plazos publicados en el Periódico Oficial del Gobierno del Estado de Guanajuato los días 19 de noviembre y 17 de diciembre de 2021.</w:t>
      </w:r>
    </w:p>
    <w:p w14:paraId="1A231AB4" w14:textId="77777777" w:rsidR="007449FF" w:rsidRPr="007449FF" w:rsidRDefault="007449FF" w:rsidP="007449FF">
      <w:pPr>
        <w:ind w:firstLine="708"/>
        <w:jc w:val="both"/>
        <w:rPr>
          <w:rFonts w:ascii="Abadi" w:hAnsi="Abadi" w:cs="Arial"/>
          <w:sz w:val="21"/>
          <w:szCs w:val="21"/>
        </w:rPr>
      </w:pPr>
    </w:p>
    <w:p w14:paraId="4FC434D2" w14:textId="77777777" w:rsidR="007449FF" w:rsidRPr="007449FF" w:rsidRDefault="007449FF" w:rsidP="007449FF">
      <w:pPr>
        <w:ind w:firstLine="708"/>
        <w:jc w:val="both"/>
        <w:rPr>
          <w:rFonts w:ascii="Abadi" w:hAnsi="Abadi" w:cs="Arial"/>
          <w:sz w:val="21"/>
          <w:szCs w:val="21"/>
        </w:rPr>
      </w:pPr>
      <w:r w:rsidRPr="007449FF">
        <w:rPr>
          <w:rFonts w:ascii="Abadi" w:hAnsi="Abadi" w:cs="Arial"/>
          <w:sz w:val="21"/>
          <w:szCs w:val="21"/>
        </w:rPr>
        <w:t>Los días 1 y 3 de febrero de 2022, se notificó al ex-presidente y a la presidenta municipales de San José Iturbide, Gto., el pliego de observaciones y recomendaciones derivado de la revisión practicada a la cuenta pública municipal de San José Iturbide, Gto., correspondiente al ejercicio fiscal del año 2020, al cual se dio respuesta el 22 de febrero de 2022 por parte del ex-presidente municipal de San José Iturbide, Gto.</w:t>
      </w:r>
    </w:p>
    <w:p w14:paraId="352B366E" w14:textId="77777777" w:rsidR="007449FF" w:rsidRPr="007449FF" w:rsidRDefault="007449FF" w:rsidP="007449FF">
      <w:pPr>
        <w:ind w:firstLine="708"/>
        <w:jc w:val="both"/>
        <w:rPr>
          <w:rFonts w:ascii="Abadi" w:hAnsi="Abadi" w:cs="Arial"/>
          <w:sz w:val="21"/>
          <w:szCs w:val="21"/>
        </w:rPr>
      </w:pPr>
    </w:p>
    <w:p w14:paraId="625D1226" w14:textId="1B5EC72E"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 xml:space="preserve">El 29 de marzo de 2022, el informe de resultados se notificó a la presidenta y al ex-presidente municipales de San José Iturbide, Gto., para que, en su caso, hicieran valer el recurso de reconsideración previsto por los artículos del 48 al 55 de </w:t>
      </w:r>
      <w:smartTag w:uri="urn:schemas-microsoft-com:office:smarttags" w:element="PersonName">
        <w:smartTagPr>
          <w:attr w:name="ProductID" w:val="la Ley"/>
        </w:smartTagPr>
        <w:r w:rsidRPr="007449FF">
          <w:rPr>
            <w:rFonts w:ascii="Abadi" w:hAnsi="Abadi" w:cs="Arial"/>
            <w:sz w:val="21"/>
            <w:szCs w:val="21"/>
            <w:lang w:val="es-MX" w:eastAsia="x-none"/>
          </w:rPr>
          <w:t>la Ley</w:t>
        </w:r>
      </w:smartTag>
      <w:r w:rsidRPr="007449FF">
        <w:rPr>
          <w:rFonts w:ascii="Abadi" w:hAnsi="Abadi" w:cs="Arial"/>
          <w:sz w:val="21"/>
          <w:szCs w:val="21"/>
          <w:lang w:val="es-MX" w:eastAsia="x-none"/>
        </w:rPr>
        <w:t xml:space="preserve"> de Fiscalización Superior del Estado de Guanajuato, haciéndoles saber que contaban con un término de cinco días hábiles para tal efecto. Con lo anterior, se dio cumplimiento a la fracción IV del artículo 37 de la citada Ley.</w:t>
      </w:r>
    </w:p>
    <w:p w14:paraId="278E2D19" w14:textId="77777777" w:rsidR="007449FF" w:rsidRPr="007449FF" w:rsidRDefault="007449FF" w:rsidP="007449FF">
      <w:pPr>
        <w:ind w:firstLine="708"/>
        <w:jc w:val="both"/>
        <w:rPr>
          <w:rFonts w:ascii="Abadi" w:hAnsi="Abadi" w:cs="Arial"/>
          <w:sz w:val="21"/>
          <w:szCs w:val="21"/>
          <w:lang w:val="es-MX" w:eastAsia="x-none"/>
        </w:rPr>
      </w:pPr>
    </w:p>
    <w:p w14:paraId="1464E423"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 xml:space="preserve">El 4 de abril de 2022, dentro del plazo que prevé la fracción IV del artículo 37 de </w:t>
      </w:r>
      <w:smartTag w:uri="urn:schemas-microsoft-com:office:smarttags" w:element="PersonName">
        <w:smartTagPr>
          <w:attr w:name="ProductID" w:val="la Ley"/>
        </w:smartTagPr>
        <w:r w:rsidRPr="007449FF">
          <w:rPr>
            <w:rFonts w:ascii="Abadi" w:hAnsi="Abadi" w:cs="Arial"/>
            <w:sz w:val="21"/>
            <w:szCs w:val="21"/>
            <w:lang w:val="es-MX" w:eastAsia="x-none"/>
          </w:rPr>
          <w:t>la Ley</w:t>
        </w:r>
      </w:smartTag>
      <w:r w:rsidRPr="007449FF">
        <w:rPr>
          <w:rFonts w:ascii="Abadi" w:hAnsi="Abadi" w:cs="Arial"/>
          <w:sz w:val="21"/>
          <w:szCs w:val="21"/>
          <w:lang w:val="es-MX" w:eastAsia="x-none"/>
        </w:rPr>
        <w:t xml:space="preserve"> de Fiscalización Superior del Estado de Guanajuato, el ex-presidente municipal de San José Iturbide, Gto., interpuso recurso de reconsideración en contra del informe de resultados de la revisión practicada a la cuenta pública de dicho Municipio, correspondiente al ejercicio fiscal del año 2020, siendo admitido dicho recurso, al colmarse los requisitos de procedibilidad previstos por el artículo 51 de </w:t>
      </w:r>
      <w:smartTag w:uri="urn:schemas-microsoft-com:office:smarttags" w:element="PersonName">
        <w:smartTagPr>
          <w:attr w:name="ProductID" w:val="la Ley"/>
        </w:smartTagPr>
        <w:r w:rsidRPr="007449FF">
          <w:rPr>
            <w:rFonts w:ascii="Abadi" w:hAnsi="Abadi" w:cs="Arial"/>
            <w:sz w:val="21"/>
            <w:szCs w:val="21"/>
            <w:lang w:val="es-MX" w:eastAsia="x-none"/>
          </w:rPr>
          <w:t>la Ley</w:t>
        </w:r>
      </w:smartTag>
      <w:r w:rsidRPr="007449FF">
        <w:rPr>
          <w:rFonts w:ascii="Abadi" w:hAnsi="Abadi" w:cs="Arial"/>
          <w:sz w:val="21"/>
          <w:szCs w:val="21"/>
          <w:lang w:val="es-MX" w:eastAsia="x-none"/>
        </w:rPr>
        <w:t xml:space="preserve"> de Fiscalización Superior del Estado de Guanajuato.</w:t>
      </w:r>
    </w:p>
    <w:p w14:paraId="7D90D433" w14:textId="77777777" w:rsidR="007449FF" w:rsidRPr="007449FF" w:rsidRDefault="007449FF" w:rsidP="007449FF">
      <w:pPr>
        <w:ind w:firstLine="708"/>
        <w:jc w:val="both"/>
        <w:rPr>
          <w:rFonts w:ascii="Abadi" w:hAnsi="Abadi" w:cs="Arial"/>
          <w:sz w:val="21"/>
          <w:szCs w:val="21"/>
          <w:lang w:val="es-MX" w:eastAsia="x-none"/>
        </w:rPr>
      </w:pPr>
    </w:p>
    <w:p w14:paraId="38299F4A"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Una vez tramitado el recurso, el Auditor Superior el 22 de abril de 2022 emitió la resolución correspondiente, a la cual haremos referencia en un apartado posterior, misma que se notificó al ex-presidente municipal de San José Iturbide, Gto., el 28 de abril de 2022.</w:t>
      </w:r>
    </w:p>
    <w:p w14:paraId="2FD0AFFA" w14:textId="77777777" w:rsidR="007449FF" w:rsidRPr="007449FF" w:rsidRDefault="007449FF" w:rsidP="007449FF">
      <w:pPr>
        <w:ind w:firstLine="708"/>
        <w:jc w:val="both"/>
        <w:rPr>
          <w:rFonts w:ascii="Abadi" w:hAnsi="Abadi" w:cs="Arial"/>
          <w:sz w:val="21"/>
          <w:szCs w:val="21"/>
          <w:lang w:val="es-MX" w:eastAsia="x-none"/>
        </w:rPr>
      </w:pPr>
    </w:p>
    <w:p w14:paraId="73FBD858" w14:textId="77777777" w:rsidR="007449FF" w:rsidRPr="007449FF" w:rsidRDefault="007449FF" w:rsidP="007449FF">
      <w:pPr>
        <w:ind w:firstLine="708"/>
        <w:jc w:val="both"/>
        <w:rPr>
          <w:rFonts w:ascii="Abadi" w:hAnsi="Abadi" w:cs="Arial"/>
          <w:b/>
          <w:bCs/>
          <w:sz w:val="21"/>
          <w:szCs w:val="21"/>
          <w:lang w:eastAsia="x-none"/>
        </w:rPr>
      </w:pPr>
      <w:r w:rsidRPr="007449FF">
        <w:rPr>
          <w:rFonts w:ascii="Abadi" w:hAnsi="Abadi" w:cs="Arial"/>
          <w:b/>
          <w:bCs/>
          <w:sz w:val="21"/>
          <w:szCs w:val="21"/>
          <w:lang w:eastAsia="x-none"/>
        </w:rPr>
        <w:t>IV. Contenido del Informe de Resultados:</w:t>
      </w:r>
    </w:p>
    <w:p w14:paraId="1FA78F99" w14:textId="77777777" w:rsidR="007449FF" w:rsidRPr="007449FF" w:rsidRDefault="007449FF" w:rsidP="007449FF">
      <w:pPr>
        <w:jc w:val="both"/>
        <w:rPr>
          <w:rFonts w:ascii="Abadi" w:hAnsi="Abadi" w:cs="Arial"/>
          <w:b/>
          <w:bCs/>
          <w:sz w:val="21"/>
          <w:szCs w:val="21"/>
          <w:lang w:eastAsia="x-none"/>
        </w:rPr>
      </w:pPr>
    </w:p>
    <w:p w14:paraId="7A3C9C26" w14:textId="77777777" w:rsidR="007449FF" w:rsidRPr="007449FF" w:rsidRDefault="007449FF" w:rsidP="007449FF">
      <w:pPr>
        <w:jc w:val="both"/>
        <w:rPr>
          <w:rFonts w:ascii="Abadi" w:hAnsi="Abadi" w:cs="Arial"/>
          <w:sz w:val="21"/>
          <w:szCs w:val="21"/>
          <w:lang w:eastAsia="x-none"/>
        </w:rPr>
      </w:pPr>
      <w:r w:rsidRPr="007449FF">
        <w:rPr>
          <w:rFonts w:ascii="Abadi" w:hAnsi="Abadi" w:cs="Arial"/>
          <w:b/>
          <w:bCs/>
          <w:sz w:val="21"/>
          <w:szCs w:val="21"/>
          <w:lang w:eastAsia="x-none"/>
        </w:rPr>
        <w:tab/>
      </w:r>
      <w:r w:rsidRPr="007449FF">
        <w:rPr>
          <w:rFonts w:ascii="Abadi" w:hAnsi="Abadi" w:cs="Arial"/>
          <w:bCs/>
          <w:sz w:val="21"/>
          <w:szCs w:val="21"/>
          <w:lang w:eastAsia="x-none"/>
        </w:rPr>
        <w:t>En cumplimiento a lo establecido por el</w:t>
      </w:r>
      <w:r w:rsidRPr="007449FF">
        <w:rPr>
          <w:rFonts w:ascii="Abadi" w:hAnsi="Abadi" w:cs="Arial"/>
          <w:sz w:val="21"/>
          <w:szCs w:val="21"/>
          <w:lang w:eastAsia="x-none"/>
        </w:rPr>
        <w:t xml:space="preserve"> artículo 37, fracción III de la Ley de Fiscalización Superior del Estado, el informe de resultados contiene los siguientes apartados:</w:t>
      </w:r>
    </w:p>
    <w:p w14:paraId="023F4728" w14:textId="77777777" w:rsidR="007449FF" w:rsidRPr="007449FF" w:rsidRDefault="007449FF" w:rsidP="007449FF">
      <w:pPr>
        <w:jc w:val="both"/>
        <w:rPr>
          <w:rFonts w:ascii="Abadi" w:hAnsi="Abadi" w:cs="Arial"/>
          <w:sz w:val="21"/>
          <w:szCs w:val="21"/>
          <w:lang w:eastAsia="x-none"/>
        </w:rPr>
      </w:pPr>
    </w:p>
    <w:p w14:paraId="50998BFE" w14:textId="77777777" w:rsidR="007449FF" w:rsidRPr="007449FF" w:rsidRDefault="007449FF" w:rsidP="001A28E5">
      <w:pPr>
        <w:numPr>
          <w:ilvl w:val="0"/>
          <w:numId w:val="95"/>
        </w:numPr>
        <w:jc w:val="both"/>
        <w:rPr>
          <w:rFonts w:ascii="Abadi" w:hAnsi="Abadi" w:cs="Arial"/>
          <w:b/>
          <w:bCs/>
          <w:sz w:val="21"/>
          <w:szCs w:val="21"/>
          <w:lang w:eastAsia="x-none"/>
        </w:rPr>
      </w:pPr>
      <w:r w:rsidRPr="007449FF">
        <w:rPr>
          <w:rFonts w:ascii="Abadi" w:hAnsi="Abadi" w:cs="Arial"/>
          <w:b/>
          <w:bCs/>
          <w:sz w:val="21"/>
          <w:szCs w:val="21"/>
          <w:lang w:eastAsia="x-none"/>
        </w:rPr>
        <w:t>Introducción.</w:t>
      </w:r>
    </w:p>
    <w:p w14:paraId="2D9C6D89" w14:textId="77777777" w:rsidR="007449FF" w:rsidRPr="007449FF" w:rsidRDefault="007449FF" w:rsidP="007449FF">
      <w:pPr>
        <w:ind w:left="705"/>
        <w:jc w:val="both"/>
        <w:rPr>
          <w:rFonts w:ascii="Abadi" w:hAnsi="Abadi" w:cs="Arial"/>
          <w:b/>
          <w:bCs/>
          <w:sz w:val="21"/>
          <w:szCs w:val="21"/>
          <w:lang w:eastAsia="x-none"/>
        </w:rPr>
      </w:pPr>
    </w:p>
    <w:p w14:paraId="6522FE94" w14:textId="77777777" w:rsidR="007449FF" w:rsidRPr="007449FF" w:rsidRDefault="007449FF" w:rsidP="007449FF">
      <w:pPr>
        <w:ind w:firstLine="705"/>
        <w:jc w:val="both"/>
        <w:rPr>
          <w:rFonts w:ascii="Abadi" w:hAnsi="Abadi" w:cs="Arial"/>
          <w:sz w:val="21"/>
          <w:szCs w:val="21"/>
          <w:lang w:eastAsia="x-none"/>
        </w:rPr>
      </w:pPr>
      <w:r w:rsidRPr="007449FF">
        <w:rPr>
          <w:rFonts w:ascii="Abadi" w:hAnsi="Abadi" w:cs="Arial"/>
          <w:sz w:val="21"/>
          <w:szCs w:val="21"/>
          <w:lang w:eastAsia="x-none"/>
        </w:rPr>
        <w:t xml:space="preserve">Por lo que se refiere a este punto, se establecen los criterios de selección; el objetivo de la revisión; el alcance de la revisión respecto a los apartados de ingresos y egresos, </w:t>
      </w:r>
      <w:r w:rsidRPr="007449FF">
        <w:rPr>
          <w:rFonts w:ascii="Abadi" w:hAnsi="Abadi" w:cs="Arial"/>
          <w:sz w:val="21"/>
          <w:szCs w:val="21"/>
          <w:lang w:val="es-MX" w:eastAsia="x-none"/>
        </w:rPr>
        <w:t>precisando que el detalle de los alcances de la revisión se consigna en el Anexo 01 del informe de resultados.</w:t>
      </w:r>
    </w:p>
    <w:p w14:paraId="0A8D5D7E" w14:textId="77777777" w:rsidR="007449FF" w:rsidRPr="007449FF" w:rsidRDefault="007449FF" w:rsidP="007449FF">
      <w:pPr>
        <w:ind w:firstLine="705"/>
        <w:jc w:val="both"/>
        <w:rPr>
          <w:rFonts w:ascii="Abadi" w:hAnsi="Abadi" w:cs="Arial"/>
          <w:sz w:val="21"/>
          <w:szCs w:val="21"/>
          <w:lang w:eastAsia="x-none"/>
        </w:rPr>
      </w:pPr>
    </w:p>
    <w:p w14:paraId="6C486990" w14:textId="77777777" w:rsidR="007449FF" w:rsidRPr="007449FF" w:rsidRDefault="007449FF" w:rsidP="007449FF">
      <w:pPr>
        <w:ind w:firstLine="705"/>
        <w:jc w:val="both"/>
        <w:rPr>
          <w:rFonts w:ascii="Abadi" w:hAnsi="Abadi" w:cs="Arial"/>
          <w:sz w:val="21"/>
          <w:szCs w:val="21"/>
          <w:lang w:eastAsia="x-none"/>
        </w:rPr>
      </w:pPr>
      <w:r w:rsidRPr="007449FF">
        <w:rPr>
          <w:rFonts w:ascii="Abadi" w:hAnsi="Abadi" w:cs="Arial"/>
          <w:sz w:val="21"/>
          <w:szCs w:val="21"/>
          <w:lang w:eastAsia="x-none"/>
        </w:rPr>
        <w:t>También en este apartado se precisan los procedimientos de auditoría aplicados, siendo estos: inspección, observación, confirmación externa, recálculo, procedimientos analíticos, re ejecución e indagación.</w:t>
      </w:r>
    </w:p>
    <w:p w14:paraId="31069B65" w14:textId="77777777" w:rsidR="007449FF" w:rsidRPr="007449FF" w:rsidRDefault="007449FF" w:rsidP="007449FF">
      <w:pPr>
        <w:ind w:firstLine="705"/>
        <w:jc w:val="both"/>
        <w:rPr>
          <w:rFonts w:ascii="Abadi" w:hAnsi="Abadi" w:cs="Arial"/>
          <w:sz w:val="21"/>
          <w:szCs w:val="21"/>
          <w:lang w:eastAsia="x-none"/>
        </w:rPr>
      </w:pPr>
    </w:p>
    <w:p w14:paraId="658442B0" w14:textId="77777777" w:rsidR="007449FF" w:rsidRPr="007449FF" w:rsidRDefault="007449FF" w:rsidP="007449FF">
      <w:pPr>
        <w:ind w:firstLine="705"/>
        <w:jc w:val="both"/>
        <w:rPr>
          <w:rFonts w:ascii="Abadi" w:hAnsi="Abadi" w:cs="Arial"/>
          <w:sz w:val="21"/>
          <w:szCs w:val="21"/>
          <w:lang w:eastAsia="x-none"/>
        </w:rPr>
      </w:pPr>
      <w:r w:rsidRPr="007449FF">
        <w:rPr>
          <w:rFonts w:ascii="Abadi" w:hAnsi="Abadi" w:cs="Arial"/>
          <w:sz w:val="21"/>
          <w:szCs w:val="21"/>
          <w:lang w:eastAsia="x-none"/>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22966B31" w14:textId="77777777" w:rsidR="007449FF" w:rsidRPr="007449FF" w:rsidRDefault="007449FF" w:rsidP="007449FF">
      <w:pPr>
        <w:jc w:val="both"/>
        <w:rPr>
          <w:rFonts w:ascii="Abadi" w:hAnsi="Abadi"/>
          <w:i/>
          <w:iCs/>
          <w:sz w:val="21"/>
          <w:szCs w:val="21"/>
          <w:lang w:eastAsia="x-none"/>
        </w:rPr>
      </w:pPr>
    </w:p>
    <w:p w14:paraId="7F9AEAF3" w14:textId="77777777" w:rsidR="007449FF" w:rsidRPr="007449FF" w:rsidRDefault="007449FF" w:rsidP="007449FF">
      <w:pPr>
        <w:jc w:val="both"/>
        <w:rPr>
          <w:rFonts w:ascii="Abadi" w:hAnsi="Abadi" w:cs="Arial"/>
          <w:i/>
          <w:iCs/>
          <w:sz w:val="21"/>
          <w:szCs w:val="21"/>
          <w:lang w:eastAsia="x-none"/>
        </w:rPr>
      </w:pPr>
      <w:r w:rsidRPr="007449FF">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7534564C" w14:textId="77777777" w:rsidR="007449FF" w:rsidRPr="007449FF" w:rsidRDefault="007449FF" w:rsidP="007449FF">
      <w:pPr>
        <w:jc w:val="both"/>
        <w:rPr>
          <w:rFonts w:ascii="Abadi" w:hAnsi="Abadi" w:cs="Arial"/>
          <w:i/>
          <w:iCs/>
          <w:sz w:val="21"/>
          <w:szCs w:val="21"/>
          <w:lang w:eastAsia="x-none"/>
        </w:rPr>
      </w:pPr>
    </w:p>
    <w:p w14:paraId="73DFA2B5" w14:textId="77777777" w:rsidR="007449FF" w:rsidRPr="007449FF" w:rsidRDefault="007449FF" w:rsidP="007449FF">
      <w:pPr>
        <w:jc w:val="both"/>
        <w:rPr>
          <w:rFonts w:ascii="Abadi" w:hAnsi="Abadi" w:cs="Arial"/>
          <w:i/>
          <w:iCs/>
          <w:sz w:val="21"/>
          <w:szCs w:val="21"/>
          <w:lang w:eastAsia="x-none"/>
        </w:rPr>
      </w:pPr>
      <w:r w:rsidRPr="007449FF">
        <w:rPr>
          <w:rFonts w:ascii="Abadi" w:hAnsi="Abadi" w:cs="Arial"/>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6571F8C1" w14:textId="77777777" w:rsidR="007449FF" w:rsidRPr="007449FF" w:rsidRDefault="007449FF" w:rsidP="007449FF">
      <w:pPr>
        <w:jc w:val="both"/>
        <w:rPr>
          <w:rFonts w:ascii="Abadi" w:hAnsi="Abadi" w:cs="Arial"/>
          <w:i/>
          <w:iCs/>
          <w:sz w:val="21"/>
          <w:szCs w:val="21"/>
          <w:lang w:eastAsia="x-none"/>
        </w:rPr>
      </w:pPr>
    </w:p>
    <w:p w14:paraId="6060FFD1" w14:textId="77777777" w:rsidR="007449FF" w:rsidRPr="007449FF" w:rsidRDefault="007449FF" w:rsidP="007449FF">
      <w:pPr>
        <w:jc w:val="both"/>
        <w:rPr>
          <w:rFonts w:ascii="Abadi" w:hAnsi="Abadi" w:cs="Arial"/>
          <w:i/>
          <w:iCs/>
          <w:sz w:val="21"/>
          <w:szCs w:val="21"/>
          <w:lang w:eastAsia="x-none"/>
        </w:rPr>
      </w:pPr>
      <w:r w:rsidRPr="007449FF">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0442F0DC" w14:textId="77777777" w:rsidR="007449FF" w:rsidRPr="007449FF" w:rsidRDefault="007449FF" w:rsidP="007449FF">
      <w:pPr>
        <w:jc w:val="both"/>
        <w:rPr>
          <w:rFonts w:ascii="Abadi" w:hAnsi="Abadi" w:cs="Arial"/>
          <w:sz w:val="21"/>
          <w:szCs w:val="21"/>
          <w:lang w:eastAsia="x-none"/>
        </w:rPr>
      </w:pPr>
    </w:p>
    <w:p w14:paraId="171EEC09" w14:textId="77777777" w:rsidR="007449FF" w:rsidRPr="007449FF" w:rsidRDefault="007449FF" w:rsidP="007449FF">
      <w:pPr>
        <w:ind w:firstLine="705"/>
        <w:jc w:val="both"/>
        <w:rPr>
          <w:rFonts w:ascii="Abadi" w:hAnsi="Abadi" w:cs="Arial"/>
          <w:sz w:val="21"/>
          <w:szCs w:val="21"/>
          <w:lang w:eastAsia="x-none"/>
        </w:rPr>
      </w:pPr>
      <w:r w:rsidRPr="007449FF">
        <w:rPr>
          <w:rFonts w:ascii="Abadi" w:hAnsi="Abadi" w:cs="Arial"/>
          <w:sz w:val="21"/>
          <w:szCs w:val="21"/>
          <w:lang w:eastAsia="x-none"/>
        </w:rPr>
        <w:t xml:space="preserve">Derivado de lo anterior, en el proceso de auditoría se inspeccionó que los comprobantes fiscales que soportan las erogaciones del ente fiscalizado, no correspondan a contribuyentes que se encuentren en los supuestos previstos en el artículo 69-B del Código Fiscal de la Federación, empresas que facturan operaciones simuladas o inexistentes con el carácter de </w:t>
      </w:r>
      <w:r w:rsidRPr="007449FF">
        <w:rPr>
          <w:rFonts w:ascii="Abadi" w:hAnsi="Abadi" w:cs="Arial"/>
          <w:i/>
          <w:iCs/>
          <w:sz w:val="21"/>
          <w:szCs w:val="21"/>
          <w:lang w:eastAsia="x-none"/>
        </w:rPr>
        <w:t>«Definitivos»,</w:t>
      </w:r>
      <w:r w:rsidRPr="007449FF">
        <w:rPr>
          <w:rFonts w:ascii="Abadi" w:hAnsi="Abadi" w:cs="Arial"/>
          <w:sz w:val="21"/>
          <w:szCs w:val="21"/>
          <w:lang w:eastAsia="x-none"/>
        </w:rPr>
        <w:t xml:space="preserve"> emitidas por el Servicio de Administración Tributaria.</w:t>
      </w:r>
    </w:p>
    <w:p w14:paraId="1851CD05" w14:textId="77777777" w:rsidR="007449FF" w:rsidRPr="007449FF" w:rsidRDefault="007449FF" w:rsidP="007449FF">
      <w:pPr>
        <w:ind w:firstLine="705"/>
        <w:jc w:val="both"/>
        <w:rPr>
          <w:rFonts w:ascii="Abadi" w:hAnsi="Abadi" w:cs="Arial"/>
          <w:sz w:val="21"/>
          <w:szCs w:val="21"/>
          <w:lang w:val="es-MX" w:eastAsia="x-none"/>
        </w:rPr>
      </w:pPr>
    </w:p>
    <w:p w14:paraId="1532F1B1" w14:textId="77777777" w:rsidR="007449FF" w:rsidRPr="007449FF" w:rsidRDefault="007449FF" w:rsidP="007449FF">
      <w:pPr>
        <w:ind w:firstLine="705"/>
        <w:jc w:val="both"/>
        <w:rPr>
          <w:rFonts w:ascii="Abadi" w:hAnsi="Abadi" w:cs="Arial"/>
          <w:sz w:val="21"/>
          <w:szCs w:val="21"/>
          <w:lang w:eastAsia="x-none"/>
        </w:rPr>
      </w:pPr>
      <w:r w:rsidRPr="007449FF">
        <w:rPr>
          <w:rFonts w:ascii="Abadi" w:hAnsi="Abadi" w:cs="Arial"/>
          <w:sz w:val="21"/>
          <w:szCs w:val="21"/>
          <w:lang w:eastAsia="x-none"/>
        </w:rPr>
        <w:t>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5E6EC19B" w14:textId="77777777" w:rsidR="007449FF" w:rsidRPr="007449FF" w:rsidRDefault="007449FF" w:rsidP="007449FF">
      <w:pPr>
        <w:ind w:firstLine="705"/>
        <w:jc w:val="both"/>
        <w:rPr>
          <w:rFonts w:ascii="Abadi" w:hAnsi="Abadi"/>
          <w:sz w:val="21"/>
          <w:szCs w:val="21"/>
          <w:lang w:eastAsia="x-none"/>
        </w:rPr>
      </w:pPr>
    </w:p>
    <w:p w14:paraId="5A063AE3" w14:textId="77777777" w:rsidR="007449FF" w:rsidRPr="007449FF" w:rsidRDefault="007449FF" w:rsidP="007449FF">
      <w:pPr>
        <w:ind w:firstLine="705"/>
        <w:jc w:val="both"/>
        <w:rPr>
          <w:rFonts w:ascii="Abadi" w:hAnsi="Abadi" w:cs="Arial"/>
          <w:sz w:val="21"/>
          <w:szCs w:val="21"/>
          <w:lang w:val="es-MX" w:eastAsia="x-none"/>
        </w:rPr>
      </w:pPr>
      <w:r w:rsidRPr="007449FF">
        <w:rPr>
          <w:rFonts w:ascii="Abadi" w:hAnsi="Abadi" w:cs="Arial"/>
          <w:sz w:val="21"/>
          <w:szCs w:val="21"/>
          <w:lang w:val="es-MX" w:eastAsia="x-none"/>
        </w:rPr>
        <w:t>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fiscalizado;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fiscalizado.</w:t>
      </w:r>
    </w:p>
    <w:p w14:paraId="3C0DFFAA" w14:textId="77777777" w:rsidR="007449FF" w:rsidRPr="007449FF" w:rsidRDefault="007449FF" w:rsidP="007449FF">
      <w:pPr>
        <w:ind w:firstLine="705"/>
        <w:jc w:val="both"/>
        <w:rPr>
          <w:rFonts w:ascii="Abadi" w:hAnsi="Abadi" w:cs="Arial"/>
          <w:sz w:val="21"/>
          <w:szCs w:val="21"/>
          <w:lang w:val="es-MX" w:eastAsia="x-none"/>
        </w:rPr>
      </w:pPr>
    </w:p>
    <w:p w14:paraId="0015F780" w14:textId="77777777" w:rsidR="007449FF" w:rsidRPr="007449FF" w:rsidRDefault="007449FF" w:rsidP="007449FF">
      <w:pPr>
        <w:ind w:firstLine="705"/>
        <w:jc w:val="both"/>
        <w:rPr>
          <w:rFonts w:ascii="Abadi" w:hAnsi="Abadi" w:cs="Arial"/>
          <w:sz w:val="21"/>
          <w:szCs w:val="21"/>
          <w:lang w:val="es-MX" w:eastAsia="x-none"/>
        </w:rPr>
      </w:pPr>
      <w:r w:rsidRPr="007449FF">
        <w:rPr>
          <w:rFonts w:ascii="Abadi" w:hAnsi="Abadi" w:cs="Arial"/>
          <w:sz w:val="21"/>
          <w:szCs w:val="21"/>
          <w:lang w:val="es-MX" w:eastAsia="x-none"/>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San José Iturbide, Gto., cumplió con las disposiciones normativas aplicables, excepto por los resultados precisados en el informe de resultados; señalando además que se presentaron limitantes al alcance que se refiere a la aplicación de los procedimientos de inspecciones físicas de bienes muebles adquiridos, confirmaciones con beneficiarios de apoyos y/o ayudas y actas circunstanciadas de hechos. También se refiere que se presentaron limitantes en la aplicación de los procedimientos de auditoría, derivado de la contingencia por la pandemia del virus SARS-CoV2.</w:t>
      </w:r>
    </w:p>
    <w:p w14:paraId="65C49BB3" w14:textId="77777777" w:rsidR="007449FF" w:rsidRPr="007449FF" w:rsidRDefault="007449FF" w:rsidP="007449FF">
      <w:pPr>
        <w:ind w:firstLine="705"/>
        <w:jc w:val="both"/>
        <w:rPr>
          <w:rFonts w:ascii="Abadi" w:hAnsi="Abadi" w:cs="Arial"/>
          <w:sz w:val="21"/>
          <w:szCs w:val="21"/>
          <w:lang w:val="es-MX" w:eastAsia="x-none"/>
        </w:rPr>
      </w:pPr>
    </w:p>
    <w:p w14:paraId="429616B1" w14:textId="77777777" w:rsidR="007449FF" w:rsidRPr="007449FF" w:rsidRDefault="007449FF" w:rsidP="007449FF">
      <w:pPr>
        <w:ind w:firstLine="705"/>
        <w:jc w:val="both"/>
        <w:rPr>
          <w:rFonts w:ascii="Abadi" w:hAnsi="Abadi" w:cs="Arial"/>
          <w:sz w:val="21"/>
          <w:szCs w:val="21"/>
        </w:rPr>
      </w:pPr>
      <w:r w:rsidRPr="007449FF">
        <w:rPr>
          <w:rFonts w:ascii="Abadi" w:hAnsi="Abadi" w:cs="Arial"/>
          <w:sz w:val="21"/>
          <w:szCs w:val="21"/>
          <w:lang w:val="es-MX" w:eastAsia="x-none"/>
        </w:rPr>
        <w:t>En cuanto al rubro de resultados de la fiscalización efectuada, se establece el estatus que guardan las observaciones y re</w:t>
      </w:r>
      <w:r w:rsidRPr="007449FF">
        <w:rPr>
          <w:rFonts w:ascii="Abadi" w:hAnsi="Abadi" w:cs="Arial"/>
          <w:sz w:val="21"/>
          <w:szCs w:val="21"/>
        </w:rPr>
        <w:t xml:space="preserve">comendaciones, las cuales se agrupan bajo su respectivo tipo y rubro, señalando que se determinaron 3 observaciones, mismas que no fueron solventadas. Asimismo, se formularon 2 recomendaciones que no se atendieron. </w:t>
      </w:r>
    </w:p>
    <w:p w14:paraId="51AF717F" w14:textId="77777777" w:rsidR="007449FF" w:rsidRPr="007449FF" w:rsidRDefault="007449FF" w:rsidP="007449FF">
      <w:pPr>
        <w:jc w:val="both"/>
        <w:rPr>
          <w:rFonts w:ascii="Abadi" w:hAnsi="Abadi" w:cs="Arial"/>
          <w:sz w:val="21"/>
          <w:szCs w:val="21"/>
          <w:lang w:eastAsia="x-none"/>
        </w:rPr>
      </w:pPr>
    </w:p>
    <w:p w14:paraId="52A207A0" w14:textId="77777777" w:rsidR="007449FF" w:rsidRPr="007449FF" w:rsidRDefault="007449FF" w:rsidP="007449FF">
      <w:pPr>
        <w:ind w:firstLine="705"/>
        <w:jc w:val="both"/>
        <w:rPr>
          <w:rFonts w:ascii="Abadi" w:hAnsi="Abadi" w:cs="Arial"/>
          <w:sz w:val="21"/>
          <w:szCs w:val="21"/>
          <w:lang w:val="es-MX" w:eastAsia="x-none"/>
        </w:rPr>
      </w:pPr>
      <w:r w:rsidRPr="007449FF">
        <w:rPr>
          <w:rFonts w:ascii="Abadi" w:hAnsi="Abadi" w:cs="Arial"/>
          <w:sz w:val="21"/>
          <w:szCs w:val="21"/>
          <w:lang w:val="es-MX" w:eastAsia="x-none"/>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001 y 002, existen importes no solventados por la cuantía que ahí se refiere. </w:t>
      </w:r>
    </w:p>
    <w:p w14:paraId="2D0B73F2" w14:textId="77777777" w:rsidR="007449FF" w:rsidRPr="007449FF" w:rsidRDefault="007449FF" w:rsidP="007449FF">
      <w:pPr>
        <w:ind w:firstLine="705"/>
        <w:jc w:val="both"/>
        <w:rPr>
          <w:rFonts w:ascii="Abadi" w:hAnsi="Abadi" w:cs="Arial"/>
          <w:sz w:val="21"/>
          <w:szCs w:val="21"/>
          <w:lang w:val="es-MX" w:eastAsia="x-none"/>
        </w:rPr>
      </w:pPr>
    </w:p>
    <w:p w14:paraId="2B6BD731" w14:textId="77777777" w:rsidR="007449FF" w:rsidRPr="007449FF" w:rsidRDefault="007449FF" w:rsidP="007449FF">
      <w:pPr>
        <w:ind w:firstLine="705"/>
        <w:jc w:val="both"/>
        <w:rPr>
          <w:rFonts w:ascii="Abadi" w:hAnsi="Abadi" w:cs="Arial"/>
          <w:sz w:val="21"/>
          <w:szCs w:val="21"/>
          <w:lang w:eastAsia="x-none"/>
        </w:rPr>
      </w:pPr>
      <w:r w:rsidRPr="007449FF">
        <w:rPr>
          <w:rFonts w:ascii="Abadi" w:hAnsi="Abadi" w:cs="Arial"/>
          <w:sz w:val="21"/>
          <w:szCs w:val="21"/>
          <w:lang w:eastAsia="x-none"/>
        </w:rPr>
        <w:t>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San José Iturbide, Gto., celebró operaciones; entre los procedimientos expuestos, se verificó que estas no se encontraran en el listado de Empresas que Facturan Operaciones Simuladas (EFOS) u operaciones inexistentes con el carácter de «</w:t>
      </w:r>
      <w:r w:rsidRPr="007449FF">
        <w:rPr>
          <w:rFonts w:ascii="Abadi" w:hAnsi="Abadi" w:cs="Arial"/>
          <w:i/>
          <w:iCs/>
          <w:sz w:val="21"/>
          <w:szCs w:val="21"/>
          <w:lang w:eastAsia="x-none"/>
        </w:rPr>
        <w:t>Definitivos»</w:t>
      </w:r>
      <w:r w:rsidRPr="007449FF">
        <w:rPr>
          <w:rFonts w:ascii="Abadi" w:hAnsi="Abadi" w:cs="Arial"/>
          <w:sz w:val="21"/>
          <w:szCs w:val="21"/>
          <w:lang w:eastAsia="x-none"/>
        </w:rPr>
        <w:t xml:space="preserve"> publicados en el Diario Oficial de la Federación y en el sitio de información estadística del Servicio de Administración Tributaria, concluyendo que no se identificaron empresas clasificadas como EFOS.</w:t>
      </w:r>
    </w:p>
    <w:p w14:paraId="632B4931" w14:textId="77777777" w:rsidR="007449FF" w:rsidRPr="007449FF" w:rsidRDefault="007449FF" w:rsidP="007449FF">
      <w:pPr>
        <w:ind w:firstLine="705"/>
        <w:jc w:val="both"/>
        <w:rPr>
          <w:rFonts w:ascii="Abadi" w:hAnsi="Abadi" w:cs="Arial"/>
          <w:sz w:val="21"/>
          <w:szCs w:val="21"/>
          <w:lang w:eastAsia="x-none"/>
        </w:rPr>
      </w:pPr>
    </w:p>
    <w:p w14:paraId="0EA3C734" w14:textId="77777777" w:rsidR="007449FF" w:rsidRPr="007449FF" w:rsidRDefault="007449FF" w:rsidP="001A28E5">
      <w:pPr>
        <w:numPr>
          <w:ilvl w:val="0"/>
          <w:numId w:val="95"/>
        </w:numPr>
        <w:tabs>
          <w:tab w:val="num" w:pos="0"/>
        </w:tabs>
        <w:jc w:val="both"/>
        <w:rPr>
          <w:rFonts w:ascii="Abadi" w:hAnsi="Abadi" w:cs="Arial"/>
          <w:b/>
          <w:bCs/>
          <w:sz w:val="21"/>
          <w:szCs w:val="21"/>
          <w:lang w:eastAsia="x-none"/>
        </w:rPr>
      </w:pPr>
      <w:r w:rsidRPr="007449FF">
        <w:rPr>
          <w:rFonts w:ascii="Abadi" w:hAnsi="Abadi" w:cs="Arial"/>
          <w:b/>
          <w:bCs/>
          <w:sz w:val="21"/>
          <w:szCs w:val="21"/>
          <w:lang w:eastAsia="x-none"/>
        </w:rPr>
        <w:t xml:space="preserve">Observaciones y recomendaciones, la respuesta emitida por el sujeto fiscalizado y la valoración correspondiente. </w:t>
      </w:r>
    </w:p>
    <w:p w14:paraId="3C1DC6AB" w14:textId="77777777" w:rsidR="007449FF" w:rsidRPr="007449FF" w:rsidRDefault="007449FF" w:rsidP="007449FF">
      <w:pPr>
        <w:ind w:left="1065"/>
        <w:jc w:val="both"/>
        <w:rPr>
          <w:rFonts w:ascii="Abadi" w:hAnsi="Abadi" w:cs="Arial"/>
          <w:b/>
          <w:bCs/>
          <w:sz w:val="21"/>
          <w:szCs w:val="21"/>
          <w:lang w:eastAsia="x-none"/>
        </w:rPr>
      </w:pPr>
    </w:p>
    <w:p w14:paraId="5D5B7179" w14:textId="77777777" w:rsidR="007449FF" w:rsidRPr="007449FF" w:rsidRDefault="007449FF" w:rsidP="007449FF">
      <w:pPr>
        <w:ind w:firstLine="705"/>
        <w:jc w:val="both"/>
        <w:rPr>
          <w:rFonts w:ascii="Abadi" w:hAnsi="Abadi" w:cs="Arial"/>
          <w:sz w:val="21"/>
          <w:szCs w:val="21"/>
          <w:lang w:eastAsia="x-none"/>
        </w:rPr>
      </w:pPr>
      <w:r w:rsidRPr="007449FF">
        <w:rPr>
          <w:rFonts w:ascii="Abadi" w:hAnsi="Abadi" w:cs="Arial"/>
          <w:sz w:val="21"/>
          <w:szCs w:val="21"/>
          <w:lang w:val="es-MX" w:eastAsia="x-none"/>
        </w:rPr>
        <w:t xml:space="preserve">En esta parte se desglosa la valoración de las observaciones formuladas por el Órgano Técnico, </w:t>
      </w:r>
      <w:r w:rsidRPr="007449FF">
        <w:rPr>
          <w:rFonts w:ascii="Abadi" w:hAnsi="Abadi" w:cs="Arial"/>
          <w:sz w:val="21"/>
          <w:szCs w:val="21"/>
          <w:lang w:eastAsia="x-none"/>
        </w:rPr>
        <w:t xml:space="preserve">considerando como no solventadas las observaciones plasmadas en los numerales 001, </w:t>
      </w:r>
      <w:r w:rsidRPr="007449FF">
        <w:rPr>
          <w:rFonts w:ascii="Abadi" w:hAnsi="Abadi" w:cs="Arial"/>
          <w:sz w:val="21"/>
          <w:szCs w:val="21"/>
          <w:lang w:val="es-MX" w:eastAsia="x-none"/>
        </w:rPr>
        <w:t xml:space="preserve">referente a días pendientes de pago; 002, correspondiente a pago de vacaciones; y 003, relativo a </w:t>
      </w:r>
      <w:r w:rsidRPr="007449FF">
        <w:rPr>
          <w:rFonts w:ascii="Abadi" w:hAnsi="Abadi" w:cs="Arial"/>
          <w:sz w:val="21"/>
          <w:szCs w:val="21"/>
          <w:lang w:eastAsia="x-none"/>
        </w:rPr>
        <w:t>adquisición de multifuncional.</w:t>
      </w:r>
    </w:p>
    <w:p w14:paraId="181D299E" w14:textId="77777777" w:rsidR="007449FF" w:rsidRPr="007449FF" w:rsidRDefault="007449FF" w:rsidP="007449FF">
      <w:pPr>
        <w:ind w:firstLine="705"/>
        <w:jc w:val="both"/>
        <w:rPr>
          <w:rFonts w:ascii="Abadi" w:hAnsi="Abadi" w:cs="Arial"/>
          <w:sz w:val="21"/>
          <w:szCs w:val="21"/>
          <w:lang w:eastAsia="x-none"/>
        </w:rPr>
      </w:pPr>
    </w:p>
    <w:p w14:paraId="31D25323" w14:textId="77777777" w:rsidR="007449FF" w:rsidRPr="007449FF" w:rsidRDefault="007449FF" w:rsidP="007449FF">
      <w:pPr>
        <w:ind w:firstLine="705"/>
        <w:jc w:val="both"/>
        <w:rPr>
          <w:rFonts w:ascii="Abadi" w:hAnsi="Abadi" w:cs="Arial"/>
          <w:sz w:val="21"/>
          <w:szCs w:val="21"/>
          <w:lang w:eastAsia="x-none"/>
        </w:rPr>
      </w:pPr>
      <w:r w:rsidRPr="007449FF">
        <w:rPr>
          <w:rFonts w:ascii="Abadi" w:hAnsi="Abadi" w:cs="Arial"/>
          <w:sz w:val="21"/>
          <w:szCs w:val="21"/>
          <w:lang w:eastAsia="x-none"/>
        </w:rPr>
        <w:t>En el apartado de Recomendaciones Generales, no se atendieron los numerales 001, referido a reparación de multifuncional; y 002, referente a comprobantes fiscales.</w:t>
      </w:r>
    </w:p>
    <w:p w14:paraId="6CCC3D27" w14:textId="77777777" w:rsidR="007449FF" w:rsidRPr="007449FF" w:rsidRDefault="007449FF" w:rsidP="007449FF">
      <w:pPr>
        <w:ind w:firstLine="705"/>
        <w:jc w:val="both"/>
        <w:rPr>
          <w:rFonts w:ascii="Abadi" w:hAnsi="Abadi" w:cs="Arial"/>
          <w:sz w:val="21"/>
          <w:szCs w:val="21"/>
          <w:lang w:eastAsia="x-none"/>
        </w:rPr>
      </w:pPr>
    </w:p>
    <w:p w14:paraId="72530065" w14:textId="77777777" w:rsidR="007449FF" w:rsidRPr="007449FF" w:rsidRDefault="007449FF" w:rsidP="001A28E5">
      <w:pPr>
        <w:numPr>
          <w:ilvl w:val="0"/>
          <w:numId w:val="95"/>
        </w:numPr>
        <w:jc w:val="both"/>
        <w:rPr>
          <w:rFonts w:ascii="Abadi" w:hAnsi="Abadi" w:cs="Arial"/>
          <w:b/>
          <w:bCs/>
          <w:sz w:val="21"/>
          <w:szCs w:val="21"/>
          <w:lang w:val="es-MX" w:eastAsia="x-none"/>
        </w:rPr>
      </w:pPr>
      <w:r w:rsidRPr="007449FF">
        <w:rPr>
          <w:rFonts w:ascii="Abadi" w:hAnsi="Abadi" w:cs="Arial"/>
          <w:b/>
          <w:bCs/>
          <w:sz w:val="21"/>
          <w:szCs w:val="21"/>
          <w:lang w:val="es-MX" w:eastAsia="x-none"/>
        </w:rPr>
        <w:t xml:space="preserve">Promoción del ejercicio de facultades de comprobación fiscal. </w:t>
      </w:r>
    </w:p>
    <w:p w14:paraId="75430D03" w14:textId="77777777" w:rsidR="007449FF" w:rsidRPr="007449FF" w:rsidRDefault="007449FF" w:rsidP="007449FF">
      <w:pPr>
        <w:ind w:firstLine="705"/>
        <w:jc w:val="both"/>
        <w:rPr>
          <w:rFonts w:ascii="Abadi" w:hAnsi="Abadi" w:cs="Arial"/>
          <w:sz w:val="21"/>
          <w:szCs w:val="21"/>
          <w:lang w:eastAsia="x-none"/>
        </w:rPr>
      </w:pPr>
    </w:p>
    <w:p w14:paraId="285722B4" w14:textId="77777777" w:rsidR="007449FF" w:rsidRPr="007449FF" w:rsidRDefault="007449FF" w:rsidP="007449FF">
      <w:pPr>
        <w:ind w:firstLine="705"/>
        <w:jc w:val="both"/>
        <w:rPr>
          <w:rFonts w:ascii="Abadi" w:hAnsi="Abadi" w:cs="Arial"/>
          <w:sz w:val="21"/>
          <w:szCs w:val="21"/>
          <w:lang w:val="es-MX" w:eastAsia="x-none"/>
        </w:rPr>
      </w:pPr>
      <w:r w:rsidRPr="007449FF">
        <w:rPr>
          <w:rFonts w:ascii="Abadi" w:hAnsi="Abadi" w:cs="Arial"/>
          <w:sz w:val="21"/>
          <w:szCs w:val="21"/>
          <w:lang w:val="es-MX" w:eastAsia="x-none"/>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31DB1B8C" w14:textId="77777777" w:rsidR="007449FF" w:rsidRPr="007449FF" w:rsidRDefault="007449FF" w:rsidP="007449FF">
      <w:pPr>
        <w:ind w:firstLine="705"/>
        <w:jc w:val="both"/>
        <w:rPr>
          <w:rFonts w:ascii="Abadi" w:hAnsi="Abadi" w:cs="Arial"/>
          <w:sz w:val="21"/>
          <w:szCs w:val="21"/>
          <w:lang w:val="es-MX" w:eastAsia="x-none"/>
        </w:rPr>
      </w:pPr>
    </w:p>
    <w:p w14:paraId="3DBCA0A0" w14:textId="77777777" w:rsidR="007449FF" w:rsidRPr="007449FF" w:rsidRDefault="007449FF" w:rsidP="001A28E5">
      <w:pPr>
        <w:numPr>
          <w:ilvl w:val="0"/>
          <w:numId w:val="95"/>
        </w:numPr>
        <w:jc w:val="both"/>
        <w:rPr>
          <w:rFonts w:ascii="Abadi" w:hAnsi="Abadi" w:cs="Arial"/>
          <w:b/>
          <w:bCs/>
          <w:sz w:val="21"/>
          <w:szCs w:val="21"/>
          <w:lang w:val="es-MX" w:eastAsia="x-none"/>
        </w:rPr>
      </w:pPr>
      <w:r w:rsidRPr="007449FF">
        <w:rPr>
          <w:rFonts w:ascii="Abadi" w:hAnsi="Abadi" w:cs="Arial"/>
          <w:b/>
          <w:bCs/>
          <w:sz w:val="21"/>
          <w:szCs w:val="21"/>
          <w:lang w:val="es-MX" w:eastAsia="x-none"/>
        </w:rPr>
        <w:t>Comunicado ante órganos de control y autoridades que administran padrones de proveedores y contratistas.</w:t>
      </w:r>
    </w:p>
    <w:p w14:paraId="086B0101" w14:textId="77777777" w:rsidR="007449FF" w:rsidRPr="007449FF" w:rsidRDefault="007449FF" w:rsidP="007449FF">
      <w:pPr>
        <w:ind w:firstLine="705"/>
        <w:jc w:val="both"/>
        <w:rPr>
          <w:rFonts w:ascii="Abadi" w:hAnsi="Abadi" w:cs="Arial"/>
          <w:sz w:val="21"/>
          <w:szCs w:val="21"/>
          <w:lang w:eastAsia="x-none"/>
        </w:rPr>
      </w:pPr>
    </w:p>
    <w:p w14:paraId="0C1245E7" w14:textId="77777777" w:rsidR="007449FF" w:rsidRPr="007449FF" w:rsidRDefault="007449FF" w:rsidP="007449FF">
      <w:pPr>
        <w:ind w:firstLine="705"/>
        <w:jc w:val="both"/>
        <w:rPr>
          <w:rFonts w:ascii="Abadi" w:hAnsi="Abadi" w:cs="Arial"/>
          <w:sz w:val="21"/>
          <w:szCs w:val="21"/>
          <w:lang w:val="es-MX" w:eastAsia="x-none"/>
        </w:rPr>
      </w:pPr>
      <w:r w:rsidRPr="007449FF">
        <w:rPr>
          <w:rFonts w:ascii="Abadi" w:hAnsi="Abadi" w:cs="Arial"/>
          <w:sz w:val="21"/>
          <w:szCs w:val="21"/>
          <w:lang w:val="es-MX" w:eastAsia="x-none"/>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34106DC9" w14:textId="77777777" w:rsidR="007449FF" w:rsidRPr="007449FF" w:rsidRDefault="007449FF" w:rsidP="007449FF">
      <w:pPr>
        <w:ind w:firstLine="705"/>
        <w:jc w:val="both"/>
        <w:rPr>
          <w:rFonts w:ascii="Abadi" w:hAnsi="Abadi" w:cs="Arial"/>
          <w:sz w:val="21"/>
          <w:szCs w:val="21"/>
          <w:lang w:val="es-MX" w:eastAsia="x-none"/>
        </w:rPr>
      </w:pPr>
    </w:p>
    <w:p w14:paraId="75507AB4" w14:textId="77777777" w:rsidR="007449FF" w:rsidRPr="007449FF" w:rsidRDefault="007449FF" w:rsidP="001A28E5">
      <w:pPr>
        <w:numPr>
          <w:ilvl w:val="0"/>
          <w:numId w:val="95"/>
        </w:numPr>
        <w:jc w:val="both"/>
        <w:rPr>
          <w:rFonts w:ascii="Abadi" w:hAnsi="Abadi" w:cs="Arial"/>
          <w:b/>
          <w:bCs/>
          <w:sz w:val="21"/>
          <w:szCs w:val="21"/>
          <w:lang w:eastAsia="x-none"/>
        </w:rPr>
      </w:pPr>
      <w:r w:rsidRPr="007449FF">
        <w:rPr>
          <w:rFonts w:ascii="Abadi" w:hAnsi="Abadi" w:cs="Arial"/>
          <w:b/>
          <w:bCs/>
          <w:sz w:val="21"/>
          <w:szCs w:val="21"/>
          <w:lang w:eastAsia="x-none"/>
        </w:rPr>
        <w:t xml:space="preserve">Recurso de Reconsideración. </w:t>
      </w:r>
    </w:p>
    <w:p w14:paraId="2B803E8F" w14:textId="77777777" w:rsidR="007449FF" w:rsidRPr="007449FF" w:rsidRDefault="007449FF" w:rsidP="007449FF">
      <w:pPr>
        <w:ind w:left="705"/>
        <w:jc w:val="both"/>
        <w:rPr>
          <w:rFonts w:ascii="Abadi" w:hAnsi="Abadi" w:cs="Arial"/>
          <w:b/>
          <w:bCs/>
          <w:sz w:val="21"/>
          <w:szCs w:val="21"/>
          <w:lang w:eastAsia="x-none"/>
        </w:rPr>
      </w:pPr>
    </w:p>
    <w:p w14:paraId="71ECAE77" w14:textId="77777777" w:rsidR="007449FF" w:rsidRPr="007449FF" w:rsidRDefault="007449FF" w:rsidP="007449FF">
      <w:pPr>
        <w:ind w:firstLine="705"/>
        <w:jc w:val="both"/>
        <w:rPr>
          <w:rFonts w:ascii="Abadi" w:hAnsi="Abadi" w:cs="Arial"/>
          <w:sz w:val="21"/>
          <w:szCs w:val="21"/>
          <w:lang w:val="es-MX" w:eastAsia="x-none"/>
        </w:rPr>
      </w:pPr>
      <w:r w:rsidRPr="007449FF">
        <w:rPr>
          <w:rFonts w:ascii="Abadi" w:hAnsi="Abadi" w:cs="Arial"/>
          <w:sz w:val="21"/>
          <w:szCs w:val="21"/>
          <w:lang w:eastAsia="x-none"/>
        </w:rPr>
        <w:t xml:space="preserve">El 4 de abril de 2022, dentro del plazo que prevé la fracción IV del artículo 37 de </w:t>
      </w:r>
      <w:smartTag w:uri="urn:schemas-microsoft-com:office:smarttags" w:element="PersonName">
        <w:smartTagPr>
          <w:attr w:name="ProductID" w:val="la Ley"/>
        </w:smartTagPr>
        <w:r w:rsidRPr="007449FF">
          <w:rPr>
            <w:rFonts w:ascii="Abadi" w:hAnsi="Abadi" w:cs="Arial"/>
            <w:sz w:val="21"/>
            <w:szCs w:val="21"/>
            <w:lang w:eastAsia="x-none"/>
          </w:rPr>
          <w:t>la Ley</w:t>
        </w:r>
      </w:smartTag>
      <w:r w:rsidRPr="007449FF">
        <w:rPr>
          <w:rFonts w:ascii="Abadi" w:hAnsi="Abadi" w:cs="Arial"/>
          <w:sz w:val="21"/>
          <w:szCs w:val="21"/>
          <w:lang w:eastAsia="x-none"/>
        </w:rPr>
        <w:t xml:space="preserve"> de Fiscalización Superior del Estado de Guanajuato, el ex-presidente</w:t>
      </w:r>
      <w:r w:rsidRPr="007449FF">
        <w:rPr>
          <w:rFonts w:ascii="Abadi" w:hAnsi="Abadi" w:cs="Arial"/>
          <w:sz w:val="21"/>
          <w:szCs w:val="21"/>
          <w:lang w:val="es-MX" w:eastAsia="x-none"/>
        </w:rPr>
        <w:t xml:space="preserve"> municipal de San José Iturbide, Gto.,</w:t>
      </w:r>
      <w:r w:rsidRPr="007449FF">
        <w:rPr>
          <w:rFonts w:ascii="Abadi" w:hAnsi="Abadi" w:cs="Arial"/>
          <w:sz w:val="21"/>
          <w:szCs w:val="21"/>
          <w:lang w:eastAsia="x-none"/>
        </w:rPr>
        <w:t xml:space="preserve"> interpuso recurso de reconsideración en contra del informe de resultados de la revisión practicada </w:t>
      </w:r>
      <w:r w:rsidRPr="007449FF">
        <w:rPr>
          <w:rFonts w:ascii="Abadi" w:hAnsi="Abadi" w:cs="Arial"/>
          <w:sz w:val="21"/>
          <w:szCs w:val="21"/>
          <w:lang w:val="es-MX" w:eastAsia="x-none"/>
        </w:rPr>
        <w:t>a la cuenta pública de dicho Municipio, correspondiente al ejercicio fiscal del año 2020</w:t>
      </w:r>
      <w:r w:rsidRPr="007449FF">
        <w:rPr>
          <w:rFonts w:ascii="Abadi" w:hAnsi="Abadi" w:cs="Arial"/>
          <w:sz w:val="21"/>
          <w:szCs w:val="21"/>
          <w:lang w:eastAsia="x-none"/>
        </w:rPr>
        <w:t xml:space="preserve">, concretamente en contra de las observaciones establecidas en los numerales 001, </w:t>
      </w:r>
      <w:r w:rsidRPr="007449FF">
        <w:rPr>
          <w:rFonts w:ascii="Abadi" w:hAnsi="Abadi" w:cs="Arial"/>
          <w:sz w:val="21"/>
          <w:szCs w:val="21"/>
          <w:lang w:val="es-MX" w:eastAsia="x-none"/>
        </w:rPr>
        <w:t xml:space="preserve">referente a días pendientes de pago; 002, correspondiente a pago de vacaciones; y 003, relativo a </w:t>
      </w:r>
      <w:r w:rsidRPr="007449FF">
        <w:rPr>
          <w:rFonts w:ascii="Abadi" w:hAnsi="Abadi" w:cs="Arial"/>
          <w:sz w:val="21"/>
          <w:szCs w:val="21"/>
          <w:lang w:eastAsia="x-none"/>
        </w:rPr>
        <w:t>adquisición de multifuncional</w:t>
      </w:r>
      <w:r w:rsidRPr="007449FF">
        <w:rPr>
          <w:rFonts w:ascii="Abadi" w:hAnsi="Abadi" w:cs="Arial"/>
          <w:sz w:val="21"/>
          <w:szCs w:val="21"/>
          <w:lang w:val="es-MX" w:eastAsia="x-none"/>
        </w:rPr>
        <w:t xml:space="preserve">, </w:t>
      </w:r>
      <w:r w:rsidRPr="007449FF">
        <w:rPr>
          <w:rFonts w:ascii="Abadi" w:hAnsi="Abadi" w:cs="Arial"/>
          <w:sz w:val="21"/>
          <w:szCs w:val="21"/>
          <w:lang w:eastAsia="x-none"/>
        </w:rPr>
        <w:t>mismos que se encuentran relacionados con el Capítulo II, denominado Observaciones y Recomendaciones; Respuesta Emitida por el Sujeto</w:t>
      </w:r>
      <w:r w:rsidRPr="007449FF">
        <w:rPr>
          <w:rFonts w:ascii="Abadi" w:hAnsi="Abadi" w:cs="Arial"/>
          <w:sz w:val="21"/>
          <w:szCs w:val="21"/>
          <w:lang w:val="es-MX" w:eastAsia="x-none"/>
        </w:rPr>
        <w:t xml:space="preserve"> Fiscalizado y Valoración Correspondiente. </w:t>
      </w:r>
    </w:p>
    <w:p w14:paraId="1FEE061D" w14:textId="77777777" w:rsidR="007449FF" w:rsidRPr="007449FF" w:rsidRDefault="007449FF" w:rsidP="007449FF">
      <w:pPr>
        <w:ind w:firstLine="705"/>
        <w:jc w:val="both"/>
        <w:rPr>
          <w:rFonts w:ascii="Abadi" w:hAnsi="Abadi" w:cs="Arial"/>
          <w:sz w:val="21"/>
          <w:szCs w:val="21"/>
          <w:lang w:val="es-MX" w:eastAsia="x-none"/>
        </w:rPr>
      </w:pPr>
    </w:p>
    <w:p w14:paraId="096D5C2F"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 xml:space="preserve">En tal sentido, mediante acuerdo de fecha 21 de abril de 2022, emitido por el Director General de Asuntos Jurídicos de la Auditoría Superior del Estado de Guanajuato, se admitió el recurso de reconsideración, al colmarse los requisitos de procedibilidad previstos por el artículo 51 de </w:t>
      </w:r>
      <w:smartTag w:uri="urn:schemas-microsoft-com:office:smarttags" w:element="PersonName">
        <w:smartTagPr>
          <w:attr w:name="ProductID" w:val="la Ley"/>
        </w:smartTagPr>
        <w:r w:rsidRPr="007449FF">
          <w:rPr>
            <w:rFonts w:ascii="Abadi" w:hAnsi="Abadi" w:cs="Arial"/>
            <w:sz w:val="21"/>
            <w:szCs w:val="21"/>
            <w:lang w:val="es-MX" w:eastAsia="x-none"/>
          </w:rPr>
          <w:t>la Ley</w:t>
        </w:r>
      </w:smartTag>
      <w:r w:rsidRPr="007449FF">
        <w:rPr>
          <w:rFonts w:ascii="Abadi" w:hAnsi="Abadi" w:cs="Arial"/>
          <w:sz w:val="21"/>
          <w:szCs w:val="21"/>
          <w:lang w:val="es-MX" w:eastAsia="x-none"/>
        </w:rPr>
        <w:t xml:space="preserve"> de Fiscalización Superior del Estado de Guanajuato, instruyendo la integración del expediente respectivo y el registro correspondiente. Asimismo, mediante dicho acuerdo se admitieron los medios de prueba aportados por el recurrente, al ser novedosos y supervenientes. </w:t>
      </w:r>
    </w:p>
    <w:p w14:paraId="43761BCA" w14:textId="77777777" w:rsidR="007449FF" w:rsidRPr="007449FF" w:rsidRDefault="007449FF" w:rsidP="007449FF">
      <w:pPr>
        <w:ind w:firstLine="708"/>
        <w:jc w:val="both"/>
        <w:rPr>
          <w:rFonts w:ascii="Abadi" w:hAnsi="Abadi" w:cs="Arial"/>
          <w:sz w:val="21"/>
          <w:szCs w:val="21"/>
          <w:lang w:val="es-MX" w:eastAsia="x-none"/>
        </w:rPr>
      </w:pPr>
    </w:p>
    <w:p w14:paraId="2514EE60"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Una vez tramitado el recurso, el Auditor Superior del Estado, el 22 de abril de 2022 emitió la resolución correspondiente, determinándose respecto a las observaciones plasmadas en los numerales 001 y 002, que en la primera, las pruebas documentales aportadas en el recurso resultaron insuficientes para solventar la observación; y en el caso de la segunda, lo manifestado por el recurrente resultó inatendible, de acuerdo a lo expresado en el considerando séptimo de la resolución. En consecuencia, se confirmó el sentido de la valoración de las observaciones como no solventadas, con acciones de impacto económico pendientes de realizar por el sujeto fiscalizado.</w:t>
      </w:r>
    </w:p>
    <w:p w14:paraId="2F09921F" w14:textId="77777777" w:rsidR="007449FF" w:rsidRPr="007449FF" w:rsidRDefault="007449FF" w:rsidP="007449FF">
      <w:pPr>
        <w:ind w:firstLine="708"/>
        <w:jc w:val="both"/>
        <w:rPr>
          <w:rFonts w:ascii="Abadi" w:hAnsi="Abadi" w:cs="Arial"/>
          <w:sz w:val="21"/>
          <w:szCs w:val="21"/>
          <w:lang w:val="es-MX" w:eastAsia="x-none"/>
        </w:rPr>
      </w:pPr>
    </w:p>
    <w:p w14:paraId="1D378069"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En cuanto a la observación establecida en el numeral 003, se resolvió que el agravio formulado por el recurrente resultó infundado, por los argumentos señalados en el considerando séptimo de la resolución. Derivado de lo anterior, se confirmó el sentido de la valoración de la observación como no solventada, sin acciones pendientes de realizar por el sujeto fiscalizado.</w:t>
      </w:r>
    </w:p>
    <w:p w14:paraId="75460B1E" w14:textId="77777777" w:rsidR="007449FF" w:rsidRPr="007449FF" w:rsidRDefault="007449FF" w:rsidP="007449FF">
      <w:pPr>
        <w:ind w:firstLine="708"/>
        <w:jc w:val="both"/>
        <w:rPr>
          <w:rFonts w:ascii="Abadi" w:hAnsi="Abadi" w:cs="Arial"/>
          <w:sz w:val="21"/>
          <w:szCs w:val="21"/>
          <w:lang w:val="es-MX" w:eastAsia="x-none"/>
        </w:rPr>
      </w:pPr>
    </w:p>
    <w:p w14:paraId="1B2568F9" w14:textId="77777777"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es-MX" w:eastAsia="x-none"/>
        </w:rPr>
        <w:t xml:space="preserve">La referida resolución se notificó al </w:t>
      </w:r>
      <w:r w:rsidRPr="007449FF">
        <w:rPr>
          <w:rFonts w:ascii="Abadi" w:hAnsi="Abadi" w:cs="Arial"/>
          <w:sz w:val="21"/>
          <w:szCs w:val="21"/>
          <w:lang w:eastAsia="x-none"/>
        </w:rPr>
        <w:t>ex-presidente</w:t>
      </w:r>
      <w:r w:rsidRPr="007449FF">
        <w:rPr>
          <w:rFonts w:ascii="Abadi" w:hAnsi="Abadi" w:cs="Arial"/>
          <w:sz w:val="21"/>
          <w:szCs w:val="21"/>
          <w:lang w:val="es-MX" w:eastAsia="x-none"/>
        </w:rPr>
        <w:t xml:space="preserve"> municipal de San José Iturbide, Gto., el 28 de abril de 2022.</w:t>
      </w:r>
    </w:p>
    <w:p w14:paraId="0538E1AA" w14:textId="77777777" w:rsidR="007449FF" w:rsidRPr="007449FF" w:rsidRDefault="007449FF" w:rsidP="007449FF">
      <w:pPr>
        <w:ind w:firstLine="705"/>
        <w:jc w:val="both"/>
        <w:rPr>
          <w:rFonts w:ascii="Abadi" w:hAnsi="Abadi" w:cs="Arial"/>
          <w:sz w:val="21"/>
          <w:szCs w:val="21"/>
          <w:lang w:val="es-MX" w:eastAsia="x-none"/>
        </w:rPr>
      </w:pPr>
    </w:p>
    <w:p w14:paraId="7235FBFD" w14:textId="77777777" w:rsidR="007449FF" w:rsidRPr="007449FF" w:rsidRDefault="007449FF" w:rsidP="001A28E5">
      <w:pPr>
        <w:numPr>
          <w:ilvl w:val="0"/>
          <w:numId w:val="95"/>
        </w:numPr>
        <w:jc w:val="both"/>
        <w:rPr>
          <w:rFonts w:ascii="Abadi" w:hAnsi="Abadi" w:cs="Arial"/>
          <w:b/>
          <w:bCs/>
          <w:sz w:val="21"/>
          <w:szCs w:val="21"/>
          <w:lang w:val="es-MX" w:eastAsia="x-none"/>
        </w:rPr>
      </w:pPr>
      <w:r w:rsidRPr="007449FF">
        <w:rPr>
          <w:rFonts w:ascii="Abadi" w:hAnsi="Abadi" w:cs="Arial"/>
          <w:b/>
          <w:bCs/>
          <w:sz w:val="21"/>
          <w:szCs w:val="21"/>
          <w:lang w:val="es-MX" w:eastAsia="x-none"/>
        </w:rPr>
        <w:t xml:space="preserve">Anexos. </w:t>
      </w:r>
    </w:p>
    <w:p w14:paraId="1C1112D2" w14:textId="77777777" w:rsidR="007449FF" w:rsidRPr="007449FF" w:rsidRDefault="007449FF" w:rsidP="007449FF">
      <w:pPr>
        <w:ind w:firstLine="705"/>
        <w:jc w:val="both"/>
        <w:rPr>
          <w:rFonts w:ascii="Abadi" w:hAnsi="Abadi" w:cs="Arial"/>
          <w:sz w:val="21"/>
          <w:szCs w:val="21"/>
          <w:lang w:eastAsia="x-none"/>
        </w:rPr>
      </w:pPr>
    </w:p>
    <w:p w14:paraId="560BCA25" w14:textId="77777777" w:rsidR="007449FF" w:rsidRPr="007449FF" w:rsidRDefault="007449FF" w:rsidP="007449FF">
      <w:pPr>
        <w:ind w:firstLine="705"/>
        <w:jc w:val="both"/>
        <w:rPr>
          <w:rFonts w:ascii="Abadi" w:hAnsi="Abadi" w:cs="Arial"/>
          <w:sz w:val="21"/>
          <w:szCs w:val="21"/>
          <w:lang w:eastAsia="x-none"/>
        </w:rPr>
      </w:pPr>
      <w:r w:rsidRPr="007449FF">
        <w:rPr>
          <w:rFonts w:ascii="Abadi" w:hAnsi="Abadi" w:cs="Arial"/>
          <w:sz w:val="21"/>
          <w:szCs w:val="21"/>
          <w:lang w:eastAsia="x-none"/>
        </w:rPr>
        <w:t>En esta parte, se adjuntan los anexos técnicos derivados de la revisión practicada.</w:t>
      </w:r>
    </w:p>
    <w:p w14:paraId="1D56CEB3" w14:textId="77777777" w:rsidR="007449FF" w:rsidRPr="007449FF" w:rsidRDefault="007449FF" w:rsidP="007449FF">
      <w:pPr>
        <w:ind w:firstLine="705"/>
        <w:jc w:val="both"/>
        <w:rPr>
          <w:rFonts w:ascii="Abadi" w:hAnsi="Abadi" w:cs="Arial"/>
          <w:sz w:val="21"/>
          <w:szCs w:val="21"/>
          <w:lang w:eastAsia="x-none"/>
        </w:rPr>
      </w:pPr>
    </w:p>
    <w:p w14:paraId="26447A07" w14:textId="77777777" w:rsidR="007449FF" w:rsidRPr="007449FF" w:rsidRDefault="007449FF" w:rsidP="007449FF">
      <w:pPr>
        <w:ind w:firstLine="708"/>
        <w:jc w:val="both"/>
        <w:rPr>
          <w:rFonts w:ascii="Abadi" w:hAnsi="Abadi" w:cs="Arial"/>
          <w:b/>
          <w:bCs/>
          <w:sz w:val="21"/>
          <w:szCs w:val="21"/>
        </w:rPr>
      </w:pPr>
      <w:r w:rsidRPr="007449FF">
        <w:rPr>
          <w:rFonts w:ascii="Abadi" w:hAnsi="Abadi" w:cs="Arial"/>
          <w:b/>
          <w:bCs/>
          <w:sz w:val="21"/>
          <w:szCs w:val="21"/>
        </w:rPr>
        <w:t>V. Conclusiones:</w:t>
      </w:r>
    </w:p>
    <w:p w14:paraId="2C0A1F95" w14:textId="77777777" w:rsidR="007449FF" w:rsidRPr="007449FF" w:rsidRDefault="007449FF" w:rsidP="007449FF">
      <w:pPr>
        <w:jc w:val="both"/>
        <w:rPr>
          <w:rFonts w:ascii="Abadi" w:hAnsi="Abadi" w:cs="Arial"/>
          <w:sz w:val="21"/>
          <w:szCs w:val="21"/>
        </w:rPr>
      </w:pPr>
    </w:p>
    <w:p w14:paraId="1B6A6415" w14:textId="77777777" w:rsidR="007449FF" w:rsidRPr="007449FF" w:rsidRDefault="007449FF" w:rsidP="007449FF">
      <w:pPr>
        <w:jc w:val="both"/>
        <w:rPr>
          <w:rFonts w:ascii="Abadi" w:hAnsi="Abadi" w:cs="Arial"/>
          <w:sz w:val="21"/>
          <w:szCs w:val="21"/>
        </w:rPr>
      </w:pPr>
      <w:r w:rsidRPr="007449FF">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7449FF">
          <w:rPr>
            <w:rFonts w:ascii="Abadi" w:hAnsi="Abadi" w:cs="Arial"/>
            <w:sz w:val="21"/>
            <w:szCs w:val="21"/>
          </w:rPr>
          <w:t>la Ley</w:t>
        </w:r>
      </w:smartTag>
      <w:r w:rsidRPr="007449FF">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B8E4202" w14:textId="77777777" w:rsidR="007449FF" w:rsidRPr="007449FF" w:rsidRDefault="007449FF" w:rsidP="007449FF">
      <w:pPr>
        <w:jc w:val="both"/>
        <w:rPr>
          <w:rFonts w:ascii="Abadi" w:hAnsi="Abadi" w:cs="Arial"/>
          <w:sz w:val="21"/>
          <w:szCs w:val="21"/>
        </w:rPr>
      </w:pPr>
    </w:p>
    <w:p w14:paraId="73E875E5" w14:textId="0571EF8A" w:rsidR="007449FF" w:rsidRPr="007449FF" w:rsidRDefault="007449FF" w:rsidP="007449FF">
      <w:pPr>
        <w:jc w:val="both"/>
        <w:rPr>
          <w:rFonts w:ascii="Abadi" w:hAnsi="Abadi" w:cs="Arial"/>
          <w:sz w:val="21"/>
          <w:szCs w:val="21"/>
        </w:rPr>
      </w:pPr>
      <w:r w:rsidRPr="007449FF">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37FFCAFA" w14:textId="77777777" w:rsidR="007449FF" w:rsidRPr="007449FF" w:rsidRDefault="007449FF" w:rsidP="007449FF">
      <w:pPr>
        <w:ind w:firstLine="708"/>
        <w:jc w:val="both"/>
        <w:rPr>
          <w:rFonts w:ascii="Abadi" w:hAnsi="Abadi" w:cs="Arial"/>
          <w:sz w:val="21"/>
          <w:szCs w:val="21"/>
        </w:rPr>
      </w:pPr>
    </w:p>
    <w:p w14:paraId="6B1AAB2A" w14:textId="77777777" w:rsidR="007449FF" w:rsidRPr="007449FF" w:rsidRDefault="007449FF" w:rsidP="007449FF">
      <w:pPr>
        <w:ind w:firstLine="708"/>
        <w:jc w:val="both"/>
        <w:rPr>
          <w:rFonts w:ascii="Abadi" w:hAnsi="Abadi" w:cs="Arial"/>
          <w:sz w:val="21"/>
          <w:szCs w:val="21"/>
        </w:rPr>
      </w:pPr>
      <w:r w:rsidRPr="007449FF">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 la presidenta y al ex-presidente municipales de San José Iturbide, Gto., concediéndoles el plazo que establece </w:t>
      </w:r>
      <w:smartTag w:uri="urn:schemas-microsoft-com:office:smarttags" w:element="PersonName">
        <w:smartTagPr>
          <w:attr w:name="ProductID" w:val="la Ley"/>
        </w:smartTagPr>
        <w:r w:rsidRPr="007449FF">
          <w:rPr>
            <w:rFonts w:ascii="Abadi" w:hAnsi="Abadi" w:cs="Arial"/>
            <w:sz w:val="21"/>
            <w:szCs w:val="21"/>
          </w:rPr>
          <w:t>la Ley</w:t>
        </w:r>
      </w:smartTag>
      <w:r w:rsidRPr="007449FF">
        <w:rPr>
          <w:rFonts w:ascii="Abadi" w:hAnsi="Abadi" w:cs="Arial"/>
          <w:sz w:val="21"/>
          <w:szCs w:val="21"/>
        </w:rPr>
        <w:t xml:space="preserve"> para aclarar, atender o solventar documentalmente las observaciones determinadas por el Órgano Técnico. Al respecto el ex-presidente municipal de San José Iturbide, Gto., presentó información y documentación para aclarar y en su caso, solventar las observaciones determinadas y atender las recomendaciones efectuadas.</w:t>
      </w:r>
    </w:p>
    <w:p w14:paraId="79255BFF" w14:textId="77777777" w:rsidR="007449FF" w:rsidRPr="007449FF" w:rsidRDefault="007449FF" w:rsidP="007449FF">
      <w:pPr>
        <w:ind w:firstLine="708"/>
        <w:jc w:val="both"/>
        <w:rPr>
          <w:rFonts w:ascii="Abadi" w:hAnsi="Abadi" w:cs="Arial"/>
          <w:sz w:val="21"/>
          <w:szCs w:val="21"/>
        </w:rPr>
      </w:pPr>
    </w:p>
    <w:p w14:paraId="29473BA7" w14:textId="77777777" w:rsidR="007449FF" w:rsidRPr="007449FF" w:rsidRDefault="007449FF" w:rsidP="007449FF">
      <w:pPr>
        <w:ind w:firstLine="708"/>
        <w:jc w:val="both"/>
        <w:rPr>
          <w:rFonts w:ascii="Abadi" w:hAnsi="Abadi" w:cs="Arial"/>
          <w:sz w:val="21"/>
          <w:szCs w:val="21"/>
        </w:rPr>
      </w:pPr>
      <w:r w:rsidRPr="007449FF">
        <w:rPr>
          <w:rFonts w:ascii="Abadi" w:hAnsi="Abadi" w:cs="Arial"/>
          <w:sz w:val="21"/>
          <w:szCs w:val="21"/>
        </w:rPr>
        <w:t xml:space="preserve">De igual manera, existe en el informe de resultados la constancia de que este se notificó a la presidenta y al ex-presidente municipales de San José Iturbide, Gto., concediéndoles el término señalado en el artículo 37, fracción IV de </w:t>
      </w:r>
      <w:smartTag w:uri="urn:schemas-microsoft-com:office:smarttags" w:element="PersonName">
        <w:smartTagPr>
          <w:attr w:name="ProductID" w:val="la Ley"/>
        </w:smartTagPr>
        <w:r w:rsidRPr="007449FF">
          <w:rPr>
            <w:rFonts w:ascii="Abadi" w:hAnsi="Abadi" w:cs="Arial"/>
            <w:sz w:val="21"/>
            <w:szCs w:val="21"/>
          </w:rPr>
          <w:t>la Ley</w:t>
        </w:r>
      </w:smartTag>
      <w:r w:rsidRPr="007449FF">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ex-presidente municipal de San José Iturbide, Gto. En tal virtud, se considera que fue respetado el derecho de audiencia o defensa por parte del Órgano Técnico.</w:t>
      </w:r>
    </w:p>
    <w:p w14:paraId="2CC82C71" w14:textId="77777777" w:rsidR="007449FF" w:rsidRPr="007449FF" w:rsidRDefault="007449FF" w:rsidP="007449FF">
      <w:pPr>
        <w:ind w:firstLine="708"/>
        <w:jc w:val="both"/>
        <w:rPr>
          <w:rFonts w:ascii="Abadi" w:hAnsi="Abadi" w:cs="Arial"/>
          <w:sz w:val="21"/>
          <w:szCs w:val="21"/>
        </w:rPr>
      </w:pPr>
    </w:p>
    <w:p w14:paraId="0B10CD25" w14:textId="682375F4" w:rsidR="007449FF" w:rsidRPr="007449FF" w:rsidRDefault="007449FF" w:rsidP="007449FF">
      <w:pPr>
        <w:ind w:firstLine="708"/>
        <w:jc w:val="both"/>
        <w:rPr>
          <w:rFonts w:ascii="Abadi" w:hAnsi="Abadi" w:cs="Arial"/>
          <w:sz w:val="21"/>
          <w:szCs w:val="21"/>
        </w:rPr>
      </w:pPr>
      <w:r w:rsidRPr="007449FF">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1E9AB825" w14:textId="77777777" w:rsidR="007449FF" w:rsidRPr="007449FF" w:rsidRDefault="007449FF" w:rsidP="007449FF">
      <w:pPr>
        <w:ind w:firstLine="708"/>
        <w:jc w:val="both"/>
        <w:rPr>
          <w:rFonts w:ascii="Abadi" w:hAnsi="Abadi" w:cs="Arial"/>
          <w:sz w:val="21"/>
          <w:szCs w:val="21"/>
        </w:rPr>
      </w:pPr>
    </w:p>
    <w:p w14:paraId="309723A8" w14:textId="77777777" w:rsidR="007449FF" w:rsidRPr="007449FF" w:rsidRDefault="007449FF" w:rsidP="007449FF">
      <w:pPr>
        <w:ind w:firstLine="708"/>
        <w:jc w:val="both"/>
        <w:rPr>
          <w:rFonts w:ascii="Abadi" w:hAnsi="Abadi" w:cs="Arial"/>
          <w:sz w:val="21"/>
          <w:szCs w:val="21"/>
        </w:rPr>
      </w:pPr>
      <w:r w:rsidRPr="007449FF">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313FB10F" w14:textId="77777777" w:rsidR="007449FF" w:rsidRPr="007449FF" w:rsidRDefault="007449FF" w:rsidP="007449FF">
      <w:pPr>
        <w:jc w:val="both"/>
        <w:rPr>
          <w:rFonts w:ascii="Abadi" w:hAnsi="Abadi" w:cs="Arial"/>
          <w:sz w:val="21"/>
          <w:szCs w:val="21"/>
        </w:rPr>
      </w:pPr>
    </w:p>
    <w:p w14:paraId="73785BCC" w14:textId="77777777" w:rsidR="007449FF" w:rsidRPr="007449FF" w:rsidRDefault="007449FF" w:rsidP="007449FF">
      <w:pPr>
        <w:ind w:firstLine="708"/>
        <w:jc w:val="both"/>
        <w:rPr>
          <w:rFonts w:ascii="Abadi" w:hAnsi="Abadi" w:cs="Arial"/>
          <w:sz w:val="21"/>
          <w:szCs w:val="21"/>
        </w:rPr>
      </w:pPr>
      <w:r w:rsidRPr="007449FF">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recomendaciones no atendidas y a las observaciones no solventadas contenidas en el informe de resultados.</w:t>
      </w:r>
    </w:p>
    <w:p w14:paraId="6B6688A8" w14:textId="77777777" w:rsidR="007449FF" w:rsidRPr="007449FF" w:rsidRDefault="007449FF" w:rsidP="007449FF">
      <w:pPr>
        <w:ind w:firstLine="708"/>
        <w:jc w:val="both"/>
        <w:rPr>
          <w:rFonts w:ascii="Abadi" w:hAnsi="Abadi" w:cs="Arial"/>
          <w:sz w:val="21"/>
          <w:szCs w:val="21"/>
        </w:rPr>
      </w:pPr>
    </w:p>
    <w:p w14:paraId="5795966E" w14:textId="77777777" w:rsidR="007449FF" w:rsidRPr="007449FF" w:rsidRDefault="007449FF" w:rsidP="007449FF">
      <w:pPr>
        <w:ind w:firstLine="708"/>
        <w:jc w:val="both"/>
        <w:rPr>
          <w:rFonts w:ascii="Abadi" w:hAnsi="Abadi" w:cs="Arial"/>
          <w:sz w:val="21"/>
          <w:szCs w:val="21"/>
        </w:rPr>
      </w:pPr>
      <w:r w:rsidRPr="007449FF">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20B8EE7A" w14:textId="77777777" w:rsidR="007449FF" w:rsidRPr="007449FF" w:rsidRDefault="007449FF" w:rsidP="007449FF">
      <w:pPr>
        <w:ind w:firstLine="708"/>
        <w:jc w:val="both"/>
        <w:rPr>
          <w:rFonts w:ascii="Abadi" w:hAnsi="Abadi" w:cs="Arial"/>
          <w:sz w:val="21"/>
          <w:szCs w:val="21"/>
        </w:rPr>
      </w:pPr>
    </w:p>
    <w:p w14:paraId="71A1831A" w14:textId="77777777" w:rsidR="007449FF" w:rsidRPr="007449FF" w:rsidRDefault="007449FF" w:rsidP="007449FF">
      <w:pPr>
        <w:ind w:firstLine="708"/>
        <w:jc w:val="both"/>
        <w:rPr>
          <w:rFonts w:ascii="Abadi" w:hAnsi="Abadi" w:cs="Arial"/>
          <w:sz w:val="21"/>
          <w:szCs w:val="21"/>
        </w:rPr>
      </w:pPr>
      <w:r w:rsidRPr="007449FF">
        <w:rPr>
          <w:rFonts w:ascii="Abadi" w:hAnsi="Abadi" w:cs="Arial"/>
          <w:sz w:val="21"/>
          <w:szCs w:val="21"/>
        </w:rPr>
        <w:t xml:space="preserve">En razón de lo anteriormente señalado, concluimos que el informe de resultados de la revisión practicada a la cuenta pública de San José Iturbide, Gto., correspondiente al ejercicio fiscal del año 2020, debe sancionarse por el Congreso en los términos presentados por la Auditoría Superior del Estado y proceder a su aprobación, considerando que no se actualiza el supuesto contenido en el artículo 38 de </w:t>
      </w:r>
      <w:smartTag w:uri="urn:schemas-microsoft-com:office:smarttags" w:element="PersonName">
        <w:smartTagPr>
          <w:attr w:name="ProductID" w:val="la Ley"/>
        </w:smartTagPr>
        <w:r w:rsidRPr="007449FF">
          <w:rPr>
            <w:rFonts w:ascii="Abadi" w:hAnsi="Abadi" w:cs="Arial"/>
            <w:sz w:val="21"/>
            <w:szCs w:val="21"/>
          </w:rPr>
          <w:t>la Ley</w:t>
        </w:r>
      </w:smartTag>
      <w:r w:rsidRPr="007449FF">
        <w:rPr>
          <w:rFonts w:ascii="Abadi" w:hAnsi="Abadi" w:cs="Arial"/>
          <w:sz w:val="21"/>
          <w:szCs w:val="21"/>
        </w:rPr>
        <w:t xml:space="preserve"> de Fiscalización Superior del Estado de Guanajuato, razón por la cual no podría ser observado por el Pleno del Congreso.</w:t>
      </w:r>
    </w:p>
    <w:p w14:paraId="13D7DA4A" w14:textId="77777777" w:rsidR="007449FF" w:rsidRPr="007449FF" w:rsidRDefault="007449FF" w:rsidP="007449FF">
      <w:pPr>
        <w:jc w:val="both"/>
        <w:rPr>
          <w:rFonts w:ascii="Abadi" w:hAnsi="Abadi" w:cs="Arial"/>
          <w:sz w:val="21"/>
          <w:szCs w:val="21"/>
        </w:rPr>
      </w:pPr>
    </w:p>
    <w:p w14:paraId="5ADE0978" w14:textId="77777777" w:rsidR="007449FF" w:rsidRPr="007449FF" w:rsidRDefault="007449FF" w:rsidP="007449FF">
      <w:pPr>
        <w:ind w:firstLine="708"/>
        <w:jc w:val="both"/>
        <w:rPr>
          <w:rFonts w:ascii="Abadi" w:hAnsi="Abadi" w:cs="Arial"/>
          <w:sz w:val="21"/>
          <w:szCs w:val="21"/>
          <w:lang w:val="x-none" w:eastAsia="x-none"/>
        </w:rPr>
      </w:pPr>
      <w:r w:rsidRPr="007449FF">
        <w:rPr>
          <w:rFonts w:ascii="Abadi" w:hAnsi="Abadi" w:cs="Arial"/>
          <w:sz w:val="21"/>
          <w:szCs w:val="21"/>
        </w:rPr>
        <w:t xml:space="preserve">Por lo expuesto, con fundamento en el artículo 204 de </w:t>
      </w:r>
      <w:smartTag w:uri="urn:schemas-microsoft-com:office:smarttags" w:element="PersonName">
        <w:smartTagPr>
          <w:attr w:name="ProductID" w:val="la Ley Org￡nica"/>
        </w:smartTagPr>
        <w:r w:rsidRPr="007449FF">
          <w:rPr>
            <w:rFonts w:ascii="Abadi" w:hAnsi="Abadi" w:cs="Arial"/>
            <w:sz w:val="21"/>
            <w:szCs w:val="21"/>
          </w:rPr>
          <w:t>la Ley Orgánica</w:t>
        </w:r>
      </w:smartTag>
      <w:r w:rsidRPr="007449FF">
        <w:rPr>
          <w:rFonts w:ascii="Abadi" w:hAnsi="Abadi" w:cs="Arial"/>
          <w:sz w:val="21"/>
          <w:szCs w:val="21"/>
        </w:rPr>
        <w:t xml:space="preserve"> del Poder Legislativo, nos permitimos someter a la consideración de </w:t>
      </w:r>
      <w:smartTag w:uri="urn:schemas-microsoft-com:office:smarttags" w:element="PersonName">
        <w:smartTagPr>
          <w:attr w:name="ProductID" w:val="la Asamblea"/>
        </w:smartTagPr>
        <w:r w:rsidRPr="007449FF">
          <w:rPr>
            <w:rFonts w:ascii="Abadi" w:hAnsi="Abadi" w:cs="Arial"/>
            <w:sz w:val="21"/>
            <w:szCs w:val="21"/>
          </w:rPr>
          <w:t>la Asamblea</w:t>
        </w:r>
      </w:smartTag>
      <w:r w:rsidRPr="007449FF">
        <w:rPr>
          <w:rFonts w:ascii="Abadi" w:hAnsi="Abadi" w:cs="Arial"/>
          <w:sz w:val="21"/>
          <w:szCs w:val="21"/>
        </w:rPr>
        <w:t>, la aprobación del siguiente</w:t>
      </w:r>
      <w:r w:rsidRPr="007449FF">
        <w:rPr>
          <w:rFonts w:ascii="Abadi" w:hAnsi="Abadi" w:cs="Arial"/>
          <w:sz w:val="21"/>
          <w:szCs w:val="21"/>
          <w:lang w:val="x-none" w:eastAsia="x-none"/>
        </w:rPr>
        <w:t>:</w:t>
      </w:r>
    </w:p>
    <w:p w14:paraId="131E3077" w14:textId="77777777" w:rsidR="007449FF" w:rsidRPr="007449FF" w:rsidRDefault="007449FF" w:rsidP="007449FF">
      <w:pPr>
        <w:keepNext/>
        <w:jc w:val="center"/>
        <w:outlineLvl w:val="0"/>
        <w:rPr>
          <w:rFonts w:ascii="Abadi" w:eastAsia="Arial Unicode MS" w:hAnsi="Abadi" w:cs="Arial"/>
          <w:b/>
          <w:bCs/>
          <w:smallCaps/>
          <w:sz w:val="21"/>
          <w:szCs w:val="21"/>
        </w:rPr>
      </w:pPr>
    </w:p>
    <w:p w14:paraId="0835FFFA" w14:textId="77777777" w:rsidR="007449FF" w:rsidRPr="007449FF" w:rsidRDefault="007449FF" w:rsidP="007449FF">
      <w:pPr>
        <w:keepNext/>
        <w:jc w:val="center"/>
        <w:outlineLvl w:val="0"/>
        <w:rPr>
          <w:rFonts w:ascii="Abadi" w:eastAsia="Arial Unicode MS" w:hAnsi="Abadi" w:cs="Arial"/>
          <w:b/>
          <w:bCs/>
          <w:smallCaps/>
          <w:sz w:val="21"/>
          <w:szCs w:val="21"/>
        </w:rPr>
      </w:pPr>
      <w:r w:rsidRPr="007449FF">
        <w:rPr>
          <w:rFonts w:ascii="Abadi" w:eastAsia="Arial Unicode MS" w:hAnsi="Abadi" w:cs="Arial"/>
          <w:b/>
          <w:bCs/>
          <w:smallCaps/>
          <w:sz w:val="21"/>
          <w:szCs w:val="21"/>
        </w:rPr>
        <w:t>A c u e r d o</w:t>
      </w:r>
    </w:p>
    <w:p w14:paraId="1AA9DCE2" w14:textId="77777777" w:rsidR="007449FF" w:rsidRPr="007449FF" w:rsidRDefault="007449FF" w:rsidP="007449FF">
      <w:pPr>
        <w:rPr>
          <w:rFonts w:ascii="Abadi" w:hAnsi="Abadi"/>
          <w:sz w:val="21"/>
          <w:szCs w:val="21"/>
        </w:rPr>
      </w:pPr>
    </w:p>
    <w:p w14:paraId="62A1E2CD" w14:textId="156688F3" w:rsidR="007449FF" w:rsidRPr="007449FF" w:rsidRDefault="007449FF" w:rsidP="007449FF">
      <w:pPr>
        <w:ind w:firstLine="708"/>
        <w:jc w:val="both"/>
        <w:rPr>
          <w:rFonts w:ascii="Abadi" w:hAnsi="Abadi" w:cs="Arial"/>
          <w:sz w:val="21"/>
          <w:szCs w:val="21"/>
        </w:rPr>
      </w:pPr>
      <w:r w:rsidRPr="007449FF">
        <w:rPr>
          <w:rFonts w:ascii="Abadi" w:hAnsi="Abadi" w:cs="Arial"/>
          <w:b/>
          <w:bCs/>
          <w:sz w:val="21"/>
          <w:szCs w:val="21"/>
        </w:rPr>
        <w:t xml:space="preserve">Único. </w:t>
      </w:r>
      <w:r w:rsidRPr="007449FF">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7449FF">
          <w:rPr>
            <w:rFonts w:ascii="Abadi" w:hAnsi="Abadi" w:cs="Arial"/>
            <w:sz w:val="21"/>
            <w:szCs w:val="21"/>
          </w:rPr>
          <w:t>la Constitución Política</w:t>
        </w:r>
      </w:smartTag>
      <w:r w:rsidRPr="007449FF">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San José Iturbide, Gto., correspondiente al ejercicio fiscal del año 2020, con base en el informe de resultados formulado por la Auditoría Superior del Estado de Guanajuato.</w:t>
      </w:r>
    </w:p>
    <w:p w14:paraId="7786C842" w14:textId="77777777" w:rsidR="007449FF" w:rsidRPr="007449FF" w:rsidRDefault="007449FF" w:rsidP="007449FF">
      <w:pPr>
        <w:ind w:firstLine="708"/>
        <w:jc w:val="both"/>
        <w:rPr>
          <w:rFonts w:ascii="Abadi" w:hAnsi="Abadi" w:cs="Arial"/>
          <w:sz w:val="21"/>
          <w:szCs w:val="21"/>
        </w:rPr>
      </w:pPr>
    </w:p>
    <w:p w14:paraId="69C8FD1D" w14:textId="63401CA4" w:rsidR="007449FF" w:rsidRPr="007449FF" w:rsidRDefault="007449FF" w:rsidP="007449FF">
      <w:pPr>
        <w:ind w:firstLine="708"/>
        <w:jc w:val="both"/>
        <w:rPr>
          <w:rFonts w:ascii="Abadi" w:hAnsi="Abadi" w:cs="Arial"/>
          <w:sz w:val="21"/>
          <w:szCs w:val="21"/>
          <w:lang w:val="es-MX" w:eastAsia="x-none"/>
        </w:rPr>
      </w:pPr>
      <w:r w:rsidRPr="007449FF">
        <w:rPr>
          <w:rFonts w:ascii="Abadi" w:hAnsi="Abadi" w:cs="Arial"/>
          <w:sz w:val="21"/>
          <w:szCs w:val="21"/>
          <w:lang w:val="x-none" w:eastAsia="x-none"/>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7449FF">
        <w:rPr>
          <w:rFonts w:ascii="Abadi" w:hAnsi="Abadi" w:cs="Arial"/>
          <w:sz w:val="21"/>
          <w:szCs w:val="21"/>
          <w:lang w:val="es-MX" w:eastAsia="x-none"/>
        </w:rPr>
        <w:t>.</w:t>
      </w:r>
      <w:r w:rsidRPr="007449FF">
        <w:rPr>
          <w:rFonts w:ascii="Abadi" w:hAnsi="Abadi" w:cs="Arial"/>
          <w:sz w:val="21"/>
          <w:szCs w:val="21"/>
          <w:lang w:val="x-none" w:eastAsia="x-none"/>
        </w:rPr>
        <w:t xml:space="preserve"> </w:t>
      </w:r>
      <w:r w:rsidRPr="007449FF">
        <w:rPr>
          <w:rFonts w:ascii="Abadi" w:hAnsi="Abadi" w:cs="Arial"/>
          <w:sz w:val="21"/>
          <w:szCs w:val="21"/>
          <w:lang w:val="es-MX" w:eastAsia="x-none"/>
        </w:rPr>
        <w:t>Asimismo, dará</w:t>
      </w:r>
      <w:r w:rsidRPr="007449FF">
        <w:rPr>
          <w:rFonts w:ascii="Abadi" w:hAnsi="Abadi" w:cs="Arial"/>
          <w:sz w:val="21"/>
          <w:szCs w:val="21"/>
          <w:lang w:val="x-none" w:eastAsia="x-none"/>
        </w:rPr>
        <w:t xml:space="preserve"> seguimiento a la</w:t>
      </w:r>
      <w:r w:rsidRPr="007449FF">
        <w:rPr>
          <w:rFonts w:ascii="Abadi" w:hAnsi="Abadi" w:cs="Arial"/>
          <w:sz w:val="21"/>
          <w:szCs w:val="21"/>
          <w:lang w:val="es-MX" w:eastAsia="x-none"/>
        </w:rPr>
        <w:t>s</w:t>
      </w:r>
      <w:r w:rsidRPr="007449FF">
        <w:rPr>
          <w:rFonts w:ascii="Abadi" w:hAnsi="Abadi" w:cs="Arial"/>
          <w:sz w:val="21"/>
          <w:szCs w:val="21"/>
          <w:lang w:val="x-none" w:eastAsia="x-none"/>
        </w:rPr>
        <w:t xml:space="preserve"> recomendaci</w:t>
      </w:r>
      <w:r w:rsidRPr="007449FF">
        <w:rPr>
          <w:rFonts w:ascii="Abadi" w:hAnsi="Abadi" w:cs="Arial"/>
          <w:sz w:val="21"/>
          <w:szCs w:val="21"/>
          <w:lang w:val="es-MX" w:eastAsia="x-none"/>
        </w:rPr>
        <w:t>ones</w:t>
      </w:r>
      <w:r w:rsidRPr="007449FF">
        <w:rPr>
          <w:rFonts w:ascii="Abadi" w:hAnsi="Abadi" w:cs="Arial"/>
          <w:sz w:val="21"/>
          <w:szCs w:val="21"/>
          <w:lang w:val="x-none" w:eastAsia="x-none"/>
        </w:rPr>
        <w:t xml:space="preserve"> no atendida</w:t>
      </w:r>
      <w:r w:rsidRPr="007449FF">
        <w:rPr>
          <w:rFonts w:ascii="Abadi" w:hAnsi="Abadi" w:cs="Arial"/>
          <w:sz w:val="21"/>
          <w:szCs w:val="21"/>
          <w:lang w:val="es-MX" w:eastAsia="x-none"/>
        </w:rPr>
        <w:t>s</w:t>
      </w:r>
      <w:r w:rsidRPr="007449FF">
        <w:rPr>
          <w:rFonts w:ascii="Abadi" w:hAnsi="Abadi" w:cs="Arial"/>
          <w:sz w:val="21"/>
          <w:szCs w:val="21"/>
          <w:lang w:val="x-none" w:eastAsia="x-none"/>
        </w:rPr>
        <w:t xml:space="preserve"> y a las observaciones no solventadas contenidas en el informe de resultados</w:t>
      </w:r>
      <w:r w:rsidRPr="007449FF">
        <w:rPr>
          <w:rFonts w:ascii="Abadi" w:hAnsi="Abadi" w:cs="Arial"/>
          <w:sz w:val="21"/>
          <w:szCs w:val="21"/>
          <w:lang w:val="es-MX" w:eastAsia="x-none"/>
        </w:rPr>
        <w:t>.</w:t>
      </w:r>
    </w:p>
    <w:p w14:paraId="5EA33E10" w14:textId="77777777" w:rsidR="007449FF" w:rsidRPr="007449FF" w:rsidRDefault="007449FF" w:rsidP="007449FF">
      <w:pPr>
        <w:ind w:firstLine="708"/>
        <w:jc w:val="both"/>
        <w:rPr>
          <w:rFonts w:ascii="Abadi" w:hAnsi="Abadi" w:cs="Arial"/>
          <w:sz w:val="21"/>
          <w:szCs w:val="21"/>
          <w:lang w:val="es-MX" w:eastAsia="x-none"/>
        </w:rPr>
      </w:pPr>
    </w:p>
    <w:p w14:paraId="3790E7AB" w14:textId="77777777" w:rsidR="007449FF" w:rsidRPr="007449FF" w:rsidRDefault="007449FF" w:rsidP="007449FF">
      <w:pPr>
        <w:ind w:firstLine="708"/>
        <w:jc w:val="both"/>
        <w:rPr>
          <w:rFonts w:ascii="Abadi" w:hAnsi="Abadi" w:cs="Arial"/>
          <w:sz w:val="21"/>
          <w:szCs w:val="21"/>
        </w:rPr>
      </w:pPr>
      <w:r w:rsidRPr="007449FF">
        <w:rPr>
          <w:rFonts w:ascii="Abadi" w:hAnsi="Abadi" w:cs="Arial"/>
          <w:sz w:val="21"/>
          <w:szCs w:val="21"/>
        </w:rPr>
        <w:t xml:space="preserve">Se ordena dar vista del informe de resultados al ayuntamiento del municipio de </w:t>
      </w:r>
      <w:r w:rsidRPr="007449FF">
        <w:rPr>
          <w:rFonts w:ascii="Abadi" w:hAnsi="Abadi" w:cs="Arial"/>
          <w:sz w:val="21"/>
          <w:szCs w:val="21"/>
          <w:lang w:val="es-MX"/>
        </w:rPr>
        <w:t>San José Iturbide,</w:t>
      </w:r>
      <w:r w:rsidRPr="007449FF">
        <w:rPr>
          <w:rFonts w:ascii="Abadi" w:hAnsi="Abadi" w:cs="Arial"/>
          <w:sz w:val="21"/>
          <w:szCs w:val="21"/>
        </w:rPr>
        <w:t xml:space="preserve"> Gto., a efecto de que se atiendan las recomendaciones contenidas en dicho informe, en el plazo que establece el artículo 66 de </w:t>
      </w:r>
      <w:smartTag w:uri="urn:schemas-microsoft-com:office:smarttags" w:element="PersonName">
        <w:smartTagPr>
          <w:attr w:name="ProductID" w:val="la Ley"/>
        </w:smartTagPr>
        <w:r w:rsidRPr="007449FF">
          <w:rPr>
            <w:rFonts w:ascii="Abadi" w:hAnsi="Abadi" w:cs="Arial"/>
            <w:sz w:val="21"/>
            <w:szCs w:val="21"/>
          </w:rPr>
          <w:t>la Ley</w:t>
        </w:r>
      </w:smartTag>
      <w:r w:rsidRPr="007449FF">
        <w:rPr>
          <w:rFonts w:ascii="Abadi" w:hAnsi="Abadi" w:cs="Arial"/>
          <w:sz w:val="21"/>
          <w:szCs w:val="21"/>
        </w:rPr>
        <w:t xml:space="preserve"> de Fiscalización Superior del Estado de Guanajuato, informando a la Auditoría Superior del Estado de Guanajuato de las acciones realizadas para ello, con objeto de que esta última realice el seguimiento correspondiente.</w:t>
      </w:r>
    </w:p>
    <w:p w14:paraId="23E4D25C" w14:textId="77777777" w:rsidR="007449FF" w:rsidRPr="007449FF" w:rsidRDefault="007449FF" w:rsidP="007449FF">
      <w:pPr>
        <w:jc w:val="both"/>
        <w:rPr>
          <w:rFonts w:ascii="Abadi" w:hAnsi="Abadi" w:cs="Arial"/>
          <w:sz w:val="21"/>
          <w:szCs w:val="21"/>
        </w:rPr>
      </w:pPr>
    </w:p>
    <w:p w14:paraId="1C66CBEC" w14:textId="77777777" w:rsidR="007449FF" w:rsidRPr="007449FF" w:rsidRDefault="007449FF" w:rsidP="007449FF">
      <w:pPr>
        <w:ind w:firstLine="708"/>
        <w:jc w:val="both"/>
        <w:rPr>
          <w:rFonts w:ascii="Abadi" w:hAnsi="Abadi" w:cs="Arial"/>
          <w:sz w:val="21"/>
          <w:szCs w:val="21"/>
        </w:rPr>
      </w:pPr>
      <w:r w:rsidRPr="007449FF">
        <w:rPr>
          <w:rFonts w:ascii="Abadi" w:hAnsi="Abadi" w:cs="Arial"/>
          <w:sz w:val="21"/>
          <w:szCs w:val="21"/>
        </w:rPr>
        <w:t>Remítase el presente acuerdo al titular del Poder Ejecutivo del Estado para su publicación en el Periódico Oficial del Gobierno del Estado.</w:t>
      </w:r>
    </w:p>
    <w:p w14:paraId="2BAA82AB" w14:textId="77777777" w:rsidR="007449FF" w:rsidRPr="007449FF" w:rsidRDefault="007449FF" w:rsidP="007449FF">
      <w:pPr>
        <w:jc w:val="both"/>
        <w:rPr>
          <w:rFonts w:ascii="Abadi" w:hAnsi="Abadi" w:cs="Arial"/>
          <w:sz w:val="21"/>
          <w:szCs w:val="21"/>
        </w:rPr>
      </w:pPr>
    </w:p>
    <w:p w14:paraId="47639F0E" w14:textId="77777777" w:rsidR="007449FF" w:rsidRPr="007449FF" w:rsidRDefault="007449FF" w:rsidP="007449FF">
      <w:pPr>
        <w:ind w:firstLine="708"/>
        <w:jc w:val="both"/>
        <w:rPr>
          <w:rFonts w:ascii="Abadi" w:hAnsi="Abadi" w:cs="Arial"/>
          <w:sz w:val="21"/>
          <w:szCs w:val="21"/>
          <w:lang w:val="x-none" w:eastAsia="x-none"/>
        </w:rPr>
      </w:pPr>
      <w:r w:rsidRPr="007449FF">
        <w:rPr>
          <w:rFonts w:ascii="Abadi" w:hAnsi="Abadi" w:cs="Arial"/>
          <w:sz w:val="21"/>
          <w:szCs w:val="21"/>
          <w:lang w:val="x-none"/>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7449FF">
        <w:rPr>
          <w:rFonts w:ascii="Abadi" w:hAnsi="Abadi" w:cs="Arial"/>
          <w:sz w:val="21"/>
          <w:szCs w:val="21"/>
          <w:lang w:val="x-none" w:eastAsia="x-none"/>
        </w:rPr>
        <w:t>.</w:t>
      </w:r>
    </w:p>
    <w:p w14:paraId="53D9BA1F" w14:textId="77777777" w:rsidR="007449FF" w:rsidRPr="007449FF" w:rsidRDefault="007449FF" w:rsidP="007449FF">
      <w:pPr>
        <w:jc w:val="center"/>
        <w:rPr>
          <w:rFonts w:ascii="Abadi" w:hAnsi="Abadi" w:cs="Arial"/>
          <w:b/>
          <w:bCs/>
          <w:sz w:val="21"/>
          <w:szCs w:val="21"/>
          <w:lang w:eastAsia="x-none"/>
        </w:rPr>
      </w:pPr>
    </w:p>
    <w:p w14:paraId="62C60F87" w14:textId="77777777" w:rsidR="007449FF" w:rsidRPr="007449FF" w:rsidRDefault="007449FF" w:rsidP="007449FF">
      <w:pPr>
        <w:jc w:val="center"/>
        <w:rPr>
          <w:rFonts w:ascii="Abadi" w:hAnsi="Abadi" w:cs="Arial"/>
          <w:b/>
          <w:bCs/>
          <w:sz w:val="21"/>
          <w:szCs w:val="21"/>
          <w:lang w:eastAsia="x-none"/>
        </w:rPr>
      </w:pPr>
      <w:r w:rsidRPr="007449FF">
        <w:rPr>
          <w:rFonts w:ascii="Abadi" w:hAnsi="Abadi" w:cs="Arial"/>
          <w:b/>
          <w:bCs/>
          <w:sz w:val="21"/>
          <w:szCs w:val="21"/>
          <w:lang w:eastAsia="x-none"/>
        </w:rPr>
        <w:t>Guanajuato, Gto., 20 de junio de 2022</w:t>
      </w:r>
    </w:p>
    <w:p w14:paraId="634E86D5" w14:textId="77777777" w:rsidR="007449FF" w:rsidRPr="007449FF" w:rsidRDefault="007449FF" w:rsidP="007449FF">
      <w:pPr>
        <w:jc w:val="center"/>
        <w:rPr>
          <w:rFonts w:ascii="Abadi" w:hAnsi="Abadi" w:cs="Arial"/>
          <w:b/>
          <w:bCs/>
          <w:sz w:val="21"/>
          <w:szCs w:val="21"/>
          <w:lang w:eastAsia="x-none"/>
        </w:rPr>
      </w:pPr>
      <w:smartTag w:uri="urn:schemas-microsoft-com:office:smarttags" w:element="PersonName">
        <w:smartTagPr>
          <w:attr w:name="ProductID" w:val="La Comisi￳n"/>
        </w:smartTagPr>
        <w:r w:rsidRPr="007449FF">
          <w:rPr>
            <w:rFonts w:ascii="Abadi" w:hAnsi="Abadi" w:cs="Arial"/>
            <w:b/>
            <w:bCs/>
            <w:sz w:val="21"/>
            <w:szCs w:val="21"/>
            <w:lang w:eastAsia="x-none"/>
          </w:rPr>
          <w:t>La Comisión</w:t>
        </w:r>
      </w:smartTag>
      <w:r w:rsidRPr="007449FF">
        <w:rPr>
          <w:rFonts w:ascii="Abadi" w:hAnsi="Abadi" w:cs="Arial"/>
          <w:b/>
          <w:bCs/>
          <w:sz w:val="21"/>
          <w:szCs w:val="21"/>
          <w:lang w:eastAsia="x-none"/>
        </w:rPr>
        <w:t xml:space="preserve"> de Hacienda y Fiscalización</w:t>
      </w:r>
    </w:p>
    <w:p w14:paraId="56977C95" w14:textId="77777777" w:rsidR="007449FF" w:rsidRPr="007449FF" w:rsidRDefault="007449FF" w:rsidP="007449FF">
      <w:pPr>
        <w:jc w:val="center"/>
        <w:rPr>
          <w:rFonts w:ascii="Abadi" w:hAnsi="Abadi" w:cs="Arial"/>
          <w:i/>
          <w:iCs/>
          <w:sz w:val="21"/>
          <w:szCs w:val="21"/>
          <w:lang w:eastAsia="x-none"/>
        </w:rPr>
      </w:pPr>
      <w:r w:rsidRPr="007449FF">
        <w:rPr>
          <w:rFonts w:ascii="Abadi" w:hAnsi="Abadi" w:cs="Arial"/>
          <w:i/>
          <w:iCs/>
          <w:sz w:val="21"/>
          <w:szCs w:val="21"/>
          <w:lang w:eastAsia="x-none"/>
        </w:rPr>
        <w:t>Firma electrónica</w:t>
      </w:r>
    </w:p>
    <w:p w14:paraId="0C934CDA" w14:textId="77777777" w:rsidR="007449FF" w:rsidRPr="007449FF" w:rsidRDefault="007449FF" w:rsidP="007449FF">
      <w:pPr>
        <w:jc w:val="center"/>
        <w:rPr>
          <w:rFonts w:ascii="Abadi" w:hAnsi="Abadi" w:cs="Arial"/>
          <w:i/>
          <w:iCs/>
          <w:sz w:val="21"/>
          <w:szCs w:val="21"/>
        </w:rPr>
      </w:pPr>
    </w:p>
    <w:p w14:paraId="09F8102E" w14:textId="77777777" w:rsidR="007449FF" w:rsidRPr="007449FF" w:rsidRDefault="007449FF" w:rsidP="007449FF">
      <w:pPr>
        <w:jc w:val="center"/>
        <w:rPr>
          <w:rFonts w:ascii="Abadi" w:hAnsi="Abadi" w:cs="Arial"/>
          <w:sz w:val="21"/>
          <w:szCs w:val="21"/>
        </w:rPr>
      </w:pPr>
    </w:p>
    <w:p w14:paraId="222D6B28" w14:textId="524CD762" w:rsidR="007449FF" w:rsidRDefault="007449FF" w:rsidP="007449FF">
      <w:pPr>
        <w:jc w:val="center"/>
        <w:rPr>
          <w:rFonts w:ascii="Abadi" w:hAnsi="Abadi" w:cs="Arial"/>
          <w:sz w:val="21"/>
          <w:szCs w:val="21"/>
        </w:rPr>
      </w:pPr>
      <w:r w:rsidRPr="007449FF">
        <w:rPr>
          <w:rFonts w:ascii="Abadi" w:hAnsi="Abadi" w:cs="Arial"/>
          <w:b/>
          <w:sz w:val="21"/>
          <w:szCs w:val="21"/>
          <w:lang w:eastAsia="x-none"/>
        </w:rPr>
        <w:t>Diputado Víctor Manuel Zanella Huerta</w:t>
      </w:r>
    </w:p>
    <w:p w14:paraId="68EFB034" w14:textId="77777777" w:rsidR="007449FF" w:rsidRPr="007449FF" w:rsidRDefault="007449FF" w:rsidP="007449FF">
      <w:pPr>
        <w:jc w:val="center"/>
        <w:rPr>
          <w:rFonts w:ascii="Abadi" w:hAnsi="Abadi" w:cs="Arial"/>
          <w:sz w:val="21"/>
          <w:szCs w:val="21"/>
        </w:rPr>
      </w:pPr>
    </w:p>
    <w:p w14:paraId="43749C06" w14:textId="77777777" w:rsidR="007449FF" w:rsidRPr="007449FF" w:rsidRDefault="007449FF" w:rsidP="007449FF">
      <w:pPr>
        <w:jc w:val="center"/>
        <w:rPr>
          <w:rFonts w:ascii="Abadi" w:hAnsi="Abadi" w:cs="Arial"/>
          <w:b/>
          <w:bCs/>
          <w:sz w:val="21"/>
          <w:szCs w:val="21"/>
          <w:lang w:eastAsia="x-none"/>
        </w:rPr>
      </w:pPr>
    </w:p>
    <w:p w14:paraId="6B925863" w14:textId="71171B71" w:rsidR="007449FF" w:rsidRPr="007449FF" w:rsidRDefault="007449FF" w:rsidP="007449FF">
      <w:pPr>
        <w:jc w:val="center"/>
        <w:rPr>
          <w:rFonts w:ascii="Abadi" w:hAnsi="Abadi" w:cs="Arial"/>
          <w:b/>
          <w:sz w:val="21"/>
          <w:szCs w:val="21"/>
          <w:lang w:eastAsia="x-none"/>
        </w:rPr>
      </w:pPr>
      <w:r w:rsidRPr="007449FF">
        <w:rPr>
          <w:rFonts w:ascii="Abadi" w:hAnsi="Abadi" w:cs="Arial"/>
          <w:b/>
          <w:sz w:val="21"/>
          <w:szCs w:val="21"/>
          <w:lang w:eastAsia="x-none"/>
        </w:rPr>
        <w:t>Diputada Ruth Noemí Tiscareño Agoitia</w:t>
      </w:r>
    </w:p>
    <w:p w14:paraId="6855AF5F" w14:textId="77777777" w:rsidR="007449FF" w:rsidRPr="007449FF" w:rsidRDefault="007449FF" w:rsidP="007449FF">
      <w:pPr>
        <w:jc w:val="center"/>
        <w:rPr>
          <w:rFonts w:ascii="Abadi" w:hAnsi="Abadi" w:cs="Arial"/>
          <w:b/>
          <w:sz w:val="21"/>
          <w:szCs w:val="21"/>
          <w:lang w:eastAsia="x-none"/>
        </w:rPr>
      </w:pPr>
    </w:p>
    <w:p w14:paraId="3A35AE72" w14:textId="77777777" w:rsidR="007449FF" w:rsidRPr="007449FF" w:rsidRDefault="007449FF" w:rsidP="007449FF">
      <w:pPr>
        <w:jc w:val="center"/>
        <w:rPr>
          <w:rFonts w:ascii="Abadi" w:hAnsi="Abadi" w:cs="Arial"/>
          <w:b/>
          <w:sz w:val="21"/>
          <w:szCs w:val="21"/>
          <w:lang w:eastAsia="x-none"/>
        </w:rPr>
      </w:pPr>
    </w:p>
    <w:p w14:paraId="38722A93" w14:textId="1E84A3F5" w:rsidR="007449FF" w:rsidRPr="007449FF" w:rsidRDefault="007449FF" w:rsidP="007449FF">
      <w:pPr>
        <w:jc w:val="center"/>
        <w:rPr>
          <w:rFonts w:ascii="Abadi" w:hAnsi="Abadi" w:cs="Arial"/>
          <w:b/>
          <w:sz w:val="21"/>
          <w:szCs w:val="21"/>
          <w:lang w:eastAsia="x-none"/>
        </w:rPr>
      </w:pPr>
      <w:r w:rsidRPr="007449FF">
        <w:rPr>
          <w:rFonts w:ascii="Abadi" w:hAnsi="Abadi" w:cs="Arial"/>
          <w:b/>
          <w:sz w:val="21"/>
          <w:szCs w:val="21"/>
          <w:lang w:eastAsia="x-none"/>
        </w:rPr>
        <w:t>Diputado Miguel Ángel Salim Alle</w:t>
      </w:r>
    </w:p>
    <w:p w14:paraId="0ED8171B" w14:textId="77777777" w:rsidR="007449FF" w:rsidRPr="007449FF" w:rsidRDefault="007449FF" w:rsidP="007449FF">
      <w:pPr>
        <w:jc w:val="center"/>
        <w:rPr>
          <w:rFonts w:ascii="Abadi" w:hAnsi="Abadi" w:cs="Arial"/>
          <w:b/>
          <w:sz w:val="21"/>
          <w:szCs w:val="21"/>
          <w:lang w:eastAsia="x-none"/>
        </w:rPr>
      </w:pPr>
    </w:p>
    <w:p w14:paraId="12FB2826" w14:textId="77777777" w:rsidR="007449FF" w:rsidRPr="007449FF" w:rsidRDefault="007449FF" w:rsidP="007449FF">
      <w:pPr>
        <w:jc w:val="center"/>
        <w:rPr>
          <w:rFonts w:ascii="Abadi" w:hAnsi="Abadi" w:cs="Arial"/>
          <w:b/>
          <w:sz w:val="21"/>
          <w:szCs w:val="21"/>
          <w:lang w:eastAsia="x-none"/>
        </w:rPr>
      </w:pPr>
    </w:p>
    <w:p w14:paraId="59BD9AF6" w14:textId="26F01706" w:rsidR="007449FF" w:rsidRPr="007449FF" w:rsidRDefault="007449FF" w:rsidP="007449FF">
      <w:pPr>
        <w:jc w:val="center"/>
        <w:rPr>
          <w:rFonts w:ascii="Abadi" w:hAnsi="Abadi" w:cs="Arial"/>
          <w:b/>
          <w:sz w:val="21"/>
          <w:szCs w:val="21"/>
          <w:lang w:eastAsia="x-none"/>
        </w:rPr>
      </w:pPr>
      <w:r w:rsidRPr="007449FF">
        <w:rPr>
          <w:rFonts w:ascii="Abadi" w:hAnsi="Abadi" w:cs="Arial"/>
          <w:b/>
          <w:sz w:val="21"/>
          <w:szCs w:val="21"/>
          <w:lang w:eastAsia="x-none"/>
        </w:rPr>
        <w:t>Diputado José Alfonso Borja Pimentel</w:t>
      </w:r>
    </w:p>
    <w:p w14:paraId="59EEBC89" w14:textId="77777777" w:rsidR="007449FF" w:rsidRPr="007449FF" w:rsidRDefault="007449FF" w:rsidP="007449FF">
      <w:pPr>
        <w:jc w:val="center"/>
        <w:rPr>
          <w:rFonts w:ascii="Abadi" w:hAnsi="Abadi" w:cs="Arial"/>
          <w:b/>
          <w:sz w:val="21"/>
          <w:szCs w:val="21"/>
          <w:lang w:eastAsia="x-none"/>
        </w:rPr>
      </w:pPr>
    </w:p>
    <w:p w14:paraId="36C3C690" w14:textId="77777777" w:rsidR="007449FF" w:rsidRPr="007449FF" w:rsidRDefault="007449FF" w:rsidP="007449FF">
      <w:pPr>
        <w:jc w:val="center"/>
        <w:rPr>
          <w:rFonts w:ascii="Abadi" w:hAnsi="Abadi" w:cs="Arial"/>
          <w:b/>
          <w:sz w:val="21"/>
          <w:szCs w:val="21"/>
          <w:lang w:eastAsia="x-none"/>
        </w:rPr>
      </w:pPr>
      <w:r w:rsidRPr="007449FF">
        <w:rPr>
          <w:rFonts w:ascii="Abadi" w:hAnsi="Abadi" w:cs="Arial"/>
          <w:b/>
          <w:sz w:val="21"/>
          <w:szCs w:val="21"/>
          <w:lang w:eastAsia="x-none"/>
        </w:rPr>
        <w:t>Diputada Alma Edwviges Alcaraz Hernández</w:t>
      </w:r>
    </w:p>
    <w:p w14:paraId="21F9EA4A" w14:textId="5177BB49" w:rsidR="006B00FD" w:rsidRDefault="007449FF" w:rsidP="007449FF">
      <w:pPr>
        <w:tabs>
          <w:tab w:val="left" w:pos="856"/>
        </w:tabs>
        <w:kinsoku w:val="0"/>
        <w:overflowPunct w:val="0"/>
        <w:autoSpaceDE w:val="0"/>
        <w:autoSpaceDN w:val="0"/>
        <w:adjustRightInd w:val="0"/>
        <w:ind w:right="17"/>
        <w:jc w:val="center"/>
        <w:rPr>
          <w:rFonts w:ascii="Abadi" w:hAnsi="Abadi"/>
          <w:sz w:val="20"/>
          <w:szCs w:val="20"/>
        </w:rPr>
      </w:pPr>
      <w:r w:rsidRPr="007449FF">
        <w:rPr>
          <w:rFonts w:ascii="Abadi" w:hAnsi="Abadi" w:cs="Arial"/>
          <w:bCs/>
          <w:i/>
          <w:iCs/>
          <w:sz w:val="21"/>
          <w:szCs w:val="21"/>
          <w:lang w:eastAsia="x-none"/>
        </w:rPr>
        <w:t>Voto en contra</w:t>
      </w:r>
    </w:p>
    <w:p w14:paraId="6ED7D735" w14:textId="69680D5A" w:rsidR="003E74BC" w:rsidRDefault="003E74BC" w:rsidP="006B00FD">
      <w:pPr>
        <w:tabs>
          <w:tab w:val="left" w:pos="856"/>
        </w:tabs>
        <w:kinsoku w:val="0"/>
        <w:overflowPunct w:val="0"/>
        <w:autoSpaceDE w:val="0"/>
        <w:autoSpaceDN w:val="0"/>
        <w:adjustRightInd w:val="0"/>
        <w:ind w:right="17"/>
        <w:jc w:val="both"/>
        <w:rPr>
          <w:rFonts w:ascii="Abadi" w:hAnsi="Abadi"/>
          <w:sz w:val="20"/>
          <w:szCs w:val="20"/>
        </w:rPr>
      </w:pPr>
    </w:p>
    <w:p w14:paraId="57D534B3" w14:textId="77777777" w:rsidR="003E74BC" w:rsidRPr="003E74BC" w:rsidRDefault="003E74BC" w:rsidP="006B00FD">
      <w:pPr>
        <w:tabs>
          <w:tab w:val="left" w:pos="856"/>
        </w:tabs>
        <w:kinsoku w:val="0"/>
        <w:overflowPunct w:val="0"/>
        <w:autoSpaceDE w:val="0"/>
        <w:autoSpaceDN w:val="0"/>
        <w:adjustRightInd w:val="0"/>
        <w:ind w:right="17"/>
        <w:jc w:val="both"/>
        <w:rPr>
          <w:rFonts w:ascii="Abadi" w:hAnsi="Abadi"/>
          <w:sz w:val="20"/>
          <w:szCs w:val="20"/>
        </w:rPr>
      </w:pPr>
    </w:p>
    <w:p w14:paraId="0DEFE906" w14:textId="0CDD7F14" w:rsidR="00FF1C1F" w:rsidRDefault="00FF1C1F"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1"/>
          <w:sz w:val="20"/>
          <w:szCs w:val="20"/>
        </w:rPr>
        <w:t xml:space="preserve"> </w:t>
      </w:r>
      <w:r w:rsidRPr="00531B12">
        <w:rPr>
          <w:rFonts w:ascii="Abadi" w:hAnsi="Abadi"/>
          <w:b/>
          <w:bCs/>
          <w:sz w:val="20"/>
          <w:szCs w:val="20"/>
        </w:rPr>
        <w:t>Y,</w:t>
      </w:r>
      <w:r w:rsidRPr="00531B12">
        <w:rPr>
          <w:rFonts w:ascii="Abadi" w:hAnsi="Abadi"/>
          <w:b/>
          <w:bCs/>
          <w:spacing w:val="11"/>
          <w:sz w:val="20"/>
          <w:szCs w:val="20"/>
        </w:rPr>
        <w:t xml:space="preserve"> </w:t>
      </w:r>
      <w:r w:rsidRPr="00531B12">
        <w:rPr>
          <w:rFonts w:ascii="Abadi" w:hAnsi="Abadi"/>
          <w:b/>
          <w:bCs/>
          <w:sz w:val="20"/>
          <w:szCs w:val="20"/>
        </w:rPr>
        <w:t>EN</w:t>
      </w:r>
      <w:r w:rsidRPr="00531B12">
        <w:rPr>
          <w:rFonts w:ascii="Abadi" w:hAnsi="Abadi"/>
          <w:b/>
          <w:bCs/>
          <w:spacing w:val="11"/>
          <w:sz w:val="20"/>
          <w:szCs w:val="20"/>
        </w:rPr>
        <w:t xml:space="preserve"> </w:t>
      </w:r>
      <w:r w:rsidRPr="00531B12">
        <w:rPr>
          <w:rFonts w:ascii="Abadi" w:hAnsi="Abadi"/>
          <w:b/>
          <w:bCs/>
          <w:sz w:val="20"/>
          <w:szCs w:val="20"/>
        </w:rPr>
        <w:t>SU</w:t>
      </w:r>
      <w:r w:rsidRPr="00531B12">
        <w:rPr>
          <w:rFonts w:ascii="Abadi" w:hAnsi="Abadi"/>
          <w:b/>
          <w:bCs/>
          <w:spacing w:val="11"/>
          <w:sz w:val="20"/>
          <w:szCs w:val="20"/>
        </w:rPr>
        <w:t xml:space="preserve"> </w:t>
      </w:r>
      <w:r w:rsidRPr="00531B12">
        <w:rPr>
          <w:rFonts w:ascii="Abadi" w:hAnsi="Abadi"/>
          <w:b/>
          <w:bCs/>
          <w:sz w:val="20"/>
          <w:szCs w:val="20"/>
        </w:rPr>
        <w:t>CASO,</w:t>
      </w:r>
      <w:r w:rsidRPr="00531B12">
        <w:rPr>
          <w:rFonts w:ascii="Abadi" w:hAnsi="Abadi"/>
          <w:b/>
          <w:bCs/>
          <w:spacing w:val="11"/>
          <w:sz w:val="20"/>
          <w:szCs w:val="20"/>
        </w:rPr>
        <w:t xml:space="preserve"> </w:t>
      </w:r>
      <w:r w:rsidRPr="00531B12">
        <w:rPr>
          <w:rFonts w:ascii="Abadi" w:hAnsi="Abadi"/>
          <w:b/>
          <w:bCs/>
          <w:sz w:val="20"/>
          <w:szCs w:val="20"/>
        </w:rPr>
        <w:t>APROBACIÓN</w:t>
      </w:r>
      <w:r w:rsidRPr="00531B12">
        <w:rPr>
          <w:rFonts w:ascii="Abadi" w:hAnsi="Abadi"/>
          <w:b/>
          <w:bCs/>
          <w:spacing w:val="11"/>
          <w:sz w:val="20"/>
          <w:szCs w:val="20"/>
        </w:rPr>
        <w:t xml:space="preserve"> </w:t>
      </w:r>
      <w:r w:rsidRPr="00531B12">
        <w:rPr>
          <w:rFonts w:ascii="Abadi" w:hAnsi="Abadi"/>
          <w:b/>
          <w:bCs/>
          <w:sz w:val="20"/>
          <w:szCs w:val="20"/>
        </w:rPr>
        <w:t>DEL</w:t>
      </w:r>
      <w:r w:rsidRPr="00531B12">
        <w:rPr>
          <w:rFonts w:ascii="Abadi" w:hAnsi="Abadi"/>
          <w:b/>
          <w:bCs/>
          <w:spacing w:val="11"/>
          <w:sz w:val="20"/>
          <w:szCs w:val="20"/>
        </w:rPr>
        <w:t xml:space="preserve"> </w:t>
      </w:r>
      <w:r w:rsidRPr="00531B12">
        <w:rPr>
          <w:rFonts w:ascii="Abadi" w:hAnsi="Abadi"/>
          <w:b/>
          <w:bCs/>
          <w:sz w:val="20"/>
          <w:szCs w:val="20"/>
        </w:rPr>
        <w:t>DICTAMEN</w:t>
      </w:r>
      <w:r w:rsidRPr="00531B12">
        <w:rPr>
          <w:rFonts w:ascii="Abadi" w:hAnsi="Abadi"/>
          <w:b/>
          <w:bCs/>
          <w:spacing w:val="11"/>
          <w:sz w:val="20"/>
          <w:szCs w:val="20"/>
        </w:rPr>
        <w:t xml:space="preserve"> </w:t>
      </w:r>
      <w:r w:rsidRPr="00531B12">
        <w:rPr>
          <w:rFonts w:ascii="Abadi" w:hAnsi="Abadi"/>
          <w:b/>
          <w:bCs/>
          <w:sz w:val="20"/>
          <w:szCs w:val="20"/>
        </w:rPr>
        <w:t>SIGNADO</w:t>
      </w:r>
      <w:r w:rsidRPr="00531B12">
        <w:rPr>
          <w:rFonts w:ascii="Abadi" w:hAnsi="Abadi"/>
          <w:b/>
          <w:bCs/>
          <w:spacing w:val="11"/>
          <w:sz w:val="20"/>
          <w:szCs w:val="20"/>
        </w:rPr>
        <w:t xml:space="preserve"> </w:t>
      </w:r>
      <w:r w:rsidRPr="00531B12">
        <w:rPr>
          <w:rFonts w:ascii="Abadi" w:hAnsi="Abadi"/>
          <w:b/>
          <w:bCs/>
          <w:sz w:val="20"/>
          <w:szCs w:val="20"/>
        </w:rPr>
        <w:t>POR</w:t>
      </w:r>
      <w:r w:rsidRPr="00531B12">
        <w:rPr>
          <w:rFonts w:ascii="Abadi" w:hAnsi="Abadi"/>
          <w:b/>
          <w:bCs/>
          <w:spacing w:val="11"/>
          <w:sz w:val="20"/>
          <w:szCs w:val="20"/>
        </w:rPr>
        <w:t xml:space="preserve"> </w:t>
      </w:r>
      <w:r w:rsidRPr="00531B12">
        <w:rPr>
          <w:rFonts w:ascii="Abadi" w:hAnsi="Abadi"/>
          <w:b/>
          <w:bCs/>
          <w:sz w:val="20"/>
          <w:szCs w:val="20"/>
        </w:rPr>
        <w:t>LA</w:t>
      </w:r>
      <w:r w:rsidRPr="00531B12">
        <w:rPr>
          <w:rFonts w:ascii="Abadi" w:hAnsi="Abadi"/>
          <w:b/>
          <w:bCs/>
          <w:spacing w:val="11"/>
          <w:sz w:val="20"/>
          <w:szCs w:val="20"/>
        </w:rPr>
        <w:t xml:space="preserve"> </w:t>
      </w:r>
      <w:r w:rsidRPr="00531B12">
        <w:rPr>
          <w:rFonts w:ascii="Abadi" w:hAnsi="Abadi"/>
          <w:b/>
          <w:bCs/>
          <w:sz w:val="20"/>
          <w:szCs w:val="20"/>
        </w:rPr>
        <w:t>COMISIÓN DE</w:t>
      </w:r>
      <w:r w:rsidRPr="00531B12">
        <w:rPr>
          <w:rFonts w:ascii="Abadi" w:hAnsi="Abadi"/>
          <w:b/>
          <w:bCs/>
          <w:spacing w:val="10"/>
          <w:sz w:val="20"/>
          <w:szCs w:val="20"/>
        </w:rPr>
        <w:t xml:space="preserve"> </w:t>
      </w:r>
      <w:r w:rsidRPr="00531B12">
        <w:rPr>
          <w:rFonts w:ascii="Abadi" w:hAnsi="Abadi"/>
          <w:b/>
          <w:bCs/>
          <w:sz w:val="20"/>
          <w:szCs w:val="20"/>
        </w:rPr>
        <w:t>HACIENDA</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0"/>
          <w:sz w:val="20"/>
          <w:szCs w:val="20"/>
        </w:rPr>
        <w:t xml:space="preserve"> </w:t>
      </w:r>
      <w:r w:rsidRPr="00531B12">
        <w:rPr>
          <w:rFonts w:ascii="Abadi" w:hAnsi="Abadi"/>
          <w:b/>
          <w:bCs/>
          <w:sz w:val="20"/>
          <w:szCs w:val="20"/>
        </w:rPr>
        <w:t>FISCALIZACIÓN</w:t>
      </w:r>
      <w:r w:rsidRPr="00531B12">
        <w:rPr>
          <w:rFonts w:ascii="Abadi" w:hAnsi="Abadi"/>
          <w:b/>
          <w:bCs/>
          <w:spacing w:val="10"/>
          <w:sz w:val="20"/>
          <w:szCs w:val="20"/>
        </w:rPr>
        <w:t xml:space="preserve"> </w:t>
      </w:r>
      <w:r w:rsidRPr="00531B12">
        <w:rPr>
          <w:rFonts w:ascii="Abadi" w:hAnsi="Abadi"/>
          <w:b/>
          <w:bCs/>
          <w:sz w:val="20"/>
          <w:szCs w:val="20"/>
        </w:rPr>
        <w:t>RELATIVO</w:t>
      </w:r>
      <w:r w:rsidRPr="00531B12">
        <w:rPr>
          <w:rFonts w:ascii="Abadi" w:hAnsi="Abadi"/>
          <w:b/>
          <w:bCs/>
          <w:spacing w:val="10"/>
          <w:sz w:val="20"/>
          <w:szCs w:val="20"/>
        </w:rPr>
        <w:t xml:space="preserve"> </w:t>
      </w:r>
      <w:r w:rsidRPr="00531B12">
        <w:rPr>
          <w:rFonts w:ascii="Abadi" w:hAnsi="Abadi"/>
          <w:b/>
          <w:bCs/>
          <w:sz w:val="20"/>
          <w:szCs w:val="20"/>
        </w:rPr>
        <w:t>AL</w:t>
      </w:r>
      <w:r w:rsidRPr="00531B12">
        <w:rPr>
          <w:rFonts w:ascii="Abadi" w:hAnsi="Abadi"/>
          <w:b/>
          <w:bCs/>
          <w:spacing w:val="9"/>
          <w:sz w:val="20"/>
          <w:szCs w:val="20"/>
        </w:rPr>
        <w:t xml:space="preserve"> </w:t>
      </w:r>
      <w:r w:rsidRPr="00531B12">
        <w:rPr>
          <w:rFonts w:ascii="Abadi" w:hAnsi="Abadi"/>
          <w:b/>
          <w:bCs/>
          <w:sz w:val="20"/>
          <w:szCs w:val="20"/>
        </w:rPr>
        <w:t>INFORME</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RESULTADOS</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REVISIÓN PRACTICADA</w:t>
      </w:r>
      <w:r w:rsidRPr="00531B12">
        <w:rPr>
          <w:rFonts w:ascii="Abadi" w:hAnsi="Abadi"/>
          <w:b/>
          <w:bCs/>
          <w:spacing w:val="10"/>
          <w:sz w:val="20"/>
          <w:szCs w:val="20"/>
        </w:rPr>
        <w:t xml:space="preserve"> </w:t>
      </w:r>
      <w:r w:rsidRPr="00531B12">
        <w:rPr>
          <w:rFonts w:ascii="Abadi" w:hAnsi="Abadi"/>
          <w:b/>
          <w:bCs/>
          <w:sz w:val="20"/>
          <w:szCs w:val="20"/>
        </w:rPr>
        <w:t>POR</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AUDITORÍA</w:t>
      </w:r>
      <w:r w:rsidRPr="00531B12">
        <w:rPr>
          <w:rFonts w:ascii="Abadi" w:hAnsi="Abadi"/>
          <w:b/>
          <w:bCs/>
          <w:spacing w:val="10"/>
          <w:sz w:val="20"/>
          <w:szCs w:val="20"/>
        </w:rPr>
        <w:t xml:space="preserve"> </w:t>
      </w:r>
      <w:r w:rsidRPr="00531B12">
        <w:rPr>
          <w:rFonts w:ascii="Abadi" w:hAnsi="Abadi"/>
          <w:b/>
          <w:bCs/>
          <w:sz w:val="20"/>
          <w:szCs w:val="20"/>
        </w:rPr>
        <w:t>SUPERIOR</w:t>
      </w:r>
      <w:r w:rsidRPr="00531B12">
        <w:rPr>
          <w:rFonts w:ascii="Abadi" w:hAnsi="Abadi"/>
          <w:b/>
          <w:bCs/>
          <w:spacing w:val="9"/>
          <w:sz w:val="20"/>
          <w:szCs w:val="20"/>
        </w:rPr>
        <w:t xml:space="preserve"> </w:t>
      </w:r>
      <w:r w:rsidRPr="00531B12">
        <w:rPr>
          <w:rFonts w:ascii="Abadi" w:hAnsi="Abadi"/>
          <w:b/>
          <w:bCs/>
          <w:sz w:val="20"/>
          <w:szCs w:val="20"/>
        </w:rPr>
        <w:t>DEL</w:t>
      </w:r>
      <w:r w:rsidRPr="00531B12">
        <w:rPr>
          <w:rFonts w:ascii="Abadi" w:hAnsi="Abadi"/>
          <w:b/>
          <w:bCs/>
          <w:spacing w:val="9"/>
          <w:sz w:val="20"/>
          <w:szCs w:val="20"/>
        </w:rPr>
        <w:t xml:space="preserve"> </w:t>
      </w:r>
      <w:r w:rsidRPr="00531B12">
        <w:rPr>
          <w:rFonts w:ascii="Abadi" w:hAnsi="Abadi"/>
          <w:b/>
          <w:bCs/>
          <w:sz w:val="20"/>
          <w:szCs w:val="20"/>
        </w:rPr>
        <w:t>ESTADO</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GUANAJUATO,</w:t>
      </w:r>
      <w:r w:rsidRPr="00531B12">
        <w:rPr>
          <w:rFonts w:ascii="Abadi" w:hAnsi="Abadi"/>
          <w:b/>
          <w:bCs/>
          <w:spacing w:val="9"/>
          <w:sz w:val="20"/>
          <w:szCs w:val="20"/>
        </w:rPr>
        <w:t xml:space="preserve"> </w:t>
      </w:r>
      <w:r w:rsidRPr="00531B12">
        <w:rPr>
          <w:rFonts w:ascii="Abadi" w:hAnsi="Abadi"/>
          <w:b/>
          <w:bCs/>
          <w:sz w:val="20"/>
          <w:szCs w:val="20"/>
        </w:rPr>
        <w:t>A</w:t>
      </w:r>
      <w:r w:rsidRPr="00531B12">
        <w:rPr>
          <w:rFonts w:ascii="Abadi" w:hAnsi="Abadi"/>
          <w:b/>
          <w:bCs/>
          <w:spacing w:val="8"/>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CUENTA PÚBLICA</w:t>
      </w:r>
      <w:r w:rsidRPr="00531B12">
        <w:rPr>
          <w:rFonts w:ascii="Abadi" w:hAnsi="Abadi"/>
          <w:b/>
          <w:bCs/>
          <w:spacing w:val="-6"/>
          <w:sz w:val="20"/>
          <w:szCs w:val="20"/>
        </w:rPr>
        <w:t xml:space="preserve"> </w:t>
      </w:r>
      <w:r w:rsidRPr="00531B12">
        <w:rPr>
          <w:rFonts w:ascii="Abadi" w:hAnsi="Abadi"/>
          <w:b/>
          <w:bCs/>
          <w:sz w:val="20"/>
          <w:szCs w:val="20"/>
        </w:rPr>
        <w:t>MUNICIPAL</w:t>
      </w:r>
      <w:r w:rsidRPr="00531B12">
        <w:rPr>
          <w:rFonts w:ascii="Abadi" w:hAnsi="Abadi"/>
          <w:b/>
          <w:bCs/>
          <w:spacing w:val="-5"/>
          <w:sz w:val="20"/>
          <w:szCs w:val="20"/>
        </w:rPr>
        <w:t xml:space="preserve"> </w:t>
      </w:r>
      <w:r w:rsidRPr="00531B12">
        <w:rPr>
          <w:rFonts w:ascii="Abadi" w:hAnsi="Abadi"/>
          <w:b/>
          <w:bCs/>
          <w:sz w:val="20"/>
          <w:szCs w:val="20"/>
        </w:rPr>
        <w:t>DE</w:t>
      </w:r>
      <w:r w:rsidRPr="00531B12">
        <w:rPr>
          <w:rFonts w:ascii="Abadi" w:hAnsi="Abadi"/>
          <w:b/>
          <w:bCs/>
          <w:spacing w:val="-6"/>
          <w:sz w:val="20"/>
          <w:szCs w:val="20"/>
        </w:rPr>
        <w:t xml:space="preserve"> </w:t>
      </w:r>
      <w:r w:rsidRPr="00531B12">
        <w:rPr>
          <w:rFonts w:ascii="Abadi" w:hAnsi="Abadi"/>
          <w:b/>
          <w:bCs/>
          <w:sz w:val="20"/>
          <w:szCs w:val="20"/>
        </w:rPr>
        <w:t>SANTA</w:t>
      </w:r>
      <w:r w:rsidRPr="00531B12">
        <w:rPr>
          <w:rFonts w:ascii="Abadi" w:hAnsi="Abadi"/>
          <w:b/>
          <w:bCs/>
          <w:spacing w:val="-6"/>
          <w:sz w:val="20"/>
          <w:szCs w:val="20"/>
        </w:rPr>
        <w:t xml:space="preserve"> </w:t>
      </w:r>
      <w:r w:rsidRPr="00531B12">
        <w:rPr>
          <w:rFonts w:ascii="Abadi" w:hAnsi="Abadi"/>
          <w:b/>
          <w:bCs/>
          <w:sz w:val="20"/>
          <w:szCs w:val="20"/>
        </w:rPr>
        <w:t>CRUZ</w:t>
      </w:r>
      <w:r w:rsidRPr="00531B12">
        <w:rPr>
          <w:rFonts w:ascii="Abadi" w:hAnsi="Abadi"/>
          <w:b/>
          <w:bCs/>
          <w:spacing w:val="-6"/>
          <w:sz w:val="20"/>
          <w:szCs w:val="20"/>
        </w:rPr>
        <w:t xml:space="preserve"> </w:t>
      </w:r>
      <w:r w:rsidRPr="00531B12">
        <w:rPr>
          <w:rFonts w:ascii="Abadi" w:hAnsi="Abadi"/>
          <w:b/>
          <w:bCs/>
          <w:sz w:val="20"/>
          <w:szCs w:val="20"/>
        </w:rPr>
        <w:t>DE</w:t>
      </w:r>
      <w:r w:rsidRPr="00531B12">
        <w:rPr>
          <w:rFonts w:ascii="Abadi" w:hAnsi="Abadi"/>
          <w:b/>
          <w:bCs/>
          <w:spacing w:val="-5"/>
          <w:sz w:val="20"/>
          <w:szCs w:val="20"/>
        </w:rPr>
        <w:t xml:space="preserve"> </w:t>
      </w:r>
      <w:r w:rsidRPr="00531B12">
        <w:rPr>
          <w:rFonts w:ascii="Abadi" w:hAnsi="Abadi"/>
          <w:b/>
          <w:bCs/>
          <w:sz w:val="20"/>
          <w:szCs w:val="20"/>
        </w:rPr>
        <w:t>JUVENTINO</w:t>
      </w:r>
      <w:r w:rsidRPr="00531B12">
        <w:rPr>
          <w:rFonts w:ascii="Abadi" w:hAnsi="Abadi"/>
          <w:b/>
          <w:bCs/>
          <w:spacing w:val="-5"/>
          <w:sz w:val="20"/>
          <w:szCs w:val="20"/>
        </w:rPr>
        <w:t xml:space="preserve"> </w:t>
      </w:r>
      <w:r w:rsidRPr="00531B12">
        <w:rPr>
          <w:rFonts w:ascii="Abadi" w:hAnsi="Abadi"/>
          <w:b/>
          <w:bCs/>
          <w:sz w:val="20"/>
          <w:szCs w:val="20"/>
        </w:rPr>
        <w:t>ROSAS,</w:t>
      </w:r>
      <w:r w:rsidRPr="00531B12">
        <w:rPr>
          <w:rFonts w:ascii="Abadi" w:hAnsi="Abadi"/>
          <w:b/>
          <w:bCs/>
          <w:spacing w:val="-6"/>
          <w:sz w:val="20"/>
          <w:szCs w:val="20"/>
        </w:rPr>
        <w:t xml:space="preserve"> </w:t>
      </w:r>
      <w:r w:rsidRPr="00531B12">
        <w:rPr>
          <w:rFonts w:ascii="Abadi" w:hAnsi="Abadi"/>
          <w:b/>
          <w:bCs/>
          <w:sz w:val="20"/>
          <w:szCs w:val="20"/>
        </w:rPr>
        <w:t>GTO.,</w:t>
      </w:r>
      <w:r w:rsidRPr="00531B12">
        <w:rPr>
          <w:rFonts w:ascii="Abadi" w:hAnsi="Abadi"/>
          <w:b/>
          <w:bCs/>
          <w:spacing w:val="-6"/>
          <w:sz w:val="20"/>
          <w:szCs w:val="20"/>
        </w:rPr>
        <w:t xml:space="preserve"> </w:t>
      </w:r>
      <w:r w:rsidRPr="00531B12">
        <w:rPr>
          <w:rFonts w:ascii="Abadi" w:hAnsi="Abadi"/>
          <w:b/>
          <w:bCs/>
          <w:sz w:val="20"/>
          <w:szCs w:val="20"/>
        </w:rPr>
        <w:t>CORRESPONDIENTE AL EJERCICIO FISCAL DEL AÑO</w:t>
      </w:r>
      <w:r w:rsidRPr="00531B12">
        <w:rPr>
          <w:rFonts w:ascii="Abadi" w:hAnsi="Abadi"/>
          <w:b/>
          <w:bCs/>
          <w:spacing w:val="-1"/>
          <w:sz w:val="20"/>
          <w:szCs w:val="20"/>
        </w:rPr>
        <w:t xml:space="preserve"> </w:t>
      </w:r>
      <w:r w:rsidRPr="00531B12">
        <w:rPr>
          <w:rFonts w:ascii="Abadi" w:hAnsi="Abadi"/>
          <w:b/>
          <w:bCs/>
          <w:sz w:val="20"/>
          <w:szCs w:val="20"/>
        </w:rPr>
        <w:t>2020.</w:t>
      </w:r>
    </w:p>
    <w:p w14:paraId="2860E494" w14:textId="68CBF100" w:rsidR="001A0927" w:rsidRDefault="001A0927" w:rsidP="007449FF">
      <w:pPr>
        <w:tabs>
          <w:tab w:val="left" w:pos="856"/>
        </w:tabs>
        <w:kinsoku w:val="0"/>
        <w:overflowPunct w:val="0"/>
        <w:autoSpaceDE w:val="0"/>
        <w:autoSpaceDN w:val="0"/>
        <w:adjustRightInd w:val="0"/>
        <w:ind w:left="360" w:right="17"/>
        <w:jc w:val="both"/>
        <w:rPr>
          <w:rFonts w:ascii="Abadi" w:hAnsi="Abadi"/>
          <w:sz w:val="20"/>
          <w:szCs w:val="20"/>
        </w:rPr>
      </w:pPr>
    </w:p>
    <w:p w14:paraId="5EE6E66B" w14:textId="77777777" w:rsidR="00021E8C" w:rsidRPr="00021E8C" w:rsidRDefault="00021E8C" w:rsidP="00021E8C">
      <w:pPr>
        <w:jc w:val="both"/>
        <w:rPr>
          <w:rFonts w:ascii="Abadi" w:hAnsi="Abadi" w:cs="Arial"/>
          <w:b/>
          <w:bCs/>
          <w:smallCaps/>
          <w:sz w:val="21"/>
          <w:szCs w:val="21"/>
          <w:lang w:val="es-MX"/>
        </w:rPr>
      </w:pPr>
      <w:r w:rsidRPr="00021E8C">
        <w:rPr>
          <w:rFonts w:ascii="Abadi" w:hAnsi="Abadi" w:cs="Arial"/>
          <w:b/>
          <w:bCs/>
          <w:smallCaps/>
          <w:sz w:val="21"/>
          <w:szCs w:val="21"/>
          <w:lang w:val="es-MX"/>
        </w:rPr>
        <w:t>C. Presidenta del Congreso del Estado</w:t>
      </w:r>
    </w:p>
    <w:p w14:paraId="5B228218" w14:textId="77777777" w:rsidR="00021E8C" w:rsidRPr="00021E8C" w:rsidRDefault="00021E8C" w:rsidP="00021E8C">
      <w:pPr>
        <w:jc w:val="both"/>
        <w:rPr>
          <w:rFonts w:ascii="Abadi" w:hAnsi="Abadi" w:cs="Arial"/>
          <w:b/>
          <w:bCs/>
          <w:smallCaps/>
          <w:sz w:val="21"/>
          <w:szCs w:val="21"/>
        </w:rPr>
      </w:pPr>
      <w:r w:rsidRPr="00021E8C">
        <w:rPr>
          <w:rFonts w:ascii="Abadi" w:hAnsi="Abadi" w:cs="Arial"/>
          <w:b/>
          <w:bCs/>
          <w:smallCaps/>
          <w:sz w:val="21"/>
          <w:szCs w:val="21"/>
        </w:rPr>
        <w:t>P r e s e n t e.</w:t>
      </w:r>
    </w:p>
    <w:p w14:paraId="55E5A9C9" w14:textId="77777777" w:rsidR="00021E8C" w:rsidRPr="00021E8C" w:rsidRDefault="00021E8C" w:rsidP="00021E8C">
      <w:pPr>
        <w:jc w:val="both"/>
        <w:rPr>
          <w:rFonts w:ascii="Abadi" w:hAnsi="Abadi" w:cs="Arial"/>
          <w:sz w:val="21"/>
          <w:szCs w:val="21"/>
          <w:lang w:val="es-MX" w:eastAsia="x-none"/>
        </w:rPr>
      </w:pPr>
    </w:p>
    <w:p w14:paraId="66AF6067" w14:textId="77777777" w:rsidR="00021E8C" w:rsidRPr="00021E8C" w:rsidRDefault="00021E8C" w:rsidP="00021E8C">
      <w:pPr>
        <w:ind w:firstLine="708"/>
        <w:jc w:val="both"/>
        <w:rPr>
          <w:rFonts w:ascii="Abadi" w:hAnsi="Abadi" w:cs="Arial"/>
          <w:sz w:val="21"/>
          <w:szCs w:val="21"/>
          <w:lang w:val="x-none" w:eastAsia="x-none"/>
        </w:rPr>
      </w:pPr>
      <w:r w:rsidRPr="00021E8C">
        <w:rPr>
          <w:rFonts w:ascii="Abadi" w:hAnsi="Abadi" w:cs="Arial"/>
          <w:sz w:val="21"/>
          <w:szCs w:val="21"/>
          <w:lang w:val="x-none" w:eastAsia="x-none"/>
        </w:rPr>
        <w:t xml:space="preserve">A </w:t>
      </w:r>
      <w:r w:rsidRPr="00021E8C">
        <w:rPr>
          <w:rFonts w:ascii="Abadi" w:hAnsi="Abadi" w:cs="Arial"/>
          <w:sz w:val="21"/>
          <w:szCs w:val="21"/>
          <w:lang w:val="es-MX" w:eastAsia="x-none"/>
        </w:rPr>
        <w:t>esta</w:t>
      </w:r>
      <w:r w:rsidRPr="00021E8C">
        <w:rPr>
          <w:rFonts w:ascii="Abadi" w:hAnsi="Abadi" w:cs="Arial"/>
          <w:sz w:val="21"/>
          <w:szCs w:val="21"/>
          <w:lang w:val="x-none" w:eastAsia="x-none"/>
        </w:rPr>
        <w:t xml:space="preserve"> Comisión de Hacienda y Fiscalización</w:t>
      </w:r>
      <w:r w:rsidRPr="00021E8C">
        <w:rPr>
          <w:rFonts w:ascii="Abadi" w:hAnsi="Abadi" w:cs="Arial"/>
          <w:sz w:val="21"/>
          <w:szCs w:val="21"/>
          <w:lang w:val="es-MX" w:eastAsia="x-none"/>
        </w:rPr>
        <w:t xml:space="preserve">, </w:t>
      </w:r>
      <w:r w:rsidRPr="00021E8C">
        <w:rPr>
          <w:rFonts w:ascii="Abadi" w:hAnsi="Abadi" w:cs="Arial"/>
          <w:sz w:val="21"/>
          <w:szCs w:val="21"/>
          <w:lang w:val="x-none" w:eastAsia="x-none"/>
        </w:rPr>
        <w:t xml:space="preserve">le fue turnado para su estudio y dictamen, el informe de resultados de la revisión practicada por </w:t>
      </w:r>
      <w:r w:rsidRPr="00021E8C">
        <w:rPr>
          <w:rFonts w:ascii="Abadi" w:hAnsi="Abadi" w:cs="Arial"/>
          <w:sz w:val="21"/>
          <w:szCs w:val="21"/>
          <w:lang w:val="es-MX" w:eastAsia="x-none"/>
        </w:rPr>
        <w:t xml:space="preserve">la </w:t>
      </w:r>
      <w:r w:rsidRPr="00021E8C">
        <w:rPr>
          <w:rFonts w:ascii="Abadi" w:hAnsi="Abadi" w:cs="Arial"/>
          <w:sz w:val="21"/>
          <w:szCs w:val="21"/>
          <w:lang w:val="x-none" w:eastAsia="x-none"/>
        </w:rPr>
        <w:t xml:space="preserve">Auditoría Superior del Estado de Guanajuato, a la cuenta pública municipal de </w:t>
      </w:r>
      <w:r w:rsidRPr="00021E8C">
        <w:rPr>
          <w:rFonts w:ascii="Abadi" w:hAnsi="Abadi" w:cs="Arial"/>
          <w:sz w:val="21"/>
          <w:szCs w:val="21"/>
          <w:lang w:val="es-MX" w:eastAsia="x-none"/>
        </w:rPr>
        <w:t>Santa Cruz de Juventino Rosas</w:t>
      </w:r>
      <w:r w:rsidRPr="00021E8C">
        <w:rPr>
          <w:rFonts w:ascii="Abadi" w:hAnsi="Abadi" w:cs="Arial"/>
          <w:sz w:val="21"/>
          <w:szCs w:val="21"/>
          <w:lang w:val="x-none" w:eastAsia="x-none"/>
        </w:rPr>
        <w:t xml:space="preserve">, Gto., correspondiente al ejercicio fiscal del año </w:t>
      </w:r>
      <w:r w:rsidRPr="00021E8C">
        <w:rPr>
          <w:rFonts w:ascii="Abadi" w:hAnsi="Abadi" w:cs="Arial"/>
          <w:sz w:val="21"/>
          <w:szCs w:val="21"/>
          <w:lang w:val="es-MX" w:eastAsia="x-none"/>
        </w:rPr>
        <w:t>2020</w:t>
      </w:r>
      <w:r w:rsidRPr="00021E8C">
        <w:rPr>
          <w:rFonts w:ascii="Abadi" w:hAnsi="Abadi" w:cs="Arial"/>
          <w:sz w:val="21"/>
          <w:szCs w:val="21"/>
          <w:lang w:val="x-none" w:eastAsia="x-none"/>
        </w:rPr>
        <w:t>.</w:t>
      </w:r>
    </w:p>
    <w:p w14:paraId="71124E32" w14:textId="77777777" w:rsidR="00021E8C" w:rsidRPr="00021E8C" w:rsidRDefault="00021E8C" w:rsidP="00021E8C">
      <w:pPr>
        <w:ind w:firstLine="708"/>
        <w:jc w:val="both"/>
        <w:rPr>
          <w:rFonts w:ascii="Abadi" w:hAnsi="Abadi" w:cs="Arial"/>
          <w:sz w:val="21"/>
          <w:szCs w:val="21"/>
          <w:lang w:val="x-none" w:eastAsia="x-none"/>
        </w:rPr>
      </w:pPr>
    </w:p>
    <w:p w14:paraId="664EBAE4" w14:textId="77777777" w:rsidR="00021E8C" w:rsidRPr="00021E8C" w:rsidRDefault="00021E8C" w:rsidP="00021E8C">
      <w:pPr>
        <w:ind w:firstLine="708"/>
        <w:jc w:val="both"/>
        <w:rPr>
          <w:rFonts w:ascii="Abadi" w:hAnsi="Abadi" w:cs="Arial"/>
          <w:sz w:val="21"/>
          <w:szCs w:val="21"/>
          <w:lang w:val="x-none" w:eastAsia="x-none"/>
        </w:rPr>
      </w:pPr>
      <w:r w:rsidRPr="00021E8C">
        <w:rPr>
          <w:rFonts w:ascii="Abadi" w:hAnsi="Abadi" w:cs="Arial"/>
          <w:sz w:val="21"/>
          <w:szCs w:val="21"/>
          <w:lang w:val="x-none" w:eastAsia="x-none"/>
        </w:rPr>
        <w:t>Una vez analizado el referido informe de resultados, con fundamento en lo dispuesto por los artículos 112, fracción XII</w:t>
      </w:r>
      <w:r w:rsidRPr="00021E8C">
        <w:rPr>
          <w:rFonts w:ascii="Abadi" w:hAnsi="Abadi" w:cs="Arial"/>
          <w:sz w:val="21"/>
          <w:szCs w:val="21"/>
          <w:lang w:val="es-MX" w:eastAsia="x-none"/>
        </w:rPr>
        <w:t>, primer párrafo</w:t>
      </w:r>
      <w:r w:rsidRPr="00021E8C">
        <w:rPr>
          <w:rFonts w:ascii="Abadi" w:hAnsi="Abadi" w:cs="Arial"/>
          <w:sz w:val="21"/>
          <w:szCs w:val="21"/>
          <w:lang w:val="x-none" w:eastAsia="x-none"/>
        </w:rPr>
        <w:t xml:space="preserve"> y 171 de </w:t>
      </w:r>
      <w:smartTag w:uri="urn:schemas-microsoft-com:office:smarttags" w:element="PersonName">
        <w:smartTagPr>
          <w:attr w:name="ProductID" w:val="la Ley Org￡nica"/>
        </w:smartTagPr>
        <w:r w:rsidRPr="00021E8C">
          <w:rPr>
            <w:rFonts w:ascii="Abadi" w:hAnsi="Abadi" w:cs="Arial"/>
            <w:sz w:val="21"/>
            <w:szCs w:val="21"/>
            <w:lang w:val="x-none" w:eastAsia="x-none"/>
          </w:rPr>
          <w:t>la Ley Orgánica</w:t>
        </w:r>
      </w:smartTag>
      <w:r w:rsidRPr="00021E8C">
        <w:rPr>
          <w:rFonts w:ascii="Abadi" w:hAnsi="Abadi" w:cs="Arial"/>
          <w:sz w:val="21"/>
          <w:szCs w:val="21"/>
          <w:lang w:val="x-none" w:eastAsia="x-none"/>
        </w:rPr>
        <w:t xml:space="preserve"> del Poder Legislativo, nos permitimos rendir el siguiente:</w:t>
      </w:r>
    </w:p>
    <w:p w14:paraId="756497DD" w14:textId="77777777" w:rsidR="00021E8C" w:rsidRPr="00021E8C" w:rsidRDefault="00021E8C" w:rsidP="00021E8C">
      <w:pPr>
        <w:ind w:firstLine="708"/>
        <w:jc w:val="both"/>
        <w:rPr>
          <w:rFonts w:ascii="Abadi" w:hAnsi="Abadi" w:cs="Arial"/>
          <w:sz w:val="21"/>
          <w:szCs w:val="21"/>
          <w:lang w:val="x-none" w:eastAsia="x-none"/>
        </w:rPr>
      </w:pPr>
    </w:p>
    <w:p w14:paraId="2F22EDBA" w14:textId="77777777" w:rsidR="00021E8C" w:rsidRPr="00021E8C" w:rsidRDefault="00021E8C" w:rsidP="00021E8C">
      <w:pPr>
        <w:keepNext/>
        <w:jc w:val="center"/>
        <w:outlineLvl w:val="0"/>
        <w:rPr>
          <w:rFonts w:ascii="Abadi" w:eastAsia="Arial Unicode MS" w:hAnsi="Abadi" w:cs="Arial"/>
          <w:b/>
          <w:bCs/>
          <w:sz w:val="21"/>
          <w:szCs w:val="21"/>
        </w:rPr>
      </w:pPr>
      <w:r w:rsidRPr="00021E8C">
        <w:rPr>
          <w:rFonts w:ascii="Abadi" w:eastAsia="Arial Unicode MS" w:hAnsi="Abadi" w:cs="Arial"/>
          <w:b/>
          <w:bCs/>
          <w:sz w:val="21"/>
          <w:szCs w:val="21"/>
        </w:rPr>
        <w:t>D i c t a m e n</w:t>
      </w:r>
    </w:p>
    <w:p w14:paraId="78DD487E" w14:textId="77777777" w:rsidR="00490E36" w:rsidRDefault="00490E36" w:rsidP="00021E8C">
      <w:pPr>
        <w:ind w:firstLine="708"/>
        <w:jc w:val="both"/>
        <w:rPr>
          <w:rFonts w:ascii="Abadi" w:hAnsi="Abadi" w:cs="Arial"/>
          <w:b/>
          <w:bCs/>
          <w:sz w:val="21"/>
          <w:szCs w:val="21"/>
          <w:lang w:val="es-MX" w:eastAsia="x-none"/>
        </w:rPr>
      </w:pPr>
    </w:p>
    <w:p w14:paraId="6A06B689" w14:textId="1C0EA504" w:rsidR="00021E8C" w:rsidRPr="00021E8C" w:rsidRDefault="00021E8C" w:rsidP="00021E8C">
      <w:pPr>
        <w:ind w:firstLine="708"/>
        <w:jc w:val="both"/>
        <w:rPr>
          <w:rFonts w:ascii="Abadi" w:hAnsi="Abadi" w:cs="Arial"/>
          <w:b/>
          <w:bCs/>
          <w:sz w:val="21"/>
          <w:szCs w:val="21"/>
          <w:lang w:val="es-MX" w:eastAsia="x-none"/>
        </w:rPr>
      </w:pPr>
      <w:r w:rsidRPr="00021E8C">
        <w:rPr>
          <w:rFonts w:ascii="Abadi" w:hAnsi="Abadi" w:cs="Arial"/>
          <w:b/>
          <w:bCs/>
          <w:sz w:val="21"/>
          <w:szCs w:val="21"/>
          <w:lang w:val="es-MX" w:eastAsia="x-none"/>
        </w:rPr>
        <w:t>I. Competencia:</w:t>
      </w:r>
    </w:p>
    <w:p w14:paraId="1E9587EE" w14:textId="77777777" w:rsidR="00021E8C" w:rsidRPr="00021E8C" w:rsidRDefault="00021E8C" w:rsidP="00021E8C">
      <w:pPr>
        <w:ind w:firstLine="708"/>
        <w:jc w:val="both"/>
        <w:rPr>
          <w:rFonts w:ascii="Abadi" w:hAnsi="Abadi" w:cs="Arial"/>
          <w:b/>
          <w:bCs/>
          <w:sz w:val="21"/>
          <w:szCs w:val="21"/>
          <w:lang w:val="es-MX" w:eastAsia="x-none"/>
        </w:rPr>
      </w:pPr>
    </w:p>
    <w:p w14:paraId="698C66FD"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021E8C">
          <w:rPr>
            <w:rFonts w:ascii="Abadi" w:hAnsi="Abadi" w:cs="Arial"/>
            <w:sz w:val="21"/>
            <w:szCs w:val="21"/>
            <w:lang w:val="es-MX" w:eastAsia="x-none"/>
          </w:rPr>
          <w:t>la Constitución Política</w:t>
        </w:r>
      </w:smartTag>
      <w:r w:rsidRPr="00021E8C">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4A57D439" w14:textId="77777777" w:rsidR="00021E8C" w:rsidRPr="00021E8C" w:rsidRDefault="00021E8C" w:rsidP="00021E8C">
      <w:pPr>
        <w:ind w:firstLine="708"/>
        <w:jc w:val="both"/>
        <w:rPr>
          <w:rFonts w:ascii="Abadi" w:hAnsi="Abadi" w:cs="Arial"/>
          <w:sz w:val="21"/>
          <w:szCs w:val="21"/>
          <w:lang w:val="es-MX" w:eastAsia="x-none"/>
        </w:rPr>
      </w:pPr>
    </w:p>
    <w:p w14:paraId="5D303CD2" w14:textId="297E4F03" w:rsidR="00021E8C" w:rsidRDefault="00021E8C" w:rsidP="00490E36">
      <w:pPr>
        <w:ind w:firstLine="708"/>
        <w:jc w:val="both"/>
        <w:rPr>
          <w:rFonts w:ascii="Abadi" w:hAnsi="Abadi" w:cs="Arial"/>
          <w:sz w:val="21"/>
          <w:szCs w:val="21"/>
          <w:lang w:val="es-MX" w:eastAsia="x-none"/>
        </w:rPr>
      </w:pPr>
      <w:r w:rsidRPr="00021E8C">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6DA9F3DD" w14:textId="77777777" w:rsidR="00490E36" w:rsidRPr="00021E8C" w:rsidRDefault="00490E36" w:rsidP="00490E36">
      <w:pPr>
        <w:ind w:firstLine="708"/>
        <w:jc w:val="both"/>
        <w:rPr>
          <w:rFonts w:ascii="Abadi" w:hAnsi="Abadi" w:cs="Arial"/>
          <w:sz w:val="21"/>
          <w:szCs w:val="21"/>
          <w:lang w:val="es-MX" w:eastAsia="x-none"/>
        </w:rPr>
      </w:pPr>
    </w:p>
    <w:p w14:paraId="1E9A24E0"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021E8C">
          <w:rPr>
            <w:rFonts w:ascii="Abadi" w:hAnsi="Abadi" w:cs="Arial"/>
            <w:sz w:val="21"/>
            <w:szCs w:val="21"/>
            <w:lang w:val="es-MX" w:eastAsia="x-none"/>
          </w:rPr>
          <w:t>la Constitución Política</w:t>
        </w:r>
      </w:smartTag>
      <w:r w:rsidRPr="00021E8C">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1A855E06" w14:textId="77777777" w:rsidR="00021E8C" w:rsidRPr="00021E8C" w:rsidRDefault="00021E8C" w:rsidP="00021E8C">
      <w:pPr>
        <w:ind w:firstLine="708"/>
        <w:jc w:val="both"/>
        <w:rPr>
          <w:rFonts w:ascii="Abadi" w:hAnsi="Abadi" w:cs="Arial"/>
          <w:sz w:val="21"/>
          <w:szCs w:val="21"/>
          <w:lang w:val="es-MX" w:eastAsia="x-none"/>
        </w:rPr>
      </w:pPr>
    </w:p>
    <w:p w14:paraId="0974CBF3"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0C0CC7E" w14:textId="77777777" w:rsidR="00021E8C" w:rsidRPr="00021E8C" w:rsidRDefault="00021E8C" w:rsidP="00021E8C">
      <w:pPr>
        <w:ind w:firstLine="708"/>
        <w:jc w:val="both"/>
        <w:rPr>
          <w:rFonts w:ascii="Abadi" w:hAnsi="Abadi" w:cs="Arial"/>
          <w:sz w:val="21"/>
          <w:szCs w:val="21"/>
          <w:lang w:val="es-MX" w:eastAsia="x-none"/>
        </w:rPr>
      </w:pPr>
    </w:p>
    <w:p w14:paraId="5F71E5D9"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 xml:space="preserve">De igual forma, el artículo 82, fracción XXIV de </w:t>
      </w:r>
      <w:smartTag w:uri="urn:schemas-microsoft-com:office:smarttags" w:element="PersonName">
        <w:smartTagPr>
          <w:attr w:name="ProductID" w:val="la Ley"/>
        </w:smartTagPr>
        <w:r w:rsidRPr="00021E8C">
          <w:rPr>
            <w:rFonts w:ascii="Abadi" w:hAnsi="Abadi" w:cs="Arial"/>
            <w:sz w:val="21"/>
            <w:szCs w:val="21"/>
            <w:lang w:val="es-MX" w:eastAsia="x-none"/>
          </w:rPr>
          <w:t>la Ley</w:t>
        </w:r>
      </w:smartTag>
      <w:r w:rsidRPr="00021E8C">
        <w:rPr>
          <w:rFonts w:ascii="Abadi" w:hAnsi="Abadi" w:cs="Arial"/>
          <w:sz w:val="21"/>
          <w:szCs w:val="21"/>
          <w:lang w:val="es-MX" w:eastAsia="x-none"/>
        </w:rPr>
        <w:t xml:space="preserve"> de Fiscalización Superior del Estado de Guanajuato consigna como atribución del Auditor Superior rendir al Congreso del Estado, los informes derivados del ejercicio de la función de fiscalización.</w:t>
      </w:r>
    </w:p>
    <w:p w14:paraId="2F8B9B23" w14:textId="77777777" w:rsidR="00021E8C" w:rsidRPr="00021E8C" w:rsidRDefault="00021E8C" w:rsidP="00021E8C">
      <w:pPr>
        <w:ind w:firstLine="708"/>
        <w:jc w:val="both"/>
        <w:rPr>
          <w:rFonts w:ascii="Abadi" w:hAnsi="Abadi" w:cs="Arial"/>
          <w:sz w:val="21"/>
          <w:szCs w:val="21"/>
          <w:lang w:val="es-MX" w:eastAsia="x-none"/>
        </w:rPr>
      </w:pPr>
    </w:p>
    <w:p w14:paraId="19CB575F"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8E3A032" w14:textId="77777777" w:rsidR="00021E8C" w:rsidRPr="00021E8C" w:rsidRDefault="00021E8C" w:rsidP="00021E8C">
      <w:pPr>
        <w:ind w:firstLine="708"/>
        <w:jc w:val="both"/>
        <w:rPr>
          <w:rFonts w:ascii="Abadi" w:hAnsi="Abadi" w:cs="Arial"/>
          <w:sz w:val="21"/>
          <w:szCs w:val="21"/>
          <w:lang w:val="es-MX" w:eastAsia="x-none"/>
        </w:rPr>
      </w:pPr>
    </w:p>
    <w:p w14:paraId="3F8558FC"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 xml:space="preserve">Con la finalidad de que el Congreso dé cumplimiento a lo señalado en el párrafo anterior, </w:t>
      </w:r>
      <w:smartTag w:uri="urn:schemas-microsoft-com:office:smarttags" w:element="PersonName">
        <w:smartTagPr>
          <w:attr w:name="ProductID" w:val="la Ley Org￡nica"/>
        </w:smartTagPr>
        <w:r w:rsidRPr="00021E8C">
          <w:rPr>
            <w:rFonts w:ascii="Abadi" w:hAnsi="Abadi" w:cs="Arial"/>
            <w:sz w:val="21"/>
            <w:szCs w:val="21"/>
            <w:lang w:val="es-MX" w:eastAsia="x-none"/>
          </w:rPr>
          <w:t>la Ley Orgánica</w:t>
        </w:r>
      </w:smartTag>
      <w:r w:rsidRPr="00021E8C">
        <w:rPr>
          <w:rFonts w:ascii="Abadi" w:hAnsi="Abadi" w:cs="Arial"/>
          <w:sz w:val="21"/>
          <w:szCs w:val="21"/>
          <w:lang w:val="es-MX" w:eastAsia="x-none"/>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9B38593" w14:textId="77777777" w:rsidR="00021E8C" w:rsidRPr="00021E8C" w:rsidRDefault="00021E8C" w:rsidP="00021E8C">
      <w:pPr>
        <w:ind w:firstLine="708"/>
        <w:jc w:val="both"/>
        <w:rPr>
          <w:rFonts w:ascii="Abadi" w:hAnsi="Abadi" w:cs="Arial"/>
          <w:sz w:val="21"/>
          <w:szCs w:val="21"/>
          <w:lang w:val="es-MX" w:eastAsia="x-none"/>
        </w:rPr>
      </w:pPr>
    </w:p>
    <w:p w14:paraId="771843EC"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78F2A7BF" w14:textId="77777777" w:rsidR="00021E8C" w:rsidRPr="00021E8C" w:rsidRDefault="00021E8C" w:rsidP="00021E8C">
      <w:pPr>
        <w:ind w:firstLine="708"/>
        <w:jc w:val="both"/>
        <w:rPr>
          <w:rFonts w:ascii="Abadi" w:hAnsi="Abadi" w:cs="Arial"/>
          <w:b/>
          <w:bCs/>
          <w:sz w:val="21"/>
          <w:szCs w:val="21"/>
          <w:lang w:val="es-MX" w:eastAsia="x-none"/>
        </w:rPr>
      </w:pPr>
      <w:r w:rsidRPr="00021E8C">
        <w:rPr>
          <w:rFonts w:ascii="Abadi" w:hAnsi="Abadi" w:cs="Arial"/>
          <w:b/>
          <w:bCs/>
          <w:sz w:val="21"/>
          <w:szCs w:val="21"/>
          <w:lang w:val="es-MX" w:eastAsia="x-none"/>
        </w:rPr>
        <w:t>II. Antecedentes:</w:t>
      </w:r>
    </w:p>
    <w:p w14:paraId="101A43B3" w14:textId="77777777" w:rsidR="00021E8C" w:rsidRPr="00021E8C" w:rsidRDefault="00021E8C" w:rsidP="00021E8C">
      <w:pPr>
        <w:ind w:firstLine="708"/>
        <w:jc w:val="both"/>
        <w:rPr>
          <w:rFonts w:ascii="Abadi" w:hAnsi="Abadi" w:cs="Arial"/>
          <w:sz w:val="21"/>
          <w:szCs w:val="21"/>
          <w:lang w:val="es-MX" w:eastAsia="x-none"/>
        </w:rPr>
      </w:pPr>
    </w:p>
    <w:p w14:paraId="5AA3E080"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021E8C">
          <w:rPr>
            <w:rFonts w:ascii="Abadi" w:hAnsi="Abadi" w:cs="Arial"/>
            <w:sz w:val="21"/>
            <w:szCs w:val="21"/>
            <w:lang w:val="es-MX" w:eastAsia="x-none"/>
          </w:rPr>
          <w:t>la Constitución Política</w:t>
        </w:r>
      </w:smartTag>
      <w:r w:rsidRPr="00021E8C">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5BE86A5C" w14:textId="77777777" w:rsidR="00021E8C" w:rsidRPr="00021E8C" w:rsidRDefault="00021E8C" w:rsidP="00021E8C">
      <w:pPr>
        <w:ind w:firstLine="708"/>
        <w:jc w:val="both"/>
        <w:rPr>
          <w:rFonts w:ascii="Abadi" w:hAnsi="Abadi" w:cs="Arial"/>
          <w:sz w:val="21"/>
          <w:szCs w:val="21"/>
          <w:lang w:val="es-MX" w:eastAsia="x-none"/>
        </w:rPr>
      </w:pPr>
    </w:p>
    <w:p w14:paraId="7E453FC8"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Por su parte, el artículo 66 de la Constitución Política Local, establece que los sujetos de fiscalización presentarán al Congreso del Estado los informes financieros y su cuenta pública con la periodicidad, forma y términos que establezca la Ley.</w:t>
      </w:r>
    </w:p>
    <w:p w14:paraId="41ACDF3B" w14:textId="77777777" w:rsidR="00021E8C" w:rsidRPr="00021E8C" w:rsidRDefault="00021E8C" w:rsidP="00021E8C">
      <w:pPr>
        <w:ind w:firstLine="708"/>
        <w:jc w:val="both"/>
        <w:rPr>
          <w:rFonts w:ascii="Abadi" w:hAnsi="Abadi" w:cs="Arial"/>
          <w:sz w:val="21"/>
          <w:szCs w:val="21"/>
          <w:lang w:val="es-MX" w:eastAsia="x-none"/>
        </w:rPr>
      </w:pPr>
    </w:p>
    <w:p w14:paraId="1FFCB2C7"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 xml:space="preserve">La fracción III del artículo 3 de </w:t>
      </w:r>
      <w:smartTag w:uri="urn:schemas-microsoft-com:office:smarttags" w:element="PersonName">
        <w:smartTagPr>
          <w:attr w:name="ProductID" w:val="la Ley"/>
        </w:smartTagPr>
        <w:r w:rsidRPr="00021E8C">
          <w:rPr>
            <w:rFonts w:ascii="Abadi" w:hAnsi="Abadi" w:cs="Arial"/>
            <w:sz w:val="21"/>
            <w:szCs w:val="21"/>
            <w:lang w:val="es-MX" w:eastAsia="x-none"/>
          </w:rPr>
          <w:t>la Ley</w:t>
        </w:r>
      </w:smartTag>
      <w:r w:rsidRPr="00021E8C">
        <w:rPr>
          <w:rFonts w:ascii="Abadi" w:hAnsi="Abadi" w:cs="Arial"/>
          <w:sz w:val="21"/>
          <w:szCs w:val="21"/>
          <w:lang w:val="es-MX" w:eastAsia="x-none"/>
        </w:rPr>
        <w:t xml:space="preserve"> de Fiscalización Superior del Estado de Guanajuato señala que la Auditoría Superior del Estado será competente para fiscalizar la gestión financiera de los sujetos de fiscalización, a través de sus cuentas públicas.</w:t>
      </w:r>
    </w:p>
    <w:p w14:paraId="3C6335B0" w14:textId="77777777" w:rsidR="00021E8C" w:rsidRPr="00021E8C" w:rsidRDefault="00021E8C" w:rsidP="00021E8C">
      <w:pPr>
        <w:ind w:firstLine="708"/>
        <w:jc w:val="both"/>
        <w:rPr>
          <w:rFonts w:ascii="Abadi" w:hAnsi="Abadi" w:cs="Arial"/>
          <w:sz w:val="21"/>
          <w:szCs w:val="21"/>
          <w:lang w:val="es-MX" w:eastAsia="x-none"/>
        </w:rPr>
      </w:pPr>
    </w:p>
    <w:p w14:paraId="450F8006"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7EAF2CE9" w14:textId="77777777" w:rsidR="00021E8C" w:rsidRPr="00021E8C" w:rsidRDefault="00021E8C" w:rsidP="00021E8C">
      <w:pPr>
        <w:ind w:firstLine="708"/>
        <w:jc w:val="both"/>
        <w:rPr>
          <w:rFonts w:ascii="Abadi" w:hAnsi="Abadi" w:cs="Arial"/>
          <w:sz w:val="21"/>
          <w:szCs w:val="21"/>
          <w:lang w:val="es-MX" w:eastAsia="x-none"/>
        </w:rPr>
      </w:pPr>
    </w:p>
    <w:p w14:paraId="215AD278"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No será impedimento para que la Auditoría Superior del Estado realice la función de fiscalización, si la cuenta pública no está presentada y disponible en los plazos y requisitos señalados en la ley.</w:t>
      </w:r>
    </w:p>
    <w:p w14:paraId="344907C2" w14:textId="77777777" w:rsidR="00021E8C" w:rsidRPr="00021E8C" w:rsidRDefault="00021E8C" w:rsidP="00021E8C">
      <w:pPr>
        <w:ind w:firstLine="708"/>
        <w:jc w:val="both"/>
        <w:rPr>
          <w:rFonts w:ascii="Abadi" w:hAnsi="Abadi" w:cs="Arial"/>
          <w:sz w:val="21"/>
          <w:szCs w:val="21"/>
          <w:lang w:val="es-MX" w:eastAsia="x-none"/>
        </w:rPr>
      </w:pPr>
    </w:p>
    <w:p w14:paraId="14A1663A" w14:textId="2FBDB67D" w:rsidR="00021E8C" w:rsidRPr="00021E8C" w:rsidRDefault="00021E8C" w:rsidP="00490E36">
      <w:pPr>
        <w:ind w:firstLine="708"/>
        <w:jc w:val="both"/>
        <w:rPr>
          <w:rFonts w:ascii="Abadi" w:hAnsi="Abadi" w:cs="Arial"/>
          <w:sz w:val="21"/>
          <w:szCs w:val="21"/>
          <w:lang w:val="es-MX" w:eastAsia="x-none"/>
        </w:rPr>
      </w:pPr>
      <w:r w:rsidRPr="00021E8C">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021E8C">
          <w:rPr>
            <w:rFonts w:ascii="Abadi" w:hAnsi="Abadi" w:cs="Arial"/>
            <w:sz w:val="21"/>
            <w:szCs w:val="21"/>
            <w:lang w:val="es-MX" w:eastAsia="x-none"/>
          </w:rPr>
          <w:t>la Ley Orgánica</w:t>
        </w:r>
      </w:smartTag>
      <w:r w:rsidRPr="00021E8C">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0EDB697C" w14:textId="77777777" w:rsidR="00021E8C" w:rsidRPr="00021E8C" w:rsidRDefault="00021E8C" w:rsidP="00021E8C">
      <w:pPr>
        <w:ind w:firstLine="708"/>
        <w:jc w:val="both"/>
        <w:rPr>
          <w:rFonts w:ascii="Abadi" w:hAnsi="Abadi" w:cs="Arial"/>
          <w:sz w:val="21"/>
          <w:szCs w:val="21"/>
          <w:lang w:val="es-MX" w:eastAsia="x-none"/>
        </w:rPr>
      </w:pPr>
    </w:p>
    <w:p w14:paraId="126A662F" w14:textId="77777777" w:rsidR="00021E8C" w:rsidRPr="00021E8C" w:rsidRDefault="00021E8C" w:rsidP="00021E8C">
      <w:pPr>
        <w:ind w:right="60" w:firstLine="709"/>
        <w:jc w:val="both"/>
        <w:rPr>
          <w:rFonts w:ascii="Abadi" w:hAnsi="Abadi" w:cs="Arial"/>
          <w:sz w:val="21"/>
          <w:szCs w:val="21"/>
          <w:lang w:val="es-MX" w:eastAsia="x-none"/>
        </w:rPr>
      </w:pPr>
      <w:r w:rsidRPr="00021E8C">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16DECC07" w14:textId="77777777" w:rsidR="00021E8C" w:rsidRPr="00021E8C" w:rsidRDefault="00021E8C" w:rsidP="00021E8C">
      <w:pPr>
        <w:ind w:right="58" w:firstLine="709"/>
        <w:jc w:val="both"/>
        <w:rPr>
          <w:rFonts w:ascii="Abadi" w:eastAsia="DejaVu Sans" w:hAnsi="Abadi" w:cs="Tahoma"/>
          <w:iCs/>
          <w:kern w:val="1"/>
          <w:sz w:val="21"/>
          <w:szCs w:val="21"/>
          <w:lang w:eastAsia="ar-SA"/>
        </w:rPr>
      </w:pPr>
    </w:p>
    <w:p w14:paraId="7C45EFCC"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220D5B59" w14:textId="77777777" w:rsidR="00021E8C" w:rsidRPr="00021E8C" w:rsidRDefault="00021E8C" w:rsidP="00021E8C">
      <w:pPr>
        <w:ind w:firstLine="708"/>
        <w:jc w:val="both"/>
        <w:rPr>
          <w:rFonts w:ascii="Abadi" w:hAnsi="Abadi" w:cs="Arial"/>
          <w:sz w:val="21"/>
          <w:szCs w:val="21"/>
          <w:lang w:val="es-MX" w:eastAsia="x-none"/>
        </w:rPr>
      </w:pPr>
    </w:p>
    <w:p w14:paraId="75763115"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5245E4F8" w14:textId="77777777" w:rsidR="00021E8C" w:rsidRPr="00021E8C" w:rsidRDefault="00021E8C" w:rsidP="00021E8C">
      <w:pPr>
        <w:ind w:firstLine="708"/>
        <w:jc w:val="both"/>
        <w:rPr>
          <w:rFonts w:ascii="Abadi" w:hAnsi="Abadi" w:cs="Arial"/>
          <w:sz w:val="21"/>
          <w:szCs w:val="21"/>
          <w:lang w:val="es-MX" w:eastAsia="x-none"/>
        </w:rPr>
      </w:pPr>
    </w:p>
    <w:p w14:paraId="5E6DDF20" w14:textId="77777777" w:rsidR="00021E8C" w:rsidRPr="00021E8C" w:rsidRDefault="00021E8C" w:rsidP="00021E8C">
      <w:pPr>
        <w:ind w:right="60" w:firstLine="709"/>
        <w:jc w:val="both"/>
        <w:rPr>
          <w:rFonts w:ascii="Abadi" w:hAnsi="Abadi" w:cs="Arial"/>
          <w:sz w:val="21"/>
          <w:szCs w:val="21"/>
          <w:lang w:val="es-MX" w:eastAsia="x-none"/>
        </w:rPr>
      </w:pPr>
      <w:r w:rsidRPr="00021E8C">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3815B115" w14:textId="77777777" w:rsidR="00021E8C" w:rsidRPr="00021E8C" w:rsidRDefault="00021E8C" w:rsidP="00021E8C">
      <w:pPr>
        <w:ind w:firstLine="708"/>
        <w:jc w:val="both"/>
        <w:rPr>
          <w:rFonts w:ascii="Abadi" w:hAnsi="Abadi" w:cs="Arial"/>
          <w:sz w:val="21"/>
          <w:szCs w:val="21"/>
          <w:lang w:eastAsia="x-none"/>
        </w:rPr>
      </w:pPr>
    </w:p>
    <w:p w14:paraId="33374008"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69A03EBB" w14:textId="77777777" w:rsidR="00021E8C" w:rsidRPr="00021E8C" w:rsidRDefault="00021E8C" w:rsidP="00021E8C">
      <w:pPr>
        <w:ind w:firstLine="708"/>
        <w:jc w:val="both"/>
        <w:rPr>
          <w:rFonts w:ascii="Abadi" w:hAnsi="Abadi" w:cs="Arial"/>
          <w:sz w:val="21"/>
          <w:szCs w:val="21"/>
          <w:lang w:val="es-MX" w:eastAsia="x-none"/>
        </w:rPr>
      </w:pPr>
    </w:p>
    <w:p w14:paraId="4393853E" w14:textId="77777777" w:rsidR="00021E8C" w:rsidRPr="00021E8C" w:rsidRDefault="00021E8C" w:rsidP="00021E8C">
      <w:pPr>
        <w:tabs>
          <w:tab w:val="left" w:pos="709"/>
        </w:tabs>
        <w:jc w:val="both"/>
        <w:rPr>
          <w:rFonts w:ascii="Abadi" w:hAnsi="Abadi" w:cs="Arial"/>
          <w:sz w:val="21"/>
          <w:szCs w:val="21"/>
          <w:lang w:val="es-MX" w:eastAsia="x-none"/>
        </w:rPr>
      </w:pPr>
      <w:r w:rsidRPr="00021E8C">
        <w:rPr>
          <w:rFonts w:ascii="Abadi" w:hAnsi="Abadi" w:cs="Arial"/>
          <w:sz w:val="21"/>
          <w:szCs w:val="21"/>
        </w:rPr>
        <w:tab/>
        <w:t xml:space="preserve">El citado artículo también refiere </w:t>
      </w:r>
      <w:r w:rsidRPr="00021E8C">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0D6B784A" w14:textId="77777777" w:rsidR="00021E8C" w:rsidRPr="00021E8C" w:rsidRDefault="00021E8C" w:rsidP="00021E8C">
      <w:pPr>
        <w:tabs>
          <w:tab w:val="left" w:pos="709"/>
        </w:tabs>
        <w:jc w:val="both"/>
        <w:rPr>
          <w:rFonts w:ascii="Abadi" w:hAnsi="Abadi" w:cs="Arial"/>
          <w:sz w:val="21"/>
          <w:szCs w:val="21"/>
          <w:lang w:val="es-MX" w:eastAsia="x-none"/>
        </w:rPr>
      </w:pPr>
      <w:r w:rsidRPr="00021E8C">
        <w:rPr>
          <w:rFonts w:ascii="Abadi" w:hAnsi="Abadi" w:cs="Arial"/>
          <w:sz w:val="21"/>
          <w:szCs w:val="21"/>
          <w:lang w:val="es-MX" w:eastAsia="x-none"/>
        </w:rPr>
        <w:tab/>
        <w:t xml:space="preserve">En términos del numeral 23 de la </w:t>
      </w:r>
      <w:r w:rsidRPr="00021E8C">
        <w:rPr>
          <w:rFonts w:ascii="Abadi" w:hAnsi="Abadi" w:cs="Arial"/>
          <w:sz w:val="21"/>
          <w:szCs w:val="21"/>
        </w:rPr>
        <w:t>Ley de Fiscalización Superior del Estado de Guanajuato, p</w:t>
      </w:r>
      <w:r w:rsidRPr="00021E8C">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6EF25D69" w14:textId="77777777" w:rsidR="00021E8C" w:rsidRPr="00021E8C" w:rsidRDefault="00021E8C" w:rsidP="00021E8C">
      <w:pPr>
        <w:tabs>
          <w:tab w:val="left" w:pos="709"/>
        </w:tabs>
        <w:jc w:val="both"/>
        <w:rPr>
          <w:rFonts w:ascii="Abadi" w:hAnsi="Abadi" w:cs="Arial"/>
          <w:sz w:val="21"/>
          <w:szCs w:val="21"/>
          <w:lang w:val="es-MX" w:eastAsia="x-none"/>
        </w:rPr>
      </w:pPr>
    </w:p>
    <w:p w14:paraId="62F67DA1"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253E6654" w14:textId="77777777" w:rsidR="00021E8C" w:rsidRPr="00021E8C" w:rsidRDefault="00021E8C" w:rsidP="00021E8C">
      <w:pPr>
        <w:ind w:firstLine="708"/>
        <w:jc w:val="both"/>
        <w:rPr>
          <w:rFonts w:ascii="Abadi" w:hAnsi="Abadi" w:cs="Arial"/>
          <w:sz w:val="21"/>
          <w:szCs w:val="21"/>
          <w:lang w:val="es-MX" w:eastAsia="x-none"/>
        </w:rPr>
      </w:pPr>
    </w:p>
    <w:p w14:paraId="65E85A03"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En cumplimiento a los citados preceptos, en su oportunidad se remitió a este Congreso del Estado, la cuenta pública municipal de Santa Cruz de Juventino Rosas, Gto., correspondiente al ejercicio fiscal del año 2020, turnándose a la Auditoría Superior del Estado para su revisión.</w:t>
      </w:r>
    </w:p>
    <w:p w14:paraId="1DD21975" w14:textId="77777777" w:rsidR="00021E8C" w:rsidRPr="00021E8C" w:rsidRDefault="00021E8C" w:rsidP="00021E8C">
      <w:pPr>
        <w:ind w:firstLine="708"/>
        <w:jc w:val="both"/>
        <w:rPr>
          <w:rFonts w:ascii="Abadi" w:hAnsi="Abadi" w:cs="Arial"/>
          <w:sz w:val="21"/>
          <w:szCs w:val="21"/>
          <w:lang w:val="es-MX" w:eastAsia="x-none"/>
        </w:rPr>
      </w:pPr>
    </w:p>
    <w:p w14:paraId="2027545B" w14:textId="77777777" w:rsidR="00021E8C" w:rsidRPr="00021E8C" w:rsidRDefault="00021E8C" w:rsidP="00021E8C">
      <w:pPr>
        <w:ind w:firstLine="708"/>
        <w:jc w:val="both"/>
        <w:rPr>
          <w:rFonts w:ascii="Abadi" w:hAnsi="Abadi" w:cs="Arial"/>
          <w:sz w:val="21"/>
          <w:szCs w:val="21"/>
          <w:lang w:eastAsia="x-none"/>
        </w:rPr>
      </w:pPr>
      <w:r w:rsidRPr="00021E8C">
        <w:rPr>
          <w:rFonts w:ascii="Abadi" w:hAnsi="Abadi" w:cs="Arial"/>
          <w:sz w:val="21"/>
          <w:szCs w:val="21"/>
          <w:lang w:eastAsia="x-none"/>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1FDBD90A" w14:textId="77777777" w:rsidR="00021E8C" w:rsidRPr="00021E8C" w:rsidRDefault="00021E8C" w:rsidP="00021E8C">
      <w:pPr>
        <w:ind w:firstLine="708"/>
        <w:jc w:val="both"/>
        <w:rPr>
          <w:rFonts w:ascii="Abadi" w:hAnsi="Abadi" w:cs="Arial"/>
          <w:sz w:val="21"/>
          <w:szCs w:val="21"/>
          <w:lang w:val="es-MX" w:eastAsia="x-none"/>
        </w:rPr>
      </w:pPr>
    </w:p>
    <w:p w14:paraId="50220E07"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En ejercicio de esta función, el Auditor Superior del Estado aprobó el Programa General de Fiscalización 2021. En dicho Programa se contempló la revisión de la cuenta pública municipal de Santa Cruz de Juventino Rosas, Gto., correspondiente al ejercicio fiscal del año 2020.</w:t>
      </w:r>
    </w:p>
    <w:p w14:paraId="458101A1" w14:textId="77777777" w:rsidR="00021E8C" w:rsidRPr="00021E8C" w:rsidRDefault="00021E8C" w:rsidP="00021E8C">
      <w:pPr>
        <w:ind w:firstLine="708"/>
        <w:jc w:val="both"/>
        <w:rPr>
          <w:rFonts w:ascii="Abadi" w:hAnsi="Abadi" w:cs="Arial"/>
          <w:sz w:val="21"/>
          <w:szCs w:val="21"/>
          <w:lang w:val="es-MX" w:eastAsia="x-none"/>
        </w:rPr>
      </w:pPr>
    </w:p>
    <w:p w14:paraId="0128443A" w14:textId="77777777" w:rsidR="00021E8C" w:rsidRPr="00021E8C" w:rsidRDefault="00021E8C" w:rsidP="00021E8C">
      <w:pPr>
        <w:ind w:firstLine="708"/>
        <w:jc w:val="both"/>
        <w:rPr>
          <w:rFonts w:ascii="Abadi" w:hAnsi="Abadi" w:cs="Arial"/>
          <w:bCs/>
          <w:sz w:val="21"/>
          <w:szCs w:val="21"/>
          <w:lang w:val="es-MX" w:eastAsia="x-none"/>
        </w:rPr>
      </w:pPr>
      <w:r w:rsidRPr="00021E8C">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021E8C">
        <w:rPr>
          <w:rFonts w:ascii="Abadi" w:hAnsi="Abadi" w:cs="Arial"/>
          <w:bCs/>
          <w:sz w:val="21"/>
          <w:szCs w:val="21"/>
          <w:lang w:val="es-MX" w:eastAsia="x-none"/>
        </w:rPr>
        <w:t>el 5 de mayo de 2022 para su estudio y dictamen, siendo radicado el 12 de mayo del año en curso.</w:t>
      </w:r>
    </w:p>
    <w:p w14:paraId="00CE042B" w14:textId="77777777" w:rsidR="00021E8C" w:rsidRPr="00021E8C" w:rsidRDefault="00021E8C" w:rsidP="00021E8C">
      <w:pPr>
        <w:ind w:firstLine="708"/>
        <w:jc w:val="both"/>
        <w:rPr>
          <w:rFonts w:ascii="Abadi" w:hAnsi="Abadi" w:cs="Arial"/>
          <w:bCs/>
          <w:sz w:val="21"/>
          <w:szCs w:val="21"/>
          <w:lang w:val="es-MX" w:eastAsia="x-none"/>
        </w:rPr>
      </w:pPr>
    </w:p>
    <w:p w14:paraId="7A82A7B5" w14:textId="77777777" w:rsidR="00021E8C" w:rsidRPr="00021E8C" w:rsidRDefault="00021E8C" w:rsidP="00021E8C">
      <w:pPr>
        <w:ind w:firstLine="708"/>
        <w:jc w:val="both"/>
        <w:rPr>
          <w:rFonts w:ascii="Abadi" w:hAnsi="Abadi" w:cs="Arial"/>
          <w:sz w:val="21"/>
          <w:szCs w:val="21"/>
          <w:lang w:val="es-MX" w:eastAsia="x-none"/>
        </w:rPr>
      </w:pPr>
    </w:p>
    <w:p w14:paraId="0168B80A" w14:textId="77777777" w:rsidR="00021E8C" w:rsidRPr="00021E8C" w:rsidRDefault="00021E8C" w:rsidP="00021E8C">
      <w:pPr>
        <w:ind w:firstLine="708"/>
        <w:jc w:val="both"/>
        <w:rPr>
          <w:rFonts w:ascii="Abadi" w:hAnsi="Abadi" w:cs="Arial"/>
          <w:b/>
          <w:bCs/>
          <w:sz w:val="21"/>
          <w:szCs w:val="21"/>
          <w:lang w:val="es-MX" w:eastAsia="x-none"/>
        </w:rPr>
      </w:pPr>
      <w:r w:rsidRPr="00021E8C">
        <w:rPr>
          <w:rFonts w:ascii="Abadi" w:hAnsi="Abadi" w:cs="Arial"/>
          <w:b/>
          <w:bCs/>
          <w:sz w:val="21"/>
          <w:szCs w:val="21"/>
          <w:lang w:val="es-MX" w:eastAsia="x-none"/>
        </w:rPr>
        <w:t>III. Procedimiento de Revisión:</w:t>
      </w:r>
    </w:p>
    <w:p w14:paraId="2969045E" w14:textId="77777777" w:rsidR="00021E8C" w:rsidRPr="00021E8C" w:rsidRDefault="00021E8C" w:rsidP="00021E8C">
      <w:pPr>
        <w:ind w:firstLine="708"/>
        <w:jc w:val="both"/>
        <w:rPr>
          <w:rFonts w:ascii="Abadi" w:hAnsi="Abadi" w:cs="Arial"/>
          <w:sz w:val="21"/>
          <w:szCs w:val="21"/>
          <w:lang w:val="es-MX" w:eastAsia="x-none"/>
        </w:rPr>
      </w:pPr>
    </w:p>
    <w:p w14:paraId="3CD94E7C"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La revisión de la cuenta pública municipal de Santa Cruz de Juventino Rosas, Gto.,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77A4C332" w14:textId="77777777" w:rsidR="00021E8C" w:rsidRPr="00021E8C" w:rsidRDefault="00021E8C" w:rsidP="00021E8C">
      <w:pPr>
        <w:ind w:firstLine="708"/>
        <w:jc w:val="both"/>
        <w:rPr>
          <w:rFonts w:ascii="Abadi" w:hAnsi="Abadi" w:cs="Arial"/>
          <w:sz w:val="21"/>
          <w:szCs w:val="21"/>
          <w:lang w:eastAsia="x-none"/>
        </w:rPr>
      </w:pPr>
    </w:p>
    <w:p w14:paraId="06E15D16"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0EBCDBA7" w14:textId="77777777" w:rsidR="00021E8C" w:rsidRPr="00021E8C" w:rsidRDefault="00021E8C" w:rsidP="00021E8C">
      <w:pPr>
        <w:ind w:firstLine="708"/>
        <w:jc w:val="both"/>
        <w:rPr>
          <w:rFonts w:ascii="Abadi" w:hAnsi="Abadi" w:cs="Arial"/>
          <w:sz w:val="21"/>
          <w:szCs w:val="21"/>
          <w:lang w:val="es-MX" w:eastAsia="x-none"/>
        </w:rPr>
      </w:pPr>
    </w:p>
    <w:p w14:paraId="7E435428"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5EE3BB22" w14:textId="77777777" w:rsidR="00021E8C" w:rsidRPr="00021E8C" w:rsidRDefault="00021E8C" w:rsidP="00490E36">
      <w:pPr>
        <w:jc w:val="both"/>
        <w:rPr>
          <w:rFonts w:ascii="Abadi" w:hAnsi="Abadi" w:cs="Arial"/>
          <w:sz w:val="21"/>
          <w:szCs w:val="21"/>
          <w:lang w:val="es-MX" w:eastAsia="x-none"/>
        </w:rPr>
      </w:pPr>
    </w:p>
    <w:p w14:paraId="618EFE69"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45C2F409" w14:textId="77777777" w:rsidR="00021E8C" w:rsidRPr="00021E8C" w:rsidRDefault="00021E8C" w:rsidP="00021E8C">
      <w:pPr>
        <w:ind w:firstLine="708"/>
        <w:jc w:val="both"/>
        <w:rPr>
          <w:rFonts w:ascii="Abadi" w:hAnsi="Abadi" w:cs="Arial"/>
          <w:sz w:val="21"/>
          <w:szCs w:val="21"/>
          <w:lang w:val="es-MX" w:eastAsia="x-none"/>
        </w:rPr>
      </w:pPr>
    </w:p>
    <w:p w14:paraId="6318DAB4" w14:textId="77777777" w:rsidR="00021E8C" w:rsidRPr="00021E8C" w:rsidRDefault="00021E8C" w:rsidP="00021E8C">
      <w:pPr>
        <w:ind w:firstLine="705"/>
        <w:jc w:val="both"/>
        <w:rPr>
          <w:rFonts w:ascii="Abadi" w:hAnsi="Abadi" w:cs="Arial"/>
          <w:sz w:val="21"/>
          <w:szCs w:val="21"/>
          <w:lang w:val="es-MX" w:eastAsia="x-none"/>
        </w:rPr>
      </w:pPr>
      <w:r w:rsidRPr="00021E8C">
        <w:rPr>
          <w:rFonts w:ascii="Abadi" w:hAnsi="Abadi" w:cs="Arial"/>
          <w:sz w:val="21"/>
          <w:szCs w:val="21"/>
          <w:lang w:val="es-MX" w:eastAsia="x-none"/>
        </w:rPr>
        <w:t>El informe de resultados establece que se practicó la revisión de la cuenta pública respecto de las operaciones realizadas por la administración municipal de Santa Cruz de Juventino Rosas, Gto., correspondientes al ejercicio fiscal 2020, en lo referente a los apartados de ingresos y egresos.</w:t>
      </w:r>
    </w:p>
    <w:p w14:paraId="4B8B18A3" w14:textId="77777777" w:rsidR="00021E8C" w:rsidRPr="00021E8C" w:rsidRDefault="00021E8C" w:rsidP="00021E8C">
      <w:pPr>
        <w:ind w:firstLine="705"/>
        <w:jc w:val="both"/>
        <w:rPr>
          <w:rFonts w:ascii="Abadi" w:hAnsi="Abadi" w:cs="Arial"/>
          <w:sz w:val="21"/>
          <w:szCs w:val="21"/>
          <w:lang w:val="es-MX" w:eastAsia="x-none"/>
        </w:rPr>
      </w:pPr>
    </w:p>
    <w:p w14:paraId="323CF89C" w14:textId="77777777" w:rsidR="00021E8C" w:rsidRPr="00021E8C" w:rsidRDefault="00021E8C" w:rsidP="00021E8C">
      <w:pPr>
        <w:autoSpaceDE w:val="0"/>
        <w:autoSpaceDN w:val="0"/>
        <w:adjustRightInd w:val="0"/>
        <w:ind w:firstLine="708"/>
        <w:jc w:val="both"/>
        <w:rPr>
          <w:rFonts w:ascii="Abadi" w:hAnsi="Abadi" w:cs="Arial"/>
          <w:sz w:val="21"/>
          <w:szCs w:val="21"/>
          <w:lang w:val="es-MX" w:eastAsia="x-none"/>
        </w:rPr>
      </w:pPr>
      <w:r w:rsidRPr="00021E8C">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5962542B" w14:textId="77777777" w:rsidR="00021E8C" w:rsidRPr="00021E8C" w:rsidRDefault="00021E8C" w:rsidP="00490E36">
      <w:pPr>
        <w:jc w:val="both"/>
        <w:rPr>
          <w:rFonts w:ascii="Abadi" w:hAnsi="Abadi" w:cs="Arial"/>
          <w:sz w:val="21"/>
          <w:szCs w:val="21"/>
          <w:lang w:val="es-MX" w:eastAsia="x-none"/>
        </w:rPr>
      </w:pPr>
    </w:p>
    <w:p w14:paraId="2C43C9C4"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3FA03D5E" w14:textId="77777777" w:rsidR="00021E8C" w:rsidRPr="00021E8C" w:rsidRDefault="00021E8C" w:rsidP="00021E8C">
      <w:pPr>
        <w:ind w:firstLine="708"/>
        <w:jc w:val="both"/>
        <w:rPr>
          <w:rFonts w:ascii="Abadi" w:hAnsi="Abadi" w:cs="Arial"/>
          <w:sz w:val="21"/>
          <w:szCs w:val="21"/>
          <w:lang w:val="es-MX" w:eastAsia="x-none"/>
        </w:rPr>
      </w:pPr>
    </w:p>
    <w:p w14:paraId="015F1ED6" w14:textId="77777777" w:rsidR="00021E8C" w:rsidRPr="00021E8C" w:rsidRDefault="00021E8C" w:rsidP="00021E8C">
      <w:pPr>
        <w:ind w:firstLine="708"/>
        <w:jc w:val="both"/>
        <w:rPr>
          <w:rFonts w:ascii="Abadi" w:hAnsi="Abadi" w:cs="Arial"/>
          <w:sz w:val="21"/>
          <w:szCs w:val="21"/>
        </w:rPr>
      </w:pPr>
      <w:r w:rsidRPr="00021E8C">
        <w:rPr>
          <w:rFonts w:ascii="Abadi" w:hAnsi="Abadi" w:cs="Arial"/>
          <w:sz w:val="21"/>
          <w:szCs w:val="21"/>
        </w:rPr>
        <w:t>El 19 de agosto de 2021 se notificó al presidente municipal de Santa Cruz de Juventino Rosas, Gto., la orden de inicio del procedimiento de revisión de la cuenta pública.</w:t>
      </w:r>
    </w:p>
    <w:p w14:paraId="392EA97F" w14:textId="77777777" w:rsidR="00021E8C" w:rsidRPr="00021E8C" w:rsidRDefault="00021E8C" w:rsidP="00021E8C">
      <w:pPr>
        <w:ind w:firstLine="708"/>
        <w:jc w:val="both"/>
        <w:rPr>
          <w:rFonts w:ascii="Abadi" w:hAnsi="Abadi" w:cs="Arial"/>
          <w:sz w:val="21"/>
          <w:szCs w:val="21"/>
        </w:rPr>
      </w:pPr>
    </w:p>
    <w:p w14:paraId="4E2937FE" w14:textId="77777777" w:rsidR="00021E8C" w:rsidRPr="00021E8C" w:rsidRDefault="00021E8C" w:rsidP="00021E8C">
      <w:pPr>
        <w:ind w:firstLine="708"/>
        <w:jc w:val="both"/>
        <w:rPr>
          <w:rFonts w:ascii="Abadi" w:hAnsi="Abadi" w:cs="Arial"/>
          <w:sz w:val="21"/>
          <w:szCs w:val="21"/>
        </w:rPr>
      </w:pPr>
      <w:r w:rsidRPr="00021E8C">
        <w:rPr>
          <w:rFonts w:ascii="Abadi" w:hAnsi="Abadi" w:cs="Arial"/>
          <w:sz w:val="21"/>
          <w:szCs w:val="21"/>
        </w:rPr>
        <w:t>Posteriormente, en fechas 2 de diciembre de 2021, 7 y 10 de enero de 2022, se notificó al ex-presidente y presidente municipales de Santa Cruz de Juventino Rosas, Gto., la suspensión del plazo de la revisión materia del presente dictamen, de conformidad con lo establecido en los Acuerdos de Suspensión de Plazos publicados en el Periódico Oficial del Gobierno del Estado de Guanajuato los días 19 de noviembre y 17 de diciembre de 2021.</w:t>
      </w:r>
    </w:p>
    <w:p w14:paraId="1E55DBD3" w14:textId="77777777" w:rsidR="00021E8C" w:rsidRPr="00021E8C" w:rsidRDefault="00021E8C" w:rsidP="00021E8C">
      <w:pPr>
        <w:ind w:firstLine="708"/>
        <w:jc w:val="both"/>
        <w:rPr>
          <w:rFonts w:ascii="Abadi" w:hAnsi="Abadi" w:cs="Arial"/>
          <w:sz w:val="21"/>
          <w:szCs w:val="21"/>
        </w:rPr>
      </w:pPr>
    </w:p>
    <w:p w14:paraId="5EDEEB3E" w14:textId="77777777" w:rsidR="00021E8C" w:rsidRPr="00021E8C" w:rsidRDefault="00021E8C" w:rsidP="00021E8C">
      <w:pPr>
        <w:ind w:firstLine="708"/>
        <w:jc w:val="both"/>
        <w:rPr>
          <w:rFonts w:ascii="Abadi" w:hAnsi="Abadi" w:cs="Arial"/>
          <w:sz w:val="21"/>
          <w:szCs w:val="21"/>
        </w:rPr>
      </w:pPr>
      <w:r w:rsidRPr="00021E8C">
        <w:rPr>
          <w:rFonts w:ascii="Abadi" w:hAnsi="Abadi" w:cs="Arial"/>
          <w:sz w:val="21"/>
          <w:szCs w:val="21"/>
        </w:rPr>
        <w:t>El 10 de diciembre de 2021 se notificó al presidente y al ex-presidente municipales de Santa Cruz de Juventino Rosas, Gto., el pliego de observaciones y recomendaciones derivado de la revisión practicada a la cuenta pública municipal de Santa Cruz de Juventino Rosas, Gto., correspondiente al ejercicio fiscal del año 2020, al cual se dio respuesta el 14 de enero de 2022 por parte del tesorero y ex-presidente municipales de Santa Cruz de Juventino Rosas, Gto.</w:t>
      </w:r>
    </w:p>
    <w:p w14:paraId="28F38F34" w14:textId="77777777" w:rsidR="00021E8C" w:rsidRPr="00021E8C" w:rsidRDefault="00021E8C" w:rsidP="00021E8C">
      <w:pPr>
        <w:ind w:firstLine="708"/>
        <w:jc w:val="both"/>
        <w:rPr>
          <w:rFonts w:ascii="Abadi" w:hAnsi="Abadi" w:cs="Arial"/>
          <w:sz w:val="21"/>
          <w:szCs w:val="21"/>
        </w:rPr>
      </w:pPr>
    </w:p>
    <w:p w14:paraId="22C98407" w14:textId="77777777" w:rsidR="00021E8C" w:rsidRPr="00021E8C" w:rsidRDefault="00021E8C" w:rsidP="00021E8C">
      <w:pPr>
        <w:ind w:firstLine="708"/>
        <w:jc w:val="both"/>
        <w:rPr>
          <w:rFonts w:ascii="Abadi" w:hAnsi="Abadi" w:cs="Arial"/>
          <w:sz w:val="21"/>
          <w:szCs w:val="21"/>
          <w:lang w:val="es-MX" w:eastAsia="x-none"/>
        </w:rPr>
      </w:pPr>
      <w:r w:rsidRPr="00021E8C">
        <w:rPr>
          <w:rFonts w:ascii="Abadi" w:hAnsi="Abadi" w:cs="Arial"/>
          <w:sz w:val="21"/>
          <w:szCs w:val="21"/>
          <w:lang w:val="es-MX" w:eastAsia="x-none"/>
        </w:rPr>
        <w:t xml:space="preserve">En fechas 4 y 8 de marzo de 2022, el informe de resultados se notificó al ex-presidente y al presidente municipales de Santa Cruz de Juventino Rosas, Gto., para que, en su caso, hicieran valer el recurso de reconsideración previsto por los artículos del 48 al 55 de </w:t>
      </w:r>
      <w:smartTag w:uri="urn:schemas-microsoft-com:office:smarttags" w:element="PersonName">
        <w:smartTagPr>
          <w:attr w:name="ProductID" w:val="la Ley"/>
        </w:smartTagPr>
        <w:r w:rsidRPr="00021E8C">
          <w:rPr>
            <w:rFonts w:ascii="Abadi" w:hAnsi="Abadi" w:cs="Arial"/>
            <w:sz w:val="21"/>
            <w:szCs w:val="21"/>
            <w:lang w:val="es-MX" w:eastAsia="x-none"/>
          </w:rPr>
          <w:t>la Ley</w:t>
        </w:r>
      </w:smartTag>
      <w:r w:rsidRPr="00021E8C">
        <w:rPr>
          <w:rFonts w:ascii="Abadi" w:hAnsi="Abadi" w:cs="Arial"/>
          <w:sz w:val="21"/>
          <w:szCs w:val="21"/>
          <w:lang w:val="es-MX" w:eastAsia="x-none"/>
        </w:rPr>
        <w:t xml:space="preserve"> de Fiscalización Superior del Estado de Guanajuato, haciéndoles saber que contaban con un término de cinco días hábiles para tal efecto. Con lo anterior, se dio cumplimiento a la fracción IV del artículo 37 de la citada Ley.</w:t>
      </w:r>
    </w:p>
    <w:p w14:paraId="587604BB" w14:textId="77777777" w:rsidR="00021E8C" w:rsidRPr="00021E8C" w:rsidRDefault="00021E8C" w:rsidP="00490E36">
      <w:pPr>
        <w:jc w:val="both"/>
        <w:rPr>
          <w:rFonts w:ascii="Abadi" w:hAnsi="Abadi" w:cs="Arial"/>
          <w:sz w:val="21"/>
          <w:szCs w:val="21"/>
          <w:lang w:val="es-MX" w:eastAsia="x-none"/>
        </w:rPr>
      </w:pPr>
    </w:p>
    <w:p w14:paraId="42A060E3" w14:textId="77777777" w:rsidR="00021E8C" w:rsidRPr="00021E8C" w:rsidRDefault="00021E8C" w:rsidP="00021E8C">
      <w:pPr>
        <w:ind w:firstLine="708"/>
        <w:jc w:val="both"/>
        <w:rPr>
          <w:rFonts w:ascii="Abadi" w:hAnsi="Abadi" w:cs="Arial"/>
          <w:sz w:val="21"/>
          <w:szCs w:val="21"/>
          <w:lang w:eastAsia="x-none"/>
        </w:rPr>
      </w:pPr>
      <w:r w:rsidRPr="00021E8C">
        <w:rPr>
          <w:rFonts w:ascii="Abadi" w:hAnsi="Abadi" w:cs="Arial"/>
          <w:sz w:val="21"/>
          <w:szCs w:val="21"/>
          <w:lang w:eastAsia="x-none"/>
        </w:rPr>
        <w:t>El 11 de marzo de 2022, el ex-presidente municipal de Santa Cruz de Juventino Rosas, Gto., presentó recurso de reconsideración en contra del informe de resultados materia del presente dictamen, mismo que se tuvo por no interpuesto a través del acuerdo del Auditor Superior del Estado de fecha 21 de abril de 2022, al no estar suscrito por el promovente, pues fue firmado electrónicamente por el tesorero municipal, de conformidad con lo previsto en el artículo 51, fracción I y último párrafo de la Ley de Fiscalización Superior del Estado de Guanajuato. Dicho acuerdo se notificó al ex-presidente municipal de Santa Cruz de Juventino Rosas, Gto., el 25 de abril de 2022.</w:t>
      </w:r>
    </w:p>
    <w:p w14:paraId="1DB1ADF9" w14:textId="77777777" w:rsidR="00021E8C" w:rsidRPr="00021E8C" w:rsidRDefault="00021E8C" w:rsidP="00021E8C">
      <w:pPr>
        <w:ind w:firstLine="708"/>
        <w:jc w:val="both"/>
        <w:rPr>
          <w:rFonts w:ascii="Abadi" w:hAnsi="Abadi" w:cs="Arial"/>
          <w:sz w:val="21"/>
          <w:szCs w:val="21"/>
          <w:lang w:val="es-MX" w:eastAsia="x-none"/>
        </w:rPr>
      </w:pPr>
    </w:p>
    <w:p w14:paraId="446BE433" w14:textId="77777777" w:rsidR="00021E8C" w:rsidRPr="00021E8C" w:rsidRDefault="00021E8C" w:rsidP="00021E8C">
      <w:pPr>
        <w:ind w:firstLine="708"/>
        <w:jc w:val="both"/>
        <w:rPr>
          <w:rFonts w:ascii="Abadi" w:hAnsi="Abadi" w:cs="Arial"/>
          <w:b/>
          <w:bCs/>
          <w:sz w:val="21"/>
          <w:szCs w:val="21"/>
          <w:lang w:eastAsia="x-none"/>
        </w:rPr>
      </w:pPr>
      <w:r w:rsidRPr="00021E8C">
        <w:rPr>
          <w:rFonts w:ascii="Abadi" w:hAnsi="Abadi" w:cs="Arial"/>
          <w:b/>
          <w:bCs/>
          <w:sz w:val="21"/>
          <w:szCs w:val="21"/>
          <w:lang w:eastAsia="x-none"/>
        </w:rPr>
        <w:t>IV. Contenido del Informe de Resultados:</w:t>
      </w:r>
    </w:p>
    <w:p w14:paraId="7A1E61F3" w14:textId="77777777" w:rsidR="00021E8C" w:rsidRPr="00021E8C" w:rsidRDefault="00021E8C" w:rsidP="00021E8C">
      <w:pPr>
        <w:jc w:val="both"/>
        <w:rPr>
          <w:rFonts w:ascii="Abadi" w:hAnsi="Abadi" w:cs="Arial"/>
          <w:b/>
          <w:bCs/>
          <w:sz w:val="21"/>
          <w:szCs w:val="21"/>
          <w:lang w:eastAsia="x-none"/>
        </w:rPr>
      </w:pPr>
    </w:p>
    <w:p w14:paraId="7AA096EB" w14:textId="77777777" w:rsidR="00021E8C" w:rsidRPr="00021E8C" w:rsidRDefault="00021E8C" w:rsidP="00021E8C">
      <w:pPr>
        <w:jc w:val="both"/>
        <w:rPr>
          <w:rFonts w:ascii="Abadi" w:hAnsi="Abadi" w:cs="Arial"/>
          <w:sz w:val="21"/>
          <w:szCs w:val="21"/>
          <w:lang w:eastAsia="x-none"/>
        </w:rPr>
      </w:pPr>
      <w:r w:rsidRPr="00021E8C">
        <w:rPr>
          <w:rFonts w:ascii="Abadi" w:hAnsi="Abadi" w:cs="Arial"/>
          <w:b/>
          <w:bCs/>
          <w:sz w:val="21"/>
          <w:szCs w:val="21"/>
          <w:lang w:eastAsia="x-none"/>
        </w:rPr>
        <w:tab/>
      </w:r>
      <w:r w:rsidRPr="00021E8C">
        <w:rPr>
          <w:rFonts w:ascii="Abadi" w:hAnsi="Abadi" w:cs="Arial"/>
          <w:bCs/>
          <w:sz w:val="21"/>
          <w:szCs w:val="21"/>
          <w:lang w:eastAsia="x-none"/>
        </w:rPr>
        <w:t>En cumplimiento a lo establecido por el</w:t>
      </w:r>
      <w:r w:rsidRPr="00021E8C">
        <w:rPr>
          <w:rFonts w:ascii="Abadi" w:hAnsi="Abadi" w:cs="Arial"/>
          <w:sz w:val="21"/>
          <w:szCs w:val="21"/>
          <w:lang w:eastAsia="x-none"/>
        </w:rPr>
        <w:t xml:space="preserve"> artículo 37, fracción III de la Ley de Fiscalización Superior del Estado, el informe de resultados contiene los siguientes apartados:</w:t>
      </w:r>
    </w:p>
    <w:p w14:paraId="7DCAA815" w14:textId="77777777" w:rsidR="00021E8C" w:rsidRPr="00021E8C" w:rsidRDefault="00021E8C" w:rsidP="00021E8C">
      <w:pPr>
        <w:jc w:val="both"/>
        <w:rPr>
          <w:rFonts w:ascii="Abadi" w:hAnsi="Abadi" w:cs="Arial"/>
          <w:sz w:val="21"/>
          <w:szCs w:val="21"/>
          <w:lang w:eastAsia="x-none"/>
        </w:rPr>
      </w:pPr>
    </w:p>
    <w:p w14:paraId="629F316D" w14:textId="77777777" w:rsidR="00021E8C" w:rsidRPr="00021E8C" w:rsidRDefault="00021E8C" w:rsidP="001A28E5">
      <w:pPr>
        <w:numPr>
          <w:ilvl w:val="0"/>
          <w:numId w:val="96"/>
        </w:numPr>
        <w:jc w:val="both"/>
        <w:rPr>
          <w:rFonts w:ascii="Abadi" w:hAnsi="Abadi" w:cs="Arial"/>
          <w:b/>
          <w:bCs/>
          <w:sz w:val="21"/>
          <w:szCs w:val="21"/>
          <w:lang w:eastAsia="x-none"/>
        </w:rPr>
      </w:pPr>
      <w:r w:rsidRPr="00021E8C">
        <w:rPr>
          <w:rFonts w:ascii="Abadi" w:hAnsi="Abadi" w:cs="Arial"/>
          <w:b/>
          <w:bCs/>
          <w:sz w:val="21"/>
          <w:szCs w:val="21"/>
          <w:lang w:eastAsia="x-none"/>
        </w:rPr>
        <w:t>Introducción.</w:t>
      </w:r>
    </w:p>
    <w:p w14:paraId="10380FEC" w14:textId="77777777" w:rsidR="00021E8C" w:rsidRPr="00021E8C" w:rsidRDefault="00021E8C" w:rsidP="00021E8C">
      <w:pPr>
        <w:ind w:left="705"/>
        <w:jc w:val="both"/>
        <w:rPr>
          <w:rFonts w:ascii="Abadi" w:hAnsi="Abadi" w:cs="Arial"/>
          <w:b/>
          <w:bCs/>
          <w:sz w:val="21"/>
          <w:szCs w:val="21"/>
          <w:lang w:eastAsia="x-none"/>
        </w:rPr>
      </w:pPr>
    </w:p>
    <w:p w14:paraId="51C784BC" w14:textId="77777777" w:rsidR="00021E8C" w:rsidRPr="00021E8C" w:rsidRDefault="00021E8C" w:rsidP="00021E8C">
      <w:pPr>
        <w:ind w:firstLine="705"/>
        <w:jc w:val="both"/>
        <w:rPr>
          <w:rFonts w:ascii="Abadi" w:hAnsi="Abadi" w:cs="Arial"/>
          <w:sz w:val="21"/>
          <w:szCs w:val="21"/>
          <w:lang w:eastAsia="x-none"/>
        </w:rPr>
      </w:pPr>
      <w:r w:rsidRPr="00021E8C">
        <w:rPr>
          <w:rFonts w:ascii="Abadi" w:hAnsi="Abadi" w:cs="Arial"/>
          <w:sz w:val="21"/>
          <w:szCs w:val="21"/>
          <w:lang w:eastAsia="x-none"/>
        </w:rPr>
        <w:t xml:space="preserve">Por lo que se refiere a este punto, se establecen los criterios de selección; el objetivo de la revisión; el alcance de la revisión respecto a los apartados de ingresos y egresos, </w:t>
      </w:r>
      <w:r w:rsidRPr="00021E8C">
        <w:rPr>
          <w:rFonts w:ascii="Abadi" w:hAnsi="Abadi" w:cs="Arial"/>
          <w:sz w:val="21"/>
          <w:szCs w:val="21"/>
          <w:lang w:val="es-MX" w:eastAsia="x-none"/>
        </w:rPr>
        <w:t>precisando que el detalle de los alcances de la revisión se consigna en el Anexo 01 del informe de resultados.</w:t>
      </w:r>
    </w:p>
    <w:p w14:paraId="6E3BFC62" w14:textId="77777777" w:rsidR="00021E8C" w:rsidRPr="00021E8C" w:rsidRDefault="00021E8C" w:rsidP="00021E8C">
      <w:pPr>
        <w:ind w:firstLine="705"/>
        <w:jc w:val="both"/>
        <w:rPr>
          <w:rFonts w:ascii="Abadi" w:hAnsi="Abadi" w:cs="Arial"/>
          <w:sz w:val="21"/>
          <w:szCs w:val="21"/>
          <w:lang w:eastAsia="x-none"/>
        </w:rPr>
      </w:pPr>
    </w:p>
    <w:p w14:paraId="0E4E1E83" w14:textId="77777777" w:rsidR="00021E8C" w:rsidRPr="00021E8C" w:rsidRDefault="00021E8C" w:rsidP="00021E8C">
      <w:pPr>
        <w:ind w:firstLine="705"/>
        <w:jc w:val="both"/>
        <w:rPr>
          <w:rFonts w:ascii="Abadi" w:hAnsi="Abadi" w:cs="Arial"/>
          <w:sz w:val="21"/>
          <w:szCs w:val="21"/>
          <w:lang w:eastAsia="x-none"/>
        </w:rPr>
      </w:pPr>
      <w:r w:rsidRPr="00021E8C">
        <w:rPr>
          <w:rFonts w:ascii="Abadi" w:hAnsi="Abadi" w:cs="Arial"/>
          <w:sz w:val="21"/>
          <w:szCs w:val="21"/>
          <w:lang w:eastAsia="x-none"/>
        </w:rPr>
        <w:t>También en este apartado se precisan los procedimientos de auditoría aplicados, siendo estos: inspección, observación, confirmación externa, recálculo, procedimientos analíticos, re ejecución e indagación.</w:t>
      </w:r>
    </w:p>
    <w:p w14:paraId="65F53212" w14:textId="77777777" w:rsidR="00021E8C" w:rsidRPr="00021E8C" w:rsidRDefault="00021E8C" w:rsidP="00021E8C">
      <w:pPr>
        <w:ind w:firstLine="705"/>
        <w:jc w:val="both"/>
        <w:rPr>
          <w:rFonts w:ascii="Abadi" w:hAnsi="Abadi" w:cs="Arial"/>
          <w:sz w:val="21"/>
          <w:szCs w:val="21"/>
          <w:lang w:eastAsia="x-none"/>
        </w:rPr>
      </w:pPr>
    </w:p>
    <w:p w14:paraId="0A8EDC5F" w14:textId="77777777" w:rsidR="00021E8C" w:rsidRPr="00021E8C" w:rsidRDefault="00021E8C" w:rsidP="00021E8C">
      <w:pPr>
        <w:ind w:firstLine="705"/>
        <w:jc w:val="both"/>
        <w:rPr>
          <w:rFonts w:ascii="Abadi" w:hAnsi="Abadi" w:cs="Arial"/>
          <w:sz w:val="21"/>
          <w:szCs w:val="21"/>
          <w:lang w:eastAsia="x-none"/>
        </w:rPr>
      </w:pPr>
      <w:r w:rsidRPr="00021E8C">
        <w:rPr>
          <w:rFonts w:ascii="Abadi" w:hAnsi="Abadi" w:cs="Arial"/>
          <w:sz w:val="21"/>
          <w:szCs w:val="21"/>
          <w:lang w:eastAsia="x-none"/>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25A8D758" w14:textId="77777777" w:rsidR="00021E8C" w:rsidRPr="00021E8C" w:rsidRDefault="00021E8C" w:rsidP="00021E8C">
      <w:pPr>
        <w:jc w:val="both"/>
        <w:rPr>
          <w:rFonts w:ascii="Abadi" w:hAnsi="Abadi"/>
          <w:i/>
          <w:iCs/>
          <w:sz w:val="21"/>
          <w:szCs w:val="21"/>
          <w:lang w:eastAsia="x-none"/>
        </w:rPr>
      </w:pPr>
    </w:p>
    <w:p w14:paraId="595A1299" w14:textId="77777777" w:rsidR="00021E8C" w:rsidRPr="00021E8C" w:rsidRDefault="00021E8C" w:rsidP="00021E8C">
      <w:pPr>
        <w:jc w:val="both"/>
        <w:rPr>
          <w:rFonts w:ascii="Abadi" w:hAnsi="Abadi" w:cs="Arial"/>
          <w:i/>
          <w:iCs/>
          <w:sz w:val="21"/>
          <w:szCs w:val="21"/>
          <w:lang w:eastAsia="x-none"/>
        </w:rPr>
      </w:pPr>
      <w:r w:rsidRPr="00021E8C">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6F886A4B" w14:textId="77777777" w:rsidR="00021E8C" w:rsidRPr="00021E8C" w:rsidRDefault="00021E8C" w:rsidP="00021E8C">
      <w:pPr>
        <w:jc w:val="both"/>
        <w:rPr>
          <w:rFonts w:ascii="Abadi" w:hAnsi="Abadi" w:cs="Arial"/>
          <w:i/>
          <w:iCs/>
          <w:sz w:val="21"/>
          <w:szCs w:val="21"/>
          <w:lang w:eastAsia="x-none"/>
        </w:rPr>
      </w:pPr>
    </w:p>
    <w:p w14:paraId="5F62C2F8" w14:textId="77777777" w:rsidR="00021E8C" w:rsidRPr="00021E8C" w:rsidRDefault="00021E8C" w:rsidP="00021E8C">
      <w:pPr>
        <w:jc w:val="both"/>
        <w:rPr>
          <w:rFonts w:ascii="Abadi" w:hAnsi="Abadi" w:cs="Arial"/>
          <w:i/>
          <w:iCs/>
          <w:sz w:val="21"/>
          <w:szCs w:val="21"/>
          <w:lang w:eastAsia="x-none"/>
        </w:rPr>
      </w:pPr>
      <w:r w:rsidRPr="00021E8C">
        <w:rPr>
          <w:rFonts w:ascii="Abadi" w:hAnsi="Abadi" w:cs="Arial"/>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6ADE8A85" w14:textId="77777777" w:rsidR="00021E8C" w:rsidRPr="00021E8C" w:rsidRDefault="00021E8C" w:rsidP="00021E8C">
      <w:pPr>
        <w:jc w:val="both"/>
        <w:rPr>
          <w:rFonts w:ascii="Abadi" w:hAnsi="Abadi" w:cs="Arial"/>
          <w:i/>
          <w:iCs/>
          <w:sz w:val="21"/>
          <w:szCs w:val="21"/>
          <w:lang w:eastAsia="x-none"/>
        </w:rPr>
      </w:pPr>
    </w:p>
    <w:p w14:paraId="7674F5C4" w14:textId="77777777" w:rsidR="00021E8C" w:rsidRPr="00021E8C" w:rsidRDefault="00021E8C" w:rsidP="00021E8C">
      <w:pPr>
        <w:jc w:val="both"/>
        <w:rPr>
          <w:rFonts w:ascii="Abadi" w:hAnsi="Abadi" w:cs="Arial"/>
          <w:i/>
          <w:iCs/>
          <w:sz w:val="21"/>
          <w:szCs w:val="21"/>
          <w:lang w:eastAsia="x-none"/>
        </w:rPr>
      </w:pPr>
      <w:r w:rsidRPr="00021E8C">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00055E50" w14:textId="77777777" w:rsidR="00021E8C" w:rsidRPr="00021E8C" w:rsidRDefault="00021E8C" w:rsidP="00021E8C">
      <w:pPr>
        <w:jc w:val="both"/>
        <w:rPr>
          <w:rFonts w:ascii="Abadi" w:hAnsi="Abadi" w:cs="Arial"/>
          <w:sz w:val="21"/>
          <w:szCs w:val="21"/>
          <w:lang w:eastAsia="x-none"/>
        </w:rPr>
      </w:pPr>
    </w:p>
    <w:p w14:paraId="68FFCB26" w14:textId="77777777" w:rsidR="00021E8C" w:rsidRPr="00021E8C" w:rsidRDefault="00021E8C" w:rsidP="00021E8C">
      <w:pPr>
        <w:ind w:firstLine="705"/>
        <w:jc w:val="both"/>
        <w:rPr>
          <w:rFonts w:ascii="Abadi" w:hAnsi="Abadi" w:cs="Arial"/>
          <w:sz w:val="21"/>
          <w:szCs w:val="21"/>
          <w:lang w:eastAsia="x-none"/>
        </w:rPr>
      </w:pPr>
      <w:r w:rsidRPr="00021E8C">
        <w:rPr>
          <w:rFonts w:ascii="Abadi" w:hAnsi="Abadi" w:cs="Arial"/>
          <w:sz w:val="21"/>
          <w:szCs w:val="21"/>
          <w:lang w:eastAsia="x-none"/>
        </w:rPr>
        <w:t xml:space="preserve">Derivado de lo anterior, en el proceso de auditoría se inspeccionó que los comprobantes fiscales que soportan las erogaciones del ente fiscalizado, no correspondan a contribuyentes que se encuentren en los supuestos previstos en el artículo 69-B del Código Fiscal de la Federación, empresas que facturan operaciones simuladas o inexistentes con el carácter de </w:t>
      </w:r>
      <w:r w:rsidRPr="00021E8C">
        <w:rPr>
          <w:rFonts w:ascii="Abadi" w:hAnsi="Abadi" w:cs="Arial"/>
          <w:i/>
          <w:iCs/>
          <w:sz w:val="21"/>
          <w:szCs w:val="21"/>
          <w:lang w:eastAsia="x-none"/>
        </w:rPr>
        <w:t>«Definitivos»,</w:t>
      </w:r>
      <w:r w:rsidRPr="00021E8C">
        <w:rPr>
          <w:rFonts w:ascii="Abadi" w:hAnsi="Abadi" w:cs="Arial"/>
          <w:sz w:val="21"/>
          <w:szCs w:val="21"/>
          <w:lang w:eastAsia="x-none"/>
        </w:rPr>
        <w:t xml:space="preserve"> emitidas por el Servicio de Administración Tributaria.</w:t>
      </w:r>
    </w:p>
    <w:p w14:paraId="38215177" w14:textId="77777777" w:rsidR="00021E8C" w:rsidRPr="00021E8C" w:rsidRDefault="00021E8C" w:rsidP="00021E8C">
      <w:pPr>
        <w:ind w:firstLine="705"/>
        <w:jc w:val="both"/>
        <w:rPr>
          <w:rFonts w:ascii="Abadi" w:hAnsi="Abadi" w:cs="Arial"/>
          <w:sz w:val="21"/>
          <w:szCs w:val="21"/>
          <w:lang w:val="es-MX" w:eastAsia="x-none"/>
        </w:rPr>
      </w:pPr>
    </w:p>
    <w:p w14:paraId="713F0FB4" w14:textId="77777777" w:rsidR="00021E8C" w:rsidRPr="00021E8C" w:rsidRDefault="00021E8C" w:rsidP="00021E8C">
      <w:pPr>
        <w:ind w:firstLine="705"/>
        <w:jc w:val="both"/>
        <w:rPr>
          <w:rFonts w:ascii="Abadi" w:hAnsi="Abadi" w:cs="Arial"/>
          <w:sz w:val="21"/>
          <w:szCs w:val="21"/>
          <w:lang w:eastAsia="x-none"/>
        </w:rPr>
      </w:pPr>
      <w:r w:rsidRPr="00021E8C">
        <w:rPr>
          <w:rFonts w:ascii="Abadi" w:hAnsi="Abadi" w:cs="Arial"/>
          <w:sz w:val="21"/>
          <w:szCs w:val="21"/>
          <w:lang w:eastAsia="x-none"/>
        </w:rPr>
        <w:t>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1B4A658D" w14:textId="77777777" w:rsidR="00021E8C" w:rsidRPr="00021E8C" w:rsidRDefault="00021E8C" w:rsidP="00021E8C">
      <w:pPr>
        <w:ind w:firstLine="705"/>
        <w:jc w:val="both"/>
        <w:rPr>
          <w:rFonts w:ascii="Abadi" w:hAnsi="Abadi"/>
          <w:sz w:val="21"/>
          <w:szCs w:val="21"/>
          <w:lang w:eastAsia="x-none"/>
        </w:rPr>
      </w:pPr>
    </w:p>
    <w:p w14:paraId="1026A120" w14:textId="77777777" w:rsidR="00021E8C" w:rsidRPr="00021E8C" w:rsidRDefault="00021E8C" w:rsidP="00021E8C">
      <w:pPr>
        <w:ind w:firstLine="705"/>
        <w:jc w:val="both"/>
        <w:rPr>
          <w:rFonts w:ascii="Abadi" w:hAnsi="Abadi" w:cs="Arial"/>
          <w:sz w:val="21"/>
          <w:szCs w:val="21"/>
          <w:lang w:val="es-MX" w:eastAsia="x-none"/>
        </w:rPr>
      </w:pPr>
      <w:r w:rsidRPr="00021E8C">
        <w:rPr>
          <w:rFonts w:ascii="Abadi" w:hAnsi="Abadi" w:cs="Arial"/>
          <w:sz w:val="21"/>
          <w:szCs w:val="21"/>
          <w:lang w:val="es-MX" w:eastAsia="x-none"/>
        </w:rPr>
        <w:t>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fiscalizado;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fiscalizado.</w:t>
      </w:r>
    </w:p>
    <w:p w14:paraId="3500065E" w14:textId="77777777" w:rsidR="00021E8C" w:rsidRPr="00021E8C" w:rsidRDefault="00021E8C" w:rsidP="00021E8C">
      <w:pPr>
        <w:ind w:firstLine="705"/>
        <w:jc w:val="both"/>
        <w:rPr>
          <w:rFonts w:ascii="Abadi" w:hAnsi="Abadi" w:cs="Arial"/>
          <w:sz w:val="21"/>
          <w:szCs w:val="21"/>
          <w:lang w:val="es-MX" w:eastAsia="x-none"/>
        </w:rPr>
      </w:pPr>
    </w:p>
    <w:p w14:paraId="5D011166" w14:textId="77777777" w:rsidR="00021E8C" w:rsidRPr="00021E8C" w:rsidRDefault="00021E8C" w:rsidP="00021E8C">
      <w:pPr>
        <w:ind w:firstLine="705"/>
        <w:jc w:val="both"/>
        <w:rPr>
          <w:rFonts w:ascii="Abadi" w:hAnsi="Abadi" w:cs="Arial"/>
          <w:sz w:val="21"/>
          <w:szCs w:val="21"/>
          <w:lang w:val="es-MX" w:eastAsia="x-none"/>
        </w:rPr>
      </w:pPr>
      <w:r w:rsidRPr="00021E8C">
        <w:rPr>
          <w:rFonts w:ascii="Abadi" w:hAnsi="Abadi" w:cs="Arial"/>
          <w:sz w:val="21"/>
          <w:szCs w:val="21"/>
          <w:lang w:val="es-MX" w:eastAsia="x-none"/>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Santa Cruz de Juventino Rosas, Gto., cumplió con las disposiciones normativas aplicables, excepto por los resultados precisados en el informe de resultados; señalando además que se presentaron limitantes al alcance que se refiere a la aplicación de los procedimientos de inspecciones físicas de bienes muebles adquiridos, confirmaciones con beneficiarios de apoyos y/o ayudas y actas circunstanciadas de hechos. También se refiere que se presentaron limitantes en la aplicación de los procedimientos de auditoría, derivado de la contingencia por la pandemia del virus SARS-CoV2.</w:t>
      </w:r>
    </w:p>
    <w:p w14:paraId="0D055A50" w14:textId="77777777" w:rsidR="00021E8C" w:rsidRPr="00021E8C" w:rsidRDefault="00021E8C" w:rsidP="00021E8C">
      <w:pPr>
        <w:ind w:firstLine="705"/>
        <w:jc w:val="both"/>
        <w:rPr>
          <w:rFonts w:ascii="Abadi" w:hAnsi="Abadi" w:cs="Arial"/>
          <w:sz w:val="21"/>
          <w:szCs w:val="21"/>
          <w:lang w:val="es-MX" w:eastAsia="x-none"/>
        </w:rPr>
      </w:pPr>
    </w:p>
    <w:p w14:paraId="216663E4" w14:textId="77777777" w:rsidR="00021E8C" w:rsidRPr="00021E8C" w:rsidRDefault="00021E8C" w:rsidP="00021E8C">
      <w:pPr>
        <w:ind w:firstLine="705"/>
        <w:jc w:val="both"/>
        <w:rPr>
          <w:rFonts w:ascii="Abadi" w:hAnsi="Abadi" w:cs="Arial"/>
          <w:sz w:val="21"/>
          <w:szCs w:val="21"/>
        </w:rPr>
      </w:pPr>
      <w:r w:rsidRPr="00021E8C">
        <w:rPr>
          <w:rFonts w:ascii="Abadi" w:hAnsi="Abadi" w:cs="Arial"/>
          <w:sz w:val="21"/>
          <w:szCs w:val="21"/>
          <w:lang w:val="es-MX" w:eastAsia="x-none"/>
        </w:rPr>
        <w:t>En cuanto al rubro de resultados de la fiscalización efectuada, se establece el estatus que guardan las observaciones y re</w:t>
      </w:r>
      <w:r w:rsidRPr="00021E8C">
        <w:rPr>
          <w:rFonts w:ascii="Abadi" w:hAnsi="Abadi" w:cs="Arial"/>
          <w:sz w:val="21"/>
          <w:szCs w:val="21"/>
        </w:rPr>
        <w:t xml:space="preserve">comendaciones, las cuales se agrupan bajo su respectivo tipo y rubro, señalando que se determinaron 3 observaciones, que no fueron solventadas. Asimismo, se formuló 1 recomendación que no se atendió. </w:t>
      </w:r>
    </w:p>
    <w:p w14:paraId="7012D779" w14:textId="77777777" w:rsidR="00021E8C" w:rsidRPr="00021E8C" w:rsidRDefault="00021E8C" w:rsidP="00021E8C">
      <w:pPr>
        <w:ind w:firstLine="705"/>
        <w:jc w:val="both"/>
        <w:rPr>
          <w:rFonts w:ascii="Abadi" w:hAnsi="Abadi" w:cs="Arial"/>
          <w:sz w:val="21"/>
          <w:szCs w:val="21"/>
          <w:lang w:eastAsia="x-none"/>
        </w:rPr>
      </w:pPr>
    </w:p>
    <w:p w14:paraId="1DE13F42" w14:textId="77777777" w:rsidR="00021E8C" w:rsidRPr="00021E8C" w:rsidRDefault="00021E8C" w:rsidP="00021E8C">
      <w:pPr>
        <w:ind w:firstLine="705"/>
        <w:jc w:val="both"/>
        <w:rPr>
          <w:rFonts w:ascii="Abadi" w:hAnsi="Abadi" w:cs="Arial"/>
          <w:sz w:val="21"/>
          <w:szCs w:val="21"/>
          <w:lang w:val="es-MX" w:eastAsia="x-none"/>
        </w:rPr>
      </w:pPr>
      <w:r w:rsidRPr="00021E8C">
        <w:rPr>
          <w:rFonts w:ascii="Abadi" w:hAnsi="Abadi" w:cs="Arial"/>
          <w:sz w:val="21"/>
          <w:szCs w:val="21"/>
          <w:lang w:val="es-MX" w:eastAsia="x-none"/>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002 y 003, existen importes no solventados por la cuantía que ahí se refiere. </w:t>
      </w:r>
    </w:p>
    <w:p w14:paraId="65449C05" w14:textId="77777777" w:rsidR="00021E8C" w:rsidRPr="00021E8C" w:rsidRDefault="00021E8C" w:rsidP="00021E8C">
      <w:pPr>
        <w:ind w:firstLine="705"/>
        <w:jc w:val="both"/>
        <w:rPr>
          <w:rFonts w:ascii="Abadi" w:hAnsi="Abadi" w:cs="Arial"/>
          <w:sz w:val="21"/>
          <w:szCs w:val="21"/>
          <w:lang w:val="es-MX" w:eastAsia="x-none"/>
        </w:rPr>
      </w:pPr>
    </w:p>
    <w:p w14:paraId="14224BE1" w14:textId="77777777" w:rsidR="00021E8C" w:rsidRPr="00021E8C" w:rsidRDefault="00021E8C" w:rsidP="00021E8C">
      <w:pPr>
        <w:ind w:firstLine="705"/>
        <w:jc w:val="both"/>
        <w:rPr>
          <w:rFonts w:ascii="Abadi" w:hAnsi="Abadi" w:cs="Arial"/>
          <w:sz w:val="21"/>
          <w:szCs w:val="21"/>
          <w:lang w:eastAsia="x-none"/>
        </w:rPr>
      </w:pPr>
      <w:r w:rsidRPr="00021E8C">
        <w:rPr>
          <w:rFonts w:ascii="Abadi" w:hAnsi="Abadi" w:cs="Arial"/>
          <w:sz w:val="21"/>
          <w:szCs w:val="21"/>
          <w:lang w:eastAsia="x-none"/>
        </w:rPr>
        <w:t>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Santa Cruz de Juventino Rosas, Gto., celebró operaciones; entre los procedimientos expuestos, se verificó que estas no se encontraran en el listado de Empresas que Facturan Operaciones Simuladas (EFOS) u operaciones inexistentes con el carácter de «</w:t>
      </w:r>
      <w:r w:rsidRPr="00021E8C">
        <w:rPr>
          <w:rFonts w:ascii="Abadi" w:hAnsi="Abadi" w:cs="Arial"/>
          <w:i/>
          <w:iCs/>
          <w:sz w:val="21"/>
          <w:szCs w:val="21"/>
          <w:lang w:eastAsia="x-none"/>
        </w:rPr>
        <w:t>Definitivos»</w:t>
      </w:r>
      <w:r w:rsidRPr="00021E8C">
        <w:rPr>
          <w:rFonts w:ascii="Abadi" w:hAnsi="Abadi" w:cs="Arial"/>
          <w:sz w:val="21"/>
          <w:szCs w:val="21"/>
          <w:lang w:eastAsia="x-none"/>
        </w:rPr>
        <w:t xml:space="preserve"> publicados en el Diario Oficial de la Federación y en el sitio de información estadística del Servicio de Administración Tributaria, concluyendo que no se identificaron empresas clasificadas como EFOS.</w:t>
      </w:r>
    </w:p>
    <w:p w14:paraId="02C5A4F9" w14:textId="77777777" w:rsidR="00021E8C" w:rsidRPr="00021E8C" w:rsidRDefault="00021E8C" w:rsidP="00021E8C">
      <w:pPr>
        <w:ind w:firstLine="705"/>
        <w:jc w:val="both"/>
        <w:rPr>
          <w:rFonts w:ascii="Abadi" w:hAnsi="Abadi" w:cs="Arial"/>
          <w:sz w:val="21"/>
          <w:szCs w:val="21"/>
          <w:lang w:eastAsia="x-none"/>
        </w:rPr>
      </w:pPr>
    </w:p>
    <w:p w14:paraId="73569AB4" w14:textId="77777777" w:rsidR="00021E8C" w:rsidRPr="00021E8C" w:rsidRDefault="00021E8C" w:rsidP="001A28E5">
      <w:pPr>
        <w:numPr>
          <w:ilvl w:val="0"/>
          <w:numId w:val="96"/>
        </w:numPr>
        <w:tabs>
          <w:tab w:val="num" w:pos="0"/>
        </w:tabs>
        <w:jc w:val="both"/>
        <w:rPr>
          <w:rFonts w:ascii="Abadi" w:hAnsi="Abadi" w:cs="Arial"/>
          <w:b/>
          <w:bCs/>
          <w:sz w:val="21"/>
          <w:szCs w:val="21"/>
          <w:lang w:eastAsia="x-none"/>
        </w:rPr>
      </w:pPr>
      <w:r w:rsidRPr="00021E8C">
        <w:rPr>
          <w:rFonts w:ascii="Abadi" w:hAnsi="Abadi" w:cs="Arial"/>
          <w:b/>
          <w:bCs/>
          <w:sz w:val="21"/>
          <w:szCs w:val="21"/>
          <w:lang w:eastAsia="x-none"/>
        </w:rPr>
        <w:t xml:space="preserve">Observaciones y recomendaciones, la respuesta emitida por el sujeto fiscalizado y la valoración correspondiente. </w:t>
      </w:r>
    </w:p>
    <w:p w14:paraId="5C79D8B6" w14:textId="77777777" w:rsidR="00021E8C" w:rsidRPr="00021E8C" w:rsidRDefault="00021E8C" w:rsidP="00021E8C">
      <w:pPr>
        <w:ind w:left="1065"/>
        <w:jc w:val="both"/>
        <w:rPr>
          <w:rFonts w:ascii="Abadi" w:hAnsi="Abadi" w:cs="Arial"/>
          <w:b/>
          <w:bCs/>
          <w:sz w:val="21"/>
          <w:szCs w:val="21"/>
          <w:lang w:eastAsia="x-none"/>
        </w:rPr>
      </w:pPr>
    </w:p>
    <w:p w14:paraId="497BAF7C" w14:textId="77777777" w:rsidR="00021E8C" w:rsidRPr="00021E8C" w:rsidRDefault="00021E8C" w:rsidP="00021E8C">
      <w:pPr>
        <w:ind w:firstLine="705"/>
        <w:jc w:val="both"/>
        <w:rPr>
          <w:rFonts w:ascii="Abadi" w:hAnsi="Abadi" w:cs="Arial"/>
          <w:sz w:val="21"/>
          <w:szCs w:val="21"/>
          <w:lang w:val="es-MX" w:eastAsia="x-none"/>
        </w:rPr>
      </w:pPr>
      <w:r w:rsidRPr="00021E8C">
        <w:rPr>
          <w:rFonts w:ascii="Abadi" w:hAnsi="Abadi" w:cs="Arial"/>
          <w:sz w:val="21"/>
          <w:szCs w:val="21"/>
          <w:lang w:val="es-MX" w:eastAsia="x-none"/>
        </w:rPr>
        <w:t xml:space="preserve">En esta parte se desglosa la valoración de las observaciones formuladas por el Órgano Técnico, </w:t>
      </w:r>
      <w:r w:rsidRPr="00021E8C">
        <w:rPr>
          <w:rFonts w:ascii="Abadi" w:hAnsi="Abadi" w:cs="Arial"/>
          <w:sz w:val="21"/>
          <w:szCs w:val="21"/>
          <w:lang w:eastAsia="x-none"/>
        </w:rPr>
        <w:t xml:space="preserve">considerando como no solventadas las observaciones plasmadas en los numerales 001, referente </w:t>
      </w:r>
      <w:r w:rsidRPr="00021E8C">
        <w:rPr>
          <w:rFonts w:ascii="Abadi" w:hAnsi="Abadi" w:cs="Arial"/>
          <w:sz w:val="21"/>
          <w:szCs w:val="21"/>
          <w:lang w:val="es-MX" w:eastAsia="x-none"/>
        </w:rPr>
        <w:t>a baja de bienes muebles; 002, correspondiente a prima de antigüedad; y 003, relativo a equipos de telefonía celular.</w:t>
      </w:r>
    </w:p>
    <w:p w14:paraId="2907FB12" w14:textId="77777777" w:rsidR="00021E8C" w:rsidRPr="00021E8C" w:rsidRDefault="00021E8C" w:rsidP="00021E8C">
      <w:pPr>
        <w:ind w:firstLine="705"/>
        <w:jc w:val="both"/>
        <w:rPr>
          <w:rFonts w:ascii="Abadi" w:hAnsi="Abadi" w:cs="Arial"/>
          <w:sz w:val="21"/>
          <w:szCs w:val="21"/>
          <w:lang w:val="es-MX" w:eastAsia="x-none"/>
        </w:rPr>
      </w:pPr>
    </w:p>
    <w:p w14:paraId="32379EE8" w14:textId="77777777" w:rsidR="00021E8C" w:rsidRPr="00021E8C" w:rsidRDefault="00021E8C" w:rsidP="00021E8C">
      <w:pPr>
        <w:ind w:firstLine="705"/>
        <w:jc w:val="both"/>
        <w:rPr>
          <w:rFonts w:ascii="Abadi" w:hAnsi="Abadi" w:cs="Arial"/>
          <w:sz w:val="21"/>
          <w:szCs w:val="21"/>
          <w:lang w:eastAsia="x-none"/>
        </w:rPr>
      </w:pPr>
      <w:r w:rsidRPr="00021E8C">
        <w:rPr>
          <w:rFonts w:ascii="Abadi" w:hAnsi="Abadi" w:cs="Arial"/>
          <w:sz w:val="21"/>
          <w:szCs w:val="21"/>
          <w:lang w:val="es-MX" w:eastAsia="x-none"/>
        </w:rPr>
        <w:t xml:space="preserve">En el apartado de Recomendaciones Generales, no se atendió el numeral 001, referido a </w:t>
      </w:r>
      <w:r w:rsidRPr="00021E8C">
        <w:rPr>
          <w:rFonts w:ascii="Abadi" w:hAnsi="Abadi" w:cs="Arial"/>
          <w:sz w:val="21"/>
          <w:szCs w:val="21"/>
          <w:lang w:eastAsia="x-none"/>
        </w:rPr>
        <w:t>extinción del Instituto Municipal de Vivienda.</w:t>
      </w:r>
    </w:p>
    <w:p w14:paraId="1AD7FB0E" w14:textId="77777777" w:rsidR="00021E8C" w:rsidRPr="00021E8C" w:rsidRDefault="00021E8C" w:rsidP="00021E8C">
      <w:pPr>
        <w:ind w:firstLine="705"/>
        <w:jc w:val="both"/>
        <w:rPr>
          <w:rFonts w:ascii="Abadi" w:hAnsi="Abadi" w:cs="Arial"/>
          <w:sz w:val="21"/>
          <w:szCs w:val="21"/>
          <w:lang w:eastAsia="x-none"/>
        </w:rPr>
      </w:pPr>
    </w:p>
    <w:p w14:paraId="6AC71A94" w14:textId="77777777" w:rsidR="00021E8C" w:rsidRPr="00021E8C" w:rsidRDefault="00021E8C" w:rsidP="001A28E5">
      <w:pPr>
        <w:numPr>
          <w:ilvl w:val="0"/>
          <w:numId w:val="96"/>
        </w:numPr>
        <w:jc w:val="both"/>
        <w:rPr>
          <w:rFonts w:ascii="Abadi" w:hAnsi="Abadi" w:cs="Arial"/>
          <w:b/>
          <w:bCs/>
          <w:sz w:val="21"/>
          <w:szCs w:val="21"/>
          <w:lang w:val="es-MX" w:eastAsia="x-none"/>
        </w:rPr>
      </w:pPr>
      <w:r w:rsidRPr="00021E8C">
        <w:rPr>
          <w:rFonts w:ascii="Abadi" w:hAnsi="Abadi" w:cs="Arial"/>
          <w:b/>
          <w:bCs/>
          <w:sz w:val="21"/>
          <w:szCs w:val="21"/>
          <w:lang w:val="es-MX" w:eastAsia="x-none"/>
        </w:rPr>
        <w:t xml:space="preserve">Promoción del ejercicio de facultades de comprobación fiscal. </w:t>
      </w:r>
    </w:p>
    <w:p w14:paraId="73539F71" w14:textId="77777777" w:rsidR="00021E8C" w:rsidRPr="00021E8C" w:rsidRDefault="00021E8C" w:rsidP="00021E8C">
      <w:pPr>
        <w:ind w:firstLine="705"/>
        <w:jc w:val="both"/>
        <w:rPr>
          <w:rFonts w:ascii="Abadi" w:hAnsi="Abadi" w:cs="Arial"/>
          <w:sz w:val="21"/>
          <w:szCs w:val="21"/>
          <w:lang w:eastAsia="x-none"/>
        </w:rPr>
      </w:pPr>
    </w:p>
    <w:p w14:paraId="6A189FAB" w14:textId="77777777" w:rsidR="00021E8C" w:rsidRPr="00021E8C" w:rsidRDefault="00021E8C" w:rsidP="00021E8C">
      <w:pPr>
        <w:ind w:firstLine="705"/>
        <w:jc w:val="both"/>
        <w:rPr>
          <w:rFonts w:ascii="Abadi" w:hAnsi="Abadi" w:cs="Arial"/>
          <w:sz w:val="21"/>
          <w:szCs w:val="21"/>
          <w:lang w:val="es-MX" w:eastAsia="x-none"/>
        </w:rPr>
      </w:pPr>
      <w:r w:rsidRPr="00021E8C">
        <w:rPr>
          <w:rFonts w:ascii="Abadi" w:hAnsi="Abadi" w:cs="Arial"/>
          <w:sz w:val="21"/>
          <w:szCs w:val="21"/>
          <w:lang w:val="es-MX" w:eastAsia="x-none"/>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45DEBDC1" w14:textId="5632487E" w:rsidR="00021E8C" w:rsidRDefault="00021E8C" w:rsidP="00490E36">
      <w:pPr>
        <w:jc w:val="both"/>
        <w:rPr>
          <w:rFonts w:ascii="Abadi" w:hAnsi="Abadi" w:cs="Arial"/>
          <w:sz w:val="21"/>
          <w:szCs w:val="21"/>
          <w:lang w:val="es-MX" w:eastAsia="x-none"/>
        </w:rPr>
      </w:pPr>
    </w:p>
    <w:p w14:paraId="6213F538" w14:textId="77777777" w:rsidR="00490E36" w:rsidRPr="00021E8C" w:rsidRDefault="00490E36" w:rsidP="00490E36">
      <w:pPr>
        <w:jc w:val="both"/>
        <w:rPr>
          <w:rFonts w:ascii="Abadi" w:hAnsi="Abadi" w:cs="Arial"/>
          <w:sz w:val="21"/>
          <w:szCs w:val="21"/>
          <w:lang w:val="es-MX" w:eastAsia="x-none"/>
        </w:rPr>
      </w:pPr>
    </w:p>
    <w:p w14:paraId="0D225D33" w14:textId="77777777" w:rsidR="00021E8C" w:rsidRPr="00021E8C" w:rsidRDefault="00021E8C" w:rsidP="001A28E5">
      <w:pPr>
        <w:numPr>
          <w:ilvl w:val="0"/>
          <w:numId w:val="96"/>
        </w:numPr>
        <w:jc w:val="both"/>
        <w:rPr>
          <w:rFonts w:ascii="Abadi" w:hAnsi="Abadi" w:cs="Arial"/>
          <w:b/>
          <w:bCs/>
          <w:sz w:val="21"/>
          <w:szCs w:val="21"/>
          <w:lang w:val="es-MX" w:eastAsia="x-none"/>
        </w:rPr>
      </w:pPr>
      <w:r w:rsidRPr="00021E8C">
        <w:rPr>
          <w:rFonts w:ascii="Abadi" w:hAnsi="Abadi" w:cs="Arial"/>
          <w:b/>
          <w:bCs/>
          <w:sz w:val="21"/>
          <w:szCs w:val="21"/>
          <w:lang w:val="es-MX" w:eastAsia="x-none"/>
        </w:rPr>
        <w:t>Comunicado ante órganos de control y autoridades que administran padrones de proveedores y contratistas.</w:t>
      </w:r>
    </w:p>
    <w:p w14:paraId="7A5E16F6" w14:textId="77777777" w:rsidR="00021E8C" w:rsidRPr="00021E8C" w:rsidRDefault="00021E8C" w:rsidP="00021E8C">
      <w:pPr>
        <w:ind w:firstLine="705"/>
        <w:jc w:val="both"/>
        <w:rPr>
          <w:rFonts w:ascii="Abadi" w:hAnsi="Abadi" w:cs="Arial"/>
          <w:sz w:val="21"/>
          <w:szCs w:val="21"/>
          <w:lang w:eastAsia="x-none"/>
        </w:rPr>
      </w:pPr>
    </w:p>
    <w:p w14:paraId="06A3C65E" w14:textId="77777777" w:rsidR="00021E8C" w:rsidRPr="00021E8C" w:rsidRDefault="00021E8C" w:rsidP="00021E8C">
      <w:pPr>
        <w:ind w:firstLine="705"/>
        <w:jc w:val="both"/>
        <w:rPr>
          <w:rFonts w:ascii="Abadi" w:hAnsi="Abadi" w:cs="Arial"/>
          <w:sz w:val="21"/>
          <w:szCs w:val="21"/>
          <w:lang w:val="es-MX" w:eastAsia="x-none"/>
        </w:rPr>
      </w:pPr>
      <w:r w:rsidRPr="00021E8C">
        <w:rPr>
          <w:rFonts w:ascii="Abadi" w:hAnsi="Abadi" w:cs="Arial"/>
          <w:sz w:val="21"/>
          <w:szCs w:val="21"/>
          <w:lang w:val="es-MX" w:eastAsia="x-none"/>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53FDC64F" w14:textId="77777777" w:rsidR="00021E8C" w:rsidRPr="00021E8C" w:rsidRDefault="00021E8C" w:rsidP="00021E8C">
      <w:pPr>
        <w:ind w:firstLine="705"/>
        <w:jc w:val="both"/>
        <w:rPr>
          <w:rFonts w:ascii="Abadi" w:hAnsi="Abadi" w:cs="Arial"/>
          <w:sz w:val="21"/>
          <w:szCs w:val="21"/>
          <w:lang w:val="es-MX" w:eastAsia="x-none"/>
        </w:rPr>
      </w:pPr>
    </w:p>
    <w:p w14:paraId="49ADAD73" w14:textId="77777777" w:rsidR="00021E8C" w:rsidRPr="00021E8C" w:rsidRDefault="00021E8C" w:rsidP="001A28E5">
      <w:pPr>
        <w:numPr>
          <w:ilvl w:val="0"/>
          <w:numId w:val="96"/>
        </w:numPr>
        <w:jc w:val="both"/>
        <w:rPr>
          <w:rFonts w:ascii="Abadi" w:hAnsi="Abadi" w:cs="Arial"/>
          <w:b/>
          <w:bCs/>
          <w:sz w:val="21"/>
          <w:szCs w:val="21"/>
          <w:lang w:val="es-MX" w:eastAsia="x-none"/>
        </w:rPr>
      </w:pPr>
      <w:r w:rsidRPr="00021E8C">
        <w:rPr>
          <w:rFonts w:ascii="Abadi" w:hAnsi="Abadi" w:cs="Arial"/>
          <w:b/>
          <w:bCs/>
          <w:sz w:val="21"/>
          <w:szCs w:val="21"/>
          <w:lang w:val="es-MX" w:eastAsia="x-none"/>
        </w:rPr>
        <w:t xml:space="preserve">Anexos. </w:t>
      </w:r>
    </w:p>
    <w:p w14:paraId="26E3EC12" w14:textId="77777777" w:rsidR="00021E8C" w:rsidRPr="00021E8C" w:rsidRDefault="00021E8C" w:rsidP="00021E8C">
      <w:pPr>
        <w:ind w:firstLine="705"/>
        <w:jc w:val="both"/>
        <w:rPr>
          <w:rFonts w:ascii="Abadi" w:hAnsi="Abadi" w:cs="Arial"/>
          <w:sz w:val="21"/>
          <w:szCs w:val="21"/>
          <w:lang w:eastAsia="x-none"/>
        </w:rPr>
      </w:pPr>
    </w:p>
    <w:p w14:paraId="10E43978" w14:textId="77777777" w:rsidR="00021E8C" w:rsidRPr="00021E8C" w:rsidRDefault="00021E8C" w:rsidP="00021E8C">
      <w:pPr>
        <w:ind w:firstLine="705"/>
        <w:jc w:val="both"/>
        <w:rPr>
          <w:rFonts w:ascii="Abadi" w:hAnsi="Abadi" w:cs="Arial"/>
          <w:sz w:val="21"/>
          <w:szCs w:val="21"/>
          <w:lang w:eastAsia="x-none"/>
        </w:rPr>
      </w:pPr>
      <w:r w:rsidRPr="00021E8C">
        <w:rPr>
          <w:rFonts w:ascii="Abadi" w:hAnsi="Abadi" w:cs="Arial"/>
          <w:sz w:val="21"/>
          <w:szCs w:val="21"/>
          <w:lang w:eastAsia="x-none"/>
        </w:rPr>
        <w:t>En esta parte, se adjuntan los anexos técnicos derivados de la revisión practicada.</w:t>
      </w:r>
    </w:p>
    <w:p w14:paraId="1E7D7CA6" w14:textId="77777777" w:rsidR="00021E8C" w:rsidRPr="00021E8C" w:rsidRDefault="00021E8C" w:rsidP="00021E8C">
      <w:pPr>
        <w:ind w:firstLine="705"/>
        <w:jc w:val="both"/>
        <w:rPr>
          <w:rFonts w:ascii="Abadi" w:hAnsi="Abadi" w:cs="Arial"/>
          <w:sz w:val="21"/>
          <w:szCs w:val="21"/>
          <w:lang w:eastAsia="x-none"/>
        </w:rPr>
      </w:pPr>
    </w:p>
    <w:p w14:paraId="4F23ADCB" w14:textId="77777777" w:rsidR="00021E8C" w:rsidRPr="00021E8C" w:rsidRDefault="00021E8C" w:rsidP="00021E8C">
      <w:pPr>
        <w:ind w:firstLine="708"/>
        <w:jc w:val="both"/>
        <w:rPr>
          <w:rFonts w:ascii="Abadi" w:hAnsi="Abadi" w:cs="Arial"/>
          <w:b/>
          <w:bCs/>
          <w:sz w:val="21"/>
          <w:szCs w:val="21"/>
        </w:rPr>
      </w:pPr>
      <w:r w:rsidRPr="00021E8C">
        <w:rPr>
          <w:rFonts w:ascii="Abadi" w:hAnsi="Abadi" w:cs="Arial"/>
          <w:b/>
          <w:bCs/>
          <w:sz w:val="21"/>
          <w:szCs w:val="21"/>
        </w:rPr>
        <w:t>V. Conclusiones:</w:t>
      </w:r>
    </w:p>
    <w:p w14:paraId="26CF1525" w14:textId="77777777" w:rsidR="00021E8C" w:rsidRPr="00021E8C" w:rsidRDefault="00021E8C" w:rsidP="00021E8C">
      <w:pPr>
        <w:jc w:val="both"/>
        <w:rPr>
          <w:rFonts w:ascii="Abadi" w:hAnsi="Abadi" w:cs="Arial"/>
          <w:sz w:val="21"/>
          <w:szCs w:val="21"/>
        </w:rPr>
      </w:pPr>
    </w:p>
    <w:p w14:paraId="716B0275" w14:textId="77777777" w:rsidR="00021E8C" w:rsidRPr="00021E8C" w:rsidRDefault="00021E8C" w:rsidP="00021E8C">
      <w:pPr>
        <w:jc w:val="both"/>
        <w:rPr>
          <w:rFonts w:ascii="Abadi" w:hAnsi="Abadi" w:cs="Arial"/>
          <w:sz w:val="21"/>
          <w:szCs w:val="21"/>
        </w:rPr>
      </w:pPr>
      <w:r w:rsidRPr="00021E8C">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021E8C">
          <w:rPr>
            <w:rFonts w:ascii="Abadi" w:hAnsi="Abadi" w:cs="Arial"/>
            <w:sz w:val="21"/>
            <w:szCs w:val="21"/>
          </w:rPr>
          <w:t>la Ley</w:t>
        </w:r>
      </w:smartTag>
      <w:r w:rsidRPr="00021E8C">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314A306D" w14:textId="77777777" w:rsidR="00021E8C" w:rsidRPr="00021E8C" w:rsidRDefault="00021E8C" w:rsidP="00021E8C">
      <w:pPr>
        <w:jc w:val="both"/>
        <w:rPr>
          <w:rFonts w:ascii="Abadi" w:hAnsi="Abadi" w:cs="Arial"/>
          <w:sz w:val="21"/>
          <w:szCs w:val="21"/>
        </w:rPr>
      </w:pPr>
    </w:p>
    <w:p w14:paraId="06308B0F" w14:textId="77777777" w:rsidR="00021E8C" w:rsidRPr="00021E8C" w:rsidRDefault="00021E8C" w:rsidP="00021E8C">
      <w:pPr>
        <w:jc w:val="both"/>
        <w:rPr>
          <w:rFonts w:ascii="Abadi" w:hAnsi="Abadi" w:cs="Arial"/>
          <w:sz w:val="21"/>
          <w:szCs w:val="21"/>
        </w:rPr>
      </w:pPr>
      <w:r w:rsidRPr="00021E8C">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0F53808A" w14:textId="77777777" w:rsidR="00021E8C" w:rsidRPr="00021E8C" w:rsidRDefault="00021E8C" w:rsidP="00021E8C">
      <w:pPr>
        <w:ind w:firstLine="708"/>
        <w:jc w:val="both"/>
        <w:rPr>
          <w:rFonts w:ascii="Abadi" w:hAnsi="Abadi" w:cs="Arial"/>
          <w:sz w:val="21"/>
          <w:szCs w:val="21"/>
        </w:rPr>
      </w:pPr>
    </w:p>
    <w:p w14:paraId="1176E98E" w14:textId="77777777" w:rsidR="00021E8C" w:rsidRPr="00021E8C" w:rsidRDefault="00021E8C" w:rsidP="00021E8C">
      <w:pPr>
        <w:ind w:firstLine="708"/>
        <w:jc w:val="both"/>
        <w:rPr>
          <w:rFonts w:ascii="Abadi" w:hAnsi="Abadi" w:cs="Arial"/>
          <w:sz w:val="21"/>
          <w:szCs w:val="21"/>
        </w:rPr>
      </w:pPr>
      <w:r w:rsidRPr="00021E8C">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y al ex-presidente municipales de Santa Cruz de Juventino Rosas, Gto., concediéndoles el plazo que establece </w:t>
      </w:r>
      <w:smartTag w:uri="urn:schemas-microsoft-com:office:smarttags" w:element="PersonName">
        <w:smartTagPr>
          <w:attr w:name="ProductID" w:val="la Ley"/>
        </w:smartTagPr>
        <w:r w:rsidRPr="00021E8C">
          <w:rPr>
            <w:rFonts w:ascii="Abadi" w:hAnsi="Abadi" w:cs="Arial"/>
            <w:sz w:val="21"/>
            <w:szCs w:val="21"/>
          </w:rPr>
          <w:t>la Ley</w:t>
        </w:r>
      </w:smartTag>
      <w:r w:rsidRPr="00021E8C">
        <w:rPr>
          <w:rFonts w:ascii="Abadi" w:hAnsi="Abadi" w:cs="Arial"/>
          <w:sz w:val="21"/>
          <w:szCs w:val="21"/>
        </w:rPr>
        <w:t xml:space="preserve"> para aclarar, atender o solventar documentalmente las observaciones determinadas por el Órgano Técnico. Al respecto el tesorero y el ex-presidente municipales de Santa Cruz de Juventino Rosas, Gto., presentaron información y documentación para aclarar y en su caso, solventar las observaciones determinadas y atender las recomendaciones efectuadas.</w:t>
      </w:r>
    </w:p>
    <w:p w14:paraId="19EAA1A3" w14:textId="77777777" w:rsidR="00021E8C" w:rsidRPr="00021E8C" w:rsidRDefault="00021E8C" w:rsidP="00021E8C">
      <w:pPr>
        <w:ind w:firstLine="708"/>
        <w:jc w:val="both"/>
        <w:rPr>
          <w:rFonts w:ascii="Abadi" w:hAnsi="Abadi" w:cs="Arial"/>
          <w:sz w:val="21"/>
          <w:szCs w:val="21"/>
        </w:rPr>
      </w:pPr>
    </w:p>
    <w:p w14:paraId="5947B4C4" w14:textId="77777777" w:rsidR="00021E8C" w:rsidRPr="00021E8C" w:rsidRDefault="00021E8C" w:rsidP="00021E8C">
      <w:pPr>
        <w:ind w:firstLine="708"/>
        <w:jc w:val="both"/>
        <w:rPr>
          <w:rFonts w:ascii="Abadi" w:hAnsi="Abadi" w:cs="Arial"/>
          <w:sz w:val="21"/>
          <w:szCs w:val="21"/>
        </w:rPr>
      </w:pPr>
      <w:r w:rsidRPr="00021E8C">
        <w:rPr>
          <w:rFonts w:ascii="Abadi" w:hAnsi="Abadi" w:cs="Arial"/>
          <w:sz w:val="21"/>
          <w:szCs w:val="21"/>
        </w:rPr>
        <w:t xml:space="preserve">De igual manera, existe en el informe de resultados la constancia de que este se notificó al presidente y al ex-presidente municipales de Santa Cruz de Juventino Rosas, Gto., concediéndoles el término señalado en el artículo 37, fracción IV de </w:t>
      </w:r>
      <w:smartTag w:uri="urn:schemas-microsoft-com:office:smarttags" w:element="PersonName">
        <w:smartTagPr>
          <w:attr w:name="ProductID" w:val="la Ley"/>
        </w:smartTagPr>
        <w:r w:rsidRPr="00021E8C">
          <w:rPr>
            <w:rFonts w:ascii="Abadi" w:hAnsi="Abadi" w:cs="Arial"/>
            <w:sz w:val="21"/>
            <w:szCs w:val="21"/>
          </w:rPr>
          <w:t>la Ley</w:t>
        </w:r>
      </w:smartTag>
      <w:r w:rsidRPr="00021E8C">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se tuvo por no interpuesto al no estar suscrito por el titular del sujeto de fiscalización, de conformidad con lo previsto en el artículo 51, fracción I de la Ley de Fiscalización Superior del Estado de Guanajuato. Lo cual se notificó al ex-presidente municipal de Santa Cruz de Juventino Rosas, Gto. En tal virtud, se considera que fue respetado el derecho de audiencia o defensa por parte del Órgano Técnico.</w:t>
      </w:r>
    </w:p>
    <w:p w14:paraId="2EEEB924" w14:textId="77777777" w:rsidR="00021E8C" w:rsidRPr="00021E8C" w:rsidRDefault="00021E8C" w:rsidP="00021E8C">
      <w:pPr>
        <w:ind w:firstLine="708"/>
        <w:jc w:val="both"/>
        <w:rPr>
          <w:rFonts w:ascii="Abadi" w:hAnsi="Abadi" w:cs="Arial"/>
          <w:sz w:val="21"/>
          <w:szCs w:val="21"/>
        </w:rPr>
      </w:pPr>
    </w:p>
    <w:p w14:paraId="1741702C" w14:textId="77777777" w:rsidR="00021E8C" w:rsidRPr="00021E8C" w:rsidRDefault="00021E8C" w:rsidP="00021E8C">
      <w:pPr>
        <w:ind w:firstLine="708"/>
        <w:jc w:val="both"/>
        <w:rPr>
          <w:rFonts w:ascii="Abadi" w:hAnsi="Abadi" w:cs="Arial"/>
          <w:sz w:val="21"/>
          <w:szCs w:val="21"/>
        </w:rPr>
      </w:pPr>
      <w:r w:rsidRPr="00021E8C">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44791682" w14:textId="77777777" w:rsidR="00021E8C" w:rsidRPr="00021E8C" w:rsidRDefault="00021E8C" w:rsidP="00021E8C">
      <w:pPr>
        <w:ind w:firstLine="708"/>
        <w:jc w:val="both"/>
        <w:rPr>
          <w:rFonts w:ascii="Abadi" w:hAnsi="Abadi" w:cs="Arial"/>
          <w:sz w:val="21"/>
          <w:szCs w:val="21"/>
        </w:rPr>
      </w:pPr>
    </w:p>
    <w:p w14:paraId="2630E519" w14:textId="081084D9" w:rsidR="00021E8C" w:rsidRDefault="00021E8C" w:rsidP="00490E36">
      <w:pPr>
        <w:ind w:firstLine="708"/>
        <w:jc w:val="both"/>
        <w:rPr>
          <w:rFonts w:ascii="Abadi" w:hAnsi="Abadi" w:cs="Arial"/>
          <w:sz w:val="21"/>
          <w:szCs w:val="21"/>
        </w:rPr>
      </w:pPr>
      <w:r w:rsidRPr="00021E8C">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7CC53020" w14:textId="77777777" w:rsidR="00490E36" w:rsidRPr="00021E8C" w:rsidRDefault="00490E36" w:rsidP="00490E36">
      <w:pPr>
        <w:ind w:firstLine="708"/>
        <w:jc w:val="both"/>
        <w:rPr>
          <w:rFonts w:ascii="Abadi" w:hAnsi="Abadi" w:cs="Arial"/>
          <w:sz w:val="21"/>
          <w:szCs w:val="21"/>
        </w:rPr>
      </w:pPr>
    </w:p>
    <w:p w14:paraId="0AEFEA82" w14:textId="3AE139F6" w:rsidR="00021E8C" w:rsidRPr="00021E8C" w:rsidRDefault="00021E8C" w:rsidP="00490E36">
      <w:pPr>
        <w:ind w:firstLine="708"/>
        <w:jc w:val="both"/>
        <w:rPr>
          <w:rFonts w:ascii="Abadi" w:hAnsi="Abadi" w:cs="Arial"/>
          <w:sz w:val="21"/>
          <w:szCs w:val="21"/>
        </w:rPr>
      </w:pPr>
      <w:r w:rsidRPr="00021E8C">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 recomendación no atendida y a las observaciones no solventadas contenidas en el informe de resultados.</w:t>
      </w:r>
    </w:p>
    <w:p w14:paraId="31043A85" w14:textId="77777777" w:rsidR="00021E8C" w:rsidRPr="00021E8C" w:rsidRDefault="00021E8C" w:rsidP="00021E8C">
      <w:pPr>
        <w:ind w:firstLine="708"/>
        <w:jc w:val="both"/>
        <w:rPr>
          <w:rFonts w:ascii="Abadi" w:hAnsi="Abadi" w:cs="Arial"/>
          <w:sz w:val="21"/>
          <w:szCs w:val="21"/>
        </w:rPr>
      </w:pPr>
    </w:p>
    <w:p w14:paraId="0926B2FE" w14:textId="4E88F708" w:rsidR="00021E8C" w:rsidRDefault="00021E8C" w:rsidP="00490E36">
      <w:pPr>
        <w:ind w:firstLine="708"/>
        <w:jc w:val="both"/>
        <w:rPr>
          <w:rFonts w:ascii="Abadi" w:hAnsi="Abadi" w:cs="Arial"/>
          <w:sz w:val="21"/>
          <w:szCs w:val="21"/>
        </w:rPr>
      </w:pPr>
      <w:r w:rsidRPr="00021E8C">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7779BD8D" w14:textId="77777777" w:rsidR="00490E36" w:rsidRPr="00021E8C" w:rsidRDefault="00490E36" w:rsidP="00490E36">
      <w:pPr>
        <w:ind w:firstLine="708"/>
        <w:jc w:val="both"/>
        <w:rPr>
          <w:rFonts w:ascii="Abadi" w:hAnsi="Abadi" w:cs="Arial"/>
          <w:sz w:val="21"/>
          <w:szCs w:val="21"/>
        </w:rPr>
      </w:pPr>
    </w:p>
    <w:p w14:paraId="7CE2DD24" w14:textId="460F61BD" w:rsidR="00021E8C" w:rsidRDefault="00021E8C" w:rsidP="00490E36">
      <w:pPr>
        <w:ind w:firstLine="708"/>
        <w:jc w:val="both"/>
        <w:rPr>
          <w:rFonts w:ascii="Abadi" w:hAnsi="Abadi" w:cs="Arial"/>
          <w:sz w:val="21"/>
          <w:szCs w:val="21"/>
        </w:rPr>
      </w:pPr>
      <w:r w:rsidRPr="00021E8C">
        <w:rPr>
          <w:rFonts w:ascii="Abadi" w:hAnsi="Abadi" w:cs="Arial"/>
          <w:sz w:val="21"/>
          <w:szCs w:val="21"/>
        </w:rPr>
        <w:t xml:space="preserve">En razón de lo anteriormente señalado, concluimos que el informe de resultados de la revisión practicada a la cuenta pública de Santa Cruz de Juventino Rosas, Gto., correspondiente al ejercicio fiscal del año 2020, debe sancionarse por el Congreso en los términos presentados por la Auditoría Superior del Estado y proceder a su aprobación, considerando que no se actualiza el supuesto contenido en el artículo 38 de </w:t>
      </w:r>
      <w:smartTag w:uri="urn:schemas-microsoft-com:office:smarttags" w:element="PersonName">
        <w:smartTagPr>
          <w:attr w:name="ProductID" w:val="la Ley"/>
        </w:smartTagPr>
        <w:r w:rsidRPr="00021E8C">
          <w:rPr>
            <w:rFonts w:ascii="Abadi" w:hAnsi="Abadi" w:cs="Arial"/>
            <w:sz w:val="21"/>
            <w:szCs w:val="21"/>
          </w:rPr>
          <w:t>la Ley</w:t>
        </w:r>
      </w:smartTag>
      <w:r w:rsidRPr="00021E8C">
        <w:rPr>
          <w:rFonts w:ascii="Abadi" w:hAnsi="Abadi" w:cs="Arial"/>
          <w:sz w:val="21"/>
          <w:szCs w:val="21"/>
        </w:rPr>
        <w:t xml:space="preserve"> de Fiscalización Superior del Estado de Guanajuato, razón por la cual no podría ser observado por el Pleno del Congreso.</w:t>
      </w:r>
    </w:p>
    <w:p w14:paraId="5725580A" w14:textId="77777777" w:rsidR="00490E36" w:rsidRPr="00021E8C" w:rsidRDefault="00490E36" w:rsidP="00490E36">
      <w:pPr>
        <w:ind w:firstLine="708"/>
        <w:jc w:val="both"/>
        <w:rPr>
          <w:rFonts w:ascii="Abadi" w:hAnsi="Abadi" w:cs="Arial"/>
          <w:sz w:val="21"/>
          <w:szCs w:val="21"/>
        </w:rPr>
      </w:pPr>
    </w:p>
    <w:p w14:paraId="264A9ED9" w14:textId="77777777" w:rsidR="00021E8C" w:rsidRPr="00021E8C" w:rsidRDefault="00021E8C" w:rsidP="00021E8C">
      <w:pPr>
        <w:ind w:firstLine="708"/>
        <w:jc w:val="both"/>
        <w:rPr>
          <w:rFonts w:ascii="Abadi" w:hAnsi="Abadi" w:cs="Arial"/>
          <w:sz w:val="21"/>
          <w:szCs w:val="21"/>
          <w:lang w:val="x-none" w:eastAsia="x-none"/>
        </w:rPr>
      </w:pPr>
      <w:r w:rsidRPr="00021E8C">
        <w:rPr>
          <w:rFonts w:ascii="Abadi" w:hAnsi="Abadi" w:cs="Arial"/>
          <w:sz w:val="21"/>
          <w:szCs w:val="21"/>
        </w:rPr>
        <w:t xml:space="preserve">Por lo expuesto, con fundamento en el artículo 204 de </w:t>
      </w:r>
      <w:smartTag w:uri="urn:schemas-microsoft-com:office:smarttags" w:element="PersonName">
        <w:smartTagPr>
          <w:attr w:name="ProductID" w:val="la Ley Org￡nica"/>
        </w:smartTagPr>
        <w:r w:rsidRPr="00021E8C">
          <w:rPr>
            <w:rFonts w:ascii="Abadi" w:hAnsi="Abadi" w:cs="Arial"/>
            <w:sz w:val="21"/>
            <w:szCs w:val="21"/>
          </w:rPr>
          <w:t>la Ley Orgánica</w:t>
        </w:r>
      </w:smartTag>
      <w:r w:rsidRPr="00021E8C">
        <w:rPr>
          <w:rFonts w:ascii="Abadi" w:hAnsi="Abadi" w:cs="Arial"/>
          <w:sz w:val="21"/>
          <w:szCs w:val="21"/>
        </w:rPr>
        <w:t xml:space="preserve"> del Poder Legislativo, nos permitimos someter a la consideración de </w:t>
      </w:r>
      <w:smartTag w:uri="urn:schemas-microsoft-com:office:smarttags" w:element="PersonName">
        <w:smartTagPr>
          <w:attr w:name="ProductID" w:val="la Asamblea"/>
        </w:smartTagPr>
        <w:r w:rsidRPr="00021E8C">
          <w:rPr>
            <w:rFonts w:ascii="Abadi" w:hAnsi="Abadi" w:cs="Arial"/>
            <w:sz w:val="21"/>
            <w:szCs w:val="21"/>
          </w:rPr>
          <w:t>la Asamblea</w:t>
        </w:r>
      </w:smartTag>
      <w:r w:rsidRPr="00021E8C">
        <w:rPr>
          <w:rFonts w:ascii="Abadi" w:hAnsi="Abadi" w:cs="Arial"/>
          <w:sz w:val="21"/>
          <w:szCs w:val="21"/>
        </w:rPr>
        <w:t>, la aprobación del siguiente</w:t>
      </w:r>
      <w:r w:rsidRPr="00021E8C">
        <w:rPr>
          <w:rFonts w:ascii="Abadi" w:hAnsi="Abadi" w:cs="Arial"/>
          <w:sz w:val="21"/>
          <w:szCs w:val="21"/>
          <w:lang w:val="x-none" w:eastAsia="x-none"/>
        </w:rPr>
        <w:t>:</w:t>
      </w:r>
    </w:p>
    <w:p w14:paraId="4A4A91AB" w14:textId="77777777" w:rsidR="00021E8C" w:rsidRPr="00021E8C" w:rsidRDefault="00021E8C" w:rsidP="00021E8C">
      <w:pPr>
        <w:rPr>
          <w:rFonts w:ascii="Abadi" w:hAnsi="Abadi"/>
          <w:sz w:val="21"/>
          <w:szCs w:val="21"/>
        </w:rPr>
      </w:pPr>
    </w:p>
    <w:p w14:paraId="3FD4305E" w14:textId="26468E17" w:rsidR="00021E8C" w:rsidRPr="00021E8C" w:rsidRDefault="00021E8C" w:rsidP="00490E36">
      <w:pPr>
        <w:keepNext/>
        <w:jc w:val="center"/>
        <w:outlineLvl w:val="0"/>
        <w:rPr>
          <w:rFonts w:ascii="Abadi" w:eastAsia="Arial Unicode MS" w:hAnsi="Abadi" w:cs="Arial"/>
          <w:b/>
          <w:bCs/>
          <w:smallCaps/>
          <w:sz w:val="21"/>
          <w:szCs w:val="21"/>
        </w:rPr>
      </w:pPr>
      <w:r w:rsidRPr="00021E8C">
        <w:rPr>
          <w:rFonts w:ascii="Abadi" w:eastAsia="Arial Unicode MS" w:hAnsi="Abadi" w:cs="Arial"/>
          <w:b/>
          <w:bCs/>
          <w:smallCaps/>
          <w:sz w:val="21"/>
          <w:szCs w:val="21"/>
        </w:rPr>
        <w:t>A c u e r d o</w:t>
      </w:r>
    </w:p>
    <w:p w14:paraId="4A504B4F" w14:textId="77777777" w:rsidR="00021E8C" w:rsidRPr="00021E8C" w:rsidRDefault="00021E8C" w:rsidP="00021E8C">
      <w:pPr>
        <w:rPr>
          <w:rFonts w:ascii="Abadi" w:hAnsi="Abadi"/>
          <w:sz w:val="21"/>
          <w:szCs w:val="21"/>
        </w:rPr>
      </w:pPr>
    </w:p>
    <w:p w14:paraId="0565E248" w14:textId="77777777" w:rsidR="00021E8C" w:rsidRPr="00021E8C" w:rsidRDefault="00021E8C" w:rsidP="00021E8C">
      <w:pPr>
        <w:ind w:firstLine="708"/>
        <w:jc w:val="both"/>
        <w:rPr>
          <w:rFonts w:ascii="Abadi" w:hAnsi="Abadi" w:cs="Arial"/>
          <w:sz w:val="21"/>
          <w:szCs w:val="21"/>
        </w:rPr>
      </w:pPr>
      <w:r w:rsidRPr="00021E8C">
        <w:rPr>
          <w:rFonts w:ascii="Abadi" w:hAnsi="Abadi" w:cs="Arial"/>
          <w:b/>
          <w:bCs/>
          <w:sz w:val="21"/>
          <w:szCs w:val="21"/>
        </w:rPr>
        <w:t xml:space="preserve">Único. </w:t>
      </w:r>
      <w:r w:rsidRPr="00021E8C">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021E8C">
          <w:rPr>
            <w:rFonts w:ascii="Abadi" w:hAnsi="Abadi" w:cs="Arial"/>
            <w:sz w:val="21"/>
            <w:szCs w:val="21"/>
          </w:rPr>
          <w:t>la Constitución Política</w:t>
        </w:r>
      </w:smartTag>
      <w:r w:rsidRPr="00021E8C">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Santa Cruz de Juventino Rosas, Gto., correspondiente al ejercicio fiscal del año 2020, con base en el informe de resultados formulado por la Auditoría Superior del Estado de Guanajuato.</w:t>
      </w:r>
    </w:p>
    <w:p w14:paraId="33494568" w14:textId="77777777" w:rsidR="00021E8C" w:rsidRPr="00021E8C" w:rsidRDefault="00021E8C" w:rsidP="00490E36">
      <w:pPr>
        <w:jc w:val="both"/>
        <w:rPr>
          <w:rFonts w:ascii="Abadi" w:hAnsi="Abadi" w:cs="Arial"/>
          <w:sz w:val="21"/>
          <w:szCs w:val="21"/>
        </w:rPr>
      </w:pPr>
    </w:p>
    <w:p w14:paraId="45071B46" w14:textId="50BE0206" w:rsidR="00021E8C" w:rsidRPr="00021E8C" w:rsidRDefault="00021E8C" w:rsidP="00490E36">
      <w:pPr>
        <w:ind w:firstLine="708"/>
        <w:jc w:val="both"/>
        <w:rPr>
          <w:rFonts w:ascii="Abadi" w:hAnsi="Abadi" w:cs="Arial"/>
          <w:sz w:val="21"/>
          <w:szCs w:val="21"/>
          <w:lang w:val="es-MX" w:eastAsia="x-none"/>
        </w:rPr>
      </w:pPr>
      <w:r w:rsidRPr="00021E8C">
        <w:rPr>
          <w:rFonts w:ascii="Abadi" w:hAnsi="Abadi" w:cs="Arial"/>
          <w:sz w:val="21"/>
          <w:szCs w:val="21"/>
          <w:lang w:val="x-none" w:eastAsia="x-none"/>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021E8C">
        <w:rPr>
          <w:rFonts w:ascii="Abadi" w:hAnsi="Abadi" w:cs="Arial"/>
          <w:sz w:val="21"/>
          <w:szCs w:val="21"/>
          <w:lang w:val="es-MX" w:eastAsia="x-none"/>
        </w:rPr>
        <w:t>.</w:t>
      </w:r>
      <w:r w:rsidRPr="00021E8C">
        <w:rPr>
          <w:rFonts w:ascii="Abadi" w:hAnsi="Abadi" w:cs="Arial"/>
          <w:sz w:val="21"/>
          <w:szCs w:val="21"/>
          <w:lang w:val="x-none" w:eastAsia="x-none"/>
        </w:rPr>
        <w:t xml:space="preserve"> </w:t>
      </w:r>
      <w:r w:rsidRPr="00021E8C">
        <w:rPr>
          <w:rFonts w:ascii="Abadi" w:hAnsi="Abadi" w:cs="Arial"/>
          <w:sz w:val="21"/>
          <w:szCs w:val="21"/>
          <w:lang w:val="es-MX" w:eastAsia="x-none"/>
        </w:rPr>
        <w:t>Asimismo, dará</w:t>
      </w:r>
      <w:r w:rsidRPr="00021E8C">
        <w:rPr>
          <w:rFonts w:ascii="Abadi" w:hAnsi="Abadi" w:cs="Arial"/>
          <w:sz w:val="21"/>
          <w:szCs w:val="21"/>
          <w:lang w:val="x-none" w:eastAsia="x-none"/>
        </w:rPr>
        <w:t xml:space="preserve"> seguimiento a la recomendaci</w:t>
      </w:r>
      <w:r w:rsidRPr="00021E8C">
        <w:rPr>
          <w:rFonts w:ascii="Abadi" w:hAnsi="Abadi" w:cs="Arial"/>
          <w:sz w:val="21"/>
          <w:szCs w:val="21"/>
          <w:lang w:val="es-MX" w:eastAsia="x-none"/>
        </w:rPr>
        <w:t>ón</w:t>
      </w:r>
      <w:r w:rsidRPr="00021E8C">
        <w:rPr>
          <w:rFonts w:ascii="Abadi" w:hAnsi="Abadi" w:cs="Arial"/>
          <w:sz w:val="21"/>
          <w:szCs w:val="21"/>
          <w:lang w:val="x-none" w:eastAsia="x-none"/>
        </w:rPr>
        <w:t xml:space="preserve"> no atendida y a las observaciones no solventadas contenidas en el informe de resultados</w:t>
      </w:r>
      <w:r w:rsidRPr="00021E8C">
        <w:rPr>
          <w:rFonts w:ascii="Abadi" w:hAnsi="Abadi" w:cs="Arial"/>
          <w:sz w:val="21"/>
          <w:szCs w:val="21"/>
          <w:lang w:val="es-MX" w:eastAsia="x-none"/>
        </w:rPr>
        <w:t>.</w:t>
      </w:r>
    </w:p>
    <w:p w14:paraId="3CAE2A8A" w14:textId="77777777" w:rsidR="00021E8C" w:rsidRPr="00021E8C" w:rsidRDefault="00021E8C" w:rsidP="00021E8C">
      <w:pPr>
        <w:ind w:firstLine="708"/>
        <w:jc w:val="both"/>
        <w:rPr>
          <w:rFonts w:ascii="Abadi" w:hAnsi="Abadi" w:cs="Arial"/>
          <w:sz w:val="21"/>
          <w:szCs w:val="21"/>
          <w:lang w:val="es-MX" w:eastAsia="x-none"/>
        </w:rPr>
      </w:pPr>
    </w:p>
    <w:p w14:paraId="00A2CF5F" w14:textId="77777777" w:rsidR="00021E8C" w:rsidRPr="00021E8C" w:rsidRDefault="00021E8C" w:rsidP="00021E8C">
      <w:pPr>
        <w:ind w:firstLine="708"/>
        <w:jc w:val="both"/>
        <w:rPr>
          <w:rFonts w:ascii="Abadi" w:hAnsi="Abadi" w:cs="Arial"/>
          <w:sz w:val="21"/>
          <w:szCs w:val="21"/>
        </w:rPr>
      </w:pPr>
      <w:r w:rsidRPr="00021E8C">
        <w:rPr>
          <w:rFonts w:ascii="Abadi" w:hAnsi="Abadi" w:cs="Arial"/>
          <w:sz w:val="21"/>
          <w:szCs w:val="21"/>
        </w:rPr>
        <w:t xml:space="preserve">Se ordena dar vista del informe de resultados al ayuntamiento del municipio de </w:t>
      </w:r>
      <w:r w:rsidRPr="00021E8C">
        <w:rPr>
          <w:rFonts w:ascii="Abadi" w:hAnsi="Abadi" w:cs="Arial"/>
          <w:sz w:val="21"/>
          <w:szCs w:val="21"/>
          <w:lang w:val="es-MX"/>
        </w:rPr>
        <w:t>Santa Cruz de Juventino Rosas,</w:t>
      </w:r>
      <w:r w:rsidRPr="00021E8C">
        <w:rPr>
          <w:rFonts w:ascii="Abadi" w:hAnsi="Abadi" w:cs="Arial"/>
          <w:sz w:val="21"/>
          <w:szCs w:val="21"/>
        </w:rPr>
        <w:t xml:space="preserve"> Gto., a efecto de que se atienda la recomendación contenida en dicho informe, en el plazo que establece el artículo 66 de </w:t>
      </w:r>
      <w:smartTag w:uri="urn:schemas-microsoft-com:office:smarttags" w:element="PersonName">
        <w:smartTagPr>
          <w:attr w:name="ProductID" w:val="la Ley"/>
        </w:smartTagPr>
        <w:r w:rsidRPr="00021E8C">
          <w:rPr>
            <w:rFonts w:ascii="Abadi" w:hAnsi="Abadi" w:cs="Arial"/>
            <w:sz w:val="21"/>
            <w:szCs w:val="21"/>
          </w:rPr>
          <w:t>la Ley</w:t>
        </w:r>
      </w:smartTag>
      <w:r w:rsidRPr="00021E8C">
        <w:rPr>
          <w:rFonts w:ascii="Abadi" w:hAnsi="Abadi" w:cs="Arial"/>
          <w:sz w:val="21"/>
          <w:szCs w:val="21"/>
        </w:rPr>
        <w:t xml:space="preserve"> de Fiscalización Superior del Estado de Guanajuato, informando a la Auditoría Superior del Estado de Guanajuato de las acciones realizadas para ello, con objeto de que esta última realice el seguimiento correspondiente.</w:t>
      </w:r>
    </w:p>
    <w:p w14:paraId="18D74F91" w14:textId="77777777" w:rsidR="00021E8C" w:rsidRPr="00021E8C" w:rsidRDefault="00021E8C" w:rsidP="00490E36">
      <w:pPr>
        <w:jc w:val="both"/>
        <w:rPr>
          <w:rFonts w:ascii="Abadi" w:hAnsi="Abadi" w:cs="Arial"/>
          <w:sz w:val="21"/>
          <w:szCs w:val="21"/>
        </w:rPr>
      </w:pPr>
    </w:p>
    <w:p w14:paraId="73D7375F" w14:textId="5A2A542E" w:rsidR="00021E8C" w:rsidRPr="00021E8C" w:rsidRDefault="00021E8C" w:rsidP="00490E36">
      <w:pPr>
        <w:ind w:firstLine="708"/>
        <w:jc w:val="both"/>
        <w:rPr>
          <w:rFonts w:ascii="Abadi" w:hAnsi="Abadi" w:cs="Arial"/>
          <w:sz w:val="21"/>
          <w:szCs w:val="21"/>
        </w:rPr>
      </w:pPr>
      <w:r w:rsidRPr="00021E8C">
        <w:rPr>
          <w:rFonts w:ascii="Abadi" w:hAnsi="Abadi" w:cs="Arial"/>
          <w:sz w:val="21"/>
          <w:szCs w:val="21"/>
        </w:rPr>
        <w:t>Remítase el presente acuerdo al titular del Poder Ejecutivo del Estado para su publicación en el Periódico Oficial del Gobierno del Estado.</w:t>
      </w:r>
    </w:p>
    <w:p w14:paraId="22742D3A" w14:textId="77777777" w:rsidR="00021E8C" w:rsidRPr="00021E8C" w:rsidRDefault="00021E8C" w:rsidP="00021E8C">
      <w:pPr>
        <w:ind w:firstLine="708"/>
        <w:jc w:val="both"/>
        <w:rPr>
          <w:rFonts w:ascii="Abadi" w:hAnsi="Abadi" w:cs="Arial"/>
          <w:sz w:val="21"/>
          <w:szCs w:val="21"/>
          <w:lang w:val="x-none" w:eastAsia="x-none"/>
        </w:rPr>
      </w:pPr>
      <w:r w:rsidRPr="00021E8C">
        <w:rPr>
          <w:rFonts w:ascii="Abadi" w:hAnsi="Abadi" w:cs="Arial"/>
          <w:sz w:val="21"/>
          <w:szCs w:val="21"/>
          <w:lang w:val="x-none"/>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021E8C">
        <w:rPr>
          <w:rFonts w:ascii="Abadi" w:hAnsi="Abadi" w:cs="Arial"/>
          <w:sz w:val="21"/>
          <w:szCs w:val="21"/>
          <w:lang w:val="x-none" w:eastAsia="x-none"/>
        </w:rPr>
        <w:t>.</w:t>
      </w:r>
    </w:p>
    <w:p w14:paraId="5DF7CB55" w14:textId="77777777" w:rsidR="00021E8C" w:rsidRPr="00021E8C" w:rsidRDefault="00021E8C" w:rsidP="00021E8C">
      <w:pPr>
        <w:jc w:val="center"/>
        <w:rPr>
          <w:rFonts w:ascii="Abadi" w:hAnsi="Abadi" w:cs="Arial"/>
          <w:b/>
          <w:bCs/>
          <w:sz w:val="21"/>
          <w:szCs w:val="21"/>
          <w:lang w:eastAsia="x-none"/>
        </w:rPr>
      </w:pPr>
    </w:p>
    <w:p w14:paraId="06405DBD" w14:textId="77777777" w:rsidR="00021E8C" w:rsidRPr="00021E8C" w:rsidRDefault="00021E8C" w:rsidP="00490E36">
      <w:pPr>
        <w:jc w:val="center"/>
        <w:rPr>
          <w:rFonts w:ascii="Abadi" w:hAnsi="Abadi" w:cs="Arial"/>
          <w:b/>
          <w:bCs/>
          <w:sz w:val="21"/>
          <w:szCs w:val="21"/>
          <w:lang w:eastAsia="x-none"/>
        </w:rPr>
      </w:pPr>
      <w:r w:rsidRPr="00021E8C">
        <w:rPr>
          <w:rFonts w:ascii="Abadi" w:hAnsi="Abadi" w:cs="Arial"/>
          <w:b/>
          <w:bCs/>
          <w:sz w:val="21"/>
          <w:szCs w:val="21"/>
          <w:lang w:eastAsia="x-none"/>
        </w:rPr>
        <w:t>Guanajuato, Gto., 20 de junio de 2022</w:t>
      </w:r>
    </w:p>
    <w:p w14:paraId="6E58D7AD" w14:textId="77777777" w:rsidR="00021E8C" w:rsidRPr="00021E8C" w:rsidRDefault="00021E8C" w:rsidP="00490E36">
      <w:pPr>
        <w:jc w:val="center"/>
        <w:rPr>
          <w:rFonts w:ascii="Abadi" w:hAnsi="Abadi" w:cs="Arial"/>
          <w:b/>
          <w:bCs/>
          <w:sz w:val="21"/>
          <w:szCs w:val="21"/>
          <w:lang w:eastAsia="x-none"/>
        </w:rPr>
      </w:pPr>
      <w:smartTag w:uri="urn:schemas-microsoft-com:office:smarttags" w:element="PersonName">
        <w:smartTagPr>
          <w:attr w:name="ProductID" w:val="La Comisi￳n"/>
        </w:smartTagPr>
        <w:r w:rsidRPr="00021E8C">
          <w:rPr>
            <w:rFonts w:ascii="Abadi" w:hAnsi="Abadi" w:cs="Arial"/>
            <w:b/>
            <w:bCs/>
            <w:sz w:val="21"/>
            <w:szCs w:val="21"/>
            <w:lang w:eastAsia="x-none"/>
          </w:rPr>
          <w:t>La Comisión</w:t>
        </w:r>
      </w:smartTag>
      <w:r w:rsidRPr="00021E8C">
        <w:rPr>
          <w:rFonts w:ascii="Abadi" w:hAnsi="Abadi" w:cs="Arial"/>
          <w:b/>
          <w:bCs/>
          <w:sz w:val="21"/>
          <w:szCs w:val="21"/>
          <w:lang w:eastAsia="x-none"/>
        </w:rPr>
        <w:t xml:space="preserve"> de Hacienda y Fiscalización</w:t>
      </w:r>
    </w:p>
    <w:p w14:paraId="6156F4A4" w14:textId="77777777" w:rsidR="00021E8C" w:rsidRPr="00021E8C" w:rsidRDefault="00021E8C" w:rsidP="00490E36">
      <w:pPr>
        <w:jc w:val="center"/>
        <w:rPr>
          <w:rFonts w:ascii="Abadi" w:hAnsi="Abadi" w:cs="Arial"/>
          <w:i/>
          <w:iCs/>
          <w:sz w:val="21"/>
          <w:szCs w:val="21"/>
          <w:lang w:eastAsia="x-none"/>
        </w:rPr>
      </w:pPr>
      <w:r w:rsidRPr="00021E8C">
        <w:rPr>
          <w:rFonts w:ascii="Abadi" w:hAnsi="Abadi" w:cs="Arial"/>
          <w:i/>
          <w:iCs/>
          <w:sz w:val="21"/>
          <w:szCs w:val="21"/>
          <w:lang w:eastAsia="x-none"/>
        </w:rPr>
        <w:t>Firma electrónica</w:t>
      </w:r>
    </w:p>
    <w:p w14:paraId="5FF42DE3" w14:textId="77777777" w:rsidR="00021E8C" w:rsidRPr="00021E8C" w:rsidRDefault="00021E8C" w:rsidP="00490E36">
      <w:pPr>
        <w:jc w:val="center"/>
        <w:rPr>
          <w:rFonts w:ascii="Abadi" w:hAnsi="Abadi" w:cs="Arial"/>
          <w:sz w:val="21"/>
          <w:szCs w:val="21"/>
        </w:rPr>
      </w:pPr>
    </w:p>
    <w:p w14:paraId="35915666" w14:textId="77777777" w:rsidR="00021E8C" w:rsidRPr="00021E8C" w:rsidRDefault="00021E8C" w:rsidP="00490E36">
      <w:pPr>
        <w:jc w:val="center"/>
        <w:rPr>
          <w:rFonts w:ascii="Abadi" w:hAnsi="Abadi" w:cs="Arial"/>
          <w:sz w:val="21"/>
          <w:szCs w:val="21"/>
        </w:rPr>
      </w:pPr>
    </w:p>
    <w:p w14:paraId="23AC6757" w14:textId="77777777" w:rsidR="00021E8C" w:rsidRPr="00021E8C" w:rsidRDefault="00021E8C" w:rsidP="00490E36">
      <w:pPr>
        <w:jc w:val="center"/>
        <w:rPr>
          <w:rFonts w:ascii="Abadi" w:hAnsi="Abadi" w:cs="Arial"/>
          <w:sz w:val="21"/>
          <w:szCs w:val="21"/>
        </w:rPr>
      </w:pPr>
      <w:r w:rsidRPr="00021E8C">
        <w:rPr>
          <w:rFonts w:ascii="Abadi" w:hAnsi="Abadi" w:cs="Arial"/>
          <w:b/>
          <w:sz w:val="21"/>
          <w:szCs w:val="21"/>
          <w:lang w:eastAsia="x-none"/>
        </w:rPr>
        <w:t>Diputado Víctor Manuel Zanella Huerta</w:t>
      </w:r>
    </w:p>
    <w:p w14:paraId="689FF982" w14:textId="77777777" w:rsidR="00021E8C" w:rsidRPr="00021E8C" w:rsidRDefault="00021E8C" w:rsidP="00490E36">
      <w:pPr>
        <w:rPr>
          <w:rFonts w:ascii="Abadi" w:hAnsi="Abadi" w:cs="Arial"/>
          <w:b/>
          <w:bCs/>
          <w:sz w:val="21"/>
          <w:szCs w:val="21"/>
          <w:lang w:eastAsia="x-none"/>
        </w:rPr>
      </w:pPr>
    </w:p>
    <w:p w14:paraId="4E200EB4" w14:textId="760080DE" w:rsidR="00021E8C" w:rsidRPr="00021E8C" w:rsidRDefault="00021E8C" w:rsidP="00490E36">
      <w:pPr>
        <w:jc w:val="center"/>
        <w:rPr>
          <w:rFonts w:ascii="Abadi" w:hAnsi="Abadi" w:cs="Arial"/>
          <w:b/>
          <w:sz w:val="21"/>
          <w:szCs w:val="21"/>
          <w:lang w:eastAsia="x-none"/>
        </w:rPr>
      </w:pPr>
      <w:r w:rsidRPr="00021E8C">
        <w:rPr>
          <w:rFonts w:ascii="Abadi" w:hAnsi="Abadi" w:cs="Arial"/>
          <w:b/>
          <w:sz w:val="21"/>
          <w:szCs w:val="21"/>
          <w:lang w:eastAsia="x-none"/>
        </w:rPr>
        <w:t>Diputada Ruth Noemí Tiscareño Agoitia</w:t>
      </w:r>
    </w:p>
    <w:p w14:paraId="3EE0EFAD" w14:textId="77777777" w:rsidR="00021E8C" w:rsidRPr="00021E8C" w:rsidRDefault="00021E8C" w:rsidP="00490E36">
      <w:pPr>
        <w:jc w:val="center"/>
        <w:rPr>
          <w:rFonts w:ascii="Abadi" w:hAnsi="Abadi" w:cs="Arial"/>
          <w:b/>
          <w:sz w:val="21"/>
          <w:szCs w:val="21"/>
          <w:lang w:eastAsia="x-none"/>
        </w:rPr>
      </w:pPr>
    </w:p>
    <w:p w14:paraId="7648CDCB" w14:textId="6D1345F8" w:rsidR="00021E8C" w:rsidRPr="00021E8C" w:rsidRDefault="00021E8C" w:rsidP="00490E36">
      <w:pPr>
        <w:jc w:val="center"/>
        <w:rPr>
          <w:rFonts w:ascii="Abadi" w:hAnsi="Abadi" w:cs="Arial"/>
          <w:b/>
          <w:sz w:val="21"/>
          <w:szCs w:val="21"/>
          <w:lang w:eastAsia="x-none"/>
        </w:rPr>
      </w:pPr>
      <w:r w:rsidRPr="00021E8C">
        <w:rPr>
          <w:rFonts w:ascii="Abadi" w:hAnsi="Abadi" w:cs="Arial"/>
          <w:b/>
          <w:sz w:val="21"/>
          <w:szCs w:val="21"/>
          <w:lang w:eastAsia="x-none"/>
        </w:rPr>
        <w:t>Diputado Miguel Ángel Salim Alle</w:t>
      </w:r>
    </w:p>
    <w:p w14:paraId="620BD330" w14:textId="77777777" w:rsidR="00021E8C" w:rsidRPr="00021E8C" w:rsidRDefault="00021E8C" w:rsidP="00490E36">
      <w:pPr>
        <w:jc w:val="center"/>
        <w:rPr>
          <w:rFonts w:ascii="Abadi" w:hAnsi="Abadi" w:cs="Arial"/>
          <w:b/>
          <w:sz w:val="21"/>
          <w:szCs w:val="21"/>
          <w:lang w:eastAsia="x-none"/>
        </w:rPr>
      </w:pPr>
    </w:p>
    <w:p w14:paraId="12556E53" w14:textId="0270F04C" w:rsidR="00021E8C" w:rsidRPr="00021E8C" w:rsidRDefault="00021E8C" w:rsidP="00490E36">
      <w:pPr>
        <w:jc w:val="center"/>
        <w:rPr>
          <w:rFonts w:ascii="Abadi" w:hAnsi="Abadi" w:cs="Arial"/>
          <w:b/>
          <w:sz w:val="21"/>
          <w:szCs w:val="21"/>
          <w:lang w:eastAsia="x-none"/>
        </w:rPr>
      </w:pPr>
      <w:r w:rsidRPr="00021E8C">
        <w:rPr>
          <w:rFonts w:ascii="Abadi" w:hAnsi="Abadi" w:cs="Arial"/>
          <w:b/>
          <w:sz w:val="21"/>
          <w:szCs w:val="21"/>
          <w:lang w:eastAsia="x-none"/>
        </w:rPr>
        <w:t>Diputado José Alfonso Borja Pimentel</w:t>
      </w:r>
    </w:p>
    <w:p w14:paraId="72762038" w14:textId="77777777" w:rsidR="00021E8C" w:rsidRPr="00021E8C" w:rsidRDefault="00021E8C" w:rsidP="00490E36">
      <w:pPr>
        <w:jc w:val="center"/>
        <w:rPr>
          <w:rFonts w:ascii="Abadi" w:hAnsi="Abadi" w:cs="Arial"/>
          <w:b/>
          <w:sz w:val="21"/>
          <w:szCs w:val="21"/>
          <w:lang w:eastAsia="x-none"/>
        </w:rPr>
      </w:pPr>
    </w:p>
    <w:p w14:paraId="38BEFBC8" w14:textId="77777777" w:rsidR="00021E8C" w:rsidRPr="00021E8C" w:rsidRDefault="00021E8C" w:rsidP="00490E36">
      <w:pPr>
        <w:jc w:val="center"/>
        <w:rPr>
          <w:rFonts w:ascii="Abadi" w:hAnsi="Abadi" w:cs="Arial"/>
          <w:b/>
          <w:sz w:val="21"/>
          <w:szCs w:val="21"/>
          <w:lang w:eastAsia="x-none"/>
        </w:rPr>
      </w:pPr>
      <w:r w:rsidRPr="00021E8C">
        <w:rPr>
          <w:rFonts w:ascii="Abadi" w:hAnsi="Abadi" w:cs="Arial"/>
          <w:b/>
          <w:sz w:val="21"/>
          <w:szCs w:val="21"/>
          <w:lang w:eastAsia="x-none"/>
        </w:rPr>
        <w:t>Diputada Alma Edwviges Alcaraz Hernández</w:t>
      </w:r>
    </w:p>
    <w:p w14:paraId="11CDEFD1" w14:textId="11C16BDA" w:rsidR="00021E8C" w:rsidRPr="00021E8C" w:rsidRDefault="00021E8C" w:rsidP="00490E36">
      <w:pPr>
        <w:jc w:val="center"/>
        <w:rPr>
          <w:rFonts w:ascii="Abadi" w:hAnsi="Abadi" w:cs="Arial"/>
          <w:bCs/>
          <w:sz w:val="21"/>
          <w:szCs w:val="21"/>
          <w:lang w:eastAsia="x-none"/>
        </w:rPr>
      </w:pPr>
      <w:r w:rsidRPr="00021E8C">
        <w:rPr>
          <w:rFonts w:ascii="Abadi" w:hAnsi="Abadi" w:cs="Arial"/>
          <w:bCs/>
          <w:sz w:val="21"/>
          <w:szCs w:val="21"/>
          <w:lang w:eastAsia="x-none"/>
        </w:rPr>
        <w:t>Voto en contra</w:t>
      </w:r>
    </w:p>
    <w:p w14:paraId="72E97CF1" w14:textId="026B28A2" w:rsidR="007449FF" w:rsidRDefault="007449FF" w:rsidP="007449FF">
      <w:pPr>
        <w:tabs>
          <w:tab w:val="left" w:pos="856"/>
        </w:tabs>
        <w:kinsoku w:val="0"/>
        <w:overflowPunct w:val="0"/>
        <w:autoSpaceDE w:val="0"/>
        <w:autoSpaceDN w:val="0"/>
        <w:adjustRightInd w:val="0"/>
        <w:ind w:left="360" w:right="17"/>
        <w:jc w:val="both"/>
        <w:rPr>
          <w:rFonts w:ascii="Abadi" w:hAnsi="Abadi"/>
          <w:sz w:val="20"/>
          <w:szCs w:val="20"/>
        </w:rPr>
      </w:pPr>
    </w:p>
    <w:p w14:paraId="640284B9" w14:textId="77777777" w:rsidR="007449FF" w:rsidRPr="007449FF" w:rsidRDefault="007449FF" w:rsidP="007449FF">
      <w:pPr>
        <w:tabs>
          <w:tab w:val="left" w:pos="856"/>
        </w:tabs>
        <w:kinsoku w:val="0"/>
        <w:overflowPunct w:val="0"/>
        <w:autoSpaceDE w:val="0"/>
        <w:autoSpaceDN w:val="0"/>
        <w:adjustRightInd w:val="0"/>
        <w:ind w:left="360" w:right="17"/>
        <w:jc w:val="both"/>
        <w:rPr>
          <w:rFonts w:ascii="Abadi" w:hAnsi="Abadi"/>
          <w:sz w:val="20"/>
          <w:szCs w:val="20"/>
        </w:rPr>
      </w:pPr>
    </w:p>
    <w:p w14:paraId="59F46319" w14:textId="4330ACC1" w:rsidR="001A0927" w:rsidRDefault="001A0927"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1"/>
          <w:sz w:val="20"/>
          <w:szCs w:val="20"/>
        </w:rPr>
        <w:t xml:space="preserve"> </w:t>
      </w:r>
      <w:r w:rsidRPr="00531B12">
        <w:rPr>
          <w:rFonts w:ascii="Abadi" w:hAnsi="Abadi"/>
          <w:b/>
          <w:bCs/>
          <w:sz w:val="20"/>
          <w:szCs w:val="20"/>
        </w:rPr>
        <w:t>Y,</w:t>
      </w:r>
      <w:r w:rsidRPr="00531B12">
        <w:rPr>
          <w:rFonts w:ascii="Abadi" w:hAnsi="Abadi"/>
          <w:b/>
          <w:bCs/>
          <w:spacing w:val="11"/>
          <w:sz w:val="20"/>
          <w:szCs w:val="20"/>
        </w:rPr>
        <w:t xml:space="preserve"> </w:t>
      </w:r>
      <w:r w:rsidRPr="00531B12">
        <w:rPr>
          <w:rFonts w:ascii="Abadi" w:hAnsi="Abadi"/>
          <w:b/>
          <w:bCs/>
          <w:sz w:val="20"/>
          <w:szCs w:val="20"/>
        </w:rPr>
        <w:t>EN</w:t>
      </w:r>
      <w:r w:rsidRPr="00531B12">
        <w:rPr>
          <w:rFonts w:ascii="Abadi" w:hAnsi="Abadi"/>
          <w:b/>
          <w:bCs/>
          <w:spacing w:val="11"/>
          <w:sz w:val="20"/>
          <w:szCs w:val="20"/>
        </w:rPr>
        <w:t xml:space="preserve"> </w:t>
      </w:r>
      <w:r w:rsidRPr="00531B12">
        <w:rPr>
          <w:rFonts w:ascii="Abadi" w:hAnsi="Abadi"/>
          <w:b/>
          <w:bCs/>
          <w:sz w:val="20"/>
          <w:szCs w:val="20"/>
        </w:rPr>
        <w:t>SU</w:t>
      </w:r>
      <w:r w:rsidRPr="00531B12">
        <w:rPr>
          <w:rFonts w:ascii="Abadi" w:hAnsi="Abadi"/>
          <w:b/>
          <w:bCs/>
          <w:spacing w:val="11"/>
          <w:sz w:val="20"/>
          <w:szCs w:val="20"/>
        </w:rPr>
        <w:t xml:space="preserve"> </w:t>
      </w:r>
      <w:r w:rsidRPr="00531B12">
        <w:rPr>
          <w:rFonts w:ascii="Abadi" w:hAnsi="Abadi"/>
          <w:b/>
          <w:bCs/>
          <w:sz w:val="20"/>
          <w:szCs w:val="20"/>
        </w:rPr>
        <w:t>CASO,</w:t>
      </w:r>
      <w:r w:rsidRPr="00531B12">
        <w:rPr>
          <w:rFonts w:ascii="Abadi" w:hAnsi="Abadi"/>
          <w:b/>
          <w:bCs/>
          <w:spacing w:val="11"/>
          <w:sz w:val="20"/>
          <w:szCs w:val="20"/>
        </w:rPr>
        <w:t xml:space="preserve"> </w:t>
      </w:r>
      <w:r w:rsidRPr="00531B12">
        <w:rPr>
          <w:rFonts w:ascii="Abadi" w:hAnsi="Abadi"/>
          <w:b/>
          <w:bCs/>
          <w:sz w:val="20"/>
          <w:szCs w:val="20"/>
        </w:rPr>
        <w:t>APROBACIÓN</w:t>
      </w:r>
      <w:r w:rsidRPr="00531B12">
        <w:rPr>
          <w:rFonts w:ascii="Abadi" w:hAnsi="Abadi"/>
          <w:b/>
          <w:bCs/>
          <w:spacing w:val="11"/>
          <w:sz w:val="20"/>
          <w:szCs w:val="20"/>
        </w:rPr>
        <w:t xml:space="preserve"> </w:t>
      </w:r>
      <w:r w:rsidRPr="00531B12">
        <w:rPr>
          <w:rFonts w:ascii="Abadi" w:hAnsi="Abadi"/>
          <w:b/>
          <w:bCs/>
          <w:sz w:val="20"/>
          <w:szCs w:val="20"/>
        </w:rPr>
        <w:t>DEL</w:t>
      </w:r>
      <w:r w:rsidRPr="00531B12">
        <w:rPr>
          <w:rFonts w:ascii="Abadi" w:hAnsi="Abadi"/>
          <w:b/>
          <w:bCs/>
          <w:spacing w:val="11"/>
          <w:sz w:val="20"/>
          <w:szCs w:val="20"/>
        </w:rPr>
        <w:t xml:space="preserve"> </w:t>
      </w:r>
      <w:r w:rsidRPr="00531B12">
        <w:rPr>
          <w:rFonts w:ascii="Abadi" w:hAnsi="Abadi"/>
          <w:b/>
          <w:bCs/>
          <w:sz w:val="20"/>
          <w:szCs w:val="20"/>
        </w:rPr>
        <w:t>DICTAMEN</w:t>
      </w:r>
      <w:r w:rsidRPr="00531B12">
        <w:rPr>
          <w:rFonts w:ascii="Abadi" w:hAnsi="Abadi"/>
          <w:b/>
          <w:bCs/>
          <w:spacing w:val="11"/>
          <w:sz w:val="20"/>
          <w:szCs w:val="20"/>
        </w:rPr>
        <w:t xml:space="preserve"> </w:t>
      </w:r>
      <w:r w:rsidRPr="00531B12">
        <w:rPr>
          <w:rFonts w:ascii="Abadi" w:hAnsi="Abadi"/>
          <w:b/>
          <w:bCs/>
          <w:sz w:val="20"/>
          <w:szCs w:val="20"/>
        </w:rPr>
        <w:t>SIGNADO</w:t>
      </w:r>
      <w:r w:rsidRPr="00531B12">
        <w:rPr>
          <w:rFonts w:ascii="Abadi" w:hAnsi="Abadi"/>
          <w:b/>
          <w:bCs/>
          <w:spacing w:val="11"/>
          <w:sz w:val="20"/>
          <w:szCs w:val="20"/>
        </w:rPr>
        <w:t xml:space="preserve"> </w:t>
      </w:r>
      <w:r w:rsidRPr="00531B12">
        <w:rPr>
          <w:rFonts w:ascii="Abadi" w:hAnsi="Abadi"/>
          <w:b/>
          <w:bCs/>
          <w:sz w:val="20"/>
          <w:szCs w:val="20"/>
        </w:rPr>
        <w:t>POR</w:t>
      </w:r>
      <w:r w:rsidRPr="00531B12">
        <w:rPr>
          <w:rFonts w:ascii="Abadi" w:hAnsi="Abadi"/>
          <w:b/>
          <w:bCs/>
          <w:spacing w:val="11"/>
          <w:sz w:val="20"/>
          <w:szCs w:val="20"/>
        </w:rPr>
        <w:t xml:space="preserve"> </w:t>
      </w:r>
      <w:r w:rsidRPr="00531B12">
        <w:rPr>
          <w:rFonts w:ascii="Abadi" w:hAnsi="Abadi"/>
          <w:b/>
          <w:bCs/>
          <w:sz w:val="20"/>
          <w:szCs w:val="20"/>
        </w:rPr>
        <w:t>LA</w:t>
      </w:r>
      <w:r w:rsidRPr="00531B12">
        <w:rPr>
          <w:rFonts w:ascii="Abadi" w:hAnsi="Abadi"/>
          <w:b/>
          <w:bCs/>
          <w:spacing w:val="11"/>
          <w:sz w:val="20"/>
          <w:szCs w:val="20"/>
        </w:rPr>
        <w:t xml:space="preserve"> </w:t>
      </w:r>
      <w:r w:rsidRPr="00531B12">
        <w:rPr>
          <w:rFonts w:ascii="Abadi" w:hAnsi="Abadi"/>
          <w:b/>
          <w:bCs/>
          <w:sz w:val="20"/>
          <w:szCs w:val="20"/>
        </w:rPr>
        <w:t>COMISIÓN DE</w:t>
      </w:r>
      <w:r w:rsidRPr="00531B12">
        <w:rPr>
          <w:rFonts w:ascii="Abadi" w:hAnsi="Abadi"/>
          <w:b/>
          <w:bCs/>
          <w:spacing w:val="10"/>
          <w:sz w:val="20"/>
          <w:szCs w:val="20"/>
        </w:rPr>
        <w:t xml:space="preserve"> </w:t>
      </w:r>
      <w:r w:rsidRPr="00531B12">
        <w:rPr>
          <w:rFonts w:ascii="Abadi" w:hAnsi="Abadi"/>
          <w:b/>
          <w:bCs/>
          <w:sz w:val="20"/>
          <w:szCs w:val="20"/>
        </w:rPr>
        <w:t>HACIENDA</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0"/>
          <w:sz w:val="20"/>
          <w:szCs w:val="20"/>
        </w:rPr>
        <w:t xml:space="preserve"> </w:t>
      </w:r>
      <w:r w:rsidRPr="00531B12">
        <w:rPr>
          <w:rFonts w:ascii="Abadi" w:hAnsi="Abadi"/>
          <w:b/>
          <w:bCs/>
          <w:sz w:val="20"/>
          <w:szCs w:val="20"/>
        </w:rPr>
        <w:t>FISCALIZACIÓN</w:t>
      </w:r>
      <w:r w:rsidRPr="00531B12">
        <w:rPr>
          <w:rFonts w:ascii="Abadi" w:hAnsi="Abadi"/>
          <w:b/>
          <w:bCs/>
          <w:spacing w:val="10"/>
          <w:sz w:val="20"/>
          <w:szCs w:val="20"/>
        </w:rPr>
        <w:t xml:space="preserve"> </w:t>
      </w:r>
      <w:r w:rsidRPr="00531B12">
        <w:rPr>
          <w:rFonts w:ascii="Abadi" w:hAnsi="Abadi"/>
          <w:b/>
          <w:bCs/>
          <w:sz w:val="20"/>
          <w:szCs w:val="20"/>
        </w:rPr>
        <w:t>RELATIVO</w:t>
      </w:r>
      <w:r w:rsidRPr="00531B12">
        <w:rPr>
          <w:rFonts w:ascii="Abadi" w:hAnsi="Abadi"/>
          <w:b/>
          <w:bCs/>
          <w:spacing w:val="10"/>
          <w:sz w:val="20"/>
          <w:szCs w:val="20"/>
        </w:rPr>
        <w:t xml:space="preserve"> </w:t>
      </w:r>
      <w:r w:rsidRPr="00531B12">
        <w:rPr>
          <w:rFonts w:ascii="Abadi" w:hAnsi="Abadi"/>
          <w:b/>
          <w:bCs/>
          <w:sz w:val="20"/>
          <w:szCs w:val="20"/>
        </w:rPr>
        <w:t>AL</w:t>
      </w:r>
      <w:r w:rsidRPr="00531B12">
        <w:rPr>
          <w:rFonts w:ascii="Abadi" w:hAnsi="Abadi"/>
          <w:b/>
          <w:bCs/>
          <w:spacing w:val="9"/>
          <w:sz w:val="20"/>
          <w:szCs w:val="20"/>
        </w:rPr>
        <w:t xml:space="preserve"> </w:t>
      </w:r>
      <w:r w:rsidRPr="00531B12">
        <w:rPr>
          <w:rFonts w:ascii="Abadi" w:hAnsi="Abadi"/>
          <w:b/>
          <w:bCs/>
          <w:sz w:val="20"/>
          <w:szCs w:val="20"/>
        </w:rPr>
        <w:t>INFORME</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RESULTADOS</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REVISIÓN PRACTICADA</w:t>
      </w:r>
      <w:r w:rsidRPr="00531B12">
        <w:rPr>
          <w:rFonts w:ascii="Abadi" w:hAnsi="Abadi"/>
          <w:b/>
          <w:bCs/>
          <w:spacing w:val="10"/>
          <w:sz w:val="20"/>
          <w:szCs w:val="20"/>
        </w:rPr>
        <w:t xml:space="preserve"> </w:t>
      </w:r>
      <w:r w:rsidRPr="00531B12">
        <w:rPr>
          <w:rFonts w:ascii="Abadi" w:hAnsi="Abadi"/>
          <w:b/>
          <w:bCs/>
          <w:sz w:val="20"/>
          <w:szCs w:val="20"/>
        </w:rPr>
        <w:t>POR</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AUDITORÍA</w:t>
      </w:r>
      <w:r w:rsidRPr="00531B12">
        <w:rPr>
          <w:rFonts w:ascii="Abadi" w:hAnsi="Abadi"/>
          <w:b/>
          <w:bCs/>
          <w:spacing w:val="10"/>
          <w:sz w:val="20"/>
          <w:szCs w:val="20"/>
        </w:rPr>
        <w:t xml:space="preserve"> </w:t>
      </w:r>
      <w:r w:rsidRPr="00531B12">
        <w:rPr>
          <w:rFonts w:ascii="Abadi" w:hAnsi="Abadi"/>
          <w:b/>
          <w:bCs/>
          <w:sz w:val="20"/>
          <w:szCs w:val="20"/>
        </w:rPr>
        <w:t>SUPERIOR</w:t>
      </w:r>
      <w:r w:rsidRPr="00531B12">
        <w:rPr>
          <w:rFonts w:ascii="Abadi" w:hAnsi="Abadi"/>
          <w:b/>
          <w:bCs/>
          <w:spacing w:val="9"/>
          <w:sz w:val="20"/>
          <w:szCs w:val="20"/>
        </w:rPr>
        <w:t xml:space="preserve"> </w:t>
      </w:r>
      <w:r w:rsidRPr="00531B12">
        <w:rPr>
          <w:rFonts w:ascii="Abadi" w:hAnsi="Abadi"/>
          <w:b/>
          <w:bCs/>
          <w:sz w:val="20"/>
          <w:szCs w:val="20"/>
        </w:rPr>
        <w:t>DEL</w:t>
      </w:r>
      <w:r w:rsidRPr="00531B12">
        <w:rPr>
          <w:rFonts w:ascii="Abadi" w:hAnsi="Abadi"/>
          <w:b/>
          <w:bCs/>
          <w:spacing w:val="9"/>
          <w:sz w:val="20"/>
          <w:szCs w:val="20"/>
        </w:rPr>
        <w:t xml:space="preserve"> </w:t>
      </w:r>
      <w:r w:rsidRPr="00531B12">
        <w:rPr>
          <w:rFonts w:ascii="Abadi" w:hAnsi="Abadi"/>
          <w:b/>
          <w:bCs/>
          <w:sz w:val="20"/>
          <w:szCs w:val="20"/>
        </w:rPr>
        <w:t>ESTADO</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GUANAJUATO,</w:t>
      </w:r>
      <w:r w:rsidRPr="00531B12">
        <w:rPr>
          <w:rFonts w:ascii="Abadi" w:hAnsi="Abadi"/>
          <w:b/>
          <w:bCs/>
          <w:spacing w:val="9"/>
          <w:sz w:val="20"/>
          <w:szCs w:val="20"/>
        </w:rPr>
        <w:t xml:space="preserve"> </w:t>
      </w:r>
      <w:r w:rsidRPr="00531B12">
        <w:rPr>
          <w:rFonts w:ascii="Abadi" w:hAnsi="Abadi"/>
          <w:b/>
          <w:bCs/>
          <w:sz w:val="20"/>
          <w:szCs w:val="20"/>
        </w:rPr>
        <w:t>A</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CUENTA PÚBLICA</w:t>
      </w:r>
      <w:r w:rsidRPr="00531B12">
        <w:rPr>
          <w:rFonts w:ascii="Abadi" w:hAnsi="Abadi"/>
          <w:b/>
          <w:bCs/>
          <w:spacing w:val="24"/>
          <w:sz w:val="20"/>
          <w:szCs w:val="20"/>
        </w:rPr>
        <w:t xml:space="preserve"> </w:t>
      </w:r>
      <w:r w:rsidRPr="00531B12">
        <w:rPr>
          <w:rFonts w:ascii="Abadi" w:hAnsi="Abadi"/>
          <w:b/>
          <w:bCs/>
          <w:sz w:val="20"/>
          <w:szCs w:val="20"/>
        </w:rPr>
        <w:t>MUNICIPAL</w:t>
      </w:r>
      <w:r w:rsidRPr="00531B12">
        <w:rPr>
          <w:rFonts w:ascii="Abadi" w:hAnsi="Abadi"/>
          <w:b/>
          <w:bCs/>
          <w:spacing w:val="24"/>
          <w:sz w:val="20"/>
          <w:szCs w:val="20"/>
        </w:rPr>
        <w:t xml:space="preserve"> </w:t>
      </w:r>
      <w:r w:rsidRPr="00531B12">
        <w:rPr>
          <w:rFonts w:ascii="Abadi" w:hAnsi="Abadi"/>
          <w:b/>
          <w:bCs/>
          <w:sz w:val="20"/>
          <w:szCs w:val="20"/>
        </w:rPr>
        <w:t>DE</w:t>
      </w:r>
      <w:r w:rsidRPr="00531B12">
        <w:rPr>
          <w:rFonts w:ascii="Abadi" w:hAnsi="Abadi"/>
          <w:b/>
          <w:bCs/>
          <w:spacing w:val="24"/>
          <w:sz w:val="20"/>
          <w:szCs w:val="20"/>
        </w:rPr>
        <w:t xml:space="preserve"> </w:t>
      </w:r>
      <w:r w:rsidRPr="00531B12">
        <w:rPr>
          <w:rFonts w:ascii="Abadi" w:hAnsi="Abadi"/>
          <w:b/>
          <w:bCs/>
          <w:sz w:val="20"/>
          <w:szCs w:val="20"/>
        </w:rPr>
        <w:t>VILLAGRÁN,</w:t>
      </w:r>
      <w:r w:rsidRPr="00531B12">
        <w:rPr>
          <w:rFonts w:ascii="Abadi" w:hAnsi="Abadi"/>
          <w:b/>
          <w:bCs/>
          <w:spacing w:val="24"/>
          <w:sz w:val="20"/>
          <w:szCs w:val="20"/>
        </w:rPr>
        <w:t xml:space="preserve"> </w:t>
      </w:r>
      <w:r w:rsidRPr="00531B12">
        <w:rPr>
          <w:rFonts w:ascii="Abadi" w:hAnsi="Abadi"/>
          <w:b/>
          <w:bCs/>
          <w:sz w:val="20"/>
          <w:szCs w:val="20"/>
        </w:rPr>
        <w:t>GTO.,</w:t>
      </w:r>
      <w:r w:rsidRPr="00531B12">
        <w:rPr>
          <w:rFonts w:ascii="Abadi" w:hAnsi="Abadi"/>
          <w:b/>
          <w:bCs/>
          <w:spacing w:val="24"/>
          <w:sz w:val="20"/>
          <w:szCs w:val="20"/>
        </w:rPr>
        <w:t xml:space="preserve"> </w:t>
      </w:r>
      <w:r w:rsidRPr="00531B12">
        <w:rPr>
          <w:rFonts w:ascii="Abadi" w:hAnsi="Abadi"/>
          <w:b/>
          <w:bCs/>
          <w:sz w:val="20"/>
          <w:szCs w:val="20"/>
        </w:rPr>
        <w:t>CORRESPONDIENTE</w:t>
      </w:r>
      <w:r w:rsidRPr="00531B12">
        <w:rPr>
          <w:rFonts w:ascii="Abadi" w:hAnsi="Abadi"/>
          <w:b/>
          <w:bCs/>
          <w:spacing w:val="24"/>
          <w:sz w:val="20"/>
          <w:szCs w:val="20"/>
        </w:rPr>
        <w:t xml:space="preserve"> </w:t>
      </w:r>
      <w:r w:rsidRPr="00531B12">
        <w:rPr>
          <w:rFonts w:ascii="Abadi" w:hAnsi="Abadi"/>
          <w:b/>
          <w:bCs/>
          <w:sz w:val="20"/>
          <w:szCs w:val="20"/>
        </w:rPr>
        <w:t>AL</w:t>
      </w:r>
      <w:r w:rsidRPr="00531B12">
        <w:rPr>
          <w:rFonts w:ascii="Abadi" w:hAnsi="Abadi"/>
          <w:b/>
          <w:bCs/>
          <w:spacing w:val="24"/>
          <w:sz w:val="20"/>
          <w:szCs w:val="20"/>
        </w:rPr>
        <w:t xml:space="preserve"> </w:t>
      </w:r>
      <w:r w:rsidRPr="00531B12">
        <w:rPr>
          <w:rFonts w:ascii="Abadi" w:hAnsi="Abadi"/>
          <w:b/>
          <w:bCs/>
          <w:sz w:val="20"/>
          <w:szCs w:val="20"/>
        </w:rPr>
        <w:t>EJERCICIO</w:t>
      </w:r>
      <w:r w:rsidRPr="00531B12">
        <w:rPr>
          <w:rFonts w:ascii="Abadi" w:hAnsi="Abadi"/>
          <w:b/>
          <w:bCs/>
          <w:spacing w:val="24"/>
          <w:sz w:val="20"/>
          <w:szCs w:val="20"/>
        </w:rPr>
        <w:t xml:space="preserve"> </w:t>
      </w:r>
      <w:r w:rsidRPr="00531B12">
        <w:rPr>
          <w:rFonts w:ascii="Abadi" w:hAnsi="Abadi"/>
          <w:b/>
          <w:bCs/>
          <w:sz w:val="20"/>
          <w:szCs w:val="20"/>
        </w:rPr>
        <w:t>FISCAL</w:t>
      </w:r>
      <w:r w:rsidRPr="00531B12">
        <w:rPr>
          <w:rFonts w:ascii="Abadi" w:hAnsi="Abadi"/>
          <w:b/>
          <w:bCs/>
          <w:spacing w:val="24"/>
          <w:sz w:val="20"/>
          <w:szCs w:val="20"/>
        </w:rPr>
        <w:t xml:space="preserve"> </w:t>
      </w:r>
      <w:r w:rsidRPr="00531B12">
        <w:rPr>
          <w:rFonts w:ascii="Abadi" w:hAnsi="Abadi"/>
          <w:b/>
          <w:bCs/>
          <w:sz w:val="20"/>
          <w:szCs w:val="20"/>
        </w:rPr>
        <w:t>DEL AÑO 2020.</w:t>
      </w:r>
    </w:p>
    <w:p w14:paraId="0A91CD18" w14:textId="77777777" w:rsidR="00825E6F" w:rsidRPr="00490E36" w:rsidRDefault="00825E6F" w:rsidP="00490E36">
      <w:pPr>
        <w:rPr>
          <w:rFonts w:ascii="Abadi" w:hAnsi="Abadi"/>
          <w:sz w:val="20"/>
          <w:szCs w:val="20"/>
        </w:rPr>
      </w:pPr>
    </w:p>
    <w:p w14:paraId="158D7523" w14:textId="77777777" w:rsidR="00D240B1" w:rsidRPr="00D240B1" w:rsidRDefault="00D240B1" w:rsidP="00D240B1">
      <w:pPr>
        <w:jc w:val="both"/>
        <w:rPr>
          <w:rFonts w:ascii="Abadi" w:hAnsi="Abadi" w:cs="Arial"/>
          <w:b/>
          <w:bCs/>
          <w:smallCaps/>
          <w:sz w:val="21"/>
          <w:szCs w:val="21"/>
          <w:lang w:val="es-MX"/>
        </w:rPr>
      </w:pPr>
      <w:r w:rsidRPr="00D240B1">
        <w:rPr>
          <w:rFonts w:ascii="Abadi" w:hAnsi="Abadi" w:cs="Arial"/>
          <w:b/>
          <w:bCs/>
          <w:smallCaps/>
          <w:sz w:val="21"/>
          <w:szCs w:val="21"/>
          <w:lang w:val="es-MX"/>
        </w:rPr>
        <w:t>C. Presidenta del Congreso del Estado</w:t>
      </w:r>
    </w:p>
    <w:p w14:paraId="6ED37908" w14:textId="77777777" w:rsidR="00D240B1" w:rsidRPr="00D240B1" w:rsidRDefault="00D240B1" w:rsidP="00D240B1">
      <w:pPr>
        <w:jc w:val="both"/>
        <w:rPr>
          <w:rFonts w:ascii="Abadi" w:hAnsi="Abadi" w:cs="Arial"/>
          <w:b/>
          <w:bCs/>
          <w:smallCaps/>
          <w:sz w:val="21"/>
          <w:szCs w:val="21"/>
        </w:rPr>
      </w:pPr>
      <w:r w:rsidRPr="00D240B1">
        <w:rPr>
          <w:rFonts w:ascii="Abadi" w:hAnsi="Abadi" w:cs="Arial"/>
          <w:b/>
          <w:bCs/>
          <w:smallCaps/>
          <w:sz w:val="21"/>
          <w:szCs w:val="21"/>
        </w:rPr>
        <w:t>P r e s e n t e.</w:t>
      </w:r>
    </w:p>
    <w:p w14:paraId="41D72663" w14:textId="77777777" w:rsidR="00D240B1" w:rsidRPr="00D240B1" w:rsidRDefault="00D240B1" w:rsidP="00D240B1">
      <w:pPr>
        <w:jc w:val="both"/>
        <w:rPr>
          <w:rFonts w:ascii="Abadi" w:hAnsi="Abadi" w:cs="Arial"/>
          <w:sz w:val="21"/>
          <w:szCs w:val="21"/>
          <w:lang w:val="es-MX" w:eastAsia="x-none"/>
        </w:rPr>
      </w:pPr>
    </w:p>
    <w:p w14:paraId="75E86ED1" w14:textId="77777777" w:rsidR="00D240B1" w:rsidRPr="00D240B1" w:rsidRDefault="00D240B1" w:rsidP="00D240B1">
      <w:pPr>
        <w:ind w:firstLine="708"/>
        <w:jc w:val="both"/>
        <w:rPr>
          <w:rFonts w:ascii="Abadi" w:hAnsi="Abadi" w:cs="Arial"/>
          <w:sz w:val="21"/>
          <w:szCs w:val="21"/>
          <w:lang w:val="x-none" w:eastAsia="x-none"/>
        </w:rPr>
      </w:pPr>
      <w:r w:rsidRPr="00D240B1">
        <w:rPr>
          <w:rFonts w:ascii="Abadi" w:hAnsi="Abadi" w:cs="Arial"/>
          <w:sz w:val="21"/>
          <w:szCs w:val="21"/>
          <w:lang w:val="x-none" w:eastAsia="x-none"/>
        </w:rPr>
        <w:t xml:space="preserve">A </w:t>
      </w:r>
      <w:r w:rsidRPr="00D240B1">
        <w:rPr>
          <w:rFonts w:ascii="Abadi" w:hAnsi="Abadi" w:cs="Arial"/>
          <w:sz w:val="21"/>
          <w:szCs w:val="21"/>
          <w:lang w:val="es-MX" w:eastAsia="x-none"/>
        </w:rPr>
        <w:t>esta</w:t>
      </w:r>
      <w:r w:rsidRPr="00D240B1">
        <w:rPr>
          <w:rFonts w:ascii="Abadi" w:hAnsi="Abadi" w:cs="Arial"/>
          <w:sz w:val="21"/>
          <w:szCs w:val="21"/>
          <w:lang w:val="x-none" w:eastAsia="x-none"/>
        </w:rPr>
        <w:t xml:space="preserve"> Comisión de Hacienda y Fiscalización</w:t>
      </w:r>
      <w:r w:rsidRPr="00D240B1">
        <w:rPr>
          <w:rFonts w:ascii="Abadi" w:hAnsi="Abadi" w:cs="Arial"/>
          <w:sz w:val="21"/>
          <w:szCs w:val="21"/>
          <w:lang w:val="es-MX" w:eastAsia="x-none"/>
        </w:rPr>
        <w:t xml:space="preserve">, </w:t>
      </w:r>
      <w:r w:rsidRPr="00D240B1">
        <w:rPr>
          <w:rFonts w:ascii="Abadi" w:hAnsi="Abadi" w:cs="Arial"/>
          <w:sz w:val="21"/>
          <w:szCs w:val="21"/>
          <w:lang w:val="x-none" w:eastAsia="x-none"/>
        </w:rPr>
        <w:t xml:space="preserve">le fue turnado para su estudio y dictamen, el informe de resultados de la revisión practicada por </w:t>
      </w:r>
      <w:r w:rsidRPr="00D240B1">
        <w:rPr>
          <w:rFonts w:ascii="Abadi" w:hAnsi="Abadi" w:cs="Arial"/>
          <w:sz w:val="21"/>
          <w:szCs w:val="21"/>
          <w:lang w:val="es-MX" w:eastAsia="x-none"/>
        </w:rPr>
        <w:t xml:space="preserve">la </w:t>
      </w:r>
      <w:r w:rsidRPr="00D240B1">
        <w:rPr>
          <w:rFonts w:ascii="Abadi" w:hAnsi="Abadi" w:cs="Arial"/>
          <w:sz w:val="21"/>
          <w:szCs w:val="21"/>
          <w:lang w:val="x-none" w:eastAsia="x-none"/>
        </w:rPr>
        <w:t xml:space="preserve">Auditoría Superior del Estado de Guanajuato, a la cuenta pública municipal de </w:t>
      </w:r>
      <w:r w:rsidRPr="00D240B1">
        <w:rPr>
          <w:rFonts w:ascii="Abadi" w:hAnsi="Abadi" w:cs="Arial"/>
          <w:sz w:val="21"/>
          <w:szCs w:val="21"/>
          <w:lang w:val="es-MX" w:eastAsia="x-none"/>
        </w:rPr>
        <w:t>Villagrán</w:t>
      </w:r>
      <w:r w:rsidRPr="00D240B1">
        <w:rPr>
          <w:rFonts w:ascii="Abadi" w:hAnsi="Abadi" w:cs="Arial"/>
          <w:sz w:val="21"/>
          <w:szCs w:val="21"/>
          <w:lang w:val="x-none" w:eastAsia="x-none"/>
        </w:rPr>
        <w:t xml:space="preserve">, Gto., correspondiente al ejercicio fiscal del año </w:t>
      </w:r>
      <w:r w:rsidRPr="00D240B1">
        <w:rPr>
          <w:rFonts w:ascii="Abadi" w:hAnsi="Abadi" w:cs="Arial"/>
          <w:sz w:val="21"/>
          <w:szCs w:val="21"/>
          <w:lang w:val="es-MX" w:eastAsia="x-none"/>
        </w:rPr>
        <w:t>2020</w:t>
      </w:r>
      <w:r w:rsidRPr="00D240B1">
        <w:rPr>
          <w:rFonts w:ascii="Abadi" w:hAnsi="Abadi" w:cs="Arial"/>
          <w:sz w:val="21"/>
          <w:szCs w:val="21"/>
          <w:lang w:val="x-none" w:eastAsia="x-none"/>
        </w:rPr>
        <w:t>.</w:t>
      </w:r>
    </w:p>
    <w:p w14:paraId="70F0335F" w14:textId="77777777" w:rsidR="00D240B1" w:rsidRPr="00D240B1" w:rsidRDefault="00D240B1" w:rsidP="00D240B1">
      <w:pPr>
        <w:ind w:firstLine="708"/>
        <w:jc w:val="both"/>
        <w:rPr>
          <w:rFonts w:ascii="Abadi" w:hAnsi="Abadi" w:cs="Arial"/>
          <w:sz w:val="21"/>
          <w:szCs w:val="21"/>
          <w:lang w:val="x-none" w:eastAsia="x-none"/>
        </w:rPr>
      </w:pPr>
    </w:p>
    <w:p w14:paraId="49EFAFA2" w14:textId="77777777" w:rsidR="00D240B1" w:rsidRPr="00D240B1" w:rsidRDefault="00D240B1" w:rsidP="00D240B1">
      <w:pPr>
        <w:ind w:firstLine="708"/>
        <w:jc w:val="both"/>
        <w:rPr>
          <w:rFonts w:ascii="Abadi" w:hAnsi="Abadi" w:cs="Arial"/>
          <w:sz w:val="21"/>
          <w:szCs w:val="21"/>
          <w:lang w:val="x-none" w:eastAsia="x-none"/>
        </w:rPr>
      </w:pPr>
      <w:r w:rsidRPr="00D240B1">
        <w:rPr>
          <w:rFonts w:ascii="Abadi" w:hAnsi="Abadi" w:cs="Arial"/>
          <w:sz w:val="21"/>
          <w:szCs w:val="21"/>
          <w:lang w:val="x-none" w:eastAsia="x-none"/>
        </w:rPr>
        <w:t>Una vez analizado el referido informe de resultados, con fundamento en lo dispuesto por los artículos 112, fracción XII</w:t>
      </w:r>
      <w:r w:rsidRPr="00D240B1">
        <w:rPr>
          <w:rFonts w:ascii="Abadi" w:hAnsi="Abadi" w:cs="Arial"/>
          <w:sz w:val="21"/>
          <w:szCs w:val="21"/>
          <w:lang w:val="es-MX" w:eastAsia="x-none"/>
        </w:rPr>
        <w:t>, primer párrafo</w:t>
      </w:r>
      <w:r w:rsidRPr="00D240B1">
        <w:rPr>
          <w:rFonts w:ascii="Abadi" w:hAnsi="Abadi" w:cs="Arial"/>
          <w:sz w:val="21"/>
          <w:szCs w:val="21"/>
          <w:lang w:val="x-none" w:eastAsia="x-none"/>
        </w:rPr>
        <w:t xml:space="preserve"> y 171 de </w:t>
      </w:r>
      <w:smartTag w:uri="urn:schemas-microsoft-com:office:smarttags" w:element="PersonName">
        <w:smartTagPr>
          <w:attr w:name="ProductID" w:val="la Ley Org￡nica"/>
        </w:smartTagPr>
        <w:r w:rsidRPr="00D240B1">
          <w:rPr>
            <w:rFonts w:ascii="Abadi" w:hAnsi="Abadi" w:cs="Arial"/>
            <w:sz w:val="21"/>
            <w:szCs w:val="21"/>
            <w:lang w:val="x-none" w:eastAsia="x-none"/>
          </w:rPr>
          <w:t>la Ley Orgánica</w:t>
        </w:r>
      </w:smartTag>
      <w:r w:rsidRPr="00D240B1">
        <w:rPr>
          <w:rFonts w:ascii="Abadi" w:hAnsi="Abadi" w:cs="Arial"/>
          <w:sz w:val="21"/>
          <w:szCs w:val="21"/>
          <w:lang w:val="x-none" w:eastAsia="x-none"/>
        </w:rPr>
        <w:t xml:space="preserve"> del Poder Legislativo, nos permitimos rendir el siguiente:</w:t>
      </w:r>
    </w:p>
    <w:p w14:paraId="0B31B7E4" w14:textId="77777777" w:rsidR="00D240B1" w:rsidRPr="00D240B1" w:rsidRDefault="00D240B1" w:rsidP="00D240B1">
      <w:pPr>
        <w:ind w:firstLine="708"/>
        <w:jc w:val="both"/>
        <w:rPr>
          <w:rFonts w:ascii="Abadi" w:hAnsi="Abadi" w:cs="Arial"/>
          <w:sz w:val="21"/>
          <w:szCs w:val="21"/>
          <w:lang w:val="x-none" w:eastAsia="x-none"/>
        </w:rPr>
      </w:pPr>
    </w:p>
    <w:p w14:paraId="0D6857BC" w14:textId="77777777" w:rsidR="00D240B1" w:rsidRPr="00D240B1" w:rsidRDefault="00D240B1" w:rsidP="00D240B1">
      <w:pPr>
        <w:keepNext/>
        <w:jc w:val="center"/>
        <w:outlineLvl w:val="0"/>
        <w:rPr>
          <w:rFonts w:ascii="Abadi" w:eastAsia="Arial Unicode MS" w:hAnsi="Abadi" w:cs="Arial"/>
          <w:b/>
          <w:bCs/>
          <w:sz w:val="21"/>
          <w:szCs w:val="21"/>
        </w:rPr>
      </w:pPr>
      <w:r w:rsidRPr="00D240B1">
        <w:rPr>
          <w:rFonts w:ascii="Abadi" w:eastAsia="Arial Unicode MS" w:hAnsi="Abadi" w:cs="Arial"/>
          <w:b/>
          <w:bCs/>
          <w:sz w:val="21"/>
          <w:szCs w:val="21"/>
        </w:rPr>
        <w:t>D i c t a m e n</w:t>
      </w:r>
    </w:p>
    <w:p w14:paraId="530C1DA4" w14:textId="77777777" w:rsidR="00D240B1" w:rsidRDefault="00D240B1" w:rsidP="00D240B1">
      <w:pPr>
        <w:ind w:firstLine="708"/>
        <w:jc w:val="both"/>
        <w:rPr>
          <w:rFonts w:ascii="Abadi" w:hAnsi="Abadi" w:cs="Arial"/>
          <w:b/>
          <w:bCs/>
          <w:sz w:val="21"/>
          <w:szCs w:val="21"/>
          <w:lang w:val="es-MX" w:eastAsia="x-none"/>
        </w:rPr>
      </w:pPr>
    </w:p>
    <w:p w14:paraId="76FA79B8" w14:textId="3F058D57" w:rsidR="00D240B1" w:rsidRPr="00D240B1" w:rsidRDefault="00D240B1" w:rsidP="00D240B1">
      <w:pPr>
        <w:ind w:firstLine="708"/>
        <w:jc w:val="both"/>
        <w:rPr>
          <w:rFonts w:ascii="Abadi" w:hAnsi="Abadi" w:cs="Arial"/>
          <w:b/>
          <w:bCs/>
          <w:sz w:val="21"/>
          <w:szCs w:val="21"/>
          <w:lang w:val="es-MX" w:eastAsia="x-none"/>
        </w:rPr>
      </w:pPr>
      <w:r w:rsidRPr="00D240B1">
        <w:rPr>
          <w:rFonts w:ascii="Abadi" w:hAnsi="Abadi" w:cs="Arial"/>
          <w:b/>
          <w:bCs/>
          <w:sz w:val="21"/>
          <w:szCs w:val="21"/>
          <w:lang w:val="es-MX" w:eastAsia="x-none"/>
        </w:rPr>
        <w:t>I. Competencia:</w:t>
      </w:r>
    </w:p>
    <w:p w14:paraId="021C916B" w14:textId="77777777" w:rsidR="00D240B1" w:rsidRPr="00D240B1" w:rsidRDefault="00D240B1" w:rsidP="00D240B1">
      <w:pPr>
        <w:ind w:firstLine="708"/>
        <w:jc w:val="both"/>
        <w:rPr>
          <w:rFonts w:ascii="Abadi" w:hAnsi="Abadi" w:cs="Arial"/>
          <w:b/>
          <w:bCs/>
          <w:sz w:val="21"/>
          <w:szCs w:val="21"/>
          <w:lang w:val="es-MX" w:eastAsia="x-none"/>
        </w:rPr>
      </w:pPr>
    </w:p>
    <w:p w14:paraId="1D0355DE"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D240B1">
          <w:rPr>
            <w:rFonts w:ascii="Abadi" w:hAnsi="Abadi" w:cs="Arial"/>
            <w:sz w:val="21"/>
            <w:szCs w:val="21"/>
            <w:lang w:val="es-MX" w:eastAsia="x-none"/>
          </w:rPr>
          <w:t>la Constitución Política</w:t>
        </w:r>
      </w:smartTag>
      <w:r w:rsidRPr="00D240B1">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2401EEA2" w14:textId="77777777" w:rsidR="00D240B1" w:rsidRPr="00D240B1" w:rsidRDefault="00D240B1" w:rsidP="00D240B1">
      <w:pPr>
        <w:ind w:firstLine="708"/>
        <w:jc w:val="both"/>
        <w:rPr>
          <w:rFonts w:ascii="Abadi" w:hAnsi="Abadi" w:cs="Arial"/>
          <w:sz w:val="21"/>
          <w:szCs w:val="21"/>
          <w:lang w:val="es-MX" w:eastAsia="x-none"/>
        </w:rPr>
      </w:pPr>
    </w:p>
    <w:p w14:paraId="792C842E"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572E00BF" w14:textId="77777777" w:rsidR="00D240B1" w:rsidRPr="00D240B1" w:rsidRDefault="00D240B1" w:rsidP="00D240B1">
      <w:pPr>
        <w:jc w:val="both"/>
        <w:rPr>
          <w:rFonts w:ascii="Abadi" w:hAnsi="Abadi" w:cs="Arial"/>
          <w:sz w:val="21"/>
          <w:szCs w:val="21"/>
          <w:lang w:val="es-MX" w:eastAsia="x-none"/>
        </w:rPr>
      </w:pPr>
    </w:p>
    <w:p w14:paraId="1ADF93D4"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D240B1">
          <w:rPr>
            <w:rFonts w:ascii="Abadi" w:hAnsi="Abadi" w:cs="Arial"/>
            <w:sz w:val="21"/>
            <w:szCs w:val="21"/>
            <w:lang w:val="es-MX" w:eastAsia="x-none"/>
          </w:rPr>
          <w:t>la Constitución Política</w:t>
        </w:r>
      </w:smartTag>
      <w:r w:rsidRPr="00D240B1">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0E36E9D6" w14:textId="77777777" w:rsidR="00D240B1" w:rsidRPr="00D240B1" w:rsidRDefault="00D240B1" w:rsidP="00D240B1">
      <w:pPr>
        <w:ind w:firstLine="708"/>
        <w:jc w:val="both"/>
        <w:rPr>
          <w:rFonts w:ascii="Abadi" w:hAnsi="Abadi" w:cs="Arial"/>
          <w:sz w:val="21"/>
          <w:szCs w:val="21"/>
          <w:lang w:val="es-MX" w:eastAsia="x-none"/>
        </w:rPr>
      </w:pPr>
    </w:p>
    <w:p w14:paraId="6BB56499"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8E121B7" w14:textId="77777777" w:rsidR="00D240B1" w:rsidRPr="00D240B1" w:rsidRDefault="00D240B1" w:rsidP="00D240B1">
      <w:pPr>
        <w:ind w:firstLine="708"/>
        <w:jc w:val="both"/>
        <w:rPr>
          <w:rFonts w:ascii="Abadi" w:hAnsi="Abadi" w:cs="Arial"/>
          <w:sz w:val="21"/>
          <w:szCs w:val="21"/>
          <w:lang w:val="es-MX" w:eastAsia="x-none"/>
        </w:rPr>
      </w:pPr>
    </w:p>
    <w:p w14:paraId="5FD7451E"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 xml:space="preserve">De igual forma, el artículo 82, fracción XXIV de </w:t>
      </w:r>
      <w:smartTag w:uri="urn:schemas-microsoft-com:office:smarttags" w:element="PersonName">
        <w:smartTagPr>
          <w:attr w:name="ProductID" w:val="la Ley"/>
        </w:smartTagPr>
        <w:r w:rsidRPr="00D240B1">
          <w:rPr>
            <w:rFonts w:ascii="Abadi" w:hAnsi="Abadi" w:cs="Arial"/>
            <w:sz w:val="21"/>
            <w:szCs w:val="21"/>
            <w:lang w:val="es-MX" w:eastAsia="x-none"/>
          </w:rPr>
          <w:t>la Ley</w:t>
        </w:r>
      </w:smartTag>
      <w:r w:rsidRPr="00D240B1">
        <w:rPr>
          <w:rFonts w:ascii="Abadi" w:hAnsi="Abadi" w:cs="Arial"/>
          <w:sz w:val="21"/>
          <w:szCs w:val="21"/>
          <w:lang w:val="es-MX" w:eastAsia="x-none"/>
        </w:rPr>
        <w:t xml:space="preserve"> de Fiscalización Superior del Estado de Guanajuato consigna como atribución del Auditor Superior rendir al Congreso del Estado, los informes derivados del ejercicio de la función de fiscalización.</w:t>
      </w:r>
    </w:p>
    <w:p w14:paraId="60836F5B" w14:textId="77777777" w:rsidR="00D240B1" w:rsidRPr="00D240B1" w:rsidRDefault="00D240B1" w:rsidP="00D240B1">
      <w:pPr>
        <w:ind w:firstLine="708"/>
        <w:jc w:val="both"/>
        <w:rPr>
          <w:rFonts w:ascii="Abadi" w:hAnsi="Abadi" w:cs="Arial"/>
          <w:sz w:val="21"/>
          <w:szCs w:val="21"/>
          <w:lang w:val="es-MX" w:eastAsia="x-none"/>
        </w:rPr>
      </w:pPr>
    </w:p>
    <w:p w14:paraId="2D53DFA2"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5B72112" w14:textId="77777777" w:rsidR="00D240B1" w:rsidRPr="00D240B1" w:rsidRDefault="00D240B1" w:rsidP="00D240B1">
      <w:pPr>
        <w:ind w:firstLine="708"/>
        <w:jc w:val="both"/>
        <w:rPr>
          <w:rFonts w:ascii="Abadi" w:hAnsi="Abadi" w:cs="Arial"/>
          <w:sz w:val="21"/>
          <w:szCs w:val="21"/>
          <w:lang w:val="es-MX" w:eastAsia="x-none"/>
        </w:rPr>
      </w:pPr>
    </w:p>
    <w:p w14:paraId="5D7C737F"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 xml:space="preserve">Con la finalidad de que el Congreso dé cumplimiento a lo señalado en el párrafo anterior, </w:t>
      </w:r>
      <w:smartTag w:uri="urn:schemas-microsoft-com:office:smarttags" w:element="PersonName">
        <w:smartTagPr>
          <w:attr w:name="ProductID" w:val="la Ley Org￡nica"/>
        </w:smartTagPr>
        <w:r w:rsidRPr="00D240B1">
          <w:rPr>
            <w:rFonts w:ascii="Abadi" w:hAnsi="Abadi" w:cs="Arial"/>
            <w:sz w:val="21"/>
            <w:szCs w:val="21"/>
            <w:lang w:val="es-MX" w:eastAsia="x-none"/>
          </w:rPr>
          <w:t>la Ley Orgánica</w:t>
        </w:r>
      </w:smartTag>
      <w:r w:rsidRPr="00D240B1">
        <w:rPr>
          <w:rFonts w:ascii="Abadi" w:hAnsi="Abadi" w:cs="Arial"/>
          <w:sz w:val="21"/>
          <w:szCs w:val="21"/>
          <w:lang w:val="es-MX" w:eastAsia="x-none"/>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A67C5AD" w14:textId="77777777" w:rsidR="00D240B1" w:rsidRPr="00D240B1" w:rsidRDefault="00D240B1" w:rsidP="00D240B1">
      <w:pPr>
        <w:ind w:firstLine="708"/>
        <w:jc w:val="both"/>
        <w:rPr>
          <w:rFonts w:ascii="Abadi" w:hAnsi="Abadi" w:cs="Arial"/>
          <w:sz w:val="21"/>
          <w:szCs w:val="21"/>
          <w:lang w:val="es-MX" w:eastAsia="x-none"/>
        </w:rPr>
      </w:pPr>
    </w:p>
    <w:p w14:paraId="4A173EF6"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50341D5F" w14:textId="77777777" w:rsidR="00D240B1" w:rsidRDefault="00D240B1" w:rsidP="00D240B1">
      <w:pPr>
        <w:ind w:firstLine="708"/>
        <w:jc w:val="both"/>
        <w:rPr>
          <w:rFonts w:ascii="Abadi" w:hAnsi="Abadi" w:cs="Arial"/>
          <w:b/>
          <w:bCs/>
          <w:sz w:val="21"/>
          <w:szCs w:val="21"/>
          <w:lang w:val="es-MX" w:eastAsia="x-none"/>
        </w:rPr>
      </w:pPr>
    </w:p>
    <w:p w14:paraId="78D73749" w14:textId="0C0252EE" w:rsidR="00D240B1" w:rsidRPr="00D240B1" w:rsidRDefault="00D240B1" w:rsidP="00D240B1">
      <w:pPr>
        <w:ind w:firstLine="708"/>
        <w:jc w:val="both"/>
        <w:rPr>
          <w:rFonts w:ascii="Abadi" w:hAnsi="Abadi" w:cs="Arial"/>
          <w:b/>
          <w:bCs/>
          <w:sz w:val="21"/>
          <w:szCs w:val="21"/>
          <w:lang w:val="es-MX" w:eastAsia="x-none"/>
        </w:rPr>
      </w:pPr>
      <w:r w:rsidRPr="00D240B1">
        <w:rPr>
          <w:rFonts w:ascii="Abadi" w:hAnsi="Abadi" w:cs="Arial"/>
          <w:b/>
          <w:bCs/>
          <w:sz w:val="21"/>
          <w:szCs w:val="21"/>
          <w:lang w:val="es-MX" w:eastAsia="x-none"/>
        </w:rPr>
        <w:t>II. Antecedentes:</w:t>
      </w:r>
    </w:p>
    <w:p w14:paraId="7370D624" w14:textId="77777777" w:rsidR="00D240B1" w:rsidRPr="00D240B1" w:rsidRDefault="00D240B1" w:rsidP="00D240B1">
      <w:pPr>
        <w:ind w:firstLine="708"/>
        <w:jc w:val="both"/>
        <w:rPr>
          <w:rFonts w:ascii="Abadi" w:hAnsi="Abadi" w:cs="Arial"/>
          <w:sz w:val="21"/>
          <w:szCs w:val="21"/>
          <w:lang w:val="es-MX" w:eastAsia="x-none"/>
        </w:rPr>
      </w:pPr>
    </w:p>
    <w:p w14:paraId="4AD40F33"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D240B1">
          <w:rPr>
            <w:rFonts w:ascii="Abadi" w:hAnsi="Abadi" w:cs="Arial"/>
            <w:sz w:val="21"/>
            <w:szCs w:val="21"/>
            <w:lang w:val="es-MX" w:eastAsia="x-none"/>
          </w:rPr>
          <w:t>la Constitución Política</w:t>
        </w:r>
      </w:smartTag>
      <w:r w:rsidRPr="00D240B1">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4457F590" w14:textId="77777777" w:rsidR="00D240B1" w:rsidRPr="00D240B1" w:rsidRDefault="00D240B1" w:rsidP="00D240B1">
      <w:pPr>
        <w:ind w:firstLine="708"/>
        <w:jc w:val="both"/>
        <w:rPr>
          <w:rFonts w:ascii="Abadi" w:hAnsi="Abadi" w:cs="Arial"/>
          <w:sz w:val="21"/>
          <w:szCs w:val="21"/>
          <w:lang w:val="es-MX" w:eastAsia="x-none"/>
        </w:rPr>
      </w:pPr>
    </w:p>
    <w:p w14:paraId="7D746D93"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Por su parte, el artículo 66 de la Constitución Política Local, establece que los sujetos de fiscalización presentarán al Congreso del Estado los informes financieros y su cuenta pública con la periodicidad, forma y términos que establezca la Ley.</w:t>
      </w:r>
    </w:p>
    <w:p w14:paraId="769C9F8D" w14:textId="77777777" w:rsidR="00D240B1" w:rsidRPr="00D240B1" w:rsidRDefault="00D240B1" w:rsidP="00D240B1">
      <w:pPr>
        <w:ind w:firstLine="708"/>
        <w:jc w:val="both"/>
        <w:rPr>
          <w:rFonts w:ascii="Abadi" w:hAnsi="Abadi" w:cs="Arial"/>
          <w:sz w:val="21"/>
          <w:szCs w:val="21"/>
          <w:lang w:val="es-MX" w:eastAsia="x-none"/>
        </w:rPr>
      </w:pPr>
    </w:p>
    <w:p w14:paraId="71A1EDDD"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 xml:space="preserve">La fracción III del artículo 3 de </w:t>
      </w:r>
      <w:smartTag w:uri="urn:schemas-microsoft-com:office:smarttags" w:element="PersonName">
        <w:smartTagPr>
          <w:attr w:name="ProductID" w:val="la Ley"/>
        </w:smartTagPr>
        <w:r w:rsidRPr="00D240B1">
          <w:rPr>
            <w:rFonts w:ascii="Abadi" w:hAnsi="Abadi" w:cs="Arial"/>
            <w:sz w:val="21"/>
            <w:szCs w:val="21"/>
            <w:lang w:val="es-MX" w:eastAsia="x-none"/>
          </w:rPr>
          <w:t>la Ley</w:t>
        </w:r>
      </w:smartTag>
      <w:r w:rsidRPr="00D240B1">
        <w:rPr>
          <w:rFonts w:ascii="Abadi" w:hAnsi="Abadi" w:cs="Arial"/>
          <w:sz w:val="21"/>
          <w:szCs w:val="21"/>
          <w:lang w:val="es-MX" w:eastAsia="x-none"/>
        </w:rPr>
        <w:t xml:space="preserve"> de Fiscalización Superior del Estado de Guanajuato señala que la Auditoría Superior del Estado será competente para fiscalizar la gestión financiera de los sujetos de fiscalización, a través de sus cuentas públicas.</w:t>
      </w:r>
    </w:p>
    <w:p w14:paraId="6C2F2B0C" w14:textId="77777777" w:rsidR="00D240B1" w:rsidRPr="00D240B1" w:rsidRDefault="00D240B1" w:rsidP="00D240B1">
      <w:pPr>
        <w:ind w:firstLine="708"/>
        <w:jc w:val="both"/>
        <w:rPr>
          <w:rFonts w:ascii="Abadi" w:hAnsi="Abadi" w:cs="Arial"/>
          <w:sz w:val="21"/>
          <w:szCs w:val="21"/>
          <w:lang w:val="es-MX" w:eastAsia="x-none"/>
        </w:rPr>
      </w:pPr>
    </w:p>
    <w:p w14:paraId="68935D9F"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787B9D1C" w14:textId="77777777" w:rsidR="00D240B1" w:rsidRPr="00D240B1" w:rsidRDefault="00D240B1" w:rsidP="00D240B1">
      <w:pPr>
        <w:ind w:firstLine="708"/>
        <w:jc w:val="both"/>
        <w:rPr>
          <w:rFonts w:ascii="Abadi" w:hAnsi="Abadi" w:cs="Arial"/>
          <w:sz w:val="21"/>
          <w:szCs w:val="21"/>
          <w:lang w:val="es-MX" w:eastAsia="x-none"/>
        </w:rPr>
      </w:pPr>
    </w:p>
    <w:p w14:paraId="39474125"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No será impedimento para que la Auditoría Superior del Estado realice la función de fiscalización, si la cuenta pública no está presentada y disponible en los plazos y requisitos señalados en la ley.</w:t>
      </w:r>
    </w:p>
    <w:p w14:paraId="7D9AF996" w14:textId="77777777" w:rsidR="00D240B1" w:rsidRPr="00D240B1" w:rsidRDefault="00D240B1" w:rsidP="00D240B1">
      <w:pPr>
        <w:ind w:firstLine="708"/>
        <w:jc w:val="both"/>
        <w:rPr>
          <w:rFonts w:ascii="Abadi" w:hAnsi="Abadi" w:cs="Arial"/>
          <w:sz w:val="21"/>
          <w:szCs w:val="21"/>
          <w:lang w:val="es-MX" w:eastAsia="x-none"/>
        </w:rPr>
      </w:pPr>
    </w:p>
    <w:p w14:paraId="08BC40EC" w14:textId="2D8CC22F"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D240B1">
          <w:rPr>
            <w:rFonts w:ascii="Abadi" w:hAnsi="Abadi" w:cs="Arial"/>
            <w:sz w:val="21"/>
            <w:szCs w:val="21"/>
            <w:lang w:val="es-MX" w:eastAsia="x-none"/>
          </w:rPr>
          <w:t>la Ley Orgánica</w:t>
        </w:r>
      </w:smartTag>
      <w:r w:rsidRPr="00D240B1">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39135E19" w14:textId="77777777" w:rsidR="00D240B1" w:rsidRPr="00D240B1" w:rsidRDefault="00D240B1" w:rsidP="00D240B1">
      <w:pPr>
        <w:ind w:firstLine="708"/>
        <w:jc w:val="both"/>
        <w:rPr>
          <w:rFonts w:ascii="Abadi" w:hAnsi="Abadi" w:cs="Arial"/>
          <w:sz w:val="21"/>
          <w:szCs w:val="21"/>
          <w:lang w:val="es-MX" w:eastAsia="x-none"/>
        </w:rPr>
      </w:pPr>
    </w:p>
    <w:p w14:paraId="370DC00C" w14:textId="77777777" w:rsidR="00D240B1" w:rsidRPr="00D240B1" w:rsidRDefault="00D240B1" w:rsidP="00D240B1">
      <w:pPr>
        <w:ind w:right="60" w:firstLine="709"/>
        <w:jc w:val="both"/>
        <w:rPr>
          <w:rFonts w:ascii="Abadi" w:hAnsi="Abadi" w:cs="Arial"/>
          <w:sz w:val="21"/>
          <w:szCs w:val="21"/>
          <w:lang w:val="es-MX" w:eastAsia="x-none"/>
        </w:rPr>
      </w:pPr>
      <w:r w:rsidRPr="00D240B1">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258D5378" w14:textId="77777777" w:rsidR="00D240B1" w:rsidRPr="00D240B1" w:rsidRDefault="00D240B1" w:rsidP="00D240B1">
      <w:pPr>
        <w:ind w:right="58" w:firstLine="709"/>
        <w:jc w:val="both"/>
        <w:rPr>
          <w:rFonts w:ascii="Abadi" w:eastAsia="DejaVu Sans" w:hAnsi="Abadi" w:cs="Tahoma"/>
          <w:iCs/>
          <w:kern w:val="1"/>
          <w:sz w:val="21"/>
          <w:szCs w:val="21"/>
          <w:lang w:eastAsia="ar-SA"/>
        </w:rPr>
      </w:pPr>
    </w:p>
    <w:p w14:paraId="39C7E488"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44970940" w14:textId="77777777" w:rsidR="00D240B1" w:rsidRPr="00D240B1" w:rsidRDefault="00D240B1" w:rsidP="00D240B1">
      <w:pPr>
        <w:ind w:firstLine="708"/>
        <w:jc w:val="both"/>
        <w:rPr>
          <w:rFonts w:ascii="Abadi" w:hAnsi="Abadi" w:cs="Arial"/>
          <w:sz w:val="21"/>
          <w:szCs w:val="21"/>
          <w:lang w:val="es-MX" w:eastAsia="x-none"/>
        </w:rPr>
      </w:pPr>
    </w:p>
    <w:p w14:paraId="714ABFE7"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5BB0F116" w14:textId="77777777" w:rsidR="00D240B1" w:rsidRPr="00D240B1" w:rsidRDefault="00D240B1" w:rsidP="00D240B1">
      <w:pPr>
        <w:ind w:firstLine="708"/>
        <w:jc w:val="both"/>
        <w:rPr>
          <w:rFonts w:ascii="Abadi" w:hAnsi="Abadi" w:cs="Arial"/>
          <w:sz w:val="21"/>
          <w:szCs w:val="21"/>
          <w:lang w:val="es-MX" w:eastAsia="x-none"/>
        </w:rPr>
      </w:pPr>
    </w:p>
    <w:p w14:paraId="2E1DAFB0" w14:textId="77777777" w:rsidR="00D240B1" w:rsidRPr="00D240B1" w:rsidRDefault="00D240B1" w:rsidP="00D240B1">
      <w:pPr>
        <w:ind w:right="60" w:firstLine="709"/>
        <w:jc w:val="both"/>
        <w:rPr>
          <w:rFonts w:ascii="Abadi" w:hAnsi="Abadi" w:cs="Arial"/>
          <w:sz w:val="21"/>
          <w:szCs w:val="21"/>
          <w:lang w:val="es-MX" w:eastAsia="x-none"/>
        </w:rPr>
      </w:pPr>
      <w:r w:rsidRPr="00D240B1">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43E9AC7C" w14:textId="77777777" w:rsidR="00D240B1" w:rsidRPr="00D240B1" w:rsidRDefault="00D240B1" w:rsidP="00D240B1">
      <w:pPr>
        <w:ind w:firstLine="708"/>
        <w:jc w:val="both"/>
        <w:rPr>
          <w:rFonts w:ascii="Abadi" w:hAnsi="Abadi" w:cs="Arial"/>
          <w:sz w:val="21"/>
          <w:szCs w:val="21"/>
          <w:lang w:eastAsia="x-none"/>
        </w:rPr>
      </w:pPr>
    </w:p>
    <w:p w14:paraId="768AD7B4"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4781F93E" w14:textId="77777777" w:rsidR="00D240B1" w:rsidRPr="00D240B1" w:rsidRDefault="00D240B1" w:rsidP="00D240B1">
      <w:pPr>
        <w:ind w:firstLine="708"/>
        <w:jc w:val="both"/>
        <w:rPr>
          <w:rFonts w:ascii="Abadi" w:hAnsi="Abadi" w:cs="Arial"/>
          <w:sz w:val="21"/>
          <w:szCs w:val="21"/>
          <w:lang w:val="es-MX" w:eastAsia="x-none"/>
        </w:rPr>
      </w:pPr>
    </w:p>
    <w:p w14:paraId="6043AC3E" w14:textId="77777777" w:rsidR="00D240B1" w:rsidRPr="00D240B1" w:rsidRDefault="00D240B1" w:rsidP="00D240B1">
      <w:pPr>
        <w:tabs>
          <w:tab w:val="left" w:pos="709"/>
        </w:tabs>
        <w:jc w:val="both"/>
        <w:rPr>
          <w:rFonts w:ascii="Abadi" w:hAnsi="Abadi" w:cs="Arial"/>
          <w:sz w:val="21"/>
          <w:szCs w:val="21"/>
          <w:lang w:val="es-MX" w:eastAsia="x-none"/>
        </w:rPr>
      </w:pPr>
      <w:r w:rsidRPr="00D240B1">
        <w:rPr>
          <w:rFonts w:ascii="Abadi" w:hAnsi="Abadi" w:cs="Arial"/>
          <w:sz w:val="21"/>
          <w:szCs w:val="21"/>
        </w:rPr>
        <w:tab/>
        <w:t xml:space="preserve">El citado artículo también refiere </w:t>
      </w:r>
      <w:r w:rsidRPr="00D240B1">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1F33B5DF" w14:textId="77777777" w:rsidR="00D240B1" w:rsidRPr="00D240B1" w:rsidRDefault="00D240B1" w:rsidP="00D240B1">
      <w:pPr>
        <w:tabs>
          <w:tab w:val="left" w:pos="709"/>
        </w:tabs>
        <w:jc w:val="both"/>
        <w:rPr>
          <w:rFonts w:ascii="Abadi" w:hAnsi="Abadi" w:cs="Arial"/>
          <w:sz w:val="21"/>
          <w:szCs w:val="21"/>
          <w:lang w:val="es-MX" w:eastAsia="x-none"/>
        </w:rPr>
      </w:pPr>
      <w:r w:rsidRPr="00D240B1">
        <w:rPr>
          <w:rFonts w:ascii="Abadi" w:hAnsi="Abadi" w:cs="Arial"/>
          <w:sz w:val="21"/>
          <w:szCs w:val="21"/>
          <w:lang w:val="es-MX" w:eastAsia="x-none"/>
        </w:rPr>
        <w:tab/>
        <w:t xml:space="preserve">En términos del numeral 23 de la </w:t>
      </w:r>
      <w:r w:rsidRPr="00D240B1">
        <w:rPr>
          <w:rFonts w:ascii="Abadi" w:hAnsi="Abadi" w:cs="Arial"/>
          <w:sz w:val="21"/>
          <w:szCs w:val="21"/>
        </w:rPr>
        <w:t>Ley de Fiscalización Superior del Estado de Guanajuato, p</w:t>
      </w:r>
      <w:r w:rsidRPr="00D240B1">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1DD4DC58" w14:textId="77777777" w:rsidR="00D240B1" w:rsidRPr="00D240B1" w:rsidRDefault="00D240B1" w:rsidP="00D240B1">
      <w:pPr>
        <w:tabs>
          <w:tab w:val="left" w:pos="709"/>
        </w:tabs>
        <w:jc w:val="both"/>
        <w:rPr>
          <w:rFonts w:ascii="Abadi" w:hAnsi="Abadi" w:cs="Arial"/>
          <w:sz w:val="21"/>
          <w:szCs w:val="21"/>
          <w:lang w:val="es-MX" w:eastAsia="x-none"/>
        </w:rPr>
      </w:pPr>
    </w:p>
    <w:p w14:paraId="0A15D584"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02ACEF9D" w14:textId="77777777" w:rsidR="00D240B1" w:rsidRPr="00D240B1" w:rsidRDefault="00D240B1" w:rsidP="00D240B1">
      <w:pPr>
        <w:ind w:firstLine="708"/>
        <w:jc w:val="both"/>
        <w:rPr>
          <w:rFonts w:ascii="Abadi" w:hAnsi="Abadi" w:cs="Arial"/>
          <w:sz w:val="21"/>
          <w:szCs w:val="21"/>
          <w:lang w:val="es-MX" w:eastAsia="x-none"/>
        </w:rPr>
      </w:pPr>
    </w:p>
    <w:p w14:paraId="3F711887"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En cumplimiento a los citados preceptos, en su oportunidad se remitió a este Congreso del Estado, la cuenta pública municipal de Villagrán, Gto., correspondiente al ejercicio fiscal del año 2020, turnándose a la Auditoría Superior del Estado para su revisión.</w:t>
      </w:r>
    </w:p>
    <w:p w14:paraId="70C6B940" w14:textId="77777777" w:rsidR="00D240B1" w:rsidRPr="00D240B1" w:rsidRDefault="00D240B1" w:rsidP="00D240B1">
      <w:pPr>
        <w:ind w:firstLine="708"/>
        <w:jc w:val="both"/>
        <w:rPr>
          <w:rFonts w:ascii="Abadi" w:hAnsi="Abadi" w:cs="Arial"/>
          <w:sz w:val="21"/>
          <w:szCs w:val="21"/>
          <w:lang w:val="es-MX" w:eastAsia="x-none"/>
        </w:rPr>
      </w:pPr>
    </w:p>
    <w:p w14:paraId="12BDC4AA" w14:textId="77777777" w:rsidR="00D240B1" w:rsidRPr="00D240B1" w:rsidRDefault="00D240B1" w:rsidP="00D240B1">
      <w:pPr>
        <w:ind w:firstLine="708"/>
        <w:jc w:val="both"/>
        <w:rPr>
          <w:rFonts w:ascii="Abadi" w:hAnsi="Abadi" w:cs="Arial"/>
          <w:sz w:val="21"/>
          <w:szCs w:val="21"/>
          <w:lang w:eastAsia="x-none"/>
        </w:rPr>
      </w:pPr>
      <w:r w:rsidRPr="00D240B1">
        <w:rPr>
          <w:rFonts w:ascii="Abadi" w:hAnsi="Abadi" w:cs="Arial"/>
          <w:sz w:val="21"/>
          <w:szCs w:val="21"/>
          <w:lang w:eastAsia="x-none"/>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152E5D57" w14:textId="77777777" w:rsidR="00D240B1" w:rsidRPr="00D240B1" w:rsidRDefault="00D240B1" w:rsidP="00D240B1">
      <w:pPr>
        <w:ind w:firstLine="708"/>
        <w:jc w:val="both"/>
        <w:rPr>
          <w:rFonts w:ascii="Abadi" w:hAnsi="Abadi" w:cs="Arial"/>
          <w:sz w:val="21"/>
          <w:szCs w:val="21"/>
          <w:lang w:val="es-MX" w:eastAsia="x-none"/>
        </w:rPr>
      </w:pPr>
    </w:p>
    <w:p w14:paraId="2EBF9332"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En ejercicio de esta función, el Auditor Superior del Estado aprobó el Programa General de Fiscalización 2021. En dicho Programa se contempló la revisión de la cuenta pública municipal de Villagrán, Gto., correspondiente al ejercicio fiscal del año 2020.</w:t>
      </w:r>
    </w:p>
    <w:p w14:paraId="067EAEAC" w14:textId="77777777" w:rsidR="00D240B1" w:rsidRPr="00D240B1" w:rsidRDefault="00D240B1" w:rsidP="00D240B1">
      <w:pPr>
        <w:ind w:firstLine="708"/>
        <w:jc w:val="both"/>
        <w:rPr>
          <w:rFonts w:ascii="Abadi" w:hAnsi="Abadi" w:cs="Arial"/>
          <w:sz w:val="21"/>
          <w:szCs w:val="21"/>
          <w:lang w:val="es-MX" w:eastAsia="x-none"/>
        </w:rPr>
      </w:pPr>
    </w:p>
    <w:p w14:paraId="44FFB73A" w14:textId="77777777" w:rsidR="00D240B1" w:rsidRPr="00D240B1" w:rsidRDefault="00D240B1" w:rsidP="00D240B1">
      <w:pPr>
        <w:ind w:firstLine="708"/>
        <w:jc w:val="both"/>
        <w:rPr>
          <w:rFonts w:ascii="Abadi" w:hAnsi="Abadi" w:cs="Arial"/>
          <w:bCs/>
          <w:sz w:val="21"/>
          <w:szCs w:val="21"/>
          <w:lang w:val="es-MX" w:eastAsia="x-none"/>
        </w:rPr>
      </w:pPr>
      <w:r w:rsidRPr="00D240B1">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D240B1">
        <w:rPr>
          <w:rFonts w:ascii="Abadi" w:hAnsi="Abadi" w:cs="Arial"/>
          <w:bCs/>
          <w:sz w:val="21"/>
          <w:szCs w:val="21"/>
          <w:lang w:val="es-MX" w:eastAsia="x-none"/>
        </w:rPr>
        <w:t>el 5 de mayo de 2022 para su estudio y dictamen, siendo radicado el 12 de mayo del año en curso.</w:t>
      </w:r>
    </w:p>
    <w:p w14:paraId="2125157F" w14:textId="77777777" w:rsidR="00D240B1" w:rsidRPr="00D240B1" w:rsidRDefault="00D240B1" w:rsidP="00D240B1">
      <w:pPr>
        <w:ind w:firstLine="708"/>
        <w:jc w:val="both"/>
        <w:rPr>
          <w:rFonts w:ascii="Abadi" w:hAnsi="Abadi" w:cs="Arial"/>
          <w:bCs/>
          <w:sz w:val="21"/>
          <w:szCs w:val="21"/>
          <w:lang w:val="es-MX" w:eastAsia="x-none"/>
        </w:rPr>
      </w:pPr>
    </w:p>
    <w:p w14:paraId="26B6726B" w14:textId="77777777" w:rsidR="00D240B1" w:rsidRPr="00D240B1" w:rsidRDefault="00D240B1" w:rsidP="00D240B1">
      <w:pPr>
        <w:ind w:firstLine="708"/>
        <w:jc w:val="both"/>
        <w:rPr>
          <w:rFonts w:ascii="Abadi" w:hAnsi="Abadi" w:cs="Arial"/>
          <w:sz w:val="21"/>
          <w:szCs w:val="21"/>
          <w:lang w:val="es-MX" w:eastAsia="x-none"/>
        </w:rPr>
      </w:pPr>
    </w:p>
    <w:p w14:paraId="40503F13" w14:textId="77777777" w:rsidR="00D240B1" w:rsidRPr="00D240B1" w:rsidRDefault="00D240B1" w:rsidP="00D240B1">
      <w:pPr>
        <w:ind w:firstLine="708"/>
        <w:jc w:val="both"/>
        <w:rPr>
          <w:rFonts w:ascii="Abadi" w:hAnsi="Abadi" w:cs="Arial"/>
          <w:b/>
          <w:bCs/>
          <w:sz w:val="21"/>
          <w:szCs w:val="21"/>
          <w:lang w:val="es-MX" w:eastAsia="x-none"/>
        </w:rPr>
      </w:pPr>
      <w:r w:rsidRPr="00D240B1">
        <w:rPr>
          <w:rFonts w:ascii="Abadi" w:hAnsi="Abadi" w:cs="Arial"/>
          <w:b/>
          <w:bCs/>
          <w:sz w:val="21"/>
          <w:szCs w:val="21"/>
          <w:lang w:val="es-MX" w:eastAsia="x-none"/>
        </w:rPr>
        <w:t>III. Procedimiento de Revisión:</w:t>
      </w:r>
    </w:p>
    <w:p w14:paraId="61908B53" w14:textId="77777777" w:rsidR="00D240B1" w:rsidRPr="00D240B1" w:rsidRDefault="00D240B1" w:rsidP="00D240B1">
      <w:pPr>
        <w:ind w:firstLine="708"/>
        <w:jc w:val="both"/>
        <w:rPr>
          <w:rFonts w:ascii="Abadi" w:hAnsi="Abadi" w:cs="Arial"/>
          <w:sz w:val="21"/>
          <w:szCs w:val="21"/>
          <w:lang w:val="es-MX" w:eastAsia="x-none"/>
        </w:rPr>
      </w:pPr>
    </w:p>
    <w:p w14:paraId="013DDDAD"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La revisión de la cuenta pública municipal de Villagrán, Gto.,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3D6DE640" w14:textId="77777777" w:rsidR="00D240B1" w:rsidRPr="00D240B1" w:rsidRDefault="00D240B1" w:rsidP="00D240B1">
      <w:pPr>
        <w:ind w:firstLine="708"/>
        <w:jc w:val="both"/>
        <w:rPr>
          <w:rFonts w:ascii="Abadi" w:hAnsi="Abadi" w:cs="Arial"/>
          <w:sz w:val="21"/>
          <w:szCs w:val="21"/>
          <w:lang w:eastAsia="x-none"/>
        </w:rPr>
      </w:pPr>
    </w:p>
    <w:p w14:paraId="3C270C21"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41091BFD" w14:textId="77777777" w:rsidR="00D240B1" w:rsidRPr="00D240B1" w:rsidRDefault="00D240B1" w:rsidP="00D240B1">
      <w:pPr>
        <w:ind w:firstLine="708"/>
        <w:jc w:val="both"/>
        <w:rPr>
          <w:rFonts w:ascii="Abadi" w:hAnsi="Abadi" w:cs="Arial"/>
          <w:sz w:val="21"/>
          <w:szCs w:val="21"/>
          <w:lang w:val="es-MX" w:eastAsia="x-none"/>
        </w:rPr>
      </w:pPr>
    </w:p>
    <w:p w14:paraId="15839620"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022D2E40" w14:textId="77777777" w:rsidR="00D240B1" w:rsidRPr="00D240B1" w:rsidRDefault="00D240B1" w:rsidP="00D240B1">
      <w:pPr>
        <w:jc w:val="both"/>
        <w:rPr>
          <w:rFonts w:ascii="Abadi" w:hAnsi="Abadi" w:cs="Arial"/>
          <w:sz w:val="21"/>
          <w:szCs w:val="21"/>
          <w:lang w:val="es-MX" w:eastAsia="x-none"/>
        </w:rPr>
      </w:pPr>
    </w:p>
    <w:p w14:paraId="1A53F2A4"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2190498F" w14:textId="77777777" w:rsidR="00D240B1" w:rsidRPr="00D240B1" w:rsidRDefault="00D240B1" w:rsidP="00D240B1">
      <w:pPr>
        <w:ind w:firstLine="708"/>
        <w:jc w:val="both"/>
        <w:rPr>
          <w:rFonts w:ascii="Abadi" w:hAnsi="Abadi" w:cs="Arial"/>
          <w:sz w:val="21"/>
          <w:szCs w:val="21"/>
          <w:lang w:val="es-MX" w:eastAsia="x-none"/>
        </w:rPr>
      </w:pPr>
    </w:p>
    <w:p w14:paraId="3762C479" w14:textId="77777777" w:rsidR="00D240B1" w:rsidRPr="00D240B1" w:rsidRDefault="00D240B1" w:rsidP="00D240B1">
      <w:pPr>
        <w:ind w:firstLine="705"/>
        <w:jc w:val="both"/>
        <w:rPr>
          <w:rFonts w:ascii="Abadi" w:hAnsi="Abadi" w:cs="Arial"/>
          <w:sz w:val="21"/>
          <w:szCs w:val="21"/>
          <w:lang w:val="es-MX" w:eastAsia="x-none"/>
        </w:rPr>
      </w:pPr>
      <w:r w:rsidRPr="00D240B1">
        <w:rPr>
          <w:rFonts w:ascii="Abadi" w:hAnsi="Abadi" w:cs="Arial"/>
          <w:sz w:val="21"/>
          <w:szCs w:val="21"/>
          <w:lang w:val="es-MX" w:eastAsia="x-none"/>
        </w:rPr>
        <w:t>El informe de resultados establece que se practicó la revisión de la cuenta pública respecto de las operaciones realizadas por la administración municipal de Villagrán, Gto., correspondientes al ejercicio fiscal 2020, en lo referente a los apartados de ingresos y egresos.</w:t>
      </w:r>
    </w:p>
    <w:p w14:paraId="63182168" w14:textId="77777777" w:rsidR="00D240B1" w:rsidRPr="00D240B1" w:rsidRDefault="00D240B1" w:rsidP="00D240B1">
      <w:pPr>
        <w:ind w:firstLine="705"/>
        <w:jc w:val="both"/>
        <w:rPr>
          <w:rFonts w:ascii="Abadi" w:hAnsi="Abadi" w:cs="Arial"/>
          <w:sz w:val="21"/>
          <w:szCs w:val="21"/>
          <w:lang w:val="es-MX" w:eastAsia="x-none"/>
        </w:rPr>
      </w:pPr>
    </w:p>
    <w:p w14:paraId="37EA5BE8" w14:textId="1C7E7781" w:rsidR="00D240B1" w:rsidRPr="00D240B1" w:rsidRDefault="00D240B1" w:rsidP="00D240B1">
      <w:pPr>
        <w:autoSpaceDE w:val="0"/>
        <w:autoSpaceDN w:val="0"/>
        <w:adjustRightInd w:val="0"/>
        <w:ind w:firstLine="708"/>
        <w:jc w:val="both"/>
        <w:rPr>
          <w:rFonts w:ascii="Abadi" w:hAnsi="Abadi" w:cs="Arial"/>
          <w:sz w:val="21"/>
          <w:szCs w:val="21"/>
          <w:lang w:val="es-MX" w:eastAsia="x-none"/>
        </w:rPr>
      </w:pPr>
      <w:r w:rsidRPr="00D240B1">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34D49A8A" w14:textId="77777777" w:rsidR="00D240B1" w:rsidRPr="00D240B1" w:rsidRDefault="00D240B1" w:rsidP="00D240B1">
      <w:pPr>
        <w:ind w:firstLine="708"/>
        <w:jc w:val="both"/>
        <w:rPr>
          <w:rFonts w:ascii="Abadi" w:hAnsi="Abadi" w:cs="Arial"/>
          <w:sz w:val="21"/>
          <w:szCs w:val="21"/>
          <w:lang w:val="es-MX" w:eastAsia="x-none"/>
        </w:rPr>
      </w:pPr>
    </w:p>
    <w:p w14:paraId="5B397001" w14:textId="77777777"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458AC854" w14:textId="77777777" w:rsidR="00D240B1" w:rsidRPr="00D240B1" w:rsidRDefault="00D240B1" w:rsidP="00D240B1">
      <w:pPr>
        <w:ind w:firstLine="708"/>
        <w:jc w:val="both"/>
        <w:rPr>
          <w:rFonts w:ascii="Abadi" w:hAnsi="Abadi" w:cs="Arial"/>
          <w:sz w:val="21"/>
          <w:szCs w:val="21"/>
          <w:lang w:val="es-MX" w:eastAsia="x-none"/>
        </w:rPr>
      </w:pPr>
    </w:p>
    <w:p w14:paraId="783422EB" w14:textId="77777777" w:rsidR="00D240B1" w:rsidRPr="00D240B1" w:rsidRDefault="00D240B1" w:rsidP="00D240B1">
      <w:pPr>
        <w:ind w:firstLine="708"/>
        <w:jc w:val="both"/>
        <w:rPr>
          <w:rFonts w:ascii="Abadi" w:hAnsi="Abadi" w:cs="Arial"/>
          <w:sz w:val="21"/>
          <w:szCs w:val="21"/>
        </w:rPr>
      </w:pPr>
      <w:r w:rsidRPr="00D240B1">
        <w:rPr>
          <w:rFonts w:ascii="Abadi" w:hAnsi="Abadi" w:cs="Arial"/>
          <w:sz w:val="21"/>
          <w:szCs w:val="21"/>
        </w:rPr>
        <w:t>El 18 de agosto de 2021 se notificó al presidente municipal de Villagrán, Gto., la orden de inicio del procedimiento de revisión de la cuenta pública.</w:t>
      </w:r>
    </w:p>
    <w:p w14:paraId="032C7A80" w14:textId="77777777" w:rsidR="00D240B1" w:rsidRPr="00D240B1" w:rsidRDefault="00D240B1" w:rsidP="00D240B1">
      <w:pPr>
        <w:ind w:firstLine="708"/>
        <w:jc w:val="both"/>
        <w:rPr>
          <w:rFonts w:ascii="Abadi" w:hAnsi="Abadi" w:cs="Arial"/>
          <w:sz w:val="21"/>
          <w:szCs w:val="21"/>
        </w:rPr>
      </w:pPr>
    </w:p>
    <w:p w14:paraId="5C642DFB" w14:textId="77777777" w:rsidR="00D240B1" w:rsidRPr="00D240B1" w:rsidRDefault="00D240B1" w:rsidP="00D240B1">
      <w:pPr>
        <w:ind w:firstLine="708"/>
        <w:jc w:val="both"/>
        <w:rPr>
          <w:rFonts w:ascii="Abadi" w:hAnsi="Abadi" w:cs="Arial"/>
          <w:sz w:val="21"/>
          <w:szCs w:val="21"/>
        </w:rPr>
      </w:pPr>
      <w:r w:rsidRPr="00D240B1">
        <w:rPr>
          <w:rFonts w:ascii="Abadi" w:hAnsi="Abadi" w:cs="Arial"/>
          <w:sz w:val="21"/>
          <w:szCs w:val="21"/>
        </w:rPr>
        <w:t>Posteriormente, en fechas 30 de noviembre de 2021 y 6 de enero de 2022, se notificó al presidente municipal de Villagrán, Gto., la suspensión del plazo de la revisión materia del presente dictamen, de conformidad con lo establecido en los Acuerdos de Suspensión de Plazos publicados en el Periódico Oficial del Gobierno del Estado de Guanajuato los días 19 de noviembre y 17 de diciembre de 2021.</w:t>
      </w:r>
    </w:p>
    <w:p w14:paraId="0A44D9D8" w14:textId="77777777" w:rsidR="00D240B1" w:rsidRPr="00D240B1" w:rsidRDefault="00D240B1" w:rsidP="00D240B1">
      <w:pPr>
        <w:ind w:firstLine="708"/>
        <w:jc w:val="both"/>
        <w:rPr>
          <w:rFonts w:ascii="Abadi" w:hAnsi="Abadi" w:cs="Arial"/>
          <w:sz w:val="21"/>
          <w:szCs w:val="21"/>
        </w:rPr>
      </w:pPr>
    </w:p>
    <w:p w14:paraId="0E65EDEB" w14:textId="77777777" w:rsidR="00D240B1" w:rsidRPr="00D240B1" w:rsidRDefault="00D240B1" w:rsidP="00D240B1">
      <w:pPr>
        <w:ind w:firstLine="708"/>
        <w:jc w:val="both"/>
        <w:rPr>
          <w:rFonts w:ascii="Abadi" w:hAnsi="Abadi" w:cs="Arial"/>
          <w:sz w:val="21"/>
          <w:szCs w:val="21"/>
        </w:rPr>
      </w:pPr>
      <w:r w:rsidRPr="00D240B1">
        <w:rPr>
          <w:rFonts w:ascii="Abadi" w:hAnsi="Abadi" w:cs="Arial"/>
          <w:sz w:val="21"/>
          <w:szCs w:val="21"/>
        </w:rPr>
        <w:t>El 9 de marzo de 2022 se notificó al presidente municipal de Villagrán, Gto., el pliego de observaciones y recomendaciones derivado de la revisión practicada a la cuenta pública municipal de Villagrán, Gto., correspondiente al ejercicio fiscal del año 2020, al cual se dio respuesta el 30 de marzo de 2022 por parte del referido funcionario municipal.</w:t>
      </w:r>
    </w:p>
    <w:p w14:paraId="7764F78E" w14:textId="77777777" w:rsidR="00D240B1" w:rsidRPr="00D240B1" w:rsidRDefault="00D240B1" w:rsidP="00D240B1">
      <w:pPr>
        <w:ind w:firstLine="708"/>
        <w:jc w:val="both"/>
        <w:rPr>
          <w:rFonts w:ascii="Abadi" w:hAnsi="Abadi" w:cs="Arial"/>
          <w:sz w:val="21"/>
          <w:szCs w:val="21"/>
        </w:rPr>
      </w:pPr>
    </w:p>
    <w:p w14:paraId="004ED446" w14:textId="540AF444" w:rsid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es-MX" w:eastAsia="x-none"/>
        </w:rPr>
        <w:t xml:space="preserve">El 6 de abril de 2022, el informe de resultados se notificó al presidente municipal de Villagrán, Gto., para que, en su caso, hiciera valer el recurso de reconsideración previsto por los artículos del 48 al 55 de </w:t>
      </w:r>
      <w:smartTag w:uri="urn:schemas-microsoft-com:office:smarttags" w:element="PersonName">
        <w:smartTagPr>
          <w:attr w:name="ProductID" w:val="la Ley"/>
        </w:smartTagPr>
        <w:r w:rsidRPr="00D240B1">
          <w:rPr>
            <w:rFonts w:ascii="Abadi" w:hAnsi="Abadi" w:cs="Arial"/>
            <w:sz w:val="21"/>
            <w:szCs w:val="21"/>
            <w:lang w:val="es-MX" w:eastAsia="x-none"/>
          </w:rPr>
          <w:t>la Ley</w:t>
        </w:r>
      </w:smartTag>
      <w:r w:rsidRPr="00D240B1">
        <w:rPr>
          <w:rFonts w:ascii="Abadi" w:hAnsi="Abadi" w:cs="Arial"/>
          <w:sz w:val="21"/>
          <w:szCs w:val="21"/>
          <w:lang w:val="es-MX" w:eastAsia="x-none"/>
        </w:rPr>
        <w:t xml:space="preserve"> de Fiscalización Superior del Estado de Guanajuato, haciéndole saber que contaba con un término de cinco días hábiles para tal efecto. Con lo anterior, se dio cumplimiento a la fracción IV del artículo 37 de la citada Ley.</w:t>
      </w:r>
    </w:p>
    <w:p w14:paraId="4349C7F2" w14:textId="77777777" w:rsidR="00D240B1" w:rsidRPr="00D240B1" w:rsidRDefault="00D240B1" w:rsidP="00D240B1">
      <w:pPr>
        <w:ind w:firstLine="708"/>
        <w:jc w:val="both"/>
        <w:rPr>
          <w:rFonts w:ascii="Abadi" w:hAnsi="Abadi" w:cs="Arial"/>
          <w:sz w:val="21"/>
          <w:szCs w:val="21"/>
          <w:lang w:val="es-MX" w:eastAsia="x-none"/>
        </w:rPr>
      </w:pPr>
    </w:p>
    <w:p w14:paraId="6B3229AA" w14:textId="77777777" w:rsidR="00D240B1" w:rsidRPr="00D240B1" w:rsidRDefault="00D240B1" w:rsidP="00D240B1">
      <w:pPr>
        <w:ind w:firstLine="708"/>
        <w:jc w:val="both"/>
        <w:rPr>
          <w:rFonts w:ascii="Abadi" w:hAnsi="Abadi" w:cs="Arial"/>
          <w:sz w:val="21"/>
          <w:szCs w:val="21"/>
          <w:lang w:eastAsia="x-none"/>
        </w:rPr>
      </w:pPr>
      <w:r w:rsidRPr="00D240B1">
        <w:rPr>
          <w:rFonts w:ascii="Abadi" w:hAnsi="Abadi" w:cs="Arial"/>
          <w:sz w:val="21"/>
          <w:szCs w:val="21"/>
          <w:lang w:eastAsia="x-none"/>
        </w:rPr>
        <w:t>El 20 de abril de 2022, el tesorero municipal de Villagrán, Gto., interpuso recurso de reconsideración en contra del informe de resultados materia del presente dictamen, mismo que se tuvo por no interpuesto a través del acuerdo del Auditor Superior del Estado de fecha 25 de abril de 2022, al no estar suscrito por el titular del sujeto de fiscalización, ni demostrarse de alguna manera que se le haya delegado la atribución correspondiente al recurrente, de conformidad con lo previsto en el artículo 51, fracción I y último párrafo de la Ley de Fiscalización Superior del Estado de Guanajuato; aunado a que no se advierte que el citado funcionario hubiera tenido intervención previa en la revisión que nos ocupa. Dicho acuerdo se notificó al tesorero municipal de Villagrán, Gto., el 28 de abril de 2022.</w:t>
      </w:r>
    </w:p>
    <w:p w14:paraId="7E755BB9" w14:textId="77777777" w:rsidR="00D240B1" w:rsidRPr="00D240B1" w:rsidRDefault="00D240B1" w:rsidP="00D240B1">
      <w:pPr>
        <w:ind w:firstLine="708"/>
        <w:jc w:val="both"/>
        <w:rPr>
          <w:rFonts w:ascii="Abadi" w:hAnsi="Abadi" w:cs="Arial"/>
          <w:sz w:val="21"/>
          <w:szCs w:val="21"/>
          <w:lang w:val="es-MX" w:eastAsia="x-none"/>
        </w:rPr>
      </w:pPr>
    </w:p>
    <w:p w14:paraId="774CC1F6" w14:textId="77777777" w:rsidR="00D240B1" w:rsidRPr="00D240B1" w:rsidRDefault="00D240B1" w:rsidP="00D240B1">
      <w:pPr>
        <w:ind w:firstLine="708"/>
        <w:jc w:val="both"/>
        <w:rPr>
          <w:rFonts w:ascii="Abadi" w:hAnsi="Abadi" w:cs="Arial"/>
          <w:b/>
          <w:bCs/>
          <w:sz w:val="21"/>
          <w:szCs w:val="21"/>
          <w:lang w:eastAsia="x-none"/>
        </w:rPr>
      </w:pPr>
      <w:r w:rsidRPr="00D240B1">
        <w:rPr>
          <w:rFonts w:ascii="Abadi" w:hAnsi="Abadi" w:cs="Arial"/>
          <w:b/>
          <w:bCs/>
          <w:sz w:val="21"/>
          <w:szCs w:val="21"/>
          <w:lang w:eastAsia="x-none"/>
        </w:rPr>
        <w:t>IV. Contenido del Informe de Resultados:</w:t>
      </w:r>
    </w:p>
    <w:p w14:paraId="56BA0103" w14:textId="77777777" w:rsidR="00D240B1" w:rsidRPr="00D240B1" w:rsidRDefault="00D240B1" w:rsidP="00D240B1">
      <w:pPr>
        <w:jc w:val="both"/>
        <w:rPr>
          <w:rFonts w:ascii="Abadi" w:hAnsi="Abadi" w:cs="Arial"/>
          <w:b/>
          <w:bCs/>
          <w:sz w:val="21"/>
          <w:szCs w:val="21"/>
          <w:lang w:eastAsia="x-none"/>
        </w:rPr>
      </w:pPr>
    </w:p>
    <w:p w14:paraId="38C5B9AA" w14:textId="77777777" w:rsidR="00D240B1" w:rsidRPr="00D240B1" w:rsidRDefault="00D240B1" w:rsidP="00D240B1">
      <w:pPr>
        <w:jc w:val="both"/>
        <w:rPr>
          <w:rFonts w:ascii="Abadi" w:hAnsi="Abadi" w:cs="Arial"/>
          <w:sz w:val="21"/>
          <w:szCs w:val="21"/>
          <w:lang w:eastAsia="x-none"/>
        </w:rPr>
      </w:pPr>
      <w:r w:rsidRPr="00D240B1">
        <w:rPr>
          <w:rFonts w:ascii="Abadi" w:hAnsi="Abadi" w:cs="Arial"/>
          <w:b/>
          <w:bCs/>
          <w:sz w:val="21"/>
          <w:szCs w:val="21"/>
          <w:lang w:eastAsia="x-none"/>
        </w:rPr>
        <w:tab/>
      </w:r>
      <w:r w:rsidRPr="00D240B1">
        <w:rPr>
          <w:rFonts w:ascii="Abadi" w:hAnsi="Abadi" w:cs="Arial"/>
          <w:bCs/>
          <w:sz w:val="21"/>
          <w:szCs w:val="21"/>
          <w:lang w:eastAsia="x-none"/>
        </w:rPr>
        <w:t>En cumplimiento a lo establecido por el</w:t>
      </w:r>
      <w:r w:rsidRPr="00D240B1">
        <w:rPr>
          <w:rFonts w:ascii="Abadi" w:hAnsi="Abadi" w:cs="Arial"/>
          <w:sz w:val="21"/>
          <w:szCs w:val="21"/>
          <w:lang w:eastAsia="x-none"/>
        </w:rPr>
        <w:t xml:space="preserve"> artículo 37, fracción III de la Ley de Fiscalización Superior del Estado, el informe de resultados contiene los siguientes apartados:</w:t>
      </w:r>
    </w:p>
    <w:p w14:paraId="147085FA" w14:textId="77777777" w:rsidR="00D240B1" w:rsidRPr="00D240B1" w:rsidRDefault="00D240B1" w:rsidP="00D240B1">
      <w:pPr>
        <w:jc w:val="both"/>
        <w:rPr>
          <w:rFonts w:ascii="Abadi" w:hAnsi="Abadi" w:cs="Arial"/>
          <w:sz w:val="21"/>
          <w:szCs w:val="21"/>
          <w:lang w:eastAsia="x-none"/>
        </w:rPr>
      </w:pPr>
    </w:p>
    <w:p w14:paraId="3BD08BC8" w14:textId="77777777" w:rsidR="00D240B1" w:rsidRPr="00D240B1" w:rsidRDefault="00D240B1" w:rsidP="001A28E5">
      <w:pPr>
        <w:numPr>
          <w:ilvl w:val="0"/>
          <w:numId w:val="97"/>
        </w:numPr>
        <w:jc w:val="both"/>
        <w:rPr>
          <w:rFonts w:ascii="Abadi" w:hAnsi="Abadi" w:cs="Arial"/>
          <w:b/>
          <w:bCs/>
          <w:sz w:val="21"/>
          <w:szCs w:val="21"/>
          <w:lang w:eastAsia="x-none"/>
        </w:rPr>
      </w:pPr>
      <w:r w:rsidRPr="00D240B1">
        <w:rPr>
          <w:rFonts w:ascii="Abadi" w:hAnsi="Abadi" w:cs="Arial"/>
          <w:b/>
          <w:bCs/>
          <w:sz w:val="21"/>
          <w:szCs w:val="21"/>
          <w:lang w:eastAsia="x-none"/>
        </w:rPr>
        <w:t>Introducción.</w:t>
      </w:r>
    </w:p>
    <w:p w14:paraId="4A8F47D4" w14:textId="77777777" w:rsidR="00D240B1" w:rsidRPr="00D240B1" w:rsidRDefault="00D240B1" w:rsidP="00D240B1">
      <w:pPr>
        <w:ind w:left="705"/>
        <w:jc w:val="both"/>
        <w:rPr>
          <w:rFonts w:ascii="Abadi" w:hAnsi="Abadi" w:cs="Arial"/>
          <w:b/>
          <w:bCs/>
          <w:sz w:val="21"/>
          <w:szCs w:val="21"/>
          <w:lang w:eastAsia="x-none"/>
        </w:rPr>
      </w:pPr>
    </w:p>
    <w:p w14:paraId="75C3777D" w14:textId="77777777" w:rsidR="00D240B1" w:rsidRPr="00D240B1" w:rsidRDefault="00D240B1" w:rsidP="00D240B1">
      <w:pPr>
        <w:ind w:firstLine="705"/>
        <w:jc w:val="both"/>
        <w:rPr>
          <w:rFonts w:ascii="Abadi" w:hAnsi="Abadi" w:cs="Arial"/>
          <w:sz w:val="21"/>
          <w:szCs w:val="21"/>
          <w:lang w:eastAsia="x-none"/>
        </w:rPr>
      </w:pPr>
      <w:r w:rsidRPr="00D240B1">
        <w:rPr>
          <w:rFonts w:ascii="Abadi" w:hAnsi="Abadi" w:cs="Arial"/>
          <w:sz w:val="21"/>
          <w:szCs w:val="21"/>
          <w:lang w:eastAsia="x-none"/>
        </w:rPr>
        <w:t xml:space="preserve">Por lo que se refiere a este punto, se establecen los criterios de selección; el objetivo de la revisión; el alcance de la revisión respecto a los apartados de ingresos y egresos, </w:t>
      </w:r>
      <w:r w:rsidRPr="00D240B1">
        <w:rPr>
          <w:rFonts w:ascii="Abadi" w:hAnsi="Abadi" w:cs="Arial"/>
          <w:sz w:val="21"/>
          <w:szCs w:val="21"/>
          <w:lang w:val="es-MX" w:eastAsia="x-none"/>
        </w:rPr>
        <w:t>precisando que el detalle de los alcances de la revisión se consigna en el Anexo 01 del informe de resultados.</w:t>
      </w:r>
    </w:p>
    <w:p w14:paraId="66CBF0B1" w14:textId="77777777" w:rsidR="00D240B1" w:rsidRPr="00D240B1" w:rsidRDefault="00D240B1" w:rsidP="00D240B1">
      <w:pPr>
        <w:ind w:firstLine="705"/>
        <w:jc w:val="both"/>
        <w:rPr>
          <w:rFonts w:ascii="Abadi" w:hAnsi="Abadi" w:cs="Arial"/>
          <w:sz w:val="21"/>
          <w:szCs w:val="21"/>
          <w:lang w:eastAsia="x-none"/>
        </w:rPr>
      </w:pPr>
    </w:p>
    <w:p w14:paraId="38DDA0ED" w14:textId="77777777" w:rsidR="00D240B1" w:rsidRPr="00D240B1" w:rsidRDefault="00D240B1" w:rsidP="00D240B1">
      <w:pPr>
        <w:ind w:firstLine="705"/>
        <w:jc w:val="both"/>
        <w:rPr>
          <w:rFonts w:ascii="Abadi" w:hAnsi="Abadi" w:cs="Arial"/>
          <w:sz w:val="21"/>
          <w:szCs w:val="21"/>
          <w:lang w:eastAsia="x-none"/>
        </w:rPr>
      </w:pPr>
      <w:r w:rsidRPr="00D240B1">
        <w:rPr>
          <w:rFonts w:ascii="Abadi" w:hAnsi="Abadi" w:cs="Arial"/>
          <w:sz w:val="21"/>
          <w:szCs w:val="21"/>
          <w:lang w:eastAsia="x-none"/>
        </w:rPr>
        <w:t>También en este apartado se precisan los procedimientos de auditoría aplicados, siendo estos: inspección, observación, confirmación externa, recálculo, procedimientos analíticos, re ejecución e indagación.</w:t>
      </w:r>
    </w:p>
    <w:p w14:paraId="297369C8" w14:textId="77777777" w:rsidR="00D240B1" w:rsidRPr="00D240B1" w:rsidRDefault="00D240B1" w:rsidP="00D240B1">
      <w:pPr>
        <w:ind w:firstLine="705"/>
        <w:jc w:val="both"/>
        <w:rPr>
          <w:rFonts w:ascii="Abadi" w:hAnsi="Abadi" w:cs="Arial"/>
          <w:sz w:val="21"/>
          <w:szCs w:val="21"/>
          <w:lang w:eastAsia="x-none"/>
        </w:rPr>
      </w:pPr>
    </w:p>
    <w:p w14:paraId="4BADF4A6" w14:textId="77777777" w:rsidR="00D240B1" w:rsidRPr="00D240B1" w:rsidRDefault="00D240B1" w:rsidP="00D240B1">
      <w:pPr>
        <w:ind w:firstLine="705"/>
        <w:jc w:val="both"/>
        <w:rPr>
          <w:rFonts w:ascii="Abadi" w:hAnsi="Abadi" w:cs="Arial"/>
          <w:sz w:val="21"/>
          <w:szCs w:val="21"/>
          <w:lang w:eastAsia="x-none"/>
        </w:rPr>
      </w:pPr>
      <w:r w:rsidRPr="00D240B1">
        <w:rPr>
          <w:rFonts w:ascii="Abadi" w:hAnsi="Abadi" w:cs="Arial"/>
          <w:sz w:val="21"/>
          <w:szCs w:val="21"/>
          <w:lang w:eastAsia="x-none"/>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6B8F59B8" w14:textId="77777777" w:rsidR="00D240B1" w:rsidRPr="00D240B1" w:rsidRDefault="00D240B1" w:rsidP="00D240B1">
      <w:pPr>
        <w:jc w:val="both"/>
        <w:rPr>
          <w:rFonts w:ascii="Abadi" w:hAnsi="Abadi"/>
          <w:i/>
          <w:iCs/>
          <w:sz w:val="21"/>
          <w:szCs w:val="21"/>
          <w:lang w:eastAsia="x-none"/>
        </w:rPr>
      </w:pPr>
    </w:p>
    <w:p w14:paraId="2E476174" w14:textId="4286BB07" w:rsidR="00D240B1" w:rsidRPr="00D240B1" w:rsidRDefault="00D240B1" w:rsidP="00D240B1">
      <w:pPr>
        <w:jc w:val="both"/>
        <w:rPr>
          <w:rFonts w:ascii="Abadi" w:hAnsi="Abadi" w:cs="Arial"/>
          <w:i/>
          <w:iCs/>
          <w:sz w:val="21"/>
          <w:szCs w:val="21"/>
          <w:lang w:eastAsia="x-none"/>
        </w:rPr>
      </w:pPr>
      <w:r w:rsidRPr="00D240B1">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03725E4F" w14:textId="77777777" w:rsidR="00D240B1" w:rsidRPr="00D240B1" w:rsidRDefault="00D240B1" w:rsidP="00D240B1">
      <w:pPr>
        <w:jc w:val="both"/>
        <w:rPr>
          <w:rFonts w:ascii="Abadi" w:hAnsi="Abadi" w:cs="Arial"/>
          <w:i/>
          <w:iCs/>
          <w:sz w:val="21"/>
          <w:szCs w:val="21"/>
          <w:lang w:eastAsia="x-none"/>
        </w:rPr>
      </w:pPr>
    </w:p>
    <w:p w14:paraId="5598B4E5" w14:textId="77777777" w:rsidR="00D240B1" w:rsidRPr="00D240B1" w:rsidRDefault="00D240B1" w:rsidP="00D240B1">
      <w:pPr>
        <w:jc w:val="both"/>
        <w:rPr>
          <w:rFonts w:ascii="Abadi" w:hAnsi="Abadi" w:cs="Arial"/>
          <w:i/>
          <w:iCs/>
          <w:sz w:val="21"/>
          <w:szCs w:val="21"/>
          <w:lang w:eastAsia="x-none"/>
        </w:rPr>
      </w:pPr>
      <w:r w:rsidRPr="00D240B1">
        <w:rPr>
          <w:rFonts w:ascii="Abadi" w:hAnsi="Abadi" w:cs="Arial"/>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5E6097DF" w14:textId="77777777" w:rsidR="00D240B1" w:rsidRPr="00D240B1" w:rsidRDefault="00D240B1" w:rsidP="00D240B1">
      <w:pPr>
        <w:jc w:val="both"/>
        <w:rPr>
          <w:rFonts w:ascii="Abadi" w:hAnsi="Abadi" w:cs="Arial"/>
          <w:i/>
          <w:iCs/>
          <w:sz w:val="21"/>
          <w:szCs w:val="21"/>
          <w:lang w:eastAsia="x-none"/>
        </w:rPr>
      </w:pPr>
    </w:p>
    <w:p w14:paraId="3AAF2851" w14:textId="77777777" w:rsidR="00D240B1" w:rsidRPr="00D240B1" w:rsidRDefault="00D240B1" w:rsidP="00D240B1">
      <w:pPr>
        <w:jc w:val="both"/>
        <w:rPr>
          <w:rFonts w:ascii="Abadi" w:hAnsi="Abadi" w:cs="Arial"/>
          <w:i/>
          <w:iCs/>
          <w:sz w:val="21"/>
          <w:szCs w:val="21"/>
          <w:lang w:eastAsia="x-none"/>
        </w:rPr>
      </w:pPr>
      <w:r w:rsidRPr="00D240B1">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6CAA9140" w14:textId="77777777" w:rsidR="00D240B1" w:rsidRPr="00D240B1" w:rsidRDefault="00D240B1" w:rsidP="00D240B1">
      <w:pPr>
        <w:jc w:val="both"/>
        <w:rPr>
          <w:rFonts w:ascii="Abadi" w:hAnsi="Abadi" w:cs="Arial"/>
          <w:sz w:val="21"/>
          <w:szCs w:val="21"/>
          <w:lang w:eastAsia="x-none"/>
        </w:rPr>
      </w:pPr>
    </w:p>
    <w:p w14:paraId="66933EAE" w14:textId="77777777" w:rsidR="00D240B1" w:rsidRPr="00D240B1" w:rsidRDefault="00D240B1" w:rsidP="00D240B1">
      <w:pPr>
        <w:ind w:firstLine="705"/>
        <w:jc w:val="both"/>
        <w:rPr>
          <w:rFonts w:ascii="Abadi" w:hAnsi="Abadi" w:cs="Arial"/>
          <w:sz w:val="21"/>
          <w:szCs w:val="21"/>
          <w:lang w:eastAsia="x-none"/>
        </w:rPr>
      </w:pPr>
      <w:r w:rsidRPr="00D240B1">
        <w:rPr>
          <w:rFonts w:ascii="Abadi" w:hAnsi="Abadi" w:cs="Arial"/>
          <w:sz w:val="21"/>
          <w:szCs w:val="21"/>
          <w:lang w:eastAsia="x-none"/>
        </w:rPr>
        <w:t xml:space="preserve">Derivado de lo anterior, en el proceso de auditoría se inspeccionó que los comprobantes fiscales que soportan las erogaciones del ente fiscalizado, no correspondan a contribuyentes que se encuentren en los supuestos previstos en el artículo 69-B del Código Fiscal de la Federación, empresas que facturan operaciones simuladas o inexistentes con el carácter de </w:t>
      </w:r>
      <w:r w:rsidRPr="00D240B1">
        <w:rPr>
          <w:rFonts w:ascii="Abadi" w:hAnsi="Abadi" w:cs="Arial"/>
          <w:i/>
          <w:iCs/>
          <w:sz w:val="21"/>
          <w:szCs w:val="21"/>
          <w:lang w:eastAsia="x-none"/>
        </w:rPr>
        <w:t>«Definitivos»,</w:t>
      </w:r>
      <w:r w:rsidRPr="00D240B1">
        <w:rPr>
          <w:rFonts w:ascii="Abadi" w:hAnsi="Abadi" w:cs="Arial"/>
          <w:sz w:val="21"/>
          <w:szCs w:val="21"/>
          <w:lang w:eastAsia="x-none"/>
        </w:rPr>
        <w:t xml:space="preserve"> emitidas por el Servicio de Administración Tributaria.</w:t>
      </w:r>
    </w:p>
    <w:p w14:paraId="39D891EC" w14:textId="77777777" w:rsidR="00D240B1" w:rsidRPr="00D240B1" w:rsidRDefault="00D240B1" w:rsidP="00D240B1">
      <w:pPr>
        <w:ind w:firstLine="705"/>
        <w:jc w:val="both"/>
        <w:rPr>
          <w:rFonts w:ascii="Abadi" w:hAnsi="Abadi" w:cs="Arial"/>
          <w:sz w:val="21"/>
          <w:szCs w:val="21"/>
          <w:lang w:val="es-MX" w:eastAsia="x-none"/>
        </w:rPr>
      </w:pPr>
    </w:p>
    <w:p w14:paraId="4462D61D" w14:textId="77777777" w:rsidR="00D240B1" w:rsidRPr="00D240B1" w:rsidRDefault="00D240B1" w:rsidP="00D240B1">
      <w:pPr>
        <w:ind w:firstLine="705"/>
        <w:jc w:val="both"/>
        <w:rPr>
          <w:rFonts w:ascii="Abadi" w:hAnsi="Abadi" w:cs="Arial"/>
          <w:sz w:val="21"/>
          <w:szCs w:val="21"/>
          <w:lang w:eastAsia="x-none"/>
        </w:rPr>
      </w:pPr>
      <w:r w:rsidRPr="00D240B1">
        <w:rPr>
          <w:rFonts w:ascii="Abadi" w:hAnsi="Abadi" w:cs="Arial"/>
          <w:sz w:val="21"/>
          <w:szCs w:val="21"/>
          <w:lang w:eastAsia="x-none"/>
        </w:rPr>
        <w:t>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1EBCE609" w14:textId="77777777" w:rsidR="00D240B1" w:rsidRPr="00D240B1" w:rsidRDefault="00D240B1" w:rsidP="00D240B1">
      <w:pPr>
        <w:ind w:firstLine="705"/>
        <w:jc w:val="both"/>
        <w:rPr>
          <w:rFonts w:ascii="Abadi" w:hAnsi="Abadi"/>
          <w:sz w:val="21"/>
          <w:szCs w:val="21"/>
          <w:lang w:eastAsia="x-none"/>
        </w:rPr>
      </w:pPr>
    </w:p>
    <w:p w14:paraId="4FD1B665" w14:textId="77777777" w:rsidR="00D240B1" w:rsidRPr="00D240B1" w:rsidRDefault="00D240B1" w:rsidP="00D240B1">
      <w:pPr>
        <w:ind w:firstLine="705"/>
        <w:jc w:val="both"/>
        <w:rPr>
          <w:rFonts w:ascii="Abadi" w:hAnsi="Abadi" w:cs="Arial"/>
          <w:sz w:val="21"/>
          <w:szCs w:val="21"/>
          <w:lang w:val="es-MX" w:eastAsia="x-none"/>
        </w:rPr>
      </w:pPr>
      <w:r w:rsidRPr="00D240B1">
        <w:rPr>
          <w:rFonts w:ascii="Abadi" w:hAnsi="Abadi" w:cs="Arial"/>
          <w:sz w:val="21"/>
          <w:szCs w:val="21"/>
          <w:lang w:val="es-MX" w:eastAsia="x-none"/>
        </w:rPr>
        <w:t>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fiscalizado;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fiscalizado.</w:t>
      </w:r>
    </w:p>
    <w:p w14:paraId="3B4F1357" w14:textId="77777777" w:rsidR="00D240B1" w:rsidRPr="00D240B1" w:rsidRDefault="00D240B1" w:rsidP="00D240B1">
      <w:pPr>
        <w:ind w:firstLine="705"/>
        <w:jc w:val="both"/>
        <w:rPr>
          <w:rFonts w:ascii="Abadi" w:hAnsi="Abadi" w:cs="Arial"/>
          <w:sz w:val="21"/>
          <w:szCs w:val="21"/>
          <w:lang w:val="es-MX" w:eastAsia="x-none"/>
        </w:rPr>
      </w:pPr>
    </w:p>
    <w:p w14:paraId="63A5B17E" w14:textId="77777777" w:rsidR="00D240B1" w:rsidRPr="00D240B1" w:rsidRDefault="00D240B1" w:rsidP="00D240B1">
      <w:pPr>
        <w:ind w:firstLine="705"/>
        <w:jc w:val="both"/>
        <w:rPr>
          <w:rFonts w:ascii="Abadi" w:hAnsi="Abadi" w:cs="Arial"/>
          <w:sz w:val="21"/>
          <w:szCs w:val="21"/>
          <w:lang w:val="es-MX" w:eastAsia="x-none"/>
        </w:rPr>
      </w:pPr>
      <w:r w:rsidRPr="00D240B1">
        <w:rPr>
          <w:rFonts w:ascii="Abadi" w:hAnsi="Abadi" w:cs="Arial"/>
          <w:sz w:val="21"/>
          <w:szCs w:val="21"/>
          <w:lang w:val="es-MX" w:eastAsia="x-none"/>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Villagrán, Gto., no cumplió con las disposiciones normativas aplicables, de acuerdo a lo que se precisa en el informe de resultados; señalando además que se presentaron limitantes al alcance que se refiere a la aplicación de los procedimientos de inspecciones físicas de bienes adquiridos y confirmación de apoyos. También se refiere que se presentaron limitantes en la aplicación de los procedimientos de auditoría, derivado de la contingencia por la pandemia del virus SARS-CoV2.</w:t>
      </w:r>
    </w:p>
    <w:p w14:paraId="66971426" w14:textId="77777777" w:rsidR="00D240B1" w:rsidRPr="00D240B1" w:rsidRDefault="00D240B1" w:rsidP="00D240B1">
      <w:pPr>
        <w:ind w:firstLine="705"/>
        <w:jc w:val="both"/>
        <w:rPr>
          <w:rFonts w:ascii="Abadi" w:hAnsi="Abadi" w:cs="Arial"/>
          <w:sz w:val="21"/>
          <w:szCs w:val="21"/>
          <w:lang w:val="es-MX" w:eastAsia="x-none"/>
        </w:rPr>
      </w:pPr>
    </w:p>
    <w:p w14:paraId="4CECECCA" w14:textId="77777777" w:rsidR="00D240B1" w:rsidRPr="00D240B1" w:rsidRDefault="00D240B1" w:rsidP="00D240B1">
      <w:pPr>
        <w:ind w:firstLine="705"/>
        <w:jc w:val="both"/>
        <w:rPr>
          <w:rFonts w:ascii="Abadi" w:hAnsi="Abadi" w:cs="Arial"/>
          <w:sz w:val="21"/>
          <w:szCs w:val="21"/>
        </w:rPr>
      </w:pPr>
      <w:r w:rsidRPr="00D240B1">
        <w:rPr>
          <w:rFonts w:ascii="Abadi" w:hAnsi="Abadi" w:cs="Arial"/>
          <w:sz w:val="21"/>
          <w:szCs w:val="21"/>
          <w:lang w:val="es-MX" w:eastAsia="x-none"/>
        </w:rPr>
        <w:t>En cuanto al rubro de resultados de la fiscalización efectuada, se establece el estatus que guardan las observaciones y re</w:t>
      </w:r>
      <w:r w:rsidRPr="00D240B1">
        <w:rPr>
          <w:rFonts w:ascii="Abadi" w:hAnsi="Abadi" w:cs="Arial"/>
          <w:sz w:val="21"/>
          <w:szCs w:val="21"/>
        </w:rPr>
        <w:t xml:space="preserve">comendaciones, las cuales se agrupan bajo su respectivo tipo y rubro, señalando que se determinaron 11 observaciones, mismas que no fueron solventadas. Asimismo, se formuló 1 recomendación que no se atendió. </w:t>
      </w:r>
    </w:p>
    <w:p w14:paraId="3844EC4E" w14:textId="77777777" w:rsidR="00D240B1" w:rsidRPr="00D240B1" w:rsidRDefault="00D240B1" w:rsidP="00D240B1">
      <w:pPr>
        <w:ind w:firstLine="705"/>
        <w:jc w:val="both"/>
        <w:rPr>
          <w:rFonts w:ascii="Abadi" w:hAnsi="Abadi" w:cs="Arial"/>
          <w:sz w:val="21"/>
          <w:szCs w:val="21"/>
          <w:lang w:eastAsia="x-none"/>
        </w:rPr>
      </w:pPr>
    </w:p>
    <w:p w14:paraId="472A4DE4" w14:textId="77777777" w:rsidR="00D240B1" w:rsidRPr="00D240B1" w:rsidRDefault="00D240B1" w:rsidP="00D240B1">
      <w:pPr>
        <w:ind w:firstLine="705"/>
        <w:jc w:val="both"/>
        <w:rPr>
          <w:rFonts w:ascii="Abadi" w:hAnsi="Abadi" w:cs="Arial"/>
          <w:sz w:val="21"/>
          <w:szCs w:val="21"/>
          <w:lang w:val="es-MX" w:eastAsia="x-none"/>
        </w:rPr>
      </w:pPr>
      <w:r w:rsidRPr="00D240B1">
        <w:rPr>
          <w:rFonts w:ascii="Abadi" w:hAnsi="Abadi" w:cs="Arial"/>
          <w:sz w:val="21"/>
          <w:szCs w:val="21"/>
          <w:lang w:val="es-MX" w:eastAsia="x-none"/>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001, 002, 005, 006 y 008, existen importes no solventados por la cuantía que ahí se refiere. </w:t>
      </w:r>
    </w:p>
    <w:p w14:paraId="06BC79F3" w14:textId="77777777" w:rsidR="00D240B1" w:rsidRPr="00D240B1" w:rsidRDefault="00D240B1" w:rsidP="00D240B1">
      <w:pPr>
        <w:jc w:val="both"/>
        <w:rPr>
          <w:rFonts w:ascii="Abadi" w:hAnsi="Abadi" w:cs="Arial"/>
          <w:sz w:val="21"/>
          <w:szCs w:val="21"/>
          <w:lang w:val="es-MX" w:eastAsia="x-none"/>
        </w:rPr>
      </w:pPr>
    </w:p>
    <w:p w14:paraId="079F075E" w14:textId="77777777" w:rsidR="00D240B1" w:rsidRPr="00D240B1" w:rsidRDefault="00D240B1" w:rsidP="00D240B1">
      <w:pPr>
        <w:ind w:firstLine="705"/>
        <w:jc w:val="both"/>
        <w:rPr>
          <w:rFonts w:ascii="Abadi" w:hAnsi="Abadi" w:cs="Arial"/>
          <w:sz w:val="21"/>
          <w:szCs w:val="21"/>
          <w:lang w:eastAsia="x-none"/>
        </w:rPr>
      </w:pPr>
      <w:r w:rsidRPr="00D240B1">
        <w:rPr>
          <w:rFonts w:ascii="Abadi" w:hAnsi="Abadi" w:cs="Arial"/>
          <w:sz w:val="21"/>
          <w:szCs w:val="21"/>
          <w:lang w:eastAsia="x-none"/>
        </w:rPr>
        <w:t>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Villagrán, Gto., celebró operaciones; entre los procedimientos expuestos, se verificó que estas no se encontraran en el listado de Empresas que Facturan Operaciones Simuladas (EFOS) u operaciones inexistentes con el carácter de «</w:t>
      </w:r>
      <w:r w:rsidRPr="00D240B1">
        <w:rPr>
          <w:rFonts w:ascii="Abadi" w:hAnsi="Abadi" w:cs="Arial"/>
          <w:i/>
          <w:iCs/>
          <w:sz w:val="21"/>
          <w:szCs w:val="21"/>
          <w:lang w:eastAsia="x-none"/>
        </w:rPr>
        <w:t>Definitivos»</w:t>
      </w:r>
      <w:r w:rsidRPr="00D240B1">
        <w:rPr>
          <w:rFonts w:ascii="Abadi" w:hAnsi="Abadi" w:cs="Arial"/>
          <w:sz w:val="21"/>
          <w:szCs w:val="21"/>
          <w:lang w:eastAsia="x-none"/>
        </w:rPr>
        <w:t xml:space="preserve"> publicados en el Diario Oficial de la Federación y en el sitio de información estadística del Servicio de Administración Tributaria, concluyendo que no se identificaron empresas clasificadas como EFOS.</w:t>
      </w:r>
    </w:p>
    <w:p w14:paraId="7AEA5B70" w14:textId="77777777" w:rsidR="00D240B1" w:rsidRPr="00D240B1" w:rsidRDefault="00D240B1" w:rsidP="00D240B1">
      <w:pPr>
        <w:ind w:firstLine="705"/>
        <w:jc w:val="both"/>
        <w:rPr>
          <w:rFonts w:ascii="Abadi" w:hAnsi="Abadi" w:cs="Arial"/>
          <w:sz w:val="21"/>
          <w:szCs w:val="21"/>
          <w:lang w:eastAsia="x-none"/>
        </w:rPr>
      </w:pPr>
    </w:p>
    <w:p w14:paraId="0BC2E408" w14:textId="77777777" w:rsidR="00D240B1" w:rsidRPr="00D240B1" w:rsidRDefault="00D240B1" w:rsidP="001A28E5">
      <w:pPr>
        <w:numPr>
          <w:ilvl w:val="0"/>
          <w:numId w:val="97"/>
        </w:numPr>
        <w:tabs>
          <w:tab w:val="num" w:pos="0"/>
        </w:tabs>
        <w:jc w:val="both"/>
        <w:rPr>
          <w:rFonts w:ascii="Abadi" w:hAnsi="Abadi" w:cs="Arial"/>
          <w:b/>
          <w:bCs/>
          <w:sz w:val="21"/>
          <w:szCs w:val="21"/>
          <w:lang w:eastAsia="x-none"/>
        </w:rPr>
      </w:pPr>
      <w:r w:rsidRPr="00D240B1">
        <w:rPr>
          <w:rFonts w:ascii="Abadi" w:hAnsi="Abadi" w:cs="Arial"/>
          <w:b/>
          <w:bCs/>
          <w:sz w:val="21"/>
          <w:szCs w:val="21"/>
          <w:lang w:eastAsia="x-none"/>
        </w:rPr>
        <w:t xml:space="preserve">Observaciones y recomendaciones, la respuesta emitida por el sujeto fiscalizado y la valoración correspondiente. </w:t>
      </w:r>
    </w:p>
    <w:p w14:paraId="4EB2C2A0" w14:textId="77777777" w:rsidR="00D240B1" w:rsidRPr="00D240B1" w:rsidRDefault="00D240B1" w:rsidP="00D240B1">
      <w:pPr>
        <w:ind w:left="1065"/>
        <w:jc w:val="both"/>
        <w:rPr>
          <w:rFonts w:ascii="Abadi" w:hAnsi="Abadi" w:cs="Arial"/>
          <w:b/>
          <w:bCs/>
          <w:sz w:val="21"/>
          <w:szCs w:val="21"/>
          <w:lang w:eastAsia="x-none"/>
        </w:rPr>
      </w:pPr>
    </w:p>
    <w:p w14:paraId="3AE1450C" w14:textId="77777777" w:rsidR="00D240B1" w:rsidRPr="00D240B1" w:rsidRDefault="00D240B1" w:rsidP="00D240B1">
      <w:pPr>
        <w:ind w:firstLine="705"/>
        <w:jc w:val="both"/>
        <w:rPr>
          <w:rFonts w:ascii="Abadi" w:hAnsi="Abadi" w:cs="Arial"/>
          <w:sz w:val="21"/>
          <w:szCs w:val="21"/>
          <w:lang w:val="es-MX" w:eastAsia="x-none"/>
        </w:rPr>
      </w:pPr>
      <w:r w:rsidRPr="00D240B1">
        <w:rPr>
          <w:rFonts w:ascii="Abadi" w:hAnsi="Abadi" w:cs="Arial"/>
          <w:sz w:val="21"/>
          <w:szCs w:val="21"/>
          <w:lang w:val="es-MX" w:eastAsia="x-none"/>
        </w:rPr>
        <w:t xml:space="preserve">En esta parte se desglosa la valoración de las observaciones formuladas por el Órgano Técnico, </w:t>
      </w:r>
      <w:r w:rsidRPr="00D240B1">
        <w:rPr>
          <w:rFonts w:ascii="Abadi" w:hAnsi="Abadi" w:cs="Arial"/>
          <w:sz w:val="21"/>
          <w:szCs w:val="21"/>
          <w:lang w:eastAsia="x-none"/>
        </w:rPr>
        <w:t xml:space="preserve">considerando como no solventadas las observaciones plasmadas en los numerales 001, </w:t>
      </w:r>
      <w:r w:rsidRPr="00D240B1">
        <w:rPr>
          <w:rFonts w:ascii="Abadi" w:hAnsi="Abadi" w:cs="Arial"/>
          <w:sz w:val="21"/>
          <w:szCs w:val="21"/>
          <w:lang w:val="es-MX" w:eastAsia="x-none"/>
        </w:rPr>
        <w:t xml:space="preserve">referente a pago de pena convencional por laudo; 002, correspondiente a materiales de construcción; 003, relativo a comprobante fiscal de protección metálica; 004, referido </w:t>
      </w:r>
      <w:r w:rsidRPr="00D240B1">
        <w:rPr>
          <w:rFonts w:ascii="Abadi" w:hAnsi="Abadi" w:cs="Arial"/>
          <w:sz w:val="21"/>
          <w:szCs w:val="21"/>
          <w:lang w:eastAsia="x-none"/>
        </w:rPr>
        <w:t xml:space="preserve">a procedimiento de arrendamiento de maquinaria; 005, referente a servicio de arrendamiento de maquinaria; 006, correspondiente a conservación y mantenimiento de inmuebles; 007, relativo a </w:t>
      </w:r>
      <w:r w:rsidRPr="00D240B1">
        <w:rPr>
          <w:rFonts w:ascii="Abadi" w:hAnsi="Abadi" w:cs="Arial"/>
          <w:sz w:val="21"/>
          <w:szCs w:val="21"/>
          <w:lang w:val="es-MX" w:eastAsia="x-none"/>
        </w:rPr>
        <w:t xml:space="preserve">cantidades de obra. Contrato PMV/PROYECTO/2020-15; 008, referido a cantidades de obra. Contrato PMV/PROYECTO/2020-12; 009, referente a contenido de contrato. Varios contratos; 010, correspondiente a </w:t>
      </w:r>
      <w:r w:rsidRPr="00D240B1">
        <w:rPr>
          <w:rFonts w:ascii="Abadi" w:hAnsi="Abadi" w:cs="Arial"/>
          <w:sz w:val="21"/>
          <w:szCs w:val="21"/>
          <w:lang w:eastAsia="x-none"/>
        </w:rPr>
        <w:t xml:space="preserve">soporte documental. Varios contratos; y 011, relativo a </w:t>
      </w:r>
      <w:r w:rsidRPr="00D240B1">
        <w:rPr>
          <w:rFonts w:ascii="Abadi" w:hAnsi="Abadi" w:cs="Arial"/>
          <w:sz w:val="21"/>
          <w:szCs w:val="21"/>
          <w:lang w:val="es-MX" w:eastAsia="x-none"/>
        </w:rPr>
        <w:t>inscripción Padrón Único de Contratistas. Varios contratos.</w:t>
      </w:r>
    </w:p>
    <w:p w14:paraId="6F22BDCA" w14:textId="77777777" w:rsidR="00D240B1" w:rsidRPr="00D240B1" w:rsidRDefault="00D240B1" w:rsidP="00D240B1">
      <w:pPr>
        <w:ind w:firstLine="705"/>
        <w:jc w:val="both"/>
        <w:rPr>
          <w:rFonts w:ascii="Abadi" w:hAnsi="Abadi" w:cs="Arial"/>
          <w:sz w:val="21"/>
          <w:szCs w:val="21"/>
          <w:lang w:val="es-MX" w:eastAsia="x-none"/>
        </w:rPr>
      </w:pPr>
    </w:p>
    <w:p w14:paraId="22D7E5D2" w14:textId="77777777" w:rsidR="00D240B1" w:rsidRPr="00D240B1" w:rsidRDefault="00D240B1" w:rsidP="00D240B1">
      <w:pPr>
        <w:ind w:firstLine="705"/>
        <w:jc w:val="both"/>
        <w:rPr>
          <w:rFonts w:ascii="Abadi" w:hAnsi="Abadi" w:cs="Arial"/>
          <w:sz w:val="21"/>
          <w:szCs w:val="21"/>
          <w:lang w:eastAsia="x-none"/>
        </w:rPr>
      </w:pPr>
      <w:r w:rsidRPr="00D240B1">
        <w:rPr>
          <w:rFonts w:ascii="Abadi" w:hAnsi="Abadi" w:cs="Arial"/>
          <w:sz w:val="21"/>
          <w:szCs w:val="21"/>
          <w:lang w:val="es-MX" w:eastAsia="x-none"/>
        </w:rPr>
        <w:t xml:space="preserve">En el apartado de Recomendaciones Generales, no se atendió el numeral 001, referido a </w:t>
      </w:r>
      <w:r w:rsidRPr="00D240B1">
        <w:rPr>
          <w:rFonts w:ascii="Abadi" w:hAnsi="Abadi" w:cs="Arial"/>
          <w:sz w:val="21"/>
          <w:szCs w:val="21"/>
          <w:lang w:eastAsia="x-none"/>
        </w:rPr>
        <w:t>procedimientos de contratación.</w:t>
      </w:r>
    </w:p>
    <w:p w14:paraId="4F987172" w14:textId="77777777" w:rsidR="00D240B1" w:rsidRPr="00D240B1" w:rsidRDefault="00D240B1" w:rsidP="00D240B1">
      <w:pPr>
        <w:ind w:firstLine="705"/>
        <w:jc w:val="both"/>
        <w:rPr>
          <w:rFonts w:ascii="Abadi" w:hAnsi="Abadi" w:cs="Arial"/>
          <w:sz w:val="21"/>
          <w:szCs w:val="21"/>
          <w:lang w:eastAsia="x-none"/>
        </w:rPr>
      </w:pPr>
    </w:p>
    <w:p w14:paraId="2644F92F" w14:textId="77777777" w:rsidR="00D240B1" w:rsidRPr="00D240B1" w:rsidRDefault="00D240B1" w:rsidP="001A28E5">
      <w:pPr>
        <w:numPr>
          <w:ilvl w:val="0"/>
          <w:numId w:val="97"/>
        </w:numPr>
        <w:jc w:val="both"/>
        <w:rPr>
          <w:rFonts w:ascii="Abadi" w:hAnsi="Abadi" w:cs="Arial"/>
          <w:b/>
          <w:bCs/>
          <w:sz w:val="21"/>
          <w:szCs w:val="21"/>
          <w:lang w:val="es-MX" w:eastAsia="x-none"/>
        </w:rPr>
      </w:pPr>
      <w:r w:rsidRPr="00D240B1">
        <w:rPr>
          <w:rFonts w:ascii="Abadi" w:hAnsi="Abadi" w:cs="Arial"/>
          <w:b/>
          <w:bCs/>
          <w:sz w:val="21"/>
          <w:szCs w:val="21"/>
          <w:lang w:val="es-MX" w:eastAsia="x-none"/>
        </w:rPr>
        <w:t xml:space="preserve">Promoción del ejercicio de facultades de comprobación fiscal. </w:t>
      </w:r>
    </w:p>
    <w:p w14:paraId="3F184096" w14:textId="77777777" w:rsidR="00D240B1" w:rsidRPr="00D240B1" w:rsidRDefault="00D240B1" w:rsidP="00D240B1">
      <w:pPr>
        <w:ind w:firstLine="705"/>
        <w:jc w:val="both"/>
        <w:rPr>
          <w:rFonts w:ascii="Abadi" w:hAnsi="Abadi" w:cs="Arial"/>
          <w:sz w:val="21"/>
          <w:szCs w:val="21"/>
          <w:lang w:eastAsia="x-none"/>
        </w:rPr>
      </w:pPr>
    </w:p>
    <w:p w14:paraId="2072A365" w14:textId="77777777" w:rsidR="00D240B1" w:rsidRPr="00D240B1" w:rsidRDefault="00D240B1" w:rsidP="00D240B1">
      <w:pPr>
        <w:ind w:firstLine="705"/>
        <w:jc w:val="both"/>
        <w:rPr>
          <w:rFonts w:ascii="Abadi" w:hAnsi="Abadi" w:cs="Arial"/>
          <w:sz w:val="21"/>
          <w:szCs w:val="21"/>
          <w:lang w:val="es-MX" w:eastAsia="x-none"/>
        </w:rPr>
      </w:pPr>
      <w:r w:rsidRPr="00D240B1">
        <w:rPr>
          <w:rFonts w:ascii="Abadi" w:hAnsi="Abadi" w:cs="Arial"/>
          <w:sz w:val="21"/>
          <w:szCs w:val="21"/>
          <w:lang w:val="es-MX" w:eastAsia="x-none"/>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se desprenden posibles incumplimientos de los contribuyentes a las disposiciones fiscales aplicables, por lo que es procedente la promoción del inicio de facultades de comprobación fiscal, precisando que las presuntas irregularidades o incumplimientos se desprenden de las observaciones plasmadas en los numerales 002, 003, 005, 006, 007, 008 y 010, estableciendo el proveedor y el contratista que incurrieron en irregularidades, siendo la autoridad fiscal competente la Secretaría de Hacienda y Crédito Público.</w:t>
      </w:r>
    </w:p>
    <w:p w14:paraId="68F3188E" w14:textId="77777777" w:rsidR="00D240B1" w:rsidRPr="00D240B1" w:rsidRDefault="00D240B1" w:rsidP="00D240B1">
      <w:pPr>
        <w:ind w:firstLine="705"/>
        <w:jc w:val="both"/>
        <w:rPr>
          <w:rFonts w:ascii="Abadi" w:hAnsi="Abadi" w:cs="Arial"/>
          <w:sz w:val="21"/>
          <w:szCs w:val="21"/>
          <w:lang w:val="es-MX" w:eastAsia="x-none"/>
        </w:rPr>
      </w:pPr>
    </w:p>
    <w:p w14:paraId="5101E8A2" w14:textId="77777777" w:rsidR="00D240B1" w:rsidRPr="00D240B1" w:rsidRDefault="00D240B1" w:rsidP="001A28E5">
      <w:pPr>
        <w:numPr>
          <w:ilvl w:val="0"/>
          <w:numId w:val="97"/>
        </w:numPr>
        <w:jc w:val="both"/>
        <w:rPr>
          <w:rFonts w:ascii="Abadi" w:hAnsi="Abadi" w:cs="Arial"/>
          <w:b/>
          <w:bCs/>
          <w:sz w:val="21"/>
          <w:szCs w:val="21"/>
          <w:lang w:val="es-MX" w:eastAsia="x-none"/>
        </w:rPr>
      </w:pPr>
      <w:r w:rsidRPr="00D240B1">
        <w:rPr>
          <w:rFonts w:ascii="Abadi" w:hAnsi="Abadi" w:cs="Arial"/>
          <w:b/>
          <w:bCs/>
          <w:sz w:val="21"/>
          <w:szCs w:val="21"/>
          <w:lang w:val="es-MX" w:eastAsia="x-none"/>
        </w:rPr>
        <w:t>Comunicado ante órganos de control y autoridades que administran padrones de proveedores y contratistas.</w:t>
      </w:r>
    </w:p>
    <w:p w14:paraId="51468204" w14:textId="77777777" w:rsidR="00D240B1" w:rsidRPr="00D240B1" w:rsidRDefault="00D240B1" w:rsidP="00D240B1">
      <w:pPr>
        <w:ind w:firstLine="705"/>
        <w:jc w:val="both"/>
        <w:rPr>
          <w:rFonts w:ascii="Abadi" w:hAnsi="Abadi" w:cs="Arial"/>
          <w:sz w:val="21"/>
          <w:szCs w:val="21"/>
          <w:lang w:eastAsia="x-none"/>
        </w:rPr>
      </w:pPr>
    </w:p>
    <w:p w14:paraId="18F6B443" w14:textId="77777777" w:rsidR="00D240B1" w:rsidRPr="00D240B1" w:rsidRDefault="00D240B1" w:rsidP="00D240B1">
      <w:pPr>
        <w:ind w:firstLine="705"/>
        <w:jc w:val="both"/>
        <w:rPr>
          <w:rFonts w:ascii="Abadi" w:hAnsi="Abadi" w:cs="Arial"/>
          <w:sz w:val="21"/>
          <w:szCs w:val="21"/>
          <w:lang w:val="es-MX" w:eastAsia="x-none"/>
        </w:rPr>
      </w:pPr>
      <w:r w:rsidRPr="00D240B1">
        <w:rPr>
          <w:rFonts w:ascii="Abadi" w:hAnsi="Abadi" w:cs="Arial"/>
          <w:sz w:val="21"/>
          <w:szCs w:val="21"/>
          <w:lang w:val="es-MX" w:eastAsia="x-none"/>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auditoría, es procedente hacer del conocimiento del Órgano Interno de Control y de la Tesorería Municipal de Villagrán, Gto., así como de la Secretaría de Infraestructura, Conectividad y Movilidad, del Estado, las presuntas irregularidades o incumplimientos de estos en contrataciones públicas detectadas durante la auditoría, precisando los contratistas y las observaciones de las que se desprende su intervención.</w:t>
      </w:r>
    </w:p>
    <w:p w14:paraId="4B6E3BE4" w14:textId="77777777" w:rsidR="00D240B1" w:rsidRPr="00D240B1" w:rsidRDefault="00D240B1" w:rsidP="00D240B1">
      <w:pPr>
        <w:ind w:firstLine="705"/>
        <w:jc w:val="both"/>
        <w:rPr>
          <w:rFonts w:ascii="Abadi" w:hAnsi="Abadi" w:cs="Arial"/>
          <w:sz w:val="21"/>
          <w:szCs w:val="21"/>
          <w:lang w:val="es-MX" w:eastAsia="x-none"/>
        </w:rPr>
      </w:pPr>
    </w:p>
    <w:p w14:paraId="5EFC7397" w14:textId="77777777" w:rsidR="00D240B1" w:rsidRPr="00D240B1" w:rsidRDefault="00D240B1" w:rsidP="001A28E5">
      <w:pPr>
        <w:numPr>
          <w:ilvl w:val="0"/>
          <w:numId w:val="97"/>
        </w:numPr>
        <w:jc w:val="both"/>
        <w:rPr>
          <w:rFonts w:ascii="Abadi" w:hAnsi="Abadi" w:cs="Arial"/>
          <w:b/>
          <w:bCs/>
          <w:sz w:val="21"/>
          <w:szCs w:val="21"/>
          <w:lang w:val="es-MX" w:eastAsia="x-none"/>
        </w:rPr>
      </w:pPr>
      <w:r w:rsidRPr="00D240B1">
        <w:rPr>
          <w:rFonts w:ascii="Abadi" w:hAnsi="Abadi" w:cs="Arial"/>
          <w:b/>
          <w:bCs/>
          <w:sz w:val="21"/>
          <w:szCs w:val="21"/>
          <w:lang w:val="es-MX" w:eastAsia="x-none"/>
        </w:rPr>
        <w:t xml:space="preserve">Anexos. </w:t>
      </w:r>
    </w:p>
    <w:p w14:paraId="15EB58ED" w14:textId="77777777" w:rsidR="00D240B1" w:rsidRPr="00D240B1" w:rsidRDefault="00D240B1" w:rsidP="00D240B1">
      <w:pPr>
        <w:ind w:firstLine="705"/>
        <w:jc w:val="both"/>
        <w:rPr>
          <w:rFonts w:ascii="Abadi" w:hAnsi="Abadi" w:cs="Arial"/>
          <w:sz w:val="21"/>
          <w:szCs w:val="21"/>
          <w:lang w:eastAsia="x-none"/>
        </w:rPr>
      </w:pPr>
    </w:p>
    <w:p w14:paraId="00BF3340" w14:textId="77777777" w:rsidR="00D240B1" w:rsidRPr="00D240B1" w:rsidRDefault="00D240B1" w:rsidP="00D240B1">
      <w:pPr>
        <w:ind w:firstLine="705"/>
        <w:jc w:val="both"/>
        <w:rPr>
          <w:rFonts w:ascii="Abadi" w:hAnsi="Abadi" w:cs="Arial"/>
          <w:sz w:val="21"/>
          <w:szCs w:val="21"/>
          <w:lang w:eastAsia="x-none"/>
        </w:rPr>
      </w:pPr>
      <w:r w:rsidRPr="00D240B1">
        <w:rPr>
          <w:rFonts w:ascii="Abadi" w:hAnsi="Abadi" w:cs="Arial"/>
          <w:sz w:val="21"/>
          <w:szCs w:val="21"/>
          <w:lang w:eastAsia="x-none"/>
        </w:rPr>
        <w:t>En esta parte, se adjuntan los anexos técnicos derivados de la revisión practicada.</w:t>
      </w:r>
    </w:p>
    <w:p w14:paraId="421DC5BD" w14:textId="77777777" w:rsidR="00D240B1" w:rsidRPr="00D240B1" w:rsidRDefault="00D240B1" w:rsidP="00D240B1">
      <w:pPr>
        <w:ind w:firstLine="705"/>
        <w:jc w:val="both"/>
        <w:rPr>
          <w:rFonts w:ascii="Abadi" w:hAnsi="Abadi" w:cs="Arial"/>
          <w:sz w:val="21"/>
          <w:szCs w:val="21"/>
          <w:lang w:eastAsia="x-none"/>
        </w:rPr>
      </w:pPr>
    </w:p>
    <w:p w14:paraId="0B37B2F0" w14:textId="77777777" w:rsidR="00D240B1" w:rsidRPr="00D240B1" w:rsidRDefault="00D240B1" w:rsidP="00D240B1">
      <w:pPr>
        <w:ind w:firstLine="708"/>
        <w:jc w:val="both"/>
        <w:rPr>
          <w:rFonts w:ascii="Abadi" w:hAnsi="Abadi" w:cs="Arial"/>
          <w:b/>
          <w:bCs/>
          <w:sz w:val="21"/>
          <w:szCs w:val="21"/>
        </w:rPr>
      </w:pPr>
      <w:r w:rsidRPr="00D240B1">
        <w:rPr>
          <w:rFonts w:ascii="Abadi" w:hAnsi="Abadi" w:cs="Arial"/>
          <w:b/>
          <w:bCs/>
          <w:sz w:val="21"/>
          <w:szCs w:val="21"/>
        </w:rPr>
        <w:t>V. Conclusiones:</w:t>
      </w:r>
    </w:p>
    <w:p w14:paraId="72D866DE" w14:textId="77777777" w:rsidR="00D240B1" w:rsidRPr="00D240B1" w:rsidRDefault="00D240B1" w:rsidP="00D240B1">
      <w:pPr>
        <w:jc w:val="both"/>
        <w:rPr>
          <w:rFonts w:ascii="Abadi" w:hAnsi="Abadi" w:cs="Arial"/>
          <w:sz w:val="21"/>
          <w:szCs w:val="21"/>
        </w:rPr>
      </w:pPr>
    </w:p>
    <w:p w14:paraId="72EF5000" w14:textId="77777777" w:rsidR="00D240B1" w:rsidRPr="00D240B1" w:rsidRDefault="00D240B1" w:rsidP="00D240B1">
      <w:pPr>
        <w:jc w:val="both"/>
        <w:rPr>
          <w:rFonts w:ascii="Abadi" w:hAnsi="Abadi" w:cs="Arial"/>
          <w:sz w:val="21"/>
          <w:szCs w:val="21"/>
        </w:rPr>
      </w:pPr>
      <w:r w:rsidRPr="00D240B1">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D240B1">
          <w:rPr>
            <w:rFonts w:ascii="Abadi" w:hAnsi="Abadi" w:cs="Arial"/>
            <w:sz w:val="21"/>
            <w:szCs w:val="21"/>
          </w:rPr>
          <w:t>la Ley</w:t>
        </w:r>
      </w:smartTag>
      <w:r w:rsidRPr="00D240B1">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1DD0BDB" w14:textId="77777777" w:rsidR="00D240B1" w:rsidRPr="00D240B1" w:rsidRDefault="00D240B1" w:rsidP="00D240B1">
      <w:pPr>
        <w:jc w:val="both"/>
        <w:rPr>
          <w:rFonts w:ascii="Abadi" w:hAnsi="Abadi" w:cs="Arial"/>
          <w:sz w:val="21"/>
          <w:szCs w:val="21"/>
        </w:rPr>
      </w:pPr>
    </w:p>
    <w:p w14:paraId="781CB423" w14:textId="77777777" w:rsidR="00D240B1" w:rsidRPr="00D240B1" w:rsidRDefault="00D240B1" w:rsidP="00D240B1">
      <w:pPr>
        <w:jc w:val="both"/>
        <w:rPr>
          <w:rFonts w:ascii="Abadi" w:hAnsi="Abadi" w:cs="Arial"/>
          <w:sz w:val="21"/>
          <w:szCs w:val="21"/>
        </w:rPr>
      </w:pPr>
      <w:r w:rsidRPr="00D240B1">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00378BEB" w14:textId="77777777" w:rsidR="00D240B1" w:rsidRPr="00D240B1" w:rsidRDefault="00D240B1" w:rsidP="00D240B1">
      <w:pPr>
        <w:ind w:firstLine="708"/>
        <w:jc w:val="both"/>
        <w:rPr>
          <w:rFonts w:ascii="Abadi" w:hAnsi="Abadi" w:cs="Arial"/>
          <w:sz w:val="21"/>
          <w:szCs w:val="21"/>
        </w:rPr>
      </w:pPr>
    </w:p>
    <w:p w14:paraId="6DFF6ABE" w14:textId="77777777" w:rsidR="00D240B1" w:rsidRPr="00D240B1" w:rsidRDefault="00D240B1" w:rsidP="00D240B1">
      <w:pPr>
        <w:ind w:firstLine="708"/>
        <w:jc w:val="both"/>
        <w:rPr>
          <w:rFonts w:ascii="Abadi" w:hAnsi="Abadi" w:cs="Arial"/>
          <w:sz w:val="21"/>
          <w:szCs w:val="21"/>
        </w:rPr>
      </w:pPr>
      <w:r w:rsidRPr="00D240B1">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municipal de Villagrán, Gto., concediéndole el plazo que establece </w:t>
      </w:r>
      <w:smartTag w:uri="urn:schemas-microsoft-com:office:smarttags" w:element="PersonName">
        <w:smartTagPr>
          <w:attr w:name="ProductID" w:val="la Ley"/>
        </w:smartTagPr>
        <w:r w:rsidRPr="00D240B1">
          <w:rPr>
            <w:rFonts w:ascii="Abadi" w:hAnsi="Abadi" w:cs="Arial"/>
            <w:sz w:val="21"/>
            <w:szCs w:val="21"/>
          </w:rPr>
          <w:t>la Ley</w:t>
        </w:r>
      </w:smartTag>
      <w:r w:rsidRPr="00D240B1">
        <w:rPr>
          <w:rFonts w:ascii="Abadi" w:hAnsi="Abadi" w:cs="Arial"/>
          <w:sz w:val="21"/>
          <w:szCs w:val="21"/>
        </w:rPr>
        <w:t xml:space="preserve"> para aclarar, atender o solventar documentalmente las observaciones determinadas por el Órgano Técnico. Al respecto, dicho funcionario presentó información y documentación para aclarar y en su caso, solventar las observaciones determinadas y atender las recomendaciones efectuadas.</w:t>
      </w:r>
    </w:p>
    <w:p w14:paraId="7AAEF9F3" w14:textId="77777777" w:rsidR="00D240B1" w:rsidRPr="00D240B1" w:rsidRDefault="00D240B1" w:rsidP="00D240B1">
      <w:pPr>
        <w:ind w:firstLine="708"/>
        <w:jc w:val="both"/>
        <w:rPr>
          <w:rFonts w:ascii="Abadi" w:hAnsi="Abadi" w:cs="Arial"/>
          <w:sz w:val="21"/>
          <w:szCs w:val="21"/>
        </w:rPr>
      </w:pPr>
    </w:p>
    <w:p w14:paraId="25B7E254" w14:textId="77777777" w:rsidR="00D240B1" w:rsidRPr="00D240B1" w:rsidRDefault="00D240B1" w:rsidP="00D240B1">
      <w:pPr>
        <w:ind w:firstLine="708"/>
        <w:jc w:val="both"/>
        <w:rPr>
          <w:rFonts w:ascii="Abadi" w:hAnsi="Abadi" w:cs="Arial"/>
          <w:sz w:val="21"/>
          <w:szCs w:val="21"/>
        </w:rPr>
      </w:pPr>
      <w:r w:rsidRPr="00D240B1">
        <w:rPr>
          <w:rFonts w:ascii="Abadi" w:hAnsi="Abadi" w:cs="Arial"/>
          <w:sz w:val="21"/>
          <w:szCs w:val="21"/>
        </w:rPr>
        <w:t xml:space="preserve">De igual manera, existe en el informe de resultados la constancia de que este se notificó al presidente municipal de Villagrán, Gto., concediéndole el término señalado en el artículo 37, fracción IV de </w:t>
      </w:r>
      <w:smartTag w:uri="urn:schemas-microsoft-com:office:smarttags" w:element="PersonName">
        <w:smartTagPr>
          <w:attr w:name="ProductID" w:val="la Ley"/>
        </w:smartTagPr>
        <w:r w:rsidRPr="00D240B1">
          <w:rPr>
            <w:rFonts w:ascii="Abadi" w:hAnsi="Abadi" w:cs="Arial"/>
            <w:sz w:val="21"/>
            <w:szCs w:val="21"/>
          </w:rPr>
          <w:t>la Ley</w:t>
        </w:r>
      </w:smartTag>
      <w:r w:rsidRPr="00D240B1">
        <w:rPr>
          <w:rFonts w:ascii="Abadi" w:hAnsi="Abadi" w:cs="Arial"/>
          <w:sz w:val="21"/>
          <w:szCs w:val="21"/>
        </w:rPr>
        <w:t xml:space="preserve"> de Fiscalización Superior del Estado de Guanajuato, a efecto de que en su caso, hiciera valer el recurso de reconsideración que prevén los artículos del 48 al 55 de dicho ordenamiento legal; presentándose el referido medio de impugnación, el cual se tuvo por no interpuesto al no estar suscrito por el titular del sujeto de fiscalización, ni demostrarse de alguna manera que se le haya delegado la atribución correspondiente al recurrente, de conformidad con lo previsto en el artículo 51, fracción I y último párrafo de la Ley de Fiscalización Superior del Estado de Guanajuato; aunado a que no se advierte que el citado funcionario hubiera tenido intervención previa en la revisión que nos ocupa, lo cual se notificó al tesorero municipal de Villagrán, Gto. En tal virtud, se considera que fue respetado el derecho de audiencia o defensa por parte del Órgano Técnico.</w:t>
      </w:r>
    </w:p>
    <w:p w14:paraId="1A727E85" w14:textId="77777777" w:rsidR="00D240B1" w:rsidRPr="00D240B1" w:rsidRDefault="00D240B1" w:rsidP="00D240B1">
      <w:pPr>
        <w:ind w:firstLine="708"/>
        <w:jc w:val="both"/>
        <w:rPr>
          <w:rFonts w:ascii="Abadi" w:hAnsi="Abadi" w:cs="Arial"/>
          <w:sz w:val="21"/>
          <w:szCs w:val="21"/>
        </w:rPr>
      </w:pPr>
    </w:p>
    <w:p w14:paraId="356C6B2A" w14:textId="77777777" w:rsidR="00D240B1" w:rsidRPr="00D240B1" w:rsidRDefault="00D240B1" w:rsidP="00D240B1">
      <w:pPr>
        <w:ind w:firstLine="708"/>
        <w:jc w:val="both"/>
        <w:rPr>
          <w:rFonts w:ascii="Abadi" w:hAnsi="Abadi" w:cs="Arial"/>
          <w:sz w:val="21"/>
          <w:szCs w:val="21"/>
        </w:rPr>
      </w:pPr>
      <w:r w:rsidRPr="00D240B1">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1B58029A" w14:textId="77777777" w:rsidR="00D240B1" w:rsidRPr="00D240B1" w:rsidRDefault="00D240B1" w:rsidP="00D240B1">
      <w:pPr>
        <w:ind w:firstLine="708"/>
        <w:jc w:val="both"/>
        <w:rPr>
          <w:rFonts w:ascii="Abadi" w:hAnsi="Abadi" w:cs="Arial"/>
          <w:sz w:val="21"/>
          <w:szCs w:val="21"/>
        </w:rPr>
      </w:pPr>
    </w:p>
    <w:p w14:paraId="1A688758" w14:textId="77777777" w:rsidR="00D240B1" w:rsidRPr="00D240B1" w:rsidRDefault="00D240B1" w:rsidP="00D240B1">
      <w:pPr>
        <w:ind w:firstLine="708"/>
        <w:jc w:val="both"/>
        <w:rPr>
          <w:rFonts w:ascii="Abadi" w:hAnsi="Abadi" w:cs="Arial"/>
          <w:sz w:val="21"/>
          <w:szCs w:val="21"/>
        </w:rPr>
      </w:pPr>
      <w:r w:rsidRPr="00D240B1">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371CF3B1" w14:textId="77777777" w:rsidR="00D240B1" w:rsidRPr="00D240B1" w:rsidRDefault="00D240B1" w:rsidP="00D240B1">
      <w:pPr>
        <w:ind w:firstLine="708"/>
        <w:jc w:val="both"/>
        <w:rPr>
          <w:rFonts w:ascii="Abadi" w:hAnsi="Abadi" w:cs="Arial"/>
          <w:sz w:val="21"/>
          <w:szCs w:val="21"/>
        </w:rPr>
      </w:pPr>
    </w:p>
    <w:p w14:paraId="6CBD9408" w14:textId="77777777" w:rsidR="00D240B1" w:rsidRPr="00D240B1" w:rsidRDefault="00D240B1" w:rsidP="00D240B1">
      <w:pPr>
        <w:ind w:firstLine="708"/>
        <w:jc w:val="both"/>
        <w:rPr>
          <w:rFonts w:ascii="Abadi" w:hAnsi="Abadi" w:cs="Arial"/>
          <w:sz w:val="21"/>
          <w:szCs w:val="21"/>
        </w:rPr>
      </w:pPr>
      <w:r w:rsidRPr="00D240B1">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 recomendación no atendida y a las observaciones no solventadas contenidas en el informe de resultados.</w:t>
      </w:r>
    </w:p>
    <w:p w14:paraId="3FE4E2BA" w14:textId="77777777" w:rsidR="00D240B1" w:rsidRPr="00D240B1" w:rsidRDefault="00D240B1" w:rsidP="00D240B1">
      <w:pPr>
        <w:ind w:firstLine="708"/>
        <w:jc w:val="both"/>
        <w:rPr>
          <w:rFonts w:ascii="Abadi" w:hAnsi="Abadi" w:cs="Arial"/>
          <w:sz w:val="21"/>
          <w:szCs w:val="21"/>
        </w:rPr>
      </w:pPr>
    </w:p>
    <w:p w14:paraId="4ADAE218" w14:textId="77777777" w:rsidR="00D240B1" w:rsidRPr="00D240B1" w:rsidRDefault="00D240B1" w:rsidP="00D240B1">
      <w:pPr>
        <w:ind w:firstLine="708"/>
        <w:jc w:val="both"/>
        <w:rPr>
          <w:rFonts w:ascii="Abadi" w:hAnsi="Abadi" w:cs="Arial"/>
          <w:sz w:val="21"/>
          <w:szCs w:val="21"/>
        </w:rPr>
      </w:pPr>
      <w:r w:rsidRPr="00D240B1">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4A209B78" w14:textId="77777777" w:rsidR="00D240B1" w:rsidRPr="00D240B1" w:rsidRDefault="00D240B1" w:rsidP="00D240B1">
      <w:pPr>
        <w:ind w:firstLine="708"/>
        <w:jc w:val="both"/>
        <w:rPr>
          <w:rFonts w:ascii="Abadi" w:hAnsi="Abadi" w:cs="Arial"/>
          <w:sz w:val="21"/>
          <w:szCs w:val="21"/>
        </w:rPr>
      </w:pPr>
    </w:p>
    <w:p w14:paraId="7395CC64" w14:textId="5FB2D057" w:rsidR="00D240B1" w:rsidRPr="00D240B1" w:rsidRDefault="00D240B1" w:rsidP="00D240B1">
      <w:pPr>
        <w:ind w:firstLine="708"/>
        <w:jc w:val="both"/>
        <w:rPr>
          <w:rFonts w:ascii="Abadi" w:hAnsi="Abadi" w:cs="Arial"/>
          <w:sz w:val="21"/>
          <w:szCs w:val="21"/>
        </w:rPr>
      </w:pPr>
      <w:r w:rsidRPr="00D240B1">
        <w:rPr>
          <w:rFonts w:ascii="Abadi" w:hAnsi="Abadi" w:cs="Arial"/>
          <w:sz w:val="21"/>
          <w:szCs w:val="21"/>
        </w:rPr>
        <w:t xml:space="preserve">En razón de lo anteriormente señalado, concluimos que el informe de resultados de la revisión practicada a la cuenta pública de Villagrán, Gto., correspondiente al ejercicio fiscal del año 2020, debe sancionarse por el Congreso en los términos presentados por la Auditoría Superior del Estado y proceder a su aprobación, considerando que no se actualiza el supuesto contenido en el artículo 38 de </w:t>
      </w:r>
      <w:smartTag w:uri="urn:schemas-microsoft-com:office:smarttags" w:element="PersonName">
        <w:smartTagPr>
          <w:attr w:name="ProductID" w:val="la Ley"/>
        </w:smartTagPr>
        <w:r w:rsidRPr="00D240B1">
          <w:rPr>
            <w:rFonts w:ascii="Abadi" w:hAnsi="Abadi" w:cs="Arial"/>
            <w:sz w:val="21"/>
            <w:szCs w:val="21"/>
          </w:rPr>
          <w:t>la Ley</w:t>
        </w:r>
      </w:smartTag>
      <w:r w:rsidRPr="00D240B1">
        <w:rPr>
          <w:rFonts w:ascii="Abadi" w:hAnsi="Abadi" w:cs="Arial"/>
          <w:sz w:val="21"/>
          <w:szCs w:val="21"/>
        </w:rPr>
        <w:t xml:space="preserve"> de Fiscalización Superior del Estado de Guanajuato, razón por la cual no podría ser observado por el Pleno del Congreso.</w:t>
      </w:r>
    </w:p>
    <w:p w14:paraId="54CF0ABE" w14:textId="77777777" w:rsidR="00D240B1" w:rsidRPr="00D240B1" w:rsidRDefault="00D240B1" w:rsidP="00D240B1">
      <w:pPr>
        <w:ind w:firstLine="708"/>
        <w:jc w:val="both"/>
        <w:rPr>
          <w:rFonts w:ascii="Abadi" w:hAnsi="Abadi" w:cs="Arial"/>
          <w:sz w:val="21"/>
          <w:szCs w:val="21"/>
        </w:rPr>
      </w:pPr>
    </w:p>
    <w:p w14:paraId="25DC02F3" w14:textId="1CEDA563" w:rsidR="00D240B1" w:rsidRDefault="00D240B1" w:rsidP="00D240B1">
      <w:pPr>
        <w:ind w:firstLine="708"/>
        <w:jc w:val="both"/>
        <w:rPr>
          <w:rFonts w:ascii="Abadi" w:hAnsi="Abadi" w:cs="Arial"/>
          <w:sz w:val="21"/>
          <w:szCs w:val="21"/>
          <w:lang w:val="x-none" w:eastAsia="x-none"/>
        </w:rPr>
      </w:pPr>
      <w:r w:rsidRPr="00D240B1">
        <w:rPr>
          <w:rFonts w:ascii="Abadi" w:hAnsi="Abadi" w:cs="Arial"/>
          <w:sz w:val="21"/>
          <w:szCs w:val="21"/>
        </w:rPr>
        <w:t xml:space="preserve">Por lo expuesto, con fundamento en el artículo 204 de </w:t>
      </w:r>
      <w:smartTag w:uri="urn:schemas-microsoft-com:office:smarttags" w:element="PersonName">
        <w:smartTagPr>
          <w:attr w:name="ProductID" w:val="la Ley Org￡nica"/>
        </w:smartTagPr>
        <w:r w:rsidRPr="00D240B1">
          <w:rPr>
            <w:rFonts w:ascii="Abadi" w:hAnsi="Abadi" w:cs="Arial"/>
            <w:sz w:val="21"/>
            <w:szCs w:val="21"/>
          </w:rPr>
          <w:t>la Ley Orgánica</w:t>
        </w:r>
      </w:smartTag>
      <w:r w:rsidRPr="00D240B1">
        <w:rPr>
          <w:rFonts w:ascii="Abadi" w:hAnsi="Abadi" w:cs="Arial"/>
          <w:sz w:val="21"/>
          <w:szCs w:val="21"/>
        </w:rPr>
        <w:t xml:space="preserve"> del Poder Legislativo, nos permitimos someter a la consideración de </w:t>
      </w:r>
      <w:smartTag w:uri="urn:schemas-microsoft-com:office:smarttags" w:element="PersonName">
        <w:smartTagPr>
          <w:attr w:name="ProductID" w:val="la Asamblea"/>
        </w:smartTagPr>
        <w:r w:rsidRPr="00D240B1">
          <w:rPr>
            <w:rFonts w:ascii="Abadi" w:hAnsi="Abadi" w:cs="Arial"/>
            <w:sz w:val="21"/>
            <w:szCs w:val="21"/>
          </w:rPr>
          <w:t>la Asamblea</w:t>
        </w:r>
      </w:smartTag>
      <w:r w:rsidRPr="00D240B1">
        <w:rPr>
          <w:rFonts w:ascii="Abadi" w:hAnsi="Abadi" w:cs="Arial"/>
          <w:sz w:val="21"/>
          <w:szCs w:val="21"/>
        </w:rPr>
        <w:t>, la aprobación del siguiente</w:t>
      </w:r>
      <w:r w:rsidRPr="00D240B1">
        <w:rPr>
          <w:rFonts w:ascii="Abadi" w:hAnsi="Abadi" w:cs="Arial"/>
          <w:sz w:val="21"/>
          <w:szCs w:val="21"/>
          <w:lang w:val="x-none" w:eastAsia="x-none"/>
        </w:rPr>
        <w:t>:</w:t>
      </w:r>
    </w:p>
    <w:p w14:paraId="63EE8381" w14:textId="77777777" w:rsidR="00D240B1" w:rsidRPr="00D240B1" w:rsidRDefault="00D240B1" w:rsidP="00D240B1">
      <w:pPr>
        <w:ind w:firstLine="708"/>
        <w:jc w:val="both"/>
        <w:rPr>
          <w:rFonts w:ascii="Abadi" w:hAnsi="Abadi" w:cs="Arial"/>
          <w:sz w:val="21"/>
          <w:szCs w:val="21"/>
          <w:lang w:val="x-none" w:eastAsia="x-none"/>
        </w:rPr>
      </w:pPr>
    </w:p>
    <w:p w14:paraId="70E7BAD6" w14:textId="69B341BB" w:rsidR="00D240B1" w:rsidRPr="00D240B1" w:rsidRDefault="00D240B1" w:rsidP="00D240B1">
      <w:pPr>
        <w:keepNext/>
        <w:jc w:val="center"/>
        <w:outlineLvl w:val="0"/>
        <w:rPr>
          <w:rFonts w:ascii="Abadi" w:eastAsia="Arial Unicode MS" w:hAnsi="Abadi" w:cs="Arial"/>
          <w:b/>
          <w:bCs/>
          <w:smallCaps/>
          <w:sz w:val="21"/>
          <w:szCs w:val="21"/>
        </w:rPr>
      </w:pPr>
      <w:r w:rsidRPr="00D240B1">
        <w:rPr>
          <w:rFonts w:ascii="Abadi" w:eastAsia="Arial Unicode MS" w:hAnsi="Abadi" w:cs="Arial"/>
          <w:b/>
          <w:bCs/>
          <w:smallCaps/>
          <w:sz w:val="21"/>
          <w:szCs w:val="21"/>
        </w:rPr>
        <w:t>A c u e r d o</w:t>
      </w:r>
    </w:p>
    <w:p w14:paraId="04F7920A" w14:textId="77777777" w:rsidR="00D240B1" w:rsidRPr="00D240B1" w:rsidRDefault="00D240B1" w:rsidP="00D240B1">
      <w:pPr>
        <w:rPr>
          <w:rFonts w:ascii="Abadi" w:hAnsi="Abadi"/>
          <w:sz w:val="21"/>
          <w:szCs w:val="21"/>
        </w:rPr>
      </w:pPr>
    </w:p>
    <w:p w14:paraId="28AA4B7F" w14:textId="77777777" w:rsidR="00D240B1" w:rsidRPr="00D240B1" w:rsidRDefault="00D240B1" w:rsidP="00D240B1">
      <w:pPr>
        <w:ind w:firstLine="708"/>
        <w:jc w:val="both"/>
        <w:rPr>
          <w:rFonts w:ascii="Abadi" w:hAnsi="Abadi" w:cs="Arial"/>
          <w:sz w:val="21"/>
          <w:szCs w:val="21"/>
        </w:rPr>
      </w:pPr>
      <w:r w:rsidRPr="00D240B1">
        <w:rPr>
          <w:rFonts w:ascii="Abadi" w:hAnsi="Abadi" w:cs="Arial"/>
          <w:b/>
          <w:bCs/>
          <w:sz w:val="21"/>
          <w:szCs w:val="21"/>
        </w:rPr>
        <w:t xml:space="preserve">Único. </w:t>
      </w:r>
      <w:r w:rsidRPr="00D240B1">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D240B1">
          <w:rPr>
            <w:rFonts w:ascii="Abadi" w:hAnsi="Abadi" w:cs="Arial"/>
            <w:sz w:val="21"/>
            <w:szCs w:val="21"/>
          </w:rPr>
          <w:t>la Constitución Política</w:t>
        </w:r>
      </w:smartTag>
      <w:r w:rsidRPr="00D240B1">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Villagrán, Gto., correspondiente al ejercicio fiscal del año 2020, con base en el informe de resultados formulado por la Auditoría Superior del Estado de Guanajuato.</w:t>
      </w:r>
    </w:p>
    <w:p w14:paraId="488E7414" w14:textId="77777777" w:rsidR="00D240B1" w:rsidRPr="00D240B1" w:rsidRDefault="00D240B1" w:rsidP="00D240B1">
      <w:pPr>
        <w:jc w:val="both"/>
        <w:rPr>
          <w:rFonts w:ascii="Abadi" w:hAnsi="Abadi" w:cs="Arial"/>
          <w:sz w:val="21"/>
          <w:szCs w:val="21"/>
        </w:rPr>
      </w:pPr>
    </w:p>
    <w:p w14:paraId="5535DDA2" w14:textId="7889606C" w:rsidR="00D240B1" w:rsidRPr="00D240B1" w:rsidRDefault="00D240B1" w:rsidP="00D240B1">
      <w:pPr>
        <w:ind w:firstLine="708"/>
        <w:jc w:val="both"/>
        <w:rPr>
          <w:rFonts w:ascii="Abadi" w:hAnsi="Abadi" w:cs="Arial"/>
          <w:sz w:val="21"/>
          <w:szCs w:val="21"/>
          <w:lang w:val="es-MX" w:eastAsia="x-none"/>
        </w:rPr>
      </w:pPr>
      <w:r w:rsidRPr="00D240B1">
        <w:rPr>
          <w:rFonts w:ascii="Abadi" w:hAnsi="Abadi" w:cs="Arial"/>
          <w:sz w:val="21"/>
          <w:szCs w:val="21"/>
          <w:lang w:val="x-none" w:eastAsia="x-none"/>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D240B1">
        <w:rPr>
          <w:rFonts w:ascii="Abadi" w:hAnsi="Abadi" w:cs="Arial"/>
          <w:sz w:val="21"/>
          <w:szCs w:val="21"/>
          <w:lang w:val="es-MX" w:eastAsia="x-none"/>
        </w:rPr>
        <w:t>.</w:t>
      </w:r>
      <w:r w:rsidRPr="00D240B1">
        <w:rPr>
          <w:rFonts w:ascii="Abadi" w:hAnsi="Abadi" w:cs="Arial"/>
          <w:sz w:val="21"/>
          <w:szCs w:val="21"/>
          <w:lang w:val="x-none" w:eastAsia="x-none"/>
        </w:rPr>
        <w:t xml:space="preserve"> </w:t>
      </w:r>
      <w:r w:rsidRPr="00D240B1">
        <w:rPr>
          <w:rFonts w:ascii="Abadi" w:hAnsi="Abadi" w:cs="Arial"/>
          <w:sz w:val="21"/>
          <w:szCs w:val="21"/>
          <w:lang w:val="es-MX" w:eastAsia="x-none"/>
        </w:rPr>
        <w:t>Asimismo, dará</w:t>
      </w:r>
      <w:r w:rsidRPr="00D240B1">
        <w:rPr>
          <w:rFonts w:ascii="Abadi" w:hAnsi="Abadi" w:cs="Arial"/>
          <w:sz w:val="21"/>
          <w:szCs w:val="21"/>
          <w:lang w:val="x-none" w:eastAsia="x-none"/>
        </w:rPr>
        <w:t xml:space="preserve"> seguimiento a la recomendaci</w:t>
      </w:r>
      <w:r w:rsidRPr="00D240B1">
        <w:rPr>
          <w:rFonts w:ascii="Abadi" w:hAnsi="Abadi" w:cs="Arial"/>
          <w:sz w:val="21"/>
          <w:szCs w:val="21"/>
          <w:lang w:val="es-MX" w:eastAsia="x-none"/>
        </w:rPr>
        <w:t>ón</w:t>
      </w:r>
      <w:r w:rsidRPr="00D240B1">
        <w:rPr>
          <w:rFonts w:ascii="Abadi" w:hAnsi="Abadi" w:cs="Arial"/>
          <w:sz w:val="21"/>
          <w:szCs w:val="21"/>
          <w:lang w:val="x-none" w:eastAsia="x-none"/>
        </w:rPr>
        <w:t xml:space="preserve"> no atendida y a las observaciones no solventadas contenidas en el informe de resultados</w:t>
      </w:r>
      <w:r w:rsidRPr="00D240B1">
        <w:rPr>
          <w:rFonts w:ascii="Abadi" w:hAnsi="Abadi" w:cs="Arial"/>
          <w:sz w:val="21"/>
          <w:szCs w:val="21"/>
          <w:lang w:val="es-MX" w:eastAsia="x-none"/>
        </w:rPr>
        <w:t>.</w:t>
      </w:r>
    </w:p>
    <w:p w14:paraId="0E848604" w14:textId="77777777" w:rsidR="00D240B1" w:rsidRPr="00D240B1" w:rsidRDefault="00D240B1" w:rsidP="00D240B1">
      <w:pPr>
        <w:ind w:firstLine="708"/>
        <w:jc w:val="both"/>
        <w:rPr>
          <w:rFonts w:ascii="Abadi" w:hAnsi="Abadi" w:cs="Arial"/>
          <w:sz w:val="21"/>
          <w:szCs w:val="21"/>
          <w:lang w:val="es-MX" w:eastAsia="x-none"/>
        </w:rPr>
      </w:pPr>
    </w:p>
    <w:p w14:paraId="0D160C17" w14:textId="77777777" w:rsidR="00D240B1" w:rsidRPr="00D240B1" w:rsidRDefault="00D240B1" w:rsidP="00D240B1">
      <w:pPr>
        <w:ind w:firstLine="708"/>
        <w:jc w:val="both"/>
        <w:rPr>
          <w:rFonts w:ascii="Abadi" w:hAnsi="Abadi" w:cs="Arial"/>
          <w:sz w:val="21"/>
          <w:szCs w:val="21"/>
        </w:rPr>
      </w:pPr>
      <w:r w:rsidRPr="00D240B1">
        <w:rPr>
          <w:rFonts w:ascii="Abadi" w:hAnsi="Abadi" w:cs="Arial"/>
          <w:sz w:val="21"/>
          <w:szCs w:val="21"/>
        </w:rPr>
        <w:t xml:space="preserve">Se ordena dar vista del informe de resultados al ayuntamiento del municipio de </w:t>
      </w:r>
      <w:r w:rsidRPr="00D240B1">
        <w:rPr>
          <w:rFonts w:ascii="Abadi" w:hAnsi="Abadi" w:cs="Arial"/>
          <w:sz w:val="21"/>
          <w:szCs w:val="21"/>
          <w:lang w:val="es-MX"/>
        </w:rPr>
        <w:t>Villagrán,</w:t>
      </w:r>
      <w:r w:rsidRPr="00D240B1">
        <w:rPr>
          <w:rFonts w:ascii="Abadi" w:hAnsi="Abadi" w:cs="Arial"/>
          <w:sz w:val="21"/>
          <w:szCs w:val="21"/>
        </w:rPr>
        <w:t xml:space="preserve"> Gto., a efecto de que se atienda la recomendación contenida en dicho informe, en el plazo que establece el artículo 66 de </w:t>
      </w:r>
      <w:smartTag w:uri="urn:schemas-microsoft-com:office:smarttags" w:element="PersonName">
        <w:smartTagPr>
          <w:attr w:name="ProductID" w:val="la Ley"/>
        </w:smartTagPr>
        <w:r w:rsidRPr="00D240B1">
          <w:rPr>
            <w:rFonts w:ascii="Abadi" w:hAnsi="Abadi" w:cs="Arial"/>
            <w:sz w:val="21"/>
            <w:szCs w:val="21"/>
          </w:rPr>
          <w:t>la Ley</w:t>
        </w:r>
      </w:smartTag>
      <w:r w:rsidRPr="00D240B1">
        <w:rPr>
          <w:rFonts w:ascii="Abadi" w:hAnsi="Abadi" w:cs="Arial"/>
          <w:sz w:val="21"/>
          <w:szCs w:val="21"/>
        </w:rPr>
        <w:t xml:space="preserve"> de Fiscalización Superior del Estado de Guanajuato, informando a la Auditoría Superior del Estado de Guanajuato de las acciones realizadas para ello, con objeto de que esta última realice el seguimiento correspondiente.</w:t>
      </w:r>
    </w:p>
    <w:p w14:paraId="3112D0AF" w14:textId="77777777" w:rsidR="00D240B1" w:rsidRPr="00D240B1" w:rsidRDefault="00D240B1" w:rsidP="00D240B1">
      <w:pPr>
        <w:jc w:val="both"/>
        <w:rPr>
          <w:rFonts w:ascii="Abadi" w:hAnsi="Abadi" w:cs="Arial"/>
          <w:sz w:val="21"/>
          <w:szCs w:val="21"/>
        </w:rPr>
      </w:pPr>
    </w:p>
    <w:p w14:paraId="39DC9481" w14:textId="77777777" w:rsidR="00D240B1" w:rsidRPr="00D240B1" w:rsidRDefault="00D240B1" w:rsidP="00D240B1">
      <w:pPr>
        <w:ind w:firstLine="708"/>
        <w:jc w:val="both"/>
        <w:rPr>
          <w:rFonts w:ascii="Abadi" w:hAnsi="Abadi" w:cs="Arial"/>
          <w:sz w:val="21"/>
          <w:szCs w:val="21"/>
        </w:rPr>
      </w:pPr>
      <w:r w:rsidRPr="00D240B1">
        <w:rPr>
          <w:rFonts w:ascii="Abadi" w:hAnsi="Abadi" w:cs="Arial"/>
          <w:sz w:val="21"/>
          <w:szCs w:val="21"/>
        </w:rPr>
        <w:t>Remítase el presente acuerdo al titular del Poder Ejecutivo del Estado para su publicación en el Periódico Oficial del Gobierno del Estado.</w:t>
      </w:r>
    </w:p>
    <w:p w14:paraId="2B31F3B4" w14:textId="77777777" w:rsidR="00D240B1" w:rsidRPr="00D240B1" w:rsidRDefault="00D240B1" w:rsidP="00D240B1">
      <w:pPr>
        <w:jc w:val="both"/>
        <w:rPr>
          <w:rFonts w:ascii="Abadi" w:hAnsi="Abadi" w:cs="Arial"/>
          <w:sz w:val="21"/>
          <w:szCs w:val="21"/>
        </w:rPr>
      </w:pPr>
    </w:p>
    <w:p w14:paraId="365F089F" w14:textId="77777777" w:rsidR="00D240B1" w:rsidRPr="00D240B1" w:rsidRDefault="00D240B1" w:rsidP="00D240B1">
      <w:pPr>
        <w:ind w:firstLine="708"/>
        <w:jc w:val="both"/>
        <w:rPr>
          <w:rFonts w:ascii="Abadi" w:hAnsi="Abadi" w:cs="Arial"/>
          <w:sz w:val="21"/>
          <w:szCs w:val="21"/>
          <w:lang w:val="x-none" w:eastAsia="x-none"/>
        </w:rPr>
      </w:pPr>
      <w:r w:rsidRPr="00D240B1">
        <w:rPr>
          <w:rFonts w:ascii="Abadi" w:hAnsi="Abadi" w:cs="Arial"/>
          <w:sz w:val="21"/>
          <w:szCs w:val="21"/>
          <w:lang w:val="x-none"/>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D240B1">
        <w:rPr>
          <w:rFonts w:ascii="Abadi" w:hAnsi="Abadi" w:cs="Arial"/>
          <w:sz w:val="21"/>
          <w:szCs w:val="21"/>
          <w:lang w:val="x-none" w:eastAsia="x-none"/>
        </w:rPr>
        <w:t>.</w:t>
      </w:r>
    </w:p>
    <w:p w14:paraId="76DA997E" w14:textId="77777777" w:rsidR="00D240B1" w:rsidRPr="00D240B1" w:rsidRDefault="00D240B1" w:rsidP="00D240B1">
      <w:pPr>
        <w:jc w:val="center"/>
        <w:rPr>
          <w:rFonts w:ascii="Abadi" w:hAnsi="Abadi" w:cs="Arial"/>
          <w:b/>
          <w:bCs/>
          <w:sz w:val="21"/>
          <w:szCs w:val="21"/>
          <w:lang w:eastAsia="x-none"/>
        </w:rPr>
      </w:pPr>
    </w:p>
    <w:p w14:paraId="3B3F7FE5" w14:textId="77777777" w:rsidR="00D240B1" w:rsidRPr="00D240B1" w:rsidRDefault="00D240B1" w:rsidP="00D240B1">
      <w:pPr>
        <w:jc w:val="center"/>
        <w:rPr>
          <w:rFonts w:ascii="Abadi" w:hAnsi="Abadi" w:cs="Arial"/>
          <w:b/>
          <w:bCs/>
          <w:sz w:val="21"/>
          <w:szCs w:val="21"/>
          <w:lang w:eastAsia="x-none"/>
        </w:rPr>
      </w:pPr>
      <w:r w:rsidRPr="00D240B1">
        <w:rPr>
          <w:rFonts w:ascii="Abadi" w:hAnsi="Abadi" w:cs="Arial"/>
          <w:b/>
          <w:bCs/>
          <w:sz w:val="21"/>
          <w:szCs w:val="21"/>
          <w:lang w:eastAsia="x-none"/>
        </w:rPr>
        <w:t>Guanajuato, Gto., 20 de junio de 2022</w:t>
      </w:r>
    </w:p>
    <w:p w14:paraId="0E1A3741" w14:textId="77777777" w:rsidR="00D240B1" w:rsidRPr="00D240B1" w:rsidRDefault="00D240B1" w:rsidP="00D240B1">
      <w:pPr>
        <w:jc w:val="center"/>
        <w:rPr>
          <w:rFonts w:ascii="Abadi" w:hAnsi="Abadi" w:cs="Arial"/>
          <w:b/>
          <w:bCs/>
          <w:sz w:val="21"/>
          <w:szCs w:val="21"/>
          <w:lang w:eastAsia="x-none"/>
        </w:rPr>
      </w:pPr>
      <w:smartTag w:uri="urn:schemas-microsoft-com:office:smarttags" w:element="PersonName">
        <w:smartTagPr>
          <w:attr w:name="ProductID" w:val="La Comisi￳n"/>
        </w:smartTagPr>
        <w:r w:rsidRPr="00D240B1">
          <w:rPr>
            <w:rFonts w:ascii="Abadi" w:hAnsi="Abadi" w:cs="Arial"/>
            <w:b/>
            <w:bCs/>
            <w:sz w:val="21"/>
            <w:szCs w:val="21"/>
            <w:lang w:eastAsia="x-none"/>
          </w:rPr>
          <w:t>La Comisión</w:t>
        </w:r>
      </w:smartTag>
      <w:r w:rsidRPr="00D240B1">
        <w:rPr>
          <w:rFonts w:ascii="Abadi" w:hAnsi="Abadi" w:cs="Arial"/>
          <w:b/>
          <w:bCs/>
          <w:sz w:val="21"/>
          <w:szCs w:val="21"/>
          <w:lang w:eastAsia="x-none"/>
        </w:rPr>
        <w:t xml:space="preserve"> de Hacienda y Fiscalización</w:t>
      </w:r>
    </w:p>
    <w:p w14:paraId="1EC681E5" w14:textId="77777777" w:rsidR="00D240B1" w:rsidRPr="00D240B1" w:rsidRDefault="00D240B1" w:rsidP="00D240B1">
      <w:pPr>
        <w:jc w:val="center"/>
        <w:rPr>
          <w:rFonts w:ascii="Abadi" w:hAnsi="Abadi" w:cs="Arial"/>
          <w:i/>
          <w:iCs/>
          <w:sz w:val="21"/>
          <w:szCs w:val="21"/>
          <w:lang w:eastAsia="x-none"/>
        </w:rPr>
      </w:pPr>
      <w:r w:rsidRPr="00D240B1">
        <w:rPr>
          <w:rFonts w:ascii="Abadi" w:hAnsi="Abadi" w:cs="Arial"/>
          <w:i/>
          <w:iCs/>
          <w:sz w:val="21"/>
          <w:szCs w:val="21"/>
          <w:lang w:eastAsia="x-none"/>
        </w:rPr>
        <w:t>Firma electrónica</w:t>
      </w:r>
    </w:p>
    <w:p w14:paraId="4071FA65" w14:textId="77777777" w:rsidR="00D240B1" w:rsidRPr="00D240B1" w:rsidRDefault="00D240B1" w:rsidP="00D240B1">
      <w:pPr>
        <w:jc w:val="center"/>
        <w:rPr>
          <w:rFonts w:ascii="Abadi" w:hAnsi="Abadi" w:cs="Arial"/>
          <w:sz w:val="21"/>
          <w:szCs w:val="21"/>
        </w:rPr>
      </w:pPr>
    </w:p>
    <w:p w14:paraId="6F9FC41D" w14:textId="77777777" w:rsidR="00D240B1" w:rsidRPr="00D240B1" w:rsidRDefault="00D240B1" w:rsidP="00D240B1">
      <w:pPr>
        <w:jc w:val="center"/>
        <w:rPr>
          <w:rFonts w:ascii="Abadi" w:hAnsi="Abadi" w:cs="Arial"/>
          <w:sz w:val="21"/>
          <w:szCs w:val="21"/>
        </w:rPr>
      </w:pPr>
    </w:p>
    <w:p w14:paraId="5F337B0E" w14:textId="77777777" w:rsidR="00D240B1" w:rsidRPr="00D240B1" w:rsidRDefault="00D240B1" w:rsidP="00D240B1">
      <w:pPr>
        <w:jc w:val="center"/>
        <w:rPr>
          <w:rFonts w:ascii="Abadi" w:hAnsi="Abadi" w:cs="Arial"/>
          <w:sz w:val="21"/>
          <w:szCs w:val="21"/>
        </w:rPr>
      </w:pPr>
      <w:r w:rsidRPr="00D240B1">
        <w:rPr>
          <w:rFonts w:ascii="Abadi" w:hAnsi="Abadi" w:cs="Arial"/>
          <w:b/>
          <w:sz w:val="21"/>
          <w:szCs w:val="21"/>
          <w:lang w:eastAsia="x-none"/>
        </w:rPr>
        <w:t>Diputado Víctor Manuel Zanella Huerta</w:t>
      </w:r>
    </w:p>
    <w:p w14:paraId="55049EED" w14:textId="77777777" w:rsidR="00D240B1" w:rsidRPr="00D240B1" w:rsidRDefault="00D240B1" w:rsidP="00D240B1">
      <w:pPr>
        <w:jc w:val="center"/>
        <w:rPr>
          <w:rFonts w:ascii="Abadi" w:hAnsi="Abadi" w:cs="Arial"/>
          <w:sz w:val="21"/>
          <w:szCs w:val="21"/>
          <w:lang w:eastAsia="x-none"/>
        </w:rPr>
      </w:pPr>
    </w:p>
    <w:p w14:paraId="37D61D55" w14:textId="77777777" w:rsidR="00D240B1" w:rsidRPr="00D240B1" w:rsidRDefault="00D240B1" w:rsidP="00D240B1">
      <w:pPr>
        <w:rPr>
          <w:rFonts w:ascii="Abadi" w:hAnsi="Abadi" w:cs="Arial"/>
          <w:b/>
          <w:bCs/>
          <w:sz w:val="21"/>
          <w:szCs w:val="21"/>
          <w:lang w:eastAsia="x-none"/>
        </w:rPr>
      </w:pPr>
    </w:p>
    <w:p w14:paraId="2C30051F" w14:textId="231035E1" w:rsidR="00D240B1" w:rsidRPr="00D240B1" w:rsidRDefault="00D240B1" w:rsidP="00D240B1">
      <w:pPr>
        <w:jc w:val="center"/>
        <w:rPr>
          <w:rFonts w:ascii="Abadi" w:hAnsi="Abadi" w:cs="Arial"/>
          <w:b/>
          <w:sz w:val="21"/>
          <w:szCs w:val="21"/>
          <w:lang w:eastAsia="x-none"/>
        </w:rPr>
      </w:pPr>
      <w:r w:rsidRPr="00D240B1">
        <w:rPr>
          <w:rFonts w:ascii="Abadi" w:hAnsi="Abadi" w:cs="Arial"/>
          <w:b/>
          <w:sz w:val="21"/>
          <w:szCs w:val="21"/>
          <w:lang w:eastAsia="x-none"/>
        </w:rPr>
        <w:t>Diputada Ruth Noemí Tiscareño Agoitia</w:t>
      </w:r>
    </w:p>
    <w:p w14:paraId="4941356D" w14:textId="77777777" w:rsidR="00D240B1" w:rsidRPr="00D240B1" w:rsidRDefault="00D240B1" w:rsidP="00D240B1">
      <w:pPr>
        <w:jc w:val="center"/>
        <w:rPr>
          <w:rFonts w:ascii="Abadi" w:hAnsi="Abadi" w:cs="Arial"/>
          <w:b/>
          <w:sz w:val="21"/>
          <w:szCs w:val="21"/>
          <w:lang w:eastAsia="x-none"/>
        </w:rPr>
      </w:pPr>
    </w:p>
    <w:p w14:paraId="65AB7528" w14:textId="77777777" w:rsidR="00D240B1" w:rsidRPr="00D240B1" w:rsidRDefault="00D240B1" w:rsidP="00D240B1">
      <w:pPr>
        <w:jc w:val="center"/>
        <w:rPr>
          <w:rFonts w:ascii="Abadi" w:hAnsi="Abadi" w:cs="Arial"/>
          <w:b/>
          <w:sz w:val="21"/>
          <w:szCs w:val="21"/>
          <w:lang w:eastAsia="x-none"/>
        </w:rPr>
      </w:pPr>
    </w:p>
    <w:p w14:paraId="7DBA6235" w14:textId="1B0ED50E" w:rsidR="00D240B1" w:rsidRPr="00D240B1" w:rsidRDefault="00D240B1" w:rsidP="00D240B1">
      <w:pPr>
        <w:jc w:val="center"/>
        <w:rPr>
          <w:rFonts w:ascii="Abadi" w:hAnsi="Abadi" w:cs="Arial"/>
          <w:b/>
          <w:sz w:val="21"/>
          <w:szCs w:val="21"/>
          <w:lang w:eastAsia="x-none"/>
        </w:rPr>
      </w:pPr>
      <w:r w:rsidRPr="00D240B1">
        <w:rPr>
          <w:rFonts w:ascii="Abadi" w:hAnsi="Abadi" w:cs="Arial"/>
          <w:b/>
          <w:sz w:val="21"/>
          <w:szCs w:val="21"/>
          <w:lang w:eastAsia="x-none"/>
        </w:rPr>
        <w:t>Diputado Miguel Ángel Salim Alle</w:t>
      </w:r>
    </w:p>
    <w:p w14:paraId="725693EC" w14:textId="77777777" w:rsidR="00D240B1" w:rsidRPr="00D240B1" w:rsidRDefault="00D240B1" w:rsidP="00D240B1">
      <w:pPr>
        <w:jc w:val="center"/>
        <w:rPr>
          <w:rFonts w:ascii="Abadi" w:hAnsi="Abadi" w:cs="Arial"/>
          <w:b/>
          <w:sz w:val="21"/>
          <w:szCs w:val="21"/>
          <w:lang w:eastAsia="x-none"/>
        </w:rPr>
      </w:pPr>
    </w:p>
    <w:p w14:paraId="7E75AA8F" w14:textId="77777777" w:rsidR="00D240B1" w:rsidRPr="00D240B1" w:rsidRDefault="00D240B1" w:rsidP="00D240B1">
      <w:pPr>
        <w:jc w:val="center"/>
        <w:rPr>
          <w:rFonts w:ascii="Abadi" w:hAnsi="Abadi" w:cs="Arial"/>
          <w:b/>
          <w:sz w:val="21"/>
          <w:szCs w:val="21"/>
          <w:lang w:eastAsia="x-none"/>
        </w:rPr>
      </w:pPr>
    </w:p>
    <w:p w14:paraId="031D2A76" w14:textId="3FEFD0A1" w:rsidR="00D240B1" w:rsidRPr="00D240B1" w:rsidRDefault="00D240B1" w:rsidP="00D240B1">
      <w:pPr>
        <w:jc w:val="center"/>
        <w:rPr>
          <w:rFonts w:ascii="Abadi" w:hAnsi="Abadi" w:cs="Arial"/>
          <w:b/>
          <w:sz w:val="21"/>
          <w:szCs w:val="21"/>
          <w:lang w:eastAsia="x-none"/>
        </w:rPr>
      </w:pPr>
      <w:r w:rsidRPr="00D240B1">
        <w:rPr>
          <w:rFonts w:ascii="Abadi" w:hAnsi="Abadi" w:cs="Arial"/>
          <w:b/>
          <w:sz w:val="21"/>
          <w:szCs w:val="21"/>
          <w:lang w:eastAsia="x-none"/>
        </w:rPr>
        <w:t>Diputado José Alfonso Borja Pimentel</w:t>
      </w:r>
    </w:p>
    <w:p w14:paraId="10F2A3BF" w14:textId="77777777" w:rsidR="00D240B1" w:rsidRPr="00D240B1" w:rsidRDefault="00D240B1" w:rsidP="00D240B1">
      <w:pPr>
        <w:jc w:val="center"/>
        <w:rPr>
          <w:rFonts w:ascii="Abadi" w:hAnsi="Abadi" w:cs="Arial"/>
          <w:b/>
          <w:sz w:val="21"/>
          <w:szCs w:val="21"/>
          <w:lang w:eastAsia="x-none"/>
        </w:rPr>
      </w:pPr>
    </w:p>
    <w:p w14:paraId="478096AD" w14:textId="77777777" w:rsidR="00D240B1" w:rsidRPr="00D240B1" w:rsidRDefault="00D240B1" w:rsidP="00D240B1">
      <w:pPr>
        <w:jc w:val="center"/>
        <w:rPr>
          <w:rFonts w:ascii="Abadi" w:hAnsi="Abadi" w:cs="Arial"/>
          <w:b/>
          <w:sz w:val="21"/>
          <w:szCs w:val="21"/>
          <w:lang w:eastAsia="x-none"/>
        </w:rPr>
      </w:pPr>
    </w:p>
    <w:p w14:paraId="2B2155D9" w14:textId="77777777" w:rsidR="00D240B1" w:rsidRPr="00D240B1" w:rsidRDefault="00D240B1" w:rsidP="00D240B1">
      <w:pPr>
        <w:jc w:val="center"/>
        <w:rPr>
          <w:rFonts w:ascii="Abadi" w:hAnsi="Abadi" w:cs="Arial"/>
          <w:b/>
          <w:sz w:val="21"/>
          <w:szCs w:val="21"/>
          <w:lang w:eastAsia="x-none"/>
        </w:rPr>
      </w:pPr>
      <w:r w:rsidRPr="00D240B1">
        <w:rPr>
          <w:rFonts w:ascii="Abadi" w:hAnsi="Abadi" w:cs="Arial"/>
          <w:b/>
          <w:sz w:val="21"/>
          <w:szCs w:val="21"/>
          <w:lang w:eastAsia="x-none"/>
        </w:rPr>
        <w:t>Diputada Alma Edwviges Alcaraz Hernández</w:t>
      </w:r>
    </w:p>
    <w:p w14:paraId="38E727FF" w14:textId="6AFF42F9" w:rsidR="00D240B1" w:rsidRPr="00D240B1" w:rsidRDefault="00D240B1" w:rsidP="00D240B1">
      <w:pPr>
        <w:jc w:val="center"/>
        <w:rPr>
          <w:rFonts w:ascii="Abadi" w:hAnsi="Abadi" w:cs="Arial"/>
          <w:bCs/>
          <w:sz w:val="21"/>
          <w:szCs w:val="21"/>
          <w:lang w:eastAsia="x-none"/>
        </w:rPr>
      </w:pPr>
      <w:r w:rsidRPr="00D240B1">
        <w:rPr>
          <w:rFonts w:ascii="Abadi" w:hAnsi="Abadi" w:cs="Arial"/>
          <w:bCs/>
          <w:sz w:val="21"/>
          <w:szCs w:val="21"/>
          <w:lang w:eastAsia="x-none"/>
        </w:rPr>
        <w:t>Voto en contra</w:t>
      </w:r>
    </w:p>
    <w:p w14:paraId="3D604AB8" w14:textId="49526D09" w:rsidR="00825E6F" w:rsidRDefault="00825E6F" w:rsidP="00490E36">
      <w:pPr>
        <w:tabs>
          <w:tab w:val="left" w:pos="856"/>
        </w:tabs>
        <w:kinsoku w:val="0"/>
        <w:overflowPunct w:val="0"/>
        <w:autoSpaceDE w:val="0"/>
        <w:autoSpaceDN w:val="0"/>
        <w:adjustRightInd w:val="0"/>
        <w:ind w:right="17"/>
        <w:jc w:val="both"/>
        <w:rPr>
          <w:rFonts w:ascii="Abadi" w:hAnsi="Abadi"/>
          <w:sz w:val="20"/>
          <w:szCs w:val="20"/>
        </w:rPr>
      </w:pPr>
    </w:p>
    <w:p w14:paraId="7A2DCA62" w14:textId="77777777" w:rsidR="00490E36" w:rsidRPr="00490E36" w:rsidRDefault="00490E36" w:rsidP="00490E36">
      <w:pPr>
        <w:tabs>
          <w:tab w:val="left" w:pos="856"/>
        </w:tabs>
        <w:kinsoku w:val="0"/>
        <w:overflowPunct w:val="0"/>
        <w:autoSpaceDE w:val="0"/>
        <w:autoSpaceDN w:val="0"/>
        <w:adjustRightInd w:val="0"/>
        <w:ind w:right="17"/>
        <w:jc w:val="both"/>
        <w:rPr>
          <w:rFonts w:ascii="Abadi" w:hAnsi="Abadi"/>
          <w:sz w:val="20"/>
          <w:szCs w:val="20"/>
        </w:rPr>
      </w:pPr>
    </w:p>
    <w:p w14:paraId="1527EBC3" w14:textId="12DA1105" w:rsidR="00825E6F" w:rsidRDefault="00825E6F"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1"/>
          <w:sz w:val="20"/>
          <w:szCs w:val="20"/>
        </w:rPr>
        <w:t xml:space="preserve"> </w:t>
      </w:r>
      <w:r w:rsidRPr="00531B12">
        <w:rPr>
          <w:rFonts w:ascii="Abadi" w:hAnsi="Abadi"/>
          <w:b/>
          <w:bCs/>
          <w:sz w:val="20"/>
          <w:szCs w:val="20"/>
        </w:rPr>
        <w:t>Y,</w:t>
      </w:r>
      <w:r w:rsidRPr="00531B12">
        <w:rPr>
          <w:rFonts w:ascii="Abadi" w:hAnsi="Abadi"/>
          <w:b/>
          <w:bCs/>
          <w:spacing w:val="11"/>
          <w:sz w:val="20"/>
          <w:szCs w:val="20"/>
        </w:rPr>
        <w:t xml:space="preserve"> </w:t>
      </w:r>
      <w:r w:rsidRPr="00531B12">
        <w:rPr>
          <w:rFonts w:ascii="Abadi" w:hAnsi="Abadi"/>
          <w:b/>
          <w:bCs/>
          <w:sz w:val="20"/>
          <w:szCs w:val="20"/>
        </w:rPr>
        <w:t>EN</w:t>
      </w:r>
      <w:r w:rsidRPr="00531B12">
        <w:rPr>
          <w:rFonts w:ascii="Abadi" w:hAnsi="Abadi"/>
          <w:b/>
          <w:bCs/>
          <w:spacing w:val="11"/>
          <w:sz w:val="20"/>
          <w:szCs w:val="20"/>
        </w:rPr>
        <w:t xml:space="preserve"> </w:t>
      </w:r>
      <w:r w:rsidRPr="00531B12">
        <w:rPr>
          <w:rFonts w:ascii="Abadi" w:hAnsi="Abadi"/>
          <w:b/>
          <w:bCs/>
          <w:sz w:val="20"/>
          <w:szCs w:val="20"/>
        </w:rPr>
        <w:t>SU</w:t>
      </w:r>
      <w:r w:rsidRPr="00531B12">
        <w:rPr>
          <w:rFonts w:ascii="Abadi" w:hAnsi="Abadi"/>
          <w:b/>
          <w:bCs/>
          <w:spacing w:val="11"/>
          <w:sz w:val="20"/>
          <w:szCs w:val="20"/>
        </w:rPr>
        <w:t xml:space="preserve"> </w:t>
      </w:r>
      <w:r w:rsidRPr="00531B12">
        <w:rPr>
          <w:rFonts w:ascii="Abadi" w:hAnsi="Abadi"/>
          <w:b/>
          <w:bCs/>
          <w:sz w:val="20"/>
          <w:szCs w:val="20"/>
        </w:rPr>
        <w:t>CASO,</w:t>
      </w:r>
      <w:r w:rsidRPr="00531B12">
        <w:rPr>
          <w:rFonts w:ascii="Abadi" w:hAnsi="Abadi"/>
          <w:b/>
          <w:bCs/>
          <w:spacing w:val="11"/>
          <w:sz w:val="20"/>
          <w:szCs w:val="20"/>
        </w:rPr>
        <w:t xml:space="preserve"> </w:t>
      </w:r>
      <w:r w:rsidRPr="00531B12">
        <w:rPr>
          <w:rFonts w:ascii="Abadi" w:hAnsi="Abadi"/>
          <w:b/>
          <w:bCs/>
          <w:sz w:val="20"/>
          <w:szCs w:val="20"/>
        </w:rPr>
        <w:t>APROBACIÓN</w:t>
      </w:r>
      <w:r w:rsidRPr="00531B12">
        <w:rPr>
          <w:rFonts w:ascii="Abadi" w:hAnsi="Abadi"/>
          <w:b/>
          <w:bCs/>
          <w:spacing w:val="11"/>
          <w:sz w:val="20"/>
          <w:szCs w:val="20"/>
        </w:rPr>
        <w:t xml:space="preserve"> </w:t>
      </w:r>
      <w:r w:rsidRPr="00531B12">
        <w:rPr>
          <w:rFonts w:ascii="Abadi" w:hAnsi="Abadi"/>
          <w:b/>
          <w:bCs/>
          <w:sz w:val="20"/>
          <w:szCs w:val="20"/>
        </w:rPr>
        <w:t>DEL</w:t>
      </w:r>
      <w:r w:rsidRPr="00531B12">
        <w:rPr>
          <w:rFonts w:ascii="Abadi" w:hAnsi="Abadi"/>
          <w:b/>
          <w:bCs/>
          <w:spacing w:val="11"/>
          <w:sz w:val="20"/>
          <w:szCs w:val="20"/>
        </w:rPr>
        <w:t xml:space="preserve"> </w:t>
      </w:r>
      <w:r w:rsidRPr="00531B12">
        <w:rPr>
          <w:rFonts w:ascii="Abadi" w:hAnsi="Abadi"/>
          <w:b/>
          <w:bCs/>
          <w:sz w:val="20"/>
          <w:szCs w:val="20"/>
        </w:rPr>
        <w:t>DICTAMEN</w:t>
      </w:r>
      <w:r w:rsidRPr="00531B12">
        <w:rPr>
          <w:rFonts w:ascii="Abadi" w:hAnsi="Abadi"/>
          <w:b/>
          <w:bCs/>
          <w:spacing w:val="11"/>
          <w:sz w:val="20"/>
          <w:szCs w:val="20"/>
        </w:rPr>
        <w:t xml:space="preserve"> </w:t>
      </w:r>
      <w:r w:rsidRPr="00531B12">
        <w:rPr>
          <w:rFonts w:ascii="Abadi" w:hAnsi="Abadi"/>
          <w:b/>
          <w:bCs/>
          <w:sz w:val="20"/>
          <w:szCs w:val="20"/>
        </w:rPr>
        <w:t>SIGNADO</w:t>
      </w:r>
      <w:r w:rsidRPr="00531B12">
        <w:rPr>
          <w:rFonts w:ascii="Abadi" w:hAnsi="Abadi"/>
          <w:b/>
          <w:bCs/>
          <w:spacing w:val="11"/>
          <w:sz w:val="20"/>
          <w:szCs w:val="20"/>
        </w:rPr>
        <w:t xml:space="preserve"> </w:t>
      </w:r>
      <w:r w:rsidRPr="00531B12">
        <w:rPr>
          <w:rFonts w:ascii="Abadi" w:hAnsi="Abadi"/>
          <w:b/>
          <w:bCs/>
          <w:sz w:val="20"/>
          <w:szCs w:val="20"/>
        </w:rPr>
        <w:t>POR</w:t>
      </w:r>
      <w:r w:rsidRPr="00531B12">
        <w:rPr>
          <w:rFonts w:ascii="Abadi" w:hAnsi="Abadi"/>
          <w:b/>
          <w:bCs/>
          <w:spacing w:val="11"/>
          <w:sz w:val="20"/>
          <w:szCs w:val="20"/>
        </w:rPr>
        <w:t xml:space="preserve"> </w:t>
      </w:r>
      <w:r w:rsidRPr="00531B12">
        <w:rPr>
          <w:rFonts w:ascii="Abadi" w:hAnsi="Abadi"/>
          <w:b/>
          <w:bCs/>
          <w:sz w:val="20"/>
          <w:szCs w:val="20"/>
        </w:rPr>
        <w:t>LA</w:t>
      </w:r>
      <w:r w:rsidRPr="00531B12">
        <w:rPr>
          <w:rFonts w:ascii="Abadi" w:hAnsi="Abadi"/>
          <w:b/>
          <w:bCs/>
          <w:spacing w:val="11"/>
          <w:sz w:val="20"/>
          <w:szCs w:val="20"/>
        </w:rPr>
        <w:t xml:space="preserve"> </w:t>
      </w:r>
      <w:r w:rsidRPr="00531B12">
        <w:rPr>
          <w:rFonts w:ascii="Abadi" w:hAnsi="Abadi"/>
          <w:b/>
          <w:bCs/>
          <w:sz w:val="20"/>
          <w:szCs w:val="20"/>
        </w:rPr>
        <w:t>COMISIÓN DE</w:t>
      </w:r>
      <w:r w:rsidRPr="00531B12">
        <w:rPr>
          <w:rFonts w:ascii="Abadi" w:hAnsi="Abadi"/>
          <w:b/>
          <w:bCs/>
          <w:spacing w:val="10"/>
          <w:sz w:val="20"/>
          <w:szCs w:val="20"/>
        </w:rPr>
        <w:t xml:space="preserve"> </w:t>
      </w:r>
      <w:r w:rsidRPr="00531B12">
        <w:rPr>
          <w:rFonts w:ascii="Abadi" w:hAnsi="Abadi"/>
          <w:b/>
          <w:bCs/>
          <w:sz w:val="20"/>
          <w:szCs w:val="20"/>
        </w:rPr>
        <w:t>HACIENDA</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0"/>
          <w:sz w:val="20"/>
          <w:szCs w:val="20"/>
        </w:rPr>
        <w:t xml:space="preserve"> </w:t>
      </w:r>
      <w:r w:rsidRPr="00531B12">
        <w:rPr>
          <w:rFonts w:ascii="Abadi" w:hAnsi="Abadi"/>
          <w:b/>
          <w:bCs/>
          <w:sz w:val="20"/>
          <w:szCs w:val="20"/>
        </w:rPr>
        <w:t>FISCALIZACIÓN</w:t>
      </w:r>
      <w:r w:rsidRPr="00531B12">
        <w:rPr>
          <w:rFonts w:ascii="Abadi" w:hAnsi="Abadi"/>
          <w:b/>
          <w:bCs/>
          <w:spacing w:val="10"/>
          <w:sz w:val="20"/>
          <w:szCs w:val="20"/>
        </w:rPr>
        <w:t xml:space="preserve"> </w:t>
      </w:r>
      <w:r w:rsidRPr="00531B12">
        <w:rPr>
          <w:rFonts w:ascii="Abadi" w:hAnsi="Abadi"/>
          <w:b/>
          <w:bCs/>
          <w:sz w:val="20"/>
          <w:szCs w:val="20"/>
        </w:rPr>
        <w:t>RELATIVO</w:t>
      </w:r>
      <w:r w:rsidRPr="00531B12">
        <w:rPr>
          <w:rFonts w:ascii="Abadi" w:hAnsi="Abadi"/>
          <w:b/>
          <w:bCs/>
          <w:spacing w:val="10"/>
          <w:sz w:val="20"/>
          <w:szCs w:val="20"/>
        </w:rPr>
        <w:t xml:space="preserve"> </w:t>
      </w:r>
      <w:r w:rsidRPr="00531B12">
        <w:rPr>
          <w:rFonts w:ascii="Abadi" w:hAnsi="Abadi"/>
          <w:b/>
          <w:bCs/>
          <w:sz w:val="20"/>
          <w:szCs w:val="20"/>
        </w:rPr>
        <w:t>AL</w:t>
      </w:r>
      <w:r w:rsidRPr="00531B12">
        <w:rPr>
          <w:rFonts w:ascii="Abadi" w:hAnsi="Abadi"/>
          <w:b/>
          <w:bCs/>
          <w:spacing w:val="9"/>
          <w:sz w:val="20"/>
          <w:szCs w:val="20"/>
        </w:rPr>
        <w:t xml:space="preserve"> </w:t>
      </w:r>
      <w:r w:rsidRPr="00531B12">
        <w:rPr>
          <w:rFonts w:ascii="Abadi" w:hAnsi="Abadi"/>
          <w:b/>
          <w:bCs/>
          <w:sz w:val="20"/>
          <w:szCs w:val="20"/>
        </w:rPr>
        <w:t>INFORME</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RESULTADOS</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REVISIÓN PRACTICADA</w:t>
      </w:r>
      <w:r w:rsidRPr="00531B12">
        <w:rPr>
          <w:rFonts w:ascii="Abadi" w:hAnsi="Abadi"/>
          <w:b/>
          <w:bCs/>
          <w:spacing w:val="10"/>
          <w:sz w:val="20"/>
          <w:szCs w:val="20"/>
        </w:rPr>
        <w:t xml:space="preserve"> </w:t>
      </w:r>
      <w:r w:rsidRPr="00531B12">
        <w:rPr>
          <w:rFonts w:ascii="Abadi" w:hAnsi="Abadi"/>
          <w:b/>
          <w:bCs/>
          <w:sz w:val="20"/>
          <w:szCs w:val="20"/>
        </w:rPr>
        <w:t>POR</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AUDITORÍA</w:t>
      </w:r>
      <w:r w:rsidRPr="00531B12">
        <w:rPr>
          <w:rFonts w:ascii="Abadi" w:hAnsi="Abadi"/>
          <w:b/>
          <w:bCs/>
          <w:spacing w:val="10"/>
          <w:sz w:val="20"/>
          <w:szCs w:val="20"/>
        </w:rPr>
        <w:t xml:space="preserve"> </w:t>
      </w:r>
      <w:r w:rsidRPr="00531B12">
        <w:rPr>
          <w:rFonts w:ascii="Abadi" w:hAnsi="Abadi"/>
          <w:b/>
          <w:bCs/>
          <w:sz w:val="20"/>
          <w:szCs w:val="20"/>
        </w:rPr>
        <w:t>SUPERIOR</w:t>
      </w:r>
      <w:r w:rsidRPr="00531B12">
        <w:rPr>
          <w:rFonts w:ascii="Abadi" w:hAnsi="Abadi"/>
          <w:b/>
          <w:bCs/>
          <w:spacing w:val="9"/>
          <w:sz w:val="20"/>
          <w:szCs w:val="20"/>
        </w:rPr>
        <w:t xml:space="preserve"> </w:t>
      </w:r>
      <w:r w:rsidRPr="00531B12">
        <w:rPr>
          <w:rFonts w:ascii="Abadi" w:hAnsi="Abadi"/>
          <w:b/>
          <w:bCs/>
          <w:sz w:val="20"/>
          <w:szCs w:val="20"/>
        </w:rPr>
        <w:t>DEL</w:t>
      </w:r>
      <w:r w:rsidRPr="00531B12">
        <w:rPr>
          <w:rFonts w:ascii="Abadi" w:hAnsi="Abadi"/>
          <w:b/>
          <w:bCs/>
          <w:spacing w:val="9"/>
          <w:sz w:val="20"/>
          <w:szCs w:val="20"/>
        </w:rPr>
        <w:t xml:space="preserve"> </w:t>
      </w:r>
      <w:r w:rsidRPr="00531B12">
        <w:rPr>
          <w:rFonts w:ascii="Abadi" w:hAnsi="Abadi"/>
          <w:b/>
          <w:bCs/>
          <w:sz w:val="20"/>
          <w:szCs w:val="20"/>
        </w:rPr>
        <w:t>ESTADO</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GUANAJUATO,</w:t>
      </w:r>
      <w:r w:rsidRPr="00531B12">
        <w:rPr>
          <w:rFonts w:ascii="Abadi" w:hAnsi="Abadi"/>
          <w:b/>
          <w:bCs/>
          <w:spacing w:val="9"/>
          <w:sz w:val="20"/>
          <w:szCs w:val="20"/>
        </w:rPr>
        <w:t xml:space="preserve"> </w:t>
      </w:r>
      <w:r w:rsidRPr="00531B12">
        <w:rPr>
          <w:rFonts w:ascii="Abadi" w:hAnsi="Abadi"/>
          <w:b/>
          <w:bCs/>
          <w:sz w:val="20"/>
          <w:szCs w:val="20"/>
        </w:rPr>
        <w:t>A</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CUENTA PÚBLICA</w:t>
      </w:r>
      <w:r w:rsidRPr="00531B12">
        <w:rPr>
          <w:rFonts w:ascii="Abadi" w:hAnsi="Abadi"/>
          <w:b/>
          <w:bCs/>
          <w:spacing w:val="-3"/>
          <w:sz w:val="20"/>
          <w:szCs w:val="20"/>
        </w:rPr>
        <w:t xml:space="preserve"> </w:t>
      </w:r>
      <w:r w:rsidRPr="00531B12">
        <w:rPr>
          <w:rFonts w:ascii="Abadi" w:hAnsi="Abadi"/>
          <w:b/>
          <w:bCs/>
          <w:sz w:val="20"/>
          <w:szCs w:val="20"/>
        </w:rPr>
        <w:t>MUNICIPAL</w:t>
      </w:r>
      <w:r w:rsidRPr="00531B12">
        <w:rPr>
          <w:rFonts w:ascii="Abadi" w:hAnsi="Abadi"/>
          <w:b/>
          <w:bCs/>
          <w:spacing w:val="-2"/>
          <w:sz w:val="20"/>
          <w:szCs w:val="20"/>
        </w:rPr>
        <w:t xml:space="preserve"> </w:t>
      </w:r>
      <w:r w:rsidRPr="00531B12">
        <w:rPr>
          <w:rFonts w:ascii="Abadi" w:hAnsi="Abadi"/>
          <w:b/>
          <w:bCs/>
          <w:sz w:val="20"/>
          <w:szCs w:val="20"/>
        </w:rPr>
        <w:t>DE</w:t>
      </w:r>
      <w:r w:rsidRPr="00531B12">
        <w:rPr>
          <w:rFonts w:ascii="Abadi" w:hAnsi="Abadi"/>
          <w:b/>
          <w:bCs/>
          <w:spacing w:val="-2"/>
          <w:sz w:val="20"/>
          <w:szCs w:val="20"/>
        </w:rPr>
        <w:t xml:space="preserve"> </w:t>
      </w:r>
      <w:r w:rsidRPr="00531B12">
        <w:rPr>
          <w:rFonts w:ascii="Abadi" w:hAnsi="Abadi"/>
          <w:b/>
          <w:bCs/>
          <w:sz w:val="20"/>
          <w:szCs w:val="20"/>
        </w:rPr>
        <w:t>YURIRIA,</w:t>
      </w:r>
      <w:r w:rsidRPr="00531B12">
        <w:rPr>
          <w:rFonts w:ascii="Abadi" w:hAnsi="Abadi"/>
          <w:b/>
          <w:bCs/>
          <w:spacing w:val="-3"/>
          <w:sz w:val="20"/>
          <w:szCs w:val="20"/>
        </w:rPr>
        <w:t xml:space="preserve"> </w:t>
      </w:r>
      <w:r w:rsidRPr="00531B12">
        <w:rPr>
          <w:rFonts w:ascii="Abadi" w:hAnsi="Abadi"/>
          <w:b/>
          <w:bCs/>
          <w:sz w:val="20"/>
          <w:szCs w:val="20"/>
        </w:rPr>
        <w:t>GTO.,</w:t>
      </w:r>
      <w:r w:rsidRPr="00531B12">
        <w:rPr>
          <w:rFonts w:ascii="Abadi" w:hAnsi="Abadi"/>
          <w:b/>
          <w:bCs/>
          <w:spacing w:val="-2"/>
          <w:sz w:val="20"/>
          <w:szCs w:val="20"/>
        </w:rPr>
        <w:t xml:space="preserve"> </w:t>
      </w:r>
      <w:r w:rsidRPr="00531B12">
        <w:rPr>
          <w:rFonts w:ascii="Abadi" w:hAnsi="Abadi"/>
          <w:b/>
          <w:bCs/>
          <w:sz w:val="20"/>
          <w:szCs w:val="20"/>
        </w:rPr>
        <w:t>CORRESPONDIENTE</w:t>
      </w:r>
      <w:r w:rsidRPr="00531B12">
        <w:rPr>
          <w:rFonts w:ascii="Abadi" w:hAnsi="Abadi"/>
          <w:b/>
          <w:bCs/>
          <w:spacing w:val="-3"/>
          <w:sz w:val="20"/>
          <w:szCs w:val="20"/>
        </w:rPr>
        <w:t xml:space="preserve"> </w:t>
      </w:r>
      <w:r w:rsidRPr="00531B12">
        <w:rPr>
          <w:rFonts w:ascii="Abadi" w:hAnsi="Abadi"/>
          <w:b/>
          <w:bCs/>
          <w:sz w:val="20"/>
          <w:szCs w:val="20"/>
        </w:rPr>
        <w:t>AL</w:t>
      </w:r>
      <w:r w:rsidRPr="00531B12">
        <w:rPr>
          <w:rFonts w:ascii="Abadi" w:hAnsi="Abadi"/>
          <w:b/>
          <w:bCs/>
          <w:spacing w:val="-3"/>
          <w:sz w:val="20"/>
          <w:szCs w:val="20"/>
        </w:rPr>
        <w:t xml:space="preserve"> </w:t>
      </w:r>
      <w:r w:rsidRPr="00531B12">
        <w:rPr>
          <w:rFonts w:ascii="Abadi" w:hAnsi="Abadi"/>
          <w:b/>
          <w:bCs/>
          <w:sz w:val="20"/>
          <w:szCs w:val="20"/>
        </w:rPr>
        <w:t>EJERCICIO</w:t>
      </w:r>
      <w:r w:rsidRPr="00531B12">
        <w:rPr>
          <w:rFonts w:ascii="Abadi" w:hAnsi="Abadi"/>
          <w:b/>
          <w:bCs/>
          <w:spacing w:val="-3"/>
          <w:sz w:val="20"/>
          <w:szCs w:val="20"/>
        </w:rPr>
        <w:t xml:space="preserve"> </w:t>
      </w:r>
      <w:r w:rsidRPr="00531B12">
        <w:rPr>
          <w:rFonts w:ascii="Abadi" w:hAnsi="Abadi"/>
          <w:b/>
          <w:bCs/>
          <w:sz w:val="20"/>
          <w:szCs w:val="20"/>
        </w:rPr>
        <w:t>FISCAL</w:t>
      </w:r>
      <w:r w:rsidRPr="00531B12">
        <w:rPr>
          <w:rFonts w:ascii="Abadi" w:hAnsi="Abadi"/>
          <w:b/>
          <w:bCs/>
          <w:spacing w:val="-3"/>
          <w:sz w:val="20"/>
          <w:szCs w:val="20"/>
        </w:rPr>
        <w:t xml:space="preserve"> </w:t>
      </w:r>
      <w:r w:rsidRPr="00531B12">
        <w:rPr>
          <w:rFonts w:ascii="Abadi" w:hAnsi="Abadi"/>
          <w:b/>
          <w:bCs/>
          <w:sz w:val="20"/>
          <w:szCs w:val="20"/>
        </w:rPr>
        <w:t>DEL</w:t>
      </w:r>
      <w:r w:rsidRPr="00531B12">
        <w:rPr>
          <w:rFonts w:ascii="Abadi" w:hAnsi="Abadi"/>
          <w:b/>
          <w:bCs/>
          <w:spacing w:val="-3"/>
          <w:sz w:val="20"/>
          <w:szCs w:val="20"/>
        </w:rPr>
        <w:t xml:space="preserve"> </w:t>
      </w:r>
      <w:r w:rsidRPr="00531B12">
        <w:rPr>
          <w:rFonts w:ascii="Abadi" w:hAnsi="Abadi"/>
          <w:b/>
          <w:bCs/>
          <w:sz w:val="20"/>
          <w:szCs w:val="20"/>
        </w:rPr>
        <w:t>AÑO 2020.</w:t>
      </w:r>
    </w:p>
    <w:p w14:paraId="52CBAAA2" w14:textId="181C14D5" w:rsidR="00D240B1" w:rsidRDefault="00D240B1" w:rsidP="00D240B1">
      <w:pPr>
        <w:tabs>
          <w:tab w:val="left" w:pos="856"/>
        </w:tabs>
        <w:kinsoku w:val="0"/>
        <w:overflowPunct w:val="0"/>
        <w:autoSpaceDE w:val="0"/>
        <w:autoSpaceDN w:val="0"/>
        <w:adjustRightInd w:val="0"/>
        <w:ind w:left="360" w:right="17"/>
        <w:jc w:val="both"/>
        <w:rPr>
          <w:rFonts w:ascii="Abadi" w:hAnsi="Abadi"/>
          <w:sz w:val="20"/>
          <w:szCs w:val="20"/>
        </w:rPr>
      </w:pPr>
    </w:p>
    <w:p w14:paraId="502EEB9E" w14:textId="77777777" w:rsidR="00126EE6" w:rsidRPr="00126EE6" w:rsidRDefault="00126EE6" w:rsidP="00126EE6">
      <w:pPr>
        <w:jc w:val="both"/>
        <w:rPr>
          <w:rFonts w:ascii="Abadi" w:hAnsi="Abadi" w:cs="Arial"/>
          <w:b/>
          <w:bCs/>
          <w:smallCaps/>
          <w:sz w:val="21"/>
          <w:szCs w:val="21"/>
          <w:lang w:val="es-MX"/>
        </w:rPr>
      </w:pPr>
      <w:r w:rsidRPr="00126EE6">
        <w:rPr>
          <w:rFonts w:ascii="Abadi" w:hAnsi="Abadi" w:cs="Arial"/>
          <w:b/>
          <w:bCs/>
          <w:smallCaps/>
          <w:sz w:val="21"/>
          <w:szCs w:val="21"/>
          <w:lang w:val="es-MX"/>
        </w:rPr>
        <w:t>C. Presidenta del Congreso del Estado</w:t>
      </w:r>
    </w:p>
    <w:p w14:paraId="3311DCCC" w14:textId="77777777" w:rsidR="00126EE6" w:rsidRPr="00126EE6" w:rsidRDefault="00126EE6" w:rsidP="00126EE6">
      <w:pPr>
        <w:jc w:val="both"/>
        <w:rPr>
          <w:rFonts w:ascii="Abadi" w:hAnsi="Abadi" w:cs="Arial"/>
          <w:b/>
          <w:bCs/>
          <w:smallCaps/>
          <w:sz w:val="21"/>
          <w:szCs w:val="21"/>
        </w:rPr>
      </w:pPr>
      <w:r w:rsidRPr="00126EE6">
        <w:rPr>
          <w:rFonts w:ascii="Abadi" w:hAnsi="Abadi" w:cs="Arial"/>
          <w:b/>
          <w:bCs/>
          <w:smallCaps/>
          <w:sz w:val="21"/>
          <w:szCs w:val="21"/>
        </w:rPr>
        <w:t>P r e s e n t e.</w:t>
      </w:r>
    </w:p>
    <w:p w14:paraId="4F505420" w14:textId="77777777" w:rsidR="00126EE6" w:rsidRPr="00126EE6" w:rsidRDefault="00126EE6" w:rsidP="00126EE6">
      <w:pPr>
        <w:jc w:val="both"/>
        <w:rPr>
          <w:rFonts w:ascii="Abadi" w:hAnsi="Abadi" w:cs="Arial"/>
          <w:sz w:val="21"/>
          <w:szCs w:val="21"/>
          <w:lang w:val="es-MX" w:eastAsia="x-none"/>
        </w:rPr>
      </w:pPr>
    </w:p>
    <w:p w14:paraId="57B83D8B" w14:textId="77777777" w:rsidR="00126EE6" w:rsidRPr="00126EE6" w:rsidRDefault="00126EE6" w:rsidP="00126EE6">
      <w:pPr>
        <w:ind w:firstLine="708"/>
        <w:jc w:val="both"/>
        <w:rPr>
          <w:rFonts w:ascii="Abadi" w:hAnsi="Abadi" w:cs="Arial"/>
          <w:sz w:val="21"/>
          <w:szCs w:val="21"/>
          <w:lang w:val="x-none" w:eastAsia="x-none"/>
        </w:rPr>
      </w:pPr>
      <w:r w:rsidRPr="00126EE6">
        <w:rPr>
          <w:rFonts w:ascii="Abadi" w:hAnsi="Abadi" w:cs="Arial"/>
          <w:sz w:val="21"/>
          <w:szCs w:val="21"/>
          <w:lang w:val="x-none" w:eastAsia="x-none"/>
        </w:rPr>
        <w:t xml:space="preserve">A </w:t>
      </w:r>
      <w:r w:rsidRPr="00126EE6">
        <w:rPr>
          <w:rFonts w:ascii="Abadi" w:hAnsi="Abadi" w:cs="Arial"/>
          <w:sz w:val="21"/>
          <w:szCs w:val="21"/>
          <w:lang w:val="es-MX" w:eastAsia="x-none"/>
        </w:rPr>
        <w:t>esta</w:t>
      </w:r>
      <w:r w:rsidRPr="00126EE6">
        <w:rPr>
          <w:rFonts w:ascii="Abadi" w:hAnsi="Abadi" w:cs="Arial"/>
          <w:sz w:val="21"/>
          <w:szCs w:val="21"/>
          <w:lang w:val="x-none" w:eastAsia="x-none"/>
        </w:rPr>
        <w:t xml:space="preserve"> Comisión de Hacienda y Fiscalización</w:t>
      </w:r>
      <w:r w:rsidRPr="00126EE6">
        <w:rPr>
          <w:rFonts w:ascii="Abadi" w:hAnsi="Abadi" w:cs="Arial"/>
          <w:sz w:val="21"/>
          <w:szCs w:val="21"/>
          <w:lang w:val="es-MX" w:eastAsia="x-none"/>
        </w:rPr>
        <w:t xml:space="preserve">, </w:t>
      </w:r>
      <w:r w:rsidRPr="00126EE6">
        <w:rPr>
          <w:rFonts w:ascii="Abadi" w:hAnsi="Abadi" w:cs="Arial"/>
          <w:sz w:val="21"/>
          <w:szCs w:val="21"/>
          <w:lang w:val="x-none" w:eastAsia="x-none"/>
        </w:rPr>
        <w:t xml:space="preserve">le fue turnado para su estudio y dictamen, el informe de resultados de la revisión practicada por </w:t>
      </w:r>
      <w:r w:rsidRPr="00126EE6">
        <w:rPr>
          <w:rFonts w:ascii="Abadi" w:hAnsi="Abadi" w:cs="Arial"/>
          <w:sz w:val="21"/>
          <w:szCs w:val="21"/>
          <w:lang w:val="es-MX" w:eastAsia="x-none"/>
        </w:rPr>
        <w:t xml:space="preserve">la </w:t>
      </w:r>
      <w:r w:rsidRPr="00126EE6">
        <w:rPr>
          <w:rFonts w:ascii="Abadi" w:hAnsi="Abadi" w:cs="Arial"/>
          <w:sz w:val="21"/>
          <w:szCs w:val="21"/>
          <w:lang w:val="x-none" w:eastAsia="x-none"/>
        </w:rPr>
        <w:t xml:space="preserve">Auditoría Superior del Estado de Guanajuato, a la cuenta pública municipal de </w:t>
      </w:r>
      <w:r w:rsidRPr="00126EE6">
        <w:rPr>
          <w:rFonts w:ascii="Abadi" w:hAnsi="Abadi" w:cs="Arial"/>
          <w:sz w:val="21"/>
          <w:szCs w:val="21"/>
          <w:lang w:val="es-MX" w:eastAsia="x-none"/>
        </w:rPr>
        <w:t>Yuriria</w:t>
      </w:r>
      <w:r w:rsidRPr="00126EE6">
        <w:rPr>
          <w:rFonts w:ascii="Abadi" w:hAnsi="Abadi" w:cs="Arial"/>
          <w:sz w:val="21"/>
          <w:szCs w:val="21"/>
          <w:lang w:val="x-none" w:eastAsia="x-none"/>
        </w:rPr>
        <w:t xml:space="preserve">, Gto., correspondiente al ejercicio fiscal del año </w:t>
      </w:r>
      <w:r w:rsidRPr="00126EE6">
        <w:rPr>
          <w:rFonts w:ascii="Abadi" w:hAnsi="Abadi" w:cs="Arial"/>
          <w:sz w:val="21"/>
          <w:szCs w:val="21"/>
          <w:lang w:val="es-MX" w:eastAsia="x-none"/>
        </w:rPr>
        <w:t>2020</w:t>
      </w:r>
      <w:r w:rsidRPr="00126EE6">
        <w:rPr>
          <w:rFonts w:ascii="Abadi" w:hAnsi="Abadi" w:cs="Arial"/>
          <w:sz w:val="21"/>
          <w:szCs w:val="21"/>
          <w:lang w:val="x-none" w:eastAsia="x-none"/>
        </w:rPr>
        <w:t>.</w:t>
      </w:r>
    </w:p>
    <w:p w14:paraId="521DE93E" w14:textId="77777777" w:rsidR="00126EE6" w:rsidRPr="00126EE6" w:rsidRDefault="00126EE6" w:rsidP="00126EE6">
      <w:pPr>
        <w:ind w:firstLine="708"/>
        <w:jc w:val="both"/>
        <w:rPr>
          <w:rFonts w:ascii="Abadi" w:hAnsi="Abadi" w:cs="Arial"/>
          <w:sz w:val="21"/>
          <w:szCs w:val="21"/>
          <w:lang w:val="x-none" w:eastAsia="x-none"/>
        </w:rPr>
      </w:pPr>
    </w:p>
    <w:p w14:paraId="6089D101" w14:textId="77777777" w:rsidR="00126EE6" w:rsidRPr="00126EE6" w:rsidRDefault="00126EE6" w:rsidP="00126EE6">
      <w:pPr>
        <w:ind w:firstLine="708"/>
        <w:jc w:val="both"/>
        <w:rPr>
          <w:rFonts w:ascii="Abadi" w:hAnsi="Abadi" w:cs="Arial"/>
          <w:sz w:val="21"/>
          <w:szCs w:val="21"/>
          <w:lang w:val="x-none" w:eastAsia="x-none"/>
        </w:rPr>
      </w:pPr>
      <w:r w:rsidRPr="00126EE6">
        <w:rPr>
          <w:rFonts w:ascii="Abadi" w:hAnsi="Abadi" w:cs="Arial"/>
          <w:sz w:val="21"/>
          <w:szCs w:val="21"/>
          <w:lang w:val="x-none" w:eastAsia="x-none"/>
        </w:rPr>
        <w:t>Una vez analizado el referido informe de resultados, con fundamento en lo dispuesto por los artículos 112, fracción XII</w:t>
      </w:r>
      <w:r w:rsidRPr="00126EE6">
        <w:rPr>
          <w:rFonts w:ascii="Abadi" w:hAnsi="Abadi" w:cs="Arial"/>
          <w:sz w:val="21"/>
          <w:szCs w:val="21"/>
          <w:lang w:val="es-MX" w:eastAsia="x-none"/>
        </w:rPr>
        <w:t>, primer párrafo</w:t>
      </w:r>
      <w:r w:rsidRPr="00126EE6">
        <w:rPr>
          <w:rFonts w:ascii="Abadi" w:hAnsi="Abadi" w:cs="Arial"/>
          <w:sz w:val="21"/>
          <w:szCs w:val="21"/>
          <w:lang w:val="x-none" w:eastAsia="x-none"/>
        </w:rPr>
        <w:t xml:space="preserve"> y 171 de </w:t>
      </w:r>
      <w:smartTag w:uri="urn:schemas-microsoft-com:office:smarttags" w:element="PersonName">
        <w:smartTagPr>
          <w:attr w:name="ProductID" w:val="la Ley Org￡nica"/>
        </w:smartTagPr>
        <w:r w:rsidRPr="00126EE6">
          <w:rPr>
            <w:rFonts w:ascii="Abadi" w:hAnsi="Abadi" w:cs="Arial"/>
            <w:sz w:val="21"/>
            <w:szCs w:val="21"/>
            <w:lang w:val="x-none" w:eastAsia="x-none"/>
          </w:rPr>
          <w:t>la Ley Orgánica</w:t>
        </w:r>
      </w:smartTag>
      <w:r w:rsidRPr="00126EE6">
        <w:rPr>
          <w:rFonts w:ascii="Abadi" w:hAnsi="Abadi" w:cs="Arial"/>
          <w:sz w:val="21"/>
          <w:szCs w:val="21"/>
          <w:lang w:val="x-none" w:eastAsia="x-none"/>
        </w:rPr>
        <w:t xml:space="preserve"> del Poder Legislativo, nos permitimos rendir el siguiente:</w:t>
      </w:r>
    </w:p>
    <w:p w14:paraId="2223F945" w14:textId="77777777" w:rsidR="00126EE6" w:rsidRPr="00126EE6" w:rsidRDefault="00126EE6" w:rsidP="00126EE6">
      <w:pPr>
        <w:ind w:firstLine="708"/>
        <w:jc w:val="both"/>
        <w:rPr>
          <w:rFonts w:ascii="Abadi" w:hAnsi="Abadi" w:cs="Arial"/>
          <w:sz w:val="21"/>
          <w:szCs w:val="21"/>
          <w:lang w:val="x-none" w:eastAsia="x-none"/>
        </w:rPr>
      </w:pPr>
    </w:p>
    <w:p w14:paraId="591E80BD" w14:textId="77777777" w:rsidR="00126EE6" w:rsidRPr="00126EE6" w:rsidRDefault="00126EE6" w:rsidP="00126EE6">
      <w:pPr>
        <w:keepNext/>
        <w:jc w:val="center"/>
        <w:outlineLvl w:val="0"/>
        <w:rPr>
          <w:rFonts w:ascii="Abadi" w:eastAsia="Arial Unicode MS" w:hAnsi="Abadi" w:cs="Arial"/>
          <w:b/>
          <w:bCs/>
          <w:sz w:val="21"/>
          <w:szCs w:val="21"/>
        </w:rPr>
      </w:pPr>
      <w:r w:rsidRPr="00126EE6">
        <w:rPr>
          <w:rFonts w:ascii="Abadi" w:eastAsia="Arial Unicode MS" w:hAnsi="Abadi" w:cs="Arial"/>
          <w:b/>
          <w:bCs/>
          <w:sz w:val="21"/>
          <w:szCs w:val="21"/>
        </w:rPr>
        <w:t>D i c t a m e n</w:t>
      </w:r>
    </w:p>
    <w:p w14:paraId="71FFE562" w14:textId="77777777" w:rsidR="00126EE6" w:rsidRDefault="00126EE6" w:rsidP="00126EE6">
      <w:pPr>
        <w:ind w:firstLine="708"/>
        <w:jc w:val="both"/>
        <w:rPr>
          <w:rFonts w:ascii="Abadi" w:hAnsi="Abadi" w:cs="Arial"/>
          <w:b/>
          <w:bCs/>
          <w:sz w:val="21"/>
          <w:szCs w:val="21"/>
          <w:lang w:val="es-MX" w:eastAsia="x-none"/>
        </w:rPr>
      </w:pPr>
    </w:p>
    <w:p w14:paraId="023DC71A" w14:textId="2B33819B" w:rsidR="00126EE6" w:rsidRPr="00126EE6" w:rsidRDefault="00126EE6" w:rsidP="00126EE6">
      <w:pPr>
        <w:ind w:firstLine="708"/>
        <w:jc w:val="both"/>
        <w:rPr>
          <w:rFonts w:ascii="Abadi" w:hAnsi="Abadi" w:cs="Arial"/>
          <w:b/>
          <w:bCs/>
          <w:sz w:val="21"/>
          <w:szCs w:val="21"/>
          <w:lang w:val="es-MX" w:eastAsia="x-none"/>
        </w:rPr>
      </w:pPr>
      <w:r w:rsidRPr="00126EE6">
        <w:rPr>
          <w:rFonts w:ascii="Abadi" w:hAnsi="Abadi" w:cs="Arial"/>
          <w:b/>
          <w:bCs/>
          <w:sz w:val="21"/>
          <w:szCs w:val="21"/>
          <w:lang w:val="es-MX" w:eastAsia="x-none"/>
        </w:rPr>
        <w:t>I. Competencia:</w:t>
      </w:r>
    </w:p>
    <w:p w14:paraId="170BEE44" w14:textId="77777777" w:rsidR="00126EE6" w:rsidRPr="00126EE6" w:rsidRDefault="00126EE6" w:rsidP="00126EE6">
      <w:pPr>
        <w:ind w:firstLine="708"/>
        <w:jc w:val="both"/>
        <w:rPr>
          <w:rFonts w:ascii="Abadi" w:hAnsi="Abadi" w:cs="Arial"/>
          <w:b/>
          <w:bCs/>
          <w:sz w:val="21"/>
          <w:szCs w:val="21"/>
          <w:lang w:val="es-MX" w:eastAsia="x-none"/>
        </w:rPr>
      </w:pPr>
    </w:p>
    <w:p w14:paraId="3FC05490"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126EE6">
          <w:rPr>
            <w:rFonts w:ascii="Abadi" w:hAnsi="Abadi" w:cs="Arial"/>
            <w:sz w:val="21"/>
            <w:szCs w:val="21"/>
            <w:lang w:val="es-MX" w:eastAsia="x-none"/>
          </w:rPr>
          <w:t>la Constitución Política</w:t>
        </w:r>
      </w:smartTag>
      <w:r w:rsidRPr="00126EE6">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5078E916" w14:textId="77777777" w:rsidR="00126EE6" w:rsidRPr="00126EE6" w:rsidRDefault="00126EE6" w:rsidP="00126EE6">
      <w:pPr>
        <w:ind w:firstLine="708"/>
        <w:jc w:val="both"/>
        <w:rPr>
          <w:rFonts w:ascii="Abadi" w:hAnsi="Abadi" w:cs="Arial"/>
          <w:sz w:val="21"/>
          <w:szCs w:val="21"/>
          <w:lang w:val="es-MX" w:eastAsia="x-none"/>
        </w:rPr>
      </w:pPr>
    </w:p>
    <w:p w14:paraId="01D68B5E" w14:textId="561026BE"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1EAD57E9" w14:textId="77777777" w:rsidR="00126EE6" w:rsidRPr="00126EE6" w:rsidRDefault="00126EE6" w:rsidP="00126EE6">
      <w:pPr>
        <w:ind w:firstLine="708"/>
        <w:jc w:val="both"/>
        <w:rPr>
          <w:rFonts w:ascii="Abadi" w:hAnsi="Abadi" w:cs="Arial"/>
          <w:sz w:val="21"/>
          <w:szCs w:val="21"/>
          <w:lang w:val="es-MX" w:eastAsia="x-none"/>
        </w:rPr>
      </w:pPr>
    </w:p>
    <w:p w14:paraId="7B12596A"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126EE6">
          <w:rPr>
            <w:rFonts w:ascii="Abadi" w:hAnsi="Abadi" w:cs="Arial"/>
            <w:sz w:val="21"/>
            <w:szCs w:val="21"/>
            <w:lang w:val="es-MX" w:eastAsia="x-none"/>
          </w:rPr>
          <w:t>la Constitución Política</w:t>
        </w:r>
      </w:smartTag>
      <w:r w:rsidRPr="00126EE6">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09FD2B33" w14:textId="77777777" w:rsidR="00126EE6" w:rsidRPr="00126EE6" w:rsidRDefault="00126EE6" w:rsidP="00126EE6">
      <w:pPr>
        <w:ind w:firstLine="708"/>
        <w:jc w:val="both"/>
        <w:rPr>
          <w:rFonts w:ascii="Abadi" w:hAnsi="Abadi" w:cs="Arial"/>
          <w:sz w:val="21"/>
          <w:szCs w:val="21"/>
          <w:lang w:val="es-MX" w:eastAsia="x-none"/>
        </w:rPr>
      </w:pPr>
    </w:p>
    <w:p w14:paraId="506F0863"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EA19508" w14:textId="77777777" w:rsidR="00126EE6" w:rsidRPr="00126EE6" w:rsidRDefault="00126EE6" w:rsidP="00126EE6">
      <w:pPr>
        <w:ind w:firstLine="708"/>
        <w:jc w:val="both"/>
        <w:rPr>
          <w:rFonts w:ascii="Abadi" w:hAnsi="Abadi" w:cs="Arial"/>
          <w:sz w:val="21"/>
          <w:szCs w:val="21"/>
          <w:lang w:val="es-MX" w:eastAsia="x-none"/>
        </w:rPr>
      </w:pPr>
    </w:p>
    <w:p w14:paraId="27DF304B"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 xml:space="preserve">De igual forma, el artículo 82, fracción XXIV de </w:t>
      </w:r>
      <w:smartTag w:uri="urn:schemas-microsoft-com:office:smarttags" w:element="PersonName">
        <w:smartTagPr>
          <w:attr w:name="ProductID" w:val="la Ley"/>
        </w:smartTagPr>
        <w:r w:rsidRPr="00126EE6">
          <w:rPr>
            <w:rFonts w:ascii="Abadi" w:hAnsi="Abadi" w:cs="Arial"/>
            <w:sz w:val="21"/>
            <w:szCs w:val="21"/>
            <w:lang w:val="es-MX" w:eastAsia="x-none"/>
          </w:rPr>
          <w:t>la Ley</w:t>
        </w:r>
      </w:smartTag>
      <w:r w:rsidRPr="00126EE6">
        <w:rPr>
          <w:rFonts w:ascii="Abadi" w:hAnsi="Abadi" w:cs="Arial"/>
          <w:sz w:val="21"/>
          <w:szCs w:val="21"/>
          <w:lang w:val="es-MX" w:eastAsia="x-none"/>
        </w:rPr>
        <w:t xml:space="preserve"> de Fiscalización Superior del Estado de Guanajuato consigna como atribución del Auditor Superior rendir al Congreso del Estado, los informes derivados del ejercicio de la función de fiscalización.</w:t>
      </w:r>
    </w:p>
    <w:p w14:paraId="384C85AA" w14:textId="77777777" w:rsidR="00126EE6" w:rsidRPr="00126EE6" w:rsidRDefault="00126EE6" w:rsidP="00126EE6">
      <w:pPr>
        <w:ind w:firstLine="708"/>
        <w:jc w:val="both"/>
        <w:rPr>
          <w:rFonts w:ascii="Abadi" w:hAnsi="Abadi" w:cs="Arial"/>
          <w:sz w:val="21"/>
          <w:szCs w:val="21"/>
          <w:lang w:val="es-MX" w:eastAsia="x-none"/>
        </w:rPr>
      </w:pPr>
    </w:p>
    <w:p w14:paraId="6AB08B1E"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11D5FF3A" w14:textId="77777777" w:rsidR="00126EE6" w:rsidRPr="00126EE6" w:rsidRDefault="00126EE6" w:rsidP="00126EE6">
      <w:pPr>
        <w:ind w:firstLine="708"/>
        <w:jc w:val="both"/>
        <w:rPr>
          <w:rFonts w:ascii="Abadi" w:hAnsi="Abadi" w:cs="Arial"/>
          <w:sz w:val="21"/>
          <w:szCs w:val="21"/>
          <w:lang w:val="es-MX" w:eastAsia="x-none"/>
        </w:rPr>
      </w:pPr>
    </w:p>
    <w:p w14:paraId="59AD1B2D"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 xml:space="preserve">Con la finalidad de que el Congreso dé cumplimiento a lo señalado en el párrafo anterior, </w:t>
      </w:r>
      <w:smartTag w:uri="urn:schemas-microsoft-com:office:smarttags" w:element="PersonName">
        <w:smartTagPr>
          <w:attr w:name="ProductID" w:val="la Ley Org￡nica"/>
        </w:smartTagPr>
        <w:r w:rsidRPr="00126EE6">
          <w:rPr>
            <w:rFonts w:ascii="Abadi" w:hAnsi="Abadi" w:cs="Arial"/>
            <w:sz w:val="21"/>
            <w:szCs w:val="21"/>
            <w:lang w:val="es-MX" w:eastAsia="x-none"/>
          </w:rPr>
          <w:t>la Ley Orgánica</w:t>
        </w:r>
      </w:smartTag>
      <w:r w:rsidRPr="00126EE6">
        <w:rPr>
          <w:rFonts w:ascii="Abadi" w:hAnsi="Abadi" w:cs="Arial"/>
          <w:sz w:val="21"/>
          <w:szCs w:val="21"/>
          <w:lang w:val="es-MX" w:eastAsia="x-none"/>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60F875A5" w14:textId="77777777" w:rsidR="00126EE6" w:rsidRPr="00126EE6" w:rsidRDefault="00126EE6" w:rsidP="00126EE6">
      <w:pPr>
        <w:ind w:firstLine="708"/>
        <w:jc w:val="both"/>
        <w:rPr>
          <w:rFonts w:ascii="Abadi" w:hAnsi="Abadi" w:cs="Arial"/>
          <w:sz w:val="21"/>
          <w:szCs w:val="21"/>
          <w:lang w:val="es-MX" w:eastAsia="x-none"/>
        </w:rPr>
      </w:pPr>
    </w:p>
    <w:p w14:paraId="36C63526"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6CF1D675" w14:textId="77777777" w:rsidR="00126EE6" w:rsidRPr="00126EE6" w:rsidRDefault="00126EE6" w:rsidP="00126EE6">
      <w:pPr>
        <w:ind w:firstLine="708"/>
        <w:jc w:val="both"/>
        <w:rPr>
          <w:rFonts w:ascii="Abadi" w:hAnsi="Abadi" w:cs="Arial"/>
          <w:b/>
          <w:bCs/>
          <w:sz w:val="21"/>
          <w:szCs w:val="21"/>
          <w:lang w:val="es-MX" w:eastAsia="x-none"/>
        </w:rPr>
      </w:pPr>
      <w:r w:rsidRPr="00126EE6">
        <w:rPr>
          <w:rFonts w:ascii="Abadi" w:hAnsi="Abadi" w:cs="Arial"/>
          <w:b/>
          <w:bCs/>
          <w:sz w:val="21"/>
          <w:szCs w:val="21"/>
          <w:lang w:val="es-MX" w:eastAsia="x-none"/>
        </w:rPr>
        <w:t>II. Antecedentes:</w:t>
      </w:r>
    </w:p>
    <w:p w14:paraId="14BD36AD" w14:textId="77777777" w:rsidR="00126EE6" w:rsidRPr="00126EE6" w:rsidRDefault="00126EE6" w:rsidP="00126EE6">
      <w:pPr>
        <w:ind w:firstLine="708"/>
        <w:jc w:val="both"/>
        <w:rPr>
          <w:rFonts w:ascii="Abadi" w:hAnsi="Abadi" w:cs="Arial"/>
          <w:sz w:val="21"/>
          <w:szCs w:val="21"/>
          <w:lang w:val="es-MX" w:eastAsia="x-none"/>
        </w:rPr>
      </w:pPr>
    </w:p>
    <w:p w14:paraId="39E73B2D"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126EE6">
          <w:rPr>
            <w:rFonts w:ascii="Abadi" w:hAnsi="Abadi" w:cs="Arial"/>
            <w:sz w:val="21"/>
            <w:szCs w:val="21"/>
            <w:lang w:val="es-MX" w:eastAsia="x-none"/>
          </w:rPr>
          <w:t>la Constitución Política</w:t>
        </w:r>
      </w:smartTag>
      <w:r w:rsidRPr="00126EE6">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76D60D41" w14:textId="77777777" w:rsidR="00126EE6" w:rsidRPr="00126EE6" w:rsidRDefault="00126EE6" w:rsidP="00126EE6">
      <w:pPr>
        <w:ind w:firstLine="708"/>
        <w:jc w:val="both"/>
        <w:rPr>
          <w:rFonts w:ascii="Abadi" w:hAnsi="Abadi" w:cs="Arial"/>
          <w:sz w:val="21"/>
          <w:szCs w:val="21"/>
          <w:lang w:val="es-MX" w:eastAsia="x-none"/>
        </w:rPr>
      </w:pPr>
    </w:p>
    <w:p w14:paraId="0CC763A3"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Por su parte, el artículo 66 de la Constitución Política Local, establece que los sujetos de fiscalización presentarán al Congreso del Estado los informes financieros y su cuenta pública con la periodicidad, forma y términos que establezca la Ley.</w:t>
      </w:r>
    </w:p>
    <w:p w14:paraId="584622C7" w14:textId="77777777" w:rsidR="00126EE6" w:rsidRPr="00126EE6" w:rsidRDefault="00126EE6" w:rsidP="00126EE6">
      <w:pPr>
        <w:ind w:firstLine="708"/>
        <w:jc w:val="both"/>
        <w:rPr>
          <w:rFonts w:ascii="Abadi" w:hAnsi="Abadi" w:cs="Arial"/>
          <w:sz w:val="21"/>
          <w:szCs w:val="21"/>
          <w:lang w:val="es-MX" w:eastAsia="x-none"/>
        </w:rPr>
      </w:pPr>
    </w:p>
    <w:p w14:paraId="15B11FD6"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 xml:space="preserve">La fracción III del artículo 3 de </w:t>
      </w:r>
      <w:smartTag w:uri="urn:schemas-microsoft-com:office:smarttags" w:element="PersonName">
        <w:smartTagPr>
          <w:attr w:name="ProductID" w:val="la Ley"/>
        </w:smartTagPr>
        <w:r w:rsidRPr="00126EE6">
          <w:rPr>
            <w:rFonts w:ascii="Abadi" w:hAnsi="Abadi" w:cs="Arial"/>
            <w:sz w:val="21"/>
            <w:szCs w:val="21"/>
            <w:lang w:val="es-MX" w:eastAsia="x-none"/>
          </w:rPr>
          <w:t>la Ley</w:t>
        </w:r>
      </w:smartTag>
      <w:r w:rsidRPr="00126EE6">
        <w:rPr>
          <w:rFonts w:ascii="Abadi" w:hAnsi="Abadi" w:cs="Arial"/>
          <w:sz w:val="21"/>
          <w:szCs w:val="21"/>
          <w:lang w:val="es-MX" w:eastAsia="x-none"/>
        </w:rPr>
        <w:t xml:space="preserve"> de Fiscalización Superior del Estado de Guanajuato señala que la Auditoría Superior del Estado será competente para fiscalizar la gestión financiera de los sujetos de fiscalización, a través de sus cuentas públicas.</w:t>
      </w:r>
    </w:p>
    <w:p w14:paraId="471F0BAA" w14:textId="77777777" w:rsidR="00126EE6" w:rsidRPr="00126EE6" w:rsidRDefault="00126EE6" w:rsidP="00126EE6">
      <w:pPr>
        <w:ind w:firstLine="708"/>
        <w:jc w:val="both"/>
        <w:rPr>
          <w:rFonts w:ascii="Abadi" w:hAnsi="Abadi" w:cs="Arial"/>
          <w:sz w:val="21"/>
          <w:szCs w:val="21"/>
          <w:lang w:val="es-MX" w:eastAsia="x-none"/>
        </w:rPr>
      </w:pPr>
    </w:p>
    <w:p w14:paraId="0D0F5812"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20B25FD1" w14:textId="77777777" w:rsidR="00126EE6" w:rsidRPr="00126EE6" w:rsidRDefault="00126EE6" w:rsidP="00126EE6">
      <w:pPr>
        <w:ind w:firstLine="708"/>
        <w:jc w:val="both"/>
        <w:rPr>
          <w:rFonts w:ascii="Abadi" w:hAnsi="Abadi" w:cs="Arial"/>
          <w:sz w:val="21"/>
          <w:szCs w:val="21"/>
          <w:lang w:val="es-MX" w:eastAsia="x-none"/>
        </w:rPr>
      </w:pPr>
    </w:p>
    <w:p w14:paraId="76128E05"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No será impedimento para que la Auditoría Superior del Estado realice la función de fiscalización, si la cuenta pública no está presentada y disponible en los plazos y requisitos señalados en la ley.</w:t>
      </w:r>
    </w:p>
    <w:p w14:paraId="40DF3F64" w14:textId="77777777" w:rsidR="00126EE6" w:rsidRPr="00126EE6" w:rsidRDefault="00126EE6" w:rsidP="00126EE6">
      <w:pPr>
        <w:ind w:firstLine="708"/>
        <w:jc w:val="both"/>
        <w:rPr>
          <w:rFonts w:ascii="Abadi" w:hAnsi="Abadi" w:cs="Arial"/>
          <w:sz w:val="21"/>
          <w:szCs w:val="21"/>
          <w:lang w:val="es-MX" w:eastAsia="x-none"/>
        </w:rPr>
      </w:pPr>
    </w:p>
    <w:p w14:paraId="49AE2D42" w14:textId="3B3995C5"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126EE6">
          <w:rPr>
            <w:rFonts w:ascii="Abadi" w:hAnsi="Abadi" w:cs="Arial"/>
            <w:sz w:val="21"/>
            <w:szCs w:val="21"/>
            <w:lang w:val="es-MX" w:eastAsia="x-none"/>
          </w:rPr>
          <w:t>la Ley Orgánica</w:t>
        </w:r>
      </w:smartTag>
      <w:r w:rsidRPr="00126EE6">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3A0B12FF" w14:textId="77777777" w:rsidR="00126EE6" w:rsidRPr="00126EE6" w:rsidRDefault="00126EE6" w:rsidP="00126EE6">
      <w:pPr>
        <w:ind w:firstLine="708"/>
        <w:jc w:val="both"/>
        <w:rPr>
          <w:rFonts w:ascii="Abadi" w:hAnsi="Abadi" w:cs="Arial"/>
          <w:sz w:val="21"/>
          <w:szCs w:val="21"/>
          <w:lang w:val="es-MX" w:eastAsia="x-none"/>
        </w:rPr>
      </w:pPr>
    </w:p>
    <w:p w14:paraId="55E48831" w14:textId="77777777" w:rsidR="00126EE6" w:rsidRPr="00126EE6" w:rsidRDefault="00126EE6" w:rsidP="00126EE6">
      <w:pPr>
        <w:ind w:right="60" w:firstLine="709"/>
        <w:jc w:val="both"/>
        <w:rPr>
          <w:rFonts w:ascii="Abadi" w:hAnsi="Abadi" w:cs="Arial"/>
          <w:sz w:val="21"/>
          <w:szCs w:val="21"/>
          <w:lang w:val="es-MX" w:eastAsia="x-none"/>
        </w:rPr>
      </w:pPr>
      <w:r w:rsidRPr="00126EE6">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3B49AB8C" w14:textId="77777777" w:rsidR="00126EE6" w:rsidRPr="00126EE6" w:rsidRDefault="00126EE6" w:rsidP="00126EE6">
      <w:pPr>
        <w:ind w:right="58" w:firstLine="709"/>
        <w:jc w:val="both"/>
        <w:rPr>
          <w:rFonts w:ascii="Abadi" w:eastAsia="DejaVu Sans" w:hAnsi="Abadi" w:cs="Tahoma"/>
          <w:iCs/>
          <w:kern w:val="1"/>
          <w:sz w:val="21"/>
          <w:szCs w:val="21"/>
          <w:lang w:eastAsia="ar-SA"/>
        </w:rPr>
      </w:pPr>
    </w:p>
    <w:p w14:paraId="1446FB58"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02251E83" w14:textId="77777777" w:rsidR="00126EE6" w:rsidRPr="00126EE6" w:rsidRDefault="00126EE6" w:rsidP="00126EE6">
      <w:pPr>
        <w:ind w:firstLine="708"/>
        <w:jc w:val="both"/>
        <w:rPr>
          <w:rFonts w:ascii="Abadi" w:hAnsi="Abadi" w:cs="Arial"/>
          <w:sz w:val="21"/>
          <w:szCs w:val="21"/>
          <w:lang w:val="es-MX" w:eastAsia="x-none"/>
        </w:rPr>
      </w:pPr>
    </w:p>
    <w:p w14:paraId="65103C43"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3AE4CAC8" w14:textId="77777777" w:rsidR="00126EE6" w:rsidRPr="00126EE6" w:rsidRDefault="00126EE6" w:rsidP="00126EE6">
      <w:pPr>
        <w:ind w:firstLine="708"/>
        <w:jc w:val="both"/>
        <w:rPr>
          <w:rFonts w:ascii="Abadi" w:hAnsi="Abadi" w:cs="Arial"/>
          <w:sz w:val="21"/>
          <w:szCs w:val="21"/>
          <w:lang w:val="es-MX" w:eastAsia="x-none"/>
        </w:rPr>
      </w:pPr>
    </w:p>
    <w:p w14:paraId="76442F79" w14:textId="77777777" w:rsidR="00126EE6" w:rsidRPr="00126EE6" w:rsidRDefault="00126EE6" w:rsidP="00126EE6">
      <w:pPr>
        <w:ind w:right="60" w:firstLine="709"/>
        <w:jc w:val="both"/>
        <w:rPr>
          <w:rFonts w:ascii="Abadi" w:hAnsi="Abadi" w:cs="Arial"/>
          <w:sz w:val="21"/>
          <w:szCs w:val="21"/>
          <w:lang w:val="es-MX" w:eastAsia="x-none"/>
        </w:rPr>
      </w:pPr>
      <w:r w:rsidRPr="00126EE6">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30DE267A" w14:textId="77777777" w:rsidR="00126EE6" w:rsidRPr="00126EE6" w:rsidRDefault="00126EE6" w:rsidP="00126EE6">
      <w:pPr>
        <w:ind w:firstLine="708"/>
        <w:jc w:val="both"/>
        <w:rPr>
          <w:rFonts w:ascii="Abadi" w:hAnsi="Abadi" w:cs="Arial"/>
          <w:sz w:val="21"/>
          <w:szCs w:val="21"/>
          <w:lang w:eastAsia="x-none"/>
        </w:rPr>
      </w:pPr>
    </w:p>
    <w:p w14:paraId="5576D0FD"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4A3C5C5E" w14:textId="77777777" w:rsidR="00126EE6" w:rsidRPr="00126EE6" w:rsidRDefault="00126EE6" w:rsidP="00126EE6">
      <w:pPr>
        <w:ind w:firstLine="708"/>
        <w:jc w:val="both"/>
        <w:rPr>
          <w:rFonts w:ascii="Abadi" w:hAnsi="Abadi" w:cs="Arial"/>
          <w:sz w:val="21"/>
          <w:szCs w:val="21"/>
          <w:lang w:val="es-MX" w:eastAsia="x-none"/>
        </w:rPr>
      </w:pPr>
    </w:p>
    <w:p w14:paraId="08B04F8E" w14:textId="77777777" w:rsidR="00126EE6" w:rsidRPr="00126EE6" w:rsidRDefault="00126EE6" w:rsidP="00126EE6">
      <w:pPr>
        <w:tabs>
          <w:tab w:val="left" w:pos="709"/>
        </w:tabs>
        <w:jc w:val="both"/>
        <w:rPr>
          <w:rFonts w:ascii="Abadi" w:hAnsi="Abadi" w:cs="Arial"/>
          <w:sz w:val="21"/>
          <w:szCs w:val="21"/>
          <w:lang w:val="es-MX" w:eastAsia="x-none"/>
        </w:rPr>
      </w:pPr>
      <w:r w:rsidRPr="00126EE6">
        <w:rPr>
          <w:rFonts w:ascii="Abadi" w:hAnsi="Abadi" w:cs="Arial"/>
          <w:sz w:val="21"/>
          <w:szCs w:val="21"/>
        </w:rPr>
        <w:tab/>
        <w:t xml:space="preserve">El citado artículo también refiere </w:t>
      </w:r>
      <w:r w:rsidRPr="00126EE6">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6EE8A00C" w14:textId="77777777" w:rsidR="00126EE6" w:rsidRPr="00126EE6" w:rsidRDefault="00126EE6" w:rsidP="00126EE6">
      <w:pPr>
        <w:tabs>
          <w:tab w:val="left" w:pos="709"/>
        </w:tabs>
        <w:jc w:val="both"/>
        <w:rPr>
          <w:rFonts w:ascii="Abadi" w:hAnsi="Abadi" w:cs="Arial"/>
          <w:sz w:val="21"/>
          <w:szCs w:val="21"/>
          <w:lang w:val="es-MX" w:eastAsia="x-none"/>
        </w:rPr>
      </w:pPr>
      <w:r w:rsidRPr="00126EE6">
        <w:rPr>
          <w:rFonts w:ascii="Abadi" w:hAnsi="Abadi" w:cs="Arial"/>
          <w:sz w:val="21"/>
          <w:szCs w:val="21"/>
          <w:lang w:val="es-MX" w:eastAsia="x-none"/>
        </w:rPr>
        <w:tab/>
        <w:t xml:space="preserve">En términos del numeral 23 de la </w:t>
      </w:r>
      <w:r w:rsidRPr="00126EE6">
        <w:rPr>
          <w:rFonts w:ascii="Abadi" w:hAnsi="Abadi" w:cs="Arial"/>
          <w:sz w:val="21"/>
          <w:szCs w:val="21"/>
        </w:rPr>
        <w:t>Ley de Fiscalización Superior del Estado de Guanajuato, p</w:t>
      </w:r>
      <w:r w:rsidRPr="00126EE6">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6D50E5AA" w14:textId="77777777" w:rsidR="00126EE6" w:rsidRPr="00126EE6" w:rsidRDefault="00126EE6" w:rsidP="00126EE6">
      <w:pPr>
        <w:tabs>
          <w:tab w:val="left" w:pos="709"/>
        </w:tabs>
        <w:jc w:val="both"/>
        <w:rPr>
          <w:rFonts w:ascii="Abadi" w:hAnsi="Abadi" w:cs="Arial"/>
          <w:sz w:val="21"/>
          <w:szCs w:val="21"/>
          <w:lang w:val="es-MX" w:eastAsia="x-none"/>
        </w:rPr>
      </w:pPr>
    </w:p>
    <w:p w14:paraId="5387ADF5"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17296BF2" w14:textId="77777777" w:rsidR="00126EE6" w:rsidRPr="00126EE6" w:rsidRDefault="00126EE6" w:rsidP="00126EE6">
      <w:pPr>
        <w:ind w:firstLine="708"/>
        <w:jc w:val="both"/>
        <w:rPr>
          <w:rFonts w:ascii="Abadi" w:hAnsi="Abadi" w:cs="Arial"/>
          <w:sz w:val="21"/>
          <w:szCs w:val="21"/>
          <w:lang w:val="es-MX" w:eastAsia="x-none"/>
        </w:rPr>
      </w:pPr>
    </w:p>
    <w:p w14:paraId="2B1ED185"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En cumplimiento a los citados preceptos, en su oportunidad se remitió a este Congreso del Estado, la cuenta pública municipal de Yuriria, Gto., correspondiente al ejercicio fiscal del año 2020, turnándose a la Auditoría Superior del Estado para su revisión.</w:t>
      </w:r>
    </w:p>
    <w:p w14:paraId="5858B468" w14:textId="77777777" w:rsidR="00126EE6" w:rsidRPr="00126EE6" w:rsidRDefault="00126EE6" w:rsidP="00126EE6">
      <w:pPr>
        <w:ind w:firstLine="708"/>
        <w:jc w:val="both"/>
        <w:rPr>
          <w:rFonts w:ascii="Abadi" w:hAnsi="Abadi" w:cs="Arial"/>
          <w:sz w:val="21"/>
          <w:szCs w:val="21"/>
          <w:lang w:val="es-MX" w:eastAsia="x-none"/>
        </w:rPr>
      </w:pPr>
    </w:p>
    <w:p w14:paraId="5E0DD27F" w14:textId="77777777" w:rsidR="00126EE6" w:rsidRPr="00126EE6" w:rsidRDefault="00126EE6" w:rsidP="00126EE6">
      <w:pPr>
        <w:ind w:firstLine="708"/>
        <w:jc w:val="both"/>
        <w:rPr>
          <w:rFonts w:ascii="Abadi" w:hAnsi="Abadi" w:cs="Arial"/>
          <w:sz w:val="21"/>
          <w:szCs w:val="21"/>
          <w:lang w:eastAsia="x-none"/>
        </w:rPr>
      </w:pPr>
      <w:r w:rsidRPr="00126EE6">
        <w:rPr>
          <w:rFonts w:ascii="Abadi" w:hAnsi="Abadi" w:cs="Arial"/>
          <w:sz w:val="21"/>
          <w:szCs w:val="21"/>
          <w:lang w:eastAsia="x-none"/>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53512E5F" w14:textId="77777777" w:rsidR="00126EE6" w:rsidRPr="00126EE6" w:rsidRDefault="00126EE6" w:rsidP="00126EE6">
      <w:pPr>
        <w:ind w:firstLine="708"/>
        <w:jc w:val="both"/>
        <w:rPr>
          <w:rFonts w:ascii="Abadi" w:hAnsi="Abadi" w:cs="Arial"/>
          <w:sz w:val="21"/>
          <w:szCs w:val="21"/>
          <w:lang w:val="es-MX" w:eastAsia="x-none"/>
        </w:rPr>
      </w:pPr>
    </w:p>
    <w:p w14:paraId="6C6CE35A"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En ejercicio de esta función, el Auditor Superior del Estado aprobó el Programa General de Fiscalización 2021. En dicho Programa se contempló la revisión de la cuenta pública municipal de Yuriria, Gto., correspondiente al ejercicio fiscal del año 2020.</w:t>
      </w:r>
    </w:p>
    <w:p w14:paraId="285AE2AA" w14:textId="77777777" w:rsidR="00126EE6" w:rsidRPr="00126EE6" w:rsidRDefault="00126EE6" w:rsidP="00126EE6">
      <w:pPr>
        <w:ind w:firstLine="708"/>
        <w:jc w:val="both"/>
        <w:rPr>
          <w:rFonts w:ascii="Abadi" w:hAnsi="Abadi" w:cs="Arial"/>
          <w:sz w:val="21"/>
          <w:szCs w:val="21"/>
          <w:lang w:val="es-MX" w:eastAsia="x-none"/>
        </w:rPr>
      </w:pPr>
    </w:p>
    <w:p w14:paraId="41B66E0C" w14:textId="77777777" w:rsidR="00126EE6" w:rsidRPr="00126EE6" w:rsidRDefault="00126EE6" w:rsidP="00126EE6">
      <w:pPr>
        <w:ind w:firstLine="708"/>
        <w:jc w:val="both"/>
        <w:rPr>
          <w:rFonts w:ascii="Abadi" w:hAnsi="Abadi" w:cs="Arial"/>
          <w:bCs/>
          <w:sz w:val="21"/>
          <w:szCs w:val="21"/>
          <w:lang w:val="es-MX" w:eastAsia="x-none"/>
        </w:rPr>
      </w:pPr>
      <w:r w:rsidRPr="00126EE6">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126EE6">
        <w:rPr>
          <w:rFonts w:ascii="Abadi" w:hAnsi="Abadi" w:cs="Arial"/>
          <w:bCs/>
          <w:sz w:val="21"/>
          <w:szCs w:val="21"/>
          <w:lang w:val="es-MX" w:eastAsia="x-none"/>
        </w:rPr>
        <w:t>el 19 de mayo de 2022 para su estudio y dictamen,</w:t>
      </w:r>
      <w:r w:rsidRPr="00126EE6">
        <w:rPr>
          <w:rFonts w:ascii="Abadi" w:hAnsi="Abadi" w:cs="Arial"/>
          <w:b/>
          <w:sz w:val="21"/>
          <w:szCs w:val="21"/>
          <w:lang w:val="es-MX" w:eastAsia="x-none"/>
        </w:rPr>
        <w:t xml:space="preserve"> </w:t>
      </w:r>
      <w:r w:rsidRPr="00126EE6">
        <w:rPr>
          <w:rFonts w:ascii="Abadi" w:hAnsi="Abadi" w:cs="Arial"/>
          <w:bCs/>
          <w:sz w:val="21"/>
          <w:szCs w:val="21"/>
          <w:lang w:val="es-MX" w:eastAsia="x-none"/>
        </w:rPr>
        <w:t>siendo radicado el 26 de mayo del año en curso.</w:t>
      </w:r>
    </w:p>
    <w:p w14:paraId="0EA8977B" w14:textId="77777777" w:rsidR="00126EE6" w:rsidRPr="00126EE6" w:rsidRDefault="00126EE6" w:rsidP="00126EE6">
      <w:pPr>
        <w:ind w:firstLine="708"/>
        <w:jc w:val="both"/>
        <w:rPr>
          <w:rFonts w:ascii="Abadi" w:hAnsi="Abadi" w:cs="Arial"/>
          <w:bCs/>
          <w:sz w:val="21"/>
          <w:szCs w:val="21"/>
          <w:lang w:val="es-MX" w:eastAsia="x-none"/>
        </w:rPr>
      </w:pPr>
    </w:p>
    <w:p w14:paraId="74C80A58" w14:textId="77777777" w:rsidR="00126EE6" w:rsidRPr="00126EE6" w:rsidRDefault="00126EE6" w:rsidP="00126EE6">
      <w:pPr>
        <w:ind w:firstLine="708"/>
        <w:jc w:val="both"/>
        <w:rPr>
          <w:rFonts w:ascii="Abadi" w:hAnsi="Abadi" w:cs="Arial"/>
          <w:sz w:val="21"/>
          <w:szCs w:val="21"/>
          <w:lang w:val="es-MX" w:eastAsia="x-none"/>
        </w:rPr>
      </w:pPr>
    </w:p>
    <w:p w14:paraId="3941C8CE" w14:textId="77777777" w:rsidR="00126EE6" w:rsidRPr="00126EE6" w:rsidRDefault="00126EE6" w:rsidP="00126EE6">
      <w:pPr>
        <w:ind w:firstLine="708"/>
        <w:jc w:val="both"/>
        <w:rPr>
          <w:rFonts w:ascii="Abadi" w:hAnsi="Abadi" w:cs="Arial"/>
          <w:b/>
          <w:bCs/>
          <w:sz w:val="21"/>
          <w:szCs w:val="21"/>
          <w:lang w:val="es-MX" w:eastAsia="x-none"/>
        </w:rPr>
      </w:pPr>
      <w:r w:rsidRPr="00126EE6">
        <w:rPr>
          <w:rFonts w:ascii="Abadi" w:hAnsi="Abadi" w:cs="Arial"/>
          <w:b/>
          <w:bCs/>
          <w:sz w:val="21"/>
          <w:szCs w:val="21"/>
          <w:lang w:val="es-MX" w:eastAsia="x-none"/>
        </w:rPr>
        <w:t>III. Procedimiento de Revisión:</w:t>
      </w:r>
    </w:p>
    <w:p w14:paraId="2BC163F9" w14:textId="77777777" w:rsidR="00126EE6" w:rsidRPr="00126EE6" w:rsidRDefault="00126EE6" w:rsidP="00126EE6">
      <w:pPr>
        <w:ind w:firstLine="708"/>
        <w:jc w:val="both"/>
        <w:rPr>
          <w:rFonts w:ascii="Abadi" w:hAnsi="Abadi" w:cs="Arial"/>
          <w:sz w:val="21"/>
          <w:szCs w:val="21"/>
          <w:lang w:val="es-MX" w:eastAsia="x-none"/>
        </w:rPr>
      </w:pPr>
    </w:p>
    <w:p w14:paraId="352518D5"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La revisión de la cuenta pública municipal de Yuriria, Gto.,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6B3660E5" w14:textId="77777777" w:rsidR="00126EE6" w:rsidRPr="00126EE6" w:rsidRDefault="00126EE6" w:rsidP="00126EE6">
      <w:pPr>
        <w:ind w:firstLine="708"/>
        <w:jc w:val="both"/>
        <w:rPr>
          <w:rFonts w:ascii="Abadi" w:hAnsi="Abadi" w:cs="Arial"/>
          <w:sz w:val="21"/>
          <w:szCs w:val="21"/>
          <w:lang w:eastAsia="x-none"/>
        </w:rPr>
      </w:pPr>
    </w:p>
    <w:p w14:paraId="20300FE7"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6EDEDB2B" w14:textId="77777777" w:rsidR="00126EE6" w:rsidRPr="00126EE6" w:rsidRDefault="00126EE6" w:rsidP="00126EE6">
      <w:pPr>
        <w:ind w:firstLine="708"/>
        <w:jc w:val="both"/>
        <w:rPr>
          <w:rFonts w:ascii="Abadi" w:hAnsi="Abadi" w:cs="Arial"/>
          <w:sz w:val="21"/>
          <w:szCs w:val="21"/>
          <w:lang w:val="es-MX" w:eastAsia="x-none"/>
        </w:rPr>
      </w:pPr>
    </w:p>
    <w:p w14:paraId="3CD17401" w14:textId="214BA3CC"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4A5C2A7F" w14:textId="77777777" w:rsidR="00126EE6" w:rsidRPr="00126EE6" w:rsidRDefault="00126EE6" w:rsidP="00126EE6">
      <w:pPr>
        <w:ind w:firstLine="708"/>
        <w:jc w:val="both"/>
        <w:rPr>
          <w:rFonts w:ascii="Abadi" w:hAnsi="Abadi" w:cs="Arial"/>
          <w:sz w:val="21"/>
          <w:szCs w:val="21"/>
          <w:lang w:val="es-MX" w:eastAsia="x-none"/>
        </w:rPr>
      </w:pPr>
    </w:p>
    <w:p w14:paraId="4CD725B3"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74CE1C84" w14:textId="77777777" w:rsidR="00126EE6" w:rsidRPr="00126EE6" w:rsidRDefault="00126EE6" w:rsidP="00126EE6">
      <w:pPr>
        <w:ind w:firstLine="708"/>
        <w:jc w:val="both"/>
        <w:rPr>
          <w:rFonts w:ascii="Abadi" w:hAnsi="Abadi" w:cs="Arial"/>
          <w:sz w:val="21"/>
          <w:szCs w:val="21"/>
          <w:lang w:val="es-MX" w:eastAsia="x-none"/>
        </w:rPr>
      </w:pPr>
    </w:p>
    <w:p w14:paraId="2228E1A6" w14:textId="77777777" w:rsidR="00126EE6" w:rsidRPr="00126EE6" w:rsidRDefault="00126EE6" w:rsidP="00126EE6">
      <w:pPr>
        <w:ind w:firstLine="705"/>
        <w:jc w:val="both"/>
        <w:rPr>
          <w:rFonts w:ascii="Abadi" w:hAnsi="Abadi" w:cs="Arial"/>
          <w:sz w:val="21"/>
          <w:szCs w:val="21"/>
          <w:lang w:val="es-MX" w:eastAsia="x-none"/>
        </w:rPr>
      </w:pPr>
      <w:r w:rsidRPr="00126EE6">
        <w:rPr>
          <w:rFonts w:ascii="Abadi" w:hAnsi="Abadi" w:cs="Arial"/>
          <w:sz w:val="21"/>
          <w:szCs w:val="21"/>
          <w:lang w:val="es-MX" w:eastAsia="x-none"/>
        </w:rPr>
        <w:t>El informe de resultados establece que se practicó la revisión de la cuenta pública respecto de las operaciones realizadas por la administración municipal de Yuriria, Gto., correspondientes al ejercicio fiscal 2020, en lo referente a los apartados de ingresos y egresos.</w:t>
      </w:r>
    </w:p>
    <w:p w14:paraId="15657426" w14:textId="77777777" w:rsidR="00126EE6" w:rsidRPr="00126EE6" w:rsidRDefault="00126EE6" w:rsidP="00126EE6">
      <w:pPr>
        <w:ind w:firstLine="705"/>
        <w:jc w:val="both"/>
        <w:rPr>
          <w:rFonts w:ascii="Abadi" w:hAnsi="Abadi" w:cs="Arial"/>
          <w:sz w:val="21"/>
          <w:szCs w:val="21"/>
          <w:lang w:val="es-MX" w:eastAsia="x-none"/>
        </w:rPr>
      </w:pPr>
    </w:p>
    <w:p w14:paraId="70259D49" w14:textId="77777777" w:rsidR="00126EE6" w:rsidRPr="00126EE6" w:rsidRDefault="00126EE6" w:rsidP="00126EE6">
      <w:pPr>
        <w:autoSpaceDE w:val="0"/>
        <w:autoSpaceDN w:val="0"/>
        <w:adjustRightInd w:val="0"/>
        <w:ind w:firstLine="708"/>
        <w:jc w:val="both"/>
        <w:rPr>
          <w:rFonts w:ascii="Abadi" w:hAnsi="Abadi" w:cs="Arial"/>
          <w:sz w:val="21"/>
          <w:szCs w:val="21"/>
          <w:lang w:val="es-MX" w:eastAsia="x-none"/>
        </w:rPr>
      </w:pPr>
      <w:r w:rsidRPr="00126EE6">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6A0E6D42" w14:textId="77777777" w:rsidR="00126EE6" w:rsidRPr="00126EE6" w:rsidRDefault="00126EE6" w:rsidP="00126EE6">
      <w:pPr>
        <w:jc w:val="both"/>
        <w:rPr>
          <w:rFonts w:ascii="Abadi" w:hAnsi="Abadi" w:cs="Arial"/>
          <w:sz w:val="21"/>
          <w:szCs w:val="21"/>
          <w:lang w:val="es-MX" w:eastAsia="x-none"/>
        </w:rPr>
      </w:pPr>
    </w:p>
    <w:p w14:paraId="46826128"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12D60FC1" w14:textId="77777777" w:rsidR="00126EE6" w:rsidRPr="00126EE6" w:rsidRDefault="00126EE6" w:rsidP="00126EE6">
      <w:pPr>
        <w:ind w:firstLine="708"/>
        <w:jc w:val="both"/>
        <w:rPr>
          <w:rFonts w:ascii="Abadi" w:hAnsi="Abadi" w:cs="Arial"/>
          <w:sz w:val="21"/>
          <w:szCs w:val="21"/>
          <w:lang w:val="es-MX" w:eastAsia="x-none"/>
        </w:rPr>
      </w:pPr>
    </w:p>
    <w:p w14:paraId="392718E2" w14:textId="77777777" w:rsidR="00126EE6" w:rsidRPr="00126EE6" w:rsidRDefault="00126EE6" w:rsidP="00126EE6">
      <w:pPr>
        <w:ind w:firstLine="708"/>
        <w:jc w:val="both"/>
        <w:rPr>
          <w:rFonts w:ascii="Abadi" w:hAnsi="Abadi" w:cs="Arial"/>
          <w:sz w:val="21"/>
          <w:szCs w:val="21"/>
        </w:rPr>
      </w:pPr>
      <w:r w:rsidRPr="00126EE6">
        <w:rPr>
          <w:rFonts w:ascii="Abadi" w:hAnsi="Abadi" w:cs="Arial"/>
          <w:sz w:val="21"/>
          <w:szCs w:val="21"/>
        </w:rPr>
        <w:t>El 18 de agosto de 2021 se notificó al presidente municipal de Yuriria, Gto., la orden de inicio del procedimiento de revisión de la cuenta pública.</w:t>
      </w:r>
    </w:p>
    <w:p w14:paraId="2BF271AA" w14:textId="77777777" w:rsidR="00126EE6" w:rsidRPr="00126EE6" w:rsidRDefault="00126EE6" w:rsidP="00126EE6">
      <w:pPr>
        <w:ind w:firstLine="708"/>
        <w:jc w:val="both"/>
        <w:rPr>
          <w:rFonts w:ascii="Abadi" w:hAnsi="Abadi" w:cs="Arial"/>
          <w:sz w:val="21"/>
          <w:szCs w:val="21"/>
        </w:rPr>
      </w:pPr>
    </w:p>
    <w:p w14:paraId="0EFF5F40" w14:textId="77777777" w:rsidR="00126EE6" w:rsidRPr="00126EE6" w:rsidRDefault="00126EE6" w:rsidP="00126EE6">
      <w:pPr>
        <w:ind w:firstLine="708"/>
        <w:jc w:val="both"/>
        <w:rPr>
          <w:rFonts w:ascii="Abadi" w:hAnsi="Abadi" w:cs="Arial"/>
          <w:sz w:val="21"/>
          <w:szCs w:val="21"/>
        </w:rPr>
      </w:pPr>
      <w:r w:rsidRPr="00126EE6">
        <w:rPr>
          <w:rFonts w:ascii="Abadi" w:hAnsi="Abadi" w:cs="Arial"/>
          <w:sz w:val="21"/>
          <w:szCs w:val="21"/>
        </w:rPr>
        <w:t>Posteriormente, en fechas 3 y 6 de diciembre de 2021 y 10 de enero de 2022 se notificó a la presidenta y al ex-presidente municipales de Yuriria, Gto., la suspensión del plazo de la revisión materia del presente dictamen, de conformidad con lo establecido en los Acuerdos de Suspensión de Plazos publicados en el Periódico Oficial del Gobierno del Estado de Guanajuato los días 19 de noviembre y 17 de diciembre de 2021.</w:t>
      </w:r>
    </w:p>
    <w:p w14:paraId="75F5E194" w14:textId="77777777" w:rsidR="00126EE6" w:rsidRPr="00126EE6" w:rsidRDefault="00126EE6" w:rsidP="00126EE6">
      <w:pPr>
        <w:ind w:firstLine="708"/>
        <w:jc w:val="both"/>
        <w:rPr>
          <w:rFonts w:ascii="Abadi" w:hAnsi="Abadi" w:cs="Arial"/>
          <w:sz w:val="21"/>
          <w:szCs w:val="21"/>
        </w:rPr>
      </w:pPr>
    </w:p>
    <w:p w14:paraId="74DBE7F8" w14:textId="77777777" w:rsidR="00126EE6" w:rsidRPr="00126EE6" w:rsidRDefault="00126EE6" w:rsidP="00126EE6">
      <w:pPr>
        <w:ind w:firstLine="708"/>
        <w:jc w:val="both"/>
        <w:rPr>
          <w:rFonts w:ascii="Abadi" w:hAnsi="Abadi" w:cs="Arial"/>
          <w:sz w:val="21"/>
          <w:szCs w:val="21"/>
        </w:rPr>
      </w:pPr>
      <w:r w:rsidRPr="00126EE6">
        <w:rPr>
          <w:rFonts w:ascii="Abadi" w:hAnsi="Abadi" w:cs="Arial"/>
          <w:sz w:val="21"/>
          <w:szCs w:val="21"/>
        </w:rPr>
        <w:t>El 11 de marzo de 2022, se notificó a la presidenta y al ex-presidente municipales de Yuriria, Gto., el pliego de observaciones y recomendaciones derivado de la revisión practicada a la cuenta pública municipal de Yuriria, Gto., correspondiente al ejercicio fiscal del año 2020, al cual se dio respuesta los días 28 de marzo y 4 de abril de 2022 respectivamente, por parte de la presidenta y el ex-presidente municipales de Yuriria, Gto.</w:t>
      </w:r>
    </w:p>
    <w:p w14:paraId="335F0304" w14:textId="77777777" w:rsidR="00126EE6" w:rsidRPr="00126EE6" w:rsidRDefault="00126EE6" w:rsidP="00126EE6">
      <w:pPr>
        <w:ind w:firstLine="708"/>
        <w:jc w:val="both"/>
        <w:rPr>
          <w:rFonts w:ascii="Abadi" w:hAnsi="Abadi" w:cs="Arial"/>
          <w:sz w:val="21"/>
          <w:szCs w:val="21"/>
        </w:rPr>
      </w:pPr>
    </w:p>
    <w:p w14:paraId="0A84F9F7" w14:textId="3D7430D2" w:rsid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 xml:space="preserve">El 19 de abril de 2022, el informe de resultados se notificó a la presidenta y al ex-presidente municipales de Yuriria, Gto., para que, en su caso, hicieran valer el recurso de reconsideración previsto por los artículos del 48 al 55 de </w:t>
      </w:r>
      <w:smartTag w:uri="urn:schemas-microsoft-com:office:smarttags" w:element="PersonName">
        <w:smartTagPr>
          <w:attr w:name="ProductID" w:val="la Ley"/>
        </w:smartTagPr>
        <w:r w:rsidRPr="00126EE6">
          <w:rPr>
            <w:rFonts w:ascii="Abadi" w:hAnsi="Abadi" w:cs="Arial"/>
            <w:sz w:val="21"/>
            <w:szCs w:val="21"/>
            <w:lang w:val="es-MX" w:eastAsia="x-none"/>
          </w:rPr>
          <w:t>la Ley</w:t>
        </w:r>
      </w:smartTag>
      <w:r w:rsidRPr="00126EE6">
        <w:rPr>
          <w:rFonts w:ascii="Abadi" w:hAnsi="Abadi" w:cs="Arial"/>
          <w:sz w:val="21"/>
          <w:szCs w:val="21"/>
          <w:lang w:val="es-MX" w:eastAsia="x-none"/>
        </w:rPr>
        <w:t xml:space="preserve"> de Fiscalización Superior del Estado de Guanajuato, haciéndoles saber que contaban con un término de cinco días hábiles para tal efecto. Con lo anterior, se dio cumplimiento a la fracción IV del artículo 37 de la citada Ley.</w:t>
      </w:r>
    </w:p>
    <w:p w14:paraId="2D81B2D8" w14:textId="77777777" w:rsidR="00126EE6" w:rsidRPr="00126EE6" w:rsidRDefault="00126EE6" w:rsidP="00126EE6">
      <w:pPr>
        <w:ind w:firstLine="708"/>
        <w:jc w:val="both"/>
        <w:rPr>
          <w:rFonts w:ascii="Abadi" w:hAnsi="Abadi" w:cs="Arial"/>
          <w:sz w:val="21"/>
          <w:szCs w:val="21"/>
          <w:lang w:val="es-MX" w:eastAsia="x-none"/>
        </w:rPr>
      </w:pPr>
    </w:p>
    <w:p w14:paraId="2A762F6E"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 xml:space="preserve">El 26 de abril de 2022, dentro del plazo que prevé la fracción IV del artículo 37 de </w:t>
      </w:r>
      <w:smartTag w:uri="urn:schemas-microsoft-com:office:smarttags" w:element="PersonName">
        <w:smartTagPr>
          <w:attr w:name="ProductID" w:val="la Ley"/>
        </w:smartTagPr>
        <w:r w:rsidRPr="00126EE6">
          <w:rPr>
            <w:rFonts w:ascii="Abadi" w:hAnsi="Abadi" w:cs="Arial"/>
            <w:sz w:val="21"/>
            <w:szCs w:val="21"/>
            <w:lang w:val="es-MX" w:eastAsia="x-none"/>
          </w:rPr>
          <w:t>la Ley</w:t>
        </w:r>
      </w:smartTag>
      <w:r w:rsidRPr="00126EE6">
        <w:rPr>
          <w:rFonts w:ascii="Abadi" w:hAnsi="Abadi" w:cs="Arial"/>
          <w:sz w:val="21"/>
          <w:szCs w:val="21"/>
          <w:lang w:val="es-MX" w:eastAsia="x-none"/>
        </w:rPr>
        <w:t xml:space="preserve"> de Fiscalización Superior del Estado de Guanajuato, el ex-presidente municipal de Yuriria, Gto., interpuso recurso de reconsideración en contra del informe de resultados de la revisión practicada a la cuenta pública de dicho Municipio, correspondiente al ejercicio fiscal del año 2020, siendo admitido dicho recurso, al colmarse los requisitos de procedibilidad previstos por el artículo 51 de </w:t>
      </w:r>
      <w:smartTag w:uri="urn:schemas-microsoft-com:office:smarttags" w:element="PersonName">
        <w:smartTagPr>
          <w:attr w:name="ProductID" w:val="la Ley"/>
        </w:smartTagPr>
        <w:r w:rsidRPr="00126EE6">
          <w:rPr>
            <w:rFonts w:ascii="Abadi" w:hAnsi="Abadi" w:cs="Arial"/>
            <w:sz w:val="21"/>
            <w:szCs w:val="21"/>
            <w:lang w:val="es-MX" w:eastAsia="x-none"/>
          </w:rPr>
          <w:t>la Ley</w:t>
        </w:r>
      </w:smartTag>
      <w:r w:rsidRPr="00126EE6">
        <w:rPr>
          <w:rFonts w:ascii="Abadi" w:hAnsi="Abadi" w:cs="Arial"/>
          <w:sz w:val="21"/>
          <w:szCs w:val="21"/>
          <w:lang w:val="es-MX" w:eastAsia="x-none"/>
        </w:rPr>
        <w:t xml:space="preserve"> de Fiscalización Superior del Estado de Guanajuato.</w:t>
      </w:r>
    </w:p>
    <w:p w14:paraId="1306595E" w14:textId="77777777" w:rsidR="00126EE6" w:rsidRPr="00126EE6" w:rsidRDefault="00126EE6" w:rsidP="00126EE6">
      <w:pPr>
        <w:ind w:firstLine="708"/>
        <w:jc w:val="both"/>
        <w:rPr>
          <w:rFonts w:ascii="Abadi" w:hAnsi="Abadi"/>
          <w:sz w:val="21"/>
          <w:szCs w:val="21"/>
        </w:rPr>
      </w:pPr>
    </w:p>
    <w:p w14:paraId="759F2CC8"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Una vez tramitado el recurso, el Auditor Superior el 11 de mayo de 2022 emitió la resolución correspondiente, a la cual haremos referencia en un apartado posterior, misma que se notificó al ex-presidente municipal de Yuriria, Gto., el 13 de mayo de 2022.</w:t>
      </w:r>
    </w:p>
    <w:p w14:paraId="7685F95A" w14:textId="77777777" w:rsidR="00126EE6" w:rsidRPr="00126EE6" w:rsidRDefault="00126EE6" w:rsidP="00126EE6">
      <w:pPr>
        <w:ind w:firstLine="708"/>
        <w:jc w:val="both"/>
        <w:rPr>
          <w:rFonts w:ascii="Abadi" w:hAnsi="Abadi" w:cs="Arial"/>
          <w:sz w:val="21"/>
          <w:szCs w:val="21"/>
          <w:lang w:val="es-MX" w:eastAsia="x-none"/>
        </w:rPr>
      </w:pPr>
    </w:p>
    <w:p w14:paraId="0CBBE5EA" w14:textId="77777777" w:rsidR="00126EE6" w:rsidRPr="00126EE6" w:rsidRDefault="00126EE6" w:rsidP="00126EE6">
      <w:pPr>
        <w:ind w:firstLine="708"/>
        <w:jc w:val="both"/>
        <w:rPr>
          <w:rFonts w:ascii="Abadi" w:hAnsi="Abadi" w:cs="Arial"/>
          <w:b/>
          <w:bCs/>
          <w:sz w:val="21"/>
          <w:szCs w:val="21"/>
          <w:lang w:eastAsia="x-none"/>
        </w:rPr>
      </w:pPr>
      <w:r w:rsidRPr="00126EE6">
        <w:rPr>
          <w:rFonts w:ascii="Abadi" w:hAnsi="Abadi" w:cs="Arial"/>
          <w:b/>
          <w:bCs/>
          <w:sz w:val="21"/>
          <w:szCs w:val="21"/>
          <w:lang w:eastAsia="x-none"/>
        </w:rPr>
        <w:t>IV. Contenido del Informe de Resultados:</w:t>
      </w:r>
    </w:p>
    <w:p w14:paraId="1F6FEAFF" w14:textId="77777777" w:rsidR="00126EE6" w:rsidRPr="00126EE6" w:rsidRDefault="00126EE6" w:rsidP="00126EE6">
      <w:pPr>
        <w:jc w:val="both"/>
        <w:rPr>
          <w:rFonts w:ascii="Abadi" w:hAnsi="Abadi" w:cs="Arial"/>
          <w:b/>
          <w:bCs/>
          <w:sz w:val="21"/>
          <w:szCs w:val="21"/>
          <w:lang w:eastAsia="x-none"/>
        </w:rPr>
      </w:pPr>
    </w:p>
    <w:p w14:paraId="2396F9D4" w14:textId="77777777" w:rsidR="00126EE6" w:rsidRPr="00126EE6" w:rsidRDefault="00126EE6" w:rsidP="00126EE6">
      <w:pPr>
        <w:jc w:val="both"/>
        <w:rPr>
          <w:rFonts w:ascii="Abadi" w:hAnsi="Abadi" w:cs="Arial"/>
          <w:sz w:val="21"/>
          <w:szCs w:val="21"/>
          <w:lang w:eastAsia="x-none"/>
        </w:rPr>
      </w:pPr>
      <w:r w:rsidRPr="00126EE6">
        <w:rPr>
          <w:rFonts w:ascii="Abadi" w:hAnsi="Abadi" w:cs="Arial"/>
          <w:b/>
          <w:bCs/>
          <w:sz w:val="21"/>
          <w:szCs w:val="21"/>
          <w:lang w:eastAsia="x-none"/>
        </w:rPr>
        <w:tab/>
      </w:r>
      <w:r w:rsidRPr="00126EE6">
        <w:rPr>
          <w:rFonts w:ascii="Abadi" w:hAnsi="Abadi" w:cs="Arial"/>
          <w:bCs/>
          <w:sz w:val="21"/>
          <w:szCs w:val="21"/>
          <w:lang w:eastAsia="x-none"/>
        </w:rPr>
        <w:t>En cumplimiento a lo establecido por el</w:t>
      </w:r>
      <w:r w:rsidRPr="00126EE6">
        <w:rPr>
          <w:rFonts w:ascii="Abadi" w:hAnsi="Abadi" w:cs="Arial"/>
          <w:sz w:val="21"/>
          <w:szCs w:val="21"/>
          <w:lang w:eastAsia="x-none"/>
        </w:rPr>
        <w:t xml:space="preserve"> artículo 37, fracción III de la Ley de Fiscalización Superior del Estado, el informe de resultados contiene los siguientes apartados:</w:t>
      </w:r>
    </w:p>
    <w:p w14:paraId="71FAEE8A" w14:textId="77777777" w:rsidR="00126EE6" w:rsidRPr="00126EE6" w:rsidRDefault="00126EE6" w:rsidP="00126EE6">
      <w:pPr>
        <w:jc w:val="both"/>
        <w:rPr>
          <w:rFonts w:ascii="Abadi" w:hAnsi="Abadi" w:cs="Arial"/>
          <w:sz w:val="21"/>
          <w:szCs w:val="21"/>
          <w:lang w:eastAsia="x-none"/>
        </w:rPr>
      </w:pPr>
    </w:p>
    <w:p w14:paraId="429E0AA3" w14:textId="77777777" w:rsidR="00126EE6" w:rsidRPr="00126EE6" w:rsidRDefault="00126EE6" w:rsidP="001A28E5">
      <w:pPr>
        <w:numPr>
          <w:ilvl w:val="0"/>
          <w:numId w:val="98"/>
        </w:numPr>
        <w:jc w:val="both"/>
        <w:rPr>
          <w:rFonts w:ascii="Abadi" w:hAnsi="Abadi" w:cs="Arial"/>
          <w:b/>
          <w:bCs/>
          <w:sz w:val="21"/>
          <w:szCs w:val="21"/>
          <w:lang w:eastAsia="x-none"/>
        </w:rPr>
      </w:pPr>
      <w:r w:rsidRPr="00126EE6">
        <w:rPr>
          <w:rFonts w:ascii="Abadi" w:hAnsi="Abadi" w:cs="Arial"/>
          <w:b/>
          <w:bCs/>
          <w:sz w:val="21"/>
          <w:szCs w:val="21"/>
          <w:lang w:eastAsia="x-none"/>
        </w:rPr>
        <w:t>Introducción.</w:t>
      </w:r>
    </w:p>
    <w:p w14:paraId="440AD546" w14:textId="77777777" w:rsidR="00126EE6" w:rsidRPr="00126EE6" w:rsidRDefault="00126EE6" w:rsidP="00126EE6">
      <w:pPr>
        <w:ind w:left="705"/>
        <w:jc w:val="both"/>
        <w:rPr>
          <w:rFonts w:ascii="Abadi" w:hAnsi="Abadi" w:cs="Arial"/>
          <w:b/>
          <w:bCs/>
          <w:sz w:val="21"/>
          <w:szCs w:val="21"/>
          <w:lang w:eastAsia="x-none"/>
        </w:rPr>
      </w:pPr>
    </w:p>
    <w:p w14:paraId="6EA4B1E6" w14:textId="77777777" w:rsidR="00126EE6" w:rsidRPr="00126EE6" w:rsidRDefault="00126EE6" w:rsidP="00126EE6">
      <w:pPr>
        <w:ind w:firstLine="705"/>
        <w:jc w:val="both"/>
        <w:rPr>
          <w:rFonts w:ascii="Abadi" w:hAnsi="Abadi" w:cs="Arial"/>
          <w:sz w:val="21"/>
          <w:szCs w:val="21"/>
          <w:lang w:eastAsia="x-none"/>
        </w:rPr>
      </w:pPr>
      <w:r w:rsidRPr="00126EE6">
        <w:rPr>
          <w:rFonts w:ascii="Abadi" w:hAnsi="Abadi" w:cs="Arial"/>
          <w:sz w:val="21"/>
          <w:szCs w:val="21"/>
          <w:lang w:eastAsia="x-none"/>
        </w:rPr>
        <w:t xml:space="preserve">Por lo que se refiere a este punto, se establecen los criterios de selección; el objetivo de la revisión; el alcance de la revisión respecto a los apartados de ingresos y egresos, </w:t>
      </w:r>
      <w:r w:rsidRPr="00126EE6">
        <w:rPr>
          <w:rFonts w:ascii="Abadi" w:hAnsi="Abadi" w:cs="Arial"/>
          <w:sz w:val="21"/>
          <w:szCs w:val="21"/>
          <w:lang w:val="es-MX" w:eastAsia="x-none"/>
        </w:rPr>
        <w:t>precisando que el detalle de los alcances de la revisión se consigna en el Anexo 01 del informe de resultados.</w:t>
      </w:r>
    </w:p>
    <w:p w14:paraId="3F49ABBB" w14:textId="77777777" w:rsidR="00126EE6" w:rsidRPr="00126EE6" w:rsidRDefault="00126EE6" w:rsidP="00126EE6">
      <w:pPr>
        <w:ind w:firstLine="705"/>
        <w:jc w:val="both"/>
        <w:rPr>
          <w:rFonts w:ascii="Abadi" w:hAnsi="Abadi" w:cs="Arial"/>
          <w:sz w:val="21"/>
          <w:szCs w:val="21"/>
          <w:lang w:eastAsia="x-none"/>
        </w:rPr>
      </w:pPr>
    </w:p>
    <w:p w14:paraId="084E036C" w14:textId="77777777" w:rsidR="00126EE6" w:rsidRPr="00126EE6" w:rsidRDefault="00126EE6" w:rsidP="00126EE6">
      <w:pPr>
        <w:ind w:firstLine="705"/>
        <w:jc w:val="both"/>
        <w:rPr>
          <w:rFonts w:ascii="Abadi" w:hAnsi="Abadi" w:cs="Arial"/>
          <w:sz w:val="21"/>
          <w:szCs w:val="21"/>
          <w:lang w:eastAsia="x-none"/>
        </w:rPr>
      </w:pPr>
      <w:r w:rsidRPr="00126EE6">
        <w:rPr>
          <w:rFonts w:ascii="Abadi" w:hAnsi="Abadi" w:cs="Arial"/>
          <w:sz w:val="21"/>
          <w:szCs w:val="21"/>
          <w:lang w:eastAsia="x-none"/>
        </w:rPr>
        <w:t>También en este apartado se precisan los procedimientos de auditoría aplicados, siendo estos: inspección, observación, confirmación externa, recálculo, procedimientos analíticos, re ejecución e indagación.</w:t>
      </w:r>
    </w:p>
    <w:p w14:paraId="33E5FB96" w14:textId="77777777" w:rsidR="00126EE6" w:rsidRPr="00126EE6" w:rsidRDefault="00126EE6" w:rsidP="00126EE6">
      <w:pPr>
        <w:ind w:firstLine="705"/>
        <w:jc w:val="both"/>
        <w:rPr>
          <w:rFonts w:ascii="Abadi" w:hAnsi="Abadi" w:cs="Arial"/>
          <w:sz w:val="21"/>
          <w:szCs w:val="21"/>
          <w:lang w:eastAsia="x-none"/>
        </w:rPr>
      </w:pPr>
    </w:p>
    <w:p w14:paraId="18F1698F" w14:textId="77777777" w:rsidR="00126EE6" w:rsidRPr="00126EE6" w:rsidRDefault="00126EE6" w:rsidP="00126EE6">
      <w:pPr>
        <w:ind w:firstLine="705"/>
        <w:jc w:val="both"/>
        <w:rPr>
          <w:rFonts w:ascii="Abadi" w:hAnsi="Abadi" w:cs="Arial"/>
          <w:sz w:val="21"/>
          <w:szCs w:val="21"/>
          <w:lang w:eastAsia="x-none"/>
        </w:rPr>
      </w:pPr>
      <w:r w:rsidRPr="00126EE6">
        <w:rPr>
          <w:rFonts w:ascii="Abadi" w:hAnsi="Abadi" w:cs="Arial"/>
          <w:sz w:val="21"/>
          <w:szCs w:val="21"/>
          <w:lang w:eastAsia="x-none"/>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006B520B" w14:textId="77777777" w:rsidR="00126EE6" w:rsidRPr="00126EE6" w:rsidRDefault="00126EE6" w:rsidP="00126EE6">
      <w:pPr>
        <w:jc w:val="both"/>
        <w:rPr>
          <w:rFonts w:ascii="Abadi" w:hAnsi="Abadi" w:cs="Arial"/>
          <w:i/>
          <w:iCs/>
          <w:sz w:val="21"/>
          <w:szCs w:val="21"/>
          <w:lang w:eastAsia="x-none"/>
        </w:rPr>
      </w:pPr>
    </w:p>
    <w:p w14:paraId="3037213A" w14:textId="77777777" w:rsidR="00126EE6" w:rsidRPr="00126EE6" w:rsidRDefault="00126EE6" w:rsidP="00126EE6">
      <w:pPr>
        <w:jc w:val="both"/>
        <w:rPr>
          <w:rFonts w:ascii="Abadi" w:hAnsi="Abadi" w:cs="Arial"/>
          <w:i/>
          <w:iCs/>
          <w:sz w:val="21"/>
          <w:szCs w:val="21"/>
          <w:lang w:eastAsia="x-none"/>
        </w:rPr>
      </w:pPr>
      <w:r w:rsidRPr="00126EE6">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4E026E82" w14:textId="77777777" w:rsidR="00126EE6" w:rsidRPr="00126EE6" w:rsidRDefault="00126EE6" w:rsidP="00126EE6">
      <w:pPr>
        <w:jc w:val="both"/>
        <w:rPr>
          <w:rFonts w:ascii="Abadi" w:hAnsi="Abadi" w:cs="Arial"/>
          <w:i/>
          <w:iCs/>
          <w:sz w:val="21"/>
          <w:szCs w:val="21"/>
          <w:lang w:eastAsia="x-none"/>
        </w:rPr>
      </w:pPr>
      <w:r w:rsidRPr="00126EE6">
        <w:rPr>
          <w:rFonts w:ascii="Abadi" w:hAnsi="Abadi" w:cs="Arial"/>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4E565EA9" w14:textId="77777777" w:rsidR="00126EE6" w:rsidRPr="00126EE6" w:rsidRDefault="00126EE6" w:rsidP="00126EE6">
      <w:pPr>
        <w:jc w:val="both"/>
        <w:rPr>
          <w:rFonts w:ascii="Abadi" w:hAnsi="Abadi" w:cs="Arial"/>
          <w:i/>
          <w:iCs/>
          <w:sz w:val="21"/>
          <w:szCs w:val="21"/>
          <w:lang w:eastAsia="x-none"/>
        </w:rPr>
      </w:pPr>
    </w:p>
    <w:p w14:paraId="627A4B11" w14:textId="77777777" w:rsidR="00126EE6" w:rsidRPr="00126EE6" w:rsidRDefault="00126EE6" w:rsidP="00126EE6">
      <w:pPr>
        <w:jc w:val="both"/>
        <w:rPr>
          <w:rFonts w:ascii="Abadi" w:hAnsi="Abadi" w:cs="Arial"/>
          <w:i/>
          <w:iCs/>
          <w:sz w:val="21"/>
          <w:szCs w:val="21"/>
          <w:lang w:eastAsia="x-none"/>
        </w:rPr>
      </w:pPr>
      <w:r w:rsidRPr="00126EE6">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089EA492" w14:textId="77777777" w:rsidR="00126EE6" w:rsidRPr="00126EE6" w:rsidRDefault="00126EE6" w:rsidP="00126EE6">
      <w:pPr>
        <w:jc w:val="both"/>
        <w:rPr>
          <w:rFonts w:ascii="Abadi" w:hAnsi="Abadi" w:cs="Arial"/>
          <w:sz w:val="21"/>
          <w:szCs w:val="21"/>
          <w:lang w:eastAsia="x-none"/>
        </w:rPr>
      </w:pPr>
    </w:p>
    <w:p w14:paraId="491C1CE7" w14:textId="77777777" w:rsidR="00126EE6" w:rsidRPr="00126EE6" w:rsidRDefault="00126EE6" w:rsidP="00126EE6">
      <w:pPr>
        <w:ind w:firstLine="705"/>
        <w:jc w:val="both"/>
        <w:rPr>
          <w:rFonts w:ascii="Abadi" w:hAnsi="Abadi" w:cs="Arial"/>
          <w:sz w:val="21"/>
          <w:szCs w:val="21"/>
          <w:lang w:eastAsia="x-none"/>
        </w:rPr>
      </w:pPr>
      <w:r w:rsidRPr="00126EE6">
        <w:rPr>
          <w:rFonts w:ascii="Abadi" w:hAnsi="Abadi" w:cs="Arial"/>
          <w:sz w:val="21"/>
          <w:szCs w:val="21"/>
          <w:lang w:eastAsia="x-none"/>
        </w:rPr>
        <w:t xml:space="preserve">Derivado de lo anterior, en el proceso de auditoría se inspeccionó que los comprobantes fiscales que soportan las erogaciones del ente fiscalizado, no correspondan a contribuyentes que se encuentren en los supuestos previstos en el artículo 69-B del Código Fiscal de la Federación, empresas que facturan operaciones simuladas o inexistentes con el carácter de </w:t>
      </w:r>
      <w:r w:rsidRPr="00126EE6">
        <w:rPr>
          <w:rFonts w:ascii="Abadi" w:hAnsi="Abadi" w:cs="Arial"/>
          <w:i/>
          <w:iCs/>
          <w:sz w:val="21"/>
          <w:szCs w:val="21"/>
          <w:lang w:eastAsia="x-none"/>
        </w:rPr>
        <w:t>«Definitivos»,</w:t>
      </w:r>
      <w:r w:rsidRPr="00126EE6">
        <w:rPr>
          <w:rFonts w:ascii="Abadi" w:hAnsi="Abadi" w:cs="Arial"/>
          <w:sz w:val="21"/>
          <w:szCs w:val="21"/>
          <w:lang w:eastAsia="x-none"/>
        </w:rPr>
        <w:t xml:space="preserve"> emitidas por el Servicio de Administración Tributaria.</w:t>
      </w:r>
    </w:p>
    <w:p w14:paraId="568D95AB" w14:textId="77777777" w:rsidR="00126EE6" w:rsidRPr="00126EE6" w:rsidRDefault="00126EE6" w:rsidP="00126EE6">
      <w:pPr>
        <w:ind w:firstLine="705"/>
        <w:jc w:val="both"/>
        <w:rPr>
          <w:rFonts w:ascii="Abadi" w:hAnsi="Abadi" w:cs="Arial"/>
          <w:sz w:val="21"/>
          <w:szCs w:val="21"/>
          <w:lang w:val="es-MX" w:eastAsia="x-none"/>
        </w:rPr>
      </w:pPr>
    </w:p>
    <w:p w14:paraId="10B3B377" w14:textId="77777777" w:rsidR="00126EE6" w:rsidRPr="00126EE6" w:rsidRDefault="00126EE6" w:rsidP="00126EE6">
      <w:pPr>
        <w:ind w:firstLine="705"/>
        <w:jc w:val="both"/>
        <w:rPr>
          <w:rFonts w:ascii="Abadi" w:hAnsi="Abadi" w:cs="Arial"/>
          <w:sz w:val="21"/>
          <w:szCs w:val="21"/>
          <w:lang w:eastAsia="x-none"/>
        </w:rPr>
      </w:pPr>
      <w:r w:rsidRPr="00126EE6">
        <w:rPr>
          <w:rFonts w:ascii="Abadi" w:hAnsi="Abadi" w:cs="Arial"/>
          <w:sz w:val="21"/>
          <w:szCs w:val="21"/>
          <w:lang w:eastAsia="x-none"/>
        </w:rPr>
        <w:t>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58F896C0" w14:textId="77777777" w:rsidR="00126EE6" w:rsidRPr="00126EE6" w:rsidRDefault="00126EE6" w:rsidP="00126EE6">
      <w:pPr>
        <w:ind w:firstLine="705"/>
        <w:jc w:val="both"/>
        <w:rPr>
          <w:rFonts w:ascii="Abadi" w:hAnsi="Abadi"/>
          <w:sz w:val="21"/>
          <w:szCs w:val="21"/>
          <w:lang w:eastAsia="x-none"/>
        </w:rPr>
      </w:pPr>
    </w:p>
    <w:p w14:paraId="53BC1845" w14:textId="77777777" w:rsidR="00126EE6" w:rsidRPr="00126EE6" w:rsidRDefault="00126EE6" w:rsidP="00126EE6">
      <w:pPr>
        <w:ind w:firstLine="705"/>
        <w:jc w:val="both"/>
        <w:rPr>
          <w:rFonts w:ascii="Abadi" w:hAnsi="Abadi" w:cs="Arial"/>
          <w:sz w:val="21"/>
          <w:szCs w:val="21"/>
          <w:lang w:val="es-MX" w:eastAsia="x-none"/>
        </w:rPr>
      </w:pPr>
      <w:r w:rsidRPr="00126EE6">
        <w:rPr>
          <w:rFonts w:ascii="Abadi" w:hAnsi="Abadi" w:cs="Arial"/>
          <w:sz w:val="21"/>
          <w:szCs w:val="21"/>
          <w:lang w:val="es-MX" w:eastAsia="x-none"/>
        </w:rPr>
        <w:t>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fiscalizado;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fiscalizado.</w:t>
      </w:r>
    </w:p>
    <w:p w14:paraId="71FBE4B5" w14:textId="77777777" w:rsidR="00126EE6" w:rsidRPr="00126EE6" w:rsidRDefault="00126EE6" w:rsidP="00126EE6">
      <w:pPr>
        <w:ind w:firstLine="705"/>
        <w:jc w:val="both"/>
        <w:rPr>
          <w:rFonts w:ascii="Abadi" w:hAnsi="Abadi" w:cs="Arial"/>
          <w:sz w:val="21"/>
          <w:szCs w:val="21"/>
          <w:lang w:val="es-MX" w:eastAsia="x-none"/>
        </w:rPr>
      </w:pPr>
    </w:p>
    <w:p w14:paraId="6781E531" w14:textId="77777777" w:rsidR="00126EE6" w:rsidRPr="00126EE6" w:rsidRDefault="00126EE6" w:rsidP="00126EE6">
      <w:pPr>
        <w:ind w:firstLine="705"/>
        <w:jc w:val="both"/>
        <w:rPr>
          <w:rFonts w:ascii="Abadi" w:hAnsi="Abadi" w:cs="Arial"/>
          <w:sz w:val="21"/>
          <w:szCs w:val="21"/>
          <w:lang w:eastAsia="x-none"/>
        </w:rPr>
      </w:pPr>
      <w:r w:rsidRPr="00126EE6">
        <w:rPr>
          <w:rFonts w:ascii="Abadi" w:hAnsi="Abadi" w:cs="Arial"/>
          <w:sz w:val="21"/>
          <w:szCs w:val="21"/>
          <w:lang w:eastAsia="x-none"/>
        </w:rPr>
        <w:t>Cabe precisar que, a fin de fomentar la participación ciudadana, la Auditoría Superior del Estado cuenta con diversos mecanismos para recibir solicitudes, denuncias y sugerencias, relacionados con hechos presuntamente irregulares en la captación, manejo y utilización de los recursos públicos, así como desvío de recursos hacia fines distintos a lo autorizado, entre otros supuestos de procedencia. Derivado de lo cual se recibieron tres solicitudes ciudadanas que fueron remitidas formalmente, de las que, una vez aplicados los procedimientos de auditoría inherentes, se obtuvo el resultado establecido en las observaciones contenidas en los numerales 001, 002, 003, 004 y 005.</w:t>
      </w:r>
    </w:p>
    <w:p w14:paraId="7D42894D" w14:textId="77777777" w:rsidR="00126EE6" w:rsidRPr="00126EE6" w:rsidRDefault="00126EE6" w:rsidP="00126EE6">
      <w:pPr>
        <w:ind w:firstLine="705"/>
        <w:jc w:val="both"/>
        <w:rPr>
          <w:rFonts w:ascii="Abadi" w:hAnsi="Abadi" w:cs="Arial"/>
          <w:sz w:val="21"/>
          <w:szCs w:val="21"/>
          <w:lang w:val="es-MX" w:eastAsia="x-none"/>
        </w:rPr>
      </w:pPr>
    </w:p>
    <w:p w14:paraId="7C9A3C84" w14:textId="77777777" w:rsidR="00126EE6" w:rsidRPr="00126EE6" w:rsidRDefault="00126EE6" w:rsidP="00126EE6">
      <w:pPr>
        <w:ind w:firstLine="705"/>
        <w:jc w:val="both"/>
        <w:rPr>
          <w:rFonts w:ascii="Abadi" w:hAnsi="Abadi" w:cs="Arial"/>
          <w:sz w:val="21"/>
          <w:szCs w:val="21"/>
          <w:lang w:val="es-MX" w:eastAsia="x-none"/>
        </w:rPr>
      </w:pPr>
      <w:r w:rsidRPr="00126EE6">
        <w:rPr>
          <w:rFonts w:ascii="Abadi" w:hAnsi="Abadi" w:cs="Arial"/>
          <w:sz w:val="21"/>
          <w:szCs w:val="21"/>
          <w:lang w:val="es-MX" w:eastAsia="x-none"/>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Yuriria, Gto., no cumplió con las disposiciones normativas aplicables, de acuerdo a lo que se precisa en el informe de resultados; señalando además que se presentaron limitantes en la aplicación de los procedimientos de auditoría, derivado de la contingencia por la pandemia del virus SARS-CoV2.</w:t>
      </w:r>
    </w:p>
    <w:p w14:paraId="4410835F" w14:textId="77777777" w:rsidR="00126EE6" w:rsidRPr="00126EE6" w:rsidRDefault="00126EE6" w:rsidP="00126EE6">
      <w:pPr>
        <w:ind w:firstLine="705"/>
        <w:jc w:val="both"/>
        <w:rPr>
          <w:rFonts w:ascii="Abadi" w:hAnsi="Abadi" w:cs="Arial"/>
          <w:sz w:val="21"/>
          <w:szCs w:val="21"/>
          <w:lang w:val="es-MX" w:eastAsia="x-none"/>
        </w:rPr>
      </w:pPr>
    </w:p>
    <w:p w14:paraId="488CB13F" w14:textId="77777777" w:rsidR="00126EE6" w:rsidRPr="00126EE6" w:rsidRDefault="00126EE6" w:rsidP="00126EE6">
      <w:pPr>
        <w:ind w:firstLine="705"/>
        <w:jc w:val="both"/>
        <w:rPr>
          <w:rFonts w:ascii="Abadi" w:hAnsi="Abadi" w:cs="Arial"/>
          <w:sz w:val="21"/>
          <w:szCs w:val="21"/>
        </w:rPr>
      </w:pPr>
      <w:r w:rsidRPr="00126EE6">
        <w:rPr>
          <w:rFonts w:ascii="Abadi" w:hAnsi="Abadi" w:cs="Arial"/>
          <w:sz w:val="21"/>
          <w:szCs w:val="21"/>
          <w:lang w:val="es-MX" w:eastAsia="x-none"/>
        </w:rPr>
        <w:t>En cuanto al rubro de resultados</w:t>
      </w:r>
      <w:r w:rsidRPr="00126EE6">
        <w:rPr>
          <w:rFonts w:ascii="Abadi" w:hAnsi="Abadi" w:cs="Arial"/>
          <w:sz w:val="21"/>
          <w:szCs w:val="21"/>
        </w:rPr>
        <w:t xml:space="preserve"> de la fiscalización efectuada, se establece el estatus que guardan las observaciones y recomendaciones, las cuales se agrupan bajo su respectivo tipo y rubro, señalando que se determinaron 7 observaciones, las cuales no fueron solventadas. Asimismo, se formuló 1 recomendación que se atendió.</w:t>
      </w:r>
    </w:p>
    <w:p w14:paraId="5878A0A4" w14:textId="77777777" w:rsidR="00126EE6" w:rsidRPr="00126EE6" w:rsidRDefault="00126EE6" w:rsidP="00126EE6">
      <w:pPr>
        <w:ind w:firstLine="705"/>
        <w:jc w:val="both"/>
        <w:rPr>
          <w:rFonts w:ascii="Abadi" w:hAnsi="Abadi" w:cs="Arial"/>
          <w:sz w:val="21"/>
          <w:szCs w:val="21"/>
          <w:lang w:eastAsia="x-none"/>
        </w:rPr>
      </w:pPr>
    </w:p>
    <w:p w14:paraId="26B79CDB" w14:textId="77777777" w:rsidR="00126EE6" w:rsidRPr="00126EE6" w:rsidRDefault="00126EE6" w:rsidP="00126EE6">
      <w:pPr>
        <w:ind w:firstLine="705"/>
        <w:jc w:val="both"/>
        <w:rPr>
          <w:rFonts w:ascii="Abadi" w:hAnsi="Abadi" w:cs="Arial"/>
          <w:sz w:val="21"/>
          <w:szCs w:val="21"/>
          <w:lang w:val="es-MX" w:eastAsia="x-none"/>
        </w:rPr>
      </w:pPr>
    </w:p>
    <w:p w14:paraId="6D0938E6" w14:textId="77777777" w:rsidR="00126EE6" w:rsidRPr="00126EE6" w:rsidRDefault="00126EE6" w:rsidP="00126EE6">
      <w:pPr>
        <w:ind w:firstLine="705"/>
        <w:jc w:val="both"/>
        <w:rPr>
          <w:rFonts w:ascii="Abadi" w:hAnsi="Abadi" w:cs="Arial"/>
          <w:sz w:val="21"/>
          <w:szCs w:val="21"/>
          <w:lang w:val="es-MX" w:eastAsia="x-none"/>
        </w:rPr>
      </w:pPr>
      <w:r w:rsidRPr="00126EE6">
        <w:rPr>
          <w:rFonts w:ascii="Abadi" w:hAnsi="Abadi" w:cs="Arial"/>
          <w:sz w:val="21"/>
          <w:szCs w:val="21"/>
          <w:lang w:val="es-MX" w:eastAsia="x-none"/>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001, 002, 003, 004, 006 y 007, existen importes no solventados por la cuantía que ahí se refiere.  No obstante, mediante la resolución recaída al recurso de reconsideración promovido en contra del informe de resultados se modificó el complemento de la valoración de la observación contenida en el numeral 007, </w:t>
      </w:r>
      <w:r w:rsidRPr="00126EE6">
        <w:rPr>
          <w:rFonts w:ascii="Abadi" w:hAnsi="Abadi" w:cs="Arial"/>
          <w:sz w:val="21"/>
          <w:szCs w:val="21"/>
          <w:lang w:eastAsia="x-none"/>
        </w:rPr>
        <w:t>para quedar sin acciones pendientes de realizar por el sujeto fiscalizado.</w:t>
      </w:r>
    </w:p>
    <w:p w14:paraId="15D8CA5D" w14:textId="77777777" w:rsidR="00126EE6" w:rsidRPr="00126EE6" w:rsidRDefault="00126EE6" w:rsidP="00126EE6">
      <w:pPr>
        <w:ind w:firstLine="705"/>
        <w:jc w:val="both"/>
        <w:rPr>
          <w:rFonts w:ascii="Abadi" w:hAnsi="Abadi" w:cs="Arial"/>
          <w:sz w:val="21"/>
          <w:szCs w:val="21"/>
          <w:lang w:val="es-MX" w:eastAsia="x-none"/>
        </w:rPr>
      </w:pPr>
    </w:p>
    <w:p w14:paraId="38D82089" w14:textId="77777777" w:rsidR="00126EE6" w:rsidRPr="00126EE6" w:rsidRDefault="00126EE6" w:rsidP="00126EE6">
      <w:pPr>
        <w:ind w:firstLine="705"/>
        <w:jc w:val="both"/>
        <w:rPr>
          <w:rFonts w:ascii="Abadi" w:hAnsi="Abadi" w:cs="Arial"/>
          <w:sz w:val="21"/>
          <w:szCs w:val="21"/>
          <w:lang w:eastAsia="x-none"/>
        </w:rPr>
      </w:pPr>
      <w:r w:rsidRPr="00126EE6">
        <w:rPr>
          <w:rFonts w:ascii="Abadi" w:hAnsi="Abadi" w:cs="Arial"/>
          <w:sz w:val="21"/>
          <w:szCs w:val="21"/>
          <w:lang w:eastAsia="x-none"/>
        </w:rPr>
        <w:t>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Yuriria, Gto., celebró operaciones; entre los procedimientos expuestos, se verificó que estas no se encontraran en el listado de Empresas que Facturan Operaciones Simuladas (EFOS) u operaciones inexistentes con el carácter de «</w:t>
      </w:r>
      <w:r w:rsidRPr="00126EE6">
        <w:rPr>
          <w:rFonts w:ascii="Abadi" w:hAnsi="Abadi" w:cs="Arial"/>
          <w:i/>
          <w:iCs/>
          <w:sz w:val="21"/>
          <w:szCs w:val="21"/>
          <w:lang w:eastAsia="x-none"/>
        </w:rPr>
        <w:t>Definitivos»</w:t>
      </w:r>
      <w:r w:rsidRPr="00126EE6">
        <w:rPr>
          <w:rFonts w:ascii="Abadi" w:hAnsi="Abadi" w:cs="Arial"/>
          <w:sz w:val="21"/>
          <w:szCs w:val="21"/>
          <w:lang w:eastAsia="x-none"/>
        </w:rPr>
        <w:t xml:space="preserve"> publicados en el Diario Oficial de la Federación y en el sitio de información estadística del Servicio de Administración Tributaria, concluyendo que no se identificaron empresas clasificadas como EFOS.</w:t>
      </w:r>
    </w:p>
    <w:p w14:paraId="5664FDF0" w14:textId="77777777" w:rsidR="00126EE6" w:rsidRPr="00126EE6" w:rsidRDefault="00126EE6" w:rsidP="00126EE6">
      <w:pPr>
        <w:ind w:firstLine="705"/>
        <w:jc w:val="both"/>
        <w:rPr>
          <w:rFonts w:ascii="Abadi" w:hAnsi="Abadi" w:cs="Arial"/>
          <w:sz w:val="21"/>
          <w:szCs w:val="21"/>
          <w:lang w:eastAsia="x-none"/>
        </w:rPr>
      </w:pPr>
    </w:p>
    <w:p w14:paraId="7B6EB5AD" w14:textId="77777777" w:rsidR="00126EE6" w:rsidRPr="00126EE6" w:rsidRDefault="00126EE6" w:rsidP="001A28E5">
      <w:pPr>
        <w:numPr>
          <w:ilvl w:val="0"/>
          <w:numId w:val="98"/>
        </w:numPr>
        <w:tabs>
          <w:tab w:val="num" w:pos="0"/>
        </w:tabs>
        <w:jc w:val="both"/>
        <w:rPr>
          <w:rFonts w:ascii="Abadi" w:hAnsi="Abadi" w:cs="Arial"/>
          <w:b/>
          <w:bCs/>
          <w:sz w:val="21"/>
          <w:szCs w:val="21"/>
          <w:lang w:eastAsia="x-none"/>
        </w:rPr>
      </w:pPr>
      <w:r w:rsidRPr="00126EE6">
        <w:rPr>
          <w:rFonts w:ascii="Abadi" w:hAnsi="Abadi" w:cs="Arial"/>
          <w:b/>
          <w:bCs/>
          <w:sz w:val="21"/>
          <w:szCs w:val="21"/>
          <w:lang w:eastAsia="x-none"/>
        </w:rPr>
        <w:t xml:space="preserve">Observaciones y recomendaciones, la respuesta emitida por el sujeto fiscalizado y la valoración correspondiente. </w:t>
      </w:r>
    </w:p>
    <w:p w14:paraId="613CB7B7" w14:textId="77777777" w:rsidR="00126EE6" w:rsidRPr="00126EE6" w:rsidRDefault="00126EE6" w:rsidP="00126EE6">
      <w:pPr>
        <w:ind w:left="1065"/>
        <w:jc w:val="both"/>
        <w:rPr>
          <w:rFonts w:ascii="Abadi" w:hAnsi="Abadi" w:cs="Arial"/>
          <w:b/>
          <w:bCs/>
          <w:sz w:val="21"/>
          <w:szCs w:val="21"/>
          <w:lang w:eastAsia="x-none"/>
        </w:rPr>
      </w:pPr>
    </w:p>
    <w:p w14:paraId="7160C9B5" w14:textId="77777777" w:rsidR="00126EE6" w:rsidRPr="00126EE6" w:rsidRDefault="00126EE6" w:rsidP="00126EE6">
      <w:pPr>
        <w:tabs>
          <w:tab w:val="left" w:pos="4253"/>
        </w:tabs>
        <w:ind w:firstLine="705"/>
        <w:jc w:val="both"/>
        <w:rPr>
          <w:rFonts w:ascii="Abadi" w:hAnsi="Abadi" w:cs="Arial"/>
          <w:sz w:val="21"/>
          <w:szCs w:val="21"/>
          <w:lang w:val="es-MX" w:eastAsia="x-none"/>
        </w:rPr>
      </w:pPr>
      <w:r w:rsidRPr="00126EE6">
        <w:rPr>
          <w:rFonts w:ascii="Abadi" w:hAnsi="Abadi" w:cs="Arial"/>
          <w:sz w:val="21"/>
          <w:szCs w:val="21"/>
          <w:lang w:val="es-MX" w:eastAsia="x-none"/>
        </w:rPr>
        <w:t xml:space="preserve">En esta parte se desglosa la valoración de las observaciones formuladas por el Órgano Técnico, considerando como no solventadas las observaciones plasmadas en los numerales 001, referente a </w:t>
      </w:r>
      <w:r w:rsidRPr="00126EE6">
        <w:rPr>
          <w:rFonts w:ascii="Abadi" w:hAnsi="Abadi" w:cs="Arial"/>
          <w:sz w:val="21"/>
          <w:szCs w:val="21"/>
          <w:lang w:eastAsia="x-none"/>
        </w:rPr>
        <w:t xml:space="preserve">pago de sueldos; 002, correspondiente a pago de honorarios; 003, relativo a honorarios promotores; 004, referido a </w:t>
      </w:r>
      <w:r w:rsidRPr="00126EE6">
        <w:rPr>
          <w:rFonts w:ascii="Abadi" w:hAnsi="Abadi" w:cs="Arial"/>
          <w:sz w:val="21"/>
          <w:szCs w:val="21"/>
          <w:lang w:val="es-MX" w:eastAsia="x-none"/>
        </w:rPr>
        <w:t xml:space="preserve">contrato de honorarios asimilables a sueldos y salarios RHY/2020/136; 005, referente a apoyo gastos médicos mayores; 006, correspondiente a </w:t>
      </w:r>
      <w:r w:rsidRPr="00126EE6">
        <w:rPr>
          <w:rFonts w:ascii="Abadi" w:hAnsi="Abadi" w:cs="Arial"/>
          <w:sz w:val="21"/>
          <w:szCs w:val="21"/>
          <w:lang w:eastAsia="x-none"/>
        </w:rPr>
        <w:t>prima de antigüedad; y 007, relativo a publicaciones.</w:t>
      </w:r>
    </w:p>
    <w:p w14:paraId="292729FA" w14:textId="77777777" w:rsidR="00126EE6" w:rsidRPr="00126EE6" w:rsidRDefault="00126EE6" w:rsidP="00126EE6">
      <w:pPr>
        <w:ind w:firstLine="705"/>
        <w:jc w:val="both"/>
        <w:rPr>
          <w:rFonts w:ascii="Abadi" w:hAnsi="Abadi" w:cs="Arial"/>
          <w:sz w:val="21"/>
          <w:szCs w:val="21"/>
          <w:lang w:val="es-MX" w:eastAsia="x-none"/>
        </w:rPr>
      </w:pPr>
    </w:p>
    <w:p w14:paraId="0948494B" w14:textId="0720810D" w:rsidR="00126EE6" w:rsidRPr="00126EE6" w:rsidRDefault="00126EE6" w:rsidP="00126EE6">
      <w:pPr>
        <w:ind w:firstLine="705"/>
        <w:jc w:val="both"/>
        <w:rPr>
          <w:rFonts w:ascii="Abadi" w:hAnsi="Abadi" w:cs="Arial"/>
          <w:sz w:val="21"/>
          <w:szCs w:val="21"/>
          <w:lang w:eastAsia="x-none"/>
        </w:rPr>
      </w:pPr>
      <w:r w:rsidRPr="00126EE6">
        <w:rPr>
          <w:rFonts w:ascii="Abadi" w:hAnsi="Abadi" w:cs="Arial"/>
          <w:sz w:val="21"/>
          <w:szCs w:val="21"/>
          <w:lang w:eastAsia="x-none"/>
        </w:rPr>
        <w:t>En el apartado de Recomendaciones Generales, se atendió el numeral 001, referido a registro de vehículos propiedad del Municipio.</w:t>
      </w:r>
    </w:p>
    <w:p w14:paraId="35308455" w14:textId="77777777" w:rsidR="00126EE6" w:rsidRPr="00126EE6" w:rsidRDefault="00126EE6" w:rsidP="00126EE6">
      <w:pPr>
        <w:ind w:firstLine="705"/>
        <w:jc w:val="both"/>
        <w:rPr>
          <w:rFonts w:ascii="Abadi" w:hAnsi="Abadi" w:cs="Arial"/>
          <w:sz w:val="21"/>
          <w:szCs w:val="21"/>
          <w:lang w:val="es-MX" w:eastAsia="x-none"/>
        </w:rPr>
      </w:pPr>
    </w:p>
    <w:p w14:paraId="215192AA" w14:textId="77777777" w:rsidR="00126EE6" w:rsidRPr="00126EE6" w:rsidRDefault="00126EE6" w:rsidP="001A28E5">
      <w:pPr>
        <w:numPr>
          <w:ilvl w:val="0"/>
          <w:numId w:val="98"/>
        </w:numPr>
        <w:jc w:val="both"/>
        <w:rPr>
          <w:rFonts w:ascii="Abadi" w:hAnsi="Abadi" w:cs="Arial"/>
          <w:b/>
          <w:bCs/>
          <w:sz w:val="21"/>
          <w:szCs w:val="21"/>
          <w:lang w:val="es-MX" w:eastAsia="x-none"/>
        </w:rPr>
      </w:pPr>
      <w:r w:rsidRPr="00126EE6">
        <w:rPr>
          <w:rFonts w:ascii="Abadi" w:hAnsi="Abadi" w:cs="Arial"/>
          <w:b/>
          <w:bCs/>
          <w:sz w:val="21"/>
          <w:szCs w:val="21"/>
          <w:lang w:val="es-MX" w:eastAsia="x-none"/>
        </w:rPr>
        <w:t xml:space="preserve">Promoción del ejercicio de facultades de comprobación fiscal. </w:t>
      </w:r>
    </w:p>
    <w:p w14:paraId="517438CE" w14:textId="77777777" w:rsidR="00126EE6" w:rsidRPr="00126EE6" w:rsidRDefault="00126EE6" w:rsidP="00126EE6">
      <w:pPr>
        <w:ind w:firstLine="705"/>
        <w:jc w:val="both"/>
        <w:rPr>
          <w:rFonts w:ascii="Abadi" w:hAnsi="Abadi" w:cs="Arial"/>
          <w:sz w:val="21"/>
          <w:szCs w:val="21"/>
          <w:lang w:eastAsia="x-none"/>
        </w:rPr>
      </w:pPr>
    </w:p>
    <w:p w14:paraId="72B427C0" w14:textId="77777777" w:rsidR="00126EE6" w:rsidRPr="00126EE6" w:rsidRDefault="00126EE6" w:rsidP="00126EE6">
      <w:pPr>
        <w:ind w:firstLine="705"/>
        <w:jc w:val="both"/>
        <w:rPr>
          <w:rFonts w:ascii="Abadi" w:hAnsi="Abadi" w:cs="Arial"/>
          <w:sz w:val="21"/>
          <w:szCs w:val="21"/>
          <w:lang w:val="es-MX" w:eastAsia="x-none"/>
        </w:rPr>
      </w:pPr>
      <w:r w:rsidRPr="00126EE6">
        <w:rPr>
          <w:rFonts w:ascii="Abadi" w:hAnsi="Abadi" w:cs="Arial"/>
          <w:sz w:val="21"/>
          <w:szCs w:val="21"/>
          <w:lang w:val="es-MX" w:eastAsia="x-none"/>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0465E6B1" w14:textId="77777777" w:rsidR="00126EE6" w:rsidRPr="00126EE6" w:rsidRDefault="00126EE6" w:rsidP="00126EE6">
      <w:pPr>
        <w:ind w:firstLine="705"/>
        <w:jc w:val="both"/>
        <w:rPr>
          <w:rFonts w:ascii="Abadi" w:hAnsi="Abadi" w:cs="Arial"/>
          <w:sz w:val="21"/>
          <w:szCs w:val="21"/>
          <w:lang w:val="es-MX" w:eastAsia="x-none"/>
        </w:rPr>
      </w:pPr>
    </w:p>
    <w:p w14:paraId="544FC42E" w14:textId="77777777" w:rsidR="00126EE6" w:rsidRPr="00126EE6" w:rsidRDefault="00126EE6" w:rsidP="001A28E5">
      <w:pPr>
        <w:numPr>
          <w:ilvl w:val="0"/>
          <w:numId w:val="98"/>
        </w:numPr>
        <w:jc w:val="both"/>
        <w:rPr>
          <w:rFonts w:ascii="Abadi" w:hAnsi="Abadi" w:cs="Arial"/>
          <w:b/>
          <w:bCs/>
          <w:sz w:val="21"/>
          <w:szCs w:val="21"/>
          <w:lang w:val="es-MX" w:eastAsia="x-none"/>
        </w:rPr>
      </w:pPr>
      <w:r w:rsidRPr="00126EE6">
        <w:rPr>
          <w:rFonts w:ascii="Abadi" w:hAnsi="Abadi" w:cs="Arial"/>
          <w:b/>
          <w:bCs/>
          <w:sz w:val="21"/>
          <w:szCs w:val="21"/>
          <w:lang w:val="es-MX" w:eastAsia="x-none"/>
        </w:rPr>
        <w:t>Comunicado ante órganos de control y autoridades que administran padrones de proveedores y contratistas.</w:t>
      </w:r>
    </w:p>
    <w:p w14:paraId="1325F52D" w14:textId="77777777" w:rsidR="00126EE6" w:rsidRPr="00126EE6" w:rsidRDefault="00126EE6" w:rsidP="00126EE6">
      <w:pPr>
        <w:ind w:firstLine="705"/>
        <w:jc w:val="both"/>
        <w:rPr>
          <w:rFonts w:ascii="Abadi" w:hAnsi="Abadi" w:cs="Arial"/>
          <w:sz w:val="21"/>
          <w:szCs w:val="21"/>
          <w:lang w:eastAsia="x-none"/>
        </w:rPr>
      </w:pPr>
    </w:p>
    <w:p w14:paraId="323B785F" w14:textId="77777777" w:rsidR="00126EE6" w:rsidRPr="00126EE6" w:rsidRDefault="00126EE6" w:rsidP="00126EE6">
      <w:pPr>
        <w:ind w:firstLine="705"/>
        <w:jc w:val="both"/>
        <w:rPr>
          <w:rFonts w:ascii="Abadi" w:hAnsi="Abadi" w:cs="Arial"/>
          <w:sz w:val="21"/>
          <w:szCs w:val="21"/>
          <w:lang w:val="es-MX" w:eastAsia="x-none"/>
        </w:rPr>
      </w:pPr>
      <w:r w:rsidRPr="00126EE6">
        <w:rPr>
          <w:rFonts w:ascii="Abadi" w:hAnsi="Abadi" w:cs="Arial"/>
          <w:sz w:val="21"/>
          <w:szCs w:val="21"/>
          <w:lang w:val="es-MX" w:eastAsia="x-none"/>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2E8590C1" w14:textId="77777777" w:rsidR="00126EE6" w:rsidRPr="00126EE6" w:rsidRDefault="00126EE6" w:rsidP="00126EE6">
      <w:pPr>
        <w:ind w:firstLine="705"/>
        <w:jc w:val="both"/>
        <w:rPr>
          <w:rFonts w:ascii="Abadi" w:hAnsi="Abadi" w:cs="Arial"/>
          <w:sz w:val="21"/>
          <w:szCs w:val="21"/>
          <w:lang w:val="es-MX" w:eastAsia="x-none"/>
        </w:rPr>
      </w:pPr>
    </w:p>
    <w:p w14:paraId="550F1773" w14:textId="77777777" w:rsidR="00126EE6" w:rsidRPr="00126EE6" w:rsidRDefault="00126EE6" w:rsidP="001A28E5">
      <w:pPr>
        <w:numPr>
          <w:ilvl w:val="0"/>
          <w:numId w:val="98"/>
        </w:numPr>
        <w:jc w:val="both"/>
        <w:rPr>
          <w:rFonts w:ascii="Abadi" w:hAnsi="Abadi" w:cs="Arial"/>
          <w:b/>
          <w:bCs/>
          <w:sz w:val="21"/>
          <w:szCs w:val="21"/>
          <w:lang w:eastAsia="x-none"/>
        </w:rPr>
      </w:pPr>
      <w:r w:rsidRPr="00126EE6">
        <w:rPr>
          <w:rFonts w:ascii="Abadi" w:hAnsi="Abadi" w:cs="Arial"/>
          <w:b/>
          <w:bCs/>
          <w:sz w:val="21"/>
          <w:szCs w:val="21"/>
          <w:lang w:eastAsia="x-none"/>
        </w:rPr>
        <w:t xml:space="preserve">Recurso de Reconsideración. </w:t>
      </w:r>
    </w:p>
    <w:p w14:paraId="3F0380BA" w14:textId="77777777" w:rsidR="00126EE6" w:rsidRPr="00126EE6" w:rsidRDefault="00126EE6" w:rsidP="00126EE6">
      <w:pPr>
        <w:ind w:left="705"/>
        <w:jc w:val="both"/>
        <w:rPr>
          <w:rFonts w:ascii="Abadi" w:hAnsi="Abadi" w:cs="Arial"/>
          <w:b/>
          <w:bCs/>
          <w:sz w:val="21"/>
          <w:szCs w:val="21"/>
          <w:lang w:eastAsia="x-none"/>
        </w:rPr>
      </w:pPr>
    </w:p>
    <w:p w14:paraId="046E3345" w14:textId="77777777" w:rsidR="00126EE6" w:rsidRPr="00126EE6" w:rsidRDefault="00126EE6" w:rsidP="00126EE6">
      <w:pPr>
        <w:ind w:firstLine="705"/>
        <w:jc w:val="both"/>
        <w:rPr>
          <w:rFonts w:ascii="Abadi" w:hAnsi="Abadi" w:cs="Arial"/>
          <w:sz w:val="21"/>
          <w:szCs w:val="21"/>
          <w:lang w:val="es-MX" w:eastAsia="x-none"/>
        </w:rPr>
      </w:pPr>
      <w:r w:rsidRPr="00126EE6">
        <w:rPr>
          <w:rFonts w:ascii="Abadi" w:hAnsi="Abadi" w:cs="Arial"/>
          <w:sz w:val="21"/>
          <w:szCs w:val="21"/>
          <w:lang w:eastAsia="x-none"/>
        </w:rPr>
        <w:t xml:space="preserve">El 26 de abril de 2022, dentro del plazo que prevé la fracción IV del artículo 37 de </w:t>
      </w:r>
      <w:smartTag w:uri="urn:schemas-microsoft-com:office:smarttags" w:element="PersonName">
        <w:smartTagPr>
          <w:attr w:name="ProductID" w:val="la Ley"/>
        </w:smartTagPr>
        <w:r w:rsidRPr="00126EE6">
          <w:rPr>
            <w:rFonts w:ascii="Abadi" w:hAnsi="Abadi" w:cs="Arial"/>
            <w:sz w:val="21"/>
            <w:szCs w:val="21"/>
            <w:lang w:eastAsia="x-none"/>
          </w:rPr>
          <w:t>la Ley</w:t>
        </w:r>
      </w:smartTag>
      <w:r w:rsidRPr="00126EE6">
        <w:rPr>
          <w:rFonts w:ascii="Abadi" w:hAnsi="Abadi" w:cs="Arial"/>
          <w:sz w:val="21"/>
          <w:szCs w:val="21"/>
          <w:lang w:eastAsia="x-none"/>
        </w:rPr>
        <w:t xml:space="preserve"> de Fiscalización Superior del Estado de Guanajuato, el ex-</w:t>
      </w:r>
      <w:r w:rsidRPr="00126EE6">
        <w:rPr>
          <w:rFonts w:ascii="Abadi" w:hAnsi="Abadi" w:cs="Arial"/>
          <w:sz w:val="21"/>
          <w:szCs w:val="21"/>
          <w:lang w:val="es-MX" w:eastAsia="x-none"/>
        </w:rPr>
        <w:t>presidente municipal de Yuriria, Gto.,</w:t>
      </w:r>
      <w:r w:rsidRPr="00126EE6">
        <w:rPr>
          <w:rFonts w:ascii="Abadi" w:hAnsi="Abadi" w:cs="Arial"/>
          <w:sz w:val="21"/>
          <w:szCs w:val="21"/>
          <w:lang w:eastAsia="x-none"/>
        </w:rPr>
        <w:t xml:space="preserve"> interpuso recurso de reconsideración en contra del informe de resultados de la revisión practicada </w:t>
      </w:r>
      <w:r w:rsidRPr="00126EE6">
        <w:rPr>
          <w:rFonts w:ascii="Abadi" w:hAnsi="Abadi" w:cs="Arial"/>
          <w:sz w:val="21"/>
          <w:szCs w:val="21"/>
          <w:lang w:val="es-MX" w:eastAsia="x-none"/>
        </w:rPr>
        <w:t>a la cuenta pública de dicho Municipio, correspondiente al ejercicio fiscal del año 2020</w:t>
      </w:r>
      <w:r w:rsidRPr="00126EE6">
        <w:rPr>
          <w:rFonts w:ascii="Abadi" w:hAnsi="Abadi" w:cs="Arial"/>
          <w:sz w:val="21"/>
          <w:szCs w:val="21"/>
          <w:lang w:eastAsia="x-none"/>
        </w:rPr>
        <w:t xml:space="preserve">, concretamente en contra de las observaciones establecidas en los numerales </w:t>
      </w:r>
      <w:r w:rsidRPr="00126EE6">
        <w:rPr>
          <w:rFonts w:ascii="Abadi" w:hAnsi="Abadi" w:cs="Arial"/>
          <w:sz w:val="21"/>
          <w:szCs w:val="21"/>
          <w:lang w:val="es-MX" w:eastAsia="x-none"/>
        </w:rPr>
        <w:t xml:space="preserve">001, referente a </w:t>
      </w:r>
      <w:r w:rsidRPr="00126EE6">
        <w:rPr>
          <w:rFonts w:ascii="Abadi" w:hAnsi="Abadi" w:cs="Arial"/>
          <w:sz w:val="21"/>
          <w:szCs w:val="21"/>
          <w:lang w:eastAsia="x-none"/>
        </w:rPr>
        <w:t xml:space="preserve">pago de sueldos; 004, correspondiente a </w:t>
      </w:r>
      <w:r w:rsidRPr="00126EE6">
        <w:rPr>
          <w:rFonts w:ascii="Abadi" w:hAnsi="Abadi" w:cs="Arial"/>
          <w:sz w:val="21"/>
          <w:szCs w:val="21"/>
          <w:lang w:val="es-MX" w:eastAsia="x-none"/>
        </w:rPr>
        <w:t xml:space="preserve">contrato de honorarios asimilables a sueldos y salarios RHY/2020/136; 005, relativo a apoyo gastos médicos mayores; 006, referido a </w:t>
      </w:r>
      <w:r w:rsidRPr="00126EE6">
        <w:rPr>
          <w:rFonts w:ascii="Abadi" w:hAnsi="Abadi" w:cs="Arial"/>
          <w:sz w:val="21"/>
          <w:szCs w:val="21"/>
          <w:lang w:eastAsia="x-none"/>
        </w:rPr>
        <w:t>prima de antigüedad; y 007, referente a publicaciones</w:t>
      </w:r>
      <w:r w:rsidRPr="00126EE6">
        <w:rPr>
          <w:rFonts w:ascii="Abadi" w:hAnsi="Abadi" w:cs="Arial"/>
          <w:sz w:val="21"/>
          <w:szCs w:val="21"/>
          <w:lang w:val="es-MX" w:eastAsia="x-none"/>
        </w:rPr>
        <w:t xml:space="preserve">, </w:t>
      </w:r>
      <w:r w:rsidRPr="00126EE6">
        <w:rPr>
          <w:rFonts w:ascii="Abadi" w:hAnsi="Abadi" w:cs="Arial"/>
          <w:sz w:val="21"/>
          <w:szCs w:val="21"/>
          <w:lang w:eastAsia="x-none"/>
        </w:rPr>
        <w:t>mismos que se encuentran relacionados con el Capítulo II, denominado Observaciones y Recomendaciones; Respuesta Emitida por el Sujeto</w:t>
      </w:r>
      <w:r w:rsidRPr="00126EE6">
        <w:rPr>
          <w:rFonts w:ascii="Abadi" w:hAnsi="Abadi" w:cs="Arial"/>
          <w:sz w:val="21"/>
          <w:szCs w:val="21"/>
          <w:lang w:val="es-MX" w:eastAsia="x-none"/>
        </w:rPr>
        <w:t xml:space="preserve"> Fiscalizado y Valoración Correspondiente. </w:t>
      </w:r>
    </w:p>
    <w:p w14:paraId="12B18D6D"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 xml:space="preserve">En tal sentido, mediante acuerdo de fecha 28 de abril de 2022, emitido por el Director General de Asuntos Jurídicos de la Auditoría Superior del Estado de Guanajuato, se admitió el recurso de reconsideración, al colmarse los requisitos de procedibilidad previstos por el artículo 51 de </w:t>
      </w:r>
      <w:smartTag w:uri="urn:schemas-microsoft-com:office:smarttags" w:element="PersonName">
        <w:smartTagPr>
          <w:attr w:name="ProductID" w:val="la Ley"/>
        </w:smartTagPr>
        <w:r w:rsidRPr="00126EE6">
          <w:rPr>
            <w:rFonts w:ascii="Abadi" w:hAnsi="Abadi" w:cs="Arial"/>
            <w:sz w:val="21"/>
            <w:szCs w:val="21"/>
            <w:lang w:val="es-MX" w:eastAsia="x-none"/>
          </w:rPr>
          <w:t>la Ley</w:t>
        </w:r>
      </w:smartTag>
      <w:r w:rsidRPr="00126EE6">
        <w:rPr>
          <w:rFonts w:ascii="Abadi" w:hAnsi="Abadi" w:cs="Arial"/>
          <w:sz w:val="21"/>
          <w:szCs w:val="21"/>
          <w:lang w:val="es-MX" w:eastAsia="x-none"/>
        </w:rPr>
        <w:t xml:space="preserve"> de Fiscalización Superior del Estado de Guanajuato, instruyendo la integración del expediente respectivo y el registro correspondiente. Asimismo, mediante dicho acuerdo se admitieron los medios de prueba ofrecidos por el recurrente al tratarse de pruebas novedosas y supervenientes. También a través de dicho acuerdo se suspendió el plazo establecido en el artículo 55 de la Ley de Fiscalización Superior del Estado de Guanajuato por un término de hasta 10 días hábiles, con la finalidad de realizar la debida valoración de las documentales exhibidas.</w:t>
      </w:r>
    </w:p>
    <w:p w14:paraId="408B3A48" w14:textId="77777777" w:rsidR="00126EE6" w:rsidRPr="00126EE6" w:rsidRDefault="00126EE6" w:rsidP="00126EE6">
      <w:pPr>
        <w:ind w:firstLine="708"/>
        <w:jc w:val="both"/>
        <w:rPr>
          <w:rFonts w:ascii="Abadi" w:hAnsi="Abadi" w:cs="Arial"/>
          <w:sz w:val="21"/>
          <w:szCs w:val="21"/>
          <w:lang w:val="es-MX" w:eastAsia="x-none"/>
        </w:rPr>
      </w:pPr>
    </w:p>
    <w:p w14:paraId="3847B206"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 xml:space="preserve">Una vez tramitado el recurso, el Auditor Superior del Estado, el 11 de mayo de 2022 emitió la resolución correspondiente, determinándose respecto a las observaciones establecidas en los numerales 001, 004 y 006, que los agravios hechos valer por el recurrente resultaron inoperantes e infundados y las pruebas aportadas fueron insuficientes, por los argumentos referidos en el considerando séptimo de la resolución. En razón de lo cual, se confirmó el sentido de la valoración de las observaciones como no solventadas, con acciones de impacto económico pendientes de realizar por el sujeto fiscalizado. </w:t>
      </w:r>
    </w:p>
    <w:p w14:paraId="3185702A" w14:textId="77777777" w:rsidR="00126EE6" w:rsidRPr="00126EE6" w:rsidRDefault="00126EE6" w:rsidP="00126EE6">
      <w:pPr>
        <w:ind w:firstLine="708"/>
        <w:jc w:val="both"/>
        <w:rPr>
          <w:rFonts w:ascii="Abadi" w:hAnsi="Abadi" w:cs="Arial"/>
          <w:sz w:val="21"/>
          <w:szCs w:val="21"/>
          <w:lang w:val="es-MX" w:eastAsia="x-none"/>
        </w:rPr>
      </w:pPr>
    </w:p>
    <w:p w14:paraId="672CC8E2"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En cuanto a la observación plasmada en el numeral 005, se resolvió que el agravio formulado por el recurrente resultó infundado, por las razones expresadas en el considerando séptimo de la resolución. Derivado de lo anterior, se confirmó el sentido de la valoración de la observación como no solventada, sin acciones pendientes de realizar por el sujeto fiscalizado.</w:t>
      </w:r>
    </w:p>
    <w:p w14:paraId="3C2366D6" w14:textId="77777777" w:rsidR="00126EE6" w:rsidRPr="00126EE6" w:rsidRDefault="00126EE6" w:rsidP="00126EE6">
      <w:pPr>
        <w:ind w:firstLine="708"/>
        <w:jc w:val="both"/>
        <w:rPr>
          <w:rFonts w:ascii="Abadi" w:hAnsi="Abadi" w:cs="Arial"/>
          <w:sz w:val="21"/>
          <w:szCs w:val="21"/>
          <w:lang w:val="es-MX" w:eastAsia="x-none"/>
        </w:rPr>
      </w:pPr>
    </w:p>
    <w:p w14:paraId="352CE653"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Finalmente, por lo que hace a la observación contenida en el numeral 007, se concluyó que el agravio hecho valer por el recurrente resultó parcialmente fundado, de acuerdo a lo señalado en el considerando séptimo de la resolución. En tal sentido, aun cuando se confirmó el sentido de la valoración de la observación como no solventada, se modificó el complemento de su valoración para quedar sin acciones pendientes de realizar por el sujeto fiscalizado.</w:t>
      </w:r>
    </w:p>
    <w:p w14:paraId="168CDC0A" w14:textId="77777777" w:rsidR="00126EE6" w:rsidRPr="00126EE6" w:rsidRDefault="00126EE6" w:rsidP="00126EE6">
      <w:pPr>
        <w:ind w:firstLine="708"/>
        <w:jc w:val="both"/>
        <w:rPr>
          <w:rFonts w:ascii="Abadi" w:hAnsi="Abadi" w:cs="Arial"/>
          <w:sz w:val="21"/>
          <w:szCs w:val="21"/>
          <w:lang w:val="es-MX" w:eastAsia="x-none"/>
        </w:rPr>
      </w:pPr>
    </w:p>
    <w:p w14:paraId="68E544FD" w14:textId="0A1C29CE"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es-MX" w:eastAsia="x-none"/>
        </w:rPr>
        <w:t>La referida resolución se notificó al ex-presidente municipal de Yuriria, Gto., el 13 de mayo de 2022.</w:t>
      </w:r>
    </w:p>
    <w:p w14:paraId="3E94902D" w14:textId="77777777" w:rsidR="00126EE6" w:rsidRPr="00126EE6" w:rsidRDefault="00126EE6" w:rsidP="00126EE6">
      <w:pPr>
        <w:ind w:firstLine="705"/>
        <w:jc w:val="both"/>
        <w:rPr>
          <w:rFonts w:ascii="Abadi" w:hAnsi="Abadi" w:cs="Arial"/>
          <w:sz w:val="21"/>
          <w:szCs w:val="21"/>
          <w:lang w:val="es-MX" w:eastAsia="x-none"/>
        </w:rPr>
      </w:pPr>
    </w:p>
    <w:p w14:paraId="646BE842" w14:textId="77777777" w:rsidR="00126EE6" w:rsidRPr="00126EE6" w:rsidRDefault="00126EE6" w:rsidP="001A28E5">
      <w:pPr>
        <w:numPr>
          <w:ilvl w:val="0"/>
          <w:numId w:val="98"/>
        </w:numPr>
        <w:jc w:val="both"/>
        <w:rPr>
          <w:rFonts w:ascii="Abadi" w:hAnsi="Abadi" w:cs="Arial"/>
          <w:b/>
          <w:bCs/>
          <w:sz w:val="21"/>
          <w:szCs w:val="21"/>
          <w:lang w:val="es-MX" w:eastAsia="x-none"/>
        </w:rPr>
      </w:pPr>
      <w:r w:rsidRPr="00126EE6">
        <w:rPr>
          <w:rFonts w:ascii="Abadi" w:hAnsi="Abadi" w:cs="Arial"/>
          <w:b/>
          <w:bCs/>
          <w:sz w:val="21"/>
          <w:szCs w:val="21"/>
          <w:lang w:val="es-MX" w:eastAsia="x-none"/>
        </w:rPr>
        <w:t xml:space="preserve">Anexos. </w:t>
      </w:r>
    </w:p>
    <w:p w14:paraId="1ABA2AFC" w14:textId="77777777" w:rsidR="00126EE6" w:rsidRPr="00126EE6" w:rsidRDefault="00126EE6" w:rsidP="00126EE6">
      <w:pPr>
        <w:ind w:firstLine="705"/>
        <w:jc w:val="both"/>
        <w:rPr>
          <w:rFonts w:ascii="Abadi" w:hAnsi="Abadi" w:cs="Arial"/>
          <w:sz w:val="21"/>
          <w:szCs w:val="21"/>
          <w:lang w:eastAsia="x-none"/>
        </w:rPr>
      </w:pPr>
    </w:p>
    <w:p w14:paraId="730FB473" w14:textId="77777777" w:rsidR="00126EE6" w:rsidRPr="00126EE6" w:rsidRDefault="00126EE6" w:rsidP="00126EE6">
      <w:pPr>
        <w:ind w:firstLine="705"/>
        <w:jc w:val="both"/>
        <w:rPr>
          <w:rFonts w:ascii="Abadi" w:hAnsi="Abadi" w:cs="Arial"/>
          <w:sz w:val="21"/>
          <w:szCs w:val="21"/>
          <w:lang w:eastAsia="x-none"/>
        </w:rPr>
      </w:pPr>
      <w:r w:rsidRPr="00126EE6">
        <w:rPr>
          <w:rFonts w:ascii="Abadi" w:hAnsi="Abadi" w:cs="Arial"/>
          <w:sz w:val="21"/>
          <w:szCs w:val="21"/>
          <w:lang w:eastAsia="x-none"/>
        </w:rPr>
        <w:t>En esta parte, se adjuntan los anexos técnicos derivados de la revisión practicada.</w:t>
      </w:r>
    </w:p>
    <w:p w14:paraId="3C8A94BE" w14:textId="77777777" w:rsidR="00126EE6" w:rsidRPr="00126EE6" w:rsidRDefault="00126EE6" w:rsidP="00126EE6">
      <w:pPr>
        <w:ind w:firstLine="705"/>
        <w:jc w:val="both"/>
        <w:rPr>
          <w:rFonts w:ascii="Abadi" w:hAnsi="Abadi" w:cs="Arial"/>
          <w:sz w:val="21"/>
          <w:szCs w:val="21"/>
          <w:lang w:eastAsia="x-none"/>
        </w:rPr>
      </w:pPr>
    </w:p>
    <w:p w14:paraId="2B790555" w14:textId="77777777" w:rsidR="00126EE6" w:rsidRPr="00126EE6" w:rsidRDefault="00126EE6" w:rsidP="00126EE6">
      <w:pPr>
        <w:ind w:firstLine="708"/>
        <w:jc w:val="both"/>
        <w:rPr>
          <w:rFonts w:ascii="Abadi" w:hAnsi="Abadi" w:cs="Arial"/>
          <w:b/>
          <w:bCs/>
          <w:sz w:val="21"/>
          <w:szCs w:val="21"/>
        </w:rPr>
      </w:pPr>
      <w:r w:rsidRPr="00126EE6">
        <w:rPr>
          <w:rFonts w:ascii="Abadi" w:hAnsi="Abadi" w:cs="Arial"/>
          <w:b/>
          <w:bCs/>
          <w:sz w:val="21"/>
          <w:szCs w:val="21"/>
        </w:rPr>
        <w:t>V. Conclusiones:</w:t>
      </w:r>
    </w:p>
    <w:p w14:paraId="5CCE4C38" w14:textId="77777777" w:rsidR="00126EE6" w:rsidRPr="00126EE6" w:rsidRDefault="00126EE6" w:rsidP="00126EE6">
      <w:pPr>
        <w:jc w:val="both"/>
        <w:rPr>
          <w:rFonts w:ascii="Abadi" w:hAnsi="Abadi" w:cs="Arial"/>
          <w:sz w:val="21"/>
          <w:szCs w:val="21"/>
        </w:rPr>
      </w:pPr>
    </w:p>
    <w:p w14:paraId="714EDEFA" w14:textId="77777777" w:rsidR="00126EE6" w:rsidRPr="00126EE6" w:rsidRDefault="00126EE6" w:rsidP="00126EE6">
      <w:pPr>
        <w:jc w:val="both"/>
        <w:rPr>
          <w:rFonts w:ascii="Abadi" w:hAnsi="Abadi" w:cs="Arial"/>
          <w:sz w:val="21"/>
          <w:szCs w:val="21"/>
        </w:rPr>
      </w:pPr>
      <w:r w:rsidRPr="00126EE6">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126EE6">
          <w:rPr>
            <w:rFonts w:ascii="Abadi" w:hAnsi="Abadi" w:cs="Arial"/>
            <w:sz w:val="21"/>
            <w:szCs w:val="21"/>
          </w:rPr>
          <w:t>la Ley</w:t>
        </w:r>
      </w:smartTag>
      <w:r w:rsidRPr="00126EE6">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9CD0677" w14:textId="77777777" w:rsidR="00126EE6" w:rsidRPr="00126EE6" w:rsidRDefault="00126EE6" w:rsidP="00126EE6">
      <w:pPr>
        <w:jc w:val="both"/>
        <w:rPr>
          <w:rFonts w:ascii="Abadi" w:hAnsi="Abadi" w:cs="Arial"/>
          <w:sz w:val="21"/>
          <w:szCs w:val="21"/>
        </w:rPr>
      </w:pPr>
    </w:p>
    <w:p w14:paraId="497E07EE" w14:textId="77777777" w:rsidR="00126EE6" w:rsidRPr="00126EE6" w:rsidRDefault="00126EE6" w:rsidP="00126EE6">
      <w:pPr>
        <w:jc w:val="both"/>
        <w:rPr>
          <w:rFonts w:ascii="Abadi" w:hAnsi="Abadi" w:cs="Arial"/>
          <w:sz w:val="21"/>
          <w:szCs w:val="21"/>
        </w:rPr>
      </w:pPr>
      <w:r w:rsidRPr="00126EE6">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03030351" w14:textId="77777777" w:rsidR="00126EE6" w:rsidRPr="00126EE6" w:rsidRDefault="00126EE6" w:rsidP="00126EE6">
      <w:pPr>
        <w:ind w:firstLine="708"/>
        <w:jc w:val="both"/>
        <w:rPr>
          <w:rFonts w:ascii="Abadi" w:hAnsi="Abadi" w:cs="Arial"/>
          <w:sz w:val="21"/>
          <w:szCs w:val="21"/>
        </w:rPr>
      </w:pPr>
    </w:p>
    <w:p w14:paraId="25A2E357" w14:textId="77777777" w:rsidR="00126EE6" w:rsidRPr="00126EE6" w:rsidRDefault="00126EE6" w:rsidP="00126EE6">
      <w:pPr>
        <w:ind w:firstLine="708"/>
        <w:jc w:val="both"/>
        <w:rPr>
          <w:rFonts w:ascii="Abadi" w:hAnsi="Abadi" w:cs="Arial"/>
          <w:sz w:val="21"/>
          <w:szCs w:val="21"/>
        </w:rPr>
      </w:pPr>
      <w:r w:rsidRPr="00126EE6">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 la presidenta y al ex-presidente municipales de Yuriria, Gto., concediéndoles el plazo que establece </w:t>
      </w:r>
      <w:smartTag w:uri="urn:schemas-microsoft-com:office:smarttags" w:element="PersonName">
        <w:smartTagPr>
          <w:attr w:name="ProductID" w:val="la Ley"/>
        </w:smartTagPr>
        <w:r w:rsidRPr="00126EE6">
          <w:rPr>
            <w:rFonts w:ascii="Abadi" w:hAnsi="Abadi" w:cs="Arial"/>
            <w:sz w:val="21"/>
            <w:szCs w:val="21"/>
          </w:rPr>
          <w:t>la Ley</w:t>
        </w:r>
      </w:smartTag>
      <w:r w:rsidRPr="00126EE6">
        <w:rPr>
          <w:rFonts w:ascii="Abadi" w:hAnsi="Abadi" w:cs="Arial"/>
          <w:sz w:val="21"/>
          <w:szCs w:val="21"/>
        </w:rPr>
        <w:t xml:space="preserve"> para aclarar, atender o solventar documentalmente las observaciones determinadas por el Órgano Técnico. Al respecto, la presidenta y el ex-presidente municipales de Yuriria, Gto., presentaron información y documentación para aclarar y en su caso, solventar las observaciones determinadas y atender las recomendaciones efectuadas.</w:t>
      </w:r>
    </w:p>
    <w:p w14:paraId="74F83AD3" w14:textId="77777777" w:rsidR="00126EE6" w:rsidRPr="00126EE6" w:rsidRDefault="00126EE6" w:rsidP="00126EE6">
      <w:pPr>
        <w:ind w:firstLine="708"/>
        <w:jc w:val="both"/>
        <w:rPr>
          <w:rFonts w:ascii="Abadi" w:hAnsi="Abadi" w:cs="Arial"/>
          <w:sz w:val="21"/>
          <w:szCs w:val="21"/>
        </w:rPr>
      </w:pPr>
    </w:p>
    <w:p w14:paraId="71F5A6A9" w14:textId="77777777" w:rsidR="00126EE6" w:rsidRPr="00126EE6" w:rsidRDefault="00126EE6" w:rsidP="00126EE6">
      <w:pPr>
        <w:ind w:firstLine="708"/>
        <w:jc w:val="both"/>
        <w:rPr>
          <w:rFonts w:ascii="Abadi" w:hAnsi="Abadi" w:cs="Arial"/>
          <w:sz w:val="21"/>
          <w:szCs w:val="21"/>
        </w:rPr>
      </w:pPr>
      <w:r w:rsidRPr="00126EE6">
        <w:rPr>
          <w:rFonts w:ascii="Abadi" w:hAnsi="Abadi" w:cs="Arial"/>
          <w:sz w:val="21"/>
          <w:szCs w:val="21"/>
        </w:rPr>
        <w:t xml:space="preserve">De igual manera, existe en el informe de resultados la constancia de que este se notificó a la presidenta y al ex-presidente municipales de Yuriria, Gto., concediéndoles el término señalado en el artículo 37, fracción IV de </w:t>
      </w:r>
      <w:smartTag w:uri="urn:schemas-microsoft-com:office:smarttags" w:element="PersonName">
        <w:smartTagPr>
          <w:attr w:name="ProductID" w:val="la Ley"/>
        </w:smartTagPr>
        <w:r w:rsidRPr="00126EE6">
          <w:rPr>
            <w:rFonts w:ascii="Abadi" w:hAnsi="Abadi" w:cs="Arial"/>
            <w:sz w:val="21"/>
            <w:szCs w:val="21"/>
          </w:rPr>
          <w:t>la Ley</w:t>
        </w:r>
      </w:smartTag>
      <w:r w:rsidRPr="00126EE6">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ex-presidente municipal de Yuriria, Gto. En tal virtud, se considera que fue respetado el derecho de audiencia o defensa por parte del Órgano Técnico.</w:t>
      </w:r>
    </w:p>
    <w:p w14:paraId="7807A4E4" w14:textId="77777777" w:rsidR="00126EE6" w:rsidRPr="00126EE6" w:rsidRDefault="00126EE6" w:rsidP="00126EE6">
      <w:pPr>
        <w:ind w:firstLine="708"/>
        <w:jc w:val="both"/>
        <w:rPr>
          <w:rFonts w:ascii="Abadi" w:hAnsi="Abadi" w:cs="Arial"/>
          <w:sz w:val="21"/>
          <w:szCs w:val="21"/>
        </w:rPr>
      </w:pPr>
    </w:p>
    <w:p w14:paraId="584DB6A3" w14:textId="77777777" w:rsidR="00126EE6" w:rsidRPr="00126EE6" w:rsidRDefault="00126EE6" w:rsidP="00126EE6">
      <w:pPr>
        <w:ind w:firstLine="708"/>
        <w:jc w:val="both"/>
        <w:rPr>
          <w:rFonts w:ascii="Abadi" w:hAnsi="Abadi" w:cs="Arial"/>
          <w:sz w:val="21"/>
          <w:szCs w:val="21"/>
        </w:rPr>
      </w:pPr>
      <w:r w:rsidRPr="00126EE6">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38647623" w14:textId="77777777" w:rsidR="00126EE6" w:rsidRPr="00126EE6" w:rsidRDefault="00126EE6" w:rsidP="00126EE6">
      <w:pPr>
        <w:ind w:firstLine="708"/>
        <w:jc w:val="both"/>
        <w:rPr>
          <w:rFonts w:ascii="Abadi" w:hAnsi="Abadi" w:cs="Arial"/>
          <w:sz w:val="21"/>
          <w:szCs w:val="21"/>
        </w:rPr>
      </w:pPr>
    </w:p>
    <w:p w14:paraId="0114FE47" w14:textId="77777777" w:rsidR="00126EE6" w:rsidRPr="00126EE6" w:rsidRDefault="00126EE6" w:rsidP="00126EE6">
      <w:pPr>
        <w:ind w:firstLine="708"/>
        <w:jc w:val="both"/>
        <w:rPr>
          <w:rFonts w:ascii="Abadi" w:hAnsi="Abadi" w:cs="Arial"/>
          <w:sz w:val="21"/>
          <w:szCs w:val="21"/>
        </w:rPr>
      </w:pPr>
      <w:r w:rsidRPr="00126EE6">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1D6B89F1" w14:textId="77777777" w:rsidR="00126EE6" w:rsidRPr="00126EE6" w:rsidRDefault="00126EE6" w:rsidP="00126EE6">
      <w:pPr>
        <w:jc w:val="both"/>
        <w:rPr>
          <w:rFonts w:ascii="Abadi" w:hAnsi="Abadi" w:cs="Arial"/>
          <w:sz w:val="21"/>
          <w:szCs w:val="21"/>
        </w:rPr>
      </w:pPr>
    </w:p>
    <w:p w14:paraId="4197931B" w14:textId="77777777" w:rsidR="00126EE6" w:rsidRPr="00126EE6" w:rsidRDefault="00126EE6" w:rsidP="00126EE6">
      <w:pPr>
        <w:ind w:firstLine="708"/>
        <w:jc w:val="both"/>
        <w:rPr>
          <w:rFonts w:ascii="Abadi" w:hAnsi="Abadi" w:cs="Arial"/>
          <w:sz w:val="21"/>
          <w:szCs w:val="21"/>
        </w:rPr>
      </w:pPr>
      <w:r w:rsidRPr="00126EE6">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6EF34CC2" w14:textId="77777777" w:rsidR="00126EE6" w:rsidRPr="00126EE6" w:rsidRDefault="00126EE6" w:rsidP="00126EE6">
      <w:pPr>
        <w:ind w:firstLine="708"/>
        <w:jc w:val="both"/>
        <w:rPr>
          <w:rFonts w:ascii="Abadi" w:hAnsi="Abadi" w:cs="Arial"/>
          <w:sz w:val="21"/>
          <w:szCs w:val="21"/>
        </w:rPr>
      </w:pPr>
    </w:p>
    <w:p w14:paraId="06D49DD3" w14:textId="77777777" w:rsidR="00126EE6" w:rsidRPr="00126EE6" w:rsidRDefault="00126EE6" w:rsidP="00126EE6">
      <w:pPr>
        <w:ind w:firstLine="708"/>
        <w:jc w:val="both"/>
        <w:rPr>
          <w:rFonts w:ascii="Abadi" w:hAnsi="Abadi" w:cs="Arial"/>
          <w:sz w:val="21"/>
          <w:szCs w:val="21"/>
        </w:rPr>
      </w:pPr>
      <w:r w:rsidRPr="00126EE6">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05BCD7D6" w14:textId="77777777" w:rsidR="00126EE6" w:rsidRPr="00126EE6" w:rsidRDefault="00126EE6" w:rsidP="00126EE6">
      <w:pPr>
        <w:jc w:val="both"/>
        <w:rPr>
          <w:rFonts w:ascii="Abadi" w:hAnsi="Abadi" w:cs="Arial"/>
          <w:sz w:val="21"/>
          <w:szCs w:val="21"/>
        </w:rPr>
      </w:pPr>
    </w:p>
    <w:p w14:paraId="38B0EB29" w14:textId="77777777" w:rsidR="00126EE6" w:rsidRPr="00126EE6" w:rsidRDefault="00126EE6" w:rsidP="00126EE6">
      <w:pPr>
        <w:ind w:firstLine="708"/>
        <w:jc w:val="both"/>
        <w:rPr>
          <w:rFonts w:ascii="Abadi" w:hAnsi="Abadi" w:cs="Arial"/>
          <w:sz w:val="21"/>
          <w:szCs w:val="21"/>
        </w:rPr>
      </w:pPr>
      <w:r w:rsidRPr="00126EE6">
        <w:rPr>
          <w:rFonts w:ascii="Abadi" w:hAnsi="Abadi" w:cs="Arial"/>
          <w:sz w:val="21"/>
          <w:szCs w:val="21"/>
        </w:rPr>
        <w:t xml:space="preserve">En razón de lo anteriormente señalado, concluimos que el informe de resultados de la revisión practicada a la cuenta pública de Yuriria, Gto., correspondiente al ejercicio fiscal del año 2020, debe sancionarse por el Congreso en los términos presentados por la Auditoría Superior del Estado y proceder a su aprobación, considerando que no se actualiza el supuesto contenido en el artículo 38 de </w:t>
      </w:r>
      <w:smartTag w:uri="urn:schemas-microsoft-com:office:smarttags" w:element="PersonName">
        <w:smartTagPr>
          <w:attr w:name="ProductID" w:val="la Ley"/>
        </w:smartTagPr>
        <w:r w:rsidRPr="00126EE6">
          <w:rPr>
            <w:rFonts w:ascii="Abadi" w:hAnsi="Abadi" w:cs="Arial"/>
            <w:sz w:val="21"/>
            <w:szCs w:val="21"/>
          </w:rPr>
          <w:t>la Ley</w:t>
        </w:r>
      </w:smartTag>
      <w:r w:rsidRPr="00126EE6">
        <w:rPr>
          <w:rFonts w:ascii="Abadi" w:hAnsi="Abadi" w:cs="Arial"/>
          <w:sz w:val="21"/>
          <w:szCs w:val="21"/>
        </w:rPr>
        <w:t xml:space="preserve"> de Fiscalización Superior del Estado de Guanajuato, razón por la cual no podría ser observado por el Pleno del Congreso.</w:t>
      </w:r>
    </w:p>
    <w:p w14:paraId="763A4322" w14:textId="77777777" w:rsidR="00126EE6" w:rsidRPr="00126EE6" w:rsidRDefault="00126EE6" w:rsidP="00126EE6">
      <w:pPr>
        <w:ind w:firstLine="708"/>
        <w:jc w:val="both"/>
        <w:rPr>
          <w:rFonts w:ascii="Abadi" w:hAnsi="Abadi" w:cs="Arial"/>
          <w:sz w:val="21"/>
          <w:szCs w:val="21"/>
        </w:rPr>
      </w:pPr>
    </w:p>
    <w:p w14:paraId="342E54E1" w14:textId="77777777" w:rsidR="00126EE6" w:rsidRPr="00126EE6" w:rsidRDefault="00126EE6" w:rsidP="00126EE6">
      <w:pPr>
        <w:ind w:firstLine="708"/>
        <w:jc w:val="both"/>
        <w:rPr>
          <w:rFonts w:ascii="Abadi" w:hAnsi="Abadi" w:cs="Arial"/>
          <w:sz w:val="21"/>
          <w:szCs w:val="21"/>
          <w:lang w:val="x-none" w:eastAsia="x-none"/>
        </w:rPr>
      </w:pPr>
      <w:r w:rsidRPr="00126EE6">
        <w:rPr>
          <w:rFonts w:ascii="Abadi" w:hAnsi="Abadi" w:cs="Arial"/>
          <w:sz w:val="21"/>
          <w:szCs w:val="21"/>
        </w:rPr>
        <w:t xml:space="preserve">Por lo expuesto, con fundamento en el artículo 204 de </w:t>
      </w:r>
      <w:smartTag w:uri="urn:schemas-microsoft-com:office:smarttags" w:element="PersonName">
        <w:smartTagPr>
          <w:attr w:name="ProductID" w:val="la Ley Org￡nica"/>
        </w:smartTagPr>
        <w:r w:rsidRPr="00126EE6">
          <w:rPr>
            <w:rFonts w:ascii="Abadi" w:hAnsi="Abadi" w:cs="Arial"/>
            <w:sz w:val="21"/>
            <w:szCs w:val="21"/>
          </w:rPr>
          <w:t>la Ley Orgánica</w:t>
        </w:r>
      </w:smartTag>
      <w:r w:rsidRPr="00126EE6">
        <w:rPr>
          <w:rFonts w:ascii="Abadi" w:hAnsi="Abadi" w:cs="Arial"/>
          <w:sz w:val="21"/>
          <w:szCs w:val="21"/>
        </w:rPr>
        <w:t xml:space="preserve"> del Poder Legislativo, nos permitimos someter a la consideración de </w:t>
      </w:r>
      <w:smartTag w:uri="urn:schemas-microsoft-com:office:smarttags" w:element="PersonName">
        <w:smartTagPr>
          <w:attr w:name="ProductID" w:val="la Asamblea"/>
        </w:smartTagPr>
        <w:r w:rsidRPr="00126EE6">
          <w:rPr>
            <w:rFonts w:ascii="Abadi" w:hAnsi="Abadi" w:cs="Arial"/>
            <w:sz w:val="21"/>
            <w:szCs w:val="21"/>
          </w:rPr>
          <w:t>la Asamblea</w:t>
        </w:r>
      </w:smartTag>
      <w:r w:rsidRPr="00126EE6">
        <w:rPr>
          <w:rFonts w:ascii="Abadi" w:hAnsi="Abadi" w:cs="Arial"/>
          <w:sz w:val="21"/>
          <w:szCs w:val="21"/>
        </w:rPr>
        <w:t>, la aprobación del siguiente</w:t>
      </w:r>
      <w:r w:rsidRPr="00126EE6">
        <w:rPr>
          <w:rFonts w:ascii="Abadi" w:hAnsi="Abadi" w:cs="Arial"/>
          <w:sz w:val="21"/>
          <w:szCs w:val="21"/>
          <w:lang w:val="x-none" w:eastAsia="x-none"/>
        </w:rPr>
        <w:t>:</w:t>
      </w:r>
    </w:p>
    <w:p w14:paraId="707B1A5F" w14:textId="77777777" w:rsidR="00126EE6" w:rsidRPr="00126EE6" w:rsidRDefault="00126EE6" w:rsidP="00126EE6">
      <w:pPr>
        <w:ind w:firstLine="708"/>
        <w:jc w:val="both"/>
        <w:rPr>
          <w:rFonts w:ascii="Abadi" w:hAnsi="Abadi" w:cs="Arial"/>
          <w:sz w:val="21"/>
          <w:szCs w:val="21"/>
          <w:lang w:val="x-none" w:eastAsia="x-none"/>
        </w:rPr>
      </w:pPr>
    </w:p>
    <w:p w14:paraId="3DAF9829" w14:textId="77777777" w:rsidR="00126EE6" w:rsidRPr="00126EE6" w:rsidRDefault="00126EE6" w:rsidP="00126EE6">
      <w:pPr>
        <w:keepNext/>
        <w:jc w:val="center"/>
        <w:outlineLvl w:val="0"/>
        <w:rPr>
          <w:rFonts w:ascii="Abadi" w:eastAsia="Arial Unicode MS" w:hAnsi="Abadi" w:cs="Arial"/>
          <w:b/>
          <w:bCs/>
          <w:smallCaps/>
          <w:sz w:val="21"/>
          <w:szCs w:val="21"/>
        </w:rPr>
      </w:pPr>
      <w:r w:rsidRPr="00126EE6">
        <w:rPr>
          <w:rFonts w:ascii="Abadi" w:eastAsia="Arial Unicode MS" w:hAnsi="Abadi" w:cs="Arial"/>
          <w:b/>
          <w:bCs/>
          <w:smallCaps/>
          <w:sz w:val="21"/>
          <w:szCs w:val="21"/>
        </w:rPr>
        <w:t>A c u e r d o</w:t>
      </w:r>
    </w:p>
    <w:p w14:paraId="146D3B3B" w14:textId="77777777" w:rsidR="00126EE6" w:rsidRPr="00126EE6" w:rsidRDefault="00126EE6" w:rsidP="00126EE6">
      <w:pPr>
        <w:rPr>
          <w:rFonts w:ascii="Abadi" w:hAnsi="Abadi"/>
          <w:sz w:val="21"/>
          <w:szCs w:val="21"/>
        </w:rPr>
      </w:pPr>
    </w:p>
    <w:p w14:paraId="3D861436" w14:textId="77777777" w:rsidR="00126EE6" w:rsidRPr="00126EE6" w:rsidRDefault="00126EE6" w:rsidP="00126EE6">
      <w:pPr>
        <w:ind w:firstLine="708"/>
        <w:jc w:val="both"/>
        <w:rPr>
          <w:rFonts w:ascii="Abadi" w:hAnsi="Abadi" w:cs="Arial"/>
          <w:sz w:val="21"/>
          <w:szCs w:val="21"/>
        </w:rPr>
      </w:pPr>
      <w:r w:rsidRPr="00126EE6">
        <w:rPr>
          <w:rFonts w:ascii="Abadi" w:hAnsi="Abadi" w:cs="Arial"/>
          <w:b/>
          <w:bCs/>
          <w:sz w:val="21"/>
          <w:szCs w:val="21"/>
        </w:rPr>
        <w:t xml:space="preserve">Único. </w:t>
      </w:r>
      <w:r w:rsidRPr="00126EE6">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126EE6">
          <w:rPr>
            <w:rFonts w:ascii="Abadi" w:hAnsi="Abadi" w:cs="Arial"/>
            <w:sz w:val="21"/>
            <w:szCs w:val="21"/>
          </w:rPr>
          <w:t>la Constitución Política</w:t>
        </w:r>
      </w:smartTag>
      <w:r w:rsidRPr="00126EE6">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Yuriria, Gto., correspondiente al ejercicio fiscal del año 2020, con base en el informe de resultados formulado por la Auditoría Superior del Estado de Guanajuato.</w:t>
      </w:r>
    </w:p>
    <w:p w14:paraId="5BC223EC" w14:textId="77777777" w:rsidR="00126EE6" w:rsidRPr="00126EE6" w:rsidRDefault="00126EE6" w:rsidP="00126EE6">
      <w:pPr>
        <w:ind w:firstLine="708"/>
        <w:jc w:val="both"/>
        <w:rPr>
          <w:rFonts w:ascii="Abadi" w:hAnsi="Abadi" w:cs="Arial"/>
          <w:sz w:val="21"/>
          <w:szCs w:val="21"/>
        </w:rPr>
      </w:pPr>
    </w:p>
    <w:p w14:paraId="41E8F970" w14:textId="77777777" w:rsidR="00126EE6" w:rsidRPr="00126EE6" w:rsidRDefault="00126EE6" w:rsidP="00126EE6">
      <w:pPr>
        <w:ind w:firstLine="708"/>
        <w:jc w:val="both"/>
        <w:rPr>
          <w:rFonts w:ascii="Abadi" w:hAnsi="Abadi" w:cs="Arial"/>
          <w:sz w:val="21"/>
          <w:szCs w:val="21"/>
          <w:lang w:val="es-MX" w:eastAsia="x-none"/>
        </w:rPr>
      </w:pPr>
      <w:r w:rsidRPr="00126EE6">
        <w:rPr>
          <w:rFonts w:ascii="Abadi" w:hAnsi="Abadi" w:cs="Arial"/>
          <w:sz w:val="21"/>
          <w:szCs w:val="21"/>
          <w:lang w:val="x-none" w:eastAsia="x-none"/>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126EE6">
        <w:rPr>
          <w:rFonts w:ascii="Abadi" w:hAnsi="Abadi" w:cs="Arial"/>
          <w:sz w:val="21"/>
          <w:szCs w:val="21"/>
          <w:lang w:val="es-MX" w:eastAsia="x-none"/>
        </w:rPr>
        <w:t>.</w:t>
      </w:r>
      <w:r w:rsidRPr="00126EE6">
        <w:rPr>
          <w:rFonts w:ascii="Abadi" w:hAnsi="Abadi" w:cs="Arial"/>
          <w:sz w:val="21"/>
          <w:szCs w:val="21"/>
          <w:lang w:val="x-none" w:eastAsia="x-none"/>
        </w:rPr>
        <w:t xml:space="preserve"> </w:t>
      </w:r>
      <w:r w:rsidRPr="00126EE6">
        <w:rPr>
          <w:rFonts w:ascii="Abadi" w:hAnsi="Abadi" w:cs="Arial"/>
          <w:sz w:val="21"/>
          <w:szCs w:val="21"/>
          <w:lang w:val="es-MX" w:eastAsia="x-none"/>
        </w:rPr>
        <w:t>Asimismo, dará</w:t>
      </w:r>
      <w:r w:rsidRPr="00126EE6">
        <w:rPr>
          <w:rFonts w:ascii="Abadi" w:hAnsi="Abadi" w:cs="Arial"/>
          <w:sz w:val="21"/>
          <w:szCs w:val="21"/>
          <w:lang w:val="x-none" w:eastAsia="x-none"/>
        </w:rPr>
        <w:t xml:space="preserve"> seguimiento a la</w:t>
      </w:r>
      <w:r w:rsidRPr="00126EE6">
        <w:rPr>
          <w:rFonts w:ascii="Abadi" w:hAnsi="Abadi" w:cs="Arial"/>
          <w:sz w:val="21"/>
          <w:szCs w:val="21"/>
          <w:lang w:val="es-MX" w:eastAsia="x-none"/>
        </w:rPr>
        <w:t>s</w:t>
      </w:r>
      <w:r w:rsidRPr="00126EE6">
        <w:rPr>
          <w:rFonts w:ascii="Abadi" w:hAnsi="Abadi" w:cs="Arial"/>
          <w:sz w:val="21"/>
          <w:szCs w:val="21"/>
          <w:lang w:val="x-none" w:eastAsia="x-none"/>
        </w:rPr>
        <w:t xml:space="preserve"> observaciones no solventadas contenidas en el informe de resultados</w:t>
      </w:r>
      <w:r w:rsidRPr="00126EE6">
        <w:rPr>
          <w:rFonts w:ascii="Abadi" w:hAnsi="Abadi" w:cs="Arial"/>
          <w:sz w:val="21"/>
          <w:szCs w:val="21"/>
          <w:lang w:val="es-MX" w:eastAsia="x-none"/>
        </w:rPr>
        <w:t>.</w:t>
      </w:r>
    </w:p>
    <w:p w14:paraId="21B61C53" w14:textId="77777777" w:rsidR="00126EE6" w:rsidRPr="00126EE6" w:rsidRDefault="00126EE6" w:rsidP="00126EE6">
      <w:pPr>
        <w:ind w:firstLine="708"/>
        <w:jc w:val="both"/>
        <w:rPr>
          <w:rFonts w:ascii="Abadi" w:hAnsi="Abadi" w:cs="Arial"/>
          <w:sz w:val="21"/>
          <w:szCs w:val="21"/>
          <w:lang w:val="es-MX" w:eastAsia="x-none"/>
        </w:rPr>
      </w:pPr>
    </w:p>
    <w:p w14:paraId="62695F70" w14:textId="77777777" w:rsidR="00126EE6" w:rsidRPr="00126EE6" w:rsidRDefault="00126EE6" w:rsidP="00126EE6">
      <w:pPr>
        <w:ind w:firstLine="708"/>
        <w:jc w:val="both"/>
        <w:rPr>
          <w:rFonts w:ascii="Abadi" w:hAnsi="Abadi" w:cs="Arial"/>
          <w:sz w:val="21"/>
          <w:szCs w:val="21"/>
          <w:lang w:val="x-none" w:eastAsia="x-none"/>
        </w:rPr>
      </w:pPr>
      <w:r w:rsidRPr="00126EE6">
        <w:rPr>
          <w:rFonts w:ascii="Abadi" w:hAnsi="Abadi" w:cs="Arial"/>
          <w:sz w:val="21"/>
          <w:szCs w:val="21"/>
          <w:lang w:val="es-MX" w:eastAsia="x-none"/>
        </w:rPr>
        <w:t>Se tiene por atendida la</w:t>
      </w:r>
      <w:r w:rsidRPr="00126EE6">
        <w:rPr>
          <w:rFonts w:ascii="Abadi" w:hAnsi="Abadi" w:cs="Arial"/>
          <w:sz w:val="21"/>
          <w:szCs w:val="21"/>
          <w:lang w:val="x-none" w:eastAsia="x-none"/>
        </w:rPr>
        <w:t xml:space="preserve"> recomendaci</w:t>
      </w:r>
      <w:r w:rsidRPr="00126EE6">
        <w:rPr>
          <w:rFonts w:ascii="Abadi" w:hAnsi="Abadi" w:cs="Arial"/>
          <w:sz w:val="21"/>
          <w:szCs w:val="21"/>
          <w:lang w:val="es-MX" w:eastAsia="x-none"/>
        </w:rPr>
        <w:t>ón contenida en el informe de resultados</w:t>
      </w:r>
      <w:r w:rsidRPr="00126EE6">
        <w:rPr>
          <w:rFonts w:ascii="Abadi" w:hAnsi="Abadi" w:cs="Arial"/>
          <w:sz w:val="21"/>
          <w:szCs w:val="21"/>
          <w:lang w:val="x-none" w:eastAsia="x-none"/>
        </w:rPr>
        <w:t>.</w:t>
      </w:r>
    </w:p>
    <w:p w14:paraId="7F7F29DE" w14:textId="77777777" w:rsidR="00126EE6" w:rsidRPr="00126EE6" w:rsidRDefault="00126EE6" w:rsidP="00126EE6">
      <w:pPr>
        <w:ind w:firstLine="708"/>
        <w:jc w:val="both"/>
        <w:rPr>
          <w:rFonts w:ascii="Abadi" w:hAnsi="Abadi" w:cs="Arial"/>
          <w:sz w:val="21"/>
          <w:szCs w:val="21"/>
        </w:rPr>
      </w:pPr>
    </w:p>
    <w:p w14:paraId="7593BF4C" w14:textId="7578AE71" w:rsidR="00126EE6" w:rsidRPr="00126EE6" w:rsidRDefault="00126EE6" w:rsidP="00126EE6">
      <w:pPr>
        <w:ind w:firstLine="708"/>
        <w:jc w:val="both"/>
        <w:rPr>
          <w:rFonts w:ascii="Abadi" w:hAnsi="Abadi" w:cs="Arial"/>
          <w:sz w:val="21"/>
          <w:szCs w:val="21"/>
        </w:rPr>
      </w:pPr>
      <w:r w:rsidRPr="00126EE6">
        <w:rPr>
          <w:rFonts w:ascii="Abadi" w:hAnsi="Abadi" w:cs="Arial"/>
          <w:sz w:val="21"/>
          <w:szCs w:val="21"/>
        </w:rPr>
        <w:t>Remítase el presente acuerdo al titular del Poder Ejecutivo del Estado para su publicación en el Periódico Oficial del Gobierno del Estado.</w:t>
      </w:r>
    </w:p>
    <w:p w14:paraId="401EBF52" w14:textId="77777777" w:rsidR="00126EE6" w:rsidRPr="00126EE6" w:rsidRDefault="00126EE6" w:rsidP="00126EE6">
      <w:pPr>
        <w:ind w:firstLine="708"/>
        <w:jc w:val="both"/>
        <w:rPr>
          <w:rFonts w:ascii="Abadi" w:hAnsi="Abadi" w:cs="Arial"/>
          <w:sz w:val="21"/>
          <w:szCs w:val="21"/>
        </w:rPr>
      </w:pPr>
    </w:p>
    <w:p w14:paraId="769E783D" w14:textId="77777777" w:rsidR="00126EE6" w:rsidRPr="00126EE6" w:rsidRDefault="00126EE6" w:rsidP="00126EE6">
      <w:pPr>
        <w:ind w:firstLine="708"/>
        <w:jc w:val="both"/>
        <w:rPr>
          <w:rFonts w:ascii="Abadi" w:hAnsi="Abadi" w:cs="Arial"/>
          <w:sz w:val="21"/>
          <w:szCs w:val="21"/>
          <w:lang w:val="x-none" w:eastAsia="x-none"/>
        </w:rPr>
      </w:pPr>
      <w:r w:rsidRPr="00126EE6">
        <w:rPr>
          <w:rFonts w:ascii="Abadi" w:hAnsi="Abadi" w:cs="Arial"/>
          <w:sz w:val="21"/>
          <w:szCs w:val="21"/>
          <w:lang w:val="x-none"/>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126EE6">
        <w:rPr>
          <w:rFonts w:ascii="Abadi" w:hAnsi="Abadi" w:cs="Arial"/>
          <w:sz w:val="21"/>
          <w:szCs w:val="21"/>
          <w:lang w:val="x-none" w:eastAsia="x-none"/>
        </w:rPr>
        <w:t>.</w:t>
      </w:r>
    </w:p>
    <w:p w14:paraId="3877B8FE" w14:textId="77777777" w:rsidR="00126EE6" w:rsidRPr="00126EE6" w:rsidRDefault="00126EE6" w:rsidP="00126EE6">
      <w:pPr>
        <w:jc w:val="center"/>
        <w:rPr>
          <w:rFonts w:ascii="Abadi" w:hAnsi="Abadi" w:cs="Arial"/>
          <w:b/>
          <w:bCs/>
          <w:sz w:val="21"/>
          <w:szCs w:val="21"/>
          <w:lang w:eastAsia="x-none"/>
        </w:rPr>
      </w:pPr>
    </w:p>
    <w:p w14:paraId="6400B36D" w14:textId="77777777" w:rsidR="00126EE6" w:rsidRPr="00126EE6" w:rsidRDefault="00126EE6" w:rsidP="00126EE6">
      <w:pPr>
        <w:jc w:val="center"/>
        <w:rPr>
          <w:rFonts w:ascii="Abadi" w:hAnsi="Abadi" w:cs="Arial"/>
          <w:b/>
          <w:bCs/>
          <w:sz w:val="21"/>
          <w:szCs w:val="21"/>
          <w:lang w:eastAsia="x-none"/>
        </w:rPr>
      </w:pPr>
      <w:r w:rsidRPr="00126EE6">
        <w:rPr>
          <w:rFonts w:ascii="Abadi" w:hAnsi="Abadi" w:cs="Arial"/>
          <w:b/>
          <w:bCs/>
          <w:sz w:val="21"/>
          <w:szCs w:val="21"/>
          <w:lang w:eastAsia="x-none"/>
        </w:rPr>
        <w:t>Guanajuato, Gto., 20 de junio de 2022</w:t>
      </w:r>
    </w:p>
    <w:p w14:paraId="09F03D8F" w14:textId="77777777" w:rsidR="00126EE6" w:rsidRPr="00126EE6" w:rsidRDefault="00126EE6" w:rsidP="00126EE6">
      <w:pPr>
        <w:jc w:val="center"/>
        <w:rPr>
          <w:rFonts w:ascii="Abadi" w:hAnsi="Abadi" w:cs="Arial"/>
          <w:b/>
          <w:bCs/>
          <w:sz w:val="21"/>
          <w:szCs w:val="21"/>
          <w:lang w:eastAsia="x-none"/>
        </w:rPr>
      </w:pPr>
      <w:smartTag w:uri="urn:schemas-microsoft-com:office:smarttags" w:element="PersonName">
        <w:smartTagPr>
          <w:attr w:name="ProductID" w:val="La Comisi￳n"/>
        </w:smartTagPr>
        <w:r w:rsidRPr="00126EE6">
          <w:rPr>
            <w:rFonts w:ascii="Abadi" w:hAnsi="Abadi" w:cs="Arial"/>
            <w:b/>
            <w:bCs/>
            <w:sz w:val="21"/>
            <w:szCs w:val="21"/>
            <w:lang w:eastAsia="x-none"/>
          </w:rPr>
          <w:t>La Comisión</w:t>
        </w:r>
      </w:smartTag>
      <w:r w:rsidRPr="00126EE6">
        <w:rPr>
          <w:rFonts w:ascii="Abadi" w:hAnsi="Abadi" w:cs="Arial"/>
          <w:b/>
          <w:bCs/>
          <w:sz w:val="21"/>
          <w:szCs w:val="21"/>
          <w:lang w:eastAsia="x-none"/>
        </w:rPr>
        <w:t xml:space="preserve"> de Hacienda y Fiscalización</w:t>
      </w:r>
    </w:p>
    <w:p w14:paraId="60764C12" w14:textId="77777777" w:rsidR="00126EE6" w:rsidRPr="00126EE6" w:rsidRDefault="00126EE6" w:rsidP="00126EE6">
      <w:pPr>
        <w:jc w:val="center"/>
        <w:rPr>
          <w:rFonts w:ascii="Abadi" w:hAnsi="Abadi" w:cs="Arial"/>
          <w:i/>
          <w:iCs/>
          <w:sz w:val="21"/>
          <w:szCs w:val="21"/>
          <w:lang w:eastAsia="x-none"/>
        </w:rPr>
      </w:pPr>
      <w:r w:rsidRPr="00126EE6">
        <w:rPr>
          <w:rFonts w:ascii="Abadi" w:hAnsi="Abadi" w:cs="Arial"/>
          <w:i/>
          <w:iCs/>
          <w:sz w:val="21"/>
          <w:szCs w:val="21"/>
          <w:lang w:eastAsia="x-none"/>
        </w:rPr>
        <w:t>Firma electrónica</w:t>
      </w:r>
    </w:p>
    <w:p w14:paraId="3551466D" w14:textId="77777777" w:rsidR="00126EE6" w:rsidRPr="00126EE6" w:rsidRDefault="00126EE6" w:rsidP="00126EE6">
      <w:pPr>
        <w:jc w:val="center"/>
        <w:rPr>
          <w:rFonts w:ascii="Abadi" w:hAnsi="Abadi" w:cs="Arial"/>
          <w:sz w:val="21"/>
          <w:szCs w:val="21"/>
        </w:rPr>
      </w:pPr>
    </w:p>
    <w:p w14:paraId="0A078F0E" w14:textId="77777777" w:rsidR="00126EE6" w:rsidRPr="00126EE6" w:rsidRDefault="00126EE6" w:rsidP="00126EE6">
      <w:pPr>
        <w:jc w:val="center"/>
        <w:rPr>
          <w:rFonts w:ascii="Abadi" w:hAnsi="Abadi" w:cs="Arial"/>
          <w:sz w:val="21"/>
          <w:szCs w:val="21"/>
        </w:rPr>
      </w:pPr>
    </w:p>
    <w:p w14:paraId="5F07BC30" w14:textId="77777777" w:rsidR="00126EE6" w:rsidRPr="00126EE6" w:rsidRDefault="00126EE6" w:rsidP="00126EE6">
      <w:pPr>
        <w:jc w:val="center"/>
        <w:rPr>
          <w:rFonts w:ascii="Abadi" w:hAnsi="Abadi" w:cs="Arial"/>
          <w:sz w:val="21"/>
          <w:szCs w:val="21"/>
        </w:rPr>
      </w:pPr>
      <w:r w:rsidRPr="00126EE6">
        <w:rPr>
          <w:rFonts w:ascii="Abadi" w:hAnsi="Abadi" w:cs="Arial"/>
          <w:b/>
          <w:sz w:val="21"/>
          <w:szCs w:val="21"/>
          <w:lang w:eastAsia="x-none"/>
        </w:rPr>
        <w:t>Diputado Víctor Manuel Zanella Huerta</w:t>
      </w:r>
    </w:p>
    <w:p w14:paraId="46CB6ECE" w14:textId="77777777" w:rsidR="00126EE6" w:rsidRPr="00126EE6" w:rsidRDefault="00126EE6" w:rsidP="00126EE6">
      <w:pPr>
        <w:jc w:val="center"/>
        <w:rPr>
          <w:rFonts w:ascii="Abadi" w:hAnsi="Abadi" w:cs="Arial"/>
          <w:sz w:val="21"/>
          <w:szCs w:val="21"/>
          <w:lang w:eastAsia="x-none"/>
        </w:rPr>
      </w:pPr>
    </w:p>
    <w:p w14:paraId="4E42604A" w14:textId="77777777" w:rsidR="00126EE6" w:rsidRPr="00126EE6" w:rsidRDefault="00126EE6" w:rsidP="00126EE6">
      <w:pPr>
        <w:rPr>
          <w:rFonts w:ascii="Abadi" w:hAnsi="Abadi" w:cs="Arial"/>
          <w:b/>
          <w:bCs/>
          <w:sz w:val="21"/>
          <w:szCs w:val="21"/>
          <w:lang w:eastAsia="x-none"/>
        </w:rPr>
      </w:pPr>
    </w:p>
    <w:p w14:paraId="6374C7A7" w14:textId="389FF7B2" w:rsidR="00126EE6" w:rsidRPr="00126EE6" w:rsidRDefault="00126EE6" w:rsidP="00126EE6">
      <w:pPr>
        <w:jc w:val="center"/>
        <w:rPr>
          <w:rFonts w:ascii="Abadi" w:hAnsi="Abadi" w:cs="Arial"/>
          <w:b/>
          <w:sz w:val="21"/>
          <w:szCs w:val="21"/>
          <w:lang w:eastAsia="x-none"/>
        </w:rPr>
      </w:pPr>
      <w:r w:rsidRPr="00126EE6">
        <w:rPr>
          <w:rFonts w:ascii="Abadi" w:hAnsi="Abadi" w:cs="Arial"/>
          <w:b/>
          <w:sz w:val="21"/>
          <w:szCs w:val="21"/>
          <w:lang w:eastAsia="x-none"/>
        </w:rPr>
        <w:t>Diputada Ruth Noemí Tiscareño Agoitia</w:t>
      </w:r>
    </w:p>
    <w:p w14:paraId="121C4A88" w14:textId="77777777" w:rsidR="00126EE6" w:rsidRPr="00126EE6" w:rsidRDefault="00126EE6" w:rsidP="00126EE6">
      <w:pPr>
        <w:jc w:val="center"/>
        <w:rPr>
          <w:rFonts w:ascii="Abadi" w:hAnsi="Abadi" w:cs="Arial"/>
          <w:b/>
          <w:sz w:val="21"/>
          <w:szCs w:val="21"/>
          <w:lang w:eastAsia="x-none"/>
        </w:rPr>
      </w:pPr>
    </w:p>
    <w:p w14:paraId="6263F65B" w14:textId="77777777" w:rsidR="00126EE6" w:rsidRPr="00126EE6" w:rsidRDefault="00126EE6" w:rsidP="00126EE6">
      <w:pPr>
        <w:jc w:val="center"/>
        <w:rPr>
          <w:rFonts w:ascii="Abadi" w:hAnsi="Abadi" w:cs="Arial"/>
          <w:b/>
          <w:sz w:val="21"/>
          <w:szCs w:val="21"/>
          <w:lang w:eastAsia="x-none"/>
        </w:rPr>
      </w:pPr>
    </w:p>
    <w:p w14:paraId="2FEEEEAE" w14:textId="6BEE32F7" w:rsidR="00126EE6" w:rsidRPr="00126EE6" w:rsidRDefault="00126EE6" w:rsidP="00126EE6">
      <w:pPr>
        <w:jc w:val="center"/>
        <w:rPr>
          <w:rFonts w:ascii="Abadi" w:hAnsi="Abadi" w:cs="Arial"/>
          <w:b/>
          <w:sz w:val="21"/>
          <w:szCs w:val="21"/>
          <w:lang w:eastAsia="x-none"/>
        </w:rPr>
      </w:pPr>
      <w:r w:rsidRPr="00126EE6">
        <w:rPr>
          <w:rFonts w:ascii="Abadi" w:hAnsi="Abadi" w:cs="Arial"/>
          <w:b/>
          <w:sz w:val="21"/>
          <w:szCs w:val="21"/>
          <w:lang w:eastAsia="x-none"/>
        </w:rPr>
        <w:t>Diputado Miguel Ángel Salim Alle</w:t>
      </w:r>
    </w:p>
    <w:p w14:paraId="7C475915" w14:textId="77777777" w:rsidR="00126EE6" w:rsidRPr="00126EE6" w:rsidRDefault="00126EE6" w:rsidP="00126EE6">
      <w:pPr>
        <w:jc w:val="center"/>
        <w:rPr>
          <w:rFonts w:ascii="Abadi" w:hAnsi="Abadi" w:cs="Arial"/>
          <w:b/>
          <w:sz w:val="21"/>
          <w:szCs w:val="21"/>
          <w:lang w:eastAsia="x-none"/>
        </w:rPr>
      </w:pPr>
    </w:p>
    <w:p w14:paraId="58316C98" w14:textId="77777777" w:rsidR="00126EE6" w:rsidRPr="00126EE6" w:rsidRDefault="00126EE6" w:rsidP="00126EE6">
      <w:pPr>
        <w:jc w:val="center"/>
        <w:rPr>
          <w:rFonts w:ascii="Abadi" w:hAnsi="Abadi" w:cs="Arial"/>
          <w:b/>
          <w:sz w:val="21"/>
          <w:szCs w:val="21"/>
          <w:lang w:eastAsia="x-none"/>
        </w:rPr>
      </w:pPr>
    </w:p>
    <w:p w14:paraId="7B1FE7B2" w14:textId="2C261CA0" w:rsidR="00126EE6" w:rsidRPr="00126EE6" w:rsidRDefault="00126EE6" w:rsidP="00126EE6">
      <w:pPr>
        <w:jc w:val="center"/>
        <w:rPr>
          <w:rFonts w:ascii="Abadi" w:hAnsi="Abadi" w:cs="Arial"/>
          <w:b/>
          <w:sz w:val="21"/>
          <w:szCs w:val="21"/>
          <w:lang w:eastAsia="x-none"/>
        </w:rPr>
      </w:pPr>
      <w:r w:rsidRPr="00126EE6">
        <w:rPr>
          <w:rFonts w:ascii="Abadi" w:hAnsi="Abadi" w:cs="Arial"/>
          <w:b/>
          <w:sz w:val="21"/>
          <w:szCs w:val="21"/>
          <w:lang w:eastAsia="x-none"/>
        </w:rPr>
        <w:t>Diputado José Alfonso Borja Pimentel</w:t>
      </w:r>
    </w:p>
    <w:p w14:paraId="120887C3" w14:textId="77777777" w:rsidR="00126EE6" w:rsidRPr="00126EE6" w:rsidRDefault="00126EE6" w:rsidP="00126EE6">
      <w:pPr>
        <w:jc w:val="center"/>
        <w:rPr>
          <w:rFonts w:ascii="Abadi" w:hAnsi="Abadi" w:cs="Arial"/>
          <w:b/>
          <w:sz w:val="21"/>
          <w:szCs w:val="21"/>
          <w:lang w:eastAsia="x-none"/>
        </w:rPr>
      </w:pPr>
    </w:p>
    <w:p w14:paraId="6C4CED1F" w14:textId="77777777" w:rsidR="00126EE6" w:rsidRPr="00126EE6" w:rsidRDefault="00126EE6" w:rsidP="00126EE6">
      <w:pPr>
        <w:jc w:val="center"/>
        <w:rPr>
          <w:rFonts w:ascii="Abadi" w:hAnsi="Abadi" w:cs="Arial"/>
          <w:b/>
          <w:sz w:val="21"/>
          <w:szCs w:val="21"/>
          <w:lang w:eastAsia="x-none"/>
        </w:rPr>
      </w:pPr>
    </w:p>
    <w:p w14:paraId="521F3B1A" w14:textId="77777777" w:rsidR="00126EE6" w:rsidRDefault="00126EE6" w:rsidP="00126EE6">
      <w:pPr>
        <w:jc w:val="center"/>
        <w:rPr>
          <w:rFonts w:ascii="Abadi" w:hAnsi="Abadi" w:cs="Arial"/>
          <w:b/>
          <w:sz w:val="21"/>
          <w:szCs w:val="21"/>
          <w:lang w:eastAsia="x-none"/>
        </w:rPr>
      </w:pPr>
      <w:r w:rsidRPr="00126EE6">
        <w:rPr>
          <w:rFonts w:ascii="Abadi" w:hAnsi="Abadi" w:cs="Arial"/>
          <w:b/>
          <w:sz w:val="21"/>
          <w:szCs w:val="21"/>
          <w:lang w:eastAsia="x-none"/>
        </w:rPr>
        <w:t>Diputada Alma Edwviges Alcaraz Hernández</w:t>
      </w:r>
    </w:p>
    <w:p w14:paraId="35E0477E" w14:textId="4CF4459B" w:rsidR="00126EE6" w:rsidRPr="00126EE6" w:rsidRDefault="00126EE6" w:rsidP="00126EE6">
      <w:pPr>
        <w:jc w:val="center"/>
        <w:rPr>
          <w:rFonts w:ascii="Abadi" w:hAnsi="Abadi" w:cs="Arial"/>
          <w:b/>
          <w:sz w:val="21"/>
          <w:szCs w:val="21"/>
          <w:lang w:eastAsia="x-none"/>
        </w:rPr>
      </w:pPr>
      <w:r w:rsidRPr="00126EE6">
        <w:rPr>
          <w:rFonts w:ascii="Abadi" w:hAnsi="Abadi" w:cs="Arial"/>
          <w:bCs/>
          <w:sz w:val="21"/>
          <w:szCs w:val="21"/>
          <w:lang w:eastAsia="x-none"/>
        </w:rPr>
        <w:t>Voto en contra</w:t>
      </w:r>
    </w:p>
    <w:p w14:paraId="0857F9B6" w14:textId="321375CA" w:rsidR="00D240B1" w:rsidRDefault="00D240B1" w:rsidP="00D240B1">
      <w:pPr>
        <w:tabs>
          <w:tab w:val="left" w:pos="856"/>
        </w:tabs>
        <w:kinsoku w:val="0"/>
        <w:overflowPunct w:val="0"/>
        <w:autoSpaceDE w:val="0"/>
        <w:autoSpaceDN w:val="0"/>
        <w:adjustRightInd w:val="0"/>
        <w:ind w:left="360" w:right="17"/>
        <w:jc w:val="both"/>
        <w:rPr>
          <w:rFonts w:ascii="Abadi" w:hAnsi="Abadi"/>
          <w:sz w:val="20"/>
          <w:szCs w:val="20"/>
        </w:rPr>
      </w:pPr>
    </w:p>
    <w:p w14:paraId="2F9A827A" w14:textId="77777777" w:rsidR="00D240B1" w:rsidRPr="00D240B1" w:rsidRDefault="00D240B1" w:rsidP="00D240B1">
      <w:pPr>
        <w:tabs>
          <w:tab w:val="left" w:pos="856"/>
        </w:tabs>
        <w:kinsoku w:val="0"/>
        <w:overflowPunct w:val="0"/>
        <w:autoSpaceDE w:val="0"/>
        <w:autoSpaceDN w:val="0"/>
        <w:adjustRightInd w:val="0"/>
        <w:ind w:left="360" w:right="17"/>
        <w:jc w:val="both"/>
        <w:rPr>
          <w:rFonts w:ascii="Abadi" w:hAnsi="Abadi"/>
          <w:sz w:val="20"/>
          <w:szCs w:val="20"/>
        </w:rPr>
      </w:pPr>
    </w:p>
    <w:p w14:paraId="1031BF84" w14:textId="24AA23F2" w:rsidR="001C409A" w:rsidRDefault="001C409A" w:rsidP="005433FA">
      <w:pPr>
        <w:pStyle w:val="Prrafodelista"/>
        <w:numPr>
          <w:ilvl w:val="0"/>
          <w:numId w:val="9"/>
        </w:numPr>
        <w:tabs>
          <w:tab w:val="left" w:pos="856"/>
        </w:tabs>
        <w:kinsoku w:val="0"/>
        <w:overflowPunct w:val="0"/>
        <w:autoSpaceDE w:val="0"/>
        <w:autoSpaceDN w:val="0"/>
        <w:adjustRightInd w:val="0"/>
        <w:spacing w:before="130"/>
        <w:ind w:right="17"/>
        <w:jc w:val="both"/>
        <w:rPr>
          <w:rFonts w:ascii="Abadi" w:hAnsi="Abadi"/>
          <w:b/>
          <w:bCs/>
          <w:sz w:val="20"/>
          <w:szCs w:val="20"/>
        </w:rPr>
      </w:pPr>
      <w:r w:rsidRPr="00531B12">
        <w:rPr>
          <w:rFonts w:ascii="Abadi" w:hAnsi="Abadi"/>
          <w:b/>
          <w:bCs/>
          <w:sz w:val="20"/>
          <w:szCs w:val="20"/>
        </w:rPr>
        <w:t>DISCUSIÓN</w:t>
      </w:r>
      <w:r w:rsidRPr="00531B12">
        <w:rPr>
          <w:rFonts w:ascii="Abadi" w:hAnsi="Abadi"/>
          <w:b/>
          <w:bCs/>
          <w:spacing w:val="11"/>
          <w:sz w:val="20"/>
          <w:szCs w:val="20"/>
        </w:rPr>
        <w:t xml:space="preserve"> </w:t>
      </w:r>
      <w:r w:rsidRPr="00531B12">
        <w:rPr>
          <w:rFonts w:ascii="Abadi" w:hAnsi="Abadi"/>
          <w:b/>
          <w:bCs/>
          <w:sz w:val="20"/>
          <w:szCs w:val="20"/>
        </w:rPr>
        <w:t>Y,</w:t>
      </w:r>
      <w:r w:rsidRPr="00531B12">
        <w:rPr>
          <w:rFonts w:ascii="Abadi" w:hAnsi="Abadi"/>
          <w:b/>
          <w:bCs/>
          <w:spacing w:val="11"/>
          <w:sz w:val="20"/>
          <w:szCs w:val="20"/>
        </w:rPr>
        <w:t xml:space="preserve"> </w:t>
      </w:r>
      <w:r w:rsidRPr="00531B12">
        <w:rPr>
          <w:rFonts w:ascii="Abadi" w:hAnsi="Abadi"/>
          <w:b/>
          <w:bCs/>
          <w:sz w:val="20"/>
          <w:szCs w:val="20"/>
        </w:rPr>
        <w:t>EN</w:t>
      </w:r>
      <w:r w:rsidRPr="00531B12">
        <w:rPr>
          <w:rFonts w:ascii="Abadi" w:hAnsi="Abadi"/>
          <w:b/>
          <w:bCs/>
          <w:spacing w:val="11"/>
          <w:sz w:val="20"/>
          <w:szCs w:val="20"/>
        </w:rPr>
        <w:t xml:space="preserve"> </w:t>
      </w:r>
      <w:r w:rsidRPr="00531B12">
        <w:rPr>
          <w:rFonts w:ascii="Abadi" w:hAnsi="Abadi"/>
          <w:b/>
          <w:bCs/>
          <w:sz w:val="20"/>
          <w:szCs w:val="20"/>
        </w:rPr>
        <w:t>SU</w:t>
      </w:r>
      <w:r w:rsidRPr="00531B12">
        <w:rPr>
          <w:rFonts w:ascii="Abadi" w:hAnsi="Abadi"/>
          <w:b/>
          <w:bCs/>
          <w:spacing w:val="11"/>
          <w:sz w:val="20"/>
          <w:szCs w:val="20"/>
        </w:rPr>
        <w:t xml:space="preserve"> </w:t>
      </w:r>
      <w:r w:rsidRPr="00531B12">
        <w:rPr>
          <w:rFonts w:ascii="Abadi" w:hAnsi="Abadi"/>
          <w:b/>
          <w:bCs/>
          <w:sz w:val="20"/>
          <w:szCs w:val="20"/>
        </w:rPr>
        <w:t>CASO,</w:t>
      </w:r>
      <w:r w:rsidRPr="00531B12">
        <w:rPr>
          <w:rFonts w:ascii="Abadi" w:hAnsi="Abadi"/>
          <w:b/>
          <w:bCs/>
          <w:spacing w:val="10"/>
          <w:sz w:val="20"/>
          <w:szCs w:val="20"/>
        </w:rPr>
        <w:t xml:space="preserve"> </w:t>
      </w:r>
      <w:r w:rsidRPr="00531B12">
        <w:rPr>
          <w:rFonts w:ascii="Abadi" w:hAnsi="Abadi"/>
          <w:b/>
          <w:bCs/>
          <w:sz w:val="20"/>
          <w:szCs w:val="20"/>
        </w:rPr>
        <w:t>APROBACIÓN</w:t>
      </w:r>
      <w:r w:rsidRPr="00531B12">
        <w:rPr>
          <w:rFonts w:ascii="Abadi" w:hAnsi="Abadi"/>
          <w:b/>
          <w:bCs/>
          <w:spacing w:val="11"/>
          <w:sz w:val="20"/>
          <w:szCs w:val="20"/>
        </w:rPr>
        <w:t xml:space="preserve"> </w:t>
      </w:r>
      <w:r w:rsidRPr="00531B12">
        <w:rPr>
          <w:rFonts w:ascii="Abadi" w:hAnsi="Abadi"/>
          <w:b/>
          <w:bCs/>
          <w:sz w:val="20"/>
          <w:szCs w:val="20"/>
        </w:rPr>
        <w:t>DEL</w:t>
      </w:r>
      <w:r w:rsidRPr="00531B12">
        <w:rPr>
          <w:rFonts w:ascii="Abadi" w:hAnsi="Abadi"/>
          <w:b/>
          <w:bCs/>
          <w:spacing w:val="11"/>
          <w:sz w:val="20"/>
          <w:szCs w:val="20"/>
        </w:rPr>
        <w:t xml:space="preserve"> </w:t>
      </w:r>
      <w:r w:rsidRPr="00531B12">
        <w:rPr>
          <w:rFonts w:ascii="Abadi" w:hAnsi="Abadi"/>
          <w:b/>
          <w:bCs/>
          <w:sz w:val="20"/>
          <w:szCs w:val="20"/>
        </w:rPr>
        <w:t>DICTAMEN</w:t>
      </w:r>
      <w:r w:rsidRPr="00531B12">
        <w:rPr>
          <w:rFonts w:ascii="Abadi" w:hAnsi="Abadi"/>
          <w:b/>
          <w:bCs/>
          <w:spacing w:val="11"/>
          <w:sz w:val="20"/>
          <w:szCs w:val="20"/>
        </w:rPr>
        <w:t xml:space="preserve"> </w:t>
      </w:r>
      <w:r w:rsidRPr="00531B12">
        <w:rPr>
          <w:rFonts w:ascii="Abadi" w:hAnsi="Abadi"/>
          <w:b/>
          <w:bCs/>
          <w:sz w:val="20"/>
          <w:szCs w:val="20"/>
        </w:rPr>
        <w:t>SIGNADO</w:t>
      </w:r>
      <w:r w:rsidRPr="00531B12">
        <w:rPr>
          <w:rFonts w:ascii="Abadi" w:hAnsi="Abadi"/>
          <w:b/>
          <w:bCs/>
          <w:spacing w:val="11"/>
          <w:sz w:val="20"/>
          <w:szCs w:val="20"/>
        </w:rPr>
        <w:t xml:space="preserve"> </w:t>
      </w:r>
      <w:r w:rsidRPr="00531B12">
        <w:rPr>
          <w:rFonts w:ascii="Abadi" w:hAnsi="Abadi"/>
          <w:b/>
          <w:bCs/>
          <w:sz w:val="20"/>
          <w:szCs w:val="20"/>
        </w:rPr>
        <w:t>POR</w:t>
      </w:r>
      <w:r w:rsidRPr="00531B12">
        <w:rPr>
          <w:rFonts w:ascii="Abadi" w:hAnsi="Abadi"/>
          <w:b/>
          <w:bCs/>
          <w:spacing w:val="11"/>
          <w:sz w:val="20"/>
          <w:szCs w:val="20"/>
        </w:rPr>
        <w:t xml:space="preserve"> </w:t>
      </w:r>
      <w:r w:rsidRPr="00531B12">
        <w:rPr>
          <w:rFonts w:ascii="Abadi" w:hAnsi="Abadi"/>
          <w:b/>
          <w:bCs/>
          <w:sz w:val="20"/>
          <w:szCs w:val="20"/>
        </w:rPr>
        <w:t>LA</w:t>
      </w:r>
      <w:r w:rsidRPr="00531B12">
        <w:rPr>
          <w:rFonts w:ascii="Abadi" w:hAnsi="Abadi"/>
          <w:b/>
          <w:bCs/>
          <w:spacing w:val="11"/>
          <w:sz w:val="20"/>
          <w:szCs w:val="20"/>
        </w:rPr>
        <w:t xml:space="preserve"> </w:t>
      </w:r>
      <w:r w:rsidRPr="00531B12">
        <w:rPr>
          <w:rFonts w:ascii="Abadi" w:hAnsi="Abadi"/>
          <w:b/>
          <w:bCs/>
          <w:sz w:val="20"/>
          <w:szCs w:val="20"/>
        </w:rPr>
        <w:t>COMISIÓN DE</w:t>
      </w:r>
      <w:r w:rsidRPr="00531B12">
        <w:rPr>
          <w:rFonts w:ascii="Abadi" w:hAnsi="Abadi"/>
          <w:b/>
          <w:bCs/>
          <w:spacing w:val="10"/>
          <w:sz w:val="20"/>
          <w:szCs w:val="20"/>
        </w:rPr>
        <w:t xml:space="preserve"> </w:t>
      </w:r>
      <w:r w:rsidRPr="00531B12">
        <w:rPr>
          <w:rFonts w:ascii="Abadi" w:hAnsi="Abadi"/>
          <w:b/>
          <w:bCs/>
          <w:sz w:val="20"/>
          <w:szCs w:val="20"/>
        </w:rPr>
        <w:t>HACIENDA</w:t>
      </w:r>
      <w:r w:rsidRPr="00531B12">
        <w:rPr>
          <w:rFonts w:ascii="Abadi" w:hAnsi="Abadi"/>
          <w:b/>
          <w:bCs/>
          <w:spacing w:val="10"/>
          <w:sz w:val="20"/>
          <w:szCs w:val="20"/>
        </w:rPr>
        <w:t xml:space="preserve"> </w:t>
      </w:r>
      <w:r w:rsidRPr="00531B12">
        <w:rPr>
          <w:rFonts w:ascii="Abadi" w:hAnsi="Abadi"/>
          <w:b/>
          <w:bCs/>
          <w:sz w:val="20"/>
          <w:szCs w:val="20"/>
        </w:rPr>
        <w:t>Y</w:t>
      </w:r>
      <w:r w:rsidRPr="00531B12">
        <w:rPr>
          <w:rFonts w:ascii="Abadi" w:hAnsi="Abadi"/>
          <w:b/>
          <w:bCs/>
          <w:spacing w:val="10"/>
          <w:sz w:val="20"/>
          <w:szCs w:val="20"/>
        </w:rPr>
        <w:t xml:space="preserve"> </w:t>
      </w:r>
      <w:r w:rsidRPr="00531B12">
        <w:rPr>
          <w:rFonts w:ascii="Abadi" w:hAnsi="Abadi"/>
          <w:b/>
          <w:bCs/>
          <w:sz w:val="20"/>
          <w:szCs w:val="20"/>
        </w:rPr>
        <w:t>FISCALIZACIÓN</w:t>
      </w:r>
      <w:r w:rsidRPr="00531B12">
        <w:rPr>
          <w:rFonts w:ascii="Abadi" w:hAnsi="Abadi"/>
          <w:b/>
          <w:bCs/>
          <w:spacing w:val="10"/>
          <w:sz w:val="20"/>
          <w:szCs w:val="20"/>
        </w:rPr>
        <w:t xml:space="preserve"> </w:t>
      </w:r>
      <w:r w:rsidRPr="00531B12">
        <w:rPr>
          <w:rFonts w:ascii="Abadi" w:hAnsi="Abadi"/>
          <w:b/>
          <w:bCs/>
          <w:sz w:val="20"/>
          <w:szCs w:val="20"/>
        </w:rPr>
        <w:t>RELATIVO</w:t>
      </w:r>
      <w:r w:rsidRPr="00531B12">
        <w:rPr>
          <w:rFonts w:ascii="Abadi" w:hAnsi="Abadi"/>
          <w:b/>
          <w:bCs/>
          <w:spacing w:val="10"/>
          <w:sz w:val="20"/>
          <w:szCs w:val="20"/>
        </w:rPr>
        <w:t xml:space="preserve"> </w:t>
      </w:r>
      <w:r w:rsidRPr="00531B12">
        <w:rPr>
          <w:rFonts w:ascii="Abadi" w:hAnsi="Abadi"/>
          <w:b/>
          <w:bCs/>
          <w:sz w:val="20"/>
          <w:szCs w:val="20"/>
        </w:rPr>
        <w:t>AL</w:t>
      </w:r>
      <w:r w:rsidRPr="00531B12">
        <w:rPr>
          <w:rFonts w:ascii="Abadi" w:hAnsi="Abadi"/>
          <w:b/>
          <w:bCs/>
          <w:spacing w:val="9"/>
          <w:sz w:val="20"/>
          <w:szCs w:val="20"/>
        </w:rPr>
        <w:t xml:space="preserve"> </w:t>
      </w:r>
      <w:r w:rsidRPr="00531B12">
        <w:rPr>
          <w:rFonts w:ascii="Abadi" w:hAnsi="Abadi"/>
          <w:b/>
          <w:bCs/>
          <w:sz w:val="20"/>
          <w:szCs w:val="20"/>
        </w:rPr>
        <w:t>INFORME</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RESULTADOS</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REVISIÓN PRACTICADA</w:t>
      </w:r>
      <w:r w:rsidRPr="00531B12">
        <w:rPr>
          <w:rFonts w:ascii="Abadi" w:hAnsi="Abadi"/>
          <w:b/>
          <w:bCs/>
          <w:spacing w:val="10"/>
          <w:sz w:val="20"/>
          <w:szCs w:val="20"/>
        </w:rPr>
        <w:t xml:space="preserve"> </w:t>
      </w:r>
      <w:r w:rsidRPr="00531B12">
        <w:rPr>
          <w:rFonts w:ascii="Abadi" w:hAnsi="Abadi"/>
          <w:b/>
          <w:bCs/>
          <w:sz w:val="20"/>
          <w:szCs w:val="20"/>
        </w:rPr>
        <w:t>POR</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AUDITORÍA</w:t>
      </w:r>
      <w:r w:rsidRPr="00531B12">
        <w:rPr>
          <w:rFonts w:ascii="Abadi" w:hAnsi="Abadi"/>
          <w:b/>
          <w:bCs/>
          <w:spacing w:val="10"/>
          <w:sz w:val="20"/>
          <w:szCs w:val="20"/>
        </w:rPr>
        <w:t xml:space="preserve"> </w:t>
      </w:r>
      <w:r w:rsidRPr="00531B12">
        <w:rPr>
          <w:rFonts w:ascii="Abadi" w:hAnsi="Abadi"/>
          <w:b/>
          <w:bCs/>
          <w:sz w:val="20"/>
          <w:szCs w:val="20"/>
        </w:rPr>
        <w:t>SUPERIOR</w:t>
      </w:r>
      <w:r w:rsidRPr="00531B12">
        <w:rPr>
          <w:rFonts w:ascii="Abadi" w:hAnsi="Abadi"/>
          <w:b/>
          <w:bCs/>
          <w:spacing w:val="9"/>
          <w:sz w:val="20"/>
          <w:szCs w:val="20"/>
        </w:rPr>
        <w:t xml:space="preserve"> </w:t>
      </w:r>
      <w:r w:rsidRPr="00531B12">
        <w:rPr>
          <w:rFonts w:ascii="Abadi" w:hAnsi="Abadi"/>
          <w:b/>
          <w:bCs/>
          <w:sz w:val="20"/>
          <w:szCs w:val="20"/>
        </w:rPr>
        <w:t>DEL</w:t>
      </w:r>
      <w:r w:rsidRPr="00531B12">
        <w:rPr>
          <w:rFonts w:ascii="Abadi" w:hAnsi="Abadi"/>
          <w:b/>
          <w:bCs/>
          <w:spacing w:val="9"/>
          <w:sz w:val="20"/>
          <w:szCs w:val="20"/>
        </w:rPr>
        <w:t xml:space="preserve"> </w:t>
      </w:r>
      <w:r w:rsidRPr="00531B12">
        <w:rPr>
          <w:rFonts w:ascii="Abadi" w:hAnsi="Abadi"/>
          <w:b/>
          <w:bCs/>
          <w:sz w:val="20"/>
          <w:szCs w:val="20"/>
        </w:rPr>
        <w:t>ESTADO</w:t>
      </w:r>
      <w:r w:rsidRPr="00531B12">
        <w:rPr>
          <w:rFonts w:ascii="Abadi" w:hAnsi="Abadi"/>
          <w:b/>
          <w:bCs/>
          <w:spacing w:val="10"/>
          <w:sz w:val="20"/>
          <w:szCs w:val="20"/>
        </w:rPr>
        <w:t xml:space="preserve"> </w:t>
      </w:r>
      <w:r w:rsidRPr="00531B12">
        <w:rPr>
          <w:rFonts w:ascii="Abadi" w:hAnsi="Abadi"/>
          <w:b/>
          <w:bCs/>
          <w:sz w:val="20"/>
          <w:szCs w:val="20"/>
        </w:rPr>
        <w:t>DE</w:t>
      </w:r>
      <w:r w:rsidRPr="00531B12">
        <w:rPr>
          <w:rFonts w:ascii="Abadi" w:hAnsi="Abadi"/>
          <w:b/>
          <w:bCs/>
          <w:spacing w:val="10"/>
          <w:sz w:val="20"/>
          <w:szCs w:val="20"/>
        </w:rPr>
        <w:t xml:space="preserve"> </w:t>
      </w:r>
      <w:r w:rsidRPr="00531B12">
        <w:rPr>
          <w:rFonts w:ascii="Abadi" w:hAnsi="Abadi"/>
          <w:b/>
          <w:bCs/>
          <w:sz w:val="20"/>
          <w:szCs w:val="20"/>
        </w:rPr>
        <w:t>GUANAJUATO,</w:t>
      </w:r>
      <w:r w:rsidRPr="00531B12">
        <w:rPr>
          <w:rFonts w:ascii="Abadi" w:hAnsi="Abadi"/>
          <w:b/>
          <w:bCs/>
          <w:spacing w:val="9"/>
          <w:sz w:val="20"/>
          <w:szCs w:val="20"/>
        </w:rPr>
        <w:t xml:space="preserve"> </w:t>
      </w:r>
      <w:r w:rsidRPr="00531B12">
        <w:rPr>
          <w:rFonts w:ascii="Abadi" w:hAnsi="Abadi"/>
          <w:b/>
          <w:bCs/>
          <w:sz w:val="20"/>
          <w:szCs w:val="20"/>
        </w:rPr>
        <w:t>A</w:t>
      </w:r>
      <w:r w:rsidRPr="00531B12">
        <w:rPr>
          <w:rFonts w:ascii="Abadi" w:hAnsi="Abadi"/>
          <w:b/>
          <w:bCs/>
          <w:spacing w:val="9"/>
          <w:sz w:val="20"/>
          <w:szCs w:val="20"/>
        </w:rPr>
        <w:t xml:space="preserve"> </w:t>
      </w:r>
      <w:r w:rsidRPr="00531B12">
        <w:rPr>
          <w:rFonts w:ascii="Abadi" w:hAnsi="Abadi"/>
          <w:b/>
          <w:bCs/>
          <w:sz w:val="20"/>
          <w:szCs w:val="20"/>
        </w:rPr>
        <w:t>LA</w:t>
      </w:r>
      <w:r w:rsidRPr="00531B12">
        <w:rPr>
          <w:rFonts w:ascii="Abadi" w:hAnsi="Abadi"/>
          <w:b/>
          <w:bCs/>
          <w:spacing w:val="10"/>
          <w:sz w:val="20"/>
          <w:szCs w:val="20"/>
        </w:rPr>
        <w:t xml:space="preserve"> </w:t>
      </w:r>
      <w:r w:rsidRPr="00531B12">
        <w:rPr>
          <w:rFonts w:ascii="Abadi" w:hAnsi="Abadi"/>
          <w:b/>
          <w:bCs/>
          <w:sz w:val="20"/>
          <w:szCs w:val="20"/>
        </w:rPr>
        <w:t>CUENTA PÚBLICA</w:t>
      </w:r>
      <w:r w:rsidRPr="00531B12">
        <w:rPr>
          <w:rFonts w:ascii="Abadi" w:hAnsi="Abadi"/>
          <w:b/>
          <w:bCs/>
          <w:spacing w:val="15"/>
          <w:sz w:val="20"/>
          <w:szCs w:val="20"/>
        </w:rPr>
        <w:t xml:space="preserve"> </w:t>
      </w:r>
      <w:r w:rsidRPr="00531B12">
        <w:rPr>
          <w:rFonts w:ascii="Abadi" w:hAnsi="Abadi"/>
          <w:b/>
          <w:bCs/>
          <w:sz w:val="20"/>
          <w:szCs w:val="20"/>
        </w:rPr>
        <w:t>MUNICIPAL</w:t>
      </w:r>
      <w:r w:rsidRPr="00531B12">
        <w:rPr>
          <w:rFonts w:ascii="Abadi" w:hAnsi="Abadi"/>
          <w:b/>
          <w:bCs/>
          <w:spacing w:val="14"/>
          <w:sz w:val="20"/>
          <w:szCs w:val="20"/>
        </w:rPr>
        <w:t xml:space="preserve"> </w:t>
      </w:r>
      <w:r w:rsidRPr="00531B12">
        <w:rPr>
          <w:rFonts w:ascii="Abadi" w:hAnsi="Abadi"/>
          <w:b/>
          <w:bCs/>
          <w:sz w:val="20"/>
          <w:szCs w:val="20"/>
        </w:rPr>
        <w:t>DE</w:t>
      </w:r>
      <w:r w:rsidRPr="00531B12">
        <w:rPr>
          <w:rFonts w:ascii="Abadi" w:hAnsi="Abadi"/>
          <w:b/>
          <w:bCs/>
          <w:spacing w:val="15"/>
          <w:sz w:val="20"/>
          <w:szCs w:val="20"/>
        </w:rPr>
        <w:t xml:space="preserve"> </w:t>
      </w:r>
      <w:r w:rsidRPr="00531B12">
        <w:rPr>
          <w:rFonts w:ascii="Abadi" w:hAnsi="Abadi"/>
          <w:b/>
          <w:bCs/>
          <w:sz w:val="20"/>
          <w:szCs w:val="20"/>
        </w:rPr>
        <w:t>LEÓN,</w:t>
      </w:r>
      <w:r w:rsidRPr="00531B12">
        <w:rPr>
          <w:rFonts w:ascii="Abadi" w:hAnsi="Abadi"/>
          <w:b/>
          <w:bCs/>
          <w:spacing w:val="15"/>
          <w:sz w:val="20"/>
          <w:szCs w:val="20"/>
        </w:rPr>
        <w:t xml:space="preserve"> </w:t>
      </w:r>
      <w:r w:rsidRPr="00531B12">
        <w:rPr>
          <w:rFonts w:ascii="Abadi" w:hAnsi="Abadi"/>
          <w:b/>
          <w:bCs/>
          <w:sz w:val="20"/>
          <w:szCs w:val="20"/>
        </w:rPr>
        <w:t>GTO.,</w:t>
      </w:r>
      <w:r w:rsidRPr="00531B12">
        <w:rPr>
          <w:rFonts w:ascii="Abadi" w:hAnsi="Abadi"/>
          <w:b/>
          <w:bCs/>
          <w:spacing w:val="14"/>
          <w:sz w:val="20"/>
          <w:szCs w:val="20"/>
        </w:rPr>
        <w:t xml:space="preserve"> </w:t>
      </w:r>
      <w:r w:rsidRPr="00531B12">
        <w:rPr>
          <w:rFonts w:ascii="Abadi" w:hAnsi="Abadi"/>
          <w:b/>
          <w:bCs/>
          <w:sz w:val="20"/>
          <w:szCs w:val="20"/>
        </w:rPr>
        <w:t>CORRESPONDIENTE</w:t>
      </w:r>
      <w:r w:rsidRPr="00531B12">
        <w:rPr>
          <w:rFonts w:ascii="Abadi" w:hAnsi="Abadi"/>
          <w:b/>
          <w:bCs/>
          <w:spacing w:val="15"/>
          <w:sz w:val="20"/>
          <w:szCs w:val="20"/>
        </w:rPr>
        <w:t xml:space="preserve"> </w:t>
      </w:r>
      <w:r w:rsidRPr="00531B12">
        <w:rPr>
          <w:rFonts w:ascii="Abadi" w:hAnsi="Abadi"/>
          <w:b/>
          <w:bCs/>
          <w:sz w:val="20"/>
          <w:szCs w:val="20"/>
        </w:rPr>
        <w:t>AL</w:t>
      </w:r>
      <w:r w:rsidRPr="00531B12">
        <w:rPr>
          <w:rFonts w:ascii="Abadi" w:hAnsi="Abadi"/>
          <w:b/>
          <w:bCs/>
          <w:spacing w:val="15"/>
          <w:sz w:val="20"/>
          <w:szCs w:val="20"/>
        </w:rPr>
        <w:t xml:space="preserve"> </w:t>
      </w:r>
      <w:r w:rsidRPr="00531B12">
        <w:rPr>
          <w:rFonts w:ascii="Abadi" w:hAnsi="Abadi"/>
          <w:b/>
          <w:bCs/>
          <w:sz w:val="20"/>
          <w:szCs w:val="20"/>
        </w:rPr>
        <w:t>EJERCICIO</w:t>
      </w:r>
      <w:r w:rsidRPr="00531B12">
        <w:rPr>
          <w:rFonts w:ascii="Abadi" w:hAnsi="Abadi"/>
          <w:b/>
          <w:bCs/>
          <w:spacing w:val="15"/>
          <w:sz w:val="20"/>
          <w:szCs w:val="20"/>
        </w:rPr>
        <w:t xml:space="preserve"> </w:t>
      </w:r>
      <w:r w:rsidRPr="00531B12">
        <w:rPr>
          <w:rFonts w:ascii="Abadi" w:hAnsi="Abadi"/>
          <w:b/>
          <w:bCs/>
          <w:sz w:val="20"/>
          <w:szCs w:val="20"/>
        </w:rPr>
        <w:t>FISCAL</w:t>
      </w:r>
      <w:r w:rsidRPr="00531B12">
        <w:rPr>
          <w:rFonts w:ascii="Abadi" w:hAnsi="Abadi"/>
          <w:b/>
          <w:bCs/>
          <w:spacing w:val="15"/>
          <w:sz w:val="20"/>
          <w:szCs w:val="20"/>
        </w:rPr>
        <w:t xml:space="preserve"> </w:t>
      </w:r>
      <w:r w:rsidRPr="00531B12">
        <w:rPr>
          <w:rFonts w:ascii="Abadi" w:hAnsi="Abadi"/>
          <w:b/>
          <w:bCs/>
          <w:sz w:val="20"/>
          <w:szCs w:val="20"/>
        </w:rPr>
        <w:t>DEL</w:t>
      </w:r>
      <w:r w:rsidRPr="00531B12">
        <w:rPr>
          <w:rFonts w:ascii="Abadi" w:hAnsi="Abadi"/>
          <w:b/>
          <w:bCs/>
          <w:spacing w:val="14"/>
          <w:sz w:val="20"/>
          <w:szCs w:val="20"/>
        </w:rPr>
        <w:t xml:space="preserve"> </w:t>
      </w:r>
      <w:r w:rsidRPr="00531B12">
        <w:rPr>
          <w:rFonts w:ascii="Abadi" w:hAnsi="Abadi"/>
          <w:b/>
          <w:bCs/>
          <w:sz w:val="20"/>
          <w:szCs w:val="20"/>
        </w:rPr>
        <w:t>AÑO 2020.</w:t>
      </w:r>
    </w:p>
    <w:p w14:paraId="2E31C252" w14:textId="274C6770" w:rsidR="008E5287" w:rsidRDefault="008E5287" w:rsidP="00126EE6">
      <w:pPr>
        <w:tabs>
          <w:tab w:val="left" w:pos="856"/>
        </w:tabs>
        <w:kinsoku w:val="0"/>
        <w:overflowPunct w:val="0"/>
        <w:autoSpaceDE w:val="0"/>
        <w:autoSpaceDN w:val="0"/>
        <w:adjustRightInd w:val="0"/>
        <w:spacing w:before="130"/>
        <w:ind w:left="360" w:right="17"/>
        <w:jc w:val="both"/>
        <w:rPr>
          <w:rFonts w:ascii="Abadi" w:hAnsi="Abadi"/>
          <w:sz w:val="20"/>
          <w:szCs w:val="20"/>
        </w:rPr>
      </w:pPr>
    </w:p>
    <w:p w14:paraId="0A88442D" w14:textId="77777777" w:rsidR="001A28E5" w:rsidRPr="001A28E5" w:rsidRDefault="001A28E5" w:rsidP="001A28E5">
      <w:pPr>
        <w:jc w:val="both"/>
        <w:rPr>
          <w:rFonts w:ascii="Abadi" w:hAnsi="Abadi" w:cs="Arial"/>
          <w:b/>
          <w:bCs/>
          <w:smallCaps/>
          <w:sz w:val="21"/>
          <w:szCs w:val="21"/>
          <w:lang w:val="es-MX"/>
        </w:rPr>
      </w:pPr>
      <w:r w:rsidRPr="001A28E5">
        <w:rPr>
          <w:rFonts w:ascii="Abadi" w:hAnsi="Abadi" w:cs="Arial"/>
          <w:b/>
          <w:bCs/>
          <w:smallCaps/>
          <w:sz w:val="21"/>
          <w:szCs w:val="21"/>
          <w:lang w:val="es-MX"/>
        </w:rPr>
        <w:t>C. Presidenta del Congreso del Estado</w:t>
      </w:r>
    </w:p>
    <w:p w14:paraId="28AC2BD2" w14:textId="77777777" w:rsidR="001A28E5" w:rsidRPr="001A28E5" w:rsidRDefault="001A28E5" w:rsidP="001A28E5">
      <w:pPr>
        <w:jc w:val="both"/>
        <w:rPr>
          <w:rFonts w:ascii="Abadi" w:hAnsi="Abadi" w:cs="Arial"/>
          <w:b/>
          <w:bCs/>
          <w:smallCaps/>
          <w:sz w:val="21"/>
          <w:szCs w:val="21"/>
        </w:rPr>
      </w:pPr>
      <w:r w:rsidRPr="001A28E5">
        <w:rPr>
          <w:rFonts w:ascii="Abadi" w:hAnsi="Abadi" w:cs="Arial"/>
          <w:b/>
          <w:bCs/>
          <w:smallCaps/>
          <w:sz w:val="21"/>
          <w:szCs w:val="21"/>
        </w:rPr>
        <w:t>P r e s e n t e.</w:t>
      </w:r>
    </w:p>
    <w:p w14:paraId="7019D6FA" w14:textId="77777777" w:rsidR="001A28E5" w:rsidRPr="001A28E5" w:rsidRDefault="001A28E5" w:rsidP="001A28E5">
      <w:pPr>
        <w:jc w:val="both"/>
        <w:rPr>
          <w:rFonts w:ascii="Abadi" w:hAnsi="Abadi" w:cs="Arial"/>
          <w:sz w:val="21"/>
          <w:szCs w:val="21"/>
          <w:lang w:val="es-MX" w:eastAsia="x-none"/>
        </w:rPr>
      </w:pPr>
    </w:p>
    <w:p w14:paraId="2A591DCC" w14:textId="77777777" w:rsidR="001A28E5" w:rsidRPr="001A28E5" w:rsidRDefault="001A28E5" w:rsidP="001A28E5">
      <w:pPr>
        <w:ind w:firstLine="708"/>
        <w:jc w:val="both"/>
        <w:rPr>
          <w:rFonts w:ascii="Abadi" w:hAnsi="Abadi" w:cs="Arial"/>
          <w:sz w:val="21"/>
          <w:szCs w:val="21"/>
          <w:lang w:val="x-none" w:eastAsia="x-none"/>
        </w:rPr>
      </w:pPr>
      <w:r w:rsidRPr="001A28E5">
        <w:rPr>
          <w:rFonts w:ascii="Abadi" w:hAnsi="Abadi" w:cs="Arial"/>
          <w:sz w:val="21"/>
          <w:szCs w:val="21"/>
          <w:lang w:val="x-none" w:eastAsia="x-none"/>
        </w:rPr>
        <w:t xml:space="preserve">A </w:t>
      </w:r>
      <w:r w:rsidRPr="001A28E5">
        <w:rPr>
          <w:rFonts w:ascii="Abadi" w:hAnsi="Abadi" w:cs="Arial"/>
          <w:sz w:val="21"/>
          <w:szCs w:val="21"/>
          <w:lang w:val="es-MX" w:eastAsia="x-none"/>
        </w:rPr>
        <w:t>esta</w:t>
      </w:r>
      <w:r w:rsidRPr="001A28E5">
        <w:rPr>
          <w:rFonts w:ascii="Abadi" w:hAnsi="Abadi" w:cs="Arial"/>
          <w:sz w:val="21"/>
          <w:szCs w:val="21"/>
          <w:lang w:val="x-none" w:eastAsia="x-none"/>
        </w:rPr>
        <w:t xml:space="preserve"> Comisión de Hacienda y Fiscalización</w:t>
      </w:r>
      <w:r w:rsidRPr="001A28E5">
        <w:rPr>
          <w:rFonts w:ascii="Abadi" w:hAnsi="Abadi" w:cs="Arial"/>
          <w:sz w:val="21"/>
          <w:szCs w:val="21"/>
          <w:lang w:val="es-MX" w:eastAsia="x-none"/>
        </w:rPr>
        <w:t xml:space="preserve">, </w:t>
      </w:r>
      <w:r w:rsidRPr="001A28E5">
        <w:rPr>
          <w:rFonts w:ascii="Abadi" w:hAnsi="Abadi" w:cs="Arial"/>
          <w:sz w:val="21"/>
          <w:szCs w:val="21"/>
          <w:lang w:val="x-none" w:eastAsia="x-none"/>
        </w:rPr>
        <w:t xml:space="preserve">le fue turnado para su estudio y dictamen, el informe de resultados de la revisión practicada por </w:t>
      </w:r>
      <w:r w:rsidRPr="001A28E5">
        <w:rPr>
          <w:rFonts w:ascii="Abadi" w:hAnsi="Abadi" w:cs="Arial"/>
          <w:sz w:val="21"/>
          <w:szCs w:val="21"/>
          <w:lang w:val="es-MX" w:eastAsia="x-none"/>
        </w:rPr>
        <w:t xml:space="preserve">la </w:t>
      </w:r>
      <w:r w:rsidRPr="001A28E5">
        <w:rPr>
          <w:rFonts w:ascii="Abadi" w:hAnsi="Abadi" w:cs="Arial"/>
          <w:sz w:val="21"/>
          <w:szCs w:val="21"/>
          <w:lang w:val="x-none" w:eastAsia="x-none"/>
        </w:rPr>
        <w:t xml:space="preserve">Auditoría Superior del Estado de Guanajuato, a la cuenta pública municipal de </w:t>
      </w:r>
      <w:r w:rsidRPr="001A28E5">
        <w:rPr>
          <w:rFonts w:ascii="Abadi" w:hAnsi="Abadi" w:cs="Arial"/>
          <w:sz w:val="21"/>
          <w:szCs w:val="21"/>
          <w:lang w:val="es-MX" w:eastAsia="x-none"/>
        </w:rPr>
        <w:t>León</w:t>
      </w:r>
      <w:r w:rsidRPr="001A28E5">
        <w:rPr>
          <w:rFonts w:ascii="Abadi" w:hAnsi="Abadi" w:cs="Arial"/>
          <w:sz w:val="21"/>
          <w:szCs w:val="21"/>
          <w:lang w:val="x-none" w:eastAsia="x-none"/>
        </w:rPr>
        <w:t xml:space="preserve">, Gto., correspondiente al ejercicio fiscal del año </w:t>
      </w:r>
      <w:r w:rsidRPr="001A28E5">
        <w:rPr>
          <w:rFonts w:ascii="Abadi" w:hAnsi="Abadi" w:cs="Arial"/>
          <w:sz w:val="21"/>
          <w:szCs w:val="21"/>
          <w:lang w:val="es-MX" w:eastAsia="x-none"/>
        </w:rPr>
        <w:t>2020</w:t>
      </w:r>
      <w:r w:rsidRPr="001A28E5">
        <w:rPr>
          <w:rFonts w:ascii="Abadi" w:hAnsi="Abadi" w:cs="Arial"/>
          <w:sz w:val="21"/>
          <w:szCs w:val="21"/>
          <w:lang w:val="x-none" w:eastAsia="x-none"/>
        </w:rPr>
        <w:t>.</w:t>
      </w:r>
    </w:p>
    <w:p w14:paraId="37D8E105" w14:textId="77777777" w:rsidR="001A28E5" w:rsidRPr="001A28E5" w:rsidRDefault="001A28E5" w:rsidP="001A28E5">
      <w:pPr>
        <w:ind w:firstLine="708"/>
        <w:jc w:val="both"/>
        <w:rPr>
          <w:rFonts w:ascii="Abadi" w:hAnsi="Abadi" w:cs="Arial"/>
          <w:sz w:val="21"/>
          <w:szCs w:val="21"/>
          <w:lang w:val="x-none" w:eastAsia="x-none"/>
        </w:rPr>
      </w:pPr>
    </w:p>
    <w:p w14:paraId="163D425A" w14:textId="77777777" w:rsidR="001A28E5" w:rsidRPr="001A28E5" w:rsidRDefault="001A28E5" w:rsidP="001A28E5">
      <w:pPr>
        <w:ind w:firstLine="708"/>
        <w:jc w:val="both"/>
        <w:rPr>
          <w:rFonts w:ascii="Abadi" w:hAnsi="Abadi" w:cs="Arial"/>
          <w:sz w:val="21"/>
          <w:szCs w:val="21"/>
          <w:lang w:val="x-none" w:eastAsia="x-none"/>
        </w:rPr>
      </w:pPr>
      <w:r w:rsidRPr="001A28E5">
        <w:rPr>
          <w:rFonts w:ascii="Abadi" w:hAnsi="Abadi" w:cs="Arial"/>
          <w:sz w:val="21"/>
          <w:szCs w:val="21"/>
          <w:lang w:val="x-none" w:eastAsia="x-none"/>
        </w:rPr>
        <w:t>Una vez analizado el referido informe de resultados, con fundamento en lo dispuesto por los artículos 112, fracción XII</w:t>
      </w:r>
      <w:r w:rsidRPr="001A28E5">
        <w:rPr>
          <w:rFonts w:ascii="Abadi" w:hAnsi="Abadi" w:cs="Arial"/>
          <w:sz w:val="21"/>
          <w:szCs w:val="21"/>
          <w:lang w:val="es-MX" w:eastAsia="x-none"/>
        </w:rPr>
        <w:t>, primer párrafo</w:t>
      </w:r>
      <w:r w:rsidRPr="001A28E5">
        <w:rPr>
          <w:rFonts w:ascii="Abadi" w:hAnsi="Abadi" w:cs="Arial"/>
          <w:sz w:val="21"/>
          <w:szCs w:val="21"/>
          <w:lang w:val="x-none" w:eastAsia="x-none"/>
        </w:rPr>
        <w:t xml:space="preserve"> y 171 de </w:t>
      </w:r>
      <w:smartTag w:uri="urn:schemas-microsoft-com:office:smarttags" w:element="PersonName">
        <w:smartTagPr>
          <w:attr w:name="ProductID" w:val="la Ley Org￡nica"/>
        </w:smartTagPr>
        <w:r w:rsidRPr="001A28E5">
          <w:rPr>
            <w:rFonts w:ascii="Abadi" w:hAnsi="Abadi" w:cs="Arial"/>
            <w:sz w:val="21"/>
            <w:szCs w:val="21"/>
            <w:lang w:val="x-none" w:eastAsia="x-none"/>
          </w:rPr>
          <w:t>la Ley Orgánica</w:t>
        </w:r>
      </w:smartTag>
      <w:r w:rsidRPr="001A28E5">
        <w:rPr>
          <w:rFonts w:ascii="Abadi" w:hAnsi="Abadi" w:cs="Arial"/>
          <w:sz w:val="21"/>
          <w:szCs w:val="21"/>
          <w:lang w:val="x-none" w:eastAsia="x-none"/>
        </w:rPr>
        <w:t xml:space="preserve"> del Poder Legislativo, nos permitimos rendir el siguiente:</w:t>
      </w:r>
    </w:p>
    <w:p w14:paraId="47273FC0" w14:textId="77777777" w:rsidR="001A28E5" w:rsidRPr="001A28E5" w:rsidRDefault="001A28E5" w:rsidP="001A28E5">
      <w:pPr>
        <w:ind w:firstLine="708"/>
        <w:jc w:val="both"/>
        <w:rPr>
          <w:rFonts w:ascii="Abadi" w:hAnsi="Abadi" w:cs="Arial"/>
          <w:sz w:val="21"/>
          <w:szCs w:val="21"/>
          <w:lang w:val="x-none" w:eastAsia="x-none"/>
        </w:rPr>
      </w:pPr>
    </w:p>
    <w:p w14:paraId="47C58669" w14:textId="77777777" w:rsidR="001A28E5" w:rsidRPr="001A28E5" w:rsidRDefault="001A28E5" w:rsidP="001A28E5">
      <w:pPr>
        <w:keepNext/>
        <w:jc w:val="center"/>
        <w:outlineLvl w:val="0"/>
        <w:rPr>
          <w:rFonts w:ascii="Abadi" w:eastAsia="Arial Unicode MS" w:hAnsi="Abadi" w:cs="Arial"/>
          <w:b/>
          <w:bCs/>
          <w:sz w:val="21"/>
          <w:szCs w:val="21"/>
        </w:rPr>
      </w:pPr>
      <w:r w:rsidRPr="001A28E5">
        <w:rPr>
          <w:rFonts w:ascii="Abadi" w:eastAsia="Arial Unicode MS" w:hAnsi="Abadi" w:cs="Arial"/>
          <w:b/>
          <w:bCs/>
          <w:sz w:val="21"/>
          <w:szCs w:val="21"/>
        </w:rPr>
        <w:t>D i c t a m e n</w:t>
      </w:r>
    </w:p>
    <w:p w14:paraId="7FC245EE" w14:textId="77777777" w:rsidR="001A28E5" w:rsidRPr="001A28E5" w:rsidRDefault="001A28E5" w:rsidP="001A28E5">
      <w:pPr>
        <w:ind w:firstLine="708"/>
        <w:jc w:val="both"/>
        <w:rPr>
          <w:rFonts w:ascii="Abadi" w:hAnsi="Abadi" w:cs="Arial"/>
          <w:b/>
          <w:bCs/>
          <w:sz w:val="21"/>
          <w:szCs w:val="21"/>
          <w:lang w:val="es-MX" w:eastAsia="x-none"/>
        </w:rPr>
      </w:pPr>
      <w:r w:rsidRPr="001A28E5">
        <w:rPr>
          <w:rFonts w:ascii="Abadi" w:hAnsi="Abadi" w:cs="Arial"/>
          <w:b/>
          <w:bCs/>
          <w:sz w:val="21"/>
          <w:szCs w:val="21"/>
          <w:lang w:val="es-MX" w:eastAsia="x-none"/>
        </w:rPr>
        <w:t>I. Competencia:</w:t>
      </w:r>
    </w:p>
    <w:p w14:paraId="5B01A8DB" w14:textId="77777777" w:rsidR="001A28E5" w:rsidRPr="001A28E5" w:rsidRDefault="001A28E5" w:rsidP="001A28E5">
      <w:pPr>
        <w:ind w:firstLine="708"/>
        <w:jc w:val="both"/>
        <w:rPr>
          <w:rFonts w:ascii="Abadi" w:hAnsi="Abadi" w:cs="Arial"/>
          <w:b/>
          <w:bCs/>
          <w:sz w:val="21"/>
          <w:szCs w:val="21"/>
          <w:lang w:val="es-MX" w:eastAsia="x-none"/>
        </w:rPr>
      </w:pPr>
    </w:p>
    <w:p w14:paraId="69B7BAE3"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1A28E5">
          <w:rPr>
            <w:rFonts w:ascii="Abadi" w:hAnsi="Abadi" w:cs="Arial"/>
            <w:sz w:val="21"/>
            <w:szCs w:val="21"/>
            <w:lang w:val="es-MX" w:eastAsia="x-none"/>
          </w:rPr>
          <w:t>la Constitución Política</w:t>
        </w:r>
      </w:smartTag>
      <w:r w:rsidRPr="001A28E5">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488994CB" w14:textId="77777777" w:rsidR="001A28E5" w:rsidRPr="001A28E5" w:rsidRDefault="001A28E5" w:rsidP="001A28E5">
      <w:pPr>
        <w:ind w:firstLine="708"/>
        <w:jc w:val="both"/>
        <w:rPr>
          <w:rFonts w:ascii="Abadi" w:hAnsi="Abadi" w:cs="Arial"/>
          <w:sz w:val="21"/>
          <w:szCs w:val="21"/>
          <w:lang w:val="es-MX" w:eastAsia="x-none"/>
        </w:rPr>
      </w:pPr>
    </w:p>
    <w:p w14:paraId="611E1306"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26B06B5C" w14:textId="77777777" w:rsidR="001A28E5" w:rsidRPr="001A28E5" w:rsidRDefault="001A28E5" w:rsidP="001A28E5">
      <w:pPr>
        <w:jc w:val="both"/>
        <w:rPr>
          <w:rFonts w:ascii="Abadi" w:hAnsi="Abadi" w:cs="Arial"/>
          <w:sz w:val="21"/>
          <w:szCs w:val="21"/>
          <w:lang w:val="es-MX" w:eastAsia="x-none"/>
        </w:rPr>
      </w:pPr>
    </w:p>
    <w:p w14:paraId="59135D05"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1A28E5">
          <w:rPr>
            <w:rFonts w:ascii="Abadi" w:hAnsi="Abadi" w:cs="Arial"/>
            <w:sz w:val="21"/>
            <w:szCs w:val="21"/>
            <w:lang w:val="es-MX" w:eastAsia="x-none"/>
          </w:rPr>
          <w:t>la Constitución Política</w:t>
        </w:r>
      </w:smartTag>
      <w:r w:rsidRPr="001A28E5">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56E47649" w14:textId="77777777" w:rsidR="001A28E5" w:rsidRPr="001A28E5" w:rsidRDefault="001A28E5" w:rsidP="001A28E5">
      <w:pPr>
        <w:ind w:firstLine="708"/>
        <w:jc w:val="both"/>
        <w:rPr>
          <w:rFonts w:ascii="Abadi" w:hAnsi="Abadi" w:cs="Arial"/>
          <w:sz w:val="21"/>
          <w:szCs w:val="21"/>
          <w:lang w:val="es-MX" w:eastAsia="x-none"/>
        </w:rPr>
      </w:pPr>
    </w:p>
    <w:p w14:paraId="159AB6D3"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B646A22" w14:textId="77777777" w:rsidR="001A28E5" w:rsidRPr="001A28E5" w:rsidRDefault="001A28E5" w:rsidP="001A28E5">
      <w:pPr>
        <w:ind w:firstLine="708"/>
        <w:jc w:val="both"/>
        <w:rPr>
          <w:rFonts w:ascii="Abadi" w:hAnsi="Abadi" w:cs="Arial"/>
          <w:sz w:val="21"/>
          <w:szCs w:val="21"/>
          <w:lang w:val="es-MX" w:eastAsia="x-none"/>
        </w:rPr>
      </w:pPr>
    </w:p>
    <w:p w14:paraId="06487E03"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 xml:space="preserve">De igual forma, el artículo 82, fracción XXIV de </w:t>
      </w:r>
      <w:smartTag w:uri="urn:schemas-microsoft-com:office:smarttags" w:element="PersonName">
        <w:smartTagPr>
          <w:attr w:name="ProductID" w:val="la Ley"/>
        </w:smartTagPr>
        <w:r w:rsidRPr="001A28E5">
          <w:rPr>
            <w:rFonts w:ascii="Abadi" w:hAnsi="Abadi" w:cs="Arial"/>
            <w:sz w:val="21"/>
            <w:szCs w:val="21"/>
            <w:lang w:val="es-MX" w:eastAsia="x-none"/>
          </w:rPr>
          <w:t>la Ley</w:t>
        </w:r>
      </w:smartTag>
      <w:r w:rsidRPr="001A28E5">
        <w:rPr>
          <w:rFonts w:ascii="Abadi" w:hAnsi="Abadi" w:cs="Arial"/>
          <w:sz w:val="21"/>
          <w:szCs w:val="21"/>
          <w:lang w:val="es-MX" w:eastAsia="x-none"/>
        </w:rPr>
        <w:t xml:space="preserve"> de Fiscalización Superior del Estado de Guanajuato consigna como atribución del Auditor Superior rendir al Congreso del Estado, los informes derivados del ejercicio de la función de fiscalización.</w:t>
      </w:r>
    </w:p>
    <w:p w14:paraId="2616DCAF" w14:textId="77777777" w:rsidR="001A28E5" w:rsidRPr="001A28E5" w:rsidRDefault="001A28E5" w:rsidP="001A28E5">
      <w:pPr>
        <w:ind w:firstLine="708"/>
        <w:jc w:val="both"/>
        <w:rPr>
          <w:rFonts w:ascii="Abadi" w:hAnsi="Abadi" w:cs="Arial"/>
          <w:sz w:val="21"/>
          <w:szCs w:val="21"/>
          <w:lang w:val="es-MX" w:eastAsia="x-none"/>
        </w:rPr>
      </w:pPr>
    </w:p>
    <w:p w14:paraId="561CE3C4"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D5AA6E7" w14:textId="77777777" w:rsidR="001A28E5" w:rsidRPr="001A28E5" w:rsidRDefault="001A28E5" w:rsidP="001A28E5">
      <w:pPr>
        <w:ind w:firstLine="708"/>
        <w:jc w:val="both"/>
        <w:rPr>
          <w:rFonts w:ascii="Abadi" w:hAnsi="Abadi" w:cs="Arial"/>
          <w:sz w:val="21"/>
          <w:szCs w:val="21"/>
          <w:lang w:val="es-MX" w:eastAsia="x-none"/>
        </w:rPr>
      </w:pPr>
    </w:p>
    <w:p w14:paraId="09C1B773"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 xml:space="preserve">Con la finalidad de que el Congreso dé cumplimiento a lo señalado en el párrafo anterior, </w:t>
      </w:r>
      <w:smartTag w:uri="urn:schemas-microsoft-com:office:smarttags" w:element="PersonName">
        <w:smartTagPr>
          <w:attr w:name="ProductID" w:val="la Ley Org￡nica"/>
        </w:smartTagPr>
        <w:r w:rsidRPr="001A28E5">
          <w:rPr>
            <w:rFonts w:ascii="Abadi" w:hAnsi="Abadi" w:cs="Arial"/>
            <w:sz w:val="21"/>
            <w:szCs w:val="21"/>
            <w:lang w:val="es-MX" w:eastAsia="x-none"/>
          </w:rPr>
          <w:t>la Ley Orgánica</w:t>
        </w:r>
      </w:smartTag>
      <w:r w:rsidRPr="001A28E5">
        <w:rPr>
          <w:rFonts w:ascii="Abadi" w:hAnsi="Abadi" w:cs="Arial"/>
          <w:sz w:val="21"/>
          <w:szCs w:val="21"/>
          <w:lang w:val="es-MX" w:eastAsia="x-none"/>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67A76DD9" w14:textId="77777777" w:rsidR="001A28E5" w:rsidRPr="001A28E5" w:rsidRDefault="001A28E5" w:rsidP="001A28E5">
      <w:pPr>
        <w:ind w:firstLine="708"/>
        <w:jc w:val="both"/>
        <w:rPr>
          <w:rFonts w:ascii="Abadi" w:hAnsi="Abadi" w:cs="Arial"/>
          <w:sz w:val="21"/>
          <w:szCs w:val="21"/>
          <w:lang w:val="es-MX" w:eastAsia="x-none"/>
        </w:rPr>
      </w:pPr>
    </w:p>
    <w:p w14:paraId="1D2E0B14"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0A6BD1AA" w14:textId="77777777" w:rsidR="001A28E5" w:rsidRPr="001A28E5" w:rsidRDefault="001A28E5" w:rsidP="001A28E5">
      <w:pPr>
        <w:ind w:firstLine="708"/>
        <w:jc w:val="both"/>
        <w:rPr>
          <w:rFonts w:ascii="Abadi" w:hAnsi="Abadi" w:cs="Arial"/>
          <w:b/>
          <w:bCs/>
          <w:sz w:val="21"/>
          <w:szCs w:val="21"/>
          <w:lang w:val="es-MX" w:eastAsia="x-none"/>
        </w:rPr>
      </w:pPr>
      <w:r w:rsidRPr="001A28E5">
        <w:rPr>
          <w:rFonts w:ascii="Abadi" w:hAnsi="Abadi" w:cs="Arial"/>
          <w:b/>
          <w:bCs/>
          <w:sz w:val="21"/>
          <w:szCs w:val="21"/>
          <w:lang w:val="es-MX" w:eastAsia="x-none"/>
        </w:rPr>
        <w:t>II. Antecedentes:</w:t>
      </w:r>
    </w:p>
    <w:p w14:paraId="6557209A" w14:textId="77777777" w:rsidR="001A28E5" w:rsidRPr="001A28E5" w:rsidRDefault="001A28E5" w:rsidP="001A28E5">
      <w:pPr>
        <w:ind w:firstLine="708"/>
        <w:jc w:val="both"/>
        <w:rPr>
          <w:rFonts w:ascii="Abadi" w:hAnsi="Abadi" w:cs="Arial"/>
          <w:sz w:val="21"/>
          <w:szCs w:val="21"/>
          <w:lang w:val="es-MX" w:eastAsia="x-none"/>
        </w:rPr>
      </w:pPr>
    </w:p>
    <w:p w14:paraId="5A8A967A"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1A28E5">
          <w:rPr>
            <w:rFonts w:ascii="Abadi" w:hAnsi="Abadi" w:cs="Arial"/>
            <w:sz w:val="21"/>
            <w:szCs w:val="21"/>
            <w:lang w:val="es-MX" w:eastAsia="x-none"/>
          </w:rPr>
          <w:t>la Constitución Política</w:t>
        </w:r>
      </w:smartTag>
      <w:r w:rsidRPr="001A28E5">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11BB9AB1" w14:textId="77777777" w:rsidR="001A28E5" w:rsidRPr="001A28E5" w:rsidRDefault="001A28E5" w:rsidP="001A28E5">
      <w:pPr>
        <w:ind w:firstLine="708"/>
        <w:jc w:val="both"/>
        <w:rPr>
          <w:rFonts w:ascii="Abadi" w:hAnsi="Abadi" w:cs="Arial"/>
          <w:sz w:val="21"/>
          <w:szCs w:val="21"/>
          <w:lang w:val="es-MX" w:eastAsia="x-none"/>
        </w:rPr>
      </w:pPr>
    </w:p>
    <w:p w14:paraId="652A4001"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Por su parte, el artículo 66 de la Constitución Política Local, establece que los sujetos de fiscalización presentarán al Congreso del Estado los informes financieros y su cuenta pública con la periodicidad, forma y términos que establezca la Ley.</w:t>
      </w:r>
    </w:p>
    <w:p w14:paraId="20E6600D" w14:textId="77777777" w:rsidR="001A28E5" w:rsidRPr="001A28E5" w:rsidRDefault="001A28E5" w:rsidP="001A28E5">
      <w:pPr>
        <w:ind w:firstLine="708"/>
        <w:jc w:val="both"/>
        <w:rPr>
          <w:rFonts w:ascii="Abadi" w:hAnsi="Abadi" w:cs="Arial"/>
          <w:sz w:val="21"/>
          <w:szCs w:val="21"/>
          <w:lang w:val="es-MX" w:eastAsia="x-none"/>
        </w:rPr>
      </w:pPr>
    </w:p>
    <w:p w14:paraId="40FF8599"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 xml:space="preserve">La fracción III del artículo 3 de </w:t>
      </w:r>
      <w:smartTag w:uri="urn:schemas-microsoft-com:office:smarttags" w:element="PersonName">
        <w:smartTagPr>
          <w:attr w:name="ProductID" w:val="la Ley"/>
        </w:smartTagPr>
        <w:r w:rsidRPr="001A28E5">
          <w:rPr>
            <w:rFonts w:ascii="Abadi" w:hAnsi="Abadi" w:cs="Arial"/>
            <w:sz w:val="21"/>
            <w:szCs w:val="21"/>
            <w:lang w:val="es-MX" w:eastAsia="x-none"/>
          </w:rPr>
          <w:t>la Ley</w:t>
        </w:r>
      </w:smartTag>
      <w:r w:rsidRPr="001A28E5">
        <w:rPr>
          <w:rFonts w:ascii="Abadi" w:hAnsi="Abadi" w:cs="Arial"/>
          <w:sz w:val="21"/>
          <w:szCs w:val="21"/>
          <w:lang w:val="es-MX" w:eastAsia="x-none"/>
        </w:rPr>
        <w:t xml:space="preserve"> de Fiscalización Superior del Estado de Guanajuato señala que la Auditoría Superior del Estado será competente para fiscalizar la gestión financiera de los sujetos de fiscalización, a través de sus cuentas públicas.</w:t>
      </w:r>
    </w:p>
    <w:p w14:paraId="25B5253C" w14:textId="77777777" w:rsidR="001A28E5" w:rsidRPr="001A28E5" w:rsidRDefault="001A28E5" w:rsidP="001A28E5">
      <w:pPr>
        <w:ind w:firstLine="708"/>
        <w:jc w:val="both"/>
        <w:rPr>
          <w:rFonts w:ascii="Abadi" w:hAnsi="Abadi" w:cs="Arial"/>
          <w:sz w:val="21"/>
          <w:szCs w:val="21"/>
          <w:lang w:val="es-MX" w:eastAsia="x-none"/>
        </w:rPr>
      </w:pPr>
    </w:p>
    <w:p w14:paraId="316242CB"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21A930FA" w14:textId="77777777" w:rsidR="001A28E5" w:rsidRPr="001A28E5" w:rsidRDefault="001A28E5" w:rsidP="001A28E5">
      <w:pPr>
        <w:ind w:firstLine="708"/>
        <w:jc w:val="both"/>
        <w:rPr>
          <w:rFonts w:ascii="Abadi" w:hAnsi="Abadi" w:cs="Arial"/>
          <w:sz w:val="21"/>
          <w:szCs w:val="21"/>
          <w:lang w:val="es-MX" w:eastAsia="x-none"/>
        </w:rPr>
      </w:pPr>
    </w:p>
    <w:p w14:paraId="72C8A861"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No será impedimento para que la Auditoría Superior del Estado realice la función de fiscalización, si la cuenta pública no está presentada y disponible en los plazos y requisitos señalados en la ley.</w:t>
      </w:r>
    </w:p>
    <w:p w14:paraId="16F08EF9" w14:textId="77777777" w:rsidR="001A28E5" w:rsidRPr="001A28E5" w:rsidRDefault="001A28E5" w:rsidP="001A28E5">
      <w:pPr>
        <w:ind w:firstLine="708"/>
        <w:jc w:val="both"/>
        <w:rPr>
          <w:rFonts w:ascii="Abadi" w:hAnsi="Abadi" w:cs="Arial"/>
          <w:sz w:val="21"/>
          <w:szCs w:val="21"/>
          <w:lang w:val="es-MX" w:eastAsia="x-none"/>
        </w:rPr>
      </w:pPr>
    </w:p>
    <w:p w14:paraId="25A99224"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1A28E5">
          <w:rPr>
            <w:rFonts w:ascii="Abadi" w:hAnsi="Abadi" w:cs="Arial"/>
            <w:sz w:val="21"/>
            <w:szCs w:val="21"/>
            <w:lang w:val="es-MX" w:eastAsia="x-none"/>
          </w:rPr>
          <w:t>la Ley Orgánica</w:t>
        </w:r>
      </w:smartTag>
      <w:r w:rsidRPr="001A28E5">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1C9836E4" w14:textId="77777777" w:rsidR="001A28E5" w:rsidRPr="001A28E5" w:rsidRDefault="001A28E5" w:rsidP="001A28E5">
      <w:pPr>
        <w:jc w:val="both"/>
        <w:rPr>
          <w:rFonts w:ascii="Abadi" w:hAnsi="Abadi" w:cs="Arial"/>
          <w:sz w:val="21"/>
          <w:szCs w:val="21"/>
          <w:lang w:val="es-MX" w:eastAsia="x-none"/>
        </w:rPr>
      </w:pPr>
    </w:p>
    <w:p w14:paraId="167E80BA" w14:textId="77777777" w:rsidR="001A28E5" w:rsidRPr="001A28E5" w:rsidRDefault="001A28E5" w:rsidP="001A28E5">
      <w:pPr>
        <w:ind w:right="60" w:firstLine="709"/>
        <w:jc w:val="both"/>
        <w:rPr>
          <w:rFonts w:ascii="Abadi" w:hAnsi="Abadi" w:cs="Arial"/>
          <w:sz w:val="21"/>
          <w:szCs w:val="21"/>
          <w:lang w:val="es-MX" w:eastAsia="x-none"/>
        </w:rPr>
      </w:pPr>
      <w:r w:rsidRPr="001A28E5">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0E1D2662" w14:textId="77777777" w:rsidR="001A28E5" w:rsidRPr="001A28E5" w:rsidRDefault="001A28E5" w:rsidP="001A28E5">
      <w:pPr>
        <w:ind w:right="58" w:firstLine="709"/>
        <w:jc w:val="both"/>
        <w:rPr>
          <w:rFonts w:ascii="Abadi" w:eastAsia="DejaVu Sans" w:hAnsi="Abadi" w:cs="Tahoma"/>
          <w:iCs/>
          <w:kern w:val="1"/>
          <w:sz w:val="21"/>
          <w:szCs w:val="21"/>
          <w:lang w:eastAsia="ar-SA"/>
        </w:rPr>
      </w:pPr>
    </w:p>
    <w:p w14:paraId="0F5623AB"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76A31515" w14:textId="77777777" w:rsidR="001A28E5" w:rsidRPr="001A28E5" w:rsidRDefault="001A28E5" w:rsidP="001A28E5">
      <w:pPr>
        <w:ind w:firstLine="708"/>
        <w:jc w:val="both"/>
        <w:rPr>
          <w:rFonts w:ascii="Abadi" w:hAnsi="Abadi" w:cs="Arial"/>
          <w:sz w:val="21"/>
          <w:szCs w:val="21"/>
          <w:lang w:val="es-MX" w:eastAsia="x-none"/>
        </w:rPr>
      </w:pPr>
    </w:p>
    <w:p w14:paraId="696CCF25"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0E53BCD9" w14:textId="77777777" w:rsidR="001A28E5" w:rsidRPr="001A28E5" w:rsidRDefault="001A28E5" w:rsidP="001A28E5">
      <w:pPr>
        <w:ind w:firstLine="708"/>
        <w:jc w:val="both"/>
        <w:rPr>
          <w:rFonts w:ascii="Abadi" w:hAnsi="Abadi" w:cs="Arial"/>
          <w:sz w:val="21"/>
          <w:szCs w:val="21"/>
          <w:lang w:val="es-MX" w:eastAsia="x-none"/>
        </w:rPr>
      </w:pPr>
    </w:p>
    <w:p w14:paraId="3D8094B8" w14:textId="77777777" w:rsidR="001A28E5" w:rsidRPr="001A28E5" w:rsidRDefault="001A28E5" w:rsidP="001A28E5">
      <w:pPr>
        <w:ind w:right="60" w:firstLine="709"/>
        <w:jc w:val="both"/>
        <w:rPr>
          <w:rFonts w:ascii="Abadi" w:hAnsi="Abadi" w:cs="Arial"/>
          <w:sz w:val="21"/>
          <w:szCs w:val="21"/>
          <w:lang w:val="es-MX" w:eastAsia="x-none"/>
        </w:rPr>
      </w:pPr>
      <w:r w:rsidRPr="001A28E5">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08D6200D" w14:textId="77777777" w:rsidR="001A28E5" w:rsidRPr="001A28E5" w:rsidRDefault="001A28E5" w:rsidP="001A28E5">
      <w:pPr>
        <w:ind w:firstLine="708"/>
        <w:jc w:val="both"/>
        <w:rPr>
          <w:rFonts w:ascii="Abadi" w:hAnsi="Abadi" w:cs="Arial"/>
          <w:sz w:val="21"/>
          <w:szCs w:val="21"/>
          <w:lang w:eastAsia="x-none"/>
        </w:rPr>
      </w:pPr>
    </w:p>
    <w:p w14:paraId="199857F6"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0473258E" w14:textId="77777777" w:rsidR="001A28E5" w:rsidRPr="001A28E5" w:rsidRDefault="001A28E5" w:rsidP="001A28E5">
      <w:pPr>
        <w:ind w:firstLine="708"/>
        <w:jc w:val="both"/>
        <w:rPr>
          <w:rFonts w:ascii="Abadi" w:hAnsi="Abadi" w:cs="Arial"/>
          <w:sz w:val="21"/>
          <w:szCs w:val="21"/>
          <w:lang w:val="es-MX" w:eastAsia="x-none"/>
        </w:rPr>
      </w:pPr>
    </w:p>
    <w:p w14:paraId="50745A01" w14:textId="77777777" w:rsidR="001A28E5" w:rsidRPr="001A28E5" w:rsidRDefault="001A28E5" w:rsidP="001A28E5">
      <w:pPr>
        <w:tabs>
          <w:tab w:val="left" w:pos="709"/>
        </w:tabs>
        <w:jc w:val="both"/>
        <w:rPr>
          <w:rFonts w:ascii="Abadi" w:hAnsi="Abadi" w:cs="Arial"/>
          <w:sz w:val="21"/>
          <w:szCs w:val="21"/>
          <w:lang w:val="es-MX" w:eastAsia="x-none"/>
        </w:rPr>
      </w:pPr>
      <w:r w:rsidRPr="001A28E5">
        <w:rPr>
          <w:rFonts w:ascii="Abadi" w:hAnsi="Abadi" w:cs="Arial"/>
          <w:sz w:val="21"/>
          <w:szCs w:val="21"/>
        </w:rPr>
        <w:tab/>
        <w:t xml:space="preserve">El citado artículo también refiere </w:t>
      </w:r>
      <w:r w:rsidRPr="001A28E5">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1AADB2A8" w14:textId="77777777" w:rsidR="001A28E5" w:rsidRPr="001A28E5" w:rsidRDefault="001A28E5" w:rsidP="001A28E5">
      <w:pPr>
        <w:tabs>
          <w:tab w:val="left" w:pos="709"/>
        </w:tabs>
        <w:jc w:val="both"/>
        <w:rPr>
          <w:rFonts w:ascii="Abadi" w:hAnsi="Abadi" w:cs="Arial"/>
          <w:sz w:val="21"/>
          <w:szCs w:val="21"/>
          <w:lang w:val="es-MX" w:eastAsia="x-none"/>
        </w:rPr>
      </w:pPr>
      <w:r w:rsidRPr="001A28E5">
        <w:rPr>
          <w:rFonts w:ascii="Abadi" w:hAnsi="Abadi" w:cs="Arial"/>
          <w:sz w:val="21"/>
          <w:szCs w:val="21"/>
          <w:lang w:val="es-MX" w:eastAsia="x-none"/>
        </w:rPr>
        <w:tab/>
        <w:t xml:space="preserve">En términos del numeral 23 de la </w:t>
      </w:r>
      <w:r w:rsidRPr="001A28E5">
        <w:rPr>
          <w:rFonts w:ascii="Abadi" w:hAnsi="Abadi" w:cs="Arial"/>
          <w:sz w:val="21"/>
          <w:szCs w:val="21"/>
        </w:rPr>
        <w:t>Ley de Fiscalización Superior del Estado de Guanajuato, p</w:t>
      </w:r>
      <w:r w:rsidRPr="001A28E5">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14AB85CA" w14:textId="77777777" w:rsidR="001A28E5" w:rsidRPr="001A28E5" w:rsidRDefault="001A28E5" w:rsidP="001A28E5">
      <w:pPr>
        <w:tabs>
          <w:tab w:val="left" w:pos="709"/>
        </w:tabs>
        <w:jc w:val="both"/>
        <w:rPr>
          <w:rFonts w:ascii="Abadi" w:hAnsi="Abadi" w:cs="Arial"/>
          <w:sz w:val="21"/>
          <w:szCs w:val="21"/>
          <w:lang w:val="es-MX" w:eastAsia="x-none"/>
        </w:rPr>
      </w:pPr>
    </w:p>
    <w:p w14:paraId="1338570D"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737037D4" w14:textId="77777777" w:rsidR="001A28E5" w:rsidRPr="001A28E5" w:rsidRDefault="001A28E5" w:rsidP="001A28E5">
      <w:pPr>
        <w:ind w:firstLine="708"/>
        <w:jc w:val="both"/>
        <w:rPr>
          <w:rFonts w:ascii="Abadi" w:hAnsi="Abadi" w:cs="Arial"/>
          <w:sz w:val="21"/>
          <w:szCs w:val="21"/>
          <w:lang w:val="es-MX" w:eastAsia="x-none"/>
        </w:rPr>
      </w:pPr>
    </w:p>
    <w:p w14:paraId="331AC35E"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En cumplimiento a los citados preceptos, en su oportunidad se remitió a este Congreso del Estado, la cuenta pública municipal de León, Gto., correspondiente al ejercicio fiscal del año 2020, turnándose a la Auditoría Superior del Estado para su revisión.</w:t>
      </w:r>
    </w:p>
    <w:p w14:paraId="24C5B0A9" w14:textId="77777777" w:rsidR="001A28E5" w:rsidRPr="001A28E5" w:rsidRDefault="001A28E5" w:rsidP="001A28E5">
      <w:pPr>
        <w:ind w:firstLine="708"/>
        <w:jc w:val="both"/>
        <w:rPr>
          <w:rFonts w:ascii="Abadi" w:hAnsi="Abadi" w:cs="Arial"/>
          <w:sz w:val="21"/>
          <w:szCs w:val="21"/>
          <w:lang w:val="es-MX" w:eastAsia="x-none"/>
        </w:rPr>
      </w:pPr>
    </w:p>
    <w:p w14:paraId="4F17101F" w14:textId="77777777" w:rsidR="001A28E5" w:rsidRPr="001A28E5" w:rsidRDefault="001A28E5" w:rsidP="001A28E5">
      <w:pPr>
        <w:ind w:firstLine="708"/>
        <w:jc w:val="both"/>
        <w:rPr>
          <w:rFonts w:ascii="Abadi" w:hAnsi="Abadi" w:cs="Arial"/>
          <w:sz w:val="21"/>
          <w:szCs w:val="21"/>
          <w:lang w:eastAsia="x-none"/>
        </w:rPr>
      </w:pPr>
      <w:r w:rsidRPr="001A28E5">
        <w:rPr>
          <w:rFonts w:ascii="Abadi" w:hAnsi="Abadi" w:cs="Arial"/>
          <w:sz w:val="21"/>
          <w:szCs w:val="21"/>
          <w:lang w:eastAsia="x-none"/>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42D24F1A" w14:textId="77777777" w:rsidR="001A28E5" w:rsidRPr="001A28E5" w:rsidRDefault="001A28E5" w:rsidP="001A28E5">
      <w:pPr>
        <w:ind w:firstLine="708"/>
        <w:jc w:val="both"/>
        <w:rPr>
          <w:rFonts w:ascii="Abadi" w:hAnsi="Abadi" w:cs="Arial"/>
          <w:sz w:val="21"/>
          <w:szCs w:val="21"/>
          <w:lang w:val="es-MX" w:eastAsia="x-none"/>
        </w:rPr>
      </w:pPr>
    </w:p>
    <w:p w14:paraId="19316A1F"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En ejercicio de esta función, el Auditor Superior del Estado aprobó el Programa General de Fiscalización 2021. En dicho Programa se contempló la revisión de la cuenta pública municipal de León, Gto., correspondiente al ejercicio fiscal del año 2020.</w:t>
      </w:r>
    </w:p>
    <w:p w14:paraId="17C0DA4A" w14:textId="77777777" w:rsidR="001A28E5" w:rsidRPr="001A28E5" w:rsidRDefault="001A28E5" w:rsidP="001A28E5">
      <w:pPr>
        <w:ind w:firstLine="708"/>
        <w:jc w:val="both"/>
        <w:rPr>
          <w:rFonts w:ascii="Abadi" w:hAnsi="Abadi" w:cs="Arial"/>
          <w:sz w:val="21"/>
          <w:szCs w:val="21"/>
          <w:lang w:val="es-MX" w:eastAsia="x-none"/>
        </w:rPr>
      </w:pPr>
    </w:p>
    <w:p w14:paraId="5C83171B" w14:textId="77777777" w:rsidR="001A28E5" w:rsidRPr="001A28E5" w:rsidRDefault="001A28E5" w:rsidP="001A28E5">
      <w:pPr>
        <w:ind w:firstLine="708"/>
        <w:jc w:val="both"/>
        <w:rPr>
          <w:rFonts w:ascii="Abadi" w:hAnsi="Abadi" w:cs="Arial"/>
          <w:bCs/>
          <w:sz w:val="21"/>
          <w:szCs w:val="21"/>
          <w:lang w:val="es-MX" w:eastAsia="x-none"/>
        </w:rPr>
      </w:pPr>
      <w:r w:rsidRPr="001A28E5">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1A28E5">
        <w:rPr>
          <w:rFonts w:ascii="Abadi" w:hAnsi="Abadi" w:cs="Arial"/>
          <w:bCs/>
          <w:sz w:val="21"/>
          <w:szCs w:val="21"/>
          <w:lang w:val="es-MX" w:eastAsia="x-none"/>
        </w:rPr>
        <w:t>el 26 de mayo de 2022 para su estudio y dictamen,</w:t>
      </w:r>
      <w:r w:rsidRPr="001A28E5">
        <w:rPr>
          <w:rFonts w:ascii="Abadi" w:hAnsi="Abadi" w:cs="Arial"/>
          <w:b/>
          <w:sz w:val="21"/>
          <w:szCs w:val="21"/>
          <w:lang w:val="es-MX" w:eastAsia="x-none"/>
        </w:rPr>
        <w:t xml:space="preserve"> </w:t>
      </w:r>
      <w:r w:rsidRPr="001A28E5">
        <w:rPr>
          <w:rFonts w:ascii="Abadi" w:hAnsi="Abadi" w:cs="Arial"/>
          <w:bCs/>
          <w:sz w:val="21"/>
          <w:szCs w:val="21"/>
          <w:lang w:val="es-MX" w:eastAsia="x-none"/>
        </w:rPr>
        <w:t>siendo radicado el 2 de junio del año en curso.</w:t>
      </w:r>
    </w:p>
    <w:p w14:paraId="2C1A58ED" w14:textId="77777777" w:rsidR="001A28E5" w:rsidRPr="001A28E5" w:rsidRDefault="001A28E5" w:rsidP="001A28E5">
      <w:pPr>
        <w:ind w:firstLine="708"/>
        <w:jc w:val="both"/>
        <w:rPr>
          <w:rFonts w:ascii="Abadi" w:hAnsi="Abadi" w:cs="Arial"/>
          <w:b/>
          <w:sz w:val="21"/>
          <w:szCs w:val="21"/>
          <w:lang w:val="es-MX" w:eastAsia="x-none"/>
        </w:rPr>
      </w:pPr>
    </w:p>
    <w:p w14:paraId="09D24814" w14:textId="77777777" w:rsidR="001A28E5" w:rsidRPr="001A28E5" w:rsidRDefault="001A28E5" w:rsidP="001A28E5">
      <w:pPr>
        <w:ind w:firstLine="708"/>
        <w:jc w:val="both"/>
        <w:rPr>
          <w:rFonts w:ascii="Abadi" w:hAnsi="Abadi" w:cs="Arial"/>
          <w:sz w:val="21"/>
          <w:szCs w:val="21"/>
          <w:lang w:val="es-MX" w:eastAsia="x-none"/>
        </w:rPr>
      </w:pPr>
    </w:p>
    <w:p w14:paraId="6323E1C8" w14:textId="77777777" w:rsidR="001A28E5" w:rsidRPr="001A28E5" w:rsidRDefault="001A28E5" w:rsidP="001A28E5">
      <w:pPr>
        <w:ind w:firstLine="708"/>
        <w:jc w:val="both"/>
        <w:rPr>
          <w:rFonts w:ascii="Abadi" w:hAnsi="Abadi" w:cs="Arial"/>
          <w:b/>
          <w:bCs/>
          <w:sz w:val="21"/>
          <w:szCs w:val="21"/>
          <w:lang w:val="es-MX" w:eastAsia="x-none"/>
        </w:rPr>
      </w:pPr>
      <w:r w:rsidRPr="001A28E5">
        <w:rPr>
          <w:rFonts w:ascii="Abadi" w:hAnsi="Abadi" w:cs="Arial"/>
          <w:b/>
          <w:bCs/>
          <w:sz w:val="21"/>
          <w:szCs w:val="21"/>
          <w:lang w:val="es-MX" w:eastAsia="x-none"/>
        </w:rPr>
        <w:t>III. Procedimiento de Revisión:</w:t>
      </w:r>
    </w:p>
    <w:p w14:paraId="7299B089" w14:textId="77777777" w:rsidR="001A28E5" w:rsidRPr="001A28E5" w:rsidRDefault="001A28E5" w:rsidP="001A28E5">
      <w:pPr>
        <w:ind w:firstLine="708"/>
        <w:jc w:val="both"/>
        <w:rPr>
          <w:rFonts w:ascii="Abadi" w:hAnsi="Abadi" w:cs="Arial"/>
          <w:sz w:val="21"/>
          <w:szCs w:val="21"/>
          <w:lang w:val="es-MX" w:eastAsia="x-none"/>
        </w:rPr>
      </w:pPr>
    </w:p>
    <w:p w14:paraId="0D1673C7"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La revisión de la cuenta pública municipal de León, Gto.,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31646472" w14:textId="77777777" w:rsidR="001A28E5" w:rsidRPr="001A28E5" w:rsidRDefault="001A28E5" w:rsidP="001A28E5">
      <w:pPr>
        <w:ind w:firstLine="708"/>
        <w:jc w:val="both"/>
        <w:rPr>
          <w:rFonts w:ascii="Abadi" w:hAnsi="Abadi" w:cs="Arial"/>
          <w:sz w:val="21"/>
          <w:szCs w:val="21"/>
          <w:lang w:eastAsia="x-none"/>
        </w:rPr>
      </w:pPr>
    </w:p>
    <w:p w14:paraId="736E4A5E"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6927F9FF" w14:textId="77777777" w:rsidR="001A28E5" w:rsidRPr="001A28E5" w:rsidRDefault="001A28E5" w:rsidP="001A28E5">
      <w:pPr>
        <w:ind w:firstLine="708"/>
        <w:jc w:val="both"/>
        <w:rPr>
          <w:rFonts w:ascii="Abadi" w:hAnsi="Abadi" w:cs="Arial"/>
          <w:sz w:val="21"/>
          <w:szCs w:val="21"/>
          <w:lang w:val="es-MX" w:eastAsia="x-none"/>
        </w:rPr>
      </w:pPr>
    </w:p>
    <w:p w14:paraId="58953F87" w14:textId="5EFD61D6" w:rsid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399F3D72" w14:textId="77777777" w:rsidR="001A28E5" w:rsidRPr="001A28E5" w:rsidRDefault="001A28E5" w:rsidP="001A28E5">
      <w:pPr>
        <w:ind w:firstLine="708"/>
        <w:jc w:val="both"/>
        <w:rPr>
          <w:rFonts w:ascii="Abadi" w:hAnsi="Abadi" w:cs="Arial"/>
          <w:sz w:val="21"/>
          <w:szCs w:val="21"/>
          <w:lang w:val="es-MX" w:eastAsia="x-none"/>
        </w:rPr>
      </w:pPr>
    </w:p>
    <w:p w14:paraId="70B308D0"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1F660D8C" w14:textId="77777777" w:rsidR="001A28E5" w:rsidRPr="001A28E5" w:rsidRDefault="001A28E5" w:rsidP="001A28E5">
      <w:pPr>
        <w:ind w:firstLine="708"/>
        <w:jc w:val="both"/>
        <w:rPr>
          <w:rFonts w:ascii="Abadi" w:hAnsi="Abadi" w:cs="Arial"/>
          <w:sz w:val="21"/>
          <w:szCs w:val="21"/>
          <w:lang w:val="es-MX" w:eastAsia="x-none"/>
        </w:rPr>
      </w:pPr>
    </w:p>
    <w:p w14:paraId="2922829C" w14:textId="77777777" w:rsidR="001A28E5" w:rsidRPr="001A28E5" w:rsidRDefault="001A28E5" w:rsidP="001A28E5">
      <w:pPr>
        <w:ind w:firstLine="705"/>
        <w:jc w:val="both"/>
        <w:rPr>
          <w:rFonts w:ascii="Abadi" w:hAnsi="Abadi" w:cs="Arial"/>
          <w:sz w:val="21"/>
          <w:szCs w:val="21"/>
          <w:lang w:val="es-MX" w:eastAsia="x-none"/>
        </w:rPr>
      </w:pPr>
      <w:r w:rsidRPr="001A28E5">
        <w:rPr>
          <w:rFonts w:ascii="Abadi" w:hAnsi="Abadi" w:cs="Arial"/>
          <w:sz w:val="21"/>
          <w:szCs w:val="21"/>
          <w:lang w:val="es-MX" w:eastAsia="x-none"/>
        </w:rPr>
        <w:t>El informe de resultados establece que se practicó la revisión de la cuenta pública respecto de las operaciones realizadas por la administración municipal de León, Gto., correspondientes al ejercicio fiscal 2020, en lo referente a los apartados de ingresos y egresos; así como a las operaciones realizadas por el Sistema de Agua Potable y Alcantarillado de León, en el rubro de egresos.</w:t>
      </w:r>
    </w:p>
    <w:p w14:paraId="2BF970D7" w14:textId="77777777" w:rsidR="001A28E5" w:rsidRPr="001A28E5" w:rsidRDefault="001A28E5" w:rsidP="001A28E5">
      <w:pPr>
        <w:ind w:firstLine="705"/>
        <w:jc w:val="both"/>
        <w:rPr>
          <w:rFonts w:ascii="Abadi" w:hAnsi="Abadi" w:cs="Arial"/>
          <w:sz w:val="21"/>
          <w:szCs w:val="21"/>
          <w:lang w:val="es-MX" w:eastAsia="x-none"/>
        </w:rPr>
      </w:pPr>
    </w:p>
    <w:p w14:paraId="4EDB0FEB" w14:textId="5D4D56B0" w:rsidR="001A28E5" w:rsidRPr="001A28E5" w:rsidRDefault="001A28E5" w:rsidP="001A28E5">
      <w:pPr>
        <w:autoSpaceDE w:val="0"/>
        <w:autoSpaceDN w:val="0"/>
        <w:adjustRightInd w:val="0"/>
        <w:ind w:firstLine="708"/>
        <w:jc w:val="both"/>
        <w:rPr>
          <w:rFonts w:ascii="Abadi" w:hAnsi="Abadi" w:cs="Arial"/>
          <w:sz w:val="21"/>
          <w:szCs w:val="21"/>
          <w:lang w:val="es-MX" w:eastAsia="x-none"/>
        </w:rPr>
      </w:pPr>
      <w:r w:rsidRPr="001A28E5">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44FE96B8" w14:textId="77777777" w:rsidR="001A28E5" w:rsidRPr="001A28E5" w:rsidRDefault="001A28E5" w:rsidP="001A28E5">
      <w:pPr>
        <w:ind w:firstLine="708"/>
        <w:jc w:val="both"/>
        <w:rPr>
          <w:rFonts w:ascii="Abadi" w:hAnsi="Abadi" w:cs="Arial"/>
          <w:sz w:val="21"/>
          <w:szCs w:val="21"/>
          <w:lang w:val="es-MX" w:eastAsia="x-none"/>
        </w:rPr>
      </w:pPr>
    </w:p>
    <w:p w14:paraId="75E8F458"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04F2DC91" w14:textId="77777777" w:rsidR="001A28E5" w:rsidRPr="001A28E5" w:rsidRDefault="001A28E5" w:rsidP="001A28E5">
      <w:pPr>
        <w:ind w:firstLine="708"/>
        <w:jc w:val="both"/>
        <w:rPr>
          <w:rFonts w:ascii="Abadi" w:hAnsi="Abadi" w:cs="Arial"/>
          <w:sz w:val="21"/>
          <w:szCs w:val="21"/>
          <w:lang w:val="es-MX" w:eastAsia="x-none"/>
        </w:rPr>
      </w:pPr>
    </w:p>
    <w:p w14:paraId="74045F3E" w14:textId="77777777" w:rsidR="001A28E5" w:rsidRPr="001A28E5" w:rsidRDefault="001A28E5" w:rsidP="001A28E5">
      <w:pPr>
        <w:ind w:firstLine="708"/>
        <w:jc w:val="both"/>
        <w:rPr>
          <w:rFonts w:ascii="Abadi" w:hAnsi="Abadi" w:cs="Arial"/>
          <w:sz w:val="21"/>
          <w:szCs w:val="21"/>
        </w:rPr>
      </w:pPr>
      <w:r w:rsidRPr="001A28E5">
        <w:rPr>
          <w:rFonts w:ascii="Abadi" w:hAnsi="Abadi" w:cs="Arial"/>
          <w:sz w:val="21"/>
          <w:szCs w:val="21"/>
        </w:rPr>
        <w:t>El 23 de junio de 2021 se notificó al presidente municipal de León, Gto., la orden de inicio del procedimiento de revisión de la cuenta pública.</w:t>
      </w:r>
    </w:p>
    <w:p w14:paraId="66C6D30B" w14:textId="77777777" w:rsidR="001A28E5" w:rsidRPr="001A28E5" w:rsidRDefault="001A28E5" w:rsidP="001A28E5">
      <w:pPr>
        <w:ind w:firstLine="708"/>
        <w:jc w:val="both"/>
        <w:rPr>
          <w:rFonts w:ascii="Abadi" w:hAnsi="Abadi" w:cs="Arial"/>
          <w:sz w:val="21"/>
          <w:szCs w:val="21"/>
        </w:rPr>
      </w:pPr>
    </w:p>
    <w:p w14:paraId="749B4135" w14:textId="77777777" w:rsidR="001A28E5" w:rsidRPr="001A28E5" w:rsidRDefault="001A28E5" w:rsidP="001A28E5">
      <w:pPr>
        <w:ind w:firstLine="708"/>
        <w:jc w:val="both"/>
        <w:rPr>
          <w:rFonts w:ascii="Abadi" w:hAnsi="Abadi" w:cs="Arial"/>
          <w:sz w:val="21"/>
          <w:szCs w:val="21"/>
        </w:rPr>
      </w:pPr>
      <w:r w:rsidRPr="001A28E5">
        <w:rPr>
          <w:rFonts w:ascii="Abadi" w:hAnsi="Abadi" w:cs="Arial"/>
          <w:sz w:val="21"/>
          <w:szCs w:val="21"/>
        </w:rPr>
        <w:t>Posteriormente, en fechas 1 de diciembre de 2021 y 7 de enero de 2022 se notificó a la presidenta y al ex-presidente municipales de León, Gto., la suspensión del plazo de la revisión materia del presente dictamen, de conformidad con lo establecido en los Acuerdos de Suspensión de Plazos publicados en el Periódico Oficial del Gobierno del Estado de Guanajuato los días 19 de noviembre y 17 de diciembre de 2021.</w:t>
      </w:r>
    </w:p>
    <w:p w14:paraId="032183E5" w14:textId="77777777" w:rsidR="001A28E5" w:rsidRPr="001A28E5" w:rsidRDefault="001A28E5" w:rsidP="001A28E5">
      <w:pPr>
        <w:ind w:firstLine="708"/>
        <w:jc w:val="both"/>
        <w:rPr>
          <w:rFonts w:ascii="Abadi" w:hAnsi="Abadi" w:cs="Arial"/>
          <w:sz w:val="21"/>
          <w:szCs w:val="21"/>
        </w:rPr>
      </w:pPr>
    </w:p>
    <w:p w14:paraId="37CDA290" w14:textId="77777777" w:rsidR="001A28E5" w:rsidRPr="001A28E5" w:rsidRDefault="001A28E5" w:rsidP="001A28E5">
      <w:pPr>
        <w:ind w:firstLine="708"/>
        <w:jc w:val="both"/>
        <w:rPr>
          <w:rFonts w:ascii="Abadi" w:hAnsi="Abadi" w:cs="Arial"/>
          <w:sz w:val="21"/>
          <w:szCs w:val="21"/>
        </w:rPr>
      </w:pPr>
      <w:r w:rsidRPr="001A28E5">
        <w:rPr>
          <w:rFonts w:ascii="Abadi" w:hAnsi="Abadi" w:cs="Arial"/>
          <w:sz w:val="21"/>
          <w:szCs w:val="21"/>
        </w:rPr>
        <w:t>El 7 de marzo de 2022, se notificó a la presidenta y al ex-presidente municipales de León, Gto., el pliego de observaciones y recomendaciones derivado de la revisión practicada a la cuenta pública municipal de León, Gto., correspondiente al ejercicio fiscal del año 2020, al cual se dio respuesta el 30 de marzo por parte de la tesorera municipal de León, Gto.</w:t>
      </w:r>
    </w:p>
    <w:p w14:paraId="66E234E5" w14:textId="77777777" w:rsidR="001A28E5" w:rsidRPr="001A28E5" w:rsidRDefault="001A28E5" w:rsidP="001A28E5">
      <w:pPr>
        <w:ind w:firstLine="708"/>
        <w:jc w:val="both"/>
        <w:rPr>
          <w:rFonts w:ascii="Abadi" w:hAnsi="Abadi" w:cs="Arial"/>
          <w:sz w:val="21"/>
          <w:szCs w:val="21"/>
        </w:rPr>
      </w:pPr>
    </w:p>
    <w:p w14:paraId="0F142A15"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 xml:space="preserve">El 20 de abril de 2022, el informe de resultados se notificó a la presidenta y al ex-presidente municipales de León, Gto., para que, en su caso, hicieran valer el recurso de reconsideración previsto por los artículos del 48 al 55 de </w:t>
      </w:r>
      <w:smartTag w:uri="urn:schemas-microsoft-com:office:smarttags" w:element="PersonName">
        <w:smartTagPr>
          <w:attr w:name="ProductID" w:val="la Ley"/>
        </w:smartTagPr>
        <w:r w:rsidRPr="001A28E5">
          <w:rPr>
            <w:rFonts w:ascii="Abadi" w:hAnsi="Abadi" w:cs="Arial"/>
            <w:sz w:val="21"/>
            <w:szCs w:val="21"/>
            <w:lang w:val="es-MX" w:eastAsia="x-none"/>
          </w:rPr>
          <w:t>la Ley</w:t>
        </w:r>
      </w:smartTag>
      <w:r w:rsidRPr="001A28E5">
        <w:rPr>
          <w:rFonts w:ascii="Abadi" w:hAnsi="Abadi" w:cs="Arial"/>
          <w:sz w:val="21"/>
          <w:szCs w:val="21"/>
          <w:lang w:val="es-MX" w:eastAsia="x-none"/>
        </w:rPr>
        <w:t xml:space="preserve"> de Fiscalización Superior del Estado de Guanajuato, haciéndoles saber que contaban con un término de cinco días hábiles para tal efecto. Con lo anterior, se dio cumplimiento a la fracción IV del artículo 37 de la citada Ley.</w:t>
      </w:r>
    </w:p>
    <w:p w14:paraId="3069F7DD" w14:textId="77777777" w:rsidR="001A28E5" w:rsidRPr="001A28E5" w:rsidRDefault="001A28E5" w:rsidP="001A28E5">
      <w:pPr>
        <w:jc w:val="both"/>
        <w:rPr>
          <w:rFonts w:ascii="Abadi" w:hAnsi="Abadi" w:cs="Arial"/>
          <w:sz w:val="21"/>
          <w:szCs w:val="21"/>
          <w:lang w:val="es-MX" w:eastAsia="x-none"/>
        </w:rPr>
      </w:pPr>
    </w:p>
    <w:p w14:paraId="6C569A2C"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 xml:space="preserve">En fechas 26 y 27 de abril de 2022, dentro del plazo que prevé la fracción IV del artículo 37 de </w:t>
      </w:r>
      <w:smartTag w:uri="urn:schemas-microsoft-com:office:smarttags" w:element="PersonName">
        <w:smartTagPr>
          <w:attr w:name="ProductID" w:val="la Ley"/>
        </w:smartTagPr>
        <w:r w:rsidRPr="001A28E5">
          <w:rPr>
            <w:rFonts w:ascii="Abadi" w:hAnsi="Abadi" w:cs="Arial"/>
            <w:sz w:val="21"/>
            <w:szCs w:val="21"/>
            <w:lang w:val="es-MX" w:eastAsia="x-none"/>
          </w:rPr>
          <w:t>la Ley</w:t>
        </w:r>
      </w:smartTag>
      <w:r w:rsidRPr="001A28E5">
        <w:rPr>
          <w:rFonts w:ascii="Abadi" w:hAnsi="Abadi" w:cs="Arial"/>
          <w:sz w:val="21"/>
          <w:szCs w:val="21"/>
          <w:lang w:val="es-MX" w:eastAsia="x-none"/>
        </w:rPr>
        <w:t xml:space="preserve"> de Fiscalización Superior del Estado de Guanajuato, el ex-presidente y la presidenta municipales de León, Gto., interpusieron recursos de reconsideración en contra del informe de resultados de la revisión practicada a la cuenta pública de dicho Municipio, correspondiente al ejercicio fiscal del año 2020, siendo admitidos dichos recursos, al colmarse los requisitos de procedibilidad previstos por el artículo 51 de </w:t>
      </w:r>
      <w:smartTag w:uri="urn:schemas-microsoft-com:office:smarttags" w:element="PersonName">
        <w:smartTagPr>
          <w:attr w:name="ProductID" w:val="la Ley"/>
        </w:smartTagPr>
        <w:r w:rsidRPr="001A28E5">
          <w:rPr>
            <w:rFonts w:ascii="Abadi" w:hAnsi="Abadi" w:cs="Arial"/>
            <w:sz w:val="21"/>
            <w:szCs w:val="21"/>
            <w:lang w:val="es-MX" w:eastAsia="x-none"/>
          </w:rPr>
          <w:t>la Ley</w:t>
        </w:r>
      </w:smartTag>
      <w:r w:rsidRPr="001A28E5">
        <w:rPr>
          <w:rFonts w:ascii="Abadi" w:hAnsi="Abadi" w:cs="Arial"/>
          <w:sz w:val="21"/>
          <w:szCs w:val="21"/>
          <w:lang w:val="es-MX" w:eastAsia="x-none"/>
        </w:rPr>
        <w:t xml:space="preserve"> de Fiscalización Superior del Estado de Guanajuato.</w:t>
      </w:r>
    </w:p>
    <w:p w14:paraId="51656F5D" w14:textId="77777777" w:rsidR="001A28E5" w:rsidRPr="001A28E5" w:rsidRDefault="001A28E5" w:rsidP="001A28E5">
      <w:pPr>
        <w:ind w:firstLine="708"/>
        <w:jc w:val="both"/>
        <w:rPr>
          <w:rFonts w:ascii="Abadi" w:hAnsi="Abadi"/>
          <w:sz w:val="21"/>
          <w:szCs w:val="21"/>
        </w:rPr>
      </w:pPr>
    </w:p>
    <w:p w14:paraId="3B6E137C"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Una vez tramitados los recursos, el Auditor Superior el 17 de mayo de 2022 emitió la resolución correspondiente, a la cual haremos referencia en un apartado posterior, misma que se notificó a la presidenta y al ex-presidente municipales de León, Gto., el 18 de mayo de 2022.</w:t>
      </w:r>
    </w:p>
    <w:p w14:paraId="08EE4794" w14:textId="77777777" w:rsidR="001A28E5" w:rsidRPr="001A28E5" w:rsidRDefault="001A28E5" w:rsidP="001A28E5">
      <w:pPr>
        <w:ind w:firstLine="708"/>
        <w:jc w:val="both"/>
        <w:rPr>
          <w:rFonts w:ascii="Abadi" w:hAnsi="Abadi" w:cs="Arial"/>
          <w:sz w:val="21"/>
          <w:szCs w:val="21"/>
          <w:lang w:val="es-MX" w:eastAsia="x-none"/>
        </w:rPr>
      </w:pPr>
    </w:p>
    <w:p w14:paraId="383CAFD7" w14:textId="77777777" w:rsidR="001A28E5" w:rsidRPr="001A28E5" w:rsidRDefault="001A28E5" w:rsidP="001A28E5">
      <w:pPr>
        <w:ind w:firstLine="708"/>
        <w:jc w:val="both"/>
        <w:rPr>
          <w:rFonts w:ascii="Abadi" w:hAnsi="Abadi" w:cs="Arial"/>
          <w:b/>
          <w:bCs/>
          <w:sz w:val="21"/>
          <w:szCs w:val="21"/>
          <w:lang w:eastAsia="x-none"/>
        </w:rPr>
      </w:pPr>
      <w:r w:rsidRPr="001A28E5">
        <w:rPr>
          <w:rFonts w:ascii="Abadi" w:hAnsi="Abadi" w:cs="Arial"/>
          <w:b/>
          <w:bCs/>
          <w:sz w:val="21"/>
          <w:szCs w:val="21"/>
          <w:lang w:eastAsia="x-none"/>
        </w:rPr>
        <w:t>IV. Contenido del Informe de Resultados:</w:t>
      </w:r>
    </w:p>
    <w:p w14:paraId="0B3291FE" w14:textId="77777777" w:rsidR="001A28E5" w:rsidRPr="001A28E5" w:rsidRDefault="001A28E5" w:rsidP="001A28E5">
      <w:pPr>
        <w:jc w:val="both"/>
        <w:rPr>
          <w:rFonts w:ascii="Abadi" w:hAnsi="Abadi" w:cs="Arial"/>
          <w:b/>
          <w:bCs/>
          <w:sz w:val="21"/>
          <w:szCs w:val="21"/>
          <w:lang w:eastAsia="x-none"/>
        </w:rPr>
      </w:pPr>
    </w:p>
    <w:p w14:paraId="2E176A4F" w14:textId="77777777" w:rsidR="001A28E5" w:rsidRPr="001A28E5" w:rsidRDefault="001A28E5" w:rsidP="001A28E5">
      <w:pPr>
        <w:jc w:val="both"/>
        <w:rPr>
          <w:rFonts w:ascii="Abadi" w:hAnsi="Abadi" w:cs="Arial"/>
          <w:sz w:val="21"/>
          <w:szCs w:val="21"/>
          <w:lang w:eastAsia="x-none"/>
        </w:rPr>
      </w:pPr>
      <w:r w:rsidRPr="001A28E5">
        <w:rPr>
          <w:rFonts w:ascii="Abadi" w:hAnsi="Abadi" w:cs="Arial"/>
          <w:b/>
          <w:bCs/>
          <w:sz w:val="21"/>
          <w:szCs w:val="21"/>
          <w:lang w:eastAsia="x-none"/>
        </w:rPr>
        <w:tab/>
      </w:r>
      <w:r w:rsidRPr="001A28E5">
        <w:rPr>
          <w:rFonts w:ascii="Abadi" w:hAnsi="Abadi" w:cs="Arial"/>
          <w:bCs/>
          <w:sz w:val="21"/>
          <w:szCs w:val="21"/>
          <w:lang w:eastAsia="x-none"/>
        </w:rPr>
        <w:t>En cumplimiento a lo establecido por el</w:t>
      </w:r>
      <w:r w:rsidRPr="001A28E5">
        <w:rPr>
          <w:rFonts w:ascii="Abadi" w:hAnsi="Abadi" w:cs="Arial"/>
          <w:sz w:val="21"/>
          <w:szCs w:val="21"/>
          <w:lang w:eastAsia="x-none"/>
        </w:rPr>
        <w:t xml:space="preserve"> artículo 37, fracción III de la Ley de Fiscalización Superior del Estado, el informe de resultados contiene los siguientes apartados:</w:t>
      </w:r>
    </w:p>
    <w:p w14:paraId="5356128B" w14:textId="77777777" w:rsidR="001A28E5" w:rsidRPr="001A28E5" w:rsidRDefault="001A28E5" w:rsidP="001A28E5">
      <w:pPr>
        <w:jc w:val="both"/>
        <w:rPr>
          <w:rFonts w:ascii="Abadi" w:hAnsi="Abadi" w:cs="Arial"/>
          <w:sz w:val="21"/>
          <w:szCs w:val="21"/>
          <w:lang w:eastAsia="x-none"/>
        </w:rPr>
      </w:pPr>
    </w:p>
    <w:p w14:paraId="28124107" w14:textId="77777777" w:rsidR="001A28E5" w:rsidRPr="001A28E5" w:rsidRDefault="001A28E5" w:rsidP="001A28E5">
      <w:pPr>
        <w:numPr>
          <w:ilvl w:val="0"/>
          <w:numId w:val="99"/>
        </w:numPr>
        <w:jc w:val="both"/>
        <w:rPr>
          <w:rFonts w:ascii="Abadi" w:hAnsi="Abadi" w:cs="Arial"/>
          <w:b/>
          <w:bCs/>
          <w:sz w:val="21"/>
          <w:szCs w:val="21"/>
          <w:lang w:eastAsia="x-none"/>
        </w:rPr>
      </w:pPr>
      <w:r w:rsidRPr="001A28E5">
        <w:rPr>
          <w:rFonts w:ascii="Abadi" w:hAnsi="Abadi" w:cs="Arial"/>
          <w:b/>
          <w:bCs/>
          <w:sz w:val="21"/>
          <w:szCs w:val="21"/>
          <w:lang w:eastAsia="x-none"/>
        </w:rPr>
        <w:t>Introducción.</w:t>
      </w:r>
    </w:p>
    <w:p w14:paraId="5F557DE9" w14:textId="77777777" w:rsidR="001A28E5" w:rsidRPr="001A28E5" w:rsidRDefault="001A28E5" w:rsidP="001A28E5">
      <w:pPr>
        <w:ind w:left="705"/>
        <w:jc w:val="both"/>
        <w:rPr>
          <w:rFonts w:ascii="Abadi" w:hAnsi="Abadi" w:cs="Arial"/>
          <w:b/>
          <w:bCs/>
          <w:sz w:val="21"/>
          <w:szCs w:val="21"/>
          <w:lang w:eastAsia="x-none"/>
        </w:rPr>
      </w:pPr>
    </w:p>
    <w:p w14:paraId="6DCC41B6" w14:textId="77777777" w:rsidR="001A28E5" w:rsidRPr="001A28E5" w:rsidRDefault="001A28E5" w:rsidP="001A28E5">
      <w:pPr>
        <w:ind w:firstLine="705"/>
        <w:jc w:val="both"/>
        <w:rPr>
          <w:rFonts w:ascii="Abadi" w:hAnsi="Abadi" w:cs="Arial"/>
          <w:sz w:val="21"/>
          <w:szCs w:val="21"/>
          <w:lang w:eastAsia="x-none"/>
        </w:rPr>
      </w:pPr>
      <w:r w:rsidRPr="001A28E5">
        <w:rPr>
          <w:rFonts w:ascii="Abadi" w:hAnsi="Abadi" w:cs="Arial"/>
          <w:sz w:val="21"/>
          <w:szCs w:val="21"/>
          <w:lang w:eastAsia="x-none"/>
        </w:rPr>
        <w:t xml:space="preserve">Por lo que se refiere a este punto, se establecen los criterios de selección; el objetivo de la revisión; el alcance de la revisión respecto a los apartados de ingresos y egresos; </w:t>
      </w:r>
      <w:r w:rsidRPr="001A28E5">
        <w:rPr>
          <w:rFonts w:ascii="Abadi" w:hAnsi="Abadi" w:cs="Arial"/>
          <w:sz w:val="21"/>
          <w:szCs w:val="21"/>
          <w:lang w:val="es-MX" w:eastAsia="x-none"/>
        </w:rPr>
        <w:t>así como al rubro de egresos del Sistema de Agua Potable y Alcantarillado de León</w:t>
      </w:r>
      <w:r w:rsidRPr="001A28E5">
        <w:rPr>
          <w:rFonts w:ascii="Abadi" w:hAnsi="Abadi" w:cs="Arial"/>
          <w:sz w:val="21"/>
          <w:szCs w:val="21"/>
          <w:lang w:eastAsia="x-none"/>
        </w:rPr>
        <w:t xml:space="preserve">, </w:t>
      </w:r>
      <w:r w:rsidRPr="001A28E5">
        <w:rPr>
          <w:rFonts w:ascii="Abadi" w:hAnsi="Abadi" w:cs="Arial"/>
          <w:sz w:val="21"/>
          <w:szCs w:val="21"/>
          <w:lang w:val="es-MX" w:eastAsia="x-none"/>
        </w:rPr>
        <w:t>precisando que el detalle de los alcances de la revisión se consigna en el Anexo 01 del informe de resultados.</w:t>
      </w:r>
    </w:p>
    <w:p w14:paraId="5001DCCD" w14:textId="77777777" w:rsidR="001A28E5" w:rsidRPr="001A28E5" w:rsidRDefault="001A28E5" w:rsidP="001A28E5">
      <w:pPr>
        <w:ind w:firstLine="705"/>
        <w:jc w:val="both"/>
        <w:rPr>
          <w:rFonts w:ascii="Abadi" w:hAnsi="Abadi" w:cs="Arial"/>
          <w:sz w:val="21"/>
          <w:szCs w:val="21"/>
          <w:lang w:eastAsia="x-none"/>
        </w:rPr>
      </w:pPr>
    </w:p>
    <w:p w14:paraId="72807DB6" w14:textId="77777777" w:rsidR="001A28E5" w:rsidRPr="001A28E5" w:rsidRDefault="001A28E5" w:rsidP="001A28E5">
      <w:pPr>
        <w:ind w:firstLine="705"/>
        <w:jc w:val="both"/>
        <w:rPr>
          <w:rFonts w:ascii="Abadi" w:hAnsi="Abadi" w:cs="Arial"/>
          <w:sz w:val="21"/>
          <w:szCs w:val="21"/>
          <w:lang w:eastAsia="x-none"/>
        </w:rPr>
      </w:pPr>
      <w:r w:rsidRPr="001A28E5">
        <w:rPr>
          <w:rFonts w:ascii="Abadi" w:hAnsi="Abadi" w:cs="Arial"/>
          <w:sz w:val="21"/>
          <w:szCs w:val="21"/>
          <w:lang w:eastAsia="x-none"/>
        </w:rPr>
        <w:t>También en este apartado se precisan los procedimientos de auditoría aplicados, siendo estos: inspección, observación, confirmación externa, recálculo, procedimientos analíticos, re ejecución e indagación.</w:t>
      </w:r>
    </w:p>
    <w:p w14:paraId="466395C5" w14:textId="77777777" w:rsidR="001A28E5" w:rsidRPr="001A28E5" w:rsidRDefault="001A28E5" w:rsidP="001A28E5">
      <w:pPr>
        <w:ind w:firstLine="705"/>
        <w:jc w:val="both"/>
        <w:rPr>
          <w:rFonts w:ascii="Abadi" w:hAnsi="Abadi" w:cs="Arial"/>
          <w:sz w:val="21"/>
          <w:szCs w:val="21"/>
          <w:lang w:eastAsia="x-none"/>
        </w:rPr>
      </w:pPr>
    </w:p>
    <w:p w14:paraId="75757AB5" w14:textId="77777777" w:rsidR="001A28E5" w:rsidRPr="001A28E5" w:rsidRDefault="001A28E5" w:rsidP="001A28E5">
      <w:pPr>
        <w:ind w:firstLine="705"/>
        <w:jc w:val="both"/>
        <w:rPr>
          <w:rFonts w:ascii="Abadi" w:hAnsi="Abadi" w:cs="Arial"/>
          <w:sz w:val="21"/>
          <w:szCs w:val="21"/>
          <w:lang w:eastAsia="x-none"/>
        </w:rPr>
      </w:pPr>
      <w:r w:rsidRPr="001A28E5">
        <w:rPr>
          <w:rFonts w:ascii="Abadi" w:hAnsi="Abadi" w:cs="Arial"/>
          <w:sz w:val="21"/>
          <w:szCs w:val="21"/>
          <w:lang w:eastAsia="x-none"/>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28DFEDF7" w14:textId="77777777" w:rsidR="001A28E5" w:rsidRPr="001A28E5" w:rsidRDefault="001A28E5" w:rsidP="001A28E5">
      <w:pPr>
        <w:jc w:val="both"/>
        <w:rPr>
          <w:rFonts w:ascii="Abadi" w:hAnsi="Abadi" w:cs="Arial"/>
          <w:i/>
          <w:iCs/>
          <w:sz w:val="21"/>
          <w:szCs w:val="21"/>
          <w:lang w:eastAsia="x-none"/>
        </w:rPr>
      </w:pPr>
    </w:p>
    <w:p w14:paraId="31B8DF58" w14:textId="77777777" w:rsidR="001A28E5" w:rsidRPr="001A28E5" w:rsidRDefault="001A28E5" w:rsidP="001A28E5">
      <w:pPr>
        <w:jc w:val="both"/>
        <w:rPr>
          <w:rFonts w:ascii="Abadi" w:hAnsi="Abadi" w:cs="Arial"/>
          <w:i/>
          <w:iCs/>
          <w:sz w:val="21"/>
          <w:szCs w:val="21"/>
          <w:lang w:eastAsia="x-none"/>
        </w:rPr>
      </w:pPr>
      <w:r w:rsidRPr="001A28E5">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1C5CF8CE" w14:textId="77777777" w:rsidR="001A28E5" w:rsidRPr="001A28E5" w:rsidRDefault="001A28E5" w:rsidP="001A28E5">
      <w:pPr>
        <w:jc w:val="both"/>
        <w:rPr>
          <w:rFonts w:ascii="Abadi" w:hAnsi="Abadi" w:cs="Arial"/>
          <w:i/>
          <w:iCs/>
          <w:sz w:val="21"/>
          <w:szCs w:val="21"/>
          <w:lang w:eastAsia="x-none"/>
        </w:rPr>
      </w:pPr>
    </w:p>
    <w:p w14:paraId="35C1B567" w14:textId="77777777" w:rsidR="001A28E5" w:rsidRPr="001A28E5" w:rsidRDefault="001A28E5" w:rsidP="001A28E5">
      <w:pPr>
        <w:jc w:val="both"/>
        <w:rPr>
          <w:rFonts w:ascii="Abadi" w:hAnsi="Abadi" w:cs="Arial"/>
          <w:i/>
          <w:iCs/>
          <w:sz w:val="21"/>
          <w:szCs w:val="21"/>
          <w:lang w:eastAsia="x-none"/>
        </w:rPr>
      </w:pPr>
      <w:r w:rsidRPr="001A28E5">
        <w:rPr>
          <w:rFonts w:ascii="Abadi" w:hAnsi="Abadi" w:cs="Arial"/>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6358FD98" w14:textId="77777777" w:rsidR="001A28E5" w:rsidRPr="001A28E5" w:rsidRDefault="001A28E5" w:rsidP="001A28E5">
      <w:pPr>
        <w:jc w:val="both"/>
        <w:rPr>
          <w:rFonts w:ascii="Abadi" w:hAnsi="Abadi" w:cs="Arial"/>
          <w:i/>
          <w:iCs/>
          <w:sz w:val="21"/>
          <w:szCs w:val="21"/>
          <w:lang w:eastAsia="x-none"/>
        </w:rPr>
      </w:pPr>
    </w:p>
    <w:p w14:paraId="68058D81" w14:textId="77777777" w:rsidR="001A28E5" w:rsidRPr="001A28E5" w:rsidRDefault="001A28E5" w:rsidP="001A28E5">
      <w:pPr>
        <w:jc w:val="both"/>
        <w:rPr>
          <w:rFonts w:ascii="Abadi" w:hAnsi="Abadi" w:cs="Arial"/>
          <w:i/>
          <w:iCs/>
          <w:sz w:val="21"/>
          <w:szCs w:val="21"/>
          <w:lang w:eastAsia="x-none"/>
        </w:rPr>
      </w:pPr>
      <w:r w:rsidRPr="001A28E5">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38126D2C" w14:textId="77777777" w:rsidR="001A28E5" w:rsidRPr="001A28E5" w:rsidRDefault="001A28E5" w:rsidP="001A28E5">
      <w:pPr>
        <w:jc w:val="both"/>
        <w:rPr>
          <w:rFonts w:ascii="Abadi" w:hAnsi="Abadi" w:cs="Arial"/>
          <w:sz w:val="21"/>
          <w:szCs w:val="21"/>
          <w:lang w:eastAsia="x-none"/>
        </w:rPr>
      </w:pPr>
    </w:p>
    <w:p w14:paraId="35F30C9F" w14:textId="77777777" w:rsidR="001A28E5" w:rsidRPr="001A28E5" w:rsidRDefault="001A28E5" w:rsidP="001A28E5">
      <w:pPr>
        <w:ind w:firstLine="705"/>
        <w:jc w:val="both"/>
        <w:rPr>
          <w:rFonts w:ascii="Abadi" w:hAnsi="Abadi" w:cs="Arial"/>
          <w:sz w:val="21"/>
          <w:szCs w:val="21"/>
          <w:lang w:eastAsia="x-none"/>
        </w:rPr>
      </w:pPr>
      <w:r w:rsidRPr="001A28E5">
        <w:rPr>
          <w:rFonts w:ascii="Abadi" w:hAnsi="Abadi" w:cs="Arial"/>
          <w:sz w:val="21"/>
          <w:szCs w:val="21"/>
          <w:lang w:eastAsia="x-none"/>
        </w:rPr>
        <w:t xml:space="preserve">Derivado de lo anterior, en el proceso de auditoría se inspeccionó que los comprobantes fiscales que soportan las erogaciones del ente fiscalizado, no correspondan a contribuyentes que se encuentren en los supuestos previstos en el artículo 69-B del Código Fiscal de la Federación, empresas que facturan operaciones simuladas o inexistentes con el carácter de </w:t>
      </w:r>
      <w:r w:rsidRPr="001A28E5">
        <w:rPr>
          <w:rFonts w:ascii="Abadi" w:hAnsi="Abadi" w:cs="Arial"/>
          <w:i/>
          <w:iCs/>
          <w:sz w:val="21"/>
          <w:szCs w:val="21"/>
          <w:lang w:eastAsia="x-none"/>
        </w:rPr>
        <w:t>«Definitivos»,</w:t>
      </w:r>
      <w:r w:rsidRPr="001A28E5">
        <w:rPr>
          <w:rFonts w:ascii="Abadi" w:hAnsi="Abadi" w:cs="Arial"/>
          <w:sz w:val="21"/>
          <w:szCs w:val="21"/>
          <w:lang w:eastAsia="x-none"/>
        </w:rPr>
        <w:t xml:space="preserve"> emitidas por el Servicio de Administración Tributaria.</w:t>
      </w:r>
    </w:p>
    <w:p w14:paraId="48380F38" w14:textId="77777777" w:rsidR="001A28E5" w:rsidRPr="001A28E5" w:rsidRDefault="001A28E5" w:rsidP="001A28E5">
      <w:pPr>
        <w:ind w:firstLine="705"/>
        <w:jc w:val="both"/>
        <w:rPr>
          <w:rFonts w:ascii="Abadi" w:hAnsi="Abadi" w:cs="Arial"/>
          <w:sz w:val="21"/>
          <w:szCs w:val="21"/>
          <w:lang w:val="es-MX" w:eastAsia="x-none"/>
        </w:rPr>
      </w:pPr>
    </w:p>
    <w:p w14:paraId="29ACC0EB" w14:textId="77777777" w:rsidR="001A28E5" w:rsidRPr="001A28E5" w:rsidRDefault="001A28E5" w:rsidP="001A28E5">
      <w:pPr>
        <w:ind w:firstLine="705"/>
        <w:jc w:val="both"/>
        <w:rPr>
          <w:rFonts w:ascii="Abadi" w:hAnsi="Abadi" w:cs="Arial"/>
          <w:sz w:val="21"/>
          <w:szCs w:val="21"/>
          <w:lang w:eastAsia="x-none"/>
        </w:rPr>
      </w:pPr>
      <w:r w:rsidRPr="001A28E5">
        <w:rPr>
          <w:rFonts w:ascii="Abadi" w:hAnsi="Abadi" w:cs="Arial"/>
          <w:sz w:val="21"/>
          <w:szCs w:val="21"/>
          <w:lang w:eastAsia="x-none"/>
        </w:rPr>
        <w:t>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y 2019);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6371CE96" w14:textId="77777777" w:rsidR="001A28E5" w:rsidRPr="001A28E5" w:rsidRDefault="001A28E5" w:rsidP="001A28E5">
      <w:pPr>
        <w:ind w:firstLine="705"/>
        <w:jc w:val="both"/>
        <w:rPr>
          <w:rFonts w:ascii="Abadi" w:hAnsi="Abadi"/>
          <w:sz w:val="21"/>
          <w:szCs w:val="21"/>
          <w:lang w:eastAsia="x-none"/>
        </w:rPr>
      </w:pPr>
    </w:p>
    <w:p w14:paraId="200F3AD1" w14:textId="77777777" w:rsidR="001A28E5" w:rsidRPr="001A28E5" w:rsidRDefault="001A28E5" w:rsidP="001A28E5">
      <w:pPr>
        <w:ind w:firstLine="705"/>
        <w:jc w:val="both"/>
        <w:rPr>
          <w:rFonts w:ascii="Abadi" w:hAnsi="Abadi" w:cs="Arial"/>
          <w:sz w:val="21"/>
          <w:szCs w:val="21"/>
          <w:lang w:val="es-MX" w:eastAsia="x-none"/>
        </w:rPr>
      </w:pPr>
      <w:r w:rsidRPr="001A28E5">
        <w:rPr>
          <w:rFonts w:ascii="Abadi" w:hAnsi="Abadi" w:cs="Arial"/>
          <w:sz w:val="21"/>
          <w:szCs w:val="21"/>
          <w:lang w:val="es-MX" w:eastAsia="x-none"/>
        </w:rPr>
        <w:t>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fiscalizado;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fiscalizado.</w:t>
      </w:r>
    </w:p>
    <w:p w14:paraId="0350341A" w14:textId="77777777" w:rsidR="001A28E5" w:rsidRPr="001A28E5" w:rsidRDefault="001A28E5" w:rsidP="001A28E5">
      <w:pPr>
        <w:ind w:firstLine="705"/>
        <w:jc w:val="both"/>
        <w:rPr>
          <w:rFonts w:ascii="Abadi" w:hAnsi="Abadi" w:cs="Arial"/>
          <w:sz w:val="21"/>
          <w:szCs w:val="21"/>
          <w:lang w:val="es-MX" w:eastAsia="x-none"/>
        </w:rPr>
      </w:pPr>
    </w:p>
    <w:p w14:paraId="36EB8A8F" w14:textId="77777777" w:rsidR="001A28E5" w:rsidRPr="001A28E5" w:rsidRDefault="001A28E5" w:rsidP="001A28E5">
      <w:pPr>
        <w:ind w:firstLine="705"/>
        <w:jc w:val="both"/>
        <w:rPr>
          <w:rFonts w:ascii="Abadi" w:hAnsi="Abadi" w:cs="Arial"/>
          <w:sz w:val="21"/>
          <w:szCs w:val="21"/>
          <w:lang w:val="es-MX" w:eastAsia="x-none"/>
        </w:rPr>
      </w:pPr>
      <w:r w:rsidRPr="001A28E5">
        <w:rPr>
          <w:rFonts w:ascii="Abadi" w:hAnsi="Abadi" w:cs="Arial"/>
          <w:sz w:val="21"/>
          <w:szCs w:val="21"/>
          <w:lang w:val="es-MX" w:eastAsia="x-none"/>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León, Gto., cumplió con las disposiciones normativas aplicables, excepto por los resultados precisados en el informe de resultados; señalando además que se presentaron limitantes al alcance que se refiere a la aplicación de los procedimientos de confirmaciones con beneficiarios de apoyos y/o ayudas y actas circunstanciadas de hechos. También se precisa que se presentaron limitantes en la aplicación de los procedimientos de auditoría, derivado de la contingencia por la pandemia del virus SARS-CoV2.</w:t>
      </w:r>
    </w:p>
    <w:p w14:paraId="052F63E0" w14:textId="77777777" w:rsidR="001A28E5" w:rsidRPr="001A28E5" w:rsidRDefault="001A28E5" w:rsidP="001A28E5">
      <w:pPr>
        <w:ind w:firstLine="705"/>
        <w:jc w:val="both"/>
        <w:rPr>
          <w:rFonts w:ascii="Abadi" w:hAnsi="Abadi" w:cs="Arial"/>
          <w:sz w:val="21"/>
          <w:szCs w:val="21"/>
          <w:lang w:val="es-MX" w:eastAsia="x-none"/>
        </w:rPr>
      </w:pPr>
    </w:p>
    <w:p w14:paraId="06173D47" w14:textId="77777777" w:rsidR="001A28E5" w:rsidRPr="001A28E5" w:rsidRDefault="001A28E5" w:rsidP="001A28E5">
      <w:pPr>
        <w:ind w:firstLine="705"/>
        <w:jc w:val="both"/>
        <w:rPr>
          <w:rFonts w:ascii="Abadi" w:hAnsi="Abadi" w:cs="Arial"/>
          <w:sz w:val="21"/>
          <w:szCs w:val="21"/>
        </w:rPr>
      </w:pPr>
      <w:r w:rsidRPr="001A28E5">
        <w:rPr>
          <w:rFonts w:ascii="Abadi" w:hAnsi="Abadi" w:cs="Arial"/>
          <w:sz w:val="21"/>
          <w:szCs w:val="21"/>
          <w:lang w:val="es-MX" w:eastAsia="x-none"/>
        </w:rPr>
        <w:t>En cuanto al rubro de resultados</w:t>
      </w:r>
      <w:r w:rsidRPr="001A28E5">
        <w:rPr>
          <w:rFonts w:ascii="Abadi" w:hAnsi="Abadi" w:cs="Arial"/>
          <w:sz w:val="21"/>
          <w:szCs w:val="21"/>
        </w:rPr>
        <w:t xml:space="preserve"> de la fiscalización efectuada, se establece el estatus que guardan las observaciones formuladas, las cuales se agrupan bajo su respectivo tipo y rubro, señalando que se determinaron 8 observaciones, de las cuales 1 se solventó y 7 no fueron solventadas.</w:t>
      </w:r>
    </w:p>
    <w:p w14:paraId="4890DDAF" w14:textId="187A56BB" w:rsidR="001A28E5" w:rsidRPr="001A28E5" w:rsidRDefault="001A28E5" w:rsidP="001A28E5">
      <w:pPr>
        <w:tabs>
          <w:tab w:val="left" w:pos="1940"/>
        </w:tabs>
        <w:ind w:firstLine="705"/>
        <w:jc w:val="both"/>
        <w:rPr>
          <w:rFonts w:ascii="Abadi" w:hAnsi="Abadi" w:cs="Arial"/>
          <w:sz w:val="21"/>
          <w:szCs w:val="21"/>
          <w:lang w:eastAsia="x-none"/>
        </w:rPr>
      </w:pPr>
      <w:r w:rsidRPr="001A28E5">
        <w:rPr>
          <w:rFonts w:ascii="Abadi" w:hAnsi="Abadi" w:cs="Arial"/>
          <w:sz w:val="21"/>
          <w:szCs w:val="21"/>
          <w:lang w:eastAsia="x-none"/>
        </w:rPr>
        <w:tab/>
      </w:r>
    </w:p>
    <w:p w14:paraId="78956D0B" w14:textId="77777777" w:rsidR="001A28E5" w:rsidRPr="001A28E5" w:rsidRDefault="001A28E5" w:rsidP="001A28E5">
      <w:pPr>
        <w:ind w:firstLine="705"/>
        <w:jc w:val="both"/>
        <w:rPr>
          <w:rFonts w:ascii="Abadi" w:hAnsi="Abadi" w:cs="Arial"/>
          <w:sz w:val="21"/>
          <w:szCs w:val="21"/>
          <w:lang w:val="es-MX" w:eastAsia="x-none"/>
        </w:rPr>
      </w:pPr>
      <w:r w:rsidRPr="001A28E5">
        <w:rPr>
          <w:rFonts w:ascii="Abadi" w:hAnsi="Abadi" w:cs="Arial"/>
          <w:sz w:val="21"/>
          <w:szCs w:val="21"/>
          <w:lang w:val="es-MX" w:eastAsia="x-none"/>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005 y 006, existen importes no solventados por la cuantía que ahí se refiere.  </w:t>
      </w:r>
    </w:p>
    <w:p w14:paraId="17854379" w14:textId="77777777" w:rsidR="001A28E5" w:rsidRPr="001A28E5" w:rsidRDefault="001A28E5" w:rsidP="001A28E5">
      <w:pPr>
        <w:ind w:firstLine="705"/>
        <w:jc w:val="both"/>
        <w:rPr>
          <w:rFonts w:ascii="Abadi" w:hAnsi="Abadi" w:cs="Arial"/>
          <w:sz w:val="21"/>
          <w:szCs w:val="21"/>
          <w:lang w:val="es-MX" w:eastAsia="x-none"/>
        </w:rPr>
      </w:pPr>
    </w:p>
    <w:p w14:paraId="6E7A31D3" w14:textId="77777777" w:rsidR="001A28E5" w:rsidRPr="001A28E5" w:rsidRDefault="001A28E5" w:rsidP="001A28E5">
      <w:pPr>
        <w:ind w:firstLine="705"/>
        <w:jc w:val="both"/>
        <w:rPr>
          <w:rFonts w:ascii="Abadi" w:hAnsi="Abadi" w:cs="Arial"/>
          <w:sz w:val="21"/>
          <w:szCs w:val="21"/>
          <w:lang w:eastAsia="x-none"/>
        </w:rPr>
      </w:pPr>
      <w:r w:rsidRPr="001A28E5">
        <w:rPr>
          <w:rFonts w:ascii="Abadi" w:hAnsi="Abadi" w:cs="Arial"/>
          <w:sz w:val="21"/>
          <w:szCs w:val="21"/>
          <w:lang w:val="es-MX" w:eastAsia="x-none"/>
        </w:rPr>
        <w:t>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León, Gto., y el Sistema de Agua Potable y Alcantarillado de León celebraron operaciones; entre los procedimientos expuestos, se verificó que estas no se encontraran en el listado de Empresas que Facturan Operaciones Simuladas (EFOS) u operaciones inexistentes con el carácter de «</w:t>
      </w:r>
      <w:r w:rsidRPr="001A28E5">
        <w:rPr>
          <w:rFonts w:ascii="Abadi" w:hAnsi="Abadi" w:cs="Arial"/>
          <w:i/>
          <w:iCs/>
          <w:sz w:val="21"/>
          <w:szCs w:val="21"/>
          <w:lang w:val="es-MX" w:eastAsia="x-none"/>
        </w:rPr>
        <w:t>Definitivos»</w:t>
      </w:r>
      <w:r w:rsidRPr="001A28E5">
        <w:rPr>
          <w:rFonts w:ascii="Abadi" w:hAnsi="Abadi" w:cs="Arial"/>
          <w:sz w:val="21"/>
          <w:szCs w:val="21"/>
          <w:lang w:val="es-MX" w:eastAsia="x-none"/>
        </w:rPr>
        <w:t xml:space="preserve"> publicados en el Diario Oficial de la Federación y en el sitio de información estadística del Servicio de Administración Tributaria, concluyendo que se identificó y analizó una empresa clasificada como EFOS</w:t>
      </w:r>
      <w:r w:rsidRPr="001A28E5">
        <w:rPr>
          <w:rFonts w:ascii="Abadi" w:hAnsi="Abadi" w:cs="Arial"/>
          <w:sz w:val="21"/>
          <w:szCs w:val="21"/>
          <w:lang w:eastAsia="x-none"/>
        </w:rPr>
        <w:t>.</w:t>
      </w:r>
    </w:p>
    <w:p w14:paraId="60D666AF" w14:textId="77777777" w:rsidR="001A28E5" w:rsidRPr="001A28E5" w:rsidRDefault="001A28E5" w:rsidP="001A28E5">
      <w:pPr>
        <w:ind w:firstLine="705"/>
        <w:jc w:val="both"/>
        <w:rPr>
          <w:rFonts w:ascii="Abadi" w:hAnsi="Abadi" w:cs="Arial"/>
          <w:sz w:val="21"/>
          <w:szCs w:val="21"/>
          <w:lang w:eastAsia="x-none"/>
        </w:rPr>
      </w:pPr>
    </w:p>
    <w:p w14:paraId="1C2E2B4E" w14:textId="77777777" w:rsidR="001A28E5" w:rsidRPr="001A28E5" w:rsidRDefault="001A28E5" w:rsidP="001A28E5">
      <w:pPr>
        <w:numPr>
          <w:ilvl w:val="0"/>
          <w:numId w:val="99"/>
        </w:numPr>
        <w:tabs>
          <w:tab w:val="num" w:pos="0"/>
        </w:tabs>
        <w:jc w:val="both"/>
        <w:rPr>
          <w:rFonts w:ascii="Abadi" w:hAnsi="Abadi" w:cs="Arial"/>
          <w:b/>
          <w:bCs/>
          <w:sz w:val="21"/>
          <w:szCs w:val="21"/>
          <w:lang w:eastAsia="x-none"/>
        </w:rPr>
      </w:pPr>
      <w:r w:rsidRPr="001A28E5">
        <w:rPr>
          <w:rFonts w:ascii="Abadi" w:hAnsi="Abadi" w:cs="Arial"/>
          <w:b/>
          <w:bCs/>
          <w:sz w:val="21"/>
          <w:szCs w:val="21"/>
          <w:lang w:eastAsia="x-none"/>
        </w:rPr>
        <w:t xml:space="preserve">Observaciones y recomendaciones, la respuesta emitida por el sujeto fiscalizado y la valoración correspondiente. </w:t>
      </w:r>
    </w:p>
    <w:p w14:paraId="3240201C" w14:textId="77777777" w:rsidR="001A28E5" w:rsidRPr="001A28E5" w:rsidRDefault="001A28E5" w:rsidP="001A28E5">
      <w:pPr>
        <w:ind w:left="1065"/>
        <w:jc w:val="both"/>
        <w:rPr>
          <w:rFonts w:ascii="Abadi" w:hAnsi="Abadi" w:cs="Arial"/>
          <w:b/>
          <w:bCs/>
          <w:sz w:val="21"/>
          <w:szCs w:val="21"/>
          <w:lang w:eastAsia="x-none"/>
        </w:rPr>
      </w:pPr>
    </w:p>
    <w:p w14:paraId="611CA4AB" w14:textId="77777777" w:rsidR="001A28E5" w:rsidRPr="001A28E5" w:rsidRDefault="001A28E5" w:rsidP="001A28E5">
      <w:pPr>
        <w:tabs>
          <w:tab w:val="left" w:pos="4253"/>
        </w:tabs>
        <w:ind w:firstLine="705"/>
        <w:jc w:val="both"/>
        <w:rPr>
          <w:rFonts w:ascii="Abadi" w:hAnsi="Abadi" w:cs="Arial"/>
          <w:sz w:val="21"/>
          <w:szCs w:val="21"/>
          <w:lang w:val="es-MX" w:eastAsia="x-none"/>
        </w:rPr>
      </w:pPr>
      <w:r w:rsidRPr="001A28E5">
        <w:rPr>
          <w:rFonts w:ascii="Abadi" w:hAnsi="Abadi" w:cs="Arial"/>
          <w:sz w:val="21"/>
          <w:szCs w:val="21"/>
          <w:lang w:val="es-MX" w:eastAsia="x-none"/>
        </w:rPr>
        <w:t>En esta parte se desglosa la valoración de las observaciones formuladas por el Órgano Técnico, considerando como solventada la observación establecida en el numeral 008, referente entrega de uniformes</w:t>
      </w:r>
    </w:p>
    <w:p w14:paraId="22E60D70" w14:textId="77777777" w:rsidR="001A28E5" w:rsidRPr="001A28E5" w:rsidRDefault="001A28E5" w:rsidP="001A28E5">
      <w:pPr>
        <w:tabs>
          <w:tab w:val="left" w:pos="4253"/>
        </w:tabs>
        <w:ind w:firstLine="705"/>
        <w:jc w:val="both"/>
        <w:rPr>
          <w:rFonts w:ascii="Abadi" w:hAnsi="Abadi" w:cs="Arial"/>
          <w:sz w:val="21"/>
          <w:szCs w:val="21"/>
          <w:lang w:val="es-MX" w:eastAsia="x-none"/>
        </w:rPr>
      </w:pPr>
    </w:p>
    <w:p w14:paraId="6E9E48F1" w14:textId="77777777" w:rsidR="001A28E5" w:rsidRPr="001A28E5" w:rsidRDefault="001A28E5" w:rsidP="001A28E5">
      <w:pPr>
        <w:tabs>
          <w:tab w:val="left" w:pos="4253"/>
        </w:tabs>
        <w:ind w:firstLine="705"/>
        <w:jc w:val="both"/>
        <w:rPr>
          <w:rFonts w:ascii="Abadi" w:hAnsi="Abadi" w:cs="Arial"/>
          <w:sz w:val="21"/>
          <w:szCs w:val="21"/>
          <w:lang w:val="es-MX" w:eastAsia="x-none"/>
        </w:rPr>
      </w:pPr>
      <w:r w:rsidRPr="001A28E5">
        <w:rPr>
          <w:rFonts w:ascii="Abadi" w:hAnsi="Abadi" w:cs="Arial"/>
          <w:sz w:val="21"/>
          <w:szCs w:val="21"/>
          <w:lang w:val="es-MX" w:eastAsia="x-none"/>
        </w:rPr>
        <w:t xml:space="preserve">No se solventaron las observaciones plasmadas en los numerales 001, correspondiente a </w:t>
      </w:r>
      <w:bookmarkStart w:id="31" w:name="_Hlk100011418"/>
      <w:r w:rsidRPr="001A28E5">
        <w:rPr>
          <w:rFonts w:ascii="Abadi" w:hAnsi="Abadi" w:cs="Arial"/>
          <w:sz w:val="21"/>
          <w:szCs w:val="21"/>
          <w:lang w:val="es-MX" w:eastAsia="x-none"/>
        </w:rPr>
        <w:t>enajenación de áreas de donación</w:t>
      </w:r>
      <w:bookmarkEnd w:id="31"/>
      <w:r w:rsidRPr="001A28E5">
        <w:rPr>
          <w:rFonts w:ascii="Abadi" w:hAnsi="Abadi" w:cs="Arial"/>
          <w:sz w:val="21"/>
          <w:szCs w:val="21"/>
          <w:lang w:val="es-MX" w:eastAsia="x-none"/>
        </w:rPr>
        <w:t>; 002, relativo a etiquetado y resguardo de bienes; 003, referido a devengo contable de bienes muebles; 004, referente a Licitación Pública Nacional Patrullas; 005, correspondiente a sueldos; 006, relativo a cumplimientos de sentencias; y 007, referido a excepción a la licitación pública de uniformes.</w:t>
      </w:r>
    </w:p>
    <w:p w14:paraId="49613BCA" w14:textId="77777777" w:rsidR="001A28E5" w:rsidRPr="001A28E5" w:rsidRDefault="001A28E5" w:rsidP="001A28E5">
      <w:pPr>
        <w:tabs>
          <w:tab w:val="left" w:pos="4253"/>
        </w:tabs>
        <w:ind w:firstLine="705"/>
        <w:jc w:val="both"/>
        <w:rPr>
          <w:rFonts w:ascii="Abadi" w:hAnsi="Abadi" w:cs="Arial"/>
          <w:sz w:val="21"/>
          <w:szCs w:val="21"/>
          <w:lang w:val="es-MX" w:eastAsia="x-none"/>
        </w:rPr>
      </w:pPr>
    </w:p>
    <w:p w14:paraId="323F8023" w14:textId="77777777" w:rsidR="001A28E5" w:rsidRPr="001A28E5" w:rsidRDefault="001A28E5" w:rsidP="001A28E5">
      <w:pPr>
        <w:tabs>
          <w:tab w:val="left" w:pos="4253"/>
        </w:tabs>
        <w:ind w:firstLine="705"/>
        <w:jc w:val="both"/>
        <w:rPr>
          <w:rFonts w:ascii="Abadi" w:hAnsi="Abadi" w:cs="Arial"/>
          <w:sz w:val="21"/>
          <w:szCs w:val="21"/>
          <w:lang w:val="es-MX" w:eastAsia="x-none"/>
        </w:rPr>
      </w:pPr>
      <w:r w:rsidRPr="001A28E5">
        <w:rPr>
          <w:rFonts w:ascii="Abadi" w:hAnsi="Abadi" w:cs="Arial"/>
          <w:sz w:val="21"/>
          <w:szCs w:val="21"/>
          <w:lang w:val="es-MX" w:eastAsia="x-none"/>
        </w:rPr>
        <w:t>En el caso de la Administración Pública Descentralizada se establece que del proceso de fiscalización no se desprendieron observaciones.</w:t>
      </w:r>
    </w:p>
    <w:p w14:paraId="49238AB1" w14:textId="77777777" w:rsidR="001A28E5" w:rsidRPr="001A28E5" w:rsidRDefault="001A28E5" w:rsidP="001A28E5">
      <w:pPr>
        <w:tabs>
          <w:tab w:val="left" w:pos="4253"/>
        </w:tabs>
        <w:ind w:firstLine="705"/>
        <w:jc w:val="both"/>
        <w:rPr>
          <w:rFonts w:ascii="Abadi" w:hAnsi="Abadi" w:cs="Arial"/>
          <w:sz w:val="21"/>
          <w:szCs w:val="21"/>
          <w:lang w:val="es-MX" w:eastAsia="x-none"/>
        </w:rPr>
      </w:pPr>
    </w:p>
    <w:p w14:paraId="738C892E" w14:textId="77777777" w:rsidR="001A28E5" w:rsidRPr="001A28E5" w:rsidRDefault="001A28E5" w:rsidP="001A28E5">
      <w:pPr>
        <w:ind w:firstLine="705"/>
        <w:jc w:val="both"/>
        <w:rPr>
          <w:rFonts w:ascii="Abadi" w:hAnsi="Abadi" w:cs="Arial"/>
          <w:sz w:val="21"/>
          <w:szCs w:val="21"/>
          <w:lang w:eastAsia="x-none"/>
        </w:rPr>
      </w:pPr>
      <w:r w:rsidRPr="001A28E5">
        <w:rPr>
          <w:rFonts w:ascii="Abadi" w:hAnsi="Abadi" w:cs="Arial"/>
          <w:sz w:val="21"/>
          <w:szCs w:val="21"/>
          <w:lang w:eastAsia="x-none"/>
        </w:rPr>
        <w:t xml:space="preserve">Asimismo, en el apartado de Recomendaciones Generales, se refiere que del proceso de fiscalización no se desprendieron recomendaciones a la Administración Pública Centralizada y a la </w:t>
      </w:r>
      <w:r w:rsidRPr="001A28E5">
        <w:rPr>
          <w:rFonts w:ascii="Abadi" w:hAnsi="Abadi" w:cs="Arial"/>
          <w:sz w:val="21"/>
          <w:szCs w:val="21"/>
          <w:lang w:val="es-MX" w:eastAsia="x-none"/>
        </w:rPr>
        <w:t>Administración Pública Descentralizada.</w:t>
      </w:r>
    </w:p>
    <w:p w14:paraId="7177A497" w14:textId="77777777" w:rsidR="001A28E5" w:rsidRPr="001A28E5" w:rsidRDefault="001A28E5" w:rsidP="001A28E5">
      <w:pPr>
        <w:ind w:firstLine="705"/>
        <w:jc w:val="both"/>
        <w:rPr>
          <w:rFonts w:ascii="Abadi" w:hAnsi="Abadi" w:cs="Arial"/>
          <w:sz w:val="21"/>
          <w:szCs w:val="21"/>
          <w:lang w:val="es-MX" w:eastAsia="x-none"/>
        </w:rPr>
      </w:pPr>
    </w:p>
    <w:p w14:paraId="15F230DD" w14:textId="77777777" w:rsidR="001A28E5" w:rsidRPr="001A28E5" w:rsidRDefault="001A28E5" w:rsidP="001A28E5">
      <w:pPr>
        <w:ind w:firstLine="705"/>
        <w:jc w:val="both"/>
        <w:rPr>
          <w:rFonts w:ascii="Abadi" w:hAnsi="Abadi" w:cs="Arial"/>
          <w:sz w:val="21"/>
          <w:szCs w:val="21"/>
          <w:lang w:val="es-MX" w:eastAsia="x-none"/>
        </w:rPr>
      </w:pPr>
    </w:p>
    <w:p w14:paraId="07495971" w14:textId="77777777" w:rsidR="001A28E5" w:rsidRPr="001A28E5" w:rsidRDefault="001A28E5" w:rsidP="001A28E5">
      <w:pPr>
        <w:numPr>
          <w:ilvl w:val="0"/>
          <w:numId w:val="99"/>
        </w:numPr>
        <w:jc w:val="both"/>
        <w:rPr>
          <w:rFonts w:ascii="Abadi" w:hAnsi="Abadi" w:cs="Arial"/>
          <w:b/>
          <w:bCs/>
          <w:sz w:val="21"/>
          <w:szCs w:val="21"/>
          <w:lang w:val="es-MX" w:eastAsia="x-none"/>
        </w:rPr>
      </w:pPr>
      <w:r w:rsidRPr="001A28E5">
        <w:rPr>
          <w:rFonts w:ascii="Abadi" w:hAnsi="Abadi" w:cs="Arial"/>
          <w:b/>
          <w:bCs/>
          <w:sz w:val="21"/>
          <w:szCs w:val="21"/>
          <w:lang w:val="es-MX" w:eastAsia="x-none"/>
        </w:rPr>
        <w:t xml:space="preserve">Promoción del ejercicio de facultades de comprobación fiscal. </w:t>
      </w:r>
    </w:p>
    <w:p w14:paraId="23F8FEA6" w14:textId="77777777" w:rsidR="001A28E5" w:rsidRPr="001A28E5" w:rsidRDefault="001A28E5" w:rsidP="001A28E5">
      <w:pPr>
        <w:ind w:firstLine="705"/>
        <w:jc w:val="both"/>
        <w:rPr>
          <w:rFonts w:ascii="Abadi" w:hAnsi="Abadi" w:cs="Arial"/>
          <w:sz w:val="21"/>
          <w:szCs w:val="21"/>
          <w:lang w:eastAsia="x-none"/>
        </w:rPr>
      </w:pPr>
    </w:p>
    <w:p w14:paraId="224DDB6E" w14:textId="77777777" w:rsidR="001A28E5" w:rsidRPr="001A28E5" w:rsidRDefault="001A28E5" w:rsidP="001A28E5">
      <w:pPr>
        <w:ind w:firstLine="705"/>
        <w:jc w:val="both"/>
        <w:rPr>
          <w:rFonts w:ascii="Abadi" w:hAnsi="Abadi" w:cs="Arial"/>
          <w:sz w:val="21"/>
          <w:szCs w:val="21"/>
          <w:lang w:val="es-MX" w:eastAsia="x-none"/>
        </w:rPr>
      </w:pPr>
      <w:r w:rsidRPr="001A28E5">
        <w:rPr>
          <w:rFonts w:ascii="Abadi" w:hAnsi="Abadi" w:cs="Arial"/>
          <w:sz w:val="21"/>
          <w:szCs w:val="21"/>
          <w:lang w:val="es-MX" w:eastAsia="x-none"/>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1FE7DC7C" w14:textId="77777777" w:rsidR="001A28E5" w:rsidRPr="001A28E5" w:rsidRDefault="001A28E5" w:rsidP="001A28E5">
      <w:pPr>
        <w:ind w:firstLine="705"/>
        <w:jc w:val="both"/>
        <w:rPr>
          <w:rFonts w:ascii="Abadi" w:hAnsi="Abadi" w:cs="Arial"/>
          <w:sz w:val="21"/>
          <w:szCs w:val="21"/>
          <w:lang w:val="es-MX" w:eastAsia="x-none"/>
        </w:rPr>
      </w:pPr>
    </w:p>
    <w:p w14:paraId="1D024C81" w14:textId="77777777" w:rsidR="001A28E5" w:rsidRPr="001A28E5" w:rsidRDefault="001A28E5" w:rsidP="001A28E5">
      <w:pPr>
        <w:numPr>
          <w:ilvl w:val="0"/>
          <w:numId w:val="99"/>
        </w:numPr>
        <w:jc w:val="both"/>
        <w:rPr>
          <w:rFonts w:ascii="Abadi" w:hAnsi="Abadi" w:cs="Arial"/>
          <w:b/>
          <w:bCs/>
          <w:sz w:val="21"/>
          <w:szCs w:val="21"/>
          <w:lang w:val="es-MX" w:eastAsia="x-none"/>
        </w:rPr>
      </w:pPr>
      <w:r w:rsidRPr="001A28E5">
        <w:rPr>
          <w:rFonts w:ascii="Abadi" w:hAnsi="Abadi" w:cs="Arial"/>
          <w:b/>
          <w:bCs/>
          <w:sz w:val="21"/>
          <w:szCs w:val="21"/>
          <w:lang w:val="es-MX" w:eastAsia="x-none"/>
        </w:rPr>
        <w:t>Comunicado ante órganos de control y autoridades que administran padrones de proveedores y contratistas.</w:t>
      </w:r>
    </w:p>
    <w:p w14:paraId="7C3DA0F7" w14:textId="77777777" w:rsidR="001A28E5" w:rsidRPr="001A28E5" w:rsidRDefault="001A28E5" w:rsidP="001A28E5">
      <w:pPr>
        <w:ind w:firstLine="705"/>
        <w:jc w:val="both"/>
        <w:rPr>
          <w:rFonts w:ascii="Abadi" w:hAnsi="Abadi" w:cs="Arial"/>
          <w:sz w:val="21"/>
          <w:szCs w:val="21"/>
          <w:lang w:eastAsia="x-none"/>
        </w:rPr>
      </w:pPr>
    </w:p>
    <w:p w14:paraId="63551518" w14:textId="77777777" w:rsidR="001A28E5" w:rsidRPr="001A28E5" w:rsidRDefault="001A28E5" w:rsidP="001A28E5">
      <w:pPr>
        <w:ind w:firstLine="705"/>
        <w:jc w:val="both"/>
        <w:rPr>
          <w:rFonts w:ascii="Abadi" w:hAnsi="Abadi" w:cs="Arial"/>
          <w:sz w:val="21"/>
          <w:szCs w:val="21"/>
          <w:lang w:val="es-MX" w:eastAsia="x-none"/>
        </w:rPr>
      </w:pPr>
      <w:r w:rsidRPr="001A28E5">
        <w:rPr>
          <w:rFonts w:ascii="Abadi" w:hAnsi="Abadi" w:cs="Arial"/>
          <w:sz w:val="21"/>
          <w:szCs w:val="21"/>
          <w:lang w:val="es-MX" w:eastAsia="x-none"/>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5217332D" w14:textId="77777777" w:rsidR="001A28E5" w:rsidRPr="001A28E5" w:rsidRDefault="001A28E5" w:rsidP="001A28E5">
      <w:pPr>
        <w:ind w:firstLine="705"/>
        <w:jc w:val="both"/>
        <w:rPr>
          <w:rFonts w:ascii="Abadi" w:hAnsi="Abadi" w:cs="Arial"/>
          <w:sz w:val="21"/>
          <w:szCs w:val="21"/>
          <w:lang w:val="es-MX" w:eastAsia="x-none"/>
        </w:rPr>
      </w:pPr>
    </w:p>
    <w:p w14:paraId="5F13300B" w14:textId="77777777" w:rsidR="001A28E5" w:rsidRPr="001A28E5" w:rsidRDefault="001A28E5" w:rsidP="001A28E5">
      <w:pPr>
        <w:numPr>
          <w:ilvl w:val="0"/>
          <w:numId w:val="99"/>
        </w:numPr>
        <w:jc w:val="both"/>
        <w:rPr>
          <w:rFonts w:ascii="Abadi" w:hAnsi="Abadi" w:cs="Arial"/>
          <w:b/>
          <w:bCs/>
          <w:sz w:val="21"/>
          <w:szCs w:val="21"/>
          <w:lang w:eastAsia="x-none"/>
        </w:rPr>
      </w:pPr>
      <w:r w:rsidRPr="001A28E5">
        <w:rPr>
          <w:rFonts w:ascii="Abadi" w:hAnsi="Abadi" w:cs="Arial"/>
          <w:b/>
          <w:bCs/>
          <w:sz w:val="21"/>
          <w:szCs w:val="21"/>
          <w:lang w:eastAsia="x-none"/>
        </w:rPr>
        <w:t xml:space="preserve">Recurso de Reconsideración. </w:t>
      </w:r>
    </w:p>
    <w:p w14:paraId="7E270902" w14:textId="77777777" w:rsidR="001A28E5" w:rsidRPr="001A28E5" w:rsidRDefault="001A28E5" w:rsidP="001A28E5">
      <w:pPr>
        <w:ind w:left="705"/>
        <w:jc w:val="both"/>
        <w:rPr>
          <w:rFonts w:ascii="Abadi" w:hAnsi="Abadi" w:cs="Arial"/>
          <w:b/>
          <w:bCs/>
          <w:sz w:val="21"/>
          <w:szCs w:val="21"/>
          <w:lang w:eastAsia="x-none"/>
        </w:rPr>
      </w:pPr>
    </w:p>
    <w:p w14:paraId="3A918AF6" w14:textId="77777777" w:rsidR="001A28E5" w:rsidRPr="001A28E5" w:rsidRDefault="001A28E5" w:rsidP="001A28E5">
      <w:pPr>
        <w:ind w:firstLine="705"/>
        <w:jc w:val="both"/>
        <w:rPr>
          <w:rFonts w:ascii="Abadi" w:hAnsi="Abadi" w:cs="Arial"/>
          <w:sz w:val="21"/>
          <w:szCs w:val="21"/>
          <w:lang w:val="es-MX" w:eastAsia="x-none"/>
        </w:rPr>
      </w:pPr>
      <w:r w:rsidRPr="001A28E5">
        <w:rPr>
          <w:rFonts w:ascii="Abadi" w:hAnsi="Abadi" w:cs="Arial"/>
          <w:sz w:val="21"/>
          <w:szCs w:val="21"/>
          <w:lang w:eastAsia="x-none"/>
        </w:rPr>
        <w:t xml:space="preserve">En fechas 26 y 27 de abril de 2022, dentro del plazo que prevé la fracción IV del artículo 37 de </w:t>
      </w:r>
      <w:smartTag w:uri="urn:schemas-microsoft-com:office:smarttags" w:element="PersonName">
        <w:smartTagPr>
          <w:attr w:name="ProductID" w:val="la Ley"/>
        </w:smartTagPr>
        <w:r w:rsidRPr="001A28E5">
          <w:rPr>
            <w:rFonts w:ascii="Abadi" w:hAnsi="Abadi" w:cs="Arial"/>
            <w:sz w:val="21"/>
            <w:szCs w:val="21"/>
            <w:lang w:eastAsia="x-none"/>
          </w:rPr>
          <w:t>la Ley</w:t>
        </w:r>
      </w:smartTag>
      <w:r w:rsidRPr="001A28E5">
        <w:rPr>
          <w:rFonts w:ascii="Abadi" w:hAnsi="Abadi" w:cs="Arial"/>
          <w:sz w:val="21"/>
          <w:szCs w:val="21"/>
          <w:lang w:eastAsia="x-none"/>
        </w:rPr>
        <w:t xml:space="preserve"> de Fiscalización Superior del Estado de Guanajuato, el ex-</w:t>
      </w:r>
      <w:r w:rsidRPr="001A28E5">
        <w:rPr>
          <w:rFonts w:ascii="Abadi" w:hAnsi="Abadi" w:cs="Arial"/>
          <w:sz w:val="21"/>
          <w:szCs w:val="21"/>
          <w:lang w:val="es-MX" w:eastAsia="x-none"/>
        </w:rPr>
        <w:t>presidente y la presidenta municipales de León, Gto.,</w:t>
      </w:r>
      <w:r w:rsidRPr="001A28E5">
        <w:rPr>
          <w:rFonts w:ascii="Abadi" w:hAnsi="Abadi" w:cs="Arial"/>
          <w:sz w:val="21"/>
          <w:szCs w:val="21"/>
          <w:lang w:eastAsia="x-none"/>
        </w:rPr>
        <w:t xml:space="preserve"> interpusieron recursos de reconsideración en contra del informe de resultados de la revisión practicada </w:t>
      </w:r>
      <w:r w:rsidRPr="001A28E5">
        <w:rPr>
          <w:rFonts w:ascii="Abadi" w:hAnsi="Abadi" w:cs="Arial"/>
          <w:sz w:val="21"/>
          <w:szCs w:val="21"/>
          <w:lang w:val="es-MX" w:eastAsia="x-none"/>
        </w:rPr>
        <w:t>a la cuenta pública de dicho Municipio, correspondiente al ejercicio fiscal del año 2020</w:t>
      </w:r>
      <w:r w:rsidRPr="001A28E5">
        <w:rPr>
          <w:rFonts w:ascii="Abadi" w:hAnsi="Abadi" w:cs="Arial"/>
          <w:sz w:val="21"/>
          <w:szCs w:val="21"/>
          <w:lang w:eastAsia="x-none"/>
        </w:rPr>
        <w:t xml:space="preserve">, concretamente en contra de las observaciones establecidas en los numerales </w:t>
      </w:r>
      <w:r w:rsidRPr="001A28E5">
        <w:rPr>
          <w:rFonts w:ascii="Abadi" w:hAnsi="Abadi" w:cs="Arial"/>
          <w:sz w:val="21"/>
          <w:szCs w:val="21"/>
          <w:lang w:val="es-MX" w:eastAsia="x-none"/>
        </w:rPr>
        <w:t xml:space="preserve">001, correspondiente a enajenación de áreas de donación; 002, relativo a etiquetado y resguardo de bienes; 003, referido a devengo contable de bienes muebles; 004, referente a Licitación Pública Nacional Patrullas; 005, correspondiente a sueldos; 006, relativo a cumplimientos de sentencias; y 007, referido a excepción a la licitación pública de uniformes, </w:t>
      </w:r>
      <w:r w:rsidRPr="001A28E5">
        <w:rPr>
          <w:rFonts w:ascii="Abadi" w:hAnsi="Abadi" w:cs="Arial"/>
          <w:sz w:val="21"/>
          <w:szCs w:val="21"/>
          <w:lang w:eastAsia="x-none"/>
        </w:rPr>
        <w:t>mismos que se encuentran relacionados con el Capítulo II, denominado Observaciones y Recomendaciones; Respuesta Emitida por el Sujeto</w:t>
      </w:r>
      <w:r w:rsidRPr="001A28E5">
        <w:rPr>
          <w:rFonts w:ascii="Abadi" w:hAnsi="Abadi" w:cs="Arial"/>
          <w:sz w:val="21"/>
          <w:szCs w:val="21"/>
          <w:lang w:val="es-MX" w:eastAsia="x-none"/>
        </w:rPr>
        <w:t xml:space="preserve"> Fiscalizado y Valoración Correspondiente. </w:t>
      </w:r>
    </w:p>
    <w:p w14:paraId="7C8CD54E" w14:textId="77777777" w:rsidR="001A28E5" w:rsidRPr="001A28E5" w:rsidRDefault="001A28E5" w:rsidP="001A28E5">
      <w:pPr>
        <w:ind w:firstLine="705"/>
        <w:jc w:val="both"/>
        <w:rPr>
          <w:rFonts w:ascii="Abadi" w:hAnsi="Abadi" w:cs="Arial"/>
          <w:sz w:val="21"/>
          <w:szCs w:val="21"/>
          <w:lang w:val="es-MX" w:eastAsia="x-none"/>
        </w:rPr>
      </w:pPr>
    </w:p>
    <w:p w14:paraId="41E01EA7"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 xml:space="preserve">En tal sentido, mediante acuerdos de fecha 29 de abril de 2022, emitidos por el Director General de Asuntos Jurídicos de la Auditoría Superior del Estado de Guanajuato, se admitieron los recursos de reconsideración, al colmarse los requisitos de procedibilidad previstos por el artículo 51 de </w:t>
      </w:r>
      <w:smartTag w:uri="urn:schemas-microsoft-com:office:smarttags" w:element="PersonName">
        <w:smartTagPr>
          <w:attr w:name="ProductID" w:val="la Ley"/>
        </w:smartTagPr>
        <w:r w:rsidRPr="001A28E5">
          <w:rPr>
            <w:rFonts w:ascii="Abadi" w:hAnsi="Abadi" w:cs="Arial"/>
            <w:sz w:val="21"/>
            <w:szCs w:val="21"/>
            <w:lang w:val="es-MX" w:eastAsia="x-none"/>
          </w:rPr>
          <w:t>la Ley</w:t>
        </w:r>
      </w:smartTag>
      <w:r w:rsidRPr="001A28E5">
        <w:rPr>
          <w:rFonts w:ascii="Abadi" w:hAnsi="Abadi" w:cs="Arial"/>
          <w:sz w:val="21"/>
          <w:szCs w:val="21"/>
          <w:lang w:val="es-MX" w:eastAsia="x-none"/>
        </w:rPr>
        <w:t xml:space="preserve"> de Fiscalización Superior del Estado de Guanajuato, instruyendo la integración de los expedientes respectivos y el registro correspondiente. Asimismo, mediante dichos acuerdos se admitieron diversos medios de prueba ofrecidos por la recurrente al tratarse de pruebas novedosas y supervenientes; mientras que otros se desecharon al no tener tal carácter. También a través de dicho acuerdo se suspendió el plazo establecido en el artículo 55 de la Ley de Fiscalización Superior del Estado de Guanajuato por un término de hasta 15 días hábiles, con la finalidad de realizar la debida valoración de los argumentos en concatenación con la información recabada durante el proceso de fiscalización.</w:t>
      </w:r>
    </w:p>
    <w:p w14:paraId="4E04B652" w14:textId="77777777" w:rsidR="001A28E5" w:rsidRPr="001A28E5" w:rsidRDefault="001A28E5" w:rsidP="001A28E5">
      <w:pPr>
        <w:ind w:firstLine="708"/>
        <w:jc w:val="both"/>
        <w:rPr>
          <w:rFonts w:ascii="Abadi" w:hAnsi="Abadi" w:cs="Arial"/>
          <w:sz w:val="21"/>
          <w:szCs w:val="21"/>
          <w:lang w:val="es-MX" w:eastAsia="x-none"/>
        </w:rPr>
      </w:pPr>
    </w:p>
    <w:p w14:paraId="25D356D6"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Mediante acuerdo de fecha 29 de abril de 2022 emitido por el Director General de Asuntos Jurídicos de la Auditoría Superior del Estado de Guanajuato se ordenó la acumulación de los expedientes integrados con motivo de los recursos de reconsideración interpuestos al vincularse de manera directa.</w:t>
      </w:r>
    </w:p>
    <w:p w14:paraId="37B70A90" w14:textId="77777777" w:rsidR="001A28E5" w:rsidRPr="001A28E5" w:rsidRDefault="001A28E5" w:rsidP="001A28E5">
      <w:pPr>
        <w:ind w:firstLine="708"/>
        <w:jc w:val="both"/>
        <w:rPr>
          <w:rFonts w:ascii="Abadi" w:hAnsi="Abadi" w:cs="Arial"/>
          <w:sz w:val="21"/>
          <w:szCs w:val="21"/>
          <w:lang w:val="es-MX" w:eastAsia="x-none"/>
        </w:rPr>
      </w:pPr>
    </w:p>
    <w:p w14:paraId="041D0058"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 xml:space="preserve">Una vez tramitados los recursos, el Auditor Superior del Estado, el 17 de mayo de 2022 emitió la resolución correspondiente, determinándose respecto a las observaciones establecidas en los numerales 001, 003, 004 y 007, que los agravios hechos valer por los recurrentes resultaron inoperantes e infundados, por los argumentos referidos en el considerando séptimo de la resolución. En razón de lo cual, se confirmó el sentido de la valoración de las observaciones como no solventadas, sin acciones pendientes de realizar por el sujeto fiscalizado. </w:t>
      </w:r>
    </w:p>
    <w:p w14:paraId="67A2F520" w14:textId="77777777" w:rsidR="001A28E5" w:rsidRPr="001A28E5" w:rsidRDefault="001A28E5" w:rsidP="001A28E5">
      <w:pPr>
        <w:ind w:firstLine="708"/>
        <w:jc w:val="both"/>
        <w:rPr>
          <w:rFonts w:ascii="Abadi" w:hAnsi="Abadi" w:cs="Arial"/>
          <w:sz w:val="21"/>
          <w:szCs w:val="21"/>
          <w:lang w:val="es-MX" w:eastAsia="x-none"/>
        </w:rPr>
      </w:pPr>
    </w:p>
    <w:p w14:paraId="395C47B9" w14:textId="5ABF5DA4"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En cuanto a la observación plasmada en el numeral 002, se resolvió que las probanzas aportadas resultaron suficientes para acreditar que el sujeto fiscalizado atendió la acción correctiva indicada en el informe de resultados. En razón de lo cual, aun cuando se confirmó el sentido de la valoración de la observación como no solventada, se modificó su complemento para quedar sin acciones pendientes de realizar por el sujeto fiscalizado.</w:t>
      </w:r>
    </w:p>
    <w:p w14:paraId="2438555B" w14:textId="77777777" w:rsidR="001A28E5" w:rsidRPr="001A28E5" w:rsidRDefault="001A28E5" w:rsidP="001A28E5">
      <w:pPr>
        <w:ind w:firstLine="708"/>
        <w:jc w:val="both"/>
        <w:rPr>
          <w:rFonts w:ascii="Abadi" w:hAnsi="Abadi" w:cs="Arial"/>
          <w:sz w:val="21"/>
          <w:szCs w:val="21"/>
          <w:lang w:val="es-MX" w:eastAsia="x-none"/>
        </w:rPr>
      </w:pPr>
    </w:p>
    <w:p w14:paraId="202F5309"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 xml:space="preserve">Por lo que hace a las observaciones contenidas en los numerales 005 y 006, se concluyó que los agravios formulados por los recurrentes resultaron infundados e inoperantes y la documental aportada insuficiente, de acuerdo a lo expresado en el considerando séptimo de la resolución. En virtud de lo cual, se confirmó el sentido de la valoración de las observaciones como no solventadas, con acciones de impacto económico pendientes de realizar por el sujeto fiscalizado. </w:t>
      </w:r>
    </w:p>
    <w:p w14:paraId="529144FA" w14:textId="77777777" w:rsidR="001A28E5" w:rsidRPr="001A28E5" w:rsidRDefault="001A28E5" w:rsidP="001A28E5">
      <w:pPr>
        <w:ind w:firstLine="708"/>
        <w:jc w:val="both"/>
        <w:rPr>
          <w:rFonts w:ascii="Abadi" w:hAnsi="Abadi" w:cs="Arial"/>
          <w:sz w:val="21"/>
          <w:szCs w:val="21"/>
          <w:lang w:val="es-MX" w:eastAsia="x-none"/>
        </w:rPr>
      </w:pPr>
    </w:p>
    <w:p w14:paraId="2A101A51"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es-MX" w:eastAsia="x-none"/>
        </w:rPr>
        <w:t>La referida resolución se notificó a la presidenta y al ex-presidente municipales de León, Gto., el 18 de mayo de 2022.</w:t>
      </w:r>
    </w:p>
    <w:p w14:paraId="46CE53B1" w14:textId="77777777" w:rsidR="001A28E5" w:rsidRPr="001A28E5" w:rsidRDefault="001A28E5" w:rsidP="001A28E5">
      <w:pPr>
        <w:ind w:firstLine="708"/>
        <w:jc w:val="both"/>
        <w:rPr>
          <w:rFonts w:ascii="Abadi" w:hAnsi="Abadi" w:cs="Arial"/>
          <w:sz w:val="21"/>
          <w:szCs w:val="21"/>
          <w:lang w:val="es-MX" w:eastAsia="x-none"/>
        </w:rPr>
      </w:pPr>
    </w:p>
    <w:p w14:paraId="746D84F7" w14:textId="77777777" w:rsidR="001A28E5" w:rsidRPr="001A28E5" w:rsidRDefault="001A28E5" w:rsidP="001A28E5">
      <w:pPr>
        <w:numPr>
          <w:ilvl w:val="0"/>
          <w:numId w:val="99"/>
        </w:numPr>
        <w:jc w:val="both"/>
        <w:rPr>
          <w:rFonts w:ascii="Abadi" w:hAnsi="Abadi" w:cs="Arial"/>
          <w:b/>
          <w:bCs/>
          <w:sz w:val="21"/>
          <w:szCs w:val="21"/>
          <w:lang w:val="es-MX" w:eastAsia="x-none"/>
        </w:rPr>
      </w:pPr>
      <w:r w:rsidRPr="001A28E5">
        <w:rPr>
          <w:rFonts w:ascii="Abadi" w:hAnsi="Abadi" w:cs="Arial"/>
          <w:b/>
          <w:bCs/>
          <w:sz w:val="21"/>
          <w:szCs w:val="21"/>
          <w:lang w:val="es-MX" w:eastAsia="x-none"/>
        </w:rPr>
        <w:t xml:space="preserve">Anexos. </w:t>
      </w:r>
    </w:p>
    <w:p w14:paraId="2892E581" w14:textId="77777777" w:rsidR="001A28E5" w:rsidRPr="001A28E5" w:rsidRDefault="001A28E5" w:rsidP="001A28E5">
      <w:pPr>
        <w:ind w:firstLine="705"/>
        <w:jc w:val="both"/>
        <w:rPr>
          <w:rFonts w:ascii="Abadi" w:hAnsi="Abadi" w:cs="Arial"/>
          <w:sz w:val="21"/>
          <w:szCs w:val="21"/>
          <w:lang w:eastAsia="x-none"/>
        </w:rPr>
      </w:pPr>
    </w:p>
    <w:p w14:paraId="267B3D63" w14:textId="77777777" w:rsidR="001A28E5" w:rsidRPr="001A28E5" w:rsidRDefault="001A28E5" w:rsidP="001A28E5">
      <w:pPr>
        <w:ind w:firstLine="705"/>
        <w:jc w:val="both"/>
        <w:rPr>
          <w:rFonts w:ascii="Abadi" w:hAnsi="Abadi" w:cs="Arial"/>
          <w:sz w:val="21"/>
          <w:szCs w:val="21"/>
          <w:lang w:eastAsia="x-none"/>
        </w:rPr>
      </w:pPr>
      <w:r w:rsidRPr="001A28E5">
        <w:rPr>
          <w:rFonts w:ascii="Abadi" w:hAnsi="Abadi" w:cs="Arial"/>
          <w:sz w:val="21"/>
          <w:szCs w:val="21"/>
          <w:lang w:eastAsia="x-none"/>
        </w:rPr>
        <w:t>En esta parte, se adjuntan los anexos técnicos derivados de la revisión practicada.</w:t>
      </w:r>
    </w:p>
    <w:p w14:paraId="60EEC94B" w14:textId="77777777" w:rsidR="001A28E5" w:rsidRPr="001A28E5" w:rsidRDefault="001A28E5" w:rsidP="001A28E5">
      <w:pPr>
        <w:ind w:firstLine="705"/>
        <w:jc w:val="both"/>
        <w:rPr>
          <w:rFonts w:ascii="Abadi" w:hAnsi="Abadi" w:cs="Arial"/>
          <w:sz w:val="21"/>
          <w:szCs w:val="21"/>
          <w:lang w:eastAsia="x-none"/>
        </w:rPr>
      </w:pPr>
    </w:p>
    <w:p w14:paraId="43AD2347" w14:textId="77777777" w:rsidR="001A28E5" w:rsidRPr="001A28E5" w:rsidRDefault="001A28E5" w:rsidP="001A28E5">
      <w:pPr>
        <w:ind w:firstLine="708"/>
        <w:jc w:val="both"/>
        <w:rPr>
          <w:rFonts w:ascii="Abadi" w:hAnsi="Abadi" w:cs="Arial"/>
          <w:b/>
          <w:bCs/>
          <w:sz w:val="21"/>
          <w:szCs w:val="21"/>
        </w:rPr>
      </w:pPr>
      <w:r w:rsidRPr="001A28E5">
        <w:rPr>
          <w:rFonts w:ascii="Abadi" w:hAnsi="Abadi" w:cs="Arial"/>
          <w:b/>
          <w:bCs/>
          <w:sz w:val="21"/>
          <w:szCs w:val="21"/>
        </w:rPr>
        <w:t>V. Conclusiones:</w:t>
      </w:r>
    </w:p>
    <w:p w14:paraId="642F3D3F" w14:textId="77777777" w:rsidR="001A28E5" w:rsidRPr="001A28E5" w:rsidRDefault="001A28E5" w:rsidP="001A28E5">
      <w:pPr>
        <w:jc w:val="both"/>
        <w:rPr>
          <w:rFonts w:ascii="Abadi" w:hAnsi="Abadi" w:cs="Arial"/>
          <w:sz w:val="21"/>
          <w:szCs w:val="21"/>
        </w:rPr>
      </w:pPr>
    </w:p>
    <w:p w14:paraId="034D8DA8" w14:textId="77777777" w:rsidR="001A28E5" w:rsidRPr="001A28E5" w:rsidRDefault="001A28E5" w:rsidP="001A28E5">
      <w:pPr>
        <w:jc w:val="both"/>
        <w:rPr>
          <w:rFonts w:ascii="Abadi" w:hAnsi="Abadi" w:cs="Arial"/>
          <w:sz w:val="21"/>
          <w:szCs w:val="21"/>
        </w:rPr>
      </w:pPr>
      <w:r w:rsidRPr="001A28E5">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1A28E5">
          <w:rPr>
            <w:rFonts w:ascii="Abadi" w:hAnsi="Abadi" w:cs="Arial"/>
            <w:sz w:val="21"/>
            <w:szCs w:val="21"/>
          </w:rPr>
          <w:t>la Ley</w:t>
        </w:r>
      </w:smartTag>
      <w:r w:rsidRPr="001A28E5">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1400B7F" w14:textId="77777777" w:rsidR="001A28E5" w:rsidRPr="001A28E5" w:rsidRDefault="001A28E5" w:rsidP="001A28E5">
      <w:pPr>
        <w:jc w:val="both"/>
        <w:rPr>
          <w:rFonts w:ascii="Abadi" w:hAnsi="Abadi" w:cs="Arial"/>
          <w:sz w:val="21"/>
          <w:szCs w:val="21"/>
        </w:rPr>
      </w:pPr>
    </w:p>
    <w:p w14:paraId="2105DA16" w14:textId="77777777" w:rsidR="001A28E5" w:rsidRPr="001A28E5" w:rsidRDefault="001A28E5" w:rsidP="001A28E5">
      <w:pPr>
        <w:jc w:val="both"/>
        <w:rPr>
          <w:rFonts w:ascii="Abadi" w:hAnsi="Abadi" w:cs="Arial"/>
          <w:sz w:val="21"/>
          <w:szCs w:val="21"/>
        </w:rPr>
      </w:pPr>
      <w:r w:rsidRPr="001A28E5">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788C4B64" w14:textId="77777777" w:rsidR="001A28E5" w:rsidRPr="001A28E5" w:rsidRDefault="001A28E5" w:rsidP="001A28E5">
      <w:pPr>
        <w:ind w:firstLine="708"/>
        <w:jc w:val="both"/>
        <w:rPr>
          <w:rFonts w:ascii="Abadi" w:hAnsi="Abadi" w:cs="Arial"/>
          <w:sz w:val="21"/>
          <w:szCs w:val="21"/>
        </w:rPr>
      </w:pPr>
    </w:p>
    <w:p w14:paraId="39352D85" w14:textId="77777777" w:rsidR="001A28E5" w:rsidRPr="001A28E5" w:rsidRDefault="001A28E5" w:rsidP="001A28E5">
      <w:pPr>
        <w:ind w:firstLine="708"/>
        <w:jc w:val="both"/>
        <w:rPr>
          <w:rFonts w:ascii="Abadi" w:hAnsi="Abadi" w:cs="Arial"/>
          <w:sz w:val="21"/>
          <w:szCs w:val="21"/>
        </w:rPr>
      </w:pPr>
      <w:r w:rsidRPr="001A28E5">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derivadas de la revisión a la presidenta y al ex-presidente municipales de León, Gto., concediéndoles el plazo que establece </w:t>
      </w:r>
      <w:smartTag w:uri="urn:schemas-microsoft-com:office:smarttags" w:element="PersonName">
        <w:smartTagPr>
          <w:attr w:name="ProductID" w:val="la Ley"/>
        </w:smartTagPr>
        <w:r w:rsidRPr="001A28E5">
          <w:rPr>
            <w:rFonts w:ascii="Abadi" w:hAnsi="Abadi" w:cs="Arial"/>
            <w:sz w:val="21"/>
            <w:szCs w:val="21"/>
          </w:rPr>
          <w:t>la Ley</w:t>
        </w:r>
      </w:smartTag>
      <w:r w:rsidRPr="001A28E5">
        <w:rPr>
          <w:rFonts w:ascii="Abadi" w:hAnsi="Abadi" w:cs="Arial"/>
          <w:sz w:val="21"/>
          <w:szCs w:val="21"/>
        </w:rPr>
        <w:t xml:space="preserve"> para aclarar, atender o solventar documentalmente las observaciones determinadas por el Órgano Técnico. Al respecto, la tesorera municipal de León, Gto., presentó información y documentación para aclarar y en su caso, solventar las observaciones determinadas.</w:t>
      </w:r>
    </w:p>
    <w:p w14:paraId="48201A43" w14:textId="77777777" w:rsidR="001A28E5" w:rsidRPr="001A28E5" w:rsidRDefault="001A28E5" w:rsidP="001A28E5">
      <w:pPr>
        <w:ind w:firstLine="708"/>
        <w:jc w:val="both"/>
        <w:rPr>
          <w:rFonts w:ascii="Abadi" w:hAnsi="Abadi" w:cs="Arial"/>
          <w:sz w:val="21"/>
          <w:szCs w:val="21"/>
        </w:rPr>
      </w:pPr>
    </w:p>
    <w:p w14:paraId="129C591B" w14:textId="77777777" w:rsidR="001A28E5" w:rsidRPr="001A28E5" w:rsidRDefault="001A28E5" w:rsidP="001A28E5">
      <w:pPr>
        <w:ind w:firstLine="708"/>
        <w:jc w:val="both"/>
        <w:rPr>
          <w:rFonts w:ascii="Abadi" w:hAnsi="Abadi" w:cs="Arial"/>
          <w:sz w:val="21"/>
          <w:szCs w:val="21"/>
        </w:rPr>
      </w:pPr>
      <w:r w:rsidRPr="001A28E5">
        <w:rPr>
          <w:rFonts w:ascii="Abadi" w:hAnsi="Abadi" w:cs="Arial"/>
          <w:sz w:val="21"/>
          <w:szCs w:val="21"/>
        </w:rPr>
        <w:t xml:space="preserve">De igual manera, existe en el informe de resultados la constancia de que este se notificó a la presidenta y al ex-presidente municipales de León, Gto., concediéndoles el término señalado en el artículo 37, fracción IV de </w:t>
      </w:r>
      <w:smartTag w:uri="urn:schemas-microsoft-com:office:smarttags" w:element="PersonName">
        <w:smartTagPr>
          <w:attr w:name="ProductID" w:val="la Ley"/>
        </w:smartTagPr>
        <w:r w:rsidRPr="001A28E5">
          <w:rPr>
            <w:rFonts w:ascii="Abadi" w:hAnsi="Abadi" w:cs="Arial"/>
            <w:sz w:val="21"/>
            <w:szCs w:val="21"/>
          </w:rPr>
          <w:t>la Ley</w:t>
        </w:r>
      </w:smartTag>
      <w:r w:rsidRPr="001A28E5">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 la presidenta y al ex-presidente municipales de León, Gto. En tal virtud, se considera que fue respetado el derecho de audiencia o defensa por parte del Órgano Técnico.</w:t>
      </w:r>
    </w:p>
    <w:p w14:paraId="13130F58" w14:textId="77777777" w:rsidR="001A28E5" w:rsidRPr="001A28E5" w:rsidRDefault="001A28E5" w:rsidP="001A28E5">
      <w:pPr>
        <w:ind w:firstLine="708"/>
        <w:jc w:val="both"/>
        <w:rPr>
          <w:rFonts w:ascii="Abadi" w:hAnsi="Abadi" w:cs="Arial"/>
          <w:sz w:val="21"/>
          <w:szCs w:val="21"/>
        </w:rPr>
      </w:pPr>
    </w:p>
    <w:p w14:paraId="5D404EBA" w14:textId="77777777" w:rsidR="001A28E5" w:rsidRPr="001A28E5" w:rsidRDefault="001A28E5" w:rsidP="001A28E5">
      <w:pPr>
        <w:ind w:firstLine="708"/>
        <w:jc w:val="both"/>
        <w:rPr>
          <w:rFonts w:ascii="Abadi" w:hAnsi="Abadi" w:cs="Arial"/>
          <w:sz w:val="21"/>
          <w:szCs w:val="21"/>
        </w:rPr>
      </w:pPr>
      <w:r w:rsidRPr="001A28E5">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07191269" w14:textId="77777777" w:rsidR="001A28E5" w:rsidRPr="001A28E5" w:rsidRDefault="001A28E5" w:rsidP="001A28E5">
      <w:pPr>
        <w:ind w:firstLine="708"/>
        <w:jc w:val="both"/>
        <w:rPr>
          <w:rFonts w:ascii="Abadi" w:hAnsi="Abadi" w:cs="Arial"/>
          <w:sz w:val="21"/>
          <w:szCs w:val="21"/>
        </w:rPr>
      </w:pPr>
    </w:p>
    <w:p w14:paraId="03BEC92F" w14:textId="4709A440" w:rsidR="001A28E5" w:rsidRPr="001A28E5" w:rsidRDefault="001A28E5" w:rsidP="001A28E5">
      <w:pPr>
        <w:ind w:firstLine="708"/>
        <w:jc w:val="both"/>
        <w:rPr>
          <w:rFonts w:ascii="Abadi" w:hAnsi="Abadi" w:cs="Arial"/>
          <w:sz w:val="21"/>
          <w:szCs w:val="21"/>
        </w:rPr>
      </w:pPr>
      <w:r w:rsidRPr="001A28E5">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60EEBCF5" w14:textId="77777777" w:rsidR="001A28E5" w:rsidRPr="001A28E5" w:rsidRDefault="001A28E5" w:rsidP="001A28E5">
      <w:pPr>
        <w:jc w:val="both"/>
        <w:rPr>
          <w:rFonts w:ascii="Abadi" w:hAnsi="Abadi" w:cs="Arial"/>
          <w:sz w:val="21"/>
          <w:szCs w:val="21"/>
        </w:rPr>
      </w:pPr>
    </w:p>
    <w:p w14:paraId="41D3EBAE" w14:textId="77777777" w:rsidR="001A28E5" w:rsidRPr="001A28E5" w:rsidRDefault="001A28E5" w:rsidP="001A28E5">
      <w:pPr>
        <w:ind w:firstLine="708"/>
        <w:jc w:val="both"/>
        <w:rPr>
          <w:rFonts w:ascii="Abadi" w:hAnsi="Abadi" w:cs="Arial"/>
          <w:sz w:val="21"/>
          <w:szCs w:val="21"/>
        </w:rPr>
      </w:pPr>
      <w:r w:rsidRPr="001A28E5">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7A054288" w14:textId="77777777" w:rsidR="001A28E5" w:rsidRPr="001A28E5" w:rsidRDefault="001A28E5" w:rsidP="001A28E5">
      <w:pPr>
        <w:ind w:firstLine="708"/>
        <w:jc w:val="both"/>
        <w:rPr>
          <w:rFonts w:ascii="Abadi" w:hAnsi="Abadi" w:cs="Arial"/>
          <w:sz w:val="21"/>
          <w:szCs w:val="21"/>
        </w:rPr>
      </w:pPr>
    </w:p>
    <w:p w14:paraId="36D650D2" w14:textId="77777777" w:rsidR="001A28E5" w:rsidRPr="001A28E5" w:rsidRDefault="001A28E5" w:rsidP="001A28E5">
      <w:pPr>
        <w:ind w:firstLine="708"/>
        <w:jc w:val="both"/>
        <w:rPr>
          <w:rFonts w:ascii="Abadi" w:hAnsi="Abadi" w:cs="Arial"/>
          <w:sz w:val="21"/>
          <w:szCs w:val="21"/>
        </w:rPr>
      </w:pPr>
      <w:r w:rsidRPr="001A28E5">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56E7540A" w14:textId="77777777" w:rsidR="001A28E5" w:rsidRPr="001A28E5" w:rsidRDefault="001A28E5" w:rsidP="001A28E5">
      <w:pPr>
        <w:ind w:firstLine="708"/>
        <w:jc w:val="both"/>
        <w:rPr>
          <w:rFonts w:ascii="Abadi" w:hAnsi="Abadi" w:cs="Arial"/>
          <w:sz w:val="21"/>
          <w:szCs w:val="21"/>
        </w:rPr>
      </w:pPr>
    </w:p>
    <w:p w14:paraId="038FF5FA" w14:textId="77777777" w:rsidR="001A28E5" w:rsidRPr="001A28E5" w:rsidRDefault="001A28E5" w:rsidP="001A28E5">
      <w:pPr>
        <w:ind w:firstLine="708"/>
        <w:jc w:val="both"/>
        <w:rPr>
          <w:rFonts w:ascii="Abadi" w:hAnsi="Abadi" w:cs="Arial"/>
          <w:sz w:val="21"/>
          <w:szCs w:val="21"/>
        </w:rPr>
      </w:pPr>
      <w:r w:rsidRPr="001A28E5">
        <w:rPr>
          <w:rFonts w:ascii="Abadi" w:hAnsi="Abadi" w:cs="Arial"/>
          <w:sz w:val="21"/>
          <w:szCs w:val="21"/>
        </w:rPr>
        <w:t xml:space="preserve">En razón de lo anteriormente señalado, concluimos que el informe de resultados de la revisión practicada a la cuenta pública de León, Gto., correspondiente al ejercicio fiscal del año 2020, debe sancionarse por el Congreso en los términos presentados por la Auditoría Superior del Estado y proceder a su aprobación, considerando que no se actualiza el supuesto contenido en el artículo 38 de </w:t>
      </w:r>
      <w:smartTag w:uri="urn:schemas-microsoft-com:office:smarttags" w:element="PersonName">
        <w:smartTagPr>
          <w:attr w:name="ProductID" w:val="la Ley"/>
        </w:smartTagPr>
        <w:r w:rsidRPr="001A28E5">
          <w:rPr>
            <w:rFonts w:ascii="Abadi" w:hAnsi="Abadi" w:cs="Arial"/>
            <w:sz w:val="21"/>
            <w:szCs w:val="21"/>
          </w:rPr>
          <w:t>la Ley</w:t>
        </w:r>
      </w:smartTag>
      <w:r w:rsidRPr="001A28E5">
        <w:rPr>
          <w:rFonts w:ascii="Abadi" w:hAnsi="Abadi" w:cs="Arial"/>
          <w:sz w:val="21"/>
          <w:szCs w:val="21"/>
        </w:rPr>
        <w:t xml:space="preserve"> de Fiscalización Superior del Estado de Guanajuato, razón por la cual no podría ser observado por el Pleno del Congreso.</w:t>
      </w:r>
    </w:p>
    <w:p w14:paraId="44DC3257" w14:textId="77777777" w:rsidR="001A28E5" w:rsidRPr="001A28E5" w:rsidRDefault="001A28E5" w:rsidP="001A28E5">
      <w:pPr>
        <w:ind w:firstLine="708"/>
        <w:jc w:val="both"/>
        <w:rPr>
          <w:rFonts w:ascii="Abadi" w:hAnsi="Abadi" w:cs="Arial"/>
          <w:sz w:val="21"/>
          <w:szCs w:val="21"/>
        </w:rPr>
      </w:pPr>
    </w:p>
    <w:p w14:paraId="4E840820" w14:textId="77777777" w:rsidR="001A28E5" w:rsidRPr="001A28E5" w:rsidRDefault="001A28E5" w:rsidP="001A28E5">
      <w:pPr>
        <w:ind w:firstLine="708"/>
        <w:jc w:val="both"/>
        <w:rPr>
          <w:rFonts w:ascii="Abadi" w:hAnsi="Abadi" w:cs="Arial"/>
          <w:sz w:val="21"/>
          <w:szCs w:val="21"/>
          <w:lang w:val="x-none" w:eastAsia="x-none"/>
        </w:rPr>
      </w:pPr>
      <w:r w:rsidRPr="001A28E5">
        <w:rPr>
          <w:rFonts w:ascii="Abadi" w:hAnsi="Abadi" w:cs="Arial"/>
          <w:sz w:val="21"/>
          <w:szCs w:val="21"/>
        </w:rPr>
        <w:t xml:space="preserve">Por lo expuesto, con fundamento en el artículo 204 de </w:t>
      </w:r>
      <w:smartTag w:uri="urn:schemas-microsoft-com:office:smarttags" w:element="PersonName">
        <w:smartTagPr>
          <w:attr w:name="ProductID" w:val="la Ley Org￡nica"/>
        </w:smartTagPr>
        <w:r w:rsidRPr="001A28E5">
          <w:rPr>
            <w:rFonts w:ascii="Abadi" w:hAnsi="Abadi" w:cs="Arial"/>
            <w:sz w:val="21"/>
            <w:szCs w:val="21"/>
          </w:rPr>
          <w:t>la Ley Orgánica</w:t>
        </w:r>
      </w:smartTag>
      <w:r w:rsidRPr="001A28E5">
        <w:rPr>
          <w:rFonts w:ascii="Abadi" w:hAnsi="Abadi" w:cs="Arial"/>
          <w:sz w:val="21"/>
          <w:szCs w:val="21"/>
        </w:rPr>
        <w:t xml:space="preserve"> del Poder Legislativo, nos permitimos someter a la consideración de </w:t>
      </w:r>
      <w:smartTag w:uri="urn:schemas-microsoft-com:office:smarttags" w:element="PersonName">
        <w:smartTagPr>
          <w:attr w:name="ProductID" w:val="la Asamblea"/>
        </w:smartTagPr>
        <w:r w:rsidRPr="001A28E5">
          <w:rPr>
            <w:rFonts w:ascii="Abadi" w:hAnsi="Abadi" w:cs="Arial"/>
            <w:sz w:val="21"/>
            <w:szCs w:val="21"/>
          </w:rPr>
          <w:t>la Asamblea</w:t>
        </w:r>
      </w:smartTag>
      <w:r w:rsidRPr="001A28E5">
        <w:rPr>
          <w:rFonts w:ascii="Abadi" w:hAnsi="Abadi" w:cs="Arial"/>
          <w:sz w:val="21"/>
          <w:szCs w:val="21"/>
        </w:rPr>
        <w:t>, la aprobación del siguiente</w:t>
      </w:r>
      <w:r w:rsidRPr="001A28E5">
        <w:rPr>
          <w:rFonts w:ascii="Abadi" w:hAnsi="Abadi" w:cs="Arial"/>
          <w:sz w:val="21"/>
          <w:szCs w:val="21"/>
          <w:lang w:val="x-none" w:eastAsia="x-none"/>
        </w:rPr>
        <w:t>:</w:t>
      </w:r>
    </w:p>
    <w:p w14:paraId="3A388945" w14:textId="77777777" w:rsidR="001A28E5" w:rsidRPr="001A28E5" w:rsidRDefault="001A28E5" w:rsidP="001A28E5">
      <w:pPr>
        <w:ind w:firstLine="708"/>
        <w:jc w:val="both"/>
        <w:rPr>
          <w:rFonts w:ascii="Abadi" w:hAnsi="Abadi" w:cs="Arial"/>
          <w:sz w:val="21"/>
          <w:szCs w:val="21"/>
          <w:lang w:val="x-none" w:eastAsia="x-none"/>
        </w:rPr>
      </w:pPr>
    </w:p>
    <w:p w14:paraId="25F6E725" w14:textId="77777777" w:rsidR="001A28E5" w:rsidRPr="001A28E5" w:rsidRDefault="001A28E5" w:rsidP="001A28E5">
      <w:pPr>
        <w:keepNext/>
        <w:jc w:val="center"/>
        <w:outlineLvl w:val="0"/>
        <w:rPr>
          <w:rFonts w:ascii="Abadi" w:eastAsia="Arial Unicode MS" w:hAnsi="Abadi" w:cs="Arial"/>
          <w:b/>
          <w:bCs/>
          <w:smallCaps/>
          <w:sz w:val="21"/>
          <w:szCs w:val="21"/>
        </w:rPr>
      </w:pPr>
      <w:r w:rsidRPr="001A28E5">
        <w:rPr>
          <w:rFonts w:ascii="Abadi" w:eastAsia="Arial Unicode MS" w:hAnsi="Abadi" w:cs="Arial"/>
          <w:b/>
          <w:bCs/>
          <w:smallCaps/>
          <w:sz w:val="21"/>
          <w:szCs w:val="21"/>
        </w:rPr>
        <w:t>A c u e r d o</w:t>
      </w:r>
    </w:p>
    <w:p w14:paraId="0C0E506F" w14:textId="77777777" w:rsidR="001A28E5" w:rsidRPr="001A28E5" w:rsidRDefault="001A28E5" w:rsidP="001A28E5">
      <w:pPr>
        <w:rPr>
          <w:rFonts w:ascii="Abadi" w:hAnsi="Abadi"/>
          <w:sz w:val="21"/>
          <w:szCs w:val="21"/>
        </w:rPr>
      </w:pPr>
    </w:p>
    <w:p w14:paraId="1C306B92" w14:textId="77777777" w:rsidR="001A28E5" w:rsidRPr="001A28E5" w:rsidRDefault="001A28E5" w:rsidP="001A28E5">
      <w:pPr>
        <w:ind w:firstLine="708"/>
        <w:jc w:val="both"/>
        <w:rPr>
          <w:rFonts w:ascii="Abadi" w:hAnsi="Abadi" w:cs="Arial"/>
          <w:sz w:val="21"/>
          <w:szCs w:val="21"/>
        </w:rPr>
      </w:pPr>
      <w:r w:rsidRPr="001A28E5">
        <w:rPr>
          <w:rFonts w:ascii="Abadi" w:hAnsi="Abadi" w:cs="Arial"/>
          <w:b/>
          <w:bCs/>
          <w:sz w:val="21"/>
          <w:szCs w:val="21"/>
        </w:rPr>
        <w:t xml:space="preserve">Único. </w:t>
      </w:r>
      <w:r w:rsidRPr="001A28E5">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1A28E5">
          <w:rPr>
            <w:rFonts w:ascii="Abadi" w:hAnsi="Abadi" w:cs="Arial"/>
            <w:sz w:val="21"/>
            <w:szCs w:val="21"/>
          </w:rPr>
          <w:t>la Constitución Política</w:t>
        </w:r>
      </w:smartTag>
      <w:r w:rsidRPr="001A28E5">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León, Gto., correspondiente al ejercicio fiscal del año 2020, con base en el informe de resultados formulado por la Auditoría Superior del Estado de Guanajuato.</w:t>
      </w:r>
    </w:p>
    <w:p w14:paraId="089B9131" w14:textId="77777777" w:rsidR="001A28E5" w:rsidRPr="001A28E5" w:rsidRDefault="001A28E5" w:rsidP="001A28E5">
      <w:pPr>
        <w:ind w:firstLine="708"/>
        <w:jc w:val="both"/>
        <w:rPr>
          <w:rFonts w:ascii="Abadi" w:hAnsi="Abadi" w:cs="Arial"/>
          <w:sz w:val="21"/>
          <w:szCs w:val="21"/>
        </w:rPr>
      </w:pPr>
    </w:p>
    <w:p w14:paraId="531DAD69" w14:textId="77777777" w:rsidR="001A28E5" w:rsidRPr="001A28E5" w:rsidRDefault="001A28E5" w:rsidP="001A28E5">
      <w:pPr>
        <w:ind w:firstLine="708"/>
        <w:jc w:val="both"/>
        <w:rPr>
          <w:rFonts w:ascii="Abadi" w:hAnsi="Abadi" w:cs="Arial"/>
          <w:sz w:val="21"/>
          <w:szCs w:val="21"/>
          <w:lang w:val="es-MX" w:eastAsia="x-none"/>
        </w:rPr>
      </w:pPr>
      <w:r w:rsidRPr="001A28E5">
        <w:rPr>
          <w:rFonts w:ascii="Abadi" w:hAnsi="Abadi" w:cs="Arial"/>
          <w:sz w:val="21"/>
          <w:szCs w:val="21"/>
          <w:lang w:val="x-none" w:eastAsia="x-none"/>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1A28E5">
        <w:rPr>
          <w:rFonts w:ascii="Abadi" w:hAnsi="Abadi" w:cs="Arial"/>
          <w:sz w:val="21"/>
          <w:szCs w:val="21"/>
          <w:lang w:val="es-MX" w:eastAsia="x-none"/>
        </w:rPr>
        <w:t>.</w:t>
      </w:r>
      <w:r w:rsidRPr="001A28E5">
        <w:rPr>
          <w:rFonts w:ascii="Abadi" w:hAnsi="Abadi" w:cs="Arial"/>
          <w:sz w:val="21"/>
          <w:szCs w:val="21"/>
          <w:lang w:val="x-none" w:eastAsia="x-none"/>
        </w:rPr>
        <w:t xml:space="preserve"> </w:t>
      </w:r>
      <w:r w:rsidRPr="001A28E5">
        <w:rPr>
          <w:rFonts w:ascii="Abadi" w:hAnsi="Abadi" w:cs="Arial"/>
          <w:sz w:val="21"/>
          <w:szCs w:val="21"/>
          <w:lang w:val="es-MX" w:eastAsia="x-none"/>
        </w:rPr>
        <w:t>Asimismo, dará</w:t>
      </w:r>
      <w:r w:rsidRPr="001A28E5">
        <w:rPr>
          <w:rFonts w:ascii="Abadi" w:hAnsi="Abadi" w:cs="Arial"/>
          <w:sz w:val="21"/>
          <w:szCs w:val="21"/>
          <w:lang w:val="x-none" w:eastAsia="x-none"/>
        </w:rPr>
        <w:t xml:space="preserve"> seguimiento a la</w:t>
      </w:r>
      <w:r w:rsidRPr="001A28E5">
        <w:rPr>
          <w:rFonts w:ascii="Abadi" w:hAnsi="Abadi" w:cs="Arial"/>
          <w:sz w:val="21"/>
          <w:szCs w:val="21"/>
          <w:lang w:val="es-MX" w:eastAsia="x-none"/>
        </w:rPr>
        <w:t>s</w:t>
      </w:r>
      <w:r w:rsidRPr="001A28E5">
        <w:rPr>
          <w:rFonts w:ascii="Abadi" w:hAnsi="Abadi" w:cs="Arial"/>
          <w:sz w:val="21"/>
          <w:szCs w:val="21"/>
          <w:lang w:val="x-none" w:eastAsia="x-none"/>
        </w:rPr>
        <w:t xml:space="preserve"> observaciones no solventadas contenidas en el informe de resultados</w:t>
      </w:r>
      <w:r w:rsidRPr="001A28E5">
        <w:rPr>
          <w:rFonts w:ascii="Abadi" w:hAnsi="Abadi" w:cs="Arial"/>
          <w:sz w:val="21"/>
          <w:szCs w:val="21"/>
          <w:lang w:val="es-MX" w:eastAsia="x-none"/>
        </w:rPr>
        <w:t>.</w:t>
      </w:r>
    </w:p>
    <w:p w14:paraId="34928038" w14:textId="77777777" w:rsidR="001A28E5" w:rsidRPr="001A28E5" w:rsidRDefault="001A28E5" w:rsidP="001A28E5">
      <w:pPr>
        <w:ind w:firstLine="708"/>
        <w:jc w:val="both"/>
        <w:rPr>
          <w:rFonts w:ascii="Abadi" w:hAnsi="Abadi" w:cs="Arial"/>
          <w:sz w:val="21"/>
          <w:szCs w:val="21"/>
          <w:lang w:val="es-MX" w:eastAsia="x-none"/>
        </w:rPr>
      </w:pPr>
    </w:p>
    <w:p w14:paraId="734DAD79" w14:textId="77777777" w:rsidR="001A28E5" w:rsidRPr="001A28E5" w:rsidRDefault="001A28E5" w:rsidP="001A28E5">
      <w:pPr>
        <w:ind w:firstLine="708"/>
        <w:jc w:val="both"/>
        <w:rPr>
          <w:rFonts w:ascii="Abadi" w:hAnsi="Abadi" w:cs="Arial"/>
          <w:sz w:val="21"/>
          <w:szCs w:val="21"/>
          <w:lang w:val="x-none" w:eastAsia="x-none"/>
        </w:rPr>
      </w:pPr>
      <w:r w:rsidRPr="001A28E5">
        <w:rPr>
          <w:rFonts w:ascii="Abadi" w:hAnsi="Abadi" w:cs="Arial"/>
          <w:sz w:val="21"/>
          <w:szCs w:val="21"/>
        </w:rPr>
        <w:t>Del proceso de fiscalización realizado no se desprendieron recomendaciones</w:t>
      </w:r>
      <w:r w:rsidRPr="001A28E5">
        <w:rPr>
          <w:rFonts w:ascii="Abadi" w:hAnsi="Abadi" w:cs="Arial"/>
          <w:sz w:val="21"/>
          <w:szCs w:val="21"/>
          <w:lang w:val="x-none" w:eastAsia="x-none"/>
        </w:rPr>
        <w:t>.</w:t>
      </w:r>
    </w:p>
    <w:p w14:paraId="0604DF97" w14:textId="77777777" w:rsidR="001A28E5" w:rsidRPr="001A28E5" w:rsidRDefault="001A28E5" w:rsidP="001A28E5">
      <w:pPr>
        <w:ind w:firstLine="708"/>
        <w:jc w:val="both"/>
        <w:rPr>
          <w:rFonts w:ascii="Abadi" w:hAnsi="Abadi" w:cs="Arial"/>
          <w:sz w:val="21"/>
          <w:szCs w:val="21"/>
        </w:rPr>
      </w:pPr>
    </w:p>
    <w:p w14:paraId="0402553D" w14:textId="77777777" w:rsidR="001A28E5" w:rsidRPr="001A28E5" w:rsidRDefault="001A28E5" w:rsidP="001A28E5">
      <w:pPr>
        <w:ind w:firstLine="708"/>
        <w:jc w:val="both"/>
        <w:rPr>
          <w:rFonts w:ascii="Abadi" w:hAnsi="Abadi" w:cs="Arial"/>
          <w:sz w:val="21"/>
          <w:szCs w:val="21"/>
        </w:rPr>
      </w:pPr>
      <w:r w:rsidRPr="001A28E5">
        <w:rPr>
          <w:rFonts w:ascii="Abadi" w:hAnsi="Abadi" w:cs="Arial"/>
          <w:sz w:val="21"/>
          <w:szCs w:val="21"/>
        </w:rPr>
        <w:t>Remítase el presente acuerdo al titular del Poder Ejecutivo del Estado para su publicación en el Periódico Oficial del Gobierno del Estado.</w:t>
      </w:r>
    </w:p>
    <w:p w14:paraId="688CAD2B" w14:textId="77777777" w:rsidR="001A28E5" w:rsidRPr="001A28E5" w:rsidRDefault="001A28E5" w:rsidP="001A28E5">
      <w:pPr>
        <w:ind w:firstLine="708"/>
        <w:jc w:val="both"/>
        <w:rPr>
          <w:rFonts w:ascii="Abadi" w:hAnsi="Abadi" w:cs="Arial"/>
          <w:sz w:val="21"/>
          <w:szCs w:val="21"/>
        </w:rPr>
      </w:pPr>
    </w:p>
    <w:p w14:paraId="77DC4AAC" w14:textId="77777777" w:rsidR="001A28E5" w:rsidRPr="001A28E5" w:rsidRDefault="001A28E5" w:rsidP="001A28E5">
      <w:pPr>
        <w:ind w:firstLine="708"/>
        <w:jc w:val="both"/>
        <w:rPr>
          <w:rFonts w:ascii="Abadi" w:hAnsi="Abadi" w:cs="Arial"/>
          <w:sz w:val="21"/>
          <w:szCs w:val="21"/>
          <w:lang w:val="x-none" w:eastAsia="x-none"/>
        </w:rPr>
      </w:pPr>
      <w:r w:rsidRPr="001A28E5">
        <w:rPr>
          <w:rFonts w:ascii="Abadi" w:hAnsi="Abadi" w:cs="Arial"/>
          <w:sz w:val="21"/>
          <w:szCs w:val="21"/>
          <w:lang w:val="x-none"/>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1A28E5">
        <w:rPr>
          <w:rFonts w:ascii="Abadi" w:hAnsi="Abadi" w:cs="Arial"/>
          <w:sz w:val="21"/>
          <w:szCs w:val="21"/>
          <w:lang w:val="x-none" w:eastAsia="x-none"/>
        </w:rPr>
        <w:t>.</w:t>
      </w:r>
    </w:p>
    <w:p w14:paraId="59299295" w14:textId="77777777" w:rsidR="001A28E5" w:rsidRPr="001A28E5" w:rsidRDefault="001A28E5" w:rsidP="001A28E5">
      <w:pPr>
        <w:jc w:val="center"/>
        <w:rPr>
          <w:rFonts w:ascii="Abadi" w:hAnsi="Abadi" w:cs="Arial"/>
          <w:b/>
          <w:bCs/>
          <w:sz w:val="21"/>
          <w:szCs w:val="21"/>
          <w:lang w:eastAsia="x-none"/>
        </w:rPr>
      </w:pPr>
    </w:p>
    <w:p w14:paraId="2AE93FC3" w14:textId="77777777" w:rsidR="001A28E5" w:rsidRPr="001A28E5" w:rsidRDefault="001A28E5" w:rsidP="001A28E5">
      <w:pPr>
        <w:jc w:val="center"/>
        <w:rPr>
          <w:rFonts w:ascii="Abadi" w:hAnsi="Abadi" w:cs="Arial"/>
          <w:b/>
          <w:bCs/>
          <w:sz w:val="21"/>
          <w:szCs w:val="21"/>
          <w:lang w:eastAsia="x-none"/>
        </w:rPr>
      </w:pPr>
      <w:r w:rsidRPr="001A28E5">
        <w:rPr>
          <w:rFonts w:ascii="Abadi" w:hAnsi="Abadi" w:cs="Arial"/>
          <w:b/>
          <w:bCs/>
          <w:sz w:val="21"/>
          <w:szCs w:val="21"/>
          <w:lang w:eastAsia="x-none"/>
        </w:rPr>
        <w:t>Guanajuato, Gto., 20 de junio de 2022</w:t>
      </w:r>
    </w:p>
    <w:p w14:paraId="513FE951" w14:textId="77777777" w:rsidR="001A28E5" w:rsidRPr="001A28E5" w:rsidRDefault="001A28E5" w:rsidP="001A28E5">
      <w:pPr>
        <w:jc w:val="center"/>
        <w:rPr>
          <w:rFonts w:ascii="Abadi" w:hAnsi="Abadi" w:cs="Arial"/>
          <w:b/>
          <w:bCs/>
          <w:sz w:val="21"/>
          <w:szCs w:val="21"/>
          <w:lang w:eastAsia="x-none"/>
        </w:rPr>
      </w:pPr>
      <w:smartTag w:uri="urn:schemas-microsoft-com:office:smarttags" w:element="PersonName">
        <w:smartTagPr>
          <w:attr w:name="ProductID" w:val="La Comisi￳n"/>
        </w:smartTagPr>
        <w:r w:rsidRPr="001A28E5">
          <w:rPr>
            <w:rFonts w:ascii="Abadi" w:hAnsi="Abadi" w:cs="Arial"/>
            <w:b/>
            <w:bCs/>
            <w:sz w:val="21"/>
            <w:szCs w:val="21"/>
            <w:lang w:eastAsia="x-none"/>
          </w:rPr>
          <w:t>La Comisión</w:t>
        </w:r>
      </w:smartTag>
      <w:r w:rsidRPr="001A28E5">
        <w:rPr>
          <w:rFonts w:ascii="Abadi" w:hAnsi="Abadi" w:cs="Arial"/>
          <w:b/>
          <w:bCs/>
          <w:sz w:val="21"/>
          <w:szCs w:val="21"/>
          <w:lang w:eastAsia="x-none"/>
        </w:rPr>
        <w:t xml:space="preserve"> de Hacienda y Fiscalización</w:t>
      </w:r>
    </w:p>
    <w:p w14:paraId="1BE69B39" w14:textId="77777777" w:rsidR="001A28E5" w:rsidRPr="001A28E5" w:rsidRDefault="001A28E5" w:rsidP="001A28E5">
      <w:pPr>
        <w:jc w:val="center"/>
        <w:rPr>
          <w:rFonts w:ascii="Abadi" w:hAnsi="Abadi" w:cs="Arial"/>
          <w:i/>
          <w:iCs/>
          <w:sz w:val="21"/>
          <w:szCs w:val="21"/>
          <w:lang w:eastAsia="x-none"/>
        </w:rPr>
      </w:pPr>
      <w:r w:rsidRPr="001A28E5">
        <w:rPr>
          <w:rFonts w:ascii="Abadi" w:hAnsi="Abadi" w:cs="Arial"/>
          <w:i/>
          <w:iCs/>
          <w:sz w:val="21"/>
          <w:szCs w:val="21"/>
          <w:lang w:eastAsia="x-none"/>
        </w:rPr>
        <w:t>Firma electrónica</w:t>
      </w:r>
    </w:p>
    <w:p w14:paraId="78DDA887" w14:textId="77777777" w:rsidR="001A28E5" w:rsidRPr="001A28E5" w:rsidRDefault="001A28E5" w:rsidP="001A28E5">
      <w:pPr>
        <w:jc w:val="center"/>
        <w:rPr>
          <w:rFonts w:ascii="Abadi" w:hAnsi="Abadi" w:cs="Arial"/>
          <w:sz w:val="21"/>
          <w:szCs w:val="21"/>
        </w:rPr>
      </w:pPr>
    </w:p>
    <w:p w14:paraId="6A97468A" w14:textId="77777777" w:rsidR="001A28E5" w:rsidRPr="001A28E5" w:rsidRDefault="001A28E5" w:rsidP="001A28E5">
      <w:pPr>
        <w:jc w:val="center"/>
        <w:rPr>
          <w:rFonts w:ascii="Abadi" w:hAnsi="Abadi" w:cs="Arial"/>
          <w:sz w:val="21"/>
          <w:szCs w:val="21"/>
        </w:rPr>
      </w:pPr>
    </w:p>
    <w:p w14:paraId="487A13F1" w14:textId="77777777" w:rsidR="001A28E5" w:rsidRPr="001A28E5" w:rsidRDefault="001A28E5" w:rsidP="001A28E5">
      <w:pPr>
        <w:jc w:val="center"/>
        <w:rPr>
          <w:rFonts w:ascii="Abadi" w:hAnsi="Abadi" w:cs="Arial"/>
          <w:sz w:val="21"/>
          <w:szCs w:val="21"/>
        </w:rPr>
      </w:pPr>
      <w:r w:rsidRPr="001A28E5">
        <w:rPr>
          <w:rFonts w:ascii="Abadi" w:hAnsi="Abadi" w:cs="Arial"/>
          <w:b/>
          <w:sz w:val="21"/>
          <w:szCs w:val="21"/>
          <w:lang w:eastAsia="x-none"/>
        </w:rPr>
        <w:t>Diputado Víctor Manuel Zanella Huerta</w:t>
      </w:r>
    </w:p>
    <w:p w14:paraId="0E5BEF67" w14:textId="77777777" w:rsidR="001A28E5" w:rsidRPr="001A28E5" w:rsidRDefault="001A28E5" w:rsidP="001A28E5">
      <w:pPr>
        <w:jc w:val="center"/>
        <w:rPr>
          <w:rFonts w:ascii="Abadi" w:hAnsi="Abadi" w:cs="Arial"/>
          <w:sz w:val="21"/>
          <w:szCs w:val="21"/>
          <w:lang w:eastAsia="x-none"/>
        </w:rPr>
      </w:pPr>
    </w:p>
    <w:p w14:paraId="77FBF6A4" w14:textId="77777777" w:rsidR="001A28E5" w:rsidRPr="001A28E5" w:rsidRDefault="001A28E5" w:rsidP="001A28E5">
      <w:pPr>
        <w:jc w:val="center"/>
        <w:rPr>
          <w:rFonts w:ascii="Abadi" w:hAnsi="Abadi" w:cs="Arial"/>
          <w:b/>
          <w:bCs/>
          <w:sz w:val="21"/>
          <w:szCs w:val="21"/>
          <w:lang w:eastAsia="x-none"/>
        </w:rPr>
      </w:pPr>
    </w:p>
    <w:p w14:paraId="1831E293" w14:textId="46F80865" w:rsidR="001A28E5" w:rsidRPr="001A28E5" w:rsidRDefault="001A28E5" w:rsidP="001A28E5">
      <w:pPr>
        <w:jc w:val="center"/>
        <w:rPr>
          <w:rFonts w:ascii="Abadi" w:hAnsi="Abadi" w:cs="Arial"/>
          <w:b/>
          <w:sz w:val="21"/>
          <w:szCs w:val="21"/>
          <w:lang w:eastAsia="x-none"/>
        </w:rPr>
      </w:pPr>
      <w:r w:rsidRPr="001A28E5">
        <w:rPr>
          <w:rFonts w:ascii="Abadi" w:hAnsi="Abadi" w:cs="Arial"/>
          <w:b/>
          <w:sz w:val="21"/>
          <w:szCs w:val="21"/>
          <w:lang w:eastAsia="x-none"/>
        </w:rPr>
        <w:t>Diputada Ruth Noemí Tiscareño Agoitia</w:t>
      </w:r>
    </w:p>
    <w:p w14:paraId="4CCDD195" w14:textId="77777777" w:rsidR="001A28E5" w:rsidRPr="001A28E5" w:rsidRDefault="001A28E5" w:rsidP="001A28E5">
      <w:pPr>
        <w:jc w:val="center"/>
        <w:rPr>
          <w:rFonts w:ascii="Abadi" w:hAnsi="Abadi" w:cs="Arial"/>
          <w:b/>
          <w:sz w:val="21"/>
          <w:szCs w:val="21"/>
          <w:lang w:eastAsia="x-none"/>
        </w:rPr>
      </w:pPr>
    </w:p>
    <w:p w14:paraId="0EEE131B" w14:textId="0AF07CFF" w:rsidR="001A28E5" w:rsidRPr="001A28E5" w:rsidRDefault="001A28E5" w:rsidP="001A28E5">
      <w:pPr>
        <w:jc w:val="center"/>
        <w:rPr>
          <w:rFonts w:ascii="Abadi" w:hAnsi="Abadi" w:cs="Arial"/>
          <w:b/>
          <w:sz w:val="21"/>
          <w:szCs w:val="21"/>
          <w:lang w:eastAsia="x-none"/>
        </w:rPr>
      </w:pPr>
      <w:r w:rsidRPr="001A28E5">
        <w:rPr>
          <w:rFonts w:ascii="Abadi" w:hAnsi="Abadi" w:cs="Arial"/>
          <w:b/>
          <w:sz w:val="21"/>
          <w:szCs w:val="21"/>
          <w:lang w:eastAsia="x-none"/>
        </w:rPr>
        <w:t>Diputado Miguel Ángel Salim Alle</w:t>
      </w:r>
    </w:p>
    <w:p w14:paraId="5E5F9B58" w14:textId="77777777" w:rsidR="001A28E5" w:rsidRPr="001A28E5" w:rsidRDefault="001A28E5" w:rsidP="001A28E5">
      <w:pPr>
        <w:jc w:val="center"/>
        <w:rPr>
          <w:rFonts w:ascii="Abadi" w:hAnsi="Abadi" w:cs="Arial"/>
          <w:b/>
          <w:sz w:val="21"/>
          <w:szCs w:val="21"/>
          <w:lang w:eastAsia="x-none"/>
        </w:rPr>
      </w:pPr>
    </w:p>
    <w:p w14:paraId="14D76313" w14:textId="3466E8A7" w:rsidR="001A28E5" w:rsidRPr="001A28E5" w:rsidRDefault="001A28E5" w:rsidP="001A28E5">
      <w:pPr>
        <w:jc w:val="center"/>
        <w:rPr>
          <w:rFonts w:ascii="Abadi" w:hAnsi="Abadi" w:cs="Arial"/>
          <w:b/>
          <w:sz w:val="21"/>
          <w:szCs w:val="21"/>
          <w:lang w:eastAsia="x-none"/>
        </w:rPr>
      </w:pPr>
      <w:r w:rsidRPr="001A28E5">
        <w:rPr>
          <w:rFonts w:ascii="Abadi" w:hAnsi="Abadi" w:cs="Arial"/>
          <w:b/>
          <w:sz w:val="21"/>
          <w:szCs w:val="21"/>
          <w:lang w:eastAsia="x-none"/>
        </w:rPr>
        <w:t>Diputado José Alfonso Borja Pimentel</w:t>
      </w:r>
    </w:p>
    <w:p w14:paraId="26009D28" w14:textId="77777777" w:rsidR="001A28E5" w:rsidRPr="001A28E5" w:rsidRDefault="001A28E5" w:rsidP="001A28E5">
      <w:pPr>
        <w:jc w:val="center"/>
        <w:rPr>
          <w:rFonts w:ascii="Abadi" w:hAnsi="Abadi" w:cs="Arial"/>
          <w:b/>
          <w:sz w:val="21"/>
          <w:szCs w:val="21"/>
          <w:lang w:eastAsia="x-none"/>
        </w:rPr>
      </w:pPr>
    </w:p>
    <w:p w14:paraId="0099C56D" w14:textId="77777777" w:rsidR="001A28E5" w:rsidRPr="001A28E5" w:rsidRDefault="001A28E5" w:rsidP="001A28E5">
      <w:pPr>
        <w:jc w:val="center"/>
        <w:rPr>
          <w:rFonts w:ascii="Abadi" w:hAnsi="Abadi" w:cs="Arial"/>
          <w:b/>
          <w:sz w:val="21"/>
          <w:szCs w:val="21"/>
          <w:lang w:eastAsia="x-none"/>
        </w:rPr>
      </w:pPr>
    </w:p>
    <w:p w14:paraId="26379B6D" w14:textId="77777777" w:rsidR="001A28E5" w:rsidRPr="001A28E5" w:rsidRDefault="001A28E5" w:rsidP="001A28E5">
      <w:pPr>
        <w:jc w:val="center"/>
        <w:rPr>
          <w:rFonts w:ascii="Abadi" w:hAnsi="Abadi" w:cs="Arial"/>
          <w:b/>
          <w:sz w:val="21"/>
          <w:szCs w:val="21"/>
          <w:lang w:eastAsia="x-none"/>
        </w:rPr>
      </w:pPr>
      <w:r w:rsidRPr="001A28E5">
        <w:rPr>
          <w:rFonts w:ascii="Abadi" w:hAnsi="Abadi" w:cs="Arial"/>
          <w:b/>
          <w:sz w:val="21"/>
          <w:szCs w:val="21"/>
          <w:lang w:eastAsia="x-none"/>
        </w:rPr>
        <w:t>Diputada Alma Edwviges Alcaraz Hernández</w:t>
      </w:r>
    </w:p>
    <w:p w14:paraId="3E525A3F" w14:textId="7CA617EB" w:rsidR="001A28E5" w:rsidRPr="001A28E5" w:rsidRDefault="001A28E5" w:rsidP="001A28E5">
      <w:pPr>
        <w:jc w:val="center"/>
        <w:rPr>
          <w:rFonts w:ascii="Abadi" w:hAnsi="Abadi" w:cs="Arial"/>
          <w:bCs/>
          <w:i/>
          <w:iCs/>
          <w:sz w:val="21"/>
          <w:szCs w:val="21"/>
          <w:lang w:eastAsia="x-none"/>
        </w:rPr>
      </w:pPr>
      <w:r w:rsidRPr="001A28E5">
        <w:rPr>
          <w:rFonts w:ascii="Abadi" w:hAnsi="Abadi" w:cs="Arial"/>
          <w:bCs/>
          <w:i/>
          <w:iCs/>
          <w:sz w:val="21"/>
          <w:szCs w:val="21"/>
          <w:lang w:eastAsia="x-none"/>
        </w:rPr>
        <w:t>Voto en contra</w:t>
      </w:r>
    </w:p>
    <w:p w14:paraId="3928E943" w14:textId="7189844E" w:rsidR="00126EE6" w:rsidRDefault="00126EE6" w:rsidP="00126EE6">
      <w:pPr>
        <w:tabs>
          <w:tab w:val="left" w:pos="856"/>
        </w:tabs>
        <w:kinsoku w:val="0"/>
        <w:overflowPunct w:val="0"/>
        <w:autoSpaceDE w:val="0"/>
        <w:autoSpaceDN w:val="0"/>
        <w:adjustRightInd w:val="0"/>
        <w:spacing w:before="130"/>
        <w:ind w:left="360" w:right="17"/>
        <w:jc w:val="both"/>
        <w:rPr>
          <w:rFonts w:ascii="Abadi" w:hAnsi="Abadi"/>
          <w:sz w:val="20"/>
          <w:szCs w:val="20"/>
        </w:rPr>
      </w:pPr>
    </w:p>
    <w:p w14:paraId="43A5A3CA" w14:textId="77777777" w:rsidR="00126EE6" w:rsidRPr="00126EE6" w:rsidRDefault="00126EE6" w:rsidP="00126EE6">
      <w:pPr>
        <w:tabs>
          <w:tab w:val="left" w:pos="856"/>
        </w:tabs>
        <w:kinsoku w:val="0"/>
        <w:overflowPunct w:val="0"/>
        <w:autoSpaceDE w:val="0"/>
        <w:autoSpaceDN w:val="0"/>
        <w:adjustRightInd w:val="0"/>
        <w:spacing w:before="130"/>
        <w:ind w:left="360" w:right="17"/>
        <w:jc w:val="both"/>
        <w:rPr>
          <w:rFonts w:ascii="Abadi" w:hAnsi="Abadi"/>
          <w:sz w:val="20"/>
          <w:szCs w:val="20"/>
        </w:rPr>
      </w:pPr>
    </w:p>
    <w:p w14:paraId="0530F161" w14:textId="77777777" w:rsidR="008E5287" w:rsidRPr="00531B12" w:rsidRDefault="008E5287" w:rsidP="005433FA">
      <w:pPr>
        <w:pStyle w:val="Prrafodelista"/>
        <w:numPr>
          <w:ilvl w:val="0"/>
          <w:numId w:val="9"/>
        </w:numPr>
        <w:tabs>
          <w:tab w:val="left" w:pos="856"/>
        </w:tabs>
        <w:kinsoku w:val="0"/>
        <w:overflowPunct w:val="0"/>
        <w:autoSpaceDE w:val="0"/>
        <w:autoSpaceDN w:val="0"/>
        <w:adjustRightInd w:val="0"/>
        <w:ind w:right="17"/>
        <w:jc w:val="both"/>
        <w:rPr>
          <w:rFonts w:ascii="Abadi" w:hAnsi="Abadi"/>
          <w:b/>
          <w:bCs/>
          <w:sz w:val="20"/>
          <w:szCs w:val="20"/>
        </w:rPr>
      </w:pPr>
      <w:r w:rsidRPr="00531B12">
        <w:rPr>
          <w:rFonts w:ascii="Abadi" w:hAnsi="Abadi"/>
          <w:b/>
          <w:bCs/>
          <w:sz w:val="20"/>
          <w:szCs w:val="20"/>
        </w:rPr>
        <w:t>ASUNTOS GENERALES.</w:t>
      </w:r>
    </w:p>
    <w:p w14:paraId="0BBB1B25" w14:textId="77777777" w:rsidR="008E5287" w:rsidRPr="008E5287" w:rsidRDefault="008E5287" w:rsidP="008E5287">
      <w:pPr>
        <w:tabs>
          <w:tab w:val="left" w:pos="856"/>
        </w:tabs>
        <w:kinsoku w:val="0"/>
        <w:overflowPunct w:val="0"/>
        <w:autoSpaceDE w:val="0"/>
        <w:autoSpaceDN w:val="0"/>
        <w:adjustRightInd w:val="0"/>
        <w:spacing w:before="130"/>
        <w:ind w:right="17"/>
        <w:jc w:val="both"/>
        <w:rPr>
          <w:rFonts w:ascii="Abadi" w:hAnsi="Abadi"/>
          <w:b/>
          <w:bCs/>
          <w:sz w:val="20"/>
          <w:szCs w:val="20"/>
        </w:rPr>
      </w:pPr>
    </w:p>
    <w:p w14:paraId="19DB4767" w14:textId="5A82DF3B" w:rsidR="00CA4D25" w:rsidRDefault="00CA4D25" w:rsidP="00CA4D25">
      <w:pPr>
        <w:pStyle w:val="Prrafodelista"/>
        <w:tabs>
          <w:tab w:val="left" w:pos="856"/>
        </w:tabs>
        <w:kinsoku w:val="0"/>
        <w:overflowPunct w:val="0"/>
        <w:autoSpaceDE w:val="0"/>
        <w:autoSpaceDN w:val="0"/>
        <w:adjustRightInd w:val="0"/>
        <w:ind w:left="720" w:right="17"/>
        <w:jc w:val="both"/>
        <w:rPr>
          <w:rFonts w:ascii="Abadi" w:hAnsi="Abadi"/>
          <w:b/>
          <w:bCs/>
          <w:sz w:val="20"/>
          <w:szCs w:val="20"/>
        </w:rPr>
      </w:pPr>
    </w:p>
    <w:p w14:paraId="4DEACABF" w14:textId="6DD829CD" w:rsidR="005D2F85" w:rsidRDefault="005D2F85" w:rsidP="005D2F85">
      <w:pPr>
        <w:ind w:firstLine="708"/>
        <w:jc w:val="both"/>
        <w:rPr>
          <w:rFonts w:ascii="Abadi" w:hAnsi="Abadi"/>
          <w:sz w:val="21"/>
          <w:szCs w:val="21"/>
        </w:rPr>
      </w:pPr>
      <w:r>
        <w:rPr>
          <w:rFonts w:ascii="Abadi" w:hAnsi="Abadi"/>
          <w:b/>
          <w:bCs/>
          <w:sz w:val="21"/>
          <w:szCs w:val="21"/>
        </w:rPr>
        <w:t xml:space="preserve">- </w:t>
      </w:r>
      <w:r w:rsidRPr="005D2F85">
        <w:rPr>
          <w:rFonts w:ascii="Abadi" w:hAnsi="Abadi"/>
          <w:b/>
          <w:bCs/>
          <w:sz w:val="21"/>
          <w:szCs w:val="21"/>
        </w:rPr>
        <w:t xml:space="preserve">La </w:t>
      </w:r>
      <w:proofErr w:type="gramStart"/>
      <w:r w:rsidRPr="005D2F85">
        <w:rPr>
          <w:rFonts w:ascii="Abadi" w:hAnsi="Abadi"/>
          <w:b/>
          <w:bCs/>
          <w:sz w:val="21"/>
          <w:szCs w:val="21"/>
        </w:rPr>
        <w:t>Presidencia.-</w:t>
      </w:r>
      <w:proofErr w:type="gramEnd"/>
      <w:r w:rsidRPr="005D2F85">
        <w:rPr>
          <w:rFonts w:ascii="Abadi" w:hAnsi="Abadi"/>
          <w:b/>
          <w:bCs/>
          <w:sz w:val="21"/>
          <w:szCs w:val="21"/>
        </w:rPr>
        <w:t xml:space="preserve"> </w:t>
      </w:r>
      <w:r w:rsidR="00017219" w:rsidRPr="00017219">
        <w:rPr>
          <w:rFonts w:ascii="Abadi" w:hAnsi="Abadi"/>
          <w:sz w:val="21"/>
          <w:szCs w:val="21"/>
        </w:rPr>
        <w:t>Muchas gracias y en</w:t>
      </w:r>
      <w:r w:rsidR="00017219">
        <w:rPr>
          <w:rFonts w:ascii="Abadi" w:hAnsi="Abadi"/>
          <w:b/>
          <w:bCs/>
          <w:sz w:val="21"/>
          <w:szCs w:val="21"/>
        </w:rPr>
        <w:t xml:space="preserve"> </w:t>
      </w:r>
      <w:r w:rsidRPr="005D2F85">
        <w:rPr>
          <w:rFonts w:ascii="Abadi" w:hAnsi="Abadi"/>
          <w:sz w:val="21"/>
          <w:szCs w:val="21"/>
        </w:rPr>
        <w:t xml:space="preserve"> virtud de que el </w:t>
      </w:r>
      <w:r w:rsidR="00017219">
        <w:rPr>
          <w:rFonts w:ascii="Abadi" w:hAnsi="Abadi"/>
          <w:sz w:val="21"/>
          <w:szCs w:val="21"/>
        </w:rPr>
        <w:t>c</w:t>
      </w:r>
      <w:r w:rsidRPr="005D2F85">
        <w:rPr>
          <w:rFonts w:ascii="Abadi" w:hAnsi="Abadi"/>
          <w:sz w:val="21"/>
          <w:szCs w:val="21"/>
        </w:rPr>
        <w:t xml:space="preserve">uórum de asistencia </w:t>
      </w:r>
      <w:r w:rsidR="00453E89">
        <w:rPr>
          <w:rFonts w:ascii="Abadi" w:hAnsi="Abadi"/>
          <w:sz w:val="21"/>
          <w:szCs w:val="21"/>
        </w:rPr>
        <w:t xml:space="preserve">a </w:t>
      </w:r>
      <w:r w:rsidRPr="005D2F85">
        <w:rPr>
          <w:rFonts w:ascii="Abadi" w:hAnsi="Abadi"/>
          <w:sz w:val="21"/>
          <w:szCs w:val="21"/>
        </w:rPr>
        <w:t>la presente sesión se ha mantenido hasta el momento, no, procede a instruir a un nuevo pase de lista</w:t>
      </w:r>
      <w:r w:rsidR="00017219">
        <w:rPr>
          <w:rFonts w:ascii="Abadi" w:hAnsi="Abadi"/>
          <w:sz w:val="21"/>
          <w:szCs w:val="21"/>
        </w:rPr>
        <w:t>, dando las gracias a mi diputada Secretaria Yulma, muchas gracias.</w:t>
      </w:r>
    </w:p>
    <w:p w14:paraId="7C3706A8" w14:textId="431446C1" w:rsidR="005D2F85" w:rsidRPr="005D2F85" w:rsidRDefault="005D2F85" w:rsidP="005D2F85">
      <w:pPr>
        <w:jc w:val="both"/>
        <w:rPr>
          <w:rFonts w:ascii="Abadi" w:hAnsi="Abadi"/>
          <w:sz w:val="21"/>
          <w:szCs w:val="21"/>
        </w:rPr>
      </w:pPr>
    </w:p>
    <w:p w14:paraId="4370D635" w14:textId="2A9F12FA" w:rsidR="005D2F85" w:rsidRDefault="005D2F85" w:rsidP="005D2F85">
      <w:pPr>
        <w:jc w:val="both"/>
        <w:rPr>
          <w:rFonts w:ascii="Abadi" w:hAnsi="Abadi"/>
          <w:sz w:val="21"/>
          <w:szCs w:val="21"/>
        </w:rPr>
      </w:pPr>
      <w:r w:rsidRPr="005D2F85">
        <w:rPr>
          <w:rFonts w:ascii="Abadi" w:hAnsi="Abadi"/>
          <w:sz w:val="21"/>
          <w:szCs w:val="21"/>
        </w:rPr>
        <w:t xml:space="preserve"> </w:t>
      </w:r>
      <w:r>
        <w:rPr>
          <w:rFonts w:ascii="Abadi" w:hAnsi="Abadi"/>
          <w:sz w:val="21"/>
          <w:szCs w:val="21"/>
        </w:rPr>
        <w:tab/>
      </w:r>
      <w:r w:rsidRPr="005D2F85">
        <w:rPr>
          <w:rFonts w:ascii="Abadi" w:hAnsi="Abadi"/>
          <w:sz w:val="21"/>
          <w:szCs w:val="21"/>
        </w:rPr>
        <w:t xml:space="preserve">- Se levanta la sesión siendo </w:t>
      </w:r>
      <w:proofErr w:type="gramStart"/>
      <w:r w:rsidRPr="005D2F85">
        <w:rPr>
          <w:rFonts w:ascii="Abadi" w:hAnsi="Abadi"/>
          <w:sz w:val="21"/>
          <w:szCs w:val="21"/>
        </w:rPr>
        <w:t xml:space="preserve">las </w:t>
      </w:r>
      <w:r w:rsidR="00A53B12">
        <w:rPr>
          <w:rFonts w:ascii="Abadi" w:hAnsi="Abadi"/>
          <w:sz w:val="21"/>
          <w:szCs w:val="21"/>
        </w:rPr>
        <w:t xml:space="preserve"> </w:t>
      </w:r>
      <w:r w:rsidRPr="005D2F85">
        <w:rPr>
          <w:rFonts w:ascii="Abadi" w:hAnsi="Abadi"/>
          <w:sz w:val="21"/>
          <w:szCs w:val="21"/>
        </w:rPr>
        <w:t>(</w:t>
      </w:r>
      <w:proofErr w:type="gramEnd"/>
      <w:r w:rsidR="00297B0D">
        <w:rPr>
          <w:rFonts w:ascii="Abadi" w:hAnsi="Abadi"/>
          <w:sz w:val="21"/>
          <w:szCs w:val="21"/>
        </w:rPr>
        <w:t xml:space="preserve">   </w:t>
      </w:r>
      <w:r w:rsidRPr="005D2F85">
        <w:rPr>
          <w:rFonts w:ascii="Abadi" w:hAnsi="Abadi"/>
          <w:sz w:val="21"/>
          <w:szCs w:val="21"/>
        </w:rPr>
        <w:t xml:space="preserve">) y se comunica </w:t>
      </w:r>
      <w:r w:rsidR="008C734B">
        <w:rPr>
          <w:rFonts w:ascii="Abadi" w:hAnsi="Abadi"/>
          <w:sz w:val="21"/>
          <w:szCs w:val="21"/>
        </w:rPr>
        <w:t xml:space="preserve">a </w:t>
      </w:r>
      <w:r w:rsidRPr="005D2F85">
        <w:rPr>
          <w:rFonts w:ascii="Abadi" w:hAnsi="Abadi"/>
          <w:sz w:val="21"/>
          <w:szCs w:val="21"/>
        </w:rPr>
        <w:t>las diputadas y a los diputados que se le citara para la siguiente por conducto de la Secretaría General.</w:t>
      </w:r>
    </w:p>
    <w:p w14:paraId="0D92FC77" w14:textId="77E3EDDD" w:rsidR="00CC75F5" w:rsidRDefault="00CC75F5" w:rsidP="00892633">
      <w:pPr>
        <w:ind w:firstLine="708"/>
        <w:jc w:val="both"/>
        <w:rPr>
          <w:rFonts w:ascii="Abadi" w:hAnsi="Abadi"/>
          <w:sz w:val="21"/>
          <w:szCs w:val="21"/>
        </w:rPr>
      </w:pPr>
    </w:p>
    <w:p w14:paraId="6D8F1E7B" w14:textId="6ACA2C96" w:rsidR="0063247A" w:rsidRDefault="005D2F85" w:rsidP="00892633">
      <w:pPr>
        <w:ind w:firstLine="708"/>
        <w:jc w:val="both"/>
      </w:pPr>
      <w:r w:rsidRPr="005D2F85">
        <w:rPr>
          <w:rFonts w:ascii="Abadi" w:hAnsi="Abadi"/>
          <w:sz w:val="21"/>
          <w:szCs w:val="21"/>
        </w:rPr>
        <w:t>-  Que tengan un excelente</w:t>
      </w:r>
      <w:r w:rsidR="006B00FD">
        <w:rPr>
          <w:rFonts w:ascii="Abadi" w:hAnsi="Abadi"/>
          <w:sz w:val="21"/>
          <w:szCs w:val="21"/>
        </w:rPr>
        <w:t xml:space="preserve"> </w:t>
      </w:r>
      <w:r w:rsidR="00017219">
        <w:rPr>
          <w:rFonts w:ascii="Abadi" w:hAnsi="Abadi"/>
          <w:sz w:val="21"/>
          <w:szCs w:val="21"/>
        </w:rPr>
        <w:t xml:space="preserve">y un excelente fin de semana. </w:t>
      </w:r>
      <w:r w:rsidR="001D7BC1" w:rsidRPr="00FF36FC">
        <w:rPr>
          <w:rFonts w:ascii="Abadi" w:hAnsi="Abadi"/>
          <w:sz w:val="12"/>
          <w:szCs w:val="12"/>
        </w:rPr>
        <w:footnoteReference w:id="184"/>
      </w:r>
    </w:p>
    <w:p w14:paraId="4796228C" w14:textId="6FF8DB47" w:rsidR="006F56E9" w:rsidRDefault="006F56E9" w:rsidP="00892633">
      <w:pPr>
        <w:ind w:firstLine="708"/>
        <w:jc w:val="both"/>
      </w:pPr>
    </w:p>
    <w:p w14:paraId="0DE68C44" w14:textId="35E305E4" w:rsidR="006F56E9" w:rsidRDefault="008D2CC5" w:rsidP="00892633">
      <w:pPr>
        <w:ind w:firstLine="708"/>
        <w:jc w:val="both"/>
      </w:pPr>
      <w:r>
        <w:rPr>
          <w:rFonts w:ascii="Abadi" w:hAnsi="Abadi"/>
          <w:noProof/>
          <w:sz w:val="21"/>
          <w:szCs w:val="21"/>
        </w:rPr>
        <mc:AlternateContent>
          <mc:Choice Requires="wpg">
            <w:drawing>
              <wp:anchor distT="0" distB="0" distL="114300" distR="114300" simplePos="0" relativeHeight="251730944" behindDoc="0" locked="0" layoutInCell="1" allowOverlap="1" wp14:anchorId="6957ACD2" wp14:editId="2CE50956">
                <wp:simplePos x="0" y="0"/>
                <wp:positionH relativeFrom="column">
                  <wp:posOffset>167425</wp:posOffset>
                </wp:positionH>
                <wp:positionV relativeFrom="paragraph">
                  <wp:posOffset>20105</wp:posOffset>
                </wp:positionV>
                <wp:extent cx="2552700" cy="3597275"/>
                <wp:effectExtent l="0" t="0" r="19050" b="22225"/>
                <wp:wrapNone/>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0" cy="3597275"/>
                          <a:chOff x="0" y="0"/>
                          <a:chExt cx="2696210" cy="3597275"/>
                        </a:xfrm>
                      </wpg:grpSpPr>
                      <wps:wsp>
                        <wps:cNvPr id="71" name="Diagrama de flujo: multidocumento 45"/>
                        <wps:cNvSpPr/>
                        <wps:spPr>
                          <a:xfrm>
                            <a:off x="0" y="0"/>
                            <a:ext cx="2696210" cy="3597275"/>
                          </a:xfrm>
                          <a:prstGeom prst="flowChartMultidocument">
                            <a:avLst/>
                          </a:prstGeom>
                          <a:noFill/>
                          <a:ln w="12700" cap="flat" cmpd="sng" algn="ctr">
                            <a:solidFill>
                              <a:sysClr val="windowText" lastClr="000000"/>
                            </a:solidFill>
                            <a:prstDash val="solid"/>
                          </a:ln>
                          <a:effectLst/>
                        </wps:spPr>
                        <wps:txbx>
                          <w:txbxContent>
                            <w:p w14:paraId="7F6E7B79" w14:textId="77777777" w:rsidR="006F56E9" w:rsidRPr="001040DC" w:rsidRDefault="006F56E9" w:rsidP="006F56E9">
                              <w:pPr>
                                <w:suppressOverlap/>
                                <w:jc w:val="center"/>
                                <w:rPr>
                                  <w:rFonts w:ascii="Abadi" w:hAnsi="Abadi" w:cs="Arial"/>
                                  <w:b/>
                                  <w:sz w:val="18"/>
                                  <w:szCs w:val="18"/>
                                  <w:lang w:val="pt-PT"/>
                                </w:rPr>
                              </w:pPr>
                            </w:p>
                            <w:p w14:paraId="4C83C4DF" w14:textId="77777777" w:rsidR="006F56E9" w:rsidRPr="001040DC" w:rsidRDefault="006F56E9" w:rsidP="006F56E9">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762478D9"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703D14DD"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7256622F"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7701A7AC" w14:textId="77777777" w:rsidR="006F56E9" w:rsidRPr="001040DC" w:rsidRDefault="006F56E9" w:rsidP="006F56E9">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158A6267" w14:textId="77777777" w:rsidR="006F56E9" w:rsidRPr="001040DC" w:rsidRDefault="006F56E9" w:rsidP="006F56E9">
                              <w:pPr>
                                <w:suppressOverlap/>
                                <w:jc w:val="center"/>
                                <w:rPr>
                                  <w:rFonts w:ascii="Abadi" w:hAnsi="Abadi" w:cs="Arial"/>
                                  <w:b/>
                                  <w:sz w:val="18"/>
                                  <w:szCs w:val="18"/>
                                  <w:lang w:val="pt-PT"/>
                                </w:rPr>
                              </w:pPr>
                            </w:p>
                            <w:p w14:paraId="78EDD910"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57AD3E3C"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2C3974B7"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333F600E" w14:textId="77777777" w:rsidR="006F56E9" w:rsidRPr="001040DC" w:rsidRDefault="006F56E9" w:rsidP="006F56E9">
                              <w:pPr>
                                <w:suppressOverlap/>
                                <w:jc w:val="center"/>
                                <w:rPr>
                                  <w:rFonts w:ascii="Abadi" w:hAnsi="Abadi" w:cs="Arial"/>
                                  <w:b/>
                                  <w:sz w:val="18"/>
                                  <w:szCs w:val="18"/>
                                  <w:lang w:val="pt-PT"/>
                                </w:rPr>
                              </w:pPr>
                            </w:p>
                            <w:p w14:paraId="2154CF2E"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4D9CE63C"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1739736D"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120DD818" w14:textId="77777777" w:rsidR="006F56E9" w:rsidRPr="001040DC" w:rsidRDefault="006F56E9" w:rsidP="006F56E9">
                              <w:pPr>
                                <w:suppressOverlap/>
                                <w:jc w:val="center"/>
                                <w:rPr>
                                  <w:rFonts w:ascii="Abadi" w:hAnsi="Abadi" w:cs="Arial"/>
                                  <w:b/>
                                  <w:sz w:val="18"/>
                                  <w:szCs w:val="18"/>
                                  <w:lang w:val="pt-PT"/>
                                </w:rPr>
                              </w:pPr>
                            </w:p>
                            <w:p w14:paraId="3827CCBD"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69E63517"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3F8FA9AB" w14:textId="77777777" w:rsidR="006F56E9" w:rsidRPr="001040DC" w:rsidRDefault="006F56E9" w:rsidP="006F56E9">
                              <w:pPr>
                                <w:jc w:val="center"/>
                              </w:pPr>
                            </w:p>
                            <w:p w14:paraId="056CD7B2" w14:textId="77777777" w:rsidR="006F56E9" w:rsidRPr="00495760" w:rsidRDefault="006F56E9" w:rsidP="00CC64DD">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3B9B8196" w14:textId="77777777" w:rsidR="006F56E9" w:rsidRPr="001040DC" w:rsidRDefault="006F56E9" w:rsidP="006F56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Imagen 46" descr="Interfaz de usuario gráfica&#10;&#10;Descripción generada automáticamente con confianza media"/>
                          <pic:cNvPicPr>
                            <a:picLocks noChangeAspect="1"/>
                          </pic:cNvPicPr>
                        </pic:nvPicPr>
                        <pic:blipFill>
                          <a:blip r:embed="rId59" cstate="print"/>
                          <a:stretch>
                            <a:fillRect/>
                          </a:stretch>
                        </pic:blipFill>
                        <pic:spPr>
                          <a:xfrm>
                            <a:off x="1047750" y="0"/>
                            <a:ext cx="662940" cy="276225"/>
                          </a:xfrm>
                          <a:prstGeom prst="rect">
                            <a:avLst/>
                          </a:prstGeom>
                        </pic:spPr>
                      </pic:pic>
                      <wps:wsp>
                        <wps:cNvPr id="73" name="Cuadro de texto 2"/>
                        <wps:cNvSpPr txBox="1">
                          <a:spLocks noChangeArrowheads="1"/>
                        </wps:cNvSpPr>
                        <wps:spPr bwMode="auto">
                          <a:xfrm>
                            <a:off x="257175" y="295275"/>
                            <a:ext cx="2095500" cy="390525"/>
                          </a:xfrm>
                          <a:prstGeom prst="rect">
                            <a:avLst/>
                          </a:prstGeom>
                          <a:noFill/>
                          <a:ln w="9525">
                            <a:noFill/>
                            <a:miter lim="800000"/>
                            <a:headEnd/>
                            <a:tailEnd/>
                          </a:ln>
                        </wps:spPr>
                        <wps:txbx>
                          <w:txbxContent>
                            <w:p w14:paraId="57C71AA0" w14:textId="77777777" w:rsidR="006F56E9" w:rsidRPr="00544C73" w:rsidRDefault="006F56E9" w:rsidP="006F56E9">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0C5562BD" w14:textId="77777777" w:rsidR="006F56E9" w:rsidRPr="00EE0581" w:rsidRDefault="006F56E9" w:rsidP="006F56E9">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6957ACD2" id="Grupo 70" o:spid="_x0000_s1026" style="position:absolute;left:0;text-align:left;margin-left:13.2pt;margin-top:1.6pt;width:201pt;height:283.25pt;z-index:251730944;mso-width-relative:margin" coordsize="26962,3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width:26962;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" filled="f" strokecolor="windowText" strokeweight="1pt">
                  <v:textbox>
                    <w:txbxContent>
                      <w:p w14:paraId="7F6E7B79" w14:textId="77777777" w:rsidR="006F56E9" w:rsidRPr="001040DC" w:rsidRDefault="006F56E9" w:rsidP="006F56E9">
                        <w:pPr>
                          <w:suppressOverlap/>
                          <w:jc w:val="center"/>
                          <w:rPr>
                            <w:rFonts w:ascii="Abadi" w:hAnsi="Abadi" w:cs="Arial"/>
                            <w:b/>
                            <w:sz w:val="18"/>
                            <w:szCs w:val="18"/>
                            <w:lang w:val="pt-PT"/>
                          </w:rPr>
                        </w:pPr>
                      </w:p>
                      <w:p w14:paraId="4C83C4DF" w14:textId="77777777" w:rsidR="006F56E9" w:rsidRPr="001040DC" w:rsidRDefault="006F56E9" w:rsidP="006F56E9">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762478D9"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703D14DD"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7256622F"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7701A7AC" w14:textId="77777777" w:rsidR="006F56E9" w:rsidRPr="001040DC" w:rsidRDefault="006F56E9" w:rsidP="006F56E9">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158A6267" w14:textId="77777777" w:rsidR="006F56E9" w:rsidRPr="001040DC" w:rsidRDefault="006F56E9" w:rsidP="006F56E9">
                        <w:pPr>
                          <w:suppressOverlap/>
                          <w:jc w:val="center"/>
                          <w:rPr>
                            <w:rFonts w:ascii="Abadi" w:hAnsi="Abadi" w:cs="Arial"/>
                            <w:b/>
                            <w:sz w:val="18"/>
                            <w:szCs w:val="18"/>
                            <w:lang w:val="pt-PT"/>
                          </w:rPr>
                        </w:pPr>
                      </w:p>
                      <w:p w14:paraId="78EDD910"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57AD3E3C"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2C3974B7"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333F600E" w14:textId="77777777" w:rsidR="006F56E9" w:rsidRPr="001040DC" w:rsidRDefault="006F56E9" w:rsidP="006F56E9">
                        <w:pPr>
                          <w:suppressOverlap/>
                          <w:jc w:val="center"/>
                          <w:rPr>
                            <w:rFonts w:ascii="Abadi" w:hAnsi="Abadi" w:cs="Arial"/>
                            <w:b/>
                            <w:sz w:val="18"/>
                            <w:szCs w:val="18"/>
                            <w:lang w:val="pt-PT"/>
                          </w:rPr>
                        </w:pPr>
                      </w:p>
                      <w:p w14:paraId="2154CF2E"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4D9CE63C"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1739736D"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120DD818" w14:textId="77777777" w:rsidR="006F56E9" w:rsidRPr="001040DC" w:rsidRDefault="006F56E9" w:rsidP="006F56E9">
                        <w:pPr>
                          <w:suppressOverlap/>
                          <w:jc w:val="center"/>
                          <w:rPr>
                            <w:rFonts w:ascii="Abadi" w:hAnsi="Abadi" w:cs="Arial"/>
                            <w:b/>
                            <w:sz w:val="18"/>
                            <w:szCs w:val="18"/>
                            <w:lang w:val="pt-PT"/>
                          </w:rPr>
                        </w:pPr>
                      </w:p>
                      <w:p w14:paraId="3827CCBD"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69E63517" w14:textId="77777777" w:rsidR="006F56E9" w:rsidRPr="001040DC" w:rsidRDefault="006F56E9" w:rsidP="006F56E9">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3F8FA9AB" w14:textId="77777777" w:rsidR="006F56E9" w:rsidRPr="001040DC" w:rsidRDefault="006F56E9" w:rsidP="006F56E9">
                        <w:pPr>
                          <w:jc w:val="center"/>
                        </w:pPr>
                      </w:p>
                      <w:p w14:paraId="056CD7B2" w14:textId="77777777" w:rsidR="006F56E9" w:rsidRPr="00495760" w:rsidRDefault="006F56E9" w:rsidP="00CC64DD">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3B9B8196" w14:textId="77777777" w:rsidR="006F56E9" w:rsidRPr="001040DC" w:rsidRDefault="006F56E9" w:rsidP="006F56E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10477;width:662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">
                  <v:imagedata r:id="rId60"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571;top:2952;width:209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57C71AA0" w14:textId="77777777" w:rsidR="006F56E9" w:rsidRPr="00544C73" w:rsidRDefault="006F56E9" w:rsidP="006F56E9">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0C5562BD" w14:textId="77777777" w:rsidR="006F56E9" w:rsidRPr="00EE0581" w:rsidRDefault="006F56E9" w:rsidP="006F56E9">
                        <w:pPr>
                          <w:rPr>
                            <w:sz w:val="16"/>
                            <w:szCs w:val="16"/>
                          </w:rPr>
                        </w:pPr>
                      </w:p>
                    </w:txbxContent>
                  </v:textbox>
                </v:shape>
              </v:group>
            </w:pict>
          </mc:Fallback>
        </mc:AlternateContent>
      </w:r>
    </w:p>
    <w:p w14:paraId="598074C9" w14:textId="019B178C" w:rsidR="006F56E9" w:rsidRDefault="006F56E9" w:rsidP="00892633">
      <w:pPr>
        <w:ind w:firstLine="708"/>
        <w:jc w:val="both"/>
      </w:pPr>
    </w:p>
    <w:p w14:paraId="045ABB9A" w14:textId="54A85408" w:rsidR="006F56E9" w:rsidRDefault="006F56E9" w:rsidP="00892633">
      <w:pPr>
        <w:ind w:firstLine="708"/>
        <w:jc w:val="both"/>
      </w:pPr>
    </w:p>
    <w:p w14:paraId="3539A4A7" w14:textId="62992659" w:rsidR="006F56E9" w:rsidRDefault="006F56E9" w:rsidP="00892633">
      <w:pPr>
        <w:ind w:firstLine="708"/>
        <w:jc w:val="both"/>
      </w:pPr>
    </w:p>
    <w:sectPr w:rsidR="006F56E9" w:rsidSect="006B00FD">
      <w:footnotePr>
        <w:numStart w:val="2"/>
      </w:footnotePr>
      <w:type w:val="continuous"/>
      <w:pgSz w:w="12240" w:h="15840" w:code="1"/>
      <w:pgMar w:top="709" w:right="1750" w:bottom="425" w:left="709" w:header="714" w:footer="1196"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99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80E5A" w14:textId="77777777" w:rsidR="00741175" w:rsidRDefault="00741175">
      <w:r>
        <w:separator/>
      </w:r>
    </w:p>
  </w:endnote>
  <w:endnote w:type="continuationSeparator" w:id="0">
    <w:p w14:paraId="2A329485" w14:textId="77777777" w:rsidR="00741175" w:rsidRDefault="00741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7826-Identity-H">
    <w:altName w:val="Calibri"/>
    <w:panose1 w:val="00000000000000000000"/>
    <w:charset w:val="00"/>
    <w:family w:val="auto"/>
    <w:notTrueType/>
    <w:pitch w:val="default"/>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G Palacio (W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DejaVu Sans">
    <w:altName w:val="Times New Roman"/>
    <w:charset w:val="80"/>
    <w:family w:val="auto"/>
    <w:pitch w:val="variable"/>
  </w:font>
  <w:font w:name="Between 1">
    <w:altName w:val="Calibri"/>
    <w:panose1 w:val="00000000000000000000"/>
    <w:charset w:val="00"/>
    <w:family w:val="swiss"/>
    <w:notTrueType/>
    <w:pitch w:val="variable"/>
    <w:sig w:usb0="A0000067" w:usb1="00000001"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Bahnschrift SemiBold Condensed">
    <w:panose1 w:val="020B0502040204020203"/>
    <w:charset w:val="00"/>
    <w:family w:val="swiss"/>
    <w:pitch w:val="variable"/>
    <w:sig w:usb0="A00002C7" w:usb1="00000002" w:usb2="00000000" w:usb3="00000000" w:csb0="0000019F" w:csb1="00000000"/>
  </w:font>
  <w:font w:name="Aharoni">
    <w:charset w:val="B1"/>
    <w:family w:val="auto"/>
    <w:pitch w:val="variable"/>
    <w:sig w:usb0="00000803" w:usb1="00000000" w:usb2="00000000" w:usb3="00000000" w:csb0="00000021" w:csb1="00000000"/>
  </w:font>
  <w:font w:name="Baskerville Old Face">
    <w:panose1 w:val="02020602080505020303"/>
    <w:charset w:val="00"/>
    <w:family w:val="roman"/>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Bold-10104-Identity-H">
    <w:altName w:val="Calibri"/>
    <w:panose1 w:val="00000000000000000000"/>
    <w:charset w:val="00"/>
    <w:family w:val="auto"/>
    <w:notTrueType/>
    <w:pitch w:val="default"/>
    <w:sig w:usb0="00000003" w:usb1="00000000" w:usb2="00000000" w:usb3="00000000" w:csb0="00000001" w:csb1="00000000"/>
  </w:font>
  <w:font w:name="*Courier New-Bold-10109-Identit">
    <w:altName w:val="Calibri"/>
    <w:panose1 w:val="00000000000000000000"/>
    <w:charset w:val="00"/>
    <w:family w:val="auto"/>
    <w:notTrueType/>
    <w:pitch w:val="default"/>
    <w:sig w:usb0="00000003" w:usb1="00000000" w:usb2="00000000" w:usb3="00000000" w:csb0="00000001" w:csb1="00000000"/>
  </w:font>
  <w:font w:name="*Arial-10103-Identity-H">
    <w:altName w:val="Calibri"/>
    <w:panose1 w:val="00000000000000000000"/>
    <w:charset w:val="00"/>
    <w:family w:val="auto"/>
    <w:notTrueType/>
    <w:pitch w:val="default"/>
    <w:sig w:usb0="00000003" w:usb1="00000000" w:usb2="00000000" w:usb3="00000000" w:csb0="00000001" w:csb1="00000000"/>
  </w:font>
  <w:font w:name="*Minion Pro-Bold-10112-Identity">
    <w:altName w:val="Calibri"/>
    <w:panose1 w:val="00000000000000000000"/>
    <w:charset w:val="00"/>
    <w:family w:val="auto"/>
    <w:notTrueType/>
    <w:pitch w:val="default"/>
    <w:sig w:usb0="00000003" w:usb1="00000000" w:usb2="00000000" w:usb3="00000000" w:csb0="00000001" w:csb1="00000000"/>
  </w:font>
  <w:font w:name="*Arial-10107-Identity-H">
    <w:altName w:val="Calibri"/>
    <w:panose1 w:val="00000000000000000000"/>
    <w:charset w:val="00"/>
    <w:family w:val="auto"/>
    <w:notTrueType/>
    <w:pitch w:val="default"/>
    <w:sig w:usb0="00000003" w:usb1="00000000" w:usb2="00000000" w:usb3="00000000" w:csb0="00000001" w:csb1="00000000"/>
  </w:font>
  <w:font w:name="*Arial-BoldItalic-10106-Identit">
    <w:altName w:val="Calibri"/>
    <w:panose1 w:val="00000000000000000000"/>
    <w:charset w:val="00"/>
    <w:family w:val="auto"/>
    <w:notTrueType/>
    <w:pitch w:val="default"/>
    <w:sig w:usb0="00000003" w:usb1="00000000" w:usb2="00000000" w:usb3="00000000" w:csb0="00000001" w:csb1="00000000"/>
  </w:font>
  <w:font w:name="*Arial-BoldItalic-10105-Identit">
    <w:altName w:val="Calibri"/>
    <w:panose1 w:val="00000000000000000000"/>
    <w:charset w:val="00"/>
    <w:family w:val="auto"/>
    <w:notTrueType/>
    <w:pitch w:val="default"/>
    <w:sig w:usb0="00000003" w:usb1="00000000" w:usb2="00000000" w:usb3="00000000" w:csb0="00000001" w:csb1="00000000"/>
  </w:font>
  <w:font w:name="*Arial-8158-Identity-H">
    <w:altName w:val="Calibri"/>
    <w:panose1 w:val="00000000000000000000"/>
    <w:charset w:val="00"/>
    <w:family w:val="auto"/>
    <w:notTrueType/>
    <w:pitch w:val="default"/>
    <w:sig w:usb0="00000003" w:usb1="00000000" w:usb2="00000000" w:usb3="00000000" w:csb0="00000001" w:csb1="00000000"/>
  </w:font>
  <w:font w:name="*Arial-10373-Identity-H">
    <w:altName w:val="Calibri"/>
    <w:panose1 w:val="00000000000000000000"/>
    <w:charset w:val="00"/>
    <w:family w:val="auto"/>
    <w:notTrueType/>
    <w:pitch w:val="default"/>
    <w:sig w:usb0="00000003" w:usb1="00000000" w:usb2="00000000" w:usb3="00000000" w:csb0="00000001" w:csb1="00000000"/>
  </w:font>
  <w:font w:name="*Arial-10371-Identity-H">
    <w:altName w:val="Calibri"/>
    <w:panose1 w:val="00000000000000000000"/>
    <w:charset w:val="00"/>
    <w:family w:val="auto"/>
    <w:notTrueType/>
    <w:pitch w:val="default"/>
    <w:sig w:usb0="00000003" w:usb1="00000000" w:usb2="00000000" w:usb3="00000000" w:csb0="00000001" w:csb1="00000000"/>
  </w:font>
  <w:font w:name="*Comic Sans MS-Italic-10375-Ide">
    <w:altName w:val="Calibri"/>
    <w:panose1 w:val="00000000000000000000"/>
    <w:charset w:val="00"/>
    <w:family w:val="auto"/>
    <w:notTrueType/>
    <w:pitch w:val="default"/>
    <w:sig w:usb0="00000003" w:usb1="00000000" w:usb2="00000000" w:usb3="00000000" w:csb0="00000001" w:csb1="00000000"/>
  </w:font>
  <w:font w:name="*Calibri-10366-Identity-H">
    <w:altName w:val="Calibri"/>
    <w:panose1 w:val="00000000000000000000"/>
    <w:charset w:val="00"/>
    <w:family w:val="auto"/>
    <w:notTrueType/>
    <w:pitch w:val="default"/>
    <w:sig w:usb0="00000003" w:usb1="00000000" w:usb2="00000000" w:usb3="00000000" w:csb0="00000001" w:csb1="00000000"/>
  </w:font>
  <w:font w:name="*Calibri-Italic-10367-Identity-">
    <w:altName w:val="Calibri"/>
    <w:panose1 w:val="00000000000000000000"/>
    <w:charset w:val="00"/>
    <w:family w:val="auto"/>
    <w:notTrueType/>
    <w:pitch w:val="default"/>
    <w:sig w:usb0="00000003" w:usb1="00000000" w:usb2="00000000" w:usb3="00000000" w:csb0="00000001" w:csb1="00000000"/>
  </w:font>
  <w:font w:name="*Times New Roman-Italic-10363-I">
    <w:altName w:val="Calibri"/>
    <w:panose1 w:val="00000000000000000000"/>
    <w:charset w:val="00"/>
    <w:family w:val="auto"/>
    <w:notTrueType/>
    <w:pitch w:val="default"/>
    <w:sig w:usb0="00000003" w:usb1="00000000" w:usb2="00000000" w:usb3="00000000" w:csb0="00000001" w:csb1="00000000"/>
  </w:font>
  <w:font w:name="*Arial-Italic-10372-Identity-H">
    <w:altName w:val="Calibri"/>
    <w:panose1 w:val="00000000000000000000"/>
    <w:charset w:val="00"/>
    <w:family w:val="auto"/>
    <w:notTrueType/>
    <w:pitch w:val="default"/>
    <w:sig w:usb0="00000003" w:usb1="00000000" w:usb2="00000000" w:usb3="00000000" w:csb0="00000001" w:csb1="00000000"/>
  </w:font>
  <w:font w:name="*Arial-9124-Identity-H">
    <w:altName w:val="Calibri"/>
    <w:panose1 w:val="00000000000000000000"/>
    <w:charset w:val="00"/>
    <w:family w:val="auto"/>
    <w:notTrueType/>
    <w:pitch w:val="default"/>
    <w:sig w:usb0="00000003" w:usb1="00000000" w:usb2="00000000" w:usb3="00000000" w:csb0="00000001" w:csb1="00000000"/>
  </w:font>
  <w:font w:name="*Arial-9125-Identity-H">
    <w:altName w:val="Calibri"/>
    <w:panose1 w:val="00000000000000000000"/>
    <w:charset w:val="00"/>
    <w:family w:val="auto"/>
    <w:notTrueType/>
    <w:pitch w:val="default"/>
    <w:sig w:usb0="00000003" w:usb1="00000000" w:usb2="00000000" w:usb3="00000000" w:csb0="00000001" w:csb1="00000000"/>
  </w:font>
  <w:font w:name="*Arial-Italic-9126-Identity-H">
    <w:altName w:val="Calibri"/>
    <w:panose1 w:val="00000000000000000000"/>
    <w:charset w:val="00"/>
    <w:family w:val="auto"/>
    <w:notTrueType/>
    <w:pitch w:val="default"/>
    <w:sig w:usb0="00000003" w:usb1="00000000" w:usb2="00000000" w:usb3="00000000" w:csb0="00000001" w:csb1="00000000"/>
  </w:font>
  <w:font w:name="*Calibri-9119-Identity-H">
    <w:altName w:val="Calibri"/>
    <w:panose1 w:val="00000000000000000000"/>
    <w:charset w:val="00"/>
    <w:family w:val="auto"/>
    <w:notTrueType/>
    <w:pitch w:val="default"/>
    <w:sig w:usb0="00000003" w:usb1="00000000" w:usb2="00000000" w:usb3="00000000" w:csb0="00000001" w:csb1="00000000"/>
  </w:font>
  <w:font w:name="*Arial-5502-Identity-H">
    <w:altName w:val="Calibri"/>
    <w:panose1 w:val="00000000000000000000"/>
    <w:charset w:val="00"/>
    <w:family w:val="auto"/>
    <w:notTrueType/>
    <w:pitch w:val="default"/>
    <w:sig w:usb0="00000003" w:usb1="00000000" w:usb2="00000000" w:usb3="00000000" w:csb0="00000001" w:csb1="00000000"/>
  </w:font>
  <w:font w:name="*Arial-6379-Identity-H">
    <w:altName w:val="Calibri"/>
    <w:panose1 w:val="00000000000000000000"/>
    <w:charset w:val="00"/>
    <w:family w:val="auto"/>
    <w:notTrueType/>
    <w:pitch w:val="default"/>
    <w:sig w:usb0="00000003" w:usb1="00000000" w:usb2="00000000" w:usb3="00000000" w:csb0="00000001" w:csb1="00000000"/>
  </w:font>
  <w:font w:name="*Arial-7104-Identity-H">
    <w:altName w:val="Calibri"/>
    <w:panose1 w:val="00000000000000000000"/>
    <w:charset w:val="00"/>
    <w:family w:val="auto"/>
    <w:notTrueType/>
    <w:pitch w:val="default"/>
    <w:sig w:usb0="00000003" w:usb1="00000000" w:usb2="00000000" w:usb3="00000000" w:csb0="00000001" w:csb1="00000000"/>
  </w:font>
  <w:font w:name="*Arial-7668-Identity-H">
    <w:altName w:val="Calibri"/>
    <w:panose1 w:val="00000000000000000000"/>
    <w:charset w:val="00"/>
    <w:family w:val="auto"/>
    <w:notTrueType/>
    <w:pitch w:val="default"/>
    <w:sig w:usb0="00000003" w:usb1="00000000" w:usb2="00000000" w:usb3="00000000" w:csb0="00000001" w:csb1="00000000"/>
  </w:font>
  <w:font w:name="*Arial-Italic-7667-Identity-H">
    <w:altName w:val="Calibri"/>
    <w:panose1 w:val="00000000000000000000"/>
    <w:charset w:val="00"/>
    <w:family w:val="auto"/>
    <w:notTrueType/>
    <w:pitch w:val="default"/>
    <w:sig w:usb0="00000003" w:usb1="00000000" w:usb2="00000000" w:usb3="00000000" w:csb0="00000001" w:csb1="00000000"/>
  </w:font>
  <w:font w:name="*Calibri-Italic-7369-Identity-H">
    <w:altName w:val="Calibri"/>
    <w:panose1 w:val="00000000000000000000"/>
    <w:charset w:val="00"/>
    <w:family w:val="auto"/>
    <w:notTrueType/>
    <w:pitch w:val="default"/>
    <w:sig w:usb0="00000003" w:usb1="00000000" w:usb2="00000000" w:usb3="00000000" w:csb0="00000001" w:csb1="00000000"/>
  </w:font>
  <w:font w:name="*Times New Roman-Italic-7367-Id">
    <w:altName w:val="Calibri"/>
    <w:panose1 w:val="00000000000000000000"/>
    <w:charset w:val="00"/>
    <w:family w:val="auto"/>
    <w:notTrueType/>
    <w:pitch w:val="default"/>
    <w:sig w:usb0="00000003" w:usb1="00000000" w:usb2="00000000" w:usb3="00000000" w:csb0="00000001" w:csb1="00000000"/>
  </w:font>
  <w:font w:name="*Arial-Italic-7374-Identity-H">
    <w:altName w:val="Calibri"/>
    <w:panose1 w:val="00000000000000000000"/>
    <w:charset w:val="00"/>
    <w:family w:val="auto"/>
    <w:notTrueType/>
    <w:pitch w:val="default"/>
    <w:sig w:usb0="00000003" w:usb1="00000000" w:usb2="00000000" w:usb3="00000000" w:csb0="00000001" w:csb1="00000000"/>
  </w:font>
  <w:font w:name="*Arial-Italic-7373-Identity-H">
    <w:altName w:val="Calibri"/>
    <w:panose1 w:val="00000000000000000000"/>
    <w:charset w:val="00"/>
    <w:family w:val="auto"/>
    <w:notTrueType/>
    <w:pitch w:val="default"/>
    <w:sig w:usb0="00000003" w:usb1="00000000" w:usb2="00000000" w:usb3="00000000" w:csb0="00000001" w:csb1="00000000"/>
  </w:font>
  <w:font w:name="*Tahoma-7378-Identity-H">
    <w:altName w:val="Calibri"/>
    <w:panose1 w:val="00000000000000000000"/>
    <w:charset w:val="00"/>
    <w:family w:val="auto"/>
    <w:notTrueType/>
    <w:pitch w:val="default"/>
    <w:sig w:usb0="00000003" w:usb1="00000000" w:usb2="00000000" w:usb3="00000000" w:csb0="00000001" w:csb1="00000000"/>
  </w:font>
  <w:font w:name="*Calibri-7368-Identity-H">
    <w:altName w:val="Calibri"/>
    <w:panose1 w:val="00000000000000000000"/>
    <w:charset w:val="00"/>
    <w:family w:val="auto"/>
    <w:notTrueType/>
    <w:pitch w:val="default"/>
    <w:sig w:usb0="00000003" w:usb1="00000000" w:usb2="00000000" w:usb3="00000000" w:csb0="00000001" w:csb1="00000000"/>
  </w:font>
  <w:font w:name="*Arial-7372-Identity-H">
    <w:altName w:val="Calibri"/>
    <w:panose1 w:val="00000000000000000000"/>
    <w:charset w:val="00"/>
    <w:family w:val="auto"/>
    <w:notTrueType/>
    <w:pitch w:val="default"/>
    <w:sig w:usb0="00000003" w:usb1="00000000" w:usb2="00000000" w:usb3="00000000" w:csb0="00000001" w:csb1="00000000"/>
  </w:font>
  <w:font w:name="*Arial-6740-Identity-H">
    <w:altName w:val="Calibri"/>
    <w:panose1 w:val="00000000000000000000"/>
    <w:charset w:val="00"/>
    <w:family w:val="auto"/>
    <w:notTrueType/>
    <w:pitch w:val="default"/>
    <w:sig w:usb0="00000003" w:usb1="00000000" w:usb2="00000000" w:usb3="00000000" w:csb0="00000001" w:csb1="00000000"/>
  </w:font>
  <w:font w:name="*Arial-9841-Identity-H">
    <w:altName w:val="Calibri"/>
    <w:panose1 w:val="00000000000000000000"/>
    <w:charset w:val="00"/>
    <w:family w:val="auto"/>
    <w:notTrueType/>
    <w:pitch w:val="default"/>
    <w:sig w:usb0="00000003" w:usb1="00000000" w:usb2="00000000" w:usb3="00000000" w:csb0="00000001" w:csb1="00000000"/>
  </w:font>
  <w:font w:name="*Arial-9842-Identity-H">
    <w:altName w:val="Calibri"/>
    <w:panose1 w:val="00000000000000000000"/>
    <w:charset w:val="00"/>
    <w:family w:val="auto"/>
    <w:notTrueType/>
    <w:pitch w:val="default"/>
    <w:sig w:usb0="00000003" w:usb1="00000000" w:usb2="00000000" w:usb3="00000000" w:csb0="00000001" w:csb1="00000000"/>
  </w:font>
  <w:font w:name="*Calibri-9838-Identity-H">
    <w:altName w:val="Calibri"/>
    <w:panose1 w:val="00000000000000000000"/>
    <w:charset w:val="00"/>
    <w:family w:val="auto"/>
    <w:notTrueType/>
    <w:pitch w:val="default"/>
    <w:sig w:usb0="00000003" w:usb1="00000000" w:usb2="00000000" w:usb3="00000000" w:csb0="00000001" w:csb1="00000000"/>
  </w:font>
  <w:font w:name="*Arial-6419-Identity-H">
    <w:altName w:val="Calibri"/>
    <w:panose1 w:val="00000000000000000000"/>
    <w:charset w:val="00"/>
    <w:family w:val="auto"/>
    <w:notTrueType/>
    <w:pitch w:val="default"/>
    <w:sig w:usb0="00000003" w:usb1="00000000" w:usb2="00000000" w:usb3="00000000" w:csb0="00000001" w:csb1="00000000"/>
  </w:font>
  <w:font w:name="*Times New Roman-8210-Identity-">
    <w:altName w:val="Calibri"/>
    <w:panose1 w:val="00000000000000000000"/>
    <w:charset w:val="00"/>
    <w:family w:val="auto"/>
    <w:notTrueType/>
    <w:pitch w:val="default"/>
    <w:sig w:usb0="00000003" w:usb1="00000000" w:usb2="00000000" w:usb3="00000000" w:csb0="00000001" w:csb1="00000000"/>
  </w:font>
  <w:font w:name="*Arial-8216-Identity-H">
    <w:altName w:val="Calibri"/>
    <w:panose1 w:val="00000000000000000000"/>
    <w:charset w:val="00"/>
    <w:family w:val="auto"/>
    <w:notTrueType/>
    <w:pitch w:val="default"/>
    <w:sig w:usb0="00000003" w:usb1="00000000" w:usb2="00000000" w:usb3="00000000" w:csb0="00000001" w:csb1="00000000"/>
  </w:font>
  <w:font w:name="*Calibri-8211-Identity-H">
    <w:altName w:val="Calibri"/>
    <w:panose1 w:val="00000000000000000000"/>
    <w:charset w:val="00"/>
    <w:family w:val="auto"/>
    <w:notTrueType/>
    <w:pitch w:val="default"/>
    <w:sig w:usb0="00000003" w:usb1="00000000" w:usb2="00000000" w:usb3="00000000" w:csb0="00000001" w:csb1="00000000"/>
  </w:font>
  <w:font w:name="*Comic Sans MS-Italic-8219-Iden">
    <w:altName w:val="Calibri"/>
    <w:panose1 w:val="00000000000000000000"/>
    <w:charset w:val="00"/>
    <w:family w:val="auto"/>
    <w:notTrueType/>
    <w:pitch w:val="default"/>
    <w:sig w:usb0="00000003" w:usb1="00000000" w:usb2="00000000" w:usb3="00000000" w:csb0="00000001" w:csb1="00000000"/>
  </w:font>
  <w:font w:name="*Arial-7868-Identity-H">
    <w:altName w:val="Calibri"/>
    <w:panose1 w:val="00000000000000000000"/>
    <w:charset w:val="00"/>
    <w:family w:val="auto"/>
    <w:notTrueType/>
    <w:pitch w:val="default"/>
    <w:sig w:usb0="00000003" w:usb1="00000000" w:usb2="00000000" w:usb3="00000000" w:csb0="00000001" w:csb1="00000000"/>
  </w:font>
  <w:font w:name="*Arial-Italic-7869-Identity-H">
    <w:altName w:val="Calibri"/>
    <w:panose1 w:val="00000000000000000000"/>
    <w:charset w:val="00"/>
    <w:family w:val="auto"/>
    <w:notTrueType/>
    <w:pitch w:val="default"/>
    <w:sig w:usb0="00000003" w:usb1="00000000" w:usb2="00000000" w:usb3="00000000" w:csb0="00000001" w:csb1="00000000"/>
  </w:font>
  <w:font w:name="*Times New Roman-7864-Identity-">
    <w:altName w:val="Calibri"/>
    <w:panose1 w:val="00000000000000000000"/>
    <w:charset w:val="00"/>
    <w:family w:val="auto"/>
    <w:notTrueType/>
    <w:pitch w:val="default"/>
    <w:sig w:usb0="00000003" w:usb1="00000000" w:usb2="00000000" w:usb3="00000000" w:csb0="00000001" w:csb1="00000000"/>
  </w:font>
  <w:font w:name="*Comic Sans MS-7871-Identity-H">
    <w:altName w:val="Calibri"/>
    <w:panose1 w:val="00000000000000000000"/>
    <w:charset w:val="00"/>
    <w:family w:val="auto"/>
    <w:notTrueType/>
    <w:pitch w:val="default"/>
    <w:sig w:usb0="00000003" w:usb1="00000000" w:usb2="00000000" w:usb3="00000000" w:csb0="00000001" w:csb1="00000000"/>
  </w:font>
  <w:font w:name="*Arial-6873-Identity-H">
    <w:altName w:val="Calibri"/>
    <w:panose1 w:val="00000000000000000000"/>
    <w:charset w:val="00"/>
    <w:family w:val="auto"/>
    <w:notTrueType/>
    <w:pitch w:val="default"/>
    <w:sig w:usb0="00000003" w:usb1="00000000" w:usb2="00000000" w:usb3="00000000" w:csb0="00000001" w:csb1="00000000"/>
  </w:font>
  <w:font w:name="*Arial-6874-Identity-H">
    <w:altName w:val="Calibri"/>
    <w:panose1 w:val="00000000000000000000"/>
    <w:charset w:val="00"/>
    <w:family w:val="auto"/>
    <w:notTrueType/>
    <w:pitch w:val="default"/>
    <w:sig w:usb0="00000003" w:usb1="00000000" w:usb2="00000000" w:usb3="00000000" w:csb0="00000001" w:csb1="00000000"/>
  </w:font>
  <w:font w:name="*Calibri-6869-Identity-H">
    <w:altName w:val="Calibri"/>
    <w:panose1 w:val="00000000000000000000"/>
    <w:charset w:val="00"/>
    <w:family w:val="auto"/>
    <w:notTrueType/>
    <w:pitch w:val="default"/>
    <w:sig w:usb0="00000003" w:usb1="00000000" w:usb2="00000000" w:usb3="00000000" w:csb0="00000001" w:csb1="00000000"/>
  </w:font>
  <w:font w:name="*Microsoft Sans Serif-BoldItali">
    <w:altName w:val="Calibri"/>
    <w:panose1 w:val="00000000000000000000"/>
    <w:charset w:val="00"/>
    <w:family w:val="auto"/>
    <w:notTrueType/>
    <w:pitch w:val="default"/>
    <w:sig w:usb0="00000003" w:usb1="00000000" w:usb2="00000000" w:usb3="00000000" w:csb0="00000001" w:csb1="00000000"/>
  </w:font>
  <w:font w:name="*Arial-BoldItalic-6432-Identity">
    <w:altName w:val="Calibri"/>
    <w:panose1 w:val="00000000000000000000"/>
    <w:charset w:val="00"/>
    <w:family w:val="auto"/>
    <w:notTrueType/>
    <w:pitch w:val="default"/>
    <w:sig w:usb0="00000003" w:usb1="00000000" w:usb2="00000000" w:usb3="00000000" w:csb0="00000001" w:csb1="00000000"/>
  </w:font>
  <w:font w:name="*Arial-6434-Identity-H">
    <w:altName w:val="Calibri"/>
    <w:panose1 w:val="00000000000000000000"/>
    <w:charset w:val="00"/>
    <w:family w:val="auto"/>
    <w:notTrueType/>
    <w:pitch w:val="default"/>
    <w:sig w:usb0="00000003" w:usb1="00000000" w:usb2="00000000" w:usb3="00000000" w:csb0="00000001" w:csb1="00000000"/>
  </w:font>
  <w:font w:name="*Arial-Italic-6433-Identity-H">
    <w:altName w:val="Calibri"/>
    <w:panose1 w:val="00000000000000000000"/>
    <w:charset w:val="00"/>
    <w:family w:val="auto"/>
    <w:notTrueType/>
    <w:pitch w:val="default"/>
    <w:sig w:usb0="00000003" w:usb1="00000000" w:usb2="00000000" w:usb3="00000000" w:csb0="00000001" w:csb1="00000000"/>
  </w:font>
  <w:font w:name="*Tahoma-Bold-6436-Identity-H">
    <w:altName w:val="Calibri"/>
    <w:panose1 w:val="00000000000000000000"/>
    <w:charset w:val="00"/>
    <w:family w:val="auto"/>
    <w:notTrueType/>
    <w:pitch w:val="default"/>
    <w:sig w:usb0="00000003" w:usb1="00000000" w:usb2="00000000" w:usb3="00000000" w:csb0="00000001" w:csb1="00000000"/>
  </w:font>
  <w:font w:name="*Calibri-Bold-6429-Identity-H">
    <w:altName w:val="Calibri"/>
    <w:panose1 w:val="00000000000000000000"/>
    <w:charset w:val="00"/>
    <w:family w:val="auto"/>
    <w:notTrueType/>
    <w:pitch w:val="default"/>
    <w:sig w:usb0="00000003" w:usb1="00000000" w:usb2="00000000" w:usb3="00000000" w:csb0="00000001" w:csb1="00000000"/>
  </w:font>
  <w:font w:name="*Arial-Bold-6080-Identity-H">
    <w:altName w:val="Calibri"/>
    <w:panose1 w:val="00000000000000000000"/>
    <w:charset w:val="00"/>
    <w:family w:val="auto"/>
    <w:notTrueType/>
    <w:pitch w:val="default"/>
    <w:sig w:usb0="00000003" w:usb1="00000000" w:usb2="00000000" w:usb3="00000000" w:csb0="00000001" w:csb1="00000000"/>
  </w:font>
  <w:font w:name="*Arial-BoldItalic-6078-Identity">
    <w:altName w:val="Calibri"/>
    <w:panose1 w:val="00000000000000000000"/>
    <w:charset w:val="00"/>
    <w:family w:val="auto"/>
    <w:notTrueType/>
    <w:pitch w:val="default"/>
    <w:sig w:usb0="00000003" w:usb1="00000000" w:usb2="00000000" w:usb3="00000000" w:csb0="00000001" w:csb1="00000000"/>
  </w:font>
  <w:font w:name="*Arial-Bold-6081-Identity-H">
    <w:altName w:val="Calibri"/>
    <w:panose1 w:val="00000000000000000000"/>
    <w:charset w:val="00"/>
    <w:family w:val="auto"/>
    <w:notTrueType/>
    <w:pitch w:val="default"/>
    <w:sig w:usb0="00000003" w:usb1="00000000" w:usb2="00000000" w:usb3="00000000" w:csb0="00000001" w:csb1="00000000"/>
  </w:font>
  <w:font w:name="*Arial-6079-Identity-H">
    <w:altName w:val="Calibri"/>
    <w:panose1 w:val="00000000000000000000"/>
    <w:charset w:val="00"/>
    <w:family w:val="auto"/>
    <w:notTrueType/>
    <w:pitch w:val="default"/>
    <w:sig w:usb0="00000003" w:usb1="00000000" w:usb2="00000000" w:usb3="00000000" w:csb0="00000001" w:csb1="00000000"/>
  </w:font>
  <w:font w:name="*Arial-BoldItalic-6082-Identity">
    <w:altName w:val="Calibri"/>
    <w:panose1 w:val="00000000000000000000"/>
    <w:charset w:val="00"/>
    <w:family w:val="auto"/>
    <w:notTrueType/>
    <w:pitch w:val="default"/>
    <w:sig w:usb0="00000003" w:usb1="00000000" w:usb2="00000000" w:usb3="00000000" w:csb0="00000001" w:csb1="00000000"/>
  </w:font>
  <w:font w:name="*Arial-Bold-6303-Identity-H">
    <w:altName w:val="Calibri"/>
    <w:panose1 w:val="00000000000000000000"/>
    <w:charset w:val="00"/>
    <w:family w:val="auto"/>
    <w:notTrueType/>
    <w:pitch w:val="default"/>
    <w:sig w:usb0="00000003" w:usb1="00000000" w:usb2="00000000" w:usb3="00000000" w:csb0="00000001" w:csb1="00000000"/>
  </w:font>
  <w:font w:name="*Arial-6302-Identity-H">
    <w:altName w:val="Calibri"/>
    <w:panose1 w:val="00000000000000000000"/>
    <w:charset w:val="00"/>
    <w:family w:val="auto"/>
    <w:notTrueType/>
    <w:pitch w:val="default"/>
    <w:sig w:usb0="00000003" w:usb1="00000000" w:usb2="00000000" w:usb3="00000000" w:csb0="00000001" w:csb1="00000000"/>
  </w:font>
  <w:font w:name="*Arial-Bold-6801-Identity-H">
    <w:altName w:val="Calibri"/>
    <w:panose1 w:val="00000000000000000000"/>
    <w:charset w:val="00"/>
    <w:family w:val="auto"/>
    <w:notTrueType/>
    <w:pitch w:val="default"/>
    <w:sig w:usb0="00000003" w:usb1="00000000" w:usb2="00000000" w:usb3="00000000" w:csb0="00000001" w:csb1="00000000"/>
  </w:font>
  <w:font w:name="*Arial-6800-Identity-H">
    <w:altName w:val="Calibri"/>
    <w:panose1 w:val="00000000000000000000"/>
    <w:charset w:val="00"/>
    <w:family w:val="auto"/>
    <w:notTrueType/>
    <w:pitch w:val="default"/>
    <w:sig w:usb0="00000003" w:usb1="00000000" w:usb2="00000000" w:usb3="00000000" w:csb0="00000001" w:csb1="00000000"/>
  </w:font>
  <w:font w:name="*Arial-BoldItalic-6799-Identity">
    <w:altName w:val="Calibri"/>
    <w:panose1 w:val="00000000000000000000"/>
    <w:charset w:val="00"/>
    <w:family w:val="auto"/>
    <w:notTrueType/>
    <w:pitch w:val="default"/>
    <w:sig w:usb0="00000003" w:usb1="00000000" w:usb2="00000000" w:usb3="00000000" w:csb0="00000001" w:csb1="00000000"/>
  </w:font>
  <w:font w:name="*Arial-Bold-5815-Identity-H">
    <w:altName w:val="Calibri"/>
    <w:panose1 w:val="00000000000000000000"/>
    <w:charset w:val="00"/>
    <w:family w:val="auto"/>
    <w:notTrueType/>
    <w:pitch w:val="default"/>
    <w:sig w:usb0="00000003" w:usb1="00000000" w:usb2="00000000" w:usb3="00000000" w:csb0="00000001" w:csb1="00000000"/>
  </w:font>
  <w:font w:name="*Arial-5814-Identity-H">
    <w:altName w:val="Calibri"/>
    <w:panose1 w:val="00000000000000000000"/>
    <w:charset w:val="00"/>
    <w:family w:val="auto"/>
    <w:notTrueType/>
    <w:pitch w:val="default"/>
    <w:sig w:usb0="00000003" w:usb1="00000000" w:usb2="00000000" w:usb3="00000000" w:csb0="00000001" w:csb1="00000000"/>
  </w:font>
  <w:font w:name="*Arial-5404-Identity-H">
    <w:altName w:val="Calibri"/>
    <w:panose1 w:val="00000000000000000000"/>
    <w:charset w:val="00"/>
    <w:family w:val="auto"/>
    <w:notTrueType/>
    <w:pitch w:val="default"/>
    <w:sig w:usb0="00000003" w:usb1="00000000" w:usb2="00000000" w:usb3="00000000" w:csb0="00000001" w:csb1="00000000"/>
  </w:font>
  <w:font w:name="*Arial-6076-Identity-H">
    <w:altName w:val="Calibri"/>
    <w:panose1 w:val="00000000000000000000"/>
    <w:charset w:val="00"/>
    <w:family w:val="auto"/>
    <w:notTrueType/>
    <w:pitch w:val="default"/>
    <w:sig w:usb0="00000003" w:usb1="00000000" w:usb2="00000000" w:usb3="00000000" w:csb0="00000001" w:csb1="00000000"/>
  </w:font>
  <w:font w:name="*Arial-Bold-6075-Identity-H">
    <w:altName w:val="Calibri"/>
    <w:panose1 w:val="00000000000000000000"/>
    <w:charset w:val="00"/>
    <w:family w:val="auto"/>
    <w:notTrueType/>
    <w:pitch w:val="default"/>
    <w:sig w:usb0="00000003" w:usb1="00000000" w:usb2="00000000" w:usb3="00000000" w:csb0="00000001" w:csb1="00000000"/>
  </w:font>
  <w:font w:name="*Arial-Bold-7305-Identity-H">
    <w:altName w:val="Calibri"/>
    <w:panose1 w:val="00000000000000000000"/>
    <w:charset w:val="00"/>
    <w:family w:val="auto"/>
    <w:notTrueType/>
    <w:pitch w:val="default"/>
    <w:sig w:usb0="00000003" w:usb1="00000000" w:usb2="00000000" w:usb3="00000000" w:csb0="00000001" w:csb1="00000000"/>
  </w:font>
  <w:font w:name="*Arial-BoldItalic-7304-Identity">
    <w:altName w:val="Calibri"/>
    <w:panose1 w:val="00000000000000000000"/>
    <w:charset w:val="00"/>
    <w:family w:val="auto"/>
    <w:notTrueType/>
    <w:pitch w:val="default"/>
    <w:sig w:usb0="00000003" w:usb1="00000000" w:usb2="00000000" w:usb3="00000000" w:csb0="00000001" w:csb1="00000000"/>
  </w:font>
  <w:font w:name="*Arial-Bold-7303-Identity-H">
    <w:altName w:val="Calibri"/>
    <w:panose1 w:val="00000000000000000000"/>
    <w:charset w:val="00"/>
    <w:family w:val="auto"/>
    <w:notTrueType/>
    <w:pitch w:val="default"/>
    <w:sig w:usb0="00000003" w:usb1="00000000" w:usb2="00000000" w:usb3="00000000" w:csb0="00000001" w:csb1="00000000"/>
  </w:font>
  <w:font w:name="*Arial-7302-Identity-H">
    <w:altName w:val="Calibri"/>
    <w:panose1 w:val="00000000000000000000"/>
    <w:charset w:val="00"/>
    <w:family w:val="auto"/>
    <w:notTrueType/>
    <w:pitch w:val="default"/>
    <w:sig w:usb0="00000003" w:usb1="00000000" w:usb2="00000000" w:usb3="00000000" w:csb0="00000001" w:csb1="00000000"/>
  </w:font>
  <w:font w:name="*Arial-BoldItalic-7301-Identity">
    <w:altName w:val="Calibri"/>
    <w:panose1 w:val="00000000000000000000"/>
    <w:charset w:val="00"/>
    <w:family w:val="auto"/>
    <w:notTrueType/>
    <w:pitch w:val="default"/>
    <w:sig w:usb0="00000003" w:usb1="00000000" w:usb2="00000000" w:usb3="00000000" w:csb0="00000001" w:csb1="00000000"/>
  </w:font>
  <w:font w:name="*Arial-7122-Identity-H">
    <w:altName w:val="Calibri"/>
    <w:panose1 w:val="00000000000000000000"/>
    <w:charset w:val="00"/>
    <w:family w:val="auto"/>
    <w:notTrueType/>
    <w:pitch w:val="default"/>
    <w:sig w:usb0="00000003" w:usb1="00000000" w:usb2="00000000" w:usb3="00000000" w:csb0="00000001" w:csb1="00000000"/>
  </w:font>
  <w:font w:name="*Arial-Bold-7124-Identity-H">
    <w:altName w:val="Calibri"/>
    <w:panose1 w:val="00000000000000000000"/>
    <w:charset w:val="00"/>
    <w:family w:val="auto"/>
    <w:notTrueType/>
    <w:pitch w:val="default"/>
    <w:sig w:usb0="00000003" w:usb1="00000000" w:usb2="00000000" w:usb3="00000000" w:csb0="00000001" w:csb1="00000000"/>
  </w:font>
  <w:font w:name="*Arial-BoldItalic-7121-Identity">
    <w:altName w:val="Calibri"/>
    <w:panose1 w:val="00000000000000000000"/>
    <w:charset w:val="00"/>
    <w:family w:val="auto"/>
    <w:notTrueType/>
    <w:pitch w:val="default"/>
    <w:sig w:usb0="00000003" w:usb1="00000000" w:usb2="00000000" w:usb3="00000000" w:csb0="00000001" w:csb1="00000000"/>
  </w:font>
  <w:font w:name="*Arial-Bold-7123-Identity-H">
    <w:altName w:val="Calibri"/>
    <w:panose1 w:val="00000000000000000000"/>
    <w:charset w:val="00"/>
    <w:family w:val="auto"/>
    <w:notTrueType/>
    <w:pitch w:val="default"/>
    <w:sig w:usb0="00000003" w:usb1="00000000" w:usb2="00000000" w:usb3="00000000" w:csb0="00000001" w:csb1="00000000"/>
  </w:font>
  <w:font w:name="*Arial-6971-Identity-H">
    <w:altName w:val="Calibri"/>
    <w:panose1 w:val="00000000000000000000"/>
    <w:charset w:val="00"/>
    <w:family w:val="auto"/>
    <w:notTrueType/>
    <w:pitch w:val="default"/>
    <w:sig w:usb0="00000003" w:usb1="00000000" w:usb2="00000000" w:usb3="00000000" w:csb0="00000001" w:csb1="00000000"/>
  </w:font>
  <w:font w:name="*Arial-Bold-6972-Identity-H">
    <w:altName w:val="Calibri"/>
    <w:panose1 w:val="00000000000000000000"/>
    <w:charset w:val="00"/>
    <w:family w:val="auto"/>
    <w:notTrueType/>
    <w:pitch w:val="default"/>
    <w:sig w:usb0="00000003" w:usb1="00000000" w:usb2="00000000" w:usb3="00000000" w:csb0="00000001" w:csb1="00000000"/>
  </w:font>
  <w:font w:name="*Arial-BoldItalic-6970-Identity">
    <w:altName w:val="Calibri"/>
    <w:panose1 w:val="00000000000000000000"/>
    <w:charset w:val="00"/>
    <w:family w:val="auto"/>
    <w:notTrueType/>
    <w:pitch w:val="default"/>
    <w:sig w:usb0="00000003" w:usb1="00000000" w:usb2="00000000" w:usb3="00000000" w:csb0="00000001" w:csb1="00000000"/>
  </w:font>
  <w:font w:name="*Arial-5945-Identity-H">
    <w:altName w:val="Calibri"/>
    <w:panose1 w:val="00000000000000000000"/>
    <w:charset w:val="00"/>
    <w:family w:val="auto"/>
    <w:notTrueType/>
    <w:pitch w:val="default"/>
    <w:sig w:usb0="00000003" w:usb1="00000000" w:usb2="00000000" w:usb3="00000000" w:csb0="00000001" w:csb1="00000000"/>
  </w:font>
  <w:font w:name="*Arial-5497-Identity-H">
    <w:altName w:val="Calibri"/>
    <w:panose1 w:val="00000000000000000000"/>
    <w:charset w:val="00"/>
    <w:family w:val="auto"/>
    <w:notTrueType/>
    <w:pitch w:val="default"/>
    <w:sig w:usb0="00000003" w:usb1="00000000" w:usb2="00000000" w:usb3="00000000" w:csb0="00000001" w:csb1="00000000"/>
  </w:font>
  <w:font w:name="*Arial-BoldItalic-5495-Identity">
    <w:altName w:val="Calibri"/>
    <w:panose1 w:val="00000000000000000000"/>
    <w:charset w:val="00"/>
    <w:family w:val="auto"/>
    <w:notTrueType/>
    <w:pitch w:val="default"/>
    <w:sig w:usb0="00000003" w:usb1="00000000" w:usb2="00000000" w:usb3="00000000" w:csb0="00000001" w:csb1="00000000"/>
  </w:font>
  <w:font w:name="*Arial-Bold-5498-Identity-H">
    <w:altName w:val="Calibri"/>
    <w:panose1 w:val="00000000000000000000"/>
    <w:charset w:val="00"/>
    <w:family w:val="auto"/>
    <w:notTrueType/>
    <w:pitch w:val="default"/>
    <w:sig w:usb0="00000003" w:usb1="00000000" w:usb2="00000000" w:usb3="00000000" w:csb0="00000001" w:csb1="00000000"/>
  </w:font>
  <w:font w:name="*Arial-BoldItalic-6667-Identity">
    <w:altName w:val="Calibri"/>
    <w:panose1 w:val="00000000000000000000"/>
    <w:charset w:val="00"/>
    <w:family w:val="auto"/>
    <w:notTrueType/>
    <w:pitch w:val="default"/>
    <w:sig w:usb0="00000003" w:usb1="00000000" w:usb2="00000000" w:usb3="00000000" w:csb0="00000001" w:csb1="00000000"/>
  </w:font>
  <w:font w:name="*Calibri-6665-Identity-H">
    <w:altName w:val="Calibri"/>
    <w:panose1 w:val="00000000000000000000"/>
    <w:charset w:val="00"/>
    <w:family w:val="auto"/>
    <w:notTrueType/>
    <w:pitch w:val="default"/>
    <w:sig w:usb0="00000003" w:usb1="00000000" w:usb2="00000000" w:usb3="00000000" w:csb0="00000001" w:csb1="00000000"/>
  </w:font>
  <w:font w:name="*Arial-6668-Identity-H">
    <w:altName w:val="Calibri"/>
    <w:panose1 w:val="00000000000000000000"/>
    <w:charset w:val="00"/>
    <w:family w:val="auto"/>
    <w:notTrueType/>
    <w:pitch w:val="default"/>
    <w:sig w:usb0="00000003" w:usb1="00000000" w:usb2="00000000" w:usb3="00000000" w:csb0="00000001" w:csb1="00000000"/>
  </w:font>
  <w:font w:name="*Arial-Bold-6669-Identity-H">
    <w:altName w:val="Calibri"/>
    <w:panose1 w:val="00000000000000000000"/>
    <w:charset w:val="00"/>
    <w:family w:val="auto"/>
    <w:notTrueType/>
    <w:pitch w:val="default"/>
    <w:sig w:usb0="00000003" w:usb1="00000000" w:usb2="00000000" w:usb3="00000000" w:csb0="00000001" w:csb1="00000000"/>
  </w:font>
  <w:font w:name="*Arial-7149-Identity-H">
    <w:altName w:val="Calibri"/>
    <w:panose1 w:val="00000000000000000000"/>
    <w:charset w:val="00"/>
    <w:family w:val="auto"/>
    <w:notTrueType/>
    <w:pitch w:val="default"/>
    <w:sig w:usb0="00000003" w:usb1="00000000" w:usb2="00000000" w:usb3="00000000" w:csb0="00000001" w:csb1="00000000"/>
  </w:font>
  <w:font w:name="*Arial-BoldItalic-7148-Identity">
    <w:altName w:val="Calibri"/>
    <w:panose1 w:val="00000000000000000000"/>
    <w:charset w:val="00"/>
    <w:family w:val="auto"/>
    <w:notTrueType/>
    <w:pitch w:val="default"/>
    <w:sig w:usb0="00000003" w:usb1="00000000" w:usb2="00000000" w:usb3="00000000" w:csb0="00000001" w:csb1="00000000"/>
  </w:font>
  <w:font w:name="*Arial-Bold-7150-Identity-H">
    <w:altName w:val="Calibri"/>
    <w:panose1 w:val="00000000000000000000"/>
    <w:charset w:val="00"/>
    <w:family w:val="auto"/>
    <w:notTrueType/>
    <w:pitch w:val="default"/>
    <w:sig w:usb0="00000003" w:usb1="00000000" w:usb2="00000000" w:usb3="00000000" w:csb0="00000001" w:csb1="00000000"/>
  </w:font>
  <w:font w:name="*Arial-Bold-7151-Identity-H">
    <w:altName w:val="Calibri"/>
    <w:panose1 w:val="00000000000000000000"/>
    <w:charset w:val="00"/>
    <w:family w:val="auto"/>
    <w:notTrueType/>
    <w:pitch w:val="default"/>
    <w:sig w:usb0="00000003" w:usb1="00000000" w:usb2="00000000" w:usb3="00000000" w:csb0="00000001" w:csb1="00000000"/>
  </w:font>
  <w:font w:name="*Arial-6117-Identity-H">
    <w:altName w:val="Calibri"/>
    <w:panose1 w:val="00000000000000000000"/>
    <w:charset w:val="00"/>
    <w:family w:val="auto"/>
    <w:notTrueType/>
    <w:pitch w:val="default"/>
    <w:sig w:usb0="00000003" w:usb1="00000000" w:usb2="00000000" w:usb3="00000000" w:csb0="00000001" w:csb1="00000000"/>
  </w:font>
  <w:font w:name="*Arial-Bold-6118-Identity-H">
    <w:altName w:val="Calibri"/>
    <w:panose1 w:val="00000000000000000000"/>
    <w:charset w:val="00"/>
    <w:family w:val="auto"/>
    <w:notTrueType/>
    <w:pitch w:val="default"/>
    <w:sig w:usb0="00000003" w:usb1="00000000" w:usb2="00000000" w:usb3="00000000" w:csb0="00000001" w:csb1="00000000"/>
  </w:font>
  <w:font w:name="*Arial-6776-Identity-H">
    <w:altName w:val="Calibri"/>
    <w:panose1 w:val="00000000000000000000"/>
    <w:charset w:val="00"/>
    <w:family w:val="auto"/>
    <w:notTrueType/>
    <w:pitch w:val="default"/>
    <w:sig w:usb0="00000003" w:usb1="00000000" w:usb2="00000000" w:usb3="00000000" w:csb0="00000001" w:csb1="00000000"/>
  </w:font>
  <w:font w:name="*Arial-Bold-6778-Identity-H">
    <w:altName w:val="Calibri"/>
    <w:panose1 w:val="00000000000000000000"/>
    <w:charset w:val="00"/>
    <w:family w:val="auto"/>
    <w:notTrueType/>
    <w:pitch w:val="default"/>
    <w:sig w:usb0="00000003" w:usb1="00000000" w:usb2="00000000" w:usb3="00000000" w:csb0="00000001" w:csb1="00000000"/>
  </w:font>
  <w:font w:name="*Arial-Bold-6777-Identity-H">
    <w:altName w:val="Calibri"/>
    <w:panose1 w:val="00000000000000000000"/>
    <w:charset w:val="00"/>
    <w:family w:val="auto"/>
    <w:notTrueType/>
    <w:pitch w:val="default"/>
    <w:sig w:usb0="00000003" w:usb1="00000000" w:usb2="00000000" w:usb3="00000000" w:csb0="00000001" w:csb1="00000000"/>
  </w:font>
  <w:font w:name="*Arial-BoldItalic-6774-Identity">
    <w:altName w:val="Calibri"/>
    <w:panose1 w:val="00000000000000000000"/>
    <w:charset w:val="00"/>
    <w:family w:val="auto"/>
    <w:notTrueType/>
    <w:pitch w:val="default"/>
    <w:sig w:usb0="00000003" w:usb1="00000000" w:usb2="00000000" w:usb3="00000000" w:csb0="00000001" w:csb1="00000000"/>
  </w:font>
  <w:font w:name="*Arial-6420-Identity-H">
    <w:altName w:val="Calibri"/>
    <w:panose1 w:val="00000000000000000000"/>
    <w:charset w:val="00"/>
    <w:family w:val="auto"/>
    <w:notTrueType/>
    <w:pitch w:val="default"/>
    <w:sig w:usb0="00000003" w:usb1="00000000" w:usb2="00000000" w:usb3="00000000" w:csb0="00000001" w:csb1="00000000"/>
  </w:font>
  <w:font w:name="*Verdana-6422-Identity-H">
    <w:altName w:val="Calibri"/>
    <w:panose1 w:val="00000000000000000000"/>
    <w:charset w:val="00"/>
    <w:family w:val="auto"/>
    <w:notTrueType/>
    <w:pitch w:val="default"/>
    <w:sig w:usb0="00000003" w:usb1="00000000" w:usb2="00000000" w:usb3="00000000" w:csb0="00000001" w:csb1="00000000"/>
  </w:font>
  <w:font w:name="*Arial-Bold-6656-Identity-H">
    <w:altName w:val="Calibri"/>
    <w:panose1 w:val="00000000000000000000"/>
    <w:charset w:val="00"/>
    <w:family w:val="auto"/>
    <w:notTrueType/>
    <w:pitch w:val="default"/>
    <w:sig w:usb0="00000003" w:usb1="00000000" w:usb2="00000000" w:usb3="00000000" w:csb0="00000001" w:csb1="00000000"/>
  </w:font>
  <w:font w:name="*Arial-BoldItalic-6658-Identity">
    <w:altName w:val="Calibri"/>
    <w:panose1 w:val="00000000000000000000"/>
    <w:charset w:val="00"/>
    <w:family w:val="auto"/>
    <w:notTrueType/>
    <w:pitch w:val="default"/>
    <w:sig w:usb0="00000003" w:usb1="00000000" w:usb2="00000000" w:usb3="00000000" w:csb0="00000001" w:csb1="00000000"/>
  </w:font>
  <w:font w:name="*Arial-BoldItalic-6657-Identity">
    <w:altName w:val="Calibri"/>
    <w:panose1 w:val="00000000000000000000"/>
    <w:charset w:val="00"/>
    <w:family w:val="auto"/>
    <w:notTrueType/>
    <w:pitch w:val="default"/>
    <w:sig w:usb0="00000003" w:usb1="00000000" w:usb2="00000000" w:usb3="00000000" w:csb0="00000001" w:csb1="00000000"/>
  </w:font>
  <w:font w:name="*Arial-Bold-6655-Identity-H">
    <w:altName w:val="Calibri"/>
    <w:panose1 w:val="00000000000000000000"/>
    <w:charset w:val="00"/>
    <w:family w:val="auto"/>
    <w:notTrueType/>
    <w:pitch w:val="default"/>
    <w:sig w:usb0="00000003" w:usb1="00000000" w:usb2="00000000" w:usb3="00000000" w:csb0="00000001" w:csb1="00000000"/>
  </w:font>
  <w:font w:name="*Arial-6654-Identity-H">
    <w:altName w:val="Calibri"/>
    <w:panose1 w:val="00000000000000000000"/>
    <w:charset w:val="00"/>
    <w:family w:val="auto"/>
    <w:notTrueType/>
    <w:pitch w:val="default"/>
    <w:sig w:usb0="00000003" w:usb1="00000000" w:usb2="00000000" w:usb3="00000000" w:csb0="00000001" w:csb1="00000000"/>
  </w:font>
  <w:font w:name="*Arial-6652-Identity-H">
    <w:altName w:val="Calibri"/>
    <w:panose1 w:val="00000000000000000000"/>
    <w:charset w:val="00"/>
    <w:family w:val="auto"/>
    <w:notTrueType/>
    <w:pitch w:val="default"/>
    <w:sig w:usb0="00000003" w:usb1="00000000" w:usb2="00000000" w:usb3="00000000" w:csb0="00000001" w:csb1="00000000"/>
  </w:font>
  <w:font w:name="*Arial-Bold-4116-Identity-H">
    <w:altName w:val="Calibri"/>
    <w:panose1 w:val="00000000000000000000"/>
    <w:charset w:val="00"/>
    <w:family w:val="auto"/>
    <w:notTrueType/>
    <w:pitch w:val="default"/>
    <w:sig w:usb0="00000003" w:usb1="00000000" w:usb2="00000000" w:usb3="00000000" w:csb0="00000001" w:csb1="00000000"/>
  </w:font>
  <w:font w:name="TrebuchetMS-Bold">
    <w:altName w:val="Calibri"/>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Trebuchet-BoldItalic">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Amasis MT Pro Light">
    <w:charset w:val="00"/>
    <w:family w:val="roman"/>
    <w:pitch w:val="variable"/>
    <w:sig w:usb0="A00000AF" w:usb1="4000205B" w:usb2="00000000" w:usb3="00000000" w:csb0="00000093" w:csb1="00000000"/>
  </w:font>
  <w:font w:name="Amasis MT Pro Light,Italic">
    <w:altName w:val="Amasis MT Pro Light"/>
    <w:panose1 w:val="00000000000000000000"/>
    <w:charset w:val="00"/>
    <w:family w:val="swiss"/>
    <w:notTrueType/>
    <w:pitch w:val="default"/>
    <w:sig w:usb0="00000003" w:usb1="00000000" w:usb2="00000000" w:usb3="00000000" w:csb0="00000001" w:csb1="00000000"/>
  </w:font>
  <w:font w:name="AmasisMTPro-Light">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Bold-8348-Identity-H">
    <w:altName w:val="Calibri"/>
    <w:panose1 w:val="00000000000000000000"/>
    <w:charset w:val="00"/>
    <w:family w:val="auto"/>
    <w:notTrueType/>
    <w:pitch w:val="default"/>
    <w:sig w:usb0="00000003" w:usb1="00000000" w:usb2="00000000" w:usb3="00000000" w:csb0="00000001" w:csb1="00000000"/>
  </w:font>
  <w:font w:name="*Verdana-8347-Identity-H">
    <w:altName w:val="Calibri"/>
    <w:panose1 w:val="00000000000000000000"/>
    <w:charset w:val="00"/>
    <w:family w:val="auto"/>
    <w:notTrueType/>
    <w:pitch w:val="default"/>
    <w:sig w:usb0="00000003" w:usb1="00000000" w:usb2="00000000" w:usb3="00000000" w:csb0="00000001" w:csb1="00000000"/>
  </w:font>
  <w:font w:name="*Verdana-5965-Identity-H">
    <w:altName w:val="Calibri"/>
    <w:panose1 w:val="00000000000000000000"/>
    <w:charset w:val="00"/>
    <w:family w:val="auto"/>
    <w:notTrueType/>
    <w:pitch w:val="default"/>
    <w:sig w:usb0="00000003" w:usb1="00000000" w:usb2="00000000" w:usb3="00000000" w:csb0="00000001" w:csb1="00000000"/>
  </w:font>
  <w:font w:name="*Verdana-4356-Identity-H">
    <w:altName w:val="Calibri"/>
    <w:panose1 w:val="00000000000000000000"/>
    <w:charset w:val="00"/>
    <w:family w:val="auto"/>
    <w:notTrueType/>
    <w:pitch w:val="default"/>
    <w:sig w:usb0="00000003" w:usb1="00000000" w:usb2="00000000" w:usb3="00000000" w:csb0="00000001" w:csb1="00000000"/>
  </w:font>
  <w:font w:name="*Verdana-Bold-4355-Identity-H">
    <w:altName w:val="Calibri"/>
    <w:panose1 w:val="00000000000000000000"/>
    <w:charset w:val="00"/>
    <w:family w:val="auto"/>
    <w:notTrueType/>
    <w:pitch w:val="default"/>
    <w:sig w:usb0="00000003" w:usb1="00000000" w:usb2="00000000" w:usb3="00000000" w:csb0="00000001" w:csb1="00000000"/>
  </w:font>
  <w:font w:name="*Arial-Bold-15330-Identity-H">
    <w:altName w:val="Calibri"/>
    <w:panose1 w:val="00000000000000000000"/>
    <w:charset w:val="00"/>
    <w:family w:val="auto"/>
    <w:notTrueType/>
    <w:pitch w:val="default"/>
    <w:sig w:usb0="00000003" w:usb1="00000000" w:usb2="00000000" w:usb3="00000000" w:csb0="00000001" w:csb1="00000000"/>
  </w:font>
  <w:font w:name="*Arial-15329-Identity-H">
    <w:altName w:val="Calibri"/>
    <w:panose1 w:val="00000000000000000000"/>
    <w:charset w:val="00"/>
    <w:family w:val="auto"/>
    <w:notTrueType/>
    <w:pitch w:val="default"/>
    <w:sig w:usb0="00000003" w:usb1="00000000" w:usb2="00000000" w:usb3="00000000" w:csb0="00000001" w:csb1="00000000"/>
  </w:font>
  <w:font w:name="*Arial-15328-Identity-H">
    <w:altName w:val="Calibri"/>
    <w:panose1 w:val="00000000000000000000"/>
    <w:charset w:val="00"/>
    <w:family w:val="auto"/>
    <w:notTrueType/>
    <w:pitch w:val="default"/>
    <w:sig w:usb0="00000003" w:usb1="00000000" w:usb2="00000000" w:usb3="00000000" w:csb0="00000001" w:csb1="00000000"/>
  </w:font>
  <w:font w:name="*Arial-13876-Identity-H">
    <w:altName w:val="Calibri"/>
    <w:panose1 w:val="00000000000000000000"/>
    <w:charset w:val="00"/>
    <w:family w:val="auto"/>
    <w:notTrueType/>
    <w:pitch w:val="default"/>
    <w:sig w:usb0="00000003" w:usb1="00000000" w:usb2="00000000" w:usb3="00000000" w:csb0="00000001" w:csb1="00000000"/>
  </w:font>
  <w:font w:name="*Arial-13605-Identity-H">
    <w:altName w:val="Calibri"/>
    <w:panose1 w:val="00000000000000000000"/>
    <w:charset w:val="00"/>
    <w:family w:val="auto"/>
    <w:notTrueType/>
    <w:pitch w:val="default"/>
    <w:sig w:usb0="00000003" w:usb1="00000000" w:usb2="00000000" w:usb3="00000000" w:csb0="00000001" w:csb1="00000000"/>
  </w:font>
  <w:font w:name="*Arial-Bold-7497-Identity-H">
    <w:altName w:val="Calibri"/>
    <w:panose1 w:val="00000000000000000000"/>
    <w:charset w:val="00"/>
    <w:family w:val="auto"/>
    <w:notTrueType/>
    <w:pitch w:val="default"/>
    <w:sig w:usb0="00000003" w:usb1="00000000" w:usb2="00000000" w:usb3="00000000" w:csb0="00000001" w:csb1="00000000"/>
  </w:font>
  <w:font w:name="*Arial-Bold-7496-Identity-H">
    <w:altName w:val="Calibri"/>
    <w:panose1 w:val="00000000000000000000"/>
    <w:charset w:val="00"/>
    <w:family w:val="auto"/>
    <w:notTrueType/>
    <w:pitch w:val="default"/>
    <w:sig w:usb0="00000003" w:usb1="00000000" w:usb2="00000000" w:usb3="00000000" w:csb0="00000001" w:csb1="00000000"/>
  </w:font>
  <w:font w:name="*Arial-Bold-12536-Identity-H">
    <w:altName w:val="Calibri"/>
    <w:panose1 w:val="00000000000000000000"/>
    <w:charset w:val="00"/>
    <w:family w:val="auto"/>
    <w:notTrueType/>
    <w:pitch w:val="default"/>
    <w:sig w:usb0="00000003" w:usb1="00000000" w:usb2="00000000" w:usb3="00000000" w:csb0="00000001" w:csb1="00000000"/>
  </w:font>
  <w:font w:name="*Arial-12535-Identity-H">
    <w:altName w:val="Calibri"/>
    <w:panose1 w:val="00000000000000000000"/>
    <w:charset w:val="00"/>
    <w:family w:val="auto"/>
    <w:notTrueType/>
    <w:pitch w:val="default"/>
    <w:sig w:usb0="00000003" w:usb1="00000000" w:usb2="00000000" w:usb3="00000000" w:csb0="00000001" w:csb1="00000000"/>
  </w:font>
  <w:font w:name="*Times New Roman-Italic-12522-I">
    <w:altName w:val="Calibri"/>
    <w:panose1 w:val="00000000000000000000"/>
    <w:charset w:val="00"/>
    <w:family w:val="auto"/>
    <w:notTrueType/>
    <w:pitch w:val="default"/>
    <w:sig w:usb0="00000003" w:usb1="00000000" w:usb2="00000000" w:usb3="00000000" w:csb0="00000001" w:csb1="00000000"/>
  </w:font>
  <w:font w:name="*Arial-9827-Identity-H">
    <w:altName w:val="Calibri"/>
    <w:panose1 w:val="00000000000000000000"/>
    <w:charset w:val="00"/>
    <w:family w:val="auto"/>
    <w:notTrueType/>
    <w:pitch w:val="default"/>
    <w:sig w:usb0="00000003" w:usb1="00000000" w:usb2="00000000" w:usb3="00000000" w:csb0="00000001" w:csb1="00000000"/>
  </w:font>
  <w:font w:name="*Calibri-9826-Identity-H">
    <w:altName w:val="Calibri"/>
    <w:panose1 w:val="00000000000000000000"/>
    <w:charset w:val="00"/>
    <w:family w:val="auto"/>
    <w:notTrueType/>
    <w:pitch w:val="default"/>
    <w:sig w:usb0="00000003" w:usb1="00000000" w:usb2="00000000" w:usb3="00000000" w:csb0="00000001" w:csb1="00000000"/>
  </w:font>
  <w:font w:name="*Microsoft Sans Serif-Bold-9830">
    <w:altName w:val="Calibri"/>
    <w:panose1 w:val="00000000000000000000"/>
    <w:charset w:val="00"/>
    <w:family w:val="auto"/>
    <w:notTrueType/>
    <w:pitch w:val="default"/>
    <w:sig w:usb0="00000003" w:usb1="00000000" w:usb2="00000000" w:usb3="00000000" w:csb0="00000001" w:csb1="00000000"/>
  </w:font>
  <w:font w:name="*Arial-Italic-11695-Identity-H">
    <w:altName w:val="Calibri"/>
    <w:panose1 w:val="00000000000000000000"/>
    <w:charset w:val="00"/>
    <w:family w:val="auto"/>
    <w:notTrueType/>
    <w:pitch w:val="default"/>
    <w:sig w:usb0="00000003" w:usb1="00000000" w:usb2="00000000" w:usb3="00000000" w:csb0="00000001" w:csb1="00000000"/>
  </w:font>
  <w:font w:name="*Calibri-11693-Identity-H">
    <w:altName w:val="Calibri"/>
    <w:panose1 w:val="00000000000000000000"/>
    <w:charset w:val="00"/>
    <w:family w:val="auto"/>
    <w:notTrueType/>
    <w:pitch w:val="default"/>
    <w:sig w:usb0="00000003" w:usb1="00000000" w:usb2="00000000" w:usb3="00000000" w:csb0="00000001" w:csb1="00000000"/>
  </w:font>
  <w:font w:name="*Arial-11694-Identity-H">
    <w:altName w:val="Calibri"/>
    <w:panose1 w:val="00000000000000000000"/>
    <w:charset w:val="00"/>
    <w:family w:val="auto"/>
    <w:notTrueType/>
    <w:pitch w:val="default"/>
    <w:sig w:usb0="00000003" w:usb1="00000000" w:usb2="00000000" w:usb3="00000000" w:csb0="00000001" w:csb1="00000000"/>
  </w:font>
  <w:font w:name="*Microsoft Sans Serif-11697-Ide">
    <w:altName w:val="Calibri"/>
    <w:panose1 w:val="00000000000000000000"/>
    <w:charset w:val="00"/>
    <w:family w:val="auto"/>
    <w:notTrueType/>
    <w:pitch w:val="default"/>
    <w:sig w:usb0="00000003" w:usb1="00000000" w:usb2="00000000" w:usb3="00000000" w:csb0="00000001" w:csb1="00000000"/>
  </w:font>
  <w:font w:name="*Arial-11486-Identity-H">
    <w:altName w:val="Calibri"/>
    <w:panose1 w:val="00000000000000000000"/>
    <w:charset w:val="00"/>
    <w:family w:val="auto"/>
    <w:notTrueType/>
    <w:pitch w:val="default"/>
    <w:sig w:usb0="00000003" w:usb1="00000000" w:usb2="00000000" w:usb3="00000000" w:csb0="00000001" w:csb1="00000000"/>
  </w:font>
  <w:font w:name="*Arial-Italic-11487-Identity-H">
    <w:altName w:val="Calibri"/>
    <w:panose1 w:val="00000000000000000000"/>
    <w:charset w:val="00"/>
    <w:family w:val="auto"/>
    <w:notTrueType/>
    <w:pitch w:val="default"/>
    <w:sig w:usb0="00000003" w:usb1="00000000" w:usb2="00000000" w:usb3="00000000" w:csb0="00000001" w:csb1="00000000"/>
  </w:font>
  <w:font w:name="*Microsoft Sans Serif-Italic-11">
    <w:altName w:val="Calibri"/>
    <w:panose1 w:val="00000000000000000000"/>
    <w:charset w:val="00"/>
    <w:family w:val="auto"/>
    <w:notTrueType/>
    <w:pitch w:val="default"/>
    <w:sig w:usb0="00000003" w:usb1="00000000" w:usb2="00000000" w:usb3="00000000" w:csb0="00000001" w:csb1="00000000"/>
  </w:font>
  <w:font w:name="*Calibri-11485-Identity-H">
    <w:altName w:val="Calibri"/>
    <w:panose1 w:val="00000000000000000000"/>
    <w:charset w:val="00"/>
    <w:family w:val="auto"/>
    <w:notTrueType/>
    <w:pitch w:val="default"/>
    <w:sig w:usb0="00000003" w:usb1="00000000" w:usb2="00000000" w:usb3="00000000" w:csb0="00000001" w:csb1="00000000"/>
  </w:font>
  <w:font w:name="*Arial-7573-Identity-H">
    <w:altName w:val="Calibri"/>
    <w:panose1 w:val="00000000000000000000"/>
    <w:charset w:val="00"/>
    <w:family w:val="auto"/>
    <w:notTrueType/>
    <w:pitch w:val="default"/>
    <w:sig w:usb0="00000003" w:usb1="00000000" w:usb2="00000000" w:usb3="00000000" w:csb0="00000001" w:csb1="00000000"/>
  </w:font>
  <w:font w:name="*Arial-Bold-7574-Identity-H">
    <w:altName w:val="Calibri"/>
    <w:panose1 w:val="00000000000000000000"/>
    <w:charset w:val="00"/>
    <w:family w:val="auto"/>
    <w:notTrueType/>
    <w:pitch w:val="default"/>
    <w:sig w:usb0="00000003" w:usb1="00000000" w:usb2="00000000" w:usb3="00000000" w:csb0="00000001" w:csb1="00000000"/>
  </w:font>
  <w:font w:name="*Calibri-Bold-7572-Identity-H">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Verdana-Bold-5029-Identity-H">
    <w:altName w:val="Calibri"/>
    <w:panose1 w:val="00000000000000000000"/>
    <w:charset w:val="00"/>
    <w:family w:val="auto"/>
    <w:notTrueType/>
    <w:pitch w:val="default"/>
    <w:sig w:usb0="00000003" w:usb1="00000000" w:usb2="00000000" w:usb3="00000000" w:csb0="00000001" w:csb1="00000000"/>
  </w:font>
  <w:font w:name="*Tahoma-5031-Identity-H">
    <w:altName w:val="Calibri"/>
    <w:panose1 w:val="00000000000000000000"/>
    <w:charset w:val="00"/>
    <w:family w:val="auto"/>
    <w:notTrueType/>
    <w:pitch w:val="default"/>
    <w:sig w:usb0="00000003" w:usb1="00000000" w:usb2="00000000" w:usb3="00000000" w:csb0="00000001" w:csb1="00000000"/>
  </w:font>
  <w:font w:name="*Tahoma-Bold-5032-Identity-H">
    <w:altName w:val="Calibri"/>
    <w:panose1 w:val="00000000000000000000"/>
    <w:charset w:val="00"/>
    <w:family w:val="auto"/>
    <w:notTrueType/>
    <w:pitch w:val="default"/>
    <w:sig w:usb0="00000003" w:usb1="00000000" w:usb2="00000000" w:usb3="00000000" w:csb0="00000001" w:csb1="00000000"/>
  </w:font>
  <w:font w:name="*Verdana-Bold-5873-Identity-H">
    <w:altName w:val="Calibri"/>
    <w:panose1 w:val="00000000000000000000"/>
    <w:charset w:val="00"/>
    <w:family w:val="auto"/>
    <w:notTrueType/>
    <w:pitch w:val="default"/>
    <w:sig w:usb0="00000003" w:usb1="00000000" w:usb2="00000000" w:usb3="00000000" w:csb0="00000001" w:csb1="00000000"/>
  </w:font>
  <w:font w:name="*Verdana-5872-Identity-H">
    <w:altName w:val="Calibri"/>
    <w:panose1 w:val="00000000000000000000"/>
    <w:charset w:val="00"/>
    <w:family w:val="auto"/>
    <w:notTrueType/>
    <w:pitch w:val="default"/>
    <w:sig w:usb0="00000003" w:usb1="00000000" w:usb2="00000000" w:usb3="00000000" w:csb0="00000001" w:csb1="00000000"/>
  </w:font>
  <w:font w:name="*Verdana-Bold-7225-Identity-H">
    <w:altName w:val="Calibri"/>
    <w:panose1 w:val="00000000000000000000"/>
    <w:charset w:val="00"/>
    <w:family w:val="auto"/>
    <w:notTrueType/>
    <w:pitch w:val="default"/>
    <w:sig w:usb0="00000003" w:usb1="00000000" w:usb2="00000000" w:usb3="00000000" w:csb0="00000001" w:csb1="00000000"/>
  </w:font>
  <w:font w:name="*Verdana-7224-Identity-H">
    <w:altName w:val="Calibri"/>
    <w:panose1 w:val="00000000000000000000"/>
    <w:charset w:val="00"/>
    <w:family w:val="auto"/>
    <w:notTrueType/>
    <w:pitch w:val="default"/>
    <w:sig w:usb0="00000003" w:usb1="00000000" w:usb2="00000000" w:usb3="00000000" w:csb0="00000001" w:csb1="00000000"/>
  </w:font>
  <w:font w:name="*Verdana-7222-Identity-H">
    <w:altName w:val="Calibri"/>
    <w:panose1 w:val="00000000000000000000"/>
    <w:charset w:val="00"/>
    <w:family w:val="auto"/>
    <w:notTrueType/>
    <w:pitch w:val="default"/>
    <w:sig w:usb0="00000003" w:usb1="00000000" w:usb2="00000000" w:usb3="00000000" w:csb0="00000001" w:csb1="00000000"/>
  </w:font>
  <w:font w:name="*Verdana-Bold-9241-Identity-H">
    <w:altName w:val="Calibri"/>
    <w:panose1 w:val="00000000000000000000"/>
    <w:charset w:val="00"/>
    <w:family w:val="auto"/>
    <w:notTrueType/>
    <w:pitch w:val="default"/>
    <w:sig w:usb0="00000003" w:usb1="00000000" w:usb2="00000000" w:usb3="00000000" w:csb0="00000001" w:csb1="00000000"/>
  </w:font>
  <w:font w:name="*Verdana-9240-Identity-H">
    <w:altName w:val="Calibri"/>
    <w:panose1 w:val="00000000000000000000"/>
    <w:charset w:val="00"/>
    <w:family w:val="auto"/>
    <w:notTrueType/>
    <w:pitch w:val="default"/>
    <w:sig w:usb0="00000003" w:usb1="00000000" w:usb2="00000000" w:usb3="00000000" w:csb0="00000001" w:csb1="00000000"/>
  </w:font>
  <w:font w:name="*Verdana-Italic-9239-Identity-H">
    <w:altName w:val="Calibri"/>
    <w:panose1 w:val="00000000000000000000"/>
    <w:charset w:val="00"/>
    <w:family w:val="auto"/>
    <w:notTrueType/>
    <w:pitch w:val="default"/>
    <w:sig w:usb0="00000003" w:usb1="00000000" w:usb2="00000000" w:usb3="00000000" w:csb0="00000001" w:csb1="00000000"/>
  </w:font>
  <w:font w:name="*Verdana-Italic-9698-Identity-H">
    <w:altName w:val="Calibri"/>
    <w:panose1 w:val="00000000000000000000"/>
    <w:charset w:val="00"/>
    <w:family w:val="auto"/>
    <w:notTrueType/>
    <w:pitch w:val="default"/>
    <w:sig w:usb0="00000003" w:usb1="00000000" w:usb2="00000000" w:usb3="00000000" w:csb0="00000001" w:csb1="00000000"/>
  </w:font>
  <w:font w:name="*Verdana-9697-Identity-H">
    <w:altName w:val="Calibri"/>
    <w:panose1 w:val="00000000000000000000"/>
    <w:charset w:val="00"/>
    <w:family w:val="auto"/>
    <w:notTrueType/>
    <w:pitch w:val="default"/>
    <w:sig w:usb0="00000003" w:usb1="00000000" w:usb2="00000000" w:usb3="00000000" w:csb0="00000001" w:csb1="00000000"/>
  </w:font>
  <w:font w:name="*Tahoma-9699-Identity-H">
    <w:altName w:val="Calibri"/>
    <w:panose1 w:val="00000000000000000000"/>
    <w:charset w:val="00"/>
    <w:family w:val="auto"/>
    <w:notTrueType/>
    <w:pitch w:val="default"/>
    <w:sig w:usb0="00000003" w:usb1="00000000" w:usb2="00000000" w:usb3="00000000" w:csb0="00000001" w:csb1="00000000"/>
  </w:font>
  <w:font w:name="*Tahoma-9701-Identity-H">
    <w:altName w:val="Calibri"/>
    <w:panose1 w:val="00000000000000000000"/>
    <w:charset w:val="00"/>
    <w:family w:val="auto"/>
    <w:notTrueType/>
    <w:pitch w:val="default"/>
    <w:sig w:usb0="00000003" w:usb1="00000000" w:usb2="00000000" w:usb3="00000000" w:csb0="00000001" w:csb1="00000000"/>
  </w:font>
  <w:font w:name="*Verdana-Italic-9696-Identity-H">
    <w:altName w:val="Calibri"/>
    <w:panose1 w:val="00000000000000000000"/>
    <w:charset w:val="00"/>
    <w:family w:val="auto"/>
    <w:notTrueType/>
    <w:pitch w:val="default"/>
    <w:sig w:usb0="00000003" w:usb1="00000000" w:usb2="00000000" w:usb3="00000000" w:csb0="00000001" w:csb1="00000000"/>
  </w:font>
  <w:font w:name="*Verdana-7127-Identity-H">
    <w:altName w:val="Calibri"/>
    <w:panose1 w:val="00000000000000000000"/>
    <w:charset w:val="00"/>
    <w:family w:val="auto"/>
    <w:notTrueType/>
    <w:pitch w:val="default"/>
    <w:sig w:usb0="00000003" w:usb1="00000000" w:usb2="00000000" w:usb3="00000000" w:csb0="00000001" w:csb1="00000000"/>
  </w:font>
  <w:font w:name="*Tahoma-7968-Identity-H">
    <w:altName w:val="Calibri"/>
    <w:panose1 w:val="00000000000000000000"/>
    <w:charset w:val="00"/>
    <w:family w:val="auto"/>
    <w:notTrueType/>
    <w:pitch w:val="default"/>
    <w:sig w:usb0="00000003" w:usb1="00000000" w:usb2="00000000" w:usb3="00000000" w:csb0="00000001" w:csb1="00000000"/>
  </w:font>
  <w:font w:name="*Verdana-Italic-7967-Identity-H">
    <w:altName w:val="Calibri"/>
    <w:panose1 w:val="00000000000000000000"/>
    <w:charset w:val="00"/>
    <w:family w:val="auto"/>
    <w:notTrueType/>
    <w:pitch w:val="default"/>
    <w:sig w:usb0="00000003" w:usb1="00000000" w:usb2="00000000" w:usb3="00000000" w:csb0="00000001" w:csb1="00000000"/>
  </w:font>
  <w:font w:name="*Verdana-5523-Identity-H">
    <w:altName w:val="Calibri"/>
    <w:panose1 w:val="00000000000000000000"/>
    <w:charset w:val="00"/>
    <w:family w:val="auto"/>
    <w:notTrueType/>
    <w:pitch w:val="default"/>
    <w:sig w:usb0="00000003" w:usb1="00000000" w:usb2="00000000" w:usb3="00000000" w:csb0="00000001" w:csb1="00000000"/>
  </w:font>
  <w:font w:name="*Verdana-5916-Identity-H">
    <w:altName w:val="Calibri"/>
    <w:panose1 w:val="00000000000000000000"/>
    <w:charset w:val="00"/>
    <w:family w:val="auto"/>
    <w:notTrueType/>
    <w:pitch w:val="default"/>
    <w:sig w:usb0="00000003" w:usb1="00000000" w:usb2="00000000" w:usb3="00000000" w:csb0="00000001" w:csb1="00000000"/>
  </w:font>
  <w:font w:name="*Verdana-Bold-5917-Identity-H">
    <w:altName w:val="Calibri"/>
    <w:panose1 w:val="00000000000000000000"/>
    <w:charset w:val="00"/>
    <w:family w:val="auto"/>
    <w:notTrueType/>
    <w:pitch w:val="default"/>
    <w:sig w:usb0="00000003" w:usb1="00000000" w:usb2="00000000" w:usb3="00000000" w:csb0="00000001" w:csb1="00000000"/>
  </w:font>
  <w:font w:name="*Verdana-Bold-5416-Identity-H">
    <w:altName w:val="Calibr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masis MT Pro">
    <w:charset w:val="00"/>
    <w:family w:val="roman"/>
    <w:pitch w:val="variable"/>
    <w:sig w:usb0="A00000AF" w:usb1="4000205B" w:usb2="00000000" w:usb3="00000000" w:csb0="00000093" w:csb1="00000000"/>
  </w:font>
  <w:font w:name="Amasis MT Pro,Italic">
    <w:altName w:val="Amasis MT Pro"/>
    <w:panose1 w:val="00000000000000000000"/>
    <w:charset w:val="00"/>
    <w:family w:val="swiss"/>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Avant Garde">
    <w:altName w:val="Century Gothic"/>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Italic">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Narrow">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8608CCC16BE48ACB753AD3BCC13F4BB"/>
      </w:placeholder>
      <w:temporary/>
      <w:showingPlcHdr/>
      <w15:appearance w15:val="hidden"/>
    </w:sdtPr>
    <w:sdtEndPr/>
    <w:sdtContent>
      <w:p w14:paraId="238F3296" w14:textId="77777777" w:rsidR="00D806BD" w:rsidRDefault="00D806BD">
        <w:pPr>
          <w:pStyle w:val="Piedepgina"/>
        </w:pPr>
        <w:r>
          <w:t>[Escriba aquí]</w:t>
        </w:r>
      </w:p>
    </w:sdtContent>
  </w:sdt>
  <w:p w14:paraId="634E4D9F" w14:textId="77777777" w:rsidR="00D806BD" w:rsidRDefault="00D806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2A25" w14:textId="7C5D51F5" w:rsidR="00D806BD" w:rsidRPr="005E52C8" w:rsidRDefault="00D806BD" w:rsidP="00104E8E">
    <w:pPr>
      <w:tabs>
        <w:tab w:val="left" w:pos="4111"/>
      </w:tabs>
      <w:spacing w:before="100"/>
      <w:ind w:left="-142" w:right="4585"/>
      <w:jc w:val="both"/>
      <w:rPr>
        <w:b/>
        <w:i/>
        <w:sz w:val="20"/>
      </w:rPr>
    </w:pPr>
    <w:r>
      <w:rPr>
        <w:b/>
        <w:i/>
        <w:sz w:val="20"/>
      </w:rPr>
      <w:ptab w:relativeTo="margin" w:alignment="left" w:leader="none"/>
    </w:r>
    <w:r>
      <w:rPr>
        <w:b/>
        <w:i/>
        <w:sz w:val="20"/>
      </w:rPr>
      <w:ptab w:relativeTo="margin" w:alignment="left" w:leader="none"/>
    </w:r>
    <w:r>
      <w:rPr>
        <w:rFonts w:ascii="Maiandra GD" w:hAnsi="Maiandra GD"/>
        <w:i/>
        <w:iCs/>
        <w:noProof/>
        <w:sz w:val="16"/>
        <w:szCs w:val="16"/>
        <w:lang w:val="es-MX" w:eastAsia="es-MX"/>
      </w:rPr>
      <mc:AlternateContent>
        <mc:Choice Requires="wps">
          <w:drawing>
            <wp:anchor distT="0" distB="0" distL="114300" distR="114300" simplePos="0" relativeHeight="251657216" behindDoc="1" locked="0" layoutInCell="0" allowOverlap="1" wp14:anchorId="5668BDCF" wp14:editId="77EDCDD2">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D806BD" w:rsidRDefault="00D806BD"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33" type="#_x0000_t202" style="position:absolute;left:0;text-align:left;margin-left:-4.4pt;margin-top:328.05pt;width:498.75pt;height:54.75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r4N+g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" o:allowincell="f" filled="f" stroked="f">
              <v:stroke joinstyle="round"/>
              <o:lock v:ext="edit" shapetype="t"/>
              <v:textbox style="mso-fit-shape-to-text:t">
                <w:txbxContent>
                  <w:p w14:paraId="38756B0E" w14:textId="48D6EEE3" w:rsidR="00D806BD" w:rsidRDefault="00D806BD"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5A51" w14:textId="41E21089" w:rsidR="00D806BD" w:rsidRPr="002A15D3" w:rsidRDefault="00D806BD" w:rsidP="00C46148">
    <w:pPr>
      <w:widowControl w:val="0"/>
      <w:autoSpaceDE w:val="0"/>
      <w:autoSpaceDN w:val="0"/>
      <w:adjustRightInd w:val="0"/>
      <w:ind w:left="-284" w:right="5436"/>
      <w:jc w:val="both"/>
      <w:rPr>
        <w:rFonts w:ascii="Maiandra GD" w:hAnsi="Maiandra GD"/>
        <w:sz w:val="12"/>
        <w:szCs w:val="12"/>
      </w:rPr>
    </w:pPr>
    <w:r w:rsidRPr="002A15D3">
      <w:rPr>
        <w:rFonts w:ascii="Maiandra GD" w:hAnsi="Maiandra GD"/>
        <w:sz w:val="12"/>
        <w:szCs w:val="12"/>
      </w:rPr>
      <w:t>[</w:t>
    </w:r>
    <w:r>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w:t>
    </w:r>
    <w:r>
      <w:rPr>
        <w:rFonts w:ascii="Abadi" w:hAnsi="Abadi"/>
        <w:sz w:val="12"/>
        <w:szCs w:val="12"/>
      </w:rPr>
      <w:t xml:space="preserve"> </w:t>
    </w:r>
    <w:r w:rsidRPr="002A15D3">
      <w:rPr>
        <w:rFonts w:ascii="Abadi" w:hAnsi="Abadi"/>
        <w:sz w:val="12"/>
        <w:szCs w:val="12"/>
      </w:rPr>
      <w:t xml:space="preserve">los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 </w:t>
    </w:r>
  </w:p>
  <w:p w14:paraId="2C53A501" w14:textId="0226794A" w:rsidR="00D806BD" w:rsidRDefault="00D806BD" w:rsidP="007D2245">
    <w:pPr>
      <w:pStyle w:val="Piedepgina"/>
      <w:ind w:right="333"/>
    </w:pPr>
    <w:r>
      <w:rPr>
        <w:noProof/>
        <w:lang w:val="es-MX" w:eastAsia="es-MX"/>
      </w:rPr>
      <mc:AlternateContent>
        <mc:Choice Requires="wpg">
          <w:drawing>
            <wp:anchor distT="0" distB="0" distL="114300" distR="114300" simplePos="0" relativeHeight="251661312" behindDoc="0" locked="0" layoutInCell="1" allowOverlap="1" wp14:anchorId="1907B10D" wp14:editId="1A875CBE">
              <wp:simplePos x="0" y="0"/>
              <wp:positionH relativeFrom="page">
                <wp:align>right</wp:align>
              </wp:positionH>
              <wp:positionV relativeFrom="bottomMargin">
                <wp:align>center</wp:align>
              </wp:positionV>
              <wp:extent cx="6172200" cy="282575"/>
              <wp:effectExtent l="0" t="0" r="0" b="3175"/>
              <wp:wrapNone/>
              <wp:docPr id="164" name="Grupo 164"/>
              <wp:cNvGraphicFramePr/>
              <a:graphic xmlns:a="http://schemas.openxmlformats.org/drawingml/2006/main">
                <a:graphicData uri="http://schemas.microsoft.com/office/word/2010/wordprocessingGroup">
                  <wpg:wgp>
                    <wpg:cNvGrpSpPr/>
                    <wpg:grpSpPr>
                      <a:xfrm>
                        <a:off x="0" y="0"/>
                        <a:ext cx="6172200" cy="282575"/>
                        <a:chOff x="0" y="0"/>
                        <a:chExt cx="6172200" cy="282575"/>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DD58E" w14:textId="78693992" w:rsidR="00D806BD" w:rsidRDefault="00D806BD">
                            <w:pPr>
                              <w:pStyle w:val="Piedepgina"/>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907B10D" id="Grupo 164" o:spid="_x0000_s1036" style="position:absolute;margin-left:434.8pt;margin-top:0;width:486pt;height:22.25pt;z-index:251661312;mso-position-horizontal:right;mso-position-horizontal-relative:page;mso-position-vertical:center;mso-position-vertical-relative:bottom-margin-area" coordsize="61722,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">
              <v:rect id="Rectángulo 165" o:spid="_x0000_s103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Cuadro de texto 166" o:spid="_x0000_s1038" type="#_x0000_t202" style="position:absolute;top:9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FEDD58E" w14:textId="78693992" w:rsidR="00D806BD" w:rsidRDefault="00D806BD">
                      <w:pPr>
                        <w:pStyle w:val="Piedepgina"/>
                        <w:jc w:val="right"/>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206D0" w14:textId="77777777" w:rsidR="00741175" w:rsidRDefault="00741175">
      <w:r>
        <w:separator/>
      </w:r>
    </w:p>
  </w:footnote>
  <w:footnote w:type="continuationSeparator" w:id="0">
    <w:p w14:paraId="3BA329A5" w14:textId="77777777" w:rsidR="00741175" w:rsidRDefault="00741175">
      <w:r>
        <w:continuationSeparator/>
      </w:r>
    </w:p>
  </w:footnote>
  <w:footnote w:id="1">
    <w:p w14:paraId="1F334B50" w14:textId="11188147" w:rsidR="00D26630" w:rsidRPr="00D26630" w:rsidRDefault="00D26630">
      <w:pPr>
        <w:pStyle w:val="Textonotapie"/>
        <w:rPr>
          <w:rFonts w:ascii="Abadi" w:hAnsi="Abadi"/>
          <w:sz w:val="12"/>
          <w:szCs w:val="12"/>
        </w:rPr>
      </w:pPr>
      <w:r w:rsidRPr="00D26630">
        <w:rPr>
          <w:rStyle w:val="Refdenotaalpie"/>
          <w:rFonts w:ascii="Abadi" w:hAnsi="Abadi"/>
          <w:sz w:val="12"/>
          <w:szCs w:val="12"/>
        </w:rPr>
        <w:footnoteRef/>
      </w:r>
      <w:r w:rsidRPr="00D26630">
        <w:rPr>
          <w:rFonts w:ascii="Abadi" w:hAnsi="Abadi"/>
          <w:sz w:val="12"/>
          <w:szCs w:val="12"/>
        </w:rPr>
        <w:t xml:space="preserve"> https://congresogto.s3.amazonaws.com/uploads/orden_archivo/archivo/25940/02_Acta_nu_mero_35_sesio_n_ordinaria_del_23_junio_2022.pdf</w:t>
      </w:r>
    </w:p>
  </w:footnote>
  <w:footnote w:id="2">
    <w:p w14:paraId="5D8DE726" w14:textId="06609471" w:rsidR="0007521C" w:rsidRPr="0007521C" w:rsidRDefault="0007521C">
      <w:pPr>
        <w:pStyle w:val="Textonotapie"/>
        <w:rPr>
          <w:rFonts w:ascii="Abadi" w:hAnsi="Abadi"/>
          <w:sz w:val="12"/>
          <w:szCs w:val="12"/>
        </w:rPr>
      </w:pPr>
      <w:r w:rsidRPr="0007521C">
        <w:rPr>
          <w:rStyle w:val="Refdenotaalpie"/>
          <w:rFonts w:ascii="Abadi" w:hAnsi="Abadi"/>
          <w:sz w:val="12"/>
          <w:szCs w:val="12"/>
        </w:rPr>
        <w:footnoteRef/>
      </w:r>
      <w:r w:rsidRPr="0007521C">
        <w:rPr>
          <w:rFonts w:ascii="Abadi" w:hAnsi="Abadi"/>
          <w:sz w:val="12"/>
          <w:szCs w:val="12"/>
        </w:rPr>
        <w:t xml:space="preserve"> https://congresogto.s3.amazonaws.com/uploads/orden_archivo/archivo/25716/03_Comunicaciones_y_Correspondencias_23-JUNIO-2022.pdf</w:t>
      </w:r>
    </w:p>
  </w:footnote>
  <w:footnote w:id="3">
    <w:p w14:paraId="20B5A292" w14:textId="06C05AB5" w:rsidR="00036E03" w:rsidRPr="00FF6CD5" w:rsidRDefault="00036E03">
      <w:pPr>
        <w:pStyle w:val="Textonotapie"/>
        <w:rPr>
          <w:rFonts w:ascii="Abadi" w:hAnsi="Abadi"/>
          <w:sz w:val="12"/>
          <w:szCs w:val="12"/>
        </w:rPr>
      </w:pPr>
      <w:r w:rsidRPr="00FF6CD5">
        <w:rPr>
          <w:rStyle w:val="Refdenotaalpie"/>
          <w:rFonts w:ascii="Abadi" w:hAnsi="Abadi"/>
          <w:sz w:val="12"/>
          <w:szCs w:val="12"/>
        </w:rPr>
        <w:footnoteRef/>
      </w:r>
      <w:r w:rsidRPr="00FF6CD5">
        <w:rPr>
          <w:rFonts w:ascii="Abadi" w:hAnsi="Abadi"/>
          <w:sz w:val="12"/>
          <w:szCs w:val="12"/>
        </w:rPr>
        <w:t xml:space="preserve"> Berlín Valenzuela, Francisco, Derecho Parlamentario, Fondo de Cultura Económica, México, 2006, Pág, 123.</w:t>
      </w:r>
    </w:p>
  </w:footnote>
  <w:footnote w:id="4">
    <w:p w14:paraId="534F3F03" w14:textId="2A9A1257" w:rsidR="00895E40" w:rsidRPr="00FF6CD5" w:rsidRDefault="00895E40">
      <w:pPr>
        <w:pStyle w:val="Textonotapie"/>
        <w:rPr>
          <w:rFonts w:ascii="Abadi" w:hAnsi="Abadi"/>
          <w:sz w:val="12"/>
          <w:szCs w:val="12"/>
        </w:rPr>
      </w:pPr>
      <w:r w:rsidRPr="00FF6CD5">
        <w:rPr>
          <w:rStyle w:val="Refdenotaalpie"/>
          <w:rFonts w:ascii="Abadi" w:hAnsi="Abadi"/>
          <w:sz w:val="12"/>
          <w:szCs w:val="12"/>
        </w:rPr>
        <w:footnoteRef/>
      </w:r>
      <w:r w:rsidRPr="00FF6CD5">
        <w:rPr>
          <w:rFonts w:ascii="Abadi" w:hAnsi="Abadi"/>
          <w:sz w:val="12"/>
          <w:szCs w:val="12"/>
        </w:rPr>
        <w:t xml:space="preserve"> Vid, Nomografía o el arte de redactar leyes, Ed. Senado de la República,  LX Legislatura, 2009, Mex.</w:t>
      </w:r>
    </w:p>
  </w:footnote>
  <w:footnote w:id="5">
    <w:p w14:paraId="7F0D8308" w14:textId="7F0CEB56" w:rsidR="00895E40" w:rsidRPr="00FF6CD5" w:rsidRDefault="00895E40">
      <w:pPr>
        <w:pStyle w:val="Textonotapie"/>
        <w:rPr>
          <w:rFonts w:ascii="Abadi" w:hAnsi="Abadi"/>
          <w:sz w:val="12"/>
          <w:szCs w:val="12"/>
        </w:rPr>
      </w:pPr>
      <w:r w:rsidRPr="00FF6CD5">
        <w:rPr>
          <w:rStyle w:val="Refdenotaalpie"/>
          <w:rFonts w:ascii="Abadi" w:hAnsi="Abadi"/>
          <w:sz w:val="12"/>
          <w:szCs w:val="12"/>
        </w:rPr>
        <w:footnoteRef/>
      </w:r>
      <w:r w:rsidRPr="00FF6CD5">
        <w:rPr>
          <w:rFonts w:ascii="Abadi" w:hAnsi="Abadi"/>
          <w:sz w:val="12"/>
          <w:szCs w:val="12"/>
        </w:rPr>
        <w:t xml:space="preserve"> Alfonzo Jiménez, Armando y otros, Tópicos de derecho parlamentario, Instituto de Investigaciones Jurídicas, UNAM, Mex. 2007, Pág.,2.  </w:t>
      </w:r>
    </w:p>
  </w:footnote>
  <w:footnote w:id="6">
    <w:p w14:paraId="319F7D1D" w14:textId="1813CB9A" w:rsidR="00CE281B" w:rsidRPr="00FF6CD5" w:rsidRDefault="00CE281B">
      <w:pPr>
        <w:pStyle w:val="Textonotapie"/>
        <w:rPr>
          <w:rFonts w:ascii="Abadi" w:hAnsi="Abadi"/>
          <w:sz w:val="12"/>
          <w:szCs w:val="12"/>
        </w:rPr>
      </w:pPr>
      <w:r w:rsidRPr="00FF6CD5">
        <w:rPr>
          <w:rStyle w:val="Refdenotaalpie"/>
          <w:rFonts w:ascii="Abadi" w:hAnsi="Abadi"/>
          <w:sz w:val="12"/>
          <w:szCs w:val="12"/>
        </w:rPr>
        <w:footnoteRef/>
      </w:r>
      <w:r w:rsidRPr="00FF6CD5">
        <w:rPr>
          <w:rFonts w:ascii="Abadi" w:hAnsi="Abadi"/>
          <w:sz w:val="12"/>
          <w:szCs w:val="12"/>
        </w:rPr>
        <w:t xml:space="preserve"> Berlín Valenzuela, Francisco, Derecho Parlamentario, Fondo de cultura económica, Mex. 2006, Pag, 68.</w:t>
      </w:r>
    </w:p>
  </w:footnote>
  <w:footnote w:id="7">
    <w:p w14:paraId="5D199CF8" w14:textId="1E99EBD6" w:rsidR="0033352F" w:rsidRPr="00FF6CD5" w:rsidRDefault="0033352F">
      <w:pPr>
        <w:pStyle w:val="Textonotapie"/>
        <w:rPr>
          <w:rFonts w:ascii="Abadi" w:hAnsi="Abadi"/>
          <w:sz w:val="12"/>
          <w:szCs w:val="12"/>
        </w:rPr>
      </w:pPr>
      <w:r w:rsidRPr="00FF6CD5">
        <w:rPr>
          <w:rStyle w:val="Refdenotaalpie"/>
          <w:rFonts w:ascii="Abadi" w:hAnsi="Abadi"/>
          <w:sz w:val="12"/>
          <w:szCs w:val="12"/>
        </w:rPr>
        <w:footnoteRef/>
      </w:r>
      <w:r w:rsidR="00982E79" w:rsidRPr="00FF6CD5">
        <w:rPr>
          <w:rFonts w:ascii="Abadi" w:hAnsi="Abadi"/>
          <w:sz w:val="12"/>
          <w:szCs w:val="12"/>
        </w:rPr>
        <w:t>Béjar Algasi,Luisa, El Proceso legislativo en México, Ed. Biblioteca arte y Letras, UNAM, 2017, Mex. Pág, 19,</w:t>
      </w:r>
    </w:p>
  </w:footnote>
  <w:footnote w:id="8">
    <w:p w14:paraId="4BD7FA73" w14:textId="16E8631F" w:rsidR="00982E79" w:rsidRPr="00FF6CD5" w:rsidRDefault="00982E79">
      <w:pPr>
        <w:pStyle w:val="Textonotapie"/>
        <w:rPr>
          <w:rFonts w:ascii="Abadi" w:hAnsi="Abadi"/>
          <w:sz w:val="12"/>
          <w:szCs w:val="12"/>
        </w:rPr>
      </w:pPr>
      <w:r>
        <w:rPr>
          <w:rStyle w:val="Refdenotaalpie"/>
        </w:rPr>
        <w:footnoteRef/>
      </w:r>
      <w:r>
        <w:t xml:space="preserve"> </w:t>
      </w:r>
      <w:r w:rsidRPr="00FF6CD5">
        <w:rPr>
          <w:rFonts w:ascii="Abadi" w:hAnsi="Abadi"/>
          <w:sz w:val="12"/>
          <w:szCs w:val="12"/>
        </w:rPr>
        <w:t>Carbonell, Miguel, Elementos de Técnica Legislativa, ed. Porrúa, 2010, Mex. Pág, 287.</w:t>
      </w:r>
    </w:p>
  </w:footnote>
  <w:footnote w:id="9">
    <w:p w14:paraId="38E4C566" w14:textId="48861122" w:rsidR="00962846" w:rsidRPr="00FF6CD5" w:rsidRDefault="00962846">
      <w:pPr>
        <w:pStyle w:val="Textonotapie"/>
        <w:rPr>
          <w:rFonts w:ascii="Abadi" w:hAnsi="Abadi"/>
          <w:sz w:val="12"/>
          <w:szCs w:val="12"/>
        </w:rPr>
      </w:pPr>
      <w:r w:rsidRPr="00FF6CD5">
        <w:rPr>
          <w:rStyle w:val="Refdenotaalpie"/>
          <w:rFonts w:ascii="Abadi" w:hAnsi="Abadi"/>
          <w:sz w:val="12"/>
          <w:szCs w:val="12"/>
        </w:rPr>
        <w:footnoteRef/>
      </w:r>
      <w:r w:rsidRPr="00FF6CD5">
        <w:rPr>
          <w:rFonts w:ascii="Abadi" w:hAnsi="Abadi"/>
          <w:sz w:val="12"/>
          <w:szCs w:val="12"/>
        </w:rPr>
        <w:t xml:space="preserve"> Rodríguez Mondragón, Reyes, en  Elementos de Técnica Legislativa, coordinado por Miguel Carbonell y Susana Pedroza, Ed, Porrúa, 2010, Pág., 152, Méx,  </w:t>
      </w:r>
    </w:p>
  </w:footnote>
  <w:footnote w:id="10">
    <w:p w14:paraId="1F0F08BF" w14:textId="77777777" w:rsidR="008A27BF" w:rsidRPr="004E31A6" w:rsidRDefault="008A27BF" w:rsidP="008A27BF">
      <w:pPr>
        <w:autoSpaceDE w:val="0"/>
        <w:autoSpaceDN w:val="0"/>
        <w:adjustRightInd w:val="0"/>
        <w:rPr>
          <w:rFonts w:ascii="Abadi" w:hAnsi="Abadi" w:cs="*Comic Sans MS-Italic-10375-Ide"/>
          <w:i/>
          <w:iCs/>
          <w:color w:val="1F1F1F"/>
          <w:sz w:val="12"/>
          <w:szCs w:val="12"/>
          <w:lang w:val="es-MX" w:eastAsia="es-MX"/>
        </w:rPr>
      </w:pPr>
      <w:r w:rsidRPr="007F47EF">
        <w:rPr>
          <w:rStyle w:val="Refdenotaalpie"/>
          <w:rFonts w:ascii="Abadi" w:hAnsi="Abadi"/>
          <w:sz w:val="12"/>
          <w:szCs w:val="12"/>
        </w:rPr>
        <w:footnoteRef/>
      </w:r>
      <w:r w:rsidRPr="007F47EF">
        <w:rPr>
          <w:rFonts w:ascii="Abadi" w:hAnsi="Abadi"/>
          <w:sz w:val="12"/>
          <w:szCs w:val="12"/>
        </w:rPr>
        <w:t xml:space="preserve"> </w:t>
      </w:r>
      <w:r w:rsidRPr="004E31A6">
        <w:rPr>
          <w:rFonts w:ascii="Abadi" w:hAnsi="Abadi" w:cs="*Calibri-10366-Identity-H"/>
          <w:color w:val="1F1F1F"/>
          <w:sz w:val="12"/>
          <w:szCs w:val="12"/>
          <w:lang w:val="es-MX" w:eastAsia="es-MX"/>
        </w:rPr>
        <w:t xml:space="preserve">Sugerimos revisar: Herrera, Diego. 2020. </w:t>
      </w:r>
      <w:r w:rsidRPr="004E31A6">
        <w:rPr>
          <w:rFonts w:ascii="Abadi" w:hAnsi="Abadi" w:cs="*Calibri-Italic-10367-Identity-"/>
          <w:i/>
          <w:iCs/>
          <w:color w:val="1F1F1F"/>
          <w:sz w:val="12"/>
          <w:szCs w:val="12"/>
          <w:lang w:val="es-MX" w:eastAsia="es-MX"/>
        </w:rPr>
        <w:t xml:space="preserve">Instrumentos de financiamiento para las micro, pequeñas </w:t>
      </w:r>
      <w:r w:rsidRPr="004E31A6">
        <w:rPr>
          <w:rFonts w:ascii="Abadi" w:hAnsi="Abadi" w:cs="*Comic Sans MS-Italic-10375-Ide"/>
          <w:i/>
          <w:iCs/>
          <w:color w:val="1F1F1F"/>
          <w:sz w:val="12"/>
          <w:szCs w:val="12"/>
          <w:lang w:val="es-MX" w:eastAsia="es-MX"/>
        </w:rPr>
        <w:t>y</w:t>
      </w:r>
    </w:p>
    <w:p w14:paraId="2F9E9226" w14:textId="1ECF4A4D" w:rsidR="008A27BF" w:rsidRPr="004E31A6" w:rsidRDefault="008A27BF" w:rsidP="008A27BF">
      <w:pPr>
        <w:pStyle w:val="Textonotapie"/>
        <w:rPr>
          <w:rFonts w:ascii="Abadi" w:hAnsi="Abadi"/>
          <w:sz w:val="12"/>
          <w:szCs w:val="12"/>
        </w:rPr>
      </w:pPr>
      <w:r w:rsidRPr="004E31A6">
        <w:rPr>
          <w:rFonts w:ascii="Abadi" w:hAnsi="Abadi" w:cs="*Calibri-Italic-10367-Identity-"/>
          <w:i/>
          <w:iCs/>
          <w:color w:val="1F1F1F"/>
          <w:sz w:val="12"/>
          <w:szCs w:val="12"/>
          <w:lang w:eastAsia="es-MX"/>
        </w:rPr>
        <w:t xml:space="preserve">medianas empresas en América Latina </w:t>
      </w:r>
      <w:r w:rsidRPr="004E31A6">
        <w:rPr>
          <w:rFonts w:ascii="Abadi" w:hAnsi="Abadi" w:cs="*Times New Roman-Italic-10363-I"/>
          <w:i/>
          <w:iCs/>
          <w:color w:val="1F1F1F"/>
          <w:sz w:val="12"/>
          <w:szCs w:val="12"/>
          <w:lang w:eastAsia="es-MX"/>
        </w:rPr>
        <w:t xml:space="preserve">y </w:t>
      </w:r>
      <w:r w:rsidRPr="004E31A6">
        <w:rPr>
          <w:rFonts w:ascii="Abadi" w:hAnsi="Abadi" w:cs="*Calibri-Italic-10367-Identity-"/>
          <w:i/>
          <w:iCs/>
          <w:color w:val="1F1F1F"/>
          <w:sz w:val="12"/>
          <w:szCs w:val="12"/>
          <w:lang w:eastAsia="es-MX"/>
        </w:rPr>
        <w:t xml:space="preserve">el Caribe durante el COVID-19, </w:t>
      </w:r>
      <w:r w:rsidRPr="004E31A6">
        <w:rPr>
          <w:rFonts w:ascii="Abadi" w:hAnsi="Abadi" w:cs="*Calibri-10366-Identity-H"/>
          <w:color w:val="1F1F1F"/>
          <w:sz w:val="12"/>
          <w:szCs w:val="12"/>
          <w:lang w:eastAsia="es-MX"/>
        </w:rPr>
        <w:t>BID.</w:t>
      </w:r>
    </w:p>
  </w:footnote>
  <w:footnote w:id="11">
    <w:p w14:paraId="743D1AFC" w14:textId="3D746917" w:rsidR="000051E0" w:rsidRPr="004E31A6" w:rsidRDefault="000051E0">
      <w:pPr>
        <w:pStyle w:val="Textonotapie"/>
        <w:rPr>
          <w:rFonts w:ascii="Abadi" w:hAnsi="Abadi"/>
          <w:sz w:val="12"/>
          <w:szCs w:val="12"/>
        </w:rPr>
      </w:pPr>
      <w:r w:rsidRPr="004E31A6">
        <w:rPr>
          <w:rStyle w:val="Refdenotaalpie"/>
          <w:rFonts w:ascii="Abadi" w:hAnsi="Abadi"/>
          <w:sz w:val="12"/>
          <w:szCs w:val="12"/>
        </w:rPr>
        <w:footnoteRef/>
      </w:r>
      <w:r w:rsidRPr="004E31A6">
        <w:rPr>
          <w:rFonts w:ascii="Abadi" w:hAnsi="Abadi"/>
          <w:sz w:val="12"/>
          <w:szCs w:val="12"/>
        </w:rPr>
        <w:t xml:space="preserve"> </w:t>
      </w:r>
      <w:r w:rsidR="00C7255F" w:rsidRPr="004E31A6">
        <w:rPr>
          <w:rFonts w:ascii="Abadi" w:hAnsi="Abadi" w:cs="*Calibri-10366-Identity-H"/>
          <w:color w:val="222222"/>
          <w:sz w:val="12"/>
          <w:szCs w:val="12"/>
          <w:lang w:eastAsia="es-MX"/>
        </w:rPr>
        <w:t>Ferro, Cario, 2011. Eliminando barreras: El financiamiento a las pymes en América Latina, CEPAL.</w:t>
      </w:r>
    </w:p>
  </w:footnote>
  <w:footnote w:id="12">
    <w:p w14:paraId="31686EE6" w14:textId="77777777" w:rsidR="00C7255F" w:rsidRPr="004E31A6" w:rsidRDefault="00C7255F" w:rsidP="00C7255F">
      <w:pPr>
        <w:autoSpaceDE w:val="0"/>
        <w:autoSpaceDN w:val="0"/>
        <w:adjustRightInd w:val="0"/>
        <w:rPr>
          <w:rFonts w:ascii="Abadi" w:hAnsi="Abadi" w:cs="*Calibri-9119-Identity-H"/>
          <w:color w:val="212121"/>
          <w:sz w:val="12"/>
          <w:szCs w:val="12"/>
          <w:lang w:val="es-MX" w:eastAsia="es-MX"/>
        </w:rPr>
      </w:pPr>
      <w:r w:rsidRPr="004E31A6">
        <w:rPr>
          <w:rStyle w:val="Refdenotaalpie"/>
          <w:rFonts w:ascii="Abadi" w:hAnsi="Abadi"/>
          <w:sz w:val="12"/>
          <w:szCs w:val="12"/>
        </w:rPr>
        <w:footnoteRef/>
      </w:r>
      <w:r w:rsidRPr="004E31A6">
        <w:rPr>
          <w:rFonts w:ascii="Abadi" w:hAnsi="Abadi"/>
          <w:sz w:val="12"/>
          <w:szCs w:val="12"/>
        </w:rPr>
        <w:t xml:space="preserve"> </w:t>
      </w:r>
      <w:r w:rsidRPr="004E31A6">
        <w:rPr>
          <w:rFonts w:ascii="Abadi" w:hAnsi="Abadi" w:cs="*Calibri-9119-Identity-H"/>
          <w:color w:val="212121"/>
          <w:sz w:val="12"/>
          <w:szCs w:val="12"/>
          <w:lang w:val="es-MX" w:eastAsia="es-MX"/>
        </w:rPr>
        <w:t>Reportes sobre las condiciones de competencia en los mercados financieros:</w:t>
      </w:r>
    </w:p>
    <w:p w14:paraId="0E734BF8" w14:textId="77777777" w:rsidR="00C7255F" w:rsidRPr="004E31A6" w:rsidRDefault="00C7255F" w:rsidP="00C7255F">
      <w:pPr>
        <w:autoSpaceDE w:val="0"/>
        <w:autoSpaceDN w:val="0"/>
        <w:adjustRightInd w:val="0"/>
        <w:rPr>
          <w:rFonts w:ascii="Abadi" w:hAnsi="Abadi" w:cs="*Calibri-9119-Identity-H"/>
          <w:color w:val="3A6686"/>
          <w:sz w:val="12"/>
          <w:szCs w:val="12"/>
          <w:lang w:val="es-MX" w:eastAsia="es-MX"/>
        </w:rPr>
      </w:pPr>
      <w:r w:rsidRPr="004E31A6">
        <w:rPr>
          <w:rFonts w:ascii="Abadi" w:hAnsi="Abadi" w:cs="*Calibri-9119-Identity-H"/>
          <w:color w:val="305370"/>
          <w:sz w:val="12"/>
          <w:szCs w:val="12"/>
          <w:lang w:val="es-MX" w:eastAsia="es-MX"/>
        </w:rPr>
        <w:t xml:space="preserve">h </w:t>
      </w:r>
      <w:r w:rsidRPr="004E31A6">
        <w:rPr>
          <w:rFonts w:ascii="Abadi" w:hAnsi="Abadi" w:cs="*Calibri-9119-Identity-H"/>
          <w:color w:val="3A6686"/>
          <w:sz w:val="12"/>
          <w:szCs w:val="12"/>
          <w:lang w:val="es-MX" w:eastAsia="es-MX"/>
        </w:rPr>
        <w:t>ttps</w:t>
      </w:r>
      <w:r w:rsidRPr="004E31A6">
        <w:rPr>
          <w:rFonts w:ascii="Abadi" w:hAnsi="Abadi" w:cs="*Calibri-9119-Identity-H"/>
          <w:color w:val="305370"/>
          <w:sz w:val="12"/>
          <w:szCs w:val="12"/>
          <w:lang w:val="es-MX" w:eastAsia="es-MX"/>
        </w:rPr>
        <w:t>:</w:t>
      </w:r>
      <w:r w:rsidRPr="004E31A6">
        <w:rPr>
          <w:rFonts w:ascii="Abadi" w:hAnsi="Abadi" w:cs="*Calibri-9119-Identity-H"/>
          <w:color w:val="3A6686"/>
          <w:sz w:val="12"/>
          <w:szCs w:val="12"/>
          <w:lang w:val="es-MX" w:eastAsia="es-MX"/>
        </w:rPr>
        <w:t>/</w:t>
      </w:r>
      <w:r w:rsidRPr="004E31A6">
        <w:rPr>
          <w:rFonts w:ascii="Abadi" w:hAnsi="Abadi" w:cs="*Calibri-9119-Identity-H"/>
          <w:color w:val="305370"/>
          <w:sz w:val="12"/>
          <w:szCs w:val="12"/>
          <w:lang w:val="es-MX" w:eastAsia="es-MX"/>
        </w:rPr>
        <w:t xml:space="preserve">/www </w:t>
      </w:r>
      <w:r w:rsidRPr="004E31A6">
        <w:rPr>
          <w:rFonts w:ascii="Abadi" w:hAnsi="Abadi" w:cs="*Calibri-9119-Identity-H"/>
          <w:color w:val="21435A"/>
          <w:sz w:val="12"/>
          <w:szCs w:val="12"/>
          <w:lang w:val="es-MX" w:eastAsia="es-MX"/>
        </w:rPr>
        <w:t>.</w:t>
      </w:r>
      <w:r w:rsidRPr="004E31A6">
        <w:rPr>
          <w:rFonts w:ascii="Abadi" w:hAnsi="Abadi" w:cs="*Calibri-9119-Identity-H"/>
          <w:color w:val="1E4A91"/>
          <w:sz w:val="12"/>
          <w:szCs w:val="12"/>
          <w:lang w:val="es-MX" w:eastAsia="es-MX"/>
        </w:rPr>
        <w:t xml:space="preserve">b </w:t>
      </w:r>
      <w:r w:rsidRPr="004E31A6">
        <w:rPr>
          <w:rFonts w:ascii="Abadi" w:hAnsi="Abadi" w:cs="*Calibri-9119-Identity-H"/>
          <w:color w:val="4A7792"/>
          <w:sz w:val="12"/>
          <w:szCs w:val="12"/>
          <w:lang w:val="es-MX" w:eastAsia="es-MX"/>
        </w:rPr>
        <w:t>a</w:t>
      </w:r>
      <w:r w:rsidRPr="004E31A6">
        <w:rPr>
          <w:rFonts w:ascii="Abadi" w:hAnsi="Abadi" w:cs="*Calibri-9119-Identity-H"/>
          <w:color w:val="3A6686"/>
          <w:sz w:val="12"/>
          <w:szCs w:val="12"/>
          <w:lang w:val="es-MX" w:eastAsia="es-MX"/>
        </w:rPr>
        <w:t xml:space="preserve">nx </w:t>
      </w:r>
      <w:r w:rsidRPr="004E31A6">
        <w:rPr>
          <w:rFonts w:ascii="Abadi" w:hAnsi="Abadi" w:cs="*Calibri-9119-Identity-H"/>
          <w:color w:val="305370"/>
          <w:sz w:val="12"/>
          <w:szCs w:val="12"/>
          <w:lang w:val="es-MX" w:eastAsia="es-MX"/>
        </w:rPr>
        <w:t>l</w:t>
      </w:r>
      <w:r w:rsidRPr="004E31A6">
        <w:rPr>
          <w:rFonts w:ascii="Abadi" w:hAnsi="Abadi" w:cs="*Calibri-9119-Identity-H"/>
          <w:color w:val="3A6686"/>
          <w:sz w:val="12"/>
          <w:szCs w:val="12"/>
          <w:lang w:val="es-MX" w:eastAsia="es-MX"/>
        </w:rPr>
        <w:t>co</w:t>
      </w:r>
      <w:r w:rsidRPr="004E31A6">
        <w:rPr>
          <w:rFonts w:ascii="Abadi" w:hAnsi="Abadi" w:cs="*Calibri-9119-Identity-H"/>
          <w:color w:val="305370"/>
          <w:sz w:val="12"/>
          <w:szCs w:val="12"/>
          <w:lang w:val="es-MX" w:eastAsia="es-MX"/>
        </w:rPr>
        <w:t>.</w:t>
      </w:r>
      <w:r w:rsidRPr="004E31A6">
        <w:rPr>
          <w:rFonts w:ascii="Abadi" w:hAnsi="Abadi" w:cs="*Calibri-9119-Identity-H"/>
          <w:color w:val="3A6686"/>
          <w:sz w:val="12"/>
          <w:szCs w:val="12"/>
          <w:lang w:val="es-MX" w:eastAsia="es-MX"/>
        </w:rPr>
        <w:t xml:space="preserve">o </w:t>
      </w:r>
      <w:r w:rsidRPr="004E31A6">
        <w:rPr>
          <w:rFonts w:ascii="Abadi" w:hAnsi="Abadi" w:cs="*Calibri-9119-Identity-H"/>
          <w:color w:val="305370"/>
          <w:sz w:val="12"/>
          <w:szCs w:val="12"/>
          <w:lang w:val="es-MX" w:eastAsia="es-MX"/>
        </w:rPr>
        <w:t>r</w:t>
      </w:r>
      <w:r w:rsidRPr="004E31A6">
        <w:rPr>
          <w:rFonts w:ascii="Abadi" w:hAnsi="Abadi" w:cs="*Calibri-9119-Identity-H"/>
          <w:color w:val="3A6686"/>
          <w:sz w:val="12"/>
          <w:szCs w:val="12"/>
          <w:lang w:val="es-MX" w:eastAsia="es-MX"/>
        </w:rPr>
        <w:t>g</w:t>
      </w:r>
      <w:r w:rsidRPr="004E31A6">
        <w:rPr>
          <w:rFonts w:ascii="Abadi" w:hAnsi="Abadi" w:cs="*Calibri-9119-Identity-H"/>
          <w:color w:val="5C6377"/>
          <w:sz w:val="12"/>
          <w:szCs w:val="12"/>
          <w:lang w:val="es-MX" w:eastAsia="es-MX"/>
        </w:rPr>
        <w:t>.</w:t>
      </w:r>
      <w:r w:rsidRPr="004E31A6">
        <w:rPr>
          <w:rFonts w:ascii="Abadi" w:hAnsi="Abadi" w:cs="*Calibri-9119-Identity-H"/>
          <w:color w:val="305370"/>
          <w:sz w:val="12"/>
          <w:szCs w:val="12"/>
          <w:lang w:val="es-MX" w:eastAsia="es-MX"/>
        </w:rPr>
        <w:t>m</w:t>
      </w:r>
      <w:r w:rsidRPr="004E31A6">
        <w:rPr>
          <w:rFonts w:ascii="Abadi" w:hAnsi="Abadi" w:cs="*Calibri-9119-Identity-H"/>
          <w:color w:val="3A6686"/>
          <w:sz w:val="12"/>
          <w:szCs w:val="12"/>
          <w:lang w:val="es-MX" w:eastAsia="es-MX"/>
        </w:rPr>
        <w:t>x/p</w:t>
      </w:r>
      <w:r w:rsidRPr="004E31A6">
        <w:rPr>
          <w:rFonts w:ascii="Abadi" w:hAnsi="Abadi" w:cs="*Calibri-9119-Identity-H"/>
          <w:color w:val="305370"/>
          <w:sz w:val="12"/>
          <w:szCs w:val="12"/>
          <w:lang w:val="es-MX" w:eastAsia="es-MX"/>
        </w:rPr>
        <w:t>u</w:t>
      </w:r>
      <w:r w:rsidRPr="004E31A6">
        <w:rPr>
          <w:rFonts w:ascii="Abadi" w:hAnsi="Abadi" w:cs="*Calibri-9119-Identity-H"/>
          <w:color w:val="3476A2"/>
          <w:sz w:val="12"/>
          <w:szCs w:val="12"/>
          <w:lang w:val="es-MX" w:eastAsia="es-MX"/>
        </w:rPr>
        <w:t>b</w:t>
      </w:r>
      <w:r w:rsidRPr="004E31A6">
        <w:rPr>
          <w:rFonts w:ascii="Abadi" w:hAnsi="Abadi" w:cs="*Calibri-9119-Identity-H"/>
          <w:color w:val="0E3C7E"/>
          <w:sz w:val="12"/>
          <w:szCs w:val="12"/>
          <w:lang w:val="es-MX" w:eastAsia="es-MX"/>
        </w:rPr>
        <w:t>l</w:t>
      </w:r>
      <w:r w:rsidRPr="004E31A6">
        <w:rPr>
          <w:rFonts w:ascii="Abadi" w:hAnsi="Abadi" w:cs="*Calibri-9119-Identity-H"/>
          <w:color w:val="305370"/>
          <w:sz w:val="12"/>
          <w:szCs w:val="12"/>
          <w:lang w:val="es-MX" w:eastAsia="es-MX"/>
        </w:rPr>
        <w:t>i</w:t>
      </w:r>
      <w:r w:rsidRPr="004E31A6">
        <w:rPr>
          <w:rFonts w:ascii="Abadi" w:hAnsi="Abadi" w:cs="*Calibri-9119-Identity-H"/>
          <w:color w:val="3A6686"/>
          <w:sz w:val="12"/>
          <w:szCs w:val="12"/>
          <w:lang w:val="es-MX" w:eastAsia="es-MX"/>
        </w:rPr>
        <w:t>c</w:t>
      </w:r>
      <w:r w:rsidRPr="004E31A6">
        <w:rPr>
          <w:rFonts w:ascii="Abadi" w:hAnsi="Abadi" w:cs="*Calibri-9119-Identity-H"/>
          <w:color w:val="4A7792"/>
          <w:sz w:val="12"/>
          <w:szCs w:val="12"/>
          <w:lang w:val="es-MX" w:eastAsia="es-MX"/>
        </w:rPr>
        <w:t>a</w:t>
      </w:r>
      <w:r w:rsidRPr="004E31A6">
        <w:rPr>
          <w:rFonts w:ascii="Abadi" w:hAnsi="Abadi" w:cs="*Calibri-9119-Identity-H"/>
          <w:color w:val="3A6686"/>
          <w:sz w:val="12"/>
          <w:szCs w:val="12"/>
          <w:lang w:val="es-MX" w:eastAsia="es-MX"/>
        </w:rPr>
        <w:t xml:space="preserve">c </w:t>
      </w:r>
      <w:r w:rsidRPr="004E31A6">
        <w:rPr>
          <w:rFonts w:ascii="Abadi" w:hAnsi="Abadi" w:cs="*Calibri-9119-Identity-H"/>
          <w:color w:val="305370"/>
          <w:sz w:val="12"/>
          <w:szCs w:val="12"/>
          <w:lang w:val="es-MX" w:eastAsia="es-MX"/>
        </w:rPr>
        <w:t>lon</w:t>
      </w:r>
      <w:r w:rsidRPr="004E31A6">
        <w:rPr>
          <w:rFonts w:ascii="Abadi" w:hAnsi="Abadi" w:cs="*Calibri-9119-Identity-H"/>
          <w:color w:val="3A6686"/>
          <w:sz w:val="12"/>
          <w:szCs w:val="12"/>
          <w:lang w:val="es-MX" w:eastAsia="es-MX"/>
        </w:rPr>
        <w:t>es</w:t>
      </w:r>
      <w:r w:rsidRPr="004E31A6">
        <w:rPr>
          <w:rFonts w:ascii="Abadi" w:hAnsi="Abadi" w:cs="*Calibri-9119-Identity-H"/>
          <w:color w:val="79909F"/>
          <w:sz w:val="12"/>
          <w:szCs w:val="12"/>
          <w:lang w:val="es-MX" w:eastAsia="es-MX"/>
        </w:rPr>
        <w:t>•</w:t>
      </w:r>
      <w:r w:rsidRPr="004E31A6">
        <w:rPr>
          <w:rFonts w:ascii="Abadi" w:hAnsi="Abadi" w:cs="*Calibri-9119-Identity-H"/>
          <w:color w:val="3A6686"/>
          <w:sz w:val="12"/>
          <w:szCs w:val="12"/>
          <w:lang w:val="es-MX" w:eastAsia="es-MX"/>
        </w:rPr>
        <w:t>y</w:t>
      </w:r>
      <w:r w:rsidRPr="004E31A6">
        <w:rPr>
          <w:rFonts w:ascii="Abadi" w:hAnsi="Abadi" w:cs="*Calibri-9119-Identity-H"/>
          <w:color w:val="6C848A"/>
          <w:sz w:val="12"/>
          <w:szCs w:val="12"/>
          <w:lang w:val="es-MX" w:eastAsia="es-MX"/>
        </w:rPr>
        <w:t>•</w:t>
      </w:r>
      <w:r w:rsidRPr="004E31A6">
        <w:rPr>
          <w:rFonts w:ascii="Abadi" w:hAnsi="Abadi" w:cs="*Calibri-9119-Identity-H"/>
          <w:color w:val="3A6686"/>
          <w:sz w:val="12"/>
          <w:szCs w:val="12"/>
          <w:lang w:val="es-MX" w:eastAsia="es-MX"/>
        </w:rPr>
        <w:t>pre</w:t>
      </w:r>
      <w:r w:rsidRPr="004E31A6">
        <w:rPr>
          <w:rFonts w:ascii="Abadi" w:hAnsi="Abadi" w:cs="*Calibri-9119-Identity-H"/>
          <w:color w:val="305370"/>
          <w:sz w:val="12"/>
          <w:szCs w:val="12"/>
          <w:lang w:val="es-MX" w:eastAsia="es-MX"/>
        </w:rPr>
        <w:t>n</w:t>
      </w:r>
      <w:r w:rsidRPr="004E31A6">
        <w:rPr>
          <w:rFonts w:ascii="Abadi" w:hAnsi="Abadi" w:cs="*Calibri-9119-Identity-H"/>
          <w:color w:val="3A6686"/>
          <w:sz w:val="12"/>
          <w:szCs w:val="12"/>
          <w:lang w:val="es-MX" w:eastAsia="es-MX"/>
        </w:rPr>
        <w:t>sa</w:t>
      </w:r>
      <w:r w:rsidRPr="004E31A6">
        <w:rPr>
          <w:rFonts w:ascii="Abadi" w:hAnsi="Abadi" w:cs="*Calibri-9119-Identity-H"/>
          <w:color w:val="305370"/>
          <w:sz w:val="12"/>
          <w:szCs w:val="12"/>
          <w:lang w:val="es-MX" w:eastAsia="es-MX"/>
        </w:rPr>
        <w:t>/</w:t>
      </w:r>
      <w:r w:rsidRPr="004E31A6">
        <w:rPr>
          <w:rFonts w:ascii="Abadi" w:hAnsi="Abadi" w:cs="*Calibri-9119-Identity-H"/>
          <w:color w:val="4A7792"/>
          <w:sz w:val="12"/>
          <w:szCs w:val="12"/>
          <w:lang w:val="es-MX" w:eastAsia="es-MX"/>
        </w:rPr>
        <w:t>e</w:t>
      </w:r>
      <w:r w:rsidRPr="004E31A6">
        <w:rPr>
          <w:rFonts w:ascii="Abadi" w:hAnsi="Abadi" w:cs="*Calibri-9119-Identity-H"/>
          <w:color w:val="305370"/>
          <w:sz w:val="12"/>
          <w:szCs w:val="12"/>
          <w:lang w:val="es-MX" w:eastAsia="es-MX"/>
        </w:rPr>
        <w:t>v</w:t>
      </w:r>
      <w:r w:rsidRPr="004E31A6">
        <w:rPr>
          <w:rFonts w:ascii="Abadi" w:hAnsi="Abadi" w:cs="*Calibri-9119-Identity-H"/>
          <w:color w:val="3A6686"/>
          <w:sz w:val="12"/>
          <w:szCs w:val="12"/>
          <w:lang w:val="es-MX" w:eastAsia="es-MX"/>
        </w:rPr>
        <w:t>o</w:t>
      </w:r>
      <w:r w:rsidRPr="004E31A6">
        <w:rPr>
          <w:rFonts w:ascii="Abadi" w:hAnsi="Abadi" w:cs="*Calibri-9119-Identity-H"/>
          <w:color w:val="1E4A91"/>
          <w:sz w:val="12"/>
          <w:szCs w:val="12"/>
          <w:lang w:val="es-MX" w:eastAsia="es-MX"/>
        </w:rPr>
        <w:t>l</w:t>
      </w:r>
      <w:r w:rsidRPr="004E31A6">
        <w:rPr>
          <w:rFonts w:ascii="Abadi" w:hAnsi="Abadi" w:cs="*Calibri-9119-Identity-H"/>
          <w:color w:val="3A6686"/>
          <w:sz w:val="12"/>
          <w:szCs w:val="12"/>
          <w:lang w:val="es-MX" w:eastAsia="es-MX"/>
        </w:rPr>
        <w:t>ucio</w:t>
      </w:r>
      <w:r w:rsidRPr="004E31A6">
        <w:rPr>
          <w:rFonts w:ascii="Abadi" w:hAnsi="Abadi" w:cs="*Calibri-9119-Identity-H"/>
          <w:color w:val="305370"/>
          <w:sz w:val="12"/>
          <w:szCs w:val="12"/>
          <w:lang w:val="es-MX" w:eastAsia="es-MX"/>
        </w:rPr>
        <w:t>n</w:t>
      </w:r>
      <w:r w:rsidRPr="004E31A6">
        <w:rPr>
          <w:rFonts w:ascii="Abadi" w:hAnsi="Abadi" w:cs="*Calibri-9119-Identity-H"/>
          <w:color w:val="6C848A"/>
          <w:sz w:val="12"/>
          <w:szCs w:val="12"/>
          <w:lang w:val="es-MX" w:eastAsia="es-MX"/>
        </w:rPr>
        <w:t xml:space="preserve">- </w:t>
      </w:r>
      <w:r w:rsidRPr="004E31A6">
        <w:rPr>
          <w:rFonts w:ascii="Abadi" w:hAnsi="Abadi" w:cs="*Calibri-9119-Identity-H"/>
          <w:color w:val="3A6686"/>
          <w:sz w:val="12"/>
          <w:szCs w:val="12"/>
          <w:lang w:val="es-MX" w:eastAsia="es-MX"/>
        </w:rPr>
        <w:t>tr</w:t>
      </w:r>
      <w:r w:rsidRPr="004E31A6">
        <w:rPr>
          <w:rFonts w:ascii="Abadi" w:hAnsi="Abadi" w:cs="*Calibri-9119-Identity-H"/>
          <w:color w:val="21435A"/>
          <w:sz w:val="12"/>
          <w:szCs w:val="12"/>
          <w:lang w:val="es-MX" w:eastAsia="es-MX"/>
        </w:rPr>
        <w:t>i</w:t>
      </w:r>
      <w:r w:rsidRPr="004E31A6">
        <w:rPr>
          <w:rFonts w:ascii="Abadi" w:hAnsi="Abadi" w:cs="*Calibri-9119-Identity-H"/>
          <w:color w:val="3A6686"/>
          <w:sz w:val="12"/>
          <w:szCs w:val="12"/>
          <w:lang w:val="es-MX" w:eastAsia="es-MX"/>
        </w:rPr>
        <w:t>m</w:t>
      </w:r>
      <w:r w:rsidRPr="004E31A6">
        <w:rPr>
          <w:rFonts w:ascii="Abadi" w:hAnsi="Abadi" w:cs="*Calibri-9119-Identity-H"/>
          <w:color w:val="4A7792"/>
          <w:sz w:val="12"/>
          <w:szCs w:val="12"/>
          <w:lang w:val="es-MX" w:eastAsia="es-MX"/>
        </w:rPr>
        <w:t xml:space="preserve">es </w:t>
      </w:r>
      <w:r w:rsidRPr="004E31A6">
        <w:rPr>
          <w:rFonts w:ascii="Abadi" w:hAnsi="Abadi" w:cs="*Calibri-9119-Identity-H"/>
          <w:color w:val="4A829F"/>
          <w:sz w:val="12"/>
          <w:szCs w:val="12"/>
          <w:lang w:val="es-MX" w:eastAsia="es-MX"/>
        </w:rPr>
        <w:t>t</w:t>
      </w:r>
      <w:r w:rsidRPr="004E31A6">
        <w:rPr>
          <w:rFonts w:ascii="Abadi" w:hAnsi="Abadi" w:cs="*Calibri-9119-Identity-H"/>
          <w:color w:val="3A6686"/>
          <w:sz w:val="12"/>
          <w:szCs w:val="12"/>
          <w:lang w:val="es-MX" w:eastAsia="es-MX"/>
        </w:rPr>
        <w:t>ra</w:t>
      </w:r>
      <w:r w:rsidRPr="004E31A6">
        <w:rPr>
          <w:rFonts w:ascii="Abadi" w:hAnsi="Abadi" w:cs="*Calibri-9119-Identity-H"/>
          <w:color w:val="1E4A91"/>
          <w:sz w:val="12"/>
          <w:szCs w:val="12"/>
          <w:lang w:val="es-MX" w:eastAsia="es-MX"/>
        </w:rPr>
        <w:t>l</w:t>
      </w:r>
      <w:r w:rsidRPr="004E31A6">
        <w:rPr>
          <w:rFonts w:ascii="Abadi" w:hAnsi="Abadi" w:cs="*Calibri-9119-Identity-H"/>
          <w:color w:val="79909F"/>
          <w:sz w:val="12"/>
          <w:szCs w:val="12"/>
          <w:lang w:val="es-MX" w:eastAsia="es-MX"/>
        </w:rPr>
        <w:t>-</w:t>
      </w:r>
      <w:r w:rsidRPr="004E31A6">
        <w:rPr>
          <w:rFonts w:ascii="Abadi" w:hAnsi="Abadi" w:cs="*Calibri-9119-Identity-H"/>
          <w:color w:val="3A6686"/>
          <w:sz w:val="12"/>
          <w:szCs w:val="12"/>
          <w:lang w:val="es-MX" w:eastAsia="es-MX"/>
        </w:rPr>
        <w:t>d</w:t>
      </w:r>
      <w:r w:rsidRPr="004E31A6">
        <w:rPr>
          <w:rFonts w:ascii="Abadi" w:hAnsi="Abadi" w:cs="*Calibri-9119-Identity-H"/>
          <w:color w:val="4A7792"/>
          <w:sz w:val="12"/>
          <w:szCs w:val="12"/>
          <w:lang w:val="es-MX" w:eastAsia="es-MX"/>
        </w:rPr>
        <w:t>e</w:t>
      </w:r>
      <w:r w:rsidRPr="004E31A6">
        <w:rPr>
          <w:rFonts w:ascii="Abadi" w:hAnsi="Abadi" w:cs="*Calibri-9119-Identity-H"/>
          <w:color w:val="406470"/>
          <w:sz w:val="12"/>
          <w:szCs w:val="12"/>
          <w:lang w:val="es-MX" w:eastAsia="es-MX"/>
        </w:rPr>
        <w:t>l</w:t>
      </w:r>
      <w:r w:rsidRPr="004E31A6">
        <w:rPr>
          <w:rFonts w:ascii="Abadi" w:hAnsi="Abadi" w:cs="*Calibri-9119-Identity-H"/>
          <w:color w:val="79909F"/>
          <w:sz w:val="12"/>
          <w:szCs w:val="12"/>
          <w:lang w:val="es-MX" w:eastAsia="es-MX"/>
        </w:rPr>
        <w:t>-</w:t>
      </w:r>
      <w:r w:rsidRPr="004E31A6">
        <w:rPr>
          <w:rFonts w:ascii="Abadi" w:hAnsi="Abadi" w:cs="*Calibri-9119-Identity-H"/>
          <w:color w:val="3A6686"/>
          <w:sz w:val="12"/>
          <w:szCs w:val="12"/>
          <w:lang w:val="es-MX" w:eastAsia="es-MX"/>
        </w:rPr>
        <w:t>fina</w:t>
      </w:r>
      <w:r w:rsidRPr="004E31A6">
        <w:rPr>
          <w:rFonts w:ascii="Abadi" w:hAnsi="Abadi" w:cs="*Calibri-9119-Identity-H"/>
          <w:color w:val="305370"/>
          <w:sz w:val="12"/>
          <w:szCs w:val="12"/>
          <w:lang w:val="es-MX" w:eastAsia="es-MX"/>
        </w:rPr>
        <w:t>n</w:t>
      </w:r>
      <w:r w:rsidRPr="004E31A6">
        <w:rPr>
          <w:rFonts w:ascii="Abadi" w:hAnsi="Abadi" w:cs="*Calibri-9119-Identity-H"/>
          <w:color w:val="3A6686"/>
          <w:sz w:val="12"/>
          <w:szCs w:val="12"/>
          <w:lang w:val="es-MX" w:eastAsia="es-MX"/>
        </w:rPr>
        <w:t>c</w:t>
      </w:r>
      <w:r w:rsidRPr="004E31A6">
        <w:rPr>
          <w:rFonts w:ascii="Abadi" w:hAnsi="Abadi" w:cs="*Calibri-9119-Identity-H"/>
          <w:color w:val="305370"/>
          <w:sz w:val="12"/>
          <w:szCs w:val="12"/>
          <w:lang w:val="es-MX" w:eastAsia="es-MX"/>
        </w:rPr>
        <w:t xml:space="preserve">i </w:t>
      </w:r>
      <w:r w:rsidRPr="004E31A6">
        <w:rPr>
          <w:rFonts w:ascii="Abadi" w:hAnsi="Abadi" w:cs="*Calibri-9119-Identity-H"/>
          <w:color w:val="4A7792"/>
          <w:sz w:val="12"/>
          <w:szCs w:val="12"/>
          <w:lang w:val="es-MX" w:eastAsia="es-MX"/>
        </w:rPr>
        <w:t>a</w:t>
      </w:r>
      <w:r w:rsidRPr="004E31A6">
        <w:rPr>
          <w:rFonts w:ascii="Abadi" w:hAnsi="Abadi" w:cs="*Calibri-9119-Identity-H"/>
          <w:color w:val="3A6686"/>
          <w:sz w:val="12"/>
          <w:szCs w:val="12"/>
          <w:lang w:val="es-MX" w:eastAsia="es-MX"/>
        </w:rPr>
        <w:t>m</w:t>
      </w:r>
      <w:r w:rsidRPr="004E31A6">
        <w:rPr>
          <w:rFonts w:ascii="Abadi" w:hAnsi="Abadi" w:cs="*Calibri-9119-Identity-H"/>
          <w:color w:val="21435A"/>
          <w:sz w:val="12"/>
          <w:szCs w:val="12"/>
          <w:lang w:val="es-MX" w:eastAsia="es-MX"/>
        </w:rPr>
        <w:t xml:space="preserve">i </w:t>
      </w:r>
      <w:r w:rsidRPr="004E31A6">
        <w:rPr>
          <w:rFonts w:ascii="Abadi" w:hAnsi="Abadi" w:cs="*Calibri-9119-Identity-H"/>
          <w:color w:val="4A7792"/>
          <w:sz w:val="12"/>
          <w:szCs w:val="12"/>
          <w:lang w:val="es-MX" w:eastAsia="es-MX"/>
        </w:rPr>
        <w:t>e</w:t>
      </w:r>
      <w:r w:rsidRPr="004E31A6">
        <w:rPr>
          <w:rFonts w:ascii="Abadi" w:hAnsi="Abadi" w:cs="*Calibri-9119-Identity-H"/>
          <w:color w:val="277384"/>
          <w:sz w:val="12"/>
          <w:szCs w:val="12"/>
          <w:lang w:val="es-MX" w:eastAsia="es-MX"/>
        </w:rPr>
        <w:t>n</w:t>
      </w:r>
      <w:r w:rsidRPr="004E31A6">
        <w:rPr>
          <w:rFonts w:ascii="Abadi" w:hAnsi="Abadi" w:cs="*Calibri-9119-Identity-H"/>
          <w:color w:val="3A6686"/>
          <w:sz w:val="12"/>
          <w:szCs w:val="12"/>
          <w:lang w:val="es-MX" w:eastAsia="es-MX"/>
        </w:rPr>
        <w:t>to</w:t>
      </w:r>
      <w:r w:rsidRPr="004E31A6">
        <w:rPr>
          <w:rFonts w:ascii="Abadi" w:hAnsi="Abadi" w:cs="*Calibri-9119-Identity-H"/>
          <w:color w:val="4A7792"/>
          <w:sz w:val="12"/>
          <w:szCs w:val="12"/>
          <w:lang w:val="es-MX" w:eastAsia="es-MX"/>
        </w:rPr>
        <w:t>-a</w:t>
      </w:r>
      <w:r w:rsidRPr="004E31A6">
        <w:rPr>
          <w:rFonts w:ascii="Abadi" w:hAnsi="Abadi" w:cs="*Calibri-9119-Identity-H"/>
          <w:color w:val="79909F"/>
          <w:sz w:val="12"/>
          <w:szCs w:val="12"/>
          <w:lang w:val="es-MX" w:eastAsia="es-MX"/>
        </w:rPr>
        <w:t>-</w:t>
      </w:r>
      <w:r w:rsidRPr="004E31A6">
        <w:rPr>
          <w:rFonts w:ascii="Abadi" w:hAnsi="Abadi" w:cs="*Calibri-9119-Identity-H"/>
          <w:color w:val="21435A"/>
          <w:sz w:val="12"/>
          <w:szCs w:val="12"/>
          <w:lang w:val="es-MX" w:eastAsia="es-MX"/>
        </w:rPr>
        <w:t>l</w:t>
      </w:r>
      <w:r w:rsidRPr="004E31A6">
        <w:rPr>
          <w:rFonts w:ascii="Abadi" w:hAnsi="Abadi" w:cs="*Calibri-9119-Identity-H"/>
          <w:color w:val="4A7792"/>
          <w:sz w:val="12"/>
          <w:szCs w:val="12"/>
          <w:lang w:val="es-MX" w:eastAsia="es-MX"/>
        </w:rPr>
        <w:t>as</w:t>
      </w:r>
      <w:r w:rsidRPr="004E31A6">
        <w:rPr>
          <w:rFonts w:ascii="Abadi" w:hAnsi="Abadi" w:cs="*Calibri-9119-Identity-H"/>
          <w:color w:val="3A6686"/>
          <w:sz w:val="12"/>
          <w:szCs w:val="12"/>
          <w:lang w:val="es-MX" w:eastAsia="es-MX"/>
        </w:rPr>
        <w:t>em</w:t>
      </w:r>
      <w:r w:rsidRPr="004E31A6">
        <w:rPr>
          <w:rFonts w:ascii="Abadi" w:hAnsi="Abadi" w:cs="*Calibri-9119-Identity-H"/>
          <w:color w:val="3476A2"/>
          <w:sz w:val="12"/>
          <w:szCs w:val="12"/>
          <w:lang w:val="es-MX" w:eastAsia="es-MX"/>
        </w:rPr>
        <w:t>p</w:t>
      </w:r>
      <w:r w:rsidRPr="004E31A6">
        <w:rPr>
          <w:rFonts w:ascii="Abadi" w:hAnsi="Abadi" w:cs="*Calibri-9119-Identity-H"/>
          <w:color w:val="3A6686"/>
          <w:sz w:val="12"/>
          <w:szCs w:val="12"/>
          <w:lang w:val="es-MX" w:eastAsia="es-MX"/>
        </w:rPr>
        <w:t>r/%</w:t>
      </w:r>
    </w:p>
    <w:p w14:paraId="1EDC39F6" w14:textId="78361779" w:rsidR="00C7255F" w:rsidRPr="004E31A6" w:rsidRDefault="00C7255F" w:rsidP="00C7255F">
      <w:pPr>
        <w:pStyle w:val="Textonotapie"/>
        <w:rPr>
          <w:rFonts w:ascii="Abadi" w:hAnsi="Abadi"/>
          <w:sz w:val="12"/>
          <w:szCs w:val="12"/>
        </w:rPr>
      </w:pPr>
      <w:r w:rsidRPr="004E31A6">
        <w:rPr>
          <w:rFonts w:ascii="Abadi" w:hAnsi="Abadi" w:cs="*Calibri-9119-Identity-H"/>
          <w:color w:val="305370"/>
          <w:sz w:val="12"/>
          <w:szCs w:val="12"/>
          <w:lang w:eastAsia="es-MX"/>
        </w:rPr>
        <w:t>7</w:t>
      </w:r>
      <w:r w:rsidRPr="004E31A6">
        <w:rPr>
          <w:rFonts w:ascii="Abadi" w:hAnsi="Abadi" w:cs="*Calibri-9119-Identity-H"/>
          <w:color w:val="3A6686"/>
          <w:sz w:val="12"/>
          <w:szCs w:val="12"/>
          <w:lang w:eastAsia="es-MX"/>
        </w:rPr>
        <w:t xml:space="preserve">B </w:t>
      </w:r>
      <w:r w:rsidRPr="004E31A6">
        <w:rPr>
          <w:rFonts w:ascii="Abadi" w:hAnsi="Abadi" w:cs="*Calibri-9119-Identity-H"/>
          <w:color w:val="305370"/>
          <w:sz w:val="12"/>
          <w:szCs w:val="12"/>
          <w:lang w:eastAsia="es-MX"/>
        </w:rPr>
        <w:t>1</w:t>
      </w:r>
      <w:r w:rsidRPr="004E31A6">
        <w:rPr>
          <w:rFonts w:ascii="Abadi" w:hAnsi="Abadi" w:cs="*Calibri-9119-Identity-H"/>
          <w:color w:val="3A6686"/>
          <w:sz w:val="12"/>
          <w:szCs w:val="12"/>
          <w:lang w:eastAsia="es-MX"/>
        </w:rPr>
        <w:t>1D</w:t>
      </w:r>
      <w:r w:rsidRPr="004E31A6">
        <w:rPr>
          <w:rFonts w:ascii="Abadi" w:hAnsi="Abadi" w:cs="*Calibri-9119-Identity-H"/>
          <w:color w:val="305370"/>
          <w:sz w:val="12"/>
          <w:szCs w:val="12"/>
          <w:lang w:eastAsia="es-MX"/>
        </w:rPr>
        <w:t>F</w:t>
      </w:r>
      <w:r w:rsidRPr="004E31A6">
        <w:rPr>
          <w:rFonts w:ascii="Abadi" w:hAnsi="Abadi" w:cs="*Calibri-9119-Identity-H"/>
          <w:color w:val="3A6686"/>
          <w:sz w:val="12"/>
          <w:szCs w:val="12"/>
          <w:lang w:eastAsia="es-MX"/>
        </w:rPr>
        <w:t>9F43</w:t>
      </w:r>
      <w:r w:rsidRPr="004E31A6">
        <w:rPr>
          <w:rFonts w:ascii="Abadi" w:hAnsi="Abadi" w:cs="*Calibri-9119-Identity-H"/>
          <w:color w:val="5C6377"/>
          <w:sz w:val="12"/>
          <w:szCs w:val="12"/>
          <w:lang w:eastAsia="es-MX"/>
        </w:rPr>
        <w:t>·</w:t>
      </w:r>
      <w:r w:rsidRPr="004E31A6">
        <w:rPr>
          <w:rFonts w:ascii="Abadi" w:hAnsi="Abadi" w:cs="*Calibri-9119-Identity-H"/>
          <w:color w:val="3A6686"/>
          <w:sz w:val="12"/>
          <w:szCs w:val="12"/>
          <w:lang w:eastAsia="es-MX"/>
        </w:rPr>
        <w:t>BD6</w:t>
      </w:r>
      <w:r w:rsidRPr="004E31A6">
        <w:rPr>
          <w:rFonts w:ascii="Abadi" w:hAnsi="Abadi" w:cs="*Calibri-9119-Identity-H"/>
          <w:color w:val="305370"/>
          <w:sz w:val="12"/>
          <w:szCs w:val="12"/>
          <w:lang w:eastAsia="es-MX"/>
        </w:rPr>
        <w:t>7</w:t>
      </w:r>
      <w:r w:rsidRPr="004E31A6">
        <w:rPr>
          <w:rFonts w:ascii="Abadi" w:hAnsi="Abadi" w:cs="*Calibri-9119-Identity-H"/>
          <w:color w:val="5C6377"/>
          <w:sz w:val="12"/>
          <w:szCs w:val="12"/>
          <w:lang w:eastAsia="es-MX"/>
        </w:rPr>
        <w:t>-</w:t>
      </w:r>
      <w:r w:rsidRPr="004E31A6">
        <w:rPr>
          <w:rFonts w:ascii="Abadi" w:hAnsi="Abadi" w:cs="*Calibri-9119-Identity-H"/>
          <w:color w:val="3A6686"/>
          <w:sz w:val="12"/>
          <w:szCs w:val="12"/>
          <w:lang w:eastAsia="es-MX"/>
        </w:rPr>
        <w:t>6C3D</w:t>
      </w:r>
      <w:r w:rsidRPr="004E31A6">
        <w:rPr>
          <w:rFonts w:ascii="Abadi" w:hAnsi="Abadi" w:cs="*Calibri-9119-Identity-H"/>
          <w:color w:val="6C848A"/>
          <w:sz w:val="12"/>
          <w:szCs w:val="12"/>
          <w:lang w:eastAsia="es-MX"/>
        </w:rPr>
        <w:t>-</w:t>
      </w:r>
      <w:r w:rsidRPr="004E31A6">
        <w:rPr>
          <w:rFonts w:ascii="Abadi" w:hAnsi="Abadi" w:cs="*Calibri-9119-Identity-H"/>
          <w:color w:val="3A6686"/>
          <w:sz w:val="12"/>
          <w:szCs w:val="12"/>
          <w:lang w:eastAsia="es-MX"/>
        </w:rPr>
        <w:t>66</w:t>
      </w:r>
      <w:r w:rsidRPr="004E31A6">
        <w:rPr>
          <w:rFonts w:ascii="Abadi" w:hAnsi="Abadi" w:cs="*Calibri-9119-Identity-H"/>
          <w:color w:val="4A7792"/>
          <w:sz w:val="12"/>
          <w:szCs w:val="12"/>
          <w:lang w:eastAsia="es-MX"/>
        </w:rPr>
        <w:t>E</w:t>
      </w:r>
      <w:r w:rsidRPr="004E31A6">
        <w:rPr>
          <w:rFonts w:ascii="Abadi" w:hAnsi="Abadi" w:cs="*Calibri-9119-Identity-H"/>
          <w:color w:val="305370"/>
          <w:sz w:val="12"/>
          <w:szCs w:val="12"/>
          <w:lang w:eastAsia="es-MX"/>
        </w:rPr>
        <w:t>O</w:t>
      </w:r>
      <w:r w:rsidRPr="004E31A6">
        <w:rPr>
          <w:rFonts w:ascii="Abadi" w:hAnsi="Abadi" w:cs="*Calibri-9119-Identity-H"/>
          <w:color w:val="5C6377"/>
          <w:sz w:val="12"/>
          <w:szCs w:val="12"/>
          <w:lang w:eastAsia="es-MX"/>
        </w:rPr>
        <w:t>-</w:t>
      </w:r>
      <w:r w:rsidRPr="004E31A6">
        <w:rPr>
          <w:rFonts w:ascii="Abadi" w:hAnsi="Abadi" w:cs="*Calibri-9119-Identity-H"/>
          <w:color w:val="305370"/>
          <w:sz w:val="12"/>
          <w:szCs w:val="12"/>
          <w:lang w:eastAsia="es-MX"/>
        </w:rPr>
        <w:t>A</w:t>
      </w:r>
      <w:r w:rsidRPr="004E31A6">
        <w:rPr>
          <w:rFonts w:ascii="Abadi" w:hAnsi="Abadi" w:cs="*Calibri-9119-Identity-H"/>
          <w:color w:val="3A6686"/>
          <w:sz w:val="12"/>
          <w:szCs w:val="12"/>
          <w:lang w:eastAsia="es-MX"/>
        </w:rPr>
        <w:t>2C</w:t>
      </w:r>
      <w:r w:rsidRPr="004E31A6">
        <w:rPr>
          <w:rFonts w:ascii="Abadi" w:hAnsi="Abadi" w:cs="*Calibri-9119-Identity-H"/>
          <w:color w:val="4A7792"/>
          <w:sz w:val="12"/>
          <w:szCs w:val="12"/>
          <w:lang w:eastAsia="es-MX"/>
        </w:rPr>
        <w:t>6</w:t>
      </w:r>
      <w:r w:rsidRPr="004E31A6">
        <w:rPr>
          <w:rFonts w:ascii="Abadi" w:hAnsi="Abadi" w:cs="*Calibri-9119-Identity-H"/>
          <w:color w:val="3A6686"/>
          <w:sz w:val="12"/>
          <w:szCs w:val="12"/>
          <w:lang w:eastAsia="es-MX"/>
        </w:rPr>
        <w:t>A8352</w:t>
      </w:r>
      <w:r w:rsidRPr="004E31A6">
        <w:rPr>
          <w:rFonts w:ascii="Abadi" w:hAnsi="Abadi" w:cs="*Calibri-9119-Identity-H"/>
          <w:color w:val="305370"/>
          <w:sz w:val="12"/>
          <w:szCs w:val="12"/>
          <w:lang w:eastAsia="es-MX"/>
        </w:rPr>
        <w:t>8</w:t>
      </w:r>
      <w:r w:rsidRPr="004E31A6">
        <w:rPr>
          <w:rFonts w:ascii="Abadi" w:hAnsi="Abadi" w:cs="*Calibri-9119-Identity-H"/>
          <w:color w:val="3A6686"/>
          <w:sz w:val="12"/>
          <w:szCs w:val="12"/>
          <w:lang w:eastAsia="es-MX"/>
        </w:rPr>
        <w:t>88%</w:t>
      </w:r>
      <w:r w:rsidRPr="004E31A6">
        <w:rPr>
          <w:rFonts w:ascii="Abadi" w:hAnsi="Abadi" w:cs="*Calibri-9119-Identity-H"/>
          <w:color w:val="305370"/>
          <w:sz w:val="12"/>
          <w:szCs w:val="12"/>
          <w:lang w:eastAsia="es-MX"/>
        </w:rPr>
        <w:t>7</w:t>
      </w:r>
      <w:r w:rsidRPr="004E31A6">
        <w:rPr>
          <w:rFonts w:ascii="Abadi" w:hAnsi="Abadi" w:cs="*Calibri-9119-Identity-H"/>
          <w:color w:val="3A6686"/>
          <w:sz w:val="12"/>
          <w:szCs w:val="12"/>
          <w:lang w:eastAsia="es-MX"/>
        </w:rPr>
        <w:t>D</w:t>
      </w:r>
      <w:r w:rsidRPr="004E31A6">
        <w:rPr>
          <w:rFonts w:ascii="Abadi" w:hAnsi="Abadi" w:cs="*Calibri-9119-Identity-H"/>
          <w:color w:val="305370"/>
          <w:sz w:val="12"/>
          <w:szCs w:val="12"/>
          <w:lang w:eastAsia="es-MX"/>
        </w:rPr>
        <w:t>.</w:t>
      </w:r>
      <w:r w:rsidRPr="004E31A6">
        <w:rPr>
          <w:rFonts w:ascii="Abadi" w:hAnsi="Abadi" w:cs="*Calibri-9119-Identity-H"/>
          <w:color w:val="3A6686"/>
          <w:sz w:val="12"/>
          <w:szCs w:val="12"/>
          <w:lang w:eastAsia="es-MX"/>
        </w:rPr>
        <w:t>pdf</w:t>
      </w:r>
    </w:p>
  </w:footnote>
  <w:footnote w:id="13">
    <w:p w14:paraId="743D8971" w14:textId="2633B231" w:rsidR="00143640" w:rsidRPr="00197301" w:rsidRDefault="00143640">
      <w:pPr>
        <w:pStyle w:val="Textonotapie"/>
        <w:rPr>
          <w:rFonts w:ascii="Abadi" w:hAnsi="Abadi"/>
          <w:sz w:val="12"/>
          <w:szCs w:val="12"/>
        </w:rPr>
      </w:pPr>
      <w:r w:rsidRPr="00197301">
        <w:rPr>
          <w:rStyle w:val="Refdenotaalpie"/>
          <w:rFonts w:ascii="Abadi" w:hAnsi="Abadi"/>
          <w:sz w:val="12"/>
          <w:szCs w:val="12"/>
        </w:rPr>
        <w:footnoteRef/>
      </w:r>
      <w:r w:rsidRPr="00197301">
        <w:rPr>
          <w:rFonts w:ascii="Abadi" w:hAnsi="Abadi"/>
          <w:sz w:val="12"/>
          <w:szCs w:val="12"/>
        </w:rPr>
        <w:t xml:space="preserve"> </w:t>
      </w:r>
      <w:r w:rsidRPr="00197301">
        <w:rPr>
          <w:rFonts w:ascii="Abadi" w:hAnsi="Abadi" w:cs="*Calibri-7368-Identity-H"/>
          <w:color w:val="1F1F1F"/>
          <w:sz w:val="12"/>
          <w:szCs w:val="12"/>
          <w:lang w:eastAsia="es-MX"/>
        </w:rPr>
        <w:t>Periódico Oficial, 13 de noviembre de 2020, pág. 96.</w:t>
      </w:r>
    </w:p>
  </w:footnote>
  <w:footnote w:id="14">
    <w:p w14:paraId="1209B43D" w14:textId="77777777" w:rsidR="001D68D3" w:rsidRPr="007F47EF" w:rsidRDefault="001D68D3" w:rsidP="001D68D3">
      <w:pPr>
        <w:autoSpaceDE w:val="0"/>
        <w:autoSpaceDN w:val="0"/>
        <w:adjustRightInd w:val="0"/>
        <w:rPr>
          <w:rFonts w:ascii="Abadi" w:hAnsi="Abadi" w:cs="*Calibri-9838-Identity-H"/>
          <w:color w:val="202020"/>
          <w:sz w:val="12"/>
          <w:szCs w:val="12"/>
          <w:lang w:val="es-MX" w:eastAsia="es-MX"/>
        </w:rPr>
      </w:pPr>
      <w:r w:rsidRPr="007F47EF">
        <w:rPr>
          <w:rStyle w:val="Refdenotaalpie"/>
          <w:rFonts w:ascii="Abadi" w:hAnsi="Abadi"/>
          <w:sz w:val="12"/>
          <w:szCs w:val="12"/>
        </w:rPr>
        <w:footnoteRef/>
      </w:r>
      <w:r w:rsidRPr="007F47EF">
        <w:rPr>
          <w:rFonts w:ascii="Abadi" w:hAnsi="Abadi"/>
          <w:sz w:val="12"/>
          <w:szCs w:val="12"/>
        </w:rPr>
        <w:t xml:space="preserve"> </w:t>
      </w:r>
      <w:r w:rsidRPr="007F47EF">
        <w:rPr>
          <w:rFonts w:ascii="Abadi" w:hAnsi="Abadi" w:cs="*Calibri-9838-Identity-H"/>
          <w:color w:val="202020"/>
          <w:sz w:val="12"/>
          <w:szCs w:val="12"/>
          <w:lang w:val="es-MX" w:eastAsia="es-MX"/>
        </w:rPr>
        <w:t>En análisis de las tendencias del sector y la brecha de financiamiento, el Banco Mundial indica (Women,</w:t>
      </w:r>
    </w:p>
    <w:p w14:paraId="19544681" w14:textId="77777777" w:rsidR="001D68D3" w:rsidRPr="007F47EF" w:rsidRDefault="001D68D3" w:rsidP="001D68D3">
      <w:pPr>
        <w:autoSpaceDE w:val="0"/>
        <w:autoSpaceDN w:val="0"/>
        <w:adjustRightInd w:val="0"/>
        <w:rPr>
          <w:rFonts w:ascii="Abadi" w:hAnsi="Abadi" w:cs="*Calibri-9838-Identity-H"/>
          <w:color w:val="202020"/>
          <w:sz w:val="12"/>
          <w:szCs w:val="12"/>
          <w:lang w:val="es-MX" w:eastAsia="es-MX"/>
        </w:rPr>
      </w:pPr>
      <w:r w:rsidRPr="007F47EF">
        <w:rPr>
          <w:rFonts w:ascii="Abadi" w:hAnsi="Abadi" w:cs="*Calibri-9838-Identity-H"/>
          <w:color w:val="202020"/>
          <w:sz w:val="12"/>
          <w:szCs w:val="12"/>
          <w:lang w:val="es-MX" w:eastAsia="es-MX"/>
        </w:rPr>
        <w:t>Business and the Law}: "Women entrepreneurs are also more likely to cite access to finance as the first or</w:t>
      </w:r>
    </w:p>
    <w:p w14:paraId="51217B22" w14:textId="77777777" w:rsidR="001D68D3" w:rsidRPr="007F47EF" w:rsidRDefault="001D68D3" w:rsidP="001D68D3">
      <w:pPr>
        <w:autoSpaceDE w:val="0"/>
        <w:autoSpaceDN w:val="0"/>
        <w:adjustRightInd w:val="0"/>
        <w:rPr>
          <w:rFonts w:ascii="Abadi" w:hAnsi="Abadi" w:cs="*Calibri-9838-Identity-H"/>
          <w:color w:val="202020"/>
          <w:sz w:val="12"/>
          <w:szCs w:val="12"/>
          <w:lang w:val="es-MX" w:eastAsia="es-MX"/>
        </w:rPr>
      </w:pPr>
      <w:r w:rsidRPr="007F47EF">
        <w:rPr>
          <w:rFonts w:ascii="Abadi" w:hAnsi="Abadi" w:cs="*Calibri-9838-Identity-H"/>
          <w:color w:val="202020"/>
          <w:sz w:val="12"/>
          <w:szCs w:val="12"/>
          <w:lang w:val="es-MX" w:eastAsia="es-MX"/>
        </w:rPr>
        <w:t>second barrier to developlng and growing their businesses. In addltlon, relative to men, women tend to have</w:t>
      </w:r>
    </w:p>
    <w:p w14:paraId="0C7DB101" w14:textId="77777777" w:rsidR="001D68D3" w:rsidRPr="007F47EF" w:rsidRDefault="001D68D3" w:rsidP="001D68D3">
      <w:pPr>
        <w:autoSpaceDE w:val="0"/>
        <w:autoSpaceDN w:val="0"/>
        <w:adjustRightInd w:val="0"/>
        <w:rPr>
          <w:rFonts w:ascii="Abadi" w:hAnsi="Abadi" w:cs="*Calibri-9838-Identity-H"/>
          <w:color w:val="202020"/>
          <w:sz w:val="12"/>
          <w:szCs w:val="12"/>
          <w:lang w:val="es-MX" w:eastAsia="es-MX"/>
        </w:rPr>
      </w:pPr>
      <w:r w:rsidRPr="007F47EF">
        <w:rPr>
          <w:rFonts w:ascii="Abadi" w:hAnsi="Abadi" w:cs="*Calibri-9838-Identity-H"/>
          <w:color w:val="202020"/>
          <w:sz w:val="12"/>
          <w:szCs w:val="12"/>
          <w:lang w:val="es-MX" w:eastAsia="es-MX"/>
        </w:rPr>
        <w:t>less access to finance and other resources, along with issues of rights and voice'',</w:t>
      </w:r>
    </w:p>
    <w:p w14:paraId="1C5EFC88" w14:textId="616A764C" w:rsidR="001D68D3" w:rsidRPr="007F47EF" w:rsidRDefault="001D68D3" w:rsidP="001D68D3">
      <w:pPr>
        <w:pStyle w:val="Textonotapie"/>
        <w:rPr>
          <w:rFonts w:ascii="Abadi" w:hAnsi="Abadi"/>
          <w:sz w:val="12"/>
          <w:szCs w:val="12"/>
        </w:rPr>
      </w:pPr>
    </w:p>
  </w:footnote>
  <w:footnote w:id="15">
    <w:p w14:paraId="7F6FD837" w14:textId="77777777" w:rsidR="000651CF" w:rsidRPr="007F47EF" w:rsidRDefault="000651CF" w:rsidP="000651CF">
      <w:pPr>
        <w:autoSpaceDE w:val="0"/>
        <w:autoSpaceDN w:val="0"/>
        <w:adjustRightInd w:val="0"/>
        <w:rPr>
          <w:rFonts w:ascii="Abadi" w:hAnsi="Abadi" w:cs="*Calibri-8211-Identity-H"/>
          <w:color w:val="1C1C1C"/>
          <w:sz w:val="12"/>
          <w:szCs w:val="12"/>
          <w:lang w:val="es-MX" w:eastAsia="es-MX"/>
        </w:rPr>
      </w:pPr>
      <w:r w:rsidRPr="007F47EF">
        <w:rPr>
          <w:rStyle w:val="Refdenotaalpie"/>
          <w:rFonts w:ascii="Abadi" w:hAnsi="Abadi"/>
          <w:sz w:val="12"/>
          <w:szCs w:val="12"/>
        </w:rPr>
        <w:footnoteRef/>
      </w:r>
      <w:r w:rsidRPr="007F47EF">
        <w:rPr>
          <w:rFonts w:ascii="Abadi" w:hAnsi="Abadi"/>
          <w:sz w:val="12"/>
          <w:szCs w:val="12"/>
        </w:rPr>
        <w:t xml:space="preserve"> </w:t>
      </w:r>
      <w:r w:rsidRPr="007F47EF">
        <w:rPr>
          <w:rFonts w:ascii="Abadi" w:hAnsi="Abadi" w:cs="*Calibri-8211-Identity-H"/>
          <w:color w:val="1C1C1C"/>
          <w:sz w:val="12"/>
          <w:szCs w:val="12"/>
          <w:lang w:val="es-MX" w:eastAsia="es-MX"/>
        </w:rPr>
        <w:t>Sobre la relevancia de los instrumentos regulatorios en el sector se sugiere revisar. INTERNATIONAL FINAN CE</w:t>
      </w:r>
    </w:p>
    <w:p w14:paraId="29D9CF43" w14:textId="00C6BAD5" w:rsidR="000651CF" w:rsidRPr="007F47EF" w:rsidRDefault="000651CF" w:rsidP="000651CF">
      <w:pPr>
        <w:pStyle w:val="Textonotapie"/>
        <w:rPr>
          <w:rFonts w:ascii="Abadi" w:hAnsi="Abadi"/>
          <w:sz w:val="12"/>
          <w:szCs w:val="12"/>
        </w:rPr>
      </w:pPr>
      <w:r w:rsidRPr="007F47EF">
        <w:rPr>
          <w:rFonts w:ascii="Abadi" w:hAnsi="Abadi" w:cs="*Calibri-8211-Identity-H"/>
          <w:color w:val="1C1C1C"/>
          <w:sz w:val="12"/>
          <w:szCs w:val="12"/>
          <w:lang w:eastAsia="es-MX"/>
        </w:rPr>
        <w:t xml:space="preserve">CORPORATION 2011, </w:t>
      </w:r>
      <w:r w:rsidRPr="007F47EF">
        <w:rPr>
          <w:rFonts w:ascii="Abadi" w:hAnsi="Abadi" w:cs="*Comic Sans MS-Italic-8219-Iden"/>
          <w:i/>
          <w:iCs/>
          <w:color w:val="1C1C1C"/>
          <w:sz w:val="12"/>
          <w:szCs w:val="12"/>
          <w:lang w:eastAsia="es-MX"/>
        </w:rPr>
        <w:t>SME Finance Policy Guide.</w:t>
      </w:r>
    </w:p>
  </w:footnote>
  <w:footnote w:id="16">
    <w:p w14:paraId="4EE7BE03" w14:textId="587B9B51" w:rsidR="00FB474C" w:rsidRPr="004632DE" w:rsidRDefault="00FB474C">
      <w:pPr>
        <w:pStyle w:val="Textonotapie"/>
        <w:rPr>
          <w:rFonts w:ascii="Abadi" w:hAnsi="Abadi"/>
          <w:sz w:val="12"/>
          <w:szCs w:val="12"/>
        </w:rPr>
      </w:pPr>
      <w:r w:rsidRPr="004632DE">
        <w:rPr>
          <w:rStyle w:val="Refdenotaalpie"/>
          <w:rFonts w:ascii="Abadi" w:hAnsi="Abadi"/>
          <w:sz w:val="12"/>
          <w:szCs w:val="12"/>
        </w:rPr>
        <w:footnoteRef/>
      </w:r>
      <w:r w:rsidRPr="004632DE">
        <w:rPr>
          <w:rFonts w:ascii="Abadi" w:hAnsi="Abadi"/>
          <w:sz w:val="12"/>
          <w:szCs w:val="12"/>
        </w:rPr>
        <w:t xml:space="preserve"> https://www.ilo.org/ipec/facts/lang--es/index.htm</w:t>
      </w:r>
    </w:p>
  </w:footnote>
  <w:footnote w:id="17">
    <w:p w14:paraId="3D431EC4" w14:textId="190DBE31" w:rsidR="00AA7CE3" w:rsidRPr="004632DE" w:rsidRDefault="00AA7CE3">
      <w:pPr>
        <w:pStyle w:val="Textonotapie"/>
        <w:rPr>
          <w:rFonts w:ascii="Abadi" w:hAnsi="Abadi"/>
          <w:sz w:val="12"/>
          <w:szCs w:val="12"/>
        </w:rPr>
      </w:pPr>
      <w:r w:rsidRPr="004632DE">
        <w:rPr>
          <w:rStyle w:val="Refdenotaalpie"/>
          <w:rFonts w:ascii="Abadi" w:hAnsi="Abadi"/>
          <w:sz w:val="12"/>
          <w:szCs w:val="12"/>
        </w:rPr>
        <w:footnoteRef/>
      </w:r>
      <w:r w:rsidRPr="004632DE">
        <w:rPr>
          <w:rFonts w:ascii="Abadi" w:hAnsi="Abadi"/>
          <w:sz w:val="12"/>
          <w:szCs w:val="12"/>
        </w:rPr>
        <w:t xml:space="preserve"> </w:t>
      </w:r>
      <w:r w:rsidRPr="004632DE">
        <w:rPr>
          <w:rFonts w:ascii="Abadi" w:hAnsi="Abadi"/>
          <w:sz w:val="12"/>
          <w:szCs w:val="12"/>
          <w:lang w:eastAsia="es-MX"/>
        </w:rPr>
        <w:t>Ídem.</w:t>
      </w:r>
    </w:p>
  </w:footnote>
  <w:footnote w:id="18">
    <w:p w14:paraId="5ED9E662" w14:textId="6FD52392" w:rsidR="001C4F8B" w:rsidRPr="004632DE" w:rsidRDefault="001C4F8B">
      <w:pPr>
        <w:pStyle w:val="Textonotapie"/>
        <w:rPr>
          <w:rFonts w:ascii="Abadi" w:hAnsi="Abadi"/>
          <w:sz w:val="12"/>
          <w:szCs w:val="12"/>
        </w:rPr>
      </w:pPr>
      <w:r w:rsidRPr="004632DE">
        <w:rPr>
          <w:rStyle w:val="Refdenotaalpie"/>
          <w:rFonts w:ascii="Abadi" w:hAnsi="Abadi"/>
          <w:sz w:val="12"/>
          <w:szCs w:val="12"/>
        </w:rPr>
        <w:footnoteRef/>
      </w:r>
      <w:r w:rsidRPr="004632DE">
        <w:rPr>
          <w:rFonts w:ascii="Abadi" w:hAnsi="Abadi"/>
          <w:sz w:val="12"/>
          <w:szCs w:val="12"/>
        </w:rPr>
        <w:t xml:space="preserve"> https://www.ilo.org/ipec/Campaignandadvocacy/Youthinaction/C182-Youth-orientated/worstforms/lang--es/index.htm</w:t>
      </w:r>
    </w:p>
  </w:footnote>
  <w:footnote w:id="19">
    <w:p w14:paraId="6C7337C5" w14:textId="77777777" w:rsidR="00D41F57" w:rsidRPr="009176D3" w:rsidRDefault="00D41F57" w:rsidP="009176D3">
      <w:pPr>
        <w:autoSpaceDE w:val="0"/>
        <w:autoSpaceDN w:val="0"/>
        <w:adjustRightInd w:val="0"/>
        <w:jc w:val="both"/>
        <w:rPr>
          <w:rFonts w:ascii="Abadi" w:hAnsi="Abadi" w:cs="Calibri"/>
          <w:sz w:val="12"/>
          <w:szCs w:val="12"/>
          <w:lang w:val="es-MX" w:eastAsia="es-MX"/>
        </w:rPr>
      </w:pPr>
      <w:r w:rsidRPr="009176D3">
        <w:rPr>
          <w:rStyle w:val="Refdenotaalpie"/>
          <w:rFonts w:ascii="Abadi" w:hAnsi="Abadi"/>
          <w:sz w:val="12"/>
          <w:szCs w:val="12"/>
        </w:rPr>
        <w:footnoteRef/>
      </w:r>
      <w:r w:rsidRPr="009176D3">
        <w:rPr>
          <w:rFonts w:ascii="Abadi" w:hAnsi="Abadi"/>
          <w:sz w:val="12"/>
          <w:szCs w:val="12"/>
        </w:rPr>
        <w:t xml:space="preserve"> </w:t>
      </w:r>
      <w:r w:rsidRPr="009176D3">
        <w:rPr>
          <w:rFonts w:ascii="Abadi" w:hAnsi="Abadi" w:cs="Calibri"/>
          <w:sz w:val="12"/>
          <w:szCs w:val="12"/>
          <w:lang w:val="es-MX" w:eastAsia="es-MX"/>
        </w:rPr>
        <w:t>En el caso del trabajo infantil la Convención sobre los Derechos del Niño señala que:</w:t>
      </w:r>
    </w:p>
    <w:p w14:paraId="1B2F6918" w14:textId="77777777" w:rsidR="00D41F57" w:rsidRPr="009176D3" w:rsidRDefault="00D41F57" w:rsidP="009176D3">
      <w:pPr>
        <w:autoSpaceDE w:val="0"/>
        <w:autoSpaceDN w:val="0"/>
        <w:adjustRightInd w:val="0"/>
        <w:jc w:val="both"/>
        <w:rPr>
          <w:rFonts w:ascii="Abadi" w:hAnsi="Abadi" w:cs="Calibri-Bold"/>
          <w:b/>
          <w:bCs/>
          <w:sz w:val="12"/>
          <w:szCs w:val="12"/>
          <w:lang w:val="es-MX" w:eastAsia="es-MX"/>
        </w:rPr>
      </w:pPr>
      <w:r w:rsidRPr="009176D3">
        <w:rPr>
          <w:rFonts w:ascii="Abadi" w:hAnsi="Abadi" w:cs="Calibri-Bold"/>
          <w:b/>
          <w:bCs/>
          <w:sz w:val="12"/>
          <w:szCs w:val="12"/>
          <w:lang w:val="es-MX" w:eastAsia="es-MX"/>
        </w:rPr>
        <w:t>Artículo 32:</w:t>
      </w:r>
    </w:p>
    <w:p w14:paraId="04DF802F" w14:textId="77777777" w:rsidR="00D41F57" w:rsidRPr="009176D3" w:rsidRDefault="00D41F57" w:rsidP="009176D3">
      <w:pPr>
        <w:autoSpaceDE w:val="0"/>
        <w:autoSpaceDN w:val="0"/>
        <w:adjustRightInd w:val="0"/>
        <w:jc w:val="both"/>
        <w:rPr>
          <w:rFonts w:ascii="Abadi" w:hAnsi="Abadi" w:cs="Calibri"/>
          <w:sz w:val="12"/>
          <w:szCs w:val="12"/>
          <w:lang w:val="es-MX" w:eastAsia="es-MX"/>
        </w:rPr>
      </w:pPr>
      <w:r w:rsidRPr="009176D3">
        <w:rPr>
          <w:rFonts w:ascii="Abadi" w:hAnsi="Abadi" w:cs="Calibri-Bold"/>
          <w:b/>
          <w:bCs/>
          <w:sz w:val="12"/>
          <w:szCs w:val="12"/>
          <w:lang w:val="es-MX" w:eastAsia="es-MX"/>
        </w:rPr>
        <w:t xml:space="preserve">1. </w:t>
      </w:r>
      <w:r w:rsidRPr="009176D3">
        <w:rPr>
          <w:rFonts w:ascii="Abadi" w:hAnsi="Abadi" w:cs="Calibri"/>
          <w:sz w:val="12"/>
          <w:szCs w:val="12"/>
          <w:lang w:val="es-MX" w:eastAsia="es-MX"/>
        </w:rPr>
        <w:t>Los Estados parte reconocen el derecho del niño a estar protegido contra la explotación</w:t>
      </w:r>
    </w:p>
    <w:p w14:paraId="0D4542F9" w14:textId="77777777" w:rsidR="00D41F57" w:rsidRPr="009176D3" w:rsidRDefault="00D41F57" w:rsidP="009176D3">
      <w:pPr>
        <w:autoSpaceDE w:val="0"/>
        <w:autoSpaceDN w:val="0"/>
        <w:adjustRightInd w:val="0"/>
        <w:jc w:val="both"/>
        <w:rPr>
          <w:rFonts w:ascii="Abadi" w:hAnsi="Abadi" w:cs="Calibri"/>
          <w:sz w:val="12"/>
          <w:szCs w:val="12"/>
          <w:lang w:val="es-MX" w:eastAsia="es-MX"/>
        </w:rPr>
      </w:pPr>
      <w:r w:rsidRPr="009176D3">
        <w:rPr>
          <w:rFonts w:ascii="Abadi" w:hAnsi="Abadi" w:cs="Calibri"/>
          <w:sz w:val="12"/>
          <w:szCs w:val="12"/>
          <w:lang w:val="es-MX" w:eastAsia="es-MX"/>
        </w:rPr>
        <w:t>económica y contra el desempeño de cualquier trabajo que pueda ser peligroso o entorpecer su</w:t>
      </w:r>
    </w:p>
    <w:p w14:paraId="35271144" w14:textId="77777777" w:rsidR="00D41F57" w:rsidRPr="009176D3" w:rsidRDefault="00D41F57" w:rsidP="009176D3">
      <w:pPr>
        <w:autoSpaceDE w:val="0"/>
        <w:autoSpaceDN w:val="0"/>
        <w:adjustRightInd w:val="0"/>
        <w:jc w:val="both"/>
        <w:rPr>
          <w:rFonts w:ascii="Abadi" w:hAnsi="Abadi" w:cs="Calibri"/>
          <w:sz w:val="12"/>
          <w:szCs w:val="12"/>
          <w:lang w:val="es-MX" w:eastAsia="es-MX"/>
        </w:rPr>
      </w:pPr>
      <w:r w:rsidRPr="009176D3">
        <w:rPr>
          <w:rFonts w:ascii="Abadi" w:hAnsi="Abadi" w:cs="Calibri"/>
          <w:sz w:val="12"/>
          <w:szCs w:val="12"/>
          <w:lang w:val="es-MX" w:eastAsia="es-MX"/>
        </w:rPr>
        <w:t>educación, o que sea nocivo para su salud o para su desarrollo físico, mental, espiritual, moral o</w:t>
      </w:r>
    </w:p>
    <w:p w14:paraId="36CE2A22" w14:textId="77777777" w:rsidR="00D41F57" w:rsidRPr="009176D3" w:rsidRDefault="00D41F57" w:rsidP="009176D3">
      <w:pPr>
        <w:autoSpaceDE w:val="0"/>
        <w:autoSpaceDN w:val="0"/>
        <w:adjustRightInd w:val="0"/>
        <w:jc w:val="both"/>
        <w:rPr>
          <w:rFonts w:ascii="Abadi" w:hAnsi="Abadi" w:cs="Calibri"/>
          <w:sz w:val="12"/>
          <w:szCs w:val="12"/>
          <w:lang w:val="es-MX" w:eastAsia="es-MX"/>
        </w:rPr>
      </w:pPr>
      <w:r w:rsidRPr="009176D3">
        <w:rPr>
          <w:rFonts w:ascii="Abadi" w:hAnsi="Abadi" w:cs="Calibri"/>
          <w:sz w:val="12"/>
          <w:szCs w:val="12"/>
          <w:lang w:val="es-MX" w:eastAsia="es-MX"/>
        </w:rPr>
        <w:t>social.</w:t>
      </w:r>
    </w:p>
    <w:p w14:paraId="1E331852" w14:textId="77777777" w:rsidR="00D41F57" w:rsidRPr="009176D3" w:rsidRDefault="00D41F57" w:rsidP="009176D3">
      <w:pPr>
        <w:autoSpaceDE w:val="0"/>
        <w:autoSpaceDN w:val="0"/>
        <w:adjustRightInd w:val="0"/>
        <w:jc w:val="both"/>
        <w:rPr>
          <w:rFonts w:ascii="Abadi" w:hAnsi="Abadi" w:cs="Calibri"/>
          <w:sz w:val="12"/>
          <w:szCs w:val="12"/>
          <w:lang w:val="es-MX" w:eastAsia="es-MX"/>
        </w:rPr>
      </w:pPr>
      <w:r w:rsidRPr="009176D3">
        <w:rPr>
          <w:rFonts w:ascii="Abadi" w:hAnsi="Abadi" w:cs="Calibri-Bold"/>
          <w:b/>
          <w:bCs/>
          <w:sz w:val="12"/>
          <w:szCs w:val="12"/>
          <w:lang w:val="es-MX" w:eastAsia="es-MX"/>
        </w:rPr>
        <w:t xml:space="preserve">2. </w:t>
      </w:r>
      <w:r w:rsidRPr="009176D3">
        <w:rPr>
          <w:rFonts w:ascii="Abadi" w:hAnsi="Abadi" w:cs="Calibri"/>
          <w:sz w:val="12"/>
          <w:szCs w:val="12"/>
          <w:lang w:val="es-MX" w:eastAsia="es-MX"/>
        </w:rPr>
        <w:t>Los Estados parte adoptarán medidas legislativas administrativas, sociales y educacionales</w:t>
      </w:r>
    </w:p>
    <w:p w14:paraId="2938BD95" w14:textId="77777777" w:rsidR="00D41F57" w:rsidRPr="009176D3" w:rsidRDefault="00D41F57" w:rsidP="009176D3">
      <w:pPr>
        <w:autoSpaceDE w:val="0"/>
        <w:autoSpaceDN w:val="0"/>
        <w:adjustRightInd w:val="0"/>
        <w:jc w:val="both"/>
        <w:rPr>
          <w:rFonts w:ascii="Abadi" w:hAnsi="Abadi" w:cs="Calibri"/>
          <w:sz w:val="12"/>
          <w:szCs w:val="12"/>
          <w:lang w:val="es-MX" w:eastAsia="es-MX"/>
        </w:rPr>
      </w:pPr>
      <w:r w:rsidRPr="009176D3">
        <w:rPr>
          <w:rFonts w:ascii="Abadi" w:hAnsi="Abadi" w:cs="Calibri"/>
          <w:sz w:val="12"/>
          <w:szCs w:val="12"/>
          <w:lang w:val="es-MX" w:eastAsia="es-MX"/>
        </w:rPr>
        <w:t>para garantizar la aplicación del presente artículo. Con ese propósito y teniendo en cuenta las</w:t>
      </w:r>
    </w:p>
    <w:p w14:paraId="00CDD506" w14:textId="77777777" w:rsidR="00D41F57" w:rsidRPr="009176D3" w:rsidRDefault="00D41F57" w:rsidP="009176D3">
      <w:pPr>
        <w:autoSpaceDE w:val="0"/>
        <w:autoSpaceDN w:val="0"/>
        <w:adjustRightInd w:val="0"/>
        <w:jc w:val="both"/>
        <w:rPr>
          <w:rFonts w:ascii="Abadi" w:hAnsi="Abadi" w:cs="Calibri"/>
          <w:sz w:val="12"/>
          <w:szCs w:val="12"/>
          <w:lang w:val="es-MX" w:eastAsia="es-MX"/>
        </w:rPr>
      </w:pPr>
      <w:r w:rsidRPr="009176D3">
        <w:rPr>
          <w:rFonts w:ascii="Abadi" w:hAnsi="Abadi" w:cs="Calibri"/>
          <w:sz w:val="12"/>
          <w:szCs w:val="12"/>
          <w:lang w:val="es-MX" w:eastAsia="es-MX"/>
        </w:rPr>
        <w:t>disposiciones pertinentes de otros instrumentos internacionales, los Estados parte, en particular,</w:t>
      </w:r>
    </w:p>
    <w:p w14:paraId="7371FD20" w14:textId="77777777" w:rsidR="00D41F57" w:rsidRPr="009176D3" w:rsidRDefault="00D41F57" w:rsidP="009176D3">
      <w:pPr>
        <w:autoSpaceDE w:val="0"/>
        <w:autoSpaceDN w:val="0"/>
        <w:adjustRightInd w:val="0"/>
        <w:jc w:val="both"/>
        <w:rPr>
          <w:rFonts w:ascii="Abadi" w:hAnsi="Abadi" w:cs="Calibri"/>
          <w:sz w:val="12"/>
          <w:szCs w:val="12"/>
          <w:lang w:val="es-MX" w:eastAsia="es-MX"/>
        </w:rPr>
      </w:pPr>
      <w:r w:rsidRPr="009176D3">
        <w:rPr>
          <w:rFonts w:ascii="Abadi" w:hAnsi="Abadi" w:cs="Calibri"/>
          <w:sz w:val="12"/>
          <w:szCs w:val="12"/>
          <w:lang w:val="es-MX" w:eastAsia="es-MX"/>
        </w:rPr>
        <w:t>a) Fijarán una edad o edades mínimas para trabajar; b) Dispondrán la reglamentación apropiada</w:t>
      </w:r>
    </w:p>
    <w:p w14:paraId="7708AC6F" w14:textId="77777777" w:rsidR="00D41F57" w:rsidRPr="009176D3" w:rsidRDefault="00D41F57" w:rsidP="009176D3">
      <w:pPr>
        <w:autoSpaceDE w:val="0"/>
        <w:autoSpaceDN w:val="0"/>
        <w:adjustRightInd w:val="0"/>
        <w:jc w:val="both"/>
        <w:rPr>
          <w:rFonts w:ascii="Abadi" w:hAnsi="Abadi" w:cs="Calibri"/>
          <w:sz w:val="12"/>
          <w:szCs w:val="12"/>
          <w:lang w:val="es-MX" w:eastAsia="es-MX"/>
        </w:rPr>
      </w:pPr>
      <w:r w:rsidRPr="009176D3">
        <w:rPr>
          <w:rFonts w:ascii="Abadi" w:hAnsi="Abadi" w:cs="Calibri"/>
          <w:sz w:val="12"/>
          <w:szCs w:val="12"/>
          <w:lang w:val="es-MX" w:eastAsia="es-MX"/>
        </w:rPr>
        <w:t>de los horarios y condiciones de trabajo; c) Estipularán las penalidades u otras sanciones</w:t>
      </w:r>
    </w:p>
    <w:p w14:paraId="22CC14CA" w14:textId="77777777" w:rsidR="00D41F57" w:rsidRPr="009176D3" w:rsidRDefault="00D41F57" w:rsidP="009176D3">
      <w:pPr>
        <w:autoSpaceDE w:val="0"/>
        <w:autoSpaceDN w:val="0"/>
        <w:adjustRightInd w:val="0"/>
        <w:jc w:val="both"/>
        <w:rPr>
          <w:rFonts w:ascii="Abadi" w:hAnsi="Abadi" w:cs="Calibri"/>
          <w:sz w:val="12"/>
          <w:szCs w:val="12"/>
          <w:lang w:val="es-MX" w:eastAsia="es-MX"/>
        </w:rPr>
      </w:pPr>
      <w:r w:rsidRPr="009176D3">
        <w:rPr>
          <w:rFonts w:ascii="Abadi" w:hAnsi="Abadi" w:cs="Calibri"/>
          <w:sz w:val="12"/>
          <w:szCs w:val="12"/>
          <w:lang w:val="es-MX" w:eastAsia="es-MX"/>
        </w:rPr>
        <w:t>apropiadas para asegurar la aplicación efectiva del presente artículo.</w:t>
      </w:r>
    </w:p>
    <w:p w14:paraId="0A46439B" w14:textId="77777777" w:rsidR="00D41F57" w:rsidRPr="009176D3" w:rsidRDefault="00D41F57" w:rsidP="009176D3">
      <w:pPr>
        <w:autoSpaceDE w:val="0"/>
        <w:autoSpaceDN w:val="0"/>
        <w:adjustRightInd w:val="0"/>
        <w:jc w:val="both"/>
        <w:rPr>
          <w:rFonts w:ascii="Abadi" w:hAnsi="Abadi" w:cs="Calibri"/>
          <w:sz w:val="12"/>
          <w:szCs w:val="12"/>
          <w:lang w:val="es-MX" w:eastAsia="es-MX"/>
        </w:rPr>
      </w:pPr>
      <w:r w:rsidRPr="009176D3">
        <w:rPr>
          <w:rFonts w:ascii="Abadi" w:hAnsi="Abadi" w:cs="Calibri-Bold"/>
          <w:b/>
          <w:bCs/>
          <w:sz w:val="12"/>
          <w:szCs w:val="12"/>
          <w:lang w:val="es-MX" w:eastAsia="es-MX"/>
        </w:rPr>
        <w:t xml:space="preserve">Artículo 34: </w:t>
      </w:r>
      <w:r w:rsidRPr="009176D3">
        <w:rPr>
          <w:rFonts w:ascii="Abadi" w:hAnsi="Abadi" w:cs="Calibri"/>
          <w:sz w:val="12"/>
          <w:szCs w:val="12"/>
          <w:lang w:val="es-MX" w:eastAsia="es-MX"/>
        </w:rPr>
        <w:t>Los Estados parte se comprometen a proteger al niño contra todas las formas de</w:t>
      </w:r>
    </w:p>
    <w:p w14:paraId="449C49F4" w14:textId="77777777" w:rsidR="00D41F57" w:rsidRPr="009176D3" w:rsidRDefault="00D41F57" w:rsidP="009176D3">
      <w:pPr>
        <w:autoSpaceDE w:val="0"/>
        <w:autoSpaceDN w:val="0"/>
        <w:adjustRightInd w:val="0"/>
        <w:jc w:val="both"/>
        <w:rPr>
          <w:rFonts w:ascii="Abadi" w:hAnsi="Abadi" w:cs="Calibri"/>
          <w:sz w:val="12"/>
          <w:szCs w:val="12"/>
          <w:lang w:val="es-MX" w:eastAsia="es-MX"/>
        </w:rPr>
      </w:pPr>
      <w:r w:rsidRPr="009176D3">
        <w:rPr>
          <w:rFonts w:ascii="Abadi" w:hAnsi="Abadi" w:cs="Calibri"/>
          <w:sz w:val="12"/>
          <w:szCs w:val="12"/>
          <w:lang w:val="es-MX" w:eastAsia="es-MX"/>
        </w:rPr>
        <w:t>explotación y abuso sexuales. Con este fin, los Estados parte tomarán en particular, todas las</w:t>
      </w:r>
    </w:p>
    <w:p w14:paraId="3ACDFBC5" w14:textId="77777777" w:rsidR="00D41F57" w:rsidRPr="009176D3" w:rsidRDefault="00D41F57" w:rsidP="009176D3">
      <w:pPr>
        <w:autoSpaceDE w:val="0"/>
        <w:autoSpaceDN w:val="0"/>
        <w:adjustRightInd w:val="0"/>
        <w:jc w:val="both"/>
        <w:rPr>
          <w:rFonts w:ascii="Abadi" w:hAnsi="Abadi" w:cs="Calibri"/>
          <w:sz w:val="12"/>
          <w:szCs w:val="12"/>
          <w:lang w:val="es-MX" w:eastAsia="es-MX"/>
        </w:rPr>
      </w:pPr>
      <w:r w:rsidRPr="009176D3">
        <w:rPr>
          <w:rFonts w:ascii="Abadi" w:hAnsi="Abadi" w:cs="Calibri"/>
          <w:sz w:val="12"/>
          <w:szCs w:val="12"/>
          <w:lang w:val="es-MX" w:eastAsia="es-MX"/>
        </w:rPr>
        <w:t>medidas de carácter nacional, bilateral y multilateral que sean necesarias para impedir.</w:t>
      </w:r>
    </w:p>
    <w:p w14:paraId="0B407E26" w14:textId="77777777" w:rsidR="00D41F57" w:rsidRPr="009176D3" w:rsidRDefault="00D41F57" w:rsidP="009176D3">
      <w:pPr>
        <w:autoSpaceDE w:val="0"/>
        <w:autoSpaceDN w:val="0"/>
        <w:adjustRightInd w:val="0"/>
        <w:jc w:val="both"/>
        <w:rPr>
          <w:rFonts w:ascii="Abadi" w:hAnsi="Abadi" w:cs="Calibri"/>
          <w:sz w:val="12"/>
          <w:szCs w:val="12"/>
          <w:lang w:val="es-MX" w:eastAsia="es-MX"/>
        </w:rPr>
      </w:pPr>
      <w:r w:rsidRPr="009176D3">
        <w:rPr>
          <w:rFonts w:ascii="Abadi" w:hAnsi="Abadi" w:cs="Calibri"/>
          <w:sz w:val="12"/>
          <w:szCs w:val="12"/>
          <w:lang w:val="es-MX" w:eastAsia="es-MX"/>
        </w:rPr>
        <w:t>a) La incitación o la coacción para que un niño se dedique a cualquier actividad sexual ilegal;</w:t>
      </w:r>
    </w:p>
    <w:p w14:paraId="44343984" w14:textId="77777777" w:rsidR="00D41F57" w:rsidRPr="009176D3" w:rsidRDefault="00D41F57" w:rsidP="009176D3">
      <w:pPr>
        <w:autoSpaceDE w:val="0"/>
        <w:autoSpaceDN w:val="0"/>
        <w:adjustRightInd w:val="0"/>
        <w:jc w:val="both"/>
        <w:rPr>
          <w:rFonts w:ascii="Abadi" w:hAnsi="Abadi" w:cs="Calibri"/>
          <w:sz w:val="12"/>
          <w:szCs w:val="12"/>
          <w:lang w:val="es-MX" w:eastAsia="es-MX"/>
        </w:rPr>
      </w:pPr>
      <w:r w:rsidRPr="009176D3">
        <w:rPr>
          <w:rFonts w:ascii="Abadi" w:hAnsi="Abadi" w:cs="Calibri"/>
          <w:sz w:val="12"/>
          <w:szCs w:val="12"/>
          <w:lang w:val="es-MX" w:eastAsia="es-MX"/>
        </w:rPr>
        <w:t>b) La explotación del niño en la prostitución u otras prácticas sexuales ilegales; y</w:t>
      </w:r>
    </w:p>
    <w:p w14:paraId="228F6242" w14:textId="77777777" w:rsidR="00D41F57" w:rsidRPr="009176D3" w:rsidRDefault="00D41F57" w:rsidP="009176D3">
      <w:pPr>
        <w:autoSpaceDE w:val="0"/>
        <w:autoSpaceDN w:val="0"/>
        <w:adjustRightInd w:val="0"/>
        <w:jc w:val="both"/>
        <w:rPr>
          <w:rFonts w:ascii="Abadi" w:hAnsi="Abadi" w:cs="Calibri"/>
          <w:sz w:val="12"/>
          <w:szCs w:val="12"/>
          <w:lang w:val="es-MX" w:eastAsia="es-MX"/>
        </w:rPr>
      </w:pPr>
      <w:r w:rsidRPr="009176D3">
        <w:rPr>
          <w:rFonts w:ascii="Abadi" w:hAnsi="Abadi" w:cs="Calibri"/>
          <w:sz w:val="12"/>
          <w:szCs w:val="12"/>
          <w:lang w:val="es-MX" w:eastAsia="es-MX"/>
        </w:rPr>
        <w:t>c) La explotación del niño en espectáculos o materiales pornográficos.</w:t>
      </w:r>
    </w:p>
    <w:p w14:paraId="31F41433" w14:textId="71B947A1" w:rsidR="00D41F57" w:rsidRPr="009176D3" w:rsidRDefault="00D41F57" w:rsidP="009176D3">
      <w:pPr>
        <w:pStyle w:val="Textonotapie"/>
        <w:jc w:val="both"/>
        <w:rPr>
          <w:rFonts w:ascii="Abadi" w:hAnsi="Abadi"/>
          <w:sz w:val="12"/>
          <w:szCs w:val="12"/>
        </w:rPr>
      </w:pPr>
      <w:r w:rsidRPr="009176D3">
        <w:rPr>
          <w:rFonts w:ascii="Abadi" w:hAnsi="Abadi" w:cs="Calibri"/>
          <w:sz w:val="12"/>
          <w:szCs w:val="12"/>
          <w:lang w:eastAsia="es-MX"/>
        </w:rPr>
        <w:t>Cfr. CDN (un.org) consultado el 17 de junio de 2022 a las 12:19 horas.</w:t>
      </w:r>
    </w:p>
  </w:footnote>
  <w:footnote w:id="20">
    <w:p w14:paraId="26646F34" w14:textId="77777777" w:rsidR="009176D3" w:rsidRPr="009176D3" w:rsidRDefault="009176D3" w:rsidP="00A95DC0">
      <w:pPr>
        <w:autoSpaceDE w:val="0"/>
        <w:autoSpaceDN w:val="0"/>
        <w:adjustRightInd w:val="0"/>
        <w:jc w:val="both"/>
        <w:rPr>
          <w:rFonts w:ascii="Abadi" w:hAnsi="Abadi" w:cs="Calibri"/>
          <w:sz w:val="12"/>
          <w:szCs w:val="12"/>
          <w:lang w:val="es-MX" w:eastAsia="es-MX"/>
        </w:rPr>
      </w:pPr>
      <w:r w:rsidRPr="009176D3">
        <w:rPr>
          <w:rFonts w:ascii="Abadi" w:hAnsi="Abadi" w:cs="Calibri"/>
          <w:sz w:val="12"/>
          <w:szCs w:val="12"/>
          <w:lang w:val="es-MX" w:eastAsia="es-MX"/>
        </w:rPr>
        <w:footnoteRef/>
      </w:r>
      <w:r w:rsidRPr="009176D3">
        <w:rPr>
          <w:rFonts w:ascii="Abadi" w:hAnsi="Abadi" w:cs="Calibri"/>
          <w:sz w:val="12"/>
          <w:szCs w:val="12"/>
          <w:lang w:val="es-MX" w:eastAsia="es-MX"/>
        </w:rPr>
        <w:t xml:space="preserve"> INTERÉS SUPERIOR DE LOS MENORES DE EDAD. NECESIDAD DE UN ESCRUTINIO ESTRICTO</w:t>
      </w:r>
    </w:p>
    <w:p w14:paraId="760AE6CB" w14:textId="77777777" w:rsidR="009176D3" w:rsidRPr="009176D3" w:rsidRDefault="009176D3" w:rsidP="00A95DC0">
      <w:pPr>
        <w:autoSpaceDE w:val="0"/>
        <w:autoSpaceDN w:val="0"/>
        <w:adjustRightInd w:val="0"/>
        <w:jc w:val="both"/>
        <w:rPr>
          <w:rFonts w:ascii="Abadi" w:hAnsi="Abadi" w:cs="Calibri"/>
          <w:sz w:val="12"/>
          <w:szCs w:val="12"/>
          <w:lang w:val="es-MX" w:eastAsia="es-MX"/>
        </w:rPr>
      </w:pPr>
      <w:r w:rsidRPr="009176D3">
        <w:rPr>
          <w:rFonts w:ascii="Abadi" w:hAnsi="Abadi" w:cs="Calibri"/>
          <w:sz w:val="12"/>
          <w:szCs w:val="12"/>
          <w:lang w:val="es-MX" w:eastAsia="es-MX"/>
        </w:rPr>
        <w:t>CUANDO SE AFECTEN SUS INTERESES. Registro digital: 2012592 Instancia: Pleno Décima Época</w:t>
      </w:r>
    </w:p>
    <w:p w14:paraId="1B44EFD6" w14:textId="77777777" w:rsidR="009176D3" w:rsidRPr="009176D3" w:rsidRDefault="009176D3" w:rsidP="00A95DC0">
      <w:pPr>
        <w:autoSpaceDE w:val="0"/>
        <w:autoSpaceDN w:val="0"/>
        <w:adjustRightInd w:val="0"/>
        <w:jc w:val="both"/>
        <w:rPr>
          <w:rFonts w:ascii="Abadi" w:hAnsi="Abadi" w:cs="Calibri"/>
          <w:sz w:val="12"/>
          <w:szCs w:val="12"/>
          <w:lang w:val="es-MX" w:eastAsia="es-MX"/>
        </w:rPr>
      </w:pPr>
      <w:r w:rsidRPr="009176D3">
        <w:rPr>
          <w:rFonts w:ascii="Abadi" w:hAnsi="Abadi" w:cs="Calibri"/>
          <w:sz w:val="12"/>
          <w:szCs w:val="12"/>
          <w:lang w:val="es-MX" w:eastAsia="es-MX"/>
        </w:rPr>
        <w:t>Materias(s): Constitucional Tesis: P./J. 7/2016 (10a.) Fuente: Gaceta del Semanario Judicial de la</w:t>
      </w:r>
    </w:p>
    <w:p w14:paraId="3EB1A269" w14:textId="77777777" w:rsidR="009176D3" w:rsidRPr="009176D3" w:rsidRDefault="009176D3" w:rsidP="00A95DC0">
      <w:pPr>
        <w:autoSpaceDE w:val="0"/>
        <w:autoSpaceDN w:val="0"/>
        <w:adjustRightInd w:val="0"/>
        <w:jc w:val="both"/>
        <w:rPr>
          <w:rFonts w:ascii="Abadi" w:hAnsi="Abadi" w:cs="Calibri"/>
          <w:sz w:val="12"/>
          <w:szCs w:val="12"/>
          <w:lang w:val="es-MX" w:eastAsia="es-MX"/>
        </w:rPr>
      </w:pPr>
      <w:r w:rsidRPr="009176D3">
        <w:rPr>
          <w:rFonts w:ascii="Abadi" w:hAnsi="Abadi" w:cs="Calibri"/>
          <w:sz w:val="12"/>
          <w:szCs w:val="12"/>
          <w:lang w:val="es-MX" w:eastAsia="es-MX"/>
        </w:rPr>
        <w:t>Federación. Libro 34, Septiembre de 2016, Tomo I, página 10 Tipo: Jurisprudencia. Consultada el</w:t>
      </w:r>
    </w:p>
    <w:p w14:paraId="5620D635" w14:textId="3FB05C6D" w:rsidR="009176D3" w:rsidRPr="009176D3" w:rsidRDefault="009176D3" w:rsidP="00A95DC0">
      <w:pPr>
        <w:pStyle w:val="Textonotapie"/>
        <w:jc w:val="both"/>
        <w:rPr>
          <w:rFonts w:ascii="Abadi" w:hAnsi="Abadi" w:cs="Calibri"/>
          <w:sz w:val="12"/>
          <w:szCs w:val="12"/>
          <w:lang w:eastAsia="es-MX"/>
        </w:rPr>
      </w:pPr>
      <w:r w:rsidRPr="009176D3">
        <w:rPr>
          <w:rFonts w:ascii="Abadi" w:hAnsi="Abadi" w:cs="Calibri"/>
          <w:sz w:val="12"/>
          <w:szCs w:val="12"/>
          <w:lang w:eastAsia="es-MX"/>
        </w:rPr>
        <w:t>14 de junio de 2022 a las 11:00 horas.</w:t>
      </w:r>
    </w:p>
  </w:footnote>
  <w:footnote w:id="21">
    <w:p w14:paraId="61CF43AF" w14:textId="77777777" w:rsidR="00316BED" w:rsidRPr="00A95DC0" w:rsidRDefault="00316BED" w:rsidP="00A95DC0">
      <w:pPr>
        <w:autoSpaceDE w:val="0"/>
        <w:autoSpaceDN w:val="0"/>
        <w:adjustRightInd w:val="0"/>
        <w:jc w:val="both"/>
        <w:rPr>
          <w:rFonts w:ascii="Abadi" w:hAnsi="Abadi" w:cs="Calibri"/>
          <w:sz w:val="12"/>
          <w:szCs w:val="12"/>
          <w:lang w:val="es-MX" w:eastAsia="es-MX"/>
        </w:rPr>
      </w:pPr>
      <w:r w:rsidRPr="00A95DC0">
        <w:rPr>
          <w:rFonts w:ascii="Abadi" w:hAnsi="Abadi" w:cs="Calibri"/>
          <w:sz w:val="12"/>
          <w:szCs w:val="12"/>
          <w:lang w:val="es-MX" w:eastAsia="es-MX"/>
        </w:rPr>
        <w:footnoteRef/>
      </w:r>
      <w:r w:rsidRPr="00A95DC0">
        <w:rPr>
          <w:rFonts w:ascii="Abadi" w:hAnsi="Abadi" w:cs="Calibri"/>
          <w:sz w:val="12"/>
          <w:szCs w:val="12"/>
          <w:lang w:val="es-MX" w:eastAsia="es-MX"/>
        </w:rPr>
        <w:t xml:space="preserve"> Cfr. Fracción IV del artículo 22 de la Ley de los Derechos de Niñas, Niños y Adolescentes del</w:t>
      </w:r>
    </w:p>
    <w:p w14:paraId="676479EC" w14:textId="77777777" w:rsidR="00316BED" w:rsidRPr="00A95DC0" w:rsidRDefault="00316BED" w:rsidP="00A95DC0">
      <w:pPr>
        <w:autoSpaceDE w:val="0"/>
        <w:autoSpaceDN w:val="0"/>
        <w:adjustRightInd w:val="0"/>
        <w:jc w:val="both"/>
        <w:rPr>
          <w:rFonts w:ascii="Abadi" w:hAnsi="Abadi" w:cs="Calibri"/>
          <w:sz w:val="12"/>
          <w:szCs w:val="12"/>
          <w:lang w:val="es-MX" w:eastAsia="es-MX"/>
        </w:rPr>
      </w:pPr>
      <w:r w:rsidRPr="00A95DC0">
        <w:rPr>
          <w:rFonts w:ascii="Abadi" w:hAnsi="Abadi" w:cs="Calibri"/>
          <w:sz w:val="12"/>
          <w:szCs w:val="12"/>
          <w:lang w:val="es-MX" w:eastAsia="es-MX"/>
        </w:rPr>
        <w:t>Estado de Guanajuato. LDNNYAEG (congresogto.s3.amazonaws.com) consultado a las 11:11</w:t>
      </w:r>
    </w:p>
    <w:p w14:paraId="26DE080A" w14:textId="14A63B6A" w:rsidR="00316BED" w:rsidRPr="00A95DC0" w:rsidRDefault="00316BED" w:rsidP="00A95DC0">
      <w:pPr>
        <w:pStyle w:val="Textonotapie"/>
        <w:jc w:val="both"/>
        <w:rPr>
          <w:rFonts w:ascii="Abadi" w:hAnsi="Abadi" w:cs="Calibri"/>
          <w:sz w:val="12"/>
          <w:szCs w:val="12"/>
          <w:lang w:eastAsia="es-MX"/>
        </w:rPr>
      </w:pPr>
      <w:r w:rsidRPr="00A95DC0">
        <w:rPr>
          <w:rFonts w:ascii="Abadi" w:hAnsi="Abadi" w:cs="Calibri"/>
          <w:sz w:val="12"/>
          <w:szCs w:val="12"/>
          <w:lang w:eastAsia="es-MX"/>
        </w:rPr>
        <w:t>horas del 17 de junio de 2022.</w:t>
      </w:r>
    </w:p>
  </w:footnote>
  <w:footnote w:id="22">
    <w:p w14:paraId="54BDA969" w14:textId="5A47315D" w:rsidR="00A95DC0" w:rsidRPr="00A95DC0" w:rsidRDefault="00A95DC0" w:rsidP="00A95DC0">
      <w:pPr>
        <w:pStyle w:val="Textonotapie"/>
        <w:jc w:val="both"/>
        <w:rPr>
          <w:rFonts w:ascii="Abadi" w:hAnsi="Abadi" w:cs="Calibri"/>
          <w:sz w:val="12"/>
          <w:szCs w:val="12"/>
          <w:lang w:eastAsia="es-MX"/>
        </w:rPr>
      </w:pPr>
      <w:r w:rsidRPr="00A95DC0">
        <w:rPr>
          <w:rFonts w:ascii="Abadi" w:hAnsi="Abadi" w:cs="Calibri"/>
          <w:sz w:val="12"/>
          <w:szCs w:val="12"/>
          <w:lang w:eastAsia="es-MX"/>
        </w:rPr>
        <w:footnoteRef/>
      </w:r>
      <w:r w:rsidRPr="00A95DC0">
        <w:rPr>
          <w:rFonts w:ascii="Abadi" w:hAnsi="Abadi" w:cs="Calibri"/>
          <w:sz w:val="12"/>
          <w:szCs w:val="12"/>
          <w:lang w:eastAsia="es-MX"/>
        </w:rPr>
        <w:t xml:space="preserve"> </w:t>
      </w:r>
    </w:p>
  </w:footnote>
  <w:footnote w:id="23">
    <w:p w14:paraId="10AC274E" w14:textId="4F1DC021" w:rsidR="00A71897" w:rsidRPr="00A71897" w:rsidRDefault="00A71897">
      <w:pPr>
        <w:pStyle w:val="Textonotapie"/>
        <w:rPr>
          <w:rFonts w:ascii="Abadi" w:hAnsi="Abadi"/>
          <w:sz w:val="12"/>
          <w:szCs w:val="12"/>
        </w:rPr>
      </w:pPr>
      <w:r>
        <w:rPr>
          <w:rStyle w:val="Refdenotaalpie"/>
        </w:rPr>
        <w:footnoteRef/>
      </w:r>
      <w:r>
        <w:t xml:space="preserve"> </w:t>
      </w:r>
      <w:r w:rsidRPr="00A71897">
        <w:rPr>
          <w:rFonts w:ascii="Abadi" w:hAnsi="Abadi"/>
          <w:sz w:val="12"/>
          <w:szCs w:val="12"/>
        </w:rPr>
        <w:t>https://www.infobae.com/america/mexico/2022/06/12/excesivos-horarios-y-labores-peligrosas-mas-de-tres-millones-de-menores-engrosan-el-trabajo-infantil-en-mexico/</w:t>
      </w:r>
    </w:p>
  </w:footnote>
  <w:footnote w:id="24">
    <w:p w14:paraId="24C72E0D" w14:textId="77777777" w:rsidR="003A09E5" w:rsidRPr="0059146A" w:rsidRDefault="003A09E5" w:rsidP="0059146A">
      <w:pPr>
        <w:autoSpaceDE w:val="0"/>
        <w:autoSpaceDN w:val="0"/>
        <w:adjustRightInd w:val="0"/>
        <w:jc w:val="both"/>
        <w:rPr>
          <w:rFonts w:ascii="Abadi" w:hAnsi="Abadi" w:cs="Amasis MT Pro Light"/>
          <w:sz w:val="12"/>
          <w:szCs w:val="12"/>
          <w:lang w:val="es-MX" w:eastAsia="es-MX"/>
        </w:rPr>
      </w:pPr>
      <w:r w:rsidRPr="0059146A">
        <w:rPr>
          <w:rStyle w:val="Refdenotaalpie"/>
          <w:rFonts w:ascii="Abadi" w:hAnsi="Abadi"/>
          <w:sz w:val="12"/>
          <w:szCs w:val="12"/>
        </w:rPr>
        <w:footnoteRef/>
      </w:r>
      <w:r w:rsidRPr="0059146A">
        <w:rPr>
          <w:rFonts w:ascii="Abadi" w:hAnsi="Abadi"/>
          <w:sz w:val="12"/>
          <w:szCs w:val="12"/>
        </w:rPr>
        <w:t xml:space="preserve"> </w:t>
      </w:r>
      <w:r w:rsidRPr="0059146A">
        <w:rPr>
          <w:rFonts w:ascii="Abadi" w:hAnsi="Abadi" w:cs="Amasis MT Pro Light"/>
          <w:sz w:val="12"/>
          <w:szCs w:val="12"/>
          <w:lang w:val="es-MX" w:eastAsia="es-MX"/>
        </w:rPr>
        <w:t xml:space="preserve">Artículo 1, </w:t>
      </w:r>
      <w:r w:rsidRPr="0059146A">
        <w:rPr>
          <w:rFonts w:ascii="Abadi" w:hAnsi="Abadi" w:cs="Amasis MT Pro Light,Italic"/>
          <w:i/>
          <w:iCs/>
          <w:sz w:val="12"/>
          <w:szCs w:val="12"/>
          <w:lang w:val="es-MX" w:eastAsia="es-MX"/>
        </w:rPr>
        <w:t>Convención sobre los derechos de las personas con discapacidad</w:t>
      </w:r>
      <w:r w:rsidRPr="0059146A">
        <w:rPr>
          <w:rFonts w:ascii="Abadi" w:hAnsi="Abadi" w:cs="Amasis MT Pro Light"/>
          <w:sz w:val="12"/>
          <w:szCs w:val="12"/>
          <w:lang w:val="es-MX" w:eastAsia="es-MX"/>
        </w:rPr>
        <w:t>. Naciones Unidas, disponible en:</w:t>
      </w:r>
    </w:p>
    <w:p w14:paraId="1788F3E4" w14:textId="083E7886" w:rsidR="003A09E5" w:rsidRPr="0059146A" w:rsidRDefault="003A09E5" w:rsidP="0059146A">
      <w:pPr>
        <w:pStyle w:val="Textonotapie"/>
        <w:jc w:val="both"/>
        <w:rPr>
          <w:rFonts w:ascii="Abadi" w:hAnsi="Abadi"/>
          <w:sz w:val="12"/>
          <w:szCs w:val="12"/>
        </w:rPr>
      </w:pPr>
      <w:r w:rsidRPr="0059146A">
        <w:rPr>
          <w:rFonts w:ascii="Abadi" w:hAnsi="Abadi" w:cs="Amasis MT Pro Light"/>
          <w:sz w:val="12"/>
          <w:szCs w:val="12"/>
          <w:lang w:eastAsia="es-MX"/>
        </w:rPr>
        <w:t>https://www.un.org/esa/socdev/enable/documents/tccconvs.pdf</w:t>
      </w:r>
    </w:p>
  </w:footnote>
  <w:footnote w:id="25">
    <w:p w14:paraId="5A802F5B" w14:textId="7BD4CEEC" w:rsidR="00403024" w:rsidRPr="0059146A" w:rsidRDefault="00403024" w:rsidP="0059146A">
      <w:pPr>
        <w:pStyle w:val="Textonotapie"/>
        <w:jc w:val="both"/>
        <w:rPr>
          <w:rFonts w:ascii="Abadi" w:hAnsi="Abadi"/>
          <w:sz w:val="12"/>
          <w:szCs w:val="12"/>
        </w:rPr>
      </w:pPr>
      <w:r w:rsidRPr="0059146A">
        <w:rPr>
          <w:rStyle w:val="Refdenotaalpie"/>
          <w:rFonts w:ascii="Abadi" w:hAnsi="Abadi"/>
          <w:sz w:val="12"/>
          <w:szCs w:val="12"/>
        </w:rPr>
        <w:footnoteRef/>
      </w:r>
      <w:r w:rsidRPr="0059146A">
        <w:rPr>
          <w:rFonts w:ascii="Abadi" w:hAnsi="Abadi"/>
          <w:sz w:val="12"/>
          <w:szCs w:val="12"/>
        </w:rPr>
        <w:t xml:space="preserve"> </w:t>
      </w:r>
      <w:r w:rsidRPr="0059146A">
        <w:rPr>
          <w:rFonts w:ascii="Abadi" w:hAnsi="Abadi" w:cs="Amasis MT Pro Light"/>
          <w:sz w:val="12"/>
          <w:szCs w:val="12"/>
          <w:lang w:eastAsia="es-MX"/>
        </w:rPr>
        <w:t xml:space="preserve">CNDH. (2018). </w:t>
      </w:r>
      <w:r w:rsidRPr="0059146A">
        <w:rPr>
          <w:rFonts w:ascii="Abadi" w:hAnsi="Abadi" w:cs="Amasis MT Pro Light,Italic"/>
          <w:i/>
          <w:iCs/>
          <w:sz w:val="12"/>
          <w:szCs w:val="12"/>
          <w:lang w:eastAsia="es-MX"/>
        </w:rPr>
        <w:t xml:space="preserve">Los principales derechos de las personas con discapacidad. </w:t>
      </w:r>
      <w:r w:rsidRPr="0059146A">
        <w:rPr>
          <w:rFonts w:ascii="Abadi" w:hAnsi="Abadi" w:cs="Amasis MT Pro Light"/>
          <w:sz w:val="12"/>
          <w:szCs w:val="12"/>
          <w:lang w:eastAsia="es-MX"/>
        </w:rPr>
        <w:t>México: CNDH. Pág. 9.</w:t>
      </w:r>
    </w:p>
  </w:footnote>
  <w:footnote w:id="26">
    <w:p w14:paraId="45850A20" w14:textId="77777777" w:rsidR="00A82AE2" w:rsidRPr="0059146A" w:rsidRDefault="00A82AE2" w:rsidP="0059146A">
      <w:pPr>
        <w:autoSpaceDE w:val="0"/>
        <w:autoSpaceDN w:val="0"/>
        <w:adjustRightInd w:val="0"/>
        <w:jc w:val="both"/>
        <w:rPr>
          <w:rFonts w:ascii="Abadi" w:hAnsi="Abadi" w:cs="Amasis MT Pro Light"/>
          <w:sz w:val="12"/>
          <w:szCs w:val="12"/>
          <w:lang w:val="es-MX" w:eastAsia="es-MX"/>
        </w:rPr>
      </w:pPr>
      <w:r w:rsidRPr="0059146A">
        <w:rPr>
          <w:rStyle w:val="Refdenotaalpie"/>
          <w:rFonts w:ascii="Abadi" w:hAnsi="Abadi"/>
          <w:sz w:val="12"/>
          <w:szCs w:val="12"/>
        </w:rPr>
        <w:footnoteRef/>
      </w:r>
      <w:r w:rsidRPr="0059146A">
        <w:rPr>
          <w:rFonts w:ascii="Abadi" w:hAnsi="Abadi"/>
          <w:sz w:val="12"/>
          <w:szCs w:val="12"/>
        </w:rPr>
        <w:t xml:space="preserve"> </w:t>
      </w:r>
      <w:r w:rsidRPr="0059146A">
        <w:rPr>
          <w:rFonts w:ascii="Abadi" w:hAnsi="Abadi" w:cs="Amasis MT Pro Light"/>
          <w:sz w:val="12"/>
          <w:szCs w:val="12"/>
          <w:lang w:val="es-MX" w:eastAsia="es-MX"/>
        </w:rPr>
        <w:t xml:space="preserve">INEGI. (2020). </w:t>
      </w:r>
      <w:r w:rsidRPr="0059146A">
        <w:rPr>
          <w:rFonts w:ascii="Abadi" w:hAnsi="Abadi" w:cs="Amasis MT Pro Light,Italic"/>
          <w:i/>
          <w:iCs/>
          <w:sz w:val="12"/>
          <w:szCs w:val="12"/>
          <w:lang w:val="es-MX" w:eastAsia="es-MX"/>
        </w:rPr>
        <w:t xml:space="preserve">Censo de Población y Vivienda. </w:t>
      </w:r>
      <w:r w:rsidRPr="0059146A">
        <w:rPr>
          <w:rFonts w:ascii="Abadi" w:hAnsi="Abadi" w:cs="Amasis MT Pro Light"/>
          <w:sz w:val="12"/>
          <w:szCs w:val="12"/>
          <w:lang w:val="es-MX" w:eastAsia="es-MX"/>
        </w:rPr>
        <w:t>Datos disponibles en:</w:t>
      </w:r>
    </w:p>
    <w:p w14:paraId="08CDE5B9" w14:textId="1BE24E0F" w:rsidR="00A82AE2" w:rsidRPr="0059146A" w:rsidRDefault="00A82AE2" w:rsidP="0059146A">
      <w:pPr>
        <w:pStyle w:val="Textonotapie"/>
        <w:jc w:val="both"/>
        <w:rPr>
          <w:rFonts w:ascii="Abadi" w:hAnsi="Abadi"/>
          <w:sz w:val="12"/>
          <w:szCs w:val="12"/>
        </w:rPr>
      </w:pPr>
      <w:r w:rsidRPr="0059146A">
        <w:rPr>
          <w:rFonts w:ascii="Abadi" w:hAnsi="Abadi" w:cs="Amasis MT Pro Light"/>
          <w:sz w:val="12"/>
          <w:szCs w:val="12"/>
          <w:lang w:eastAsia="es-MX"/>
        </w:rPr>
        <w:t>https://www.inegi.org.mx/temas/discapacidad/#Informacion_general</w:t>
      </w:r>
    </w:p>
  </w:footnote>
  <w:footnote w:id="27">
    <w:p w14:paraId="551008C1" w14:textId="69A5283D" w:rsidR="00A82AE2" w:rsidRPr="0059146A" w:rsidRDefault="00A82AE2" w:rsidP="0059146A">
      <w:pPr>
        <w:pStyle w:val="Textonotapie"/>
        <w:jc w:val="both"/>
        <w:rPr>
          <w:rFonts w:ascii="Abadi" w:hAnsi="Abadi"/>
          <w:sz w:val="12"/>
          <w:szCs w:val="12"/>
        </w:rPr>
      </w:pPr>
      <w:r w:rsidRPr="0059146A">
        <w:rPr>
          <w:rStyle w:val="Refdenotaalpie"/>
          <w:rFonts w:ascii="Abadi" w:hAnsi="Abadi"/>
          <w:sz w:val="12"/>
          <w:szCs w:val="12"/>
        </w:rPr>
        <w:footnoteRef/>
      </w:r>
      <w:r w:rsidRPr="0059146A">
        <w:rPr>
          <w:rFonts w:ascii="Abadi" w:hAnsi="Abadi"/>
          <w:sz w:val="12"/>
          <w:szCs w:val="12"/>
        </w:rPr>
        <w:t xml:space="preserve"> </w:t>
      </w:r>
      <w:r w:rsidRPr="0059146A">
        <w:rPr>
          <w:rFonts w:ascii="Abadi" w:hAnsi="Abadi" w:cs="Amasis MT Pro Light"/>
          <w:sz w:val="12"/>
          <w:szCs w:val="12"/>
          <w:lang w:eastAsia="es-MX"/>
        </w:rPr>
        <w:t>Artículo 4, Constitución Política de los Estados Unidos Mexicanos. Negritas propias.</w:t>
      </w:r>
    </w:p>
  </w:footnote>
  <w:footnote w:id="28">
    <w:p w14:paraId="044DD8A4" w14:textId="77777777" w:rsidR="00EA6763" w:rsidRPr="0059146A" w:rsidRDefault="00EA6763" w:rsidP="0059146A">
      <w:pPr>
        <w:autoSpaceDE w:val="0"/>
        <w:autoSpaceDN w:val="0"/>
        <w:adjustRightInd w:val="0"/>
        <w:jc w:val="both"/>
        <w:rPr>
          <w:rFonts w:ascii="Abadi" w:hAnsi="Abadi" w:cs="Amasis MT Pro Light"/>
          <w:sz w:val="12"/>
          <w:szCs w:val="12"/>
          <w:lang w:val="es-MX" w:eastAsia="es-MX"/>
        </w:rPr>
      </w:pPr>
      <w:r w:rsidRPr="0059146A">
        <w:rPr>
          <w:rStyle w:val="Refdenotaalpie"/>
          <w:rFonts w:ascii="Abadi" w:hAnsi="Abadi"/>
          <w:sz w:val="12"/>
          <w:szCs w:val="12"/>
        </w:rPr>
        <w:footnoteRef/>
      </w:r>
      <w:r w:rsidRPr="0059146A">
        <w:rPr>
          <w:rFonts w:ascii="Abadi" w:hAnsi="Abadi"/>
          <w:sz w:val="12"/>
          <w:szCs w:val="12"/>
        </w:rPr>
        <w:t xml:space="preserve"> </w:t>
      </w:r>
      <w:r w:rsidRPr="0059146A">
        <w:rPr>
          <w:rFonts w:ascii="Abadi" w:hAnsi="Abadi" w:cs="Amasis MT Pro Light"/>
          <w:sz w:val="12"/>
          <w:szCs w:val="12"/>
          <w:lang w:val="es-MX" w:eastAsia="es-MX"/>
        </w:rPr>
        <w:t xml:space="preserve">Barba, Carlos. (2021). </w:t>
      </w:r>
      <w:r w:rsidRPr="0059146A">
        <w:rPr>
          <w:rFonts w:ascii="Abadi" w:hAnsi="Abadi" w:cs="Amasis MT Pro Light,Italic"/>
          <w:i/>
          <w:iCs/>
          <w:sz w:val="12"/>
          <w:szCs w:val="12"/>
          <w:lang w:val="es-MX" w:eastAsia="es-MX"/>
        </w:rPr>
        <w:t xml:space="preserve">El régimen de bienestar mexicano. Inercias, transformaciones y desafíos. </w:t>
      </w:r>
      <w:r w:rsidRPr="0059146A">
        <w:rPr>
          <w:rFonts w:ascii="Abadi" w:hAnsi="Abadi" w:cs="Amasis MT Pro Light"/>
          <w:sz w:val="12"/>
          <w:szCs w:val="12"/>
          <w:lang w:val="es-MX" w:eastAsia="es-MX"/>
        </w:rPr>
        <w:t>CEPAL: Santiago</w:t>
      </w:r>
    </w:p>
    <w:p w14:paraId="05D4ADC5" w14:textId="397CBFCE" w:rsidR="00EA6763" w:rsidRPr="0059146A" w:rsidRDefault="00EA6763" w:rsidP="0059146A">
      <w:pPr>
        <w:pStyle w:val="Textonotapie"/>
        <w:jc w:val="both"/>
        <w:rPr>
          <w:rFonts w:ascii="Abadi" w:hAnsi="Abadi"/>
          <w:sz w:val="12"/>
          <w:szCs w:val="12"/>
        </w:rPr>
      </w:pPr>
      <w:r w:rsidRPr="0059146A">
        <w:rPr>
          <w:rFonts w:ascii="Abadi" w:hAnsi="Abadi" w:cs="Amasis MT Pro Light"/>
          <w:sz w:val="12"/>
          <w:szCs w:val="12"/>
          <w:lang w:eastAsia="es-MX"/>
        </w:rPr>
        <w:t>de Chile.</w:t>
      </w:r>
    </w:p>
  </w:footnote>
  <w:footnote w:id="29">
    <w:p w14:paraId="6CEE64CB" w14:textId="53244BCC" w:rsidR="007A1E12" w:rsidRPr="0059146A" w:rsidRDefault="007A1E12">
      <w:pPr>
        <w:pStyle w:val="Textonotapie"/>
        <w:rPr>
          <w:rFonts w:ascii="Abadi" w:hAnsi="Abadi"/>
          <w:sz w:val="12"/>
          <w:szCs w:val="12"/>
        </w:rPr>
      </w:pPr>
      <w:r w:rsidRPr="0059146A">
        <w:rPr>
          <w:rStyle w:val="Refdenotaalpie"/>
          <w:rFonts w:ascii="Abadi" w:hAnsi="Abadi"/>
          <w:sz w:val="12"/>
          <w:szCs w:val="12"/>
        </w:rPr>
        <w:footnoteRef/>
      </w:r>
      <w:r w:rsidRPr="0059146A">
        <w:rPr>
          <w:rFonts w:ascii="Abadi" w:hAnsi="Abadi"/>
          <w:sz w:val="12"/>
          <w:szCs w:val="12"/>
        </w:rPr>
        <w:t xml:space="preserve"> </w:t>
      </w:r>
      <w:r w:rsidRPr="0059146A">
        <w:rPr>
          <w:rFonts w:ascii="Abadi" w:hAnsi="Abadi" w:cs="Amasis MT Pro Light"/>
          <w:sz w:val="12"/>
          <w:szCs w:val="12"/>
          <w:lang w:eastAsia="es-MX"/>
        </w:rPr>
        <w:t>Artículo 11, fracción III, Ley de Inclusión para las Personas con Discapacidad en el Estado de Guanajuato.</w:t>
      </w:r>
    </w:p>
  </w:footnote>
  <w:footnote w:id="30">
    <w:p w14:paraId="4CACABD6" w14:textId="2B25915D" w:rsidR="0059146A" w:rsidRPr="0059146A" w:rsidRDefault="0059146A">
      <w:pPr>
        <w:pStyle w:val="Textonotapie"/>
        <w:rPr>
          <w:rFonts w:ascii="Abadi" w:hAnsi="Abadi"/>
          <w:sz w:val="12"/>
          <w:szCs w:val="12"/>
        </w:rPr>
      </w:pPr>
      <w:r w:rsidRPr="0059146A">
        <w:rPr>
          <w:rStyle w:val="Refdenotaalpie"/>
          <w:rFonts w:ascii="Abadi" w:hAnsi="Abadi"/>
          <w:sz w:val="12"/>
          <w:szCs w:val="12"/>
        </w:rPr>
        <w:footnoteRef/>
      </w:r>
      <w:r w:rsidRPr="0059146A">
        <w:rPr>
          <w:rFonts w:ascii="Abadi" w:hAnsi="Abadi"/>
          <w:sz w:val="12"/>
          <w:szCs w:val="12"/>
        </w:rPr>
        <w:t xml:space="preserve"> </w:t>
      </w:r>
      <w:r w:rsidRPr="0059146A">
        <w:rPr>
          <w:rFonts w:ascii="Abadi" w:hAnsi="Abadi" w:cs="Amasis MT Pro Light"/>
          <w:sz w:val="12"/>
          <w:szCs w:val="12"/>
          <w:lang w:eastAsia="es-MX"/>
        </w:rPr>
        <w:t>Artículo 11, fracción IV, Ley de Inclusión para las Personas con Discapacidad en el Estado de Guanajuato</w:t>
      </w:r>
    </w:p>
  </w:footnote>
  <w:footnote w:id="31">
    <w:p w14:paraId="7BF147BE" w14:textId="77777777" w:rsidR="00E65F9A" w:rsidRPr="00F93841" w:rsidRDefault="00E65F9A" w:rsidP="00E65F9A">
      <w:pPr>
        <w:pStyle w:val="Textonotapie"/>
        <w:jc w:val="both"/>
        <w:rPr>
          <w:rFonts w:ascii="Abadi" w:hAnsi="Abadi"/>
          <w:sz w:val="12"/>
          <w:szCs w:val="12"/>
        </w:rPr>
      </w:pPr>
      <w:r w:rsidRPr="00F93841">
        <w:rPr>
          <w:rStyle w:val="Refdenotaalpie"/>
          <w:rFonts w:ascii="Abadi" w:hAnsi="Abadi"/>
          <w:sz w:val="12"/>
          <w:szCs w:val="12"/>
        </w:rPr>
        <w:footnoteRef/>
      </w:r>
      <w:r w:rsidRPr="00F93841">
        <w:rPr>
          <w:rFonts w:ascii="Abadi" w:hAnsi="Abadi"/>
          <w:sz w:val="12"/>
          <w:szCs w:val="12"/>
        </w:rPr>
        <w:t xml:space="preserve"> https://congresogto.s3.amazonaws.com/uploads/orden_archivo/archivo/25724/10__ELD_279_LXV-I_Iniciativa_Dip_Hades_B_Aguilar_-art_35_Ley_de_Bu_squeda_de_Personas__23_JUN_22_.pdf</w:t>
      </w:r>
    </w:p>
  </w:footnote>
  <w:footnote w:id="32">
    <w:p w14:paraId="1E17AED6" w14:textId="1A3D87C8" w:rsidR="002F5A62" w:rsidRDefault="002F5A62">
      <w:pPr>
        <w:pStyle w:val="Textonotapie"/>
      </w:pPr>
      <w:r>
        <w:rPr>
          <w:rStyle w:val="Refdenotaalpie"/>
        </w:rPr>
        <w:footnoteRef/>
      </w:r>
      <w:r>
        <w:t xml:space="preserve"> </w:t>
      </w:r>
      <w:r w:rsidRPr="002F5A62">
        <w:rPr>
          <w:rFonts w:ascii="Abadi" w:hAnsi="Abadi"/>
          <w:sz w:val="12"/>
          <w:szCs w:val="12"/>
        </w:rPr>
        <w:t>Banco Mundial. Consultable en https:llwww.bancomundlal.orqlesltopiclurbsndevelopmentloverview</w:t>
      </w:r>
    </w:p>
  </w:footnote>
  <w:footnote w:id="33">
    <w:p w14:paraId="739D8E05" w14:textId="2626A130" w:rsidR="002F5A62" w:rsidRDefault="002F5A62">
      <w:pPr>
        <w:pStyle w:val="Textonotapie"/>
      </w:pPr>
      <w:r>
        <w:rPr>
          <w:rStyle w:val="Refdenotaalpie"/>
        </w:rPr>
        <w:footnoteRef/>
      </w:r>
      <w:r>
        <w:t xml:space="preserve"> </w:t>
      </w:r>
      <w:r w:rsidRPr="002F5A62">
        <w:rPr>
          <w:rFonts w:ascii="Abadi" w:hAnsi="Abadi"/>
          <w:sz w:val="12"/>
          <w:szCs w:val="12"/>
        </w:rPr>
        <w:t xml:space="preserve">Organización de las Naciones Unidas (ONU). Consultable en </w:t>
      </w:r>
      <w:hyperlink r:id="rId1" w:history="1">
        <w:r w:rsidRPr="002F5A62">
          <w:rPr>
            <w:rStyle w:val="Hipervnculo"/>
            <w:rFonts w:ascii="Abadi" w:hAnsi="Abadi"/>
            <w:sz w:val="12"/>
            <w:szCs w:val="12"/>
          </w:rPr>
          <w:t>https://onuhabitath.org.mx/index.php/tendancias-del-desarrollo-urbano-en-mexico</w:t>
        </w:r>
      </w:hyperlink>
      <w:r w:rsidRPr="002F5A62">
        <w:rPr>
          <w:sz w:val="12"/>
          <w:szCs w:val="12"/>
        </w:rPr>
        <w:t xml:space="preserve"> </w:t>
      </w:r>
    </w:p>
  </w:footnote>
  <w:footnote w:id="34">
    <w:p w14:paraId="3219A985" w14:textId="4AD3F89B" w:rsidR="002F5A62" w:rsidRDefault="002F5A62">
      <w:pPr>
        <w:pStyle w:val="Textonotapie"/>
      </w:pPr>
      <w:r>
        <w:rPr>
          <w:rStyle w:val="Refdenotaalpie"/>
        </w:rPr>
        <w:footnoteRef/>
      </w:r>
      <w:r>
        <w:t xml:space="preserve"> </w:t>
      </w:r>
      <w:r w:rsidRPr="002F5A62">
        <w:rPr>
          <w:rFonts w:ascii="Abadi" w:hAnsi="Abadi"/>
          <w:sz w:val="14"/>
          <w:szCs w:val="14"/>
        </w:rPr>
        <w:t>ldem 2.</w:t>
      </w:r>
    </w:p>
  </w:footnote>
  <w:footnote w:id="35">
    <w:p w14:paraId="70C12694" w14:textId="65EF80EC" w:rsidR="00627650" w:rsidRDefault="00627650">
      <w:pPr>
        <w:pStyle w:val="Textonotapie"/>
      </w:pPr>
      <w:r>
        <w:rPr>
          <w:rStyle w:val="Refdenotaalpie"/>
        </w:rPr>
        <w:footnoteRef/>
      </w:r>
      <w:r>
        <w:t xml:space="preserve"> </w:t>
      </w:r>
      <w:r w:rsidRPr="00627650">
        <w:rPr>
          <w:rFonts w:ascii="Abadi" w:hAnsi="Abadi"/>
          <w:sz w:val="12"/>
          <w:szCs w:val="12"/>
        </w:rPr>
        <w:t>Congreso del Estado de Guanajuato. Compilación legislativa. Ley de Planeación para el Estado de Guanajuato, artículo 10. Consultable en</w:t>
      </w:r>
      <w:r w:rsidRPr="00627650">
        <w:rPr>
          <w:sz w:val="12"/>
          <w:szCs w:val="12"/>
        </w:rPr>
        <w:t xml:space="preserve"> </w:t>
      </w:r>
      <w:r w:rsidRPr="00627650">
        <w:rPr>
          <w:rFonts w:ascii="Abadi" w:hAnsi="Abadi"/>
          <w:sz w:val="12"/>
          <w:szCs w:val="12"/>
        </w:rPr>
        <w:t>https://congresogto.s3.amazonaws.com/uploads/reformalpdf/3050/20181010.pdf.</w:t>
      </w:r>
    </w:p>
  </w:footnote>
  <w:footnote w:id="36">
    <w:p w14:paraId="4F1BA002" w14:textId="52F2181C" w:rsidR="00627650" w:rsidRDefault="00627650">
      <w:pPr>
        <w:pStyle w:val="Textonotapie"/>
      </w:pPr>
      <w:r>
        <w:rPr>
          <w:rStyle w:val="Refdenotaalpie"/>
        </w:rPr>
        <w:footnoteRef/>
      </w:r>
      <w:r>
        <w:t xml:space="preserve"> </w:t>
      </w:r>
      <w:r w:rsidRPr="00627650">
        <w:rPr>
          <w:rFonts w:ascii="Abadi" w:hAnsi="Abadi"/>
          <w:sz w:val="12"/>
          <w:szCs w:val="12"/>
        </w:rPr>
        <w:t xml:space="preserve">Congreso del Estado de Guanajuato. Compilación legislativa. Ley de Planeación para el Estado de Guanajuato, artículo quinto transitorio. Consultable en </w:t>
      </w:r>
      <w:hyperlink r:id="rId2" w:history="1">
        <w:r w:rsidRPr="00627650">
          <w:rPr>
            <w:rStyle w:val="Hipervnculo"/>
            <w:rFonts w:ascii="Abadi" w:hAnsi="Abadi"/>
            <w:sz w:val="12"/>
            <w:szCs w:val="12"/>
          </w:rPr>
          <w:t>https://congresogto.s3.amazonaws.com/uploads/reforma/pdf/3050/20181010.pdf</w:t>
        </w:r>
      </w:hyperlink>
      <w:r w:rsidRPr="00627650">
        <w:rPr>
          <w:rFonts w:ascii="Abadi" w:hAnsi="Abadi"/>
          <w:sz w:val="12"/>
          <w:szCs w:val="12"/>
        </w:rPr>
        <w:t>.</w:t>
      </w:r>
      <w:r w:rsidRPr="00627650">
        <w:rPr>
          <w:sz w:val="12"/>
          <w:szCs w:val="12"/>
        </w:rPr>
        <w:t xml:space="preserve"> </w:t>
      </w:r>
    </w:p>
  </w:footnote>
  <w:footnote w:id="37">
    <w:p w14:paraId="71AE1662" w14:textId="55B8F80A" w:rsidR="00627650" w:rsidRDefault="00627650">
      <w:pPr>
        <w:pStyle w:val="Textonotapie"/>
      </w:pPr>
      <w:r>
        <w:rPr>
          <w:rStyle w:val="Refdenotaalpie"/>
        </w:rPr>
        <w:footnoteRef/>
      </w:r>
      <w:r>
        <w:t xml:space="preserve"> </w:t>
      </w:r>
      <w:r w:rsidRPr="004F2B7B">
        <w:rPr>
          <w:rFonts w:ascii="Abadi" w:hAnsi="Abadi"/>
          <w:sz w:val="12"/>
          <w:szCs w:val="12"/>
        </w:rPr>
        <w:t>Código Territorial para el Estado de Guanajuato y sus Municipios, artículo 1.</w:t>
      </w:r>
    </w:p>
  </w:footnote>
  <w:footnote w:id="38">
    <w:p w14:paraId="4B8548D9" w14:textId="57B59893" w:rsidR="004F2B7B" w:rsidRDefault="004F2B7B">
      <w:pPr>
        <w:pStyle w:val="Textonotapie"/>
      </w:pPr>
      <w:r>
        <w:rPr>
          <w:rStyle w:val="Refdenotaalpie"/>
        </w:rPr>
        <w:footnoteRef/>
      </w:r>
      <w:r>
        <w:t xml:space="preserve"> </w:t>
      </w:r>
      <w:r w:rsidRPr="004F2B7B">
        <w:rPr>
          <w:rFonts w:ascii="Abadi" w:hAnsi="Abadi"/>
          <w:sz w:val="12"/>
          <w:szCs w:val="12"/>
        </w:rPr>
        <w:t xml:space="preserve">Gobierno del Estado de Guanajuato. 4to Informe de Gobierno. Pág. 66. Consultable en </w:t>
      </w:r>
      <w:hyperlink r:id="rId3" w:history="1">
        <w:r w:rsidRPr="004F2B7B">
          <w:rPr>
            <w:rStyle w:val="Hipervnculo"/>
            <w:rFonts w:ascii="Abadi" w:hAnsi="Abadi"/>
            <w:sz w:val="12"/>
            <w:szCs w:val="12"/>
          </w:rPr>
          <w:t>https://4toinformeds.guanajuato.gob.mx</w:t>
        </w:r>
      </w:hyperlink>
      <w:r w:rsidRPr="004F2B7B">
        <w:rPr>
          <w:sz w:val="12"/>
          <w:szCs w:val="12"/>
        </w:rPr>
        <w:t xml:space="preserve"> </w:t>
      </w:r>
    </w:p>
  </w:footnote>
  <w:footnote w:id="39">
    <w:p w14:paraId="4EBE9799" w14:textId="77777777" w:rsidR="002E6E31" w:rsidRPr="004603AF" w:rsidRDefault="002E6E31" w:rsidP="004603AF">
      <w:pPr>
        <w:autoSpaceDE w:val="0"/>
        <w:autoSpaceDN w:val="0"/>
        <w:adjustRightInd w:val="0"/>
        <w:jc w:val="both"/>
        <w:rPr>
          <w:rFonts w:ascii="Abadi" w:hAnsi="Abadi" w:cs="*Calibri-9826-Identity-H"/>
          <w:color w:val="3B6F8C"/>
          <w:sz w:val="12"/>
          <w:szCs w:val="12"/>
          <w:lang w:val="es-MX" w:eastAsia="es-MX"/>
        </w:rPr>
      </w:pPr>
      <w:r w:rsidRPr="004603AF">
        <w:rPr>
          <w:rStyle w:val="Refdenotaalpie"/>
          <w:rFonts w:ascii="Abadi" w:hAnsi="Abadi"/>
          <w:sz w:val="12"/>
          <w:szCs w:val="12"/>
        </w:rPr>
        <w:footnoteRef/>
      </w:r>
      <w:r w:rsidRPr="004603AF">
        <w:rPr>
          <w:rFonts w:ascii="Abadi" w:hAnsi="Abadi"/>
          <w:sz w:val="12"/>
          <w:szCs w:val="12"/>
        </w:rPr>
        <w:t xml:space="preserve"> </w:t>
      </w:r>
      <w:r w:rsidRPr="004603AF">
        <w:rPr>
          <w:rFonts w:ascii="Abadi" w:hAnsi="Abadi" w:cs="*Calibri-9826-Identity-H"/>
          <w:color w:val="3B6F8C"/>
          <w:sz w:val="12"/>
          <w:szCs w:val="12"/>
          <w:lang w:val="es-MX" w:eastAsia="es-MX"/>
        </w:rPr>
        <w:t xml:space="preserve">https </w:t>
      </w:r>
      <w:r w:rsidRPr="004603AF">
        <w:rPr>
          <w:rFonts w:ascii="Abadi" w:hAnsi="Abadi" w:cs="*Microsoft Sans Serif-Bold-9830"/>
          <w:b/>
          <w:bCs/>
          <w:color w:val="4C5060"/>
          <w:sz w:val="12"/>
          <w:szCs w:val="12"/>
          <w:lang w:val="es-MX" w:eastAsia="es-MX"/>
        </w:rPr>
        <w:t>:</w:t>
      </w:r>
      <w:r w:rsidRPr="004603AF">
        <w:rPr>
          <w:rFonts w:ascii="Abadi" w:hAnsi="Abadi" w:cs="*Microsoft Sans Serif-Bold-9830"/>
          <w:b/>
          <w:bCs/>
          <w:color w:val="3B6F8C"/>
          <w:sz w:val="12"/>
          <w:szCs w:val="12"/>
          <w:lang w:val="es-MX" w:eastAsia="es-MX"/>
        </w:rPr>
        <w:t>ijw</w:t>
      </w:r>
      <w:r w:rsidRPr="004603AF">
        <w:rPr>
          <w:rFonts w:ascii="Abadi" w:hAnsi="Abadi" w:cs="*Microsoft Sans Serif-Bold-9830"/>
          <w:b/>
          <w:bCs/>
          <w:color w:val="2D5F85"/>
          <w:sz w:val="12"/>
          <w:szCs w:val="12"/>
          <w:lang w:val="es-MX" w:eastAsia="es-MX"/>
        </w:rPr>
        <w:t>w</w:t>
      </w:r>
      <w:r w:rsidRPr="004603AF">
        <w:rPr>
          <w:rFonts w:ascii="Abadi" w:hAnsi="Abadi" w:cs="*Microsoft Sans Serif-Bold-9830"/>
          <w:b/>
          <w:bCs/>
          <w:color w:val="3B6F8C"/>
          <w:sz w:val="12"/>
          <w:szCs w:val="12"/>
          <w:lang w:val="es-MX" w:eastAsia="es-MX"/>
        </w:rPr>
        <w:t xml:space="preserve">w </w:t>
      </w:r>
      <w:r w:rsidRPr="004603AF">
        <w:rPr>
          <w:rFonts w:ascii="Abadi" w:hAnsi="Abadi" w:cs="*Calibri-9826-Identity-H"/>
          <w:color w:val="5C6064"/>
          <w:sz w:val="12"/>
          <w:szCs w:val="12"/>
          <w:lang w:val="es-MX" w:eastAsia="es-MX"/>
        </w:rPr>
        <w:t>.</w:t>
      </w:r>
      <w:r w:rsidRPr="004603AF">
        <w:rPr>
          <w:rFonts w:ascii="Abadi" w:hAnsi="Abadi" w:cs="*Calibri-9826-Identity-H"/>
          <w:color w:val="51727B"/>
          <w:sz w:val="12"/>
          <w:szCs w:val="12"/>
          <w:lang w:val="es-MX" w:eastAsia="es-MX"/>
        </w:rPr>
        <w:t>2</w:t>
      </w:r>
      <w:r w:rsidRPr="004603AF">
        <w:rPr>
          <w:rFonts w:ascii="Abadi" w:hAnsi="Abadi" w:cs="*Calibri-9826-Identity-H"/>
          <w:color w:val="2D5F85"/>
          <w:sz w:val="12"/>
          <w:szCs w:val="12"/>
          <w:lang w:val="es-MX" w:eastAsia="es-MX"/>
        </w:rPr>
        <w:t xml:space="preserve">0ml </w:t>
      </w:r>
      <w:r w:rsidRPr="004603AF">
        <w:rPr>
          <w:rFonts w:ascii="Abadi" w:hAnsi="Abadi" w:cs="*Calibri-9826-Identity-H"/>
          <w:color w:val="3B6F8C"/>
          <w:sz w:val="12"/>
          <w:szCs w:val="12"/>
          <w:lang w:val="es-MX" w:eastAsia="es-MX"/>
        </w:rPr>
        <w:t xml:space="preserve">nutos </w:t>
      </w:r>
      <w:r w:rsidRPr="004603AF">
        <w:rPr>
          <w:rFonts w:ascii="Abadi" w:hAnsi="Abadi" w:cs="*Calibri-9826-Identity-H"/>
          <w:color w:val="51727B"/>
          <w:sz w:val="12"/>
          <w:szCs w:val="12"/>
          <w:lang w:val="es-MX" w:eastAsia="es-MX"/>
        </w:rPr>
        <w:t>.</w:t>
      </w:r>
      <w:r w:rsidRPr="004603AF">
        <w:rPr>
          <w:rFonts w:ascii="Abadi" w:hAnsi="Abadi" w:cs="*Calibri-9826-Identity-H"/>
          <w:color w:val="3B6F8C"/>
          <w:sz w:val="12"/>
          <w:szCs w:val="12"/>
          <w:lang w:val="es-MX" w:eastAsia="es-MX"/>
        </w:rPr>
        <w:t xml:space="preserve">com </w:t>
      </w:r>
      <w:r w:rsidRPr="004603AF">
        <w:rPr>
          <w:rFonts w:ascii="Abadi" w:hAnsi="Abadi" w:cs="*Calibri-9826-Identity-H"/>
          <w:color w:val="34544C"/>
          <w:sz w:val="12"/>
          <w:szCs w:val="12"/>
          <w:lang w:val="es-MX" w:eastAsia="es-MX"/>
        </w:rPr>
        <w:t>.</w:t>
      </w:r>
      <w:r w:rsidRPr="004603AF">
        <w:rPr>
          <w:rFonts w:ascii="Abadi" w:hAnsi="Abadi" w:cs="*Calibri-9826-Identity-H"/>
          <w:color w:val="2D5F85"/>
          <w:sz w:val="12"/>
          <w:szCs w:val="12"/>
          <w:lang w:val="es-MX" w:eastAsia="es-MX"/>
        </w:rPr>
        <w:t>m</w:t>
      </w:r>
      <w:r w:rsidRPr="004603AF">
        <w:rPr>
          <w:rFonts w:ascii="Abadi" w:hAnsi="Abadi" w:cs="*Calibri-9826-Identity-H"/>
          <w:color w:val="3B6F8C"/>
          <w:sz w:val="12"/>
          <w:szCs w:val="12"/>
          <w:lang w:val="es-MX" w:eastAsia="es-MX"/>
        </w:rPr>
        <w:t>x</w:t>
      </w:r>
      <w:r w:rsidRPr="004603AF">
        <w:rPr>
          <w:rFonts w:ascii="Abadi" w:hAnsi="Abadi" w:cs="*Calibri-9826-Identity-H"/>
          <w:color w:val="4A7E95"/>
          <w:sz w:val="12"/>
          <w:szCs w:val="12"/>
          <w:lang w:val="es-MX" w:eastAsia="es-MX"/>
        </w:rPr>
        <w:t>/</w:t>
      </w:r>
      <w:r w:rsidRPr="004603AF">
        <w:rPr>
          <w:rFonts w:ascii="Abadi" w:hAnsi="Abadi" w:cs="*Calibri-9826-Identity-H"/>
          <w:color w:val="3B6F8C"/>
          <w:sz w:val="12"/>
          <w:szCs w:val="12"/>
          <w:lang w:val="es-MX" w:eastAsia="es-MX"/>
        </w:rPr>
        <w:t xml:space="preserve">not </w:t>
      </w:r>
      <w:r w:rsidRPr="004603AF">
        <w:rPr>
          <w:rFonts w:ascii="Abadi" w:hAnsi="Abadi" w:cs="*Calibri-9826-Identity-H"/>
          <w:color w:val="20406C"/>
          <w:sz w:val="12"/>
          <w:szCs w:val="12"/>
          <w:lang w:val="es-MX" w:eastAsia="es-MX"/>
        </w:rPr>
        <w:t>i</w:t>
      </w:r>
      <w:r w:rsidRPr="004603AF">
        <w:rPr>
          <w:rFonts w:ascii="Abadi" w:hAnsi="Abadi" w:cs="*Calibri-9826-Identity-H"/>
          <w:color w:val="51727B"/>
          <w:sz w:val="12"/>
          <w:szCs w:val="12"/>
          <w:lang w:val="es-MX" w:eastAsia="es-MX"/>
        </w:rPr>
        <w:t>c</w:t>
      </w:r>
      <w:r w:rsidRPr="004603AF">
        <w:rPr>
          <w:rFonts w:ascii="Abadi" w:hAnsi="Abadi" w:cs="*Calibri-9826-Identity-H"/>
          <w:color w:val="3B6F8C"/>
          <w:sz w:val="12"/>
          <w:szCs w:val="12"/>
          <w:lang w:val="es-MX" w:eastAsia="es-MX"/>
        </w:rPr>
        <w:t xml:space="preserve">ia </w:t>
      </w:r>
      <w:r w:rsidRPr="004603AF">
        <w:rPr>
          <w:rFonts w:ascii="Abadi" w:hAnsi="Abadi" w:cs="*Calibri-9826-Identity-H"/>
          <w:color w:val="4A7E95"/>
          <w:sz w:val="12"/>
          <w:szCs w:val="12"/>
          <w:lang w:val="es-MX" w:eastAsia="es-MX"/>
        </w:rPr>
        <w:t xml:space="preserve">/2 </w:t>
      </w:r>
      <w:r w:rsidRPr="004603AF">
        <w:rPr>
          <w:rFonts w:ascii="Abadi" w:hAnsi="Abadi" w:cs="*Calibri-9826-Identity-H"/>
          <w:color w:val="3B6F8C"/>
          <w:sz w:val="12"/>
          <w:szCs w:val="12"/>
          <w:lang w:val="es-MX" w:eastAsia="es-MX"/>
        </w:rPr>
        <w:t>690</w:t>
      </w:r>
      <w:r w:rsidRPr="004603AF">
        <w:rPr>
          <w:rFonts w:ascii="Abadi" w:hAnsi="Abadi" w:cs="*Calibri-9826-Identity-H"/>
          <w:color w:val="4A7E95"/>
          <w:sz w:val="12"/>
          <w:szCs w:val="12"/>
          <w:lang w:val="es-MX" w:eastAsia="es-MX"/>
        </w:rPr>
        <w:t xml:space="preserve">3 </w:t>
      </w:r>
      <w:r w:rsidRPr="004603AF">
        <w:rPr>
          <w:rFonts w:ascii="Abadi" w:hAnsi="Abadi" w:cs="*Calibri-9826-Identity-H"/>
          <w:color w:val="2D5F85"/>
          <w:sz w:val="12"/>
          <w:szCs w:val="12"/>
          <w:lang w:val="es-MX" w:eastAsia="es-MX"/>
        </w:rPr>
        <w:t xml:space="preserve">7 </w:t>
      </w:r>
      <w:r w:rsidRPr="004603AF">
        <w:rPr>
          <w:rFonts w:ascii="Abadi" w:hAnsi="Abadi" w:cs="*Calibri-9826-Identity-H"/>
          <w:color w:val="3B6F8C"/>
          <w:sz w:val="12"/>
          <w:szCs w:val="12"/>
          <w:lang w:val="es-MX" w:eastAsia="es-MX"/>
        </w:rPr>
        <w:t>/0</w:t>
      </w:r>
      <w:r w:rsidRPr="004603AF">
        <w:rPr>
          <w:rFonts w:ascii="Abadi" w:hAnsi="Abadi" w:cs="*Calibri-9826-Identity-H"/>
          <w:color w:val="4C6DA2"/>
          <w:sz w:val="12"/>
          <w:szCs w:val="12"/>
          <w:lang w:val="es-MX" w:eastAsia="es-MX"/>
        </w:rPr>
        <w:t>/</w:t>
      </w:r>
      <w:r w:rsidRPr="004603AF">
        <w:rPr>
          <w:rFonts w:ascii="Abadi" w:hAnsi="Abadi" w:cs="*Calibri-9826-Identity-H"/>
          <w:color w:val="51727B"/>
          <w:sz w:val="12"/>
          <w:szCs w:val="12"/>
          <w:lang w:val="es-MX" w:eastAsia="es-MX"/>
        </w:rPr>
        <w:t>c</w:t>
      </w:r>
      <w:r w:rsidRPr="004603AF">
        <w:rPr>
          <w:rFonts w:ascii="Abadi" w:hAnsi="Abadi" w:cs="*Calibri-9826-Identity-H"/>
          <w:color w:val="3B6F8C"/>
          <w:sz w:val="12"/>
          <w:szCs w:val="12"/>
          <w:lang w:val="es-MX" w:eastAsia="es-MX"/>
        </w:rPr>
        <w:t>ron i</w:t>
      </w:r>
      <w:r w:rsidRPr="004603AF">
        <w:rPr>
          <w:rFonts w:ascii="Abadi" w:hAnsi="Abadi" w:cs="*Calibri-9826-Identity-H"/>
          <w:color w:val="4A7E95"/>
          <w:sz w:val="12"/>
          <w:szCs w:val="12"/>
          <w:lang w:val="es-MX" w:eastAsia="es-MX"/>
        </w:rPr>
        <w:t>s</w:t>
      </w:r>
      <w:r w:rsidRPr="004603AF">
        <w:rPr>
          <w:rFonts w:ascii="Abadi" w:hAnsi="Abadi" w:cs="*Calibri-9826-Identity-H"/>
          <w:color w:val="3B6F8C"/>
          <w:sz w:val="12"/>
          <w:szCs w:val="12"/>
          <w:lang w:val="es-MX" w:eastAsia="es-MX"/>
        </w:rPr>
        <w:t>t</w:t>
      </w:r>
      <w:r w:rsidRPr="004603AF">
        <w:rPr>
          <w:rFonts w:ascii="Abadi" w:hAnsi="Abadi" w:cs="*Calibri-9826-Identity-H"/>
          <w:color w:val="4A7E95"/>
          <w:sz w:val="12"/>
          <w:szCs w:val="12"/>
          <w:lang w:val="es-MX" w:eastAsia="es-MX"/>
        </w:rPr>
        <w:t>as</w:t>
      </w:r>
      <w:r w:rsidRPr="004603AF">
        <w:rPr>
          <w:rFonts w:ascii="Abadi" w:hAnsi="Abadi" w:cs="*Calibri-9826-Identity-H"/>
          <w:color w:val="74B1A9"/>
          <w:sz w:val="12"/>
          <w:szCs w:val="12"/>
          <w:lang w:val="es-MX" w:eastAsia="es-MX"/>
        </w:rPr>
        <w:t>-</w:t>
      </w:r>
      <w:r w:rsidRPr="004603AF">
        <w:rPr>
          <w:rFonts w:ascii="Abadi" w:hAnsi="Abadi" w:cs="*Calibri-9826-Identity-H"/>
          <w:color w:val="4A7E95"/>
          <w:sz w:val="12"/>
          <w:szCs w:val="12"/>
          <w:lang w:val="es-MX" w:eastAsia="es-MX"/>
        </w:rPr>
        <w:t>c</w:t>
      </w:r>
      <w:r w:rsidRPr="004603AF">
        <w:rPr>
          <w:rFonts w:ascii="Abadi" w:hAnsi="Abadi" w:cs="*Calibri-9826-Identity-H"/>
          <w:color w:val="3B6F8C"/>
          <w:sz w:val="12"/>
          <w:szCs w:val="12"/>
          <w:lang w:val="es-MX" w:eastAsia="es-MX"/>
        </w:rPr>
        <w:t xml:space="preserve">o </w:t>
      </w:r>
      <w:r w:rsidRPr="004603AF">
        <w:rPr>
          <w:rFonts w:ascii="Abadi" w:hAnsi="Abadi" w:cs="*Calibri-9826-Identity-H"/>
          <w:color w:val="2D5F85"/>
          <w:sz w:val="12"/>
          <w:szCs w:val="12"/>
          <w:lang w:val="es-MX" w:eastAsia="es-MX"/>
        </w:rPr>
        <w:t xml:space="preserve">n </w:t>
      </w:r>
      <w:r w:rsidRPr="004603AF">
        <w:rPr>
          <w:rFonts w:ascii="Abadi" w:hAnsi="Abadi" w:cs="*Calibri-9826-Identity-H"/>
          <w:color w:val="3B6F8C"/>
          <w:sz w:val="12"/>
          <w:szCs w:val="12"/>
          <w:lang w:val="es-MX" w:eastAsia="es-MX"/>
        </w:rPr>
        <w:t>ta ra</w:t>
      </w:r>
      <w:r w:rsidRPr="004603AF">
        <w:rPr>
          <w:rFonts w:ascii="Abadi" w:hAnsi="Abadi" w:cs="*Calibri-9826-Identity-H"/>
          <w:color w:val="2D5F85"/>
          <w:sz w:val="12"/>
          <w:szCs w:val="12"/>
          <w:lang w:val="es-MX" w:eastAsia="es-MX"/>
        </w:rPr>
        <w:t>n</w:t>
      </w:r>
      <w:r w:rsidRPr="004603AF">
        <w:rPr>
          <w:rFonts w:ascii="Abadi" w:hAnsi="Abadi" w:cs="*Calibri-9826-Identity-H"/>
          <w:color w:val="7A9596"/>
          <w:sz w:val="12"/>
          <w:szCs w:val="12"/>
          <w:lang w:val="es-MX" w:eastAsia="es-MX"/>
        </w:rPr>
        <w:t>-</w:t>
      </w:r>
      <w:r w:rsidRPr="004603AF">
        <w:rPr>
          <w:rFonts w:ascii="Abadi" w:hAnsi="Abadi" w:cs="*Calibri-9826-Identity-H"/>
          <w:color w:val="3B6F8C"/>
          <w:sz w:val="12"/>
          <w:szCs w:val="12"/>
          <w:lang w:val="es-MX" w:eastAsia="es-MX"/>
        </w:rPr>
        <w:t>h</w:t>
      </w:r>
      <w:r w:rsidRPr="004603AF">
        <w:rPr>
          <w:rFonts w:ascii="Abadi" w:hAnsi="Abadi" w:cs="*Calibri-9826-Identity-H"/>
          <w:color w:val="4C6DA2"/>
          <w:sz w:val="12"/>
          <w:szCs w:val="12"/>
          <w:lang w:val="es-MX" w:eastAsia="es-MX"/>
        </w:rPr>
        <w:t>i</w:t>
      </w:r>
      <w:r w:rsidRPr="004603AF">
        <w:rPr>
          <w:rFonts w:ascii="Abadi" w:hAnsi="Abadi" w:cs="*Calibri-9826-Identity-H"/>
          <w:color w:val="3B6F8C"/>
          <w:sz w:val="12"/>
          <w:szCs w:val="12"/>
          <w:lang w:val="es-MX" w:eastAsia="es-MX"/>
        </w:rPr>
        <w:t xml:space="preserve">sto </w:t>
      </w:r>
      <w:r w:rsidRPr="004603AF">
        <w:rPr>
          <w:rFonts w:ascii="Abadi" w:hAnsi="Abadi" w:cs="*Calibri-9826-Identity-H"/>
          <w:color w:val="2D5F85"/>
          <w:sz w:val="12"/>
          <w:szCs w:val="12"/>
          <w:lang w:val="es-MX" w:eastAsia="es-MX"/>
        </w:rPr>
        <w:t>r</w:t>
      </w:r>
      <w:r w:rsidRPr="004603AF">
        <w:rPr>
          <w:rFonts w:ascii="Abadi" w:hAnsi="Abadi" w:cs="*Calibri-9826-Identity-H"/>
          <w:color w:val="4C6DA2"/>
          <w:sz w:val="12"/>
          <w:szCs w:val="12"/>
          <w:lang w:val="es-MX" w:eastAsia="es-MX"/>
        </w:rPr>
        <w:t>i</w:t>
      </w:r>
      <w:r w:rsidRPr="004603AF">
        <w:rPr>
          <w:rFonts w:ascii="Abadi" w:hAnsi="Abadi" w:cs="*Calibri-9826-Identity-H"/>
          <w:color w:val="3B6F8C"/>
          <w:sz w:val="12"/>
          <w:szCs w:val="12"/>
          <w:lang w:val="es-MX" w:eastAsia="es-MX"/>
        </w:rPr>
        <w:t>a</w:t>
      </w:r>
      <w:r w:rsidRPr="004603AF">
        <w:rPr>
          <w:rFonts w:ascii="Abadi" w:hAnsi="Abadi" w:cs="*Calibri-9826-Identity-H"/>
          <w:color w:val="7A9596"/>
          <w:sz w:val="12"/>
          <w:szCs w:val="12"/>
          <w:lang w:val="es-MX" w:eastAsia="es-MX"/>
        </w:rPr>
        <w:t>•</w:t>
      </w:r>
      <w:r w:rsidRPr="004603AF">
        <w:rPr>
          <w:rFonts w:ascii="Abadi" w:hAnsi="Abadi" w:cs="*Calibri-9826-Identity-H"/>
          <w:color w:val="3B6F8C"/>
          <w:sz w:val="12"/>
          <w:szCs w:val="12"/>
          <w:lang w:val="es-MX" w:eastAsia="es-MX"/>
        </w:rPr>
        <w:t>d</w:t>
      </w:r>
      <w:r w:rsidRPr="004603AF">
        <w:rPr>
          <w:rFonts w:ascii="Abadi" w:hAnsi="Abadi" w:cs="*Calibri-9826-Identity-H"/>
          <w:color w:val="4A7E95"/>
          <w:sz w:val="12"/>
          <w:szCs w:val="12"/>
          <w:lang w:val="es-MX" w:eastAsia="es-MX"/>
        </w:rPr>
        <w:t>e</w:t>
      </w:r>
      <w:r w:rsidRPr="004603AF">
        <w:rPr>
          <w:rFonts w:ascii="Abadi" w:hAnsi="Abadi" w:cs="*Calibri-9826-Identity-H"/>
          <w:color w:val="6FA49C"/>
          <w:sz w:val="12"/>
          <w:szCs w:val="12"/>
          <w:lang w:val="es-MX" w:eastAsia="es-MX"/>
        </w:rPr>
        <w:t>-</w:t>
      </w:r>
      <w:r w:rsidRPr="004603AF">
        <w:rPr>
          <w:rFonts w:ascii="Abadi" w:hAnsi="Abadi" w:cs="*Calibri-9826-Identity-H"/>
          <w:color w:val="3B6F8C"/>
          <w:sz w:val="12"/>
          <w:szCs w:val="12"/>
          <w:lang w:val="es-MX" w:eastAsia="es-MX"/>
        </w:rPr>
        <w:t>e</w:t>
      </w:r>
      <w:r w:rsidRPr="004603AF">
        <w:rPr>
          <w:rFonts w:ascii="Abadi" w:hAnsi="Abadi" w:cs="*Calibri-9826-Identity-H"/>
          <w:color w:val="4A7E95"/>
          <w:sz w:val="12"/>
          <w:szCs w:val="12"/>
          <w:lang w:val="es-MX" w:eastAsia="es-MX"/>
        </w:rPr>
        <w:t>s</w:t>
      </w:r>
      <w:r w:rsidRPr="004603AF">
        <w:rPr>
          <w:rFonts w:ascii="Abadi" w:hAnsi="Abadi" w:cs="*Calibri-9826-Identity-H"/>
          <w:color w:val="3A82A2"/>
          <w:sz w:val="12"/>
          <w:szCs w:val="12"/>
          <w:lang w:val="es-MX" w:eastAsia="es-MX"/>
        </w:rPr>
        <w:t>ta</w:t>
      </w:r>
      <w:r w:rsidRPr="004603AF">
        <w:rPr>
          <w:rFonts w:ascii="Abadi" w:hAnsi="Abadi" w:cs="*Calibri-9826-Identity-H"/>
          <w:color w:val="4A7E95"/>
          <w:sz w:val="12"/>
          <w:szCs w:val="12"/>
          <w:lang w:val="es-MX" w:eastAsia="es-MX"/>
        </w:rPr>
        <w:t>d</w:t>
      </w:r>
      <w:r w:rsidRPr="004603AF">
        <w:rPr>
          <w:rFonts w:ascii="Abadi" w:hAnsi="Abadi" w:cs="*Calibri-9826-Identity-H"/>
          <w:color w:val="3B6F8C"/>
          <w:sz w:val="12"/>
          <w:szCs w:val="12"/>
          <w:lang w:val="es-MX" w:eastAsia="es-MX"/>
        </w:rPr>
        <w:t>o</w:t>
      </w:r>
      <w:r w:rsidRPr="004603AF">
        <w:rPr>
          <w:rFonts w:ascii="Abadi" w:hAnsi="Abadi" w:cs="*Calibri-9826-Identity-H"/>
          <w:color w:val="4A7E95"/>
          <w:sz w:val="12"/>
          <w:szCs w:val="12"/>
          <w:lang w:val="es-MX" w:eastAsia="es-MX"/>
        </w:rPr>
        <w:t>s</w:t>
      </w:r>
      <w:r w:rsidRPr="004603AF">
        <w:rPr>
          <w:rFonts w:ascii="Abadi" w:hAnsi="Abadi" w:cs="*Calibri-9826-Identity-H"/>
          <w:color w:val="7A9596"/>
          <w:sz w:val="12"/>
          <w:szCs w:val="12"/>
          <w:lang w:val="es-MX" w:eastAsia="es-MX"/>
        </w:rPr>
        <w:t>-</w:t>
      </w:r>
      <w:r w:rsidRPr="004603AF">
        <w:rPr>
          <w:rFonts w:ascii="Abadi" w:hAnsi="Abadi" w:cs="*Calibri-9826-Identity-H"/>
          <w:color w:val="3B6F8C"/>
          <w:sz w:val="12"/>
          <w:szCs w:val="12"/>
          <w:lang w:val="es-MX" w:eastAsia="es-MX"/>
        </w:rPr>
        <w:t>d</w:t>
      </w:r>
      <w:r w:rsidRPr="004603AF">
        <w:rPr>
          <w:rFonts w:ascii="Abadi" w:hAnsi="Abadi" w:cs="*Calibri-9826-Identity-H"/>
          <w:color w:val="4A7E95"/>
          <w:sz w:val="12"/>
          <w:szCs w:val="12"/>
          <w:lang w:val="es-MX" w:eastAsia="es-MX"/>
        </w:rPr>
        <w:t>e</w:t>
      </w:r>
      <w:r w:rsidRPr="004603AF">
        <w:rPr>
          <w:rFonts w:ascii="Abadi" w:hAnsi="Abadi" w:cs="*Calibri-9826-Identity-H"/>
          <w:color w:val="134794"/>
          <w:sz w:val="12"/>
          <w:szCs w:val="12"/>
          <w:lang w:val="es-MX" w:eastAsia="es-MX"/>
        </w:rPr>
        <w:t>l</w:t>
      </w:r>
      <w:r w:rsidRPr="004603AF">
        <w:rPr>
          <w:rFonts w:ascii="Abadi" w:hAnsi="Abadi" w:cs="*Calibri-9826-Identity-H"/>
          <w:color w:val="7A9596"/>
          <w:sz w:val="12"/>
          <w:szCs w:val="12"/>
          <w:lang w:val="es-MX" w:eastAsia="es-MX"/>
        </w:rPr>
        <w:t>·</w:t>
      </w:r>
      <w:r w:rsidRPr="004603AF">
        <w:rPr>
          <w:rFonts w:ascii="Abadi" w:hAnsi="Abadi" w:cs="*Calibri-9826-Identity-H"/>
          <w:color w:val="3B6F8C"/>
          <w:sz w:val="12"/>
          <w:szCs w:val="12"/>
          <w:lang w:val="es-MX" w:eastAsia="es-MX"/>
        </w:rPr>
        <w:t>no r</w:t>
      </w:r>
      <w:r w:rsidRPr="004603AF">
        <w:rPr>
          <w:rFonts w:ascii="Abadi" w:hAnsi="Abadi" w:cs="*Calibri-9826-Identity-H"/>
          <w:color w:val="4A7E95"/>
          <w:sz w:val="12"/>
          <w:szCs w:val="12"/>
          <w:lang w:val="es-MX" w:eastAsia="es-MX"/>
        </w:rPr>
        <w:t>e</w:t>
      </w:r>
      <w:r w:rsidRPr="004603AF">
        <w:rPr>
          <w:rFonts w:ascii="Abadi" w:hAnsi="Abadi" w:cs="*Calibri-9826-Identity-H"/>
          <w:color w:val="51727B"/>
          <w:sz w:val="12"/>
          <w:szCs w:val="12"/>
          <w:lang w:val="es-MX" w:eastAsia="es-MX"/>
        </w:rPr>
        <w:t>s</w:t>
      </w:r>
      <w:r w:rsidRPr="004603AF">
        <w:rPr>
          <w:rFonts w:ascii="Abadi" w:hAnsi="Abadi" w:cs="*Calibri-9826-Identity-H"/>
          <w:color w:val="3B6F8C"/>
          <w:sz w:val="12"/>
          <w:szCs w:val="12"/>
          <w:lang w:val="es-MX" w:eastAsia="es-MX"/>
        </w:rPr>
        <w:t>t</w:t>
      </w:r>
      <w:r w:rsidRPr="004603AF">
        <w:rPr>
          <w:rFonts w:ascii="Abadi" w:hAnsi="Abadi" w:cs="*Calibri-9826-Identity-H"/>
          <w:color w:val="4A7E95"/>
          <w:sz w:val="12"/>
          <w:szCs w:val="12"/>
          <w:lang w:val="es-MX" w:eastAsia="es-MX"/>
        </w:rPr>
        <w:t>e</w:t>
      </w:r>
      <w:r w:rsidRPr="004603AF">
        <w:rPr>
          <w:rFonts w:ascii="Abadi" w:hAnsi="Abadi" w:cs="*Calibri-9826-Identity-H"/>
          <w:color w:val="3B6F8C"/>
          <w:sz w:val="12"/>
          <w:szCs w:val="12"/>
          <w:lang w:val="es-MX" w:eastAsia="es-MX"/>
        </w:rPr>
        <w:t>mexicaJlQ</w:t>
      </w:r>
    </w:p>
    <w:p w14:paraId="2023FB80" w14:textId="00CAA8DE" w:rsidR="002E6E31" w:rsidRPr="004603AF" w:rsidRDefault="002E6E31" w:rsidP="004603AF">
      <w:pPr>
        <w:pStyle w:val="Textonotapie"/>
        <w:jc w:val="both"/>
        <w:rPr>
          <w:rFonts w:ascii="Abadi" w:hAnsi="Abadi"/>
          <w:sz w:val="12"/>
          <w:szCs w:val="12"/>
        </w:rPr>
      </w:pPr>
      <w:r w:rsidRPr="004603AF">
        <w:rPr>
          <w:rFonts w:ascii="Abadi" w:hAnsi="Abadi" w:cs="*Calibri-9826-Identity-H"/>
          <w:color w:val="3B6F8C"/>
          <w:sz w:val="12"/>
          <w:szCs w:val="12"/>
          <w:lang w:eastAsia="es-MX"/>
        </w:rPr>
        <w:t>L</w:t>
      </w:r>
    </w:p>
  </w:footnote>
  <w:footnote w:id="40">
    <w:p w14:paraId="29AC4E0E" w14:textId="77777777" w:rsidR="00786E59" w:rsidRPr="004603AF" w:rsidRDefault="00786E59" w:rsidP="004603AF">
      <w:pPr>
        <w:autoSpaceDE w:val="0"/>
        <w:autoSpaceDN w:val="0"/>
        <w:adjustRightInd w:val="0"/>
        <w:jc w:val="both"/>
        <w:rPr>
          <w:rFonts w:ascii="Abadi" w:hAnsi="Abadi" w:cs="*Calibri-11693-Identity-H"/>
          <w:color w:val="3D7392"/>
          <w:sz w:val="12"/>
          <w:szCs w:val="12"/>
          <w:lang w:val="es-MX" w:eastAsia="es-MX"/>
        </w:rPr>
      </w:pPr>
      <w:r w:rsidRPr="004603AF">
        <w:rPr>
          <w:rStyle w:val="Refdenotaalpie"/>
          <w:rFonts w:ascii="Abadi" w:hAnsi="Abadi"/>
          <w:sz w:val="12"/>
          <w:szCs w:val="12"/>
        </w:rPr>
        <w:footnoteRef/>
      </w:r>
      <w:r w:rsidRPr="004603AF">
        <w:rPr>
          <w:rFonts w:ascii="Abadi" w:hAnsi="Abadi"/>
          <w:sz w:val="12"/>
          <w:szCs w:val="12"/>
        </w:rPr>
        <w:t xml:space="preserve"> </w:t>
      </w:r>
      <w:r w:rsidRPr="004603AF">
        <w:rPr>
          <w:rFonts w:ascii="Abadi" w:hAnsi="Abadi" w:cs="*Calibri-11693-Identity-H"/>
          <w:color w:val="315F88"/>
          <w:sz w:val="12"/>
          <w:szCs w:val="12"/>
          <w:lang w:val="es-MX" w:eastAsia="es-MX"/>
        </w:rPr>
        <w:t>h</w:t>
      </w:r>
      <w:r w:rsidRPr="004603AF">
        <w:rPr>
          <w:rFonts w:ascii="Abadi" w:hAnsi="Abadi" w:cs="*Calibri-11693-Identity-H"/>
          <w:color w:val="3D7392"/>
          <w:sz w:val="12"/>
          <w:szCs w:val="12"/>
          <w:lang w:val="es-MX" w:eastAsia="es-MX"/>
        </w:rPr>
        <w:t>ttp</w:t>
      </w:r>
      <w:r w:rsidRPr="004603AF">
        <w:rPr>
          <w:rFonts w:ascii="Abadi" w:hAnsi="Abadi" w:cs="*Calibri-11693-Identity-H"/>
          <w:color w:val="557378"/>
          <w:sz w:val="12"/>
          <w:szCs w:val="12"/>
          <w:lang w:val="es-MX" w:eastAsia="es-MX"/>
        </w:rPr>
        <w:t>:</w:t>
      </w:r>
      <w:r w:rsidRPr="004603AF">
        <w:rPr>
          <w:rFonts w:ascii="Abadi" w:hAnsi="Abadi" w:cs="*Calibri-11693-Identity-H"/>
          <w:color w:val="3D7392"/>
          <w:sz w:val="12"/>
          <w:szCs w:val="12"/>
          <w:lang w:val="es-MX" w:eastAsia="es-MX"/>
        </w:rPr>
        <w:t>//www</w:t>
      </w:r>
      <w:r w:rsidRPr="004603AF">
        <w:rPr>
          <w:rFonts w:ascii="Abadi" w:hAnsi="Abadi" w:cs="*Calibri-11693-Identity-H"/>
          <w:color w:val="456072"/>
          <w:sz w:val="12"/>
          <w:szCs w:val="12"/>
          <w:lang w:val="es-MX" w:eastAsia="es-MX"/>
        </w:rPr>
        <w:t>.</w:t>
      </w:r>
      <w:r w:rsidRPr="004603AF">
        <w:rPr>
          <w:rFonts w:ascii="Abadi" w:hAnsi="Abadi" w:cs="*Calibri-11693-Identity-H"/>
          <w:color w:val="3B7FA7"/>
          <w:sz w:val="12"/>
          <w:szCs w:val="12"/>
          <w:lang w:val="es-MX" w:eastAsia="es-MX"/>
        </w:rPr>
        <w:t>g</w:t>
      </w:r>
      <w:r w:rsidRPr="004603AF">
        <w:rPr>
          <w:rFonts w:ascii="Abadi" w:hAnsi="Abadi" w:cs="*Calibri-11693-Identity-H"/>
          <w:color w:val="2F6F7F"/>
          <w:sz w:val="12"/>
          <w:szCs w:val="12"/>
          <w:lang w:val="es-MX" w:eastAsia="es-MX"/>
        </w:rPr>
        <w:t>u</w:t>
      </w:r>
      <w:r w:rsidRPr="004603AF">
        <w:rPr>
          <w:rFonts w:ascii="Abadi" w:hAnsi="Abadi" w:cs="*Calibri-11693-Identity-H"/>
          <w:color w:val="3D7392"/>
          <w:sz w:val="12"/>
          <w:szCs w:val="12"/>
          <w:lang w:val="es-MX" w:eastAsia="es-MX"/>
        </w:rPr>
        <w:t>a na i ua to</w:t>
      </w:r>
      <w:r w:rsidRPr="004603AF">
        <w:rPr>
          <w:rFonts w:ascii="Abadi" w:hAnsi="Abadi" w:cs="*Calibri-11693-Identity-H"/>
          <w:color w:val="537E94"/>
          <w:sz w:val="12"/>
          <w:szCs w:val="12"/>
          <w:lang w:val="es-MX" w:eastAsia="es-MX"/>
        </w:rPr>
        <w:t>ca</w:t>
      </w:r>
      <w:r w:rsidRPr="004603AF">
        <w:rPr>
          <w:rFonts w:ascii="Abadi" w:hAnsi="Abadi" w:cs="*Calibri-11693-Identity-H"/>
          <w:color w:val="3D7392"/>
          <w:sz w:val="12"/>
          <w:szCs w:val="12"/>
          <w:lang w:val="es-MX" w:eastAsia="es-MX"/>
        </w:rPr>
        <w:t>p</w:t>
      </w:r>
      <w:r w:rsidRPr="004603AF">
        <w:rPr>
          <w:rFonts w:ascii="Abadi" w:hAnsi="Abadi" w:cs="*Calibri-11693-Identity-H"/>
          <w:color w:val="3B7FA7"/>
          <w:sz w:val="12"/>
          <w:szCs w:val="12"/>
          <w:lang w:val="es-MX" w:eastAsia="es-MX"/>
        </w:rPr>
        <w:t>í</w:t>
      </w:r>
      <w:r w:rsidRPr="004603AF">
        <w:rPr>
          <w:rFonts w:ascii="Abadi" w:hAnsi="Abadi" w:cs="*Calibri-11693-Identity-H"/>
          <w:color w:val="498FB7"/>
          <w:sz w:val="12"/>
          <w:szCs w:val="12"/>
          <w:lang w:val="es-MX" w:eastAsia="es-MX"/>
        </w:rPr>
        <w:t>t</w:t>
      </w:r>
      <w:r w:rsidRPr="004603AF">
        <w:rPr>
          <w:rFonts w:ascii="Abadi" w:hAnsi="Abadi" w:cs="*Calibri-11693-Identity-H"/>
          <w:color w:val="3D7392"/>
          <w:sz w:val="12"/>
          <w:szCs w:val="12"/>
          <w:lang w:val="es-MX" w:eastAsia="es-MX"/>
        </w:rPr>
        <w:t xml:space="preserve">a </w:t>
      </w:r>
      <w:r w:rsidRPr="004603AF">
        <w:rPr>
          <w:rFonts w:ascii="Abadi" w:hAnsi="Abadi" w:cs="*Calibri-11693-Identity-H"/>
          <w:color w:val="315F88"/>
          <w:sz w:val="12"/>
          <w:szCs w:val="12"/>
          <w:lang w:val="es-MX" w:eastAsia="es-MX"/>
        </w:rPr>
        <w:t xml:space="preserve">l </w:t>
      </w:r>
      <w:r w:rsidRPr="004603AF">
        <w:rPr>
          <w:rFonts w:ascii="Abadi" w:hAnsi="Abadi" w:cs="*Calibri-11693-Identity-H"/>
          <w:color w:val="456072"/>
          <w:sz w:val="12"/>
          <w:szCs w:val="12"/>
          <w:lang w:val="es-MX" w:eastAsia="es-MX"/>
        </w:rPr>
        <w:t>.</w:t>
      </w:r>
      <w:r w:rsidRPr="004603AF">
        <w:rPr>
          <w:rFonts w:ascii="Abadi" w:hAnsi="Abadi" w:cs="*Calibri-11693-Identity-H"/>
          <w:color w:val="3D7392"/>
          <w:sz w:val="12"/>
          <w:szCs w:val="12"/>
          <w:lang w:val="es-MX" w:eastAsia="es-MX"/>
        </w:rPr>
        <w:t xml:space="preserve">go </w:t>
      </w:r>
      <w:r w:rsidRPr="004603AF">
        <w:rPr>
          <w:rFonts w:ascii="Abadi" w:hAnsi="Abadi" w:cs="*Calibri-11693-Identity-H"/>
          <w:color w:val="315F88"/>
          <w:sz w:val="12"/>
          <w:szCs w:val="12"/>
          <w:lang w:val="es-MX" w:eastAsia="es-MX"/>
        </w:rPr>
        <w:t>b</w:t>
      </w:r>
      <w:r w:rsidRPr="004603AF">
        <w:rPr>
          <w:rFonts w:ascii="Abadi" w:hAnsi="Abadi" w:cs="*Calibri-11693-Identity-H"/>
          <w:color w:val="282C50"/>
          <w:sz w:val="12"/>
          <w:szCs w:val="12"/>
          <w:lang w:val="es-MX" w:eastAsia="es-MX"/>
        </w:rPr>
        <w:t xml:space="preserve">. </w:t>
      </w:r>
      <w:r w:rsidRPr="004603AF">
        <w:rPr>
          <w:rFonts w:ascii="Abadi" w:hAnsi="Abadi" w:cs="*Calibri-11693-Identity-H"/>
          <w:color w:val="3D7392"/>
          <w:sz w:val="12"/>
          <w:szCs w:val="12"/>
          <w:lang w:val="es-MX" w:eastAsia="es-MX"/>
        </w:rPr>
        <w:t>mx</w:t>
      </w:r>
      <w:r w:rsidRPr="004603AF">
        <w:rPr>
          <w:rFonts w:ascii="Abadi" w:hAnsi="Abadi" w:cs="*Calibri-11693-Identity-H"/>
          <w:color w:val="315F88"/>
          <w:sz w:val="12"/>
          <w:szCs w:val="12"/>
          <w:lang w:val="es-MX" w:eastAsia="es-MX"/>
        </w:rPr>
        <w:t>/</w:t>
      </w:r>
      <w:r w:rsidRPr="004603AF">
        <w:rPr>
          <w:rFonts w:ascii="Abadi" w:hAnsi="Abadi" w:cs="*Calibri-11693-Identity-H"/>
          <w:color w:val="3D7392"/>
          <w:sz w:val="12"/>
          <w:szCs w:val="12"/>
          <w:lang w:val="es-MX" w:eastAsia="es-MX"/>
        </w:rPr>
        <w:t>com</w:t>
      </w:r>
      <w:r w:rsidRPr="004603AF">
        <w:rPr>
          <w:rFonts w:ascii="Abadi" w:hAnsi="Abadi" w:cs="*Calibri-11693-Identity-H"/>
          <w:color w:val="315F88"/>
          <w:sz w:val="12"/>
          <w:szCs w:val="12"/>
          <w:lang w:val="es-MX" w:eastAsia="es-MX"/>
        </w:rPr>
        <w:t xml:space="preserve">u n </w:t>
      </w:r>
      <w:r w:rsidRPr="004603AF">
        <w:rPr>
          <w:rFonts w:ascii="Abadi" w:hAnsi="Abadi" w:cs="*Calibri-11693-Identity-H"/>
          <w:color w:val="245C6C"/>
          <w:sz w:val="12"/>
          <w:szCs w:val="12"/>
          <w:lang w:val="es-MX" w:eastAsia="es-MX"/>
        </w:rPr>
        <w:t>l</w:t>
      </w:r>
      <w:r w:rsidRPr="004603AF">
        <w:rPr>
          <w:rFonts w:ascii="Abadi" w:hAnsi="Abadi" w:cs="*Calibri-11693-Identity-H"/>
          <w:color w:val="537E94"/>
          <w:sz w:val="12"/>
          <w:szCs w:val="12"/>
          <w:lang w:val="es-MX" w:eastAsia="es-MX"/>
        </w:rPr>
        <w:t>c</w:t>
      </w:r>
      <w:r w:rsidRPr="004603AF">
        <w:rPr>
          <w:rFonts w:ascii="Abadi" w:hAnsi="Abadi" w:cs="*Calibri-11693-Identity-H"/>
          <w:color w:val="3D7392"/>
          <w:sz w:val="12"/>
          <w:szCs w:val="12"/>
          <w:lang w:val="es-MX" w:eastAsia="es-MX"/>
        </w:rPr>
        <w:t>ado</w:t>
      </w:r>
      <w:r w:rsidRPr="004603AF">
        <w:rPr>
          <w:rFonts w:ascii="Abadi" w:hAnsi="Abadi" w:cs="*Calibri-11693-Identity-H"/>
          <w:color w:val="315F88"/>
          <w:sz w:val="12"/>
          <w:szCs w:val="12"/>
          <w:lang w:val="es-MX" w:eastAsia="es-MX"/>
        </w:rPr>
        <w:t>/</w:t>
      </w:r>
      <w:r w:rsidRPr="004603AF">
        <w:rPr>
          <w:rFonts w:ascii="Abadi" w:hAnsi="Abadi" w:cs="*Calibri-11693-Identity-H"/>
          <w:color w:val="3D7392"/>
          <w:sz w:val="12"/>
          <w:szCs w:val="12"/>
          <w:lang w:val="es-MX" w:eastAsia="es-MX"/>
        </w:rPr>
        <w:t>co</w:t>
      </w:r>
      <w:r w:rsidRPr="004603AF">
        <w:rPr>
          <w:rFonts w:ascii="Abadi" w:hAnsi="Abadi" w:cs="*Calibri-11693-Identity-H"/>
          <w:color w:val="315F88"/>
          <w:sz w:val="12"/>
          <w:szCs w:val="12"/>
          <w:lang w:val="es-MX" w:eastAsia="es-MX"/>
        </w:rPr>
        <w:t xml:space="preserve">n </w:t>
      </w:r>
      <w:r w:rsidRPr="004603AF">
        <w:rPr>
          <w:rFonts w:ascii="Abadi" w:hAnsi="Abadi" w:cs="*Calibri-11693-Identity-H"/>
          <w:color w:val="3D7392"/>
          <w:sz w:val="12"/>
          <w:szCs w:val="12"/>
          <w:lang w:val="es-MX" w:eastAsia="es-MX"/>
        </w:rPr>
        <w:t>me mo</w:t>
      </w:r>
      <w:r w:rsidRPr="004603AF">
        <w:rPr>
          <w:rFonts w:ascii="Abadi" w:hAnsi="Abadi" w:cs="*Calibri-11693-Identity-H"/>
          <w:color w:val="315F88"/>
          <w:sz w:val="12"/>
          <w:szCs w:val="12"/>
          <w:lang w:val="es-MX" w:eastAsia="es-MX"/>
        </w:rPr>
        <w:t>r</w:t>
      </w:r>
      <w:r w:rsidRPr="004603AF">
        <w:rPr>
          <w:rFonts w:ascii="Abadi" w:hAnsi="Abadi" w:cs="*Calibri-11693-Identity-H"/>
          <w:color w:val="3D7392"/>
          <w:sz w:val="12"/>
          <w:szCs w:val="12"/>
          <w:lang w:val="es-MX" w:eastAsia="es-MX"/>
        </w:rPr>
        <w:t>a</w:t>
      </w:r>
      <w:r w:rsidRPr="004603AF">
        <w:rPr>
          <w:rFonts w:ascii="Abadi" w:hAnsi="Abadi" w:cs="*Calibri-11693-Identity-H"/>
          <w:color w:val="315F88"/>
          <w:sz w:val="12"/>
          <w:szCs w:val="12"/>
          <w:lang w:val="es-MX" w:eastAsia="es-MX"/>
        </w:rPr>
        <w:t>r</w:t>
      </w:r>
      <w:r w:rsidRPr="004603AF">
        <w:rPr>
          <w:rFonts w:ascii="Abadi" w:hAnsi="Abadi" w:cs="*Calibri-11693-Identity-H"/>
          <w:color w:val="3D7392"/>
          <w:sz w:val="12"/>
          <w:szCs w:val="12"/>
          <w:lang w:val="es-MX" w:eastAsia="es-MX"/>
        </w:rPr>
        <w:t>a</w:t>
      </w:r>
      <w:r w:rsidRPr="004603AF">
        <w:rPr>
          <w:rFonts w:ascii="Abadi" w:hAnsi="Abadi" w:cs="*Calibri-11693-Identity-H"/>
          <w:color w:val="315F88"/>
          <w:sz w:val="12"/>
          <w:szCs w:val="12"/>
          <w:lang w:val="es-MX" w:eastAsia="es-MX"/>
        </w:rPr>
        <w:t>n</w:t>
      </w:r>
      <w:r w:rsidRPr="004603AF">
        <w:rPr>
          <w:rFonts w:ascii="Abadi" w:hAnsi="Abadi" w:cs="*Calibri-11693-Identity-H"/>
          <w:color w:val="537E94"/>
          <w:sz w:val="12"/>
          <w:szCs w:val="12"/>
          <w:lang w:val="es-MX" w:eastAsia="es-MX"/>
        </w:rPr>
        <w:t>-s</w:t>
      </w:r>
      <w:r w:rsidRPr="004603AF">
        <w:rPr>
          <w:rFonts w:ascii="Abadi" w:hAnsi="Abadi" w:cs="*Calibri-11693-Identity-H"/>
          <w:color w:val="3D7392"/>
          <w:sz w:val="12"/>
          <w:szCs w:val="12"/>
          <w:lang w:val="es-MX" w:eastAsia="es-MX"/>
        </w:rPr>
        <w:t>exto</w:t>
      </w:r>
      <w:r w:rsidRPr="004603AF">
        <w:rPr>
          <w:rFonts w:ascii="Abadi" w:hAnsi="Abadi" w:cs="*Calibri-11693-Identity-H"/>
          <w:color w:val="557378"/>
          <w:sz w:val="12"/>
          <w:szCs w:val="12"/>
          <w:lang w:val="es-MX" w:eastAsia="es-MX"/>
        </w:rPr>
        <w:t>-</w:t>
      </w:r>
      <w:r w:rsidRPr="004603AF">
        <w:rPr>
          <w:rFonts w:ascii="Abadi" w:hAnsi="Abadi" w:cs="*Calibri-11693-Identity-H"/>
          <w:color w:val="3B7FA7"/>
          <w:sz w:val="12"/>
          <w:szCs w:val="12"/>
          <w:lang w:val="es-MX" w:eastAsia="es-MX"/>
        </w:rPr>
        <w:t xml:space="preserve">a </w:t>
      </w:r>
      <w:r w:rsidRPr="004603AF">
        <w:rPr>
          <w:rFonts w:ascii="Abadi" w:hAnsi="Abadi" w:cs="*Calibri-11693-Identity-H"/>
          <w:color w:val="3D7392"/>
          <w:sz w:val="12"/>
          <w:szCs w:val="12"/>
          <w:lang w:val="es-MX" w:eastAsia="es-MX"/>
        </w:rPr>
        <w:t xml:space="preserve">n </w:t>
      </w:r>
      <w:r w:rsidRPr="004603AF">
        <w:rPr>
          <w:rFonts w:ascii="Abadi" w:hAnsi="Abadi" w:cs="*Calibri-11693-Identity-H"/>
          <w:color w:val="1C4C5C"/>
          <w:sz w:val="12"/>
          <w:szCs w:val="12"/>
          <w:lang w:val="es-MX" w:eastAsia="es-MX"/>
        </w:rPr>
        <w:t>i</w:t>
      </w:r>
      <w:r w:rsidRPr="004603AF">
        <w:rPr>
          <w:rFonts w:ascii="Abadi" w:hAnsi="Abadi" w:cs="*Calibri-11693-Identity-H"/>
          <w:color w:val="3D7392"/>
          <w:sz w:val="12"/>
          <w:szCs w:val="12"/>
          <w:lang w:val="es-MX" w:eastAsia="es-MX"/>
        </w:rPr>
        <w:t xml:space="preserve">ve rsa </w:t>
      </w:r>
      <w:r w:rsidRPr="004603AF">
        <w:rPr>
          <w:rFonts w:ascii="Abadi" w:hAnsi="Abadi" w:cs="*Calibri-11693-Identity-H"/>
          <w:color w:val="3B7FA7"/>
          <w:sz w:val="12"/>
          <w:szCs w:val="12"/>
          <w:lang w:val="es-MX" w:eastAsia="es-MX"/>
        </w:rPr>
        <w:t>r</w:t>
      </w:r>
      <w:r w:rsidRPr="004603AF">
        <w:rPr>
          <w:rFonts w:ascii="Abadi" w:hAnsi="Abadi" w:cs="*Calibri-11693-Identity-H"/>
          <w:color w:val="3A5EA0"/>
          <w:sz w:val="12"/>
          <w:szCs w:val="12"/>
          <w:lang w:val="es-MX" w:eastAsia="es-MX"/>
        </w:rPr>
        <w:t>l</w:t>
      </w:r>
      <w:r w:rsidRPr="004603AF">
        <w:rPr>
          <w:rFonts w:ascii="Abadi" w:hAnsi="Abadi" w:cs="*Calibri-11693-Identity-H"/>
          <w:color w:val="3D7392"/>
          <w:sz w:val="12"/>
          <w:szCs w:val="12"/>
          <w:lang w:val="es-MX" w:eastAsia="es-MX"/>
        </w:rPr>
        <w:t>o</w:t>
      </w:r>
      <w:r w:rsidRPr="004603AF">
        <w:rPr>
          <w:rFonts w:ascii="Abadi" w:hAnsi="Abadi" w:cs="*Calibri-11693-Identity-H"/>
          <w:color w:val="557378"/>
          <w:sz w:val="12"/>
          <w:szCs w:val="12"/>
          <w:lang w:val="es-MX" w:eastAsia="es-MX"/>
        </w:rPr>
        <w:t>-</w:t>
      </w:r>
      <w:r w:rsidRPr="004603AF">
        <w:rPr>
          <w:rFonts w:ascii="Abadi" w:hAnsi="Abadi" w:cs="*Calibri-11693-Identity-H"/>
          <w:color w:val="266AA8"/>
          <w:sz w:val="12"/>
          <w:szCs w:val="12"/>
          <w:lang w:val="es-MX" w:eastAsia="es-MX"/>
        </w:rPr>
        <w:t>l</w:t>
      </w:r>
      <w:r w:rsidRPr="004603AF">
        <w:rPr>
          <w:rFonts w:ascii="Abadi" w:hAnsi="Abadi" w:cs="*Calibri-11693-Identity-H"/>
          <w:color w:val="3D7392"/>
          <w:sz w:val="12"/>
          <w:szCs w:val="12"/>
          <w:lang w:val="es-MX" w:eastAsia="es-MX"/>
        </w:rPr>
        <w:t>u</w:t>
      </w:r>
      <w:r w:rsidRPr="004603AF">
        <w:rPr>
          <w:rFonts w:ascii="Abadi" w:hAnsi="Abadi" w:cs="*Calibri-11693-Identity-H"/>
          <w:color w:val="537E94"/>
          <w:sz w:val="12"/>
          <w:szCs w:val="12"/>
          <w:lang w:val="es-MX" w:eastAsia="es-MX"/>
        </w:rPr>
        <w:t>ct</w:t>
      </w:r>
      <w:r w:rsidRPr="004603AF">
        <w:rPr>
          <w:rFonts w:ascii="Abadi" w:hAnsi="Abadi" w:cs="*Calibri-11693-Identity-H"/>
          <w:color w:val="3B7FA7"/>
          <w:sz w:val="12"/>
          <w:szCs w:val="12"/>
          <w:lang w:val="es-MX" w:eastAsia="es-MX"/>
        </w:rPr>
        <w:t>u</w:t>
      </w:r>
      <w:r w:rsidRPr="004603AF">
        <w:rPr>
          <w:rFonts w:ascii="Abadi" w:hAnsi="Abadi" w:cs="*Calibri-11693-Identity-H"/>
          <w:color w:val="3D7392"/>
          <w:sz w:val="12"/>
          <w:szCs w:val="12"/>
          <w:lang w:val="es-MX" w:eastAsia="es-MX"/>
        </w:rPr>
        <w:t>o</w:t>
      </w:r>
      <w:r w:rsidRPr="004603AF">
        <w:rPr>
          <w:rFonts w:ascii="Abadi" w:hAnsi="Abadi" w:cs="*Calibri-11693-Identity-H"/>
          <w:color w:val="537E94"/>
          <w:sz w:val="12"/>
          <w:szCs w:val="12"/>
          <w:lang w:val="es-MX" w:eastAsia="es-MX"/>
        </w:rPr>
        <w:t>s</w:t>
      </w:r>
      <w:r w:rsidRPr="004603AF">
        <w:rPr>
          <w:rFonts w:ascii="Abadi" w:hAnsi="Abadi" w:cs="*Calibri-11693-Identity-H"/>
          <w:color w:val="3D7392"/>
          <w:sz w:val="12"/>
          <w:szCs w:val="12"/>
          <w:lang w:val="es-MX" w:eastAsia="es-MX"/>
        </w:rPr>
        <w:t>o</w:t>
      </w:r>
      <w:r w:rsidRPr="004603AF">
        <w:rPr>
          <w:rFonts w:ascii="Abadi" w:hAnsi="Abadi" w:cs="*Calibri-11693-Identity-H"/>
          <w:color w:val="557378"/>
          <w:sz w:val="12"/>
          <w:szCs w:val="12"/>
          <w:lang w:val="es-MX" w:eastAsia="es-MX"/>
        </w:rPr>
        <w:t>-</w:t>
      </w:r>
      <w:r w:rsidRPr="004603AF">
        <w:rPr>
          <w:rFonts w:ascii="Abadi" w:hAnsi="Abadi" w:cs="*Calibri-11693-Identity-H"/>
          <w:color w:val="3D7392"/>
          <w:sz w:val="12"/>
          <w:szCs w:val="12"/>
          <w:lang w:val="es-MX" w:eastAsia="es-MX"/>
        </w:rPr>
        <w:t>de</w:t>
      </w:r>
      <w:r w:rsidRPr="004603AF">
        <w:rPr>
          <w:rFonts w:ascii="Abadi" w:hAnsi="Abadi" w:cs="*Calibri-11693-Identity-H"/>
          <w:color w:val="557378"/>
          <w:sz w:val="12"/>
          <w:szCs w:val="12"/>
          <w:lang w:val="es-MX" w:eastAsia="es-MX"/>
        </w:rPr>
        <w:t>-</w:t>
      </w:r>
      <w:r w:rsidRPr="004603AF">
        <w:rPr>
          <w:rFonts w:ascii="Abadi" w:hAnsi="Abadi" w:cs="*Calibri-11693-Identity-H"/>
          <w:color w:val="315F88"/>
          <w:sz w:val="12"/>
          <w:szCs w:val="12"/>
          <w:lang w:val="es-MX" w:eastAsia="es-MX"/>
        </w:rPr>
        <w:t>d</w:t>
      </w:r>
      <w:r w:rsidRPr="004603AF">
        <w:rPr>
          <w:rFonts w:ascii="Abadi" w:hAnsi="Abadi" w:cs="*Calibri-11693-Identity-H"/>
          <w:color w:val="3D7392"/>
          <w:sz w:val="12"/>
          <w:szCs w:val="12"/>
          <w:lang w:val="es-MX" w:eastAsia="es-MX"/>
        </w:rPr>
        <w:t>onisa</w:t>
      </w:r>
    </w:p>
    <w:p w14:paraId="56984536" w14:textId="523B35F8" w:rsidR="00786E59" w:rsidRPr="004603AF" w:rsidRDefault="00786E59" w:rsidP="004603AF">
      <w:pPr>
        <w:pStyle w:val="Textonotapie"/>
        <w:jc w:val="both"/>
        <w:rPr>
          <w:rFonts w:ascii="Abadi" w:hAnsi="Abadi"/>
          <w:sz w:val="12"/>
          <w:szCs w:val="12"/>
        </w:rPr>
      </w:pPr>
      <w:r w:rsidRPr="004603AF">
        <w:rPr>
          <w:rFonts w:ascii="Abadi" w:hAnsi="Abadi" w:cs="*Calibri-11693-Identity-H"/>
          <w:color w:val="3D7392"/>
          <w:sz w:val="12"/>
          <w:szCs w:val="12"/>
          <w:lang w:eastAsia="es-MX"/>
        </w:rPr>
        <w:t xml:space="preserve">u </w:t>
      </w:r>
      <w:r w:rsidRPr="004603AF">
        <w:rPr>
          <w:rFonts w:ascii="Abadi" w:hAnsi="Abadi" w:cs="*Calibri-11693-Identity-H"/>
          <w:color w:val="315F88"/>
          <w:sz w:val="12"/>
          <w:szCs w:val="12"/>
          <w:lang w:eastAsia="es-MX"/>
        </w:rPr>
        <w:t>r</w:t>
      </w:r>
      <w:r w:rsidRPr="004603AF">
        <w:rPr>
          <w:rFonts w:ascii="Abadi" w:hAnsi="Abadi" w:cs="*Calibri-11693-Identity-H"/>
          <w:color w:val="557378"/>
          <w:sz w:val="12"/>
          <w:szCs w:val="12"/>
          <w:lang w:eastAsia="es-MX"/>
        </w:rPr>
        <w:t>o</w:t>
      </w:r>
      <w:r w:rsidRPr="004603AF">
        <w:rPr>
          <w:rFonts w:ascii="Abadi" w:hAnsi="Abadi" w:cs="*Calibri-11693-Identity-H"/>
          <w:color w:val="738C94"/>
          <w:sz w:val="12"/>
          <w:szCs w:val="12"/>
          <w:lang w:eastAsia="es-MX"/>
        </w:rPr>
        <w:t>-</w:t>
      </w:r>
      <w:r w:rsidRPr="004603AF">
        <w:rPr>
          <w:rFonts w:ascii="Abadi" w:hAnsi="Abadi" w:cs="*Calibri-11693-Identity-H"/>
          <w:color w:val="557378"/>
          <w:sz w:val="12"/>
          <w:szCs w:val="12"/>
          <w:lang w:eastAsia="es-MX"/>
        </w:rPr>
        <w:t>r</w:t>
      </w:r>
      <w:r w:rsidRPr="004603AF">
        <w:rPr>
          <w:rFonts w:ascii="Abadi" w:hAnsi="Abadi" w:cs="*Calibri-11693-Identity-H"/>
          <w:color w:val="537E94"/>
          <w:sz w:val="12"/>
          <w:szCs w:val="12"/>
          <w:lang w:eastAsia="es-MX"/>
        </w:rPr>
        <w:t>i</w:t>
      </w:r>
      <w:r w:rsidRPr="004603AF">
        <w:rPr>
          <w:rFonts w:ascii="Abadi" w:hAnsi="Abadi" w:cs="*Calibri-11693-Identity-H"/>
          <w:color w:val="456072"/>
          <w:sz w:val="12"/>
          <w:szCs w:val="12"/>
          <w:lang w:eastAsia="es-MX"/>
        </w:rPr>
        <w:t>o</w:t>
      </w:r>
      <w:r w:rsidRPr="004603AF">
        <w:rPr>
          <w:rFonts w:ascii="Abadi" w:hAnsi="Abadi" w:cs="*Calibri-11693-Identity-H"/>
          <w:color w:val="3D7392"/>
          <w:sz w:val="12"/>
          <w:szCs w:val="12"/>
          <w:lang w:eastAsia="es-MX"/>
        </w:rPr>
        <w:t>nd</w:t>
      </w:r>
      <w:r w:rsidRPr="004603AF">
        <w:rPr>
          <w:rFonts w:ascii="Abadi" w:hAnsi="Abadi" w:cs="*Calibri-11693-Identity-H"/>
          <w:color w:val="537E94"/>
          <w:sz w:val="12"/>
          <w:szCs w:val="12"/>
          <w:lang w:eastAsia="es-MX"/>
        </w:rPr>
        <w:t>,g</w:t>
      </w:r>
    </w:p>
  </w:footnote>
  <w:footnote w:id="41">
    <w:p w14:paraId="40743055" w14:textId="15EC3591" w:rsidR="000440ED" w:rsidRPr="004603AF" w:rsidRDefault="000440ED" w:rsidP="004603AF">
      <w:pPr>
        <w:pStyle w:val="Textonotapie"/>
        <w:jc w:val="both"/>
        <w:rPr>
          <w:rFonts w:ascii="Abadi" w:hAnsi="Abadi"/>
          <w:sz w:val="12"/>
          <w:szCs w:val="12"/>
        </w:rPr>
      </w:pPr>
      <w:r w:rsidRPr="004603AF">
        <w:rPr>
          <w:rStyle w:val="Refdenotaalpie"/>
          <w:rFonts w:ascii="Abadi" w:hAnsi="Abadi"/>
          <w:sz w:val="12"/>
          <w:szCs w:val="12"/>
        </w:rPr>
        <w:footnoteRef/>
      </w:r>
      <w:r w:rsidRPr="004603AF">
        <w:rPr>
          <w:rFonts w:ascii="Abadi" w:hAnsi="Abadi"/>
          <w:sz w:val="12"/>
          <w:szCs w:val="12"/>
        </w:rPr>
        <w:t xml:space="preserve"> </w:t>
      </w:r>
      <w:r w:rsidRPr="004603AF">
        <w:rPr>
          <w:rFonts w:ascii="Abadi" w:hAnsi="Abadi" w:cs="*Calibri-11485-Identity-H"/>
          <w:color w:val="3B6E88"/>
          <w:sz w:val="12"/>
          <w:szCs w:val="12"/>
          <w:lang w:eastAsia="es-MX"/>
        </w:rPr>
        <w:t>htt</w:t>
      </w:r>
      <w:r w:rsidRPr="004603AF">
        <w:rPr>
          <w:rFonts w:ascii="Abadi" w:hAnsi="Abadi" w:cs="*Calibri-11485-Identity-H"/>
          <w:color w:val="337AA2"/>
          <w:sz w:val="12"/>
          <w:szCs w:val="12"/>
          <w:lang w:eastAsia="es-MX"/>
        </w:rPr>
        <w:t>p</w:t>
      </w:r>
      <w:r w:rsidRPr="004603AF">
        <w:rPr>
          <w:rFonts w:ascii="Abadi" w:hAnsi="Abadi" w:cs="*Calibri-11485-Identity-H"/>
          <w:color w:val="4E7D92"/>
          <w:sz w:val="12"/>
          <w:szCs w:val="12"/>
          <w:lang w:eastAsia="es-MX"/>
        </w:rPr>
        <w:t>s</w:t>
      </w:r>
      <w:r w:rsidRPr="004603AF">
        <w:rPr>
          <w:rFonts w:ascii="Abadi" w:hAnsi="Abadi" w:cs="*Calibri-11485-Identity-H"/>
          <w:color w:val="526468"/>
          <w:sz w:val="12"/>
          <w:szCs w:val="12"/>
          <w:lang w:eastAsia="es-MX"/>
        </w:rPr>
        <w:t>:</w:t>
      </w:r>
      <w:r w:rsidRPr="004603AF">
        <w:rPr>
          <w:rFonts w:ascii="Abadi" w:hAnsi="Abadi" w:cs="*Calibri-11485-Identity-H"/>
          <w:color w:val="3B6E88"/>
          <w:sz w:val="12"/>
          <w:szCs w:val="12"/>
          <w:lang w:eastAsia="es-MX"/>
        </w:rPr>
        <w:t>//www</w:t>
      </w:r>
      <w:r w:rsidRPr="004603AF">
        <w:rPr>
          <w:rFonts w:ascii="Abadi" w:hAnsi="Abadi" w:cs="*Calibri-11485-Identity-H"/>
          <w:color w:val="70857C"/>
          <w:sz w:val="12"/>
          <w:szCs w:val="12"/>
          <w:lang w:eastAsia="es-MX"/>
        </w:rPr>
        <w:t>.</w:t>
      </w:r>
      <w:r w:rsidRPr="004603AF">
        <w:rPr>
          <w:rFonts w:ascii="Abadi" w:hAnsi="Abadi" w:cs="*Calibri-11485-Identity-H"/>
          <w:color w:val="3B6E88"/>
          <w:sz w:val="12"/>
          <w:szCs w:val="12"/>
          <w:lang w:eastAsia="es-MX"/>
        </w:rPr>
        <w:t>con</w:t>
      </w:r>
      <w:r w:rsidRPr="004603AF">
        <w:rPr>
          <w:rFonts w:ascii="Abadi" w:hAnsi="Abadi" w:cs="*Calibri-11485-Identity-H"/>
          <w:color w:val="337AA2"/>
          <w:sz w:val="12"/>
          <w:szCs w:val="12"/>
          <w:lang w:eastAsia="es-MX"/>
        </w:rPr>
        <w:t>g</w:t>
      </w:r>
      <w:r w:rsidRPr="004603AF">
        <w:rPr>
          <w:rFonts w:ascii="Abadi" w:hAnsi="Abadi" w:cs="*Calibri-11485-Identity-H"/>
          <w:color w:val="345C7A"/>
          <w:sz w:val="12"/>
          <w:szCs w:val="12"/>
          <w:lang w:eastAsia="es-MX"/>
        </w:rPr>
        <w:t>r</w:t>
      </w:r>
      <w:r w:rsidRPr="004603AF">
        <w:rPr>
          <w:rFonts w:ascii="Abadi" w:hAnsi="Abadi" w:cs="*Calibri-11485-Identity-H"/>
          <w:color w:val="3B6E88"/>
          <w:sz w:val="12"/>
          <w:szCs w:val="12"/>
          <w:lang w:eastAsia="es-MX"/>
        </w:rPr>
        <w:t>eso</w:t>
      </w:r>
      <w:r w:rsidRPr="004603AF">
        <w:rPr>
          <w:rFonts w:ascii="Abadi" w:hAnsi="Abadi" w:cs="*Calibri-11485-Identity-H"/>
          <w:color w:val="337AA2"/>
          <w:sz w:val="12"/>
          <w:szCs w:val="12"/>
          <w:lang w:eastAsia="es-MX"/>
        </w:rPr>
        <w:t>g</w:t>
      </w:r>
      <w:r w:rsidRPr="004603AF">
        <w:rPr>
          <w:rFonts w:ascii="Abadi" w:hAnsi="Abadi" w:cs="*Calibri-11485-Identity-H"/>
          <w:color w:val="3B6E88"/>
          <w:sz w:val="12"/>
          <w:szCs w:val="12"/>
          <w:lang w:eastAsia="es-MX"/>
        </w:rPr>
        <w:t>to</w:t>
      </w:r>
      <w:r w:rsidRPr="004603AF">
        <w:rPr>
          <w:rFonts w:ascii="Abadi" w:hAnsi="Abadi" w:cs="*Calibri-11485-Identity-H"/>
          <w:color w:val="526468"/>
          <w:sz w:val="12"/>
          <w:szCs w:val="12"/>
          <w:lang w:eastAsia="es-MX"/>
        </w:rPr>
        <w:t>.</w:t>
      </w:r>
      <w:r w:rsidRPr="004603AF">
        <w:rPr>
          <w:rFonts w:ascii="Abadi" w:hAnsi="Abadi" w:cs="*Calibri-11485-Identity-H"/>
          <w:color w:val="337AA2"/>
          <w:sz w:val="12"/>
          <w:szCs w:val="12"/>
          <w:lang w:eastAsia="es-MX"/>
        </w:rPr>
        <w:t>g</w:t>
      </w:r>
      <w:r w:rsidRPr="004603AF">
        <w:rPr>
          <w:rFonts w:ascii="Abadi" w:hAnsi="Abadi" w:cs="*Calibri-11485-Identity-H"/>
          <w:color w:val="3B6E88"/>
          <w:sz w:val="12"/>
          <w:szCs w:val="12"/>
          <w:lang w:eastAsia="es-MX"/>
        </w:rPr>
        <w:t>ob</w:t>
      </w:r>
      <w:r w:rsidRPr="004603AF">
        <w:rPr>
          <w:rFonts w:ascii="Abadi" w:hAnsi="Abadi" w:cs="*Calibri-11485-Identity-H"/>
          <w:color w:val="738494"/>
          <w:sz w:val="12"/>
          <w:szCs w:val="12"/>
          <w:lang w:eastAsia="es-MX"/>
        </w:rPr>
        <w:t>.</w:t>
      </w:r>
      <w:r w:rsidRPr="004603AF">
        <w:rPr>
          <w:rFonts w:ascii="Abadi" w:hAnsi="Abadi" w:cs="*Calibri-11485-Identity-H"/>
          <w:color w:val="345C7A"/>
          <w:sz w:val="12"/>
          <w:szCs w:val="12"/>
          <w:lang w:eastAsia="es-MX"/>
        </w:rPr>
        <w:t>m</w:t>
      </w:r>
      <w:r w:rsidRPr="004603AF">
        <w:rPr>
          <w:rFonts w:ascii="Abadi" w:hAnsi="Abadi" w:cs="*Calibri-11485-Identity-H"/>
          <w:color w:val="3B6E88"/>
          <w:sz w:val="12"/>
          <w:szCs w:val="12"/>
          <w:lang w:eastAsia="es-MX"/>
        </w:rPr>
        <w:t>x</w:t>
      </w:r>
      <w:r w:rsidRPr="004603AF">
        <w:rPr>
          <w:rFonts w:ascii="Abadi" w:hAnsi="Abadi" w:cs="*Calibri-11485-Identity-H"/>
          <w:color w:val="337AA2"/>
          <w:sz w:val="12"/>
          <w:szCs w:val="12"/>
          <w:lang w:eastAsia="es-MX"/>
        </w:rPr>
        <w:t>/</w:t>
      </w:r>
    </w:p>
  </w:footnote>
  <w:footnote w:id="42">
    <w:p w14:paraId="608362C1" w14:textId="77777777" w:rsidR="004603AF" w:rsidRPr="004603AF" w:rsidRDefault="004603AF" w:rsidP="004603AF">
      <w:pPr>
        <w:autoSpaceDE w:val="0"/>
        <w:autoSpaceDN w:val="0"/>
        <w:adjustRightInd w:val="0"/>
        <w:jc w:val="both"/>
        <w:rPr>
          <w:rFonts w:ascii="Abadi" w:hAnsi="Abadi" w:cs="*Calibri-11485-Identity-H"/>
          <w:color w:val="3F718C"/>
          <w:sz w:val="12"/>
          <w:szCs w:val="12"/>
          <w:lang w:val="es-MX" w:eastAsia="es-MX"/>
        </w:rPr>
      </w:pPr>
      <w:r w:rsidRPr="004603AF">
        <w:rPr>
          <w:rStyle w:val="Refdenotaalpie"/>
          <w:rFonts w:ascii="Abadi" w:hAnsi="Abadi"/>
          <w:sz w:val="12"/>
          <w:szCs w:val="12"/>
        </w:rPr>
        <w:footnoteRef/>
      </w:r>
      <w:r w:rsidRPr="004603AF">
        <w:rPr>
          <w:rFonts w:ascii="Abadi" w:hAnsi="Abadi"/>
          <w:sz w:val="12"/>
          <w:szCs w:val="12"/>
        </w:rPr>
        <w:t xml:space="preserve"> </w:t>
      </w:r>
      <w:r w:rsidRPr="004603AF">
        <w:rPr>
          <w:rFonts w:ascii="Abadi" w:hAnsi="Abadi" w:cs="*Calibri-11485-Identity-H"/>
          <w:color w:val="3F718C"/>
          <w:sz w:val="12"/>
          <w:szCs w:val="12"/>
          <w:lang w:val="es-MX" w:eastAsia="es-MX"/>
        </w:rPr>
        <w:t xml:space="preserve">https </w:t>
      </w:r>
      <w:r w:rsidRPr="004603AF">
        <w:rPr>
          <w:rFonts w:ascii="Abadi" w:hAnsi="Abadi" w:cs="*Calibri-11485-Identity-H"/>
          <w:color w:val="385060"/>
          <w:sz w:val="12"/>
          <w:szCs w:val="12"/>
          <w:lang w:val="es-MX" w:eastAsia="es-MX"/>
        </w:rPr>
        <w:t>:</w:t>
      </w:r>
      <w:r w:rsidRPr="004603AF">
        <w:rPr>
          <w:rFonts w:ascii="Abadi" w:hAnsi="Abadi" w:cs="*Calibri-11485-Identity-H"/>
          <w:color w:val="2E5F84"/>
          <w:sz w:val="12"/>
          <w:szCs w:val="12"/>
          <w:lang w:val="es-MX" w:eastAsia="es-MX"/>
        </w:rPr>
        <w:t>//</w:t>
      </w:r>
      <w:r w:rsidRPr="004603AF">
        <w:rPr>
          <w:rFonts w:ascii="Abadi" w:hAnsi="Abadi" w:cs="*Calibri-11485-Identity-H"/>
          <w:color w:val="227698"/>
          <w:sz w:val="12"/>
          <w:szCs w:val="12"/>
          <w:lang w:val="es-MX" w:eastAsia="es-MX"/>
        </w:rPr>
        <w:t>b</w:t>
      </w:r>
      <w:r w:rsidRPr="004603AF">
        <w:rPr>
          <w:rFonts w:ascii="Abadi" w:hAnsi="Abadi" w:cs="*Calibri-11485-Identity-H"/>
          <w:color w:val="3F718C"/>
          <w:sz w:val="12"/>
          <w:szCs w:val="12"/>
          <w:lang w:val="es-MX" w:eastAsia="es-MX"/>
        </w:rPr>
        <w:t>o</w:t>
      </w:r>
      <w:r w:rsidRPr="004603AF">
        <w:rPr>
          <w:rFonts w:ascii="Abadi" w:hAnsi="Abadi" w:cs="*Calibri-11485-Identity-H"/>
          <w:color w:val="135784"/>
          <w:sz w:val="12"/>
          <w:szCs w:val="12"/>
          <w:lang w:val="es-MX" w:eastAsia="es-MX"/>
        </w:rPr>
        <w:t>l</w:t>
      </w:r>
      <w:r w:rsidRPr="004603AF">
        <w:rPr>
          <w:rFonts w:ascii="Abadi" w:hAnsi="Abadi" w:cs="*Calibri-11485-Identity-H"/>
          <w:color w:val="4C839D"/>
          <w:sz w:val="12"/>
          <w:szCs w:val="12"/>
          <w:lang w:val="es-MX" w:eastAsia="es-MX"/>
        </w:rPr>
        <w:t>e</w:t>
      </w:r>
      <w:r w:rsidRPr="004603AF">
        <w:rPr>
          <w:rFonts w:ascii="Abadi" w:hAnsi="Abadi" w:cs="*Calibri-11485-Identity-H"/>
          <w:color w:val="3F718C"/>
          <w:sz w:val="12"/>
          <w:szCs w:val="12"/>
          <w:lang w:val="es-MX" w:eastAsia="es-MX"/>
        </w:rPr>
        <w:t>t</w:t>
      </w:r>
      <w:r w:rsidRPr="004603AF">
        <w:rPr>
          <w:rFonts w:ascii="Abadi" w:hAnsi="Abadi" w:cs="*Calibri-11485-Identity-H"/>
          <w:color w:val="205870"/>
          <w:sz w:val="12"/>
          <w:szCs w:val="12"/>
          <w:lang w:val="es-MX" w:eastAsia="es-MX"/>
        </w:rPr>
        <w:t>i</w:t>
      </w:r>
      <w:r w:rsidRPr="004603AF">
        <w:rPr>
          <w:rFonts w:ascii="Abadi" w:hAnsi="Abadi" w:cs="*Calibri-11485-Identity-H"/>
          <w:color w:val="3365A4"/>
          <w:sz w:val="12"/>
          <w:szCs w:val="12"/>
          <w:lang w:val="es-MX" w:eastAsia="es-MX"/>
        </w:rPr>
        <w:t>n</w:t>
      </w:r>
      <w:r w:rsidRPr="004603AF">
        <w:rPr>
          <w:rFonts w:ascii="Abadi" w:hAnsi="Abadi" w:cs="*Calibri-11485-Identity-H"/>
          <w:color w:val="4C839D"/>
          <w:sz w:val="12"/>
          <w:szCs w:val="12"/>
          <w:lang w:val="es-MX" w:eastAsia="es-MX"/>
        </w:rPr>
        <w:t>e</w:t>
      </w:r>
      <w:r w:rsidRPr="004603AF">
        <w:rPr>
          <w:rFonts w:ascii="Abadi" w:hAnsi="Abadi" w:cs="*Calibri-11485-Identity-H"/>
          <w:color w:val="5F7A86"/>
          <w:sz w:val="12"/>
          <w:szCs w:val="12"/>
          <w:lang w:val="es-MX" w:eastAsia="es-MX"/>
        </w:rPr>
        <w:t xml:space="preserve">s. </w:t>
      </w:r>
      <w:r w:rsidRPr="004603AF">
        <w:rPr>
          <w:rFonts w:ascii="Abadi" w:hAnsi="Abadi" w:cs="*Calibri-11485-Identity-H"/>
          <w:color w:val="3F718C"/>
          <w:sz w:val="12"/>
          <w:szCs w:val="12"/>
          <w:lang w:val="es-MX" w:eastAsia="es-MX"/>
        </w:rPr>
        <w:t xml:space="preserve">gua na </w:t>
      </w:r>
      <w:r w:rsidRPr="004603AF">
        <w:rPr>
          <w:rFonts w:ascii="Abadi" w:hAnsi="Abadi" w:cs="*Calibri-11485-Identity-H"/>
          <w:color w:val="4C839D"/>
          <w:sz w:val="12"/>
          <w:szCs w:val="12"/>
          <w:lang w:val="es-MX" w:eastAsia="es-MX"/>
        </w:rPr>
        <w:t>j</w:t>
      </w:r>
      <w:r w:rsidRPr="004603AF">
        <w:rPr>
          <w:rFonts w:ascii="Abadi" w:hAnsi="Abadi" w:cs="*Calibri-11485-Identity-H"/>
          <w:color w:val="3F718C"/>
          <w:sz w:val="12"/>
          <w:szCs w:val="12"/>
          <w:lang w:val="es-MX" w:eastAsia="es-MX"/>
        </w:rPr>
        <w:t>u</w:t>
      </w:r>
      <w:r w:rsidRPr="004603AF">
        <w:rPr>
          <w:rFonts w:ascii="Abadi" w:hAnsi="Abadi" w:cs="*Calibri-11485-Identity-H"/>
          <w:color w:val="4C839D"/>
          <w:sz w:val="12"/>
          <w:szCs w:val="12"/>
          <w:lang w:val="es-MX" w:eastAsia="es-MX"/>
        </w:rPr>
        <w:t>at</w:t>
      </w:r>
      <w:r w:rsidRPr="004603AF">
        <w:rPr>
          <w:rFonts w:ascii="Abadi" w:hAnsi="Abadi" w:cs="*Calibri-11485-Identity-H"/>
          <w:color w:val="3F718C"/>
          <w:sz w:val="12"/>
          <w:szCs w:val="12"/>
          <w:lang w:val="es-MX" w:eastAsia="es-MX"/>
        </w:rPr>
        <w:t>o</w:t>
      </w:r>
      <w:r w:rsidRPr="004603AF">
        <w:rPr>
          <w:rFonts w:ascii="Abadi" w:hAnsi="Abadi" w:cs="*Calibri-11485-Identity-H"/>
          <w:color w:val="4D657A"/>
          <w:sz w:val="12"/>
          <w:szCs w:val="12"/>
          <w:lang w:val="es-MX" w:eastAsia="es-MX"/>
        </w:rPr>
        <w:t>.</w:t>
      </w:r>
      <w:r w:rsidRPr="004603AF">
        <w:rPr>
          <w:rFonts w:ascii="Abadi" w:hAnsi="Abadi" w:cs="*Calibri-11485-Identity-H"/>
          <w:color w:val="4C839D"/>
          <w:sz w:val="12"/>
          <w:szCs w:val="12"/>
          <w:lang w:val="es-MX" w:eastAsia="es-MX"/>
        </w:rPr>
        <w:t>g</w:t>
      </w:r>
      <w:r w:rsidRPr="004603AF">
        <w:rPr>
          <w:rFonts w:ascii="Abadi" w:hAnsi="Abadi" w:cs="*Calibri-11485-Identity-H"/>
          <w:color w:val="3F718C"/>
          <w:sz w:val="12"/>
          <w:szCs w:val="12"/>
          <w:lang w:val="es-MX" w:eastAsia="es-MX"/>
        </w:rPr>
        <w:t>ob</w:t>
      </w:r>
      <w:r w:rsidRPr="004603AF">
        <w:rPr>
          <w:rFonts w:ascii="Abadi" w:hAnsi="Abadi" w:cs="*Calibri-11485-Identity-H"/>
          <w:color w:val="5F7A86"/>
          <w:sz w:val="12"/>
          <w:szCs w:val="12"/>
          <w:lang w:val="es-MX" w:eastAsia="es-MX"/>
        </w:rPr>
        <w:t xml:space="preserve">. </w:t>
      </w:r>
      <w:r w:rsidRPr="004603AF">
        <w:rPr>
          <w:rFonts w:ascii="Abadi" w:hAnsi="Abadi" w:cs="*Calibri-11485-Identity-H"/>
          <w:color w:val="2E5F84"/>
          <w:sz w:val="12"/>
          <w:szCs w:val="12"/>
          <w:lang w:val="es-MX" w:eastAsia="es-MX"/>
        </w:rPr>
        <w:t>m</w:t>
      </w:r>
      <w:r w:rsidRPr="004603AF">
        <w:rPr>
          <w:rFonts w:ascii="Abadi" w:hAnsi="Abadi" w:cs="*Calibri-11485-Identity-H"/>
          <w:color w:val="3F718C"/>
          <w:sz w:val="12"/>
          <w:szCs w:val="12"/>
          <w:lang w:val="es-MX" w:eastAsia="es-MX"/>
        </w:rPr>
        <w:t>x/</w:t>
      </w:r>
      <w:r w:rsidRPr="004603AF">
        <w:rPr>
          <w:rFonts w:ascii="Abadi" w:hAnsi="Abadi" w:cs="*Calibri-11485-Identity-H"/>
          <w:color w:val="4C839D"/>
          <w:sz w:val="12"/>
          <w:szCs w:val="12"/>
          <w:lang w:val="es-MX" w:eastAsia="es-MX"/>
        </w:rPr>
        <w:t>2</w:t>
      </w:r>
      <w:r w:rsidRPr="004603AF">
        <w:rPr>
          <w:rFonts w:ascii="Abadi" w:hAnsi="Abadi" w:cs="*Calibri-11485-Identity-H"/>
          <w:color w:val="3F718C"/>
          <w:sz w:val="12"/>
          <w:szCs w:val="12"/>
          <w:lang w:val="es-MX" w:eastAsia="es-MX"/>
        </w:rPr>
        <w:t>0</w:t>
      </w:r>
      <w:r w:rsidRPr="004603AF">
        <w:rPr>
          <w:rFonts w:ascii="Abadi" w:hAnsi="Abadi" w:cs="*Calibri-11485-Identity-H"/>
          <w:color w:val="618697"/>
          <w:sz w:val="12"/>
          <w:szCs w:val="12"/>
          <w:lang w:val="es-MX" w:eastAsia="es-MX"/>
        </w:rPr>
        <w:t>2</w:t>
      </w:r>
      <w:r w:rsidRPr="004603AF">
        <w:rPr>
          <w:rFonts w:ascii="Abadi" w:hAnsi="Abadi" w:cs="*Calibri-11485-Identity-H"/>
          <w:color w:val="3F718C"/>
          <w:sz w:val="12"/>
          <w:szCs w:val="12"/>
          <w:lang w:val="es-MX" w:eastAsia="es-MX"/>
        </w:rPr>
        <w:t>1/</w:t>
      </w:r>
      <w:r w:rsidRPr="004603AF">
        <w:rPr>
          <w:rFonts w:ascii="Abadi" w:hAnsi="Abadi" w:cs="*Calibri-11485-Identity-H"/>
          <w:color w:val="4D657A"/>
          <w:sz w:val="12"/>
          <w:szCs w:val="12"/>
          <w:lang w:val="es-MX" w:eastAsia="es-MX"/>
        </w:rPr>
        <w:t>0</w:t>
      </w:r>
      <w:r w:rsidRPr="004603AF">
        <w:rPr>
          <w:rFonts w:ascii="Abadi" w:hAnsi="Abadi" w:cs="*Calibri-11485-Identity-H"/>
          <w:color w:val="3F718C"/>
          <w:sz w:val="12"/>
          <w:szCs w:val="12"/>
          <w:lang w:val="es-MX" w:eastAsia="es-MX"/>
        </w:rPr>
        <w:t>6</w:t>
      </w:r>
      <w:r w:rsidRPr="004603AF">
        <w:rPr>
          <w:rFonts w:ascii="Abadi" w:hAnsi="Abadi" w:cs="*Calibri-11485-Identity-H"/>
          <w:color w:val="2E5F84"/>
          <w:sz w:val="12"/>
          <w:szCs w:val="12"/>
          <w:lang w:val="es-MX" w:eastAsia="es-MX"/>
        </w:rPr>
        <w:t>/</w:t>
      </w:r>
      <w:r w:rsidRPr="004603AF">
        <w:rPr>
          <w:rFonts w:ascii="Abadi" w:hAnsi="Abadi" w:cs="*Calibri-11485-Identity-H"/>
          <w:color w:val="4C839D"/>
          <w:sz w:val="12"/>
          <w:szCs w:val="12"/>
          <w:lang w:val="es-MX" w:eastAsia="es-MX"/>
        </w:rPr>
        <w:t>2</w:t>
      </w:r>
      <w:r w:rsidRPr="004603AF">
        <w:rPr>
          <w:rFonts w:ascii="Abadi" w:hAnsi="Abadi" w:cs="*Calibri-11485-Identity-H"/>
          <w:color w:val="3F718C"/>
          <w:sz w:val="12"/>
          <w:szCs w:val="12"/>
          <w:lang w:val="es-MX" w:eastAsia="es-MX"/>
        </w:rPr>
        <w:t>5</w:t>
      </w:r>
      <w:r w:rsidRPr="004603AF">
        <w:rPr>
          <w:rFonts w:ascii="Abadi" w:hAnsi="Abadi" w:cs="*Calibri-11485-Identity-H"/>
          <w:color w:val="2E5F84"/>
          <w:sz w:val="12"/>
          <w:szCs w:val="12"/>
          <w:lang w:val="es-MX" w:eastAsia="es-MX"/>
        </w:rPr>
        <w:t xml:space="preserve">/ </w:t>
      </w:r>
      <w:r w:rsidRPr="004603AF">
        <w:rPr>
          <w:rFonts w:ascii="Abadi" w:hAnsi="Abadi" w:cs="*Calibri-11485-Identity-H"/>
          <w:color w:val="3F718C"/>
          <w:sz w:val="12"/>
          <w:szCs w:val="12"/>
          <w:lang w:val="es-MX" w:eastAsia="es-MX"/>
        </w:rPr>
        <w:t xml:space="preserve">con </w:t>
      </w:r>
      <w:r w:rsidRPr="004603AF">
        <w:rPr>
          <w:rFonts w:ascii="Abadi" w:hAnsi="Abadi" w:cs="*Calibri-11485-Identity-H"/>
          <w:color w:val="4C839D"/>
          <w:sz w:val="12"/>
          <w:szCs w:val="12"/>
          <w:lang w:val="es-MX" w:eastAsia="es-MX"/>
        </w:rPr>
        <w:t xml:space="preserve">me </w:t>
      </w:r>
      <w:r w:rsidRPr="004603AF">
        <w:rPr>
          <w:rFonts w:ascii="Abadi" w:hAnsi="Abadi" w:cs="*Calibri-11485-Identity-H"/>
          <w:color w:val="3365A4"/>
          <w:sz w:val="12"/>
          <w:szCs w:val="12"/>
          <w:lang w:val="es-MX" w:eastAsia="es-MX"/>
        </w:rPr>
        <w:t>m</w:t>
      </w:r>
      <w:r w:rsidRPr="004603AF">
        <w:rPr>
          <w:rFonts w:ascii="Abadi" w:hAnsi="Abadi" w:cs="*Calibri-11485-Identity-H"/>
          <w:color w:val="3F718C"/>
          <w:sz w:val="12"/>
          <w:szCs w:val="12"/>
          <w:lang w:val="es-MX" w:eastAsia="es-MX"/>
        </w:rPr>
        <w:t>ora</w:t>
      </w:r>
      <w:r w:rsidRPr="004603AF">
        <w:rPr>
          <w:rFonts w:ascii="Abadi" w:hAnsi="Abadi" w:cs="*Calibri-11485-Identity-H"/>
          <w:color w:val="2E5F84"/>
          <w:sz w:val="12"/>
          <w:szCs w:val="12"/>
          <w:lang w:val="es-MX" w:eastAsia="es-MX"/>
        </w:rPr>
        <w:t>n</w:t>
      </w:r>
      <w:r w:rsidRPr="004603AF">
        <w:rPr>
          <w:rFonts w:ascii="Abadi" w:hAnsi="Abadi" w:cs="*Calibri-11485-Identity-H"/>
          <w:color w:val="6998AD"/>
          <w:sz w:val="12"/>
          <w:szCs w:val="12"/>
          <w:lang w:val="es-MX" w:eastAsia="es-MX"/>
        </w:rPr>
        <w:t>-</w:t>
      </w:r>
      <w:r w:rsidRPr="004603AF">
        <w:rPr>
          <w:rFonts w:ascii="Abadi" w:hAnsi="Abadi" w:cs="*Calibri-11485-Identity-H"/>
          <w:color w:val="3F718C"/>
          <w:sz w:val="12"/>
          <w:szCs w:val="12"/>
          <w:lang w:val="es-MX" w:eastAsia="es-MX"/>
        </w:rPr>
        <w:t>e</w:t>
      </w:r>
      <w:r w:rsidRPr="004603AF">
        <w:rPr>
          <w:rFonts w:ascii="Abadi" w:hAnsi="Abadi" w:cs="*Calibri-11485-Identity-H"/>
          <w:color w:val="12575C"/>
          <w:sz w:val="12"/>
          <w:szCs w:val="12"/>
          <w:lang w:val="es-MX" w:eastAsia="es-MX"/>
        </w:rPr>
        <w:t>l</w:t>
      </w:r>
      <w:r w:rsidRPr="004603AF">
        <w:rPr>
          <w:rFonts w:ascii="Abadi" w:hAnsi="Abadi" w:cs="*Calibri-11485-Identity-H"/>
          <w:color w:val="718F8F"/>
          <w:sz w:val="12"/>
          <w:szCs w:val="12"/>
          <w:lang w:val="es-MX" w:eastAsia="es-MX"/>
        </w:rPr>
        <w:t>-</w:t>
      </w:r>
      <w:r w:rsidRPr="004603AF">
        <w:rPr>
          <w:rFonts w:ascii="Abadi" w:hAnsi="Abadi" w:cs="*Calibri-11485-Identity-H"/>
          <w:color w:val="4C85B1"/>
          <w:sz w:val="12"/>
          <w:szCs w:val="12"/>
          <w:lang w:val="es-MX" w:eastAsia="es-MX"/>
        </w:rPr>
        <w:t>p</w:t>
      </w:r>
      <w:r w:rsidRPr="004603AF">
        <w:rPr>
          <w:rFonts w:ascii="Abadi" w:hAnsi="Abadi" w:cs="*Calibri-11485-Identity-H"/>
          <w:color w:val="3581A6"/>
          <w:sz w:val="12"/>
          <w:szCs w:val="12"/>
          <w:lang w:val="es-MX" w:eastAsia="es-MX"/>
        </w:rPr>
        <w:t>r</w:t>
      </w:r>
      <w:r w:rsidRPr="004603AF">
        <w:rPr>
          <w:rFonts w:ascii="Abadi" w:hAnsi="Abadi" w:cs="*Calibri-11485-Identity-H"/>
          <w:color w:val="485C8D"/>
          <w:sz w:val="12"/>
          <w:szCs w:val="12"/>
          <w:lang w:val="es-MX" w:eastAsia="es-MX"/>
        </w:rPr>
        <w:t>i</w:t>
      </w:r>
      <w:r w:rsidRPr="004603AF">
        <w:rPr>
          <w:rFonts w:ascii="Abadi" w:hAnsi="Abadi" w:cs="*Calibri-11485-Identity-H"/>
          <w:color w:val="3F718C"/>
          <w:sz w:val="12"/>
          <w:szCs w:val="12"/>
          <w:lang w:val="es-MX" w:eastAsia="es-MX"/>
        </w:rPr>
        <w:t>m</w:t>
      </w:r>
      <w:r w:rsidRPr="004603AF">
        <w:rPr>
          <w:rFonts w:ascii="Abadi" w:hAnsi="Abadi" w:cs="*Calibri-11485-Identity-H"/>
          <w:color w:val="4C839D"/>
          <w:sz w:val="12"/>
          <w:szCs w:val="12"/>
          <w:lang w:val="es-MX" w:eastAsia="es-MX"/>
        </w:rPr>
        <w:t>e r</w:t>
      </w:r>
      <w:r w:rsidRPr="004603AF">
        <w:rPr>
          <w:rFonts w:ascii="Abadi" w:hAnsi="Abadi" w:cs="*Calibri-11485-Identity-H"/>
          <w:color w:val="5F7A86"/>
          <w:sz w:val="12"/>
          <w:szCs w:val="12"/>
          <w:lang w:val="es-MX" w:eastAsia="es-MX"/>
        </w:rPr>
        <w:t>-</w:t>
      </w:r>
      <w:r w:rsidRPr="004603AF">
        <w:rPr>
          <w:rFonts w:ascii="Abadi" w:hAnsi="Abadi" w:cs="*Calibri-11485-Identity-H"/>
          <w:color w:val="3F718C"/>
          <w:sz w:val="12"/>
          <w:szCs w:val="12"/>
          <w:lang w:val="es-MX" w:eastAsia="es-MX"/>
        </w:rPr>
        <w:t>d</w:t>
      </w:r>
      <w:r w:rsidRPr="004603AF">
        <w:rPr>
          <w:rFonts w:ascii="Abadi" w:hAnsi="Abadi" w:cs="*Calibri-11485-Identity-H"/>
          <w:color w:val="3581A6"/>
          <w:sz w:val="12"/>
          <w:szCs w:val="12"/>
          <w:lang w:val="es-MX" w:eastAsia="es-MX"/>
        </w:rPr>
        <w:t>l</w:t>
      </w:r>
      <w:r w:rsidRPr="004603AF">
        <w:rPr>
          <w:rFonts w:ascii="Abadi" w:hAnsi="Abadi" w:cs="*Calibri-11485-Identity-H"/>
          <w:color w:val="3F718C"/>
          <w:sz w:val="12"/>
          <w:szCs w:val="12"/>
          <w:lang w:val="es-MX" w:eastAsia="es-MX"/>
        </w:rPr>
        <w:t>a</w:t>
      </w:r>
      <w:r w:rsidRPr="004603AF">
        <w:rPr>
          <w:rFonts w:ascii="Abadi" w:hAnsi="Abadi" w:cs="*Calibri-11485-Identity-H"/>
          <w:color w:val="5F7A86"/>
          <w:sz w:val="12"/>
          <w:szCs w:val="12"/>
          <w:lang w:val="es-MX" w:eastAsia="es-MX"/>
        </w:rPr>
        <w:t>-</w:t>
      </w:r>
      <w:r w:rsidRPr="004603AF">
        <w:rPr>
          <w:rFonts w:ascii="Abadi" w:hAnsi="Abadi" w:cs="*Calibri-11485-Identity-H"/>
          <w:color w:val="4C839D"/>
          <w:sz w:val="12"/>
          <w:szCs w:val="12"/>
          <w:lang w:val="es-MX" w:eastAsia="es-MX"/>
        </w:rPr>
        <w:t>e</w:t>
      </w:r>
      <w:r w:rsidRPr="004603AF">
        <w:rPr>
          <w:rFonts w:ascii="Abadi" w:hAnsi="Abadi" w:cs="*Calibri-11485-Identity-H"/>
          <w:color w:val="3F718C"/>
          <w:sz w:val="12"/>
          <w:szCs w:val="12"/>
          <w:lang w:val="es-MX" w:eastAsia="es-MX"/>
        </w:rPr>
        <w:t>s ta tal</w:t>
      </w:r>
      <w:r w:rsidRPr="004603AF">
        <w:rPr>
          <w:rFonts w:ascii="Abadi" w:hAnsi="Abadi" w:cs="*Calibri-11485-Identity-H"/>
          <w:color w:val="718F8F"/>
          <w:sz w:val="12"/>
          <w:szCs w:val="12"/>
          <w:lang w:val="es-MX" w:eastAsia="es-MX"/>
        </w:rPr>
        <w:t>-</w:t>
      </w:r>
      <w:r w:rsidRPr="004603AF">
        <w:rPr>
          <w:rFonts w:ascii="Abadi" w:hAnsi="Abadi" w:cs="*Calibri-11485-Identity-H"/>
          <w:color w:val="2E5F84"/>
          <w:sz w:val="12"/>
          <w:szCs w:val="12"/>
          <w:lang w:val="es-MX" w:eastAsia="es-MX"/>
        </w:rPr>
        <w:t>d</w:t>
      </w:r>
      <w:r w:rsidRPr="004603AF">
        <w:rPr>
          <w:rFonts w:ascii="Abadi" w:hAnsi="Abadi" w:cs="*Calibri-11485-Identity-H"/>
          <w:color w:val="3F718C"/>
          <w:sz w:val="12"/>
          <w:szCs w:val="12"/>
          <w:lang w:val="es-MX" w:eastAsia="es-MX"/>
        </w:rPr>
        <w:t xml:space="preserve">e </w:t>
      </w:r>
      <w:r w:rsidRPr="004603AF">
        <w:rPr>
          <w:rFonts w:ascii="Abadi" w:hAnsi="Abadi" w:cs="*Calibri-11485-Identity-H"/>
          <w:color w:val="1B4FA4"/>
          <w:sz w:val="12"/>
          <w:szCs w:val="12"/>
          <w:lang w:val="es-MX" w:eastAsia="es-MX"/>
        </w:rPr>
        <w:t>1</w:t>
      </w:r>
      <w:r w:rsidRPr="004603AF">
        <w:rPr>
          <w:rFonts w:ascii="Abadi" w:hAnsi="Abadi" w:cs="*Calibri-11485-Identity-H"/>
          <w:color w:val="718F8F"/>
          <w:sz w:val="12"/>
          <w:szCs w:val="12"/>
          <w:lang w:val="es-MX" w:eastAsia="es-MX"/>
        </w:rPr>
        <w:t>-</w:t>
      </w:r>
      <w:r w:rsidRPr="004603AF">
        <w:rPr>
          <w:rFonts w:ascii="Abadi" w:hAnsi="Abadi" w:cs="*Calibri-11485-Identity-H"/>
          <w:color w:val="4C839D"/>
          <w:sz w:val="12"/>
          <w:szCs w:val="12"/>
          <w:lang w:val="es-MX" w:eastAsia="es-MX"/>
        </w:rPr>
        <w:t>c</w:t>
      </w:r>
      <w:r w:rsidRPr="004603AF">
        <w:rPr>
          <w:rFonts w:ascii="Abadi" w:hAnsi="Abadi" w:cs="*Calibri-11485-Identity-H"/>
          <w:color w:val="3F718C"/>
          <w:sz w:val="12"/>
          <w:szCs w:val="12"/>
          <w:lang w:val="es-MX" w:eastAsia="es-MX"/>
        </w:rPr>
        <w:t xml:space="preserve">ro </w:t>
      </w:r>
      <w:r w:rsidRPr="004603AF">
        <w:rPr>
          <w:rFonts w:ascii="Abadi" w:hAnsi="Abadi" w:cs="*Calibri-11485-Identity-H"/>
          <w:color w:val="2E5F84"/>
          <w:sz w:val="12"/>
          <w:szCs w:val="12"/>
          <w:lang w:val="es-MX" w:eastAsia="es-MX"/>
        </w:rPr>
        <w:t>n l</w:t>
      </w:r>
      <w:r w:rsidRPr="004603AF">
        <w:rPr>
          <w:rFonts w:ascii="Abadi" w:hAnsi="Abadi" w:cs="*Calibri-11485-Identity-H"/>
          <w:color w:val="5F7A86"/>
          <w:sz w:val="12"/>
          <w:szCs w:val="12"/>
          <w:lang w:val="es-MX" w:eastAsia="es-MX"/>
        </w:rPr>
        <w:t>s</w:t>
      </w:r>
      <w:r w:rsidRPr="004603AF">
        <w:rPr>
          <w:rFonts w:ascii="Abadi" w:hAnsi="Abadi" w:cs="*Calibri-11485-Identity-H"/>
          <w:color w:val="3F718C"/>
          <w:sz w:val="12"/>
          <w:szCs w:val="12"/>
          <w:lang w:val="es-MX" w:eastAsia="es-MX"/>
        </w:rPr>
        <w:t>ta</w:t>
      </w:r>
      <w:r w:rsidRPr="004603AF">
        <w:rPr>
          <w:rFonts w:ascii="Abadi" w:hAnsi="Abadi" w:cs="*Calibri-11485-Identity-H"/>
          <w:color w:val="838F9C"/>
          <w:sz w:val="12"/>
          <w:szCs w:val="12"/>
          <w:lang w:val="es-MX" w:eastAsia="es-MX"/>
        </w:rPr>
        <w:t>-</w:t>
      </w:r>
      <w:r w:rsidRPr="004603AF">
        <w:rPr>
          <w:rFonts w:ascii="Abadi" w:hAnsi="Abadi" w:cs="*Calibri-11485-Identity-H"/>
          <w:color w:val="4C839D"/>
          <w:sz w:val="12"/>
          <w:szCs w:val="12"/>
          <w:lang w:val="es-MX" w:eastAsia="es-MX"/>
        </w:rPr>
        <w:t>e</w:t>
      </w:r>
      <w:r w:rsidRPr="004603AF">
        <w:rPr>
          <w:rFonts w:ascii="Abadi" w:hAnsi="Abadi" w:cs="*Calibri-11485-Identity-H"/>
          <w:color w:val="3F718C"/>
          <w:sz w:val="12"/>
          <w:szCs w:val="12"/>
          <w:lang w:val="es-MX" w:eastAsia="es-MX"/>
        </w:rPr>
        <w:t>ng</w:t>
      </w:r>
      <w:r w:rsidRPr="004603AF">
        <w:rPr>
          <w:rFonts w:ascii="Abadi" w:hAnsi="Abadi" w:cs="*Calibri-11485-Identity-H"/>
          <w:color w:val="2E5F84"/>
          <w:sz w:val="12"/>
          <w:szCs w:val="12"/>
          <w:lang w:val="es-MX" w:eastAsia="es-MX"/>
        </w:rPr>
        <w:t>u</w:t>
      </w:r>
      <w:r w:rsidRPr="004603AF">
        <w:rPr>
          <w:rFonts w:ascii="Abadi" w:hAnsi="Abadi" w:cs="*Calibri-11485-Identity-H"/>
          <w:color w:val="3F718C"/>
          <w:sz w:val="12"/>
          <w:szCs w:val="12"/>
          <w:lang w:val="es-MX" w:eastAsia="es-MX"/>
        </w:rPr>
        <w:t>a</w:t>
      </w:r>
    </w:p>
    <w:p w14:paraId="3A845F56" w14:textId="2B706AE5" w:rsidR="004603AF" w:rsidRPr="004603AF" w:rsidRDefault="004603AF" w:rsidP="004603AF">
      <w:pPr>
        <w:pStyle w:val="Textonotapie"/>
        <w:jc w:val="both"/>
        <w:rPr>
          <w:rFonts w:ascii="Abadi" w:hAnsi="Abadi"/>
          <w:sz w:val="12"/>
          <w:szCs w:val="12"/>
        </w:rPr>
      </w:pPr>
      <w:r w:rsidRPr="004603AF">
        <w:rPr>
          <w:rFonts w:ascii="Abadi" w:hAnsi="Abadi" w:cs="*Calibri-11485-Identity-H"/>
          <w:color w:val="3F718C"/>
          <w:sz w:val="12"/>
          <w:szCs w:val="12"/>
          <w:lang w:eastAsia="es-MX"/>
        </w:rPr>
        <w:t xml:space="preserve">naju </w:t>
      </w:r>
      <w:r w:rsidRPr="004603AF">
        <w:rPr>
          <w:rFonts w:ascii="Abadi" w:hAnsi="Abadi" w:cs="*Calibri-11485-Identity-H"/>
          <w:color w:val="4C839D"/>
          <w:sz w:val="12"/>
          <w:szCs w:val="12"/>
          <w:lang w:eastAsia="es-MX"/>
        </w:rPr>
        <w:t xml:space="preserve">a </w:t>
      </w:r>
      <w:r w:rsidRPr="004603AF">
        <w:rPr>
          <w:rFonts w:ascii="Abadi" w:hAnsi="Abadi" w:cs="*Calibri-11485-Identity-H"/>
          <w:color w:val="3F718C"/>
          <w:sz w:val="12"/>
          <w:szCs w:val="12"/>
          <w:lang w:eastAsia="es-MX"/>
        </w:rPr>
        <w:t>to/</w:t>
      </w:r>
    </w:p>
  </w:footnote>
  <w:footnote w:id="43">
    <w:p w14:paraId="2815F99C" w14:textId="478367E1" w:rsidR="00030004" w:rsidRPr="002318E2" w:rsidRDefault="00030004" w:rsidP="002318E2">
      <w:pPr>
        <w:pStyle w:val="Textonotapie"/>
        <w:jc w:val="both"/>
        <w:rPr>
          <w:rFonts w:ascii="Abadi" w:hAnsi="Abadi"/>
          <w:sz w:val="12"/>
          <w:szCs w:val="12"/>
        </w:rPr>
      </w:pPr>
      <w:r w:rsidRPr="002318E2">
        <w:rPr>
          <w:rStyle w:val="Refdenotaalpie"/>
          <w:rFonts w:ascii="Abadi" w:hAnsi="Abadi"/>
          <w:sz w:val="12"/>
          <w:szCs w:val="12"/>
        </w:rPr>
        <w:footnoteRef/>
      </w:r>
      <w:r w:rsidRPr="002318E2">
        <w:rPr>
          <w:rFonts w:ascii="Abadi" w:hAnsi="Abadi"/>
          <w:sz w:val="12"/>
          <w:szCs w:val="12"/>
        </w:rPr>
        <w:t xml:space="preserve"> Artículo 3 de la Ley de Transparencia y Acceso a la Información Pública para el Estado de Guanajuato  </w:t>
      </w:r>
    </w:p>
  </w:footnote>
  <w:footnote w:id="44">
    <w:p w14:paraId="7B382BCD" w14:textId="027F2773" w:rsidR="00E86864" w:rsidRPr="002318E2" w:rsidRDefault="00E86864" w:rsidP="002318E2">
      <w:pPr>
        <w:pStyle w:val="Textonotapie"/>
        <w:jc w:val="both"/>
        <w:rPr>
          <w:rFonts w:ascii="Abadi" w:hAnsi="Abadi"/>
          <w:sz w:val="12"/>
          <w:szCs w:val="12"/>
        </w:rPr>
      </w:pPr>
      <w:r w:rsidRPr="002318E2">
        <w:rPr>
          <w:rStyle w:val="Refdenotaalpie"/>
          <w:rFonts w:ascii="Abadi" w:hAnsi="Abadi"/>
          <w:sz w:val="12"/>
          <w:szCs w:val="12"/>
        </w:rPr>
        <w:footnoteRef/>
      </w:r>
      <w:r w:rsidRPr="002318E2">
        <w:rPr>
          <w:rFonts w:ascii="Abadi" w:hAnsi="Abadi"/>
          <w:sz w:val="12"/>
          <w:szCs w:val="12"/>
        </w:rPr>
        <w:t xml:space="preserve"> Artículo 5 de la Ley de Transparencia y Acceso a la Información Pública para el Estado de Guanajuato.  </w:t>
      </w:r>
    </w:p>
  </w:footnote>
  <w:footnote w:id="45">
    <w:p w14:paraId="2E2BDDC6" w14:textId="367D4016" w:rsidR="00A674CD" w:rsidRPr="00B73458" w:rsidRDefault="00A674CD" w:rsidP="00B73458">
      <w:pPr>
        <w:pStyle w:val="Textonotapie"/>
        <w:jc w:val="both"/>
        <w:rPr>
          <w:rFonts w:ascii="Abadi" w:hAnsi="Abadi"/>
          <w:sz w:val="12"/>
          <w:szCs w:val="12"/>
        </w:rPr>
      </w:pPr>
      <w:r w:rsidRPr="00B73458">
        <w:rPr>
          <w:rFonts w:ascii="Abadi" w:hAnsi="Abadi"/>
          <w:sz w:val="12"/>
          <w:szCs w:val="12"/>
        </w:rPr>
        <w:footnoteRef/>
      </w:r>
      <w:r w:rsidRPr="00B73458">
        <w:rPr>
          <w:rFonts w:ascii="Abadi" w:hAnsi="Abadi"/>
          <w:sz w:val="12"/>
          <w:szCs w:val="12"/>
        </w:rPr>
        <w:t xml:space="preserve"> Artículo 8, fracción VIII de la Ley de Transparencia y Acceso a la Información Pública para el Estado de Guanajuato.  </w:t>
      </w:r>
    </w:p>
  </w:footnote>
  <w:footnote w:id="46">
    <w:p w14:paraId="62B98E6F" w14:textId="6B0A330B" w:rsidR="00CF69F8" w:rsidRPr="00CF69F8" w:rsidRDefault="00CF69F8">
      <w:pPr>
        <w:pStyle w:val="Textonotapie"/>
        <w:rPr>
          <w:sz w:val="12"/>
          <w:szCs w:val="12"/>
        </w:rPr>
      </w:pPr>
      <w:r>
        <w:rPr>
          <w:rStyle w:val="Refdenotaalpie"/>
        </w:rPr>
        <w:footnoteRef/>
      </w:r>
      <w:r>
        <w:t xml:space="preserve"> </w:t>
      </w:r>
      <w:hyperlink r:id="rId4" w:history="1">
        <w:r w:rsidRPr="00F170C7">
          <w:rPr>
            <w:rStyle w:val="Hipervnculo"/>
            <w:sz w:val="12"/>
            <w:szCs w:val="12"/>
          </w:rPr>
          <w:t>https://www.youtube.com/watch?v=L0hkFQjA-eg</w:t>
        </w:r>
      </w:hyperlink>
      <w:r>
        <w:rPr>
          <w:sz w:val="12"/>
          <w:szCs w:val="12"/>
        </w:rPr>
        <w:t xml:space="preserve"> </w:t>
      </w:r>
    </w:p>
  </w:footnote>
  <w:footnote w:id="47">
    <w:p w14:paraId="7246A504" w14:textId="74C1FF4E" w:rsidR="00CF69F8" w:rsidRPr="00807F46" w:rsidRDefault="00CF69F8">
      <w:pPr>
        <w:pStyle w:val="Textonotapie"/>
        <w:rPr>
          <w:rFonts w:ascii="Abadi" w:hAnsi="Abadi"/>
        </w:rPr>
      </w:pPr>
      <w:r>
        <w:rPr>
          <w:rStyle w:val="Refdenotaalpie"/>
        </w:rPr>
        <w:footnoteRef/>
      </w:r>
      <w:r>
        <w:t xml:space="preserve"> </w:t>
      </w:r>
      <w:r w:rsidR="00807F46" w:rsidRPr="00807F46">
        <w:rPr>
          <w:rFonts w:ascii="Abadi" w:hAnsi="Abadi"/>
          <w:sz w:val="12"/>
          <w:szCs w:val="12"/>
        </w:rPr>
        <w:t xml:space="preserve">Norma Oficial Mexicana NOM-010-SCFI-1994, instrumentos de medición-instrumentos para pesar de funcionamiento no automático-requisitos técnicos y metrológicos </w:t>
      </w:r>
    </w:p>
  </w:footnote>
  <w:footnote w:id="48">
    <w:p w14:paraId="03E76B86" w14:textId="77777777" w:rsidR="00DE623A" w:rsidRPr="00E22C03" w:rsidRDefault="00DE623A" w:rsidP="00DE623A">
      <w:pPr>
        <w:pStyle w:val="Textonotapie"/>
        <w:jc w:val="both"/>
        <w:rPr>
          <w:sz w:val="18"/>
          <w:szCs w:val="18"/>
        </w:rPr>
      </w:pPr>
      <w:r>
        <w:rPr>
          <w:rStyle w:val="Refdenotaalpie"/>
          <w:rFonts w:eastAsia="Calibri"/>
        </w:rPr>
        <w:footnoteRef/>
      </w:r>
      <w:r>
        <w:t xml:space="preserve"> </w:t>
      </w:r>
      <w:r w:rsidRPr="00DE623A">
        <w:rPr>
          <w:rFonts w:ascii="Abadi" w:hAnsi="Abadi"/>
          <w:sz w:val="12"/>
          <w:szCs w:val="12"/>
        </w:rPr>
        <w:t>LOS MECANISMOS DE DEMOCRACIA Y LAS FORMAS DE PARTICIPACIÓN CIUDADANA EN MÉXICO: FORTALEZAS Y OPORTUNIDADES. Consultable en: https://www.ceenl.mx/archivos/20210908/MecanismosdeParticipacion.</w:t>
      </w:r>
    </w:p>
  </w:footnote>
  <w:footnote w:id="49">
    <w:p w14:paraId="6014AFC5" w14:textId="77777777" w:rsidR="00DE623A" w:rsidRPr="005433FA" w:rsidRDefault="00DE623A" w:rsidP="00DE623A">
      <w:pPr>
        <w:pStyle w:val="Textonotapie"/>
        <w:rPr>
          <w:rFonts w:ascii="Abadi" w:hAnsi="Abadi"/>
          <w:sz w:val="12"/>
          <w:szCs w:val="12"/>
        </w:rPr>
      </w:pPr>
      <w:r>
        <w:rPr>
          <w:rStyle w:val="Refdenotaalpie"/>
          <w:rFonts w:eastAsia="Calibri"/>
        </w:rPr>
        <w:footnoteRef/>
      </w:r>
      <w:r>
        <w:t xml:space="preserve"> </w:t>
      </w:r>
      <w:r w:rsidRPr="005433FA">
        <w:rPr>
          <w:rFonts w:ascii="Abadi" w:hAnsi="Abadi"/>
          <w:sz w:val="12"/>
          <w:szCs w:val="12"/>
        </w:rPr>
        <w:t>Téllez, 2015, p. 14; Olvera, 2009, p. 8.</w:t>
      </w:r>
    </w:p>
  </w:footnote>
  <w:footnote w:id="50">
    <w:p w14:paraId="14A80C55" w14:textId="3EA22396" w:rsidR="00DE623A" w:rsidRPr="00860767" w:rsidRDefault="00DE623A" w:rsidP="00DE623A">
      <w:pPr>
        <w:pStyle w:val="Prrafodelista"/>
        <w:widowControl w:val="0"/>
        <w:tabs>
          <w:tab w:val="left" w:pos="0"/>
        </w:tabs>
        <w:spacing w:before="53" w:line="283" w:lineRule="auto"/>
        <w:ind w:left="0" w:right="69"/>
        <w:jc w:val="both"/>
        <w:rPr>
          <w:sz w:val="18"/>
          <w:szCs w:val="18"/>
        </w:rPr>
      </w:pPr>
      <w:r>
        <w:rPr>
          <w:rStyle w:val="Refdenotaalpie"/>
          <w:rFonts w:eastAsia="Calibri"/>
        </w:rPr>
        <w:footnoteRef/>
      </w:r>
      <w:r>
        <w:t xml:space="preserve"> </w:t>
      </w:r>
      <w:r w:rsidRPr="005433FA">
        <w:rPr>
          <w:rFonts w:ascii="Abadi" w:hAnsi="Abadi"/>
          <w:sz w:val="12"/>
          <w:szCs w:val="12"/>
        </w:rPr>
        <w:t>Dahl,</w:t>
      </w:r>
      <w:r w:rsidR="005433FA">
        <w:rPr>
          <w:rFonts w:ascii="Abadi" w:hAnsi="Abadi"/>
          <w:sz w:val="12"/>
          <w:szCs w:val="12"/>
        </w:rPr>
        <w:t xml:space="preserve"> </w:t>
      </w:r>
      <w:r w:rsidRPr="005433FA">
        <w:rPr>
          <w:rFonts w:ascii="Abadi" w:hAnsi="Abadi"/>
          <w:sz w:val="12"/>
          <w:szCs w:val="12"/>
        </w:rPr>
        <w:t>1993; Schnell, 2020. Consultable en: https://revista.cgu.gov.br/Revista_da_CGU/article/view/384</w:t>
      </w:r>
    </w:p>
  </w:footnote>
  <w:footnote w:id="51">
    <w:p w14:paraId="6605341E" w14:textId="77777777" w:rsidR="009453F4" w:rsidRPr="008E242C" w:rsidRDefault="009453F4" w:rsidP="009453F4">
      <w:pPr>
        <w:autoSpaceDE w:val="0"/>
        <w:autoSpaceDN w:val="0"/>
        <w:adjustRightInd w:val="0"/>
        <w:jc w:val="both"/>
        <w:rPr>
          <w:sz w:val="18"/>
          <w:szCs w:val="18"/>
          <w:lang w:val="es-MX"/>
        </w:rPr>
      </w:pPr>
      <w:r>
        <w:rPr>
          <w:rStyle w:val="Refdenotaalpie"/>
        </w:rPr>
        <w:footnoteRef/>
      </w:r>
      <w:r>
        <w:t xml:space="preserve"> </w:t>
      </w:r>
      <w:r w:rsidRPr="008E242C">
        <w:rPr>
          <w:rFonts w:ascii="Amasis MT Pro" w:eastAsia="Calibri" w:hAnsi="Amasis MT Pro" w:cs="Amasis MT Pro"/>
          <w:sz w:val="18"/>
          <w:szCs w:val="18"/>
          <w:lang w:val="es-MX" w:eastAsia="es-MX"/>
        </w:rPr>
        <w:t>Sobre este problema ver por favor el esclarecedor artículo de Lorusso, Fabrizio (2021). Una</w:t>
      </w:r>
      <w:r>
        <w:rPr>
          <w:rFonts w:ascii="Amasis MT Pro" w:eastAsia="Calibri" w:hAnsi="Amasis MT Pro" w:cs="Amasis MT Pro"/>
          <w:sz w:val="18"/>
          <w:szCs w:val="18"/>
          <w:lang w:val="es-MX" w:eastAsia="es-MX"/>
        </w:rPr>
        <w:t xml:space="preserve"> </w:t>
      </w:r>
      <w:r w:rsidRPr="008E242C">
        <w:rPr>
          <w:rFonts w:ascii="Amasis MT Pro" w:eastAsia="Calibri" w:hAnsi="Amasis MT Pro" w:cs="Amasis MT Pro"/>
          <w:sz w:val="18"/>
          <w:szCs w:val="18"/>
          <w:lang w:val="es-MX" w:eastAsia="es-MX"/>
        </w:rPr>
        <w:t>discusión sobre el concepto de fosa clandestina y el contexto mexicano: el caso de Guanajuato.</w:t>
      </w:r>
      <w:r>
        <w:rPr>
          <w:rFonts w:ascii="Amasis MT Pro" w:eastAsia="Calibri" w:hAnsi="Amasis MT Pro" w:cs="Amasis MT Pro"/>
          <w:sz w:val="18"/>
          <w:szCs w:val="18"/>
          <w:lang w:val="es-MX" w:eastAsia="es-MX"/>
        </w:rPr>
        <w:t xml:space="preserve"> </w:t>
      </w:r>
      <w:r w:rsidRPr="008E242C">
        <w:rPr>
          <w:rFonts w:ascii="Amasis MT Pro,Italic" w:eastAsia="Calibri" w:hAnsi="Amasis MT Pro,Italic" w:cs="Amasis MT Pro,Italic"/>
          <w:i/>
          <w:iCs/>
          <w:sz w:val="18"/>
          <w:szCs w:val="18"/>
          <w:lang w:val="es-MX" w:eastAsia="es-MX"/>
        </w:rPr>
        <w:t>Revista Historiografía</w:t>
      </w:r>
      <w:r w:rsidRPr="008E242C">
        <w:rPr>
          <w:rFonts w:ascii="Amasis MT Pro" w:eastAsia="Calibri" w:hAnsi="Amasis MT Pro" w:cs="Amasis MT Pro"/>
          <w:sz w:val="18"/>
          <w:szCs w:val="18"/>
          <w:lang w:val="es-MX" w:eastAsia="es-MX"/>
        </w:rPr>
        <w:t>. Núm. 56 (2021): La fisura y la ausencia. Ibero Cd. De México – Conacyt.</w:t>
      </w:r>
    </w:p>
  </w:footnote>
  <w:footnote w:id="52">
    <w:p w14:paraId="70AD51A4" w14:textId="77777777" w:rsidR="009453F4" w:rsidRPr="00B81EE1" w:rsidRDefault="009453F4" w:rsidP="009453F4">
      <w:pPr>
        <w:autoSpaceDE w:val="0"/>
        <w:autoSpaceDN w:val="0"/>
        <w:adjustRightInd w:val="0"/>
        <w:jc w:val="both"/>
        <w:rPr>
          <w:sz w:val="18"/>
          <w:szCs w:val="18"/>
          <w:lang w:val="es-MX"/>
        </w:rPr>
      </w:pPr>
      <w:r>
        <w:rPr>
          <w:rStyle w:val="Refdenotaalpie"/>
        </w:rPr>
        <w:footnoteRef/>
      </w:r>
      <w:r>
        <w:t xml:space="preserve"> </w:t>
      </w:r>
      <w:r w:rsidRPr="00B81EE1">
        <w:rPr>
          <w:rFonts w:ascii="Amasis MT Pro" w:eastAsia="Calibri" w:hAnsi="Amasis MT Pro" w:cs="Amasis MT Pro"/>
          <w:color w:val="000000"/>
          <w:sz w:val="18"/>
          <w:szCs w:val="18"/>
          <w:lang w:val="es-MX" w:eastAsia="es-MX"/>
        </w:rPr>
        <w:t>Informe sobre la situación de fosas clandestinas en el estado de Guanajuato (enero de 2009 a</w:t>
      </w:r>
      <w:r>
        <w:rPr>
          <w:rFonts w:ascii="Amasis MT Pro" w:eastAsia="Calibri" w:hAnsi="Amasis MT Pro" w:cs="Amasis MT Pro"/>
          <w:color w:val="000000"/>
          <w:sz w:val="18"/>
          <w:szCs w:val="18"/>
          <w:lang w:val="es-MX" w:eastAsia="es-MX"/>
        </w:rPr>
        <w:t xml:space="preserve"> </w:t>
      </w:r>
      <w:r w:rsidRPr="00B81EE1">
        <w:rPr>
          <w:rFonts w:ascii="Amasis MT Pro" w:eastAsia="Calibri" w:hAnsi="Amasis MT Pro" w:cs="Amasis MT Pro"/>
          <w:color w:val="000000"/>
          <w:sz w:val="18"/>
          <w:szCs w:val="18"/>
          <w:lang w:val="es-MX" w:eastAsia="es-MX"/>
        </w:rPr>
        <w:t xml:space="preserve">julio de 2020). </w:t>
      </w:r>
      <w:r w:rsidRPr="00B81EE1">
        <w:rPr>
          <w:rFonts w:ascii="Amasis MT Pro" w:eastAsia="Calibri" w:hAnsi="Amasis MT Pro" w:cs="Amasis MT Pro"/>
          <w:color w:val="0563C2"/>
          <w:sz w:val="18"/>
          <w:szCs w:val="18"/>
          <w:lang w:val="es-MX" w:eastAsia="es-MX"/>
        </w:rPr>
        <w:t>https://fosas-guanajuato.datacivica.org/</w:t>
      </w:r>
    </w:p>
  </w:footnote>
  <w:footnote w:id="53">
    <w:p w14:paraId="4421EC40" w14:textId="77777777" w:rsidR="009453F4" w:rsidRPr="00297B0E" w:rsidRDefault="009453F4" w:rsidP="009453F4">
      <w:pPr>
        <w:pStyle w:val="Textonotapie"/>
        <w:rPr>
          <w:sz w:val="18"/>
          <w:szCs w:val="18"/>
        </w:rPr>
      </w:pPr>
      <w:r>
        <w:rPr>
          <w:rStyle w:val="Refdenotaalpie"/>
        </w:rPr>
        <w:footnoteRef/>
      </w:r>
      <w:r>
        <w:t xml:space="preserve"> </w:t>
      </w:r>
      <w:r w:rsidRPr="00297B0E">
        <w:rPr>
          <w:rFonts w:ascii="Amasis MT Pro" w:eastAsia="Calibri" w:hAnsi="Amasis MT Pro" w:cs="Amasis MT Pro"/>
          <w:color w:val="000000"/>
          <w:sz w:val="18"/>
          <w:szCs w:val="18"/>
          <w:lang w:eastAsia="es-MX"/>
        </w:rPr>
        <w:t xml:space="preserve">Similar respuesta se había dado </w:t>
      </w:r>
      <w:r w:rsidRPr="00297B0E">
        <w:rPr>
          <w:rFonts w:ascii="Amasis MT Pro" w:eastAsia="Calibri" w:hAnsi="Amasis MT Pro" w:cs="Amasis MT Pro"/>
          <w:color w:val="2F2F2F"/>
          <w:sz w:val="18"/>
          <w:szCs w:val="18"/>
          <w:lang w:eastAsia="es-MX"/>
        </w:rPr>
        <w:t>el 11 de febrero de 2019, en respuesta a la solicitud 35477.</w:t>
      </w:r>
    </w:p>
  </w:footnote>
  <w:footnote w:id="54">
    <w:p w14:paraId="64712DD6" w14:textId="77777777" w:rsidR="009453F4" w:rsidRPr="006A65CA" w:rsidRDefault="009453F4" w:rsidP="009453F4">
      <w:pPr>
        <w:pStyle w:val="Textonotapie"/>
        <w:rPr>
          <w:rFonts w:ascii="Amasis MT Pro" w:eastAsia="Calibri" w:hAnsi="Amasis MT Pro" w:cs="Amasis MT Pro"/>
          <w:color w:val="000000"/>
          <w:sz w:val="18"/>
          <w:szCs w:val="18"/>
          <w:lang w:eastAsia="es-MX"/>
        </w:rPr>
      </w:pPr>
      <w:r>
        <w:rPr>
          <w:rStyle w:val="Refdenotaalpie"/>
        </w:rPr>
        <w:footnoteRef/>
      </w:r>
      <w:r>
        <w:t xml:space="preserve"> </w:t>
      </w:r>
      <w:r w:rsidRPr="006A65CA">
        <w:rPr>
          <w:rFonts w:ascii="Amasis MT Pro" w:eastAsia="Calibri" w:hAnsi="Amasis MT Pro" w:cs="Amasis MT Pro"/>
          <w:color w:val="000000"/>
          <w:sz w:val="18"/>
          <w:szCs w:val="18"/>
          <w:lang w:eastAsia="es-MX"/>
        </w:rPr>
        <w:t>Análisis completo en la organización Poplab.</w:t>
      </w:r>
    </w:p>
  </w:footnote>
  <w:footnote w:id="55">
    <w:p w14:paraId="64F85BBB" w14:textId="77777777" w:rsidR="009453F4" w:rsidRPr="005208AF" w:rsidRDefault="009453F4" w:rsidP="009453F4">
      <w:pPr>
        <w:pStyle w:val="Textonotapie"/>
        <w:rPr>
          <w:rFonts w:ascii="Amasis MT Pro" w:eastAsia="Calibri" w:hAnsi="Amasis MT Pro" w:cs="Amasis MT Pro"/>
          <w:color w:val="000000"/>
          <w:sz w:val="18"/>
          <w:szCs w:val="18"/>
          <w:lang w:eastAsia="es-MX"/>
        </w:rPr>
      </w:pPr>
      <w:r>
        <w:rPr>
          <w:rStyle w:val="Refdenotaalpie"/>
        </w:rPr>
        <w:footnoteRef/>
      </w:r>
      <w:r>
        <w:t xml:space="preserve"> </w:t>
      </w:r>
      <w:r w:rsidRPr="005208AF">
        <w:rPr>
          <w:rFonts w:ascii="Amasis MT Pro" w:eastAsia="Calibri" w:hAnsi="Amasis MT Pro" w:cs="Amasis MT Pro"/>
          <w:color w:val="000000"/>
          <w:sz w:val="18"/>
          <w:szCs w:val="18"/>
          <w:lang w:eastAsia="es-MX"/>
        </w:rPr>
        <w:t>http://portal.fgeguanajuato.gob.mx/PortalWebEstatal/PersonasDesaparecidas/Hallazgos/index.aspx</w:t>
      </w:r>
    </w:p>
  </w:footnote>
  <w:footnote w:id="56">
    <w:p w14:paraId="26E411D7" w14:textId="77777777" w:rsidR="009453F4" w:rsidRPr="001B1BAF" w:rsidRDefault="009453F4" w:rsidP="009453F4">
      <w:pPr>
        <w:pStyle w:val="Default"/>
        <w:jc w:val="both"/>
        <w:rPr>
          <w:rStyle w:val="Hipervnculo"/>
          <w:rFonts w:ascii="Avenir Next LT Pro Light" w:hAnsi="Avenir Next LT Pro Light"/>
          <w:color w:val="auto"/>
          <w:sz w:val="16"/>
          <w:szCs w:val="16"/>
        </w:rPr>
      </w:pPr>
      <w:r w:rsidRPr="001B5B4E">
        <w:rPr>
          <w:rStyle w:val="Refdenotaalpie"/>
          <w:sz w:val="16"/>
          <w:szCs w:val="16"/>
        </w:rPr>
        <w:footnoteRef/>
      </w:r>
      <w:r w:rsidRPr="001B5B4E">
        <w:rPr>
          <w:sz w:val="16"/>
          <w:szCs w:val="16"/>
        </w:rPr>
        <w:t xml:space="preserve"> </w:t>
      </w:r>
      <w:hyperlink r:id="rId5" w:history="1">
        <w:r w:rsidRPr="001B1BAF">
          <w:rPr>
            <w:rStyle w:val="Hipervnculo"/>
            <w:rFonts w:ascii="Avenir Next LT Pro Light" w:hAnsi="Avenir Next LT Pro Light"/>
            <w:color w:val="auto"/>
            <w:sz w:val="16"/>
            <w:szCs w:val="16"/>
          </w:rPr>
          <w:t>https://portal.fgeguanajuato.gob.mx/PortalWebEstatal/PersonasDesaparecidas/Hallazgos/index.aspx</w:t>
        </w:r>
      </w:hyperlink>
      <w:r w:rsidRPr="001B1BAF">
        <w:rPr>
          <w:rFonts w:ascii="Avenir Next LT Pro Light" w:hAnsi="Avenir Next LT Pro Light"/>
          <w:color w:val="auto"/>
          <w:sz w:val="16"/>
          <w:szCs w:val="16"/>
        </w:rPr>
        <w:t xml:space="preserve">. </w:t>
      </w:r>
      <w:r w:rsidRPr="001B1BAF">
        <w:rPr>
          <w:rStyle w:val="Hipervnculo"/>
          <w:rFonts w:ascii="Avenir Next LT Pro Light" w:hAnsi="Avenir Next LT Pro Light"/>
          <w:color w:val="auto"/>
          <w:sz w:val="16"/>
          <w:szCs w:val="16"/>
        </w:rPr>
        <w:t xml:space="preserve">Consultable el 15 de junio de 2022. </w:t>
      </w:r>
    </w:p>
  </w:footnote>
  <w:footnote w:id="57">
    <w:p w14:paraId="168D3714" w14:textId="77777777" w:rsidR="009453F4" w:rsidRPr="00EF390F" w:rsidRDefault="009453F4" w:rsidP="009453F4">
      <w:pPr>
        <w:pStyle w:val="Default"/>
        <w:jc w:val="both"/>
        <w:rPr>
          <w:rStyle w:val="Hipervnculo"/>
          <w:rFonts w:ascii="Avenir Next LT Pro Light" w:hAnsi="Avenir Next LT Pro Light"/>
          <w:color w:val="auto"/>
          <w:sz w:val="16"/>
          <w:szCs w:val="16"/>
        </w:rPr>
      </w:pPr>
      <w:r w:rsidRPr="001B5B4E">
        <w:rPr>
          <w:rStyle w:val="Refdenotaalpie"/>
          <w:sz w:val="16"/>
          <w:szCs w:val="16"/>
        </w:rPr>
        <w:footnoteRef/>
      </w:r>
      <w:r w:rsidRPr="001B5B4E">
        <w:rPr>
          <w:sz w:val="16"/>
          <w:szCs w:val="16"/>
        </w:rPr>
        <w:t xml:space="preserve"> </w:t>
      </w:r>
      <w:hyperlink r:id="rId6" w:history="1">
        <w:r w:rsidRPr="00EF390F">
          <w:rPr>
            <w:rStyle w:val="Hipervnculo"/>
            <w:rFonts w:ascii="Avenir Next LT Pro Light" w:hAnsi="Avenir Next LT Pro Light"/>
            <w:color w:val="auto"/>
            <w:sz w:val="16"/>
            <w:szCs w:val="16"/>
          </w:rPr>
          <w:t>https://portal.fgeguanajuato.gob.mx/PortalWebEstatal/Transparencia/respuestas/respuestas.aspx</w:t>
        </w:r>
      </w:hyperlink>
      <w:r>
        <w:rPr>
          <w:rStyle w:val="Hipervnculo"/>
          <w:rFonts w:ascii="Avenir Next LT Pro Light" w:hAnsi="Avenir Next LT Pro Light"/>
          <w:color w:val="auto"/>
          <w:sz w:val="16"/>
          <w:szCs w:val="16"/>
        </w:rPr>
        <w:t>. Consultable el 15 de junio de 2022.</w:t>
      </w:r>
      <w:r w:rsidRPr="00EF390F">
        <w:rPr>
          <w:rStyle w:val="Hipervnculo"/>
          <w:rFonts w:ascii="Avenir Next LT Pro Light" w:hAnsi="Avenir Next LT Pro Light"/>
          <w:color w:val="auto"/>
          <w:sz w:val="16"/>
          <w:szCs w:val="16"/>
        </w:rPr>
        <w:t xml:space="preserve">  </w:t>
      </w:r>
    </w:p>
  </w:footnote>
  <w:footnote w:id="58">
    <w:p w14:paraId="02971070" w14:textId="77777777" w:rsidR="003F0352" w:rsidRDefault="003F0352" w:rsidP="003F0352">
      <w:pPr>
        <w:pStyle w:val="Textonotapie"/>
        <w:jc w:val="both"/>
      </w:pPr>
      <w:r>
        <w:rPr>
          <w:rStyle w:val="Refdenotaalpie"/>
          <w:rFonts w:eastAsia="Calibri"/>
        </w:rPr>
        <w:footnoteRef/>
      </w:r>
      <w:r>
        <w:t xml:space="preserve"> </w:t>
      </w:r>
      <w:r w:rsidRPr="003F0352">
        <w:rPr>
          <w:rFonts w:ascii="Abadi" w:hAnsi="Abadi"/>
          <w:sz w:val="12"/>
          <w:szCs w:val="12"/>
        </w:rPr>
        <w:t xml:space="preserve">Consejo de Seguridad de las Naciones Unidas. (2004). </w:t>
      </w:r>
      <w:r w:rsidRPr="003F0352">
        <w:rPr>
          <w:rFonts w:ascii="Abadi" w:hAnsi="Abadi"/>
          <w:i/>
          <w:iCs/>
          <w:sz w:val="12"/>
          <w:szCs w:val="12"/>
        </w:rPr>
        <w:t>El Estado de derecho y la justicia de transición en las sociedades que sufren o han sufrido conflictos</w:t>
      </w:r>
      <w:r w:rsidRPr="003F0352">
        <w:rPr>
          <w:rFonts w:ascii="Abadi" w:hAnsi="Abadi"/>
          <w:sz w:val="12"/>
          <w:szCs w:val="12"/>
        </w:rPr>
        <w:t xml:space="preserve">. Informe del Secretario General. Recuperado de: </w:t>
      </w:r>
      <w:r w:rsidRPr="003F0352">
        <w:rPr>
          <w:rFonts w:ascii="Abadi" w:hAnsi="Abadi"/>
          <w:i/>
          <w:iCs/>
          <w:sz w:val="12"/>
          <w:szCs w:val="12"/>
        </w:rPr>
        <w:t xml:space="preserve">https://undocs.org/es/S/2004/616 </w:t>
      </w:r>
      <w:r w:rsidRPr="003F0352">
        <w:rPr>
          <w:rFonts w:ascii="Abadi" w:hAnsi="Abadi"/>
          <w:sz w:val="12"/>
          <w:szCs w:val="12"/>
        </w:rPr>
        <w:t>(16/11/2021)</w:t>
      </w:r>
      <w:r w:rsidRPr="003F0352">
        <w:rPr>
          <w:sz w:val="12"/>
          <w:szCs w:val="12"/>
        </w:rPr>
        <w:t xml:space="preserve">  </w:t>
      </w:r>
    </w:p>
  </w:footnote>
  <w:footnote w:id="59">
    <w:p w14:paraId="785E468A" w14:textId="77777777" w:rsidR="003F0352" w:rsidRPr="003F0352" w:rsidRDefault="003F0352" w:rsidP="003F0352">
      <w:pPr>
        <w:pStyle w:val="Textonotapie"/>
        <w:rPr>
          <w:rFonts w:ascii="Abadi" w:hAnsi="Abadi"/>
          <w:sz w:val="12"/>
          <w:szCs w:val="12"/>
        </w:rPr>
      </w:pPr>
      <w:r>
        <w:rPr>
          <w:rStyle w:val="Refdenotaalpie"/>
          <w:rFonts w:eastAsia="Calibri"/>
        </w:rPr>
        <w:footnoteRef/>
      </w:r>
      <w:r>
        <w:t xml:space="preserve"> </w:t>
      </w:r>
      <w:r w:rsidRPr="003F0352">
        <w:rPr>
          <w:rFonts w:ascii="Abadi" w:hAnsi="Abadi"/>
          <w:sz w:val="12"/>
          <w:szCs w:val="12"/>
        </w:rPr>
        <w:t xml:space="preserve">Montesquieu, Del espíritu de las leyes, 9a. ed. México, Porrúa, 1992, libro XI, capítulo VI, p. 104.  </w:t>
      </w:r>
    </w:p>
  </w:footnote>
  <w:footnote w:id="60">
    <w:p w14:paraId="53C522A1" w14:textId="77777777" w:rsidR="003F0352" w:rsidRPr="00D41296" w:rsidRDefault="003F0352" w:rsidP="003F0352">
      <w:pPr>
        <w:pStyle w:val="Textonotapie"/>
        <w:rPr>
          <w:sz w:val="16"/>
          <w:szCs w:val="16"/>
        </w:rPr>
      </w:pPr>
      <w:r w:rsidRPr="003F0352">
        <w:rPr>
          <w:rStyle w:val="Refdenotaalpie"/>
          <w:rFonts w:ascii="Abadi" w:eastAsia="Calibri" w:hAnsi="Abadi"/>
          <w:sz w:val="12"/>
          <w:szCs w:val="12"/>
        </w:rPr>
        <w:footnoteRef/>
      </w:r>
      <w:r w:rsidRPr="003F0352">
        <w:rPr>
          <w:rFonts w:ascii="Abadi" w:hAnsi="Abadi"/>
          <w:sz w:val="12"/>
          <w:szCs w:val="12"/>
        </w:rPr>
        <w:t xml:space="preserve"> Garita et al. Proceso legislativo y reforma constitucional. Senado de la República. p. 24</w:t>
      </w:r>
      <w:r w:rsidRPr="00D41296">
        <w:rPr>
          <w:sz w:val="16"/>
          <w:szCs w:val="16"/>
        </w:rPr>
        <w:t xml:space="preserve">  </w:t>
      </w:r>
    </w:p>
  </w:footnote>
  <w:footnote w:id="61">
    <w:p w14:paraId="4CCE6D0E" w14:textId="77777777" w:rsidR="003F0352" w:rsidRDefault="003F0352" w:rsidP="003F0352">
      <w:pPr>
        <w:pStyle w:val="Textonotapie"/>
        <w:jc w:val="both"/>
        <w:rPr>
          <w:sz w:val="16"/>
          <w:szCs w:val="16"/>
        </w:rPr>
      </w:pPr>
      <w:r>
        <w:rPr>
          <w:rStyle w:val="Refdenotaalpie"/>
          <w:rFonts w:eastAsia="Calibri"/>
        </w:rPr>
        <w:footnoteRef/>
      </w:r>
      <w:r>
        <w:t xml:space="preserve"> </w:t>
      </w:r>
      <w:r w:rsidRPr="00342B9F">
        <w:rPr>
          <w:sz w:val="16"/>
          <w:szCs w:val="16"/>
        </w:rPr>
        <w:t xml:space="preserve">Instituto de Transparencia, Acceso a la Información Pública y Protección de Datos Personales del Estado de México y Municipios [Infoem], El ABC la Rendición de Cuentas, p. 7. </w:t>
      </w:r>
    </w:p>
    <w:p w14:paraId="263A8183" w14:textId="77777777" w:rsidR="003F0352" w:rsidRPr="00342B9F" w:rsidRDefault="003F0352" w:rsidP="003F0352">
      <w:pPr>
        <w:pStyle w:val="Textonotapie"/>
        <w:jc w:val="both"/>
        <w:rPr>
          <w:sz w:val="16"/>
          <w:szCs w:val="16"/>
        </w:rPr>
      </w:pPr>
      <w:r w:rsidRPr="00342B9F">
        <w:rPr>
          <w:sz w:val="16"/>
          <w:szCs w:val="16"/>
        </w:rPr>
        <w:t xml:space="preserve">Consultable en: https://www.infoem.org.mx/doc/publicaciones/ABC_rendicionCuentas.pdf (23/11/2021)  </w:t>
      </w:r>
    </w:p>
  </w:footnote>
  <w:footnote w:id="62">
    <w:p w14:paraId="1EB392F8" w14:textId="77777777" w:rsidR="00B3024D" w:rsidRPr="00B3024D" w:rsidRDefault="00B3024D" w:rsidP="00B3024D">
      <w:pPr>
        <w:pStyle w:val="Textonotapie"/>
        <w:jc w:val="both"/>
        <w:rPr>
          <w:rFonts w:ascii="Abadi" w:hAnsi="Abadi"/>
          <w:sz w:val="12"/>
          <w:szCs w:val="12"/>
        </w:rPr>
      </w:pPr>
      <w:r w:rsidRPr="00B3024D">
        <w:rPr>
          <w:rStyle w:val="Refdenotaalpie"/>
          <w:rFonts w:ascii="Abadi" w:eastAsia="Calibri" w:hAnsi="Abadi"/>
          <w:sz w:val="12"/>
          <w:szCs w:val="12"/>
        </w:rPr>
        <w:footnoteRef/>
      </w:r>
      <w:r w:rsidRPr="00B3024D">
        <w:rPr>
          <w:rFonts w:ascii="Abadi" w:hAnsi="Abadi"/>
          <w:sz w:val="12"/>
          <w:szCs w:val="12"/>
        </w:rPr>
        <w:t xml:space="preserve"> ONU. Consejo de Derechos Humanos, Informe de la Relatora Especial sobre la independencia de los magistrados y abogados. Misión a México, párr.16.  </w:t>
      </w:r>
    </w:p>
  </w:footnote>
  <w:footnote w:id="63">
    <w:p w14:paraId="6A19F01C" w14:textId="77777777" w:rsidR="00B3024D" w:rsidRPr="00B357CC" w:rsidRDefault="00B3024D" w:rsidP="00B3024D">
      <w:pPr>
        <w:pStyle w:val="Textonotapie"/>
        <w:jc w:val="both"/>
        <w:rPr>
          <w:sz w:val="18"/>
          <w:szCs w:val="18"/>
        </w:rPr>
      </w:pPr>
      <w:r w:rsidRPr="00B3024D">
        <w:rPr>
          <w:rStyle w:val="Refdenotaalpie"/>
          <w:rFonts w:ascii="Abadi" w:eastAsia="Calibri" w:hAnsi="Abadi"/>
          <w:sz w:val="12"/>
          <w:szCs w:val="12"/>
        </w:rPr>
        <w:footnoteRef/>
      </w:r>
      <w:r w:rsidRPr="00B3024D">
        <w:rPr>
          <w:rFonts w:ascii="Abadi" w:hAnsi="Abadi"/>
          <w:sz w:val="12"/>
          <w:szCs w:val="12"/>
        </w:rPr>
        <w:t xml:space="preserve"> Comisión Europea para la Democracia por el Derecho (Comisión de Venecia). Informe sobre las normas europeas relativas a la independencia del sistema judicial: Parte II- el Ministerio Público. Adoptado por la Comisión de Venecia en su 85a. reunión plenaria (Venecia, 17-18 de diciembre de 2010), Estrasburgo, 3 de enero de 2011, párr. 73.</w:t>
      </w:r>
      <w:r w:rsidRPr="00B357CC">
        <w:rPr>
          <w:sz w:val="18"/>
          <w:szCs w:val="18"/>
        </w:rPr>
        <w:t xml:space="preserve">  </w:t>
      </w:r>
    </w:p>
  </w:footnote>
  <w:footnote w:id="64">
    <w:p w14:paraId="5AC361FC" w14:textId="77777777" w:rsidR="00F77257" w:rsidRPr="007E4F00" w:rsidRDefault="00F77257" w:rsidP="00F77257">
      <w:pPr>
        <w:pStyle w:val="Textonotapie"/>
        <w:jc w:val="both"/>
        <w:rPr>
          <w:rFonts w:ascii="Abadi" w:hAnsi="Abadi"/>
          <w:sz w:val="12"/>
          <w:szCs w:val="12"/>
        </w:rPr>
      </w:pPr>
      <w:r w:rsidRPr="007E4F00">
        <w:rPr>
          <w:rStyle w:val="Refdenotaalpie"/>
          <w:rFonts w:ascii="Abadi" w:eastAsia="Calibri" w:hAnsi="Abadi"/>
          <w:sz w:val="12"/>
          <w:szCs w:val="12"/>
        </w:rPr>
        <w:footnoteRef/>
      </w:r>
      <w:r w:rsidRPr="007E4F00">
        <w:rPr>
          <w:rFonts w:ascii="Abadi" w:hAnsi="Abadi"/>
          <w:sz w:val="12"/>
          <w:szCs w:val="12"/>
        </w:rPr>
        <w:t xml:space="preserve"> CIDH, Garantías para la independencia de las y los operadores de justicia: Hacia el fortalecimiento del acceso a la justicia y el estado de derecho en las Américas, OEA/Ser.L/V/II. Doc. 44, 5 diciembre 2013, párr. 25.  </w:t>
      </w:r>
    </w:p>
  </w:footnote>
  <w:footnote w:id="65">
    <w:p w14:paraId="1492F909" w14:textId="77777777" w:rsidR="00F77257" w:rsidRPr="007E4F00" w:rsidRDefault="00F77257" w:rsidP="00F77257">
      <w:pPr>
        <w:pStyle w:val="Textonotapie"/>
        <w:jc w:val="both"/>
        <w:rPr>
          <w:rFonts w:ascii="Abadi" w:hAnsi="Abadi"/>
          <w:sz w:val="12"/>
          <w:szCs w:val="12"/>
        </w:rPr>
      </w:pPr>
      <w:r w:rsidRPr="007E4F00">
        <w:rPr>
          <w:rStyle w:val="Refdenotaalpie"/>
          <w:rFonts w:ascii="Abadi" w:eastAsia="Calibri" w:hAnsi="Abadi"/>
          <w:sz w:val="12"/>
          <w:szCs w:val="12"/>
        </w:rPr>
        <w:footnoteRef/>
      </w:r>
      <w:r w:rsidRPr="007E4F00">
        <w:rPr>
          <w:rFonts w:ascii="Abadi" w:hAnsi="Abadi"/>
          <w:sz w:val="12"/>
          <w:szCs w:val="12"/>
        </w:rPr>
        <w:t xml:space="preserve"> ONU, Informe de la Relatora Especial sobre la independencia de los magistrados y abogados, A/ HRC/14/26, 9 de abril de 2010, párr. 17.  </w:t>
      </w:r>
    </w:p>
  </w:footnote>
  <w:footnote w:id="66">
    <w:p w14:paraId="656884BE" w14:textId="77777777" w:rsidR="00F77257" w:rsidRPr="007E4F00" w:rsidRDefault="00F77257" w:rsidP="00F77257">
      <w:pPr>
        <w:pStyle w:val="Textonotapie"/>
        <w:jc w:val="both"/>
        <w:rPr>
          <w:rFonts w:ascii="Abadi" w:hAnsi="Abadi"/>
          <w:sz w:val="12"/>
          <w:szCs w:val="12"/>
        </w:rPr>
      </w:pPr>
      <w:r w:rsidRPr="007E4F00">
        <w:rPr>
          <w:rStyle w:val="Refdenotaalpie"/>
          <w:rFonts w:ascii="Abadi" w:eastAsia="Calibri" w:hAnsi="Abadi"/>
          <w:sz w:val="12"/>
          <w:szCs w:val="12"/>
        </w:rPr>
        <w:footnoteRef/>
      </w:r>
      <w:r w:rsidRPr="007E4F00">
        <w:rPr>
          <w:rFonts w:ascii="Abadi" w:hAnsi="Abadi"/>
          <w:sz w:val="12"/>
          <w:szCs w:val="12"/>
        </w:rPr>
        <w:t xml:space="preserve"> Corte IDH. Caso Reverón Trujillo Vs. Venezuela, excepción preliminar, fondo, reparaciones y costas, sentencia del 30 de junio de 2009, serie C, núm. 197, párr. 67.  </w:t>
      </w:r>
    </w:p>
  </w:footnote>
  <w:footnote w:id="67">
    <w:p w14:paraId="75B948E2" w14:textId="77777777" w:rsidR="00F77257" w:rsidRPr="007E4F00" w:rsidRDefault="00F77257" w:rsidP="00F77257">
      <w:pPr>
        <w:pStyle w:val="Textonotapie"/>
        <w:rPr>
          <w:rFonts w:ascii="Abadi" w:hAnsi="Abadi"/>
          <w:sz w:val="12"/>
          <w:szCs w:val="12"/>
        </w:rPr>
      </w:pPr>
      <w:r w:rsidRPr="007E4F00">
        <w:rPr>
          <w:rStyle w:val="Refdenotaalpie"/>
          <w:rFonts w:ascii="Abadi" w:eastAsia="Calibri" w:hAnsi="Abadi"/>
          <w:sz w:val="12"/>
          <w:szCs w:val="12"/>
        </w:rPr>
        <w:footnoteRef/>
      </w:r>
      <w:r w:rsidRPr="007E4F00">
        <w:rPr>
          <w:rFonts w:ascii="Abadi" w:hAnsi="Abadi"/>
          <w:sz w:val="12"/>
          <w:szCs w:val="12"/>
        </w:rPr>
        <w:t xml:space="preserve"> ONU. Comité de Derechos Humanos, CCPR/C/GC/32, párr. 19.  </w:t>
      </w:r>
    </w:p>
  </w:footnote>
  <w:footnote w:id="68">
    <w:p w14:paraId="602DFA77" w14:textId="77777777" w:rsidR="00F77257" w:rsidRPr="007E4F00" w:rsidRDefault="00F77257" w:rsidP="00F77257">
      <w:pPr>
        <w:pStyle w:val="Textonotapie"/>
        <w:jc w:val="both"/>
        <w:rPr>
          <w:rFonts w:ascii="Abadi" w:hAnsi="Abadi"/>
          <w:sz w:val="12"/>
          <w:szCs w:val="12"/>
        </w:rPr>
      </w:pPr>
      <w:r w:rsidRPr="007E4F00">
        <w:rPr>
          <w:rStyle w:val="Refdenotaalpie"/>
          <w:rFonts w:ascii="Abadi" w:eastAsia="Calibri" w:hAnsi="Abadi"/>
          <w:sz w:val="12"/>
          <w:szCs w:val="12"/>
        </w:rPr>
        <w:footnoteRef/>
      </w:r>
      <w:r w:rsidRPr="007E4F00">
        <w:rPr>
          <w:rFonts w:ascii="Abadi" w:hAnsi="Abadi"/>
          <w:sz w:val="12"/>
          <w:szCs w:val="12"/>
        </w:rPr>
        <w:t xml:space="preserve"> López Olvera, M y otros. Autonomía Constitucional de la Fiscalía General de la República. Poderes y Órganos</w:t>
      </w:r>
      <w:r w:rsidRPr="00F00679">
        <w:rPr>
          <w:sz w:val="18"/>
          <w:szCs w:val="18"/>
        </w:rPr>
        <w:t xml:space="preserve"> </w:t>
      </w:r>
      <w:r w:rsidRPr="007E4F00">
        <w:rPr>
          <w:rFonts w:ascii="Abadi" w:hAnsi="Abadi"/>
          <w:sz w:val="12"/>
          <w:szCs w:val="12"/>
        </w:rPr>
        <w:t xml:space="preserve">Constitucionales Tradicionales Autónomos. UNAM. México. Páginas 79 a 99.  </w:t>
      </w:r>
    </w:p>
  </w:footnote>
  <w:footnote w:id="69">
    <w:p w14:paraId="5EEE8484" w14:textId="77777777" w:rsidR="00F77257" w:rsidRPr="00731BF4" w:rsidRDefault="00F77257" w:rsidP="00F77257">
      <w:pPr>
        <w:pStyle w:val="Textonotapie"/>
        <w:jc w:val="both"/>
        <w:rPr>
          <w:sz w:val="18"/>
          <w:szCs w:val="18"/>
        </w:rPr>
      </w:pPr>
      <w:r w:rsidRPr="007E4F00">
        <w:rPr>
          <w:rStyle w:val="Refdenotaalpie"/>
          <w:rFonts w:ascii="Abadi" w:eastAsia="Calibri" w:hAnsi="Abadi"/>
          <w:sz w:val="12"/>
          <w:szCs w:val="12"/>
        </w:rPr>
        <w:footnoteRef/>
      </w:r>
      <w:r w:rsidRPr="007E4F00">
        <w:rPr>
          <w:rFonts w:ascii="Abadi" w:hAnsi="Abadi"/>
          <w:sz w:val="12"/>
          <w:szCs w:val="12"/>
        </w:rPr>
        <w:t xml:space="preserve"> ONU, Directrices sobre la Función de los Fiscales, Aprobadas por el Octavo Congreso de las Naciones Unidas sobre Prevención del Delito y Tratamiento del Delincuente, 27 de agosto al 7 de septiembre de 1990, Directriz 10.</w:t>
      </w:r>
      <w:r w:rsidRPr="007E4F00">
        <w:rPr>
          <w:sz w:val="16"/>
          <w:szCs w:val="16"/>
        </w:rPr>
        <w:t xml:space="preserve">  </w:t>
      </w:r>
    </w:p>
  </w:footnote>
  <w:footnote w:id="70">
    <w:p w14:paraId="754FCD7B" w14:textId="77777777" w:rsidR="00421154" w:rsidRDefault="00421154" w:rsidP="00421154">
      <w:pPr>
        <w:pStyle w:val="Textonotapie"/>
      </w:pPr>
      <w:r>
        <w:rPr>
          <w:rStyle w:val="Refdenotaalpie"/>
          <w:rFonts w:eastAsia="Calibri"/>
        </w:rPr>
        <w:footnoteRef/>
      </w:r>
      <w:r w:rsidRPr="007163A9">
        <w:rPr>
          <w:sz w:val="18"/>
          <w:szCs w:val="18"/>
        </w:rPr>
        <w:t xml:space="preserve"> https://cdh.defensoria.org.ar/normativa/declaracion-conjunta-sobre-libertad-de-expresion</w:t>
      </w:r>
    </w:p>
  </w:footnote>
  <w:footnote w:id="71">
    <w:p w14:paraId="118AEEB5" w14:textId="77777777" w:rsidR="00421154" w:rsidRPr="00B530AB" w:rsidRDefault="00421154" w:rsidP="00421154">
      <w:pPr>
        <w:pStyle w:val="Textonotapie"/>
        <w:jc w:val="both"/>
        <w:rPr>
          <w:i/>
          <w:iCs/>
          <w:sz w:val="18"/>
          <w:szCs w:val="18"/>
        </w:rPr>
      </w:pPr>
      <w:r>
        <w:rPr>
          <w:rStyle w:val="Refdenotaalpie"/>
          <w:rFonts w:eastAsia="Calibri"/>
        </w:rPr>
        <w:footnoteRef/>
      </w:r>
      <w:r>
        <w:t xml:space="preserve"> </w:t>
      </w:r>
      <w:hyperlink r:id="rId7" w:history="1">
        <w:r w:rsidRPr="00BA5CE8">
          <w:rPr>
            <w:rStyle w:val="Hipervnculo"/>
            <w:sz w:val="18"/>
            <w:szCs w:val="18"/>
          </w:rPr>
          <w:t>http://www.oas.org/es/cidh/expresion/docs/informes/anuales/2014_04_22_ia_2013_esp_final_web.pdf</w:t>
        </w:r>
      </w:hyperlink>
      <w:r>
        <w:rPr>
          <w:sz w:val="18"/>
          <w:szCs w:val="18"/>
        </w:rPr>
        <w:t xml:space="preserve">. </w:t>
      </w:r>
      <w:r w:rsidRPr="00B530AB">
        <w:rPr>
          <w:i/>
          <w:iCs/>
          <w:sz w:val="18"/>
          <w:szCs w:val="18"/>
        </w:rPr>
        <w:t>Relator Especial de las Naciones Unidas (ONU) para la Protección y Promoción del Derecho a la Libertad de Opinión y de Expresión y Relatora Especial para la Libertad de Expresión de la Comisión Interamericana de Derechos Humanos de la OEA. 21 de junio de 2013. Declaración conjunta sobre programas de vigilancia y su impacto en la libertad de expresión.</w:t>
      </w:r>
    </w:p>
  </w:footnote>
  <w:footnote w:id="72">
    <w:p w14:paraId="19F45585" w14:textId="77777777" w:rsidR="00421154" w:rsidRPr="00334AC9" w:rsidRDefault="00421154" w:rsidP="00421154">
      <w:pPr>
        <w:pStyle w:val="Textonotapie"/>
        <w:rPr>
          <w:sz w:val="18"/>
          <w:szCs w:val="18"/>
        </w:rPr>
      </w:pPr>
      <w:r>
        <w:rPr>
          <w:rStyle w:val="Refdenotaalpie"/>
          <w:rFonts w:eastAsia="Calibri"/>
        </w:rPr>
        <w:footnoteRef/>
      </w:r>
      <w:r>
        <w:t xml:space="preserve"> </w:t>
      </w:r>
      <w:r w:rsidRPr="00334AC9">
        <w:rPr>
          <w:sz w:val="18"/>
          <w:szCs w:val="18"/>
        </w:rPr>
        <w:t>https://www.cndh.org.mx/sites/default/files/doc/Programas/TrataPersonas/MarcoNormativoTrata/InsInternacionales/Regionales/Convencion_ADH.pdf</w:t>
      </w:r>
    </w:p>
  </w:footnote>
  <w:footnote w:id="73">
    <w:p w14:paraId="4D8198E5" w14:textId="77777777" w:rsidR="00421154" w:rsidRPr="0044624D" w:rsidRDefault="00421154" w:rsidP="00421154">
      <w:pPr>
        <w:pStyle w:val="Textonotapie"/>
        <w:jc w:val="both"/>
        <w:rPr>
          <w:rStyle w:val="Hipervnculo"/>
          <w:sz w:val="16"/>
          <w:szCs w:val="16"/>
        </w:rPr>
      </w:pPr>
      <w:r>
        <w:rPr>
          <w:rStyle w:val="Refdenotaalpie"/>
          <w:rFonts w:eastAsia="Calibri"/>
        </w:rPr>
        <w:footnoteRef/>
      </w:r>
      <w:hyperlink r:id="rId8" w:history="1">
        <w:r w:rsidRPr="00BA5CE8">
          <w:rPr>
            <w:rStyle w:val="Hipervnculo"/>
            <w:sz w:val="16"/>
            <w:szCs w:val="16"/>
          </w:rPr>
          <w:t>https://www.oas.org/juridico/spanish/tratados/a-</w:t>
        </w:r>
      </w:hyperlink>
      <w:r w:rsidRPr="0044624D">
        <w:rPr>
          <w:rStyle w:val="Hipervnculo"/>
        </w:rPr>
        <w:t xml:space="preserve"> </w:t>
      </w:r>
      <w:r w:rsidRPr="0044624D">
        <w:rPr>
          <w:rStyle w:val="Hipervnculo"/>
          <w:sz w:val="16"/>
          <w:szCs w:val="16"/>
        </w:rPr>
        <w:t>52.html</w:t>
      </w:r>
      <w:r w:rsidRPr="0044624D">
        <w:rPr>
          <w:rStyle w:val="Hipervnculo"/>
          <w:sz w:val="16"/>
          <w:szCs w:val="16"/>
        </w:rPr>
        <w:t>#:~:text=Los%20Estados%20partes%20en%20el,disponibles%20y%20t</w:t>
      </w:r>
    </w:p>
  </w:footnote>
  <w:footnote w:id="74">
    <w:p w14:paraId="7FD37143" w14:textId="77777777" w:rsidR="00421154" w:rsidRPr="007615F3" w:rsidRDefault="00421154" w:rsidP="00421154">
      <w:pPr>
        <w:pStyle w:val="Textonotapie"/>
        <w:rPr>
          <w:rStyle w:val="Hipervnculo"/>
          <w:sz w:val="16"/>
          <w:szCs w:val="16"/>
        </w:rPr>
      </w:pPr>
      <w:r>
        <w:rPr>
          <w:rStyle w:val="Refdenotaalpie"/>
          <w:rFonts w:eastAsia="Calibri"/>
        </w:rPr>
        <w:footnoteRef/>
      </w:r>
      <w:r>
        <w:t xml:space="preserve"> </w:t>
      </w:r>
      <w:r w:rsidRPr="007615F3">
        <w:rPr>
          <w:rStyle w:val="Hipervnculo"/>
          <w:sz w:val="16"/>
          <w:szCs w:val="16"/>
        </w:rPr>
        <w:t>https://www.oas.org/es/cidh/expresion/documentos_basicos/declaraciones.asp</w:t>
      </w:r>
    </w:p>
  </w:footnote>
  <w:footnote w:id="75">
    <w:p w14:paraId="6DAD2301" w14:textId="77777777" w:rsidR="00421154" w:rsidRPr="00963923" w:rsidRDefault="00421154" w:rsidP="00421154">
      <w:pPr>
        <w:pStyle w:val="Textonotapie"/>
        <w:rPr>
          <w:rStyle w:val="Hipervnculo"/>
          <w:sz w:val="16"/>
          <w:szCs w:val="16"/>
        </w:rPr>
      </w:pPr>
      <w:r>
        <w:rPr>
          <w:rStyle w:val="Refdenotaalpie"/>
          <w:rFonts w:eastAsia="Calibri"/>
        </w:rPr>
        <w:footnoteRef/>
      </w:r>
      <w:r>
        <w:t xml:space="preserve"> </w:t>
      </w:r>
      <w:r w:rsidRPr="00963923">
        <w:rPr>
          <w:rStyle w:val="Hipervnculo"/>
          <w:sz w:val="16"/>
          <w:szCs w:val="16"/>
        </w:rPr>
        <w:t>https://www.un.org/esa/socdev/enable/documents/tccconvs.pdf</w:t>
      </w:r>
    </w:p>
  </w:footnote>
  <w:footnote w:id="76">
    <w:p w14:paraId="2624CD62" w14:textId="77777777" w:rsidR="00421154" w:rsidRPr="00EE25E7" w:rsidRDefault="00421154" w:rsidP="00421154">
      <w:pPr>
        <w:pStyle w:val="Textonotapie"/>
        <w:rPr>
          <w:rStyle w:val="Hipervnculo"/>
          <w:sz w:val="16"/>
          <w:szCs w:val="16"/>
        </w:rPr>
      </w:pPr>
      <w:r>
        <w:rPr>
          <w:rStyle w:val="Refdenotaalpie"/>
          <w:rFonts w:eastAsia="Calibri"/>
        </w:rPr>
        <w:footnoteRef/>
      </w:r>
      <w:r>
        <w:t xml:space="preserve"> </w:t>
      </w:r>
      <w:r w:rsidRPr="00EE25E7">
        <w:rPr>
          <w:rStyle w:val="Hipervnculo"/>
          <w:sz w:val="16"/>
          <w:szCs w:val="16"/>
        </w:rPr>
        <w:t>https://www.dof.gob.mx/nota_detalle.php?codigo=5301941&amp;fecha=11/06/2013#gsc.tab=0</w:t>
      </w:r>
    </w:p>
  </w:footnote>
  <w:footnote w:id="77">
    <w:p w14:paraId="6CE7F15B" w14:textId="77777777" w:rsidR="00421154" w:rsidRPr="00437AA7" w:rsidRDefault="00421154" w:rsidP="00421154">
      <w:pPr>
        <w:pStyle w:val="Textonotapie"/>
        <w:jc w:val="both"/>
        <w:rPr>
          <w:sz w:val="18"/>
          <w:szCs w:val="18"/>
        </w:rPr>
      </w:pPr>
      <w:r>
        <w:rPr>
          <w:rStyle w:val="Refdenotaalpie"/>
          <w:rFonts w:eastAsia="Calibri"/>
        </w:rPr>
        <w:footnoteRef/>
      </w:r>
      <w:r>
        <w:t xml:space="preserve"> </w:t>
      </w:r>
      <w:r w:rsidRPr="00437AA7">
        <w:rPr>
          <w:sz w:val="18"/>
          <w:szCs w:val="18"/>
        </w:rPr>
        <w:t>Se refiere a una red de tecnología de información y comunicaciones sustentada en el establecimiento de lo más avanzado en hardware, software, sistemas, redes, conectividad a internet, bases de datos, infraestructura para capacitación en línea (e-Learning) y recursos humanos especializados</w:t>
      </w:r>
      <w:r>
        <w:rPr>
          <w:sz w:val="18"/>
          <w:szCs w:val="18"/>
        </w:rPr>
        <w:t xml:space="preserve">. </w:t>
      </w:r>
      <w:r w:rsidRPr="00AD5364">
        <w:rPr>
          <w:sz w:val="18"/>
          <w:szCs w:val="18"/>
        </w:rPr>
        <w:t>http://www.oas.org/juridico/spanish/mesicic</w:t>
      </w:r>
    </w:p>
  </w:footnote>
  <w:footnote w:id="78">
    <w:p w14:paraId="19231836" w14:textId="77777777" w:rsidR="00421154" w:rsidRPr="0037706B" w:rsidRDefault="00421154" w:rsidP="00421154">
      <w:pPr>
        <w:pStyle w:val="Textonotapie"/>
        <w:jc w:val="both"/>
        <w:rPr>
          <w:sz w:val="18"/>
          <w:szCs w:val="18"/>
        </w:rPr>
      </w:pPr>
      <w:r>
        <w:rPr>
          <w:rStyle w:val="Refdenotaalpie"/>
          <w:rFonts w:eastAsia="Calibri"/>
        </w:rPr>
        <w:footnoteRef/>
      </w:r>
      <w:r>
        <w:t xml:space="preserve"> </w:t>
      </w:r>
      <w:r w:rsidRPr="0037706B">
        <w:rPr>
          <w:rFonts w:ascii="Avant Garde" w:eastAsia="Batang" w:hAnsi="Avant Garde" w:cs="Arial"/>
          <w:sz w:val="18"/>
          <w:szCs w:val="18"/>
        </w:rPr>
        <w:t>Mary M. Brown &amp; Brudney, 2004; Dawes &amp; Prefontaine, 2003; Gant, Gant, &amp; Johnson, 2002; OECD, 2003; West, 2004</w:t>
      </w:r>
      <w:r>
        <w:rPr>
          <w:rFonts w:ascii="Avant Garde" w:eastAsia="Batang" w:hAnsi="Avant Garde" w:cs="Arial"/>
          <w:sz w:val="18"/>
          <w:szCs w:val="18"/>
        </w:rPr>
        <w:t>a.</w:t>
      </w:r>
    </w:p>
  </w:footnote>
  <w:footnote w:id="79">
    <w:p w14:paraId="726495AC" w14:textId="77777777" w:rsidR="00421154" w:rsidRPr="00062C4A" w:rsidRDefault="00421154" w:rsidP="00421154">
      <w:pPr>
        <w:pStyle w:val="Textonotapie"/>
        <w:rPr>
          <w:rFonts w:ascii="Avant Garde" w:eastAsia="Batang" w:hAnsi="Avant Garde" w:cs="Arial"/>
          <w:sz w:val="18"/>
          <w:szCs w:val="18"/>
        </w:rPr>
      </w:pPr>
      <w:r>
        <w:rPr>
          <w:rStyle w:val="Refdenotaalpie"/>
          <w:rFonts w:eastAsia="Calibri"/>
        </w:rPr>
        <w:footnoteRef/>
      </w:r>
      <w:r w:rsidRPr="00062C4A">
        <w:rPr>
          <w:rFonts w:ascii="Avant Garde" w:eastAsia="Batang" w:hAnsi="Avant Garde" w:cs="Arial"/>
          <w:sz w:val="18"/>
          <w:szCs w:val="18"/>
        </w:rPr>
        <w:t>Definición</w:t>
      </w:r>
      <w:r>
        <w:rPr>
          <w:rFonts w:ascii="Avant Garde" w:eastAsia="Batang" w:hAnsi="Avant Garde" w:cs="Arial"/>
          <w:sz w:val="18"/>
          <w:szCs w:val="18"/>
        </w:rPr>
        <w:t xml:space="preserve"> </w:t>
      </w:r>
      <w:r w:rsidRPr="00062C4A">
        <w:rPr>
          <w:rFonts w:ascii="Avant Garde" w:eastAsia="Batang" w:hAnsi="Avant Garde" w:cs="Arial"/>
          <w:sz w:val="18"/>
          <w:szCs w:val="18"/>
        </w:rPr>
        <w:t>de</w:t>
      </w:r>
      <w:r>
        <w:rPr>
          <w:rFonts w:ascii="Avant Garde" w:eastAsia="Batang" w:hAnsi="Avant Garde" w:cs="Arial"/>
          <w:sz w:val="18"/>
          <w:szCs w:val="18"/>
        </w:rPr>
        <w:t xml:space="preserve"> </w:t>
      </w:r>
      <w:r w:rsidRPr="00062C4A">
        <w:rPr>
          <w:rFonts w:ascii="Avant Garde" w:eastAsia="Batang" w:hAnsi="Avant Garde" w:cs="Arial"/>
          <w:sz w:val="18"/>
          <w:szCs w:val="18"/>
        </w:rPr>
        <w:t>E-Gobierno</w:t>
      </w:r>
      <w:r>
        <w:rPr>
          <w:rFonts w:ascii="Avant Garde" w:eastAsia="Batang" w:hAnsi="Avant Garde" w:cs="Arial"/>
          <w:sz w:val="18"/>
          <w:szCs w:val="18"/>
        </w:rPr>
        <w:t xml:space="preserve">. </w:t>
      </w:r>
      <w:r w:rsidRPr="00062C4A">
        <w:rPr>
          <w:rFonts w:ascii="Avant Garde" w:eastAsia="Batang" w:hAnsi="Avant Garde" w:cs="Arial"/>
          <w:sz w:val="18"/>
          <w:szCs w:val="18"/>
        </w:rPr>
        <w:t>http://web.worldbank.org/WBSITE/EXTERNAL/TOPICS/EXTINFORMATIONANDCOMMUNICATIONANDTECHNOLOGIES/EXTEGOVERNMENT/0,,menuPK:702592~pagePK:149018~piPK:149093~theSitePK:702586,00.html [7 de febrero de 2008]</w:t>
      </w:r>
    </w:p>
  </w:footnote>
  <w:footnote w:id="80">
    <w:p w14:paraId="17CEE152" w14:textId="77777777" w:rsidR="00421154" w:rsidRPr="00977A07" w:rsidRDefault="00421154" w:rsidP="00421154">
      <w:pPr>
        <w:pStyle w:val="Textonotapie"/>
        <w:rPr>
          <w:rFonts w:ascii="Avant Garde" w:eastAsia="Batang" w:hAnsi="Avant Garde" w:cs="Arial"/>
          <w:sz w:val="16"/>
          <w:szCs w:val="16"/>
        </w:rPr>
      </w:pPr>
      <w:r>
        <w:rPr>
          <w:rStyle w:val="Refdenotaalpie"/>
          <w:rFonts w:eastAsia="Calibri"/>
        </w:rPr>
        <w:footnoteRef/>
      </w:r>
      <w:r>
        <w:t xml:space="preserve"> </w:t>
      </w:r>
      <w:r w:rsidRPr="00977A07">
        <w:rPr>
          <w:rFonts w:ascii="Avant Garde" w:eastAsia="Batang" w:hAnsi="Avant Garde" w:cs="Arial"/>
          <w:sz w:val="16"/>
          <w:szCs w:val="16"/>
        </w:rPr>
        <w:t>Banco Mundial, 2008; Gil-García y Helbig, 2006.</w:t>
      </w:r>
    </w:p>
  </w:footnote>
  <w:footnote w:id="81">
    <w:p w14:paraId="76A6C7C0" w14:textId="77777777" w:rsidR="00421154" w:rsidRPr="00977A07" w:rsidRDefault="00421154" w:rsidP="00421154">
      <w:pPr>
        <w:pStyle w:val="Textonotapie"/>
        <w:jc w:val="both"/>
        <w:rPr>
          <w:rFonts w:ascii="Avant Garde" w:eastAsia="Batang" w:hAnsi="Avant Garde" w:cs="Arial"/>
          <w:sz w:val="16"/>
          <w:szCs w:val="16"/>
        </w:rPr>
      </w:pPr>
      <w:r>
        <w:rPr>
          <w:rStyle w:val="Refdenotaalpie"/>
          <w:rFonts w:eastAsia="Calibri"/>
        </w:rPr>
        <w:footnoteRef/>
      </w:r>
      <w:r>
        <w:t xml:space="preserve"> </w:t>
      </w:r>
      <w:r w:rsidRPr="00977A07">
        <w:rPr>
          <w:rFonts w:ascii="Avant Garde" w:eastAsia="Batang" w:hAnsi="Avant Garde" w:cs="Arial"/>
          <w:sz w:val="16"/>
          <w:szCs w:val="16"/>
        </w:rPr>
        <w:t>Beltrán y Asociados (BCG) (2008a), Percepción sobre el uso de las Tecnologías de la Información y las Comunicaciones. E-Gobierno.</w:t>
      </w:r>
    </w:p>
  </w:footnote>
  <w:footnote w:id="82">
    <w:p w14:paraId="7749FD18" w14:textId="77777777" w:rsidR="00421154" w:rsidRPr="00C62613" w:rsidRDefault="00421154" w:rsidP="00421154">
      <w:pPr>
        <w:pStyle w:val="Textonotapie"/>
        <w:jc w:val="both"/>
        <w:rPr>
          <w:rFonts w:ascii="Avant Garde" w:eastAsia="Batang" w:hAnsi="Avant Garde" w:cs="Arial"/>
          <w:sz w:val="16"/>
          <w:szCs w:val="16"/>
        </w:rPr>
      </w:pPr>
      <w:r>
        <w:rPr>
          <w:rStyle w:val="Refdenotaalpie"/>
          <w:rFonts w:eastAsia="Calibri"/>
        </w:rPr>
        <w:footnoteRef/>
      </w:r>
      <w:r>
        <w:t xml:space="preserve"> </w:t>
      </w:r>
      <w:r w:rsidRPr="00C62613">
        <w:rPr>
          <w:rFonts w:ascii="Avant Garde" w:eastAsia="Batang" w:hAnsi="Avant Garde" w:cs="Arial"/>
          <w:sz w:val="16"/>
          <w:szCs w:val="16"/>
        </w:rPr>
        <w:t>INEGI (20</w:t>
      </w:r>
      <w:r>
        <w:rPr>
          <w:rFonts w:ascii="Avant Garde" w:eastAsia="Batang" w:hAnsi="Avant Garde" w:cs="Arial"/>
          <w:sz w:val="16"/>
          <w:szCs w:val="16"/>
        </w:rPr>
        <w:t>14</w:t>
      </w:r>
      <w:r w:rsidRPr="00C62613">
        <w:rPr>
          <w:rFonts w:ascii="Avant Garde" w:eastAsia="Batang" w:hAnsi="Avant Garde" w:cs="Arial"/>
          <w:sz w:val="16"/>
          <w:szCs w:val="16"/>
        </w:rPr>
        <w:t>), La Medición del Gobierno Electrónico. Caso Práctico de México,</w:t>
      </w:r>
      <w:r>
        <w:rPr>
          <w:rFonts w:ascii="Avant Garde" w:eastAsia="Batang" w:hAnsi="Avant Garde" w:cs="Arial"/>
          <w:sz w:val="16"/>
          <w:szCs w:val="16"/>
        </w:rPr>
        <w:t xml:space="preserve"> </w:t>
      </w:r>
      <w:r w:rsidRPr="00C62613">
        <w:rPr>
          <w:rFonts w:ascii="Avant Garde" w:eastAsia="Batang" w:hAnsi="Avant Garde" w:cs="Arial"/>
          <w:sz w:val="16"/>
          <w:szCs w:val="16"/>
        </w:rPr>
        <w:t>Presentación en el Tercer Taller Regional sobre la Medición de la Sociedad de</w:t>
      </w:r>
      <w:r>
        <w:rPr>
          <w:rFonts w:ascii="Avant Garde" w:eastAsia="Batang" w:hAnsi="Avant Garde" w:cs="Arial"/>
          <w:sz w:val="16"/>
          <w:szCs w:val="16"/>
        </w:rPr>
        <w:t xml:space="preserve"> </w:t>
      </w:r>
      <w:r w:rsidRPr="00C62613">
        <w:rPr>
          <w:rFonts w:ascii="Avant Garde" w:eastAsia="Batang" w:hAnsi="Avant Garde" w:cs="Arial"/>
          <w:sz w:val="16"/>
          <w:szCs w:val="16"/>
        </w:rPr>
        <w:t>la Información, Panamá, 2006. &lt;http://www.itu.int/ITUD/</w:t>
      </w:r>
    </w:p>
    <w:p w14:paraId="6C7F74BB" w14:textId="77777777" w:rsidR="00421154" w:rsidRPr="00C62613" w:rsidRDefault="00421154" w:rsidP="00421154">
      <w:pPr>
        <w:pStyle w:val="Textonotapie"/>
        <w:jc w:val="both"/>
        <w:rPr>
          <w:rFonts w:ascii="Avant Garde" w:eastAsia="Batang" w:hAnsi="Avant Garde" w:cs="Arial"/>
          <w:sz w:val="16"/>
          <w:szCs w:val="16"/>
        </w:rPr>
      </w:pPr>
      <w:r w:rsidRPr="00C62613">
        <w:rPr>
          <w:rFonts w:ascii="Avant Garde" w:eastAsia="Batang" w:hAnsi="Avant Garde" w:cs="Arial"/>
          <w:sz w:val="16"/>
          <w:szCs w:val="16"/>
        </w:rPr>
        <w:t>ict/conferences/panama06/material/23_Mexico_Presentation_Government_s.pdf&gt; [9 de diciembre de 2007]</w:t>
      </w:r>
    </w:p>
  </w:footnote>
  <w:footnote w:id="83">
    <w:p w14:paraId="70AE233D" w14:textId="77777777" w:rsidR="00421154" w:rsidRDefault="00421154" w:rsidP="00421154">
      <w:pPr>
        <w:pStyle w:val="Textoindependiente"/>
        <w:spacing w:line="276" w:lineRule="auto"/>
      </w:pPr>
      <w:r w:rsidRPr="008B2980">
        <w:rPr>
          <w:rStyle w:val="Refdenotaalpie"/>
          <w:rFonts w:eastAsia="Calibri"/>
          <w:sz w:val="16"/>
          <w:szCs w:val="16"/>
        </w:rPr>
        <w:footnoteRef/>
      </w:r>
      <w:r>
        <w:t xml:space="preserve"> </w:t>
      </w:r>
      <w:r w:rsidRPr="002049DB">
        <w:rPr>
          <w:rFonts w:ascii="Avant Garde" w:eastAsia="Batang" w:hAnsi="Avant Garde"/>
          <w:sz w:val="16"/>
          <w:szCs w:val="16"/>
          <w:lang w:val="es-MX" w:eastAsia="en-US"/>
        </w:rPr>
        <w:t>Dawes &amp; Pardo, 2002; Gant, 2003; Garson, 2004; Kraemer, K. L., &amp; King, 2003; Pardo and Jiang, 2007.</w:t>
      </w:r>
    </w:p>
  </w:footnote>
  <w:footnote w:id="84">
    <w:p w14:paraId="638ADE5C" w14:textId="77777777" w:rsidR="00421154" w:rsidRPr="002049DB" w:rsidRDefault="00421154" w:rsidP="00421154">
      <w:pPr>
        <w:pStyle w:val="Textoindependiente"/>
        <w:spacing w:line="276" w:lineRule="auto"/>
        <w:rPr>
          <w:rFonts w:ascii="Avant Garde" w:eastAsia="Batang" w:hAnsi="Avant Garde"/>
          <w:sz w:val="16"/>
          <w:szCs w:val="16"/>
          <w:lang w:val="es-MX" w:eastAsia="en-US"/>
        </w:rPr>
      </w:pPr>
      <w:r w:rsidRPr="002049DB">
        <w:rPr>
          <w:rStyle w:val="Refdenotaalpie"/>
          <w:rFonts w:eastAsia="Calibri"/>
          <w:sz w:val="16"/>
          <w:szCs w:val="16"/>
        </w:rPr>
        <w:footnoteRef/>
      </w:r>
      <w:r w:rsidRPr="002049DB">
        <w:rPr>
          <w:sz w:val="18"/>
          <w:szCs w:val="18"/>
        </w:rPr>
        <w:t xml:space="preserve"> </w:t>
      </w:r>
      <w:r w:rsidRPr="002049DB">
        <w:rPr>
          <w:rFonts w:ascii="Avant Garde" w:eastAsia="Batang" w:hAnsi="Avant Garde"/>
          <w:sz w:val="16"/>
          <w:szCs w:val="16"/>
          <w:lang w:val="es-MX" w:eastAsia="en-US"/>
        </w:rPr>
        <w:t>Luna-Reyes, Gil-García &amp; Cruz, 2007; Luna-Reyes, Gil-García &amp; Estrada-Marroquín, 2008.</w:t>
      </w:r>
    </w:p>
  </w:footnote>
  <w:footnote w:id="85">
    <w:p w14:paraId="61814B5B" w14:textId="77777777" w:rsidR="00421154" w:rsidRPr="00E67562" w:rsidRDefault="00421154" w:rsidP="00421154">
      <w:pPr>
        <w:pStyle w:val="Textonotapie"/>
        <w:jc w:val="both"/>
        <w:rPr>
          <w:rFonts w:ascii="Avant Garde" w:eastAsia="Batang" w:hAnsi="Avant Garde" w:cs="Arial"/>
          <w:sz w:val="16"/>
          <w:szCs w:val="16"/>
        </w:rPr>
      </w:pPr>
      <w:r>
        <w:rPr>
          <w:rStyle w:val="Refdenotaalpie"/>
          <w:rFonts w:eastAsia="Calibri"/>
        </w:rPr>
        <w:footnoteRef/>
      </w:r>
      <w:r>
        <w:t xml:space="preserve"> </w:t>
      </w:r>
      <w:r w:rsidRPr="00E67562">
        <w:rPr>
          <w:rFonts w:ascii="Avant Garde" w:eastAsia="Batang" w:hAnsi="Avant Garde" w:cs="Arial"/>
          <w:sz w:val="16"/>
          <w:szCs w:val="16"/>
        </w:rPr>
        <w:t>El acceso a internet como derecho humano, Instituto de Investigaciones</w:t>
      </w:r>
      <w:r>
        <w:rPr>
          <w:rFonts w:ascii="Avant Garde" w:eastAsia="Batang" w:hAnsi="Avant Garde" w:cs="Arial"/>
          <w:sz w:val="16"/>
          <w:szCs w:val="16"/>
        </w:rPr>
        <w:t xml:space="preserve"> </w:t>
      </w:r>
      <w:r w:rsidRPr="00E67562">
        <w:rPr>
          <w:rFonts w:ascii="Avant Garde" w:eastAsia="Batang" w:hAnsi="Avant Garde" w:cs="Arial"/>
          <w:sz w:val="16"/>
          <w:szCs w:val="16"/>
        </w:rPr>
        <w:t xml:space="preserve">Jurídicas, pp. 19-20. Disponible en: https://www.corteidh.or.cr/tablas/r37483.pdf. </w:t>
      </w:r>
    </w:p>
  </w:footnote>
  <w:footnote w:id="86">
    <w:p w14:paraId="3834DD64" w14:textId="77777777" w:rsidR="00421154" w:rsidRPr="00F367EE" w:rsidRDefault="00421154" w:rsidP="00421154">
      <w:pPr>
        <w:pStyle w:val="Textonotapie"/>
        <w:rPr>
          <w:rFonts w:ascii="Avant Garde" w:eastAsia="Batang" w:hAnsi="Avant Garde" w:cs="Arial"/>
          <w:sz w:val="16"/>
          <w:szCs w:val="16"/>
        </w:rPr>
      </w:pPr>
      <w:r>
        <w:rPr>
          <w:rStyle w:val="Refdenotaalpie"/>
          <w:rFonts w:eastAsia="Calibri"/>
        </w:rPr>
        <w:footnoteRef/>
      </w:r>
      <w:r>
        <w:t xml:space="preserve"> </w:t>
      </w:r>
      <w:r w:rsidRPr="00F367EE">
        <w:rPr>
          <w:rFonts w:ascii="Avant Garde" w:eastAsia="Batang" w:hAnsi="Avant Garde" w:cs="Arial"/>
          <w:sz w:val="16"/>
          <w:szCs w:val="16"/>
        </w:rPr>
        <w:t>Carbonell, Miguel y Carbonell, José, op.cit., p. 20.</w:t>
      </w:r>
    </w:p>
  </w:footnote>
  <w:footnote w:id="87">
    <w:p w14:paraId="5F1E1E6B" w14:textId="77777777" w:rsidR="00421154" w:rsidRPr="00FE2D29" w:rsidRDefault="00421154" w:rsidP="00421154">
      <w:pPr>
        <w:autoSpaceDE w:val="0"/>
        <w:autoSpaceDN w:val="0"/>
        <w:adjustRightInd w:val="0"/>
        <w:jc w:val="both"/>
        <w:rPr>
          <w:sz w:val="16"/>
          <w:szCs w:val="16"/>
        </w:rPr>
      </w:pPr>
      <w:r w:rsidRPr="00FE2D29">
        <w:rPr>
          <w:rStyle w:val="Refdenotaalpie"/>
          <w:rFonts w:eastAsia="Calibri"/>
          <w:sz w:val="20"/>
          <w:szCs w:val="20"/>
        </w:rPr>
        <w:footnoteRef/>
      </w:r>
      <w:r>
        <w:t xml:space="preserve"> </w:t>
      </w:r>
      <w:r w:rsidRPr="00FE2D29">
        <w:rPr>
          <w:rFonts w:ascii="Calibri" w:hAnsi="Calibri" w:cs="Calibri"/>
          <w:sz w:val="16"/>
          <w:szCs w:val="16"/>
          <w:lang w:eastAsia="es-MX"/>
        </w:rPr>
        <w:t>Velázquez Ríos, Korina. (México) Construcción de un gobierno electrónico en México. Camino hacia la</w:t>
      </w:r>
      <w:r>
        <w:rPr>
          <w:rFonts w:ascii="Calibri" w:hAnsi="Calibri" w:cs="Calibri"/>
          <w:sz w:val="16"/>
          <w:szCs w:val="16"/>
          <w:lang w:eastAsia="es-MX"/>
        </w:rPr>
        <w:t xml:space="preserve"> </w:t>
      </w:r>
      <w:r w:rsidRPr="00FE2D29">
        <w:rPr>
          <w:rFonts w:ascii="Calibri" w:hAnsi="Calibri" w:cs="Calibri"/>
          <w:sz w:val="16"/>
          <w:szCs w:val="16"/>
          <w:lang w:eastAsia="es-MX"/>
        </w:rPr>
        <w:t>sociedad del conocimiento., p. 17.</w:t>
      </w:r>
      <w:r>
        <w:rPr>
          <w:rFonts w:ascii="Calibri" w:hAnsi="Calibri" w:cs="Calibri"/>
          <w:sz w:val="16"/>
          <w:szCs w:val="16"/>
          <w:lang w:eastAsia="es-MX"/>
        </w:rPr>
        <w:t xml:space="preserve"> </w:t>
      </w:r>
      <w:r w:rsidRPr="00FE2D29">
        <w:rPr>
          <w:rFonts w:ascii="Calibri" w:hAnsi="Calibri" w:cs="Calibri"/>
          <w:sz w:val="16"/>
          <w:szCs w:val="16"/>
          <w:lang w:eastAsia="es-MX"/>
        </w:rPr>
        <w:t xml:space="preserve">Consultable en: </w:t>
      </w:r>
      <w:r w:rsidRPr="00FE2D29">
        <w:rPr>
          <w:rFonts w:ascii="Calibri,Italic" w:hAnsi="Calibri,Italic" w:cs="Calibri,Italic"/>
          <w:i/>
          <w:iCs/>
          <w:sz w:val="16"/>
          <w:szCs w:val="16"/>
          <w:lang w:eastAsia="es-MX"/>
        </w:rPr>
        <w:t>http://biblioteca.diputados.gob.mx/janium/bv/ce/scpd/LX/GOB_ELEC_MEXICO.pdf</w:t>
      </w:r>
      <w:r>
        <w:rPr>
          <w:rFonts w:ascii="Calibri,Italic" w:hAnsi="Calibri,Italic" w:cs="Calibri,Italic"/>
          <w:i/>
          <w:iCs/>
          <w:sz w:val="16"/>
          <w:szCs w:val="16"/>
          <w:lang w:eastAsia="es-MX"/>
        </w:rPr>
        <w:t>.</w:t>
      </w:r>
    </w:p>
  </w:footnote>
  <w:footnote w:id="88">
    <w:p w14:paraId="2181C797" w14:textId="77777777" w:rsidR="00421154" w:rsidRPr="00102FC7" w:rsidRDefault="00421154" w:rsidP="00421154">
      <w:pPr>
        <w:pStyle w:val="Textonotapie"/>
        <w:rPr>
          <w:rFonts w:cs="Calibri"/>
          <w:sz w:val="16"/>
          <w:szCs w:val="16"/>
          <w:lang w:eastAsia="es-MX"/>
        </w:rPr>
      </w:pPr>
      <w:r>
        <w:rPr>
          <w:rStyle w:val="Refdenotaalpie"/>
          <w:rFonts w:eastAsia="Calibri"/>
        </w:rPr>
        <w:footnoteRef/>
      </w:r>
      <w:r>
        <w:t xml:space="preserve"> </w:t>
      </w:r>
      <w:r w:rsidRPr="00413B26">
        <w:rPr>
          <w:rFonts w:cs="Calibri"/>
          <w:sz w:val="16"/>
          <w:szCs w:val="16"/>
          <w:lang w:eastAsia="es-MX"/>
        </w:rPr>
        <w:t>Consultable en:</w:t>
      </w:r>
      <w:r>
        <w:t xml:space="preserve"> </w:t>
      </w:r>
      <w:r w:rsidRPr="00102FC7">
        <w:rPr>
          <w:rFonts w:cs="Calibri"/>
          <w:sz w:val="16"/>
          <w:szCs w:val="16"/>
          <w:lang w:eastAsia="es-MX"/>
        </w:rPr>
        <w:t>https://www.un.org/es/conferences/environment/newyork2015</w:t>
      </w:r>
      <w:r>
        <w:rPr>
          <w:rFonts w:cs="Calibri"/>
          <w:sz w:val="16"/>
          <w:szCs w:val="16"/>
          <w:lang w:eastAsia="es-MX"/>
        </w:rPr>
        <w:t>.</w:t>
      </w:r>
    </w:p>
  </w:footnote>
  <w:footnote w:id="89">
    <w:p w14:paraId="0AD2A1BC" w14:textId="77777777" w:rsidR="00421154" w:rsidRPr="00A334B5" w:rsidRDefault="00421154" w:rsidP="00421154">
      <w:pPr>
        <w:autoSpaceDE w:val="0"/>
        <w:autoSpaceDN w:val="0"/>
        <w:adjustRightInd w:val="0"/>
        <w:jc w:val="both"/>
        <w:rPr>
          <w:rFonts w:ascii="Calibri" w:hAnsi="Calibri" w:cs="Calibri"/>
          <w:sz w:val="16"/>
          <w:szCs w:val="16"/>
          <w:lang w:eastAsia="es-MX"/>
        </w:rPr>
      </w:pPr>
      <w:r w:rsidRPr="00A334B5">
        <w:rPr>
          <w:rStyle w:val="Refdenotaalpie"/>
          <w:rFonts w:eastAsia="Calibri"/>
          <w:sz w:val="16"/>
          <w:szCs w:val="16"/>
        </w:rPr>
        <w:footnoteRef/>
      </w:r>
      <w:r w:rsidRPr="00A334B5">
        <w:rPr>
          <w:sz w:val="16"/>
          <w:szCs w:val="16"/>
        </w:rPr>
        <w:t xml:space="preserve"> </w:t>
      </w:r>
      <w:r w:rsidRPr="00A334B5">
        <w:rPr>
          <w:rFonts w:ascii="Calibri" w:hAnsi="Calibri" w:cs="Calibri"/>
          <w:sz w:val="16"/>
          <w:szCs w:val="16"/>
          <w:lang w:eastAsia="es-MX"/>
        </w:rPr>
        <w:t>Consultable en:</w:t>
      </w:r>
      <w:r>
        <w:rPr>
          <w:rFonts w:ascii="Calibri" w:hAnsi="Calibri" w:cs="Calibri"/>
          <w:sz w:val="16"/>
          <w:szCs w:val="16"/>
          <w:lang w:eastAsia="es-MX"/>
        </w:rPr>
        <w:t xml:space="preserve"> </w:t>
      </w:r>
      <w:r w:rsidRPr="00A334B5">
        <w:rPr>
          <w:rFonts w:ascii="Calibri,Italic" w:hAnsi="Calibri,Italic" w:cs="Calibri,Italic"/>
          <w:i/>
          <w:iCs/>
          <w:sz w:val="16"/>
          <w:szCs w:val="16"/>
          <w:lang w:eastAsia="es-MX"/>
        </w:rPr>
        <w:t xml:space="preserve">https://www.inegi.org.mx/contenidos/saladeprensa/boletines/2020/EstSegPub/encig2019_05.pdf </w:t>
      </w:r>
      <w:r w:rsidRPr="00A334B5">
        <w:rPr>
          <w:rFonts w:ascii="Calibri" w:hAnsi="Calibri" w:cs="Calibri"/>
          <w:sz w:val="16"/>
          <w:szCs w:val="16"/>
          <w:lang w:eastAsia="es-MX"/>
        </w:rPr>
        <w:t>(30 de</w:t>
      </w:r>
    </w:p>
    <w:p w14:paraId="4D934D69" w14:textId="77777777" w:rsidR="00421154" w:rsidRPr="00A334B5" w:rsidRDefault="00421154" w:rsidP="00421154">
      <w:pPr>
        <w:pStyle w:val="Textonotapie"/>
        <w:jc w:val="both"/>
        <w:rPr>
          <w:sz w:val="16"/>
          <w:szCs w:val="16"/>
        </w:rPr>
      </w:pPr>
      <w:r w:rsidRPr="00A334B5">
        <w:rPr>
          <w:rFonts w:cs="Calibri"/>
          <w:sz w:val="16"/>
          <w:szCs w:val="16"/>
          <w:lang w:eastAsia="es-MX"/>
        </w:rPr>
        <w:t>mayo de 2022).</w:t>
      </w:r>
    </w:p>
  </w:footnote>
  <w:footnote w:id="90">
    <w:p w14:paraId="270DA41D" w14:textId="77777777" w:rsidR="00421154" w:rsidRPr="00086F1F" w:rsidRDefault="00421154" w:rsidP="00421154">
      <w:pPr>
        <w:pStyle w:val="Textonotapie"/>
        <w:rPr>
          <w:sz w:val="16"/>
          <w:szCs w:val="16"/>
        </w:rPr>
      </w:pPr>
      <w:r w:rsidRPr="00086F1F">
        <w:rPr>
          <w:rStyle w:val="Refdenotaalpie"/>
          <w:rFonts w:eastAsia="Calibri"/>
          <w:sz w:val="16"/>
          <w:szCs w:val="16"/>
        </w:rPr>
        <w:footnoteRef/>
      </w:r>
      <w:r w:rsidRPr="00086F1F">
        <w:rPr>
          <w:sz w:val="16"/>
          <w:szCs w:val="16"/>
        </w:rPr>
        <w:t xml:space="preserve"> Consultable en: http://programagto2018-2024.guanajuato.gob.mx/wp-content/uploads/2021/07/REVISTA_PG2021.pdf</w:t>
      </w:r>
    </w:p>
  </w:footnote>
  <w:footnote w:id="91">
    <w:p w14:paraId="515DC6C0" w14:textId="77777777" w:rsidR="00421154" w:rsidRPr="00287B7E" w:rsidRDefault="00421154" w:rsidP="00421154">
      <w:pPr>
        <w:pStyle w:val="Textonotapie"/>
        <w:rPr>
          <w:sz w:val="16"/>
          <w:szCs w:val="16"/>
        </w:rPr>
      </w:pPr>
      <w:r>
        <w:rPr>
          <w:rStyle w:val="Refdenotaalpie"/>
          <w:rFonts w:eastAsia="Calibri"/>
        </w:rPr>
        <w:footnoteRef/>
      </w:r>
      <w:r>
        <w:t xml:space="preserve"> </w:t>
      </w:r>
      <w:r w:rsidRPr="00287B7E">
        <w:rPr>
          <w:sz w:val="16"/>
          <w:szCs w:val="16"/>
        </w:rPr>
        <w:t>Consultable en: http://plangto2040.iplaneg.net/</w:t>
      </w:r>
    </w:p>
  </w:footnote>
  <w:footnote w:id="92">
    <w:p w14:paraId="503F2928" w14:textId="77777777" w:rsidR="00F00DF5" w:rsidRPr="00F00DF5" w:rsidRDefault="00F00DF5" w:rsidP="00F00DF5">
      <w:pPr>
        <w:pStyle w:val="Textonotapie"/>
        <w:jc w:val="both"/>
        <w:rPr>
          <w:rFonts w:ascii="Abadi" w:hAnsi="Abadi"/>
          <w:sz w:val="12"/>
          <w:szCs w:val="12"/>
        </w:rPr>
      </w:pPr>
      <w:r w:rsidRPr="00F00DF5">
        <w:rPr>
          <w:rStyle w:val="Refdenotaalpie"/>
          <w:rFonts w:ascii="Abadi" w:hAnsi="Abadi"/>
          <w:sz w:val="12"/>
          <w:szCs w:val="12"/>
        </w:rPr>
        <w:footnoteRef/>
      </w:r>
      <w:r w:rsidRPr="00F00DF5">
        <w:rPr>
          <w:rFonts w:ascii="Abadi" w:hAnsi="Abadi"/>
          <w:sz w:val="12"/>
          <w:szCs w:val="12"/>
        </w:rPr>
        <w:t xml:space="preserve"> Expedida mediante el Decreto Legislativo número 58, publicado en el Periódico Oficial del Gobierno del Estado de Guanajuato, número 261, Segundo Parte, del 31 de diciembre de 2021.</w:t>
      </w:r>
    </w:p>
  </w:footnote>
  <w:footnote w:id="93">
    <w:p w14:paraId="221AD25A" w14:textId="77777777" w:rsidR="00F00DF5" w:rsidRPr="00F00DF5" w:rsidRDefault="00F00DF5" w:rsidP="00F00DF5">
      <w:pPr>
        <w:pStyle w:val="Textonotapie"/>
        <w:rPr>
          <w:rFonts w:ascii="Abadi" w:hAnsi="Abadi"/>
        </w:rPr>
      </w:pPr>
      <w:r w:rsidRPr="00F00DF5">
        <w:rPr>
          <w:rStyle w:val="Refdenotaalpie"/>
          <w:rFonts w:ascii="Abadi" w:hAnsi="Abadi"/>
          <w:sz w:val="12"/>
          <w:szCs w:val="12"/>
        </w:rPr>
        <w:footnoteRef/>
      </w:r>
      <w:r w:rsidRPr="00F00DF5">
        <w:rPr>
          <w:rFonts w:ascii="Abadi" w:hAnsi="Abadi"/>
          <w:sz w:val="12"/>
          <w:szCs w:val="12"/>
        </w:rPr>
        <w:t xml:space="preserve"> Publicado en el Periódico Oficial del Gobierno del Estado de Guanajuato Número 134, Segunda y Tercera Parte, de fecha 07 de julio de 2021.</w:t>
      </w:r>
    </w:p>
  </w:footnote>
  <w:footnote w:id="94">
    <w:p w14:paraId="7B56EF7A" w14:textId="77777777" w:rsidR="008F4A58" w:rsidRPr="006F40F1" w:rsidRDefault="008F4A58" w:rsidP="008F4A58">
      <w:pPr>
        <w:jc w:val="both"/>
        <w:rPr>
          <w:rFonts w:ascii="Verdana" w:hAnsi="Verdana"/>
        </w:rPr>
      </w:pPr>
      <w:r w:rsidRPr="00B30305">
        <w:rPr>
          <w:rStyle w:val="Refdenotaalpie"/>
        </w:rPr>
        <w:footnoteRef/>
      </w:r>
      <w:r w:rsidRPr="00B30305">
        <w:t xml:space="preserve"> </w:t>
      </w:r>
      <w:r w:rsidRPr="006F40F1">
        <w:rPr>
          <w:rFonts w:ascii="Verdana" w:hAnsi="Verdana"/>
          <w:sz w:val="16"/>
          <w:szCs w:val="16"/>
        </w:rPr>
        <w:t>Municipio urbano: municipio con una población entre 50 mil y 300 mil habitantes. (Panorama de inclusión financiera 2020 SHCP-CNBV)</w:t>
      </w:r>
    </w:p>
  </w:footnote>
  <w:footnote w:id="95">
    <w:p w14:paraId="512E1F7E" w14:textId="77777777" w:rsidR="008F4A58" w:rsidRPr="00342C8E" w:rsidRDefault="008F4A58" w:rsidP="008F4A58">
      <w:pPr>
        <w:pStyle w:val="Textonotapie"/>
        <w:rPr>
          <w:rFonts w:ascii="Verdana" w:hAnsi="Verdana"/>
          <w:sz w:val="16"/>
          <w:szCs w:val="16"/>
        </w:rPr>
      </w:pPr>
      <w:r w:rsidRPr="00B60859">
        <w:rPr>
          <w:rStyle w:val="Refdenotaalpie"/>
          <w:sz w:val="16"/>
          <w:szCs w:val="16"/>
        </w:rPr>
        <w:footnoteRef/>
      </w:r>
      <w:r w:rsidRPr="00B60859">
        <w:rPr>
          <w:sz w:val="16"/>
          <w:szCs w:val="16"/>
        </w:rPr>
        <w:t xml:space="preserve"> </w:t>
      </w:r>
      <w:r w:rsidRPr="00342C8E">
        <w:rPr>
          <w:rFonts w:ascii="Verdana" w:hAnsi="Verdana"/>
          <w:sz w:val="16"/>
          <w:szCs w:val="16"/>
        </w:rPr>
        <w:t>Disponible en https://www.imf.org/es/Publications/WEO/Issues/2022/04/19/world-economic-outlook-april-2022#Overview</w:t>
      </w:r>
    </w:p>
  </w:footnote>
  <w:footnote w:id="96">
    <w:p w14:paraId="717B0E7F" w14:textId="77777777" w:rsidR="008F4A58" w:rsidRPr="00342C8E" w:rsidRDefault="008F4A58" w:rsidP="008F4A58">
      <w:pPr>
        <w:pStyle w:val="Textonotapie"/>
        <w:rPr>
          <w:rFonts w:ascii="Verdana" w:hAnsi="Verdana"/>
          <w:sz w:val="16"/>
          <w:szCs w:val="16"/>
        </w:rPr>
      </w:pPr>
      <w:r w:rsidRPr="00342C8E">
        <w:rPr>
          <w:rStyle w:val="Refdenotaalpie"/>
          <w:rFonts w:ascii="Verdana" w:hAnsi="Verdana"/>
          <w:sz w:val="16"/>
          <w:szCs w:val="16"/>
        </w:rPr>
        <w:footnoteRef/>
      </w:r>
      <w:r w:rsidRPr="00342C8E">
        <w:rPr>
          <w:rFonts w:ascii="Verdana" w:hAnsi="Verdana"/>
          <w:sz w:val="16"/>
          <w:szCs w:val="16"/>
        </w:rPr>
        <w:t xml:space="preserve"> Disponible en https://www.finanzaspublicas.hacienda.gob.mx/work/models/Finanzas_Publicas/docs/paquete_economico/precgpe/precgpe_2023.pdf</w:t>
      </w:r>
    </w:p>
  </w:footnote>
  <w:footnote w:id="97">
    <w:p w14:paraId="18E8034B" w14:textId="77777777" w:rsidR="008F4A58" w:rsidRPr="004574A5" w:rsidRDefault="008F4A58" w:rsidP="008F4A58">
      <w:pPr>
        <w:pStyle w:val="Textonotapie"/>
        <w:jc w:val="both"/>
        <w:rPr>
          <w:rFonts w:ascii="Verdana" w:hAnsi="Verdana"/>
        </w:rPr>
      </w:pPr>
      <w:r w:rsidRPr="00AE0956">
        <w:rPr>
          <w:color w:val="000000"/>
          <w:sz w:val="16"/>
          <w:szCs w:val="16"/>
        </w:rPr>
        <w:footnoteRef/>
      </w:r>
      <w:r w:rsidRPr="00AE0956">
        <w:rPr>
          <w:color w:val="000000"/>
          <w:sz w:val="16"/>
          <w:szCs w:val="16"/>
        </w:rPr>
        <w:t xml:space="preserve"> </w:t>
      </w:r>
      <w:r w:rsidRPr="004574A5">
        <w:rPr>
          <w:rFonts w:ascii="Verdana" w:hAnsi="Verdana"/>
          <w:color w:val="000000"/>
          <w:sz w:val="16"/>
          <w:szCs w:val="16"/>
        </w:rPr>
        <w:t>Secretaría de Hacienda y Crédito Público. Sistema de Alertas. Sitio Web: https://www.disciplinafinanciera.hacienda.gob.mx/es/DISCIPLINA_FINANCIERA/Municipios_2020</w:t>
      </w:r>
    </w:p>
  </w:footnote>
  <w:footnote w:id="98">
    <w:p w14:paraId="17D3101E" w14:textId="77777777" w:rsidR="008F4A58" w:rsidRPr="00AA1D8D" w:rsidRDefault="008F4A58" w:rsidP="008F4A58">
      <w:pPr>
        <w:spacing w:line="360" w:lineRule="auto"/>
        <w:jc w:val="both"/>
        <w:rPr>
          <w:color w:val="1F497D"/>
          <w:sz w:val="16"/>
          <w:szCs w:val="16"/>
        </w:rPr>
      </w:pPr>
      <w:r w:rsidRPr="00AA1D8D">
        <w:rPr>
          <w:rStyle w:val="Refdenotaalpie"/>
          <w:sz w:val="16"/>
          <w:szCs w:val="16"/>
        </w:rPr>
        <w:footnoteRef/>
      </w:r>
      <w:r w:rsidRPr="00AA1D8D">
        <w:rPr>
          <w:color w:val="000000"/>
          <w:sz w:val="16"/>
          <w:szCs w:val="16"/>
        </w:rPr>
        <w:t xml:space="preserve"> </w:t>
      </w:r>
      <w:r w:rsidRPr="009C7B87">
        <w:rPr>
          <w:rFonts w:ascii="Abadi" w:hAnsi="Abadi"/>
          <w:color w:val="000000"/>
          <w:sz w:val="12"/>
          <w:szCs w:val="12"/>
        </w:rPr>
        <w:t>Secretaría de Hacienda y Crédito Público. (2016). Acuerdo por el que se emiten los Lineamientos de la Metodología para el Cálculo de Menor Costo Financiero y de los Procesos Competitivos de los Financiamientos y Obligaciones a Contratar por parte de las Entidades Federativas, los Municipios y sus entes públicos. 17 de enero de 2020, de Secretaría de Hacienda y Crédito Público Sitio web: https://www.disciplinafinanciera.hacienda.gob.mx/work/models/DISCIPLINA_FINANCIERA/Documentos/Normatividad/Lineamientos%20Menor%20Costo%20Financiero.pdf</w:t>
      </w:r>
    </w:p>
  </w:footnote>
  <w:footnote w:id="99">
    <w:p w14:paraId="7DA6CF84" w14:textId="77777777" w:rsidR="00FE3B93" w:rsidRPr="00CC3579" w:rsidRDefault="00FE3B93" w:rsidP="00FE3B93">
      <w:pPr>
        <w:pStyle w:val="Textonotapie"/>
        <w:jc w:val="both"/>
        <w:rPr>
          <w:rFonts w:ascii="Verdana" w:hAnsi="Verdana"/>
          <w:sz w:val="14"/>
          <w:szCs w:val="14"/>
        </w:rPr>
      </w:pPr>
      <w:r>
        <w:rPr>
          <w:rStyle w:val="Refdenotaalpie"/>
        </w:rPr>
        <w:footnoteRef/>
      </w:r>
      <w:r>
        <w:t xml:space="preserve"> </w:t>
      </w:r>
      <w:r w:rsidRPr="00CC3579">
        <w:rPr>
          <w:rFonts w:ascii="Verdana" w:hAnsi="Verdana"/>
          <w:sz w:val="14"/>
          <w:szCs w:val="14"/>
        </w:rPr>
        <w:t>Calvento, M. (2006). “Fundamentos teóricos del neoliberalismo: su vinculación con las temáticas sociales y sus efectos en América Latina”. En Convergencia, núm. 41. México: Universidad Autónoma del Estado de México.</w:t>
      </w:r>
    </w:p>
  </w:footnote>
  <w:footnote w:id="100">
    <w:p w14:paraId="0374008E" w14:textId="77777777" w:rsidR="00FE3B93" w:rsidRPr="00CC3579" w:rsidRDefault="00FE3B93" w:rsidP="00FE3B93">
      <w:pPr>
        <w:pStyle w:val="Textonotapie"/>
        <w:jc w:val="both"/>
        <w:rPr>
          <w:rFonts w:ascii="Verdana" w:hAnsi="Verdana"/>
          <w:sz w:val="14"/>
          <w:szCs w:val="14"/>
        </w:rPr>
      </w:pPr>
      <w:r w:rsidRPr="00CC3579">
        <w:rPr>
          <w:rStyle w:val="Refdenotaalpie"/>
          <w:rFonts w:ascii="Verdana" w:hAnsi="Verdana"/>
          <w:sz w:val="14"/>
          <w:szCs w:val="14"/>
        </w:rPr>
        <w:footnoteRef/>
      </w:r>
      <w:r w:rsidRPr="00CC3579">
        <w:rPr>
          <w:rFonts w:ascii="Verdana" w:hAnsi="Verdana"/>
          <w:sz w:val="14"/>
          <w:szCs w:val="14"/>
        </w:rPr>
        <w:t xml:space="preserve"> Artículo 10, fracción II, Ley de Desarrollo Social y Humano para el Estado y los Municipios de Guanajuato.</w:t>
      </w:r>
    </w:p>
  </w:footnote>
  <w:footnote w:id="101">
    <w:p w14:paraId="1445F5F8" w14:textId="77777777" w:rsidR="00FE3B93" w:rsidRPr="00CC3579" w:rsidRDefault="00FE3B93" w:rsidP="00FE3B93">
      <w:pPr>
        <w:pStyle w:val="Textonotapie"/>
        <w:jc w:val="both"/>
        <w:rPr>
          <w:rFonts w:ascii="Verdana" w:hAnsi="Verdana"/>
          <w:sz w:val="14"/>
          <w:szCs w:val="14"/>
        </w:rPr>
      </w:pPr>
      <w:r>
        <w:rPr>
          <w:rStyle w:val="Refdenotaalpie"/>
        </w:rPr>
        <w:footnoteRef/>
      </w:r>
      <w:r>
        <w:t xml:space="preserve"> </w:t>
      </w:r>
      <w:r w:rsidRPr="00CC3579">
        <w:rPr>
          <w:rFonts w:ascii="Verdana" w:hAnsi="Verdana"/>
          <w:sz w:val="14"/>
          <w:szCs w:val="14"/>
        </w:rPr>
        <w:t>CONEVAL. (2018). Monitoreo y Estados, Pobreza 2018 en Guanajuato. CONEVAL: CDMX. Disponible en: https://www.coneval.org.mx/coordinacion/entidades/Guanajuato/Paginas/Pobreza_2018.aspx</w:t>
      </w:r>
    </w:p>
  </w:footnote>
  <w:footnote w:id="102">
    <w:p w14:paraId="5AF9EF47" w14:textId="77777777" w:rsidR="00FE3B93" w:rsidRDefault="00FE3B93" w:rsidP="00FE3B93">
      <w:pPr>
        <w:pStyle w:val="Textonotapie"/>
      </w:pPr>
      <w:r>
        <w:rPr>
          <w:rStyle w:val="Refdenotaalpie"/>
        </w:rPr>
        <w:footnoteRef/>
      </w:r>
      <w:r>
        <w:t xml:space="preserve"> </w:t>
      </w:r>
      <w:r w:rsidRPr="00A71E8B">
        <w:rPr>
          <w:rFonts w:ascii="Verdana" w:hAnsi="Verdana"/>
          <w:sz w:val="14"/>
          <w:szCs w:val="14"/>
        </w:rPr>
        <w:t>Artículo 11, Ley de Desarrollo Social y Humano para el Estado y los Municipios de Guanajuato</w:t>
      </w:r>
      <w:r w:rsidRPr="00A71E8B">
        <w:t>.</w:t>
      </w:r>
    </w:p>
  </w:footnote>
  <w:footnote w:id="103">
    <w:p w14:paraId="415D5BDF" w14:textId="77777777" w:rsidR="00FE3B93" w:rsidRPr="00857026" w:rsidRDefault="00FE3B93" w:rsidP="00FE3B93">
      <w:pPr>
        <w:pStyle w:val="Textonotapie"/>
        <w:jc w:val="both"/>
        <w:rPr>
          <w:rFonts w:ascii="Verdana" w:hAnsi="Verdana"/>
          <w:sz w:val="14"/>
          <w:szCs w:val="14"/>
        </w:rPr>
      </w:pPr>
      <w:r>
        <w:rPr>
          <w:rStyle w:val="Refdenotaalpie"/>
        </w:rPr>
        <w:footnoteRef/>
      </w:r>
      <w:r>
        <w:t xml:space="preserve"> </w:t>
      </w:r>
      <w:r w:rsidRPr="00857026">
        <w:rPr>
          <w:rFonts w:ascii="Verdana" w:hAnsi="Verdana"/>
          <w:sz w:val="14"/>
          <w:szCs w:val="14"/>
        </w:rPr>
        <w:t>CONEVAL. (2020). Informe de pobreza y evaluación 2020: Guanajuato. CONEVAL: CDMX. Disponible en: https://www.coneval.org.mxcoordinacionentidadesDocumentsInformes_de_pobreza_y_evaluacion_2020_DocumentosInforme_Guanajuato_2020.pdf.xlsx</w:t>
      </w:r>
    </w:p>
  </w:footnote>
  <w:footnote w:id="104">
    <w:p w14:paraId="359A5520" w14:textId="77777777" w:rsidR="00FE3B93" w:rsidRDefault="00FE3B93" w:rsidP="00FE3B93">
      <w:pPr>
        <w:pStyle w:val="Textonotapie"/>
        <w:jc w:val="both"/>
      </w:pPr>
      <w:r>
        <w:rPr>
          <w:rStyle w:val="Refdenotaalpie"/>
        </w:rPr>
        <w:footnoteRef/>
      </w:r>
      <w:r>
        <w:t xml:space="preserve"> </w:t>
      </w:r>
      <w:r w:rsidRPr="00857026">
        <w:rPr>
          <w:rFonts w:ascii="Verdana" w:hAnsi="Verdana"/>
          <w:sz w:val="14"/>
          <w:szCs w:val="14"/>
        </w:rPr>
        <w:t>CONEVAL. (2020). Informe de pobreza y evaluación 2020: Guanajuato. CONEVAL: CDMX. Disponible en: https://www.coneval.org.mxcoordinacionentidadesDocumentsInformes_de_pobreza_y_evaluacion_2020_DocumentosInforme_Guanajuato_2020.pdf.xlsx</w:t>
      </w:r>
    </w:p>
  </w:footnote>
  <w:footnote w:id="105">
    <w:p w14:paraId="7CC081AA" w14:textId="77777777" w:rsidR="00FE3B93" w:rsidRPr="00634BB9" w:rsidRDefault="00FE3B93" w:rsidP="00FE3B93">
      <w:pPr>
        <w:pStyle w:val="Textonotapie"/>
        <w:jc w:val="both"/>
        <w:rPr>
          <w:rFonts w:ascii="Verdana" w:hAnsi="Verdana"/>
          <w:sz w:val="14"/>
          <w:szCs w:val="14"/>
        </w:rPr>
      </w:pPr>
      <w:r>
        <w:rPr>
          <w:rStyle w:val="Refdenotaalpie"/>
        </w:rPr>
        <w:footnoteRef/>
      </w:r>
      <w:r>
        <w:t xml:space="preserve"> </w:t>
      </w:r>
      <w:r w:rsidRPr="00634BB9">
        <w:rPr>
          <w:rFonts w:ascii="Verdana" w:hAnsi="Verdana"/>
          <w:sz w:val="14"/>
          <w:szCs w:val="14"/>
        </w:rPr>
        <w:t>Información laboral del estado de Guanajuato, Secretaría del Trabajo y Previsión Social. Marzo 2021.</w:t>
      </w:r>
    </w:p>
  </w:footnote>
  <w:footnote w:id="106">
    <w:p w14:paraId="003B5D2F" w14:textId="77777777" w:rsidR="00FE3B93" w:rsidRPr="0076269C" w:rsidRDefault="00FE3B93" w:rsidP="00FE3B93">
      <w:pPr>
        <w:pStyle w:val="Textonotapie"/>
        <w:jc w:val="both"/>
        <w:rPr>
          <w:rFonts w:ascii="Verdana" w:hAnsi="Verdana"/>
          <w:sz w:val="14"/>
          <w:szCs w:val="14"/>
        </w:rPr>
      </w:pPr>
      <w:r>
        <w:rPr>
          <w:rStyle w:val="Refdenotaalpie"/>
        </w:rPr>
        <w:footnoteRef/>
      </w:r>
      <w:r>
        <w:t xml:space="preserve"> </w:t>
      </w:r>
      <w:r w:rsidRPr="0076269C">
        <w:rPr>
          <w:rFonts w:ascii="Verdana" w:hAnsi="Verdana"/>
          <w:sz w:val="14"/>
          <w:szCs w:val="14"/>
        </w:rPr>
        <w:t>Lecuona Zepeda, G., Jiménez Rodríguez, P. (2020). Impunidad en homicidio doloso y feminicidio en México: Reporte 2020. Impunidad Cero</w:t>
      </w:r>
      <w:r>
        <w:rPr>
          <w:rFonts w:ascii="Verdana" w:hAnsi="Verdana"/>
          <w:sz w:val="14"/>
          <w:szCs w:val="14"/>
        </w:rPr>
        <w:t>.</w:t>
      </w:r>
    </w:p>
  </w:footnote>
  <w:footnote w:id="107">
    <w:p w14:paraId="00728276" w14:textId="77777777" w:rsidR="00FE3B93" w:rsidRDefault="00FE3B93" w:rsidP="00FE3B93">
      <w:pPr>
        <w:pStyle w:val="Textonotapie"/>
      </w:pPr>
      <w:r>
        <w:rPr>
          <w:rStyle w:val="Refdenotaalpie"/>
        </w:rPr>
        <w:footnoteRef/>
      </w:r>
      <w:r>
        <w:t xml:space="preserve"> </w:t>
      </w:r>
      <w:r w:rsidRPr="0076269C">
        <w:rPr>
          <w:rFonts w:ascii="Verdana" w:hAnsi="Verdana"/>
          <w:sz w:val="14"/>
          <w:szCs w:val="14"/>
        </w:rPr>
        <w:t>Información obtenida del presupuesto ejercido, datos obtenidos de la Cuenta Pública estatal</w:t>
      </w:r>
      <w:r w:rsidRPr="0076269C">
        <w:t>.</w:t>
      </w:r>
    </w:p>
    <w:p w14:paraId="440386B1" w14:textId="77777777" w:rsidR="00FE3B93" w:rsidRDefault="00FE3B93" w:rsidP="00FE3B93">
      <w:pPr>
        <w:pStyle w:val="Textonotapie"/>
      </w:pPr>
    </w:p>
  </w:footnote>
  <w:footnote w:id="108">
    <w:p w14:paraId="56530163" w14:textId="77777777" w:rsidR="00FE3B93" w:rsidRDefault="00FE3B93" w:rsidP="00FE3B93">
      <w:pPr>
        <w:pStyle w:val="Textonotapie"/>
      </w:pPr>
      <w:r>
        <w:rPr>
          <w:rStyle w:val="Refdenotaalpie"/>
        </w:rPr>
        <w:footnoteRef/>
      </w:r>
      <w:r>
        <w:t xml:space="preserve"> </w:t>
      </w:r>
      <w:r w:rsidRPr="00AB5E7D">
        <w:rPr>
          <w:rFonts w:ascii="Verdana" w:hAnsi="Verdana"/>
          <w:sz w:val="14"/>
          <w:szCs w:val="14"/>
        </w:rPr>
        <w:t>Ídem.</w:t>
      </w:r>
    </w:p>
  </w:footnote>
  <w:footnote w:id="109">
    <w:p w14:paraId="49692442" w14:textId="77777777" w:rsidR="00FE3B93" w:rsidRPr="004E396D" w:rsidRDefault="00FE3B93" w:rsidP="00FE3B93">
      <w:pPr>
        <w:pStyle w:val="Textonotapie"/>
        <w:jc w:val="both"/>
        <w:rPr>
          <w:rFonts w:ascii="Verdana" w:hAnsi="Verdana"/>
          <w:sz w:val="14"/>
          <w:szCs w:val="14"/>
        </w:rPr>
      </w:pPr>
      <w:r>
        <w:rPr>
          <w:rStyle w:val="Refdenotaalpie"/>
        </w:rPr>
        <w:footnoteRef/>
      </w:r>
      <w:r>
        <w:t xml:space="preserve"> A</w:t>
      </w:r>
      <w:r w:rsidRPr="004E396D">
        <w:rPr>
          <w:rFonts w:ascii="Verdana" w:hAnsi="Verdana"/>
          <w:sz w:val="14"/>
          <w:szCs w:val="14"/>
        </w:rPr>
        <w:t>rtículo 1, fracción IX; artículo 9, fracción V; y artículo 10, fracción IV, Ley de Desarrollo Social y Humano para el Estado y los Municipios de Guanajuato.</w:t>
      </w:r>
    </w:p>
  </w:footnote>
  <w:footnote w:id="110">
    <w:p w14:paraId="61A0C407" w14:textId="77777777" w:rsidR="00FE3B93" w:rsidRDefault="00FE3B93" w:rsidP="00FE3B93">
      <w:pPr>
        <w:pStyle w:val="Textonotapie"/>
        <w:jc w:val="both"/>
      </w:pPr>
      <w:r>
        <w:rPr>
          <w:rStyle w:val="Refdenotaalpie"/>
        </w:rPr>
        <w:footnoteRef/>
      </w:r>
      <w:r>
        <w:t xml:space="preserve"> </w:t>
      </w:r>
      <w:r w:rsidRPr="003A1EA8">
        <w:rPr>
          <w:rFonts w:ascii="Verdana" w:hAnsi="Verdana"/>
          <w:sz w:val="14"/>
          <w:szCs w:val="14"/>
        </w:rPr>
        <w:t>Fernández Arroyo, N. &amp; Schejtman, L. (2012). Planificación de políticas, programas y proyectos sociales. Buenos Aires: CIPPEC y UNICEF.</w:t>
      </w:r>
    </w:p>
  </w:footnote>
  <w:footnote w:id="111">
    <w:p w14:paraId="6F8D2864" w14:textId="77777777" w:rsidR="00FE3B93" w:rsidRDefault="00FE3B93" w:rsidP="00FE3B93">
      <w:pPr>
        <w:pStyle w:val="Textonotapie"/>
        <w:spacing w:after="120"/>
        <w:ind w:left="284" w:hanging="284"/>
        <w:jc w:val="both"/>
      </w:pPr>
      <w:r w:rsidRPr="00F36BA7">
        <w:rPr>
          <w:rStyle w:val="Refdenotaalpie"/>
          <w:rFonts w:ascii="Arial Narrow" w:hAnsi="Arial Narrow"/>
          <w:sz w:val="16"/>
          <w:szCs w:val="16"/>
        </w:rPr>
        <w:footnoteRef/>
      </w:r>
      <w:r w:rsidRPr="00F36BA7">
        <w:rPr>
          <w:rFonts w:ascii="Arial Narrow" w:hAnsi="Arial Narrow"/>
          <w:sz w:val="16"/>
          <w:szCs w:val="16"/>
        </w:rPr>
        <w:tab/>
      </w:r>
      <w:r w:rsidRPr="008F1EA7">
        <w:rPr>
          <w:rFonts w:ascii="Verdana" w:hAnsi="Verdana"/>
          <w:sz w:val="16"/>
          <w:szCs w:val="16"/>
        </w:rPr>
        <w:t xml:space="preserve">En una búsqueda de información inicial, se cuantificó la existencia de 106 programas y proyectos de carácter social en 2019; mientras que, en 2020, la cifra del inventario fue aproximadamente de 114 proyectos, de los cuales se reconoce que 50 siguen en operación en 2021 (los programas presupuestarios se encuentran listados en el </w:t>
      </w:r>
      <w:r w:rsidRPr="008F1EA7">
        <w:rPr>
          <w:rFonts w:ascii="Verdana" w:hAnsi="Verdana"/>
          <w:b/>
          <w:sz w:val="16"/>
          <w:szCs w:val="16"/>
        </w:rPr>
        <w:t>Anexo</w:t>
      </w:r>
      <w:r w:rsidRPr="008F1EA7">
        <w:rPr>
          <w:rFonts w:ascii="Verdana" w:hAnsi="Verdana"/>
          <w:b/>
          <w:bCs/>
          <w:sz w:val="16"/>
          <w:szCs w:val="16"/>
        </w:rPr>
        <w:t xml:space="preserve"> 1</w:t>
      </w:r>
      <w:r w:rsidRPr="008F1EA7">
        <w:rPr>
          <w:rFonts w:ascii="Verdana" w:hAnsi="Verdana"/>
          <w:sz w:val="16"/>
          <w:szCs w:val="16"/>
        </w:rPr>
        <w:t>, ello a partir de la intervención de al menos 16 dependencias, en su mayoría, en coordinación con los 46 municipios del Estado</w:t>
      </w:r>
      <w:r w:rsidRPr="00F36BA7">
        <w:rPr>
          <w:rFonts w:ascii="Arial Narrow" w:hAnsi="Arial Narrow"/>
          <w:sz w:val="16"/>
          <w:szCs w:val="16"/>
        </w:rPr>
        <w:t xml:space="preserve">. </w:t>
      </w:r>
    </w:p>
  </w:footnote>
  <w:footnote w:id="112">
    <w:p w14:paraId="15537B18" w14:textId="77777777" w:rsidR="00FE3B93" w:rsidRDefault="00FE3B93" w:rsidP="00FE3B93">
      <w:pPr>
        <w:pStyle w:val="Textonotapie"/>
        <w:spacing w:after="120" w:line="276" w:lineRule="auto"/>
        <w:ind w:left="284" w:hanging="284"/>
        <w:jc w:val="both"/>
      </w:pPr>
      <w:r w:rsidRPr="00F36BA7">
        <w:rPr>
          <w:rStyle w:val="Refdenotaalpie"/>
          <w:rFonts w:ascii="Arial Narrow" w:hAnsi="Arial Narrow"/>
          <w:sz w:val="16"/>
          <w:szCs w:val="16"/>
        </w:rPr>
        <w:footnoteRef/>
      </w:r>
      <w:r w:rsidRPr="00F36BA7">
        <w:rPr>
          <w:rFonts w:ascii="Arial Narrow" w:hAnsi="Arial Narrow"/>
          <w:sz w:val="16"/>
          <w:szCs w:val="16"/>
        </w:rPr>
        <w:t xml:space="preserve"> </w:t>
      </w:r>
      <w:r w:rsidRPr="00F36BA7">
        <w:rPr>
          <w:rFonts w:ascii="Arial Narrow" w:hAnsi="Arial Narrow"/>
          <w:sz w:val="16"/>
          <w:szCs w:val="16"/>
        </w:rPr>
        <w:tab/>
      </w:r>
      <w:r w:rsidRPr="00D636DC">
        <w:rPr>
          <w:rFonts w:ascii="Verdana" w:hAnsi="Verdana"/>
          <w:sz w:val="16"/>
          <w:szCs w:val="16"/>
        </w:rPr>
        <w:t xml:space="preserve">El detalle de las diversas estrategias de control se encuentra listado en el </w:t>
      </w:r>
      <w:r w:rsidRPr="00D636DC">
        <w:rPr>
          <w:rFonts w:ascii="Verdana" w:hAnsi="Verdana"/>
          <w:b/>
          <w:bCs/>
          <w:sz w:val="16"/>
          <w:szCs w:val="16"/>
        </w:rPr>
        <w:t>Anexo 2</w:t>
      </w:r>
      <w:r w:rsidRPr="00D636DC">
        <w:rPr>
          <w:rFonts w:ascii="Verdana" w:hAnsi="Verdana"/>
          <w:sz w:val="16"/>
          <w:szCs w:val="16"/>
        </w:rPr>
        <w:t xml:space="preserve"> de la presente</w:t>
      </w:r>
      <w:r w:rsidRPr="00F36BA7">
        <w:rPr>
          <w:rFonts w:ascii="Arial Narrow" w:hAnsi="Arial Narrow"/>
          <w:sz w:val="16"/>
          <w:szCs w:val="16"/>
        </w:rPr>
        <w:t>.</w:t>
      </w:r>
    </w:p>
  </w:footnote>
  <w:footnote w:id="113">
    <w:p w14:paraId="0F8A1AA1" w14:textId="77777777" w:rsidR="0089392A" w:rsidRPr="006D0ACB" w:rsidRDefault="0089392A" w:rsidP="0089392A">
      <w:pPr>
        <w:pStyle w:val="Textonotapie"/>
        <w:jc w:val="both"/>
        <w:rPr>
          <w:rFonts w:ascii="Verdana" w:hAnsi="Verdana"/>
          <w:sz w:val="16"/>
          <w:szCs w:val="16"/>
        </w:rPr>
      </w:pPr>
      <w:r>
        <w:rPr>
          <w:rStyle w:val="Refdenotaalpie"/>
        </w:rPr>
        <w:footnoteRef/>
      </w:r>
      <w:r>
        <w:t xml:space="preserve"> </w:t>
      </w:r>
      <w:r w:rsidRPr="00C4562C">
        <w:rPr>
          <w:rFonts w:ascii="Abadi" w:hAnsi="Abadi"/>
          <w:sz w:val="12"/>
          <w:szCs w:val="12"/>
        </w:rPr>
        <w:t>Total de habitantes que resulta de sumar la población de los 46 municipios del Estado de Guanajuato, en la tabla que puede consultarse en la página de internet: http://cuentame.inegi.org.mx/monografias/informacion/gto/territorio/div_municipal.aspx?tema=me&amp;e=11</w:t>
      </w:r>
    </w:p>
  </w:footnote>
  <w:footnote w:id="114">
    <w:p w14:paraId="402C5998" w14:textId="77777777" w:rsidR="0089392A" w:rsidRPr="00596592" w:rsidRDefault="0089392A" w:rsidP="0089392A">
      <w:pPr>
        <w:pStyle w:val="Textonotapie"/>
        <w:jc w:val="both"/>
        <w:rPr>
          <w:rFonts w:ascii="Abadi" w:hAnsi="Abadi"/>
          <w:sz w:val="16"/>
          <w:szCs w:val="16"/>
        </w:rPr>
      </w:pPr>
      <w:r w:rsidRPr="00596592">
        <w:rPr>
          <w:rFonts w:ascii="Abadi" w:hAnsi="Abadi"/>
          <w:sz w:val="12"/>
          <w:szCs w:val="12"/>
        </w:rPr>
        <w:footnoteRef/>
      </w:r>
      <w:r w:rsidRPr="00596592">
        <w:rPr>
          <w:rFonts w:ascii="Abadi" w:hAnsi="Abadi"/>
          <w:sz w:val="12"/>
          <w:szCs w:val="12"/>
        </w:rPr>
        <w:t xml:space="preserve"> La fragmentación ocurre cuando más de una institución gubernamental -o más de una unidad dentro de una institución gubernamental- está involucrada y actuando en la misma área y hay oportunidades para mejorar la prestación de servicios.</w:t>
      </w:r>
    </w:p>
  </w:footnote>
  <w:footnote w:id="115">
    <w:p w14:paraId="00760486" w14:textId="77777777" w:rsidR="0089392A" w:rsidRPr="00596592" w:rsidRDefault="0089392A" w:rsidP="0089392A">
      <w:pPr>
        <w:pStyle w:val="Textonotapie"/>
        <w:jc w:val="both"/>
        <w:rPr>
          <w:rFonts w:ascii="Abadi" w:hAnsi="Abadi"/>
          <w:sz w:val="16"/>
          <w:szCs w:val="16"/>
        </w:rPr>
      </w:pPr>
      <w:r w:rsidRPr="00596592">
        <w:rPr>
          <w:rFonts w:ascii="Abadi" w:hAnsi="Abadi"/>
          <w:sz w:val="12"/>
          <w:szCs w:val="12"/>
        </w:rPr>
        <w:footnoteRef/>
      </w:r>
      <w:r w:rsidRPr="00596592">
        <w:rPr>
          <w:rFonts w:ascii="Abadi" w:hAnsi="Abadi"/>
          <w:sz w:val="12"/>
          <w:szCs w:val="12"/>
        </w:rPr>
        <w:t xml:space="preserve"> La superposición ocurre cuando varias instituciones gubernamentales o programas poseen objetivos semejantes, actúan en actividades o estrategias semejantes para alcanzar sus objetivos, o poseen el mismo público objeto.</w:t>
      </w:r>
    </w:p>
  </w:footnote>
  <w:footnote w:id="116">
    <w:p w14:paraId="4A983629" w14:textId="77777777" w:rsidR="0089392A" w:rsidRDefault="0089392A" w:rsidP="0089392A">
      <w:pPr>
        <w:pStyle w:val="Textonotapie"/>
        <w:jc w:val="both"/>
      </w:pPr>
      <w:r w:rsidRPr="00596592">
        <w:rPr>
          <w:rFonts w:ascii="Abadi" w:hAnsi="Abadi"/>
          <w:sz w:val="12"/>
          <w:szCs w:val="12"/>
        </w:rPr>
        <w:footnoteRef/>
      </w:r>
      <w:r w:rsidRPr="00596592">
        <w:rPr>
          <w:rFonts w:ascii="Abadi" w:hAnsi="Abadi"/>
          <w:sz w:val="12"/>
          <w:szCs w:val="12"/>
        </w:rPr>
        <w:t xml:space="preserve"> La duplicación ocurre cuando dos o más instituciones o programas gubernamentales están realizando las mismas actividades o prestando los mismos servicios a los mismos beneficiarios.</w:t>
      </w:r>
    </w:p>
  </w:footnote>
  <w:footnote w:id="117">
    <w:p w14:paraId="135FB536" w14:textId="77777777" w:rsidR="007B4E9E" w:rsidRPr="00CA7296" w:rsidRDefault="007B4E9E" w:rsidP="007B4E9E">
      <w:pPr>
        <w:pStyle w:val="Textonotapie"/>
        <w:jc w:val="both"/>
        <w:rPr>
          <w:rFonts w:ascii="Abadi" w:hAnsi="Abadi"/>
          <w:sz w:val="12"/>
          <w:szCs w:val="12"/>
        </w:rPr>
      </w:pPr>
      <w:r w:rsidRPr="00CA7296">
        <w:rPr>
          <w:rStyle w:val="Refdenotaalpie"/>
          <w:rFonts w:ascii="Abadi" w:hAnsi="Abadi"/>
          <w:sz w:val="12"/>
          <w:szCs w:val="12"/>
        </w:rPr>
        <w:footnoteRef/>
      </w:r>
      <w:r w:rsidRPr="00CA7296">
        <w:rPr>
          <w:rFonts w:ascii="Abadi" w:hAnsi="Abadi"/>
          <w:sz w:val="12"/>
          <w:szCs w:val="12"/>
        </w:rPr>
        <w:t xml:space="preserve"> Reglas de Operación del Programa Q0300 DESAFÍO JOVEN para el ejercicio fiscal 2020. Periódico Oficial del 31 de diciembre de 2019. Consultado en: </w:t>
      </w:r>
    </w:p>
    <w:p w14:paraId="59B7A1BF" w14:textId="77777777" w:rsidR="007B4E9E" w:rsidRPr="00CA7296" w:rsidRDefault="007B4E9E" w:rsidP="007B4E9E">
      <w:pPr>
        <w:pStyle w:val="Textonotapie"/>
        <w:jc w:val="both"/>
        <w:rPr>
          <w:rFonts w:ascii="Abadi" w:hAnsi="Abadi"/>
          <w:sz w:val="12"/>
          <w:szCs w:val="12"/>
        </w:rPr>
      </w:pPr>
      <w:r w:rsidRPr="00CA7296">
        <w:rPr>
          <w:rFonts w:ascii="Abadi" w:hAnsi="Abadi"/>
          <w:sz w:val="12"/>
          <w:szCs w:val="12"/>
        </w:rPr>
        <w:t>https://portalsocial.guanajuato.gob.mx/sites/default/files/programas_sociales/reglas_operacion/2020_INJUG_Programa_desafio_joven_reglas_operacion..pdf</w:t>
      </w:r>
    </w:p>
  </w:footnote>
  <w:footnote w:id="118">
    <w:p w14:paraId="74C50103" w14:textId="77777777" w:rsidR="007B4E9E" w:rsidRPr="00CA7296" w:rsidRDefault="007B4E9E" w:rsidP="007B4E9E">
      <w:pPr>
        <w:pStyle w:val="Textonotapie"/>
        <w:jc w:val="both"/>
        <w:rPr>
          <w:rFonts w:ascii="Abadi" w:hAnsi="Abadi"/>
          <w:sz w:val="12"/>
          <w:szCs w:val="12"/>
        </w:rPr>
      </w:pPr>
      <w:r w:rsidRPr="00CA7296">
        <w:rPr>
          <w:rStyle w:val="Refdenotaalpie"/>
          <w:rFonts w:ascii="Abadi" w:hAnsi="Abadi"/>
          <w:sz w:val="12"/>
          <w:szCs w:val="12"/>
        </w:rPr>
        <w:footnoteRef/>
      </w:r>
      <w:r w:rsidRPr="00CA7296">
        <w:rPr>
          <w:rFonts w:ascii="Abadi" w:hAnsi="Abadi"/>
          <w:sz w:val="12"/>
          <w:szCs w:val="12"/>
        </w:rPr>
        <w:t xml:space="preserve"> Reglas de Operación del Programa Q0302 Sé Joven, Sé Tú para el ejercicio fiscal 2020, Periódico Oficial del 31 de diciembre de 2019. Consultado en: </w:t>
      </w:r>
    </w:p>
    <w:p w14:paraId="44C4CE1F" w14:textId="77777777" w:rsidR="007B4E9E" w:rsidRPr="00CA7296" w:rsidRDefault="007B4E9E" w:rsidP="007B4E9E">
      <w:pPr>
        <w:pStyle w:val="Textonotapie"/>
        <w:jc w:val="both"/>
        <w:rPr>
          <w:rFonts w:ascii="Abadi" w:hAnsi="Abadi"/>
          <w:sz w:val="12"/>
          <w:szCs w:val="12"/>
        </w:rPr>
      </w:pPr>
      <w:r w:rsidRPr="00CA7296">
        <w:rPr>
          <w:rFonts w:ascii="Abadi" w:hAnsi="Abadi"/>
          <w:sz w:val="12"/>
          <w:szCs w:val="12"/>
        </w:rPr>
        <w:t>https://portalsocial.guanajuato.gob.mx/sites/default/files/programas_sociales/reglas_operacion/2020_INJUG_Programa_se_joven_se_tu_reglas_operaci%C3%B3n..pdf</w:t>
      </w:r>
    </w:p>
  </w:footnote>
  <w:footnote w:id="119">
    <w:p w14:paraId="4D2442D1" w14:textId="77777777" w:rsidR="007B4E9E" w:rsidRPr="003C1804" w:rsidRDefault="007B4E9E" w:rsidP="007B4E9E">
      <w:pPr>
        <w:pStyle w:val="Textonotapie"/>
        <w:jc w:val="both"/>
        <w:rPr>
          <w:rFonts w:ascii="Verdana" w:hAnsi="Verdana"/>
          <w:sz w:val="16"/>
          <w:szCs w:val="16"/>
        </w:rPr>
      </w:pPr>
      <w:r w:rsidRPr="00CA7296">
        <w:rPr>
          <w:rStyle w:val="Refdenotaalpie"/>
          <w:rFonts w:ascii="Abadi" w:hAnsi="Abadi"/>
          <w:sz w:val="12"/>
          <w:szCs w:val="12"/>
        </w:rPr>
        <w:footnoteRef/>
      </w:r>
      <w:r w:rsidRPr="00CA7296">
        <w:rPr>
          <w:rFonts w:ascii="Abadi" w:hAnsi="Abadi"/>
          <w:sz w:val="12"/>
          <w:szCs w:val="12"/>
        </w:rPr>
        <w:t xml:space="preserve"> Reglas de Operación para el Programa Q0401 JUVENTU DE GRANDEZA para el ejercicio fiscal 2020. Periódico Oficial del 31 de diciembre de 2019. Consultado en: PO_261_17va_Parte__20191230_1326_1.pdf (guanajuato.gob.mx)</w:t>
      </w:r>
    </w:p>
  </w:footnote>
  <w:footnote w:id="120">
    <w:p w14:paraId="26236191" w14:textId="77777777" w:rsidR="0027514C" w:rsidRPr="001A61E9" w:rsidRDefault="0027514C" w:rsidP="0027514C">
      <w:pPr>
        <w:pStyle w:val="Textonotapie"/>
        <w:jc w:val="both"/>
        <w:rPr>
          <w:rFonts w:ascii="Abadi" w:hAnsi="Abadi"/>
          <w:sz w:val="12"/>
          <w:szCs w:val="12"/>
        </w:rPr>
      </w:pPr>
      <w:r w:rsidRPr="001A61E9">
        <w:rPr>
          <w:rStyle w:val="Refdenotaalpie"/>
          <w:rFonts w:ascii="Abadi" w:hAnsi="Abadi"/>
          <w:sz w:val="12"/>
          <w:szCs w:val="12"/>
        </w:rPr>
        <w:footnoteRef/>
      </w:r>
      <w:r w:rsidRPr="001A61E9">
        <w:rPr>
          <w:rFonts w:ascii="Abadi" w:hAnsi="Abadi"/>
          <w:sz w:val="12"/>
          <w:szCs w:val="12"/>
        </w:rPr>
        <w:t xml:space="preserve"> Caso de corrupción. Posible desvío de recursos en la administración de Héctor López Santillana – Políticamente Incorrecto (ojo-3.com)</w:t>
      </w:r>
    </w:p>
  </w:footnote>
  <w:footnote w:id="121">
    <w:p w14:paraId="3662C05B" w14:textId="77777777" w:rsidR="0027514C" w:rsidRPr="001A61E9" w:rsidRDefault="0027514C" w:rsidP="0027514C">
      <w:pPr>
        <w:pStyle w:val="Textonotapie"/>
        <w:rPr>
          <w:rFonts w:ascii="Abadi" w:hAnsi="Abadi"/>
          <w:sz w:val="12"/>
          <w:szCs w:val="12"/>
        </w:rPr>
      </w:pPr>
      <w:r w:rsidRPr="001A61E9">
        <w:rPr>
          <w:rStyle w:val="Refdenotaalpie"/>
          <w:rFonts w:ascii="Abadi" w:hAnsi="Abadi"/>
          <w:sz w:val="12"/>
          <w:szCs w:val="12"/>
        </w:rPr>
        <w:footnoteRef/>
      </w:r>
      <w:r w:rsidRPr="001A61E9">
        <w:rPr>
          <w:rFonts w:ascii="Abadi" w:hAnsi="Abadi"/>
          <w:sz w:val="12"/>
          <w:szCs w:val="12"/>
        </w:rPr>
        <w:t xml:space="preserve"> Crítica Botello Santibáñez corrupción por descuento de predial en administración de Santillana - Zona Franca</w:t>
      </w:r>
    </w:p>
  </w:footnote>
  <w:footnote w:id="122">
    <w:p w14:paraId="057A443F" w14:textId="77777777" w:rsidR="0027514C" w:rsidRPr="00B10035" w:rsidRDefault="0027514C" w:rsidP="0027514C">
      <w:pPr>
        <w:pStyle w:val="Textonotapie"/>
        <w:rPr>
          <w:rFonts w:ascii="Verdana" w:hAnsi="Verdana"/>
          <w:sz w:val="16"/>
          <w:szCs w:val="16"/>
        </w:rPr>
      </w:pPr>
      <w:r w:rsidRPr="001A61E9">
        <w:rPr>
          <w:rFonts w:ascii="Abadi" w:hAnsi="Abadi"/>
          <w:sz w:val="12"/>
          <w:szCs w:val="12"/>
        </w:rPr>
        <w:footnoteRef/>
      </w:r>
      <w:r w:rsidRPr="001A61E9">
        <w:rPr>
          <w:rFonts w:ascii="Abadi" w:hAnsi="Abadi"/>
          <w:sz w:val="12"/>
          <w:szCs w:val="12"/>
        </w:rPr>
        <w:t xml:space="preserve"> La Jornada - Investigan condonación de 2 mdp en predial de Club Campestre de León</w:t>
      </w:r>
    </w:p>
  </w:footnote>
  <w:footnote w:id="123">
    <w:p w14:paraId="3E98C88E" w14:textId="77777777" w:rsidR="0027514C" w:rsidRPr="001A61E9" w:rsidRDefault="0027514C" w:rsidP="0027514C">
      <w:pPr>
        <w:pStyle w:val="Textonotapie"/>
        <w:jc w:val="both"/>
        <w:rPr>
          <w:rFonts w:ascii="Abadi" w:hAnsi="Abadi"/>
          <w:sz w:val="12"/>
          <w:szCs w:val="12"/>
        </w:rPr>
      </w:pPr>
      <w:r w:rsidRPr="001A61E9">
        <w:rPr>
          <w:rStyle w:val="Refdenotaalpie"/>
          <w:rFonts w:ascii="Abadi" w:hAnsi="Abadi"/>
          <w:sz w:val="12"/>
          <w:szCs w:val="12"/>
        </w:rPr>
        <w:footnoteRef/>
      </w:r>
      <w:r w:rsidRPr="001A61E9">
        <w:rPr>
          <w:rFonts w:ascii="Abadi" w:hAnsi="Abadi"/>
          <w:sz w:val="12"/>
          <w:szCs w:val="12"/>
        </w:rPr>
        <w:t xml:space="preserve"> $19,018,350,076.00 devengados en los ejercicios fiscales de 2019, 2020 y 2021. Datos obtenidos de la Cuenta Pública Municipal.  </w:t>
      </w:r>
    </w:p>
  </w:footnote>
  <w:footnote w:id="124">
    <w:p w14:paraId="0652B4C0" w14:textId="77777777" w:rsidR="0027514C" w:rsidRPr="001A61E9" w:rsidRDefault="0027514C" w:rsidP="0027514C">
      <w:pPr>
        <w:pStyle w:val="Textonotapie"/>
        <w:jc w:val="both"/>
        <w:rPr>
          <w:rFonts w:ascii="Abadi" w:hAnsi="Abadi"/>
          <w:sz w:val="12"/>
          <w:szCs w:val="12"/>
        </w:rPr>
      </w:pPr>
      <w:r w:rsidRPr="001A61E9">
        <w:rPr>
          <w:rStyle w:val="Refdenotaalpie"/>
          <w:rFonts w:ascii="Abadi" w:hAnsi="Abadi"/>
          <w:sz w:val="12"/>
          <w:szCs w:val="12"/>
        </w:rPr>
        <w:footnoteRef/>
      </w:r>
      <w:r w:rsidRPr="001A61E9">
        <w:rPr>
          <w:rFonts w:ascii="Abadi" w:hAnsi="Abadi"/>
          <w:sz w:val="12"/>
          <w:szCs w:val="12"/>
        </w:rPr>
        <w:t xml:space="preserve"> AM. (2022). “Diego Sinhue confía… pero pide investigar denuncia durante administración de Héctor López”. Nota del 11 de febrero, disponible en: https://www.am.com.mx/guanajuato/Diego-Sinhue-confia...-pero-pide-investigar-denuncia-durante-administracion-de-Hector-Lopez-20220211-0032.html</w:t>
      </w:r>
    </w:p>
  </w:footnote>
  <w:footnote w:id="125">
    <w:p w14:paraId="2DECCFF7" w14:textId="77777777" w:rsidR="0027514C" w:rsidRPr="005F1684" w:rsidRDefault="0027514C" w:rsidP="0027514C">
      <w:pPr>
        <w:pStyle w:val="Textonotapie"/>
        <w:rPr>
          <w:rFonts w:ascii="Verdana" w:hAnsi="Verdana"/>
          <w:sz w:val="16"/>
          <w:szCs w:val="16"/>
        </w:rPr>
      </w:pPr>
      <w:r w:rsidRPr="001A61E9">
        <w:rPr>
          <w:rStyle w:val="Refdenotaalpie"/>
          <w:rFonts w:ascii="Abadi" w:hAnsi="Abadi"/>
          <w:sz w:val="12"/>
          <w:szCs w:val="12"/>
        </w:rPr>
        <w:footnoteRef/>
      </w:r>
      <w:r w:rsidRPr="001A61E9">
        <w:rPr>
          <w:rFonts w:ascii="Abadi" w:hAnsi="Abadi"/>
          <w:sz w:val="12"/>
          <w:szCs w:val="12"/>
        </w:rPr>
        <w:t xml:space="preserve"> Sitio web del Gobierno Municipal de León. Disponible en: https://www.leon.gob.mx/dependencias.php.</w:t>
      </w:r>
    </w:p>
  </w:footnote>
  <w:footnote w:id="126">
    <w:p w14:paraId="70F302A1" w14:textId="77777777" w:rsidR="0027514C" w:rsidRPr="001A61E9" w:rsidRDefault="0027514C" w:rsidP="0027514C">
      <w:pPr>
        <w:pStyle w:val="Textonotapie"/>
        <w:rPr>
          <w:rFonts w:ascii="Abadi" w:hAnsi="Abadi"/>
          <w:sz w:val="12"/>
          <w:szCs w:val="12"/>
        </w:rPr>
      </w:pPr>
      <w:r w:rsidRPr="001A61E9">
        <w:rPr>
          <w:rStyle w:val="Refdenotaalpie"/>
          <w:rFonts w:ascii="Abadi" w:hAnsi="Abadi"/>
          <w:sz w:val="12"/>
          <w:szCs w:val="12"/>
        </w:rPr>
        <w:footnoteRef/>
      </w:r>
      <w:r w:rsidRPr="001A61E9">
        <w:rPr>
          <w:rFonts w:ascii="Abadi" w:hAnsi="Abadi"/>
          <w:sz w:val="12"/>
          <w:szCs w:val="12"/>
        </w:rPr>
        <w:t xml:space="preserve"> https://www.asf.gob.mx/Section/58_Informes_de_auditoria</w:t>
      </w:r>
    </w:p>
  </w:footnote>
  <w:footnote w:id="127">
    <w:p w14:paraId="23AE216E" w14:textId="77777777" w:rsidR="00597603" w:rsidRPr="006D4A36" w:rsidRDefault="00597603" w:rsidP="00597603">
      <w:pPr>
        <w:pStyle w:val="Textonotapie"/>
        <w:rPr>
          <w:rFonts w:ascii="Abadi" w:hAnsi="Abadi"/>
          <w:sz w:val="12"/>
          <w:szCs w:val="12"/>
        </w:rPr>
      </w:pPr>
      <w:r w:rsidRPr="006D4A36">
        <w:rPr>
          <w:rStyle w:val="Refdenotaalpie"/>
          <w:rFonts w:ascii="Abadi" w:hAnsi="Abadi"/>
          <w:sz w:val="12"/>
          <w:szCs w:val="12"/>
        </w:rPr>
        <w:footnoteRef/>
      </w:r>
      <w:r w:rsidRPr="006D4A36">
        <w:rPr>
          <w:rFonts w:ascii="Abadi" w:hAnsi="Abadi"/>
          <w:sz w:val="12"/>
          <w:szCs w:val="12"/>
        </w:rPr>
        <w:t xml:space="preserve"> https://www.asf.gob.mx/Section/58_Informes_de_auditoria</w:t>
      </w:r>
    </w:p>
  </w:footnote>
  <w:footnote w:id="128">
    <w:p w14:paraId="626ED1BC" w14:textId="77777777" w:rsidR="006D2070" w:rsidRPr="00D56DD1" w:rsidRDefault="006D2070" w:rsidP="006D2070">
      <w:pPr>
        <w:pStyle w:val="Textonotapie"/>
        <w:jc w:val="both"/>
        <w:rPr>
          <w:rFonts w:ascii="Abadi" w:hAnsi="Abadi"/>
          <w:sz w:val="12"/>
          <w:szCs w:val="12"/>
        </w:rPr>
      </w:pPr>
      <w:r w:rsidRPr="00D56DD1">
        <w:rPr>
          <w:rStyle w:val="Refdenotaalpie"/>
          <w:rFonts w:ascii="Abadi" w:hAnsi="Abadi"/>
          <w:sz w:val="12"/>
          <w:szCs w:val="12"/>
        </w:rPr>
        <w:footnoteRef/>
      </w:r>
      <w:r w:rsidRPr="00D56DD1">
        <w:rPr>
          <w:rFonts w:ascii="Abadi" w:hAnsi="Abadi"/>
          <w:sz w:val="12"/>
          <w:szCs w:val="12"/>
        </w:rPr>
        <w:t xml:space="preserve"> Datos obtenidos de la revisión de Cuenta Pública 2018 y 2019, Auditoría Superior del Estado de Guanajuato: https://www.aseg.gob.mx/documentacion/4597_I.pdf y </w:t>
      </w:r>
      <w:hyperlink r:id="rId9" w:history="1">
        <w:r w:rsidRPr="00D56DD1">
          <w:rPr>
            <w:rStyle w:val="Hipervnculo"/>
            <w:rFonts w:ascii="Abadi" w:hAnsi="Abadi"/>
            <w:sz w:val="12"/>
            <w:szCs w:val="12"/>
          </w:rPr>
          <w:t>https://www.aseg.gob.mx/documentacion/4530_I.pdf</w:t>
        </w:r>
      </w:hyperlink>
    </w:p>
    <w:p w14:paraId="5070FAB4" w14:textId="77777777" w:rsidR="006D2070" w:rsidRDefault="006D2070" w:rsidP="006D2070">
      <w:pPr>
        <w:pStyle w:val="Textonotapie"/>
      </w:pPr>
      <w:r w:rsidRPr="00DD3AEF">
        <w:t xml:space="preserve">  </w:t>
      </w:r>
    </w:p>
  </w:footnote>
  <w:footnote w:id="129">
    <w:p w14:paraId="194EAA54" w14:textId="77777777" w:rsidR="006D2070" w:rsidRPr="00384CC9" w:rsidRDefault="006D2070" w:rsidP="006D2070">
      <w:pPr>
        <w:pStyle w:val="Textonotapie"/>
        <w:rPr>
          <w:rFonts w:ascii="Abadi" w:hAnsi="Abadi"/>
        </w:rPr>
      </w:pPr>
      <w:r w:rsidRPr="00037C57">
        <w:rPr>
          <w:rStyle w:val="Refdenotaalpie"/>
          <w:rFonts w:ascii="Abadi" w:hAnsi="Abadi"/>
          <w:sz w:val="12"/>
          <w:szCs w:val="12"/>
        </w:rPr>
        <w:footnoteRef/>
      </w:r>
      <w:r w:rsidRPr="00037C57">
        <w:rPr>
          <w:rFonts w:ascii="Abadi" w:hAnsi="Abadi"/>
          <w:sz w:val="12"/>
          <w:szCs w:val="12"/>
        </w:rPr>
        <w:t xml:space="preserve"> https://www.asf.gob.mx/Section/58_Informes_de_auditoria</w:t>
      </w:r>
    </w:p>
  </w:footnote>
  <w:footnote w:id="130">
    <w:p w14:paraId="252E46DF" w14:textId="77777777" w:rsidR="00BD1F7F" w:rsidRPr="002B23AA" w:rsidRDefault="00BD1F7F" w:rsidP="00BD1F7F">
      <w:pPr>
        <w:pStyle w:val="Textonotapie"/>
        <w:rPr>
          <w:rFonts w:ascii="Abadi" w:hAnsi="Abadi"/>
          <w:sz w:val="12"/>
          <w:szCs w:val="12"/>
        </w:rPr>
      </w:pPr>
      <w:r w:rsidRPr="002B23AA">
        <w:rPr>
          <w:rStyle w:val="Refdenotaalpie"/>
          <w:rFonts w:ascii="Abadi" w:hAnsi="Abadi"/>
          <w:sz w:val="12"/>
          <w:szCs w:val="12"/>
        </w:rPr>
        <w:footnoteRef/>
      </w:r>
      <w:r w:rsidRPr="002B23AA">
        <w:rPr>
          <w:rFonts w:ascii="Abadi" w:hAnsi="Abadi"/>
          <w:sz w:val="12"/>
          <w:szCs w:val="12"/>
        </w:rPr>
        <w:t xml:space="preserve">Decreto gubernativo número 21, Periódico Oficial del Gobierno del Estado de Guanajuato núm. 75, 15 de abril del 2019. </w:t>
      </w:r>
    </w:p>
  </w:footnote>
  <w:footnote w:id="131">
    <w:p w14:paraId="7B61A4D6" w14:textId="77777777" w:rsidR="00BD1F7F" w:rsidRPr="002B23AA" w:rsidRDefault="00BD1F7F" w:rsidP="00BD1F7F">
      <w:pPr>
        <w:pStyle w:val="Textonotapie"/>
        <w:rPr>
          <w:rFonts w:ascii="Abadi" w:hAnsi="Abadi"/>
          <w:sz w:val="12"/>
          <w:szCs w:val="12"/>
        </w:rPr>
      </w:pPr>
      <w:r w:rsidRPr="002B23AA">
        <w:rPr>
          <w:rStyle w:val="Refdenotaalpie"/>
          <w:rFonts w:ascii="Abadi" w:hAnsi="Abadi"/>
          <w:sz w:val="12"/>
          <w:szCs w:val="12"/>
        </w:rPr>
        <w:footnoteRef/>
      </w:r>
      <w:r w:rsidRPr="002B23AA">
        <w:rPr>
          <w:rFonts w:ascii="Abadi" w:hAnsi="Abadi"/>
          <w:sz w:val="12"/>
          <w:szCs w:val="12"/>
        </w:rPr>
        <w:t xml:space="preserve"> $539,916,026.00 (quinientos treinta y nueve millones novecientos dieciséis mil veintiséis pesos).</w:t>
      </w:r>
    </w:p>
  </w:footnote>
  <w:footnote w:id="132">
    <w:p w14:paraId="6BFD9F0C" w14:textId="77777777" w:rsidR="00BD1F7F" w:rsidRPr="002B23AA" w:rsidRDefault="00BD1F7F" w:rsidP="00BD1F7F">
      <w:pPr>
        <w:pStyle w:val="Textonotapie"/>
        <w:rPr>
          <w:rFonts w:ascii="Abadi" w:hAnsi="Abadi"/>
          <w:sz w:val="12"/>
          <w:szCs w:val="12"/>
        </w:rPr>
      </w:pPr>
      <w:r w:rsidRPr="002B23AA">
        <w:rPr>
          <w:rStyle w:val="Refdenotaalpie"/>
          <w:rFonts w:ascii="Abadi" w:hAnsi="Abadi"/>
          <w:sz w:val="12"/>
          <w:szCs w:val="12"/>
        </w:rPr>
        <w:footnoteRef/>
      </w:r>
      <w:r w:rsidRPr="002B23AA">
        <w:rPr>
          <w:rFonts w:ascii="Abadi" w:hAnsi="Abadi"/>
          <w:sz w:val="12"/>
          <w:szCs w:val="12"/>
        </w:rPr>
        <w:t xml:space="preserve"> $443,163,038.00 (cuatrocientos cuarenta y tres millones ciento sesenta y tres mil treinta y ocho pesos).</w:t>
      </w:r>
    </w:p>
  </w:footnote>
  <w:footnote w:id="133">
    <w:p w14:paraId="7BCB928E" w14:textId="77777777" w:rsidR="00BD1F7F" w:rsidRPr="002B23AA" w:rsidRDefault="00BD1F7F" w:rsidP="00BD1F7F">
      <w:pPr>
        <w:pStyle w:val="Textonotapie"/>
        <w:rPr>
          <w:rFonts w:ascii="Abadi" w:hAnsi="Abadi"/>
          <w:sz w:val="12"/>
          <w:szCs w:val="12"/>
        </w:rPr>
      </w:pPr>
      <w:r w:rsidRPr="002B23AA">
        <w:rPr>
          <w:rStyle w:val="Refdenotaalpie"/>
          <w:rFonts w:ascii="Abadi" w:hAnsi="Abadi"/>
          <w:sz w:val="12"/>
          <w:szCs w:val="12"/>
        </w:rPr>
        <w:footnoteRef/>
      </w:r>
      <w:r w:rsidRPr="002B23AA">
        <w:rPr>
          <w:rFonts w:ascii="Abadi" w:hAnsi="Abadi"/>
          <w:sz w:val="12"/>
          <w:szCs w:val="12"/>
        </w:rPr>
        <w:t xml:space="preserve"> $607,282,691.00 (seiscientos siete millones doscientos ochenta y dos mil seiscientos noventa y un pesos).</w:t>
      </w:r>
    </w:p>
  </w:footnote>
  <w:footnote w:id="134">
    <w:p w14:paraId="4BC253E3" w14:textId="77777777" w:rsidR="00BD1F7F" w:rsidRPr="002B23AA" w:rsidRDefault="00BD1F7F" w:rsidP="00BD1F7F">
      <w:pPr>
        <w:pStyle w:val="Textonotapie"/>
        <w:rPr>
          <w:rFonts w:ascii="Abadi" w:hAnsi="Abadi"/>
          <w:sz w:val="12"/>
          <w:szCs w:val="12"/>
        </w:rPr>
      </w:pPr>
      <w:r w:rsidRPr="002B23AA">
        <w:rPr>
          <w:rStyle w:val="Refdenotaalpie"/>
          <w:rFonts w:ascii="Abadi" w:hAnsi="Abadi"/>
          <w:sz w:val="12"/>
          <w:szCs w:val="12"/>
        </w:rPr>
        <w:footnoteRef/>
      </w:r>
      <w:r w:rsidRPr="002B23AA">
        <w:rPr>
          <w:rFonts w:ascii="Abadi" w:hAnsi="Abadi"/>
          <w:sz w:val="12"/>
          <w:szCs w:val="12"/>
        </w:rPr>
        <w:t xml:space="preserve"> $162,851,617.00 (ciento sesenta y dos millones ochocientos cincuenta y un mil seiscientos diecisiete pesos).</w:t>
      </w:r>
    </w:p>
  </w:footnote>
  <w:footnote w:id="135">
    <w:p w14:paraId="79190081" w14:textId="77777777" w:rsidR="00BD1F7F" w:rsidRPr="002B23AA" w:rsidRDefault="00BD1F7F" w:rsidP="00BD1F7F">
      <w:pPr>
        <w:pStyle w:val="Textonotapie"/>
        <w:rPr>
          <w:rFonts w:ascii="Abadi" w:hAnsi="Abadi"/>
          <w:sz w:val="12"/>
          <w:szCs w:val="12"/>
        </w:rPr>
      </w:pPr>
      <w:r w:rsidRPr="002B23AA">
        <w:rPr>
          <w:rStyle w:val="Refdenotaalpie"/>
          <w:rFonts w:ascii="Abadi" w:hAnsi="Abadi"/>
          <w:sz w:val="12"/>
          <w:szCs w:val="12"/>
        </w:rPr>
        <w:footnoteRef/>
      </w:r>
      <w:r w:rsidRPr="002B23AA">
        <w:rPr>
          <w:rFonts w:ascii="Abadi" w:hAnsi="Abadi"/>
          <w:sz w:val="12"/>
          <w:szCs w:val="12"/>
        </w:rPr>
        <w:t xml:space="preserve"> $606,014,655.00 (seiscientos seis millones catorce mil seiscientos cincuenta y cinco pesos).</w:t>
      </w:r>
    </w:p>
  </w:footnote>
  <w:footnote w:id="136">
    <w:p w14:paraId="4F355B49" w14:textId="77777777" w:rsidR="00BD1F7F" w:rsidRPr="002B23AA" w:rsidRDefault="00BD1F7F" w:rsidP="00BD1F7F">
      <w:pPr>
        <w:pStyle w:val="Textonotapie"/>
        <w:rPr>
          <w:rFonts w:ascii="Abadi" w:hAnsi="Abadi"/>
          <w:sz w:val="12"/>
          <w:szCs w:val="12"/>
        </w:rPr>
      </w:pPr>
      <w:r w:rsidRPr="002B23AA">
        <w:rPr>
          <w:rStyle w:val="Refdenotaalpie"/>
          <w:rFonts w:ascii="Abadi" w:hAnsi="Abadi"/>
          <w:sz w:val="12"/>
          <w:szCs w:val="12"/>
        </w:rPr>
        <w:footnoteRef/>
      </w:r>
      <w:r w:rsidRPr="002B23AA">
        <w:rPr>
          <w:rFonts w:ascii="Abadi" w:hAnsi="Abadi"/>
          <w:sz w:val="12"/>
          <w:szCs w:val="12"/>
        </w:rPr>
        <w:t xml:space="preserve"> $444,431,074.00 (cuatrocientos cuarenta y cuatro millones cuatrocientos treinta y un mil setenta y cuatro pesos).  </w:t>
      </w:r>
    </w:p>
  </w:footnote>
  <w:footnote w:id="137">
    <w:p w14:paraId="4CFBD443" w14:textId="77777777" w:rsidR="00BD1F7F" w:rsidRPr="002B23AA" w:rsidRDefault="00BD1F7F" w:rsidP="00BD1F7F">
      <w:pPr>
        <w:pStyle w:val="Textonotapie"/>
        <w:rPr>
          <w:rFonts w:ascii="Abadi" w:hAnsi="Abadi"/>
          <w:sz w:val="12"/>
          <w:szCs w:val="12"/>
        </w:rPr>
      </w:pPr>
      <w:r w:rsidRPr="002B23AA">
        <w:rPr>
          <w:rStyle w:val="Refdenotaalpie"/>
          <w:rFonts w:ascii="Abadi" w:hAnsi="Abadi"/>
          <w:sz w:val="12"/>
          <w:szCs w:val="12"/>
        </w:rPr>
        <w:footnoteRef/>
      </w:r>
      <w:r w:rsidRPr="002B23AA">
        <w:rPr>
          <w:rFonts w:ascii="Abadi" w:hAnsi="Abadi"/>
          <w:sz w:val="12"/>
          <w:szCs w:val="12"/>
        </w:rPr>
        <w:t xml:space="preserve"> $615,830,635.00 (seiscientos quince millones ochocientos treinta mil seiscientos treinta y cinco pesos).</w:t>
      </w:r>
    </w:p>
  </w:footnote>
  <w:footnote w:id="138">
    <w:p w14:paraId="740AF8E3" w14:textId="77777777" w:rsidR="00BD1F7F" w:rsidRPr="002B23AA" w:rsidRDefault="00BD1F7F" w:rsidP="00BD1F7F">
      <w:pPr>
        <w:pStyle w:val="Textonotapie"/>
        <w:rPr>
          <w:rFonts w:ascii="Abadi" w:hAnsi="Abadi"/>
          <w:sz w:val="12"/>
          <w:szCs w:val="12"/>
        </w:rPr>
      </w:pPr>
      <w:r w:rsidRPr="002B23AA">
        <w:rPr>
          <w:rStyle w:val="Refdenotaalpie"/>
          <w:rFonts w:ascii="Abadi" w:hAnsi="Abadi"/>
          <w:sz w:val="12"/>
          <w:szCs w:val="12"/>
        </w:rPr>
        <w:footnoteRef/>
      </w:r>
      <w:r w:rsidRPr="002B23AA">
        <w:rPr>
          <w:rFonts w:ascii="Abadi" w:hAnsi="Abadi"/>
          <w:sz w:val="12"/>
          <w:szCs w:val="12"/>
        </w:rPr>
        <w:t xml:space="preserve"> $1,060,261,709.00</w:t>
      </w:r>
    </w:p>
  </w:footnote>
  <w:footnote w:id="139">
    <w:p w14:paraId="63FB018B" w14:textId="77777777" w:rsidR="00BD1F7F" w:rsidRDefault="00BD1F7F" w:rsidP="00BD1F7F">
      <w:pPr>
        <w:pStyle w:val="Textonotapie"/>
      </w:pPr>
      <w:r w:rsidRPr="002B23AA">
        <w:rPr>
          <w:rStyle w:val="Refdenotaalpie"/>
          <w:rFonts w:ascii="Abadi" w:hAnsi="Abadi"/>
          <w:sz w:val="12"/>
          <w:szCs w:val="12"/>
        </w:rPr>
        <w:footnoteRef/>
      </w:r>
      <w:r w:rsidRPr="002B23AA">
        <w:rPr>
          <w:rFonts w:ascii="Abadi" w:hAnsi="Abadi"/>
          <w:sz w:val="12"/>
          <w:szCs w:val="12"/>
        </w:rPr>
        <w:t xml:space="preserve"> Amparo directo núm. 5567/74, 15 de junio de 1979, Suprema Corte de Justicia de la Nación.</w:t>
      </w:r>
    </w:p>
  </w:footnote>
  <w:footnote w:id="140">
    <w:p w14:paraId="2F770CAF" w14:textId="77777777" w:rsidR="00BD1F7F" w:rsidRPr="00750EF9" w:rsidRDefault="00BD1F7F" w:rsidP="00BD1F7F">
      <w:pPr>
        <w:pStyle w:val="Textonotapie"/>
        <w:rPr>
          <w:rFonts w:ascii="Abadi" w:hAnsi="Abadi"/>
          <w:sz w:val="12"/>
          <w:szCs w:val="12"/>
        </w:rPr>
      </w:pPr>
      <w:r w:rsidRPr="00750EF9">
        <w:rPr>
          <w:rStyle w:val="Refdenotaalpie"/>
          <w:rFonts w:ascii="Abadi" w:hAnsi="Abadi"/>
          <w:sz w:val="12"/>
          <w:szCs w:val="12"/>
        </w:rPr>
        <w:footnoteRef/>
      </w:r>
      <w:r w:rsidRPr="00750EF9">
        <w:rPr>
          <w:rFonts w:ascii="Abadi" w:hAnsi="Abadi"/>
          <w:sz w:val="12"/>
          <w:szCs w:val="12"/>
        </w:rPr>
        <w:t xml:space="preserve"> Sandoval, I. (2007). Rendición de Cuentas y Fideicomisos: el reto de la opacidad financiera. Auditoría Superior de la Federación.  </w:t>
      </w:r>
    </w:p>
  </w:footnote>
  <w:footnote w:id="141">
    <w:p w14:paraId="052E7197" w14:textId="77777777" w:rsidR="00BD1F7F" w:rsidRPr="00750EF9" w:rsidRDefault="00BD1F7F" w:rsidP="00BD1F7F">
      <w:pPr>
        <w:pStyle w:val="Textonotapie"/>
        <w:rPr>
          <w:rFonts w:ascii="Abadi" w:hAnsi="Abadi"/>
          <w:sz w:val="12"/>
          <w:szCs w:val="12"/>
        </w:rPr>
      </w:pPr>
      <w:r w:rsidRPr="00750EF9">
        <w:rPr>
          <w:rStyle w:val="Refdenotaalpie"/>
          <w:rFonts w:ascii="Abadi" w:hAnsi="Abadi"/>
          <w:sz w:val="12"/>
          <w:szCs w:val="12"/>
        </w:rPr>
        <w:footnoteRef/>
      </w:r>
      <w:r w:rsidRPr="00750EF9">
        <w:rPr>
          <w:rFonts w:ascii="Abadi" w:hAnsi="Abadi"/>
          <w:sz w:val="12"/>
          <w:szCs w:val="12"/>
        </w:rPr>
        <w:t xml:space="preserve"> Artículo 8, Reglas de Operación proporcionadas mediante oficio con número de folio 111100500008722 de la Unidad de Transparencia del Poder Ejecutivo, del día 21 de enero de 2022.</w:t>
      </w:r>
    </w:p>
  </w:footnote>
  <w:footnote w:id="142">
    <w:p w14:paraId="61C8636D" w14:textId="77777777" w:rsidR="00BD1F7F" w:rsidRPr="003323E6" w:rsidRDefault="00BD1F7F" w:rsidP="00BD1F7F">
      <w:pPr>
        <w:pStyle w:val="Textonotapie"/>
        <w:jc w:val="both"/>
        <w:rPr>
          <w:rFonts w:ascii="Verdana" w:hAnsi="Verdana"/>
          <w:sz w:val="16"/>
          <w:szCs w:val="16"/>
        </w:rPr>
      </w:pPr>
      <w:r w:rsidRPr="00750EF9">
        <w:rPr>
          <w:rStyle w:val="Refdenotaalpie"/>
          <w:rFonts w:ascii="Abadi" w:hAnsi="Abadi"/>
          <w:sz w:val="12"/>
          <w:szCs w:val="12"/>
        </w:rPr>
        <w:footnoteRef/>
      </w:r>
      <w:r w:rsidRPr="00750EF9">
        <w:rPr>
          <w:rFonts w:ascii="Abadi" w:hAnsi="Abadi"/>
          <w:sz w:val="12"/>
          <w:szCs w:val="12"/>
        </w:rPr>
        <w:t xml:space="preserve"> Respuesta proporcionada mediante oficio con folio 111100500008622 de la Unidad de Transparencia del Poder Ejecutivo</w:t>
      </w:r>
    </w:p>
  </w:footnote>
  <w:footnote w:id="143">
    <w:p w14:paraId="5F9B47EE" w14:textId="77777777" w:rsidR="00BD1F7F" w:rsidRPr="00750EF9" w:rsidRDefault="00BD1F7F" w:rsidP="00BD1F7F">
      <w:pPr>
        <w:pStyle w:val="Textonotapie"/>
        <w:jc w:val="both"/>
        <w:rPr>
          <w:rFonts w:ascii="Abadi" w:hAnsi="Abadi"/>
          <w:sz w:val="12"/>
          <w:szCs w:val="12"/>
        </w:rPr>
      </w:pPr>
      <w:r w:rsidRPr="00750EF9">
        <w:rPr>
          <w:rStyle w:val="Refdenotaalpie"/>
          <w:rFonts w:ascii="Abadi" w:hAnsi="Abadi"/>
          <w:sz w:val="12"/>
          <w:szCs w:val="12"/>
        </w:rPr>
        <w:footnoteRef/>
      </w:r>
      <w:r w:rsidRPr="00750EF9">
        <w:rPr>
          <w:rFonts w:ascii="Abadi" w:hAnsi="Abadi"/>
          <w:sz w:val="12"/>
          <w:szCs w:val="12"/>
        </w:rPr>
        <w:t xml:space="preserve"> Respuesta proporcionada mediante oficio con número de folio 111100500008722 de la Unidad de Transparencia del Poder Ejecutivo, del día 21 de enero de 2022.</w:t>
      </w:r>
    </w:p>
  </w:footnote>
  <w:footnote w:id="144">
    <w:p w14:paraId="63234E8D" w14:textId="77777777" w:rsidR="00BD1F7F" w:rsidRDefault="00BD1F7F" w:rsidP="00BD1F7F">
      <w:pPr>
        <w:pStyle w:val="Textonotapie"/>
        <w:jc w:val="both"/>
      </w:pPr>
      <w:r w:rsidRPr="00750EF9">
        <w:rPr>
          <w:rStyle w:val="Refdenotaalpie"/>
          <w:rFonts w:ascii="Abadi" w:hAnsi="Abadi"/>
          <w:sz w:val="12"/>
          <w:szCs w:val="12"/>
        </w:rPr>
        <w:footnoteRef/>
      </w:r>
      <w:r w:rsidRPr="00750EF9">
        <w:rPr>
          <w:rFonts w:ascii="Abadi" w:hAnsi="Abadi"/>
          <w:sz w:val="12"/>
          <w:szCs w:val="12"/>
        </w:rPr>
        <w:t xml:space="preserve"> Respuesta proporcionada mediante oficio con número de folio 111100500008722 de la Unidad de Transparencia del Poder Ejecutivo, del día 21 de enero de 2022.</w:t>
      </w:r>
    </w:p>
  </w:footnote>
  <w:footnote w:id="145">
    <w:p w14:paraId="5C894FF0" w14:textId="77777777" w:rsidR="00BD1F7F" w:rsidRPr="00750EF9" w:rsidRDefault="00BD1F7F" w:rsidP="00BD1F7F">
      <w:pPr>
        <w:pStyle w:val="Textonotapie"/>
        <w:jc w:val="both"/>
        <w:rPr>
          <w:rFonts w:ascii="Abadi" w:hAnsi="Abadi"/>
          <w:sz w:val="12"/>
          <w:szCs w:val="12"/>
        </w:rPr>
      </w:pPr>
      <w:r w:rsidRPr="00750EF9">
        <w:rPr>
          <w:rStyle w:val="Refdenotaalpie"/>
          <w:rFonts w:ascii="Abadi" w:hAnsi="Abadi"/>
          <w:sz w:val="12"/>
          <w:szCs w:val="12"/>
        </w:rPr>
        <w:footnoteRef/>
      </w:r>
      <w:r w:rsidRPr="00750EF9">
        <w:rPr>
          <w:rFonts w:ascii="Abadi" w:hAnsi="Abadi"/>
          <w:sz w:val="12"/>
          <w:szCs w:val="12"/>
        </w:rPr>
        <w:t xml:space="preserve"> </w:t>
      </w:r>
      <w:r w:rsidRPr="00750EF9">
        <w:rPr>
          <w:rFonts w:ascii="Abadi" w:hAnsi="Abadi"/>
          <w:sz w:val="12"/>
          <w:szCs w:val="12"/>
          <w:lang w:val="es-419"/>
        </w:rPr>
        <w:t>Artículo 4 del DECRETO Gubernativo número 21, mediante el cual se autoriza la constitución del Fideicomiso de Administración e Inversión para financiar obras, infraestructura, proyectos y acciones prioritarias en materia de Desarrollo Social y Seguridad Pública para el Estado de Guanajuato (FIDESSEG), publicado en el Periódico Oficial del Gobierno del Estado de Guanajuato de 15 de abril de 2019 (Tercera parte).</w:t>
      </w:r>
    </w:p>
  </w:footnote>
  <w:footnote w:id="146">
    <w:p w14:paraId="1ACC866D" w14:textId="77777777" w:rsidR="00BD1F7F" w:rsidRPr="00CD2CA5" w:rsidRDefault="00BD1F7F" w:rsidP="00BD1F7F">
      <w:pPr>
        <w:pStyle w:val="Textonotapie"/>
        <w:jc w:val="both"/>
        <w:rPr>
          <w:rFonts w:ascii="Verdana" w:hAnsi="Verdana"/>
          <w:sz w:val="16"/>
          <w:szCs w:val="16"/>
        </w:rPr>
      </w:pPr>
      <w:r w:rsidRPr="00750EF9">
        <w:rPr>
          <w:rStyle w:val="Refdenotaalpie"/>
          <w:rFonts w:ascii="Abadi" w:hAnsi="Abadi"/>
          <w:sz w:val="12"/>
          <w:szCs w:val="12"/>
        </w:rPr>
        <w:footnoteRef/>
      </w:r>
      <w:r w:rsidRPr="00750EF9">
        <w:rPr>
          <w:rFonts w:ascii="Abadi" w:hAnsi="Abadi"/>
          <w:sz w:val="12"/>
          <w:szCs w:val="12"/>
        </w:rPr>
        <w:t xml:space="preserve"> Base SEGUNDA de la CONVOCATORIA que emite el Comité Técnico del “Fideicomiso de Administración e Inversión para </w:t>
      </w:r>
      <w:r w:rsidRPr="00750EF9">
        <w:rPr>
          <w:rFonts w:ascii="Abadi" w:hAnsi="Abadi"/>
          <w:sz w:val="12"/>
          <w:szCs w:val="12"/>
          <w:lang w:val="es-419"/>
        </w:rPr>
        <w:t>financiar obras, infraestructura, proyectos y acciones prioritarias en materia de Desarrollo Social y Seguridad Pública para el estado de Guanajuato (FIDESSEG)”, a las asociaciones civiles legalmente constituidas, fundadas con modelo de responsabilidad social compartida, así como dependencias y entidades de la administración pública</w:t>
      </w:r>
      <w:r w:rsidRPr="00CD2CA5">
        <w:rPr>
          <w:rFonts w:ascii="Verdana" w:hAnsi="Verdana"/>
          <w:sz w:val="16"/>
          <w:szCs w:val="16"/>
          <w:lang w:val="es-419"/>
        </w:rPr>
        <w:t xml:space="preserve"> </w:t>
      </w:r>
      <w:r w:rsidRPr="00750EF9">
        <w:rPr>
          <w:rFonts w:ascii="Abadi" w:hAnsi="Abadi"/>
          <w:sz w:val="12"/>
          <w:szCs w:val="12"/>
          <w:lang w:val="es-419"/>
        </w:rPr>
        <w:t>estatal a elaborar proyectos para acceder a los apoyos del “FIDESSEG”, publicada en el Periódico Oficial del Gobierno del Estado de Guanajuato de 27 de enero de 2020 (Segunda parte).</w:t>
      </w:r>
    </w:p>
  </w:footnote>
  <w:footnote w:id="147">
    <w:p w14:paraId="4CF321A7" w14:textId="77777777" w:rsidR="00553A82" w:rsidRDefault="00553A82" w:rsidP="00553A82">
      <w:pPr>
        <w:pStyle w:val="Textonotapie"/>
      </w:pPr>
      <w:r>
        <w:rPr>
          <w:rStyle w:val="Refdenotaalpie"/>
        </w:rPr>
        <w:footnoteRef/>
      </w:r>
      <w:r>
        <w:t xml:space="preserve"> </w:t>
      </w:r>
      <w:r w:rsidRPr="00B74C26">
        <w:rPr>
          <w:rFonts w:ascii="Verdana" w:hAnsi="Verdana"/>
          <w:sz w:val="16"/>
          <w:szCs w:val="16"/>
        </w:rPr>
        <w:t>Matriz de Indicadores para Resultados del Programa E045, para el ejercicio fiscal de 2021.</w:t>
      </w:r>
    </w:p>
  </w:footnote>
  <w:footnote w:id="148">
    <w:p w14:paraId="265EE321" w14:textId="77777777" w:rsidR="00553A82" w:rsidRPr="00654DBB" w:rsidRDefault="00553A82" w:rsidP="00553A82">
      <w:pPr>
        <w:pStyle w:val="Textonotapie"/>
        <w:rPr>
          <w:rFonts w:ascii="Verdana" w:hAnsi="Verdana"/>
          <w:sz w:val="16"/>
          <w:szCs w:val="16"/>
        </w:rPr>
      </w:pPr>
      <w:r>
        <w:rPr>
          <w:rStyle w:val="Refdenotaalpie"/>
        </w:rPr>
        <w:footnoteRef/>
      </w:r>
      <w:r>
        <w:t xml:space="preserve"> </w:t>
      </w:r>
      <w:r w:rsidRPr="00654DBB">
        <w:rPr>
          <w:rFonts w:ascii="Verdana" w:hAnsi="Verdana"/>
          <w:sz w:val="16"/>
          <w:szCs w:val="16"/>
        </w:rPr>
        <w:t>Banco Estatal de Datos e Información sobre casos de Violencia contra las Mujeres.</w:t>
      </w:r>
    </w:p>
  </w:footnote>
  <w:footnote w:id="149">
    <w:p w14:paraId="213C2C33" w14:textId="77777777" w:rsidR="00553A82" w:rsidRPr="004E21DB" w:rsidRDefault="00553A82" w:rsidP="00553A82">
      <w:pPr>
        <w:pStyle w:val="Textonotapie"/>
        <w:rPr>
          <w:rFonts w:ascii="Verdana" w:hAnsi="Verdana"/>
          <w:sz w:val="16"/>
          <w:szCs w:val="16"/>
        </w:rPr>
      </w:pPr>
      <w:r>
        <w:rPr>
          <w:rStyle w:val="Refdenotaalpie"/>
        </w:rPr>
        <w:footnoteRef/>
      </w:r>
      <w:r>
        <w:t xml:space="preserve"> </w:t>
      </w:r>
      <w:r w:rsidRPr="004E21DB">
        <w:rPr>
          <w:rFonts w:ascii="Verdana" w:hAnsi="Verdana"/>
          <w:sz w:val="16"/>
          <w:szCs w:val="16"/>
        </w:rPr>
        <w:t>Encuesta Nacional de Victimización y Percepción sobre Seguridad Pública, INEGI.</w:t>
      </w:r>
    </w:p>
  </w:footnote>
  <w:footnote w:id="150">
    <w:p w14:paraId="1C7877BF" w14:textId="77777777" w:rsidR="00553A82" w:rsidRPr="00394F0B" w:rsidRDefault="00553A82" w:rsidP="00553A82">
      <w:pPr>
        <w:pStyle w:val="Textonotapie"/>
        <w:ind w:left="284" w:hanging="284"/>
        <w:jc w:val="both"/>
        <w:rPr>
          <w:rFonts w:ascii="Abadi" w:hAnsi="Abadi"/>
        </w:rPr>
      </w:pPr>
      <w:r w:rsidRPr="00394F0B">
        <w:rPr>
          <w:rStyle w:val="Refdenotaalpie"/>
          <w:rFonts w:ascii="Abadi" w:hAnsi="Abadi"/>
          <w:sz w:val="12"/>
          <w:szCs w:val="12"/>
        </w:rPr>
        <w:footnoteRef/>
      </w:r>
      <w:r w:rsidRPr="00394F0B">
        <w:rPr>
          <w:rFonts w:ascii="Abadi" w:hAnsi="Abadi"/>
          <w:sz w:val="12"/>
          <w:szCs w:val="12"/>
        </w:rPr>
        <w:t xml:space="preserve"> </w:t>
      </w:r>
      <w:r w:rsidRPr="00394F0B">
        <w:rPr>
          <w:rFonts w:ascii="Abadi" w:hAnsi="Abadi"/>
          <w:sz w:val="12"/>
          <w:szCs w:val="12"/>
        </w:rPr>
        <w:tab/>
        <w:t>Concepto de Perspectiva de Género establecido en el</w:t>
      </w:r>
      <w:r w:rsidRPr="00394F0B">
        <w:rPr>
          <w:rFonts w:ascii="Abadi" w:hAnsi="Abadi" w:cs="Calibri"/>
          <w:sz w:val="12"/>
          <w:szCs w:val="12"/>
        </w:rPr>
        <w:t xml:space="preserve"> artículo 5, fracción X de la Ley para la Igualdad entre Mujeres y Hombres del Estado de Guanajuato.</w:t>
      </w:r>
    </w:p>
  </w:footnote>
  <w:footnote w:id="151">
    <w:p w14:paraId="7E6BC22F" w14:textId="77777777" w:rsidR="009E1A38" w:rsidRPr="00032D70" w:rsidRDefault="009E1A38" w:rsidP="009E1A38">
      <w:pPr>
        <w:pStyle w:val="Textonotapie"/>
        <w:rPr>
          <w:rFonts w:ascii="Abadi" w:hAnsi="Abadi"/>
          <w:lang w:eastAsia="es-MX"/>
        </w:rPr>
      </w:pPr>
      <w:r w:rsidRPr="00032D70">
        <w:rPr>
          <w:rStyle w:val="Refdenotaalpie"/>
          <w:rFonts w:ascii="Abadi" w:hAnsi="Abadi"/>
          <w:sz w:val="12"/>
          <w:szCs w:val="12"/>
        </w:rPr>
        <w:footnoteRef/>
      </w:r>
      <w:r w:rsidRPr="00032D70">
        <w:rPr>
          <w:rFonts w:ascii="Abadi" w:hAnsi="Abadi"/>
          <w:sz w:val="12"/>
          <w:szCs w:val="12"/>
        </w:rPr>
        <w:t xml:space="preserve"> https://www.asf.gob.mx/Section/58_Informes_de_auditoria</w:t>
      </w:r>
    </w:p>
  </w:footnote>
  <w:footnote w:id="152">
    <w:p w14:paraId="40EBAEEE" w14:textId="77777777" w:rsidR="00285555" w:rsidRPr="00EB41C0" w:rsidRDefault="00285555" w:rsidP="00285555">
      <w:pPr>
        <w:pStyle w:val="Textonotapie"/>
        <w:rPr>
          <w:rFonts w:ascii="Abadi" w:hAnsi="Abadi"/>
          <w:sz w:val="12"/>
          <w:szCs w:val="12"/>
        </w:rPr>
      </w:pPr>
      <w:r w:rsidRPr="00EB41C0">
        <w:rPr>
          <w:rStyle w:val="Refdenotaalpie"/>
          <w:rFonts w:ascii="Abadi" w:hAnsi="Abadi"/>
          <w:sz w:val="12"/>
          <w:szCs w:val="12"/>
        </w:rPr>
        <w:footnoteRef/>
      </w:r>
      <w:r w:rsidRPr="00EB41C0">
        <w:rPr>
          <w:rFonts w:ascii="Abadi" w:hAnsi="Abadi"/>
          <w:sz w:val="12"/>
          <w:szCs w:val="12"/>
        </w:rPr>
        <w:t xml:space="preserve"> Recomendación 2020-6-90T9N-19-0446-01-002 emitida por la Auditoría Superior de la Federación</w:t>
      </w:r>
    </w:p>
  </w:footnote>
  <w:footnote w:id="153">
    <w:p w14:paraId="2CA2BC66" w14:textId="77777777" w:rsidR="00285555" w:rsidRPr="00EB41C0" w:rsidRDefault="00285555" w:rsidP="00285555">
      <w:pPr>
        <w:pStyle w:val="Textonotapie"/>
        <w:jc w:val="both"/>
        <w:rPr>
          <w:rFonts w:ascii="Abadi" w:hAnsi="Abadi"/>
          <w:sz w:val="12"/>
          <w:szCs w:val="12"/>
        </w:rPr>
      </w:pPr>
      <w:r w:rsidRPr="00EB41C0">
        <w:rPr>
          <w:rStyle w:val="Refdenotaalpie"/>
          <w:rFonts w:ascii="Abadi" w:hAnsi="Abadi"/>
          <w:sz w:val="12"/>
          <w:szCs w:val="12"/>
        </w:rPr>
        <w:footnoteRef/>
      </w:r>
      <w:r w:rsidRPr="00EB41C0">
        <w:rPr>
          <w:rFonts w:ascii="Abadi" w:hAnsi="Abadi"/>
          <w:sz w:val="12"/>
          <w:szCs w:val="12"/>
        </w:rPr>
        <w:t xml:space="preserve"> Punto de acuerdo de obvia resolución formulada por el Grupo Parlamentario de MORENA a efecto de exhortar al Gobernador del Estado de Guanajuato, Diego Sinhue Rodríguez Vallejo, y al Secretario de Seguridad Pública en el Estado, Alvar Cabeza de Vaca, para que lleven a cabo las labores de presupuestación, reclutamiento, selección, evaluación, formación inicial, equipamiento e infraestructura necesarios para incrementar el estado de la fuerza a los estándares mínimos de 1.8 elementos por cada mil habitantes y, en su caso, aprobación de la misma. Presentado en noviembre 2021. Clave 652032.</w:t>
      </w:r>
    </w:p>
  </w:footnote>
  <w:footnote w:id="154">
    <w:p w14:paraId="7A226A05" w14:textId="77777777" w:rsidR="00285555" w:rsidRPr="005848DA" w:rsidRDefault="00285555" w:rsidP="00285555">
      <w:pPr>
        <w:pStyle w:val="Textonotapie"/>
        <w:jc w:val="both"/>
        <w:rPr>
          <w:rFonts w:ascii="Verdana" w:hAnsi="Verdana"/>
          <w:sz w:val="16"/>
          <w:szCs w:val="16"/>
        </w:rPr>
      </w:pPr>
      <w:r w:rsidRPr="00EB41C0">
        <w:rPr>
          <w:rStyle w:val="Refdenotaalpie"/>
          <w:rFonts w:ascii="Abadi" w:hAnsi="Abadi"/>
          <w:sz w:val="12"/>
          <w:szCs w:val="12"/>
        </w:rPr>
        <w:footnoteRef/>
      </w:r>
      <w:r w:rsidRPr="00EB41C0">
        <w:rPr>
          <w:rFonts w:ascii="Abadi" w:hAnsi="Abadi"/>
          <w:sz w:val="12"/>
          <w:szCs w:val="12"/>
        </w:rPr>
        <w:t xml:space="preserve"> Información proporcionada mediante comparecencia privada del Secretario de Seguridad Pública Alvar Cabeza de Vaca, 5 de noviembre de 2021.</w:t>
      </w:r>
    </w:p>
  </w:footnote>
  <w:footnote w:id="155">
    <w:p w14:paraId="154A4146" w14:textId="77777777" w:rsidR="00285555" w:rsidRPr="00EB41C0" w:rsidRDefault="00285555" w:rsidP="00285555">
      <w:pPr>
        <w:pStyle w:val="Textonotapie"/>
        <w:rPr>
          <w:rFonts w:ascii="Abadi" w:hAnsi="Abadi"/>
          <w:sz w:val="12"/>
          <w:szCs w:val="12"/>
        </w:rPr>
      </w:pPr>
      <w:r w:rsidRPr="00EB41C0">
        <w:rPr>
          <w:rStyle w:val="Refdenotaalpie"/>
          <w:rFonts w:ascii="Abadi" w:hAnsi="Abadi"/>
          <w:sz w:val="12"/>
          <w:szCs w:val="12"/>
        </w:rPr>
        <w:footnoteRef/>
      </w:r>
      <w:r w:rsidRPr="00EB41C0">
        <w:rPr>
          <w:rFonts w:ascii="Abadi" w:hAnsi="Abadi"/>
          <w:sz w:val="12"/>
          <w:szCs w:val="12"/>
        </w:rPr>
        <w:t xml:space="preserve"> Cuenta Pública 2020. Estado analítico del ejercicio del presupuesto de egresos, clasificación administrativa</w:t>
      </w:r>
    </w:p>
  </w:footnote>
  <w:footnote w:id="156">
    <w:p w14:paraId="5CB6CCDB" w14:textId="77777777" w:rsidR="00285555" w:rsidRPr="00EB41C0" w:rsidRDefault="00285555" w:rsidP="00285555">
      <w:pPr>
        <w:pStyle w:val="Textonotapie"/>
        <w:rPr>
          <w:rFonts w:ascii="Abadi" w:hAnsi="Abadi"/>
          <w:sz w:val="12"/>
          <w:szCs w:val="12"/>
        </w:rPr>
      </w:pPr>
      <w:r w:rsidRPr="00EB41C0">
        <w:rPr>
          <w:rStyle w:val="Refdenotaalpie"/>
          <w:rFonts w:ascii="Abadi" w:hAnsi="Abadi"/>
          <w:sz w:val="12"/>
          <w:szCs w:val="12"/>
        </w:rPr>
        <w:footnoteRef/>
      </w:r>
      <w:r w:rsidRPr="00EB41C0">
        <w:rPr>
          <w:rFonts w:ascii="Abadi" w:hAnsi="Abadi"/>
          <w:sz w:val="12"/>
          <w:szCs w:val="12"/>
        </w:rPr>
        <w:t xml:space="preserve"> Cuenta Pública 2021. Estado analítico del ejercicio del presupuesto de egresos, clasificación administrativa.</w:t>
      </w:r>
    </w:p>
  </w:footnote>
  <w:footnote w:id="157">
    <w:p w14:paraId="6BDDD0C3" w14:textId="77777777" w:rsidR="00285555" w:rsidRPr="007A3506" w:rsidRDefault="00285555" w:rsidP="00285555">
      <w:pPr>
        <w:pStyle w:val="Textonotapie"/>
        <w:rPr>
          <w:rFonts w:ascii="Verdana" w:hAnsi="Verdana"/>
          <w:sz w:val="16"/>
          <w:szCs w:val="16"/>
        </w:rPr>
      </w:pPr>
      <w:r w:rsidRPr="00EB41C0">
        <w:rPr>
          <w:rStyle w:val="Refdenotaalpie"/>
          <w:rFonts w:ascii="Abadi" w:hAnsi="Abadi"/>
          <w:sz w:val="12"/>
          <w:szCs w:val="12"/>
        </w:rPr>
        <w:footnoteRef/>
      </w:r>
      <w:r w:rsidRPr="00EB41C0">
        <w:rPr>
          <w:rFonts w:ascii="Abadi" w:hAnsi="Abadi"/>
          <w:sz w:val="12"/>
          <w:szCs w:val="12"/>
        </w:rPr>
        <w:t xml:space="preserve"> Auditoría Superior de la Federación. (2021). Análisis del Informe de Avance de Gestión Financiera 2021.</w:t>
      </w:r>
    </w:p>
  </w:footnote>
  <w:footnote w:id="158">
    <w:p w14:paraId="2880E43B" w14:textId="77777777" w:rsidR="00616877" w:rsidRPr="00616877" w:rsidRDefault="00616877" w:rsidP="00616877">
      <w:pPr>
        <w:pStyle w:val="Textonotapie"/>
        <w:rPr>
          <w:rFonts w:ascii="Abadi" w:hAnsi="Abadi"/>
          <w:sz w:val="12"/>
          <w:szCs w:val="12"/>
        </w:rPr>
      </w:pPr>
      <w:r w:rsidRPr="00616877">
        <w:rPr>
          <w:rStyle w:val="Refdenotaalpie"/>
          <w:rFonts w:ascii="Abadi" w:hAnsi="Abadi"/>
          <w:sz w:val="12"/>
          <w:szCs w:val="12"/>
        </w:rPr>
        <w:footnoteRef/>
      </w:r>
      <w:r w:rsidRPr="00616877">
        <w:rPr>
          <w:rFonts w:ascii="Abadi" w:hAnsi="Abadi"/>
          <w:sz w:val="12"/>
          <w:szCs w:val="12"/>
        </w:rPr>
        <w:t xml:space="preserve"> Artículo 74, fracción IV. Constitución Política de los Estados Unidos Mexicanos.</w:t>
      </w:r>
    </w:p>
  </w:footnote>
  <w:footnote w:id="159">
    <w:p w14:paraId="73C07C6E" w14:textId="77777777" w:rsidR="00616877" w:rsidRPr="00616877" w:rsidRDefault="00616877" w:rsidP="00616877">
      <w:pPr>
        <w:pStyle w:val="Textonotapie"/>
        <w:rPr>
          <w:rFonts w:ascii="Abadi" w:hAnsi="Abadi"/>
          <w:sz w:val="12"/>
          <w:szCs w:val="12"/>
        </w:rPr>
      </w:pPr>
      <w:r w:rsidRPr="00616877">
        <w:rPr>
          <w:rStyle w:val="Refdenotaalpie"/>
          <w:rFonts w:ascii="Abadi" w:hAnsi="Abadi"/>
          <w:sz w:val="12"/>
          <w:szCs w:val="12"/>
        </w:rPr>
        <w:footnoteRef/>
      </w:r>
      <w:r w:rsidRPr="00616877">
        <w:rPr>
          <w:rFonts w:ascii="Abadi" w:hAnsi="Abadi"/>
          <w:sz w:val="12"/>
          <w:szCs w:val="12"/>
        </w:rPr>
        <w:t xml:space="preserve"> Artículo 116, fracción II, Constitución Política de los Estados Unidos Mexicanos.</w:t>
      </w:r>
    </w:p>
  </w:footnote>
  <w:footnote w:id="160">
    <w:p w14:paraId="3A726F5D" w14:textId="77777777" w:rsidR="00616877" w:rsidRPr="0020369B" w:rsidRDefault="00616877" w:rsidP="00616877">
      <w:pPr>
        <w:pStyle w:val="Textonotapie"/>
        <w:rPr>
          <w:rFonts w:ascii="Verdana" w:hAnsi="Verdana"/>
          <w:sz w:val="16"/>
          <w:szCs w:val="16"/>
        </w:rPr>
      </w:pPr>
      <w:r w:rsidRPr="00616877">
        <w:rPr>
          <w:rStyle w:val="Refdenotaalpie"/>
          <w:rFonts w:ascii="Abadi" w:hAnsi="Abadi"/>
          <w:sz w:val="12"/>
          <w:szCs w:val="12"/>
        </w:rPr>
        <w:footnoteRef/>
      </w:r>
      <w:r w:rsidRPr="00616877">
        <w:rPr>
          <w:rFonts w:ascii="Abadi" w:hAnsi="Abadi"/>
          <w:sz w:val="12"/>
          <w:szCs w:val="12"/>
        </w:rPr>
        <w:t xml:space="preserve"> Artículo 63, fracción XIII, Constitución Política para el Estado de Guanajuato.</w:t>
      </w:r>
    </w:p>
  </w:footnote>
  <w:footnote w:id="161">
    <w:p w14:paraId="53270FBC" w14:textId="77777777" w:rsidR="00616877" w:rsidRPr="00616877" w:rsidRDefault="00616877" w:rsidP="00616877">
      <w:pPr>
        <w:pStyle w:val="Textonotapie"/>
        <w:rPr>
          <w:rFonts w:ascii="Abadi" w:hAnsi="Abadi"/>
          <w:sz w:val="12"/>
          <w:szCs w:val="12"/>
        </w:rPr>
      </w:pPr>
      <w:r w:rsidRPr="00616877">
        <w:rPr>
          <w:rStyle w:val="Refdenotaalpie"/>
          <w:rFonts w:ascii="Abadi" w:hAnsi="Abadi"/>
          <w:sz w:val="12"/>
          <w:szCs w:val="12"/>
        </w:rPr>
        <w:footnoteRef/>
      </w:r>
      <w:r w:rsidRPr="00616877">
        <w:rPr>
          <w:rFonts w:ascii="Abadi" w:hAnsi="Abadi"/>
          <w:sz w:val="12"/>
          <w:szCs w:val="12"/>
        </w:rPr>
        <w:t xml:space="preserve">  $1,104,861.62 por día. Datos disponibles en el reporte de Clasificación por Objeto del Gasto de cada ejercicio fiscal.</w:t>
      </w:r>
    </w:p>
  </w:footnote>
  <w:footnote w:id="162">
    <w:p w14:paraId="1C938E0B" w14:textId="77777777" w:rsidR="00616877" w:rsidRPr="00616877" w:rsidRDefault="00616877" w:rsidP="00616877">
      <w:pPr>
        <w:pStyle w:val="Textonotapie"/>
        <w:rPr>
          <w:rFonts w:ascii="Abadi" w:hAnsi="Abadi"/>
          <w:sz w:val="12"/>
          <w:szCs w:val="12"/>
        </w:rPr>
      </w:pPr>
      <w:r w:rsidRPr="00616877">
        <w:rPr>
          <w:rStyle w:val="Refdenotaalpie"/>
          <w:rFonts w:ascii="Abadi" w:hAnsi="Abadi"/>
          <w:sz w:val="12"/>
          <w:szCs w:val="12"/>
        </w:rPr>
        <w:footnoteRef/>
      </w:r>
      <w:r w:rsidRPr="00616877">
        <w:rPr>
          <w:rFonts w:ascii="Abadi" w:hAnsi="Abadi"/>
          <w:sz w:val="12"/>
          <w:szCs w:val="12"/>
        </w:rPr>
        <w:t xml:space="preserve"> DE LA GARZA, Sergio Francisco, Derecho Financiero Mexicano, Porrúa, México, 1994, p. 137.</w:t>
      </w:r>
    </w:p>
  </w:footnote>
  <w:footnote w:id="163">
    <w:p w14:paraId="63BD014E" w14:textId="77777777" w:rsidR="00616877" w:rsidRPr="00616877" w:rsidRDefault="00616877" w:rsidP="00616877">
      <w:pPr>
        <w:pStyle w:val="Textonotapie"/>
        <w:rPr>
          <w:rFonts w:ascii="Abadi" w:hAnsi="Abadi"/>
          <w:sz w:val="12"/>
          <w:szCs w:val="12"/>
        </w:rPr>
      </w:pPr>
      <w:r w:rsidRPr="00616877">
        <w:rPr>
          <w:rStyle w:val="Refdenotaalpie"/>
          <w:rFonts w:ascii="Abadi" w:hAnsi="Abadi"/>
          <w:sz w:val="12"/>
          <w:szCs w:val="12"/>
        </w:rPr>
        <w:footnoteRef/>
      </w:r>
      <w:r w:rsidRPr="00616877">
        <w:rPr>
          <w:rFonts w:ascii="Abadi" w:hAnsi="Abadi"/>
          <w:sz w:val="12"/>
          <w:szCs w:val="12"/>
        </w:rPr>
        <w:t xml:space="preserve"> Op. Cit. CORONA, Juan F. y DÍAZ, Amelia, pp. 79 y 80.</w:t>
      </w:r>
    </w:p>
  </w:footnote>
  <w:footnote w:id="164">
    <w:p w14:paraId="64E7E7D9" w14:textId="77777777" w:rsidR="00616877" w:rsidRPr="00616877" w:rsidRDefault="00616877" w:rsidP="00616877">
      <w:pPr>
        <w:pStyle w:val="Textonotapie"/>
        <w:jc w:val="both"/>
        <w:rPr>
          <w:rFonts w:ascii="Abadi" w:hAnsi="Abadi"/>
          <w:sz w:val="12"/>
          <w:szCs w:val="12"/>
        </w:rPr>
      </w:pPr>
      <w:r w:rsidRPr="00616877">
        <w:rPr>
          <w:rStyle w:val="Refdenotaalpie"/>
          <w:rFonts w:ascii="Abadi" w:hAnsi="Abadi"/>
          <w:sz w:val="12"/>
          <w:szCs w:val="12"/>
        </w:rPr>
        <w:footnoteRef/>
      </w:r>
      <w:r w:rsidRPr="00616877">
        <w:rPr>
          <w:rFonts w:ascii="Abadi" w:hAnsi="Abadi"/>
          <w:sz w:val="12"/>
          <w:szCs w:val="12"/>
        </w:rPr>
        <w:t xml:space="preserve"> Cámara de Diputados del H. Congreso de la Unión. (2021). Ley Federal del Presupuesto y Responsabilidad Hacendaria. 02 de noviembre de 2021, de Cámara de Diputados del H. Congreso de la Unión Sitio web: http://www.diputados.gob.mx/LeyesBiblio/pdf/LFPRH_200521.pdf</w:t>
      </w:r>
    </w:p>
  </w:footnote>
  <w:footnote w:id="165">
    <w:p w14:paraId="2FB659DB" w14:textId="77777777" w:rsidR="00616877" w:rsidRPr="00616877" w:rsidRDefault="00616877" w:rsidP="00616877">
      <w:pPr>
        <w:pStyle w:val="Textonotapie"/>
        <w:jc w:val="both"/>
        <w:rPr>
          <w:rFonts w:ascii="Abadi" w:hAnsi="Abadi"/>
          <w:sz w:val="12"/>
          <w:szCs w:val="12"/>
        </w:rPr>
      </w:pPr>
      <w:r w:rsidRPr="00616877">
        <w:rPr>
          <w:rStyle w:val="Refdenotaalpie"/>
          <w:rFonts w:ascii="Abadi" w:hAnsi="Abadi"/>
          <w:sz w:val="12"/>
          <w:szCs w:val="12"/>
        </w:rPr>
        <w:footnoteRef/>
      </w:r>
      <w:r w:rsidRPr="00616877">
        <w:rPr>
          <w:rFonts w:ascii="Abadi" w:hAnsi="Abadi"/>
          <w:sz w:val="12"/>
          <w:szCs w:val="12"/>
        </w:rPr>
        <w:t xml:space="preserve"> Ley del Presupuesto General de Egresos del Estado de Guanajuato para el Ejercicio Fiscal de 2022. Sitio Web: https://www.congresogto.gob.mx/leyes/ley-del-presupuesto-general-de-egresos-del-estado-de-guanajuato-para-el-ejercicio-fiscal-de-2022</w:t>
      </w:r>
    </w:p>
  </w:footnote>
  <w:footnote w:id="166">
    <w:p w14:paraId="01A2013A" w14:textId="77777777" w:rsidR="00616877" w:rsidRPr="00616877" w:rsidRDefault="00616877" w:rsidP="00616877">
      <w:pPr>
        <w:pStyle w:val="Textonotapie"/>
        <w:jc w:val="both"/>
        <w:rPr>
          <w:rFonts w:ascii="Abadi" w:hAnsi="Abadi"/>
          <w:sz w:val="12"/>
          <w:szCs w:val="12"/>
        </w:rPr>
      </w:pPr>
      <w:r w:rsidRPr="00616877">
        <w:rPr>
          <w:rFonts w:ascii="Abadi" w:hAnsi="Abadi"/>
          <w:sz w:val="12"/>
          <w:szCs w:val="12"/>
        </w:rPr>
        <w:footnoteRef/>
      </w:r>
      <w:r w:rsidRPr="00616877">
        <w:rPr>
          <w:rFonts w:ascii="Abadi" w:hAnsi="Abadi"/>
          <w:sz w:val="12"/>
          <w:szCs w:val="12"/>
        </w:rPr>
        <w:t xml:space="preserve"> Instituto de Acceso a la Información Pública para el Estado de Guanajuato. Gastos de comunicación social y publicidad. Sito Web: </w:t>
      </w:r>
      <w:hyperlink r:id="rId10" w:history="1">
        <w:r w:rsidRPr="00616877">
          <w:rPr>
            <w:rStyle w:val="Hipervnculo"/>
            <w:rFonts w:ascii="Abadi" w:hAnsi="Abadi"/>
            <w:sz w:val="12"/>
            <w:szCs w:val="12"/>
          </w:rPr>
          <w:t>https://iacip-gto.org.mx/wn/gastos-de-comunicacion-social-y-publicidad/</w:t>
        </w:r>
      </w:hyperlink>
    </w:p>
    <w:p w14:paraId="3F15B94E" w14:textId="77777777" w:rsidR="00616877" w:rsidRPr="00DA13D4" w:rsidRDefault="00616877" w:rsidP="00616877">
      <w:pPr>
        <w:pStyle w:val="Textonotapie"/>
        <w:jc w:val="both"/>
        <w:rPr>
          <w:rFonts w:ascii="Verdana" w:hAnsi="Verdana"/>
          <w:sz w:val="16"/>
          <w:szCs w:val="16"/>
        </w:rPr>
      </w:pPr>
    </w:p>
  </w:footnote>
  <w:footnote w:id="167">
    <w:p w14:paraId="4E691CF9" w14:textId="77777777" w:rsidR="00B03B15" w:rsidRPr="00BA66A3" w:rsidRDefault="00B03B15" w:rsidP="00B03B15">
      <w:pPr>
        <w:pStyle w:val="Textonotapie"/>
        <w:rPr>
          <w:rFonts w:ascii="Abadi" w:hAnsi="Abadi"/>
          <w:sz w:val="12"/>
          <w:szCs w:val="12"/>
        </w:rPr>
      </w:pPr>
      <w:r w:rsidRPr="00BA66A3">
        <w:rPr>
          <w:rStyle w:val="Refdenotaalpie"/>
          <w:rFonts w:ascii="Abadi" w:hAnsi="Abadi"/>
          <w:sz w:val="12"/>
          <w:szCs w:val="12"/>
        </w:rPr>
        <w:footnoteRef/>
      </w:r>
      <w:r w:rsidRPr="00BA66A3">
        <w:rPr>
          <w:rFonts w:ascii="Abadi" w:hAnsi="Abadi"/>
          <w:sz w:val="12"/>
          <w:szCs w:val="12"/>
        </w:rPr>
        <w:t xml:space="preserve"> Artículo 2. Son sujetos de esta ley, las siguientes autoridades:</w:t>
      </w:r>
    </w:p>
    <w:p w14:paraId="31896283" w14:textId="77777777" w:rsidR="00B03B15" w:rsidRPr="00BA66A3" w:rsidRDefault="00B03B15" w:rsidP="00B03B15">
      <w:pPr>
        <w:pStyle w:val="Textonotapie"/>
        <w:rPr>
          <w:rFonts w:ascii="Abadi" w:hAnsi="Abadi"/>
          <w:sz w:val="12"/>
          <w:szCs w:val="12"/>
        </w:rPr>
      </w:pPr>
      <w:r w:rsidRPr="00BA66A3">
        <w:rPr>
          <w:rFonts w:ascii="Abadi" w:hAnsi="Abadi"/>
          <w:sz w:val="12"/>
          <w:szCs w:val="12"/>
        </w:rPr>
        <w:t xml:space="preserve">l. El Poder Ejecutivo, a través de las dependencias; </w:t>
      </w:r>
    </w:p>
    <w:p w14:paraId="7E94FE33" w14:textId="77777777" w:rsidR="00B03B15" w:rsidRPr="00BA66A3" w:rsidRDefault="00B03B15" w:rsidP="00B03B15">
      <w:pPr>
        <w:pStyle w:val="Textonotapie"/>
        <w:rPr>
          <w:rFonts w:ascii="Abadi" w:hAnsi="Abadi"/>
          <w:sz w:val="12"/>
          <w:szCs w:val="12"/>
        </w:rPr>
      </w:pPr>
      <w:r w:rsidRPr="00BA66A3">
        <w:rPr>
          <w:rFonts w:ascii="Abadi" w:hAnsi="Abadi"/>
          <w:sz w:val="12"/>
          <w:szCs w:val="12"/>
        </w:rPr>
        <w:t>II. El Poder Judicial;</w:t>
      </w:r>
    </w:p>
    <w:p w14:paraId="34E8D6BA" w14:textId="77777777" w:rsidR="00B03B15" w:rsidRPr="00BA66A3" w:rsidRDefault="00B03B15" w:rsidP="00B03B15">
      <w:pPr>
        <w:pStyle w:val="Textonotapie"/>
        <w:rPr>
          <w:rFonts w:ascii="Abadi" w:hAnsi="Abadi"/>
          <w:sz w:val="12"/>
          <w:szCs w:val="12"/>
        </w:rPr>
      </w:pPr>
      <w:r w:rsidRPr="00BA66A3">
        <w:rPr>
          <w:rFonts w:ascii="Abadi" w:hAnsi="Abadi"/>
          <w:sz w:val="12"/>
          <w:szCs w:val="12"/>
        </w:rPr>
        <w:t>III. El Poder Legislativo;</w:t>
      </w:r>
    </w:p>
    <w:p w14:paraId="63825C22" w14:textId="77777777" w:rsidR="00B03B15" w:rsidRPr="00BA66A3" w:rsidRDefault="00B03B15" w:rsidP="00B03B15">
      <w:pPr>
        <w:pStyle w:val="Textonotapie"/>
        <w:rPr>
          <w:rFonts w:ascii="Abadi" w:hAnsi="Abadi"/>
          <w:sz w:val="12"/>
          <w:szCs w:val="12"/>
        </w:rPr>
      </w:pPr>
      <w:r w:rsidRPr="00BA66A3">
        <w:rPr>
          <w:rFonts w:ascii="Abadi" w:hAnsi="Abadi"/>
          <w:sz w:val="12"/>
          <w:szCs w:val="12"/>
        </w:rPr>
        <w:t>IV. Los organismos autónomos; y</w:t>
      </w:r>
    </w:p>
    <w:p w14:paraId="1B1577E5" w14:textId="77777777" w:rsidR="00B03B15" w:rsidRPr="00CD0E8C" w:rsidRDefault="00B03B15" w:rsidP="00B03B15">
      <w:pPr>
        <w:pStyle w:val="Textonotapie"/>
        <w:rPr>
          <w:rFonts w:ascii="Verdana" w:hAnsi="Verdana"/>
          <w:sz w:val="16"/>
          <w:szCs w:val="16"/>
        </w:rPr>
      </w:pPr>
      <w:r w:rsidRPr="00BA66A3">
        <w:rPr>
          <w:rFonts w:ascii="Abadi" w:hAnsi="Abadi"/>
          <w:sz w:val="12"/>
          <w:szCs w:val="12"/>
        </w:rPr>
        <w:t>V. Las entidades paraestatales.</w:t>
      </w:r>
    </w:p>
  </w:footnote>
  <w:footnote w:id="168">
    <w:p w14:paraId="21A5431E" w14:textId="77777777" w:rsidR="00B03B15" w:rsidRPr="00D244A3" w:rsidRDefault="00B03B15" w:rsidP="00B03B15">
      <w:pPr>
        <w:pStyle w:val="Textonotapie"/>
        <w:jc w:val="both"/>
        <w:rPr>
          <w:rFonts w:ascii="Abadi" w:hAnsi="Abadi"/>
          <w:sz w:val="12"/>
          <w:szCs w:val="12"/>
        </w:rPr>
      </w:pPr>
      <w:r w:rsidRPr="00D244A3">
        <w:rPr>
          <w:rStyle w:val="Refdenotaalpie"/>
          <w:rFonts w:ascii="Abadi" w:hAnsi="Abadi"/>
          <w:sz w:val="12"/>
          <w:szCs w:val="12"/>
        </w:rPr>
        <w:footnoteRef/>
      </w:r>
      <w:r w:rsidRPr="00D244A3">
        <w:rPr>
          <w:rFonts w:ascii="Abadi" w:hAnsi="Abadi"/>
          <w:sz w:val="12"/>
          <w:szCs w:val="12"/>
        </w:rPr>
        <w:t xml:space="preserve"> Tesis de rubro: </w:t>
      </w:r>
      <w:r w:rsidRPr="00D244A3">
        <w:rPr>
          <w:rFonts w:ascii="Abadi" w:hAnsi="Abadi"/>
          <w:i/>
          <w:iCs/>
          <w:sz w:val="12"/>
          <w:szCs w:val="12"/>
        </w:rPr>
        <w:t>«GASTO PÚBLICO. EL ARTÍCULO 134 DE LA CONSTITUCIÓN POLÍTICA DE LOS ESTADOS UNIDOS MEXICANOS ELEVA A RANGO CONSTITUCIONAL LOS PRINCIPIOS DE LEGALIDAD, EFICIENCIA, EFICACIA, ECONOMÍA, TRANSPARENCIA Y HONRADEZ EN ESTA MATERIA»</w:t>
      </w:r>
      <w:r w:rsidRPr="00D244A3">
        <w:rPr>
          <w:rFonts w:ascii="Abadi" w:hAnsi="Abadi"/>
          <w:sz w:val="12"/>
          <w:szCs w:val="12"/>
        </w:rPr>
        <w:t>. Novena Época. Semanario Judicial de la Federación y su Gaceta. Tomo XXX, septiembre de 2009, página 2712.</w:t>
      </w:r>
    </w:p>
  </w:footnote>
  <w:footnote w:id="169">
    <w:p w14:paraId="5C0C8ED8" w14:textId="77777777" w:rsidR="00B03B15" w:rsidRPr="00D244A3" w:rsidRDefault="00B03B15" w:rsidP="00B03B15">
      <w:pPr>
        <w:pStyle w:val="Textonotapie"/>
        <w:jc w:val="both"/>
        <w:rPr>
          <w:rFonts w:ascii="Abadi" w:hAnsi="Abadi"/>
          <w:sz w:val="12"/>
          <w:szCs w:val="12"/>
        </w:rPr>
      </w:pPr>
      <w:r w:rsidRPr="00D244A3">
        <w:rPr>
          <w:rStyle w:val="Refdenotaalpie"/>
          <w:rFonts w:ascii="Abadi" w:hAnsi="Abadi"/>
          <w:sz w:val="12"/>
          <w:szCs w:val="12"/>
        </w:rPr>
        <w:footnoteRef/>
      </w:r>
      <w:r w:rsidRPr="00D244A3">
        <w:rPr>
          <w:rFonts w:ascii="Abadi" w:hAnsi="Abadi"/>
          <w:sz w:val="12"/>
          <w:szCs w:val="12"/>
        </w:rPr>
        <w:t xml:space="preserve"> Tesis de rubro: </w:t>
      </w:r>
      <w:r w:rsidRPr="00D244A3">
        <w:rPr>
          <w:rFonts w:ascii="Abadi" w:hAnsi="Abadi"/>
          <w:i/>
          <w:iCs/>
          <w:sz w:val="12"/>
          <w:szCs w:val="12"/>
        </w:rPr>
        <w:t>«RÉGIMEN CONTRACTUAL DEL ESTADO. DEL ARTÍCULO 134 DE LA CONSTITUCIÓN FEDERAL DERIVA UNA FACULTAD REGLAMENTARIA DEL LEGISLADOR SECUNDARIO QUE ABARCA TODO EL ÁMBITO MATERIAL DE AQUÉL».</w:t>
      </w:r>
      <w:r w:rsidRPr="00D244A3">
        <w:rPr>
          <w:rFonts w:ascii="Abadi" w:hAnsi="Abadi"/>
          <w:sz w:val="12"/>
          <w:szCs w:val="12"/>
        </w:rPr>
        <w:t xml:space="preserve"> Décima Época. Gaceta del Semanario Judicial de la Federación. Libro 21, agosto de 2015, Tomo I, página 477.</w:t>
      </w:r>
    </w:p>
  </w:footnote>
  <w:footnote w:id="170">
    <w:p w14:paraId="68D0D01B" w14:textId="77777777" w:rsidR="00B03B15" w:rsidRPr="00D244A3" w:rsidRDefault="00B03B15" w:rsidP="00B03B15">
      <w:pPr>
        <w:pStyle w:val="Textonotapie"/>
        <w:jc w:val="both"/>
        <w:rPr>
          <w:rFonts w:ascii="Abadi" w:hAnsi="Abadi"/>
          <w:sz w:val="12"/>
          <w:szCs w:val="12"/>
        </w:rPr>
      </w:pPr>
      <w:r w:rsidRPr="00D244A3">
        <w:rPr>
          <w:rStyle w:val="Refdenotaalpie"/>
          <w:rFonts w:ascii="Abadi" w:hAnsi="Abadi"/>
          <w:sz w:val="12"/>
          <w:szCs w:val="12"/>
        </w:rPr>
        <w:footnoteRef/>
      </w:r>
      <w:r w:rsidRPr="00D244A3">
        <w:rPr>
          <w:rFonts w:ascii="Abadi" w:hAnsi="Abadi"/>
          <w:sz w:val="12"/>
          <w:szCs w:val="12"/>
        </w:rPr>
        <w:t xml:space="preserve"> Tesis de rubro: </w:t>
      </w:r>
      <w:r w:rsidRPr="00D244A3">
        <w:rPr>
          <w:rFonts w:ascii="Abadi" w:hAnsi="Abadi"/>
          <w:i/>
          <w:iCs/>
          <w:sz w:val="12"/>
          <w:szCs w:val="12"/>
        </w:rPr>
        <w:t>«RÉGIMEN CONTRACTUAL DEL ESTADO. LA FACULTAD REGLAMENTARIA PREVISTA EN EL ARTÍCULO 134 CONSTITUCIONAL NO SE ENCUENTRA SUJETA AL PRINCIPIO DE RESERVA DE CÓDIGO O DE ORDENAMIENTOS, POR LO QUE PUEDEN COEXISTIR DIVERSAS LEYES REGLAMENTARIAS».</w:t>
      </w:r>
      <w:r w:rsidRPr="00D244A3">
        <w:rPr>
          <w:rFonts w:ascii="Abadi" w:hAnsi="Abadi"/>
          <w:sz w:val="12"/>
          <w:szCs w:val="12"/>
        </w:rPr>
        <w:t xml:space="preserve"> Décima Época. Gaceta del Semanario Judicial de la Federación. Libro 21, agosto de 2015, Tomo I, página 479.</w:t>
      </w:r>
    </w:p>
  </w:footnote>
  <w:footnote w:id="171">
    <w:p w14:paraId="2DCC7B45" w14:textId="77777777" w:rsidR="00B03B15" w:rsidRPr="00D244A3" w:rsidRDefault="00B03B15" w:rsidP="00B03B15">
      <w:pPr>
        <w:pStyle w:val="Textonotapie"/>
        <w:jc w:val="both"/>
        <w:rPr>
          <w:rFonts w:ascii="Abadi" w:hAnsi="Abadi"/>
          <w:sz w:val="12"/>
          <w:szCs w:val="12"/>
        </w:rPr>
      </w:pPr>
      <w:r w:rsidRPr="00D244A3">
        <w:rPr>
          <w:rStyle w:val="Refdenotaalpie"/>
          <w:rFonts w:ascii="Abadi" w:hAnsi="Abadi"/>
          <w:sz w:val="12"/>
          <w:szCs w:val="12"/>
        </w:rPr>
        <w:footnoteRef/>
      </w:r>
      <w:r w:rsidRPr="00D244A3">
        <w:rPr>
          <w:rFonts w:ascii="Abadi" w:hAnsi="Abadi"/>
          <w:sz w:val="12"/>
          <w:szCs w:val="12"/>
        </w:rPr>
        <w:t xml:space="preserve"> Jurisprudencia de rubro: «RECURSOS PÚBLICOS. LA LEGISLACIÓN QUE SE EXPIDA EN TORNO A SU EJERCICIO Y APLICACIÓN, DEBE PERMITIR QUE LOS PRINCIPIOS DE EFICIENCIA, EFICACIA, ECONOMÍA, TRANSPARENCIA Y HONRADEZ QUE ESTATUYE EL ARTÍCULO 134 DE LA CONSTITUCIÓN POLÍTICA DE LOS ESTADOS UNIDOS MEXICANOS, PUEDAN SER EFECTIVAMENTE REALIZADOS». Novena Época. Semanario Judicial de la Federación y su Gaceta. Tomo XXXII, noviembre de 2010, página 1211.</w:t>
      </w:r>
    </w:p>
  </w:footnote>
  <w:footnote w:id="172">
    <w:p w14:paraId="18A1C948" w14:textId="77777777" w:rsidR="00B03B15" w:rsidRPr="007B7DFE" w:rsidRDefault="00B03B15" w:rsidP="00B03B15">
      <w:pPr>
        <w:pStyle w:val="Textonotapie"/>
        <w:jc w:val="both"/>
        <w:rPr>
          <w:rFonts w:ascii="Abadi" w:hAnsi="Abadi"/>
          <w:sz w:val="12"/>
          <w:szCs w:val="12"/>
        </w:rPr>
      </w:pPr>
      <w:r w:rsidRPr="00D244A3">
        <w:rPr>
          <w:rStyle w:val="Refdenotaalpie"/>
          <w:rFonts w:ascii="Abadi" w:hAnsi="Abadi"/>
          <w:sz w:val="12"/>
          <w:szCs w:val="12"/>
        </w:rPr>
        <w:footnoteRef/>
      </w:r>
      <w:r w:rsidRPr="00D244A3">
        <w:rPr>
          <w:rFonts w:ascii="Abadi" w:hAnsi="Abadi"/>
          <w:sz w:val="12"/>
          <w:szCs w:val="12"/>
        </w:rPr>
        <w:t xml:space="preserve"> </w:t>
      </w:r>
      <w:r w:rsidRPr="00D244A3">
        <w:rPr>
          <w:rFonts w:ascii="Abadi" w:hAnsi="Abadi"/>
          <w:color w:val="000000"/>
          <w:sz w:val="12"/>
          <w:szCs w:val="12"/>
        </w:rPr>
        <w:t>Cámara de Diputados del H. Congreso de la Unión. (2021). Código Fiscal de la Federación. 24 de mayo de</w:t>
      </w:r>
      <w:r w:rsidRPr="00F019C7">
        <w:rPr>
          <w:rFonts w:ascii="Verdana" w:hAnsi="Verdana"/>
          <w:color w:val="000000"/>
          <w:sz w:val="16"/>
          <w:szCs w:val="16"/>
        </w:rPr>
        <w:t xml:space="preserve"> </w:t>
      </w:r>
      <w:r w:rsidRPr="007B7DFE">
        <w:rPr>
          <w:rFonts w:ascii="Abadi" w:hAnsi="Abadi"/>
          <w:color w:val="000000"/>
          <w:sz w:val="12"/>
          <w:szCs w:val="12"/>
        </w:rPr>
        <w:t>2022, de Cámara de Diputados del H. Congreso de la Unión Sitio web: https://www.diputados.gob.mx/LeyesBiblio/pdf/CFF.pdf</w:t>
      </w:r>
    </w:p>
  </w:footnote>
  <w:footnote w:id="173">
    <w:p w14:paraId="11B38003" w14:textId="77777777" w:rsidR="00B03B15" w:rsidRPr="007B7DFE" w:rsidRDefault="00B03B15" w:rsidP="00B03B15">
      <w:pPr>
        <w:pStyle w:val="Textonotapie"/>
        <w:jc w:val="both"/>
        <w:rPr>
          <w:rFonts w:ascii="Abadi" w:hAnsi="Abadi"/>
          <w:sz w:val="12"/>
          <w:szCs w:val="12"/>
        </w:rPr>
      </w:pPr>
      <w:r w:rsidRPr="007B7DFE">
        <w:rPr>
          <w:rStyle w:val="Refdenotaalpie"/>
          <w:rFonts w:ascii="Abadi" w:hAnsi="Abadi"/>
          <w:sz w:val="12"/>
          <w:szCs w:val="12"/>
        </w:rPr>
        <w:footnoteRef/>
      </w:r>
      <w:r w:rsidRPr="007B7DFE">
        <w:rPr>
          <w:rFonts w:ascii="Abadi" w:hAnsi="Abadi"/>
          <w:sz w:val="12"/>
          <w:szCs w:val="12"/>
        </w:rPr>
        <w:t xml:space="preserve"> </w:t>
      </w:r>
      <w:r w:rsidRPr="007B7DFE">
        <w:rPr>
          <w:rFonts w:ascii="Abadi" w:hAnsi="Abadi"/>
          <w:color w:val="000000"/>
          <w:sz w:val="12"/>
          <w:szCs w:val="12"/>
        </w:rPr>
        <w:t>H. Congreso del Estado de Guanajuato. (2019). Código Fiscal para el Estado de Guanajuato. 24 de mayo de 2022, de H. Congreso del Estado de Guanajuato Sitio web: https://congresogto.s3.amazonaws.com/uploads/reforma/pdf/2756/CODIGO_FISCAL_PARA_EL_ESTADO_DE_GUANAJUATO_ORIG_30_12_2019.pdf</w:t>
      </w:r>
    </w:p>
  </w:footnote>
  <w:footnote w:id="174">
    <w:p w14:paraId="2E42B70D" w14:textId="77777777" w:rsidR="00B03B15" w:rsidRPr="007B7DFE" w:rsidRDefault="00B03B15" w:rsidP="00B03B15">
      <w:pPr>
        <w:pStyle w:val="Textonotapie"/>
        <w:jc w:val="both"/>
        <w:rPr>
          <w:rFonts w:ascii="Abadi" w:hAnsi="Abadi"/>
          <w:sz w:val="12"/>
          <w:szCs w:val="12"/>
        </w:rPr>
      </w:pPr>
      <w:r w:rsidRPr="007B7DFE">
        <w:rPr>
          <w:rStyle w:val="Refdenotaalpie"/>
          <w:rFonts w:ascii="Abadi" w:hAnsi="Abadi"/>
          <w:sz w:val="12"/>
          <w:szCs w:val="12"/>
        </w:rPr>
        <w:footnoteRef/>
      </w:r>
      <w:r w:rsidRPr="007B7DFE">
        <w:rPr>
          <w:rFonts w:ascii="Abadi" w:hAnsi="Abadi"/>
          <w:sz w:val="12"/>
          <w:szCs w:val="12"/>
        </w:rPr>
        <w:t xml:space="preserve"> </w:t>
      </w:r>
      <w:r w:rsidRPr="007B7DFE">
        <w:rPr>
          <w:rFonts w:ascii="Abadi" w:hAnsi="Abadi"/>
          <w:color w:val="000000"/>
          <w:sz w:val="12"/>
          <w:szCs w:val="12"/>
        </w:rPr>
        <w:t>Cámara de Diputados del Ha, Congreso de la Unión. (2021). Constitución Política de los Estados Unidos Mexicanos. 23 de mayo de 2022, de Cámara de Diputados del Ha, Congreso de la Unión Sitio web: https://www.diputados.gob.mx/LeyesBiblio/pdf/CPEUM.pdf</w:t>
      </w:r>
    </w:p>
  </w:footnote>
  <w:footnote w:id="175">
    <w:p w14:paraId="50753DE5" w14:textId="77777777" w:rsidR="00B03B15" w:rsidRPr="005F2CA7" w:rsidRDefault="00B03B15" w:rsidP="00B03B15">
      <w:pPr>
        <w:pStyle w:val="Textonotapie"/>
        <w:jc w:val="both"/>
        <w:rPr>
          <w:rFonts w:ascii="Verdana" w:hAnsi="Verdana"/>
          <w:sz w:val="16"/>
          <w:szCs w:val="16"/>
        </w:rPr>
      </w:pPr>
      <w:r w:rsidRPr="007B7DFE">
        <w:rPr>
          <w:rStyle w:val="Refdenotaalpie"/>
          <w:rFonts w:ascii="Abadi" w:hAnsi="Abadi"/>
          <w:sz w:val="12"/>
          <w:szCs w:val="12"/>
        </w:rPr>
        <w:footnoteRef/>
      </w:r>
      <w:r w:rsidRPr="007B7DFE">
        <w:rPr>
          <w:rFonts w:ascii="Abadi" w:hAnsi="Abadi"/>
          <w:sz w:val="12"/>
          <w:szCs w:val="12"/>
        </w:rPr>
        <w:t xml:space="preserve"> </w:t>
      </w:r>
      <w:r w:rsidRPr="007B7DFE">
        <w:rPr>
          <w:rFonts w:ascii="Abadi" w:hAnsi="Abadi"/>
          <w:color w:val="000000"/>
          <w:sz w:val="12"/>
          <w:szCs w:val="12"/>
        </w:rPr>
        <w:t>Cámara de Diputados del H. Congreso de la Unión. (2021). Ley de Adquisiciones, Arrendamientos y Servicios del Sector Público. 23 de mayo de 2022, de Cámara de Diputados del H. Congreso de la Unión Sitio web: https://www.diputados.gob.mx/LeyesBiblio/pdf/14_200521.pdf</w:t>
      </w:r>
    </w:p>
  </w:footnote>
  <w:footnote w:id="176">
    <w:p w14:paraId="3CD461AB" w14:textId="77777777" w:rsidR="00B03B15" w:rsidRPr="007B7DFE" w:rsidRDefault="00B03B15" w:rsidP="00B03B15">
      <w:pPr>
        <w:pStyle w:val="Textonotapie"/>
        <w:jc w:val="both"/>
        <w:rPr>
          <w:rFonts w:ascii="Abadi" w:hAnsi="Abadi"/>
          <w:sz w:val="16"/>
          <w:szCs w:val="16"/>
        </w:rPr>
      </w:pPr>
      <w:r w:rsidRPr="007B7DFE">
        <w:rPr>
          <w:rStyle w:val="Refdenotaalpie"/>
          <w:rFonts w:ascii="Abadi" w:hAnsi="Abadi"/>
          <w:sz w:val="12"/>
          <w:szCs w:val="12"/>
        </w:rPr>
        <w:footnoteRef/>
      </w:r>
      <w:r w:rsidRPr="007B7DFE">
        <w:rPr>
          <w:rFonts w:ascii="Abadi" w:hAnsi="Abadi"/>
          <w:sz w:val="12"/>
          <w:szCs w:val="12"/>
        </w:rPr>
        <w:t xml:space="preserve"> </w:t>
      </w:r>
      <w:r w:rsidRPr="007B7DFE">
        <w:rPr>
          <w:rFonts w:ascii="Abadi" w:hAnsi="Abadi"/>
          <w:color w:val="000000"/>
          <w:sz w:val="12"/>
          <w:szCs w:val="12"/>
        </w:rPr>
        <w:t>H. Congreso del Estado de Guanajuato. (2021). Ley Orgánica Municipal para el Estado de Guanajuato. 24 de mayo de 2022, de H. Congreso del Estado de Guanajuato Sitio web: https://congresogto.s3.amazonaws.com/uploads/reforma/pdf/3341/Ley_Organica_Municipal_del_Estado_de_Guanajuato_DTO_LEG_PO_22Dic2021.pdf</w:t>
      </w:r>
    </w:p>
  </w:footnote>
  <w:footnote w:id="177">
    <w:p w14:paraId="0DAABF73" w14:textId="77777777" w:rsidR="00284C17" w:rsidRPr="00800312" w:rsidRDefault="00284C17" w:rsidP="00284C17">
      <w:pPr>
        <w:pStyle w:val="Textonotapie"/>
        <w:jc w:val="both"/>
        <w:rPr>
          <w:rFonts w:ascii="Abadi" w:hAnsi="Abadi"/>
          <w:sz w:val="12"/>
          <w:szCs w:val="12"/>
        </w:rPr>
      </w:pPr>
      <w:r w:rsidRPr="00800312">
        <w:rPr>
          <w:rStyle w:val="Refdenotaalpie"/>
          <w:rFonts w:ascii="Abadi" w:hAnsi="Abadi"/>
          <w:sz w:val="12"/>
          <w:szCs w:val="12"/>
        </w:rPr>
        <w:footnoteRef/>
      </w:r>
      <w:r w:rsidRPr="00800312">
        <w:rPr>
          <w:rFonts w:ascii="Abadi" w:hAnsi="Abadi"/>
          <w:sz w:val="12"/>
          <w:szCs w:val="12"/>
        </w:rPr>
        <w:t xml:space="preserve"> </w:t>
      </w:r>
      <w:r w:rsidRPr="00800312">
        <w:rPr>
          <w:rFonts w:ascii="Abadi" w:hAnsi="Abadi" w:cs="Arial"/>
          <w:sz w:val="12"/>
          <w:szCs w:val="12"/>
        </w:rPr>
        <w:t>Acuerdo del C. Gobernador del Estado por el cual se aprueba la actualización del Programa de Gobierno2018-2024, y su anexo contenido en el documento denominado «Actualización del Programa de Gobierno 2018-2024», publicado en el Periódico Oficial del Gobierno del Estado de Guanajuato número 134, segunda y tercera partes, del 7 de julio de 2021.</w:t>
      </w:r>
    </w:p>
  </w:footnote>
  <w:footnote w:id="178">
    <w:p w14:paraId="2A6BB0B6" w14:textId="77777777" w:rsidR="001D05E8" w:rsidRPr="001D05E8" w:rsidRDefault="001D05E8" w:rsidP="001D05E8">
      <w:pPr>
        <w:pStyle w:val="Textonotapie"/>
        <w:jc w:val="both"/>
        <w:rPr>
          <w:rFonts w:ascii="Abadi" w:hAnsi="Abadi"/>
          <w:sz w:val="12"/>
          <w:szCs w:val="12"/>
        </w:rPr>
      </w:pPr>
      <w:r w:rsidRPr="001D05E8">
        <w:rPr>
          <w:rStyle w:val="Refdenotaalpie"/>
          <w:rFonts w:ascii="Abadi" w:hAnsi="Abadi"/>
          <w:sz w:val="12"/>
          <w:szCs w:val="12"/>
        </w:rPr>
        <w:footnoteRef/>
      </w:r>
      <w:r w:rsidRPr="001D05E8">
        <w:rPr>
          <w:rFonts w:ascii="Abadi" w:hAnsi="Abadi"/>
          <w:sz w:val="12"/>
          <w:szCs w:val="12"/>
        </w:rPr>
        <w:t xml:space="preserve"> Acuerdo del C. Gobernador del Estado por el cual se aprueba la actualización del Programa de Gobierno 2018-2024, y su anexo contenido en el documento denominado «Actualización del Programa de Gobierno 2018- 2024». Publicado en el Periódico Oficial del Gobierno del Estado de Guanajuato número 134, Segunda y Tercera Partes, del 07 de julio de 2021.</w:t>
      </w:r>
    </w:p>
  </w:footnote>
  <w:footnote w:id="179">
    <w:p w14:paraId="0066F151" w14:textId="77777777" w:rsidR="001D05E8" w:rsidRPr="001D05E8" w:rsidRDefault="001D05E8" w:rsidP="001D05E8">
      <w:pPr>
        <w:pStyle w:val="Textonotapie"/>
        <w:rPr>
          <w:rFonts w:ascii="Abadi" w:hAnsi="Abadi"/>
          <w:sz w:val="12"/>
          <w:szCs w:val="12"/>
        </w:rPr>
      </w:pPr>
      <w:r w:rsidRPr="001D05E8">
        <w:rPr>
          <w:rStyle w:val="Refdenotaalpie"/>
          <w:rFonts w:ascii="Abadi" w:hAnsi="Abadi"/>
          <w:sz w:val="12"/>
          <w:szCs w:val="12"/>
        </w:rPr>
        <w:footnoteRef/>
      </w:r>
      <w:r w:rsidRPr="001D05E8">
        <w:rPr>
          <w:rFonts w:ascii="Abadi" w:hAnsi="Abadi"/>
          <w:sz w:val="12"/>
          <w:szCs w:val="12"/>
        </w:rPr>
        <w:t xml:space="preserve">  </w:t>
      </w:r>
      <w:r w:rsidRPr="001D05E8">
        <w:rPr>
          <w:rFonts w:ascii="Abadi" w:hAnsi="Abadi"/>
          <w:i/>
          <w:sz w:val="12"/>
          <w:szCs w:val="12"/>
        </w:rPr>
        <w:t xml:space="preserve">Diccionario de Derecho. </w:t>
      </w:r>
      <w:r w:rsidRPr="001D05E8">
        <w:rPr>
          <w:rFonts w:ascii="Abadi" w:hAnsi="Abadi"/>
          <w:sz w:val="12"/>
          <w:szCs w:val="12"/>
        </w:rPr>
        <w:t xml:space="preserve">Rafael de Pina y Rafael de Pina Vara. Editorial Porrúa, México, 2003. Pág. 266. </w:t>
      </w:r>
    </w:p>
  </w:footnote>
  <w:footnote w:id="180">
    <w:p w14:paraId="08445093" w14:textId="77777777" w:rsidR="001D05E8" w:rsidRDefault="001D05E8" w:rsidP="001D05E8">
      <w:pPr>
        <w:pStyle w:val="Textonotapie"/>
      </w:pPr>
      <w:r w:rsidRPr="001D05E8">
        <w:rPr>
          <w:rStyle w:val="Refdenotaalpie"/>
          <w:rFonts w:ascii="Abadi" w:hAnsi="Abadi"/>
          <w:sz w:val="12"/>
          <w:szCs w:val="12"/>
        </w:rPr>
        <w:footnoteRef/>
      </w:r>
      <w:r w:rsidRPr="001D05E8">
        <w:rPr>
          <w:rFonts w:ascii="Abadi" w:hAnsi="Abadi"/>
          <w:sz w:val="12"/>
          <w:szCs w:val="12"/>
        </w:rPr>
        <w:t xml:space="preserve">  </w:t>
      </w:r>
      <w:r w:rsidRPr="001D05E8">
        <w:rPr>
          <w:rFonts w:ascii="Abadi" w:hAnsi="Abadi"/>
          <w:i/>
          <w:sz w:val="12"/>
          <w:szCs w:val="12"/>
        </w:rPr>
        <w:t xml:space="preserve">Compendio de Derecho Civil. Contratos. </w:t>
      </w:r>
      <w:r w:rsidRPr="001D05E8">
        <w:rPr>
          <w:rFonts w:ascii="Abadi" w:hAnsi="Abadi"/>
          <w:sz w:val="12"/>
          <w:szCs w:val="12"/>
        </w:rPr>
        <w:t>Rafael Rojina Villegas. Editorial Porrúa, México, 2014. Pág. 12.</w:t>
      </w:r>
      <w:r w:rsidRPr="001D05E8">
        <w:rPr>
          <w:sz w:val="12"/>
          <w:szCs w:val="12"/>
        </w:rPr>
        <w:t xml:space="preserve"> </w:t>
      </w:r>
    </w:p>
  </w:footnote>
  <w:footnote w:id="181">
    <w:p w14:paraId="3FD3C7F5" w14:textId="77777777" w:rsidR="001D05E8" w:rsidRPr="001D05E8" w:rsidRDefault="001D05E8" w:rsidP="001D05E8">
      <w:pPr>
        <w:pStyle w:val="Textonotapie"/>
        <w:jc w:val="both"/>
        <w:rPr>
          <w:rFonts w:ascii="Abadi" w:hAnsi="Abadi"/>
          <w:sz w:val="12"/>
          <w:szCs w:val="12"/>
        </w:rPr>
      </w:pPr>
      <w:r w:rsidRPr="001D05E8">
        <w:rPr>
          <w:rStyle w:val="Refdenotaalpie"/>
          <w:rFonts w:ascii="Abadi" w:hAnsi="Abadi"/>
          <w:sz w:val="12"/>
          <w:szCs w:val="12"/>
        </w:rPr>
        <w:footnoteRef/>
      </w:r>
      <w:r w:rsidRPr="001D05E8">
        <w:rPr>
          <w:rFonts w:ascii="Abadi" w:hAnsi="Abadi"/>
          <w:sz w:val="12"/>
          <w:szCs w:val="12"/>
        </w:rPr>
        <w:t xml:space="preserve"> De acuerdo con el artículo 9 de la Ley del Patrimonio Inmobiliario del Estado, el Código Civil para el Estado de Guanajuato es de aplicación supletoria a la primera, en todo lo no previsto por esta, en lo relativo a la enajenación de los bienes inmuebles del dominio privado del Estado.</w:t>
      </w:r>
    </w:p>
  </w:footnote>
  <w:footnote w:id="182">
    <w:p w14:paraId="3AAADED5" w14:textId="77777777" w:rsidR="001D05E8" w:rsidRPr="001D05E8" w:rsidRDefault="001D05E8" w:rsidP="001D05E8">
      <w:pPr>
        <w:pStyle w:val="Textonotapie"/>
        <w:rPr>
          <w:rFonts w:ascii="Abadi" w:hAnsi="Abadi"/>
          <w:b/>
          <w:sz w:val="12"/>
          <w:szCs w:val="12"/>
        </w:rPr>
      </w:pPr>
      <w:r w:rsidRPr="001D05E8">
        <w:rPr>
          <w:rStyle w:val="Refdenotaalpie"/>
          <w:rFonts w:ascii="Abadi" w:hAnsi="Abadi"/>
          <w:sz w:val="12"/>
          <w:szCs w:val="12"/>
        </w:rPr>
        <w:footnoteRef/>
      </w:r>
      <w:r w:rsidRPr="001D05E8">
        <w:rPr>
          <w:rFonts w:ascii="Abadi" w:hAnsi="Abadi"/>
          <w:sz w:val="12"/>
          <w:szCs w:val="12"/>
        </w:rPr>
        <w:t xml:space="preserve">  </w:t>
      </w:r>
      <w:r w:rsidRPr="001D05E8">
        <w:rPr>
          <w:rFonts w:ascii="Abadi" w:hAnsi="Abadi"/>
          <w:sz w:val="12"/>
          <w:szCs w:val="12"/>
        </w:rPr>
        <w:tab/>
        <w:t>«</w:t>
      </w:r>
      <w:r w:rsidRPr="001D05E8">
        <w:rPr>
          <w:rFonts w:ascii="Abadi" w:hAnsi="Abadi"/>
          <w:b/>
          <w:sz w:val="12"/>
          <w:szCs w:val="12"/>
        </w:rPr>
        <w:t>Sexta. Fuerza Mayor.</w:t>
      </w:r>
    </w:p>
    <w:p w14:paraId="48335DF5" w14:textId="77777777" w:rsidR="001D05E8" w:rsidRPr="001D05E8" w:rsidRDefault="001D05E8" w:rsidP="001D05E8">
      <w:pPr>
        <w:pStyle w:val="Textonotapie"/>
        <w:ind w:left="708"/>
        <w:jc w:val="both"/>
        <w:rPr>
          <w:rFonts w:ascii="Abadi" w:hAnsi="Abadi"/>
          <w:iCs/>
          <w:sz w:val="12"/>
          <w:szCs w:val="12"/>
        </w:rPr>
      </w:pPr>
      <w:r w:rsidRPr="001D05E8">
        <w:rPr>
          <w:rFonts w:ascii="Abadi" w:hAnsi="Abadi"/>
          <w:sz w:val="12"/>
          <w:szCs w:val="12"/>
        </w:rPr>
        <w:t xml:space="preserve">Ninguna de las partes estará obligada a cumplir con sus obligaciones bajo el presente Convenio en tanto exista una causa de fuerza mayor que impida dicho cumplimiento. En este supuesto, únicamente las obligaciones afectadas por dicha causa de fuerza mayor quedarán en suspenso hasta que dicha causa de fuerza mayor desaparezca. Las partes convienen en buscar de buena fe la solución de las causas de fuerza mayor que en su caso se presenten. </w:t>
      </w:r>
      <w:r w:rsidRPr="001D05E8">
        <w:rPr>
          <w:rFonts w:ascii="Abadi" w:hAnsi="Abadi"/>
          <w:iCs/>
          <w:sz w:val="12"/>
          <w:szCs w:val="12"/>
        </w:rPr>
        <w:t>De manera enunciativa, pero no limitativa, se entenderá como una causa de fuerza mayor el incumplimiento por parte del Gobierno Federal en la entrega oportuna de los recursos correspondientes a los Incentivos Federales. En este supuesto, el Gobierno (del Estado) no estará́ obligado a continuar con la ejecuci</w:t>
      </w:r>
      <w:r w:rsidRPr="001D05E8">
        <w:rPr>
          <w:rFonts w:ascii="Abadi" w:hAnsi="Abadi" w:cs="Abadi"/>
          <w:iCs/>
          <w:sz w:val="12"/>
          <w:szCs w:val="12"/>
        </w:rPr>
        <w:t>ó</w:t>
      </w:r>
      <w:r w:rsidRPr="001D05E8">
        <w:rPr>
          <w:rFonts w:ascii="Abadi" w:hAnsi="Abadi"/>
          <w:iCs/>
          <w:sz w:val="12"/>
          <w:szCs w:val="12"/>
        </w:rPr>
        <w:t>n de los Incentivos Federales y la Empresa no estará́ obligada a continuar con la ejecuci</w:t>
      </w:r>
      <w:r w:rsidRPr="001D05E8">
        <w:rPr>
          <w:rFonts w:ascii="Abadi" w:hAnsi="Abadi" w:cs="Abadi"/>
          <w:iCs/>
          <w:sz w:val="12"/>
          <w:szCs w:val="12"/>
        </w:rPr>
        <w:t>ó</w:t>
      </w:r>
      <w:r w:rsidRPr="001D05E8">
        <w:rPr>
          <w:rFonts w:ascii="Abadi" w:hAnsi="Abadi"/>
          <w:iCs/>
          <w:sz w:val="12"/>
          <w:szCs w:val="12"/>
        </w:rPr>
        <w:t xml:space="preserve">n del Proyecto en tanto el Gobierno Federal no reanude la entrega de los recursos correspondientes.» </w:t>
      </w:r>
    </w:p>
    <w:p w14:paraId="75A84BE7" w14:textId="77777777" w:rsidR="001D05E8" w:rsidRPr="001D05E8" w:rsidRDefault="001D05E8" w:rsidP="001D05E8">
      <w:pPr>
        <w:pStyle w:val="Textonotapie"/>
        <w:ind w:left="708"/>
        <w:jc w:val="both"/>
        <w:rPr>
          <w:rFonts w:ascii="Abadi" w:hAnsi="Abadi"/>
          <w:sz w:val="12"/>
          <w:szCs w:val="12"/>
        </w:rPr>
      </w:pPr>
    </w:p>
  </w:footnote>
  <w:footnote w:id="183">
    <w:p w14:paraId="5474DD32" w14:textId="77777777" w:rsidR="001D05E8" w:rsidRPr="001D05E8" w:rsidRDefault="001D05E8" w:rsidP="001D05E8">
      <w:pPr>
        <w:pStyle w:val="Textonotapie"/>
        <w:rPr>
          <w:rFonts w:ascii="Abadi" w:hAnsi="Abadi"/>
          <w:b/>
          <w:sz w:val="12"/>
          <w:szCs w:val="12"/>
        </w:rPr>
      </w:pPr>
      <w:r w:rsidRPr="001D05E8">
        <w:rPr>
          <w:rStyle w:val="Refdenotaalpie"/>
          <w:rFonts w:ascii="Abadi" w:hAnsi="Abadi"/>
          <w:sz w:val="12"/>
          <w:szCs w:val="12"/>
        </w:rPr>
        <w:footnoteRef/>
      </w:r>
      <w:r w:rsidRPr="001D05E8">
        <w:rPr>
          <w:rFonts w:ascii="Abadi" w:hAnsi="Abadi"/>
          <w:sz w:val="12"/>
          <w:szCs w:val="12"/>
        </w:rPr>
        <w:t xml:space="preserve"> </w:t>
      </w:r>
      <w:r w:rsidRPr="001D05E8">
        <w:rPr>
          <w:rFonts w:ascii="Abadi" w:hAnsi="Abadi"/>
          <w:sz w:val="12"/>
          <w:szCs w:val="12"/>
        </w:rPr>
        <w:tab/>
        <w:t>«</w:t>
      </w:r>
      <w:r w:rsidRPr="001D05E8">
        <w:rPr>
          <w:rFonts w:ascii="Abadi" w:hAnsi="Abadi"/>
          <w:b/>
          <w:sz w:val="12"/>
          <w:szCs w:val="12"/>
        </w:rPr>
        <w:t xml:space="preserve">Novena. Suspensión o Cancelación del Proyecto. </w:t>
      </w:r>
    </w:p>
    <w:p w14:paraId="22569FCE" w14:textId="77777777" w:rsidR="001D05E8" w:rsidRPr="001D05E8" w:rsidRDefault="001D05E8" w:rsidP="001D05E8">
      <w:pPr>
        <w:pStyle w:val="Textonotapie"/>
        <w:ind w:left="708"/>
        <w:jc w:val="both"/>
        <w:rPr>
          <w:rFonts w:ascii="Abadi" w:hAnsi="Abadi"/>
          <w:sz w:val="12"/>
          <w:szCs w:val="12"/>
        </w:rPr>
      </w:pPr>
      <w:r w:rsidRPr="001D05E8">
        <w:rPr>
          <w:rFonts w:ascii="Abadi" w:hAnsi="Abadi"/>
          <w:sz w:val="12"/>
          <w:szCs w:val="12"/>
        </w:rPr>
        <w:t xml:space="preserve">Sin perjuicio de los dispuesto en las cláusulas quinta y sexta anteriores, cualquier acción u omisión directa o indirecta a cargo de la Empresa, el Gobierno (del Estado) o el Gobierno Federal, que tenga un impacto negativo en las operaciones de la Empresa en México o en la instrumentación del Proyecto, otorgará el derecho a cancelar o suspender el Proyecto sin responsabilidad para la parte que se encuentre en cumplimiento.  </w:t>
      </w:r>
    </w:p>
    <w:p w14:paraId="703D771A" w14:textId="77777777" w:rsidR="001D05E8" w:rsidRPr="00455CEF" w:rsidRDefault="001D05E8" w:rsidP="001D05E8">
      <w:pPr>
        <w:pStyle w:val="Textonotapie"/>
        <w:ind w:left="708"/>
        <w:jc w:val="both"/>
        <w:rPr>
          <w:rFonts w:ascii="Verdana" w:hAnsi="Verdana"/>
          <w:sz w:val="14"/>
          <w:szCs w:val="14"/>
        </w:rPr>
      </w:pPr>
      <w:r w:rsidRPr="001D05E8">
        <w:rPr>
          <w:rFonts w:ascii="Abadi" w:hAnsi="Abadi"/>
          <w:sz w:val="12"/>
          <w:szCs w:val="12"/>
        </w:rPr>
        <w:t>(…)»</w:t>
      </w:r>
    </w:p>
  </w:footnote>
  <w:footnote w:id="184">
    <w:p w14:paraId="40E414A6" w14:textId="2AB1BDE8" w:rsidR="00D806BD" w:rsidRPr="002B20F5" w:rsidRDefault="00D806BD">
      <w:pPr>
        <w:pStyle w:val="Textonotapie"/>
        <w:rPr>
          <w:sz w:val="12"/>
          <w:szCs w:val="12"/>
        </w:rPr>
      </w:pPr>
      <w:r w:rsidRPr="002B20F5">
        <w:rPr>
          <w:rStyle w:val="Refdenotaalpie"/>
          <w:sz w:val="12"/>
          <w:szCs w:val="12"/>
        </w:rPr>
        <w:footnoteRef/>
      </w:r>
      <w:r w:rsidRPr="002B20F5">
        <w:rPr>
          <w:sz w:val="12"/>
          <w:szCs w:val="12"/>
        </w:rPr>
        <w:t xml:space="preserve"> (Duración</w:t>
      </w:r>
      <w:r>
        <w:rPr>
          <w:sz w:val="12"/>
          <w:szCs w:val="12"/>
        </w:rPr>
        <w:t xml:space="preserve"> de la sesión</w:t>
      </w:r>
      <w:r w:rsidRPr="002B20F5">
        <w:rPr>
          <w:sz w:val="12"/>
          <w:szCs w:val="12"/>
        </w:rPr>
        <w:t>)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40F" w14:textId="50AF6F6B" w:rsidR="00D806BD" w:rsidRPr="00213626" w:rsidRDefault="00D806BD" w:rsidP="00294DDA">
    <w:pPr>
      <w:pStyle w:val="Encabezado"/>
      <w:pBdr>
        <w:bottom w:val="single" w:sz="4" w:space="1" w:color="auto"/>
      </w:pBdr>
      <w:tabs>
        <w:tab w:val="clear" w:pos="4419"/>
        <w:tab w:val="left" w:pos="4111"/>
      </w:tabs>
      <w:jc w:val="center"/>
      <w:rPr>
        <w:rFonts w:ascii="Trebuchet MS" w:hAnsi="Trebuchet MS"/>
        <w:b/>
        <w:sz w:val="19"/>
      </w:rPr>
    </w:pPr>
    <w:r>
      <w:rPr>
        <w:noProof/>
        <w:sz w:val="19"/>
        <w:lang w:val="es-MX" w:eastAsia="es-MX"/>
      </w:rPr>
      <w:drawing>
        <wp:anchor distT="0" distB="0" distL="114300" distR="114300" simplePos="0" relativeHeight="251658240" behindDoc="0" locked="0" layoutInCell="1" allowOverlap="1" wp14:anchorId="780C6763" wp14:editId="7BA8BFB9">
          <wp:simplePos x="0" y="0"/>
          <wp:positionH relativeFrom="column">
            <wp:posOffset>2482215</wp:posOffset>
          </wp:positionH>
          <wp:positionV relativeFrom="paragraph">
            <wp:posOffset>-134620</wp:posOffset>
          </wp:positionV>
          <wp:extent cx="638175" cy="266615"/>
          <wp:effectExtent l="0" t="0" r="0" b="0"/>
          <wp:wrapNone/>
          <wp:docPr id="13" name="Imagen 1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Pr>
        <w:rFonts w:ascii="Maiandra GD" w:hAnsi="Maiandra GD"/>
        <w:i/>
        <w:noProof/>
        <w:sz w:val="20"/>
        <w:szCs w:val="20"/>
        <w:lang w:val="es-MX" w:eastAsia="es-MX"/>
      </w:rPr>
      <mc:AlternateContent>
        <mc:Choice Requires="wps">
          <w:drawing>
            <wp:anchor distT="0" distB="0" distL="114300" distR="114300" simplePos="0" relativeHeight="251655168" behindDoc="1" locked="0" layoutInCell="0" allowOverlap="1" wp14:anchorId="5668BDCF" wp14:editId="13D00D6D">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D806BD" w:rsidRDefault="00D806BD"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30" type="#_x0000_t202" style="position:absolute;left:0;text-align:left;margin-left:-16.4pt;margin-top:316.05pt;width:498.75pt;height:54.75pt;rotation:-45;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D806BD" w:rsidRDefault="00D806BD"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lang w:val="es-MX" w:eastAsia="es-MX"/>
      </w:rPr>
      <w:tab/>
    </w:r>
    <w:r>
      <w:rPr>
        <w:rFonts w:ascii="Maiandra GD" w:hAnsi="Maiandra GD"/>
        <w:bCs/>
        <w:i/>
        <w:iCs/>
        <w:sz w:val="16"/>
        <w:szCs w:val="16"/>
      </w:rPr>
      <w:t xml:space="preserve">Sesión Permanente 13 de enero </w:t>
    </w:r>
    <w:r w:rsidRPr="006D45D3">
      <w:rPr>
        <w:rFonts w:ascii="Maiandra GD" w:hAnsi="Maiandra GD"/>
        <w:bCs/>
        <w:i/>
        <w:iCs/>
        <w:sz w:val="16"/>
        <w:szCs w:val="16"/>
      </w:rPr>
      <w:t xml:space="preserve">de </w:t>
    </w:r>
    <w:r>
      <w:rPr>
        <w:rFonts w:ascii="Maiandra GD" w:hAnsi="Maiandra GD"/>
        <w:bCs/>
        <w:i/>
        <w:iCs/>
        <w:sz w:val="16"/>
        <w:szCs w:val="16"/>
      </w:rPr>
      <w:t>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10A1" w14:textId="44525350" w:rsidR="00D806BD" w:rsidRDefault="001E2B2E" w:rsidP="000100EA">
    <w:pPr>
      <w:pStyle w:val="Encabezado"/>
      <w:pBdr>
        <w:bottom w:val="single" w:sz="4" w:space="1" w:color="auto"/>
      </w:pBdr>
      <w:tabs>
        <w:tab w:val="clear" w:pos="4419"/>
        <w:tab w:val="clear" w:pos="8838"/>
        <w:tab w:val="left" w:pos="4111"/>
        <w:tab w:val="left" w:pos="5775"/>
        <w:tab w:val="right" w:pos="8789"/>
      </w:tabs>
      <w:jc w:val="center"/>
      <w:rPr>
        <w:rFonts w:ascii="Trebuchet MS" w:hAnsi="Trebuchet MS"/>
        <w:sz w:val="19"/>
      </w:rPr>
    </w:pPr>
    <w:r>
      <w:rPr>
        <w:noProof/>
        <w:lang w:val="es-MX" w:eastAsia="es-MX"/>
      </w:rPr>
      <mc:AlternateContent>
        <mc:Choice Requires="wps">
          <w:drawing>
            <wp:anchor distT="0" distB="0" distL="114300" distR="114300" simplePos="0" relativeHeight="251679744" behindDoc="1" locked="0" layoutInCell="0" allowOverlap="1" wp14:anchorId="7FA4E330" wp14:editId="75022C9F">
              <wp:simplePos x="0" y="0"/>
              <wp:positionH relativeFrom="page">
                <wp:posOffset>1556385</wp:posOffset>
              </wp:positionH>
              <wp:positionV relativeFrom="margin">
                <wp:posOffset>2689861</wp:posOffset>
              </wp:positionV>
              <wp:extent cx="6044565" cy="833120"/>
              <wp:effectExtent l="0" t="0" r="0" b="0"/>
              <wp:wrapNone/>
              <wp:docPr id="68" name="Cuadro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44565" cy="8331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31E9BD" w14:textId="77777777" w:rsidR="001E2B2E" w:rsidRDefault="001E2B2E" w:rsidP="001E2B2E">
                          <w:pPr>
                            <w:jc w:val="center"/>
                            <w:rPr>
                              <w:rFonts w:ascii="Bahnschrift SemiBold Condensed" w:hAnsi="Bahnschrift SemiBold Condensed" w:cs="Aharoni"/>
                              <w:color w:val="7F7F7F"/>
                              <w:sz w:val="96"/>
                              <w:szCs w:val="96"/>
                              <w14:textFill>
                                <w14:solidFill>
                                  <w14:srgbClr w14:val="7F7F7F">
                                    <w14:alpha w14:val="50000"/>
                                  </w14:srgbClr>
                                </w14:solidFill>
                              </w14:textFill>
                            </w:rPr>
                          </w:pPr>
                          <w:r>
                            <w:rPr>
                              <w:rFonts w:ascii="Bahnschrift SemiBold Condensed" w:hAnsi="Bahnschrift SemiBold Condensed" w:cs="Aharoni"/>
                              <w:color w:val="7F7F7F"/>
                              <w:sz w:val="96"/>
                              <w:szCs w:val="96"/>
                              <w14:textFill>
                                <w14:solidFill>
                                  <w14:srgbClr w14:val="7F7F7F">
                                    <w14:alpha w14:val="50000"/>
                                  </w14:srgbClr>
                                </w14:solidFill>
                              </w14:textFill>
                            </w:rPr>
                            <w:t>Versión Preliminar</w:t>
                          </w:r>
                        </w:p>
                      </w:txbxContent>
                    </wps:txbx>
                    <wps:bodyPr vertOverflow="clip" horzOverflow="clip"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A4E330" id="_x0000_t202" coordsize="21600,21600" o:spt="202" path="m,l,21600r21600,l21600,xe">
              <v:stroke joinstyle="miter"/>
              <v:path gradientshapeok="t" o:connecttype="rect"/>
            </v:shapetype>
            <v:shape id="Cuadro de texto 68" o:spid="_x0000_s1031" type="#_x0000_t202" style="position:absolute;left:0;text-align:left;margin-left:122.55pt;margin-top:211.8pt;width:475.95pt;height:65.6pt;rotation:-45;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" o:allowincell="f" filled="f" stroked="f">
              <v:stroke joinstyle="round"/>
              <o:lock v:ext="edit" shapetype="t"/>
              <v:textbox style="mso-fit-shape-to-text:t">
                <w:txbxContent>
                  <w:p w14:paraId="7931E9BD" w14:textId="77777777" w:rsidR="001E2B2E" w:rsidRDefault="001E2B2E" w:rsidP="001E2B2E">
                    <w:pPr>
                      <w:jc w:val="center"/>
                      <w:rPr>
                        <w:rFonts w:ascii="Bahnschrift SemiBold Condensed" w:hAnsi="Bahnschrift SemiBold Condensed" w:cs="Aharoni"/>
                        <w:color w:val="7F7F7F"/>
                        <w:sz w:val="96"/>
                        <w:szCs w:val="96"/>
                        <w14:textFill>
                          <w14:solidFill>
                            <w14:srgbClr w14:val="7F7F7F">
                              <w14:alpha w14:val="50000"/>
                            </w14:srgbClr>
                          </w14:solidFill>
                        </w14:textFill>
                      </w:rPr>
                    </w:pPr>
                    <w:r>
                      <w:rPr>
                        <w:rFonts w:ascii="Bahnschrift SemiBold Condensed" w:hAnsi="Bahnschrift SemiBold Condensed" w:cs="Aharoni"/>
                        <w:color w:val="7F7F7F"/>
                        <w:sz w:val="96"/>
                        <w:szCs w:val="96"/>
                        <w14:textFill>
                          <w14:solidFill>
                            <w14:srgbClr w14:val="7F7F7F">
                              <w14:alpha w14:val="50000"/>
                            </w14:srgbClr>
                          </w14:solidFill>
                        </w14:textFill>
                      </w:rPr>
                      <w:t>Versión Preliminar</w:t>
                    </w:r>
                  </w:p>
                </w:txbxContent>
              </v:textbox>
              <w10:wrap anchorx="page" anchory="margin"/>
            </v:shape>
          </w:pict>
        </mc:Fallback>
      </mc:AlternateContent>
    </w:r>
    <w:r w:rsidR="00D806BD" w:rsidRPr="00410AA5">
      <w:rPr>
        <w:noProof/>
        <w:sz w:val="19"/>
        <w:shd w:val="clear" w:color="auto" w:fill="D9D9D9" w:themeFill="background1" w:themeFillShade="D9"/>
        <w:lang w:val="es-MX" w:eastAsia="es-MX"/>
      </w:rPr>
      <w:drawing>
        <wp:anchor distT="0" distB="0" distL="114300" distR="114300" simplePos="0" relativeHeight="251671552" behindDoc="0" locked="0" layoutInCell="1" allowOverlap="1" wp14:anchorId="10EB3789" wp14:editId="1A99DBEE">
          <wp:simplePos x="0" y="0"/>
          <wp:positionH relativeFrom="column">
            <wp:posOffset>2759710</wp:posOffset>
          </wp:positionH>
          <wp:positionV relativeFrom="paragraph">
            <wp:posOffset>-167640</wp:posOffset>
          </wp:positionV>
          <wp:extent cx="729575" cy="304800"/>
          <wp:effectExtent l="0" t="0" r="0" b="0"/>
          <wp:wrapNone/>
          <wp:docPr id="14" name="Imagen 1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29575" cy="304800"/>
                  </a:xfrm>
                  <a:prstGeom prst="rect">
                    <a:avLst/>
                  </a:prstGeom>
                </pic:spPr>
              </pic:pic>
            </a:graphicData>
          </a:graphic>
          <wp14:sizeRelH relativeFrom="margin">
            <wp14:pctWidth>0</wp14:pctWidth>
          </wp14:sizeRelH>
          <wp14:sizeRelV relativeFrom="margin">
            <wp14:pctHeight>0</wp14:pctHeight>
          </wp14:sizeRelV>
        </wp:anchor>
      </w:drawing>
    </w:r>
    <w:r w:rsidR="00D806BD" w:rsidRPr="00410AA5">
      <w:rPr>
        <w:noProof/>
        <w:sz w:val="19"/>
        <w:shd w:val="clear" w:color="auto" w:fill="D9D9D9" w:themeFill="background1" w:themeFillShade="D9"/>
        <w:lang w:val="es-MX" w:eastAsia="es-MX"/>
      </w:rPr>
      <mc:AlternateContent>
        <mc:Choice Requires="wps">
          <w:drawing>
            <wp:anchor distT="0" distB="0" distL="114300" distR="114300" simplePos="0" relativeHeight="251656192" behindDoc="1" locked="0" layoutInCell="0" allowOverlap="1" wp14:anchorId="5668BDCF" wp14:editId="0FEA898A">
              <wp:simplePos x="0" y="0"/>
              <wp:positionH relativeFrom="margin">
                <wp:posOffset>-737870</wp:posOffset>
              </wp:positionH>
              <wp:positionV relativeFrom="page">
                <wp:align>top</wp:align>
              </wp:positionV>
              <wp:extent cx="6334125" cy="69532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B3DC54" w14:textId="31EF0D1D" w:rsidR="00D806BD" w:rsidRDefault="00D806BD" w:rsidP="003E547F">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68BDCF" id="Cuadro de texto 18" o:spid="_x0000_s1032" type="#_x0000_t202" style="position:absolute;left:0;text-align:left;margin-left:-58.1pt;margin-top:0;width:498.75pt;height:54.75pt;rotation:-45;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9S+g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" o:allowincell="f" filled="f" stroked="f">
              <v:stroke joinstyle="round"/>
              <o:lock v:ext="edit" shapetype="t"/>
              <v:textbox style="mso-fit-shape-to-text:t">
                <w:txbxContent>
                  <w:p w14:paraId="27B3DC54" w14:textId="31EF0D1D" w:rsidR="00D806BD" w:rsidRDefault="00D806BD" w:rsidP="003E547F">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page"/>
            </v:shape>
          </w:pict>
        </mc:Fallback>
      </mc:AlternateContent>
    </w:r>
    <w:r w:rsidR="00D806BD" w:rsidRPr="00410AA5">
      <w:rPr>
        <w:rFonts w:ascii="Maiandra GD" w:hAnsi="Maiandra GD"/>
        <w:i/>
        <w:iCs/>
        <w:noProof/>
        <w:sz w:val="16"/>
        <w:szCs w:val="16"/>
        <w:shd w:val="clear" w:color="auto" w:fill="D9D9D9" w:themeFill="background1" w:themeFillShade="D9"/>
        <w:lang w:val="es-MX" w:eastAsia="es-MX"/>
      </w:rPr>
      <w:t>Sesión</w:t>
    </w:r>
    <w:r w:rsidR="00D806BD" w:rsidRPr="00410AA5">
      <w:rPr>
        <w:rFonts w:ascii="Maiandra GD" w:hAnsi="Maiandra GD"/>
        <w:i/>
        <w:iCs/>
        <w:sz w:val="16"/>
        <w:szCs w:val="16"/>
        <w:shd w:val="clear" w:color="auto" w:fill="D9D9D9" w:themeFill="background1" w:themeFillShade="D9"/>
      </w:rPr>
      <w:t xml:space="preserve"> </w:t>
    </w:r>
    <w:r w:rsidR="00D806BD">
      <w:rPr>
        <w:rFonts w:ascii="Maiandra GD" w:hAnsi="Maiandra GD"/>
        <w:i/>
        <w:iCs/>
        <w:sz w:val="16"/>
        <w:szCs w:val="16"/>
        <w:shd w:val="clear" w:color="auto" w:fill="D9D9D9" w:themeFill="background1" w:themeFillShade="D9"/>
      </w:rPr>
      <w:t xml:space="preserve">Ordinaria </w:t>
    </w:r>
    <w:r w:rsidR="00643164">
      <w:rPr>
        <w:rFonts w:ascii="Maiandra GD" w:hAnsi="Maiandra GD"/>
        <w:i/>
        <w:iCs/>
        <w:sz w:val="16"/>
        <w:szCs w:val="16"/>
        <w:shd w:val="clear" w:color="auto" w:fill="D9D9D9" w:themeFill="background1" w:themeFillShade="D9"/>
      </w:rPr>
      <w:t>23</w:t>
    </w:r>
    <w:r w:rsidR="00D806BD">
      <w:rPr>
        <w:rFonts w:ascii="Maiandra GD" w:hAnsi="Maiandra GD"/>
        <w:i/>
        <w:iCs/>
        <w:sz w:val="16"/>
        <w:szCs w:val="16"/>
        <w:shd w:val="clear" w:color="auto" w:fill="D9D9D9" w:themeFill="background1" w:themeFillShade="D9"/>
      </w:rPr>
      <w:t xml:space="preserve"> de </w:t>
    </w:r>
    <w:r>
      <w:rPr>
        <w:rFonts w:ascii="Maiandra GD" w:hAnsi="Maiandra GD"/>
        <w:i/>
        <w:iCs/>
        <w:sz w:val="16"/>
        <w:szCs w:val="16"/>
        <w:shd w:val="clear" w:color="auto" w:fill="D9D9D9" w:themeFill="background1" w:themeFillShade="D9"/>
      </w:rPr>
      <w:t xml:space="preserve">Junio </w:t>
    </w:r>
    <w:r w:rsidR="00D806BD" w:rsidRPr="00410AA5">
      <w:rPr>
        <w:rFonts w:ascii="Maiandra GD" w:hAnsi="Maiandra GD"/>
        <w:i/>
        <w:iCs/>
        <w:sz w:val="16"/>
        <w:szCs w:val="16"/>
        <w:shd w:val="clear" w:color="auto" w:fill="D9D9D9" w:themeFill="background1" w:themeFillShade="D9"/>
      </w:rPr>
      <w:t>de 2022</w:t>
    </w:r>
    <w:r w:rsidR="00D806BD">
      <w:rPr>
        <w:rFonts w:ascii="Maiandra GD" w:hAnsi="Maiandra GD"/>
        <w:i/>
        <w:iCs/>
        <w:sz w:val="16"/>
        <w:szCs w:val="16"/>
      </w:rPr>
      <w:tab/>
    </w:r>
    <w:r w:rsidR="00D806BD">
      <w:rPr>
        <w:sz w:val="19"/>
      </w:rPr>
      <w:tab/>
    </w:r>
    <w:r w:rsidR="00D806BD">
      <w:rPr>
        <w:sz w:val="19"/>
      </w:rPr>
      <w:tab/>
    </w:r>
    <w:r w:rsidR="00D806BD" w:rsidRPr="00D47C86">
      <w:rPr>
        <w:rFonts w:ascii="Maiandra GD" w:hAnsi="Maiandra GD"/>
        <w:i/>
        <w:sz w:val="20"/>
        <w:szCs w:val="20"/>
      </w:rPr>
      <w:fldChar w:fldCharType="begin"/>
    </w:r>
    <w:r w:rsidR="00D806BD" w:rsidRPr="00D47C86">
      <w:rPr>
        <w:rFonts w:ascii="Maiandra GD" w:hAnsi="Maiandra GD"/>
        <w:i/>
        <w:sz w:val="20"/>
        <w:szCs w:val="20"/>
      </w:rPr>
      <w:instrText xml:space="preserve"> PAGE  \* MERGEFORMAT </w:instrText>
    </w:r>
    <w:r w:rsidR="00D806BD" w:rsidRPr="00D47C86">
      <w:rPr>
        <w:rFonts w:ascii="Maiandra GD" w:hAnsi="Maiandra GD"/>
        <w:i/>
        <w:sz w:val="20"/>
        <w:szCs w:val="20"/>
      </w:rPr>
      <w:fldChar w:fldCharType="separate"/>
    </w:r>
    <w:r w:rsidR="00EC669C">
      <w:rPr>
        <w:rFonts w:ascii="Maiandra GD" w:hAnsi="Maiandra GD"/>
        <w:i/>
        <w:noProof/>
        <w:sz w:val="20"/>
        <w:szCs w:val="20"/>
      </w:rPr>
      <w:t>21</w:t>
    </w:r>
    <w:r w:rsidR="00D806BD"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1013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390"/>
      <w:gridCol w:w="7748"/>
    </w:tblGrid>
    <w:tr w:rsidR="00D806BD" w14:paraId="05C301D3" w14:textId="77777777" w:rsidTr="001E2B2E">
      <w:trPr>
        <w:trHeight w:val="1787"/>
      </w:trPr>
      <w:tc>
        <w:tcPr>
          <w:tcW w:w="2390" w:type="dxa"/>
          <w:shd w:val="clear" w:color="auto" w:fill="FFFFFF"/>
        </w:tcPr>
        <w:p w14:paraId="14227EC6" w14:textId="000348B2" w:rsidR="00D806BD" w:rsidRDefault="00D806BD" w:rsidP="00EE5E7F">
          <w:pPr>
            <w:pStyle w:val="Encabezado"/>
            <w:rPr>
              <w:sz w:val="19"/>
            </w:rPr>
          </w:pPr>
          <w:r>
            <w:rPr>
              <w:noProof/>
              <w:lang w:val="es-MX" w:eastAsia="es-MX"/>
            </w:rPr>
            <w:drawing>
              <wp:anchor distT="0" distB="0" distL="114300" distR="114300" simplePos="0" relativeHeight="251669504" behindDoc="1" locked="0" layoutInCell="1" allowOverlap="1" wp14:anchorId="6307C06D" wp14:editId="1D14A627">
                <wp:simplePos x="0" y="0"/>
                <wp:positionH relativeFrom="margin">
                  <wp:posOffset>-41275</wp:posOffset>
                </wp:positionH>
                <wp:positionV relativeFrom="paragraph">
                  <wp:posOffset>271780</wp:posOffset>
                </wp:positionV>
                <wp:extent cx="1421429" cy="590550"/>
                <wp:effectExtent l="0" t="0" r="7620" b="0"/>
                <wp:wrapTight wrapText="bothSides">
                  <wp:wrapPolygon edited="0">
                    <wp:start x="0" y="0"/>
                    <wp:lineTo x="0" y="20903"/>
                    <wp:lineTo x="21426" y="20903"/>
                    <wp:lineTo x="2142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1728" cy="5906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44C">
            <w:rPr>
              <w:sz w:val="19"/>
            </w:rPr>
            <w:t xml:space="preserve"> </w:t>
          </w:r>
        </w:p>
        <w:p w14:paraId="0A6620B1" w14:textId="77777777" w:rsidR="00D806BD" w:rsidRPr="006D45D3" w:rsidRDefault="00D806BD" w:rsidP="00AA08D1">
          <w:pPr>
            <w:pStyle w:val="Encabezado"/>
            <w:tabs>
              <w:tab w:val="clear" w:pos="4419"/>
            </w:tabs>
            <w:jc w:val="center"/>
            <w:rPr>
              <w:sz w:val="19"/>
            </w:rPr>
          </w:pPr>
        </w:p>
      </w:tc>
      <w:tc>
        <w:tcPr>
          <w:tcW w:w="7748" w:type="dxa"/>
          <w:shd w:val="clear" w:color="auto" w:fill="FFFFFF"/>
          <w:vAlign w:val="center"/>
        </w:tcPr>
        <w:p w14:paraId="394742E4" w14:textId="7700AB2B" w:rsidR="00D806BD" w:rsidRDefault="00D806BD" w:rsidP="00BB6CF0">
          <w:pPr>
            <w:pStyle w:val="Encabezado"/>
            <w:tabs>
              <w:tab w:val="clear" w:pos="4419"/>
            </w:tabs>
            <w:spacing w:before="40"/>
            <w:jc w:val="center"/>
            <w:rPr>
              <w:rFonts w:ascii="Maiandra GD" w:hAnsi="Maiandra GD"/>
              <w:b/>
              <w:i/>
              <w:sz w:val="16"/>
              <w:szCs w:val="16"/>
            </w:rPr>
          </w:pPr>
          <w:r>
            <w:rPr>
              <w:noProof/>
              <w:lang w:val="es-MX" w:eastAsia="es-MX"/>
            </w:rPr>
            <mc:AlternateContent>
              <mc:Choice Requires="wps">
                <w:drawing>
                  <wp:anchor distT="0" distB="0" distL="114300" distR="114300" simplePos="0" relativeHeight="251659264" behindDoc="0" locked="0" layoutInCell="1" allowOverlap="1" wp14:anchorId="0D3CB943" wp14:editId="40F84E21">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D806BD" w:rsidRPr="00884150" w:rsidRDefault="00D806BD"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4" type="#_x0000_t202" style="position:absolute;left:0;text-align:left;margin-left:.35pt;margin-top:-43.75pt;width:378.9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Wi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0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r9h1om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D806BD" w:rsidRPr="00884150" w:rsidRDefault="00D806BD"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Pr>
              <w:rFonts w:ascii="Maiandra GD" w:hAnsi="Maiandra GD"/>
              <w:b/>
              <w:i/>
              <w:sz w:val="16"/>
              <w:szCs w:val="16"/>
            </w:rPr>
            <w:t xml:space="preserve">CÁMARA DE DIPUTADOS DEL </w:t>
          </w:r>
          <w:r w:rsidRPr="008217CF">
            <w:rPr>
              <w:rFonts w:ascii="Maiandra GD" w:hAnsi="Maiandra GD"/>
              <w:b/>
              <w:i/>
              <w:sz w:val="16"/>
              <w:szCs w:val="16"/>
            </w:rPr>
            <w:t>CONGRESO DEL ESTADO DE GUANAJUATO</w:t>
          </w:r>
          <w:r>
            <w:rPr>
              <w:rFonts w:ascii="Maiandra GD" w:hAnsi="Maiandra GD"/>
              <w:b/>
              <w:i/>
              <w:sz w:val="16"/>
              <w:szCs w:val="16"/>
            </w:rPr>
            <w:t xml:space="preserve"> </w:t>
          </w:r>
        </w:p>
        <w:p w14:paraId="3A5C1CB7" w14:textId="0B9ACAF2" w:rsidR="00D806BD" w:rsidRDefault="00D806BD"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 xml:space="preserve">DE LA SEXAGÉSIMA QUINTA LEGISLATURA </w:t>
          </w:r>
        </w:p>
        <w:p w14:paraId="1F87C0B4" w14:textId="77777777" w:rsidR="00D806BD" w:rsidRPr="00064037" w:rsidRDefault="00D806BD" w:rsidP="00BB6CF0">
          <w:pPr>
            <w:pStyle w:val="Encabezado"/>
            <w:tabs>
              <w:tab w:val="clear" w:pos="4419"/>
            </w:tabs>
            <w:spacing w:before="40"/>
            <w:jc w:val="center"/>
            <w:rPr>
              <w:rFonts w:ascii="Maiandra GD" w:hAnsi="Maiandra GD"/>
              <w:b/>
              <w:i/>
              <w:sz w:val="2"/>
              <w:szCs w:val="2"/>
            </w:rPr>
          </w:pPr>
        </w:p>
        <w:p w14:paraId="0974B764" w14:textId="77777777" w:rsidR="00D806BD" w:rsidRPr="00DB6DE2" w:rsidRDefault="00D806BD" w:rsidP="00BB6CF0">
          <w:pPr>
            <w:pStyle w:val="Encabezado"/>
            <w:tabs>
              <w:tab w:val="clear" w:pos="4419"/>
            </w:tabs>
            <w:spacing w:before="40"/>
            <w:jc w:val="center"/>
            <w:rPr>
              <w:rFonts w:ascii="Maiandra GD" w:hAnsi="Maiandra GD"/>
              <w:b/>
              <w:i/>
              <w:sz w:val="4"/>
              <w:szCs w:val="4"/>
            </w:rPr>
          </w:pPr>
        </w:p>
        <w:p w14:paraId="6BB3FB15" w14:textId="0CCF42E1" w:rsidR="00D806BD" w:rsidRPr="008008F6" w:rsidRDefault="00D806BD" w:rsidP="00294491">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SESIÓN ORDINARIA -</w:t>
          </w:r>
          <w:r w:rsidRPr="008008F6">
            <w:rPr>
              <w:rFonts w:ascii="Maiandra GD" w:hAnsi="Maiandra GD"/>
              <w:b/>
              <w:i/>
              <w:sz w:val="16"/>
              <w:szCs w:val="16"/>
            </w:rPr>
            <w:t>PRIMER AÑO DE EJERCICIO CONSTITUCIONAL</w:t>
          </w:r>
          <w:r>
            <w:rPr>
              <w:rFonts w:ascii="Maiandra GD" w:hAnsi="Maiandra GD"/>
              <w:b/>
              <w:i/>
              <w:sz w:val="16"/>
              <w:szCs w:val="16"/>
            </w:rPr>
            <w:t>-SEGUNDO PERIODO ORDINARIO</w:t>
          </w:r>
        </w:p>
        <w:p w14:paraId="68A5B38E" w14:textId="77777777" w:rsidR="00D806BD" w:rsidRPr="00064037" w:rsidRDefault="00D806BD" w:rsidP="00AC738C">
          <w:pPr>
            <w:pStyle w:val="Encabezado"/>
            <w:tabs>
              <w:tab w:val="clear" w:pos="4419"/>
            </w:tabs>
            <w:spacing w:before="40"/>
            <w:jc w:val="center"/>
            <w:rPr>
              <w:rFonts w:ascii="Maiandra GD" w:hAnsi="Maiandra GD"/>
              <w:b/>
              <w:i/>
              <w:sz w:val="2"/>
              <w:szCs w:val="2"/>
            </w:rPr>
          </w:pPr>
        </w:p>
        <w:p w14:paraId="77CCC589" w14:textId="21691A74" w:rsidR="00D806BD" w:rsidRPr="00064037" w:rsidRDefault="00D806BD" w:rsidP="00294491">
          <w:pPr>
            <w:pStyle w:val="Encabezado"/>
            <w:tabs>
              <w:tab w:val="clear" w:pos="4419"/>
            </w:tabs>
            <w:spacing w:before="40"/>
            <w:rPr>
              <w:rFonts w:ascii="Trebuchet MS" w:hAnsi="Trebuchet MS"/>
              <w:b/>
              <w:bCs/>
              <w:i/>
              <w:iCs/>
              <w:color w:val="FFFFFF"/>
              <w:sz w:val="14"/>
              <w:szCs w:val="14"/>
            </w:rPr>
          </w:pPr>
          <w:r w:rsidRPr="00064037">
            <w:rPr>
              <w:rFonts w:ascii="Maiandra GD" w:hAnsi="Maiandra GD"/>
              <w:b/>
              <w:i/>
              <w:sz w:val="14"/>
              <w:szCs w:val="14"/>
              <w:shd w:val="clear" w:color="auto" w:fill="D9D9D9" w:themeFill="background1" w:themeFillShade="D9"/>
            </w:rPr>
            <w:t>GUANAJUATO, GTO</w:t>
          </w:r>
          <w:r>
            <w:rPr>
              <w:rFonts w:ascii="Maiandra GD" w:hAnsi="Maiandra GD"/>
              <w:b/>
              <w:i/>
              <w:sz w:val="14"/>
              <w:szCs w:val="14"/>
              <w:shd w:val="clear" w:color="auto" w:fill="D9D9D9" w:themeFill="background1" w:themeFillShade="D9"/>
            </w:rPr>
            <w:t xml:space="preserve">., </w:t>
          </w:r>
          <w:r w:rsidR="00703A8F">
            <w:rPr>
              <w:rFonts w:ascii="Maiandra GD" w:hAnsi="Maiandra GD"/>
              <w:b/>
              <w:i/>
              <w:sz w:val="14"/>
              <w:szCs w:val="14"/>
              <w:shd w:val="clear" w:color="auto" w:fill="D9D9D9" w:themeFill="background1" w:themeFillShade="D9"/>
            </w:rPr>
            <w:t xml:space="preserve">23 </w:t>
          </w:r>
          <w:r w:rsidRPr="00064037">
            <w:rPr>
              <w:rFonts w:ascii="Maiandra GD" w:hAnsi="Maiandra GD"/>
              <w:b/>
              <w:i/>
              <w:sz w:val="14"/>
              <w:szCs w:val="14"/>
              <w:shd w:val="clear" w:color="auto" w:fill="D9D9D9" w:themeFill="background1" w:themeFillShade="D9"/>
            </w:rPr>
            <w:t xml:space="preserve">DE </w:t>
          </w:r>
          <w:r w:rsidR="001E2B2E">
            <w:rPr>
              <w:rFonts w:ascii="Maiandra GD" w:hAnsi="Maiandra GD"/>
              <w:b/>
              <w:i/>
              <w:sz w:val="14"/>
              <w:szCs w:val="14"/>
              <w:shd w:val="clear" w:color="auto" w:fill="D9D9D9" w:themeFill="background1" w:themeFillShade="D9"/>
            </w:rPr>
            <w:t>JUNIO</w:t>
          </w:r>
          <w:r>
            <w:rPr>
              <w:rFonts w:ascii="Maiandra GD" w:hAnsi="Maiandra GD"/>
              <w:b/>
              <w:i/>
              <w:sz w:val="14"/>
              <w:szCs w:val="14"/>
              <w:shd w:val="clear" w:color="auto" w:fill="D9D9D9" w:themeFill="background1" w:themeFillShade="D9"/>
            </w:rPr>
            <w:t xml:space="preserve"> </w:t>
          </w:r>
          <w:r w:rsidRPr="00064037">
            <w:rPr>
              <w:rFonts w:ascii="Maiandra GD" w:hAnsi="Maiandra GD"/>
              <w:b/>
              <w:i/>
              <w:sz w:val="14"/>
              <w:szCs w:val="14"/>
              <w:shd w:val="clear" w:color="auto" w:fill="D9D9D9" w:themeFill="background1" w:themeFillShade="D9"/>
            </w:rPr>
            <w:t xml:space="preserve">DE 2022                                   </w:t>
          </w:r>
          <w:r>
            <w:rPr>
              <w:rFonts w:ascii="Maiandra GD" w:hAnsi="Maiandra GD"/>
              <w:b/>
              <w:i/>
              <w:sz w:val="14"/>
              <w:szCs w:val="14"/>
              <w:shd w:val="clear" w:color="auto" w:fill="D9D9D9" w:themeFill="background1" w:themeFillShade="D9"/>
            </w:rPr>
            <w:t xml:space="preserve">                        </w:t>
          </w:r>
          <w:r w:rsidRPr="00064037">
            <w:rPr>
              <w:rFonts w:ascii="Maiandra GD" w:hAnsi="Maiandra GD"/>
              <w:b/>
              <w:i/>
              <w:sz w:val="14"/>
              <w:szCs w:val="14"/>
              <w:shd w:val="clear" w:color="auto" w:fill="D9D9D9" w:themeFill="background1" w:themeFillShade="D9"/>
            </w:rPr>
            <w:t xml:space="preserve">               SESIÓN NÚMERO (</w:t>
          </w:r>
          <w:r w:rsidR="00703A8F">
            <w:rPr>
              <w:rFonts w:ascii="Maiandra GD" w:hAnsi="Maiandra GD"/>
              <w:b/>
              <w:i/>
              <w:sz w:val="14"/>
              <w:szCs w:val="14"/>
              <w:shd w:val="clear" w:color="auto" w:fill="D9D9D9" w:themeFill="background1" w:themeFillShade="D9"/>
            </w:rPr>
            <w:t>40</w:t>
          </w:r>
          <w:r w:rsidRPr="00064037">
            <w:rPr>
              <w:rFonts w:ascii="Maiandra GD" w:hAnsi="Maiandra GD"/>
              <w:b/>
              <w:i/>
              <w:sz w:val="14"/>
              <w:szCs w:val="14"/>
              <w:shd w:val="clear" w:color="auto" w:fill="D9D9D9" w:themeFill="background1" w:themeFillShade="D9"/>
            </w:rPr>
            <w:t>)</w:t>
          </w:r>
        </w:p>
      </w:tc>
    </w:tr>
  </w:tbl>
  <w:p w14:paraId="2529A23E" w14:textId="26A30F0E" w:rsidR="00D806BD" w:rsidRPr="006416C3" w:rsidRDefault="001E2B2E" w:rsidP="006328F9">
    <w:pPr>
      <w:pStyle w:val="Encabezado"/>
    </w:pPr>
    <w:r>
      <w:rPr>
        <w:noProof/>
        <w:lang w:val="es-MX" w:eastAsia="es-MX"/>
      </w:rPr>
      <mc:AlternateContent>
        <mc:Choice Requires="wps">
          <w:drawing>
            <wp:anchor distT="0" distB="0" distL="114300" distR="114300" simplePos="0" relativeHeight="251677696" behindDoc="1" locked="0" layoutInCell="0" allowOverlap="1" wp14:anchorId="1BCF32B2" wp14:editId="44F9F6A6">
              <wp:simplePos x="0" y="0"/>
              <wp:positionH relativeFrom="margin">
                <wp:align>center</wp:align>
              </wp:positionH>
              <wp:positionV relativeFrom="margin">
                <wp:align>center</wp:align>
              </wp:positionV>
              <wp:extent cx="6044565" cy="833120"/>
              <wp:effectExtent l="0" t="0" r="0" b="0"/>
              <wp:wrapNone/>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44565" cy="8331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D89A8C" w14:textId="77777777" w:rsidR="001E2B2E" w:rsidRDefault="001E2B2E" w:rsidP="001E2B2E">
                          <w:pPr>
                            <w:jc w:val="center"/>
                            <w:rPr>
                              <w:rFonts w:ascii="Bahnschrift SemiBold Condensed" w:hAnsi="Bahnschrift SemiBold Condensed" w:cs="Aharoni"/>
                              <w:color w:val="808080" w:themeColor="background1" w:themeShade="80"/>
                              <w:sz w:val="96"/>
                              <w:szCs w:val="96"/>
                              <w14:textFill>
                                <w14:solidFill>
                                  <w14:schemeClr w14:val="bg1">
                                    <w14:alpha w14:val="50000"/>
                                    <w14:lumMod w14:val="50000"/>
                                  </w14:schemeClr>
                                </w14:solidFill>
                              </w14:textFill>
                            </w:rPr>
                          </w:pPr>
                          <w:r>
                            <w:rPr>
                              <w:rFonts w:ascii="Bahnschrift SemiBold Condensed" w:hAnsi="Bahnschrift SemiBold Condensed" w:cs="Aharoni"/>
                              <w:color w:val="808080" w:themeColor="background1" w:themeShade="80"/>
                              <w:sz w:val="96"/>
                              <w:szCs w:val="96"/>
                              <w14:textFill>
                                <w14:solidFill>
                                  <w14:schemeClr w14:val="bg1">
                                    <w14:alpha w14:val="50000"/>
                                    <w14:lumMod w14:val="50000"/>
                                  </w14:schemeClr>
                                </w14:solidFill>
                              </w14:textFill>
                            </w:rPr>
                            <w:t>Versión Preliminar</w:t>
                          </w:r>
                        </w:p>
                      </w:txbxContent>
                    </wps:txbx>
                    <wps:bodyPr vertOverflow="clip" horzOverflow="clip"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CF32B2" id="_x0000_t202" coordsize="21600,21600" o:spt="202" path="m,l,21600r21600,l21600,xe">
              <v:stroke joinstyle="miter"/>
              <v:path gradientshapeok="t" o:connecttype="rect"/>
            </v:shapetype>
            <v:shape id="Cuadro de texto 60" o:spid="_x0000_s1035" type="#_x0000_t202" style="position:absolute;margin-left:0;margin-top:0;width:475.95pt;height:65.6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" o:allowincell="f" filled="f" stroked="f">
              <v:stroke joinstyle="round"/>
              <o:lock v:ext="edit" shapetype="t"/>
              <v:textbox style="mso-fit-shape-to-text:t">
                <w:txbxContent>
                  <w:p w14:paraId="76D89A8C" w14:textId="77777777" w:rsidR="001E2B2E" w:rsidRDefault="001E2B2E" w:rsidP="001E2B2E">
                    <w:pPr>
                      <w:jc w:val="center"/>
                      <w:rPr>
                        <w:rFonts w:ascii="Bahnschrift SemiBold Condensed" w:hAnsi="Bahnschrift SemiBold Condensed" w:cs="Aharoni"/>
                        <w:color w:val="808080" w:themeColor="background1" w:themeShade="80"/>
                        <w:sz w:val="96"/>
                        <w:szCs w:val="96"/>
                        <w14:textFill>
                          <w14:solidFill>
                            <w14:schemeClr w14:val="bg1">
                              <w14:alpha w14:val="50000"/>
                              <w14:lumMod w14:val="50000"/>
                            </w14:schemeClr>
                          </w14:solidFill>
                        </w14:textFill>
                      </w:rPr>
                    </w:pPr>
                    <w:r>
                      <w:rPr>
                        <w:rFonts w:ascii="Bahnschrift SemiBold Condensed" w:hAnsi="Bahnschrift SemiBold Condensed" w:cs="Aharoni"/>
                        <w:color w:val="808080" w:themeColor="background1" w:themeShade="80"/>
                        <w:sz w:val="96"/>
                        <w:szCs w:val="96"/>
                        <w14:textFill>
                          <w14:solidFill>
                            <w14:schemeClr w14:val="bg1">
                              <w14:alpha w14:val="50000"/>
                              <w14:lumMod w14:val="50000"/>
                            </w14:schemeClr>
                          </w14:solidFill>
                        </w14:textFill>
                      </w:rPr>
                      <w:t>Versión Preliminar</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4819"/>
        </w:tabs>
        <w:ind w:left="4819"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5B53DC"/>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3" w15:restartNumberingAfterBreak="0">
    <w:nsid w:val="00B430DA"/>
    <w:multiLevelType w:val="multilevel"/>
    <w:tmpl w:val="D61A5BD2"/>
    <w:lvl w:ilvl="0">
      <w:start w:val="3"/>
      <w:numFmt w:val="bullet"/>
      <w:pStyle w:val="Estilo1"/>
      <w:lvlText w:val="-"/>
      <w:lvlJc w:val="left"/>
      <w:pPr>
        <w:ind w:left="2848" w:hanging="579"/>
      </w:pPr>
      <w:rPr>
        <w:rFonts w:ascii="Times New Roman" w:hAnsi="Times New Roman" w:cs="Times New Roman" w:hint="default"/>
        <w:b/>
        <w:bCs w:val="0"/>
        <w:i/>
        <w:iCs w:val="0"/>
        <w:spacing w:val="0"/>
        <w:w w:val="100"/>
        <w:sz w:val="28"/>
        <w:szCs w:val="28"/>
      </w:rPr>
    </w:lvl>
    <w:lvl w:ilvl="1">
      <w:numFmt w:val="bullet"/>
      <w:lvlText w:val="•"/>
      <w:lvlJc w:val="left"/>
      <w:pPr>
        <w:ind w:left="3742" w:hanging="579"/>
      </w:pPr>
    </w:lvl>
    <w:lvl w:ilvl="2">
      <w:numFmt w:val="bullet"/>
      <w:lvlText w:val="•"/>
      <w:lvlJc w:val="left"/>
      <w:pPr>
        <w:ind w:left="4630" w:hanging="579"/>
      </w:pPr>
    </w:lvl>
    <w:lvl w:ilvl="3">
      <w:numFmt w:val="bullet"/>
      <w:lvlText w:val="•"/>
      <w:lvlJc w:val="left"/>
      <w:pPr>
        <w:ind w:left="5518" w:hanging="579"/>
      </w:pPr>
    </w:lvl>
    <w:lvl w:ilvl="4">
      <w:numFmt w:val="bullet"/>
      <w:lvlText w:val="•"/>
      <w:lvlJc w:val="left"/>
      <w:pPr>
        <w:ind w:left="6406" w:hanging="579"/>
      </w:pPr>
    </w:lvl>
    <w:lvl w:ilvl="5">
      <w:numFmt w:val="bullet"/>
      <w:lvlText w:val="•"/>
      <w:lvlJc w:val="left"/>
      <w:pPr>
        <w:ind w:left="7294" w:hanging="579"/>
      </w:pPr>
    </w:lvl>
    <w:lvl w:ilvl="6">
      <w:numFmt w:val="bullet"/>
      <w:lvlText w:val="•"/>
      <w:lvlJc w:val="left"/>
      <w:pPr>
        <w:ind w:left="8182" w:hanging="579"/>
      </w:pPr>
    </w:lvl>
    <w:lvl w:ilvl="7">
      <w:numFmt w:val="bullet"/>
      <w:lvlText w:val="•"/>
      <w:lvlJc w:val="left"/>
      <w:pPr>
        <w:ind w:left="9070" w:hanging="579"/>
      </w:pPr>
    </w:lvl>
    <w:lvl w:ilvl="8">
      <w:numFmt w:val="bullet"/>
      <w:lvlText w:val="•"/>
      <w:lvlJc w:val="left"/>
      <w:pPr>
        <w:ind w:left="9958" w:hanging="579"/>
      </w:pPr>
    </w:lvl>
  </w:abstractNum>
  <w:abstractNum w:abstractNumId="4" w15:restartNumberingAfterBreak="0">
    <w:nsid w:val="01583A04"/>
    <w:multiLevelType w:val="hybridMultilevel"/>
    <w:tmpl w:val="49FEE5EE"/>
    <w:lvl w:ilvl="0" w:tplc="F4609DFA">
      <w:start w:val="1"/>
      <w:numFmt w:val="upperRoman"/>
      <w:lvlText w:val="%1."/>
      <w:lvlJc w:val="righ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BF2178"/>
    <w:multiLevelType w:val="hybridMultilevel"/>
    <w:tmpl w:val="4396333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93622B"/>
    <w:multiLevelType w:val="hybridMultilevel"/>
    <w:tmpl w:val="95125F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031D1824"/>
    <w:multiLevelType w:val="hybridMultilevel"/>
    <w:tmpl w:val="4396333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3310C51"/>
    <w:multiLevelType w:val="hybridMultilevel"/>
    <w:tmpl w:val="3EA6D0F4"/>
    <w:lvl w:ilvl="0" w:tplc="FFFFFFFF">
      <w:start w:val="1"/>
      <w:numFmt w:val="decimal"/>
      <w:lvlText w:val="%1."/>
      <w:lvlJc w:val="left"/>
      <w:pPr>
        <w:ind w:left="720" w:hanging="360"/>
      </w:pPr>
      <w:rPr>
        <w:rFonts w:ascii="Calibri" w:eastAsia="Calibri" w:hAnsi="Calibri" w:cs="Times New Roman"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3B02A9D"/>
    <w:multiLevelType w:val="hybridMultilevel"/>
    <w:tmpl w:val="5C663F5A"/>
    <w:lvl w:ilvl="0" w:tplc="080A001B">
      <w:start w:val="1"/>
      <w:numFmt w:val="lowerRoman"/>
      <w:lvlText w:val="%1."/>
      <w:lvlJc w:val="righ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F610C4"/>
    <w:multiLevelType w:val="hybridMultilevel"/>
    <w:tmpl w:val="23B6407A"/>
    <w:lvl w:ilvl="0" w:tplc="C240A91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59E21F4"/>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5F37A9E"/>
    <w:multiLevelType w:val="hybridMultilevel"/>
    <w:tmpl w:val="1416DD14"/>
    <w:lvl w:ilvl="0" w:tplc="0C4C45A2">
      <w:start w:val="1"/>
      <w:numFmt w:val="decimal"/>
      <w:lvlText w:val="%1."/>
      <w:lvlJc w:val="left"/>
      <w:pPr>
        <w:ind w:left="1068" w:hanging="360"/>
      </w:pPr>
      <w:rPr>
        <w:rFonts w:hint="default"/>
        <w:b/>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062F5F51"/>
    <w:multiLevelType w:val="hybridMultilevel"/>
    <w:tmpl w:val="7AFC7210"/>
    <w:lvl w:ilvl="0" w:tplc="FFFFFFFF">
      <w:start w:val="1"/>
      <w:numFmt w:val="lowerLetter"/>
      <w:lvlText w:val="%1)"/>
      <w:lvlJc w:val="left"/>
      <w:pPr>
        <w:ind w:left="1068" w:hanging="360"/>
      </w:pPr>
      <w:rPr>
        <w:rFonts w:hint="default"/>
        <w:b/>
        <w:b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07916683"/>
    <w:multiLevelType w:val="hybridMultilevel"/>
    <w:tmpl w:val="008C3A9C"/>
    <w:lvl w:ilvl="0" w:tplc="642A2BBC">
      <w:start w:val="1"/>
      <w:numFmt w:val="lowerLetter"/>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0D6630FC"/>
    <w:multiLevelType w:val="hybridMultilevel"/>
    <w:tmpl w:val="FFFFFFFF"/>
    <w:lvl w:ilvl="0" w:tplc="FF0C04B4">
      <w:start w:val="1"/>
      <w:numFmt w:val="decimal"/>
      <w:lvlText w:val="(%1)"/>
      <w:lvlJc w:val="left"/>
      <w:pPr>
        <w:ind w:left="360" w:hanging="360"/>
      </w:pPr>
      <w:rPr>
        <w:rFonts w:cs="Times New Roman" w:hint="default"/>
        <w:b/>
        <w:bCs/>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6" w15:restartNumberingAfterBreak="0">
    <w:nsid w:val="0EAE58E8"/>
    <w:multiLevelType w:val="hybridMultilevel"/>
    <w:tmpl w:val="2B4079C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0F9C18C9"/>
    <w:multiLevelType w:val="hybridMultilevel"/>
    <w:tmpl w:val="FFFFFFFF"/>
    <w:lvl w:ilvl="0" w:tplc="FFFFFFFF">
      <w:start w:val="1"/>
      <w:numFmt w:val="decimal"/>
      <w:lvlText w:val="(%1)"/>
      <w:lvlJc w:val="left"/>
      <w:pPr>
        <w:ind w:left="360" w:hanging="360"/>
      </w:pPr>
      <w:rPr>
        <w:rFonts w:cs="Times New Roman" w:hint="default"/>
        <w:b/>
        <w:bCs/>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8" w15:restartNumberingAfterBreak="0">
    <w:nsid w:val="0FEA3EAB"/>
    <w:multiLevelType w:val="hybridMultilevel"/>
    <w:tmpl w:val="968270D8"/>
    <w:lvl w:ilvl="0" w:tplc="6A560058">
      <w:start w:val="1"/>
      <w:numFmt w:val="upperRoman"/>
      <w:lvlText w:val="%1."/>
      <w:lvlJc w:val="left"/>
      <w:pPr>
        <w:ind w:left="4690" w:hanging="720"/>
      </w:pPr>
      <w:rPr>
        <w:rFonts w:hint="default"/>
        <w:b/>
        <w:sz w:val="20"/>
        <w:szCs w:val="20"/>
      </w:rPr>
    </w:lvl>
    <w:lvl w:ilvl="1" w:tplc="080A0019" w:tentative="1">
      <w:start w:val="1"/>
      <w:numFmt w:val="lowerLetter"/>
      <w:lvlText w:val="%2."/>
      <w:lvlJc w:val="left"/>
      <w:pPr>
        <w:ind w:left="5050" w:hanging="360"/>
      </w:pPr>
    </w:lvl>
    <w:lvl w:ilvl="2" w:tplc="080A001B" w:tentative="1">
      <w:start w:val="1"/>
      <w:numFmt w:val="lowerRoman"/>
      <w:lvlText w:val="%3."/>
      <w:lvlJc w:val="right"/>
      <w:pPr>
        <w:ind w:left="5770" w:hanging="180"/>
      </w:pPr>
    </w:lvl>
    <w:lvl w:ilvl="3" w:tplc="080A000F" w:tentative="1">
      <w:start w:val="1"/>
      <w:numFmt w:val="decimal"/>
      <w:lvlText w:val="%4."/>
      <w:lvlJc w:val="left"/>
      <w:pPr>
        <w:ind w:left="6490" w:hanging="360"/>
      </w:pPr>
    </w:lvl>
    <w:lvl w:ilvl="4" w:tplc="080A0019" w:tentative="1">
      <w:start w:val="1"/>
      <w:numFmt w:val="lowerLetter"/>
      <w:lvlText w:val="%5."/>
      <w:lvlJc w:val="left"/>
      <w:pPr>
        <w:ind w:left="7210" w:hanging="360"/>
      </w:pPr>
    </w:lvl>
    <w:lvl w:ilvl="5" w:tplc="080A001B" w:tentative="1">
      <w:start w:val="1"/>
      <w:numFmt w:val="lowerRoman"/>
      <w:lvlText w:val="%6."/>
      <w:lvlJc w:val="right"/>
      <w:pPr>
        <w:ind w:left="7930" w:hanging="180"/>
      </w:pPr>
    </w:lvl>
    <w:lvl w:ilvl="6" w:tplc="080A000F" w:tentative="1">
      <w:start w:val="1"/>
      <w:numFmt w:val="decimal"/>
      <w:lvlText w:val="%7."/>
      <w:lvlJc w:val="left"/>
      <w:pPr>
        <w:ind w:left="8650" w:hanging="360"/>
      </w:pPr>
    </w:lvl>
    <w:lvl w:ilvl="7" w:tplc="080A0019" w:tentative="1">
      <w:start w:val="1"/>
      <w:numFmt w:val="lowerLetter"/>
      <w:lvlText w:val="%8."/>
      <w:lvlJc w:val="left"/>
      <w:pPr>
        <w:ind w:left="9370" w:hanging="360"/>
      </w:pPr>
    </w:lvl>
    <w:lvl w:ilvl="8" w:tplc="080A001B" w:tentative="1">
      <w:start w:val="1"/>
      <w:numFmt w:val="lowerRoman"/>
      <w:lvlText w:val="%9."/>
      <w:lvlJc w:val="right"/>
      <w:pPr>
        <w:ind w:left="10090" w:hanging="180"/>
      </w:pPr>
    </w:lvl>
  </w:abstractNum>
  <w:abstractNum w:abstractNumId="19" w15:restartNumberingAfterBreak="0">
    <w:nsid w:val="106244AF"/>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0" w15:restartNumberingAfterBreak="0">
    <w:nsid w:val="109D0137"/>
    <w:multiLevelType w:val="multilevel"/>
    <w:tmpl w:val="76762A76"/>
    <w:lvl w:ilvl="0">
      <w:start w:val="2"/>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21" w15:restartNumberingAfterBreak="0">
    <w:nsid w:val="113C5488"/>
    <w:multiLevelType w:val="hybridMultilevel"/>
    <w:tmpl w:val="C71E7E08"/>
    <w:lvl w:ilvl="0" w:tplc="5A4C7C3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2C129D8"/>
    <w:multiLevelType w:val="hybridMultilevel"/>
    <w:tmpl w:val="E138DAA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15:restartNumberingAfterBreak="0">
    <w:nsid w:val="15E8181D"/>
    <w:multiLevelType w:val="hybridMultilevel"/>
    <w:tmpl w:val="C99610C6"/>
    <w:lvl w:ilvl="0" w:tplc="860ACAD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6101647"/>
    <w:multiLevelType w:val="hybridMultilevel"/>
    <w:tmpl w:val="FFFFFFFF"/>
    <w:lvl w:ilvl="0" w:tplc="FFFFFFFF">
      <w:start w:val="1"/>
      <w:numFmt w:val="decimal"/>
      <w:lvlText w:val="(%1)"/>
      <w:lvlJc w:val="left"/>
      <w:pPr>
        <w:ind w:left="360" w:hanging="360"/>
      </w:pPr>
      <w:rPr>
        <w:rFonts w:cs="Times New Roman" w:hint="default"/>
        <w:b/>
        <w:bCs/>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25" w15:restartNumberingAfterBreak="0">
    <w:nsid w:val="18454DF3"/>
    <w:multiLevelType w:val="hybridMultilevel"/>
    <w:tmpl w:val="6F9C3108"/>
    <w:lvl w:ilvl="0" w:tplc="432C61AC">
      <w:numFmt w:val="bullet"/>
      <w:lvlText w:val=""/>
      <w:lvlJc w:val="left"/>
      <w:pPr>
        <w:ind w:left="720" w:hanging="360"/>
      </w:pPr>
      <w:rPr>
        <w:rFonts w:ascii="Symbol" w:eastAsiaTheme="minorHAnsi" w:hAnsi="Symbol" w:cs="*Arial-7826-Identity-H"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9D65256"/>
    <w:multiLevelType w:val="hybridMultilevel"/>
    <w:tmpl w:val="1AAEDC62"/>
    <w:lvl w:ilvl="0" w:tplc="FFFFFFFF">
      <w:start w:val="1"/>
      <w:numFmt w:val="decimal"/>
      <w:lvlText w:val="%1."/>
      <w:lvlJc w:val="left"/>
      <w:pPr>
        <w:ind w:left="720" w:hanging="360"/>
      </w:pPr>
      <w:rPr>
        <w:rFonts w:ascii="Calibri" w:eastAsia="Calibri" w:hAnsi="Calibri" w:cs="Times New Roman" w:hint="default"/>
        <w:b/>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D754698"/>
    <w:multiLevelType w:val="hybridMultilevel"/>
    <w:tmpl w:val="D1925C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0B5020C"/>
    <w:multiLevelType w:val="hybridMultilevel"/>
    <w:tmpl w:val="57C8F3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1BE3065"/>
    <w:multiLevelType w:val="hybridMultilevel"/>
    <w:tmpl w:val="9878D024"/>
    <w:lvl w:ilvl="0" w:tplc="F210D160">
      <w:start w:val="1"/>
      <w:numFmt w:val="lowerLetter"/>
      <w:lvlText w:val="%1)"/>
      <w:lvlJc w:val="left"/>
      <w:pPr>
        <w:tabs>
          <w:tab w:val="num" w:pos="1428"/>
        </w:tabs>
        <w:ind w:left="1428" w:hanging="360"/>
      </w:pPr>
      <w:rPr>
        <w:rFonts w:hint="default"/>
        <w:b/>
        <w:i w:val="0"/>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30" w15:restartNumberingAfterBreak="0">
    <w:nsid w:val="21BE3DBC"/>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31" w15:restartNumberingAfterBreak="0">
    <w:nsid w:val="220676A5"/>
    <w:multiLevelType w:val="hybridMultilevel"/>
    <w:tmpl w:val="17BA8BCE"/>
    <w:lvl w:ilvl="0" w:tplc="01F8E4E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22B0463"/>
    <w:multiLevelType w:val="hybridMultilevel"/>
    <w:tmpl w:val="4396333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3884013"/>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34" w15:restartNumberingAfterBreak="0">
    <w:nsid w:val="28D000EF"/>
    <w:multiLevelType w:val="hybridMultilevel"/>
    <w:tmpl w:val="EE78F0F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293E647C"/>
    <w:multiLevelType w:val="hybridMultilevel"/>
    <w:tmpl w:val="2020EE2E"/>
    <w:lvl w:ilvl="0" w:tplc="DC624A5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9CE028B"/>
    <w:multiLevelType w:val="hybridMultilevel"/>
    <w:tmpl w:val="E1587AFA"/>
    <w:lvl w:ilvl="0" w:tplc="3BB4F1E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2ABB13DD"/>
    <w:multiLevelType w:val="hybridMultilevel"/>
    <w:tmpl w:val="852677A8"/>
    <w:lvl w:ilvl="0" w:tplc="F210D160">
      <w:start w:val="1"/>
      <w:numFmt w:val="lowerLetter"/>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2CAE38E4"/>
    <w:multiLevelType w:val="hybridMultilevel"/>
    <w:tmpl w:val="4396333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D967CD9"/>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40" w15:restartNumberingAfterBreak="0">
    <w:nsid w:val="2F020C88"/>
    <w:multiLevelType w:val="hybridMultilevel"/>
    <w:tmpl w:val="1AAEDC62"/>
    <w:lvl w:ilvl="0" w:tplc="2D20B454">
      <w:start w:val="1"/>
      <w:numFmt w:val="decimal"/>
      <w:lvlText w:val="%1."/>
      <w:lvlJc w:val="left"/>
      <w:pPr>
        <w:ind w:left="720" w:hanging="360"/>
      </w:pPr>
      <w:rPr>
        <w:rFonts w:ascii="Calibri" w:eastAsia="Calibri" w:hAnsi="Calibri" w:cs="Times New Roman" w:hint="default"/>
        <w:b/>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03464C0"/>
    <w:multiLevelType w:val="hybridMultilevel"/>
    <w:tmpl w:val="FFFFFFFF"/>
    <w:lvl w:ilvl="0" w:tplc="FFFFFFFF">
      <w:start w:val="1"/>
      <w:numFmt w:val="decimal"/>
      <w:lvlText w:val="(%1)"/>
      <w:lvlJc w:val="left"/>
      <w:pPr>
        <w:ind w:left="360" w:hanging="360"/>
      </w:pPr>
      <w:rPr>
        <w:rFonts w:cs="Times New Roman" w:hint="default"/>
        <w:b/>
        <w:bCs/>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43" w15:restartNumberingAfterBreak="0">
    <w:nsid w:val="33EB723C"/>
    <w:multiLevelType w:val="hybridMultilevel"/>
    <w:tmpl w:val="14648F0A"/>
    <w:lvl w:ilvl="0" w:tplc="F5F8AD26">
      <w:start w:val="1"/>
      <w:numFmt w:val="lowerLetter"/>
      <w:lvlText w:val="%1)"/>
      <w:lvlJc w:val="left"/>
      <w:pPr>
        <w:ind w:left="1068" w:hanging="360"/>
      </w:pPr>
      <w:rPr>
        <w:rFonts w:hint="default"/>
        <w:b/>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354430B3"/>
    <w:multiLevelType w:val="hybridMultilevel"/>
    <w:tmpl w:val="7B8ACCC0"/>
    <w:lvl w:ilvl="0" w:tplc="5FE2EAD0">
      <w:start w:val="1"/>
      <w:numFmt w:val="upperRoman"/>
      <w:lvlText w:val="%1."/>
      <w:lvlJc w:val="left"/>
      <w:pPr>
        <w:ind w:left="1428" w:hanging="720"/>
      </w:pPr>
      <w:rPr>
        <w:rFonts w:hint="default"/>
        <w:b/>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5" w15:restartNumberingAfterBreak="0">
    <w:nsid w:val="358864FD"/>
    <w:multiLevelType w:val="hybridMultilevel"/>
    <w:tmpl w:val="3C447E68"/>
    <w:lvl w:ilvl="0" w:tplc="C4F6CE42">
      <w:start w:val="1"/>
      <w:numFmt w:val="upperRoman"/>
      <w:lvlText w:val="%1."/>
      <w:lvlJc w:val="left"/>
      <w:pPr>
        <w:ind w:left="1428" w:hanging="720"/>
      </w:pPr>
      <w:rPr>
        <w:rFonts w:hint="default"/>
        <w:b/>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6" w15:restartNumberingAfterBreak="0">
    <w:nsid w:val="35EA0FB2"/>
    <w:multiLevelType w:val="hybridMultilevel"/>
    <w:tmpl w:val="4396333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6331087"/>
    <w:multiLevelType w:val="hybridMultilevel"/>
    <w:tmpl w:val="703052B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15:restartNumberingAfterBreak="0">
    <w:nsid w:val="36F80914"/>
    <w:multiLevelType w:val="hybridMultilevel"/>
    <w:tmpl w:val="0C5EF720"/>
    <w:lvl w:ilvl="0" w:tplc="A45C0DE2">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9" w15:restartNumberingAfterBreak="0">
    <w:nsid w:val="37295674"/>
    <w:multiLevelType w:val="hybridMultilevel"/>
    <w:tmpl w:val="4396333C"/>
    <w:lvl w:ilvl="0" w:tplc="01CC63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8D17038"/>
    <w:multiLevelType w:val="hybridMultilevel"/>
    <w:tmpl w:val="4396333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B1D1669"/>
    <w:multiLevelType w:val="hybridMultilevel"/>
    <w:tmpl w:val="E93C3C3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3D774D81"/>
    <w:multiLevelType w:val="hybridMultilevel"/>
    <w:tmpl w:val="0A001C98"/>
    <w:lvl w:ilvl="0" w:tplc="495C9CF8">
      <w:start w:val="1"/>
      <w:numFmt w:val="lowerRoman"/>
      <w:lvlText w:val="%1)"/>
      <w:lvlJc w:val="left"/>
      <w:pPr>
        <w:ind w:left="1428" w:hanging="360"/>
      </w:pPr>
      <w:rPr>
        <w:rFonts w:ascii="Calibri" w:hAnsi="Calibri" w:cs="Calibri" w:hint="default"/>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3" w15:restartNumberingAfterBreak="0">
    <w:nsid w:val="3EC437EA"/>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54"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55" w15:restartNumberingAfterBreak="0">
    <w:nsid w:val="3FFC5AAB"/>
    <w:multiLevelType w:val="hybridMultilevel"/>
    <w:tmpl w:val="5374E010"/>
    <w:lvl w:ilvl="0" w:tplc="4BA461E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3D513B7"/>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57" w15:restartNumberingAfterBreak="0">
    <w:nsid w:val="4C517EDA"/>
    <w:multiLevelType w:val="hybridMultilevel"/>
    <w:tmpl w:val="EC9E2096"/>
    <w:lvl w:ilvl="0" w:tplc="604A74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DE76B14"/>
    <w:multiLevelType w:val="hybridMultilevel"/>
    <w:tmpl w:val="1AAEDC62"/>
    <w:lvl w:ilvl="0" w:tplc="FFFFFFFF">
      <w:start w:val="1"/>
      <w:numFmt w:val="decimal"/>
      <w:lvlText w:val="%1."/>
      <w:lvlJc w:val="left"/>
      <w:pPr>
        <w:ind w:left="720" w:hanging="360"/>
      </w:pPr>
      <w:rPr>
        <w:rFonts w:ascii="Calibri" w:eastAsia="Calibri" w:hAnsi="Calibri" w:cs="Times New Roman" w:hint="default"/>
        <w:b/>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FD448F4"/>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60" w15:restartNumberingAfterBreak="0">
    <w:nsid w:val="4FFB071C"/>
    <w:multiLevelType w:val="hybridMultilevel"/>
    <w:tmpl w:val="4396333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0A6781"/>
    <w:multiLevelType w:val="hybridMultilevel"/>
    <w:tmpl w:val="7F648182"/>
    <w:lvl w:ilvl="0" w:tplc="AFD27B9C">
      <w:start w:val="1"/>
      <w:numFmt w:val="low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2" w15:restartNumberingAfterBreak="0">
    <w:nsid w:val="5433672E"/>
    <w:multiLevelType w:val="hybridMultilevel"/>
    <w:tmpl w:val="F3FEFA20"/>
    <w:lvl w:ilvl="0" w:tplc="50041FC6">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3" w15:restartNumberingAfterBreak="0">
    <w:nsid w:val="563A2C54"/>
    <w:multiLevelType w:val="hybridMultilevel"/>
    <w:tmpl w:val="FFFFFFFF"/>
    <w:lvl w:ilvl="0" w:tplc="FFFFFFFF">
      <w:start w:val="1"/>
      <w:numFmt w:val="decimal"/>
      <w:lvlText w:val="(%1)"/>
      <w:lvlJc w:val="left"/>
      <w:pPr>
        <w:ind w:left="360" w:hanging="360"/>
      </w:pPr>
      <w:rPr>
        <w:rFonts w:cs="Times New Roman" w:hint="default"/>
        <w:b/>
        <w:bCs/>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64" w15:restartNumberingAfterBreak="0">
    <w:nsid w:val="567A4354"/>
    <w:multiLevelType w:val="hybridMultilevel"/>
    <w:tmpl w:val="28025958"/>
    <w:lvl w:ilvl="0" w:tplc="0270E912">
      <w:start w:val="1"/>
      <w:numFmt w:val="lowerLetter"/>
      <w:lvlText w:val="%1)"/>
      <w:lvlJc w:val="left"/>
      <w:pPr>
        <w:ind w:left="1636" w:hanging="360"/>
      </w:pPr>
      <w:rPr>
        <w:rFonts w:hint="default"/>
        <w:b/>
        <w:bCs w:val="0"/>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65" w15:restartNumberingAfterBreak="0">
    <w:nsid w:val="5BDE0D7C"/>
    <w:multiLevelType w:val="hybridMultilevel"/>
    <w:tmpl w:val="0394C26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D211507"/>
    <w:multiLevelType w:val="hybridMultilevel"/>
    <w:tmpl w:val="31A4B136"/>
    <w:lvl w:ilvl="0" w:tplc="386E401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D6E1181"/>
    <w:multiLevelType w:val="hybridMultilevel"/>
    <w:tmpl w:val="AAC60668"/>
    <w:lvl w:ilvl="0" w:tplc="35AED9AE">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EF65036"/>
    <w:multiLevelType w:val="hybridMultilevel"/>
    <w:tmpl w:val="D14041F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9" w15:restartNumberingAfterBreak="0">
    <w:nsid w:val="61360FF7"/>
    <w:multiLevelType w:val="hybridMultilevel"/>
    <w:tmpl w:val="63FC34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3772A93"/>
    <w:multiLevelType w:val="hybridMultilevel"/>
    <w:tmpl w:val="3814D898"/>
    <w:lvl w:ilvl="0" w:tplc="F06ACD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4376BC4"/>
    <w:multiLevelType w:val="hybridMultilevel"/>
    <w:tmpl w:val="4396333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4C63E30"/>
    <w:multiLevelType w:val="hybridMultilevel"/>
    <w:tmpl w:val="05C0FDE0"/>
    <w:lvl w:ilvl="0" w:tplc="FDBA7BAC">
      <w:start w:val="3"/>
      <w:numFmt w:val="upperRoman"/>
      <w:lvlText w:val="%1."/>
      <w:lvlJc w:val="left"/>
      <w:pPr>
        <w:ind w:left="3698" w:hanging="720"/>
      </w:pPr>
      <w:rPr>
        <w:rFonts w:hint="default"/>
        <w:b/>
        <w:bCs/>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73" w15:restartNumberingAfterBreak="0">
    <w:nsid w:val="65925FB5"/>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74" w15:restartNumberingAfterBreak="0">
    <w:nsid w:val="6680135F"/>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75" w15:restartNumberingAfterBreak="0">
    <w:nsid w:val="686C5275"/>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76" w15:restartNumberingAfterBreak="0">
    <w:nsid w:val="689160CA"/>
    <w:multiLevelType w:val="hybridMultilevel"/>
    <w:tmpl w:val="D93ED6E4"/>
    <w:lvl w:ilvl="0" w:tplc="8D7C5548">
      <w:start w:val="1"/>
      <w:numFmt w:val="lowerLetter"/>
      <w:lvlText w:val="%1)"/>
      <w:lvlJc w:val="left"/>
      <w:pPr>
        <w:ind w:left="720" w:hanging="360"/>
      </w:pPr>
      <w:rPr>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8A26772"/>
    <w:multiLevelType w:val="hybridMultilevel"/>
    <w:tmpl w:val="3438D03E"/>
    <w:lvl w:ilvl="0" w:tplc="0A9A0D60">
      <w:start w:val="1"/>
      <w:numFmt w:val="bullet"/>
      <w:lvlText w:val=""/>
      <w:lvlJc w:val="left"/>
      <w:pPr>
        <w:ind w:left="1428" w:hanging="360"/>
      </w:pPr>
      <w:rPr>
        <w:rFonts w:ascii="Symbol" w:hAnsi="Symbol" w:hint="default"/>
        <w:color w:val="auto"/>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8" w15:restartNumberingAfterBreak="0">
    <w:nsid w:val="68EE3988"/>
    <w:multiLevelType w:val="hybridMultilevel"/>
    <w:tmpl w:val="103415A6"/>
    <w:lvl w:ilvl="0" w:tplc="E8326FA2">
      <w:start w:val="16"/>
      <w:numFmt w:val="bullet"/>
      <w:lvlText w:val="-"/>
      <w:lvlJc w:val="left"/>
      <w:pPr>
        <w:ind w:left="720" w:hanging="360"/>
      </w:pPr>
      <w:rPr>
        <w:rFonts w:ascii="Abadi" w:eastAsiaTheme="minorHAnsi" w:hAnsi="Abad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6ACF4826"/>
    <w:multiLevelType w:val="hybridMultilevel"/>
    <w:tmpl w:val="FFFFFFFF"/>
    <w:lvl w:ilvl="0" w:tplc="FFFFFFFF">
      <w:start w:val="1"/>
      <w:numFmt w:val="decimal"/>
      <w:lvlText w:val="(%1)"/>
      <w:lvlJc w:val="left"/>
      <w:pPr>
        <w:ind w:left="360" w:hanging="360"/>
      </w:pPr>
      <w:rPr>
        <w:rFonts w:cs="Times New Roman" w:hint="default"/>
        <w:b/>
        <w:bCs/>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80" w15:restartNumberingAfterBreak="0">
    <w:nsid w:val="6AFD4C68"/>
    <w:multiLevelType w:val="hybridMultilevel"/>
    <w:tmpl w:val="5B1A6D88"/>
    <w:lvl w:ilvl="0" w:tplc="EFF056D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1" w15:restartNumberingAfterBreak="0">
    <w:nsid w:val="6CD028C5"/>
    <w:multiLevelType w:val="hybridMultilevel"/>
    <w:tmpl w:val="CB227A72"/>
    <w:lvl w:ilvl="0" w:tplc="CA628A46">
      <w:start w:val="1"/>
      <w:numFmt w:val="decimal"/>
      <w:lvlText w:val="%1."/>
      <w:lvlJc w:val="left"/>
      <w:pPr>
        <w:ind w:left="720" w:hanging="360"/>
      </w:pPr>
      <w:rPr>
        <w:rFonts w:ascii="Verdana" w:eastAsia="Times New Roman" w:hAnsi="Verdana" w:cs="Times New Roman" w:hint="default"/>
        <w:b/>
        <w:bCs/>
        <w:sz w:val="20"/>
        <w:szCs w:val="20"/>
      </w:rPr>
    </w:lvl>
    <w:lvl w:ilvl="1" w:tplc="580A0003" w:tentative="1">
      <w:start w:val="1"/>
      <w:numFmt w:val="bullet"/>
      <w:lvlText w:val="o"/>
      <w:lvlJc w:val="left"/>
      <w:pPr>
        <w:ind w:left="1440" w:hanging="360"/>
      </w:pPr>
      <w:rPr>
        <w:rFonts w:ascii="Courier New" w:hAnsi="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2" w15:restartNumberingAfterBreak="0">
    <w:nsid w:val="6D19222E"/>
    <w:multiLevelType w:val="hybridMultilevel"/>
    <w:tmpl w:val="E6B2CCC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6D731631"/>
    <w:multiLevelType w:val="hybridMultilevel"/>
    <w:tmpl w:val="4396333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07C1438"/>
    <w:multiLevelType w:val="hybridMultilevel"/>
    <w:tmpl w:val="C726BB4E"/>
    <w:lvl w:ilvl="0" w:tplc="43AEC52E">
      <w:start w:val="1"/>
      <w:numFmt w:val="lowerLetter"/>
      <w:lvlText w:val="%1)"/>
      <w:lvlJc w:val="left"/>
      <w:pPr>
        <w:ind w:left="2204"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5" w15:restartNumberingAfterBreak="0">
    <w:nsid w:val="719939E2"/>
    <w:multiLevelType w:val="hybridMultilevel"/>
    <w:tmpl w:val="BCC2F1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26F6961"/>
    <w:multiLevelType w:val="hybridMultilevel"/>
    <w:tmpl w:val="E424FFD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72F4405B"/>
    <w:multiLevelType w:val="hybridMultilevel"/>
    <w:tmpl w:val="7396E1E4"/>
    <w:lvl w:ilvl="0" w:tplc="87A2E55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3567880"/>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89" w15:restartNumberingAfterBreak="0">
    <w:nsid w:val="73B666EB"/>
    <w:multiLevelType w:val="hybridMultilevel"/>
    <w:tmpl w:val="375075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76C83B66"/>
    <w:multiLevelType w:val="hybridMultilevel"/>
    <w:tmpl w:val="0F7C88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85F22DC"/>
    <w:multiLevelType w:val="hybridMultilevel"/>
    <w:tmpl w:val="4396333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A7B1A5A"/>
    <w:multiLevelType w:val="hybridMultilevel"/>
    <w:tmpl w:val="7AFC7210"/>
    <w:lvl w:ilvl="0" w:tplc="5FF495F2">
      <w:start w:val="1"/>
      <w:numFmt w:val="lowerLetter"/>
      <w:lvlText w:val="%1)"/>
      <w:lvlJc w:val="left"/>
      <w:pPr>
        <w:ind w:left="1068" w:hanging="360"/>
      </w:pPr>
      <w:rPr>
        <w:rFonts w:hint="default"/>
        <w:b/>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3" w15:restartNumberingAfterBreak="0">
    <w:nsid w:val="7B9C7574"/>
    <w:multiLevelType w:val="hybridMultilevel"/>
    <w:tmpl w:val="6EE82D5C"/>
    <w:lvl w:ilvl="0" w:tplc="7EEA6B86">
      <w:start w:val="1"/>
      <w:numFmt w:val="lowerLetter"/>
      <w:lvlText w:val="%1)"/>
      <w:lvlJc w:val="left"/>
      <w:pPr>
        <w:ind w:left="1068" w:hanging="360"/>
      </w:pPr>
      <w:rPr>
        <w:rFonts w:hint="default"/>
        <w:b/>
        <w:bCs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4" w15:restartNumberingAfterBreak="0">
    <w:nsid w:val="7CC15D72"/>
    <w:multiLevelType w:val="hybridMultilevel"/>
    <w:tmpl w:val="4396333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FC63068"/>
    <w:multiLevelType w:val="hybridMultilevel"/>
    <w:tmpl w:val="4914FCEC"/>
    <w:lvl w:ilvl="0" w:tplc="96C6D39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18823308">
    <w:abstractNumId w:val="1"/>
  </w:num>
  <w:num w:numId="2" w16cid:durableId="1063410631">
    <w:abstractNumId w:val="0"/>
  </w:num>
  <w:num w:numId="3" w16cid:durableId="1368066483">
    <w:abstractNumId w:val="3"/>
  </w:num>
  <w:num w:numId="4" w16cid:durableId="1598252362">
    <w:abstractNumId w:val="86"/>
  </w:num>
  <w:num w:numId="5" w16cid:durableId="1264265058">
    <w:abstractNumId w:val="82"/>
  </w:num>
  <w:num w:numId="6" w16cid:durableId="1775130526">
    <w:abstractNumId w:val="34"/>
  </w:num>
  <w:num w:numId="7" w16cid:durableId="1592154477">
    <w:abstractNumId w:val="41"/>
  </w:num>
  <w:num w:numId="8" w16cid:durableId="316420899">
    <w:abstractNumId w:val="78"/>
  </w:num>
  <w:num w:numId="9" w16cid:durableId="860631876">
    <w:abstractNumId w:val="51"/>
  </w:num>
  <w:num w:numId="10" w16cid:durableId="1097214754">
    <w:abstractNumId w:val="9"/>
  </w:num>
  <w:num w:numId="11" w16cid:durableId="1796019176">
    <w:abstractNumId w:val="65"/>
  </w:num>
  <w:num w:numId="12" w16cid:durableId="1634167516">
    <w:abstractNumId w:val="85"/>
  </w:num>
  <w:num w:numId="13" w16cid:durableId="1065685012">
    <w:abstractNumId w:val="28"/>
  </w:num>
  <w:num w:numId="14" w16cid:durableId="176892182">
    <w:abstractNumId w:val="69"/>
  </w:num>
  <w:num w:numId="15" w16cid:durableId="2059166406">
    <w:abstractNumId w:val="90"/>
  </w:num>
  <w:num w:numId="16" w16cid:durableId="356275655">
    <w:abstractNumId w:val="27"/>
  </w:num>
  <w:num w:numId="17" w16cid:durableId="284311301">
    <w:abstractNumId w:val="4"/>
  </w:num>
  <w:num w:numId="18" w16cid:durableId="775715829">
    <w:abstractNumId w:val="25"/>
  </w:num>
  <w:num w:numId="19" w16cid:durableId="2019035275">
    <w:abstractNumId w:val="57"/>
  </w:num>
  <w:num w:numId="20" w16cid:durableId="1755937727">
    <w:abstractNumId w:val="23"/>
  </w:num>
  <w:num w:numId="21" w16cid:durableId="1504467856">
    <w:abstractNumId w:val="14"/>
  </w:num>
  <w:num w:numId="22" w16cid:durableId="50469519">
    <w:abstractNumId w:val="40"/>
  </w:num>
  <w:num w:numId="23" w16cid:durableId="1876886504">
    <w:abstractNumId w:val="26"/>
  </w:num>
  <w:num w:numId="24" w16cid:durableId="477384836">
    <w:abstractNumId w:val="58"/>
  </w:num>
  <w:num w:numId="25" w16cid:durableId="811947049">
    <w:abstractNumId w:val="16"/>
  </w:num>
  <w:num w:numId="26" w16cid:durableId="889923224">
    <w:abstractNumId w:val="48"/>
  </w:num>
  <w:num w:numId="27" w16cid:durableId="971322146">
    <w:abstractNumId w:val="29"/>
  </w:num>
  <w:num w:numId="28" w16cid:durableId="1508910584">
    <w:abstractNumId w:val="70"/>
  </w:num>
  <w:num w:numId="29" w16cid:durableId="1523131366">
    <w:abstractNumId w:val="62"/>
  </w:num>
  <w:num w:numId="30" w16cid:durableId="1701590709">
    <w:abstractNumId w:val="20"/>
  </w:num>
  <w:num w:numId="31" w16cid:durableId="1479804255">
    <w:abstractNumId w:val="66"/>
  </w:num>
  <w:num w:numId="32" w16cid:durableId="1025908895">
    <w:abstractNumId w:val="89"/>
  </w:num>
  <w:num w:numId="33" w16cid:durableId="1318143587">
    <w:abstractNumId w:val="18"/>
  </w:num>
  <w:num w:numId="34" w16cid:durableId="339936064">
    <w:abstractNumId w:val="37"/>
  </w:num>
  <w:num w:numId="35" w16cid:durableId="1746295020">
    <w:abstractNumId w:val="72"/>
  </w:num>
  <w:num w:numId="36" w16cid:durableId="626204559">
    <w:abstractNumId w:val="49"/>
  </w:num>
  <w:num w:numId="37" w16cid:durableId="1442846523">
    <w:abstractNumId w:val="36"/>
  </w:num>
  <w:num w:numId="38" w16cid:durableId="1805000049">
    <w:abstractNumId w:val="8"/>
  </w:num>
  <w:num w:numId="39" w16cid:durableId="1324045168">
    <w:abstractNumId w:val="81"/>
  </w:num>
  <w:num w:numId="40" w16cid:durableId="933173041">
    <w:abstractNumId w:val="11"/>
  </w:num>
  <w:num w:numId="41" w16cid:durableId="503786466">
    <w:abstractNumId w:val="5"/>
  </w:num>
  <w:num w:numId="42" w16cid:durableId="426539256">
    <w:abstractNumId w:val="77"/>
  </w:num>
  <w:num w:numId="43" w16cid:durableId="962885831">
    <w:abstractNumId w:val="68"/>
  </w:num>
  <w:num w:numId="44" w16cid:durableId="5990243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71753425">
    <w:abstractNumId w:val="44"/>
  </w:num>
  <w:num w:numId="46" w16cid:durableId="846602503">
    <w:abstractNumId w:val="87"/>
  </w:num>
  <w:num w:numId="47" w16cid:durableId="1897815437">
    <w:abstractNumId w:val="47"/>
  </w:num>
  <w:num w:numId="48" w16cid:durableId="1135290607">
    <w:abstractNumId w:val="12"/>
  </w:num>
  <w:num w:numId="49" w16cid:durableId="1441141592">
    <w:abstractNumId w:val="95"/>
  </w:num>
  <w:num w:numId="50" w16cid:durableId="1284776309">
    <w:abstractNumId w:val="6"/>
  </w:num>
  <w:num w:numId="51" w16cid:durableId="1395549332">
    <w:abstractNumId w:val="46"/>
  </w:num>
  <w:num w:numId="52" w16cid:durableId="855851057">
    <w:abstractNumId w:val="94"/>
  </w:num>
  <w:num w:numId="53" w16cid:durableId="2054844719">
    <w:abstractNumId w:val="35"/>
  </w:num>
  <w:num w:numId="54" w16cid:durableId="1619333100">
    <w:abstractNumId w:val="92"/>
  </w:num>
  <w:num w:numId="55" w16cid:durableId="86511724">
    <w:abstractNumId w:val="17"/>
  </w:num>
  <w:num w:numId="56" w16cid:durableId="1863930809">
    <w:abstractNumId w:val="60"/>
  </w:num>
  <w:num w:numId="57" w16cid:durableId="1516191736">
    <w:abstractNumId w:val="24"/>
  </w:num>
  <w:num w:numId="58" w16cid:durableId="1539850646">
    <w:abstractNumId w:val="7"/>
  </w:num>
  <w:num w:numId="59" w16cid:durableId="860582583">
    <w:abstractNumId w:val="80"/>
  </w:num>
  <w:num w:numId="60" w16cid:durableId="365983798">
    <w:abstractNumId w:val="84"/>
  </w:num>
  <w:num w:numId="61" w16cid:durableId="2060084980">
    <w:abstractNumId w:val="71"/>
  </w:num>
  <w:num w:numId="62" w16cid:durableId="106320229">
    <w:abstractNumId w:val="32"/>
  </w:num>
  <w:num w:numId="63" w16cid:durableId="151665412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13585684">
    <w:abstractNumId w:val="77"/>
  </w:num>
  <w:num w:numId="65" w16cid:durableId="1473451142">
    <w:abstractNumId w:val="42"/>
  </w:num>
  <w:num w:numId="66" w16cid:durableId="1588885369">
    <w:abstractNumId w:val="50"/>
  </w:num>
  <w:num w:numId="67" w16cid:durableId="953709599">
    <w:abstractNumId w:val="31"/>
  </w:num>
  <w:num w:numId="68" w16cid:durableId="1503084811">
    <w:abstractNumId w:val="22"/>
  </w:num>
  <w:num w:numId="69" w16cid:durableId="233052959">
    <w:abstractNumId w:val="91"/>
  </w:num>
  <w:num w:numId="70" w16cid:durableId="1964923824">
    <w:abstractNumId w:val="13"/>
  </w:num>
  <w:num w:numId="71" w16cid:durableId="462961506">
    <w:abstractNumId w:val="79"/>
  </w:num>
  <w:num w:numId="72" w16cid:durableId="375862652">
    <w:abstractNumId w:val="83"/>
  </w:num>
  <w:num w:numId="73" w16cid:durableId="1457210881">
    <w:abstractNumId w:val="63"/>
  </w:num>
  <w:num w:numId="74" w16cid:durableId="863399729">
    <w:abstractNumId w:val="38"/>
  </w:num>
  <w:num w:numId="75" w16cid:durableId="454762651">
    <w:abstractNumId w:val="76"/>
  </w:num>
  <w:num w:numId="76" w16cid:durableId="936063901">
    <w:abstractNumId w:val="55"/>
  </w:num>
  <w:num w:numId="77" w16cid:durableId="804087353">
    <w:abstractNumId w:val="21"/>
  </w:num>
  <w:num w:numId="78" w16cid:durableId="1459302680">
    <w:abstractNumId w:val="67"/>
  </w:num>
  <w:num w:numId="79" w16cid:durableId="442118560">
    <w:abstractNumId w:val="64"/>
  </w:num>
  <w:num w:numId="80" w16cid:durableId="274561890">
    <w:abstractNumId w:val="10"/>
  </w:num>
  <w:num w:numId="81" w16cid:durableId="926303409">
    <w:abstractNumId w:val="93"/>
  </w:num>
  <w:num w:numId="82" w16cid:durableId="1581674855">
    <w:abstractNumId w:val="52"/>
  </w:num>
  <w:num w:numId="83" w16cid:durableId="2054038667">
    <w:abstractNumId w:val="61"/>
  </w:num>
  <w:num w:numId="84" w16cid:durableId="371535214">
    <w:abstractNumId w:val="45"/>
  </w:num>
  <w:num w:numId="85" w16cid:durableId="534269958">
    <w:abstractNumId w:val="43"/>
  </w:num>
  <w:num w:numId="86" w16cid:durableId="2011593439">
    <w:abstractNumId w:val="54"/>
  </w:num>
  <w:num w:numId="87" w16cid:durableId="394817836">
    <w:abstractNumId w:val="30"/>
  </w:num>
  <w:num w:numId="88" w16cid:durableId="1130976446">
    <w:abstractNumId w:val="53"/>
  </w:num>
  <w:num w:numId="89" w16cid:durableId="2003270450">
    <w:abstractNumId w:val="59"/>
  </w:num>
  <w:num w:numId="90" w16cid:durableId="6404265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16474074">
    <w:abstractNumId w:val="2"/>
  </w:num>
  <w:num w:numId="92" w16cid:durableId="860702757">
    <w:abstractNumId w:val="19"/>
  </w:num>
  <w:num w:numId="93" w16cid:durableId="297928071">
    <w:abstractNumId w:val="56"/>
  </w:num>
  <w:num w:numId="94" w16cid:durableId="1316492081">
    <w:abstractNumId w:val="74"/>
  </w:num>
  <w:num w:numId="95" w16cid:durableId="327752144">
    <w:abstractNumId w:val="88"/>
  </w:num>
  <w:num w:numId="96" w16cid:durableId="1254313405">
    <w:abstractNumId w:val="33"/>
  </w:num>
  <w:num w:numId="97" w16cid:durableId="1860506965">
    <w:abstractNumId w:val="73"/>
  </w:num>
  <w:num w:numId="98" w16cid:durableId="1979143890">
    <w:abstractNumId w:val="39"/>
  </w:num>
  <w:num w:numId="99" w16cid:durableId="646589246">
    <w:abstractNumId w:val="7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pos w:val="beneathText"/>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7D0"/>
    <w:rsid w:val="00000077"/>
    <w:rsid w:val="00000382"/>
    <w:rsid w:val="0000052E"/>
    <w:rsid w:val="00000586"/>
    <w:rsid w:val="000009FA"/>
    <w:rsid w:val="00000DE3"/>
    <w:rsid w:val="000010EF"/>
    <w:rsid w:val="0000112F"/>
    <w:rsid w:val="000018C3"/>
    <w:rsid w:val="00001912"/>
    <w:rsid w:val="00001BF8"/>
    <w:rsid w:val="00002075"/>
    <w:rsid w:val="000023F3"/>
    <w:rsid w:val="00002972"/>
    <w:rsid w:val="00002BD8"/>
    <w:rsid w:val="00002D57"/>
    <w:rsid w:val="00003161"/>
    <w:rsid w:val="00004026"/>
    <w:rsid w:val="00004089"/>
    <w:rsid w:val="0000408F"/>
    <w:rsid w:val="00004140"/>
    <w:rsid w:val="000045B8"/>
    <w:rsid w:val="00004748"/>
    <w:rsid w:val="00004757"/>
    <w:rsid w:val="00004EA2"/>
    <w:rsid w:val="000051E0"/>
    <w:rsid w:val="0000527F"/>
    <w:rsid w:val="00005727"/>
    <w:rsid w:val="000061BF"/>
    <w:rsid w:val="000061DD"/>
    <w:rsid w:val="000063A4"/>
    <w:rsid w:val="00006750"/>
    <w:rsid w:val="000069C8"/>
    <w:rsid w:val="00007255"/>
    <w:rsid w:val="000079E9"/>
    <w:rsid w:val="00007C41"/>
    <w:rsid w:val="00007DD2"/>
    <w:rsid w:val="000100EA"/>
    <w:rsid w:val="00010693"/>
    <w:rsid w:val="000111CC"/>
    <w:rsid w:val="00011764"/>
    <w:rsid w:val="0001233C"/>
    <w:rsid w:val="00012DBE"/>
    <w:rsid w:val="00012E15"/>
    <w:rsid w:val="00013190"/>
    <w:rsid w:val="00013277"/>
    <w:rsid w:val="00013387"/>
    <w:rsid w:val="000134E6"/>
    <w:rsid w:val="0001369A"/>
    <w:rsid w:val="000138A6"/>
    <w:rsid w:val="00013A30"/>
    <w:rsid w:val="00013D2B"/>
    <w:rsid w:val="00013E53"/>
    <w:rsid w:val="00013F15"/>
    <w:rsid w:val="00014348"/>
    <w:rsid w:val="0001485A"/>
    <w:rsid w:val="00014895"/>
    <w:rsid w:val="00014989"/>
    <w:rsid w:val="00014EE5"/>
    <w:rsid w:val="000153DA"/>
    <w:rsid w:val="000154FF"/>
    <w:rsid w:val="000163F4"/>
    <w:rsid w:val="00016BD0"/>
    <w:rsid w:val="00016CEF"/>
    <w:rsid w:val="00016EAE"/>
    <w:rsid w:val="0001709A"/>
    <w:rsid w:val="000170EA"/>
    <w:rsid w:val="0001720F"/>
    <w:rsid w:val="00017219"/>
    <w:rsid w:val="00017588"/>
    <w:rsid w:val="00017D0F"/>
    <w:rsid w:val="000203DA"/>
    <w:rsid w:val="00020655"/>
    <w:rsid w:val="00020878"/>
    <w:rsid w:val="00020B80"/>
    <w:rsid w:val="00020CA4"/>
    <w:rsid w:val="00021360"/>
    <w:rsid w:val="00021537"/>
    <w:rsid w:val="00021919"/>
    <w:rsid w:val="00021E8C"/>
    <w:rsid w:val="00022BCC"/>
    <w:rsid w:val="0002303B"/>
    <w:rsid w:val="000235E3"/>
    <w:rsid w:val="00023733"/>
    <w:rsid w:val="00023CE0"/>
    <w:rsid w:val="00023D39"/>
    <w:rsid w:val="000245C6"/>
    <w:rsid w:val="000246AD"/>
    <w:rsid w:val="00025069"/>
    <w:rsid w:val="000253E2"/>
    <w:rsid w:val="000253F4"/>
    <w:rsid w:val="00025580"/>
    <w:rsid w:val="000259AD"/>
    <w:rsid w:val="00025FAC"/>
    <w:rsid w:val="00026570"/>
    <w:rsid w:val="00026D98"/>
    <w:rsid w:val="00027E37"/>
    <w:rsid w:val="00030004"/>
    <w:rsid w:val="00030182"/>
    <w:rsid w:val="0003082D"/>
    <w:rsid w:val="00030A87"/>
    <w:rsid w:val="00030B29"/>
    <w:rsid w:val="00031106"/>
    <w:rsid w:val="000312B8"/>
    <w:rsid w:val="0003132E"/>
    <w:rsid w:val="0003175C"/>
    <w:rsid w:val="000318C7"/>
    <w:rsid w:val="00031DD9"/>
    <w:rsid w:val="00031ECE"/>
    <w:rsid w:val="000323DD"/>
    <w:rsid w:val="00032D70"/>
    <w:rsid w:val="00032E93"/>
    <w:rsid w:val="00032EEE"/>
    <w:rsid w:val="000330C5"/>
    <w:rsid w:val="00033718"/>
    <w:rsid w:val="00033AA5"/>
    <w:rsid w:val="00033BF5"/>
    <w:rsid w:val="00033C18"/>
    <w:rsid w:val="00033F83"/>
    <w:rsid w:val="00034515"/>
    <w:rsid w:val="000346CF"/>
    <w:rsid w:val="000348F8"/>
    <w:rsid w:val="0003501D"/>
    <w:rsid w:val="000350B8"/>
    <w:rsid w:val="000354CB"/>
    <w:rsid w:val="00035855"/>
    <w:rsid w:val="000358AC"/>
    <w:rsid w:val="00035A74"/>
    <w:rsid w:val="00035AB1"/>
    <w:rsid w:val="000360CF"/>
    <w:rsid w:val="00036257"/>
    <w:rsid w:val="000365D7"/>
    <w:rsid w:val="00036D0E"/>
    <w:rsid w:val="00036E03"/>
    <w:rsid w:val="00036F03"/>
    <w:rsid w:val="00037084"/>
    <w:rsid w:val="00037172"/>
    <w:rsid w:val="00037258"/>
    <w:rsid w:val="000374AA"/>
    <w:rsid w:val="000378C9"/>
    <w:rsid w:val="00037C57"/>
    <w:rsid w:val="00037CED"/>
    <w:rsid w:val="0004003B"/>
    <w:rsid w:val="00040256"/>
    <w:rsid w:val="00040606"/>
    <w:rsid w:val="00041958"/>
    <w:rsid w:val="0004195B"/>
    <w:rsid w:val="00041FB3"/>
    <w:rsid w:val="0004223C"/>
    <w:rsid w:val="00042990"/>
    <w:rsid w:val="00042B38"/>
    <w:rsid w:val="00042C3F"/>
    <w:rsid w:val="00042CB9"/>
    <w:rsid w:val="000435E9"/>
    <w:rsid w:val="0004396B"/>
    <w:rsid w:val="000440ED"/>
    <w:rsid w:val="000442E9"/>
    <w:rsid w:val="00044310"/>
    <w:rsid w:val="00044C38"/>
    <w:rsid w:val="000457C0"/>
    <w:rsid w:val="00045BDD"/>
    <w:rsid w:val="00046716"/>
    <w:rsid w:val="00046E77"/>
    <w:rsid w:val="00046ED3"/>
    <w:rsid w:val="00047089"/>
    <w:rsid w:val="000470CD"/>
    <w:rsid w:val="0004721A"/>
    <w:rsid w:val="0004762A"/>
    <w:rsid w:val="00047ABA"/>
    <w:rsid w:val="00050267"/>
    <w:rsid w:val="0005034A"/>
    <w:rsid w:val="0005035E"/>
    <w:rsid w:val="00050744"/>
    <w:rsid w:val="0005076C"/>
    <w:rsid w:val="00050B0F"/>
    <w:rsid w:val="00050CD6"/>
    <w:rsid w:val="00051177"/>
    <w:rsid w:val="000512D1"/>
    <w:rsid w:val="000515AD"/>
    <w:rsid w:val="00051FD1"/>
    <w:rsid w:val="00052157"/>
    <w:rsid w:val="00052891"/>
    <w:rsid w:val="000528FE"/>
    <w:rsid w:val="00052941"/>
    <w:rsid w:val="000530C4"/>
    <w:rsid w:val="0005386D"/>
    <w:rsid w:val="00054000"/>
    <w:rsid w:val="00054773"/>
    <w:rsid w:val="00055513"/>
    <w:rsid w:val="00055B20"/>
    <w:rsid w:val="00055D81"/>
    <w:rsid w:val="00055DAF"/>
    <w:rsid w:val="00055EB0"/>
    <w:rsid w:val="0005635F"/>
    <w:rsid w:val="00056932"/>
    <w:rsid w:val="00056BB2"/>
    <w:rsid w:val="0005720C"/>
    <w:rsid w:val="00060684"/>
    <w:rsid w:val="00060EA5"/>
    <w:rsid w:val="00060F01"/>
    <w:rsid w:val="000610AD"/>
    <w:rsid w:val="00061223"/>
    <w:rsid w:val="000618D6"/>
    <w:rsid w:val="000621EA"/>
    <w:rsid w:val="0006290A"/>
    <w:rsid w:val="00062A07"/>
    <w:rsid w:val="00062A81"/>
    <w:rsid w:val="00063620"/>
    <w:rsid w:val="00063CD9"/>
    <w:rsid w:val="00064037"/>
    <w:rsid w:val="00064246"/>
    <w:rsid w:val="0006442B"/>
    <w:rsid w:val="00064C68"/>
    <w:rsid w:val="00064D13"/>
    <w:rsid w:val="000651CF"/>
    <w:rsid w:val="00065B35"/>
    <w:rsid w:val="00065CAB"/>
    <w:rsid w:val="00065D3E"/>
    <w:rsid w:val="0006615F"/>
    <w:rsid w:val="0006627E"/>
    <w:rsid w:val="00066309"/>
    <w:rsid w:val="00066548"/>
    <w:rsid w:val="00066A85"/>
    <w:rsid w:val="00066C8D"/>
    <w:rsid w:val="00067505"/>
    <w:rsid w:val="0006764A"/>
    <w:rsid w:val="00067895"/>
    <w:rsid w:val="00067B5B"/>
    <w:rsid w:val="00067B91"/>
    <w:rsid w:val="00070165"/>
    <w:rsid w:val="00070A4C"/>
    <w:rsid w:val="0007142D"/>
    <w:rsid w:val="0007176D"/>
    <w:rsid w:val="000717BC"/>
    <w:rsid w:val="00071878"/>
    <w:rsid w:val="00071DA9"/>
    <w:rsid w:val="00072101"/>
    <w:rsid w:val="00072253"/>
    <w:rsid w:val="00072834"/>
    <w:rsid w:val="000728B5"/>
    <w:rsid w:val="0007291B"/>
    <w:rsid w:val="00072DC6"/>
    <w:rsid w:val="00073545"/>
    <w:rsid w:val="00073CE1"/>
    <w:rsid w:val="00074402"/>
    <w:rsid w:val="00074774"/>
    <w:rsid w:val="000751C6"/>
    <w:rsid w:val="0007521C"/>
    <w:rsid w:val="00075690"/>
    <w:rsid w:val="00075C0F"/>
    <w:rsid w:val="000763D0"/>
    <w:rsid w:val="00076ACC"/>
    <w:rsid w:val="00076ACE"/>
    <w:rsid w:val="00076B37"/>
    <w:rsid w:val="0007702A"/>
    <w:rsid w:val="00077039"/>
    <w:rsid w:val="000771F5"/>
    <w:rsid w:val="00077318"/>
    <w:rsid w:val="00077393"/>
    <w:rsid w:val="000778D6"/>
    <w:rsid w:val="0007796D"/>
    <w:rsid w:val="00077D3D"/>
    <w:rsid w:val="00077F7E"/>
    <w:rsid w:val="000801EE"/>
    <w:rsid w:val="000803DC"/>
    <w:rsid w:val="000819DE"/>
    <w:rsid w:val="00081FFF"/>
    <w:rsid w:val="000820AB"/>
    <w:rsid w:val="000822B4"/>
    <w:rsid w:val="00082882"/>
    <w:rsid w:val="00082D95"/>
    <w:rsid w:val="000835A7"/>
    <w:rsid w:val="00083693"/>
    <w:rsid w:val="00083BAB"/>
    <w:rsid w:val="00084029"/>
    <w:rsid w:val="00084181"/>
    <w:rsid w:val="0008481B"/>
    <w:rsid w:val="00084968"/>
    <w:rsid w:val="00084B0D"/>
    <w:rsid w:val="00084DFE"/>
    <w:rsid w:val="00084E2A"/>
    <w:rsid w:val="000856C1"/>
    <w:rsid w:val="00085C41"/>
    <w:rsid w:val="00085EE6"/>
    <w:rsid w:val="000863BC"/>
    <w:rsid w:val="0008659D"/>
    <w:rsid w:val="00086A4F"/>
    <w:rsid w:val="00086C4A"/>
    <w:rsid w:val="00086CE0"/>
    <w:rsid w:val="00086E37"/>
    <w:rsid w:val="0008711C"/>
    <w:rsid w:val="000901E8"/>
    <w:rsid w:val="0009033B"/>
    <w:rsid w:val="000907C5"/>
    <w:rsid w:val="00090B60"/>
    <w:rsid w:val="00090DD0"/>
    <w:rsid w:val="0009114F"/>
    <w:rsid w:val="0009116B"/>
    <w:rsid w:val="0009127F"/>
    <w:rsid w:val="000914B5"/>
    <w:rsid w:val="00091A9B"/>
    <w:rsid w:val="00091BB2"/>
    <w:rsid w:val="00091CED"/>
    <w:rsid w:val="00091D53"/>
    <w:rsid w:val="00092151"/>
    <w:rsid w:val="000925B5"/>
    <w:rsid w:val="00092A21"/>
    <w:rsid w:val="00092C7D"/>
    <w:rsid w:val="00093297"/>
    <w:rsid w:val="000933F1"/>
    <w:rsid w:val="0009349F"/>
    <w:rsid w:val="00093696"/>
    <w:rsid w:val="0009387D"/>
    <w:rsid w:val="000938F4"/>
    <w:rsid w:val="00093CBC"/>
    <w:rsid w:val="00094102"/>
    <w:rsid w:val="0009496F"/>
    <w:rsid w:val="000949F0"/>
    <w:rsid w:val="000949FA"/>
    <w:rsid w:val="0009562F"/>
    <w:rsid w:val="000957CB"/>
    <w:rsid w:val="000959BB"/>
    <w:rsid w:val="00095AC4"/>
    <w:rsid w:val="00095BAD"/>
    <w:rsid w:val="00095CFA"/>
    <w:rsid w:val="00095E06"/>
    <w:rsid w:val="00095E21"/>
    <w:rsid w:val="0009633F"/>
    <w:rsid w:val="00096393"/>
    <w:rsid w:val="000963B8"/>
    <w:rsid w:val="0009651D"/>
    <w:rsid w:val="00096649"/>
    <w:rsid w:val="00096829"/>
    <w:rsid w:val="00096DA4"/>
    <w:rsid w:val="00096F58"/>
    <w:rsid w:val="00097391"/>
    <w:rsid w:val="00097DF8"/>
    <w:rsid w:val="000A0157"/>
    <w:rsid w:val="000A02A7"/>
    <w:rsid w:val="000A031A"/>
    <w:rsid w:val="000A038D"/>
    <w:rsid w:val="000A0845"/>
    <w:rsid w:val="000A08B2"/>
    <w:rsid w:val="000A0B61"/>
    <w:rsid w:val="000A12F9"/>
    <w:rsid w:val="000A1A9F"/>
    <w:rsid w:val="000A255E"/>
    <w:rsid w:val="000A274F"/>
    <w:rsid w:val="000A341A"/>
    <w:rsid w:val="000A3ACD"/>
    <w:rsid w:val="000A3FFA"/>
    <w:rsid w:val="000A403D"/>
    <w:rsid w:val="000A45D9"/>
    <w:rsid w:val="000A4FA2"/>
    <w:rsid w:val="000A4FB8"/>
    <w:rsid w:val="000A54C5"/>
    <w:rsid w:val="000A5518"/>
    <w:rsid w:val="000A5527"/>
    <w:rsid w:val="000A57ED"/>
    <w:rsid w:val="000A59C8"/>
    <w:rsid w:val="000A5C63"/>
    <w:rsid w:val="000A5C65"/>
    <w:rsid w:val="000A71D7"/>
    <w:rsid w:val="000A7498"/>
    <w:rsid w:val="000A7908"/>
    <w:rsid w:val="000B0813"/>
    <w:rsid w:val="000B0A11"/>
    <w:rsid w:val="000B0CCE"/>
    <w:rsid w:val="000B1232"/>
    <w:rsid w:val="000B13DD"/>
    <w:rsid w:val="000B1622"/>
    <w:rsid w:val="000B1B93"/>
    <w:rsid w:val="000B1EE4"/>
    <w:rsid w:val="000B1F09"/>
    <w:rsid w:val="000B1FB3"/>
    <w:rsid w:val="000B20B5"/>
    <w:rsid w:val="000B21EF"/>
    <w:rsid w:val="000B32C8"/>
    <w:rsid w:val="000B38C7"/>
    <w:rsid w:val="000B3957"/>
    <w:rsid w:val="000B3D97"/>
    <w:rsid w:val="000B41F6"/>
    <w:rsid w:val="000B4474"/>
    <w:rsid w:val="000B4668"/>
    <w:rsid w:val="000B4EED"/>
    <w:rsid w:val="000B5568"/>
    <w:rsid w:val="000B599F"/>
    <w:rsid w:val="000B5C2B"/>
    <w:rsid w:val="000B65CD"/>
    <w:rsid w:val="000B702F"/>
    <w:rsid w:val="000B70BB"/>
    <w:rsid w:val="000B76A1"/>
    <w:rsid w:val="000B7AD2"/>
    <w:rsid w:val="000C05D4"/>
    <w:rsid w:val="000C0B30"/>
    <w:rsid w:val="000C117B"/>
    <w:rsid w:val="000C11AE"/>
    <w:rsid w:val="000C12F2"/>
    <w:rsid w:val="000C16A1"/>
    <w:rsid w:val="000C16DF"/>
    <w:rsid w:val="000C178C"/>
    <w:rsid w:val="000C1823"/>
    <w:rsid w:val="000C19E0"/>
    <w:rsid w:val="000C1BE1"/>
    <w:rsid w:val="000C1EA0"/>
    <w:rsid w:val="000C20B3"/>
    <w:rsid w:val="000C32D7"/>
    <w:rsid w:val="000C33B7"/>
    <w:rsid w:val="000C3B63"/>
    <w:rsid w:val="000C3C22"/>
    <w:rsid w:val="000C40AB"/>
    <w:rsid w:val="000C47FA"/>
    <w:rsid w:val="000C4CDA"/>
    <w:rsid w:val="000C5012"/>
    <w:rsid w:val="000C5236"/>
    <w:rsid w:val="000C529E"/>
    <w:rsid w:val="000C5370"/>
    <w:rsid w:val="000C5AFF"/>
    <w:rsid w:val="000C6AA9"/>
    <w:rsid w:val="000C6D9E"/>
    <w:rsid w:val="000C6E27"/>
    <w:rsid w:val="000C6E60"/>
    <w:rsid w:val="000C6EF7"/>
    <w:rsid w:val="000C7E2D"/>
    <w:rsid w:val="000C7EB6"/>
    <w:rsid w:val="000D016F"/>
    <w:rsid w:val="000D0552"/>
    <w:rsid w:val="000D06C9"/>
    <w:rsid w:val="000D06CD"/>
    <w:rsid w:val="000D0C01"/>
    <w:rsid w:val="000D0DA2"/>
    <w:rsid w:val="000D0EAE"/>
    <w:rsid w:val="000D1160"/>
    <w:rsid w:val="000D11AE"/>
    <w:rsid w:val="000D11FF"/>
    <w:rsid w:val="000D148D"/>
    <w:rsid w:val="000D1744"/>
    <w:rsid w:val="000D1AEC"/>
    <w:rsid w:val="000D2030"/>
    <w:rsid w:val="000D24C8"/>
    <w:rsid w:val="000D3338"/>
    <w:rsid w:val="000D34EF"/>
    <w:rsid w:val="000D37D0"/>
    <w:rsid w:val="000D3958"/>
    <w:rsid w:val="000D42E3"/>
    <w:rsid w:val="000D451A"/>
    <w:rsid w:val="000D454E"/>
    <w:rsid w:val="000D47ED"/>
    <w:rsid w:val="000D4890"/>
    <w:rsid w:val="000D4B5E"/>
    <w:rsid w:val="000D5224"/>
    <w:rsid w:val="000D56D8"/>
    <w:rsid w:val="000D587B"/>
    <w:rsid w:val="000D5FAC"/>
    <w:rsid w:val="000D62E7"/>
    <w:rsid w:val="000D67C6"/>
    <w:rsid w:val="000D67C8"/>
    <w:rsid w:val="000D6B03"/>
    <w:rsid w:val="000D6C19"/>
    <w:rsid w:val="000D7347"/>
    <w:rsid w:val="000D7872"/>
    <w:rsid w:val="000D7879"/>
    <w:rsid w:val="000D79AD"/>
    <w:rsid w:val="000D7E11"/>
    <w:rsid w:val="000E0C42"/>
    <w:rsid w:val="000E299F"/>
    <w:rsid w:val="000E2CF7"/>
    <w:rsid w:val="000E2D28"/>
    <w:rsid w:val="000E2FB8"/>
    <w:rsid w:val="000E3375"/>
    <w:rsid w:val="000E3444"/>
    <w:rsid w:val="000E368C"/>
    <w:rsid w:val="000E3712"/>
    <w:rsid w:val="000E3736"/>
    <w:rsid w:val="000E424F"/>
    <w:rsid w:val="000E4AA9"/>
    <w:rsid w:val="000E4BB8"/>
    <w:rsid w:val="000E4D60"/>
    <w:rsid w:val="000E4D9F"/>
    <w:rsid w:val="000E5098"/>
    <w:rsid w:val="000E5CA9"/>
    <w:rsid w:val="000E6585"/>
    <w:rsid w:val="000E65E0"/>
    <w:rsid w:val="000E6687"/>
    <w:rsid w:val="000E6B15"/>
    <w:rsid w:val="000E6BA2"/>
    <w:rsid w:val="000E6C12"/>
    <w:rsid w:val="000E7B4A"/>
    <w:rsid w:val="000E7EE1"/>
    <w:rsid w:val="000F0371"/>
    <w:rsid w:val="000F0B89"/>
    <w:rsid w:val="000F0C86"/>
    <w:rsid w:val="000F1393"/>
    <w:rsid w:val="000F1974"/>
    <w:rsid w:val="000F19CD"/>
    <w:rsid w:val="000F2403"/>
    <w:rsid w:val="000F2476"/>
    <w:rsid w:val="000F2934"/>
    <w:rsid w:val="000F2BE5"/>
    <w:rsid w:val="000F2D6C"/>
    <w:rsid w:val="000F2F7F"/>
    <w:rsid w:val="000F3114"/>
    <w:rsid w:val="000F3192"/>
    <w:rsid w:val="000F337D"/>
    <w:rsid w:val="000F3765"/>
    <w:rsid w:val="000F3DCE"/>
    <w:rsid w:val="000F41A0"/>
    <w:rsid w:val="000F43B8"/>
    <w:rsid w:val="000F4B2B"/>
    <w:rsid w:val="000F5219"/>
    <w:rsid w:val="000F54D6"/>
    <w:rsid w:val="000F569E"/>
    <w:rsid w:val="000F604D"/>
    <w:rsid w:val="000F69E4"/>
    <w:rsid w:val="000F6A7A"/>
    <w:rsid w:val="000F6C23"/>
    <w:rsid w:val="000F6D56"/>
    <w:rsid w:val="000F7300"/>
    <w:rsid w:val="000F7938"/>
    <w:rsid w:val="00100D50"/>
    <w:rsid w:val="00100EA2"/>
    <w:rsid w:val="0010140E"/>
    <w:rsid w:val="0010178D"/>
    <w:rsid w:val="00101A6C"/>
    <w:rsid w:val="00101B20"/>
    <w:rsid w:val="00101CC8"/>
    <w:rsid w:val="00101DCC"/>
    <w:rsid w:val="00101DD0"/>
    <w:rsid w:val="001025BF"/>
    <w:rsid w:val="0010387D"/>
    <w:rsid w:val="00103BA3"/>
    <w:rsid w:val="00103C2B"/>
    <w:rsid w:val="00103C9B"/>
    <w:rsid w:val="0010408D"/>
    <w:rsid w:val="001040DC"/>
    <w:rsid w:val="00104189"/>
    <w:rsid w:val="001043A1"/>
    <w:rsid w:val="00104E76"/>
    <w:rsid w:val="00104E8E"/>
    <w:rsid w:val="001051E9"/>
    <w:rsid w:val="00105243"/>
    <w:rsid w:val="00105572"/>
    <w:rsid w:val="001055E5"/>
    <w:rsid w:val="001058C4"/>
    <w:rsid w:val="00105B1F"/>
    <w:rsid w:val="00105B53"/>
    <w:rsid w:val="00105BC7"/>
    <w:rsid w:val="00105D69"/>
    <w:rsid w:val="00106197"/>
    <w:rsid w:val="001067C5"/>
    <w:rsid w:val="00106B90"/>
    <w:rsid w:val="00106F77"/>
    <w:rsid w:val="00106FFD"/>
    <w:rsid w:val="0010703F"/>
    <w:rsid w:val="00107908"/>
    <w:rsid w:val="001079D5"/>
    <w:rsid w:val="00107C1C"/>
    <w:rsid w:val="00107F57"/>
    <w:rsid w:val="001101EA"/>
    <w:rsid w:val="001107A2"/>
    <w:rsid w:val="001108E4"/>
    <w:rsid w:val="00110CD2"/>
    <w:rsid w:val="00110FBC"/>
    <w:rsid w:val="00111459"/>
    <w:rsid w:val="001118CC"/>
    <w:rsid w:val="00111940"/>
    <w:rsid w:val="00111E96"/>
    <w:rsid w:val="00111ED1"/>
    <w:rsid w:val="00112338"/>
    <w:rsid w:val="00113124"/>
    <w:rsid w:val="00113D9C"/>
    <w:rsid w:val="00113E81"/>
    <w:rsid w:val="0011453E"/>
    <w:rsid w:val="001148A9"/>
    <w:rsid w:val="00114A14"/>
    <w:rsid w:val="00114A9E"/>
    <w:rsid w:val="00114D26"/>
    <w:rsid w:val="0011503D"/>
    <w:rsid w:val="001151CE"/>
    <w:rsid w:val="00115487"/>
    <w:rsid w:val="00115D6B"/>
    <w:rsid w:val="00115F57"/>
    <w:rsid w:val="00115F88"/>
    <w:rsid w:val="001160D4"/>
    <w:rsid w:val="001163DE"/>
    <w:rsid w:val="00116488"/>
    <w:rsid w:val="00116AB3"/>
    <w:rsid w:val="00116D91"/>
    <w:rsid w:val="00117276"/>
    <w:rsid w:val="00117784"/>
    <w:rsid w:val="00117BC9"/>
    <w:rsid w:val="00117EF3"/>
    <w:rsid w:val="0012024E"/>
    <w:rsid w:val="0012046E"/>
    <w:rsid w:val="001208C5"/>
    <w:rsid w:val="00120BEB"/>
    <w:rsid w:val="0012168C"/>
    <w:rsid w:val="00121931"/>
    <w:rsid w:val="00121C09"/>
    <w:rsid w:val="0012216C"/>
    <w:rsid w:val="0012242F"/>
    <w:rsid w:val="00122C56"/>
    <w:rsid w:val="00122DAD"/>
    <w:rsid w:val="00122F73"/>
    <w:rsid w:val="0012318A"/>
    <w:rsid w:val="00123599"/>
    <w:rsid w:val="00123A3D"/>
    <w:rsid w:val="00124298"/>
    <w:rsid w:val="00124393"/>
    <w:rsid w:val="001243F6"/>
    <w:rsid w:val="00124536"/>
    <w:rsid w:val="00124743"/>
    <w:rsid w:val="00124F93"/>
    <w:rsid w:val="00125650"/>
    <w:rsid w:val="00125A89"/>
    <w:rsid w:val="00125AEC"/>
    <w:rsid w:val="00126030"/>
    <w:rsid w:val="001267D6"/>
    <w:rsid w:val="00126BD5"/>
    <w:rsid w:val="00126EE6"/>
    <w:rsid w:val="00127016"/>
    <w:rsid w:val="001270AF"/>
    <w:rsid w:val="00127545"/>
    <w:rsid w:val="0013080F"/>
    <w:rsid w:val="00131754"/>
    <w:rsid w:val="001317DB"/>
    <w:rsid w:val="0013182F"/>
    <w:rsid w:val="00131B7D"/>
    <w:rsid w:val="001322D6"/>
    <w:rsid w:val="001324EE"/>
    <w:rsid w:val="001326D7"/>
    <w:rsid w:val="001326DD"/>
    <w:rsid w:val="00132ED1"/>
    <w:rsid w:val="00132FAE"/>
    <w:rsid w:val="00132FC8"/>
    <w:rsid w:val="0013322B"/>
    <w:rsid w:val="001335ED"/>
    <w:rsid w:val="001339D7"/>
    <w:rsid w:val="00133B77"/>
    <w:rsid w:val="00133E37"/>
    <w:rsid w:val="001342EF"/>
    <w:rsid w:val="00134E9D"/>
    <w:rsid w:val="00135490"/>
    <w:rsid w:val="00135A3A"/>
    <w:rsid w:val="00135DFD"/>
    <w:rsid w:val="00135E64"/>
    <w:rsid w:val="00136653"/>
    <w:rsid w:val="00136A14"/>
    <w:rsid w:val="00136CE3"/>
    <w:rsid w:val="00137F22"/>
    <w:rsid w:val="00137F83"/>
    <w:rsid w:val="00140251"/>
    <w:rsid w:val="001403B3"/>
    <w:rsid w:val="00140474"/>
    <w:rsid w:val="00140569"/>
    <w:rsid w:val="001407CA"/>
    <w:rsid w:val="00140964"/>
    <w:rsid w:val="00141553"/>
    <w:rsid w:val="00141B42"/>
    <w:rsid w:val="00141BD1"/>
    <w:rsid w:val="00141D15"/>
    <w:rsid w:val="00141DAE"/>
    <w:rsid w:val="00142969"/>
    <w:rsid w:val="00142FA3"/>
    <w:rsid w:val="00143640"/>
    <w:rsid w:val="0014373A"/>
    <w:rsid w:val="00143BED"/>
    <w:rsid w:val="00143CA6"/>
    <w:rsid w:val="00143DC0"/>
    <w:rsid w:val="00143EE3"/>
    <w:rsid w:val="00144145"/>
    <w:rsid w:val="001441CF"/>
    <w:rsid w:val="0014433E"/>
    <w:rsid w:val="00144531"/>
    <w:rsid w:val="00144545"/>
    <w:rsid w:val="001450AD"/>
    <w:rsid w:val="001458B9"/>
    <w:rsid w:val="00145D71"/>
    <w:rsid w:val="001461A8"/>
    <w:rsid w:val="001467B8"/>
    <w:rsid w:val="00146BC7"/>
    <w:rsid w:val="00146BF7"/>
    <w:rsid w:val="001470B0"/>
    <w:rsid w:val="00147331"/>
    <w:rsid w:val="0014756F"/>
    <w:rsid w:val="0014779C"/>
    <w:rsid w:val="0014797E"/>
    <w:rsid w:val="00147D56"/>
    <w:rsid w:val="00147EAA"/>
    <w:rsid w:val="00147F6B"/>
    <w:rsid w:val="00150135"/>
    <w:rsid w:val="00150142"/>
    <w:rsid w:val="00150228"/>
    <w:rsid w:val="00150443"/>
    <w:rsid w:val="00150CF0"/>
    <w:rsid w:val="001518F4"/>
    <w:rsid w:val="00151969"/>
    <w:rsid w:val="00151B79"/>
    <w:rsid w:val="001520A5"/>
    <w:rsid w:val="0015217B"/>
    <w:rsid w:val="001521C5"/>
    <w:rsid w:val="0015272D"/>
    <w:rsid w:val="00152795"/>
    <w:rsid w:val="00152B59"/>
    <w:rsid w:val="00152BB6"/>
    <w:rsid w:val="00152BE9"/>
    <w:rsid w:val="00152D1A"/>
    <w:rsid w:val="00152D7D"/>
    <w:rsid w:val="00152F98"/>
    <w:rsid w:val="001530F6"/>
    <w:rsid w:val="00153C4D"/>
    <w:rsid w:val="00153DD2"/>
    <w:rsid w:val="00153EE5"/>
    <w:rsid w:val="00153FBE"/>
    <w:rsid w:val="0015418E"/>
    <w:rsid w:val="001541DE"/>
    <w:rsid w:val="00154550"/>
    <w:rsid w:val="00154F0A"/>
    <w:rsid w:val="00155159"/>
    <w:rsid w:val="00155337"/>
    <w:rsid w:val="001554CF"/>
    <w:rsid w:val="0015555D"/>
    <w:rsid w:val="001555A1"/>
    <w:rsid w:val="00155833"/>
    <w:rsid w:val="001559FD"/>
    <w:rsid w:val="00155BB5"/>
    <w:rsid w:val="00155C58"/>
    <w:rsid w:val="001568F6"/>
    <w:rsid w:val="00156A09"/>
    <w:rsid w:val="00156A10"/>
    <w:rsid w:val="00156A8A"/>
    <w:rsid w:val="00157976"/>
    <w:rsid w:val="00160819"/>
    <w:rsid w:val="00160F93"/>
    <w:rsid w:val="0016192A"/>
    <w:rsid w:val="00161C56"/>
    <w:rsid w:val="00161F13"/>
    <w:rsid w:val="001628F5"/>
    <w:rsid w:val="0016290C"/>
    <w:rsid w:val="00162B43"/>
    <w:rsid w:val="00162CE6"/>
    <w:rsid w:val="00162E4E"/>
    <w:rsid w:val="00162E7A"/>
    <w:rsid w:val="00163597"/>
    <w:rsid w:val="00163703"/>
    <w:rsid w:val="001637E3"/>
    <w:rsid w:val="00163C6B"/>
    <w:rsid w:val="001642F6"/>
    <w:rsid w:val="001646DF"/>
    <w:rsid w:val="0016480B"/>
    <w:rsid w:val="00164BEA"/>
    <w:rsid w:val="001653BF"/>
    <w:rsid w:val="001653E1"/>
    <w:rsid w:val="001654E3"/>
    <w:rsid w:val="00165910"/>
    <w:rsid w:val="00165B2A"/>
    <w:rsid w:val="00165CF8"/>
    <w:rsid w:val="00165FFB"/>
    <w:rsid w:val="001666F2"/>
    <w:rsid w:val="001673FC"/>
    <w:rsid w:val="0016754D"/>
    <w:rsid w:val="00167E31"/>
    <w:rsid w:val="00167E7B"/>
    <w:rsid w:val="00170279"/>
    <w:rsid w:val="0017072F"/>
    <w:rsid w:val="00170953"/>
    <w:rsid w:val="00170AE4"/>
    <w:rsid w:val="00170FF8"/>
    <w:rsid w:val="00171BBE"/>
    <w:rsid w:val="00171E06"/>
    <w:rsid w:val="00171EE9"/>
    <w:rsid w:val="00172802"/>
    <w:rsid w:val="001728DF"/>
    <w:rsid w:val="00172C20"/>
    <w:rsid w:val="0017303B"/>
    <w:rsid w:val="001738BF"/>
    <w:rsid w:val="00173948"/>
    <w:rsid w:val="00173C8D"/>
    <w:rsid w:val="00173D40"/>
    <w:rsid w:val="001743F5"/>
    <w:rsid w:val="00174DB9"/>
    <w:rsid w:val="00174EDE"/>
    <w:rsid w:val="001753D3"/>
    <w:rsid w:val="00175984"/>
    <w:rsid w:val="00175A40"/>
    <w:rsid w:val="00175ACE"/>
    <w:rsid w:val="00175CBE"/>
    <w:rsid w:val="001761F5"/>
    <w:rsid w:val="00176A55"/>
    <w:rsid w:val="001773E8"/>
    <w:rsid w:val="00177565"/>
    <w:rsid w:val="0017768D"/>
    <w:rsid w:val="00177851"/>
    <w:rsid w:val="00177898"/>
    <w:rsid w:val="001779A0"/>
    <w:rsid w:val="0018008D"/>
    <w:rsid w:val="0018021F"/>
    <w:rsid w:val="00180884"/>
    <w:rsid w:val="00180C76"/>
    <w:rsid w:val="001813C6"/>
    <w:rsid w:val="00181439"/>
    <w:rsid w:val="00181582"/>
    <w:rsid w:val="001816CA"/>
    <w:rsid w:val="00181A92"/>
    <w:rsid w:val="00181A95"/>
    <w:rsid w:val="001821C5"/>
    <w:rsid w:val="001821FD"/>
    <w:rsid w:val="00182269"/>
    <w:rsid w:val="00182545"/>
    <w:rsid w:val="00182923"/>
    <w:rsid w:val="0018304F"/>
    <w:rsid w:val="001832DB"/>
    <w:rsid w:val="00183430"/>
    <w:rsid w:val="001839E1"/>
    <w:rsid w:val="00183AB2"/>
    <w:rsid w:val="00183D21"/>
    <w:rsid w:val="00184027"/>
    <w:rsid w:val="0018414D"/>
    <w:rsid w:val="00184442"/>
    <w:rsid w:val="00184959"/>
    <w:rsid w:val="00184BAD"/>
    <w:rsid w:val="00185322"/>
    <w:rsid w:val="0018553B"/>
    <w:rsid w:val="001857D0"/>
    <w:rsid w:val="00186133"/>
    <w:rsid w:val="0018695B"/>
    <w:rsid w:val="00187810"/>
    <w:rsid w:val="00187897"/>
    <w:rsid w:val="001878DF"/>
    <w:rsid w:val="00187FCE"/>
    <w:rsid w:val="001919F5"/>
    <w:rsid w:val="00192AB3"/>
    <w:rsid w:val="00192AC5"/>
    <w:rsid w:val="00192BDC"/>
    <w:rsid w:val="00192E95"/>
    <w:rsid w:val="00192ECD"/>
    <w:rsid w:val="00193093"/>
    <w:rsid w:val="00193138"/>
    <w:rsid w:val="001931EB"/>
    <w:rsid w:val="00193363"/>
    <w:rsid w:val="00193DD4"/>
    <w:rsid w:val="00194543"/>
    <w:rsid w:val="00194809"/>
    <w:rsid w:val="0019494C"/>
    <w:rsid w:val="00194C97"/>
    <w:rsid w:val="00194CA3"/>
    <w:rsid w:val="0019501F"/>
    <w:rsid w:val="0019588E"/>
    <w:rsid w:val="00195CC0"/>
    <w:rsid w:val="00195EE2"/>
    <w:rsid w:val="00196483"/>
    <w:rsid w:val="001965BD"/>
    <w:rsid w:val="00197301"/>
    <w:rsid w:val="00197A87"/>
    <w:rsid w:val="00197D3A"/>
    <w:rsid w:val="00197DE6"/>
    <w:rsid w:val="00197F3C"/>
    <w:rsid w:val="001A0927"/>
    <w:rsid w:val="001A0DC6"/>
    <w:rsid w:val="001A0DF7"/>
    <w:rsid w:val="001A1791"/>
    <w:rsid w:val="001A1BF9"/>
    <w:rsid w:val="001A1E1A"/>
    <w:rsid w:val="001A1EE6"/>
    <w:rsid w:val="001A22A8"/>
    <w:rsid w:val="001A234C"/>
    <w:rsid w:val="001A2543"/>
    <w:rsid w:val="001A25DB"/>
    <w:rsid w:val="001A27F9"/>
    <w:rsid w:val="001A28E5"/>
    <w:rsid w:val="001A291A"/>
    <w:rsid w:val="001A2C88"/>
    <w:rsid w:val="001A2DC6"/>
    <w:rsid w:val="001A2F41"/>
    <w:rsid w:val="001A306B"/>
    <w:rsid w:val="001A316B"/>
    <w:rsid w:val="001A3611"/>
    <w:rsid w:val="001A377B"/>
    <w:rsid w:val="001A3918"/>
    <w:rsid w:val="001A3E40"/>
    <w:rsid w:val="001A42ED"/>
    <w:rsid w:val="001A43ED"/>
    <w:rsid w:val="001A467D"/>
    <w:rsid w:val="001A4ADF"/>
    <w:rsid w:val="001A4B67"/>
    <w:rsid w:val="001A4B7E"/>
    <w:rsid w:val="001A590F"/>
    <w:rsid w:val="001A5A56"/>
    <w:rsid w:val="001A5AE6"/>
    <w:rsid w:val="001A5B28"/>
    <w:rsid w:val="001A5D13"/>
    <w:rsid w:val="001A5E0A"/>
    <w:rsid w:val="001A615D"/>
    <w:rsid w:val="001A61E9"/>
    <w:rsid w:val="001A649A"/>
    <w:rsid w:val="001A6D46"/>
    <w:rsid w:val="001A6EFF"/>
    <w:rsid w:val="001A724D"/>
    <w:rsid w:val="001A745E"/>
    <w:rsid w:val="001A7650"/>
    <w:rsid w:val="001A77A8"/>
    <w:rsid w:val="001A791D"/>
    <w:rsid w:val="001A7B66"/>
    <w:rsid w:val="001A7FDD"/>
    <w:rsid w:val="001B00FB"/>
    <w:rsid w:val="001B0321"/>
    <w:rsid w:val="001B1904"/>
    <w:rsid w:val="001B1F19"/>
    <w:rsid w:val="001B2892"/>
    <w:rsid w:val="001B2A18"/>
    <w:rsid w:val="001B2F4A"/>
    <w:rsid w:val="001B313A"/>
    <w:rsid w:val="001B32FC"/>
    <w:rsid w:val="001B368B"/>
    <w:rsid w:val="001B39D7"/>
    <w:rsid w:val="001B3A4D"/>
    <w:rsid w:val="001B3CEE"/>
    <w:rsid w:val="001B455F"/>
    <w:rsid w:val="001B4967"/>
    <w:rsid w:val="001B4E86"/>
    <w:rsid w:val="001B50E9"/>
    <w:rsid w:val="001B5132"/>
    <w:rsid w:val="001B53C9"/>
    <w:rsid w:val="001B5422"/>
    <w:rsid w:val="001B59D9"/>
    <w:rsid w:val="001B5E77"/>
    <w:rsid w:val="001B5FF2"/>
    <w:rsid w:val="001B6840"/>
    <w:rsid w:val="001B6D45"/>
    <w:rsid w:val="001B70B5"/>
    <w:rsid w:val="001B725D"/>
    <w:rsid w:val="001B76D0"/>
    <w:rsid w:val="001B7C0D"/>
    <w:rsid w:val="001C00AA"/>
    <w:rsid w:val="001C07DC"/>
    <w:rsid w:val="001C0EE5"/>
    <w:rsid w:val="001C1193"/>
    <w:rsid w:val="001C1682"/>
    <w:rsid w:val="001C1815"/>
    <w:rsid w:val="001C1CDD"/>
    <w:rsid w:val="001C1F8F"/>
    <w:rsid w:val="001C2B58"/>
    <w:rsid w:val="001C2CBE"/>
    <w:rsid w:val="001C2ECC"/>
    <w:rsid w:val="001C2F08"/>
    <w:rsid w:val="001C3244"/>
    <w:rsid w:val="001C3CEF"/>
    <w:rsid w:val="001C3CF8"/>
    <w:rsid w:val="001C401C"/>
    <w:rsid w:val="001C409A"/>
    <w:rsid w:val="001C4AD0"/>
    <w:rsid w:val="001C4C12"/>
    <w:rsid w:val="001C4E23"/>
    <w:rsid w:val="001C4F8B"/>
    <w:rsid w:val="001C514D"/>
    <w:rsid w:val="001C56B5"/>
    <w:rsid w:val="001C56ED"/>
    <w:rsid w:val="001C57FD"/>
    <w:rsid w:val="001C5AAE"/>
    <w:rsid w:val="001C5AED"/>
    <w:rsid w:val="001C6241"/>
    <w:rsid w:val="001C7126"/>
    <w:rsid w:val="001C7580"/>
    <w:rsid w:val="001C79D1"/>
    <w:rsid w:val="001D05E8"/>
    <w:rsid w:val="001D0D95"/>
    <w:rsid w:val="001D0FC3"/>
    <w:rsid w:val="001D12A6"/>
    <w:rsid w:val="001D1457"/>
    <w:rsid w:val="001D1637"/>
    <w:rsid w:val="001D16A8"/>
    <w:rsid w:val="001D2302"/>
    <w:rsid w:val="001D2609"/>
    <w:rsid w:val="001D26CF"/>
    <w:rsid w:val="001D26FF"/>
    <w:rsid w:val="001D2921"/>
    <w:rsid w:val="001D2A5D"/>
    <w:rsid w:val="001D3336"/>
    <w:rsid w:val="001D3805"/>
    <w:rsid w:val="001D3847"/>
    <w:rsid w:val="001D3A0A"/>
    <w:rsid w:val="001D4019"/>
    <w:rsid w:val="001D4715"/>
    <w:rsid w:val="001D4973"/>
    <w:rsid w:val="001D4EDC"/>
    <w:rsid w:val="001D5134"/>
    <w:rsid w:val="001D5609"/>
    <w:rsid w:val="001D58C2"/>
    <w:rsid w:val="001D5AF5"/>
    <w:rsid w:val="001D649E"/>
    <w:rsid w:val="001D65BD"/>
    <w:rsid w:val="001D68D3"/>
    <w:rsid w:val="001D6B7D"/>
    <w:rsid w:val="001D6C47"/>
    <w:rsid w:val="001D6FE6"/>
    <w:rsid w:val="001D7086"/>
    <w:rsid w:val="001D7556"/>
    <w:rsid w:val="001D7767"/>
    <w:rsid w:val="001D7901"/>
    <w:rsid w:val="001D7A45"/>
    <w:rsid w:val="001D7BBF"/>
    <w:rsid w:val="001D7BC1"/>
    <w:rsid w:val="001D7CF5"/>
    <w:rsid w:val="001D7EF0"/>
    <w:rsid w:val="001E0691"/>
    <w:rsid w:val="001E08E0"/>
    <w:rsid w:val="001E0ECC"/>
    <w:rsid w:val="001E1037"/>
    <w:rsid w:val="001E12BB"/>
    <w:rsid w:val="001E161D"/>
    <w:rsid w:val="001E21E5"/>
    <w:rsid w:val="001E2B2E"/>
    <w:rsid w:val="001E2E72"/>
    <w:rsid w:val="001E321F"/>
    <w:rsid w:val="001E40FF"/>
    <w:rsid w:val="001E44D3"/>
    <w:rsid w:val="001E46BB"/>
    <w:rsid w:val="001E48C7"/>
    <w:rsid w:val="001E4CB4"/>
    <w:rsid w:val="001E4FA8"/>
    <w:rsid w:val="001E5849"/>
    <w:rsid w:val="001E649A"/>
    <w:rsid w:val="001E64F8"/>
    <w:rsid w:val="001E6AFB"/>
    <w:rsid w:val="001E731A"/>
    <w:rsid w:val="001E77B0"/>
    <w:rsid w:val="001E7B30"/>
    <w:rsid w:val="001E7C02"/>
    <w:rsid w:val="001E7DF3"/>
    <w:rsid w:val="001E7EAA"/>
    <w:rsid w:val="001E7FD8"/>
    <w:rsid w:val="001F0B93"/>
    <w:rsid w:val="001F1079"/>
    <w:rsid w:val="001F1722"/>
    <w:rsid w:val="001F1A1F"/>
    <w:rsid w:val="001F1D99"/>
    <w:rsid w:val="001F1E91"/>
    <w:rsid w:val="001F2620"/>
    <w:rsid w:val="001F290C"/>
    <w:rsid w:val="001F2B97"/>
    <w:rsid w:val="001F2BC3"/>
    <w:rsid w:val="001F2DF3"/>
    <w:rsid w:val="001F3AEC"/>
    <w:rsid w:val="001F3BB8"/>
    <w:rsid w:val="001F403B"/>
    <w:rsid w:val="001F4177"/>
    <w:rsid w:val="001F42A2"/>
    <w:rsid w:val="001F4342"/>
    <w:rsid w:val="001F441A"/>
    <w:rsid w:val="001F463B"/>
    <w:rsid w:val="001F49E2"/>
    <w:rsid w:val="001F553E"/>
    <w:rsid w:val="001F5617"/>
    <w:rsid w:val="001F5733"/>
    <w:rsid w:val="001F5C14"/>
    <w:rsid w:val="001F5DFF"/>
    <w:rsid w:val="001F5F58"/>
    <w:rsid w:val="001F606A"/>
    <w:rsid w:val="001F68B4"/>
    <w:rsid w:val="001F694F"/>
    <w:rsid w:val="001F6B0B"/>
    <w:rsid w:val="001F6F71"/>
    <w:rsid w:val="001F6FD3"/>
    <w:rsid w:val="001F7140"/>
    <w:rsid w:val="001F7A84"/>
    <w:rsid w:val="001F7CB5"/>
    <w:rsid w:val="0020023E"/>
    <w:rsid w:val="00200542"/>
    <w:rsid w:val="00200774"/>
    <w:rsid w:val="00200D26"/>
    <w:rsid w:val="00201064"/>
    <w:rsid w:val="0020124B"/>
    <w:rsid w:val="0020135B"/>
    <w:rsid w:val="002018ED"/>
    <w:rsid w:val="00201948"/>
    <w:rsid w:val="00201A46"/>
    <w:rsid w:val="002020D0"/>
    <w:rsid w:val="00202259"/>
    <w:rsid w:val="002025AB"/>
    <w:rsid w:val="002029A4"/>
    <w:rsid w:val="00202B13"/>
    <w:rsid w:val="002032B1"/>
    <w:rsid w:val="0020378E"/>
    <w:rsid w:val="00203C02"/>
    <w:rsid w:val="00203FF4"/>
    <w:rsid w:val="00204304"/>
    <w:rsid w:val="00204399"/>
    <w:rsid w:val="002043CE"/>
    <w:rsid w:val="002047ED"/>
    <w:rsid w:val="0020499A"/>
    <w:rsid w:val="00205ABC"/>
    <w:rsid w:val="00205E43"/>
    <w:rsid w:val="00205F3B"/>
    <w:rsid w:val="0020615A"/>
    <w:rsid w:val="002062CE"/>
    <w:rsid w:val="00206313"/>
    <w:rsid w:val="0020668A"/>
    <w:rsid w:val="0020687A"/>
    <w:rsid w:val="00206A09"/>
    <w:rsid w:val="00206F2E"/>
    <w:rsid w:val="0020765E"/>
    <w:rsid w:val="00207781"/>
    <w:rsid w:val="002077B9"/>
    <w:rsid w:val="00207CB4"/>
    <w:rsid w:val="00207EAB"/>
    <w:rsid w:val="00207F3D"/>
    <w:rsid w:val="0021037E"/>
    <w:rsid w:val="00210B30"/>
    <w:rsid w:val="00210C68"/>
    <w:rsid w:val="00210D49"/>
    <w:rsid w:val="00210E2A"/>
    <w:rsid w:val="00210F5B"/>
    <w:rsid w:val="00211279"/>
    <w:rsid w:val="00211EAE"/>
    <w:rsid w:val="00211F75"/>
    <w:rsid w:val="0021218A"/>
    <w:rsid w:val="0021218E"/>
    <w:rsid w:val="002122C6"/>
    <w:rsid w:val="0021270C"/>
    <w:rsid w:val="00212C9C"/>
    <w:rsid w:val="00212F90"/>
    <w:rsid w:val="002135BF"/>
    <w:rsid w:val="00213626"/>
    <w:rsid w:val="00213C33"/>
    <w:rsid w:val="00213C8D"/>
    <w:rsid w:val="00213E39"/>
    <w:rsid w:val="002143C1"/>
    <w:rsid w:val="00214A29"/>
    <w:rsid w:val="00214D8D"/>
    <w:rsid w:val="00214F4E"/>
    <w:rsid w:val="0021563C"/>
    <w:rsid w:val="0021600B"/>
    <w:rsid w:val="00216FAA"/>
    <w:rsid w:val="00217180"/>
    <w:rsid w:val="002171CF"/>
    <w:rsid w:val="00217FC2"/>
    <w:rsid w:val="00220805"/>
    <w:rsid w:val="00220FA5"/>
    <w:rsid w:val="00221650"/>
    <w:rsid w:val="00221BB3"/>
    <w:rsid w:val="00221DCA"/>
    <w:rsid w:val="00222E15"/>
    <w:rsid w:val="00222EA6"/>
    <w:rsid w:val="0022315E"/>
    <w:rsid w:val="002234EE"/>
    <w:rsid w:val="00223907"/>
    <w:rsid w:val="0022398B"/>
    <w:rsid w:val="00223AAB"/>
    <w:rsid w:val="00223B11"/>
    <w:rsid w:val="00223FD1"/>
    <w:rsid w:val="002243D0"/>
    <w:rsid w:val="00224A41"/>
    <w:rsid w:val="0022514A"/>
    <w:rsid w:val="002252DB"/>
    <w:rsid w:val="00225BD3"/>
    <w:rsid w:val="00225C26"/>
    <w:rsid w:val="00225F69"/>
    <w:rsid w:val="00225FC2"/>
    <w:rsid w:val="002265BA"/>
    <w:rsid w:val="00227081"/>
    <w:rsid w:val="002279DF"/>
    <w:rsid w:val="00227CDC"/>
    <w:rsid w:val="00230615"/>
    <w:rsid w:val="00230C39"/>
    <w:rsid w:val="0023170A"/>
    <w:rsid w:val="002318E2"/>
    <w:rsid w:val="00231AF7"/>
    <w:rsid w:val="0023230F"/>
    <w:rsid w:val="002324A2"/>
    <w:rsid w:val="00232516"/>
    <w:rsid w:val="002327CB"/>
    <w:rsid w:val="002329FC"/>
    <w:rsid w:val="0023370F"/>
    <w:rsid w:val="002339B6"/>
    <w:rsid w:val="00234279"/>
    <w:rsid w:val="0023479F"/>
    <w:rsid w:val="00234A29"/>
    <w:rsid w:val="00235527"/>
    <w:rsid w:val="0023562B"/>
    <w:rsid w:val="00235A4B"/>
    <w:rsid w:val="00235CFC"/>
    <w:rsid w:val="00235D99"/>
    <w:rsid w:val="00235F90"/>
    <w:rsid w:val="0023636E"/>
    <w:rsid w:val="002363F7"/>
    <w:rsid w:val="00236711"/>
    <w:rsid w:val="0023694A"/>
    <w:rsid w:val="00236991"/>
    <w:rsid w:val="00236D38"/>
    <w:rsid w:val="00236DC7"/>
    <w:rsid w:val="00237480"/>
    <w:rsid w:val="0023750C"/>
    <w:rsid w:val="00237AAB"/>
    <w:rsid w:val="00237B89"/>
    <w:rsid w:val="00237F75"/>
    <w:rsid w:val="00240643"/>
    <w:rsid w:val="002412E3"/>
    <w:rsid w:val="0024136F"/>
    <w:rsid w:val="00241596"/>
    <w:rsid w:val="002417AE"/>
    <w:rsid w:val="00242C15"/>
    <w:rsid w:val="002434B3"/>
    <w:rsid w:val="002438CA"/>
    <w:rsid w:val="002441FB"/>
    <w:rsid w:val="00244690"/>
    <w:rsid w:val="0024470E"/>
    <w:rsid w:val="00244FBC"/>
    <w:rsid w:val="00245547"/>
    <w:rsid w:val="0024555C"/>
    <w:rsid w:val="00245A89"/>
    <w:rsid w:val="002461FB"/>
    <w:rsid w:val="002462CC"/>
    <w:rsid w:val="0024639D"/>
    <w:rsid w:val="002463F1"/>
    <w:rsid w:val="002467BB"/>
    <w:rsid w:val="00246CA7"/>
    <w:rsid w:val="002470A8"/>
    <w:rsid w:val="0024726D"/>
    <w:rsid w:val="002472D6"/>
    <w:rsid w:val="0024733C"/>
    <w:rsid w:val="0024740F"/>
    <w:rsid w:val="0024756A"/>
    <w:rsid w:val="0025003A"/>
    <w:rsid w:val="002501A6"/>
    <w:rsid w:val="00250CEC"/>
    <w:rsid w:val="00250FF5"/>
    <w:rsid w:val="0025104C"/>
    <w:rsid w:val="002514CB"/>
    <w:rsid w:val="00251F5F"/>
    <w:rsid w:val="0025200D"/>
    <w:rsid w:val="0025218F"/>
    <w:rsid w:val="002523DC"/>
    <w:rsid w:val="0025293D"/>
    <w:rsid w:val="00253021"/>
    <w:rsid w:val="0025315E"/>
    <w:rsid w:val="00253336"/>
    <w:rsid w:val="00253A41"/>
    <w:rsid w:val="00253C44"/>
    <w:rsid w:val="002541FC"/>
    <w:rsid w:val="002542B5"/>
    <w:rsid w:val="00254A4C"/>
    <w:rsid w:val="0025512D"/>
    <w:rsid w:val="00255256"/>
    <w:rsid w:val="0025525F"/>
    <w:rsid w:val="002558AB"/>
    <w:rsid w:val="00255D7F"/>
    <w:rsid w:val="00256060"/>
    <w:rsid w:val="00256362"/>
    <w:rsid w:val="00256463"/>
    <w:rsid w:val="0025652C"/>
    <w:rsid w:val="002566FC"/>
    <w:rsid w:val="00256BA7"/>
    <w:rsid w:val="00256EB0"/>
    <w:rsid w:val="00256F05"/>
    <w:rsid w:val="00256F39"/>
    <w:rsid w:val="0025711E"/>
    <w:rsid w:val="0025758C"/>
    <w:rsid w:val="002575D8"/>
    <w:rsid w:val="00260577"/>
    <w:rsid w:val="00260633"/>
    <w:rsid w:val="00261082"/>
    <w:rsid w:val="002613D4"/>
    <w:rsid w:val="0026185B"/>
    <w:rsid w:val="00261CE6"/>
    <w:rsid w:val="00261EA1"/>
    <w:rsid w:val="0026282B"/>
    <w:rsid w:val="00262B81"/>
    <w:rsid w:val="0026363A"/>
    <w:rsid w:val="00263FA3"/>
    <w:rsid w:val="00263FD0"/>
    <w:rsid w:val="00264640"/>
    <w:rsid w:val="002647A1"/>
    <w:rsid w:val="00264C9B"/>
    <w:rsid w:val="00264E83"/>
    <w:rsid w:val="00265498"/>
    <w:rsid w:val="00266965"/>
    <w:rsid w:val="002670D1"/>
    <w:rsid w:val="00267BC9"/>
    <w:rsid w:val="002702E3"/>
    <w:rsid w:val="00270427"/>
    <w:rsid w:val="0027072C"/>
    <w:rsid w:val="00270915"/>
    <w:rsid w:val="00270B38"/>
    <w:rsid w:val="00270BE5"/>
    <w:rsid w:val="00270D94"/>
    <w:rsid w:val="002714B2"/>
    <w:rsid w:val="002717BD"/>
    <w:rsid w:val="0027186C"/>
    <w:rsid w:val="00271A54"/>
    <w:rsid w:val="00272002"/>
    <w:rsid w:val="0027220C"/>
    <w:rsid w:val="0027226F"/>
    <w:rsid w:val="00272727"/>
    <w:rsid w:val="00272F9E"/>
    <w:rsid w:val="0027314E"/>
    <w:rsid w:val="002735F6"/>
    <w:rsid w:val="00274391"/>
    <w:rsid w:val="00274562"/>
    <w:rsid w:val="00274695"/>
    <w:rsid w:val="00274B7E"/>
    <w:rsid w:val="00274BBE"/>
    <w:rsid w:val="00274E61"/>
    <w:rsid w:val="0027514C"/>
    <w:rsid w:val="0027586C"/>
    <w:rsid w:val="00276527"/>
    <w:rsid w:val="002765A9"/>
    <w:rsid w:val="0027663F"/>
    <w:rsid w:val="002768E9"/>
    <w:rsid w:val="00276B0A"/>
    <w:rsid w:val="00276CF9"/>
    <w:rsid w:val="0027738B"/>
    <w:rsid w:val="0027745B"/>
    <w:rsid w:val="002774C7"/>
    <w:rsid w:val="00277C93"/>
    <w:rsid w:val="00277E1B"/>
    <w:rsid w:val="00277EBF"/>
    <w:rsid w:val="002802F4"/>
    <w:rsid w:val="0028060D"/>
    <w:rsid w:val="00280720"/>
    <w:rsid w:val="002808DA"/>
    <w:rsid w:val="00280AE5"/>
    <w:rsid w:val="00281C99"/>
    <w:rsid w:val="00282323"/>
    <w:rsid w:val="00282826"/>
    <w:rsid w:val="0028294A"/>
    <w:rsid w:val="00283043"/>
    <w:rsid w:val="002830B1"/>
    <w:rsid w:val="002835DD"/>
    <w:rsid w:val="00283B2C"/>
    <w:rsid w:val="00283E92"/>
    <w:rsid w:val="00284206"/>
    <w:rsid w:val="00284C17"/>
    <w:rsid w:val="00284C3A"/>
    <w:rsid w:val="00285358"/>
    <w:rsid w:val="0028535D"/>
    <w:rsid w:val="0028536F"/>
    <w:rsid w:val="00285534"/>
    <w:rsid w:val="00285555"/>
    <w:rsid w:val="00285622"/>
    <w:rsid w:val="00285A05"/>
    <w:rsid w:val="002861C5"/>
    <w:rsid w:val="00286491"/>
    <w:rsid w:val="00286826"/>
    <w:rsid w:val="00286B0A"/>
    <w:rsid w:val="002873B1"/>
    <w:rsid w:val="002874BE"/>
    <w:rsid w:val="002874DB"/>
    <w:rsid w:val="00287583"/>
    <w:rsid w:val="00287896"/>
    <w:rsid w:val="00287A48"/>
    <w:rsid w:val="00287C92"/>
    <w:rsid w:val="00287DCF"/>
    <w:rsid w:val="00287F6C"/>
    <w:rsid w:val="0029065A"/>
    <w:rsid w:val="00290F78"/>
    <w:rsid w:val="00291151"/>
    <w:rsid w:val="0029140F"/>
    <w:rsid w:val="00291754"/>
    <w:rsid w:val="00291920"/>
    <w:rsid w:val="00291D59"/>
    <w:rsid w:val="00291F89"/>
    <w:rsid w:val="002923A8"/>
    <w:rsid w:val="002924EB"/>
    <w:rsid w:val="002927DC"/>
    <w:rsid w:val="00292B6B"/>
    <w:rsid w:val="00292FFD"/>
    <w:rsid w:val="00293591"/>
    <w:rsid w:val="002936A7"/>
    <w:rsid w:val="0029371D"/>
    <w:rsid w:val="00293879"/>
    <w:rsid w:val="00293893"/>
    <w:rsid w:val="00293DD9"/>
    <w:rsid w:val="00293E3B"/>
    <w:rsid w:val="00293FE0"/>
    <w:rsid w:val="00294343"/>
    <w:rsid w:val="00294491"/>
    <w:rsid w:val="00294B07"/>
    <w:rsid w:val="00294DDA"/>
    <w:rsid w:val="002953BD"/>
    <w:rsid w:val="00295650"/>
    <w:rsid w:val="002956D1"/>
    <w:rsid w:val="00295916"/>
    <w:rsid w:val="002960F2"/>
    <w:rsid w:val="002966E9"/>
    <w:rsid w:val="00296B17"/>
    <w:rsid w:val="0029757D"/>
    <w:rsid w:val="00297B0D"/>
    <w:rsid w:val="002A007B"/>
    <w:rsid w:val="002A0167"/>
    <w:rsid w:val="002A06F1"/>
    <w:rsid w:val="002A084A"/>
    <w:rsid w:val="002A0F10"/>
    <w:rsid w:val="002A15D3"/>
    <w:rsid w:val="002A1EC9"/>
    <w:rsid w:val="002A27C7"/>
    <w:rsid w:val="002A2E3E"/>
    <w:rsid w:val="002A2E76"/>
    <w:rsid w:val="002A397F"/>
    <w:rsid w:val="002A3BC6"/>
    <w:rsid w:val="002A403A"/>
    <w:rsid w:val="002A425E"/>
    <w:rsid w:val="002A4304"/>
    <w:rsid w:val="002A4735"/>
    <w:rsid w:val="002A494A"/>
    <w:rsid w:val="002A4CD5"/>
    <w:rsid w:val="002A5307"/>
    <w:rsid w:val="002A56E9"/>
    <w:rsid w:val="002A5C96"/>
    <w:rsid w:val="002A5E81"/>
    <w:rsid w:val="002A61AB"/>
    <w:rsid w:val="002A6BD6"/>
    <w:rsid w:val="002A7563"/>
    <w:rsid w:val="002A7BCB"/>
    <w:rsid w:val="002B0388"/>
    <w:rsid w:val="002B0575"/>
    <w:rsid w:val="002B0D9D"/>
    <w:rsid w:val="002B0E38"/>
    <w:rsid w:val="002B1301"/>
    <w:rsid w:val="002B1381"/>
    <w:rsid w:val="002B148D"/>
    <w:rsid w:val="002B1538"/>
    <w:rsid w:val="002B16AE"/>
    <w:rsid w:val="002B2057"/>
    <w:rsid w:val="002B20F5"/>
    <w:rsid w:val="002B23AA"/>
    <w:rsid w:val="002B25B4"/>
    <w:rsid w:val="002B298E"/>
    <w:rsid w:val="002B2A54"/>
    <w:rsid w:val="002B2B83"/>
    <w:rsid w:val="002B2FDF"/>
    <w:rsid w:val="002B353A"/>
    <w:rsid w:val="002B358B"/>
    <w:rsid w:val="002B364E"/>
    <w:rsid w:val="002B3688"/>
    <w:rsid w:val="002B3855"/>
    <w:rsid w:val="002B3906"/>
    <w:rsid w:val="002B3EA7"/>
    <w:rsid w:val="002B4018"/>
    <w:rsid w:val="002B4436"/>
    <w:rsid w:val="002B4515"/>
    <w:rsid w:val="002B4BA8"/>
    <w:rsid w:val="002B4DB4"/>
    <w:rsid w:val="002B4E05"/>
    <w:rsid w:val="002B5132"/>
    <w:rsid w:val="002B5A0F"/>
    <w:rsid w:val="002B5DDE"/>
    <w:rsid w:val="002B6195"/>
    <w:rsid w:val="002B626D"/>
    <w:rsid w:val="002B62E8"/>
    <w:rsid w:val="002B6734"/>
    <w:rsid w:val="002B6A1B"/>
    <w:rsid w:val="002B6E9F"/>
    <w:rsid w:val="002B7145"/>
    <w:rsid w:val="002B7212"/>
    <w:rsid w:val="002B766F"/>
    <w:rsid w:val="002B78FC"/>
    <w:rsid w:val="002B790B"/>
    <w:rsid w:val="002B7A32"/>
    <w:rsid w:val="002B7AAC"/>
    <w:rsid w:val="002C0169"/>
    <w:rsid w:val="002C06BE"/>
    <w:rsid w:val="002C06D5"/>
    <w:rsid w:val="002C084E"/>
    <w:rsid w:val="002C0A60"/>
    <w:rsid w:val="002C0CF9"/>
    <w:rsid w:val="002C0DC4"/>
    <w:rsid w:val="002C1DA1"/>
    <w:rsid w:val="002C2225"/>
    <w:rsid w:val="002C2D80"/>
    <w:rsid w:val="002C2DDC"/>
    <w:rsid w:val="002C3016"/>
    <w:rsid w:val="002C32A4"/>
    <w:rsid w:val="002C330B"/>
    <w:rsid w:val="002C41F1"/>
    <w:rsid w:val="002C4E06"/>
    <w:rsid w:val="002C4E9E"/>
    <w:rsid w:val="002C5131"/>
    <w:rsid w:val="002C5331"/>
    <w:rsid w:val="002C55E8"/>
    <w:rsid w:val="002C594C"/>
    <w:rsid w:val="002C5989"/>
    <w:rsid w:val="002C5A2E"/>
    <w:rsid w:val="002C5A39"/>
    <w:rsid w:val="002C5C55"/>
    <w:rsid w:val="002C5CB5"/>
    <w:rsid w:val="002C5FE0"/>
    <w:rsid w:val="002C62F7"/>
    <w:rsid w:val="002C6DD5"/>
    <w:rsid w:val="002C71F7"/>
    <w:rsid w:val="002C7882"/>
    <w:rsid w:val="002C7FBA"/>
    <w:rsid w:val="002C7FEB"/>
    <w:rsid w:val="002D018E"/>
    <w:rsid w:val="002D0536"/>
    <w:rsid w:val="002D06EC"/>
    <w:rsid w:val="002D0BF9"/>
    <w:rsid w:val="002D10D5"/>
    <w:rsid w:val="002D1176"/>
    <w:rsid w:val="002D1626"/>
    <w:rsid w:val="002D18FC"/>
    <w:rsid w:val="002D1C8F"/>
    <w:rsid w:val="002D1E9D"/>
    <w:rsid w:val="002D2A55"/>
    <w:rsid w:val="002D2A62"/>
    <w:rsid w:val="002D2D0C"/>
    <w:rsid w:val="002D3A9E"/>
    <w:rsid w:val="002D3C86"/>
    <w:rsid w:val="002D3EF7"/>
    <w:rsid w:val="002D40C5"/>
    <w:rsid w:val="002D4249"/>
    <w:rsid w:val="002D46DC"/>
    <w:rsid w:val="002D4987"/>
    <w:rsid w:val="002D4B28"/>
    <w:rsid w:val="002D4DEE"/>
    <w:rsid w:val="002D4F78"/>
    <w:rsid w:val="002D56B3"/>
    <w:rsid w:val="002D5874"/>
    <w:rsid w:val="002D5BA6"/>
    <w:rsid w:val="002D6281"/>
    <w:rsid w:val="002D633A"/>
    <w:rsid w:val="002D64D8"/>
    <w:rsid w:val="002D65EA"/>
    <w:rsid w:val="002D69E0"/>
    <w:rsid w:val="002D6A77"/>
    <w:rsid w:val="002D6A8A"/>
    <w:rsid w:val="002D6C0F"/>
    <w:rsid w:val="002D6EC5"/>
    <w:rsid w:val="002D7884"/>
    <w:rsid w:val="002E0A3F"/>
    <w:rsid w:val="002E1736"/>
    <w:rsid w:val="002E197E"/>
    <w:rsid w:val="002E1A3C"/>
    <w:rsid w:val="002E1B27"/>
    <w:rsid w:val="002E1F21"/>
    <w:rsid w:val="002E20C6"/>
    <w:rsid w:val="002E261F"/>
    <w:rsid w:val="002E274E"/>
    <w:rsid w:val="002E3207"/>
    <w:rsid w:val="002E36C7"/>
    <w:rsid w:val="002E37D7"/>
    <w:rsid w:val="002E3A48"/>
    <w:rsid w:val="002E3AB7"/>
    <w:rsid w:val="002E3BE9"/>
    <w:rsid w:val="002E3CA5"/>
    <w:rsid w:val="002E3CFB"/>
    <w:rsid w:val="002E486A"/>
    <w:rsid w:val="002E4A9B"/>
    <w:rsid w:val="002E4C82"/>
    <w:rsid w:val="002E4EC1"/>
    <w:rsid w:val="002E511F"/>
    <w:rsid w:val="002E5314"/>
    <w:rsid w:val="002E562F"/>
    <w:rsid w:val="002E5DA9"/>
    <w:rsid w:val="002E6281"/>
    <w:rsid w:val="002E6733"/>
    <w:rsid w:val="002E67A0"/>
    <w:rsid w:val="002E6B2E"/>
    <w:rsid w:val="002E6E31"/>
    <w:rsid w:val="002E6EAB"/>
    <w:rsid w:val="002E6F44"/>
    <w:rsid w:val="002E6FC1"/>
    <w:rsid w:val="002E7015"/>
    <w:rsid w:val="002E742D"/>
    <w:rsid w:val="002E7E82"/>
    <w:rsid w:val="002F0258"/>
    <w:rsid w:val="002F14AC"/>
    <w:rsid w:val="002F18F3"/>
    <w:rsid w:val="002F197B"/>
    <w:rsid w:val="002F1CEE"/>
    <w:rsid w:val="002F22FF"/>
    <w:rsid w:val="002F260D"/>
    <w:rsid w:val="002F289F"/>
    <w:rsid w:val="002F29E4"/>
    <w:rsid w:val="002F3250"/>
    <w:rsid w:val="002F35D9"/>
    <w:rsid w:val="002F38DF"/>
    <w:rsid w:val="002F39C3"/>
    <w:rsid w:val="002F39F5"/>
    <w:rsid w:val="002F3B9C"/>
    <w:rsid w:val="002F4B3D"/>
    <w:rsid w:val="002F4EF2"/>
    <w:rsid w:val="002F51C6"/>
    <w:rsid w:val="002F52F3"/>
    <w:rsid w:val="002F5601"/>
    <w:rsid w:val="002F5A62"/>
    <w:rsid w:val="002F6389"/>
    <w:rsid w:val="002F64F7"/>
    <w:rsid w:val="002F65EA"/>
    <w:rsid w:val="002F66C0"/>
    <w:rsid w:val="002F6AFF"/>
    <w:rsid w:val="002F6C15"/>
    <w:rsid w:val="002F6E4D"/>
    <w:rsid w:val="002F6FD0"/>
    <w:rsid w:val="002F7A82"/>
    <w:rsid w:val="00300270"/>
    <w:rsid w:val="00300619"/>
    <w:rsid w:val="00300652"/>
    <w:rsid w:val="00300E56"/>
    <w:rsid w:val="00300EED"/>
    <w:rsid w:val="0030146A"/>
    <w:rsid w:val="003024F8"/>
    <w:rsid w:val="00302957"/>
    <w:rsid w:val="00302BE7"/>
    <w:rsid w:val="00302FBA"/>
    <w:rsid w:val="00302FD2"/>
    <w:rsid w:val="00303909"/>
    <w:rsid w:val="00303F43"/>
    <w:rsid w:val="003045E8"/>
    <w:rsid w:val="003048AC"/>
    <w:rsid w:val="00305075"/>
    <w:rsid w:val="003051C0"/>
    <w:rsid w:val="00305411"/>
    <w:rsid w:val="0030568E"/>
    <w:rsid w:val="00305B48"/>
    <w:rsid w:val="00305C7C"/>
    <w:rsid w:val="00306BE8"/>
    <w:rsid w:val="00306C38"/>
    <w:rsid w:val="00306D71"/>
    <w:rsid w:val="003073C2"/>
    <w:rsid w:val="00307B42"/>
    <w:rsid w:val="00310095"/>
    <w:rsid w:val="00310AC2"/>
    <w:rsid w:val="00310B8D"/>
    <w:rsid w:val="00311079"/>
    <w:rsid w:val="003110D3"/>
    <w:rsid w:val="00311152"/>
    <w:rsid w:val="00311275"/>
    <w:rsid w:val="00311370"/>
    <w:rsid w:val="00311644"/>
    <w:rsid w:val="00311C54"/>
    <w:rsid w:val="003120FC"/>
    <w:rsid w:val="0031217A"/>
    <w:rsid w:val="0031367B"/>
    <w:rsid w:val="003137CD"/>
    <w:rsid w:val="00313B1E"/>
    <w:rsid w:val="00313E40"/>
    <w:rsid w:val="00314586"/>
    <w:rsid w:val="003148BD"/>
    <w:rsid w:val="003148CB"/>
    <w:rsid w:val="00314B83"/>
    <w:rsid w:val="00314D2D"/>
    <w:rsid w:val="00314F43"/>
    <w:rsid w:val="00315205"/>
    <w:rsid w:val="003161DF"/>
    <w:rsid w:val="003163C1"/>
    <w:rsid w:val="003165BD"/>
    <w:rsid w:val="00316811"/>
    <w:rsid w:val="00316885"/>
    <w:rsid w:val="00316932"/>
    <w:rsid w:val="00316BED"/>
    <w:rsid w:val="00317054"/>
    <w:rsid w:val="003171DA"/>
    <w:rsid w:val="00317449"/>
    <w:rsid w:val="003174EA"/>
    <w:rsid w:val="003175DB"/>
    <w:rsid w:val="00317B38"/>
    <w:rsid w:val="003200D3"/>
    <w:rsid w:val="00320372"/>
    <w:rsid w:val="00321084"/>
    <w:rsid w:val="00321177"/>
    <w:rsid w:val="00321666"/>
    <w:rsid w:val="00321C91"/>
    <w:rsid w:val="0032205F"/>
    <w:rsid w:val="00322266"/>
    <w:rsid w:val="00322E3F"/>
    <w:rsid w:val="00323BBA"/>
    <w:rsid w:val="00323D21"/>
    <w:rsid w:val="00323F10"/>
    <w:rsid w:val="0032492E"/>
    <w:rsid w:val="00324B5A"/>
    <w:rsid w:val="003250BF"/>
    <w:rsid w:val="00325397"/>
    <w:rsid w:val="003253A6"/>
    <w:rsid w:val="003255FE"/>
    <w:rsid w:val="00325839"/>
    <w:rsid w:val="00325A15"/>
    <w:rsid w:val="0032620A"/>
    <w:rsid w:val="00326735"/>
    <w:rsid w:val="00326BFE"/>
    <w:rsid w:val="00326E9E"/>
    <w:rsid w:val="00327964"/>
    <w:rsid w:val="00327B02"/>
    <w:rsid w:val="003300D2"/>
    <w:rsid w:val="003302A3"/>
    <w:rsid w:val="003306A2"/>
    <w:rsid w:val="003307FF"/>
    <w:rsid w:val="0033089A"/>
    <w:rsid w:val="003308E3"/>
    <w:rsid w:val="00330A5D"/>
    <w:rsid w:val="00330C91"/>
    <w:rsid w:val="00331262"/>
    <w:rsid w:val="003313ED"/>
    <w:rsid w:val="003314F2"/>
    <w:rsid w:val="00331570"/>
    <w:rsid w:val="00331AE3"/>
    <w:rsid w:val="00331EBB"/>
    <w:rsid w:val="00331F3D"/>
    <w:rsid w:val="00332882"/>
    <w:rsid w:val="003328A8"/>
    <w:rsid w:val="00332AAE"/>
    <w:rsid w:val="00332C35"/>
    <w:rsid w:val="00332F31"/>
    <w:rsid w:val="00332FA0"/>
    <w:rsid w:val="00333236"/>
    <w:rsid w:val="0033352F"/>
    <w:rsid w:val="00333EF7"/>
    <w:rsid w:val="003341AF"/>
    <w:rsid w:val="00334502"/>
    <w:rsid w:val="00334692"/>
    <w:rsid w:val="00334941"/>
    <w:rsid w:val="00334ACE"/>
    <w:rsid w:val="00334C54"/>
    <w:rsid w:val="00335273"/>
    <w:rsid w:val="003354DE"/>
    <w:rsid w:val="003356DE"/>
    <w:rsid w:val="00335F23"/>
    <w:rsid w:val="003360B9"/>
    <w:rsid w:val="003364C0"/>
    <w:rsid w:val="00336780"/>
    <w:rsid w:val="003367F1"/>
    <w:rsid w:val="00337289"/>
    <w:rsid w:val="00337A20"/>
    <w:rsid w:val="00337B85"/>
    <w:rsid w:val="00337E48"/>
    <w:rsid w:val="00340061"/>
    <w:rsid w:val="0034075A"/>
    <w:rsid w:val="003407AD"/>
    <w:rsid w:val="00340865"/>
    <w:rsid w:val="00340DD8"/>
    <w:rsid w:val="00341265"/>
    <w:rsid w:val="0034143F"/>
    <w:rsid w:val="00342234"/>
    <w:rsid w:val="003423A6"/>
    <w:rsid w:val="003425F1"/>
    <w:rsid w:val="00342751"/>
    <w:rsid w:val="00342801"/>
    <w:rsid w:val="00342A64"/>
    <w:rsid w:val="00342E32"/>
    <w:rsid w:val="00342F30"/>
    <w:rsid w:val="00343162"/>
    <w:rsid w:val="0034327B"/>
    <w:rsid w:val="0034340C"/>
    <w:rsid w:val="003436F6"/>
    <w:rsid w:val="003439F5"/>
    <w:rsid w:val="00343AF2"/>
    <w:rsid w:val="003444D7"/>
    <w:rsid w:val="003448E2"/>
    <w:rsid w:val="003452E2"/>
    <w:rsid w:val="003456C5"/>
    <w:rsid w:val="0034574E"/>
    <w:rsid w:val="00345762"/>
    <w:rsid w:val="0034620C"/>
    <w:rsid w:val="0034642C"/>
    <w:rsid w:val="0034666F"/>
    <w:rsid w:val="00346C36"/>
    <w:rsid w:val="00346C4E"/>
    <w:rsid w:val="00346DCE"/>
    <w:rsid w:val="00347305"/>
    <w:rsid w:val="00347670"/>
    <w:rsid w:val="00347ED0"/>
    <w:rsid w:val="00347FE4"/>
    <w:rsid w:val="00350C4B"/>
    <w:rsid w:val="00350ED0"/>
    <w:rsid w:val="00351159"/>
    <w:rsid w:val="003515A7"/>
    <w:rsid w:val="003515CD"/>
    <w:rsid w:val="00351A81"/>
    <w:rsid w:val="00351DBA"/>
    <w:rsid w:val="00352192"/>
    <w:rsid w:val="003522CE"/>
    <w:rsid w:val="003523B9"/>
    <w:rsid w:val="0035263B"/>
    <w:rsid w:val="00352C44"/>
    <w:rsid w:val="00352E67"/>
    <w:rsid w:val="0035324F"/>
    <w:rsid w:val="00353560"/>
    <w:rsid w:val="003535F6"/>
    <w:rsid w:val="00353C71"/>
    <w:rsid w:val="00353F4D"/>
    <w:rsid w:val="0035437F"/>
    <w:rsid w:val="003549C6"/>
    <w:rsid w:val="00354AF2"/>
    <w:rsid w:val="00354B5D"/>
    <w:rsid w:val="00355656"/>
    <w:rsid w:val="0035583E"/>
    <w:rsid w:val="00355D3C"/>
    <w:rsid w:val="00355EF1"/>
    <w:rsid w:val="00356A67"/>
    <w:rsid w:val="00356DB7"/>
    <w:rsid w:val="00356DDB"/>
    <w:rsid w:val="00356E88"/>
    <w:rsid w:val="0035710D"/>
    <w:rsid w:val="0035778E"/>
    <w:rsid w:val="00357AF7"/>
    <w:rsid w:val="00357C29"/>
    <w:rsid w:val="003600D1"/>
    <w:rsid w:val="00360158"/>
    <w:rsid w:val="0036031B"/>
    <w:rsid w:val="00360411"/>
    <w:rsid w:val="00360622"/>
    <w:rsid w:val="0036070C"/>
    <w:rsid w:val="00360B43"/>
    <w:rsid w:val="00360DD4"/>
    <w:rsid w:val="00360F46"/>
    <w:rsid w:val="00361167"/>
    <w:rsid w:val="003616E4"/>
    <w:rsid w:val="00361A6E"/>
    <w:rsid w:val="00361B4E"/>
    <w:rsid w:val="00361B7B"/>
    <w:rsid w:val="00362052"/>
    <w:rsid w:val="003620E5"/>
    <w:rsid w:val="003621CF"/>
    <w:rsid w:val="0036230B"/>
    <w:rsid w:val="00363703"/>
    <w:rsid w:val="003637D6"/>
    <w:rsid w:val="00363875"/>
    <w:rsid w:val="00363AC4"/>
    <w:rsid w:val="00363B73"/>
    <w:rsid w:val="00364279"/>
    <w:rsid w:val="00365222"/>
    <w:rsid w:val="00365390"/>
    <w:rsid w:val="00366322"/>
    <w:rsid w:val="00366883"/>
    <w:rsid w:val="0036699F"/>
    <w:rsid w:val="00367365"/>
    <w:rsid w:val="003673F4"/>
    <w:rsid w:val="00367987"/>
    <w:rsid w:val="00367C62"/>
    <w:rsid w:val="00367D06"/>
    <w:rsid w:val="00367DF9"/>
    <w:rsid w:val="00367F3E"/>
    <w:rsid w:val="0037076F"/>
    <w:rsid w:val="00370774"/>
    <w:rsid w:val="0037087E"/>
    <w:rsid w:val="00370AA0"/>
    <w:rsid w:val="00370AF3"/>
    <w:rsid w:val="00370D7F"/>
    <w:rsid w:val="0037103E"/>
    <w:rsid w:val="003717B1"/>
    <w:rsid w:val="003719AB"/>
    <w:rsid w:val="00371B73"/>
    <w:rsid w:val="00371BA5"/>
    <w:rsid w:val="00371C5B"/>
    <w:rsid w:val="00371DB7"/>
    <w:rsid w:val="00372181"/>
    <w:rsid w:val="0037264F"/>
    <w:rsid w:val="00372E59"/>
    <w:rsid w:val="003734E5"/>
    <w:rsid w:val="00373852"/>
    <w:rsid w:val="0037389E"/>
    <w:rsid w:val="00373EEC"/>
    <w:rsid w:val="003743F9"/>
    <w:rsid w:val="00374593"/>
    <w:rsid w:val="003746E1"/>
    <w:rsid w:val="0037493D"/>
    <w:rsid w:val="00374C1A"/>
    <w:rsid w:val="00374E55"/>
    <w:rsid w:val="00374F45"/>
    <w:rsid w:val="003750ED"/>
    <w:rsid w:val="003754F2"/>
    <w:rsid w:val="00375805"/>
    <w:rsid w:val="003759DA"/>
    <w:rsid w:val="00375BCF"/>
    <w:rsid w:val="00375DF9"/>
    <w:rsid w:val="00375F4E"/>
    <w:rsid w:val="00375FC9"/>
    <w:rsid w:val="0037605B"/>
    <w:rsid w:val="00376692"/>
    <w:rsid w:val="00376725"/>
    <w:rsid w:val="00376889"/>
    <w:rsid w:val="00377560"/>
    <w:rsid w:val="00377665"/>
    <w:rsid w:val="003802E0"/>
    <w:rsid w:val="0038057E"/>
    <w:rsid w:val="00380BB2"/>
    <w:rsid w:val="00381F3E"/>
    <w:rsid w:val="00381F70"/>
    <w:rsid w:val="003823AB"/>
    <w:rsid w:val="00382B5E"/>
    <w:rsid w:val="00382FC8"/>
    <w:rsid w:val="003830F2"/>
    <w:rsid w:val="00383147"/>
    <w:rsid w:val="00383992"/>
    <w:rsid w:val="00383E46"/>
    <w:rsid w:val="00383F39"/>
    <w:rsid w:val="00384002"/>
    <w:rsid w:val="003844D7"/>
    <w:rsid w:val="0038472F"/>
    <w:rsid w:val="003849C1"/>
    <w:rsid w:val="00384CC9"/>
    <w:rsid w:val="003851CF"/>
    <w:rsid w:val="003854C1"/>
    <w:rsid w:val="00385DC8"/>
    <w:rsid w:val="003860EF"/>
    <w:rsid w:val="00386AF2"/>
    <w:rsid w:val="00386E66"/>
    <w:rsid w:val="00387083"/>
    <w:rsid w:val="0038730F"/>
    <w:rsid w:val="0038752E"/>
    <w:rsid w:val="0038793F"/>
    <w:rsid w:val="00387B37"/>
    <w:rsid w:val="00387B99"/>
    <w:rsid w:val="00387F82"/>
    <w:rsid w:val="00387FCA"/>
    <w:rsid w:val="00387FE6"/>
    <w:rsid w:val="003906E9"/>
    <w:rsid w:val="00390734"/>
    <w:rsid w:val="00391184"/>
    <w:rsid w:val="003912CB"/>
    <w:rsid w:val="00391454"/>
    <w:rsid w:val="00391521"/>
    <w:rsid w:val="00391770"/>
    <w:rsid w:val="0039284B"/>
    <w:rsid w:val="00393620"/>
    <w:rsid w:val="00393B0F"/>
    <w:rsid w:val="00394BBE"/>
    <w:rsid w:val="00394EF1"/>
    <w:rsid w:val="00394F0B"/>
    <w:rsid w:val="00394F2D"/>
    <w:rsid w:val="00394F32"/>
    <w:rsid w:val="0039535A"/>
    <w:rsid w:val="00395B5D"/>
    <w:rsid w:val="00395D38"/>
    <w:rsid w:val="00395DD6"/>
    <w:rsid w:val="00396B2C"/>
    <w:rsid w:val="00396CE0"/>
    <w:rsid w:val="00396D1A"/>
    <w:rsid w:val="00397100"/>
    <w:rsid w:val="003975A9"/>
    <w:rsid w:val="003977A6"/>
    <w:rsid w:val="003977EA"/>
    <w:rsid w:val="00397A67"/>
    <w:rsid w:val="00397F05"/>
    <w:rsid w:val="003A015F"/>
    <w:rsid w:val="003A0901"/>
    <w:rsid w:val="003A09E5"/>
    <w:rsid w:val="003A0B92"/>
    <w:rsid w:val="003A0CA4"/>
    <w:rsid w:val="003A0E62"/>
    <w:rsid w:val="003A1253"/>
    <w:rsid w:val="003A17EB"/>
    <w:rsid w:val="003A1876"/>
    <w:rsid w:val="003A2091"/>
    <w:rsid w:val="003A20BF"/>
    <w:rsid w:val="003A2776"/>
    <w:rsid w:val="003A2A5D"/>
    <w:rsid w:val="003A2CD4"/>
    <w:rsid w:val="003A31E7"/>
    <w:rsid w:val="003A358F"/>
    <w:rsid w:val="003A35C0"/>
    <w:rsid w:val="003A3AD3"/>
    <w:rsid w:val="003A3EF0"/>
    <w:rsid w:val="003A45B6"/>
    <w:rsid w:val="003A48DB"/>
    <w:rsid w:val="003A48F8"/>
    <w:rsid w:val="003A4BE9"/>
    <w:rsid w:val="003A58F3"/>
    <w:rsid w:val="003A5F44"/>
    <w:rsid w:val="003A67BF"/>
    <w:rsid w:val="003A67E6"/>
    <w:rsid w:val="003A683C"/>
    <w:rsid w:val="003A6BE2"/>
    <w:rsid w:val="003A6DEF"/>
    <w:rsid w:val="003A6E26"/>
    <w:rsid w:val="003A70D0"/>
    <w:rsid w:val="003A70DA"/>
    <w:rsid w:val="003A741C"/>
    <w:rsid w:val="003A7A11"/>
    <w:rsid w:val="003B09C4"/>
    <w:rsid w:val="003B09EA"/>
    <w:rsid w:val="003B0A8C"/>
    <w:rsid w:val="003B0AFE"/>
    <w:rsid w:val="003B0C0D"/>
    <w:rsid w:val="003B0CB3"/>
    <w:rsid w:val="003B0F58"/>
    <w:rsid w:val="003B169C"/>
    <w:rsid w:val="003B18E2"/>
    <w:rsid w:val="003B1975"/>
    <w:rsid w:val="003B1DE0"/>
    <w:rsid w:val="003B2164"/>
    <w:rsid w:val="003B227F"/>
    <w:rsid w:val="003B22C1"/>
    <w:rsid w:val="003B24F3"/>
    <w:rsid w:val="003B2812"/>
    <w:rsid w:val="003B30EF"/>
    <w:rsid w:val="003B394A"/>
    <w:rsid w:val="003B3C94"/>
    <w:rsid w:val="003B3DF9"/>
    <w:rsid w:val="003B3E72"/>
    <w:rsid w:val="003B3F78"/>
    <w:rsid w:val="003B42BB"/>
    <w:rsid w:val="003B4401"/>
    <w:rsid w:val="003B479B"/>
    <w:rsid w:val="003B4B11"/>
    <w:rsid w:val="003B5552"/>
    <w:rsid w:val="003B56BD"/>
    <w:rsid w:val="003B59BA"/>
    <w:rsid w:val="003B5BFF"/>
    <w:rsid w:val="003B5E9B"/>
    <w:rsid w:val="003B60BC"/>
    <w:rsid w:val="003B6588"/>
    <w:rsid w:val="003B673C"/>
    <w:rsid w:val="003B691E"/>
    <w:rsid w:val="003B6BE6"/>
    <w:rsid w:val="003B6C2D"/>
    <w:rsid w:val="003B6EAB"/>
    <w:rsid w:val="003B6EAE"/>
    <w:rsid w:val="003B73FF"/>
    <w:rsid w:val="003B76C0"/>
    <w:rsid w:val="003B779E"/>
    <w:rsid w:val="003B7D36"/>
    <w:rsid w:val="003C0B40"/>
    <w:rsid w:val="003C0ECE"/>
    <w:rsid w:val="003C1141"/>
    <w:rsid w:val="003C15E5"/>
    <w:rsid w:val="003C15EA"/>
    <w:rsid w:val="003C1A3E"/>
    <w:rsid w:val="003C2358"/>
    <w:rsid w:val="003C2626"/>
    <w:rsid w:val="003C2867"/>
    <w:rsid w:val="003C3477"/>
    <w:rsid w:val="003C382A"/>
    <w:rsid w:val="003C3AA3"/>
    <w:rsid w:val="003C3E20"/>
    <w:rsid w:val="003C4DB1"/>
    <w:rsid w:val="003C4F90"/>
    <w:rsid w:val="003C5176"/>
    <w:rsid w:val="003C518B"/>
    <w:rsid w:val="003C5FC0"/>
    <w:rsid w:val="003C6397"/>
    <w:rsid w:val="003C657E"/>
    <w:rsid w:val="003C6843"/>
    <w:rsid w:val="003C685F"/>
    <w:rsid w:val="003C6D61"/>
    <w:rsid w:val="003C6F1F"/>
    <w:rsid w:val="003C766F"/>
    <w:rsid w:val="003C7A10"/>
    <w:rsid w:val="003C7FD1"/>
    <w:rsid w:val="003D0974"/>
    <w:rsid w:val="003D0E2A"/>
    <w:rsid w:val="003D15E4"/>
    <w:rsid w:val="003D179D"/>
    <w:rsid w:val="003D1BCA"/>
    <w:rsid w:val="003D1CB4"/>
    <w:rsid w:val="003D2062"/>
    <w:rsid w:val="003D20B7"/>
    <w:rsid w:val="003D26B0"/>
    <w:rsid w:val="003D3496"/>
    <w:rsid w:val="003D3B08"/>
    <w:rsid w:val="003D3D74"/>
    <w:rsid w:val="003D4340"/>
    <w:rsid w:val="003D4C19"/>
    <w:rsid w:val="003D4CEE"/>
    <w:rsid w:val="003D4E05"/>
    <w:rsid w:val="003D4F7F"/>
    <w:rsid w:val="003D515A"/>
    <w:rsid w:val="003D5B62"/>
    <w:rsid w:val="003D5DB8"/>
    <w:rsid w:val="003D601F"/>
    <w:rsid w:val="003D61F4"/>
    <w:rsid w:val="003D63C1"/>
    <w:rsid w:val="003D6548"/>
    <w:rsid w:val="003D6980"/>
    <w:rsid w:val="003D7662"/>
    <w:rsid w:val="003D76F0"/>
    <w:rsid w:val="003D7CF9"/>
    <w:rsid w:val="003E02D6"/>
    <w:rsid w:val="003E0743"/>
    <w:rsid w:val="003E086F"/>
    <w:rsid w:val="003E0AC7"/>
    <w:rsid w:val="003E0C75"/>
    <w:rsid w:val="003E1029"/>
    <w:rsid w:val="003E11EA"/>
    <w:rsid w:val="003E194D"/>
    <w:rsid w:val="003E2161"/>
    <w:rsid w:val="003E2349"/>
    <w:rsid w:val="003E2418"/>
    <w:rsid w:val="003E242C"/>
    <w:rsid w:val="003E2564"/>
    <w:rsid w:val="003E34AC"/>
    <w:rsid w:val="003E3D5B"/>
    <w:rsid w:val="003E424A"/>
    <w:rsid w:val="003E4354"/>
    <w:rsid w:val="003E466D"/>
    <w:rsid w:val="003E4C45"/>
    <w:rsid w:val="003E4DCA"/>
    <w:rsid w:val="003E5142"/>
    <w:rsid w:val="003E547F"/>
    <w:rsid w:val="003E5515"/>
    <w:rsid w:val="003E561E"/>
    <w:rsid w:val="003E581D"/>
    <w:rsid w:val="003E5D50"/>
    <w:rsid w:val="003E60B2"/>
    <w:rsid w:val="003E68E0"/>
    <w:rsid w:val="003E74BC"/>
    <w:rsid w:val="003E74D8"/>
    <w:rsid w:val="003F010D"/>
    <w:rsid w:val="003F0352"/>
    <w:rsid w:val="003F06D7"/>
    <w:rsid w:val="003F0FF4"/>
    <w:rsid w:val="003F13A8"/>
    <w:rsid w:val="003F1DC0"/>
    <w:rsid w:val="003F20EB"/>
    <w:rsid w:val="003F218A"/>
    <w:rsid w:val="003F221A"/>
    <w:rsid w:val="003F22AC"/>
    <w:rsid w:val="003F23D1"/>
    <w:rsid w:val="003F270A"/>
    <w:rsid w:val="003F2B5D"/>
    <w:rsid w:val="003F3014"/>
    <w:rsid w:val="003F3E0C"/>
    <w:rsid w:val="003F429A"/>
    <w:rsid w:val="003F4752"/>
    <w:rsid w:val="003F477D"/>
    <w:rsid w:val="003F48A1"/>
    <w:rsid w:val="003F4F0B"/>
    <w:rsid w:val="003F4F1F"/>
    <w:rsid w:val="003F508C"/>
    <w:rsid w:val="003F5143"/>
    <w:rsid w:val="003F5638"/>
    <w:rsid w:val="003F573F"/>
    <w:rsid w:val="003F5810"/>
    <w:rsid w:val="003F586F"/>
    <w:rsid w:val="003F59BF"/>
    <w:rsid w:val="003F5B28"/>
    <w:rsid w:val="003F5D8D"/>
    <w:rsid w:val="003F67A0"/>
    <w:rsid w:val="003F70B7"/>
    <w:rsid w:val="003F7132"/>
    <w:rsid w:val="003F74CB"/>
    <w:rsid w:val="003F7C70"/>
    <w:rsid w:val="00400020"/>
    <w:rsid w:val="004001A8"/>
    <w:rsid w:val="0040066F"/>
    <w:rsid w:val="004008E0"/>
    <w:rsid w:val="00400E13"/>
    <w:rsid w:val="00400F2C"/>
    <w:rsid w:val="0040149C"/>
    <w:rsid w:val="00401BFE"/>
    <w:rsid w:val="004021D9"/>
    <w:rsid w:val="004022DF"/>
    <w:rsid w:val="00402372"/>
    <w:rsid w:val="0040243B"/>
    <w:rsid w:val="00403024"/>
    <w:rsid w:val="0040309C"/>
    <w:rsid w:val="00403220"/>
    <w:rsid w:val="00403965"/>
    <w:rsid w:val="00403ED0"/>
    <w:rsid w:val="0040403B"/>
    <w:rsid w:val="00404044"/>
    <w:rsid w:val="004044BE"/>
    <w:rsid w:val="00404684"/>
    <w:rsid w:val="00404A6F"/>
    <w:rsid w:val="00404C1C"/>
    <w:rsid w:val="00404C3C"/>
    <w:rsid w:val="00404CB0"/>
    <w:rsid w:val="004055CA"/>
    <w:rsid w:val="0040578D"/>
    <w:rsid w:val="00405883"/>
    <w:rsid w:val="00405921"/>
    <w:rsid w:val="004059CD"/>
    <w:rsid w:val="00405E93"/>
    <w:rsid w:val="004062CF"/>
    <w:rsid w:val="0040635F"/>
    <w:rsid w:val="00406BF5"/>
    <w:rsid w:val="0040706D"/>
    <w:rsid w:val="0040711A"/>
    <w:rsid w:val="00407B68"/>
    <w:rsid w:val="004100B5"/>
    <w:rsid w:val="00410481"/>
    <w:rsid w:val="004105EE"/>
    <w:rsid w:val="004106E8"/>
    <w:rsid w:val="00410A0C"/>
    <w:rsid w:val="00410AA5"/>
    <w:rsid w:val="00410D52"/>
    <w:rsid w:val="004117B0"/>
    <w:rsid w:val="004117D7"/>
    <w:rsid w:val="00411981"/>
    <w:rsid w:val="004119B8"/>
    <w:rsid w:val="00412045"/>
    <w:rsid w:val="00414291"/>
    <w:rsid w:val="00414340"/>
    <w:rsid w:val="00414702"/>
    <w:rsid w:val="0041473F"/>
    <w:rsid w:val="00414EA5"/>
    <w:rsid w:val="004151AA"/>
    <w:rsid w:val="0041560B"/>
    <w:rsid w:val="0041596E"/>
    <w:rsid w:val="00416242"/>
    <w:rsid w:val="004164E9"/>
    <w:rsid w:val="0041662A"/>
    <w:rsid w:val="004167F1"/>
    <w:rsid w:val="00416CC6"/>
    <w:rsid w:val="004171E4"/>
    <w:rsid w:val="00417F27"/>
    <w:rsid w:val="004203C6"/>
    <w:rsid w:val="0042096B"/>
    <w:rsid w:val="00420A38"/>
    <w:rsid w:val="00420DF9"/>
    <w:rsid w:val="00421154"/>
    <w:rsid w:val="004212FB"/>
    <w:rsid w:val="004216F7"/>
    <w:rsid w:val="00421FAB"/>
    <w:rsid w:val="004222B5"/>
    <w:rsid w:val="004225F5"/>
    <w:rsid w:val="004227E4"/>
    <w:rsid w:val="00422CEE"/>
    <w:rsid w:val="004231A4"/>
    <w:rsid w:val="004233AB"/>
    <w:rsid w:val="0042395C"/>
    <w:rsid w:val="00423FDF"/>
    <w:rsid w:val="004241A6"/>
    <w:rsid w:val="00424382"/>
    <w:rsid w:val="00424476"/>
    <w:rsid w:val="004244B5"/>
    <w:rsid w:val="004248FA"/>
    <w:rsid w:val="0042497A"/>
    <w:rsid w:val="004251B3"/>
    <w:rsid w:val="0042546A"/>
    <w:rsid w:val="00425565"/>
    <w:rsid w:val="004261AC"/>
    <w:rsid w:val="004262A4"/>
    <w:rsid w:val="00426315"/>
    <w:rsid w:val="00426496"/>
    <w:rsid w:val="004266C4"/>
    <w:rsid w:val="00426919"/>
    <w:rsid w:val="00426C8D"/>
    <w:rsid w:val="00426ED5"/>
    <w:rsid w:val="00426F89"/>
    <w:rsid w:val="00427187"/>
    <w:rsid w:val="00427443"/>
    <w:rsid w:val="004275DB"/>
    <w:rsid w:val="004277E2"/>
    <w:rsid w:val="00427897"/>
    <w:rsid w:val="00427C15"/>
    <w:rsid w:val="00430250"/>
    <w:rsid w:val="0043025A"/>
    <w:rsid w:val="00430267"/>
    <w:rsid w:val="0043036F"/>
    <w:rsid w:val="00430665"/>
    <w:rsid w:val="004307F3"/>
    <w:rsid w:val="00430D0F"/>
    <w:rsid w:val="00430DBA"/>
    <w:rsid w:val="00430DC4"/>
    <w:rsid w:val="00431E31"/>
    <w:rsid w:val="004321D9"/>
    <w:rsid w:val="00432317"/>
    <w:rsid w:val="00432346"/>
    <w:rsid w:val="004337E2"/>
    <w:rsid w:val="00433B54"/>
    <w:rsid w:val="00434C40"/>
    <w:rsid w:val="00434F41"/>
    <w:rsid w:val="0043505A"/>
    <w:rsid w:val="0043533A"/>
    <w:rsid w:val="004357AE"/>
    <w:rsid w:val="0043580C"/>
    <w:rsid w:val="00435C00"/>
    <w:rsid w:val="00435ECA"/>
    <w:rsid w:val="00436744"/>
    <w:rsid w:val="0043696E"/>
    <w:rsid w:val="00437217"/>
    <w:rsid w:val="004373F1"/>
    <w:rsid w:val="004379CF"/>
    <w:rsid w:val="00437A40"/>
    <w:rsid w:val="00437E7B"/>
    <w:rsid w:val="004408DF"/>
    <w:rsid w:val="00440A9E"/>
    <w:rsid w:val="00440F55"/>
    <w:rsid w:val="0044103D"/>
    <w:rsid w:val="004410D1"/>
    <w:rsid w:val="004412E4"/>
    <w:rsid w:val="004415C4"/>
    <w:rsid w:val="00441A68"/>
    <w:rsid w:val="00441D70"/>
    <w:rsid w:val="00441E2C"/>
    <w:rsid w:val="00442004"/>
    <w:rsid w:val="004426BD"/>
    <w:rsid w:val="004427EF"/>
    <w:rsid w:val="00442882"/>
    <w:rsid w:val="00442CB0"/>
    <w:rsid w:val="00443882"/>
    <w:rsid w:val="00443B1E"/>
    <w:rsid w:val="00443B7E"/>
    <w:rsid w:val="00443F7D"/>
    <w:rsid w:val="00444230"/>
    <w:rsid w:val="004442E9"/>
    <w:rsid w:val="00444784"/>
    <w:rsid w:val="00444A1B"/>
    <w:rsid w:val="00444DEA"/>
    <w:rsid w:val="00444E58"/>
    <w:rsid w:val="00445BDD"/>
    <w:rsid w:val="0044640D"/>
    <w:rsid w:val="00446AF5"/>
    <w:rsid w:val="00446BC7"/>
    <w:rsid w:val="00447074"/>
    <w:rsid w:val="004470AB"/>
    <w:rsid w:val="004474FB"/>
    <w:rsid w:val="00447689"/>
    <w:rsid w:val="00447955"/>
    <w:rsid w:val="00447AC8"/>
    <w:rsid w:val="00447CEE"/>
    <w:rsid w:val="00447DB7"/>
    <w:rsid w:val="00447F26"/>
    <w:rsid w:val="00450904"/>
    <w:rsid w:val="00450959"/>
    <w:rsid w:val="00450DAC"/>
    <w:rsid w:val="004514D6"/>
    <w:rsid w:val="004515A6"/>
    <w:rsid w:val="00451BCC"/>
    <w:rsid w:val="0045202C"/>
    <w:rsid w:val="00452192"/>
    <w:rsid w:val="004525F7"/>
    <w:rsid w:val="004529CA"/>
    <w:rsid w:val="00452ACD"/>
    <w:rsid w:val="00452E46"/>
    <w:rsid w:val="00452FCF"/>
    <w:rsid w:val="00453620"/>
    <w:rsid w:val="00453722"/>
    <w:rsid w:val="004537BB"/>
    <w:rsid w:val="0045398B"/>
    <w:rsid w:val="00453DBF"/>
    <w:rsid w:val="00453DF2"/>
    <w:rsid w:val="00453E89"/>
    <w:rsid w:val="00453F9D"/>
    <w:rsid w:val="00454264"/>
    <w:rsid w:val="004547A5"/>
    <w:rsid w:val="00454C4A"/>
    <w:rsid w:val="00454D44"/>
    <w:rsid w:val="00454FBF"/>
    <w:rsid w:val="0045515F"/>
    <w:rsid w:val="004554E6"/>
    <w:rsid w:val="004556DC"/>
    <w:rsid w:val="004557B3"/>
    <w:rsid w:val="00455806"/>
    <w:rsid w:val="00455858"/>
    <w:rsid w:val="00455C14"/>
    <w:rsid w:val="00456009"/>
    <w:rsid w:val="0045606B"/>
    <w:rsid w:val="00456247"/>
    <w:rsid w:val="0045676B"/>
    <w:rsid w:val="00456902"/>
    <w:rsid w:val="0045691F"/>
    <w:rsid w:val="00456970"/>
    <w:rsid w:val="00456A6A"/>
    <w:rsid w:val="00456D8E"/>
    <w:rsid w:val="00456DCB"/>
    <w:rsid w:val="00456DCE"/>
    <w:rsid w:val="004574A0"/>
    <w:rsid w:val="00457726"/>
    <w:rsid w:val="004603AF"/>
    <w:rsid w:val="004605E0"/>
    <w:rsid w:val="00460C81"/>
    <w:rsid w:val="00461080"/>
    <w:rsid w:val="004610E4"/>
    <w:rsid w:val="00461733"/>
    <w:rsid w:val="00461B69"/>
    <w:rsid w:val="004620E3"/>
    <w:rsid w:val="00462497"/>
    <w:rsid w:val="0046251E"/>
    <w:rsid w:val="0046254C"/>
    <w:rsid w:val="0046288F"/>
    <w:rsid w:val="00462FB0"/>
    <w:rsid w:val="004632DE"/>
    <w:rsid w:val="00463627"/>
    <w:rsid w:val="004639A5"/>
    <w:rsid w:val="004641C0"/>
    <w:rsid w:val="00464259"/>
    <w:rsid w:val="0046430D"/>
    <w:rsid w:val="00464403"/>
    <w:rsid w:val="00464A34"/>
    <w:rsid w:val="00464D40"/>
    <w:rsid w:val="00465740"/>
    <w:rsid w:val="004659F9"/>
    <w:rsid w:val="00465BFA"/>
    <w:rsid w:val="0046640A"/>
    <w:rsid w:val="00466528"/>
    <w:rsid w:val="00466780"/>
    <w:rsid w:val="0046689F"/>
    <w:rsid w:val="00467168"/>
    <w:rsid w:val="004674BD"/>
    <w:rsid w:val="00467EDB"/>
    <w:rsid w:val="00470BBA"/>
    <w:rsid w:val="00470FFD"/>
    <w:rsid w:val="00471502"/>
    <w:rsid w:val="0047162A"/>
    <w:rsid w:val="004719BB"/>
    <w:rsid w:val="00471CF0"/>
    <w:rsid w:val="0047219F"/>
    <w:rsid w:val="004723DA"/>
    <w:rsid w:val="004724C2"/>
    <w:rsid w:val="00472540"/>
    <w:rsid w:val="00472669"/>
    <w:rsid w:val="0047282E"/>
    <w:rsid w:val="00472E65"/>
    <w:rsid w:val="00472E89"/>
    <w:rsid w:val="004731AF"/>
    <w:rsid w:val="004737AD"/>
    <w:rsid w:val="00473AF7"/>
    <w:rsid w:val="00473CC9"/>
    <w:rsid w:val="00474154"/>
    <w:rsid w:val="00474953"/>
    <w:rsid w:val="00474C54"/>
    <w:rsid w:val="00474D78"/>
    <w:rsid w:val="00474ED1"/>
    <w:rsid w:val="00475428"/>
    <w:rsid w:val="004755DE"/>
    <w:rsid w:val="00475B99"/>
    <w:rsid w:val="00475E02"/>
    <w:rsid w:val="00475E8E"/>
    <w:rsid w:val="00475F00"/>
    <w:rsid w:val="00475F0F"/>
    <w:rsid w:val="00476558"/>
    <w:rsid w:val="0047678C"/>
    <w:rsid w:val="00476E28"/>
    <w:rsid w:val="00476F8C"/>
    <w:rsid w:val="0047760E"/>
    <w:rsid w:val="004777C4"/>
    <w:rsid w:val="00477C09"/>
    <w:rsid w:val="00480404"/>
    <w:rsid w:val="00480609"/>
    <w:rsid w:val="0048060B"/>
    <w:rsid w:val="00480655"/>
    <w:rsid w:val="00480B1E"/>
    <w:rsid w:val="00481409"/>
    <w:rsid w:val="00481F8E"/>
    <w:rsid w:val="004824E8"/>
    <w:rsid w:val="00482BD4"/>
    <w:rsid w:val="0048365F"/>
    <w:rsid w:val="00483C1F"/>
    <w:rsid w:val="00483CE4"/>
    <w:rsid w:val="00484336"/>
    <w:rsid w:val="0048493D"/>
    <w:rsid w:val="00484B95"/>
    <w:rsid w:val="00484F0F"/>
    <w:rsid w:val="00484F5C"/>
    <w:rsid w:val="00485AA2"/>
    <w:rsid w:val="00485FCA"/>
    <w:rsid w:val="00486220"/>
    <w:rsid w:val="004862DE"/>
    <w:rsid w:val="0048676E"/>
    <w:rsid w:val="0048679C"/>
    <w:rsid w:val="00486859"/>
    <w:rsid w:val="004868A1"/>
    <w:rsid w:val="004869C0"/>
    <w:rsid w:val="0048733C"/>
    <w:rsid w:val="004873E7"/>
    <w:rsid w:val="004874EA"/>
    <w:rsid w:val="004876A4"/>
    <w:rsid w:val="0048773F"/>
    <w:rsid w:val="004878F4"/>
    <w:rsid w:val="004879C6"/>
    <w:rsid w:val="00487BEB"/>
    <w:rsid w:val="004900E4"/>
    <w:rsid w:val="004905F8"/>
    <w:rsid w:val="00490E36"/>
    <w:rsid w:val="00491282"/>
    <w:rsid w:val="00491437"/>
    <w:rsid w:val="00491627"/>
    <w:rsid w:val="00491C30"/>
    <w:rsid w:val="00491CB5"/>
    <w:rsid w:val="00491FCE"/>
    <w:rsid w:val="004920D0"/>
    <w:rsid w:val="004929B5"/>
    <w:rsid w:val="00492C0A"/>
    <w:rsid w:val="00492C25"/>
    <w:rsid w:val="00492E07"/>
    <w:rsid w:val="00493140"/>
    <w:rsid w:val="004932FD"/>
    <w:rsid w:val="004934F6"/>
    <w:rsid w:val="00493963"/>
    <w:rsid w:val="00493C89"/>
    <w:rsid w:val="004943DE"/>
    <w:rsid w:val="004944AD"/>
    <w:rsid w:val="00494982"/>
    <w:rsid w:val="00494B09"/>
    <w:rsid w:val="00494E9B"/>
    <w:rsid w:val="004950A8"/>
    <w:rsid w:val="00495587"/>
    <w:rsid w:val="00495760"/>
    <w:rsid w:val="00495895"/>
    <w:rsid w:val="00495C0E"/>
    <w:rsid w:val="00496065"/>
    <w:rsid w:val="004964F1"/>
    <w:rsid w:val="00496910"/>
    <w:rsid w:val="004970B7"/>
    <w:rsid w:val="0049717A"/>
    <w:rsid w:val="00497640"/>
    <w:rsid w:val="00497F5E"/>
    <w:rsid w:val="004A00E1"/>
    <w:rsid w:val="004A05FD"/>
    <w:rsid w:val="004A0C6C"/>
    <w:rsid w:val="004A12DF"/>
    <w:rsid w:val="004A165C"/>
    <w:rsid w:val="004A19F3"/>
    <w:rsid w:val="004A1F9C"/>
    <w:rsid w:val="004A2081"/>
    <w:rsid w:val="004A22FC"/>
    <w:rsid w:val="004A2879"/>
    <w:rsid w:val="004A28CA"/>
    <w:rsid w:val="004A2FAC"/>
    <w:rsid w:val="004A304C"/>
    <w:rsid w:val="004A35B7"/>
    <w:rsid w:val="004A4281"/>
    <w:rsid w:val="004A44AA"/>
    <w:rsid w:val="004A499E"/>
    <w:rsid w:val="004A4BAD"/>
    <w:rsid w:val="004A4BD1"/>
    <w:rsid w:val="004A4C87"/>
    <w:rsid w:val="004A4E1E"/>
    <w:rsid w:val="004A5025"/>
    <w:rsid w:val="004A5330"/>
    <w:rsid w:val="004A544C"/>
    <w:rsid w:val="004A57BB"/>
    <w:rsid w:val="004A5ACE"/>
    <w:rsid w:val="004A6650"/>
    <w:rsid w:val="004A6934"/>
    <w:rsid w:val="004A695B"/>
    <w:rsid w:val="004A6EF7"/>
    <w:rsid w:val="004A6F8D"/>
    <w:rsid w:val="004A7FE3"/>
    <w:rsid w:val="004B0159"/>
    <w:rsid w:val="004B0300"/>
    <w:rsid w:val="004B0C34"/>
    <w:rsid w:val="004B12AF"/>
    <w:rsid w:val="004B1329"/>
    <w:rsid w:val="004B1467"/>
    <w:rsid w:val="004B1822"/>
    <w:rsid w:val="004B1A60"/>
    <w:rsid w:val="004B2023"/>
    <w:rsid w:val="004B2111"/>
    <w:rsid w:val="004B266A"/>
    <w:rsid w:val="004B2843"/>
    <w:rsid w:val="004B296E"/>
    <w:rsid w:val="004B3163"/>
    <w:rsid w:val="004B33A5"/>
    <w:rsid w:val="004B35F0"/>
    <w:rsid w:val="004B36BC"/>
    <w:rsid w:val="004B3729"/>
    <w:rsid w:val="004B43F1"/>
    <w:rsid w:val="004B46F6"/>
    <w:rsid w:val="004B4720"/>
    <w:rsid w:val="004B496F"/>
    <w:rsid w:val="004B4A44"/>
    <w:rsid w:val="004B53AB"/>
    <w:rsid w:val="004B62AD"/>
    <w:rsid w:val="004B6453"/>
    <w:rsid w:val="004B64C0"/>
    <w:rsid w:val="004B6924"/>
    <w:rsid w:val="004B6999"/>
    <w:rsid w:val="004B6D8D"/>
    <w:rsid w:val="004B76B3"/>
    <w:rsid w:val="004B7734"/>
    <w:rsid w:val="004B7B4F"/>
    <w:rsid w:val="004C0129"/>
    <w:rsid w:val="004C0433"/>
    <w:rsid w:val="004C04C6"/>
    <w:rsid w:val="004C07C2"/>
    <w:rsid w:val="004C0F3B"/>
    <w:rsid w:val="004C1025"/>
    <w:rsid w:val="004C10B7"/>
    <w:rsid w:val="004C13DD"/>
    <w:rsid w:val="004C180E"/>
    <w:rsid w:val="004C194D"/>
    <w:rsid w:val="004C1A95"/>
    <w:rsid w:val="004C1F09"/>
    <w:rsid w:val="004C2496"/>
    <w:rsid w:val="004C28CC"/>
    <w:rsid w:val="004C298C"/>
    <w:rsid w:val="004C2B5E"/>
    <w:rsid w:val="004C2E64"/>
    <w:rsid w:val="004C31E5"/>
    <w:rsid w:val="004C34F9"/>
    <w:rsid w:val="004C385F"/>
    <w:rsid w:val="004C3A23"/>
    <w:rsid w:val="004C3B7E"/>
    <w:rsid w:val="004C423D"/>
    <w:rsid w:val="004C4314"/>
    <w:rsid w:val="004C43C2"/>
    <w:rsid w:val="004C4D3F"/>
    <w:rsid w:val="004C50EB"/>
    <w:rsid w:val="004C5149"/>
    <w:rsid w:val="004C5814"/>
    <w:rsid w:val="004C587D"/>
    <w:rsid w:val="004C5B5D"/>
    <w:rsid w:val="004C6A66"/>
    <w:rsid w:val="004C6B9D"/>
    <w:rsid w:val="004C7561"/>
    <w:rsid w:val="004C79F9"/>
    <w:rsid w:val="004C7A60"/>
    <w:rsid w:val="004C7E55"/>
    <w:rsid w:val="004C7E62"/>
    <w:rsid w:val="004D1144"/>
    <w:rsid w:val="004D14DD"/>
    <w:rsid w:val="004D192E"/>
    <w:rsid w:val="004D1AA5"/>
    <w:rsid w:val="004D1F69"/>
    <w:rsid w:val="004D208F"/>
    <w:rsid w:val="004D2542"/>
    <w:rsid w:val="004D273B"/>
    <w:rsid w:val="004D303B"/>
    <w:rsid w:val="004D3295"/>
    <w:rsid w:val="004D33DC"/>
    <w:rsid w:val="004D3800"/>
    <w:rsid w:val="004D3CBE"/>
    <w:rsid w:val="004D4408"/>
    <w:rsid w:val="004D49A7"/>
    <w:rsid w:val="004D4B61"/>
    <w:rsid w:val="004D4CDC"/>
    <w:rsid w:val="004D54BC"/>
    <w:rsid w:val="004D5AC4"/>
    <w:rsid w:val="004D5C1A"/>
    <w:rsid w:val="004D5E5D"/>
    <w:rsid w:val="004D6C18"/>
    <w:rsid w:val="004D6C53"/>
    <w:rsid w:val="004D6D6D"/>
    <w:rsid w:val="004D6FDF"/>
    <w:rsid w:val="004D722C"/>
    <w:rsid w:val="004D755B"/>
    <w:rsid w:val="004D7D6F"/>
    <w:rsid w:val="004D7EA8"/>
    <w:rsid w:val="004E053A"/>
    <w:rsid w:val="004E0B32"/>
    <w:rsid w:val="004E0DAF"/>
    <w:rsid w:val="004E14EB"/>
    <w:rsid w:val="004E16B1"/>
    <w:rsid w:val="004E1CBE"/>
    <w:rsid w:val="004E2063"/>
    <w:rsid w:val="004E228F"/>
    <w:rsid w:val="004E2319"/>
    <w:rsid w:val="004E24F3"/>
    <w:rsid w:val="004E2548"/>
    <w:rsid w:val="004E2706"/>
    <w:rsid w:val="004E282D"/>
    <w:rsid w:val="004E2B7B"/>
    <w:rsid w:val="004E2DE5"/>
    <w:rsid w:val="004E2EF5"/>
    <w:rsid w:val="004E31A6"/>
    <w:rsid w:val="004E341B"/>
    <w:rsid w:val="004E34B3"/>
    <w:rsid w:val="004E37BC"/>
    <w:rsid w:val="004E42F3"/>
    <w:rsid w:val="004E4569"/>
    <w:rsid w:val="004E46BB"/>
    <w:rsid w:val="004E4872"/>
    <w:rsid w:val="004E4F30"/>
    <w:rsid w:val="004E53F9"/>
    <w:rsid w:val="004E5445"/>
    <w:rsid w:val="004E5507"/>
    <w:rsid w:val="004E580A"/>
    <w:rsid w:val="004E587F"/>
    <w:rsid w:val="004E5A74"/>
    <w:rsid w:val="004E5D12"/>
    <w:rsid w:val="004E6308"/>
    <w:rsid w:val="004E67EB"/>
    <w:rsid w:val="004E6ACE"/>
    <w:rsid w:val="004E6B6F"/>
    <w:rsid w:val="004E7DE6"/>
    <w:rsid w:val="004E7EE5"/>
    <w:rsid w:val="004F04E0"/>
    <w:rsid w:val="004F081F"/>
    <w:rsid w:val="004F0985"/>
    <w:rsid w:val="004F0F2E"/>
    <w:rsid w:val="004F14BA"/>
    <w:rsid w:val="004F14F4"/>
    <w:rsid w:val="004F18C0"/>
    <w:rsid w:val="004F1A6C"/>
    <w:rsid w:val="004F2110"/>
    <w:rsid w:val="004F23A7"/>
    <w:rsid w:val="004F2904"/>
    <w:rsid w:val="004F2A7A"/>
    <w:rsid w:val="004F2B7B"/>
    <w:rsid w:val="004F2D84"/>
    <w:rsid w:val="004F2DB6"/>
    <w:rsid w:val="004F3213"/>
    <w:rsid w:val="004F329A"/>
    <w:rsid w:val="004F331B"/>
    <w:rsid w:val="004F37B4"/>
    <w:rsid w:val="004F3F9D"/>
    <w:rsid w:val="004F4008"/>
    <w:rsid w:val="004F4170"/>
    <w:rsid w:val="004F4CDF"/>
    <w:rsid w:val="004F4E2A"/>
    <w:rsid w:val="004F5271"/>
    <w:rsid w:val="004F56C2"/>
    <w:rsid w:val="004F58C8"/>
    <w:rsid w:val="004F5E0C"/>
    <w:rsid w:val="004F5F7C"/>
    <w:rsid w:val="004F66CD"/>
    <w:rsid w:val="004F6760"/>
    <w:rsid w:val="004F679C"/>
    <w:rsid w:val="004F67AA"/>
    <w:rsid w:val="004F6CE0"/>
    <w:rsid w:val="004F7286"/>
    <w:rsid w:val="004F77B6"/>
    <w:rsid w:val="00500192"/>
    <w:rsid w:val="00500766"/>
    <w:rsid w:val="0050077D"/>
    <w:rsid w:val="005011DA"/>
    <w:rsid w:val="0050125A"/>
    <w:rsid w:val="005014ED"/>
    <w:rsid w:val="00501B23"/>
    <w:rsid w:val="00501F98"/>
    <w:rsid w:val="00502BC8"/>
    <w:rsid w:val="00502E9F"/>
    <w:rsid w:val="00502EF0"/>
    <w:rsid w:val="00502FFF"/>
    <w:rsid w:val="00503A08"/>
    <w:rsid w:val="00503AEF"/>
    <w:rsid w:val="00503BFB"/>
    <w:rsid w:val="005048A5"/>
    <w:rsid w:val="00504BC8"/>
    <w:rsid w:val="00505092"/>
    <w:rsid w:val="00505500"/>
    <w:rsid w:val="005065A4"/>
    <w:rsid w:val="00506FD9"/>
    <w:rsid w:val="00507315"/>
    <w:rsid w:val="00507CD2"/>
    <w:rsid w:val="00510138"/>
    <w:rsid w:val="005101A7"/>
    <w:rsid w:val="00510F69"/>
    <w:rsid w:val="00510FA9"/>
    <w:rsid w:val="00511054"/>
    <w:rsid w:val="0051265A"/>
    <w:rsid w:val="00512C00"/>
    <w:rsid w:val="00513156"/>
    <w:rsid w:val="00513475"/>
    <w:rsid w:val="005138EF"/>
    <w:rsid w:val="005140D3"/>
    <w:rsid w:val="005144E6"/>
    <w:rsid w:val="00514614"/>
    <w:rsid w:val="005151DA"/>
    <w:rsid w:val="005152E9"/>
    <w:rsid w:val="005159BB"/>
    <w:rsid w:val="00515C3A"/>
    <w:rsid w:val="00515C63"/>
    <w:rsid w:val="00515E3E"/>
    <w:rsid w:val="0051651B"/>
    <w:rsid w:val="00516CB3"/>
    <w:rsid w:val="00517019"/>
    <w:rsid w:val="0051763B"/>
    <w:rsid w:val="00517F9E"/>
    <w:rsid w:val="00517FC9"/>
    <w:rsid w:val="005209A4"/>
    <w:rsid w:val="00520A65"/>
    <w:rsid w:val="00520F5A"/>
    <w:rsid w:val="005212B2"/>
    <w:rsid w:val="00521480"/>
    <w:rsid w:val="0052185F"/>
    <w:rsid w:val="00521F34"/>
    <w:rsid w:val="0052200C"/>
    <w:rsid w:val="0052205A"/>
    <w:rsid w:val="005225DF"/>
    <w:rsid w:val="0052281D"/>
    <w:rsid w:val="005232B3"/>
    <w:rsid w:val="00523F90"/>
    <w:rsid w:val="00524241"/>
    <w:rsid w:val="005248DA"/>
    <w:rsid w:val="00524BC7"/>
    <w:rsid w:val="00524C70"/>
    <w:rsid w:val="00524DFA"/>
    <w:rsid w:val="0052531F"/>
    <w:rsid w:val="0052540D"/>
    <w:rsid w:val="005255E6"/>
    <w:rsid w:val="00525751"/>
    <w:rsid w:val="005257CA"/>
    <w:rsid w:val="005258E9"/>
    <w:rsid w:val="0052598F"/>
    <w:rsid w:val="00525E12"/>
    <w:rsid w:val="005266F3"/>
    <w:rsid w:val="005268AC"/>
    <w:rsid w:val="00526B6B"/>
    <w:rsid w:val="00526D16"/>
    <w:rsid w:val="005271C4"/>
    <w:rsid w:val="0052723A"/>
    <w:rsid w:val="00527269"/>
    <w:rsid w:val="00527A8F"/>
    <w:rsid w:val="005302D6"/>
    <w:rsid w:val="005308BF"/>
    <w:rsid w:val="00530F5D"/>
    <w:rsid w:val="005310AF"/>
    <w:rsid w:val="0053123F"/>
    <w:rsid w:val="00531267"/>
    <w:rsid w:val="005314A8"/>
    <w:rsid w:val="00531773"/>
    <w:rsid w:val="00531958"/>
    <w:rsid w:val="00531A5B"/>
    <w:rsid w:val="00531E91"/>
    <w:rsid w:val="00531E9C"/>
    <w:rsid w:val="00532355"/>
    <w:rsid w:val="0053246A"/>
    <w:rsid w:val="005326F2"/>
    <w:rsid w:val="00532A38"/>
    <w:rsid w:val="00532AC1"/>
    <w:rsid w:val="00532B7B"/>
    <w:rsid w:val="00532DAC"/>
    <w:rsid w:val="00532FCF"/>
    <w:rsid w:val="0053333C"/>
    <w:rsid w:val="00533759"/>
    <w:rsid w:val="005337AC"/>
    <w:rsid w:val="005337D3"/>
    <w:rsid w:val="00533CCC"/>
    <w:rsid w:val="00533D22"/>
    <w:rsid w:val="00534E8B"/>
    <w:rsid w:val="00534F24"/>
    <w:rsid w:val="005353B1"/>
    <w:rsid w:val="00535419"/>
    <w:rsid w:val="00535962"/>
    <w:rsid w:val="005359B8"/>
    <w:rsid w:val="00535B2F"/>
    <w:rsid w:val="00535E85"/>
    <w:rsid w:val="00535F9E"/>
    <w:rsid w:val="005360F1"/>
    <w:rsid w:val="00536332"/>
    <w:rsid w:val="0053663D"/>
    <w:rsid w:val="005367C2"/>
    <w:rsid w:val="00536CE0"/>
    <w:rsid w:val="00537082"/>
    <w:rsid w:val="0053728C"/>
    <w:rsid w:val="0053776E"/>
    <w:rsid w:val="0053790B"/>
    <w:rsid w:val="005401BB"/>
    <w:rsid w:val="00540645"/>
    <w:rsid w:val="00540693"/>
    <w:rsid w:val="00540FEA"/>
    <w:rsid w:val="00542CE4"/>
    <w:rsid w:val="005433FA"/>
    <w:rsid w:val="005439F0"/>
    <w:rsid w:val="00544381"/>
    <w:rsid w:val="00544C73"/>
    <w:rsid w:val="005452D7"/>
    <w:rsid w:val="005453C7"/>
    <w:rsid w:val="00545535"/>
    <w:rsid w:val="00545576"/>
    <w:rsid w:val="005457FB"/>
    <w:rsid w:val="0054596E"/>
    <w:rsid w:val="00545B0C"/>
    <w:rsid w:val="00545DA0"/>
    <w:rsid w:val="00545F0F"/>
    <w:rsid w:val="00546040"/>
    <w:rsid w:val="00546E8C"/>
    <w:rsid w:val="0054784E"/>
    <w:rsid w:val="005479A8"/>
    <w:rsid w:val="005504D2"/>
    <w:rsid w:val="005507F5"/>
    <w:rsid w:val="00551354"/>
    <w:rsid w:val="005513AE"/>
    <w:rsid w:val="005514C4"/>
    <w:rsid w:val="005515B3"/>
    <w:rsid w:val="00551897"/>
    <w:rsid w:val="0055209B"/>
    <w:rsid w:val="005521F4"/>
    <w:rsid w:val="00552308"/>
    <w:rsid w:val="0055248F"/>
    <w:rsid w:val="00552A3C"/>
    <w:rsid w:val="00552C41"/>
    <w:rsid w:val="0055338F"/>
    <w:rsid w:val="00553633"/>
    <w:rsid w:val="005539A3"/>
    <w:rsid w:val="00553A82"/>
    <w:rsid w:val="00553C9E"/>
    <w:rsid w:val="00553D89"/>
    <w:rsid w:val="00554022"/>
    <w:rsid w:val="00554037"/>
    <w:rsid w:val="0055474A"/>
    <w:rsid w:val="0055486C"/>
    <w:rsid w:val="00554E14"/>
    <w:rsid w:val="00555164"/>
    <w:rsid w:val="00555194"/>
    <w:rsid w:val="0055567C"/>
    <w:rsid w:val="00555970"/>
    <w:rsid w:val="00555C92"/>
    <w:rsid w:val="00555D6C"/>
    <w:rsid w:val="005563DF"/>
    <w:rsid w:val="005576B3"/>
    <w:rsid w:val="0055793E"/>
    <w:rsid w:val="005579A2"/>
    <w:rsid w:val="00557AD3"/>
    <w:rsid w:val="00560055"/>
    <w:rsid w:val="00560B97"/>
    <w:rsid w:val="00561481"/>
    <w:rsid w:val="00561521"/>
    <w:rsid w:val="00561585"/>
    <w:rsid w:val="00561CA2"/>
    <w:rsid w:val="00561E18"/>
    <w:rsid w:val="00561EA1"/>
    <w:rsid w:val="00562484"/>
    <w:rsid w:val="00562855"/>
    <w:rsid w:val="00562A7B"/>
    <w:rsid w:val="00562AC4"/>
    <w:rsid w:val="00562CE2"/>
    <w:rsid w:val="005630F2"/>
    <w:rsid w:val="00563911"/>
    <w:rsid w:val="00564300"/>
    <w:rsid w:val="00564990"/>
    <w:rsid w:val="00564C4D"/>
    <w:rsid w:val="00564D04"/>
    <w:rsid w:val="00564E3E"/>
    <w:rsid w:val="00564E6B"/>
    <w:rsid w:val="00564F5E"/>
    <w:rsid w:val="005651B2"/>
    <w:rsid w:val="0056537E"/>
    <w:rsid w:val="0056575E"/>
    <w:rsid w:val="00565A56"/>
    <w:rsid w:val="00565A66"/>
    <w:rsid w:val="00565CAB"/>
    <w:rsid w:val="0056673C"/>
    <w:rsid w:val="00566939"/>
    <w:rsid w:val="00566C44"/>
    <w:rsid w:val="00566E50"/>
    <w:rsid w:val="00567048"/>
    <w:rsid w:val="00567193"/>
    <w:rsid w:val="0056780D"/>
    <w:rsid w:val="005678ED"/>
    <w:rsid w:val="0057022C"/>
    <w:rsid w:val="00570367"/>
    <w:rsid w:val="00570948"/>
    <w:rsid w:val="0057155D"/>
    <w:rsid w:val="005725AA"/>
    <w:rsid w:val="00572638"/>
    <w:rsid w:val="00572F2A"/>
    <w:rsid w:val="0057320C"/>
    <w:rsid w:val="005738FF"/>
    <w:rsid w:val="005739F3"/>
    <w:rsid w:val="00573B46"/>
    <w:rsid w:val="00573BDC"/>
    <w:rsid w:val="0057417F"/>
    <w:rsid w:val="005743CD"/>
    <w:rsid w:val="00574416"/>
    <w:rsid w:val="00574962"/>
    <w:rsid w:val="00574A06"/>
    <w:rsid w:val="00574B96"/>
    <w:rsid w:val="0057546E"/>
    <w:rsid w:val="00575916"/>
    <w:rsid w:val="00575D7E"/>
    <w:rsid w:val="005763A5"/>
    <w:rsid w:val="005766C8"/>
    <w:rsid w:val="005769F0"/>
    <w:rsid w:val="00576B99"/>
    <w:rsid w:val="00577B30"/>
    <w:rsid w:val="00577C2B"/>
    <w:rsid w:val="005805AA"/>
    <w:rsid w:val="00580700"/>
    <w:rsid w:val="00581975"/>
    <w:rsid w:val="00581A27"/>
    <w:rsid w:val="005823E7"/>
    <w:rsid w:val="00582555"/>
    <w:rsid w:val="00582868"/>
    <w:rsid w:val="005839A6"/>
    <w:rsid w:val="00583B77"/>
    <w:rsid w:val="005847FA"/>
    <w:rsid w:val="00584D92"/>
    <w:rsid w:val="00585705"/>
    <w:rsid w:val="0058586F"/>
    <w:rsid w:val="00585D4F"/>
    <w:rsid w:val="00586DDE"/>
    <w:rsid w:val="00586FA9"/>
    <w:rsid w:val="0058709A"/>
    <w:rsid w:val="00587595"/>
    <w:rsid w:val="005902DC"/>
    <w:rsid w:val="005904BC"/>
    <w:rsid w:val="005904C1"/>
    <w:rsid w:val="00590731"/>
    <w:rsid w:val="00590A24"/>
    <w:rsid w:val="00590C9F"/>
    <w:rsid w:val="005912A7"/>
    <w:rsid w:val="00591340"/>
    <w:rsid w:val="0059146A"/>
    <w:rsid w:val="0059158F"/>
    <w:rsid w:val="00591768"/>
    <w:rsid w:val="0059177C"/>
    <w:rsid w:val="00591819"/>
    <w:rsid w:val="005918EC"/>
    <w:rsid w:val="00592756"/>
    <w:rsid w:val="0059325E"/>
    <w:rsid w:val="00593784"/>
    <w:rsid w:val="00594369"/>
    <w:rsid w:val="0059476F"/>
    <w:rsid w:val="0059494C"/>
    <w:rsid w:val="00594A4F"/>
    <w:rsid w:val="00594CA4"/>
    <w:rsid w:val="00594F14"/>
    <w:rsid w:val="005951B2"/>
    <w:rsid w:val="005954FC"/>
    <w:rsid w:val="005956EF"/>
    <w:rsid w:val="00595872"/>
    <w:rsid w:val="00595AA4"/>
    <w:rsid w:val="005960A5"/>
    <w:rsid w:val="005960F3"/>
    <w:rsid w:val="00596261"/>
    <w:rsid w:val="00596592"/>
    <w:rsid w:val="00596766"/>
    <w:rsid w:val="00596AF6"/>
    <w:rsid w:val="00596FDE"/>
    <w:rsid w:val="00597120"/>
    <w:rsid w:val="00597603"/>
    <w:rsid w:val="0059776E"/>
    <w:rsid w:val="005977B8"/>
    <w:rsid w:val="00597AC2"/>
    <w:rsid w:val="00597C1A"/>
    <w:rsid w:val="005A012C"/>
    <w:rsid w:val="005A01AA"/>
    <w:rsid w:val="005A08C8"/>
    <w:rsid w:val="005A1C9F"/>
    <w:rsid w:val="005A1EF2"/>
    <w:rsid w:val="005A2126"/>
    <w:rsid w:val="005A2A32"/>
    <w:rsid w:val="005A2E9F"/>
    <w:rsid w:val="005A36C5"/>
    <w:rsid w:val="005A3BD1"/>
    <w:rsid w:val="005A3FA2"/>
    <w:rsid w:val="005A4186"/>
    <w:rsid w:val="005A473C"/>
    <w:rsid w:val="005A4AA0"/>
    <w:rsid w:val="005A50A2"/>
    <w:rsid w:val="005A578D"/>
    <w:rsid w:val="005A5857"/>
    <w:rsid w:val="005A5E5A"/>
    <w:rsid w:val="005A676B"/>
    <w:rsid w:val="005A67D8"/>
    <w:rsid w:val="005A68C9"/>
    <w:rsid w:val="005A6DEE"/>
    <w:rsid w:val="005A6E33"/>
    <w:rsid w:val="005A7B4F"/>
    <w:rsid w:val="005A7E9D"/>
    <w:rsid w:val="005B0D35"/>
    <w:rsid w:val="005B115B"/>
    <w:rsid w:val="005B1208"/>
    <w:rsid w:val="005B16F3"/>
    <w:rsid w:val="005B171A"/>
    <w:rsid w:val="005B1C6B"/>
    <w:rsid w:val="005B2472"/>
    <w:rsid w:val="005B2B02"/>
    <w:rsid w:val="005B2D4E"/>
    <w:rsid w:val="005B344D"/>
    <w:rsid w:val="005B385B"/>
    <w:rsid w:val="005B3E00"/>
    <w:rsid w:val="005B3FE8"/>
    <w:rsid w:val="005B4FA2"/>
    <w:rsid w:val="005B506B"/>
    <w:rsid w:val="005B55BD"/>
    <w:rsid w:val="005B5897"/>
    <w:rsid w:val="005B5AEF"/>
    <w:rsid w:val="005B6FCD"/>
    <w:rsid w:val="005B7182"/>
    <w:rsid w:val="005B71C1"/>
    <w:rsid w:val="005B7457"/>
    <w:rsid w:val="005B747D"/>
    <w:rsid w:val="005B7864"/>
    <w:rsid w:val="005B7A4A"/>
    <w:rsid w:val="005B7C13"/>
    <w:rsid w:val="005C03AE"/>
    <w:rsid w:val="005C0758"/>
    <w:rsid w:val="005C0973"/>
    <w:rsid w:val="005C09CB"/>
    <w:rsid w:val="005C0B24"/>
    <w:rsid w:val="005C11E4"/>
    <w:rsid w:val="005C1368"/>
    <w:rsid w:val="005C178E"/>
    <w:rsid w:val="005C19A6"/>
    <w:rsid w:val="005C1AC2"/>
    <w:rsid w:val="005C1DA2"/>
    <w:rsid w:val="005C1E2B"/>
    <w:rsid w:val="005C2088"/>
    <w:rsid w:val="005C2286"/>
    <w:rsid w:val="005C3167"/>
    <w:rsid w:val="005C35F6"/>
    <w:rsid w:val="005C45A2"/>
    <w:rsid w:val="005C4690"/>
    <w:rsid w:val="005C4B0B"/>
    <w:rsid w:val="005C4DC3"/>
    <w:rsid w:val="005C50EF"/>
    <w:rsid w:val="005C5E73"/>
    <w:rsid w:val="005C6705"/>
    <w:rsid w:val="005C6814"/>
    <w:rsid w:val="005C6BCC"/>
    <w:rsid w:val="005C6D39"/>
    <w:rsid w:val="005C6E1C"/>
    <w:rsid w:val="005C6F0B"/>
    <w:rsid w:val="005C7687"/>
    <w:rsid w:val="005C7922"/>
    <w:rsid w:val="005C79C0"/>
    <w:rsid w:val="005D0008"/>
    <w:rsid w:val="005D02A1"/>
    <w:rsid w:val="005D0781"/>
    <w:rsid w:val="005D08A4"/>
    <w:rsid w:val="005D1265"/>
    <w:rsid w:val="005D1399"/>
    <w:rsid w:val="005D178B"/>
    <w:rsid w:val="005D1982"/>
    <w:rsid w:val="005D2D6D"/>
    <w:rsid w:val="005D2EB0"/>
    <w:rsid w:val="005D2F85"/>
    <w:rsid w:val="005D302E"/>
    <w:rsid w:val="005D308B"/>
    <w:rsid w:val="005D320F"/>
    <w:rsid w:val="005D33DC"/>
    <w:rsid w:val="005D3462"/>
    <w:rsid w:val="005D3609"/>
    <w:rsid w:val="005D3876"/>
    <w:rsid w:val="005D3A68"/>
    <w:rsid w:val="005D3E0A"/>
    <w:rsid w:val="005D43B8"/>
    <w:rsid w:val="005D44DF"/>
    <w:rsid w:val="005D518E"/>
    <w:rsid w:val="005D52F6"/>
    <w:rsid w:val="005D565A"/>
    <w:rsid w:val="005D61E4"/>
    <w:rsid w:val="005D6261"/>
    <w:rsid w:val="005D648C"/>
    <w:rsid w:val="005D651B"/>
    <w:rsid w:val="005D65AE"/>
    <w:rsid w:val="005D65F1"/>
    <w:rsid w:val="005D6B3C"/>
    <w:rsid w:val="005D6EC2"/>
    <w:rsid w:val="005D7331"/>
    <w:rsid w:val="005D7374"/>
    <w:rsid w:val="005D741B"/>
    <w:rsid w:val="005D75F9"/>
    <w:rsid w:val="005D774D"/>
    <w:rsid w:val="005D7D9D"/>
    <w:rsid w:val="005E01E3"/>
    <w:rsid w:val="005E023A"/>
    <w:rsid w:val="005E0CD1"/>
    <w:rsid w:val="005E0F0E"/>
    <w:rsid w:val="005E122E"/>
    <w:rsid w:val="005E2251"/>
    <w:rsid w:val="005E25DF"/>
    <w:rsid w:val="005E2755"/>
    <w:rsid w:val="005E28C5"/>
    <w:rsid w:val="005E2977"/>
    <w:rsid w:val="005E2A6A"/>
    <w:rsid w:val="005E32B9"/>
    <w:rsid w:val="005E3370"/>
    <w:rsid w:val="005E39D3"/>
    <w:rsid w:val="005E3A46"/>
    <w:rsid w:val="005E4289"/>
    <w:rsid w:val="005E443A"/>
    <w:rsid w:val="005E467D"/>
    <w:rsid w:val="005E50E7"/>
    <w:rsid w:val="005E523F"/>
    <w:rsid w:val="005E52C8"/>
    <w:rsid w:val="005E5D6E"/>
    <w:rsid w:val="005E5F18"/>
    <w:rsid w:val="005E5FA8"/>
    <w:rsid w:val="005E602A"/>
    <w:rsid w:val="005E6879"/>
    <w:rsid w:val="005E6D6A"/>
    <w:rsid w:val="005E7475"/>
    <w:rsid w:val="005E78E0"/>
    <w:rsid w:val="005F0032"/>
    <w:rsid w:val="005F04F3"/>
    <w:rsid w:val="005F089C"/>
    <w:rsid w:val="005F08A3"/>
    <w:rsid w:val="005F11ED"/>
    <w:rsid w:val="005F17F7"/>
    <w:rsid w:val="005F1E92"/>
    <w:rsid w:val="005F1EC9"/>
    <w:rsid w:val="005F219D"/>
    <w:rsid w:val="005F21F2"/>
    <w:rsid w:val="005F23D2"/>
    <w:rsid w:val="005F350F"/>
    <w:rsid w:val="005F36D2"/>
    <w:rsid w:val="005F3700"/>
    <w:rsid w:val="005F3EC8"/>
    <w:rsid w:val="005F4285"/>
    <w:rsid w:val="005F44CB"/>
    <w:rsid w:val="005F4A23"/>
    <w:rsid w:val="005F4F8A"/>
    <w:rsid w:val="005F57D0"/>
    <w:rsid w:val="005F5C67"/>
    <w:rsid w:val="005F61FE"/>
    <w:rsid w:val="005F65A4"/>
    <w:rsid w:val="005F6E06"/>
    <w:rsid w:val="005F732A"/>
    <w:rsid w:val="005F735C"/>
    <w:rsid w:val="005F74AF"/>
    <w:rsid w:val="00600779"/>
    <w:rsid w:val="006009E8"/>
    <w:rsid w:val="00601063"/>
    <w:rsid w:val="006011E6"/>
    <w:rsid w:val="00601B2F"/>
    <w:rsid w:val="00602189"/>
    <w:rsid w:val="0060236C"/>
    <w:rsid w:val="00602B88"/>
    <w:rsid w:val="00602D35"/>
    <w:rsid w:val="00603005"/>
    <w:rsid w:val="006030D2"/>
    <w:rsid w:val="006032E5"/>
    <w:rsid w:val="006033AC"/>
    <w:rsid w:val="00604044"/>
    <w:rsid w:val="00604953"/>
    <w:rsid w:val="00604B39"/>
    <w:rsid w:val="00604C4B"/>
    <w:rsid w:val="006053A4"/>
    <w:rsid w:val="006054C0"/>
    <w:rsid w:val="006055FE"/>
    <w:rsid w:val="0060564C"/>
    <w:rsid w:val="00605ABC"/>
    <w:rsid w:val="0060608A"/>
    <w:rsid w:val="00606117"/>
    <w:rsid w:val="00606470"/>
    <w:rsid w:val="0060679C"/>
    <w:rsid w:val="00606994"/>
    <w:rsid w:val="00606D6D"/>
    <w:rsid w:val="00606F50"/>
    <w:rsid w:val="0060705B"/>
    <w:rsid w:val="00607641"/>
    <w:rsid w:val="00607A05"/>
    <w:rsid w:val="00607A55"/>
    <w:rsid w:val="00607AA9"/>
    <w:rsid w:val="00607ED9"/>
    <w:rsid w:val="0061014B"/>
    <w:rsid w:val="006103C3"/>
    <w:rsid w:val="00611036"/>
    <w:rsid w:val="0061148D"/>
    <w:rsid w:val="0061173F"/>
    <w:rsid w:val="00611C8B"/>
    <w:rsid w:val="00611E68"/>
    <w:rsid w:val="00612460"/>
    <w:rsid w:val="00612737"/>
    <w:rsid w:val="00612A42"/>
    <w:rsid w:val="00613615"/>
    <w:rsid w:val="00613CEC"/>
    <w:rsid w:val="00613F5A"/>
    <w:rsid w:val="006145CD"/>
    <w:rsid w:val="006146ED"/>
    <w:rsid w:val="006151C0"/>
    <w:rsid w:val="00615EB6"/>
    <w:rsid w:val="00616111"/>
    <w:rsid w:val="006167A9"/>
    <w:rsid w:val="00616877"/>
    <w:rsid w:val="00616D41"/>
    <w:rsid w:val="006172E8"/>
    <w:rsid w:val="00617482"/>
    <w:rsid w:val="006174AC"/>
    <w:rsid w:val="00617591"/>
    <w:rsid w:val="006175B3"/>
    <w:rsid w:val="0061772A"/>
    <w:rsid w:val="0061773F"/>
    <w:rsid w:val="00617856"/>
    <w:rsid w:val="00617AEB"/>
    <w:rsid w:val="00617CFA"/>
    <w:rsid w:val="006200E0"/>
    <w:rsid w:val="0062018D"/>
    <w:rsid w:val="00620443"/>
    <w:rsid w:val="006204D7"/>
    <w:rsid w:val="006205AD"/>
    <w:rsid w:val="006205C2"/>
    <w:rsid w:val="006206B9"/>
    <w:rsid w:val="0062095C"/>
    <w:rsid w:val="006209F1"/>
    <w:rsid w:val="006209FF"/>
    <w:rsid w:val="0062110E"/>
    <w:rsid w:val="00621252"/>
    <w:rsid w:val="0062162A"/>
    <w:rsid w:val="0062178B"/>
    <w:rsid w:val="00621A00"/>
    <w:rsid w:val="00621B13"/>
    <w:rsid w:val="00621BFC"/>
    <w:rsid w:val="00621E24"/>
    <w:rsid w:val="00622587"/>
    <w:rsid w:val="00622763"/>
    <w:rsid w:val="00622C3A"/>
    <w:rsid w:val="00623468"/>
    <w:rsid w:val="006234DC"/>
    <w:rsid w:val="006244DC"/>
    <w:rsid w:val="0062489C"/>
    <w:rsid w:val="006248B0"/>
    <w:rsid w:val="00624EF2"/>
    <w:rsid w:val="00625421"/>
    <w:rsid w:val="00626073"/>
    <w:rsid w:val="00626299"/>
    <w:rsid w:val="006263D9"/>
    <w:rsid w:val="006264CA"/>
    <w:rsid w:val="00626A30"/>
    <w:rsid w:val="00626D2E"/>
    <w:rsid w:val="00626E93"/>
    <w:rsid w:val="0062752A"/>
    <w:rsid w:val="00627650"/>
    <w:rsid w:val="006279D2"/>
    <w:rsid w:val="00627BAB"/>
    <w:rsid w:val="00630DAD"/>
    <w:rsid w:val="00630F59"/>
    <w:rsid w:val="0063133F"/>
    <w:rsid w:val="00631997"/>
    <w:rsid w:val="006319D9"/>
    <w:rsid w:val="00631A3F"/>
    <w:rsid w:val="00631A70"/>
    <w:rsid w:val="0063247A"/>
    <w:rsid w:val="00632758"/>
    <w:rsid w:val="006328F9"/>
    <w:rsid w:val="00632DBF"/>
    <w:rsid w:val="00632ECB"/>
    <w:rsid w:val="00633E12"/>
    <w:rsid w:val="00633F66"/>
    <w:rsid w:val="0063465A"/>
    <w:rsid w:val="00634740"/>
    <w:rsid w:val="006349AC"/>
    <w:rsid w:val="00634DDB"/>
    <w:rsid w:val="00634F1D"/>
    <w:rsid w:val="006355B0"/>
    <w:rsid w:val="006357B2"/>
    <w:rsid w:val="0063653F"/>
    <w:rsid w:val="00636999"/>
    <w:rsid w:val="00637016"/>
    <w:rsid w:val="0063739B"/>
    <w:rsid w:val="00637845"/>
    <w:rsid w:val="00637F4C"/>
    <w:rsid w:val="006401BA"/>
    <w:rsid w:val="00640924"/>
    <w:rsid w:val="00640CB4"/>
    <w:rsid w:val="00640F6B"/>
    <w:rsid w:val="006414CB"/>
    <w:rsid w:val="0064157F"/>
    <w:rsid w:val="006416C3"/>
    <w:rsid w:val="00642028"/>
    <w:rsid w:val="006423FF"/>
    <w:rsid w:val="00642743"/>
    <w:rsid w:val="006428FE"/>
    <w:rsid w:val="00642EED"/>
    <w:rsid w:val="00643164"/>
    <w:rsid w:val="0064347E"/>
    <w:rsid w:val="006435B5"/>
    <w:rsid w:val="0064432B"/>
    <w:rsid w:val="00644346"/>
    <w:rsid w:val="00644522"/>
    <w:rsid w:val="00644681"/>
    <w:rsid w:val="00644947"/>
    <w:rsid w:val="00644964"/>
    <w:rsid w:val="00644CDE"/>
    <w:rsid w:val="00644FE2"/>
    <w:rsid w:val="006451AF"/>
    <w:rsid w:val="006454C1"/>
    <w:rsid w:val="00645939"/>
    <w:rsid w:val="00645C7A"/>
    <w:rsid w:val="006461D6"/>
    <w:rsid w:val="0064648F"/>
    <w:rsid w:val="0064692B"/>
    <w:rsid w:val="00646AC5"/>
    <w:rsid w:val="00646D51"/>
    <w:rsid w:val="00647074"/>
    <w:rsid w:val="006470DE"/>
    <w:rsid w:val="0064780B"/>
    <w:rsid w:val="00647B7F"/>
    <w:rsid w:val="00650238"/>
    <w:rsid w:val="00650F27"/>
    <w:rsid w:val="0065142A"/>
    <w:rsid w:val="00651CA2"/>
    <w:rsid w:val="00651D2D"/>
    <w:rsid w:val="00651EDB"/>
    <w:rsid w:val="00651F76"/>
    <w:rsid w:val="00652966"/>
    <w:rsid w:val="00652DE3"/>
    <w:rsid w:val="0065327C"/>
    <w:rsid w:val="00654214"/>
    <w:rsid w:val="006543FC"/>
    <w:rsid w:val="00654465"/>
    <w:rsid w:val="006546B7"/>
    <w:rsid w:val="0065485A"/>
    <w:rsid w:val="00654E44"/>
    <w:rsid w:val="00654F37"/>
    <w:rsid w:val="00654FAA"/>
    <w:rsid w:val="0065522D"/>
    <w:rsid w:val="006557B0"/>
    <w:rsid w:val="00655A96"/>
    <w:rsid w:val="00655B0E"/>
    <w:rsid w:val="00655D96"/>
    <w:rsid w:val="0065631A"/>
    <w:rsid w:val="00656EE0"/>
    <w:rsid w:val="0065724A"/>
    <w:rsid w:val="00657CA4"/>
    <w:rsid w:val="00657D6C"/>
    <w:rsid w:val="0066004B"/>
    <w:rsid w:val="006600EF"/>
    <w:rsid w:val="00660223"/>
    <w:rsid w:val="00660279"/>
    <w:rsid w:val="00660F84"/>
    <w:rsid w:val="00660F93"/>
    <w:rsid w:val="006611BD"/>
    <w:rsid w:val="0066125B"/>
    <w:rsid w:val="006615A5"/>
    <w:rsid w:val="00661A2E"/>
    <w:rsid w:val="00661E55"/>
    <w:rsid w:val="00662256"/>
    <w:rsid w:val="0066249B"/>
    <w:rsid w:val="0066269B"/>
    <w:rsid w:val="006630AD"/>
    <w:rsid w:val="0066313B"/>
    <w:rsid w:val="00663269"/>
    <w:rsid w:val="00663304"/>
    <w:rsid w:val="0066330F"/>
    <w:rsid w:val="00663345"/>
    <w:rsid w:val="00663B11"/>
    <w:rsid w:val="00663E0E"/>
    <w:rsid w:val="0066418E"/>
    <w:rsid w:val="0066481F"/>
    <w:rsid w:val="00664B04"/>
    <w:rsid w:val="00664B65"/>
    <w:rsid w:val="00665189"/>
    <w:rsid w:val="006654F7"/>
    <w:rsid w:val="00665524"/>
    <w:rsid w:val="0066598F"/>
    <w:rsid w:val="006659C2"/>
    <w:rsid w:val="00666025"/>
    <w:rsid w:val="006662D9"/>
    <w:rsid w:val="0066686A"/>
    <w:rsid w:val="00666C6D"/>
    <w:rsid w:val="00667334"/>
    <w:rsid w:val="006673B5"/>
    <w:rsid w:val="006677B1"/>
    <w:rsid w:val="006677C6"/>
    <w:rsid w:val="00667CA7"/>
    <w:rsid w:val="00667CF7"/>
    <w:rsid w:val="00670240"/>
    <w:rsid w:val="00670544"/>
    <w:rsid w:val="006709A8"/>
    <w:rsid w:val="00671849"/>
    <w:rsid w:val="00671FEF"/>
    <w:rsid w:val="0067206C"/>
    <w:rsid w:val="006723CF"/>
    <w:rsid w:val="00672421"/>
    <w:rsid w:val="00672453"/>
    <w:rsid w:val="00672779"/>
    <w:rsid w:val="00672F99"/>
    <w:rsid w:val="00673009"/>
    <w:rsid w:val="006730A6"/>
    <w:rsid w:val="006731AD"/>
    <w:rsid w:val="006731BF"/>
    <w:rsid w:val="00674150"/>
    <w:rsid w:val="006742E0"/>
    <w:rsid w:val="006744A6"/>
    <w:rsid w:val="006754E1"/>
    <w:rsid w:val="00675531"/>
    <w:rsid w:val="006756F3"/>
    <w:rsid w:val="006758C9"/>
    <w:rsid w:val="00675939"/>
    <w:rsid w:val="00675F2E"/>
    <w:rsid w:val="0067691E"/>
    <w:rsid w:val="00676CA0"/>
    <w:rsid w:val="00676D8C"/>
    <w:rsid w:val="00676E41"/>
    <w:rsid w:val="00676ED6"/>
    <w:rsid w:val="00677A1B"/>
    <w:rsid w:val="00677AB8"/>
    <w:rsid w:val="00677C88"/>
    <w:rsid w:val="00677EB3"/>
    <w:rsid w:val="00677FF2"/>
    <w:rsid w:val="006801B7"/>
    <w:rsid w:val="00680EB2"/>
    <w:rsid w:val="00680F24"/>
    <w:rsid w:val="00680F7F"/>
    <w:rsid w:val="0068103B"/>
    <w:rsid w:val="00681510"/>
    <w:rsid w:val="00681550"/>
    <w:rsid w:val="0068163F"/>
    <w:rsid w:val="00681892"/>
    <w:rsid w:val="0068222F"/>
    <w:rsid w:val="00682558"/>
    <w:rsid w:val="006825E2"/>
    <w:rsid w:val="006827A1"/>
    <w:rsid w:val="006828DB"/>
    <w:rsid w:val="006829BD"/>
    <w:rsid w:val="00682AD8"/>
    <w:rsid w:val="00682E35"/>
    <w:rsid w:val="0068360E"/>
    <w:rsid w:val="006837E5"/>
    <w:rsid w:val="00683970"/>
    <w:rsid w:val="006839E3"/>
    <w:rsid w:val="00683AA4"/>
    <w:rsid w:val="00683D6B"/>
    <w:rsid w:val="006845DC"/>
    <w:rsid w:val="006846DD"/>
    <w:rsid w:val="00684968"/>
    <w:rsid w:val="006849E3"/>
    <w:rsid w:val="00684C5F"/>
    <w:rsid w:val="00685345"/>
    <w:rsid w:val="006855CC"/>
    <w:rsid w:val="00685693"/>
    <w:rsid w:val="00685CC1"/>
    <w:rsid w:val="00685F1F"/>
    <w:rsid w:val="00686008"/>
    <w:rsid w:val="0068606C"/>
    <w:rsid w:val="00686331"/>
    <w:rsid w:val="00686574"/>
    <w:rsid w:val="00686741"/>
    <w:rsid w:val="006867C5"/>
    <w:rsid w:val="0068680C"/>
    <w:rsid w:val="006868AE"/>
    <w:rsid w:val="00686DEB"/>
    <w:rsid w:val="00686F34"/>
    <w:rsid w:val="00690261"/>
    <w:rsid w:val="0069030A"/>
    <w:rsid w:val="00690840"/>
    <w:rsid w:val="00690A6F"/>
    <w:rsid w:val="00690B40"/>
    <w:rsid w:val="00690FB9"/>
    <w:rsid w:val="006912F4"/>
    <w:rsid w:val="00692372"/>
    <w:rsid w:val="00692CD7"/>
    <w:rsid w:val="00693982"/>
    <w:rsid w:val="006946E5"/>
    <w:rsid w:val="0069475F"/>
    <w:rsid w:val="006949ED"/>
    <w:rsid w:val="00694B1B"/>
    <w:rsid w:val="00694B63"/>
    <w:rsid w:val="00694C82"/>
    <w:rsid w:val="00694CEB"/>
    <w:rsid w:val="00694E0F"/>
    <w:rsid w:val="00694EDC"/>
    <w:rsid w:val="00695A92"/>
    <w:rsid w:val="00695C02"/>
    <w:rsid w:val="00695D43"/>
    <w:rsid w:val="00695D64"/>
    <w:rsid w:val="00696073"/>
    <w:rsid w:val="006961FA"/>
    <w:rsid w:val="0069627F"/>
    <w:rsid w:val="0069640E"/>
    <w:rsid w:val="0069689F"/>
    <w:rsid w:val="006969A8"/>
    <w:rsid w:val="00696ECB"/>
    <w:rsid w:val="0069730F"/>
    <w:rsid w:val="00697EBC"/>
    <w:rsid w:val="006A010C"/>
    <w:rsid w:val="006A094F"/>
    <w:rsid w:val="006A0C95"/>
    <w:rsid w:val="006A0DCF"/>
    <w:rsid w:val="006A0EDD"/>
    <w:rsid w:val="006A1565"/>
    <w:rsid w:val="006A1601"/>
    <w:rsid w:val="006A17F7"/>
    <w:rsid w:val="006A1845"/>
    <w:rsid w:val="006A1938"/>
    <w:rsid w:val="006A208F"/>
    <w:rsid w:val="006A285B"/>
    <w:rsid w:val="006A2AE1"/>
    <w:rsid w:val="006A3466"/>
    <w:rsid w:val="006A3AC0"/>
    <w:rsid w:val="006A3D5B"/>
    <w:rsid w:val="006A41A7"/>
    <w:rsid w:val="006A4285"/>
    <w:rsid w:val="006A494D"/>
    <w:rsid w:val="006A4B0D"/>
    <w:rsid w:val="006A4ECC"/>
    <w:rsid w:val="006A4F41"/>
    <w:rsid w:val="006A5414"/>
    <w:rsid w:val="006A5467"/>
    <w:rsid w:val="006A587D"/>
    <w:rsid w:val="006A5A9D"/>
    <w:rsid w:val="006A5E0A"/>
    <w:rsid w:val="006A60A6"/>
    <w:rsid w:val="006A6A94"/>
    <w:rsid w:val="006A6AB8"/>
    <w:rsid w:val="006A6ABE"/>
    <w:rsid w:val="006A7551"/>
    <w:rsid w:val="006A7E56"/>
    <w:rsid w:val="006B00FD"/>
    <w:rsid w:val="006B04E2"/>
    <w:rsid w:val="006B04F7"/>
    <w:rsid w:val="006B0676"/>
    <w:rsid w:val="006B0942"/>
    <w:rsid w:val="006B0C9B"/>
    <w:rsid w:val="006B0E64"/>
    <w:rsid w:val="006B0FE4"/>
    <w:rsid w:val="006B1043"/>
    <w:rsid w:val="006B1113"/>
    <w:rsid w:val="006B113F"/>
    <w:rsid w:val="006B1C28"/>
    <w:rsid w:val="006B1C45"/>
    <w:rsid w:val="006B1CC5"/>
    <w:rsid w:val="006B1D27"/>
    <w:rsid w:val="006B1DF4"/>
    <w:rsid w:val="006B2106"/>
    <w:rsid w:val="006B21DB"/>
    <w:rsid w:val="006B223B"/>
    <w:rsid w:val="006B27B6"/>
    <w:rsid w:val="006B2A48"/>
    <w:rsid w:val="006B2AE9"/>
    <w:rsid w:val="006B2D82"/>
    <w:rsid w:val="006B2E66"/>
    <w:rsid w:val="006B318C"/>
    <w:rsid w:val="006B346D"/>
    <w:rsid w:val="006B3471"/>
    <w:rsid w:val="006B3AE9"/>
    <w:rsid w:val="006B3B5D"/>
    <w:rsid w:val="006B3E22"/>
    <w:rsid w:val="006B3FD1"/>
    <w:rsid w:val="006B4465"/>
    <w:rsid w:val="006B4A0F"/>
    <w:rsid w:val="006B4D43"/>
    <w:rsid w:val="006B52EB"/>
    <w:rsid w:val="006B54CA"/>
    <w:rsid w:val="006B5884"/>
    <w:rsid w:val="006B5B4E"/>
    <w:rsid w:val="006B5E23"/>
    <w:rsid w:val="006B5F71"/>
    <w:rsid w:val="006B661F"/>
    <w:rsid w:val="006B66A2"/>
    <w:rsid w:val="006B66E0"/>
    <w:rsid w:val="006B6F59"/>
    <w:rsid w:val="006B71B0"/>
    <w:rsid w:val="006B7D15"/>
    <w:rsid w:val="006B7E91"/>
    <w:rsid w:val="006B7FED"/>
    <w:rsid w:val="006C0189"/>
    <w:rsid w:val="006C05A6"/>
    <w:rsid w:val="006C0788"/>
    <w:rsid w:val="006C0A0E"/>
    <w:rsid w:val="006C0B06"/>
    <w:rsid w:val="006C0CAA"/>
    <w:rsid w:val="006C10DC"/>
    <w:rsid w:val="006C175C"/>
    <w:rsid w:val="006C2174"/>
    <w:rsid w:val="006C2233"/>
    <w:rsid w:val="006C2474"/>
    <w:rsid w:val="006C24E5"/>
    <w:rsid w:val="006C26DF"/>
    <w:rsid w:val="006C29BF"/>
    <w:rsid w:val="006C2B5B"/>
    <w:rsid w:val="006C2C71"/>
    <w:rsid w:val="006C2C97"/>
    <w:rsid w:val="006C2D94"/>
    <w:rsid w:val="006C303B"/>
    <w:rsid w:val="006C39F3"/>
    <w:rsid w:val="006C3A03"/>
    <w:rsid w:val="006C3E62"/>
    <w:rsid w:val="006C3FB5"/>
    <w:rsid w:val="006C41C6"/>
    <w:rsid w:val="006C440D"/>
    <w:rsid w:val="006C4737"/>
    <w:rsid w:val="006C4A12"/>
    <w:rsid w:val="006C5438"/>
    <w:rsid w:val="006C5478"/>
    <w:rsid w:val="006C5E04"/>
    <w:rsid w:val="006C60B5"/>
    <w:rsid w:val="006C652C"/>
    <w:rsid w:val="006C683F"/>
    <w:rsid w:val="006C6C5D"/>
    <w:rsid w:val="006C6EB4"/>
    <w:rsid w:val="006C728A"/>
    <w:rsid w:val="006C7667"/>
    <w:rsid w:val="006C7B34"/>
    <w:rsid w:val="006D0286"/>
    <w:rsid w:val="006D058C"/>
    <w:rsid w:val="006D0828"/>
    <w:rsid w:val="006D0B64"/>
    <w:rsid w:val="006D0F8F"/>
    <w:rsid w:val="006D0F9C"/>
    <w:rsid w:val="006D1062"/>
    <w:rsid w:val="006D13BA"/>
    <w:rsid w:val="006D19D6"/>
    <w:rsid w:val="006D2070"/>
    <w:rsid w:val="006D2583"/>
    <w:rsid w:val="006D2644"/>
    <w:rsid w:val="006D2716"/>
    <w:rsid w:val="006D2962"/>
    <w:rsid w:val="006D2989"/>
    <w:rsid w:val="006D2AEF"/>
    <w:rsid w:val="006D3176"/>
    <w:rsid w:val="006D329E"/>
    <w:rsid w:val="006D3593"/>
    <w:rsid w:val="006D3E26"/>
    <w:rsid w:val="006D442B"/>
    <w:rsid w:val="006D4598"/>
    <w:rsid w:val="006D45D3"/>
    <w:rsid w:val="006D4A36"/>
    <w:rsid w:val="006D4EF1"/>
    <w:rsid w:val="006D509D"/>
    <w:rsid w:val="006D52CC"/>
    <w:rsid w:val="006D5C91"/>
    <w:rsid w:val="006D6099"/>
    <w:rsid w:val="006D60CB"/>
    <w:rsid w:val="006D639A"/>
    <w:rsid w:val="006D6DA1"/>
    <w:rsid w:val="006D7227"/>
    <w:rsid w:val="006D7460"/>
    <w:rsid w:val="006D7483"/>
    <w:rsid w:val="006D7BF9"/>
    <w:rsid w:val="006D7BFE"/>
    <w:rsid w:val="006E05D7"/>
    <w:rsid w:val="006E0A76"/>
    <w:rsid w:val="006E0DF6"/>
    <w:rsid w:val="006E10F9"/>
    <w:rsid w:val="006E1439"/>
    <w:rsid w:val="006E1836"/>
    <w:rsid w:val="006E186F"/>
    <w:rsid w:val="006E1C84"/>
    <w:rsid w:val="006E1F5D"/>
    <w:rsid w:val="006E23A2"/>
    <w:rsid w:val="006E255A"/>
    <w:rsid w:val="006E28CD"/>
    <w:rsid w:val="006E2A1A"/>
    <w:rsid w:val="006E2BCA"/>
    <w:rsid w:val="006E2F97"/>
    <w:rsid w:val="006E2FB4"/>
    <w:rsid w:val="006E33F3"/>
    <w:rsid w:val="006E3A2F"/>
    <w:rsid w:val="006E3DA2"/>
    <w:rsid w:val="006E4220"/>
    <w:rsid w:val="006E5653"/>
    <w:rsid w:val="006E5C44"/>
    <w:rsid w:val="006E5E1F"/>
    <w:rsid w:val="006E6AF4"/>
    <w:rsid w:val="006E6F30"/>
    <w:rsid w:val="006E7690"/>
    <w:rsid w:val="006E7B7A"/>
    <w:rsid w:val="006E7FD7"/>
    <w:rsid w:val="006F0364"/>
    <w:rsid w:val="006F0406"/>
    <w:rsid w:val="006F041B"/>
    <w:rsid w:val="006F09A4"/>
    <w:rsid w:val="006F0F65"/>
    <w:rsid w:val="006F1451"/>
    <w:rsid w:val="006F17BE"/>
    <w:rsid w:val="006F1CCA"/>
    <w:rsid w:val="006F201B"/>
    <w:rsid w:val="006F2715"/>
    <w:rsid w:val="006F2A08"/>
    <w:rsid w:val="006F2A81"/>
    <w:rsid w:val="006F2CB2"/>
    <w:rsid w:val="006F2E46"/>
    <w:rsid w:val="006F3124"/>
    <w:rsid w:val="006F351C"/>
    <w:rsid w:val="006F3961"/>
    <w:rsid w:val="006F39C1"/>
    <w:rsid w:val="006F3D1F"/>
    <w:rsid w:val="006F3D32"/>
    <w:rsid w:val="006F444C"/>
    <w:rsid w:val="006F4725"/>
    <w:rsid w:val="006F4EE5"/>
    <w:rsid w:val="006F4FC7"/>
    <w:rsid w:val="006F509F"/>
    <w:rsid w:val="006F56E9"/>
    <w:rsid w:val="006F5D6A"/>
    <w:rsid w:val="006F606E"/>
    <w:rsid w:val="006F60EA"/>
    <w:rsid w:val="006F6AE6"/>
    <w:rsid w:val="006F6B9B"/>
    <w:rsid w:val="006F6E7E"/>
    <w:rsid w:val="006F6F1C"/>
    <w:rsid w:val="006F77C5"/>
    <w:rsid w:val="006F7D9A"/>
    <w:rsid w:val="0070000D"/>
    <w:rsid w:val="0070002A"/>
    <w:rsid w:val="007003DB"/>
    <w:rsid w:val="0070057D"/>
    <w:rsid w:val="0070070F"/>
    <w:rsid w:val="00700B49"/>
    <w:rsid w:val="00700BC7"/>
    <w:rsid w:val="00700FDB"/>
    <w:rsid w:val="00701227"/>
    <w:rsid w:val="00701700"/>
    <w:rsid w:val="00702601"/>
    <w:rsid w:val="007027F5"/>
    <w:rsid w:val="00702C11"/>
    <w:rsid w:val="007033A7"/>
    <w:rsid w:val="00703A8F"/>
    <w:rsid w:val="00704028"/>
    <w:rsid w:val="007041B2"/>
    <w:rsid w:val="0070430E"/>
    <w:rsid w:val="00704632"/>
    <w:rsid w:val="00704B6B"/>
    <w:rsid w:val="00704C27"/>
    <w:rsid w:val="00705180"/>
    <w:rsid w:val="0070537D"/>
    <w:rsid w:val="007060EE"/>
    <w:rsid w:val="00706958"/>
    <w:rsid w:val="00706AD5"/>
    <w:rsid w:val="007072F6"/>
    <w:rsid w:val="00707704"/>
    <w:rsid w:val="00707BBE"/>
    <w:rsid w:val="0071033D"/>
    <w:rsid w:val="00711102"/>
    <w:rsid w:val="007112C2"/>
    <w:rsid w:val="007113D5"/>
    <w:rsid w:val="007121F9"/>
    <w:rsid w:val="007124BB"/>
    <w:rsid w:val="007129DB"/>
    <w:rsid w:val="00712A05"/>
    <w:rsid w:val="00712BA1"/>
    <w:rsid w:val="0071346A"/>
    <w:rsid w:val="007141DD"/>
    <w:rsid w:val="00714786"/>
    <w:rsid w:val="00714D8C"/>
    <w:rsid w:val="00715341"/>
    <w:rsid w:val="0071543D"/>
    <w:rsid w:val="00715463"/>
    <w:rsid w:val="00715A17"/>
    <w:rsid w:val="00715C40"/>
    <w:rsid w:val="00715E52"/>
    <w:rsid w:val="00715F00"/>
    <w:rsid w:val="00716002"/>
    <w:rsid w:val="0071647A"/>
    <w:rsid w:val="007166BA"/>
    <w:rsid w:val="0071681B"/>
    <w:rsid w:val="0071691D"/>
    <w:rsid w:val="0071699A"/>
    <w:rsid w:val="00716D2A"/>
    <w:rsid w:val="00716D39"/>
    <w:rsid w:val="00717120"/>
    <w:rsid w:val="00717396"/>
    <w:rsid w:val="007174C1"/>
    <w:rsid w:val="007178CD"/>
    <w:rsid w:val="0071797D"/>
    <w:rsid w:val="0071798E"/>
    <w:rsid w:val="0072026E"/>
    <w:rsid w:val="00720296"/>
    <w:rsid w:val="0072062D"/>
    <w:rsid w:val="007206C0"/>
    <w:rsid w:val="00720859"/>
    <w:rsid w:val="00720B42"/>
    <w:rsid w:val="00720F7F"/>
    <w:rsid w:val="00721100"/>
    <w:rsid w:val="007213AF"/>
    <w:rsid w:val="00721527"/>
    <w:rsid w:val="007217C5"/>
    <w:rsid w:val="007217FE"/>
    <w:rsid w:val="00721B9C"/>
    <w:rsid w:val="007228B0"/>
    <w:rsid w:val="007229DD"/>
    <w:rsid w:val="00722EF1"/>
    <w:rsid w:val="0072314E"/>
    <w:rsid w:val="00723BBB"/>
    <w:rsid w:val="00724831"/>
    <w:rsid w:val="00724EA0"/>
    <w:rsid w:val="007256AE"/>
    <w:rsid w:val="00725BD3"/>
    <w:rsid w:val="00725C65"/>
    <w:rsid w:val="00726605"/>
    <w:rsid w:val="007271E8"/>
    <w:rsid w:val="0072737B"/>
    <w:rsid w:val="00727697"/>
    <w:rsid w:val="007276DB"/>
    <w:rsid w:val="007277A6"/>
    <w:rsid w:val="00727831"/>
    <w:rsid w:val="00730A8C"/>
    <w:rsid w:val="00730BA9"/>
    <w:rsid w:val="00731465"/>
    <w:rsid w:val="00731769"/>
    <w:rsid w:val="00732AA2"/>
    <w:rsid w:val="00732C31"/>
    <w:rsid w:val="00732DEE"/>
    <w:rsid w:val="00732E52"/>
    <w:rsid w:val="00732F3C"/>
    <w:rsid w:val="0073355B"/>
    <w:rsid w:val="00733560"/>
    <w:rsid w:val="007335C8"/>
    <w:rsid w:val="00733720"/>
    <w:rsid w:val="00733875"/>
    <w:rsid w:val="00733F16"/>
    <w:rsid w:val="00734115"/>
    <w:rsid w:val="007342A9"/>
    <w:rsid w:val="0073454F"/>
    <w:rsid w:val="00734886"/>
    <w:rsid w:val="00734A1A"/>
    <w:rsid w:val="00734C51"/>
    <w:rsid w:val="00734CBA"/>
    <w:rsid w:val="00735086"/>
    <w:rsid w:val="007350C7"/>
    <w:rsid w:val="007355CE"/>
    <w:rsid w:val="0073564B"/>
    <w:rsid w:val="007356D4"/>
    <w:rsid w:val="00735FB5"/>
    <w:rsid w:val="00736961"/>
    <w:rsid w:val="00736B83"/>
    <w:rsid w:val="00736CD3"/>
    <w:rsid w:val="00736D2D"/>
    <w:rsid w:val="00736F5D"/>
    <w:rsid w:val="007373BF"/>
    <w:rsid w:val="007374D0"/>
    <w:rsid w:val="00737953"/>
    <w:rsid w:val="00737A40"/>
    <w:rsid w:val="0074005A"/>
    <w:rsid w:val="0074043A"/>
    <w:rsid w:val="00740EB7"/>
    <w:rsid w:val="00741051"/>
    <w:rsid w:val="00741097"/>
    <w:rsid w:val="00741175"/>
    <w:rsid w:val="007415CD"/>
    <w:rsid w:val="0074186A"/>
    <w:rsid w:val="00742768"/>
    <w:rsid w:val="0074295A"/>
    <w:rsid w:val="00742A35"/>
    <w:rsid w:val="00742E0F"/>
    <w:rsid w:val="00742FDC"/>
    <w:rsid w:val="00743304"/>
    <w:rsid w:val="00743449"/>
    <w:rsid w:val="0074364E"/>
    <w:rsid w:val="0074370E"/>
    <w:rsid w:val="0074379E"/>
    <w:rsid w:val="00743E02"/>
    <w:rsid w:val="00744254"/>
    <w:rsid w:val="0074453E"/>
    <w:rsid w:val="00744804"/>
    <w:rsid w:val="007449E6"/>
    <w:rsid w:val="007449FF"/>
    <w:rsid w:val="00744A69"/>
    <w:rsid w:val="00744CFB"/>
    <w:rsid w:val="00744FCA"/>
    <w:rsid w:val="00745707"/>
    <w:rsid w:val="00745A37"/>
    <w:rsid w:val="00745A61"/>
    <w:rsid w:val="00745D00"/>
    <w:rsid w:val="00745E1B"/>
    <w:rsid w:val="00745E50"/>
    <w:rsid w:val="0074609C"/>
    <w:rsid w:val="00746268"/>
    <w:rsid w:val="00746765"/>
    <w:rsid w:val="00746D74"/>
    <w:rsid w:val="007470B8"/>
    <w:rsid w:val="007472F1"/>
    <w:rsid w:val="00747533"/>
    <w:rsid w:val="00747A0A"/>
    <w:rsid w:val="00747E77"/>
    <w:rsid w:val="00750300"/>
    <w:rsid w:val="0075033C"/>
    <w:rsid w:val="007505B0"/>
    <w:rsid w:val="007508E3"/>
    <w:rsid w:val="007509AA"/>
    <w:rsid w:val="00750EF9"/>
    <w:rsid w:val="00750F23"/>
    <w:rsid w:val="00750F69"/>
    <w:rsid w:val="00751719"/>
    <w:rsid w:val="0075189C"/>
    <w:rsid w:val="0075223D"/>
    <w:rsid w:val="00752519"/>
    <w:rsid w:val="007526F5"/>
    <w:rsid w:val="00752D32"/>
    <w:rsid w:val="00752E9C"/>
    <w:rsid w:val="00752FB0"/>
    <w:rsid w:val="007543FA"/>
    <w:rsid w:val="007545E8"/>
    <w:rsid w:val="00754E98"/>
    <w:rsid w:val="00755325"/>
    <w:rsid w:val="0075570F"/>
    <w:rsid w:val="00755D0B"/>
    <w:rsid w:val="0075622B"/>
    <w:rsid w:val="0075636F"/>
    <w:rsid w:val="0075655F"/>
    <w:rsid w:val="007567CB"/>
    <w:rsid w:val="007571C9"/>
    <w:rsid w:val="00757AB7"/>
    <w:rsid w:val="00760465"/>
    <w:rsid w:val="00760E40"/>
    <w:rsid w:val="007611EE"/>
    <w:rsid w:val="00761260"/>
    <w:rsid w:val="00761271"/>
    <w:rsid w:val="0076135E"/>
    <w:rsid w:val="007615C1"/>
    <w:rsid w:val="00761BAD"/>
    <w:rsid w:val="00761DAF"/>
    <w:rsid w:val="00761E58"/>
    <w:rsid w:val="007620B1"/>
    <w:rsid w:val="0076268E"/>
    <w:rsid w:val="00763024"/>
    <w:rsid w:val="00763692"/>
    <w:rsid w:val="00763A2D"/>
    <w:rsid w:val="00763E5B"/>
    <w:rsid w:val="007641A9"/>
    <w:rsid w:val="00764855"/>
    <w:rsid w:val="007648CF"/>
    <w:rsid w:val="00764A43"/>
    <w:rsid w:val="00764ADB"/>
    <w:rsid w:val="007652BD"/>
    <w:rsid w:val="00765AF6"/>
    <w:rsid w:val="0076657E"/>
    <w:rsid w:val="0076680E"/>
    <w:rsid w:val="00766C6C"/>
    <w:rsid w:val="007670CE"/>
    <w:rsid w:val="00767500"/>
    <w:rsid w:val="00770411"/>
    <w:rsid w:val="00770516"/>
    <w:rsid w:val="00770E84"/>
    <w:rsid w:val="0077128C"/>
    <w:rsid w:val="00771333"/>
    <w:rsid w:val="0077162F"/>
    <w:rsid w:val="00771C8D"/>
    <w:rsid w:val="00771CCE"/>
    <w:rsid w:val="007722C8"/>
    <w:rsid w:val="007722E2"/>
    <w:rsid w:val="007725AD"/>
    <w:rsid w:val="007728C4"/>
    <w:rsid w:val="00772CB2"/>
    <w:rsid w:val="00772E50"/>
    <w:rsid w:val="0077300D"/>
    <w:rsid w:val="00773060"/>
    <w:rsid w:val="0077365C"/>
    <w:rsid w:val="00773745"/>
    <w:rsid w:val="00773ED5"/>
    <w:rsid w:val="007744CE"/>
    <w:rsid w:val="00774E10"/>
    <w:rsid w:val="00774F6D"/>
    <w:rsid w:val="007752D4"/>
    <w:rsid w:val="007753CC"/>
    <w:rsid w:val="007754BB"/>
    <w:rsid w:val="007755A0"/>
    <w:rsid w:val="00775742"/>
    <w:rsid w:val="00775D77"/>
    <w:rsid w:val="00776825"/>
    <w:rsid w:val="007770C9"/>
    <w:rsid w:val="0077765F"/>
    <w:rsid w:val="00777F35"/>
    <w:rsid w:val="00780077"/>
    <w:rsid w:val="00780419"/>
    <w:rsid w:val="007805F2"/>
    <w:rsid w:val="007808AC"/>
    <w:rsid w:val="00780BC6"/>
    <w:rsid w:val="00780DAB"/>
    <w:rsid w:val="00781E4F"/>
    <w:rsid w:val="007825FC"/>
    <w:rsid w:val="00782823"/>
    <w:rsid w:val="00782B58"/>
    <w:rsid w:val="0078309E"/>
    <w:rsid w:val="00783676"/>
    <w:rsid w:val="0078382E"/>
    <w:rsid w:val="00783B09"/>
    <w:rsid w:val="00783CD4"/>
    <w:rsid w:val="00784C64"/>
    <w:rsid w:val="00784FF2"/>
    <w:rsid w:val="00785082"/>
    <w:rsid w:val="007857FB"/>
    <w:rsid w:val="00785806"/>
    <w:rsid w:val="00785A39"/>
    <w:rsid w:val="00786128"/>
    <w:rsid w:val="007861F3"/>
    <w:rsid w:val="0078623A"/>
    <w:rsid w:val="00786D12"/>
    <w:rsid w:val="00786E59"/>
    <w:rsid w:val="00787413"/>
    <w:rsid w:val="007877B8"/>
    <w:rsid w:val="007877CE"/>
    <w:rsid w:val="00787D3A"/>
    <w:rsid w:val="00787D55"/>
    <w:rsid w:val="00787E7B"/>
    <w:rsid w:val="00787EC8"/>
    <w:rsid w:val="007900AF"/>
    <w:rsid w:val="00790269"/>
    <w:rsid w:val="007905EE"/>
    <w:rsid w:val="0079095B"/>
    <w:rsid w:val="00790AC0"/>
    <w:rsid w:val="00790B29"/>
    <w:rsid w:val="00790CE6"/>
    <w:rsid w:val="00790F9C"/>
    <w:rsid w:val="00790FB5"/>
    <w:rsid w:val="00791264"/>
    <w:rsid w:val="00791738"/>
    <w:rsid w:val="00791C0A"/>
    <w:rsid w:val="00791CD5"/>
    <w:rsid w:val="007920D7"/>
    <w:rsid w:val="00792351"/>
    <w:rsid w:val="00792C1A"/>
    <w:rsid w:val="00792D68"/>
    <w:rsid w:val="00793011"/>
    <w:rsid w:val="0079352D"/>
    <w:rsid w:val="007936F2"/>
    <w:rsid w:val="00793A34"/>
    <w:rsid w:val="00793BD1"/>
    <w:rsid w:val="00793E24"/>
    <w:rsid w:val="00793E99"/>
    <w:rsid w:val="00793ECE"/>
    <w:rsid w:val="00794216"/>
    <w:rsid w:val="00794221"/>
    <w:rsid w:val="007942AE"/>
    <w:rsid w:val="00795357"/>
    <w:rsid w:val="00795546"/>
    <w:rsid w:val="00795C0D"/>
    <w:rsid w:val="0079612D"/>
    <w:rsid w:val="007964EC"/>
    <w:rsid w:val="00796D3E"/>
    <w:rsid w:val="00796E08"/>
    <w:rsid w:val="00796E96"/>
    <w:rsid w:val="00797141"/>
    <w:rsid w:val="00797342"/>
    <w:rsid w:val="0079745C"/>
    <w:rsid w:val="00797913"/>
    <w:rsid w:val="007979B0"/>
    <w:rsid w:val="00797AF1"/>
    <w:rsid w:val="00797DC4"/>
    <w:rsid w:val="007A0276"/>
    <w:rsid w:val="007A048C"/>
    <w:rsid w:val="007A08A0"/>
    <w:rsid w:val="007A0CFA"/>
    <w:rsid w:val="007A0EB8"/>
    <w:rsid w:val="007A0FE5"/>
    <w:rsid w:val="007A1707"/>
    <w:rsid w:val="007A1E12"/>
    <w:rsid w:val="007A1EF6"/>
    <w:rsid w:val="007A216D"/>
    <w:rsid w:val="007A232A"/>
    <w:rsid w:val="007A264D"/>
    <w:rsid w:val="007A2CFE"/>
    <w:rsid w:val="007A2E58"/>
    <w:rsid w:val="007A3D44"/>
    <w:rsid w:val="007A4583"/>
    <w:rsid w:val="007A47E8"/>
    <w:rsid w:val="007A4CC0"/>
    <w:rsid w:val="007A56CB"/>
    <w:rsid w:val="007A5AA0"/>
    <w:rsid w:val="007A5D5F"/>
    <w:rsid w:val="007A5FC2"/>
    <w:rsid w:val="007A6236"/>
    <w:rsid w:val="007A6850"/>
    <w:rsid w:val="007A7441"/>
    <w:rsid w:val="007B0718"/>
    <w:rsid w:val="007B07F7"/>
    <w:rsid w:val="007B0A8A"/>
    <w:rsid w:val="007B0AA6"/>
    <w:rsid w:val="007B0BF7"/>
    <w:rsid w:val="007B0BFC"/>
    <w:rsid w:val="007B0D3A"/>
    <w:rsid w:val="007B0DB2"/>
    <w:rsid w:val="007B105C"/>
    <w:rsid w:val="007B1583"/>
    <w:rsid w:val="007B19DB"/>
    <w:rsid w:val="007B1D72"/>
    <w:rsid w:val="007B2011"/>
    <w:rsid w:val="007B2170"/>
    <w:rsid w:val="007B2794"/>
    <w:rsid w:val="007B33B8"/>
    <w:rsid w:val="007B355A"/>
    <w:rsid w:val="007B35C2"/>
    <w:rsid w:val="007B42E6"/>
    <w:rsid w:val="007B44EB"/>
    <w:rsid w:val="007B4AB4"/>
    <w:rsid w:val="007B4E9E"/>
    <w:rsid w:val="007B5436"/>
    <w:rsid w:val="007B54E6"/>
    <w:rsid w:val="007B5525"/>
    <w:rsid w:val="007B56F8"/>
    <w:rsid w:val="007B58DC"/>
    <w:rsid w:val="007B5995"/>
    <w:rsid w:val="007B5B2B"/>
    <w:rsid w:val="007B5C8F"/>
    <w:rsid w:val="007B62A3"/>
    <w:rsid w:val="007B6438"/>
    <w:rsid w:val="007B6704"/>
    <w:rsid w:val="007B6898"/>
    <w:rsid w:val="007B6FEA"/>
    <w:rsid w:val="007B7AFE"/>
    <w:rsid w:val="007B7DB9"/>
    <w:rsid w:val="007B7DFE"/>
    <w:rsid w:val="007B7E06"/>
    <w:rsid w:val="007C00F4"/>
    <w:rsid w:val="007C0568"/>
    <w:rsid w:val="007C088D"/>
    <w:rsid w:val="007C0A28"/>
    <w:rsid w:val="007C134F"/>
    <w:rsid w:val="007C1D2C"/>
    <w:rsid w:val="007C1F10"/>
    <w:rsid w:val="007C238E"/>
    <w:rsid w:val="007C2445"/>
    <w:rsid w:val="007C262E"/>
    <w:rsid w:val="007C3452"/>
    <w:rsid w:val="007C399F"/>
    <w:rsid w:val="007C3BC4"/>
    <w:rsid w:val="007C3EA8"/>
    <w:rsid w:val="007C40A5"/>
    <w:rsid w:val="007C43F4"/>
    <w:rsid w:val="007C450B"/>
    <w:rsid w:val="007C45BC"/>
    <w:rsid w:val="007C48BA"/>
    <w:rsid w:val="007C48F4"/>
    <w:rsid w:val="007C4C6F"/>
    <w:rsid w:val="007C508E"/>
    <w:rsid w:val="007C54BD"/>
    <w:rsid w:val="007C58AC"/>
    <w:rsid w:val="007C5A2F"/>
    <w:rsid w:val="007C62F8"/>
    <w:rsid w:val="007C6468"/>
    <w:rsid w:val="007C657F"/>
    <w:rsid w:val="007C6680"/>
    <w:rsid w:val="007C6747"/>
    <w:rsid w:val="007C6BD1"/>
    <w:rsid w:val="007C6CC4"/>
    <w:rsid w:val="007C70F4"/>
    <w:rsid w:val="007C71BF"/>
    <w:rsid w:val="007C7304"/>
    <w:rsid w:val="007C7307"/>
    <w:rsid w:val="007C78CC"/>
    <w:rsid w:val="007D0075"/>
    <w:rsid w:val="007D123E"/>
    <w:rsid w:val="007D14ED"/>
    <w:rsid w:val="007D16EB"/>
    <w:rsid w:val="007D1C02"/>
    <w:rsid w:val="007D1DD2"/>
    <w:rsid w:val="007D2245"/>
    <w:rsid w:val="007D26A0"/>
    <w:rsid w:val="007D27D6"/>
    <w:rsid w:val="007D299B"/>
    <w:rsid w:val="007D2D02"/>
    <w:rsid w:val="007D313D"/>
    <w:rsid w:val="007D325C"/>
    <w:rsid w:val="007D3524"/>
    <w:rsid w:val="007D423C"/>
    <w:rsid w:val="007D4C54"/>
    <w:rsid w:val="007D4C6F"/>
    <w:rsid w:val="007D4EA6"/>
    <w:rsid w:val="007D5890"/>
    <w:rsid w:val="007D6025"/>
    <w:rsid w:val="007D6205"/>
    <w:rsid w:val="007D71F3"/>
    <w:rsid w:val="007D7CF2"/>
    <w:rsid w:val="007E0066"/>
    <w:rsid w:val="007E0D6A"/>
    <w:rsid w:val="007E13CC"/>
    <w:rsid w:val="007E17F6"/>
    <w:rsid w:val="007E1C9B"/>
    <w:rsid w:val="007E20A0"/>
    <w:rsid w:val="007E220E"/>
    <w:rsid w:val="007E23A7"/>
    <w:rsid w:val="007E2828"/>
    <w:rsid w:val="007E2DFF"/>
    <w:rsid w:val="007E2FBA"/>
    <w:rsid w:val="007E30D6"/>
    <w:rsid w:val="007E375B"/>
    <w:rsid w:val="007E37D0"/>
    <w:rsid w:val="007E39EB"/>
    <w:rsid w:val="007E3BAF"/>
    <w:rsid w:val="007E3D20"/>
    <w:rsid w:val="007E44BA"/>
    <w:rsid w:val="007E44BD"/>
    <w:rsid w:val="007E4DD3"/>
    <w:rsid w:val="007E4F00"/>
    <w:rsid w:val="007E4F49"/>
    <w:rsid w:val="007E59A3"/>
    <w:rsid w:val="007E5AFA"/>
    <w:rsid w:val="007E61CA"/>
    <w:rsid w:val="007E66E6"/>
    <w:rsid w:val="007E6873"/>
    <w:rsid w:val="007E6996"/>
    <w:rsid w:val="007E6E6D"/>
    <w:rsid w:val="007E73B7"/>
    <w:rsid w:val="007E73FA"/>
    <w:rsid w:val="007E7898"/>
    <w:rsid w:val="007E7B06"/>
    <w:rsid w:val="007F0175"/>
    <w:rsid w:val="007F042B"/>
    <w:rsid w:val="007F0609"/>
    <w:rsid w:val="007F0F76"/>
    <w:rsid w:val="007F13AB"/>
    <w:rsid w:val="007F16C6"/>
    <w:rsid w:val="007F1CF4"/>
    <w:rsid w:val="007F1D57"/>
    <w:rsid w:val="007F1DB8"/>
    <w:rsid w:val="007F2188"/>
    <w:rsid w:val="007F293F"/>
    <w:rsid w:val="007F33E0"/>
    <w:rsid w:val="007F33E9"/>
    <w:rsid w:val="007F38F5"/>
    <w:rsid w:val="007F3AAF"/>
    <w:rsid w:val="007F3AD5"/>
    <w:rsid w:val="007F3E2D"/>
    <w:rsid w:val="007F3EC8"/>
    <w:rsid w:val="007F3F48"/>
    <w:rsid w:val="007F47EF"/>
    <w:rsid w:val="007F4966"/>
    <w:rsid w:val="007F498A"/>
    <w:rsid w:val="007F5312"/>
    <w:rsid w:val="007F54E1"/>
    <w:rsid w:val="007F5CEB"/>
    <w:rsid w:val="007F60E0"/>
    <w:rsid w:val="007F64CE"/>
    <w:rsid w:val="007F6541"/>
    <w:rsid w:val="007F6A4D"/>
    <w:rsid w:val="007F6B15"/>
    <w:rsid w:val="007F6E49"/>
    <w:rsid w:val="007F7F2D"/>
    <w:rsid w:val="00800288"/>
    <w:rsid w:val="00800312"/>
    <w:rsid w:val="00801858"/>
    <w:rsid w:val="00801C18"/>
    <w:rsid w:val="00801EBE"/>
    <w:rsid w:val="00801F4C"/>
    <w:rsid w:val="008021C6"/>
    <w:rsid w:val="00802472"/>
    <w:rsid w:val="00802C4F"/>
    <w:rsid w:val="008033FE"/>
    <w:rsid w:val="00803AA7"/>
    <w:rsid w:val="008043EC"/>
    <w:rsid w:val="008045E4"/>
    <w:rsid w:val="008048FE"/>
    <w:rsid w:val="00804F49"/>
    <w:rsid w:val="0080525C"/>
    <w:rsid w:val="008052E2"/>
    <w:rsid w:val="008054DD"/>
    <w:rsid w:val="00806127"/>
    <w:rsid w:val="008062A1"/>
    <w:rsid w:val="00806918"/>
    <w:rsid w:val="00806B04"/>
    <w:rsid w:val="00806B63"/>
    <w:rsid w:val="00807010"/>
    <w:rsid w:val="0080731C"/>
    <w:rsid w:val="00807D4C"/>
    <w:rsid w:val="00807F46"/>
    <w:rsid w:val="0081016A"/>
    <w:rsid w:val="0081018F"/>
    <w:rsid w:val="008108DD"/>
    <w:rsid w:val="00810F71"/>
    <w:rsid w:val="008117EB"/>
    <w:rsid w:val="00811C3F"/>
    <w:rsid w:val="00811DB7"/>
    <w:rsid w:val="00812201"/>
    <w:rsid w:val="0081260F"/>
    <w:rsid w:val="00812DB2"/>
    <w:rsid w:val="008132FB"/>
    <w:rsid w:val="00813554"/>
    <w:rsid w:val="00813592"/>
    <w:rsid w:val="008136F3"/>
    <w:rsid w:val="00813C87"/>
    <w:rsid w:val="00813E15"/>
    <w:rsid w:val="00814B3E"/>
    <w:rsid w:val="00814CE9"/>
    <w:rsid w:val="00815858"/>
    <w:rsid w:val="00815B7B"/>
    <w:rsid w:val="00815BB8"/>
    <w:rsid w:val="00815CAC"/>
    <w:rsid w:val="00815E26"/>
    <w:rsid w:val="00816489"/>
    <w:rsid w:val="008165F9"/>
    <w:rsid w:val="0081681C"/>
    <w:rsid w:val="00816E21"/>
    <w:rsid w:val="00820049"/>
    <w:rsid w:val="00820174"/>
    <w:rsid w:val="00820D42"/>
    <w:rsid w:val="00820F46"/>
    <w:rsid w:val="0082102F"/>
    <w:rsid w:val="00821640"/>
    <w:rsid w:val="008217CF"/>
    <w:rsid w:val="00821A5C"/>
    <w:rsid w:val="00821D2F"/>
    <w:rsid w:val="00821E4A"/>
    <w:rsid w:val="00822158"/>
    <w:rsid w:val="008222C0"/>
    <w:rsid w:val="00822527"/>
    <w:rsid w:val="00822991"/>
    <w:rsid w:val="00822FDF"/>
    <w:rsid w:val="00823477"/>
    <w:rsid w:val="00823579"/>
    <w:rsid w:val="008238A6"/>
    <w:rsid w:val="00823DD1"/>
    <w:rsid w:val="00824819"/>
    <w:rsid w:val="00824BD9"/>
    <w:rsid w:val="00825E6F"/>
    <w:rsid w:val="00826018"/>
    <w:rsid w:val="0082634B"/>
    <w:rsid w:val="00826913"/>
    <w:rsid w:val="008269C4"/>
    <w:rsid w:val="00826E71"/>
    <w:rsid w:val="008278CF"/>
    <w:rsid w:val="00827AF6"/>
    <w:rsid w:val="00827D37"/>
    <w:rsid w:val="00827DC4"/>
    <w:rsid w:val="00827ECD"/>
    <w:rsid w:val="00827F83"/>
    <w:rsid w:val="00830312"/>
    <w:rsid w:val="008306A7"/>
    <w:rsid w:val="00830B21"/>
    <w:rsid w:val="0083101B"/>
    <w:rsid w:val="0083141D"/>
    <w:rsid w:val="00831639"/>
    <w:rsid w:val="0083194C"/>
    <w:rsid w:val="00831A43"/>
    <w:rsid w:val="00831C9D"/>
    <w:rsid w:val="00831D6D"/>
    <w:rsid w:val="00832023"/>
    <w:rsid w:val="0083202D"/>
    <w:rsid w:val="00832C5B"/>
    <w:rsid w:val="0083333A"/>
    <w:rsid w:val="00833488"/>
    <w:rsid w:val="008336F9"/>
    <w:rsid w:val="00833A67"/>
    <w:rsid w:val="00834AA9"/>
    <w:rsid w:val="0083505C"/>
    <w:rsid w:val="0083517F"/>
    <w:rsid w:val="0083565F"/>
    <w:rsid w:val="008356F0"/>
    <w:rsid w:val="008359A0"/>
    <w:rsid w:val="008360DD"/>
    <w:rsid w:val="00836611"/>
    <w:rsid w:val="00836980"/>
    <w:rsid w:val="00836D10"/>
    <w:rsid w:val="00836DFB"/>
    <w:rsid w:val="008374D7"/>
    <w:rsid w:val="008374F8"/>
    <w:rsid w:val="00837709"/>
    <w:rsid w:val="00837C19"/>
    <w:rsid w:val="008400BF"/>
    <w:rsid w:val="00840514"/>
    <w:rsid w:val="008409D0"/>
    <w:rsid w:val="00840AAD"/>
    <w:rsid w:val="00840B47"/>
    <w:rsid w:val="00840D4B"/>
    <w:rsid w:val="008410D8"/>
    <w:rsid w:val="00841462"/>
    <w:rsid w:val="008414B6"/>
    <w:rsid w:val="00842064"/>
    <w:rsid w:val="0084217C"/>
    <w:rsid w:val="008425B9"/>
    <w:rsid w:val="008429AF"/>
    <w:rsid w:val="00842F53"/>
    <w:rsid w:val="00843756"/>
    <w:rsid w:val="00843A59"/>
    <w:rsid w:val="00843DFC"/>
    <w:rsid w:val="00844061"/>
    <w:rsid w:val="00844161"/>
    <w:rsid w:val="008443A4"/>
    <w:rsid w:val="0084481A"/>
    <w:rsid w:val="00844FDB"/>
    <w:rsid w:val="00845532"/>
    <w:rsid w:val="00845C0A"/>
    <w:rsid w:val="00845DFE"/>
    <w:rsid w:val="00846352"/>
    <w:rsid w:val="0084692A"/>
    <w:rsid w:val="00846A33"/>
    <w:rsid w:val="00846AE3"/>
    <w:rsid w:val="00847333"/>
    <w:rsid w:val="00847EB6"/>
    <w:rsid w:val="00850874"/>
    <w:rsid w:val="00850B37"/>
    <w:rsid w:val="00850E0E"/>
    <w:rsid w:val="008512F4"/>
    <w:rsid w:val="00851A93"/>
    <w:rsid w:val="00851C7B"/>
    <w:rsid w:val="008534CB"/>
    <w:rsid w:val="00853BE6"/>
    <w:rsid w:val="00853CB7"/>
    <w:rsid w:val="00853EAF"/>
    <w:rsid w:val="00854016"/>
    <w:rsid w:val="00854315"/>
    <w:rsid w:val="00854622"/>
    <w:rsid w:val="0085470E"/>
    <w:rsid w:val="00854A60"/>
    <w:rsid w:val="00854E0A"/>
    <w:rsid w:val="00855448"/>
    <w:rsid w:val="008556A7"/>
    <w:rsid w:val="00855739"/>
    <w:rsid w:val="00855B84"/>
    <w:rsid w:val="00855C48"/>
    <w:rsid w:val="00856268"/>
    <w:rsid w:val="00856409"/>
    <w:rsid w:val="0085669E"/>
    <w:rsid w:val="008568E5"/>
    <w:rsid w:val="00856B03"/>
    <w:rsid w:val="00856BCF"/>
    <w:rsid w:val="008570DB"/>
    <w:rsid w:val="0085757D"/>
    <w:rsid w:val="00860160"/>
    <w:rsid w:val="00860BE1"/>
    <w:rsid w:val="00861457"/>
    <w:rsid w:val="008614B6"/>
    <w:rsid w:val="008616B8"/>
    <w:rsid w:val="00862528"/>
    <w:rsid w:val="0086252E"/>
    <w:rsid w:val="0086363F"/>
    <w:rsid w:val="00863B52"/>
    <w:rsid w:val="00863C9F"/>
    <w:rsid w:val="008644B4"/>
    <w:rsid w:val="008644FE"/>
    <w:rsid w:val="008646B5"/>
    <w:rsid w:val="008648A0"/>
    <w:rsid w:val="00864907"/>
    <w:rsid w:val="0086492B"/>
    <w:rsid w:val="00864BA7"/>
    <w:rsid w:val="00864BED"/>
    <w:rsid w:val="00864CB4"/>
    <w:rsid w:val="00865BE4"/>
    <w:rsid w:val="00865D3E"/>
    <w:rsid w:val="0086668C"/>
    <w:rsid w:val="008666A0"/>
    <w:rsid w:val="008677BB"/>
    <w:rsid w:val="00867B63"/>
    <w:rsid w:val="00867D54"/>
    <w:rsid w:val="00870003"/>
    <w:rsid w:val="008702F8"/>
    <w:rsid w:val="008707C1"/>
    <w:rsid w:val="00870FD3"/>
    <w:rsid w:val="008711EC"/>
    <w:rsid w:val="008717BC"/>
    <w:rsid w:val="0087188F"/>
    <w:rsid w:val="00871898"/>
    <w:rsid w:val="00871B71"/>
    <w:rsid w:val="00871C6B"/>
    <w:rsid w:val="00872483"/>
    <w:rsid w:val="00872807"/>
    <w:rsid w:val="00872D65"/>
    <w:rsid w:val="00872F26"/>
    <w:rsid w:val="008735C9"/>
    <w:rsid w:val="008737ED"/>
    <w:rsid w:val="0087391A"/>
    <w:rsid w:val="00873CDD"/>
    <w:rsid w:val="00874116"/>
    <w:rsid w:val="008744C4"/>
    <w:rsid w:val="00874D11"/>
    <w:rsid w:val="00875161"/>
    <w:rsid w:val="00875569"/>
    <w:rsid w:val="00875934"/>
    <w:rsid w:val="00875AA3"/>
    <w:rsid w:val="00875C51"/>
    <w:rsid w:val="0087633C"/>
    <w:rsid w:val="00877713"/>
    <w:rsid w:val="00877FBA"/>
    <w:rsid w:val="0088039F"/>
    <w:rsid w:val="00880651"/>
    <w:rsid w:val="00880AFE"/>
    <w:rsid w:val="00880B81"/>
    <w:rsid w:val="00880CBB"/>
    <w:rsid w:val="00881344"/>
    <w:rsid w:val="00881431"/>
    <w:rsid w:val="00881528"/>
    <w:rsid w:val="008815CA"/>
    <w:rsid w:val="00881C0B"/>
    <w:rsid w:val="00881DED"/>
    <w:rsid w:val="008820DB"/>
    <w:rsid w:val="00882347"/>
    <w:rsid w:val="0088254F"/>
    <w:rsid w:val="00882AE2"/>
    <w:rsid w:val="00882DD6"/>
    <w:rsid w:val="00883178"/>
    <w:rsid w:val="008836DA"/>
    <w:rsid w:val="00884150"/>
    <w:rsid w:val="008841A9"/>
    <w:rsid w:val="008841B7"/>
    <w:rsid w:val="00884491"/>
    <w:rsid w:val="008845CA"/>
    <w:rsid w:val="00884EB2"/>
    <w:rsid w:val="008852AD"/>
    <w:rsid w:val="008853D9"/>
    <w:rsid w:val="00885999"/>
    <w:rsid w:val="00885C2F"/>
    <w:rsid w:val="00886C33"/>
    <w:rsid w:val="00886DDE"/>
    <w:rsid w:val="00886F4D"/>
    <w:rsid w:val="008874E5"/>
    <w:rsid w:val="0088759F"/>
    <w:rsid w:val="008877A1"/>
    <w:rsid w:val="00887EFA"/>
    <w:rsid w:val="00890092"/>
    <w:rsid w:val="0089087A"/>
    <w:rsid w:val="00890C25"/>
    <w:rsid w:val="00890D36"/>
    <w:rsid w:val="00891A8E"/>
    <w:rsid w:val="00891B56"/>
    <w:rsid w:val="008921C2"/>
    <w:rsid w:val="008922D9"/>
    <w:rsid w:val="00892633"/>
    <w:rsid w:val="008926AE"/>
    <w:rsid w:val="0089271C"/>
    <w:rsid w:val="00892B30"/>
    <w:rsid w:val="00892EBB"/>
    <w:rsid w:val="00893417"/>
    <w:rsid w:val="00893717"/>
    <w:rsid w:val="0089392A"/>
    <w:rsid w:val="00893E4E"/>
    <w:rsid w:val="00893ECF"/>
    <w:rsid w:val="00893FB1"/>
    <w:rsid w:val="0089422F"/>
    <w:rsid w:val="00894350"/>
    <w:rsid w:val="00894658"/>
    <w:rsid w:val="008952ED"/>
    <w:rsid w:val="0089557A"/>
    <w:rsid w:val="00895763"/>
    <w:rsid w:val="00895E40"/>
    <w:rsid w:val="00895F06"/>
    <w:rsid w:val="008965CF"/>
    <w:rsid w:val="00896824"/>
    <w:rsid w:val="00896C2E"/>
    <w:rsid w:val="008970FD"/>
    <w:rsid w:val="0089719D"/>
    <w:rsid w:val="00897263"/>
    <w:rsid w:val="00897752"/>
    <w:rsid w:val="00897FD8"/>
    <w:rsid w:val="008A0395"/>
    <w:rsid w:val="008A05BD"/>
    <w:rsid w:val="008A0619"/>
    <w:rsid w:val="008A0948"/>
    <w:rsid w:val="008A0FAD"/>
    <w:rsid w:val="008A11A0"/>
    <w:rsid w:val="008A16EB"/>
    <w:rsid w:val="008A187F"/>
    <w:rsid w:val="008A1E15"/>
    <w:rsid w:val="008A27BF"/>
    <w:rsid w:val="008A29C7"/>
    <w:rsid w:val="008A3087"/>
    <w:rsid w:val="008A3D18"/>
    <w:rsid w:val="008A442C"/>
    <w:rsid w:val="008A4508"/>
    <w:rsid w:val="008A47BD"/>
    <w:rsid w:val="008A4A20"/>
    <w:rsid w:val="008A4BFA"/>
    <w:rsid w:val="008A4C31"/>
    <w:rsid w:val="008A4C69"/>
    <w:rsid w:val="008A50B7"/>
    <w:rsid w:val="008A513E"/>
    <w:rsid w:val="008A551F"/>
    <w:rsid w:val="008A5664"/>
    <w:rsid w:val="008A571D"/>
    <w:rsid w:val="008A6121"/>
    <w:rsid w:val="008A6303"/>
    <w:rsid w:val="008A66D7"/>
    <w:rsid w:val="008A6B3E"/>
    <w:rsid w:val="008A6B82"/>
    <w:rsid w:val="008A6BBD"/>
    <w:rsid w:val="008A6ED3"/>
    <w:rsid w:val="008A7800"/>
    <w:rsid w:val="008B004C"/>
    <w:rsid w:val="008B03F9"/>
    <w:rsid w:val="008B0633"/>
    <w:rsid w:val="008B15C1"/>
    <w:rsid w:val="008B172F"/>
    <w:rsid w:val="008B186C"/>
    <w:rsid w:val="008B21D5"/>
    <w:rsid w:val="008B254F"/>
    <w:rsid w:val="008B283C"/>
    <w:rsid w:val="008B3450"/>
    <w:rsid w:val="008B3557"/>
    <w:rsid w:val="008B38A2"/>
    <w:rsid w:val="008B3987"/>
    <w:rsid w:val="008B3DB3"/>
    <w:rsid w:val="008B3E38"/>
    <w:rsid w:val="008B3F68"/>
    <w:rsid w:val="008B451C"/>
    <w:rsid w:val="008B45AC"/>
    <w:rsid w:val="008B4C35"/>
    <w:rsid w:val="008B54B6"/>
    <w:rsid w:val="008B56B9"/>
    <w:rsid w:val="008B58F0"/>
    <w:rsid w:val="008B62C4"/>
    <w:rsid w:val="008B6A4B"/>
    <w:rsid w:val="008B6D3D"/>
    <w:rsid w:val="008B6D50"/>
    <w:rsid w:val="008B761E"/>
    <w:rsid w:val="008B79F6"/>
    <w:rsid w:val="008C01EE"/>
    <w:rsid w:val="008C0599"/>
    <w:rsid w:val="008C0D20"/>
    <w:rsid w:val="008C1061"/>
    <w:rsid w:val="008C171A"/>
    <w:rsid w:val="008C180C"/>
    <w:rsid w:val="008C1CB2"/>
    <w:rsid w:val="008C1F86"/>
    <w:rsid w:val="008C2127"/>
    <w:rsid w:val="008C270C"/>
    <w:rsid w:val="008C2BC0"/>
    <w:rsid w:val="008C2CA5"/>
    <w:rsid w:val="008C2E3D"/>
    <w:rsid w:val="008C2F6F"/>
    <w:rsid w:val="008C3544"/>
    <w:rsid w:val="008C374C"/>
    <w:rsid w:val="008C3B7F"/>
    <w:rsid w:val="008C3F35"/>
    <w:rsid w:val="008C49C0"/>
    <w:rsid w:val="008C4B00"/>
    <w:rsid w:val="008C4C4E"/>
    <w:rsid w:val="008C4CB0"/>
    <w:rsid w:val="008C4FCD"/>
    <w:rsid w:val="008C5827"/>
    <w:rsid w:val="008C5865"/>
    <w:rsid w:val="008C5FE0"/>
    <w:rsid w:val="008C6981"/>
    <w:rsid w:val="008C6D8D"/>
    <w:rsid w:val="008C734B"/>
    <w:rsid w:val="008C73EB"/>
    <w:rsid w:val="008C7641"/>
    <w:rsid w:val="008C769F"/>
    <w:rsid w:val="008C7C53"/>
    <w:rsid w:val="008D10E1"/>
    <w:rsid w:val="008D257E"/>
    <w:rsid w:val="008D2B91"/>
    <w:rsid w:val="008D2CC5"/>
    <w:rsid w:val="008D300B"/>
    <w:rsid w:val="008D3083"/>
    <w:rsid w:val="008D3561"/>
    <w:rsid w:val="008D382A"/>
    <w:rsid w:val="008D39E9"/>
    <w:rsid w:val="008D3E66"/>
    <w:rsid w:val="008D3F4E"/>
    <w:rsid w:val="008D42C5"/>
    <w:rsid w:val="008D4552"/>
    <w:rsid w:val="008D504D"/>
    <w:rsid w:val="008D515E"/>
    <w:rsid w:val="008D52BE"/>
    <w:rsid w:val="008D531D"/>
    <w:rsid w:val="008D5628"/>
    <w:rsid w:val="008D5A9D"/>
    <w:rsid w:val="008D5E12"/>
    <w:rsid w:val="008D60D3"/>
    <w:rsid w:val="008D65B2"/>
    <w:rsid w:val="008D6A8B"/>
    <w:rsid w:val="008D6B07"/>
    <w:rsid w:val="008D7034"/>
    <w:rsid w:val="008D76DB"/>
    <w:rsid w:val="008D77EB"/>
    <w:rsid w:val="008D791F"/>
    <w:rsid w:val="008D7EBF"/>
    <w:rsid w:val="008D7EE9"/>
    <w:rsid w:val="008D7F2A"/>
    <w:rsid w:val="008E038B"/>
    <w:rsid w:val="008E0BEB"/>
    <w:rsid w:val="008E1C25"/>
    <w:rsid w:val="008E2120"/>
    <w:rsid w:val="008E2292"/>
    <w:rsid w:val="008E2DDE"/>
    <w:rsid w:val="008E327C"/>
    <w:rsid w:val="008E36B6"/>
    <w:rsid w:val="008E3AF9"/>
    <w:rsid w:val="008E3D0A"/>
    <w:rsid w:val="008E4145"/>
    <w:rsid w:val="008E4155"/>
    <w:rsid w:val="008E418D"/>
    <w:rsid w:val="008E43F8"/>
    <w:rsid w:val="008E4B88"/>
    <w:rsid w:val="008E4D18"/>
    <w:rsid w:val="008E502F"/>
    <w:rsid w:val="008E50BF"/>
    <w:rsid w:val="008E5287"/>
    <w:rsid w:val="008E5552"/>
    <w:rsid w:val="008E55DB"/>
    <w:rsid w:val="008E586F"/>
    <w:rsid w:val="008E59C1"/>
    <w:rsid w:val="008E5ED0"/>
    <w:rsid w:val="008E6041"/>
    <w:rsid w:val="008E6214"/>
    <w:rsid w:val="008E6475"/>
    <w:rsid w:val="008E7E14"/>
    <w:rsid w:val="008F07E1"/>
    <w:rsid w:val="008F0857"/>
    <w:rsid w:val="008F0C20"/>
    <w:rsid w:val="008F0C47"/>
    <w:rsid w:val="008F116A"/>
    <w:rsid w:val="008F1250"/>
    <w:rsid w:val="008F1298"/>
    <w:rsid w:val="008F1B6E"/>
    <w:rsid w:val="008F1F1B"/>
    <w:rsid w:val="008F215E"/>
    <w:rsid w:val="008F24A9"/>
    <w:rsid w:val="008F26E9"/>
    <w:rsid w:val="008F2AD0"/>
    <w:rsid w:val="008F2CC3"/>
    <w:rsid w:val="008F3E99"/>
    <w:rsid w:val="008F4652"/>
    <w:rsid w:val="008F4844"/>
    <w:rsid w:val="008F4A58"/>
    <w:rsid w:val="008F5179"/>
    <w:rsid w:val="008F564E"/>
    <w:rsid w:val="008F5926"/>
    <w:rsid w:val="008F5955"/>
    <w:rsid w:val="008F5A13"/>
    <w:rsid w:val="008F6491"/>
    <w:rsid w:val="008F6511"/>
    <w:rsid w:val="008F676E"/>
    <w:rsid w:val="008F69C4"/>
    <w:rsid w:val="008F6F11"/>
    <w:rsid w:val="008F713E"/>
    <w:rsid w:val="008F78A1"/>
    <w:rsid w:val="008F7A7C"/>
    <w:rsid w:val="0090003E"/>
    <w:rsid w:val="009001E3"/>
    <w:rsid w:val="00900978"/>
    <w:rsid w:val="009009B5"/>
    <w:rsid w:val="00900C4C"/>
    <w:rsid w:val="00900EBE"/>
    <w:rsid w:val="00900EF9"/>
    <w:rsid w:val="009018FC"/>
    <w:rsid w:val="00901C39"/>
    <w:rsid w:val="00901C50"/>
    <w:rsid w:val="00901FD4"/>
    <w:rsid w:val="00901FF8"/>
    <w:rsid w:val="009021AE"/>
    <w:rsid w:val="009024AA"/>
    <w:rsid w:val="009025D7"/>
    <w:rsid w:val="009027C8"/>
    <w:rsid w:val="00903A8A"/>
    <w:rsid w:val="00903D7F"/>
    <w:rsid w:val="00903DFD"/>
    <w:rsid w:val="009041A6"/>
    <w:rsid w:val="009054F6"/>
    <w:rsid w:val="00905B60"/>
    <w:rsid w:val="0090629D"/>
    <w:rsid w:val="00906CEF"/>
    <w:rsid w:val="0091012E"/>
    <w:rsid w:val="0091038D"/>
    <w:rsid w:val="009105BC"/>
    <w:rsid w:val="0091063D"/>
    <w:rsid w:val="009108F4"/>
    <w:rsid w:val="00910C9D"/>
    <w:rsid w:val="0091187A"/>
    <w:rsid w:val="009119AF"/>
    <w:rsid w:val="00912A97"/>
    <w:rsid w:val="00912BFA"/>
    <w:rsid w:val="00912C9D"/>
    <w:rsid w:val="009132B9"/>
    <w:rsid w:val="009133BA"/>
    <w:rsid w:val="00913B6B"/>
    <w:rsid w:val="00913D81"/>
    <w:rsid w:val="00913E4F"/>
    <w:rsid w:val="00913F78"/>
    <w:rsid w:val="009145B0"/>
    <w:rsid w:val="0091470C"/>
    <w:rsid w:val="00914E2F"/>
    <w:rsid w:val="00914ED5"/>
    <w:rsid w:val="009152C3"/>
    <w:rsid w:val="00915F8C"/>
    <w:rsid w:val="00916466"/>
    <w:rsid w:val="009165D2"/>
    <w:rsid w:val="009168C3"/>
    <w:rsid w:val="00917298"/>
    <w:rsid w:val="009176D3"/>
    <w:rsid w:val="00917DD1"/>
    <w:rsid w:val="00920BB1"/>
    <w:rsid w:val="00920CA9"/>
    <w:rsid w:val="00920D0D"/>
    <w:rsid w:val="0092121F"/>
    <w:rsid w:val="00921243"/>
    <w:rsid w:val="009215CD"/>
    <w:rsid w:val="009216A1"/>
    <w:rsid w:val="0092171C"/>
    <w:rsid w:val="00921782"/>
    <w:rsid w:val="00921A0D"/>
    <w:rsid w:val="00921D67"/>
    <w:rsid w:val="00922C51"/>
    <w:rsid w:val="00922D45"/>
    <w:rsid w:val="00923159"/>
    <w:rsid w:val="00923365"/>
    <w:rsid w:val="00923415"/>
    <w:rsid w:val="00923823"/>
    <w:rsid w:val="00924492"/>
    <w:rsid w:val="0092519D"/>
    <w:rsid w:val="00925C04"/>
    <w:rsid w:val="00926176"/>
    <w:rsid w:val="0092621F"/>
    <w:rsid w:val="00926550"/>
    <w:rsid w:val="00926554"/>
    <w:rsid w:val="00926771"/>
    <w:rsid w:val="00927A7C"/>
    <w:rsid w:val="00927AD1"/>
    <w:rsid w:val="00927BF3"/>
    <w:rsid w:val="00927ED1"/>
    <w:rsid w:val="00930620"/>
    <w:rsid w:val="009307F2"/>
    <w:rsid w:val="00930C58"/>
    <w:rsid w:val="00930C9A"/>
    <w:rsid w:val="00931F59"/>
    <w:rsid w:val="00932931"/>
    <w:rsid w:val="009329E7"/>
    <w:rsid w:val="00933054"/>
    <w:rsid w:val="00933149"/>
    <w:rsid w:val="0093393C"/>
    <w:rsid w:val="00933BCA"/>
    <w:rsid w:val="00934376"/>
    <w:rsid w:val="00934674"/>
    <w:rsid w:val="009349F7"/>
    <w:rsid w:val="009355A8"/>
    <w:rsid w:val="00935C57"/>
    <w:rsid w:val="00935EFA"/>
    <w:rsid w:val="009364DD"/>
    <w:rsid w:val="00936C7C"/>
    <w:rsid w:val="009373EB"/>
    <w:rsid w:val="00937B29"/>
    <w:rsid w:val="00937B3A"/>
    <w:rsid w:val="00937DB9"/>
    <w:rsid w:val="00937DDE"/>
    <w:rsid w:val="00940434"/>
    <w:rsid w:val="0094085C"/>
    <w:rsid w:val="0094097B"/>
    <w:rsid w:val="00940D82"/>
    <w:rsid w:val="00940F0E"/>
    <w:rsid w:val="00941202"/>
    <w:rsid w:val="00941329"/>
    <w:rsid w:val="0094182E"/>
    <w:rsid w:val="00941855"/>
    <w:rsid w:val="00942502"/>
    <w:rsid w:val="00942589"/>
    <w:rsid w:val="0094282C"/>
    <w:rsid w:val="009429F0"/>
    <w:rsid w:val="00942C54"/>
    <w:rsid w:val="009430D8"/>
    <w:rsid w:val="009430E6"/>
    <w:rsid w:val="0094339D"/>
    <w:rsid w:val="009435AB"/>
    <w:rsid w:val="00943D90"/>
    <w:rsid w:val="00943F52"/>
    <w:rsid w:val="00944D0C"/>
    <w:rsid w:val="00944EBA"/>
    <w:rsid w:val="009452C0"/>
    <w:rsid w:val="009453F4"/>
    <w:rsid w:val="00945438"/>
    <w:rsid w:val="009455EB"/>
    <w:rsid w:val="00945756"/>
    <w:rsid w:val="00945A90"/>
    <w:rsid w:val="009461B7"/>
    <w:rsid w:val="009461D6"/>
    <w:rsid w:val="009468D8"/>
    <w:rsid w:val="00946C8A"/>
    <w:rsid w:val="00946EF8"/>
    <w:rsid w:val="0094719C"/>
    <w:rsid w:val="0094753A"/>
    <w:rsid w:val="0095017A"/>
    <w:rsid w:val="00950514"/>
    <w:rsid w:val="00950BAA"/>
    <w:rsid w:val="009511F9"/>
    <w:rsid w:val="0095197D"/>
    <w:rsid w:val="00951E8F"/>
    <w:rsid w:val="00951EC3"/>
    <w:rsid w:val="00951F6D"/>
    <w:rsid w:val="00952201"/>
    <w:rsid w:val="00952E8E"/>
    <w:rsid w:val="00952EB7"/>
    <w:rsid w:val="00953276"/>
    <w:rsid w:val="009537D3"/>
    <w:rsid w:val="0095412C"/>
    <w:rsid w:val="0095461A"/>
    <w:rsid w:val="0095464D"/>
    <w:rsid w:val="0095477A"/>
    <w:rsid w:val="00954B4A"/>
    <w:rsid w:val="00954B78"/>
    <w:rsid w:val="00954BAC"/>
    <w:rsid w:val="00954EBA"/>
    <w:rsid w:val="00955461"/>
    <w:rsid w:val="00955647"/>
    <w:rsid w:val="00955831"/>
    <w:rsid w:val="00955CE6"/>
    <w:rsid w:val="00955CF6"/>
    <w:rsid w:val="00956198"/>
    <w:rsid w:val="00956611"/>
    <w:rsid w:val="00956776"/>
    <w:rsid w:val="009567C9"/>
    <w:rsid w:val="00956AAB"/>
    <w:rsid w:val="009571EE"/>
    <w:rsid w:val="009572A4"/>
    <w:rsid w:val="00957DF1"/>
    <w:rsid w:val="009604F9"/>
    <w:rsid w:val="00960C16"/>
    <w:rsid w:val="009610F0"/>
    <w:rsid w:val="00961ADB"/>
    <w:rsid w:val="00961F24"/>
    <w:rsid w:val="00962846"/>
    <w:rsid w:val="00962E89"/>
    <w:rsid w:val="00962FAC"/>
    <w:rsid w:val="00963106"/>
    <w:rsid w:val="0096391E"/>
    <w:rsid w:val="00963B1D"/>
    <w:rsid w:val="00963CE9"/>
    <w:rsid w:val="00963E70"/>
    <w:rsid w:val="009644FD"/>
    <w:rsid w:val="00964DB7"/>
    <w:rsid w:val="00964E0E"/>
    <w:rsid w:val="00964E3C"/>
    <w:rsid w:val="00964FAE"/>
    <w:rsid w:val="00964FEF"/>
    <w:rsid w:val="00965370"/>
    <w:rsid w:val="00965FD1"/>
    <w:rsid w:val="009662C2"/>
    <w:rsid w:val="00966908"/>
    <w:rsid w:val="00966C30"/>
    <w:rsid w:val="00966FB6"/>
    <w:rsid w:val="0096713A"/>
    <w:rsid w:val="0096719B"/>
    <w:rsid w:val="00967618"/>
    <w:rsid w:val="00967703"/>
    <w:rsid w:val="00967775"/>
    <w:rsid w:val="00967D9D"/>
    <w:rsid w:val="00967EE0"/>
    <w:rsid w:val="009709B7"/>
    <w:rsid w:val="00970CF9"/>
    <w:rsid w:val="009717C1"/>
    <w:rsid w:val="00971A5A"/>
    <w:rsid w:val="00971BB4"/>
    <w:rsid w:val="00971CCD"/>
    <w:rsid w:val="00971F11"/>
    <w:rsid w:val="009720BA"/>
    <w:rsid w:val="0097273D"/>
    <w:rsid w:val="00972748"/>
    <w:rsid w:val="00972C46"/>
    <w:rsid w:val="00972E33"/>
    <w:rsid w:val="0097339C"/>
    <w:rsid w:val="0097363C"/>
    <w:rsid w:val="00973A30"/>
    <w:rsid w:val="00973AE6"/>
    <w:rsid w:val="00973CFC"/>
    <w:rsid w:val="00973E73"/>
    <w:rsid w:val="00974300"/>
    <w:rsid w:val="00974489"/>
    <w:rsid w:val="009747FF"/>
    <w:rsid w:val="0097494C"/>
    <w:rsid w:val="00974B85"/>
    <w:rsid w:val="00975782"/>
    <w:rsid w:val="00975F8B"/>
    <w:rsid w:val="009765C9"/>
    <w:rsid w:val="00976655"/>
    <w:rsid w:val="0097692E"/>
    <w:rsid w:val="00976C90"/>
    <w:rsid w:val="009772FA"/>
    <w:rsid w:val="00977BA4"/>
    <w:rsid w:val="00980579"/>
    <w:rsid w:val="009813F1"/>
    <w:rsid w:val="009818AB"/>
    <w:rsid w:val="00981C89"/>
    <w:rsid w:val="009824C9"/>
    <w:rsid w:val="00982677"/>
    <w:rsid w:val="009826CC"/>
    <w:rsid w:val="0098275E"/>
    <w:rsid w:val="00982E60"/>
    <w:rsid w:val="00982E79"/>
    <w:rsid w:val="00982E97"/>
    <w:rsid w:val="00982EF6"/>
    <w:rsid w:val="009839D7"/>
    <w:rsid w:val="00983B74"/>
    <w:rsid w:val="009842EE"/>
    <w:rsid w:val="0098453E"/>
    <w:rsid w:val="00984872"/>
    <w:rsid w:val="00984C5E"/>
    <w:rsid w:val="00985497"/>
    <w:rsid w:val="009858A8"/>
    <w:rsid w:val="00985D83"/>
    <w:rsid w:val="00985D8D"/>
    <w:rsid w:val="0098607B"/>
    <w:rsid w:val="009865B5"/>
    <w:rsid w:val="0098669D"/>
    <w:rsid w:val="00986E10"/>
    <w:rsid w:val="00986F8C"/>
    <w:rsid w:val="00987161"/>
    <w:rsid w:val="00987314"/>
    <w:rsid w:val="00987780"/>
    <w:rsid w:val="00987C56"/>
    <w:rsid w:val="00987D0F"/>
    <w:rsid w:val="00990420"/>
    <w:rsid w:val="009906D5"/>
    <w:rsid w:val="009906FB"/>
    <w:rsid w:val="00990878"/>
    <w:rsid w:val="00990925"/>
    <w:rsid w:val="00990C9F"/>
    <w:rsid w:val="00990DEE"/>
    <w:rsid w:val="009912FA"/>
    <w:rsid w:val="0099132B"/>
    <w:rsid w:val="0099142D"/>
    <w:rsid w:val="009915D2"/>
    <w:rsid w:val="009916F5"/>
    <w:rsid w:val="009917AD"/>
    <w:rsid w:val="00992007"/>
    <w:rsid w:val="0099206D"/>
    <w:rsid w:val="009921AC"/>
    <w:rsid w:val="009924FD"/>
    <w:rsid w:val="009926D5"/>
    <w:rsid w:val="0099285B"/>
    <w:rsid w:val="00992CE5"/>
    <w:rsid w:val="00992EA7"/>
    <w:rsid w:val="00992F8E"/>
    <w:rsid w:val="009930B9"/>
    <w:rsid w:val="00993328"/>
    <w:rsid w:val="00993341"/>
    <w:rsid w:val="009933E7"/>
    <w:rsid w:val="00993C8B"/>
    <w:rsid w:val="00993E31"/>
    <w:rsid w:val="00993E61"/>
    <w:rsid w:val="00993EC3"/>
    <w:rsid w:val="00994516"/>
    <w:rsid w:val="0099475C"/>
    <w:rsid w:val="00994AF6"/>
    <w:rsid w:val="00994E34"/>
    <w:rsid w:val="00994FA8"/>
    <w:rsid w:val="0099508F"/>
    <w:rsid w:val="00995278"/>
    <w:rsid w:val="00995360"/>
    <w:rsid w:val="00995408"/>
    <w:rsid w:val="00995525"/>
    <w:rsid w:val="00995F39"/>
    <w:rsid w:val="00996239"/>
    <w:rsid w:val="00996295"/>
    <w:rsid w:val="0099641E"/>
    <w:rsid w:val="00996D57"/>
    <w:rsid w:val="00996F96"/>
    <w:rsid w:val="00997415"/>
    <w:rsid w:val="009977F2"/>
    <w:rsid w:val="009977FC"/>
    <w:rsid w:val="00997837"/>
    <w:rsid w:val="00997863"/>
    <w:rsid w:val="00997FA5"/>
    <w:rsid w:val="009A03CA"/>
    <w:rsid w:val="009A0610"/>
    <w:rsid w:val="009A0DF2"/>
    <w:rsid w:val="009A152E"/>
    <w:rsid w:val="009A1F1C"/>
    <w:rsid w:val="009A1FC7"/>
    <w:rsid w:val="009A2034"/>
    <w:rsid w:val="009A2433"/>
    <w:rsid w:val="009A2457"/>
    <w:rsid w:val="009A25D0"/>
    <w:rsid w:val="009A2621"/>
    <w:rsid w:val="009A2AF8"/>
    <w:rsid w:val="009A347E"/>
    <w:rsid w:val="009A3951"/>
    <w:rsid w:val="009A3E55"/>
    <w:rsid w:val="009A4379"/>
    <w:rsid w:val="009A44F9"/>
    <w:rsid w:val="009A4BAE"/>
    <w:rsid w:val="009A4BBF"/>
    <w:rsid w:val="009A4E1C"/>
    <w:rsid w:val="009A4F10"/>
    <w:rsid w:val="009A5735"/>
    <w:rsid w:val="009A5E03"/>
    <w:rsid w:val="009A6119"/>
    <w:rsid w:val="009A6693"/>
    <w:rsid w:val="009A6BD8"/>
    <w:rsid w:val="009A7307"/>
    <w:rsid w:val="009B04EE"/>
    <w:rsid w:val="009B0728"/>
    <w:rsid w:val="009B0E23"/>
    <w:rsid w:val="009B0E7A"/>
    <w:rsid w:val="009B1385"/>
    <w:rsid w:val="009B1619"/>
    <w:rsid w:val="009B16EC"/>
    <w:rsid w:val="009B17EE"/>
    <w:rsid w:val="009B194B"/>
    <w:rsid w:val="009B1A21"/>
    <w:rsid w:val="009B1BF6"/>
    <w:rsid w:val="009B1C98"/>
    <w:rsid w:val="009B1E4C"/>
    <w:rsid w:val="009B2270"/>
    <w:rsid w:val="009B23C6"/>
    <w:rsid w:val="009B23D3"/>
    <w:rsid w:val="009B2E77"/>
    <w:rsid w:val="009B327C"/>
    <w:rsid w:val="009B328D"/>
    <w:rsid w:val="009B372F"/>
    <w:rsid w:val="009B3740"/>
    <w:rsid w:val="009B44C3"/>
    <w:rsid w:val="009B4840"/>
    <w:rsid w:val="009B4888"/>
    <w:rsid w:val="009B4A06"/>
    <w:rsid w:val="009B5106"/>
    <w:rsid w:val="009B53F5"/>
    <w:rsid w:val="009B54EB"/>
    <w:rsid w:val="009B5910"/>
    <w:rsid w:val="009B628D"/>
    <w:rsid w:val="009B679C"/>
    <w:rsid w:val="009B6D2D"/>
    <w:rsid w:val="009B73B2"/>
    <w:rsid w:val="009B79B7"/>
    <w:rsid w:val="009C0845"/>
    <w:rsid w:val="009C0B3F"/>
    <w:rsid w:val="009C0C7B"/>
    <w:rsid w:val="009C0E17"/>
    <w:rsid w:val="009C21C6"/>
    <w:rsid w:val="009C25AE"/>
    <w:rsid w:val="009C2C86"/>
    <w:rsid w:val="009C2CEA"/>
    <w:rsid w:val="009C2D3E"/>
    <w:rsid w:val="009C2E8F"/>
    <w:rsid w:val="009C300B"/>
    <w:rsid w:val="009C31F1"/>
    <w:rsid w:val="009C3379"/>
    <w:rsid w:val="009C3583"/>
    <w:rsid w:val="009C3694"/>
    <w:rsid w:val="009C36A7"/>
    <w:rsid w:val="009C3B73"/>
    <w:rsid w:val="009C3CFC"/>
    <w:rsid w:val="009C4506"/>
    <w:rsid w:val="009C4508"/>
    <w:rsid w:val="009C4630"/>
    <w:rsid w:val="009C4670"/>
    <w:rsid w:val="009C538E"/>
    <w:rsid w:val="009C54C4"/>
    <w:rsid w:val="009C5783"/>
    <w:rsid w:val="009C5796"/>
    <w:rsid w:val="009C59F7"/>
    <w:rsid w:val="009C67EF"/>
    <w:rsid w:val="009C7571"/>
    <w:rsid w:val="009C7845"/>
    <w:rsid w:val="009C7B87"/>
    <w:rsid w:val="009D06D3"/>
    <w:rsid w:val="009D0DBD"/>
    <w:rsid w:val="009D0DD3"/>
    <w:rsid w:val="009D10FC"/>
    <w:rsid w:val="009D1108"/>
    <w:rsid w:val="009D1580"/>
    <w:rsid w:val="009D1766"/>
    <w:rsid w:val="009D1831"/>
    <w:rsid w:val="009D1838"/>
    <w:rsid w:val="009D1A81"/>
    <w:rsid w:val="009D21DE"/>
    <w:rsid w:val="009D25B1"/>
    <w:rsid w:val="009D274B"/>
    <w:rsid w:val="009D2891"/>
    <w:rsid w:val="009D2A44"/>
    <w:rsid w:val="009D3489"/>
    <w:rsid w:val="009D3AFC"/>
    <w:rsid w:val="009D42CE"/>
    <w:rsid w:val="009D435D"/>
    <w:rsid w:val="009D45B4"/>
    <w:rsid w:val="009D4DD7"/>
    <w:rsid w:val="009D4F64"/>
    <w:rsid w:val="009D536D"/>
    <w:rsid w:val="009D544C"/>
    <w:rsid w:val="009D6E6D"/>
    <w:rsid w:val="009D76A0"/>
    <w:rsid w:val="009D7A07"/>
    <w:rsid w:val="009E00A1"/>
    <w:rsid w:val="009E10E7"/>
    <w:rsid w:val="009E10FC"/>
    <w:rsid w:val="009E13D7"/>
    <w:rsid w:val="009E1849"/>
    <w:rsid w:val="009E1A38"/>
    <w:rsid w:val="009E2530"/>
    <w:rsid w:val="009E25CE"/>
    <w:rsid w:val="009E29AD"/>
    <w:rsid w:val="009E2A44"/>
    <w:rsid w:val="009E2BD5"/>
    <w:rsid w:val="009E2D2E"/>
    <w:rsid w:val="009E304E"/>
    <w:rsid w:val="009E3429"/>
    <w:rsid w:val="009E3788"/>
    <w:rsid w:val="009E3C47"/>
    <w:rsid w:val="009E3EDC"/>
    <w:rsid w:val="009E406D"/>
    <w:rsid w:val="009E41DF"/>
    <w:rsid w:val="009E45FF"/>
    <w:rsid w:val="009E4F11"/>
    <w:rsid w:val="009E5013"/>
    <w:rsid w:val="009E5D79"/>
    <w:rsid w:val="009E5E63"/>
    <w:rsid w:val="009E61F5"/>
    <w:rsid w:val="009E6496"/>
    <w:rsid w:val="009E70B4"/>
    <w:rsid w:val="009E7267"/>
    <w:rsid w:val="009E7CF6"/>
    <w:rsid w:val="009E7FEC"/>
    <w:rsid w:val="009F054C"/>
    <w:rsid w:val="009F0BE1"/>
    <w:rsid w:val="009F1414"/>
    <w:rsid w:val="009F15D4"/>
    <w:rsid w:val="009F1F3A"/>
    <w:rsid w:val="009F213C"/>
    <w:rsid w:val="009F22BF"/>
    <w:rsid w:val="009F28A4"/>
    <w:rsid w:val="009F2C5D"/>
    <w:rsid w:val="009F2D46"/>
    <w:rsid w:val="009F37F9"/>
    <w:rsid w:val="009F395C"/>
    <w:rsid w:val="009F3F7C"/>
    <w:rsid w:val="009F43EC"/>
    <w:rsid w:val="009F44EA"/>
    <w:rsid w:val="009F476B"/>
    <w:rsid w:val="009F4A94"/>
    <w:rsid w:val="009F4D34"/>
    <w:rsid w:val="009F4FF5"/>
    <w:rsid w:val="009F52AD"/>
    <w:rsid w:val="009F56C3"/>
    <w:rsid w:val="009F5BA5"/>
    <w:rsid w:val="009F5DC3"/>
    <w:rsid w:val="009F6474"/>
    <w:rsid w:val="009F648A"/>
    <w:rsid w:val="009F670F"/>
    <w:rsid w:val="009F758E"/>
    <w:rsid w:val="009F75AD"/>
    <w:rsid w:val="009F768D"/>
    <w:rsid w:val="009F7768"/>
    <w:rsid w:val="009F786F"/>
    <w:rsid w:val="009F7FE2"/>
    <w:rsid w:val="00A0085C"/>
    <w:rsid w:val="00A0087E"/>
    <w:rsid w:val="00A00C9D"/>
    <w:rsid w:val="00A00CDB"/>
    <w:rsid w:val="00A00DF8"/>
    <w:rsid w:val="00A0104B"/>
    <w:rsid w:val="00A012E9"/>
    <w:rsid w:val="00A01ED5"/>
    <w:rsid w:val="00A0235B"/>
    <w:rsid w:val="00A0278B"/>
    <w:rsid w:val="00A02AFB"/>
    <w:rsid w:val="00A02E14"/>
    <w:rsid w:val="00A02EF9"/>
    <w:rsid w:val="00A02FB2"/>
    <w:rsid w:val="00A03203"/>
    <w:rsid w:val="00A03871"/>
    <w:rsid w:val="00A040A8"/>
    <w:rsid w:val="00A04284"/>
    <w:rsid w:val="00A043B9"/>
    <w:rsid w:val="00A046CE"/>
    <w:rsid w:val="00A046E3"/>
    <w:rsid w:val="00A04B53"/>
    <w:rsid w:val="00A0540D"/>
    <w:rsid w:val="00A056ED"/>
    <w:rsid w:val="00A063B4"/>
    <w:rsid w:val="00A067D3"/>
    <w:rsid w:val="00A07207"/>
    <w:rsid w:val="00A07F96"/>
    <w:rsid w:val="00A10797"/>
    <w:rsid w:val="00A10A96"/>
    <w:rsid w:val="00A10F43"/>
    <w:rsid w:val="00A1116A"/>
    <w:rsid w:val="00A11215"/>
    <w:rsid w:val="00A113FD"/>
    <w:rsid w:val="00A11D16"/>
    <w:rsid w:val="00A11E83"/>
    <w:rsid w:val="00A11EA1"/>
    <w:rsid w:val="00A12C75"/>
    <w:rsid w:val="00A133D2"/>
    <w:rsid w:val="00A137EC"/>
    <w:rsid w:val="00A137ED"/>
    <w:rsid w:val="00A13BD8"/>
    <w:rsid w:val="00A13BE8"/>
    <w:rsid w:val="00A143E5"/>
    <w:rsid w:val="00A14405"/>
    <w:rsid w:val="00A14564"/>
    <w:rsid w:val="00A14895"/>
    <w:rsid w:val="00A14B2F"/>
    <w:rsid w:val="00A15242"/>
    <w:rsid w:val="00A15A4B"/>
    <w:rsid w:val="00A15CC7"/>
    <w:rsid w:val="00A15E5F"/>
    <w:rsid w:val="00A16263"/>
    <w:rsid w:val="00A16747"/>
    <w:rsid w:val="00A16B69"/>
    <w:rsid w:val="00A16CE5"/>
    <w:rsid w:val="00A16E2F"/>
    <w:rsid w:val="00A17214"/>
    <w:rsid w:val="00A1752D"/>
    <w:rsid w:val="00A1791A"/>
    <w:rsid w:val="00A17C20"/>
    <w:rsid w:val="00A17E8D"/>
    <w:rsid w:val="00A17EC5"/>
    <w:rsid w:val="00A20900"/>
    <w:rsid w:val="00A20BC0"/>
    <w:rsid w:val="00A2108D"/>
    <w:rsid w:val="00A22093"/>
    <w:rsid w:val="00A22A94"/>
    <w:rsid w:val="00A2312C"/>
    <w:rsid w:val="00A2335B"/>
    <w:rsid w:val="00A234B3"/>
    <w:rsid w:val="00A23517"/>
    <w:rsid w:val="00A235E9"/>
    <w:rsid w:val="00A245B3"/>
    <w:rsid w:val="00A24852"/>
    <w:rsid w:val="00A24CFF"/>
    <w:rsid w:val="00A25390"/>
    <w:rsid w:val="00A25CCD"/>
    <w:rsid w:val="00A26871"/>
    <w:rsid w:val="00A26F6C"/>
    <w:rsid w:val="00A27F29"/>
    <w:rsid w:val="00A3006B"/>
    <w:rsid w:val="00A30589"/>
    <w:rsid w:val="00A3091A"/>
    <w:rsid w:val="00A31C63"/>
    <w:rsid w:val="00A324EC"/>
    <w:rsid w:val="00A32864"/>
    <w:rsid w:val="00A33203"/>
    <w:rsid w:val="00A33512"/>
    <w:rsid w:val="00A3374D"/>
    <w:rsid w:val="00A33E12"/>
    <w:rsid w:val="00A33E18"/>
    <w:rsid w:val="00A3400E"/>
    <w:rsid w:val="00A343DE"/>
    <w:rsid w:val="00A34494"/>
    <w:rsid w:val="00A348D2"/>
    <w:rsid w:val="00A34DC6"/>
    <w:rsid w:val="00A35274"/>
    <w:rsid w:val="00A354D5"/>
    <w:rsid w:val="00A35A72"/>
    <w:rsid w:val="00A35D1E"/>
    <w:rsid w:val="00A35F2A"/>
    <w:rsid w:val="00A36212"/>
    <w:rsid w:val="00A3628C"/>
    <w:rsid w:val="00A363D4"/>
    <w:rsid w:val="00A36602"/>
    <w:rsid w:val="00A36EB1"/>
    <w:rsid w:val="00A36F36"/>
    <w:rsid w:val="00A372B4"/>
    <w:rsid w:val="00A373E7"/>
    <w:rsid w:val="00A37493"/>
    <w:rsid w:val="00A37599"/>
    <w:rsid w:val="00A3791E"/>
    <w:rsid w:val="00A37E5D"/>
    <w:rsid w:val="00A40002"/>
    <w:rsid w:val="00A401C3"/>
    <w:rsid w:val="00A4034A"/>
    <w:rsid w:val="00A40582"/>
    <w:rsid w:val="00A4058B"/>
    <w:rsid w:val="00A40734"/>
    <w:rsid w:val="00A40CDD"/>
    <w:rsid w:val="00A40FA4"/>
    <w:rsid w:val="00A4107D"/>
    <w:rsid w:val="00A41AD4"/>
    <w:rsid w:val="00A41D80"/>
    <w:rsid w:val="00A42C90"/>
    <w:rsid w:val="00A42E4E"/>
    <w:rsid w:val="00A42FA4"/>
    <w:rsid w:val="00A4341A"/>
    <w:rsid w:val="00A43460"/>
    <w:rsid w:val="00A4359B"/>
    <w:rsid w:val="00A4369D"/>
    <w:rsid w:val="00A43E96"/>
    <w:rsid w:val="00A43FBA"/>
    <w:rsid w:val="00A447F8"/>
    <w:rsid w:val="00A449DD"/>
    <w:rsid w:val="00A44D8F"/>
    <w:rsid w:val="00A457AC"/>
    <w:rsid w:val="00A457DD"/>
    <w:rsid w:val="00A46418"/>
    <w:rsid w:val="00A4650D"/>
    <w:rsid w:val="00A465F9"/>
    <w:rsid w:val="00A466F3"/>
    <w:rsid w:val="00A46CC4"/>
    <w:rsid w:val="00A46EB5"/>
    <w:rsid w:val="00A4706E"/>
    <w:rsid w:val="00A471ED"/>
    <w:rsid w:val="00A47EA0"/>
    <w:rsid w:val="00A47F23"/>
    <w:rsid w:val="00A504CB"/>
    <w:rsid w:val="00A5099F"/>
    <w:rsid w:val="00A50A6A"/>
    <w:rsid w:val="00A51885"/>
    <w:rsid w:val="00A51F2B"/>
    <w:rsid w:val="00A51FE3"/>
    <w:rsid w:val="00A525B5"/>
    <w:rsid w:val="00A526F2"/>
    <w:rsid w:val="00A528F1"/>
    <w:rsid w:val="00A5306B"/>
    <w:rsid w:val="00A53598"/>
    <w:rsid w:val="00A53A6A"/>
    <w:rsid w:val="00A53B12"/>
    <w:rsid w:val="00A53D80"/>
    <w:rsid w:val="00A54219"/>
    <w:rsid w:val="00A546F7"/>
    <w:rsid w:val="00A54979"/>
    <w:rsid w:val="00A5515B"/>
    <w:rsid w:val="00A555ED"/>
    <w:rsid w:val="00A5593A"/>
    <w:rsid w:val="00A55C69"/>
    <w:rsid w:val="00A55E44"/>
    <w:rsid w:val="00A56270"/>
    <w:rsid w:val="00A56930"/>
    <w:rsid w:val="00A56A7A"/>
    <w:rsid w:val="00A5761E"/>
    <w:rsid w:val="00A57745"/>
    <w:rsid w:val="00A57D6F"/>
    <w:rsid w:val="00A60466"/>
    <w:rsid w:val="00A6057A"/>
    <w:rsid w:val="00A60632"/>
    <w:rsid w:val="00A60BB4"/>
    <w:rsid w:val="00A60C25"/>
    <w:rsid w:val="00A60E7A"/>
    <w:rsid w:val="00A61719"/>
    <w:rsid w:val="00A61CAD"/>
    <w:rsid w:val="00A61FD0"/>
    <w:rsid w:val="00A620DB"/>
    <w:rsid w:val="00A626EB"/>
    <w:rsid w:val="00A62CA9"/>
    <w:rsid w:val="00A62D15"/>
    <w:rsid w:val="00A630B5"/>
    <w:rsid w:val="00A63159"/>
    <w:rsid w:val="00A63174"/>
    <w:rsid w:val="00A636EB"/>
    <w:rsid w:val="00A638AA"/>
    <w:rsid w:val="00A63C8E"/>
    <w:rsid w:val="00A63CF8"/>
    <w:rsid w:val="00A64851"/>
    <w:rsid w:val="00A64C12"/>
    <w:rsid w:val="00A64EF5"/>
    <w:rsid w:val="00A650F5"/>
    <w:rsid w:val="00A65574"/>
    <w:rsid w:val="00A65622"/>
    <w:rsid w:val="00A65858"/>
    <w:rsid w:val="00A65890"/>
    <w:rsid w:val="00A65928"/>
    <w:rsid w:val="00A65ABB"/>
    <w:rsid w:val="00A65BBC"/>
    <w:rsid w:val="00A660C6"/>
    <w:rsid w:val="00A6621F"/>
    <w:rsid w:val="00A663E4"/>
    <w:rsid w:val="00A6680F"/>
    <w:rsid w:val="00A668AB"/>
    <w:rsid w:val="00A66BA4"/>
    <w:rsid w:val="00A66DBF"/>
    <w:rsid w:val="00A674CD"/>
    <w:rsid w:val="00A67D86"/>
    <w:rsid w:val="00A7012C"/>
    <w:rsid w:val="00A701AF"/>
    <w:rsid w:val="00A701CE"/>
    <w:rsid w:val="00A7083C"/>
    <w:rsid w:val="00A70E4A"/>
    <w:rsid w:val="00A714B9"/>
    <w:rsid w:val="00A71624"/>
    <w:rsid w:val="00A717F5"/>
    <w:rsid w:val="00A71897"/>
    <w:rsid w:val="00A71BFE"/>
    <w:rsid w:val="00A71C97"/>
    <w:rsid w:val="00A71CFB"/>
    <w:rsid w:val="00A720CD"/>
    <w:rsid w:val="00A7278A"/>
    <w:rsid w:val="00A731FB"/>
    <w:rsid w:val="00A73470"/>
    <w:rsid w:val="00A73B9E"/>
    <w:rsid w:val="00A73C2B"/>
    <w:rsid w:val="00A73C56"/>
    <w:rsid w:val="00A7403F"/>
    <w:rsid w:val="00A742DD"/>
    <w:rsid w:val="00A7471E"/>
    <w:rsid w:val="00A7489A"/>
    <w:rsid w:val="00A74DC3"/>
    <w:rsid w:val="00A750ED"/>
    <w:rsid w:val="00A75F5E"/>
    <w:rsid w:val="00A75F7E"/>
    <w:rsid w:val="00A75FF7"/>
    <w:rsid w:val="00A7698E"/>
    <w:rsid w:val="00A76D03"/>
    <w:rsid w:val="00A771FC"/>
    <w:rsid w:val="00A778B1"/>
    <w:rsid w:val="00A778B5"/>
    <w:rsid w:val="00A7794E"/>
    <w:rsid w:val="00A77E87"/>
    <w:rsid w:val="00A802FE"/>
    <w:rsid w:val="00A803F1"/>
    <w:rsid w:val="00A8040A"/>
    <w:rsid w:val="00A80D39"/>
    <w:rsid w:val="00A80FE9"/>
    <w:rsid w:val="00A81109"/>
    <w:rsid w:val="00A81207"/>
    <w:rsid w:val="00A81383"/>
    <w:rsid w:val="00A81746"/>
    <w:rsid w:val="00A81CF1"/>
    <w:rsid w:val="00A82283"/>
    <w:rsid w:val="00A82AE2"/>
    <w:rsid w:val="00A82AFE"/>
    <w:rsid w:val="00A831DE"/>
    <w:rsid w:val="00A834A0"/>
    <w:rsid w:val="00A83589"/>
    <w:rsid w:val="00A83E57"/>
    <w:rsid w:val="00A840FE"/>
    <w:rsid w:val="00A84232"/>
    <w:rsid w:val="00A851B4"/>
    <w:rsid w:val="00A85585"/>
    <w:rsid w:val="00A85770"/>
    <w:rsid w:val="00A85D48"/>
    <w:rsid w:val="00A85D66"/>
    <w:rsid w:val="00A85D75"/>
    <w:rsid w:val="00A85E34"/>
    <w:rsid w:val="00A85E6D"/>
    <w:rsid w:val="00A86046"/>
    <w:rsid w:val="00A86A05"/>
    <w:rsid w:val="00A86AB2"/>
    <w:rsid w:val="00A86D5D"/>
    <w:rsid w:val="00A86E23"/>
    <w:rsid w:val="00A86FEA"/>
    <w:rsid w:val="00A870D9"/>
    <w:rsid w:val="00A87329"/>
    <w:rsid w:val="00A873C4"/>
    <w:rsid w:val="00A879DD"/>
    <w:rsid w:val="00A87DFB"/>
    <w:rsid w:val="00A90860"/>
    <w:rsid w:val="00A909F7"/>
    <w:rsid w:val="00A90B78"/>
    <w:rsid w:val="00A914D6"/>
    <w:rsid w:val="00A914E2"/>
    <w:rsid w:val="00A914ED"/>
    <w:rsid w:val="00A9164A"/>
    <w:rsid w:val="00A91D1E"/>
    <w:rsid w:val="00A91F96"/>
    <w:rsid w:val="00A92103"/>
    <w:rsid w:val="00A925F9"/>
    <w:rsid w:val="00A926C4"/>
    <w:rsid w:val="00A92A7E"/>
    <w:rsid w:val="00A930D7"/>
    <w:rsid w:val="00A93B5B"/>
    <w:rsid w:val="00A93B81"/>
    <w:rsid w:val="00A9443C"/>
    <w:rsid w:val="00A9464E"/>
    <w:rsid w:val="00A95356"/>
    <w:rsid w:val="00A95397"/>
    <w:rsid w:val="00A954E5"/>
    <w:rsid w:val="00A95932"/>
    <w:rsid w:val="00A9596E"/>
    <w:rsid w:val="00A95A85"/>
    <w:rsid w:val="00A95CB3"/>
    <w:rsid w:val="00A95D43"/>
    <w:rsid w:val="00A95DC0"/>
    <w:rsid w:val="00A95E30"/>
    <w:rsid w:val="00A95F29"/>
    <w:rsid w:val="00A96F34"/>
    <w:rsid w:val="00A973C9"/>
    <w:rsid w:val="00A97487"/>
    <w:rsid w:val="00A974D8"/>
    <w:rsid w:val="00A974E1"/>
    <w:rsid w:val="00A974FA"/>
    <w:rsid w:val="00A97C7B"/>
    <w:rsid w:val="00AA006F"/>
    <w:rsid w:val="00AA032A"/>
    <w:rsid w:val="00AA08D1"/>
    <w:rsid w:val="00AA0920"/>
    <w:rsid w:val="00AA0A06"/>
    <w:rsid w:val="00AA0B99"/>
    <w:rsid w:val="00AA10A1"/>
    <w:rsid w:val="00AA117F"/>
    <w:rsid w:val="00AA1716"/>
    <w:rsid w:val="00AA1F26"/>
    <w:rsid w:val="00AA247E"/>
    <w:rsid w:val="00AA29E3"/>
    <w:rsid w:val="00AA2D13"/>
    <w:rsid w:val="00AA38DD"/>
    <w:rsid w:val="00AA3A03"/>
    <w:rsid w:val="00AA4005"/>
    <w:rsid w:val="00AA41BC"/>
    <w:rsid w:val="00AA46AD"/>
    <w:rsid w:val="00AA478F"/>
    <w:rsid w:val="00AA4AFB"/>
    <w:rsid w:val="00AA5339"/>
    <w:rsid w:val="00AA5467"/>
    <w:rsid w:val="00AA591E"/>
    <w:rsid w:val="00AA65D3"/>
    <w:rsid w:val="00AA6850"/>
    <w:rsid w:val="00AA7747"/>
    <w:rsid w:val="00AA7A4D"/>
    <w:rsid w:val="00AA7CE3"/>
    <w:rsid w:val="00AB03EC"/>
    <w:rsid w:val="00AB0472"/>
    <w:rsid w:val="00AB07FC"/>
    <w:rsid w:val="00AB1831"/>
    <w:rsid w:val="00AB29CD"/>
    <w:rsid w:val="00AB2A15"/>
    <w:rsid w:val="00AB2E6C"/>
    <w:rsid w:val="00AB31A4"/>
    <w:rsid w:val="00AB3A54"/>
    <w:rsid w:val="00AB3C9B"/>
    <w:rsid w:val="00AB416A"/>
    <w:rsid w:val="00AB464D"/>
    <w:rsid w:val="00AB479D"/>
    <w:rsid w:val="00AB5340"/>
    <w:rsid w:val="00AB5418"/>
    <w:rsid w:val="00AB6185"/>
    <w:rsid w:val="00AB6262"/>
    <w:rsid w:val="00AB65A6"/>
    <w:rsid w:val="00AB6B2C"/>
    <w:rsid w:val="00AB6CF2"/>
    <w:rsid w:val="00AB6F03"/>
    <w:rsid w:val="00AB6F33"/>
    <w:rsid w:val="00AB7143"/>
    <w:rsid w:val="00AB7A18"/>
    <w:rsid w:val="00AB7E01"/>
    <w:rsid w:val="00AC0221"/>
    <w:rsid w:val="00AC0661"/>
    <w:rsid w:val="00AC07D7"/>
    <w:rsid w:val="00AC1373"/>
    <w:rsid w:val="00AC145E"/>
    <w:rsid w:val="00AC18E9"/>
    <w:rsid w:val="00AC1EE8"/>
    <w:rsid w:val="00AC1EFF"/>
    <w:rsid w:val="00AC1F41"/>
    <w:rsid w:val="00AC22C4"/>
    <w:rsid w:val="00AC28A3"/>
    <w:rsid w:val="00AC29DE"/>
    <w:rsid w:val="00AC2FC0"/>
    <w:rsid w:val="00AC3409"/>
    <w:rsid w:val="00AC36B5"/>
    <w:rsid w:val="00AC392A"/>
    <w:rsid w:val="00AC449E"/>
    <w:rsid w:val="00AC4DAA"/>
    <w:rsid w:val="00AC5679"/>
    <w:rsid w:val="00AC5AA0"/>
    <w:rsid w:val="00AC62ED"/>
    <w:rsid w:val="00AC6656"/>
    <w:rsid w:val="00AC6CE0"/>
    <w:rsid w:val="00AC6DE3"/>
    <w:rsid w:val="00AC711A"/>
    <w:rsid w:val="00AC7234"/>
    <w:rsid w:val="00AC738C"/>
    <w:rsid w:val="00AC78D1"/>
    <w:rsid w:val="00AC79B6"/>
    <w:rsid w:val="00AC7E94"/>
    <w:rsid w:val="00AD0220"/>
    <w:rsid w:val="00AD0334"/>
    <w:rsid w:val="00AD037C"/>
    <w:rsid w:val="00AD03D7"/>
    <w:rsid w:val="00AD05EA"/>
    <w:rsid w:val="00AD0F51"/>
    <w:rsid w:val="00AD11B1"/>
    <w:rsid w:val="00AD17AD"/>
    <w:rsid w:val="00AD1E6D"/>
    <w:rsid w:val="00AD209A"/>
    <w:rsid w:val="00AD2752"/>
    <w:rsid w:val="00AD29F1"/>
    <w:rsid w:val="00AD2A1F"/>
    <w:rsid w:val="00AD2E61"/>
    <w:rsid w:val="00AD2F8C"/>
    <w:rsid w:val="00AD2FD8"/>
    <w:rsid w:val="00AD31FC"/>
    <w:rsid w:val="00AD3540"/>
    <w:rsid w:val="00AD3542"/>
    <w:rsid w:val="00AD374D"/>
    <w:rsid w:val="00AD3A0D"/>
    <w:rsid w:val="00AD452E"/>
    <w:rsid w:val="00AD4C02"/>
    <w:rsid w:val="00AD5477"/>
    <w:rsid w:val="00AD576F"/>
    <w:rsid w:val="00AD5A11"/>
    <w:rsid w:val="00AD5ED8"/>
    <w:rsid w:val="00AD6124"/>
    <w:rsid w:val="00AD62D5"/>
    <w:rsid w:val="00AD66B8"/>
    <w:rsid w:val="00AD6959"/>
    <w:rsid w:val="00AD6C23"/>
    <w:rsid w:val="00AD6F50"/>
    <w:rsid w:val="00AD6F82"/>
    <w:rsid w:val="00AD71C2"/>
    <w:rsid w:val="00AD7964"/>
    <w:rsid w:val="00AD7A9F"/>
    <w:rsid w:val="00AD7E6D"/>
    <w:rsid w:val="00AE0535"/>
    <w:rsid w:val="00AE0BC5"/>
    <w:rsid w:val="00AE1066"/>
    <w:rsid w:val="00AE109D"/>
    <w:rsid w:val="00AE14E9"/>
    <w:rsid w:val="00AE196A"/>
    <w:rsid w:val="00AE1B0C"/>
    <w:rsid w:val="00AE1CDD"/>
    <w:rsid w:val="00AE25A9"/>
    <w:rsid w:val="00AE39A7"/>
    <w:rsid w:val="00AE3C04"/>
    <w:rsid w:val="00AE4310"/>
    <w:rsid w:val="00AE4517"/>
    <w:rsid w:val="00AE4D20"/>
    <w:rsid w:val="00AE4D4D"/>
    <w:rsid w:val="00AE5035"/>
    <w:rsid w:val="00AE5380"/>
    <w:rsid w:val="00AE565B"/>
    <w:rsid w:val="00AE56F7"/>
    <w:rsid w:val="00AE57B8"/>
    <w:rsid w:val="00AE5855"/>
    <w:rsid w:val="00AE5B1D"/>
    <w:rsid w:val="00AE5B23"/>
    <w:rsid w:val="00AE6369"/>
    <w:rsid w:val="00AE6AF2"/>
    <w:rsid w:val="00AE6DBE"/>
    <w:rsid w:val="00AE6E91"/>
    <w:rsid w:val="00AE70E5"/>
    <w:rsid w:val="00AE7314"/>
    <w:rsid w:val="00AE7B1E"/>
    <w:rsid w:val="00AE7E39"/>
    <w:rsid w:val="00AF00B9"/>
    <w:rsid w:val="00AF0626"/>
    <w:rsid w:val="00AF0702"/>
    <w:rsid w:val="00AF089B"/>
    <w:rsid w:val="00AF0959"/>
    <w:rsid w:val="00AF14E4"/>
    <w:rsid w:val="00AF155C"/>
    <w:rsid w:val="00AF1605"/>
    <w:rsid w:val="00AF17C3"/>
    <w:rsid w:val="00AF17C6"/>
    <w:rsid w:val="00AF18F6"/>
    <w:rsid w:val="00AF19C5"/>
    <w:rsid w:val="00AF1D11"/>
    <w:rsid w:val="00AF231C"/>
    <w:rsid w:val="00AF25B0"/>
    <w:rsid w:val="00AF26C8"/>
    <w:rsid w:val="00AF273E"/>
    <w:rsid w:val="00AF27F8"/>
    <w:rsid w:val="00AF2B75"/>
    <w:rsid w:val="00AF2F11"/>
    <w:rsid w:val="00AF305A"/>
    <w:rsid w:val="00AF31D9"/>
    <w:rsid w:val="00AF462C"/>
    <w:rsid w:val="00AF468E"/>
    <w:rsid w:val="00AF47DC"/>
    <w:rsid w:val="00AF4EB6"/>
    <w:rsid w:val="00AF4FAE"/>
    <w:rsid w:val="00AF537E"/>
    <w:rsid w:val="00AF556B"/>
    <w:rsid w:val="00AF5602"/>
    <w:rsid w:val="00AF56EC"/>
    <w:rsid w:val="00AF5702"/>
    <w:rsid w:val="00AF58AF"/>
    <w:rsid w:val="00AF598A"/>
    <w:rsid w:val="00AF6079"/>
    <w:rsid w:val="00AF6195"/>
    <w:rsid w:val="00AF69F8"/>
    <w:rsid w:val="00AF6FE0"/>
    <w:rsid w:val="00AF7184"/>
    <w:rsid w:val="00AF7A74"/>
    <w:rsid w:val="00AF7DA9"/>
    <w:rsid w:val="00AF7DC1"/>
    <w:rsid w:val="00AF7EB8"/>
    <w:rsid w:val="00B000F3"/>
    <w:rsid w:val="00B004CE"/>
    <w:rsid w:val="00B005A2"/>
    <w:rsid w:val="00B00A03"/>
    <w:rsid w:val="00B00D5A"/>
    <w:rsid w:val="00B01013"/>
    <w:rsid w:val="00B011BF"/>
    <w:rsid w:val="00B013E0"/>
    <w:rsid w:val="00B01B4F"/>
    <w:rsid w:val="00B01DAB"/>
    <w:rsid w:val="00B02600"/>
    <w:rsid w:val="00B02D19"/>
    <w:rsid w:val="00B02D6C"/>
    <w:rsid w:val="00B02DA3"/>
    <w:rsid w:val="00B02EC9"/>
    <w:rsid w:val="00B02EF5"/>
    <w:rsid w:val="00B031AE"/>
    <w:rsid w:val="00B03713"/>
    <w:rsid w:val="00B0382D"/>
    <w:rsid w:val="00B03B15"/>
    <w:rsid w:val="00B03B23"/>
    <w:rsid w:val="00B03D24"/>
    <w:rsid w:val="00B04A31"/>
    <w:rsid w:val="00B04AFD"/>
    <w:rsid w:val="00B04D0C"/>
    <w:rsid w:val="00B04ECD"/>
    <w:rsid w:val="00B0502B"/>
    <w:rsid w:val="00B052D3"/>
    <w:rsid w:val="00B060F0"/>
    <w:rsid w:val="00B0621C"/>
    <w:rsid w:val="00B06234"/>
    <w:rsid w:val="00B06418"/>
    <w:rsid w:val="00B06E81"/>
    <w:rsid w:val="00B079B0"/>
    <w:rsid w:val="00B07C0B"/>
    <w:rsid w:val="00B1014F"/>
    <w:rsid w:val="00B101B0"/>
    <w:rsid w:val="00B1047B"/>
    <w:rsid w:val="00B1084A"/>
    <w:rsid w:val="00B10942"/>
    <w:rsid w:val="00B10A7E"/>
    <w:rsid w:val="00B11774"/>
    <w:rsid w:val="00B11C1B"/>
    <w:rsid w:val="00B11D50"/>
    <w:rsid w:val="00B12736"/>
    <w:rsid w:val="00B12A5B"/>
    <w:rsid w:val="00B12CC6"/>
    <w:rsid w:val="00B13043"/>
    <w:rsid w:val="00B135F2"/>
    <w:rsid w:val="00B13912"/>
    <w:rsid w:val="00B139B1"/>
    <w:rsid w:val="00B13BBE"/>
    <w:rsid w:val="00B13C87"/>
    <w:rsid w:val="00B13EBB"/>
    <w:rsid w:val="00B140E9"/>
    <w:rsid w:val="00B141B7"/>
    <w:rsid w:val="00B148C6"/>
    <w:rsid w:val="00B14FA5"/>
    <w:rsid w:val="00B150AD"/>
    <w:rsid w:val="00B151EF"/>
    <w:rsid w:val="00B15228"/>
    <w:rsid w:val="00B154D8"/>
    <w:rsid w:val="00B157B2"/>
    <w:rsid w:val="00B15957"/>
    <w:rsid w:val="00B15B63"/>
    <w:rsid w:val="00B15E64"/>
    <w:rsid w:val="00B15E91"/>
    <w:rsid w:val="00B16294"/>
    <w:rsid w:val="00B16431"/>
    <w:rsid w:val="00B16457"/>
    <w:rsid w:val="00B16CBE"/>
    <w:rsid w:val="00B1776E"/>
    <w:rsid w:val="00B17AEC"/>
    <w:rsid w:val="00B17BFC"/>
    <w:rsid w:val="00B17E55"/>
    <w:rsid w:val="00B17EFD"/>
    <w:rsid w:val="00B206C6"/>
    <w:rsid w:val="00B20EB3"/>
    <w:rsid w:val="00B20ECE"/>
    <w:rsid w:val="00B20F52"/>
    <w:rsid w:val="00B21042"/>
    <w:rsid w:val="00B2182D"/>
    <w:rsid w:val="00B21C78"/>
    <w:rsid w:val="00B21ECE"/>
    <w:rsid w:val="00B22AD4"/>
    <w:rsid w:val="00B22E80"/>
    <w:rsid w:val="00B2405E"/>
    <w:rsid w:val="00B243E4"/>
    <w:rsid w:val="00B244F8"/>
    <w:rsid w:val="00B24FBF"/>
    <w:rsid w:val="00B25024"/>
    <w:rsid w:val="00B2552F"/>
    <w:rsid w:val="00B25871"/>
    <w:rsid w:val="00B259E0"/>
    <w:rsid w:val="00B25D70"/>
    <w:rsid w:val="00B25EE2"/>
    <w:rsid w:val="00B26BF3"/>
    <w:rsid w:val="00B26C21"/>
    <w:rsid w:val="00B26D25"/>
    <w:rsid w:val="00B26D3A"/>
    <w:rsid w:val="00B26DC1"/>
    <w:rsid w:val="00B26DC2"/>
    <w:rsid w:val="00B272C0"/>
    <w:rsid w:val="00B27724"/>
    <w:rsid w:val="00B27A69"/>
    <w:rsid w:val="00B27AD9"/>
    <w:rsid w:val="00B3024D"/>
    <w:rsid w:val="00B30AA1"/>
    <w:rsid w:val="00B30AA8"/>
    <w:rsid w:val="00B30D12"/>
    <w:rsid w:val="00B31366"/>
    <w:rsid w:val="00B31545"/>
    <w:rsid w:val="00B31749"/>
    <w:rsid w:val="00B31EE9"/>
    <w:rsid w:val="00B31F9A"/>
    <w:rsid w:val="00B32223"/>
    <w:rsid w:val="00B32C52"/>
    <w:rsid w:val="00B32D4D"/>
    <w:rsid w:val="00B33174"/>
    <w:rsid w:val="00B332BD"/>
    <w:rsid w:val="00B3379E"/>
    <w:rsid w:val="00B3385A"/>
    <w:rsid w:val="00B339DE"/>
    <w:rsid w:val="00B33F0D"/>
    <w:rsid w:val="00B33F6F"/>
    <w:rsid w:val="00B34267"/>
    <w:rsid w:val="00B342A8"/>
    <w:rsid w:val="00B346A3"/>
    <w:rsid w:val="00B34880"/>
    <w:rsid w:val="00B34F8B"/>
    <w:rsid w:val="00B35035"/>
    <w:rsid w:val="00B3514F"/>
    <w:rsid w:val="00B35198"/>
    <w:rsid w:val="00B352E4"/>
    <w:rsid w:val="00B357C8"/>
    <w:rsid w:val="00B35BFB"/>
    <w:rsid w:val="00B36267"/>
    <w:rsid w:val="00B3751F"/>
    <w:rsid w:val="00B37C9D"/>
    <w:rsid w:val="00B37E91"/>
    <w:rsid w:val="00B406C8"/>
    <w:rsid w:val="00B40D5F"/>
    <w:rsid w:val="00B41516"/>
    <w:rsid w:val="00B41A97"/>
    <w:rsid w:val="00B41B11"/>
    <w:rsid w:val="00B41E8E"/>
    <w:rsid w:val="00B421B8"/>
    <w:rsid w:val="00B4227C"/>
    <w:rsid w:val="00B42D1F"/>
    <w:rsid w:val="00B4349D"/>
    <w:rsid w:val="00B43F92"/>
    <w:rsid w:val="00B4498A"/>
    <w:rsid w:val="00B45DE5"/>
    <w:rsid w:val="00B46162"/>
    <w:rsid w:val="00B4664F"/>
    <w:rsid w:val="00B46CC6"/>
    <w:rsid w:val="00B47281"/>
    <w:rsid w:val="00B47597"/>
    <w:rsid w:val="00B47EE9"/>
    <w:rsid w:val="00B509D2"/>
    <w:rsid w:val="00B50D3D"/>
    <w:rsid w:val="00B50E12"/>
    <w:rsid w:val="00B51CF7"/>
    <w:rsid w:val="00B52137"/>
    <w:rsid w:val="00B521B3"/>
    <w:rsid w:val="00B523AF"/>
    <w:rsid w:val="00B53016"/>
    <w:rsid w:val="00B530CB"/>
    <w:rsid w:val="00B53155"/>
    <w:rsid w:val="00B53731"/>
    <w:rsid w:val="00B53D19"/>
    <w:rsid w:val="00B54314"/>
    <w:rsid w:val="00B54886"/>
    <w:rsid w:val="00B54ACD"/>
    <w:rsid w:val="00B54CA7"/>
    <w:rsid w:val="00B56339"/>
    <w:rsid w:val="00B567BB"/>
    <w:rsid w:val="00B56A75"/>
    <w:rsid w:val="00B56AA0"/>
    <w:rsid w:val="00B56AD9"/>
    <w:rsid w:val="00B57272"/>
    <w:rsid w:val="00B5744F"/>
    <w:rsid w:val="00B57641"/>
    <w:rsid w:val="00B57725"/>
    <w:rsid w:val="00B57E41"/>
    <w:rsid w:val="00B60056"/>
    <w:rsid w:val="00B60092"/>
    <w:rsid w:val="00B60165"/>
    <w:rsid w:val="00B60377"/>
    <w:rsid w:val="00B6065A"/>
    <w:rsid w:val="00B60F2C"/>
    <w:rsid w:val="00B61090"/>
    <w:rsid w:val="00B6178F"/>
    <w:rsid w:val="00B61C48"/>
    <w:rsid w:val="00B624BB"/>
    <w:rsid w:val="00B628C7"/>
    <w:rsid w:val="00B62FAC"/>
    <w:rsid w:val="00B62FDF"/>
    <w:rsid w:val="00B6349F"/>
    <w:rsid w:val="00B6355D"/>
    <w:rsid w:val="00B64216"/>
    <w:rsid w:val="00B64647"/>
    <w:rsid w:val="00B64ED0"/>
    <w:rsid w:val="00B65391"/>
    <w:rsid w:val="00B65680"/>
    <w:rsid w:val="00B66168"/>
    <w:rsid w:val="00B66BC4"/>
    <w:rsid w:val="00B67413"/>
    <w:rsid w:val="00B676FA"/>
    <w:rsid w:val="00B677AA"/>
    <w:rsid w:val="00B67A5E"/>
    <w:rsid w:val="00B67E56"/>
    <w:rsid w:val="00B67FA0"/>
    <w:rsid w:val="00B70BFA"/>
    <w:rsid w:val="00B70F4D"/>
    <w:rsid w:val="00B70FF4"/>
    <w:rsid w:val="00B711A7"/>
    <w:rsid w:val="00B712D7"/>
    <w:rsid w:val="00B71300"/>
    <w:rsid w:val="00B71687"/>
    <w:rsid w:val="00B71698"/>
    <w:rsid w:val="00B7175A"/>
    <w:rsid w:val="00B719C6"/>
    <w:rsid w:val="00B71EF4"/>
    <w:rsid w:val="00B7240F"/>
    <w:rsid w:val="00B726A5"/>
    <w:rsid w:val="00B73011"/>
    <w:rsid w:val="00B73096"/>
    <w:rsid w:val="00B731B7"/>
    <w:rsid w:val="00B73458"/>
    <w:rsid w:val="00B73A60"/>
    <w:rsid w:val="00B73C10"/>
    <w:rsid w:val="00B73D82"/>
    <w:rsid w:val="00B73F7C"/>
    <w:rsid w:val="00B742C7"/>
    <w:rsid w:val="00B748A8"/>
    <w:rsid w:val="00B74A31"/>
    <w:rsid w:val="00B74F7A"/>
    <w:rsid w:val="00B7511A"/>
    <w:rsid w:val="00B762EF"/>
    <w:rsid w:val="00B764A8"/>
    <w:rsid w:val="00B77225"/>
    <w:rsid w:val="00B7726B"/>
    <w:rsid w:val="00B77BDF"/>
    <w:rsid w:val="00B77EEE"/>
    <w:rsid w:val="00B80B6A"/>
    <w:rsid w:val="00B80CD7"/>
    <w:rsid w:val="00B80F7E"/>
    <w:rsid w:val="00B8106A"/>
    <w:rsid w:val="00B81728"/>
    <w:rsid w:val="00B81777"/>
    <w:rsid w:val="00B81A31"/>
    <w:rsid w:val="00B81D0F"/>
    <w:rsid w:val="00B81F8F"/>
    <w:rsid w:val="00B8209A"/>
    <w:rsid w:val="00B821A4"/>
    <w:rsid w:val="00B822CE"/>
    <w:rsid w:val="00B828E4"/>
    <w:rsid w:val="00B82FB1"/>
    <w:rsid w:val="00B8309A"/>
    <w:rsid w:val="00B83300"/>
    <w:rsid w:val="00B83585"/>
    <w:rsid w:val="00B83B2E"/>
    <w:rsid w:val="00B83CBD"/>
    <w:rsid w:val="00B844C4"/>
    <w:rsid w:val="00B848F7"/>
    <w:rsid w:val="00B84F76"/>
    <w:rsid w:val="00B8554E"/>
    <w:rsid w:val="00B855A4"/>
    <w:rsid w:val="00B85D7C"/>
    <w:rsid w:val="00B86689"/>
    <w:rsid w:val="00B868D2"/>
    <w:rsid w:val="00B86B5B"/>
    <w:rsid w:val="00B87609"/>
    <w:rsid w:val="00B8781A"/>
    <w:rsid w:val="00B87A74"/>
    <w:rsid w:val="00B87CD6"/>
    <w:rsid w:val="00B90534"/>
    <w:rsid w:val="00B9107B"/>
    <w:rsid w:val="00B91A6F"/>
    <w:rsid w:val="00B91B41"/>
    <w:rsid w:val="00B91E51"/>
    <w:rsid w:val="00B922DB"/>
    <w:rsid w:val="00B926AC"/>
    <w:rsid w:val="00B928A6"/>
    <w:rsid w:val="00B93101"/>
    <w:rsid w:val="00B93354"/>
    <w:rsid w:val="00B93357"/>
    <w:rsid w:val="00B9367B"/>
    <w:rsid w:val="00B939F6"/>
    <w:rsid w:val="00B93C38"/>
    <w:rsid w:val="00B93E02"/>
    <w:rsid w:val="00B940AC"/>
    <w:rsid w:val="00B9412E"/>
    <w:rsid w:val="00B943B3"/>
    <w:rsid w:val="00B944DC"/>
    <w:rsid w:val="00B94768"/>
    <w:rsid w:val="00B94A50"/>
    <w:rsid w:val="00B94CD4"/>
    <w:rsid w:val="00B94D60"/>
    <w:rsid w:val="00B94E95"/>
    <w:rsid w:val="00B95029"/>
    <w:rsid w:val="00B9506A"/>
    <w:rsid w:val="00B95300"/>
    <w:rsid w:val="00B95879"/>
    <w:rsid w:val="00B95920"/>
    <w:rsid w:val="00B95BC6"/>
    <w:rsid w:val="00B95E76"/>
    <w:rsid w:val="00B96388"/>
    <w:rsid w:val="00B96707"/>
    <w:rsid w:val="00B97C12"/>
    <w:rsid w:val="00BA017E"/>
    <w:rsid w:val="00BA072D"/>
    <w:rsid w:val="00BA0B1D"/>
    <w:rsid w:val="00BA103C"/>
    <w:rsid w:val="00BA14ED"/>
    <w:rsid w:val="00BA1D51"/>
    <w:rsid w:val="00BA1FF9"/>
    <w:rsid w:val="00BA21CA"/>
    <w:rsid w:val="00BA2A6D"/>
    <w:rsid w:val="00BA2CA3"/>
    <w:rsid w:val="00BA2F9C"/>
    <w:rsid w:val="00BA36CE"/>
    <w:rsid w:val="00BA36E4"/>
    <w:rsid w:val="00BA3D6B"/>
    <w:rsid w:val="00BA3ECC"/>
    <w:rsid w:val="00BA42AB"/>
    <w:rsid w:val="00BA4369"/>
    <w:rsid w:val="00BA4476"/>
    <w:rsid w:val="00BA49C1"/>
    <w:rsid w:val="00BA4A9E"/>
    <w:rsid w:val="00BA4FF2"/>
    <w:rsid w:val="00BA50F2"/>
    <w:rsid w:val="00BA5246"/>
    <w:rsid w:val="00BA538A"/>
    <w:rsid w:val="00BA593C"/>
    <w:rsid w:val="00BA5958"/>
    <w:rsid w:val="00BA66A3"/>
    <w:rsid w:val="00BA6795"/>
    <w:rsid w:val="00BA688A"/>
    <w:rsid w:val="00BA6F56"/>
    <w:rsid w:val="00BA779D"/>
    <w:rsid w:val="00BB001C"/>
    <w:rsid w:val="00BB00DB"/>
    <w:rsid w:val="00BB0409"/>
    <w:rsid w:val="00BB045D"/>
    <w:rsid w:val="00BB09A5"/>
    <w:rsid w:val="00BB0D66"/>
    <w:rsid w:val="00BB0E88"/>
    <w:rsid w:val="00BB1505"/>
    <w:rsid w:val="00BB155D"/>
    <w:rsid w:val="00BB1DFA"/>
    <w:rsid w:val="00BB20D7"/>
    <w:rsid w:val="00BB2154"/>
    <w:rsid w:val="00BB23FF"/>
    <w:rsid w:val="00BB2BD7"/>
    <w:rsid w:val="00BB2E6B"/>
    <w:rsid w:val="00BB4131"/>
    <w:rsid w:val="00BB4687"/>
    <w:rsid w:val="00BB4863"/>
    <w:rsid w:val="00BB51A0"/>
    <w:rsid w:val="00BB5525"/>
    <w:rsid w:val="00BB5920"/>
    <w:rsid w:val="00BB5C88"/>
    <w:rsid w:val="00BB65A4"/>
    <w:rsid w:val="00BB66BD"/>
    <w:rsid w:val="00BB6801"/>
    <w:rsid w:val="00BB69A7"/>
    <w:rsid w:val="00BB6C70"/>
    <w:rsid w:val="00BB6CF0"/>
    <w:rsid w:val="00BB6FA1"/>
    <w:rsid w:val="00BB7165"/>
    <w:rsid w:val="00BB71B2"/>
    <w:rsid w:val="00BB734B"/>
    <w:rsid w:val="00BC03B0"/>
    <w:rsid w:val="00BC0E8F"/>
    <w:rsid w:val="00BC1A7D"/>
    <w:rsid w:val="00BC21AA"/>
    <w:rsid w:val="00BC242E"/>
    <w:rsid w:val="00BC25B9"/>
    <w:rsid w:val="00BC267F"/>
    <w:rsid w:val="00BC3091"/>
    <w:rsid w:val="00BC3DE0"/>
    <w:rsid w:val="00BC3F48"/>
    <w:rsid w:val="00BC4038"/>
    <w:rsid w:val="00BC440B"/>
    <w:rsid w:val="00BC460E"/>
    <w:rsid w:val="00BC4876"/>
    <w:rsid w:val="00BC5575"/>
    <w:rsid w:val="00BC57FC"/>
    <w:rsid w:val="00BC59CB"/>
    <w:rsid w:val="00BC6314"/>
    <w:rsid w:val="00BC642C"/>
    <w:rsid w:val="00BC6894"/>
    <w:rsid w:val="00BC69AC"/>
    <w:rsid w:val="00BC6B8E"/>
    <w:rsid w:val="00BC733B"/>
    <w:rsid w:val="00BC7DCD"/>
    <w:rsid w:val="00BD056D"/>
    <w:rsid w:val="00BD1098"/>
    <w:rsid w:val="00BD12B3"/>
    <w:rsid w:val="00BD16D0"/>
    <w:rsid w:val="00BD1D6E"/>
    <w:rsid w:val="00BD1E02"/>
    <w:rsid w:val="00BD1F7F"/>
    <w:rsid w:val="00BD20BF"/>
    <w:rsid w:val="00BD20E1"/>
    <w:rsid w:val="00BD2965"/>
    <w:rsid w:val="00BD30C3"/>
    <w:rsid w:val="00BD328F"/>
    <w:rsid w:val="00BD3828"/>
    <w:rsid w:val="00BD3D35"/>
    <w:rsid w:val="00BD42FF"/>
    <w:rsid w:val="00BD489C"/>
    <w:rsid w:val="00BD4A6A"/>
    <w:rsid w:val="00BD4C73"/>
    <w:rsid w:val="00BD4D2E"/>
    <w:rsid w:val="00BD5220"/>
    <w:rsid w:val="00BD5940"/>
    <w:rsid w:val="00BD5B28"/>
    <w:rsid w:val="00BD5E78"/>
    <w:rsid w:val="00BD66A1"/>
    <w:rsid w:val="00BD6855"/>
    <w:rsid w:val="00BD693F"/>
    <w:rsid w:val="00BD6E18"/>
    <w:rsid w:val="00BD7913"/>
    <w:rsid w:val="00BE0099"/>
    <w:rsid w:val="00BE00E2"/>
    <w:rsid w:val="00BE0350"/>
    <w:rsid w:val="00BE042E"/>
    <w:rsid w:val="00BE0B77"/>
    <w:rsid w:val="00BE0FF7"/>
    <w:rsid w:val="00BE115D"/>
    <w:rsid w:val="00BE126C"/>
    <w:rsid w:val="00BE193A"/>
    <w:rsid w:val="00BE1D29"/>
    <w:rsid w:val="00BE1D6F"/>
    <w:rsid w:val="00BE1EBA"/>
    <w:rsid w:val="00BE2794"/>
    <w:rsid w:val="00BE2AA5"/>
    <w:rsid w:val="00BE2F04"/>
    <w:rsid w:val="00BE343A"/>
    <w:rsid w:val="00BE3F9B"/>
    <w:rsid w:val="00BE4253"/>
    <w:rsid w:val="00BE4A90"/>
    <w:rsid w:val="00BE5A77"/>
    <w:rsid w:val="00BE5BA6"/>
    <w:rsid w:val="00BE5BB6"/>
    <w:rsid w:val="00BE5F79"/>
    <w:rsid w:val="00BE665D"/>
    <w:rsid w:val="00BE677E"/>
    <w:rsid w:val="00BE690C"/>
    <w:rsid w:val="00BE6CE3"/>
    <w:rsid w:val="00BE6D89"/>
    <w:rsid w:val="00BE7C5E"/>
    <w:rsid w:val="00BE7DCB"/>
    <w:rsid w:val="00BF0157"/>
    <w:rsid w:val="00BF02AC"/>
    <w:rsid w:val="00BF0323"/>
    <w:rsid w:val="00BF0461"/>
    <w:rsid w:val="00BF0CD0"/>
    <w:rsid w:val="00BF0E94"/>
    <w:rsid w:val="00BF11E3"/>
    <w:rsid w:val="00BF133B"/>
    <w:rsid w:val="00BF263B"/>
    <w:rsid w:val="00BF26BA"/>
    <w:rsid w:val="00BF33A3"/>
    <w:rsid w:val="00BF34B5"/>
    <w:rsid w:val="00BF35FB"/>
    <w:rsid w:val="00BF3647"/>
    <w:rsid w:val="00BF3BE9"/>
    <w:rsid w:val="00BF3C7B"/>
    <w:rsid w:val="00BF41FA"/>
    <w:rsid w:val="00BF441D"/>
    <w:rsid w:val="00BF4561"/>
    <w:rsid w:val="00BF45AD"/>
    <w:rsid w:val="00BF4775"/>
    <w:rsid w:val="00BF5B89"/>
    <w:rsid w:val="00BF6077"/>
    <w:rsid w:val="00BF7DE4"/>
    <w:rsid w:val="00BF7EE3"/>
    <w:rsid w:val="00C0023F"/>
    <w:rsid w:val="00C004C4"/>
    <w:rsid w:val="00C0060B"/>
    <w:rsid w:val="00C0080C"/>
    <w:rsid w:val="00C0132B"/>
    <w:rsid w:val="00C0132D"/>
    <w:rsid w:val="00C0174F"/>
    <w:rsid w:val="00C0213F"/>
    <w:rsid w:val="00C02389"/>
    <w:rsid w:val="00C027C5"/>
    <w:rsid w:val="00C02B19"/>
    <w:rsid w:val="00C0307E"/>
    <w:rsid w:val="00C037BB"/>
    <w:rsid w:val="00C03E8A"/>
    <w:rsid w:val="00C03EDC"/>
    <w:rsid w:val="00C0425F"/>
    <w:rsid w:val="00C04468"/>
    <w:rsid w:val="00C054AC"/>
    <w:rsid w:val="00C05562"/>
    <w:rsid w:val="00C05C56"/>
    <w:rsid w:val="00C06173"/>
    <w:rsid w:val="00C063E7"/>
    <w:rsid w:val="00C06638"/>
    <w:rsid w:val="00C066C6"/>
    <w:rsid w:val="00C06B9C"/>
    <w:rsid w:val="00C071F8"/>
    <w:rsid w:val="00C073AE"/>
    <w:rsid w:val="00C074CF"/>
    <w:rsid w:val="00C076B5"/>
    <w:rsid w:val="00C07A74"/>
    <w:rsid w:val="00C07C01"/>
    <w:rsid w:val="00C07E7F"/>
    <w:rsid w:val="00C07EC1"/>
    <w:rsid w:val="00C07FCB"/>
    <w:rsid w:val="00C10207"/>
    <w:rsid w:val="00C10483"/>
    <w:rsid w:val="00C1118B"/>
    <w:rsid w:val="00C113F6"/>
    <w:rsid w:val="00C117A0"/>
    <w:rsid w:val="00C11A46"/>
    <w:rsid w:val="00C11BB8"/>
    <w:rsid w:val="00C11F5D"/>
    <w:rsid w:val="00C128F3"/>
    <w:rsid w:val="00C12CE5"/>
    <w:rsid w:val="00C13BE6"/>
    <w:rsid w:val="00C14431"/>
    <w:rsid w:val="00C14CD0"/>
    <w:rsid w:val="00C15179"/>
    <w:rsid w:val="00C153BC"/>
    <w:rsid w:val="00C155E7"/>
    <w:rsid w:val="00C156FA"/>
    <w:rsid w:val="00C159D3"/>
    <w:rsid w:val="00C15A7C"/>
    <w:rsid w:val="00C15B16"/>
    <w:rsid w:val="00C15B28"/>
    <w:rsid w:val="00C16209"/>
    <w:rsid w:val="00C170D1"/>
    <w:rsid w:val="00C17405"/>
    <w:rsid w:val="00C17EB0"/>
    <w:rsid w:val="00C20291"/>
    <w:rsid w:val="00C205B4"/>
    <w:rsid w:val="00C20DAF"/>
    <w:rsid w:val="00C21421"/>
    <w:rsid w:val="00C2149D"/>
    <w:rsid w:val="00C215A6"/>
    <w:rsid w:val="00C216CA"/>
    <w:rsid w:val="00C21713"/>
    <w:rsid w:val="00C21763"/>
    <w:rsid w:val="00C221C7"/>
    <w:rsid w:val="00C228CA"/>
    <w:rsid w:val="00C229F6"/>
    <w:rsid w:val="00C22D1E"/>
    <w:rsid w:val="00C23341"/>
    <w:rsid w:val="00C23970"/>
    <w:rsid w:val="00C23979"/>
    <w:rsid w:val="00C23BD7"/>
    <w:rsid w:val="00C240BE"/>
    <w:rsid w:val="00C24575"/>
    <w:rsid w:val="00C24AB8"/>
    <w:rsid w:val="00C24BFC"/>
    <w:rsid w:val="00C24E7D"/>
    <w:rsid w:val="00C24F12"/>
    <w:rsid w:val="00C251D5"/>
    <w:rsid w:val="00C26140"/>
    <w:rsid w:val="00C266EE"/>
    <w:rsid w:val="00C26B6A"/>
    <w:rsid w:val="00C26CBF"/>
    <w:rsid w:val="00C27168"/>
    <w:rsid w:val="00C27F1F"/>
    <w:rsid w:val="00C3088B"/>
    <w:rsid w:val="00C3089C"/>
    <w:rsid w:val="00C30B27"/>
    <w:rsid w:val="00C30E4F"/>
    <w:rsid w:val="00C30E9B"/>
    <w:rsid w:val="00C31251"/>
    <w:rsid w:val="00C3155A"/>
    <w:rsid w:val="00C318BD"/>
    <w:rsid w:val="00C3191C"/>
    <w:rsid w:val="00C31BB0"/>
    <w:rsid w:val="00C31E82"/>
    <w:rsid w:val="00C31FDE"/>
    <w:rsid w:val="00C324CE"/>
    <w:rsid w:val="00C32780"/>
    <w:rsid w:val="00C32916"/>
    <w:rsid w:val="00C32A58"/>
    <w:rsid w:val="00C32B18"/>
    <w:rsid w:val="00C331A8"/>
    <w:rsid w:val="00C33496"/>
    <w:rsid w:val="00C339FA"/>
    <w:rsid w:val="00C33BF6"/>
    <w:rsid w:val="00C33DBE"/>
    <w:rsid w:val="00C34228"/>
    <w:rsid w:val="00C348A2"/>
    <w:rsid w:val="00C34ABA"/>
    <w:rsid w:val="00C34E2D"/>
    <w:rsid w:val="00C3513C"/>
    <w:rsid w:val="00C351C4"/>
    <w:rsid w:val="00C35B7F"/>
    <w:rsid w:val="00C35BE1"/>
    <w:rsid w:val="00C35C74"/>
    <w:rsid w:val="00C36101"/>
    <w:rsid w:val="00C36142"/>
    <w:rsid w:val="00C3616C"/>
    <w:rsid w:val="00C36410"/>
    <w:rsid w:val="00C36420"/>
    <w:rsid w:val="00C3671B"/>
    <w:rsid w:val="00C36A22"/>
    <w:rsid w:val="00C36CC4"/>
    <w:rsid w:val="00C36E1F"/>
    <w:rsid w:val="00C371D8"/>
    <w:rsid w:val="00C37775"/>
    <w:rsid w:val="00C37835"/>
    <w:rsid w:val="00C37B84"/>
    <w:rsid w:val="00C402B4"/>
    <w:rsid w:val="00C40F2A"/>
    <w:rsid w:val="00C411A8"/>
    <w:rsid w:val="00C4123F"/>
    <w:rsid w:val="00C41473"/>
    <w:rsid w:val="00C414F7"/>
    <w:rsid w:val="00C41E19"/>
    <w:rsid w:val="00C41F57"/>
    <w:rsid w:val="00C42551"/>
    <w:rsid w:val="00C429BE"/>
    <w:rsid w:val="00C43005"/>
    <w:rsid w:val="00C43498"/>
    <w:rsid w:val="00C43A17"/>
    <w:rsid w:val="00C43D3D"/>
    <w:rsid w:val="00C43E7B"/>
    <w:rsid w:val="00C44BBB"/>
    <w:rsid w:val="00C44BC2"/>
    <w:rsid w:val="00C44C70"/>
    <w:rsid w:val="00C45078"/>
    <w:rsid w:val="00C450B4"/>
    <w:rsid w:val="00C450B5"/>
    <w:rsid w:val="00C451BB"/>
    <w:rsid w:val="00C451C7"/>
    <w:rsid w:val="00C45556"/>
    <w:rsid w:val="00C4562C"/>
    <w:rsid w:val="00C45DE7"/>
    <w:rsid w:val="00C46148"/>
    <w:rsid w:val="00C462FD"/>
    <w:rsid w:val="00C46560"/>
    <w:rsid w:val="00C468E0"/>
    <w:rsid w:val="00C46BE5"/>
    <w:rsid w:val="00C46CCA"/>
    <w:rsid w:val="00C470D3"/>
    <w:rsid w:val="00C47FF2"/>
    <w:rsid w:val="00C5015C"/>
    <w:rsid w:val="00C50727"/>
    <w:rsid w:val="00C50AD5"/>
    <w:rsid w:val="00C50C29"/>
    <w:rsid w:val="00C51369"/>
    <w:rsid w:val="00C5158D"/>
    <w:rsid w:val="00C51757"/>
    <w:rsid w:val="00C5186A"/>
    <w:rsid w:val="00C51F43"/>
    <w:rsid w:val="00C5227B"/>
    <w:rsid w:val="00C525B3"/>
    <w:rsid w:val="00C5266A"/>
    <w:rsid w:val="00C52735"/>
    <w:rsid w:val="00C529C5"/>
    <w:rsid w:val="00C52E2B"/>
    <w:rsid w:val="00C52FDA"/>
    <w:rsid w:val="00C53C05"/>
    <w:rsid w:val="00C5412E"/>
    <w:rsid w:val="00C5418E"/>
    <w:rsid w:val="00C5456C"/>
    <w:rsid w:val="00C545B9"/>
    <w:rsid w:val="00C5507D"/>
    <w:rsid w:val="00C552B0"/>
    <w:rsid w:val="00C5534E"/>
    <w:rsid w:val="00C55549"/>
    <w:rsid w:val="00C556C0"/>
    <w:rsid w:val="00C558F5"/>
    <w:rsid w:val="00C558F8"/>
    <w:rsid w:val="00C55CB0"/>
    <w:rsid w:val="00C55D94"/>
    <w:rsid w:val="00C55E0D"/>
    <w:rsid w:val="00C56080"/>
    <w:rsid w:val="00C5643F"/>
    <w:rsid w:val="00C565B0"/>
    <w:rsid w:val="00C5660B"/>
    <w:rsid w:val="00C56B70"/>
    <w:rsid w:val="00C5734A"/>
    <w:rsid w:val="00C5785B"/>
    <w:rsid w:val="00C57DBA"/>
    <w:rsid w:val="00C6026B"/>
    <w:rsid w:val="00C60462"/>
    <w:rsid w:val="00C6070D"/>
    <w:rsid w:val="00C60ACB"/>
    <w:rsid w:val="00C610AA"/>
    <w:rsid w:val="00C61233"/>
    <w:rsid w:val="00C613F7"/>
    <w:rsid w:val="00C61A7F"/>
    <w:rsid w:val="00C63007"/>
    <w:rsid w:val="00C634A3"/>
    <w:rsid w:val="00C6368A"/>
    <w:rsid w:val="00C63903"/>
    <w:rsid w:val="00C641F0"/>
    <w:rsid w:val="00C6465A"/>
    <w:rsid w:val="00C647B5"/>
    <w:rsid w:val="00C6491C"/>
    <w:rsid w:val="00C64E3A"/>
    <w:rsid w:val="00C6504E"/>
    <w:rsid w:val="00C651C5"/>
    <w:rsid w:val="00C65588"/>
    <w:rsid w:val="00C655F6"/>
    <w:rsid w:val="00C65780"/>
    <w:rsid w:val="00C65BC8"/>
    <w:rsid w:val="00C65BD1"/>
    <w:rsid w:val="00C65C16"/>
    <w:rsid w:val="00C65DFC"/>
    <w:rsid w:val="00C65F20"/>
    <w:rsid w:val="00C663AB"/>
    <w:rsid w:val="00C66461"/>
    <w:rsid w:val="00C66477"/>
    <w:rsid w:val="00C6684B"/>
    <w:rsid w:val="00C66E5A"/>
    <w:rsid w:val="00C67954"/>
    <w:rsid w:val="00C6797B"/>
    <w:rsid w:val="00C67A1B"/>
    <w:rsid w:val="00C67B6D"/>
    <w:rsid w:val="00C700B7"/>
    <w:rsid w:val="00C700D4"/>
    <w:rsid w:val="00C7066D"/>
    <w:rsid w:val="00C70EF3"/>
    <w:rsid w:val="00C710B0"/>
    <w:rsid w:val="00C71642"/>
    <w:rsid w:val="00C719F5"/>
    <w:rsid w:val="00C71DF7"/>
    <w:rsid w:val="00C71E0D"/>
    <w:rsid w:val="00C72553"/>
    <w:rsid w:val="00C7255F"/>
    <w:rsid w:val="00C73305"/>
    <w:rsid w:val="00C7342E"/>
    <w:rsid w:val="00C735CC"/>
    <w:rsid w:val="00C73B13"/>
    <w:rsid w:val="00C73D07"/>
    <w:rsid w:val="00C73DB9"/>
    <w:rsid w:val="00C74069"/>
    <w:rsid w:val="00C7452A"/>
    <w:rsid w:val="00C74614"/>
    <w:rsid w:val="00C7464C"/>
    <w:rsid w:val="00C746BC"/>
    <w:rsid w:val="00C746E9"/>
    <w:rsid w:val="00C74B8B"/>
    <w:rsid w:val="00C76354"/>
    <w:rsid w:val="00C76434"/>
    <w:rsid w:val="00C764E6"/>
    <w:rsid w:val="00C76BBE"/>
    <w:rsid w:val="00C770FB"/>
    <w:rsid w:val="00C77200"/>
    <w:rsid w:val="00C7735C"/>
    <w:rsid w:val="00C7763A"/>
    <w:rsid w:val="00C77D88"/>
    <w:rsid w:val="00C77FB3"/>
    <w:rsid w:val="00C8016A"/>
    <w:rsid w:val="00C80AAF"/>
    <w:rsid w:val="00C80C24"/>
    <w:rsid w:val="00C80D80"/>
    <w:rsid w:val="00C81307"/>
    <w:rsid w:val="00C81BEC"/>
    <w:rsid w:val="00C81CBD"/>
    <w:rsid w:val="00C81E07"/>
    <w:rsid w:val="00C81F3A"/>
    <w:rsid w:val="00C824E7"/>
    <w:rsid w:val="00C82776"/>
    <w:rsid w:val="00C82AE0"/>
    <w:rsid w:val="00C835D9"/>
    <w:rsid w:val="00C8378F"/>
    <w:rsid w:val="00C837E3"/>
    <w:rsid w:val="00C83863"/>
    <w:rsid w:val="00C838F3"/>
    <w:rsid w:val="00C83FE8"/>
    <w:rsid w:val="00C84090"/>
    <w:rsid w:val="00C84243"/>
    <w:rsid w:val="00C8493A"/>
    <w:rsid w:val="00C85270"/>
    <w:rsid w:val="00C852C5"/>
    <w:rsid w:val="00C8567B"/>
    <w:rsid w:val="00C8591D"/>
    <w:rsid w:val="00C862CB"/>
    <w:rsid w:val="00C86566"/>
    <w:rsid w:val="00C86B0C"/>
    <w:rsid w:val="00C86CED"/>
    <w:rsid w:val="00C86F92"/>
    <w:rsid w:val="00C87556"/>
    <w:rsid w:val="00C87878"/>
    <w:rsid w:val="00C87948"/>
    <w:rsid w:val="00C87A9A"/>
    <w:rsid w:val="00C90057"/>
    <w:rsid w:val="00C900B1"/>
    <w:rsid w:val="00C9027C"/>
    <w:rsid w:val="00C905EF"/>
    <w:rsid w:val="00C90CD0"/>
    <w:rsid w:val="00C90D1C"/>
    <w:rsid w:val="00C90DC3"/>
    <w:rsid w:val="00C90DD1"/>
    <w:rsid w:val="00C9153C"/>
    <w:rsid w:val="00C91BCF"/>
    <w:rsid w:val="00C91BF9"/>
    <w:rsid w:val="00C91FB0"/>
    <w:rsid w:val="00C92A1F"/>
    <w:rsid w:val="00C92C1E"/>
    <w:rsid w:val="00C92E2F"/>
    <w:rsid w:val="00C92F14"/>
    <w:rsid w:val="00C92F62"/>
    <w:rsid w:val="00C93448"/>
    <w:rsid w:val="00C9375B"/>
    <w:rsid w:val="00C93F20"/>
    <w:rsid w:val="00C93F74"/>
    <w:rsid w:val="00C947C5"/>
    <w:rsid w:val="00C949AB"/>
    <w:rsid w:val="00C94FA6"/>
    <w:rsid w:val="00C9524D"/>
    <w:rsid w:val="00C95336"/>
    <w:rsid w:val="00C96133"/>
    <w:rsid w:val="00C961A4"/>
    <w:rsid w:val="00C962AC"/>
    <w:rsid w:val="00C967A0"/>
    <w:rsid w:val="00C975F1"/>
    <w:rsid w:val="00C976C7"/>
    <w:rsid w:val="00C97705"/>
    <w:rsid w:val="00C97D69"/>
    <w:rsid w:val="00C97DC2"/>
    <w:rsid w:val="00CA060B"/>
    <w:rsid w:val="00CA10A7"/>
    <w:rsid w:val="00CA1189"/>
    <w:rsid w:val="00CA122B"/>
    <w:rsid w:val="00CA1515"/>
    <w:rsid w:val="00CA1677"/>
    <w:rsid w:val="00CA18DF"/>
    <w:rsid w:val="00CA1909"/>
    <w:rsid w:val="00CA1F0A"/>
    <w:rsid w:val="00CA21CB"/>
    <w:rsid w:val="00CA238F"/>
    <w:rsid w:val="00CA2B3C"/>
    <w:rsid w:val="00CA2D2F"/>
    <w:rsid w:val="00CA3559"/>
    <w:rsid w:val="00CA38D5"/>
    <w:rsid w:val="00CA3AD2"/>
    <w:rsid w:val="00CA3D8C"/>
    <w:rsid w:val="00CA4985"/>
    <w:rsid w:val="00CA4D25"/>
    <w:rsid w:val="00CA508D"/>
    <w:rsid w:val="00CA53CF"/>
    <w:rsid w:val="00CA5422"/>
    <w:rsid w:val="00CA569F"/>
    <w:rsid w:val="00CA572B"/>
    <w:rsid w:val="00CA66C2"/>
    <w:rsid w:val="00CA6895"/>
    <w:rsid w:val="00CA68F3"/>
    <w:rsid w:val="00CA693B"/>
    <w:rsid w:val="00CA6F89"/>
    <w:rsid w:val="00CA6FF7"/>
    <w:rsid w:val="00CA7296"/>
    <w:rsid w:val="00CA7828"/>
    <w:rsid w:val="00CA7957"/>
    <w:rsid w:val="00CA7AF7"/>
    <w:rsid w:val="00CA7B22"/>
    <w:rsid w:val="00CA7D02"/>
    <w:rsid w:val="00CA7D99"/>
    <w:rsid w:val="00CB01A9"/>
    <w:rsid w:val="00CB01C5"/>
    <w:rsid w:val="00CB0445"/>
    <w:rsid w:val="00CB064D"/>
    <w:rsid w:val="00CB0670"/>
    <w:rsid w:val="00CB0DFB"/>
    <w:rsid w:val="00CB1019"/>
    <w:rsid w:val="00CB12F7"/>
    <w:rsid w:val="00CB19CF"/>
    <w:rsid w:val="00CB1D5E"/>
    <w:rsid w:val="00CB2E53"/>
    <w:rsid w:val="00CB379E"/>
    <w:rsid w:val="00CB3ABC"/>
    <w:rsid w:val="00CB3D6B"/>
    <w:rsid w:val="00CB4205"/>
    <w:rsid w:val="00CB42F6"/>
    <w:rsid w:val="00CB48E6"/>
    <w:rsid w:val="00CB55BE"/>
    <w:rsid w:val="00CB56FA"/>
    <w:rsid w:val="00CB5B91"/>
    <w:rsid w:val="00CB6658"/>
    <w:rsid w:val="00CB6F35"/>
    <w:rsid w:val="00CB7444"/>
    <w:rsid w:val="00CB7678"/>
    <w:rsid w:val="00CB790A"/>
    <w:rsid w:val="00CB7C44"/>
    <w:rsid w:val="00CB7D37"/>
    <w:rsid w:val="00CB7D4F"/>
    <w:rsid w:val="00CC04CF"/>
    <w:rsid w:val="00CC15A7"/>
    <w:rsid w:val="00CC193A"/>
    <w:rsid w:val="00CC1B50"/>
    <w:rsid w:val="00CC29D2"/>
    <w:rsid w:val="00CC2AF4"/>
    <w:rsid w:val="00CC2B1A"/>
    <w:rsid w:val="00CC2FD4"/>
    <w:rsid w:val="00CC34F3"/>
    <w:rsid w:val="00CC35A2"/>
    <w:rsid w:val="00CC387C"/>
    <w:rsid w:val="00CC3CC7"/>
    <w:rsid w:val="00CC4261"/>
    <w:rsid w:val="00CC42FB"/>
    <w:rsid w:val="00CC4B5C"/>
    <w:rsid w:val="00CC4CA7"/>
    <w:rsid w:val="00CC57CD"/>
    <w:rsid w:val="00CC5F0C"/>
    <w:rsid w:val="00CC6316"/>
    <w:rsid w:val="00CC64DD"/>
    <w:rsid w:val="00CC6717"/>
    <w:rsid w:val="00CC6D24"/>
    <w:rsid w:val="00CC6E6B"/>
    <w:rsid w:val="00CC6EE7"/>
    <w:rsid w:val="00CC708C"/>
    <w:rsid w:val="00CC75F5"/>
    <w:rsid w:val="00CC7612"/>
    <w:rsid w:val="00CC7D59"/>
    <w:rsid w:val="00CC7EE6"/>
    <w:rsid w:val="00CD0258"/>
    <w:rsid w:val="00CD0B44"/>
    <w:rsid w:val="00CD0CB0"/>
    <w:rsid w:val="00CD18A1"/>
    <w:rsid w:val="00CD1A11"/>
    <w:rsid w:val="00CD1DC4"/>
    <w:rsid w:val="00CD2109"/>
    <w:rsid w:val="00CD2EEB"/>
    <w:rsid w:val="00CD2FFB"/>
    <w:rsid w:val="00CD32A0"/>
    <w:rsid w:val="00CD3588"/>
    <w:rsid w:val="00CD3D5D"/>
    <w:rsid w:val="00CD3D98"/>
    <w:rsid w:val="00CD41E9"/>
    <w:rsid w:val="00CD4932"/>
    <w:rsid w:val="00CD493D"/>
    <w:rsid w:val="00CD53D6"/>
    <w:rsid w:val="00CD560F"/>
    <w:rsid w:val="00CD57A4"/>
    <w:rsid w:val="00CD5910"/>
    <w:rsid w:val="00CD5A96"/>
    <w:rsid w:val="00CD5C6D"/>
    <w:rsid w:val="00CD5D98"/>
    <w:rsid w:val="00CD5E95"/>
    <w:rsid w:val="00CD72CF"/>
    <w:rsid w:val="00CD75BB"/>
    <w:rsid w:val="00CD7757"/>
    <w:rsid w:val="00CD7C1D"/>
    <w:rsid w:val="00CD7E9D"/>
    <w:rsid w:val="00CE08A2"/>
    <w:rsid w:val="00CE0BC2"/>
    <w:rsid w:val="00CE158D"/>
    <w:rsid w:val="00CE1853"/>
    <w:rsid w:val="00CE1E37"/>
    <w:rsid w:val="00CE23D4"/>
    <w:rsid w:val="00CE26F8"/>
    <w:rsid w:val="00CE281B"/>
    <w:rsid w:val="00CE28C2"/>
    <w:rsid w:val="00CE2B29"/>
    <w:rsid w:val="00CE2C61"/>
    <w:rsid w:val="00CE2E73"/>
    <w:rsid w:val="00CE325A"/>
    <w:rsid w:val="00CE3679"/>
    <w:rsid w:val="00CE388D"/>
    <w:rsid w:val="00CE3AA2"/>
    <w:rsid w:val="00CE3AD5"/>
    <w:rsid w:val="00CE4077"/>
    <w:rsid w:val="00CE4147"/>
    <w:rsid w:val="00CE4223"/>
    <w:rsid w:val="00CE4257"/>
    <w:rsid w:val="00CE434B"/>
    <w:rsid w:val="00CE43D2"/>
    <w:rsid w:val="00CE45BB"/>
    <w:rsid w:val="00CE47DF"/>
    <w:rsid w:val="00CE49E9"/>
    <w:rsid w:val="00CE4B10"/>
    <w:rsid w:val="00CE4BFD"/>
    <w:rsid w:val="00CE4C8F"/>
    <w:rsid w:val="00CE4C9A"/>
    <w:rsid w:val="00CE525E"/>
    <w:rsid w:val="00CE53C4"/>
    <w:rsid w:val="00CE56A1"/>
    <w:rsid w:val="00CE5D86"/>
    <w:rsid w:val="00CE6B8B"/>
    <w:rsid w:val="00CE6D35"/>
    <w:rsid w:val="00CE6DCB"/>
    <w:rsid w:val="00CE6E48"/>
    <w:rsid w:val="00CE7254"/>
    <w:rsid w:val="00CE7773"/>
    <w:rsid w:val="00CE7F55"/>
    <w:rsid w:val="00CF00F6"/>
    <w:rsid w:val="00CF015B"/>
    <w:rsid w:val="00CF0794"/>
    <w:rsid w:val="00CF081D"/>
    <w:rsid w:val="00CF0C38"/>
    <w:rsid w:val="00CF0EAA"/>
    <w:rsid w:val="00CF1590"/>
    <w:rsid w:val="00CF1729"/>
    <w:rsid w:val="00CF1ADF"/>
    <w:rsid w:val="00CF1D03"/>
    <w:rsid w:val="00CF2B01"/>
    <w:rsid w:val="00CF2B49"/>
    <w:rsid w:val="00CF2CFF"/>
    <w:rsid w:val="00CF3374"/>
    <w:rsid w:val="00CF3925"/>
    <w:rsid w:val="00CF3D1D"/>
    <w:rsid w:val="00CF438C"/>
    <w:rsid w:val="00CF4BE8"/>
    <w:rsid w:val="00CF4C7E"/>
    <w:rsid w:val="00CF4F71"/>
    <w:rsid w:val="00CF5044"/>
    <w:rsid w:val="00CF51E6"/>
    <w:rsid w:val="00CF5370"/>
    <w:rsid w:val="00CF55FE"/>
    <w:rsid w:val="00CF594E"/>
    <w:rsid w:val="00CF5C32"/>
    <w:rsid w:val="00CF638C"/>
    <w:rsid w:val="00CF66BA"/>
    <w:rsid w:val="00CF69F8"/>
    <w:rsid w:val="00CF6A4B"/>
    <w:rsid w:val="00CF6B0A"/>
    <w:rsid w:val="00CF6C36"/>
    <w:rsid w:val="00CF77FB"/>
    <w:rsid w:val="00CF7FCB"/>
    <w:rsid w:val="00D00602"/>
    <w:rsid w:val="00D007E1"/>
    <w:rsid w:val="00D00B33"/>
    <w:rsid w:val="00D00B38"/>
    <w:rsid w:val="00D01004"/>
    <w:rsid w:val="00D01031"/>
    <w:rsid w:val="00D0103F"/>
    <w:rsid w:val="00D01246"/>
    <w:rsid w:val="00D021BB"/>
    <w:rsid w:val="00D02563"/>
    <w:rsid w:val="00D026B2"/>
    <w:rsid w:val="00D027A5"/>
    <w:rsid w:val="00D02BC1"/>
    <w:rsid w:val="00D02BD8"/>
    <w:rsid w:val="00D02FF8"/>
    <w:rsid w:val="00D0323E"/>
    <w:rsid w:val="00D034BA"/>
    <w:rsid w:val="00D037F3"/>
    <w:rsid w:val="00D03A00"/>
    <w:rsid w:val="00D04A0D"/>
    <w:rsid w:val="00D0659F"/>
    <w:rsid w:val="00D069EB"/>
    <w:rsid w:val="00D06B6C"/>
    <w:rsid w:val="00D06FAB"/>
    <w:rsid w:val="00D07145"/>
    <w:rsid w:val="00D071E5"/>
    <w:rsid w:val="00D07255"/>
    <w:rsid w:val="00D07A4D"/>
    <w:rsid w:val="00D07DF5"/>
    <w:rsid w:val="00D10245"/>
    <w:rsid w:val="00D10583"/>
    <w:rsid w:val="00D10F8F"/>
    <w:rsid w:val="00D11081"/>
    <w:rsid w:val="00D112BF"/>
    <w:rsid w:val="00D1144F"/>
    <w:rsid w:val="00D1148B"/>
    <w:rsid w:val="00D115AD"/>
    <w:rsid w:val="00D11627"/>
    <w:rsid w:val="00D118F1"/>
    <w:rsid w:val="00D11FD5"/>
    <w:rsid w:val="00D12534"/>
    <w:rsid w:val="00D1300D"/>
    <w:rsid w:val="00D13050"/>
    <w:rsid w:val="00D1333E"/>
    <w:rsid w:val="00D13605"/>
    <w:rsid w:val="00D137D3"/>
    <w:rsid w:val="00D13FBE"/>
    <w:rsid w:val="00D14029"/>
    <w:rsid w:val="00D14401"/>
    <w:rsid w:val="00D144FA"/>
    <w:rsid w:val="00D14B7F"/>
    <w:rsid w:val="00D15079"/>
    <w:rsid w:val="00D15203"/>
    <w:rsid w:val="00D1598B"/>
    <w:rsid w:val="00D15E81"/>
    <w:rsid w:val="00D162AF"/>
    <w:rsid w:val="00D16435"/>
    <w:rsid w:val="00D166A0"/>
    <w:rsid w:val="00D16AC6"/>
    <w:rsid w:val="00D16D2B"/>
    <w:rsid w:val="00D16DAD"/>
    <w:rsid w:val="00D17167"/>
    <w:rsid w:val="00D17591"/>
    <w:rsid w:val="00D17842"/>
    <w:rsid w:val="00D17B83"/>
    <w:rsid w:val="00D17C88"/>
    <w:rsid w:val="00D17D3F"/>
    <w:rsid w:val="00D17EEA"/>
    <w:rsid w:val="00D201D9"/>
    <w:rsid w:val="00D2023A"/>
    <w:rsid w:val="00D20342"/>
    <w:rsid w:val="00D204C8"/>
    <w:rsid w:val="00D20971"/>
    <w:rsid w:val="00D20A6D"/>
    <w:rsid w:val="00D20AB1"/>
    <w:rsid w:val="00D20E7E"/>
    <w:rsid w:val="00D21082"/>
    <w:rsid w:val="00D2128C"/>
    <w:rsid w:val="00D215B5"/>
    <w:rsid w:val="00D21866"/>
    <w:rsid w:val="00D21AAE"/>
    <w:rsid w:val="00D22208"/>
    <w:rsid w:val="00D2221C"/>
    <w:rsid w:val="00D226C1"/>
    <w:rsid w:val="00D2282F"/>
    <w:rsid w:val="00D2286B"/>
    <w:rsid w:val="00D234F9"/>
    <w:rsid w:val="00D23873"/>
    <w:rsid w:val="00D23E7F"/>
    <w:rsid w:val="00D240B1"/>
    <w:rsid w:val="00D24129"/>
    <w:rsid w:val="00D244A3"/>
    <w:rsid w:val="00D2450E"/>
    <w:rsid w:val="00D2484A"/>
    <w:rsid w:val="00D24BD4"/>
    <w:rsid w:val="00D25033"/>
    <w:rsid w:val="00D252DB"/>
    <w:rsid w:val="00D25D0F"/>
    <w:rsid w:val="00D26093"/>
    <w:rsid w:val="00D26209"/>
    <w:rsid w:val="00D26364"/>
    <w:rsid w:val="00D26603"/>
    <w:rsid w:val="00D26630"/>
    <w:rsid w:val="00D2689D"/>
    <w:rsid w:val="00D2734B"/>
    <w:rsid w:val="00D27BDA"/>
    <w:rsid w:val="00D301B0"/>
    <w:rsid w:val="00D3043B"/>
    <w:rsid w:val="00D30930"/>
    <w:rsid w:val="00D30DF4"/>
    <w:rsid w:val="00D313F0"/>
    <w:rsid w:val="00D31600"/>
    <w:rsid w:val="00D32197"/>
    <w:rsid w:val="00D323DA"/>
    <w:rsid w:val="00D328FE"/>
    <w:rsid w:val="00D331E1"/>
    <w:rsid w:val="00D33307"/>
    <w:rsid w:val="00D3359D"/>
    <w:rsid w:val="00D33C4A"/>
    <w:rsid w:val="00D343C5"/>
    <w:rsid w:val="00D348E6"/>
    <w:rsid w:val="00D34DC7"/>
    <w:rsid w:val="00D34E57"/>
    <w:rsid w:val="00D34EF8"/>
    <w:rsid w:val="00D352A8"/>
    <w:rsid w:val="00D35796"/>
    <w:rsid w:val="00D362F3"/>
    <w:rsid w:val="00D364B7"/>
    <w:rsid w:val="00D367C6"/>
    <w:rsid w:val="00D36A25"/>
    <w:rsid w:val="00D37117"/>
    <w:rsid w:val="00D3765F"/>
    <w:rsid w:val="00D37842"/>
    <w:rsid w:val="00D37A69"/>
    <w:rsid w:val="00D40A42"/>
    <w:rsid w:val="00D41457"/>
    <w:rsid w:val="00D416FC"/>
    <w:rsid w:val="00D41F57"/>
    <w:rsid w:val="00D41F78"/>
    <w:rsid w:val="00D429F3"/>
    <w:rsid w:val="00D42EF5"/>
    <w:rsid w:val="00D4367C"/>
    <w:rsid w:val="00D43A47"/>
    <w:rsid w:val="00D43D0C"/>
    <w:rsid w:val="00D43E26"/>
    <w:rsid w:val="00D441F2"/>
    <w:rsid w:val="00D44637"/>
    <w:rsid w:val="00D4476B"/>
    <w:rsid w:val="00D44D41"/>
    <w:rsid w:val="00D45016"/>
    <w:rsid w:val="00D4569A"/>
    <w:rsid w:val="00D45781"/>
    <w:rsid w:val="00D45B4A"/>
    <w:rsid w:val="00D45D6F"/>
    <w:rsid w:val="00D45E8F"/>
    <w:rsid w:val="00D464BE"/>
    <w:rsid w:val="00D46A43"/>
    <w:rsid w:val="00D46EAE"/>
    <w:rsid w:val="00D4707E"/>
    <w:rsid w:val="00D47C86"/>
    <w:rsid w:val="00D47D97"/>
    <w:rsid w:val="00D501AF"/>
    <w:rsid w:val="00D5026A"/>
    <w:rsid w:val="00D505E1"/>
    <w:rsid w:val="00D506B8"/>
    <w:rsid w:val="00D50818"/>
    <w:rsid w:val="00D509FF"/>
    <w:rsid w:val="00D51011"/>
    <w:rsid w:val="00D51B6B"/>
    <w:rsid w:val="00D5237E"/>
    <w:rsid w:val="00D525CF"/>
    <w:rsid w:val="00D526BB"/>
    <w:rsid w:val="00D528CC"/>
    <w:rsid w:val="00D52C2C"/>
    <w:rsid w:val="00D53351"/>
    <w:rsid w:val="00D5360D"/>
    <w:rsid w:val="00D53957"/>
    <w:rsid w:val="00D53B60"/>
    <w:rsid w:val="00D54007"/>
    <w:rsid w:val="00D54412"/>
    <w:rsid w:val="00D54614"/>
    <w:rsid w:val="00D549C4"/>
    <w:rsid w:val="00D54CAC"/>
    <w:rsid w:val="00D54DC3"/>
    <w:rsid w:val="00D554DF"/>
    <w:rsid w:val="00D55701"/>
    <w:rsid w:val="00D55B71"/>
    <w:rsid w:val="00D55B7F"/>
    <w:rsid w:val="00D55FC7"/>
    <w:rsid w:val="00D5678F"/>
    <w:rsid w:val="00D56DD1"/>
    <w:rsid w:val="00D56E11"/>
    <w:rsid w:val="00D56EDF"/>
    <w:rsid w:val="00D57136"/>
    <w:rsid w:val="00D57162"/>
    <w:rsid w:val="00D57263"/>
    <w:rsid w:val="00D57353"/>
    <w:rsid w:val="00D578E5"/>
    <w:rsid w:val="00D57A71"/>
    <w:rsid w:val="00D57AFA"/>
    <w:rsid w:val="00D57C80"/>
    <w:rsid w:val="00D60EAB"/>
    <w:rsid w:val="00D6143C"/>
    <w:rsid w:val="00D616E6"/>
    <w:rsid w:val="00D61704"/>
    <w:rsid w:val="00D618ED"/>
    <w:rsid w:val="00D61AF2"/>
    <w:rsid w:val="00D624EF"/>
    <w:rsid w:val="00D62740"/>
    <w:rsid w:val="00D6337B"/>
    <w:rsid w:val="00D63AEB"/>
    <w:rsid w:val="00D63CC5"/>
    <w:rsid w:val="00D642D1"/>
    <w:rsid w:val="00D6476D"/>
    <w:rsid w:val="00D6579A"/>
    <w:rsid w:val="00D658A4"/>
    <w:rsid w:val="00D6662D"/>
    <w:rsid w:val="00D6689E"/>
    <w:rsid w:val="00D66E99"/>
    <w:rsid w:val="00D6796C"/>
    <w:rsid w:val="00D67E00"/>
    <w:rsid w:val="00D67E6E"/>
    <w:rsid w:val="00D703F8"/>
    <w:rsid w:val="00D70610"/>
    <w:rsid w:val="00D70B24"/>
    <w:rsid w:val="00D70D7F"/>
    <w:rsid w:val="00D7119F"/>
    <w:rsid w:val="00D718BE"/>
    <w:rsid w:val="00D719A6"/>
    <w:rsid w:val="00D721BD"/>
    <w:rsid w:val="00D723EE"/>
    <w:rsid w:val="00D72DD7"/>
    <w:rsid w:val="00D732CD"/>
    <w:rsid w:val="00D736C9"/>
    <w:rsid w:val="00D73760"/>
    <w:rsid w:val="00D73850"/>
    <w:rsid w:val="00D73A3E"/>
    <w:rsid w:val="00D73A76"/>
    <w:rsid w:val="00D73DF0"/>
    <w:rsid w:val="00D7422C"/>
    <w:rsid w:val="00D7442D"/>
    <w:rsid w:val="00D747D8"/>
    <w:rsid w:val="00D74BC2"/>
    <w:rsid w:val="00D7599F"/>
    <w:rsid w:val="00D75F5F"/>
    <w:rsid w:val="00D76324"/>
    <w:rsid w:val="00D763C8"/>
    <w:rsid w:val="00D766D0"/>
    <w:rsid w:val="00D76758"/>
    <w:rsid w:val="00D7761A"/>
    <w:rsid w:val="00D779E1"/>
    <w:rsid w:val="00D77A0A"/>
    <w:rsid w:val="00D77AB8"/>
    <w:rsid w:val="00D77BD8"/>
    <w:rsid w:val="00D77BDA"/>
    <w:rsid w:val="00D77C74"/>
    <w:rsid w:val="00D77C84"/>
    <w:rsid w:val="00D800B2"/>
    <w:rsid w:val="00D800C2"/>
    <w:rsid w:val="00D800E6"/>
    <w:rsid w:val="00D806BD"/>
    <w:rsid w:val="00D8084E"/>
    <w:rsid w:val="00D8097C"/>
    <w:rsid w:val="00D80A90"/>
    <w:rsid w:val="00D80C2F"/>
    <w:rsid w:val="00D81028"/>
    <w:rsid w:val="00D81272"/>
    <w:rsid w:val="00D81BEA"/>
    <w:rsid w:val="00D822D2"/>
    <w:rsid w:val="00D82B8F"/>
    <w:rsid w:val="00D8307B"/>
    <w:rsid w:val="00D834E5"/>
    <w:rsid w:val="00D83787"/>
    <w:rsid w:val="00D8460C"/>
    <w:rsid w:val="00D84671"/>
    <w:rsid w:val="00D84DC4"/>
    <w:rsid w:val="00D85035"/>
    <w:rsid w:val="00D851C3"/>
    <w:rsid w:val="00D853E4"/>
    <w:rsid w:val="00D855CC"/>
    <w:rsid w:val="00D859EF"/>
    <w:rsid w:val="00D85E88"/>
    <w:rsid w:val="00D85EC0"/>
    <w:rsid w:val="00D8618E"/>
    <w:rsid w:val="00D866EC"/>
    <w:rsid w:val="00D8692A"/>
    <w:rsid w:val="00D869EC"/>
    <w:rsid w:val="00D86AF2"/>
    <w:rsid w:val="00D86FA4"/>
    <w:rsid w:val="00D870A0"/>
    <w:rsid w:val="00D87212"/>
    <w:rsid w:val="00D873E8"/>
    <w:rsid w:val="00D87B15"/>
    <w:rsid w:val="00D87C27"/>
    <w:rsid w:val="00D902F4"/>
    <w:rsid w:val="00D90370"/>
    <w:rsid w:val="00D9066A"/>
    <w:rsid w:val="00D90774"/>
    <w:rsid w:val="00D90A09"/>
    <w:rsid w:val="00D90B32"/>
    <w:rsid w:val="00D90C1D"/>
    <w:rsid w:val="00D90C65"/>
    <w:rsid w:val="00D90F98"/>
    <w:rsid w:val="00D9140A"/>
    <w:rsid w:val="00D91600"/>
    <w:rsid w:val="00D918BD"/>
    <w:rsid w:val="00D91EA8"/>
    <w:rsid w:val="00D91EB4"/>
    <w:rsid w:val="00D92D8B"/>
    <w:rsid w:val="00D93081"/>
    <w:rsid w:val="00D933E9"/>
    <w:rsid w:val="00D93951"/>
    <w:rsid w:val="00D93EB8"/>
    <w:rsid w:val="00D94711"/>
    <w:rsid w:val="00D94CC0"/>
    <w:rsid w:val="00D94CC2"/>
    <w:rsid w:val="00D94ED8"/>
    <w:rsid w:val="00D95070"/>
    <w:rsid w:val="00D95472"/>
    <w:rsid w:val="00D956D0"/>
    <w:rsid w:val="00D95D60"/>
    <w:rsid w:val="00D95D92"/>
    <w:rsid w:val="00D95FE6"/>
    <w:rsid w:val="00D962AF"/>
    <w:rsid w:val="00D96585"/>
    <w:rsid w:val="00D9686F"/>
    <w:rsid w:val="00D96D4A"/>
    <w:rsid w:val="00D976F8"/>
    <w:rsid w:val="00D97C71"/>
    <w:rsid w:val="00DA0BB2"/>
    <w:rsid w:val="00DA186C"/>
    <w:rsid w:val="00DA18D9"/>
    <w:rsid w:val="00DA1C24"/>
    <w:rsid w:val="00DA1CE6"/>
    <w:rsid w:val="00DA201B"/>
    <w:rsid w:val="00DA24E5"/>
    <w:rsid w:val="00DA2D30"/>
    <w:rsid w:val="00DA311D"/>
    <w:rsid w:val="00DA3182"/>
    <w:rsid w:val="00DA39B5"/>
    <w:rsid w:val="00DA3F77"/>
    <w:rsid w:val="00DA4251"/>
    <w:rsid w:val="00DA4A84"/>
    <w:rsid w:val="00DA4B17"/>
    <w:rsid w:val="00DA4BFD"/>
    <w:rsid w:val="00DA4F79"/>
    <w:rsid w:val="00DA5383"/>
    <w:rsid w:val="00DA5C8F"/>
    <w:rsid w:val="00DA5DA8"/>
    <w:rsid w:val="00DA6417"/>
    <w:rsid w:val="00DA67F1"/>
    <w:rsid w:val="00DA74CE"/>
    <w:rsid w:val="00DA7515"/>
    <w:rsid w:val="00DA7B09"/>
    <w:rsid w:val="00DA7CA5"/>
    <w:rsid w:val="00DB004C"/>
    <w:rsid w:val="00DB0854"/>
    <w:rsid w:val="00DB0E20"/>
    <w:rsid w:val="00DB1769"/>
    <w:rsid w:val="00DB1B00"/>
    <w:rsid w:val="00DB23FD"/>
    <w:rsid w:val="00DB2651"/>
    <w:rsid w:val="00DB274F"/>
    <w:rsid w:val="00DB281A"/>
    <w:rsid w:val="00DB2A61"/>
    <w:rsid w:val="00DB2C0E"/>
    <w:rsid w:val="00DB2EB5"/>
    <w:rsid w:val="00DB384E"/>
    <w:rsid w:val="00DB3D55"/>
    <w:rsid w:val="00DB3E32"/>
    <w:rsid w:val="00DB4217"/>
    <w:rsid w:val="00DB451E"/>
    <w:rsid w:val="00DB4D4E"/>
    <w:rsid w:val="00DB4E0E"/>
    <w:rsid w:val="00DB5367"/>
    <w:rsid w:val="00DB55DC"/>
    <w:rsid w:val="00DB5968"/>
    <w:rsid w:val="00DB6069"/>
    <w:rsid w:val="00DB63D8"/>
    <w:rsid w:val="00DB6C1D"/>
    <w:rsid w:val="00DB6DE2"/>
    <w:rsid w:val="00DB7407"/>
    <w:rsid w:val="00DB7558"/>
    <w:rsid w:val="00DB76FE"/>
    <w:rsid w:val="00DB7895"/>
    <w:rsid w:val="00DB792E"/>
    <w:rsid w:val="00DB7E7E"/>
    <w:rsid w:val="00DC0126"/>
    <w:rsid w:val="00DC0381"/>
    <w:rsid w:val="00DC0521"/>
    <w:rsid w:val="00DC056B"/>
    <w:rsid w:val="00DC079D"/>
    <w:rsid w:val="00DC0828"/>
    <w:rsid w:val="00DC0DD9"/>
    <w:rsid w:val="00DC1A44"/>
    <w:rsid w:val="00DC1D38"/>
    <w:rsid w:val="00DC1EBF"/>
    <w:rsid w:val="00DC1F5E"/>
    <w:rsid w:val="00DC2084"/>
    <w:rsid w:val="00DC2124"/>
    <w:rsid w:val="00DC232D"/>
    <w:rsid w:val="00DC27F7"/>
    <w:rsid w:val="00DC35C6"/>
    <w:rsid w:val="00DC39E8"/>
    <w:rsid w:val="00DC3F71"/>
    <w:rsid w:val="00DC46CF"/>
    <w:rsid w:val="00DC46FC"/>
    <w:rsid w:val="00DC4844"/>
    <w:rsid w:val="00DC4C08"/>
    <w:rsid w:val="00DC4F16"/>
    <w:rsid w:val="00DC5166"/>
    <w:rsid w:val="00DC56E1"/>
    <w:rsid w:val="00DC5A18"/>
    <w:rsid w:val="00DC651B"/>
    <w:rsid w:val="00DC6C14"/>
    <w:rsid w:val="00DC71D4"/>
    <w:rsid w:val="00DC7419"/>
    <w:rsid w:val="00DC78A3"/>
    <w:rsid w:val="00DC7D6A"/>
    <w:rsid w:val="00DC7FAA"/>
    <w:rsid w:val="00DC7FCD"/>
    <w:rsid w:val="00DD0042"/>
    <w:rsid w:val="00DD049E"/>
    <w:rsid w:val="00DD0889"/>
    <w:rsid w:val="00DD0C86"/>
    <w:rsid w:val="00DD0CE5"/>
    <w:rsid w:val="00DD0F6D"/>
    <w:rsid w:val="00DD1173"/>
    <w:rsid w:val="00DD1299"/>
    <w:rsid w:val="00DD12B9"/>
    <w:rsid w:val="00DD1FF8"/>
    <w:rsid w:val="00DD20A4"/>
    <w:rsid w:val="00DD25D2"/>
    <w:rsid w:val="00DD2747"/>
    <w:rsid w:val="00DD2826"/>
    <w:rsid w:val="00DD3236"/>
    <w:rsid w:val="00DD3289"/>
    <w:rsid w:val="00DD33D6"/>
    <w:rsid w:val="00DD3591"/>
    <w:rsid w:val="00DD37C9"/>
    <w:rsid w:val="00DD37D7"/>
    <w:rsid w:val="00DD42DD"/>
    <w:rsid w:val="00DD461C"/>
    <w:rsid w:val="00DD491C"/>
    <w:rsid w:val="00DD4F20"/>
    <w:rsid w:val="00DD5066"/>
    <w:rsid w:val="00DD55BF"/>
    <w:rsid w:val="00DD5966"/>
    <w:rsid w:val="00DD5AFA"/>
    <w:rsid w:val="00DD6094"/>
    <w:rsid w:val="00DD6540"/>
    <w:rsid w:val="00DD6802"/>
    <w:rsid w:val="00DD6BC5"/>
    <w:rsid w:val="00DD6E4A"/>
    <w:rsid w:val="00DD6FC4"/>
    <w:rsid w:val="00DD736F"/>
    <w:rsid w:val="00DE03C7"/>
    <w:rsid w:val="00DE04F4"/>
    <w:rsid w:val="00DE0563"/>
    <w:rsid w:val="00DE05E4"/>
    <w:rsid w:val="00DE095D"/>
    <w:rsid w:val="00DE0A29"/>
    <w:rsid w:val="00DE0A4E"/>
    <w:rsid w:val="00DE0B43"/>
    <w:rsid w:val="00DE0E16"/>
    <w:rsid w:val="00DE0E4E"/>
    <w:rsid w:val="00DE1015"/>
    <w:rsid w:val="00DE10A7"/>
    <w:rsid w:val="00DE142D"/>
    <w:rsid w:val="00DE1515"/>
    <w:rsid w:val="00DE1643"/>
    <w:rsid w:val="00DE1656"/>
    <w:rsid w:val="00DE185A"/>
    <w:rsid w:val="00DE1CFF"/>
    <w:rsid w:val="00DE1FA7"/>
    <w:rsid w:val="00DE2426"/>
    <w:rsid w:val="00DE280E"/>
    <w:rsid w:val="00DE3B94"/>
    <w:rsid w:val="00DE411C"/>
    <w:rsid w:val="00DE5376"/>
    <w:rsid w:val="00DE589A"/>
    <w:rsid w:val="00DE5AFC"/>
    <w:rsid w:val="00DE623A"/>
    <w:rsid w:val="00DE6461"/>
    <w:rsid w:val="00DE6A54"/>
    <w:rsid w:val="00DE7F2E"/>
    <w:rsid w:val="00DF0151"/>
    <w:rsid w:val="00DF02CF"/>
    <w:rsid w:val="00DF080A"/>
    <w:rsid w:val="00DF0D66"/>
    <w:rsid w:val="00DF1053"/>
    <w:rsid w:val="00DF16B1"/>
    <w:rsid w:val="00DF1A21"/>
    <w:rsid w:val="00DF1CF7"/>
    <w:rsid w:val="00DF1D55"/>
    <w:rsid w:val="00DF1FB0"/>
    <w:rsid w:val="00DF225C"/>
    <w:rsid w:val="00DF2665"/>
    <w:rsid w:val="00DF33E2"/>
    <w:rsid w:val="00DF3770"/>
    <w:rsid w:val="00DF39F3"/>
    <w:rsid w:val="00DF3B61"/>
    <w:rsid w:val="00DF3D84"/>
    <w:rsid w:val="00DF4526"/>
    <w:rsid w:val="00DF47D4"/>
    <w:rsid w:val="00DF4D38"/>
    <w:rsid w:val="00DF5401"/>
    <w:rsid w:val="00DF5851"/>
    <w:rsid w:val="00DF5BD7"/>
    <w:rsid w:val="00DF629E"/>
    <w:rsid w:val="00DF7064"/>
    <w:rsid w:val="00DF710A"/>
    <w:rsid w:val="00DF77CB"/>
    <w:rsid w:val="00DF7B4D"/>
    <w:rsid w:val="00DF7E46"/>
    <w:rsid w:val="00E000F7"/>
    <w:rsid w:val="00E0031E"/>
    <w:rsid w:val="00E012D2"/>
    <w:rsid w:val="00E0134A"/>
    <w:rsid w:val="00E0194C"/>
    <w:rsid w:val="00E0199C"/>
    <w:rsid w:val="00E0208E"/>
    <w:rsid w:val="00E025E1"/>
    <w:rsid w:val="00E02BB9"/>
    <w:rsid w:val="00E02D6B"/>
    <w:rsid w:val="00E0313B"/>
    <w:rsid w:val="00E03320"/>
    <w:rsid w:val="00E036D2"/>
    <w:rsid w:val="00E03B29"/>
    <w:rsid w:val="00E043E5"/>
    <w:rsid w:val="00E04ABF"/>
    <w:rsid w:val="00E0546C"/>
    <w:rsid w:val="00E05699"/>
    <w:rsid w:val="00E057A8"/>
    <w:rsid w:val="00E06123"/>
    <w:rsid w:val="00E063FA"/>
    <w:rsid w:val="00E06891"/>
    <w:rsid w:val="00E06907"/>
    <w:rsid w:val="00E0694B"/>
    <w:rsid w:val="00E06AE1"/>
    <w:rsid w:val="00E07339"/>
    <w:rsid w:val="00E07372"/>
    <w:rsid w:val="00E073EF"/>
    <w:rsid w:val="00E07E9B"/>
    <w:rsid w:val="00E101CF"/>
    <w:rsid w:val="00E10383"/>
    <w:rsid w:val="00E10B76"/>
    <w:rsid w:val="00E10B83"/>
    <w:rsid w:val="00E10C45"/>
    <w:rsid w:val="00E10EF4"/>
    <w:rsid w:val="00E11038"/>
    <w:rsid w:val="00E11770"/>
    <w:rsid w:val="00E118DB"/>
    <w:rsid w:val="00E1199D"/>
    <w:rsid w:val="00E11B57"/>
    <w:rsid w:val="00E11B60"/>
    <w:rsid w:val="00E11B62"/>
    <w:rsid w:val="00E11DA1"/>
    <w:rsid w:val="00E11DF1"/>
    <w:rsid w:val="00E11FBE"/>
    <w:rsid w:val="00E120B5"/>
    <w:rsid w:val="00E126BA"/>
    <w:rsid w:val="00E12977"/>
    <w:rsid w:val="00E12ABA"/>
    <w:rsid w:val="00E12F2B"/>
    <w:rsid w:val="00E1330A"/>
    <w:rsid w:val="00E13806"/>
    <w:rsid w:val="00E13D1D"/>
    <w:rsid w:val="00E144DD"/>
    <w:rsid w:val="00E14975"/>
    <w:rsid w:val="00E14DDD"/>
    <w:rsid w:val="00E14FD7"/>
    <w:rsid w:val="00E1540A"/>
    <w:rsid w:val="00E154EE"/>
    <w:rsid w:val="00E15D0B"/>
    <w:rsid w:val="00E15F86"/>
    <w:rsid w:val="00E16029"/>
    <w:rsid w:val="00E161F1"/>
    <w:rsid w:val="00E1630F"/>
    <w:rsid w:val="00E166A0"/>
    <w:rsid w:val="00E1697B"/>
    <w:rsid w:val="00E16D75"/>
    <w:rsid w:val="00E174D6"/>
    <w:rsid w:val="00E175B9"/>
    <w:rsid w:val="00E17622"/>
    <w:rsid w:val="00E1766F"/>
    <w:rsid w:val="00E1778C"/>
    <w:rsid w:val="00E20024"/>
    <w:rsid w:val="00E201E2"/>
    <w:rsid w:val="00E20629"/>
    <w:rsid w:val="00E20BC9"/>
    <w:rsid w:val="00E20F78"/>
    <w:rsid w:val="00E21565"/>
    <w:rsid w:val="00E215D8"/>
    <w:rsid w:val="00E21A3B"/>
    <w:rsid w:val="00E21EB0"/>
    <w:rsid w:val="00E22047"/>
    <w:rsid w:val="00E22A05"/>
    <w:rsid w:val="00E22A22"/>
    <w:rsid w:val="00E23120"/>
    <w:rsid w:val="00E23765"/>
    <w:rsid w:val="00E2392A"/>
    <w:rsid w:val="00E23BC6"/>
    <w:rsid w:val="00E2414D"/>
    <w:rsid w:val="00E24210"/>
    <w:rsid w:val="00E242DB"/>
    <w:rsid w:val="00E243CB"/>
    <w:rsid w:val="00E24894"/>
    <w:rsid w:val="00E25028"/>
    <w:rsid w:val="00E25051"/>
    <w:rsid w:val="00E25244"/>
    <w:rsid w:val="00E25334"/>
    <w:rsid w:val="00E25988"/>
    <w:rsid w:val="00E26678"/>
    <w:rsid w:val="00E26A60"/>
    <w:rsid w:val="00E26B1E"/>
    <w:rsid w:val="00E26C81"/>
    <w:rsid w:val="00E27431"/>
    <w:rsid w:val="00E27443"/>
    <w:rsid w:val="00E27AD4"/>
    <w:rsid w:val="00E27CD3"/>
    <w:rsid w:val="00E27FB4"/>
    <w:rsid w:val="00E308F8"/>
    <w:rsid w:val="00E3141A"/>
    <w:rsid w:val="00E31D3D"/>
    <w:rsid w:val="00E3239E"/>
    <w:rsid w:val="00E32587"/>
    <w:rsid w:val="00E32A79"/>
    <w:rsid w:val="00E32CA2"/>
    <w:rsid w:val="00E32DFC"/>
    <w:rsid w:val="00E330F6"/>
    <w:rsid w:val="00E33235"/>
    <w:rsid w:val="00E334EE"/>
    <w:rsid w:val="00E33882"/>
    <w:rsid w:val="00E3475C"/>
    <w:rsid w:val="00E34970"/>
    <w:rsid w:val="00E34A2A"/>
    <w:rsid w:val="00E34A5F"/>
    <w:rsid w:val="00E34DCD"/>
    <w:rsid w:val="00E34FAB"/>
    <w:rsid w:val="00E35703"/>
    <w:rsid w:val="00E359BC"/>
    <w:rsid w:val="00E35D03"/>
    <w:rsid w:val="00E35D3B"/>
    <w:rsid w:val="00E36065"/>
    <w:rsid w:val="00E3672B"/>
    <w:rsid w:val="00E36796"/>
    <w:rsid w:val="00E367CA"/>
    <w:rsid w:val="00E3691F"/>
    <w:rsid w:val="00E36BB5"/>
    <w:rsid w:val="00E3708D"/>
    <w:rsid w:val="00E37576"/>
    <w:rsid w:val="00E3794A"/>
    <w:rsid w:val="00E4015E"/>
    <w:rsid w:val="00E403A4"/>
    <w:rsid w:val="00E4080D"/>
    <w:rsid w:val="00E409AA"/>
    <w:rsid w:val="00E40D4D"/>
    <w:rsid w:val="00E40D9E"/>
    <w:rsid w:val="00E40FF4"/>
    <w:rsid w:val="00E416E5"/>
    <w:rsid w:val="00E4170A"/>
    <w:rsid w:val="00E41F00"/>
    <w:rsid w:val="00E41FC3"/>
    <w:rsid w:val="00E4201A"/>
    <w:rsid w:val="00E4201B"/>
    <w:rsid w:val="00E42C61"/>
    <w:rsid w:val="00E43708"/>
    <w:rsid w:val="00E43C4B"/>
    <w:rsid w:val="00E43C63"/>
    <w:rsid w:val="00E4407D"/>
    <w:rsid w:val="00E44421"/>
    <w:rsid w:val="00E4512E"/>
    <w:rsid w:val="00E4524D"/>
    <w:rsid w:val="00E45322"/>
    <w:rsid w:val="00E45802"/>
    <w:rsid w:val="00E45C15"/>
    <w:rsid w:val="00E45F67"/>
    <w:rsid w:val="00E45FC1"/>
    <w:rsid w:val="00E46051"/>
    <w:rsid w:val="00E460AE"/>
    <w:rsid w:val="00E460E1"/>
    <w:rsid w:val="00E4620C"/>
    <w:rsid w:val="00E462AA"/>
    <w:rsid w:val="00E466AE"/>
    <w:rsid w:val="00E46DA6"/>
    <w:rsid w:val="00E471A8"/>
    <w:rsid w:val="00E471D6"/>
    <w:rsid w:val="00E47588"/>
    <w:rsid w:val="00E476F7"/>
    <w:rsid w:val="00E4796C"/>
    <w:rsid w:val="00E5007D"/>
    <w:rsid w:val="00E50391"/>
    <w:rsid w:val="00E506E1"/>
    <w:rsid w:val="00E507CC"/>
    <w:rsid w:val="00E50CB2"/>
    <w:rsid w:val="00E50F74"/>
    <w:rsid w:val="00E51138"/>
    <w:rsid w:val="00E51919"/>
    <w:rsid w:val="00E51DA5"/>
    <w:rsid w:val="00E52439"/>
    <w:rsid w:val="00E52C18"/>
    <w:rsid w:val="00E53545"/>
    <w:rsid w:val="00E5366B"/>
    <w:rsid w:val="00E53711"/>
    <w:rsid w:val="00E53B6C"/>
    <w:rsid w:val="00E53F90"/>
    <w:rsid w:val="00E5432F"/>
    <w:rsid w:val="00E54370"/>
    <w:rsid w:val="00E548FD"/>
    <w:rsid w:val="00E54E2A"/>
    <w:rsid w:val="00E54E90"/>
    <w:rsid w:val="00E551A1"/>
    <w:rsid w:val="00E55684"/>
    <w:rsid w:val="00E55805"/>
    <w:rsid w:val="00E55B69"/>
    <w:rsid w:val="00E5678E"/>
    <w:rsid w:val="00E5692A"/>
    <w:rsid w:val="00E56BCE"/>
    <w:rsid w:val="00E56D9A"/>
    <w:rsid w:val="00E56FFE"/>
    <w:rsid w:val="00E60769"/>
    <w:rsid w:val="00E61235"/>
    <w:rsid w:val="00E61448"/>
    <w:rsid w:val="00E618B3"/>
    <w:rsid w:val="00E61CDC"/>
    <w:rsid w:val="00E61F75"/>
    <w:rsid w:val="00E61F9E"/>
    <w:rsid w:val="00E625B6"/>
    <w:rsid w:val="00E6269B"/>
    <w:rsid w:val="00E62709"/>
    <w:rsid w:val="00E6299D"/>
    <w:rsid w:val="00E62E58"/>
    <w:rsid w:val="00E63089"/>
    <w:rsid w:val="00E638CD"/>
    <w:rsid w:val="00E63CAC"/>
    <w:rsid w:val="00E645AF"/>
    <w:rsid w:val="00E64A61"/>
    <w:rsid w:val="00E6592B"/>
    <w:rsid w:val="00E659CD"/>
    <w:rsid w:val="00E65B6D"/>
    <w:rsid w:val="00E65F9A"/>
    <w:rsid w:val="00E67202"/>
    <w:rsid w:val="00E675BC"/>
    <w:rsid w:val="00E67B2C"/>
    <w:rsid w:val="00E7021D"/>
    <w:rsid w:val="00E70798"/>
    <w:rsid w:val="00E708A7"/>
    <w:rsid w:val="00E70A05"/>
    <w:rsid w:val="00E716CD"/>
    <w:rsid w:val="00E72A43"/>
    <w:rsid w:val="00E72A81"/>
    <w:rsid w:val="00E72AF5"/>
    <w:rsid w:val="00E72E73"/>
    <w:rsid w:val="00E72FF3"/>
    <w:rsid w:val="00E733F8"/>
    <w:rsid w:val="00E7391E"/>
    <w:rsid w:val="00E73ECD"/>
    <w:rsid w:val="00E73EDC"/>
    <w:rsid w:val="00E740CB"/>
    <w:rsid w:val="00E744BC"/>
    <w:rsid w:val="00E745B7"/>
    <w:rsid w:val="00E745D2"/>
    <w:rsid w:val="00E74ED1"/>
    <w:rsid w:val="00E7548B"/>
    <w:rsid w:val="00E757CC"/>
    <w:rsid w:val="00E758E9"/>
    <w:rsid w:val="00E75DBE"/>
    <w:rsid w:val="00E76114"/>
    <w:rsid w:val="00E7612A"/>
    <w:rsid w:val="00E76486"/>
    <w:rsid w:val="00E76625"/>
    <w:rsid w:val="00E76CF8"/>
    <w:rsid w:val="00E77341"/>
    <w:rsid w:val="00E774D4"/>
    <w:rsid w:val="00E7767F"/>
    <w:rsid w:val="00E777B2"/>
    <w:rsid w:val="00E7782B"/>
    <w:rsid w:val="00E77DD9"/>
    <w:rsid w:val="00E80232"/>
    <w:rsid w:val="00E8028C"/>
    <w:rsid w:val="00E8033C"/>
    <w:rsid w:val="00E80B1D"/>
    <w:rsid w:val="00E80DFE"/>
    <w:rsid w:val="00E8142D"/>
    <w:rsid w:val="00E8149E"/>
    <w:rsid w:val="00E8154A"/>
    <w:rsid w:val="00E81CDF"/>
    <w:rsid w:val="00E8215F"/>
    <w:rsid w:val="00E8265F"/>
    <w:rsid w:val="00E82B2A"/>
    <w:rsid w:val="00E82DF9"/>
    <w:rsid w:val="00E8375C"/>
    <w:rsid w:val="00E83C92"/>
    <w:rsid w:val="00E844A7"/>
    <w:rsid w:val="00E84B8F"/>
    <w:rsid w:val="00E84B90"/>
    <w:rsid w:val="00E84C4F"/>
    <w:rsid w:val="00E84EB0"/>
    <w:rsid w:val="00E851B2"/>
    <w:rsid w:val="00E853C9"/>
    <w:rsid w:val="00E8553B"/>
    <w:rsid w:val="00E85D74"/>
    <w:rsid w:val="00E865B9"/>
    <w:rsid w:val="00E86715"/>
    <w:rsid w:val="00E86864"/>
    <w:rsid w:val="00E868F2"/>
    <w:rsid w:val="00E86AD2"/>
    <w:rsid w:val="00E86CC0"/>
    <w:rsid w:val="00E8700D"/>
    <w:rsid w:val="00E8717D"/>
    <w:rsid w:val="00E8750E"/>
    <w:rsid w:val="00E878B5"/>
    <w:rsid w:val="00E879FE"/>
    <w:rsid w:val="00E87A55"/>
    <w:rsid w:val="00E87A79"/>
    <w:rsid w:val="00E87D63"/>
    <w:rsid w:val="00E90072"/>
    <w:rsid w:val="00E9040D"/>
    <w:rsid w:val="00E9051D"/>
    <w:rsid w:val="00E908E2"/>
    <w:rsid w:val="00E90939"/>
    <w:rsid w:val="00E90C7E"/>
    <w:rsid w:val="00E91205"/>
    <w:rsid w:val="00E9194E"/>
    <w:rsid w:val="00E920C4"/>
    <w:rsid w:val="00E921F8"/>
    <w:rsid w:val="00E924EA"/>
    <w:rsid w:val="00E92A4D"/>
    <w:rsid w:val="00E92D48"/>
    <w:rsid w:val="00E92DA2"/>
    <w:rsid w:val="00E931E7"/>
    <w:rsid w:val="00E9321E"/>
    <w:rsid w:val="00E93438"/>
    <w:rsid w:val="00E934A0"/>
    <w:rsid w:val="00E9360D"/>
    <w:rsid w:val="00E938BD"/>
    <w:rsid w:val="00E939B1"/>
    <w:rsid w:val="00E93C63"/>
    <w:rsid w:val="00E93C76"/>
    <w:rsid w:val="00E93FD0"/>
    <w:rsid w:val="00E9412C"/>
    <w:rsid w:val="00E9419A"/>
    <w:rsid w:val="00E94817"/>
    <w:rsid w:val="00E94B1C"/>
    <w:rsid w:val="00E95366"/>
    <w:rsid w:val="00E95645"/>
    <w:rsid w:val="00E95683"/>
    <w:rsid w:val="00E958B5"/>
    <w:rsid w:val="00E95AA4"/>
    <w:rsid w:val="00E964E7"/>
    <w:rsid w:val="00E96611"/>
    <w:rsid w:val="00E9682E"/>
    <w:rsid w:val="00E96F83"/>
    <w:rsid w:val="00E974BF"/>
    <w:rsid w:val="00E977F4"/>
    <w:rsid w:val="00E97889"/>
    <w:rsid w:val="00E97A58"/>
    <w:rsid w:val="00E97A5E"/>
    <w:rsid w:val="00E97C90"/>
    <w:rsid w:val="00E97DE6"/>
    <w:rsid w:val="00EA0012"/>
    <w:rsid w:val="00EA0041"/>
    <w:rsid w:val="00EA004D"/>
    <w:rsid w:val="00EA0051"/>
    <w:rsid w:val="00EA066B"/>
    <w:rsid w:val="00EA0D62"/>
    <w:rsid w:val="00EA0FD7"/>
    <w:rsid w:val="00EA158A"/>
    <w:rsid w:val="00EA1609"/>
    <w:rsid w:val="00EA1850"/>
    <w:rsid w:val="00EA2EBA"/>
    <w:rsid w:val="00EA2ECF"/>
    <w:rsid w:val="00EA31C6"/>
    <w:rsid w:val="00EA35B4"/>
    <w:rsid w:val="00EA3AEE"/>
    <w:rsid w:val="00EA3D1F"/>
    <w:rsid w:val="00EA4277"/>
    <w:rsid w:val="00EA483E"/>
    <w:rsid w:val="00EA4CC0"/>
    <w:rsid w:val="00EA4ED4"/>
    <w:rsid w:val="00EA56DC"/>
    <w:rsid w:val="00EA587F"/>
    <w:rsid w:val="00EA6008"/>
    <w:rsid w:val="00EA63B7"/>
    <w:rsid w:val="00EA64A8"/>
    <w:rsid w:val="00EA66A2"/>
    <w:rsid w:val="00EA6731"/>
    <w:rsid w:val="00EA6763"/>
    <w:rsid w:val="00EA6DE4"/>
    <w:rsid w:val="00EA7B89"/>
    <w:rsid w:val="00EB05BF"/>
    <w:rsid w:val="00EB0848"/>
    <w:rsid w:val="00EB0925"/>
    <w:rsid w:val="00EB0C9C"/>
    <w:rsid w:val="00EB120C"/>
    <w:rsid w:val="00EB1319"/>
    <w:rsid w:val="00EB1422"/>
    <w:rsid w:val="00EB15E8"/>
    <w:rsid w:val="00EB1817"/>
    <w:rsid w:val="00EB1AF6"/>
    <w:rsid w:val="00EB1C6E"/>
    <w:rsid w:val="00EB1F07"/>
    <w:rsid w:val="00EB2094"/>
    <w:rsid w:val="00EB2168"/>
    <w:rsid w:val="00EB23D2"/>
    <w:rsid w:val="00EB24D5"/>
    <w:rsid w:val="00EB27C8"/>
    <w:rsid w:val="00EB2918"/>
    <w:rsid w:val="00EB31A7"/>
    <w:rsid w:val="00EB31AE"/>
    <w:rsid w:val="00EB3502"/>
    <w:rsid w:val="00EB3551"/>
    <w:rsid w:val="00EB3EE6"/>
    <w:rsid w:val="00EB403E"/>
    <w:rsid w:val="00EB41C0"/>
    <w:rsid w:val="00EB4B3B"/>
    <w:rsid w:val="00EB4B4E"/>
    <w:rsid w:val="00EB4D50"/>
    <w:rsid w:val="00EB4FA0"/>
    <w:rsid w:val="00EB55CD"/>
    <w:rsid w:val="00EB585D"/>
    <w:rsid w:val="00EB5869"/>
    <w:rsid w:val="00EB5A49"/>
    <w:rsid w:val="00EB5CAD"/>
    <w:rsid w:val="00EB6085"/>
    <w:rsid w:val="00EB61F0"/>
    <w:rsid w:val="00EB62F1"/>
    <w:rsid w:val="00EB6300"/>
    <w:rsid w:val="00EB6345"/>
    <w:rsid w:val="00EB6E78"/>
    <w:rsid w:val="00EB6E7D"/>
    <w:rsid w:val="00EB7007"/>
    <w:rsid w:val="00EC1960"/>
    <w:rsid w:val="00EC1CF3"/>
    <w:rsid w:val="00EC1D33"/>
    <w:rsid w:val="00EC2473"/>
    <w:rsid w:val="00EC2665"/>
    <w:rsid w:val="00EC29B1"/>
    <w:rsid w:val="00EC2C64"/>
    <w:rsid w:val="00EC2E5D"/>
    <w:rsid w:val="00EC2EA9"/>
    <w:rsid w:val="00EC33B1"/>
    <w:rsid w:val="00EC37B3"/>
    <w:rsid w:val="00EC3AD8"/>
    <w:rsid w:val="00EC3C3A"/>
    <w:rsid w:val="00EC4179"/>
    <w:rsid w:val="00EC43BB"/>
    <w:rsid w:val="00EC45CA"/>
    <w:rsid w:val="00EC48B9"/>
    <w:rsid w:val="00EC4912"/>
    <w:rsid w:val="00EC4CC6"/>
    <w:rsid w:val="00EC4EAA"/>
    <w:rsid w:val="00EC4FAF"/>
    <w:rsid w:val="00EC5087"/>
    <w:rsid w:val="00EC5834"/>
    <w:rsid w:val="00EC61FA"/>
    <w:rsid w:val="00EC6509"/>
    <w:rsid w:val="00EC65E5"/>
    <w:rsid w:val="00EC669C"/>
    <w:rsid w:val="00EC69DF"/>
    <w:rsid w:val="00EC6B7C"/>
    <w:rsid w:val="00EC6C7D"/>
    <w:rsid w:val="00EC6F60"/>
    <w:rsid w:val="00EC6FC1"/>
    <w:rsid w:val="00EC720F"/>
    <w:rsid w:val="00EC72EE"/>
    <w:rsid w:val="00EC74CF"/>
    <w:rsid w:val="00EC7F88"/>
    <w:rsid w:val="00ED083B"/>
    <w:rsid w:val="00ED08E8"/>
    <w:rsid w:val="00ED0E38"/>
    <w:rsid w:val="00ED1362"/>
    <w:rsid w:val="00ED1473"/>
    <w:rsid w:val="00ED1A68"/>
    <w:rsid w:val="00ED1CED"/>
    <w:rsid w:val="00ED1DE5"/>
    <w:rsid w:val="00ED1FFF"/>
    <w:rsid w:val="00ED257A"/>
    <w:rsid w:val="00ED26BB"/>
    <w:rsid w:val="00ED2747"/>
    <w:rsid w:val="00ED2811"/>
    <w:rsid w:val="00ED2A10"/>
    <w:rsid w:val="00ED2B2E"/>
    <w:rsid w:val="00ED2D11"/>
    <w:rsid w:val="00ED325B"/>
    <w:rsid w:val="00ED3505"/>
    <w:rsid w:val="00ED38FA"/>
    <w:rsid w:val="00ED3937"/>
    <w:rsid w:val="00ED3B09"/>
    <w:rsid w:val="00ED3DF2"/>
    <w:rsid w:val="00ED3F2E"/>
    <w:rsid w:val="00ED4415"/>
    <w:rsid w:val="00ED446F"/>
    <w:rsid w:val="00ED49A1"/>
    <w:rsid w:val="00ED4ACB"/>
    <w:rsid w:val="00ED4DF5"/>
    <w:rsid w:val="00ED4F58"/>
    <w:rsid w:val="00ED5556"/>
    <w:rsid w:val="00ED5941"/>
    <w:rsid w:val="00ED623D"/>
    <w:rsid w:val="00ED6257"/>
    <w:rsid w:val="00ED63F2"/>
    <w:rsid w:val="00ED6878"/>
    <w:rsid w:val="00ED70A9"/>
    <w:rsid w:val="00ED75FD"/>
    <w:rsid w:val="00ED7CF3"/>
    <w:rsid w:val="00EE020C"/>
    <w:rsid w:val="00EE0553"/>
    <w:rsid w:val="00EE055C"/>
    <w:rsid w:val="00EE0581"/>
    <w:rsid w:val="00EE0B07"/>
    <w:rsid w:val="00EE0D06"/>
    <w:rsid w:val="00EE0D09"/>
    <w:rsid w:val="00EE117B"/>
    <w:rsid w:val="00EE144E"/>
    <w:rsid w:val="00EE14D2"/>
    <w:rsid w:val="00EE1C15"/>
    <w:rsid w:val="00EE2730"/>
    <w:rsid w:val="00EE27E7"/>
    <w:rsid w:val="00EE2994"/>
    <w:rsid w:val="00EE29AA"/>
    <w:rsid w:val="00EE2B4C"/>
    <w:rsid w:val="00EE2F14"/>
    <w:rsid w:val="00EE304D"/>
    <w:rsid w:val="00EE31DD"/>
    <w:rsid w:val="00EE336B"/>
    <w:rsid w:val="00EE343C"/>
    <w:rsid w:val="00EE3583"/>
    <w:rsid w:val="00EE4301"/>
    <w:rsid w:val="00EE4399"/>
    <w:rsid w:val="00EE4A48"/>
    <w:rsid w:val="00EE4F60"/>
    <w:rsid w:val="00EE57C5"/>
    <w:rsid w:val="00EE5E7F"/>
    <w:rsid w:val="00EE63A5"/>
    <w:rsid w:val="00EE6582"/>
    <w:rsid w:val="00EE67C7"/>
    <w:rsid w:val="00EE6A90"/>
    <w:rsid w:val="00EE6AAA"/>
    <w:rsid w:val="00EE70C4"/>
    <w:rsid w:val="00EE72F1"/>
    <w:rsid w:val="00EF0586"/>
    <w:rsid w:val="00EF0B60"/>
    <w:rsid w:val="00EF0D67"/>
    <w:rsid w:val="00EF0EB2"/>
    <w:rsid w:val="00EF16CB"/>
    <w:rsid w:val="00EF1BBE"/>
    <w:rsid w:val="00EF1E98"/>
    <w:rsid w:val="00EF215C"/>
    <w:rsid w:val="00EF2AD8"/>
    <w:rsid w:val="00EF2B03"/>
    <w:rsid w:val="00EF2B3D"/>
    <w:rsid w:val="00EF2B5C"/>
    <w:rsid w:val="00EF2EA5"/>
    <w:rsid w:val="00EF3733"/>
    <w:rsid w:val="00EF44DE"/>
    <w:rsid w:val="00EF46BE"/>
    <w:rsid w:val="00EF4A6B"/>
    <w:rsid w:val="00EF4C1A"/>
    <w:rsid w:val="00EF505D"/>
    <w:rsid w:val="00EF55C3"/>
    <w:rsid w:val="00EF59FC"/>
    <w:rsid w:val="00EF5C9B"/>
    <w:rsid w:val="00EF5D11"/>
    <w:rsid w:val="00EF5F19"/>
    <w:rsid w:val="00EF5F2B"/>
    <w:rsid w:val="00EF693F"/>
    <w:rsid w:val="00EF6B73"/>
    <w:rsid w:val="00EF6F07"/>
    <w:rsid w:val="00EF7348"/>
    <w:rsid w:val="00EF76E5"/>
    <w:rsid w:val="00EF7B4E"/>
    <w:rsid w:val="00EF7D10"/>
    <w:rsid w:val="00EF7D5C"/>
    <w:rsid w:val="00EF7EC1"/>
    <w:rsid w:val="00F000D4"/>
    <w:rsid w:val="00F000DF"/>
    <w:rsid w:val="00F00130"/>
    <w:rsid w:val="00F00312"/>
    <w:rsid w:val="00F00680"/>
    <w:rsid w:val="00F009E8"/>
    <w:rsid w:val="00F00AF6"/>
    <w:rsid w:val="00F00DF5"/>
    <w:rsid w:val="00F0120B"/>
    <w:rsid w:val="00F01425"/>
    <w:rsid w:val="00F01A68"/>
    <w:rsid w:val="00F01C4B"/>
    <w:rsid w:val="00F01C5B"/>
    <w:rsid w:val="00F01D53"/>
    <w:rsid w:val="00F01E62"/>
    <w:rsid w:val="00F0220F"/>
    <w:rsid w:val="00F026F1"/>
    <w:rsid w:val="00F02801"/>
    <w:rsid w:val="00F02AB4"/>
    <w:rsid w:val="00F035BF"/>
    <w:rsid w:val="00F037C4"/>
    <w:rsid w:val="00F03954"/>
    <w:rsid w:val="00F03B61"/>
    <w:rsid w:val="00F03F06"/>
    <w:rsid w:val="00F03F2B"/>
    <w:rsid w:val="00F0413A"/>
    <w:rsid w:val="00F0428A"/>
    <w:rsid w:val="00F0476E"/>
    <w:rsid w:val="00F04E79"/>
    <w:rsid w:val="00F04E9C"/>
    <w:rsid w:val="00F05478"/>
    <w:rsid w:val="00F05789"/>
    <w:rsid w:val="00F06607"/>
    <w:rsid w:val="00F06AA7"/>
    <w:rsid w:val="00F06B13"/>
    <w:rsid w:val="00F06BCF"/>
    <w:rsid w:val="00F075EA"/>
    <w:rsid w:val="00F0791B"/>
    <w:rsid w:val="00F07BC0"/>
    <w:rsid w:val="00F07C38"/>
    <w:rsid w:val="00F07D89"/>
    <w:rsid w:val="00F10192"/>
    <w:rsid w:val="00F10FF4"/>
    <w:rsid w:val="00F1144A"/>
    <w:rsid w:val="00F1169F"/>
    <w:rsid w:val="00F1186F"/>
    <w:rsid w:val="00F11AB4"/>
    <w:rsid w:val="00F123B7"/>
    <w:rsid w:val="00F12B7C"/>
    <w:rsid w:val="00F12D85"/>
    <w:rsid w:val="00F12EFB"/>
    <w:rsid w:val="00F13ABC"/>
    <w:rsid w:val="00F13C12"/>
    <w:rsid w:val="00F13C56"/>
    <w:rsid w:val="00F13D01"/>
    <w:rsid w:val="00F14117"/>
    <w:rsid w:val="00F150DD"/>
    <w:rsid w:val="00F151F0"/>
    <w:rsid w:val="00F152F7"/>
    <w:rsid w:val="00F1581F"/>
    <w:rsid w:val="00F15977"/>
    <w:rsid w:val="00F15A4B"/>
    <w:rsid w:val="00F15C6E"/>
    <w:rsid w:val="00F15DA0"/>
    <w:rsid w:val="00F16031"/>
    <w:rsid w:val="00F168D9"/>
    <w:rsid w:val="00F16C91"/>
    <w:rsid w:val="00F16D8F"/>
    <w:rsid w:val="00F16DB9"/>
    <w:rsid w:val="00F16E17"/>
    <w:rsid w:val="00F179C2"/>
    <w:rsid w:val="00F17A48"/>
    <w:rsid w:val="00F17B62"/>
    <w:rsid w:val="00F17E2F"/>
    <w:rsid w:val="00F203C6"/>
    <w:rsid w:val="00F2066F"/>
    <w:rsid w:val="00F20686"/>
    <w:rsid w:val="00F20E13"/>
    <w:rsid w:val="00F20FE0"/>
    <w:rsid w:val="00F211BF"/>
    <w:rsid w:val="00F21492"/>
    <w:rsid w:val="00F214D3"/>
    <w:rsid w:val="00F217DC"/>
    <w:rsid w:val="00F222FF"/>
    <w:rsid w:val="00F2246E"/>
    <w:rsid w:val="00F22515"/>
    <w:rsid w:val="00F2291A"/>
    <w:rsid w:val="00F22EA3"/>
    <w:rsid w:val="00F235C1"/>
    <w:rsid w:val="00F23A8A"/>
    <w:rsid w:val="00F23B1B"/>
    <w:rsid w:val="00F245CE"/>
    <w:rsid w:val="00F252A5"/>
    <w:rsid w:val="00F25444"/>
    <w:rsid w:val="00F25D35"/>
    <w:rsid w:val="00F26716"/>
    <w:rsid w:val="00F26980"/>
    <w:rsid w:val="00F270D6"/>
    <w:rsid w:val="00F2786B"/>
    <w:rsid w:val="00F2797E"/>
    <w:rsid w:val="00F27A78"/>
    <w:rsid w:val="00F30089"/>
    <w:rsid w:val="00F30206"/>
    <w:rsid w:val="00F30222"/>
    <w:rsid w:val="00F315E2"/>
    <w:rsid w:val="00F316C8"/>
    <w:rsid w:val="00F318FB"/>
    <w:rsid w:val="00F32017"/>
    <w:rsid w:val="00F32228"/>
    <w:rsid w:val="00F32804"/>
    <w:rsid w:val="00F32DBD"/>
    <w:rsid w:val="00F334EA"/>
    <w:rsid w:val="00F334EE"/>
    <w:rsid w:val="00F3358E"/>
    <w:rsid w:val="00F337FD"/>
    <w:rsid w:val="00F33A81"/>
    <w:rsid w:val="00F33B16"/>
    <w:rsid w:val="00F33B5B"/>
    <w:rsid w:val="00F34269"/>
    <w:rsid w:val="00F34866"/>
    <w:rsid w:val="00F34AC4"/>
    <w:rsid w:val="00F350A3"/>
    <w:rsid w:val="00F3553F"/>
    <w:rsid w:val="00F355B6"/>
    <w:rsid w:val="00F35A20"/>
    <w:rsid w:val="00F35DF4"/>
    <w:rsid w:val="00F35F42"/>
    <w:rsid w:val="00F36030"/>
    <w:rsid w:val="00F360DD"/>
    <w:rsid w:val="00F366E6"/>
    <w:rsid w:val="00F3673F"/>
    <w:rsid w:val="00F36A5D"/>
    <w:rsid w:val="00F375F9"/>
    <w:rsid w:val="00F37E54"/>
    <w:rsid w:val="00F405F0"/>
    <w:rsid w:val="00F40EE0"/>
    <w:rsid w:val="00F41195"/>
    <w:rsid w:val="00F41979"/>
    <w:rsid w:val="00F419AD"/>
    <w:rsid w:val="00F422EB"/>
    <w:rsid w:val="00F42B5F"/>
    <w:rsid w:val="00F42BF6"/>
    <w:rsid w:val="00F42E1E"/>
    <w:rsid w:val="00F43155"/>
    <w:rsid w:val="00F439F6"/>
    <w:rsid w:val="00F44613"/>
    <w:rsid w:val="00F44870"/>
    <w:rsid w:val="00F448CD"/>
    <w:rsid w:val="00F4498C"/>
    <w:rsid w:val="00F452E7"/>
    <w:rsid w:val="00F45AD1"/>
    <w:rsid w:val="00F45AE3"/>
    <w:rsid w:val="00F45E45"/>
    <w:rsid w:val="00F46FC3"/>
    <w:rsid w:val="00F47574"/>
    <w:rsid w:val="00F47E6B"/>
    <w:rsid w:val="00F5067B"/>
    <w:rsid w:val="00F50CBC"/>
    <w:rsid w:val="00F516CC"/>
    <w:rsid w:val="00F5187A"/>
    <w:rsid w:val="00F51B33"/>
    <w:rsid w:val="00F51F35"/>
    <w:rsid w:val="00F51FF8"/>
    <w:rsid w:val="00F523E6"/>
    <w:rsid w:val="00F52A3D"/>
    <w:rsid w:val="00F52BA8"/>
    <w:rsid w:val="00F52C40"/>
    <w:rsid w:val="00F52FA8"/>
    <w:rsid w:val="00F53342"/>
    <w:rsid w:val="00F534B1"/>
    <w:rsid w:val="00F538A0"/>
    <w:rsid w:val="00F53982"/>
    <w:rsid w:val="00F53B07"/>
    <w:rsid w:val="00F53C5B"/>
    <w:rsid w:val="00F53CC7"/>
    <w:rsid w:val="00F54304"/>
    <w:rsid w:val="00F5432D"/>
    <w:rsid w:val="00F547B2"/>
    <w:rsid w:val="00F54AA7"/>
    <w:rsid w:val="00F54B08"/>
    <w:rsid w:val="00F54BC8"/>
    <w:rsid w:val="00F550CD"/>
    <w:rsid w:val="00F552DC"/>
    <w:rsid w:val="00F5533E"/>
    <w:rsid w:val="00F55455"/>
    <w:rsid w:val="00F55CDD"/>
    <w:rsid w:val="00F561E6"/>
    <w:rsid w:val="00F576AD"/>
    <w:rsid w:val="00F57DE1"/>
    <w:rsid w:val="00F6061C"/>
    <w:rsid w:val="00F616A3"/>
    <w:rsid w:val="00F61C3C"/>
    <w:rsid w:val="00F61DE9"/>
    <w:rsid w:val="00F62113"/>
    <w:rsid w:val="00F622DD"/>
    <w:rsid w:val="00F6254E"/>
    <w:rsid w:val="00F6266A"/>
    <w:rsid w:val="00F62730"/>
    <w:rsid w:val="00F62E07"/>
    <w:rsid w:val="00F62F29"/>
    <w:rsid w:val="00F644E5"/>
    <w:rsid w:val="00F64EAF"/>
    <w:rsid w:val="00F651D0"/>
    <w:rsid w:val="00F65336"/>
    <w:rsid w:val="00F655F6"/>
    <w:rsid w:val="00F658C7"/>
    <w:rsid w:val="00F66C73"/>
    <w:rsid w:val="00F66F16"/>
    <w:rsid w:val="00F66F6D"/>
    <w:rsid w:val="00F6726C"/>
    <w:rsid w:val="00F67610"/>
    <w:rsid w:val="00F67A15"/>
    <w:rsid w:val="00F67F4A"/>
    <w:rsid w:val="00F70108"/>
    <w:rsid w:val="00F70373"/>
    <w:rsid w:val="00F708C5"/>
    <w:rsid w:val="00F70AB6"/>
    <w:rsid w:val="00F71E85"/>
    <w:rsid w:val="00F72133"/>
    <w:rsid w:val="00F72240"/>
    <w:rsid w:val="00F724B1"/>
    <w:rsid w:val="00F724B2"/>
    <w:rsid w:val="00F72DF3"/>
    <w:rsid w:val="00F72FEB"/>
    <w:rsid w:val="00F73438"/>
    <w:rsid w:val="00F73768"/>
    <w:rsid w:val="00F73B06"/>
    <w:rsid w:val="00F74724"/>
    <w:rsid w:val="00F74869"/>
    <w:rsid w:val="00F7532F"/>
    <w:rsid w:val="00F754CC"/>
    <w:rsid w:val="00F755EB"/>
    <w:rsid w:val="00F75F91"/>
    <w:rsid w:val="00F75FE7"/>
    <w:rsid w:val="00F76020"/>
    <w:rsid w:val="00F7616C"/>
    <w:rsid w:val="00F76328"/>
    <w:rsid w:val="00F770C9"/>
    <w:rsid w:val="00F77257"/>
    <w:rsid w:val="00F772E7"/>
    <w:rsid w:val="00F77F24"/>
    <w:rsid w:val="00F77FC7"/>
    <w:rsid w:val="00F806A3"/>
    <w:rsid w:val="00F80AE0"/>
    <w:rsid w:val="00F80AE3"/>
    <w:rsid w:val="00F80B53"/>
    <w:rsid w:val="00F80F5B"/>
    <w:rsid w:val="00F81915"/>
    <w:rsid w:val="00F820BB"/>
    <w:rsid w:val="00F8240B"/>
    <w:rsid w:val="00F8253C"/>
    <w:rsid w:val="00F826FF"/>
    <w:rsid w:val="00F8282F"/>
    <w:rsid w:val="00F83266"/>
    <w:rsid w:val="00F83486"/>
    <w:rsid w:val="00F83B3A"/>
    <w:rsid w:val="00F84145"/>
    <w:rsid w:val="00F84363"/>
    <w:rsid w:val="00F84402"/>
    <w:rsid w:val="00F845B4"/>
    <w:rsid w:val="00F8498A"/>
    <w:rsid w:val="00F849A4"/>
    <w:rsid w:val="00F84E90"/>
    <w:rsid w:val="00F84EF5"/>
    <w:rsid w:val="00F8566B"/>
    <w:rsid w:val="00F85D6D"/>
    <w:rsid w:val="00F85DAB"/>
    <w:rsid w:val="00F861A9"/>
    <w:rsid w:val="00F862B6"/>
    <w:rsid w:val="00F87167"/>
    <w:rsid w:val="00F87364"/>
    <w:rsid w:val="00F9051E"/>
    <w:rsid w:val="00F90542"/>
    <w:rsid w:val="00F90ACC"/>
    <w:rsid w:val="00F90AED"/>
    <w:rsid w:val="00F90B78"/>
    <w:rsid w:val="00F90F67"/>
    <w:rsid w:val="00F91385"/>
    <w:rsid w:val="00F91515"/>
    <w:rsid w:val="00F91692"/>
    <w:rsid w:val="00F923A4"/>
    <w:rsid w:val="00F93065"/>
    <w:rsid w:val="00F933C7"/>
    <w:rsid w:val="00F93841"/>
    <w:rsid w:val="00F9396F"/>
    <w:rsid w:val="00F93C54"/>
    <w:rsid w:val="00F94189"/>
    <w:rsid w:val="00F94315"/>
    <w:rsid w:val="00F94FE7"/>
    <w:rsid w:val="00F95833"/>
    <w:rsid w:val="00F95906"/>
    <w:rsid w:val="00F95AF2"/>
    <w:rsid w:val="00F95D92"/>
    <w:rsid w:val="00F96514"/>
    <w:rsid w:val="00F9661A"/>
    <w:rsid w:val="00F966A9"/>
    <w:rsid w:val="00F96894"/>
    <w:rsid w:val="00F96953"/>
    <w:rsid w:val="00F96C87"/>
    <w:rsid w:val="00F96CD4"/>
    <w:rsid w:val="00F96D76"/>
    <w:rsid w:val="00F973D5"/>
    <w:rsid w:val="00F9748A"/>
    <w:rsid w:val="00F9794F"/>
    <w:rsid w:val="00FA01A6"/>
    <w:rsid w:val="00FA044E"/>
    <w:rsid w:val="00FA0A8A"/>
    <w:rsid w:val="00FA1003"/>
    <w:rsid w:val="00FA10E4"/>
    <w:rsid w:val="00FA1421"/>
    <w:rsid w:val="00FA146D"/>
    <w:rsid w:val="00FA1924"/>
    <w:rsid w:val="00FA1B14"/>
    <w:rsid w:val="00FA1DDA"/>
    <w:rsid w:val="00FA1F79"/>
    <w:rsid w:val="00FA228F"/>
    <w:rsid w:val="00FA268C"/>
    <w:rsid w:val="00FA280D"/>
    <w:rsid w:val="00FA2A22"/>
    <w:rsid w:val="00FA2AC3"/>
    <w:rsid w:val="00FA2BEE"/>
    <w:rsid w:val="00FA2D61"/>
    <w:rsid w:val="00FA2E69"/>
    <w:rsid w:val="00FA2EFB"/>
    <w:rsid w:val="00FA307F"/>
    <w:rsid w:val="00FA322C"/>
    <w:rsid w:val="00FA3746"/>
    <w:rsid w:val="00FA3B0B"/>
    <w:rsid w:val="00FA3CB4"/>
    <w:rsid w:val="00FA3EB6"/>
    <w:rsid w:val="00FA40B3"/>
    <w:rsid w:val="00FA41F6"/>
    <w:rsid w:val="00FA4555"/>
    <w:rsid w:val="00FA4891"/>
    <w:rsid w:val="00FA4D64"/>
    <w:rsid w:val="00FA4EC4"/>
    <w:rsid w:val="00FA4F12"/>
    <w:rsid w:val="00FA51B2"/>
    <w:rsid w:val="00FA525D"/>
    <w:rsid w:val="00FA594F"/>
    <w:rsid w:val="00FA5C75"/>
    <w:rsid w:val="00FA5D57"/>
    <w:rsid w:val="00FA5D95"/>
    <w:rsid w:val="00FA6445"/>
    <w:rsid w:val="00FA660C"/>
    <w:rsid w:val="00FA6A94"/>
    <w:rsid w:val="00FA7274"/>
    <w:rsid w:val="00FA76AF"/>
    <w:rsid w:val="00FA7D5A"/>
    <w:rsid w:val="00FB0262"/>
    <w:rsid w:val="00FB0265"/>
    <w:rsid w:val="00FB0A38"/>
    <w:rsid w:val="00FB0D08"/>
    <w:rsid w:val="00FB0D27"/>
    <w:rsid w:val="00FB0F95"/>
    <w:rsid w:val="00FB1817"/>
    <w:rsid w:val="00FB1959"/>
    <w:rsid w:val="00FB1B85"/>
    <w:rsid w:val="00FB1D0A"/>
    <w:rsid w:val="00FB1D62"/>
    <w:rsid w:val="00FB1FDF"/>
    <w:rsid w:val="00FB2350"/>
    <w:rsid w:val="00FB2637"/>
    <w:rsid w:val="00FB28FA"/>
    <w:rsid w:val="00FB3194"/>
    <w:rsid w:val="00FB3884"/>
    <w:rsid w:val="00FB3B27"/>
    <w:rsid w:val="00FB474C"/>
    <w:rsid w:val="00FB47BA"/>
    <w:rsid w:val="00FB4A30"/>
    <w:rsid w:val="00FB51BD"/>
    <w:rsid w:val="00FB524D"/>
    <w:rsid w:val="00FB5A7B"/>
    <w:rsid w:val="00FB5EAB"/>
    <w:rsid w:val="00FB60CC"/>
    <w:rsid w:val="00FB630E"/>
    <w:rsid w:val="00FB638F"/>
    <w:rsid w:val="00FB6535"/>
    <w:rsid w:val="00FB6DB5"/>
    <w:rsid w:val="00FB7282"/>
    <w:rsid w:val="00FB75E4"/>
    <w:rsid w:val="00FB7C69"/>
    <w:rsid w:val="00FB7EBF"/>
    <w:rsid w:val="00FB7EF9"/>
    <w:rsid w:val="00FC02F4"/>
    <w:rsid w:val="00FC08CA"/>
    <w:rsid w:val="00FC0A57"/>
    <w:rsid w:val="00FC0B36"/>
    <w:rsid w:val="00FC14E5"/>
    <w:rsid w:val="00FC160B"/>
    <w:rsid w:val="00FC18FE"/>
    <w:rsid w:val="00FC20C6"/>
    <w:rsid w:val="00FC2405"/>
    <w:rsid w:val="00FC277A"/>
    <w:rsid w:val="00FC3146"/>
    <w:rsid w:val="00FC31A1"/>
    <w:rsid w:val="00FC34CE"/>
    <w:rsid w:val="00FC3509"/>
    <w:rsid w:val="00FC3BC2"/>
    <w:rsid w:val="00FC3F39"/>
    <w:rsid w:val="00FC492F"/>
    <w:rsid w:val="00FC4CBE"/>
    <w:rsid w:val="00FC5621"/>
    <w:rsid w:val="00FC57B6"/>
    <w:rsid w:val="00FC5910"/>
    <w:rsid w:val="00FC60EC"/>
    <w:rsid w:val="00FC6377"/>
    <w:rsid w:val="00FC663E"/>
    <w:rsid w:val="00FC67AF"/>
    <w:rsid w:val="00FC69DE"/>
    <w:rsid w:val="00FC6E1B"/>
    <w:rsid w:val="00FC7120"/>
    <w:rsid w:val="00FC724F"/>
    <w:rsid w:val="00FC7906"/>
    <w:rsid w:val="00FC7DE1"/>
    <w:rsid w:val="00FC7EBB"/>
    <w:rsid w:val="00FD01B5"/>
    <w:rsid w:val="00FD0966"/>
    <w:rsid w:val="00FD0CC7"/>
    <w:rsid w:val="00FD1609"/>
    <w:rsid w:val="00FD16EF"/>
    <w:rsid w:val="00FD1A3E"/>
    <w:rsid w:val="00FD1AE7"/>
    <w:rsid w:val="00FD1C78"/>
    <w:rsid w:val="00FD1C7B"/>
    <w:rsid w:val="00FD1E0F"/>
    <w:rsid w:val="00FD22C4"/>
    <w:rsid w:val="00FD25F0"/>
    <w:rsid w:val="00FD2C75"/>
    <w:rsid w:val="00FD2FEF"/>
    <w:rsid w:val="00FD314F"/>
    <w:rsid w:val="00FD31B1"/>
    <w:rsid w:val="00FD3304"/>
    <w:rsid w:val="00FD3C49"/>
    <w:rsid w:val="00FD3D48"/>
    <w:rsid w:val="00FD3F98"/>
    <w:rsid w:val="00FD3FA0"/>
    <w:rsid w:val="00FD423E"/>
    <w:rsid w:val="00FD445D"/>
    <w:rsid w:val="00FD5230"/>
    <w:rsid w:val="00FD529A"/>
    <w:rsid w:val="00FD5355"/>
    <w:rsid w:val="00FD5465"/>
    <w:rsid w:val="00FD5649"/>
    <w:rsid w:val="00FD5BA6"/>
    <w:rsid w:val="00FD5C72"/>
    <w:rsid w:val="00FD5ECF"/>
    <w:rsid w:val="00FD5F33"/>
    <w:rsid w:val="00FD6052"/>
    <w:rsid w:val="00FD633F"/>
    <w:rsid w:val="00FD722E"/>
    <w:rsid w:val="00FD763C"/>
    <w:rsid w:val="00FD7BCB"/>
    <w:rsid w:val="00FD7D14"/>
    <w:rsid w:val="00FE01E6"/>
    <w:rsid w:val="00FE0250"/>
    <w:rsid w:val="00FE02A7"/>
    <w:rsid w:val="00FE03F9"/>
    <w:rsid w:val="00FE228F"/>
    <w:rsid w:val="00FE24C9"/>
    <w:rsid w:val="00FE2509"/>
    <w:rsid w:val="00FE2518"/>
    <w:rsid w:val="00FE2A84"/>
    <w:rsid w:val="00FE2AA1"/>
    <w:rsid w:val="00FE2AA7"/>
    <w:rsid w:val="00FE2D33"/>
    <w:rsid w:val="00FE399C"/>
    <w:rsid w:val="00FE3B1D"/>
    <w:rsid w:val="00FE3B93"/>
    <w:rsid w:val="00FE4714"/>
    <w:rsid w:val="00FE492D"/>
    <w:rsid w:val="00FE496A"/>
    <w:rsid w:val="00FE4AD4"/>
    <w:rsid w:val="00FE4B45"/>
    <w:rsid w:val="00FE4B72"/>
    <w:rsid w:val="00FE4BEB"/>
    <w:rsid w:val="00FE4DB6"/>
    <w:rsid w:val="00FE510D"/>
    <w:rsid w:val="00FE55EA"/>
    <w:rsid w:val="00FE5A4E"/>
    <w:rsid w:val="00FE5C19"/>
    <w:rsid w:val="00FE5CD1"/>
    <w:rsid w:val="00FE5E5E"/>
    <w:rsid w:val="00FE5EAF"/>
    <w:rsid w:val="00FE627F"/>
    <w:rsid w:val="00FE638E"/>
    <w:rsid w:val="00FE65D9"/>
    <w:rsid w:val="00FE6896"/>
    <w:rsid w:val="00FE6948"/>
    <w:rsid w:val="00FE6D1C"/>
    <w:rsid w:val="00FE71D5"/>
    <w:rsid w:val="00FE74DA"/>
    <w:rsid w:val="00FE7DB8"/>
    <w:rsid w:val="00FF02A1"/>
    <w:rsid w:val="00FF0429"/>
    <w:rsid w:val="00FF0952"/>
    <w:rsid w:val="00FF0D2D"/>
    <w:rsid w:val="00FF0E16"/>
    <w:rsid w:val="00FF1076"/>
    <w:rsid w:val="00FF160E"/>
    <w:rsid w:val="00FF17D0"/>
    <w:rsid w:val="00FF1A1B"/>
    <w:rsid w:val="00FF1C1F"/>
    <w:rsid w:val="00FF1D96"/>
    <w:rsid w:val="00FF21F8"/>
    <w:rsid w:val="00FF2667"/>
    <w:rsid w:val="00FF2A98"/>
    <w:rsid w:val="00FF2C6B"/>
    <w:rsid w:val="00FF2CD8"/>
    <w:rsid w:val="00FF324E"/>
    <w:rsid w:val="00FF36FC"/>
    <w:rsid w:val="00FF3DA9"/>
    <w:rsid w:val="00FF3E7D"/>
    <w:rsid w:val="00FF4013"/>
    <w:rsid w:val="00FF5265"/>
    <w:rsid w:val="00FF5549"/>
    <w:rsid w:val="00FF5C36"/>
    <w:rsid w:val="00FF6002"/>
    <w:rsid w:val="00FF6281"/>
    <w:rsid w:val="00FF6910"/>
    <w:rsid w:val="00FF6978"/>
    <w:rsid w:val="00FF6CD5"/>
    <w:rsid w:val="00FF70B9"/>
    <w:rsid w:val="00FF7363"/>
    <w:rsid w:val="00FF73E1"/>
    <w:rsid w:val="00FF74F6"/>
    <w:rsid w:val="00FF75DA"/>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E86A796-433F-474E-8B04-1D715FC18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9" w:unhideWhenUsed="1" w:qFormat="1"/>
    <w:lsdException w:name="heading 5" w:semiHidden="1" w:unhideWhenUsed="1" w:qFormat="1"/>
    <w:lsdException w:name="heading 6" w:semiHidden="1" w:uiPriority="99" w:unhideWhenUsed="1" w:qFormat="1"/>
    <w:lsdException w:name="heading 7" w:semiHidden="1" w:uiPriority="99"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0258"/>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uiPriority w:val="9"/>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rsid w:val="00DE623A"/>
    <w:pPr>
      <w:keepNext/>
      <w:autoSpaceDE w:val="0"/>
      <w:autoSpaceDN w:val="0"/>
      <w:spacing w:before="120"/>
      <w:ind w:left="540"/>
      <w:jc w:val="both"/>
      <w:outlineLvl w:val="3"/>
    </w:pPr>
    <w:rPr>
      <w:b/>
      <w:bCs/>
      <w:sz w:val="28"/>
      <w:szCs w:val="28"/>
    </w:rPr>
  </w:style>
  <w:style w:type="paragraph" w:styleId="Ttulo5">
    <w:name w:val="heading 5"/>
    <w:basedOn w:val="Normal"/>
    <w:next w:val="Normal"/>
    <w:link w:val="Ttulo5Car"/>
    <w:qFormat/>
    <w:rsid w:val="00DE623A"/>
    <w:pPr>
      <w:keepNext/>
      <w:autoSpaceDE w:val="0"/>
      <w:autoSpaceDN w:val="0"/>
      <w:ind w:firstLine="709"/>
      <w:jc w:val="center"/>
      <w:outlineLvl w:val="4"/>
    </w:pPr>
    <w:rPr>
      <w:sz w:val="28"/>
      <w:szCs w:val="28"/>
    </w:rPr>
  </w:style>
  <w:style w:type="paragraph" w:styleId="Ttulo6">
    <w:name w:val="heading 6"/>
    <w:basedOn w:val="Normal"/>
    <w:next w:val="Normal"/>
    <w:link w:val="Ttulo6Car"/>
    <w:uiPriority w:val="99"/>
    <w:qFormat/>
    <w:rsid w:val="00316932"/>
    <w:pPr>
      <w:spacing w:before="240" w:after="60"/>
      <w:outlineLvl w:val="5"/>
    </w:pPr>
    <w:rPr>
      <w:b/>
      <w:bCs/>
      <w:sz w:val="22"/>
      <w:szCs w:val="22"/>
    </w:rPr>
  </w:style>
  <w:style w:type="paragraph" w:styleId="Ttulo7">
    <w:name w:val="heading 7"/>
    <w:basedOn w:val="Normal"/>
    <w:next w:val="Normal"/>
    <w:link w:val="Ttulo7Car"/>
    <w:uiPriority w:val="99"/>
    <w:qFormat/>
    <w:rsid w:val="00DE623A"/>
    <w:pPr>
      <w:autoSpaceDE w:val="0"/>
      <w:autoSpaceDN w:val="0"/>
      <w:spacing w:before="240" w:after="60"/>
      <w:outlineLvl w:val="6"/>
    </w:pPr>
    <w:rPr>
      <w:rFonts w:ascii="Arial" w:hAnsi="Arial" w:cs="Arial"/>
      <w:sz w:val="20"/>
      <w:szCs w:val="20"/>
    </w:rPr>
  </w:style>
  <w:style w:type="paragraph" w:styleId="Ttulo8">
    <w:name w:val="heading 8"/>
    <w:basedOn w:val="Normal"/>
    <w:next w:val="Normal"/>
    <w:link w:val="Ttulo8Car"/>
    <w:qFormat/>
    <w:rsid w:val="00DE623A"/>
    <w:pPr>
      <w:keepNext/>
      <w:widowControl w:val="0"/>
      <w:outlineLvl w:val="7"/>
    </w:pPr>
    <w:rPr>
      <w:rFonts w:ascii="Arial" w:hAnsi="Arial"/>
      <w:szCs w:val="20"/>
      <w:lang w:val="es-ES_tradnl"/>
    </w:rPr>
  </w:style>
  <w:style w:type="paragraph" w:styleId="Ttulo9">
    <w:name w:val="heading 9"/>
    <w:basedOn w:val="Normal"/>
    <w:next w:val="Normal"/>
    <w:link w:val="Ttulo9Car"/>
    <w:uiPriority w:val="99"/>
    <w:qFormat/>
    <w:rsid w:val="00DE623A"/>
    <w:pPr>
      <w:keepNext/>
      <w:autoSpaceDE w:val="0"/>
      <w:autoSpaceDN w:val="0"/>
      <w:ind w:firstLine="709"/>
      <w:jc w:val="center"/>
      <w:outlineLvl w:val="8"/>
    </w:pPr>
    <w:rPr>
      <w:rFonts w:ascii="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rsid w:val="002E36C7"/>
    <w:rPr>
      <w:b/>
      <w:bCs/>
    </w:rPr>
  </w:style>
  <w:style w:type="paragraph" w:styleId="Sangra2detindependiente">
    <w:name w:val="Body Text Indent 2"/>
    <w:basedOn w:val="Normal"/>
    <w:link w:val="Sangra2detindependienteCar"/>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uiPriority w:val="35"/>
    <w:qFormat/>
    <w:rsid w:val="00574416"/>
    <w:pPr>
      <w:jc w:val="center"/>
    </w:pPr>
    <w:rPr>
      <w:rFonts w:ascii="Arial" w:hAnsi="Arial"/>
      <w:b/>
      <w:smallCaps/>
      <w:sz w:val="28"/>
      <w:lang w:eastAsia="en-US"/>
    </w:rPr>
  </w:style>
  <w:style w:type="paragraph" w:styleId="Prrafodelista">
    <w:name w:val="List Paragraph"/>
    <w:aliases w:val="Listas,Lista vistosa - Énfasis 11,Cita texto,Footnote,TEXTO GENERAL SENTENCIAS,List Paragraph1,Colorful List - Accent 11,Lista multicolor - Énfasis 11,CNBV Parrafo1,List Paragraph-Thesis,lp1,Dot pt,List Paragraph Char Char Char"/>
    <w:basedOn w:val="Normal"/>
    <w:link w:val="PrrafodelistaCar"/>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customStyle="1" w:styleId="Mencinsinresolver1">
    <w:name w:val="Mención sin resolver1"/>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table" w:customStyle="1" w:styleId="TableNormal">
    <w:name w:val="Table Normal"/>
    <w:uiPriority w:val="2"/>
    <w:semiHidden/>
    <w:unhideWhenUsed/>
    <w:qFormat/>
    <w:rsid w:val="00FD31B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normal1">
    <w:name w:val="Plain Table 1"/>
    <w:basedOn w:val="Tablanormal"/>
    <w:uiPriority w:val="41"/>
    <w:rsid w:val="00D1108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330C9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Car">
    <w:name w:val="Título Car"/>
    <w:basedOn w:val="Fuentedeprrafopredeter"/>
    <w:link w:val="Ttulo"/>
    <w:rsid w:val="00EF1BBE"/>
    <w:rPr>
      <w:b/>
      <w:bCs/>
      <w:sz w:val="24"/>
      <w:szCs w:val="24"/>
      <w:lang w:eastAsia="es-ES"/>
    </w:rPr>
  </w:style>
  <w:style w:type="character" w:styleId="Refdecomentario">
    <w:name w:val="annotation reference"/>
    <w:basedOn w:val="Fuentedeprrafopredeter"/>
    <w:uiPriority w:val="99"/>
    <w:unhideWhenUsed/>
    <w:rsid w:val="002B4515"/>
    <w:rPr>
      <w:sz w:val="16"/>
      <w:szCs w:val="16"/>
    </w:rPr>
  </w:style>
  <w:style w:type="character" w:customStyle="1" w:styleId="PrrafodelistaCar">
    <w:name w:val="Párrafo de lista Car"/>
    <w:aliases w:val="Listas Car,Lista vistosa - Énfasis 11 Car,Cita texto Car,Footnote Car,TEXTO GENERAL SENTENCIAS Car,List Paragraph1 Car,Colorful List - Accent 11 Car,Lista multicolor - Énfasis 11 Car,CNBV Parrafo1 Car,List Paragraph-Thesis Car"/>
    <w:link w:val="Prrafodelista"/>
    <w:uiPriority w:val="34"/>
    <w:locked/>
    <w:rsid w:val="00AD5ED8"/>
    <w:rPr>
      <w:sz w:val="24"/>
      <w:szCs w:val="24"/>
      <w:lang w:val="es-ES" w:eastAsia="es-ES"/>
    </w:rPr>
  </w:style>
  <w:style w:type="paragraph" w:customStyle="1" w:styleId="paragraph">
    <w:name w:val="paragraph"/>
    <w:basedOn w:val="Normal"/>
    <w:rsid w:val="00C647B5"/>
    <w:pPr>
      <w:spacing w:before="100" w:beforeAutospacing="1" w:after="100" w:afterAutospacing="1"/>
    </w:pPr>
    <w:rPr>
      <w:lang w:val="es-MX" w:eastAsia="es-MX"/>
    </w:rPr>
  </w:style>
  <w:style w:type="character" w:customStyle="1" w:styleId="normaltextrun">
    <w:name w:val="normaltextrun"/>
    <w:basedOn w:val="Fuentedeprrafopredeter"/>
    <w:rsid w:val="00C647B5"/>
  </w:style>
  <w:style w:type="character" w:customStyle="1" w:styleId="eop">
    <w:name w:val="eop"/>
    <w:basedOn w:val="Fuentedeprrafopredeter"/>
    <w:rsid w:val="00C647B5"/>
  </w:style>
  <w:style w:type="character" w:styleId="Mencinsinresolver">
    <w:name w:val="Unresolved Mention"/>
    <w:basedOn w:val="Fuentedeprrafopredeter"/>
    <w:uiPriority w:val="99"/>
    <w:semiHidden/>
    <w:unhideWhenUsed/>
    <w:rsid w:val="006B27B6"/>
    <w:rPr>
      <w:color w:val="605E5C"/>
      <w:shd w:val="clear" w:color="auto" w:fill="E1DFDD"/>
    </w:rPr>
  </w:style>
  <w:style w:type="table" w:customStyle="1" w:styleId="Tablaconcuadrcula1">
    <w:name w:val="Tabla con cuadrícula1"/>
    <w:basedOn w:val="Tablanormal"/>
    <w:next w:val="Tablaconcuadrcula"/>
    <w:uiPriority w:val="39"/>
    <w:rsid w:val="00B661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DE623A"/>
    <w:rPr>
      <w:b/>
      <w:bCs/>
      <w:sz w:val="28"/>
      <w:szCs w:val="28"/>
      <w:lang w:val="es-ES" w:eastAsia="es-ES"/>
    </w:rPr>
  </w:style>
  <w:style w:type="character" w:customStyle="1" w:styleId="Ttulo5Car">
    <w:name w:val="Título 5 Car"/>
    <w:basedOn w:val="Fuentedeprrafopredeter"/>
    <w:link w:val="Ttulo5"/>
    <w:rsid w:val="00DE623A"/>
    <w:rPr>
      <w:sz w:val="28"/>
      <w:szCs w:val="28"/>
      <w:lang w:val="es-ES" w:eastAsia="es-ES"/>
    </w:rPr>
  </w:style>
  <w:style w:type="character" w:customStyle="1" w:styleId="Ttulo7Car">
    <w:name w:val="Título 7 Car"/>
    <w:basedOn w:val="Fuentedeprrafopredeter"/>
    <w:link w:val="Ttulo7"/>
    <w:uiPriority w:val="9"/>
    <w:rsid w:val="00DE623A"/>
    <w:rPr>
      <w:rFonts w:ascii="Arial" w:hAnsi="Arial" w:cs="Arial"/>
      <w:lang w:val="es-ES" w:eastAsia="es-ES"/>
    </w:rPr>
  </w:style>
  <w:style w:type="character" w:customStyle="1" w:styleId="Ttulo8Car">
    <w:name w:val="Título 8 Car"/>
    <w:basedOn w:val="Fuentedeprrafopredeter"/>
    <w:link w:val="Ttulo8"/>
    <w:rsid w:val="00DE623A"/>
    <w:rPr>
      <w:rFonts w:ascii="Arial" w:hAnsi="Arial"/>
      <w:sz w:val="24"/>
      <w:lang w:val="es-ES_tradnl" w:eastAsia="es-ES"/>
    </w:rPr>
  </w:style>
  <w:style w:type="character" w:customStyle="1" w:styleId="Ttulo9Car">
    <w:name w:val="Título 9 Car"/>
    <w:basedOn w:val="Fuentedeprrafopredeter"/>
    <w:link w:val="Ttulo9"/>
    <w:uiPriority w:val="9"/>
    <w:rsid w:val="00DE623A"/>
    <w:rPr>
      <w:rFonts w:ascii="Arial" w:hAnsi="Arial" w:cs="Arial"/>
      <w:b/>
      <w:bCs/>
      <w:lang w:val="es-ES" w:eastAsia="es-ES"/>
    </w:rPr>
  </w:style>
  <w:style w:type="numbering" w:customStyle="1" w:styleId="Sinlista1">
    <w:name w:val="Sin lista1"/>
    <w:next w:val="Sinlista"/>
    <w:semiHidden/>
    <w:rsid w:val="000134E6"/>
  </w:style>
  <w:style w:type="character" w:customStyle="1" w:styleId="Ttulo2Car">
    <w:name w:val="Título 2 Car"/>
    <w:basedOn w:val="Fuentedeprrafopredeter"/>
    <w:link w:val="Ttulo2"/>
    <w:rsid w:val="00DE623A"/>
    <w:rPr>
      <w:rFonts w:ascii="Arial" w:hAnsi="Arial" w:cs="Arial"/>
      <w:b/>
      <w:bCs/>
      <w:lang w:val="es-ES" w:eastAsia="es-ES"/>
    </w:rPr>
  </w:style>
  <w:style w:type="character" w:customStyle="1" w:styleId="Ttulo3Car">
    <w:name w:val="Título 3 Car"/>
    <w:basedOn w:val="Fuentedeprrafopredeter"/>
    <w:link w:val="Ttulo3"/>
    <w:uiPriority w:val="9"/>
    <w:rsid w:val="00DE623A"/>
    <w:rPr>
      <w:rFonts w:ascii="Arial" w:hAnsi="Arial" w:cs="Arial"/>
      <w:b/>
      <w:bCs/>
      <w:sz w:val="26"/>
      <w:szCs w:val="26"/>
      <w:lang w:val="es-ES" w:eastAsia="es-ES"/>
    </w:rPr>
  </w:style>
  <w:style w:type="character" w:customStyle="1" w:styleId="Ttulo6Car">
    <w:name w:val="Título 6 Car"/>
    <w:basedOn w:val="Fuentedeprrafopredeter"/>
    <w:link w:val="Ttulo6"/>
    <w:uiPriority w:val="9"/>
    <w:rsid w:val="00DE623A"/>
    <w:rPr>
      <w:b/>
      <w:bCs/>
      <w:sz w:val="22"/>
      <w:szCs w:val="22"/>
      <w:lang w:val="es-ES" w:eastAsia="es-ES"/>
    </w:rPr>
  </w:style>
  <w:style w:type="character" w:customStyle="1" w:styleId="SangradetextonormalCar">
    <w:name w:val="Sangría de texto normal Car"/>
    <w:basedOn w:val="Fuentedeprrafopredeter"/>
    <w:link w:val="Sangradetextonormal"/>
    <w:rsid w:val="00DE623A"/>
    <w:rPr>
      <w:lang w:val="es-ES" w:eastAsia="es-ES"/>
    </w:rPr>
  </w:style>
  <w:style w:type="character" w:customStyle="1" w:styleId="TextodegloboCar">
    <w:name w:val="Texto de globo Car"/>
    <w:basedOn w:val="Fuentedeprrafopredeter"/>
    <w:link w:val="Textodeglobo"/>
    <w:rsid w:val="00DE623A"/>
    <w:rPr>
      <w:rFonts w:ascii="Tahoma" w:hAnsi="Tahoma" w:cs="Tahoma"/>
      <w:sz w:val="16"/>
      <w:szCs w:val="16"/>
      <w:lang w:val="es-ES" w:eastAsia="es-ES"/>
    </w:rPr>
  </w:style>
  <w:style w:type="paragraph" w:customStyle="1" w:styleId="Style13">
    <w:name w:val="Style 13"/>
    <w:uiPriority w:val="99"/>
    <w:rsid w:val="00DE623A"/>
    <w:pPr>
      <w:widowControl w:val="0"/>
      <w:autoSpaceDE w:val="0"/>
      <w:autoSpaceDN w:val="0"/>
      <w:spacing w:before="360" w:line="360" w:lineRule="auto"/>
      <w:ind w:left="288" w:right="288"/>
      <w:jc w:val="both"/>
    </w:pPr>
    <w:rPr>
      <w:sz w:val="24"/>
      <w:szCs w:val="24"/>
      <w:lang w:val="en-US"/>
    </w:rPr>
  </w:style>
  <w:style w:type="paragraph" w:customStyle="1" w:styleId="Style1">
    <w:name w:val="Style 1"/>
    <w:uiPriority w:val="99"/>
    <w:rsid w:val="00DE623A"/>
    <w:pPr>
      <w:widowControl w:val="0"/>
      <w:autoSpaceDE w:val="0"/>
      <w:autoSpaceDN w:val="0"/>
      <w:adjustRightInd w:val="0"/>
    </w:pPr>
    <w:rPr>
      <w:lang w:val="en-US"/>
    </w:rPr>
  </w:style>
  <w:style w:type="character" w:customStyle="1" w:styleId="CharacterStyle1">
    <w:name w:val="Character Style 1"/>
    <w:uiPriority w:val="99"/>
    <w:rsid w:val="00DE623A"/>
    <w:rPr>
      <w:sz w:val="20"/>
    </w:rPr>
  </w:style>
  <w:style w:type="paragraph" w:customStyle="1" w:styleId="Style19">
    <w:name w:val="Style 19"/>
    <w:uiPriority w:val="99"/>
    <w:rsid w:val="00DE623A"/>
    <w:pPr>
      <w:widowControl w:val="0"/>
      <w:autoSpaceDE w:val="0"/>
      <w:autoSpaceDN w:val="0"/>
      <w:spacing w:before="216" w:line="360" w:lineRule="auto"/>
      <w:ind w:left="1080" w:right="1152"/>
      <w:jc w:val="both"/>
    </w:pPr>
    <w:rPr>
      <w:rFonts w:ascii="Arial" w:hAnsi="Arial" w:cs="Arial"/>
      <w:sz w:val="24"/>
      <w:szCs w:val="24"/>
      <w:lang w:val="en-US"/>
    </w:rPr>
  </w:style>
  <w:style w:type="character" w:customStyle="1" w:styleId="CharacterStyle5">
    <w:name w:val="Character Style 5"/>
    <w:uiPriority w:val="99"/>
    <w:rsid w:val="00DE623A"/>
    <w:rPr>
      <w:rFonts w:ascii="Arial" w:hAnsi="Arial"/>
      <w:sz w:val="24"/>
    </w:rPr>
  </w:style>
  <w:style w:type="paragraph" w:customStyle="1" w:styleId="Style20">
    <w:name w:val="Style 20"/>
    <w:uiPriority w:val="99"/>
    <w:rsid w:val="00DE623A"/>
    <w:pPr>
      <w:widowControl w:val="0"/>
      <w:autoSpaceDE w:val="0"/>
      <w:autoSpaceDN w:val="0"/>
      <w:spacing w:before="72" w:line="360" w:lineRule="auto"/>
      <w:ind w:left="1080" w:right="1152" w:firstLine="72"/>
      <w:jc w:val="both"/>
    </w:pPr>
    <w:rPr>
      <w:rFonts w:ascii="Bookman Old Style" w:hAnsi="Bookman Old Style" w:cs="Bookman Old Style"/>
      <w:i/>
      <w:iCs/>
      <w:sz w:val="26"/>
      <w:szCs w:val="26"/>
      <w:lang w:val="en-US"/>
    </w:rPr>
  </w:style>
  <w:style w:type="paragraph" w:customStyle="1" w:styleId="Style21">
    <w:name w:val="Style 21"/>
    <w:uiPriority w:val="99"/>
    <w:rsid w:val="00DE623A"/>
    <w:pPr>
      <w:widowControl w:val="0"/>
      <w:autoSpaceDE w:val="0"/>
      <w:autoSpaceDN w:val="0"/>
      <w:spacing w:before="612" w:line="360" w:lineRule="auto"/>
      <w:ind w:left="1080" w:right="1152"/>
      <w:jc w:val="both"/>
    </w:pPr>
    <w:rPr>
      <w:sz w:val="24"/>
      <w:szCs w:val="24"/>
      <w:lang w:val="en-US"/>
    </w:rPr>
  </w:style>
  <w:style w:type="character" w:customStyle="1" w:styleId="CharacterStyle6">
    <w:name w:val="Character Style 6"/>
    <w:uiPriority w:val="99"/>
    <w:rsid w:val="00DE623A"/>
    <w:rPr>
      <w:rFonts w:ascii="Bookman Old Style" w:hAnsi="Bookman Old Style"/>
      <w:i/>
      <w:sz w:val="26"/>
    </w:rPr>
  </w:style>
  <w:style w:type="paragraph" w:customStyle="1" w:styleId="Style23">
    <w:name w:val="Style 23"/>
    <w:uiPriority w:val="99"/>
    <w:rsid w:val="00DE623A"/>
    <w:pPr>
      <w:widowControl w:val="0"/>
      <w:autoSpaceDE w:val="0"/>
      <w:autoSpaceDN w:val="0"/>
      <w:spacing w:before="288" w:line="360" w:lineRule="auto"/>
      <w:ind w:left="1008"/>
    </w:pPr>
    <w:rPr>
      <w:sz w:val="24"/>
      <w:szCs w:val="24"/>
      <w:lang w:val="en-US"/>
    </w:rPr>
  </w:style>
  <w:style w:type="paragraph" w:customStyle="1" w:styleId="Style24">
    <w:name w:val="Style 24"/>
    <w:uiPriority w:val="99"/>
    <w:rsid w:val="00DE623A"/>
    <w:pPr>
      <w:widowControl w:val="0"/>
      <w:autoSpaceDE w:val="0"/>
      <w:autoSpaceDN w:val="0"/>
      <w:spacing w:before="396" w:line="360" w:lineRule="auto"/>
      <w:ind w:left="1152" w:right="72"/>
      <w:jc w:val="both"/>
    </w:pPr>
    <w:rPr>
      <w:sz w:val="24"/>
      <w:szCs w:val="24"/>
      <w:lang w:val="en-US"/>
    </w:rPr>
  </w:style>
  <w:style w:type="paragraph" w:customStyle="1" w:styleId="Style25">
    <w:name w:val="Style 25"/>
    <w:uiPriority w:val="99"/>
    <w:rsid w:val="00DE623A"/>
    <w:pPr>
      <w:widowControl w:val="0"/>
      <w:autoSpaceDE w:val="0"/>
      <w:autoSpaceDN w:val="0"/>
      <w:spacing w:before="504" w:line="360" w:lineRule="auto"/>
      <w:ind w:left="504" w:right="504"/>
      <w:jc w:val="both"/>
    </w:pPr>
    <w:rPr>
      <w:sz w:val="24"/>
      <w:szCs w:val="24"/>
      <w:lang w:val="en-US"/>
    </w:rPr>
  </w:style>
  <w:style w:type="paragraph" w:customStyle="1" w:styleId="Style26">
    <w:name w:val="Style 26"/>
    <w:uiPriority w:val="99"/>
    <w:rsid w:val="00DE623A"/>
    <w:pPr>
      <w:widowControl w:val="0"/>
      <w:autoSpaceDE w:val="0"/>
      <w:autoSpaceDN w:val="0"/>
      <w:spacing w:before="72" w:line="360" w:lineRule="auto"/>
      <w:jc w:val="both"/>
    </w:pPr>
    <w:rPr>
      <w:sz w:val="24"/>
      <w:szCs w:val="24"/>
      <w:lang w:val="en-US"/>
    </w:rPr>
  </w:style>
  <w:style w:type="paragraph" w:customStyle="1" w:styleId="Style27">
    <w:name w:val="Style 27"/>
    <w:uiPriority w:val="99"/>
    <w:rsid w:val="00DE623A"/>
    <w:pPr>
      <w:widowControl w:val="0"/>
      <w:autoSpaceDE w:val="0"/>
      <w:autoSpaceDN w:val="0"/>
      <w:spacing w:before="612" w:line="360" w:lineRule="auto"/>
      <w:jc w:val="both"/>
    </w:pPr>
    <w:rPr>
      <w:sz w:val="24"/>
      <w:szCs w:val="24"/>
      <w:lang w:val="en-US"/>
    </w:rPr>
  </w:style>
  <w:style w:type="paragraph" w:customStyle="1" w:styleId="Style28">
    <w:name w:val="Style 28"/>
    <w:uiPriority w:val="99"/>
    <w:rsid w:val="00DE623A"/>
    <w:pPr>
      <w:widowControl w:val="0"/>
      <w:autoSpaceDE w:val="0"/>
      <w:autoSpaceDN w:val="0"/>
      <w:spacing w:before="432" w:line="360" w:lineRule="auto"/>
      <w:ind w:left="1296" w:right="144"/>
    </w:pPr>
    <w:rPr>
      <w:sz w:val="24"/>
      <w:szCs w:val="24"/>
      <w:lang w:val="en-US"/>
    </w:rPr>
  </w:style>
  <w:style w:type="character" w:customStyle="1" w:styleId="CharacterStyle2">
    <w:name w:val="Character Style 2"/>
    <w:uiPriority w:val="99"/>
    <w:rsid w:val="00DE623A"/>
    <w:rPr>
      <w:sz w:val="20"/>
      <w:szCs w:val="20"/>
    </w:rPr>
  </w:style>
  <w:style w:type="character" w:customStyle="1" w:styleId="Textodemarcadordeposicin">
    <w:name w:val="Texto de marcador de posición"/>
    <w:uiPriority w:val="99"/>
    <w:semiHidden/>
    <w:rsid w:val="00DE623A"/>
    <w:rPr>
      <w:color w:val="808080"/>
    </w:rPr>
  </w:style>
  <w:style w:type="table" w:customStyle="1" w:styleId="TableNormal1">
    <w:name w:val="Table Normal1"/>
    <w:uiPriority w:val="2"/>
    <w:semiHidden/>
    <w:unhideWhenUsed/>
    <w:qFormat/>
    <w:rsid w:val="00DE623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Textoennegrita">
    <w:name w:val="Strong"/>
    <w:uiPriority w:val="22"/>
    <w:qFormat/>
    <w:rsid w:val="00DE623A"/>
    <w:rPr>
      <w:b/>
      <w:bCs/>
    </w:rPr>
  </w:style>
  <w:style w:type="paragraph" w:styleId="Textosinformato">
    <w:name w:val="Plain Text"/>
    <w:basedOn w:val="Normal"/>
    <w:link w:val="TextosinformatoCar"/>
    <w:uiPriority w:val="99"/>
    <w:rsid w:val="00DE623A"/>
    <w:rPr>
      <w:rFonts w:ascii="Courier New" w:hAnsi="Courier New" w:cs="Courier New"/>
      <w:sz w:val="20"/>
      <w:szCs w:val="20"/>
      <w:lang w:val="es-MX"/>
    </w:rPr>
  </w:style>
  <w:style w:type="character" w:customStyle="1" w:styleId="TextosinformatoCar">
    <w:name w:val="Texto sin formato Car"/>
    <w:basedOn w:val="Fuentedeprrafopredeter"/>
    <w:link w:val="Textosinformato"/>
    <w:uiPriority w:val="99"/>
    <w:rsid w:val="00DE623A"/>
    <w:rPr>
      <w:rFonts w:ascii="Courier New" w:hAnsi="Courier New" w:cs="Courier New"/>
      <w:lang w:eastAsia="es-ES"/>
    </w:rPr>
  </w:style>
  <w:style w:type="character" w:customStyle="1" w:styleId="A6">
    <w:name w:val="A6"/>
    <w:uiPriority w:val="99"/>
    <w:rsid w:val="00DE623A"/>
    <w:rPr>
      <w:rFonts w:cs="Calibri"/>
      <w:color w:val="000000"/>
      <w:sz w:val="22"/>
      <w:szCs w:val="22"/>
    </w:rPr>
  </w:style>
  <w:style w:type="paragraph" w:customStyle="1" w:styleId="Texto">
    <w:name w:val="Texto"/>
    <w:basedOn w:val="Normal"/>
    <w:link w:val="TextoCar"/>
    <w:rsid w:val="00DE623A"/>
    <w:pPr>
      <w:spacing w:after="101" w:line="216" w:lineRule="exact"/>
      <w:ind w:firstLine="288"/>
      <w:jc w:val="both"/>
    </w:pPr>
    <w:rPr>
      <w:rFonts w:ascii="Arial" w:hAnsi="Arial" w:cs="Arial"/>
      <w:sz w:val="18"/>
      <w:szCs w:val="18"/>
    </w:rPr>
  </w:style>
  <w:style w:type="paragraph" w:customStyle="1" w:styleId="ROMANOS">
    <w:name w:val="ROMANOS"/>
    <w:basedOn w:val="Normal"/>
    <w:link w:val="ROMANOSCar"/>
    <w:rsid w:val="00DE623A"/>
    <w:pPr>
      <w:tabs>
        <w:tab w:val="left" w:pos="720"/>
      </w:tabs>
      <w:spacing w:after="101" w:line="216" w:lineRule="exact"/>
      <w:ind w:left="720" w:hanging="432"/>
      <w:jc w:val="both"/>
    </w:pPr>
    <w:rPr>
      <w:rFonts w:ascii="Arial" w:hAnsi="Arial" w:cs="Arial"/>
      <w:sz w:val="18"/>
      <w:szCs w:val="18"/>
    </w:rPr>
  </w:style>
  <w:style w:type="paragraph" w:customStyle="1" w:styleId="ANOTACION">
    <w:name w:val="ANOTACION"/>
    <w:basedOn w:val="Normal"/>
    <w:link w:val="ANOTACIONCar"/>
    <w:rsid w:val="00DE623A"/>
    <w:pPr>
      <w:spacing w:before="101" w:after="101" w:line="216" w:lineRule="atLeast"/>
      <w:jc w:val="center"/>
    </w:pPr>
    <w:rPr>
      <w:rFonts w:ascii="CG Palacio (WN)" w:hAnsi="CG Palacio (WN)"/>
      <w:b/>
      <w:sz w:val="18"/>
      <w:szCs w:val="20"/>
      <w:lang w:val="es-ES_tradnl"/>
    </w:rPr>
  </w:style>
  <w:style w:type="paragraph" w:customStyle="1" w:styleId="texto0">
    <w:name w:val="texto"/>
    <w:basedOn w:val="Normal"/>
    <w:rsid w:val="00DE623A"/>
    <w:pPr>
      <w:spacing w:after="101" w:line="216" w:lineRule="atLeast"/>
      <w:ind w:firstLine="288"/>
      <w:jc w:val="both"/>
    </w:pPr>
    <w:rPr>
      <w:rFonts w:ascii="Arial" w:hAnsi="Arial"/>
      <w:sz w:val="18"/>
      <w:szCs w:val="20"/>
      <w:lang w:val="es-ES_tradnl"/>
    </w:rPr>
  </w:style>
  <w:style w:type="paragraph" w:customStyle="1" w:styleId="ContenidoArticulo">
    <w:name w:val="ContenidoArticulo"/>
    <w:basedOn w:val="Normal"/>
    <w:next w:val="Normal"/>
    <w:uiPriority w:val="99"/>
    <w:rsid w:val="00DE623A"/>
    <w:pPr>
      <w:autoSpaceDE w:val="0"/>
      <w:autoSpaceDN w:val="0"/>
      <w:adjustRightInd w:val="0"/>
    </w:pPr>
    <w:rPr>
      <w:rFonts w:ascii="Arial" w:eastAsia="Calibri" w:hAnsi="Arial" w:cs="Arial"/>
      <w:lang w:val="es-MX" w:eastAsia="en-US"/>
    </w:rPr>
  </w:style>
  <w:style w:type="paragraph" w:customStyle="1" w:styleId="Articulo">
    <w:name w:val="Articulo"/>
    <w:basedOn w:val="Default"/>
    <w:next w:val="Default"/>
    <w:uiPriority w:val="99"/>
    <w:rsid w:val="00DE623A"/>
    <w:rPr>
      <w:color w:val="auto"/>
      <w:lang w:val="es-MX"/>
    </w:rPr>
  </w:style>
  <w:style w:type="paragraph" w:customStyle="1" w:styleId="Titulo">
    <w:name w:val="Titulo"/>
    <w:basedOn w:val="Default"/>
    <w:next w:val="Default"/>
    <w:uiPriority w:val="99"/>
    <w:rsid w:val="00DE623A"/>
    <w:rPr>
      <w:color w:val="auto"/>
      <w:lang w:val="es-MX"/>
    </w:rPr>
  </w:style>
  <w:style w:type="paragraph" w:customStyle="1" w:styleId="NombreTitulo">
    <w:name w:val="NombreTitulo"/>
    <w:basedOn w:val="Default"/>
    <w:next w:val="Default"/>
    <w:uiPriority w:val="99"/>
    <w:rsid w:val="00DE623A"/>
    <w:rPr>
      <w:color w:val="auto"/>
      <w:lang w:val="es-MX"/>
    </w:rPr>
  </w:style>
  <w:style w:type="paragraph" w:customStyle="1" w:styleId="Capitulo">
    <w:name w:val="Capitulo"/>
    <w:basedOn w:val="Default"/>
    <w:next w:val="Default"/>
    <w:uiPriority w:val="99"/>
    <w:rsid w:val="00DE623A"/>
    <w:rPr>
      <w:color w:val="auto"/>
      <w:lang w:val="es-MX"/>
    </w:rPr>
  </w:style>
  <w:style w:type="paragraph" w:customStyle="1" w:styleId="NombreCapitulo">
    <w:name w:val="NombreCapitulo"/>
    <w:basedOn w:val="Default"/>
    <w:next w:val="Default"/>
    <w:uiPriority w:val="99"/>
    <w:rsid w:val="00DE623A"/>
    <w:rPr>
      <w:color w:val="auto"/>
      <w:lang w:val="es-MX"/>
    </w:rPr>
  </w:style>
  <w:style w:type="paragraph" w:customStyle="1" w:styleId="Seccion">
    <w:name w:val="Seccion"/>
    <w:basedOn w:val="Default"/>
    <w:next w:val="Default"/>
    <w:uiPriority w:val="99"/>
    <w:rsid w:val="00DE623A"/>
    <w:rPr>
      <w:color w:val="auto"/>
      <w:lang w:val="es-MX"/>
    </w:rPr>
  </w:style>
  <w:style w:type="paragraph" w:customStyle="1" w:styleId="TituloTransitorios">
    <w:name w:val="TituloTransitorios"/>
    <w:basedOn w:val="Default"/>
    <w:next w:val="Default"/>
    <w:uiPriority w:val="99"/>
    <w:rsid w:val="00DE623A"/>
    <w:rPr>
      <w:color w:val="auto"/>
      <w:lang w:val="es-MX"/>
    </w:rPr>
  </w:style>
  <w:style w:type="paragraph" w:customStyle="1" w:styleId="ArtTransitorio">
    <w:name w:val="ArtTransitorio"/>
    <w:basedOn w:val="Default"/>
    <w:next w:val="Default"/>
    <w:uiPriority w:val="99"/>
    <w:rsid w:val="00DE623A"/>
    <w:rPr>
      <w:color w:val="auto"/>
      <w:lang w:val="es-MX"/>
    </w:rPr>
  </w:style>
  <w:style w:type="paragraph" w:customStyle="1" w:styleId="Style2">
    <w:name w:val="Style 2"/>
    <w:uiPriority w:val="99"/>
    <w:rsid w:val="00DE623A"/>
    <w:pPr>
      <w:widowControl w:val="0"/>
      <w:autoSpaceDE w:val="0"/>
      <w:autoSpaceDN w:val="0"/>
      <w:spacing w:before="288"/>
      <w:ind w:firstLine="2016"/>
      <w:jc w:val="both"/>
    </w:pPr>
    <w:rPr>
      <w:sz w:val="24"/>
      <w:szCs w:val="24"/>
      <w:lang w:val="en-US"/>
    </w:rPr>
  </w:style>
  <w:style w:type="paragraph" w:customStyle="1" w:styleId="Style3">
    <w:name w:val="Style 3"/>
    <w:uiPriority w:val="99"/>
    <w:rsid w:val="00DE623A"/>
    <w:pPr>
      <w:widowControl w:val="0"/>
      <w:autoSpaceDE w:val="0"/>
      <w:autoSpaceDN w:val="0"/>
      <w:spacing w:before="360"/>
      <w:ind w:left="144" w:firstLine="1872"/>
      <w:jc w:val="both"/>
    </w:pPr>
    <w:rPr>
      <w:sz w:val="24"/>
      <w:szCs w:val="24"/>
      <w:lang w:val="en-US"/>
    </w:rPr>
  </w:style>
  <w:style w:type="paragraph" w:customStyle="1" w:styleId="Style4">
    <w:name w:val="Style 4"/>
    <w:uiPriority w:val="99"/>
    <w:rsid w:val="00DE623A"/>
    <w:pPr>
      <w:widowControl w:val="0"/>
      <w:autoSpaceDE w:val="0"/>
      <w:autoSpaceDN w:val="0"/>
      <w:spacing w:before="72"/>
      <w:ind w:left="144" w:firstLine="1944"/>
      <w:jc w:val="both"/>
    </w:pPr>
    <w:rPr>
      <w:sz w:val="24"/>
      <w:szCs w:val="24"/>
      <w:lang w:val="en-US"/>
    </w:rPr>
  </w:style>
  <w:style w:type="paragraph" w:customStyle="1" w:styleId="Style5">
    <w:name w:val="Style 5"/>
    <w:uiPriority w:val="99"/>
    <w:rsid w:val="00DE623A"/>
    <w:pPr>
      <w:widowControl w:val="0"/>
      <w:autoSpaceDE w:val="0"/>
      <w:autoSpaceDN w:val="0"/>
      <w:spacing w:before="324"/>
      <w:ind w:firstLine="648"/>
      <w:jc w:val="both"/>
    </w:pPr>
    <w:rPr>
      <w:sz w:val="24"/>
      <w:szCs w:val="24"/>
      <w:lang w:val="en-US"/>
    </w:rPr>
  </w:style>
  <w:style w:type="paragraph" w:customStyle="1" w:styleId="Style6">
    <w:name w:val="Style 6"/>
    <w:uiPriority w:val="99"/>
    <w:rsid w:val="00DE623A"/>
    <w:pPr>
      <w:widowControl w:val="0"/>
      <w:autoSpaceDE w:val="0"/>
      <w:autoSpaceDN w:val="0"/>
      <w:spacing w:before="360" w:after="540"/>
      <w:jc w:val="both"/>
    </w:pPr>
    <w:rPr>
      <w:sz w:val="24"/>
      <w:szCs w:val="24"/>
      <w:lang w:val="en-US"/>
    </w:rPr>
  </w:style>
  <w:style w:type="character" w:customStyle="1" w:styleId="Textoindependiente2Car">
    <w:name w:val="Texto independiente 2 Car"/>
    <w:basedOn w:val="Fuentedeprrafopredeter"/>
    <w:link w:val="Textoindependiente2"/>
    <w:rsid w:val="00DE623A"/>
    <w:rPr>
      <w:rFonts w:ascii="Arial" w:hAnsi="Arial" w:cs="Arial"/>
      <w:i/>
      <w:iCs/>
      <w:noProof/>
      <w:sz w:val="22"/>
      <w:lang w:val="es-ES_tradnl" w:eastAsia="es-ES"/>
    </w:rPr>
  </w:style>
  <w:style w:type="character" w:customStyle="1" w:styleId="Textoindependiente3Car">
    <w:name w:val="Texto independiente 3 Car"/>
    <w:basedOn w:val="Fuentedeprrafopredeter"/>
    <w:link w:val="Textoindependiente3"/>
    <w:rsid w:val="00DE623A"/>
    <w:rPr>
      <w:rFonts w:ascii="Arial" w:hAnsi="Arial"/>
      <w:b/>
      <w:sz w:val="22"/>
      <w:szCs w:val="24"/>
      <w:lang w:val="es-ES" w:eastAsia="es-ES"/>
    </w:rPr>
  </w:style>
  <w:style w:type="character" w:customStyle="1" w:styleId="Sangra3detindependienteCar">
    <w:name w:val="Sangría 3 de t. independiente Car"/>
    <w:basedOn w:val="Fuentedeprrafopredeter"/>
    <w:link w:val="Sangra3detindependiente"/>
    <w:rsid w:val="00DE623A"/>
    <w:rPr>
      <w:rFonts w:ascii="Arial" w:hAnsi="Arial" w:cs="Arial"/>
      <w:sz w:val="24"/>
      <w:szCs w:val="24"/>
      <w:lang w:val="es-ES" w:eastAsia="es-ES"/>
    </w:rPr>
  </w:style>
  <w:style w:type="character" w:customStyle="1" w:styleId="Sangra2detindependienteCar">
    <w:name w:val="Sangría 2 de t. independiente Car"/>
    <w:basedOn w:val="Fuentedeprrafopredeter"/>
    <w:link w:val="Sangra2detindependiente"/>
    <w:rsid w:val="00DE623A"/>
    <w:rPr>
      <w:lang w:val="es-ES" w:eastAsia="es-ES"/>
    </w:rPr>
  </w:style>
  <w:style w:type="character" w:customStyle="1" w:styleId="TextocomentarioCar">
    <w:name w:val="Texto comentario Car"/>
    <w:basedOn w:val="Fuentedeprrafopredeter"/>
    <w:link w:val="Textocomentario"/>
    <w:uiPriority w:val="99"/>
    <w:rsid w:val="00DE623A"/>
    <w:rPr>
      <w:lang w:val="es-ES" w:eastAsia="es-ES"/>
    </w:rPr>
  </w:style>
  <w:style w:type="character" w:customStyle="1" w:styleId="AsuntodelcomentarioCar">
    <w:name w:val="Asunto del comentario Car"/>
    <w:basedOn w:val="TextocomentarioCar"/>
    <w:link w:val="Asuntodelcomentario"/>
    <w:uiPriority w:val="99"/>
    <w:rsid w:val="00DE623A"/>
    <w:rPr>
      <w:b/>
      <w:bCs/>
      <w:lang w:val="es-ES" w:eastAsia="es-ES"/>
    </w:rPr>
  </w:style>
  <w:style w:type="paragraph" w:customStyle="1" w:styleId="Textoindependiente21">
    <w:name w:val="Texto independiente 21"/>
    <w:basedOn w:val="Normal"/>
    <w:rsid w:val="00DE623A"/>
    <w:pPr>
      <w:tabs>
        <w:tab w:val="left" w:pos="0"/>
      </w:tabs>
      <w:overflowPunct w:val="0"/>
      <w:autoSpaceDE w:val="0"/>
      <w:autoSpaceDN w:val="0"/>
      <w:adjustRightInd w:val="0"/>
      <w:jc w:val="both"/>
    </w:pPr>
    <w:rPr>
      <w:szCs w:val="20"/>
    </w:rPr>
  </w:style>
  <w:style w:type="paragraph" w:customStyle="1" w:styleId="leyes">
    <w:name w:val="leyes"/>
    <w:basedOn w:val="Normal"/>
    <w:rsid w:val="00DE623A"/>
    <w:pPr>
      <w:spacing w:before="240" w:after="240"/>
      <w:ind w:firstLine="720"/>
      <w:jc w:val="both"/>
    </w:pPr>
    <w:rPr>
      <w:szCs w:val="20"/>
      <w:lang w:val="es-MX"/>
    </w:rPr>
  </w:style>
  <w:style w:type="character" w:customStyle="1" w:styleId="PuestoCar">
    <w:name w:val="Puesto Car"/>
    <w:uiPriority w:val="10"/>
    <w:rsid w:val="00DE623A"/>
    <w:rPr>
      <w:rFonts w:ascii="Calibri Light" w:hAnsi="Calibri Light" w:cs="Times New Roman"/>
      <w:b/>
      <w:bCs/>
      <w:kern w:val="28"/>
      <w:sz w:val="32"/>
      <w:szCs w:val="32"/>
      <w:lang w:val="es-ES" w:eastAsia="en-US"/>
    </w:rPr>
  </w:style>
  <w:style w:type="character" w:customStyle="1" w:styleId="apple-converted-space">
    <w:name w:val="apple-converted-space"/>
    <w:rsid w:val="00DE623A"/>
  </w:style>
  <w:style w:type="paragraph" w:customStyle="1" w:styleId="EstilotextoPrimeralnea0">
    <w:name w:val="Estilo texto + Primera línea:  0&quot;"/>
    <w:basedOn w:val="Normal"/>
    <w:rsid w:val="00DE623A"/>
    <w:pPr>
      <w:spacing w:after="101" w:line="216" w:lineRule="exact"/>
      <w:jc w:val="both"/>
    </w:pPr>
    <w:rPr>
      <w:rFonts w:ascii="Arial" w:hAnsi="Arial"/>
      <w:sz w:val="18"/>
      <w:szCs w:val="20"/>
      <w:lang w:val="es-MX" w:eastAsia="es-MX"/>
    </w:rPr>
  </w:style>
  <w:style w:type="character" w:customStyle="1" w:styleId="TextoCar">
    <w:name w:val="Texto Car"/>
    <w:link w:val="Texto"/>
    <w:locked/>
    <w:rsid w:val="00DE623A"/>
    <w:rPr>
      <w:rFonts w:ascii="Arial" w:hAnsi="Arial" w:cs="Arial"/>
      <w:sz w:val="18"/>
      <w:szCs w:val="18"/>
      <w:lang w:val="es-ES" w:eastAsia="es-ES"/>
    </w:rPr>
  </w:style>
  <w:style w:type="character" w:customStyle="1" w:styleId="ROMANOSCar">
    <w:name w:val="ROMANOS Car"/>
    <w:link w:val="ROMANOS"/>
    <w:locked/>
    <w:rsid w:val="00DE623A"/>
    <w:rPr>
      <w:rFonts w:ascii="Arial" w:hAnsi="Arial" w:cs="Arial"/>
      <w:sz w:val="18"/>
      <w:szCs w:val="18"/>
      <w:lang w:val="es-ES" w:eastAsia="es-ES"/>
    </w:rPr>
  </w:style>
  <w:style w:type="character" w:customStyle="1" w:styleId="ANOTACIONCar">
    <w:name w:val="ANOTACION Car"/>
    <w:link w:val="ANOTACION"/>
    <w:locked/>
    <w:rsid w:val="00DE623A"/>
    <w:rPr>
      <w:rFonts w:ascii="CG Palacio (WN)" w:hAnsi="CG Palacio (WN)"/>
      <w:b/>
      <w:sz w:val="18"/>
      <w:lang w:val="es-ES_tradnl" w:eastAsia="es-ES"/>
    </w:rPr>
  </w:style>
  <w:style w:type="paragraph" w:customStyle="1" w:styleId="BodyText21">
    <w:name w:val="Body Text 21"/>
    <w:basedOn w:val="Normal"/>
    <w:rsid w:val="00DE623A"/>
    <w:pPr>
      <w:widowControl w:val="0"/>
      <w:snapToGrid w:val="0"/>
      <w:jc w:val="both"/>
    </w:pPr>
    <w:rPr>
      <w:szCs w:val="20"/>
      <w:lang w:val="es-ES_tradnl"/>
    </w:rPr>
  </w:style>
  <w:style w:type="paragraph" w:customStyle="1" w:styleId="Sinespaciado4">
    <w:name w:val="Sin espaciado4"/>
    <w:rsid w:val="00DE623A"/>
    <w:rPr>
      <w:rFonts w:ascii="Calibri" w:hAnsi="Calibri"/>
      <w:sz w:val="22"/>
      <w:szCs w:val="22"/>
      <w:lang w:eastAsia="en-US"/>
    </w:rPr>
  </w:style>
  <w:style w:type="paragraph" w:customStyle="1" w:styleId="Body1">
    <w:name w:val="Body 1"/>
    <w:rsid w:val="00DE623A"/>
    <w:rPr>
      <w:rFonts w:ascii="Helvetica" w:eastAsia="ヒラギノ角ゴ Pro W3" w:hAnsi="Helvetica"/>
      <w:color w:val="000000"/>
      <w:sz w:val="24"/>
      <w:lang w:val="en-US"/>
    </w:rPr>
  </w:style>
  <w:style w:type="paragraph" w:customStyle="1" w:styleId="Sinespaciado2">
    <w:name w:val="Sin espaciado2"/>
    <w:rsid w:val="00DE623A"/>
    <w:rPr>
      <w:rFonts w:ascii="Calibri" w:hAnsi="Calibri"/>
      <w:sz w:val="22"/>
      <w:szCs w:val="22"/>
      <w:lang w:eastAsia="en-US"/>
    </w:rPr>
  </w:style>
  <w:style w:type="table" w:customStyle="1" w:styleId="Tablaconcuadrcula2">
    <w:name w:val="Tabla con cuadrícula2"/>
    <w:basedOn w:val="Tablanormal"/>
    <w:next w:val="Tablaconcuadrcula"/>
    <w:uiPriority w:val="59"/>
    <w:rsid w:val="00DE62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Car">
    <w:name w:val="Estilo Car"/>
    <w:link w:val="Estilo"/>
    <w:locked/>
    <w:rsid w:val="00DE623A"/>
    <w:rPr>
      <w:rFonts w:ascii="Arial" w:hAnsi="Arial" w:cs="Arial"/>
      <w:sz w:val="24"/>
    </w:rPr>
  </w:style>
  <w:style w:type="paragraph" w:customStyle="1" w:styleId="Estilo">
    <w:name w:val="Estilo"/>
    <w:basedOn w:val="Sinespaciado"/>
    <w:link w:val="EstiloCar"/>
    <w:qFormat/>
    <w:rsid w:val="00DE623A"/>
    <w:pPr>
      <w:jc w:val="both"/>
    </w:pPr>
    <w:rPr>
      <w:rFonts w:ascii="Arial" w:eastAsia="Times New Roman" w:hAnsi="Arial" w:cs="Arial"/>
      <w:sz w:val="24"/>
    </w:rPr>
  </w:style>
  <w:style w:type="character" w:customStyle="1" w:styleId="superscript">
    <w:name w:val="superscript"/>
    <w:basedOn w:val="Fuentedeprrafopredeter"/>
    <w:rsid w:val="00DE623A"/>
  </w:style>
  <w:style w:type="table" w:customStyle="1" w:styleId="TableNormal10">
    <w:name w:val="Table Normal10"/>
    <w:uiPriority w:val="2"/>
    <w:semiHidden/>
    <w:unhideWhenUsed/>
    <w:qFormat/>
    <w:rsid w:val="000134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F035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3">
    <w:name w:val="Tabla con cuadrícula3"/>
    <w:basedOn w:val="Tablanormal"/>
    <w:next w:val="Tablaconcuadrcula"/>
    <w:uiPriority w:val="59"/>
    <w:rsid w:val="003F03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0134E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B302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302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semiHidden/>
    <w:rsid w:val="00484F0F"/>
  </w:style>
  <w:style w:type="table" w:customStyle="1" w:styleId="TableNormal4">
    <w:name w:val="Table Normal4"/>
    <w:uiPriority w:val="2"/>
    <w:semiHidden/>
    <w:unhideWhenUsed/>
    <w:qFormat/>
    <w:rsid w:val="00F7725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5">
    <w:name w:val="Tabla con cuadrícula5"/>
    <w:basedOn w:val="Tablanormal"/>
    <w:next w:val="Tablaconcuadrcula"/>
    <w:uiPriority w:val="59"/>
    <w:rsid w:val="00F772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484F0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utocorreccin">
    <w:name w:val="Autocorrección"/>
    <w:rsid w:val="008F4A58"/>
    <w:rPr>
      <w:sz w:val="24"/>
      <w:szCs w:val="24"/>
      <w:lang w:val="es-ES" w:eastAsia="es-ES"/>
    </w:rPr>
  </w:style>
  <w:style w:type="paragraph" w:customStyle="1" w:styleId="Libro">
    <w:name w:val="Libro"/>
    <w:basedOn w:val="Normal"/>
    <w:next w:val="Normal"/>
    <w:autoRedefine/>
    <w:rsid w:val="008F4A58"/>
    <w:pPr>
      <w:jc w:val="both"/>
    </w:pPr>
    <w:rPr>
      <w:rFonts w:ascii="Arial" w:hAnsi="Arial" w:cs="Arial"/>
    </w:rPr>
  </w:style>
  <w:style w:type="paragraph" w:customStyle="1" w:styleId="Sinespaciado1">
    <w:name w:val="Sin espaciado1"/>
    <w:rsid w:val="008F4A58"/>
    <w:rPr>
      <w:rFonts w:ascii="Calibri" w:hAnsi="Calibri"/>
      <w:sz w:val="22"/>
      <w:szCs w:val="22"/>
      <w:lang w:val="es-ES" w:eastAsia="en-US"/>
    </w:rPr>
  </w:style>
  <w:style w:type="character" w:styleId="nfasis">
    <w:name w:val="Emphasis"/>
    <w:basedOn w:val="Fuentedeprrafopredeter"/>
    <w:qFormat/>
    <w:rsid w:val="008F4A58"/>
    <w:rPr>
      <w:i/>
      <w:iCs/>
    </w:rPr>
  </w:style>
  <w:style w:type="paragraph" w:customStyle="1" w:styleId="Normal1">
    <w:name w:val="Normal1"/>
    <w:rsid w:val="008F4A58"/>
    <w:pPr>
      <w:spacing w:line="276" w:lineRule="auto"/>
    </w:pPr>
    <w:rPr>
      <w:rFonts w:ascii="Arial" w:eastAsia="Arial" w:hAnsi="Arial" w:cs="Arial"/>
      <w:color w:val="000000"/>
      <w:sz w:val="22"/>
      <w:szCs w:val="22"/>
      <w:lang w:val="es-ES_tradnl" w:eastAsia="es-ES"/>
    </w:rPr>
  </w:style>
  <w:style w:type="character" w:customStyle="1" w:styleId="A0">
    <w:name w:val="A0"/>
    <w:uiPriority w:val="99"/>
    <w:rsid w:val="008F4A58"/>
    <w:rPr>
      <w:color w:val="211D1E"/>
      <w:sz w:val="18"/>
      <w:szCs w:val="18"/>
    </w:rPr>
  </w:style>
  <w:style w:type="table" w:customStyle="1" w:styleId="TableGrid">
    <w:name w:val="TableGrid"/>
    <w:rsid w:val="008F4A58"/>
    <w:rPr>
      <w:rFonts w:ascii="Calibri" w:hAnsi="Calibri"/>
      <w:sz w:val="22"/>
      <w:szCs w:val="22"/>
      <w:lang w:val="es-ES" w:eastAsia="es-ES"/>
    </w:rPr>
    <w:tblPr>
      <w:tblCellMar>
        <w:top w:w="0" w:type="dxa"/>
        <w:left w:w="0" w:type="dxa"/>
        <w:bottom w:w="0" w:type="dxa"/>
        <w:right w:w="0" w:type="dxa"/>
      </w:tblCellMar>
    </w:tblPr>
  </w:style>
  <w:style w:type="character" w:customStyle="1" w:styleId="s1">
    <w:name w:val="s1"/>
    <w:basedOn w:val="Fuentedeprrafopredeter"/>
    <w:rsid w:val="008F4A58"/>
  </w:style>
  <w:style w:type="paragraph" w:customStyle="1" w:styleId="Contenidodelatabla">
    <w:name w:val="Contenido de la tabla"/>
    <w:basedOn w:val="Normal"/>
    <w:rsid w:val="00FE3B93"/>
    <w:pPr>
      <w:widowControl w:val="0"/>
      <w:suppressLineNumbers/>
      <w:suppressAutoHyphens/>
      <w:spacing w:after="160" w:line="259" w:lineRule="auto"/>
    </w:pPr>
    <w:rPr>
      <w:rFonts w:eastAsia="DejaVu Sans" w:cs="DejaVu Sans"/>
      <w:kern w:val="1"/>
      <w:sz w:val="22"/>
      <w:lang w:val="es-MX" w:eastAsia="zh-CN" w:bidi="hi-IN"/>
    </w:rPr>
  </w:style>
  <w:style w:type="paragraph" w:customStyle="1" w:styleId="Textoindependiente22">
    <w:name w:val="Texto independiente 22"/>
    <w:basedOn w:val="Normal"/>
    <w:rsid w:val="00421154"/>
    <w:pPr>
      <w:tabs>
        <w:tab w:val="left" w:pos="0"/>
      </w:tabs>
      <w:overflowPunct w:val="0"/>
      <w:autoSpaceDE w:val="0"/>
      <w:autoSpaceDN w:val="0"/>
      <w:adjustRightInd w:val="0"/>
      <w:jc w:val="both"/>
    </w:pPr>
    <w:rPr>
      <w:szCs w:val="20"/>
    </w:rPr>
  </w:style>
  <w:style w:type="numbering" w:customStyle="1" w:styleId="Sinlista6">
    <w:name w:val="Sin lista6"/>
    <w:next w:val="Sinlista"/>
    <w:semiHidden/>
    <w:rsid w:val="009F0BE1"/>
  </w:style>
  <w:style w:type="table" w:customStyle="1" w:styleId="TableNormal5">
    <w:name w:val="Table Normal5"/>
    <w:uiPriority w:val="2"/>
    <w:semiHidden/>
    <w:unhideWhenUsed/>
    <w:qFormat/>
    <w:rsid w:val="009F0BE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7">
    <w:name w:val="Sin lista7"/>
    <w:next w:val="Sinlista"/>
    <w:semiHidden/>
    <w:rsid w:val="0089392A"/>
  </w:style>
  <w:style w:type="table" w:customStyle="1" w:styleId="TableNormal6">
    <w:name w:val="Table Normal6"/>
    <w:uiPriority w:val="2"/>
    <w:semiHidden/>
    <w:unhideWhenUsed/>
    <w:qFormat/>
    <w:rsid w:val="0089392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6">
    <w:name w:val="Tabla con cuadrícula6"/>
    <w:basedOn w:val="Tablanormal"/>
    <w:next w:val="Tablaconcuadrcula"/>
    <w:uiPriority w:val="39"/>
    <w:rsid w:val="0089392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27514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7">
    <w:name w:val="Tabla con cuadrícula7"/>
    <w:basedOn w:val="Tablanormal"/>
    <w:next w:val="Tablaconcuadrcula"/>
    <w:uiPriority w:val="39"/>
    <w:rsid w:val="0027514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uiPriority w:val="99"/>
    <w:semiHidden/>
    <w:rsid w:val="0027514C"/>
    <w:rPr>
      <w:color w:val="808080"/>
    </w:rPr>
  </w:style>
  <w:style w:type="table" w:customStyle="1" w:styleId="TableNormal8">
    <w:name w:val="Table Normal8"/>
    <w:uiPriority w:val="2"/>
    <w:semiHidden/>
    <w:unhideWhenUsed/>
    <w:qFormat/>
    <w:rsid w:val="00C159D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uiPriority w:val="39"/>
    <w:rsid w:val="00C159D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semiHidden/>
    <w:rsid w:val="006D2070"/>
  </w:style>
  <w:style w:type="table" w:customStyle="1" w:styleId="TableNormal9">
    <w:name w:val="Table Normal9"/>
    <w:uiPriority w:val="2"/>
    <w:semiHidden/>
    <w:unhideWhenUsed/>
    <w:qFormat/>
    <w:rsid w:val="006D207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6D207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616877"/>
    <w:pPr>
      <w:widowControl w:val="0"/>
      <w:autoSpaceDE w:val="0"/>
      <w:autoSpaceDN w:val="0"/>
      <w:adjustRightInd w:val="0"/>
    </w:pPr>
    <w:rPr>
      <w:rFonts w:ascii="Arial" w:hAnsi="Arial" w:cs="Arial"/>
      <w:sz w:val="24"/>
      <w:szCs w:val="24"/>
      <w:lang w:val="en-US" w:eastAsia="en-US"/>
    </w:rPr>
  </w:style>
  <w:style w:type="table" w:styleId="Sombreadoclaro-nfasis1">
    <w:name w:val="Light Shading Accent 1"/>
    <w:basedOn w:val="Tablanormal"/>
    <w:uiPriority w:val="60"/>
    <w:rsid w:val="00616877"/>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1">
    <w:name w:val="Tabla con cuadrícula11"/>
    <w:basedOn w:val="Tablanormal"/>
    <w:next w:val="Tablaconcuadrcula"/>
    <w:uiPriority w:val="39"/>
    <w:rsid w:val="006168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616877"/>
    <w:rPr>
      <w:lang w:val="es-ES_tradnl"/>
    </w:rPr>
  </w:style>
  <w:style w:type="paragraph" w:customStyle="1" w:styleId="Artculosinepgrafe">
    <w:name w:val="Artículo sin epígrafe"/>
    <w:rsid w:val="00616877"/>
    <w:pPr>
      <w:pBdr>
        <w:top w:val="nil"/>
        <w:left w:val="nil"/>
        <w:bottom w:val="nil"/>
        <w:right w:val="nil"/>
        <w:between w:val="nil"/>
        <w:bar w:val="nil"/>
      </w:pBdr>
      <w:spacing w:before="240" w:line="288" w:lineRule="auto"/>
      <w:jc w:val="both"/>
    </w:pPr>
    <w:rPr>
      <w:rFonts w:ascii="Between 1" w:eastAsia="Arial Unicode MS" w:hAnsi="Between 1" w:cs="Arial Unicode MS"/>
      <w:color w:val="4A4843"/>
      <w:sz w:val="22"/>
      <w:szCs w:val="22"/>
      <w:bdr w:val="nil"/>
      <w:lang w:val="es-ES_tradnl" w:eastAsia="es-ES_tradnl"/>
    </w:rPr>
  </w:style>
  <w:style w:type="numbering" w:customStyle="1" w:styleId="Sinlista3">
    <w:name w:val="Sin lista3"/>
    <w:next w:val="Sinlista"/>
    <w:semiHidden/>
    <w:rsid w:val="00B03B15"/>
  </w:style>
  <w:style w:type="table" w:customStyle="1" w:styleId="Tablaconcuadrcula12">
    <w:name w:val="Tabla con cuadrícula12"/>
    <w:basedOn w:val="Tablanormal"/>
    <w:next w:val="Tablaconcuadrcula"/>
    <w:uiPriority w:val="39"/>
    <w:rsid w:val="00B03B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semiHidden/>
    <w:rsid w:val="001D05E8"/>
  </w:style>
  <w:style w:type="numbering" w:customStyle="1" w:styleId="Sinlista5">
    <w:name w:val="Sin lista5"/>
    <w:next w:val="Sinlista"/>
    <w:semiHidden/>
    <w:unhideWhenUsed/>
    <w:rsid w:val="00C3155A"/>
  </w:style>
  <w:style w:type="paragraph" w:customStyle="1" w:styleId="Titulo1">
    <w:name w:val="Titulo 1"/>
    <w:basedOn w:val="Normal"/>
    <w:rsid w:val="00C3155A"/>
    <w:pPr>
      <w:pBdr>
        <w:bottom w:val="single" w:sz="12" w:space="1" w:color="auto"/>
      </w:pBdr>
      <w:spacing w:before="120"/>
      <w:jc w:val="both"/>
      <w:outlineLvl w:val="0"/>
    </w:pPr>
    <w:rPr>
      <w:b/>
      <w:sz w:val="18"/>
      <w:szCs w:val="18"/>
      <w:lang w:val="es-MX" w:eastAsia="es-MX"/>
    </w:rPr>
  </w:style>
  <w:style w:type="numbering" w:customStyle="1" w:styleId="Sinlista9">
    <w:name w:val="Sin lista9"/>
    <w:next w:val="Sinlista"/>
    <w:semiHidden/>
    <w:rsid w:val="001025BF"/>
  </w:style>
  <w:style w:type="numbering" w:customStyle="1" w:styleId="Sinlista10">
    <w:name w:val="Sin lista10"/>
    <w:next w:val="Sinlista"/>
    <w:semiHidden/>
    <w:rsid w:val="006B3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4701">
      <w:bodyDiv w:val="1"/>
      <w:marLeft w:val="0"/>
      <w:marRight w:val="0"/>
      <w:marTop w:val="0"/>
      <w:marBottom w:val="0"/>
      <w:divBdr>
        <w:top w:val="none" w:sz="0" w:space="0" w:color="auto"/>
        <w:left w:val="none" w:sz="0" w:space="0" w:color="auto"/>
        <w:bottom w:val="none" w:sz="0" w:space="0" w:color="auto"/>
        <w:right w:val="none" w:sz="0" w:space="0" w:color="auto"/>
      </w:divBdr>
    </w:div>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4075">
      <w:bodyDiv w:val="1"/>
      <w:marLeft w:val="0"/>
      <w:marRight w:val="0"/>
      <w:marTop w:val="0"/>
      <w:marBottom w:val="0"/>
      <w:divBdr>
        <w:top w:val="none" w:sz="0" w:space="0" w:color="auto"/>
        <w:left w:val="none" w:sz="0" w:space="0" w:color="auto"/>
        <w:bottom w:val="none" w:sz="0" w:space="0" w:color="auto"/>
        <w:right w:val="none" w:sz="0" w:space="0" w:color="auto"/>
      </w:divBdr>
    </w:div>
    <w:div w:id="86968985">
      <w:bodyDiv w:val="1"/>
      <w:marLeft w:val="0"/>
      <w:marRight w:val="0"/>
      <w:marTop w:val="0"/>
      <w:marBottom w:val="0"/>
      <w:divBdr>
        <w:top w:val="none" w:sz="0" w:space="0" w:color="auto"/>
        <w:left w:val="none" w:sz="0" w:space="0" w:color="auto"/>
        <w:bottom w:val="none" w:sz="0" w:space="0" w:color="auto"/>
        <w:right w:val="none" w:sz="0" w:space="0" w:color="auto"/>
      </w:divBdr>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6330">
      <w:bodyDiv w:val="1"/>
      <w:marLeft w:val="0"/>
      <w:marRight w:val="0"/>
      <w:marTop w:val="0"/>
      <w:marBottom w:val="0"/>
      <w:divBdr>
        <w:top w:val="none" w:sz="0" w:space="0" w:color="auto"/>
        <w:left w:val="none" w:sz="0" w:space="0" w:color="auto"/>
        <w:bottom w:val="none" w:sz="0" w:space="0" w:color="auto"/>
        <w:right w:val="none" w:sz="0" w:space="0" w:color="auto"/>
      </w:divBdr>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08156295">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78188">
      <w:bodyDiv w:val="1"/>
      <w:marLeft w:val="0"/>
      <w:marRight w:val="0"/>
      <w:marTop w:val="0"/>
      <w:marBottom w:val="0"/>
      <w:divBdr>
        <w:top w:val="none" w:sz="0" w:space="0" w:color="auto"/>
        <w:left w:val="none" w:sz="0" w:space="0" w:color="auto"/>
        <w:bottom w:val="none" w:sz="0" w:space="0" w:color="auto"/>
        <w:right w:val="none" w:sz="0" w:space="0" w:color="auto"/>
      </w:divBdr>
    </w:div>
    <w:div w:id="34729605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93977970">
      <w:bodyDiv w:val="1"/>
      <w:marLeft w:val="0"/>
      <w:marRight w:val="0"/>
      <w:marTop w:val="0"/>
      <w:marBottom w:val="0"/>
      <w:divBdr>
        <w:top w:val="none" w:sz="0" w:space="0" w:color="auto"/>
        <w:left w:val="none" w:sz="0" w:space="0" w:color="auto"/>
        <w:bottom w:val="none" w:sz="0" w:space="0" w:color="auto"/>
        <w:right w:val="none" w:sz="0" w:space="0" w:color="auto"/>
      </w:divBdr>
    </w:div>
    <w:div w:id="601492985">
      <w:bodyDiv w:val="1"/>
      <w:marLeft w:val="0"/>
      <w:marRight w:val="0"/>
      <w:marTop w:val="0"/>
      <w:marBottom w:val="0"/>
      <w:divBdr>
        <w:top w:val="none" w:sz="0" w:space="0" w:color="auto"/>
        <w:left w:val="none" w:sz="0" w:space="0" w:color="auto"/>
        <w:bottom w:val="none" w:sz="0" w:space="0" w:color="auto"/>
        <w:right w:val="none" w:sz="0" w:space="0" w:color="auto"/>
      </w:divBdr>
    </w:div>
    <w:div w:id="626350324">
      <w:bodyDiv w:val="1"/>
      <w:marLeft w:val="0"/>
      <w:marRight w:val="0"/>
      <w:marTop w:val="0"/>
      <w:marBottom w:val="0"/>
      <w:divBdr>
        <w:top w:val="none" w:sz="0" w:space="0" w:color="auto"/>
        <w:left w:val="none" w:sz="0" w:space="0" w:color="auto"/>
        <w:bottom w:val="none" w:sz="0" w:space="0" w:color="auto"/>
        <w:right w:val="none" w:sz="0" w:space="0" w:color="auto"/>
      </w:divBdr>
    </w:div>
    <w:div w:id="633950648">
      <w:bodyDiv w:val="1"/>
      <w:marLeft w:val="0"/>
      <w:marRight w:val="0"/>
      <w:marTop w:val="0"/>
      <w:marBottom w:val="0"/>
      <w:divBdr>
        <w:top w:val="none" w:sz="0" w:space="0" w:color="auto"/>
        <w:left w:val="none" w:sz="0" w:space="0" w:color="auto"/>
        <w:bottom w:val="none" w:sz="0" w:space="0" w:color="auto"/>
        <w:right w:val="none" w:sz="0" w:space="0" w:color="auto"/>
      </w:divBdr>
    </w:div>
    <w:div w:id="687953362">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29166">
      <w:bodyDiv w:val="1"/>
      <w:marLeft w:val="0"/>
      <w:marRight w:val="0"/>
      <w:marTop w:val="0"/>
      <w:marBottom w:val="0"/>
      <w:divBdr>
        <w:top w:val="none" w:sz="0" w:space="0" w:color="auto"/>
        <w:left w:val="none" w:sz="0" w:space="0" w:color="auto"/>
        <w:bottom w:val="none" w:sz="0" w:space="0" w:color="auto"/>
        <w:right w:val="none" w:sz="0" w:space="0" w:color="auto"/>
      </w:divBdr>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60344">
      <w:bodyDiv w:val="1"/>
      <w:marLeft w:val="0"/>
      <w:marRight w:val="0"/>
      <w:marTop w:val="0"/>
      <w:marBottom w:val="0"/>
      <w:divBdr>
        <w:top w:val="none" w:sz="0" w:space="0" w:color="auto"/>
        <w:left w:val="none" w:sz="0" w:space="0" w:color="auto"/>
        <w:bottom w:val="none" w:sz="0" w:space="0" w:color="auto"/>
        <w:right w:val="none" w:sz="0" w:space="0" w:color="auto"/>
      </w:divBdr>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49069">
      <w:bodyDiv w:val="1"/>
      <w:marLeft w:val="0"/>
      <w:marRight w:val="0"/>
      <w:marTop w:val="0"/>
      <w:marBottom w:val="0"/>
      <w:divBdr>
        <w:top w:val="none" w:sz="0" w:space="0" w:color="auto"/>
        <w:left w:val="none" w:sz="0" w:space="0" w:color="auto"/>
        <w:bottom w:val="none" w:sz="0" w:space="0" w:color="auto"/>
        <w:right w:val="none" w:sz="0" w:space="0" w:color="auto"/>
      </w:divBdr>
    </w:div>
    <w:div w:id="995885930">
      <w:bodyDiv w:val="1"/>
      <w:marLeft w:val="0"/>
      <w:marRight w:val="0"/>
      <w:marTop w:val="0"/>
      <w:marBottom w:val="0"/>
      <w:divBdr>
        <w:top w:val="none" w:sz="0" w:space="0" w:color="auto"/>
        <w:left w:val="none" w:sz="0" w:space="0" w:color="auto"/>
        <w:bottom w:val="none" w:sz="0" w:space="0" w:color="auto"/>
        <w:right w:val="none" w:sz="0" w:space="0" w:color="auto"/>
      </w:divBdr>
    </w:div>
    <w:div w:id="1021781268">
      <w:bodyDiv w:val="1"/>
      <w:marLeft w:val="0"/>
      <w:marRight w:val="0"/>
      <w:marTop w:val="0"/>
      <w:marBottom w:val="0"/>
      <w:divBdr>
        <w:top w:val="none" w:sz="0" w:space="0" w:color="auto"/>
        <w:left w:val="none" w:sz="0" w:space="0" w:color="auto"/>
        <w:bottom w:val="none" w:sz="0" w:space="0" w:color="auto"/>
        <w:right w:val="none" w:sz="0" w:space="0" w:color="auto"/>
      </w:divBdr>
    </w:div>
    <w:div w:id="1062800169">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14984598">
      <w:bodyDiv w:val="1"/>
      <w:marLeft w:val="0"/>
      <w:marRight w:val="0"/>
      <w:marTop w:val="0"/>
      <w:marBottom w:val="0"/>
      <w:divBdr>
        <w:top w:val="none" w:sz="0" w:space="0" w:color="auto"/>
        <w:left w:val="none" w:sz="0" w:space="0" w:color="auto"/>
        <w:bottom w:val="none" w:sz="0" w:space="0" w:color="auto"/>
        <w:right w:val="none" w:sz="0" w:space="0" w:color="auto"/>
      </w:divBdr>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390498291">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424733">
      <w:bodyDiv w:val="1"/>
      <w:marLeft w:val="0"/>
      <w:marRight w:val="0"/>
      <w:marTop w:val="0"/>
      <w:marBottom w:val="0"/>
      <w:divBdr>
        <w:top w:val="none" w:sz="0" w:space="0" w:color="auto"/>
        <w:left w:val="none" w:sz="0" w:space="0" w:color="auto"/>
        <w:bottom w:val="none" w:sz="0" w:space="0" w:color="auto"/>
        <w:right w:val="none" w:sz="0" w:space="0" w:color="auto"/>
      </w:divBdr>
    </w:div>
    <w:div w:id="1741362180">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1488">
      <w:bodyDiv w:val="1"/>
      <w:marLeft w:val="0"/>
      <w:marRight w:val="0"/>
      <w:marTop w:val="0"/>
      <w:marBottom w:val="0"/>
      <w:divBdr>
        <w:top w:val="none" w:sz="0" w:space="0" w:color="auto"/>
        <w:left w:val="none" w:sz="0" w:space="0" w:color="auto"/>
        <w:bottom w:val="none" w:sz="0" w:space="0" w:color="auto"/>
        <w:right w:val="none" w:sz="0" w:space="0" w:color="auto"/>
      </w:divBdr>
    </w:div>
    <w:div w:id="1960795836">
      <w:bodyDiv w:val="1"/>
      <w:marLeft w:val="0"/>
      <w:marRight w:val="0"/>
      <w:marTop w:val="0"/>
      <w:marBottom w:val="0"/>
      <w:divBdr>
        <w:top w:val="none" w:sz="0" w:space="0" w:color="auto"/>
        <w:left w:val="none" w:sz="0" w:space="0" w:color="auto"/>
        <w:bottom w:val="none" w:sz="0" w:space="0" w:color="auto"/>
        <w:right w:val="none" w:sz="0" w:space="0" w:color="auto"/>
      </w:divBdr>
    </w:div>
    <w:div w:id="2055999111">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www.inafed.gob.mx/work/enciclopedia/EMM11guanajuato/municipios/11009a.html" TargetMode="External"/><Relationship Id="rId34" Type="http://schemas.openxmlformats.org/officeDocument/2006/relationships/image" Target="media/image15.png"/><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chart" Target="charts/chart1.xml"/><Relationship Id="rId55" Type="http://schemas.openxmlformats.org/officeDocument/2006/relationships/image" Target="media/image34.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hyperlink" Target="http://www.inafed.gob.mx/work/enciclopedia/EMM11guanajuato/municipios/11004a.html"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image" Target="media/image26.png"/><Relationship Id="rId53" Type="http://schemas.openxmlformats.org/officeDocument/2006/relationships/image" Target="media/image32.emf"/><Relationship Id="rId58"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hyperlink" Target="http://www.inafed.gob.mx/work/enciclopedia/EMM11guanajuato/municipios/11003a.html" TargetMode="External"/><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www.inafed.gob.mx/work/enciclopedia/EMM11guanajuato/municipios/11007a.html"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emf"/><Relationship Id="rId59" Type="http://schemas.openxmlformats.org/officeDocument/2006/relationships/image" Target="media/image38.png"/><Relationship Id="rId20" Type="http://schemas.openxmlformats.org/officeDocument/2006/relationships/image" Target="media/image6.png"/><Relationship Id="rId41" Type="http://schemas.openxmlformats.org/officeDocument/2006/relationships/image" Target="media/image22.emf"/><Relationship Id="rId54" Type="http://schemas.openxmlformats.org/officeDocument/2006/relationships/image" Target="media/image33.emf"/><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e-local.gob.mx/enciclo/queretaro/index.html" TargetMode="External"/><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emf"/><Relationship Id="rId52" Type="http://schemas.openxmlformats.org/officeDocument/2006/relationships/hyperlink" Target="https://peb.guanajuato.gob.mx/Busquedas/Programas" TargetMode="External"/><Relationship Id="rId60"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oas.org/juridico/spanish/tratados/a-" TargetMode="External"/><Relationship Id="rId3" Type="http://schemas.openxmlformats.org/officeDocument/2006/relationships/hyperlink" Target="https://4toinformeds.guanajuato.gob.mx" TargetMode="External"/><Relationship Id="rId7" Type="http://schemas.openxmlformats.org/officeDocument/2006/relationships/hyperlink" Target="http://www.oas.org/es/cidh/expresion/docs/informes/anuales/2014_04_22_ia_2013_esp_final_web.pdf" TargetMode="External"/><Relationship Id="rId2" Type="http://schemas.openxmlformats.org/officeDocument/2006/relationships/hyperlink" Target="https://congresogto.s3.amazonaws.com/uploads/reforma/pdf/3050/20181010.pdf" TargetMode="External"/><Relationship Id="rId1" Type="http://schemas.openxmlformats.org/officeDocument/2006/relationships/hyperlink" Target="https://onuhabitath.org.mx/index.php/tendancias-del-desarrollo-urbano-en-mexico" TargetMode="External"/><Relationship Id="rId6" Type="http://schemas.openxmlformats.org/officeDocument/2006/relationships/hyperlink" Target="https://portal.fgeguanajuato.gob.mx/PortalWebEstatal/Transparencia/respuestas/respuestas.aspx" TargetMode="External"/><Relationship Id="rId5" Type="http://schemas.openxmlformats.org/officeDocument/2006/relationships/hyperlink" Target="https://portal.fgeguanajuato.gob.mx/PortalWebEstatal/PersonasDesaparecidas/Hallazgos/index.aspx" TargetMode="External"/><Relationship Id="rId10" Type="http://schemas.openxmlformats.org/officeDocument/2006/relationships/hyperlink" Target="https://iacip-gto.org.mx/wn/gastos-de-comunicacion-social-y-publicidad/" TargetMode="External"/><Relationship Id="rId4" Type="http://schemas.openxmlformats.org/officeDocument/2006/relationships/hyperlink" Target="https://www.youtube.com/watch?v=L0hkFQjA-eg" TargetMode="External"/><Relationship Id="rId9" Type="http://schemas.openxmlformats.org/officeDocument/2006/relationships/hyperlink" Target="https://www.aseg.gob.mx/documentacion/4530_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aalopez\AppData\Local\Temp\Rar$DIa19960.5954\Evoluci&#243;n%20de%20pobreza%20y%20pobreza%20extrema%20nacional%20y%20entidades%202018-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24310925621519E-2"/>
          <c:y val="3.6632673015212038E-2"/>
          <c:w val="0.90141791519339209"/>
          <c:h val="0.70483484543885289"/>
        </c:manualLayout>
      </c:layout>
      <c:barChart>
        <c:barDir val="col"/>
        <c:grouping val="clustered"/>
        <c:varyColors val="0"/>
        <c:ser>
          <c:idx val="0"/>
          <c:order val="0"/>
          <c:spPr>
            <a:solidFill>
              <a:srgbClr val="7030A0"/>
            </a:solidFill>
            <a:ln>
              <a:noFill/>
            </a:ln>
            <a:effectLst/>
          </c:spPr>
          <c:invertIfNegative val="0"/>
          <c:dPt>
            <c:idx val="0"/>
            <c:invertIfNegative val="0"/>
            <c:bubble3D val="0"/>
            <c:spPr>
              <a:solidFill>
                <a:srgbClr val="6BA42C"/>
              </a:solidFill>
              <a:ln>
                <a:noFill/>
              </a:ln>
              <a:effectLst/>
            </c:spPr>
            <c:extLst>
              <c:ext xmlns:c16="http://schemas.microsoft.com/office/drawing/2014/chart" uri="{C3380CC4-5D6E-409C-BE32-E72D297353CC}">
                <c16:uniqueId val="{00000001-835D-474E-95E4-C2FDD72F3C6F}"/>
              </c:ext>
            </c:extLst>
          </c:dPt>
          <c:dPt>
            <c:idx val="1"/>
            <c:invertIfNegative val="0"/>
            <c:bubble3D val="0"/>
            <c:spPr>
              <a:solidFill>
                <a:srgbClr val="7CBF33"/>
              </a:solidFill>
              <a:ln>
                <a:noFill/>
              </a:ln>
              <a:effectLst/>
            </c:spPr>
            <c:extLst>
              <c:ext xmlns:c16="http://schemas.microsoft.com/office/drawing/2014/chart" uri="{C3380CC4-5D6E-409C-BE32-E72D297353CC}">
                <c16:uniqueId val="{00000003-835D-474E-95E4-C2FDD72F3C6F}"/>
              </c:ext>
            </c:extLst>
          </c:dPt>
          <c:dPt>
            <c:idx val="2"/>
            <c:invertIfNegative val="0"/>
            <c:bubble3D val="0"/>
            <c:spPr>
              <a:solidFill>
                <a:srgbClr val="7CBF33"/>
              </a:solidFill>
              <a:ln>
                <a:noFill/>
              </a:ln>
              <a:effectLst/>
            </c:spPr>
            <c:extLst>
              <c:ext xmlns:c16="http://schemas.microsoft.com/office/drawing/2014/chart" uri="{C3380CC4-5D6E-409C-BE32-E72D297353CC}">
                <c16:uniqueId val="{00000005-835D-474E-95E4-C2FDD72F3C6F}"/>
              </c:ext>
            </c:extLst>
          </c:dPt>
          <c:dPt>
            <c:idx val="3"/>
            <c:invertIfNegative val="0"/>
            <c:bubble3D val="0"/>
            <c:spPr>
              <a:solidFill>
                <a:srgbClr val="92D050"/>
              </a:solidFill>
              <a:ln>
                <a:noFill/>
              </a:ln>
              <a:effectLst/>
            </c:spPr>
            <c:extLst>
              <c:ext xmlns:c16="http://schemas.microsoft.com/office/drawing/2014/chart" uri="{C3380CC4-5D6E-409C-BE32-E72D297353CC}">
                <c16:uniqueId val="{00000007-835D-474E-95E4-C2FDD72F3C6F}"/>
              </c:ext>
            </c:extLst>
          </c:dPt>
          <c:dPt>
            <c:idx val="4"/>
            <c:invertIfNegative val="0"/>
            <c:bubble3D val="0"/>
            <c:spPr>
              <a:solidFill>
                <a:srgbClr val="92D050"/>
              </a:solidFill>
              <a:ln>
                <a:noFill/>
              </a:ln>
              <a:effectLst/>
            </c:spPr>
            <c:extLst>
              <c:ext xmlns:c16="http://schemas.microsoft.com/office/drawing/2014/chart" uri="{C3380CC4-5D6E-409C-BE32-E72D297353CC}">
                <c16:uniqueId val="{00000009-835D-474E-95E4-C2FDD72F3C6F}"/>
              </c:ext>
            </c:extLst>
          </c:dPt>
          <c:dPt>
            <c:idx val="5"/>
            <c:invertIfNegative val="0"/>
            <c:bubble3D val="0"/>
            <c:spPr>
              <a:solidFill>
                <a:srgbClr val="92D050"/>
              </a:solidFill>
              <a:ln>
                <a:noFill/>
              </a:ln>
              <a:effectLst/>
            </c:spPr>
            <c:extLst>
              <c:ext xmlns:c16="http://schemas.microsoft.com/office/drawing/2014/chart" uri="{C3380CC4-5D6E-409C-BE32-E72D297353CC}">
                <c16:uniqueId val="{0000000B-835D-474E-95E4-C2FDD72F3C6F}"/>
              </c:ext>
            </c:extLst>
          </c:dPt>
          <c:dPt>
            <c:idx val="6"/>
            <c:invertIfNegative val="0"/>
            <c:bubble3D val="0"/>
            <c:spPr>
              <a:solidFill>
                <a:srgbClr val="92D050"/>
              </a:solidFill>
              <a:ln>
                <a:noFill/>
              </a:ln>
              <a:effectLst/>
            </c:spPr>
            <c:extLst>
              <c:ext xmlns:c16="http://schemas.microsoft.com/office/drawing/2014/chart" uri="{C3380CC4-5D6E-409C-BE32-E72D297353CC}">
                <c16:uniqueId val="{0000000D-835D-474E-95E4-C2FDD72F3C6F}"/>
              </c:ext>
            </c:extLst>
          </c:dPt>
          <c:dPt>
            <c:idx val="7"/>
            <c:invertIfNegative val="0"/>
            <c:bubble3D val="0"/>
            <c:spPr>
              <a:solidFill>
                <a:srgbClr val="92D050"/>
              </a:solidFill>
              <a:ln>
                <a:noFill/>
              </a:ln>
              <a:effectLst/>
            </c:spPr>
            <c:extLst>
              <c:ext xmlns:c16="http://schemas.microsoft.com/office/drawing/2014/chart" uri="{C3380CC4-5D6E-409C-BE32-E72D297353CC}">
                <c16:uniqueId val="{0000000F-835D-474E-95E4-C2FDD72F3C6F}"/>
              </c:ext>
            </c:extLst>
          </c:dPt>
          <c:dPt>
            <c:idx val="8"/>
            <c:invertIfNegative val="0"/>
            <c:bubble3D val="0"/>
            <c:spPr>
              <a:solidFill>
                <a:srgbClr val="92D050"/>
              </a:solidFill>
              <a:ln>
                <a:noFill/>
              </a:ln>
              <a:effectLst/>
            </c:spPr>
            <c:extLst>
              <c:ext xmlns:c16="http://schemas.microsoft.com/office/drawing/2014/chart" uri="{C3380CC4-5D6E-409C-BE32-E72D297353CC}">
                <c16:uniqueId val="{00000011-835D-474E-95E4-C2FDD72F3C6F}"/>
              </c:ext>
            </c:extLst>
          </c:dPt>
          <c:dPt>
            <c:idx val="9"/>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13-835D-474E-95E4-C2FDD72F3C6F}"/>
              </c:ext>
            </c:extLst>
          </c:dPt>
          <c:dPt>
            <c:idx val="1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15-835D-474E-95E4-C2FDD72F3C6F}"/>
              </c:ext>
            </c:extLst>
          </c:dPt>
          <c:dPt>
            <c:idx val="1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17-835D-474E-95E4-C2FDD72F3C6F}"/>
              </c:ext>
            </c:extLst>
          </c:dPt>
          <c:dPt>
            <c:idx val="14"/>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19-835D-474E-95E4-C2FDD72F3C6F}"/>
              </c:ext>
            </c:extLst>
          </c:dPt>
          <c:dPt>
            <c:idx val="15"/>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1B-835D-474E-95E4-C2FDD72F3C6F}"/>
              </c:ext>
            </c:extLst>
          </c:dPt>
          <c:dPt>
            <c:idx val="16"/>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1D-835D-474E-95E4-C2FDD72F3C6F}"/>
              </c:ext>
            </c:extLst>
          </c:dPt>
          <c:dPt>
            <c:idx val="17"/>
            <c:invertIfNegative val="0"/>
            <c:bubble3D val="0"/>
            <c:spPr>
              <a:solidFill>
                <a:schemeClr val="accent5"/>
              </a:solidFill>
              <a:ln>
                <a:noFill/>
              </a:ln>
              <a:effectLst/>
            </c:spPr>
            <c:extLst>
              <c:ext xmlns:c16="http://schemas.microsoft.com/office/drawing/2014/chart" uri="{C3380CC4-5D6E-409C-BE32-E72D297353CC}">
                <c16:uniqueId val="{0000001F-835D-474E-95E4-C2FDD72F3C6F}"/>
              </c:ext>
            </c:extLst>
          </c:dPt>
          <c:dPt>
            <c:idx val="18"/>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21-835D-474E-95E4-C2FDD72F3C6F}"/>
              </c:ext>
            </c:extLst>
          </c:dPt>
          <c:dPt>
            <c:idx val="19"/>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23-835D-474E-95E4-C2FDD72F3C6F}"/>
              </c:ext>
            </c:extLst>
          </c:dPt>
          <c:dPt>
            <c:idx val="2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25-835D-474E-95E4-C2FDD72F3C6F}"/>
              </c:ext>
            </c:extLst>
          </c:dPt>
          <c:dPt>
            <c:idx val="2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27-835D-474E-95E4-C2FDD72F3C6F}"/>
              </c:ext>
            </c:extLst>
          </c:dPt>
          <c:dPt>
            <c:idx val="22"/>
            <c:invertIfNegative val="0"/>
            <c:bubble3D val="0"/>
            <c:spPr>
              <a:solidFill>
                <a:srgbClr val="FFCD2F"/>
              </a:solidFill>
              <a:ln>
                <a:noFill/>
              </a:ln>
              <a:effectLst/>
            </c:spPr>
            <c:extLst>
              <c:ext xmlns:c16="http://schemas.microsoft.com/office/drawing/2014/chart" uri="{C3380CC4-5D6E-409C-BE32-E72D297353CC}">
                <c16:uniqueId val="{00000029-835D-474E-95E4-C2FDD72F3C6F}"/>
              </c:ext>
            </c:extLst>
          </c:dPt>
          <c:dPt>
            <c:idx val="23"/>
            <c:invertIfNegative val="0"/>
            <c:bubble3D val="0"/>
            <c:spPr>
              <a:solidFill>
                <a:srgbClr val="FFCD2F"/>
              </a:solidFill>
              <a:ln>
                <a:noFill/>
              </a:ln>
              <a:effectLst/>
            </c:spPr>
            <c:extLst>
              <c:ext xmlns:c16="http://schemas.microsoft.com/office/drawing/2014/chart" uri="{C3380CC4-5D6E-409C-BE32-E72D297353CC}">
                <c16:uniqueId val="{0000002B-835D-474E-95E4-C2FDD72F3C6F}"/>
              </c:ext>
            </c:extLst>
          </c:dPt>
          <c:dPt>
            <c:idx val="24"/>
            <c:invertIfNegative val="0"/>
            <c:bubble3D val="0"/>
            <c:spPr>
              <a:solidFill>
                <a:srgbClr val="FFCD2F"/>
              </a:solidFill>
              <a:ln>
                <a:noFill/>
              </a:ln>
              <a:effectLst/>
            </c:spPr>
            <c:extLst>
              <c:ext xmlns:c16="http://schemas.microsoft.com/office/drawing/2014/chart" uri="{C3380CC4-5D6E-409C-BE32-E72D297353CC}">
                <c16:uniqueId val="{0000002D-835D-474E-95E4-C2FDD72F3C6F}"/>
              </c:ext>
            </c:extLst>
          </c:dPt>
          <c:dPt>
            <c:idx val="25"/>
            <c:invertIfNegative val="0"/>
            <c:bubble3D val="0"/>
            <c:spPr>
              <a:solidFill>
                <a:srgbClr val="FFCD2F"/>
              </a:solidFill>
              <a:ln>
                <a:noFill/>
              </a:ln>
              <a:effectLst/>
            </c:spPr>
            <c:extLst>
              <c:ext xmlns:c16="http://schemas.microsoft.com/office/drawing/2014/chart" uri="{C3380CC4-5D6E-409C-BE32-E72D297353CC}">
                <c16:uniqueId val="{0000002F-835D-474E-95E4-C2FDD72F3C6F}"/>
              </c:ext>
            </c:extLst>
          </c:dPt>
          <c:dPt>
            <c:idx val="26"/>
            <c:invertIfNegative val="0"/>
            <c:bubble3D val="0"/>
            <c:spPr>
              <a:solidFill>
                <a:srgbClr val="FFCD2F"/>
              </a:solidFill>
              <a:ln>
                <a:noFill/>
              </a:ln>
              <a:effectLst/>
            </c:spPr>
            <c:extLst>
              <c:ext xmlns:c16="http://schemas.microsoft.com/office/drawing/2014/chart" uri="{C3380CC4-5D6E-409C-BE32-E72D297353CC}">
                <c16:uniqueId val="{00000031-835D-474E-95E4-C2FDD72F3C6F}"/>
              </c:ext>
            </c:extLst>
          </c:dPt>
          <c:dPt>
            <c:idx val="27"/>
            <c:invertIfNegative val="0"/>
            <c:bubble3D val="0"/>
            <c:spPr>
              <a:solidFill>
                <a:srgbClr val="FFCD2F"/>
              </a:solidFill>
              <a:ln>
                <a:noFill/>
              </a:ln>
              <a:effectLst/>
            </c:spPr>
            <c:extLst>
              <c:ext xmlns:c16="http://schemas.microsoft.com/office/drawing/2014/chart" uri="{C3380CC4-5D6E-409C-BE32-E72D297353CC}">
                <c16:uniqueId val="{00000033-835D-474E-95E4-C2FDD72F3C6F}"/>
              </c:ext>
            </c:extLst>
          </c:dPt>
          <c:dPt>
            <c:idx val="28"/>
            <c:invertIfNegative val="0"/>
            <c:bubble3D val="0"/>
            <c:spPr>
              <a:solidFill>
                <a:schemeClr val="accent4"/>
              </a:solidFill>
              <a:ln>
                <a:noFill/>
              </a:ln>
              <a:effectLst/>
            </c:spPr>
            <c:extLst>
              <c:ext xmlns:c16="http://schemas.microsoft.com/office/drawing/2014/chart" uri="{C3380CC4-5D6E-409C-BE32-E72D297353CC}">
                <c16:uniqueId val="{00000035-835D-474E-95E4-C2FDD72F3C6F}"/>
              </c:ext>
            </c:extLst>
          </c:dPt>
          <c:dPt>
            <c:idx val="29"/>
            <c:invertIfNegative val="0"/>
            <c:bubble3D val="0"/>
            <c:spPr>
              <a:solidFill>
                <a:schemeClr val="accent4"/>
              </a:solidFill>
              <a:ln>
                <a:noFill/>
              </a:ln>
              <a:effectLst/>
            </c:spPr>
            <c:extLst>
              <c:ext xmlns:c16="http://schemas.microsoft.com/office/drawing/2014/chart" uri="{C3380CC4-5D6E-409C-BE32-E72D297353CC}">
                <c16:uniqueId val="{00000037-835D-474E-95E4-C2FDD72F3C6F}"/>
              </c:ext>
            </c:extLst>
          </c:dPt>
          <c:dPt>
            <c:idx val="30"/>
            <c:invertIfNegative val="0"/>
            <c:bubble3D val="0"/>
            <c:spPr>
              <a:solidFill>
                <a:schemeClr val="accent4"/>
              </a:solidFill>
              <a:ln>
                <a:noFill/>
              </a:ln>
              <a:effectLst/>
            </c:spPr>
            <c:extLst>
              <c:ext xmlns:c16="http://schemas.microsoft.com/office/drawing/2014/chart" uri="{C3380CC4-5D6E-409C-BE32-E72D297353CC}">
                <c16:uniqueId val="{00000039-835D-474E-95E4-C2FDD72F3C6F}"/>
              </c:ext>
            </c:extLst>
          </c:dPt>
          <c:dPt>
            <c:idx val="31"/>
            <c:invertIfNegative val="0"/>
            <c:bubble3D val="0"/>
            <c:spPr>
              <a:solidFill>
                <a:srgbClr val="EEB500"/>
              </a:solidFill>
              <a:ln>
                <a:noFill/>
              </a:ln>
              <a:effectLst/>
            </c:spPr>
            <c:extLst>
              <c:ext xmlns:c16="http://schemas.microsoft.com/office/drawing/2014/chart" uri="{C3380CC4-5D6E-409C-BE32-E72D297353CC}">
                <c16:uniqueId val="{0000003B-835D-474E-95E4-C2FDD72F3C6F}"/>
              </c:ext>
            </c:extLst>
          </c:dPt>
          <c:dPt>
            <c:idx val="32"/>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3D-835D-474E-95E4-C2FDD72F3C6F}"/>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5D-474E-95E4-C2FDD72F3C6F}"/>
                </c:ext>
              </c:extLst>
            </c:dLbl>
            <c:dLbl>
              <c:idx val="17"/>
              <c:layout>
                <c:manualLayout>
                  <c:x val="0"/>
                  <c:y val="3.5733428622476329E-3"/>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835D-474E-95E4-C2FDD72F3C6F}"/>
                </c:ext>
              </c:extLst>
            </c:dLbl>
            <c:dLbl>
              <c:idx val="3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835D-474E-95E4-C2FDD72F3C6F}"/>
                </c:ext>
              </c:extLst>
            </c:dLbl>
            <c:dLbl>
              <c:idx val="3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835D-474E-95E4-C2FDD72F3C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Hoja1!$A$2:$A$34</c:f>
              <c:strCache>
                <c:ptCount val="33"/>
                <c:pt idx="0">
                  <c:v>Nayarit</c:v>
                </c:pt>
                <c:pt idx="1">
                  <c:v>Colima</c:v>
                </c:pt>
                <c:pt idx="2">
                  <c:v>Zacatecas</c:v>
                </c:pt>
                <c:pt idx="3">
                  <c:v>Sinaloa</c:v>
                </c:pt>
                <c:pt idx="4">
                  <c:v>Oaxaca</c:v>
                </c:pt>
                <c:pt idx="5">
                  <c:v>Chiapas</c:v>
                </c:pt>
                <c:pt idx="6">
                  <c:v>Tabasco</c:v>
                </c:pt>
                <c:pt idx="7">
                  <c:v>Michoacán</c:v>
                </c:pt>
                <c:pt idx="8">
                  <c:v>Veracruz</c:v>
                </c:pt>
                <c:pt idx="9">
                  <c:v>Guerrero</c:v>
                </c:pt>
                <c:pt idx="10">
                  <c:v>Chihuahua</c:v>
                </c:pt>
                <c:pt idx="11">
                  <c:v>Baja California</c:v>
                </c:pt>
                <c:pt idx="12">
                  <c:v>Durango</c:v>
                </c:pt>
                <c:pt idx="13">
                  <c:v>Coahuila</c:v>
                </c:pt>
                <c:pt idx="14">
                  <c:v>Tamaulipas</c:v>
                </c:pt>
                <c:pt idx="15">
                  <c:v>San Luis Potosí</c:v>
                </c:pt>
                <c:pt idx="16">
                  <c:v>Hidalgo</c:v>
                </c:pt>
                <c:pt idx="17">
                  <c:v>Guanajuato</c:v>
                </c:pt>
                <c:pt idx="18">
                  <c:v>Aguascalientes</c:v>
                </c:pt>
                <c:pt idx="19">
                  <c:v>Campeche</c:v>
                </c:pt>
                <c:pt idx="20">
                  <c:v>Morelos</c:v>
                </c:pt>
                <c:pt idx="21">
                  <c:v>Ciudad de México</c:v>
                </c:pt>
                <c:pt idx="22">
                  <c:v>Sonora</c:v>
                </c:pt>
                <c:pt idx="23">
                  <c:v>Jalisco</c:v>
                </c:pt>
                <c:pt idx="24">
                  <c:v>Puebla</c:v>
                </c:pt>
                <c:pt idx="25">
                  <c:v>Nuevo León</c:v>
                </c:pt>
                <c:pt idx="26">
                  <c:v>Querétaro</c:v>
                </c:pt>
                <c:pt idx="27">
                  <c:v>Yucatán</c:v>
                </c:pt>
                <c:pt idx="28">
                  <c:v>México</c:v>
                </c:pt>
                <c:pt idx="29">
                  <c:v>Tlaxcala</c:v>
                </c:pt>
                <c:pt idx="30">
                  <c:v>Baja California Sur</c:v>
                </c:pt>
                <c:pt idx="31">
                  <c:v>Quintana Roo</c:v>
                </c:pt>
                <c:pt idx="32">
                  <c:v>Nacional (EUM)</c:v>
                </c:pt>
              </c:strCache>
            </c:strRef>
          </c:cat>
          <c:val>
            <c:numRef>
              <c:f>Hoja1!$D$2:$D$34</c:f>
              <c:numCache>
                <c:formatCode>#,##0.0</c:formatCode>
                <c:ptCount val="33"/>
                <c:pt idx="0">
                  <c:v>-5.315099</c:v>
                </c:pt>
                <c:pt idx="1">
                  <c:v>-3.7172230000000006</c:v>
                </c:pt>
                <c:pt idx="2">
                  <c:v>-3.4613879999999995</c:v>
                </c:pt>
                <c:pt idx="3">
                  <c:v>-2.9128599999999985</c:v>
                </c:pt>
                <c:pt idx="4">
                  <c:v>-2.6717110000000019</c:v>
                </c:pt>
                <c:pt idx="5">
                  <c:v>-2.5037280000000095</c:v>
                </c:pt>
                <c:pt idx="6">
                  <c:v>-1.8735779999999949</c:v>
                </c:pt>
                <c:pt idx="7">
                  <c:v>-1.702221999999999</c:v>
                </c:pt>
                <c:pt idx="8">
                  <c:v>-1.5521829999999994</c:v>
                </c:pt>
                <c:pt idx="9">
                  <c:v>-1.4843079999999986</c:v>
                </c:pt>
                <c:pt idx="10">
                  <c:v>-1.3377939999999988</c:v>
                </c:pt>
                <c:pt idx="11">
                  <c:v>-1.0885700000000007</c:v>
                </c:pt>
                <c:pt idx="12">
                  <c:v>-9.5495999999997139E-2</c:v>
                </c:pt>
                <c:pt idx="13">
                  <c:v>0.10933600000000254</c:v>
                </c:pt>
                <c:pt idx="14">
                  <c:v>0.39562999999999704</c:v>
                </c:pt>
                <c:pt idx="15">
                  <c:v>0.77798400000000356</c:v>
                </c:pt>
                <c:pt idx="16">
                  <c:v>0.88108399999999421</c:v>
                </c:pt>
                <c:pt idx="17">
                  <c:v>1.254259999999995</c:v>
                </c:pt>
                <c:pt idx="18">
                  <c:v>1.3612850000000023</c:v>
                </c:pt>
                <c:pt idx="19">
                  <c:v>1.5848510000000005</c:v>
                </c:pt>
                <c:pt idx="20">
                  <c:v>2.4016449999999949</c:v>
                </c:pt>
                <c:pt idx="21">
                  <c:v>2.6366649999999971</c:v>
                </c:pt>
                <c:pt idx="22">
                  <c:v>3.2600039999999986</c:v>
                </c:pt>
                <c:pt idx="23">
                  <c:v>3.6140019999999993</c:v>
                </c:pt>
                <c:pt idx="24">
                  <c:v>4.4226579999999984</c:v>
                </c:pt>
                <c:pt idx="25">
                  <c:v>4.9471340000000019</c:v>
                </c:pt>
                <c:pt idx="26">
                  <c:v>4.951826999999998</c:v>
                </c:pt>
                <c:pt idx="27">
                  <c:v>5.4555959999999999</c:v>
                </c:pt>
                <c:pt idx="28">
                  <c:v>7.0900669999999977</c:v>
                </c:pt>
                <c:pt idx="29">
                  <c:v>8.3219989999999981</c:v>
                </c:pt>
                <c:pt idx="30">
                  <c:v>9.0300599999999989</c:v>
                </c:pt>
                <c:pt idx="31">
                  <c:v>17.288229000000001</c:v>
                </c:pt>
                <c:pt idx="32">
                  <c:v>2.0054440000000042</c:v>
                </c:pt>
              </c:numCache>
            </c:numRef>
          </c:val>
          <c:extLst>
            <c:ext xmlns:c16="http://schemas.microsoft.com/office/drawing/2014/chart" uri="{C3380CC4-5D6E-409C-BE32-E72D297353CC}">
              <c16:uniqueId val="{0000003E-835D-474E-95E4-C2FDD72F3C6F}"/>
            </c:ext>
          </c:extLst>
        </c:ser>
        <c:dLbls>
          <c:showLegendKey val="0"/>
          <c:showVal val="0"/>
          <c:showCatName val="0"/>
          <c:showSerName val="0"/>
          <c:showPercent val="0"/>
          <c:showBubbleSize val="0"/>
        </c:dLbls>
        <c:gapWidth val="50"/>
        <c:overlap val="-27"/>
        <c:axId val="1985099232"/>
        <c:axId val="1985099776"/>
      </c:barChart>
      <c:catAx>
        <c:axId val="19850992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985099776"/>
        <c:crosses val="autoZero"/>
        <c:auto val="1"/>
        <c:lblAlgn val="ctr"/>
        <c:lblOffset val="100"/>
        <c:tickLblSkip val="1"/>
        <c:noMultiLvlLbl val="0"/>
      </c:catAx>
      <c:valAx>
        <c:axId val="19850997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85099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0.07342</cdr:x>
      <cdr:y>0.46087</cdr:y>
    </cdr:from>
    <cdr:to>
      <cdr:x>0.97941</cdr:x>
      <cdr:y>0.46087</cdr:y>
    </cdr:to>
    <cdr:cxnSp macro="">
      <cdr:nvCxnSpPr>
        <cdr:cNvPr id="3" name="Conector recto 2"/>
        <cdr:cNvCxnSpPr/>
      </cdr:nvCxnSpPr>
      <cdr:spPr>
        <a:xfrm xmlns:a="http://schemas.openxmlformats.org/drawingml/2006/main" flipH="1">
          <a:off x="421414" y="1637976"/>
          <a:ext cx="5200169" cy="0"/>
        </a:xfrm>
        <a:prstGeom xmlns:a="http://schemas.openxmlformats.org/drawingml/2006/main" prst="line">
          <a:avLst/>
        </a:prstGeom>
        <a:ln xmlns:a="http://schemas.openxmlformats.org/drawingml/2006/main">
          <a:solidFill>
            <a:schemeClr val="tx1">
              <a:lumMod val="75000"/>
              <a:lumOff val="25000"/>
              <a:alpha val="6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7826-Identity-H">
    <w:altName w:val="Calibri"/>
    <w:panose1 w:val="00000000000000000000"/>
    <w:charset w:val="00"/>
    <w:family w:val="auto"/>
    <w:notTrueType/>
    <w:pitch w:val="default"/>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G Palacio (W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DejaVu Sans">
    <w:altName w:val="Times New Roman"/>
    <w:charset w:val="80"/>
    <w:family w:val="auto"/>
    <w:pitch w:val="variable"/>
  </w:font>
  <w:font w:name="Between 1">
    <w:altName w:val="Calibri"/>
    <w:panose1 w:val="00000000000000000000"/>
    <w:charset w:val="00"/>
    <w:family w:val="swiss"/>
    <w:notTrueType/>
    <w:pitch w:val="variable"/>
    <w:sig w:usb0="A0000067" w:usb1="00000001"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Bahnschrift SemiBold Condensed">
    <w:panose1 w:val="020B0502040204020203"/>
    <w:charset w:val="00"/>
    <w:family w:val="swiss"/>
    <w:pitch w:val="variable"/>
    <w:sig w:usb0="A00002C7" w:usb1="00000002" w:usb2="00000000" w:usb3="00000000" w:csb0="0000019F" w:csb1="00000000"/>
  </w:font>
  <w:font w:name="Aharoni">
    <w:charset w:val="B1"/>
    <w:family w:val="auto"/>
    <w:pitch w:val="variable"/>
    <w:sig w:usb0="00000803" w:usb1="00000000" w:usb2="00000000" w:usb3="00000000" w:csb0="00000021" w:csb1="00000000"/>
  </w:font>
  <w:font w:name="Baskerville Old Face">
    <w:panose1 w:val="02020602080505020303"/>
    <w:charset w:val="00"/>
    <w:family w:val="roman"/>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Bold-10104-Identity-H">
    <w:altName w:val="Calibri"/>
    <w:panose1 w:val="00000000000000000000"/>
    <w:charset w:val="00"/>
    <w:family w:val="auto"/>
    <w:notTrueType/>
    <w:pitch w:val="default"/>
    <w:sig w:usb0="00000003" w:usb1="00000000" w:usb2="00000000" w:usb3="00000000" w:csb0="00000001" w:csb1="00000000"/>
  </w:font>
  <w:font w:name="*Courier New-Bold-10109-Identit">
    <w:altName w:val="Calibri"/>
    <w:panose1 w:val="00000000000000000000"/>
    <w:charset w:val="00"/>
    <w:family w:val="auto"/>
    <w:notTrueType/>
    <w:pitch w:val="default"/>
    <w:sig w:usb0="00000003" w:usb1="00000000" w:usb2="00000000" w:usb3="00000000" w:csb0="00000001" w:csb1="00000000"/>
  </w:font>
  <w:font w:name="*Arial-10103-Identity-H">
    <w:altName w:val="Calibri"/>
    <w:panose1 w:val="00000000000000000000"/>
    <w:charset w:val="00"/>
    <w:family w:val="auto"/>
    <w:notTrueType/>
    <w:pitch w:val="default"/>
    <w:sig w:usb0="00000003" w:usb1="00000000" w:usb2="00000000" w:usb3="00000000" w:csb0="00000001" w:csb1="00000000"/>
  </w:font>
  <w:font w:name="*Minion Pro-Bold-10112-Identity">
    <w:altName w:val="Calibri"/>
    <w:panose1 w:val="00000000000000000000"/>
    <w:charset w:val="00"/>
    <w:family w:val="auto"/>
    <w:notTrueType/>
    <w:pitch w:val="default"/>
    <w:sig w:usb0="00000003" w:usb1="00000000" w:usb2="00000000" w:usb3="00000000" w:csb0="00000001" w:csb1="00000000"/>
  </w:font>
  <w:font w:name="*Arial-10107-Identity-H">
    <w:altName w:val="Calibri"/>
    <w:panose1 w:val="00000000000000000000"/>
    <w:charset w:val="00"/>
    <w:family w:val="auto"/>
    <w:notTrueType/>
    <w:pitch w:val="default"/>
    <w:sig w:usb0="00000003" w:usb1="00000000" w:usb2="00000000" w:usb3="00000000" w:csb0="00000001" w:csb1="00000000"/>
  </w:font>
  <w:font w:name="*Arial-BoldItalic-10106-Identit">
    <w:altName w:val="Calibri"/>
    <w:panose1 w:val="00000000000000000000"/>
    <w:charset w:val="00"/>
    <w:family w:val="auto"/>
    <w:notTrueType/>
    <w:pitch w:val="default"/>
    <w:sig w:usb0="00000003" w:usb1="00000000" w:usb2="00000000" w:usb3="00000000" w:csb0="00000001" w:csb1="00000000"/>
  </w:font>
  <w:font w:name="*Arial-BoldItalic-10105-Identit">
    <w:altName w:val="Calibri"/>
    <w:panose1 w:val="00000000000000000000"/>
    <w:charset w:val="00"/>
    <w:family w:val="auto"/>
    <w:notTrueType/>
    <w:pitch w:val="default"/>
    <w:sig w:usb0="00000003" w:usb1="00000000" w:usb2="00000000" w:usb3="00000000" w:csb0="00000001" w:csb1="00000000"/>
  </w:font>
  <w:font w:name="*Arial-8158-Identity-H">
    <w:altName w:val="Calibri"/>
    <w:panose1 w:val="00000000000000000000"/>
    <w:charset w:val="00"/>
    <w:family w:val="auto"/>
    <w:notTrueType/>
    <w:pitch w:val="default"/>
    <w:sig w:usb0="00000003" w:usb1="00000000" w:usb2="00000000" w:usb3="00000000" w:csb0="00000001" w:csb1="00000000"/>
  </w:font>
  <w:font w:name="*Arial-10373-Identity-H">
    <w:altName w:val="Calibri"/>
    <w:panose1 w:val="00000000000000000000"/>
    <w:charset w:val="00"/>
    <w:family w:val="auto"/>
    <w:notTrueType/>
    <w:pitch w:val="default"/>
    <w:sig w:usb0="00000003" w:usb1="00000000" w:usb2="00000000" w:usb3="00000000" w:csb0="00000001" w:csb1="00000000"/>
  </w:font>
  <w:font w:name="*Arial-10371-Identity-H">
    <w:altName w:val="Calibri"/>
    <w:panose1 w:val="00000000000000000000"/>
    <w:charset w:val="00"/>
    <w:family w:val="auto"/>
    <w:notTrueType/>
    <w:pitch w:val="default"/>
    <w:sig w:usb0="00000003" w:usb1="00000000" w:usb2="00000000" w:usb3="00000000" w:csb0="00000001" w:csb1="00000000"/>
  </w:font>
  <w:font w:name="*Comic Sans MS-Italic-10375-Ide">
    <w:altName w:val="Calibri"/>
    <w:panose1 w:val="00000000000000000000"/>
    <w:charset w:val="00"/>
    <w:family w:val="auto"/>
    <w:notTrueType/>
    <w:pitch w:val="default"/>
    <w:sig w:usb0="00000003" w:usb1="00000000" w:usb2="00000000" w:usb3="00000000" w:csb0="00000001" w:csb1="00000000"/>
  </w:font>
  <w:font w:name="*Calibri-10366-Identity-H">
    <w:altName w:val="Calibri"/>
    <w:panose1 w:val="00000000000000000000"/>
    <w:charset w:val="00"/>
    <w:family w:val="auto"/>
    <w:notTrueType/>
    <w:pitch w:val="default"/>
    <w:sig w:usb0="00000003" w:usb1="00000000" w:usb2="00000000" w:usb3="00000000" w:csb0="00000001" w:csb1="00000000"/>
  </w:font>
  <w:font w:name="*Calibri-Italic-10367-Identity-">
    <w:altName w:val="Calibri"/>
    <w:panose1 w:val="00000000000000000000"/>
    <w:charset w:val="00"/>
    <w:family w:val="auto"/>
    <w:notTrueType/>
    <w:pitch w:val="default"/>
    <w:sig w:usb0="00000003" w:usb1="00000000" w:usb2="00000000" w:usb3="00000000" w:csb0="00000001" w:csb1="00000000"/>
  </w:font>
  <w:font w:name="*Times New Roman-Italic-10363-I">
    <w:altName w:val="Calibri"/>
    <w:panose1 w:val="00000000000000000000"/>
    <w:charset w:val="00"/>
    <w:family w:val="auto"/>
    <w:notTrueType/>
    <w:pitch w:val="default"/>
    <w:sig w:usb0="00000003" w:usb1="00000000" w:usb2="00000000" w:usb3="00000000" w:csb0="00000001" w:csb1="00000000"/>
  </w:font>
  <w:font w:name="*Arial-Italic-10372-Identity-H">
    <w:altName w:val="Calibri"/>
    <w:panose1 w:val="00000000000000000000"/>
    <w:charset w:val="00"/>
    <w:family w:val="auto"/>
    <w:notTrueType/>
    <w:pitch w:val="default"/>
    <w:sig w:usb0="00000003" w:usb1="00000000" w:usb2="00000000" w:usb3="00000000" w:csb0="00000001" w:csb1="00000000"/>
  </w:font>
  <w:font w:name="*Arial-9124-Identity-H">
    <w:altName w:val="Calibri"/>
    <w:panose1 w:val="00000000000000000000"/>
    <w:charset w:val="00"/>
    <w:family w:val="auto"/>
    <w:notTrueType/>
    <w:pitch w:val="default"/>
    <w:sig w:usb0="00000003" w:usb1="00000000" w:usb2="00000000" w:usb3="00000000" w:csb0="00000001" w:csb1="00000000"/>
  </w:font>
  <w:font w:name="*Arial-9125-Identity-H">
    <w:altName w:val="Calibri"/>
    <w:panose1 w:val="00000000000000000000"/>
    <w:charset w:val="00"/>
    <w:family w:val="auto"/>
    <w:notTrueType/>
    <w:pitch w:val="default"/>
    <w:sig w:usb0="00000003" w:usb1="00000000" w:usb2="00000000" w:usb3="00000000" w:csb0="00000001" w:csb1="00000000"/>
  </w:font>
  <w:font w:name="*Arial-Italic-9126-Identity-H">
    <w:altName w:val="Calibri"/>
    <w:panose1 w:val="00000000000000000000"/>
    <w:charset w:val="00"/>
    <w:family w:val="auto"/>
    <w:notTrueType/>
    <w:pitch w:val="default"/>
    <w:sig w:usb0="00000003" w:usb1="00000000" w:usb2="00000000" w:usb3="00000000" w:csb0="00000001" w:csb1="00000000"/>
  </w:font>
  <w:font w:name="*Calibri-9119-Identity-H">
    <w:altName w:val="Calibri"/>
    <w:panose1 w:val="00000000000000000000"/>
    <w:charset w:val="00"/>
    <w:family w:val="auto"/>
    <w:notTrueType/>
    <w:pitch w:val="default"/>
    <w:sig w:usb0="00000003" w:usb1="00000000" w:usb2="00000000" w:usb3="00000000" w:csb0="00000001" w:csb1="00000000"/>
  </w:font>
  <w:font w:name="*Arial-5502-Identity-H">
    <w:altName w:val="Calibri"/>
    <w:panose1 w:val="00000000000000000000"/>
    <w:charset w:val="00"/>
    <w:family w:val="auto"/>
    <w:notTrueType/>
    <w:pitch w:val="default"/>
    <w:sig w:usb0="00000003" w:usb1="00000000" w:usb2="00000000" w:usb3="00000000" w:csb0="00000001" w:csb1="00000000"/>
  </w:font>
  <w:font w:name="*Arial-6379-Identity-H">
    <w:altName w:val="Calibri"/>
    <w:panose1 w:val="00000000000000000000"/>
    <w:charset w:val="00"/>
    <w:family w:val="auto"/>
    <w:notTrueType/>
    <w:pitch w:val="default"/>
    <w:sig w:usb0="00000003" w:usb1="00000000" w:usb2="00000000" w:usb3="00000000" w:csb0="00000001" w:csb1="00000000"/>
  </w:font>
  <w:font w:name="*Arial-7104-Identity-H">
    <w:altName w:val="Calibri"/>
    <w:panose1 w:val="00000000000000000000"/>
    <w:charset w:val="00"/>
    <w:family w:val="auto"/>
    <w:notTrueType/>
    <w:pitch w:val="default"/>
    <w:sig w:usb0="00000003" w:usb1="00000000" w:usb2="00000000" w:usb3="00000000" w:csb0="00000001" w:csb1="00000000"/>
  </w:font>
  <w:font w:name="*Arial-7668-Identity-H">
    <w:altName w:val="Calibri"/>
    <w:panose1 w:val="00000000000000000000"/>
    <w:charset w:val="00"/>
    <w:family w:val="auto"/>
    <w:notTrueType/>
    <w:pitch w:val="default"/>
    <w:sig w:usb0="00000003" w:usb1="00000000" w:usb2="00000000" w:usb3="00000000" w:csb0="00000001" w:csb1="00000000"/>
  </w:font>
  <w:font w:name="*Arial-Italic-7667-Identity-H">
    <w:altName w:val="Calibri"/>
    <w:panose1 w:val="00000000000000000000"/>
    <w:charset w:val="00"/>
    <w:family w:val="auto"/>
    <w:notTrueType/>
    <w:pitch w:val="default"/>
    <w:sig w:usb0="00000003" w:usb1="00000000" w:usb2="00000000" w:usb3="00000000" w:csb0="00000001" w:csb1="00000000"/>
  </w:font>
  <w:font w:name="*Calibri-Italic-7369-Identity-H">
    <w:altName w:val="Calibri"/>
    <w:panose1 w:val="00000000000000000000"/>
    <w:charset w:val="00"/>
    <w:family w:val="auto"/>
    <w:notTrueType/>
    <w:pitch w:val="default"/>
    <w:sig w:usb0="00000003" w:usb1="00000000" w:usb2="00000000" w:usb3="00000000" w:csb0="00000001" w:csb1="00000000"/>
  </w:font>
  <w:font w:name="*Times New Roman-Italic-7367-Id">
    <w:altName w:val="Calibri"/>
    <w:panose1 w:val="00000000000000000000"/>
    <w:charset w:val="00"/>
    <w:family w:val="auto"/>
    <w:notTrueType/>
    <w:pitch w:val="default"/>
    <w:sig w:usb0="00000003" w:usb1="00000000" w:usb2="00000000" w:usb3="00000000" w:csb0="00000001" w:csb1="00000000"/>
  </w:font>
  <w:font w:name="*Arial-Italic-7374-Identity-H">
    <w:altName w:val="Calibri"/>
    <w:panose1 w:val="00000000000000000000"/>
    <w:charset w:val="00"/>
    <w:family w:val="auto"/>
    <w:notTrueType/>
    <w:pitch w:val="default"/>
    <w:sig w:usb0="00000003" w:usb1="00000000" w:usb2="00000000" w:usb3="00000000" w:csb0="00000001" w:csb1="00000000"/>
  </w:font>
  <w:font w:name="*Arial-Italic-7373-Identity-H">
    <w:altName w:val="Calibri"/>
    <w:panose1 w:val="00000000000000000000"/>
    <w:charset w:val="00"/>
    <w:family w:val="auto"/>
    <w:notTrueType/>
    <w:pitch w:val="default"/>
    <w:sig w:usb0="00000003" w:usb1="00000000" w:usb2="00000000" w:usb3="00000000" w:csb0="00000001" w:csb1="00000000"/>
  </w:font>
  <w:font w:name="*Tahoma-7378-Identity-H">
    <w:altName w:val="Calibri"/>
    <w:panose1 w:val="00000000000000000000"/>
    <w:charset w:val="00"/>
    <w:family w:val="auto"/>
    <w:notTrueType/>
    <w:pitch w:val="default"/>
    <w:sig w:usb0="00000003" w:usb1="00000000" w:usb2="00000000" w:usb3="00000000" w:csb0="00000001" w:csb1="00000000"/>
  </w:font>
  <w:font w:name="*Calibri-7368-Identity-H">
    <w:altName w:val="Calibri"/>
    <w:panose1 w:val="00000000000000000000"/>
    <w:charset w:val="00"/>
    <w:family w:val="auto"/>
    <w:notTrueType/>
    <w:pitch w:val="default"/>
    <w:sig w:usb0="00000003" w:usb1="00000000" w:usb2="00000000" w:usb3="00000000" w:csb0="00000001" w:csb1="00000000"/>
  </w:font>
  <w:font w:name="*Arial-7372-Identity-H">
    <w:altName w:val="Calibri"/>
    <w:panose1 w:val="00000000000000000000"/>
    <w:charset w:val="00"/>
    <w:family w:val="auto"/>
    <w:notTrueType/>
    <w:pitch w:val="default"/>
    <w:sig w:usb0="00000003" w:usb1="00000000" w:usb2="00000000" w:usb3="00000000" w:csb0="00000001" w:csb1="00000000"/>
  </w:font>
  <w:font w:name="*Arial-6740-Identity-H">
    <w:altName w:val="Calibri"/>
    <w:panose1 w:val="00000000000000000000"/>
    <w:charset w:val="00"/>
    <w:family w:val="auto"/>
    <w:notTrueType/>
    <w:pitch w:val="default"/>
    <w:sig w:usb0="00000003" w:usb1="00000000" w:usb2="00000000" w:usb3="00000000" w:csb0="00000001" w:csb1="00000000"/>
  </w:font>
  <w:font w:name="*Arial-9841-Identity-H">
    <w:altName w:val="Calibri"/>
    <w:panose1 w:val="00000000000000000000"/>
    <w:charset w:val="00"/>
    <w:family w:val="auto"/>
    <w:notTrueType/>
    <w:pitch w:val="default"/>
    <w:sig w:usb0="00000003" w:usb1="00000000" w:usb2="00000000" w:usb3="00000000" w:csb0="00000001" w:csb1="00000000"/>
  </w:font>
  <w:font w:name="*Arial-9842-Identity-H">
    <w:altName w:val="Calibri"/>
    <w:panose1 w:val="00000000000000000000"/>
    <w:charset w:val="00"/>
    <w:family w:val="auto"/>
    <w:notTrueType/>
    <w:pitch w:val="default"/>
    <w:sig w:usb0="00000003" w:usb1="00000000" w:usb2="00000000" w:usb3="00000000" w:csb0="00000001" w:csb1="00000000"/>
  </w:font>
  <w:font w:name="*Calibri-9838-Identity-H">
    <w:altName w:val="Calibri"/>
    <w:panose1 w:val="00000000000000000000"/>
    <w:charset w:val="00"/>
    <w:family w:val="auto"/>
    <w:notTrueType/>
    <w:pitch w:val="default"/>
    <w:sig w:usb0="00000003" w:usb1="00000000" w:usb2="00000000" w:usb3="00000000" w:csb0="00000001" w:csb1="00000000"/>
  </w:font>
  <w:font w:name="*Arial-6419-Identity-H">
    <w:altName w:val="Calibri"/>
    <w:panose1 w:val="00000000000000000000"/>
    <w:charset w:val="00"/>
    <w:family w:val="auto"/>
    <w:notTrueType/>
    <w:pitch w:val="default"/>
    <w:sig w:usb0="00000003" w:usb1="00000000" w:usb2="00000000" w:usb3="00000000" w:csb0="00000001" w:csb1="00000000"/>
  </w:font>
  <w:font w:name="*Times New Roman-8210-Identity-">
    <w:altName w:val="Calibri"/>
    <w:panose1 w:val="00000000000000000000"/>
    <w:charset w:val="00"/>
    <w:family w:val="auto"/>
    <w:notTrueType/>
    <w:pitch w:val="default"/>
    <w:sig w:usb0="00000003" w:usb1="00000000" w:usb2="00000000" w:usb3="00000000" w:csb0="00000001" w:csb1="00000000"/>
  </w:font>
  <w:font w:name="*Arial-8216-Identity-H">
    <w:altName w:val="Calibri"/>
    <w:panose1 w:val="00000000000000000000"/>
    <w:charset w:val="00"/>
    <w:family w:val="auto"/>
    <w:notTrueType/>
    <w:pitch w:val="default"/>
    <w:sig w:usb0="00000003" w:usb1="00000000" w:usb2="00000000" w:usb3="00000000" w:csb0="00000001" w:csb1="00000000"/>
  </w:font>
  <w:font w:name="*Calibri-8211-Identity-H">
    <w:altName w:val="Calibri"/>
    <w:panose1 w:val="00000000000000000000"/>
    <w:charset w:val="00"/>
    <w:family w:val="auto"/>
    <w:notTrueType/>
    <w:pitch w:val="default"/>
    <w:sig w:usb0="00000003" w:usb1="00000000" w:usb2="00000000" w:usb3="00000000" w:csb0="00000001" w:csb1="00000000"/>
  </w:font>
  <w:font w:name="*Comic Sans MS-Italic-8219-Iden">
    <w:altName w:val="Calibri"/>
    <w:panose1 w:val="00000000000000000000"/>
    <w:charset w:val="00"/>
    <w:family w:val="auto"/>
    <w:notTrueType/>
    <w:pitch w:val="default"/>
    <w:sig w:usb0="00000003" w:usb1="00000000" w:usb2="00000000" w:usb3="00000000" w:csb0="00000001" w:csb1="00000000"/>
  </w:font>
  <w:font w:name="*Arial-7868-Identity-H">
    <w:altName w:val="Calibri"/>
    <w:panose1 w:val="00000000000000000000"/>
    <w:charset w:val="00"/>
    <w:family w:val="auto"/>
    <w:notTrueType/>
    <w:pitch w:val="default"/>
    <w:sig w:usb0="00000003" w:usb1="00000000" w:usb2="00000000" w:usb3="00000000" w:csb0="00000001" w:csb1="00000000"/>
  </w:font>
  <w:font w:name="*Arial-Italic-7869-Identity-H">
    <w:altName w:val="Calibri"/>
    <w:panose1 w:val="00000000000000000000"/>
    <w:charset w:val="00"/>
    <w:family w:val="auto"/>
    <w:notTrueType/>
    <w:pitch w:val="default"/>
    <w:sig w:usb0="00000003" w:usb1="00000000" w:usb2="00000000" w:usb3="00000000" w:csb0="00000001" w:csb1="00000000"/>
  </w:font>
  <w:font w:name="*Times New Roman-7864-Identity-">
    <w:altName w:val="Calibri"/>
    <w:panose1 w:val="00000000000000000000"/>
    <w:charset w:val="00"/>
    <w:family w:val="auto"/>
    <w:notTrueType/>
    <w:pitch w:val="default"/>
    <w:sig w:usb0="00000003" w:usb1="00000000" w:usb2="00000000" w:usb3="00000000" w:csb0="00000001" w:csb1="00000000"/>
  </w:font>
  <w:font w:name="*Comic Sans MS-7871-Identity-H">
    <w:altName w:val="Calibri"/>
    <w:panose1 w:val="00000000000000000000"/>
    <w:charset w:val="00"/>
    <w:family w:val="auto"/>
    <w:notTrueType/>
    <w:pitch w:val="default"/>
    <w:sig w:usb0="00000003" w:usb1="00000000" w:usb2="00000000" w:usb3="00000000" w:csb0="00000001" w:csb1="00000000"/>
  </w:font>
  <w:font w:name="*Arial-6873-Identity-H">
    <w:altName w:val="Calibri"/>
    <w:panose1 w:val="00000000000000000000"/>
    <w:charset w:val="00"/>
    <w:family w:val="auto"/>
    <w:notTrueType/>
    <w:pitch w:val="default"/>
    <w:sig w:usb0="00000003" w:usb1="00000000" w:usb2="00000000" w:usb3="00000000" w:csb0="00000001" w:csb1="00000000"/>
  </w:font>
  <w:font w:name="*Arial-6874-Identity-H">
    <w:altName w:val="Calibri"/>
    <w:panose1 w:val="00000000000000000000"/>
    <w:charset w:val="00"/>
    <w:family w:val="auto"/>
    <w:notTrueType/>
    <w:pitch w:val="default"/>
    <w:sig w:usb0="00000003" w:usb1="00000000" w:usb2="00000000" w:usb3="00000000" w:csb0="00000001" w:csb1="00000000"/>
  </w:font>
  <w:font w:name="*Calibri-6869-Identity-H">
    <w:altName w:val="Calibri"/>
    <w:panose1 w:val="00000000000000000000"/>
    <w:charset w:val="00"/>
    <w:family w:val="auto"/>
    <w:notTrueType/>
    <w:pitch w:val="default"/>
    <w:sig w:usb0="00000003" w:usb1="00000000" w:usb2="00000000" w:usb3="00000000" w:csb0="00000001" w:csb1="00000000"/>
  </w:font>
  <w:font w:name="*Microsoft Sans Serif-BoldItali">
    <w:altName w:val="Calibri"/>
    <w:panose1 w:val="00000000000000000000"/>
    <w:charset w:val="00"/>
    <w:family w:val="auto"/>
    <w:notTrueType/>
    <w:pitch w:val="default"/>
    <w:sig w:usb0="00000003" w:usb1="00000000" w:usb2="00000000" w:usb3="00000000" w:csb0="00000001" w:csb1="00000000"/>
  </w:font>
  <w:font w:name="*Arial-BoldItalic-6432-Identity">
    <w:altName w:val="Calibri"/>
    <w:panose1 w:val="00000000000000000000"/>
    <w:charset w:val="00"/>
    <w:family w:val="auto"/>
    <w:notTrueType/>
    <w:pitch w:val="default"/>
    <w:sig w:usb0="00000003" w:usb1="00000000" w:usb2="00000000" w:usb3="00000000" w:csb0="00000001" w:csb1="00000000"/>
  </w:font>
  <w:font w:name="*Arial-6434-Identity-H">
    <w:altName w:val="Calibri"/>
    <w:panose1 w:val="00000000000000000000"/>
    <w:charset w:val="00"/>
    <w:family w:val="auto"/>
    <w:notTrueType/>
    <w:pitch w:val="default"/>
    <w:sig w:usb0="00000003" w:usb1="00000000" w:usb2="00000000" w:usb3="00000000" w:csb0="00000001" w:csb1="00000000"/>
  </w:font>
  <w:font w:name="*Arial-Italic-6433-Identity-H">
    <w:altName w:val="Calibri"/>
    <w:panose1 w:val="00000000000000000000"/>
    <w:charset w:val="00"/>
    <w:family w:val="auto"/>
    <w:notTrueType/>
    <w:pitch w:val="default"/>
    <w:sig w:usb0="00000003" w:usb1="00000000" w:usb2="00000000" w:usb3="00000000" w:csb0="00000001" w:csb1="00000000"/>
  </w:font>
  <w:font w:name="*Tahoma-Bold-6436-Identity-H">
    <w:altName w:val="Calibri"/>
    <w:panose1 w:val="00000000000000000000"/>
    <w:charset w:val="00"/>
    <w:family w:val="auto"/>
    <w:notTrueType/>
    <w:pitch w:val="default"/>
    <w:sig w:usb0="00000003" w:usb1="00000000" w:usb2="00000000" w:usb3="00000000" w:csb0="00000001" w:csb1="00000000"/>
  </w:font>
  <w:font w:name="*Calibri-Bold-6429-Identity-H">
    <w:altName w:val="Calibri"/>
    <w:panose1 w:val="00000000000000000000"/>
    <w:charset w:val="00"/>
    <w:family w:val="auto"/>
    <w:notTrueType/>
    <w:pitch w:val="default"/>
    <w:sig w:usb0="00000003" w:usb1="00000000" w:usb2="00000000" w:usb3="00000000" w:csb0="00000001" w:csb1="00000000"/>
  </w:font>
  <w:font w:name="*Arial-Bold-6080-Identity-H">
    <w:altName w:val="Calibri"/>
    <w:panose1 w:val="00000000000000000000"/>
    <w:charset w:val="00"/>
    <w:family w:val="auto"/>
    <w:notTrueType/>
    <w:pitch w:val="default"/>
    <w:sig w:usb0="00000003" w:usb1="00000000" w:usb2="00000000" w:usb3="00000000" w:csb0="00000001" w:csb1="00000000"/>
  </w:font>
  <w:font w:name="*Arial-BoldItalic-6078-Identity">
    <w:altName w:val="Calibri"/>
    <w:panose1 w:val="00000000000000000000"/>
    <w:charset w:val="00"/>
    <w:family w:val="auto"/>
    <w:notTrueType/>
    <w:pitch w:val="default"/>
    <w:sig w:usb0="00000003" w:usb1="00000000" w:usb2="00000000" w:usb3="00000000" w:csb0="00000001" w:csb1="00000000"/>
  </w:font>
  <w:font w:name="*Arial-Bold-6081-Identity-H">
    <w:altName w:val="Calibri"/>
    <w:panose1 w:val="00000000000000000000"/>
    <w:charset w:val="00"/>
    <w:family w:val="auto"/>
    <w:notTrueType/>
    <w:pitch w:val="default"/>
    <w:sig w:usb0="00000003" w:usb1="00000000" w:usb2="00000000" w:usb3="00000000" w:csb0="00000001" w:csb1="00000000"/>
  </w:font>
  <w:font w:name="*Arial-6079-Identity-H">
    <w:altName w:val="Calibri"/>
    <w:panose1 w:val="00000000000000000000"/>
    <w:charset w:val="00"/>
    <w:family w:val="auto"/>
    <w:notTrueType/>
    <w:pitch w:val="default"/>
    <w:sig w:usb0="00000003" w:usb1="00000000" w:usb2="00000000" w:usb3="00000000" w:csb0="00000001" w:csb1="00000000"/>
  </w:font>
  <w:font w:name="*Arial-BoldItalic-6082-Identity">
    <w:altName w:val="Calibri"/>
    <w:panose1 w:val="00000000000000000000"/>
    <w:charset w:val="00"/>
    <w:family w:val="auto"/>
    <w:notTrueType/>
    <w:pitch w:val="default"/>
    <w:sig w:usb0="00000003" w:usb1="00000000" w:usb2="00000000" w:usb3="00000000" w:csb0="00000001" w:csb1="00000000"/>
  </w:font>
  <w:font w:name="*Arial-Bold-6303-Identity-H">
    <w:altName w:val="Calibri"/>
    <w:panose1 w:val="00000000000000000000"/>
    <w:charset w:val="00"/>
    <w:family w:val="auto"/>
    <w:notTrueType/>
    <w:pitch w:val="default"/>
    <w:sig w:usb0="00000003" w:usb1="00000000" w:usb2="00000000" w:usb3="00000000" w:csb0="00000001" w:csb1="00000000"/>
  </w:font>
  <w:font w:name="*Arial-6302-Identity-H">
    <w:altName w:val="Calibri"/>
    <w:panose1 w:val="00000000000000000000"/>
    <w:charset w:val="00"/>
    <w:family w:val="auto"/>
    <w:notTrueType/>
    <w:pitch w:val="default"/>
    <w:sig w:usb0="00000003" w:usb1="00000000" w:usb2="00000000" w:usb3="00000000" w:csb0="00000001" w:csb1="00000000"/>
  </w:font>
  <w:font w:name="*Arial-Bold-6801-Identity-H">
    <w:altName w:val="Calibri"/>
    <w:panose1 w:val="00000000000000000000"/>
    <w:charset w:val="00"/>
    <w:family w:val="auto"/>
    <w:notTrueType/>
    <w:pitch w:val="default"/>
    <w:sig w:usb0="00000003" w:usb1="00000000" w:usb2="00000000" w:usb3="00000000" w:csb0="00000001" w:csb1="00000000"/>
  </w:font>
  <w:font w:name="*Arial-6800-Identity-H">
    <w:altName w:val="Calibri"/>
    <w:panose1 w:val="00000000000000000000"/>
    <w:charset w:val="00"/>
    <w:family w:val="auto"/>
    <w:notTrueType/>
    <w:pitch w:val="default"/>
    <w:sig w:usb0="00000003" w:usb1="00000000" w:usb2="00000000" w:usb3="00000000" w:csb0="00000001" w:csb1="00000000"/>
  </w:font>
  <w:font w:name="*Arial-BoldItalic-6799-Identity">
    <w:altName w:val="Calibri"/>
    <w:panose1 w:val="00000000000000000000"/>
    <w:charset w:val="00"/>
    <w:family w:val="auto"/>
    <w:notTrueType/>
    <w:pitch w:val="default"/>
    <w:sig w:usb0="00000003" w:usb1="00000000" w:usb2="00000000" w:usb3="00000000" w:csb0="00000001" w:csb1="00000000"/>
  </w:font>
  <w:font w:name="*Arial-Bold-5815-Identity-H">
    <w:altName w:val="Calibri"/>
    <w:panose1 w:val="00000000000000000000"/>
    <w:charset w:val="00"/>
    <w:family w:val="auto"/>
    <w:notTrueType/>
    <w:pitch w:val="default"/>
    <w:sig w:usb0="00000003" w:usb1="00000000" w:usb2="00000000" w:usb3="00000000" w:csb0="00000001" w:csb1="00000000"/>
  </w:font>
  <w:font w:name="*Arial-5814-Identity-H">
    <w:altName w:val="Calibri"/>
    <w:panose1 w:val="00000000000000000000"/>
    <w:charset w:val="00"/>
    <w:family w:val="auto"/>
    <w:notTrueType/>
    <w:pitch w:val="default"/>
    <w:sig w:usb0="00000003" w:usb1="00000000" w:usb2="00000000" w:usb3="00000000" w:csb0="00000001" w:csb1="00000000"/>
  </w:font>
  <w:font w:name="*Arial-5404-Identity-H">
    <w:altName w:val="Calibri"/>
    <w:panose1 w:val="00000000000000000000"/>
    <w:charset w:val="00"/>
    <w:family w:val="auto"/>
    <w:notTrueType/>
    <w:pitch w:val="default"/>
    <w:sig w:usb0="00000003" w:usb1="00000000" w:usb2="00000000" w:usb3="00000000" w:csb0="00000001" w:csb1="00000000"/>
  </w:font>
  <w:font w:name="*Arial-6076-Identity-H">
    <w:altName w:val="Calibri"/>
    <w:panose1 w:val="00000000000000000000"/>
    <w:charset w:val="00"/>
    <w:family w:val="auto"/>
    <w:notTrueType/>
    <w:pitch w:val="default"/>
    <w:sig w:usb0="00000003" w:usb1="00000000" w:usb2="00000000" w:usb3="00000000" w:csb0="00000001" w:csb1="00000000"/>
  </w:font>
  <w:font w:name="*Arial-Bold-6075-Identity-H">
    <w:altName w:val="Calibri"/>
    <w:panose1 w:val="00000000000000000000"/>
    <w:charset w:val="00"/>
    <w:family w:val="auto"/>
    <w:notTrueType/>
    <w:pitch w:val="default"/>
    <w:sig w:usb0="00000003" w:usb1="00000000" w:usb2="00000000" w:usb3="00000000" w:csb0="00000001" w:csb1="00000000"/>
  </w:font>
  <w:font w:name="*Arial-Bold-7305-Identity-H">
    <w:altName w:val="Calibri"/>
    <w:panose1 w:val="00000000000000000000"/>
    <w:charset w:val="00"/>
    <w:family w:val="auto"/>
    <w:notTrueType/>
    <w:pitch w:val="default"/>
    <w:sig w:usb0="00000003" w:usb1="00000000" w:usb2="00000000" w:usb3="00000000" w:csb0="00000001" w:csb1="00000000"/>
  </w:font>
  <w:font w:name="*Arial-BoldItalic-7304-Identity">
    <w:altName w:val="Calibri"/>
    <w:panose1 w:val="00000000000000000000"/>
    <w:charset w:val="00"/>
    <w:family w:val="auto"/>
    <w:notTrueType/>
    <w:pitch w:val="default"/>
    <w:sig w:usb0="00000003" w:usb1="00000000" w:usb2="00000000" w:usb3="00000000" w:csb0="00000001" w:csb1="00000000"/>
  </w:font>
  <w:font w:name="*Arial-Bold-7303-Identity-H">
    <w:altName w:val="Calibri"/>
    <w:panose1 w:val="00000000000000000000"/>
    <w:charset w:val="00"/>
    <w:family w:val="auto"/>
    <w:notTrueType/>
    <w:pitch w:val="default"/>
    <w:sig w:usb0="00000003" w:usb1="00000000" w:usb2="00000000" w:usb3="00000000" w:csb0="00000001" w:csb1="00000000"/>
  </w:font>
  <w:font w:name="*Arial-7302-Identity-H">
    <w:altName w:val="Calibri"/>
    <w:panose1 w:val="00000000000000000000"/>
    <w:charset w:val="00"/>
    <w:family w:val="auto"/>
    <w:notTrueType/>
    <w:pitch w:val="default"/>
    <w:sig w:usb0="00000003" w:usb1="00000000" w:usb2="00000000" w:usb3="00000000" w:csb0="00000001" w:csb1="00000000"/>
  </w:font>
  <w:font w:name="*Arial-BoldItalic-7301-Identity">
    <w:altName w:val="Calibri"/>
    <w:panose1 w:val="00000000000000000000"/>
    <w:charset w:val="00"/>
    <w:family w:val="auto"/>
    <w:notTrueType/>
    <w:pitch w:val="default"/>
    <w:sig w:usb0="00000003" w:usb1="00000000" w:usb2="00000000" w:usb3="00000000" w:csb0="00000001" w:csb1="00000000"/>
  </w:font>
  <w:font w:name="*Arial-7122-Identity-H">
    <w:altName w:val="Calibri"/>
    <w:panose1 w:val="00000000000000000000"/>
    <w:charset w:val="00"/>
    <w:family w:val="auto"/>
    <w:notTrueType/>
    <w:pitch w:val="default"/>
    <w:sig w:usb0="00000003" w:usb1="00000000" w:usb2="00000000" w:usb3="00000000" w:csb0="00000001" w:csb1="00000000"/>
  </w:font>
  <w:font w:name="*Arial-Bold-7124-Identity-H">
    <w:altName w:val="Calibri"/>
    <w:panose1 w:val="00000000000000000000"/>
    <w:charset w:val="00"/>
    <w:family w:val="auto"/>
    <w:notTrueType/>
    <w:pitch w:val="default"/>
    <w:sig w:usb0="00000003" w:usb1="00000000" w:usb2="00000000" w:usb3="00000000" w:csb0="00000001" w:csb1="00000000"/>
  </w:font>
  <w:font w:name="*Arial-BoldItalic-7121-Identity">
    <w:altName w:val="Calibri"/>
    <w:panose1 w:val="00000000000000000000"/>
    <w:charset w:val="00"/>
    <w:family w:val="auto"/>
    <w:notTrueType/>
    <w:pitch w:val="default"/>
    <w:sig w:usb0="00000003" w:usb1="00000000" w:usb2="00000000" w:usb3="00000000" w:csb0="00000001" w:csb1="00000000"/>
  </w:font>
  <w:font w:name="*Arial-Bold-7123-Identity-H">
    <w:altName w:val="Calibri"/>
    <w:panose1 w:val="00000000000000000000"/>
    <w:charset w:val="00"/>
    <w:family w:val="auto"/>
    <w:notTrueType/>
    <w:pitch w:val="default"/>
    <w:sig w:usb0="00000003" w:usb1="00000000" w:usb2="00000000" w:usb3="00000000" w:csb0="00000001" w:csb1="00000000"/>
  </w:font>
  <w:font w:name="*Arial-6971-Identity-H">
    <w:altName w:val="Calibri"/>
    <w:panose1 w:val="00000000000000000000"/>
    <w:charset w:val="00"/>
    <w:family w:val="auto"/>
    <w:notTrueType/>
    <w:pitch w:val="default"/>
    <w:sig w:usb0="00000003" w:usb1="00000000" w:usb2="00000000" w:usb3="00000000" w:csb0="00000001" w:csb1="00000000"/>
  </w:font>
  <w:font w:name="*Arial-Bold-6972-Identity-H">
    <w:altName w:val="Calibri"/>
    <w:panose1 w:val="00000000000000000000"/>
    <w:charset w:val="00"/>
    <w:family w:val="auto"/>
    <w:notTrueType/>
    <w:pitch w:val="default"/>
    <w:sig w:usb0="00000003" w:usb1="00000000" w:usb2="00000000" w:usb3="00000000" w:csb0="00000001" w:csb1="00000000"/>
  </w:font>
  <w:font w:name="*Arial-BoldItalic-6970-Identity">
    <w:altName w:val="Calibri"/>
    <w:panose1 w:val="00000000000000000000"/>
    <w:charset w:val="00"/>
    <w:family w:val="auto"/>
    <w:notTrueType/>
    <w:pitch w:val="default"/>
    <w:sig w:usb0="00000003" w:usb1="00000000" w:usb2="00000000" w:usb3="00000000" w:csb0="00000001" w:csb1="00000000"/>
  </w:font>
  <w:font w:name="*Arial-5945-Identity-H">
    <w:altName w:val="Calibri"/>
    <w:panose1 w:val="00000000000000000000"/>
    <w:charset w:val="00"/>
    <w:family w:val="auto"/>
    <w:notTrueType/>
    <w:pitch w:val="default"/>
    <w:sig w:usb0="00000003" w:usb1="00000000" w:usb2="00000000" w:usb3="00000000" w:csb0="00000001" w:csb1="00000000"/>
  </w:font>
  <w:font w:name="*Arial-5497-Identity-H">
    <w:altName w:val="Calibri"/>
    <w:panose1 w:val="00000000000000000000"/>
    <w:charset w:val="00"/>
    <w:family w:val="auto"/>
    <w:notTrueType/>
    <w:pitch w:val="default"/>
    <w:sig w:usb0="00000003" w:usb1="00000000" w:usb2="00000000" w:usb3="00000000" w:csb0="00000001" w:csb1="00000000"/>
  </w:font>
  <w:font w:name="*Arial-BoldItalic-5495-Identity">
    <w:altName w:val="Calibri"/>
    <w:panose1 w:val="00000000000000000000"/>
    <w:charset w:val="00"/>
    <w:family w:val="auto"/>
    <w:notTrueType/>
    <w:pitch w:val="default"/>
    <w:sig w:usb0="00000003" w:usb1="00000000" w:usb2="00000000" w:usb3="00000000" w:csb0="00000001" w:csb1="00000000"/>
  </w:font>
  <w:font w:name="*Arial-Bold-5498-Identity-H">
    <w:altName w:val="Calibri"/>
    <w:panose1 w:val="00000000000000000000"/>
    <w:charset w:val="00"/>
    <w:family w:val="auto"/>
    <w:notTrueType/>
    <w:pitch w:val="default"/>
    <w:sig w:usb0="00000003" w:usb1="00000000" w:usb2="00000000" w:usb3="00000000" w:csb0="00000001" w:csb1="00000000"/>
  </w:font>
  <w:font w:name="*Arial-BoldItalic-6667-Identity">
    <w:altName w:val="Calibri"/>
    <w:panose1 w:val="00000000000000000000"/>
    <w:charset w:val="00"/>
    <w:family w:val="auto"/>
    <w:notTrueType/>
    <w:pitch w:val="default"/>
    <w:sig w:usb0="00000003" w:usb1="00000000" w:usb2="00000000" w:usb3="00000000" w:csb0="00000001" w:csb1="00000000"/>
  </w:font>
  <w:font w:name="*Calibri-6665-Identity-H">
    <w:altName w:val="Calibri"/>
    <w:panose1 w:val="00000000000000000000"/>
    <w:charset w:val="00"/>
    <w:family w:val="auto"/>
    <w:notTrueType/>
    <w:pitch w:val="default"/>
    <w:sig w:usb0="00000003" w:usb1="00000000" w:usb2="00000000" w:usb3="00000000" w:csb0="00000001" w:csb1="00000000"/>
  </w:font>
  <w:font w:name="*Arial-6668-Identity-H">
    <w:altName w:val="Calibri"/>
    <w:panose1 w:val="00000000000000000000"/>
    <w:charset w:val="00"/>
    <w:family w:val="auto"/>
    <w:notTrueType/>
    <w:pitch w:val="default"/>
    <w:sig w:usb0="00000003" w:usb1="00000000" w:usb2="00000000" w:usb3="00000000" w:csb0="00000001" w:csb1="00000000"/>
  </w:font>
  <w:font w:name="*Arial-Bold-6669-Identity-H">
    <w:altName w:val="Calibri"/>
    <w:panose1 w:val="00000000000000000000"/>
    <w:charset w:val="00"/>
    <w:family w:val="auto"/>
    <w:notTrueType/>
    <w:pitch w:val="default"/>
    <w:sig w:usb0="00000003" w:usb1="00000000" w:usb2="00000000" w:usb3="00000000" w:csb0="00000001" w:csb1="00000000"/>
  </w:font>
  <w:font w:name="*Arial-7149-Identity-H">
    <w:altName w:val="Calibri"/>
    <w:panose1 w:val="00000000000000000000"/>
    <w:charset w:val="00"/>
    <w:family w:val="auto"/>
    <w:notTrueType/>
    <w:pitch w:val="default"/>
    <w:sig w:usb0="00000003" w:usb1="00000000" w:usb2="00000000" w:usb3="00000000" w:csb0="00000001" w:csb1="00000000"/>
  </w:font>
  <w:font w:name="*Arial-BoldItalic-7148-Identity">
    <w:altName w:val="Calibri"/>
    <w:panose1 w:val="00000000000000000000"/>
    <w:charset w:val="00"/>
    <w:family w:val="auto"/>
    <w:notTrueType/>
    <w:pitch w:val="default"/>
    <w:sig w:usb0="00000003" w:usb1="00000000" w:usb2="00000000" w:usb3="00000000" w:csb0="00000001" w:csb1="00000000"/>
  </w:font>
  <w:font w:name="*Arial-Bold-7150-Identity-H">
    <w:altName w:val="Calibri"/>
    <w:panose1 w:val="00000000000000000000"/>
    <w:charset w:val="00"/>
    <w:family w:val="auto"/>
    <w:notTrueType/>
    <w:pitch w:val="default"/>
    <w:sig w:usb0="00000003" w:usb1="00000000" w:usb2="00000000" w:usb3="00000000" w:csb0="00000001" w:csb1="00000000"/>
  </w:font>
  <w:font w:name="*Arial-Bold-7151-Identity-H">
    <w:altName w:val="Calibri"/>
    <w:panose1 w:val="00000000000000000000"/>
    <w:charset w:val="00"/>
    <w:family w:val="auto"/>
    <w:notTrueType/>
    <w:pitch w:val="default"/>
    <w:sig w:usb0="00000003" w:usb1="00000000" w:usb2="00000000" w:usb3="00000000" w:csb0="00000001" w:csb1="00000000"/>
  </w:font>
  <w:font w:name="*Arial-6117-Identity-H">
    <w:altName w:val="Calibri"/>
    <w:panose1 w:val="00000000000000000000"/>
    <w:charset w:val="00"/>
    <w:family w:val="auto"/>
    <w:notTrueType/>
    <w:pitch w:val="default"/>
    <w:sig w:usb0="00000003" w:usb1="00000000" w:usb2="00000000" w:usb3="00000000" w:csb0="00000001" w:csb1="00000000"/>
  </w:font>
  <w:font w:name="*Arial-Bold-6118-Identity-H">
    <w:altName w:val="Calibri"/>
    <w:panose1 w:val="00000000000000000000"/>
    <w:charset w:val="00"/>
    <w:family w:val="auto"/>
    <w:notTrueType/>
    <w:pitch w:val="default"/>
    <w:sig w:usb0="00000003" w:usb1="00000000" w:usb2="00000000" w:usb3="00000000" w:csb0="00000001" w:csb1="00000000"/>
  </w:font>
  <w:font w:name="*Arial-6776-Identity-H">
    <w:altName w:val="Calibri"/>
    <w:panose1 w:val="00000000000000000000"/>
    <w:charset w:val="00"/>
    <w:family w:val="auto"/>
    <w:notTrueType/>
    <w:pitch w:val="default"/>
    <w:sig w:usb0="00000003" w:usb1="00000000" w:usb2="00000000" w:usb3="00000000" w:csb0="00000001" w:csb1="00000000"/>
  </w:font>
  <w:font w:name="*Arial-Bold-6778-Identity-H">
    <w:altName w:val="Calibri"/>
    <w:panose1 w:val="00000000000000000000"/>
    <w:charset w:val="00"/>
    <w:family w:val="auto"/>
    <w:notTrueType/>
    <w:pitch w:val="default"/>
    <w:sig w:usb0="00000003" w:usb1="00000000" w:usb2="00000000" w:usb3="00000000" w:csb0="00000001" w:csb1="00000000"/>
  </w:font>
  <w:font w:name="*Arial-Bold-6777-Identity-H">
    <w:altName w:val="Calibri"/>
    <w:panose1 w:val="00000000000000000000"/>
    <w:charset w:val="00"/>
    <w:family w:val="auto"/>
    <w:notTrueType/>
    <w:pitch w:val="default"/>
    <w:sig w:usb0="00000003" w:usb1="00000000" w:usb2="00000000" w:usb3="00000000" w:csb0="00000001" w:csb1="00000000"/>
  </w:font>
  <w:font w:name="*Arial-BoldItalic-6774-Identity">
    <w:altName w:val="Calibri"/>
    <w:panose1 w:val="00000000000000000000"/>
    <w:charset w:val="00"/>
    <w:family w:val="auto"/>
    <w:notTrueType/>
    <w:pitch w:val="default"/>
    <w:sig w:usb0="00000003" w:usb1="00000000" w:usb2="00000000" w:usb3="00000000" w:csb0="00000001" w:csb1="00000000"/>
  </w:font>
  <w:font w:name="*Arial-6420-Identity-H">
    <w:altName w:val="Calibri"/>
    <w:panose1 w:val="00000000000000000000"/>
    <w:charset w:val="00"/>
    <w:family w:val="auto"/>
    <w:notTrueType/>
    <w:pitch w:val="default"/>
    <w:sig w:usb0="00000003" w:usb1="00000000" w:usb2="00000000" w:usb3="00000000" w:csb0="00000001" w:csb1="00000000"/>
  </w:font>
  <w:font w:name="*Verdana-6422-Identity-H">
    <w:altName w:val="Calibri"/>
    <w:panose1 w:val="00000000000000000000"/>
    <w:charset w:val="00"/>
    <w:family w:val="auto"/>
    <w:notTrueType/>
    <w:pitch w:val="default"/>
    <w:sig w:usb0="00000003" w:usb1="00000000" w:usb2="00000000" w:usb3="00000000" w:csb0="00000001" w:csb1="00000000"/>
  </w:font>
  <w:font w:name="*Arial-Bold-6656-Identity-H">
    <w:altName w:val="Calibri"/>
    <w:panose1 w:val="00000000000000000000"/>
    <w:charset w:val="00"/>
    <w:family w:val="auto"/>
    <w:notTrueType/>
    <w:pitch w:val="default"/>
    <w:sig w:usb0="00000003" w:usb1="00000000" w:usb2="00000000" w:usb3="00000000" w:csb0="00000001" w:csb1="00000000"/>
  </w:font>
  <w:font w:name="*Arial-BoldItalic-6658-Identity">
    <w:altName w:val="Calibri"/>
    <w:panose1 w:val="00000000000000000000"/>
    <w:charset w:val="00"/>
    <w:family w:val="auto"/>
    <w:notTrueType/>
    <w:pitch w:val="default"/>
    <w:sig w:usb0="00000003" w:usb1="00000000" w:usb2="00000000" w:usb3="00000000" w:csb0="00000001" w:csb1="00000000"/>
  </w:font>
  <w:font w:name="*Arial-BoldItalic-6657-Identity">
    <w:altName w:val="Calibri"/>
    <w:panose1 w:val="00000000000000000000"/>
    <w:charset w:val="00"/>
    <w:family w:val="auto"/>
    <w:notTrueType/>
    <w:pitch w:val="default"/>
    <w:sig w:usb0="00000003" w:usb1="00000000" w:usb2="00000000" w:usb3="00000000" w:csb0="00000001" w:csb1="00000000"/>
  </w:font>
  <w:font w:name="*Arial-Bold-6655-Identity-H">
    <w:altName w:val="Calibri"/>
    <w:panose1 w:val="00000000000000000000"/>
    <w:charset w:val="00"/>
    <w:family w:val="auto"/>
    <w:notTrueType/>
    <w:pitch w:val="default"/>
    <w:sig w:usb0="00000003" w:usb1="00000000" w:usb2="00000000" w:usb3="00000000" w:csb0="00000001" w:csb1="00000000"/>
  </w:font>
  <w:font w:name="*Arial-6654-Identity-H">
    <w:altName w:val="Calibri"/>
    <w:panose1 w:val="00000000000000000000"/>
    <w:charset w:val="00"/>
    <w:family w:val="auto"/>
    <w:notTrueType/>
    <w:pitch w:val="default"/>
    <w:sig w:usb0="00000003" w:usb1="00000000" w:usb2="00000000" w:usb3="00000000" w:csb0="00000001" w:csb1="00000000"/>
  </w:font>
  <w:font w:name="*Arial-6652-Identity-H">
    <w:altName w:val="Calibri"/>
    <w:panose1 w:val="00000000000000000000"/>
    <w:charset w:val="00"/>
    <w:family w:val="auto"/>
    <w:notTrueType/>
    <w:pitch w:val="default"/>
    <w:sig w:usb0="00000003" w:usb1="00000000" w:usb2="00000000" w:usb3="00000000" w:csb0="00000001" w:csb1="00000000"/>
  </w:font>
  <w:font w:name="*Arial-Bold-4116-Identity-H">
    <w:altName w:val="Calibri"/>
    <w:panose1 w:val="00000000000000000000"/>
    <w:charset w:val="00"/>
    <w:family w:val="auto"/>
    <w:notTrueType/>
    <w:pitch w:val="default"/>
    <w:sig w:usb0="00000003" w:usb1="00000000" w:usb2="00000000" w:usb3="00000000" w:csb0="00000001" w:csb1="00000000"/>
  </w:font>
  <w:font w:name="TrebuchetMS-Bold">
    <w:altName w:val="Calibri"/>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Trebuchet-BoldItalic">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Amasis MT Pro Light">
    <w:charset w:val="00"/>
    <w:family w:val="roman"/>
    <w:pitch w:val="variable"/>
    <w:sig w:usb0="A00000AF" w:usb1="4000205B" w:usb2="00000000" w:usb3="00000000" w:csb0="00000093" w:csb1="00000000"/>
  </w:font>
  <w:font w:name="Amasis MT Pro Light,Italic">
    <w:altName w:val="Amasis MT Pro Light"/>
    <w:panose1 w:val="00000000000000000000"/>
    <w:charset w:val="00"/>
    <w:family w:val="swiss"/>
    <w:notTrueType/>
    <w:pitch w:val="default"/>
    <w:sig w:usb0="00000003" w:usb1="00000000" w:usb2="00000000" w:usb3="00000000" w:csb0="00000001" w:csb1="00000000"/>
  </w:font>
  <w:font w:name="AmasisMTPro-Light">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Bold-8348-Identity-H">
    <w:altName w:val="Calibri"/>
    <w:panose1 w:val="00000000000000000000"/>
    <w:charset w:val="00"/>
    <w:family w:val="auto"/>
    <w:notTrueType/>
    <w:pitch w:val="default"/>
    <w:sig w:usb0="00000003" w:usb1="00000000" w:usb2="00000000" w:usb3="00000000" w:csb0="00000001" w:csb1="00000000"/>
  </w:font>
  <w:font w:name="*Verdana-8347-Identity-H">
    <w:altName w:val="Calibri"/>
    <w:panose1 w:val="00000000000000000000"/>
    <w:charset w:val="00"/>
    <w:family w:val="auto"/>
    <w:notTrueType/>
    <w:pitch w:val="default"/>
    <w:sig w:usb0="00000003" w:usb1="00000000" w:usb2="00000000" w:usb3="00000000" w:csb0="00000001" w:csb1="00000000"/>
  </w:font>
  <w:font w:name="*Verdana-5965-Identity-H">
    <w:altName w:val="Calibri"/>
    <w:panose1 w:val="00000000000000000000"/>
    <w:charset w:val="00"/>
    <w:family w:val="auto"/>
    <w:notTrueType/>
    <w:pitch w:val="default"/>
    <w:sig w:usb0="00000003" w:usb1="00000000" w:usb2="00000000" w:usb3="00000000" w:csb0="00000001" w:csb1="00000000"/>
  </w:font>
  <w:font w:name="*Verdana-4356-Identity-H">
    <w:altName w:val="Calibri"/>
    <w:panose1 w:val="00000000000000000000"/>
    <w:charset w:val="00"/>
    <w:family w:val="auto"/>
    <w:notTrueType/>
    <w:pitch w:val="default"/>
    <w:sig w:usb0="00000003" w:usb1="00000000" w:usb2="00000000" w:usb3="00000000" w:csb0="00000001" w:csb1="00000000"/>
  </w:font>
  <w:font w:name="*Verdana-Bold-4355-Identity-H">
    <w:altName w:val="Calibri"/>
    <w:panose1 w:val="00000000000000000000"/>
    <w:charset w:val="00"/>
    <w:family w:val="auto"/>
    <w:notTrueType/>
    <w:pitch w:val="default"/>
    <w:sig w:usb0="00000003" w:usb1="00000000" w:usb2="00000000" w:usb3="00000000" w:csb0="00000001" w:csb1="00000000"/>
  </w:font>
  <w:font w:name="*Arial-Bold-15330-Identity-H">
    <w:altName w:val="Calibri"/>
    <w:panose1 w:val="00000000000000000000"/>
    <w:charset w:val="00"/>
    <w:family w:val="auto"/>
    <w:notTrueType/>
    <w:pitch w:val="default"/>
    <w:sig w:usb0="00000003" w:usb1="00000000" w:usb2="00000000" w:usb3="00000000" w:csb0="00000001" w:csb1="00000000"/>
  </w:font>
  <w:font w:name="*Arial-15329-Identity-H">
    <w:altName w:val="Calibri"/>
    <w:panose1 w:val="00000000000000000000"/>
    <w:charset w:val="00"/>
    <w:family w:val="auto"/>
    <w:notTrueType/>
    <w:pitch w:val="default"/>
    <w:sig w:usb0="00000003" w:usb1="00000000" w:usb2="00000000" w:usb3="00000000" w:csb0="00000001" w:csb1="00000000"/>
  </w:font>
  <w:font w:name="*Arial-15328-Identity-H">
    <w:altName w:val="Calibri"/>
    <w:panose1 w:val="00000000000000000000"/>
    <w:charset w:val="00"/>
    <w:family w:val="auto"/>
    <w:notTrueType/>
    <w:pitch w:val="default"/>
    <w:sig w:usb0="00000003" w:usb1="00000000" w:usb2="00000000" w:usb3="00000000" w:csb0="00000001" w:csb1="00000000"/>
  </w:font>
  <w:font w:name="*Arial-13876-Identity-H">
    <w:altName w:val="Calibri"/>
    <w:panose1 w:val="00000000000000000000"/>
    <w:charset w:val="00"/>
    <w:family w:val="auto"/>
    <w:notTrueType/>
    <w:pitch w:val="default"/>
    <w:sig w:usb0="00000003" w:usb1="00000000" w:usb2="00000000" w:usb3="00000000" w:csb0="00000001" w:csb1="00000000"/>
  </w:font>
  <w:font w:name="*Arial-13605-Identity-H">
    <w:altName w:val="Calibri"/>
    <w:panose1 w:val="00000000000000000000"/>
    <w:charset w:val="00"/>
    <w:family w:val="auto"/>
    <w:notTrueType/>
    <w:pitch w:val="default"/>
    <w:sig w:usb0="00000003" w:usb1="00000000" w:usb2="00000000" w:usb3="00000000" w:csb0="00000001" w:csb1="00000000"/>
  </w:font>
  <w:font w:name="*Arial-Bold-7497-Identity-H">
    <w:altName w:val="Calibri"/>
    <w:panose1 w:val="00000000000000000000"/>
    <w:charset w:val="00"/>
    <w:family w:val="auto"/>
    <w:notTrueType/>
    <w:pitch w:val="default"/>
    <w:sig w:usb0="00000003" w:usb1="00000000" w:usb2="00000000" w:usb3="00000000" w:csb0="00000001" w:csb1="00000000"/>
  </w:font>
  <w:font w:name="*Arial-Bold-7496-Identity-H">
    <w:altName w:val="Calibri"/>
    <w:panose1 w:val="00000000000000000000"/>
    <w:charset w:val="00"/>
    <w:family w:val="auto"/>
    <w:notTrueType/>
    <w:pitch w:val="default"/>
    <w:sig w:usb0="00000003" w:usb1="00000000" w:usb2="00000000" w:usb3="00000000" w:csb0="00000001" w:csb1="00000000"/>
  </w:font>
  <w:font w:name="*Arial-Bold-12536-Identity-H">
    <w:altName w:val="Calibri"/>
    <w:panose1 w:val="00000000000000000000"/>
    <w:charset w:val="00"/>
    <w:family w:val="auto"/>
    <w:notTrueType/>
    <w:pitch w:val="default"/>
    <w:sig w:usb0="00000003" w:usb1="00000000" w:usb2="00000000" w:usb3="00000000" w:csb0="00000001" w:csb1="00000000"/>
  </w:font>
  <w:font w:name="*Arial-12535-Identity-H">
    <w:altName w:val="Calibri"/>
    <w:panose1 w:val="00000000000000000000"/>
    <w:charset w:val="00"/>
    <w:family w:val="auto"/>
    <w:notTrueType/>
    <w:pitch w:val="default"/>
    <w:sig w:usb0="00000003" w:usb1="00000000" w:usb2="00000000" w:usb3="00000000" w:csb0="00000001" w:csb1="00000000"/>
  </w:font>
  <w:font w:name="*Times New Roman-Italic-12522-I">
    <w:altName w:val="Calibri"/>
    <w:panose1 w:val="00000000000000000000"/>
    <w:charset w:val="00"/>
    <w:family w:val="auto"/>
    <w:notTrueType/>
    <w:pitch w:val="default"/>
    <w:sig w:usb0="00000003" w:usb1="00000000" w:usb2="00000000" w:usb3="00000000" w:csb0="00000001" w:csb1="00000000"/>
  </w:font>
  <w:font w:name="*Arial-9827-Identity-H">
    <w:altName w:val="Calibri"/>
    <w:panose1 w:val="00000000000000000000"/>
    <w:charset w:val="00"/>
    <w:family w:val="auto"/>
    <w:notTrueType/>
    <w:pitch w:val="default"/>
    <w:sig w:usb0="00000003" w:usb1="00000000" w:usb2="00000000" w:usb3="00000000" w:csb0="00000001" w:csb1="00000000"/>
  </w:font>
  <w:font w:name="*Calibri-9826-Identity-H">
    <w:altName w:val="Calibri"/>
    <w:panose1 w:val="00000000000000000000"/>
    <w:charset w:val="00"/>
    <w:family w:val="auto"/>
    <w:notTrueType/>
    <w:pitch w:val="default"/>
    <w:sig w:usb0="00000003" w:usb1="00000000" w:usb2="00000000" w:usb3="00000000" w:csb0="00000001" w:csb1="00000000"/>
  </w:font>
  <w:font w:name="*Microsoft Sans Serif-Bold-9830">
    <w:altName w:val="Calibri"/>
    <w:panose1 w:val="00000000000000000000"/>
    <w:charset w:val="00"/>
    <w:family w:val="auto"/>
    <w:notTrueType/>
    <w:pitch w:val="default"/>
    <w:sig w:usb0="00000003" w:usb1="00000000" w:usb2="00000000" w:usb3="00000000" w:csb0="00000001" w:csb1="00000000"/>
  </w:font>
  <w:font w:name="*Arial-Italic-11695-Identity-H">
    <w:altName w:val="Calibri"/>
    <w:panose1 w:val="00000000000000000000"/>
    <w:charset w:val="00"/>
    <w:family w:val="auto"/>
    <w:notTrueType/>
    <w:pitch w:val="default"/>
    <w:sig w:usb0="00000003" w:usb1="00000000" w:usb2="00000000" w:usb3="00000000" w:csb0="00000001" w:csb1="00000000"/>
  </w:font>
  <w:font w:name="*Calibri-11693-Identity-H">
    <w:altName w:val="Calibri"/>
    <w:panose1 w:val="00000000000000000000"/>
    <w:charset w:val="00"/>
    <w:family w:val="auto"/>
    <w:notTrueType/>
    <w:pitch w:val="default"/>
    <w:sig w:usb0="00000003" w:usb1="00000000" w:usb2="00000000" w:usb3="00000000" w:csb0="00000001" w:csb1="00000000"/>
  </w:font>
  <w:font w:name="*Arial-11694-Identity-H">
    <w:altName w:val="Calibri"/>
    <w:panose1 w:val="00000000000000000000"/>
    <w:charset w:val="00"/>
    <w:family w:val="auto"/>
    <w:notTrueType/>
    <w:pitch w:val="default"/>
    <w:sig w:usb0="00000003" w:usb1="00000000" w:usb2="00000000" w:usb3="00000000" w:csb0="00000001" w:csb1="00000000"/>
  </w:font>
  <w:font w:name="*Microsoft Sans Serif-11697-Ide">
    <w:altName w:val="Calibri"/>
    <w:panose1 w:val="00000000000000000000"/>
    <w:charset w:val="00"/>
    <w:family w:val="auto"/>
    <w:notTrueType/>
    <w:pitch w:val="default"/>
    <w:sig w:usb0="00000003" w:usb1="00000000" w:usb2="00000000" w:usb3="00000000" w:csb0="00000001" w:csb1="00000000"/>
  </w:font>
  <w:font w:name="*Arial-11486-Identity-H">
    <w:altName w:val="Calibri"/>
    <w:panose1 w:val="00000000000000000000"/>
    <w:charset w:val="00"/>
    <w:family w:val="auto"/>
    <w:notTrueType/>
    <w:pitch w:val="default"/>
    <w:sig w:usb0="00000003" w:usb1="00000000" w:usb2="00000000" w:usb3="00000000" w:csb0="00000001" w:csb1="00000000"/>
  </w:font>
  <w:font w:name="*Arial-Italic-11487-Identity-H">
    <w:altName w:val="Calibri"/>
    <w:panose1 w:val="00000000000000000000"/>
    <w:charset w:val="00"/>
    <w:family w:val="auto"/>
    <w:notTrueType/>
    <w:pitch w:val="default"/>
    <w:sig w:usb0="00000003" w:usb1="00000000" w:usb2="00000000" w:usb3="00000000" w:csb0="00000001" w:csb1="00000000"/>
  </w:font>
  <w:font w:name="*Microsoft Sans Serif-Italic-11">
    <w:altName w:val="Calibri"/>
    <w:panose1 w:val="00000000000000000000"/>
    <w:charset w:val="00"/>
    <w:family w:val="auto"/>
    <w:notTrueType/>
    <w:pitch w:val="default"/>
    <w:sig w:usb0="00000003" w:usb1="00000000" w:usb2="00000000" w:usb3="00000000" w:csb0="00000001" w:csb1="00000000"/>
  </w:font>
  <w:font w:name="*Calibri-11485-Identity-H">
    <w:altName w:val="Calibri"/>
    <w:panose1 w:val="00000000000000000000"/>
    <w:charset w:val="00"/>
    <w:family w:val="auto"/>
    <w:notTrueType/>
    <w:pitch w:val="default"/>
    <w:sig w:usb0="00000003" w:usb1="00000000" w:usb2="00000000" w:usb3="00000000" w:csb0="00000001" w:csb1="00000000"/>
  </w:font>
  <w:font w:name="*Arial-7573-Identity-H">
    <w:altName w:val="Calibri"/>
    <w:panose1 w:val="00000000000000000000"/>
    <w:charset w:val="00"/>
    <w:family w:val="auto"/>
    <w:notTrueType/>
    <w:pitch w:val="default"/>
    <w:sig w:usb0="00000003" w:usb1="00000000" w:usb2="00000000" w:usb3="00000000" w:csb0="00000001" w:csb1="00000000"/>
  </w:font>
  <w:font w:name="*Arial-Bold-7574-Identity-H">
    <w:altName w:val="Calibri"/>
    <w:panose1 w:val="00000000000000000000"/>
    <w:charset w:val="00"/>
    <w:family w:val="auto"/>
    <w:notTrueType/>
    <w:pitch w:val="default"/>
    <w:sig w:usb0="00000003" w:usb1="00000000" w:usb2="00000000" w:usb3="00000000" w:csb0="00000001" w:csb1="00000000"/>
  </w:font>
  <w:font w:name="*Calibri-Bold-7572-Identity-H">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Verdana-Bold-5029-Identity-H">
    <w:altName w:val="Calibri"/>
    <w:panose1 w:val="00000000000000000000"/>
    <w:charset w:val="00"/>
    <w:family w:val="auto"/>
    <w:notTrueType/>
    <w:pitch w:val="default"/>
    <w:sig w:usb0="00000003" w:usb1="00000000" w:usb2="00000000" w:usb3="00000000" w:csb0="00000001" w:csb1="00000000"/>
  </w:font>
  <w:font w:name="*Tahoma-5031-Identity-H">
    <w:altName w:val="Calibri"/>
    <w:panose1 w:val="00000000000000000000"/>
    <w:charset w:val="00"/>
    <w:family w:val="auto"/>
    <w:notTrueType/>
    <w:pitch w:val="default"/>
    <w:sig w:usb0="00000003" w:usb1="00000000" w:usb2="00000000" w:usb3="00000000" w:csb0="00000001" w:csb1="00000000"/>
  </w:font>
  <w:font w:name="*Tahoma-Bold-5032-Identity-H">
    <w:altName w:val="Calibri"/>
    <w:panose1 w:val="00000000000000000000"/>
    <w:charset w:val="00"/>
    <w:family w:val="auto"/>
    <w:notTrueType/>
    <w:pitch w:val="default"/>
    <w:sig w:usb0="00000003" w:usb1="00000000" w:usb2="00000000" w:usb3="00000000" w:csb0="00000001" w:csb1="00000000"/>
  </w:font>
  <w:font w:name="*Verdana-Bold-5873-Identity-H">
    <w:altName w:val="Calibri"/>
    <w:panose1 w:val="00000000000000000000"/>
    <w:charset w:val="00"/>
    <w:family w:val="auto"/>
    <w:notTrueType/>
    <w:pitch w:val="default"/>
    <w:sig w:usb0="00000003" w:usb1="00000000" w:usb2="00000000" w:usb3="00000000" w:csb0="00000001" w:csb1="00000000"/>
  </w:font>
  <w:font w:name="*Verdana-5872-Identity-H">
    <w:altName w:val="Calibri"/>
    <w:panose1 w:val="00000000000000000000"/>
    <w:charset w:val="00"/>
    <w:family w:val="auto"/>
    <w:notTrueType/>
    <w:pitch w:val="default"/>
    <w:sig w:usb0="00000003" w:usb1="00000000" w:usb2="00000000" w:usb3="00000000" w:csb0="00000001" w:csb1="00000000"/>
  </w:font>
  <w:font w:name="*Verdana-Bold-7225-Identity-H">
    <w:altName w:val="Calibri"/>
    <w:panose1 w:val="00000000000000000000"/>
    <w:charset w:val="00"/>
    <w:family w:val="auto"/>
    <w:notTrueType/>
    <w:pitch w:val="default"/>
    <w:sig w:usb0="00000003" w:usb1="00000000" w:usb2="00000000" w:usb3="00000000" w:csb0="00000001" w:csb1="00000000"/>
  </w:font>
  <w:font w:name="*Verdana-7224-Identity-H">
    <w:altName w:val="Calibri"/>
    <w:panose1 w:val="00000000000000000000"/>
    <w:charset w:val="00"/>
    <w:family w:val="auto"/>
    <w:notTrueType/>
    <w:pitch w:val="default"/>
    <w:sig w:usb0="00000003" w:usb1="00000000" w:usb2="00000000" w:usb3="00000000" w:csb0="00000001" w:csb1="00000000"/>
  </w:font>
  <w:font w:name="*Verdana-7222-Identity-H">
    <w:altName w:val="Calibri"/>
    <w:panose1 w:val="00000000000000000000"/>
    <w:charset w:val="00"/>
    <w:family w:val="auto"/>
    <w:notTrueType/>
    <w:pitch w:val="default"/>
    <w:sig w:usb0="00000003" w:usb1="00000000" w:usb2="00000000" w:usb3="00000000" w:csb0="00000001" w:csb1="00000000"/>
  </w:font>
  <w:font w:name="*Verdana-Bold-9241-Identity-H">
    <w:altName w:val="Calibri"/>
    <w:panose1 w:val="00000000000000000000"/>
    <w:charset w:val="00"/>
    <w:family w:val="auto"/>
    <w:notTrueType/>
    <w:pitch w:val="default"/>
    <w:sig w:usb0="00000003" w:usb1="00000000" w:usb2="00000000" w:usb3="00000000" w:csb0="00000001" w:csb1="00000000"/>
  </w:font>
  <w:font w:name="*Verdana-9240-Identity-H">
    <w:altName w:val="Calibri"/>
    <w:panose1 w:val="00000000000000000000"/>
    <w:charset w:val="00"/>
    <w:family w:val="auto"/>
    <w:notTrueType/>
    <w:pitch w:val="default"/>
    <w:sig w:usb0="00000003" w:usb1="00000000" w:usb2="00000000" w:usb3="00000000" w:csb0="00000001" w:csb1="00000000"/>
  </w:font>
  <w:font w:name="*Verdana-Italic-9239-Identity-H">
    <w:altName w:val="Calibri"/>
    <w:panose1 w:val="00000000000000000000"/>
    <w:charset w:val="00"/>
    <w:family w:val="auto"/>
    <w:notTrueType/>
    <w:pitch w:val="default"/>
    <w:sig w:usb0="00000003" w:usb1="00000000" w:usb2="00000000" w:usb3="00000000" w:csb0="00000001" w:csb1="00000000"/>
  </w:font>
  <w:font w:name="*Verdana-Italic-9698-Identity-H">
    <w:altName w:val="Calibri"/>
    <w:panose1 w:val="00000000000000000000"/>
    <w:charset w:val="00"/>
    <w:family w:val="auto"/>
    <w:notTrueType/>
    <w:pitch w:val="default"/>
    <w:sig w:usb0="00000003" w:usb1="00000000" w:usb2="00000000" w:usb3="00000000" w:csb0="00000001" w:csb1="00000000"/>
  </w:font>
  <w:font w:name="*Verdana-9697-Identity-H">
    <w:altName w:val="Calibri"/>
    <w:panose1 w:val="00000000000000000000"/>
    <w:charset w:val="00"/>
    <w:family w:val="auto"/>
    <w:notTrueType/>
    <w:pitch w:val="default"/>
    <w:sig w:usb0="00000003" w:usb1="00000000" w:usb2="00000000" w:usb3="00000000" w:csb0="00000001" w:csb1="00000000"/>
  </w:font>
  <w:font w:name="*Tahoma-9699-Identity-H">
    <w:altName w:val="Calibri"/>
    <w:panose1 w:val="00000000000000000000"/>
    <w:charset w:val="00"/>
    <w:family w:val="auto"/>
    <w:notTrueType/>
    <w:pitch w:val="default"/>
    <w:sig w:usb0="00000003" w:usb1="00000000" w:usb2="00000000" w:usb3="00000000" w:csb0="00000001" w:csb1="00000000"/>
  </w:font>
  <w:font w:name="*Tahoma-9701-Identity-H">
    <w:altName w:val="Calibri"/>
    <w:panose1 w:val="00000000000000000000"/>
    <w:charset w:val="00"/>
    <w:family w:val="auto"/>
    <w:notTrueType/>
    <w:pitch w:val="default"/>
    <w:sig w:usb0="00000003" w:usb1="00000000" w:usb2="00000000" w:usb3="00000000" w:csb0="00000001" w:csb1="00000000"/>
  </w:font>
  <w:font w:name="*Verdana-Italic-9696-Identity-H">
    <w:altName w:val="Calibri"/>
    <w:panose1 w:val="00000000000000000000"/>
    <w:charset w:val="00"/>
    <w:family w:val="auto"/>
    <w:notTrueType/>
    <w:pitch w:val="default"/>
    <w:sig w:usb0="00000003" w:usb1="00000000" w:usb2="00000000" w:usb3="00000000" w:csb0="00000001" w:csb1="00000000"/>
  </w:font>
  <w:font w:name="*Verdana-7127-Identity-H">
    <w:altName w:val="Calibri"/>
    <w:panose1 w:val="00000000000000000000"/>
    <w:charset w:val="00"/>
    <w:family w:val="auto"/>
    <w:notTrueType/>
    <w:pitch w:val="default"/>
    <w:sig w:usb0="00000003" w:usb1="00000000" w:usb2="00000000" w:usb3="00000000" w:csb0="00000001" w:csb1="00000000"/>
  </w:font>
  <w:font w:name="*Tahoma-7968-Identity-H">
    <w:altName w:val="Calibri"/>
    <w:panose1 w:val="00000000000000000000"/>
    <w:charset w:val="00"/>
    <w:family w:val="auto"/>
    <w:notTrueType/>
    <w:pitch w:val="default"/>
    <w:sig w:usb0="00000003" w:usb1="00000000" w:usb2="00000000" w:usb3="00000000" w:csb0="00000001" w:csb1="00000000"/>
  </w:font>
  <w:font w:name="*Verdana-Italic-7967-Identity-H">
    <w:altName w:val="Calibri"/>
    <w:panose1 w:val="00000000000000000000"/>
    <w:charset w:val="00"/>
    <w:family w:val="auto"/>
    <w:notTrueType/>
    <w:pitch w:val="default"/>
    <w:sig w:usb0="00000003" w:usb1="00000000" w:usb2="00000000" w:usb3="00000000" w:csb0="00000001" w:csb1="00000000"/>
  </w:font>
  <w:font w:name="*Verdana-5523-Identity-H">
    <w:altName w:val="Calibri"/>
    <w:panose1 w:val="00000000000000000000"/>
    <w:charset w:val="00"/>
    <w:family w:val="auto"/>
    <w:notTrueType/>
    <w:pitch w:val="default"/>
    <w:sig w:usb0="00000003" w:usb1="00000000" w:usb2="00000000" w:usb3="00000000" w:csb0="00000001" w:csb1="00000000"/>
  </w:font>
  <w:font w:name="*Verdana-5916-Identity-H">
    <w:altName w:val="Calibri"/>
    <w:panose1 w:val="00000000000000000000"/>
    <w:charset w:val="00"/>
    <w:family w:val="auto"/>
    <w:notTrueType/>
    <w:pitch w:val="default"/>
    <w:sig w:usb0="00000003" w:usb1="00000000" w:usb2="00000000" w:usb3="00000000" w:csb0="00000001" w:csb1="00000000"/>
  </w:font>
  <w:font w:name="*Verdana-Bold-5917-Identity-H">
    <w:altName w:val="Calibri"/>
    <w:panose1 w:val="00000000000000000000"/>
    <w:charset w:val="00"/>
    <w:family w:val="auto"/>
    <w:notTrueType/>
    <w:pitch w:val="default"/>
    <w:sig w:usb0="00000003" w:usb1="00000000" w:usb2="00000000" w:usb3="00000000" w:csb0="00000001" w:csb1="00000000"/>
  </w:font>
  <w:font w:name="*Verdana-Bold-5416-Identity-H">
    <w:altName w:val="Calibr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masis MT Pro">
    <w:charset w:val="00"/>
    <w:family w:val="roman"/>
    <w:pitch w:val="variable"/>
    <w:sig w:usb0="A00000AF" w:usb1="4000205B" w:usb2="00000000" w:usb3="00000000" w:csb0="00000093" w:csb1="00000000"/>
  </w:font>
  <w:font w:name="Amasis MT Pro,Italic">
    <w:altName w:val="Amasis MT Pro"/>
    <w:panose1 w:val="00000000000000000000"/>
    <w:charset w:val="00"/>
    <w:family w:val="swiss"/>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Avant Garde">
    <w:altName w:val="Century Gothic"/>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Italic">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Narrow">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105"/>
    <w:rsid w:val="000052E5"/>
    <w:rsid w:val="00030E64"/>
    <w:rsid w:val="000D6363"/>
    <w:rsid w:val="00114050"/>
    <w:rsid w:val="00140319"/>
    <w:rsid w:val="00156CFA"/>
    <w:rsid w:val="00167CA2"/>
    <w:rsid w:val="00176AB5"/>
    <w:rsid w:val="00186280"/>
    <w:rsid w:val="001A500B"/>
    <w:rsid w:val="001D342F"/>
    <w:rsid w:val="001F00F7"/>
    <w:rsid w:val="00206EF9"/>
    <w:rsid w:val="0023019F"/>
    <w:rsid w:val="0029145D"/>
    <w:rsid w:val="002A0763"/>
    <w:rsid w:val="002B5361"/>
    <w:rsid w:val="002F3BE3"/>
    <w:rsid w:val="00305FFA"/>
    <w:rsid w:val="00334F33"/>
    <w:rsid w:val="0034760A"/>
    <w:rsid w:val="003609FA"/>
    <w:rsid w:val="00377DC6"/>
    <w:rsid w:val="003C492F"/>
    <w:rsid w:val="003C6D8F"/>
    <w:rsid w:val="003F037E"/>
    <w:rsid w:val="003F724D"/>
    <w:rsid w:val="004C4E7F"/>
    <w:rsid w:val="004F5CFF"/>
    <w:rsid w:val="00513D66"/>
    <w:rsid w:val="0053705C"/>
    <w:rsid w:val="00603776"/>
    <w:rsid w:val="00616857"/>
    <w:rsid w:val="00650F4F"/>
    <w:rsid w:val="00664844"/>
    <w:rsid w:val="006920A6"/>
    <w:rsid w:val="006C62A2"/>
    <w:rsid w:val="006D4305"/>
    <w:rsid w:val="006E0508"/>
    <w:rsid w:val="006E4633"/>
    <w:rsid w:val="006F2353"/>
    <w:rsid w:val="006F43B1"/>
    <w:rsid w:val="00701706"/>
    <w:rsid w:val="00751E47"/>
    <w:rsid w:val="00783E95"/>
    <w:rsid w:val="007A6FA3"/>
    <w:rsid w:val="00810CC8"/>
    <w:rsid w:val="008158BE"/>
    <w:rsid w:val="00816CDC"/>
    <w:rsid w:val="00880E80"/>
    <w:rsid w:val="008B080C"/>
    <w:rsid w:val="008D4924"/>
    <w:rsid w:val="008E4DC9"/>
    <w:rsid w:val="009A35DF"/>
    <w:rsid w:val="009E353E"/>
    <w:rsid w:val="00A12449"/>
    <w:rsid w:val="00AA468D"/>
    <w:rsid w:val="00AD3760"/>
    <w:rsid w:val="00B161CE"/>
    <w:rsid w:val="00B6798B"/>
    <w:rsid w:val="00B74A1A"/>
    <w:rsid w:val="00BD60DF"/>
    <w:rsid w:val="00BE7105"/>
    <w:rsid w:val="00C50A5E"/>
    <w:rsid w:val="00C733EF"/>
    <w:rsid w:val="00C81A41"/>
    <w:rsid w:val="00CA5BA4"/>
    <w:rsid w:val="00CB32F6"/>
    <w:rsid w:val="00CE7218"/>
    <w:rsid w:val="00CF3271"/>
    <w:rsid w:val="00D0533C"/>
    <w:rsid w:val="00D058A6"/>
    <w:rsid w:val="00D4602E"/>
    <w:rsid w:val="00DA6C87"/>
    <w:rsid w:val="00E405EA"/>
    <w:rsid w:val="00E50304"/>
    <w:rsid w:val="00E64914"/>
    <w:rsid w:val="00E6566D"/>
    <w:rsid w:val="00EC156F"/>
    <w:rsid w:val="00EF4ACF"/>
    <w:rsid w:val="00F3459E"/>
    <w:rsid w:val="00F43827"/>
    <w:rsid w:val="00F502B0"/>
    <w:rsid w:val="00FA6CAD"/>
    <w:rsid w:val="00FC69FF"/>
    <w:rsid w:val="00FC7A72"/>
    <w:rsid w:val="00FD59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2F546EF7DAC34DB691300278981828" ma:contentTypeVersion="13" ma:contentTypeDescription="Create a new document." ma:contentTypeScope="" ma:versionID="f757bdf2f6724d000e08da4adcdd20b4">
  <xsd:schema xmlns:xsd="http://www.w3.org/2001/XMLSchema" xmlns:xs="http://www.w3.org/2001/XMLSchema" xmlns:p="http://schemas.microsoft.com/office/2006/metadata/properties" xmlns:ns3="e4cbaefe-6814-4875-8675-15c5825136e7" xmlns:ns4="81e10172-0d17-40c7-a1cb-6ddad6d2522d" targetNamespace="http://schemas.microsoft.com/office/2006/metadata/properties" ma:root="true" ma:fieldsID="03cbad9b5e1586441730cdaba2bdf3c9" ns3:_="" ns4:_="">
    <xsd:import namespace="e4cbaefe-6814-4875-8675-15c5825136e7"/>
    <xsd:import namespace="81e10172-0d17-40c7-a1cb-6ddad6d2522d"/>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cbaefe-6814-4875-8675-15c582513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e10172-0d17-40c7-a1cb-6ddad6d2522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3B6B5-B80A-455F-B6FE-BB63C51D6F9E}">
  <ds:schemaRefs>
    <ds:schemaRef ds:uri="http://schemas.microsoft.com/sharepoint/v3/contenttype/forms"/>
  </ds:schemaRefs>
</ds:datastoreItem>
</file>

<file path=customXml/itemProps2.xml><?xml version="1.0" encoding="utf-8"?>
<ds:datastoreItem xmlns:ds="http://schemas.openxmlformats.org/officeDocument/2006/customXml" ds:itemID="{302AD662-DD31-46AA-87A8-7D5F07B63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cbaefe-6814-4875-8675-15c5825136e7"/>
    <ds:schemaRef ds:uri="81e10172-0d17-40c7-a1cb-6ddad6d25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238442-0884-4235-869E-9027AAAB77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462665-1F5E-4D50-BDBF-180F737EB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279</Pages>
  <Words>262395</Words>
  <Characters>1443174</Characters>
  <Application>Microsoft Office Word</Application>
  <DocSecurity>0</DocSecurity>
  <Lines>12026</Lines>
  <Paragraphs>3404</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1702165</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464</cp:revision>
  <cp:lastPrinted>2022-02-02T23:51:00Z</cp:lastPrinted>
  <dcterms:created xsi:type="dcterms:W3CDTF">2022-06-28T19:12:00Z</dcterms:created>
  <dcterms:modified xsi:type="dcterms:W3CDTF">2022-08-17T21:02:00Z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0x0101009E2F546EF7DAC34DB691300278981828</vt:lpwstr>
  </property>
</Properties>
</file>